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10.xml" ContentType="application/vnd.openxmlformats-officedocument.wordprocessingml.footer+xml"/>
  <Override PartName="/word/footer100.xml" ContentType="application/vnd.openxmlformats-officedocument.wordprocessingml.footer+xml"/>
  <Override PartName="/word/footer101.xml" ContentType="application/vnd.openxmlformats-officedocument.wordprocessingml.footer+xml"/>
  <Override PartName="/word/footer102.xml" ContentType="application/vnd.openxmlformats-officedocument.wordprocessingml.footer+xml"/>
  <Override PartName="/word/footer103.xml" ContentType="application/vnd.openxmlformats-officedocument.wordprocessingml.footer+xml"/>
  <Override PartName="/word/footer104.xml" ContentType="application/vnd.openxmlformats-officedocument.wordprocessingml.footer+xml"/>
  <Override PartName="/word/footer105.xml" ContentType="application/vnd.openxmlformats-officedocument.wordprocessingml.footer+xml"/>
  <Override PartName="/word/footer106.xml" ContentType="application/vnd.openxmlformats-officedocument.wordprocessingml.footer+xml"/>
  <Override PartName="/word/footer107.xml" ContentType="application/vnd.openxmlformats-officedocument.wordprocessingml.footer+xml"/>
  <Override PartName="/word/footer108.xml" ContentType="application/vnd.openxmlformats-officedocument.wordprocessingml.footer+xml"/>
  <Override PartName="/word/footer109.xml" ContentType="application/vnd.openxmlformats-officedocument.wordprocessingml.footer+xml"/>
  <Override PartName="/word/footer11.xml" ContentType="application/vnd.openxmlformats-officedocument.wordprocessingml.footer+xml"/>
  <Override PartName="/word/footer110.xml" ContentType="application/vnd.openxmlformats-officedocument.wordprocessingml.footer+xml"/>
  <Override PartName="/word/footer111.xml" ContentType="application/vnd.openxmlformats-officedocument.wordprocessingml.footer+xml"/>
  <Override PartName="/word/footer112.xml" ContentType="application/vnd.openxmlformats-officedocument.wordprocessingml.footer+xml"/>
  <Override PartName="/word/footer113.xml" ContentType="application/vnd.openxmlformats-officedocument.wordprocessingml.footer+xml"/>
  <Override PartName="/word/footer114.xml" ContentType="application/vnd.openxmlformats-officedocument.wordprocessingml.footer+xml"/>
  <Override PartName="/word/footer115.xml" ContentType="application/vnd.openxmlformats-officedocument.wordprocessingml.footer+xml"/>
  <Override PartName="/word/footer116.xml" ContentType="application/vnd.openxmlformats-officedocument.wordprocessingml.footer+xml"/>
  <Override PartName="/word/footer117.xml" ContentType="application/vnd.openxmlformats-officedocument.wordprocessingml.footer+xml"/>
  <Override PartName="/word/footer118.xml" ContentType="application/vnd.openxmlformats-officedocument.wordprocessingml.footer+xml"/>
  <Override PartName="/word/footer119.xml" ContentType="application/vnd.openxmlformats-officedocument.wordprocessingml.footer+xml"/>
  <Override PartName="/word/footer12.xml" ContentType="application/vnd.openxmlformats-officedocument.wordprocessingml.footer+xml"/>
  <Override PartName="/word/footer120.xml" ContentType="application/vnd.openxmlformats-officedocument.wordprocessingml.footer+xml"/>
  <Override PartName="/word/footer121.xml" ContentType="application/vnd.openxmlformats-officedocument.wordprocessingml.footer+xml"/>
  <Override PartName="/word/footer122.xml" ContentType="application/vnd.openxmlformats-officedocument.wordprocessingml.footer+xml"/>
  <Override PartName="/word/footer123.xml" ContentType="application/vnd.openxmlformats-officedocument.wordprocessingml.footer+xml"/>
  <Override PartName="/word/footer124.xml" ContentType="application/vnd.openxmlformats-officedocument.wordprocessingml.footer+xml"/>
  <Override PartName="/word/footer125.xml" ContentType="application/vnd.openxmlformats-officedocument.wordprocessingml.footer+xml"/>
  <Override PartName="/word/footer126.xml" ContentType="application/vnd.openxmlformats-officedocument.wordprocessingml.footer+xml"/>
  <Override PartName="/word/footer127.xml" ContentType="application/vnd.openxmlformats-officedocument.wordprocessingml.footer+xml"/>
  <Override PartName="/word/footer128.xml" ContentType="application/vnd.openxmlformats-officedocument.wordprocessingml.footer+xml"/>
  <Override PartName="/word/footer129.xml" ContentType="application/vnd.openxmlformats-officedocument.wordprocessingml.footer+xml"/>
  <Override PartName="/word/footer13.xml" ContentType="application/vnd.openxmlformats-officedocument.wordprocessingml.footer+xml"/>
  <Override PartName="/word/footer130.xml" ContentType="application/vnd.openxmlformats-officedocument.wordprocessingml.footer+xml"/>
  <Override PartName="/word/footer131.xml" ContentType="application/vnd.openxmlformats-officedocument.wordprocessingml.footer+xml"/>
  <Override PartName="/word/footer132.xml" ContentType="application/vnd.openxmlformats-officedocument.wordprocessingml.footer+xml"/>
  <Override PartName="/word/footer133.xml" ContentType="application/vnd.openxmlformats-officedocument.wordprocessingml.footer+xml"/>
  <Override PartName="/word/footer134.xml" ContentType="application/vnd.openxmlformats-officedocument.wordprocessingml.footer+xml"/>
  <Override PartName="/word/footer135.xml" ContentType="application/vnd.openxmlformats-officedocument.wordprocessingml.footer+xml"/>
  <Override PartName="/word/footer136.xml" ContentType="application/vnd.openxmlformats-officedocument.wordprocessingml.footer+xml"/>
  <Override PartName="/word/footer137.xml" ContentType="application/vnd.openxmlformats-officedocument.wordprocessingml.footer+xml"/>
  <Override PartName="/word/footer138.xml" ContentType="application/vnd.openxmlformats-officedocument.wordprocessingml.footer+xml"/>
  <Override PartName="/word/footer139.xml" ContentType="application/vnd.openxmlformats-officedocument.wordprocessingml.footer+xml"/>
  <Override PartName="/word/footer14.xml" ContentType="application/vnd.openxmlformats-officedocument.wordprocessingml.footer+xml"/>
  <Override PartName="/word/footer140.xml" ContentType="application/vnd.openxmlformats-officedocument.wordprocessingml.footer+xml"/>
  <Override PartName="/word/footer141.xml" ContentType="application/vnd.openxmlformats-officedocument.wordprocessingml.footer+xml"/>
  <Override PartName="/word/footer142.xml" ContentType="application/vnd.openxmlformats-officedocument.wordprocessingml.footer+xml"/>
  <Override PartName="/word/footer143.xml" ContentType="application/vnd.openxmlformats-officedocument.wordprocessingml.footer+xml"/>
  <Override PartName="/word/footer144.xml" ContentType="application/vnd.openxmlformats-officedocument.wordprocessingml.footer+xml"/>
  <Override PartName="/word/footer145.xml" ContentType="application/vnd.openxmlformats-officedocument.wordprocessingml.footer+xml"/>
  <Override PartName="/word/footer146.xml" ContentType="application/vnd.openxmlformats-officedocument.wordprocessingml.footer+xml"/>
  <Override PartName="/word/footer147.xml" ContentType="application/vnd.openxmlformats-officedocument.wordprocessingml.footer+xml"/>
  <Override PartName="/word/footer148.xml" ContentType="application/vnd.openxmlformats-officedocument.wordprocessingml.footer+xml"/>
  <Override PartName="/word/footer149.xml" ContentType="application/vnd.openxmlformats-officedocument.wordprocessingml.footer+xml"/>
  <Override PartName="/word/footer15.xml" ContentType="application/vnd.openxmlformats-officedocument.wordprocessingml.footer+xml"/>
  <Override PartName="/word/footer150.xml" ContentType="application/vnd.openxmlformats-officedocument.wordprocessingml.footer+xml"/>
  <Override PartName="/word/footer151.xml" ContentType="application/vnd.openxmlformats-officedocument.wordprocessingml.footer+xml"/>
  <Override PartName="/word/footer152.xml" ContentType="application/vnd.openxmlformats-officedocument.wordprocessingml.footer+xml"/>
  <Override PartName="/word/footer153.xml" ContentType="application/vnd.openxmlformats-officedocument.wordprocessingml.footer+xml"/>
  <Override PartName="/word/footer154.xml" ContentType="application/vnd.openxmlformats-officedocument.wordprocessingml.footer+xml"/>
  <Override PartName="/word/footer155.xml" ContentType="application/vnd.openxmlformats-officedocument.wordprocessingml.footer+xml"/>
  <Override PartName="/word/footer156.xml" ContentType="application/vnd.openxmlformats-officedocument.wordprocessingml.footer+xml"/>
  <Override PartName="/word/footer157.xml" ContentType="application/vnd.openxmlformats-officedocument.wordprocessingml.footer+xml"/>
  <Override PartName="/word/footer158.xml" ContentType="application/vnd.openxmlformats-officedocument.wordprocessingml.footer+xml"/>
  <Override PartName="/word/footer159.xml" ContentType="application/vnd.openxmlformats-officedocument.wordprocessingml.footer+xml"/>
  <Override PartName="/word/footer16.xml" ContentType="application/vnd.openxmlformats-officedocument.wordprocessingml.footer+xml"/>
  <Override PartName="/word/footer160.xml" ContentType="application/vnd.openxmlformats-officedocument.wordprocessingml.footer+xml"/>
  <Override PartName="/word/footer161.xml" ContentType="application/vnd.openxmlformats-officedocument.wordprocessingml.footer+xml"/>
  <Override PartName="/word/footer162.xml" ContentType="application/vnd.openxmlformats-officedocument.wordprocessingml.footer+xml"/>
  <Override PartName="/word/footer163.xml" ContentType="application/vnd.openxmlformats-officedocument.wordprocessingml.footer+xml"/>
  <Override PartName="/word/footer164.xml" ContentType="application/vnd.openxmlformats-officedocument.wordprocessingml.footer+xml"/>
  <Override PartName="/word/footer165.xml" ContentType="application/vnd.openxmlformats-officedocument.wordprocessingml.footer+xml"/>
  <Override PartName="/word/footer166.xml" ContentType="application/vnd.openxmlformats-officedocument.wordprocessingml.footer+xml"/>
  <Override PartName="/word/footer167.xml" ContentType="application/vnd.openxmlformats-officedocument.wordprocessingml.footer+xml"/>
  <Override PartName="/word/footer168.xml" ContentType="application/vnd.openxmlformats-officedocument.wordprocessingml.footer+xml"/>
  <Override PartName="/word/footer169.xml" ContentType="application/vnd.openxmlformats-officedocument.wordprocessingml.footer+xml"/>
  <Override PartName="/word/footer17.xml" ContentType="application/vnd.openxmlformats-officedocument.wordprocessingml.footer+xml"/>
  <Override PartName="/word/footer170.xml" ContentType="application/vnd.openxmlformats-officedocument.wordprocessingml.footer+xml"/>
  <Override PartName="/word/footer171.xml" ContentType="application/vnd.openxmlformats-officedocument.wordprocessingml.footer+xml"/>
  <Override PartName="/word/footer172.xml" ContentType="application/vnd.openxmlformats-officedocument.wordprocessingml.footer+xml"/>
  <Override PartName="/word/footer173.xml" ContentType="application/vnd.openxmlformats-officedocument.wordprocessingml.footer+xml"/>
  <Override PartName="/word/footer174.xml" ContentType="application/vnd.openxmlformats-officedocument.wordprocessingml.footer+xml"/>
  <Override PartName="/word/footer175.xml" ContentType="application/vnd.openxmlformats-officedocument.wordprocessingml.footer+xml"/>
  <Override PartName="/word/footer176.xml" ContentType="application/vnd.openxmlformats-officedocument.wordprocessingml.footer+xml"/>
  <Override PartName="/word/footer177.xml" ContentType="application/vnd.openxmlformats-officedocument.wordprocessingml.footer+xml"/>
  <Override PartName="/word/footer178.xml" ContentType="application/vnd.openxmlformats-officedocument.wordprocessingml.footer+xml"/>
  <Override PartName="/word/footer179.xml" ContentType="application/vnd.openxmlformats-officedocument.wordprocessingml.footer+xml"/>
  <Override PartName="/word/footer18.xml" ContentType="application/vnd.openxmlformats-officedocument.wordprocessingml.footer+xml"/>
  <Override PartName="/word/footer180.xml" ContentType="application/vnd.openxmlformats-officedocument.wordprocessingml.footer+xml"/>
  <Override PartName="/word/footer181.xml" ContentType="application/vnd.openxmlformats-officedocument.wordprocessingml.footer+xml"/>
  <Override PartName="/word/footer182.xml" ContentType="application/vnd.openxmlformats-officedocument.wordprocessingml.footer+xml"/>
  <Override PartName="/word/footer183.xml" ContentType="application/vnd.openxmlformats-officedocument.wordprocessingml.footer+xml"/>
  <Override PartName="/word/footer184.xml" ContentType="application/vnd.openxmlformats-officedocument.wordprocessingml.footer+xml"/>
  <Override PartName="/word/footer185.xml" ContentType="application/vnd.openxmlformats-officedocument.wordprocessingml.footer+xml"/>
  <Override PartName="/word/footer186.xml" ContentType="application/vnd.openxmlformats-officedocument.wordprocessingml.footer+xml"/>
  <Override PartName="/word/footer187.xml" ContentType="application/vnd.openxmlformats-officedocument.wordprocessingml.footer+xml"/>
  <Override PartName="/word/footer188.xml" ContentType="application/vnd.openxmlformats-officedocument.wordprocessingml.footer+xml"/>
  <Override PartName="/word/footer189.xml" ContentType="application/vnd.openxmlformats-officedocument.wordprocessingml.footer+xml"/>
  <Override PartName="/word/footer19.xml" ContentType="application/vnd.openxmlformats-officedocument.wordprocessingml.footer+xml"/>
  <Override PartName="/word/footer190.xml" ContentType="application/vnd.openxmlformats-officedocument.wordprocessingml.footer+xml"/>
  <Override PartName="/word/footer191.xml" ContentType="application/vnd.openxmlformats-officedocument.wordprocessingml.footer+xml"/>
  <Override PartName="/word/footer192.xml" ContentType="application/vnd.openxmlformats-officedocument.wordprocessingml.footer+xml"/>
  <Override PartName="/word/footer193.xml" ContentType="application/vnd.openxmlformats-officedocument.wordprocessingml.footer+xml"/>
  <Override PartName="/word/footer194.xml" ContentType="application/vnd.openxmlformats-officedocument.wordprocessingml.footer+xml"/>
  <Override PartName="/word/footer195.xml" ContentType="application/vnd.openxmlformats-officedocument.wordprocessingml.footer+xml"/>
  <Override PartName="/word/footer196.xml" ContentType="application/vnd.openxmlformats-officedocument.wordprocessingml.footer+xml"/>
  <Override PartName="/word/footer197.xml" ContentType="application/vnd.openxmlformats-officedocument.wordprocessingml.footer+xml"/>
  <Override PartName="/word/footer198.xml" ContentType="application/vnd.openxmlformats-officedocument.wordprocessingml.footer+xml"/>
  <Override PartName="/word/footer199.xml" ContentType="application/vnd.openxmlformats-officedocument.wordprocessingml.footer+xml"/>
  <Override PartName="/word/footer2.xml" ContentType="application/vnd.openxmlformats-officedocument.wordprocessingml.footer+xml"/>
  <Override PartName="/word/footer20.xml" ContentType="application/vnd.openxmlformats-officedocument.wordprocessingml.footer+xml"/>
  <Override PartName="/word/footer200.xml" ContentType="application/vnd.openxmlformats-officedocument.wordprocessingml.footer+xml"/>
  <Override PartName="/word/footer201.xml" ContentType="application/vnd.openxmlformats-officedocument.wordprocessingml.footer+xml"/>
  <Override PartName="/word/footer202.xml" ContentType="application/vnd.openxmlformats-officedocument.wordprocessingml.footer+xml"/>
  <Override PartName="/word/footer203.xml" ContentType="application/vnd.openxmlformats-officedocument.wordprocessingml.footer+xml"/>
  <Override PartName="/word/footer204.xml" ContentType="application/vnd.openxmlformats-officedocument.wordprocessingml.footer+xml"/>
  <Override PartName="/word/footer205.xml" ContentType="application/vnd.openxmlformats-officedocument.wordprocessingml.footer+xml"/>
  <Override PartName="/word/footer206.xml" ContentType="application/vnd.openxmlformats-officedocument.wordprocessingml.footer+xml"/>
  <Override PartName="/word/footer207.xml" ContentType="application/vnd.openxmlformats-officedocument.wordprocessingml.footer+xml"/>
  <Override PartName="/word/footer208.xml" ContentType="application/vnd.openxmlformats-officedocument.wordprocessingml.footer+xml"/>
  <Override PartName="/word/footer209.xml" ContentType="application/vnd.openxmlformats-officedocument.wordprocessingml.footer+xml"/>
  <Override PartName="/word/footer21.xml" ContentType="application/vnd.openxmlformats-officedocument.wordprocessingml.footer+xml"/>
  <Override PartName="/word/footer210.xml" ContentType="application/vnd.openxmlformats-officedocument.wordprocessingml.footer+xml"/>
  <Override PartName="/word/footer211.xml" ContentType="application/vnd.openxmlformats-officedocument.wordprocessingml.footer+xml"/>
  <Override PartName="/word/footer212.xml" ContentType="application/vnd.openxmlformats-officedocument.wordprocessingml.footer+xml"/>
  <Override PartName="/word/footer213.xml" ContentType="application/vnd.openxmlformats-officedocument.wordprocessingml.footer+xml"/>
  <Override PartName="/word/footer214.xml" ContentType="application/vnd.openxmlformats-officedocument.wordprocessingml.footer+xml"/>
  <Override PartName="/word/footer215.xml" ContentType="application/vnd.openxmlformats-officedocument.wordprocessingml.footer+xml"/>
  <Override PartName="/word/footer216.xml" ContentType="application/vnd.openxmlformats-officedocument.wordprocessingml.footer+xml"/>
  <Override PartName="/word/footer217.xml" ContentType="application/vnd.openxmlformats-officedocument.wordprocessingml.footer+xml"/>
  <Override PartName="/word/footer218.xml" ContentType="application/vnd.openxmlformats-officedocument.wordprocessingml.footer+xml"/>
  <Override PartName="/word/footer219.xml" ContentType="application/vnd.openxmlformats-officedocument.wordprocessingml.footer+xml"/>
  <Override PartName="/word/footer22.xml" ContentType="application/vnd.openxmlformats-officedocument.wordprocessingml.footer+xml"/>
  <Override PartName="/word/footer220.xml" ContentType="application/vnd.openxmlformats-officedocument.wordprocessingml.footer+xml"/>
  <Override PartName="/word/footer221.xml" ContentType="application/vnd.openxmlformats-officedocument.wordprocessingml.footer+xml"/>
  <Override PartName="/word/footer222.xml" ContentType="application/vnd.openxmlformats-officedocument.wordprocessingml.footer+xml"/>
  <Override PartName="/word/footer223.xml" ContentType="application/vnd.openxmlformats-officedocument.wordprocessingml.footer+xml"/>
  <Override PartName="/word/footer224.xml" ContentType="application/vnd.openxmlformats-officedocument.wordprocessingml.footer+xml"/>
  <Override PartName="/word/footer225.xml" ContentType="application/vnd.openxmlformats-officedocument.wordprocessingml.footer+xml"/>
  <Override PartName="/word/footer226.xml" ContentType="application/vnd.openxmlformats-officedocument.wordprocessingml.footer+xml"/>
  <Override PartName="/word/footer227.xml" ContentType="application/vnd.openxmlformats-officedocument.wordprocessingml.footer+xml"/>
  <Override PartName="/word/footer228.xml" ContentType="application/vnd.openxmlformats-officedocument.wordprocessingml.footer+xml"/>
  <Override PartName="/word/footer229.xml" ContentType="application/vnd.openxmlformats-officedocument.wordprocessingml.footer+xml"/>
  <Override PartName="/word/footer23.xml" ContentType="application/vnd.openxmlformats-officedocument.wordprocessingml.footer+xml"/>
  <Override PartName="/word/footer230.xml" ContentType="application/vnd.openxmlformats-officedocument.wordprocessingml.footer+xml"/>
  <Override PartName="/word/footer231.xml" ContentType="application/vnd.openxmlformats-officedocument.wordprocessingml.footer+xml"/>
  <Override PartName="/word/footer232.xml" ContentType="application/vnd.openxmlformats-officedocument.wordprocessingml.footer+xml"/>
  <Override PartName="/word/footer233.xml" ContentType="application/vnd.openxmlformats-officedocument.wordprocessingml.footer+xml"/>
  <Override PartName="/word/footer234.xml" ContentType="application/vnd.openxmlformats-officedocument.wordprocessingml.footer+xml"/>
  <Override PartName="/word/footer235.xml" ContentType="application/vnd.openxmlformats-officedocument.wordprocessingml.footer+xml"/>
  <Override PartName="/word/footer236.xml" ContentType="application/vnd.openxmlformats-officedocument.wordprocessingml.footer+xml"/>
  <Override PartName="/word/footer237.xml" ContentType="application/vnd.openxmlformats-officedocument.wordprocessingml.footer+xml"/>
  <Override PartName="/word/footer238.xml" ContentType="application/vnd.openxmlformats-officedocument.wordprocessingml.footer+xml"/>
  <Override PartName="/word/footer239.xml" ContentType="application/vnd.openxmlformats-officedocument.wordprocessingml.footer+xml"/>
  <Override PartName="/word/footer24.xml" ContentType="application/vnd.openxmlformats-officedocument.wordprocessingml.footer+xml"/>
  <Override PartName="/word/footer240.xml" ContentType="application/vnd.openxmlformats-officedocument.wordprocessingml.footer+xml"/>
  <Override PartName="/word/footer241.xml" ContentType="application/vnd.openxmlformats-officedocument.wordprocessingml.footer+xml"/>
  <Override PartName="/word/footer242.xml" ContentType="application/vnd.openxmlformats-officedocument.wordprocessingml.footer+xml"/>
  <Override PartName="/word/footer243.xml" ContentType="application/vnd.openxmlformats-officedocument.wordprocessingml.footer+xml"/>
  <Override PartName="/word/footer244.xml" ContentType="application/vnd.openxmlformats-officedocument.wordprocessingml.footer+xml"/>
  <Override PartName="/word/footer245.xml" ContentType="application/vnd.openxmlformats-officedocument.wordprocessingml.footer+xml"/>
  <Override PartName="/word/footer246.xml" ContentType="application/vnd.openxmlformats-officedocument.wordprocessingml.footer+xml"/>
  <Override PartName="/word/footer247.xml" ContentType="application/vnd.openxmlformats-officedocument.wordprocessingml.footer+xml"/>
  <Override PartName="/word/footer248.xml" ContentType="application/vnd.openxmlformats-officedocument.wordprocessingml.footer+xml"/>
  <Override PartName="/word/footer249.xml" ContentType="application/vnd.openxmlformats-officedocument.wordprocessingml.footer+xml"/>
  <Override PartName="/word/footer25.xml" ContentType="application/vnd.openxmlformats-officedocument.wordprocessingml.footer+xml"/>
  <Override PartName="/word/footer250.xml" ContentType="application/vnd.openxmlformats-officedocument.wordprocessingml.footer+xml"/>
  <Override PartName="/word/footer251.xml" ContentType="application/vnd.openxmlformats-officedocument.wordprocessingml.footer+xml"/>
  <Override PartName="/word/footer252.xml" ContentType="application/vnd.openxmlformats-officedocument.wordprocessingml.footer+xml"/>
  <Override PartName="/word/footer253.xml" ContentType="application/vnd.openxmlformats-officedocument.wordprocessingml.footer+xml"/>
  <Override PartName="/word/footer254.xml" ContentType="application/vnd.openxmlformats-officedocument.wordprocessingml.footer+xml"/>
  <Override PartName="/word/footer255.xml" ContentType="application/vnd.openxmlformats-officedocument.wordprocessingml.footer+xml"/>
  <Override PartName="/word/footer256.xml" ContentType="application/vnd.openxmlformats-officedocument.wordprocessingml.footer+xml"/>
  <Override PartName="/word/footer257.xml" ContentType="application/vnd.openxmlformats-officedocument.wordprocessingml.footer+xml"/>
  <Override PartName="/word/footer258.xml" ContentType="application/vnd.openxmlformats-officedocument.wordprocessingml.footer+xml"/>
  <Override PartName="/word/footer259.xml" ContentType="application/vnd.openxmlformats-officedocument.wordprocessingml.footer+xml"/>
  <Override PartName="/word/footer26.xml" ContentType="application/vnd.openxmlformats-officedocument.wordprocessingml.footer+xml"/>
  <Override PartName="/word/footer260.xml" ContentType="application/vnd.openxmlformats-officedocument.wordprocessingml.footer+xml"/>
  <Override PartName="/word/footer261.xml" ContentType="application/vnd.openxmlformats-officedocument.wordprocessingml.footer+xml"/>
  <Override PartName="/word/footer262.xml" ContentType="application/vnd.openxmlformats-officedocument.wordprocessingml.footer+xml"/>
  <Override PartName="/word/footer263.xml" ContentType="application/vnd.openxmlformats-officedocument.wordprocessingml.footer+xml"/>
  <Override PartName="/word/footer264.xml" ContentType="application/vnd.openxmlformats-officedocument.wordprocessingml.footer+xml"/>
  <Override PartName="/word/footer265.xml" ContentType="application/vnd.openxmlformats-officedocument.wordprocessingml.footer+xml"/>
  <Override PartName="/word/footer266.xml" ContentType="application/vnd.openxmlformats-officedocument.wordprocessingml.footer+xml"/>
  <Override PartName="/word/footer267.xml" ContentType="application/vnd.openxmlformats-officedocument.wordprocessingml.footer+xml"/>
  <Override PartName="/word/footer268.xml" ContentType="application/vnd.openxmlformats-officedocument.wordprocessingml.footer+xml"/>
  <Override PartName="/word/footer269.xml" ContentType="application/vnd.openxmlformats-officedocument.wordprocessingml.footer+xml"/>
  <Override PartName="/word/footer27.xml" ContentType="application/vnd.openxmlformats-officedocument.wordprocessingml.footer+xml"/>
  <Override PartName="/word/footer270.xml" ContentType="application/vnd.openxmlformats-officedocument.wordprocessingml.footer+xml"/>
  <Override PartName="/word/footer271.xml" ContentType="application/vnd.openxmlformats-officedocument.wordprocessingml.footer+xml"/>
  <Override PartName="/word/footer272.xml" ContentType="application/vnd.openxmlformats-officedocument.wordprocessingml.footer+xml"/>
  <Override PartName="/word/footer273.xml" ContentType="application/vnd.openxmlformats-officedocument.wordprocessingml.footer+xml"/>
  <Override PartName="/word/footer274.xml" ContentType="application/vnd.openxmlformats-officedocument.wordprocessingml.footer+xml"/>
  <Override PartName="/word/footer275.xml" ContentType="application/vnd.openxmlformats-officedocument.wordprocessingml.footer+xml"/>
  <Override PartName="/word/footer276.xml" ContentType="application/vnd.openxmlformats-officedocument.wordprocessingml.footer+xml"/>
  <Override PartName="/word/footer277.xml" ContentType="application/vnd.openxmlformats-officedocument.wordprocessingml.footer+xml"/>
  <Override PartName="/word/footer278.xml" ContentType="application/vnd.openxmlformats-officedocument.wordprocessingml.footer+xml"/>
  <Override PartName="/word/footer279.xml" ContentType="application/vnd.openxmlformats-officedocument.wordprocessingml.footer+xml"/>
  <Override PartName="/word/footer28.xml" ContentType="application/vnd.openxmlformats-officedocument.wordprocessingml.footer+xml"/>
  <Override PartName="/word/footer280.xml" ContentType="application/vnd.openxmlformats-officedocument.wordprocessingml.footer+xml"/>
  <Override PartName="/word/footer281.xml" ContentType="application/vnd.openxmlformats-officedocument.wordprocessingml.footer+xml"/>
  <Override PartName="/word/footer282.xml" ContentType="application/vnd.openxmlformats-officedocument.wordprocessingml.footer+xml"/>
  <Override PartName="/word/footer283.xml" ContentType="application/vnd.openxmlformats-officedocument.wordprocessingml.footer+xml"/>
  <Override PartName="/word/footer284.xml" ContentType="application/vnd.openxmlformats-officedocument.wordprocessingml.footer+xml"/>
  <Override PartName="/word/footer285.xml" ContentType="application/vnd.openxmlformats-officedocument.wordprocessingml.footer+xml"/>
  <Override PartName="/word/footer286.xml" ContentType="application/vnd.openxmlformats-officedocument.wordprocessingml.footer+xml"/>
  <Override PartName="/word/footer287.xml" ContentType="application/vnd.openxmlformats-officedocument.wordprocessingml.footer+xml"/>
  <Override PartName="/word/footer288.xml" ContentType="application/vnd.openxmlformats-officedocument.wordprocessingml.footer+xml"/>
  <Override PartName="/word/footer289.xml" ContentType="application/vnd.openxmlformats-officedocument.wordprocessingml.footer+xml"/>
  <Override PartName="/word/footer29.xml" ContentType="application/vnd.openxmlformats-officedocument.wordprocessingml.footer+xml"/>
  <Override PartName="/word/footer290.xml" ContentType="application/vnd.openxmlformats-officedocument.wordprocessingml.footer+xml"/>
  <Override PartName="/word/footer291.xml" ContentType="application/vnd.openxmlformats-officedocument.wordprocessingml.footer+xml"/>
  <Override PartName="/word/footer292.xml" ContentType="application/vnd.openxmlformats-officedocument.wordprocessingml.footer+xml"/>
  <Override PartName="/word/footer293.xml" ContentType="application/vnd.openxmlformats-officedocument.wordprocessingml.footer+xml"/>
  <Override PartName="/word/footer294.xml" ContentType="application/vnd.openxmlformats-officedocument.wordprocessingml.footer+xml"/>
  <Override PartName="/word/footer295.xml" ContentType="application/vnd.openxmlformats-officedocument.wordprocessingml.footer+xml"/>
  <Override PartName="/word/footer296.xml" ContentType="application/vnd.openxmlformats-officedocument.wordprocessingml.footer+xml"/>
  <Override PartName="/word/footer297.xml" ContentType="application/vnd.openxmlformats-officedocument.wordprocessingml.footer+xml"/>
  <Override PartName="/word/footer298.xml" ContentType="application/vnd.openxmlformats-officedocument.wordprocessingml.footer+xml"/>
  <Override PartName="/word/footer299.xml" ContentType="application/vnd.openxmlformats-officedocument.wordprocessingml.footer+xml"/>
  <Override PartName="/word/footer3.xml" ContentType="application/vnd.openxmlformats-officedocument.wordprocessingml.footer+xml"/>
  <Override PartName="/word/footer30.xml" ContentType="application/vnd.openxmlformats-officedocument.wordprocessingml.footer+xml"/>
  <Override PartName="/word/footer300.xml" ContentType="application/vnd.openxmlformats-officedocument.wordprocessingml.footer+xml"/>
  <Override PartName="/word/footer301.xml" ContentType="application/vnd.openxmlformats-officedocument.wordprocessingml.footer+xml"/>
  <Override PartName="/word/footer302.xml" ContentType="application/vnd.openxmlformats-officedocument.wordprocessingml.footer+xml"/>
  <Override PartName="/word/footer303.xml" ContentType="application/vnd.openxmlformats-officedocument.wordprocessingml.footer+xml"/>
  <Override PartName="/word/footer304.xml" ContentType="application/vnd.openxmlformats-officedocument.wordprocessingml.footer+xml"/>
  <Override PartName="/word/footer305.xml" ContentType="application/vnd.openxmlformats-officedocument.wordprocessingml.footer+xml"/>
  <Override PartName="/word/footer306.xml" ContentType="application/vnd.openxmlformats-officedocument.wordprocessingml.footer+xml"/>
  <Override PartName="/word/footer307.xml" ContentType="application/vnd.openxmlformats-officedocument.wordprocessingml.footer+xml"/>
  <Override PartName="/word/footer308.xml" ContentType="application/vnd.openxmlformats-officedocument.wordprocessingml.footer+xml"/>
  <Override PartName="/word/footer309.xml" ContentType="application/vnd.openxmlformats-officedocument.wordprocessingml.footer+xml"/>
  <Override PartName="/word/footer31.xml" ContentType="application/vnd.openxmlformats-officedocument.wordprocessingml.footer+xml"/>
  <Override PartName="/word/footer310.xml" ContentType="application/vnd.openxmlformats-officedocument.wordprocessingml.footer+xml"/>
  <Override PartName="/word/footer311.xml" ContentType="application/vnd.openxmlformats-officedocument.wordprocessingml.footer+xml"/>
  <Override PartName="/word/footer312.xml" ContentType="application/vnd.openxmlformats-officedocument.wordprocessingml.footer+xml"/>
  <Override PartName="/word/footer313.xml" ContentType="application/vnd.openxmlformats-officedocument.wordprocessingml.footer+xml"/>
  <Override PartName="/word/footer314.xml" ContentType="application/vnd.openxmlformats-officedocument.wordprocessingml.footer+xml"/>
  <Override PartName="/word/footer315.xml" ContentType="application/vnd.openxmlformats-officedocument.wordprocessingml.footer+xml"/>
  <Override PartName="/word/footer316.xml" ContentType="application/vnd.openxmlformats-officedocument.wordprocessingml.footer+xml"/>
  <Override PartName="/word/footer317.xml" ContentType="application/vnd.openxmlformats-officedocument.wordprocessingml.footer+xml"/>
  <Override PartName="/word/footer318.xml" ContentType="application/vnd.openxmlformats-officedocument.wordprocessingml.footer+xml"/>
  <Override PartName="/word/footer319.xml" ContentType="application/vnd.openxmlformats-officedocument.wordprocessingml.footer+xml"/>
  <Override PartName="/word/footer32.xml" ContentType="application/vnd.openxmlformats-officedocument.wordprocessingml.footer+xml"/>
  <Override PartName="/word/footer320.xml" ContentType="application/vnd.openxmlformats-officedocument.wordprocessingml.footer+xml"/>
  <Override PartName="/word/footer321.xml" ContentType="application/vnd.openxmlformats-officedocument.wordprocessingml.footer+xml"/>
  <Override PartName="/word/footer322.xml" ContentType="application/vnd.openxmlformats-officedocument.wordprocessingml.footer+xml"/>
  <Override PartName="/word/footer323.xml" ContentType="application/vnd.openxmlformats-officedocument.wordprocessingml.footer+xml"/>
  <Override PartName="/word/footer324.xml" ContentType="application/vnd.openxmlformats-officedocument.wordprocessingml.footer+xml"/>
  <Override PartName="/word/footer325.xml" ContentType="application/vnd.openxmlformats-officedocument.wordprocessingml.footer+xml"/>
  <Override PartName="/word/footer326.xml" ContentType="application/vnd.openxmlformats-officedocument.wordprocessingml.footer+xml"/>
  <Override PartName="/word/footer327.xml" ContentType="application/vnd.openxmlformats-officedocument.wordprocessingml.footer+xml"/>
  <Override PartName="/word/footer328.xml" ContentType="application/vnd.openxmlformats-officedocument.wordprocessingml.footer+xml"/>
  <Override PartName="/word/footer329.xml" ContentType="application/vnd.openxmlformats-officedocument.wordprocessingml.footer+xml"/>
  <Override PartName="/word/footer33.xml" ContentType="application/vnd.openxmlformats-officedocument.wordprocessingml.footer+xml"/>
  <Override PartName="/word/footer330.xml" ContentType="application/vnd.openxmlformats-officedocument.wordprocessingml.footer+xml"/>
  <Override PartName="/word/footer331.xml" ContentType="application/vnd.openxmlformats-officedocument.wordprocessingml.footer+xml"/>
  <Override PartName="/word/footer332.xml" ContentType="application/vnd.openxmlformats-officedocument.wordprocessingml.footer+xml"/>
  <Override PartName="/word/footer333.xml" ContentType="application/vnd.openxmlformats-officedocument.wordprocessingml.footer+xml"/>
  <Override PartName="/word/footer334.xml" ContentType="application/vnd.openxmlformats-officedocument.wordprocessingml.footer+xml"/>
  <Override PartName="/word/footer335.xml" ContentType="application/vnd.openxmlformats-officedocument.wordprocessingml.footer+xml"/>
  <Override PartName="/word/footer336.xml" ContentType="application/vnd.openxmlformats-officedocument.wordprocessingml.footer+xml"/>
  <Override PartName="/word/footer337.xml" ContentType="application/vnd.openxmlformats-officedocument.wordprocessingml.footer+xml"/>
  <Override PartName="/word/footer338.xml" ContentType="application/vnd.openxmlformats-officedocument.wordprocessingml.footer+xml"/>
  <Override PartName="/word/footer339.xml" ContentType="application/vnd.openxmlformats-officedocument.wordprocessingml.footer+xml"/>
  <Override PartName="/word/footer34.xml" ContentType="application/vnd.openxmlformats-officedocument.wordprocessingml.footer+xml"/>
  <Override PartName="/word/footer340.xml" ContentType="application/vnd.openxmlformats-officedocument.wordprocessingml.footer+xml"/>
  <Override PartName="/word/footer341.xml" ContentType="application/vnd.openxmlformats-officedocument.wordprocessingml.footer+xml"/>
  <Override PartName="/word/footer342.xml" ContentType="application/vnd.openxmlformats-officedocument.wordprocessingml.footer+xml"/>
  <Override PartName="/word/footer343.xml" ContentType="application/vnd.openxmlformats-officedocument.wordprocessingml.footer+xml"/>
  <Override PartName="/word/footer344.xml" ContentType="application/vnd.openxmlformats-officedocument.wordprocessingml.footer+xml"/>
  <Override PartName="/word/footer345.xml" ContentType="application/vnd.openxmlformats-officedocument.wordprocessingml.footer+xml"/>
  <Override PartName="/word/footer346.xml" ContentType="application/vnd.openxmlformats-officedocument.wordprocessingml.footer+xml"/>
  <Override PartName="/word/footer347.xml" ContentType="application/vnd.openxmlformats-officedocument.wordprocessingml.footer+xml"/>
  <Override PartName="/word/footer348.xml" ContentType="application/vnd.openxmlformats-officedocument.wordprocessingml.footer+xml"/>
  <Override PartName="/word/footer349.xml" ContentType="application/vnd.openxmlformats-officedocument.wordprocessingml.footer+xml"/>
  <Override PartName="/word/footer35.xml" ContentType="application/vnd.openxmlformats-officedocument.wordprocessingml.footer+xml"/>
  <Override PartName="/word/footer350.xml" ContentType="application/vnd.openxmlformats-officedocument.wordprocessingml.footer+xml"/>
  <Override PartName="/word/footer351.xml" ContentType="application/vnd.openxmlformats-officedocument.wordprocessingml.footer+xml"/>
  <Override PartName="/word/footer352.xml" ContentType="application/vnd.openxmlformats-officedocument.wordprocessingml.footer+xml"/>
  <Override PartName="/word/footer353.xml" ContentType="application/vnd.openxmlformats-officedocument.wordprocessingml.footer+xml"/>
  <Override PartName="/word/footer354.xml" ContentType="application/vnd.openxmlformats-officedocument.wordprocessingml.footer+xml"/>
  <Override PartName="/word/footer355.xml" ContentType="application/vnd.openxmlformats-officedocument.wordprocessingml.footer+xml"/>
  <Override PartName="/word/footer356.xml" ContentType="application/vnd.openxmlformats-officedocument.wordprocessingml.footer+xml"/>
  <Override PartName="/word/footer357.xml" ContentType="application/vnd.openxmlformats-officedocument.wordprocessingml.footer+xml"/>
  <Override PartName="/word/footer358.xml" ContentType="application/vnd.openxmlformats-officedocument.wordprocessingml.footer+xml"/>
  <Override PartName="/word/footer359.xml" ContentType="application/vnd.openxmlformats-officedocument.wordprocessingml.footer+xml"/>
  <Override PartName="/word/footer36.xml" ContentType="application/vnd.openxmlformats-officedocument.wordprocessingml.footer+xml"/>
  <Override PartName="/word/footer360.xml" ContentType="application/vnd.openxmlformats-officedocument.wordprocessingml.footer+xml"/>
  <Override PartName="/word/footer361.xml" ContentType="application/vnd.openxmlformats-officedocument.wordprocessingml.footer+xml"/>
  <Override PartName="/word/footer362.xml" ContentType="application/vnd.openxmlformats-officedocument.wordprocessingml.footer+xml"/>
  <Override PartName="/word/footer363.xml" ContentType="application/vnd.openxmlformats-officedocument.wordprocessingml.footer+xml"/>
  <Override PartName="/word/footer364.xml" ContentType="application/vnd.openxmlformats-officedocument.wordprocessingml.footer+xml"/>
  <Override PartName="/word/footer365.xml" ContentType="application/vnd.openxmlformats-officedocument.wordprocessingml.footer+xml"/>
  <Override PartName="/word/footer366.xml" ContentType="application/vnd.openxmlformats-officedocument.wordprocessingml.footer+xml"/>
  <Override PartName="/word/footer37.xml" ContentType="application/vnd.openxmlformats-officedocument.wordprocessingml.footer+xml"/>
  <Override PartName="/word/footer38.xml" ContentType="application/vnd.openxmlformats-officedocument.wordprocessingml.footer+xml"/>
  <Override PartName="/word/footer39.xml" ContentType="application/vnd.openxmlformats-officedocument.wordprocessingml.footer+xml"/>
  <Override PartName="/word/footer4.xml" ContentType="application/vnd.openxmlformats-officedocument.wordprocessingml.footer+xml"/>
  <Override PartName="/word/footer40.xml" ContentType="application/vnd.openxmlformats-officedocument.wordprocessingml.footer+xml"/>
  <Override PartName="/word/footer41.xml" ContentType="application/vnd.openxmlformats-officedocument.wordprocessingml.footer+xml"/>
  <Override PartName="/word/footer42.xml" ContentType="application/vnd.openxmlformats-officedocument.wordprocessingml.footer+xml"/>
  <Override PartName="/word/footer43.xml" ContentType="application/vnd.openxmlformats-officedocument.wordprocessingml.footer+xml"/>
  <Override PartName="/word/footer44.xml" ContentType="application/vnd.openxmlformats-officedocument.wordprocessingml.footer+xml"/>
  <Override PartName="/word/footer45.xml" ContentType="application/vnd.openxmlformats-officedocument.wordprocessingml.footer+xml"/>
  <Override PartName="/word/footer46.xml" ContentType="application/vnd.openxmlformats-officedocument.wordprocessingml.footer+xml"/>
  <Override PartName="/word/footer47.xml" ContentType="application/vnd.openxmlformats-officedocument.wordprocessingml.footer+xml"/>
  <Override PartName="/word/footer48.xml" ContentType="application/vnd.openxmlformats-officedocument.wordprocessingml.footer+xml"/>
  <Override PartName="/word/footer49.xml" ContentType="application/vnd.openxmlformats-officedocument.wordprocessingml.footer+xml"/>
  <Override PartName="/word/footer5.xml" ContentType="application/vnd.openxmlformats-officedocument.wordprocessingml.footer+xml"/>
  <Override PartName="/word/footer50.xml" ContentType="application/vnd.openxmlformats-officedocument.wordprocessingml.footer+xml"/>
  <Override PartName="/word/footer51.xml" ContentType="application/vnd.openxmlformats-officedocument.wordprocessingml.footer+xml"/>
  <Override PartName="/word/footer52.xml" ContentType="application/vnd.openxmlformats-officedocument.wordprocessingml.footer+xml"/>
  <Override PartName="/word/footer53.xml" ContentType="application/vnd.openxmlformats-officedocument.wordprocessingml.footer+xml"/>
  <Override PartName="/word/footer54.xml" ContentType="application/vnd.openxmlformats-officedocument.wordprocessingml.footer+xml"/>
  <Override PartName="/word/footer55.xml" ContentType="application/vnd.openxmlformats-officedocument.wordprocessingml.footer+xml"/>
  <Override PartName="/word/footer56.xml" ContentType="application/vnd.openxmlformats-officedocument.wordprocessingml.footer+xml"/>
  <Override PartName="/word/footer57.xml" ContentType="application/vnd.openxmlformats-officedocument.wordprocessingml.footer+xml"/>
  <Override PartName="/word/footer58.xml" ContentType="application/vnd.openxmlformats-officedocument.wordprocessingml.footer+xml"/>
  <Override PartName="/word/footer59.xml" ContentType="application/vnd.openxmlformats-officedocument.wordprocessingml.footer+xml"/>
  <Override PartName="/word/footer6.xml" ContentType="application/vnd.openxmlformats-officedocument.wordprocessingml.footer+xml"/>
  <Override PartName="/word/footer60.xml" ContentType="application/vnd.openxmlformats-officedocument.wordprocessingml.footer+xml"/>
  <Override PartName="/word/footer61.xml" ContentType="application/vnd.openxmlformats-officedocument.wordprocessingml.footer+xml"/>
  <Override PartName="/word/footer62.xml" ContentType="application/vnd.openxmlformats-officedocument.wordprocessingml.footer+xml"/>
  <Override PartName="/word/footer63.xml" ContentType="application/vnd.openxmlformats-officedocument.wordprocessingml.footer+xml"/>
  <Override PartName="/word/footer64.xml" ContentType="application/vnd.openxmlformats-officedocument.wordprocessingml.footer+xml"/>
  <Override PartName="/word/footer65.xml" ContentType="application/vnd.openxmlformats-officedocument.wordprocessingml.footer+xml"/>
  <Override PartName="/word/footer66.xml" ContentType="application/vnd.openxmlformats-officedocument.wordprocessingml.footer+xml"/>
  <Override PartName="/word/footer67.xml" ContentType="application/vnd.openxmlformats-officedocument.wordprocessingml.footer+xml"/>
  <Override PartName="/word/footer68.xml" ContentType="application/vnd.openxmlformats-officedocument.wordprocessingml.footer+xml"/>
  <Override PartName="/word/footer69.xml" ContentType="application/vnd.openxmlformats-officedocument.wordprocessingml.footer+xml"/>
  <Override PartName="/word/footer7.xml" ContentType="application/vnd.openxmlformats-officedocument.wordprocessingml.footer+xml"/>
  <Override PartName="/word/footer70.xml" ContentType="application/vnd.openxmlformats-officedocument.wordprocessingml.footer+xml"/>
  <Override PartName="/word/footer71.xml" ContentType="application/vnd.openxmlformats-officedocument.wordprocessingml.footer+xml"/>
  <Override PartName="/word/footer72.xml" ContentType="application/vnd.openxmlformats-officedocument.wordprocessingml.footer+xml"/>
  <Override PartName="/word/footer73.xml" ContentType="application/vnd.openxmlformats-officedocument.wordprocessingml.footer+xml"/>
  <Override PartName="/word/footer74.xml" ContentType="application/vnd.openxmlformats-officedocument.wordprocessingml.footer+xml"/>
  <Override PartName="/word/footer75.xml" ContentType="application/vnd.openxmlformats-officedocument.wordprocessingml.footer+xml"/>
  <Override PartName="/word/footer76.xml" ContentType="application/vnd.openxmlformats-officedocument.wordprocessingml.footer+xml"/>
  <Override PartName="/word/footer77.xml" ContentType="application/vnd.openxmlformats-officedocument.wordprocessingml.footer+xml"/>
  <Override PartName="/word/footer78.xml" ContentType="application/vnd.openxmlformats-officedocument.wordprocessingml.footer+xml"/>
  <Override PartName="/word/footer79.xml" ContentType="application/vnd.openxmlformats-officedocument.wordprocessingml.footer+xml"/>
  <Override PartName="/word/footer8.xml" ContentType="application/vnd.openxmlformats-officedocument.wordprocessingml.footer+xml"/>
  <Override PartName="/word/footer80.xml" ContentType="application/vnd.openxmlformats-officedocument.wordprocessingml.footer+xml"/>
  <Override PartName="/word/footer81.xml" ContentType="application/vnd.openxmlformats-officedocument.wordprocessingml.footer+xml"/>
  <Override PartName="/word/footer82.xml" ContentType="application/vnd.openxmlformats-officedocument.wordprocessingml.footer+xml"/>
  <Override PartName="/word/footer83.xml" ContentType="application/vnd.openxmlformats-officedocument.wordprocessingml.footer+xml"/>
  <Override PartName="/word/footer84.xml" ContentType="application/vnd.openxmlformats-officedocument.wordprocessingml.footer+xml"/>
  <Override PartName="/word/footer85.xml" ContentType="application/vnd.openxmlformats-officedocument.wordprocessingml.footer+xml"/>
  <Override PartName="/word/footer86.xml" ContentType="application/vnd.openxmlformats-officedocument.wordprocessingml.footer+xml"/>
  <Override PartName="/word/footer87.xml" ContentType="application/vnd.openxmlformats-officedocument.wordprocessingml.footer+xml"/>
  <Override PartName="/word/footer88.xml" ContentType="application/vnd.openxmlformats-officedocument.wordprocessingml.footer+xml"/>
  <Override PartName="/word/footer89.xml" ContentType="application/vnd.openxmlformats-officedocument.wordprocessingml.footer+xml"/>
  <Override PartName="/word/footer9.xml" ContentType="application/vnd.openxmlformats-officedocument.wordprocessingml.footer+xml"/>
  <Override PartName="/word/footer90.xml" ContentType="application/vnd.openxmlformats-officedocument.wordprocessingml.footer+xml"/>
  <Override PartName="/word/footer91.xml" ContentType="application/vnd.openxmlformats-officedocument.wordprocessingml.footer+xml"/>
  <Override PartName="/word/footer92.xml" ContentType="application/vnd.openxmlformats-officedocument.wordprocessingml.footer+xml"/>
  <Override PartName="/word/footer93.xml" ContentType="application/vnd.openxmlformats-officedocument.wordprocessingml.footer+xml"/>
  <Override PartName="/word/footer94.xml" ContentType="application/vnd.openxmlformats-officedocument.wordprocessingml.footer+xml"/>
  <Override PartName="/word/footer95.xml" ContentType="application/vnd.openxmlformats-officedocument.wordprocessingml.footer+xml"/>
  <Override PartName="/word/footer96.xml" ContentType="application/vnd.openxmlformats-officedocument.wordprocessingml.footer+xml"/>
  <Override PartName="/word/footer97.xml" ContentType="application/vnd.openxmlformats-officedocument.wordprocessingml.footer+xml"/>
  <Override PartName="/word/footer98.xml" ContentType="application/vnd.openxmlformats-officedocument.wordprocessingml.footer+xml"/>
  <Override PartName="/word/footer99.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08C0F323">
      <w:pPr>
        <w:spacing w:line="256" w:lineRule="auto"/>
        <w:rPr>
          <w:rFonts w:ascii="Arial"/>
          <w:sz w:val="21"/>
        </w:rPr>
      </w:pPr>
    </w:p>
    <w:p w14:paraId="4B4D3598">
      <w:pPr>
        <w:spacing w:line="256" w:lineRule="auto"/>
        <w:rPr>
          <w:rFonts w:ascii="Arial"/>
          <w:sz w:val="21"/>
        </w:rPr>
      </w:pPr>
      <w:r>
        <w:drawing>
          <wp:anchor distT="0" distB="0" distL="0" distR="0" simplePos="0" relativeHeight="251660288" behindDoc="0" locked="0" layoutInCell="1" allowOverlap="1">
            <wp:simplePos x="0" y="0"/>
            <wp:positionH relativeFrom="column">
              <wp:posOffset>647065</wp:posOffset>
            </wp:positionH>
            <wp:positionV relativeFrom="paragraph">
              <wp:posOffset>123190</wp:posOffset>
            </wp:positionV>
            <wp:extent cx="584200" cy="609600"/>
            <wp:effectExtent l="0" t="0" r="0" b="0"/>
            <wp:wrapNone/>
            <wp:docPr id="2" name="IM 2"/>
            <wp:cNvGraphicFramePr/>
            <a:graphic xmlns:a="http://schemas.openxmlformats.org/drawingml/2006/main">
              <a:graphicData uri="http://schemas.openxmlformats.org/drawingml/2006/picture">
                <pic:pic xmlns:pic="http://schemas.openxmlformats.org/drawingml/2006/picture">
                  <pic:nvPicPr>
                    <pic:cNvPr id="2" name="IM 2"/>
                    <pic:cNvPicPr/>
                  </pic:nvPicPr>
                  <pic:blipFill>
                    <a:blip r:embed="rId397"/>
                    <a:stretch>
                      <a:fillRect/>
                    </a:stretch>
                  </pic:blipFill>
                  <pic:spPr>
                    <a:xfrm>
                      <a:off x="0" y="0"/>
                      <a:ext cx="584268" cy="609547"/>
                    </a:xfrm>
                    <a:prstGeom prst="rect">
                      <a:avLst/>
                    </a:prstGeom>
                  </pic:spPr>
                </pic:pic>
              </a:graphicData>
            </a:graphic>
          </wp:anchor>
        </w:drawing>
      </w:r>
    </w:p>
    <w:p w14:paraId="0DCDBA39">
      <w:pPr>
        <w:pStyle w:val="2"/>
        <w:spacing w:before="98" w:line="243" w:lineRule="auto"/>
        <w:ind w:left="2209" w:right="4105"/>
        <w:jc w:val="both"/>
      </w:pPr>
      <w:bookmarkStart w:id="627" w:name="_GoBack"/>
      <w:bookmarkEnd w:id="627"/>
      <w:r>
        <w:rPr>
          <w:spacing w:val="-25"/>
          <w:w w:val="95"/>
        </w:rPr>
        <w:t>第8版获首届全国教材建设奖全国优秀教材二等奖</w:t>
      </w:r>
      <w:r>
        <w:rPr>
          <w:spacing w:val="1"/>
        </w:rPr>
        <w:t xml:space="preserve"> </w:t>
      </w:r>
      <w:r>
        <w:rPr>
          <w:spacing w:val="10"/>
        </w:rPr>
        <w:t>国家卫生健康委员会“十四五”规划教材</w:t>
      </w:r>
      <w:r>
        <w:rPr>
          <w:spacing w:val="3"/>
        </w:rPr>
        <w:t xml:space="preserve"> </w:t>
      </w:r>
      <w:r>
        <w:rPr>
          <w:spacing w:val="-20"/>
        </w:rPr>
        <w:t>全</w:t>
      </w:r>
      <w:r>
        <w:rPr>
          <w:spacing w:val="13"/>
        </w:rPr>
        <w:t xml:space="preserve">   </w:t>
      </w:r>
      <w:r>
        <w:rPr>
          <w:spacing w:val="-20"/>
        </w:rPr>
        <w:t>国</w:t>
      </w:r>
      <w:r>
        <w:rPr>
          <w:spacing w:val="9"/>
        </w:rPr>
        <w:t xml:space="preserve">   </w:t>
      </w:r>
      <w:r>
        <w:rPr>
          <w:spacing w:val="-20"/>
        </w:rPr>
        <w:t>高</w:t>
      </w:r>
      <w:r>
        <w:rPr>
          <w:spacing w:val="7"/>
        </w:rPr>
        <w:t xml:space="preserve">   </w:t>
      </w:r>
      <w:r>
        <w:rPr>
          <w:spacing w:val="-20"/>
        </w:rPr>
        <w:t>等</w:t>
      </w:r>
      <w:r>
        <w:rPr>
          <w:spacing w:val="3"/>
        </w:rPr>
        <w:t xml:space="preserve">   </w:t>
      </w:r>
      <w:r>
        <w:rPr>
          <w:spacing w:val="-20"/>
        </w:rPr>
        <w:t>学</w:t>
      </w:r>
      <w:r>
        <w:rPr>
          <w:spacing w:val="14"/>
        </w:rPr>
        <w:t xml:space="preserve">   </w:t>
      </w:r>
      <w:r>
        <w:rPr>
          <w:spacing w:val="-20"/>
        </w:rPr>
        <w:t>校</w:t>
      </w:r>
      <w:r>
        <w:rPr>
          <w:spacing w:val="9"/>
        </w:rPr>
        <w:t xml:space="preserve">   </w:t>
      </w:r>
      <w:r>
        <w:rPr>
          <w:spacing w:val="-20"/>
        </w:rPr>
        <w:t>教</w:t>
      </w:r>
      <w:r>
        <w:rPr>
          <w:spacing w:val="7"/>
        </w:rPr>
        <w:t xml:space="preserve">   </w:t>
      </w:r>
      <w:r>
        <w:rPr>
          <w:spacing w:val="-20"/>
        </w:rPr>
        <w:t>材</w:t>
      </w:r>
    </w:p>
    <w:p w14:paraId="6D43A2AC">
      <w:pPr>
        <w:spacing w:line="293" w:lineRule="auto"/>
        <w:rPr>
          <w:rFonts w:ascii="Arial"/>
          <w:sz w:val="21"/>
        </w:rPr>
      </w:pPr>
    </w:p>
    <w:p w14:paraId="06C301AE">
      <w:pPr>
        <w:spacing w:line="293" w:lineRule="auto"/>
        <w:rPr>
          <w:rFonts w:ascii="Arial"/>
          <w:sz w:val="21"/>
        </w:rPr>
      </w:pPr>
    </w:p>
    <w:p w14:paraId="474C1731">
      <w:pPr>
        <w:spacing w:line="293" w:lineRule="auto"/>
        <w:rPr>
          <w:rFonts w:ascii="Arial"/>
          <w:sz w:val="21"/>
        </w:rPr>
      </w:pPr>
    </w:p>
    <w:p w14:paraId="0863B292">
      <w:pPr>
        <w:pStyle w:val="2"/>
        <w:spacing w:before="113" w:line="221" w:lineRule="auto"/>
        <w:ind w:left="2214"/>
        <w:rPr>
          <w:sz w:val="35"/>
          <w:szCs w:val="35"/>
        </w:rPr>
      </w:pPr>
      <w:r>
        <w:rPr>
          <w:b/>
          <w:bCs/>
          <w:spacing w:val="7"/>
          <w:sz w:val="35"/>
          <w:szCs w:val="35"/>
        </w:rPr>
        <w:t>供预防医学类专业用</w:t>
      </w:r>
    </w:p>
    <w:p w14:paraId="49B6CDE5">
      <w:pPr>
        <w:pStyle w:val="2"/>
        <w:spacing w:before="534" w:line="221" w:lineRule="auto"/>
        <w:ind w:left="1055"/>
        <w:rPr>
          <w:sz w:val="111"/>
          <w:szCs w:val="111"/>
        </w:rPr>
      </w:pPr>
      <w:r>
        <w:rPr>
          <w:b/>
          <w:bCs/>
          <w:color w:val="FFFFFF"/>
          <w:spacing w:val="-7"/>
          <w:sz w:val="111"/>
          <w:szCs w:val="111"/>
        </w:rPr>
        <w:t>流行病学</w:t>
      </w:r>
    </w:p>
    <w:p w14:paraId="4D4C149C">
      <w:pPr>
        <w:spacing w:before="55" w:line="196" w:lineRule="auto"/>
        <w:ind w:left="1060"/>
        <w:rPr>
          <w:rFonts w:ascii="Arial" w:hAnsi="Arial" w:eastAsia="Arial" w:cs="Arial"/>
          <w:sz w:val="54"/>
          <w:szCs w:val="54"/>
        </w:rPr>
      </w:pPr>
      <w:r>
        <w:rPr>
          <w:rFonts w:ascii="Arial" w:hAnsi="Arial" w:eastAsia="Arial" w:cs="Arial"/>
          <w:b/>
          <w:bCs/>
          <w:color w:val="FFFFFF"/>
          <w:spacing w:val="-24"/>
          <w:sz w:val="54"/>
          <w:szCs w:val="54"/>
        </w:rPr>
        <w:t>Epidemiology</w:t>
      </w:r>
    </w:p>
    <w:p w14:paraId="67AB26EC">
      <w:pPr>
        <w:spacing w:line="306" w:lineRule="auto"/>
        <w:rPr>
          <w:rFonts w:ascii="Arial"/>
          <w:sz w:val="21"/>
        </w:rPr>
      </w:pPr>
    </w:p>
    <w:p w14:paraId="6D03EFCF">
      <w:pPr>
        <w:spacing w:line="307" w:lineRule="auto"/>
        <w:rPr>
          <w:rFonts w:ascii="Arial"/>
          <w:sz w:val="21"/>
        </w:rPr>
      </w:pPr>
    </w:p>
    <w:p w14:paraId="5622EF43">
      <w:pPr>
        <w:pStyle w:val="2"/>
        <w:spacing w:before="98" w:line="222" w:lineRule="auto"/>
        <w:ind w:left="2214"/>
      </w:pPr>
      <w:r>
        <w:rPr>
          <w:b/>
          <w:bCs/>
          <w:color w:val="102030"/>
          <w:spacing w:val="-9"/>
        </w:rPr>
        <w:t>第</w:t>
      </w:r>
      <w:r>
        <w:rPr>
          <w:color w:val="102030"/>
          <w:spacing w:val="88"/>
        </w:rPr>
        <w:t xml:space="preserve"> </w:t>
      </w:r>
      <w:r>
        <w:rPr>
          <w:b/>
          <w:bCs/>
          <w:color w:val="102030"/>
          <w:spacing w:val="-9"/>
        </w:rPr>
        <w:t>9</w:t>
      </w:r>
      <w:r>
        <w:rPr>
          <w:color w:val="102030"/>
          <w:spacing w:val="98"/>
        </w:rPr>
        <w:t xml:space="preserve"> </w:t>
      </w:r>
      <w:r>
        <w:rPr>
          <w:b/>
          <w:bCs/>
          <w:color w:val="102030"/>
          <w:spacing w:val="-9"/>
        </w:rPr>
        <w:t>版</w:t>
      </w:r>
    </w:p>
    <w:p w14:paraId="5279E07A">
      <w:pPr>
        <w:spacing w:line="281" w:lineRule="auto"/>
        <w:rPr>
          <w:rFonts w:ascii="Arial"/>
          <w:sz w:val="21"/>
        </w:rPr>
      </w:pPr>
    </w:p>
    <w:p w14:paraId="4F47CDBF">
      <w:pPr>
        <w:spacing w:line="281" w:lineRule="auto"/>
        <w:rPr>
          <w:rFonts w:ascii="Arial"/>
          <w:sz w:val="21"/>
        </w:rPr>
      </w:pPr>
    </w:p>
    <w:p w14:paraId="458048D1">
      <w:pPr>
        <w:spacing w:line="281" w:lineRule="auto"/>
        <w:rPr>
          <w:rFonts w:ascii="Arial"/>
          <w:sz w:val="21"/>
        </w:rPr>
      </w:pPr>
    </w:p>
    <w:p w14:paraId="0B4A04B0">
      <w:pPr>
        <w:spacing w:line="282" w:lineRule="auto"/>
        <w:rPr>
          <w:rFonts w:ascii="Arial"/>
          <w:sz w:val="21"/>
        </w:rPr>
      </w:pPr>
    </w:p>
    <w:p w14:paraId="37DC5737">
      <w:pPr>
        <w:spacing w:line="282" w:lineRule="auto"/>
        <w:rPr>
          <w:rFonts w:ascii="Arial"/>
          <w:sz w:val="21"/>
        </w:rPr>
      </w:pPr>
    </w:p>
    <w:p w14:paraId="0ED6B70E">
      <w:pPr>
        <w:pStyle w:val="2"/>
        <w:spacing w:before="98" w:line="222" w:lineRule="auto"/>
        <w:ind w:left="2260"/>
      </w:pPr>
      <w:r>
        <w:rPr>
          <w:spacing w:val="-6"/>
        </w:rPr>
        <w:t>主  审</w:t>
      </w:r>
      <w:r>
        <w:rPr>
          <w:spacing w:val="43"/>
        </w:rPr>
        <w:t xml:space="preserve">  </w:t>
      </w:r>
      <w:r>
        <w:rPr>
          <w:b/>
          <w:bCs/>
          <w:spacing w:val="-6"/>
        </w:rPr>
        <w:t>詹思延</w:t>
      </w:r>
    </w:p>
    <w:p w14:paraId="10A69F10">
      <w:pPr>
        <w:pStyle w:val="2"/>
        <w:spacing w:before="128" w:line="221" w:lineRule="auto"/>
        <w:ind w:left="2260"/>
      </w:pPr>
      <w:r>
        <w:rPr>
          <w:spacing w:val="-12"/>
        </w:rPr>
        <w:t>主</w:t>
      </w:r>
      <w:r>
        <w:rPr>
          <w:spacing w:val="138"/>
        </w:rPr>
        <w:t xml:space="preserve"> </w:t>
      </w:r>
      <w:r>
        <w:rPr>
          <w:spacing w:val="-12"/>
        </w:rPr>
        <w:t>编</w:t>
      </w:r>
      <w:r>
        <w:rPr>
          <w:spacing w:val="36"/>
        </w:rPr>
        <w:t xml:space="preserve">  </w:t>
      </w:r>
      <w:r>
        <w:rPr>
          <w:spacing w:val="-12"/>
        </w:rPr>
        <w:t>吕</w:t>
      </w:r>
      <w:r>
        <w:rPr>
          <w:spacing w:val="7"/>
        </w:rPr>
        <w:t xml:space="preserve">  </w:t>
      </w:r>
      <w:r>
        <w:rPr>
          <w:spacing w:val="-12"/>
        </w:rPr>
        <w:t>筠</w:t>
      </w:r>
      <w:r>
        <w:rPr>
          <w:spacing w:val="30"/>
        </w:rPr>
        <w:t xml:space="preserve">  </w:t>
      </w:r>
      <w:r>
        <w:rPr>
          <w:spacing w:val="-12"/>
        </w:rPr>
        <w:t>胡志斌</w:t>
      </w:r>
    </w:p>
    <w:p w14:paraId="3E0B97A8">
      <w:pPr>
        <w:pStyle w:val="2"/>
        <w:spacing w:before="151" w:line="221" w:lineRule="auto"/>
        <w:ind w:left="2260"/>
      </w:pPr>
      <w:r>
        <w:rPr>
          <w:spacing w:val="-8"/>
        </w:rPr>
        <w:t>副主编</w:t>
      </w:r>
      <w:r>
        <w:rPr>
          <w:spacing w:val="32"/>
        </w:rPr>
        <w:t xml:space="preserve">  </w:t>
      </w:r>
      <w:r>
        <w:rPr>
          <w:spacing w:val="-8"/>
        </w:rPr>
        <w:t>潘  安</w:t>
      </w:r>
      <w:r>
        <w:rPr>
          <w:spacing w:val="36"/>
        </w:rPr>
        <w:t xml:space="preserve">  </w:t>
      </w:r>
      <w:r>
        <w:rPr>
          <w:spacing w:val="-8"/>
        </w:rPr>
        <w:t>李杏莉</w:t>
      </w:r>
      <w:r>
        <w:rPr>
          <w:spacing w:val="37"/>
        </w:rPr>
        <w:t xml:space="preserve">  </w:t>
      </w:r>
      <w:r>
        <w:rPr>
          <w:spacing w:val="-8"/>
        </w:rPr>
        <w:t>王伟炳</w:t>
      </w:r>
    </w:p>
    <w:p w14:paraId="3BBF1862">
      <w:pPr>
        <w:spacing w:line="249" w:lineRule="auto"/>
        <w:rPr>
          <w:rFonts w:ascii="Arial"/>
          <w:sz w:val="21"/>
        </w:rPr>
      </w:pPr>
    </w:p>
    <w:p w14:paraId="4D5916E6">
      <w:pPr>
        <w:spacing w:line="249" w:lineRule="auto"/>
        <w:rPr>
          <w:rFonts w:ascii="Arial"/>
          <w:sz w:val="21"/>
        </w:rPr>
      </w:pPr>
    </w:p>
    <w:p w14:paraId="3C5A4EF6">
      <w:pPr>
        <w:spacing w:line="249" w:lineRule="auto"/>
        <w:rPr>
          <w:rFonts w:ascii="Arial"/>
          <w:sz w:val="21"/>
        </w:rPr>
      </w:pPr>
    </w:p>
    <w:p w14:paraId="348FD0A4">
      <w:pPr>
        <w:spacing w:line="250" w:lineRule="auto"/>
        <w:rPr>
          <w:rFonts w:ascii="Arial"/>
          <w:sz w:val="21"/>
        </w:rPr>
      </w:pPr>
    </w:p>
    <w:p w14:paraId="1C0DAEA2">
      <w:pPr>
        <w:spacing w:line="250" w:lineRule="auto"/>
        <w:rPr>
          <w:rFonts w:ascii="Arial"/>
          <w:sz w:val="21"/>
        </w:rPr>
      </w:pPr>
    </w:p>
    <w:p w14:paraId="62D5C2E4">
      <w:pPr>
        <w:spacing w:line="250" w:lineRule="auto"/>
        <w:rPr>
          <w:rFonts w:ascii="Arial"/>
          <w:sz w:val="21"/>
        </w:rPr>
      </w:pPr>
    </w:p>
    <w:p w14:paraId="43A955B2">
      <w:pPr>
        <w:spacing w:line="250" w:lineRule="auto"/>
        <w:rPr>
          <w:rFonts w:ascii="Arial"/>
          <w:sz w:val="21"/>
        </w:rPr>
      </w:pPr>
    </w:p>
    <w:p w14:paraId="42E5E3F6">
      <w:pPr>
        <w:spacing w:line="250" w:lineRule="auto"/>
        <w:rPr>
          <w:rFonts w:ascii="Arial"/>
          <w:sz w:val="21"/>
        </w:rPr>
      </w:pPr>
    </w:p>
    <w:p w14:paraId="4A020E42">
      <w:pPr>
        <w:spacing w:line="250" w:lineRule="auto"/>
        <w:rPr>
          <w:rFonts w:ascii="Arial"/>
          <w:sz w:val="21"/>
        </w:rPr>
      </w:pPr>
    </w:p>
    <w:p w14:paraId="2E22AE10">
      <w:pPr>
        <w:spacing w:line="250" w:lineRule="auto"/>
        <w:rPr>
          <w:rFonts w:ascii="Arial"/>
          <w:sz w:val="21"/>
        </w:rPr>
      </w:pPr>
    </w:p>
    <w:p w14:paraId="299C4CEC">
      <w:pPr>
        <w:spacing w:line="250" w:lineRule="auto"/>
        <w:rPr>
          <w:rFonts w:ascii="Arial"/>
          <w:sz w:val="21"/>
        </w:rPr>
      </w:pPr>
    </w:p>
    <w:p w14:paraId="3F81A4F0">
      <w:pPr>
        <w:spacing w:line="250" w:lineRule="auto"/>
        <w:rPr>
          <w:rFonts w:ascii="Arial"/>
          <w:sz w:val="21"/>
        </w:rPr>
      </w:pPr>
    </w:p>
    <w:p w14:paraId="32E62D5D">
      <w:pPr>
        <w:spacing w:line="250" w:lineRule="auto"/>
        <w:rPr>
          <w:rFonts w:ascii="Arial"/>
          <w:sz w:val="21"/>
        </w:rPr>
      </w:pPr>
    </w:p>
    <w:p w14:paraId="30BF7B40">
      <w:pPr>
        <w:spacing w:line="250" w:lineRule="auto"/>
        <w:rPr>
          <w:rFonts w:ascii="Arial"/>
          <w:sz w:val="21"/>
        </w:rPr>
      </w:pPr>
    </w:p>
    <w:p w14:paraId="395FAE63">
      <w:pPr>
        <w:spacing w:line="250" w:lineRule="auto"/>
        <w:rPr>
          <w:rFonts w:ascii="Arial"/>
          <w:sz w:val="21"/>
        </w:rPr>
      </w:pPr>
    </w:p>
    <w:p w14:paraId="2C5E39E9">
      <w:pPr>
        <w:spacing w:line="250" w:lineRule="auto"/>
        <w:rPr>
          <w:rFonts w:ascii="Arial"/>
          <w:sz w:val="21"/>
        </w:rPr>
      </w:pPr>
    </w:p>
    <w:p w14:paraId="26B33BA6">
      <w:pPr>
        <w:spacing w:line="250" w:lineRule="auto"/>
        <w:rPr>
          <w:rFonts w:ascii="Arial"/>
          <w:sz w:val="21"/>
        </w:rPr>
      </w:pPr>
      <w:r>
        <w:drawing>
          <wp:anchor distT="0" distB="0" distL="0" distR="0" simplePos="0" relativeHeight="251661312" behindDoc="0" locked="0" layoutInCell="1" allowOverlap="1">
            <wp:simplePos x="0" y="0"/>
            <wp:positionH relativeFrom="column">
              <wp:posOffset>5301615</wp:posOffset>
            </wp:positionH>
            <wp:positionV relativeFrom="paragraph">
              <wp:posOffset>158115</wp:posOffset>
            </wp:positionV>
            <wp:extent cx="469900" cy="438150"/>
            <wp:effectExtent l="0" t="0" r="0" b="0"/>
            <wp:wrapNone/>
            <wp:docPr id="6" name="IM 6"/>
            <wp:cNvGraphicFramePr/>
            <a:graphic xmlns:a="http://schemas.openxmlformats.org/drawingml/2006/main">
              <a:graphicData uri="http://schemas.openxmlformats.org/drawingml/2006/picture">
                <pic:pic xmlns:pic="http://schemas.openxmlformats.org/drawingml/2006/picture">
                  <pic:nvPicPr>
                    <pic:cNvPr id="6" name="IM 6"/>
                    <pic:cNvPicPr/>
                  </pic:nvPicPr>
                  <pic:blipFill>
                    <a:blip r:embed="rId398"/>
                    <a:stretch>
                      <a:fillRect/>
                    </a:stretch>
                  </pic:blipFill>
                  <pic:spPr>
                    <a:xfrm>
                      <a:off x="0" y="0"/>
                      <a:ext cx="469938" cy="438122"/>
                    </a:xfrm>
                    <a:prstGeom prst="rect">
                      <a:avLst/>
                    </a:prstGeom>
                  </pic:spPr>
                </pic:pic>
              </a:graphicData>
            </a:graphic>
          </wp:anchor>
        </w:drawing>
      </w:r>
    </w:p>
    <w:p w14:paraId="6F8C6595">
      <w:pPr>
        <w:spacing w:line="250" w:lineRule="auto"/>
        <w:rPr>
          <w:rFonts w:ascii="Arial"/>
          <w:sz w:val="21"/>
        </w:rPr>
      </w:pPr>
    </w:p>
    <w:p w14:paraId="012C58B6">
      <w:pPr>
        <w:spacing w:line="250" w:lineRule="auto"/>
        <w:rPr>
          <w:rFonts w:ascii="Arial"/>
          <w:sz w:val="21"/>
        </w:rPr>
      </w:pPr>
    </w:p>
    <w:p w14:paraId="57F303F8">
      <w:pPr>
        <w:spacing w:before="35" w:line="192" w:lineRule="auto"/>
        <w:ind w:left="9619"/>
        <w:rPr>
          <w:rFonts w:ascii="Times New Roman" w:hAnsi="Times New Roman" w:eastAsia="Times New Roman" w:cs="Times New Roman"/>
          <w:sz w:val="12"/>
          <w:szCs w:val="12"/>
        </w:rPr>
      </w:pPr>
      <w:r>
        <w:rPr>
          <w:rFonts w:ascii="Times New Roman" w:hAnsi="Times New Roman" w:eastAsia="Times New Roman" w:cs="Times New Roman"/>
          <w:color w:val="B0D0C0"/>
          <w:sz w:val="12"/>
          <w:szCs w:val="12"/>
        </w:rPr>
        <w:t>Digital</w:t>
      </w:r>
      <w:r>
        <w:rPr>
          <w:rFonts w:ascii="Times New Roman" w:hAnsi="Times New Roman" w:eastAsia="Times New Roman" w:cs="Times New Roman"/>
          <w:color w:val="B0D0C0"/>
          <w:spacing w:val="11"/>
          <w:w w:val="102"/>
          <w:sz w:val="12"/>
          <w:szCs w:val="12"/>
        </w:rPr>
        <w:t xml:space="preserve"> </w:t>
      </w:r>
      <w:r>
        <w:rPr>
          <w:rFonts w:ascii="Times New Roman" w:hAnsi="Times New Roman" w:eastAsia="Times New Roman" w:cs="Times New Roman"/>
          <w:color w:val="B0D0C0"/>
          <w:sz w:val="12"/>
          <w:szCs w:val="12"/>
        </w:rPr>
        <w:t>Resources</w:t>
      </w:r>
      <w:r>
        <w:rPr>
          <w:rFonts w:ascii="Times New Roman" w:hAnsi="Times New Roman" w:eastAsia="Times New Roman" w:cs="Times New Roman"/>
          <w:color w:val="B0D0C0"/>
          <w:spacing w:val="14"/>
          <w:sz w:val="12"/>
          <w:szCs w:val="12"/>
        </w:rPr>
        <w:t xml:space="preserve"> </w:t>
      </w:r>
      <w:r>
        <w:rPr>
          <w:rFonts w:ascii="Times New Roman" w:hAnsi="Times New Roman" w:eastAsia="Times New Roman" w:cs="Times New Roman"/>
          <w:color w:val="B0D0C0"/>
          <w:sz w:val="12"/>
          <w:szCs w:val="12"/>
        </w:rPr>
        <w:t>af PHPH</w:t>
      </w:r>
    </w:p>
    <w:p w14:paraId="09D45753">
      <w:pPr>
        <w:spacing w:line="447" w:lineRule="auto"/>
        <w:rPr>
          <w:rFonts w:ascii="Arial"/>
          <w:sz w:val="21"/>
        </w:rPr>
      </w:pPr>
      <w:r>
        <w:drawing>
          <wp:anchor distT="0" distB="0" distL="0" distR="0" simplePos="0" relativeHeight="251662336" behindDoc="0" locked="0" layoutInCell="1" allowOverlap="1">
            <wp:simplePos x="0" y="0"/>
            <wp:positionH relativeFrom="column">
              <wp:posOffset>5086350</wp:posOffset>
            </wp:positionH>
            <wp:positionV relativeFrom="paragraph">
              <wp:posOffset>311150</wp:posOffset>
            </wp:positionV>
            <wp:extent cx="381000" cy="342900"/>
            <wp:effectExtent l="0" t="0" r="0" b="0"/>
            <wp:wrapNone/>
            <wp:docPr id="8" name="IM 8"/>
            <wp:cNvGraphicFramePr/>
            <a:graphic xmlns:a="http://schemas.openxmlformats.org/drawingml/2006/main">
              <a:graphicData uri="http://schemas.openxmlformats.org/drawingml/2006/picture">
                <pic:pic xmlns:pic="http://schemas.openxmlformats.org/drawingml/2006/picture">
                  <pic:nvPicPr>
                    <pic:cNvPr id="8" name="IM 8"/>
                    <pic:cNvPicPr/>
                  </pic:nvPicPr>
                  <pic:blipFill>
                    <a:blip r:embed="rId399"/>
                    <a:stretch>
                      <a:fillRect/>
                    </a:stretch>
                  </pic:blipFill>
                  <pic:spPr>
                    <a:xfrm>
                      <a:off x="0" y="0"/>
                      <a:ext cx="380998" cy="342850"/>
                    </a:xfrm>
                    <a:prstGeom prst="rect">
                      <a:avLst/>
                    </a:prstGeom>
                  </pic:spPr>
                </pic:pic>
              </a:graphicData>
            </a:graphic>
          </wp:anchor>
        </w:drawing>
      </w:r>
    </w:p>
    <w:p w14:paraId="2085BB2A">
      <w:pPr>
        <w:spacing w:before="106" w:line="202" w:lineRule="auto"/>
        <w:ind w:left="8796"/>
        <w:rPr>
          <w:rFonts w:ascii="STXingkai" w:hAnsi="STXingkai" w:eastAsia="STXingkai" w:cs="STXingkai"/>
          <w:sz w:val="31"/>
          <w:szCs w:val="31"/>
        </w:rPr>
      </w:pPr>
      <w:r>
        <w:rPr>
          <w:rFonts w:ascii="STXingkai" w:hAnsi="STXingkai" w:eastAsia="STXingkai" w:cs="STXingkai"/>
          <w:b/>
          <w:bCs/>
          <w:i/>
          <w:iCs/>
          <w:color w:val="FFFFFF"/>
          <w:spacing w:val="-11"/>
          <w:sz w:val="31"/>
          <w:szCs w:val="31"/>
        </w:rPr>
        <w:t>人民卫生出版社</w:t>
      </w:r>
    </w:p>
    <w:p w14:paraId="138A4607">
      <w:pPr>
        <w:spacing w:before="8" w:line="198" w:lineRule="auto"/>
        <w:ind w:left="8709"/>
        <w:rPr>
          <w:rFonts w:ascii="Arial" w:hAnsi="Arial" w:eastAsia="Arial" w:cs="Arial"/>
          <w:sz w:val="12"/>
          <w:szCs w:val="12"/>
        </w:rPr>
      </w:pPr>
      <w:r>
        <w:rPr>
          <w:rFonts w:ascii="Arial" w:hAnsi="Arial" w:eastAsia="Arial" w:cs="Arial"/>
          <w:color w:val="FFFFFF"/>
          <w:spacing w:val="-3"/>
          <w:sz w:val="12"/>
          <w:szCs w:val="12"/>
        </w:rPr>
        <w:t>PEOPLE'S</w:t>
      </w:r>
      <w:r>
        <w:rPr>
          <w:rFonts w:ascii="Arial" w:hAnsi="Arial" w:eastAsia="Arial" w:cs="Arial"/>
          <w:color w:val="FFFFFF"/>
          <w:spacing w:val="8"/>
          <w:sz w:val="12"/>
          <w:szCs w:val="12"/>
        </w:rPr>
        <w:t xml:space="preserve"> </w:t>
      </w:r>
      <w:r>
        <w:rPr>
          <w:rFonts w:ascii="Arial" w:hAnsi="Arial" w:eastAsia="Arial" w:cs="Arial"/>
          <w:color w:val="FFFFFF"/>
          <w:spacing w:val="-3"/>
          <w:sz w:val="12"/>
          <w:szCs w:val="12"/>
        </w:rPr>
        <w:t>MEDICALPUBLISHING</w:t>
      </w:r>
      <w:r>
        <w:rPr>
          <w:rFonts w:ascii="Arial" w:hAnsi="Arial" w:eastAsia="Arial" w:cs="Arial"/>
          <w:color w:val="FFFFFF"/>
          <w:spacing w:val="8"/>
          <w:w w:val="101"/>
          <w:sz w:val="12"/>
          <w:szCs w:val="12"/>
        </w:rPr>
        <w:t xml:space="preserve"> </w:t>
      </w:r>
      <w:r>
        <w:rPr>
          <w:rFonts w:ascii="Arial" w:hAnsi="Arial" w:eastAsia="Arial" w:cs="Arial"/>
          <w:color w:val="FFFFFF"/>
          <w:spacing w:val="-3"/>
          <w:sz w:val="12"/>
          <w:szCs w:val="12"/>
        </w:rPr>
        <w:t>H</w:t>
      </w:r>
      <w:r>
        <w:rPr>
          <w:rFonts w:ascii="Arial" w:hAnsi="Arial" w:eastAsia="Arial" w:cs="Arial"/>
          <w:color w:val="FFFFFF"/>
          <w:spacing w:val="-4"/>
          <w:sz w:val="12"/>
          <w:szCs w:val="12"/>
        </w:rPr>
        <w:t>OUSE</w:t>
      </w:r>
    </w:p>
    <w:p w14:paraId="6E6039DE">
      <w:pPr>
        <w:spacing w:line="198" w:lineRule="auto"/>
        <w:rPr>
          <w:rFonts w:ascii="Arial" w:hAnsi="Arial" w:eastAsia="Arial" w:cs="Arial"/>
          <w:sz w:val="12"/>
          <w:szCs w:val="12"/>
        </w:rPr>
        <w:sectPr>
          <w:headerReference r:id="rId5" w:type="default"/>
          <w:pgSz w:w="11900" w:h="16820"/>
          <w:pgMar w:top="400" w:right="0" w:bottom="0" w:left="0" w:header="0" w:footer="0" w:gutter="0"/>
          <w:cols w:space="720" w:num="1"/>
        </w:sectPr>
      </w:pPr>
    </w:p>
    <w:p w14:paraId="104E286B">
      <w:pPr>
        <w:spacing w:line="348" w:lineRule="auto"/>
        <w:rPr>
          <w:rFonts w:ascii="Arial"/>
          <w:sz w:val="21"/>
        </w:rPr>
      </w:pPr>
    </w:p>
    <w:p w14:paraId="53F1C524">
      <w:pPr>
        <w:pStyle w:val="2"/>
        <w:spacing w:before="78" w:line="239" w:lineRule="auto"/>
        <w:ind w:left="949" w:right="3583"/>
        <w:jc w:val="both"/>
        <w:rPr>
          <w:sz w:val="24"/>
          <w:szCs w:val="24"/>
        </w:rPr>
      </w:pPr>
      <w:r>
        <w:drawing>
          <wp:anchor distT="0" distB="0" distL="0" distR="0" simplePos="0" relativeHeight="251664384" behindDoc="0" locked="0" layoutInCell="1" allowOverlap="1">
            <wp:simplePos x="0" y="0"/>
            <wp:positionH relativeFrom="column">
              <wp:posOffset>0</wp:posOffset>
            </wp:positionH>
            <wp:positionV relativeFrom="paragraph">
              <wp:posOffset>88265</wp:posOffset>
            </wp:positionV>
            <wp:extent cx="431800" cy="438150"/>
            <wp:effectExtent l="0" t="0" r="0" b="0"/>
            <wp:wrapNone/>
            <wp:docPr id="10" name="IM 10"/>
            <wp:cNvGraphicFramePr/>
            <a:graphic xmlns:a="http://schemas.openxmlformats.org/drawingml/2006/main">
              <a:graphicData uri="http://schemas.openxmlformats.org/drawingml/2006/picture">
                <pic:pic xmlns:pic="http://schemas.openxmlformats.org/drawingml/2006/picture">
                  <pic:nvPicPr>
                    <pic:cNvPr id="10" name="IM 10"/>
                    <pic:cNvPicPr/>
                  </pic:nvPicPr>
                  <pic:blipFill>
                    <a:blip r:embed="rId400"/>
                    <a:stretch>
                      <a:fillRect/>
                    </a:stretch>
                  </pic:blipFill>
                  <pic:spPr>
                    <a:xfrm>
                      <a:off x="0" y="0"/>
                      <a:ext cx="431778" cy="438229"/>
                    </a:xfrm>
                    <a:prstGeom prst="rect">
                      <a:avLst/>
                    </a:prstGeom>
                  </pic:spPr>
                </pic:pic>
              </a:graphicData>
            </a:graphic>
          </wp:anchor>
        </w:drawing>
      </w:r>
      <w:r>
        <w:drawing>
          <wp:anchor distT="0" distB="0" distL="0" distR="0" simplePos="0" relativeHeight="251663360" behindDoc="0" locked="0" layoutInCell="1" allowOverlap="1">
            <wp:simplePos x="0" y="0"/>
            <wp:positionH relativeFrom="column">
              <wp:posOffset>3783965</wp:posOffset>
            </wp:positionH>
            <wp:positionV relativeFrom="paragraph">
              <wp:posOffset>75565</wp:posOffset>
            </wp:positionV>
            <wp:extent cx="450850" cy="476250"/>
            <wp:effectExtent l="0" t="0" r="0" b="0"/>
            <wp:wrapNone/>
            <wp:docPr id="12" name="IM 12"/>
            <wp:cNvGraphicFramePr/>
            <a:graphic xmlns:a="http://schemas.openxmlformats.org/drawingml/2006/main">
              <a:graphicData uri="http://schemas.openxmlformats.org/drawingml/2006/picture">
                <pic:pic xmlns:pic="http://schemas.openxmlformats.org/drawingml/2006/picture">
                  <pic:nvPicPr>
                    <pic:cNvPr id="12" name="IM 12"/>
                    <pic:cNvPicPr/>
                  </pic:nvPicPr>
                  <pic:blipFill>
                    <a:blip r:embed="rId401"/>
                    <a:stretch>
                      <a:fillRect/>
                    </a:stretch>
                  </pic:blipFill>
                  <pic:spPr>
                    <a:xfrm>
                      <a:off x="0" y="0"/>
                      <a:ext cx="450820" cy="476252"/>
                    </a:xfrm>
                    <a:prstGeom prst="rect">
                      <a:avLst/>
                    </a:prstGeom>
                  </pic:spPr>
                </pic:pic>
              </a:graphicData>
            </a:graphic>
          </wp:anchor>
        </w:drawing>
      </w:r>
      <w:r>
        <w:rPr>
          <w:spacing w:val="-21"/>
          <w:w w:val="99"/>
          <w:sz w:val="24"/>
          <w:szCs w:val="24"/>
        </w:rPr>
        <w:t>第8版获首届全国教材建设奖全国优秀教材二等奖</w:t>
      </w:r>
      <w:r>
        <w:rPr>
          <w:spacing w:val="21"/>
          <w:sz w:val="24"/>
          <w:szCs w:val="24"/>
        </w:rPr>
        <w:t xml:space="preserve"> </w:t>
      </w:r>
      <w:r>
        <w:rPr>
          <w:spacing w:val="19"/>
          <w:sz w:val="24"/>
          <w:szCs w:val="24"/>
        </w:rPr>
        <w:t>国家卫生健康委员会“十四五”规划教材</w:t>
      </w:r>
      <w:r>
        <w:rPr>
          <w:spacing w:val="8"/>
          <w:sz w:val="24"/>
          <w:szCs w:val="24"/>
        </w:rPr>
        <w:t xml:space="preserve"> </w:t>
      </w:r>
      <w:r>
        <w:rPr>
          <w:spacing w:val="-13"/>
          <w:sz w:val="24"/>
          <w:szCs w:val="24"/>
        </w:rPr>
        <w:t>全</w:t>
      </w:r>
      <w:r>
        <w:rPr>
          <w:spacing w:val="18"/>
          <w:sz w:val="24"/>
          <w:szCs w:val="24"/>
        </w:rPr>
        <w:t xml:space="preserve">   </w:t>
      </w:r>
      <w:r>
        <w:rPr>
          <w:spacing w:val="-13"/>
          <w:sz w:val="24"/>
          <w:szCs w:val="24"/>
        </w:rPr>
        <w:t>国</w:t>
      </w:r>
      <w:r>
        <w:rPr>
          <w:spacing w:val="15"/>
          <w:sz w:val="24"/>
          <w:szCs w:val="24"/>
        </w:rPr>
        <w:t xml:space="preserve">   </w:t>
      </w:r>
      <w:r>
        <w:rPr>
          <w:spacing w:val="-13"/>
          <w:sz w:val="24"/>
          <w:szCs w:val="24"/>
        </w:rPr>
        <w:t>高</w:t>
      </w:r>
      <w:r>
        <w:rPr>
          <w:spacing w:val="18"/>
          <w:sz w:val="24"/>
          <w:szCs w:val="24"/>
        </w:rPr>
        <w:t xml:space="preserve">   </w:t>
      </w:r>
      <w:r>
        <w:rPr>
          <w:spacing w:val="-13"/>
          <w:sz w:val="24"/>
          <w:szCs w:val="24"/>
        </w:rPr>
        <w:t>等</w:t>
      </w:r>
      <w:r>
        <w:rPr>
          <w:spacing w:val="13"/>
          <w:sz w:val="24"/>
          <w:szCs w:val="24"/>
        </w:rPr>
        <w:t xml:space="preserve">   </w:t>
      </w:r>
      <w:r>
        <w:rPr>
          <w:spacing w:val="-13"/>
          <w:sz w:val="24"/>
          <w:szCs w:val="24"/>
        </w:rPr>
        <w:t>学</w:t>
      </w:r>
      <w:r>
        <w:rPr>
          <w:spacing w:val="19"/>
          <w:sz w:val="24"/>
          <w:szCs w:val="24"/>
        </w:rPr>
        <w:t xml:space="preserve">   </w:t>
      </w:r>
      <w:r>
        <w:rPr>
          <w:spacing w:val="-13"/>
          <w:sz w:val="24"/>
          <w:szCs w:val="24"/>
        </w:rPr>
        <w:t>校</w:t>
      </w:r>
      <w:r>
        <w:rPr>
          <w:spacing w:val="16"/>
          <w:sz w:val="24"/>
          <w:szCs w:val="24"/>
        </w:rPr>
        <w:t xml:space="preserve">   </w:t>
      </w:r>
      <w:r>
        <w:rPr>
          <w:spacing w:val="-13"/>
          <w:sz w:val="24"/>
          <w:szCs w:val="24"/>
        </w:rPr>
        <w:t>教</w:t>
      </w:r>
      <w:r>
        <w:rPr>
          <w:spacing w:val="12"/>
          <w:sz w:val="24"/>
          <w:szCs w:val="24"/>
        </w:rPr>
        <w:t xml:space="preserve">   </w:t>
      </w:r>
      <w:r>
        <w:rPr>
          <w:spacing w:val="-13"/>
          <w:sz w:val="24"/>
          <w:szCs w:val="24"/>
        </w:rPr>
        <w:t>材</w:t>
      </w:r>
    </w:p>
    <w:p w14:paraId="49A7E17F">
      <w:pPr>
        <w:spacing w:line="278" w:lineRule="auto"/>
        <w:rPr>
          <w:rFonts w:ascii="Arial"/>
          <w:sz w:val="21"/>
        </w:rPr>
      </w:pPr>
    </w:p>
    <w:p w14:paraId="35FD6C78">
      <w:pPr>
        <w:spacing w:line="278" w:lineRule="auto"/>
        <w:rPr>
          <w:rFonts w:ascii="Arial"/>
          <w:sz w:val="21"/>
        </w:rPr>
      </w:pPr>
    </w:p>
    <w:p w14:paraId="0DFB7BB0">
      <w:pPr>
        <w:spacing w:line="279" w:lineRule="auto"/>
        <w:rPr>
          <w:rFonts w:ascii="Arial"/>
          <w:sz w:val="21"/>
        </w:rPr>
      </w:pPr>
    </w:p>
    <w:p w14:paraId="27B4D90F">
      <w:pPr>
        <w:spacing w:line="279" w:lineRule="auto"/>
        <w:rPr>
          <w:rFonts w:ascii="Arial"/>
          <w:sz w:val="21"/>
        </w:rPr>
      </w:pPr>
    </w:p>
    <w:p w14:paraId="781C4B2F">
      <w:pPr>
        <w:pStyle w:val="2"/>
        <w:spacing w:before="104" w:line="221" w:lineRule="auto"/>
        <w:ind w:left="954"/>
        <w:rPr>
          <w:sz w:val="32"/>
          <w:szCs w:val="32"/>
        </w:rPr>
      </w:pPr>
      <w:r>
        <w:rPr>
          <w:b/>
          <w:bCs/>
          <w:spacing w:val="39"/>
          <w:sz w:val="32"/>
          <w:szCs w:val="32"/>
        </w:rPr>
        <w:t>供预防医学类专业用</w:t>
      </w:r>
    </w:p>
    <w:p w14:paraId="76E2247C">
      <w:pPr>
        <w:spacing w:line="374" w:lineRule="auto"/>
        <w:rPr>
          <w:rFonts w:ascii="Arial"/>
          <w:sz w:val="21"/>
        </w:rPr>
      </w:pPr>
    </w:p>
    <w:p w14:paraId="16E87F51">
      <w:pPr>
        <w:pStyle w:val="2"/>
        <w:spacing w:before="312" w:line="221" w:lineRule="auto"/>
        <w:ind w:left="963"/>
        <w:rPr>
          <w:sz w:val="96"/>
          <w:szCs w:val="96"/>
        </w:rPr>
      </w:pPr>
      <w:r>
        <w:rPr>
          <w:b/>
          <w:bCs/>
          <w:spacing w:val="20"/>
          <w:sz w:val="96"/>
          <w:szCs w:val="96"/>
        </w:rPr>
        <w:t>流行病学</w:t>
      </w:r>
    </w:p>
    <w:p w14:paraId="2B9460FA">
      <w:pPr>
        <w:spacing w:before="150" w:line="196" w:lineRule="auto"/>
        <w:ind w:left="949"/>
        <w:rPr>
          <w:rFonts w:ascii="Arial" w:hAnsi="Arial" w:eastAsia="Arial" w:cs="Arial"/>
          <w:sz w:val="43"/>
          <w:szCs w:val="43"/>
        </w:rPr>
      </w:pPr>
      <w:r>
        <w:rPr>
          <w:rFonts w:ascii="Arial" w:hAnsi="Arial" w:eastAsia="Arial" w:cs="Arial"/>
          <w:b/>
          <w:bCs/>
          <w:spacing w:val="-3"/>
          <w:sz w:val="43"/>
          <w:szCs w:val="43"/>
        </w:rPr>
        <w:t>Epidemiology</w:t>
      </w:r>
    </w:p>
    <w:p w14:paraId="1EE875AB">
      <w:pPr>
        <w:spacing w:line="348" w:lineRule="auto"/>
        <w:rPr>
          <w:rFonts w:ascii="Arial"/>
          <w:sz w:val="21"/>
        </w:rPr>
      </w:pPr>
    </w:p>
    <w:p w14:paraId="285F1EFA">
      <w:pPr>
        <w:spacing w:line="349" w:lineRule="auto"/>
        <w:rPr>
          <w:rFonts w:ascii="Arial"/>
          <w:sz w:val="21"/>
        </w:rPr>
      </w:pPr>
    </w:p>
    <w:p w14:paraId="6290BD2E">
      <w:pPr>
        <w:pStyle w:val="2"/>
        <w:spacing w:before="104" w:line="222" w:lineRule="auto"/>
        <w:ind w:left="954"/>
        <w:rPr>
          <w:sz w:val="32"/>
          <w:szCs w:val="32"/>
        </w:rPr>
      </w:pPr>
      <w:r>
        <w:rPr>
          <w:b/>
          <w:bCs/>
          <w:spacing w:val="-9"/>
          <w:sz w:val="32"/>
          <w:szCs w:val="32"/>
        </w:rPr>
        <w:t>第</w:t>
      </w:r>
      <w:r>
        <w:rPr>
          <w:spacing w:val="-18"/>
          <w:sz w:val="32"/>
          <w:szCs w:val="32"/>
        </w:rPr>
        <w:t xml:space="preserve"> </w:t>
      </w:r>
      <w:r>
        <w:rPr>
          <w:b/>
          <w:bCs/>
          <w:spacing w:val="-9"/>
          <w:sz w:val="32"/>
          <w:szCs w:val="32"/>
        </w:rPr>
        <w:t>9</w:t>
      </w:r>
      <w:r>
        <w:rPr>
          <w:spacing w:val="94"/>
          <w:sz w:val="32"/>
          <w:szCs w:val="32"/>
        </w:rPr>
        <w:t xml:space="preserve"> </w:t>
      </w:r>
      <w:r>
        <w:rPr>
          <w:b/>
          <w:bCs/>
          <w:spacing w:val="-9"/>
          <w:sz w:val="32"/>
          <w:szCs w:val="32"/>
        </w:rPr>
        <w:t>版</w:t>
      </w:r>
    </w:p>
    <w:p w14:paraId="179E2C94">
      <w:pPr>
        <w:spacing w:line="286" w:lineRule="auto"/>
        <w:rPr>
          <w:rFonts w:ascii="Arial"/>
          <w:sz w:val="21"/>
        </w:rPr>
      </w:pPr>
    </w:p>
    <w:p w14:paraId="639C645B">
      <w:pPr>
        <w:spacing w:line="286" w:lineRule="auto"/>
        <w:rPr>
          <w:rFonts w:ascii="Arial"/>
          <w:sz w:val="21"/>
        </w:rPr>
      </w:pPr>
    </w:p>
    <w:p w14:paraId="28353049">
      <w:pPr>
        <w:spacing w:line="286" w:lineRule="auto"/>
        <w:rPr>
          <w:rFonts w:ascii="Arial"/>
          <w:sz w:val="21"/>
        </w:rPr>
      </w:pPr>
    </w:p>
    <w:p w14:paraId="0B4C6970">
      <w:pPr>
        <w:spacing w:line="286" w:lineRule="auto"/>
        <w:rPr>
          <w:rFonts w:ascii="Arial"/>
          <w:sz w:val="21"/>
        </w:rPr>
      </w:pPr>
    </w:p>
    <w:p w14:paraId="7ED97FEE">
      <w:pPr>
        <w:spacing w:line="287" w:lineRule="auto"/>
        <w:rPr>
          <w:rFonts w:ascii="Arial"/>
          <w:sz w:val="21"/>
        </w:rPr>
      </w:pPr>
    </w:p>
    <w:p w14:paraId="62EC6474">
      <w:pPr>
        <w:pStyle w:val="2"/>
        <w:spacing w:before="78" w:line="222" w:lineRule="auto"/>
        <w:ind w:left="949"/>
        <w:rPr>
          <w:sz w:val="24"/>
          <w:szCs w:val="24"/>
        </w:rPr>
      </w:pPr>
      <w:r>
        <w:rPr>
          <w:spacing w:val="-5"/>
          <w:sz w:val="24"/>
          <w:szCs w:val="24"/>
        </w:rPr>
        <w:t>主  审  詹思延</w:t>
      </w:r>
    </w:p>
    <w:p w14:paraId="7735350F">
      <w:pPr>
        <w:pStyle w:val="2"/>
        <w:spacing w:before="99" w:line="221" w:lineRule="auto"/>
        <w:ind w:left="949"/>
        <w:rPr>
          <w:sz w:val="24"/>
          <w:szCs w:val="24"/>
        </w:rPr>
      </w:pPr>
      <w:r>
        <w:rPr>
          <w:spacing w:val="-7"/>
          <w:sz w:val="24"/>
          <w:szCs w:val="24"/>
        </w:rPr>
        <w:t>主  编</w:t>
      </w:r>
      <w:r>
        <w:rPr>
          <w:spacing w:val="11"/>
          <w:sz w:val="24"/>
          <w:szCs w:val="24"/>
        </w:rPr>
        <w:t xml:space="preserve">  </w:t>
      </w:r>
      <w:r>
        <w:rPr>
          <w:spacing w:val="-7"/>
          <w:sz w:val="24"/>
          <w:szCs w:val="24"/>
        </w:rPr>
        <w:t>吕</w:t>
      </w:r>
      <w:r>
        <w:rPr>
          <w:spacing w:val="108"/>
          <w:sz w:val="24"/>
          <w:szCs w:val="24"/>
        </w:rPr>
        <w:t xml:space="preserve"> </w:t>
      </w:r>
      <w:r>
        <w:rPr>
          <w:spacing w:val="-7"/>
          <w:sz w:val="24"/>
          <w:szCs w:val="24"/>
        </w:rPr>
        <w:t>筠  胡志斌</w:t>
      </w:r>
    </w:p>
    <w:p w14:paraId="187A7B4A">
      <w:pPr>
        <w:pStyle w:val="2"/>
        <w:spacing w:before="83" w:line="221" w:lineRule="auto"/>
        <w:ind w:left="949"/>
        <w:rPr>
          <w:sz w:val="24"/>
          <w:szCs w:val="24"/>
        </w:rPr>
      </w:pPr>
      <w:r>
        <w:rPr>
          <w:spacing w:val="-3"/>
          <w:sz w:val="24"/>
          <w:szCs w:val="24"/>
        </w:rPr>
        <w:t>副主编</w:t>
      </w:r>
      <w:r>
        <w:rPr>
          <w:spacing w:val="107"/>
          <w:sz w:val="24"/>
          <w:szCs w:val="24"/>
        </w:rPr>
        <w:t xml:space="preserve"> </w:t>
      </w:r>
      <w:r>
        <w:rPr>
          <w:spacing w:val="-3"/>
          <w:sz w:val="24"/>
          <w:szCs w:val="24"/>
        </w:rPr>
        <w:t>潘</w:t>
      </w:r>
      <w:r>
        <w:rPr>
          <w:spacing w:val="112"/>
          <w:sz w:val="24"/>
          <w:szCs w:val="24"/>
        </w:rPr>
        <w:t xml:space="preserve"> </w:t>
      </w:r>
      <w:r>
        <w:rPr>
          <w:spacing w:val="-3"/>
          <w:sz w:val="24"/>
          <w:szCs w:val="24"/>
        </w:rPr>
        <w:t>安  李杏莉</w:t>
      </w:r>
      <w:r>
        <w:rPr>
          <w:spacing w:val="100"/>
          <w:sz w:val="24"/>
          <w:szCs w:val="24"/>
        </w:rPr>
        <w:t xml:space="preserve"> </w:t>
      </w:r>
      <w:r>
        <w:rPr>
          <w:spacing w:val="-3"/>
          <w:sz w:val="24"/>
          <w:szCs w:val="24"/>
        </w:rPr>
        <w:t>王伟炳</w:t>
      </w:r>
    </w:p>
    <w:p w14:paraId="739CA7BB">
      <w:pPr>
        <w:spacing w:line="402" w:lineRule="auto"/>
        <w:rPr>
          <w:rFonts w:ascii="Arial"/>
          <w:sz w:val="21"/>
        </w:rPr>
      </w:pPr>
    </w:p>
    <w:p w14:paraId="224FD4C7">
      <w:pPr>
        <w:pStyle w:val="2"/>
        <w:spacing w:before="78" w:line="221" w:lineRule="auto"/>
        <w:ind w:left="949"/>
        <w:rPr>
          <w:sz w:val="24"/>
          <w:szCs w:val="24"/>
        </w:rPr>
      </w:pPr>
      <w:r>
        <w:rPr>
          <w:spacing w:val="-10"/>
          <w:sz w:val="24"/>
          <w:szCs w:val="24"/>
        </w:rPr>
        <w:t>数</w:t>
      </w:r>
      <w:r>
        <w:rPr>
          <w:spacing w:val="-27"/>
          <w:sz w:val="24"/>
          <w:szCs w:val="24"/>
        </w:rPr>
        <w:t xml:space="preserve"> </w:t>
      </w:r>
      <w:r>
        <w:rPr>
          <w:spacing w:val="-10"/>
          <w:sz w:val="24"/>
          <w:szCs w:val="24"/>
        </w:rPr>
        <w:t>字</w:t>
      </w:r>
      <w:r>
        <w:rPr>
          <w:spacing w:val="-31"/>
          <w:sz w:val="24"/>
          <w:szCs w:val="24"/>
        </w:rPr>
        <w:t xml:space="preserve"> </w:t>
      </w:r>
      <w:r>
        <w:rPr>
          <w:spacing w:val="-10"/>
          <w:sz w:val="24"/>
          <w:szCs w:val="24"/>
        </w:rPr>
        <w:t>主</w:t>
      </w:r>
      <w:r>
        <w:rPr>
          <w:spacing w:val="-38"/>
          <w:sz w:val="24"/>
          <w:szCs w:val="24"/>
        </w:rPr>
        <w:t xml:space="preserve"> </w:t>
      </w:r>
      <w:r>
        <w:rPr>
          <w:spacing w:val="-10"/>
          <w:sz w:val="24"/>
          <w:szCs w:val="24"/>
        </w:rPr>
        <w:t>编</w:t>
      </w:r>
      <w:r>
        <w:rPr>
          <w:spacing w:val="95"/>
          <w:sz w:val="24"/>
          <w:szCs w:val="24"/>
        </w:rPr>
        <w:t xml:space="preserve"> </w:t>
      </w:r>
      <w:r>
        <w:rPr>
          <w:spacing w:val="-10"/>
          <w:sz w:val="24"/>
          <w:szCs w:val="24"/>
        </w:rPr>
        <w:t>胡</w:t>
      </w:r>
      <w:r>
        <w:rPr>
          <w:spacing w:val="-34"/>
          <w:sz w:val="24"/>
          <w:szCs w:val="24"/>
        </w:rPr>
        <w:t xml:space="preserve"> </w:t>
      </w:r>
      <w:r>
        <w:rPr>
          <w:spacing w:val="-10"/>
          <w:sz w:val="24"/>
          <w:szCs w:val="24"/>
        </w:rPr>
        <w:t>志</w:t>
      </w:r>
      <w:r>
        <w:rPr>
          <w:spacing w:val="-36"/>
          <w:sz w:val="24"/>
          <w:szCs w:val="24"/>
        </w:rPr>
        <w:t xml:space="preserve"> </w:t>
      </w:r>
      <w:r>
        <w:rPr>
          <w:spacing w:val="-10"/>
          <w:sz w:val="24"/>
          <w:szCs w:val="24"/>
        </w:rPr>
        <w:t>斌</w:t>
      </w:r>
      <w:r>
        <w:rPr>
          <w:spacing w:val="-33"/>
          <w:sz w:val="24"/>
          <w:szCs w:val="24"/>
        </w:rPr>
        <w:t xml:space="preserve"> </w:t>
      </w:r>
      <w:r>
        <w:rPr>
          <w:spacing w:val="-10"/>
          <w:sz w:val="24"/>
          <w:szCs w:val="24"/>
        </w:rPr>
        <w:t>潘</w:t>
      </w:r>
      <w:r>
        <w:rPr>
          <w:spacing w:val="103"/>
          <w:sz w:val="24"/>
          <w:szCs w:val="24"/>
        </w:rPr>
        <w:t xml:space="preserve"> </w:t>
      </w:r>
      <w:r>
        <w:rPr>
          <w:spacing w:val="-10"/>
          <w:sz w:val="24"/>
          <w:szCs w:val="24"/>
        </w:rPr>
        <w:t>安</w:t>
      </w:r>
    </w:p>
    <w:p w14:paraId="60A025A4">
      <w:pPr>
        <w:pStyle w:val="2"/>
        <w:spacing w:before="83" w:line="221" w:lineRule="auto"/>
        <w:ind w:left="949"/>
        <w:rPr>
          <w:sz w:val="24"/>
          <w:szCs w:val="24"/>
        </w:rPr>
      </w:pPr>
      <w:r>
        <w:rPr>
          <w:spacing w:val="-2"/>
          <w:sz w:val="24"/>
          <w:szCs w:val="24"/>
        </w:rPr>
        <w:t>数字副主编</w:t>
      </w:r>
      <w:r>
        <w:rPr>
          <w:spacing w:val="110"/>
          <w:sz w:val="24"/>
          <w:szCs w:val="24"/>
        </w:rPr>
        <w:t xml:space="preserve"> </w:t>
      </w:r>
      <w:r>
        <w:rPr>
          <w:spacing w:val="-2"/>
          <w:sz w:val="24"/>
          <w:szCs w:val="24"/>
        </w:rPr>
        <w:t>李杏莉</w:t>
      </w:r>
      <w:r>
        <w:rPr>
          <w:spacing w:val="100"/>
          <w:sz w:val="24"/>
          <w:szCs w:val="24"/>
        </w:rPr>
        <w:t xml:space="preserve"> </w:t>
      </w:r>
      <w:r>
        <w:rPr>
          <w:spacing w:val="-2"/>
          <w:sz w:val="24"/>
          <w:szCs w:val="24"/>
        </w:rPr>
        <w:t>寇长贵</w:t>
      </w:r>
      <w:r>
        <w:rPr>
          <w:spacing w:val="81"/>
          <w:sz w:val="24"/>
          <w:szCs w:val="24"/>
        </w:rPr>
        <w:t xml:space="preserve"> </w:t>
      </w:r>
      <w:r>
        <w:rPr>
          <w:spacing w:val="-2"/>
          <w:sz w:val="24"/>
          <w:szCs w:val="24"/>
        </w:rPr>
        <w:t>余灿清</w:t>
      </w:r>
    </w:p>
    <w:p w14:paraId="5D2A3DC1">
      <w:pPr>
        <w:spacing w:line="246" w:lineRule="auto"/>
        <w:rPr>
          <w:rFonts w:ascii="Arial"/>
          <w:sz w:val="21"/>
        </w:rPr>
      </w:pPr>
    </w:p>
    <w:p w14:paraId="04E9C685">
      <w:pPr>
        <w:spacing w:line="246" w:lineRule="auto"/>
        <w:rPr>
          <w:rFonts w:ascii="Arial"/>
          <w:sz w:val="21"/>
        </w:rPr>
      </w:pPr>
    </w:p>
    <w:p w14:paraId="68BE4C7D">
      <w:pPr>
        <w:spacing w:line="246" w:lineRule="auto"/>
        <w:rPr>
          <w:rFonts w:ascii="Arial"/>
          <w:sz w:val="21"/>
        </w:rPr>
      </w:pPr>
    </w:p>
    <w:p w14:paraId="3E07C055">
      <w:pPr>
        <w:spacing w:line="246" w:lineRule="auto"/>
        <w:rPr>
          <w:rFonts w:ascii="Arial"/>
          <w:sz w:val="21"/>
        </w:rPr>
      </w:pPr>
    </w:p>
    <w:p w14:paraId="22695DC8">
      <w:pPr>
        <w:spacing w:line="246" w:lineRule="auto"/>
        <w:rPr>
          <w:rFonts w:ascii="Arial"/>
          <w:sz w:val="21"/>
        </w:rPr>
      </w:pPr>
    </w:p>
    <w:p w14:paraId="2248CD40">
      <w:pPr>
        <w:spacing w:line="246" w:lineRule="auto"/>
        <w:rPr>
          <w:rFonts w:ascii="Arial"/>
          <w:sz w:val="21"/>
        </w:rPr>
      </w:pPr>
    </w:p>
    <w:p w14:paraId="30BCCDD4">
      <w:pPr>
        <w:spacing w:line="246" w:lineRule="auto"/>
        <w:rPr>
          <w:rFonts w:ascii="Arial"/>
          <w:sz w:val="21"/>
        </w:rPr>
      </w:pPr>
    </w:p>
    <w:p w14:paraId="4916CBDC">
      <w:pPr>
        <w:spacing w:line="246" w:lineRule="auto"/>
        <w:rPr>
          <w:rFonts w:ascii="Arial"/>
          <w:sz w:val="21"/>
        </w:rPr>
      </w:pPr>
    </w:p>
    <w:p w14:paraId="4CBC232E">
      <w:pPr>
        <w:spacing w:line="246" w:lineRule="auto"/>
        <w:rPr>
          <w:rFonts w:ascii="Arial"/>
          <w:sz w:val="21"/>
        </w:rPr>
      </w:pPr>
    </w:p>
    <w:p w14:paraId="75826F03">
      <w:pPr>
        <w:spacing w:line="246" w:lineRule="auto"/>
        <w:rPr>
          <w:rFonts w:ascii="Arial"/>
          <w:sz w:val="21"/>
        </w:rPr>
      </w:pPr>
    </w:p>
    <w:p w14:paraId="18BACF1D">
      <w:pPr>
        <w:spacing w:line="246" w:lineRule="auto"/>
        <w:rPr>
          <w:rFonts w:ascii="Arial"/>
          <w:sz w:val="21"/>
        </w:rPr>
      </w:pPr>
    </w:p>
    <w:p w14:paraId="585C3184">
      <w:pPr>
        <w:spacing w:line="246" w:lineRule="auto"/>
        <w:rPr>
          <w:rFonts w:ascii="Arial"/>
          <w:sz w:val="21"/>
        </w:rPr>
      </w:pPr>
    </w:p>
    <w:p w14:paraId="2EF35707">
      <w:pPr>
        <w:spacing w:line="246" w:lineRule="auto"/>
        <w:rPr>
          <w:rFonts w:ascii="Arial"/>
          <w:sz w:val="21"/>
        </w:rPr>
      </w:pPr>
    </w:p>
    <w:p w14:paraId="3BDE42EF">
      <w:pPr>
        <w:spacing w:line="247" w:lineRule="auto"/>
        <w:rPr>
          <w:rFonts w:ascii="Arial"/>
          <w:sz w:val="21"/>
        </w:rPr>
      </w:pPr>
    </w:p>
    <w:p w14:paraId="36CA2E86">
      <w:pPr>
        <w:spacing w:line="247" w:lineRule="auto"/>
        <w:rPr>
          <w:rFonts w:ascii="Arial"/>
          <w:sz w:val="21"/>
        </w:rPr>
      </w:pPr>
    </w:p>
    <w:p w14:paraId="0B2A7DBE">
      <w:pPr>
        <w:spacing w:line="247" w:lineRule="auto"/>
        <w:rPr>
          <w:rFonts w:ascii="Arial"/>
          <w:sz w:val="21"/>
        </w:rPr>
      </w:pPr>
    </w:p>
    <w:p w14:paraId="256725D3">
      <w:pPr>
        <w:spacing w:before="110" w:line="207" w:lineRule="auto"/>
        <w:ind w:left="6614"/>
        <w:rPr>
          <w:rFonts w:ascii="STXingkai" w:hAnsi="STXingkai" w:eastAsia="STXingkai" w:cs="STXingkai"/>
          <w:sz w:val="32"/>
          <w:szCs w:val="32"/>
        </w:rPr>
      </w:pPr>
      <w:r>
        <w:rPr>
          <w:rFonts w:ascii="STXingkai" w:hAnsi="STXingkai" w:eastAsia="STXingkai" w:cs="STXingkai"/>
          <w:b/>
          <w:bCs/>
          <w:spacing w:val="21"/>
          <w:sz w:val="32"/>
          <w:szCs w:val="32"/>
        </w:rPr>
        <w:t>人民卫生出版社</w:t>
      </w:r>
    </w:p>
    <w:p w14:paraId="3B8F6CDC">
      <w:pPr>
        <w:spacing w:before="21" w:line="219" w:lineRule="auto"/>
        <w:ind w:left="7362"/>
        <w:rPr>
          <w:rFonts w:ascii="宋体" w:hAnsi="宋体" w:eastAsia="宋体" w:cs="宋体"/>
          <w:sz w:val="24"/>
          <w:szCs w:val="24"/>
        </w:rPr>
      </w:pPr>
      <w:r>
        <w:rPr>
          <w:rFonts w:ascii="宋体" w:hAnsi="宋体" w:eastAsia="宋体" w:cs="宋体"/>
          <w:b/>
          <w:bCs/>
          <w:spacing w:val="-56"/>
          <w:sz w:val="24"/>
          <w:szCs w:val="24"/>
        </w:rPr>
        <w:t>·北</w:t>
      </w:r>
      <w:r>
        <w:rPr>
          <w:rFonts w:ascii="宋体" w:hAnsi="宋体" w:eastAsia="宋体" w:cs="宋体"/>
          <w:spacing w:val="118"/>
          <w:sz w:val="24"/>
          <w:szCs w:val="24"/>
        </w:rPr>
        <w:t xml:space="preserve"> </w:t>
      </w:r>
      <w:r>
        <w:rPr>
          <w:rFonts w:ascii="宋体" w:hAnsi="宋体" w:eastAsia="宋体" w:cs="宋体"/>
          <w:b/>
          <w:bCs/>
          <w:spacing w:val="-56"/>
          <w:sz w:val="24"/>
          <w:szCs w:val="24"/>
        </w:rPr>
        <w:t>京</w:t>
      </w:r>
      <w:r>
        <w:rPr>
          <w:rFonts w:ascii="宋体" w:hAnsi="宋体" w:eastAsia="宋体" w:cs="宋体"/>
          <w:spacing w:val="-40"/>
          <w:sz w:val="24"/>
          <w:szCs w:val="24"/>
        </w:rPr>
        <w:t xml:space="preserve"> </w:t>
      </w:r>
      <w:r>
        <w:rPr>
          <w:rFonts w:ascii="宋体" w:hAnsi="宋体" w:eastAsia="宋体" w:cs="宋体"/>
          <w:b/>
          <w:bCs/>
          <w:spacing w:val="-56"/>
          <w:sz w:val="24"/>
          <w:szCs w:val="24"/>
        </w:rPr>
        <w:t>·</w:t>
      </w:r>
    </w:p>
    <w:p w14:paraId="346224BF">
      <w:pPr>
        <w:spacing w:line="219" w:lineRule="auto"/>
        <w:rPr>
          <w:rFonts w:ascii="宋体" w:hAnsi="宋体" w:eastAsia="宋体" w:cs="宋体"/>
          <w:sz w:val="24"/>
          <w:szCs w:val="24"/>
        </w:rPr>
        <w:sectPr>
          <w:headerReference r:id="rId6" w:type="default"/>
          <w:pgSz w:w="11900" w:h="16820"/>
          <w:pgMar w:top="400" w:right="1785" w:bottom="0" w:left="909" w:header="0" w:footer="0" w:gutter="0"/>
          <w:cols w:space="720" w:num="1"/>
        </w:sectPr>
      </w:pPr>
    </w:p>
    <w:p w14:paraId="082F55EC">
      <w:pPr>
        <w:spacing w:line="309" w:lineRule="auto"/>
        <w:rPr>
          <w:rFonts w:ascii="Arial"/>
          <w:sz w:val="21"/>
        </w:rPr>
      </w:pPr>
    </w:p>
    <w:p w14:paraId="13A51C01">
      <w:pPr>
        <w:spacing w:line="310" w:lineRule="auto"/>
        <w:rPr>
          <w:rFonts w:ascii="Arial"/>
          <w:sz w:val="21"/>
        </w:rPr>
      </w:pPr>
    </w:p>
    <w:p w14:paraId="7AF30FDC">
      <w:pPr>
        <w:spacing w:line="310" w:lineRule="auto"/>
        <w:rPr>
          <w:rFonts w:ascii="Arial"/>
          <w:sz w:val="21"/>
        </w:rPr>
      </w:pPr>
      <w:r>
        <w:drawing>
          <wp:anchor distT="0" distB="0" distL="0" distR="0" simplePos="0" relativeHeight="251666432" behindDoc="0" locked="0" layoutInCell="1" allowOverlap="1">
            <wp:simplePos x="0" y="0"/>
            <wp:positionH relativeFrom="column">
              <wp:posOffset>720725</wp:posOffset>
            </wp:positionH>
            <wp:positionV relativeFrom="paragraph">
              <wp:posOffset>245745</wp:posOffset>
            </wp:positionV>
            <wp:extent cx="6350" cy="8896350"/>
            <wp:effectExtent l="0" t="0" r="0" b="0"/>
            <wp:wrapNone/>
            <wp:docPr id="14" name="IM 14"/>
            <wp:cNvGraphicFramePr/>
            <a:graphic xmlns:a="http://schemas.openxmlformats.org/drawingml/2006/main">
              <a:graphicData uri="http://schemas.openxmlformats.org/drawingml/2006/picture">
                <pic:pic xmlns:pic="http://schemas.openxmlformats.org/drawingml/2006/picture">
                  <pic:nvPicPr>
                    <pic:cNvPr id="14" name="IM 14"/>
                    <pic:cNvPicPr/>
                  </pic:nvPicPr>
                  <pic:blipFill>
                    <a:blip r:embed="rId402"/>
                    <a:stretch>
                      <a:fillRect/>
                    </a:stretch>
                  </pic:blipFill>
                  <pic:spPr>
                    <a:xfrm>
                      <a:off x="0" y="0"/>
                      <a:ext cx="6350" cy="8896383"/>
                    </a:xfrm>
                    <a:prstGeom prst="rect">
                      <a:avLst/>
                    </a:prstGeom>
                  </pic:spPr>
                </pic:pic>
              </a:graphicData>
            </a:graphic>
          </wp:anchor>
        </w:drawing>
      </w:r>
    </w:p>
    <w:p w14:paraId="1D6E9758">
      <w:pPr>
        <w:pStyle w:val="2"/>
        <w:spacing w:before="97" w:line="213" w:lineRule="auto"/>
        <w:ind w:left="1579"/>
      </w:pPr>
      <w:r>
        <w:rPr>
          <w:b/>
          <w:bCs/>
          <w:spacing w:val="1"/>
        </w:rPr>
        <w:t>版权所有，侵权必究!</w:t>
      </w:r>
    </w:p>
    <w:p w14:paraId="3B995159">
      <w:pPr>
        <w:spacing w:line="245" w:lineRule="auto"/>
        <w:rPr>
          <w:rFonts w:ascii="Arial"/>
          <w:sz w:val="21"/>
        </w:rPr>
      </w:pPr>
    </w:p>
    <w:p w14:paraId="74232720">
      <w:pPr>
        <w:spacing w:line="245" w:lineRule="auto"/>
        <w:rPr>
          <w:rFonts w:ascii="Arial"/>
          <w:sz w:val="21"/>
        </w:rPr>
      </w:pPr>
    </w:p>
    <w:p w14:paraId="011B177F">
      <w:pPr>
        <w:pStyle w:val="2"/>
        <w:spacing w:before="72" w:line="221" w:lineRule="auto"/>
        <w:ind w:left="1788"/>
        <w:rPr>
          <w:sz w:val="22"/>
          <w:szCs w:val="22"/>
        </w:rPr>
      </w:pPr>
      <w:r>
        <w:rPr>
          <w:b/>
          <w:bCs/>
          <w:spacing w:val="-2"/>
          <w:sz w:val="22"/>
          <w:szCs w:val="22"/>
        </w:rPr>
        <w:t>图书在版编目</w:t>
      </w:r>
      <w:r>
        <w:rPr>
          <w:rFonts w:ascii="宋体" w:hAnsi="宋体" w:eastAsia="宋体" w:cs="宋体"/>
          <w:b/>
          <w:bCs/>
          <w:spacing w:val="-2"/>
          <w:sz w:val="22"/>
          <w:szCs w:val="22"/>
        </w:rPr>
        <w:t>(CIP)</w:t>
      </w:r>
      <w:r>
        <w:rPr>
          <w:rFonts w:ascii="宋体" w:hAnsi="宋体" w:eastAsia="宋体" w:cs="宋体"/>
          <w:spacing w:val="119"/>
          <w:sz w:val="22"/>
          <w:szCs w:val="22"/>
        </w:rPr>
        <w:t xml:space="preserve"> </w:t>
      </w:r>
      <w:r>
        <w:rPr>
          <w:b/>
          <w:bCs/>
          <w:spacing w:val="-2"/>
          <w:sz w:val="22"/>
          <w:szCs w:val="22"/>
        </w:rPr>
        <w:t>数据</w:t>
      </w:r>
    </w:p>
    <w:p w14:paraId="4A993F10">
      <w:pPr>
        <w:spacing w:before="151" w:line="261" w:lineRule="auto"/>
        <w:ind w:left="1314" w:right="1824" w:firstLine="470"/>
        <w:jc w:val="both"/>
        <w:rPr>
          <w:rFonts w:ascii="宋体" w:hAnsi="宋体" w:eastAsia="宋体" w:cs="宋体"/>
          <w:sz w:val="22"/>
          <w:szCs w:val="22"/>
        </w:rPr>
      </w:pPr>
      <w:r>
        <w:rPr>
          <w:rFonts w:ascii="宋体" w:hAnsi="宋体" w:eastAsia="宋体" w:cs="宋体"/>
          <w:spacing w:val="19"/>
          <w:sz w:val="22"/>
          <w:szCs w:val="22"/>
        </w:rPr>
        <w:t>流行病学/吕筠，胡志斌主编.-9版.一北京：</w:t>
      </w:r>
      <w:r>
        <w:rPr>
          <w:rFonts w:ascii="宋体" w:hAnsi="宋体" w:eastAsia="宋体" w:cs="宋体"/>
          <w:spacing w:val="11"/>
          <w:sz w:val="22"/>
          <w:szCs w:val="22"/>
        </w:rPr>
        <w:t xml:space="preserve"> </w:t>
      </w:r>
      <w:r>
        <w:rPr>
          <w:rFonts w:ascii="宋体" w:hAnsi="宋体" w:eastAsia="宋体" w:cs="宋体"/>
          <w:spacing w:val="4"/>
          <w:sz w:val="22"/>
          <w:szCs w:val="22"/>
        </w:rPr>
        <w:t>人民卫生出版社，2025.3.—(全国高等学校预防医学</w:t>
      </w:r>
      <w:r>
        <w:rPr>
          <w:rFonts w:ascii="宋体" w:hAnsi="宋体" w:eastAsia="宋体" w:cs="宋体"/>
          <w:spacing w:val="3"/>
          <w:sz w:val="22"/>
          <w:szCs w:val="22"/>
        </w:rPr>
        <w:t xml:space="preserve"> 专业第九轮规划教材).-</w:t>
      </w:r>
      <w:r>
        <w:rPr>
          <w:rFonts w:ascii="宋体" w:hAnsi="宋体" w:eastAsia="宋体" w:cs="宋体"/>
          <w:spacing w:val="-17"/>
          <w:sz w:val="22"/>
          <w:szCs w:val="22"/>
        </w:rPr>
        <w:t xml:space="preserve"> </w:t>
      </w:r>
      <w:r>
        <w:rPr>
          <w:rFonts w:ascii="宋体" w:hAnsi="宋体" w:eastAsia="宋体" w:cs="宋体"/>
          <w:sz w:val="22"/>
          <w:szCs w:val="22"/>
        </w:rPr>
        <w:t>ISBN</w:t>
      </w:r>
      <w:r>
        <w:rPr>
          <w:rFonts w:ascii="宋体" w:hAnsi="宋体" w:eastAsia="宋体" w:cs="宋体"/>
          <w:spacing w:val="3"/>
          <w:sz w:val="22"/>
          <w:szCs w:val="22"/>
        </w:rPr>
        <w:t xml:space="preserve"> 978-7-117-37732-4</w:t>
      </w:r>
    </w:p>
    <w:p w14:paraId="5861875D">
      <w:pPr>
        <w:spacing w:before="34" w:line="188" w:lineRule="auto"/>
        <w:ind w:left="1755"/>
        <w:rPr>
          <w:rFonts w:ascii="Times New Roman" w:hAnsi="Times New Roman" w:eastAsia="Times New Roman" w:cs="Times New Roman"/>
          <w:sz w:val="22"/>
          <w:szCs w:val="22"/>
        </w:rPr>
      </w:pPr>
      <w:r>
        <w:rPr>
          <w:rFonts w:ascii="Times New Roman" w:hAnsi="Times New Roman" w:eastAsia="Times New Roman" w:cs="Times New Roman"/>
          <w:spacing w:val="-2"/>
          <w:sz w:val="22"/>
          <w:szCs w:val="22"/>
        </w:rPr>
        <w:t>I.R18</w:t>
      </w:r>
    </w:p>
    <w:p w14:paraId="245BEC95">
      <w:pPr>
        <w:spacing w:before="83" w:line="219" w:lineRule="auto"/>
        <w:ind w:left="1785"/>
        <w:rPr>
          <w:rFonts w:ascii="宋体" w:hAnsi="宋体" w:eastAsia="宋体" w:cs="宋体"/>
          <w:sz w:val="22"/>
          <w:szCs w:val="22"/>
        </w:rPr>
      </w:pPr>
      <w:r>
        <w:rPr>
          <w:rFonts w:ascii="宋体" w:hAnsi="宋体" w:eastAsia="宋体" w:cs="宋体"/>
          <w:sz w:val="22"/>
          <w:szCs w:val="22"/>
        </w:rPr>
        <w:t>中国国家版本馆</w:t>
      </w:r>
      <w:r>
        <w:rPr>
          <w:rFonts w:ascii="Times New Roman" w:hAnsi="Times New Roman" w:eastAsia="Times New Roman" w:cs="Times New Roman"/>
          <w:sz w:val="22"/>
          <w:szCs w:val="22"/>
        </w:rPr>
        <w:t>CIP</w:t>
      </w:r>
      <w:r>
        <w:rPr>
          <w:rFonts w:ascii="Times New Roman" w:hAnsi="Times New Roman" w:eastAsia="Times New Roman" w:cs="Times New Roman"/>
          <w:spacing w:val="3"/>
          <w:sz w:val="22"/>
          <w:szCs w:val="22"/>
        </w:rPr>
        <w:t xml:space="preserve"> </w:t>
      </w:r>
      <w:r>
        <w:rPr>
          <w:rFonts w:ascii="宋体" w:hAnsi="宋体" w:eastAsia="宋体" w:cs="宋体"/>
          <w:sz w:val="22"/>
          <w:szCs w:val="22"/>
        </w:rPr>
        <w:t>数据核字第2025</w:t>
      </w:r>
      <w:r>
        <w:rPr>
          <w:rFonts w:ascii="Times New Roman" w:hAnsi="Times New Roman" w:eastAsia="Times New Roman" w:cs="Times New Roman"/>
          <w:sz w:val="22"/>
          <w:szCs w:val="22"/>
        </w:rPr>
        <w:t>GA1242</w:t>
      </w:r>
      <w:r>
        <w:rPr>
          <w:rFonts w:ascii="宋体" w:hAnsi="宋体" w:eastAsia="宋体" w:cs="宋体"/>
          <w:sz w:val="22"/>
          <w:szCs w:val="22"/>
        </w:rPr>
        <w:t>号</w:t>
      </w:r>
    </w:p>
    <w:p w14:paraId="027B3C8B">
      <w:pPr>
        <w:spacing w:line="259" w:lineRule="auto"/>
        <w:rPr>
          <w:rFonts w:ascii="Arial"/>
          <w:sz w:val="21"/>
        </w:rPr>
      </w:pPr>
    </w:p>
    <w:p w14:paraId="724091B5">
      <w:pPr>
        <w:pStyle w:val="2"/>
        <w:spacing w:line="1181" w:lineRule="exact"/>
        <w:ind w:firstLine="1324"/>
      </w:pPr>
      <w:r>
        <w:rPr>
          <w:position w:val="-23"/>
        </w:rPr>
        <w:pict>
          <v:group id="_x0000_s1026" o:spid="_x0000_s1026" o:spt="203" style="height:59.05pt;width:290.55pt;" coordsize="5810,1180">
            <o:lock v:ext="edit"/>
            <v:shape id="_x0000_s1027" o:spid="_x0000_s1027" o:spt="75" type="#_x0000_t75" style="position:absolute;left:0;top:0;height:1180;width:5810;" filled="f" stroked="f" coordsize="21600,21600">
              <v:path/>
              <v:fill on="f" focussize="0,0"/>
              <v:stroke on="f"/>
              <v:imagedata r:id="rId403" o:title=""/>
              <o:lock v:ext="edit" aspectratio="t"/>
            </v:shape>
            <v:shape id="_x0000_s1028" o:spid="_x0000_s1028" o:spt="202" type="#_x0000_t202" style="position:absolute;left:2990;top:127;height:903;width:2730;" filled="f" stroked="f" coordsize="21600,21600">
              <v:path/>
              <v:fill on="f" focussize="0,0"/>
              <v:stroke on="f"/>
              <v:imagedata o:title=""/>
              <o:lock v:ext="edit" aspectratio="f"/>
              <v:textbox inset="0mm,0mm,0mm,0mm">
                <w:txbxContent>
                  <w:p w14:paraId="2E0D67B3">
                    <w:pPr>
                      <w:spacing w:before="20" w:line="258" w:lineRule="auto"/>
                      <w:ind w:left="20" w:right="20"/>
                      <w:jc w:val="both"/>
                      <w:rPr>
                        <w:rFonts w:ascii="黑体" w:hAnsi="黑体" w:eastAsia="黑体" w:cs="黑体"/>
                        <w:sz w:val="22"/>
                        <w:szCs w:val="22"/>
                      </w:rPr>
                    </w:pPr>
                    <w:r>
                      <w:rPr>
                        <w:rFonts w:ascii="黑体" w:hAnsi="黑体" w:eastAsia="黑体" w:cs="黑体"/>
                        <w:spacing w:val="-28"/>
                        <w:sz w:val="22"/>
                        <w:szCs w:val="22"/>
                      </w:rPr>
                      <w:t>医学教育、学术、考试、健康，</w:t>
                    </w:r>
                    <w:r>
                      <w:rPr>
                        <w:rFonts w:ascii="黑体" w:hAnsi="黑体" w:eastAsia="黑体" w:cs="黑体"/>
                        <w:sz w:val="22"/>
                        <w:szCs w:val="22"/>
                      </w:rPr>
                      <w:t xml:space="preserve"> </w:t>
                    </w:r>
                    <w:r>
                      <w:rPr>
                        <w:rFonts w:ascii="黑体" w:hAnsi="黑体" w:eastAsia="黑体" w:cs="黑体"/>
                        <w:spacing w:val="-8"/>
                        <w:sz w:val="22"/>
                        <w:szCs w:val="22"/>
                      </w:rPr>
                      <w:t>购书智慧智能综合服务平台</w:t>
                    </w:r>
                    <w:r>
                      <w:rPr>
                        <w:rFonts w:ascii="黑体" w:hAnsi="黑体" w:eastAsia="黑体" w:cs="黑体"/>
                        <w:spacing w:val="4"/>
                        <w:sz w:val="22"/>
                        <w:szCs w:val="22"/>
                      </w:rPr>
                      <w:t xml:space="preserve">  </w:t>
                    </w:r>
                    <w:r>
                      <w:rPr>
                        <w:rFonts w:ascii="黑体" w:hAnsi="黑体" w:eastAsia="黑体" w:cs="黑体"/>
                        <w:spacing w:val="-6"/>
                        <w:sz w:val="22"/>
                        <w:szCs w:val="22"/>
                      </w:rPr>
                      <w:t>人卫官方资讯发布平台</w:t>
                    </w:r>
                  </w:p>
                </w:txbxContent>
              </v:textbox>
            </v:shape>
            <v:shape id="_x0000_s1029" o:spid="_x0000_s1029" o:spt="202" type="#_x0000_t202" style="position:absolute;left:170;top:154;height:895;width:2676;" filled="f" stroked="f" coordsize="21600,21600">
              <v:path/>
              <v:fill on="f" focussize="0,0"/>
              <v:stroke on="f"/>
              <v:imagedata o:title=""/>
              <o:lock v:ext="edit" aspectratio="f"/>
              <v:textbox inset="0mm,0mm,0mm,0mm">
                <w:txbxContent>
                  <w:p w14:paraId="0E2DBF9E">
                    <w:pPr>
                      <w:spacing w:before="18" w:line="375" w:lineRule="auto"/>
                      <w:ind w:left="20" w:right="20" w:firstLine="29"/>
                      <w:rPr>
                        <w:rFonts w:ascii="Times New Roman" w:hAnsi="Times New Roman" w:eastAsia="Times New Roman" w:cs="Times New Roman"/>
                        <w:sz w:val="22"/>
                        <w:szCs w:val="22"/>
                      </w:rPr>
                    </w:pPr>
                    <w:r>
                      <w:rPr>
                        <w:rFonts w:ascii="黑体" w:hAnsi="黑体" w:eastAsia="黑体" w:cs="黑体"/>
                        <w:spacing w:val="-5"/>
                        <w:sz w:val="22"/>
                        <w:szCs w:val="22"/>
                      </w:rPr>
                      <w:t>人卫智网</w:t>
                    </w:r>
                    <w:r>
                      <w:rPr>
                        <w:rFonts w:ascii="黑体" w:hAnsi="黑体" w:eastAsia="黑体" w:cs="黑体"/>
                        <w:spacing w:val="110"/>
                        <w:sz w:val="22"/>
                        <w:szCs w:val="22"/>
                      </w:rPr>
                      <w:t xml:space="preserve"> </w:t>
                    </w:r>
                    <w:r>
                      <w:fldChar w:fldCharType="begin"/>
                    </w:r>
                    <w:r>
                      <w:instrText xml:space="preserve"> HYPERLINK "https://www.ipmph.com" </w:instrText>
                    </w:r>
                    <w:r>
                      <w:fldChar w:fldCharType="separate"/>
                    </w:r>
                    <w:r>
                      <w:rPr>
                        <w:rFonts w:ascii="Times New Roman" w:hAnsi="Times New Roman" w:eastAsia="Times New Roman" w:cs="Times New Roman"/>
                        <w:b/>
                        <w:bCs/>
                        <w:spacing w:val="-5"/>
                        <w:sz w:val="22"/>
                        <w:szCs w:val="22"/>
                      </w:rPr>
                      <w:t>www.ipmph.com</w:t>
                    </w:r>
                    <w:r>
                      <w:rPr>
                        <w:rFonts w:ascii="Times New Roman" w:hAnsi="Times New Roman" w:eastAsia="Times New Roman" w:cs="Times New Roman"/>
                        <w:b/>
                        <w:bCs/>
                        <w:spacing w:val="-5"/>
                        <w:sz w:val="22"/>
                        <w:szCs w:val="22"/>
                      </w:rPr>
                      <w:fldChar w:fldCharType="end"/>
                    </w:r>
                    <w:r>
                      <w:rPr>
                        <w:rFonts w:ascii="Times New Roman" w:hAnsi="Times New Roman" w:eastAsia="Times New Roman" w:cs="Times New Roman"/>
                        <w:b/>
                        <w:bCs/>
                        <w:sz w:val="22"/>
                        <w:szCs w:val="22"/>
                      </w:rPr>
                      <w:t xml:space="preserve"> </w:t>
                    </w:r>
                    <w:r>
                      <w:rPr>
                        <w:rFonts w:ascii="黑体" w:hAnsi="黑体" w:eastAsia="黑体" w:cs="黑体"/>
                        <w:spacing w:val="-4"/>
                        <w:sz w:val="22"/>
                        <w:szCs w:val="22"/>
                      </w:rPr>
                      <w:t xml:space="preserve">人卫官网  </w:t>
                    </w:r>
                    <w:r>
                      <w:fldChar w:fldCharType="begin"/>
                    </w:r>
                    <w:r>
                      <w:instrText xml:space="preserve"> HYPERLINK "https://www.pmph.com" </w:instrText>
                    </w:r>
                    <w:r>
                      <w:fldChar w:fldCharType="separate"/>
                    </w:r>
                    <w:r>
                      <w:rPr>
                        <w:rFonts w:ascii="Arial" w:hAnsi="Arial" w:eastAsia="Arial" w:cs="Arial"/>
                        <w:b/>
                        <w:bCs/>
                        <w:spacing w:val="-4"/>
                        <w:sz w:val="22"/>
                        <w:szCs w:val="22"/>
                      </w:rPr>
                      <w:t>w</w:t>
                    </w:r>
                    <w:r>
                      <w:rPr>
                        <w:rFonts w:ascii="Times New Roman" w:hAnsi="Times New Roman" w:eastAsia="Times New Roman" w:cs="Times New Roman"/>
                        <w:b/>
                        <w:bCs/>
                        <w:spacing w:val="-4"/>
                        <w:sz w:val="22"/>
                        <w:szCs w:val="22"/>
                      </w:rPr>
                      <w:t>ww.pmph.com</w:t>
                    </w:r>
                    <w:r>
                      <w:rPr>
                        <w:rFonts w:ascii="Times New Roman" w:hAnsi="Times New Roman" w:eastAsia="Times New Roman" w:cs="Times New Roman"/>
                        <w:b/>
                        <w:bCs/>
                        <w:spacing w:val="-4"/>
                        <w:sz w:val="22"/>
                        <w:szCs w:val="22"/>
                      </w:rPr>
                      <w:fldChar w:fldCharType="end"/>
                    </w:r>
                  </w:p>
                </w:txbxContent>
              </v:textbox>
            </v:shape>
            <w10:wrap type="none"/>
            <w10:anchorlock/>
          </v:group>
        </w:pict>
      </w:r>
    </w:p>
    <w:p w14:paraId="40043E9C">
      <w:pPr>
        <w:spacing w:line="246" w:lineRule="auto"/>
        <w:rPr>
          <w:rFonts w:ascii="Arial"/>
          <w:sz w:val="21"/>
        </w:rPr>
      </w:pPr>
    </w:p>
    <w:p w14:paraId="28A3E23E">
      <w:pPr>
        <w:spacing w:line="246" w:lineRule="auto"/>
        <w:rPr>
          <w:rFonts w:ascii="Arial"/>
          <w:sz w:val="21"/>
        </w:rPr>
      </w:pPr>
    </w:p>
    <w:p w14:paraId="1E808078">
      <w:pPr>
        <w:spacing w:line="246" w:lineRule="auto"/>
        <w:rPr>
          <w:rFonts w:ascii="Arial"/>
          <w:sz w:val="21"/>
        </w:rPr>
      </w:pPr>
    </w:p>
    <w:p w14:paraId="107FB9C2">
      <w:pPr>
        <w:spacing w:line="246" w:lineRule="auto"/>
        <w:rPr>
          <w:rFonts w:ascii="Arial"/>
          <w:sz w:val="21"/>
        </w:rPr>
      </w:pPr>
    </w:p>
    <w:p w14:paraId="124F04A9">
      <w:pPr>
        <w:spacing w:line="246" w:lineRule="auto"/>
        <w:rPr>
          <w:rFonts w:ascii="Arial"/>
          <w:sz w:val="21"/>
        </w:rPr>
      </w:pPr>
    </w:p>
    <w:p w14:paraId="7AF246A6">
      <w:pPr>
        <w:spacing w:line="246" w:lineRule="auto"/>
        <w:rPr>
          <w:rFonts w:ascii="Arial"/>
          <w:sz w:val="21"/>
        </w:rPr>
      </w:pPr>
    </w:p>
    <w:p w14:paraId="24B8158B">
      <w:pPr>
        <w:spacing w:line="246" w:lineRule="auto"/>
        <w:rPr>
          <w:rFonts w:ascii="Arial"/>
          <w:sz w:val="21"/>
        </w:rPr>
      </w:pPr>
    </w:p>
    <w:p w14:paraId="12D14723">
      <w:pPr>
        <w:spacing w:line="246" w:lineRule="auto"/>
        <w:rPr>
          <w:rFonts w:ascii="Arial"/>
          <w:sz w:val="21"/>
        </w:rPr>
      </w:pPr>
    </w:p>
    <w:p w14:paraId="4C8E53BE">
      <w:pPr>
        <w:spacing w:line="246" w:lineRule="auto"/>
        <w:rPr>
          <w:rFonts w:ascii="Arial"/>
          <w:sz w:val="21"/>
        </w:rPr>
      </w:pPr>
    </w:p>
    <w:p w14:paraId="7395D58A">
      <w:pPr>
        <w:spacing w:line="247" w:lineRule="auto"/>
        <w:rPr>
          <w:rFonts w:ascii="Arial"/>
          <w:sz w:val="21"/>
        </w:rPr>
      </w:pPr>
    </w:p>
    <w:p w14:paraId="4AB87834">
      <w:pPr>
        <w:spacing w:line="247" w:lineRule="auto"/>
        <w:rPr>
          <w:rFonts w:ascii="Arial"/>
          <w:sz w:val="21"/>
        </w:rPr>
      </w:pPr>
    </w:p>
    <w:p w14:paraId="70539452">
      <w:pPr>
        <w:spacing w:line="247" w:lineRule="auto"/>
        <w:rPr>
          <w:rFonts w:ascii="Arial"/>
          <w:sz w:val="21"/>
        </w:rPr>
      </w:pPr>
    </w:p>
    <w:p w14:paraId="66134A4C">
      <w:pPr>
        <w:spacing w:line="247" w:lineRule="auto"/>
        <w:rPr>
          <w:rFonts w:ascii="Arial"/>
          <w:sz w:val="21"/>
        </w:rPr>
      </w:pPr>
    </w:p>
    <w:p w14:paraId="21F96E12">
      <w:pPr>
        <w:pStyle w:val="2"/>
        <w:spacing w:before="72" w:line="221" w:lineRule="auto"/>
        <w:ind w:left="3628"/>
        <w:rPr>
          <w:sz w:val="22"/>
          <w:szCs w:val="22"/>
        </w:rPr>
      </w:pPr>
      <w:r>
        <w:rPr>
          <w:b/>
          <w:bCs/>
          <w:spacing w:val="-9"/>
          <w:sz w:val="22"/>
          <w:szCs w:val="22"/>
        </w:rPr>
        <w:t>流</w:t>
      </w:r>
      <w:r>
        <w:rPr>
          <w:spacing w:val="8"/>
          <w:sz w:val="22"/>
          <w:szCs w:val="22"/>
        </w:rPr>
        <w:t xml:space="preserve"> </w:t>
      </w:r>
      <w:r>
        <w:rPr>
          <w:b/>
          <w:bCs/>
          <w:spacing w:val="-9"/>
          <w:sz w:val="22"/>
          <w:szCs w:val="22"/>
        </w:rPr>
        <w:t>行</w:t>
      </w:r>
      <w:r>
        <w:rPr>
          <w:spacing w:val="7"/>
          <w:sz w:val="22"/>
          <w:szCs w:val="22"/>
        </w:rPr>
        <w:t xml:space="preserve"> </w:t>
      </w:r>
      <w:r>
        <w:rPr>
          <w:b/>
          <w:bCs/>
          <w:spacing w:val="-9"/>
          <w:sz w:val="22"/>
          <w:szCs w:val="22"/>
        </w:rPr>
        <w:t>病</w:t>
      </w:r>
      <w:r>
        <w:rPr>
          <w:spacing w:val="16"/>
          <w:sz w:val="22"/>
          <w:szCs w:val="22"/>
        </w:rPr>
        <w:t xml:space="preserve"> </w:t>
      </w:r>
      <w:r>
        <w:rPr>
          <w:b/>
          <w:bCs/>
          <w:spacing w:val="-9"/>
          <w:sz w:val="22"/>
          <w:szCs w:val="22"/>
        </w:rPr>
        <w:t>学</w:t>
      </w:r>
    </w:p>
    <w:p w14:paraId="48BF32AB">
      <w:pPr>
        <w:pStyle w:val="2"/>
        <w:spacing w:before="66" w:line="272" w:lineRule="auto"/>
        <w:ind w:left="3894" w:right="3383" w:hanging="399"/>
        <w:rPr>
          <w:sz w:val="22"/>
          <w:szCs w:val="22"/>
        </w:rPr>
      </w:pPr>
      <w:r>
        <w:drawing>
          <wp:anchor distT="0" distB="0" distL="0" distR="0" simplePos="0" relativeHeight="251667456" behindDoc="0" locked="0" layoutInCell="1" allowOverlap="1">
            <wp:simplePos x="0" y="0"/>
            <wp:positionH relativeFrom="column">
              <wp:posOffset>834390</wp:posOffset>
            </wp:positionH>
            <wp:positionV relativeFrom="paragraph">
              <wp:posOffset>483870</wp:posOffset>
            </wp:positionV>
            <wp:extent cx="3708400" cy="6350"/>
            <wp:effectExtent l="0" t="0" r="0" b="0"/>
            <wp:wrapNone/>
            <wp:docPr id="16" name="IM 16"/>
            <wp:cNvGraphicFramePr/>
            <a:graphic xmlns:a="http://schemas.openxmlformats.org/drawingml/2006/main">
              <a:graphicData uri="http://schemas.openxmlformats.org/drawingml/2006/picture">
                <pic:pic xmlns:pic="http://schemas.openxmlformats.org/drawingml/2006/picture">
                  <pic:nvPicPr>
                    <pic:cNvPr id="16" name="IM 16"/>
                    <pic:cNvPicPr/>
                  </pic:nvPicPr>
                  <pic:blipFill>
                    <a:blip r:embed="rId404"/>
                    <a:stretch>
                      <a:fillRect/>
                    </a:stretch>
                  </pic:blipFill>
                  <pic:spPr>
                    <a:xfrm>
                      <a:off x="0" y="0"/>
                      <a:ext cx="3708428" cy="6408"/>
                    </a:xfrm>
                    <a:prstGeom prst="rect">
                      <a:avLst/>
                    </a:prstGeom>
                  </pic:spPr>
                </pic:pic>
              </a:graphicData>
            </a:graphic>
          </wp:anchor>
        </w:drawing>
      </w:r>
      <w:r>
        <w:rPr>
          <w:rFonts w:ascii="Arial" w:hAnsi="Arial" w:eastAsia="Arial" w:cs="Arial"/>
          <w:spacing w:val="-2"/>
          <w:sz w:val="22"/>
          <w:szCs w:val="22"/>
        </w:rPr>
        <w:t>Liuxingbingxue</w:t>
      </w:r>
      <w:r>
        <w:rPr>
          <w:rFonts w:ascii="Arial" w:hAnsi="Arial" w:eastAsia="Arial" w:cs="Arial"/>
          <w:spacing w:val="10"/>
          <w:sz w:val="22"/>
          <w:szCs w:val="22"/>
        </w:rPr>
        <w:t xml:space="preserve"> </w:t>
      </w:r>
      <w:r>
        <w:rPr>
          <w:spacing w:val="-4"/>
          <w:sz w:val="22"/>
          <w:szCs w:val="22"/>
        </w:rPr>
        <w:t>第</w:t>
      </w:r>
      <w:r>
        <w:rPr>
          <w:spacing w:val="-53"/>
          <w:sz w:val="22"/>
          <w:szCs w:val="22"/>
        </w:rPr>
        <w:t xml:space="preserve"> </w:t>
      </w:r>
      <w:r>
        <w:rPr>
          <w:spacing w:val="-4"/>
          <w:sz w:val="22"/>
          <w:szCs w:val="22"/>
        </w:rPr>
        <w:t>9</w:t>
      </w:r>
      <w:r>
        <w:rPr>
          <w:spacing w:val="-46"/>
          <w:sz w:val="22"/>
          <w:szCs w:val="22"/>
        </w:rPr>
        <w:t xml:space="preserve"> </w:t>
      </w:r>
      <w:r>
        <w:rPr>
          <w:spacing w:val="-4"/>
          <w:sz w:val="22"/>
          <w:szCs w:val="22"/>
        </w:rPr>
        <w:t>版</w:t>
      </w:r>
    </w:p>
    <w:p w14:paraId="1926E651">
      <w:pPr>
        <w:spacing w:before="285" w:line="219" w:lineRule="auto"/>
        <w:ind w:left="1314"/>
        <w:rPr>
          <w:rFonts w:ascii="宋体" w:hAnsi="宋体" w:eastAsia="宋体" w:cs="宋体"/>
          <w:sz w:val="22"/>
          <w:szCs w:val="22"/>
        </w:rPr>
      </w:pPr>
      <w:r>
        <w:rPr>
          <w:rFonts w:ascii="宋体" w:hAnsi="宋体" w:eastAsia="宋体" w:cs="宋体"/>
          <w:spacing w:val="-5"/>
          <w:sz w:val="22"/>
          <w:szCs w:val="22"/>
        </w:rPr>
        <w:t>主    编：吕</w:t>
      </w:r>
      <w:r>
        <w:rPr>
          <w:rFonts w:ascii="宋体" w:hAnsi="宋体" w:eastAsia="宋体" w:cs="宋体"/>
          <w:spacing w:val="89"/>
          <w:sz w:val="22"/>
          <w:szCs w:val="22"/>
        </w:rPr>
        <w:t xml:space="preserve"> </w:t>
      </w:r>
      <w:r>
        <w:rPr>
          <w:rFonts w:ascii="宋体" w:hAnsi="宋体" w:eastAsia="宋体" w:cs="宋体"/>
          <w:spacing w:val="-5"/>
          <w:sz w:val="22"/>
          <w:szCs w:val="22"/>
        </w:rPr>
        <w:t>筠  胡志斌</w:t>
      </w:r>
    </w:p>
    <w:p w14:paraId="5E597262">
      <w:pPr>
        <w:pStyle w:val="2"/>
        <w:spacing w:before="37" w:line="221" w:lineRule="auto"/>
        <w:ind w:left="1314"/>
        <w:rPr>
          <w:rFonts w:ascii="宋体" w:hAnsi="宋体" w:eastAsia="宋体" w:cs="宋体"/>
          <w:sz w:val="22"/>
          <w:szCs w:val="22"/>
        </w:rPr>
      </w:pPr>
      <w:r>
        <w:rPr>
          <w:sz w:val="22"/>
          <w:szCs w:val="22"/>
        </w:rPr>
        <w:t>出版发行</w:t>
      </w:r>
      <w:r>
        <w:rPr>
          <w:rFonts w:ascii="宋体" w:hAnsi="宋体" w:eastAsia="宋体" w:cs="宋体"/>
          <w:sz w:val="22"/>
          <w:szCs w:val="22"/>
        </w:rPr>
        <w:t>：人民卫生出版社(中继线010-59780011)</w:t>
      </w:r>
    </w:p>
    <w:p w14:paraId="049B583A">
      <w:pPr>
        <w:pStyle w:val="2"/>
        <w:spacing w:before="58" w:line="222" w:lineRule="auto"/>
        <w:ind w:left="1314"/>
        <w:rPr>
          <w:rFonts w:ascii="宋体" w:hAnsi="宋体" w:eastAsia="宋体" w:cs="宋体"/>
          <w:sz w:val="22"/>
          <w:szCs w:val="22"/>
        </w:rPr>
      </w:pPr>
      <w:r>
        <w:rPr>
          <w:rFonts w:ascii="宋体" w:hAnsi="宋体" w:eastAsia="宋体" w:cs="宋体"/>
          <w:spacing w:val="-1"/>
          <w:sz w:val="22"/>
          <w:szCs w:val="22"/>
        </w:rPr>
        <w:t>地</w:t>
      </w:r>
      <w:r>
        <w:rPr>
          <w:rFonts w:ascii="宋体" w:hAnsi="宋体" w:eastAsia="宋体" w:cs="宋体"/>
          <w:spacing w:val="35"/>
          <w:sz w:val="22"/>
          <w:szCs w:val="22"/>
        </w:rPr>
        <w:t xml:space="preserve">   </w:t>
      </w:r>
      <w:r>
        <w:rPr>
          <w:spacing w:val="-1"/>
          <w:sz w:val="22"/>
          <w:szCs w:val="22"/>
        </w:rPr>
        <w:t>址</w:t>
      </w:r>
      <w:r>
        <w:rPr>
          <w:rFonts w:ascii="宋体" w:hAnsi="宋体" w:eastAsia="宋体" w:cs="宋体"/>
          <w:spacing w:val="-1"/>
          <w:sz w:val="22"/>
          <w:szCs w:val="22"/>
        </w:rPr>
        <w:t>：北京市朝阳区潘家园南里19号</w:t>
      </w:r>
    </w:p>
    <w:p w14:paraId="21B8D74D">
      <w:pPr>
        <w:spacing w:before="26" w:line="219" w:lineRule="auto"/>
        <w:ind w:left="1314"/>
        <w:rPr>
          <w:rFonts w:ascii="宋体" w:hAnsi="宋体" w:eastAsia="宋体" w:cs="宋体"/>
          <w:sz w:val="22"/>
          <w:szCs w:val="22"/>
        </w:rPr>
      </w:pPr>
      <w:r>
        <w:rPr>
          <w:rFonts w:ascii="宋体" w:hAnsi="宋体" w:eastAsia="宋体" w:cs="宋体"/>
          <w:spacing w:val="-10"/>
          <w:sz w:val="22"/>
          <w:szCs w:val="22"/>
        </w:rPr>
        <w:t>邮</w:t>
      </w:r>
      <w:r>
        <w:rPr>
          <w:rFonts w:ascii="宋体" w:hAnsi="宋体" w:eastAsia="宋体" w:cs="宋体"/>
          <w:spacing w:val="4"/>
          <w:sz w:val="22"/>
          <w:szCs w:val="22"/>
        </w:rPr>
        <w:t xml:space="preserve">    </w:t>
      </w:r>
      <w:r>
        <w:rPr>
          <w:rFonts w:ascii="宋体" w:hAnsi="宋体" w:eastAsia="宋体" w:cs="宋体"/>
          <w:spacing w:val="-10"/>
          <w:sz w:val="22"/>
          <w:szCs w:val="22"/>
        </w:rPr>
        <w:t>编：100021</w:t>
      </w:r>
    </w:p>
    <w:p w14:paraId="6290768B">
      <w:pPr>
        <w:spacing w:before="97" w:line="192" w:lineRule="auto"/>
        <w:ind w:left="1314"/>
        <w:rPr>
          <w:rFonts w:ascii="Times New Roman" w:hAnsi="Times New Roman" w:eastAsia="Times New Roman" w:cs="Times New Roman"/>
          <w:sz w:val="22"/>
          <w:szCs w:val="22"/>
        </w:rPr>
      </w:pPr>
      <w:r>
        <w:rPr>
          <w:rFonts w:ascii="Times New Roman" w:hAnsi="Times New Roman" w:eastAsia="Times New Roman" w:cs="Times New Roman"/>
          <w:spacing w:val="-2"/>
          <w:sz w:val="22"/>
          <w:szCs w:val="22"/>
        </w:rPr>
        <w:t>E</w:t>
      </w:r>
      <w:r>
        <w:rPr>
          <w:rFonts w:ascii="Times New Roman" w:hAnsi="Times New Roman" w:eastAsia="Times New Roman" w:cs="Times New Roman"/>
          <w:spacing w:val="15"/>
          <w:w w:val="101"/>
          <w:sz w:val="22"/>
          <w:szCs w:val="22"/>
        </w:rPr>
        <w:t xml:space="preserve">   </w:t>
      </w:r>
      <w:r>
        <w:rPr>
          <w:rFonts w:ascii="Times New Roman" w:hAnsi="Times New Roman" w:eastAsia="Times New Roman" w:cs="Times New Roman"/>
          <w:spacing w:val="-2"/>
          <w:sz w:val="22"/>
          <w:szCs w:val="22"/>
        </w:rPr>
        <w:t>-mail:pmph</w:t>
      </w:r>
      <w:r>
        <w:rPr>
          <w:rFonts w:ascii="Times New Roman" w:hAnsi="Times New Roman" w:eastAsia="Times New Roman" w:cs="Times New Roman"/>
          <w:spacing w:val="11"/>
          <w:sz w:val="22"/>
          <w:szCs w:val="22"/>
        </w:rPr>
        <w:t xml:space="preserve">   </w:t>
      </w:r>
      <w:r>
        <w:rPr>
          <w:rFonts w:ascii="Times New Roman" w:hAnsi="Times New Roman" w:eastAsia="Times New Roman" w:cs="Times New Roman"/>
          <w:spacing w:val="-2"/>
          <w:sz w:val="22"/>
          <w:szCs w:val="22"/>
        </w:rPr>
        <w:t>@pmph.com</w:t>
      </w:r>
    </w:p>
    <w:p w14:paraId="1E88BD95">
      <w:pPr>
        <w:spacing w:before="75" w:line="219" w:lineRule="auto"/>
        <w:ind w:left="1318"/>
        <w:rPr>
          <w:rFonts w:ascii="Times New Roman" w:hAnsi="Times New Roman" w:eastAsia="Times New Roman" w:cs="Times New Roman"/>
          <w:sz w:val="22"/>
          <w:szCs w:val="22"/>
        </w:rPr>
      </w:pPr>
      <w:r>
        <w:rPr>
          <w:rFonts w:ascii="宋体" w:hAnsi="宋体" w:eastAsia="宋体" w:cs="宋体"/>
          <w:b/>
          <w:bCs/>
          <w:spacing w:val="-3"/>
          <w:sz w:val="22"/>
          <w:szCs w:val="22"/>
        </w:rPr>
        <w:t>购书热线：</w:t>
      </w:r>
      <w:r>
        <w:rPr>
          <w:rFonts w:ascii="Times New Roman" w:hAnsi="Times New Roman" w:eastAsia="Times New Roman" w:cs="Times New Roman"/>
          <w:spacing w:val="-3"/>
          <w:sz w:val="22"/>
          <w:szCs w:val="22"/>
        </w:rPr>
        <w:t>010-59787592010-597875840</w:t>
      </w:r>
      <w:r>
        <w:rPr>
          <w:rFonts w:ascii="Times New Roman" w:hAnsi="Times New Roman" w:eastAsia="Times New Roman" w:cs="Times New Roman"/>
          <w:spacing w:val="-4"/>
          <w:sz w:val="22"/>
          <w:szCs w:val="22"/>
        </w:rPr>
        <w:t>10-65264830</w:t>
      </w:r>
    </w:p>
    <w:p w14:paraId="6F8BAC10">
      <w:pPr>
        <w:pStyle w:val="2"/>
        <w:spacing w:before="52" w:line="222" w:lineRule="auto"/>
        <w:ind w:left="1314"/>
        <w:rPr>
          <w:rFonts w:ascii="宋体" w:hAnsi="宋体" w:eastAsia="宋体" w:cs="宋体"/>
          <w:sz w:val="22"/>
          <w:szCs w:val="22"/>
        </w:rPr>
      </w:pPr>
      <w:r>
        <w:rPr>
          <w:rFonts w:ascii="宋体" w:hAnsi="宋体" w:eastAsia="宋体" w:cs="宋体"/>
          <w:spacing w:val="4"/>
          <w:sz w:val="22"/>
          <w:szCs w:val="22"/>
        </w:rPr>
        <w:t xml:space="preserve">印    </w:t>
      </w:r>
      <w:r>
        <w:rPr>
          <w:spacing w:val="4"/>
          <w:sz w:val="22"/>
          <w:szCs w:val="22"/>
        </w:rPr>
        <w:t>刷</w:t>
      </w:r>
      <w:r>
        <w:rPr>
          <w:rFonts w:ascii="宋体" w:hAnsi="宋体" w:eastAsia="宋体" w:cs="宋体"/>
          <w:spacing w:val="4"/>
          <w:sz w:val="22"/>
          <w:szCs w:val="22"/>
        </w:rPr>
        <w:t>：人卫印务(北京)有限公司</w:t>
      </w:r>
    </w:p>
    <w:p w14:paraId="6770A533">
      <w:pPr>
        <w:pStyle w:val="2"/>
        <w:spacing w:before="35" w:line="222" w:lineRule="auto"/>
        <w:ind w:left="1314"/>
        <w:rPr>
          <w:rFonts w:ascii="宋体" w:hAnsi="宋体" w:eastAsia="宋体" w:cs="宋体"/>
          <w:sz w:val="22"/>
          <w:szCs w:val="22"/>
        </w:rPr>
      </w:pPr>
      <w:r>
        <w:rPr>
          <w:rFonts w:ascii="宋体" w:hAnsi="宋体" w:eastAsia="宋体" w:cs="宋体"/>
          <w:spacing w:val="-10"/>
          <w:sz w:val="22"/>
          <w:szCs w:val="22"/>
        </w:rPr>
        <w:t xml:space="preserve">经    </w:t>
      </w:r>
      <w:r>
        <w:rPr>
          <w:spacing w:val="-10"/>
          <w:sz w:val="22"/>
          <w:szCs w:val="22"/>
        </w:rPr>
        <w:t>销</w:t>
      </w:r>
      <w:r>
        <w:rPr>
          <w:rFonts w:ascii="宋体" w:hAnsi="宋体" w:eastAsia="宋体" w:cs="宋体"/>
          <w:spacing w:val="-10"/>
          <w:sz w:val="22"/>
          <w:szCs w:val="22"/>
        </w:rPr>
        <w:t>：新华书店</w:t>
      </w:r>
    </w:p>
    <w:p w14:paraId="0CFBA30D">
      <w:pPr>
        <w:spacing w:before="56" w:line="228" w:lineRule="auto"/>
        <w:ind w:left="1314"/>
        <w:rPr>
          <w:rFonts w:ascii="宋体" w:hAnsi="宋体" w:eastAsia="宋体" w:cs="宋体"/>
          <w:sz w:val="22"/>
          <w:szCs w:val="22"/>
        </w:rPr>
      </w:pPr>
      <w:r>
        <w:rPr>
          <w:rFonts w:ascii="宋体" w:hAnsi="宋体" w:eastAsia="宋体" w:cs="宋体"/>
          <w:spacing w:val="-7"/>
          <w:sz w:val="22"/>
          <w:szCs w:val="22"/>
        </w:rPr>
        <w:t>开    本：850×1168  1/</w:t>
      </w:r>
      <w:r>
        <w:rPr>
          <w:rFonts w:ascii="宋体" w:hAnsi="宋体" w:eastAsia="宋体" w:cs="宋体"/>
          <w:spacing w:val="-8"/>
          <w:sz w:val="22"/>
          <w:szCs w:val="22"/>
        </w:rPr>
        <w:t>16    印张：23</w:t>
      </w:r>
    </w:p>
    <w:p w14:paraId="292E2A09">
      <w:pPr>
        <w:pStyle w:val="2"/>
        <w:spacing w:before="40" w:line="222" w:lineRule="auto"/>
        <w:ind w:left="1314"/>
        <w:rPr>
          <w:rFonts w:ascii="宋体" w:hAnsi="宋体" w:eastAsia="宋体" w:cs="宋体"/>
          <w:sz w:val="22"/>
          <w:szCs w:val="22"/>
        </w:rPr>
      </w:pPr>
      <w:r>
        <w:rPr>
          <w:rFonts w:ascii="宋体" w:hAnsi="宋体" w:eastAsia="宋体" w:cs="宋体"/>
          <w:spacing w:val="-3"/>
          <w:sz w:val="22"/>
          <w:szCs w:val="22"/>
        </w:rPr>
        <w:t xml:space="preserve">字    </w:t>
      </w:r>
      <w:r>
        <w:rPr>
          <w:spacing w:val="-3"/>
          <w:sz w:val="22"/>
          <w:szCs w:val="22"/>
        </w:rPr>
        <w:t>数</w:t>
      </w:r>
      <w:r>
        <w:rPr>
          <w:rFonts w:ascii="宋体" w:hAnsi="宋体" w:eastAsia="宋体" w:cs="宋体"/>
          <w:spacing w:val="-3"/>
          <w:sz w:val="22"/>
          <w:szCs w:val="22"/>
        </w:rPr>
        <w:t>：603千字</w:t>
      </w:r>
    </w:p>
    <w:p w14:paraId="4DE1D641">
      <w:pPr>
        <w:spacing w:before="55" w:line="219" w:lineRule="auto"/>
        <w:ind w:left="1314"/>
        <w:rPr>
          <w:rFonts w:ascii="宋体" w:hAnsi="宋体" w:eastAsia="宋体" w:cs="宋体"/>
          <w:sz w:val="22"/>
          <w:szCs w:val="22"/>
        </w:rPr>
      </w:pPr>
      <w:r>
        <w:rPr>
          <w:rFonts w:ascii="宋体" w:hAnsi="宋体" w:eastAsia="宋体" w:cs="宋体"/>
          <w:spacing w:val="16"/>
          <w:sz w:val="22"/>
          <w:szCs w:val="22"/>
        </w:rPr>
        <w:t>版</w:t>
      </w:r>
      <w:r>
        <w:rPr>
          <w:rFonts w:ascii="宋体" w:hAnsi="宋体" w:eastAsia="宋体" w:cs="宋体"/>
          <w:spacing w:val="27"/>
          <w:sz w:val="22"/>
          <w:szCs w:val="22"/>
        </w:rPr>
        <w:t xml:space="preserve">   </w:t>
      </w:r>
      <w:r>
        <w:rPr>
          <w:rFonts w:ascii="宋体" w:hAnsi="宋体" w:eastAsia="宋体" w:cs="宋体"/>
          <w:spacing w:val="16"/>
          <w:sz w:val="22"/>
          <w:szCs w:val="22"/>
        </w:rPr>
        <w:t>次</w:t>
      </w:r>
      <w:r>
        <w:rPr>
          <w:rFonts w:ascii="宋体" w:hAnsi="宋体" w:eastAsia="宋体" w:cs="宋体"/>
          <w:spacing w:val="-43"/>
          <w:sz w:val="22"/>
          <w:szCs w:val="22"/>
        </w:rPr>
        <w:t xml:space="preserve"> </w:t>
      </w:r>
      <w:r>
        <w:rPr>
          <w:rFonts w:ascii="宋体" w:hAnsi="宋体" w:eastAsia="宋体" w:cs="宋体"/>
          <w:spacing w:val="16"/>
          <w:sz w:val="22"/>
          <w:szCs w:val="22"/>
        </w:rPr>
        <w:t>：1981年8月第1版</w:t>
      </w:r>
      <w:r>
        <w:rPr>
          <w:rFonts w:ascii="宋体" w:hAnsi="宋体" w:eastAsia="宋体" w:cs="宋体"/>
          <w:spacing w:val="27"/>
          <w:sz w:val="22"/>
          <w:szCs w:val="22"/>
        </w:rPr>
        <w:t xml:space="preserve">   </w:t>
      </w:r>
      <w:r>
        <w:rPr>
          <w:rFonts w:ascii="宋体" w:hAnsi="宋体" w:eastAsia="宋体" w:cs="宋体"/>
          <w:spacing w:val="16"/>
          <w:sz w:val="22"/>
          <w:szCs w:val="22"/>
        </w:rPr>
        <w:t>2025年3月第9版</w:t>
      </w:r>
    </w:p>
    <w:p w14:paraId="4FFC965A">
      <w:pPr>
        <w:spacing w:before="49" w:line="219" w:lineRule="auto"/>
        <w:ind w:left="1314"/>
        <w:rPr>
          <w:rFonts w:ascii="宋体" w:hAnsi="宋体" w:eastAsia="宋体" w:cs="宋体"/>
          <w:sz w:val="22"/>
          <w:szCs w:val="22"/>
        </w:rPr>
      </w:pPr>
      <w:r>
        <w:rPr>
          <w:rFonts w:ascii="宋体" w:hAnsi="宋体" w:eastAsia="宋体" w:cs="宋体"/>
          <w:spacing w:val="8"/>
          <w:sz w:val="22"/>
          <w:szCs w:val="22"/>
        </w:rPr>
        <w:t>印</w:t>
      </w:r>
      <w:r>
        <w:rPr>
          <w:rFonts w:ascii="宋体" w:hAnsi="宋体" w:eastAsia="宋体" w:cs="宋体"/>
          <w:spacing w:val="4"/>
          <w:sz w:val="22"/>
          <w:szCs w:val="22"/>
        </w:rPr>
        <w:t xml:space="preserve">    </w:t>
      </w:r>
      <w:r>
        <w:rPr>
          <w:rFonts w:ascii="宋体" w:hAnsi="宋体" w:eastAsia="宋体" w:cs="宋体"/>
          <w:spacing w:val="8"/>
          <w:sz w:val="22"/>
          <w:szCs w:val="22"/>
        </w:rPr>
        <w:t>次：2025年6月第1次印刷</w:t>
      </w:r>
    </w:p>
    <w:p w14:paraId="7AE8D521">
      <w:pPr>
        <w:spacing w:before="48" w:line="219" w:lineRule="auto"/>
        <w:ind w:left="1314"/>
        <w:rPr>
          <w:rFonts w:ascii="Times New Roman" w:hAnsi="Times New Roman" w:eastAsia="Times New Roman" w:cs="Times New Roman"/>
          <w:sz w:val="22"/>
          <w:szCs w:val="22"/>
        </w:rPr>
      </w:pPr>
      <w:r>
        <w:rPr>
          <w:rFonts w:ascii="宋体" w:hAnsi="宋体" w:eastAsia="宋体" w:cs="宋体"/>
          <w:spacing w:val="-6"/>
          <w:sz w:val="22"/>
          <w:szCs w:val="22"/>
        </w:rPr>
        <w:t>标准书号：</w:t>
      </w:r>
      <w:r>
        <w:rPr>
          <w:rFonts w:ascii="Times New Roman" w:hAnsi="Times New Roman" w:eastAsia="Times New Roman" w:cs="Times New Roman"/>
          <w:spacing w:val="-6"/>
          <w:sz w:val="22"/>
          <w:szCs w:val="22"/>
        </w:rPr>
        <w:t>ISBN 978-7-117-37732-4</w:t>
      </w:r>
    </w:p>
    <w:p w14:paraId="6B305C77">
      <w:pPr>
        <w:spacing w:before="38" w:line="218" w:lineRule="auto"/>
        <w:ind w:left="1314"/>
        <w:rPr>
          <w:rFonts w:ascii="宋体" w:hAnsi="宋体" w:eastAsia="宋体" w:cs="宋体"/>
          <w:sz w:val="22"/>
          <w:szCs w:val="22"/>
        </w:rPr>
      </w:pPr>
      <w:r>
        <w:rPr>
          <w:rFonts w:ascii="宋体" w:hAnsi="宋体" w:eastAsia="宋体" w:cs="宋体"/>
          <w:spacing w:val="-9"/>
          <w:sz w:val="22"/>
          <w:szCs w:val="22"/>
        </w:rPr>
        <w:t>定</w:t>
      </w:r>
      <w:r>
        <w:rPr>
          <w:rFonts w:ascii="宋体" w:hAnsi="宋体" w:eastAsia="宋体" w:cs="宋体"/>
          <w:spacing w:val="2"/>
          <w:sz w:val="22"/>
          <w:szCs w:val="22"/>
        </w:rPr>
        <w:t xml:space="preserve">    </w:t>
      </w:r>
      <w:r>
        <w:rPr>
          <w:rFonts w:ascii="宋体" w:hAnsi="宋体" w:eastAsia="宋体" w:cs="宋体"/>
          <w:spacing w:val="-9"/>
          <w:sz w:val="22"/>
          <w:szCs w:val="22"/>
        </w:rPr>
        <w:t>价：78.00元</w:t>
      </w:r>
    </w:p>
    <w:p w14:paraId="7BDA7A87">
      <w:pPr>
        <w:spacing w:before="67" w:line="212" w:lineRule="auto"/>
        <w:ind w:left="1314"/>
        <w:rPr>
          <w:rFonts w:ascii="Times New Roman" w:hAnsi="Times New Roman" w:eastAsia="Times New Roman" w:cs="Times New Roman"/>
          <w:sz w:val="22"/>
          <w:szCs w:val="22"/>
        </w:rPr>
      </w:pPr>
      <w:r>
        <w:rPr>
          <w:rFonts w:ascii="宋体" w:hAnsi="宋体" w:eastAsia="宋体" w:cs="宋体"/>
          <w:spacing w:val="-8"/>
          <w:sz w:val="22"/>
          <w:szCs w:val="22"/>
        </w:rPr>
        <w:t>打击盗版举报电话：010-59787491</w:t>
      </w:r>
      <w:r>
        <w:rPr>
          <w:rFonts w:ascii="宋体" w:hAnsi="宋体" w:eastAsia="宋体" w:cs="宋体"/>
          <w:spacing w:val="59"/>
          <w:sz w:val="22"/>
          <w:szCs w:val="22"/>
        </w:rPr>
        <w:t xml:space="preserve"> </w:t>
      </w:r>
      <w:r>
        <w:rPr>
          <w:rFonts w:ascii="Times New Roman" w:hAnsi="Times New Roman" w:eastAsia="Times New Roman" w:cs="Times New Roman"/>
          <w:spacing w:val="-8"/>
          <w:sz w:val="22"/>
          <w:szCs w:val="22"/>
        </w:rPr>
        <w:t xml:space="preserve">E-mail:WQ@   </w:t>
      </w:r>
      <w:r>
        <w:rPr>
          <w:rFonts w:ascii="Times New Roman" w:hAnsi="Times New Roman" w:eastAsia="Times New Roman" w:cs="Times New Roman"/>
          <w:b/>
          <w:bCs/>
          <w:spacing w:val="-8"/>
          <w:sz w:val="22"/>
          <w:szCs w:val="22"/>
        </w:rPr>
        <w:t>pmph.com</w:t>
      </w:r>
    </w:p>
    <w:p w14:paraId="095F7510">
      <w:pPr>
        <w:spacing w:before="67" w:line="212" w:lineRule="auto"/>
        <w:ind w:left="1314"/>
        <w:rPr>
          <w:rFonts w:ascii="Times New Roman" w:hAnsi="Times New Roman" w:eastAsia="Times New Roman" w:cs="Times New Roman"/>
          <w:sz w:val="22"/>
          <w:szCs w:val="22"/>
        </w:rPr>
      </w:pPr>
      <w:r>
        <w:rPr>
          <w:rFonts w:ascii="宋体" w:hAnsi="宋体" w:eastAsia="宋体" w:cs="宋体"/>
          <w:spacing w:val="-7"/>
          <w:sz w:val="22"/>
          <w:szCs w:val="22"/>
        </w:rPr>
        <w:t>质量问题联系电话：010-59787234</w:t>
      </w:r>
      <w:r>
        <w:rPr>
          <w:rFonts w:ascii="宋体" w:hAnsi="宋体" w:eastAsia="宋体" w:cs="宋体"/>
          <w:spacing w:val="56"/>
          <w:sz w:val="22"/>
          <w:szCs w:val="22"/>
        </w:rPr>
        <w:t xml:space="preserve"> </w:t>
      </w:r>
      <w:r>
        <w:rPr>
          <w:rFonts w:ascii="Times New Roman" w:hAnsi="Times New Roman" w:eastAsia="Times New Roman" w:cs="Times New Roman"/>
          <w:spacing w:val="-7"/>
          <w:sz w:val="22"/>
          <w:szCs w:val="22"/>
        </w:rPr>
        <w:t>E-mail:zhiliang</w:t>
      </w:r>
      <w:r>
        <w:rPr>
          <w:rFonts w:ascii="Times New Roman" w:hAnsi="Times New Roman" w:eastAsia="Times New Roman" w:cs="Times New Roman"/>
          <w:spacing w:val="21"/>
          <w:w w:val="101"/>
          <w:sz w:val="22"/>
          <w:szCs w:val="22"/>
        </w:rPr>
        <w:t xml:space="preserve">  </w:t>
      </w:r>
      <w:r>
        <w:rPr>
          <w:rFonts w:ascii="Times New Roman" w:hAnsi="Times New Roman" w:eastAsia="Times New Roman" w:cs="Times New Roman"/>
          <w:spacing w:val="-7"/>
          <w:sz w:val="22"/>
          <w:szCs w:val="22"/>
        </w:rPr>
        <w:t>@pmph.com</w:t>
      </w:r>
    </w:p>
    <w:p w14:paraId="68F0C6FC">
      <w:pPr>
        <w:spacing w:before="65" w:line="214" w:lineRule="auto"/>
        <w:ind w:left="1314"/>
        <w:rPr>
          <w:rFonts w:ascii="宋体" w:hAnsi="宋体" w:eastAsia="宋体" w:cs="宋体"/>
          <w:sz w:val="22"/>
          <w:szCs w:val="22"/>
        </w:rPr>
      </w:pPr>
      <w:r>
        <w:rPr>
          <w:rFonts w:ascii="宋体" w:hAnsi="宋体" w:eastAsia="宋体" w:cs="宋体"/>
          <w:spacing w:val="-5"/>
          <w:sz w:val="22"/>
          <w:szCs w:val="22"/>
        </w:rPr>
        <w:t>数字融合服务电话：4001118166</w:t>
      </w:r>
      <w:r>
        <w:rPr>
          <w:rFonts w:ascii="宋体" w:hAnsi="宋体" w:eastAsia="宋体" w:cs="宋体"/>
          <w:spacing w:val="25"/>
          <w:sz w:val="22"/>
          <w:szCs w:val="22"/>
        </w:rPr>
        <w:t xml:space="preserve">  </w:t>
      </w:r>
      <w:r>
        <w:rPr>
          <w:rFonts w:ascii="宋体" w:hAnsi="宋体" w:eastAsia="宋体" w:cs="宋体"/>
          <w:spacing w:val="-5"/>
          <w:sz w:val="22"/>
          <w:szCs w:val="22"/>
        </w:rPr>
        <w:t>E-mail:zengzhi</w:t>
      </w:r>
      <w:r>
        <w:rPr>
          <w:rFonts w:ascii="宋体" w:hAnsi="宋体" w:eastAsia="宋体" w:cs="宋体"/>
          <w:spacing w:val="-6"/>
          <w:sz w:val="22"/>
          <w:szCs w:val="22"/>
        </w:rPr>
        <w:t xml:space="preserve"> @pmph.com</w:t>
      </w:r>
    </w:p>
    <w:p w14:paraId="3D1BD1B4">
      <w:pPr>
        <w:spacing w:line="214" w:lineRule="auto"/>
        <w:rPr>
          <w:rFonts w:ascii="宋体" w:hAnsi="宋体" w:eastAsia="宋体" w:cs="宋体"/>
          <w:sz w:val="22"/>
          <w:szCs w:val="22"/>
        </w:rPr>
        <w:sectPr>
          <w:pgSz w:w="11900" w:h="16820"/>
          <w:pgMar w:top="400" w:right="1785" w:bottom="0" w:left="1785" w:header="0" w:footer="0" w:gutter="0"/>
          <w:cols w:space="720" w:num="1"/>
        </w:sectPr>
      </w:pPr>
    </w:p>
    <w:p w14:paraId="5414E8E1">
      <w:pPr>
        <w:spacing w:line="245" w:lineRule="auto"/>
        <w:rPr>
          <w:rFonts w:ascii="Arial"/>
          <w:sz w:val="21"/>
        </w:rPr>
      </w:pPr>
    </w:p>
    <w:p w14:paraId="0A112744">
      <w:pPr>
        <w:spacing w:line="245" w:lineRule="auto"/>
        <w:rPr>
          <w:rFonts w:ascii="Arial"/>
          <w:sz w:val="21"/>
        </w:rPr>
      </w:pPr>
    </w:p>
    <w:p w14:paraId="117FD582">
      <w:pPr>
        <w:spacing w:line="246" w:lineRule="auto"/>
        <w:rPr>
          <w:rFonts w:ascii="Arial"/>
          <w:sz w:val="21"/>
        </w:rPr>
      </w:pPr>
    </w:p>
    <w:p w14:paraId="600728EC">
      <w:pPr>
        <w:spacing w:line="246" w:lineRule="auto"/>
        <w:rPr>
          <w:rFonts w:ascii="Arial"/>
          <w:sz w:val="21"/>
        </w:rPr>
      </w:pPr>
    </w:p>
    <w:p w14:paraId="1D59B939">
      <w:pPr>
        <w:pStyle w:val="2"/>
        <w:spacing w:before="150" w:line="221" w:lineRule="auto"/>
        <w:ind w:left="3241"/>
        <w:rPr>
          <w:sz w:val="46"/>
          <w:szCs w:val="46"/>
        </w:rPr>
      </w:pPr>
      <w:r>
        <w:rPr>
          <w:b/>
          <w:bCs/>
          <w:spacing w:val="-1"/>
          <w:sz w:val="46"/>
          <w:szCs w:val="46"/>
        </w:rPr>
        <w:t>编委名单</w:t>
      </w:r>
    </w:p>
    <w:p w14:paraId="378517BD">
      <w:pPr>
        <w:spacing w:line="255" w:lineRule="auto"/>
        <w:rPr>
          <w:rFonts w:ascii="Arial"/>
          <w:sz w:val="21"/>
        </w:rPr>
      </w:pPr>
    </w:p>
    <w:p w14:paraId="1385E81E">
      <w:pPr>
        <w:spacing w:line="255" w:lineRule="auto"/>
        <w:rPr>
          <w:rFonts w:ascii="Arial"/>
          <w:sz w:val="21"/>
        </w:rPr>
      </w:pPr>
    </w:p>
    <w:p w14:paraId="6CE35775">
      <w:pPr>
        <w:spacing w:line="256" w:lineRule="auto"/>
        <w:rPr>
          <w:rFonts w:ascii="Arial"/>
          <w:sz w:val="21"/>
        </w:rPr>
      </w:pPr>
    </w:p>
    <w:p w14:paraId="248A16C6">
      <w:pPr>
        <w:spacing w:line="256" w:lineRule="auto"/>
        <w:rPr>
          <w:rFonts w:ascii="Arial"/>
          <w:sz w:val="21"/>
        </w:rPr>
      </w:pPr>
    </w:p>
    <w:p w14:paraId="1E617723">
      <w:pPr>
        <w:pStyle w:val="2"/>
        <w:spacing w:before="91" w:line="221" w:lineRule="auto"/>
        <w:ind w:left="324"/>
        <w:rPr>
          <w:sz w:val="23"/>
          <w:szCs w:val="23"/>
        </w:rPr>
      </w:pPr>
      <w:r>
        <w:rPr>
          <w:spacing w:val="-5"/>
          <w:sz w:val="28"/>
          <w:szCs w:val="28"/>
        </w:rPr>
        <w:t xml:space="preserve">编  委 </w:t>
      </w:r>
      <w:r>
        <w:rPr>
          <w:spacing w:val="-5"/>
          <w:sz w:val="23"/>
          <w:szCs w:val="23"/>
        </w:rPr>
        <w:t>(以姓氏笔画为序)</w:t>
      </w:r>
    </w:p>
    <w:p w14:paraId="799309A7">
      <w:pPr>
        <w:pStyle w:val="2"/>
        <w:spacing w:before="35" w:line="227" w:lineRule="auto"/>
        <w:ind w:left="324"/>
        <w:rPr>
          <w:rFonts w:ascii="宋体" w:hAnsi="宋体" w:eastAsia="宋体" w:cs="宋体"/>
          <w:sz w:val="23"/>
          <w:szCs w:val="23"/>
        </w:rPr>
      </w:pPr>
      <w:r>
        <w:rPr>
          <w:spacing w:val="10"/>
          <w:position w:val="-1"/>
          <w:sz w:val="23"/>
          <w:szCs w:val="23"/>
        </w:rPr>
        <w:t>王帆哈尔滨医科大学</w:t>
      </w:r>
      <w:r>
        <w:rPr>
          <w:spacing w:val="2"/>
          <w:position w:val="-1"/>
          <w:sz w:val="23"/>
          <w:szCs w:val="23"/>
        </w:rPr>
        <w:t xml:space="preserve">             </w:t>
      </w:r>
      <w:r>
        <w:rPr>
          <w:rFonts w:ascii="宋体" w:hAnsi="宋体" w:eastAsia="宋体" w:cs="宋体"/>
          <w:spacing w:val="10"/>
          <w:sz w:val="23"/>
          <w:szCs w:val="23"/>
        </w:rPr>
        <w:t>沈</w:t>
      </w:r>
      <w:r>
        <w:rPr>
          <w:rFonts w:ascii="宋体" w:hAnsi="宋体" w:eastAsia="宋体" w:cs="宋体"/>
          <w:spacing w:val="107"/>
          <w:sz w:val="23"/>
          <w:szCs w:val="23"/>
        </w:rPr>
        <w:t xml:space="preserve"> </w:t>
      </w:r>
      <w:r>
        <w:rPr>
          <w:rFonts w:ascii="宋体" w:hAnsi="宋体" w:eastAsia="宋体" w:cs="宋体"/>
          <w:spacing w:val="10"/>
          <w:sz w:val="23"/>
          <w:szCs w:val="23"/>
        </w:rPr>
        <w:t>瑾 中国疾病预防控制中心</w:t>
      </w:r>
      <w:r>
        <w:rPr>
          <w:rFonts w:ascii="宋体" w:hAnsi="宋体" w:eastAsia="宋体" w:cs="宋体"/>
          <w:spacing w:val="9"/>
          <w:sz w:val="23"/>
          <w:szCs w:val="23"/>
        </w:rPr>
        <w:t>环境与</w:t>
      </w:r>
    </w:p>
    <w:p w14:paraId="5F0EB502">
      <w:pPr>
        <w:pStyle w:val="2"/>
        <w:spacing w:before="106" w:line="227" w:lineRule="auto"/>
        <w:ind w:left="324"/>
        <w:rPr>
          <w:rFonts w:ascii="宋体" w:hAnsi="宋体" w:eastAsia="宋体" w:cs="宋体"/>
          <w:sz w:val="23"/>
          <w:szCs w:val="23"/>
        </w:rPr>
      </w:pPr>
      <w:r>
        <w:rPr>
          <w:spacing w:val="-10"/>
          <w:sz w:val="23"/>
          <w:szCs w:val="23"/>
        </w:rPr>
        <w:t>王</w:t>
      </w:r>
      <w:r>
        <w:rPr>
          <w:spacing w:val="116"/>
          <w:sz w:val="23"/>
          <w:szCs w:val="23"/>
        </w:rPr>
        <w:t xml:space="preserve"> </w:t>
      </w:r>
      <w:r>
        <w:rPr>
          <w:spacing w:val="-10"/>
          <w:sz w:val="23"/>
          <w:szCs w:val="23"/>
        </w:rPr>
        <w:t>蓓</w:t>
      </w:r>
      <w:r>
        <w:rPr>
          <w:spacing w:val="76"/>
          <w:sz w:val="23"/>
          <w:szCs w:val="23"/>
        </w:rPr>
        <w:t xml:space="preserve"> </w:t>
      </w:r>
      <w:r>
        <w:rPr>
          <w:rFonts w:ascii="宋体" w:hAnsi="宋体" w:eastAsia="宋体" w:cs="宋体"/>
          <w:spacing w:val="-10"/>
          <w:sz w:val="23"/>
          <w:szCs w:val="23"/>
        </w:rPr>
        <w:t>东南大学</w:t>
      </w:r>
      <w:r>
        <w:rPr>
          <w:rFonts w:ascii="宋体" w:hAnsi="宋体" w:eastAsia="宋体" w:cs="宋体"/>
          <w:spacing w:val="3"/>
          <w:sz w:val="23"/>
          <w:szCs w:val="23"/>
        </w:rPr>
        <w:t xml:space="preserve">                        </w:t>
      </w:r>
      <w:r>
        <w:rPr>
          <w:rFonts w:ascii="宋体" w:hAnsi="宋体" w:eastAsia="宋体" w:cs="宋体"/>
          <w:spacing w:val="2"/>
          <w:sz w:val="23"/>
          <w:szCs w:val="23"/>
        </w:rPr>
        <w:t xml:space="preserve">  </w:t>
      </w:r>
      <w:r>
        <w:rPr>
          <w:rFonts w:ascii="宋体" w:hAnsi="宋体" w:eastAsia="宋体" w:cs="宋体"/>
          <w:spacing w:val="-10"/>
          <w:sz w:val="23"/>
          <w:szCs w:val="23"/>
        </w:rPr>
        <w:t>健康相关产品安全所</w:t>
      </w:r>
    </w:p>
    <w:p w14:paraId="731B031D">
      <w:pPr>
        <w:pStyle w:val="2"/>
        <w:spacing w:before="105" w:line="221" w:lineRule="auto"/>
        <w:ind w:left="324"/>
        <w:rPr>
          <w:sz w:val="23"/>
          <w:szCs w:val="23"/>
        </w:rPr>
      </w:pPr>
      <w:r>
        <w:rPr>
          <w:spacing w:val="4"/>
          <w:sz w:val="23"/>
          <w:szCs w:val="23"/>
        </w:rPr>
        <w:t>王伟炳复旦大学</w:t>
      </w:r>
      <w:r>
        <w:rPr>
          <w:spacing w:val="6"/>
          <w:sz w:val="23"/>
          <w:szCs w:val="23"/>
        </w:rPr>
        <w:t xml:space="preserve">                  </w:t>
      </w:r>
      <w:r>
        <w:rPr>
          <w:spacing w:val="4"/>
          <w:sz w:val="23"/>
          <w:szCs w:val="23"/>
        </w:rPr>
        <w:t>张</w:t>
      </w:r>
      <w:r>
        <w:rPr>
          <w:spacing w:val="-14"/>
          <w:sz w:val="23"/>
          <w:szCs w:val="23"/>
        </w:rPr>
        <w:t xml:space="preserve"> </w:t>
      </w:r>
      <w:r>
        <w:rPr>
          <w:spacing w:val="4"/>
          <w:sz w:val="23"/>
          <w:szCs w:val="23"/>
        </w:rPr>
        <w:t>军</w:t>
      </w:r>
      <w:r>
        <w:rPr>
          <w:spacing w:val="-31"/>
          <w:sz w:val="23"/>
          <w:szCs w:val="23"/>
        </w:rPr>
        <w:t xml:space="preserve"> </w:t>
      </w:r>
      <w:r>
        <w:rPr>
          <w:spacing w:val="4"/>
          <w:sz w:val="23"/>
          <w:szCs w:val="23"/>
        </w:rPr>
        <w:t>厦 门</w:t>
      </w:r>
      <w:r>
        <w:rPr>
          <w:spacing w:val="-30"/>
          <w:sz w:val="23"/>
          <w:szCs w:val="23"/>
        </w:rPr>
        <w:t xml:space="preserve"> </w:t>
      </w:r>
      <w:r>
        <w:rPr>
          <w:spacing w:val="4"/>
          <w:sz w:val="23"/>
          <w:szCs w:val="23"/>
        </w:rPr>
        <w:t>大</w:t>
      </w:r>
      <w:r>
        <w:rPr>
          <w:spacing w:val="-22"/>
          <w:sz w:val="23"/>
          <w:szCs w:val="23"/>
        </w:rPr>
        <w:t xml:space="preserve"> </w:t>
      </w:r>
      <w:r>
        <w:rPr>
          <w:spacing w:val="4"/>
          <w:sz w:val="23"/>
          <w:szCs w:val="23"/>
        </w:rPr>
        <w:t>学</w:t>
      </w:r>
    </w:p>
    <w:p w14:paraId="476DAD3F">
      <w:pPr>
        <w:pStyle w:val="2"/>
        <w:spacing w:before="105" w:line="229" w:lineRule="auto"/>
        <w:ind w:left="324"/>
        <w:rPr>
          <w:sz w:val="23"/>
          <w:szCs w:val="23"/>
        </w:rPr>
      </w:pPr>
      <w:r>
        <w:rPr>
          <w:spacing w:val="-8"/>
          <w:sz w:val="23"/>
          <w:szCs w:val="23"/>
        </w:rPr>
        <w:t>毛</w:t>
      </w:r>
      <w:r>
        <w:rPr>
          <w:spacing w:val="-46"/>
          <w:sz w:val="23"/>
          <w:szCs w:val="23"/>
        </w:rPr>
        <w:t xml:space="preserve"> </w:t>
      </w:r>
      <w:r>
        <w:rPr>
          <w:spacing w:val="-8"/>
          <w:sz w:val="23"/>
          <w:szCs w:val="23"/>
        </w:rPr>
        <w:t>琛</w:t>
      </w:r>
      <w:r>
        <w:rPr>
          <w:spacing w:val="-46"/>
          <w:sz w:val="23"/>
          <w:szCs w:val="23"/>
        </w:rPr>
        <w:t xml:space="preserve"> </w:t>
      </w:r>
      <w:r>
        <w:rPr>
          <w:spacing w:val="-8"/>
          <w:sz w:val="23"/>
          <w:szCs w:val="23"/>
        </w:rPr>
        <w:t>南</w:t>
      </w:r>
      <w:r>
        <w:rPr>
          <w:spacing w:val="-47"/>
          <w:sz w:val="23"/>
          <w:szCs w:val="23"/>
        </w:rPr>
        <w:t xml:space="preserve"> </w:t>
      </w:r>
      <w:r>
        <w:rPr>
          <w:spacing w:val="-8"/>
          <w:sz w:val="23"/>
          <w:szCs w:val="23"/>
        </w:rPr>
        <w:t>方</w:t>
      </w:r>
      <w:r>
        <w:rPr>
          <w:spacing w:val="-42"/>
          <w:sz w:val="23"/>
          <w:szCs w:val="23"/>
        </w:rPr>
        <w:t xml:space="preserve"> </w:t>
      </w:r>
      <w:r>
        <w:rPr>
          <w:spacing w:val="-8"/>
          <w:sz w:val="23"/>
          <w:szCs w:val="23"/>
        </w:rPr>
        <w:t>医</w:t>
      </w:r>
      <w:r>
        <w:rPr>
          <w:spacing w:val="-51"/>
          <w:sz w:val="23"/>
          <w:szCs w:val="23"/>
        </w:rPr>
        <w:t xml:space="preserve"> </w:t>
      </w:r>
      <w:r>
        <w:rPr>
          <w:spacing w:val="-8"/>
          <w:sz w:val="23"/>
          <w:szCs w:val="23"/>
        </w:rPr>
        <w:t>科</w:t>
      </w:r>
      <w:r>
        <w:rPr>
          <w:spacing w:val="-53"/>
          <w:sz w:val="23"/>
          <w:szCs w:val="23"/>
        </w:rPr>
        <w:t xml:space="preserve"> </w:t>
      </w:r>
      <w:r>
        <w:rPr>
          <w:spacing w:val="-8"/>
          <w:sz w:val="23"/>
          <w:szCs w:val="23"/>
        </w:rPr>
        <w:t>大</w:t>
      </w:r>
      <w:r>
        <w:rPr>
          <w:spacing w:val="-45"/>
          <w:sz w:val="23"/>
          <w:szCs w:val="23"/>
        </w:rPr>
        <w:t xml:space="preserve"> </w:t>
      </w:r>
      <w:r>
        <w:rPr>
          <w:spacing w:val="-8"/>
          <w:sz w:val="23"/>
          <w:szCs w:val="23"/>
        </w:rPr>
        <w:t>学</w:t>
      </w:r>
      <w:r>
        <w:rPr>
          <w:sz w:val="23"/>
          <w:szCs w:val="23"/>
        </w:rPr>
        <w:t xml:space="preserve">               </w:t>
      </w:r>
      <w:r>
        <w:rPr>
          <w:spacing w:val="-8"/>
          <w:sz w:val="23"/>
          <w:szCs w:val="23"/>
        </w:rPr>
        <w:t>林华亮</w:t>
      </w:r>
      <w:r>
        <w:rPr>
          <w:spacing w:val="44"/>
          <w:sz w:val="23"/>
          <w:szCs w:val="23"/>
        </w:rPr>
        <w:t xml:space="preserve"> </w:t>
      </w:r>
      <w:r>
        <w:rPr>
          <w:spacing w:val="-8"/>
          <w:sz w:val="23"/>
          <w:szCs w:val="23"/>
        </w:rPr>
        <w:t>中山大学</w:t>
      </w:r>
    </w:p>
    <w:p w14:paraId="0812F6FD">
      <w:pPr>
        <w:pStyle w:val="2"/>
        <w:spacing w:before="95" w:line="229" w:lineRule="auto"/>
        <w:ind w:left="324"/>
        <w:rPr>
          <w:sz w:val="23"/>
          <w:szCs w:val="23"/>
        </w:rPr>
      </w:pPr>
      <w:r>
        <w:rPr>
          <w:spacing w:val="5"/>
          <w:sz w:val="23"/>
          <w:szCs w:val="23"/>
        </w:rPr>
        <w:t>冯永亮</w:t>
      </w:r>
      <w:r>
        <w:rPr>
          <w:spacing w:val="86"/>
          <w:sz w:val="23"/>
          <w:szCs w:val="23"/>
        </w:rPr>
        <w:t xml:space="preserve"> </w:t>
      </w:r>
      <w:r>
        <w:rPr>
          <w:spacing w:val="5"/>
          <w:sz w:val="23"/>
          <w:szCs w:val="23"/>
        </w:rPr>
        <w:t>山西医科大学</w:t>
      </w:r>
      <w:r>
        <w:rPr>
          <w:sz w:val="23"/>
          <w:szCs w:val="23"/>
        </w:rPr>
        <w:t xml:space="preserve">               </w:t>
      </w:r>
      <w:r>
        <w:rPr>
          <w:spacing w:val="5"/>
          <w:sz w:val="23"/>
          <w:szCs w:val="23"/>
        </w:rPr>
        <w:t>杭</w:t>
      </w:r>
      <w:r>
        <w:rPr>
          <w:spacing w:val="70"/>
          <w:sz w:val="23"/>
          <w:szCs w:val="23"/>
        </w:rPr>
        <w:t xml:space="preserve"> </w:t>
      </w:r>
      <w:r>
        <w:rPr>
          <w:spacing w:val="5"/>
          <w:sz w:val="23"/>
          <w:szCs w:val="23"/>
        </w:rPr>
        <w:t>栋南京医科大学</w:t>
      </w:r>
    </w:p>
    <w:p w14:paraId="6202F062">
      <w:pPr>
        <w:pStyle w:val="2"/>
        <w:spacing w:before="94" w:line="229" w:lineRule="auto"/>
        <w:ind w:left="324"/>
        <w:rPr>
          <w:sz w:val="23"/>
          <w:szCs w:val="23"/>
        </w:rPr>
      </w:pPr>
      <w:r>
        <w:rPr>
          <w:spacing w:val="-3"/>
          <w:sz w:val="23"/>
          <w:szCs w:val="23"/>
        </w:rPr>
        <w:t>吕</w:t>
      </w:r>
      <w:r>
        <w:rPr>
          <w:spacing w:val="70"/>
          <w:sz w:val="23"/>
          <w:szCs w:val="23"/>
        </w:rPr>
        <w:t xml:space="preserve"> </w:t>
      </w:r>
      <w:r>
        <w:rPr>
          <w:spacing w:val="-3"/>
          <w:sz w:val="23"/>
          <w:szCs w:val="23"/>
        </w:rPr>
        <w:t>筠</w:t>
      </w:r>
      <w:r>
        <w:rPr>
          <w:spacing w:val="60"/>
          <w:sz w:val="23"/>
          <w:szCs w:val="23"/>
        </w:rPr>
        <w:t xml:space="preserve"> </w:t>
      </w:r>
      <w:r>
        <w:rPr>
          <w:spacing w:val="-3"/>
          <w:sz w:val="23"/>
          <w:szCs w:val="23"/>
        </w:rPr>
        <w:t>北京大学                   胡志斌  南京医科大学</w:t>
      </w:r>
    </w:p>
    <w:p w14:paraId="339E1901">
      <w:pPr>
        <w:pStyle w:val="2"/>
        <w:spacing w:before="95" w:line="229" w:lineRule="auto"/>
        <w:ind w:left="324"/>
        <w:rPr>
          <w:sz w:val="23"/>
          <w:szCs w:val="23"/>
        </w:rPr>
      </w:pPr>
      <w:r>
        <w:rPr>
          <w:position w:val="-1"/>
          <w:sz w:val="23"/>
          <w:szCs w:val="23"/>
        </w:rPr>
        <w:t>朱</w:t>
      </w:r>
      <w:r>
        <w:rPr>
          <w:spacing w:val="-36"/>
          <w:position w:val="-1"/>
          <w:sz w:val="23"/>
          <w:szCs w:val="23"/>
        </w:rPr>
        <w:t xml:space="preserve"> </w:t>
      </w:r>
      <w:r>
        <w:rPr>
          <w:position w:val="-1"/>
          <w:sz w:val="23"/>
          <w:szCs w:val="23"/>
        </w:rPr>
        <w:t>红</w:t>
      </w:r>
      <w:r>
        <w:rPr>
          <w:spacing w:val="-53"/>
          <w:position w:val="-1"/>
          <w:sz w:val="23"/>
          <w:szCs w:val="23"/>
        </w:rPr>
        <w:t xml:space="preserve"> </w:t>
      </w:r>
      <w:r>
        <w:rPr>
          <w:position w:val="-1"/>
          <w:sz w:val="23"/>
          <w:szCs w:val="23"/>
        </w:rPr>
        <w:t>天</w:t>
      </w:r>
      <w:r>
        <w:rPr>
          <w:spacing w:val="-54"/>
          <w:position w:val="-1"/>
          <w:sz w:val="23"/>
          <w:szCs w:val="23"/>
        </w:rPr>
        <w:t xml:space="preserve"> </w:t>
      </w:r>
      <w:r>
        <w:rPr>
          <w:position w:val="-1"/>
          <w:sz w:val="23"/>
          <w:szCs w:val="23"/>
        </w:rPr>
        <w:t>津</w:t>
      </w:r>
      <w:r>
        <w:rPr>
          <w:spacing w:val="-42"/>
          <w:position w:val="-1"/>
          <w:sz w:val="23"/>
          <w:szCs w:val="23"/>
        </w:rPr>
        <w:t xml:space="preserve"> </w:t>
      </w:r>
      <w:r>
        <w:rPr>
          <w:position w:val="-1"/>
          <w:sz w:val="23"/>
          <w:szCs w:val="23"/>
        </w:rPr>
        <w:t>医</w:t>
      </w:r>
      <w:r>
        <w:rPr>
          <w:spacing w:val="-52"/>
          <w:position w:val="-1"/>
          <w:sz w:val="23"/>
          <w:szCs w:val="23"/>
        </w:rPr>
        <w:t xml:space="preserve"> </w:t>
      </w:r>
      <w:r>
        <w:rPr>
          <w:position w:val="-1"/>
          <w:sz w:val="23"/>
          <w:szCs w:val="23"/>
        </w:rPr>
        <w:t>科</w:t>
      </w:r>
      <w:r>
        <w:rPr>
          <w:spacing w:val="-53"/>
          <w:position w:val="-1"/>
          <w:sz w:val="23"/>
          <w:szCs w:val="23"/>
        </w:rPr>
        <w:t xml:space="preserve"> </w:t>
      </w:r>
      <w:r>
        <w:rPr>
          <w:position w:val="-1"/>
          <w:sz w:val="23"/>
          <w:szCs w:val="23"/>
        </w:rPr>
        <w:t>大</w:t>
      </w:r>
      <w:r>
        <w:rPr>
          <w:spacing w:val="-44"/>
          <w:position w:val="-1"/>
          <w:sz w:val="23"/>
          <w:szCs w:val="23"/>
        </w:rPr>
        <w:t xml:space="preserve"> </w:t>
      </w:r>
      <w:r>
        <w:rPr>
          <w:position w:val="-1"/>
          <w:sz w:val="23"/>
          <w:szCs w:val="23"/>
        </w:rPr>
        <w:t xml:space="preserve">学               </w:t>
      </w:r>
      <w:r>
        <w:rPr>
          <w:sz w:val="23"/>
          <w:szCs w:val="23"/>
        </w:rPr>
        <w:t>钟秋安广西医科大学</w:t>
      </w:r>
    </w:p>
    <w:p w14:paraId="7A608C38">
      <w:pPr>
        <w:pStyle w:val="2"/>
        <w:spacing w:before="85" w:line="229" w:lineRule="auto"/>
        <w:ind w:left="324"/>
        <w:rPr>
          <w:sz w:val="23"/>
          <w:szCs w:val="23"/>
        </w:rPr>
      </w:pPr>
      <w:r>
        <w:rPr>
          <w:spacing w:val="-3"/>
          <w:sz w:val="23"/>
          <w:szCs w:val="23"/>
        </w:rPr>
        <w:t>闫宇翔</w:t>
      </w:r>
      <w:r>
        <w:rPr>
          <w:spacing w:val="81"/>
          <w:sz w:val="23"/>
          <w:szCs w:val="23"/>
        </w:rPr>
        <w:t xml:space="preserve"> </w:t>
      </w:r>
      <w:r>
        <w:rPr>
          <w:spacing w:val="-3"/>
          <w:sz w:val="23"/>
          <w:szCs w:val="23"/>
        </w:rPr>
        <w:t>首都医科大学               高文静</w:t>
      </w:r>
      <w:r>
        <w:rPr>
          <w:spacing w:val="70"/>
          <w:sz w:val="23"/>
          <w:szCs w:val="23"/>
        </w:rPr>
        <w:t xml:space="preserve"> </w:t>
      </w:r>
      <w:r>
        <w:rPr>
          <w:spacing w:val="-3"/>
          <w:sz w:val="23"/>
          <w:szCs w:val="23"/>
        </w:rPr>
        <w:t>北京大学</w:t>
      </w:r>
    </w:p>
    <w:p w14:paraId="44BF7B84">
      <w:pPr>
        <w:pStyle w:val="2"/>
        <w:spacing w:before="94" w:line="229" w:lineRule="auto"/>
        <w:ind w:left="324"/>
        <w:rPr>
          <w:sz w:val="23"/>
          <w:szCs w:val="23"/>
        </w:rPr>
      </w:pPr>
      <w:r>
        <w:rPr>
          <w:spacing w:val="-4"/>
          <w:sz w:val="23"/>
          <w:szCs w:val="23"/>
        </w:rPr>
        <w:t>关  鹏</w:t>
      </w:r>
      <w:r>
        <w:rPr>
          <w:spacing w:val="101"/>
          <w:sz w:val="23"/>
          <w:szCs w:val="23"/>
        </w:rPr>
        <w:t xml:space="preserve"> </w:t>
      </w:r>
      <w:r>
        <w:rPr>
          <w:spacing w:val="-4"/>
          <w:sz w:val="23"/>
          <w:szCs w:val="23"/>
        </w:rPr>
        <w:t>中国医科大学               席  波  山东大学</w:t>
      </w:r>
    </w:p>
    <w:p w14:paraId="504D1F21">
      <w:pPr>
        <w:pStyle w:val="2"/>
        <w:spacing w:before="95" w:line="221" w:lineRule="auto"/>
        <w:ind w:left="324"/>
        <w:rPr>
          <w:sz w:val="23"/>
          <w:szCs w:val="23"/>
        </w:rPr>
      </w:pPr>
      <w:r>
        <w:rPr>
          <w:spacing w:val="-2"/>
          <w:sz w:val="23"/>
          <w:szCs w:val="23"/>
        </w:rPr>
        <w:t>孙继民 浙江省疾病预防控制中心</w:t>
      </w:r>
      <w:r>
        <w:rPr>
          <w:spacing w:val="19"/>
          <w:sz w:val="23"/>
          <w:szCs w:val="23"/>
        </w:rPr>
        <w:t xml:space="preserve">     </w:t>
      </w:r>
      <w:r>
        <w:rPr>
          <w:spacing w:val="-2"/>
          <w:sz w:val="23"/>
          <w:szCs w:val="23"/>
        </w:rPr>
        <w:t>寇长贵 吉林大学</w:t>
      </w:r>
    </w:p>
    <w:p w14:paraId="4B3564EF">
      <w:pPr>
        <w:pStyle w:val="2"/>
        <w:spacing w:before="105" w:line="221" w:lineRule="auto"/>
        <w:ind w:left="324"/>
        <w:rPr>
          <w:sz w:val="23"/>
          <w:szCs w:val="23"/>
        </w:rPr>
      </w:pPr>
      <w:r>
        <w:rPr>
          <w:spacing w:val="-5"/>
          <w:sz w:val="23"/>
          <w:szCs w:val="23"/>
        </w:rPr>
        <w:t>苏</w:t>
      </w:r>
      <w:r>
        <w:rPr>
          <w:spacing w:val="-52"/>
          <w:sz w:val="23"/>
          <w:szCs w:val="23"/>
        </w:rPr>
        <w:t xml:space="preserve"> </w:t>
      </w:r>
      <w:r>
        <w:rPr>
          <w:spacing w:val="-5"/>
          <w:sz w:val="23"/>
          <w:szCs w:val="23"/>
        </w:rPr>
        <w:t>虹</w:t>
      </w:r>
      <w:r>
        <w:rPr>
          <w:spacing w:val="-43"/>
          <w:sz w:val="23"/>
          <w:szCs w:val="23"/>
        </w:rPr>
        <w:t xml:space="preserve"> </w:t>
      </w:r>
      <w:r>
        <w:rPr>
          <w:spacing w:val="-5"/>
          <w:sz w:val="23"/>
          <w:szCs w:val="23"/>
        </w:rPr>
        <w:t>安</w:t>
      </w:r>
      <w:r>
        <w:rPr>
          <w:spacing w:val="-52"/>
          <w:sz w:val="23"/>
          <w:szCs w:val="23"/>
        </w:rPr>
        <w:t xml:space="preserve"> </w:t>
      </w:r>
      <w:r>
        <w:rPr>
          <w:spacing w:val="-5"/>
          <w:sz w:val="23"/>
          <w:szCs w:val="23"/>
        </w:rPr>
        <w:t>徽</w:t>
      </w:r>
      <w:r>
        <w:rPr>
          <w:spacing w:val="-42"/>
          <w:sz w:val="23"/>
          <w:szCs w:val="23"/>
        </w:rPr>
        <w:t xml:space="preserve"> </w:t>
      </w:r>
      <w:r>
        <w:rPr>
          <w:spacing w:val="-5"/>
          <w:sz w:val="23"/>
          <w:szCs w:val="23"/>
        </w:rPr>
        <w:t>医</w:t>
      </w:r>
      <w:r>
        <w:rPr>
          <w:spacing w:val="-51"/>
          <w:sz w:val="23"/>
          <w:szCs w:val="23"/>
        </w:rPr>
        <w:t xml:space="preserve"> </w:t>
      </w:r>
      <w:r>
        <w:rPr>
          <w:spacing w:val="-5"/>
          <w:sz w:val="23"/>
          <w:szCs w:val="23"/>
        </w:rPr>
        <w:t>科</w:t>
      </w:r>
      <w:r>
        <w:rPr>
          <w:spacing w:val="-53"/>
          <w:sz w:val="23"/>
          <w:szCs w:val="23"/>
        </w:rPr>
        <w:t xml:space="preserve"> </w:t>
      </w:r>
      <w:r>
        <w:rPr>
          <w:spacing w:val="-5"/>
          <w:sz w:val="23"/>
          <w:szCs w:val="23"/>
        </w:rPr>
        <w:t>大</w:t>
      </w:r>
      <w:r>
        <w:rPr>
          <w:spacing w:val="-44"/>
          <w:sz w:val="23"/>
          <w:szCs w:val="23"/>
        </w:rPr>
        <w:t xml:space="preserve"> </w:t>
      </w:r>
      <w:r>
        <w:rPr>
          <w:spacing w:val="-5"/>
          <w:sz w:val="23"/>
          <w:szCs w:val="23"/>
        </w:rPr>
        <w:t>学</w:t>
      </w:r>
      <w:r>
        <w:rPr>
          <w:sz w:val="23"/>
          <w:szCs w:val="23"/>
        </w:rPr>
        <w:t xml:space="preserve">               </w:t>
      </w:r>
      <w:r>
        <w:rPr>
          <w:spacing w:val="-5"/>
          <w:sz w:val="23"/>
          <w:szCs w:val="23"/>
        </w:rPr>
        <w:t>詹思延 北京大学</w:t>
      </w:r>
    </w:p>
    <w:p w14:paraId="6743B133">
      <w:pPr>
        <w:pStyle w:val="2"/>
        <w:spacing w:before="104" w:line="221" w:lineRule="auto"/>
        <w:ind w:left="324"/>
        <w:rPr>
          <w:sz w:val="23"/>
          <w:szCs w:val="23"/>
        </w:rPr>
      </w:pPr>
      <w:r>
        <w:rPr>
          <w:spacing w:val="3"/>
          <w:sz w:val="23"/>
          <w:szCs w:val="23"/>
        </w:rPr>
        <w:t>李杏莉</w:t>
      </w:r>
      <w:r>
        <w:rPr>
          <w:spacing w:val="108"/>
          <w:sz w:val="23"/>
          <w:szCs w:val="23"/>
        </w:rPr>
        <w:t xml:space="preserve"> </w:t>
      </w:r>
      <w:r>
        <w:rPr>
          <w:spacing w:val="3"/>
          <w:sz w:val="23"/>
          <w:szCs w:val="23"/>
        </w:rPr>
        <w:t>中南大学</w:t>
      </w:r>
      <w:r>
        <w:rPr>
          <w:spacing w:val="5"/>
          <w:sz w:val="23"/>
          <w:szCs w:val="23"/>
        </w:rPr>
        <w:t xml:space="preserve">                  </w:t>
      </w:r>
      <w:r>
        <w:rPr>
          <w:spacing w:val="3"/>
          <w:sz w:val="23"/>
          <w:szCs w:val="23"/>
        </w:rPr>
        <w:t>潘</w:t>
      </w:r>
      <w:r>
        <w:rPr>
          <w:spacing w:val="113"/>
          <w:sz w:val="23"/>
          <w:szCs w:val="23"/>
        </w:rPr>
        <w:t xml:space="preserve"> </w:t>
      </w:r>
      <w:r>
        <w:rPr>
          <w:spacing w:val="3"/>
          <w:sz w:val="23"/>
          <w:szCs w:val="23"/>
        </w:rPr>
        <w:t>安华中科技大学</w:t>
      </w:r>
    </w:p>
    <w:p w14:paraId="31D64032">
      <w:pPr>
        <w:pStyle w:val="2"/>
        <w:spacing w:before="105" w:line="221" w:lineRule="auto"/>
        <w:ind w:left="324"/>
        <w:rPr>
          <w:sz w:val="23"/>
          <w:szCs w:val="23"/>
        </w:rPr>
      </w:pPr>
      <w:r>
        <w:rPr>
          <w:spacing w:val="4"/>
          <w:sz w:val="23"/>
          <w:szCs w:val="23"/>
        </w:rPr>
        <w:t>李佳圆</w:t>
      </w:r>
      <w:r>
        <w:rPr>
          <w:spacing w:val="74"/>
          <w:sz w:val="23"/>
          <w:szCs w:val="23"/>
        </w:rPr>
        <w:t xml:space="preserve"> </w:t>
      </w:r>
      <w:r>
        <w:rPr>
          <w:spacing w:val="4"/>
          <w:sz w:val="23"/>
          <w:szCs w:val="23"/>
        </w:rPr>
        <w:t>四川大学</w:t>
      </w:r>
      <w:r>
        <w:rPr>
          <w:spacing w:val="5"/>
          <w:sz w:val="23"/>
          <w:szCs w:val="23"/>
        </w:rPr>
        <w:t xml:space="preserve">                  </w:t>
      </w:r>
      <w:r>
        <w:rPr>
          <w:spacing w:val="4"/>
          <w:sz w:val="23"/>
          <w:szCs w:val="23"/>
        </w:rPr>
        <w:t>戴江红新疆医科大学</w:t>
      </w:r>
    </w:p>
    <w:p w14:paraId="016F3462">
      <w:pPr>
        <w:pStyle w:val="2"/>
        <w:spacing w:before="105" w:line="221" w:lineRule="auto"/>
        <w:ind w:left="324"/>
        <w:rPr>
          <w:sz w:val="23"/>
          <w:szCs w:val="23"/>
        </w:rPr>
      </w:pPr>
      <w:r>
        <w:rPr>
          <w:spacing w:val="1"/>
          <w:sz w:val="23"/>
          <w:szCs w:val="23"/>
        </w:rPr>
        <w:t>杨海燕</w:t>
      </w:r>
      <w:r>
        <w:rPr>
          <w:spacing w:val="24"/>
          <w:sz w:val="23"/>
          <w:szCs w:val="23"/>
        </w:rPr>
        <w:t xml:space="preserve"> </w:t>
      </w:r>
      <w:r>
        <w:rPr>
          <w:spacing w:val="1"/>
          <w:sz w:val="23"/>
          <w:szCs w:val="23"/>
        </w:rPr>
        <w:t>郑州大学</w:t>
      </w:r>
    </w:p>
    <w:p w14:paraId="66B0E0E4">
      <w:pPr>
        <w:spacing w:line="293" w:lineRule="auto"/>
        <w:rPr>
          <w:rFonts w:ascii="Arial"/>
          <w:sz w:val="21"/>
        </w:rPr>
      </w:pPr>
    </w:p>
    <w:p w14:paraId="76D2E0AC">
      <w:pPr>
        <w:spacing w:line="293" w:lineRule="auto"/>
        <w:rPr>
          <w:rFonts w:ascii="Arial"/>
          <w:sz w:val="21"/>
        </w:rPr>
      </w:pPr>
    </w:p>
    <w:p w14:paraId="6C5297EA">
      <w:pPr>
        <w:spacing w:line="293" w:lineRule="auto"/>
        <w:rPr>
          <w:rFonts w:ascii="Arial"/>
          <w:sz w:val="21"/>
        </w:rPr>
      </w:pPr>
    </w:p>
    <w:p w14:paraId="128D2A50">
      <w:pPr>
        <w:spacing w:line="293" w:lineRule="auto"/>
        <w:rPr>
          <w:rFonts w:ascii="Arial"/>
          <w:sz w:val="21"/>
        </w:rPr>
      </w:pPr>
    </w:p>
    <w:p w14:paraId="06E84D3D">
      <w:pPr>
        <w:pStyle w:val="2"/>
        <w:spacing w:before="75" w:line="221" w:lineRule="auto"/>
        <w:ind w:left="324"/>
        <w:rPr>
          <w:sz w:val="23"/>
          <w:szCs w:val="23"/>
        </w:rPr>
      </w:pPr>
      <w:r>
        <w:rPr>
          <w:spacing w:val="18"/>
          <w:sz w:val="23"/>
          <w:szCs w:val="23"/>
        </w:rPr>
        <w:t>编写秘书</w:t>
      </w:r>
    </w:p>
    <w:p w14:paraId="6073693E">
      <w:pPr>
        <w:pStyle w:val="2"/>
        <w:spacing w:before="106" w:line="228" w:lineRule="auto"/>
        <w:ind w:left="324"/>
        <w:rPr>
          <w:sz w:val="23"/>
          <w:szCs w:val="23"/>
        </w:rPr>
      </w:pPr>
      <w:r>
        <w:rPr>
          <w:spacing w:val="3"/>
          <w:sz w:val="23"/>
          <w:szCs w:val="23"/>
        </w:rPr>
        <w:t>高文静(兼)</w:t>
      </w:r>
      <w:r>
        <w:rPr>
          <w:spacing w:val="1"/>
          <w:sz w:val="23"/>
          <w:szCs w:val="23"/>
        </w:rPr>
        <w:t xml:space="preserve">                       </w:t>
      </w:r>
      <w:r>
        <w:rPr>
          <w:b/>
          <w:bCs/>
          <w:spacing w:val="3"/>
          <w:sz w:val="23"/>
          <w:szCs w:val="23"/>
        </w:rPr>
        <w:t>杭</w:t>
      </w:r>
      <w:r>
        <w:rPr>
          <w:spacing w:val="-16"/>
          <w:sz w:val="23"/>
          <w:szCs w:val="23"/>
        </w:rPr>
        <w:t xml:space="preserve"> </w:t>
      </w:r>
      <w:r>
        <w:rPr>
          <w:b/>
          <w:bCs/>
          <w:spacing w:val="3"/>
          <w:sz w:val="23"/>
          <w:szCs w:val="23"/>
        </w:rPr>
        <w:t>栋</w:t>
      </w:r>
      <w:r>
        <w:rPr>
          <w:spacing w:val="3"/>
          <w:sz w:val="23"/>
          <w:szCs w:val="23"/>
        </w:rPr>
        <w:t xml:space="preserve"> </w:t>
      </w:r>
      <w:r>
        <w:rPr>
          <w:b/>
          <w:bCs/>
          <w:spacing w:val="3"/>
          <w:sz w:val="23"/>
          <w:szCs w:val="23"/>
        </w:rPr>
        <w:t>(</w:t>
      </w:r>
      <w:r>
        <w:rPr>
          <w:spacing w:val="-24"/>
          <w:sz w:val="23"/>
          <w:szCs w:val="23"/>
        </w:rPr>
        <w:t xml:space="preserve"> </w:t>
      </w:r>
      <w:r>
        <w:rPr>
          <w:b/>
          <w:bCs/>
          <w:spacing w:val="3"/>
          <w:sz w:val="23"/>
          <w:szCs w:val="23"/>
        </w:rPr>
        <w:t>兼</w:t>
      </w:r>
      <w:r>
        <w:rPr>
          <w:spacing w:val="-31"/>
          <w:sz w:val="23"/>
          <w:szCs w:val="23"/>
        </w:rPr>
        <w:t xml:space="preserve"> </w:t>
      </w:r>
      <w:r>
        <w:rPr>
          <w:b/>
          <w:bCs/>
          <w:spacing w:val="3"/>
          <w:sz w:val="23"/>
          <w:szCs w:val="23"/>
        </w:rPr>
        <w:t>)</w:t>
      </w:r>
    </w:p>
    <w:p w14:paraId="335C0539">
      <w:pPr>
        <w:spacing w:line="257" w:lineRule="auto"/>
        <w:rPr>
          <w:rFonts w:ascii="Arial"/>
          <w:sz w:val="21"/>
        </w:rPr>
      </w:pPr>
    </w:p>
    <w:p w14:paraId="52478FDD">
      <w:pPr>
        <w:spacing w:line="257" w:lineRule="auto"/>
        <w:rPr>
          <w:rFonts w:ascii="Arial"/>
          <w:sz w:val="21"/>
        </w:rPr>
      </w:pPr>
    </w:p>
    <w:p w14:paraId="75CD8476">
      <w:pPr>
        <w:spacing w:line="257" w:lineRule="auto"/>
        <w:rPr>
          <w:rFonts w:ascii="Arial"/>
          <w:sz w:val="21"/>
        </w:rPr>
      </w:pPr>
    </w:p>
    <w:p w14:paraId="48532C14">
      <w:pPr>
        <w:pStyle w:val="2"/>
        <w:spacing w:before="92" w:line="225" w:lineRule="auto"/>
        <w:ind w:left="328"/>
        <w:rPr>
          <w:sz w:val="28"/>
          <w:szCs w:val="28"/>
        </w:rPr>
      </w:pPr>
      <w:r>
        <w:rPr>
          <w:b/>
          <w:bCs/>
          <w:spacing w:val="2"/>
          <w:sz w:val="28"/>
          <w:szCs w:val="28"/>
        </w:rPr>
        <w:t>数字编委</w:t>
      </w:r>
      <w:r>
        <w:rPr>
          <w:spacing w:val="2"/>
          <w:sz w:val="28"/>
          <w:szCs w:val="28"/>
        </w:rPr>
        <w:t xml:space="preserve">  </w:t>
      </w:r>
      <w:r>
        <w:rPr>
          <w:position w:val="-64"/>
          <w:sz w:val="28"/>
          <w:szCs w:val="28"/>
        </w:rPr>
        <w:drawing>
          <wp:inline distT="0" distB="0" distL="0" distR="0">
            <wp:extent cx="589915" cy="571500"/>
            <wp:effectExtent l="0" t="0" r="0" b="0"/>
            <wp:docPr id="18" name="IM 18"/>
            <wp:cNvGraphicFramePr/>
            <a:graphic xmlns:a="http://schemas.openxmlformats.org/drawingml/2006/main">
              <a:graphicData uri="http://schemas.openxmlformats.org/drawingml/2006/picture">
                <pic:pic xmlns:pic="http://schemas.openxmlformats.org/drawingml/2006/picture">
                  <pic:nvPicPr>
                    <pic:cNvPr id="18" name="IM 18"/>
                    <pic:cNvPicPr/>
                  </pic:nvPicPr>
                  <pic:blipFill>
                    <a:blip r:embed="rId405"/>
                    <a:stretch>
                      <a:fillRect/>
                    </a:stretch>
                  </pic:blipFill>
                  <pic:spPr>
                    <a:xfrm>
                      <a:off x="0" y="0"/>
                      <a:ext cx="590540" cy="571524"/>
                    </a:xfrm>
                    <a:prstGeom prst="rect">
                      <a:avLst/>
                    </a:prstGeom>
                  </pic:spPr>
                </pic:pic>
              </a:graphicData>
            </a:graphic>
          </wp:inline>
        </w:drawing>
      </w:r>
    </w:p>
    <w:p w14:paraId="158D73C5">
      <w:pPr>
        <w:spacing w:line="225" w:lineRule="auto"/>
        <w:rPr>
          <w:sz w:val="28"/>
          <w:szCs w:val="28"/>
        </w:rPr>
        <w:sectPr>
          <w:footerReference r:id="rId7" w:type="default"/>
          <w:pgSz w:w="11900" w:h="16820"/>
          <w:pgMar w:top="400" w:right="732" w:bottom="868" w:left="1785" w:header="0" w:footer="715" w:gutter="0"/>
          <w:cols w:space="720" w:num="1"/>
        </w:sectPr>
      </w:pPr>
    </w:p>
    <w:p w14:paraId="7741A986">
      <w:pPr>
        <w:spacing w:line="253" w:lineRule="auto"/>
        <w:rPr>
          <w:rFonts w:ascii="Arial"/>
          <w:sz w:val="21"/>
        </w:rPr>
      </w:pPr>
      <w:r>
        <w:drawing>
          <wp:anchor distT="0" distB="0" distL="0" distR="0" simplePos="0" relativeHeight="251673600" behindDoc="0" locked="0" layoutInCell="1" allowOverlap="1">
            <wp:simplePos x="0" y="0"/>
            <wp:positionH relativeFrom="column">
              <wp:posOffset>5149850</wp:posOffset>
            </wp:positionH>
            <wp:positionV relativeFrom="paragraph">
              <wp:posOffset>62865</wp:posOffset>
            </wp:positionV>
            <wp:extent cx="755650" cy="762000"/>
            <wp:effectExtent l="0" t="0" r="0" b="0"/>
            <wp:wrapNone/>
            <wp:docPr id="20" name="IM 20"/>
            <wp:cNvGraphicFramePr/>
            <a:graphic xmlns:a="http://schemas.openxmlformats.org/drawingml/2006/main">
              <a:graphicData uri="http://schemas.openxmlformats.org/drawingml/2006/picture">
                <pic:pic xmlns:pic="http://schemas.openxmlformats.org/drawingml/2006/picture">
                  <pic:nvPicPr>
                    <pic:cNvPr id="20" name="IM 20"/>
                    <pic:cNvPicPr/>
                  </pic:nvPicPr>
                  <pic:blipFill>
                    <a:blip r:embed="rId406"/>
                    <a:stretch>
                      <a:fillRect/>
                    </a:stretch>
                  </pic:blipFill>
                  <pic:spPr>
                    <a:xfrm>
                      <a:off x="0" y="0"/>
                      <a:ext cx="755649" cy="761961"/>
                    </a:xfrm>
                    <a:prstGeom prst="rect">
                      <a:avLst/>
                    </a:prstGeom>
                  </pic:spPr>
                </pic:pic>
              </a:graphicData>
            </a:graphic>
          </wp:anchor>
        </w:drawing>
      </w:r>
    </w:p>
    <w:p w14:paraId="465E66DB">
      <w:pPr>
        <w:spacing w:line="253" w:lineRule="auto"/>
        <w:rPr>
          <w:rFonts w:ascii="Arial"/>
          <w:sz w:val="21"/>
        </w:rPr>
      </w:pPr>
    </w:p>
    <w:p w14:paraId="6A96F2B6">
      <w:pPr>
        <w:pStyle w:val="2"/>
        <w:spacing w:before="117" w:line="221" w:lineRule="auto"/>
        <w:ind w:left="5"/>
        <w:rPr>
          <w:sz w:val="36"/>
          <w:szCs w:val="36"/>
        </w:rPr>
      </w:pPr>
      <w:r>
        <w:rPr>
          <w:b/>
          <w:bCs/>
          <w:spacing w:val="-6"/>
          <w:sz w:val="36"/>
          <w:szCs w:val="36"/>
        </w:rPr>
        <w:t>新形态教材使用说明</w:t>
      </w:r>
    </w:p>
    <w:p w14:paraId="0977F217">
      <w:pPr>
        <w:spacing w:line="254" w:lineRule="auto"/>
        <w:rPr>
          <w:rFonts w:ascii="Arial"/>
          <w:sz w:val="21"/>
        </w:rPr>
      </w:pPr>
    </w:p>
    <w:p w14:paraId="46158327">
      <w:pPr>
        <w:spacing w:line="254" w:lineRule="auto"/>
        <w:rPr>
          <w:rFonts w:ascii="Arial"/>
          <w:sz w:val="21"/>
        </w:rPr>
      </w:pPr>
    </w:p>
    <w:p w14:paraId="37046376">
      <w:pPr>
        <w:pStyle w:val="2"/>
        <w:spacing w:before="69" w:line="341" w:lineRule="auto"/>
        <w:ind w:right="93" w:firstLine="440"/>
        <w:jc w:val="both"/>
        <w:rPr>
          <w:sz w:val="21"/>
          <w:szCs w:val="21"/>
        </w:rPr>
      </w:pPr>
      <w:r>
        <w:rPr>
          <w:spacing w:val="11"/>
          <w:sz w:val="21"/>
          <w:szCs w:val="21"/>
        </w:rPr>
        <w:t>新形态教材是充分利用多种形式的数字资源及</w:t>
      </w:r>
      <w:r>
        <w:rPr>
          <w:spacing w:val="10"/>
          <w:sz w:val="21"/>
          <w:szCs w:val="21"/>
        </w:rPr>
        <w:t>现代信息技术，通过二维码将纸书内容与数字</w:t>
      </w:r>
      <w:r>
        <w:rPr>
          <w:sz w:val="21"/>
          <w:szCs w:val="21"/>
        </w:rPr>
        <w:t xml:space="preserve"> </w:t>
      </w:r>
      <w:r>
        <w:rPr>
          <w:spacing w:val="10"/>
          <w:sz w:val="21"/>
          <w:szCs w:val="21"/>
        </w:rPr>
        <w:t>资源进行深度融合的教材。本套教材全部以新形态教材形式出版，每本教材均配有特色的数字资</w:t>
      </w:r>
      <w:r>
        <w:rPr>
          <w:spacing w:val="17"/>
          <w:sz w:val="21"/>
          <w:szCs w:val="21"/>
        </w:rPr>
        <w:t xml:space="preserve"> </w:t>
      </w:r>
      <w:r>
        <w:rPr>
          <w:spacing w:val="4"/>
          <w:sz w:val="21"/>
          <w:szCs w:val="21"/>
        </w:rPr>
        <w:t>源和电子教材，读者阅读纸书时可以扫描二维码，</w:t>
      </w:r>
      <w:r>
        <w:rPr>
          <w:spacing w:val="3"/>
          <w:sz w:val="21"/>
          <w:szCs w:val="21"/>
        </w:rPr>
        <w:t>获取数字资源和电子教材。</w:t>
      </w:r>
    </w:p>
    <w:p w14:paraId="33D12AE0">
      <w:pPr>
        <w:pStyle w:val="2"/>
        <w:spacing w:before="6" w:line="340" w:lineRule="auto"/>
        <w:ind w:left="60" w:right="30" w:firstLine="379"/>
        <w:rPr>
          <w:sz w:val="21"/>
          <w:szCs w:val="21"/>
        </w:rPr>
      </w:pPr>
      <w:r>
        <w:rPr>
          <w:spacing w:val="7"/>
          <w:sz w:val="21"/>
          <w:szCs w:val="21"/>
        </w:rPr>
        <w:t>电子教材是纸质教材的电子阅读版本，支持手机、平板及电脑</w:t>
      </w:r>
      <w:r>
        <w:rPr>
          <w:spacing w:val="6"/>
          <w:sz w:val="21"/>
          <w:szCs w:val="21"/>
        </w:rPr>
        <w:t>等多终端浏览，具有目录导航、</w:t>
      </w:r>
      <w:r>
        <w:rPr>
          <w:sz w:val="21"/>
          <w:szCs w:val="21"/>
        </w:rPr>
        <w:t xml:space="preserve"> </w:t>
      </w:r>
      <w:r>
        <w:rPr>
          <w:spacing w:val="2"/>
          <w:sz w:val="21"/>
          <w:szCs w:val="21"/>
        </w:rPr>
        <w:t>全文检索等功能，方便与纸质教材配合使用，随时随地进行阅读。</w:t>
      </w:r>
    </w:p>
    <w:p w14:paraId="50249DA9">
      <w:pPr>
        <w:pStyle w:val="2"/>
        <w:spacing w:before="272" w:line="221" w:lineRule="auto"/>
        <w:ind w:left="3093"/>
        <w:rPr>
          <w:sz w:val="21"/>
          <w:szCs w:val="21"/>
        </w:rPr>
      </w:pPr>
      <w:r>
        <w:pict>
          <v:shape id="_x0000_s1030" o:spid="_x0000_s1030" o:spt="202" type="#_x0000_t202" style="position:absolute;left:0pt;margin-left:237.5pt;margin-top:33.9pt;height:205.05pt;width:190.05pt;z-index:251671552;mso-width-relative:page;mso-height-relative:page;" filled="f" stroked="f" coordsize="21600,21600">
            <v:path/>
            <v:fill on="f" focussize="0,0"/>
            <v:stroke on="f"/>
            <v:imagedata o:title=""/>
            <o:lock v:ext="edit" aspectratio="f"/>
            <v:textbox inset="0mm,0mm,0mm,0mm">
              <w:txbxContent>
                <w:p w14:paraId="32BC3EB9">
                  <w:pPr>
                    <w:spacing w:line="20" w:lineRule="exact"/>
                  </w:pPr>
                </w:p>
                <w:tbl>
                  <w:tblPr>
                    <w:tblStyle w:val="5"/>
                    <w:tblW w:w="3755" w:type="dxa"/>
                    <w:tblInd w:w="22" w:type="dxa"/>
                    <w:tblBorders>
                      <w:top w:val="single" w:color="000000" w:sz="2" w:space="0"/>
                      <w:left w:val="single" w:color="000000" w:sz="2" w:space="0"/>
                      <w:bottom w:val="single" w:color="000000" w:sz="4" w:space="0"/>
                      <w:right w:val="single" w:color="000000" w:sz="2" w:space="0"/>
                      <w:insideH w:val="none" w:color="auto" w:sz="0" w:space="0"/>
                      <w:insideV w:val="none" w:color="auto" w:sz="0" w:space="0"/>
                    </w:tblBorders>
                    <w:tblLayout w:type="fixed"/>
                    <w:tblCellMar>
                      <w:top w:w="0" w:type="dxa"/>
                      <w:left w:w="0" w:type="dxa"/>
                      <w:bottom w:w="0" w:type="dxa"/>
                      <w:right w:w="0" w:type="dxa"/>
                    </w:tblCellMar>
                  </w:tblPr>
                  <w:tblGrid>
                    <w:gridCol w:w="3755"/>
                  </w:tblGrid>
                  <w:tr w14:paraId="2FCD23F5">
                    <w:trPr>
                      <w:trHeight w:val="4045" w:hRule="atLeast"/>
                    </w:trPr>
                    <w:tc>
                      <w:tcPr>
                        <w:tcW w:w="3755" w:type="dxa"/>
                        <w:vAlign w:val="top"/>
                      </w:tcPr>
                      <w:p w14:paraId="5FC0DDAD">
                        <w:pPr>
                          <w:spacing w:before="95"/>
                          <w:ind w:left="255"/>
                          <w:rPr>
                            <w:rFonts w:ascii="黑体" w:hAnsi="黑体" w:eastAsia="黑体" w:cs="黑体"/>
                            <w:sz w:val="16"/>
                            <w:szCs w:val="16"/>
                          </w:rPr>
                        </w:pPr>
                        <w:r>
                          <w:rPr>
                            <w:rFonts w:ascii="黑体" w:hAnsi="黑体" w:eastAsia="黑体" w:cs="黑体"/>
                            <w:position w:val="-12"/>
                            <w:sz w:val="16"/>
                            <w:szCs w:val="16"/>
                          </w:rPr>
                          <w:drawing>
                            <wp:inline distT="0" distB="0" distL="0" distR="0">
                              <wp:extent cx="221615" cy="234315"/>
                              <wp:effectExtent l="0" t="0" r="0" b="0"/>
                              <wp:docPr id="22" name="IM 22"/>
                              <wp:cNvGraphicFramePr/>
                              <a:graphic xmlns:a="http://schemas.openxmlformats.org/drawingml/2006/main">
                                <a:graphicData uri="http://schemas.openxmlformats.org/drawingml/2006/picture">
                                  <pic:pic xmlns:pic="http://schemas.openxmlformats.org/drawingml/2006/picture">
                                    <pic:nvPicPr>
                                      <pic:cNvPr id="22" name="IM 22"/>
                                      <pic:cNvPicPr/>
                                    </pic:nvPicPr>
                                    <pic:blipFill>
                                      <a:blip r:embed="rId407"/>
                                      <a:stretch>
                                        <a:fillRect/>
                                      </a:stretch>
                                    </pic:blipFill>
                                    <pic:spPr>
                                      <a:xfrm>
                                        <a:off x="0" y="0"/>
                                        <a:ext cx="222236" cy="234868"/>
                                      </a:xfrm>
                                      <a:prstGeom prst="rect">
                                        <a:avLst/>
                                      </a:prstGeom>
                                    </pic:spPr>
                                  </pic:pic>
                                </a:graphicData>
                              </a:graphic>
                            </wp:inline>
                          </w:drawing>
                        </w:r>
                        <w:r>
                          <w:rPr>
                            <w:rFonts w:ascii="黑体" w:hAnsi="黑体" w:eastAsia="黑体" w:cs="黑体"/>
                            <w:spacing w:val="2"/>
                            <w:sz w:val="16"/>
                            <w:szCs w:val="16"/>
                          </w:rPr>
                          <w:t xml:space="preserve"> </w:t>
                        </w:r>
                        <w:r>
                          <w:rPr>
                            <w:rFonts w:ascii="黑体" w:hAnsi="黑体" w:eastAsia="黑体" w:cs="黑体"/>
                            <w:spacing w:val="-1"/>
                            <w:sz w:val="16"/>
                            <w:szCs w:val="16"/>
                          </w:rPr>
                          <w:t>揭开红标，扫描绿标激活码，注册/登录</w:t>
                        </w:r>
                      </w:p>
                      <w:p w14:paraId="359C5F79">
                        <w:pPr>
                          <w:spacing w:before="5" w:line="221" w:lineRule="auto"/>
                          <w:ind w:left="675"/>
                          <w:rPr>
                            <w:rFonts w:ascii="黑体" w:hAnsi="黑体" w:eastAsia="黑体" w:cs="黑体"/>
                            <w:sz w:val="16"/>
                            <w:szCs w:val="16"/>
                          </w:rPr>
                        </w:pPr>
                        <w:r>
                          <w:rPr>
                            <w:rFonts w:ascii="黑体" w:hAnsi="黑体" w:eastAsia="黑体" w:cs="黑体"/>
                            <w:spacing w:val="4"/>
                            <w:sz w:val="16"/>
                            <w:szCs w:val="16"/>
                          </w:rPr>
                          <w:t>人卫账号获取数字资源与电子教材。</w:t>
                        </w:r>
                      </w:p>
                      <w:p w14:paraId="36D17778">
                        <w:pPr>
                          <w:spacing w:line="251" w:lineRule="auto"/>
                          <w:rPr>
                            <w:rFonts w:ascii="Arial"/>
                            <w:sz w:val="21"/>
                          </w:rPr>
                        </w:pPr>
                      </w:p>
                      <w:p w14:paraId="10B02430">
                        <w:pPr>
                          <w:spacing w:line="2820" w:lineRule="exact"/>
                          <w:ind w:firstLine="865"/>
                        </w:pPr>
                        <w:r>
                          <w:rPr>
                            <w:position w:val="-56"/>
                          </w:rPr>
                          <w:drawing>
                            <wp:inline distT="0" distB="0" distL="0" distR="0">
                              <wp:extent cx="1676400" cy="1790065"/>
                              <wp:effectExtent l="0" t="0" r="0" b="0"/>
                              <wp:docPr id="24" name="IM 24"/>
                              <wp:cNvGraphicFramePr/>
                              <a:graphic xmlns:a="http://schemas.openxmlformats.org/drawingml/2006/main">
                                <a:graphicData uri="http://schemas.openxmlformats.org/drawingml/2006/picture">
                                  <pic:pic xmlns:pic="http://schemas.openxmlformats.org/drawingml/2006/picture">
                                    <pic:nvPicPr>
                                      <pic:cNvPr id="24" name="IM 24"/>
                                      <pic:cNvPicPr/>
                                    </pic:nvPicPr>
                                    <pic:blipFill>
                                      <a:blip r:embed="rId408"/>
                                      <a:stretch>
                                        <a:fillRect/>
                                      </a:stretch>
                                    </pic:blipFill>
                                    <pic:spPr>
                                      <a:xfrm>
                                        <a:off x="0" y="0"/>
                                        <a:ext cx="1676409" cy="1790618"/>
                                      </a:xfrm>
                                      <a:prstGeom prst="rect">
                                        <a:avLst/>
                                      </a:prstGeom>
                                    </pic:spPr>
                                  </pic:pic>
                                </a:graphicData>
                              </a:graphic>
                            </wp:inline>
                          </w:drawing>
                        </w:r>
                      </w:p>
                    </w:tc>
                  </w:tr>
                </w:tbl>
                <w:p w14:paraId="56719DA5">
                  <w:pPr>
                    <w:rPr>
                      <w:rFonts w:ascii="Arial"/>
                      <w:sz w:val="21"/>
                    </w:rPr>
                  </w:pPr>
                </w:p>
              </w:txbxContent>
            </v:textbox>
          </v:shape>
        </w:pict>
      </w:r>
      <w:r>
        <w:rPr>
          <w:b/>
          <w:bCs/>
          <w:spacing w:val="8"/>
          <w:sz w:val="21"/>
          <w:szCs w:val="21"/>
        </w:rPr>
        <w:t>获取数字资源与电子教材的步骤</w:t>
      </w:r>
    </w:p>
    <w:p w14:paraId="2E960E97">
      <w:pPr>
        <w:spacing w:line="164" w:lineRule="exact"/>
      </w:pPr>
    </w:p>
    <w:tbl>
      <w:tblPr>
        <w:tblStyle w:val="5"/>
        <w:tblW w:w="3772" w:type="dxa"/>
        <w:tblInd w:w="742" w:type="dxa"/>
        <w:tblBorders>
          <w:top w:val="single" w:color="000000" w:sz="2" w:space="0"/>
          <w:left w:val="single" w:color="000000" w:sz="2" w:space="0"/>
          <w:bottom w:val="single" w:color="000000" w:sz="2" w:space="0"/>
          <w:right w:val="single" w:color="000000" w:sz="4" w:space="0"/>
          <w:insideH w:val="none" w:color="auto" w:sz="0" w:space="0"/>
          <w:insideV w:val="none" w:color="auto" w:sz="0" w:space="0"/>
        </w:tblBorders>
        <w:tblLayout w:type="fixed"/>
        <w:tblCellMar>
          <w:top w:w="0" w:type="dxa"/>
          <w:left w:w="0" w:type="dxa"/>
          <w:bottom w:w="0" w:type="dxa"/>
          <w:right w:w="0" w:type="dxa"/>
        </w:tblCellMar>
      </w:tblPr>
      <w:tblGrid>
        <w:gridCol w:w="3772"/>
      </w:tblGrid>
      <w:tr w14:paraId="6889847F">
        <w:trPr>
          <w:trHeight w:val="4069" w:hRule="atLeast"/>
        </w:trPr>
        <w:tc>
          <w:tcPr>
            <w:tcW w:w="3772" w:type="dxa"/>
            <w:vAlign w:val="top"/>
          </w:tcPr>
          <w:p w14:paraId="00DFB168">
            <w:pPr>
              <w:spacing w:before="192" w:line="321" w:lineRule="auto"/>
              <w:ind w:left="674" w:right="297"/>
              <w:rPr>
                <w:rFonts w:ascii="黑体" w:hAnsi="黑体" w:eastAsia="黑体" w:cs="黑体"/>
                <w:sz w:val="16"/>
                <w:szCs w:val="16"/>
              </w:rPr>
            </w:pPr>
            <w:r>
              <w:drawing>
                <wp:anchor distT="0" distB="0" distL="0" distR="0" simplePos="0" relativeHeight="251675648" behindDoc="0" locked="0" layoutInCell="1" allowOverlap="1">
                  <wp:simplePos x="0" y="0"/>
                  <wp:positionH relativeFrom="rightMargin">
                    <wp:posOffset>-2228215</wp:posOffset>
                  </wp:positionH>
                  <wp:positionV relativeFrom="topMargin">
                    <wp:posOffset>66675</wp:posOffset>
                  </wp:positionV>
                  <wp:extent cx="228600" cy="234950"/>
                  <wp:effectExtent l="0" t="0" r="0" b="0"/>
                  <wp:wrapNone/>
                  <wp:docPr id="26" name="IM 26"/>
                  <wp:cNvGraphicFramePr/>
                  <a:graphic xmlns:a="http://schemas.openxmlformats.org/drawingml/2006/main">
                    <a:graphicData uri="http://schemas.openxmlformats.org/drawingml/2006/picture">
                      <pic:pic xmlns:pic="http://schemas.openxmlformats.org/drawingml/2006/picture">
                        <pic:nvPicPr>
                          <pic:cNvPr id="26" name="IM 26"/>
                          <pic:cNvPicPr/>
                        </pic:nvPicPr>
                        <pic:blipFill>
                          <a:blip r:embed="rId409"/>
                          <a:stretch>
                            <a:fillRect/>
                          </a:stretch>
                        </pic:blipFill>
                        <pic:spPr>
                          <a:xfrm>
                            <a:off x="0" y="0"/>
                            <a:ext cx="228584" cy="234868"/>
                          </a:xfrm>
                          <a:prstGeom prst="rect">
                            <a:avLst/>
                          </a:prstGeom>
                        </pic:spPr>
                      </pic:pic>
                    </a:graphicData>
                  </a:graphic>
                </wp:anchor>
              </w:drawing>
            </w:r>
            <w:r>
              <w:rPr>
                <w:rFonts w:ascii="黑体" w:hAnsi="黑体" w:eastAsia="黑体" w:cs="黑体"/>
                <w:spacing w:val="4"/>
                <w:sz w:val="16"/>
                <w:szCs w:val="16"/>
              </w:rPr>
              <w:t>扫描封底红标二维码，获取图书“使用</w:t>
            </w:r>
            <w:r>
              <w:rPr>
                <w:rFonts w:ascii="黑体" w:hAnsi="黑体" w:eastAsia="黑体" w:cs="黑体"/>
                <w:spacing w:val="3"/>
                <w:sz w:val="16"/>
                <w:szCs w:val="16"/>
              </w:rPr>
              <w:t xml:space="preserve"> </w:t>
            </w:r>
            <w:r>
              <w:rPr>
                <w:rFonts w:ascii="黑体" w:hAnsi="黑体" w:eastAsia="黑体" w:cs="黑体"/>
                <w:spacing w:val="9"/>
                <w:sz w:val="16"/>
                <w:szCs w:val="16"/>
              </w:rPr>
              <w:t>说明”。</w:t>
            </w:r>
          </w:p>
          <w:p w14:paraId="7C91E112">
            <w:pPr>
              <w:spacing w:before="176" w:line="2829" w:lineRule="exact"/>
              <w:ind w:firstLine="865"/>
            </w:pPr>
            <w:r>
              <w:rPr>
                <w:position w:val="-56"/>
              </w:rPr>
              <w:drawing>
                <wp:inline distT="0" distB="0" distL="0" distR="0">
                  <wp:extent cx="1695450" cy="1796415"/>
                  <wp:effectExtent l="0" t="0" r="0" b="0"/>
                  <wp:docPr id="28" name="IM 28"/>
                  <wp:cNvGraphicFramePr/>
                  <a:graphic xmlns:a="http://schemas.openxmlformats.org/drawingml/2006/main">
                    <a:graphicData uri="http://schemas.openxmlformats.org/drawingml/2006/picture">
                      <pic:pic xmlns:pic="http://schemas.openxmlformats.org/drawingml/2006/picture">
                        <pic:nvPicPr>
                          <pic:cNvPr id="28" name="IM 28"/>
                          <pic:cNvPicPr/>
                        </pic:nvPicPr>
                        <pic:blipFill>
                          <a:blip r:embed="rId410"/>
                          <a:stretch>
                            <a:fillRect/>
                          </a:stretch>
                        </pic:blipFill>
                        <pic:spPr>
                          <a:xfrm>
                            <a:off x="0" y="0"/>
                            <a:ext cx="1695451" cy="1797027"/>
                          </a:xfrm>
                          <a:prstGeom prst="rect">
                            <a:avLst/>
                          </a:prstGeom>
                        </pic:spPr>
                      </pic:pic>
                    </a:graphicData>
                  </a:graphic>
                </wp:inline>
              </w:drawing>
            </w:r>
          </w:p>
        </w:tc>
      </w:tr>
    </w:tbl>
    <w:p w14:paraId="5CC72AC4">
      <w:pPr>
        <w:pStyle w:val="2"/>
        <w:spacing w:before="190" w:line="4200" w:lineRule="exact"/>
        <w:ind w:firstLine="680"/>
      </w:pPr>
      <w:r>
        <w:pict>
          <v:shape id="_x0000_s1031" o:spid="_x0000_s1031" o:spt="202" type="#_x0000_t202" style="position:absolute;left:0pt;margin-left:236.5pt;margin-top:10.5pt;height:206.5pt;width:191.55pt;z-index:251670528;mso-width-relative:page;mso-height-relative:page;" filled="f" stroked="f" coordsize="21600,21600">
            <v:path/>
            <v:fill on="f" focussize="0,0"/>
            <v:stroke on="f"/>
            <v:imagedata o:title=""/>
            <o:lock v:ext="edit" aspectratio="f"/>
            <v:textbox inset="0mm,0mm,0mm,0mm">
              <w:txbxContent>
                <w:p w14:paraId="05D2D7C0">
                  <w:pPr>
                    <w:spacing w:line="20" w:lineRule="exact"/>
                  </w:pPr>
                </w:p>
                <w:tbl>
                  <w:tblPr>
                    <w:tblStyle w:val="5"/>
                    <w:tblW w:w="3785" w:type="dxa"/>
                    <w:tblInd w:w="22" w:type="dxa"/>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0" w:type="dxa"/>
                      <w:bottom w:w="0" w:type="dxa"/>
                      <w:right w:w="0" w:type="dxa"/>
                    </w:tblCellMar>
                  </w:tblPr>
                  <w:tblGrid>
                    <w:gridCol w:w="664"/>
                    <w:gridCol w:w="3121"/>
                  </w:tblGrid>
                  <w:tr w14:paraId="7FEB9460">
                    <w:trPr>
                      <w:trHeight w:val="1714" w:hRule="atLeast"/>
                    </w:trPr>
                    <w:tc>
                      <w:tcPr>
                        <w:tcW w:w="664" w:type="dxa"/>
                        <w:tcBorders>
                          <w:bottom w:val="nil"/>
                          <w:right w:val="nil"/>
                        </w:tcBorders>
                        <w:vAlign w:val="top"/>
                      </w:tcPr>
                      <w:p w14:paraId="775DD552">
                        <w:pPr>
                          <w:spacing w:before="105" w:line="370" w:lineRule="exact"/>
                          <w:ind w:firstLine="265"/>
                        </w:pPr>
                        <w:r>
                          <w:rPr>
                            <w:position w:val="-7"/>
                          </w:rPr>
                          <w:drawing>
                            <wp:inline distT="0" distB="0" distL="0" distR="0">
                              <wp:extent cx="227965" cy="234950"/>
                              <wp:effectExtent l="0" t="0" r="0" b="0"/>
                              <wp:docPr id="30" name="IM 30"/>
                              <wp:cNvGraphicFramePr/>
                              <a:graphic xmlns:a="http://schemas.openxmlformats.org/drawingml/2006/main">
                                <a:graphicData uri="http://schemas.openxmlformats.org/drawingml/2006/picture">
                                  <pic:pic xmlns:pic="http://schemas.openxmlformats.org/drawingml/2006/picture">
                                    <pic:nvPicPr>
                                      <pic:cNvPr id="30" name="IM 30"/>
                                      <pic:cNvPicPr/>
                                    </pic:nvPicPr>
                                    <pic:blipFill>
                                      <a:blip r:embed="rId411"/>
                                      <a:stretch>
                                        <a:fillRect/>
                                      </a:stretch>
                                    </pic:blipFill>
                                    <pic:spPr>
                                      <a:xfrm>
                                        <a:off x="0" y="0"/>
                                        <a:ext cx="228584" cy="234975"/>
                                      </a:xfrm>
                                      <a:prstGeom prst="rect">
                                        <a:avLst/>
                                      </a:prstGeom>
                                    </pic:spPr>
                                  </pic:pic>
                                </a:graphicData>
                              </a:graphic>
                            </wp:inline>
                          </w:drawing>
                        </w:r>
                      </w:p>
                    </w:tc>
                    <w:tc>
                      <w:tcPr>
                        <w:tcW w:w="3121" w:type="dxa"/>
                        <w:tcBorders>
                          <w:left w:val="nil"/>
                          <w:bottom w:val="nil"/>
                        </w:tcBorders>
                        <w:vAlign w:val="top"/>
                      </w:tcPr>
                      <w:p w14:paraId="4512BEF8">
                        <w:pPr>
                          <w:spacing w:before="146" w:line="327" w:lineRule="auto"/>
                          <w:ind w:left="33" w:right="352"/>
                          <w:rPr>
                            <w:rFonts w:ascii="黑体" w:hAnsi="黑体" w:eastAsia="黑体" w:cs="黑体"/>
                            <w:sz w:val="16"/>
                            <w:szCs w:val="16"/>
                          </w:rPr>
                        </w:pPr>
                        <w:r>
                          <w:rPr>
                            <w:rFonts w:ascii="黑体" w:hAnsi="黑体" w:eastAsia="黑体" w:cs="黑体"/>
                            <w:spacing w:val="7"/>
                            <w:sz w:val="16"/>
                            <w:szCs w:val="16"/>
                          </w:rPr>
                          <w:t>登录</w:t>
                        </w:r>
                        <w:r>
                          <w:rPr>
                            <w:rFonts w:ascii="Arial" w:hAnsi="Arial" w:eastAsia="Arial" w:cs="Arial"/>
                            <w:sz w:val="16"/>
                            <w:szCs w:val="16"/>
                          </w:rPr>
                          <w:t>zengzhi</w:t>
                        </w:r>
                        <w:r>
                          <w:rPr>
                            <w:rFonts w:ascii="Arial" w:hAnsi="Arial" w:eastAsia="Arial" w:cs="Arial"/>
                            <w:spacing w:val="7"/>
                            <w:sz w:val="16"/>
                            <w:szCs w:val="16"/>
                          </w:rPr>
                          <w:t>.</w:t>
                        </w:r>
                        <w:r>
                          <w:rPr>
                            <w:rFonts w:ascii="Arial" w:hAnsi="Arial" w:eastAsia="Arial" w:cs="Arial"/>
                            <w:sz w:val="16"/>
                            <w:szCs w:val="16"/>
                          </w:rPr>
                          <w:t>ipmph</w:t>
                        </w:r>
                        <w:r>
                          <w:rPr>
                            <w:rFonts w:ascii="Arial" w:hAnsi="Arial" w:eastAsia="Arial" w:cs="Arial"/>
                            <w:spacing w:val="7"/>
                            <w:sz w:val="16"/>
                            <w:szCs w:val="16"/>
                          </w:rPr>
                          <w:t>.</w:t>
                        </w:r>
                        <w:r>
                          <w:rPr>
                            <w:rFonts w:ascii="Arial" w:hAnsi="Arial" w:eastAsia="Arial" w:cs="Arial"/>
                            <w:sz w:val="16"/>
                            <w:szCs w:val="16"/>
                          </w:rPr>
                          <w:t>com</w:t>
                        </w:r>
                        <w:r>
                          <w:rPr>
                            <w:rFonts w:ascii="Arial" w:hAnsi="Arial" w:eastAsia="Arial" w:cs="Arial"/>
                            <w:spacing w:val="12"/>
                            <w:sz w:val="16"/>
                            <w:szCs w:val="16"/>
                          </w:rPr>
                          <w:t xml:space="preserve">   </w:t>
                        </w:r>
                        <w:r>
                          <w:rPr>
                            <w:rFonts w:ascii="黑体" w:hAnsi="黑体" w:eastAsia="黑体" w:cs="黑体"/>
                            <w:spacing w:val="7"/>
                            <w:sz w:val="16"/>
                            <w:szCs w:val="16"/>
                          </w:rPr>
                          <w:t>或下载应用</w:t>
                        </w:r>
                        <w:r>
                          <w:rPr>
                            <w:rFonts w:ascii="黑体" w:hAnsi="黑体" w:eastAsia="黑体" w:cs="黑体"/>
                            <w:sz w:val="16"/>
                            <w:szCs w:val="16"/>
                          </w:rPr>
                          <w:t xml:space="preserve"> </w:t>
                        </w:r>
                        <w:r>
                          <w:rPr>
                            <w:rFonts w:ascii="黑体" w:hAnsi="黑体" w:eastAsia="黑体" w:cs="黑体"/>
                            <w:spacing w:val="5"/>
                            <w:sz w:val="16"/>
                            <w:szCs w:val="16"/>
                          </w:rPr>
                          <w:t>体验更多功能和服务。</w:t>
                        </w:r>
                      </w:p>
                    </w:tc>
                  </w:tr>
                  <w:tr w14:paraId="4A5EFC70">
                    <w:trPr>
                      <w:trHeight w:val="2365" w:hRule="atLeast"/>
                    </w:trPr>
                    <w:tc>
                      <w:tcPr>
                        <w:tcW w:w="3785" w:type="dxa"/>
                        <w:gridSpan w:val="2"/>
                        <w:tcBorders>
                          <w:top w:val="nil"/>
                        </w:tcBorders>
                        <w:vAlign w:val="top"/>
                      </w:tcPr>
                      <w:p w14:paraId="448A921E">
                        <w:pPr>
                          <w:spacing w:line="259" w:lineRule="auto"/>
                          <w:rPr>
                            <w:rFonts w:ascii="Arial"/>
                            <w:sz w:val="21"/>
                          </w:rPr>
                        </w:pPr>
                      </w:p>
                      <w:p w14:paraId="4A683AF1">
                        <w:pPr>
                          <w:spacing w:line="259" w:lineRule="auto"/>
                          <w:rPr>
                            <w:rFonts w:ascii="Arial"/>
                            <w:sz w:val="21"/>
                          </w:rPr>
                        </w:pPr>
                      </w:p>
                      <w:p w14:paraId="2FDAB0E0">
                        <w:pPr>
                          <w:spacing w:line="260" w:lineRule="auto"/>
                          <w:rPr>
                            <w:rFonts w:ascii="Arial"/>
                            <w:sz w:val="21"/>
                          </w:rPr>
                        </w:pPr>
                      </w:p>
                      <w:p w14:paraId="79CACB04">
                        <w:pPr>
                          <w:spacing w:line="260" w:lineRule="auto"/>
                          <w:rPr>
                            <w:rFonts w:ascii="Arial"/>
                            <w:sz w:val="21"/>
                          </w:rPr>
                        </w:pPr>
                      </w:p>
                      <w:p w14:paraId="033B2AA2">
                        <w:pPr>
                          <w:spacing w:before="52" w:line="222" w:lineRule="auto"/>
                          <w:ind w:left="1465"/>
                          <w:rPr>
                            <w:rFonts w:ascii="黑体" w:hAnsi="黑体" w:eastAsia="黑体" w:cs="黑体"/>
                            <w:sz w:val="16"/>
                            <w:szCs w:val="16"/>
                          </w:rPr>
                        </w:pPr>
                        <w:r>
                          <w:rPr>
                            <w:rFonts w:ascii="黑体" w:hAnsi="黑体" w:eastAsia="黑体" w:cs="黑体"/>
                            <w:spacing w:val="-9"/>
                            <w:sz w:val="16"/>
                            <w:szCs w:val="16"/>
                          </w:rPr>
                          <w:t>扫描下载应用</w:t>
                        </w:r>
                      </w:p>
                      <w:p w14:paraId="4F124CD4">
                        <w:pPr>
                          <w:spacing w:line="266" w:lineRule="auto"/>
                          <w:rPr>
                            <w:rFonts w:ascii="Arial"/>
                            <w:sz w:val="21"/>
                          </w:rPr>
                        </w:pPr>
                      </w:p>
                      <w:p w14:paraId="3C039094">
                        <w:pPr>
                          <w:spacing w:line="267" w:lineRule="auto"/>
                          <w:rPr>
                            <w:rFonts w:ascii="Arial"/>
                            <w:sz w:val="21"/>
                          </w:rPr>
                        </w:pPr>
                      </w:p>
                      <w:p w14:paraId="1358E6F7">
                        <w:pPr>
                          <w:spacing w:before="68" w:line="219" w:lineRule="auto"/>
                          <w:ind w:left="647"/>
                          <w:rPr>
                            <w:rFonts w:ascii="黑体" w:hAnsi="黑体" w:eastAsia="黑体" w:cs="黑体"/>
                            <w:sz w:val="21"/>
                            <w:szCs w:val="21"/>
                          </w:rPr>
                        </w:pPr>
                        <w:r>
                          <w:rPr>
                            <w:rFonts w:ascii="黑体" w:hAnsi="黑体" w:eastAsia="黑体" w:cs="黑体"/>
                            <w:b/>
                            <w:bCs/>
                            <w:spacing w:val="-4"/>
                            <w:sz w:val="21"/>
                            <w:szCs w:val="21"/>
                          </w:rPr>
                          <w:t>客户服务热线400-111-8166</w:t>
                        </w:r>
                      </w:p>
                    </w:tc>
                  </w:tr>
                </w:tbl>
                <w:p w14:paraId="0A6DAC2F">
                  <w:pPr>
                    <w:rPr>
                      <w:rFonts w:ascii="Arial"/>
                      <w:sz w:val="21"/>
                    </w:rPr>
                  </w:pPr>
                </w:p>
              </w:txbxContent>
            </v:textbox>
          </v:shape>
        </w:pict>
      </w:r>
      <w:r>
        <w:drawing>
          <wp:anchor distT="0" distB="0" distL="0" distR="0" simplePos="0" relativeHeight="251672576" behindDoc="0" locked="0" layoutInCell="1" allowOverlap="1">
            <wp:simplePos x="0" y="0"/>
            <wp:positionH relativeFrom="column">
              <wp:posOffset>3835400</wp:posOffset>
            </wp:positionH>
            <wp:positionV relativeFrom="paragraph">
              <wp:posOffset>1035050</wp:posOffset>
            </wp:positionV>
            <wp:extent cx="762000" cy="768350"/>
            <wp:effectExtent l="0" t="0" r="0" b="0"/>
            <wp:wrapNone/>
            <wp:docPr id="32" name="IM 32"/>
            <wp:cNvGraphicFramePr/>
            <a:graphic xmlns:a="http://schemas.openxmlformats.org/drawingml/2006/main">
              <a:graphicData uri="http://schemas.openxmlformats.org/drawingml/2006/picture">
                <pic:pic xmlns:pic="http://schemas.openxmlformats.org/drawingml/2006/picture">
                  <pic:nvPicPr>
                    <pic:cNvPr id="32" name="IM 32"/>
                    <pic:cNvPicPr/>
                  </pic:nvPicPr>
                  <pic:blipFill>
                    <a:blip r:embed="rId412"/>
                    <a:stretch>
                      <a:fillRect/>
                    </a:stretch>
                  </pic:blipFill>
                  <pic:spPr>
                    <a:xfrm>
                      <a:off x="0" y="0"/>
                      <a:ext cx="761997" cy="768369"/>
                    </a:xfrm>
                    <a:prstGeom prst="rect">
                      <a:avLst/>
                    </a:prstGeom>
                  </pic:spPr>
                </pic:pic>
              </a:graphicData>
            </a:graphic>
          </wp:anchor>
        </w:drawing>
      </w:r>
      <w:r>
        <w:rPr>
          <w:position w:val="-83"/>
        </w:rPr>
        <w:pict>
          <v:group id="_x0000_s1032" o:spid="_x0000_s1032" o:spt="203" style="height:210pt;width:195pt;" coordsize="3900,4200">
            <o:lock v:ext="edit"/>
            <v:shape id="_x0000_s1033" o:spid="_x0000_s1033" o:spt="75" type="#_x0000_t75" style="position:absolute;left:0;top:0;height:4200;width:3900;" filled="f" stroked="f" coordsize="21600,21600">
              <v:path/>
              <v:fill on="f" focussize="0,0"/>
              <v:stroke on="f"/>
              <v:imagedata r:id="rId413" o:title=""/>
              <o:lock v:ext="edit" aspectratio="t"/>
            </v:shape>
            <v:shape id="_x0000_s1034" o:spid="_x0000_s1034" o:spt="202" type="#_x0000_t202" style="position:absolute;left:399;top:168;height:3411;width:3156;" filled="f" stroked="f" coordsize="21600,21600">
              <v:path/>
              <v:fill on="f" focussize="0,0"/>
              <v:stroke on="f"/>
              <v:imagedata o:title=""/>
              <o:lock v:ext="edit" aspectratio="f"/>
              <v:textbox inset="0mm,0mm,0mm,0mm">
                <w:txbxContent>
                  <w:p w14:paraId="217D3422">
                    <w:pPr>
                      <w:spacing w:before="20" w:line="200" w:lineRule="auto"/>
                      <w:ind w:left="20"/>
                      <w:rPr>
                        <w:rFonts w:ascii="黑体" w:hAnsi="黑体" w:eastAsia="黑体" w:cs="黑体"/>
                        <w:sz w:val="16"/>
                        <w:szCs w:val="16"/>
                      </w:rPr>
                    </w:pPr>
                    <w:r>
                      <w:rPr>
                        <w:rFonts w:ascii="宋体" w:hAnsi="宋体" w:eastAsia="宋体" w:cs="宋体"/>
                        <w:spacing w:val="-1"/>
                        <w:position w:val="-5"/>
                        <w:sz w:val="31"/>
                        <w:szCs w:val="31"/>
                      </w:rPr>
                      <w:t>③</w:t>
                    </w:r>
                    <w:r>
                      <w:rPr>
                        <w:rFonts w:ascii="宋体" w:hAnsi="宋体" w:eastAsia="宋体" w:cs="宋体"/>
                        <w:spacing w:val="-53"/>
                        <w:position w:val="-5"/>
                        <w:sz w:val="31"/>
                        <w:szCs w:val="31"/>
                      </w:rPr>
                      <w:t xml:space="preserve"> </w:t>
                    </w:r>
                    <w:r>
                      <w:rPr>
                        <w:rFonts w:ascii="黑体" w:hAnsi="黑体" w:eastAsia="黑体" w:cs="黑体"/>
                        <w:spacing w:val="-1"/>
                        <w:position w:val="1"/>
                        <w:sz w:val="16"/>
                        <w:szCs w:val="16"/>
                      </w:rPr>
                      <w:t>扫描书内二维码或封底绿标激活码随时</w:t>
                    </w:r>
                  </w:p>
                  <w:p w14:paraId="12D36FCD">
                    <w:pPr>
                      <w:spacing w:line="220" w:lineRule="auto"/>
                      <w:ind w:left="339"/>
                      <w:rPr>
                        <w:rFonts w:ascii="黑体" w:hAnsi="黑体" w:eastAsia="黑体" w:cs="黑体"/>
                        <w:sz w:val="16"/>
                        <w:szCs w:val="16"/>
                      </w:rPr>
                    </w:pPr>
                    <w:r>
                      <w:rPr>
                        <w:rFonts w:ascii="黑体" w:hAnsi="黑体" w:eastAsia="黑体" w:cs="黑体"/>
                        <w:spacing w:val="5"/>
                        <w:sz w:val="16"/>
                        <w:szCs w:val="16"/>
                      </w:rPr>
                      <w:t>查看数字资源和电子教材。</w:t>
                    </w:r>
                  </w:p>
                  <w:p w14:paraId="5228B254">
                    <w:pPr>
                      <w:spacing w:line="285" w:lineRule="auto"/>
                      <w:rPr>
                        <w:rFonts w:ascii="Arial"/>
                        <w:sz w:val="21"/>
                      </w:rPr>
                    </w:pPr>
                  </w:p>
                  <w:p w14:paraId="5F012188">
                    <w:pPr>
                      <w:spacing w:line="286" w:lineRule="auto"/>
                      <w:rPr>
                        <w:rFonts w:ascii="Arial"/>
                        <w:sz w:val="21"/>
                      </w:rPr>
                    </w:pPr>
                  </w:p>
                  <w:p w14:paraId="525F8E5A">
                    <w:pPr>
                      <w:spacing w:line="286" w:lineRule="auto"/>
                      <w:rPr>
                        <w:rFonts w:ascii="Arial"/>
                        <w:sz w:val="21"/>
                      </w:rPr>
                    </w:pPr>
                  </w:p>
                  <w:p w14:paraId="58F42115">
                    <w:pPr>
                      <w:spacing w:line="286" w:lineRule="auto"/>
                      <w:rPr>
                        <w:rFonts w:ascii="Arial"/>
                        <w:sz w:val="21"/>
                      </w:rPr>
                    </w:pPr>
                  </w:p>
                  <w:p w14:paraId="2764E365">
                    <w:pPr>
                      <w:spacing w:line="286" w:lineRule="auto"/>
                      <w:rPr>
                        <w:rFonts w:ascii="Arial"/>
                        <w:sz w:val="21"/>
                      </w:rPr>
                    </w:pPr>
                  </w:p>
                  <w:p w14:paraId="16E47CC7">
                    <w:pPr>
                      <w:spacing w:before="52" w:line="213" w:lineRule="auto"/>
                      <w:ind w:left="2239" w:right="281" w:firstLine="10"/>
                      <w:rPr>
                        <w:rFonts w:ascii="黑体" w:hAnsi="黑体" w:eastAsia="黑体" w:cs="黑体"/>
                        <w:sz w:val="16"/>
                        <w:szCs w:val="16"/>
                      </w:rPr>
                    </w:pPr>
                    <w:r>
                      <w:rPr>
                        <w:rFonts w:ascii="黑体" w:hAnsi="黑体" w:eastAsia="黑体" w:cs="黑体"/>
                        <w:spacing w:val="-5"/>
                        <w:sz w:val="16"/>
                        <w:szCs w:val="16"/>
                      </w:rPr>
                      <w:t>电子教材</w:t>
                    </w:r>
                    <w:r>
                      <w:rPr>
                        <w:rFonts w:ascii="黑体" w:hAnsi="黑体" w:eastAsia="黑体" w:cs="黑体"/>
                        <w:spacing w:val="2"/>
                        <w:sz w:val="16"/>
                        <w:szCs w:val="16"/>
                      </w:rPr>
                      <w:t xml:space="preserve"> </w:t>
                    </w:r>
                    <w:r>
                      <w:rPr>
                        <w:rFonts w:ascii="黑体" w:hAnsi="黑体" w:eastAsia="黑体" w:cs="黑体"/>
                        <w:spacing w:val="-2"/>
                        <w:sz w:val="16"/>
                        <w:szCs w:val="16"/>
                      </w:rPr>
                      <w:t>操作演示</w:t>
                    </w:r>
                  </w:p>
                  <w:p w14:paraId="76504542">
                    <w:pPr>
                      <w:spacing w:line="338" w:lineRule="auto"/>
                      <w:rPr>
                        <w:rFonts w:ascii="Arial"/>
                        <w:sz w:val="21"/>
                      </w:rPr>
                    </w:pPr>
                  </w:p>
                  <w:p w14:paraId="4EB80272">
                    <w:pPr>
                      <w:spacing w:before="20" w:line="188" w:lineRule="auto"/>
                      <w:ind w:left="729"/>
                      <w:rPr>
                        <w:rFonts w:ascii="Times New Roman" w:hAnsi="Times New Roman" w:eastAsia="Times New Roman" w:cs="Times New Roman"/>
                        <w:sz w:val="7"/>
                        <w:szCs w:val="7"/>
                      </w:rPr>
                    </w:pPr>
                    <w:r>
                      <w:rPr>
                        <w:rFonts w:ascii="Times New Roman" w:hAnsi="Times New Roman" w:eastAsia="Times New Roman" w:cs="Times New Roman"/>
                        <w:spacing w:val="-1"/>
                        <w:sz w:val="7"/>
                        <w:szCs w:val="7"/>
                      </w:rPr>
                      <w:t>20Rpten</w:t>
                    </w:r>
                  </w:p>
                  <w:p w14:paraId="24F4A760">
                    <w:pPr>
                      <w:spacing w:before="161" w:line="188" w:lineRule="auto"/>
                      <w:ind w:left="729"/>
                      <w:rPr>
                        <w:rFonts w:ascii="Times New Roman" w:hAnsi="Times New Roman" w:eastAsia="Times New Roman" w:cs="Times New Roman"/>
                        <w:sz w:val="7"/>
                        <w:szCs w:val="7"/>
                      </w:rPr>
                    </w:pPr>
                    <w:r>
                      <w:rPr>
                        <w:rFonts w:ascii="Times New Roman" w:hAnsi="Times New Roman" w:eastAsia="Times New Roman" w:cs="Times New Roman"/>
                        <w:spacing w:val="-1"/>
                        <w:sz w:val="7"/>
                        <w:szCs w:val="7"/>
                      </w:rPr>
                      <w:t>02</w:t>
                    </w:r>
                  </w:p>
                  <w:p w14:paraId="0400138B">
                    <w:pPr>
                      <w:spacing w:line="265" w:lineRule="auto"/>
                      <w:rPr>
                        <w:rFonts w:ascii="Arial"/>
                        <w:sz w:val="21"/>
                      </w:rPr>
                    </w:pPr>
                  </w:p>
                  <w:p w14:paraId="7F69B026">
                    <w:pPr>
                      <w:spacing w:before="20" w:line="188" w:lineRule="auto"/>
                      <w:ind w:left="2040"/>
                      <w:rPr>
                        <w:rFonts w:ascii="Times New Roman" w:hAnsi="Times New Roman" w:eastAsia="Times New Roman" w:cs="Times New Roman"/>
                        <w:sz w:val="7"/>
                        <w:szCs w:val="7"/>
                      </w:rPr>
                    </w:pPr>
                    <w:r>
                      <w:rPr>
                        <w:rFonts w:ascii="Times New Roman" w:hAnsi="Times New Roman" w:eastAsia="Times New Roman" w:cs="Times New Roman"/>
                        <w:spacing w:val="-1"/>
                        <w:sz w:val="7"/>
                        <w:szCs w:val="7"/>
                      </w:rPr>
                      <w:t>o2000</w:t>
                    </w:r>
                  </w:p>
                </w:txbxContent>
              </v:textbox>
            </v:shape>
            <v:shape id="_x0000_s1035" o:spid="_x0000_s1035" o:spt="202" type="#_x0000_t202" style="position:absolute;left:1170;top:2182;height:111;width:994;" filled="f" stroked="f" coordsize="21600,21600">
              <v:path/>
              <v:fill on="f" focussize="0,0"/>
              <v:stroke on="f"/>
              <v:imagedata o:title=""/>
              <o:lock v:ext="edit" aspectratio="f"/>
              <v:textbox inset="0mm,0mm,0mm,0mm">
                <w:txbxContent>
                  <w:p w14:paraId="18387183">
                    <w:pPr>
                      <w:spacing w:before="19" w:line="221" w:lineRule="auto"/>
                      <w:ind w:left="20"/>
                      <w:rPr>
                        <w:rFonts w:ascii="黑体" w:hAnsi="黑体" w:eastAsia="黑体" w:cs="黑体"/>
                        <w:sz w:val="7"/>
                        <w:szCs w:val="7"/>
                      </w:rPr>
                    </w:pPr>
                    <w:r>
                      <w:rPr>
                        <w:rFonts w:ascii="黑体" w:hAnsi="黑体" w:eastAsia="黑体" w:cs="黑体"/>
                        <w:spacing w:val="-4"/>
                        <w:sz w:val="7"/>
                        <w:szCs w:val="7"/>
                      </w:rPr>
                      <w:t>数</w:t>
                    </w:r>
                    <w:r>
                      <w:rPr>
                        <w:rFonts w:ascii="黑体" w:hAnsi="黑体" w:eastAsia="黑体" w:cs="黑体"/>
                        <w:spacing w:val="-5"/>
                        <w:sz w:val="7"/>
                        <w:szCs w:val="7"/>
                      </w:rPr>
                      <w:t xml:space="preserve"> </w:t>
                    </w:r>
                    <w:r>
                      <w:rPr>
                        <w:rFonts w:ascii="黑体" w:hAnsi="黑体" w:eastAsia="黑体" w:cs="黑体"/>
                        <w:spacing w:val="-4"/>
                        <w:sz w:val="7"/>
                        <w:szCs w:val="7"/>
                      </w:rPr>
                      <w:t>字</w:t>
                    </w:r>
                    <w:r>
                      <w:rPr>
                        <w:rFonts w:ascii="黑体" w:hAnsi="黑体" w:eastAsia="黑体" w:cs="黑体"/>
                        <w:spacing w:val="-8"/>
                        <w:sz w:val="7"/>
                        <w:szCs w:val="7"/>
                      </w:rPr>
                      <w:t xml:space="preserve"> </w:t>
                    </w:r>
                    <w:r>
                      <w:rPr>
                        <w:rFonts w:ascii="黑体" w:hAnsi="黑体" w:eastAsia="黑体" w:cs="黑体"/>
                        <w:spacing w:val="-4"/>
                        <w:sz w:val="7"/>
                        <w:szCs w:val="7"/>
                      </w:rPr>
                      <w:t>资</w:t>
                    </w:r>
                    <w:r>
                      <w:rPr>
                        <w:rFonts w:ascii="黑体" w:hAnsi="黑体" w:eastAsia="黑体" w:cs="黑体"/>
                        <w:spacing w:val="-11"/>
                        <w:sz w:val="7"/>
                        <w:szCs w:val="7"/>
                      </w:rPr>
                      <w:t xml:space="preserve"> </w:t>
                    </w:r>
                    <w:r>
                      <w:rPr>
                        <w:rFonts w:ascii="黑体" w:hAnsi="黑体" w:eastAsia="黑体" w:cs="黑体"/>
                        <w:spacing w:val="-4"/>
                        <w:sz w:val="7"/>
                        <w:szCs w:val="7"/>
                      </w:rPr>
                      <w:t>源</w:t>
                    </w:r>
                    <w:r>
                      <w:rPr>
                        <w:rFonts w:ascii="黑体" w:hAnsi="黑体" w:eastAsia="黑体" w:cs="黑体"/>
                        <w:spacing w:val="4"/>
                        <w:sz w:val="7"/>
                        <w:szCs w:val="7"/>
                      </w:rPr>
                      <w:t xml:space="preserve">     </w:t>
                    </w:r>
                    <w:r>
                      <w:rPr>
                        <w:rFonts w:ascii="宋体" w:hAnsi="宋体" w:eastAsia="宋体" w:cs="宋体"/>
                        <w:spacing w:val="-4"/>
                        <w:sz w:val="7"/>
                        <w:szCs w:val="7"/>
                      </w:rPr>
                      <w:t>Q</w:t>
                    </w:r>
                    <w:r>
                      <w:rPr>
                        <w:rFonts w:ascii="宋体" w:hAnsi="宋体" w:eastAsia="宋体" w:cs="宋体"/>
                        <w:spacing w:val="15"/>
                        <w:sz w:val="7"/>
                        <w:szCs w:val="7"/>
                      </w:rPr>
                      <w:t xml:space="preserve"> </w:t>
                    </w:r>
                    <w:r>
                      <w:rPr>
                        <w:rFonts w:ascii="黑体" w:hAnsi="黑体" w:eastAsia="黑体" w:cs="黑体"/>
                        <w:spacing w:val="-4"/>
                        <w:sz w:val="7"/>
                        <w:szCs w:val="7"/>
                      </w:rPr>
                      <w:t>电</w:t>
                    </w:r>
                    <w:r>
                      <w:rPr>
                        <w:rFonts w:ascii="黑体" w:hAnsi="黑体" w:eastAsia="黑体" w:cs="黑体"/>
                        <w:spacing w:val="-11"/>
                        <w:sz w:val="7"/>
                        <w:szCs w:val="7"/>
                      </w:rPr>
                      <w:t xml:space="preserve"> </w:t>
                    </w:r>
                    <w:r>
                      <w:rPr>
                        <w:rFonts w:ascii="黑体" w:hAnsi="黑体" w:eastAsia="黑体" w:cs="黑体"/>
                        <w:spacing w:val="-4"/>
                        <w:sz w:val="7"/>
                        <w:szCs w:val="7"/>
                      </w:rPr>
                      <w:t>子</w:t>
                    </w:r>
                    <w:r>
                      <w:rPr>
                        <w:rFonts w:ascii="黑体" w:hAnsi="黑体" w:eastAsia="黑体" w:cs="黑体"/>
                        <w:spacing w:val="-12"/>
                        <w:sz w:val="7"/>
                        <w:szCs w:val="7"/>
                      </w:rPr>
                      <w:t xml:space="preserve"> </w:t>
                    </w:r>
                    <w:r>
                      <w:rPr>
                        <w:rFonts w:ascii="黑体" w:hAnsi="黑体" w:eastAsia="黑体" w:cs="黑体"/>
                        <w:spacing w:val="-4"/>
                        <w:sz w:val="7"/>
                        <w:szCs w:val="7"/>
                      </w:rPr>
                      <w:t>独</w:t>
                    </w:r>
                    <w:r>
                      <w:rPr>
                        <w:rFonts w:ascii="黑体" w:hAnsi="黑体" w:eastAsia="黑体" w:cs="黑体"/>
                        <w:spacing w:val="-13"/>
                        <w:sz w:val="7"/>
                        <w:szCs w:val="7"/>
                      </w:rPr>
                      <w:t xml:space="preserve"> </w:t>
                    </w:r>
                    <w:r>
                      <w:rPr>
                        <w:rFonts w:ascii="黑体" w:hAnsi="黑体" w:eastAsia="黑体" w:cs="黑体"/>
                        <w:spacing w:val="-4"/>
                        <w:sz w:val="7"/>
                        <w:szCs w:val="7"/>
                      </w:rPr>
                      <w:t>材</w:t>
                    </w:r>
                  </w:p>
                </w:txbxContent>
              </v:textbox>
            </v:shape>
            <w10:wrap type="none"/>
            <w10:anchorlock/>
          </v:group>
        </w:pict>
      </w:r>
    </w:p>
    <w:p w14:paraId="0FD38362">
      <w:pPr>
        <w:spacing w:line="466" w:lineRule="auto"/>
        <w:rPr>
          <w:rFonts w:ascii="Arial"/>
          <w:sz w:val="21"/>
        </w:rPr>
      </w:pPr>
    </w:p>
    <w:p w14:paraId="65D20570">
      <w:pPr>
        <w:pStyle w:val="2"/>
        <w:spacing w:before="117" w:line="221" w:lineRule="auto"/>
        <w:ind w:left="5"/>
        <w:rPr>
          <w:sz w:val="36"/>
          <w:szCs w:val="36"/>
        </w:rPr>
      </w:pPr>
      <w:r>
        <w:drawing>
          <wp:anchor distT="0" distB="0" distL="0" distR="0" simplePos="0" relativeHeight="251674624" behindDoc="0" locked="0" layoutInCell="1" allowOverlap="1">
            <wp:simplePos x="0" y="0"/>
            <wp:positionH relativeFrom="column">
              <wp:posOffset>4723765</wp:posOffset>
            </wp:positionH>
            <wp:positionV relativeFrom="paragraph">
              <wp:posOffset>82550</wp:posOffset>
            </wp:positionV>
            <wp:extent cx="1193800" cy="425450"/>
            <wp:effectExtent l="0" t="0" r="0" b="0"/>
            <wp:wrapNone/>
            <wp:docPr id="34" name="IM 34"/>
            <wp:cNvGraphicFramePr/>
            <a:graphic xmlns:a="http://schemas.openxmlformats.org/drawingml/2006/main">
              <a:graphicData uri="http://schemas.openxmlformats.org/drawingml/2006/picture">
                <pic:pic xmlns:pic="http://schemas.openxmlformats.org/drawingml/2006/picture">
                  <pic:nvPicPr>
                    <pic:cNvPr id="34" name="IM 34"/>
                    <pic:cNvPicPr/>
                  </pic:nvPicPr>
                  <pic:blipFill>
                    <a:blip r:embed="rId414"/>
                    <a:stretch>
                      <a:fillRect/>
                    </a:stretch>
                  </pic:blipFill>
                  <pic:spPr>
                    <a:xfrm>
                      <a:off x="0" y="0"/>
                      <a:ext cx="1193851" cy="425518"/>
                    </a:xfrm>
                    <a:prstGeom prst="rect">
                      <a:avLst/>
                    </a:prstGeom>
                  </pic:spPr>
                </pic:pic>
              </a:graphicData>
            </a:graphic>
          </wp:anchor>
        </w:drawing>
      </w:r>
      <w:r>
        <w:rPr>
          <w:b/>
          <w:bCs/>
          <w:spacing w:val="1"/>
          <w:sz w:val="36"/>
          <w:szCs w:val="36"/>
        </w:rPr>
        <w:t>读者信息反馈方式</w:t>
      </w:r>
    </w:p>
    <w:p w14:paraId="5F7F5A99">
      <w:pPr>
        <w:spacing w:line="248" w:lineRule="auto"/>
        <w:rPr>
          <w:rFonts w:ascii="Arial"/>
          <w:sz w:val="21"/>
        </w:rPr>
      </w:pPr>
    </w:p>
    <w:p w14:paraId="74FECAB8">
      <w:pPr>
        <w:spacing w:line="249" w:lineRule="auto"/>
        <w:rPr>
          <w:rFonts w:ascii="Arial"/>
          <w:sz w:val="21"/>
        </w:rPr>
      </w:pPr>
    </w:p>
    <w:p w14:paraId="38E7419A">
      <w:pPr>
        <w:pStyle w:val="2"/>
        <w:spacing w:before="69" w:line="342" w:lineRule="auto"/>
        <w:ind w:firstLine="440"/>
        <w:jc w:val="both"/>
        <w:rPr>
          <w:sz w:val="21"/>
          <w:szCs w:val="21"/>
        </w:rPr>
      </w:pPr>
      <w:r>
        <w:rPr>
          <w:spacing w:val="3"/>
          <w:sz w:val="21"/>
          <w:szCs w:val="21"/>
        </w:rPr>
        <w:t>欢迎登录“人卫</w:t>
      </w:r>
      <w:r>
        <w:rPr>
          <w:rFonts w:ascii="Times New Roman" w:hAnsi="Times New Roman" w:eastAsia="Times New Roman" w:cs="Times New Roman"/>
          <w:spacing w:val="3"/>
          <w:sz w:val="21"/>
          <w:szCs w:val="21"/>
        </w:rPr>
        <w:t xml:space="preserve">e  </w:t>
      </w:r>
      <w:r>
        <w:rPr>
          <w:spacing w:val="3"/>
          <w:sz w:val="21"/>
          <w:szCs w:val="21"/>
        </w:rPr>
        <w:t>教”平台官网</w:t>
      </w:r>
      <w:r>
        <w:rPr>
          <w:rFonts w:ascii="Times New Roman" w:hAnsi="Times New Roman" w:eastAsia="Times New Roman" w:cs="Times New Roman"/>
          <w:spacing w:val="3"/>
          <w:sz w:val="21"/>
          <w:szCs w:val="21"/>
        </w:rPr>
        <w:t>“</w:t>
      </w:r>
      <w:r>
        <w:rPr>
          <w:rFonts w:ascii="Times New Roman" w:hAnsi="Times New Roman" w:eastAsia="Times New Roman" w:cs="Times New Roman"/>
          <w:sz w:val="21"/>
          <w:szCs w:val="21"/>
        </w:rPr>
        <w:t>medu</w:t>
      </w:r>
      <w:r>
        <w:rPr>
          <w:rFonts w:ascii="Times New Roman" w:hAnsi="Times New Roman" w:eastAsia="Times New Roman" w:cs="Times New Roman"/>
          <w:spacing w:val="3"/>
          <w:sz w:val="21"/>
          <w:szCs w:val="21"/>
        </w:rPr>
        <w:t>.</w:t>
      </w:r>
      <w:r>
        <w:rPr>
          <w:rFonts w:ascii="Times New Roman" w:hAnsi="Times New Roman" w:eastAsia="Times New Roman" w:cs="Times New Roman"/>
          <w:sz w:val="21"/>
          <w:szCs w:val="21"/>
        </w:rPr>
        <w:t>pmph</w:t>
      </w:r>
      <w:r>
        <w:rPr>
          <w:rFonts w:ascii="Times New Roman" w:hAnsi="Times New Roman" w:eastAsia="Times New Roman" w:cs="Times New Roman"/>
          <w:spacing w:val="3"/>
          <w:sz w:val="21"/>
          <w:szCs w:val="21"/>
        </w:rPr>
        <w:t>.</w:t>
      </w:r>
      <w:r>
        <w:rPr>
          <w:rFonts w:ascii="Times New Roman" w:hAnsi="Times New Roman" w:eastAsia="Times New Roman" w:cs="Times New Roman"/>
          <w:sz w:val="21"/>
          <w:szCs w:val="21"/>
        </w:rPr>
        <w:t>com</w:t>
      </w:r>
      <w:r>
        <w:rPr>
          <w:rFonts w:ascii="Times New Roman" w:hAnsi="Times New Roman" w:eastAsia="Times New Roman" w:cs="Times New Roman"/>
          <w:spacing w:val="3"/>
          <w:sz w:val="21"/>
          <w:szCs w:val="21"/>
        </w:rPr>
        <w:t xml:space="preserve">”,        </w:t>
      </w:r>
      <w:r>
        <w:rPr>
          <w:spacing w:val="3"/>
          <w:sz w:val="21"/>
          <w:szCs w:val="21"/>
        </w:rPr>
        <w:t>在首页注册登录后，即可通</w:t>
      </w:r>
      <w:r>
        <w:rPr>
          <w:spacing w:val="2"/>
          <w:sz w:val="21"/>
          <w:szCs w:val="21"/>
        </w:rPr>
        <w:t>过输入书名、</w:t>
      </w:r>
      <w:r>
        <w:rPr>
          <w:sz w:val="21"/>
          <w:szCs w:val="21"/>
        </w:rPr>
        <w:t xml:space="preserve"> 书号或主编姓名等关键字，查询我社已出版教材，并可对该教材进行读者反馈、图书纠错、撰写书评</w:t>
      </w:r>
      <w:r>
        <w:rPr>
          <w:spacing w:val="8"/>
          <w:sz w:val="21"/>
          <w:szCs w:val="21"/>
        </w:rPr>
        <w:t xml:space="preserve">  </w:t>
      </w:r>
      <w:r>
        <w:rPr>
          <w:spacing w:val="11"/>
          <w:sz w:val="21"/>
          <w:szCs w:val="21"/>
        </w:rPr>
        <w:t>以及分享资源等。</w:t>
      </w:r>
    </w:p>
    <w:p w14:paraId="5CFF7FE0">
      <w:pPr>
        <w:spacing w:line="342" w:lineRule="auto"/>
        <w:rPr>
          <w:sz w:val="21"/>
          <w:szCs w:val="21"/>
        </w:rPr>
        <w:sectPr>
          <w:footerReference r:id="rId8" w:type="default"/>
          <w:pgSz w:w="11900" w:h="16820"/>
          <w:pgMar w:top="400" w:right="1255" w:bottom="400" w:left="1289" w:header="0" w:footer="0" w:gutter="0"/>
          <w:cols w:space="720" w:num="1"/>
        </w:sectPr>
      </w:pPr>
    </w:p>
    <w:p w14:paraId="36DA340B">
      <w:pPr>
        <w:spacing w:line="318" w:lineRule="auto"/>
        <w:rPr>
          <w:rFonts w:ascii="Arial"/>
          <w:sz w:val="21"/>
        </w:rPr>
      </w:pPr>
    </w:p>
    <w:p w14:paraId="0537B01A">
      <w:pPr>
        <w:spacing w:line="318" w:lineRule="auto"/>
        <w:rPr>
          <w:rFonts w:ascii="Arial"/>
          <w:sz w:val="21"/>
        </w:rPr>
      </w:pPr>
    </w:p>
    <w:p w14:paraId="66769250">
      <w:pPr>
        <w:spacing w:line="319" w:lineRule="auto"/>
        <w:rPr>
          <w:rFonts w:ascii="Arial"/>
          <w:sz w:val="21"/>
        </w:rPr>
      </w:pPr>
    </w:p>
    <w:p w14:paraId="3B892E6D">
      <w:pPr>
        <w:pStyle w:val="2"/>
        <w:spacing w:before="147" w:line="221" w:lineRule="auto"/>
        <w:ind w:left="3676"/>
        <w:rPr>
          <w:sz w:val="45"/>
          <w:szCs w:val="45"/>
        </w:rPr>
      </w:pPr>
      <w:r>
        <w:rPr>
          <w:b/>
          <w:bCs/>
          <w:spacing w:val="3"/>
          <w:sz w:val="45"/>
          <w:szCs w:val="45"/>
        </w:rPr>
        <w:t>修订说明</w:t>
      </w:r>
    </w:p>
    <w:p w14:paraId="57E1B3D6">
      <w:pPr>
        <w:spacing w:before="123" w:line="460" w:lineRule="exact"/>
        <w:ind w:firstLine="9099"/>
      </w:pPr>
      <w:r>
        <w:rPr>
          <w:position w:val="-9"/>
        </w:rPr>
        <w:drawing>
          <wp:inline distT="0" distB="0" distL="0" distR="0">
            <wp:extent cx="336550" cy="292100"/>
            <wp:effectExtent l="0" t="0" r="0" b="0"/>
            <wp:docPr id="36" name="IM 36"/>
            <wp:cNvGraphicFramePr/>
            <a:graphic xmlns:a="http://schemas.openxmlformats.org/drawingml/2006/main">
              <a:graphicData uri="http://schemas.openxmlformats.org/drawingml/2006/picture">
                <pic:pic xmlns:pic="http://schemas.openxmlformats.org/drawingml/2006/picture">
                  <pic:nvPicPr>
                    <pic:cNvPr id="36" name="IM 36"/>
                    <pic:cNvPicPr/>
                  </pic:nvPicPr>
                  <pic:blipFill>
                    <a:blip r:embed="rId415"/>
                    <a:stretch>
                      <a:fillRect/>
                    </a:stretch>
                  </pic:blipFill>
                  <pic:spPr>
                    <a:xfrm>
                      <a:off x="0" y="0"/>
                      <a:ext cx="336566" cy="292117"/>
                    </a:xfrm>
                    <a:prstGeom prst="rect">
                      <a:avLst/>
                    </a:prstGeom>
                  </pic:spPr>
                </pic:pic>
              </a:graphicData>
            </a:graphic>
          </wp:inline>
        </w:drawing>
      </w:r>
    </w:p>
    <w:p w14:paraId="6D6537AE">
      <w:pPr>
        <w:spacing w:line="463" w:lineRule="auto"/>
        <w:rPr>
          <w:rFonts w:ascii="Arial"/>
          <w:sz w:val="21"/>
        </w:rPr>
      </w:pPr>
    </w:p>
    <w:p w14:paraId="32EF4BE7">
      <w:pPr>
        <w:pStyle w:val="2"/>
        <w:spacing w:before="68" w:line="388" w:lineRule="auto"/>
        <w:ind w:right="531" w:firstLine="439"/>
        <w:jc w:val="both"/>
        <w:rPr>
          <w:sz w:val="21"/>
          <w:szCs w:val="21"/>
        </w:rPr>
      </w:pPr>
      <w:r>
        <w:rPr>
          <w:spacing w:val="8"/>
          <w:sz w:val="21"/>
          <w:szCs w:val="21"/>
        </w:rPr>
        <w:t>公共卫生与预防医学教育是现代医学教育的重要组成部分，在应对全球健康挑战、建设健康</w:t>
      </w:r>
      <w:r>
        <w:rPr>
          <w:sz w:val="21"/>
          <w:szCs w:val="21"/>
        </w:rPr>
        <w:t xml:space="preserve">  </w:t>
      </w:r>
      <w:r>
        <w:rPr>
          <w:spacing w:val="3"/>
          <w:sz w:val="21"/>
          <w:szCs w:val="21"/>
        </w:rPr>
        <w:t>中国、提高国民健康素养、促进人群健康过程中，始终发挥着重要作用、承担着重大使命。在人类</w:t>
      </w:r>
      <w:r>
        <w:rPr>
          <w:sz w:val="21"/>
          <w:szCs w:val="21"/>
        </w:rPr>
        <w:t xml:space="preserve">  </w:t>
      </w:r>
      <w:r>
        <w:rPr>
          <w:spacing w:val="8"/>
          <w:sz w:val="21"/>
          <w:szCs w:val="21"/>
        </w:rPr>
        <w:t>应对各种突发、新发传染病威胁过程中，公共卫生更是作用重大，不可或缺，都说明公共卫生学</w:t>
      </w:r>
      <w:r>
        <w:rPr>
          <w:spacing w:val="4"/>
          <w:sz w:val="21"/>
          <w:szCs w:val="21"/>
        </w:rPr>
        <w:t xml:space="preserve">  </w:t>
      </w:r>
      <w:r>
        <w:rPr>
          <w:spacing w:val="8"/>
          <w:sz w:val="21"/>
          <w:szCs w:val="21"/>
        </w:rPr>
        <w:t>科专业的重要性与必要性。公共卫生不仅关系着公众的健康水平、公共安全和社会稳定，还影响</w:t>
      </w:r>
      <w:r>
        <w:rPr>
          <w:spacing w:val="4"/>
          <w:sz w:val="21"/>
          <w:szCs w:val="21"/>
        </w:rPr>
        <w:t xml:space="preserve">  </w:t>
      </w:r>
      <w:r>
        <w:rPr>
          <w:spacing w:val="8"/>
          <w:sz w:val="21"/>
          <w:szCs w:val="21"/>
        </w:rPr>
        <w:t>着社会经济的发展和国际关系与世界格局的改变，是事关大国计、大民生的大学科、大专业。在</w:t>
      </w:r>
      <w:r>
        <w:rPr>
          <w:spacing w:val="2"/>
          <w:sz w:val="21"/>
          <w:szCs w:val="21"/>
        </w:rPr>
        <w:t xml:space="preserve">  </w:t>
      </w:r>
      <w:r>
        <w:rPr>
          <w:spacing w:val="21"/>
          <w:sz w:val="21"/>
          <w:szCs w:val="21"/>
        </w:rPr>
        <w:t>我国公共卫生40余年的教学实践中也逐步形成了我国公共卫生与预防医学</w:t>
      </w:r>
      <w:r>
        <w:rPr>
          <w:spacing w:val="20"/>
          <w:sz w:val="21"/>
          <w:szCs w:val="21"/>
        </w:rPr>
        <w:t>教育的一些特点。</w:t>
      </w:r>
      <w:r>
        <w:rPr>
          <w:sz w:val="21"/>
          <w:szCs w:val="21"/>
        </w:rPr>
        <w:t xml:space="preserve"> </w:t>
      </w:r>
      <w:r>
        <w:rPr>
          <w:spacing w:val="19"/>
          <w:sz w:val="21"/>
          <w:szCs w:val="21"/>
        </w:rPr>
        <w:t>比如，我国的公共卫生教育是以强医学背景为主的公共卫生与预防医学教育，既体</w:t>
      </w:r>
      <w:r>
        <w:rPr>
          <w:spacing w:val="18"/>
          <w:sz w:val="21"/>
          <w:szCs w:val="21"/>
        </w:rPr>
        <w:t>现了国家</w:t>
      </w:r>
      <w:r>
        <w:rPr>
          <w:sz w:val="21"/>
          <w:szCs w:val="21"/>
        </w:rPr>
        <w:t xml:space="preserve">  </w:t>
      </w:r>
      <w:r>
        <w:rPr>
          <w:spacing w:val="9"/>
          <w:sz w:val="21"/>
          <w:szCs w:val="21"/>
        </w:rPr>
        <w:t>战略需求，也结合了本土化实践。现代公共卫生与预防</w:t>
      </w:r>
      <w:r>
        <w:rPr>
          <w:spacing w:val="8"/>
          <w:sz w:val="21"/>
          <w:szCs w:val="21"/>
        </w:rPr>
        <w:t>医学教育强调“干中学”</w:t>
      </w:r>
      <w:r>
        <w:rPr>
          <w:rFonts w:ascii="宋体" w:hAnsi="宋体" w:eastAsia="宋体" w:cs="宋体"/>
          <w:spacing w:val="8"/>
          <w:sz w:val="21"/>
          <w:szCs w:val="21"/>
        </w:rPr>
        <w:t>(</w:t>
      </w:r>
      <w:r>
        <w:rPr>
          <w:rFonts w:ascii="宋体" w:hAnsi="宋体" w:eastAsia="宋体" w:cs="宋体"/>
          <w:sz w:val="21"/>
          <w:szCs w:val="21"/>
        </w:rPr>
        <w:t>learning</w:t>
      </w:r>
      <w:r>
        <w:rPr>
          <w:rFonts w:ascii="宋体" w:hAnsi="宋体" w:eastAsia="宋体" w:cs="宋体"/>
          <w:spacing w:val="8"/>
          <w:sz w:val="21"/>
          <w:szCs w:val="21"/>
        </w:rPr>
        <w:t xml:space="preserve">   </w:t>
      </w:r>
      <w:r>
        <w:rPr>
          <w:rFonts w:ascii="宋体" w:hAnsi="宋体" w:eastAsia="宋体" w:cs="宋体"/>
          <w:sz w:val="21"/>
          <w:szCs w:val="21"/>
        </w:rPr>
        <w:t xml:space="preserve">by  </w:t>
      </w:r>
      <w:r>
        <w:rPr>
          <w:rFonts w:ascii="Times New Roman" w:hAnsi="Times New Roman" w:eastAsia="Times New Roman" w:cs="Times New Roman"/>
          <w:sz w:val="21"/>
          <w:szCs w:val="21"/>
        </w:rPr>
        <w:t>doing</w:t>
      </w:r>
      <w:r>
        <w:rPr>
          <w:rFonts w:ascii="Times New Roman" w:hAnsi="Times New Roman" w:eastAsia="Times New Roman" w:cs="Times New Roman"/>
          <w:spacing w:val="5"/>
          <w:sz w:val="21"/>
          <w:szCs w:val="21"/>
        </w:rPr>
        <w:t xml:space="preserve">)    </w:t>
      </w:r>
      <w:r>
        <w:rPr>
          <w:spacing w:val="5"/>
          <w:sz w:val="21"/>
          <w:szCs w:val="21"/>
        </w:rPr>
        <w:t>这一主动学习、在实践中学习和终身学习的教育理念，因此公共卫生与预防医学教材建设</w:t>
      </w:r>
      <w:r>
        <w:rPr>
          <w:spacing w:val="8"/>
          <w:sz w:val="21"/>
          <w:szCs w:val="21"/>
        </w:rPr>
        <w:t xml:space="preserve"> </w:t>
      </w:r>
      <w:r>
        <w:rPr>
          <w:spacing w:val="7"/>
          <w:sz w:val="21"/>
          <w:szCs w:val="21"/>
        </w:rPr>
        <w:t>和发展也必须始终坚持和围绕这一理念。</w:t>
      </w:r>
    </w:p>
    <w:p w14:paraId="6EF917B3">
      <w:pPr>
        <w:spacing w:line="471" w:lineRule="auto"/>
        <w:rPr>
          <w:rFonts w:ascii="Arial"/>
          <w:sz w:val="21"/>
        </w:rPr>
      </w:pPr>
    </w:p>
    <w:p w14:paraId="0906A847">
      <w:pPr>
        <w:pStyle w:val="2"/>
        <w:spacing w:before="69" w:line="386" w:lineRule="auto"/>
        <w:ind w:right="531" w:firstLine="439"/>
        <w:jc w:val="both"/>
        <w:rPr>
          <w:sz w:val="21"/>
          <w:szCs w:val="21"/>
        </w:rPr>
      </w:pPr>
      <w:r>
        <w:rPr>
          <w:spacing w:val="13"/>
          <w:sz w:val="21"/>
          <w:szCs w:val="21"/>
        </w:rPr>
        <w:t>1978年，在卫生部的指导下，人民卫生出版社启动了我国本科预防医学专</w:t>
      </w:r>
      <w:r>
        <w:rPr>
          <w:spacing w:val="12"/>
          <w:sz w:val="21"/>
          <w:szCs w:val="21"/>
        </w:rPr>
        <w:t>业第一轮规划教</w:t>
      </w:r>
      <w:r>
        <w:rPr>
          <w:sz w:val="21"/>
          <w:szCs w:val="21"/>
        </w:rPr>
        <w:t xml:space="preserve">  </w:t>
      </w:r>
      <w:r>
        <w:rPr>
          <w:spacing w:val="11"/>
          <w:sz w:val="21"/>
          <w:szCs w:val="21"/>
        </w:rPr>
        <w:t>材，组织了全国高等院校的知名专家和教师共同编写，于1981年全部</w:t>
      </w:r>
      <w:r>
        <w:rPr>
          <w:spacing w:val="10"/>
          <w:sz w:val="21"/>
          <w:szCs w:val="21"/>
        </w:rPr>
        <w:t>出版。首轮教材共有7个品</w:t>
      </w:r>
      <w:r>
        <w:rPr>
          <w:sz w:val="21"/>
          <w:szCs w:val="21"/>
        </w:rPr>
        <w:t xml:space="preserve"> </w:t>
      </w:r>
      <w:r>
        <w:rPr>
          <w:spacing w:val="-11"/>
          <w:sz w:val="21"/>
          <w:szCs w:val="21"/>
        </w:rPr>
        <w:t>种，包括《卫生统计学》《流行病学》《分析化学》《劳动卫生与职业病学》《环境卫生学》《营养与食</w:t>
      </w:r>
      <w:r>
        <w:rPr>
          <w:spacing w:val="2"/>
          <w:sz w:val="21"/>
          <w:szCs w:val="21"/>
        </w:rPr>
        <w:t xml:space="preserve">  </w:t>
      </w:r>
      <w:r>
        <w:rPr>
          <w:spacing w:val="1"/>
          <w:sz w:val="21"/>
          <w:szCs w:val="21"/>
        </w:rPr>
        <w:t>品卫生学》《儿童少年卫生学》,奠定了我国本科预防</w:t>
      </w:r>
      <w:r>
        <w:rPr>
          <w:sz w:val="21"/>
          <w:szCs w:val="21"/>
        </w:rPr>
        <w:t xml:space="preserve">医学专业教育的规范化模式。此后，随着预防  </w:t>
      </w:r>
      <w:r>
        <w:rPr>
          <w:spacing w:val="8"/>
          <w:sz w:val="21"/>
          <w:szCs w:val="21"/>
        </w:rPr>
        <w:t>医学专业的发展和人才培养需求的变化，进行了多轮教材的修订、完</w:t>
      </w:r>
      <w:r>
        <w:rPr>
          <w:spacing w:val="7"/>
          <w:sz w:val="21"/>
          <w:szCs w:val="21"/>
        </w:rPr>
        <w:t>善与出版工作，并于1990年</w:t>
      </w:r>
      <w:r>
        <w:rPr>
          <w:sz w:val="21"/>
          <w:szCs w:val="21"/>
        </w:rPr>
        <w:t xml:space="preserve">  </w:t>
      </w:r>
      <w:r>
        <w:rPr>
          <w:spacing w:val="3"/>
          <w:sz w:val="21"/>
          <w:szCs w:val="21"/>
        </w:rPr>
        <w:t>成立了全国高等学校预防医学专业第一届教材评审委员会，至今已经是第五届。为了满足各</w:t>
      </w:r>
      <w:r>
        <w:rPr>
          <w:spacing w:val="2"/>
          <w:sz w:val="21"/>
          <w:szCs w:val="21"/>
        </w:rPr>
        <w:t>院校教</w:t>
      </w:r>
      <w:r>
        <w:rPr>
          <w:sz w:val="21"/>
          <w:szCs w:val="21"/>
        </w:rPr>
        <w:t xml:space="preserve">  </w:t>
      </w:r>
      <w:r>
        <w:rPr>
          <w:spacing w:val="-4"/>
          <w:sz w:val="21"/>
          <w:szCs w:val="21"/>
        </w:rPr>
        <w:t>学的实际需求，规划教材的品种也在不断丰富。第二轮增加《卫生毒理学基础》《卫生微生物</w:t>
      </w:r>
      <w:r>
        <w:rPr>
          <w:spacing w:val="-5"/>
          <w:sz w:val="21"/>
          <w:szCs w:val="21"/>
        </w:rPr>
        <w:t>学》,第</w:t>
      </w:r>
      <w:r>
        <w:rPr>
          <w:sz w:val="21"/>
          <w:szCs w:val="21"/>
        </w:rPr>
        <w:t xml:space="preserve">  </w:t>
      </w:r>
      <w:r>
        <w:rPr>
          <w:spacing w:val="-9"/>
          <w:sz w:val="21"/>
          <w:szCs w:val="21"/>
        </w:rPr>
        <w:t>四轮增加《社会医学》,第五轮增加《卫生事业管理学》《卫生经济学》《卫生法规与监督学》《健康教</w:t>
      </w:r>
      <w:r>
        <w:rPr>
          <w:spacing w:val="7"/>
          <w:sz w:val="21"/>
          <w:szCs w:val="21"/>
        </w:rPr>
        <w:t xml:space="preserve">  </w:t>
      </w:r>
      <w:r>
        <w:rPr>
          <w:spacing w:val="-9"/>
          <w:sz w:val="21"/>
          <w:szCs w:val="21"/>
        </w:rPr>
        <w:t>育学》《卫生信息管理学》《社会医疗保险学》,第八轮增加《公共卫生与预防医学导论》。由此，经过</w:t>
      </w:r>
      <w:r>
        <w:rPr>
          <w:spacing w:val="7"/>
          <w:sz w:val="21"/>
          <w:szCs w:val="21"/>
        </w:rPr>
        <w:t xml:space="preserve">  </w:t>
      </w:r>
      <w:r>
        <w:rPr>
          <w:spacing w:val="-4"/>
          <w:sz w:val="21"/>
          <w:szCs w:val="21"/>
        </w:rPr>
        <w:t>40余年的不断完善和补充，逐渐形成了一套具有中国本土特色的、完整的</w:t>
      </w:r>
      <w:r>
        <w:rPr>
          <w:spacing w:val="-5"/>
          <w:sz w:val="21"/>
          <w:szCs w:val="21"/>
        </w:rPr>
        <w:t>、科学的预防医学教材体系。</w:t>
      </w:r>
    </w:p>
    <w:p w14:paraId="04EA6F79">
      <w:pPr>
        <w:spacing w:line="243" w:lineRule="auto"/>
        <w:rPr>
          <w:rFonts w:ascii="Arial"/>
          <w:sz w:val="21"/>
        </w:rPr>
      </w:pPr>
    </w:p>
    <w:p w14:paraId="02027237">
      <w:pPr>
        <w:spacing w:line="244" w:lineRule="auto"/>
        <w:rPr>
          <w:rFonts w:ascii="Arial"/>
          <w:sz w:val="21"/>
        </w:rPr>
      </w:pPr>
    </w:p>
    <w:p w14:paraId="2AA5F070">
      <w:pPr>
        <w:pStyle w:val="2"/>
        <w:spacing w:before="69" w:line="394" w:lineRule="auto"/>
        <w:ind w:right="531" w:firstLine="439"/>
        <w:jc w:val="both"/>
        <w:rPr>
          <w:sz w:val="21"/>
          <w:szCs w:val="21"/>
        </w:rPr>
      </w:pPr>
      <w:r>
        <w:rPr>
          <w:sz w:val="21"/>
          <w:szCs w:val="21"/>
        </w:rPr>
        <w:t>党的二十大报告提出“创新医防协同、医防融合机制，健全公</w:t>
      </w:r>
      <w:r>
        <w:rPr>
          <w:spacing w:val="-1"/>
          <w:sz w:val="21"/>
          <w:szCs w:val="21"/>
        </w:rPr>
        <w:t>共卫生体系”,我国新时代卫生健</w:t>
      </w:r>
      <w:r>
        <w:rPr>
          <w:sz w:val="21"/>
          <w:szCs w:val="21"/>
        </w:rPr>
        <w:t xml:space="preserve">  </w:t>
      </w:r>
      <w:r>
        <w:rPr>
          <w:spacing w:val="-2"/>
          <w:sz w:val="21"/>
          <w:szCs w:val="21"/>
        </w:rPr>
        <w:t>康工作方针明确坚持“预防为主”“将健康融入所有政策”,把公共卫生在国家建设发展中的基础</w:t>
      </w:r>
      <w:r>
        <w:rPr>
          <w:spacing w:val="-3"/>
          <w:sz w:val="21"/>
          <w:szCs w:val="21"/>
        </w:rPr>
        <w:t>性、</w:t>
      </w:r>
      <w:r>
        <w:rPr>
          <w:sz w:val="21"/>
          <w:szCs w:val="21"/>
        </w:rPr>
        <w:t xml:space="preserve"> </w:t>
      </w:r>
      <w:r>
        <w:rPr>
          <w:spacing w:val="3"/>
          <w:sz w:val="21"/>
          <w:szCs w:val="21"/>
        </w:rPr>
        <w:t>全局性、战略性地位提到了空前高度。为贯彻落实党的二十大及二十届二中、三中全会精神，</w:t>
      </w:r>
      <w:r>
        <w:rPr>
          <w:spacing w:val="2"/>
          <w:sz w:val="21"/>
          <w:szCs w:val="21"/>
        </w:rPr>
        <w:t>促进</w:t>
      </w:r>
      <w:r>
        <w:rPr>
          <w:sz w:val="21"/>
          <w:szCs w:val="21"/>
        </w:rPr>
        <w:t xml:space="preserve">  </w:t>
      </w:r>
      <w:r>
        <w:rPr>
          <w:spacing w:val="-2"/>
          <w:sz w:val="21"/>
          <w:szCs w:val="21"/>
        </w:rPr>
        <w:t>教育、科技、人才一体化发展，适应我国公共卫生体系重塑和高水平公共卫生学院建设的需要，经研</w:t>
      </w:r>
      <w:r>
        <w:rPr>
          <w:spacing w:val="3"/>
          <w:sz w:val="21"/>
          <w:szCs w:val="21"/>
        </w:rPr>
        <w:t xml:space="preserve">  </w:t>
      </w:r>
      <w:r>
        <w:rPr>
          <w:spacing w:val="8"/>
          <w:sz w:val="21"/>
          <w:szCs w:val="21"/>
        </w:rPr>
        <w:t>究决定，于2023年启动了全国高等学校预防医学专业第九</w:t>
      </w:r>
      <w:r>
        <w:rPr>
          <w:spacing w:val="7"/>
          <w:sz w:val="21"/>
          <w:szCs w:val="21"/>
        </w:rPr>
        <w:t>轮规划教材的修订工作。</w:t>
      </w:r>
    </w:p>
    <w:p w14:paraId="06B3A656">
      <w:pPr>
        <w:spacing w:line="394" w:lineRule="auto"/>
        <w:rPr>
          <w:sz w:val="21"/>
          <w:szCs w:val="21"/>
        </w:rPr>
        <w:sectPr>
          <w:footerReference r:id="rId9" w:type="default"/>
          <w:pgSz w:w="11900" w:h="16820"/>
          <w:pgMar w:top="400" w:right="773" w:bottom="906" w:left="1340" w:header="0" w:footer="755" w:gutter="0"/>
          <w:cols w:space="720" w:num="1"/>
        </w:sectPr>
      </w:pPr>
    </w:p>
    <w:p w14:paraId="5DD90674">
      <w:pPr>
        <w:pStyle w:val="2"/>
        <w:spacing w:before="236" w:line="221" w:lineRule="auto"/>
        <w:ind w:left="709"/>
        <w:rPr>
          <w:sz w:val="21"/>
          <w:szCs w:val="21"/>
        </w:rPr>
      </w:pPr>
      <w:r>
        <w:rPr>
          <w:spacing w:val="-19"/>
          <w:w w:val="98"/>
          <w:sz w:val="21"/>
          <w:szCs w:val="21"/>
        </w:rPr>
        <w:t>修订说明</w:t>
      </w:r>
    </w:p>
    <w:p w14:paraId="7B2ABE98">
      <w:pPr>
        <w:spacing w:line="273" w:lineRule="auto"/>
        <w:rPr>
          <w:rFonts w:ascii="Arial"/>
          <w:sz w:val="21"/>
        </w:rPr>
      </w:pPr>
    </w:p>
    <w:p w14:paraId="2A80002F">
      <w:pPr>
        <w:spacing w:line="273" w:lineRule="auto"/>
        <w:rPr>
          <w:rFonts w:ascii="Arial"/>
          <w:sz w:val="21"/>
        </w:rPr>
      </w:pPr>
    </w:p>
    <w:p w14:paraId="56A70820">
      <w:pPr>
        <w:pStyle w:val="2"/>
        <w:spacing w:before="69" w:line="221" w:lineRule="auto"/>
        <w:ind w:left="1130"/>
        <w:rPr>
          <w:sz w:val="21"/>
          <w:szCs w:val="21"/>
        </w:rPr>
      </w:pPr>
      <w:r>
        <w:rPr>
          <w:spacing w:val="3"/>
          <w:sz w:val="21"/>
          <w:szCs w:val="21"/>
        </w:rPr>
        <w:t>预防医学专业第九轮规划教材的修订和编写特点如下：</w:t>
      </w:r>
    </w:p>
    <w:p w14:paraId="75D2B085">
      <w:pPr>
        <w:pStyle w:val="2"/>
        <w:spacing w:before="197" w:line="363" w:lineRule="auto"/>
        <w:ind w:left="709" w:right="114" w:firstLine="423"/>
        <w:rPr>
          <w:sz w:val="21"/>
          <w:szCs w:val="21"/>
        </w:rPr>
      </w:pPr>
      <w:r>
        <w:rPr>
          <w:rFonts w:ascii="宋体" w:hAnsi="宋体" w:eastAsia="宋体" w:cs="宋体"/>
          <w:b/>
          <w:bCs/>
          <w:spacing w:val="1"/>
          <w:sz w:val="21"/>
          <w:szCs w:val="21"/>
        </w:rPr>
        <w:t>1.</w:t>
      </w:r>
      <w:r>
        <w:rPr>
          <w:rFonts w:ascii="宋体" w:hAnsi="宋体" w:eastAsia="宋体" w:cs="宋体"/>
          <w:spacing w:val="-19"/>
          <w:sz w:val="21"/>
          <w:szCs w:val="21"/>
        </w:rPr>
        <w:t xml:space="preserve"> </w:t>
      </w:r>
      <w:r>
        <w:rPr>
          <w:b/>
          <w:bCs/>
          <w:spacing w:val="1"/>
          <w:sz w:val="21"/>
          <w:szCs w:val="21"/>
        </w:rPr>
        <w:t>强化国家战略导向，坚持教材立德树人</w:t>
      </w:r>
      <w:r>
        <w:rPr>
          <w:spacing w:val="78"/>
          <w:sz w:val="21"/>
          <w:szCs w:val="21"/>
        </w:rPr>
        <w:t xml:space="preserve"> </w:t>
      </w:r>
      <w:r>
        <w:rPr>
          <w:spacing w:val="1"/>
          <w:sz w:val="21"/>
          <w:szCs w:val="21"/>
        </w:rPr>
        <w:t>教材修订编写工作认真贯彻落实教育部《高等学校</w:t>
      </w:r>
      <w:r>
        <w:rPr>
          <w:sz w:val="21"/>
          <w:szCs w:val="21"/>
        </w:rPr>
        <w:t xml:space="preserve"> </w:t>
      </w:r>
      <w:r>
        <w:rPr>
          <w:spacing w:val="1"/>
          <w:sz w:val="21"/>
          <w:szCs w:val="21"/>
        </w:rPr>
        <w:t>课程思政建设指导纲要》,落实立德树人根本任务，以为党育人、为国育才为根本目标。在专业内容</w:t>
      </w:r>
      <w:r>
        <w:rPr>
          <w:sz w:val="21"/>
          <w:szCs w:val="21"/>
        </w:rPr>
        <w:t xml:space="preserve"> </w:t>
      </w:r>
      <w:r>
        <w:rPr>
          <w:spacing w:val="-6"/>
          <w:sz w:val="21"/>
          <w:szCs w:val="21"/>
        </w:rPr>
        <w:t>中融入思政元素，固本铸魂，阐释“人民至上</w:t>
      </w:r>
      <w:r>
        <w:rPr>
          <w:spacing w:val="-7"/>
          <w:sz w:val="21"/>
          <w:szCs w:val="21"/>
        </w:rPr>
        <w:t>、生命至上”的理念，引导学生热爱、专注、执着、奉献</w:t>
      </w:r>
      <w:r>
        <w:rPr>
          <w:sz w:val="21"/>
          <w:szCs w:val="21"/>
        </w:rPr>
        <w:t xml:space="preserve"> </w:t>
      </w:r>
      <w:r>
        <w:rPr>
          <w:spacing w:val="-1"/>
          <w:sz w:val="21"/>
          <w:szCs w:val="21"/>
        </w:rPr>
        <w:t>于公共卫生事业，打造政治过硬、心怀人民、专业能力强，既</w:t>
      </w:r>
      <w:r>
        <w:rPr>
          <w:spacing w:val="-2"/>
          <w:sz w:val="21"/>
          <w:szCs w:val="21"/>
        </w:rPr>
        <w:t>对国情有深刻理解，又对国际形势有充</w:t>
      </w:r>
      <w:r>
        <w:rPr>
          <w:sz w:val="21"/>
          <w:szCs w:val="21"/>
        </w:rPr>
        <w:t xml:space="preserve"> </w:t>
      </w:r>
      <w:r>
        <w:rPr>
          <w:spacing w:val="1"/>
          <w:sz w:val="21"/>
          <w:szCs w:val="21"/>
        </w:rPr>
        <w:t>分认知，关键时刻能够靠得住、顶得上的公共卫生与预</w:t>
      </w:r>
      <w:r>
        <w:rPr>
          <w:sz w:val="21"/>
          <w:szCs w:val="21"/>
        </w:rPr>
        <w:t>防医学专业人才队伍。</w:t>
      </w:r>
    </w:p>
    <w:p w14:paraId="69BA457E">
      <w:pPr>
        <w:pStyle w:val="2"/>
        <w:spacing w:before="206" w:line="368" w:lineRule="auto"/>
        <w:ind w:left="709" w:right="19" w:firstLine="423"/>
        <w:rPr>
          <w:sz w:val="21"/>
          <w:szCs w:val="21"/>
        </w:rPr>
      </w:pPr>
      <w:r>
        <w:rPr>
          <w:rFonts w:ascii="宋体" w:hAnsi="宋体" w:eastAsia="宋体" w:cs="宋体"/>
          <w:b/>
          <w:bCs/>
          <w:spacing w:val="5"/>
          <w:sz w:val="21"/>
          <w:szCs w:val="21"/>
        </w:rPr>
        <w:t>2.</w:t>
      </w:r>
      <w:r>
        <w:rPr>
          <w:rFonts w:ascii="宋体" w:hAnsi="宋体" w:eastAsia="宋体" w:cs="宋体"/>
          <w:spacing w:val="5"/>
          <w:sz w:val="21"/>
          <w:szCs w:val="21"/>
        </w:rPr>
        <w:t xml:space="preserve"> </w:t>
      </w:r>
      <w:r>
        <w:rPr>
          <w:b/>
          <w:bCs/>
          <w:spacing w:val="5"/>
          <w:sz w:val="21"/>
          <w:szCs w:val="21"/>
        </w:rPr>
        <w:t>培养公卫紧缺人才，坚持教材顶层设计</w:t>
      </w:r>
      <w:r>
        <w:rPr>
          <w:spacing w:val="107"/>
          <w:sz w:val="21"/>
          <w:szCs w:val="21"/>
        </w:rPr>
        <w:t xml:space="preserve"> </w:t>
      </w:r>
      <w:r>
        <w:rPr>
          <w:spacing w:val="5"/>
          <w:sz w:val="21"/>
          <w:szCs w:val="21"/>
        </w:rPr>
        <w:t>教材修订编写工作是在教育部、国家卫生健康委</w:t>
      </w:r>
      <w:r>
        <w:rPr>
          <w:sz w:val="21"/>
          <w:szCs w:val="21"/>
        </w:rPr>
        <w:t xml:space="preserve">  </w:t>
      </w:r>
      <w:r>
        <w:rPr>
          <w:spacing w:val="5"/>
          <w:sz w:val="21"/>
          <w:szCs w:val="21"/>
        </w:rPr>
        <w:t>员会、国家疾病预防控制局的领导和支持下，由全国高等学校预防医学专业教材评审委员会审定，</w:t>
      </w:r>
      <w:r>
        <w:rPr>
          <w:spacing w:val="8"/>
          <w:sz w:val="21"/>
          <w:szCs w:val="21"/>
        </w:rPr>
        <w:t xml:space="preserve"> </w:t>
      </w:r>
      <w:r>
        <w:rPr>
          <w:spacing w:val="1"/>
          <w:sz w:val="21"/>
          <w:szCs w:val="21"/>
        </w:rPr>
        <w:t>专家、教授把关，全国各医学院校知名专家教授和疾控专家共同编写，人民卫</w:t>
      </w:r>
      <w:r>
        <w:rPr>
          <w:sz w:val="21"/>
          <w:szCs w:val="21"/>
        </w:rPr>
        <w:t xml:space="preserve">生出版社高质量出版。 </w:t>
      </w:r>
      <w:r>
        <w:rPr>
          <w:spacing w:val="9"/>
          <w:sz w:val="21"/>
          <w:szCs w:val="21"/>
        </w:rPr>
        <w:t>坚持顶层设计，按照教育部培养目标、国家公共卫生与疾控事业高质量发展的要求和社会用人需</w:t>
      </w:r>
      <w:r>
        <w:rPr>
          <w:spacing w:val="4"/>
          <w:sz w:val="21"/>
          <w:szCs w:val="21"/>
        </w:rPr>
        <w:t xml:space="preserve"> </w:t>
      </w:r>
      <w:r>
        <w:rPr>
          <w:spacing w:val="3"/>
          <w:sz w:val="21"/>
          <w:szCs w:val="21"/>
        </w:rPr>
        <w:t>求，在全国进行科学调研的基础上，借鉴国内外公共卫生人才培养模式和教材建设经验，充分研究</w:t>
      </w:r>
      <w:r>
        <w:rPr>
          <w:spacing w:val="8"/>
          <w:sz w:val="21"/>
          <w:szCs w:val="21"/>
        </w:rPr>
        <w:t xml:space="preserve">  </w:t>
      </w:r>
      <w:r>
        <w:rPr>
          <w:sz w:val="21"/>
          <w:szCs w:val="21"/>
        </w:rPr>
        <w:t>论证专业人才素质要求、学科体系构成、课程体系设置和教材体系规划。</w:t>
      </w:r>
    </w:p>
    <w:p w14:paraId="19112B2D">
      <w:pPr>
        <w:pStyle w:val="2"/>
        <w:spacing w:before="228" w:line="368" w:lineRule="auto"/>
        <w:ind w:left="709" w:right="95" w:firstLine="423"/>
        <w:rPr>
          <w:sz w:val="21"/>
          <w:szCs w:val="21"/>
        </w:rPr>
      </w:pPr>
      <w:r>
        <w:rPr>
          <w:rFonts w:ascii="宋体" w:hAnsi="宋体" w:eastAsia="宋体" w:cs="宋体"/>
          <w:b/>
          <w:bCs/>
          <w:spacing w:val="5"/>
          <w:sz w:val="21"/>
          <w:szCs w:val="21"/>
        </w:rPr>
        <w:t>3.</w:t>
      </w:r>
      <w:r>
        <w:rPr>
          <w:rFonts w:ascii="宋体" w:hAnsi="宋体" w:eastAsia="宋体" w:cs="宋体"/>
          <w:spacing w:val="5"/>
          <w:sz w:val="21"/>
          <w:szCs w:val="21"/>
        </w:rPr>
        <w:t xml:space="preserve"> </w:t>
      </w:r>
      <w:r>
        <w:rPr>
          <w:b/>
          <w:bCs/>
          <w:spacing w:val="5"/>
          <w:sz w:val="21"/>
          <w:szCs w:val="21"/>
        </w:rPr>
        <w:t>细化自强卓越目标，坚持教材编写原则</w:t>
      </w:r>
      <w:r>
        <w:rPr>
          <w:spacing w:val="5"/>
          <w:sz w:val="21"/>
          <w:szCs w:val="21"/>
        </w:rPr>
        <w:t xml:space="preserve">  教材修订编写遵循教育模式的改革、教学方式的</w:t>
      </w:r>
      <w:r>
        <w:rPr>
          <w:spacing w:val="1"/>
          <w:sz w:val="21"/>
          <w:szCs w:val="21"/>
        </w:rPr>
        <w:t xml:space="preserve"> </w:t>
      </w:r>
      <w:r>
        <w:rPr>
          <w:spacing w:val="4"/>
          <w:sz w:val="21"/>
          <w:szCs w:val="21"/>
        </w:rPr>
        <w:t>优化和教材体系的建设，立足中国本土，突出中国特色，夯实人才根基。在全国高等院校</w:t>
      </w:r>
      <w:r>
        <w:rPr>
          <w:spacing w:val="3"/>
          <w:sz w:val="21"/>
          <w:szCs w:val="21"/>
        </w:rPr>
        <w:t>教材使用</w:t>
      </w:r>
      <w:r>
        <w:rPr>
          <w:sz w:val="21"/>
          <w:szCs w:val="21"/>
        </w:rPr>
        <w:t xml:space="preserve"> </w:t>
      </w:r>
      <w:r>
        <w:rPr>
          <w:spacing w:val="4"/>
          <w:sz w:val="21"/>
          <w:szCs w:val="21"/>
        </w:rPr>
        <w:t>效果的调研、评价基础上，总结和汲取前八轮教材的编写经验和</w:t>
      </w:r>
      <w:r>
        <w:rPr>
          <w:spacing w:val="3"/>
          <w:sz w:val="21"/>
          <w:szCs w:val="21"/>
        </w:rPr>
        <w:t>成果，对院校反馈意见比较集中的</w:t>
      </w:r>
      <w:r>
        <w:rPr>
          <w:sz w:val="21"/>
          <w:szCs w:val="21"/>
        </w:rPr>
        <w:t xml:space="preserve"> </w:t>
      </w:r>
      <w:r>
        <w:rPr>
          <w:spacing w:val="1"/>
          <w:sz w:val="21"/>
          <w:szCs w:val="21"/>
        </w:rPr>
        <w:t>教材内容进行修改和完善。教材编写立足预防医学专业五年制本科教育，始终坚持教材“三基”(基</w:t>
      </w:r>
      <w:r>
        <w:rPr>
          <w:sz w:val="21"/>
          <w:szCs w:val="21"/>
        </w:rPr>
        <w:t xml:space="preserve"> </w:t>
      </w:r>
      <w:r>
        <w:rPr>
          <w:spacing w:val="-14"/>
          <w:sz w:val="21"/>
          <w:szCs w:val="21"/>
        </w:rPr>
        <w:t>础理论、基本知识、基本技能)、“五性”(思想性、科学性、先进性、启发性、适用性)和“三特</w:t>
      </w:r>
      <w:r>
        <w:rPr>
          <w:spacing w:val="-15"/>
          <w:sz w:val="21"/>
          <w:szCs w:val="21"/>
        </w:rPr>
        <w:t>定”(特定</w:t>
      </w:r>
      <w:r>
        <w:rPr>
          <w:sz w:val="21"/>
          <w:szCs w:val="21"/>
        </w:rPr>
        <w:t xml:space="preserve"> </w:t>
      </w:r>
      <w:r>
        <w:rPr>
          <w:spacing w:val="-3"/>
          <w:sz w:val="21"/>
          <w:szCs w:val="21"/>
        </w:rPr>
        <w:t>对象、特定要求、特定限制)的编写原则。</w:t>
      </w:r>
    </w:p>
    <w:p w14:paraId="67959D77">
      <w:pPr>
        <w:pStyle w:val="2"/>
        <w:spacing w:before="175" w:line="351" w:lineRule="auto"/>
        <w:ind w:left="709" w:firstLine="423"/>
        <w:rPr>
          <w:sz w:val="21"/>
          <w:szCs w:val="21"/>
        </w:rPr>
      </w:pPr>
      <w:r>
        <w:rPr>
          <w:rFonts w:ascii="宋体" w:hAnsi="宋体" w:eastAsia="宋体" w:cs="宋体"/>
          <w:b/>
          <w:bCs/>
          <w:spacing w:val="5"/>
          <w:sz w:val="21"/>
          <w:szCs w:val="21"/>
        </w:rPr>
        <w:t>4.</w:t>
      </w:r>
      <w:r>
        <w:rPr>
          <w:rFonts w:ascii="宋体" w:hAnsi="宋体" w:eastAsia="宋体" w:cs="宋体"/>
          <w:spacing w:val="5"/>
          <w:sz w:val="21"/>
          <w:szCs w:val="21"/>
        </w:rPr>
        <w:t xml:space="preserve"> </w:t>
      </w:r>
      <w:r>
        <w:rPr>
          <w:b/>
          <w:bCs/>
          <w:spacing w:val="5"/>
          <w:sz w:val="21"/>
          <w:szCs w:val="21"/>
        </w:rPr>
        <w:t>深化数字科技赋能，坚持教材创新发展</w:t>
      </w:r>
      <w:r>
        <w:rPr>
          <w:spacing w:val="112"/>
          <w:sz w:val="21"/>
          <w:szCs w:val="21"/>
        </w:rPr>
        <w:t xml:space="preserve"> </w:t>
      </w:r>
      <w:r>
        <w:rPr>
          <w:spacing w:val="5"/>
          <w:sz w:val="21"/>
          <w:szCs w:val="21"/>
        </w:rPr>
        <w:t>为进一步满足预防医学专业教育数字化需求，更</w:t>
      </w:r>
      <w:r>
        <w:rPr>
          <w:sz w:val="21"/>
          <w:szCs w:val="21"/>
        </w:rPr>
        <w:t xml:space="preserve">  </w:t>
      </w:r>
      <w:r>
        <w:rPr>
          <w:spacing w:val="4"/>
          <w:sz w:val="21"/>
          <w:szCs w:val="21"/>
        </w:rPr>
        <w:t>好地实现理论与实践结合，本轮教材采用纸质教材和数字资源融合的新形态教材出版形式</w:t>
      </w:r>
      <w:r>
        <w:rPr>
          <w:spacing w:val="3"/>
          <w:sz w:val="21"/>
          <w:szCs w:val="21"/>
        </w:rPr>
        <w:t>。数字资</w:t>
      </w:r>
      <w:r>
        <w:rPr>
          <w:sz w:val="21"/>
          <w:szCs w:val="21"/>
        </w:rPr>
        <w:t xml:space="preserve">  </w:t>
      </w:r>
      <w:r>
        <w:rPr>
          <w:spacing w:val="-10"/>
          <w:sz w:val="21"/>
          <w:szCs w:val="21"/>
        </w:rPr>
        <w:t>源包括教学课件、拓展阅读、案例分析、实践操作、微课</w:t>
      </w:r>
      <w:r>
        <w:rPr>
          <w:spacing w:val="-11"/>
          <w:sz w:val="21"/>
          <w:szCs w:val="21"/>
        </w:rPr>
        <w:t>、视频、动画等，根据教学实际需求，突出公共</w:t>
      </w:r>
      <w:r>
        <w:rPr>
          <w:sz w:val="21"/>
          <w:szCs w:val="21"/>
        </w:rPr>
        <w:t xml:space="preserve">  </w:t>
      </w:r>
      <w:r>
        <w:rPr>
          <w:spacing w:val="-3"/>
          <w:sz w:val="21"/>
          <w:szCs w:val="21"/>
        </w:rPr>
        <w:t>卫生与预防医学学科特色资源建设，支持教学深度应</w:t>
      </w:r>
      <w:r>
        <w:rPr>
          <w:spacing w:val="-4"/>
          <w:sz w:val="21"/>
          <w:szCs w:val="21"/>
        </w:rPr>
        <w:t>用，有效服务线上教学、混合式教学等教学模式。</w:t>
      </w:r>
    </w:p>
    <w:p w14:paraId="21940573">
      <w:pPr>
        <w:pStyle w:val="2"/>
        <w:spacing w:before="234" w:line="330" w:lineRule="auto"/>
        <w:ind w:left="709" w:right="97" w:firstLine="423"/>
        <w:rPr>
          <w:sz w:val="21"/>
          <w:szCs w:val="21"/>
        </w:rPr>
      </w:pPr>
      <w:r>
        <w:rPr>
          <w:rFonts w:ascii="宋体" w:hAnsi="宋体" w:eastAsia="宋体" w:cs="宋体"/>
          <w:b/>
          <w:bCs/>
          <w:spacing w:val="6"/>
          <w:sz w:val="21"/>
          <w:szCs w:val="21"/>
        </w:rPr>
        <w:t>5.</w:t>
      </w:r>
      <w:r>
        <w:rPr>
          <w:rFonts w:ascii="宋体" w:hAnsi="宋体" w:eastAsia="宋体" w:cs="宋体"/>
          <w:spacing w:val="6"/>
          <w:sz w:val="21"/>
          <w:szCs w:val="21"/>
        </w:rPr>
        <w:t xml:space="preserve"> </w:t>
      </w:r>
      <w:r>
        <w:rPr>
          <w:b/>
          <w:bCs/>
          <w:spacing w:val="6"/>
          <w:sz w:val="21"/>
          <w:szCs w:val="21"/>
        </w:rPr>
        <w:t>全面服务教学育人，坚持教材立体建设</w:t>
      </w:r>
      <w:r>
        <w:rPr>
          <w:spacing w:val="90"/>
          <w:sz w:val="21"/>
          <w:szCs w:val="21"/>
        </w:rPr>
        <w:t xml:space="preserve"> </w:t>
      </w:r>
      <w:r>
        <w:rPr>
          <w:spacing w:val="5"/>
          <w:sz w:val="21"/>
          <w:szCs w:val="21"/>
        </w:rPr>
        <w:t>从第五轮教材修订开始，尝试编写和出版服务于</w:t>
      </w:r>
      <w:r>
        <w:rPr>
          <w:sz w:val="21"/>
          <w:szCs w:val="21"/>
        </w:rPr>
        <w:t xml:space="preserve"> </w:t>
      </w:r>
      <w:r>
        <w:rPr>
          <w:spacing w:val="9"/>
          <w:sz w:val="21"/>
          <w:szCs w:val="21"/>
        </w:rPr>
        <w:t>教学与考核的配套教材，之后每轮教材修订时根据需要不断扩充和完善。</w:t>
      </w:r>
      <w:r>
        <w:rPr>
          <w:spacing w:val="8"/>
          <w:sz w:val="21"/>
          <w:szCs w:val="21"/>
        </w:rPr>
        <w:t>本轮教材仍有10种理论</w:t>
      </w:r>
      <w:r>
        <w:rPr>
          <w:sz w:val="21"/>
          <w:szCs w:val="21"/>
        </w:rPr>
        <w:t xml:space="preserve"> </w:t>
      </w:r>
      <w:r>
        <w:rPr>
          <w:spacing w:val="-1"/>
          <w:sz w:val="21"/>
          <w:szCs w:val="21"/>
        </w:rPr>
        <w:t>教材配有学习指导与习题集、实习指导、实验指导类</w:t>
      </w:r>
      <w:r>
        <w:rPr>
          <w:spacing w:val="-2"/>
          <w:sz w:val="21"/>
          <w:szCs w:val="21"/>
        </w:rPr>
        <w:t>配套教材，供教师授课、学生学习和复习参考。</w:t>
      </w:r>
    </w:p>
    <w:p w14:paraId="41C35FA5">
      <w:pPr>
        <w:spacing w:line="298" w:lineRule="auto"/>
        <w:rPr>
          <w:rFonts w:ascii="Arial"/>
          <w:sz w:val="21"/>
        </w:rPr>
      </w:pPr>
    </w:p>
    <w:p w14:paraId="3A122560">
      <w:pPr>
        <w:spacing w:line="299" w:lineRule="auto"/>
        <w:rPr>
          <w:rFonts w:ascii="Arial"/>
          <w:sz w:val="21"/>
        </w:rPr>
      </w:pPr>
    </w:p>
    <w:p w14:paraId="35AAA79B">
      <w:pPr>
        <w:pStyle w:val="2"/>
        <w:spacing w:before="68" w:line="385" w:lineRule="auto"/>
        <w:ind w:left="709" w:right="105" w:firstLine="420"/>
        <w:jc w:val="both"/>
        <w:rPr>
          <w:sz w:val="21"/>
          <w:szCs w:val="21"/>
        </w:rPr>
      </w:pPr>
      <w:r>
        <w:rPr>
          <w:spacing w:val="4"/>
          <w:sz w:val="21"/>
          <w:szCs w:val="21"/>
        </w:rPr>
        <w:t>全国高等学校预防医学专业第九轮规划教材共17种，均为国家卫生健康</w:t>
      </w:r>
      <w:r>
        <w:rPr>
          <w:spacing w:val="3"/>
          <w:sz w:val="21"/>
          <w:szCs w:val="21"/>
        </w:rPr>
        <w:t>委员会“十四五”规划</w:t>
      </w:r>
      <w:r>
        <w:rPr>
          <w:sz w:val="21"/>
          <w:szCs w:val="21"/>
        </w:rPr>
        <w:t xml:space="preserve"> </w:t>
      </w:r>
      <w:r>
        <w:rPr>
          <w:spacing w:val="13"/>
          <w:sz w:val="21"/>
          <w:szCs w:val="21"/>
        </w:rPr>
        <w:t>教材。全套教材将于2025年出版发行，数字内容和电子教材也将同步上线。其他配套教材将于</w:t>
      </w:r>
      <w:r>
        <w:rPr>
          <w:spacing w:val="11"/>
          <w:sz w:val="21"/>
          <w:szCs w:val="21"/>
        </w:rPr>
        <w:t xml:space="preserve"> </w:t>
      </w:r>
      <w:r>
        <w:rPr>
          <w:spacing w:val="10"/>
          <w:sz w:val="21"/>
          <w:szCs w:val="21"/>
        </w:rPr>
        <w:t>2026年陆续出版完成。另外，教育部公共卫生与预防医学“101计划”核心教材首轮共10种，也</w:t>
      </w:r>
      <w:r>
        <w:rPr>
          <w:spacing w:val="3"/>
          <w:sz w:val="21"/>
          <w:szCs w:val="21"/>
        </w:rPr>
        <w:t xml:space="preserve"> </w:t>
      </w:r>
      <w:r>
        <w:rPr>
          <w:spacing w:val="2"/>
          <w:sz w:val="21"/>
          <w:szCs w:val="21"/>
        </w:rPr>
        <w:t>将同步出版，供全国广大院校师生选用参考。</w:t>
      </w:r>
    </w:p>
    <w:p w14:paraId="7A61E45D">
      <w:pPr>
        <w:pStyle w:val="2"/>
        <w:spacing w:before="28" w:line="389" w:lineRule="auto"/>
        <w:ind w:left="709" w:right="117" w:firstLine="420"/>
        <w:rPr>
          <w:sz w:val="21"/>
          <w:szCs w:val="21"/>
        </w:rPr>
      </w:pPr>
      <w:r>
        <w:rPr>
          <w:spacing w:val="4"/>
          <w:sz w:val="21"/>
          <w:szCs w:val="21"/>
        </w:rPr>
        <w:t>希望全国广大院校在使用过程中能够多提宝贵意见，</w:t>
      </w:r>
      <w:r>
        <w:rPr>
          <w:spacing w:val="3"/>
          <w:sz w:val="21"/>
          <w:szCs w:val="21"/>
        </w:rPr>
        <w:t>反馈使用信息，以便进一步修改和完善教</w:t>
      </w:r>
      <w:r>
        <w:rPr>
          <w:sz w:val="21"/>
          <w:szCs w:val="21"/>
        </w:rPr>
        <w:t xml:space="preserve"> 材内容，提高教材质量，为第十轮教材的修订工</w:t>
      </w:r>
      <w:r>
        <w:rPr>
          <w:spacing w:val="-1"/>
          <w:sz w:val="21"/>
          <w:szCs w:val="21"/>
        </w:rPr>
        <w:t>作建言献策。</w:t>
      </w:r>
    </w:p>
    <w:p w14:paraId="01945179">
      <w:pPr>
        <w:spacing w:line="389" w:lineRule="auto"/>
        <w:rPr>
          <w:sz w:val="21"/>
          <w:szCs w:val="21"/>
        </w:rPr>
        <w:sectPr>
          <w:footerReference r:id="rId10" w:type="default"/>
          <w:pgSz w:w="11900" w:h="16820"/>
          <w:pgMar w:top="400" w:right="1275" w:bottom="866" w:left="619" w:header="0" w:footer="677" w:gutter="0"/>
          <w:cols w:space="720" w:num="1"/>
        </w:sectPr>
      </w:pPr>
    </w:p>
    <w:p w14:paraId="58C1FD1D">
      <w:pPr>
        <w:spacing w:before="213"/>
      </w:pPr>
    </w:p>
    <w:p w14:paraId="0D1AEC6D">
      <w:pPr>
        <w:sectPr>
          <w:headerReference r:id="rId11" w:type="default"/>
          <w:footerReference r:id="rId12" w:type="default"/>
          <w:pgSz w:w="11900" w:h="16820"/>
          <w:pgMar w:top="2649" w:right="1785" w:bottom="896" w:left="0" w:header="1400" w:footer="745" w:gutter="0"/>
          <w:cols w:equalWidth="0" w:num="1">
            <w:col w:w="10115"/>
          </w:cols>
        </w:sectPr>
      </w:pPr>
    </w:p>
    <w:p w14:paraId="7D64D15E">
      <w:pPr>
        <w:spacing w:before="44" w:line="2950" w:lineRule="exact"/>
      </w:pPr>
      <w:r>
        <w:rPr>
          <w:position w:val="-58"/>
        </w:rPr>
        <w:drawing>
          <wp:inline distT="0" distB="0" distL="0" distR="0">
            <wp:extent cx="1428750" cy="1872615"/>
            <wp:effectExtent l="0" t="0" r="0" b="0"/>
            <wp:docPr id="40" name="IM 40"/>
            <wp:cNvGraphicFramePr/>
            <a:graphic xmlns:a="http://schemas.openxmlformats.org/drawingml/2006/main">
              <a:graphicData uri="http://schemas.openxmlformats.org/drawingml/2006/picture">
                <pic:pic xmlns:pic="http://schemas.openxmlformats.org/drawingml/2006/picture">
                  <pic:nvPicPr>
                    <pic:cNvPr id="40" name="IM 40"/>
                    <pic:cNvPicPr/>
                  </pic:nvPicPr>
                  <pic:blipFill>
                    <a:blip r:embed="rId416"/>
                    <a:stretch>
                      <a:fillRect/>
                    </a:stretch>
                  </pic:blipFill>
                  <pic:spPr>
                    <a:xfrm>
                      <a:off x="0" y="0"/>
                      <a:ext cx="1428783" cy="1873181"/>
                    </a:xfrm>
                    <a:prstGeom prst="rect">
                      <a:avLst/>
                    </a:prstGeom>
                  </pic:spPr>
                </pic:pic>
              </a:graphicData>
            </a:graphic>
          </wp:inline>
        </w:drawing>
      </w:r>
    </w:p>
    <w:p w14:paraId="57B4DC7E">
      <w:pPr>
        <w:spacing w:before="46" w:line="224" w:lineRule="auto"/>
        <w:ind w:left="570"/>
        <w:rPr>
          <w:rFonts w:ascii="KaiTi" w:hAnsi="KaiTi" w:eastAsia="KaiTi" w:cs="KaiTi"/>
          <w:sz w:val="33"/>
          <w:szCs w:val="33"/>
        </w:rPr>
      </w:pPr>
      <w:r>
        <w:rPr>
          <w:rFonts w:ascii="KaiTi" w:hAnsi="KaiTi" w:eastAsia="KaiTi" w:cs="KaiTi"/>
          <w:spacing w:val="19"/>
          <w:sz w:val="33"/>
          <w:szCs w:val="33"/>
        </w:rPr>
        <w:t>詹思延</w:t>
      </w:r>
    </w:p>
    <w:p w14:paraId="4BA34030">
      <w:pPr>
        <w:spacing w:line="14" w:lineRule="auto"/>
        <w:rPr>
          <w:rFonts w:ascii="Arial"/>
          <w:sz w:val="2"/>
        </w:rPr>
      </w:pPr>
      <w:r>
        <w:rPr>
          <w:rFonts w:ascii="Arial" w:hAnsi="Arial" w:eastAsia="Arial" w:cs="Arial"/>
          <w:sz w:val="2"/>
          <w:szCs w:val="2"/>
        </w:rPr>
        <w:br w:type="column"/>
      </w:r>
    </w:p>
    <w:p w14:paraId="201F9C10">
      <w:pPr>
        <w:pStyle w:val="2"/>
        <w:spacing w:before="57" w:line="301" w:lineRule="auto"/>
        <w:ind w:right="947" w:firstLine="450"/>
        <w:jc w:val="both"/>
        <w:rPr>
          <w:sz w:val="22"/>
          <w:szCs w:val="22"/>
        </w:rPr>
      </w:pPr>
      <w:r>
        <w:rPr>
          <w:spacing w:val="-1"/>
          <w:sz w:val="22"/>
          <w:szCs w:val="22"/>
        </w:rPr>
        <w:t>二级教授，博士研究生导师，北京大学公共卫生学院院长、重</w:t>
      </w:r>
      <w:r>
        <w:rPr>
          <w:spacing w:val="13"/>
          <w:sz w:val="22"/>
          <w:szCs w:val="22"/>
        </w:rPr>
        <w:t xml:space="preserve"> </w:t>
      </w:r>
      <w:r>
        <w:rPr>
          <w:spacing w:val="6"/>
          <w:sz w:val="22"/>
          <w:szCs w:val="22"/>
        </w:rPr>
        <w:t>大疾病流行病学教育部重点实验室(北京大学)主任，北京大学第</w:t>
      </w:r>
      <w:r>
        <w:rPr>
          <w:spacing w:val="18"/>
          <w:sz w:val="22"/>
          <w:szCs w:val="22"/>
        </w:rPr>
        <w:t xml:space="preserve"> </w:t>
      </w:r>
      <w:r>
        <w:rPr>
          <w:spacing w:val="7"/>
          <w:sz w:val="22"/>
          <w:szCs w:val="22"/>
        </w:rPr>
        <w:t>三医院临床流行病学研究中心主任，北京大学人工智能研究院智</w:t>
      </w:r>
      <w:r>
        <w:rPr>
          <w:spacing w:val="4"/>
          <w:sz w:val="22"/>
          <w:szCs w:val="22"/>
        </w:rPr>
        <w:t xml:space="preserve"> </w:t>
      </w:r>
      <w:r>
        <w:rPr>
          <w:spacing w:val="15"/>
          <w:sz w:val="22"/>
          <w:szCs w:val="22"/>
        </w:rPr>
        <w:t>慧公众健康研究中心主任。担任中华预防医学会流行病学分会</w:t>
      </w:r>
      <w:r>
        <w:rPr>
          <w:spacing w:val="3"/>
          <w:sz w:val="22"/>
          <w:szCs w:val="22"/>
        </w:rPr>
        <w:t xml:space="preserve"> </w:t>
      </w:r>
      <w:r>
        <w:rPr>
          <w:spacing w:val="7"/>
          <w:sz w:val="22"/>
          <w:szCs w:val="22"/>
        </w:rPr>
        <w:t>主任委员，中国药学会常务理事、药物流行病学专</w:t>
      </w:r>
      <w:r>
        <w:rPr>
          <w:spacing w:val="6"/>
          <w:sz w:val="22"/>
          <w:szCs w:val="22"/>
        </w:rPr>
        <w:t>业委员会名誉</w:t>
      </w:r>
      <w:r>
        <w:rPr>
          <w:sz w:val="22"/>
          <w:szCs w:val="22"/>
        </w:rPr>
        <w:t xml:space="preserve"> </w:t>
      </w:r>
      <w:r>
        <w:rPr>
          <w:spacing w:val="7"/>
          <w:sz w:val="22"/>
          <w:szCs w:val="22"/>
        </w:rPr>
        <w:t>主任委员，国务院学位委员会第八届学科评议组专家，国家药品</w:t>
      </w:r>
      <w:r>
        <w:rPr>
          <w:spacing w:val="2"/>
          <w:sz w:val="22"/>
          <w:szCs w:val="22"/>
        </w:rPr>
        <w:t xml:space="preserve"> </w:t>
      </w:r>
      <w:r>
        <w:rPr>
          <w:spacing w:val="7"/>
          <w:sz w:val="22"/>
          <w:szCs w:val="22"/>
        </w:rPr>
        <w:t>监督管理局药品注册审评专家咨询委员会委员，国家免疫规</w:t>
      </w:r>
      <w:r>
        <w:rPr>
          <w:spacing w:val="6"/>
          <w:sz w:val="22"/>
          <w:szCs w:val="22"/>
        </w:rPr>
        <w:t>划专</w:t>
      </w:r>
      <w:r>
        <w:rPr>
          <w:sz w:val="22"/>
          <w:szCs w:val="22"/>
        </w:rPr>
        <w:t xml:space="preserve"> </w:t>
      </w:r>
      <w:r>
        <w:rPr>
          <w:spacing w:val="-8"/>
          <w:sz w:val="22"/>
          <w:szCs w:val="22"/>
        </w:rPr>
        <w:t>家咨询委员会委员，《药物流行病学杂志》</w:t>
      </w:r>
      <w:r>
        <w:rPr>
          <w:spacing w:val="-9"/>
          <w:sz w:val="22"/>
          <w:szCs w:val="22"/>
        </w:rPr>
        <w:t>主编、《中华流行病学杂</w:t>
      </w:r>
      <w:r>
        <w:rPr>
          <w:sz w:val="22"/>
          <w:szCs w:val="22"/>
        </w:rPr>
        <w:t xml:space="preserve"> </w:t>
      </w:r>
      <w:r>
        <w:rPr>
          <w:i/>
          <w:iCs/>
          <w:spacing w:val="-5"/>
          <w:sz w:val="23"/>
          <w:szCs w:val="23"/>
        </w:rPr>
        <w:t>志》副主编、</w:t>
      </w:r>
      <w:r>
        <w:rPr>
          <w:rFonts w:ascii="Arial" w:hAnsi="Arial" w:eastAsia="Arial" w:cs="Arial"/>
          <w:i/>
          <w:iCs/>
          <w:spacing w:val="-5"/>
          <w:sz w:val="22"/>
          <w:szCs w:val="22"/>
        </w:rPr>
        <w:t xml:space="preserve">Pharmacoepidemiology&amp;Drug          Safety </w:t>
      </w:r>
      <w:r>
        <w:rPr>
          <w:i/>
          <w:iCs/>
          <w:spacing w:val="-5"/>
          <w:sz w:val="23"/>
          <w:szCs w:val="23"/>
        </w:rPr>
        <w:t>和</w:t>
      </w:r>
      <w:r>
        <w:rPr>
          <w:rFonts w:ascii="Arial" w:hAnsi="Arial" w:eastAsia="Arial" w:cs="Arial"/>
          <w:i/>
          <w:iCs/>
          <w:spacing w:val="-5"/>
          <w:sz w:val="22"/>
          <w:szCs w:val="22"/>
        </w:rPr>
        <w:t>Clinical</w:t>
      </w:r>
      <w:r>
        <w:rPr>
          <w:rFonts w:ascii="Arial" w:hAnsi="Arial" w:eastAsia="Arial" w:cs="Arial"/>
          <w:i/>
          <w:iCs/>
          <w:spacing w:val="4"/>
          <w:sz w:val="22"/>
          <w:szCs w:val="22"/>
        </w:rPr>
        <w:t xml:space="preserve">   </w:t>
      </w:r>
      <w:r>
        <w:rPr>
          <w:rFonts w:ascii="宋体" w:hAnsi="宋体" w:eastAsia="宋体" w:cs="宋体"/>
          <w:spacing w:val="-2"/>
          <w:sz w:val="22"/>
          <w:szCs w:val="22"/>
        </w:rPr>
        <w:t xml:space="preserve">Epidemiology </w:t>
      </w:r>
      <w:r>
        <w:rPr>
          <w:spacing w:val="-2"/>
          <w:sz w:val="22"/>
          <w:szCs w:val="22"/>
        </w:rPr>
        <w:t>编委等。</w:t>
      </w:r>
    </w:p>
    <w:p w14:paraId="45B0A354">
      <w:pPr>
        <w:pStyle w:val="2"/>
        <w:spacing w:before="64" w:line="288" w:lineRule="auto"/>
        <w:ind w:right="874" w:firstLine="430"/>
        <w:jc w:val="both"/>
        <w:rPr>
          <w:sz w:val="22"/>
          <w:szCs w:val="22"/>
        </w:rPr>
      </w:pPr>
      <w:r>
        <w:rPr>
          <w:spacing w:val="8"/>
          <w:sz w:val="22"/>
          <w:szCs w:val="22"/>
        </w:rPr>
        <w:t>从事流行病学教学工作30余年。先后担任预</w:t>
      </w:r>
      <w:r>
        <w:rPr>
          <w:spacing w:val="7"/>
          <w:sz w:val="22"/>
          <w:szCs w:val="22"/>
        </w:rPr>
        <w:t>防医学专业规划</w:t>
      </w:r>
      <w:r>
        <w:rPr>
          <w:sz w:val="22"/>
          <w:szCs w:val="22"/>
        </w:rPr>
        <w:t xml:space="preserve"> </w:t>
      </w:r>
      <w:r>
        <w:rPr>
          <w:spacing w:val="-8"/>
          <w:sz w:val="22"/>
          <w:szCs w:val="22"/>
        </w:rPr>
        <w:t>教材《流行病学》第7～8版主编、长学制《临床流行病学》第2、3版</w:t>
      </w:r>
      <w:r>
        <w:rPr>
          <w:spacing w:val="2"/>
          <w:sz w:val="22"/>
          <w:szCs w:val="22"/>
        </w:rPr>
        <w:t xml:space="preserve">  </w:t>
      </w:r>
      <w:r>
        <w:rPr>
          <w:spacing w:val="-5"/>
          <w:sz w:val="22"/>
          <w:szCs w:val="22"/>
        </w:rPr>
        <w:t>主编，《药物流行病学》第2版联合主编；主译《循证医学实践和教</w:t>
      </w:r>
      <w:r>
        <w:rPr>
          <w:spacing w:val="3"/>
          <w:sz w:val="22"/>
          <w:szCs w:val="22"/>
        </w:rPr>
        <w:t xml:space="preserve">  </w:t>
      </w:r>
      <w:r>
        <w:rPr>
          <w:spacing w:val="-15"/>
          <w:sz w:val="22"/>
          <w:szCs w:val="22"/>
        </w:rPr>
        <w:t>学》《药物流行病学教程》《观察性疗效比较研究的方案制定</w:t>
      </w:r>
      <w:r>
        <w:rPr>
          <w:spacing w:val="-16"/>
          <w:sz w:val="22"/>
          <w:szCs w:val="22"/>
        </w:rPr>
        <w:t>：使用者</w:t>
      </w:r>
      <w:r>
        <w:rPr>
          <w:sz w:val="22"/>
          <w:szCs w:val="22"/>
        </w:rPr>
        <w:t xml:space="preserve">  </w:t>
      </w:r>
      <w:r>
        <w:rPr>
          <w:spacing w:val="-5"/>
          <w:sz w:val="22"/>
          <w:szCs w:val="22"/>
        </w:rPr>
        <w:t>指南》。主要研究方向为药物流行病学、临床流行病学与循证医学。</w:t>
      </w:r>
      <w:r>
        <w:rPr>
          <w:sz w:val="22"/>
          <w:szCs w:val="22"/>
        </w:rPr>
        <w:t xml:space="preserve"> </w:t>
      </w:r>
      <w:r>
        <w:rPr>
          <w:spacing w:val="-8"/>
          <w:sz w:val="22"/>
          <w:szCs w:val="22"/>
        </w:rPr>
        <w:t>近年来承担科技部、国家自然科学基金重点项</w:t>
      </w:r>
      <w:r>
        <w:rPr>
          <w:spacing w:val="-9"/>
          <w:sz w:val="22"/>
          <w:szCs w:val="22"/>
        </w:rPr>
        <w:t>目等多项课题，以第一</w:t>
      </w:r>
      <w:r>
        <w:rPr>
          <w:sz w:val="22"/>
          <w:szCs w:val="22"/>
        </w:rPr>
        <w:t xml:space="preserve">  或责任作者在</w:t>
      </w:r>
      <w:r>
        <w:rPr>
          <w:rFonts w:ascii="宋体" w:hAnsi="宋体" w:eastAsia="宋体" w:cs="宋体"/>
          <w:sz w:val="22"/>
          <w:szCs w:val="22"/>
        </w:rPr>
        <w:t>BMJ、Lancet</w:t>
      </w:r>
      <w:r>
        <w:rPr>
          <w:rFonts w:ascii="宋体" w:hAnsi="宋体" w:eastAsia="宋体" w:cs="宋体"/>
          <w:spacing w:val="36"/>
          <w:sz w:val="22"/>
          <w:szCs w:val="22"/>
        </w:rPr>
        <w:t xml:space="preserve">  </w:t>
      </w:r>
      <w:r>
        <w:rPr>
          <w:rFonts w:ascii="宋体" w:hAnsi="宋体" w:eastAsia="宋体" w:cs="宋体"/>
          <w:sz w:val="22"/>
          <w:szCs w:val="22"/>
        </w:rPr>
        <w:t>ID</w:t>
      </w:r>
      <w:r>
        <w:rPr>
          <w:sz w:val="22"/>
          <w:szCs w:val="22"/>
        </w:rPr>
        <w:t xml:space="preserve">等发表论文百余篇。作为第一完成  </w:t>
      </w:r>
      <w:r>
        <w:rPr>
          <w:spacing w:val="-8"/>
          <w:sz w:val="22"/>
          <w:szCs w:val="22"/>
        </w:rPr>
        <w:t>人获多项省部级奖项，获第17届吴阶平-保罗 ·杨森医学药学奖、北</w:t>
      </w:r>
      <w:r>
        <w:rPr>
          <w:sz w:val="22"/>
          <w:szCs w:val="22"/>
        </w:rPr>
        <w:t xml:space="preserve">  </w:t>
      </w:r>
      <w:r>
        <w:rPr>
          <w:spacing w:val="-9"/>
          <w:sz w:val="22"/>
          <w:szCs w:val="22"/>
        </w:rPr>
        <w:t>京市高等学校教学名师奖，享受国务院政府特殊津贴。</w:t>
      </w:r>
    </w:p>
    <w:p w14:paraId="03F595A1">
      <w:pPr>
        <w:spacing w:line="288" w:lineRule="auto"/>
        <w:rPr>
          <w:sz w:val="22"/>
          <w:szCs w:val="22"/>
        </w:rPr>
        <w:sectPr>
          <w:type w:val="continuous"/>
          <w:pgSz w:w="11900" w:h="16820"/>
          <w:pgMar w:top="2649" w:right="1785" w:bottom="896" w:left="0" w:header="1400" w:footer="745" w:gutter="0"/>
          <w:cols w:equalWidth="0" w:num="2">
            <w:col w:w="2690" w:space="100"/>
            <w:col w:w="7326"/>
          </w:cols>
        </w:sectPr>
      </w:pPr>
    </w:p>
    <w:p w14:paraId="2FD4C410">
      <w:pPr>
        <w:spacing w:line="238" w:lineRule="auto"/>
        <w:rPr>
          <w:rFonts w:ascii="宋体" w:hAnsi="宋体" w:eastAsia="宋体" w:cs="宋体"/>
          <w:sz w:val="9"/>
          <w:szCs w:val="9"/>
        </w:rPr>
      </w:pPr>
      <w:r>
        <w:rPr>
          <w:rFonts w:ascii="宋体" w:hAnsi="宋体" w:eastAsia="宋体" w:cs="宋体"/>
          <w:color w:val="706040"/>
          <w:spacing w:val="-7"/>
          <w:sz w:val="9"/>
          <w:szCs w:val="9"/>
        </w:rPr>
        <w:t>:       t</w:t>
      </w:r>
      <w:r>
        <w:rPr>
          <w:rFonts w:ascii="宋体" w:hAnsi="宋体" w:eastAsia="宋体" w:cs="宋体"/>
          <w:color w:val="706040"/>
          <w:spacing w:val="2"/>
          <w:sz w:val="9"/>
          <w:szCs w:val="9"/>
        </w:rPr>
        <w:t xml:space="preserve">    </w:t>
      </w:r>
      <w:r>
        <w:rPr>
          <w:rFonts w:ascii="宋体" w:hAnsi="宋体" w:eastAsia="宋体" w:cs="宋体"/>
          <w:color w:val="706040"/>
          <w:spacing w:val="-7"/>
          <w:sz w:val="9"/>
          <w:szCs w:val="9"/>
        </w:rPr>
        <w:t>t:</w:t>
      </w:r>
    </w:p>
    <w:p w14:paraId="036447DF">
      <w:pPr>
        <w:spacing w:line="238" w:lineRule="auto"/>
        <w:rPr>
          <w:rFonts w:ascii="宋体" w:hAnsi="宋体" w:eastAsia="宋体" w:cs="宋体"/>
          <w:sz w:val="9"/>
          <w:szCs w:val="9"/>
        </w:rPr>
        <w:sectPr>
          <w:headerReference r:id="rId13" w:type="default"/>
          <w:footerReference r:id="rId14" w:type="default"/>
          <w:pgSz w:w="16820" w:h="11900"/>
          <w:pgMar w:top="162" w:right="2523" w:bottom="400" w:left="2180" w:header="0" w:footer="0" w:gutter="0"/>
          <w:cols w:space="720" w:num="1"/>
        </w:sectPr>
      </w:pPr>
    </w:p>
    <w:p w14:paraId="719FD128">
      <w:pPr>
        <w:spacing w:line="270" w:lineRule="auto"/>
        <w:rPr>
          <w:rFonts w:ascii="Arial"/>
          <w:sz w:val="21"/>
        </w:rPr>
      </w:pPr>
    </w:p>
    <w:p w14:paraId="39EC005F">
      <w:pPr>
        <w:spacing w:line="270" w:lineRule="auto"/>
        <w:rPr>
          <w:rFonts w:ascii="Arial"/>
          <w:sz w:val="21"/>
        </w:rPr>
      </w:pPr>
    </w:p>
    <w:p w14:paraId="59FB6A2D">
      <w:pPr>
        <w:spacing w:line="271" w:lineRule="auto"/>
        <w:rPr>
          <w:rFonts w:ascii="Arial"/>
          <w:sz w:val="21"/>
        </w:rPr>
      </w:pPr>
    </w:p>
    <w:p w14:paraId="5DE79653">
      <w:pPr>
        <w:spacing w:line="271" w:lineRule="auto"/>
        <w:rPr>
          <w:rFonts w:ascii="Arial"/>
          <w:sz w:val="21"/>
        </w:rPr>
      </w:pPr>
    </w:p>
    <w:p w14:paraId="04097BA6">
      <w:pPr>
        <w:pStyle w:val="2"/>
        <w:spacing w:before="149" w:line="221" w:lineRule="auto"/>
        <w:ind w:left="3736"/>
        <w:rPr>
          <w:sz w:val="46"/>
          <w:szCs w:val="46"/>
        </w:rPr>
      </w:pPr>
      <w:r>
        <w:rPr>
          <w:b/>
          <w:bCs/>
          <w:spacing w:val="-1"/>
          <w:sz w:val="46"/>
          <w:szCs w:val="46"/>
        </w:rPr>
        <w:t>主编简介</w:t>
      </w:r>
    </w:p>
    <w:p w14:paraId="0B3C6C19">
      <w:pPr>
        <w:spacing w:before="131" w:line="440" w:lineRule="exact"/>
        <w:ind w:firstLine="9220"/>
      </w:pPr>
      <w:r>
        <w:rPr>
          <w:position w:val="-8"/>
        </w:rPr>
        <w:drawing>
          <wp:inline distT="0" distB="0" distL="0" distR="0">
            <wp:extent cx="336550" cy="279400"/>
            <wp:effectExtent l="0" t="0" r="0" b="0"/>
            <wp:docPr id="42" name="IM 42"/>
            <wp:cNvGraphicFramePr/>
            <a:graphic xmlns:a="http://schemas.openxmlformats.org/drawingml/2006/main">
              <a:graphicData uri="http://schemas.openxmlformats.org/drawingml/2006/picture">
                <pic:pic xmlns:pic="http://schemas.openxmlformats.org/drawingml/2006/picture">
                  <pic:nvPicPr>
                    <pic:cNvPr id="42" name="IM 42"/>
                    <pic:cNvPicPr/>
                  </pic:nvPicPr>
                  <pic:blipFill>
                    <a:blip r:embed="rId417"/>
                    <a:stretch>
                      <a:fillRect/>
                    </a:stretch>
                  </pic:blipFill>
                  <pic:spPr>
                    <a:xfrm>
                      <a:off x="0" y="0"/>
                      <a:ext cx="336567" cy="279406"/>
                    </a:xfrm>
                    <a:prstGeom prst="rect">
                      <a:avLst/>
                    </a:prstGeom>
                  </pic:spPr>
                </pic:pic>
              </a:graphicData>
            </a:graphic>
          </wp:inline>
        </w:drawing>
      </w:r>
    </w:p>
    <w:p w14:paraId="7206F56D">
      <w:pPr>
        <w:spacing w:before="203"/>
      </w:pPr>
    </w:p>
    <w:p w14:paraId="5FA4B53E">
      <w:pPr>
        <w:sectPr>
          <w:footerReference r:id="rId15" w:type="default"/>
          <w:pgSz w:w="11900" w:h="16820"/>
          <w:pgMar w:top="400" w:right="751" w:bottom="868" w:left="1279" w:header="0" w:footer="715" w:gutter="0"/>
          <w:cols w:equalWidth="0" w:num="1">
            <w:col w:w="9869"/>
          </w:cols>
        </w:sectPr>
      </w:pPr>
    </w:p>
    <w:p w14:paraId="77EA1FD0">
      <w:pPr>
        <w:spacing w:before="44" w:line="2940" w:lineRule="exact"/>
      </w:pPr>
      <w:r>
        <w:rPr>
          <w:position w:val="-58"/>
        </w:rPr>
        <w:drawing>
          <wp:inline distT="0" distB="0" distL="0" distR="0">
            <wp:extent cx="1435100" cy="1866265"/>
            <wp:effectExtent l="0" t="0" r="0" b="0"/>
            <wp:docPr id="44" name="IM 44"/>
            <wp:cNvGraphicFramePr/>
            <a:graphic xmlns:a="http://schemas.openxmlformats.org/drawingml/2006/main">
              <a:graphicData uri="http://schemas.openxmlformats.org/drawingml/2006/picture">
                <pic:pic xmlns:pic="http://schemas.openxmlformats.org/drawingml/2006/picture">
                  <pic:nvPicPr>
                    <pic:cNvPr id="44" name="IM 44"/>
                    <pic:cNvPicPr/>
                  </pic:nvPicPr>
                  <pic:blipFill>
                    <a:blip r:embed="rId418"/>
                    <a:stretch>
                      <a:fillRect/>
                    </a:stretch>
                  </pic:blipFill>
                  <pic:spPr>
                    <a:xfrm>
                      <a:off x="0" y="0"/>
                      <a:ext cx="1435130" cy="1866879"/>
                    </a:xfrm>
                    <a:prstGeom prst="rect">
                      <a:avLst/>
                    </a:prstGeom>
                  </pic:spPr>
                </pic:pic>
              </a:graphicData>
            </a:graphic>
          </wp:inline>
        </w:drawing>
      </w:r>
    </w:p>
    <w:p w14:paraId="11F2A7FB">
      <w:pPr>
        <w:spacing w:before="169" w:line="227" w:lineRule="auto"/>
        <w:ind w:left="700"/>
        <w:rPr>
          <w:rFonts w:ascii="KaiTi" w:hAnsi="KaiTi" w:eastAsia="KaiTi" w:cs="KaiTi"/>
          <w:sz w:val="22"/>
          <w:szCs w:val="22"/>
        </w:rPr>
      </w:pPr>
      <w:r>
        <w:rPr>
          <w:rFonts w:ascii="KaiTi" w:hAnsi="KaiTi" w:eastAsia="KaiTi" w:cs="KaiTi"/>
          <w:spacing w:val="-21"/>
          <w:sz w:val="22"/>
          <w:szCs w:val="22"/>
        </w:rPr>
        <w:t>吕</w:t>
      </w:r>
      <w:r>
        <w:rPr>
          <w:rFonts w:ascii="KaiTi" w:hAnsi="KaiTi" w:eastAsia="KaiTi" w:cs="KaiTi"/>
          <w:spacing w:val="5"/>
          <w:sz w:val="22"/>
          <w:szCs w:val="22"/>
        </w:rPr>
        <w:t xml:space="preserve">    </w:t>
      </w:r>
      <w:r>
        <w:rPr>
          <w:rFonts w:ascii="KaiTi" w:hAnsi="KaiTi" w:eastAsia="KaiTi" w:cs="KaiTi"/>
          <w:spacing w:val="-21"/>
          <w:sz w:val="22"/>
          <w:szCs w:val="22"/>
        </w:rPr>
        <w:t>筠</w:t>
      </w:r>
    </w:p>
    <w:p w14:paraId="0226A145">
      <w:pPr>
        <w:spacing w:line="245" w:lineRule="auto"/>
        <w:rPr>
          <w:rFonts w:ascii="Arial"/>
          <w:sz w:val="21"/>
        </w:rPr>
      </w:pPr>
    </w:p>
    <w:p w14:paraId="3857980A">
      <w:pPr>
        <w:spacing w:line="245" w:lineRule="auto"/>
        <w:rPr>
          <w:rFonts w:ascii="Arial"/>
          <w:sz w:val="21"/>
        </w:rPr>
      </w:pPr>
    </w:p>
    <w:p w14:paraId="1489EDBA">
      <w:pPr>
        <w:spacing w:line="245" w:lineRule="auto"/>
        <w:rPr>
          <w:rFonts w:ascii="Arial"/>
          <w:sz w:val="21"/>
        </w:rPr>
      </w:pPr>
    </w:p>
    <w:p w14:paraId="42C3CE91">
      <w:pPr>
        <w:spacing w:line="246" w:lineRule="auto"/>
        <w:rPr>
          <w:rFonts w:ascii="Arial"/>
          <w:sz w:val="21"/>
        </w:rPr>
      </w:pPr>
    </w:p>
    <w:p w14:paraId="6ECBEDC3">
      <w:pPr>
        <w:spacing w:line="246" w:lineRule="auto"/>
        <w:rPr>
          <w:rFonts w:ascii="Arial"/>
          <w:sz w:val="21"/>
        </w:rPr>
      </w:pPr>
    </w:p>
    <w:p w14:paraId="28E06E89">
      <w:pPr>
        <w:spacing w:line="246" w:lineRule="auto"/>
        <w:rPr>
          <w:rFonts w:ascii="Arial"/>
          <w:sz w:val="21"/>
        </w:rPr>
      </w:pPr>
    </w:p>
    <w:p w14:paraId="556F8A49">
      <w:pPr>
        <w:spacing w:line="246" w:lineRule="auto"/>
        <w:rPr>
          <w:rFonts w:ascii="Arial"/>
          <w:sz w:val="21"/>
        </w:rPr>
      </w:pPr>
    </w:p>
    <w:p w14:paraId="79E85720">
      <w:pPr>
        <w:spacing w:line="246" w:lineRule="auto"/>
        <w:rPr>
          <w:rFonts w:ascii="Arial"/>
          <w:sz w:val="21"/>
        </w:rPr>
      </w:pPr>
    </w:p>
    <w:p w14:paraId="3F25C1D4">
      <w:pPr>
        <w:spacing w:line="246" w:lineRule="auto"/>
        <w:rPr>
          <w:rFonts w:ascii="Arial"/>
          <w:sz w:val="21"/>
        </w:rPr>
      </w:pPr>
    </w:p>
    <w:p w14:paraId="59F35738">
      <w:pPr>
        <w:spacing w:line="246" w:lineRule="auto"/>
        <w:rPr>
          <w:rFonts w:ascii="Arial"/>
          <w:sz w:val="21"/>
        </w:rPr>
      </w:pPr>
    </w:p>
    <w:p w14:paraId="7E20B18C">
      <w:pPr>
        <w:spacing w:line="246" w:lineRule="auto"/>
        <w:rPr>
          <w:rFonts w:ascii="Arial"/>
          <w:sz w:val="21"/>
        </w:rPr>
      </w:pPr>
    </w:p>
    <w:p w14:paraId="7EBE30B4">
      <w:pPr>
        <w:spacing w:line="246" w:lineRule="auto"/>
        <w:rPr>
          <w:rFonts w:ascii="Arial"/>
          <w:sz w:val="21"/>
        </w:rPr>
      </w:pPr>
    </w:p>
    <w:p w14:paraId="4BD9914F">
      <w:pPr>
        <w:spacing w:line="246" w:lineRule="auto"/>
        <w:rPr>
          <w:rFonts w:ascii="Arial"/>
          <w:sz w:val="21"/>
        </w:rPr>
      </w:pPr>
    </w:p>
    <w:p w14:paraId="71BB50D7">
      <w:pPr>
        <w:spacing w:line="246" w:lineRule="auto"/>
        <w:rPr>
          <w:rFonts w:ascii="Arial"/>
          <w:sz w:val="21"/>
        </w:rPr>
      </w:pPr>
    </w:p>
    <w:p w14:paraId="13D364FC">
      <w:pPr>
        <w:spacing w:line="246" w:lineRule="auto"/>
        <w:rPr>
          <w:rFonts w:ascii="Arial"/>
          <w:sz w:val="21"/>
        </w:rPr>
      </w:pPr>
    </w:p>
    <w:p w14:paraId="19446895">
      <w:pPr>
        <w:spacing w:line="2950" w:lineRule="exact"/>
      </w:pPr>
      <w:r>
        <w:rPr>
          <w:position w:val="-59"/>
        </w:rPr>
        <w:drawing>
          <wp:inline distT="0" distB="0" distL="0" distR="0">
            <wp:extent cx="1466850" cy="1873250"/>
            <wp:effectExtent l="0" t="0" r="0" b="0"/>
            <wp:docPr id="46" name="IM 46"/>
            <wp:cNvGraphicFramePr/>
            <a:graphic xmlns:a="http://schemas.openxmlformats.org/drawingml/2006/main">
              <a:graphicData uri="http://schemas.openxmlformats.org/drawingml/2006/picture">
                <pic:pic xmlns:pic="http://schemas.openxmlformats.org/drawingml/2006/picture">
                  <pic:nvPicPr>
                    <pic:cNvPr id="46" name="IM 46"/>
                    <pic:cNvPicPr/>
                  </pic:nvPicPr>
                  <pic:blipFill>
                    <a:blip r:embed="rId419"/>
                    <a:stretch>
                      <a:fillRect/>
                    </a:stretch>
                  </pic:blipFill>
                  <pic:spPr>
                    <a:xfrm>
                      <a:off x="0" y="0"/>
                      <a:ext cx="1466867" cy="1873287"/>
                    </a:xfrm>
                    <a:prstGeom prst="rect">
                      <a:avLst/>
                    </a:prstGeom>
                  </pic:spPr>
                </pic:pic>
              </a:graphicData>
            </a:graphic>
          </wp:inline>
        </w:drawing>
      </w:r>
    </w:p>
    <w:p w14:paraId="0E42DD7F">
      <w:pPr>
        <w:spacing w:before="87" w:line="229" w:lineRule="auto"/>
        <w:ind w:left="639"/>
        <w:rPr>
          <w:rFonts w:ascii="KaiTi" w:hAnsi="KaiTi" w:eastAsia="KaiTi" w:cs="KaiTi"/>
          <w:sz w:val="30"/>
          <w:szCs w:val="30"/>
        </w:rPr>
      </w:pPr>
      <w:r>
        <w:rPr>
          <w:rFonts w:ascii="KaiTi" w:hAnsi="KaiTi" w:eastAsia="KaiTi" w:cs="KaiTi"/>
          <w:spacing w:val="-24"/>
          <w:sz w:val="30"/>
          <w:szCs w:val="30"/>
        </w:rPr>
        <w:t>胡</w:t>
      </w:r>
      <w:r>
        <w:rPr>
          <w:rFonts w:ascii="KaiTi" w:hAnsi="KaiTi" w:eastAsia="KaiTi" w:cs="KaiTi"/>
          <w:spacing w:val="-25"/>
          <w:sz w:val="30"/>
          <w:szCs w:val="30"/>
        </w:rPr>
        <w:t xml:space="preserve"> </w:t>
      </w:r>
      <w:r>
        <w:rPr>
          <w:rFonts w:ascii="KaiTi" w:hAnsi="KaiTi" w:eastAsia="KaiTi" w:cs="KaiTi"/>
          <w:spacing w:val="-24"/>
          <w:sz w:val="30"/>
          <w:szCs w:val="30"/>
        </w:rPr>
        <w:t>志</w:t>
      </w:r>
      <w:r>
        <w:rPr>
          <w:rFonts w:ascii="KaiTi" w:hAnsi="KaiTi" w:eastAsia="KaiTi" w:cs="KaiTi"/>
          <w:spacing w:val="-50"/>
          <w:sz w:val="30"/>
          <w:szCs w:val="30"/>
        </w:rPr>
        <w:t xml:space="preserve"> </w:t>
      </w:r>
      <w:r>
        <w:rPr>
          <w:rFonts w:ascii="KaiTi" w:hAnsi="KaiTi" w:eastAsia="KaiTi" w:cs="KaiTi"/>
          <w:spacing w:val="-24"/>
          <w:sz w:val="30"/>
          <w:szCs w:val="30"/>
        </w:rPr>
        <w:t>斌</w:t>
      </w:r>
    </w:p>
    <w:p w14:paraId="11718D83">
      <w:pPr>
        <w:spacing w:line="14" w:lineRule="auto"/>
        <w:rPr>
          <w:rFonts w:ascii="Arial"/>
          <w:sz w:val="2"/>
        </w:rPr>
      </w:pPr>
      <w:r>
        <w:rPr>
          <w:rFonts w:ascii="Arial" w:hAnsi="Arial" w:eastAsia="Arial" w:cs="Arial"/>
          <w:sz w:val="2"/>
          <w:szCs w:val="2"/>
        </w:rPr>
        <w:br w:type="column"/>
      </w:r>
    </w:p>
    <w:p w14:paraId="1015C65A">
      <w:pPr>
        <w:pStyle w:val="2"/>
        <w:spacing w:before="68" w:line="304" w:lineRule="auto"/>
        <w:ind w:right="518" w:firstLine="429"/>
        <w:jc w:val="both"/>
        <w:rPr>
          <w:sz w:val="22"/>
          <w:szCs w:val="22"/>
        </w:rPr>
      </w:pPr>
      <w:r>
        <w:rPr>
          <w:spacing w:val="-5"/>
          <w:sz w:val="22"/>
          <w:szCs w:val="22"/>
        </w:rPr>
        <w:t>二级教授，博士研究生导师，北京大学公共卫生学院流行病与卫</w:t>
      </w:r>
      <w:r>
        <w:rPr>
          <w:spacing w:val="4"/>
          <w:sz w:val="22"/>
          <w:szCs w:val="22"/>
        </w:rPr>
        <w:t xml:space="preserve">  </w:t>
      </w:r>
      <w:r>
        <w:rPr>
          <w:spacing w:val="-4"/>
          <w:sz w:val="22"/>
          <w:szCs w:val="22"/>
        </w:rPr>
        <w:t>生统计学系主任，血管稳态与重构全国重点实验室副主任。担任中国</w:t>
      </w:r>
      <w:r>
        <w:rPr>
          <w:spacing w:val="10"/>
          <w:sz w:val="22"/>
          <w:szCs w:val="22"/>
        </w:rPr>
        <w:t xml:space="preserve"> </w:t>
      </w:r>
      <w:r>
        <w:rPr>
          <w:spacing w:val="-5"/>
          <w:sz w:val="22"/>
          <w:szCs w:val="22"/>
        </w:rPr>
        <w:t>健康促进与教育协会主动健康分会主任委员，中华预防医学会流行病</w:t>
      </w:r>
      <w:r>
        <w:rPr>
          <w:spacing w:val="5"/>
          <w:sz w:val="22"/>
          <w:szCs w:val="22"/>
        </w:rPr>
        <w:t xml:space="preserve">  </w:t>
      </w:r>
      <w:r>
        <w:rPr>
          <w:spacing w:val="-4"/>
          <w:sz w:val="22"/>
          <w:szCs w:val="22"/>
        </w:rPr>
        <w:t>学分会副主任委员、肾脏病预防与控制专业委员会常委，《</w:t>
      </w:r>
      <w:r>
        <w:rPr>
          <w:spacing w:val="-5"/>
          <w:sz w:val="22"/>
          <w:szCs w:val="22"/>
        </w:rPr>
        <w:t>中华流行</w:t>
      </w:r>
      <w:r>
        <w:rPr>
          <w:sz w:val="22"/>
          <w:szCs w:val="22"/>
        </w:rPr>
        <w:t xml:space="preserve"> </w:t>
      </w:r>
      <w:r>
        <w:rPr>
          <w:spacing w:val="-15"/>
          <w:sz w:val="22"/>
          <w:szCs w:val="22"/>
        </w:rPr>
        <w:t>病学杂志》《中国慢性病预防与控制》和《中华疾病控制杂志》副主</w:t>
      </w:r>
      <w:r>
        <w:rPr>
          <w:spacing w:val="-16"/>
          <w:sz w:val="22"/>
          <w:szCs w:val="22"/>
        </w:rPr>
        <w:t>编，</w:t>
      </w:r>
      <w:r>
        <w:rPr>
          <w:sz w:val="22"/>
          <w:szCs w:val="22"/>
        </w:rPr>
        <w:t xml:space="preserve"> </w:t>
      </w:r>
      <w:r>
        <w:rPr>
          <w:rFonts w:ascii="宋体" w:hAnsi="宋体" w:eastAsia="宋体" w:cs="宋体"/>
          <w:spacing w:val="-3"/>
          <w:sz w:val="22"/>
          <w:szCs w:val="22"/>
        </w:rPr>
        <w:t>China</w:t>
      </w:r>
      <w:r>
        <w:rPr>
          <w:rFonts w:ascii="宋体" w:hAnsi="宋体" w:eastAsia="宋体" w:cs="宋体"/>
          <w:spacing w:val="66"/>
          <w:sz w:val="22"/>
          <w:szCs w:val="22"/>
        </w:rPr>
        <w:t xml:space="preserve"> </w:t>
      </w:r>
      <w:r>
        <w:rPr>
          <w:rFonts w:ascii="宋体" w:hAnsi="宋体" w:eastAsia="宋体" w:cs="宋体"/>
          <w:spacing w:val="-3"/>
          <w:sz w:val="22"/>
          <w:szCs w:val="22"/>
        </w:rPr>
        <w:t>CDC</w:t>
      </w:r>
      <w:r>
        <w:rPr>
          <w:rFonts w:ascii="宋体" w:hAnsi="宋体" w:eastAsia="宋体" w:cs="宋体"/>
          <w:spacing w:val="54"/>
          <w:sz w:val="22"/>
          <w:szCs w:val="22"/>
        </w:rPr>
        <w:t xml:space="preserve"> </w:t>
      </w:r>
      <w:r>
        <w:rPr>
          <w:rFonts w:ascii="宋体" w:hAnsi="宋体" w:eastAsia="宋体" w:cs="宋体"/>
          <w:spacing w:val="-3"/>
          <w:sz w:val="22"/>
          <w:szCs w:val="22"/>
        </w:rPr>
        <w:t>Weekly、Science</w:t>
      </w:r>
      <w:r>
        <w:rPr>
          <w:rFonts w:ascii="宋体" w:hAnsi="宋体" w:eastAsia="宋体" w:cs="宋体"/>
          <w:spacing w:val="76"/>
          <w:sz w:val="22"/>
          <w:szCs w:val="22"/>
        </w:rPr>
        <w:t xml:space="preserve"> </w:t>
      </w:r>
      <w:r>
        <w:rPr>
          <w:rFonts w:ascii="宋体" w:hAnsi="宋体" w:eastAsia="宋体" w:cs="宋体"/>
          <w:spacing w:val="-3"/>
          <w:sz w:val="22"/>
          <w:szCs w:val="22"/>
        </w:rPr>
        <w:t>in</w:t>
      </w:r>
      <w:r>
        <w:rPr>
          <w:rFonts w:ascii="宋体" w:hAnsi="宋体" w:eastAsia="宋体" w:cs="宋体"/>
          <w:spacing w:val="60"/>
          <w:sz w:val="22"/>
          <w:szCs w:val="22"/>
        </w:rPr>
        <w:t xml:space="preserve"> </w:t>
      </w:r>
      <w:r>
        <w:rPr>
          <w:rFonts w:ascii="宋体" w:hAnsi="宋体" w:eastAsia="宋体" w:cs="宋体"/>
          <w:spacing w:val="-3"/>
          <w:sz w:val="22"/>
          <w:szCs w:val="22"/>
        </w:rPr>
        <w:t>One</w:t>
      </w:r>
      <w:r>
        <w:rPr>
          <w:rFonts w:ascii="宋体" w:hAnsi="宋体" w:eastAsia="宋体" w:cs="宋体"/>
          <w:spacing w:val="57"/>
          <w:sz w:val="22"/>
          <w:szCs w:val="22"/>
        </w:rPr>
        <w:t xml:space="preserve"> </w:t>
      </w:r>
      <w:r>
        <w:rPr>
          <w:rFonts w:ascii="宋体" w:hAnsi="宋体" w:eastAsia="宋体" w:cs="宋体"/>
          <w:spacing w:val="-3"/>
          <w:sz w:val="22"/>
          <w:szCs w:val="22"/>
        </w:rPr>
        <w:t>Health</w:t>
      </w:r>
      <w:r>
        <w:rPr>
          <w:spacing w:val="-3"/>
          <w:sz w:val="22"/>
          <w:szCs w:val="22"/>
        </w:rPr>
        <w:t>编委，国家医师资格</w:t>
      </w:r>
      <w:r>
        <w:rPr>
          <w:sz w:val="22"/>
          <w:szCs w:val="22"/>
        </w:rPr>
        <w:t xml:space="preserve">  </w:t>
      </w:r>
      <w:r>
        <w:rPr>
          <w:spacing w:val="-4"/>
          <w:sz w:val="22"/>
          <w:szCs w:val="22"/>
        </w:rPr>
        <w:t>考试公共卫生类别试题开发专家委员会委员。</w:t>
      </w:r>
    </w:p>
    <w:p w14:paraId="43ADD49B">
      <w:pPr>
        <w:pStyle w:val="2"/>
        <w:spacing w:before="23" w:line="301" w:lineRule="auto"/>
        <w:ind w:right="402" w:firstLine="429"/>
        <w:jc w:val="both"/>
        <w:rPr>
          <w:sz w:val="22"/>
          <w:szCs w:val="22"/>
        </w:rPr>
      </w:pPr>
      <w:r>
        <w:rPr>
          <w:spacing w:val="4"/>
          <w:sz w:val="22"/>
          <w:szCs w:val="22"/>
        </w:rPr>
        <w:t>从事流行病学教学工作20余年。先后担任预防医</w:t>
      </w:r>
      <w:r>
        <w:rPr>
          <w:spacing w:val="3"/>
          <w:sz w:val="22"/>
          <w:szCs w:val="22"/>
        </w:rPr>
        <w:t>学专业规划教</w:t>
      </w:r>
      <w:r>
        <w:rPr>
          <w:sz w:val="22"/>
          <w:szCs w:val="22"/>
        </w:rPr>
        <w:t xml:space="preserve">  </w:t>
      </w:r>
      <w:r>
        <w:rPr>
          <w:spacing w:val="-4"/>
          <w:sz w:val="22"/>
          <w:szCs w:val="22"/>
        </w:rPr>
        <w:t>材《流行病学》第5～8版编写秘书和第7～8版编委，参编《流行病学</w:t>
      </w:r>
      <w:r>
        <w:rPr>
          <w:spacing w:val="6"/>
          <w:sz w:val="22"/>
          <w:szCs w:val="22"/>
        </w:rPr>
        <w:t xml:space="preserve">  </w:t>
      </w:r>
      <w:r>
        <w:rPr>
          <w:spacing w:val="-10"/>
          <w:sz w:val="22"/>
          <w:szCs w:val="22"/>
        </w:rPr>
        <w:t>实习教程》《流行病学学习指导与习题集》以及《流</w:t>
      </w:r>
      <w:r>
        <w:rPr>
          <w:spacing w:val="-11"/>
          <w:sz w:val="22"/>
          <w:szCs w:val="22"/>
        </w:rPr>
        <w:t>行病学》(第一卷，</w:t>
      </w:r>
      <w:r>
        <w:rPr>
          <w:sz w:val="22"/>
          <w:szCs w:val="22"/>
        </w:rPr>
        <w:t xml:space="preserve"> </w:t>
      </w:r>
      <w:r>
        <w:rPr>
          <w:spacing w:val="-11"/>
          <w:sz w:val="22"/>
          <w:szCs w:val="22"/>
        </w:rPr>
        <w:t>第3版)、《现代流行病学》《流行病学进展》</w:t>
      </w:r>
      <w:r>
        <w:rPr>
          <w:spacing w:val="-12"/>
          <w:sz w:val="22"/>
          <w:szCs w:val="22"/>
        </w:rPr>
        <w:t>《流行病学研究实例》等</w:t>
      </w:r>
      <w:r>
        <w:rPr>
          <w:sz w:val="22"/>
          <w:szCs w:val="22"/>
        </w:rPr>
        <w:t xml:space="preserve">   </w:t>
      </w:r>
      <w:r>
        <w:rPr>
          <w:spacing w:val="2"/>
          <w:sz w:val="22"/>
          <w:szCs w:val="22"/>
        </w:rPr>
        <w:t>多部教材和专著。主要研究领域为慢性病流行病学。2021年入选科</w:t>
      </w:r>
      <w:r>
        <w:rPr>
          <w:spacing w:val="5"/>
          <w:sz w:val="22"/>
          <w:szCs w:val="22"/>
        </w:rPr>
        <w:t xml:space="preserve">   </w:t>
      </w:r>
      <w:r>
        <w:rPr>
          <w:spacing w:val="-12"/>
          <w:sz w:val="22"/>
          <w:szCs w:val="22"/>
        </w:rPr>
        <w:t>技部“创新人才推进计划”中青年科技创新领军人才、国家“万人计划”</w:t>
      </w:r>
      <w:r>
        <w:rPr>
          <w:spacing w:val="18"/>
          <w:sz w:val="22"/>
          <w:szCs w:val="22"/>
        </w:rPr>
        <w:t xml:space="preserve"> </w:t>
      </w:r>
      <w:r>
        <w:rPr>
          <w:spacing w:val="-5"/>
          <w:sz w:val="22"/>
          <w:szCs w:val="22"/>
        </w:rPr>
        <w:t>科技创新领军人才。主持国家科技重大专项项目，国家自然科学基金</w:t>
      </w:r>
      <w:r>
        <w:rPr>
          <w:spacing w:val="2"/>
          <w:sz w:val="22"/>
          <w:szCs w:val="22"/>
        </w:rPr>
        <w:t xml:space="preserve">   </w:t>
      </w:r>
      <w:r>
        <w:rPr>
          <w:spacing w:val="-4"/>
          <w:sz w:val="22"/>
          <w:szCs w:val="22"/>
        </w:rPr>
        <w:t>重大项目和集成项目课题、专项项目、面上项目，以及国际合作项目</w:t>
      </w:r>
      <w:r>
        <w:rPr>
          <w:spacing w:val="1"/>
          <w:sz w:val="22"/>
          <w:szCs w:val="22"/>
        </w:rPr>
        <w:t xml:space="preserve">  </w:t>
      </w:r>
      <w:r>
        <w:rPr>
          <w:spacing w:val="3"/>
          <w:sz w:val="22"/>
          <w:szCs w:val="22"/>
        </w:rPr>
        <w:t>等。作为主要完成人获中华预防医学会科学技</w:t>
      </w:r>
      <w:r>
        <w:rPr>
          <w:spacing w:val="2"/>
          <w:sz w:val="22"/>
          <w:szCs w:val="22"/>
        </w:rPr>
        <w:t>术奖一等奖、钱学森</w:t>
      </w:r>
      <w:r>
        <w:rPr>
          <w:sz w:val="22"/>
          <w:szCs w:val="22"/>
        </w:rPr>
        <w:t xml:space="preserve">   </w:t>
      </w:r>
      <w:r>
        <w:rPr>
          <w:spacing w:val="3"/>
          <w:sz w:val="22"/>
          <w:szCs w:val="22"/>
        </w:rPr>
        <w:t>城市学(卫生健康)金奖等。作为第一或通信作者</w:t>
      </w:r>
      <w:r>
        <w:rPr>
          <w:spacing w:val="2"/>
          <w:sz w:val="22"/>
          <w:szCs w:val="22"/>
        </w:rPr>
        <w:t>累计发表</w:t>
      </w:r>
      <w:r>
        <w:rPr>
          <w:rFonts w:ascii="宋体" w:hAnsi="宋体" w:eastAsia="宋体" w:cs="宋体"/>
          <w:sz w:val="22"/>
          <w:szCs w:val="22"/>
        </w:rPr>
        <w:t>SCI</w:t>
      </w:r>
      <w:r>
        <w:rPr>
          <w:rFonts w:ascii="宋体" w:hAnsi="宋体" w:eastAsia="宋体" w:cs="宋体"/>
          <w:spacing w:val="2"/>
          <w:sz w:val="22"/>
          <w:szCs w:val="22"/>
        </w:rPr>
        <w:t xml:space="preserve"> </w:t>
      </w:r>
      <w:r>
        <w:rPr>
          <w:spacing w:val="2"/>
          <w:sz w:val="22"/>
          <w:szCs w:val="22"/>
        </w:rPr>
        <w:t>论文</w:t>
      </w:r>
      <w:r>
        <w:rPr>
          <w:sz w:val="22"/>
          <w:szCs w:val="22"/>
        </w:rPr>
        <w:t xml:space="preserve">   </w:t>
      </w:r>
      <w:r>
        <w:rPr>
          <w:spacing w:val="5"/>
          <w:sz w:val="22"/>
          <w:szCs w:val="22"/>
        </w:rPr>
        <w:t>100余篇，中文核心期刊论文100余篇。</w:t>
      </w:r>
    </w:p>
    <w:p w14:paraId="40C6FAE3">
      <w:pPr>
        <w:spacing w:line="260" w:lineRule="auto"/>
        <w:rPr>
          <w:rFonts w:ascii="Arial"/>
          <w:sz w:val="21"/>
        </w:rPr>
      </w:pPr>
    </w:p>
    <w:p w14:paraId="0EF6CA48">
      <w:pPr>
        <w:spacing w:line="260" w:lineRule="auto"/>
        <w:rPr>
          <w:rFonts w:ascii="Arial"/>
          <w:sz w:val="21"/>
        </w:rPr>
      </w:pPr>
    </w:p>
    <w:p w14:paraId="559839A0">
      <w:pPr>
        <w:pStyle w:val="2"/>
        <w:spacing w:before="72" w:line="304" w:lineRule="auto"/>
        <w:ind w:right="538" w:firstLine="429"/>
        <w:jc w:val="both"/>
        <w:rPr>
          <w:sz w:val="22"/>
          <w:szCs w:val="22"/>
        </w:rPr>
      </w:pPr>
      <w:r>
        <w:rPr>
          <w:spacing w:val="-5"/>
          <w:sz w:val="22"/>
          <w:szCs w:val="22"/>
        </w:rPr>
        <w:t>二级教授，博士研究生导师，南京医科大学校长，生殖医学与子</w:t>
      </w:r>
      <w:r>
        <w:rPr>
          <w:spacing w:val="9"/>
          <w:sz w:val="22"/>
          <w:szCs w:val="22"/>
        </w:rPr>
        <w:t xml:space="preserve"> </w:t>
      </w:r>
      <w:r>
        <w:rPr>
          <w:spacing w:val="3"/>
          <w:sz w:val="22"/>
          <w:szCs w:val="22"/>
        </w:rPr>
        <w:t>代健康全国重点实验室主任。国家杰出青年科学基</w:t>
      </w:r>
      <w:r>
        <w:rPr>
          <w:spacing w:val="2"/>
          <w:sz w:val="22"/>
          <w:szCs w:val="22"/>
        </w:rPr>
        <w:t>金获得者，担任</w:t>
      </w:r>
      <w:r>
        <w:rPr>
          <w:sz w:val="22"/>
          <w:szCs w:val="22"/>
        </w:rPr>
        <w:t xml:space="preserve"> </w:t>
      </w:r>
      <w:r>
        <w:rPr>
          <w:spacing w:val="11"/>
          <w:sz w:val="22"/>
          <w:szCs w:val="22"/>
        </w:rPr>
        <w:t>中国医师协会公共卫生医师分会副会长等。</w:t>
      </w:r>
      <w:r>
        <w:rPr>
          <w:spacing w:val="10"/>
          <w:sz w:val="22"/>
          <w:szCs w:val="22"/>
        </w:rPr>
        <w:t>研究方向为复杂性疾</w:t>
      </w:r>
      <w:r>
        <w:rPr>
          <w:sz w:val="22"/>
          <w:szCs w:val="22"/>
        </w:rPr>
        <w:t xml:space="preserve"> </w:t>
      </w:r>
      <w:r>
        <w:rPr>
          <w:spacing w:val="-2"/>
          <w:sz w:val="22"/>
          <w:szCs w:val="22"/>
        </w:rPr>
        <w:t>病分子与遗传流行病学，在</w:t>
      </w:r>
      <w:r>
        <w:rPr>
          <w:rFonts w:ascii="Arial" w:hAnsi="Arial" w:eastAsia="Arial" w:cs="Arial"/>
          <w:spacing w:val="-2"/>
          <w:sz w:val="22"/>
          <w:szCs w:val="22"/>
        </w:rPr>
        <w:t>Nature    Genetics</w:t>
      </w:r>
      <w:r>
        <w:rPr>
          <w:rFonts w:ascii="宋体" w:hAnsi="宋体" w:eastAsia="宋体" w:cs="宋体"/>
          <w:spacing w:val="-2"/>
          <w:sz w:val="22"/>
          <w:szCs w:val="22"/>
        </w:rPr>
        <w:t>、</w:t>
      </w:r>
      <w:r>
        <w:rPr>
          <w:rFonts w:ascii="Arial" w:hAnsi="Arial" w:eastAsia="Arial" w:cs="Arial"/>
          <w:spacing w:val="-2"/>
          <w:sz w:val="22"/>
          <w:szCs w:val="22"/>
        </w:rPr>
        <w:t>Nature    Medicine</w:t>
      </w:r>
      <w:r>
        <w:rPr>
          <w:rFonts w:ascii="宋体" w:hAnsi="宋体" w:eastAsia="宋体" w:cs="宋体"/>
          <w:spacing w:val="-2"/>
          <w:sz w:val="22"/>
          <w:szCs w:val="22"/>
        </w:rPr>
        <w:t>、</w:t>
      </w:r>
      <w:r>
        <w:rPr>
          <w:rFonts w:ascii="宋体" w:hAnsi="宋体" w:eastAsia="宋体" w:cs="宋体"/>
          <w:sz w:val="22"/>
          <w:szCs w:val="22"/>
        </w:rPr>
        <w:t xml:space="preserve"> </w:t>
      </w:r>
      <w:r>
        <w:rPr>
          <w:rFonts w:ascii="宋体" w:hAnsi="宋体" w:eastAsia="宋体" w:cs="宋体"/>
          <w:spacing w:val="-1"/>
          <w:sz w:val="22"/>
          <w:szCs w:val="22"/>
        </w:rPr>
        <w:t>Cancer</w:t>
      </w:r>
      <w:r>
        <w:rPr>
          <w:rFonts w:ascii="宋体" w:hAnsi="宋体" w:eastAsia="宋体" w:cs="宋体"/>
          <w:spacing w:val="55"/>
          <w:sz w:val="22"/>
          <w:szCs w:val="22"/>
        </w:rPr>
        <w:t xml:space="preserve"> </w:t>
      </w:r>
      <w:r>
        <w:rPr>
          <w:rFonts w:ascii="宋体" w:hAnsi="宋体" w:eastAsia="宋体" w:cs="宋体"/>
          <w:spacing w:val="-1"/>
          <w:sz w:val="22"/>
          <w:szCs w:val="22"/>
        </w:rPr>
        <w:t>Cell、The</w:t>
      </w:r>
      <w:r>
        <w:rPr>
          <w:rFonts w:ascii="宋体" w:hAnsi="宋体" w:eastAsia="宋体" w:cs="宋体"/>
          <w:spacing w:val="38"/>
          <w:sz w:val="22"/>
          <w:szCs w:val="22"/>
        </w:rPr>
        <w:t xml:space="preserve"> </w:t>
      </w:r>
      <w:r>
        <w:rPr>
          <w:rFonts w:ascii="宋体" w:hAnsi="宋体" w:eastAsia="宋体" w:cs="宋体"/>
          <w:spacing w:val="-1"/>
          <w:sz w:val="22"/>
          <w:szCs w:val="22"/>
        </w:rPr>
        <w:t>Lancet</w:t>
      </w:r>
      <w:r>
        <w:rPr>
          <w:rFonts w:ascii="宋体" w:hAnsi="宋体" w:eastAsia="宋体" w:cs="宋体"/>
          <w:spacing w:val="40"/>
          <w:sz w:val="22"/>
          <w:szCs w:val="22"/>
        </w:rPr>
        <w:t xml:space="preserve"> </w:t>
      </w:r>
      <w:r>
        <w:rPr>
          <w:rFonts w:ascii="宋体" w:hAnsi="宋体" w:eastAsia="宋体" w:cs="宋体"/>
          <w:spacing w:val="-1"/>
          <w:sz w:val="22"/>
          <w:szCs w:val="22"/>
        </w:rPr>
        <w:t>Oncology</w:t>
      </w:r>
      <w:r>
        <w:rPr>
          <w:spacing w:val="-1"/>
          <w:sz w:val="22"/>
          <w:szCs w:val="22"/>
        </w:rPr>
        <w:t>等国际知名杂志发表研究论文</w:t>
      </w:r>
      <w:r>
        <w:rPr>
          <w:sz w:val="22"/>
          <w:szCs w:val="22"/>
        </w:rPr>
        <w:t xml:space="preserve"> </w:t>
      </w:r>
      <w:r>
        <w:rPr>
          <w:spacing w:val="-1"/>
          <w:sz w:val="22"/>
          <w:szCs w:val="22"/>
        </w:rPr>
        <w:t>200余篇，研究成果获国家自然科学奖二等奖、国家科学技术进</w:t>
      </w:r>
      <w:r>
        <w:rPr>
          <w:spacing w:val="-2"/>
          <w:sz w:val="22"/>
          <w:szCs w:val="22"/>
        </w:rPr>
        <w:t>步奖</w:t>
      </w:r>
      <w:r>
        <w:rPr>
          <w:sz w:val="22"/>
          <w:szCs w:val="22"/>
        </w:rPr>
        <w:t xml:space="preserve"> </w:t>
      </w:r>
      <w:r>
        <w:rPr>
          <w:spacing w:val="-2"/>
          <w:sz w:val="22"/>
          <w:szCs w:val="22"/>
        </w:rPr>
        <w:t>二等奖及多项部省级科学技术奖一等奖。</w:t>
      </w:r>
    </w:p>
    <w:p w14:paraId="1E75D6D9">
      <w:pPr>
        <w:pStyle w:val="2"/>
        <w:spacing w:before="48" w:line="273" w:lineRule="auto"/>
        <w:ind w:right="615" w:firstLine="429"/>
        <w:jc w:val="both"/>
        <w:rPr>
          <w:sz w:val="22"/>
          <w:szCs w:val="22"/>
        </w:rPr>
      </w:pPr>
      <w:r>
        <w:rPr>
          <w:spacing w:val="3"/>
          <w:sz w:val="22"/>
          <w:szCs w:val="22"/>
        </w:rPr>
        <w:t>从事流行病学教学工作近20年。入选“全国高校黄大年式教师</w:t>
      </w:r>
      <w:r>
        <w:rPr>
          <w:spacing w:val="6"/>
          <w:sz w:val="22"/>
          <w:szCs w:val="22"/>
        </w:rPr>
        <w:t xml:space="preserve"> </w:t>
      </w:r>
      <w:r>
        <w:rPr>
          <w:spacing w:val="-5"/>
          <w:sz w:val="22"/>
          <w:szCs w:val="22"/>
        </w:rPr>
        <w:t>团队”、教育部首批课程思政教学名师和团队等。主持构建复合型公</w:t>
      </w:r>
      <w:r>
        <w:rPr>
          <w:spacing w:val="8"/>
          <w:sz w:val="22"/>
          <w:szCs w:val="22"/>
        </w:rPr>
        <w:t xml:space="preserve"> </w:t>
      </w:r>
      <w:r>
        <w:rPr>
          <w:spacing w:val="3"/>
          <w:sz w:val="22"/>
          <w:szCs w:val="22"/>
        </w:rPr>
        <w:t>共卫生人才培养模式并获国家级教学成果奖一等</w:t>
      </w:r>
      <w:r>
        <w:rPr>
          <w:spacing w:val="2"/>
          <w:sz w:val="22"/>
          <w:szCs w:val="22"/>
        </w:rPr>
        <w:t>奖(排名第一)。主</w:t>
      </w:r>
      <w:r>
        <w:rPr>
          <w:sz w:val="22"/>
          <w:szCs w:val="22"/>
        </w:rPr>
        <w:t xml:space="preserve"> </w:t>
      </w:r>
      <w:r>
        <w:rPr>
          <w:spacing w:val="-4"/>
          <w:sz w:val="22"/>
          <w:szCs w:val="22"/>
        </w:rPr>
        <w:t>编全国高等学校五年制本科规划教材《预防医学》(</w:t>
      </w:r>
      <w:r>
        <w:rPr>
          <w:spacing w:val="-5"/>
          <w:sz w:val="22"/>
          <w:szCs w:val="22"/>
        </w:rPr>
        <w:t>第8版)。</w:t>
      </w:r>
    </w:p>
    <w:p w14:paraId="1305363E">
      <w:pPr>
        <w:spacing w:line="273" w:lineRule="auto"/>
        <w:rPr>
          <w:sz w:val="22"/>
          <w:szCs w:val="22"/>
        </w:rPr>
        <w:sectPr>
          <w:type w:val="continuous"/>
          <w:pgSz w:w="11900" w:h="16820"/>
          <w:pgMar w:top="400" w:right="751" w:bottom="868" w:left="1279" w:header="0" w:footer="715" w:gutter="0"/>
          <w:cols w:equalWidth="0" w:num="2">
            <w:col w:w="2691" w:space="100"/>
            <w:col w:w="7079"/>
          </w:cols>
        </w:sectPr>
      </w:pPr>
    </w:p>
    <w:p w14:paraId="4CEA6E38">
      <w:pPr>
        <w:spacing w:line="245" w:lineRule="auto"/>
        <w:rPr>
          <w:rFonts w:ascii="Arial"/>
          <w:sz w:val="21"/>
        </w:rPr>
      </w:pPr>
    </w:p>
    <w:p w14:paraId="61F65725">
      <w:pPr>
        <w:spacing w:line="245" w:lineRule="auto"/>
        <w:rPr>
          <w:rFonts w:ascii="Arial"/>
          <w:sz w:val="21"/>
        </w:rPr>
      </w:pPr>
    </w:p>
    <w:p w14:paraId="2056F0C9">
      <w:pPr>
        <w:spacing w:line="246" w:lineRule="auto"/>
        <w:rPr>
          <w:rFonts w:ascii="Arial"/>
          <w:sz w:val="21"/>
        </w:rPr>
      </w:pPr>
    </w:p>
    <w:p w14:paraId="3D5B48D1">
      <w:pPr>
        <w:spacing w:line="246" w:lineRule="auto"/>
        <w:rPr>
          <w:rFonts w:ascii="Arial"/>
          <w:sz w:val="21"/>
        </w:rPr>
      </w:pPr>
    </w:p>
    <w:p w14:paraId="7954EB94">
      <w:pPr>
        <w:pStyle w:val="2"/>
        <w:spacing w:before="150" w:line="221" w:lineRule="auto"/>
        <w:ind w:left="4216"/>
        <w:rPr>
          <w:sz w:val="46"/>
          <w:szCs w:val="46"/>
        </w:rPr>
      </w:pPr>
      <w:r>
        <w:rPr>
          <w:b/>
          <w:bCs/>
          <w:spacing w:val="-10"/>
          <w:sz w:val="46"/>
          <w:szCs w:val="46"/>
        </w:rPr>
        <w:t>副主编简介</w:t>
      </w:r>
    </w:p>
    <w:p w14:paraId="12FB10D1">
      <w:pPr>
        <w:spacing w:before="81" w:line="470" w:lineRule="exact"/>
        <w:ind w:firstLine="220"/>
      </w:pPr>
      <w:r>
        <w:rPr>
          <w:position w:val="-9"/>
        </w:rPr>
        <w:drawing>
          <wp:inline distT="0" distB="0" distL="0" distR="0">
            <wp:extent cx="1809115" cy="298450"/>
            <wp:effectExtent l="0" t="0" r="0" b="0"/>
            <wp:docPr id="48" name="IM 48"/>
            <wp:cNvGraphicFramePr/>
            <a:graphic xmlns:a="http://schemas.openxmlformats.org/drawingml/2006/main">
              <a:graphicData uri="http://schemas.openxmlformats.org/drawingml/2006/picture">
                <pic:pic xmlns:pic="http://schemas.openxmlformats.org/drawingml/2006/picture">
                  <pic:nvPicPr>
                    <pic:cNvPr id="48" name="IM 48"/>
                    <pic:cNvPicPr/>
                  </pic:nvPicPr>
                  <pic:blipFill>
                    <a:blip r:embed="rId420"/>
                    <a:stretch>
                      <a:fillRect/>
                    </a:stretch>
                  </pic:blipFill>
                  <pic:spPr>
                    <a:xfrm>
                      <a:off x="0" y="0"/>
                      <a:ext cx="1809706" cy="298525"/>
                    </a:xfrm>
                    <a:prstGeom prst="rect">
                      <a:avLst/>
                    </a:prstGeom>
                  </pic:spPr>
                </pic:pic>
              </a:graphicData>
            </a:graphic>
          </wp:inline>
        </w:drawing>
      </w:r>
    </w:p>
    <w:p w14:paraId="4BD3C35E">
      <w:pPr>
        <w:spacing w:before="225"/>
      </w:pPr>
    </w:p>
    <w:p w14:paraId="5DD69159">
      <w:pPr>
        <w:sectPr>
          <w:footerReference r:id="rId16" w:type="default"/>
          <w:pgSz w:w="11900" w:h="16820"/>
          <w:pgMar w:top="400" w:right="1206" w:bottom="786" w:left="599" w:header="0" w:footer="597" w:gutter="0"/>
          <w:cols w:equalWidth="0" w:num="1">
            <w:col w:w="10094"/>
          </w:cols>
        </w:sectPr>
      </w:pPr>
    </w:p>
    <w:p w14:paraId="4B860D2D">
      <w:pPr>
        <w:spacing w:before="42" w:line="3010" w:lineRule="exact"/>
        <w:ind w:firstLine="719"/>
      </w:pPr>
      <w:r>
        <w:rPr>
          <w:position w:val="-60"/>
        </w:rPr>
        <w:drawing>
          <wp:inline distT="0" distB="0" distL="0" distR="0">
            <wp:extent cx="1441450" cy="1910715"/>
            <wp:effectExtent l="0" t="0" r="0" b="0"/>
            <wp:docPr id="50" name="IM 50"/>
            <wp:cNvGraphicFramePr/>
            <a:graphic xmlns:a="http://schemas.openxmlformats.org/drawingml/2006/main">
              <a:graphicData uri="http://schemas.openxmlformats.org/drawingml/2006/picture">
                <pic:pic xmlns:pic="http://schemas.openxmlformats.org/drawingml/2006/picture">
                  <pic:nvPicPr>
                    <pic:cNvPr id="50" name="IM 50"/>
                    <pic:cNvPicPr/>
                  </pic:nvPicPr>
                  <pic:blipFill>
                    <a:blip r:embed="rId421"/>
                    <a:stretch>
                      <a:fillRect/>
                    </a:stretch>
                  </pic:blipFill>
                  <pic:spPr>
                    <a:xfrm>
                      <a:off x="0" y="0"/>
                      <a:ext cx="1441478" cy="1911311"/>
                    </a:xfrm>
                    <a:prstGeom prst="rect">
                      <a:avLst/>
                    </a:prstGeom>
                  </pic:spPr>
                </pic:pic>
              </a:graphicData>
            </a:graphic>
          </wp:inline>
        </w:drawing>
      </w:r>
    </w:p>
    <w:p w14:paraId="1A5B4224">
      <w:pPr>
        <w:spacing w:before="73" w:line="228" w:lineRule="auto"/>
        <w:ind w:left="1350"/>
        <w:rPr>
          <w:rFonts w:ascii="KaiTi" w:hAnsi="KaiTi" w:eastAsia="KaiTi" w:cs="KaiTi"/>
          <w:sz w:val="31"/>
          <w:szCs w:val="31"/>
        </w:rPr>
      </w:pPr>
      <w:r>
        <w:rPr>
          <w:rFonts w:ascii="KaiTi" w:hAnsi="KaiTi" w:eastAsia="KaiTi" w:cs="KaiTi"/>
          <w:spacing w:val="-16"/>
          <w:sz w:val="31"/>
          <w:szCs w:val="31"/>
        </w:rPr>
        <w:t>潘</w:t>
      </w:r>
      <w:r>
        <w:rPr>
          <w:rFonts w:ascii="KaiTi" w:hAnsi="KaiTi" w:eastAsia="KaiTi" w:cs="KaiTi"/>
          <w:spacing w:val="35"/>
          <w:sz w:val="31"/>
          <w:szCs w:val="31"/>
        </w:rPr>
        <w:t xml:space="preserve">  </w:t>
      </w:r>
      <w:r>
        <w:rPr>
          <w:rFonts w:ascii="KaiTi" w:hAnsi="KaiTi" w:eastAsia="KaiTi" w:cs="KaiTi"/>
          <w:spacing w:val="-16"/>
          <w:sz w:val="31"/>
          <w:szCs w:val="31"/>
        </w:rPr>
        <w:t>安</w:t>
      </w:r>
    </w:p>
    <w:p w14:paraId="16BB9B21">
      <w:pPr>
        <w:spacing w:line="296" w:lineRule="auto"/>
        <w:rPr>
          <w:rFonts w:ascii="Arial"/>
          <w:sz w:val="21"/>
        </w:rPr>
      </w:pPr>
    </w:p>
    <w:p w14:paraId="7644EF57">
      <w:pPr>
        <w:spacing w:line="296" w:lineRule="auto"/>
        <w:rPr>
          <w:rFonts w:ascii="Arial"/>
          <w:sz w:val="21"/>
        </w:rPr>
      </w:pPr>
    </w:p>
    <w:p w14:paraId="3149F759">
      <w:pPr>
        <w:spacing w:line="297" w:lineRule="auto"/>
        <w:rPr>
          <w:rFonts w:ascii="Arial"/>
          <w:sz w:val="21"/>
        </w:rPr>
      </w:pPr>
    </w:p>
    <w:p w14:paraId="34C52137">
      <w:pPr>
        <w:spacing w:line="297" w:lineRule="auto"/>
        <w:rPr>
          <w:rFonts w:ascii="Arial"/>
          <w:sz w:val="21"/>
        </w:rPr>
      </w:pPr>
    </w:p>
    <w:p w14:paraId="390A04EF">
      <w:pPr>
        <w:spacing w:line="3000" w:lineRule="exact"/>
        <w:ind w:firstLine="729"/>
      </w:pPr>
      <w:r>
        <w:rPr>
          <w:position w:val="-60"/>
        </w:rPr>
        <w:drawing>
          <wp:inline distT="0" distB="0" distL="0" distR="0">
            <wp:extent cx="1435100" cy="1905000"/>
            <wp:effectExtent l="0" t="0" r="0" b="0"/>
            <wp:docPr id="52" name="IM 52"/>
            <wp:cNvGraphicFramePr/>
            <a:graphic xmlns:a="http://schemas.openxmlformats.org/drawingml/2006/main">
              <a:graphicData uri="http://schemas.openxmlformats.org/drawingml/2006/picture">
                <pic:pic xmlns:pic="http://schemas.openxmlformats.org/drawingml/2006/picture">
                  <pic:nvPicPr>
                    <pic:cNvPr id="52" name="IM 52"/>
                    <pic:cNvPicPr/>
                  </pic:nvPicPr>
                  <pic:blipFill>
                    <a:blip r:embed="rId422"/>
                    <a:stretch>
                      <a:fillRect/>
                    </a:stretch>
                  </pic:blipFill>
                  <pic:spPr>
                    <a:xfrm>
                      <a:off x="0" y="0"/>
                      <a:ext cx="1435130" cy="1905009"/>
                    </a:xfrm>
                    <a:prstGeom prst="rect">
                      <a:avLst/>
                    </a:prstGeom>
                  </pic:spPr>
                </pic:pic>
              </a:graphicData>
            </a:graphic>
          </wp:inline>
        </w:drawing>
      </w:r>
    </w:p>
    <w:p w14:paraId="48875F48">
      <w:pPr>
        <w:spacing w:before="85" w:line="223" w:lineRule="auto"/>
        <w:ind w:left="1350"/>
        <w:rPr>
          <w:rFonts w:ascii="KaiTi" w:hAnsi="KaiTi" w:eastAsia="KaiTi" w:cs="KaiTi"/>
          <w:sz w:val="31"/>
          <w:szCs w:val="31"/>
        </w:rPr>
      </w:pPr>
      <w:r>
        <w:rPr>
          <w:rFonts w:ascii="KaiTi" w:hAnsi="KaiTi" w:eastAsia="KaiTi" w:cs="KaiTi"/>
          <w:spacing w:val="26"/>
          <w:sz w:val="31"/>
          <w:szCs w:val="31"/>
        </w:rPr>
        <w:t>李杏莉</w:t>
      </w:r>
    </w:p>
    <w:p w14:paraId="7BBD9CC1">
      <w:pPr>
        <w:spacing w:line="417" w:lineRule="auto"/>
        <w:rPr>
          <w:rFonts w:ascii="Arial"/>
          <w:sz w:val="21"/>
        </w:rPr>
      </w:pPr>
    </w:p>
    <w:p w14:paraId="730E0544">
      <w:pPr>
        <w:spacing w:before="1" w:line="2990" w:lineRule="exact"/>
        <w:ind w:firstLine="719"/>
      </w:pPr>
      <w:r>
        <w:rPr>
          <w:position w:val="-59"/>
        </w:rPr>
        <w:drawing>
          <wp:inline distT="0" distB="0" distL="0" distR="0">
            <wp:extent cx="1441450" cy="1898015"/>
            <wp:effectExtent l="0" t="0" r="0" b="0"/>
            <wp:docPr id="54" name="IM 54"/>
            <wp:cNvGraphicFramePr/>
            <a:graphic xmlns:a="http://schemas.openxmlformats.org/drawingml/2006/main">
              <a:graphicData uri="http://schemas.openxmlformats.org/drawingml/2006/picture">
                <pic:pic xmlns:pic="http://schemas.openxmlformats.org/drawingml/2006/picture">
                  <pic:nvPicPr>
                    <pic:cNvPr id="54" name="IM 54"/>
                    <pic:cNvPicPr/>
                  </pic:nvPicPr>
                  <pic:blipFill>
                    <a:blip r:embed="rId423"/>
                    <a:stretch>
                      <a:fillRect/>
                    </a:stretch>
                  </pic:blipFill>
                  <pic:spPr>
                    <a:xfrm>
                      <a:off x="0" y="0"/>
                      <a:ext cx="1441478" cy="1898601"/>
                    </a:xfrm>
                    <a:prstGeom prst="rect">
                      <a:avLst/>
                    </a:prstGeom>
                  </pic:spPr>
                </pic:pic>
              </a:graphicData>
            </a:graphic>
          </wp:inline>
        </w:drawing>
      </w:r>
    </w:p>
    <w:p w14:paraId="53DB013A">
      <w:pPr>
        <w:spacing w:before="79" w:line="225" w:lineRule="auto"/>
        <w:ind w:left="1350"/>
        <w:rPr>
          <w:rFonts w:ascii="KaiTi" w:hAnsi="KaiTi" w:eastAsia="KaiTi" w:cs="KaiTi"/>
          <w:sz w:val="31"/>
          <w:szCs w:val="31"/>
        </w:rPr>
      </w:pPr>
      <w:r>
        <w:rPr>
          <w:rFonts w:ascii="KaiTi" w:hAnsi="KaiTi" w:eastAsia="KaiTi" w:cs="KaiTi"/>
          <w:spacing w:val="38"/>
          <w:sz w:val="31"/>
          <w:szCs w:val="31"/>
        </w:rPr>
        <w:t>王伟炳</w:t>
      </w:r>
    </w:p>
    <w:p w14:paraId="1D3580DF">
      <w:pPr>
        <w:spacing w:line="14" w:lineRule="auto"/>
        <w:rPr>
          <w:rFonts w:ascii="Arial"/>
          <w:sz w:val="2"/>
        </w:rPr>
      </w:pPr>
      <w:r>
        <w:rPr>
          <w:rFonts w:ascii="Arial" w:hAnsi="Arial" w:eastAsia="Arial" w:cs="Arial"/>
          <w:sz w:val="2"/>
          <w:szCs w:val="2"/>
        </w:rPr>
        <w:br w:type="column"/>
      </w:r>
    </w:p>
    <w:p w14:paraId="439DFFBC">
      <w:pPr>
        <w:pStyle w:val="2"/>
        <w:spacing w:before="110" w:line="307" w:lineRule="auto"/>
        <w:ind w:right="182" w:firstLine="419"/>
        <w:jc w:val="both"/>
        <w:rPr>
          <w:sz w:val="21"/>
          <w:szCs w:val="21"/>
        </w:rPr>
      </w:pPr>
      <w:r>
        <w:rPr>
          <w:spacing w:val="3"/>
          <w:sz w:val="21"/>
          <w:szCs w:val="21"/>
        </w:rPr>
        <w:t>二级教授，博士研究生导师，华中科技大学同济医学院公共卫生</w:t>
      </w:r>
      <w:r>
        <w:rPr>
          <w:spacing w:val="11"/>
          <w:sz w:val="21"/>
          <w:szCs w:val="21"/>
        </w:rPr>
        <w:t xml:space="preserve"> </w:t>
      </w:r>
      <w:r>
        <w:rPr>
          <w:spacing w:val="3"/>
          <w:sz w:val="21"/>
          <w:szCs w:val="21"/>
        </w:rPr>
        <w:t>学院院长。担任全国医学专业学位研究生教育指导委员会委员、中国</w:t>
      </w:r>
      <w:r>
        <w:rPr>
          <w:spacing w:val="9"/>
          <w:sz w:val="21"/>
          <w:szCs w:val="21"/>
        </w:rPr>
        <w:t xml:space="preserve"> </w:t>
      </w:r>
      <w:r>
        <w:rPr>
          <w:spacing w:val="3"/>
          <w:sz w:val="21"/>
          <w:szCs w:val="21"/>
        </w:rPr>
        <w:t>营养学会营养流行病分会副主任委员、中华预防医学会流行病学</w:t>
      </w:r>
      <w:r>
        <w:rPr>
          <w:spacing w:val="2"/>
          <w:sz w:val="21"/>
          <w:szCs w:val="21"/>
        </w:rPr>
        <w:t>分会</w:t>
      </w:r>
      <w:r>
        <w:rPr>
          <w:sz w:val="21"/>
          <w:szCs w:val="21"/>
        </w:rPr>
        <w:t xml:space="preserve"> </w:t>
      </w:r>
      <w:r>
        <w:rPr>
          <w:i/>
          <w:iCs/>
          <w:spacing w:val="-10"/>
          <w:sz w:val="22"/>
          <w:szCs w:val="22"/>
        </w:rPr>
        <w:t>常务委员，</w:t>
      </w:r>
      <w:r>
        <w:rPr>
          <w:rFonts w:ascii="宋体" w:hAnsi="宋体" w:eastAsia="宋体" w:cs="宋体"/>
          <w:i/>
          <w:iCs/>
          <w:spacing w:val="-10"/>
          <w:sz w:val="22"/>
          <w:szCs w:val="22"/>
        </w:rPr>
        <w:t>American</w:t>
      </w:r>
      <w:r>
        <w:rPr>
          <w:rFonts w:ascii="宋体" w:hAnsi="宋体" w:eastAsia="宋体" w:cs="宋体"/>
          <w:spacing w:val="-10"/>
          <w:sz w:val="22"/>
          <w:szCs w:val="22"/>
        </w:rPr>
        <w:t xml:space="preserve"> </w:t>
      </w:r>
      <w:r>
        <w:rPr>
          <w:rFonts w:ascii="宋体" w:hAnsi="宋体" w:eastAsia="宋体" w:cs="宋体"/>
          <w:i/>
          <w:iCs/>
          <w:spacing w:val="-10"/>
          <w:sz w:val="22"/>
          <w:szCs w:val="22"/>
        </w:rPr>
        <w:t>Joumal</w:t>
      </w:r>
      <w:r>
        <w:rPr>
          <w:rFonts w:ascii="宋体" w:hAnsi="宋体" w:eastAsia="宋体" w:cs="宋体"/>
          <w:spacing w:val="-10"/>
          <w:sz w:val="22"/>
          <w:szCs w:val="22"/>
        </w:rPr>
        <w:t xml:space="preserve"> </w:t>
      </w:r>
      <w:r>
        <w:rPr>
          <w:rFonts w:ascii="宋体" w:hAnsi="宋体" w:eastAsia="宋体" w:cs="宋体"/>
          <w:i/>
          <w:iCs/>
          <w:spacing w:val="-10"/>
          <w:sz w:val="22"/>
          <w:szCs w:val="22"/>
        </w:rPr>
        <w:t>of</w:t>
      </w:r>
      <w:r>
        <w:rPr>
          <w:rFonts w:ascii="宋体" w:hAnsi="宋体" w:eastAsia="宋体" w:cs="宋体"/>
          <w:spacing w:val="-10"/>
          <w:sz w:val="22"/>
          <w:szCs w:val="22"/>
        </w:rPr>
        <w:t xml:space="preserve"> </w:t>
      </w:r>
      <w:r>
        <w:rPr>
          <w:rFonts w:ascii="宋体" w:hAnsi="宋体" w:eastAsia="宋体" w:cs="宋体"/>
          <w:i/>
          <w:iCs/>
          <w:spacing w:val="-10"/>
          <w:sz w:val="22"/>
          <w:szCs w:val="22"/>
        </w:rPr>
        <w:t>Clini</w:t>
      </w:r>
      <w:r>
        <w:rPr>
          <w:rFonts w:ascii="宋体" w:hAnsi="宋体" w:eastAsia="宋体" w:cs="宋体"/>
          <w:i/>
          <w:iCs/>
          <w:spacing w:val="-11"/>
          <w:sz w:val="22"/>
          <w:szCs w:val="22"/>
        </w:rPr>
        <w:t>cal</w:t>
      </w:r>
      <w:r>
        <w:rPr>
          <w:rFonts w:ascii="宋体" w:hAnsi="宋体" w:eastAsia="宋体" w:cs="宋体"/>
          <w:spacing w:val="14"/>
          <w:sz w:val="22"/>
          <w:szCs w:val="22"/>
        </w:rPr>
        <w:t xml:space="preserve"> </w:t>
      </w:r>
      <w:r>
        <w:rPr>
          <w:rFonts w:ascii="宋体" w:hAnsi="宋体" w:eastAsia="宋体" w:cs="宋体"/>
          <w:i/>
          <w:iCs/>
          <w:spacing w:val="-11"/>
          <w:sz w:val="22"/>
          <w:szCs w:val="22"/>
        </w:rPr>
        <w:t>Nutrition</w:t>
      </w:r>
      <w:r>
        <w:rPr>
          <w:rFonts w:ascii="宋体" w:hAnsi="宋体" w:eastAsia="宋体" w:cs="宋体"/>
          <w:spacing w:val="-11"/>
          <w:sz w:val="22"/>
          <w:szCs w:val="22"/>
        </w:rPr>
        <w:t xml:space="preserve"> </w:t>
      </w:r>
      <w:r>
        <w:rPr>
          <w:i/>
          <w:iCs/>
          <w:spacing w:val="-11"/>
          <w:sz w:val="22"/>
          <w:szCs w:val="22"/>
        </w:rPr>
        <w:t>等期刊副主编及</w:t>
      </w:r>
      <w:r>
        <w:rPr>
          <w:sz w:val="22"/>
          <w:szCs w:val="22"/>
        </w:rPr>
        <w:t xml:space="preserve"> </w:t>
      </w:r>
      <w:r>
        <w:rPr>
          <w:spacing w:val="8"/>
          <w:sz w:val="21"/>
          <w:szCs w:val="21"/>
        </w:rPr>
        <w:t>编委。</w:t>
      </w:r>
    </w:p>
    <w:p w14:paraId="753FE17D">
      <w:pPr>
        <w:pStyle w:val="2"/>
        <w:spacing w:before="8" w:line="309" w:lineRule="auto"/>
        <w:ind w:right="113" w:firstLine="419"/>
        <w:jc w:val="both"/>
        <w:rPr>
          <w:sz w:val="21"/>
          <w:szCs w:val="21"/>
        </w:rPr>
      </w:pPr>
      <w:r>
        <w:rPr>
          <w:spacing w:val="4"/>
          <w:sz w:val="21"/>
          <w:szCs w:val="21"/>
        </w:rPr>
        <w:t>长期从事流行病学教学工作，担任湖北省一流本科线下课程负责</w:t>
      </w:r>
      <w:r>
        <w:rPr>
          <w:sz w:val="21"/>
          <w:szCs w:val="21"/>
        </w:rPr>
        <w:t xml:space="preserve"> </w:t>
      </w:r>
      <w:r>
        <w:rPr>
          <w:spacing w:val="3"/>
          <w:sz w:val="21"/>
          <w:szCs w:val="21"/>
        </w:rPr>
        <w:t>人。主持国家自然科学基金杰出青年科学基金项目、重点项目和面上</w:t>
      </w:r>
      <w:r>
        <w:rPr>
          <w:sz w:val="21"/>
          <w:szCs w:val="21"/>
        </w:rPr>
        <w:t xml:space="preserve"> </w:t>
      </w:r>
      <w:r>
        <w:rPr>
          <w:spacing w:val="3"/>
          <w:sz w:val="21"/>
          <w:szCs w:val="21"/>
        </w:rPr>
        <w:t>项目，以及科技部重点研发计划项目等。以第一或通信作者发表论文</w:t>
      </w:r>
      <w:r>
        <w:rPr>
          <w:sz w:val="21"/>
          <w:szCs w:val="21"/>
        </w:rPr>
        <w:t xml:space="preserve"> </w:t>
      </w:r>
      <w:r>
        <w:rPr>
          <w:spacing w:val="10"/>
          <w:sz w:val="21"/>
          <w:szCs w:val="21"/>
        </w:rPr>
        <w:t>200余篇，累计被引3万余次，连续多年入选全</w:t>
      </w:r>
      <w:r>
        <w:rPr>
          <w:spacing w:val="9"/>
          <w:sz w:val="21"/>
          <w:szCs w:val="21"/>
        </w:rPr>
        <w:t>球高被引科学家。荣</w:t>
      </w:r>
      <w:r>
        <w:rPr>
          <w:sz w:val="21"/>
          <w:szCs w:val="21"/>
        </w:rPr>
        <w:t xml:space="preserve"> </w:t>
      </w:r>
      <w:r>
        <w:rPr>
          <w:spacing w:val="-1"/>
          <w:sz w:val="21"/>
          <w:szCs w:val="21"/>
        </w:rPr>
        <w:t>获湖北省青年科技创新奖、钟南山青年科技创</w:t>
      </w:r>
      <w:r>
        <w:rPr>
          <w:spacing w:val="-2"/>
          <w:sz w:val="21"/>
          <w:szCs w:val="21"/>
        </w:rPr>
        <w:t>新奖、树兰医学青年奖、</w:t>
      </w:r>
      <w:r>
        <w:rPr>
          <w:sz w:val="21"/>
          <w:szCs w:val="21"/>
        </w:rPr>
        <w:t xml:space="preserve"> </w:t>
      </w:r>
      <w:r>
        <w:rPr>
          <w:spacing w:val="-4"/>
          <w:sz w:val="21"/>
          <w:szCs w:val="21"/>
        </w:rPr>
        <w:t>霍英东教育基金会高等院校青年科学奖、“创青春”首届全国卫生健康</w:t>
      </w:r>
      <w:r>
        <w:rPr>
          <w:spacing w:val="2"/>
          <w:sz w:val="21"/>
          <w:szCs w:val="21"/>
        </w:rPr>
        <w:t xml:space="preserve"> </w:t>
      </w:r>
      <w:r>
        <w:rPr>
          <w:spacing w:val="5"/>
          <w:sz w:val="21"/>
          <w:szCs w:val="21"/>
        </w:rPr>
        <w:t>行业青年创新大赛金奖。</w:t>
      </w:r>
    </w:p>
    <w:p w14:paraId="1135F9A0">
      <w:pPr>
        <w:spacing w:line="347" w:lineRule="auto"/>
        <w:rPr>
          <w:rFonts w:ascii="Arial"/>
          <w:sz w:val="21"/>
        </w:rPr>
      </w:pPr>
    </w:p>
    <w:p w14:paraId="5EF3A38A">
      <w:pPr>
        <w:pStyle w:val="2"/>
        <w:spacing w:before="69" w:line="306" w:lineRule="auto"/>
        <w:ind w:right="188" w:firstLine="419"/>
        <w:jc w:val="both"/>
        <w:rPr>
          <w:sz w:val="21"/>
          <w:szCs w:val="21"/>
        </w:rPr>
      </w:pPr>
      <w:r>
        <w:rPr>
          <w:spacing w:val="3"/>
          <w:sz w:val="21"/>
          <w:szCs w:val="21"/>
        </w:rPr>
        <w:t>教授，硕士研究生导师，中南大学湘雅公共卫生学院副院长。担</w:t>
      </w:r>
      <w:r>
        <w:rPr>
          <w:spacing w:val="2"/>
          <w:sz w:val="21"/>
          <w:szCs w:val="21"/>
        </w:rPr>
        <w:t xml:space="preserve"> </w:t>
      </w:r>
      <w:r>
        <w:rPr>
          <w:spacing w:val="3"/>
          <w:sz w:val="21"/>
          <w:szCs w:val="21"/>
        </w:rPr>
        <w:t>任中华预防医学会流行病学分会委员，湖南省预防医学会流行病学专 业委员会副主任委员，湖南省预防医学会性病艾滋病专业委员会副主</w:t>
      </w:r>
      <w:r>
        <w:rPr>
          <w:sz w:val="21"/>
          <w:szCs w:val="21"/>
        </w:rPr>
        <w:t xml:space="preserve"> </w:t>
      </w:r>
      <w:r>
        <w:rPr>
          <w:spacing w:val="-11"/>
          <w:sz w:val="21"/>
          <w:szCs w:val="21"/>
        </w:rPr>
        <w:t>任委员，《中华流行病学杂志》编委等。</w:t>
      </w:r>
    </w:p>
    <w:p w14:paraId="138810B9">
      <w:pPr>
        <w:pStyle w:val="2"/>
        <w:spacing w:before="23" w:line="305" w:lineRule="auto"/>
        <w:ind w:firstLine="419"/>
        <w:jc w:val="both"/>
        <w:rPr>
          <w:sz w:val="21"/>
          <w:szCs w:val="21"/>
        </w:rPr>
      </w:pPr>
      <w:r>
        <w:rPr>
          <w:spacing w:val="10"/>
          <w:sz w:val="21"/>
          <w:szCs w:val="21"/>
        </w:rPr>
        <w:t>长期从事流行病学教学工作。担任国家级精品课程“流行病学”</w:t>
      </w:r>
      <w:r>
        <w:rPr>
          <w:spacing w:val="2"/>
          <w:sz w:val="21"/>
          <w:szCs w:val="21"/>
        </w:rPr>
        <w:t xml:space="preserve"> </w:t>
      </w:r>
      <w:r>
        <w:rPr>
          <w:spacing w:val="3"/>
          <w:sz w:val="21"/>
          <w:szCs w:val="21"/>
        </w:rPr>
        <w:t>和医学专业学位研究生在线示范课程“临床流行病学”主讲教</w:t>
      </w:r>
      <w:r>
        <w:rPr>
          <w:spacing w:val="2"/>
          <w:sz w:val="21"/>
          <w:szCs w:val="21"/>
        </w:rPr>
        <w:t>师，参</w:t>
      </w:r>
      <w:r>
        <w:rPr>
          <w:sz w:val="21"/>
          <w:szCs w:val="21"/>
        </w:rPr>
        <w:t xml:space="preserve">   </w:t>
      </w:r>
      <w:r>
        <w:rPr>
          <w:spacing w:val="10"/>
          <w:sz w:val="21"/>
          <w:szCs w:val="21"/>
        </w:rPr>
        <w:t>编教材15部。主要研究方向为传染病流行病学、环境流行病学。先</w:t>
      </w:r>
      <w:r>
        <w:rPr>
          <w:sz w:val="21"/>
          <w:szCs w:val="21"/>
        </w:rPr>
        <w:t xml:space="preserve">   </w:t>
      </w:r>
      <w:r>
        <w:rPr>
          <w:spacing w:val="10"/>
          <w:sz w:val="21"/>
          <w:szCs w:val="21"/>
        </w:rPr>
        <w:t>后主持国家级、省部级课题13项；发表论</w:t>
      </w:r>
      <w:r>
        <w:rPr>
          <w:spacing w:val="9"/>
          <w:sz w:val="21"/>
          <w:szCs w:val="21"/>
        </w:rPr>
        <w:t>文70余篇；获省部级科研</w:t>
      </w:r>
      <w:r>
        <w:rPr>
          <w:sz w:val="21"/>
          <w:szCs w:val="21"/>
        </w:rPr>
        <w:t xml:space="preserve">   </w:t>
      </w:r>
      <w:r>
        <w:rPr>
          <w:spacing w:val="14"/>
          <w:sz w:val="21"/>
          <w:szCs w:val="21"/>
        </w:rPr>
        <w:t>成果4项；参编团体标准1部。</w:t>
      </w:r>
    </w:p>
    <w:p w14:paraId="1585D748">
      <w:pPr>
        <w:spacing w:line="323" w:lineRule="auto"/>
        <w:rPr>
          <w:rFonts w:ascii="Arial"/>
          <w:sz w:val="21"/>
        </w:rPr>
      </w:pPr>
    </w:p>
    <w:p w14:paraId="15AE0A61">
      <w:pPr>
        <w:spacing w:line="324" w:lineRule="auto"/>
        <w:rPr>
          <w:rFonts w:ascii="Arial"/>
          <w:sz w:val="21"/>
        </w:rPr>
      </w:pPr>
    </w:p>
    <w:p w14:paraId="736DD238">
      <w:pPr>
        <w:pStyle w:val="2"/>
        <w:spacing w:before="68" w:line="310" w:lineRule="auto"/>
        <w:ind w:right="178" w:firstLine="419"/>
        <w:jc w:val="both"/>
        <w:rPr>
          <w:sz w:val="21"/>
          <w:szCs w:val="21"/>
        </w:rPr>
      </w:pPr>
      <w:r>
        <w:rPr>
          <w:spacing w:val="3"/>
          <w:sz w:val="21"/>
          <w:szCs w:val="21"/>
        </w:rPr>
        <w:t>教授，博士研究生导师，复旦大学公共卫生学院流行病学教研室</w:t>
      </w:r>
      <w:r>
        <w:rPr>
          <w:spacing w:val="9"/>
          <w:sz w:val="21"/>
          <w:szCs w:val="21"/>
        </w:rPr>
        <w:t xml:space="preserve"> </w:t>
      </w:r>
      <w:r>
        <w:rPr>
          <w:spacing w:val="10"/>
          <w:sz w:val="21"/>
          <w:szCs w:val="21"/>
        </w:rPr>
        <w:t>主任。担任上海市重大传染病和生物安全研究院新发传染病预警预</w:t>
      </w:r>
      <w:r>
        <w:rPr>
          <w:spacing w:val="9"/>
          <w:sz w:val="21"/>
          <w:szCs w:val="21"/>
        </w:rPr>
        <w:t xml:space="preserve"> </w:t>
      </w:r>
      <w:r>
        <w:rPr>
          <w:spacing w:val="3"/>
          <w:sz w:val="21"/>
          <w:szCs w:val="21"/>
        </w:rPr>
        <w:t>测中心主任，公共卫生安全教育部重点实验室(复旦大学)副主任，中</w:t>
      </w:r>
      <w:r>
        <w:rPr>
          <w:spacing w:val="11"/>
          <w:sz w:val="21"/>
          <w:szCs w:val="21"/>
        </w:rPr>
        <w:t xml:space="preserve"> </w:t>
      </w:r>
      <w:r>
        <w:rPr>
          <w:spacing w:val="3"/>
          <w:sz w:val="21"/>
          <w:szCs w:val="21"/>
        </w:rPr>
        <w:t>华医学会公共卫生分会现场流行病学学组副组长，上海市预防</w:t>
      </w:r>
      <w:r>
        <w:rPr>
          <w:spacing w:val="2"/>
          <w:sz w:val="21"/>
          <w:szCs w:val="21"/>
        </w:rPr>
        <w:t>医学会</w:t>
      </w:r>
      <w:r>
        <w:rPr>
          <w:sz w:val="21"/>
          <w:szCs w:val="21"/>
        </w:rPr>
        <w:t xml:space="preserve"> </w:t>
      </w:r>
      <w:r>
        <w:rPr>
          <w:spacing w:val="5"/>
          <w:sz w:val="21"/>
          <w:szCs w:val="21"/>
        </w:rPr>
        <w:t>流行病学专业委员会主任委员。</w:t>
      </w:r>
    </w:p>
    <w:p w14:paraId="7A0209D4">
      <w:pPr>
        <w:pStyle w:val="2"/>
        <w:spacing w:before="12" w:line="291" w:lineRule="auto"/>
        <w:ind w:right="136" w:firstLine="419"/>
        <w:jc w:val="both"/>
        <w:rPr>
          <w:sz w:val="21"/>
          <w:szCs w:val="21"/>
        </w:rPr>
      </w:pPr>
      <w:r>
        <w:rPr>
          <w:spacing w:val="10"/>
          <w:sz w:val="21"/>
          <w:szCs w:val="21"/>
        </w:rPr>
        <w:t>长期从事流行病学教学工作。主要研究方向为传染病疾病负担</w:t>
      </w:r>
      <w:r>
        <w:rPr>
          <w:spacing w:val="6"/>
          <w:sz w:val="21"/>
          <w:szCs w:val="21"/>
        </w:rPr>
        <w:t xml:space="preserve"> </w:t>
      </w:r>
      <w:r>
        <w:rPr>
          <w:spacing w:val="3"/>
          <w:sz w:val="21"/>
          <w:szCs w:val="21"/>
        </w:rPr>
        <w:t>估计、传染病分子流行病学、临床预后研究及疫苗效果评价。承担一</w:t>
      </w:r>
      <w:r>
        <w:rPr>
          <w:sz w:val="21"/>
          <w:szCs w:val="21"/>
        </w:rPr>
        <w:t xml:space="preserve"> </w:t>
      </w:r>
      <w:r>
        <w:rPr>
          <w:spacing w:val="-1"/>
          <w:sz w:val="21"/>
          <w:szCs w:val="21"/>
        </w:rPr>
        <w:t>系列国际合作和国家级项目，包括比尔及梅琳达 ·盖茨基金会</w:t>
      </w:r>
      <w:r>
        <w:rPr>
          <w:spacing w:val="-2"/>
          <w:sz w:val="21"/>
          <w:szCs w:val="21"/>
        </w:rPr>
        <w:t>捐赠项</w:t>
      </w:r>
      <w:r>
        <w:rPr>
          <w:sz w:val="21"/>
          <w:szCs w:val="21"/>
        </w:rPr>
        <w:t xml:space="preserve"> </w:t>
      </w:r>
      <w:r>
        <w:rPr>
          <w:spacing w:val="-2"/>
          <w:sz w:val="21"/>
          <w:szCs w:val="21"/>
        </w:rPr>
        <w:t>目、世界卫生组织项目、瑞典皇家科学院项目、科技部重大专项</w:t>
      </w:r>
      <w:r>
        <w:rPr>
          <w:spacing w:val="-3"/>
          <w:sz w:val="21"/>
          <w:szCs w:val="21"/>
        </w:rPr>
        <w:t>子项、</w:t>
      </w:r>
      <w:r>
        <w:rPr>
          <w:sz w:val="21"/>
          <w:szCs w:val="21"/>
        </w:rPr>
        <w:t xml:space="preserve"> </w:t>
      </w:r>
      <w:r>
        <w:rPr>
          <w:spacing w:val="3"/>
          <w:sz w:val="21"/>
          <w:szCs w:val="21"/>
        </w:rPr>
        <w:t>国家自然科学基金项目、上海市市级科技重大专项等。以第一或通信</w:t>
      </w:r>
      <w:r>
        <w:rPr>
          <w:sz w:val="21"/>
          <w:szCs w:val="21"/>
        </w:rPr>
        <w:t xml:space="preserve"> </w:t>
      </w:r>
      <w:r>
        <w:rPr>
          <w:spacing w:val="13"/>
          <w:sz w:val="21"/>
          <w:szCs w:val="21"/>
        </w:rPr>
        <w:t>作者发表论文200余篇，含</w:t>
      </w:r>
      <w:r>
        <w:rPr>
          <w:rFonts w:ascii="宋体" w:hAnsi="宋体" w:eastAsia="宋体" w:cs="宋体"/>
          <w:sz w:val="21"/>
          <w:szCs w:val="21"/>
        </w:rPr>
        <w:t>SCI</w:t>
      </w:r>
      <w:r>
        <w:rPr>
          <w:rFonts w:ascii="宋体" w:hAnsi="宋体" w:eastAsia="宋体" w:cs="宋体"/>
          <w:spacing w:val="38"/>
          <w:sz w:val="21"/>
          <w:szCs w:val="21"/>
        </w:rPr>
        <w:t xml:space="preserve"> </w:t>
      </w:r>
      <w:r>
        <w:rPr>
          <w:spacing w:val="13"/>
          <w:sz w:val="21"/>
          <w:szCs w:val="21"/>
        </w:rPr>
        <w:t>收录论文百余篇。以课题第一完成</w:t>
      </w:r>
      <w:r>
        <w:rPr>
          <w:sz w:val="21"/>
          <w:szCs w:val="21"/>
        </w:rPr>
        <w:t xml:space="preserve"> </w:t>
      </w:r>
      <w:r>
        <w:rPr>
          <w:spacing w:val="3"/>
          <w:sz w:val="21"/>
          <w:szCs w:val="21"/>
        </w:rPr>
        <w:t>人获上海市科技进步奖二等奖。</w:t>
      </w:r>
    </w:p>
    <w:p w14:paraId="2C837109">
      <w:pPr>
        <w:spacing w:line="291" w:lineRule="auto"/>
        <w:rPr>
          <w:sz w:val="21"/>
          <w:szCs w:val="21"/>
        </w:rPr>
        <w:sectPr>
          <w:type w:val="continuous"/>
          <w:pgSz w:w="11900" w:h="16820"/>
          <w:pgMar w:top="400" w:right="1206" w:bottom="786" w:left="599" w:header="0" w:footer="597" w:gutter="0"/>
          <w:cols w:equalWidth="0" w:num="2">
            <w:col w:w="3411" w:space="100"/>
            <w:col w:w="6584"/>
          </w:cols>
        </w:sectPr>
      </w:pPr>
    </w:p>
    <w:p w14:paraId="3F055FF6">
      <w:pPr>
        <w:spacing w:line="257" w:lineRule="auto"/>
        <w:rPr>
          <w:rFonts w:ascii="Arial"/>
          <w:sz w:val="21"/>
        </w:rPr>
      </w:pPr>
    </w:p>
    <w:p w14:paraId="60B6E081">
      <w:pPr>
        <w:spacing w:line="257" w:lineRule="auto"/>
        <w:rPr>
          <w:rFonts w:ascii="Arial"/>
          <w:sz w:val="21"/>
        </w:rPr>
      </w:pPr>
    </w:p>
    <w:p w14:paraId="0873063B">
      <w:pPr>
        <w:spacing w:line="257" w:lineRule="auto"/>
        <w:rPr>
          <w:rFonts w:ascii="Arial"/>
          <w:sz w:val="21"/>
        </w:rPr>
      </w:pPr>
    </w:p>
    <w:p w14:paraId="6616A618">
      <w:pPr>
        <w:spacing w:line="258" w:lineRule="auto"/>
        <w:rPr>
          <w:rFonts w:ascii="Arial"/>
          <w:sz w:val="21"/>
        </w:rPr>
      </w:pPr>
    </w:p>
    <w:p w14:paraId="032C0DC7">
      <w:pPr>
        <w:pStyle w:val="2"/>
        <w:spacing w:before="147" w:line="222" w:lineRule="auto"/>
        <w:ind w:left="3916"/>
        <w:rPr>
          <w:sz w:val="45"/>
          <w:szCs w:val="45"/>
        </w:rPr>
      </w:pPr>
      <w:r>
        <w:rPr>
          <w:b/>
          <w:bCs/>
          <w:spacing w:val="-14"/>
          <w:sz w:val="45"/>
          <w:szCs w:val="45"/>
        </w:rPr>
        <w:t>前</w:t>
      </w:r>
      <w:r>
        <w:rPr>
          <w:spacing w:val="13"/>
          <w:sz w:val="45"/>
          <w:szCs w:val="45"/>
        </w:rPr>
        <w:t xml:space="preserve">  </w:t>
      </w:r>
      <w:r>
        <w:rPr>
          <w:b/>
          <w:bCs/>
          <w:spacing w:val="-14"/>
          <w:sz w:val="45"/>
          <w:szCs w:val="45"/>
        </w:rPr>
        <w:t>言</w:t>
      </w:r>
    </w:p>
    <w:p w14:paraId="6805ADD0">
      <w:pPr>
        <w:spacing w:before="96" w:line="440" w:lineRule="exact"/>
        <w:ind w:firstLine="8750"/>
      </w:pPr>
      <w:r>
        <w:rPr>
          <w:position w:val="-8"/>
        </w:rPr>
        <w:drawing>
          <wp:inline distT="0" distB="0" distL="0" distR="0">
            <wp:extent cx="552450" cy="279400"/>
            <wp:effectExtent l="0" t="0" r="0" b="0"/>
            <wp:docPr id="56" name="IM 56"/>
            <wp:cNvGraphicFramePr/>
            <a:graphic xmlns:a="http://schemas.openxmlformats.org/drawingml/2006/main">
              <a:graphicData uri="http://schemas.openxmlformats.org/drawingml/2006/picture">
                <pic:pic xmlns:pic="http://schemas.openxmlformats.org/drawingml/2006/picture">
                  <pic:nvPicPr>
                    <pic:cNvPr id="56" name="IM 56"/>
                    <pic:cNvPicPr/>
                  </pic:nvPicPr>
                  <pic:blipFill>
                    <a:blip r:embed="rId424"/>
                    <a:stretch>
                      <a:fillRect/>
                    </a:stretch>
                  </pic:blipFill>
                  <pic:spPr>
                    <a:xfrm>
                      <a:off x="0" y="0"/>
                      <a:ext cx="552455" cy="279406"/>
                    </a:xfrm>
                    <a:prstGeom prst="rect">
                      <a:avLst/>
                    </a:prstGeom>
                  </pic:spPr>
                </pic:pic>
              </a:graphicData>
            </a:graphic>
          </wp:inline>
        </w:drawing>
      </w:r>
    </w:p>
    <w:p w14:paraId="40C6ADE3">
      <w:pPr>
        <w:spacing w:line="462" w:lineRule="auto"/>
        <w:rPr>
          <w:rFonts w:ascii="Arial"/>
          <w:sz w:val="21"/>
        </w:rPr>
      </w:pPr>
    </w:p>
    <w:p w14:paraId="5AE1C3F9">
      <w:pPr>
        <w:pStyle w:val="2"/>
        <w:spacing w:before="81" w:line="356" w:lineRule="auto"/>
        <w:ind w:right="606" w:firstLine="540"/>
        <w:jc w:val="both"/>
        <w:rPr>
          <w:sz w:val="25"/>
          <w:szCs w:val="25"/>
        </w:rPr>
      </w:pPr>
      <w:r>
        <w:rPr>
          <w:spacing w:val="4"/>
          <w:sz w:val="25"/>
          <w:szCs w:val="25"/>
        </w:rPr>
        <w:t>流行病学已从公共卫生的骨干学科发展成为现代医学的重要方法学科。新型冠</w:t>
      </w:r>
      <w:r>
        <w:rPr>
          <w:spacing w:val="10"/>
          <w:sz w:val="25"/>
          <w:szCs w:val="25"/>
        </w:rPr>
        <w:t xml:space="preserve"> </w:t>
      </w:r>
      <w:r>
        <w:rPr>
          <w:spacing w:val="3"/>
          <w:sz w:val="25"/>
          <w:szCs w:val="25"/>
        </w:rPr>
        <w:t>状病毒感染</w:t>
      </w:r>
      <w:r>
        <w:rPr>
          <w:rFonts w:ascii="Arial" w:hAnsi="Arial" w:eastAsia="Arial" w:cs="Arial"/>
          <w:spacing w:val="3"/>
          <w:sz w:val="25"/>
          <w:szCs w:val="25"/>
        </w:rPr>
        <w:t>(</w:t>
      </w:r>
      <w:r>
        <w:rPr>
          <w:rFonts w:ascii="Arial" w:hAnsi="Arial" w:eastAsia="Arial" w:cs="Arial"/>
          <w:sz w:val="25"/>
          <w:szCs w:val="25"/>
        </w:rPr>
        <w:t>COVID</w:t>
      </w:r>
      <w:r>
        <w:rPr>
          <w:rFonts w:ascii="Arial" w:hAnsi="Arial" w:eastAsia="Arial" w:cs="Arial"/>
          <w:spacing w:val="3"/>
          <w:sz w:val="25"/>
          <w:szCs w:val="25"/>
        </w:rPr>
        <w:t>-19)</w:t>
      </w:r>
      <w:r>
        <w:rPr>
          <w:rFonts w:ascii="Arial" w:hAnsi="Arial" w:eastAsia="Arial" w:cs="Arial"/>
          <w:spacing w:val="23"/>
          <w:sz w:val="25"/>
          <w:szCs w:val="25"/>
        </w:rPr>
        <w:t xml:space="preserve">   </w:t>
      </w:r>
      <w:r>
        <w:rPr>
          <w:spacing w:val="3"/>
          <w:sz w:val="25"/>
          <w:szCs w:val="25"/>
        </w:rPr>
        <w:t>疫情防控实践又进一步凸显了流行病学在疾病防控中的作</w:t>
      </w:r>
      <w:r>
        <w:rPr>
          <w:spacing w:val="1"/>
          <w:sz w:val="25"/>
          <w:szCs w:val="25"/>
        </w:rPr>
        <w:t xml:space="preserve"> </w:t>
      </w:r>
      <w:r>
        <w:rPr>
          <w:spacing w:val="8"/>
          <w:sz w:val="25"/>
          <w:szCs w:val="25"/>
        </w:rPr>
        <w:t>用和地位。自1981年第1版预防医学专业规划教材《流行病学》问世以来，历经近</w:t>
      </w:r>
      <w:r>
        <w:rPr>
          <w:sz w:val="25"/>
          <w:szCs w:val="25"/>
        </w:rPr>
        <w:t xml:space="preserve"> </w:t>
      </w:r>
      <w:r>
        <w:rPr>
          <w:spacing w:val="2"/>
          <w:sz w:val="25"/>
          <w:szCs w:val="25"/>
        </w:rPr>
        <w:t>四十年更新至第8版。目前，全国超百所院校开设了公共卫生与预</w:t>
      </w:r>
      <w:r>
        <w:rPr>
          <w:spacing w:val="1"/>
          <w:sz w:val="25"/>
          <w:szCs w:val="25"/>
        </w:rPr>
        <w:t>防医学专业，且拥</w:t>
      </w:r>
      <w:r>
        <w:rPr>
          <w:sz w:val="25"/>
          <w:szCs w:val="25"/>
        </w:rPr>
        <w:t xml:space="preserve"> </w:t>
      </w:r>
      <w:r>
        <w:rPr>
          <w:spacing w:val="-2"/>
          <w:sz w:val="25"/>
          <w:szCs w:val="25"/>
        </w:rPr>
        <w:t>有广泛的公共卫生、临床等一线工作者的专业读者群体及非医学及相关专业的普通读</w:t>
      </w:r>
      <w:r>
        <w:rPr>
          <w:spacing w:val="5"/>
          <w:sz w:val="25"/>
          <w:szCs w:val="25"/>
        </w:rPr>
        <w:t xml:space="preserve"> </w:t>
      </w:r>
      <w:r>
        <w:rPr>
          <w:sz w:val="25"/>
          <w:szCs w:val="25"/>
        </w:rPr>
        <w:t>者群体。如今，我们迎来第9版教材的编写。</w:t>
      </w:r>
    </w:p>
    <w:p w14:paraId="14EAFE70">
      <w:pPr>
        <w:pStyle w:val="2"/>
        <w:spacing w:before="34" w:line="356" w:lineRule="auto"/>
        <w:ind w:right="515" w:firstLine="540"/>
        <w:jc w:val="both"/>
        <w:rPr>
          <w:sz w:val="25"/>
          <w:szCs w:val="25"/>
        </w:rPr>
      </w:pPr>
      <w:r>
        <w:rPr>
          <w:spacing w:val="4"/>
          <w:sz w:val="25"/>
          <w:szCs w:val="25"/>
        </w:rPr>
        <w:t>认真分析过去几版教材，结合目标读者定位、学科发展趋势和人群疾病谱的转</w:t>
      </w:r>
      <w:r>
        <w:rPr>
          <w:spacing w:val="3"/>
          <w:sz w:val="25"/>
          <w:szCs w:val="25"/>
        </w:rPr>
        <w:t xml:space="preserve">  </w:t>
      </w:r>
      <w:r>
        <w:rPr>
          <w:spacing w:val="9"/>
          <w:sz w:val="25"/>
          <w:szCs w:val="25"/>
        </w:rPr>
        <w:t>变，以及读者对第8版教材的反馈，我们针对本版教材达成</w:t>
      </w:r>
      <w:r>
        <w:rPr>
          <w:spacing w:val="8"/>
          <w:sz w:val="25"/>
          <w:szCs w:val="25"/>
        </w:rPr>
        <w:t>以下共识。作为本科生</w:t>
      </w:r>
      <w:r>
        <w:rPr>
          <w:sz w:val="25"/>
          <w:szCs w:val="25"/>
        </w:rPr>
        <w:t xml:space="preserve"> </w:t>
      </w:r>
      <w:r>
        <w:rPr>
          <w:spacing w:val="-5"/>
          <w:sz w:val="25"/>
          <w:szCs w:val="25"/>
        </w:rPr>
        <w:t>教材，需坚持“三基”原则，匹配教学时数安排，</w:t>
      </w:r>
      <w:r>
        <w:rPr>
          <w:spacing w:val="-6"/>
          <w:sz w:val="25"/>
          <w:szCs w:val="25"/>
        </w:rPr>
        <w:t>避免教材越编越厚、内容越来越多。</w:t>
      </w:r>
      <w:r>
        <w:rPr>
          <w:sz w:val="25"/>
          <w:szCs w:val="25"/>
        </w:rPr>
        <w:t xml:space="preserve"> </w:t>
      </w:r>
      <w:r>
        <w:rPr>
          <w:spacing w:val="16"/>
          <w:sz w:val="25"/>
          <w:szCs w:val="25"/>
        </w:rPr>
        <w:t>在第8版基础上，进一步精炼内容和文字，</w:t>
      </w:r>
      <w:r>
        <w:rPr>
          <w:spacing w:val="15"/>
          <w:sz w:val="25"/>
          <w:szCs w:val="25"/>
        </w:rPr>
        <w:t>字数较上版缩减约10万字。在内容方</w:t>
      </w:r>
      <w:r>
        <w:rPr>
          <w:sz w:val="25"/>
          <w:szCs w:val="25"/>
        </w:rPr>
        <w:t xml:space="preserve">  </w:t>
      </w:r>
      <w:r>
        <w:rPr>
          <w:spacing w:val="1"/>
          <w:sz w:val="25"/>
          <w:szCs w:val="25"/>
        </w:rPr>
        <w:t>面，补充重要的基本概念，如传染病流行病学中的基</w:t>
      </w:r>
      <w:r>
        <w:rPr>
          <w:sz w:val="25"/>
          <w:szCs w:val="25"/>
        </w:rPr>
        <w:t xml:space="preserve">本再生数等；融入学科新进展， </w:t>
      </w:r>
      <w:r>
        <w:rPr>
          <w:spacing w:val="12"/>
          <w:sz w:val="25"/>
          <w:szCs w:val="25"/>
        </w:rPr>
        <w:t>更新实例和图表数据，并强调引用国内优秀研究案例。考虑到流行病学已形成较</w:t>
      </w:r>
      <w:r>
        <w:rPr>
          <w:spacing w:val="3"/>
          <w:sz w:val="25"/>
          <w:szCs w:val="25"/>
        </w:rPr>
        <w:t xml:space="preserve">  </w:t>
      </w:r>
      <w:r>
        <w:rPr>
          <w:spacing w:val="-2"/>
          <w:sz w:val="25"/>
          <w:szCs w:val="25"/>
        </w:rPr>
        <w:t>为完善的立体化教材体系，包括数字资源、《流行病学实习教程》、《流行病学学习</w:t>
      </w:r>
      <w:r>
        <w:rPr>
          <w:spacing w:val="4"/>
          <w:sz w:val="25"/>
          <w:szCs w:val="25"/>
        </w:rPr>
        <w:t xml:space="preserve">  </w:t>
      </w:r>
      <w:r>
        <w:rPr>
          <w:spacing w:val="-4"/>
          <w:sz w:val="25"/>
          <w:szCs w:val="25"/>
        </w:rPr>
        <w:t>指导与习题集》,以及可供教学参考的《流行病</w:t>
      </w:r>
      <w:r>
        <w:rPr>
          <w:spacing w:val="-5"/>
          <w:sz w:val="25"/>
          <w:szCs w:val="25"/>
        </w:rPr>
        <w:t>学词典》、《流行病学》(第一卷，第3</w:t>
      </w:r>
      <w:r>
        <w:rPr>
          <w:sz w:val="25"/>
          <w:szCs w:val="25"/>
        </w:rPr>
        <w:t xml:space="preserve"> </w:t>
      </w:r>
      <w:r>
        <w:rPr>
          <w:spacing w:val="-17"/>
          <w:sz w:val="25"/>
          <w:szCs w:val="25"/>
        </w:rPr>
        <w:t>版)、《现代流行病学》、《流行病学进展》、《流行病学研究实例》等，根据</w:t>
      </w:r>
      <w:r>
        <w:rPr>
          <w:spacing w:val="-18"/>
          <w:sz w:val="25"/>
          <w:szCs w:val="25"/>
        </w:rPr>
        <w:t>各出版物与</w:t>
      </w:r>
      <w:r>
        <w:rPr>
          <w:sz w:val="25"/>
          <w:szCs w:val="25"/>
        </w:rPr>
        <w:t xml:space="preserve"> </w:t>
      </w:r>
      <w:r>
        <w:rPr>
          <w:spacing w:val="-2"/>
          <w:sz w:val="25"/>
          <w:szCs w:val="25"/>
        </w:rPr>
        <w:t>数字资源可承载的内容和形式、目标读者差异，我们统筹考虑，进一步精简纸质教材</w:t>
      </w:r>
      <w:r>
        <w:rPr>
          <w:spacing w:val="2"/>
          <w:sz w:val="25"/>
          <w:szCs w:val="25"/>
        </w:rPr>
        <w:t xml:space="preserve">  </w:t>
      </w:r>
      <w:r>
        <w:rPr>
          <w:spacing w:val="5"/>
          <w:sz w:val="25"/>
          <w:szCs w:val="25"/>
        </w:rPr>
        <w:t>内容。</w:t>
      </w:r>
    </w:p>
    <w:p w14:paraId="2296EEA1">
      <w:pPr>
        <w:pStyle w:val="2"/>
        <w:spacing w:before="83" w:line="361" w:lineRule="auto"/>
        <w:ind w:right="604" w:firstLine="540"/>
        <w:jc w:val="both"/>
        <w:rPr>
          <w:sz w:val="25"/>
          <w:szCs w:val="25"/>
        </w:rPr>
      </w:pPr>
      <w:r>
        <w:rPr>
          <w:spacing w:val="8"/>
          <w:sz w:val="25"/>
          <w:szCs w:val="25"/>
        </w:rPr>
        <w:t>根据上述原则，本书在第8版基础上进行了适当调整，共设24章。前10章为总</w:t>
      </w:r>
      <w:r>
        <w:rPr>
          <w:spacing w:val="1"/>
          <w:sz w:val="25"/>
          <w:szCs w:val="25"/>
        </w:rPr>
        <w:t xml:space="preserve"> </w:t>
      </w:r>
      <w:r>
        <w:rPr>
          <w:spacing w:val="-2"/>
          <w:sz w:val="25"/>
          <w:szCs w:val="25"/>
        </w:rPr>
        <w:t>论，作为教材的核心内容，系统介绍流行病学的基本概念、原理和方法。第11～18章</w:t>
      </w:r>
      <w:r>
        <w:rPr>
          <w:spacing w:val="6"/>
          <w:sz w:val="25"/>
          <w:szCs w:val="25"/>
        </w:rPr>
        <w:t xml:space="preserve"> </w:t>
      </w:r>
      <w:r>
        <w:rPr>
          <w:spacing w:val="-2"/>
          <w:sz w:val="25"/>
          <w:szCs w:val="25"/>
        </w:rPr>
        <w:t>为分支小总论，介绍流行病学在传染病、慢性病和伤害三组疾病防控及突发公共卫生</w:t>
      </w:r>
      <w:r>
        <w:rPr>
          <w:spacing w:val="13"/>
          <w:sz w:val="25"/>
          <w:szCs w:val="25"/>
        </w:rPr>
        <w:t xml:space="preserve"> </w:t>
      </w:r>
      <w:r>
        <w:rPr>
          <w:spacing w:val="-2"/>
          <w:sz w:val="25"/>
          <w:szCs w:val="25"/>
        </w:rPr>
        <w:t>事件应对中的应用，以及与其他学科的交叉融合。为加强传染病防控教学，特增加医</w:t>
      </w:r>
      <w:r>
        <w:rPr>
          <w:spacing w:val="6"/>
          <w:sz w:val="25"/>
          <w:szCs w:val="25"/>
        </w:rPr>
        <w:t xml:space="preserve"> </w:t>
      </w:r>
      <w:r>
        <w:rPr>
          <w:spacing w:val="-2"/>
          <w:sz w:val="25"/>
          <w:szCs w:val="25"/>
        </w:rPr>
        <w:t>院感染及消毒与病媒生物防制两章。鉴于多种慢性病在危险因素、预防策略与措施上</w:t>
      </w:r>
      <w:r>
        <w:rPr>
          <w:spacing w:val="5"/>
          <w:sz w:val="25"/>
          <w:szCs w:val="25"/>
        </w:rPr>
        <w:t xml:space="preserve"> </w:t>
      </w:r>
      <w:r>
        <w:rPr>
          <w:spacing w:val="-5"/>
          <w:sz w:val="25"/>
          <w:szCs w:val="25"/>
        </w:rPr>
        <w:t>的共性，本版将第8版中的精神卫生流行病学、恶性肿瘤和糖尿病三章内</w:t>
      </w:r>
      <w:r>
        <w:rPr>
          <w:spacing w:val="-6"/>
          <w:sz w:val="25"/>
          <w:szCs w:val="25"/>
        </w:rPr>
        <w:t>容整合至“慢</w:t>
      </w:r>
      <w:r>
        <w:rPr>
          <w:sz w:val="25"/>
          <w:szCs w:val="25"/>
        </w:rPr>
        <w:t xml:space="preserve"> </w:t>
      </w:r>
      <w:r>
        <w:rPr>
          <w:spacing w:val="-8"/>
          <w:sz w:val="25"/>
          <w:szCs w:val="25"/>
        </w:rPr>
        <w:t>性病流行病学”一章中，先概述共性，再分述五类主要慢性</w:t>
      </w:r>
      <w:r>
        <w:rPr>
          <w:spacing w:val="-9"/>
          <w:sz w:val="25"/>
          <w:szCs w:val="25"/>
        </w:rPr>
        <w:t>病的特性内容。本版同时删</w:t>
      </w:r>
      <w:r>
        <w:rPr>
          <w:sz w:val="25"/>
          <w:szCs w:val="25"/>
        </w:rPr>
        <w:t xml:space="preserve"> </w:t>
      </w:r>
      <w:r>
        <w:rPr>
          <w:spacing w:val="5"/>
          <w:sz w:val="25"/>
          <w:szCs w:val="25"/>
        </w:rPr>
        <w:t>除药物流行病学一章。第19～24章为各论，重点介绍威</w:t>
      </w:r>
      <w:r>
        <w:rPr>
          <w:spacing w:val="4"/>
          <w:sz w:val="25"/>
          <w:szCs w:val="25"/>
        </w:rPr>
        <w:t>胁我国人群健康的五类代表</w:t>
      </w:r>
      <w:r>
        <w:rPr>
          <w:sz w:val="25"/>
          <w:szCs w:val="25"/>
        </w:rPr>
        <w:t xml:space="preserve"> </w:t>
      </w:r>
      <w:r>
        <w:rPr>
          <w:spacing w:val="-5"/>
          <w:sz w:val="25"/>
          <w:szCs w:val="25"/>
        </w:rPr>
        <w:t>性传染病及地方病，并按危害和流行情况调整了介绍顺序。</w:t>
      </w:r>
    </w:p>
    <w:p w14:paraId="5C3ACC05">
      <w:pPr>
        <w:spacing w:line="361" w:lineRule="auto"/>
        <w:rPr>
          <w:sz w:val="25"/>
          <w:szCs w:val="25"/>
        </w:rPr>
        <w:sectPr>
          <w:footerReference r:id="rId17" w:type="default"/>
          <w:pgSz w:w="11900" w:h="16820"/>
          <w:pgMar w:top="400" w:right="759" w:bottom="886" w:left="1329" w:header="0" w:footer="733" w:gutter="0"/>
          <w:cols w:space="720" w:num="1"/>
        </w:sectPr>
      </w:pPr>
    </w:p>
    <w:p w14:paraId="3CA496ED">
      <w:pPr>
        <w:pStyle w:val="2"/>
        <w:spacing w:before="207" w:line="222" w:lineRule="auto"/>
        <w:ind w:left="730"/>
        <w:rPr>
          <w:sz w:val="17"/>
          <w:szCs w:val="17"/>
        </w:rPr>
      </w:pPr>
      <w:r>
        <w:rPr>
          <w:spacing w:val="12"/>
          <w:sz w:val="17"/>
          <w:szCs w:val="17"/>
        </w:rPr>
        <w:t>前言</w:t>
      </w:r>
    </w:p>
    <w:p w14:paraId="65A841E3">
      <w:pPr>
        <w:spacing w:line="278" w:lineRule="auto"/>
        <w:rPr>
          <w:rFonts w:ascii="Arial"/>
          <w:sz w:val="21"/>
        </w:rPr>
      </w:pPr>
    </w:p>
    <w:p w14:paraId="7120CA6A">
      <w:pPr>
        <w:spacing w:line="279" w:lineRule="auto"/>
        <w:rPr>
          <w:rFonts w:ascii="Arial"/>
          <w:sz w:val="21"/>
        </w:rPr>
      </w:pPr>
    </w:p>
    <w:p w14:paraId="3AA91FFF">
      <w:pPr>
        <w:pStyle w:val="2"/>
        <w:spacing w:before="78" w:line="384" w:lineRule="auto"/>
        <w:ind w:left="730" w:firstLine="509"/>
        <w:jc w:val="both"/>
        <w:rPr>
          <w:sz w:val="24"/>
          <w:szCs w:val="24"/>
        </w:rPr>
      </w:pPr>
      <w:r>
        <w:rPr>
          <w:spacing w:val="11"/>
          <w:sz w:val="24"/>
          <w:szCs w:val="24"/>
        </w:rPr>
        <w:t>本教材在历届主编、副主编及编委团队的共同努力下，赢得广泛好评并荣获多</w:t>
      </w:r>
      <w:r>
        <w:rPr>
          <w:spacing w:val="12"/>
          <w:sz w:val="24"/>
          <w:szCs w:val="24"/>
        </w:rPr>
        <w:t xml:space="preserve"> </w:t>
      </w:r>
      <w:r>
        <w:rPr>
          <w:spacing w:val="5"/>
          <w:sz w:val="24"/>
          <w:szCs w:val="24"/>
        </w:rPr>
        <w:t>项优秀教材奖。接任主编之职，我们深感守正创新、传承精品的责任重</w:t>
      </w:r>
      <w:r>
        <w:rPr>
          <w:spacing w:val="4"/>
          <w:sz w:val="24"/>
          <w:szCs w:val="24"/>
        </w:rPr>
        <w:t>大。首先，向</w:t>
      </w:r>
      <w:r>
        <w:rPr>
          <w:sz w:val="24"/>
          <w:szCs w:val="24"/>
        </w:rPr>
        <w:t xml:space="preserve"> </w:t>
      </w:r>
      <w:r>
        <w:rPr>
          <w:spacing w:val="11"/>
          <w:sz w:val="24"/>
          <w:szCs w:val="24"/>
        </w:rPr>
        <w:t>历届编委的辛勤付出致以崇高敬意，本教材凝聚了他们的智慧与心血。特别感谢第</w:t>
      </w:r>
      <w:r>
        <w:rPr>
          <w:spacing w:val="18"/>
          <w:sz w:val="24"/>
          <w:szCs w:val="24"/>
        </w:rPr>
        <w:t xml:space="preserve"> </w:t>
      </w:r>
      <w:r>
        <w:rPr>
          <w:spacing w:val="11"/>
          <w:sz w:val="24"/>
          <w:szCs w:val="24"/>
        </w:rPr>
        <w:t>4～6版主编李立明教授、第7～8版主编及本版主审詹思延教授对年</w:t>
      </w:r>
      <w:r>
        <w:rPr>
          <w:spacing w:val="10"/>
          <w:sz w:val="24"/>
          <w:szCs w:val="24"/>
        </w:rPr>
        <w:t>轻一代编委的悉</w:t>
      </w:r>
      <w:r>
        <w:rPr>
          <w:sz w:val="24"/>
          <w:szCs w:val="24"/>
        </w:rPr>
        <w:t xml:space="preserve"> </w:t>
      </w:r>
      <w:r>
        <w:rPr>
          <w:spacing w:val="-2"/>
          <w:sz w:val="24"/>
          <w:szCs w:val="24"/>
        </w:rPr>
        <w:t>心指导与扶持；同时，感谢副主编潘安教授、李杏莉教授、王伟炳教</w:t>
      </w:r>
      <w:r>
        <w:rPr>
          <w:spacing w:val="-3"/>
          <w:sz w:val="24"/>
          <w:szCs w:val="24"/>
        </w:rPr>
        <w:t>授在教材编写、审</w:t>
      </w:r>
      <w:r>
        <w:rPr>
          <w:sz w:val="24"/>
          <w:szCs w:val="24"/>
        </w:rPr>
        <w:t xml:space="preserve">  </w:t>
      </w:r>
      <w:r>
        <w:rPr>
          <w:spacing w:val="7"/>
          <w:sz w:val="24"/>
          <w:szCs w:val="24"/>
        </w:rPr>
        <w:t>稿和定稿过程中的无私奉献。全体编委的信任与支持更是不可或缺，大家齐心协力，</w:t>
      </w:r>
      <w:r>
        <w:rPr>
          <w:sz w:val="24"/>
          <w:szCs w:val="24"/>
        </w:rPr>
        <w:t xml:space="preserve"> </w:t>
      </w:r>
      <w:r>
        <w:rPr>
          <w:spacing w:val="-1"/>
          <w:sz w:val="24"/>
          <w:szCs w:val="24"/>
        </w:rPr>
        <w:t>确保了编写任务的顺利完成。此外，我们诚邀来自北京大学、哈尔</w:t>
      </w:r>
      <w:r>
        <w:rPr>
          <w:spacing w:val="-2"/>
          <w:sz w:val="24"/>
          <w:szCs w:val="24"/>
        </w:rPr>
        <w:t>滨医科大学、郑州大</w:t>
      </w:r>
      <w:r>
        <w:rPr>
          <w:sz w:val="24"/>
          <w:szCs w:val="24"/>
        </w:rPr>
        <w:t xml:space="preserve"> </w:t>
      </w:r>
      <w:r>
        <w:rPr>
          <w:spacing w:val="-2"/>
          <w:sz w:val="24"/>
          <w:szCs w:val="24"/>
        </w:rPr>
        <w:t>学、中国医学科学院、中国疾病预防控制中心、北京市疾病预防控制中心、北京大学第</w:t>
      </w:r>
      <w:r>
        <w:rPr>
          <w:spacing w:val="9"/>
          <w:sz w:val="24"/>
          <w:szCs w:val="24"/>
        </w:rPr>
        <w:t xml:space="preserve"> </w:t>
      </w:r>
      <w:r>
        <w:rPr>
          <w:spacing w:val="-1"/>
          <w:sz w:val="24"/>
          <w:szCs w:val="24"/>
        </w:rPr>
        <w:t>一医院、北京大学第三医院、北京大学第六医院、北京安贞</w:t>
      </w:r>
      <w:r>
        <w:rPr>
          <w:spacing w:val="-2"/>
          <w:sz w:val="24"/>
          <w:szCs w:val="24"/>
        </w:rPr>
        <w:t>医院、中日友好医院的二十</w:t>
      </w:r>
      <w:r>
        <w:rPr>
          <w:sz w:val="24"/>
          <w:szCs w:val="24"/>
        </w:rPr>
        <w:t xml:space="preserve"> </w:t>
      </w:r>
      <w:r>
        <w:rPr>
          <w:spacing w:val="5"/>
          <w:sz w:val="24"/>
          <w:szCs w:val="24"/>
        </w:rPr>
        <w:t>余位专家审阅部分章节，他们凭借深厚的专业</w:t>
      </w:r>
      <w:r>
        <w:rPr>
          <w:spacing w:val="4"/>
          <w:sz w:val="24"/>
          <w:szCs w:val="24"/>
        </w:rPr>
        <w:t>知识和严谨的科学态度，为教材质量提</w:t>
      </w:r>
      <w:r>
        <w:rPr>
          <w:sz w:val="24"/>
          <w:szCs w:val="24"/>
        </w:rPr>
        <w:t xml:space="preserve"> </w:t>
      </w:r>
      <w:r>
        <w:rPr>
          <w:spacing w:val="-2"/>
          <w:sz w:val="24"/>
          <w:szCs w:val="24"/>
        </w:rPr>
        <w:t>供了坚实保障。同时，感谢北京大学、南京医科大学、深圳市疾病预防控制中心在编写</w:t>
      </w:r>
      <w:r>
        <w:rPr>
          <w:spacing w:val="14"/>
          <w:sz w:val="24"/>
          <w:szCs w:val="24"/>
        </w:rPr>
        <w:t xml:space="preserve"> </w:t>
      </w:r>
      <w:r>
        <w:rPr>
          <w:spacing w:val="5"/>
          <w:sz w:val="24"/>
          <w:szCs w:val="24"/>
        </w:rPr>
        <w:t>会与定稿会期间提供的鼎力支持。本版教材编写秘</w:t>
      </w:r>
      <w:r>
        <w:rPr>
          <w:spacing w:val="4"/>
          <w:sz w:val="24"/>
          <w:szCs w:val="24"/>
        </w:rPr>
        <w:t>书高文静副教授、杭栋教授在教材</w:t>
      </w:r>
      <w:r>
        <w:rPr>
          <w:sz w:val="24"/>
          <w:szCs w:val="24"/>
        </w:rPr>
        <w:t xml:space="preserve"> </w:t>
      </w:r>
      <w:r>
        <w:rPr>
          <w:spacing w:val="-1"/>
          <w:sz w:val="24"/>
          <w:szCs w:val="24"/>
        </w:rPr>
        <w:t>编写的组织协调、会议筹备及统稿等工作中付出了大量心血，对此表示衷心</w:t>
      </w:r>
      <w:r>
        <w:rPr>
          <w:spacing w:val="-2"/>
          <w:sz w:val="24"/>
          <w:szCs w:val="24"/>
        </w:rPr>
        <w:t>感谢。</w:t>
      </w:r>
    </w:p>
    <w:p w14:paraId="767F3B8F">
      <w:pPr>
        <w:pStyle w:val="2"/>
        <w:spacing w:before="38" w:line="401" w:lineRule="auto"/>
        <w:ind w:left="730" w:right="70" w:firstLine="509"/>
        <w:rPr>
          <w:sz w:val="24"/>
          <w:szCs w:val="24"/>
        </w:rPr>
      </w:pPr>
      <w:r>
        <w:rPr>
          <w:spacing w:val="4"/>
          <w:sz w:val="24"/>
          <w:szCs w:val="24"/>
        </w:rPr>
        <w:t>鉴于主编能力所限，本书难免存在不尽如人意的地方与错误，恳请各院校师生及</w:t>
      </w:r>
      <w:r>
        <w:rPr>
          <w:spacing w:val="18"/>
          <w:sz w:val="24"/>
          <w:szCs w:val="24"/>
        </w:rPr>
        <w:t xml:space="preserve"> </w:t>
      </w:r>
      <w:r>
        <w:rPr>
          <w:spacing w:val="2"/>
          <w:sz w:val="24"/>
          <w:szCs w:val="24"/>
        </w:rPr>
        <w:t>广大读者提出宝贵意见。</w:t>
      </w:r>
    </w:p>
    <w:p w14:paraId="4F7FFDC3">
      <w:pPr>
        <w:spacing w:line="386" w:lineRule="auto"/>
        <w:rPr>
          <w:rFonts w:ascii="Arial"/>
          <w:sz w:val="21"/>
        </w:rPr>
      </w:pPr>
    </w:p>
    <w:p w14:paraId="19A3F202">
      <w:pPr>
        <w:pStyle w:val="2"/>
        <w:spacing w:before="78" w:line="222" w:lineRule="auto"/>
        <w:ind w:left="8069"/>
        <w:rPr>
          <w:sz w:val="24"/>
          <w:szCs w:val="24"/>
        </w:rPr>
      </w:pPr>
      <w:r>
        <w:rPr>
          <w:spacing w:val="3"/>
          <w:sz w:val="24"/>
          <w:szCs w:val="24"/>
        </w:rPr>
        <w:t>吕  筠  胡志斌</w:t>
      </w:r>
    </w:p>
    <w:p w14:paraId="33AB294B">
      <w:pPr>
        <w:pStyle w:val="2"/>
        <w:spacing w:before="203" w:line="223" w:lineRule="auto"/>
        <w:ind w:left="8389"/>
        <w:rPr>
          <w:sz w:val="24"/>
          <w:szCs w:val="24"/>
        </w:rPr>
      </w:pPr>
      <w:r>
        <w:rPr>
          <w:spacing w:val="15"/>
          <w:w w:val="120"/>
          <w:sz w:val="24"/>
          <w:szCs w:val="24"/>
        </w:rPr>
        <w:t>2025年4月</w:t>
      </w:r>
    </w:p>
    <w:p w14:paraId="670602ED">
      <w:pPr>
        <w:spacing w:line="223" w:lineRule="auto"/>
        <w:rPr>
          <w:sz w:val="24"/>
          <w:szCs w:val="24"/>
        </w:rPr>
        <w:sectPr>
          <w:footerReference r:id="rId18" w:type="default"/>
          <w:pgSz w:w="11900" w:h="16820"/>
          <w:pgMar w:top="400" w:right="1370" w:bottom="816" w:left="659" w:header="0" w:footer="663" w:gutter="0"/>
          <w:cols w:space="720" w:num="1"/>
        </w:sectPr>
      </w:pPr>
    </w:p>
    <w:p w14:paraId="03F86F1B">
      <w:pPr>
        <w:spacing w:line="265" w:lineRule="auto"/>
        <w:rPr>
          <w:rFonts w:ascii="Arial"/>
          <w:sz w:val="21"/>
        </w:rPr>
      </w:pPr>
    </w:p>
    <w:p w14:paraId="5AB42105">
      <w:pPr>
        <w:spacing w:line="265" w:lineRule="auto"/>
        <w:rPr>
          <w:rFonts w:ascii="Arial"/>
          <w:sz w:val="21"/>
        </w:rPr>
      </w:pPr>
    </w:p>
    <w:p w14:paraId="1F9A12BC">
      <w:pPr>
        <w:spacing w:line="266" w:lineRule="auto"/>
        <w:rPr>
          <w:rFonts w:ascii="Arial"/>
          <w:sz w:val="21"/>
        </w:rPr>
      </w:pPr>
    </w:p>
    <w:p w14:paraId="6E2F4A2A">
      <w:pPr>
        <w:spacing w:line="266" w:lineRule="auto"/>
        <w:rPr>
          <w:rFonts w:ascii="Arial"/>
          <w:sz w:val="21"/>
        </w:rPr>
      </w:pPr>
    </w:p>
    <w:p w14:paraId="3BDA9847">
      <w:pPr>
        <w:pStyle w:val="2"/>
        <w:spacing w:before="140" w:line="222" w:lineRule="auto"/>
        <w:ind w:left="3963"/>
        <w:rPr>
          <w:sz w:val="43"/>
          <w:szCs w:val="43"/>
        </w:rPr>
      </w:pPr>
      <w:bookmarkStart w:id="0" w:name="bookmark1"/>
      <w:bookmarkEnd w:id="0"/>
      <w:r>
        <w:rPr>
          <w:b/>
          <w:bCs/>
          <w:spacing w:val="-40"/>
          <w:sz w:val="43"/>
          <w:szCs w:val="43"/>
        </w:rPr>
        <w:t>目</w:t>
      </w:r>
      <w:r>
        <w:rPr>
          <w:spacing w:val="45"/>
          <w:sz w:val="43"/>
          <w:szCs w:val="43"/>
        </w:rPr>
        <w:t xml:space="preserve">  </w:t>
      </w:r>
      <w:r>
        <w:rPr>
          <w:b/>
          <w:bCs/>
          <w:spacing w:val="-40"/>
          <w:sz w:val="43"/>
          <w:szCs w:val="43"/>
        </w:rPr>
        <w:t>录</w:t>
      </w:r>
    </w:p>
    <w:p w14:paraId="3182B165">
      <w:pPr>
        <w:spacing w:before="124" w:line="450" w:lineRule="exact"/>
        <w:ind w:firstLine="9166"/>
      </w:pPr>
      <w:r>
        <w:rPr>
          <w:position w:val="-8"/>
        </w:rPr>
        <w:drawing>
          <wp:inline distT="0" distB="0" distL="0" distR="0">
            <wp:extent cx="355600" cy="285115"/>
            <wp:effectExtent l="0" t="0" r="0" b="0"/>
            <wp:docPr id="58" name="IM 58"/>
            <wp:cNvGraphicFramePr/>
            <a:graphic xmlns:a="http://schemas.openxmlformats.org/drawingml/2006/main">
              <a:graphicData uri="http://schemas.openxmlformats.org/drawingml/2006/picture">
                <pic:pic xmlns:pic="http://schemas.openxmlformats.org/drawingml/2006/picture">
                  <pic:nvPicPr>
                    <pic:cNvPr id="58" name="IM 58"/>
                    <pic:cNvPicPr/>
                  </pic:nvPicPr>
                  <pic:blipFill>
                    <a:blip r:embed="rId425"/>
                    <a:stretch>
                      <a:fillRect/>
                    </a:stretch>
                  </pic:blipFill>
                  <pic:spPr>
                    <a:xfrm>
                      <a:off x="0" y="0"/>
                      <a:ext cx="355609" cy="285708"/>
                    </a:xfrm>
                    <a:prstGeom prst="rect">
                      <a:avLst/>
                    </a:prstGeom>
                  </pic:spPr>
                </pic:pic>
              </a:graphicData>
            </a:graphic>
          </wp:inline>
        </w:drawing>
      </w:r>
    </w:p>
    <w:p w14:paraId="1D4F24E1">
      <w:pPr>
        <w:spacing w:line="249" w:lineRule="auto"/>
        <w:rPr>
          <w:rFonts w:ascii="Arial"/>
          <w:sz w:val="21"/>
        </w:rPr>
      </w:pPr>
    </w:p>
    <w:p w14:paraId="68617E11">
      <w:pPr>
        <w:spacing w:line="250" w:lineRule="auto"/>
        <w:rPr>
          <w:rFonts w:ascii="Arial"/>
          <w:sz w:val="21"/>
        </w:rPr>
      </w:pPr>
    </w:p>
    <w:sdt>
      <w:sdtPr>
        <w:rPr>
          <w:rFonts w:ascii="黑体" w:hAnsi="黑体" w:eastAsia="黑体" w:cs="黑体"/>
          <w:sz w:val="22"/>
          <w:szCs w:val="22"/>
        </w:rPr>
        <w:id w:val="81357579"/>
        <w:docPartObj>
          <w:docPartGallery w:val="Table of Contents"/>
          <w:docPartUnique/>
        </w:docPartObj>
      </w:sdtPr>
      <w:sdtEndPr>
        <w:rPr>
          <w:rFonts w:ascii="Times New Roman" w:hAnsi="Times New Roman" w:eastAsia="Times New Roman" w:cs="Times New Roman"/>
          <w:sz w:val="22"/>
          <w:szCs w:val="22"/>
        </w:rPr>
      </w:sdtEndPr>
      <w:sdtContent>
        <w:p w14:paraId="3CC5B72D">
          <w:pPr>
            <w:pStyle w:val="2"/>
            <w:tabs>
              <w:tab w:val="right" w:leader="dot" w:pos="9150"/>
            </w:tabs>
            <w:spacing w:before="72" w:line="222" w:lineRule="auto"/>
            <w:rPr>
              <w:rFonts w:ascii="Times New Roman" w:hAnsi="Times New Roman" w:eastAsia="Times New Roman" w:cs="Times New Roman"/>
              <w:sz w:val="22"/>
              <w:szCs w:val="22"/>
            </w:rPr>
          </w:pPr>
          <w:r>
            <w:fldChar w:fldCharType="begin"/>
          </w:r>
          <w:r>
            <w:instrText xml:space="preserve"> HYPERLINK \l "bookmark2" </w:instrText>
          </w:r>
          <w:r>
            <w:fldChar w:fldCharType="separate"/>
          </w:r>
          <w:r>
            <w:rPr>
              <w:b/>
              <w:bCs/>
              <w:spacing w:val="-12"/>
              <w:sz w:val="22"/>
              <w:szCs w:val="22"/>
            </w:rPr>
            <w:t>第</w:t>
          </w:r>
          <w:r>
            <w:rPr>
              <w:spacing w:val="-28"/>
              <w:sz w:val="22"/>
              <w:szCs w:val="22"/>
            </w:rPr>
            <w:t xml:space="preserve"> </w:t>
          </w:r>
          <w:r>
            <w:rPr>
              <w:b/>
              <w:bCs/>
              <w:spacing w:val="-12"/>
              <w:sz w:val="22"/>
              <w:szCs w:val="22"/>
            </w:rPr>
            <w:t>一</w:t>
          </w:r>
          <w:r>
            <w:rPr>
              <w:spacing w:val="-30"/>
              <w:sz w:val="22"/>
              <w:szCs w:val="22"/>
            </w:rPr>
            <w:t xml:space="preserve"> </w:t>
          </w:r>
          <w:r>
            <w:rPr>
              <w:b/>
              <w:bCs/>
              <w:spacing w:val="-12"/>
              <w:sz w:val="22"/>
              <w:szCs w:val="22"/>
            </w:rPr>
            <w:t>章</w:t>
          </w:r>
          <w:r>
            <w:rPr>
              <w:spacing w:val="7"/>
              <w:sz w:val="22"/>
              <w:szCs w:val="22"/>
            </w:rPr>
            <w:t xml:space="preserve">  </w:t>
          </w:r>
          <w:r>
            <w:rPr>
              <w:b/>
              <w:bCs/>
              <w:spacing w:val="-12"/>
              <w:sz w:val="22"/>
              <w:szCs w:val="22"/>
            </w:rPr>
            <w:t>绪</w:t>
          </w:r>
          <w:r>
            <w:rPr>
              <w:spacing w:val="22"/>
              <w:sz w:val="22"/>
              <w:szCs w:val="22"/>
            </w:rPr>
            <w:t xml:space="preserve"> </w:t>
          </w:r>
          <w:r>
            <w:rPr>
              <w:b/>
              <w:bCs/>
              <w:spacing w:val="-12"/>
              <w:sz w:val="22"/>
              <w:szCs w:val="22"/>
            </w:rPr>
            <w:t>论</w:t>
          </w:r>
          <w:r>
            <w:rPr>
              <w:spacing w:val="-84"/>
              <w:sz w:val="22"/>
              <w:szCs w:val="22"/>
            </w:rPr>
            <w:t xml:space="preserve"> </w:t>
          </w:r>
          <w:r>
            <w:rPr>
              <w:sz w:val="22"/>
              <w:szCs w:val="22"/>
            </w:rPr>
            <w:tab/>
          </w:r>
          <w:r>
            <w:rPr>
              <w:rFonts w:ascii="Times New Roman" w:hAnsi="Times New Roman" w:eastAsia="Times New Roman" w:cs="Times New Roman"/>
              <w:sz w:val="22"/>
              <w:szCs w:val="22"/>
            </w:rPr>
            <w:t>1</w:t>
          </w:r>
          <w:r>
            <w:rPr>
              <w:rFonts w:ascii="Times New Roman" w:hAnsi="Times New Roman" w:eastAsia="Times New Roman" w:cs="Times New Roman"/>
              <w:sz w:val="22"/>
              <w:szCs w:val="22"/>
            </w:rPr>
            <w:fldChar w:fldCharType="end"/>
          </w:r>
        </w:p>
        <w:p w14:paraId="46DFB9E2">
          <w:pPr>
            <w:pStyle w:val="2"/>
            <w:tabs>
              <w:tab w:val="right" w:leader="dot" w:pos="9200"/>
            </w:tabs>
            <w:spacing w:before="128" w:line="221" w:lineRule="auto"/>
            <w:ind w:left="1036"/>
            <w:rPr>
              <w:rFonts w:ascii="Times New Roman" w:hAnsi="Times New Roman" w:eastAsia="Times New Roman" w:cs="Times New Roman"/>
              <w:sz w:val="22"/>
              <w:szCs w:val="22"/>
            </w:rPr>
          </w:pPr>
          <w:r>
            <w:fldChar w:fldCharType="begin"/>
          </w:r>
          <w:r>
            <w:instrText xml:space="preserve"> HYPERLINK \l "bookmark3" </w:instrText>
          </w:r>
          <w:r>
            <w:fldChar w:fldCharType="separate"/>
          </w:r>
          <w:r>
            <w:rPr>
              <w:spacing w:val="11"/>
              <w:sz w:val="22"/>
              <w:szCs w:val="22"/>
            </w:rPr>
            <w:t>第一节 流行病学简史</w:t>
          </w:r>
          <w:r>
            <w:rPr>
              <w:spacing w:val="-82"/>
              <w:sz w:val="22"/>
              <w:szCs w:val="22"/>
            </w:rPr>
            <w:t xml:space="preserve"> </w:t>
          </w:r>
          <w:r>
            <w:rPr>
              <w:sz w:val="22"/>
              <w:szCs w:val="22"/>
            </w:rPr>
            <w:tab/>
          </w:r>
          <w:r>
            <w:rPr>
              <w:rFonts w:ascii="Times New Roman" w:hAnsi="Times New Roman" w:eastAsia="Times New Roman" w:cs="Times New Roman"/>
              <w:sz w:val="22"/>
              <w:szCs w:val="22"/>
            </w:rPr>
            <w:t>1</w:t>
          </w:r>
          <w:r>
            <w:rPr>
              <w:rFonts w:ascii="Times New Roman" w:hAnsi="Times New Roman" w:eastAsia="Times New Roman" w:cs="Times New Roman"/>
              <w:sz w:val="22"/>
              <w:szCs w:val="22"/>
            </w:rPr>
            <w:fldChar w:fldCharType="end"/>
          </w:r>
        </w:p>
        <w:p w14:paraId="01B66D33">
          <w:pPr>
            <w:pStyle w:val="2"/>
            <w:tabs>
              <w:tab w:val="right" w:leader="dot" w:pos="9060"/>
            </w:tabs>
            <w:spacing w:before="116" w:line="221" w:lineRule="auto"/>
            <w:ind w:left="1456"/>
            <w:rPr>
              <w:rFonts w:ascii="Times New Roman" w:hAnsi="Times New Roman" w:eastAsia="Times New Roman" w:cs="Times New Roman"/>
              <w:sz w:val="22"/>
              <w:szCs w:val="22"/>
            </w:rPr>
          </w:pPr>
          <w:r>
            <w:fldChar w:fldCharType="begin"/>
          </w:r>
          <w:r>
            <w:instrText xml:space="preserve"> HYPERLINK \l "bookmark4" </w:instrText>
          </w:r>
          <w:r>
            <w:fldChar w:fldCharType="separate"/>
          </w:r>
          <w:r>
            <w:rPr>
              <w:spacing w:val="-4"/>
              <w:sz w:val="22"/>
              <w:szCs w:val="22"/>
            </w:rPr>
            <w:t>一</w:t>
          </w:r>
          <w:r>
            <w:rPr>
              <w:spacing w:val="-48"/>
              <w:sz w:val="22"/>
              <w:szCs w:val="22"/>
            </w:rPr>
            <w:t xml:space="preserve"> </w:t>
          </w:r>
          <w:r>
            <w:rPr>
              <w:spacing w:val="-4"/>
              <w:sz w:val="22"/>
              <w:szCs w:val="22"/>
            </w:rPr>
            <w:t>、流行病学发展史</w:t>
          </w:r>
          <w:r>
            <w:rPr>
              <w:spacing w:val="-87"/>
              <w:sz w:val="22"/>
              <w:szCs w:val="22"/>
            </w:rPr>
            <w:t xml:space="preserve"> </w:t>
          </w:r>
          <w:r>
            <w:rPr>
              <w:sz w:val="22"/>
              <w:szCs w:val="22"/>
            </w:rPr>
            <w:tab/>
          </w:r>
          <w:r>
            <w:rPr>
              <w:rFonts w:ascii="Times New Roman" w:hAnsi="Times New Roman" w:eastAsia="Times New Roman" w:cs="Times New Roman"/>
              <w:sz w:val="22"/>
              <w:szCs w:val="22"/>
            </w:rPr>
            <w:t>1</w:t>
          </w:r>
          <w:r>
            <w:rPr>
              <w:rFonts w:ascii="Times New Roman" w:hAnsi="Times New Roman" w:eastAsia="Times New Roman" w:cs="Times New Roman"/>
              <w:sz w:val="22"/>
              <w:szCs w:val="22"/>
            </w:rPr>
            <w:fldChar w:fldCharType="end"/>
          </w:r>
        </w:p>
        <w:p w14:paraId="6B83A4F0">
          <w:pPr>
            <w:pStyle w:val="2"/>
            <w:tabs>
              <w:tab w:val="right" w:leader="dot" w:pos="9177"/>
            </w:tabs>
            <w:spacing w:before="116" w:line="221" w:lineRule="auto"/>
            <w:ind w:left="1456"/>
            <w:rPr>
              <w:rFonts w:ascii="Times New Roman" w:hAnsi="Times New Roman" w:eastAsia="Times New Roman" w:cs="Times New Roman"/>
              <w:sz w:val="22"/>
              <w:szCs w:val="22"/>
            </w:rPr>
          </w:pPr>
          <w:r>
            <w:fldChar w:fldCharType="begin"/>
          </w:r>
          <w:r>
            <w:instrText xml:space="preserve"> HYPERLINK \l "bookmark5" </w:instrText>
          </w:r>
          <w:r>
            <w:fldChar w:fldCharType="separate"/>
          </w:r>
          <w:r>
            <w:rPr>
              <w:spacing w:val="-6"/>
              <w:sz w:val="22"/>
              <w:szCs w:val="22"/>
            </w:rPr>
            <w:t>二</w:t>
          </w:r>
          <w:r>
            <w:rPr>
              <w:spacing w:val="-39"/>
              <w:sz w:val="22"/>
              <w:szCs w:val="22"/>
            </w:rPr>
            <w:t xml:space="preserve"> </w:t>
          </w:r>
          <w:r>
            <w:rPr>
              <w:spacing w:val="-6"/>
              <w:sz w:val="22"/>
              <w:szCs w:val="22"/>
            </w:rPr>
            <w:t>、我国流行病学的成就</w:t>
          </w:r>
          <w:r>
            <w:rPr>
              <w:spacing w:val="-86"/>
              <w:sz w:val="22"/>
              <w:szCs w:val="22"/>
            </w:rPr>
            <w:t xml:space="preserve"> </w:t>
          </w:r>
          <w:r>
            <w:rPr>
              <w:sz w:val="22"/>
              <w:szCs w:val="22"/>
            </w:rPr>
            <w:tab/>
          </w:r>
          <w:r>
            <w:rPr>
              <w:rFonts w:ascii="Times New Roman" w:hAnsi="Times New Roman" w:eastAsia="Times New Roman" w:cs="Times New Roman"/>
              <w:sz w:val="22"/>
              <w:szCs w:val="22"/>
            </w:rPr>
            <w:t>3</w:t>
          </w:r>
          <w:r>
            <w:rPr>
              <w:rFonts w:ascii="Times New Roman" w:hAnsi="Times New Roman" w:eastAsia="Times New Roman" w:cs="Times New Roman"/>
              <w:sz w:val="22"/>
              <w:szCs w:val="22"/>
            </w:rPr>
            <w:fldChar w:fldCharType="end"/>
          </w:r>
        </w:p>
        <w:p w14:paraId="0BE4F642">
          <w:pPr>
            <w:pStyle w:val="2"/>
            <w:tabs>
              <w:tab w:val="right" w:leader="dot" w:pos="9162"/>
            </w:tabs>
            <w:spacing w:before="106" w:line="221" w:lineRule="auto"/>
            <w:ind w:left="1036"/>
            <w:rPr>
              <w:rFonts w:ascii="Times New Roman" w:hAnsi="Times New Roman" w:eastAsia="Times New Roman" w:cs="Times New Roman"/>
              <w:sz w:val="22"/>
              <w:szCs w:val="22"/>
            </w:rPr>
          </w:pPr>
          <w:r>
            <w:fldChar w:fldCharType="begin"/>
          </w:r>
          <w:r>
            <w:instrText xml:space="preserve"> HYPERLINK \l "bookmark6" </w:instrText>
          </w:r>
          <w:r>
            <w:fldChar w:fldCharType="separate"/>
          </w:r>
          <w:r>
            <w:rPr>
              <w:spacing w:val="9"/>
              <w:sz w:val="22"/>
              <w:szCs w:val="22"/>
            </w:rPr>
            <w:t>第二节</w:t>
          </w:r>
          <w:r>
            <w:rPr>
              <w:spacing w:val="31"/>
              <w:sz w:val="22"/>
              <w:szCs w:val="22"/>
            </w:rPr>
            <w:t xml:space="preserve"> </w:t>
          </w:r>
          <w:r>
            <w:rPr>
              <w:spacing w:val="9"/>
              <w:sz w:val="22"/>
              <w:szCs w:val="22"/>
            </w:rPr>
            <w:t>流行病学的定义</w:t>
          </w:r>
          <w:r>
            <w:rPr>
              <w:spacing w:val="-93"/>
              <w:sz w:val="22"/>
              <w:szCs w:val="22"/>
            </w:rPr>
            <w:t xml:space="preserve"> </w:t>
          </w:r>
          <w:r>
            <w:rPr>
              <w:sz w:val="22"/>
              <w:szCs w:val="22"/>
            </w:rPr>
            <w:tab/>
          </w:r>
          <w:r>
            <w:rPr>
              <w:spacing w:val="-16"/>
              <w:sz w:val="22"/>
              <w:szCs w:val="22"/>
            </w:rPr>
            <w:t xml:space="preserve"> </w:t>
          </w:r>
          <w:r>
            <w:rPr>
              <w:rFonts w:ascii="Times New Roman" w:hAnsi="Times New Roman" w:eastAsia="Times New Roman" w:cs="Times New Roman"/>
              <w:sz w:val="22"/>
              <w:szCs w:val="22"/>
            </w:rPr>
            <w:t>4</w:t>
          </w:r>
          <w:r>
            <w:rPr>
              <w:rFonts w:ascii="Times New Roman" w:hAnsi="Times New Roman" w:eastAsia="Times New Roman" w:cs="Times New Roman"/>
              <w:sz w:val="22"/>
              <w:szCs w:val="22"/>
            </w:rPr>
            <w:fldChar w:fldCharType="end"/>
          </w:r>
        </w:p>
        <w:p w14:paraId="78CE269E">
          <w:pPr>
            <w:pStyle w:val="2"/>
            <w:tabs>
              <w:tab w:val="right" w:leader="dot" w:pos="9172"/>
            </w:tabs>
            <w:spacing w:before="127" w:line="221" w:lineRule="auto"/>
            <w:ind w:left="1456"/>
            <w:rPr>
              <w:rFonts w:ascii="Times New Roman" w:hAnsi="Times New Roman" w:eastAsia="Times New Roman" w:cs="Times New Roman"/>
              <w:sz w:val="22"/>
              <w:szCs w:val="22"/>
            </w:rPr>
          </w:pPr>
          <w:r>
            <w:fldChar w:fldCharType="begin"/>
          </w:r>
          <w:r>
            <w:instrText xml:space="preserve"> HYPERLINK \l "bookmark7" </w:instrText>
          </w:r>
          <w:r>
            <w:fldChar w:fldCharType="separate"/>
          </w:r>
          <w:r>
            <w:rPr>
              <w:spacing w:val="-5"/>
              <w:sz w:val="22"/>
              <w:szCs w:val="22"/>
            </w:rPr>
            <w:t>一</w:t>
          </w:r>
          <w:r>
            <w:rPr>
              <w:spacing w:val="-43"/>
              <w:sz w:val="22"/>
              <w:szCs w:val="22"/>
            </w:rPr>
            <w:t xml:space="preserve"> </w:t>
          </w:r>
          <w:r>
            <w:rPr>
              <w:spacing w:val="-5"/>
              <w:sz w:val="22"/>
              <w:szCs w:val="22"/>
            </w:rPr>
            <w:t>、流行病学定义的演变</w:t>
          </w:r>
          <w:r>
            <w:rPr>
              <w:spacing w:val="-93"/>
              <w:sz w:val="22"/>
              <w:szCs w:val="22"/>
            </w:rPr>
            <w:t xml:space="preserve"> </w:t>
          </w:r>
          <w:r>
            <w:rPr>
              <w:sz w:val="22"/>
              <w:szCs w:val="22"/>
            </w:rPr>
            <w:tab/>
          </w:r>
          <w:r>
            <w:rPr>
              <w:rFonts w:ascii="Times New Roman" w:hAnsi="Times New Roman" w:eastAsia="Times New Roman" w:cs="Times New Roman"/>
              <w:spacing w:val="2"/>
              <w:sz w:val="22"/>
              <w:szCs w:val="22"/>
            </w:rPr>
            <w:t>4</w:t>
          </w:r>
          <w:r>
            <w:rPr>
              <w:rFonts w:ascii="Times New Roman" w:hAnsi="Times New Roman" w:eastAsia="Times New Roman" w:cs="Times New Roman"/>
              <w:spacing w:val="2"/>
              <w:sz w:val="22"/>
              <w:szCs w:val="22"/>
            </w:rPr>
            <w:fldChar w:fldCharType="end"/>
          </w:r>
        </w:p>
        <w:p w14:paraId="04829A13">
          <w:pPr>
            <w:pStyle w:val="2"/>
            <w:tabs>
              <w:tab w:val="right" w:leader="dot" w:pos="9165"/>
            </w:tabs>
            <w:spacing w:before="106" w:line="221" w:lineRule="auto"/>
            <w:ind w:left="1456"/>
            <w:rPr>
              <w:rFonts w:ascii="Times New Roman" w:hAnsi="Times New Roman" w:eastAsia="Times New Roman" w:cs="Times New Roman"/>
              <w:sz w:val="22"/>
              <w:szCs w:val="22"/>
            </w:rPr>
          </w:pPr>
          <w:r>
            <w:fldChar w:fldCharType="begin"/>
          </w:r>
          <w:r>
            <w:instrText xml:space="preserve"> HYPERLINK \l "bookmark8" </w:instrText>
          </w:r>
          <w:r>
            <w:fldChar w:fldCharType="separate"/>
          </w:r>
          <w:r>
            <w:rPr>
              <w:spacing w:val="-5"/>
              <w:sz w:val="22"/>
              <w:szCs w:val="22"/>
            </w:rPr>
            <w:t>二</w:t>
          </w:r>
          <w:r>
            <w:rPr>
              <w:spacing w:val="-38"/>
              <w:sz w:val="22"/>
              <w:szCs w:val="22"/>
            </w:rPr>
            <w:t xml:space="preserve"> </w:t>
          </w:r>
          <w:r>
            <w:rPr>
              <w:spacing w:val="-5"/>
              <w:sz w:val="22"/>
              <w:szCs w:val="22"/>
            </w:rPr>
            <w:t>、现代流行病学定义的诠释</w:t>
          </w:r>
          <w:r>
            <w:rPr>
              <w:spacing w:val="-98"/>
              <w:sz w:val="22"/>
              <w:szCs w:val="22"/>
            </w:rPr>
            <w:t xml:space="preserve"> </w:t>
          </w:r>
          <w:r>
            <w:rPr>
              <w:sz w:val="22"/>
              <w:szCs w:val="22"/>
            </w:rPr>
            <w:tab/>
          </w:r>
          <w:r>
            <w:rPr>
              <w:rFonts w:ascii="Times New Roman" w:hAnsi="Times New Roman" w:eastAsia="Times New Roman" w:cs="Times New Roman"/>
              <w:sz w:val="22"/>
              <w:szCs w:val="22"/>
            </w:rPr>
            <w:t>5</w:t>
          </w:r>
          <w:r>
            <w:rPr>
              <w:rFonts w:ascii="Times New Roman" w:hAnsi="Times New Roman" w:eastAsia="Times New Roman" w:cs="Times New Roman"/>
              <w:sz w:val="22"/>
              <w:szCs w:val="22"/>
            </w:rPr>
            <w:fldChar w:fldCharType="end"/>
          </w:r>
        </w:p>
        <w:p w14:paraId="74BC8F8A">
          <w:pPr>
            <w:pStyle w:val="2"/>
            <w:tabs>
              <w:tab w:val="right" w:leader="dot" w:pos="9165"/>
            </w:tabs>
            <w:spacing w:before="117" w:line="221" w:lineRule="auto"/>
            <w:ind w:left="1036"/>
            <w:rPr>
              <w:rFonts w:ascii="Times New Roman" w:hAnsi="Times New Roman" w:eastAsia="Times New Roman" w:cs="Times New Roman"/>
              <w:sz w:val="22"/>
              <w:szCs w:val="22"/>
            </w:rPr>
          </w:pPr>
          <w:r>
            <w:fldChar w:fldCharType="begin"/>
          </w:r>
          <w:r>
            <w:instrText xml:space="preserve"> HYPERLINK \l "bookmark9" </w:instrText>
          </w:r>
          <w:r>
            <w:fldChar w:fldCharType="separate"/>
          </w:r>
          <w:r>
            <w:rPr>
              <w:spacing w:val="8"/>
              <w:sz w:val="22"/>
              <w:szCs w:val="22"/>
            </w:rPr>
            <w:t>第三节 流行病学的原理和应用</w:t>
          </w:r>
          <w:r>
            <w:rPr>
              <w:sz w:val="22"/>
              <w:szCs w:val="22"/>
            </w:rPr>
            <w:tab/>
          </w:r>
          <w:r>
            <w:rPr>
              <w:rFonts w:ascii="Times New Roman" w:hAnsi="Times New Roman" w:eastAsia="Times New Roman" w:cs="Times New Roman"/>
              <w:sz w:val="22"/>
              <w:szCs w:val="22"/>
            </w:rPr>
            <w:t>5</w:t>
          </w:r>
          <w:r>
            <w:rPr>
              <w:rFonts w:ascii="Times New Roman" w:hAnsi="Times New Roman" w:eastAsia="Times New Roman" w:cs="Times New Roman"/>
              <w:sz w:val="22"/>
              <w:szCs w:val="22"/>
            </w:rPr>
            <w:fldChar w:fldCharType="end"/>
          </w:r>
        </w:p>
        <w:p w14:paraId="2678DE50">
          <w:pPr>
            <w:pStyle w:val="2"/>
            <w:tabs>
              <w:tab w:val="right" w:leader="dot" w:pos="9165"/>
            </w:tabs>
            <w:spacing w:before="109" w:line="223" w:lineRule="auto"/>
            <w:ind w:left="1456"/>
            <w:rPr>
              <w:rFonts w:ascii="Times New Roman" w:hAnsi="Times New Roman" w:eastAsia="Times New Roman" w:cs="Times New Roman"/>
              <w:sz w:val="22"/>
              <w:szCs w:val="22"/>
            </w:rPr>
          </w:pPr>
          <w:r>
            <w:fldChar w:fldCharType="begin"/>
          </w:r>
          <w:r>
            <w:instrText xml:space="preserve"> HYPERLINK \l "bookmark10" </w:instrText>
          </w:r>
          <w:r>
            <w:fldChar w:fldCharType="separate"/>
          </w:r>
          <w:r>
            <w:rPr>
              <w:spacing w:val="-11"/>
              <w:sz w:val="22"/>
              <w:szCs w:val="22"/>
            </w:rPr>
            <w:t>一</w:t>
          </w:r>
          <w:r>
            <w:rPr>
              <w:spacing w:val="-37"/>
              <w:sz w:val="22"/>
              <w:szCs w:val="22"/>
            </w:rPr>
            <w:t xml:space="preserve"> </w:t>
          </w:r>
          <w:r>
            <w:rPr>
              <w:spacing w:val="-11"/>
              <w:sz w:val="22"/>
              <w:szCs w:val="22"/>
            </w:rPr>
            <w:t>、基本原理</w:t>
          </w:r>
          <w:r>
            <w:rPr>
              <w:spacing w:val="-98"/>
              <w:sz w:val="22"/>
              <w:szCs w:val="22"/>
            </w:rPr>
            <w:t xml:space="preserve"> </w:t>
          </w:r>
          <w:r>
            <w:rPr>
              <w:sz w:val="22"/>
              <w:szCs w:val="22"/>
            </w:rPr>
            <w:tab/>
          </w:r>
          <w:r>
            <w:rPr>
              <w:rFonts w:ascii="Times New Roman" w:hAnsi="Times New Roman" w:eastAsia="Times New Roman" w:cs="Times New Roman"/>
              <w:sz w:val="22"/>
              <w:szCs w:val="22"/>
            </w:rPr>
            <w:t>5</w:t>
          </w:r>
          <w:r>
            <w:rPr>
              <w:rFonts w:ascii="Times New Roman" w:hAnsi="Times New Roman" w:eastAsia="Times New Roman" w:cs="Times New Roman"/>
              <w:sz w:val="22"/>
              <w:szCs w:val="22"/>
            </w:rPr>
            <w:fldChar w:fldCharType="end"/>
          </w:r>
        </w:p>
        <w:p w14:paraId="37FD7B1B">
          <w:pPr>
            <w:pStyle w:val="2"/>
            <w:tabs>
              <w:tab w:val="right" w:leader="dot" w:pos="9167"/>
            </w:tabs>
            <w:spacing w:before="113" w:line="222" w:lineRule="auto"/>
            <w:ind w:left="1456"/>
            <w:rPr>
              <w:rFonts w:ascii="Times New Roman" w:hAnsi="Times New Roman" w:eastAsia="Times New Roman" w:cs="Times New Roman"/>
              <w:sz w:val="22"/>
              <w:szCs w:val="22"/>
            </w:rPr>
          </w:pPr>
          <w:r>
            <w:fldChar w:fldCharType="begin"/>
          </w:r>
          <w:r>
            <w:instrText xml:space="preserve"> HYPERLINK \l "bookmark11" </w:instrText>
          </w:r>
          <w:r>
            <w:fldChar w:fldCharType="separate"/>
          </w:r>
          <w:r>
            <w:rPr>
              <w:spacing w:val="-7"/>
              <w:sz w:val="22"/>
              <w:szCs w:val="22"/>
            </w:rPr>
            <w:t>二</w:t>
          </w:r>
          <w:r>
            <w:rPr>
              <w:spacing w:val="-38"/>
              <w:sz w:val="22"/>
              <w:szCs w:val="22"/>
            </w:rPr>
            <w:t xml:space="preserve"> </w:t>
          </w:r>
          <w:r>
            <w:rPr>
              <w:spacing w:val="-7"/>
              <w:sz w:val="22"/>
              <w:szCs w:val="22"/>
            </w:rPr>
            <w:t>、实际应用</w:t>
          </w:r>
          <w:r>
            <w:rPr>
              <w:sz w:val="22"/>
              <w:szCs w:val="22"/>
            </w:rPr>
            <w:tab/>
          </w:r>
          <w:r>
            <w:rPr>
              <w:rFonts w:ascii="Times New Roman" w:hAnsi="Times New Roman" w:eastAsia="Times New Roman" w:cs="Times New Roman"/>
              <w:sz w:val="22"/>
              <w:szCs w:val="22"/>
            </w:rPr>
            <w:t>6</w:t>
          </w:r>
          <w:r>
            <w:rPr>
              <w:rFonts w:ascii="Times New Roman" w:hAnsi="Times New Roman" w:eastAsia="Times New Roman" w:cs="Times New Roman"/>
              <w:sz w:val="22"/>
              <w:szCs w:val="22"/>
            </w:rPr>
            <w:fldChar w:fldCharType="end"/>
          </w:r>
        </w:p>
        <w:p w14:paraId="6F9FEE8B">
          <w:pPr>
            <w:pStyle w:val="2"/>
            <w:tabs>
              <w:tab w:val="right" w:leader="dot" w:pos="9177"/>
            </w:tabs>
            <w:spacing w:before="115" w:line="221" w:lineRule="auto"/>
            <w:ind w:left="1036"/>
            <w:rPr>
              <w:rFonts w:ascii="Times New Roman" w:hAnsi="Times New Roman" w:eastAsia="Times New Roman" w:cs="Times New Roman"/>
              <w:sz w:val="22"/>
              <w:szCs w:val="22"/>
            </w:rPr>
          </w:pPr>
          <w:r>
            <w:fldChar w:fldCharType="begin"/>
          </w:r>
          <w:r>
            <w:instrText xml:space="preserve"> HYPERLINK \l "bookmark12" </w:instrText>
          </w:r>
          <w:r>
            <w:fldChar w:fldCharType="separate"/>
          </w:r>
          <w:r>
            <w:rPr>
              <w:spacing w:val="8"/>
              <w:sz w:val="22"/>
              <w:szCs w:val="22"/>
            </w:rPr>
            <w:t>第四节 流行病学研究方法</w:t>
          </w:r>
          <w:r>
            <w:rPr>
              <w:spacing w:val="-87"/>
              <w:sz w:val="22"/>
              <w:szCs w:val="22"/>
            </w:rPr>
            <w:t xml:space="preserve"> </w:t>
          </w:r>
          <w:r>
            <w:rPr>
              <w:sz w:val="22"/>
              <w:szCs w:val="22"/>
            </w:rPr>
            <w:tab/>
          </w:r>
          <w:r>
            <w:rPr>
              <w:rFonts w:ascii="Times New Roman" w:hAnsi="Times New Roman" w:eastAsia="Times New Roman" w:cs="Times New Roman"/>
              <w:sz w:val="22"/>
              <w:szCs w:val="22"/>
            </w:rPr>
            <w:t>7</w:t>
          </w:r>
          <w:r>
            <w:rPr>
              <w:rFonts w:ascii="Times New Roman" w:hAnsi="Times New Roman" w:eastAsia="Times New Roman" w:cs="Times New Roman"/>
              <w:sz w:val="22"/>
              <w:szCs w:val="22"/>
            </w:rPr>
            <w:fldChar w:fldCharType="end"/>
          </w:r>
        </w:p>
        <w:p w14:paraId="2BCE69F7">
          <w:pPr>
            <w:pStyle w:val="2"/>
            <w:tabs>
              <w:tab w:val="right" w:leader="dot" w:pos="9222"/>
            </w:tabs>
            <w:spacing w:before="96" w:line="221" w:lineRule="auto"/>
            <w:ind w:left="1036"/>
            <w:rPr>
              <w:rFonts w:ascii="Times New Roman" w:hAnsi="Times New Roman" w:eastAsia="Times New Roman" w:cs="Times New Roman"/>
              <w:sz w:val="22"/>
              <w:szCs w:val="22"/>
            </w:rPr>
          </w:pPr>
          <w:r>
            <w:fldChar w:fldCharType="begin"/>
          </w:r>
          <w:r>
            <w:instrText xml:space="preserve"> HYPERLINK \l "bookmark13" </w:instrText>
          </w:r>
          <w:r>
            <w:fldChar w:fldCharType="separate"/>
          </w:r>
          <w:r>
            <w:rPr>
              <w:spacing w:val="9"/>
              <w:sz w:val="22"/>
              <w:szCs w:val="22"/>
            </w:rPr>
            <w:t>第五节</w:t>
          </w:r>
          <w:r>
            <w:rPr>
              <w:spacing w:val="37"/>
              <w:sz w:val="22"/>
              <w:szCs w:val="22"/>
            </w:rPr>
            <w:t xml:space="preserve"> </w:t>
          </w:r>
          <w:r>
            <w:rPr>
              <w:spacing w:val="9"/>
              <w:sz w:val="22"/>
              <w:szCs w:val="22"/>
            </w:rPr>
            <w:t>流行病学特征</w:t>
          </w:r>
          <w:r>
            <w:rPr>
              <w:spacing w:val="-100"/>
              <w:sz w:val="22"/>
              <w:szCs w:val="22"/>
            </w:rPr>
            <w:t xml:space="preserve"> </w:t>
          </w:r>
          <w:r>
            <w:rPr>
              <w:sz w:val="22"/>
              <w:szCs w:val="22"/>
            </w:rPr>
            <w:tab/>
          </w:r>
          <w:r>
            <w:rPr>
              <w:rFonts w:ascii="Times New Roman" w:hAnsi="Times New Roman" w:eastAsia="Times New Roman" w:cs="Times New Roman"/>
              <w:sz w:val="22"/>
              <w:szCs w:val="22"/>
            </w:rPr>
            <w:t>8</w:t>
          </w:r>
          <w:r>
            <w:rPr>
              <w:rFonts w:ascii="Times New Roman" w:hAnsi="Times New Roman" w:eastAsia="Times New Roman" w:cs="Times New Roman"/>
              <w:sz w:val="22"/>
              <w:szCs w:val="22"/>
            </w:rPr>
            <w:fldChar w:fldCharType="end"/>
          </w:r>
        </w:p>
        <w:p w14:paraId="198214B5">
          <w:pPr>
            <w:pStyle w:val="2"/>
            <w:tabs>
              <w:tab w:val="right" w:leader="dot" w:pos="9167"/>
            </w:tabs>
            <w:spacing w:before="107" w:line="221" w:lineRule="auto"/>
            <w:ind w:left="1036"/>
            <w:rPr>
              <w:rFonts w:ascii="Times New Roman" w:hAnsi="Times New Roman" w:eastAsia="Times New Roman" w:cs="Times New Roman"/>
              <w:sz w:val="22"/>
              <w:szCs w:val="22"/>
            </w:rPr>
          </w:pPr>
          <w:r>
            <w:fldChar w:fldCharType="begin"/>
          </w:r>
          <w:r>
            <w:instrText xml:space="preserve"> HYPERLINK \l "bookmark14" </w:instrText>
          </w:r>
          <w:r>
            <w:fldChar w:fldCharType="separate"/>
          </w:r>
          <w:r>
            <w:rPr>
              <w:spacing w:val="3"/>
              <w:sz w:val="22"/>
              <w:szCs w:val="22"/>
            </w:rPr>
            <w:t>第六节 流行病学与其他学科的关系及流行病学的展望</w:t>
          </w:r>
          <w:r>
            <w:rPr>
              <w:spacing w:val="-93"/>
              <w:sz w:val="22"/>
              <w:szCs w:val="22"/>
            </w:rPr>
            <w:t xml:space="preserve"> </w:t>
          </w:r>
          <w:r>
            <w:rPr>
              <w:sz w:val="22"/>
              <w:szCs w:val="22"/>
            </w:rPr>
            <w:tab/>
          </w:r>
          <w:r>
            <w:rPr>
              <w:rFonts w:ascii="Times New Roman" w:hAnsi="Times New Roman" w:eastAsia="Times New Roman" w:cs="Times New Roman"/>
              <w:sz w:val="22"/>
              <w:szCs w:val="22"/>
            </w:rPr>
            <w:t>9</w:t>
          </w:r>
          <w:r>
            <w:rPr>
              <w:rFonts w:ascii="Times New Roman" w:hAnsi="Times New Roman" w:eastAsia="Times New Roman" w:cs="Times New Roman"/>
              <w:sz w:val="22"/>
              <w:szCs w:val="22"/>
            </w:rPr>
            <w:fldChar w:fldCharType="end"/>
          </w:r>
        </w:p>
        <w:p w14:paraId="3824DB6F">
          <w:pPr>
            <w:pStyle w:val="2"/>
            <w:tabs>
              <w:tab w:val="right" w:leader="dot" w:pos="9177"/>
            </w:tabs>
            <w:spacing w:before="116" w:line="221" w:lineRule="auto"/>
            <w:ind w:left="1456"/>
            <w:rPr>
              <w:rFonts w:ascii="Times New Roman" w:hAnsi="Times New Roman" w:eastAsia="Times New Roman" w:cs="Times New Roman"/>
              <w:sz w:val="22"/>
              <w:szCs w:val="22"/>
            </w:rPr>
          </w:pPr>
          <w:r>
            <w:fldChar w:fldCharType="begin"/>
          </w:r>
          <w:r>
            <w:instrText xml:space="preserve"> HYPERLINK \l "bookmark15" </w:instrText>
          </w:r>
          <w:r>
            <w:fldChar w:fldCharType="separate"/>
          </w:r>
          <w:r>
            <w:rPr>
              <w:spacing w:val="-7"/>
              <w:sz w:val="22"/>
              <w:szCs w:val="22"/>
            </w:rPr>
            <w:t>一</w:t>
          </w:r>
          <w:r>
            <w:rPr>
              <w:spacing w:val="-35"/>
              <w:sz w:val="22"/>
              <w:szCs w:val="22"/>
            </w:rPr>
            <w:t xml:space="preserve"> </w:t>
          </w:r>
          <w:r>
            <w:rPr>
              <w:spacing w:val="-7"/>
              <w:sz w:val="22"/>
              <w:szCs w:val="22"/>
            </w:rPr>
            <w:t>、流行病学与其他学科的关系</w:t>
          </w:r>
          <w:r>
            <w:rPr>
              <w:spacing w:val="-88"/>
              <w:sz w:val="22"/>
              <w:szCs w:val="22"/>
            </w:rPr>
            <w:t xml:space="preserve"> </w:t>
          </w:r>
          <w:r>
            <w:rPr>
              <w:sz w:val="22"/>
              <w:szCs w:val="22"/>
            </w:rPr>
            <w:tab/>
          </w:r>
          <w:r>
            <w:rPr>
              <w:rFonts w:ascii="Times New Roman" w:hAnsi="Times New Roman" w:eastAsia="Times New Roman" w:cs="Times New Roman"/>
              <w:sz w:val="22"/>
              <w:szCs w:val="22"/>
            </w:rPr>
            <w:t>9</w:t>
          </w:r>
          <w:r>
            <w:rPr>
              <w:rFonts w:ascii="Times New Roman" w:hAnsi="Times New Roman" w:eastAsia="Times New Roman" w:cs="Times New Roman"/>
              <w:sz w:val="22"/>
              <w:szCs w:val="22"/>
            </w:rPr>
            <w:fldChar w:fldCharType="end"/>
          </w:r>
        </w:p>
        <w:p w14:paraId="5CA40488">
          <w:pPr>
            <w:pStyle w:val="2"/>
            <w:tabs>
              <w:tab w:val="right" w:leader="dot" w:pos="9177"/>
            </w:tabs>
            <w:spacing w:before="127" w:line="221" w:lineRule="auto"/>
            <w:ind w:left="1456"/>
            <w:rPr>
              <w:rFonts w:ascii="Times New Roman" w:hAnsi="Times New Roman" w:eastAsia="Times New Roman" w:cs="Times New Roman"/>
              <w:sz w:val="22"/>
              <w:szCs w:val="22"/>
            </w:rPr>
          </w:pPr>
          <w:r>
            <w:fldChar w:fldCharType="begin"/>
          </w:r>
          <w:r>
            <w:instrText xml:space="preserve"> HYPERLINK \l "bookmark16" </w:instrText>
          </w:r>
          <w:r>
            <w:fldChar w:fldCharType="separate"/>
          </w:r>
          <w:r>
            <w:rPr>
              <w:spacing w:val="-7"/>
              <w:sz w:val="22"/>
              <w:szCs w:val="22"/>
            </w:rPr>
            <w:t>二</w:t>
          </w:r>
          <w:r>
            <w:rPr>
              <w:spacing w:val="-35"/>
              <w:sz w:val="22"/>
              <w:szCs w:val="22"/>
            </w:rPr>
            <w:t xml:space="preserve"> </w:t>
          </w:r>
          <w:r>
            <w:rPr>
              <w:spacing w:val="-7"/>
              <w:sz w:val="22"/>
              <w:szCs w:val="22"/>
            </w:rPr>
            <w:t>、流行病学面临的挑战和展望</w:t>
          </w:r>
          <w:r>
            <w:rPr>
              <w:spacing w:val="-78"/>
              <w:sz w:val="22"/>
              <w:szCs w:val="22"/>
            </w:rPr>
            <w:t xml:space="preserve"> </w:t>
          </w:r>
          <w:r>
            <w:rPr>
              <w:sz w:val="22"/>
              <w:szCs w:val="22"/>
            </w:rPr>
            <w:tab/>
          </w:r>
          <w:r>
            <w:rPr>
              <w:rFonts w:ascii="Times New Roman" w:hAnsi="Times New Roman" w:eastAsia="Times New Roman" w:cs="Times New Roman"/>
              <w:sz w:val="22"/>
              <w:szCs w:val="22"/>
            </w:rPr>
            <w:t>9</w:t>
          </w:r>
          <w:r>
            <w:rPr>
              <w:rFonts w:ascii="Times New Roman" w:hAnsi="Times New Roman" w:eastAsia="Times New Roman" w:cs="Times New Roman"/>
              <w:sz w:val="22"/>
              <w:szCs w:val="22"/>
            </w:rPr>
            <w:fldChar w:fldCharType="end"/>
          </w:r>
        </w:p>
        <w:p w14:paraId="5931BC10">
          <w:pPr>
            <w:spacing w:line="369" w:lineRule="auto"/>
            <w:rPr>
              <w:rFonts w:ascii="Arial"/>
              <w:sz w:val="21"/>
            </w:rPr>
          </w:pPr>
        </w:p>
        <w:p w14:paraId="351D5715">
          <w:pPr>
            <w:pStyle w:val="2"/>
            <w:tabs>
              <w:tab w:val="right" w:leader="dot" w:pos="9120"/>
            </w:tabs>
            <w:spacing w:before="72" w:line="221" w:lineRule="auto"/>
            <w:rPr>
              <w:rFonts w:ascii="Times New Roman" w:hAnsi="Times New Roman" w:eastAsia="Times New Roman" w:cs="Times New Roman"/>
              <w:sz w:val="22"/>
              <w:szCs w:val="22"/>
            </w:rPr>
          </w:pPr>
          <w:r>
            <w:fldChar w:fldCharType="begin"/>
          </w:r>
          <w:r>
            <w:instrText xml:space="preserve"> HYPERLINK \l "bookmark17" </w:instrText>
          </w:r>
          <w:r>
            <w:fldChar w:fldCharType="separate"/>
          </w:r>
          <w:r>
            <w:rPr>
              <w:b/>
              <w:bCs/>
              <w:spacing w:val="-14"/>
              <w:sz w:val="22"/>
              <w:szCs w:val="22"/>
            </w:rPr>
            <w:t>第</w:t>
          </w:r>
          <w:r>
            <w:rPr>
              <w:spacing w:val="-31"/>
              <w:sz w:val="22"/>
              <w:szCs w:val="22"/>
            </w:rPr>
            <w:t xml:space="preserve"> </w:t>
          </w:r>
          <w:r>
            <w:rPr>
              <w:b/>
              <w:bCs/>
              <w:spacing w:val="-14"/>
              <w:sz w:val="22"/>
              <w:szCs w:val="22"/>
            </w:rPr>
            <w:t>二</w:t>
          </w:r>
          <w:r>
            <w:rPr>
              <w:spacing w:val="-40"/>
              <w:sz w:val="22"/>
              <w:szCs w:val="22"/>
            </w:rPr>
            <w:t xml:space="preserve"> </w:t>
          </w:r>
          <w:r>
            <w:rPr>
              <w:b/>
              <w:bCs/>
              <w:spacing w:val="-14"/>
              <w:sz w:val="22"/>
              <w:szCs w:val="22"/>
            </w:rPr>
            <w:t>章</w:t>
          </w:r>
          <w:r>
            <w:rPr>
              <w:spacing w:val="75"/>
              <w:sz w:val="22"/>
              <w:szCs w:val="22"/>
            </w:rPr>
            <w:t xml:space="preserve"> </w:t>
          </w:r>
          <w:r>
            <w:rPr>
              <w:b/>
              <w:bCs/>
              <w:spacing w:val="-14"/>
              <w:sz w:val="22"/>
              <w:szCs w:val="22"/>
            </w:rPr>
            <w:t>疾</w:t>
          </w:r>
          <w:r>
            <w:rPr>
              <w:spacing w:val="-30"/>
              <w:sz w:val="22"/>
              <w:szCs w:val="22"/>
            </w:rPr>
            <w:t xml:space="preserve"> </w:t>
          </w:r>
          <w:r>
            <w:rPr>
              <w:b/>
              <w:bCs/>
              <w:spacing w:val="-14"/>
              <w:sz w:val="22"/>
              <w:szCs w:val="22"/>
            </w:rPr>
            <w:t>病</w:t>
          </w:r>
          <w:r>
            <w:rPr>
              <w:spacing w:val="-14"/>
              <w:sz w:val="22"/>
              <w:szCs w:val="22"/>
            </w:rPr>
            <w:t xml:space="preserve"> </w:t>
          </w:r>
          <w:r>
            <w:rPr>
              <w:b/>
              <w:bCs/>
              <w:spacing w:val="-14"/>
              <w:sz w:val="22"/>
              <w:szCs w:val="22"/>
            </w:rPr>
            <w:t>的</w:t>
          </w:r>
          <w:r>
            <w:rPr>
              <w:spacing w:val="-22"/>
              <w:sz w:val="22"/>
              <w:szCs w:val="22"/>
            </w:rPr>
            <w:t xml:space="preserve"> </w:t>
          </w:r>
          <w:r>
            <w:rPr>
              <w:b/>
              <w:bCs/>
              <w:spacing w:val="-14"/>
              <w:sz w:val="22"/>
              <w:szCs w:val="22"/>
            </w:rPr>
            <w:t>分</w:t>
          </w:r>
          <w:r>
            <w:rPr>
              <w:spacing w:val="-29"/>
              <w:sz w:val="22"/>
              <w:szCs w:val="22"/>
            </w:rPr>
            <w:t xml:space="preserve"> </w:t>
          </w:r>
          <w:r>
            <w:rPr>
              <w:b/>
              <w:bCs/>
              <w:spacing w:val="-14"/>
              <w:sz w:val="22"/>
              <w:szCs w:val="22"/>
            </w:rPr>
            <w:t>布</w:t>
          </w:r>
          <w:r>
            <w:rPr>
              <w:spacing w:val="-90"/>
              <w:sz w:val="22"/>
              <w:szCs w:val="22"/>
            </w:rPr>
            <w:t xml:space="preserve"> </w:t>
          </w:r>
          <w:r>
            <w:rPr>
              <w:sz w:val="22"/>
              <w:szCs w:val="22"/>
            </w:rPr>
            <w:tab/>
          </w:r>
          <w:r>
            <w:rPr>
              <w:rFonts w:ascii="Times New Roman" w:hAnsi="Times New Roman" w:eastAsia="Times New Roman" w:cs="Times New Roman"/>
              <w:spacing w:val="-5"/>
              <w:sz w:val="22"/>
              <w:szCs w:val="22"/>
            </w:rPr>
            <w:t>11</w:t>
          </w:r>
          <w:r>
            <w:rPr>
              <w:rFonts w:ascii="Times New Roman" w:hAnsi="Times New Roman" w:eastAsia="Times New Roman" w:cs="Times New Roman"/>
              <w:spacing w:val="-5"/>
              <w:sz w:val="22"/>
              <w:szCs w:val="22"/>
            </w:rPr>
            <w:fldChar w:fldCharType="end"/>
          </w:r>
        </w:p>
        <w:p w14:paraId="3757C13F">
          <w:pPr>
            <w:pStyle w:val="2"/>
            <w:tabs>
              <w:tab w:val="right" w:leader="dot" w:pos="9200"/>
            </w:tabs>
            <w:spacing w:before="130" w:line="221" w:lineRule="auto"/>
            <w:ind w:left="1036"/>
            <w:rPr>
              <w:rFonts w:ascii="Times New Roman" w:hAnsi="Times New Roman" w:eastAsia="Times New Roman" w:cs="Times New Roman"/>
              <w:sz w:val="22"/>
              <w:szCs w:val="22"/>
            </w:rPr>
          </w:pPr>
          <w:r>
            <w:fldChar w:fldCharType="begin"/>
          </w:r>
          <w:r>
            <w:instrText xml:space="preserve"> HYPERLINK \l "bookmark18" </w:instrText>
          </w:r>
          <w:r>
            <w:fldChar w:fldCharType="separate"/>
          </w:r>
          <w:r>
            <w:rPr>
              <w:spacing w:val="8"/>
              <w:sz w:val="22"/>
              <w:szCs w:val="22"/>
            </w:rPr>
            <w:t>第一节 疾病频率测量指标</w:t>
          </w:r>
          <w:r>
            <w:rPr>
              <w:spacing w:val="-97"/>
              <w:sz w:val="22"/>
              <w:szCs w:val="22"/>
            </w:rPr>
            <w:t xml:space="preserve"> </w:t>
          </w:r>
          <w:r>
            <w:rPr>
              <w:sz w:val="22"/>
              <w:szCs w:val="22"/>
            </w:rPr>
            <w:tab/>
          </w:r>
          <w:r>
            <w:rPr>
              <w:spacing w:val="-35"/>
              <w:sz w:val="22"/>
              <w:szCs w:val="22"/>
            </w:rPr>
            <w:t xml:space="preserve"> </w:t>
          </w:r>
          <w:r>
            <w:rPr>
              <w:rFonts w:ascii="Times New Roman" w:hAnsi="Times New Roman" w:eastAsia="Times New Roman" w:cs="Times New Roman"/>
              <w:spacing w:val="-7"/>
              <w:sz w:val="22"/>
              <w:szCs w:val="22"/>
            </w:rPr>
            <w:t>11</w:t>
          </w:r>
          <w:r>
            <w:rPr>
              <w:rFonts w:ascii="Times New Roman" w:hAnsi="Times New Roman" w:eastAsia="Times New Roman" w:cs="Times New Roman"/>
              <w:spacing w:val="-7"/>
              <w:sz w:val="22"/>
              <w:szCs w:val="22"/>
            </w:rPr>
            <w:fldChar w:fldCharType="end"/>
          </w:r>
        </w:p>
        <w:p w14:paraId="589EC4A2">
          <w:pPr>
            <w:pStyle w:val="2"/>
            <w:tabs>
              <w:tab w:val="right" w:leader="dot" w:pos="9160"/>
            </w:tabs>
            <w:spacing w:before="137" w:line="221" w:lineRule="auto"/>
            <w:ind w:left="1456"/>
            <w:rPr>
              <w:rFonts w:ascii="Times New Roman" w:hAnsi="Times New Roman" w:eastAsia="Times New Roman" w:cs="Times New Roman"/>
              <w:sz w:val="22"/>
              <w:szCs w:val="22"/>
            </w:rPr>
          </w:pPr>
          <w:r>
            <w:fldChar w:fldCharType="begin"/>
          </w:r>
          <w:r>
            <w:instrText xml:space="preserve"> HYPERLINK \l "bookmark19" </w:instrText>
          </w:r>
          <w:r>
            <w:fldChar w:fldCharType="separate"/>
          </w:r>
          <w:r>
            <w:rPr>
              <w:spacing w:val="-7"/>
              <w:sz w:val="22"/>
              <w:szCs w:val="22"/>
            </w:rPr>
            <w:t>一</w:t>
          </w:r>
          <w:r>
            <w:rPr>
              <w:spacing w:val="-48"/>
              <w:sz w:val="22"/>
              <w:szCs w:val="22"/>
            </w:rPr>
            <w:t xml:space="preserve"> </w:t>
          </w:r>
          <w:r>
            <w:rPr>
              <w:spacing w:val="-7"/>
              <w:sz w:val="22"/>
              <w:szCs w:val="22"/>
            </w:rPr>
            <w:t>、发病频率指标</w:t>
          </w:r>
          <w:r>
            <w:rPr>
              <w:spacing w:val="-87"/>
              <w:sz w:val="22"/>
              <w:szCs w:val="22"/>
            </w:rPr>
            <w:t xml:space="preserve"> </w:t>
          </w:r>
          <w:r>
            <w:rPr>
              <w:sz w:val="22"/>
              <w:szCs w:val="22"/>
            </w:rPr>
            <w:tab/>
          </w:r>
          <w:r>
            <w:rPr>
              <w:rFonts w:ascii="Times New Roman" w:hAnsi="Times New Roman" w:eastAsia="Times New Roman" w:cs="Times New Roman"/>
              <w:spacing w:val="-1"/>
              <w:sz w:val="22"/>
              <w:szCs w:val="22"/>
            </w:rPr>
            <w:t>11</w:t>
          </w:r>
          <w:r>
            <w:rPr>
              <w:rFonts w:ascii="Times New Roman" w:hAnsi="Times New Roman" w:eastAsia="Times New Roman" w:cs="Times New Roman"/>
              <w:spacing w:val="-1"/>
              <w:sz w:val="22"/>
              <w:szCs w:val="22"/>
            </w:rPr>
            <w:fldChar w:fldCharType="end"/>
          </w:r>
        </w:p>
        <w:p w14:paraId="5BE306DE">
          <w:pPr>
            <w:pStyle w:val="2"/>
            <w:tabs>
              <w:tab w:val="right" w:leader="dot" w:pos="9220"/>
            </w:tabs>
            <w:spacing w:before="108" w:line="222" w:lineRule="auto"/>
            <w:ind w:left="1456"/>
            <w:rPr>
              <w:rFonts w:ascii="Times New Roman" w:hAnsi="Times New Roman" w:eastAsia="Times New Roman" w:cs="Times New Roman"/>
              <w:sz w:val="22"/>
              <w:szCs w:val="22"/>
            </w:rPr>
          </w:pPr>
          <w:r>
            <w:fldChar w:fldCharType="begin"/>
          </w:r>
          <w:r>
            <w:instrText xml:space="preserve"> HYPERLINK \l "bookmark20" </w:instrText>
          </w:r>
          <w:r>
            <w:fldChar w:fldCharType="separate"/>
          </w:r>
          <w:r>
            <w:rPr>
              <w:spacing w:val="-9"/>
              <w:sz w:val="22"/>
              <w:szCs w:val="22"/>
            </w:rPr>
            <w:t>二</w:t>
          </w:r>
          <w:r>
            <w:rPr>
              <w:spacing w:val="-33"/>
              <w:sz w:val="22"/>
              <w:szCs w:val="22"/>
            </w:rPr>
            <w:t xml:space="preserve"> </w:t>
          </w:r>
          <w:r>
            <w:rPr>
              <w:spacing w:val="-9"/>
              <w:sz w:val="22"/>
              <w:szCs w:val="22"/>
            </w:rPr>
            <w:t>、患病频率指标</w:t>
          </w:r>
          <w:r>
            <w:rPr>
              <w:spacing w:val="-87"/>
              <w:sz w:val="22"/>
              <w:szCs w:val="22"/>
            </w:rPr>
            <w:t xml:space="preserve"> </w:t>
          </w:r>
          <w:r>
            <w:rPr>
              <w:sz w:val="22"/>
              <w:szCs w:val="22"/>
            </w:rPr>
            <w:tab/>
          </w:r>
          <w:r>
            <w:rPr>
              <w:spacing w:val="-25"/>
              <w:sz w:val="22"/>
              <w:szCs w:val="22"/>
            </w:rPr>
            <w:t xml:space="preserve"> </w:t>
          </w:r>
          <w:r>
            <w:rPr>
              <w:rFonts w:ascii="Times New Roman" w:hAnsi="Times New Roman" w:eastAsia="Times New Roman" w:cs="Times New Roman"/>
              <w:spacing w:val="-7"/>
              <w:sz w:val="22"/>
              <w:szCs w:val="22"/>
            </w:rPr>
            <w:t>12</w:t>
          </w:r>
          <w:r>
            <w:rPr>
              <w:rFonts w:ascii="Times New Roman" w:hAnsi="Times New Roman" w:eastAsia="Times New Roman" w:cs="Times New Roman"/>
              <w:spacing w:val="-7"/>
              <w:sz w:val="22"/>
              <w:szCs w:val="22"/>
            </w:rPr>
            <w:fldChar w:fldCharType="end"/>
          </w:r>
        </w:p>
        <w:p w14:paraId="127F5C61">
          <w:pPr>
            <w:pStyle w:val="2"/>
            <w:tabs>
              <w:tab w:val="right" w:leader="dot" w:pos="9130"/>
            </w:tabs>
            <w:spacing w:before="124" w:line="222" w:lineRule="auto"/>
            <w:ind w:left="1456"/>
            <w:rPr>
              <w:rFonts w:ascii="Times New Roman" w:hAnsi="Times New Roman" w:eastAsia="Times New Roman" w:cs="Times New Roman"/>
              <w:sz w:val="22"/>
              <w:szCs w:val="22"/>
            </w:rPr>
          </w:pPr>
          <w:r>
            <w:fldChar w:fldCharType="begin"/>
          </w:r>
          <w:r>
            <w:instrText xml:space="preserve"> HYPERLINK \l "bookmark1" </w:instrText>
          </w:r>
          <w:r>
            <w:fldChar w:fldCharType="separate"/>
          </w:r>
          <w:r>
            <w:rPr>
              <w:spacing w:val="-6"/>
              <w:sz w:val="22"/>
              <w:szCs w:val="22"/>
            </w:rPr>
            <w:t>三</w:t>
          </w:r>
          <w:r>
            <w:rPr>
              <w:spacing w:val="-39"/>
              <w:sz w:val="22"/>
              <w:szCs w:val="22"/>
            </w:rPr>
            <w:t xml:space="preserve"> </w:t>
          </w:r>
          <w:r>
            <w:rPr>
              <w:spacing w:val="-6"/>
              <w:sz w:val="22"/>
              <w:szCs w:val="22"/>
            </w:rPr>
            <w:t>、死亡与生存频率指标</w:t>
          </w:r>
          <w:r>
            <w:rPr>
              <w:spacing w:val="-86"/>
              <w:sz w:val="22"/>
              <w:szCs w:val="22"/>
            </w:rPr>
            <w:t xml:space="preserve"> </w:t>
          </w:r>
          <w:r>
            <w:rPr>
              <w:sz w:val="22"/>
              <w:szCs w:val="22"/>
            </w:rPr>
            <w:tab/>
          </w:r>
          <w:r>
            <w:rPr>
              <w:rFonts w:ascii="Times New Roman" w:hAnsi="Times New Roman" w:eastAsia="Times New Roman" w:cs="Times New Roman"/>
              <w:spacing w:val="-8"/>
              <w:sz w:val="22"/>
              <w:szCs w:val="22"/>
            </w:rPr>
            <w:t>14</w:t>
          </w:r>
          <w:r>
            <w:rPr>
              <w:rFonts w:ascii="Times New Roman" w:hAnsi="Times New Roman" w:eastAsia="Times New Roman" w:cs="Times New Roman"/>
              <w:spacing w:val="-8"/>
              <w:sz w:val="22"/>
              <w:szCs w:val="22"/>
            </w:rPr>
            <w:fldChar w:fldCharType="end"/>
          </w:r>
        </w:p>
        <w:p w14:paraId="05286236">
          <w:pPr>
            <w:pStyle w:val="2"/>
            <w:tabs>
              <w:tab w:val="right" w:leader="dot" w:pos="9120"/>
            </w:tabs>
            <w:spacing w:before="115" w:line="221" w:lineRule="auto"/>
            <w:ind w:left="1456"/>
            <w:rPr>
              <w:rFonts w:ascii="Times New Roman" w:hAnsi="Times New Roman" w:eastAsia="Times New Roman" w:cs="Times New Roman"/>
              <w:sz w:val="22"/>
              <w:szCs w:val="22"/>
            </w:rPr>
          </w:pPr>
          <w:r>
            <w:fldChar w:fldCharType="begin"/>
          </w:r>
          <w:r>
            <w:instrText xml:space="preserve"> HYPERLINK \l "bookmark21" </w:instrText>
          </w:r>
          <w:r>
            <w:fldChar w:fldCharType="separate"/>
          </w:r>
          <w:r>
            <w:rPr>
              <w:spacing w:val="-11"/>
              <w:sz w:val="22"/>
              <w:szCs w:val="22"/>
            </w:rPr>
            <w:t>四</w:t>
          </w:r>
          <w:r>
            <w:rPr>
              <w:spacing w:val="-37"/>
              <w:sz w:val="22"/>
              <w:szCs w:val="22"/>
            </w:rPr>
            <w:t xml:space="preserve"> </w:t>
          </w:r>
          <w:r>
            <w:rPr>
              <w:spacing w:val="-11"/>
              <w:sz w:val="22"/>
              <w:szCs w:val="22"/>
            </w:rPr>
            <w:t>、疾病负担指标</w:t>
          </w:r>
          <w:r>
            <w:rPr>
              <w:spacing w:val="-86"/>
              <w:sz w:val="22"/>
              <w:szCs w:val="22"/>
            </w:rPr>
            <w:t xml:space="preserve"> </w:t>
          </w:r>
          <w:r>
            <w:rPr>
              <w:sz w:val="22"/>
              <w:szCs w:val="22"/>
            </w:rPr>
            <w:tab/>
          </w:r>
          <w:r>
            <w:rPr>
              <w:rFonts w:ascii="Times New Roman" w:hAnsi="Times New Roman" w:eastAsia="Times New Roman" w:cs="Times New Roman"/>
              <w:spacing w:val="-6"/>
              <w:sz w:val="22"/>
              <w:szCs w:val="22"/>
            </w:rPr>
            <w:t>15</w:t>
          </w:r>
          <w:r>
            <w:rPr>
              <w:rFonts w:ascii="Times New Roman" w:hAnsi="Times New Roman" w:eastAsia="Times New Roman" w:cs="Times New Roman"/>
              <w:spacing w:val="-6"/>
              <w:sz w:val="22"/>
              <w:szCs w:val="22"/>
            </w:rPr>
            <w:fldChar w:fldCharType="end"/>
          </w:r>
        </w:p>
        <w:p w14:paraId="13F7FFF6">
          <w:pPr>
            <w:pStyle w:val="2"/>
            <w:tabs>
              <w:tab w:val="right" w:leader="dot" w:pos="9200"/>
            </w:tabs>
            <w:spacing w:before="107" w:line="221" w:lineRule="auto"/>
            <w:ind w:left="1036"/>
            <w:rPr>
              <w:rFonts w:ascii="Times New Roman" w:hAnsi="Times New Roman" w:eastAsia="Times New Roman" w:cs="Times New Roman"/>
              <w:sz w:val="22"/>
              <w:szCs w:val="22"/>
            </w:rPr>
          </w:pPr>
          <w:r>
            <w:fldChar w:fldCharType="begin"/>
          </w:r>
          <w:r>
            <w:instrText xml:space="preserve"> HYPERLINK \l "bookmark22" </w:instrText>
          </w:r>
          <w:r>
            <w:fldChar w:fldCharType="separate"/>
          </w:r>
          <w:r>
            <w:rPr>
              <w:spacing w:val="13"/>
              <w:sz w:val="22"/>
              <w:szCs w:val="22"/>
            </w:rPr>
            <w:t>第二节 疾病流行强度</w:t>
          </w:r>
          <w:r>
            <w:rPr>
              <w:spacing w:val="-101"/>
              <w:sz w:val="22"/>
              <w:szCs w:val="22"/>
            </w:rPr>
            <w:t xml:space="preserve"> </w:t>
          </w:r>
          <w:r>
            <w:rPr>
              <w:sz w:val="22"/>
              <w:szCs w:val="22"/>
            </w:rPr>
            <w:tab/>
          </w:r>
          <w:r>
            <w:rPr>
              <w:spacing w:val="-65"/>
              <w:sz w:val="22"/>
              <w:szCs w:val="22"/>
            </w:rPr>
            <w:t xml:space="preserve"> </w:t>
          </w:r>
          <w:r>
            <w:rPr>
              <w:rFonts w:ascii="Times New Roman" w:hAnsi="Times New Roman" w:eastAsia="Times New Roman" w:cs="Times New Roman"/>
              <w:spacing w:val="-7"/>
              <w:sz w:val="22"/>
              <w:szCs w:val="22"/>
            </w:rPr>
            <w:t>16</w:t>
          </w:r>
          <w:r>
            <w:rPr>
              <w:rFonts w:ascii="Times New Roman" w:hAnsi="Times New Roman" w:eastAsia="Times New Roman" w:cs="Times New Roman"/>
              <w:spacing w:val="-7"/>
              <w:sz w:val="22"/>
              <w:szCs w:val="22"/>
            </w:rPr>
            <w:fldChar w:fldCharType="end"/>
          </w:r>
        </w:p>
        <w:p w14:paraId="525A1289">
          <w:pPr>
            <w:pStyle w:val="2"/>
            <w:tabs>
              <w:tab w:val="right" w:leader="dot" w:pos="9190"/>
            </w:tabs>
            <w:spacing w:before="117" w:line="221" w:lineRule="auto"/>
            <w:ind w:left="1456"/>
            <w:rPr>
              <w:rFonts w:ascii="Times New Roman" w:hAnsi="Times New Roman" w:eastAsia="Times New Roman" w:cs="Times New Roman"/>
              <w:sz w:val="22"/>
              <w:szCs w:val="22"/>
            </w:rPr>
          </w:pPr>
          <w:r>
            <w:fldChar w:fldCharType="begin"/>
          </w:r>
          <w:r>
            <w:instrText xml:space="preserve"> HYPERLINK \l "bookmark23" </w:instrText>
          </w:r>
          <w:r>
            <w:fldChar w:fldCharType="separate"/>
          </w:r>
          <w:r>
            <w:rPr>
              <w:spacing w:val="-26"/>
              <w:sz w:val="22"/>
              <w:szCs w:val="22"/>
            </w:rPr>
            <w:t>一</w:t>
          </w:r>
          <w:r>
            <w:rPr>
              <w:spacing w:val="-37"/>
              <w:sz w:val="22"/>
              <w:szCs w:val="22"/>
            </w:rPr>
            <w:t xml:space="preserve"> </w:t>
          </w:r>
          <w:r>
            <w:rPr>
              <w:spacing w:val="-26"/>
              <w:sz w:val="22"/>
              <w:szCs w:val="22"/>
            </w:rPr>
            <w:t>、散</w:t>
          </w:r>
          <w:r>
            <w:rPr>
              <w:spacing w:val="-45"/>
              <w:sz w:val="22"/>
              <w:szCs w:val="22"/>
            </w:rPr>
            <w:t xml:space="preserve"> </w:t>
          </w:r>
          <w:r>
            <w:rPr>
              <w:spacing w:val="-26"/>
              <w:sz w:val="22"/>
              <w:szCs w:val="22"/>
            </w:rPr>
            <w:t>发</w:t>
          </w:r>
          <w:r>
            <w:rPr>
              <w:sz w:val="22"/>
              <w:szCs w:val="22"/>
            </w:rPr>
            <w:tab/>
          </w:r>
          <w:r>
            <w:rPr>
              <w:spacing w:val="-65"/>
              <w:sz w:val="22"/>
              <w:szCs w:val="22"/>
            </w:rPr>
            <w:t xml:space="preserve"> </w:t>
          </w:r>
          <w:r>
            <w:rPr>
              <w:rFonts w:ascii="Times New Roman" w:hAnsi="Times New Roman" w:eastAsia="Times New Roman" w:cs="Times New Roman"/>
              <w:spacing w:val="-7"/>
              <w:sz w:val="22"/>
              <w:szCs w:val="22"/>
            </w:rPr>
            <w:t>17</w:t>
          </w:r>
          <w:r>
            <w:rPr>
              <w:rFonts w:ascii="Times New Roman" w:hAnsi="Times New Roman" w:eastAsia="Times New Roman" w:cs="Times New Roman"/>
              <w:spacing w:val="-7"/>
              <w:sz w:val="22"/>
              <w:szCs w:val="22"/>
            </w:rPr>
            <w:fldChar w:fldCharType="end"/>
          </w:r>
        </w:p>
        <w:p w14:paraId="0A4662F7">
          <w:pPr>
            <w:pStyle w:val="2"/>
            <w:tabs>
              <w:tab w:val="right" w:leader="dot" w:pos="9140"/>
            </w:tabs>
            <w:spacing w:before="126" w:line="221" w:lineRule="auto"/>
            <w:ind w:left="1456"/>
            <w:rPr>
              <w:rFonts w:ascii="Times New Roman" w:hAnsi="Times New Roman" w:eastAsia="Times New Roman" w:cs="Times New Roman"/>
              <w:sz w:val="22"/>
              <w:szCs w:val="22"/>
            </w:rPr>
          </w:pPr>
          <w:r>
            <w:fldChar w:fldCharType="begin"/>
          </w:r>
          <w:r>
            <w:instrText xml:space="preserve"> HYPERLINK \l "bookmark24" </w:instrText>
          </w:r>
          <w:r>
            <w:fldChar w:fldCharType="separate"/>
          </w:r>
          <w:r>
            <w:rPr>
              <w:spacing w:val="-12"/>
              <w:sz w:val="22"/>
              <w:szCs w:val="22"/>
            </w:rPr>
            <w:t>二</w:t>
          </w:r>
          <w:r>
            <w:rPr>
              <w:spacing w:val="-48"/>
              <w:sz w:val="22"/>
              <w:szCs w:val="22"/>
            </w:rPr>
            <w:t xml:space="preserve"> </w:t>
          </w:r>
          <w:r>
            <w:rPr>
              <w:spacing w:val="-12"/>
              <w:sz w:val="22"/>
              <w:szCs w:val="22"/>
            </w:rPr>
            <w:t>、暴发</w:t>
          </w:r>
          <w:r>
            <w:rPr>
              <w:spacing w:val="-96"/>
              <w:sz w:val="22"/>
              <w:szCs w:val="22"/>
            </w:rPr>
            <w:t xml:space="preserve"> </w:t>
          </w:r>
          <w:r>
            <w:rPr>
              <w:sz w:val="22"/>
              <w:szCs w:val="22"/>
            </w:rPr>
            <w:tab/>
          </w:r>
          <w:r>
            <w:rPr>
              <w:rFonts w:ascii="Times New Roman" w:hAnsi="Times New Roman" w:eastAsia="Times New Roman" w:cs="Times New Roman"/>
              <w:spacing w:val="-6"/>
              <w:sz w:val="22"/>
              <w:szCs w:val="22"/>
            </w:rPr>
            <w:t>17</w:t>
          </w:r>
          <w:r>
            <w:rPr>
              <w:rFonts w:ascii="Times New Roman" w:hAnsi="Times New Roman" w:eastAsia="Times New Roman" w:cs="Times New Roman"/>
              <w:spacing w:val="-6"/>
              <w:sz w:val="22"/>
              <w:szCs w:val="22"/>
            </w:rPr>
            <w:fldChar w:fldCharType="end"/>
          </w:r>
        </w:p>
        <w:p w14:paraId="6A766D87">
          <w:pPr>
            <w:pStyle w:val="2"/>
            <w:tabs>
              <w:tab w:val="right" w:leader="dot" w:pos="9140"/>
            </w:tabs>
            <w:spacing w:before="117" w:line="221" w:lineRule="auto"/>
            <w:ind w:left="1456"/>
            <w:rPr>
              <w:rFonts w:ascii="Times New Roman" w:hAnsi="Times New Roman" w:eastAsia="Times New Roman" w:cs="Times New Roman"/>
              <w:sz w:val="22"/>
              <w:szCs w:val="22"/>
            </w:rPr>
          </w:pPr>
          <w:r>
            <w:fldChar w:fldCharType="begin"/>
          </w:r>
          <w:r>
            <w:instrText xml:space="preserve"> HYPERLINK \l "bookmark25" </w:instrText>
          </w:r>
          <w:r>
            <w:fldChar w:fldCharType="separate"/>
          </w:r>
          <w:r>
            <w:rPr>
              <w:spacing w:val="-29"/>
              <w:sz w:val="22"/>
              <w:szCs w:val="22"/>
            </w:rPr>
            <w:t>三</w:t>
          </w:r>
          <w:r>
            <w:rPr>
              <w:spacing w:val="-45"/>
              <w:sz w:val="22"/>
              <w:szCs w:val="22"/>
            </w:rPr>
            <w:t xml:space="preserve"> </w:t>
          </w:r>
          <w:r>
            <w:rPr>
              <w:spacing w:val="-29"/>
              <w:sz w:val="22"/>
              <w:szCs w:val="22"/>
            </w:rPr>
            <w:t>、流</w:t>
          </w:r>
          <w:r>
            <w:rPr>
              <w:spacing w:val="-43"/>
              <w:sz w:val="22"/>
              <w:szCs w:val="22"/>
            </w:rPr>
            <w:t xml:space="preserve"> </w:t>
          </w:r>
          <w:r>
            <w:rPr>
              <w:spacing w:val="-29"/>
              <w:sz w:val="22"/>
              <w:szCs w:val="22"/>
            </w:rPr>
            <w:t>行</w:t>
          </w:r>
          <w:r>
            <w:rPr>
              <w:spacing w:val="-88"/>
              <w:sz w:val="22"/>
              <w:szCs w:val="22"/>
            </w:rPr>
            <w:t xml:space="preserve"> </w:t>
          </w:r>
          <w:r>
            <w:rPr>
              <w:sz w:val="22"/>
              <w:szCs w:val="22"/>
            </w:rPr>
            <w:tab/>
          </w:r>
          <w:r>
            <w:rPr>
              <w:rFonts w:ascii="Times New Roman" w:hAnsi="Times New Roman" w:eastAsia="Times New Roman" w:cs="Times New Roman"/>
              <w:spacing w:val="-8"/>
              <w:sz w:val="22"/>
              <w:szCs w:val="22"/>
            </w:rPr>
            <w:t>17</w:t>
          </w:r>
          <w:r>
            <w:rPr>
              <w:rFonts w:ascii="Times New Roman" w:hAnsi="Times New Roman" w:eastAsia="Times New Roman" w:cs="Times New Roman"/>
              <w:spacing w:val="-8"/>
              <w:sz w:val="22"/>
              <w:szCs w:val="22"/>
            </w:rPr>
            <w:fldChar w:fldCharType="end"/>
          </w:r>
        </w:p>
        <w:p w14:paraId="4C45F27B">
          <w:pPr>
            <w:pStyle w:val="2"/>
            <w:tabs>
              <w:tab w:val="right" w:leader="dot" w:pos="9170"/>
            </w:tabs>
            <w:spacing w:before="116" w:line="221" w:lineRule="auto"/>
            <w:ind w:left="1456"/>
            <w:rPr>
              <w:rFonts w:ascii="Times New Roman" w:hAnsi="Times New Roman" w:eastAsia="Times New Roman" w:cs="Times New Roman"/>
              <w:sz w:val="22"/>
              <w:szCs w:val="22"/>
            </w:rPr>
          </w:pPr>
          <w:r>
            <w:fldChar w:fldCharType="begin"/>
          </w:r>
          <w:r>
            <w:instrText xml:space="preserve"> HYPERLINK \l "bookmark26" </w:instrText>
          </w:r>
          <w:r>
            <w:fldChar w:fldCharType="separate"/>
          </w:r>
          <w:r>
            <w:rPr>
              <w:spacing w:val="-13"/>
              <w:sz w:val="22"/>
              <w:szCs w:val="22"/>
            </w:rPr>
            <w:t>四</w:t>
          </w:r>
          <w:r>
            <w:rPr>
              <w:spacing w:val="-49"/>
              <w:sz w:val="22"/>
              <w:szCs w:val="22"/>
            </w:rPr>
            <w:t xml:space="preserve"> </w:t>
          </w:r>
          <w:r>
            <w:rPr>
              <w:spacing w:val="-13"/>
              <w:sz w:val="22"/>
              <w:szCs w:val="22"/>
            </w:rPr>
            <w:t>、大流行</w:t>
          </w:r>
          <w:r>
            <w:rPr>
              <w:spacing w:val="-87"/>
              <w:sz w:val="22"/>
              <w:szCs w:val="22"/>
            </w:rPr>
            <w:t xml:space="preserve"> </w:t>
          </w:r>
          <w:r>
            <w:rPr>
              <w:sz w:val="22"/>
              <w:szCs w:val="22"/>
            </w:rPr>
            <w:tab/>
          </w:r>
          <w:r>
            <w:rPr>
              <w:spacing w:val="-65"/>
              <w:sz w:val="22"/>
              <w:szCs w:val="22"/>
            </w:rPr>
            <w:t xml:space="preserve"> </w:t>
          </w:r>
          <w:r>
            <w:rPr>
              <w:rFonts w:ascii="Times New Roman" w:hAnsi="Times New Roman" w:eastAsia="Times New Roman" w:cs="Times New Roman"/>
              <w:spacing w:val="-7"/>
              <w:sz w:val="22"/>
              <w:szCs w:val="22"/>
            </w:rPr>
            <w:t>17</w:t>
          </w:r>
          <w:r>
            <w:rPr>
              <w:rFonts w:ascii="Times New Roman" w:hAnsi="Times New Roman" w:eastAsia="Times New Roman" w:cs="Times New Roman"/>
              <w:spacing w:val="-7"/>
              <w:sz w:val="22"/>
              <w:szCs w:val="22"/>
            </w:rPr>
            <w:fldChar w:fldCharType="end"/>
          </w:r>
        </w:p>
        <w:p w14:paraId="3D31ABF9">
          <w:pPr>
            <w:pStyle w:val="2"/>
            <w:tabs>
              <w:tab w:val="right" w:leader="dot" w:pos="9152"/>
            </w:tabs>
            <w:spacing w:before="104" w:line="221" w:lineRule="auto"/>
            <w:ind w:left="1040"/>
            <w:rPr>
              <w:rFonts w:ascii="Times New Roman" w:hAnsi="Times New Roman" w:eastAsia="Times New Roman" w:cs="Times New Roman"/>
              <w:sz w:val="22"/>
              <w:szCs w:val="22"/>
            </w:rPr>
          </w:pPr>
          <w:r>
            <w:fldChar w:fldCharType="begin"/>
          </w:r>
          <w:r>
            <w:instrText xml:space="preserve"> HYPERLINK \l "bookmark27" </w:instrText>
          </w:r>
          <w:r>
            <w:fldChar w:fldCharType="separate"/>
          </w:r>
          <w:r>
            <w:rPr>
              <w:b/>
              <w:bCs/>
              <w:spacing w:val="6"/>
              <w:sz w:val="22"/>
              <w:szCs w:val="22"/>
            </w:rPr>
            <w:t>第三节</w:t>
          </w:r>
          <w:r>
            <w:rPr>
              <w:spacing w:val="29"/>
              <w:sz w:val="22"/>
              <w:szCs w:val="22"/>
            </w:rPr>
            <w:t xml:space="preserve"> </w:t>
          </w:r>
          <w:r>
            <w:rPr>
              <w:b/>
              <w:bCs/>
              <w:spacing w:val="6"/>
              <w:sz w:val="22"/>
              <w:szCs w:val="22"/>
            </w:rPr>
            <w:t>疾病的分布特征</w:t>
          </w:r>
          <w:r>
            <w:rPr>
              <w:spacing w:val="-87"/>
              <w:sz w:val="22"/>
              <w:szCs w:val="22"/>
            </w:rPr>
            <w:t xml:space="preserve"> </w:t>
          </w:r>
          <w:r>
            <w:rPr>
              <w:sz w:val="22"/>
              <w:szCs w:val="22"/>
            </w:rPr>
            <w:tab/>
          </w:r>
          <w:r>
            <w:rPr>
              <w:rFonts w:ascii="Times New Roman" w:hAnsi="Times New Roman" w:eastAsia="Times New Roman" w:cs="Times New Roman"/>
              <w:b/>
              <w:bCs/>
              <w:spacing w:val="-1"/>
              <w:sz w:val="22"/>
              <w:szCs w:val="22"/>
            </w:rPr>
            <w:t>17</w:t>
          </w:r>
          <w:r>
            <w:rPr>
              <w:rFonts w:ascii="Times New Roman" w:hAnsi="Times New Roman" w:eastAsia="Times New Roman" w:cs="Times New Roman"/>
              <w:b/>
              <w:bCs/>
              <w:spacing w:val="-1"/>
              <w:sz w:val="22"/>
              <w:szCs w:val="22"/>
            </w:rPr>
            <w:fldChar w:fldCharType="end"/>
          </w:r>
        </w:p>
        <w:p w14:paraId="696FCB86">
          <w:pPr>
            <w:pStyle w:val="2"/>
            <w:tabs>
              <w:tab w:val="right" w:leader="dot" w:pos="9182"/>
            </w:tabs>
            <w:spacing w:before="107" w:line="221" w:lineRule="auto"/>
            <w:ind w:left="1460"/>
            <w:rPr>
              <w:rFonts w:ascii="Times New Roman" w:hAnsi="Times New Roman" w:eastAsia="Times New Roman" w:cs="Times New Roman"/>
              <w:sz w:val="22"/>
              <w:szCs w:val="22"/>
            </w:rPr>
          </w:pPr>
          <w:r>
            <w:fldChar w:fldCharType="begin"/>
          </w:r>
          <w:r>
            <w:instrText xml:space="preserve"> HYPERLINK \l "bookmark28" </w:instrText>
          </w:r>
          <w:r>
            <w:fldChar w:fldCharType="separate"/>
          </w:r>
          <w:r>
            <w:rPr>
              <w:b/>
              <w:bCs/>
              <w:spacing w:val="-9"/>
              <w:sz w:val="22"/>
              <w:szCs w:val="22"/>
            </w:rPr>
            <w:t>一</w:t>
          </w:r>
          <w:r>
            <w:rPr>
              <w:spacing w:val="-54"/>
              <w:sz w:val="22"/>
              <w:szCs w:val="22"/>
            </w:rPr>
            <w:t xml:space="preserve"> </w:t>
          </w:r>
          <w:r>
            <w:rPr>
              <w:b/>
              <w:bCs/>
              <w:spacing w:val="-9"/>
              <w:sz w:val="22"/>
              <w:szCs w:val="22"/>
            </w:rPr>
            <w:t>、人群分布</w:t>
          </w:r>
          <w:r>
            <w:rPr>
              <w:spacing w:val="-90"/>
              <w:sz w:val="22"/>
              <w:szCs w:val="22"/>
            </w:rPr>
            <w:t xml:space="preserve"> </w:t>
          </w:r>
          <w:r>
            <w:rPr>
              <w:sz w:val="22"/>
              <w:szCs w:val="22"/>
            </w:rPr>
            <w:tab/>
          </w:r>
          <w:r>
            <w:rPr>
              <w:rFonts w:ascii="Times New Roman" w:hAnsi="Times New Roman" w:eastAsia="Times New Roman" w:cs="Times New Roman"/>
              <w:b/>
              <w:bCs/>
              <w:spacing w:val="2"/>
              <w:sz w:val="22"/>
              <w:szCs w:val="22"/>
            </w:rPr>
            <w:t>18</w:t>
          </w:r>
          <w:r>
            <w:rPr>
              <w:rFonts w:ascii="Times New Roman" w:hAnsi="Times New Roman" w:eastAsia="Times New Roman" w:cs="Times New Roman"/>
              <w:b/>
              <w:bCs/>
              <w:spacing w:val="2"/>
              <w:sz w:val="22"/>
              <w:szCs w:val="22"/>
            </w:rPr>
            <w:fldChar w:fldCharType="end"/>
          </w:r>
        </w:p>
        <w:p w14:paraId="3FABF7F5">
          <w:pPr>
            <w:pStyle w:val="2"/>
            <w:tabs>
              <w:tab w:val="right" w:leader="dot" w:pos="9162"/>
            </w:tabs>
            <w:spacing w:before="141" w:line="222" w:lineRule="auto"/>
            <w:ind w:left="1456"/>
            <w:rPr>
              <w:rFonts w:ascii="Times New Roman" w:hAnsi="Times New Roman" w:eastAsia="Times New Roman" w:cs="Times New Roman"/>
              <w:sz w:val="22"/>
              <w:szCs w:val="22"/>
            </w:rPr>
          </w:pPr>
          <w:r>
            <w:fldChar w:fldCharType="begin"/>
          </w:r>
          <w:r>
            <w:instrText xml:space="preserve"> HYPERLINK \l "bookmark29" </w:instrText>
          </w:r>
          <w:r>
            <w:fldChar w:fldCharType="separate"/>
          </w:r>
          <w:r>
            <w:rPr>
              <w:spacing w:val="-7"/>
              <w:sz w:val="22"/>
              <w:szCs w:val="22"/>
            </w:rPr>
            <w:t>二</w:t>
          </w:r>
          <w:r>
            <w:rPr>
              <w:spacing w:val="-46"/>
              <w:sz w:val="22"/>
              <w:szCs w:val="22"/>
            </w:rPr>
            <w:t xml:space="preserve"> </w:t>
          </w:r>
          <w:r>
            <w:rPr>
              <w:spacing w:val="-7"/>
              <w:sz w:val="22"/>
              <w:szCs w:val="22"/>
            </w:rPr>
            <w:t>、地区分布</w:t>
          </w:r>
          <w:r>
            <w:rPr>
              <w:spacing w:val="-93"/>
              <w:sz w:val="22"/>
              <w:szCs w:val="22"/>
            </w:rPr>
            <w:t xml:space="preserve"> </w:t>
          </w:r>
          <w:r>
            <w:rPr>
              <w:sz w:val="22"/>
              <w:szCs w:val="22"/>
            </w:rPr>
            <w:tab/>
          </w:r>
          <w:r>
            <w:rPr>
              <w:rFonts w:ascii="Times New Roman" w:hAnsi="Times New Roman" w:eastAsia="Times New Roman" w:cs="Times New Roman"/>
              <w:spacing w:val="-3"/>
              <w:sz w:val="22"/>
              <w:szCs w:val="22"/>
            </w:rPr>
            <w:t>21</w:t>
          </w:r>
          <w:r>
            <w:rPr>
              <w:rFonts w:ascii="Times New Roman" w:hAnsi="Times New Roman" w:eastAsia="Times New Roman" w:cs="Times New Roman"/>
              <w:spacing w:val="-3"/>
              <w:sz w:val="22"/>
              <w:szCs w:val="22"/>
            </w:rPr>
            <w:fldChar w:fldCharType="end"/>
          </w:r>
        </w:p>
        <w:p w14:paraId="47A36612">
          <w:pPr>
            <w:pStyle w:val="2"/>
            <w:tabs>
              <w:tab w:val="right" w:leader="dot" w:pos="9140"/>
            </w:tabs>
            <w:spacing w:before="93" w:line="222" w:lineRule="auto"/>
            <w:ind w:left="1460"/>
            <w:rPr>
              <w:rFonts w:ascii="Times New Roman" w:hAnsi="Times New Roman" w:eastAsia="Times New Roman" w:cs="Times New Roman"/>
              <w:sz w:val="22"/>
              <w:szCs w:val="22"/>
            </w:rPr>
          </w:pPr>
          <w:r>
            <w:fldChar w:fldCharType="begin"/>
          </w:r>
          <w:r>
            <w:instrText xml:space="preserve"> HYPERLINK \l "bookmark30" </w:instrText>
          </w:r>
          <w:r>
            <w:fldChar w:fldCharType="separate"/>
          </w:r>
          <w:r>
            <w:rPr>
              <w:b/>
              <w:bCs/>
              <w:spacing w:val="-13"/>
              <w:sz w:val="22"/>
              <w:szCs w:val="22"/>
            </w:rPr>
            <w:t>三</w:t>
          </w:r>
          <w:r>
            <w:rPr>
              <w:spacing w:val="-51"/>
              <w:sz w:val="22"/>
              <w:szCs w:val="22"/>
            </w:rPr>
            <w:t xml:space="preserve"> </w:t>
          </w:r>
          <w:r>
            <w:rPr>
              <w:b/>
              <w:bCs/>
              <w:spacing w:val="-13"/>
              <w:sz w:val="22"/>
              <w:szCs w:val="22"/>
            </w:rPr>
            <w:t>、时间分布</w:t>
          </w:r>
          <w:r>
            <w:rPr>
              <w:spacing w:val="-89"/>
              <w:sz w:val="22"/>
              <w:szCs w:val="22"/>
            </w:rPr>
            <w:t xml:space="preserve"> </w:t>
          </w:r>
          <w:r>
            <w:rPr>
              <w:sz w:val="22"/>
              <w:szCs w:val="22"/>
            </w:rPr>
            <w:tab/>
          </w:r>
          <w:r>
            <w:rPr>
              <w:rFonts w:ascii="Times New Roman" w:hAnsi="Times New Roman" w:eastAsia="Times New Roman" w:cs="Times New Roman"/>
              <w:b/>
              <w:bCs/>
              <w:spacing w:val="3"/>
              <w:sz w:val="22"/>
              <w:szCs w:val="22"/>
            </w:rPr>
            <w:t>24</w:t>
          </w:r>
          <w:r>
            <w:rPr>
              <w:rFonts w:ascii="Times New Roman" w:hAnsi="Times New Roman" w:eastAsia="Times New Roman" w:cs="Times New Roman"/>
              <w:b/>
              <w:bCs/>
              <w:spacing w:val="3"/>
              <w:sz w:val="22"/>
              <w:szCs w:val="22"/>
            </w:rPr>
            <w:fldChar w:fldCharType="end"/>
          </w:r>
        </w:p>
        <w:p w14:paraId="775CC15F">
          <w:pPr>
            <w:pStyle w:val="2"/>
            <w:tabs>
              <w:tab w:val="right" w:leader="dot" w:pos="9140"/>
            </w:tabs>
            <w:spacing w:before="133" w:line="221" w:lineRule="auto"/>
            <w:ind w:left="1460"/>
            <w:rPr>
              <w:rFonts w:ascii="Times New Roman" w:hAnsi="Times New Roman" w:eastAsia="Times New Roman" w:cs="Times New Roman"/>
              <w:sz w:val="22"/>
              <w:szCs w:val="22"/>
            </w:rPr>
          </w:pPr>
          <w:r>
            <w:fldChar w:fldCharType="begin"/>
          </w:r>
          <w:r>
            <w:instrText xml:space="preserve"> HYPERLINK \l "bookmark31" </w:instrText>
          </w:r>
          <w:r>
            <w:fldChar w:fldCharType="separate"/>
          </w:r>
          <w:r>
            <w:rPr>
              <w:b/>
              <w:bCs/>
              <w:spacing w:val="-7"/>
              <w:sz w:val="22"/>
              <w:szCs w:val="22"/>
            </w:rPr>
            <w:t>四</w:t>
          </w:r>
          <w:r>
            <w:rPr>
              <w:spacing w:val="-49"/>
              <w:sz w:val="22"/>
              <w:szCs w:val="22"/>
            </w:rPr>
            <w:t xml:space="preserve"> </w:t>
          </w:r>
          <w:r>
            <w:rPr>
              <w:b/>
              <w:bCs/>
              <w:spacing w:val="-7"/>
              <w:sz w:val="22"/>
              <w:szCs w:val="22"/>
            </w:rPr>
            <w:t>、疾病分布的综合描述</w:t>
          </w:r>
          <w:r>
            <w:rPr>
              <w:spacing w:val="-84"/>
              <w:sz w:val="22"/>
              <w:szCs w:val="22"/>
            </w:rPr>
            <w:t xml:space="preserve"> </w:t>
          </w:r>
          <w:r>
            <w:rPr>
              <w:sz w:val="22"/>
              <w:szCs w:val="22"/>
            </w:rPr>
            <w:tab/>
          </w:r>
          <w:r>
            <w:rPr>
              <w:rFonts w:ascii="Times New Roman" w:hAnsi="Times New Roman" w:eastAsia="Times New Roman" w:cs="Times New Roman"/>
              <w:b/>
              <w:bCs/>
              <w:spacing w:val="3"/>
              <w:sz w:val="22"/>
              <w:szCs w:val="22"/>
            </w:rPr>
            <w:t>27</w:t>
          </w:r>
          <w:r>
            <w:rPr>
              <w:rFonts w:ascii="Times New Roman" w:hAnsi="Times New Roman" w:eastAsia="Times New Roman" w:cs="Times New Roman"/>
              <w:b/>
              <w:bCs/>
              <w:spacing w:val="3"/>
              <w:sz w:val="22"/>
              <w:szCs w:val="22"/>
            </w:rPr>
            <w:fldChar w:fldCharType="end"/>
          </w:r>
        </w:p>
      </w:sdtContent>
    </w:sdt>
    <w:p w14:paraId="0149A170">
      <w:pPr>
        <w:spacing w:line="221" w:lineRule="auto"/>
        <w:rPr>
          <w:rFonts w:ascii="Times New Roman" w:hAnsi="Times New Roman" w:eastAsia="Times New Roman" w:cs="Times New Roman"/>
          <w:sz w:val="22"/>
          <w:szCs w:val="22"/>
        </w:rPr>
        <w:sectPr>
          <w:footerReference r:id="rId19" w:type="default"/>
          <w:pgSz w:w="11900" w:h="16820"/>
          <w:pgMar w:top="400" w:right="685" w:bottom="883" w:left="1303" w:header="0" w:footer="684" w:gutter="0"/>
          <w:cols w:space="720" w:num="1"/>
        </w:sectPr>
      </w:pPr>
    </w:p>
    <w:sdt>
      <w:sdtPr>
        <w:rPr>
          <w:rFonts w:ascii="黑体" w:hAnsi="黑体" w:eastAsia="黑体" w:cs="黑体"/>
          <w:sz w:val="17"/>
          <w:szCs w:val="17"/>
        </w:rPr>
        <w:id w:val="15704270"/>
        <w:docPartObj>
          <w:docPartGallery w:val="Table of Contents"/>
          <w:docPartUnique/>
        </w:docPartObj>
      </w:sdtPr>
      <w:sdtEndPr>
        <w:rPr>
          <w:rFonts w:ascii="Times New Roman" w:hAnsi="Times New Roman" w:eastAsia="Times New Roman" w:cs="Times New Roman"/>
          <w:sz w:val="22"/>
          <w:szCs w:val="22"/>
        </w:rPr>
      </w:sdtEndPr>
      <w:sdtContent>
        <w:p w14:paraId="5CCBA77B">
          <w:pPr>
            <w:pStyle w:val="2"/>
            <w:spacing w:before="155" w:line="222" w:lineRule="auto"/>
            <w:ind w:left="730"/>
            <w:rPr>
              <w:sz w:val="17"/>
              <w:szCs w:val="17"/>
            </w:rPr>
          </w:pPr>
          <w:r>
            <w:rPr>
              <w:spacing w:val="4"/>
              <w:sz w:val="17"/>
              <w:szCs w:val="17"/>
            </w:rPr>
            <w:t>目录</w:t>
          </w:r>
        </w:p>
        <w:p w14:paraId="67B208C8">
          <w:pPr>
            <w:spacing w:line="284" w:lineRule="auto"/>
            <w:rPr>
              <w:rFonts w:ascii="Arial"/>
              <w:sz w:val="21"/>
            </w:rPr>
          </w:pPr>
        </w:p>
        <w:p w14:paraId="201F0AB0">
          <w:pPr>
            <w:spacing w:line="285" w:lineRule="auto"/>
            <w:rPr>
              <w:rFonts w:ascii="Arial"/>
              <w:sz w:val="21"/>
            </w:rPr>
          </w:pPr>
        </w:p>
        <w:p w14:paraId="0D4E6550">
          <w:pPr>
            <w:pStyle w:val="2"/>
            <w:tabs>
              <w:tab w:val="right" w:leader="dot" w:pos="9485"/>
            </w:tabs>
            <w:spacing w:before="71" w:line="222" w:lineRule="auto"/>
            <w:ind w:left="733"/>
            <w:rPr>
              <w:rFonts w:ascii="Times New Roman" w:hAnsi="Times New Roman" w:eastAsia="Times New Roman" w:cs="Times New Roman"/>
              <w:sz w:val="22"/>
              <w:szCs w:val="22"/>
            </w:rPr>
          </w:pPr>
          <w:bookmarkStart w:id="1" w:name="bookmark32"/>
          <w:bookmarkEnd w:id="1"/>
          <w:r>
            <w:fldChar w:fldCharType="begin"/>
          </w:r>
          <w:r>
            <w:instrText xml:space="preserve"> HYPERLINK \l "bookmark33" </w:instrText>
          </w:r>
          <w:r>
            <w:fldChar w:fldCharType="separate"/>
          </w:r>
          <w:r>
            <w:rPr>
              <w:b/>
              <w:bCs/>
              <w:spacing w:val="4"/>
              <w:sz w:val="22"/>
              <w:szCs w:val="22"/>
            </w:rPr>
            <w:t>第三章</w:t>
          </w:r>
          <w:r>
            <w:rPr>
              <w:spacing w:val="75"/>
              <w:sz w:val="22"/>
              <w:szCs w:val="22"/>
            </w:rPr>
            <w:t xml:space="preserve"> </w:t>
          </w:r>
          <w:r>
            <w:rPr>
              <w:b/>
              <w:bCs/>
              <w:spacing w:val="4"/>
              <w:sz w:val="22"/>
              <w:szCs w:val="22"/>
            </w:rPr>
            <w:t>描</w:t>
          </w:r>
          <w:r>
            <w:rPr>
              <w:spacing w:val="-35"/>
              <w:sz w:val="22"/>
              <w:szCs w:val="22"/>
            </w:rPr>
            <w:t xml:space="preserve"> </w:t>
          </w:r>
          <w:r>
            <w:rPr>
              <w:b/>
              <w:bCs/>
              <w:spacing w:val="4"/>
              <w:sz w:val="22"/>
              <w:szCs w:val="22"/>
            </w:rPr>
            <w:t>述</w:t>
          </w:r>
          <w:r>
            <w:rPr>
              <w:spacing w:val="-32"/>
              <w:sz w:val="22"/>
              <w:szCs w:val="22"/>
            </w:rPr>
            <w:t xml:space="preserve"> </w:t>
          </w:r>
          <w:r>
            <w:rPr>
              <w:b/>
              <w:bCs/>
              <w:spacing w:val="4"/>
              <w:sz w:val="22"/>
              <w:szCs w:val="22"/>
            </w:rPr>
            <w:t>性</w:t>
          </w:r>
          <w:r>
            <w:rPr>
              <w:spacing w:val="-35"/>
              <w:sz w:val="22"/>
              <w:szCs w:val="22"/>
            </w:rPr>
            <w:t xml:space="preserve"> </w:t>
          </w:r>
          <w:r>
            <w:rPr>
              <w:b/>
              <w:bCs/>
              <w:spacing w:val="4"/>
              <w:sz w:val="22"/>
              <w:szCs w:val="22"/>
            </w:rPr>
            <w:t>研</w:t>
          </w:r>
          <w:r>
            <w:rPr>
              <w:spacing w:val="-34"/>
              <w:sz w:val="22"/>
              <w:szCs w:val="22"/>
            </w:rPr>
            <w:t xml:space="preserve"> </w:t>
          </w:r>
          <w:r>
            <w:rPr>
              <w:b/>
              <w:bCs/>
              <w:spacing w:val="4"/>
              <w:sz w:val="22"/>
              <w:szCs w:val="22"/>
            </w:rPr>
            <w:t>究</w:t>
          </w:r>
          <w:r>
            <w:rPr>
              <w:spacing w:val="-84"/>
              <w:sz w:val="22"/>
              <w:szCs w:val="22"/>
            </w:rPr>
            <w:t xml:space="preserve"> </w:t>
          </w:r>
          <w:r>
            <w:rPr>
              <w:sz w:val="22"/>
              <w:szCs w:val="22"/>
            </w:rPr>
            <w:tab/>
          </w:r>
          <w:r>
            <w:rPr>
              <w:spacing w:val="-35"/>
              <w:sz w:val="22"/>
              <w:szCs w:val="22"/>
            </w:rPr>
            <w:t xml:space="preserve"> </w:t>
          </w:r>
          <w:r>
            <w:rPr>
              <w:rFonts w:ascii="Times New Roman" w:hAnsi="Times New Roman" w:eastAsia="Times New Roman" w:cs="Times New Roman"/>
              <w:b/>
              <w:bCs/>
              <w:spacing w:val="-1"/>
              <w:sz w:val="22"/>
              <w:szCs w:val="22"/>
            </w:rPr>
            <w:t>30</w:t>
          </w:r>
          <w:r>
            <w:rPr>
              <w:rFonts w:ascii="Times New Roman" w:hAnsi="Times New Roman" w:eastAsia="Times New Roman" w:cs="Times New Roman"/>
              <w:b/>
              <w:bCs/>
              <w:spacing w:val="-1"/>
              <w:sz w:val="22"/>
              <w:szCs w:val="22"/>
            </w:rPr>
            <w:fldChar w:fldCharType="end"/>
          </w:r>
        </w:p>
        <w:p w14:paraId="3AA93D45">
          <w:pPr>
            <w:pStyle w:val="2"/>
            <w:tabs>
              <w:tab w:val="right" w:leader="dot" w:pos="9610"/>
            </w:tabs>
            <w:spacing w:before="148" w:line="221" w:lineRule="auto"/>
            <w:ind w:left="1730"/>
            <w:rPr>
              <w:rFonts w:ascii="Times New Roman" w:hAnsi="Times New Roman" w:eastAsia="Times New Roman" w:cs="Times New Roman"/>
              <w:sz w:val="22"/>
              <w:szCs w:val="22"/>
            </w:rPr>
          </w:pPr>
          <w:r>
            <w:fldChar w:fldCharType="begin"/>
          </w:r>
          <w:r>
            <w:instrText xml:space="preserve"> HYPERLINK \l "bookmark34" </w:instrText>
          </w:r>
          <w:r>
            <w:fldChar w:fldCharType="separate"/>
          </w:r>
          <w:r>
            <w:rPr>
              <w:spacing w:val="6"/>
              <w:sz w:val="22"/>
              <w:szCs w:val="22"/>
            </w:rPr>
            <w:t>第一节</w:t>
          </w:r>
          <w:r>
            <w:rPr>
              <w:spacing w:val="56"/>
              <w:sz w:val="22"/>
              <w:szCs w:val="22"/>
            </w:rPr>
            <w:t xml:space="preserve"> </w:t>
          </w:r>
          <w:r>
            <w:rPr>
              <w:spacing w:val="6"/>
              <w:sz w:val="22"/>
              <w:szCs w:val="22"/>
            </w:rPr>
            <w:t>概述</w:t>
          </w:r>
          <w:r>
            <w:rPr>
              <w:spacing w:val="-87"/>
              <w:sz w:val="22"/>
              <w:szCs w:val="22"/>
            </w:rPr>
            <w:t xml:space="preserve"> </w:t>
          </w:r>
          <w:r>
            <w:rPr>
              <w:sz w:val="22"/>
              <w:szCs w:val="22"/>
            </w:rPr>
            <w:tab/>
          </w:r>
          <w:r>
            <w:rPr>
              <w:rFonts w:ascii="Times New Roman" w:hAnsi="Times New Roman" w:eastAsia="Times New Roman" w:cs="Times New Roman"/>
              <w:spacing w:val="-4"/>
              <w:sz w:val="22"/>
              <w:szCs w:val="22"/>
            </w:rPr>
            <w:t>30</w:t>
          </w:r>
          <w:r>
            <w:rPr>
              <w:rFonts w:ascii="Times New Roman" w:hAnsi="Times New Roman" w:eastAsia="Times New Roman" w:cs="Times New Roman"/>
              <w:spacing w:val="-4"/>
              <w:sz w:val="22"/>
              <w:szCs w:val="22"/>
            </w:rPr>
            <w:fldChar w:fldCharType="end"/>
          </w:r>
        </w:p>
        <w:p w14:paraId="16E5392B">
          <w:pPr>
            <w:pStyle w:val="2"/>
            <w:tabs>
              <w:tab w:val="right" w:leader="dot" w:pos="9620"/>
            </w:tabs>
            <w:spacing w:before="126" w:line="221" w:lineRule="auto"/>
            <w:ind w:left="2140"/>
            <w:rPr>
              <w:rFonts w:ascii="Times New Roman" w:hAnsi="Times New Roman" w:eastAsia="Times New Roman" w:cs="Times New Roman"/>
              <w:sz w:val="22"/>
              <w:szCs w:val="22"/>
            </w:rPr>
          </w:pPr>
          <w:r>
            <w:fldChar w:fldCharType="begin"/>
          </w:r>
          <w:r>
            <w:instrText xml:space="preserve"> HYPERLINK \l "bookmark35" </w:instrText>
          </w:r>
          <w:r>
            <w:fldChar w:fldCharType="separate"/>
          </w:r>
          <w:r>
            <w:rPr>
              <w:spacing w:val="-16"/>
              <w:sz w:val="22"/>
              <w:szCs w:val="22"/>
            </w:rPr>
            <w:t>一</w:t>
          </w:r>
          <w:r>
            <w:rPr>
              <w:spacing w:val="-48"/>
              <w:sz w:val="22"/>
              <w:szCs w:val="22"/>
            </w:rPr>
            <w:t xml:space="preserve"> </w:t>
          </w:r>
          <w:r>
            <w:rPr>
              <w:spacing w:val="-16"/>
              <w:sz w:val="22"/>
              <w:szCs w:val="22"/>
            </w:rPr>
            <w:t>、概念</w:t>
          </w:r>
          <w:r>
            <w:rPr>
              <w:spacing w:val="-89"/>
              <w:sz w:val="22"/>
              <w:szCs w:val="22"/>
            </w:rPr>
            <w:t xml:space="preserve"> </w:t>
          </w:r>
          <w:r>
            <w:rPr>
              <w:sz w:val="22"/>
              <w:szCs w:val="22"/>
            </w:rPr>
            <w:tab/>
          </w:r>
          <w:r>
            <w:rPr>
              <w:rFonts w:ascii="Times New Roman" w:hAnsi="Times New Roman" w:eastAsia="Times New Roman" w:cs="Times New Roman"/>
              <w:spacing w:val="3"/>
              <w:sz w:val="22"/>
              <w:szCs w:val="22"/>
            </w:rPr>
            <w:t>30</w:t>
          </w:r>
          <w:r>
            <w:rPr>
              <w:rFonts w:ascii="Times New Roman" w:hAnsi="Times New Roman" w:eastAsia="Times New Roman" w:cs="Times New Roman"/>
              <w:spacing w:val="3"/>
              <w:sz w:val="22"/>
              <w:szCs w:val="22"/>
            </w:rPr>
            <w:fldChar w:fldCharType="end"/>
          </w:r>
        </w:p>
        <w:p w14:paraId="7AAD651A">
          <w:pPr>
            <w:pStyle w:val="2"/>
            <w:tabs>
              <w:tab w:val="right" w:leader="dot" w:pos="9640"/>
            </w:tabs>
            <w:spacing w:before="136" w:line="221" w:lineRule="auto"/>
            <w:ind w:left="2140"/>
            <w:rPr>
              <w:rFonts w:ascii="Times New Roman" w:hAnsi="Times New Roman" w:eastAsia="Times New Roman" w:cs="Times New Roman"/>
              <w:sz w:val="22"/>
              <w:szCs w:val="22"/>
            </w:rPr>
          </w:pPr>
          <w:r>
            <w:fldChar w:fldCharType="begin"/>
          </w:r>
          <w:r>
            <w:instrText xml:space="preserve"> HYPERLINK \l "bookmark36" </w:instrText>
          </w:r>
          <w:r>
            <w:fldChar w:fldCharType="separate"/>
          </w:r>
          <w:r>
            <w:rPr>
              <w:spacing w:val="-16"/>
              <w:sz w:val="22"/>
              <w:szCs w:val="22"/>
            </w:rPr>
            <w:t>二</w:t>
          </w:r>
          <w:r>
            <w:rPr>
              <w:spacing w:val="-45"/>
              <w:sz w:val="22"/>
              <w:szCs w:val="22"/>
            </w:rPr>
            <w:t xml:space="preserve"> </w:t>
          </w:r>
          <w:r>
            <w:rPr>
              <w:spacing w:val="-16"/>
              <w:sz w:val="22"/>
              <w:szCs w:val="22"/>
            </w:rPr>
            <w:t>、种类</w:t>
          </w:r>
          <w:r>
            <w:rPr>
              <w:spacing w:val="-93"/>
              <w:sz w:val="22"/>
              <w:szCs w:val="22"/>
            </w:rPr>
            <w:t xml:space="preserve"> </w:t>
          </w:r>
          <w:r>
            <w:rPr>
              <w:sz w:val="22"/>
              <w:szCs w:val="22"/>
            </w:rPr>
            <w:tab/>
          </w:r>
          <w:r>
            <w:rPr>
              <w:spacing w:val="-75"/>
              <w:sz w:val="22"/>
              <w:szCs w:val="22"/>
            </w:rPr>
            <w:t xml:space="preserve"> </w:t>
          </w:r>
          <w:r>
            <w:rPr>
              <w:rFonts w:ascii="Times New Roman" w:hAnsi="Times New Roman" w:eastAsia="Times New Roman" w:cs="Times New Roman"/>
              <w:spacing w:val="-3"/>
              <w:sz w:val="22"/>
              <w:szCs w:val="22"/>
            </w:rPr>
            <w:t>30</w:t>
          </w:r>
          <w:r>
            <w:rPr>
              <w:rFonts w:ascii="Times New Roman" w:hAnsi="Times New Roman" w:eastAsia="Times New Roman" w:cs="Times New Roman"/>
              <w:spacing w:val="-3"/>
              <w:sz w:val="22"/>
              <w:szCs w:val="22"/>
            </w:rPr>
            <w:fldChar w:fldCharType="end"/>
          </w:r>
        </w:p>
        <w:p w14:paraId="4DC0BF6F">
          <w:pPr>
            <w:pStyle w:val="2"/>
            <w:tabs>
              <w:tab w:val="right" w:leader="dot" w:pos="9580"/>
            </w:tabs>
            <w:spacing w:before="148" w:line="222" w:lineRule="auto"/>
            <w:ind w:left="2140"/>
            <w:rPr>
              <w:rFonts w:ascii="Times New Roman" w:hAnsi="Times New Roman" w:eastAsia="Times New Roman" w:cs="Times New Roman"/>
              <w:sz w:val="22"/>
              <w:szCs w:val="22"/>
            </w:rPr>
          </w:pPr>
          <w:r>
            <w:fldChar w:fldCharType="begin"/>
          </w:r>
          <w:r>
            <w:instrText xml:space="preserve"> HYPERLINK \l "bookmark37" </w:instrText>
          </w:r>
          <w:r>
            <w:fldChar w:fldCharType="separate"/>
          </w:r>
          <w:r>
            <w:rPr>
              <w:spacing w:val="-16"/>
              <w:sz w:val="22"/>
              <w:szCs w:val="22"/>
            </w:rPr>
            <w:t>三</w:t>
          </w:r>
          <w:r>
            <w:rPr>
              <w:spacing w:val="-46"/>
              <w:sz w:val="22"/>
              <w:szCs w:val="22"/>
            </w:rPr>
            <w:t xml:space="preserve"> </w:t>
          </w:r>
          <w:r>
            <w:rPr>
              <w:spacing w:val="-16"/>
              <w:sz w:val="22"/>
              <w:szCs w:val="22"/>
            </w:rPr>
            <w:t>、特点</w:t>
          </w:r>
          <w:r>
            <w:rPr>
              <w:spacing w:val="-92"/>
              <w:sz w:val="22"/>
              <w:szCs w:val="22"/>
            </w:rPr>
            <w:t xml:space="preserve"> </w:t>
          </w:r>
          <w:r>
            <w:rPr>
              <w:sz w:val="22"/>
              <w:szCs w:val="22"/>
            </w:rPr>
            <w:tab/>
          </w:r>
          <w:r>
            <w:rPr>
              <w:rFonts w:ascii="Times New Roman" w:hAnsi="Times New Roman" w:eastAsia="Times New Roman" w:cs="Times New Roman"/>
              <w:spacing w:val="-1"/>
              <w:sz w:val="22"/>
              <w:szCs w:val="22"/>
            </w:rPr>
            <w:t>31</w:t>
          </w:r>
          <w:r>
            <w:rPr>
              <w:rFonts w:ascii="Times New Roman" w:hAnsi="Times New Roman" w:eastAsia="Times New Roman" w:cs="Times New Roman"/>
              <w:spacing w:val="-1"/>
              <w:sz w:val="22"/>
              <w:szCs w:val="22"/>
            </w:rPr>
            <w:fldChar w:fldCharType="end"/>
          </w:r>
        </w:p>
        <w:p w14:paraId="48999914">
          <w:pPr>
            <w:pStyle w:val="2"/>
            <w:tabs>
              <w:tab w:val="right" w:leader="dot" w:pos="9550"/>
            </w:tabs>
            <w:spacing w:before="120" w:line="225" w:lineRule="auto"/>
            <w:ind w:left="2140"/>
            <w:rPr>
              <w:rFonts w:ascii="Times New Roman" w:hAnsi="Times New Roman" w:eastAsia="Times New Roman" w:cs="Times New Roman"/>
              <w:sz w:val="22"/>
              <w:szCs w:val="22"/>
            </w:rPr>
          </w:pPr>
          <w:r>
            <w:fldChar w:fldCharType="begin"/>
          </w:r>
          <w:r>
            <w:instrText xml:space="preserve"> HYPERLINK \l "bookmark38" </w:instrText>
          </w:r>
          <w:r>
            <w:fldChar w:fldCharType="separate"/>
          </w:r>
          <w:r>
            <w:rPr>
              <w:spacing w:val="-19"/>
              <w:sz w:val="22"/>
              <w:szCs w:val="22"/>
            </w:rPr>
            <w:t>四</w:t>
          </w:r>
          <w:r>
            <w:rPr>
              <w:spacing w:val="-59"/>
              <w:sz w:val="22"/>
              <w:szCs w:val="22"/>
            </w:rPr>
            <w:t xml:space="preserve"> </w:t>
          </w:r>
          <w:r>
            <w:rPr>
              <w:spacing w:val="-19"/>
              <w:sz w:val="22"/>
              <w:szCs w:val="22"/>
            </w:rPr>
            <w:t>、用途</w:t>
          </w:r>
          <w:r>
            <w:rPr>
              <w:spacing w:val="-86"/>
              <w:sz w:val="22"/>
              <w:szCs w:val="22"/>
            </w:rPr>
            <w:t xml:space="preserve"> </w:t>
          </w:r>
          <w:r>
            <w:rPr>
              <w:sz w:val="22"/>
              <w:szCs w:val="22"/>
            </w:rPr>
            <w:tab/>
          </w:r>
          <w:r>
            <w:rPr>
              <w:rFonts w:ascii="Times New Roman" w:hAnsi="Times New Roman" w:eastAsia="Times New Roman" w:cs="Times New Roman"/>
              <w:spacing w:val="-1"/>
              <w:sz w:val="22"/>
              <w:szCs w:val="22"/>
            </w:rPr>
            <w:t>32</w:t>
          </w:r>
          <w:r>
            <w:rPr>
              <w:rFonts w:ascii="Times New Roman" w:hAnsi="Times New Roman" w:eastAsia="Times New Roman" w:cs="Times New Roman"/>
              <w:spacing w:val="-1"/>
              <w:sz w:val="22"/>
              <w:szCs w:val="22"/>
            </w:rPr>
            <w:fldChar w:fldCharType="end"/>
          </w:r>
        </w:p>
        <w:p w14:paraId="40461990">
          <w:pPr>
            <w:pStyle w:val="2"/>
            <w:tabs>
              <w:tab w:val="right" w:leader="dot" w:pos="9600"/>
            </w:tabs>
            <w:spacing w:before="127" w:line="222" w:lineRule="auto"/>
            <w:ind w:left="1730"/>
            <w:rPr>
              <w:rFonts w:ascii="Times New Roman" w:hAnsi="Times New Roman" w:eastAsia="Times New Roman" w:cs="Times New Roman"/>
              <w:sz w:val="22"/>
              <w:szCs w:val="22"/>
            </w:rPr>
          </w:pPr>
          <w:r>
            <w:fldChar w:fldCharType="begin"/>
          </w:r>
          <w:r>
            <w:instrText xml:space="preserve"> HYPERLINK \l "bookmark39" </w:instrText>
          </w:r>
          <w:r>
            <w:fldChar w:fldCharType="separate"/>
          </w:r>
          <w:r>
            <w:rPr>
              <w:spacing w:val="5"/>
              <w:sz w:val="22"/>
              <w:szCs w:val="22"/>
            </w:rPr>
            <w:t>第二节 现况研究</w:t>
          </w:r>
          <w:r>
            <w:rPr>
              <w:spacing w:val="-81"/>
              <w:sz w:val="22"/>
              <w:szCs w:val="22"/>
            </w:rPr>
            <w:t xml:space="preserve"> </w:t>
          </w:r>
          <w:r>
            <w:rPr>
              <w:sz w:val="22"/>
              <w:szCs w:val="22"/>
            </w:rPr>
            <w:tab/>
          </w:r>
          <w:r>
            <w:rPr>
              <w:rFonts w:ascii="Times New Roman" w:hAnsi="Times New Roman" w:eastAsia="Times New Roman" w:cs="Times New Roman"/>
              <w:spacing w:val="8"/>
              <w:sz w:val="22"/>
              <w:szCs w:val="22"/>
            </w:rPr>
            <w:t>32</w:t>
          </w:r>
          <w:r>
            <w:rPr>
              <w:rFonts w:ascii="Times New Roman" w:hAnsi="Times New Roman" w:eastAsia="Times New Roman" w:cs="Times New Roman"/>
              <w:spacing w:val="8"/>
              <w:sz w:val="22"/>
              <w:szCs w:val="22"/>
            </w:rPr>
            <w:fldChar w:fldCharType="end"/>
          </w:r>
        </w:p>
        <w:p w14:paraId="34FB1DC9">
          <w:pPr>
            <w:pStyle w:val="2"/>
            <w:tabs>
              <w:tab w:val="right" w:leader="dot" w:pos="9550"/>
            </w:tabs>
            <w:spacing w:before="135" w:line="221" w:lineRule="auto"/>
            <w:ind w:left="2140"/>
            <w:rPr>
              <w:rFonts w:ascii="Times New Roman" w:hAnsi="Times New Roman" w:eastAsia="Times New Roman" w:cs="Times New Roman"/>
              <w:sz w:val="22"/>
              <w:szCs w:val="22"/>
            </w:rPr>
          </w:pPr>
          <w:r>
            <w:fldChar w:fldCharType="begin"/>
          </w:r>
          <w:r>
            <w:instrText xml:space="preserve"> HYPERLINK \l "bookmark40" </w:instrText>
          </w:r>
          <w:r>
            <w:fldChar w:fldCharType="separate"/>
          </w:r>
          <w:r>
            <w:rPr>
              <w:spacing w:val="-17"/>
              <w:sz w:val="22"/>
              <w:szCs w:val="22"/>
            </w:rPr>
            <w:t>一</w:t>
          </w:r>
          <w:r>
            <w:rPr>
              <w:spacing w:val="-46"/>
              <w:sz w:val="22"/>
              <w:szCs w:val="22"/>
            </w:rPr>
            <w:t xml:space="preserve"> </w:t>
          </w:r>
          <w:r>
            <w:rPr>
              <w:spacing w:val="-17"/>
              <w:sz w:val="22"/>
              <w:szCs w:val="22"/>
            </w:rPr>
            <w:t>、概述</w:t>
          </w:r>
          <w:r>
            <w:rPr>
              <w:spacing w:val="-88"/>
              <w:sz w:val="22"/>
              <w:szCs w:val="22"/>
            </w:rPr>
            <w:t xml:space="preserve"> </w:t>
          </w:r>
          <w:r>
            <w:rPr>
              <w:sz w:val="22"/>
              <w:szCs w:val="22"/>
            </w:rPr>
            <w:tab/>
          </w:r>
          <w:r>
            <w:rPr>
              <w:rFonts w:ascii="Times New Roman" w:hAnsi="Times New Roman" w:eastAsia="Times New Roman" w:cs="Times New Roman"/>
              <w:spacing w:val="-1"/>
              <w:sz w:val="22"/>
              <w:szCs w:val="22"/>
            </w:rPr>
            <w:t>32</w:t>
          </w:r>
          <w:r>
            <w:rPr>
              <w:rFonts w:ascii="Times New Roman" w:hAnsi="Times New Roman" w:eastAsia="Times New Roman" w:cs="Times New Roman"/>
              <w:spacing w:val="-1"/>
              <w:sz w:val="22"/>
              <w:szCs w:val="22"/>
            </w:rPr>
            <w:fldChar w:fldCharType="end"/>
          </w:r>
        </w:p>
        <w:p w14:paraId="18DB8D64">
          <w:pPr>
            <w:pStyle w:val="2"/>
            <w:tabs>
              <w:tab w:val="right" w:leader="dot" w:pos="9550"/>
            </w:tabs>
            <w:spacing w:before="127" w:line="222" w:lineRule="auto"/>
            <w:ind w:left="2140"/>
            <w:rPr>
              <w:rFonts w:ascii="Times New Roman" w:hAnsi="Times New Roman" w:eastAsia="Times New Roman" w:cs="Times New Roman"/>
              <w:sz w:val="22"/>
              <w:szCs w:val="22"/>
            </w:rPr>
          </w:pPr>
          <w:r>
            <w:fldChar w:fldCharType="begin"/>
          </w:r>
          <w:r>
            <w:instrText xml:space="preserve"> HYPERLINK \l "bookmark41" </w:instrText>
          </w:r>
          <w:r>
            <w:fldChar w:fldCharType="separate"/>
          </w:r>
          <w:r>
            <w:rPr>
              <w:spacing w:val="-11"/>
              <w:sz w:val="22"/>
              <w:szCs w:val="22"/>
            </w:rPr>
            <w:t>二</w:t>
          </w:r>
          <w:r>
            <w:rPr>
              <w:spacing w:val="-48"/>
              <w:sz w:val="22"/>
              <w:szCs w:val="22"/>
            </w:rPr>
            <w:t xml:space="preserve"> </w:t>
          </w:r>
          <w:r>
            <w:rPr>
              <w:spacing w:val="-11"/>
              <w:sz w:val="22"/>
              <w:szCs w:val="22"/>
            </w:rPr>
            <w:t>、研究设计与实施</w:t>
          </w:r>
          <w:r>
            <w:rPr>
              <w:sz w:val="22"/>
              <w:szCs w:val="22"/>
            </w:rPr>
            <w:tab/>
          </w:r>
          <w:r>
            <w:rPr>
              <w:rFonts w:ascii="Times New Roman" w:hAnsi="Times New Roman" w:eastAsia="Times New Roman" w:cs="Times New Roman"/>
              <w:spacing w:val="-4"/>
              <w:sz w:val="22"/>
              <w:szCs w:val="22"/>
            </w:rPr>
            <w:t>34</w:t>
          </w:r>
          <w:r>
            <w:rPr>
              <w:rFonts w:ascii="Times New Roman" w:hAnsi="Times New Roman" w:eastAsia="Times New Roman" w:cs="Times New Roman"/>
              <w:spacing w:val="-4"/>
              <w:sz w:val="22"/>
              <w:szCs w:val="22"/>
            </w:rPr>
            <w:fldChar w:fldCharType="end"/>
          </w:r>
        </w:p>
        <w:p w14:paraId="26BB3F96">
          <w:pPr>
            <w:pStyle w:val="2"/>
            <w:tabs>
              <w:tab w:val="right" w:leader="dot" w:pos="9615"/>
            </w:tabs>
            <w:spacing w:before="135" w:line="222" w:lineRule="auto"/>
            <w:ind w:left="2140"/>
            <w:rPr>
              <w:rFonts w:ascii="Times New Roman" w:hAnsi="Times New Roman" w:eastAsia="Times New Roman" w:cs="Times New Roman"/>
              <w:sz w:val="22"/>
              <w:szCs w:val="22"/>
            </w:rPr>
          </w:pPr>
          <w:r>
            <w:fldChar w:fldCharType="begin"/>
          </w:r>
          <w:r>
            <w:instrText xml:space="preserve"> HYPERLINK \l "bookmark42" </w:instrText>
          </w:r>
          <w:r>
            <w:fldChar w:fldCharType="separate"/>
          </w:r>
          <w:r>
            <w:rPr>
              <w:spacing w:val="-13"/>
              <w:sz w:val="22"/>
              <w:szCs w:val="22"/>
            </w:rPr>
            <w:t>三</w:t>
          </w:r>
          <w:r>
            <w:rPr>
              <w:spacing w:val="-53"/>
              <w:sz w:val="22"/>
              <w:szCs w:val="22"/>
            </w:rPr>
            <w:t xml:space="preserve"> </w:t>
          </w:r>
          <w:r>
            <w:rPr>
              <w:spacing w:val="-13"/>
              <w:sz w:val="22"/>
              <w:szCs w:val="22"/>
            </w:rPr>
            <w:t>、资料的整理与分析</w:t>
          </w:r>
          <w:r>
            <w:rPr>
              <w:spacing w:val="-99"/>
              <w:sz w:val="22"/>
              <w:szCs w:val="22"/>
            </w:rPr>
            <w:t xml:space="preserve"> </w:t>
          </w:r>
          <w:r>
            <w:rPr>
              <w:sz w:val="22"/>
              <w:szCs w:val="22"/>
            </w:rPr>
            <w:tab/>
          </w:r>
          <w:r>
            <w:rPr>
              <w:spacing w:val="-25"/>
              <w:sz w:val="22"/>
              <w:szCs w:val="22"/>
            </w:rPr>
            <w:t xml:space="preserve"> </w:t>
          </w:r>
          <w:r>
            <w:rPr>
              <w:rFonts w:ascii="Times New Roman" w:hAnsi="Times New Roman" w:eastAsia="Times New Roman" w:cs="Times New Roman"/>
              <w:spacing w:val="-1"/>
              <w:sz w:val="22"/>
              <w:szCs w:val="22"/>
            </w:rPr>
            <w:t>40</w:t>
          </w:r>
          <w:r>
            <w:rPr>
              <w:rFonts w:ascii="Times New Roman" w:hAnsi="Times New Roman" w:eastAsia="Times New Roman" w:cs="Times New Roman"/>
              <w:spacing w:val="-1"/>
              <w:sz w:val="22"/>
              <w:szCs w:val="22"/>
            </w:rPr>
            <w:fldChar w:fldCharType="end"/>
          </w:r>
        </w:p>
        <w:p w14:paraId="41E2BC47">
          <w:pPr>
            <w:pStyle w:val="2"/>
            <w:tabs>
              <w:tab w:val="right" w:leader="dot" w:pos="9635"/>
            </w:tabs>
            <w:spacing w:before="135" w:line="221" w:lineRule="auto"/>
            <w:ind w:left="2140"/>
            <w:rPr>
              <w:rFonts w:ascii="Times New Roman" w:hAnsi="Times New Roman" w:eastAsia="Times New Roman" w:cs="Times New Roman"/>
              <w:sz w:val="22"/>
              <w:szCs w:val="22"/>
            </w:rPr>
          </w:pPr>
          <w:r>
            <w:fldChar w:fldCharType="begin"/>
          </w:r>
          <w:r>
            <w:instrText xml:space="preserve"> HYPERLINK \l "bookmark43" </w:instrText>
          </w:r>
          <w:r>
            <w:fldChar w:fldCharType="separate"/>
          </w:r>
          <w:r>
            <w:rPr>
              <w:spacing w:val="-7"/>
              <w:sz w:val="22"/>
              <w:szCs w:val="22"/>
            </w:rPr>
            <w:t>四、常见偏倚及其控制</w:t>
          </w:r>
          <w:r>
            <w:rPr>
              <w:sz w:val="22"/>
              <w:szCs w:val="22"/>
            </w:rPr>
            <w:tab/>
          </w:r>
          <w:r>
            <w:rPr>
              <w:rFonts w:ascii="Times New Roman" w:hAnsi="Times New Roman" w:eastAsia="Times New Roman" w:cs="Times New Roman"/>
              <w:spacing w:val="1"/>
              <w:sz w:val="22"/>
              <w:szCs w:val="22"/>
            </w:rPr>
            <w:t>42</w:t>
          </w:r>
          <w:r>
            <w:rPr>
              <w:rFonts w:ascii="Times New Roman" w:hAnsi="Times New Roman" w:eastAsia="Times New Roman" w:cs="Times New Roman"/>
              <w:spacing w:val="1"/>
              <w:sz w:val="22"/>
              <w:szCs w:val="22"/>
            </w:rPr>
            <w:fldChar w:fldCharType="end"/>
          </w:r>
        </w:p>
        <w:p w14:paraId="39CCBCED">
          <w:pPr>
            <w:pStyle w:val="2"/>
            <w:tabs>
              <w:tab w:val="right" w:leader="dot" w:pos="9635"/>
            </w:tabs>
            <w:spacing w:before="120" w:line="223" w:lineRule="auto"/>
            <w:ind w:left="2140"/>
            <w:rPr>
              <w:rFonts w:ascii="Times New Roman" w:hAnsi="Times New Roman" w:eastAsia="Times New Roman" w:cs="Times New Roman"/>
              <w:sz w:val="22"/>
              <w:szCs w:val="22"/>
            </w:rPr>
          </w:pPr>
          <w:r>
            <w:fldChar w:fldCharType="begin"/>
          </w:r>
          <w:r>
            <w:instrText xml:space="preserve"> HYPERLINK \l "bookmark44" </w:instrText>
          </w:r>
          <w:r>
            <w:fldChar w:fldCharType="separate"/>
          </w:r>
          <w:r>
            <w:rPr>
              <w:spacing w:val="-13"/>
              <w:sz w:val="22"/>
              <w:szCs w:val="22"/>
            </w:rPr>
            <w:t>五</w:t>
          </w:r>
          <w:r>
            <w:rPr>
              <w:spacing w:val="-44"/>
              <w:sz w:val="22"/>
              <w:szCs w:val="22"/>
            </w:rPr>
            <w:t xml:space="preserve"> </w:t>
          </w:r>
          <w:r>
            <w:rPr>
              <w:spacing w:val="-13"/>
              <w:sz w:val="22"/>
              <w:szCs w:val="22"/>
            </w:rPr>
            <w:t>、优点和局限性</w:t>
          </w:r>
          <w:r>
            <w:rPr>
              <w:spacing w:val="-94"/>
              <w:sz w:val="22"/>
              <w:szCs w:val="22"/>
            </w:rPr>
            <w:t xml:space="preserve"> </w:t>
          </w:r>
          <w:r>
            <w:rPr>
              <w:sz w:val="22"/>
              <w:szCs w:val="22"/>
            </w:rPr>
            <w:tab/>
          </w:r>
          <w:r>
            <w:rPr>
              <w:spacing w:val="-45"/>
              <w:sz w:val="22"/>
              <w:szCs w:val="22"/>
            </w:rPr>
            <w:t xml:space="preserve"> </w:t>
          </w:r>
          <w:r>
            <w:rPr>
              <w:rFonts w:ascii="Times New Roman" w:hAnsi="Times New Roman" w:eastAsia="Times New Roman" w:cs="Times New Roman"/>
              <w:spacing w:val="-1"/>
              <w:sz w:val="22"/>
              <w:szCs w:val="22"/>
            </w:rPr>
            <w:t>42</w:t>
          </w:r>
          <w:r>
            <w:rPr>
              <w:rFonts w:ascii="Times New Roman" w:hAnsi="Times New Roman" w:eastAsia="Times New Roman" w:cs="Times New Roman"/>
              <w:spacing w:val="-1"/>
              <w:sz w:val="22"/>
              <w:szCs w:val="22"/>
            </w:rPr>
            <w:fldChar w:fldCharType="end"/>
          </w:r>
        </w:p>
        <w:p w14:paraId="6132579B">
          <w:pPr>
            <w:pStyle w:val="2"/>
            <w:tabs>
              <w:tab w:val="right" w:leader="dot" w:pos="9615"/>
            </w:tabs>
            <w:spacing w:before="131" w:line="221" w:lineRule="auto"/>
            <w:ind w:left="1730"/>
            <w:rPr>
              <w:rFonts w:ascii="Times New Roman" w:hAnsi="Times New Roman" w:eastAsia="Times New Roman" w:cs="Times New Roman"/>
              <w:sz w:val="22"/>
              <w:szCs w:val="22"/>
            </w:rPr>
          </w:pPr>
          <w:r>
            <w:fldChar w:fldCharType="begin"/>
          </w:r>
          <w:r>
            <w:instrText xml:space="preserve"> HYPERLINK \l "bookmark45" </w:instrText>
          </w:r>
          <w:r>
            <w:fldChar w:fldCharType="separate"/>
          </w:r>
          <w:r>
            <w:rPr>
              <w:spacing w:val="6"/>
              <w:sz w:val="22"/>
              <w:szCs w:val="22"/>
            </w:rPr>
            <w:t>第三节 生态学研究</w:t>
          </w:r>
          <w:r>
            <w:rPr>
              <w:spacing w:val="-95"/>
              <w:sz w:val="22"/>
              <w:szCs w:val="22"/>
            </w:rPr>
            <w:t xml:space="preserve"> </w:t>
          </w:r>
          <w:r>
            <w:rPr>
              <w:sz w:val="22"/>
              <w:szCs w:val="22"/>
            </w:rPr>
            <w:tab/>
          </w:r>
          <w:r>
            <w:rPr>
              <w:spacing w:val="-75"/>
              <w:sz w:val="22"/>
              <w:szCs w:val="22"/>
            </w:rPr>
            <w:t xml:space="preserve"> </w:t>
          </w:r>
          <w:r>
            <w:rPr>
              <w:rFonts w:ascii="Times New Roman" w:hAnsi="Times New Roman" w:eastAsia="Times New Roman" w:cs="Times New Roman"/>
              <w:spacing w:val="-1"/>
              <w:sz w:val="22"/>
              <w:szCs w:val="22"/>
            </w:rPr>
            <w:t>43</w:t>
          </w:r>
          <w:r>
            <w:rPr>
              <w:rFonts w:ascii="Times New Roman" w:hAnsi="Times New Roman" w:eastAsia="Times New Roman" w:cs="Times New Roman"/>
              <w:spacing w:val="-1"/>
              <w:sz w:val="22"/>
              <w:szCs w:val="22"/>
            </w:rPr>
            <w:fldChar w:fldCharType="end"/>
          </w:r>
        </w:p>
        <w:p w14:paraId="2E0D2FCB">
          <w:pPr>
            <w:pStyle w:val="2"/>
            <w:tabs>
              <w:tab w:val="right" w:leader="dot" w:pos="9645"/>
            </w:tabs>
            <w:spacing w:before="127" w:line="221" w:lineRule="auto"/>
            <w:ind w:left="2140"/>
            <w:rPr>
              <w:rFonts w:ascii="Times New Roman" w:hAnsi="Times New Roman" w:eastAsia="Times New Roman" w:cs="Times New Roman"/>
              <w:sz w:val="22"/>
              <w:szCs w:val="22"/>
            </w:rPr>
          </w:pPr>
          <w:r>
            <w:fldChar w:fldCharType="begin"/>
          </w:r>
          <w:r>
            <w:instrText xml:space="preserve"> HYPERLINK \l "bookmark46" </w:instrText>
          </w:r>
          <w:r>
            <w:fldChar w:fldCharType="separate"/>
          </w:r>
          <w:r>
            <w:rPr>
              <w:spacing w:val="-17"/>
              <w:sz w:val="22"/>
              <w:szCs w:val="22"/>
            </w:rPr>
            <w:t>一</w:t>
          </w:r>
          <w:r>
            <w:rPr>
              <w:spacing w:val="-46"/>
              <w:sz w:val="22"/>
              <w:szCs w:val="22"/>
            </w:rPr>
            <w:t xml:space="preserve"> </w:t>
          </w:r>
          <w:r>
            <w:rPr>
              <w:spacing w:val="-17"/>
              <w:sz w:val="22"/>
              <w:szCs w:val="22"/>
            </w:rPr>
            <w:t>、概述</w:t>
          </w:r>
          <w:r>
            <w:rPr>
              <w:spacing w:val="-88"/>
              <w:sz w:val="22"/>
              <w:szCs w:val="22"/>
            </w:rPr>
            <w:t xml:space="preserve"> </w:t>
          </w:r>
          <w:r>
            <w:rPr>
              <w:sz w:val="22"/>
              <w:szCs w:val="22"/>
            </w:rPr>
            <w:tab/>
          </w:r>
          <w:r>
            <w:rPr>
              <w:spacing w:val="-75"/>
              <w:sz w:val="22"/>
              <w:szCs w:val="22"/>
            </w:rPr>
            <w:t xml:space="preserve"> </w:t>
          </w:r>
          <w:r>
            <w:rPr>
              <w:rFonts w:ascii="Times New Roman" w:hAnsi="Times New Roman" w:eastAsia="Times New Roman" w:cs="Times New Roman"/>
              <w:spacing w:val="-2"/>
              <w:sz w:val="22"/>
              <w:szCs w:val="22"/>
            </w:rPr>
            <w:t>43</w:t>
          </w:r>
          <w:r>
            <w:rPr>
              <w:rFonts w:ascii="Times New Roman" w:hAnsi="Times New Roman" w:eastAsia="Times New Roman" w:cs="Times New Roman"/>
              <w:spacing w:val="-2"/>
              <w:sz w:val="22"/>
              <w:szCs w:val="22"/>
            </w:rPr>
            <w:fldChar w:fldCharType="end"/>
          </w:r>
        </w:p>
        <w:p w14:paraId="1B754811">
          <w:pPr>
            <w:pStyle w:val="2"/>
            <w:tabs>
              <w:tab w:val="right" w:leader="dot" w:pos="9645"/>
            </w:tabs>
            <w:spacing w:before="126" w:line="221" w:lineRule="auto"/>
            <w:ind w:left="2140"/>
            <w:rPr>
              <w:rFonts w:ascii="Times New Roman" w:hAnsi="Times New Roman" w:eastAsia="Times New Roman" w:cs="Times New Roman"/>
              <w:sz w:val="22"/>
              <w:szCs w:val="22"/>
            </w:rPr>
          </w:pPr>
          <w:r>
            <w:fldChar w:fldCharType="begin"/>
          </w:r>
          <w:r>
            <w:instrText xml:space="preserve"> HYPERLINK \l "bookmark47" </w:instrText>
          </w:r>
          <w:r>
            <w:fldChar w:fldCharType="separate"/>
          </w:r>
          <w:r>
            <w:rPr>
              <w:spacing w:val="-19"/>
              <w:sz w:val="22"/>
              <w:szCs w:val="22"/>
            </w:rPr>
            <w:t>二</w:t>
          </w:r>
          <w:r>
            <w:rPr>
              <w:spacing w:val="-45"/>
              <w:sz w:val="22"/>
              <w:szCs w:val="22"/>
            </w:rPr>
            <w:t xml:space="preserve"> </w:t>
          </w:r>
          <w:r>
            <w:rPr>
              <w:spacing w:val="-19"/>
              <w:sz w:val="22"/>
              <w:szCs w:val="22"/>
            </w:rPr>
            <w:t>、类型</w:t>
          </w:r>
          <w:r>
            <w:rPr>
              <w:spacing w:val="-90"/>
              <w:sz w:val="22"/>
              <w:szCs w:val="22"/>
            </w:rPr>
            <w:t xml:space="preserve"> </w:t>
          </w:r>
          <w:r>
            <w:rPr>
              <w:sz w:val="22"/>
              <w:szCs w:val="22"/>
            </w:rPr>
            <w:tab/>
          </w:r>
          <w:r>
            <w:rPr>
              <w:spacing w:val="-65"/>
              <w:sz w:val="22"/>
              <w:szCs w:val="22"/>
            </w:rPr>
            <w:t xml:space="preserve"> </w:t>
          </w:r>
          <w:r>
            <w:rPr>
              <w:rFonts w:ascii="Times New Roman" w:hAnsi="Times New Roman" w:eastAsia="Times New Roman" w:cs="Times New Roman"/>
              <w:spacing w:val="-2"/>
              <w:sz w:val="22"/>
              <w:szCs w:val="22"/>
            </w:rPr>
            <w:t>44</w:t>
          </w:r>
          <w:r>
            <w:rPr>
              <w:rFonts w:ascii="Times New Roman" w:hAnsi="Times New Roman" w:eastAsia="Times New Roman" w:cs="Times New Roman"/>
              <w:spacing w:val="-2"/>
              <w:sz w:val="22"/>
              <w:szCs w:val="22"/>
            </w:rPr>
            <w:fldChar w:fldCharType="end"/>
          </w:r>
        </w:p>
        <w:p w14:paraId="64F6E39A">
          <w:pPr>
            <w:pStyle w:val="2"/>
            <w:tabs>
              <w:tab w:val="right" w:leader="dot" w:pos="9645"/>
            </w:tabs>
            <w:spacing w:before="140" w:line="223" w:lineRule="auto"/>
            <w:ind w:left="2140"/>
            <w:rPr>
              <w:rFonts w:ascii="Times New Roman" w:hAnsi="Times New Roman" w:eastAsia="Times New Roman" w:cs="Times New Roman"/>
              <w:sz w:val="22"/>
              <w:szCs w:val="22"/>
            </w:rPr>
          </w:pPr>
          <w:r>
            <w:fldChar w:fldCharType="begin"/>
          </w:r>
          <w:r>
            <w:instrText xml:space="preserve"> HYPERLINK \l "bookmark48" </w:instrText>
          </w:r>
          <w:r>
            <w:fldChar w:fldCharType="separate"/>
          </w:r>
          <w:r>
            <w:rPr>
              <w:spacing w:val="-13"/>
              <w:sz w:val="22"/>
              <w:szCs w:val="22"/>
            </w:rPr>
            <w:t>三</w:t>
          </w:r>
          <w:r>
            <w:rPr>
              <w:spacing w:val="-44"/>
              <w:sz w:val="22"/>
              <w:szCs w:val="22"/>
            </w:rPr>
            <w:t xml:space="preserve"> </w:t>
          </w:r>
          <w:r>
            <w:rPr>
              <w:spacing w:val="-13"/>
              <w:sz w:val="22"/>
              <w:szCs w:val="22"/>
            </w:rPr>
            <w:t>、优点和局限性</w:t>
          </w:r>
          <w:r>
            <w:rPr>
              <w:sz w:val="22"/>
              <w:szCs w:val="22"/>
            </w:rPr>
            <w:tab/>
          </w:r>
          <w:r>
            <w:rPr>
              <w:spacing w:val="-25"/>
              <w:sz w:val="22"/>
              <w:szCs w:val="22"/>
            </w:rPr>
            <w:t xml:space="preserve"> </w:t>
          </w:r>
          <w:r>
            <w:rPr>
              <w:rFonts w:ascii="Times New Roman" w:hAnsi="Times New Roman" w:eastAsia="Times New Roman" w:cs="Times New Roman"/>
              <w:spacing w:val="-2"/>
              <w:sz w:val="22"/>
              <w:szCs w:val="22"/>
            </w:rPr>
            <w:t>45</w:t>
          </w:r>
          <w:r>
            <w:rPr>
              <w:rFonts w:ascii="Times New Roman" w:hAnsi="Times New Roman" w:eastAsia="Times New Roman" w:cs="Times New Roman"/>
              <w:spacing w:val="-2"/>
              <w:sz w:val="22"/>
              <w:szCs w:val="22"/>
            </w:rPr>
            <w:fldChar w:fldCharType="end"/>
          </w:r>
        </w:p>
        <w:p w14:paraId="18643594">
          <w:pPr>
            <w:spacing w:line="405" w:lineRule="auto"/>
            <w:rPr>
              <w:rFonts w:ascii="Arial"/>
              <w:sz w:val="21"/>
            </w:rPr>
          </w:pPr>
        </w:p>
        <w:p w14:paraId="26424AA6">
          <w:pPr>
            <w:pStyle w:val="2"/>
            <w:tabs>
              <w:tab w:val="right" w:leader="dot" w:pos="9484"/>
            </w:tabs>
            <w:spacing w:before="71" w:line="222" w:lineRule="auto"/>
            <w:ind w:left="733"/>
            <w:rPr>
              <w:rFonts w:ascii="Times New Roman" w:hAnsi="Times New Roman" w:eastAsia="Times New Roman" w:cs="Times New Roman"/>
              <w:sz w:val="22"/>
              <w:szCs w:val="22"/>
            </w:rPr>
          </w:pPr>
          <w:r>
            <w:fldChar w:fldCharType="begin"/>
          </w:r>
          <w:r>
            <w:instrText xml:space="preserve"> HYPERLINK \l "bookmark49" </w:instrText>
          </w:r>
          <w:r>
            <w:fldChar w:fldCharType="separate"/>
          </w:r>
          <w:r>
            <w:rPr>
              <w:b/>
              <w:bCs/>
              <w:spacing w:val="4"/>
              <w:sz w:val="22"/>
              <w:szCs w:val="22"/>
            </w:rPr>
            <w:t>第四章</w:t>
          </w:r>
          <w:r>
            <w:rPr>
              <w:spacing w:val="87"/>
              <w:sz w:val="22"/>
              <w:szCs w:val="22"/>
            </w:rPr>
            <w:t xml:space="preserve"> </w:t>
          </w:r>
          <w:r>
            <w:rPr>
              <w:b/>
              <w:bCs/>
              <w:spacing w:val="4"/>
              <w:sz w:val="22"/>
              <w:szCs w:val="22"/>
            </w:rPr>
            <w:t>队</w:t>
          </w:r>
          <w:r>
            <w:rPr>
              <w:spacing w:val="-27"/>
              <w:sz w:val="22"/>
              <w:szCs w:val="22"/>
            </w:rPr>
            <w:t xml:space="preserve"> </w:t>
          </w:r>
          <w:r>
            <w:rPr>
              <w:b/>
              <w:bCs/>
              <w:spacing w:val="4"/>
              <w:sz w:val="22"/>
              <w:szCs w:val="22"/>
            </w:rPr>
            <w:t>列</w:t>
          </w:r>
          <w:r>
            <w:rPr>
              <w:spacing w:val="-33"/>
              <w:sz w:val="22"/>
              <w:szCs w:val="22"/>
            </w:rPr>
            <w:t xml:space="preserve"> </w:t>
          </w:r>
          <w:r>
            <w:rPr>
              <w:b/>
              <w:bCs/>
              <w:spacing w:val="4"/>
              <w:sz w:val="22"/>
              <w:szCs w:val="22"/>
            </w:rPr>
            <w:t>研</w:t>
          </w:r>
          <w:r>
            <w:rPr>
              <w:spacing w:val="-31"/>
              <w:sz w:val="22"/>
              <w:szCs w:val="22"/>
            </w:rPr>
            <w:t xml:space="preserve"> </w:t>
          </w:r>
          <w:r>
            <w:rPr>
              <w:b/>
              <w:bCs/>
              <w:spacing w:val="4"/>
              <w:sz w:val="22"/>
              <w:szCs w:val="22"/>
            </w:rPr>
            <w:t>究</w:t>
          </w:r>
          <w:r>
            <w:rPr>
              <w:spacing w:val="-85"/>
              <w:sz w:val="22"/>
              <w:szCs w:val="22"/>
            </w:rPr>
            <w:t xml:space="preserve"> </w:t>
          </w:r>
          <w:r>
            <w:rPr>
              <w:sz w:val="22"/>
              <w:szCs w:val="22"/>
            </w:rPr>
            <w:tab/>
          </w:r>
          <w:r>
            <w:rPr>
              <w:rFonts w:ascii="Times New Roman" w:hAnsi="Times New Roman" w:eastAsia="Times New Roman" w:cs="Times New Roman"/>
              <w:b/>
              <w:bCs/>
              <w:sz w:val="22"/>
              <w:szCs w:val="22"/>
            </w:rPr>
            <w:t>47</w:t>
          </w:r>
          <w:r>
            <w:rPr>
              <w:rFonts w:ascii="Times New Roman" w:hAnsi="Times New Roman" w:eastAsia="Times New Roman" w:cs="Times New Roman"/>
              <w:b/>
              <w:bCs/>
              <w:sz w:val="22"/>
              <w:szCs w:val="22"/>
            </w:rPr>
            <w:fldChar w:fldCharType="end"/>
          </w:r>
        </w:p>
        <w:p w14:paraId="4F43BF8D">
          <w:pPr>
            <w:pStyle w:val="2"/>
            <w:tabs>
              <w:tab w:val="right" w:leader="dot" w:pos="9555"/>
            </w:tabs>
            <w:spacing w:before="148" w:line="221" w:lineRule="auto"/>
            <w:ind w:left="1730"/>
            <w:rPr>
              <w:rFonts w:ascii="Times New Roman" w:hAnsi="Times New Roman" w:eastAsia="Times New Roman" w:cs="Times New Roman"/>
              <w:sz w:val="22"/>
              <w:szCs w:val="22"/>
            </w:rPr>
          </w:pPr>
          <w:r>
            <w:fldChar w:fldCharType="begin"/>
          </w:r>
          <w:r>
            <w:instrText xml:space="preserve"> HYPERLINK \l "bookmark50" </w:instrText>
          </w:r>
          <w:r>
            <w:fldChar w:fldCharType="separate"/>
          </w:r>
          <w:r>
            <w:rPr>
              <w:spacing w:val="6"/>
              <w:sz w:val="22"/>
              <w:szCs w:val="22"/>
            </w:rPr>
            <w:t>第一节</w:t>
          </w:r>
          <w:r>
            <w:rPr>
              <w:spacing w:val="56"/>
              <w:sz w:val="22"/>
              <w:szCs w:val="22"/>
            </w:rPr>
            <w:t xml:space="preserve"> </w:t>
          </w:r>
          <w:r>
            <w:rPr>
              <w:spacing w:val="6"/>
              <w:sz w:val="22"/>
              <w:szCs w:val="22"/>
            </w:rPr>
            <w:t>概述</w:t>
          </w:r>
          <w:r>
            <w:rPr>
              <w:spacing w:val="-87"/>
              <w:sz w:val="22"/>
              <w:szCs w:val="22"/>
            </w:rPr>
            <w:t xml:space="preserve"> </w:t>
          </w:r>
          <w:r>
            <w:rPr>
              <w:sz w:val="22"/>
              <w:szCs w:val="22"/>
            </w:rPr>
            <w:tab/>
          </w:r>
          <w:r>
            <w:rPr>
              <w:rFonts w:ascii="Times New Roman" w:hAnsi="Times New Roman" w:eastAsia="Times New Roman" w:cs="Times New Roman"/>
              <w:spacing w:val="1"/>
              <w:sz w:val="22"/>
              <w:szCs w:val="22"/>
            </w:rPr>
            <w:t>47</w:t>
          </w:r>
          <w:r>
            <w:rPr>
              <w:rFonts w:ascii="Times New Roman" w:hAnsi="Times New Roman" w:eastAsia="Times New Roman" w:cs="Times New Roman"/>
              <w:spacing w:val="1"/>
              <w:sz w:val="22"/>
              <w:szCs w:val="22"/>
            </w:rPr>
            <w:fldChar w:fldCharType="end"/>
          </w:r>
        </w:p>
        <w:p w14:paraId="28B31911">
          <w:pPr>
            <w:pStyle w:val="2"/>
            <w:tabs>
              <w:tab w:val="right" w:leader="dot" w:pos="9615"/>
            </w:tabs>
            <w:spacing w:before="127" w:line="221" w:lineRule="auto"/>
            <w:ind w:left="2140"/>
            <w:rPr>
              <w:rFonts w:ascii="Times New Roman" w:hAnsi="Times New Roman" w:eastAsia="Times New Roman" w:cs="Times New Roman"/>
              <w:sz w:val="22"/>
              <w:szCs w:val="22"/>
            </w:rPr>
          </w:pPr>
          <w:r>
            <w:fldChar w:fldCharType="begin"/>
          </w:r>
          <w:r>
            <w:instrText xml:space="preserve"> HYPERLINK \l "bookmark51" </w:instrText>
          </w:r>
          <w:r>
            <w:fldChar w:fldCharType="separate"/>
          </w:r>
          <w:r>
            <w:rPr>
              <w:spacing w:val="-16"/>
              <w:sz w:val="22"/>
              <w:szCs w:val="22"/>
            </w:rPr>
            <w:t>一</w:t>
          </w:r>
          <w:r>
            <w:rPr>
              <w:spacing w:val="-48"/>
              <w:sz w:val="22"/>
              <w:szCs w:val="22"/>
            </w:rPr>
            <w:t xml:space="preserve"> </w:t>
          </w:r>
          <w:r>
            <w:rPr>
              <w:spacing w:val="-16"/>
              <w:sz w:val="22"/>
              <w:szCs w:val="22"/>
            </w:rPr>
            <w:t>、概念</w:t>
          </w:r>
          <w:r>
            <w:rPr>
              <w:spacing w:val="-89"/>
              <w:sz w:val="22"/>
              <w:szCs w:val="22"/>
            </w:rPr>
            <w:t xml:space="preserve"> </w:t>
          </w:r>
          <w:r>
            <w:rPr>
              <w:sz w:val="22"/>
              <w:szCs w:val="22"/>
            </w:rPr>
            <w:tab/>
          </w:r>
          <w:r>
            <w:rPr>
              <w:rFonts w:ascii="Times New Roman" w:hAnsi="Times New Roman" w:eastAsia="Times New Roman" w:cs="Times New Roman"/>
              <w:sz w:val="22"/>
              <w:szCs w:val="22"/>
            </w:rPr>
            <w:t>47</w:t>
          </w:r>
          <w:r>
            <w:rPr>
              <w:rFonts w:ascii="Times New Roman" w:hAnsi="Times New Roman" w:eastAsia="Times New Roman" w:cs="Times New Roman"/>
              <w:sz w:val="22"/>
              <w:szCs w:val="22"/>
            </w:rPr>
            <w:fldChar w:fldCharType="end"/>
          </w:r>
        </w:p>
        <w:p w14:paraId="5DABEB9B">
          <w:pPr>
            <w:pStyle w:val="2"/>
            <w:tabs>
              <w:tab w:val="right" w:leader="dot" w:pos="9555"/>
            </w:tabs>
            <w:spacing w:before="129" w:line="223" w:lineRule="auto"/>
            <w:ind w:left="2140"/>
            <w:rPr>
              <w:rFonts w:ascii="Times New Roman" w:hAnsi="Times New Roman" w:eastAsia="Times New Roman" w:cs="Times New Roman"/>
              <w:sz w:val="22"/>
              <w:szCs w:val="22"/>
            </w:rPr>
          </w:pPr>
          <w:r>
            <w:fldChar w:fldCharType="begin"/>
          </w:r>
          <w:r>
            <w:instrText xml:space="preserve"> HYPERLINK \l "bookmark52" </w:instrText>
          </w:r>
          <w:r>
            <w:fldChar w:fldCharType="separate"/>
          </w:r>
          <w:r>
            <w:rPr>
              <w:spacing w:val="-17"/>
              <w:sz w:val="22"/>
              <w:szCs w:val="22"/>
            </w:rPr>
            <w:t>二</w:t>
          </w:r>
          <w:r>
            <w:rPr>
              <w:spacing w:val="-58"/>
              <w:sz w:val="22"/>
              <w:szCs w:val="22"/>
            </w:rPr>
            <w:t xml:space="preserve"> </w:t>
          </w:r>
          <w:r>
            <w:rPr>
              <w:spacing w:val="-17"/>
              <w:sz w:val="22"/>
              <w:szCs w:val="22"/>
            </w:rPr>
            <w:t>、基本原理</w:t>
          </w:r>
          <w:r>
            <w:rPr>
              <w:spacing w:val="-81"/>
              <w:sz w:val="22"/>
              <w:szCs w:val="22"/>
            </w:rPr>
            <w:t xml:space="preserve"> </w:t>
          </w:r>
          <w:r>
            <w:rPr>
              <w:sz w:val="22"/>
              <w:szCs w:val="22"/>
            </w:rPr>
            <w:tab/>
          </w:r>
          <w:r>
            <w:rPr>
              <w:rFonts w:ascii="Times New Roman" w:hAnsi="Times New Roman" w:eastAsia="Times New Roman" w:cs="Times New Roman"/>
              <w:spacing w:val="1"/>
              <w:sz w:val="22"/>
              <w:szCs w:val="22"/>
            </w:rPr>
            <w:t>48</w:t>
          </w:r>
          <w:r>
            <w:rPr>
              <w:rFonts w:ascii="Times New Roman" w:hAnsi="Times New Roman" w:eastAsia="Times New Roman" w:cs="Times New Roman"/>
              <w:spacing w:val="1"/>
              <w:sz w:val="22"/>
              <w:szCs w:val="22"/>
            </w:rPr>
            <w:fldChar w:fldCharType="end"/>
          </w:r>
        </w:p>
        <w:p w14:paraId="5AD846B0">
          <w:pPr>
            <w:pStyle w:val="2"/>
            <w:tabs>
              <w:tab w:val="right" w:leader="dot" w:pos="9595"/>
            </w:tabs>
            <w:spacing w:before="133" w:line="222" w:lineRule="auto"/>
            <w:ind w:left="2140"/>
            <w:rPr>
              <w:rFonts w:ascii="Times New Roman" w:hAnsi="Times New Roman" w:eastAsia="Times New Roman" w:cs="Times New Roman"/>
              <w:sz w:val="22"/>
              <w:szCs w:val="22"/>
            </w:rPr>
          </w:pPr>
          <w:r>
            <w:fldChar w:fldCharType="begin"/>
          </w:r>
          <w:r>
            <w:instrText xml:space="preserve"> HYPERLINK \l "bookmark53" </w:instrText>
          </w:r>
          <w:r>
            <w:fldChar w:fldCharType="separate"/>
          </w:r>
          <w:r>
            <w:rPr>
              <w:spacing w:val="-15"/>
              <w:sz w:val="22"/>
              <w:szCs w:val="22"/>
            </w:rPr>
            <w:t>三</w:t>
          </w:r>
          <w:r>
            <w:rPr>
              <w:spacing w:val="-57"/>
              <w:sz w:val="22"/>
              <w:szCs w:val="22"/>
            </w:rPr>
            <w:t xml:space="preserve"> </w:t>
          </w:r>
          <w:r>
            <w:rPr>
              <w:spacing w:val="-15"/>
              <w:sz w:val="22"/>
              <w:szCs w:val="22"/>
            </w:rPr>
            <w:t>、研究目的</w:t>
          </w:r>
          <w:r>
            <w:rPr>
              <w:spacing w:val="-85"/>
              <w:sz w:val="22"/>
              <w:szCs w:val="22"/>
            </w:rPr>
            <w:t xml:space="preserve"> </w:t>
          </w:r>
          <w:r>
            <w:rPr>
              <w:sz w:val="22"/>
              <w:szCs w:val="22"/>
            </w:rPr>
            <w:tab/>
          </w:r>
          <w:r>
            <w:rPr>
              <w:rFonts w:ascii="Times New Roman" w:hAnsi="Times New Roman" w:eastAsia="Times New Roman" w:cs="Times New Roman"/>
              <w:spacing w:val="5"/>
              <w:sz w:val="22"/>
              <w:szCs w:val="22"/>
            </w:rPr>
            <w:t>48</w:t>
          </w:r>
          <w:r>
            <w:rPr>
              <w:rFonts w:ascii="Times New Roman" w:hAnsi="Times New Roman" w:eastAsia="Times New Roman" w:cs="Times New Roman"/>
              <w:spacing w:val="5"/>
              <w:sz w:val="22"/>
              <w:szCs w:val="22"/>
            </w:rPr>
            <w:fldChar w:fldCharType="end"/>
          </w:r>
        </w:p>
        <w:p w14:paraId="757EFDFC">
          <w:pPr>
            <w:pStyle w:val="2"/>
            <w:tabs>
              <w:tab w:val="right" w:leader="dot" w:pos="9605"/>
            </w:tabs>
            <w:spacing w:before="124" w:line="221" w:lineRule="auto"/>
            <w:ind w:left="2140"/>
            <w:rPr>
              <w:rFonts w:ascii="Times New Roman" w:hAnsi="Times New Roman" w:eastAsia="Times New Roman" w:cs="Times New Roman"/>
              <w:sz w:val="22"/>
              <w:szCs w:val="22"/>
            </w:rPr>
          </w:pPr>
          <w:r>
            <w:fldChar w:fldCharType="begin"/>
          </w:r>
          <w:r>
            <w:instrText xml:space="preserve"> HYPERLINK \l "bookmark54" </w:instrText>
          </w:r>
          <w:r>
            <w:fldChar w:fldCharType="separate"/>
          </w:r>
          <w:r>
            <w:rPr>
              <w:spacing w:val="-18"/>
              <w:sz w:val="22"/>
              <w:szCs w:val="22"/>
            </w:rPr>
            <w:t>四</w:t>
          </w:r>
          <w:r>
            <w:rPr>
              <w:spacing w:val="-59"/>
              <w:sz w:val="22"/>
              <w:szCs w:val="22"/>
            </w:rPr>
            <w:t xml:space="preserve"> </w:t>
          </w:r>
          <w:r>
            <w:rPr>
              <w:spacing w:val="-18"/>
              <w:sz w:val="22"/>
              <w:szCs w:val="22"/>
            </w:rPr>
            <w:t>、研究类型</w:t>
          </w:r>
          <w:r>
            <w:rPr>
              <w:spacing w:val="-75"/>
              <w:sz w:val="22"/>
              <w:szCs w:val="22"/>
            </w:rPr>
            <w:t xml:space="preserve"> </w:t>
          </w:r>
          <w:r>
            <w:rPr>
              <w:sz w:val="22"/>
              <w:szCs w:val="22"/>
            </w:rPr>
            <w:tab/>
          </w:r>
          <w:r>
            <w:rPr>
              <w:spacing w:val="-75"/>
              <w:sz w:val="22"/>
              <w:szCs w:val="22"/>
            </w:rPr>
            <w:t xml:space="preserve"> </w:t>
          </w:r>
          <w:r>
            <w:rPr>
              <w:rFonts w:ascii="Times New Roman" w:hAnsi="Times New Roman" w:eastAsia="Times New Roman" w:cs="Times New Roman"/>
              <w:spacing w:val="-1"/>
              <w:sz w:val="22"/>
              <w:szCs w:val="22"/>
            </w:rPr>
            <w:t>49</w:t>
          </w:r>
          <w:r>
            <w:rPr>
              <w:rFonts w:ascii="Times New Roman" w:hAnsi="Times New Roman" w:eastAsia="Times New Roman" w:cs="Times New Roman"/>
              <w:spacing w:val="-1"/>
              <w:sz w:val="22"/>
              <w:szCs w:val="22"/>
            </w:rPr>
            <w:fldChar w:fldCharType="end"/>
          </w:r>
        </w:p>
        <w:p w14:paraId="1DA834BB">
          <w:pPr>
            <w:pStyle w:val="2"/>
            <w:tabs>
              <w:tab w:val="right" w:leader="dot" w:pos="9549"/>
            </w:tabs>
            <w:spacing w:before="127" w:line="221" w:lineRule="auto"/>
            <w:ind w:left="2140"/>
            <w:rPr>
              <w:rFonts w:ascii="Times New Roman" w:hAnsi="Times New Roman" w:eastAsia="Times New Roman" w:cs="Times New Roman"/>
              <w:sz w:val="22"/>
              <w:szCs w:val="22"/>
            </w:rPr>
          </w:pPr>
          <w:r>
            <w:fldChar w:fldCharType="begin"/>
          </w:r>
          <w:r>
            <w:instrText xml:space="preserve"> HYPERLINK \l "bookmark55" </w:instrText>
          </w:r>
          <w:r>
            <w:fldChar w:fldCharType="separate"/>
          </w:r>
          <w:r>
            <w:rPr>
              <w:spacing w:val="-13"/>
              <w:sz w:val="22"/>
              <w:szCs w:val="22"/>
            </w:rPr>
            <w:t>五</w:t>
          </w:r>
          <w:r>
            <w:rPr>
              <w:spacing w:val="-41"/>
              <w:sz w:val="22"/>
              <w:szCs w:val="22"/>
            </w:rPr>
            <w:t xml:space="preserve"> </w:t>
          </w:r>
          <w:r>
            <w:rPr>
              <w:spacing w:val="-13"/>
              <w:sz w:val="22"/>
              <w:szCs w:val="22"/>
            </w:rPr>
            <w:t>、不同研究类型的选用原则</w:t>
          </w:r>
          <w:r>
            <w:rPr>
              <w:spacing w:val="-102"/>
              <w:sz w:val="22"/>
              <w:szCs w:val="22"/>
            </w:rPr>
            <w:t xml:space="preserve"> </w:t>
          </w:r>
          <w:r>
            <w:rPr>
              <w:sz w:val="22"/>
              <w:szCs w:val="22"/>
            </w:rPr>
            <w:tab/>
          </w:r>
          <w:r>
            <w:rPr>
              <w:spacing w:val="-55"/>
              <w:sz w:val="22"/>
              <w:szCs w:val="22"/>
            </w:rPr>
            <w:t xml:space="preserve"> </w:t>
          </w:r>
          <w:r>
            <w:rPr>
              <w:rFonts w:ascii="Times New Roman" w:hAnsi="Times New Roman" w:eastAsia="Times New Roman" w:cs="Times New Roman"/>
              <w:spacing w:val="-3"/>
              <w:sz w:val="22"/>
              <w:szCs w:val="22"/>
            </w:rPr>
            <w:t>50</w:t>
          </w:r>
          <w:r>
            <w:rPr>
              <w:rFonts w:ascii="Times New Roman" w:hAnsi="Times New Roman" w:eastAsia="Times New Roman" w:cs="Times New Roman"/>
              <w:spacing w:val="-3"/>
              <w:sz w:val="22"/>
              <w:szCs w:val="22"/>
            </w:rPr>
            <w:fldChar w:fldCharType="end"/>
          </w:r>
        </w:p>
        <w:p w14:paraId="78F222A6">
          <w:pPr>
            <w:pStyle w:val="2"/>
            <w:tabs>
              <w:tab w:val="right" w:leader="dot" w:pos="9559"/>
            </w:tabs>
            <w:spacing w:before="127" w:line="222" w:lineRule="auto"/>
            <w:ind w:left="1730"/>
            <w:rPr>
              <w:rFonts w:ascii="Times New Roman" w:hAnsi="Times New Roman" w:eastAsia="Times New Roman" w:cs="Times New Roman"/>
              <w:sz w:val="22"/>
              <w:szCs w:val="22"/>
            </w:rPr>
          </w:pPr>
          <w:r>
            <w:fldChar w:fldCharType="begin"/>
          </w:r>
          <w:r>
            <w:instrText xml:space="preserve"> HYPERLINK \l "bookmark56" </w:instrText>
          </w:r>
          <w:r>
            <w:fldChar w:fldCharType="separate"/>
          </w:r>
          <w:r>
            <w:rPr>
              <w:spacing w:val="2"/>
              <w:sz w:val="22"/>
              <w:szCs w:val="22"/>
            </w:rPr>
            <w:t>第二节 研究设计与实施</w:t>
          </w:r>
          <w:r>
            <w:rPr>
              <w:spacing w:val="-83"/>
              <w:sz w:val="22"/>
              <w:szCs w:val="22"/>
            </w:rPr>
            <w:t xml:space="preserve"> </w:t>
          </w:r>
          <w:r>
            <w:rPr>
              <w:sz w:val="22"/>
              <w:szCs w:val="22"/>
            </w:rPr>
            <w:tab/>
          </w:r>
          <w:r>
            <w:rPr>
              <w:rFonts w:ascii="Times New Roman" w:hAnsi="Times New Roman" w:eastAsia="Times New Roman" w:cs="Times New Roman"/>
              <w:spacing w:val="-2"/>
              <w:sz w:val="22"/>
              <w:szCs w:val="22"/>
            </w:rPr>
            <w:t>50</w:t>
          </w:r>
          <w:r>
            <w:rPr>
              <w:rFonts w:ascii="Times New Roman" w:hAnsi="Times New Roman" w:eastAsia="Times New Roman" w:cs="Times New Roman"/>
              <w:spacing w:val="-2"/>
              <w:sz w:val="22"/>
              <w:szCs w:val="22"/>
            </w:rPr>
            <w:fldChar w:fldCharType="end"/>
          </w:r>
        </w:p>
        <w:p w14:paraId="280ACE7D">
          <w:pPr>
            <w:pStyle w:val="2"/>
            <w:tabs>
              <w:tab w:val="right" w:leader="dot" w:pos="9549"/>
            </w:tabs>
            <w:spacing w:before="126" w:line="222" w:lineRule="auto"/>
            <w:ind w:left="2140"/>
            <w:rPr>
              <w:rFonts w:ascii="Times New Roman" w:hAnsi="Times New Roman" w:eastAsia="Times New Roman" w:cs="Times New Roman"/>
              <w:sz w:val="22"/>
              <w:szCs w:val="22"/>
            </w:rPr>
          </w:pPr>
          <w:r>
            <w:fldChar w:fldCharType="begin"/>
          </w:r>
          <w:r>
            <w:instrText xml:space="preserve"> HYPERLINK \l "bookmark57" </w:instrText>
          </w:r>
          <w:r>
            <w:fldChar w:fldCharType="separate"/>
          </w:r>
          <w:r>
            <w:rPr>
              <w:spacing w:val="-13"/>
              <w:sz w:val="22"/>
              <w:szCs w:val="22"/>
            </w:rPr>
            <w:t>一</w:t>
          </w:r>
          <w:r>
            <w:rPr>
              <w:spacing w:val="-44"/>
              <w:sz w:val="22"/>
              <w:szCs w:val="22"/>
            </w:rPr>
            <w:t xml:space="preserve"> </w:t>
          </w:r>
          <w:r>
            <w:rPr>
              <w:spacing w:val="-13"/>
              <w:sz w:val="22"/>
              <w:szCs w:val="22"/>
            </w:rPr>
            <w:t>、确定研究因素</w:t>
          </w:r>
          <w:r>
            <w:rPr>
              <w:sz w:val="22"/>
              <w:szCs w:val="22"/>
            </w:rPr>
            <w:tab/>
          </w:r>
          <w:r>
            <w:rPr>
              <w:rFonts w:ascii="Times New Roman" w:hAnsi="Times New Roman" w:eastAsia="Times New Roman" w:cs="Times New Roman"/>
              <w:spacing w:val="-4"/>
              <w:sz w:val="22"/>
              <w:szCs w:val="22"/>
            </w:rPr>
            <w:t>50</w:t>
          </w:r>
          <w:r>
            <w:rPr>
              <w:rFonts w:ascii="Times New Roman" w:hAnsi="Times New Roman" w:eastAsia="Times New Roman" w:cs="Times New Roman"/>
              <w:spacing w:val="-4"/>
              <w:sz w:val="22"/>
              <w:szCs w:val="22"/>
            </w:rPr>
            <w:fldChar w:fldCharType="end"/>
          </w:r>
        </w:p>
        <w:p w14:paraId="3FFA41E9">
          <w:pPr>
            <w:pStyle w:val="2"/>
            <w:tabs>
              <w:tab w:val="right" w:leader="dot" w:pos="9559"/>
            </w:tabs>
            <w:spacing w:before="125" w:line="222" w:lineRule="auto"/>
            <w:ind w:left="2140"/>
            <w:rPr>
              <w:rFonts w:ascii="Times New Roman" w:hAnsi="Times New Roman" w:eastAsia="Times New Roman" w:cs="Times New Roman"/>
              <w:sz w:val="22"/>
              <w:szCs w:val="22"/>
            </w:rPr>
          </w:pPr>
          <w:r>
            <w:fldChar w:fldCharType="begin"/>
          </w:r>
          <w:r>
            <w:instrText xml:space="preserve"> HYPERLINK \l "bookmark58" </w:instrText>
          </w:r>
          <w:r>
            <w:fldChar w:fldCharType="separate"/>
          </w:r>
          <w:r>
            <w:rPr>
              <w:spacing w:val="-6"/>
              <w:sz w:val="22"/>
              <w:szCs w:val="22"/>
            </w:rPr>
            <w:t>二、确定研究结局</w:t>
          </w:r>
          <w:r>
            <w:rPr>
              <w:sz w:val="22"/>
              <w:szCs w:val="22"/>
            </w:rPr>
            <w:tab/>
          </w:r>
          <w:r>
            <w:rPr>
              <w:rFonts w:ascii="Times New Roman" w:hAnsi="Times New Roman" w:eastAsia="Times New Roman" w:cs="Times New Roman"/>
              <w:spacing w:val="2"/>
              <w:sz w:val="22"/>
              <w:szCs w:val="22"/>
            </w:rPr>
            <w:t>50</w:t>
          </w:r>
          <w:r>
            <w:rPr>
              <w:rFonts w:ascii="Times New Roman" w:hAnsi="Times New Roman" w:eastAsia="Times New Roman" w:cs="Times New Roman"/>
              <w:spacing w:val="2"/>
              <w:sz w:val="22"/>
              <w:szCs w:val="22"/>
            </w:rPr>
            <w:fldChar w:fldCharType="end"/>
          </w:r>
        </w:p>
        <w:p w14:paraId="08D7A126">
          <w:pPr>
            <w:pStyle w:val="2"/>
            <w:tabs>
              <w:tab w:val="right" w:leader="dot" w:pos="9589"/>
            </w:tabs>
            <w:spacing w:before="145" w:line="221" w:lineRule="auto"/>
            <w:ind w:left="2140"/>
            <w:rPr>
              <w:rFonts w:ascii="Times New Roman" w:hAnsi="Times New Roman" w:eastAsia="Times New Roman" w:cs="Times New Roman"/>
              <w:sz w:val="22"/>
              <w:szCs w:val="22"/>
            </w:rPr>
          </w:pPr>
          <w:r>
            <w:fldChar w:fldCharType="begin"/>
          </w:r>
          <w:r>
            <w:instrText xml:space="preserve"> HYPERLINK \l "bookmark59" </w:instrText>
          </w:r>
          <w:r>
            <w:fldChar w:fldCharType="separate"/>
          </w:r>
          <w:r>
            <w:rPr>
              <w:spacing w:val="-14"/>
              <w:sz w:val="22"/>
              <w:szCs w:val="22"/>
            </w:rPr>
            <w:t>三</w:t>
          </w:r>
          <w:r>
            <w:rPr>
              <w:spacing w:val="-39"/>
              <w:sz w:val="22"/>
              <w:szCs w:val="22"/>
            </w:rPr>
            <w:t xml:space="preserve"> </w:t>
          </w:r>
          <w:r>
            <w:rPr>
              <w:spacing w:val="-14"/>
              <w:sz w:val="22"/>
              <w:szCs w:val="22"/>
            </w:rPr>
            <w:t>、确定研究现场与研究人群</w:t>
          </w:r>
          <w:r>
            <w:rPr>
              <w:spacing w:val="-91"/>
              <w:sz w:val="22"/>
              <w:szCs w:val="22"/>
            </w:rPr>
            <w:t xml:space="preserve"> </w:t>
          </w:r>
          <w:r>
            <w:rPr>
              <w:sz w:val="22"/>
              <w:szCs w:val="22"/>
            </w:rPr>
            <w:tab/>
          </w:r>
          <w:r>
            <w:rPr>
              <w:spacing w:val="-15"/>
              <w:sz w:val="22"/>
              <w:szCs w:val="22"/>
            </w:rPr>
            <w:t xml:space="preserve"> </w:t>
          </w:r>
          <w:r>
            <w:rPr>
              <w:rFonts w:ascii="Times New Roman" w:hAnsi="Times New Roman" w:eastAsia="Times New Roman" w:cs="Times New Roman"/>
              <w:spacing w:val="-3"/>
              <w:sz w:val="22"/>
              <w:szCs w:val="22"/>
            </w:rPr>
            <w:t>51</w:t>
          </w:r>
          <w:r>
            <w:rPr>
              <w:rFonts w:ascii="Times New Roman" w:hAnsi="Times New Roman" w:eastAsia="Times New Roman" w:cs="Times New Roman"/>
              <w:spacing w:val="-3"/>
              <w:sz w:val="22"/>
              <w:szCs w:val="22"/>
            </w:rPr>
            <w:fldChar w:fldCharType="end"/>
          </w:r>
        </w:p>
        <w:p w14:paraId="7F6CF5ED">
          <w:pPr>
            <w:pStyle w:val="2"/>
            <w:tabs>
              <w:tab w:val="right" w:leader="dot" w:pos="9559"/>
            </w:tabs>
            <w:spacing w:before="107" w:line="222" w:lineRule="auto"/>
            <w:ind w:left="2140"/>
            <w:rPr>
              <w:rFonts w:ascii="Times New Roman" w:hAnsi="Times New Roman" w:eastAsia="Times New Roman" w:cs="Times New Roman"/>
              <w:sz w:val="22"/>
              <w:szCs w:val="22"/>
            </w:rPr>
          </w:pPr>
          <w:r>
            <w:fldChar w:fldCharType="begin"/>
          </w:r>
          <w:r>
            <w:instrText xml:space="preserve"> HYPERLINK \l "bookmark60" </w:instrText>
          </w:r>
          <w:r>
            <w:fldChar w:fldCharType="separate"/>
          </w:r>
          <w:r>
            <w:rPr>
              <w:spacing w:val="-16"/>
              <w:sz w:val="22"/>
              <w:szCs w:val="22"/>
            </w:rPr>
            <w:t>四</w:t>
          </w:r>
          <w:r>
            <w:rPr>
              <w:spacing w:val="-56"/>
              <w:sz w:val="22"/>
              <w:szCs w:val="22"/>
            </w:rPr>
            <w:t xml:space="preserve"> </w:t>
          </w:r>
          <w:r>
            <w:rPr>
              <w:spacing w:val="-16"/>
              <w:sz w:val="22"/>
              <w:szCs w:val="22"/>
            </w:rPr>
            <w:t>、确定样本量</w:t>
          </w:r>
          <w:r>
            <w:rPr>
              <w:spacing w:val="-94"/>
              <w:sz w:val="22"/>
              <w:szCs w:val="22"/>
            </w:rPr>
            <w:t xml:space="preserve"> </w:t>
          </w:r>
          <w:r>
            <w:rPr>
              <w:sz w:val="22"/>
              <w:szCs w:val="22"/>
            </w:rPr>
            <w:tab/>
          </w:r>
          <w:r>
            <w:rPr>
              <w:rFonts w:ascii="Times New Roman" w:hAnsi="Times New Roman" w:eastAsia="Times New Roman" w:cs="Times New Roman"/>
              <w:spacing w:val="2"/>
              <w:sz w:val="22"/>
              <w:szCs w:val="22"/>
            </w:rPr>
            <w:t>52</w:t>
          </w:r>
          <w:r>
            <w:rPr>
              <w:rFonts w:ascii="Times New Roman" w:hAnsi="Times New Roman" w:eastAsia="Times New Roman" w:cs="Times New Roman"/>
              <w:spacing w:val="2"/>
              <w:sz w:val="22"/>
              <w:szCs w:val="22"/>
            </w:rPr>
            <w:fldChar w:fldCharType="end"/>
          </w:r>
        </w:p>
        <w:p w14:paraId="4727B367">
          <w:pPr>
            <w:pStyle w:val="2"/>
            <w:tabs>
              <w:tab w:val="right" w:leader="dot" w:pos="9549"/>
            </w:tabs>
            <w:spacing w:before="126" w:line="222" w:lineRule="auto"/>
            <w:ind w:left="2140"/>
            <w:rPr>
              <w:rFonts w:ascii="Times New Roman" w:hAnsi="Times New Roman" w:eastAsia="Times New Roman" w:cs="Times New Roman"/>
              <w:sz w:val="22"/>
              <w:szCs w:val="22"/>
            </w:rPr>
          </w:pPr>
          <w:r>
            <w:fldChar w:fldCharType="begin"/>
          </w:r>
          <w:r>
            <w:instrText xml:space="preserve"> HYPERLINK \l "bookmark61" </w:instrText>
          </w:r>
          <w:r>
            <w:fldChar w:fldCharType="separate"/>
          </w:r>
          <w:r>
            <w:rPr>
              <w:spacing w:val="-8"/>
              <w:sz w:val="22"/>
              <w:szCs w:val="22"/>
            </w:rPr>
            <w:t>五、资料的收集与随访</w:t>
          </w:r>
          <w:r>
            <w:rPr>
              <w:spacing w:val="-92"/>
              <w:sz w:val="22"/>
              <w:szCs w:val="22"/>
            </w:rPr>
            <w:t xml:space="preserve"> </w:t>
          </w:r>
          <w:r>
            <w:rPr>
              <w:sz w:val="22"/>
              <w:szCs w:val="22"/>
            </w:rPr>
            <w:tab/>
          </w:r>
          <w:r>
            <w:rPr>
              <w:rFonts w:ascii="Times New Roman" w:hAnsi="Times New Roman" w:eastAsia="Times New Roman" w:cs="Times New Roman"/>
              <w:spacing w:val="7"/>
              <w:sz w:val="22"/>
              <w:szCs w:val="22"/>
            </w:rPr>
            <w:t>53</w:t>
          </w:r>
          <w:r>
            <w:rPr>
              <w:rFonts w:ascii="Times New Roman" w:hAnsi="Times New Roman" w:eastAsia="Times New Roman" w:cs="Times New Roman"/>
              <w:spacing w:val="7"/>
              <w:sz w:val="22"/>
              <w:szCs w:val="22"/>
            </w:rPr>
            <w:fldChar w:fldCharType="end"/>
          </w:r>
        </w:p>
        <w:p w14:paraId="4E758196">
          <w:pPr>
            <w:pStyle w:val="2"/>
            <w:tabs>
              <w:tab w:val="right" w:leader="dot" w:pos="9572"/>
            </w:tabs>
            <w:spacing w:before="133" w:line="222" w:lineRule="auto"/>
            <w:ind w:left="2143"/>
            <w:rPr>
              <w:rFonts w:ascii="Times New Roman" w:hAnsi="Times New Roman" w:eastAsia="Times New Roman" w:cs="Times New Roman"/>
              <w:sz w:val="22"/>
              <w:szCs w:val="22"/>
            </w:rPr>
          </w:pPr>
          <w:r>
            <w:fldChar w:fldCharType="begin"/>
          </w:r>
          <w:r>
            <w:instrText xml:space="preserve"> HYPERLINK \l "bookmark62" </w:instrText>
          </w:r>
          <w:r>
            <w:fldChar w:fldCharType="separate"/>
          </w:r>
          <w:r>
            <w:rPr>
              <w:b/>
              <w:bCs/>
              <w:spacing w:val="-8"/>
              <w:sz w:val="22"/>
              <w:szCs w:val="22"/>
            </w:rPr>
            <w:t>六、质量控制</w:t>
          </w:r>
          <w:r>
            <w:rPr>
              <w:b/>
              <w:bCs/>
              <w:sz w:val="22"/>
              <w:szCs w:val="22"/>
            </w:rPr>
            <w:tab/>
          </w:r>
          <w:r>
            <w:rPr>
              <w:rFonts w:ascii="Times New Roman" w:hAnsi="Times New Roman" w:eastAsia="Times New Roman" w:cs="Times New Roman"/>
              <w:b/>
              <w:bCs/>
              <w:spacing w:val="-3"/>
              <w:sz w:val="22"/>
              <w:szCs w:val="22"/>
            </w:rPr>
            <w:t>54</w:t>
          </w:r>
          <w:r>
            <w:rPr>
              <w:rFonts w:ascii="Times New Roman" w:hAnsi="Times New Roman" w:eastAsia="Times New Roman" w:cs="Times New Roman"/>
              <w:b/>
              <w:bCs/>
              <w:spacing w:val="-3"/>
              <w:sz w:val="22"/>
              <w:szCs w:val="22"/>
            </w:rPr>
            <w:fldChar w:fldCharType="end"/>
          </w:r>
        </w:p>
        <w:p w14:paraId="1AB7198A">
          <w:pPr>
            <w:pStyle w:val="2"/>
            <w:tabs>
              <w:tab w:val="right" w:leader="dot" w:pos="9572"/>
            </w:tabs>
            <w:spacing w:before="124" w:line="222" w:lineRule="auto"/>
            <w:ind w:left="1733"/>
            <w:rPr>
              <w:rFonts w:ascii="Times New Roman" w:hAnsi="Times New Roman" w:eastAsia="Times New Roman" w:cs="Times New Roman"/>
              <w:sz w:val="22"/>
              <w:szCs w:val="22"/>
            </w:rPr>
          </w:pPr>
          <w:r>
            <w:fldChar w:fldCharType="begin"/>
          </w:r>
          <w:r>
            <w:instrText xml:space="preserve"> HYPERLINK \l "bookmark63" </w:instrText>
          </w:r>
          <w:r>
            <w:fldChar w:fldCharType="separate"/>
          </w:r>
          <w:r>
            <w:rPr>
              <w:b/>
              <w:bCs/>
              <w:spacing w:val="-2"/>
              <w:sz w:val="22"/>
              <w:szCs w:val="22"/>
            </w:rPr>
            <w:t>第三节</w:t>
          </w:r>
          <w:r>
            <w:rPr>
              <w:spacing w:val="-2"/>
              <w:sz w:val="22"/>
              <w:szCs w:val="22"/>
            </w:rPr>
            <w:t xml:space="preserve"> </w:t>
          </w:r>
          <w:r>
            <w:rPr>
              <w:b/>
              <w:bCs/>
              <w:spacing w:val="-2"/>
              <w:sz w:val="22"/>
              <w:szCs w:val="22"/>
            </w:rPr>
            <w:t>资料的整理与分析</w:t>
          </w:r>
          <w:r>
            <w:rPr>
              <w:spacing w:val="-86"/>
              <w:sz w:val="22"/>
              <w:szCs w:val="22"/>
            </w:rPr>
            <w:t xml:space="preserve"> </w:t>
          </w:r>
          <w:r>
            <w:rPr>
              <w:sz w:val="22"/>
              <w:szCs w:val="22"/>
            </w:rPr>
            <w:tab/>
          </w:r>
          <w:r>
            <w:rPr>
              <w:spacing w:val="-81"/>
              <w:sz w:val="22"/>
              <w:szCs w:val="22"/>
            </w:rPr>
            <w:t xml:space="preserve"> </w:t>
          </w:r>
          <w:r>
            <w:rPr>
              <w:rFonts w:ascii="Times New Roman" w:hAnsi="Times New Roman" w:eastAsia="Times New Roman" w:cs="Times New Roman"/>
              <w:b/>
              <w:bCs/>
              <w:spacing w:val="-2"/>
              <w:sz w:val="22"/>
              <w:szCs w:val="22"/>
            </w:rPr>
            <w:t>54</w:t>
          </w:r>
          <w:r>
            <w:rPr>
              <w:rFonts w:ascii="Times New Roman" w:hAnsi="Times New Roman" w:eastAsia="Times New Roman" w:cs="Times New Roman"/>
              <w:b/>
              <w:bCs/>
              <w:spacing w:val="-2"/>
              <w:sz w:val="22"/>
              <w:szCs w:val="22"/>
            </w:rPr>
            <w:fldChar w:fldCharType="end"/>
          </w:r>
        </w:p>
        <w:p w14:paraId="0F6D7646">
          <w:pPr>
            <w:pStyle w:val="2"/>
            <w:tabs>
              <w:tab w:val="right" w:leader="dot" w:pos="9562"/>
            </w:tabs>
            <w:spacing w:before="126" w:line="222" w:lineRule="auto"/>
            <w:ind w:left="2143"/>
            <w:rPr>
              <w:rFonts w:ascii="Times New Roman" w:hAnsi="Times New Roman" w:eastAsia="Times New Roman" w:cs="Times New Roman"/>
              <w:sz w:val="22"/>
              <w:szCs w:val="22"/>
            </w:rPr>
          </w:pPr>
          <w:r>
            <w:fldChar w:fldCharType="begin"/>
          </w:r>
          <w:r>
            <w:instrText xml:space="preserve"> HYPERLINK \l "bookmark64" </w:instrText>
          </w:r>
          <w:r>
            <w:fldChar w:fldCharType="separate"/>
          </w:r>
          <w:r>
            <w:rPr>
              <w:b/>
              <w:bCs/>
              <w:spacing w:val="-16"/>
              <w:sz w:val="22"/>
              <w:szCs w:val="22"/>
            </w:rPr>
            <w:t>一</w:t>
          </w:r>
          <w:r>
            <w:rPr>
              <w:spacing w:val="-48"/>
              <w:sz w:val="22"/>
              <w:szCs w:val="22"/>
            </w:rPr>
            <w:t xml:space="preserve"> </w:t>
          </w:r>
          <w:r>
            <w:rPr>
              <w:b/>
              <w:bCs/>
              <w:spacing w:val="-16"/>
              <w:sz w:val="22"/>
              <w:szCs w:val="22"/>
            </w:rPr>
            <w:t>、资料整理模式</w:t>
          </w:r>
          <w:r>
            <w:rPr>
              <w:spacing w:val="-97"/>
              <w:sz w:val="22"/>
              <w:szCs w:val="22"/>
            </w:rPr>
            <w:t xml:space="preserve"> </w:t>
          </w:r>
          <w:r>
            <w:rPr>
              <w:sz w:val="22"/>
              <w:szCs w:val="22"/>
            </w:rPr>
            <w:tab/>
          </w:r>
          <w:r>
            <w:rPr>
              <w:rFonts w:ascii="Times New Roman" w:hAnsi="Times New Roman" w:eastAsia="Times New Roman" w:cs="Times New Roman"/>
              <w:b/>
              <w:bCs/>
              <w:spacing w:val="-3"/>
              <w:sz w:val="22"/>
              <w:szCs w:val="22"/>
            </w:rPr>
            <w:t>54</w:t>
          </w:r>
          <w:r>
            <w:rPr>
              <w:rFonts w:ascii="Times New Roman" w:hAnsi="Times New Roman" w:eastAsia="Times New Roman" w:cs="Times New Roman"/>
              <w:b/>
              <w:bCs/>
              <w:spacing w:val="-3"/>
              <w:sz w:val="22"/>
              <w:szCs w:val="22"/>
            </w:rPr>
            <w:fldChar w:fldCharType="end"/>
          </w:r>
        </w:p>
        <w:p w14:paraId="370EFE19">
          <w:pPr>
            <w:pStyle w:val="2"/>
            <w:tabs>
              <w:tab w:val="right" w:leader="dot" w:pos="9562"/>
            </w:tabs>
            <w:spacing w:before="125" w:line="222" w:lineRule="auto"/>
            <w:ind w:left="2143"/>
            <w:rPr>
              <w:rFonts w:ascii="Times New Roman" w:hAnsi="Times New Roman" w:eastAsia="Times New Roman" w:cs="Times New Roman"/>
              <w:sz w:val="22"/>
              <w:szCs w:val="22"/>
            </w:rPr>
          </w:pPr>
          <w:r>
            <w:fldChar w:fldCharType="begin"/>
          </w:r>
          <w:r>
            <w:instrText xml:space="preserve"> HYPERLINK \l "bookmark65" </w:instrText>
          </w:r>
          <w:r>
            <w:fldChar w:fldCharType="separate"/>
          </w:r>
          <w:r>
            <w:rPr>
              <w:b/>
              <w:bCs/>
              <w:spacing w:val="-17"/>
              <w:sz w:val="22"/>
              <w:szCs w:val="22"/>
            </w:rPr>
            <w:t>二</w:t>
          </w:r>
          <w:r>
            <w:rPr>
              <w:spacing w:val="-51"/>
              <w:sz w:val="22"/>
              <w:szCs w:val="22"/>
            </w:rPr>
            <w:t xml:space="preserve"> </w:t>
          </w:r>
          <w:r>
            <w:rPr>
              <w:b/>
              <w:bCs/>
              <w:spacing w:val="-17"/>
              <w:sz w:val="22"/>
              <w:szCs w:val="22"/>
            </w:rPr>
            <w:t>、人时的计算</w:t>
          </w:r>
          <w:r>
            <w:rPr>
              <w:spacing w:val="-91"/>
              <w:sz w:val="22"/>
              <w:szCs w:val="22"/>
            </w:rPr>
            <w:t xml:space="preserve"> </w:t>
          </w:r>
          <w:r>
            <w:rPr>
              <w:sz w:val="22"/>
              <w:szCs w:val="22"/>
            </w:rPr>
            <w:tab/>
          </w:r>
          <w:r>
            <w:rPr>
              <w:rFonts w:ascii="Times New Roman" w:hAnsi="Times New Roman" w:eastAsia="Times New Roman" w:cs="Times New Roman"/>
              <w:b/>
              <w:bCs/>
              <w:spacing w:val="2"/>
              <w:sz w:val="22"/>
              <w:szCs w:val="22"/>
            </w:rPr>
            <w:t>55</w:t>
          </w:r>
          <w:r>
            <w:rPr>
              <w:rFonts w:ascii="Times New Roman" w:hAnsi="Times New Roman" w:eastAsia="Times New Roman" w:cs="Times New Roman"/>
              <w:b/>
              <w:bCs/>
              <w:spacing w:val="2"/>
              <w:sz w:val="22"/>
              <w:szCs w:val="22"/>
            </w:rPr>
            <w:fldChar w:fldCharType="end"/>
          </w:r>
        </w:p>
        <w:p w14:paraId="6F2CB617">
          <w:pPr>
            <w:pStyle w:val="2"/>
            <w:tabs>
              <w:tab w:val="right" w:leader="dot" w:pos="9559"/>
            </w:tabs>
            <w:spacing w:before="126" w:line="222" w:lineRule="auto"/>
            <w:ind w:left="2143"/>
            <w:rPr>
              <w:rFonts w:ascii="Times New Roman" w:hAnsi="Times New Roman" w:eastAsia="Times New Roman" w:cs="Times New Roman"/>
              <w:sz w:val="22"/>
              <w:szCs w:val="22"/>
            </w:rPr>
          </w:pPr>
          <w:r>
            <w:fldChar w:fldCharType="begin"/>
          </w:r>
          <w:r>
            <w:instrText xml:space="preserve"> HYPERLINK \l "bookmark66" </w:instrText>
          </w:r>
          <w:r>
            <w:fldChar w:fldCharType="separate"/>
          </w:r>
          <w:r>
            <w:rPr>
              <w:b/>
              <w:bCs/>
              <w:spacing w:val="-8"/>
              <w:sz w:val="22"/>
              <w:szCs w:val="22"/>
            </w:rPr>
            <w:t>三、率的计算</w:t>
          </w:r>
          <w:r>
            <w:rPr>
              <w:spacing w:val="-81"/>
              <w:sz w:val="22"/>
              <w:szCs w:val="22"/>
            </w:rPr>
            <w:t xml:space="preserve"> </w:t>
          </w:r>
          <w:r>
            <w:rPr>
              <w:sz w:val="22"/>
              <w:szCs w:val="22"/>
            </w:rPr>
            <w:tab/>
          </w:r>
          <w:r>
            <w:rPr>
              <w:rFonts w:ascii="Times New Roman" w:hAnsi="Times New Roman" w:eastAsia="Times New Roman" w:cs="Times New Roman"/>
              <w:sz w:val="22"/>
              <w:szCs w:val="22"/>
            </w:rPr>
            <w:t>55</w:t>
          </w:r>
          <w:r>
            <w:rPr>
              <w:rFonts w:ascii="Times New Roman" w:hAnsi="Times New Roman" w:eastAsia="Times New Roman" w:cs="Times New Roman"/>
              <w:sz w:val="22"/>
              <w:szCs w:val="22"/>
            </w:rPr>
            <w:fldChar w:fldCharType="end"/>
          </w:r>
        </w:p>
        <w:p w14:paraId="754E0E37">
          <w:pPr>
            <w:pStyle w:val="2"/>
            <w:tabs>
              <w:tab w:val="right" w:leader="dot" w:pos="9612"/>
            </w:tabs>
            <w:spacing w:before="135" w:line="221" w:lineRule="auto"/>
            <w:ind w:left="2143"/>
            <w:rPr>
              <w:rFonts w:ascii="Times New Roman" w:hAnsi="Times New Roman" w:eastAsia="Times New Roman" w:cs="Times New Roman"/>
              <w:sz w:val="22"/>
              <w:szCs w:val="22"/>
            </w:rPr>
          </w:pPr>
          <w:r>
            <w:fldChar w:fldCharType="begin"/>
          </w:r>
          <w:r>
            <w:instrText xml:space="preserve"> HYPERLINK \l "bookmark67" </w:instrText>
          </w:r>
          <w:r>
            <w:fldChar w:fldCharType="separate"/>
          </w:r>
          <w:r>
            <w:rPr>
              <w:b/>
              <w:bCs/>
              <w:spacing w:val="-18"/>
              <w:sz w:val="22"/>
              <w:szCs w:val="22"/>
            </w:rPr>
            <w:t>四</w:t>
          </w:r>
          <w:r>
            <w:rPr>
              <w:spacing w:val="-55"/>
              <w:sz w:val="22"/>
              <w:szCs w:val="22"/>
            </w:rPr>
            <w:t xml:space="preserve"> </w:t>
          </w:r>
          <w:r>
            <w:rPr>
              <w:b/>
              <w:bCs/>
              <w:spacing w:val="-18"/>
              <w:sz w:val="22"/>
              <w:szCs w:val="22"/>
            </w:rPr>
            <w:t>、效应估计</w:t>
          </w:r>
          <w:r>
            <w:rPr>
              <w:spacing w:val="-76"/>
              <w:sz w:val="22"/>
              <w:szCs w:val="22"/>
            </w:rPr>
            <w:t xml:space="preserve"> </w:t>
          </w:r>
          <w:r>
            <w:rPr>
              <w:sz w:val="22"/>
              <w:szCs w:val="22"/>
            </w:rPr>
            <w:tab/>
          </w:r>
          <w:r>
            <w:rPr>
              <w:rFonts w:ascii="Times New Roman" w:hAnsi="Times New Roman" w:eastAsia="Times New Roman" w:cs="Times New Roman"/>
              <w:b/>
              <w:bCs/>
              <w:spacing w:val="5"/>
              <w:sz w:val="22"/>
              <w:szCs w:val="22"/>
            </w:rPr>
            <w:t>57</w:t>
          </w:r>
          <w:r>
            <w:rPr>
              <w:rFonts w:ascii="Times New Roman" w:hAnsi="Times New Roman" w:eastAsia="Times New Roman" w:cs="Times New Roman"/>
              <w:b/>
              <w:bCs/>
              <w:spacing w:val="5"/>
              <w:sz w:val="22"/>
              <w:szCs w:val="22"/>
            </w:rPr>
            <w:fldChar w:fldCharType="end"/>
          </w:r>
        </w:p>
        <w:p w14:paraId="16D070D4">
          <w:pPr>
            <w:pStyle w:val="2"/>
            <w:tabs>
              <w:tab w:val="right" w:leader="dot" w:pos="9559"/>
            </w:tabs>
            <w:spacing w:before="126" w:line="221" w:lineRule="auto"/>
            <w:ind w:left="1733"/>
            <w:rPr>
              <w:rFonts w:ascii="Times New Roman" w:hAnsi="Times New Roman" w:eastAsia="Times New Roman" w:cs="Times New Roman"/>
              <w:sz w:val="22"/>
              <w:szCs w:val="22"/>
            </w:rPr>
          </w:pPr>
          <w:r>
            <w:fldChar w:fldCharType="begin"/>
          </w:r>
          <w:r>
            <w:instrText xml:space="preserve"> HYPERLINK \l "bookmark68" </w:instrText>
          </w:r>
          <w:r>
            <w:fldChar w:fldCharType="separate"/>
          </w:r>
          <w:r>
            <w:rPr>
              <w:b/>
              <w:bCs/>
              <w:sz w:val="22"/>
              <w:szCs w:val="22"/>
            </w:rPr>
            <w:t>第四节</w:t>
          </w:r>
          <w:r>
            <w:rPr>
              <w:sz w:val="22"/>
              <w:szCs w:val="22"/>
            </w:rPr>
            <w:t xml:space="preserve"> </w:t>
          </w:r>
          <w:r>
            <w:rPr>
              <w:b/>
              <w:bCs/>
              <w:sz w:val="22"/>
              <w:szCs w:val="22"/>
            </w:rPr>
            <w:t>常见偏倚及其控制</w:t>
          </w:r>
          <w:r>
            <w:rPr>
              <w:spacing w:val="-90"/>
              <w:sz w:val="22"/>
              <w:szCs w:val="22"/>
            </w:rPr>
            <w:t xml:space="preserve"> </w:t>
          </w:r>
          <w:r>
            <w:rPr>
              <w:sz w:val="22"/>
              <w:szCs w:val="22"/>
            </w:rPr>
            <w:tab/>
          </w:r>
          <w:r>
            <w:rPr>
              <w:rFonts w:ascii="Times New Roman" w:hAnsi="Times New Roman" w:eastAsia="Times New Roman" w:cs="Times New Roman"/>
              <w:spacing w:val="-3"/>
              <w:sz w:val="22"/>
              <w:szCs w:val="22"/>
            </w:rPr>
            <w:t>59</w:t>
          </w:r>
          <w:r>
            <w:rPr>
              <w:rFonts w:ascii="Times New Roman" w:hAnsi="Times New Roman" w:eastAsia="Times New Roman" w:cs="Times New Roman"/>
              <w:spacing w:val="-3"/>
              <w:sz w:val="22"/>
              <w:szCs w:val="22"/>
            </w:rPr>
            <w:fldChar w:fldCharType="end"/>
          </w:r>
        </w:p>
      </w:sdtContent>
    </w:sdt>
    <w:p w14:paraId="62B95155">
      <w:pPr>
        <w:spacing w:line="221" w:lineRule="auto"/>
        <w:rPr>
          <w:rFonts w:ascii="Times New Roman" w:hAnsi="Times New Roman" w:eastAsia="Times New Roman" w:cs="Times New Roman"/>
          <w:sz w:val="22"/>
          <w:szCs w:val="22"/>
        </w:rPr>
        <w:sectPr>
          <w:footerReference r:id="rId20" w:type="default"/>
          <w:pgSz w:w="11900" w:h="16820"/>
          <w:pgMar w:top="400" w:right="1543" w:bottom="830" w:left="709" w:header="0" w:footer="632" w:gutter="0"/>
          <w:cols w:space="720" w:num="1"/>
        </w:sectPr>
      </w:pPr>
    </w:p>
    <w:p w14:paraId="5FCF7EE1">
      <w:pPr>
        <w:spacing w:line="333" w:lineRule="auto"/>
        <w:rPr>
          <w:rFonts w:ascii="Arial"/>
          <w:sz w:val="21"/>
        </w:rPr>
      </w:pPr>
    </w:p>
    <w:sdt>
      <w:sdtPr>
        <w:rPr>
          <w:rFonts w:ascii="黑体" w:hAnsi="黑体" w:eastAsia="黑体" w:cs="黑体"/>
          <w:sz w:val="18"/>
          <w:szCs w:val="18"/>
        </w:rPr>
        <w:id w:val="594155887"/>
        <w:docPartObj>
          <w:docPartGallery w:val="Table of Contents"/>
          <w:docPartUnique/>
        </w:docPartObj>
      </w:sdtPr>
      <w:sdtEndPr>
        <w:rPr>
          <w:rFonts w:ascii="Times New Roman" w:hAnsi="Times New Roman" w:eastAsia="Times New Roman" w:cs="Times New Roman"/>
          <w:sz w:val="23"/>
          <w:szCs w:val="23"/>
        </w:rPr>
      </w:sdtEndPr>
      <w:sdtContent>
        <w:p w14:paraId="396BC8DD">
          <w:pPr>
            <w:pStyle w:val="2"/>
            <w:spacing w:before="58" w:line="222" w:lineRule="auto"/>
            <w:ind w:left="8899"/>
            <w:rPr>
              <w:sz w:val="18"/>
              <w:szCs w:val="18"/>
            </w:rPr>
          </w:pPr>
          <w:bookmarkStart w:id="2" w:name="bookmark69"/>
          <w:bookmarkEnd w:id="2"/>
          <w:r>
            <w:rPr>
              <w:b/>
              <w:bCs/>
              <w:sz w:val="18"/>
              <w:szCs w:val="18"/>
            </w:rPr>
            <w:t>目录</w:t>
          </w:r>
        </w:p>
        <w:p w14:paraId="640F7A50">
          <w:pPr>
            <w:spacing w:line="245" w:lineRule="auto"/>
            <w:rPr>
              <w:rFonts w:ascii="Arial"/>
              <w:sz w:val="21"/>
            </w:rPr>
          </w:pPr>
        </w:p>
        <w:p w14:paraId="290CA70F">
          <w:pPr>
            <w:spacing w:line="245" w:lineRule="auto"/>
            <w:rPr>
              <w:rFonts w:ascii="Arial"/>
              <w:sz w:val="21"/>
            </w:rPr>
          </w:pPr>
        </w:p>
        <w:p w14:paraId="7E8EEDF8">
          <w:pPr>
            <w:pStyle w:val="2"/>
            <w:tabs>
              <w:tab w:val="right" w:leader="dot" w:pos="9185"/>
            </w:tabs>
            <w:spacing w:before="74" w:line="222" w:lineRule="auto"/>
            <w:ind w:left="1466"/>
            <w:rPr>
              <w:rFonts w:ascii="Times New Roman" w:hAnsi="Times New Roman" w:eastAsia="Times New Roman" w:cs="Times New Roman"/>
              <w:sz w:val="23"/>
              <w:szCs w:val="23"/>
            </w:rPr>
          </w:pPr>
          <w:r>
            <w:fldChar w:fldCharType="begin"/>
          </w:r>
          <w:r>
            <w:instrText xml:space="preserve"> HYPERLINK \l "bookmark70" </w:instrText>
          </w:r>
          <w:r>
            <w:fldChar w:fldCharType="separate"/>
          </w:r>
          <w:r>
            <w:rPr>
              <w:spacing w:val="-19"/>
              <w:sz w:val="23"/>
              <w:szCs w:val="23"/>
            </w:rPr>
            <w:t>一</w:t>
          </w:r>
          <w:r>
            <w:rPr>
              <w:spacing w:val="-55"/>
              <w:sz w:val="23"/>
              <w:szCs w:val="23"/>
            </w:rPr>
            <w:t xml:space="preserve"> </w:t>
          </w:r>
          <w:r>
            <w:rPr>
              <w:spacing w:val="-19"/>
              <w:sz w:val="23"/>
              <w:szCs w:val="23"/>
            </w:rPr>
            <w:t>、选择偏倚</w:t>
          </w:r>
          <w:r>
            <w:rPr>
              <w:spacing w:val="-102"/>
              <w:sz w:val="23"/>
              <w:szCs w:val="23"/>
            </w:rPr>
            <w:t xml:space="preserve"> </w:t>
          </w:r>
          <w:r>
            <w:rPr>
              <w:sz w:val="23"/>
              <w:szCs w:val="23"/>
            </w:rPr>
            <w:tab/>
          </w:r>
          <w:r>
            <w:rPr>
              <w:rFonts w:ascii="Times New Roman" w:hAnsi="Times New Roman" w:eastAsia="Times New Roman" w:cs="Times New Roman"/>
              <w:spacing w:val="-2"/>
              <w:sz w:val="23"/>
              <w:szCs w:val="23"/>
            </w:rPr>
            <w:t>59</w:t>
          </w:r>
          <w:r>
            <w:rPr>
              <w:rFonts w:ascii="Times New Roman" w:hAnsi="Times New Roman" w:eastAsia="Times New Roman" w:cs="Times New Roman"/>
              <w:spacing w:val="-2"/>
              <w:sz w:val="23"/>
              <w:szCs w:val="23"/>
            </w:rPr>
            <w:fldChar w:fldCharType="end"/>
          </w:r>
        </w:p>
        <w:p w14:paraId="04A6D12A">
          <w:pPr>
            <w:pStyle w:val="2"/>
            <w:tabs>
              <w:tab w:val="right" w:leader="dot" w:pos="9185"/>
            </w:tabs>
            <w:spacing w:before="104" w:line="222" w:lineRule="auto"/>
            <w:ind w:left="1466"/>
            <w:rPr>
              <w:rFonts w:ascii="Times New Roman" w:hAnsi="Times New Roman" w:eastAsia="Times New Roman" w:cs="Times New Roman"/>
              <w:sz w:val="23"/>
              <w:szCs w:val="23"/>
            </w:rPr>
          </w:pPr>
          <w:r>
            <w:fldChar w:fldCharType="begin"/>
          </w:r>
          <w:r>
            <w:instrText xml:space="preserve"> HYPERLINK \l "bookmark71" </w:instrText>
          </w:r>
          <w:r>
            <w:fldChar w:fldCharType="separate"/>
          </w:r>
          <w:r>
            <w:rPr>
              <w:spacing w:val="-9"/>
              <w:sz w:val="23"/>
              <w:szCs w:val="23"/>
            </w:rPr>
            <w:t>二、信息偏倚</w:t>
          </w:r>
          <w:r>
            <w:rPr>
              <w:spacing w:val="-82"/>
              <w:sz w:val="23"/>
              <w:szCs w:val="23"/>
            </w:rPr>
            <w:t xml:space="preserve"> </w:t>
          </w:r>
          <w:r>
            <w:rPr>
              <w:sz w:val="23"/>
              <w:szCs w:val="23"/>
            </w:rPr>
            <w:tab/>
          </w:r>
          <w:r>
            <w:rPr>
              <w:rFonts w:ascii="Times New Roman" w:hAnsi="Times New Roman" w:eastAsia="Times New Roman" w:cs="Times New Roman"/>
              <w:spacing w:val="-2"/>
              <w:sz w:val="23"/>
              <w:szCs w:val="23"/>
            </w:rPr>
            <w:t>60</w:t>
          </w:r>
          <w:r>
            <w:rPr>
              <w:rFonts w:ascii="Times New Roman" w:hAnsi="Times New Roman" w:eastAsia="Times New Roman" w:cs="Times New Roman"/>
              <w:spacing w:val="-2"/>
              <w:sz w:val="23"/>
              <w:szCs w:val="23"/>
            </w:rPr>
            <w:fldChar w:fldCharType="end"/>
          </w:r>
        </w:p>
        <w:p w14:paraId="2559AC13">
          <w:pPr>
            <w:pStyle w:val="2"/>
            <w:tabs>
              <w:tab w:val="right" w:leader="dot" w:pos="9195"/>
            </w:tabs>
            <w:spacing w:before="101" w:line="221" w:lineRule="auto"/>
            <w:ind w:left="1466"/>
            <w:rPr>
              <w:rFonts w:ascii="Times New Roman" w:hAnsi="Times New Roman" w:eastAsia="Times New Roman" w:cs="Times New Roman"/>
              <w:sz w:val="23"/>
              <w:szCs w:val="23"/>
            </w:rPr>
          </w:pPr>
          <w:r>
            <w:fldChar w:fldCharType="begin"/>
          </w:r>
          <w:r>
            <w:instrText xml:space="preserve"> HYPERLINK \l "bookmark72" </w:instrText>
          </w:r>
          <w:r>
            <w:fldChar w:fldCharType="separate"/>
          </w:r>
          <w:r>
            <w:rPr>
              <w:spacing w:val="-7"/>
              <w:sz w:val="23"/>
              <w:szCs w:val="23"/>
            </w:rPr>
            <w:t>三、混杂偏倚</w:t>
          </w:r>
          <w:r>
            <w:rPr>
              <w:sz w:val="23"/>
              <w:szCs w:val="23"/>
            </w:rPr>
            <w:tab/>
          </w:r>
          <w:r>
            <w:rPr>
              <w:rFonts w:ascii="Times New Roman" w:hAnsi="Times New Roman" w:eastAsia="Times New Roman" w:cs="Times New Roman"/>
              <w:spacing w:val="-2"/>
              <w:sz w:val="23"/>
              <w:szCs w:val="23"/>
            </w:rPr>
            <w:t>60</w:t>
          </w:r>
          <w:r>
            <w:rPr>
              <w:rFonts w:ascii="Times New Roman" w:hAnsi="Times New Roman" w:eastAsia="Times New Roman" w:cs="Times New Roman"/>
              <w:spacing w:val="-2"/>
              <w:sz w:val="23"/>
              <w:szCs w:val="23"/>
            </w:rPr>
            <w:fldChar w:fldCharType="end"/>
          </w:r>
        </w:p>
        <w:p w14:paraId="1ACD515E">
          <w:pPr>
            <w:pStyle w:val="2"/>
            <w:tabs>
              <w:tab w:val="right" w:leader="dot" w:pos="9195"/>
            </w:tabs>
            <w:spacing w:before="101" w:line="218" w:lineRule="auto"/>
            <w:ind w:left="1046"/>
            <w:rPr>
              <w:rFonts w:ascii="Times New Roman" w:hAnsi="Times New Roman" w:eastAsia="Times New Roman" w:cs="Times New Roman"/>
              <w:sz w:val="23"/>
              <w:szCs w:val="23"/>
            </w:rPr>
          </w:pPr>
          <w:r>
            <w:fldChar w:fldCharType="begin"/>
          </w:r>
          <w:r>
            <w:instrText xml:space="preserve"> HYPERLINK \l "bookmark73" </w:instrText>
          </w:r>
          <w:r>
            <w:fldChar w:fldCharType="separate"/>
          </w:r>
          <w:r>
            <w:rPr>
              <w:spacing w:val="-3"/>
              <w:sz w:val="23"/>
              <w:szCs w:val="23"/>
            </w:rPr>
            <w:t>第五节 优缺点及其他实践类型</w:t>
          </w:r>
          <w:r>
            <w:rPr>
              <w:spacing w:val="-80"/>
              <w:sz w:val="23"/>
              <w:szCs w:val="23"/>
            </w:rPr>
            <w:t xml:space="preserve"> </w:t>
          </w:r>
          <w:r>
            <w:rPr>
              <w:sz w:val="23"/>
              <w:szCs w:val="23"/>
            </w:rPr>
            <w:tab/>
          </w:r>
          <w:r>
            <w:rPr>
              <w:rFonts w:ascii="Times New Roman" w:hAnsi="Times New Roman" w:eastAsia="Times New Roman" w:cs="Times New Roman"/>
              <w:spacing w:val="8"/>
              <w:sz w:val="23"/>
              <w:szCs w:val="23"/>
            </w:rPr>
            <w:t>60</w:t>
          </w:r>
          <w:r>
            <w:rPr>
              <w:rFonts w:ascii="Times New Roman" w:hAnsi="Times New Roman" w:eastAsia="Times New Roman" w:cs="Times New Roman"/>
              <w:spacing w:val="8"/>
              <w:sz w:val="23"/>
              <w:szCs w:val="23"/>
            </w:rPr>
            <w:fldChar w:fldCharType="end"/>
          </w:r>
        </w:p>
        <w:p w14:paraId="59F856D0">
          <w:pPr>
            <w:pStyle w:val="2"/>
            <w:tabs>
              <w:tab w:val="right" w:leader="dot" w:pos="9205"/>
            </w:tabs>
            <w:spacing w:before="115" w:line="223" w:lineRule="auto"/>
            <w:ind w:left="1466"/>
            <w:rPr>
              <w:rFonts w:ascii="Times New Roman" w:hAnsi="Times New Roman" w:eastAsia="Times New Roman" w:cs="Times New Roman"/>
              <w:sz w:val="23"/>
              <w:szCs w:val="23"/>
            </w:rPr>
          </w:pPr>
          <w:r>
            <w:fldChar w:fldCharType="begin"/>
          </w:r>
          <w:r>
            <w:instrText xml:space="preserve"> HYPERLINK \l "bookmark74" </w:instrText>
          </w:r>
          <w:r>
            <w:fldChar w:fldCharType="separate"/>
          </w:r>
          <w:r>
            <w:rPr>
              <w:spacing w:val="-25"/>
              <w:sz w:val="23"/>
              <w:szCs w:val="23"/>
            </w:rPr>
            <w:t>一</w:t>
          </w:r>
          <w:r>
            <w:rPr>
              <w:spacing w:val="-64"/>
              <w:sz w:val="23"/>
              <w:szCs w:val="23"/>
            </w:rPr>
            <w:t xml:space="preserve"> </w:t>
          </w:r>
          <w:r>
            <w:rPr>
              <w:spacing w:val="-25"/>
              <w:sz w:val="23"/>
              <w:szCs w:val="23"/>
            </w:rPr>
            <w:t>、优点</w:t>
          </w:r>
          <w:r>
            <w:rPr>
              <w:spacing w:val="-78"/>
              <w:sz w:val="23"/>
              <w:szCs w:val="23"/>
            </w:rPr>
            <w:t xml:space="preserve"> </w:t>
          </w:r>
          <w:r>
            <w:rPr>
              <w:sz w:val="23"/>
              <w:szCs w:val="23"/>
            </w:rPr>
            <w:tab/>
          </w:r>
          <w:r>
            <w:rPr>
              <w:rFonts w:ascii="Times New Roman" w:hAnsi="Times New Roman" w:eastAsia="Times New Roman" w:cs="Times New Roman"/>
              <w:spacing w:val="-2"/>
              <w:sz w:val="23"/>
              <w:szCs w:val="23"/>
            </w:rPr>
            <w:t>60</w:t>
          </w:r>
          <w:r>
            <w:rPr>
              <w:rFonts w:ascii="Times New Roman" w:hAnsi="Times New Roman" w:eastAsia="Times New Roman" w:cs="Times New Roman"/>
              <w:spacing w:val="-2"/>
              <w:sz w:val="23"/>
              <w:szCs w:val="23"/>
            </w:rPr>
            <w:fldChar w:fldCharType="end"/>
          </w:r>
        </w:p>
        <w:p w14:paraId="248F662C">
          <w:pPr>
            <w:pStyle w:val="2"/>
            <w:tabs>
              <w:tab w:val="right" w:leader="dot" w:pos="9195"/>
            </w:tabs>
            <w:spacing w:before="92" w:line="223" w:lineRule="auto"/>
            <w:ind w:left="1466"/>
            <w:rPr>
              <w:rFonts w:ascii="Times New Roman" w:hAnsi="Times New Roman" w:eastAsia="Times New Roman" w:cs="Times New Roman"/>
              <w:sz w:val="23"/>
              <w:szCs w:val="23"/>
            </w:rPr>
          </w:pPr>
          <w:r>
            <w:fldChar w:fldCharType="begin"/>
          </w:r>
          <w:r>
            <w:instrText xml:space="preserve"> HYPERLINK \l "bookmark75" </w:instrText>
          </w:r>
          <w:r>
            <w:fldChar w:fldCharType="separate"/>
          </w:r>
          <w:r>
            <w:rPr>
              <w:spacing w:val="-6"/>
              <w:sz w:val="23"/>
              <w:szCs w:val="23"/>
            </w:rPr>
            <w:t>二、局限性</w:t>
          </w:r>
          <w:r>
            <w:rPr>
              <w:spacing w:val="-96"/>
              <w:sz w:val="23"/>
              <w:szCs w:val="23"/>
            </w:rPr>
            <w:t xml:space="preserve"> </w:t>
          </w:r>
          <w:r>
            <w:rPr>
              <w:sz w:val="23"/>
              <w:szCs w:val="23"/>
            </w:rPr>
            <w:tab/>
          </w:r>
          <w:r>
            <w:rPr>
              <w:rFonts w:ascii="Times New Roman" w:hAnsi="Times New Roman" w:eastAsia="Times New Roman" w:cs="Times New Roman"/>
              <w:spacing w:val="-2"/>
              <w:sz w:val="23"/>
              <w:szCs w:val="23"/>
            </w:rPr>
            <w:t>60</w:t>
          </w:r>
          <w:r>
            <w:rPr>
              <w:rFonts w:ascii="Times New Roman" w:hAnsi="Times New Roman" w:eastAsia="Times New Roman" w:cs="Times New Roman"/>
              <w:spacing w:val="-2"/>
              <w:sz w:val="23"/>
              <w:szCs w:val="23"/>
            </w:rPr>
            <w:fldChar w:fldCharType="end"/>
          </w:r>
        </w:p>
        <w:p w14:paraId="068EBFA3">
          <w:pPr>
            <w:pStyle w:val="2"/>
            <w:tabs>
              <w:tab w:val="right" w:leader="dot" w:pos="9215"/>
            </w:tabs>
            <w:spacing w:before="96" w:line="218" w:lineRule="auto"/>
            <w:ind w:left="1466"/>
            <w:rPr>
              <w:rFonts w:ascii="Times New Roman" w:hAnsi="Times New Roman" w:eastAsia="Times New Roman" w:cs="Times New Roman"/>
              <w:sz w:val="23"/>
              <w:szCs w:val="23"/>
            </w:rPr>
          </w:pPr>
          <w:r>
            <w:fldChar w:fldCharType="begin"/>
          </w:r>
          <w:r>
            <w:instrText xml:space="preserve"> HYPERLINK \l "bookmark76" </w:instrText>
          </w:r>
          <w:r>
            <w:fldChar w:fldCharType="separate"/>
          </w:r>
          <w:r>
            <w:rPr>
              <w:spacing w:val="-8"/>
              <w:sz w:val="23"/>
              <w:szCs w:val="23"/>
            </w:rPr>
            <w:t>三、其他实践类型</w:t>
          </w:r>
          <w:r>
            <w:rPr>
              <w:sz w:val="23"/>
              <w:szCs w:val="23"/>
            </w:rPr>
            <w:tab/>
          </w:r>
          <w:r>
            <w:rPr>
              <w:rFonts w:ascii="Times New Roman" w:hAnsi="Times New Roman" w:eastAsia="Times New Roman" w:cs="Times New Roman"/>
              <w:spacing w:val="8"/>
              <w:sz w:val="23"/>
              <w:szCs w:val="23"/>
            </w:rPr>
            <w:t>61</w:t>
          </w:r>
          <w:r>
            <w:rPr>
              <w:rFonts w:ascii="Times New Roman" w:hAnsi="Times New Roman" w:eastAsia="Times New Roman" w:cs="Times New Roman"/>
              <w:spacing w:val="8"/>
              <w:sz w:val="23"/>
              <w:szCs w:val="23"/>
            </w:rPr>
            <w:fldChar w:fldCharType="end"/>
          </w:r>
        </w:p>
        <w:p w14:paraId="7BD7D776">
          <w:pPr>
            <w:spacing w:line="392" w:lineRule="auto"/>
            <w:rPr>
              <w:rFonts w:ascii="Arial"/>
              <w:sz w:val="21"/>
            </w:rPr>
          </w:pPr>
        </w:p>
        <w:p w14:paraId="1B50ECBA">
          <w:pPr>
            <w:pStyle w:val="2"/>
            <w:tabs>
              <w:tab w:val="right" w:leader="dot" w:pos="9127"/>
            </w:tabs>
            <w:spacing w:before="75" w:line="222" w:lineRule="auto"/>
            <w:rPr>
              <w:rFonts w:ascii="Times New Roman" w:hAnsi="Times New Roman" w:eastAsia="Times New Roman" w:cs="Times New Roman"/>
              <w:sz w:val="23"/>
              <w:szCs w:val="23"/>
            </w:rPr>
          </w:pPr>
          <w:r>
            <w:fldChar w:fldCharType="begin"/>
          </w:r>
          <w:r>
            <w:instrText xml:space="preserve"> HYPERLINK \l "bookmark77" </w:instrText>
          </w:r>
          <w:r>
            <w:fldChar w:fldCharType="separate"/>
          </w:r>
          <w:r>
            <w:rPr>
              <w:b/>
              <w:bCs/>
              <w:spacing w:val="-12"/>
              <w:sz w:val="23"/>
              <w:szCs w:val="23"/>
            </w:rPr>
            <w:t>第</w:t>
          </w:r>
          <w:r>
            <w:rPr>
              <w:spacing w:val="-40"/>
              <w:sz w:val="23"/>
              <w:szCs w:val="23"/>
            </w:rPr>
            <w:t xml:space="preserve"> </w:t>
          </w:r>
          <w:r>
            <w:rPr>
              <w:b/>
              <w:bCs/>
              <w:spacing w:val="-12"/>
              <w:sz w:val="23"/>
              <w:szCs w:val="23"/>
            </w:rPr>
            <w:t>五</w:t>
          </w:r>
          <w:r>
            <w:rPr>
              <w:spacing w:val="-49"/>
              <w:sz w:val="23"/>
              <w:szCs w:val="23"/>
            </w:rPr>
            <w:t xml:space="preserve"> </w:t>
          </w:r>
          <w:r>
            <w:rPr>
              <w:b/>
              <w:bCs/>
              <w:spacing w:val="-12"/>
              <w:sz w:val="23"/>
              <w:szCs w:val="23"/>
            </w:rPr>
            <w:t>章</w:t>
          </w:r>
          <w:r>
            <w:rPr>
              <w:spacing w:val="60"/>
              <w:sz w:val="23"/>
              <w:szCs w:val="23"/>
            </w:rPr>
            <w:t xml:space="preserve"> </w:t>
          </w:r>
          <w:r>
            <w:rPr>
              <w:b/>
              <w:bCs/>
              <w:spacing w:val="-12"/>
              <w:sz w:val="23"/>
              <w:szCs w:val="23"/>
            </w:rPr>
            <w:t>病</w:t>
          </w:r>
          <w:r>
            <w:rPr>
              <w:spacing w:val="-48"/>
              <w:sz w:val="23"/>
              <w:szCs w:val="23"/>
            </w:rPr>
            <w:t xml:space="preserve"> </w:t>
          </w:r>
          <w:r>
            <w:rPr>
              <w:b/>
              <w:bCs/>
              <w:spacing w:val="-12"/>
              <w:sz w:val="23"/>
              <w:szCs w:val="23"/>
            </w:rPr>
            <w:t>例</w:t>
          </w:r>
          <w:r>
            <w:rPr>
              <w:spacing w:val="-48"/>
              <w:sz w:val="23"/>
              <w:szCs w:val="23"/>
            </w:rPr>
            <w:t xml:space="preserve"> </w:t>
          </w:r>
          <w:r>
            <w:rPr>
              <w:b/>
              <w:bCs/>
              <w:spacing w:val="-12"/>
              <w:sz w:val="23"/>
              <w:szCs w:val="23"/>
            </w:rPr>
            <w:t>对</w:t>
          </w:r>
          <w:r>
            <w:rPr>
              <w:spacing w:val="-43"/>
              <w:sz w:val="23"/>
              <w:szCs w:val="23"/>
            </w:rPr>
            <w:t xml:space="preserve"> </w:t>
          </w:r>
          <w:r>
            <w:rPr>
              <w:b/>
              <w:bCs/>
              <w:spacing w:val="-12"/>
              <w:sz w:val="23"/>
              <w:szCs w:val="23"/>
            </w:rPr>
            <w:t>照</w:t>
          </w:r>
          <w:r>
            <w:rPr>
              <w:spacing w:val="-49"/>
              <w:sz w:val="23"/>
              <w:szCs w:val="23"/>
            </w:rPr>
            <w:t xml:space="preserve"> </w:t>
          </w:r>
          <w:r>
            <w:rPr>
              <w:b/>
              <w:bCs/>
              <w:spacing w:val="-12"/>
              <w:sz w:val="23"/>
              <w:szCs w:val="23"/>
            </w:rPr>
            <w:t>研</w:t>
          </w:r>
          <w:r>
            <w:rPr>
              <w:spacing w:val="-47"/>
              <w:sz w:val="23"/>
              <w:szCs w:val="23"/>
            </w:rPr>
            <w:t xml:space="preserve"> </w:t>
          </w:r>
          <w:r>
            <w:rPr>
              <w:b/>
              <w:bCs/>
              <w:spacing w:val="-12"/>
              <w:sz w:val="23"/>
              <w:szCs w:val="23"/>
            </w:rPr>
            <w:t>究</w:t>
          </w:r>
          <w:r>
            <w:rPr>
              <w:spacing w:val="-90"/>
              <w:sz w:val="23"/>
              <w:szCs w:val="23"/>
            </w:rPr>
            <w:t xml:space="preserve"> </w:t>
          </w:r>
          <w:r>
            <w:rPr>
              <w:sz w:val="23"/>
              <w:szCs w:val="23"/>
            </w:rPr>
            <w:tab/>
          </w:r>
          <w:r>
            <w:rPr>
              <w:spacing w:val="-58"/>
              <w:sz w:val="23"/>
              <w:szCs w:val="23"/>
            </w:rPr>
            <w:t xml:space="preserve"> </w:t>
          </w:r>
          <w:r>
            <w:rPr>
              <w:rFonts w:ascii="Times New Roman" w:hAnsi="Times New Roman" w:eastAsia="Times New Roman" w:cs="Times New Roman"/>
              <w:b/>
              <w:bCs/>
              <w:spacing w:val="-3"/>
              <w:sz w:val="23"/>
              <w:szCs w:val="23"/>
            </w:rPr>
            <w:t>62</w:t>
          </w:r>
          <w:r>
            <w:rPr>
              <w:rFonts w:ascii="Times New Roman" w:hAnsi="Times New Roman" w:eastAsia="Times New Roman" w:cs="Times New Roman"/>
              <w:b/>
              <w:bCs/>
              <w:spacing w:val="-3"/>
              <w:sz w:val="23"/>
              <w:szCs w:val="23"/>
            </w:rPr>
            <w:fldChar w:fldCharType="end"/>
          </w:r>
        </w:p>
        <w:p w14:paraId="0DAFA81C">
          <w:pPr>
            <w:pStyle w:val="2"/>
            <w:tabs>
              <w:tab w:val="right" w:leader="dot" w:pos="9265"/>
            </w:tabs>
            <w:spacing w:before="106" w:line="221" w:lineRule="auto"/>
            <w:ind w:left="1046"/>
            <w:rPr>
              <w:rFonts w:ascii="Times New Roman" w:hAnsi="Times New Roman" w:eastAsia="Times New Roman" w:cs="Times New Roman"/>
              <w:sz w:val="23"/>
              <w:szCs w:val="23"/>
            </w:rPr>
          </w:pPr>
          <w:r>
            <w:fldChar w:fldCharType="begin"/>
          </w:r>
          <w:r>
            <w:instrText xml:space="preserve"> HYPERLINK \l "bookmark78" </w:instrText>
          </w:r>
          <w:r>
            <w:fldChar w:fldCharType="separate"/>
          </w:r>
          <w:r>
            <w:rPr>
              <w:spacing w:val="-5"/>
              <w:sz w:val="23"/>
              <w:szCs w:val="23"/>
            </w:rPr>
            <w:t>第一节</w:t>
          </w:r>
          <w:r>
            <w:rPr>
              <w:spacing w:val="33"/>
              <w:sz w:val="23"/>
              <w:szCs w:val="23"/>
            </w:rPr>
            <w:t xml:space="preserve"> </w:t>
          </w:r>
          <w:r>
            <w:rPr>
              <w:spacing w:val="-5"/>
              <w:sz w:val="23"/>
              <w:szCs w:val="23"/>
            </w:rPr>
            <w:t>概</w:t>
          </w:r>
          <w:r>
            <w:rPr>
              <w:spacing w:val="-52"/>
              <w:sz w:val="23"/>
              <w:szCs w:val="23"/>
            </w:rPr>
            <w:t xml:space="preserve"> </w:t>
          </w:r>
          <w:r>
            <w:rPr>
              <w:spacing w:val="-5"/>
              <w:sz w:val="23"/>
              <w:szCs w:val="23"/>
            </w:rPr>
            <w:t>述</w:t>
          </w:r>
          <w:r>
            <w:rPr>
              <w:spacing w:val="-93"/>
              <w:sz w:val="23"/>
              <w:szCs w:val="23"/>
            </w:rPr>
            <w:t xml:space="preserve"> </w:t>
          </w:r>
          <w:r>
            <w:rPr>
              <w:sz w:val="23"/>
              <w:szCs w:val="23"/>
            </w:rPr>
            <w:tab/>
          </w:r>
          <w:r>
            <w:rPr>
              <w:rFonts w:ascii="Times New Roman" w:hAnsi="Times New Roman" w:eastAsia="Times New Roman" w:cs="Times New Roman"/>
              <w:spacing w:val="-4"/>
              <w:sz w:val="23"/>
              <w:szCs w:val="23"/>
            </w:rPr>
            <w:t>62</w:t>
          </w:r>
          <w:r>
            <w:rPr>
              <w:rFonts w:ascii="Times New Roman" w:hAnsi="Times New Roman" w:eastAsia="Times New Roman" w:cs="Times New Roman"/>
              <w:spacing w:val="-4"/>
              <w:sz w:val="23"/>
              <w:szCs w:val="23"/>
            </w:rPr>
            <w:fldChar w:fldCharType="end"/>
          </w:r>
        </w:p>
        <w:p w14:paraId="30217375">
          <w:pPr>
            <w:pStyle w:val="2"/>
            <w:tabs>
              <w:tab w:val="right" w:leader="dot" w:pos="9205"/>
            </w:tabs>
            <w:spacing w:before="107" w:line="223" w:lineRule="auto"/>
            <w:ind w:left="1466"/>
            <w:rPr>
              <w:rFonts w:ascii="Times New Roman" w:hAnsi="Times New Roman" w:eastAsia="Times New Roman" w:cs="Times New Roman"/>
              <w:sz w:val="23"/>
              <w:szCs w:val="23"/>
            </w:rPr>
          </w:pPr>
          <w:r>
            <w:fldChar w:fldCharType="begin"/>
          </w:r>
          <w:r>
            <w:instrText xml:space="preserve"> HYPERLINK \l "bookmark79" </w:instrText>
          </w:r>
          <w:r>
            <w:fldChar w:fldCharType="separate"/>
          </w:r>
          <w:r>
            <w:rPr>
              <w:spacing w:val="-15"/>
              <w:sz w:val="23"/>
              <w:szCs w:val="23"/>
            </w:rPr>
            <w:t>一</w:t>
          </w:r>
          <w:r>
            <w:rPr>
              <w:spacing w:val="-66"/>
              <w:sz w:val="23"/>
              <w:szCs w:val="23"/>
            </w:rPr>
            <w:t xml:space="preserve"> </w:t>
          </w:r>
          <w:r>
            <w:rPr>
              <w:spacing w:val="-15"/>
              <w:sz w:val="23"/>
              <w:szCs w:val="23"/>
            </w:rPr>
            <w:t>、基本原理</w:t>
          </w:r>
          <w:r>
            <w:rPr>
              <w:spacing w:val="-105"/>
              <w:sz w:val="23"/>
              <w:szCs w:val="23"/>
            </w:rPr>
            <w:t xml:space="preserve"> </w:t>
          </w:r>
          <w:r>
            <w:rPr>
              <w:sz w:val="23"/>
              <w:szCs w:val="23"/>
            </w:rPr>
            <w:tab/>
          </w:r>
          <w:r>
            <w:rPr>
              <w:rFonts w:ascii="Times New Roman" w:hAnsi="Times New Roman" w:eastAsia="Times New Roman" w:cs="Times New Roman"/>
              <w:spacing w:val="-7"/>
              <w:sz w:val="23"/>
              <w:szCs w:val="23"/>
            </w:rPr>
            <w:t>62</w:t>
          </w:r>
          <w:r>
            <w:rPr>
              <w:rFonts w:ascii="Times New Roman" w:hAnsi="Times New Roman" w:eastAsia="Times New Roman" w:cs="Times New Roman"/>
              <w:spacing w:val="-7"/>
              <w:sz w:val="23"/>
              <w:szCs w:val="23"/>
            </w:rPr>
            <w:fldChar w:fldCharType="end"/>
          </w:r>
        </w:p>
        <w:p w14:paraId="0F6862E4">
          <w:pPr>
            <w:pStyle w:val="2"/>
            <w:tabs>
              <w:tab w:val="right" w:leader="dot" w:pos="9265"/>
            </w:tabs>
            <w:spacing w:before="101" w:line="222" w:lineRule="auto"/>
            <w:ind w:left="1466"/>
            <w:rPr>
              <w:rFonts w:ascii="Times New Roman" w:hAnsi="Times New Roman" w:eastAsia="Times New Roman" w:cs="Times New Roman"/>
              <w:sz w:val="23"/>
              <w:szCs w:val="23"/>
            </w:rPr>
          </w:pPr>
          <w:r>
            <w:fldChar w:fldCharType="begin"/>
          </w:r>
          <w:r>
            <w:instrText xml:space="preserve"> HYPERLINK \l "bookmark80" </w:instrText>
          </w:r>
          <w:r>
            <w:fldChar w:fldCharType="separate"/>
          </w:r>
          <w:r>
            <w:rPr>
              <w:spacing w:val="-9"/>
              <w:sz w:val="23"/>
              <w:szCs w:val="23"/>
            </w:rPr>
            <w:t>二、基本特点</w:t>
          </w:r>
          <w:r>
            <w:rPr>
              <w:spacing w:val="-92"/>
              <w:sz w:val="23"/>
              <w:szCs w:val="23"/>
            </w:rPr>
            <w:t xml:space="preserve"> </w:t>
          </w:r>
          <w:r>
            <w:rPr>
              <w:sz w:val="23"/>
              <w:szCs w:val="23"/>
            </w:rPr>
            <w:tab/>
          </w:r>
          <w:r>
            <w:rPr>
              <w:spacing w:val="-70"/>
              <w:sz w:val="23"/>
              <w:szCs w:val="23"/>
            </w:rPr>
            <w:t xml:space="preserve"> </w:t>
          </w:r>
          <w:r>
            <w:rPr>
              <w:rFonts w:ascii="Times New Roman" w:hAnsi="Times New Roman" w:eastAsia="Times New Roman" w:cs="Times New Roman"/>
              <w:spacing w:val="-3"/>
              <w:sz w:val="23"/>
              <w:szCs w:val="23"/>
            </w:rPr>
            <w:t>62</w:t>
          </w:r>
          <w:r>
            <w:rPr>
              <w:rFonts w:ascii="Times New Roman" w:hAnsi="Times New Roman" w:eastAsia="Times New Roman" w:cs="Times New Roman"/>
              <w:spacing w:val="-3"/>
              <w:sz w:val="23"/>
              <w:szCs w:val="23"/>
            </w:rPr>
            <w:fldChar w:fldCharType="end"/>
          </w:r>
        </w:p>
        <w:p w14:paraId="50517CC3">
          <w:pPr>
            <w:pStyle w:val="2"/>
            <w:tabs>
              <w:tab w:val="right" w:leader="dot" w:pos="9265"/>
            </w:tabs>
            <w:spacing w:before="92" w:line="221" w:lineRule="auto"/>
            <w:ind w:left="1466"/>
            <w:rPr>
              <w:rFonts w:ascii="Times New Roman" w:hAnsi="Times New Roman" w:eastAsia="Times New Roman" w:cs="Times New Roman"/>
              <w:sz w:val="23"/>
              <w:szCs w:val="23"/>
            </w:rPr>
          </w:pPr>
          <w:r>
            <w:fldChar w:fldCharType="begin"/>
          </w:r>
          <w:r>
            <w:instrText xml:space="preserve"> HYPERLINK \l "bookmark81" </w:instrText>
          </w:r>
          <w:r>
            <w:fldChar w:fldCharType="separate"/>
          </w:r>
          <w:r>
            <w:rPr>
              <w:spacing w:val="-18"/>
              <w:sz w:val="23"/>
              <w:szCs w:val="23"/>
            </w:rPr>
            <w:t>三</w:t>
          </w:r>
          <w:r>
            <w:rPr>
              <w:spacing w:val="-55"/>
              <w:sz w:val="23"/>
              <w:szCs w:val="23"/>
            </w:rPr>
            <w:t xml:space="preserve"> </w:t>
          </w:r>
          <w:r>
            <w:rPr>
              <w:spacing w:val="-18"/>
              <w:sz w:val="23"/>
              <w:szCs w:val="23"/>
            </w:rPr>
            <w:t>、研究类型</w:t>
          </w:r>
          <w:r>
            <w:rPr>
              <w:spacing w:val="-88"/>
              <w:sz w:val="23"/>
              <w:szCs w:val="23"/>
            </w:rPr>
            <w:t xml:space="preserve"> </w:t>
          </w:r>
          <w:r>
            <w:rPr>
              <w:sz w:val="23"/>
              <w:szCs w:val="23"/>
            </w:rPr>
            <w:tab/>
          </w:r>
          <w:r>
            <w:rPr>
              <w:spacing w:val="-80"/>
              <w:sz w:val="23"/>
              <w:szCs w:val="23"/>
            </w:rPr>
            <w:t xml:space="preserve"> </w:t>
          </w:r>
          <w:r>
            <w:rPr>
              <w:rFonts w:ascii="Times New Roman" w:hAnsi="Times New Roman" w:eastAsia="Times New Roman" w:cs="Times New Roman"/>
              <w:spacing w:val="-3"/>
              <w:sz w:val="23"/>
              <w:szCs w:val="23"/>
            </w:rPr>
            <w:t>63</w:t>
          </w:r>
          <w:r>
            <w:rPr>
              <w:rFonts w:ascii="Times New Roman" w:hAnsi="Times New Roman" w:eastAsia="Times New Roman" w:cs="Times New Roman"/>
              <w:spacing w:val="-3"/>
              <w:sz w:val="23"/>
              <w:szCs w:val="23"/>
            </w:rPr>
            <w:fldChar w:fldCharType="end"/>
          </w:r>
        </w:p>
        <w:p w14:paraId="272504C6">
          <w:pPr>
            <w:pStyle w:val="2"/>
            <w:tabs>
              <w:tab w:val="right" w:leader="dot" w:pos="9205"/>
            </w:tabs>
            <w:spacing w:before="111" w:line="225" w:lineRule="auto"/>
            <w:ind w:left="1466"/>
            <w:rPr>
              <w:rFonts w:ascii="Times New Roman" w:hAnsi="Times New Roman" w:eastAsia="Times New Roman" w:cs="Times New Roman"/>
              <w:sz w:val="23"/>
              <w:szCs w:val="23"/>
            </w:rPr>
          </w:pPr>
          <w:r>
            <w:fldChar w:fldCharType="begin"/>
          </w:r>
          <w:r>
            <w:instrText xml:space="preserve"> HYPERLINK \l "bookmark82" </w:instrText>
          </w:r>
          <w:r>
            <w:fldChar w:fldCharType="separate"/>
          </w:r>
          <w:r>
            <w:rPr>
              <w:spacing w:val="-14"/>
              <w:sz w:val="23"/>
              <w:szCs w:val="23"/>
            </w:rPr>
            <w:t>四、用途</w:t>
          </w:r>
          <w:r>
            <w:rPr>
              <w:spacing w:val="-71"/>
              <w:sz w:val="23"/>
              <w:szCs w:val="23"/>
            </w:rPr>
            <w:t xml:space="preserve"> </w:t>
          </w:r>
          <w:r>
            <w:rPr>
              <w:sz w:val="23"/>
              <w:szCs w:val="23"/>
            </w:rPr>
            <w:tab/>
          </w:r>
          <w:r>
            <w:rPr>
              <w:rFonts w:ascii="Times New Roman" w:hAnsi="Times New Roman" w:eastAsia="Times New Roman" w:cs="Times New Roman"/>
              <w:spacing w:val="-2"/>
              <w:sz w:val="23"/>
              <w:szCs w:val="23"/>
            </w:rPr>
            <w:t>63</w:t>
          </w:r>
          <w:r>
            <w:rPr>
              <w:rFonts w:ascii="Times New Roman" w:hAnsi="Times New Roman" w:eastAsia="Times New Roman" w:cs="Times New Roman"/>
              <w:spacing w:val="-2"/>
              <w:sz w:val="23"/>
              <w:szCs w:val="23"/>
            </w:rPr>
            <w:fldChar w:fldCharType="end"/>
          </w:r>
        </w:p>
        <w:p w14:paraId="16FD7E5B">
          <w:pPr>
            <w:pStyle w:val="2"/>
            <w:tabs>
              <w:tab w:val="right" w:leader="dot" w:pos="9195"/>
            </w:tabs>
            <w:spacing w:before="84" w:line="222" w:lineRule="auto"/>
            <w:ind w:left="1046"/>
            <w:rPr>
              <w:rFonts w:ascii="Times New Roman" w:hAnsi="Times New Roman" w:eastAsia="Times New Roman" w:cs="Times New Roman"/>
              <w:sz w:val="23"/>
              <w:szCs w:val="23"/>
            </w:rPr>
          </w:pPr>
          <w:r>
            <w:fldChar w:fldCharType="begin"/>
          </w:r>
          <w:r>
            <w:instrText xml:space="preserve"> HYPERLINK \l "bookmark83" </w:instrText>
          </w:r>
          <w:r>
            <w:fldChar w:fldCharType="separate"/>
          </w:r>
          <w:r>
            <w:rPr>
              <w:spacing w:val="1"/>
              <w:sz w:val="23"/>
              <w:szCs w:val="23"/>
            </w:rPr>
            <w:t>第二节 研究设计与实施</w:t>
          </w:r>
          <w:r>
            <w:rPr>
              <w:spacing w:val="-93"/>
              <w:sz w:val="23"/>
              <w:szCs w:val="23"/>
            </w:rPr>
            <w:t xml:space="preserve"> </w:t>
          </w:r>
          <w:r>
            <w:rPr>
              <w:sz w:val="23"/>
              <w:szCs w:val="23"/>
            </w:rPr>
            <w:tab/>
          </w:r>
          <w:r>
            <w:rPr>
              <w:rFonts w:ascii="Times New Roman" w:hAnsi="Times New Roman" w:eastAsia="Times New Roman" w:cs="Times New Roman"/>
              <w:spacing w:val="-6"/>
              <w:sz w:val="23"/>
              <w:szCs w:val="23"/>
            </w:rPr>
            <w:t>64</w:t>
          </w:r>
          <w:r>
            <w:rPr>
              <w:rFonts w:ascii="Times New Roman" w:hAnsi="Times New Roman" w:eastAsia="Times New Roman" w:cs="Times New Roman"/>
              <w:spacing w:val="-6"/>
              <w:sz w:val="23"/>
              <w:szCs w:val="23"/>
            </w:rPr>
            <w:fldChar w:fldCharType="end"/>
          </w:r>
        </w:p>
        <w:p w14:paraId="25B0167B">
          <w:pPr>
            <w:pStyle w:val="2"/>
            <w:tabs>
              <w:tab w:val="right" w:leader="dot" w:pos="9205"/>
            </w:tabs>
            <w:spacing w:before="94" w:line="222" w:lineRule="auto"/>
            <w:ind w:left="1466"/>
            <w:rPr>
              <w:rFonts w:ascii="Times New Roman" w:hAnsi="Times New Roman" w:eastAsia="Times New Roman" w:cs="Times New Roman"/>
              <w:sz w:val="23"/>
              <w:szCs w:val="23"/>
            </w:rPr>
          </w:pPr>
          <w:r>
            <w:fldChar w:fldCharType="begin"/>
          </w:r>
          <w:r>
            <w:instrText xml:space="preserve"> HYPERLINK \l "bookmark84" </w:instrText>
          </w:r>
          <w:r>
            <w:fldChar w:fldCharType="separate"/>
          </w:r>
          <w:r>
            <w:rPr>
              <w:spacing w:val="-14"/>
              <w:sz w:val="23"/>
              <w:szCs w:val="23"/>
            </w:rPr>
            <w:t>一</w:t>
          </w:r>
          <w:r>
            <w:rPr>
              <w:spacing w:val="-52"/>
              <w:sz w:val="23"/>
              <w:szCs w:val="23"/>
            </w:rPr>
            <w:t xml:space="preserve"> </w:t>
          </w:r>
          <w:r>
            <w:rPr>
              <w:spacing w:val="-14"/>
              <w:sz w:val="23"/>
              <w:szCs w:val="23"/>
            </w:rPr>
            <w:t>、确定研究目的</w:t>
          </w:r>
          <w:r>
            <w:rPr>
              <w:sz w:val="23"/>
              <w:szCs w:val="23"/>
            </w:rPr>
            <w:tab/>
          </w:r>
          <w:r>
            <w:rPr>
              <w:rFonts w:ascii="Times New Roman" w:hAnsi="Times New Roman" w:eastAsia="Times New Roman" w:cs="Times New Roman"/>
              <w:spacing w:val="-1"/>
              <w:sz w:val="23"/>
              <w:szCs w:val="23"/>
            </w:rPr>
            <w:t>64</w:t>
          </w:r>
          <w:r>
            <w:rPr>
              <w:rFonts w:ascii="Times New Roman" w:hAnsi="Times New Roman" w:eastAsia="Times New Roman" w:cs="Times New Roman"/>
              <w:spacing w:val="-1"/>
              <w:sz w:val="23"/>
              <w:szCs w:val="23"/>
            </w:rPr>
            <w:fldChar w:fldCharType="end"/>
          </w:r>
        </w:p>
        <w:p w14:paraId="01AC1364">
          <w:pPr>
            <w:pStyle w:val="2"/>
            <w:tabs>
              <w:tab w:val="right" w:leader="dot" w:pos="9195"/>
            </w:tabs>
            <w:spacing w:before="113" w:line="221" w:lineRule="auto"/>
            <w:ind w:left="1466"/>
            <w:rPr>
              <w:rFonts w:ascii="Times New Roman" w:hAnsi="Times New Roman" w:eastAsia="Times New Roman" w:cs="Times New Roman"/>
              <w:sz w:val="23"/>
              <w:szCs w:val="23"/>
            </w:rPr>
          </w:pPr>
          <w:r>
            <w:fldChar w:fldCharType="begin"/>
          </w:r>
          <w:r>
            <w:instrText xml:space="preserve"> HYPERLINK \l "bookmark85" </w:instrText>
          </w:r>
          <w:r>
            <w:fldChar w:fldCharType="separate"/>
          </w:r>
          <w:r>
            <w:rPr>
              <w:spacing w:val="-10"/>
              <w:sz w:val="23"/>
              <w:szCs w:val="23"/>
            </w:rPr>
            <w:t>二、明确研究类型</w:t>
          </w:r>
          <w:r>
            <w:rPr>
              <w:spacing w:val="-96"/>
              <w:sz w:val="23"/>
              <w:szCs w:val="23"/>
            </w:rPr>
            <w:t xml:space="preserve"> </w:t>
          </w:r>
          <w:r>
            <w:rPr>
              <w:sz w:val="23"/>
              <w:szCs w:val="23"/>
            </w:rPr>
            <w:tab/>
          </w:r>
          <w:r>
            <w:rPr>
              <w:rFonts w:ascii="Times New Roman" w:hAnsi="Times New Roman" w:eastAsia="Times New Roman" w:cs="Times New Roman"/>
              <w:spacing w:val="-1"/>
              <w:sz w:val="23"/>
              <w:szCs w:val="23"/>
            </w:rPr>
            <w:t>64</w:t>
          </w:r>
          <w:r>
            <w:rPr>
              <w:rFonts w:ascii="Times New Roman" w:hAnsi="Times New Roman" w:eastAsia="Times New Roman" w:cs="Times New Roman"/>
              <w:spacing w:val="-1"/>
              <w:sz w:val="23"/>
              <w:szCs w:val="23"/>
            </w:rPr>
            <w:fldChar w:fldCharType="end"/>
          </w:r>
        </w:p>
        <w:p w14:paraId="223AE618">
          <w:pPr>
            <w:pStyle w:val="2"/>
            <w:tabs>
              <w:tab w:val="right" w:leader="dot" w:pos="9275"/>
            </w:tabs>
            <w:spacing w:before="85" w:line="222" w:lineRule="auto"/>
            <w:ind w:left="1466"/>
            <w:rPr>
              <w:rFonts w:ascii="Times New Roman" w:hAnsi="Times New Roman" w:eastAsia="Times New Roman" w:cs="Times New Roman"/>
              <w:sz w:val="23"/>
              <w:szCs w:val="23"/>
            </w:rPr>
          </w:pPr>
          <w:r>
            <w:fldChar w:fldCharType="begin"/>
          </w:r>
          <w:r>
            <w:instrText xml:space="preserve"> HYPERLINK \l "bookmark86" </w:instrText>
          </w:r>
          <w:r>
            <w:fldChar w:fldCharType="separate"/>
          </w:r>
          <w:r>
            <w:rPr>
              <w:spacing w:val="-15"/>
              <w:sz w:val="23"/>
              <w:szCs w:val="23"/>
            </w:rPr>
            <w:t>三</w:t>
          </w:r>
          <w:r>
            <w:rPr>
              <w:spacing w:val="-54"/>
              <w:sz w:val="23"/>
              <w:szCs w:val="23"/>
            </w:rPr>
            <w:t xml:space="preserve"> </w:t>
          </w:r>
          <w:r>
            <w:rPr>
              <w:spacing w:val="-15"/>
              <w:sz w:val="23"/>
              <w:szCs w:val="23"/>
            </w:rPr>
            <w:t>、确定研究对象</w:t>
          </w:r>
          <w:r>
            <w:rPr>
              <w:sz w:val="23"/>
              <w:szCs w:val="23"/>
            </w:rPr>
            <w:tab/>
          </w:r>
          <w:r>
            <w:rPr>
              <w:spacing w:val="-39"/>
              <w:sz w:val="23"/>
              <w:szCs w:val="23"/>
            </w:rPr>
            <w:t xml:space="preserve"> </w:t>
          </w:r>
          <w:r>
            <w:rPr>
              <w:rFonts w:ascii="Times New Roman" w:hAnsi="Times New Roman" w:eastAsia="Times New Roman" w:cs="Times New Roman"/>
              <w:spacing w:val="-3"/>
              <w:sz w:val="23"/>
              <w:szCs w:val="23"/>
            </w:rPr>
            <w:t>64</w:t>
          </w:r>
          <w:r>
            <w:rPr>
              <w:rFonts w:ascii="Times New Roman" w:hAnsi="Times New Roman" w:eastAsia="Times New Roman" w:cs="Times New Roman"/>
              <w:spacing w:val="-3"/>
              <w:sz w:val="23"/>
              <w:szCs w:val="23"/>
            </w:rPr>
            <w:fldChar w:fldCharType="end"/>
          </w:r>
        </w:p>
        <w:p w14:paraId="4056560A">
          <w:pPr>
            <w:pStyle w:val="2"/>
            <w:tabs>
              <w:tab w:val="right" w:leader="dot" w:pos="9205"/>
            </w:tabs>
            <w:spacing w:before="113" w:line="222" w:lineRule="auto"/>
            <w:ind w:left="1466"/>
            <w:rPr>
              <w:rFonts w:ascii="Times New Roman" w:hAnsi="Times New Roman" w:eastAsia="Times New Roman" w:cs="Times New Roman"/>
              <w:sz w:val="23"/>
              <w:szCs w:val="23"/>
            </w:rPr>
          </w:pPr>
          <w:r>
            <w:fldChar w:fldCharType="begin"/>
          </w:r>
          <w:r>
            <w:instrText xml:space="preserve"> HYPERLINK \l "bookmark87" </w:instrText>
          </w:r>
          <w:r>
            <w:fldChar w:fldCharType="separate"/>
          </w:r>
          <w:r>
            <w:rPr>
              <w:spacing w:val="-19"/>
              <w:sz w:val="23"/>
              <w:szCs w:val="23"/>
            </w:rPr>
            <w:t>四</w:t>
          </w:r>
          <w:r>
            <w:rPr>
              <w:spacing w:val="-51"/>
              <w:sz w:val="23"/>
              <w:szCs w:val="23"/>
            </w:rPr>
            <w:t xml:space="preserve"> </w:t>
          </w:r>
          <w:r>
            <w:rPr>
              <w:spacing w:val="-19"/>
              <w:sz w:val="23"/>
              <w:szCs w:val="23"/>
            </w:rPr>
            <w:t>、确定样本量</w:t>
          </w:r>
          <w:r>
            <w:rPr>
              <w:spacing w:val="-97"/>
              <w:sz w:val="23"/>
              <w:szCs w:val="23"/>
            </w:rPr>
            <w:t xml:space="preserve"> </w:t>
          </w:r>
          <w:r>
            <w:rPr>
              <w:sz w:val="23"/>
              <w:szCs w:val="23"/>
            </w:rPr>
            <w:tab/>
          </w:r>
          <w:r>
            <w:rPr>
              <w:rFonts w:ascii="Times New Roman" w:hAnsi="Times New Roman" w:eastAsia="Times New Roman" w:cs="Times New Roman"/>
              <w:spacing w:val="-2"/>
              <w:sz w:val="23"/>
              <w:szCs w:val="23"/>
            </w:rPr>
            <w:t>66</w:t>
          </w:r>
          <w:r>
            <w:rPr>
              <w:rFonts w:ascii="Times New Roman" w:hAnsi="Times New Roman" w:eastAsia="Times New Roman" w:cs="Times New Roman"/>
              <w:spacing w:val="-2"/>
              <w:sz w:val="23"/>
              <w:szCs w:val="23"/>
            </w:rPr>
            <w:fldChar w:fldCharType="end"/>
          </w:r>
        </w:p>
        <w:p w14:paraId="0417113E">
          <w:pPr>
            <w:pStyle w:val="2"/>
            <w:tabs>
              <w:tab w:val="right" w:leader="dot" w:pos="9195"/>
            </w:tabs>
            <w:spacing w:before="84" w:line="222" w:lineRule="auto"/>
            <w:ind w:left="1466"/>
            <w:rPr>
              <w:rFonts w:ascii="Times New Roman" w:hAnsi="Times New Roman" w:eastAsia="Times New Roman" w:cs="Times New Roman"/>
              <w:sz w:val="23"/>
              <w:szCs w:val="23"/>
            </w:rPr>
          </w:pPr>
          <w:r>
            <w:fldChar w:fldCharType="begin"/>
          </w:r>
          <w:r>
            <w:instrText xml:space="preserve"> HYPERLINK \l "bookmark88" </w:instrText>
          </w:r>
          <w:r>
            <w:fldChar w:fldCharType="separate"/>
          </w:r>
          <w:r>
            <w:rPr>
              <w:spacing w:val="-14"/>
              <w:sz w:val="23"/>
              <w:szCs w:val="23"/>
            </w:rPr>
            <w:t>五</w:t>
          </w:r>
          <w:r>
            <w:rPr>
              <w:spacing w:val="-52"/>
              <w:sz w:val="23"/>
              <w:szCs w:val="23"/>
            </w:rPr>
            <w:t xml:space="preserve"> </w:t>
          </w:r>
          <w:r>
            <w:rPr>
              <w:spacing w:val="-14"/>
              <w:sz w:val="23"/>
              <w:szCs w:val="23"/>
            </w:rPr>
            <w:t>、确定研究因素</w:t>
          </w:r>
          <w:r>
            <w:rPr>
              <w:sz w:val="23"/>
              <w:szCs w:val="23"/>
            </w:rPr>
            <w:tab/>
          </w:r>
          <w:r>
            <w:rPr>
              <w:rFonts w:ascii="Times New Roman" w:hAnsi="Times New Roman" w:eastAsia="Times New Roman" w:cs="Times New Roman"/>
              <w:spacing w:val="-6"/>
              <w:sz w:val="23"/>
              <w:szCs w:val="23"/>
            </w:rPr>
            <w:t>68</w:t>
          </w:r>
          <w:r>
            <w:rPr>
              <w:rFonts w:ascii="Times New Roman" w:hAnsi="Times New Roman" w:eastAsia="Times New Roman" w:cs="Times New Roman"/>
              <w:spacing w:val="-6"/>
              <w:sz w:val="23"/>
              <w:szCs w:val="23"/>
            </w:rPr>
            <w:fldChar w:fldCharType="end"/>
          </w:r>
        </w:p>
        <w:p w14:paraId="3B5446D4">
          <w:pPr>
            <w:pStyle w:val="2"/>
            <w:tabs>
              <w:tab w:val="right" w:leader="dot" w:pos="9185"/>
            </w:tabs>
            <w:spacing w:before="113" w:line="221" w:lineRule="auto"/>
            <w:ind w:left="1466"/>
            <w:rPr>
              <w:rFonts w:ascii="Times New Roman" w:hAnsi="Times New Roman" w:eastAsia="Times New Roman" w:cs="Times New Roman"/>
              <w:sz w:val="23"/>
              <w:szCs w:val="23"/>
            </w:rPr>
          </w:pPr>
          <w:r>
            <w:fldChar w:fldCharType="begin"/>
          </w:r>
          <w:r>
            <w:instrText xml:space="preserve"> HYPERLINK \l "bookmark89" </w:instrText>
          </w:r>
          <w:r>
            <w:fldChar w:fldCharType="separate"/>
          </w:r>
          <w:r>
            <w:rPr>
              <w:spacing w:val="-10"/>
              <w:sz w:val="23"/>
              <w:szCs w:val="23"/>
            </w:rPr>
            <w:t>六、资料收集方法</w:t>
          </w:r>
          <w:r>
            <w:rPr>
              <w:spacing w:val="-96"/>
              <w:sz w:val="23"/>
              <w:szCs w:val="23"/>
            </w:rPr>
            <w:t xml:space="preserve"> </w:t>
          </w:r>
          <w:r>
            <w:rPr>
              <w:sz w:val="23"/>
              <w:szCs w:val="23"/>
            </w:rPr>
            <w:tab/>
          </w:r>
          <w:r>
            <w:rPr>
              <w:rFonts w:ascii="Times New Roman" w:hAnsi="Times New Roman" w:eastAsia="Times New Roman" w:cs="Times New Roman"/>
              <w:spacing w:val="-4"/>
              <w:sz w:val="23"/>
              <w:szCs w:val="23"/>
            </w:rPr>
            <w:t>69</w:t>
          </w:r>
          <w:r>
            <w:rPr>
              <w:rFonts w:ascii="Times New Roman" w:hAnsi="Times New Roman" w:eastAsia="Times New Roman" w:cs="Times New Roman"/>
              <w:spacing w:val="-4"/>
              <w:sz w:val="23"/>
              <w:szCs w:val="23"/>
            </w:rPr>
            <w:fldChar w:fldCharType="end"/>
          </w:r>
        </w:p>
        <w:p w14:paraId="5775F8CC">
          <w:pPr>
            <w:pStyle w:val="2"/>
            <w:tabs>
              <w:tab w:val="right" w:leader="dot" w:pos="9195"/>
            </w:tabs>
            <w:spacing w:before="85" w:line="222" w:lineRule="auto"/>
            <w:ind w:left="1046"/>
            <w:rPr>
              <w:rFonts w:ascii="Times New Roman" w:hAnsi="Times New Roman" w:eastAsia="Times New Roman" w:cs="Times New Roman"/>
              <w:sz w:val="23"/>
              <w:szCs w:val="23"/>
            </w:rPr>
          </w:pPr>
          <w:r>
            <w:fldChar w:fldCharType="begin"/>
          </w:r>
          <w:r>
            <w:instrText xml:space="preserve"> HYPERLINK \l "bookmark90" </w:instrText>
          </w:r>
          <w:r>
            <w:fldChar w:fldCharType="separate"/>
          </w:r>
          <w:r>
            <w:rPr>
              <w:spacing w:val="-3"/>
              <w:sz w:val="23"/>
              <w:szCs w:val="23"/>
            </w:rPr>
            <w:t>第三节 资料的整理与分析</w:t>
          </w:r>
          <w:r>
            <w:rPr>
              <w:spacing w:val="-75"/>
              <w:sz w:val="23"/>
              <w:szCs w:val="23"/>
            </w:rPr>
            <w:t xml:space="preserve"> </w:t>
          </w:r>
          <w:r>
            <w:rPr>
              <w:sz w:val="23"/>
              <w:szCs w:val="23"/>
            </w:rPr>
            <w:tab/>
          </w:r>
          <w:r>
            <w:rPr>
              <w:rFonts w:ascii="Times New Roman" w:hAnsi="Times New Roman" w:eastAsia="Times New Roman" w:cs="Times New Roman"/>
              <w:spacing w:val="2"/>
              <w:sz w:val="23"/>
              <w:szCs w:val="23"/>
            </w:rPr>
            <w:t>69</w:t>
          </w:r>
          <w:r>
            <w:rPr>
              <w:rFonts w:ascii="Times New Roman" w:hAnsi="Times New Roman" w:eastAsia="Times New Roman" w:cs="Times New Roman"/>
              <w:spacing w:val="2"/>
              <w:sz w:val="23"/>
              <w:szCs w:val="23"/>
            </w:rPr>
            <w:fldChar w:fldCharType="end"/>
          </w:r>
        </w:p>
        <w:p w14:paraId="650A851D">
          <w:pPr>
            <w:pStyle w:val="2"/>
            <w:tabs>
              <w:tab w:val="right" w:leader="dot" w:pos="9195"/>
            </w:tabs>
            <w:spacing w:before="113" w:line="222" w:lineRule="auto"/>
            <w:ind w:left="1466"/>
            <w:rPr>
              <w:rFonts w:ascii="Times New Roman" w:hAnsi="Times New Roman" w:eastAsia="Times New Roman" w:cs="Times New Roman"/>
              <w:sz w:val="23"/>
              <w:szCs w:val="23"/>
            </w:rPr>
          </w:pPr>
          <w:r>
            <w:fldChar w:fldCharType="begin"/>
          </w:r>
          <w:r>
            <w:instrText xml:space="preserve"> HYPERLINK \l "bookmark91" </w:instrText>
          </w:r>
          <w:r>
            <w:fldChar w:fldCharType="separate"/>
          </w:r>
          <w:r>
            <w:rPr>
              <w:spacing w:val="-14"/>
              <w:sz w:val="23"/>
              <w:szCs w:val="23"/>
            </w:rPr>
            <w:t>一</w:t>
          </w:r>
          <w:r>
            <w:rPr>
              <w:spacing w:val="-65"/>
              <w:sz w:val="23"/>
              <w:szCs w:val="23"/>
            </w:rPr>
            <w:t xml:space="preserve"> </w:t>
          </w:r>
          <w:r>
            <w:rPr>
              <w:spacing w:val="-14"/>
              <w:sz w:val="23"/>
              <w:szCs w:val="23"/>
            </w:rPr>
            <w:t>、资料的整理</w:t>
          </w:r>
          <w:r>
            <w:rPr>
              <w:spacing w:val="-98"/>
              <w:sz w:val="23"/>
              <w:szCs w:val="23"/>
            </w:rPr>
            <w:t xml:space="preserve"> </w:t>
          </w:r>
          <w:r>
            <w:rPr>
              <w:sz w:val="23"/>
              <w:szCs w:val="23"/>
            </w:rPr>
            <w:tab/>
          </w:r>
          <w:r>
            <w:rPr>
              <w:rFonts w:ascii="Times New Roman" w:hAnsi="Times New Roman" w:eastAsia="Times New Roman" w:cs="Times New Roman"/>
              <w:spacing w:val="-2"/>
              <w:sz w:val="23"/>
              <w:szCs w:val="23"/>
            </w:rPr>
            <w:t>69</w:t>
          </w:r>
          <w:r>
            <w:rPr>
              <w:rFonts w:ascii="Times New Roman" w:hAnsi="Times New Roman" w:eastAsia="Times New Roman" w:cs="Times New Roman"/>
              <w:spacing w:val="-2"/>
              <w:sz w:val="23"/>
              <w:szCs w:val="23"/>
            </w:rPr>
            <w:fldChar w:fldCharType="end"/>
          </w:r>
        </w:p>
        <w:p w14:paraId="44638B2D">
          <w:pPr>
            <w:pStyle w:val="2"/>
            <w:tabs>
              <w:tab w:val="right" w:leader="dot" w:pos="9265"/>
            </w:tabs>
            <w:spacing w:before="84" w:line="222" w:lineRule="auto"/>
            <w:ind w:left="1466"/>
            <w:rPr>
              <w:rFonts w:ascii="Times New Roman" w:hAnsi="Times New Roman" w:eastAsia="Times New Roman" w:cs="Times New Roman"/>
              <w:sz w:val="23"/>
              <w:szCs w:val="23"/>
            </w:rPr>
          </w:pPr>
          <w:r>
            <w:fldChar w:fldCharType="begin"/>
          </w:r>
          <w:r>
            <w:instrText xml:space="preserve"> HYPERLINK \l "bookmark92" </w:instrText>
          </w:r>
          <w:r>
            <w:fldChar w:fldCharType="separate"/>
          </w:r>
          <w:r>
            <w:rPr>
              <w:spacing w:val="-17"/>
              <w:sz w:val="23"/>
              <w:szCs w:val="23"/>
            </w:rPr>
            <w:t>二</w:t>
          </w:r>
          <w:r>
            <w:rPr>
              <w:spacing w:val="-54"/>
              <w:sz w:val="23"/>
              <w:szCs w:val="23"/>
            </w:rPr>
            <w:t xml:space="preserve"> </w:t>
          </w:r>
          <w:r>
            <w:rPr>
              <w:spacing w:val="-17"/>
              <w:sz w:val="23"/>
              <w:szCs w:val="23"/>
            </w:rPr>
            <w:t>、资料的分析</w:t>
          </w:r>
          <w:r>
            <w:rPr>
              <w:spacing w:val="-88"/>
              <w:sz w:val="23"/>
              <w:szCs w:val="23"/>
            </w:rPr>
            <w:t xml:space="preserve"> </w:t>
          </w:r>
          <w:r>
            <w:rPr>
              <w:sz w:val="23"/>
              <w:szCs w:val="23"/>
            </w:rPr>
            <w:tab/>
          </w:r>
          <w:r>
            <w:rPr>
              <w:spacing w:val="-70"/>
              <w:sz w:val="23"/>
              <w:szCs w:val="23"/>
            </w:rPr>
            <w:t xml:space="preserve"> </w:t>
          </w:r>
          <w:r>
            <w:rPr>
              <w:rFonts w:ascii="Times New Roman" w:hAnsi="Times New Roman" w:eastAsia="Times New Roman" w:cs="Times New Roman"/>
              <w:spacing w:val="-3"/>
              <w:sz w:val="23"/>
              <w:szCs w:val="23"/>
            </w:rPr>
            <w:t>69</w:t>
          </w:r>
          <w:r>
            <w:rPr>
              <w:rFonts w:ascii="Times New Roman" w:hAnsi="Times New Roman" w:eastAsia="Times New Roman" w:cs="Times New Roman"/>
              <w:spacing w:val="-3"/>
              <w:sz w:val="23"/>
              <w:szCs w:val="23"/>
            </w:rPr>
            <w:fldChar w:fldCharType="end"/>
          </w:r>
        </w:p>
        <w:p w14:paraId="35142D77">
          <w:pPr>
            <w:pStyle w:val="2"/>
            <w:tabs>
              <w:tab w:val="right" w:leader="dot" w:pos="9197"/>
            </w:tabs>
            <w:spacing w:before="102" w:line="221" w:lineRule="auto"/>
            <w:ind w:left="1046"/>
            <w:rPr>
              <w:rFonts w:ascii="Times New Roman" w:hAnsi="Times New Roman" w:eastAsia="Times New Roman" w:cs="Times New Roman"/>
              <w:sz w:val="23"/>
              <w:szCs w:val="23"/>
            </w:rPr>
          </w:pPr>
          <w:r>
            <w:fldChar w:fldCharType="begin"/>
          </w:r>
          <w:r>
            <w:instrText xml:space="preserve"> HYPERLINK \l "bookmark93" </w:instrText>
          </w:r>
          <w:r>
            <w:fldChar w:fldCharType="separate"/>
          </w:r>
          <w:r>
            <w:rPr>
              <w:spacing w:val="-1"/>
              <w:sz w:val="23"/>
              <w:szCs w:val="23"/>
            </w:rPr>
            <w:t>第四节 常见偏倚及其控制</w:t>
          </w:r>
          <w:r>
            <w:rPr>
              <w:spacing w:val="-99"/>
              <w:sz w:val="23"/>
              <w:szCs w:val="23"/>
            </w:rPr>
            <w:t xml:space="preserve"> </w:t>
          </w:r>
          <w:r>
            <w:rPr>
              <w:sz w:val="23"/>
              <w:szCs w:val="23"/>
            </w:rPr>
            <w:tab/>
          </w:r>
          <w:r>
            <w:rPr>
              <w:rFonts w:ascii="Times New Roman" w:hAnsi="Times New Roman" w:eastAsia="Times New Roman" w:cs="Times New Roman"/>
              <w:spacing w:val="3"/>
              <w:sz w:val="23"/>
              <w:szCs w:val="23"/>
            </w:rPr>
            <w:t>78</w:t>
          </w:r>
          <w:r>
            <w:rPr>
              <w:rFonts w:ascii="Times New Roman" w:hAnsi="Times New Roman" w:eastAsia="Times New Roman" w:cs="Times New Roman"/>
              <w:spacing w:val="3"/>
              <w:sz w:val="23"/>
              <w:szCs w:val="23"/>
            </w:rPr>
            <w:fldChar w:fldCharType="end"/>
          </w:r>
        </w:p>
        <w:p w14:paraId="2CA2A36E">
          <w:pPr>
            <w:pStyle w:val="2"/>
            <w:tabs>
              <w:tab w:val="right" w:leader="dot" w:pos="9217"/>
            </w:tabs>
            <w:spacing w:before="106" w:line="222" w:lineRule="auto"/>
            <w:ind w:left="1466"/>
            <w:rPr>
              <w:rFonts w:ascii="Times New Roman" w:hAnsi="Times New Roman" w:eastAsia="Times New Roman" w:cs="Times New Roman"/>
              <w:sz w:val="23"/>
              <w:szCs w:val="23"/>
            </w:rPr>
          </w:pPr>
          <w:r>
            <w:fldChar w:fldCharType="begin"/>
          </w:r>
          <w:r>
            <w:instrText xml:space="preserve"> HYPERLINK \l "bookmark94" </w:instrText>
          </w:r>
          <w:r>
            <w:fldChar w:fldCharType="separate"/>
          </w:r>
          <w:r>
            <w:rPr>
              <w:spacing w:val="-19"/>
              <w:sz w:val="23"/>
              <w:szCs w:val="23"/>
            </w:rPr>
            <w:t>一</w:t>
          </w:r>
          <w:r>
            <w:rPr>
              <w:spacing w:val="-55"/>
              <w:sz w:val="23"/>
              <w:szCs w:val="23"/>
            </w:rPr>
            <w:t xml:space="preserve"> </w:t>
          </w:r>
          <w:r>
            <w:rPr>
              <w:spacing w:val="-19"/>
              <w:sz w:val="23"/>
              <w:szCs w:val="23"/>
            </w:rPr>
            <w:t>、选择偏倚</w:t>
          </w:r>
          <w:r>
            <w:rPr>
              <w:spacing w:val="-82"/>
              <w:sz w:val="23"/>
              <w:szCs w:val="23"/>
            </w:rPr>
            <w:t xml:space="preserve"> </w:t>
          </w:r>
          <w:r>
            <w:rPr>
              <w:sz w:val="23"/>
              <w:szCs w:val="23"/>
            </w:rPr>
            <w:tab/>
          </w:r>
          <w:r>
            <w:rPr>
              <w:rFonts w:ascii="Times New Roman" w:hAnsi="Times New Roman" w:eastAsia="Times New Roman" w:cs="Times New Roman"/>
              <w:spacing w:val="-6"/>
              <w:sz w:val="23"/>
              <w:szCs w:val="23"/>
            </w:rPr>
            <w:t>78</w:t>
          </w:r>
          <w:r>
            <w:rPr>
              <w:rFonts w:ascii="Times New Roman" w:hAnsi="Times New Roman" w:eastAsia="Times New Roman" w:cs="Times New Roman"/>
              <w:spacing w:val="-6"/>
              <w:sz w:val="23"/>
              <w:szCs w:val="23"/>
            </w:rPr>
            <w:fldChar w:fldCharType="end"/>
          </w:r>
        </w:p>
        <w:p w14:paraId="5F0CFB3C">
          <w:pPr>
            <w:pStyle w:val="2"/>
            <w:tabs>
              <w:tab w:val="right" w:leader="dot" w:pos="9257"/>
            </w:tabs>
            <w:spacing w:before="105" w:line="222" w:lineRule="auto"/>
            <w:ind w:left="1466"/>
            <w:rPr>
              <w:rFonts w:ascii="Times New Roman" w:hAnsi="Times New Roman" w:eastAsia="Times New Roman" w:cs="Times New Roman"/>
              <w:sz w:val="23"/>
              <w:szCs w:val="23"/>
            </w:rPr>
          </w:pPr>
          <w:r>
            <w:fldChar w:fldCharType="begin"/>
          </w:r>
          <w:r>
            <w:instrText xml:space="preserve"> HYPERLINK \l "bookmark95" </w:instrText>
          </w:r>
          <w:r>
            <w:fldChar w:fldCharType="separate"/>
          </w:r>
          <w:r>
            <w:rPr>
              <w:spacing w:val="-19"/>
              <w:sz w:val="23"/>
              <w:szCs w:val="23"/>
            </w:rPr>
            <w:t>二</w:t>
          </w:r>
          <w:r>
            <w:rPr>
              <w:spacing w:val="-51"/>
              <w:sz w:val="23"/>
              <w:szCs w:val="23"/>
            </w:rPr>
            <w:t xml:space="preserve"> </w:t>
          </w:r>
          <w:r>
            <w:rPr>
              <w:spacing w:val="-19"/>
              <w:sz w:val="23"/>
              <w:szCs w:val="23"/>
            </w:rPr>
            <w:t>、信息偏倚</w:t>
          </w:r>
          <w:r>
            <w:rPr>
              <w:spacing w:val="-86"/>
              <w:sz w:val="23"/>
              <w:szCs w:val="23"/>
            </w:rPr>
            <w:t xml:space="preserve"> </w:t>
          </w:r>
          <w:r>
            <w:rPr>
              <w:sz w:val="23"/>
              <w:szCs w:val="23"/>
            </w:rPr>
            <w:tab/>
          </w:r>
          <w:r>
            <w:rPr>
              <w:rFonts w:ascii="Times New Roman" w:hAnsi="Times New Roman" w:eastAsia="Times New Roman" w:cs="Times New Roman"/>
              <w:spacing w:val="8"/>
              <w:sz w:val="23"/>
              <w:szCs w:val="23"/>
            </w:rPr>
            <w:t>79</w:t>
          </w:r>
          <w:r>
            <w:rPr>
              <w:rFonts w:ascii="Times New Roman" w:hAnsi="Times New Roman" w:eastAsia="Times New Roman" w:cs="Times New Roman"/>
              <w:spacing w:val="8"/>
              <w:sz w:val="23"/>
              <w:szCs w:val="23"/>
            </w:rPr>
            <w:fldChar w:fldCharType="end"/>
          </w:r>
        </w:p>
        <w:p w14:paraId="2B2D1DF5">
          <w:pPr>
            <w:pStyle w:val="2"/>
            <w:tabs>
              <w:tab w:val="right" w:leader="dot" w:pos="9282"/>
            </w:tabs>
            <w:spacing w:before="91" w:line="221" w:lineRule="auto"/>
            <w:ind w:left="1466"/>
            <w:rPr>
              <w:rFonts w:ascii="Times New Roman" w:hAnsi="Times New Roman" w:eastAsia="Times New Roman" w:cs="Times New Roman"/>
              <w:sz w:val="23"/>
              <w:szCs w:val="23"/>
            </w:rPr>
          </w:pPr>
          <w:r>
            <w:fldChar w:fldCharType="begin"/>
          </w:r>
          <w:r>
            <w:instrText xml:space="preserve"> HYPERLINK \l "bookmark96" </w:instrText>
          </w:r>
          <w:r>
            <w:fldChar w:fldCharType="separate"/>
          </w:r>
          <w:r>
            <w:rPr>
              <w:spacing w:val="-18"/>
              <w:sz w:val="23"/>
              <w:szCs w:val="23"/>
            </w:rPr>
            <w:t>三</w:t>
          </w:r>
          <w:r>
            <w:rPr>
              <w:spacing w:val="-55"/>
              <w:sz w:val="23"/>
              <w:szCs w:val="23"/>
            </w:rPr>
            <w:t xml:space="preserve"> </w:t>
          </w:r>
          <w:r>
            <w:rPr>
              <w:spacing w:val="-18"/>
              <w:sz w:val="23"/>
              <w:szCs w:val="23"/>
            </w:rPr>
            <w:t>、混杂偏倚</w:t>
          </w:r>
          <w:r>
            <w:rPr>
              <w:sz w:val="23"/>
              <w:szCs w:val="23"/>
            </w:rPr>
            <w:tab/>
          </w:r>
          <w:r>
            <w:rPr>
              <w:spacing w:val="-40"/>
              <w:sz w:val="23"/>
              <w:szCs w:val="23"/>
            </w:rPr>
            <w:t xml:space="preserve"> </w:t>
          </w:r>
          <w:r>
            <w:rPr>
              <w:rFonts w:ascii="Times New Roman" w:hAnsi="Times New Roman" w:eastAsia="Times New Roman" w:cs="Times New Roman"/>
              <w:spacing w:val="-4"/>
              <w:sz w:val="23"/>
              <w:szCs w:val="23"/>
            </w:rPr>
            <w:t>80</w:t>
          </w:r>
          <w:r>
            <w:rPr>
              <w:rFonts w:ascii="Times New Roman" w:hAnsi="Times New Roman" w:eastAsia="Times New Roman" w:cs="Times New Roman"/>
              <w:spacing w:val="-4"/>
              <w:sz w:val="23"/>
              <w:szCs w:val="23"/>
            </w:rPr>
            <w:fldChar w:fldCharType="end"/>
          </w:r>
        </w:p>
        <w:p w14:paraId="6108D838">
          <w:pPr>
            <w:pStyle w:val="2"/>
            <w:tabs>
              <w:tab w:val="right" w:leader="dot" w:pos="9262"/>
            </w:tabs>
            <w:spacing w:before="105" w:line="222" w:lineRule="auto"/>
            <w:ind w:left="1046"/>
            <w:rPr>
              <w:rFonts w:ascii="Times New Roman" w:hAnsi="Times New Roman" w:eastAsia="Times New Roman" w:cs="Times New Roman"/>
              <w:sz w:val="23"/>
              <w:szCs w:val="23"/>
            </w:rPr>
          </w:pPr>
          <w:r>
            <w:fldChar w:fldCharType="begin"/>
          </w:r>
          <w:r>
            <w:instrText xml:space="preserve"> HYPERLINK \l "bookmark97" </w:instrText>
          </w:r>
          <w:r>
            <w:fldChar w:fldCharType="separate"/>
          </w:r>
          <w:r>
            <w:rPr>
              <w:spacing w:val="2"/>
              <w:sz w:val="23"/>
              <w:szCs w:val="23"/>
            </w:rPr>
            <w:t>第五节 优点与局限性</w:t>
          </w:r>
          <w:r>
            <w:rPr>
              <w:spacing w:val="-92"/>
              <w:sz w:val="23"/>
              <w:szCs w:val="23"/>
            </w:rPr>
            <w:t xml:space="preserve"> </w:t>
          </w:r>
          <w:r>
            <w:rPr>
              <w:sz w:val="23"/>
              <w:szCs w:val="23"/>
            </w:rPr>
            <w:tab/>
          </w:r>
          <w:r>
            <w:rPr>
              <w:spacing w:val="-69"/>
              <w:sz w:val="23"/>
              <w:szCs w:val="23"/>
            </w:rPr>
            <w:t xml:space="preserve"> </w:t>
          </w:r>
          <w:r>
            <w:rPr>
              <w:rFonts w:ascii="Times New Roman" w:hAnsi="Times New Roman" w:eastAsia="Times New Roman" w:cs="Times New Roman"/>
              <w:spacing w:val="-4"/>
              <w:sz w:val="23"/>
              <w:szCs w:val="23"/>
            </w:rPr>
            <w:t>80</w:t>
          </w:r>
          <w:r>
            <w:rPr>
              <w:rFonts w:ascii="Times New Roman" w:hAnsi="Times New Roman" w:eastAsia="Times New Roman" w:cs="Times New Roman"/>
              <w:spacing w:val="-4"/>
              <w:sz w:val="23"/>
              <w:szCs w:val="23"/>
            </w:rPr>
            <w:fldChar w:fldCharType="end"/>
          </w:r>
        </w:p>
        <w:p w14:paraId="46A406D7">
          <w:pPr>
            <w:spacing w:line="372" w:lineRule="auto"/>
            <w:rPr>
              <w:rFonts w:ascii="Arial"/>
              <w:sz w:val="21"/>
            </w:rPr>
          </w:pPr>
        </w:p>
        <w:p w14:paraId="2FCF0046">
          <w:pPr>
            <w:pStyle w:val="2"/>
            <w:tabs>
              <w:tab w:val="right" w:leader="dot" w:pos="9127"/>
            </w:tabs>
            <w:spacing w:before="76" w:line="221" w:lineRule="auto"/>
            <w:rPr>
              <w:rFonts w:ascii="Times New Roman" w:hAnsi="Times New Roman" w:eastAsia="Times New Roman" w:cs="Times New Roman"/>
              <w:sz w:val="23"/>
              <w:szCs w:val="23"/>
            </w:rPr>
          </w:pPr>
          <w:r>
            <w:fldChar w:fldCharType="begin"/>
          </w:r>
          <w:r>
            <w:instrText xml:space="preserve"> HYPERLINK \l "bookmark98" </w:instrText>
          </w:r>
          <w:r>
            <w:fldChar w:fldCharType="separate"/>
          </w:r>
          <w:r>
            <w:rPr>
              <w:b/>
              <w:bCs/>
              <w:spacing w:val="-14"/>
              <w:sz w:val="23"/>
              <w:szCs w:val="23"/>
            </w:rPr>
            <w:t>第</w:t>
          </w:r>
          <w:r>
            <w:rPr>
              <w:spacing w:val="-36"/>
              <w:sz w:val="23"/>
              <w:szCs w:val="23"/>
            </w:rPr>
            <w:t xml:space="preserve"> </w:t>
          </w:r>
          <w:r>
            <w:rPr>
              <w:b/>
              <w:bCs/>
              <w:spacing w:val="-14"/>
              <w:sz w:val="23"/>
              <w:szCs w:val="23"/>
            </w:rPr>
            <w:t>六</w:t>
          </w:r>
          <w:r>
            <w:rPr>
              <w:spacing w:val="-44"/>
              <w:sz w:val="23"/>
              <w:szCs w:val="23"/>
            </w:rPr>
            <w:t xml:space="preserve"> </w:t>
          </w:r>
          <w:r>
            <w:rPr>
              <w:b/>
              <w:bCs/>
              <w:spacing w:val="-14"/>
              <w:sz w:val="23"/>
              <w:szCs w:val="23"/>
            </w:rPr>
            <w:t>章</w:t>
          </w:r>
          <w:r>
            <w:rPr>
              <w:spacing w:val="69"/>
              <w:sz w:val="23"/>
              <w:szCs w:val="23"/>
            </w:rPr>
            <w:t xml:space="preserve"> </w:t>
          </w:r>
          <w:r>
            <w:rPr>
              <w:b/>
              <w:bCs/>
              <w:spacing w:val="-14"/>
              <w:sz w:val="23"/>
              <w:szCs w:val="23"/>
            </w:rPr>
            <w:t>实</w:t>
          </w:r>
          <w:r>
            <w:rPr>
              <w:spacing w:val="-48"/>
              <w:sz w:val="23"/>
              <w:szCs w:val="23"/>
            </w:rPr>
            <w:t xml:space="preserve"> </w:t>
          </w:r>
          <w:r>
            <w:rPr>
              <w:b/>
              <w:bCs/>
              <w:spacing w:val="-14"/>
              <w:sz w:val="23"/>
              <w:szCs w:val="23"/>
            </w:rPr>
            <w:t>验</w:t>
          </w:r>
          <w:r>
            <w:rPr>
              <w:spacing w:val="-43"/>
              <w:sz w:val="23"/>
              <w:szCs w:val="23"/>
            </w:rPr>
            <w:t xml:space="preserve"> </w:t>
          </w:r>
          <w:r>
            <w:rPr>
              <w:b/>
              <w:bCs/>
              <w:spacing w:val="-14"/>
              <w:sz w:val="23"/>
              <w:szCs w:val="23"/>
            </w:rPr>
            <w:t>流</w:t>
          </w:r>
          <w:r>
            <w:rPr>
              <w:spacing w:val="-47"/>
              <w:sz w:val="23"/>
              <w:szCs w:val="23"/>
            </w:rPr>
            <w:t xml:space="preserve"> </w:t>
          </w:r>
          <w:r>
            <w:rPr>
              <w:b/>
              <w:bCs/>
              <w:spacing w:val="-14"/>
              <w:sz w:val="23"/>
              <w:szCs w:val="23"/>
            </w:rPr>
            <w:t>行</w:t>
          </w:r>
          <w:r>
            <w:rPr>
              <w:spacing w:val="-49"/>
              <w:sz w:val="23"/>
              <w:szCs w:val="23"/>
            </w:rPr>
            <w:t xml:space="preserve"> </w:t>
          </w:r>
          <w:r>
            <w:rPr>
              <w:b/>
              <w:bCs/>
              <w:spacing w:val="-14"/>
              <w:sz w:val="23"/>
              <w:szCs w:val="23"/>
            </w:rPr>
            <w:t>病</w:t>
          </w:r>
          <w:r>
            <w:rPr>
              <w:spacing w:val="-39"/>
              <w:sz w:val="23"/>
              <w:szCs w:val="23"/>
            </w:rPr>
            <w:t xml:space="preserve"> </w:t>
          </w:r>
          <w:r>
            <w:rPr>
              <w:b/>
              <w:bCs/>
              <w:spacing w:val="-14"/>
              <w:sz w:val="23"/>
              <w:szCs w:val="23"/>
            </w:rPr>
            <w:t>学</w:t>
          </w:r>
          <w:r>
            <w:rPr>
              <w:spacing w:val="-99"/>
              <w:sz w:val="23"/>
              <w:szCs w:val="23"/>
            </w:rPr>
            <w:t xml:space="preserve"> </w:t>
          </w:r>
          <w:r>
            <w:rPr>
              <w:sz w:val="23"/>
              <w:szCs w:val="23"/>
            </w:rPr>
            <w:tab/>
          </w:r>
          <w:r>
            <w:rPr>
              <w:spacing w:val="-58"/>
              <w:sz w:val="23"/>
              <w:szCs w:val="23"/>
            </w:rPr>
            <w:t xml:space="preserve"> </w:t>
          </w:r>
          <w:r>
            <w:rPr>
              <w:rFonts w:ascii="Times New Roman" w:hAnsi="Times New Roman" w:eastAsia="Times New Roman" w:cs="Times New Roman"/>
              <w:b/>
              <w:bCs/>
              <w:spacing w:val="-3"/>
              <w:sz w:val="23"/>
              <w:szCs w:val="23"/>
            </w:rPr>
            <w:t>82</w:t>
          </w:r>
          <w:r>
            <w:rPr>
              <w:rFonts w:ascii="Times New Roman" w:hAnsi="Times New Roman" w:eastAsia="Times New Roman" w:cs="Times New Roman"/>
              <w:b/>
              <w:bCs/>
              <w:spacing w:val="-3"/>
              <w:sz w:val="23"/>
              <w:szCs w:val="23"/>
            </w:rPr>
            <w:fldChar w:fldCharType="end"/>
          </w:r>
        </w:p>
        <w:p w14:paraId="039AF55B">
          <w:pPr>
            <w:pStyle w:val="2"/>
            <w:tabs>
              <w:tab w:val="right" w:leader="dot" w:pos="9232"/>
            </w:tabs>
            <w:spacing w:before="127" w:line="221" w:lineRule="auto"/>
            <w:ind w:left="1046"/>
            <w:rPr>
              <w:rFonts w:ascii="Times New Roman" w:hAnsi="Times New Roman" w:eastAsia="Times New Roman" w:cs="Times New Roman"/>
              <w:sz w:val="23"/>
              <w:szCs w:val="23"/>
            </w:rPr>
          </w:pPr>
          <w:r>
            <w:fldChar w:fldCharType="begin"/>
          </w:r>
          <w:r>
            <w:instrText xml:space="preserve"> HYPERLINK \l "bookmark99" </w:instrText>
          </w:r>
          <w:r>
            <w:fldChar w:fldCharType="separate"/>
          </w:r>
          <w:r>
            <w:rPr>
              <w:spacing w:val="7"/>
              <w:sz w:val="23"/>
              <w:szCs w:val="23"/>
            </w:rPr>
            <w:t>第一节</w:t>
          </w:r>
          <w:r>
            <w:rPr>
              <w:spacing w:val="47"/>
              <w:sz w:val="23"/>
              <w:szCs w:val="23"/>
            </w:rPr>
            <w:t xml:space="preserve"> </w:t>
          </w:r>
          <w:r>
            <w:rPr>
              <w:spacing w:val="7"/>
              <w:sz w:val="23"/>
              <w:szCs w:val="23"/>
            </w:rPr>
            <w:t>概述</w:t>
          </w:r>
          <w:r>
            <w:rPr>
              <w:spacing w:val="-94"/>
              <w:sz w:val="23"/>
              <w:szCs w:val="23"/>
            </w:rPr>
            <w:t xml:space="preserve"> </w:t>
          </w:r>
          <w:r>
            <w:rPr>
              <w:sz w:val="23"/>
              <w:szCs w:val="23"/>
            </w:rPr>
            <w:tab/>
          </w:r>
          <w:r>
            <w:rPr>
              <w:rFonts w:ascii="Times New Roman" w:hAnsi="Times New Roman" w:eastAsia="Times New Roman" w:cs="Times New Roman"/>
              <w:spacing w:val="-3"/>
              <w:sz w:val="23"/>
              <w:szCs w:val="23"/>
            </w:rPr>
            <w:t>82</w:t>
          </w:r>
          <w:r>
            <w:rPr>
              <w:rFonts w:ascii="Times New Roman" w:hAnsi="Times New Roman" w:eastAsia="Times New Roman" w:cs="Times New Roman"/>
              <w:spacing w:val="-3"/>
              <w:sz w:val="23"/>
              <w:szCs w:val="23"/>
            </w:rPr>
            <w:fldChar w:fldCharType="end"/>
          </w:r>
        </w:p>
        <w:p w14:paraId="75B5F51F">
          <w:pPr>
            <w:pStyle w:val="2"/>
            <w:tabs>
              <w:tab w:val="right" w:leader="dot" w:pos="9242"/>
            </w:tabs>
            <w:spacing w:before="106" w:line="222" w:lineRule="auto"/>
            <w:ind w:left="1466"/>
            <w:rPr>
              <w:rFonts w:ascii="Times New Roman" w:hAnsi="Times New Roman" w:eastAsia="Times New Roman" w:cs="Times New Roman"/>
              <w:sz w:val="23"/>
              <w:szCs w:val="23"/>
            </w:rPr>
          </w:pPr>
          <w:r>
            <w:fldChar w:fldCharType="begin"/>
          </w:r>
          <w:r>
            <w:instrText xml:space="preserve"> HYPERLINK \l "bookmark100" </w:instrText>
          </w:r>
          <w:r>
            <w:fldChar w:fldCharType="separate"/>
          </w:r>
          <w:r>
            <w:rPr>
              <w:spacing w:val="-8"/>
              <w:sz w:val="23"/>
              <w:szCs w:val="23"/>
            </w:rPr>
            <w:t>一、历史回顾</w:t>
          </w:r>
          <w:r>
            <w:rPr>
              <w:spacing w:val="-87"/>
              <w:sz w:val="23"/>
              <w:szCs w:val="23"/>
            </w:rPr>
            <w:t xml:space="preserve"> </w:t>
          </w:r>
          <w:r>
            <w:rPr>
              <w:sz w:val="23"/>
              <w:szCs w:val="23"/>
            </w:rPr>
            <w:tab/>
          </w:r>
          <w:r>
            <w:rPr>
              <w:rFonts w:ascii="Times New Roman" w:hAnsi="Times New Roman" w:eastAsia="Times New Roman" w:cs="Times New Roman"/>
              <w:sz w:val="23"/>
              <w:szCs w:val="23"/>
            </w:rPr>
            <w:t>82</w:t>
          </w:r>
          <w:r>
            <w:rPr>
              <w:rFonts w:ascii="Times New Roman" w:hAnsi="Times New Roman" w:eastAsia="Times New Roman" w:cs="Times New Roman"/>
              <w:sz w:val="23"/>
              <w:szCs w:val="23"/>
            </w:rPr>
            <w:fldChar w:fldCharType="end"/>
          </w:r>
        </w:p>
        <w:p w14:paraId="5D523625">
          <w:pPr>
            <w:pStyle w:val="2"/>
            <w:tabs>
              <w:tab w:val="right" w:leader="dot" w:pos="9192"/>
            </w:tabs>
            <w:spacing w:before="95" w:line="223" w:lineRule="auto"/>
            <w:ind w:left="1466"/>
            <w:rPr>
              <w:rFonts w:ascii="Times New Roman" w:hAnsi="Times New Roman" w:eastAsia="Times New Roman" w:cs="Times New Roman"/>
              <w:sz w:val="23"/>
              <w:szCs w:val="23"/>
            </w:rPr>
          </w:pPr>
          <w:r>
            <w:fldChar w:fldCharType="begin"/>
          </w:r>
          <w:r>
            <w:instrText xml:space="preserve"> HYPERLINK \l "bookmark101" </w:instrText>
          </w:r>
          <w:r>
            <w:fldChar w:fldCharType="separate"/>
          </w:r>
          <w:r>
            <w:rPr>
              <w:spacing w:val="-19"/>
              <w:sz w:val="23"/>
              <w:szCs w:val="23"/>
            </w:rPr>
            <w:t>二</w:t>
          </w:r>
          <w:r>
            <w:rPr>
              <w:spacing w:val="-56"/>
              <w:sz w:val="23"/>
              <w:szCs w:val="23"/>
            </w:rPr>
            <w:t xml:space="preserve"> </w:t>
          </w:r>
          <w:r>
            <w:rPr>
              <w:spacing w:val="-19"/>
              <w:sz w:val="23"/>
              <w:szCs w:val="23"/>
            </w:rPr>
            <w:t>、定义</w:t>
          </w:r>
          <w:r>
            <w:rPr>
              <w:spacing w:val="-99"/>
              <w:sz w:val="23"/>
              <w:szCs w:val="23"/>
            </w:rPr>
            <w:t xml:space="preserve"> </w:t>
          </w:r>
          <w:r>
            <w:rPr>
              <w:sz w:val="23"/>
              <w:szCs w:val="23"/>
            </w:rPr>
            <w:tab/>
          </w:r>
          <w:r>
            <w:rPr>
              <w:rFonts w:ascii="Times New Roman" w:hAnsi="Times New Roman" w:eastAsia="Times New Roman" w:cs="Times New Roman"/>
              <w:spacing w:val="-3"/>
              <w:sz w:val="23"/>
              <w:szCs w:val="23"/>
            </w:rPr>
            <w:t>83</w:t>
          </w:r>
          <w:r>
            <w:rPr>
              <w:rFonts w:ascii="Times New Roman" w:hAnsi="Times New Roman" w:eastAsia="Times New Roman" w:cs="Times New Roman"/>
              <w:spacing w:val="-3"/>
              <w:sz w:val="23"/>
              <w:szCs w:val="23"/>
            </w:rPr>
            <w:fldChar w:fldCharType="end"/>
          </w:r>
        </w:p>
        <w:p w14:paraId="3857480A">
          <w:pPr>
            <w:pStyle w:val="2"/>
            <w:tabs>
              <w:tab w:val="right" w:leader="dot" w:pos="9252"/>
            </w:tabs>
            <w:spacing w:before="100" w:line="221" w:lineRule="auto"/>
            <w:ind w:left="1466"/>
            <w:rPr>
              <w:rFonts w:ascii="Times New Roman" w:hAnsi="Times New Roman" w:eastAsia="Times New Roman" w:cs="Times New Roman"/>
              <w:sz w:val="23"/>
              <w:szCs w:val="23"/>
            </w:rPr>
          </w:pPr>
          <w:r>
            <w:fldChar w:fldCharType="begin"/>
          </w:r>
          <w:r>
            <w:instrText xml:space="preserve"> HYPERLINK \l "bookmark102" </w:instrText>
          </w:r>
          <w:r>
            <w:fldChar w:fldCharType="separate"/>
          </w:r>
          <w:r>
            <w:rPr>
              <w:spacing w:val="-8"/>
              <w:sz w:val="23"/>
              <w:szCs w:val="23"/>
            </w:rPr>
            <w:t>三、基本特征和用途</w:t>
          </w:r>
          <w:r>
            <w:rPr>
              <w:spacing w:val="-94"/>
              <w:sz w:val="23"/>
              <w:szCs w:val="23"/>
            </w:rPr>
            <w:t xml:space="preserve"> </w:t>
          </w:r>
          <w:r>
            <w:rPr>
              <w:sz w:val="23"/>
              <w:szCs w:val="23"/>
            </w:rPr>
            <w:tab/>
          </w:r>
          <w:r>
            <w:rPr>
              <w:spacing w:val="-59"/>
              <w:sz w:val="23"/>
              <w:szCs w:val="23"/>
            </w:rPr>
            <w:t xml:space="preserve"> </w:t>
          </w:r>
          <w:r>
            <w:rPr>
              <w:rFonts w:ascii="Times New Roman" w:hAnsi="Times New Roman" w:eastAsia="Times New Roman" w:cs="Times New Roman"/>
              <w:spacing w:val="-4"/>
              <w:sz w:val="23"/>
              <w:szCs w:val="23"/>
            </w:rPr>
            <w:t>83</w:t>
          </w:r>
          <w:r>
            <w:rPr>
              <w:rFonts w:ascii="Times New Roman" w:hAnsi="Times New Roman" w:eastAsia="Times New Roman" w:cs="Times New Roman"/>
              <w:spacing w:val="-4"/>
              <w:sz w:val="23"/>
              <w:szCs w:val="23"/>
            </w:rPr>
            <w:fldChar w:fldCharType="end"/>
          </w:r>
        </w:p>
        <w:p w14:paraId="74A8A190">
          <w:pPr>
            <w:pStyle w:val="2"/>
            <w:tabs>
              <w:tab w:val="right" w:leader="dot" w:pos="9212"/>
            </w:tabs>
            <w:spacing w:before="104" w:line="221" w:lineRule="auto"/>
            <w:ind w:left="1466"/>
            <w:rPr>
              <w:rFonts w:ascii="Times New Roman" w:hAnsi="Times New Roman" w:eastAsia="Times New Roman" w:cs="Times New Roman"/>
              <w:sz w:val="23"/>
              <w:szCs w:val="23"/>
            </w:rPr>
          </w:pPr>
          <w:r>
            <w:fldChar w:fldCharType="begin"/>
          </w:r>
          <w:r>
            <w:instrText xml:space="preserve"> HYPERLINK \l "bookmark103" </w:instrText>
          </w:r>
          <w:r>
            <w:fldChar w:fldCharType="separate"/>
          </w:r>
          <w:r>
            <w:rPr>
              <w:spacing w:val="-11"/>
              <w:sz w:val="23"/>
              <w:szCs w:val="23"/>
            </w:rPr>
            <w:t>四、主要类型</w:t>
          </w:r>
          <w:r>
            <w:rPr>
              <w:spacing w:val="-90"/>
              <w:sz w:val="23"/>
              <w:szCs w:val="23"/>
            </w:rPr>
            <w:t xml:space="preserve"> </w:t>
          </w:r>
          <w:r>
            <w:rPr>
              <w:sz w:val="23"/>
              <w:szCs w:val="23"/>
            </w:rPr>
            <w:tab/>
          </w:r>
          <w:r>
            <w:rPr>
              <w:rFonts w:ascii="Times New Roman" w:hAnsi="Times New Roman" w:eastAsia="Times New Roman" w:cs="Times New Roman"/>
              <w:spacing w:val="-3"/>
              <w:sz w:val="23"/>
              <w:szCs w:val="23"/>
            </w:rPr>
            <w:t>84</w:t>
          </w:r>
          <w:r>
            <w:rPr>
              <w:rFonts w:ascii="Times New Roman" w:hAnsi="Times New Roman" w:eastAsia="Times New Roman" w:cs="Times New Roman"/>
              <w:spacing w:val="-3"/>
              <w:sz w:val="23"/>
              <w:szCs w:val="23"/>
            </w:rPr>
            <w:fldChar w:fldCharType="end"/>
          </w:r>
        </w:p>
        <w:p w14:paraId="3F6D56B3">
          <w:pPr>
            <w:pStyle w:val="2"/>
            <w:tabs>
              <w:tab w:val="right" w:leader="dot" w:pos="9192"/>
            </w:tabs>
            <w:spacing w:before="106" w:line="222" w:lineRule="auto"/>
            <w:ind w:left="1046"/>
            <w:rPr>
              <w:rFonts w:ascii="Times New Roman" w:hAnsi="Times New Roman" w:eastAsia="Times New Roman" w:cs="Times New Roman"/>
              <w:sz w:val="23"/>
              <w:szCs w:val="23"/>
            </w:rPr>
          </w:pPr>
          <w:r>
            <w:fldChar w:fldCharType="begin"/>
          </w:r>
          <w:r>
            <w:instrText xml:space="preserve"> HYPERLINK \l "bookmark104" </w:instrText>
          </w:r>
          <w:r>
            <w:fldChar w:fldCharType="separate"/>
          </w:r>
          <w:r>
            <w:rPr>
              <w:spacing w:val="3"/>
              <w:sz w:val="23"/>
              <w:szCs w:val="23"/>
            </w:rPr>
            <w:t>第二节 研究设计与实施</w:t>
          </w:r>
          <w:r>
            <w:rPr>
              <w:spacing w:val="-105"/>
              <w:sz w:val="23"/>
              <w:szCs w:val="23"/>
            </w:rPr>
            <w:t xml:space="preserve"> </w:t>
          </w:r>
          <w:r>
            <w:rPr>
              <w:sz w:val="23"/>
              <w:szCs w:val="23"/>
            </w:rPr>
            <w:tab/>
          </w:r>
          <w:r>
            <w:rPr>
              <w:rFonts w:ascii="Times New Roman" w:hAnsi="Times New Roman" w:eastAsia="Times New Roman" w:cs="Times New Roman"/>
              <w:spacing w:val="-3"/>
              <w:sz w:val="23"/>
              <w:szCs w:val="23"/>
            </w:rPr>
            <w:t>86</w:t>
          </w:r>
          <w:r>
            <w:rPr>
              <w:rFonts w:ascii="Times New Roman" w:hAnsi="Times New Roman" w:eastAsia="Times New Roman" w:cs="Times New Roman"/>
              <w:spacing w:val="-3"/>
              <w:sz w:val="23"/>
              <w:szCs w:val="23"/>
            </w:rPr>
            <w:fldChar w:fldCharType="end"/>
          </w:r>
        </w:p>
        <w:p w14:paraId="6CE51906">
          <w:pPr>
            <w:pStyle w:val="2"/>
            <w:tabs>
              <w:tab w:val="right" w:leader="dot" w:pos="9202"/>
            </w:tabs>
            <w:spacing w:before="92" w:line="221" w:lineRule="auto"/>
            <w:ind w:left="1466"/>
            <w:rPr>
              <w:rFonts w:ascii="Times New Roman" w:hAnsi="Times New Roman" w:eastAsia="Times New Roman" w:cs="Times New Roman"/>
              <w:sz w:val="23"/>
              <w:szCs w:val="23"/>
            </w:rPr>
          </w:pPr>
          <w:r>
            <w:fldChar w:fldCharType="begin"/>
          </w:r>
          <w:r>
            <w:instrText xml:space="preserve"> HYPERLINK \l "bookmark105" </w:instrText>
          </w:r>
          <w:r>
            <w:fldChar w:fldCharType="separate"/>
          </w:r>
          <w:r>
            <w:rPr>
              <w:spacing w:val="-12"/>
              <w:sz w:val="23"/>
              <w:szCs w:val="23"/>
            </w:rPr>
            <w:t>一</w:t>
          </w:r>
          <w:r>
            <w:rPr>
              <w:spacing w:val="-50"/>
              <w:sz w:val="23"/>
              <w:szCs w:val="23"/>
            </w:rPr>
            <w:t xml:space="preserve"> </w:t>
          </w:r>
          <w:r>
            <w:rPr>
              <w:spacing w:val="-12"/>
              <w:sz w:val="23"/>
              <w:szCs w:val="23"/>
            </w:rPr>
            <w:t>、明确研究问题</w:t>
          </w:r>
          <w:r>
            <w:rPr>
              <w:sz w:val="23"/>
              <w:szCs w:val="23"/>
            </w:rPr>
            <w:tab/>
          </w:r>
          <w:r>
            <w:rPr>
              <w:rFonts w:ascii="Times New Roman" w:hAnsi="Times New Roman" w:eastAsia="Times New Roman" w:cs="Times New Roman"/>
              <w:spacing w:val="-5"/>
              <w:sz w:val="23"/>
              <w:szCs w:val="23"/>
            </w:rPr>
            <w:t>86</w:t>
          </w:r>
          <w:r>
            <w:rPr>
              <w:rFonts w:ascii="Times New Roman" w:hAnsi="Times New Roman" w:eastAsia="Times New Roman" w:cs="Times New Roman"/>
              <w:spacing w:val="-5"/>
              <w:sz w:val="23"/>
              <w:szCs w:val="23"/>
            </w:rPr>
            <w:fldChar w:fldCharType="end"/>
          </w:r>
        </w:p>
      </w:sdtContent>
    </w:sdt>
    <w:p w14:paraId="528AD1B5">
      <w:pPr>
        <w:spacing w:line="221" w:lineRule="auto"/>
        <w:rPr>
          <w:rFonts w:ascii="Times New Roman" w:hAnsi="Times New Roman" w:eastAsia="Times New Roman" w:cs="Times New Roman"/>
          <w:sz w:val="23"/>
          <w:szCs w:val="23"/>
        </w:rPr>
        <w:sectPr>
          <w:footerReference r:id="rId21" w:type="default"/>
          <w:pgSz w:w="11900" w:h="16820"/>
          <w:pgMar w:top="400" w:right="646" w:bottom="900" w:left="1293" w:header="0" w:footer="693" w:gutter="0"/>
          <w:cols w:space="720" w:num="1"/>
        </w:sectPr>
      </w:pPr>
    </w:p>
    <w:sdt>
      <w:sdtPr>
        <w:rPr>
          <w:rFonts w:ascii="黑体" w:hAnsi="黑体" w:eastAsia="黑体" w:cs="黑体"/>
          <w:sz w:val="21"/>
          <w:szCs w:val="21"/>
        </w:rPr>
        <w:id w:val="179034259"/>
        <w:docPartObj>
          <w:docPartGallery w:val="Table of Contents"/>
          <w:docPartUnique/>
        </w:docPartObj>
      </w:sdtPr>
      <w:sdtEndPr>
        <w:rPr>
          <w:rFonts w:ascii="Times New Roman" w:hAnsi="Times New Roman" w:eastAsia="Times New Roman" w:cs="Times New Roman"/>
          <w:sz w:val="21"/>
          <w:szCs w:val="21"/>
        </w:rPr>
      </w:sdtEndPr>
      <w:sdtContent>
        <w:p w14:paraId="770FFD14">
          <w:pPr>
            <w:pStyle w:val="2"/>
            <w:spacing w:before="94" w:line="222" w:lineRule="auto"/>
            <w:ind w:left="732"/>
            <w:rPr>
              <w:sz w:val="21"/>
              <w:szCs w:val="21"/>
            </w:rPr>
          </w:pPr>
          <w:bookmarkStart w:id="3" w:name="bookmark106"/>
          <w:bookmarkEnd w:id="3"/>
          <w:r>
            <w:rPr>
              <w:b/>
              <w:bCs/>
              <w:spacing w:val="-22"/>
              <w:sz w:val="21"/>
              <w:szCs w:val="21"/>
            </w:rPr>
            <w:t>目录</w:t>
          </w:r>
        </w:p>
        <w:p w14:paraId="25E6B37A">
          <w:pPr>
            <w:spacing w:line="279" w:lineRule="auto"/>
            <w:rPr>
              <w:rFonts w:ascii="Arial"/>
              <w:sz w:val="21"/>
            </w:rPr>
          </w:pPr>
        </w:p>
        <w:p w14:paraId="1BEFD520">
          <w:pPr>
            <w:spacing w:line="279" w:lineRule="auto"/>
            <w:rPr>
              <w:rFonts w:ascii="Arial"/>
              <w:sz w:val="21"/>
            </w:rPr>
          </w:pPr>
        </w:p>
        <w:p w14:paraId="7AF82A9F">
          <w:pPr>
            <w:pStyle w:val="2"/>
            <w:tabs>
              <w:tab w:val="right" w:leader="dot" w:pos="9487"/>
            </w:tabs>
            <w:spacing w:before="68" w:line="221" w:lineRule="auto"/>
            <w:ind w:left="2129"/>
            <w:rPr>
              <w:rFonts w:ascii="Times New Roman" w:hAnsi="Times New Roman" w:eastAsia="Times New Roman" w:cs="Times New Roman"/>
              <w:sz w:val="21"/>
              <w:szCs w:val="21"/>
            </w:rPr>
          </w:pPr>
          <w:r>
            <w:fldChar w:fldCharType="begin"/>
          </w:r>
          <w:r>
            <w:instrText xml:space="preserve"> HYPERLINK \l "bookmark107" </w:instrText>
          </w:r>
          <w:r>
            <w:fldChar w:fldCharType="separate"/>
          </w:r>
          <w:r>
            <w:rPr>
              <w:spacing w:val="-12"/>
              <w:sz w:val="21"/>
              <w:szCs w:val="21"/>
            </w:rPr>
            <w:t>二</w:t>
          </w:r>
          <w:r>
            <w:rPr>
              <w:spacing w:val="-37"/>
              <w:sz w:val="21"/>
              <w:szCs w:val="21"/>
            </w:rPr>
            <w:t xml:space="preserve"> </w:t>
          </w:r>
          <w:r>
            <w:rPr>
              <w:spacing w:val="-12"/>
              <w:sz w:val="21"/>
              <w:szCs w:val="21"/>
            </w:rPr>
            <w:t>、确定试验现场</w:t>
          </w:r>
          <w:r>
            <w:rPr>
              <w:spacing w:val="-79"/>
              <w:sz w:val="21"/>
              <w:szCs w:val="21"/>
            </w:rPr>
            <w:t xml:space="preserve"> </w:t>
          </w:r>
          <w:r>
            <w:rPr>
              <w:sz w:val="21"/>
              <w:szCs w:val="21"/>
            </w:rPr>
            <w:tab/>
          </w:r>
          <w:r>
            <w:rPr>
              <w:spacing w:val="-61"/>
              <w:sz w:val="21"/>
              <w:szCs w:val="21"/>
            </w:rPr>
            <w:t xml:space="preserve"> </w:t>
          </w:r>
          <w:r>
            <w:rPr>
              <w:rFonts w:ascii="Times New Roman" w:hAnsi="Times New Roman" w:eastAsia="Times New Roman" w:cs="Times New Roman"/>
              <w:spacing w:val="-7"/>
              <w:sz w:val="21"/>
              <w:szCs w:val="21"/>
            </w:rPr>
            <w:t>87</w:t>
          </w:r>
          <w:r>
            <w:rPr>
              <w:rFonts w:ascii="Times New Roman" w:hAnsi="Times New Roman" w:eastAsia="Times New Roman" w:cs="Times New Roman"/>
              <w:spacing w:val="-7"/>
              <w:sz w:val="21"/>
              <w:szCs w:val="21"/>
            </w:rPr>
            <w:fldChar w:fldCharType="end"/>
          </w:r>
        </w:p>
        <w:p w14:paraId="024D34CC">
          <w:pPr>
            <w:pStyle w:val="2"/>
            <w:tabs>
              <w:tab w:val="right" w:leader="dot" w:pos="9472"/>
            </w:tabs>
            <w:spacing w:before="136" w:line="222" w:lineRule="auto"/>
            <w:ind w:left="2132"/>
            <w:rPr>
              <w:rFonts w:ascii="Times New Roman" w:hAnsi="Times New Roman" w:eastAsia="Times New Roman" w:cs="Times New Roman"/>
              <w:sz w:val="21"/>
              <w:szCs w:val="21"/>
            </w:rPr>
          </w:pPr>
          <w:r>
            <w:fldChar w:fldCharType="begin"/>
          </w:r>
          <w:r>
            <w:instrText xml:space="preserve"> HYPERLINK \l "bookmark108" </w:instrText>
          </w:r>
          <w:r>
            <w:fldChar w:fldCharType="separate"/>
          </w:r>
          <w:r>
            <w:rPr>
              <w:b/>
              <w:bCs/>
              <w:spacing w:val="-14"/>
              <w:sz w:val="21"/>
              <w:szCs w:val="21"/>
            </w:rPr>
            <w:t>三</w:t>
          </w:r>
          <w:r>
            <w:rPr>
              <w:spacing w:val="-44"/>
              <w:sz w:val="21"/>
              <w:szCs w:val="21"/>
            </w:rPr>
            <w:t xml:space="preserve"> </w:t>
          </w:r>
          <w:r>
            <w:rPr>
              <w:b/>
              <w:bCs/>
              <w:spacing w:val="-14"/>
              <w:sz w:val="21"/>
              <w:szCs w:val="21"/>
            </w:rPr>
            <w:t>、选择研究对象</w:t>
          </w:r>
          <w:r>
            <w:rPr>
              <w:spacing w:val="-76"/>
              <w:sz w:val="21"/>
              <w:szCs w:val="21"/>
            </w:rPr>
            <w:t xml:space="preserve"> </w:t>
          </w:r>
          <w:r>
            <w:rPr>
              <w:sz w:val="21"/>
              <w:szCs w:val="21"/>
            </w:rPr>
            <w:tab/>
          </w:r>
          <w:r>
            <w:rPr>
              <w:rFonts w:ascii="Times New Roman" w:hAnsi="Times New Roman" w:eastAsia="Times New Roman" w:cs="Times New Roman"/>
              <w:b/>
              <w:bCs/>
              <w:spacing w:val="5"/>
              <w:sz w:val="21"/>
              <w:szCs w:val="21"/>
            </w:rPr>
            <w:t>87</w:t>
          </w:r>
          <w:r>
            <w:rPr>
              <w:rFonts w:ascii="Times New Roman" w:hAnsi="Times New Roman" w:eastAsia="Times New Roman" w:cs="Times New Roman"/>
              <w:b/>
              <w:bCs/>
              <w:spacing w:val="5"/>
              <w:sz w:val="21"/>
              <w:szCs w:val="21"/>
            </w:rPr>
            <w:fldChar w:fldCharType="end"/>
          </w:r>
        </w:p>
        <w:p w14:paraId="422EC5B5">
          <w:pPr>
            <w:pStyle w:val="2"/>
            <w:tabs>
              <w:tab w:val="right" w:leader="dot" w:pos="9467"/>
            </w:tabs>
            <w:spacing w:before="123" w:line="224" w:lineRule="auto"/>
            <w:ind w:left="2129"/>
            <w:rPr>
              <w:rFonts w:ascii="Times New Roman" w:hAnsi="Times New Roman" w:eastAsia="Times New Roman" w:cs="Times New Roman"/>
              <w:sz w:val="21"/>
              <w:szCs w:val="21"/>
            </w:rPr>
          </w:pPr>
          <w:r>
            <w:fldChar w:fldCharType="begin"/>
          </w:r>
          <w:r>
            <w:instrText xml:space="preserve"> HYPERLINK \l "bookmark109" </w:instrText>
          </w:r>
          <w:r>
            <w:fldChar w:fldCharType="separate"/>
          </w:r>
          <w:r>
            <w:rPr>
              <w:spacing w:val="-13"/>
              <w:sz w:val="21"/>
              <w:szCs w:val="21"/>
            </w:rPr>
            <w:t>四</w:t>
          </w:r>
          <w:r>
            <w:rPr>
              <w:spacing w:val="-51"/>
              <w:sz w:val="21"/>
              <w:szCs w:val="21"/>
            </w:rPr>
            <w:t xml:space="preserve"> </w:t>
          </w:r>
          <w:r>
            <w:rPr>
              <w:spacing w:val="-13"/>
              <w:sz w:val="21"/>
              <w:szCs w:val="21"/>
            </w:rPr>
            <w:t>、估计样本量</w:t>
          </w:r>
          <w:r>
            <w:rPr>
              <w:spacing w:val="-69"/>
              <w:sz w:val="21"/>
              <w:szCs w:val="21"/>
            </w:rPr>
            <w:t xml:space="preserve"> </w:t>
          </w:r>
          <w:r>
            <w:rPr>
              <w:sz w:val="21"/>
              <w:szCs w:val="21"/>
            </w:rPr>
            <w:tab/>
          </w:r>
          <w:r>
            <w:rPr>
              <w:rFonts w:ascii="Times New Roman" w:hAnsi="Times New Roman" w:eastAsia="Times New Roman" w:cs="Times New Roman"/>
              <w:spacing w:val="5"/>
              <w:sz w:val="21"/>
              <w:szCs w:val="21"/>
            </w:rPr>
            <w:t>87</w:t>
          </w:r>
          <w:r>
            <w:rPr>
              <w:rFonts w:ascii="Times New Roman" w:hAnsi="Times New Roman" w:eastAsia="Times New Roman" w:cs="Times New Roman"/>
              <w:spacing w:val="5"/>
              <w:sz w:val="21"/>
              <w:szCs w:val="21"/>
            </w:rPr>
            <w:fldChar w:fldCharType="end"/>
          </w:r>
        </w:p>
        <w:p w14:paraId="55F30AAB">
          <w:pPr>
            <w:pStyle w:val="2"/>
            <w:tabs>
              <w:tab w:val="right" w:leader="dot" w:pos="9432"/>
            </w:tabs>
            <w:spacing w:before="131" w:line="222" w:lineRule="auto"/>
            <w:ind w:left="2132"/>
            <w:rPr>
              <w:rFonts w:ascii="Times New Roman" w:hAnsi="Times New Roman" w:eastAsia="Times New Roman" w:cs="Times New Roman"/>
              <w:sz w:val="21"/>
              <w:szCs w:val="21"/>
            </w:rPr>
          </w:pPr>
          <w:r>
            <w:fldChar w:fldCharType="begin"/>
          </w:r>
          <w:r>
            <w:instrText xml:space="preserve"> HYPERLINK \l "bookmark110" </w:instrText>
          </w:r>
          <w:r>
            <w:fldChar w:fldCharType="separate"/>
          </w:r>
          <w:r>
            <w:rPr>
              <w:b/>
              <w:bCs/>
              <w:spacing w:val="-11"/>
              <w:sz w:val="21"/>
              <w:szCs w:val="21"/>
            </w:rPr>
            <w:t>五</w:t>
          </w:r>
          <w:r>
            <w:rPr>
              <w:spacing w:val="-52"/>
              <w:sz w:val="21"/>
              <w:szCs w:val="21"/>
            </w:rPr>
            <w:t xml:space="preserve"> </w:t>
          </w:r>
          <w:r>
            <w:rPr>
              <w:b/>
              <w:bCs/>
              <w:spacing w:val="-11"/>
              <w:sz w:val="21"/>
              <w:szCs w:val="21"/>
            </w:rPr>
            <w:t>、随机化分组与分组隐匿</w:t>
          </w:r>
          <w:r>
            <w:rPr>
              <w:spacing w:val="-87"/>
              <w:sz w:val="21"/>
              <w:szCs w:val="21"/>
            </w:rPr>
            <w:t xml:space="preserve"> </w:t>
          </w:r>
          <w:r>
            <w:rPr>
              <w:sz w:val="21"/>
              <w:szCs w:val="21"/>
            </w:rPr>
            <w:tab/>
          </w:r>
          <w:r>
            <w:rPr>
              <w:rFonts w:ascii="Times New Roman" w:hAnsi="Times New Roman" w:eastAsia="Times New Roman" w:cs="Times New Roman"/>
              <w:b/>
              <w:bCs/>
              <w:sz w:val="21"/>
              <w:szCs w:val="21"/>
            </w:rPr>
            <w:t>89</w:t>
          </w:r>
          <w:r>
            <w:rPr>
              <w:rFonts w:ascii="Times New Roman" w:hAnsi="Times New Roman" w:eastAsia="Times New Roman" w:cs="Times New Roman"/>
              <w:b/>
              <w:bCs/>
              <w:sz w:val="21"/>
              <w:szCs w:val="21"/>
            </w:rPr>
            <w:fldChar w:fldCharType="end"/>
          </w:r>
        </w:p>
        <w:p w14:paraId="4068127C">
          <w:pPr>
            <w:pStyle w:val="2"/>
            <w:tabs>
              <w:tab w:val="right" w:leader="dot" w:pos="9432"/>
            </w:tabs>
            <w:spacing w:before="135" w:line="222" w:lineRule="auto"/>
            <w:ind w:left="2132"/>
            <w:rPr>
              <w:rFonts w:ascii="Times New Roman" w:hAnsi="Times New Roman" w:eastAsia="Times New Roman" w:cs="Times New Roman"/>
              <w:sz w:val="21"/>
              <w:szCs w:val="21"/>
            </w:rPr>
          </w:pPr>
          <w:r>
            <w:fldChar w:fldCharType="begin"/>
          </w:r>
          <w:r>
            <w:instrText xml:space="preserve"> HYPERLINK \l "bookmark111" </w:instrText>
          </w:r>
          <w:r>
            <w:fldChar w:fldCharType="separate"/>
          </w:r>
          <w:r>
            <w:rPr>
              <w:b/>
              <w:bCs/>
              <w:spacing w:val="-10"/>
              <w:sz w:val="21"/>
              <w:szCs w:val="21"/>
            </w:rPr>
            <w:t>六</w:t>
          </w:r>
          <w:r>
            <w:rPr>
              <w:spacing w:val="-53"/>
              <w:sz w:val="21"/>
              <w:szCs w:val="21"/>
            </w:rPr>
            <w:t xml:space="preserve"> </w:t>
          </w:r>
          <w:r>
            <w:rPr>
              <w:b/>
              <w:bCs/>
              <w:spacing w:val="-10"/>
              <w:sz w:val="21"/>
              <w:szCs w:val="21"/>
            </w:rPr>
            <w:t>、设立对照</w:t>
          </w:r>
          <w:r>
            <w:rPr>
              <w:spacing w:val="-85"/>
              <w:sz w:val="21"/>
              <w:szCs w:val="21"/>
            </w:rPr>
            <w:t xml:space="preserve"> </w:t>
          </w:r>
          <w:r>
            <w:rPr>
              <w:sz w:val="21"/>
              <w:szCs w:val="21"/>
            </w:rPr>
            <w:tab/>
          </w:r>
          <w:r>
            <w:rPr>
              <w:rFonts w:ascii="Times New Roman" w:hAnsi="Times New Roman" w:eastAsia="Times New Roman" w:cs="Times New Roman"/>
              <w:b/>
              <w:bCs/>
              <w:spacing w:val="3"/>
              <w:sz w:val="21"/>
              <w:szCs w:val="21"/>
            </w:rPr>
            <w:t>90</w:t>
          </w:r>
          <w:r>
            <w:rPr>
              <w:rFonts w:ascii="Times New Roman" w:hAnsi="Times New Roman" w:eastAsia="Times New Roman" w:cs="Times New Roman"/>
              <w:b/>
              <w:bCs/>
              <w:spacing w:val="3"/>
              <w:sz w:val="21"/>
              <w:szCs w:val="21"/>
            </w:rPr>
            <w:fldChar w:fldCharType="end"/>
          </w:r>
        </w:p>
        <w:p w14:paraId="6D160569">
          <w:pPr>
            <w:pStyle w:val="2"/>
            <w:tabs>
              <w:tab w:val="right" w:leader="dot" w:pos="9430"/>
            </w:tabs>
            <w:spacing w:before="142" w:line="223" w:lineRule="auto"/>
            <w:ind w:left="2129"/>
            <w:rPr>
              <w:rFonts w:ascii="Times New Roman" w:hAnsi="Times New Roman" w:eastAsia="Times New Roman" w:cs="Times New Roman"/>
              <w:sz w:val="21"/>
              <w:szCs w:val="21"/>
            </w:rPr>
          </w:pPr>
          <w:r>
            <w:fldChar w:fldCharType="begin"/>
          </w:r>
          <w:r>
            <w:instrText xml:space="preserve"> HYPERLINK \l "bookmark112" </w:instrText>
          </w:r>
          <w:r>
            <w:fldChar w:fldCharType="separate"/>
          </w:r>
          <w:r>
            <w:rPr>
              <w:spacing w:val="-6"/>
              <w:sz w:val="21"/>
              <w:szCs w:val="21"/>
            </w:rPr>
            <w:t>七</w:t>
          </w:r>
          <w:r>
            <w:rPr>
              <w:spacing w:val="-54"/>
              <w:sz w:val="21"/>
              <w:szCs w:val="21"/>
            </w:rPr>
            <w:t xml:space="preserve"> </w:t>
          </w:r>
          <w:r>
            <w:rPr>
              <w:spacing w:val="-6"/>
              <w:sz w:val="21"/>
              <w:szCs w:val="21"/>
            </w:rPr>
            <w:t>、盲法的应用</w:t>
          </w:r>
          <w:r>
            <w:rPr>
              <w:sz w:val="21"/>
              <w:szCs w:val="21"/>
            </w:rPr>
            <w:tab/>
          </w:r>
          <w:r>
            <w:rPr>
              <w:rFonts w:ascii="Times New Roman" w:hAnsi="Times New Roman" w:eastAsia="Times New Roman" w:cs="Times New Roman"/>
              <w:spacing w:val="-1"/>
              <w:sz w:val="21"/>
              <w:szCs w:val="21"/>
            </w:rPr>
            <w:t>92</w:t>
          </w:r>
          <w:r>
            <w:rPr>
              <w:rFonts w:ascii="Times New Roman" w:hAnsi="Times New Roman" w:eastAsia="Times New Roman" w:cs="Times New Roman"/>
              <w:spacing w:val="-1"/>
              <w:sz w:val="21"/>
              <w:szCs w:val="21"/>
            </w:rPr>
            <w:fldChar w:fldCharType="end"/>
          </w:r>
        </w:p>
        <w:p w14:paraId="5F2964E0">
          <w:pPr>
            <w:pStyle w:val="2"/>
            <w:tabs>
              <w:tab w:val="right" w:leader="dot" w:pos="9432"/>
            </w:tabs>
            <w:spacing w:before="151" w:line="221" w:lineRule="auto"/>
            <w:ind w:left="2132"/>
            <w:rPr>
              <w:rFonts w:ascii="Times New Roman" w:hAnsi="Times New Roman" w:eastAsia="Times New Roman" w:cs="Times New Roman"/>
              <w:sz w:val="21"/>
              <w:szCs w:val="21"/>
            </w:rPr>
          </w:pPr>
          <w:r>
            <w:fldChar w:fldCharType="begin"/>
          </w:r>
          <w:r>
            <w:instrText xml:space="preserve"> HYPERLINK \l "bookmark113" </w:instrText>
          </w:r>
          <w:r>
            <w:fldChar w:fldCharType="separate"/>
          </w:r>
          <w:r>
            <w:rPr>
              <w:b/>
              <w:bCs/>
              <w:spacing w:val="-12"/>
              <w:sz w:val="21"/>
              <w:szCs w:val="21"/>
            </w:rPr>
            <w:t>八</w:t>
          </w:r>
          <w:r>
            <w:rPr>
              <w:spacing w:val="-45"/>
              <w:sz w:val="21"/>
              <w:szCs w:val="21"/>
            </w:rPr>
            <w:t xml:space="preserve"> </w:t>
          </w:r>
          <w:r>
            <w:rPr>
              <w:b/>
              <w:bCs/>
              <w:spacing w:val="-12"/>
              <w:sz w:val="21"/>
              <w:szCs w:val="21"/>
            </w:rPr>
            <w:t>、确定结局变量及其测量方法</w:t>
          </w:r>
          <w:r>
            <w:rPr>
              <w:spacing w:val="-82"/>
              <w:sz w:val="21"/>
              <w:szCs w:val="21"/>
            </w:rPr>
            <w:t xml:space="preserve"> </w:t>
          </w:r>
          <w:r>
            <w:rPr>
              <w:sz w:val="21"/>
              <w:szCs w:val="21"/>
            </w:rPr>
            <w:tab/>
          </w:r>
          <w:r>
            <w:rPr>
              <w:spacing w:val="-78"/>
              <w:sz w:val="21"/>
              <w:szCs w:val="21"/>
            </w:rPr>
            <w:t xml:space="preserve"> </w:t>
          </w:r>
          <w:r>
            <w:rPr>
              <w:rFonts w:ascii="Times New Roman" w:hAnsi="Times New Roman" w:eastAsia="Times New Roman" w:cs="Times New Roman"/>
              <w:b/>
              <w:bCs/>
              <w:spacing w:val="-2"/>
              <w:sz w:val="21"/>
              <w:szCs w:val="21"/>
            </w:rPr>
            <w:t>92</w:t>
          </w:r>
          <w:r>
            <w:rPr>
              <w:rFonts w:ascii="Times New Roman" w:hAnsi="Times New Roman" w:eastAsia="Times New Roman" w:cs="Times New Roman"/>
              <w:b/>
              <w:bCs/>
              <w:spacing w:val="-2"/>
              <w:sz w:val="21"/>
              <w:szCs w:val="21"/>
            </w:rPr>
            <w:fldChar w:fldCharType="end"/>
          </w:r>
        </w:p>
        <w:p w14:paraId="3440765D">
          <w:pPr>
            <w:pStyle w:val="2"/>
            <w:tabs>
              <w:tab w:val="right" w:leader="dot" w:pos="9430"/>
            </w:tabs>
            <w:spacing w:before="141" w:line="221" w:lineRule="auto"/>
            <w:ind w:left="2129"/>
            <w:rPr>
              <w:rFonts w:ascii="Times New Roman" w:hAnsi="Times New Roman" w:eastAsia="Times New Roman" w:cs="Times New Roman"/>
              <w:sz w:val="21"/>
              <w:szCs w:val="21"/>
            </w:rPr>
          </w:pPr>
          <w:r>
            <w:fldChar w:fldCharType="begin"/>
          </w:r>
          <w:r>
            <w:instrText xml:space="preserve"> HYPERLINK \l "bookmark114" </w:instrText>
          </w:r>
          <w:r>
            <w:fldChar w:fldCharType="separate"/>
          </w:r>
          <w:r>
            <w:rPr>
              <w:spacing w:val="-10"/>
              <w:sz w:val="21"/>
              <w:szCs w:val="21"/>
            </w:rPr>
            <w:t>九</w:t>
          </w:r>
          <w:r>
            <w:rPr>
              <w:spacing w:val="-33"/>
              <w:sz w:val="21"/>
              <w:szCs w:val="21"/>
            </w:rPr>
            <w:t xml:space="preserve"> </w:t>
          </w:r>
          <w:r>
            <w:rPr>
              <w:spacing w:val="-10"/>
              <w:sz w:val="21"/>
              <w:szCs w:val="21"/>
            </w:rPr>
            <w:t>、确定试验观察期限</w:t>
          </w:r>
          <w:r>
            <w:rPr>
              <w:spacing w:val="-89"/>
              <w:sz w:val="21"/>
              <w:szCs w:val="21"/>
            </w:rPr>
            <w:t xml:space="preserve"> </w:t>
          </w:r>
          <w:r>
            <w:rPr>
              <w:sz w:val="21"/>
              <w:szCs w:val="21"/>
            </w:rPr>
            <w:tab/>
          </w:r>
          <w:r>
            <w:rPr>
              <w:rFonts w:ascii="Times New Roman" w:hAnsi="Times New Roman" w:eastAsia="Times New Roman" w:cs="Times New Roman"/>
              <w:spacing w:val="-4"/>
              <w:sz w:val="21"/>
              <w:szCs w:val="21"/>
            </w:rPr>
            <w:t>92</w:t>
          </w:r>
          <w:r>
            <w:rPr>
              <w:rFonts w:ascii="Times New Roman" w:hAnsi="Times New Roman" w:eastAsia="Times New Roman" w:cs="Times New Roman"/>
              <w:spacing w:val="-4"/>
              <w:sz w:val="21"/>
              <w:szCs w:val="21"/>
            </w:rPr>
            <w:fldChar w:fldCharType="end"/>
          </w:r>
        </w:p>
        <w:p w14:paraId="5A8B5C6F">
          <w:pPr>
            <w:pStyle w:val="2"/>
            <w:tabs>
              <w:tab w:val="right" w:leader="dot" w:pos="9420"/>
            </w:tabs>
            <w:spacing w:before="150" w:line="222" w:lineRule="auto"/>
            <w:ind w:left="2129"/>
            <w:rPr>
              <w:rFonts w:ascii="Times New Roman" w:hAnsi="Times New Roman" w:eastAsia="Times New Roman" w:cs="Times New Roman"/>
              <w:sz w:val="21"/>
              <w:szCs w:val="21"/>
            </w:rPr>
          </w:pPr>
          <w:r>
            <w:fldChar w:fldCharType="begin"/>
          </w:r>
          <w:r>
            <w:instrText xml:space="preserve"> HYPERLINK \l "bookmark115" </w:instrText>
          </w:r>
          <w:r>
            <w:fldChar w:fldCharType="separate"/>
          </w:r>
          <w:r>
            <w:rPr>
              <w:spacing w:val="-16"/>
              <w:sz w:val="21"/>
              <w:szCs w:val="21"/>
            </w:rPr>
            <w:t>十</w:t>
          </w:r>
          <w:r>
            <w:rPr>
              <w:spacing w:val="-28"/>
              <w:sz w:val="21"/>
              <w:szCs w:val="21"/>
            </w:rPr>
            <w:t xml:space="preserve"> </w:t>
          </w:r>
          <w:r>
            <w:rPr>
              <w:spacing w:val="-16"/>
              <w:sz w:val="21"/>
              <w:szCs w:val="21"/>
            </w:rPr>
            <w:t>、收集资料</w:t>
          </w:r>
          <w:r>
            <w:rPr>
              <w:spacing w:val="-78"/>
              <w:sz w:val="21"/>
              <w:szCs w:val="21"/>
            </w:rPr>
            <w:t xml:space="preserve"> </w:t>
          </w:r>
          <w:r>
            <w:rPr>
              <w:sz w:val="21"/>
              <w:szCs w:val="21"/>
            </w:rPr>
            <w:tab/>
          </w:r>
          <w:r>
            <w:rPr>
              <w:rFonts w:ascii="Times New Roman" w:hAnsi="Times New Roman" w:eastAsia="Times New Roman" w:cs="Times New Roman"/>
              <w:spacing w:val="-1"/>
              <w:sz w:val="21"/>
              <w:szCs w:val="21"/>
            </w:rPr>
            <w:t>93</w:t>
          </w:r>
          <w:r>
            <w:rPr>
              <w:rFonts w:ascii="Times New Roman" w:hAnsi="Times New Roman" w:eastAsia="Times New Roman" w:cs="Times New Roman"/>
              <w:spacing w:val="-1"/>
              <w:sz w:val="21"/>
              <w:szCs w:val="21"/>
            </w:rPr>
            <w:fldChar w:fldCharType="end"/>
          </w:r>
        </w:p>
        <w:p w14:paraId="346CB0F3">
          <w:pPr>
            <w:pStyle w:val="2"/>
            <w:tabs>
              <w:tab w:val="right" w:leader="dot" w:pos="9430"/>
            </w:tabs>
            <w:spacing w:before="137" w:line="222" w:lineRule="auto"/>
            <w:ind w:left="1699"/>
            <w:rPr>
              <w:rFonts w:ascii="Times New Roman" w:hAnsi="Times New Roman" w:eastAsia="Times New Roman" w:cs="Times New Roman"/>
              <w:sz w:val="21"/>
              <w:szCs w:val="21"/>
            </w:rPr>
          </w:pPr>
          <w:r>
            <w:fldChar w:fldCharType="begin"/>
          </w:r>
          <w:r>
            <w:instrText xml:space="preserve"> HYPERLINK \l "bookmark116" </w:instrText>
          </w:r>
          <w:r>
            <w:fldChar w:fldCharType="separate"/>
          </w:r>
          <w:r>
            <w:rPr>
              <w:spacing w:val="4"/>
              <w:sz w:val="21"/>
              <w:szCs w:val="21"/>
            </w:rPr>
            <w:t>第三节 资料的整理与分析</w:t>
          </w:r>
          <w:r>
            <w:rPr>
              <w:spacing w:val="-79"/>
              <w:sz w:val="21"/>
              <w:szCs w:val="21"/>
            </w:rPr>
            <w:t xml:space="preserve"> </w:t>
          </w:r>
          <w:r>
            <w:rPr>
              <w:sz w:val="21"/>
              <w:szCs w:val="21"/>
            </w:rPr>
            <w:tab/>
          </w:r>
          <w:r>
            <w:rPr>
              <w:rFonts w:ascii="Times New Roman" w:hAnsi="Times New Roman" w:eastAsia="Times New Roman" w:cs="Times New Roman"/>
              <w:spacing w:val="7"/>
              <w:sz w:val="21"/>
              <w:szCs w:val="21"/>
            </w:rPr>
            <w:t>93</w:t>
          </w:r>
          <w:r>
            <w:rPr>
              <w:rFonts w:ascii="Times New Roman" w:hAnsi="Times New Roman" w:eastAsia="Times New Roman" w:cs="Times New Roman"/>
              <w:spacing w:val="7"/>
              <w:sz w:val="21"/>
              <w:szCs w:val="21"/>
            </w:rPr>
            <w:fldChar w:fldCharType="end"/>
          </w:r>
        </w:p>
        <w:p w14:paraId="2880781E">
          <w:pPr>
            <w:pStyle w:val="2"/>
            <w:tabs>
              <w:tab w:val="right" w:leader="dot" w:pos="9430"/>
            </w:tabs>
            <w:spacing w:before="138" w:line="222" w:lineRule="auto"/>
            <w:ind w:left="2129"/>
            <w:rPr>
              <w:rFonts w:ascii="Times New Roman" w:hAnsi="Times New Roman" w:eastAsia="Times New Roman" w:cs="Times New Roman"/>
              <w:sz w:val="21"/>
              <w:szCs w:val="21"/>
            </w:rPr>
          </w:pPr>
          <w:r>
            <w:fldChar w:fldCharType="begin"/>
          </w:r>
          <w:r>
            <w:instrText xml:space="preserve"> HYPERLINK \l "bookmark117" </w:instrText>
          </w:r>
          <w:r>
            <w:fldChar w:fldCharType="separate"/>
          </w:r>
          <w:r>
            <w:rPr>
              <w:spacing w:val="-12"/>
              <w:sz w:val="21"/>
              <w:szCs w:val="21"/>
            </w:rPr>
            <w:t>一</w:t>
          </w:r>
          <w:r>
            <w:rPr>
              <w:spacing w:val="-34"/>
              <w:sz w:val="21"/>
              <w:szCs w:val="21"/>
            </w:rPr>
            <w:t xml:space="preserve"> </w:t>
          </w:r>
          <w:r>
            <w:rPr>
              <w:spacing w:val="-12"/>
              <w:sz w:val="21"/>
              <w:szCs w:val="21"/>
            </w:rPr>
            <w:t>、资料的整理</w:t>
          </w:r>
          <w:r>
            <w:rPr>
              <w:spacing w:val="-83"/>
              <w:sz w:val="21"/>
              <w:szCs w:val="21"/>
            </w:rPr>
            <w:t xml:space="preserve"> </w:t>
          </w:r>
          <w:r>
            <w:rPr>
              <w:sz w:val="21"/>
              <w:szCs w:val="21"/>
            </w:rPr>
            <w:tab/>
          </w:r>
          <w:r>
            <w:rPr>
              <w:rFonts w:ascii="Times New Roman" w:hAnsi="Times New Roman" w:eastAsia="Times New Roman" w:cs="Times New Roman"/>
              <w:spacing w:val="-1"/>
              <w:sz w:val="21"/>
              <w:szCs w:val="21"/>
            </w:rPr>
            <w:t>93</w:t>
          </w:r>
          <w:r>
            <w:rPr>
              <w:rFonts w:ascii="Times New Roman" w:hAnsi="Times New Roman" w:eastAsia="Times New Roman" w:cs="Times New Roman"/>
              <w:spacing w:val="-1"/>
              <w:sz w:val="21"/>
              <w:szCs w:val="21"/>
            </w:rPr>
            <w:fldChar w:fldCharType="end"/>
          </w:r>
        </w:p>
        <w:p w14:paraId="3B390128">
          <w:pPr>
            <w:pStyle w:val="2"/>
            <w:tabs>
              <w:tab w:val="right" w:leader="dot" w:pos="9440"/>
            </w:tabs>
            <w:spacing w:before="127" w:line="222" w:lineRule="auto"/>
            <w:ind w:left="2129"/>
            <w:rPr>
              <w:rFonts w:ascii="Times New Roman" w:hAnsi="Times New Roman" w:eastAsia="Times New Roman" w:cs="Times New Roman"/>
              <w:sz w:val="21"/>
              <w:szCs w:val="21"/>
            </w:rPr>
          </w:pPr>
          <w:r>
            <w:fldChar w:fldCharType="begin"/>
          </w:r>
          <w:r>
            <w:instrText xml:space="preserve"> HYPERLINK \l "bookmark118" </w:instrText>
          </w:r>
          <w:r>
            <w:fldChar w:fldCharType="separate"/>
          </w:r>
          <w:r>
            <w:rPr>
              <w:spacing w:val="-10"/>
              <w:sz w:val="21"/>
              <w:szCs w:val="21"/>
            </w:rPr>
            <w:t>二</w:t>
          </w:r>
          <w:r>
            <w:rPr>
              <w:spacing w:val="-48"/>
              <w:sz w:val="21"/>
              <w:szCs w:val="21"/>
            </w:rPr>
            <w:t xml:space="preserve"> </w:t>
          </w:r>
          <w:r>
            <w:rPr>
              <w:spacing w:val="-10"/>
              <w:sz w:val="21"/>
              <w:szCs w:val="21"/>
            </w:rPr>
            <w:t>、资料的分析</w:t>
          </w:r>
          <w:r>
            <w:rPr>
              <w:spacing w:val="-83"/>
              <w:sz w:val="21"/>
              <w:szCs w:val="21"/>
            </w:rPr>
            <w:t xml:space="preserve"> </w:t>
          </w:r>
          <w:r>
            <w:rPr>
              <w:sz w:val="21"/>
              <w:szCs w:val="21"/>
            </w:rPr>
            <w:tab/>
          </w:r>
          <w:r>
            <w:rPr>
              <w:rFonts w:ascii="Times New Roman" w:hAnsi="Times New Roman" w:eastAsia="Times New Roman" w:cs="Times New Roman"/>
              <w:spacing w:val="-1"/>
              <w:sz w:val="21"/>
              <w:szCs w:val="21"/>
            </w:rPr>
            <w:t>94</w:t>
          </w:r>
          <w:r>
            <w:rPr>
              <w:rFonts w:ascii="Times New Roman" w:hAnsi="Times New Roman" w:eastAsia="Times New Roman" w:cs="Times New Roman"/>
              <w:spacing w:val="-1"/>
              <w:sz w:val="21"/>
              <w:szCs w:val="21"/>
            </w:rPr>
            <w:fldChar w:fldCharType="end"/>
          </w:r>
        </w:p>
        <w:p w14:paraId="4552BB1B">
          <w:pPr>
            <w:pStyle w:val="2"/>
            <w:tabs>
              <w:tab w:val="right" w:leader="dot" w:pos="9440"/>
            </w:tabs>
            <w:spacing w:before="158" w:line="222" w:lineRule="auto"/>
            <w:ind w:left="2129"/>
            <w:rPr>
              <w:rFonts w:ascii="Times New Roman" w:hAnsi="Times New Roman" w:eastAsia="Times New Roman" w:cs="Times New Roman"/>
              <w:sz w:val="21"/>
              <w:szCs w:val="21"/>
            </w:rPr>
          </w:pPr>
          <w:r>
            <w:fldChar w:fldCharType="begin"/>
          </w:r>
          <w:r>
            <w:instrText xml:space="preserve"> HYPERLINK \l "bookmark119" </w:instrText>
          </w:r>
          <w:r>
            <w:fldChar w:fldCharType="separate"/>
          </w:r>
          <w:r>
            <w:rPr>
              <w:spacing w:val="-14"/>
              <w:sz w:val="21"/>
              <w:szCs w:val="21"/>
            </w:rPr>
            <w:t>三</w:t>
          </w:r>
          <w:r>
            <w:rPr>
              <w:spacing w:val="-36"/>
              <w:sz w:val="21"/>
              <w:szCs w:val="21"/>
            </w:rPr>
            <w:t xml:space="preserve"> </w:t>
          </w:r>
          <w:r>
            <w:rPr>
              <w:spacing w:val="-14"/>
              <w:sz w:val="21"/>
              <w:szCs w:val="21"/>
            </w:rPr>
            <w:t>、评价指标</w:t>
          </w:r>
          <w:r>
            <w:rPr>
              <w:spacing w:val="-82"/>
              <w:sz w:val="21"/>
              <w:szCs w:val="21"/>
            </w:rPr>
            <w:t xml:space="preserve"> </w:t>
          </w:r>
          <w:r>
            <w:rPr>
              <w:sz w:val="21"/>
              <w:szCs w:val="21"/>
            </w:rPr>
            <w:tab/>
          </w:r>
          <w:r>
            <w:rPr>
              <w:rFonts w:ascii="Times New Roman" w:hAnsi="Times New Roman" w:eastAsia="Times New Roman" w:cs="Times New Roman"/>
              <w:spacing w:val="-1"/>
              <w:sz w:val="21"/>
              <w:szCs w:val="21"/>
            </w:rPr>
            <w:t>96</w:t>
          </w:r>
          <w:r>
            <w:rPr>
              <w:rFonts w:ascii="Times New Roman" w:hAnsi="Times New Roman" w:eastAsia="Times New Roman" w:cs="Times New Roman"/>
              <w:spacing w:val="-1"/>
              <w:sz w:val="21"/>
              <w:szCs w:val="21"/>
            </w:rPr>
            <w:fldChar w:fldCharType="end"/>
          </w:r>
        </w:p>
        <w:p w14:paraId="77B79975">
          <w:pPr>
            <w:pStyle w:val="2"/>
            <w:tabs>
              <w:tab w:val="right" w:leader="dot" w:pos="9430"/>
            </w:tabs>
            <w:spacing w:before="147" w:line="222" w:lineRule="auto"/>
            <w:ind w:left="1699"/>
            <w:rPr>
              <w:rFonts w:ascii="Times New Roman" w:hAnsi="Times New Roman" w:eastAsia="Times New Roman" w:cs="Times New Roman"/>
              <w:sz w:val="21"/>
              <w:szCs w:val="21"/>
            </w:rPr>
          </w:pPr>
          <w:r>
            <w:fldChar w:fldCharType="begin"/>
          </w:r>
          <w:r>
            <w:instrText xml:space="preserve"> HYPERLINK \l "bookmark120" </w:instrText>
          </w:r>
          <w:r>
            <w:fldChar w:fldCharType="separate"/>
          </w:r>
          <w:r>
            <w:rPr>
              <w:spacing w:val="5"/>
              <w:sz w:val="21"/>
              <w:szCs w:val="21"/>
            </w:rPr>
            <w:t>第四节 优缺点及注意事项</w:t>
          </w:r>
          <w:r>
            <w:rPr>
              <w:spacing w:val="-81"/>
              <w:sz w:val="21"/>
              <w:szCs w:val="21"/>
            </w:rPr>
            <w:t xml:space="preserve"> </w:t>
          </w:r>
          <w:r>
            <w:rPr>
              <w:sz w:val="21"/>
              <w:szCs w:val="21"/>
            </w:rPr>
            <w:tab/>
          </w:r>
          <w:r>
            <w:rPr>
              <w:rFonts w:ascii="Times New Roman" w:hAnsi="Times New Roman" w:eastAsia="Times New Roman" w:cs="Times New Roman"/>
              <w:spacing w:val="2"/>
              <w:sz w:val="21"/>
              <w:szCs w:val="21"/>
            </w:rPr>
            <w:t>98</w:t>
          </w:r>
          <w:r>
            <w:rPr>
              <w:rFonts w:ascii="Times New Roman" w:hAnsi="Times New Roman" w:eastAsia="Times New Roman" w:cs="Times New Roman"/>
              <w:spacing w:val="2"/>
              <w:sz w:val="21"/>
              <w:szCs w:val="21"/>
            </w:rPr>
            <w:fldChar w:fldCharType="end"/>
          </w:r>
        </w:p>
        <w:p w14:paraId="767FA1B1">
          <w:pPr>
            <w:pStyle w:val="2"/>
            <w:tabs>
              <w:tab w:val="right" w:leader="dot" w:pos="9440"/>
            </w:tabs>
            <w:spacing w:before="139" w:line="223" w:lineRule="auto"/>
            <w:ind w:left="2129"/>
            <w:rPr>
              <w:rFonts w:ascii="Times New Roman" w:hAnsi="Times New Roman" w:eastAsia="Times New Roman" w:cs="Times New Roman"/>
              <w:sz w:val="21"/>
              <w:szCs w:val="21"/>
            </w:rPr>
          </w:pPr>
          <w:r>
            <w:fldChar w:fldCharType="begin"/>
          </w:r>
          <w:r>
            <w:instrText xml:space="preserve"> HYPERLINK \l "bookmark121" </w:instrText>
          </w:r>
          <w:r>
            <w:fldChar w:fldCharType="separate"/>
          </w:r>
          <w:r>
            <w:rPr>
              <w:spacing w:val="-17"/>
              <w:sz w:val="21"/>
              <w:szCs w:val="21"/>
            </w:rPr>
            <w:t>一</w:t>
          </w:r>
          <w:r>
            <w:rPr>
              <w:spacing w:val="-28"/>
              <w:sz w:val="21"/>
              <w:szCs w:val="21"/>
            </w:rPr>
            <w:t xml:space="preserve"> </w:t>
          </w:r>
          <w:r>
            <w:rPr>
              <w:spacing w:val="-17"/>
              <w:sz w:val="21"/>
              <w:szCs w:val="21"/>
            </w:rPr>
            <w:t>、优点</w:t>
          </w:r>
          <w:r>
            <w:rPr>
              <w:sz w:val="21"/>
              <w:szCs w:val="21"/>
            </w:rPr>
            <w:tab/>
          </w:r>
          <w:r>
            <w:rPr>
              <w:rFonts w:ascii="Times New Roman" w:hAnsi="Times New Roman" w:eastAsia="Times New Roman" w:cs="Times New Roman"/>
              <w:spacing w:val="-1"/>
              <w:sz w:val="21"/>
              <w:szCs w:val="21"/>
            </w:rPr>
            <w:t>98</w:t>
          </w:r>
          <w:r>
            <w:rPr>
              <w:rFonts w:ascii="Times New Roman" w:hAnsi="Times New Roman" w:eastAsia="Times New Roman" w:cs="Times New Roman"/>
              <w:spacing w:val="-1"/>
              <w:sz w:val="21"/>
              <w:szCs w:val="21"/>
            </w:rPr>
            <w:fldChar w:fldCharType="end"/>
          </w:r>
        </w:p>
        <w:p w14:paraId="04E33CAD">
          <w:pPr>
            <w:pStyle w:val="2"/>
            <w:tabs>
              <w:tab w:val="right" w:leader="dot" w:pos="9430"/>
            </w:tabs>
            <w:spacing w:before="137" w:line="223" w:lineRule="auto"/>
            <w:ind w:left="2129"/>
            <w:rPr>
              <w:rFonts w:ascii="Times New Roman" w:hAnsi="Times New Roman" w:eastAsia="Times New Roman" w:cs="Times New Roman"/>
              <w:sz w:val="21"/>
              <w:szCs w:val="21"/>
            </w:rPr>
          </w:pPr>
          <w:r>
            <w:fldChar w:fldCharType="begin"/>
          </w:r>
          <w:r>
            <w:instrText xml:space="preserve"> HYPERLINK \l "bookmark122" </w:instrText>
          </w:r>
          <w:r>
            <w:fldChar w:fldCharType="separate"/>
          </w:r>
          <w:r>
            <w:rPr>
              <w:spacing w:val="-15"/>
              <w:sz w:val="21"/>
              <w:szCs w:val="21"/>
            </w:rPr>
            <w:t>二</w:t>
          </w:r>
          <w:r>
            <w:rPr>
              <w:spacing w:val="-29"/>
              <w:sz w:val="21"/>
              <w:szCs w:val="21"/>
            </w:rPr>
            <w:t xml:space="preserve"> </w:t>
          </w:r>
          <w:r>
            <w:rPr>
              <w:spacing w:val="-15"/>
              <w:sz w:val="21"/>
              <w:szCs w:val="21"/>
            </w:rPr>
            <w:t>、局限性</w:t>
          </w:r>
          <w:r>
            <w:rPr>
              <w:spacing w:val="-98"/>
              <w:sz w:val="21"/>
              <w:szCs w:val="21"/>
            </w:rPr>
            <w:t xml:space="preserve"> </w:t>
          </w:r>
          <w:r>
            <w:rPr>
              <w:sz w:val="21"/>
              <w:szCs w:val="21"/>
            </w:rPr>
            <w:tab/>
          </w:r>
          <w:r>
            <w:rPr>
              <w:rFonts w:ascii="Times New Roman" w:hAnsi="Times New Roman" w:eastAsia="Times New Roman" w:cs="Times New Roman"/>
              <w:spacing w:val="-1"/>
              <w:sz w:val="21"/>
              <w:szCs w:val="21"/>
            </w:rPr>
            <w:t>98</w:t>
          </w:r>
          <w:r>
            <w:rPr>
              <w:rFonts w:ascii="Times New Roman" w:hAnsi="Times New Roman" w:eastAsia="Times New Roman" w:cs="Times New Roman"/>
              <w:spacing w:val="-1"/>
              <w:sz w:val="21"/>
              <w:szCs w:val="21"/>
            </w:rPr>
            <w:fldChar w:fldCharType="end"/>
          </w:r>
        </w:p>
        <w:p w14:paraId="59DD4452">
          <w:pPr>
            <w:pStyle w:val="2"/>
            <w:tabs>
              <w:tab w:val="right" w:leader="dot" w:pos="9440"/>
            </w:tabs>
            <w:spacing w:before="144" w:line="222" w:lineRule="auto"/>
            <w:ind w:left="2129"/>
            <w:rPr>
              <w:rFonts w:ascii="Times New Roman" w:hAnsi="Times New Roman" w:eastAsia="Times New Roman" w:cs="Times New Roman"/>
              <w:sz w:val="21"/>
              <w:szCs w:val="21"/>
            </w:rPr>
          </w:pPr>
          <w:r>
            <w:fldChar w:fldCharType="begin"/>
          </w:r>
          <w:r>
            <w:instrText xml:space="preserve"> HYPERLINK \l "bookmark123" </w:instrText>
          </w:r>
          <w:r>
            <w:fldChar w:fldCharType="separate"/>
          </w:r>
          <w:r>
            <w:rPr>
              <w:spacing w:val="-13"/>
              <w:sz w:val="21"/>
              <w:szCs w:val="21"/>
            </w:rPr>
            <w:t>三</w:t>
          </w:r>
          <w:r>
            <w:rPr>
              <w:spacing w:val="-36"/>
              <w:sz w:val="21"/>
              <w:szCs w:val="21"/>
            </w:rPr>
            <w:t xml:space="preserve"> </w:t>
          </w:r>
          <w:r>
            <w:rPr>
              <w:spacing w:val="-13"/>
              <w:sz w:val="21"/>
              <w:szCs w:val="21"/>
            </w:rPr>
            <w:t>、注意事项</w:t>
          </w:r>
          <w:r>
            <w:rPr>
              <w:spacing w:val="-88"/>
              <w:sz w:val="21"/>
              <w:szCs w:val="21"/>
            </w:rPr>
            <w:t xml:space="preserve"> </w:t>
          </w:r>
          <w:r>
            <w:rPr>
              <w:sz w:val="21"/>
              <w:szCs w:val="21"/>
            </w:rPr>
            <w:tab/>
          </w:r>
          <w:r>
            <w:rPr>
              <w:rFonts w:ascii="Times New Roman" w:hAnsi="Times New Roman" w:eastAsia="Times New Roman" w:cs="Times New Roman"/>
              <w:spacing w:val="-1"/>
              <w:sz w:val="21"/>
              <w:szCs w:val="21"/>
            </w:rPr>
            <w:t>98</w:t>
          </w:r>
          <w:r>
            <w:rPr>
              <w:rFonts w:ascii="Times New Roman" w:hAnsi="Times New Roman" w:eastAsia="Times New Roman" w:cs="Times New Roman"/>
              <w:spacing w:val="-1"/>
              <w:sz w:val="21"/>
              <w:szCs w:val="21"/>
            </w:rPr>
            <w:fldChar w:fldCharType="end"/>
          </w:r>
        </w:p>
        <w:p w14:paraId="100B27F9">
          <w:pPr>
            <w:spacing w:line="423" w:lineRule="auto"/>
            <w:rPr>
              <w:rFonts w:ascii="Arial"/>
              <w:sz w:val="21"/>
            </w:rPr>
          </w:pPr>
        </w:p>
        <w:p w14:paraId="7C331D90">
          <w:pPr>
            <w:pStyle w:val="2"/>
            <w:tabs>
              <w:tab w:val="right" w:leader="dot" w:pos="9330"/>
            </w:tabs>
            <w:spacing w:before="69" w:line="222" w:lineRule="auto"/>
            <w:ind w:left="732"/>
            <w:rPr>
              <w:rFonts w:ascii="Times New Roman" w:hAnsi="Times New Roman" w:eastAsia="Times New Roman" w:cs="Times New Roman"/>
              <w:sz w:val="21"/>
              <w:szCs w:val="21"/>
            </w:rPr>
          </w:pPr>
          <w:r>
            <w:fldChar w:fldCharType="begin"/>
          </w:r>
          <w:r>
            <w:instrText xml:space="preserve"> HYPERLINK \l "bookmark124" </w:instrText>
          </w:r>
          <w:r>
            <w:fldChar w:fldCharType="separate"/>
          </w:r>
          <w:r>
            <w:rPr>
              <w:b/>
              <w:bCs/>
              <w:spacing w:val="-10"/>
              <w:sz w:val="21"/>
              <w:szCs w:val="21"/>
            </w:rPr>
            <w:t>第</w:t>
          </w:r>
          <w:r>
            <w:rPr>
              <w:spacing w:val="-38"/>
              <w:sz w:val="21"/>
              <w:szCs w:val="21"/>
            </w:rPr>
            <w:t xml:space="preserve"> </w:t>
          </w:r>
          <w:r>
            <w:rPr>
              <w:b/>
              <w:bCs/>
              <w:spacing w:val="-10"/>
              <w:sz w:val="21"/>
              <w:szCs w:val="21"/>
            </w:rPr>
            <w:t>七</w:t>
          </w:r>
          <w:r>
            <w:rPr>
              <w:spacing w:val="-36"/>
              <w:sz w:val="21"/>
              <w:szCs w:val="21"/>
            </w:rPr>
            <w:t xml:space="preserve"> </w:t>
          </w:r>
          <w:r>
            <w:rPr>
              <w:b/>
              <w:bCs/>
              <w:spacing w:val="-10"/>
              <w:sz w:val="21"/>
              <w:szCs w:val="21"/>
            </w:rPr>
            <w:t>章</w:t>
          </w:r>
          <w:r>
            <w:rPr>
              <w:spacing w:val="9"/>
              <w:sz w:val="21"/>
              <w:szCs w:val="21"/>
            </w:rPr>
            <w:t xml:space="preserve">  </w:t>
          </w:r>
          <w:r>
            <w:rPr>
              <w:b/>
              <w:bCs/>
              <w:spacing w:val="-10"/>
              <w:sz w:val="21"/>
              <w:szCs w:val="21"/>
            </w:rPr>
            <w:t>筛</w:t>
          </w:r>
          <w:r>
            <w:rPr>
              <w:spacing w:val="21"/>
              <w:sz w:val="21"/>
              <w:szCs w:val="21"/>
            </w:rPr>
            <w:t xml:space="preserve"> </w:t>
          </w:r>
          <w:r>
            <w:rPr>
              <w:b/>
              <w:bCs/>
              <w:spacing w:val="-10"/>
              <w:sz w:val="21"/>
              <w:szCs w:val="21"/>
            </w:rPr>
            <w:t>检</w:t>
          </w:r>
          <w:r>
            <w:rPr>
              <w:spacing w:val="-81"/>
              <w:sz w:val="21"/>
              <w:szCs w:val="21"/>
            </w:rPr>
            <w:t xml:space="preserve"> </w:t>
          </w:r>
          <w:r>
            <w:rPr>
              <w:sz w:val="21"/>
              <w:szCs w:val="21"/>
            </w:rPr>
            <w:tab/>
          </w:r>
          <w:r>
            <w:rPr>
              <w:spacing w:val="-30"/>
              <w:sz w:val="21"/>
              <w:szCs w:val="21"/>
            </w:rPr>
            <w:t xml:space="preserve"> </w:t>
          </w:r>
          <w:r>
            <w:rPr>
              <w:rFonts w:ascii="Times New Roman" w:hAnsi="Times New Roman" w:eastAsia="Times New Roman" w:cs="Times New Roman"/>
              <w:b/>
              <w:bCs/>
              <w:spacing w:val="-4"/>
              <w:sz w:val="21"/>
              <w:szCs w:val="21"/>
            </w:rPr>
            <w:t>100</w:t>
          </w:r>
          <w:r>
            <w:rPr>
              <w:rFonts w:ascii="Times New Roman" w:hAnsi="Times New Roman" w:eastAsia="Times New Roman" w:cs="Times New Roman"/>
              <w:b/>
              <w:bCs/>
              <w:spacing w:val="-4"/>
              <w:sz w:val="21"/>
              <w:szCs w:val="21"/>
            </w:rPr>
            <w:fldChar w:fldCharType="end"/>
          </w:r>
        </w:p>
        <w:p w14:paraId="499B47CF">
          <w:pPr>
            <w:pStyle w:val="2"/>
            <w:tabs>
              <w:tab w:val="right" w:leader="dot" w:pos="9450"/>
            </w:tabs>
            <w:spacing w:before="170" w:line="221" w:lineRule="auto"/>
            <w:ind w:left="1699"/>
            <w:rPr>
              <w:rFonts w:ascii="Times New Roman" w:hAnsi="Times New Roman" w:eastAsia="Times New Roman" w:cs="Times New Roman"/>
              <w:sz w:val="21"/>
              <w:szCs w:val="21"/>
            </w:rPr>
          </w:pPr>
          <w:r>
            <w:fldChar w:fldCharType="begin"/>
          </w:r>
          <w:r>
            <w:instrText xml:space="preserve"> HYPERLINK \l "bookmark125" </w:instrText>
          </w:r>
          <w:r>
            <w:fldChar w:fldCharType="separate"/>
          </w:r>
          <w:r>
            <w:rPr>
              <w:spacing w:val="2"/>
              <w:sz w:val="21"/>
              <w:szCs w:val="21"/>
            </w:rPr>
            <w:t>第一节</w:t>
          </w:r>
          <w:r>
            <w:rPr>
              <w:spacing w:val="43"/>
              <w:sz w:val="21"/>
              <w:szCs w:val="21"/>
            </w:rPr>
            <w:t xml:space="preserve"> </w:t>
          </w:r>
          <w:r>
            <w:rPr>
              <w:spacing w:val="2"/>
              <w:sz w:val="21"/>
              <w:szCs w:val="21"/>
            </w:rPr>
            <w:t>概</w:t>
          </w:r>
          <w:r>
            <w:rPr>
              <w:spacing w:val="-47"/>
              <w:sz w:val="21"/>
              <w:szCs w:val="21"/>
            </w:rPr>
            <w:t xml:space="preserve"> </w:t>
          </w:r>
          <w:r>
            <w:rPr>
              <w:spacing w:val="2"/>
              <w:sz w:val="21"/>
              <w:szCs w:val="21"/>
            </w:rPr>
            <w:t>述</w:t>
          </w:r>
          <w:r>
            <w:rPr>
              <w:spacing w:val="-92"/>
              <w:sz w:val="21"/>
              <w:szCs w:val="21"/>
            </w:rPr>
            <w:t xml:space="preserve"> </w:t>
          </w:r>
          <w:r>
            <w:rPr>
              <w:sz w:val="21"/>
              <w:szCs w:val="21"/>
            </w:rPr>
            <w:tab/>
          </w:r>
          <w:r>
            <w:rPr>
              <w:rFonts w:ascii="Times New Roman" w:hAnsi="Times New Roman" w:eastAsia="Times New Roman" w:cs="Times New Roman"/>
              <w:spacing w:val="-4"/>
              <w:sz w:val="21"/>
              <w:szCs w:val="21"/>
            </w:rPr>
            <w:t>101</w:t>
          </w:r>
          <w:r>
            <w:rPr>
              <w:rFonts w:ascii="Times New Roman" w:hAnsi="Times New Roman" w:eastAsia="Times New Roman" w:cs="Times New Roman"/>
              <w:spacing w:val="-4"/>
              <w:sz w:val="21"/>
              <w:szCs w:val="21"/>
            </w:rPr>
            <w:fldChar w:fldCharType="end"/>
          </w:r>
        </w:p>
        <w:p w14:paraId="1704C41C">
          <w:pPr>
            <w:pStyle w:val="2"/>
            <w:tabs>
              <w:tab w:val="right" w:leader="dot" w:pos="9460"/>
            </w:tabs>
            <w:spacing w:before="139" w:line="221" w:lineRule="auto"/>
            <w:ind w:left="2129"/>
            <w:rPr>
              <w:rFonts w:ascii="Times New Roman" w:hAnsi="Times New Roman" w:eastAsia="Times New Roman" w:cs="Times New Roman"/>
              <w:sz w:val="21"/>
              <w:szCs w:val="21"/>
            </w:rPr>
          </w:pPr>
          <w:r>
            <w:fldChar w:fldCharType="begin"/>
          </w:r>
          <w:r>
            <w:instrText xml:space="preserve"> HYPERLINK \l "bookmark126" </w:instrText>
          </w:r>
          <w:r>
            <w:fldChar w:fldCharType="separate"/>
          </w:r>
          <w:r>
            <w:rPr>
              <w:spacing w:val="-15"/>
              <w:sz w:val="21"/>
              <w:szCs w:val="21"/>
            </w:rPr>
            <w:t>一</w:t>
          </w:r>
          <w:r>
            <w:rPr>
              <w:spacing w:val="-40"/>
              <w:sz w:val="21"/>
              <w:szCs w:val="21"/>
            </w:rPr>
            <w:t xml:space="preserve"> </w:t>
          </w:r>
          <w:r>
            <w:rPr>
              <w:spacing w:val="-15"/>
              <w:sz w:val="21"/>
              <w:szCs w:val="21"/>
            </w:rPr>
            <w:t>、筛检的概念</w:t>
          </w:r>
          <w:r>
            <w:rPr>
              <w:spacing w:val="-66"/>
              <w:sz w:val="21"/>
              <w:szCs w:val="21"/>
            </w:rPr>
            <w:t xml:space="preserve"> </w:t>
          </w:r>
          <w:r>
            <w:rPr>
              <w:sz w:val="21"/>
              <w:szCs w:val="21"/>
            </w:rPr>
            <w:tab/>
          </w:r>
          <w:r>
            <w:rPr>
              <w:rFonts w:ascii="Times New Roman" w:hAnsi="Times New Roman" w:eastAsia="Times New Roman" w:cs="Times New Roman"/>
              <w:spacing w:val="-4"/>
              <w:sz w:val="21"/>
              <w:szCs w:val="21"/>
            </w:rPr>
            <w:t>101</w:t>
          </w:r>
          <w:r>
            <w:rPr>
              <w:rFonts w:ascii="Times New Roman" w:hAnsi="Times New Roman" w:eastAsia="Times New Roman" w:cs="Times New Roman"/>
              <w:spacing w:val="-4"/>
              <w:sz w:val="21"/>
              <w:szCs w:val="21"/>
            </w:rPr>
            <w:fldChar w:fldCharType="end"/>
          </w:r>
        </w:p>
        <w:p w14:paraId="4587B693">
          <w:pPr>
            <w:pStyle w:val="2"/>
            <w:tabs>
              <w:tab w:val="right" w:leader="dot" w:pos="9470"/>
            </w:tabs>
            <w:spacing w:before="138" w:line="221" w:lineRule="auto"/>
            <w:ind w:left="2129"/>
            <w:rPr>
              <w:rFonts w:ascii="Times New Roman" w:hAnsi="Times New Roman" w:eastAsia="Times New Roman" w:cs="Times New Roman"/>
              <w:sz w:val="21"/>
              <w:szCs w:val="21"/>
            </w:rPr>
          </w:pPr>
          <w:r>
            <w:fldChar w:fldCharType="begin"/>
          </w:r>
          <w:r>
            <w:instrText xml:space="preserve"> HYPERLINK \l "bookmark127" </w:instrText>
          </w:r>
          <w:r>
            <w:fldChar w:fldCharType="separate"/>
          </w:r>
          <w:r>
            <w:rPr>
              <w:spacing w:val="-11"/>
              <w:sz w:val="21"/>
              <w:szCs w:val="21"/>
            </w:rPr>
            <w:t>二</w:t>
          </w:r>
          <w:r>
            <w:rPr>
              <w:spacing w:val="-35"/>
              <w:sz w:val="21"/>
              <w:szCs w:val="21"/>
            </w:rPr>
            <w:t xml:space="preserve"> </w:t>
          </w:r>
          <w:r>
            <w:rPr>
              <w:spacing w:val="-11"/>
              <w:sz w:val="21"/>
              <w:szCs w:val="21"/>
            </w:rPr>
            <w:t>、筛检的目的及类型</w:t>
          </w:r>
          <w:r>
            <w:rPr>
              <w:spacing w:val="-96"/>
              <w:sz w:val="21"/>
              <w:szCs w:val="21"/>
            </w:rPr>
            <w:t xml:space="preserve"> </w:t>
          </w:r>
          <w:r>
            <w:rPr>
              <w:sz w:val="21"/>
              <w:szCs w:val="21"/>
            </w:rPr>
            <w:tab/>
          </w:r>
          <w:r>
            <w:rPr>
              <w:rFonts w:ascii="Times New Roman" w:hAnsi="Times New Roman" w:eastAsia="Times New Roman" w:cs="Times New Roman"/>
              <w:spacing w:val="-4"/>
              <w:sz w:val="21"/>
              <w:szCs w:val="21"/>
            </w:rPr>
            <w:t>101</w:t>
          </w:r>
          <w:r>
            <w:rPr>
              <w:rFonts w:ascii="Times New Roman" w:hAnsi="Times New Roman" w:eastAsia="Times New Roman" w:cs="Times New Roman"/>
              <w:spacing w:val="-4"/>
              <w:sz w:val="21"/>
              <w:szCs w:val="21"/>
            </w:rPr>
            <w:fldChar w:fldCharType="end"/>
          </w:r>
        </w:p>
        <w:p w14:paraId="266BDF29">
          <w:pPr>
            <w:pStyle w:val="2"/>
            <w:tabs>
              <w:tab w:val="right" w:leader="dot" w:pos="9430"/>
            </w:tabs>
            <w:spacing w:before="139" w:line="222" w:lineRule="auto"/>
            <w:ind w:left="2129"/>
            <w:rPr>
              <w:rFonts w:ascii="Times New Roman" w:hAnsi="Times New Roman" w:eastAsia="Times New Roman" w:cs="Times New Roman"/>
              <w:sz w:val="21"/>
              <w:szCs w:val="21"/>
            </w:rPr>
          </w:pPr>
          <w:r>
            <w:fldChar w:fldCharType="begin"/>
          </w:r>
          <w:r>
            <w:instrText xml:space="preserve"> HYPERLINK \l "bookmark128" </w:instrText>
          </w:r>
          <w:r>
            <w:fldChar w:fldCharType="separate"/>
          </w:r>
          <w:r>
            <w:rPr>
              <w:spacing w:val="-12"/>
              <w:sz w:val="21"/>
              <w:szCs w:val="21"/>
            </w:rPr>
            <w:t>三</w:t>
          </w:r>
          <w:r>
            <w:rPr>
              <w:spacing w:val="-37"/>
              <w:sz w:val="21"/>
              <w:szCs w:val="21"/>
            </w:rPr>
            <w:t xml:space="preserve"> </w:t>
          </w:r>
          <w:r>
            <w:rPr>
              <w:spacing w:val="-12"/>
              <w:sz w:val="21"/>
              <w:szCs w:val="21"/>
            </w:rPr>
            <w:t>、筛检的实施原则</w:t>
          </w:r>
          <w:r>
            <w:rPr>
              <w:spacing w:val="-77"/>
              <w:sz w:val="21"/>
              <w:szCs w:val="21"/>
            </w:rPr>
            <w:t xml:space="preserve"> </w:t>
          </w:r>
          <w:r>
            <w:rPr>
              <w:sz w:val="21"/>
              <w:szCs w:val="21"/>
            </w:rPr>
            <w:tab/>
          </w:r>
          <w:r>
            <w:rPr>
              <w:rFonts w:ascii="Times New Roman" w:hAnsi="Times New Roman" w:eastAsia="Times New Roman" w:cs="Times New Roman"/>
              <w:spacing w:val="-4"/>
              <w:sz w:val="21"/>
              <w:szCs w:val="21"/>
            </w:rPr>
            <w:t>102</w:t>
          </w:r>
          <w:r>
            <w:rPr>
              <w:rFonts w:ascii="Times New Roman" w:hAnsi="Times New Roman" w:eastAsia="Times New Roman" w:cs="Times New Roman"/>
              <w:spacing w:val="-4"/>
              <w:sz w:val="21"/>
              <w:szCs w:val="21"/>
            </w:rPr>
            <w:fldChar w:fldCharType="end"/>
          </w:r>
        </w:p>
        <w:p w14:paraId="50EADC3E">
          <w:pPr>
            <w:pStyle w:val="2"/>
            <w:tabs>
              <w:tab w:val="right" w:leader="dot" w:pos="9420"/>
            </w:tabs>
            <w:spacing w:before="147" w:line="221" w:lineRule="auto"/>
            <w:ind w:left="1699"/>
            <w:rPr>
              <w:rFonts w:ascii="Times New Roman" w:hAnsi="Times New Roman" w:eastAsia="Times New Roman" w:cs="Times New Roman"/>
              <w:sz w:val="21"/>
              <w:szCs w:val="21"/>
            </w:rPr>
          </w:pPr>
          <w:r>
            <w:fldChar w:fldCharType="begin"/>
          </w:r>
          <w:r>
            <w:instrText xml:space="preserve"> HYPERLINK \l "bookmark129" </w:instrText>
          </w:r>
          <w:r>
            <w:fldChar w:fldCharType="separate"/>
          </w:r>
          <w:r>
            <w:rPr>
              <w:spacing w:val="6"/>
              <w:sz w:val="21"/>
              <w:szCs w:val="21"/>
            </w:rPr>
            <w:t>第二节 筛检试验的评价</w:t>
          </w:r>
          <w:r>
            <w:rPr>
              <w:spacing w:val="-87"/>
              <w:sz w:val="21"/>
              <w:szCs w:val="21"/>
            </w:rPr>
            <w:t xml:space="preserve"> </w:t>
          </w:r>
          <w:r>
            <w:rPr>
              <w:sz w:val="21"/>
              <w:szCs w:val="21"/>
            </w:rPr>
            <w:tab/>
          </w:r>
          <w:r>
            <w:rPr>
              <w:rFonts w:ascii="Times New Roman" w:hAnsi="Times New Roman" w:eastAsia="Times New Roman" w:cs="Times New Roman"/>
              <w:spacing w:val="-4"/>
              <w:sz w:val="21"/>
              <w:szCs w:val="21"/>
            </w:rPr>
            <w:t>103</w:t>
          </w:r>
          <w:r>
            <w:rPr>
              <w:rFonts w:ascii="Times New Roman" w:hAnsi="Times New Roman" w:eastAsia="Times New Roman" w:cs="Times New Roman"/>
              <w:spacing w:val="-4"/>
              <w:sz w:val="21"/>
              <w:szCs w:val="21"/>
            </w:rPr>
            <w:fldChar w:fldCharType="end"/>
          </w:r>
        </w:p>
        <w:p w14:paraId="12345661">
          <w:pPr>
            <w:pStyle w:val="2"/>
            <w:tabs>
              <w:tab w:val="right" w:leader="dot" w:pos="9410"/>
            </w:tabs>
            <w:spacing w:before="139" w:line="221" w:lineRule="auto"/>
            <w:ind w:left="2129"/>
            <w:rPr>
              <w:rFonts w:ascii="Times New Roman" w:hAnsi="Times New Roman" w:eastAsia="Times New Roman" w:cs="Times New Roman"/>
              <w:sz w:val="21"/>
              <w:szCs w:val="21"/>
            </w:rPr>
          </w:pPr>
          <w:r>
            <w:fldChar w:fldCharType="begin"/>
          </w:r>
          <w:r>
            <w:instrText xml:space="preserve"> HYPERLINK \l "bookmark130" </w:instrText>
          </w:r>
          <w:r>
            <w:fldChar w:fldCharType="separate"/>
          </w:r>
          <w:r>
            <w:rPr>
              <w:spacing w:val="-11"/>
              <w:sz w:val="21"/>
              <w:szCs w:val="21"/>
            </w:rPr>
            <w:t>一</w:t>
          </w:r>
          <w:r>
            <w:rPr>
              <w:spacing w:val="-26"/>
              <w:sz w:val="21"/>
              <w:szCs w:val="21"/>
            </w:rPr>
            <w:t xml:space="preserve"> </w:t>
          </w:r>
          <w:r>
            <w:rPr>
              <w:spacing w:val="-11"/>
              <w:sz w:val="21"/>
              <w:szCs w:val="21"/>
            </w:rPr>
            <w:t>、筛检试验的定义</w:t>
          </w:r>
          <w:r>
            <w:rPr>
              <w:spacing w:val="-97"/>
              <w:sz w:val="21"/>
              <w:szCs w:val="21"/>
            </w:rPr>
            <w:t xml:space="preserve"> </w:t>
          </w:r>
          <w:r>
            <w:rPr>
              <w:sz w:val="21"/>
              <w:szCs w:val="21"/>
            </w:rPr>
            <w:tab/>
          </w:r>
          <w:r>
            <w:rPr>
              <w:spacing w:val="-11"/>
              <w:sz w:val="21"/>
              <w:szCs w:val="21"/>
            </w:rPr>
            <w:t xml:space="preserve"> </w:t>
          </w:r>
          <w:r>
            <w:rPr>
              <w:rFonts w:ascii="Times New Roman" w:hAnsi="Times New Roman" w:eastAsia="Times New Roman" w:cs="Times New Roman"/>
              <w:spacing w:val="-6"/>
              <w:sz w:val="21"/>
              <w:szCs w:val="21"/>
            </w:rPr>
            <w:t>103</w:t>
          </w:r>
          <w:r>
            <w:rPr>
              <w:rFonts w:ascii="Times New Roman" w:hAnsi="Times New Roman" w:eastAsia="Times New Roman" w:cs="Times New Roman"/>
              <w:spacing w:val="-6"/>
              <w:sz w:val="21"/>
              <w:szCs w:val="21"/>
            </w:rPr>
            <w:fldChar w:fldCharType="end"/>
          </w:r>
        </w:p>
        <w:p w14:paraId="4F7DFB47">
          <w:pPr>
            <w:pStyle w:val="2"/>
            <w:tabs>
              <w:tab w:val="right" w:leader="dot" w:pos="9410"/>
            </w:tabs>
            <w:spacing w:before="139" w:line="221" w:lineRule="auto"/>
            <w:ind w:left="2129"/>
            <w:rPr>
              <w:rFonts w:ascii="Times New Roman" w:hAnsi="Times New Roman" w:eastAsia="Times New Roman" w:cs="Times New Roman"/>
              <w:sz w:val="21"/>
              <w:szCs w:val="21"/>
            </w:rPr>
          </w:pPr>
          <w:r>
            <w:fldChar w:fldCharType="begin"/>
          </w:r>
          <w:r>
            <w:instrText xml:space="preserve"> HYPERLINK \l "bookmark131" </w:instrText>
          </w:r>
          <w:r>
            <w:fldChar w:fldCharType="separate"/>
          </w:r>
          <w:r>
            <w:rPr>
              <w:spacing w:val="-12"/>
              <w:sz w:val="21"/>
              <w:szCs w:val="21"/>
            </w:rPr>
            <w:t>二</w:t>
          </w:r>
          <w:r>
            <w:rPr>
              <w:spacing w:val="-37"/>
              <w:sz w:val="21"/>
              <w:szCs w:val="21"/>
            </w:rPr>
            <w:t xml:space="preserve"> </w:t>
          </w:r>
          <w:r>
            <w:rPr>
              <w:spacing w:val="-12"/>
              <w:sz w:val="21"/>
              <w:szCs w:val="21"/>
            </w:rPr>
            <w:t>、筛检试验的评价</w:t>
          </w:r>
          <w:r>
            <w:rPr>
              <w:spacing w:val="-77"/>
              <w:sz w:val="21"/>
              <w:szCs w:val="21"/>
            </w:rPr>
            <w:t xml:space="preserve"> </w:t>
          </w:r>
          <w:r>
            <w:rPr>
              <w:sz w:val="21"/>
              <w:szCs w:val="21"/>
            </w:rPr>
            <w:tab/>
          </w:r>
          <w:r>
            <w:rPr>
              <w:spacing w:val="-11"/>
              <w:sz w:val="21"/>
              <w:szCs w:val="21"/>
            </w:rPr>
            <w:t xml:space="preserve"> </w:t>
          </w:r>
          <w:r>
            <w:rPr>
              <w:rFonts w:ascii="Times New Roman" w:hAnsi="Times New Roman" w:eastAsia="Times New Roman" w:cs="Times New Roman"/>
              <w:spacing w:val="-6"/>
              <w:sz w:val="21"/>
              <w:szCs w:val="21"/>
            </w:rPr>
            <w:t>103</w:t>
          </w:r>
          <w:r>
            <w:rPr>
              <w:rFonts w:ascii="Times New Roman" w:hAnsi="Times New Roman" w:eastAsia="Times New Roman" w:cs="Times New Roman"/>
              <w:spacing w:val="-6"/>
              <w:sz w:val="21"/>
              <w:szCs w:val="21"/>
            </w:rPr>
            <w:fldChar w:fldCharType="end"/>
          </w:r>
        </w:p>
        <w:p w14:paraId="6B49F641">
          <w:pPr>
            <w:pStyle w:val="2"/>
            <w:tabs>
              <w:tab w:val="right" w:leader="dot" w:pos="9420"/>
            </w:tabs>
            <w:spacing w:before="148" w:line="221" w:lineRule="auto"/>
            <w:ind w:left="1699"/>
            <w:rPr>
              <w:rFonts w:ascii="Times New Roman" w:hAnsi="Times New Roman" w:eastAsia="Times New Roman" w:cs="Times New Roman"/>
              <w:sz w:val="21"/>
              <w:szCs w:val="21"/>
            </w:rPr>
          </w:pPr>
          <w:r>
            <w:fldChar w:fldCharType="begin"/>
          </w:r>
          <w:r>
            <w:instrText xml:space="preserve"> HYPERLINK \l "bookmark132" </w:instrText>
          </w:r>
          <w:r>
            <w:fldChar w:fldCharType="separate"/>
          </w:r>
          <w:r>
            <w:rPr>
              <w:spacing w:val="5"/>
              <w:sz w:val="21"/>
              <w:szCs w:val="21"/>
            </w:rPr>
            <w:t>第三节 筛检效果的评价</w:t>
          </w:r>
          <w:r>
            <w:rPr>
              <w:spacing w:val="-76"/>
              <w:sz w:val="21"/>
              <w:szCs w:val="21"/>
            </w:rPr>
            <w:t xml:space="preserve"> </w:t>
          </w:r>
          <w:r>
            <w:rPr>
              <w:sz w:val="21"/>
              <w:szCs w:val="21"/>
            </w:rPr>
            <w:tab/>
          </w:r>
          <w:r>
            <w:rPr>
              <w:rFonts w:ascii="Times New Roman" w:hAnsi="Times New Roman" w:eastAsia="Times New Roman" w:cs="Times New Roman"/>
              <w:spacing w:val="-4"/>
              <w:sz w:val="21"/>
              <w:szCs w:val="21"/>
            </w:rPr>
            <w:t>111</w:t>
          </w:r>
          <w:r>
            <w:rPr>
              <w:rFonts w:ascii="Times New Roman" w:hAnsi="Times New Roman" w:eastAsia="Times New Roman" w:cs="Times New Roman"/>
              <w:spacing w:val="-4"/>
              <w:sz w:val="21"/>
              <w:szCs w:val="21"/>
            </w:rPr>
            <w:fldChar w:fldCharType="end"/>
          </w:r>
        </w:p>
        <w:p w14:paraId="115F3F32">
          <w:pPr>
            <w:pStyle w:val="2"/>
            <w:tabs>
              <w:tab w:val="right" w:leader="dot" w:pos="9410"/>
            </w:tabs>
            <w:spacing w:before="141" w:line="223" w:lineRule="auto"/>
            <w:ind w:left="2129"/>
            <w:rPr>
              <w:rFonts w:ascii="Times New Roman" w:hAnsi="Times New Roman" w:eastAsia="Times New Roman" w:cs="Times New Roman"/>
              <w:sz w:val="21"/>
              <w:szCs w:val="21"/>
            </w:rPr>
          </w:pPr>
          <w:r>
            <w:fldChar w:fldCharType="begin"/>
          </w:r>
          <w:r>
            <w:instrText xml:space="preserve"> HYPERLINK \l "bookmark133" </w:instrText>
          </w:r>
          <w:r>
            <w:fldChar w:fldCharType="separate"/>
          </w:r>
          <w:r>
            <w:rPr>
              <w:spacing w:val="-18"/>
              <w:sz w:val="21"/>
              <w:szCs w:val="21"/>
            </w:rPr>
            <w:t>一</w:t>
          </w:r>
          <w:r>
            <w:rPr>
              <w:spacing w:val="-37"/>
              <w:sz w:val="21"/>
              <w:szCs w:val="21"/>
            </w:rPr>
            <w:t xml:space="preserve"> </w:t>
          </w:r>
          <w:r>
            <w:rPr>
              <w:spacing w:val="-18"/>
              <w:sz w:val="21"/>
              <w:szCs w:val="21"/>
            </w:rPr>
            <w:t>、收益</w:t>
          </w:r>
          <w:r>
            <w:rPr>
              <w:spacing w:val="-82"/>
              <w:sz w:val="21"/>
              <w:szCs w:val="21"/>
            </w:rPr>
            <w:t xml:space="preserve"> </w:t>
          </w:r>
          <w:r>
            <w:rPr>
              <w:sz w:val="21"/>
              <w:szCs w:val="21"/>
            </w:rPr>
            <w:tab/>
          </w:r>
          <w:r>
            <w:rPr>
              <w:spacing w:val="-41"/>
              <w:sz w:val="21"/>
              <w:szCs w:val="21"/>
            </w:rPr>
            <w:t xml:space="preserve"> </w:t>
          </w:r>
          <w:r>
            <w:rPr>
              <w:rFonts w:ascii="Times New Roman" w:hAnsi="Times New Roman" w:eastAsia="Times New Roman" w:cs="Times New Roman"/>
              <w:spacing w:val="-6"/>
              <w:sz w:val="21"/>
              <w:szCs w:val="21"/>
            </w:rPr>
            <w:t>112</w:t>
          </w:r>
          <w:r>
            <w:rPr>
              <w:rFonts w:ascii="Times New Roman" w:hAnsi="Times New Roman" w:eastAsia="Times New Roman" w:cs="Times New Roman"/>
              <w:spacing w:val="-6"/>
              <w:sz w:val="21"/>
              <w:szCs w:val="21"/>
            </w:rPr>
            <w:fldChar w:fldCharType="end"/>
          </w:r>
        </w:p>
        <w:p w14:paraId="41A0BF74">
          <w:pPr>
            <w:pStyle w:val="2"/>
            <w:tabs>
              <w:tab w:val="right" w:leader="dot" w:pos="9400"/>
            </w:tabs>
            <w:spacing w:before="134" w:line="221" w:lineRule="auto"/>
            <w:ind w:left="2129"/>
            <w:rPr>
              <w:rFonts w:ascii="Times New Roman" w:hAnsi="Times New Roman" w:eastAsia="Times New Roman" w:cs="Times New Roman"/>
              <w:sz w:val="21"/>
              <w:szCs w:val="21"/>
            </w:rPr>
          </w:pPr>
          <w:r>
            <w:fldChar w:fldCharType="begin"/>
          </w:r>
          <w:r>
            <w:instrText xml:space="preserve"> HYPERLINK \l "bookmark134" </w:instrText>
          </w:r>
          <w:r>
            <w:fldChar w:fldCharType="separate"/>
          </w:r>
          <w:r>
            <w:rPr>
              <w:spacing w:val="-11"/>
              <w:sz w:val="21"/>
              <w:szCs w:val="21"/>
            </w:rPr>
            <w:t>二</w:t>
          </w:r>
          <w:r>
            <w:rPr>
              <w:spacing w:val="-34"/>
              <w:sz w:val="21"/>
              <w:szCs w:val="21"/>
            </w:rPr>
            <w:t xml:space="preserve"> </w:t>
          </w:r>
          <w:r>
            <w:rPr>
              <w:spacing w:val="-11"/>
              <w:sz w:val="21"/>
              <w:szCs w:val="21"/>
            </w:rPr>
            <w:t>、生物学效果评价</w:t>
          </w:r>
          <w:r>
            <w:rPr>
              <w:spacing w:val="-79"/>
              <w:sz w:val="21"/>
              <w:szCs w:val="21"/>
            </w:rPr>
            <w:t xml:space="preserve"> </w:t>
          </w:r>
          <w:r>
            <w:rPr>
              <w:sz w:val="21"/>
              <w:szCs w:val="21"/>
            </w:rPr>
            <w:tab/>
          </w:r>
          <w:r>
            <w:rPr>
              <w:spacing w:val="-31"/>
              <w:sz w:val="21"/>
              <w:szCs w:val="21"/>
            </w:rPr>
            <w:t xml:space="preserve"> </w:t>
          </w:r>
          <w:r>
            <w:rPr>
              <w:rFonts w:ascii="Times New Roman" w:hAnsi="Times New Roman" w:eastAsia="Times New Roman" w:cs="Times New Roman"/>
              <w:spacing w:val="-6"/>
              <w:sz w:val="21"/>
              <w:szCs w:val="21"/>
            </w:rPr>
            <w:t>113</w:t>
          </w:r>
          <w:r>
            <w:rPr>
              <w:rFonts w:ascii="Times New Roman" w:hAnsi="Times New Roman" w:eastAsia="Times New Roman" w:cs="Times New Roman"/>
              <w:spacing w:val="-6"/>
              <w:sz w:val="21"/>
              <w:szCs w:val="21"/>
            </w:rPr>
            <w:fldChar w:fldCharType="end"/>
          </w:r>
        </w:p>
        <w:p w14:paraId="34DEED72">
          <w:pPr>
            <w:pStyle w:val="2"/>
            <w:tabs>
              <w:tab w:val="right" w:leader="dot" w:pos="9400"/>
            </w:tabs>
            <w:spacing w:before="129" w:line="221" w:lineRule="auto"/>
            <w:ind w:left="2129"/>
            <w:rPr>
              <w:rFonts w:ascii="Times New Roman" w:hAnsi="Times New Roman" w:eastAsia="Times New Roman" w:cs="Times New Roman"/>
              <w:sz w:val="21"/>
              <w:szCs w:val="21"/>
            </w:rPr>
          </w:pPr>
          <w:r>
            <w:fldChar w:fldCharType="begin"/>
          </w:r>
          <w:r>
            <w:instrText xml:space="preserve"> HYPERLINK \l "bookmark135" </w:instrText>
          </w:r>
          <w:r>
            <w:fldChar w:fldCharType="separate"/>
          </w:r>
          <w:r>
            <w:rPr>
              <w:spacing w:val="-9"/>
              <w:sz w:val="21"/>
              <w:szCs w:val="21"/>
            </w:rPr>
            <w:t>三</w:t>
          </w:r>
          <w:r>
            <w:rPr>
              <w:spacing w:val="-46"/>
              <w:sz w:val="21"/>
              <w:szCs w:val="21"/>
            </w:rPr>
            <w:t xml:space="preserve"> </w:t>
          </w:r>
          <w:r>
            <w:rPr>
              <w:spacing w:val="-9"/>
              <w:sz w:val="21"/>
              <w:szCs w:val="21"/>
            </w:rPr>
            <w:t>、卫生经济学效果评价</w:t>
          </w:r>
          <w:r>
            <w:rPr>
              <w:spacing w:val="-77"/>
              <w:sz w:val="21"/>
              <w:szCs w:val="21"/>
            </w:rPr>
            <w:t xml:space="preserve"> </w:t>
          </w:r>
          <w:r>
            <w:rPr>
              <w:sz w:val="21"/>
              <w:szCs w:val="21"/>
            </w:rPr>
            <w:tab/>
          </w:r>
          <w:r>
            <w:rPr>
              <w:spacing w:val="-21"/>
              <w:sz w:val="21"/>
              <w:szCs w:val="21"/>
            </w:rPr>
            <w:t xml:space="preserve"> </w:t>
          </w:r>
          <w:r>
            <w:rPr>
              <w:rFonts w:ascii="Times New Roman" w:hAnsi="Times New Roman" w:eastAsia="Times New Roman" w:cs="Times New Roman"/>
              <w:spacing w:val="-6"/>
              <w:sz w:val="21"/>
              <w:szCs w:val="21"/>
            </w:rPr>
            <w:t>115</w:t>
          </w:r>
          <w:r>
            <w:rPr>
              <w:rFonts w:ascii="Times New Roman" w:hAnsi="Times New Roman" w:eastAsia="Times New Roman" w:cs="Times New Roman"/>
              <w:spacing w:val="-6"/>
              <w:sz w:val="21"/>
              <w:szCs w:val="21"/>
            </w:rPr>
            <w:fldChar w:fldCharType="end"/>
          </w:r>
        </w:p>
        <w:p w14:paraId="3A0D1C1F">
          <w:pPr>
            <w:pStyle w:val="2"/>
            <w:tabs>
              <w:tab w:val="right" w:leader="dot" w:pos="9410"/>
            </w:tabs>
            <w:spacing w:before="158" w:line="221" w:lineRule="auto"/>
            <w:ind w:left="2129"/>
            <w:rPr>
              <w:rFonts w:ascii="Times New Roman" w:hAnsi="Times New Roman" w:eastAsia="Times New Roman" w:cs="Times New Roman"/>
              <w:sz w:val="21"/>
              <w:szCs w:val="21"/>
            </w:rPr>
          </w:pPr>
          <w:r>
            <w:fldChar w:fldCharType="begin"/>
          </w:r>
          <w:r>
            <w:instrText xml:space="preserve"> HYPERLINK \l "bookmark136" </w:instrText>
          </w:r>
          <w:r>
            <w:fldChar w:fldCharType="separate"/>
          </w:r>
          <w:r>
            <w:rPr>
              <w:spacing w:val="-13"/>
              <w:sz w:val="21"/>
              <w:szCs w:val="21"/>
            </w:rPr>
            <w:t>四</w:t>
          </w:r>
          <w:r>
            <w:rPr>
              <w:spacing w:val="-19"/>
              <w:sz w:val="21"/>
              <w:szCs w:val="21"/>
            </w:rPr>
            <w:t xml:space="preserve"> </w:t>
          </w:r>
          <w:r>
            <w:rPr>
              <w:spacing w:val="-13"/>
              <w:sz w:val="21"/>
              <w:szCs w:val="21"/>
            </w:rPr>
            <w:t>、筛检的安全性、伦理问题及可持续性评价</w:t>
          </w:r>
          <w:r>
            <w:rPr>
              <w:spacing w:val="-83"/>
              <w:sz w:val="21"/>
              <w:szCs w:val="21"/>
            </w:rPr>
            <w:t xml:space="preserve"> </w:t>
          </w:r>
          <w:r>
            <w:rPr>
              <w:sz w:val="21"/>
              <w:szCs w:val="21"/>
            </w:rPr>
            <w:tab/>
          </w:r>
          <w:r>
            <w:rPr>
              <w:rFonts w:ascii="Times New Roman" w:hAnsi="Times New Roman" w:eastAsia="Times New Roman" w:cs="Times New Roman"/>
              <w:spacing w:val="-1"/>
              <w:sz w:val="21"/>
              <w:szCs w:val="21"/>
            </w:rPr>
            <w:t>115</w:t>
          </w:r>
          <w:r>
            <w:rPr>
              <w:rFonts w:ascii="Times New Roman" w:hAnsi="Times New Roman" w:eastAsia="Times New Roman" w:cs="Times New Roman"/>
              <w:spacing w:val="-1"/>
              <w:sz w:val="21"/>
              <w:szCs w:val="21"/>
            </w:rPr>
            <w:fldChar w:fldCharType="end"/>
          </w:r>
        </w:p>
        <w:p w14:paraId="0B4EC063">
          <w:pPr>
            <w:spacing w:line="394" w:lineRule="auto"/>
            <w:rPr>
              <w:rFonts w:ascii="Arial"/>
              <w:sz w:val="21"/>
            </w:rPr>
          </w:pPr>
        </w:p>
        <w:p w14:paraId="3102EA0D">
          <w:pPr>
            <w:pStyle w:val="2"/>
            <w:tabs>
              <w:tab w:val="right" w:leader="dot" w:pos="9310"/>
            </w:tabs>
            <w:spacing w:before="69" w:line="221" w:lineRule="auto"/>
            <w:ind w:left="732"/>
            <w:rPr>
              <w:rFonts w:ascii="Times New Roman" w:hAnsi="Times New Roman" w:eastAsia="Times New Roman" w:cs="Times New Roman"/>
              <w:sz w:val="21"/>
              <w:szCs w:val="21"/>
            </w:rPr>
          </w:pPr>
          <w:r>
            <w:fldChar w:fldCharType="begin"/>
          </w:r>
          <w:r>
            <w:instrText xml:space="preserve"> HYPERLINK \l "bookmark137" </w:instrText>
          </w:r>
          <w:r>
            <w:fldChar w:fldCharType="separate"/>
          </w:r>
          <w:r>
            <w:rPr>
              <w:b/>
              <w:bCs/>
              <w:spacing w:val="-13"/>
              <w:sz w:val="21"/>
              <w:szCs w:val="21"/>
            </w:rPr>
            <w:t>第</w:t>
          </w:r>
          <w:r>
            <w:rPr>
              <w:spacing w:val="-25"/>
              <w:sz w:val="21"/>
              <w:szCs w:val="21"/>
            </w:rPr>
            <w:t xml:space="preserve"> </w:t>
          </w:r>
          <w:r>
            <w:rPr>
              <w:b/>
              <w:bCs/>
              <w:spacing w:val="-13"/>
              <w:sz w:val="21"/>
              <w:szCs w:val="21"/>
            </w:rPr>
            <w:t>八</w:t>
          </w:r>
          <w:r>
            <w:rPr>
              <w:spacing w:val="-31"/>
              <w:sz w:val="21"/>
              <w:szCs w:val="21"/>
            </w:rPr>
            <w:t xml:space="preserve"> </w:t>
          </w:r>
          <w:r>
            <w:rPr>
              <w:b/>
              <w:bCs/>
              <w:spacing w:val="-13"/>
              <w:sz w:val="21"/>
              <w:szCs w:val="21"/>
            </w:rPr>
            <w:t>章</w:t>
          </w:r>
          <w:r>
            <w:rPr>
              <w:spacing w:val="54"/>
              <w:sz w:val="21"/>
              <w:szCs w:val="21"/>
            </w:rPr>
            <w:t xml:space="preserve"> </w:t>
          </w:r>
          <w:r>
            <w:rPr>
              <w:b/>
              <w:bCs/>
              <w:spacing w:val="-13"/>
              <w:sz w:val="21"/>
              <w:szCs w:val="21"/>
            </w:rPr>
            <w:t>病</w:t>
          </w:r>
          <w:r>
            <w:rPr>
              <w:spacing w:val="-30"/>
              <w:sz w:val="21"/>
              <w:szCs w:val="21"/>
            </w:rPr>
            <w:t xml:space="preserve"> </w:t>
          </w:r>
          <w:r>
            <w:rPr>
              <w:b/>
              <w:bCs/>
              <w:spacing w:val="-13"/>
              <w:sz w:val="21"/>
              <w:szCs w:val="21"/>
            </w:rPr>
            <w:t>因</w:t>
          </w:r>
          <w:r>
            <w:rPr>
              <w:spacing w:val="-43"/>
              <w:sz w:val="21"/>
              <w:szCs w:val="21"/>
            </w:rPr>
            <w:t xml:space="preserve"> </w:t>
          </w:r>
          <w:r>
            <w:rPr>
              <w:b/>
              <w:bCs/>
              <w:spacing w:val="-13"/>
              <w:sz w:val="21"/>
              <w:szCs w:val="21"/>
            </w:rPr>
            <w:t>及</w:t>
          </w:r>
          <w:r>
            <w:rPr>
              <w:spacing w:val="-40"/>
              <w:sz w:val="21"/>
              <w:szCs w:val="21"/>
            </w:rPr>
            <w:t xml:space="preserve"> </w:t>
          </w:r>
          <w:r>
            <w:rPr>
              <w:b/>
              <w:bCs/>
              <w:spacing w:val="-13"/>
              <w:sz w:val="21"/>
              <w:szCs w:val="21"/>
            </w:rPr>
            <w:t>其</w:t>
          </w:r>
          <w:r>
            <w:rPr>
              <w:spacing w:val="-42"/>
              <w:sz w:val="21"/>
              <w:szCs w:val="21"/>
            </w:rPr>
            <w:t xml:space="preserve"> </w:t>
          </w:r>
          <w:r>
            <w:rPr>
              <w:b/>
              <w:bCs/>
              <w:spacing w:val="-13"/>
              <w:sz w:val="21"/>
              <w:szCs w:val="21"/>
            </w:rPr>
            <w:t>发</w:t>
          </w:r>
          <w:r>
            <w:rPr>
              <w:spacing w:val="-43"/>
              <w:sz w:val="21"/>
              <w:szCs w:val="21"/>
            </w:rPr>
            <w:t xml:space="preserve"> </w:t>
          </w:r>
          <w:r>
            <w:rPr>
              <w:b/>
              <w:bCs/>
              <w:spacing w:val="-13"/>
              <w:sz w:val="21"/>
              <w:szCs w:val="21"/>
            </w:rPr>
            <w:t>现</w:t>
          </w:r>
          <w:r>
            <w:rPr>
              <w:spacing w:val="-42"/>
              <w:sz w:val="21"/>
              <w:szCs w:val="21"/>
            </w:rPr>
            <w:t xml:space="preserve"> </w:t>
          </w:r>
          <w:r>
            <w:rPr>
              <w:b/>
              <w:bCs/>
              <w:spacing w:val="-13"/>
              <w:sz w:val="21"/>
              <w:szCs w:val="21"/>
            </w:rPr>
            <w:t>和</w:t>
          </w:r>
          <w:r>
            <w:rPr>
              <w:spacing w:val="-45"/>
              <w:sz w:val="21"/>
              <w:szCs w:val="21"/>
            </w:rPr>
            <w:t xml:space="preserve"> </w:t>
          </w:r>
          <w:r>
            <w:rPr>
              <w:b/>
              <w:bCs/>
              <w:spacing w:val="-13"/>
              <w:sz w:val="21"/>
              <w:szCs w:val="21"/>
            </w:rPr>
            <w:t>推</w:t>
          </w:r>
          <w:r>
            <w:rPr>
              <w:spacing w:val="-35"/>
              <w:sz w:val="21"/>
              <w:szCs w:val="21"/>
            </w:rPr>
            <w:t xml:space="preserve"> </w:t>
          </w:r>
          <w:r>
            <w:rPr>
              <w:b/>
              <w:bCs/>
              <w:spacing w:val="-13"/>
              <w:sz w:val="21"/>
              <w:szCs w:val="21"/>
            </w:rPr>
            <w:t>断</w:t>
          </w:r>
          <w:r>
            <w:rPr>
              <w:spacing w:val="-83"/>
              <w:sz w:val="21"/>
              <w:szCs w:val="21"/>
            </w:rPr>
            <w:t xml:space="preserve"> </w:t>
          </w:r>
          <w:r>
            <w:rPr>
              <w:sz w:val="21"/>
              <w:szCs w:val="21"/>
            </w:rPr>
            <w:tab/>
          </w:r>
          <w:r>
            <w:rPr>
              <w:rFonts w:ascii="Times New Roman" w:hAnsi="Times New Roman" w:eastAsia="Times New Roman" w:cs="Times New Roman"/>
              <w:b/>
              <w:bCs/>
              <w:sz w:val="21"/>
              <w:szCs w:val="21"/>
            </w:rPr>
            <w:t>117</w:t>
          </w:r>
          <w:r>
            <w:rPr>
              <w:rFonts w:ascii="Times New Roman" w:hAnsi="Times New Roman" w:eastAsia="Times New Roman" w:cs="Times New Roman"/>
              <w:b/>
              <w:bCs/>
              <w:sz w:val="21"/>
              <w:szCs w:val="21"/>
            </w:rPr>
            <w:fldChar w:fldCharType="end"/>
          </w:r>
        </w:p>
        <w:p w14:paraId="634FCA4E">
          <w:pPr>
            <w:pStyle w:val="2"/>
            <w:tabs>
              <w:tab w:val="right" w:leader="dot" w:pos="9430"/>
            </w:tabs>
            <w:spacing w:before="162" w:line="221" w:lineRule="auto"/>
            <w:ind w:left="1699"/>
            <w:rPr>
              <w:rFonts w:ascii="Times New Roman" w:hAnsi="Times New Roman" w:eastAsia="Times New Roman" w:cs="Times New Roman"/>
              <w:sz w:val="21"/>
              <w:szCs w:val="21"/>
            </w:rPr>
          </w:pPr>
          <w:r>
            <w:fldChar w:fldCharType="begin"/>
          </w:r>
          <w:r>
            <w:instrText xml:space="preserve"> HYPERLINK \l "bookmark138" </w:instrText>
          </w:r>
          <w:r>
            <w:fldChar w:fldCharType="separate"/>
          </w:r>
          <w:r>
            <w:rPr>
              <w:sz w:val="21"/>
              <w:szCs w:val="21"/>
            </w:rPr>
            <w:t>第一节</w:t>
          </w:r>
          <w:r>
            <w:rPr>
              <w:spacing w:val="48"/>
              <w:sz w:val="21"/>
              <w:szCs w:val="21"/>
            </w:rPr>
            <w:t xml:space="preserve"> </w:t>
          </w:r>
          <w:r>
            <w:rPr>
              <w:sz w:val="21"/>
              <w:szCs w:val="21"/>
            </w:rPr>
            <w:t>概</w:t>
          </w:r>
          <w:r>
            <w:rPr>
              <w:spacing w:val="-42"/>
              <w:sz w:val="21"/>
              <w:szCs w:val="21"/>
            </w:rPr>
            <w:t xml:space="preserve"> </w:t>
          </w:r>
          <w:r>
            <w:rPr>
              <w:sz w:val="21"/>
              <w:szCs w:val="21"/>
            </w:rPr>
            <w:t>述</w:t>
          </w:r>
          <w:r>
            <w:rPr>
              <w:spacing w:val="-82"/>
              <w:sz w:val="21"/>
              <w:szCs w:val="21"/>
            </w:rPr>
            <w:t xml:space="preserve"> </w:t>
          </w:r>
          <w:r>
            <w:rPr>
              <w:sz w:val="21"/>
              <w:szCs w:val="21"/>
            </w:rPr>
            <w:tab/>
          </w:r>
          <w:r>
            <w:rPr>
              <w:spacing w:val="-21"/>
              <w:sz w:val="21"/>
              <w:szCs w:val="21"/>
            </w:rPr>
            <w:t xml:space="preserve"> </w:t>
          </w:r>
          <w:r>
            <w:rPr>
              <w:rFonts w:ascii="Times New Roman" w:hAnsi="Times New Roman" w:eastAsia="Times New Roman" w:cs="Times New Roman"/>
              <w:spacing w:val="-6"/>
              <w:sz w:val="21"/>
              <w:szCs w:val="21"/>
            </w:rPr>
            <w:t>117</w:t>
          </w:r>
          <w:r>
            <w:rPr>
              <w:rFonts w:ascii="Times New Roman" w:hAnsi="Times New Roman" w:eastAsia="Times New Roman" w:cs="Times New Roman"/>
              <w:spacing w:val="-6"/>
              <w:sz w:val="21"/>
              <w:szCs w:val="21"/>
            </w:rPr>
            <w:fldChar w:fldCharType="end"/>
          </w:r>
        </w:p>
        <w:p w14:paraId="2DA9D74C">
          <w:pPr>
            <w:pStyle w:val="2"/>
            <w:tabs>
              <w:tab w:val="right" w:leader="dot" w:pos="9410"/>
            </w:tabs>
            <w:spacing w:before="141" w:line="222" w:lineRule="auto"/>
            <w:ind w:left="2129"/>
            <w:rPr>
              <w:rFonts w:ascii="Times New Roman" w:hAnsi="Times New Roman" w:eastAsia="Times New Roman" w:cs="Times New Roman"/>
              <w:sz w:val="21"/>
              <w:szCs w:val="21"/>
            </w:rPr>
          </w:pPr>
          <w:r>
            <w:fldChar w:fldCharType="begin"/>
          </w:r>
          <w:r>
            <w:instrText xml:space="preserve"> HYPERLINK \l "bookmark139" </w:instrText>
          </w:r>
          <w:r>
            <w:fldChar w:fldCharType="separate"/>
          </w:r>
          <w:r>
            <w:rPr>
              <w:spacing w:val="-10"/>
              <w:sz w:val="21"/>
              <w:szCs w:val="21"/>
            </w:rPr>
            <w:t>一</w:t>
          </w:r>
          <w:r>
            <w:rPr>
              <w:spacing w:val="-42"/>
              <w:sz w:val="21"/>
              <w:szCs w:val="21"/>
            </w:rPr>
            <w:t xml:space="preserve"> </w:t>
          </w:r>
          <w:r>
            <w:rPr>
              <w:spacing w:val="-10"/>
              <w:sz w:val="21"/>
              <w:szCs w:val="21"/>
            </w:rPr>
            <w:t>、病因与因果关系</w:t>
          </w:r>
          <w:r>
            <w:rPr>
              <w:spacing w:val="-80"/>
              <w:sz w:val="21"/>
              <w:szCs w:val="21"/>
            </w:rPr>
            <w:t xml:space="preserve"> </w:t>
          </w:r>
          <w:r>
            <w:rPr>
              <w:sz w:val="21"/>
              <w:szCs w:val="21"/>
            </w:rPr>
            <w:tab/>
          </w:r>
          <w:r>
            <w:rPr>
              <w:spacing w:val="-21"/>
              <w:sz w:val="21"/>
              <w:szCs w:val="21"/>
            </w:rPr>
            <w:t xml:space="preserve"> </w:t>
          </w:r>
          <w:r>
            <w:rPr>
              <w:rFonts w:ascii="Times New Roman" w:hAnsi="Times New Roman" w:eastAsia="Times New Roman" w:cs="Times New Roman"/>
              <w:spacing w:val="-6"/>
              <w:sz w:val="21"/>
              <w:szCs w:val="21"/>
            </w:rPr>
            <w:t>117</w:t>
          </w:r>
          <w:r>
            <w:rPr>
              <w:rFonts w:ascii="Times New Roman" w:hAnsi="Times New Roman" w:eastAsia="Times New Roman" w:cs="Times New Roman"/>
              <w:spacing w:val="-6"/>
              <w:sz w:val="21"/>
              <w:szCs w:val="21"/>
            </w:rPr>
            <w:fldChar w:fldCharType="end"/>
          </w:r>
        </w:p>
        <w:p w14:paraId="6E22E448">
          <w:pPr>
            <w:pStyle w:val="2"/>
            <w:tabs>
              <w:tab w:val="right" w:leader="dot" w:pos="9400"/>
            </w:tabs>
            <w:spacing w:before="148" w:line="223" w:lineRule="auto"/>
            <w:ind w:left="2129"/>
            <w:rPr>
              <w:rFonts w:ascii="Times New Roman" w:hAnsi="Times New Roman" w:eastAsia="Times New Roman" w:cs="Times New Roman"/>
              <w:sz w:val="21"/>
              <w:szCs w:val="21"/>
            </w:rPr>
          </w:pPr>
          <w:r>
            <w:fldChar w:fldCharType="begin"/>
          </w:r>
          <w:r>
            <w:instrText xml:space="preserve"> HYPERLINK \l "bookmark140" </w:instrText>
          </w:r>
          <w:r>
            <w:fldChar w:fldCharType="separate"/>
          </w:r>
          <w:r>
            <w:rPr>
              <w:spacing w:val="-11"/>
              <w:sz w:val="21"/>
              <w:szCs w:val="21"/>
            </w:rPr>
            <w:t>二</w:t>
          </w:r>
          <w:r>
            <w:rPr>
              <w:spacing w:val="-39"/>
              <w:sz w:val="21"/>
              <w:szCs w:val="21"/>
            </w:rPr>
            <w:t xml:space="preserve"> </w:t>
          </w:r>
          <w:r>
            <w:rPr>
              <w:spacing w:val="-11"/>
              <w:sz w:val="21"/>
              <w:szCs w:val="21"/>
            </w:rPr>
            <w:t>、因果关系的形式</w:t>
          </w:r>
          <w:r>
            <w:rPr>
              <w:spacing w:val="-74"/>
              <w:sz w:val="21"/>
              <w:szCs w:val="21"/>
            </w:rPr>
            <w:t xml:space="preserve"> </w:t>
          </w:r>
          <w:r>
            <w:rPr>
              <w:sz w:val="21"/>
              <w:szCs w:val="21"/>
            </w:rPr>
            <w:tab/>
          </w:r>
          <w:r>
            <w:rPr>
              <w:spacing w:val="-31"/>
              <w:sz w:val="21"/>
              <w:szCs w:val="21"/>
            </w:rPr>
            <w:t xml:space="preserve"> </w:t>
          </w:r>
          <w:r>
            <w:rPr>
              <w:rFonts w:ascii="Times New Roman" w:hAnsi="Times New Roman" w:eastAsia="Times New Roman" w:cs="Times New Roman"/>
              <w:spacing w:val="-6"/>
              <w:sz w:val="21"/>
              <w:szCs w:val="21"/>
            </w:rPr>
            <w:t>119</w:t>
          </w:r>
          <w:r>
            <w:rPr>
              <w:rFonts w:ascii="Times New Roman" w:hAnsi="Times New Roman" w:eastAsia="Times New Roman" w:cs="Times New Roman"/>
              <w:spacing w:val="-6"/>
              <w:sz w:val="21"/>
              <w:szCs w:val="21"/>
            </w:rPr>
            <w:fldChar w:fldCharType="end"/>
          </w:r>
        </w:p>
        <w:p w14:paraId="57924073">
          <w:pPr>
            <w:pStyle w:val="2"/>
            <w:tabs>
              <w:tab w:val="right" w:leader="dot" w:pos="9470"/>
            </w:tabs>
            <w:spacing w:before="116" w:line="223" w:lineRule="auto"/>
            <w:ind w:left="2129"/>
            <w:rPr>
              <w:rFonts w:ascii="Times New Roman" w:hAnsi="Times New Roman" w:eastAsia="Times New Roman" w:cs="Times New Roman"/>
              <w:sz w:val="21"/>
              <w:szCs w:val="21"/>
            </w:rPr>
          </w:pPr>
          <w:r>
            <w:fldChar w:fldCharType="begin"/>
          </w:r>
          <w:r>
            <w:instrText xml:space="preserve"> HYPERLINK \l "bookmark141" </w:instrText>
          </w:r>
          <w:r>
            <w:fldChar w:fldCharType="separate"/>
          </w:r>
          <w:r>
            <w:rPr>
              <w:spacing w:val="-8"/>
              <w:sz w:val="21"/>
              <w:szCs w:val="21"/>
            </w:rPr>
            <w:t>三</w:t>
          </w:r>
          <w:r>
            <w:rPr>
              <w:spacing w:val="-49"/>
              <w:sz w:val="21"/>
              <w:szCs w:val="21"/>
            </w:rPr>
            <w:t xml:space="preserve"> </w:t>
          </w:r>
          <w:r>
            <w:rPr>
              <w:spacing w:val="-8"/>
              <w:sz w:val="21"/>
              <w:szCs w:val="21"/>
            </w:rPr>
            <w:t>、因果关系与相关关系</w:t>
          </w:r>
          <w:r>
            <w:rPr>
              <w:spacing w:val="-84"/>
              <w:sz w:val="21"/>
              <w:szCs w:val="21"/>
            </w:rPr>
            <w:t xml:space="preserve"> </w:t>
          </w:r>
          <w:r>
            <w:rPr>
              <w:sz w:val="21"/>
              <w:szCs w:val="21"/>
            </w:rPr>
            <w:tab/>
          </w:r>
          <w:r>
            <w:rPr>
              <w:rFonts w:ascii="Times New Roman" w:hAnsi="Times New Roman" w:eastAsia="Times New Roman" w:cs="Times New Roman"/>
              <w:spacing w:val="-4"/>
              <w:sz w:val="21"/>
              <w:szCs w:val="21"/>
            </w:rPr>
            <w:t>119</w:t>
          </w:r>
          <w:r>
            <w:rPr>
              <w:rFonts w:ascii="Times New Roman" w:hAnsi="Times New Roman" w:eastAsia="Times New Roman" w:cs="Times New Roman"/>
              <w:spacing w:val="-4"/>
              <w:sz w:val="21"/>
              <w:szCs w:val="21"/>
            </w:rPr>
            <w:fldChar w:fldCharType="end"/>
          </w:r>
        </w:p>
        <w:p w14:paraId="2EAC26A7">
          <w:pPr>
            <w:pStyle w:val="2"/>
            <w:tabs>
              <w:tab w:val="right" w:leader="dot" w:pos="9470"/>
            </w:tabs>
            <w:spacing w:before="134" w:line="221" w:lineRule="auto"/>
            <w:ind w:left="1699"/>
            <w:rPr>
              <w:rFonts w:ascii="Times New Roman" w:hAnsi="Times New Roman" w:eastAsia="Times New Roman" w:cs="Times New Roman"/>
              <w:sz w:val="21"/>
              <w:szCs w:val="21"/>
            </w:rPr>
          </w:pPr>
          <w:r>
            <w:fldChar w:fldCharType="begin"/>
          </w:r>
          <w:r>
            <w:instrText xml:space="preserve"> HYPERLINK \l "bookmark142" </w:instrText>
          </w:r>
          <w:r>
            <w:fldChar w:fldCharType="separate"/>
          </w:r>
          <w:r>
            <w:rPr>
              <w:spacing w:val="7"/>
              <w:sz w:val="21"/>
              <w:szCs w:val="21"/>
            </w:rPr>
            <w:t>第二节 病因学说与病因模型</w:t>
          </w:r>
          <w:r>
            <w:rPr>
              <w:spacing w:val="-83"/>
              <w:sz w:val="21"/>
              <w:szCs w:val="21"/>
            </w:rPr>
            <w:t xml:space="preserve"> </w:t>
          </w:r>
          <w:r>
            <w:rPr>
              <w:sz w:val="21"/>
              <w:szCs w:val="21"/>
            </w:rPr>
            <w:tab/>
          </w:r>
          <w:r>
            <w:rPr>
              <w:rFonts w:ascii="Times New Roman" w:hAnsi="Times New Roman" w:eastAsia="Times New Roman" w:cs="Times New Roman"/>
              <w:spacing w:val="-4"/>
              <w:sz w:val="21"/>
              <w:szCs w:val="21"/>
            </w:rPr>
            <w:t>120</w:t>
          </w:r>
          <w:r>
            <w:rPr>
              <w:rFonts w:ascii="Times New Roman" w:hAnsi="Times New Roman" w:eastAsia="Times New Roman" w:cs="Times New Roman"/>
              <w:spacing w:val="-4"/>
              <w:sz w:val="21"/>
              <w:szCs w:val="21"/>
            </w:rPr>
            <w:fldChar w:fldCharType="end"/>
          </w:r>
        </w:p>
      </w:sdtContent>
    </w:sdt>
    <w:p w14:paraId="69B19C7D">
      <w:pPr>
        <w:spacing w:line="221" w:lineRule="auto"/>
        <w:rPr>
          <w:rFonts w:ascii="Times New Roman" w:hAnsi="Times New Roman" w:eastAsia="Times New Roman" w:cs="Times New Roman"/>
          <w:sz w:val="21"/>
          <w:szCs w:val="21"/>
        </w:rPr>
        <w:sectPr>
          <w:footerReference r:id="rId22" w:type="default"/>
          <w:pgSz w:w="11900" w:h="16820"/>
          <w:pgMar w:top="400" w:right="1662" w:bottom="586" w:left="750" w:header="0" w:footer="397" w:gutter="0"/>
          <w:cols w:space="720" w:num="1"/>
        </w:sectPr>
      </w:pPr>
    </w:p>
    <w:p w14:paraId="75B2D480">
      <w:pPr>
        <w:spacing w:line="415" w:lineRule="auto"/>
        <w:rPr>
          <w:rFonts w:ascii="Arial"/>
          <w:sz w:val="21"/>
        </w:rPr>
      </w:pPr>
    </w:p>
    <w:sdt>
      <w:sdtPr>
        <w:rPr>
          <w:rFonts w:ascii="黑体" w:hAnsi="黑体" w:eastAsia="黑体" w:cs="黑体"/>
          <w:sz w:val="17"/>
          <w:szCs w:val="17"/>
        </w:rPr>
        <w:id w:val="404201566"/>
        <w:docPartObj>
          <w:docPartGallery w:val="Table of Contents"/>
          <w:docPartUnique/>
        </w:docPartObj>
      </w:sdtPr>
      <w:sdtEndPr>
        <w:rPr>
          <w:rFonts w:ascii="Times New Roman" w:hAnsi="Times New Roman" w:eastAsia="Times New Roman" w:cs="Times New Roman"/>
          <w:sz w:val="22"/>
          <w:szCs w:val="22"/>
        </w:rPr>
      </w:sdtEndPr>
      <w:sdtContent>
        <w:p w14:paraId="50B20B49">
          <w:pPr>
            <w:pStyle w:val="2"/>
            <w:spacing w:before="55" w:line="222" w:lineRule="auto"/>
            <w:ind w:left="8749"/>
            <w:rPr>
              <w:sz w:val="17"/>
              <w:szCs w:val="17"/>
            </w:rPr>
          </w:pPr>
          <w:r>
            <w:rPr>
              <w:b/>
              <w:bCs/>
              <w:sz w:val="17"/>
              <w:szCs w:val="17"/>
            </w:rPr>
            <w:t>目录</w:t>
          </w:r>
        </w:p>
        <w:p w14:paraId="37588702">
          <w:pPr>
            <w:spacing w:line="255" w:lineRule="auto"/>
            <w:rPr>
              <w:rFonts w:ascii="Arial"/>
              <w:sz w:val="21"/>
            </w:rPr>
          </w:pPr>
        </w:p>
        <w:p w14:paraId="59D68070">
          <w:pPr>
            <w:spacing w:line="256" w:lineRule="auto"/>
            <w:rPr>
              <w:rFonts w:ascii="Arial"/>
              <w:sz w:val="21"/>
            </w:rPr>
          </w:pPr>
        </w:p>
        <w:p w14:paraId="369552B1">
          <w:pPr>
            <w:pStyle w:val="2"/>
            <w:tabs>
              <w:tab w:val="right" w:leader="dot" w:pos="9002"/>
            </w:tabs>
            <w:spacing w:before="72" w:line="222" w:lineRule="auto"/>
            <w:ind w:left="1429"/>
            <w:rPr>
              <w:rFonts w:ascii="Times New Roman" w:hAnsi="Times New Roman" w:eastAsia="Times New Roman" w:cs="Times New Roman"/>
              <w:sz w:val="22"/>
              <w:szCs w:val="22"/>
            </w:rPr>
          </w:pPr>
          <w:bookmarkStart w:id="4" w:name="bookmark143"/>
          <w:bookmarkEnd w:id="4"/>
          <w:r>
            <w:fldChar w:fldCharType="begin"/>
          </w:r>
          <w:r>
            <w:instrText xml:space="preserve"> HYPERLINK \l "bookmark144" </w:instrText>
          </w:r>
          <w:r>
            <w:fldChar w:fldCharType="separate"/>
          </w:r>
          <w:r>
            <w:rPr>
              <w:b/>
              <w:bCs/>
              <w:spacing w:val="-10"/>
              <w:sz w:val="22"/>
              <w:szCs w:val="22"/>
            </w:rPr>
            <w:t>一</w:t>
          </w:r>
          <w:r>
            <w:rPr>
              <w:spacing w:val="-36"/>
              <w:sz w:val="22"/>
              <w:szCs w:val="22"/>
            </w:rPr>
            <w:t xml:space="preserve"> </w:t>
          </w:r>
          <w:r>
            <w:rPr>
              <w:b/>
              <w:bCs/>
              <w:spacing w:val="-10"/>
              <w:sz w:val="22"/>
              <w:szCs w:val="22"/>
            </w:rPr>
            <w:t>、传染病病因的三角模型</w:t>
          </w:r>
          <w:r>
            <w:rPr>
              <w:b/>
              <w:bCs/>
              <w:sz w:val="22"/>
              <w:szCs w:val="22"/>
            </w:rPr>
            <w:tab/>
          </w:r>
          <w:r>
            <w:rPr>
              <w:spacing w:val="-60"/>
              <w:sz w:val="22"/>
              <w:szCs w:val="22"/>
            </w:rPr>
            <w:t xml:space="preserve"> </w:t>
          </w:r>
          <w:r>
            <w:rPr>
              <w:rFonts w:ascii="Times New Roman" w:hAnsi="Times New Roman" w:eastAsia="Times New Roman" w:cs="Times New Roman"/>
              <w:b/>
              <w:bCs/>
              <w:spacing w:val="-4"/>
              <w:sz w:val="22"/>
              <w:szCs w:val="22"/>
            </w:rPr>
            <w:t>120</w:t>
          </w:r>
          <w:r>
            <w:rPr>
              <w:rFonts w:ascii="Times New Roman" w:hAnsi="Times New Roman" w:eastAsia="Times New Roman" w:cs="Times New Roman"/>
              <w:b/>
              <w:bCs/>
              <w:spacing w:val="-4"/>
              <w:sz w:val="22"/>
              <w:szCs w:val="22"/>
            </w:rPr>
            <w:fldChar w:fldCharType="end"/>
          </w:r>
        </w:p>
        <w:p w14:paraId="7E30D948">
          <w:pPr>
            <w:pStyle w:val="2"/>
            <w:tabs>
              <w:tab w:val="right" w:leader="dot" w:pos="9042"/>
            </w:tabs>
            <w:spacing w:before="96" w:line="222" w:lineRule="auto"/>
            <w:ind w:left="1429"/>
            <w:rPr>
              <w:rFonts w:ascii="Times New Roman" w:hAnsi="Times New Roman" w:eastAsia="Times New Roman" w:cs="Times New Roman"/>
              <w:sz w:val="22"/>
              <w:szCs w:val="22"/>
            </w:rPr>
          </w:pPr>
          <w:r>
            <w:fldChar w:fldCharType="begin"/>
          </w:r>
          <w:r>
            <w:instrText xml:space="preserve"> HYPERLINK \l "bookmark145" </w:instrText>
          </w:r>
          <w:r>
            <w:fldChar w:fldCharType="separate"/>
          </w:r>
          <w:r>
            <w:rPr>
              <w:b/>
              <w:bCs/>
              <w:spacing w:val="-13"/>
              <w:sz w:val="22"/>
              <w:szCs w:val="22"/>
            </w:rPr>
            <w:t>二</w:t>
          </w:r>
          <w:r>
            <w:rPr>
              <w:spacing w:val="-51"/>
              <w:sz w:val="22"/>
              <w:szCs w:val="22"/>
            </w:rPr>
            <w:t xml:space="preserve"> </w:t>
          </w:r>
          <w:r>
            <w:rPr>
              <w:b/>
              <w:bCs/>
              <w:spacing w:val="-13"/>
              <w:sz w:val="22"/>
              <w:szCs w:val="22"/>
            </w:rPr>
            <w:t>、病因的轮状模型</w:t>
          </w:r>
          <w:r>
            <w:rPr>
              <w:spacing w:val="-77"/>
              <w:sz w:val="22"/>
              <w:szCs w:val="22"/>
            </w:rPr>
            <w:t xml:space="preserve"> </w:t>
          </w:r>
          <w:r>
            <w:rPr>
              <w:sz w:val="22"/>
              <w:szCs w:val="22"/>
            </w:rPr>
            <w:tab/>
          </w:r>
          <w:r>
            <w:rPr>
              <w:spacing w:val="-50"/>
              <w:sz w:val="22"/>
              <w:szCs w:val="22"/>
            </w:rPr>
            <w:t xml:space="preserve"> </w:t>
          </w:r>
          <w:r>
            <w:rPr>
              <w:rFonts w:ascii="Times New Roman" w:hAnsi="Times New Roman" w:eastAsia="Times New Roman" w:cs="Times New Roman"/>
              <w:b/>
              <w:bCs/>
              <w:spacing w:val="-4"/>
              <w:sz w:val="22"/>
              <w:szCs w:val="22"/>
            </w:rPr>
            <w:t>121</w:t>
          </w:r>
          <w:r>
            <w:rPr>
              <w:rFonts w:ascii="Times New Roman" w:hAnsi="Times New Roman" w:eastAsia="Times New Roman" w:cs="Times New Roman"/>
              <w:b/>
              <w:bCs/>
              <w:spacing w:val="-4"/>
              <w:sz w:val="22"/>
              <w:szCs w:val="22"/>
            </w:rPr>
            <w:fldChar w:fldCharType="end"/>
          </w:r>
        </w:p>
        <w:p w14:paraId="0BA2A934">
          <w:pPr>
            <w:pStyle w:val="2"/>
            <w:tabs>
              <w:tab w:val="right" w:leader="dot" w:pos="9052"/>
            </w:tabs>
            <w:spacing w:before="115" w:line="222" w:lineRule="auto"/>
            <w:ind w:left="1429"/>
            <w:rPr>
              <w:rFonts w:ascii="Times New Roman" w:hAnsi="Times New Roman" w:eastAsia="Times New Roman" w:cs="Times New Roman"/>
              <w:sz w:val="22"/>
              <w:szCs w:val="22"/>
            </w:rPr>
          </w:pPr>
          <w:r>
            <w:fldChar w:fldCharType="begin"/>
          </w:r>
          <w:r>
            <w:instrText xml:space="preserve"> HYPERLINK \l "bookmark146" </w:instrText>
          </w:r>
          <w:r>
            <w:fldChar w:fldCharType="separate"/>
          </w:r>
          <w:r>
            <w:rPr>
              <w:b/>
              <w:bCs/>
              <w:spacing w:val="-5"/>
              <w:sz w:val="22"/>
              <w:szCs w:val="22"/>
            </w:rPr>
            <w:t>三、健康决定因素的生态模型</w:t>
          </w:r>
          <w:r>
            <w:rPr>
              <w:b/>
              <w:bCs/>
              <w:sz w:val="22"/>
              <w:szCs w:val="22"/>
            </w:rPr>
            <w:tab/>
          </w:r>
          <w:r>
            <w:rPr>
              <w:spacing w:val="-20"/>
              <w:sz w:val="22"/>
              <w:szCs w:val="22"/>
            </w:rPr>
            <w:t xml:space="preserve"> </w:t>
          </w:r>
          <w:r>
            <w:rPr>
              <w:rFonts w:ascii="Times New Roman" w:hAnsi="Times New Roman" w:eastAsia="Times New Roman" w:cs="Times New Roman"/>
              <w:b/>
              <w:bCs/>
              <w:spacing w:val="-4"/>
              <w:sz w:val="22"/>
              <w:szCs w:val="22"/>
            </w:rPr>
            <w:t>121</w:t>
          </w:r>
          <w:r>
            <w:rPr>
              <w:rFonts w:ascii="Times New Roman" w:hAnsi="Times New Roman" w:eastAsia="Times New Roman" w:cs="Times New Roman"/>
              <w:b/>
              <w:bCs/>
              <w:spacing w:val="-4"/>
              <w:sz w:val="22"/>
              <w:szCs w:val="22"/>
            </w:rPr>
            <w:fldChar w:fldCharType="end"/>
          </w:r>
        </w:p>
        <w:p w14:paraId="1C5783E8">
          <w:pPr>
            <w:pStyle w:val="2"/>
            <w:tabs>
              <w:tab w:val="right" w:leader="dot" w:pos="9062"/>
            </w:tabs>
            <w:spacing w:before="106" w:line="222" w:lineRule="auto"/>
            <w:ind w:left="1429"/>
            <w:rPr>
              <w:rFonts w:ascii="Times New Roman" w:hAnsi="Times New Roman" w:eastAsia="Times New Roman" w:cs="Times New Roman"/>
              <w:sz w:val="22"/>
              <w:szCs w:val="22"/>
            </w:rPr>
          </w:pPr>
          <w:r>
            <w:fldChar w:fldCharType="begin"/>
          </w:r>
          <w:r>
            <w:instrText xml:space="preserve"> HYPERLINK \l "bookmark147" </w:instrText>
          </w:r>
          <w:r>
            <w:fldChar w:fldCharType="separate"/>
          </w:r>
          <w:r>
            <w:rPr>
              <w:b/>
              <w:bCs/>
              <w:spacing w:val="-10"/>
              <w:sz w:val="22"/>
              <w:szCs w:val="22"/>
            </w:rPr>
            <w:t>四、病因链</w:t>
          </w:r>
          <w:r>
            <w:rPr>
              <w:spacing w:val="-66"/>
              <w:sz w:val="22"/>
              <w:szCs w:val="22"/>
            </w:rPr>
            <w:t xml:space="preserve"> </w:t>
          </w:r>
          <w:r>
            <w:rPr>
              <w:sz w:val="22"/>
              <w:szCs w:val="22"/>
            </w:rPr>
            <w:tab/>
          </w:r>
          <w:r>
            <w:rPr>
              <w:spacing w:val="-40"/>
              <w:sz w:val="22"/>
              <w:szCs w:val="22"/>
            </w:rPr>
            <w:t xml:space="preserve"> </w:t>
          </w:r>
          <w:r>
            <w:rPr>
              <w:rFonts w:ascii="Times New Roman" w:hAnsi="Times New Roman" w:eastAsia="Times New Roman" w:cs="Times New Roman"/>
              <w:b/>
              <w:bCs/>
              <w:spacing w:val="-4"/>
              <w:sz w:val="22"/>
              <w:szCs w:val="22"/>
            </w:rPr>
            <w:t>122</w:t>
          </w:r>
          <w:r>
            <w:rPr>
              <w:rFonts w:ascii="Times New Roman" w:hAnsi="Times New Roman" w:eastAsia="Times New Roman" w:cs="Times New Roman"/>
              <w:b/>
              <w:bCs/>
              <w:spacing w:val="-4"/>
              <w:sz w:val="22"/>
              <w:szCs w:val="22"/>
            </w:rPr>
            <w:fldChar w:fldCharType="end"/>
          </w:r>
        </w:p>
        <w:p w14:paraId="6DCE19EA">
          <w:pPr>
            <w:pStyle w:val="2"/>
            <w:tabs>
              <w:tab w:val="right" w:leader="dot" w:pos="9022"/>
            </w:tabs>
            <w:spacing w:before="115" w:line="222" w:lineRule="auto"/>
            <w:ind w:left="1429"/>
            <w:rPr>
              <w:rFonts w:ascii="Times New Roman" w:hAnsi="Times New Roman" w:eastAsia="Times New Roman" w:cs="Times New Roman"/>
              <w:sz w:val="22"/>
              <w:szCs w:val="22"/>
            </w:rPr>
          </w:pPr>
          <w:r>
            <w:fldChar w:fldCharType="begin"/>
          </w:r>
          <w:r>
            <w:instrText xml:space="preserve"> HYPERLINK \l "bookmark148" </w:instrText>
          </w:r>
          <w:r>
            <w:fldChar w:fldCharType="separate"/>
          </w:r>
          <w:r>
            <w:rPr>
              <w:b/>
              <w:bCs/>
              <w:spacing w:val="-12"/>
              <w:sz w:val="22"/>
              <w:szCs w:val="22"/>
            </w:rPr>
            <w:t>五</w:t>
          </w:r>
          <w:r>
            <w:rPr>
              <w:spacing w:val="-51"/>
              <w:sz w:val="22"/>
              <w:szCs w:val="22"/>
            </w:rPr>
            <w:t xml:space="preserve"> </w:t>
          </w:r>
          <w:r>
            <w:rPr>
              <w:b/>
              <w:bCs/>
              <w:spacing w:val="-12"/>
              <w:sz w:val="22"/>
              <w:szCs w:val="22"/>
            </w:rPr>
            <w:t>、病因网</w:t>
          </w:r>
          <w:r>
            <w:rPr>
              <w:b/>
              <w:bCs/>
              <w:sz w:val="22"/>
              <w:szCs w:val="22"/>
            </w:rPr>
            <w:tab/>
          </w:r>
          <w:r>
            <w:rPr>
              <w:rFonts w:ascii="Times New Roman" w:hAnsi="Times New Roman" w:eastAsia="Times New Roman" w:cs="Times New Roman"/>
              <w:b/>
              <w:bCs/>
              <w:spacing w:val="1"/>
              <w:sz w:val="22"/>
              <w:szCs w:val="22"/>
            </w:rPr>
            <w:t>123</w:t>
          </w:r>
          <w:r>
            <w:rPr>
              <w:rFonts w:ascii="Times New Roman" w:hAnsi="Times New Roman" w:eastAsia="Times New Roman" w:cs="Times New Roman"/>
              <w:b/>
              <w:bCs/>
              <w:spacing w:val="1"/>
              <w:sz w:val="22"/>
              <w:szCs w:val="22"/>
            </w:rPr>
            <w:fldChar w:fldCharType="end"/>
          </w:r>
        </w:p>
        <w:p w14:paraId="7DB3E9ED">
          <w:pPr>
            <w:pStyle w:val="2"/>
            <w:tabs>
              <w:tab w:val="right" w:leader="dot" w:pos="9070"/>
            </w:tabs>
            <w:spacing w:before="109" w:line="222" w:lineRule="auto"/>
            <w:ind w:left="1426"/>
            <w:rPr>
              <w:rFonts w:ascii="Times New Roman" w:hAnsi="Times New Roman" w:eastAsia="Times New Roman" w:cs="Times New Roman"/>
              <w:sz w:val="22"/>
              <w:szCs w:val="22"/>
            </w:rPr>
          </w:pPr>
          <w:r>
            <w:fldChar w:fldCharType="begin"/>
          </w:r>
          <w:r>
            <w:instrText xml:space="preserve"> HYPERLINK \l "bookmark149" </w:instrText>
          </w:r>
          <w:r>
            <w:fldChar w:fldCharType="separate"/>
          </w:r>
          <w:r>
            <w:rPr>
              <w:spacing w:val="-11"/>
              <w:sz w:val="22"/>
              <w:szCs w:val="22"/>
            </w:rPr>
            <w:t>六</w:t>
          </w:r>
          <w:r>
            <w:rPr>
              <w:spacing w:val="-38"/>
              <w:sz w:val="22"/>
              <w:szCs w:val="22"/>
            </w:rPr>
            <w:t xml:space="preserve"> </w:t>
          </w:r>
          <w:r>
            <w:rPr>
              <w:spacing w:val="-11"/>
              <w:sz w:val="22"/>
              <w:szCs w:val="22"/>
            </w:rPr>
            <w:t>、病因模型的比较</w:t>
          </w:r>
          <w:r>
            <w:rPr>
              <w:spacing w:val="-74"/>
              <w:sz w:val="22"/>
              <w:szCs w:val="22"/>
            </w:rPr>
            <w:t xml:space="preserve"> </w:t>
          </w:r>
          <w:r>
            <w:rPr>
              <w:sz w:val="22"/>
              <w:szCs w:val="22"/>
            </w:rPr>
            <w:tab/>
          </w:r>
          <w:r>
            <w:rPr>
              <w:spacing w:val="-16"/>
              <w:sz w:val="22"/>
              <w:szCs w:val="22"/>
            </w:rPr>
            <w:t xml:space="preserve"> </w:t>
          </w:r>
          <w:r>
            <w:rPr>
              <w:rFonts w:ascii="Times New Roman" w:hAnsi="Times New Roman" w:eastAsia="Times New Roman" w:cs="Times New Roman"/>
              <w:spacing w:val="-6"/>
              <w:sz w:val="22"/>
              <w:szCs w:val="22"/>
            </w:rPr>
            <w:t>123</w:t>
          </w:r>
          <w:r>
            <w:rPr>
              <w:rFonts w:ascii="Times New Roman" w:hAnsi="Times New Roman" w:eastAsia="Times New Roman" w:cs="Times New Roman"/>
              <w:spacing w:val="-6"/>
              <w:sz w:val="22"/>
              <w:szCs w:val="22"/>
            </w:rPr>
            <w:fldChar w:fldCharType="end"/>
          </w:r>
        </w:p>
        <w:p w14:paraId="018F290C">
          <w:pPr>
            <w:pStyle w:val="2"/>
            <w:tabs>
              <w:tab w:val="right" w:leader="dot" w:pos="9030"/>
            </w:tabs>
            <w:spacing w:before="114" w:line="222" w:lineRule="auto"/>
            <w:ind w:left="1006"/>
            <w:rPr>
              <w:rFonts w:ascii="Times New Roman" w:hAnsi="Times New Roman" w:eastAsia="Times New Roman" w:cs="Times New Roman"/>
              <w:sz w:val="22"/>
              <w:szCs w:val="22"/>
            </w:rPr>
          </w:pPr>
          <w:r>
            <w:fldChar w:fldCharType="begin"/>
          </w:r>
          <w:r>
            <w:instrText xml:space="preserve"> HYPERLINK \l "bookmark150" </w:instrText>
          </w:r>
          <w:r>
            <w:fldChar w:fldCharType="separate"/>
          </w:r>
          <w:r>
            <w:rPr>
              <w:spacing w:val="4"/>
              <w:sz w:val="22"/>
              <w:szCs w:val="22"/>
            </w:rPr>
            <w:t>第三节 充分病因-组分病因模型</w:t>
          </w:r>
          <w:r>
            <w:rPr>
              <w:spacing w:val="-91"/>
              <w:sz w:val="22"/>
              <w:szCs w:val="22"/>
            </w:rPr>
            <w:t xml:space="preserve"> </w:t>
          </w:r>
          <w:r>
            <w:rPr>
              <w:sz w:val="22"/>
              <w:szCs w:val="22"/>
            </w:rPr>
            <w:tab/>
          </w:r>
          <w:r>
            <w:rPr>
              <w:rFonts w:ascii="Times New Roman" w:hAnsi="Times New Roman" w:eastAsia="Times New Roman" w:cs="Times New Roman"/>
              <w:spacing w:val="-5"/>
              <w:sz w:val="22"/>
              <w:szCs w:val="22"/>
            </w:rPr>
            <w:t>124</w:t>
          </w:r>
          <w:r>
            <w:rPr>
              <w:rFonts w:ascii="Times New Roman" w:hAnsi="Times New Roman" w:eastAsia="Times New Roman" w:cs="Times New Roman"/>
              <w:spacing w:val="-5"/>
              <w:sz w:val="22"/>
              <w:szCs w:val="22"/>
            </w:rPr>
            <w:fldChar w:fldCharType="end"/>
          </w:r>
        </w:p>
        <w:p w14:paraId="52ACAB65">
          <w:pPr>
            <w:pStyle w:val="2"/>
            <w:tabs>
              <w:tab w:val="right" w:leader="dot" w:pos="9000"/>
            </w:tabs>
            <w:spacing w:before="105" w:line="221" w:lineRule="auto"/>
            <w:ind w:left="1426"/>
            <w:rPr>
              <w:rFonts w:ascii="Times New Roman" w:hAnsi="Times New Roman" w:eastAsia="Times New Roman" w:cs="Times New Roman"/>
              <w:sz w:val="22"/>
              <w:szCs w:val="22"/>
            </w:rPr>
          </w:pPr>
          <w:r>
            <w:fldChar w:fldCharType="begin"/>
          </w:r>
          <w:r>
            <w:instrText xml:space="preserve"> HYPERLINK \l "bookmark151" </w:instrText>
          </w:r>
          <w:r>
            <w:fldChar w:fldCharType="separate"/>
          </w:r>
          <w:r>
            <w:rPr>
              <w:spacing w:val="-5"/>
              <w:sz w:val="22"/>
              <w:szCs w:val="22"/>
            </w:rPr>
            <w:t>一</w:t>
          </w:r>
          <w:r>
            <w:rPr>
              <w:spacing w:val="-48"/>
              <w:sz w:val="22"/>
              <w:szCs w:val="22"/>
            </w:rPr>
            <w:t xml:space="preserve"> </w:t>
          </w:r>
          <w:r>
            <w:rPr>
              <w:spacing w:val="-5"/>
              <w:sz w:val="22"/>
              <w:szCs w:val="22"/>
            </w:rPr>
            <w:t>、新的病因观</w:t>
          </w:r>
          <w:r>
            <w:rPr>
              <w:spacing w:val="-88"/>
              <w:sz w:val="22"/>
              <w:szCs w:val="22"/>
            </w:rPr>
            <w:t xml:space="preserve"> </w:t>
          </w:r>
          <w:r>
            <w:rPr>
              <w:sz w:val="22"/>
              <w:szCs w:val="22"/>
            </w:rPr>
            <w:tab/>
          </w:r>
          <w:r>
            <w:rPr>
              <w:rFonts w:ascii="Times New Roman" w:hAnsi="Times New Roman" w:eastAsia="Times New Roman" w:cs="Times New Roman"/>
              <w:spacing w:val="-5"/>
              <w:sz w:val="22"/>
              <w:szCs w:val="22"/>
            </w:rPr>
            <w:t>124</w:t>
          </w:r>
          <w:r>
            <w:rPr>
              <w:rFonts w:ascii="Times New Roman" w:hAnsi="Times New Roman" w:eastAsia="Times New Roman" w:cs="Times New Roman"/>
              <w:spacing w:val="-5"/>
              <w:sz w:val="22"/>
              <w:szCs w:val="22"/>
            </w:rPr>
            <w:fldChar w:fldCharType="end"/>
          </w:r>
        </w:p>
        <w:p w14:paraId="04AAD46F">
          <w:pPr>
            <w:pStyle w:val="2"/>
            <w:tabs>
              <w:tab w:val="right" w:leader="dot" w:pos="9040"/>
            </w:tabs>
            <w:spacing w:before="118" w:line="222" w:lineRule="auto"/>
            <w:ind w:left="1426"/>
            <w:rPr>
              <w:rFonts w:ascii="Times New Roman" w:hAnsi="Times New Roman" w:eastAsia="Times New Roman" w:cs="Times New Roman"/>
              <w:sz w:val="22"/>
              <w:szCs w:val="22"/>
            </w:rPr>
          </w:pPr>
          <w:r>
            <w:fldChar w:fldCharType="begin"/>
          </w:r>
          <w:r>
            <w:instrText xml:space="preserve"> HYPERLINK \l "bookmark152" </w:instrText>
          </w:r>
          <w:r>
            <w:fldChar w:fldCharType="separate"/>
          </w:r>
          <w:r>
            <w:rPr>
              <w:spacing w:val="-9"/>
              <w:sz w:val="22"/>
              <w:szCs w:val="22"/>
            </w:rPr>
            <w:t>二</w:t>
          </w:r>
          <w:r>
            <w:rPr>
              <w:spacing w:val="-56"/>
              <w:sz w:val="22"/>
              <w:szCs w:val="22"/>
            </w:rPr>
            <w:t xml:space="preserve"> </w:t>
          </w:r>
          <w:r>
            <w:rPr>
              <w:spacing w:val="-9"/>
              <w:sz w:val="22"/>
              <w:szCs w:val="22"/>
            </w:rPr>
            <w:t>、充分病因和组分病因</w:t>
          </w:r>
          <w:r>
            <w:rPr>
              <w:spacing w:val="-87"/>
              <w:sz w:val="22"/>
              <w:szCs w:val="22"/>
            </w:rPr>
            <w:t xml:space="preserve"> </w:t>
          </w:r>
          <w:r>
            <w:rPr>
              <w:sz w:val="22"/>
              <w:szCs w:val="22"/>
            </w:rPr>
            <w:tab/>
          </w:r>
          <w:r>
            <w:rPr>
              <w:spacing w:val="-16"/>
              <w:sz w:val="22"/>
              <w:szCs w:val="22"/>
            </w:rPr>
            <w:t xml:space="preserve"> </w:t>
          </w:r>
          <w:r>
            <w:rPr>
              <w:rFonts w:ascii="Times New Roman" w:hAnsi="Times New Roman" w:eastAsia="Times New Roman" w:cs="Times New Roman"/>
              <w:spacing w:val="-6"/>
              <w:sz w:val="22"/>
              <w:szCs w:val="22"/>
            </w:rPr>
            <w:t>125</w:t>
          </w:r>
          <w:r>
            <w:rPr>
              <w:rFonts w:ascii="Times New Roman" w:hAnsi="Times New Roman" w:eastAsia="Times New Roman" w:cs="Times New Roman"/>
              <w:spacing w:val="-6"/>
              <w:sz w:val="22"/>
              <w:szCs w:val="22"/>
            </w:rPr>
            <w:fldChar w:fldCharType="end"/>
          </w:r>
        </w:p>
        <w:p w14:paraId="087B7CF8">
          <w:pPr>
            <w:pStyle w:val="2"/>
            <w:tabs>
              <w:tab w:val="right" w:leader="dot" w:pos="8990"/>
            </w:tabs>
            <w:spacing w:before="106" w:line="222" w:lineRule="auto"/>
            <w:ind w:left="1426"/>
            <w:rPr>
              <w:rFonts w:ascii="Times New Roman" w:hAnsi="Times New Roman" w:eastAsia="Times New Roman" w:cs="Times New Roman"/>
              <w:sz w:val="22"/>
              <w:szCs w:val="22"/>
            </w:rPr>
          </w:pPr>
          <w:r>
            <w:fldChar w:fldCharType="begin"/>
          </w:r>
          <w:r>
            <w:instrText xml:space="preserve"> HYPERLINK \l "bookmark153" </w:instrText>
          </w:r>
          <w:r>
            <w:fldChar w:fldCharType="separate"/>
          </w:r>
          <w:r>
            <w:rPr>
              <w:spacing w:val="-6"/>
              <w:sz w:val="22"/>
              <w:szCs w:val="22"/>
            </w:rPr>
            <w:t>三</w:t>
          </w:r>
          <w:r>
            <w:rPr>
              <w:spacing w:val="-34"/>
              <w:sz w:val="22"/>
              <w:szCs w:val="22"/>
            </w:rPr>
            <w:t xml:space="preserve"> </w:t>
          </w:r>
          <w:r>
            <w:rPr>
              <w:spacing w:val="-6"/>
              <w:sz w:val="22"/>
              <w:szCs w:val="22"/>
            </w:rPr>
            <w:t>、充分病因-组分病因模型的应用</w:t>
          </w:r>
          <w:r>
            <w:rPr>
              <w:sz w:val="22"/>
              <w:szCs w:val="22"/>
            </w:rPr>
            <w:tab/>
          </w:r>
          <w:r>
            <w:rPr>
              <w:rFonts w:ascii="Times New Roman" w:hAnsi="Times New Roman" w:eastAsia="Times New Roman" w:cs="Times New Roman"/>
              <w:spacing w:val="-5"/>
              <w:sz w:val="22"/>
              <w:szCs w:val="22"/>
            </w:rPr>
            <w:t>126</w:t>
          </w:r>
          <w:r>
            <w:rPr>
              <w:rFonts w:ascii="Times New Roman" w:hAnsi="Times New Roman" w:eastAsia="Times New Roman" w:cs="Times New Roman"/>
              <w:spacing w:val="-5"/>
              <w:sz w:val="22"/>
              <w:szCs w:val="22"/>
            </w:rPr>
            <w:fldChar w:fldCharType="end"/>
          </w:r>
        </w:p>
        <w:p w14:paraId="5D8BB427">
          <w:pPr>
            <w:pStyle w:val="2"/>
            <w:tabs>
              <w:tab w:val="right" w:leader="dot" w:pos="9050"/>
            </w:tabs>
            <w:spacing w:before="113" w:line="221" w:lineRule="auto"/>
            <w:ind w:left="1006"/>
            <w:rPr>
              <w:rFonts w:ascii="Times New Roman" w:hAnsi="Times New Roman" w:eastAsia="Times New Roman" w:cs="Times New Roman"/>
              <w:sz w:val="22"/>
              <w:szCs w:val="22"/>
            </w:rPr>
          </w:pPr>
          <w:r>
            <w:fldChar w:fldCharType="begin"/>
          </w:r>
          <w:r>
            <w:instrText xml:space="preserve"> HYPERLINK \l "bookmark154" </w:instrText>
          </w:r>
          <w:r>
            <w:fldChar w:fldCharType="separate"/>
          </w:r>
          <w:r>
            <w:rPr>
              <w:spacing w:val="5"/>
              <w:sz w:val="22"/>
              <w:szCs w:val="22"/>
            </w:rPr>
            <w:t>第四节 发现和验证因果关系</w:t>
          </w:r>
          <w:r>
            <w:rPr>
              <w:spacing w:val="-96"/>
              <w:sz w:val="22"/>
              <w:szCs w:val="22"/>
            </w:rPr>
            <w:t xml:space="preserve"> </w:t>
          </w:r>
          <w:r>
            <w:rPr>
              <w:sz w:val="22"/>
              <w:szCs w:val="22"/>
            </w:rPr>
            <w:tab/>
          </w:r>
          <w:r>
            <w:rPr>
              <w:spacing w:val="-16"/>
              <w:sz w:val="22"/>
              <w:szCs w:val="22"/>
            </w:rPr>
            <w:t xml:space="preserve"> </w:t>
          </w:r>
          <w:r>
            <w:rPr>
              <w:rFonts w:ascii="Times New Roman" w:hAnsi="Times New Roman" w:eastAsia="Times New Roman" w:cs="Times New Roman"/>
              <w:spacing w:val="-6"/>
              <w:sz w:val="22"/>
              <w:szCs w:val="22"/>
            </w:rPr>
            <w:t>127</w:t>
          </w:r>
          <w:r>
            <w:rPr>
              <w:rFonts w:ascii="Times New Roman" w:hAnsi="Times New Roman" w:eastAsia="Times New Roman" w:cs="Times New Roman"/>
              <w:spacing w:val="-6"/>
              <w:sz w:val="22"/>
              <w:szCs w:val="22"/>
            </w:rPr>
            <w:fldChar w:fldCharType="end"/>
          </w:r>
        </w:p>
        <w:p w14:paraId="003E6C5B">
          <w:pPr>
            <w:pStyle w:val="2"/>
            <w:tabs>
              <w:tab w:val="right" w:leader="dot" w:pos="9010"/>
            </w:tabs>
            <w:spacing w:before="107" w:line="222" w:lineRule="auto"/>
            <w:ind w:left="1426"/>
            <w:rPr>
              <w:rFonts w:ascii="Times New Roman" w:hAnsi="Times New Roman" w:eastAsia="Times New Roman" w:cs="Times New Roman"/>
              <w:sz w:val="22"/>
              <w:szCs w:val="22"/>
            </w:rPr>
          </w:pPr>
          <w:r>
            <w:fldChar w:fldCharType="begin"/>
          </w:r>
          <w:r>
            <w:instrText xml:space="preserve"> HYPERLINK \l "bookmark155" </w:instrText>
          </w:r>
          <w:r>
            <w:fldChar w:fldCharType="separate"/>
          </w:r>
          <w:r>
            <w:rPr>
              <w:spacing w:val="-10"/>
              <w:sz w:val="22"/>
              <w:szCs w:val="22"/>
            </w:rPr>
            <w:t>一</w:t>
          </w:r>
          <w:r>
            <w:rPr>
              <w:spacing w:val="-48"/>
              <w:sz w:val="22"/>
              <w:szCs w:val="22"/>
            </w:rPr>
            <w:t xml:space="preserve"> </w:t>
          </w:r>
          <w:r>
            <w:rPr>
              <w:spacing w:val="-10"/>
              <w:sz w:val="22"/>
              <w:szCs w:val="22"/>
            </w:rPr>
            <w:t>、提出因果假设</w:t>
          </w:r>
          <w:r>
            <w:rPr>
              <w:spacing w:val="-73"/>
              <w:sz w:val="22"/>
              <w:szCs w:val="22"/>
            </w:rPr>
            <w:t xml:space="preserve"> </w:t>
          </w:r>
          <w:r>
            <w:rPr>
              <w:sz w:val="22"/>
              <w:szCs w:val="22"/>
            </w:rPr>
            <w:tab/>
          </w:r>
          <w:r>
            <w:rPr>
              <w:rFonts w:ascii="Times New Roman" w:hAnsi="Times New Roman" w:eastAsia="Times New Roman" w:cs="Times New Roman"/>
              <w:spacing w:val="-1"/>
              <w:sz w:val="22"/>
              <w:szCs w:val="22"/>
            </w:rPr>
            <w:t>127</w:t>
          </w:r>
          <w:r>
            <w:rPr>
              <w:rFonts w:ascii="Times New Roman" w:hAnsi="Times New Roman" w:eastAsia="Times New Roman" w:cs="Times New Roman"/>
              <w:spacing w:val="-1"/>
              <w:sz w:val="22"/>
              <w:szCs w:val="22"/>
            </w:rPr>
            <w:fldChar w:fldCharType="end"/>
          </w:r>
        </w:p>
        <w:p w14:paraId="38B57CF2">
          <w:pPr>
            <w:pStyle w:val="2"/>
            <w:tabs>
              <w:tab w:val="right" w:leader="dot" w:pos="9040"/>
            </w:tabs>
            <w:spacing w:before="115" w:line="221" w:lineRule="auto"/>
            <w:ind w:left="1426"/>
            <w:rPr>
              <w:rFonts w:ascii="Times New Roman" w:hAnsi="Times New Roman" w:eastAsia="Times New Roman" w:cs="Times New Roman"/>
              <w:sz w:val="22"/>
              <w:szCs w:val="22"/>
            </w:rPr>
          </w:pPr>
          <w:r>
            <w:fldChar w:fldCharType="begin"/>
          </w:r>
          <w:r>
            <w:instrText xml:space="preserve"> HYPERLINK \l "bookmark156" </w:instrText>
          </w:r>
          <w:r>
            <w:fldChar w:fldCharType="separate"/>
          </w:r>
          <w:r>
            <w:rPr>
              <w:spacing w:val="-8"/>
              <w:sz w:val="22"/>
              <w:szCs w:val="22"/>
            </w:rPr>
            <w:t>二</w:t>
          </w:r>
          <w:r>
            <w:rPr>
              <w:spacing w:val="-56"/>
              <w:sz w:val="22"/>
              <w:szCs w:val="22"/>
            </w:rPr>
            <w:t xml:space="preserve"> </w:t>
          </w:r>
          <w:r>
            <w:rPr>
              <w:spacing w:val="-8"/>
              <w:sz w:val="22"/>
              <w:szCs w:val="22"/>
            </w:rPr>
            <w:t>、因果推断的逻辑方法</w:t>
          </w:r>
          <w:r>
            <w:rPr>
              <w:spacing w:val="-77"/>
              <w:sz w:val="22"/>
              <w:szCs w:val="22"/>
            </w:rPr>
            <w:t xml:space="preserve"> </w:t>
          </w:r>
          <w:r>
            <w:rPr>
              <w:sz w:val="22"/>
              <w:szCs w:val="22"/>
            </w:rPr>
            <w:tab/>
          </w:r>
          <w:r>
            <w:rPr>
              <w:spacing w:val="-36"/>
              <w:sz w:val="22"/>
              <w:szCs w:val="22"/>
            </w:rPr>
            <w:t xml:space="preserve"> </w:t>
          </w:r>
          <w:r>
            <w:rPr>
              <w:rFonts w:ascii="Times New Roman" w:hAnsi="Times New Roman" w:eastAsia="Times New Roman" w:cs="Times New Roman"/>
              <w:spacing w:val="-6"/>
              <w:sz w:val="22"/>
              <w:szCs w:val="22"/>
            </w:rPr>
            <w:t>128</w:t>
          </w:r>
          <w:r>
            <w:rPr>
              <w:rFonts w:ascii="Times New Roman" w:hAnsi="Times New Roman" w:eastAsia="Times New Roman" w:cs="Times New Roman"/>
              <w:spacing w:val="-6"/>
              <w:sz w:val="22"/>
              <w:szCs w:val="22"/>
            </w:rPr>
            <w:fldChar w:fldCharType="end"/>
          </w:r>
        </w:p>
        <w:p w14:paraId="0F595F06">
          <w:pPr>
            <w:pStyle w:val="2"/>
            <w:tabs>
              <w:tab w:val="right" w:leader="dot" w:pos="9050"/>
            </w:tabs>
            <w:spacing w:before="107" w:line="222" w:lineRule="auto"/>
            <w:ind w:left="1426"/>
            <w:rPr>
              <w:rFonts w:ascii="Times New Roman" w:hAnsi="Times New Roman" w:eastAsia="Times New Roman" w:cs="Times New Roman"/>
              <w:sz w:val="22"/>
              <w:szCs w:val="22"/>
            </w:rPr>
          </w:pPr>
          <w:r>
            <w:fldChar w:fldCharType="begin"/>
          </w:r>
          <w:r>
            <w:instrText xml:space="preserve"> HYPERLINK \l "bookmark157" </w:instrText>
          </w:r>
          <w:r>
            <w:fldChar w:fldCharType="separate"/>
          </w:r>
          <w:r>
            <w:rPr>
              <w:spacing w:val="-11"/>
              <w:sz w:val="22"/>
              <w:szCs w:val="22"/>
            </w:rPr>
            <w:t>三</w:t>
          </w:r>
          <w:r>
            <w:rPr>
              <w:spacing w:val="-50"/>
              <w:sz w:val="22"/>
              <w:szCs w:val="22"/>
            </w:rPr>
            <w:t xml:space="preserve"> </w:t>
          </w:r>
          <w:r>
            <w:rPr>
              <w:spacing w:val="-11"/>
              <w:sz w:val="22"/>
              <w:szCs w:val="22"/>
            </w:rPr>
            <w:t>、验证因果假设</w:t>
          </w:r>
          <w:r>
            <w:rPr>
              <w:spacing w:val="-73"/>
              <w:sz w:val="22"/>
              <w:szCs w:val="22"/>
            </w:rPr>
            <w:t xml:space="preserve"> </w:t>
          </w:r>
          <w:r>
            <w:rPr>
              <w:sz w:val="22"/>
              <w:szCs w:val="22"/>
            </w:rPr>
            <w:tab/>
          </w:r>
          <w:r>
            <w:rPr>
              <w:spacing w:val="-36"/>
              <w:sz w:val="22"/>
              <w:szCs w:val="22"/>
            </w:rPr>
            <w:t xml:space="preserve"> </w:t>
          </w:r>
          <w:r>
            <w:rPr>
              <w:rFonts w:ascii="Times New Roman" w:hAnsi="Times New Roman" w:eastAsia="Times New Roman" w:cs="Times New Roman"/>
              <w:spacing w:val="-6"/>
              <w:sz w:val="22"/>
              <w:szCs w:val="22"/>
            </w:rPr>
            <w:t>129</w:t>
          </w:r>
          <w:r>
            <w:rPr>
              <w:rFonts w:ascii="Times New Roman" w:hAnsi="Times New Roman" w:eastAsia="Times New Roman" w:cs="Times New Roman"/>
              <w:spacing w:val="-6"/>
              <w:sz w:val="22"/>
              <w:szCs w:val="22"/>
            </w:rPr>
            <w:fldChar w:fldCharType="end"/>
          </w:r>
        </w:p>
        <w:p w14:paraId="3B5E81D8">
          <w:pPr>
            <w:pStyle w:val="2"/>
            <w:tabs>
              <w:tab w:val="right" w:leader="dot" w:pos="9000"/>
            </w:tabs>
            <w:spacing w:before="106" w:line="222" w:lineRule="auto"/>
            <w:ind w:left="1006"/>
            <w:rPr>
              <w:rFonts w:ascii="Times New Roman" w:hAnsi="Times New Roman" w:eastAsia="Times New Roman" w:cs="Times New Roman"/>
              <w:sz w:val="22"/>
              <w:szCs w:val="22"/>
            </w:rPr>
          </w:pPr>
          <w:r>
            <w:fldChar w:fldCharType="begin"/>
          </w:r>
          <w:r>
            <w:instrText xml:space="preserve"> HYPERLINK \l "bookmark158" </w:instrText>
          </w:r>
          <w:r>
            <w:fldChar w:fldCharType="separate"/>
          </w:r>
          <w:r>
            <w:rPr>
              <w:spacing w:val="5"/>
              <w:sz w:val="22"/>
              <w:szCs w:val="22"/>
            </w:rPr>
            <w:t>第五节</w:t>
          </w:r>
          <w:r>
            <w:rPr>
              <w:spacing w:val="41"/>
              <w:sz w:val="22"/>
              <w:szCs w:val="22"/>
            </w:rPr>
            <w:t xml:space="preserve"> </w:t>
          </w:r>
          <w:r>
            <w:rPr>
              <w:spacing w:val="5"/>
              <w:sz w:val="22"/>
              <w:szCs w:val="22"/>
            </w:rPr>
            <w:t>因果关系推论</w:t>
          </w:r>
          <w:r>
            <w:rPr>
              <w:spacing w:val="-88"/>
              <w:sz w:val="22"/>
              <w:szCs w:val="22"/>
            </w:rPr>
            <w:t xml:space="preserve"> </w:t>
          </w:r>
          <w:r>
            <w:rPr>
              <w:sz w:val="22"/>
              <w:szCs w:val="22"/>
            </w:rPr>
            <w:tab/>
          </w:r>
          <w:r>
            <w:rPr>
              <w:rFonts w:ascii="Times New Roman" w:hAnsi="Times New Roman" w:eastAsia="Times New Roman" w:cs="Times New Roman"/>
              <w:spacing w:val="-3"/>
              <w:sz w:val="22"/>
              <w:szCs w:val="22"/>
            </w:rPr>
            <w:t>130</w:t>
          </w:r>
          <w:r>
            <w:rPr>
              <w:rFonts w:ascii="Times New Roman" w:hAnsi="Times New Roman" w:eastAsia="Times New Roman" w:cs="Times New Roman"/>
              <w:spacing w:val="-3"/>
              <w:sz w:val="22"/>
              <w:szCs w:val="22"/>
            </w:rPr>
            <w:fldChar w:fldCharType="end"/>
          </w:r>
        </w:p>
        <w:p w14:paraId="396F37EB">
          <w:pPr>
            <w:pStyle w:val="2"/>
            <w:tabs>
              <w:tab w:val="right" w:leader="dot" w:pos="9070"/>
            </w:tabs>
            <w:spacing w:before="105" w:line="221" w:lineRule="auto"/>
            <w:ind w:left="1426"/>
            <w:rPr>
              <w:rFonts w:ascii="Times New Roman" w:hAnsi="Times New Roman" w:eastAsia="Times New Roman" w:cs="Times New Roman"/>
              <w:sz w:val="22"/>
              <w:szCs w:val="22"/>
            </w:rPr>
          </w:pPr>
          <w:r>
            <w:fldChar w:fldCharType="begin"/>
          </w:r>
          <w:r>
            <w:instrText xml:space="preserve"> HYPERLINK \l "bookmark159" </w:instrText>
          </w:r>
          <w:r>
            <w:fldChar w:fldCharType="separate"/>
          </w:r>
          <w:r>
            <w:rPr>
              <w:spacing w:val="-9"/>
              <w:sz w:val="22"/>
              <w:szCs w:val="22"/>
            </w:rPr>
            <w:t>一</w:t>
          </w:r>
          <w:r>
            <w:rPr>
              <w:spacing w:val="-52"/>
              <w:sz w:val="22"/>
              <w:szCs w:val="22"/>
            </w:rPr>
            <w:t xml:space="preserve"> </w:t>
          </w:r>
          <w:r>
            <w:rPr>
              <w:spacing w:val="-9"/>
              <w:sz w:val="22"/>
              <w:szCs w:val="22"/>
            </w:rPr>
            <w:t>、科学推论的一般原则</w:t>
          </w:r>
          <w:r>
            <w:rPr>
              <w:spacing w:val="-91"/>
              <w:sz w:val="22"/>
              <w:szCs w:val="22"/>
            </w:rPr>
            <w:t xml:space="preserve"> </w:t>
          </w:r>
          <w:r>
            <w:rPr>
              <w:sz w:val="22"/>
              <w:szCs w:val="22"/>
            </w:rPr>
            <w:tab/>
          </w:r>
          <w:r>
            <w:rPr>
              <w:rFonts w:ascii="Times New Roman" w:hAnsi="Times New Roman" w:eastAsia="Times New Roman" w:cs="Times New Roman"/>
              <w:spacing w:val="-5"/>
              <w:sz w:val="22"/>
              <w:szCs w:val="22"/>
            </w:rPr>
            <w:t>131</w:t>
          </w:r>
          <w:r>
            <w:rPr>
              <w:rFonts w:ascii="Times New Roman" w:hAnsi="Times New Roman" w:eastAsia="Times New Roman" w:cs="Times New Roman"/>
              <w:spacing w:val="-5"/>
              <w:sz w:val="22"/>
              <w:szCs w:val="22"/>
            </w:rPr>
            <w:fldChar w:fldCharType="end"/>
          </w:r>
        </w:p>
        <w:p w14:paraId="0C871270">
          <w:pPr>
            <w:pStyle w:val="2"/>
            <w:tabs>
              <w:tab w:val="right" w:leader="dot" w:pos="9040"/>
            </w:tabs>
            <w:spacing w:before="107" w:line="222" w:lineRule="auto"/>
            <w:ind w:left="1426"/>
            <w:rPr>
              <w:rFonts w:ascii="Times New Roman" w:hAnsi="Times New Roman" w:eastAsia="Times New Roman" w:cs="Times New Roman"/>
              <w:sz w:val="22"/>
              <w:szCs w:val="22"/>
            </w:rPr>
          </w:pPr>
          <w:r>
            <w:fldChar w:fldCharType="begin"/>
          </w:r>
          <w:r>
            <w:instrText xml:space="preserve"> HYPERLINK \l "bookmark160" </w:instrText>
          </w:r>
          <w:r>
            <w:fldChar w:fldCharType="separate"/>
          </w:r>
          <w:r>
            <w:rPr>
              <w:spacing w:val="-10"/>
              <w:sz w:val="22"/>
              <w:szCs w:val="22"/>
            </w:rPr>
            <w:t>二</w:t>
          </w:r>
          <w:r>
            <w:rPr>
              <w:spacing w:val="-39"/>
              <w:sz w:val="22"/>
              <w:szCs w:val="22"/>
            </w:rPr>
            <w:t xml:space="preserve"> </w:t>
          </w:r>
          <w:r>
            <w:rPr>
              <w:spacing w:val="-10"/>
              <w:sz w:val="22"/>
              <w:szCs w:val="22"/>
            </w:rPr>
            <w:t>、评价单个研究的真实性</w:t>
          </w:r>
          <w:r>
            <w:rPr>
              <w:spacing w:val="-82"/>
              <w:sz w:val="22"/>
              <w:szCs w:val="22"/>
            </w:rPr>
            <w:t xml:space="preserve"> </w:t>
          </w:r>
          <w:r>
            <w:rPr>
              <w:sz w:val="22"/>
              <w:szCs w:val="22"/>
            </w:rPr>
            <w:tab/>
          </w:r>
          <w:r>
            <w:rPr>
              <w:spacing w:val="-16"/>
              <w:sz w:val="22"/>
              <w:szCs w:val="22"/>
            </w:rPr>
            <w:t xml:space="preserve"> </w:t>
          </w:r>
          <w:r>
            <w:rPr>
              <w:rFonts w:ascii="Times New Roman" w:hAnsi="Times New Roman" w:eastAsia="Times New Roman" w:cs="Times New Roman"/>
              <w:spacing w:val="-6"/>
              <w:sz w:val="22"/>
              <w:szCs w:val="22"/>
            </w:rPr>
            <w:t>131</w:t>
          </w:r>
          <w:r>
            <w:rPr>
              <w:rFonts w:ascii="Times New Roman" w:hAnsi="Times New Roman" w:eastAsia="Times New Roman" w:cs="Times New Roman"/>
              <w:spacing w:val="-6"/>
              <w:sz w:val="22"/>
              <w:szCs w:val="22"/>
            </w:rPr>
            <w:fldChar w:fldCharType="end"/>
          </w:r>
        </w:p>
        <w:p w14:paraId="042388A9">
          <w:pPr>
            <w:pStyle w:val="2"/>
            <w:tabs>
              <w:tab w:val="right" w:leader="dot" w:pos="9020"/>
            </w:tabs>
            <w:spacing w:before="115" w:line="222" w:lineRule="auto"/>
            <w:ind w:left="1426"/>
            <w:rPr>
              <w:rFonts w:ascii="Times New Roman" w:hAnsi="Times New Roman" w:eastAsia="Times New Roman" w:cs="Times New Roman"/>
              <w:sz w:val="22"/>
              <w:szCs w:val="22"/>
            </w:rPr>
          </w:pPr>
          <w:r>
            <w:fldChar w:fldCharType="begin"/>
          </w:r>
          <w:r>
            <w:instrText xml:space="preserve"> HYPERLINK \l "bookmark161" </w:instrText>
          </w:r>
          <w:r>
            <w:fldChar w:fldCharType="separate"/>
          </w:r>
          <w:r>
            <w:rPr>
              <w:spacing w:val="-11"/>
              <w:sz w:val="22"/>
              <w:szCs w:val="22"/>
            </w:rPr>
            <w:t>三</w:t>
          </w:r>
          <w:r>
            <w:rPr>
              <w:spacing w:val="-50"/>
              <w:sz w:val="22"/>
              <w:szCs w:val="22"/>
            </w:rPr>
            <w:t xml:space="preserve"> </w:t>
          </w:r>
          <w:r>
            <w:rPr>
              <w:spacing w:val="-11"/>
              <w:sz w:val="22"/>
              <w:szCs w:val="22"/>
            </w:rPr>
            <w:t>、综合所有证据的推论：希尔的病因推断准则</w:t>
          </w:r>
          <w:r>
            <w:rPr>
              <w:spacing w:val="-100"/>
              <w:sz w:val="22"/>
              <w:szCs w:val="22"/>
            </w:rPr>
            <w:t xml:space="preserve"> </w:t>
          </w:r>
          <w:r>
            <w:rPr>
              <w:sz w:val="22"/>
              <w:szCs w:val="22"/>
            </w:rPr>
            <w:tab/>
          </w:r>
          <w:r>
            <w:rPr>
              <w:rFonts w:ascii="Times New Roman" w:hAnsi="Times New Roman" w:eastAsia="Times New Roman" w:cs="Times New Roman"/>
              <w:spacing w:val="-7"/>
              <w:sz w:val="22"/>
              <w:szCs w:val="22"/>
            </w:rPr>
            <w:t>132</w:t>
          </w:r>
          <w:r>
            <w:rPr>
              <w:rFonts w:ascii="Times New Roman" w:hAnsi="Times New Roman" w:eastAsia="Times New Roman" w:cs="Times New Roman"/>
              <w:spacing w:val="-7"/>
              <w:sz w:val="22"/>
              <w:szCs w:val="22"/>
            </w:rPr>
            <w:fldChar w:fldCharType="end"/>
          </w:r>
        </w:p>
        <w:p w14:paraId="4EBFC215">
          <w:pPr>
            <w:pStyle w:val="2"/>
            <w:tabs>
              <w:tab w:val="right" w:leader="dot" w:pos="9000"/>
            </w:tabs>
            <w:spacing w:before="115" w:line="221" w:lineRule="auto"/>
            <w:ind w:left="1426"/>
            <w:rPr>
              <w:rFonts w:ascii="Times New Roman" w:hAnsi="Times New Roman" w:eastAsia="Times New Roman" w:cs="Times New Roman"/>
              <w:sz w:val="22"/>
              <w:szCs w:val="22"/>
            </w:rPr>
          </w:pPr>
          <w:r>
            <w:fldChar w:fldCharType="begin"/>
          </w:r>
          <w:r>
            <w:instrText xml:space="preserve"> HYPERLINK \l "bookmark162" </w:instrText>
          </w:r>
          <w:r>
            <w:fldChar w:fldCharType="separate"/>
          </w:r>
          <w:r>
            <w:rPr>
              <w:spacing w:val="-14"/>
              <w:sz w:val="22"/>
              <w:szCs w:val="22"/>
            </w:rPr>
            <w:t>四</w:t>
          </w:r>
          <w:r>
            <w:rPr>
              <w:spacing w:val="-40"/>
              <w:sz w:val="22"/>
              <w:szCs w:val="22"/>
            </w:rPr>
            <w:t xml:space="preserve"> </w:t>
          </w:r>
          <w:r>
            <w:rPr>
              <w:spacing w:val="-14"/>
              <w:sz w:val="22"/>
              <w:szCs w:val="22"/>
            </w:rPr>
            <w:t>、综合所有证据的推论：系统综述</w:t>
          </w:r>
          <w:r>
            <w:rPr>
              <w:spacing w:val="-87"/>
              <w:sz w:val="22"/>
              <w:szCs w:val="22"/>
            </w:rPr>
            <w:t xml:space="preserve"> </w:t>
          </w:r>
          <w:r>
            <w:rPr>
              <w:sz w:val="22"/>
              <w:szCs w:val="22"/>
            </w:rPr>
            <w:tab/>
          </w:r>
          <w:r>
            <w:rPr>
              <w:rFonts w:ascii="Times New Roman" w:hAnsi="Times New Roman" w:eastAsia="Times New Roman" w:cs="Times New Roman"/>
              <w:spacing w:val="-5"/>
              <w:sz w:val="22"/>
              <w:szCs w:val="22"/>
            </w:rPr>
            <w:t>134</w:t>
          </w:r>
          <w:r>
            <w:rPr>
              <w:rFonts w:ascii="Times New Roman" w:hAnsi="Times New Roman" w:eastAsia="Times New Roman" w:cs="Times New Roman"/>
              <w:spacing w:val="-5"/>
              <w:sz w:val="22"/>
              <w:szCs w:val="22"/>
            </w:rPr>
            <w:fldChar w:fldCharType="end"/>
          </w:r>
        </w:p>
        <w:p w14:paraId="7C1522B8">
          <w:pPr>
            <w:pStyle w:val="2"/>
            <w:tabs>
              <w:tab w:val="right" w:leader="dot" w:pos="9030"/>
            </w:tabs>
            <w:spacing w:before="97" w:line="222" w:lineRule="auto"/>
            <w:ind w:left="1426"/>
            <w:rPr>
              <w:rFonts w:ascii="Times New Roman" w:hAnsi="Times New Roman" w:eastAsia="Times New Roman" w:cs="Times New Roman"/>
              <w:sz w:val="22"/>
              <w:szCs w:val="22"/>
            </w:rPr>
          </w:pPr>
          <w:r>
            <w:fldChar w:fldCharType="begin"/>
          </w:r>
          <w:r>
            <w:instrText xml:space="preserve"> HYPERLINK \l "bookmark163" </w:instrText>
          </w:r>
          <w:r>
            <w:fldChar w:fldCharType="separate"/>
          </w:r>
          <w:r>
            <w:rPr>
              <w:spacing w:val="-11"/>
              <w:sz w:val="22"/>
              <w:szCs w:val="22"/>
            </w:rPr>
            <w:t>五</w:t>
          </w:r>
          <w:r>
            <w:rPr>
              <w:spacing w:val="-38"/>
              <w:sz w:val="22"/>
              <w:szCs w:val="22"/>
            </w:rPr>
            <w:t xml:space="preserve"> </w:t>
          </w:r>
          <w:r>
            <w:rPr>
              <w:spacing w:val="-11"/>
              <w:sz w:val="22"/>
              <w:szCs w:val="22"/>
            </w:rPr>
            <w:t>、病因推断的困难</w:t>
          </w:r>
          <w:r>
            <w:rPr>
              <w:spacing w:val="-94"/>
              <w:sz w:val="22"/>
              <w:szCs w:val="22"/>
            </w:rPr>
            <w:t xml:space="preserve"> </w:t>
          </w:r>
          <w:r>
            <w:rPr>
              <w:sz w:val="22"/>
              <w:szCs w:val="22"/>
            </w:rPr>
            <w:tab/>
          </w:r>
          <w:r>
            <w:rPr>
              <w:spacing w:val="-36"/>
              <w:sz w:val="22"/>
              <w:szCs w:val="22"/>
            </w:rPr>
            <w:t xml:space="preserve"> </w:t>
          </w:r>
          <w:r>
            <w:rPr>
              <w:rFonts w:ascii="Times New Roman" w:hAnsi="Times New Roman" w:eastAsia="Times New Roman" w:cs="Times New Roman"/>
              <w:spacing w:val="-6"/>
              <w:sz w:val="22"/>
              <w:szCs w:val="22"/>
            </w:rPr>
            <w:t>134</w:t>
          </w:r>
          <w:r>
            <w:rPr>
              <w:rFonts w:ascii="Times New Roman" w:hAnsi="Times New Roman" w:eastAsia="Times New Roman" w:cs="Times New Roman"/>
              <w:spacing w:val="-6"/>
              <w:sz w:val="22"/>
              <w:szCs w:val="22"/>
            </w:rPr>
            <w:fldChar w:fldCharType="end"/>
          </w:r>
        </w:p>
        <w:p w14:paraId="4716517D">
          <w:pPr>
            <w:spacing w:line="358" w:lineRule="auto"/>
            <w:rPr>
              <w:rFonts w:ascii="Arial"/>
              <w:sz w:val="21"/>
            </w:rPr>
          </w:pPr>
        </w:p>
        <w:p w14:paraId="2C089F43">
          <w:pPr>
            <w:pStyle w:val="2"/>
            <w:tabs>
              <w:tab w:val="right" w:leader="dot" w:pos="8902"/>
            </w:tabs>
            <w:spacing w:before="72" w:line="221" w:lineRule="auto"/>
            <w:rPr>
              <w:rFonts w:ascii="Times New Roman" w:hAnsi="Times New Roman" w:eastAsia="Times New Roman" w:cs="Times New Roman"/>
              <w:sz w:val="22"/>
              <w:szCs w:val="22"/>
            </w:rPr>
          </w:pPr>
          <w:r>
            <w:fldChar w:fldCharType="begin"/>
          </w:r>
          <w:r>
            <w:instrText xml:space="preserve"> HYPERLINK \l "bookmark164" </w:instrText>
          </w:r>
          <w:r>
            <w:fldChar w:fldCharType="separate"/>
          </w:r>
          <w:r>
            <w:rPr>
              <w:b/>
              <w:bCs/>
              <w:spacing w:val="-15"/>
              <w:sz w:val="22"/>
              <w:szCs w:val="22"/>
            </w:rPr>
            <w:t>第</w:t>
          </w:r>
          <w:r>
            <w:rPr>
              <w:spacing w:val="-27"/>
              <w:sz w:val="22"/>
              <w:szCs w:val="22"/>
            </w:rPr>
            <w:t xml:space="preserve"> </w:t>
          </w:r>
          <w:r>
            <w:rPr>
              <w:b/>
              <w:bCs/>
              <w:spacing w:val="-15"/>
              <w:sz w:val="22"/>
              <w:szCs w:val="22"/>
            </w:rPr>
            <w:t>九</w:t>
          </w:r>
          <w:r>
            <w:rPr>
              <w:spacing w:val="-35"/>
              <w:sz w:val="22"/>
              <w:szCs w:val="22"/>
            </w:rPr>
            <w:t xml:space="preserve"> </w:t>
          </w:r>
          <w:r>
            <w:rPr>
              <w:b/>
              <w:bCs/>
              <w:spacing w:val="-15"/>
              <w:sz w:val="22"/>
              <w:szCs w:val="22"/>
            </w:rPr>
            <w:t>章</w:t>
          </w:r>
          <w:r>
            <w:rPr>
              <w:spacing w:val="83"/>
              <w:sz w:val="22"/>
              <w:szCs w:val="22"/>
            </w:rPr>
            <w:t xml:space="preserve"> </w:t>
          </w:r>
          <w:r>
            <w:rPr>
              <w:b/>
              <w:bCs/>
              <w:spacing w:val="-15"/>
              <w:sz w:val="22"/>
              <w:szCs w:val="22"/>
            </w:rPr>
            <w:t>预</w:t>
          </w:r>
          <w:r>
            <w:rPr>
              <w:spacing w:val="-15"/>
              <w:sz w:val="22"/>
              <w:szCs w:val="22"/>
            </w:rPr>
            <w:t xml:space="preserve"> </w:t>
          </w:r>
          <w:r>
            <w:rPr>
              <w:b/>
              <w:bCs/>
              <w:spacing w:val="-15"/>
              <w:sz w:val="22"/>
              <w:szCs w:val="22"/>
            </w:rPr>
            <w:t>防</w:t>
          </w:r>
          <w:r>
            <w:rPr>
              <w:spacing w:val="-25"/>
              <w:sz w:val="22"/>
              <w:szCs w:val="22"/>
            </w:rPr>
            <w:t xml:space="preserve"> </w:t>
          </w:r>
          <w:r>
            <w:rPr>
              <w:b/>
              <w:bCs/>
              <w:spacing w:val="-15"/>
              <w:sz w:val="22"/>
              <w:szCs w:val="22"/>
            </w:rPr>
            <w:t>策</w:t>
          </w:r>
          <w:r>
            <w:rPr>
              <w:spacing w:val="-20"/>
              <w:sz w:val="22"/>
              <w:szCs w:val="22"/>
            </w:rPr>
            <w:t xml:space="preserve"> </w:t>
          </w:r>
          <w:r>
            <w:rPr>
              <w:b/>
              <w:bCs/>
              <w:spacing w:val="-15"/>
              <w:sz w:val="22"/>
              <w:szCs w:val="22"/>
            </w:rPr>
            <w:t>略</w:t>
          </w:r>
          <w:r>
            <w:rPr>
              <w:spacing w:val="-87"/>
              <w:sz w:val="22"/>
              <w:szCs w:val="22"/>
            </w:rPr>
            <w:t xml:space="preserve"> </w:t>
          </w:r>
          <w:r>
            <w:rPr>
              <w:sz w:val="22"/>
              <w:szCs w:val="22"/>
            </w:rPr>
            <w:tab/>
          </w:r>
          <w:r>
            <w:rPr>
              <w:rFonts w:ascii="Times New Roman" w:hAnsi="Times New Roman" w:eastAsia="Times New Roman" w:cs="Times New Roman"/>
              <w:b/>
              <w:bCs/>
              <w:spacing w:val="-2"/>
              <w:sz w:val="22"/>
              <w:szCs w:val="22"/>
            </w:rPr>
            <w:t>136</w:t>
          </w:r>
          <w:r>
            <w:rPr>
              <w:rFonts w:ascii="Times New Roman" w:hAnsi="Times New Roman" w:eastAsia="Times New Roman" w:cs="Times New Roman"/>
              <w:b/>
              <w:bCs/>
              <w:spacing w:val="-2"/>
              <w:sz w:val="22"/>
              <w:szCs w:val="22"/>
            </w:rPr>
            <w:fldChar w:fldCharType="end"/>
          </w:r>
        </w:p>
        <w:p w14:paraId="6E11BD07">
          <w:pPr>
            <w:pStyle w:val="2"/>
            <w:tabs>
              <w:tab w:val="right" w:leader="dot" w:pos="9000"/>
            </w:tabs>
            <w:spacing w:before="150" w:line="221" w:lineRule="auto"/>
            <w:ind w:left="1006"/>
            <w:rPr>
              <w:rFonts w:ascii="Times New Roman" w:hAnsi="Times New Roman" w:eastAsia="Times New Roman" w:cs="Times New Roman"/>
              <w:sz w:val="22"/>
              <w:szCs w:val="22"/>
            </w:rPr>
          </w:pPr>
          <w:r>
            <w:fldChar w:fldCharType="begin"/>
          </w:r>
          <w:r>
            <w:instrText xml:space="preserve"> HYPERLINK \l "bookmark165" </w:instrText>
          </w:r>
          <w:r>
            <w:fldChar w:fldCharType="separate"/>
          </w:r>
          <w:r>
            <w:rPr>
              <w:spacing w:val="-1"/>
              <w:sz w:val="22"/>
              <w:szCs w:val="22"/>
            </w:rPr>
            <w:t>第一节 健康、影响因素及医学模式</w:t>
          </w:r>
          <w:r>
            <w:rPr>
              <w:spacing w:val="-96"/>
              <w:sz w:val="22"/>
              <w:szCs w:val="22"/>
            </w:rPr>
            <w:t xml:space="preserve"> </w:t>
          </w:r>
          <w:r>
            <w:rPr>
              <w:sz w:val="22"/>
              <w:szCs w:val="22"/>
            </w:rPr>
            <w:tab/>
          </w:r>
          <w:r>
            <w:rPr>
              <w:rFonts w:ascii="Times New Roman" w:hAnsi="Times New Roman" w:eastAsia="Times New Roman" w:cs="Times New Roman"/>
              <w:spacing w:val="-5"/>
              <w:sz w:val="22"/>
              <w:szCs w:val="22"/>
            </w:rPr>
            <w:t>136</w:t>
          </w:r>
          <w:r>
            <w:rPr>
              <w:rFonts w:ascii="Times New Roman" w:hAnsi="Times New Roman" w:eastAsia="Times New Roman" w:cs="Times New Roman"/>
              <w:spacing w:val="-5"/>
              <w:sz w:val="22"/>
              <w:szCs w:val="22"/>
            </w:rPr>
            <w:fldChar w:fldCharType="end"/>
          </w:r>
        </w:p>
        <w:p w14:paraId="588D847B">
          <w:pPr>
            <w:pStyle w:val="2"/>
            <w:tabs>
              <w:tab w:val="right" w:leader="dot" w:pos="9020"/>
            </w:tabs>
            <w:spacing w:before="110" w:line="224" w:lineRule="auto"/>
            <w:ind w:left="1426"/>
            <w:rPr>
              <w:rFonts w:ascii="Times New Roman" w:hAnsi="Times New Roman" w:eastAsia="Times New Roman" w:cs="Times New Roman"/>
              <w:sz w:val="22"/>
              <w:szCs w:val="22"/>
            </w:rPr>
          </w:pPr>
          <w:r>
            <w:fldChar w:fldCharType="begin"/>
          </w:r>
          <w:r>
            <w:instrText xml:space="preserve"> HYPERLINK \l "bookmark166" </w:instrText>
          </w:r>
          <w:r>
            <w:fldChar w:fldCharType="separate"/>
          </w:r>
          <w:r>
            <w:rPr>
              <w:spacing w:val="-16"/>
              <w:sz w:val="22"/>
              <w:szCs w:val="22"/>
            </w:rPr>
            <w:t>一</w:t>
          </w:r>
          <w:r>
            <w:rPr>
              <w:spacing w:val="-37"/>
              <w:sz w:val="22"/>
              <w:szCs w:val="22"/>
            </w:rPr>
            <w:t xml:space="preserve"> </w:t>
          </w:r>
          <w:r>
            <w:rPr>
              <w:spacing w:val="-16"/>
              <w:sz w:val="22"/>
              <w:szCs w:val="22"/>
            </w:rPr>
            <w:t>、健康</w:t>
          </w:r>
          <w:r>
            <w:rPr>
              <w:spacing w:val="-101"/>
              <w:sz w:val="22"/>
              <w:szCs w:val="22"/>
            </w:rPr>
            <w:t xml:space="preserve"> </w:t>
          </w:r>
          <w:r>
            <w:rPr>
              <w:sz w:val="22"/>
              <w:szCs w:val="22"/>
            </w:rPr>
            <w:tab/>
          </w:r>
          <w:r>
            <w:rPr>
              <w:spacing w:val="-76"/>
              <w:sz w:val="22"/>
              <w:szCs w:val="22"/>
            </w:rPr>
            <w:t xml:space="preserve"> </w:t>
          </w:r>
          <w:r>
            <w:rPr>
              <w:rFonts w:ascii="Times New Roman" w:hAnsi="Times New Roman" w:eastAsia="Times New Roman" w:cs="Times New Roman"/>
              <w:spacing w:val="-6"/>
              <w:sz w:val="22"/>
              <w:szCs w:val="22"/>
            </w:rPr>
            <w:t>136</w:t>
          </w:r>
          <w:r>
            <w:rPr>
              <w:rFonts w:ascii="Times New Roman" w:hAnsi="Times New Roman" w:eastAsia="Times New Roman" w:cs="Times New Roman"/>
              <w:spacing w:val="-6"/>
              <w:sz w:val="22"/>
              <w:szCs w:val="22"/>
            </w:rPr>
            <w:fldChar w:fldCharType="end"/>
          </w:r>
        </w:p>
        <w:p w14:paraId="4ECD238D">
          <w:pPr>
            <w:pStyle w:val="2"/>
            <w:tabs>
              <w:tab w:val="right" w:leader="dot" w:pos="9010"/>
            </w:tabs>
            <w:spacing w:before="112" w:line="222" w:lineRule="auto"/>
            <w:ind w:left="1426"/>
            <w:rPr>
              <w:rFonts w:ascii="Times New Roman" w:hAnsi="Times New Roman" w:eastAsia="Times New Roman" w:cs="Times New Roman"/>
              <w:sz w:val="22"/>
              <w:szCs w:val="22"/>
            </w:rPr>
          </w:pPr>
          <w:r>
            <w:fldChar w:fldCharType="begin"/>
          </w:r>
          <w:r>
            <w:instrText xml:space="preserve"> HYPERLINK \l "bookmark167" </w:instrText>
          </w:r>
          <w:r>
            <w:fldChar w:fldCharType="separate"/>
          </w:r>
          <w:r>
            <w:rPr>
              <w:spacing w:val="-8"/>
              <w:sz w:val="22"/>
              <w:szCs w:val="22"/>
            </w:rPr>
            <w:t>二</w:t>
          </w:r>
          <w:r>
            <w:rPr>
              <w:spacing w:val="-44"/>
              <w:sz w:val="22"/>
              <w:szCs w:val="22"/>
            </w:rPr>
            <w:t xml:space="preserve"> </w:t>
          </w:r>
          <w:r>
            <w:rPr>
              <w:spacing w:val="-8"/>
              <w:sz w:val="22"/>
              <w:szCs w:val="22"/>
            </w:rPr>
            <w:t>、影响健康的因素</w:t>
          </w:r>
          <w:r>
            <w:rPr>
              <w:spacing w:val="-95"/>
              <w:sz w:val="22"/>
              <w:szCs w:val="22"/>
            </w:rPr>
            <w:t xml:space="preserve"> </w:t>
          </w:r>
          <w:r>
            <w:rPr>
              <w:sz w:val="22"/>
              <w:szCs w:val="22"/>
            </w:rPr>
            <w:tab/>
          </w:r>
          <w:r>
            <w:rPr>
              <w:spacing w:val="-76"/>
              <w:sz w:val="22"/>
              <w:szCs w:val="22"/>
            </w:rPr>
            <w:t xml:space="preserve"> </w:t>
          </w:r>
          <w:r>
            <w:rPr>
              <w:rFonts w:ascii="Times New Roman" w:hAnsi="Times New Roman" w:eastAsia="Times New Roman" w:cs="Times New Roman"/>
              <w:spacing w:val="-6"/>
              <w:sz w:val="22"/>
              <w:szCs w:val="22"/>
            </w:rPr>
            <w:t>137</w:t>
          </w:r>
          <w:r>
            <w:rPr>
              <w:rFonts w:ascii="Times New Roman" w:hAnsi="Times New Roman" w:eastAsia="Times New Roman" w:cs="Times New Roman"/>
              <w:spacing w:val="-6"/>
              <w:sz w:val="22"/>
              <w:szCs w:val="22"/>
            </w:rPr>
            <w:fldChar w:fldCharType="end"/>
          </w:r>
        </w:p>
        <w:p w14:paraId="0358784F">
          <w:pPr>
            <w:pStyle w:val="2"/>
            <w:tabs>
              <w:tab w:val="right" w:leader="dot" w:pos="9050"/>
            </w:tabs>
            <w:spacing w:before="113" w:line="221" w:lineRule="auto"/>
            <w:ind w:left="1426"/>
            <w:rPr>
              <w:rFonts w:ascii="Times New Roman" w:hAnsi="Times New Roman" w:eastAsia="Times New Roman" w:cs="Times New Roman"/>
              <w:sz w:val="22"/>
              <w:szCs w:val="22"/>
            </w:rPr>
          </w:pPr>
          <w:r>
            <w:fldChar w:fldCharType="begin"/>
          </w:r>
          <w:r>
            <w:instrText xml:space="preserve"> HYPERLINK \l "bookmark168" </w:instrText>
          </w:r>
          <w:r>
            <w:fldChar w:fldCharType="separate"/>
          </w:r>
          <w:r>
            <w:rPr>
              <w:spacing w:val="-10"/>
              <w:sz w:val="22"/>
              <w:szCs w:val="22"/>
            </w:rPr>
            <w:t>三</w:t>
          </w:r>
          <w:r>
            <w:rPr>
              <w:spacing w:val="-53"/>
              <w:sz w:val="22"/>
              <w:szCs w:val="22"/>
            </w:rPr>
            <w:t xml:space="preserve"> </w:t>
          </w:r>
          <w:r>
            <w:rPr>
              <w:spacing w:val="-10"/>
              <w:sz w:val="22"/>
              <w:szCs w:val="22"/>
            </w:rPr>
            <w:t>、医学模式</w:t>
          </w:r>
          <w:r>
            <w:rPr>
              <w:spacing w:val="-88"/>
              <w:sz w:val="22"/>
              <w:szCs w:val="22"/>
            </w:rPr>
            <w:t xml:space="preserve"> </w:t>
          </w:r>
          <w:r>
            <w:rPr>
              <w:sz w:val="22"/>
              <w:szCs w:val="22"/>
            </w:rPr>
            <w:tab/>
          </w:r>
          <w:r>
            <w:rPr>
              <w:spacing w:val="-46"/>
              <w:sz w:val="22"/>
              <w:szCs w:val="22"/>
            </w:rPr>
            <w:t xml:space="preserve"> </w:t>
          </w:r>
          <w:r>
            <w:rPr>
              <w:rFonts w:ascii="Times New Roman" w:hAnsi="Times New Roman" w:eastAsia="Times New Roman" w:cs="Times New Roman"/>
              <w:spacing w:val="-6"/>
              <w:sz w:val="22"/>
              <w:szCs w:val="22"/>
            </w:rPr>
            <w:t>138</w:t>
          </w:r>
          <w:r>
            <w:rPr>
              <w:rFonts w:ascii="Times New Roman" w:hAnsi="Times New Roman" w:eastAsia="Times New Roman" w:cs="Times New Roman"/>
              <w:spacing w:val="-6"/>
              <w:sz w:val="22"/>
              <w:szCs w:val="22"/>
            </w:rPr>
            <w:fldChar w:fldCharType="end"/>
          </w:r>
        </w:p>
        <w:p w14:paraId="1D0E6178">
          <w:pPr>
            <w:pStyle w:val="2"/>
            <w:tabs>
              <w:tab w:val="right" w:leader="dot" w:pos="9000"/>
            </w:tabs>
            <w:spacing w:before="107" w:line="221" w:lineRule="auto"/>
            <w:ind w:left="1006"/>
            <w:rPr>
              <w:rFonts w:ascii="Times New Roman" w:hAnsi="Times New Roman" w:eastAsia="Times New Roman" w:cs="Times New Roman"/>
              <w:sz w:val="22"/>
              <w:szCs w:val="22"/>
            </w:rPr>
          </w:pPr>
          <w:r>
            <w:fldChar w:fldCharType="begin"/>
          </w:r>
          <w:r>
            <w:instrText xml:space="preserve"> HYPERLINK \l "bookmark169" </w:instrText>
          </w:r>
          <w:r>
            <w:fldChar w:fldCharType="separate"/>
          </w:r>
          <w:r>
            <w:rPr>
              <w:spacing w:val="6"/>
              <w:sz w:val="22"/>
              <w:szCs w:val="22"/>
            </w:rPr>
            <w:t>第二节</w:t>
          </w:r>
          <w:r>
            <w:rPr>
              <w:spacing w:val="29"/>
              <w:sz w:val="22"/>
              <w:szCs w:val="22"/>
            </w:rPr>
            <w:t xml:space="preserve"> </w:t>
          </w:r>
          <w:r>
            <w:rPr>
              <w:spacing w:val="6"/>
              <w:sz w:val="22"/>
              <w:szCs w:val="22"/>
            </w:rPr>
            <w:t>预防策略与措施</w:t>
          </w:r>
          <w:r>
            <w:rPr>
              <w:spacing w:val="-91"/>
              <w:sz w:val="22"/>
              <w:szCs w:val="22"/>
            </w:rPr>
            <w:t xml:space="preserve"> </w:t>
          </w:r>
          <w:r>
            <w:rPr>
              <w:sz w:val="22"/>
              <w:szCs w:val="22"/>
            </w:rPr>
            <w:tab/>
          </w:r>
          <w:r>
            <w:rPr>
              <w:rFonts w:ascii="Times New Roman" w:hAnsi="Times New Roman" w:eastAsia="Times New Roman" w:cs="Times New Roman"/>
              <w:spacing w:val="-3"/>
              <w:sz w:val="22"/>
              <w:szCs w:val="22"/>
            </w:rPr>
            <w:t>139</w:t>
          </w:r>
          <w:r>
            <w:rPr>
              <w:rFonts w:ascii="Times New Roman" w:hAnsi="Times New Roman" w:eastAsia="Times New Roman" w:cs="Times New Roman"/>
              <w:spacing w:val="-3"/>
              <w:sz w:val="22"/>
              <w:szCs w:val="22"/>
            </w:rPr>
            <w:fldChar w:fldCharType="end"/>
          </w:r>
        </w:p>
        <w:p w14:paraId="63685B75">
          <w:pPr>
            <w:pStyle w:val="2"/>
            <w:tabs>
              <w:tab w:val="right" w:leader="dot" w:pos="9020"/>
            </w:tabs>
            <w:spacing w:before="127" w:line="222" w:lineRule="auto"/>
            <w:ind w:left="1426"/>
            <w:rPr>
              <w:rFonts w:ascii="Times New Roman" w:hAnsi="Times New Roman" w:eastAsia="Times New Roman" w:cs="Times New Roman"/>
              <w:sz w:val="22"/>
              <w:szCs w:val="22"/>
            </w:rPr>
          </w:pPr>
          <w:r>
            <w:fldChar w:fldCharType="begin"/>
          </w:r>
          <w:r>
            <w:instrText xml:space="preserve"> HYPERLINK \l "bookmark170" </w:instrText>
          </w:r>
          <w:r>
            <w:fldChar w:fldCharType="separate"/>
          </w:r>
          <w:r>
            <w:rPr>
              <w:spacing w:val="-9"/>
              <w:sz w:val="22"/>
              <w:szCs w:val="22"/>
            </w:rPr>
            <w:t>一</w:t>
          </w:r>
          <w:r>
            <w:rPr>
              <w:spacing w:val="-48"/>
              <w:sz w:val="22"/>
              <w:szCs w:val="22"/>
            </w:rPr>
            <w:t xml:space="preserve"> </w:t>
          </w:r>
          <w:r>
            <w:rPr>
              <w:spacing w:val="-9"/>
              <w:sz w:val="22"/>
              <w:szCs w:val="22"/>
            </w:rPr>
            <w:t>、策略与措施</w:t>
          </w:r>
          <w:r>
            <w:rPr>
              <w:spacing w:val="-90"/>
              <w:sz w:val="22"/>
              <w:szCs w:val="22"/>
            </w:rPr>
            <w:t xml:space="preserve"> </w:t>
          </w:r>
          <w:r>
            <w:rPr>
              <w:sz w:val="22"/>
              <w:szCs w:val="22"/>
            </w:rPr>
            <w:tab/>
          </w:r>
          <w:r>
            <w:rPr>
              <w:spacing w:val="-76"/>
              <w:sz w:val="22"/>
              <w:szCs w:val="22"/>
            </w:rPr>
            <w:t xml:space="preserve"> </w:t>
          </w:r>
          <w:r>
            <w:rPr>
              <w:rFonts w:ascii="Times New Roman" w:hAnsi="Times New Roman" w:eastAsia="Times New Roman" w:cs="Times New Roman"/>
              <w:spacing w:val="-6"/>
              <w:sz w:val="22"/>
              <w:szCs w:val="22"/>
            </w:rPr>
            <w:t>139</w:t>
          </w:r>
          <w:r>
            <w:rPr>
              <w:rFonts w:ascii="Times New Roman" w:hAnsi="Times New Roman" w:eastAsia="Times New Roman" w:cs="Times New Roman"/>
              <w:spacing w:val="-6"/>
              <w:sz w:val="22"/>
              <w:szCs w:val="22"/>
            </w:rPr>
            <w:fldChar w:fldCharType="end"/>
          </w:r>
        </w:p>
        <w:p w14:paraId="0264EE2E">
          <w:pPr>
            <w:pStyle w:val="2"/>
            <w:tabs>
              <w:tab w:val="right" w:leader="dot" w:pos="9040"/>
            </w:tabs>
            <w:spacing w:before="115" w:line="221" w:lineRule="auto"/>
            <w:ind w:left="1426"/>
            <w:rPr>
              <w:rFonts w:ascii="Times New Roman" w:hAnsi="Times New Roman" w:eastAsia="Times New Roman" w:cs="Times New Roman"/>
              <w:sz w:val="22"/>
              <w:szCs w:val="22"/>
            </w:rPr>
          </w:pPr>
          <w:r>
            <w:fldChar w:fldCharType="begin"/>
          </w:r>
          <w:r>
            <w:instrText xml:space="preserve"> HYPERLINK \l "bookmark171" </w:instrText>
          </w:r>
          <w:r>
            <w:fldChar w:fldCharType="separate"/>
          </w:r>
          <w:r>
            <w:rPr>
              <w:spacing w:val="-14"/>
              <w:sz w:val="22"/>
              <w:szCs w:val="22"/>
            </w:rPr>
            <w:t>二</w:t>
          </w:r>
          <w:r>
            <w:rPr>
              <w:spacing w:val="-54"/>
              <w:sz w:val="22"/>
              <w:szCs w:val="22"/>
            </w:rPr>
            <w:t xml:space="preserve"> </w:t>
          </w:r>
          <w:r>
            <w:rPr>
              <w:spacing w:val="-14"/>
              <w:sz w:val="22"/>
              <w:szCs w:val="22"/>
            </w:rPr>
            <w:t>、疾病预防</w:t>
          </w:r>
          <w:r>
            <w:rPr>
              <w:spacing w:val="-73"/>
              <w:sz w:val="22"/>
              <w:szCs w:val="22"/>
            </w:rPr>
            <w:t xml:space="preserve"> </w:t>
          </w:r>
          <w:r>
            <w:rPr>
              <w:sz w:val="22"/>
              <w:szCs w:val="22"/>
            </w:rPr>
            <w:tab/>
          </w:r>
          <w:r>
            <w:rPr>
              <w:spacing w:val="-46"/>
              <w:sz w:val="22"/>
              <w:szCs w:val="22"/>
            </w:rPr>
            <w:t xml:space="preserve"> </w:t>
          </w:r>
          <w:r>
            <w:rPr>
              <w:rFonts w:ascii="Times New Roman" w:hAnsi="Times New Roman" w:eastAsia="Times New Roman" w:cs="Times New Roman"/>
              <w:spacing w:val="-6"/>
              <w:sz w:val="22"/>
              <w:szCs w:val="22"/>
            </w:rPr>
            <w:t>139</w:t>
          </w:r>
          <w:r>
            <w:rPr>
              <w:rFonts w:ascii="Times New Roman" w:hAnsi="Times New Roman" w:eastAsia="Times New Roman" w:cs="Times New Roman"/>
              <w:spacing w:val="-6"/>
              <w:sz w:val="22"/>
              <w:szCs w:val="22"/>
            </w:rPr>
            <w:fldChar w:fldCharType="end"/>
          </w:r>
        </w:p>
        <w:p w14:paraId="56C50372">
          <w:pPr>
            <w:pStyle w:val="2"/>
            <w:tabs>
              <w:tab w:val="right" w:leader="dot" w:pos="9000"/>
            </w:tabs>
            <w:spacing w:before="117" w:line="222" w:lineRule="auto"/>
            <w:ind w:left="1426"/>
            <w:rPr>
              <w:rFonts w:ascii="Times New Roman" w:hAnsi="Times New Roman" w:eastAsia="Times New Roman" w:cs="Times New Roman"/>
              <w:sz w:val="22"/>
              <w:szCs w:val="22"/>
            </w:rPr>
          </w:pPr>
          <w:r>
            <w:fldChar w:fldCharType="begin"/>
          </w:r>
          <w:r>
            <w:instrText xml:space="preserve"> HYPERLINK \l "bookmark172" </w:instrText>
          </w:r>
          <w:r>
            <w:fldChar w:fldCharType="separate"/>
          </w:r>
          <w:r>
            <w:rPr>
              <w:spacing w:val="-9"/>
              <w:sz w:val="22"/>
              <w:szCs w:val="22"/>
            </w:rPr>
            <w:t>三</w:t>
          </w:r>
          <w:r>
            <w:rPr>
              <w:spacing w:val="-40"/>
              <w:sz w:val="22"/>
              <w:szCs w:val="22"/>
            </w:rPr>
            <w:t xml:space="preserve"> </w:t>
          </w:r>
          <w:r>
            <w:rPr>
              <w:spacing w:val="-9"/>
              <w:sz w:val="22"/>
              <w:szCs w:val="22"/>
            </w:rPr>
            <w:t>、健康保护与健康促进</w:t>
          </w:r>
          <w:r>
            <w:rPr>
              <w:spacing w:val="-72"/>
              <w:sz w:val="22"/>
              <w:szCs w:val="22"/>
            </w:rPr>
            <w:t xml:space="preserve"> </w:t>
          </w:r>
          <w:r>
            <w:rPr>
              <w:sz w:val="22"/>
              <w:szCs w:val="22"/>
            </w:rPr>
            <w:tab/>
          </w:r>
          <w:r>
            <w:rPr>
              <w:rFonts w:ascii="Times New Roman" w:hAnsi="Times New Roman" w:eastAsia="Times New Roman" w:cs="Times New Roman"/>
              <w:spacing w:val="-1"/>
              <w:sz w:val="22"/>
              <w:szCs w:val="22"/>
            </w:rPr>
            <w:t>142</w:t>
          </w:r>
          <w:r>
            <w:rPr>
              <w:rFonts w:ascii="Times New Roman" w:hAnsi="Times New Roman" w:eastAsia="Times New Roman" w:cs="Times New Roman"/>
              <w:spacing w:val="-1"/>
              <w:sz w:val="22"/>
              <w:szCs w:val="22"/>
            </w:rPr>
            <w:fldChar w:fldCharType="end"/>
          </w:r>
        </w:p>
        <w:p w14:paraId="06DACD2A">
          <w:pPr>
            <w:pStyle w:val="2"/>
            <w:tabs>
              <w:tab w:val="right" w:leader="dot" w:pos="9040"/>
            </w:tabs>
            <w:spacing w:before="121" w:line="218" w:lineRule="auto"/>
            <w:ind w:left="1006"/>
            <w:rPr>
              <w:rFonts w:ascii="Times New Roman" w:hAnsi="Times New Roman" w:eastAsia="Times New Roman" w:cs="Times New Roman"/>
              <w:sz w:val="22"/>
              <w:szCs w:val="22"/>
            </w:rPr>
          </w:pPr>
          <w:r>
            <w:fldChar w:fldCharType="begin"/>
          </w:r>
          <w:r>
            <w:instrText xml:space="preserve"> HYPERLINK \l "bookmark173" </w:instrText>
          </w:r>
          <w:r>
            <w:fldChar w:fldCharType="separate"/>
          </w:r>
          <w:r>
            <w:rPr>
              <w:spacing w:val="4"/>
              <w:sz w:val="22"/>
              <w:szCs w:val="22"/>
            </w:rPr>
            <w:t>第三节 国内外疾病预防策略与实践</w:t>
          </w:r>
          <w:r>
            <w:rPr>
              <w:spacing w:val="-75"/>
              <w:sz w:val="22"/>
              <w:szCs w:val="22"/>
            </w:rPr>
            <w:t xml:space="preserve"> </w:t>
          </w:r>
          <w:r>
            <w:rPr>
              <w:sz w:val="22"/>
              <w:szCs w:val="22"/>
            </w:rPr>
            <w:tab/>
          </w:r>
          <w:r>
            <w:rPr>
              <w:spacing w:val="-46"/>
              <w:sz w:val="22"/>
              <w:szCs w:val="22"/>
            </w:rPr>
            <w:t xml:space="preserve"> </w:t>
          </w:r>
          <w:r>
            <w:rPr>
              <w:rFonts w:ascii="Times New Roman" w:hAnsi="Times New Roman" w:eastAsia="Times New Roman" w:cs="Times New Roman"/>
              <w:spacing w:val="-6"/>
              <w:sz w:val="22"/>
              <w:szCs w:val="22"/>
            </w:rPr>
            <w:t>143</w:t>
          </w:r>
          <w:r>
            <w:rPr>
              <w:rFonts w:ascii="Times New Roman" w:hAnsi="Times New Roman" w:eastAsia="Times New Roman" w:cs="Times New Roman"/>
              <w:spacing w:val="-6"/>
              <w:sz w:val="22"/>
              <w:szCs w:val="22"/>
            </w:rPr>
            <w:fldChar w:fldCharType="end"/>
          </w:r>
        </w:p>
        <w:p w14:paraId="5E368538">
          <w:pPr>
            <w:pStyle w:val="2"/>
            <w:tabs>
              <w:tab w:val="right" w:leader="dot" w:pos="9010"/>
            </w:tabs>
            <w:spacing w:before="125" w:line="222" w:lineRule="auto"/>
            <w:ind w:left="1426"/>
            <w:rPr>
              <w:rFonts w:ascii="Times New Roman" w:hAnsi="Times New Roman" w:eastAsia="Times New Roman" w:cs="Times New Roman"/>
              <w:sz w:val="22"/>
              <w:szCs w:val="22"/>
            </w:rPr>
          </w:pPr>
          <w:r>
            <w:fldChar w:fldCharType="begin"/>
          </w:r>
          <w:r>
            <w:instrText xml:space="preserve"> HYPERLINK \l "bookmark174" </w:instrText>
          </w:r>
          <w:r>
            <w:fldChar w:fldCharType="separate"/>
          </w:r>
          <w:r>
            <w:rPr>
              <w:spacing w:val="-7"/>
              <w:sz w:val="22"/>
              <w:szCs w:val="22"/>
            </w:rPr>
            <w:t>一</w:t>
          </w:r>
          <w:r>
            <w:rPr>
              <w:spacing w:val="-37"/>
              <w:sz w:val="22"/>
              <w:szCs w:val="22"/>
            </w:rPr>
            <w:t xml:space="preserve"> </w:t>
          </w:r>
          <w:r>
            <w:rPr>
              <w:spacing w:val="-7"/>
              <w:sz w:val="22"/>
              <w:szCs w:val="22"/>
            </w:rPr>
            <w:t>、当代全球主要健康策略</w:t>
          </w:r>
          <w:r>
            <w:rPr>
              <w:spacing w:val="-90"/>
              <w:sz w:val="22"/>
              <w:szCs w:val="22"/>
            </w:rPr>
            <w:t xml:space="preserve"> </w:t>
          </w:r>
          <w:r>
            <w:rPr>
              <w:sz w:val="22"/>
              <w:szCs w:val="22"/>
            </w:rPr>
            <w:tab/>
          </w:r>
          <w:r>
            <w:rPr>
              <w:spacing w:val="-76"/>
              <w:sz w:val="22"/>
              <w:szCs w:val="22"/>
            </w:rPr>
            <w:t xml:space="preserve"> </w:t>
          </w:r>
          <w:r>
            <w:rPr>
              <w:rFonts w:ascii="Times New Roman" w:hAnsi="Times New Roman" w:eastAsia="Times New Roman" w:cs="Times New Roman"/>
              <w:spacing w:val="-6"/>
              <w:sz w:val="22"/>
              <w:szCs w:val="22"/>
            </w:rPr>
            <w:t>143</w:t>
          </w:r>
          <w:r>
            <w:rPr>
              <w:rFonts w:ascii="Times New Roman" w:hAnsi="Times New Roman" w:eastAsia="Times New Roman" w:cs="Times New Roman"/>
              <w:spacing w:val="-6"/>
              <w:sz w:val="22"/>
              <w:szCs w:val="22"/>
            </w:rPr>
            <w:fldChar w:fldCharType="end"/>
          </w:r>
        </w:p>
        <w:p w14:paraId="5BB18F62">
          <w:pPr>
            <w:pStyle w:val="2"/>
            <w:tabs>
              <w:tab w:val="right" w:leader="dot" w:pos="9000"/>
            </w:tabs>
            <w:spacing w:before="104" w:line="221" w:lineRule="auto"/>
            <w:ind w:left="1426"/>
            <w:rPr>
              <w:rFonts w:ascii="Times New Roman" w:hAnsi="Times New Roman" w:eastAsia="Times New Roman" w:cs="Times New Roman"/>
              <w:sz w:val="22"/>
              <w:szCs w:val="22"/>
            </w:rPr>
          </w:pPr>
          <w:r>
            <w:fldChar w:fldCharType="begin"/>
          </w:r>
          <w:r>
            <w:instrText xml:space="preserve"> HYPERLINK \l "bookmark175" </w:instrText>
          </w:r>
          <w:r>
            <w:fldChar w:fldCharType="separate"/>
          </w:r>
          <w:r>
            <w:rPr>
              <w:spacing w:val="-3"/>
              <w:sz w:val="22"/>
              <w:szCs w:val="22"/>
            </w:rPr>
            <w:t>二、我国预防为主卫生工作方针的发展</w:t>
          </w:r>
          <w:r>
            <w:rPr>
              <w:sz w:val="22"/>
              <w:szCs w:val="22"/>
            </w:rPr>
            <w:tab/>
          </w:r>
          <w:r>
            <w:rPr>
              <w:spacing w:val="-36"/>
              <w:sz w:val="22"/>
              <w:szCs w:val="22"/>
            </w:rPr>
            <w:t xml:space="preserve"> </w:t>
          </w:r>
          <w:r>
            <w:rPr>
              <w:rFonts w:ascii="Times New Roman" w:hAnsi="Times New Roman" w:eastAsia="Times New Roman" w:cs="Times New Roman"/>
              <w:spacing w:val="-6"/>
              <w:sz w:val="22"/>
              <w:szCs w:val="22"/>
            </w:rPr>
            <w:t>144</w:t>
          </w:r>
          <w:r>
            <w:rPr>
              <w:rFonts w:ascii="Times New Roman" w:hAnsi="Times New Roman" w:eastAsia="Times New Roman" w:cs="Times New Roman"/>
              <w:spacing w:val="-6"/>
              <w:sz w:val="22"/>
              <w:szCs w:val="22"/>
            </w:rPr>
            <w:fldChar w:fldCharType="end"/>
          </w:r>
        </w:p>
        <w:p w14:paraId="641CF275">
          <w:pPr>
            <w:spacing w:line="370" w:lineRule="auto"/>
            <w:rPr>
              <w:rFonts w:ascii="Arial"/>
              <w:sz w:val="21"/>
            </w:rPr>
          </w:pPr>
        </w:p>
        <w:p w14:paraId="14EA827C">
          <w:pPr>
            <w:pStyle w:val="2"/>
            <w:tabs>
              <w:tab w:val="right" w:leader="dot" w:pos="8912"/>
            </w:tabs>
            <w:spacing w:before="72" w:line="222" w:lineRule="auto"/>
            <w:rPr>
              <w:rFonts w:ascii="Times New Roman" w:hAnsi="Times New Roman" w:eastAsia="Times New Roman" w:cs="Times New Roman"/>
              <w:sz w:val="22"/>
              <w:szCs w:val="22"/>
            </w:rPr>
          </w:pPr>
          <w:r>
            <w:fldChar w:fldCharType="begin"/>
          </w:r>
          <w:r>
            <w:instrText xml:space="preserve"> HYPERLINK \l "bookmark176" </w:instrText>
          </w:r>
          <w:r>
            <w:fldChar w:fldCharType="separate"/>
          </w:r>
          <w:r>
            <w:rPr>
              <w:b/>
              <w:bCs/>
              <w:spacing w:val="-12"/>
              <w:sz w:val="22"/>
              <w:szCs w:val="22"/>
            </w:rPr>
            <w:t>第</w:t>
          </w:r>
          <w:r>
            <w:rPr>
              <w:spacing w:val="-28"/>
              <w:sz w:val="22"/>
              <w:szCs w:val="22"/>
            </w:rPr>
            <w:t xml:space="preserve"> </w:t>
          </w:r>
          <w:r>
            <w:rPr>
              <w:b/>
              <w:bCs/>
              <w:spacing w:val="-12"/>
              <w:sz w:val="22"/>
              <w:szCs w:val="22"/>
            </w:rPr>
            <w:t>十</w:t>
          </w:r>
          <w:r>
            <w:rPr>
              <w:spacing w:val="-36"/>
              <w:sz w:val="22"/>
              <w:szCs w:val="22"/>
            </w:rPr>
            <w:t xml:space="preserve"> </w:t>
          </w:r>
          <w:r>
            <w:rPr>
              <w:b/>
              <w:bCs/>
              <w:spacing w:val="-12"/>
              <w:sz w:val="22"/>
              <w:szCs w:val="22"/>
            </w:rPr>
            <w:t>章</w:t>
          </w:r>
          <w:r>
            <w:rPr>
              <w:spacing w:val="71"/>
              <w:sz w:val="22"/>
              <w:szCs w:val="22"/>
            </w:rPr>
            <w:t xml:space="preserve"> </w:t>
          </w:r>
          <w:r>
            <w:rPr>
              <w:b/>
              <w:bCs/>
              <w:spacing w:val="-12"/>
              <w:sz w:val="22"/>
              <w:szCs w:val="22"/>
            </w:rPr>
            <w:t>公</w:t>
          </w:r>
          <w:r>
            <w:rPr>
              <w:spacing w:val="-33"/>
              <w:sz w:val="22"/>
              <w:szCs w:val="22"/>
            </w:rPr>
            <w:t xml:space="preserve"> </w:t>
          </w:r>
          <w:r>
            <w:rPr>
              <w:b/>
              <w:bCs/>
              <w:spacing w:val="-12"/>
              <w:sz w:val="22"/>
              <w:szCs w:val="22"/>
            </w:rPr>
            <w:t>共</w:t>
          </w:r>
          <w:r>
            <w:rPr>
              <w:spacing w:val="-36"/>
              <w:sz w:val="22"/>
              <w:szCs w:val="22"/>
            </w:rPr>
            <w:t xml:space="preserve"> </w:t>
          </w:r>
          <w:r>
            <w:rPr>
              <w:b/>
              <w:bCs/>
              <w:spacing w:val="-12"/>
              <w:sz w:val="22"/>
              <w:szCs w:val="22"/>
            </w:rPr>
            <w:t>卫</w:t>
          </w:r>
          <w:r>
            <w:rPr>
              <w:spacing w:val="-37"/>
              <w:sz w:val="22"/>
              <w:szCs w:val="22"/>
            </w:rPr>
            <w:t xml:space="preserve"> </w:t>
          </w:r>
          <w:r>
            <w:rPr>
              <w:b/>
              <w:bCs/>
              <w:spacing w:val="-12"/>
              <w:sz w:val="22"/>
              <w:szCs w:val="22"/>
            </w:rPr>
            <w:t>生</w:t>
          </w:r>
          <w:r>
            <w:rPr>
              <w:spacing w:val="-37"/>
              <w:sz w:val="22"/>
              <w:szCs w:val="22"/>
            </w:rPr>
            <w:t xml:space="preserve"> </w:t>
          </w:r>
          <w:r>
            <w:rPr>
              <w:b/>
              <w:bCs/>
              <w:spacing w:val="-12"/>
              <w:sz w:val="22"/>
              <w:szCs w:val="22"/>
            </w:rPr>
            <w:t>监</w:t>
          </w:r>
          <w:r>
            <w:rPr>
              <w:spacing w:val="-38"/>
              <w:sz w:val="22"/>
              <w:szCs w:val="22"/>
            </w:rPr>
            <w:t xml:space="preserve"> </w:t>
          </w:r>
          <w:r>
            <w:rPr>
              <w:b/>
              <w:bCs/>
              <w:spacing w:val="-12"/>
              <w:sz w:val="22"/>
              <w:szCs w:val="22"/>
            </w:rPr>
            <w:t>测</w:t>
          </w:r>
          <w:r>
            <w:rPr>
              <w:spacing w:val="-94"/>
              <w:sz w:val="22"/>
              <w:szCs w:val="22"/>
            </w:rPr>
            <w:t xml:space="preserve"> </w:t>
          </w:r>
          <w:r>
            <w:rPr>
              <w:sz w:val="22"/>
              <w:szCs w:val="22"/>
            </w:rPr>
            <w:tab/>
          </w:r>
          <w:r>
            <w:rPr>
              <w:spacing w:val="-44"/>
              <w:sz w:val="22"/>
              <w:szCs w:val="22"/>
            </w:rPr>
            <w:t xml:space="preserve"> </w:t>
          </w:r>
          <w:r>
            <w:rPr>
              <w:rFonts w:ascii="Times New Roman" w:hAnsi="Times New Roman" w:eastAsia="Times New Roman" w:cs="Times New Roman"/>
              <w:b/>
              <w:bCs/>
              <w:spacing w:val="-4"/>
              <w:sz w:val="22"/>
              <w:szCs w:val="22"/>
            </w:rPr>
            <w:t>146</w:t>
          </w:r>
          <w:r>
            <w:rPr>
              <w:rFonts w:ascii="Times New Roman" w:hAnsi="Times New Roman" w:eastAsia="Times New Roman" w:cs="Times New Roman"/>
              <w:b/>
              <w:bCs/>
              <w:spacing w:val="-4"/>
              <w:sz w:val="22"/>
              <w:szCs w:val="22"/>
            </w:rPr>
            <w:fldChar w:fldCharType="end"/>
          </w:r>
        </w:p>
        <w:p w14:paraId="62366394">
          <w:pPr>
            <w:pStyle w:val="2"/>
            <w:tabs>
              <w:tab w:val="right" w:leader="dot" w:pos="9060"/>
            </w:tabs>
            <w:spacing w:before="138" w:line="221" w:lineRule="auto"/>
            <w:ind w:left="1006"/>
            <w:rPr>
              <w:rFonts w:ascii="Times New Roman" w:hAnsi="Times New Roman" w:eastAsia="Times New Roman" w:cs="Times New Roman"/>
              <w:sz w:val="22"/>
              <w:szCs w:val="22"/>
            </w:rPr>
          </w:pPr>
          <w:r>
            <w:fldChar w:fldCharType="begin"/>
          </w:r>
          <w:r>
            <w:instrText xml:space="preserve"> HYPERLINK \l "bookmark177" </w:instrText>
          </w:r>
          <w:r>
            <w:fldChar w:fldCharType="separate"/>
          </w:r>
          <w:r>
            <w:rPr>
              <w:spacing w:val="-5"/>
              <w:sz w:val="22"/>
              <w:szCs w:val="22"/>
            </w:rPr>
            <w:t>第一节</w:t>
          </w:r>
          <w:r>
            <w:rPr>
              <w:spacing w:val="75"/>
              <w:sz w:val="22"/>
              <w:szCs w:val="22"/>
            </w:rPr>
            <w:t xml:space="preserve"> </w:t>
          </w:r>
          <w:r>
            <w:rPr>
              <w:spacing w:val="-5"/>
              <w:sz w:val="22"/>
              <w:szCs w:val="22"/>
            </w:rPr>
            <w:t>概</w:t>
          </w:r>
          <w:r>
            <w:rPr>
              <w:spacing w:val="-34"/>
              <w:sz w:val="22"/>
              <w:szCs w:val="22"/>
            </w:rPr>
            <w:t xml:space="preserve"> </w:t>
          </w:r>
          <w:r>
            <w:rPr>
              <w:spacing w:val="-5"/>
              <w:sz w:val="22"/>
              <w:szCs w:val="22"/>
            </w:rPr>
            <w:t>述</w:t>
          </w:r>
          <w:r>
            <w:rPr>
              <w:spacing w:val="-87"/>
              <w:sz w:val="22"/>
              <w:szCs w:val="22"/>
            </w:rPr>
            <w:t xml:space="preserve"> </w:t>
          </w:r>
          <w:r>
            <w:rPr>
              <w:sz w:val="22"/>
              <w:szCs w:val="22"/>
            </w:rPr>
            <w:tab/>
          </w:r>
          <w:r>
            <w:rPr>
              <w:spacing w:val="-76"/>
              <w:sz w:val="22"/>
              <w:szCs w:val="22"/>
            </w:rPr>
            <w:t xml:space="preserve"> </w:t>
          </w:r>
          <w:r>
            <w:rPr>
              <w:rFonts w:ascii="Times New Roman" w:hAnsi="Times New Roman" w:eastAsia="Times New Roman" w:cs="Times New Roman"/>
              <w:spacing w:val="-6"/>
              <w:sz w:val="22"/>
              <w:szCs w:val="22"/>
            </w:rPr>
            <w:t>146</w:t>
          </w:r>
          <w:r>
            <w:rPr>
              <w:rFonts w:ascii="Times New Roman" w:hAnsi="Times New Roman" w:eastAsia="Times New Roman" w:cs="Times New Roman"/>
              <w:spacing w:val="-6"/>
              <w:sz w:val="22"/>
              <w:szCs w:val="22"/>
            </w:rPr>
            <w:fldChar w:fldCharType="end"/>
          </w:r>
        </w:p>
        <w:p w14:paraId="232E3602">
          <w:pPr>
            <w:pStyle w:val="2"/>
            <w:tabs>
              <w:tab w:val="right" w:leader="dot" w:pos="8990"/>
            </w:tabs>
            <w:spacing w:before="117" w:line="221" w:lineRule="auto"/>
            <w:ind w:left="1426"/>
            <w:rPr>
              <w:rFonts w:ascii="Times New Roman" w:hAnsi="Times New Roman" w:eastAsia="Times New Roman" w:cs="Times New Roman"/>
              <w:sz w:val="22"/>
              <w:szCs w:val="22"/>
            </w:rPr>
          </w:pPr>
          <w:r>
            <w:fldChar w:fldCharType="begin"/>
          </w:r>
          <w:r>
            <w:instrText xml:space="preserve"> HYPERLINK \l "bookmark178" </w:instrText>
          </w:r>
          <w:r>
            <w:fldChar w:fldCharType="separate"/>
          </w:r>
          <w:r>
            <w:rPr>
              <w:spacing w:val="-11"/>
              <w:sz w:val="22"/>
              <w:szCs w:val="22"/>
            </w:rPr>
            <w:t>一</w:t>
          </w:r>
          <w:r>
            <w:rPr>
              <w:spacing w:val="-47"/>
              <w:sz w:val="22"/>
              <w:szCs w:val="22"/>
            </w:rPr>
            <w:t xml:space="preserve"> </w:t>
          </w:r>
          <w:r>
            <w:rPr>
              <w:spacing w:val="-11"/>
              <w:sz w:val="22"/>
              <w:szCs w:val="22"/>
            </w:rPr>
            <w:t>、基本概念</w:t>
          </w:r>
          <w:r>
            <w:rPr>
              <w:spacing w:val="-88"/>
              <w:sz w:val="22"/>
              <w:szCs w:val="22"/>
            </w:rPr>
            <w:t xml:space="preserve"> </w:t>
          </w:r>
          <w:r>
            <w:rPr>
              <w:sz w:val="22"/>
              <w:szCs w:val="22"/>
            </w:rPr>
            <w:tab/>
          </w:r>
          <w:r>
            <w:rPr>
              <w:rFonts w:ascii="Times New Roman" w:hAnsi="Times New Roman" w:eastAsia="Times New Roman" w:cs="Times New Roman"/>
              <w:spacing w:val="-5"/>
              <w:sz w:val="22"/>
              <w:szCs w:val="22"/>
            </w:rPr>
            <w:t>146</w:t>
          </w:r>
          <w:r>
            <w:rPr>
              <w:rFonts w:ascii="Times New Roman" w:hAnsi="Times New Roman" w:eastAsia="Times New Roman" w:cs="Times New Roman"/>
              <w:spacing w:val="-5"/>
              <w:sz w:val="22"/>
              <w:szCs w:val="22"/>
            </w:rPr>
            <w:fldChar w:fldCharType="end"/>
          </w:r>
        </w:p>
        <w:p w14:paraId="1836E542">
          <w:pPr>
            <w:pStyle w:val="2"/>
            <w:tabs>
              <w:tab w:val="right" w:leader="dot" w:pos="9010"/>
            </w:tabs>
            <w:spacing w:before="129" w:line="223" w:lineRule="auto"/>
            <w:ind w:left="1426"/>
            <w:rPr>
              <w:rFonts w:ascii="Times New Roman" w:hAnsi="Times New Roman" w:eastAsia="Times New Roman" w:cs="Times New Roman"/>
              <w:sz w:val="22"/>
              <w:szCs w:val="22"/>
            </w:rPr>
          </w:pPr>
          <w:r>
            <w:fldChar w:fldCharType="begin"/>
          </w:r>
          <w:r>
            <w:instrText xml:space="preserve"> HYPERLINK \l "bookmark179" </w:instrText>
          </w:r>
          <w:r>
            <w:fldChar w:fldCharType="separate"/>
          </w:r>
          <w:r>
            <w:rPr>
              <w:spacing w:val="-8"/>
              <w:sz w:val="22"/>
              <w:szCs w:val="22"/>
            </w:rPr>
            <w:t>二</w:t>
          </w:r>
          <w:r>
            <w:rPr>
              <w:spacing w:val="-42"/>
              <w:sz w:val="22"/>
              <w:szCs w:val="22"/>
            </w:rPr>
            <w:t xml:space="preserve"> </w:t>
          </w:r>
          <w:r>
            <w:rPr>
              <w:spacing w:val="-8"/>
              <w:sz w:val="22"/>
              <w:szCs w:val="22"/>
            </w:rPr>
            <w:t>、目的和意义</w:t>
          </w:r>
          <w:r>
            <w:rPr>
              <w:sz w:val="22"/>
              <w:szCs w:val="22"/>
            </w:rPr>
            <w:tab/>
          </w:r>
          <w:r>
            <w:rPr>
              <w:rFonts w:ascii="Times New Roman" w:hAnsi="Times New Roman" w:eastAsia="Times New Roman" w:cs="Times New Roman"/>
              <w:spacing w:val="-1"/>
              <w:sz w:val="22"/>
              <w:szCs w:val="22"/>
            </w:rPr>
            <w:t>147</w:t>
          </w:r>
          <w:r>
            <w:rPr>
              <w:rFonts w:ascii="Times New Roman" w:hAnsi="Times New Roman" w:eastAsia="Times New Roman" w:cs="Times New Roman"/>
              <w:spacing w:val="-1"/>
              <w:sz w:val="22"/>
              <w:szCs w:val="22"/>
            </w:rPr>
            <w:fldChar w:fldCharType="end"/>
          </w:r>
        </w:p>
      </w:sdtContent>
    </w:sdt>
    <w:p w14:paraId="687F44D3">
      <w:pPr>
        <w:spacing w:line="223" w:lineRule="auto"/>
        <w:rPr>
          <w:rFonts w:ascii="Times New Roman" w:hAnsi="Times New Roman" w:eastAsia="Times New Roman" w:cs="Times New Roman"/>
          <w:sz w:val="22"/>
          <w:szCs w:val="22"/>
        </w:rPr>
        <w:sectPr>
          <w:footerReference r:id="rId23" w:type="default"/>
          <w:pgSz w:w="11900" w:h="16820"/>
          <w:pgMar w:top="400" w:right="745" w:bottom="863" w:left="1373" w:header="0" w:footer="665" w:gutter="0"/>
          <w:cols w:space="720" w:num="1"/>
        </w:sectPr>
      </w:pPr>
    </w:p>
    <w:sdt>
      <w:sdtPr>
        <w:rPr>
          <w:rFonts w:ascii="黑体" w:hAnsi="黑体" w:eastAsia="黑体" w:cs="黑体"/>
          <w:sz w:val="21"/>
          <w:szCs w:val="21"/>
        </w:rPr>
        <w:id w:val="924944301"/>
        <w:docPartObj>
          <w:docPartGallery w:val="Table of Contents"/>
          <w:docPartUnique/>
        </w:docPartObj>
      </w:sdtPr>
      <w:sdtEndPr>
        <w:rPr>
          <w:rFonts w:ascii="Times New Roman" w:hAnsi="Times New Roman" w:eastAsia="Times New Roman" w:cs="Times New Roman"/>
          <w:sz w:val="21"/>
          <w:szCs w:val="21"/>
        </w:rPr>
      </w:sdtEndPr>
      <w:sdtContent>
        <w:p w14:paraId="53958522">
          <w:pPr>
            <w:pStyle w:val="2"/>
            <w:spacing w:before="224" w:line="222" w:lineRule="auto"/>
            <w:ind w:left="612"/>
            <w:rPr>
              <w:sz w:val="21"/>
              <w:szCs w:val="21"/>
            </w:rPr>
          </w:pPr>
          <w:r>
            <w:rPr>
              <w:b/>
              <w:bCs/>
              <w:spacing w:val="-22"/>
              <w:sz w:val="21"/>
              <w:szCs w:val="21"/>
            </w:rPr>
            <w:t>目录</w:t>
          </w:r>
        </w:p>
        <w:p w14:paraId="52BF9713">
          <w:pPr>
            <w:spacing w:line="279" w:lineRule="auto"/>
            <w:rPr>
              <w:rFonts w:ascii="Arial"/>
              <w:sz w:val="21"/>
            </w:rPr>
          </w:pPr>
        </w:p>
        <w:p w14:paraId="2A53BB62">
          <w:pPr>
            <w:spacing w:line="279" w:lineRule="auto"/>
            <w:rPr>
              <w:rFonts w:ascii="Arial"/>
              <w:sz w:val="21"/>
            </w:rPr>
          </w:pPr>
        </w:p>
        <w:p w14:paraId="6C88CD5F">
          <w:pPr>
            <w:pStyle w:val="2"/>
            <w:tabs>
              <w:tab w:val="right" w:leader="dot" w:pos="9490"/>
            </w:tabs>
            <w:spacing w:before="68" w:line="221" w:lineRule="auto"/>
            <w:ind w:left="1619"/>
            <w:rPr>
              <w:rFonts w:ascii="Times New Roman" w:hAnsi="Times New Roman" w:eastAsia="Times New Roman" w:cs="Times New Roman"/>
              <w:sz w:val="21"/>
              <w:szCs w:val="21"/>
            </w:rPr>
          </w:pPr>
          <w:r>
            <w:fldChar w:fldCharType="begin"/>
          </w:r>
          <w:r>
            <w:instrText xml:space="preserve"> HYPERLINK \l "bookmark180" </w:instrText>
          </w:r>
          <w:r>
            <w:fldChar w:fldCharType="separate"/>
          </w:r>
          <w:r>
            <w:rPr>
              <w:spacing w:val="12"/>
              <w:sz w:val="21"/>
              <w:szCs w:val="21"/>
            </w:rPr>
            <w:t>第二节 种类与内容</w:t>
          </w:r>
          <w:r>
            <w:rPr>
              <w:spacing w:val="-79"/>
              <w:sz w:val="21"/>
              <w:szCs w:val="21"/>
            </w:rPr>
            <w:t xml:space="preserve"> </w:t>
          </w:r>
          <w:r>
            <w:rPr>
              <w:sz w:val="21"/>
              <w:szCs w:val="21"/>
            </w:rPr>
            <w:tab/>
          </w:r>
          <w:r>
            <w:rPr>
              <w:rFonts w:ascii="Times New Roman" w:hAnsi="Times New Roman" w:eastAsia="Times New Roman" w:cs="Times New Roman"/>
              <w:spacing w:val="-3"/>
              <w:sz w:val="21"/>
              <w:szCs w:val="21"/>
            </w:rPr>
            <w:t>148</w:t>
          </w:r>
          <w:r>
            <w:rPr>
              <w:rFonts w:ascii="Times New Roman" w:hAnsi="Times New Roman" w:eastAsia="Times New Roman" w:cs="Times New Roman"/>
              <w:spacing w:val="-3"/>
              <w:sz w:val="21"/>
              <w:szCs w:val="21"/>
            </w:rPr>
            <w:fldChar w:fldCharType="end"/>
          </w:r>
        </w:p>
        <w:p w14:paraId="7802B7C0">
          <w:pPr>
            <w:pStyle w:val="2"/>
            <w:tabs>
              <w:tab w:val="right" w:leader="dot" w:pos="9460"/>
            </w:tabs>
            <w:spacing w:before="128" w:line="221" w:lineRule="auto"/>
            <w:ind w:left="2020"/>
            <w:rPr>
              <w:rFonts w:ascii="Times New Roman" w:hAnsi="Times New Roman" w:eastAsia="Times New Roman" w:cs="Times New Roman"/>
              <w:sz w:val="21"/>
              <w:szCs w:val="21"/>
            </w:rPr>
          </w:pPr>
          <w:r>
            <w:fldChar w:fldCharType="begin"/>
          </w:r>
          <w:r>
            <w:instrText xml:space="preserve"> HYPERLINK \l "bookmark181" </w:instrText>
          </w:r>
          <w:r>
            <w:fldChar w:fldCharType="separate"/>
          </w:r>
          <w:r>
            <w:rPr>
              <w:spacing w:val="-9"/>
              <w:sz w:val="21"/>
              <w:szCs w:val="21"/>
            </w:rPr>
            <w:t>一</w:t>
          </w:r>
          <w:r>
            <w:rPr>
              <w:spacing w:val="-26"/>
              <w:sz w:val="21"/>
              <w:szCs w:val="21"/>
            </w:rPr>
            <w:t xml:space="preserve"> </w:t>
          </w:r>
          <w:r>
            <w:rPr>
              <w:spacing w:val="-9"/>
              <w:sz w:val="21"/>
              <w:szCs w:val="21"/>
            </w:rPr>
            <w:t>、疾病监测</w:t>
          </w:r>
          <w:r>
            <w:rPr>
              <w:spacing w:val="-92"/>
              <w:sz w:val="21"/>
              <w:szCs w:val="21"/>
            </w:rPr>
            <w:t xml:space="preserve"> </w:t>
          </w:r>
          <w:r>
            <w:rPr>
              <w:sz w:val="21"/>
              <w:szCs w:val="21"/>
            </w:rPr>
            <w:tab/>
          </w:r>
          <w:r>
            <w:rPr>
              <w:rFonts w:ascii="Times New Roman" w:hAnsi="Times New Roman" w:eastAsia="Times New Roman" w:cs="Times New Roman"/>
              <w:spacing w:val="-7"/>
              <w:sz w:val="21"/>
              <w:szCs w:val="21"/>
            </w:rPr>
            <w:t>148</w:t>
          </w:r>
          <w:r>
            <w:rPr>
              <w:rFonts w:ascii="Times New Roman" w:hAnsi="Times New Roman" w:eastAsia="Times New Roman" w:cs="Times New Roman"/>
              <w:spacing w:val="-7"/>
              <w:sz w:val="21"/>
              <w:szCs w:val="21"/>
            </w:rPr>
            <w:fldChar w:fldCharType="end"/>
          </w:r>
        </w:p>
        <w:p w14:paraId="1BB88D54">
          <w:pPr>
            <w:pStyle w:val="2"/>
            <w:tabs>
              <w:tab w:val="right" w:leader="dot" w:pos="9470"/>
            </w:tabs>
            <w:spacing w:before="138" w:line="221" w:lineRule="auto"/>
            <w:ind w:left="2020"/>
            <w:rPr>
              <w:rFonts w:ascii="Times New Roman" w:hAnsi="Times New Roman" w:eastAsia="Times New Roman" w:cs="Times New Roman"/>
              <w:sz w:val="21"/>
              <w:szCs w:val="21"/>
            </w:rPr>
          </w:pPr>
          <w:r>
            <w:fldChar w:fldCharType="begin"/>
          </w:r>
          <w:r>
            <w:instrText xml:space="preserve"> HYPERLINK \l "bookmark182" </w:instrText>
          </w:r>
          <w:r>
            <w:fldChar w:fldCharType="separate"/>
          </w:r>
          <w:r>
            <w:rPr>
              <w:spacing w:val="-5"/>
              <w:sz w:val="21"/>
              <w:szCs w:val="21"/>
            </w:rPr>
            <w:t>二</w:t>
          </w:r>
          <w:r>
            <w:rPr>
              <w:spacing w:val="-50"/>
              <w:sz w:val="21"/>
              <w:szCs w:val="21"/>
            </w:rPr>
            <w:t xml:space="preserve"> </w:t>
          </w:r>
          <w:r>
            <w:rPr>
              <w:spacing w:val="-5"/>
              <w:sz w:val="21"/>
              <w:szCs w:val="21"/>
            </w:rPr>
            <w:t>、症状监测</w:t>
          </w:r>
          <w:r>
            <w:rPr>
              <w:spacing w:val="-92"/>
              <w:sz w:val="21"/>
              <w:szCs w:val="21"/>
            </w:rPr>
            <w:t xml:space="preserve"> </w:t>
          </w:r>
          <w:r>
            <w:rPr>
              <w:sz w:val="21"/>
              <w:szCs w:val="21"/>
            </w:rPr>
            <w:tab/>
          </w:r>
          <w:r>
            <w:rPr>
              <w:rFonts w:ascii="Times New Roman" w:hAnsi="Times New Roman" w:eastAsia="Times New Roman" w:cs="Times New Roman"/>
              <w:spacing w:val="-5"/>
              <w:sz w:val="21"/>
              <w:szCs w:val="21"/>
            </w:rPr>
            <w:t>149</w:t>
          </w:r>
          <w:r>
            <w:rPr>
              <w:rFonts w:ascii="Times New Roman" w:hAnsi="Times New Roman" w:eastAsia="Times New Roman" w:cs="Times New Roman"/>
              <w:spacing w:val="-5"/>
              <w:sz w:val="21"/>
              <w:szCs w:val="21"/>
            </w:rPr>
            <w:fldChar w:fldCharType="end"/>
          </w:r>
        </w:p>
        <w:p w14:paraId="12648C6F">
          <w:pPr>
            <w:pStyle w:val="2"/>
            <w:tabs>
              <w:tab w:val="right" w:leader="dot" w:pos="9470"/>
            </w:tabs>
            <w:spacing w:before="136" w:line="222" w:lineRule="auto"/>
            <w:ind w:left="2023"/>
            <w:rPr>
              <w:rFonts w:ascii="Times New Roman" w:hAnsi="Times New Roman" w:eastAsia="Times New Roman" w:cs="Times New Roman"/>
              <w:sz w:val="21"/>
              <w:szCs w:val="21"/>
            </w:rPr>
          </w:pPr>
          <w:r>
            <w:fldChar w:fldCharType="begin"/>
          </w:r>
          <w:r>
            <w:instrText xml:space="preserve"> HYPERLINK \l "bookmark183" </w:instrText>
          </w:r>
          <w:r>
            <w:fldChar w:fldCharType="separate"/>
          </w:r>
          <w:r>
            <w:rPr>
              <w:b/>
              <w:bCs/>
              <w:spacing w:val="-7"/>
              <w:sz w:val="21"/>
              <w:szCs w:val="21"/>
            </w:rPr>
            <w:t>三</w:t>
          </w:r>
          <w:r>
            <w:rPr>
              <w:spacing w:val="-48"/>
              <w:sz w:val="21"/>
              <w:szCs w:val="21"/>
            </w:rPr>
            <w:t xml:space="preserve"> </w:t>
          </w:r>
          <w:r>
            <w:rPr>
              <w:b/>
              <w:bCs/>
              <w:spacing w:val="-7"/>
              <w:sz w:val="21"/>
              <w:szCs w:val="21"/>
            </w:rPr>
            <w:t>、行为危险因素监测</w:t>
          </w:r>
          <w:r>
            <w:rPr>
              <w:spacing w:val="-89"/>
              <w:sz w:val="21"/>
              <w:szCs w:val="21"/>
            </w:rPr>
            <w:t xml:space="preserve"> </w:t>
          </w:r>
          <w:r>
            <w:rPr>
              <w:sz w:val="21"/>
              <w:szCs w:val="21"/>
            </w:rPr>
            <w:tab/>
          </w:r>
          <w:r>
            <w:rPr>
              <w:rFonts w:ascii="Times New Roman" w:hAnsi="Times New Roman" w:eastAsia="Times New Roman" w:cs="Times New Roman"/>
              <w:b/>
              <w:bCs/>
              <w:spacing w:val="-4"/>
              <w:sz w:val="21"/>
              <w:szCs w:val="21"/>
            </w:rPr>
            <w:t>150</w:t>
          </w:r>
          <w:r>
            <w:rPr>
              <w:rFonts w:ascii="Times New Roman" w:hAnsi="Times New Roman" w:eastAsia="Times New Roman" w:cs="Times New Roman"/>
              <w:b/>
              <w:bCs/>
              <w:spacing w:val="-4"/>
              <w:sz w:val="21"/>
              <w:szCs w:val="21"/>
            </w:rPr>
            <w:fldChar w:fldCharType="end"/>
          </w:r>
        </w:p>
        <w:p w14:paraId="7A345B95">
          <w:pPr>
            <w:pStyle w:val="2"/>
            <w:tabs>
              <w:tab w:val="right" w:leader="dot" w:pos="9500"/>
            </w:tabs>
            <w:spacing w:before="142" w:line="222" w:lineRule="auto"/>
            <w:ind w:left="2020"/>
            <w:rPr>
              <w:rFonts w:ascii="Times New Roman" w:hAnsi="Times New Roman" w:eastAsia="Times New Roman" w:cs="Times New Roman"/>
              <w:sz w:val="21"/>
              <w:szCs w:val="21"/>
            </w:rPr>
          </w:pPr>
          <w:r>
            <w:fldChar w:fldCharType="begin"/>
          </w:r>
          <w:r>
            <w:instrText xml:space="preserve"> HYPERLINK \l "bookmark184" </w:instrText>
          </w:r>
          <w:r>
            <w:fldChar w:fldCharType="separate"/>
          </w:r>
          <w:r>
            <w:rPr>
              <w:spacing w:val="-7"/>
              <w:sz w:val="21"/>
              <w:szCs w:val="21"/>
            </w:rPr>
            <w:t>四</w:t>
          </w:r>
          <w:r>
            <w:rPr>
              <w:spacing w:val="-50"/>
              <w:sz w:val="21"/>
              <w:szCs w:val="21"/>
            </w:rPr>
            <w:t xml:space="preserve"> </w:t>
          </w:r>
          <w:r>
            <w:rPr>
              <w:spacing w:val="-7"/>
              <w:sz w:val="21"/>
              <w:szCs w:val="21"/>
            </w:rPr>
            <w:t>、其他公共卫生监测</w:t>
          </w:r>
          <w:r>
            <w:rPr>
              <w:spacing w:val="-92"/>
              <w:sz w:val="21"/>
              <w:szCs w:val="21"/>
            </w:rPr>
            <w:t xml:space="preserve"> </w:t>
          </w:r>
          <w:r>
            <w:rPr>
              <w:sz w:val="21"/>
              <w:szCs w:val="21"/>
            </w:rPr>
            <w:tab/>
          </w:r>
          <w:r>
            <w:rPr>
              <w:spacing w:val="-31"/>
              <w:sz w:val="21"/>
              <w:szCs w:val="21"/>
            </w:rPr>
            <w:t xml:space="preserve"> </w:t>
          </w:r>
          <w:r>
            <w:rPr>
              <w:rFonts w:ascii="Times New Roman" w:hAnsi="Times New Roman" w:eastAsia="Times New Roman" w:cs="Times New Roman"/>
              <w:spacing w:val="-6"/>
              <w:sz w:val="21"/>
              <w:szCs w:val="21"/>
            </w:rPr>
            <w:t>150</w:t>
          </w:r>
          <w:r>
            <w:rPr>
              <w:rFonts w:ascii="Times New Roman" w:hAnsi="Times New Roman" w:eastAsia="Times New Roman" w:cs="Times New Roman"/>
              <w:spacing w:val="-6"/>
              <w:sz w:val="21"/>
              <w:szCs w:val="21"/>
            </w:rPr>
            <w:fldChar w:fldCharType="end"/>
          </w:r>
        </w:p>
        <w:p w14:paraId="01C9290E">
          <w:pPr>
            <w:pStyle w:val="2"/>
            <w:tabs>
              <w:tab w:val="right" w:leader="dot" w:pos="9490"/>
            </w:tabs>
            <w:spacing w:before="135" w:line="221" w:lineRule="auto"/>
            <w:ind w:left="1619"/>
            <w:rPr>
              <w:rFonts w:ascii="Times New Roman" w:hAnsi="Times New Roman" w:eastAsia="Times New Roman" w:cs="Times New Roman"/>
              <w:sz w:val="21"/>
              <w:szCs w:val="21"/>
            </w:rPr>
          </w:pPr>
          <w:r>
            <w:fldChar w:fldCharType="begin"/>
          </w:r>
          <w:r>
            <w:instrText xml:space="preserve"> HYPERLINK \l "bookmark185" </w:instrText>
          </w:r>
          <w:r>
            <w:fldChar w:fldCharType="separate"/>
          </w:r>
          <w:r>
            <w:rPr>
              <w:spacing w:val="11"/>
              <w:sz w:val="21"/>
              <w:szCs w:val="21"/>
            </w:rPr>
            <w:t>第三节 方法与程序</w:t>
          </w:r>
          <w:r>
            <w:rPr>
              <w:spacing w:val="-80"/>
              <w:sz w:val="21"/>
              <w:szCs w:val="21"/>
            </w:rPr>
            <w:t xml:space="preserve"> </w:t>
          </w:r>
          <w:r>
            <w:rPr>
              <w:sz w:val="21"/>
              <w:szCs w:val="21"/>
            </w:rPr>
            <w:tab/>
          </w:r>
          <w:r>
            <w:rPr>
              <w:rFonts w:ascii="Times New Roman" w:hAnsi="Times New Roman" w:eastAsia="Times New Roman" w:cs="Times New Roman"/>
              <w:spacing w:val="-1"/>
              <w:sz w:val="21"/>
              <w:szCs w:val="21"/>
            </w:rPr>
            <w:t>150</w:t>
          </w:r>
          <w:r>
            <w:rPr>
              <w:rFonts w:ascii="Times New Roman" w:hAnsi="Times New Roman" w:eastAsia="Times New Roman" w:cs="Times New Roman"/>
              <w:spacing w:val="-1"/>
              <w:sz w:val="21"/>
              <w:szCs w:val="21"/>
            </w:rPr>
            <w:fldChar w:fldCharType="end"/>
          </w:r>
        </w:p>
        <w:p w14:paraId="70F316D9">
          <w:pPr>
            <w:pStyle w:val="2"/>
            <w:tabs>
              <w:tab w:val="right" w:leader="dot" w:pos="9470"/>
            </w:tabs>
            <w:spacing w:before="139" w:line="221" w:lineRule="auto"/>
            <w:ind w:left="2020"/>
            <w:rPr>
              <w:rFonts w:ascii="Times New Roman" w:hAnsi="Times New Roman" w:eastAsia="Times New Roman" w:cs="Times New Roman"/>
              <w:sz w:val="21"/>
              <w:szCs w:val="21"/>
            </w:rPr>
          </w:pPr>
          <w:r>
            <w:fldChar w:fldCharType="begin"/>
          </w:r>
          <w:r>
            <w:instrText xml:space="preserve"> HYPERLINK \l "bookmark186" </w:instrText>
          </w:r>
          <w:r>
            <w:fldChar w:fldCharType="separate"/>
          </w:r>
          <w:r>
            <w:rPr>
              <w:spacing w:val="-8"/>
              <w:sz w:val="21"/>
              <w:szCs w:val="21"/>
            </w:rPr>
            <w:t>一</w:t>
          </w:r>
          <w:r>
            <w:rPr>
              <w:spacing w:val="-38"/>
              <w:sz w:val="21"/>
              <w:szCs w:val="21"/>
            </w:rPr>
            <w:t xml:space="preserve"> </w:t>
          </w:r>
          <w:r>
            <w:rPr>
              <w:spacing w:val="-8"/>
              <w:sz w:val="21"/>
              <w:szCs w:val="21"/>
            </w:rPr>
            <w:t>、监测方法</w:t>
          </w:r>
          <w:r>
            <w:rPr>
              <w:spacing w:val="-86"/>
              <w:sz w:val="21"/>
              <w:szCs w:val="21"/>
            </w:rPr>
            <w:t xml:space="preserve"> </w:t>
          </w:r>
          <w:r>
            <w:rPr>
              <w:sz w:val="21"/>
              <w:szCs w:val="21"/>
            </w:rPr>
            <w:tab/>
          </w:r>
          <w:r>
            <w:rPr>
              <w:rFonts w:ascii="Times New Roman" w:hAnsi="Times New Roman" w:eastAsia="Times New Roman" w:cs="Times New Roman"/>
              <w:spacing w:val="-5"/>
              <w:sz w:val="21"/>
              <w:szCs w:val="21"/>
            </w:rPr>
            <w:t>150</w:t>
          </w:r>
          <w:r>
            <w:rPr>
              <w:rFonts w:ascii="Times New Roman" w:hAnsi="Times New Roman" w:eastAsia="Times New Roman" w:cs="Times New Roman"/>
              <w:spacing w:val="-5"/>
              <w:sz w:val="21"/>
              <w:szCs w:val="21"/>
            </w:rPr>
            <w:fldChar w:fldCharType="end"/>
          </w:r>
        </w:p>
        <w:p w14:paraId="306BB757">
          <w:pPr>
            <w:pStyle w:val="2"/>
            <w:tabs>
              <w:tab w:val="right" w:leader="dot" w:pos="9490"/>
            </w:tabs>
            <w:spacing w:before="139" w:line="222" w:lineRule="auto"/>
            <w:ind w:left="2020"/>
            <w:rPr>
              <w:rFonts w:ascii="Times New Roman" w:hAnsi="Times New Roman" w:eastAsia="Times New Roman" w:cs="Times New Roman"/>
              <w:sz w:val="21"/>
              <w:szCs w:val="21"/>
            </w:rPr>
          </w:pPr>
          <w:r>
            <w:fldChar w:fldCharType="begin"/>
          </w:r>
          <w:r>
            <w:instrText xml:space="preserve"> HYPERLINK \l "bookmark187" </w:instrText>
          </w:r>
          <w:r>
            <w:fldChar w:fldCharType="separate"/>
          </w:r>
          <w:r>
            <w:rPr>
              <w:spacing w:val="-6"/>
              <w:sz w:val="21"/>
              <w:szCs w:val="21"/>
            </w:rPr>
            <w:t>二</w:t>
          </w:r>
          <w:r>
            <w:rPr>
              <w:spacing w:val="-47"/>
              <w:sz w:val="21"/>
              <w:szCs w:val="21"/>
            </w:rPr>
            <w:t xml:space="preserve"> </w:t>
          </w:r>
          <w:r>
            <w:rPr>
              <w:spacing w:val="-6"/>
              <w:sz w:val="21"/>
              <w:szCs w:val="21"/>
            </w:rPr>
            <w:t>、基本程序</w:t>
          </w:r>
          <w:r>
            <w:rPr>
              <w:spacing w:val="-89"/>
              <w:sz w:val="21"/>
              <w:szCs w:val="21"/>
            </w:rPr>
            <w:t xml:space="preserve"> </w:t>
          </w:r>
          <w:r>
            <w:rPr>
              <w:sz w:val="21"/>
              <w:szCs w:val="21"/>
            </w:rPr>
            <w:tab/>
          </w:r>
          <w:r>
            <w:rPr>
              <w:rFonts w:ascii="Times New Roman" w:hAnsi="Times New Roman" w:eastAsia="Times New Roman" w:cs="Times New Roman"/>
              <w:spacing w:val="-1"/>
              <w:sz w:val="21"/>
              <w:szCs w:val="21"/>
            </w:rPr>
            <w:t>152</w:t>
          </w:r>
          <w:r>
            <w:rPr>
              <w:rFonts w:ascii="Times New Roman" w:hAnsi="Times New Roman" w:eastAsia="Times New Roman" w:cs="Times New Roman"/>
              <w:spacing w:val="-1"/>
              <w:sz w:val="21"/>
              <w:szCs w:val="21"/>
            </w:rPr>
            <w:fldChar w:fldCharType="end"/>
          </w:r>
        </w:p>
        <w:p w14:paraId="353C9483">
          <w:pPr>
            <w:pStyle w:val="2"/>
            <w:tabs>
              <w:tab w:val="right" w:leader="dot" w:pos="9490"/>
            </w:tabs>
            <w:spacing w:before="137" w:line="221" w:lineRule="auto"/>
            <w:ind w:left="2020"/>
            <w:rPr>
              <w:rFonts w:ascii="Times New Roman" w:hAnsi="Times New Roman" w:eastAsia="Times New Roman" w:cs="Times New Roman"/>
              <w:sz w:val="21"/>
              <w:szCs w:val="21"/>
            </w:rPr>
          </w:pPr>
          <w:r>
            <w:fldChar w:fldCharType="begin"/>
          </w:r>
          <w:r>
            <w:instrText xml:space="preserve"> HYPERLINK \l "bookmark188" </w:instrText>
          </w:r>
          <w:r>
            <w:fldChar w:fldCharType="separate"/>
          </w:r>
          <w:r>
            <w:rPr>
              <w:spacing w:val="-5"/>
              <w:sz w:val="21"/>
              <w:szCs w:val="21"/>
            </w:rPr>
            <w:t>三</w:t>
          </w:r>
          <w:r>
            <w:rPr>
              <w:spacing w:val="-33"/>
              <w:sz w:val="21"/>
              <w:szCs w:val="21"/>
            </w:rPr>
            <w:t xml:space="preserve"> </w:t>
          </w:r>
          <w:r>
            <w:rPr>
              <w:spacing w:val="-5"/>
              <w:sz w:val="21"/>
              <w:szCs w:val="21"/>
            </w:rPr>
            <w:t>、公共卫生监测系统的评价</w:t>
          </w:r>
          <w:r>
            <w:rPr>
              <w:spacing w:val="-84"/>
              <w:sz w:val="21"/>
              <w:szCs w:val="21"/>
            </w:rPr>
            <w:t xml:space="preserve"> </w:t>
          </w:r>
          <w:r>
            <w:rPr>
              <w:sz w:val="21"/>
              <w:szCs w:val="21"/>
            </w:rPr>
            <w:tab/>
          </w:r>
          <w:r>
            <w:rPr>
              <w:spacing w:val="-71"/>
              <w:sz w:val="21"/>
              <w:szCs w:val="21"/>
            </w:rPr>
            <w:t xml:space="preserve"> </w:t>
          </w:r>
          <w:r>
            <w:rPr>
              <w:rFonts w:ascii="Times New Roman" w:hAnsi="Times New Roman" w:eastAsia="Times New Roman" w:cs="Times New Roman"/>
              <w:spacing w:val="-6"/>
              <w:sz w:val="21"/>
              <w:szCs w:val="21"/>
            </w:rPr>
            <w:t>152</w:t>
          </w:r>
          <w:r>
            <w:rPr>
              <w:rFonts w:ascii="Times New Roman" w:hAnsi="Times New Roman" w:eastAsia="Times New Roman" w:cs="Times New Roman"/>
              <w:spacing w:val="-6"/>
              <w:sz w:val="21"/>
              <w:szCs w:val="21"/>
            </w:rPr>
            <w:fldChar w:fldCharType="end"/>
          </w:r>
        </w:p>
        <w:p w14:paraId="0F62EEB7">
          <w:pPr>
            <w:spacing w:line="414" w:lineRule="auto"/>
            <w:rPr>
              <w:rFonts w:ascii="Arial"/>
              <w:sz w:val="21"/>
            </w:rPr>
          </w:pPr>
        </w:p>
        <w:p w14:paraId="1E7FFFD0">
          <w:pPr>
            <w:pStyle w:val="2"/>
            <w:tabs>
              <w:tab w:val="right" w:leader="dot" w:pos="9390"/>
            </w:tabs>
            <w:spacing w:before="69" w:line="221" w:lineRule="auto"/>
            <w:ind w:left="672"/>
            <w:rPr>
              <w:rFonts w:ascii="Times New Roman" w:hAnsi="Times New Roman" w:eastAsia="Times New Roman" w:cs="Times New Roman"/>
              <w:sz w:val="21"/>
              <w:szCs w:val="21"/>
            </w:rPr>
          </w:pPr>
          <w:r>
            <w:fldChar w:fldCharType="begin"/>
          </w:r>
          <w:r>
            <w:instrText xml:space="preserve"> HYPERLINK \l "bookmark189" </w:instrText>
          </w:r>
          <w:r>
            <w:fldChar w:fldCharType="separate"/>
          </w:r>
          <w:r>
            <w:rPr>
              <w:b/>
              <w:bCs/>
              <w:spacing w:val="-12"/>
              <w:sz w:val="21"/>
              <w:szCs w:val="21"/>
            </w:rPr>
            <w:t>第</w:t>
          </w:r>
          <w:r>
            <w:rPr>
              <w:spacing w:val="-25"/>
              <w:sz w:val="21"/>
              <w:szCs w:val="21"/>
            </w:rPr>
            <w:t xml:space="preserve"> </w:t>
          </w:r>
          <w:r>
            <w:rPr>
              <w:b/>
              <w:bCs/>
              <w:spacing w:val="-12"/>
              <w:sz w:val="21"/>
              <w:szCs w:val="21"/>
            </w:rPr>
            <w:t>十</w:t>
          </w:r>
          <w:r>
            <w:rPr>
              <w:spacing w:val="-34"/>
              <w:sz w:val="21"/>
              <w:szCs w:val="21"/>
            </w:rPr>
            <w:t xml:space="preserve"> </w:t>
          </w:r>
          <w:r>
            <w:rPr>
              <w:b/>
              <w:bCs/>
              <w:spacing w:val="-12"/>
              <w:sz w:val="21"/>
              <w:szCs w:val="21"/>
            </w:rPr>
            <w:t>一</w:t>
          </w:r>
          <w:r>
            <w:rPr>
              <w:spacing w:val="-36"/>
              <w:sz w:val="21"/>
              <w:szCs w:val="21"/>
            </w:rPr>
            <w:t xml:space="preserve"> </w:t>
          </w:r>
          <w:r>
            <w:rPr>
              <w:b/>
              <w:bCs/>
              <w:spacing w:val="-12"/>
              <w:sz w:val="21"/>
              <w:szCs w:val="21"/>
            </w:rPr>
            <w:t>章</w:t>
          </w:r>
          <w:r>
            <w:rPr>
              <w:spacing w:val="61"/>
              <w:sz w:val="21"/>
              <w:szCs w:val="21"/>
            </w:rPr>
            <w:t xml:space="preserve"> </w:t>
          </w:r>
          <w:r>
            <w:rPr>
              <w:b/>
              <w:bCs/>
              <w:spacing w:val="-12"/>
              <w:sz w:val="21"/>
              <w:szCs w:val="21"/>
            </w:rPr>
            <w:t>传</w:t>
          </w:r>
          <w:r>
            <w:rPr>
              <w:spacing w:val="-38"/>
              <w:sz w:val="21"/>
              <w:szCs w:val="21"/>
            </w:rPr>
            <w:t xml:space="preserve"> </w:t>
          </w:r>
          <w:r>
            <w:rPr>
              <w:b/>
              <w:bCs/>
              <w:spacing w:val="-12"/>
              <w:sz w:val="21"/>
              <w:szCs w:val="21"/>
            </w:rPr>
            <w:t>染</w:t>
          </w:r>
          <w:r>
            <w:rPr>
              <w:spacing w:val="-40"/>
              <w:sz w:val="21"/>
              <w:szCs w:val="21"/>
            </w:rPr>
            <w:t xml:space="preserve"> </w:t>
          </w:r>
          <w:r>
            <w:rPr>
              <w:b/>
              <w:bCs/>
              <w:spacing w:val="-12"/>
              <w:sz w:val="21"/>
              <w:szCs w:val="21"/>
            </w:rPr>
            <w:t>病</w:t>
          </w:r>
          <w:r>
            <w:rPr>
              <w:spacing w:val="-35"/>
              <w:sz w:val="21"/>
              <w:szCs w:val="21"/>
            </w:rPr>
            <w:t xml:space="preserve"> </w:t>
          </w:r>
          <w:r>
            <w:rPr>
              <w:b/>
              <w:bCs/>
              <w:spacing w:val="-12"/>
              <w:sz w:val="21"/>
              <w:szCs w:val="21"/>
            </w:rPr>
            <w:t>流</w:t>
          </w:r>
          <w:r>
            <w:rPr>
              <w:spacing w:val="-37"/>
              <w:sz w:val="21"/>
              <w:szCs w:val="21"/>
            </w:rPr>
            <w:t xml:space="preserve"> </w:t>
          </w:r>
          <w:r>
            <w:rPr>
              <w:b/>
              <w:bCs/>
              <w:spacing w:val="-12"/>
              <w:sz w:val="21"/>
              <w:szCs w:val="21"/>
            </w:rPr>
            <w:t>行</w:t>
          </w:r>
          <w:r>
            <w:rPr>
              <w:spacing w:val="-40"/>
              <w:sz w:val="21"/>
              <w:szCs w:val="21"/>
            </w:rPr>
            <w:t xml:space="preserve"> </w:t>
          </w:r>
          <w:r>
            <w:rPr>
              <w:b/>
              <w:bCs/>
              <w:spacing w:val="-12"/>
              <w:sz w:val="21"/>
              <w:szCs w:val="21"/>
            </w:rPr>
            <w:t>病</w:t>
          </w:r>
          <w:r>
            <w:rPr>
              <w:spacing w:val="-30"/>
              <w:sz w:val="21"/>
              <w:szCs w:val="21"/>
            </w:rPr>
            <w:t xml:space="preserve"> </w:t>
          </w:r>
          <w:r>
            <w:rPr>
              <w:b/>
              <w:bCs/>
              <w:spacing w:val="-12"/>
              <w:sz w:val="21"/>
              <w:szCs w:val="21"/>
            </w:rPr>
            <w:t>学</w:t>
          </w:r>
          <w:r>
            <w:rPr>
              <w:spacing w:val="-88"/>
              <w:sz w:val="21"/>
              <w:szCs w:val="21"/>
            </w:rPr>
            <w:t xml:space="preserve"> </w:t>
          </w:r>
          <w:r>
            <w:rPr>
              <w:sz w:val="21"/>
              <w:szCs w:val="21"/>
            </w:rPr>
            <w:tab/>
          </w:r>
          <w:r>
            <w:rPr>
              <w:rFonts w:ascii="Times New Roman" w:hAnsi="Times New Roman" w:eastAsia="Times New Roman" w:cs="Times New Roman"/>
              <w:b/>
              <w:bCs/>
              <w:spacing w:val="-2"/>
              <w:sz w:val="21"/>
              <w:szCs w:val="21"/>
            </w:rPr>
            <w:t>154</w:t>
          </w:r>
          <w:r>
            <w:rPr>
              <w:rFonts w:ascii="Times New Roman" w:hAnsi="Times New Roman" w:eastAsia="Times New Roman" w:cs="Times New Roman"/>
              <w:b/>
              <w:bCs/>
              <w:spacing w:val="-2"/>
              <w:sz w:val="21"/>
              <w:szCs w:val="21"/>
            </w:rPr>
            <w:fldChar w:fldCharType="end"/>
          </w:r>
        </w:p>
        <w:p w14:paraId="78F2FB3E">
          <w:pPr>
            <w:pStyle w:val="2"/>
            <w:tabs>
              <w:tab w:val="right" w:leader="dot" w:pos="9480"/>
            </w:tabs>
            <w:spacing w:before="142" w:line="221" w:lineRule="auto"/>
            <w:ind w:left="1909"/>
            <w:rPr>
              <w:rFonts w:ascii="Times New Roman" w:hAnsi="Times New Roman" w:eastAsia="Times New Roman" w:cs="Times New Roman"/>
              <w:sz w:val="21"/>
              <w:szCs w:val="21"/>
            </w:rPr>
          </w:pPr>
          <w:r>
            <w:fldChar w:fldCharType="begin"/>
          </w:r>
          <w:r>
            <w:instrText xml:space="preserve"> HYPERLINK \l "bookmark190" </w:instrText>
          </w:r>
          <w:r>
            <w:fldChar w:fldCharType="separate"/>
          </w:r>
          <w:r>
            <w:rPr>
              <w:spacing w:val="-5"/>
              <w:sz w:val="21"/>
              <w:szCs w:val="21"/>
            </w:rPr>
            <w:t>第一节</w:t>
          </w:r>
          <w:r>
            <w:rPr>
              <w:spacing w:val="63"/>
              <w:sz w:val="21"/>
              <w:szCs w:val="21"/>
            </w:rPr>
            <w:t xml:space="preserve"> </w:t>
          </w:r>
          <w:r>
            <w:rPr>
              <w:spacing w:val="-5"/>
              <w:sz w:val="21"/>
              <w:szCs w:val="21"/>
            </w:rPr>
            <w:t>概</w:t>
          </w:r>
          <w:r>
            <w:rPr>
              <w:spacing w:val="-32"/>
              <w:sz w:val="21"/>
              <w:szCs w:val="21"/>
            </w:rPr>
            <w:t xml:space="preserve"> </w:t>
          </w:r>
          <w:r>
            <w:rPr>
              <w:spacing w:val="-5"/>
              <w:sz w:val="21"/>
              <w:szCs w:val="21"/>
            </w:rPr>
            <w:t>述</w:t>
          </w:r>
          <w:r>
            <w:rPr>
              <w:spacing w:val="-83"/>
              <w:sz w:val="21"/>
              <w:szCs w:val="21"/>
            </w:rPr>
            <w:t xml:space="preserve"> </w:t>
          </w:r>
          <w:r>
            <w:rPr>
              <w:sz w:val="21"/>
              <w:szCs w:val="21"/>
            </w:rPr>
            <w:tab/>
          </w:r>
          <w:r>
            <w:rPr>
              <w:rFonts w:ascii="Times New Roman" w:hAnsi="Times New Roman" w:eastAsia="Times New Roman" w:cs="Times New Roman"/>
              <w:spacing w:val="-4"/>
              <w:sz w:val="21"/>
              <w:szCs w:val="21"/>
            </w:rPr>
            <w:t>154</w:t>
          </w:r>
          <w:r>
            <w:rPr>
              <w:rFonts w:ascii="Times New Roman" w:hAnsi="Times New Roman" w:eastAsia="Times New Roman" w:cs="Times New Roman"/>
              <w:spacing w:val="-4"/>
              <w:sz w:val="21"/>
              <w:szCs w:val="21"/>
            </w:rPr>
            <w:fldChar w:fldCharType="end"/>
          </w:r>
        </w:p>
        <w:p w14:paraId="67023EF7">
          <w:pPr>
            <w:pStyle w:val="2"/>
            <w:tabs>
              <w:tab w:val="right" w:leader="dot" w:pos="9490"/>
            </w:tabs>
            <w:spacing w:before="128" w:line="221" w:lineRule="auto"/>
            <w:ind w:left="2309"/>
            <w:rPr>
              <w:rFonts w:ascii="Times New Roman" w:hAnsi="Times New Roman" w:eastAsia="Times New Roman" w:cs="Times New Roman"/>
              <w:sz w:val="21"/>
              <w:szCs w:val="21"/>
            </w:rPr>
          </w:pPr>
          <w:r>
            <w:fldChar w:fldCharType="begin"/>
          </w:r>
          <w:r>
            <w:instrText xml:space="preserve"> HYPERLINK \l "bookmark191" </w:instrText>
          </w:r>
          <w:r>
            <w:fldChar w:fldCharType="separate"/>
          </w:r>
          <w:r>
            <w:rPr>
              <w:spacing w:val="-9"/>
              <w:sz w:val="21"/>
              <w:szCs w:val="21"/>
            </w:rPr>
            <w:t>一</w:t>
          </w:r>
          <w:r>
            <w:rPr>
              <w:spacing w:val="-38"/>
              <w:sz w:val="21"/>
              <w:szCs w:val="21"/>
            </w:rPr>
            <w:t xml:space="preserve"> </w:t>
          </w:r>
          <w:r>
            <w:rPr>
              <w:spacing w:val="-9"/>
              <w:sz w:val="21"/>
              <w:szCs w:val="21"/>
            </w:rPr>
            <w:t>、传染病流行简史</w:t>
          </w:r>
          <w:r>
            <w:rPr>
              <w:spacing w:val="-82"/>
              <w:sz w:val="21"/>
              <w:szCs w:val="21"/>
            </w:rPr>
            <w:t xml:space="preserve"> </w:t>
          </w:r>
          <w:r>
            <w:rPr>
              <w:sz w:val="21"/>
              <w:szCs w:val="21"/>
            </w:rPr>
            <w:tab/>
          </w:r>
          <w:r>
            <w:rPr>
              <w:rFonts w:ascii="Times New Roman" w:hAnsi="Times New Roman" w:eastAsia="Times New Roman" w:cs="Times New Roman"/>
              <w:spacing w:val="-4"/>
              <w:sz w:val="21"/>
              <w:szCs w:val="21"/>
            </w:rPr>
            <w:t>154</w:t>
          </w:r>
          <w:r>
            <w:rPr>
              <w:rFonts w:ascii="Times New Roman" w:hAnsi="Times New Roman" w:eastAsia="Times New Roman" w:cs="Times New Roman"/>
              <w:spacing w:val="-4"/>
              <w:sz w:val="21"/>
              <w:szCs w:val="21"/>
            </w:rPr>
            <w:fldChar w:fldCharType="end"/>
          </w:r>
        </w:p>
        <w:p w14:paraId="3040E044">
          <w:pPr>
            <w:pStyle w:val="2"/>
            <w:tabs>
              <w:tab w:val="right" w:leader="dot" w:pos="9530"/>
            </w:tabs>
            <w:spacing w:before="119" w:line="221" w:lineRule="auto"/>
            <w:ind w:left="2309"/>
            <w:rPr>
              <w:rFonts w:ascii="Times New Roman" w:hAnsi="Times New Roman" w:eastAsia="Times New Roman" w:cs="Times New Roman"/>
              <w:sz w:val="21"/>
              <w:szCs w:val="21"/>
            </w:rPr>
          </w:pPr>
          <w:r>
            <w:fldChar w:fldCharType="begin"/>
          </w:r>
          <w:r>
            <w:instrText xml:space="preserve"> HYPERLINK \l "bookmark192" </w:instrText>
          </w:r>
          <w:r>
            <w:fldChar w:fldCharType="separate"/>
          </w:r>
          <w:r>
            <w:rPr>
              <w:spacing w:val="-6"/>
              <w:sz w:val="21"/>
              <w:szCs w:val="21"/>
            </w:rPr>
            <w:t>二</w:t>
          </w:r>
          <w:r>
            <w:rPr>
              <w:spacing w:val="-41"/>
              <w:sz w:val="21"/>
              <w:szCs w:val="21"/>
            </w:rPr>
            <w:t xml:space="preserve"> </w:t>
          </w:r>
          <w:r>
            <w:rPr>
              <w:spacing w:val="-6"/>
              <w:sz w:val="21"/>
              <w:szCs w:val="21"/>
            </w:rPr>
            <w:t>、当前传染病流行特征概述</w:t>
          </w:r>
          <w:r>
            <w:rPr>
              <w:spacing w:val="-82"/>
              <w:sz w:val="21"/>
              <w:szCs w:val="21"/>
            </w:rPr>
            <w:t xml:space="preserve"> </w:t>
          </w:r>
          <w:r>
            <w:rPr>
              <w:sz w:val="21"/>
              <w:szCs w:val="21"/>
            </w:rPr>
            <w:tab/>
          </w:r>
          <w:r>
            <w:rPr>
              <w:rFonts w:ascii="Times New Roman" w:hAnsi="Times New Roman" w:eastAsia="Times New Roman" w:cs="Times New Roman"/>
              <w:spacing w:val="-3"/>
              <w:sz w:val="21"/>
              <w:szCs w:val="21"/>
            </w:rPr>
            <w:t>155</w:t>
          </w:r>
          <w:r>
            <w:rPr>
              <w:rFonts w:ascii="Times New Roman" w:hAnsi="Times New Roman" w:eastAsia="Times New Roman" w:cs="Times New Roman"/>
              <w:spacing w:val="-3"/>
              <w:sz w:val="21"/>
              <w:szCs w:val="21"/>
            </w:rPr>
            <w:fldChar w:fldCharType="end"/>
          </w:r>
        </w:p>
        <w:p w14:paraId="7BFB8542">
          <w:pPr>
            <w:pStyle w:val="2"/>
            <w:tabs>
              <w:tab w:val="right" w:leader="dot" w:pos="9480"/>
            </w:tabs>
            <w:spacing w:before="129" w:line="222" w:lineRule="auto"/>
            <w:ind w:left="1909"/>
            <w:rPr>
              <w:rFonts w:ascii="Times New Roman" w:hAnsi="Times New Roman" w:eastAsia="Times New Roman" w:cs="Times New Roman"/>
              <w:sz w:val="21"/>
              <w:szCs w:val="21"/>
            </w:rPr>
          </w:pPr>
          <w:r>
            <w:fldChar w:fldCharType="begin"/>
          </w:r>
          <w:r>
            <w:instrText xml:space="preserve"> HYPERLINK \l "bookmark193" </w:instrText>
          </w:r>
          <w:r>
            <w:fldChar w:fldCharType="separate"/>
          </w:r>
          <w:r>
            <w:rPr>
              <w:spacing w:val="-1"/>
              <w:sz w:val="21"/>
              <w:szCs w:val="21"/>
            </w:rPr>
            <w:t>第二节 传染过程</w:t>
          </w:r>
          <w:r>
            <w:rPr>
              <w:spacing w:val="-63"/>
              <w:sz w:val="21"/>
              <w:szCs w:val="21"/>
            </w:rPr>
            <w:t xml:space="preserve"> </w:t>
          </w:r>
          <w:r>
            <w:rPr>
              <w:sz w:val="21"/>
              <w:szCs w:val="21"/>
            </w:rPr>
            <w:tab/>
          </w:r>
          <w:r>
            <w:rPr>
              <w:rFonts w:ascii="Times New Roman" w:hAnsi="Times New Roman" w:eastAsia="Times New Roman" w:cs="Times New Roman"/>
              <w:spacing w:val="-1"/>
              <w:sz w:val="21"/>
              <w:szCs w:val="21"/>
            </w:rPr>
            <w:t>156</w:t>
          </w:r>
          <w:r>
            <w:rPr>
              <w:rFonts w:ascii="Times New Roman" w:hAnsi="Times New Roman" w:eastAsia="Times New Roman" w:cs="Times New Roman"/>
              <w:spacing w:val="-1"/>
              <w:sz w:val="21"/>
              <w:szCs w:val="21"/>
            </w:rPr>
            <w:fldChar w:fldCharType="end"/>
          </w:r>
        </w:p>
        <w:p w14:paraId="4A49C58D">
          <w:pPr>
            <w:pStyle w:val="2"/>
            <w:tabs>
              <w:tab w:val="right" w:leader="dot" w:pos="9520"/>
            </w:tabs>
            <w:spacing w:before="129" w:line="222" w:lineRule="auto"/>
            <w:ind w:left="2309"/>
            <w:rPr>
              <w:rFonts w:ascii="Times New Roman" w:hAnsi="Times New Roman" w:eastAsia="Times New Roman" w:cs="Times New Roman"/>
              <w:sz w:val="21"/>
              <w:szCs w:val="21"/>
            </w:rPr>
          </w:pPr>
          <w:r>
            <w:fldChar w:fldCharType="begin"/>
          </w:r>
          <w:r>
            <w:instrText xml:space="preserve"> HYPERLINK \l "bookmark194" </w:instrText>
          </w:r>
          <w:r>
            <w:fldChar w:fldCharType="separate"/>
          </w:r>
          <w:r>
            <w:rPr>
              <w:spacing w:val="-2"/>
              <w:sz w:val="21"/>
              <w:szCs w:val="21"/>
            </w:rPr>
            <w:t>一</w:t>
          </w:r>
          <w:r>
            <w:rPr>
              <w:spacing w:val="-50"/>
              <w:sz w:val="21"/>
              <w:szCs w:val="21"/>
            </w:rPr>
            <w:t xml:space="preserve"> </w:t>
          </w:r>
          <w:r>
            <w:rPr>
              <w:spacing w:val="-2"/>
              <w:sz w:val="21"/>
              <w:szCs w:val="21"/>
            </w:rPr>
            <w:t>、病原体</w:t>
          </w:r>
          <w:r>
            <w:rPr>
              <w:spacing w:val="-81"/>
              <w:sz w:val="21"/>
              <w:szCs w:val="21"/>
            </w:rPr>
            <w:t xml:space="preserve"> </w:t>
          </w:r>
          <w:r>
            <w:rPr>
              <w:sz w:val="21"/>
              <w:szCs w:val="21"/>
            </w:rPr>
            <w:tab/>
          </w:r>
          <w:r>
            <w:rPr>
              <w:rFonts w:ascii="Times New Roman" w:hAnsi="Times New Roman" w:eastAsia="Times New Roman" w:cs="Times New Roman"/>
              <w:spacing w:val="-4"/>
              <w:sz w:val="21"/>
              <w:szCs w:val="21"/>
            </w:rPr>
            <w:t>156</w:t>
          </w:r>
          <w:r>
            <w:rPr>
              <w:rFonts w:ascii="Times New Roman" w:hAnsi="Times New Roman" w:eastAsia="Times New Roman" w:cs="Times New Roman"/>
              <w:spacing w:val="-4"/>
              <w:sz w:val="21"/>
              <w:szCs w:val="21"/>
            </w:rPr>
            <w:fldChar w:fldCharType="end"/>
          </w:r>
        </w:p>
        <w:p w14:paraId="6C5F24E4">
          <w:pPr>
            <w:pStyle w:val="2"/>
            <w:tabs>
              <w:tab w:val="right" w:leader="dot" w:pos="9490"/>
            </w:tabs>
            <w:spacing w:before="128" w:line="224" w:lineRule="auto"/>
            <w:ind w:left="2309"/>
            <w:rPr>
              <w:rFonts w:ascii="Times New Roman" w:hAnsi="Times New Roman" w:eastAsia="Times New Roman" w:cs="Times New Roman"/>
              <w:sz w:val="21"/>
              <w:szCs w:val="21"/>
            </w:rPr>
          </w:pPr>
          <w:r>
            <w:fldChar w:fldCharType="begin"/>
          </w:r>
          <w:r>
            <w:instrText xml:space="preserve"> HYPERLINK \l "bookmark195" </w:instrText>
          </w:r>
          <w:r>
            <w:fldChar w:fldCharType="separate"/>
          </w:r>
          <w:r>
            <w:rPr>
              <w:spacing w:val="-27"/>
              <w:sz w:val="21"/>
              <w:szCs w:val="21"/>
            </w:rPr>
            <w:t>二</w:t>
          </w:r>
          <w:r>
            <w:rPr>
              <w:spacing w:val="-49"/>
              <w:sz w:val="21"/>
              <w:szCs w:val="21"/>
            </w:rPr>
            <w:t xml:space="preserve"> </w:t>
          </w:r>
          <w:r>
            <w:rPr>
              <w:spacing w:val="-27"/>
              <w:sz w:val="21"/>
              <w:szCs w:val="21"/>
            </w:rPr>
            <w:t>、宿</w:t>
          </w:r>
          <w:r>
            <w:rPr>
              <w:spacing w:val="-43"/>
              <w:sz w:val="21"/>
              <w:szCs w:val="21"/>
            </w:rPr>
            <w:t xml:space="preserve"> </w:t>
          </w:r>
          <w:r>
            <w:rPr>
              <w:spacing w:val="-27"/>
              <w:sz w:val="21"/>
              <w:szCs w:val="21"/>
            </w:rPr>
            <w:t>主</w:t>
          </w:r>
          <w:r>
            <w:rPr>
              <w:spacing w:val="-86"/>
              <w:sz w:val="21"/>
              <w:szCs w:val="21"/>
            </w:rPr>
            <w:t xml:space="preserve"> </w:t>
          </w:r>
          <w:r>
            <w:rPr>
              <w:sz w:val="21"/>
              <w:szCs w:val="21"/>
            </w:rPr>
            <w:tab/>
          </w:r>
          <w:r>
            <w:rPr>
              <w:rFonts w:ascii="Times New Roman" w:hAnsi="Times New Roman" w:eastAsia="Times New Roman" w:cs="Times New Roman"/>
              <w:spacing w:val="-4"/>
              <w:sz w:val="21"/>
              <w:szCs w:val="21"/>
            </w:rPr>
            <w:t>157</w:t>
          </w:r>
          <w:r>
            <w:rPr>
              <w:rFonts w:ascii="Times New Roman" w:hAnsi="Times New Roman" w:eastAsia="Times New Roman" w:cs="Times New Roman"/>
              <w:spacing w:val="-4"/>
              <w:sz w:val="21"/>
              <w:szCs w:val="21"/>
            </w:rPr>
            <w:fldChar w:fldCharType="end"/>
          </w:r>
        </w:p>
        <w:p w14:paraId="123ACCA5">
          <w:pPr>
            <w:pStyle w:val="2"/>
            <w:tabs>
              <w:tab w:val="right" w:leader="dot" w:pos="9490"/>
            </w:tabs>
            <w:spacing w:before="122" w:line="221" w:lineRule="auto"/>
            <w:ind w:left="2309"/>
            <w:rPr>
              <w:rFonts w:ascii="Times New Roman" w:hAnsi="Times New Roman" w:eastAsia="Times New Roman" w:cs="Times New Roman"/>
              <w:sz w:val="21"/>
              <w:szCs w:val="21"/>
            </w:rPr>
          </w:pPr>
          <w:r>
            <w:fldChar w:fldCharType="begin"/>
          </w:r>
          <w:r>
            <w:instrText xml:space="preserve"> HYPERLINK \l "bookmark196" </w:instrText>
          </w:r>
          <w:r>
            <w:fldChar w:fldCharType="separate"/>
          </w:r>
          <w:r>
            <w:rPr>
              <w:spacing w:val="-12"/>
              <w:sz w:val="21"/>
              <w:szCs w:val="21"/>
            </w:rPr>
            <w:t>三</w:t>
          </w:r>
          <w:r>
            <w:rPr>
              <w:spacing w:val="-49"/>
              <w:sz w:val="21"/>
              <w:szCs w:val="21"/>
            </w:rPr>
            <w:t xml:space="preserve"> </w:t>
          </w:r>
          <w:r>
            <w:rPr>
              <w:spacing w:val="-12"/>
              <w:sz w:val="21"/>
              <w:szCs w:val="21"/>
            </w:rPr>
            <w:t>、感染谱</w:t>
          </w:r>
          <w:r>
            <w:rPr>
              <w:spacing w:val="-82"/>
              <w:sz w:val="21"/>
              <w:szCs w:val="21"/>
            </w:rPr>
            <w:t xml:space="preserve"> </w:t>
          </w:r>
          <w:r>
            <w:rPr>
              <w:sz w:val="21"/>
              <w:szCs w:val="21"/>
            </w:rPr>
            <w:tab/>
          </w:r>
          <w:r>
            <w:rPr>
              <w:rFonts w:ascii="Times New Roman" w:hAnsi="Times New Roman" w:eastAsia="Times New Roman" w:cs="Times New Roman"/>
              <w:spacing w:val="-4"/>
              <w:sz w:val="21"/>
              <w:szCs w:val="21"/>
            </w:rPr>
            <w:t>158</w:t>
          </w:r>
          <w:r>
            <w:rPr>
              <w:rFonts w:ascii="Times New Roman" w:hAnsi="Times New Roman" w:eastAsia="Times New Roman" w:cs="Times New Roman"/>
              <w:spacing w:val="-4"/>
              <w:sz w:val="21"/>
              <w:szCs w:val="21"/>
            </w:rPr>
            <w:fldChar w:fldCharType="end"/>
          </w:r>
        </w:p>
        <w:p w14:paraId="1B680736">
          <w:pPr>
            <w:pStyle w:val="2"/>
            <w:tabs>
              <w:tab w:val="right" w:leader="dot" w:pos="9500"/>
            </w:tabs>
            <w:spacing w:before="139" w:line="221" w:lineRule="auto"/>
            <w:ind w:left="1909"/>
            <w:rPr>
              <w:rFonts w:ascii="Times New Roman" w:hAnsi="Times New Roman" w:eastAsia="Times New Roman" w:cs="Times New Roman"/>
              <w:sz w:val="21"/>
              <w:szCs w:val="21"/>
            </w:rPr>
          </w:pPr>
          <w:r>
            <w:fldChar w:fldCharType="begin"/>
          </w:r>
          <w:r>
            <w:instrText xml:space="preserve"> HYPERLINK \l "bookmark197" </w:instrText>
          </w:r>
          <w:r>
            <w:fldChar w:fldCharType="separate"/>
          </w:r>
          <w:r>
            <w:rPr>
              <w:spacing w:val="8"/>
              <w:sz w:val="21"/>
              <w:szCs w:val="21"/>
            </w:rPr>
            <w:t>第三节</w:t>
          </w:r>
          <w:r>
            <w:rPr>
              <w:spacing w:val="25"/>
              <w:sz w:val="21"/>
              <w:szCs w:val="21"/>
            </w:rPr>
            <w:t xml:space="preserve"> </w:t>
          </w:r>
          <w:r>
            <w:rPr>
              <w:spacing w:val="8"/>
              <w:sz w:val="21"/>
              <w:szCs w:val="21"/>
            </w:rPr>
            <w:t>流行过程</w:t>
          </w:r>
          <w:r>
            <w:rPr>
              <w:spacing w:val="-82"/>
              <w:sz w:val="21"/>
              <w:szCs w:val="21"/>
            </w:rPr>
            <w:t xml:space="preserve"> </w:t>
          </w:r>
          <w:r>
            <w:rPr>
              <w:sz w:val="21"/>
              <w:szCs w:val="21"/>
            </w:rPr>
            <w:tab/>
          </w:r>
          <w:r>
            <w:rPr>
              <w:rFonts w:ascii="Times New Roman" w:hAnsi="Times New Roman" w:eastAsia="Times New Roman" w:cs="Times New Roman"/>
              <w:spacing w:val="-4"/>
              <w:sz w:val="21"/>
              <w:szCs w:val="21"/>
            </w:rPr>
            <w:t>158</w:t>
          </w:r>
          <w:r>
            <w:rPr>
              <w:rFonts w:ascii="Times New Roman" w:hAnsi="Times New Roman" w:eastAsia="Times New Roman" w:cs="Times New Roman"/>
              <w:spacing w:val="-4"/>
              <w:sz w:val="21"/>
              <w:szCs w:val="21"/>
            </w:rPr>
            <w:fldChar w:fldCharType="end"/>
          </w:r>
        </w:p>
        <w:p w14:paraId="12FD267B">
          <w:pPr>
            <w:pStyle w:val="2"/>
            <w:tabs>
              <w:tab w:val="right" w:leader="dot" w:pos="9540"/>
            </w:tabs>
            <w:spacing w:before="121" w:line="223" w:lineRule="auto"/>
            <w:ind w:left="2309"/>
            <w:rPr>
              <w:rFonts w:ascii="Times New Roman" w:hAnsi="Times New Roman" w:eastAsia="Times New Roman" w:cs="Times New Roman"/>
              <w:sz w:val="21"/>
              <w:szCs w:val="21"/>
            </w:rPr>
          </w:pPr>
          <w:r>
            <w:fldChar w:fldCharType="begin"/>
          </w:r>
          <w:r>
            <w:instrText xml:space="preserve"> HYPERLINK \l "bookmark198" </w:instrText>
          </w:r>
          <w:r>
            <w:fldChar w:fldCharType="separate"/>
          </w:r>
          <w:r>
            <w:rPr>
              <w:spacing w:val="-11"/>
              <w:sz w:val="21"/>
              <w:szCs w:val="21"/>
            </w:rPr>
            <w:t>一</w:t>
          </w:r>
          <w:r>
            <w:rPr>
              <w:spacing w:val="-47"/>
              <w:sz w:val="21"/>
              <w:szCs w:val="21"/>
            </w:rPr>
            <w:t xml:space="preserve"> </w:t>
          </w:r>
          <w:r>
            <w:rPr>
              <w:spacing w:val="-11"/>
              <w:sz w:val="21"/>
              <w:szCs w:val="21"/>
            </w:rPr>
            <w:t>、基本环节</w:t>
          </w:r>
          <w:r>
            <w:rPr>
              <w:spacing w:val="-88"/>
              <w:sz w:val="21"/>
              <w:szCs w:val="21"/>
            </w:rPr>
            <w:t xml:space="preserve"> </w:t>
          </w:r>
          <w:r>
            <w:rPr>
              <w:sz w:val="21"/>
              <w:szCs w:val="21"/>
            </w:rPr>
            <w:tab/>
          </w:r>
          <w:r>
            <w:rPr>
              <w:rFonts w:ascii="Times New Roman" w:hAnsi="Times New Roman" w:eastAsia="Times New Roman" w:cs="Times New Roman"/>
              <w:spacing w:val="-1"/>
              <w:sz w:val="21"/>
              <w:szCs w:val="21"/>
            </w:rPr>
            <w:t>158</w:t>
          </w:r>
          <w:r>
            <w:rPr>
              <w:rFonts w:ascii="Times New Roman" w:hAnsi="Times New Roman" w:eastAsia="Times New Roman" w:cs="Times New Roman"/>
              <w:spacing w:val="-1"/>
              <w:sz w:val="21"/>
              <w:szCs w:val="21"/>
            </w:rPr>
            <w:fldChar w:fldCharType="end"/>
          </w:r>
        </w:p>
        <w:p w14:paraId="4545C097">
          <w:pPr>
            <w:pStyle w:val="2"/>
            <w:tabs>
              <w:tab w:val="right" w:leader="dot" w:pos="9530"/>
            </w:tabs>
            <w:spacing w:before="125" w:line="222" w:lineRule="auto"/>
            <w:ind w:left="2309"/>
            <w:rPr>
              <w:rFonts w:ascii="Times New Roman" w:hAnsi="Times New Roman" w:eastAsia="Times New Roman" w:cs="Times New Roman"/>
              <w:sz w:val="21"/>
              <w:szCs w:val="21"/>
            </w:rPr>
          </w:pPr>
          <w:r>
            <w:fldChar w:fldCharType="begin"/>
          </w:r>
          <w:r>
            <w:instrText xml:space="preserve"> HYPERLINK \l "bookmark199" </w:instrText>
          </w:r>
          <w:r>
            <w:fldChar w:fldCharType="separate"/>
          </w:r>
          <w:r>
            <w:rPr>
              <w:spacing w:val="-7"/>
              <w:sz w:val="21"/>
              <w:szCs w:val="21"/>
            </w:rPr>
            <w:t>二</w:t>
          </w:r>
          <w:r>
            <w:rPr>
              <w:spacing w:val="-48"/>
              <w:sz w:val="21"/>
              <w:szCs w:val="21"/>
            </w:rPr>
            <w:t xml:space="preserve"> </w:t>
          </w:r>
          <w:r>
            <w:rPr>
              <w:spacing w:val="-7"/>
              <w:sz w:val="21"/>
              <w:szCs w:val="21"/>
            </w:rPr>
            <w:t>、传播能力及其量化</w:t>
          </w:r>
          <w:r>
            <w:rPr>
              <w:spacing w:val="-83"/>
              <w:sz w:val="21"/>
              <w:szCs w:val="21"/>
            </w:rPr>
            <w:t xml:space="preserve"> </w:t>
          </w:r>
          <w:r>
            <w:rPr>
              <w:sz w:val="21"/>
              <w:szCs w:val="21"/>
            </w:rPr>
            <w:tab/>
          </w:r>
          <w:r>
            <w:rPr>
              <w:rFonts w:ascii="Times New Roman" w:hAnsi="Times New Roman" w:eastAsia="Times New Roman" w:cs="Times New Roman"/>
              <w:spacing w:val="-3"/>
              <w:sz w:val="21"/>
              <w:szCs w:val="21"/>
            </w:rPr>
            <w:t>163</w:t>
          </w:r>
          <w:r>
            <w:rPr>
              <w:rFonts w:ascii="Times New Roman" w:hAnsi="Times New Roman" w:eastAsia="Times New Roman" w:cs="Times New Roman"/>
              <w:spacing w:val="-3"/>
              <w:sz w:val="21"/>
              <w:szCs w:val="21"/>
            </w:rPr>
            <w:fldChar w:fldCharType="end"/>
          </w:r>
        </w:p>
        <w:p w14:paraId="41B3F5E9">
          <w:pPr>
            <w:pStyle w:val="2"/>
            <w:tabs>
              <w:tab w:val="right" w:leader="dot" w:pos="9490"/>
            </w:tabs>
            <w:spacing w:before="137" w:line="221" w:lineRule="auto"/>
            <w:ind w:left="2309"/>
            <w:rPr>
              <w:rFonts w:ascii="Times New Roman" w:hAnsi="Times New Roman" w:eastAsia="Times New Roman" w:cs="Times New Roman"/>
              <w:sz w:val="21"/>
              <w:szCs w:val="21"/>
            </w:rPr>
          </w:pPr>
          <w:r>
            <w:fldChar w:fldCharType="begin"/>
          </w:r>
          <w:r>
            <w:instrText xml:space="preserve"> HYPERLINK \l "bookmark200" </w:instrText>
          </w:r>
          <w:r>
            <w:fldChar w:fldCharType="separate"/>
          </w:r>
          <w:r>
            <w:rPr>
              <w:spacing w:val="-9"/>
              <w:sz w:val="21"/>
              <w:szCs w:val="21"/>
            </w:rPr>
            <w:t>三</w:t>
          </w:r>
          <w:r>
            <w:rPr>
              <w:spacing w:val="-35"/>
              <w:sz w:val="21"/>
              <w:szCs w:val="21"/>
            </w:rPr>
            <w:t xml:space="preserve"> </w:t>
          </w:r>
          <w:r>
            <w:rPr>
              <w:spacing w:val="-9"/>
              <w:sz w:val="21"/>
              <w:szCs w:val="21"/>
            </w:rPr>
            <w:t>、疫源地与流行过程</w:t>
          </w:r>
          <w:r>
            <w:rPr>
              <w:spacing w:val="-76"/>
              <w:sz w:val="21"/>
              <w:szCs w:val="21"/>
            </w:rPr>
            <w:t xml:space="preserve"> </w:t>
          </w:r>
          <w:r>
            <w:rPr>
              <w:sz w:val="21"/>
              <w:szCs w:val="21"/>
            </w:rPr>
            <w:tab/>
          </w:r>
          <w:r>
            <w:rPr>
              <w:rFonts w:ascii="Times New Roman" w:hAnsi="Times New Roman" w:eastAsia="Times New Roman" w:cs="Times New Roman"/>
              <w:spacing w:val="-4"/>
              <w:sz w:val="21"/>
              <w:szCs w:val="21"/>
            </w:rPr>
            <w:t>163</w:t>
          </w:r>
          <w:r>
            <w:rPr>
              <w:rFonts w:ascii="Times New Roman" w:hAnsi="Times New Roman" w:eastAsia="Times New Roman" w:cs="Times New Roman"/>
              <w:spacing w:val="-4"/>
              <w:sz w:val="21"/>
              <w:szCs w:val="21"/>
            </w:rPr>
            <w:fldChar w:fldCharType="end"/>
          </w:r>
        </w:p>
        <w:p w14:paraId="65273931">
          <w:pPr>
            <w:pStyle w:val="2"/>
            <w:tabs>
              <w:tab w:val="right" w:leader="dot" w:pos="9520"/>
            </w:tabs>
            <w:spacing w:before="130" w:line="222" w:lineRule="auto"/>
            <w:ind w:left="2309"/>
            <w:rPr>
              <w:rFonts w:ascii="Times New Roman" w:hAnsi="Times New Roman" w:eastAsia="Times New Roman" w:cs="Times New Roman"/>
              <w:sz w:val="21"/>
              <w:szCs w:val="21"/>
            </w:rPr>
          </w:pPr>
          <w:r>
            <w:fldChar w:fldCharType="begin"/>
          </w:r>
          <w:r>
            <w:instrText xml:space="preserve"> HYPERLINK \l "bookmark201" </w:instrText>
          </w:r>
          <w:r>
            <w:fldChar w:fldCharType="separate"/>
          </w:r>
          <w:r>
            <w:rPr>
              <w:spacing w:val="-10"/>
              <w:sz w:val="21"/>
              <w:szCs w:val="21"/>
            </w:rPr>
            <w:t>四</w:t>
          </w:r>
          <w:r>
            <w:rPr>
              <w:spacing w:val="-51"/>
              <w:sz w:val="21"/>
              <w:szCs w:val="21"/>
            </w:rPr>
            <w:t xml:space="preserve"> </w:t>
          </w:r>
          <w:r>
            <w:rPr>
              <w:spacing w:val="-10"/>
              <w:sz w:val="21"/>
              <w:szCs w:val="21"/>
            </w:rPr>
            <w:t>、影响因素</w:t>
          </w:r>
          <w:r>
            <w:rPr>
              <w:spacing w:val="-90"/>
              <w:sz w:val="21"/>
              <w:szCs w:val="21"/>
            </w:rPr>
            <w:t xml:space="preserve"> </w:t>
          </w:r>
          <w:r>
            <w:rPr>
              <w:sz w:val="21"/>
              <w:szCs w:val="21"/>
            </w:rPr>
            <w:tab/>
          </w:r>
          <w:r>
            <w:rPr>
              <w:rFonts w:ascii="Times New Roman" w:hAnsi="Times New Roman" w:eastAsia="Times New Roman" w:cs="Times New Roman"/>
              <w:spacing w:val="-5"/>
              <w:sz w:val="21"/>
              <w:szCs w:val="21"/>
            </w:rPr>
            <w:t>164</w:t>
          </w:r>
          <w:r>
            <w:rPr>
              <w:rFonts w:ascii="Times New Roman" w:hAnsi="Times New Roman" w:eastAsia="Times New Roman" w:cs="Times New Roman"/>
              <w:spacing w:val="-5"/>
              <w:sz w:val="21"/>
              <w:szCs w:val="21"/>
            </w:rPr>
            <w:fldChar w:fldCharType="end"/>
          </w:r>
        </w:p>
        <w:p w14:paraId="3D2F2C60">
          <w:pPr>
            <w:pStyle w:val="2"/>
            <w:tabs>
              <w:tab w:val="right" w:leader="dot" w:pos="9510"/>
            </w:tabs>
            <w:spacing w:before="126" w:line="221" w:lineRule="auto"/>
            <w:ind w:left="1909"/>
            <w:rPr>
              <w:rFonts w:ascii="Times New Roman" w:hAnsi="Times New Roman" w:eastAsia="Times New Roman" w:cs="Times New Roman"/>
              <w:sz w:val="21"/>
              <w:szCs w:val="21"/>
            </w:rPr>
          </w:pPr>
          <w:r>
            <w:fldChar w:fldCharType="begin"/>
          </w:r>
          <w:r>
            <w:instrText xml:space="preserve"> HYPERLINK \l "bookmark202" </w:instrText>
          </w:r>
          <w:r>
            <w:fldChar w:fldCharType="separate"/>
          </w:r>
          <w:r>
            <w:rPr>
              <w:spacing w:val="7"/>
              <w:sz w:val="21"/>
              <w:szCs w:val="21"/>
            </w:rPr>
            <w:t>第四节 预防策略与措施</w:t>
          </w:r>
          <w:r>
            <w:rPr>
              <w:spacing w:val="-78"/>
              <w:sz w:val="21"/>
              <w:szCs w:val="21"/>
            </w:rPr>
            <w:t xml:space="preserve"> </w:t>
          </w:r>
          <w:r>
            <w:rPr>
              <w:sz w:val="21"/>
              <w:szCs w:val="21"/>
            </w:rPr>
            <w:tab/>
          </w:r>
          <w:r>
            <w:rPr>
              <w:rFonts w:ascii="Times New Roman" w:hAnsi="Times New Roman" w:eastAsia="Times New Roman" w:cs="Times New Roman"/>
              <w:spacing w:val="-4"/>
              <w:sz w:val="21"/>
              <w:szCs w:val="21"/>
            </w:rPr>
            <w:t>164</w:t>
          </w:r>
          <w:r>
            <w:rPr>
              <w:rFonts w:ascii="Times New Roman" w:hAnsi="Times New Roman" w:eastAsia="Times New Roman" w:cs="Times New Roman"/>
              <w:spacing w:val="-4"/>
              <w:sz w:val="21"/>
              <w:szCs w:val="21"/>
            </w:rPr>
            <w:fldChar w:fldCharType="end"/>
          </w:r>
        </w:p>
        <w:p w14:paraId="5227EE98">
          <w:pPr>
            <w:pStyle w:val="2"/>
            <w:tabs>
              <w:tab w:val="right" w:leader="dot" w:pos="9530"/>
            </w:tabs>
            <w:spacing w:before="129" w:line="222" w:lineRule="auto"/>
            <w:ind w:left="2309"/>
            <w:rPr>
              <w:rFonts w:ascii="Times New Roman" w:hAnsi="Times New Roman" w:eastAsia="Times New Roman" w:cs="Times New Roman"/>
              <w:sz w:val="21"/>
              <w:szCs w:val="21"/>
            </w:rPr>
          </w:pPr>
          <w:r>
            <w:fldChar w:fldCharType="begin"/>
          </w:r>
          <w:r>
            <w:instrText xml:space="preserve"> HYPERLINK \l "bookmark203" </w:instrText>
          </w:r>
          <w:r>
            <w:fldChar w:fldCharType="separate"/>
          </w:r>
          <w:r>
            <w:rPr>
              <w:spacing w:val="-12"/>
              <w:sz w:val="21"/>
              <w:szCs w:val="21"/>
            </w:rPr>
            <w:t>一</w:t>
          </w:r>
          <w:r>
            <w:rPr>
              <w:spacing w:val="-49"/>
              <w:sz w:val="21"/>
              <w:szCs w:val="21"/>
            </w:rPr>
            <w:t xml:space="preserve"> </w:t>
          </w:r>
          <w:r>
            <w:rPr>
              <w:spacing w:val="-12"/>
              <w:sz w:val="21"/>
              <w:szCs w:val="21"/>
            </w:rPr>
            <w:t>、策略</w:t>
          </w:r>
          <w:r>
            <w:rPr>
              <w:spacing w:val="-84"/>
              <w:sz w:val="21"/>
              <w:szCs w:val="21"/>
            </w:rPr>
            <w:t xml:space="preserve"> </w:t>
          </w:r>
          <w:r>
            <w:rPr>
              <w:sz w:val="21"/>
              <w:szCs w:val="21"/>
            </w:rPr>
            <w:tab/>
          </w:r>
          <w:r>
            <w:rPr>
              <w:rFonts w:ascii="Times New Roman" w:hAnsi="Times New Roman" w:eastAsia="Times New Roman" w:cs="Times New Roman"/>
              <w:spacing w:val="-13"/>
              <w:sz w:val="21"/>
              <w:szCs w:val="21"/>
            </w:rPr>
            <w:t>1</w:t>
          </w:r>
          <w:r>
            <w:rPr>
              <w:rFonts w:ascii="Times New Roman" w:hAnsi="Times New Roman" w:eastAsia="Times New Roman" w:cs="Times New Roman"/>
              <w:spacing w:val="-12"/>
              <w:sz w:val="21"/>
              <w:szCs w:val="21"/>
            </w:rPr>
            <w:t>6</w:t>
          </w:r>
          <w:r>
            <w:rPr>
              <w:rFonts w:ascii="Times New Roman" w:hAnsi="Times New Roman" w:eastAsia="Times New Roman" w:cs="Times New Roman"/>
              <w:spacing w:val="-8"/>
              <w:sz w:val="21"/>
              <w:szCs w:val="21"/>
            </w:rPr>
            <w:t>4</w:t>
          </w:r>
          <w:r>
            <w:rPr>
              <w:rFonts w:ascii="Times New Roman" w:hAnsi="Times New Roman" w:eastAsia="Times New Roman" w:cs="Times New Roman"/>
              <w:spacing w:val="-8"/>
              <w:sz w:val="21"/>
              <w:szCs w:val="21"/>
            </w:rPr>
            <w:fldChar w:fldCharType="end"/>
          </w:r>
        </w:p>
        <w:p w14:paraId="36AA1E27">
          <w:pPr>
            <w:pStyle w:val="2"/>
            <w:tabs>
              <w:tab w:val="right" w:leader="dot" w:pos="9530"/>
            </w:tabs>
            <w:spacing w:before="139" w:line="223" w:lineRule="auto"/>
            <w:ind w:left="2309"/>
            <w:rPr>
              <w:rFonts w:ascii="Times New Roman" w:hAnsi="Times New Roman" w:eastAsia="Times New Roman" w:cs="Times New Roman"/>
              <w:sz w:val="21"/>
              <w:szCs w:val="21"/>
            </w:rPr>
          </w:pPr>
          <w:r>
            <w:fldChar w:fldCharType="begin"/>
          </w:r>
          <w:r>
            <w:instrText xml:space="preserve"> HYPERLINK \l "bookmark204" </w:instrText>
          </w:r>
          <w:r>
            <w:fldChar w:fldCharType="separate"/>
          </w:r>
          <w:r>
            <w:rPr>
              <w:spacing w:val="-9"/>
              <w:sz w:val="21"/>
              <w:szCs w:val="21"/>
            </w:rPr>
            <w:t>二</w:t>
          </w:r>
          <w:r>
            <w:rPr>
              <w:spacing w:val="-50"/>
              <w:sz w:val="21"/>
              <w:szCs w:val="21"/>
            </w:rPr>
            <w:t xml:space="preserve"> </w:t>
          </w:r>
          <w:r>
            <w:rPr>
              <w:spacing w:val="-9"/>
              <w:sz w:val="21"/>
              <w:szCs w:val="21"/>
            </w:rPr>
            <w:t>、措施</w:t>
          </w:r>
          <w:r>
            <w:rPr>
              <w:spacing w:val="-85"/>
              <w:sz w:val="21"/>
              <w:szCs w:val="21"/>
            </w:rPr>
            <w:t xml:space="preserve"> </w:t>
          </w:r>
          <w:r>
            <w:rPr>
              <w:sz w:val="21"/>
              <w:szCs w:val="21"/>
            </w:rPr>
            <w:tab/>
          </w:r>
          <w:r>
            <w:rPr>
              <w:rFonts w:ascii="Times New Roman" w:hAnsi="Times New Roman" w:eastAsia="Times New Roman" w:cs="Times New Roman"/>
              <w:spacing w:val="-4"/>
              <w:sz w:val="21"/>
              <w:szCs w:val="21"/>
            </w:rPr>
            <w:t>165</w:t>
          </w:r>
          <w:r>
            <w:rPr>
              <w:rFonts w:ascii="Times New Roman" w:hAnsi="Times New Roman" w:eastAsia="Times New Roman" w:cs="Times New Roman"/>
              <w:spacing w:val="-4"/>
              <w:sz w:val="21"/>
              <w:szCs w:val="21"/>
            </w:rPr>
            <w:fldChar w:fldCharType="end"/>
          </w:r>
        </w:p>
        <w:p w14:paraId="1102CD87">
          <w:pPr>
            <w:pStyle w:val="2"/>
            <w:tabs>
              <w:tab w:val="right" w:leader="dot" w:pos="9490"/>
            </w:tabs>
            <w:spacing w:before="124" w:line="221" w:lineRule="auto"/>
            <w:ind w:left="1909"/>
            <w:rPr>
              <w:rFonts w:ascii="Times New Roman" w:hAnsi="Times New Roman" w:eastAsia="Times New Roman" w:cs="Times New Roman"/>
              <w:sz w:val="21"/>
              <w:szCs w:val="21"/>
            </w:rPr>
          </w:pPr>
          <w:r>
            <w:fldChar w:fldCharType="begin"/>
          </w:r>
          <w:r>
            <w:instrText xml:space="preserve"> HYPERLINK \l "bookmark205" </w:instrText>
          </w:r>
          <w:r>
            <w:fldChar w:fldCharType="separate"/>
          </w:r>
          <w:r>
            <w:rPr>
              <w:spacing w:val="3"/>
              <w:sz w:val="21"/>
              <w:szCs w:val="21"/>
            </w:rPr>
            <w:t>第五节 免疫规划及其人群评价</w:t>
          </w:r>
          <w:r>
            <w:rPr>
              <w:spacing w:val="-73"/>
              <w:sz w:val="21"/>
              <w:szCs w:val="21"/>
            </w:rPr>
            <w:t xml:space="preserve"> </w:t>
          </w:r>
          <w:r>
            <w:rPr>
              <w:sz w:val="21"/>
              <w:szCs w:val="21"/>
            </w:rPr>
            <w:tab/>
          </w:r>
          <w:r>
            <w:rPr>
              <w:rFonts w:ascii="Times New Roman" w:hAnsi="Times New Roman" w:eastAsia="Times New Roman" w:cs="Times New Roman"/>
              <w:spacing w:val="-7"/>
              <w:sz w:val="21"/>
              <w:szCs w:val="21"/>
            </w:rPr>
            <w:t>167</w:t>
          </w:r>
          <w:r>
            <w:rPr>
              <w:rFonts w:ascii="Times New Roman" w:hAnsi="Times New Roman" w:eastAsia="Times New Roman" w:cs="Times New Roman"/>
              <w:spacing w:val="-7"/>
              <w:sz w:val="21"/>
              <w:szCs w:val="21"/>
            </w:rPr>
            <w:fldChar w:fldCharType="end"/>
          </w:r>
        </w:p>
        <w:p w14:paraId="2F1E9610">
          <w:pPr>
            <w:pStyle w:val="2"/>
            <w:tabs>
              <w:tab w:val="right" w:leader="dot" w:pos="9460"/>
            </w:tabs>
            <w:spacing w:before="129" w:line="221" w:lineRule="auto"/>
            <w:ind w:left="2309"/>
            <w:rPr>
              <w:rFonts w:ascii="Times New Roman" w:hAnsi="Times New Roman" w:eastAsia="Times New Roman" w:cs="Times New Roman"/>
              <w:sz w:val="21"/>
              <w:szCs w:val="21"/>
            </w:rPr>
          </w:pPr>
          <w:r>
            <w:fldChar w:fldCharType="begin"/>
          </w:r>
          <w:r>
            <w:instrText xml:space="preserve"> HYPERLINK \l "bookmark206" </w:instrText>
          </w:r>
          <w:r>
            <w:fldChar w:fldCharType="separate"/>
          </w:r>
          <w:r>
            <w:rPr>
              <w:spacing w:val="-11"/>
              <w:sz w:val="21"/>
              <w:szCs w:val="21"/>
            </w:rPr>
            <w:t>一</w:t>
          </w:r>
          <w:r>
            <w:rPr>
              <w:spacing w:val="-47"/>
              <w:sz w:val="21"/>
              <w:szCs w:val="21"/>
            </w:rPr>
            <w:t xml:space="preserve"> </w:t>
          </w:r>
          <w:r>
            <w:rPr>
              <w:spacing w:val="-11"/>
              <w:sz w:val="21"/>
              <w:szCs w:val="21"/>
            </w:rPr>
            <w:t>、预防接种</w:t>
          </w:r>
          <w:r>
            <w:rPr>
              <w:spacing w:val="-88"/>
              <w:sz w:val="21"/>
              <w:szCs w:val="21"/>
            </w:rPr>
            <w:t xml:space="preserve"> </w:t>
          </w:r>
          <w:r>
            <w:rPr>
              <w:sz w:val="21"/>
              <w:szCs w:val="21"/>
            </w:rPr>
            <w:tab/>
          </w:r>
          <w:r>
            <w:rPr>
              <w:rFonts w:ascii="Times New Roman" w:hAnsi="Times New Roman" w:eastAsia="Times New Roman" w:cs="Times New Roman"/>
              <w:spacing w:val="-4"/>
              <w:sz w:val="21"/>
              <w:szCs w:val="21"/>
            </w:rPr>
            <w:t>168</w:t>
          </w:r>
          <w:r>
            <w:rPr>
              <w:rFonts w:ascii="Times New Roman" w:hAnsi="Times New Roman" w:eastAsia="Times New Roman" w:cs="Times New Roman"/>
              <w:spacing w:val="-4"/>
              <w:sz w:val="21"/>
              <w:szCs w:val="21"/>
            </w:rPr>
            <w:fldChar w:fldCharType="end"/>
          </w:r>
        </w:p>
        <w:p w14:paraId="405B2FA3">
          <w:pPr>
            <w:pStyle w:val="2"/>
            <w:tabs>
              <w:tab w:val="right" w:leader="dot" w:pos="9470"/>
            </w:tabs>
            <w:spacing w:before="129" w:line="222" w:lineRule="auto"/>
            <w:ind w:left="2309"/>
            <w:rPr>
              <w:rFonts w:ascii="Times New Roman" w:hAnsi="Times New Roman" w:eastAsia="Times New Roman" w:cs="Times New Roman"/>
              <w:sz w:val="21"/>
              <w:szCs w:val="21"/>
            </w:rPr>
          </w:pPr>
          <w:r>
            <w:fldChar w:fldCharType="begin"/>
          </w:r>
          <w:r>
            <w:instrText xml:space="preserve"> HYPERLINK \l "bookmark207" </w:instrText>
          </w:r>
          <w:r>
            <w:fldChar w:fldCharType="separate"/>
          </w:r>
          <w:r>
            <w:rPr>
              <w:spacing w:val="-10"/>
              <w:sz w:val="21"/>
              <w:szCs w:val="21"/>
            </w:rPr>
            <w:t>二</w:t>
          </w:r>
          <w:r>
            <w:rPr>
              <w:spacing w:val="-47"/>
              <w:sz w:val="21"/>
              <w:szCs w:val="21"/>
            </w:rPr>
            <w:t xml:space="preserve"> </w:t>
          </w:r>
          <w:r>
            <w:rPr>
              <w:spacing w:val="-10"/>
              <w:sz w:val="21"/>
              <w:szCs w:val="21"/>
            </w:rPr>
            <w:t>、免疫规划</w:t>
          </w:r>
          <w:r>
            <w:rPr>
              <w:spacing w:val="-94"/>
              <w:sz w:val="21"/>
              <w:szCs w:val="21"/>
            </w:rPr>
            <w:t xml:space="preserve"> </w:t>
          </w:r>
          <w:r>
            <w:rPr>
              <w:sz w:val="21"/>
              <w:szCs w:val="21"/>
            </w:rPr>
            <w:tab/>
          </w:r>
          <w:r>
            <w:rPr>
              <w:rFonts w:ascii="Times New Roman" w:hAnsi="Times New Roman" w:eastAsia="Times New Roman" w:cs="Times New Roman"/>
              <w:spacing w:val="-4"/>
              <w:sz w:val="21"/>
              <w:szCs w:val="21"/>
            </w:rPr>
            <w:t>168</w:t>
          </w:r>
          <w:r>
            <w:rPr>
              <w:rFonts w:ascii="Times New Roman" w:hAnsi="Times New Roman" w:eastAsia="Times New Roman" w:cs="Times New Roman"/>
              <w:spacing w:val="-4"/>
              <w:sz w:val="21"/>
              <w:szCs w:val="21"/>
            </w:rPr>
            <w:fldChar w:fldCharType="end"/>
          </w:r>
        </w:p>
        <w:p w14:paraId="4DCC8D52">
          <w:pPr>
            <w:pStyle w:val="2"/>
            <w:tabs>
              <w:tab w:val="right" w:leader="dot" w:pos="9470"/>
            </w:tabs>
            <w:spacing w:before="137" w:line="221" w:lineRule="auto"/>
            <w:ind w:left="2309"/>
            <w:rPr>
              <w:rFonts w:ascii="Times New Roman" w:hAnsi="Times New Roman" w:eastAsia="Times New Roman" w:cs="Times New Roman"/>
              <w:sz w:val="21"/>
              <w:szCs w:val="21"/>
            </w:rPr>
          </w:pPr>
          <w:r>
            <w:fldChar w:fldCharType="begin"/>
          </w:r>
          <w:r>
            <w:instrText xml:space="preserve"> HYPERLINK \l "bookmark208" </w:instrText>
          </w:r>
          <w:r>
            <w:fldChar w:fldCharType="separate"/>
          </w:r>
          <w:r>
            <w:rPr>
              <w:spacing w:val="-8"/>
              <w:sz w:val="21"/>
              <w:szCs w:val="21"/>
            </w:rPr>
            <w:t>三</w:t>
          </w:r>
          <w:r>
            <w:rPr>
              <w:spacing w:val="-46"/>
              <w:sz w:val="21"/>
              <w:szCs w:val="21"/>
            </w:rPr>
            <w:t xml:space="preserve"> </w:t>
          </w:r>
          <w:r>
            <w:rPr>
              <w:spacing w:val="-8"/>
              <w:sz w:val="21"/>
              <w:szCs w:val="21"/>
            </w:rPr>
            <w:t>、疫苗的人群评价</w:t>
          </w:r>
          <w:r>
            <w:rPr>
              <w:spacing w:val="-83"/>
              <w:sz w:val="21"/>
              <w:szCs w:val="21"/>
            </w:rPr>
            <w:t xml:space="preserve"> </w:t>
          </w:r>
          <w:r>
            <w:rPr>
              <w:sz w:val="21"/>
              <w:szCs w:val="21"/>
            </w:rPr>
            <w:tab/>
          </w:r>
          <w:r>
            <w:rPr>
              <w:rFonts w:ascii="Times New Roman" w:hAnsi="Times New Roman" w:eastAsia="Times New Roman" w:cs="Times New Roman"/>
              <w:spacing w:val="-4"/>
              <w:sz w:val="21"/>
              <w:szCs w:val="21"/>
            </w:rPr>
            <w:t>170</w:t>
          </w:r>
          <w:r>
            <w:rPr>
              <w:rFonts w:ascii="Times New Roman" w:hAnsi="Times New Roman" w:eastAsia="Times New Roman" w:cs="Times New Roman"/>
              <w:spacing w:val="-4"/>
              <w:sz w:val="21"/>
              <w:szCs w:val="21"/>
            </w:rPr>
            <w:fldChar w:fldCharType="end"/>
          </w:r>
        </w:p>
        <w:p w14:paraId="35E294F0">
          <w:pPr>
            <w:spacing w:line="415" w:lineRule="auto"/>
            <w:rPr>
              <w:rFonts w:ascii="Arial"/>
              <w:sz w:val="21"/>
            </w:rPr>
          </w:pPr>
        </w:p>
        <w:p w14:paraId="5E40B110">
          <w:pPr>
            <w:pStyle w:val="2"/>
            <w:tabs>
              <w:tab w:val="right" w:leader="dot" w:pos="9380"/>
            </w:tabs>
            <w:spacing w:before="68" w:line="222" w:lineRule="auto"/>
            <w:ind w:left="672"/>
            <w:rPr>
              <w:rFonts w:ascii="Times New Roman" w:hAnsi="Times New Roman" w:eastAsia="Times New Roman" w:cs="Times New Roman"/>
              <w:sz w:val="21"/>
              <w:szCs w:val="21"/>
            </w:rPr>
          </w:pPr>
          <w:r>
            <w:fldChar w:fldCharType="begin"/>
          </w:r>
          <w:r>
            <w:instrText xml:space="preserve"> HYPERLINK \l "bookmark209" </w:instrText>
          </w:r>
          <w:r>
            <w:fldChar w:fldCharType="separate"/>
          </w:r>
          <w:r>
            <w:rPr>
              <w:b/>
              <w:bCs/>
              <w:spacing w:val="-14"/>
              <w:sz w:val="21"/>
              <w:szCs w:val="21"/>
            </w:rPr>
            <w:t>第</w:t>
          </w:r>
          <w:r>
            <w:rPr>
              <w:spacing w:val="-37"/>
              <w:sz w:val="21"/>
              <w:szCs w:val="21"/>
            </w:rPr>
            <w:t xml:space="preserve"> </w:t>
          </w:r>
          <w:r>
            <w:rPr>
              <w:b/>
              <w:bCs/>
              <w:spacing w:val="-14"/>
              <w:sz w:val="21"/>
              <w:szCs w:val="21"/>
            </w:rPr>
            <w:t>十</w:t>
          </w:r>
          <w:r>
            <w:rPr>
              <w:spacing w:val="-44"/>
              <w:sz w:val="21"/>
              <w:szCs w:val="21"/>
            </w:rPr>
            <w:t xml:space="preserve"> </w:t>
          </w:r>
          <w:r>
            <w:rPr>
              <w:b/>
              <w:bCs/>
              <w:spacing w:val="-14"/>
              <w:sz w:val="21"/>
              <w:szCs w:val="21"/>
            </w:rPr>
            <w:t>二</w:t>
          </w:r>
          <w:r>
            <w:rPr>
              <w:spacing w:val="-46"/>
              <w:sz w:val="21"/>
              <w:szCs w:val="21"/>
            </w:rPr>
            <w:t xml:space="preserve"> </w:t>
          </w:r>
          <w:r>
            <w:rPr>
              <w:b/>
              <w:bCs/>
              <w:spacing w:val="-14"/>
              <w:sz w:val="21"/>
              <w:szCs w:val="21"/>
            </w:rPr>
            <w:t>章</w:t>
          </w:r>
          <w:r>
            <w:rPr>
              <w:spacing w:val="90"/>
              <w:sz w:val="21"/>
              <w:szCs w:val="21"/>
            </w:rPr>
            <w:t xml:space="preserve"> </w:t>
          </w:r>
          <w:r>
            <w:rPr>
              <w:b/>
              <w:bCs/>
              <w:spacing w:val="-14"/>
              <w:sz w:val="21"/>
              <w:szCs w:val="21"/>
            </w:rPr>
            <w:t>医</w:t>
          </w:r>
          <w:r>
            <w:rPr>
              <w:spacing w:val="-14"/>
              <w:sz w:val="21"/>
              <w:szCs w:val="21"/>
            </w:rPr>
            <w:t xml:space="preserve"> </w:t>
          </w:r>
          <w:r>
            <w:rPr>
              <w:b/>
              <w:bCs/>
              <w:spacing w:val="-14"/>
              <w:sz w:val="21"/>
              <w:szCs w:val="21"/>
            </w:rPr>
            <w:t>院</w:t>
          </w:r>
          <w:r>
            <w:rPr>
              <w:spacing w:val="-19"/>
              <w:sz w:val="21"/>
              <w:szCs w:val="21"/>
            </w:rPr>
            <w:t xml:space="preserve"> </w:t>
          </w:r>
          <w:r>
            <w:rPr>
              <w:b/>
              <w:bCs/>
              <w:spacing w:val="-14"/>
              <w:sz w:val="21"/>
              <w:szCs w:val="21"/>
            </w:rPr>
            <w:t>感</w:t>
          </w:r>
          <w:r>
            <w:rPr>
              <w:spacing w:val="-22"/>
              <w:sz w:val="21"/>
              <w:szCs w:val="21"/>
            </w:rPr>
            <w:t xml:space="preserve"> </w:t>
          </w:r>
          <w:r>
            <w:rPr>
              <w:b/>
              <w:bCs/>
              <w:spacing w:val="-14"/>
              <w:sz w:val="21"/>
              <w:szCs w:val="21"/>
            </w:rPr>
            <w:t>染</w:t>
          </w:r>
          <w:r>
            <w:rPr>
              <w:spacing w:val="-78"/>
              <w:sz w:val="21"/>
              <w:szCs w:val="21"/>
            </w:rPr>
            <w:t xml:space="preserve"> </w:t>
          </w:r>
          <w:r>
            <w:rPr>
              <w:sz w:val="21"/>
              <w:szCs w:val="21"/>
            </w:rPr>
            <w:tab/>
          </w:r>
          <w:r>
            <w:rPr>
              <w:spacing w:val="-20"/>
              <w:sz w:val="21"/>
              <w:szCs w:val="21"/>
            </w:rPr>
            <w:t xml:space="preserve"> </w:t>
          </w:r>
          <w:r>
            <w:rPr>
              <w:rFonts w:ascii="Times New Roman" w:hAnsi="Times New Roman" w:eastAsia="Times New Roman" w:cs="Times New Roman"/>
              <w:b/>
              <w:bCs/>
              <w:spacing w:val="-4"/>
              <w:sz w:val="21"/>
              <w:szCs w:val="21"/>
            </w:rPr>
            <w:t>173</w:t>
          </w:r>
          <w:r>
            <w:rPr>
              <w:rFonts w:ascii="Times New Roman" w:hAnsi="Times New Roman" w:eastAsia="Times New Roman" w:cs="Times New Roman"/>
              <w:b/>
              <w:bCs/>
              <w:spacing w:val="-4"/>
              <w:sz w:val="21"/>
              <w:szCs w:val="21"/>
            </w:rPr>
            <w:fldChar w:fldCharType="end"/>
          </w:r>
        </w:p>
        <w:p w14:paraId="024E7F82">
          <w:pPr>
            <w:pStyle w:val="2"/>
            <w:tabs>
              <w:tab w:val="right" w:leader="dot" w:pos="9490"/>
            </w:tabs>
            <w:spacing w:before="140" w:line="221" w:lineRule="auto"/>
            <w:ind w:left="1909"/>
            <w:rPr>
              <w:rFonts w:ascii="Times New Roman" w:hAnsi="Times New Roman" w:eastAsia="Times New Roman" w:cs="Times New Roman"/>
              <w:sz w:val="21"/>
              <w:szCs w:val="21"/>
            </w:rPr>
          </w:pPr>
          <w:r>
            <w:fldChar w:fldCharType="begin"/>
          </w:r>
          <w:r>
            <w:instrText xml:space="preserve"> HYPERLINK \l "bookmark210" </w:instrText>
          </w:r>
          <w:r>
            <w:fldChar w:fldCharType="separate"/>
          </w:r>
          <w:r>
            <w:rPr>
              <w:spacing w:val="-5"/>
              <w:sz w:val="21"/>
              <w:szCs w:val="21"/>
            </w:rPr>
            <w:t>第一节</w:t>
          </w:r>
          <w:r>
            <w:rPr>
              <w:spacing w:val="73"/>
              <w:sz w:val="21"/>
              <w:szCs w:val="21"/>
            </w:rPr>
            <w:t xml:space="preserve"> </w:t>
          </w:r>
          <w:r>
            <w:rPr>
              <w:spacing w:val="-5"/>
              <w:sz w:val="21"/>
              <w:szCs w:val="21"/>
            </w:rPr>
            <w:t>概</w:t>
          </w:r>
          <w:r>
            <w:rPr>
              <w:spacing w:val="-32"/>
              <w:sz w:val="21"/>
              <w:szCs w:val="21"/>
            </w:rPr>
            <w:t xml:space="preserve"> </w:t>
          </w:r>
          <w:r>
            <w:rPr>
              <w:spacing w:val="-5"/>
              <w:sz w:val="21"/>
              <w:szCs w:val="21"/>
            </w:rPr>
            <w:t>述</w:t>
          </w:r>
          <w:r>
            <w:rPr>
              <w:spacing w:val="-82"/>
              <w:sz w:val="21"/>
              <w:szCs w:val="21"/>
            </w:rPr>
            <w:t xml:space="preserve"> </w:t>
          </w:r>
          <w:r>
            <w:rPr>
              <w:sz w:val="21"/>
              <w:szCs w:val="21"/>
            </w:rPr>
            <w:tab/>
          </w:r>
          <w:r>
            <w:rPr>
              <w:rFonts w:ascii="Times New Roman" w:hAnsi="Times New Roman" w:eastAsia="Times New Roman" w:cs="Times New Roman"/>
              <w:spacing w:val="-4"/>
              <w:sz w:val="21"/>
              <w:szCs w:val="21"/>
            </w:rPr>
            <w:t>173</w:t>
          </w:r>
          <w:r>
            <w:rPr>
              <w:rFonts w:ascii="Times New Roman" w:hAnsi="Times New Roman" w:eastAsia="Times New Roman" w:cs="Times New Roman"/>
              <w:spacing w:val="-4"/>
              <w:sz w:val="21"/>
              <w:szCs w:val="21"/>
            </w:rPr>
            <w:fldChar w:fldCharType="end"/>
          </w:r>
        </w:p>
        <w:p w14:paraId="7EAAEE8A">
          <w:pPr>
            <w:pStyle w:val="2"/>
            <w:tabs>
              <w:tab w:val="right" w:leader="dot" w:pos="9530"/>
            </w:tabs>
            <w:spacing w:before="121" w:line="223" w:lineRule="auto"/>
            <w:ind w:left="2309"/>
            <w:rPr>
              <w:rFonts w:ascii="Times New Roman" w:hAnsi="Times New Roman" w:eastAsia="Times New Roman" w:cs="Times New Roman"/>
              <w:sz w:val="21"/>
              <w:szCs w:val="21"/>
            </w:rPr>
          </w:pPr>
          <w:r>
            <w:fldChar w:fldCharType="begin"/>
          </w:r>
          <w:r>
            <w:instrText xml:space="preserve"> HYPERLINK \l "bookmark211" </w:instrText>
          </w:r>
          <w:r>
            <w:fldChar w:fldCharType="separate"/>
          </w:r>
          <w:r>
            <w:rPr>
              <w:spacing w:val="-9"/>
              <w:sz w:val="21"/>
              <w:szCs w:val="21"/>
            </w:rPr>
            <w:t>一</w:t>
          </w:r>
          <w:r>
            <w:rPr>
              <w:spacing w:val="-48"/>
              <w:sz w:val="21"/>
              <w:szCs w:val="21"/>
            </w:rPr>
            <w:t xml:space="preserve"> </w:t>
          </w:r>
          <w:r>
            <w:rPr>
              <w:spacing w:val="-9"/>
              <w:sz w:val="21"/>
              <w:szCs w:val="21"/>
            </w:rPr>
            <w:t>、定义</w:t>
          </w:r>
          <w:r>
            <w:rPr>
              <w:spacing w:val="-87"/>
              <w:sz w:val="21"/>
              <w:szCs w:val="21"/>
            </w:rPr>
            <w:t xml:space="preserve"> </w:t>
          </w:r>
          <w:r>
            <w:rPr>
              <w:sz w:val="21"/>
              <w:szCs w:val="21"/>
            </w:rPr>
            <w:tab/>
          </w:r>
          <w:r>
            <w:rPr>
              <w:rFonts w:ascii="Times New Roman" w:hAnsi="Times New Roman" w:eastAsia="Times New Roman" w:cs="Times New Roman"/>
              <w:spacing w:val="-4"/>
              <w:sz w:val="21"/>
              <w:szCs w:val="21"/>
            </w:rPr>
            <w:t>173</w:t>
          </w:r>
          <w:r>
            <w:rPr>
              <w:rFonts w:ascii="Times New Roman" w:hAnsi="Times New Roman" w:eastAsia="Times New Roman" w:cs="Times New Roman"/>
              <w:spacing w:val="-4"/>
              <w:sz w:val="21"/>
              <w:szCs w:val="21"/>
            </w:rPr>
            <w:fldChar w:fldCharType="end"/>
          </w:r>
        </w:p>
        <w:p w14:paraId="2D1E1191">
          <w:pPr>
            <w:pStyle w:val="2"/>
            <w:tabs>
              <w:tab w:val="right" w:leader="dot" w:pos="9540"/>
            </w:tabs>
            <w:spacing w:before="124" w:line="221" w:lineRule="auto"/>
            <w:ind w:left="2309"/>
            <w:rPr>
              <w:rFonts w:ascii="Times New Roman" w:hAnsi="Times New Roman" w:eastAsia="Times New Roman" w:cs="Times New Roman"/>
              <w:sz w:val="21"/>
              <w:szCs w:val="21"/>
            </w:rPr>
          </w:pPr>
          <w:r>
            <w:fldChar w:fldCharType="begin"/>
          </w:r>
          <w:r>
            <w:instrText xml:space="preserve"> HYPERLINK \l "bookmark212" </w:instrText>
          </w:r>
          <w:r>
            <w:fldChar w:fldCharType="separate"/>
          </w:r>
          <w:r>
            <w:rPr>
              <w:spacing w:val="-9"/>
              <w:sz w:val="21"/>
              <w:szCs w:val="21"/>
            </w:rPr>
            <w:t>二</w:t>
          </w:r>
          <w:r>
            <w:rPr>
              <w:spacing w:val="-44"/>
              <w:sz w:val="21"/>
              <w:szCs w:val="21"/>
            </w:rPr>
            <w:t xml:space="preserve"> </w:t>
          </w:r>
          <w:r>
            <w:rPr>
              <w:spacing w:val="-9"/>
              <w:sz w:val="21"/>
              <w:szCs w:val="21"/>
            </w:rPr>
            <w:t>、分类和特征</w:t>
          </w:r>
          <w:r>
            <w:rPr>
              <w:spacing w:val="-85"/>
              <w:sz w:val="21"/>
              <w:szCs w:val="21"/>
            </w:rPr>
            <w:t xml:space="preserve"> </w:t>
          </w:r>
          <w:r>
            <w:rPr>
              <w:sz w:val="21"/>
              <w:szCs w:val="21"/>
            </w:rPr>
            <w:tab/>
          </w:r>
          <w:r>
            <w:rPr>
              <w:rFonts w:ascii="Times New Roman" w:hAnsi="Times New Roman" w:eastAsia="Times New Roman" w:cs="Times New Roman"/>
              <w:spacing w:val="-4"/>
              <w:sz w:val="21"/>
              <w:szCs w:val="21"/>
            </w:rPr>
            <w:t>173</w:t>
          </w:r>
          <w:r>
            <w:rPr>
              <w:rFonts w:ascii="Times New Roman" w:hAnsi="Times New Roman" w:eastAsia="Times New Roman" w:cs="Times New Roman"/>
              <w:spacing w:val="-4"/>
              <w:sz w:val="21"/>
              <w:szCs w:val="21"/>
            </w:rPr>
            <w:fldChar w:fldCharType="end"/>
          </w:r>
        </w:p>
        <w:p w14:paraId="6346119A">
          <w:pPr>
            <w:pStyle w:val="2"/>
            <w:tabs>
              <w:tab w:val="right" w:leader="dot" w:pos="9500"/>
            </w:tabs>
            <w:spacing w:before="139" w:line="221" w:lineRule="auto"/>
            <w:ind w:left="1909"/>
            <w:rPr>
              <w:rFonts w:ascii="Times New Roman" w:hAnsi="Times New Roman" w:eastAsia="Times New Roman" w:cs="Times New Roman"/>
              <w:sz w:val="21"/>
              <w:szCs w:val="21"/>
            </w:rPr>
          </w:pPr>
          <w:r>
            <w:fldChar w:fldCharType="begin"/>
          </w:r>
          <w:r>
            <w:instrText xml:space="preserve"> HYPERLINK \l "bookmark213" </w:instrText>
          </w:r>
          <w:r>
            <w:fldChar w:fldCharType="separate"/>
          </w:r>
          <w:r>
            <w:rPr>
              <w:spacing w:val="5"/>
              <w:sz w:val="21"/>
              <w:szCs w:val="21"/>
            </w:rPr>
            <w:t>第二节 医院感染的预防和控制</w:t>
          </w:r>
          <w:r>
            <w:rPr>
              <w:spacing w:val="-91"/>
              <w:sz w:val="21"/>
              <w:szCs w:val="21"/>
            </w:rPr>
            <w:t xml:space="preserve"> </w:t>
          </w:r>
          <w:r>
            <w:rPr>
              <w:sz w:val="21"/>
              <w:szCs w:val="21"/>
            </w:rPr>
            <w:tab/>
          </w:r>
          <w:r>
            <w:rPr>
              <w:rFonts w:ascii="Times New Roman" w:hAnsi="Times New Roman" w:eastAsia="Times New Roman" w:cs="Times New Roman"/>
              <w:spacing w:val="-7"/>
              <w:sz w:val="21"/>
              <w:szCs w:val="21"/>
            </w:rPr>
            <w:t>175</w:t>
          </w:r>
          <w:r>
            <w:rPr>
              <w:rFonts w:ascii="Times New Roman" w:hAnsi="Times New Roman" w:eastAsia="Times New Roman" w:cs="Times New Roman"/>
              <w:spacing w:val="-7"/>
              <w:sz w:val="21"/>
              <w:szCs w:val="21"/>
            </w:rPr>
            <w:fldChar w:fldCharType="end"/>
          </w:r>
        </w:p>
        <w:p w14:paraId="47B22455">
          <w:pPr>
            <w:pStyle w:val="2"/>
            <w:tabs>
              <w:tab w:val="right" w:leader="dot" w:pos="9510"/>
            </w:tabs>
            <w:spacing w:before="118" w:line="221" w:lineRule="auto"/>
            <w:ind w:left="2309"/>
            <w:rPr>
              <w:rFonts w:ascii="Times New Roman" w:hAnsi="Times New Roman" w:eastAsia="Times New Roman" w:cs="Times New Roman"/>
              <w:sz w:val="21"/>
              <w:szCs w:val="21"/>
            </w:rPr>
          </w:pPr>
          <w:r>
            <w:fldChar w:fldCharType="begin"/>
          </w:r>
          <w:r>
            <w:instrText xml:space="preserve"> HYPERLINK \l "bookmark214" </w:instrText>
          </w:r>
          <w:r>
            <w:fldChar w:fldCharType="separate"/>
          </w:r>
          <w:r>
            <w:rPr>
              <w:spacing w:val="-10"/>
              <w:sz w:val="21"/>
              <w:szCs w:val="21"/>
            </w:rPr>
            <w:t>一</w:t>
          </w:r>
          <w:r>
            <w:rPr>
              <w:spacing w:val="-44"/>
              <w:sz w:val="21"/>
              <w:szCs w:val="21"/>
            </w:rPr>
            <w:t xml:space="preserve"> </w:t>
          </w:r>
          <w:r>
            <w:rPr>
              <w:spacing w:val="-10"/>
              <w:sz w:val="21"/>
              <w:szCs w:val="21"/>
            </w:rPr>
            <w:t>、医院感染的预防</w:t>
          </w:r>
          <w:r>
            <w:rPr>
              <w:spacing w:val="-67"/>
              <w:sz w:val="21"/>
              <w:szCs w:val="21"/>
            </w:rPr>
            <w:t xml:space="preserve"> </w:t>
          </w:r>
          <w:r>
            <w:rPr>
              <w:sz w:val="21"/>
              <w:szCs w:val="21"/>
            </w:rPr>
            <w:tab/>
          </w:r>
          <w:r>
            <w:rPr>
              <w:rFonts w:ascii="Times New Roman" w:hAnsi="Times New Roman" w:eastAsia="Times New Roman" w:cs="Times New Roman"/>
              <w:spacing w:val="-7"/>
              <w:sz w:val="21"/>
              <w:szCs w:val="21"/>
            </w:rPr>
            <w:t>175</w:t>
          </w:r>
          <w:r>
            <w:rPr>
              <w:rFonts w:ascii="Times New Roman" w:hAnsi="Times New Roman" w:eastAsia="Times New Roman" w:cs="Times New Roman"/>
              <w:spacing w:val="-7"/>
              <w:sz w:val="21"/>
              <w:szCs w:val="21"/>
            </w:rPr>
            <w:fldChar w:fldCharType="end"/>
          </w:r>
        </w:p>
        <w:p w14:paraId="2C6B90E5">
          <w:pPr>
            <w:pStyle w:val="2"/>
            <w:tabs>
              <w:tab w:val="right" w:leader="dot" w:pos="9490"/>
            </w:tabs>
            <w:spacing w:before="129" w:line="221" w:lineRule="auto"/>
            <w:ind w:left="2309"/>
            <w:rPr>
              <w:rFonts w:ascii="Times New Roman" w:hAnsi="Times New Roman" w:eastAsia="Times New Roman" w:cs="Times New Roman"/>
              <w:sz w:val="21"/>
              <w:szCs w:val="21"/>
            </w:rPr>
          </w:pPr>
          <w:r>
            <w:fldChar w:fldCharType="begin"/>
          </w:r>
          <w:r>
            <w:instrText xml:space="preserve"> HYPERLINK \l "bookmark215" </w:instrText>
          </w:r>
          <w:r>
            <w:fldChar w:fldCharType="separate"/>
          </w:r>
          <w:r>
            <w:rPr>
              <w:spacing w:val="-6"/>
              <w:sz w:val="21"/>
              <w:szCs w:val="21"/>
            </w:rPr>
            <w:t>二</w:t>
          </w:r>
          <w:r>
            <w:rPr>
              <w:spacing w:val="-40"/>
              <w:sz w:val="21"/>
              <w:szCs w:val="21"/>
            </w:rPr>
            <w:t xml:space="preserve"> </w:t>
          </w:r>
          <w:r>
            <w:rPr>
              <w:spacing w:val="-6"/>
              <w:sz w:val="21"/>
              <w:szCs w:val="21"/>
            </w:rPr>
            <w:t>、医院感染暴发的调查与控制</w:t>
          </w:r>
          <w:r>
            <w:rPr>
              <w:spacing w:val="-97"/>
              <w:sz w:val="21"/>
              <w:szCs w:val="21"/>
            </w:rPr>
            <w:t xml:space="preserve"> </w:t>
          </w:r>
          <w:r>
            <w:rPr>
              <w:sz w:val="21"/>
              <w:szCs w:val="21"/>
            </w:rPr>
            <w:tab/>
          </w:r>
          <w:r>
            <w:rPr>
              <w:rFonts w:ascii="Times New Roman" w:hAnsi="Times New Roman" w:eastAsia="Times New Roman" w:cs="Times New Roman"/>
              <w:spacing w:val="-7"/>
              <w:sz w:val="21"/>
              <w:szCs w:val="21"/>
            </w:rPr>
            <w:t>176</w:t>
          </w:r>
          <w:r>
            <w:rPr>
              <w:rFonts w:ascii="Times New Roman" w:hAnsi="Times New Roman" w:eastAsia="Times New Roman" w:cs="Times New Roman"/>
              <w:spacing w:val="-7"/>
              <w:sz w:val="21"/>
              <w:szCs w:val="21"/>
            </w:rPr>
            <w:fldChar w:fldCharType="end"/>
          </w:r>
        </w:p>
      </w:sdtContent>
    </w:sdt>
    <w:p w14:paraId="1A49BA5E">
      <w:pPr>
        <w:spacing w:line="221" w:lineRule="auto"/>
        <w:rPr>
          <w:rFonts w:ascii="Times New Roman" w:hAnsi="Times New Roman" w:eastAsia="Times New Roman" w:cs="Times New Roman"/>
          <w:sz w:val="21"/>
          <w:szCs w:val="21"/>
        </w:rPr>
        <w:sectPr>
          <w:footerReference r:id="rId24" w:type="default"/>
          <w:pgSz w:w="11900" w:h="16820"/>
          <w:pgMar w:top="400" w:right="1549" w:bottom="776" w:left="810" w:header="0" w:footer="587" w:gutter="0"/>
          <w:cols w:space="720" w:num="1"/>
        </w:sectPr>
      </w:pPr>
    </w:p>
    <w:sdt>
      <w:sdtPr>
        <w:rPr>
          <w:rFonts w:ascii="黑体" w:hAnsi="黑体" w:eastAsia="黑体" w:cs="黑体"/>
          <w:sz w:val="22"/>
          <w:szCs w:val="22"/>
        </w:rPr>
        <w:id w:val="52229921"/>
        <w:docPartObj>
          <w:docPartGallery w:val="Table of Contents"/>
          <w:docPartUnique/>
        </w:docPartObj>
      </w:sdtPr>
      <w:sdtEndPr>
        <w:rPr>
          <w:rFonts w:ascii="Times New Roman" w:hAnsi="Times New Roman" w:eastAsia="Times New Roman" w:cs="Times New Roman"/>
          <w:sz w:val="22"/>
          <w:szCs w:val="22"/>
        </w:rPr>
      </w:sdtEndPr>
      <w:sdtContent>
        <w:p w14:paraId="18BF59C9">
          <w:pPr>
            <w:pStyle w:val="2"/>
            <w:spacing w:before="224" w:line="222" w:lineRule="auto"/>
            <w:ind w:left="8879"/>
            <w:rPr>
              <w:sz w:val="22"/>
              <w:szCs w:val="22"/>
            </w:rPr>
          </w:pPr>
          <w:r>
            <w:rPr>
              <w:b/>
              <w:bCs/>
              <w:spacing w:val="-22"/>
              <w:sz w:val="22"/>
              <w:szCs w:val="22"/>
            </w:rPr>
            <w:t>目录</w:t>
          </w:r>
        </w:p>
        <w:p w14:paraId="4AF5329C">
          <w:pPr>
            <w:spacing w:line="279" w:lineRule="auto"/>
            <w:rPr>
              <w:rFonts w:ascii="Arial"/>
              <w:sz w:val="21"/>
            </w:rPr>
          </w:pPr>
        </w:p>
        <w:p w14:paraId="143E9FC5">
          <w:pPr>
            <w:spacing w:line="280" w:lineRule="auto"/>
            <w:rPr>
              <w:rFonts w:ascii="Arial"/>
              <w:sz w:val="21"/>
            </w:rPr>
          </w:pPr>
        </w:p>
        <w:p w14:paraId="73BE1E67">
          <w:pPr>
            <w:pStyle w:val="2"/>
            <w:tabs>
              <w:tab w:val="right" w:leader="dot" w:pos="9072"/>
            </w:tabs>
            <w:spacing w:before="72" w:line="221" w:lineRule="auto"/>
            <w:rPr>
              <w:rFonts w:ascii="Times New Roman" w:hAnsi="Times New Roman" w:eastAsia="Times New Roman" w:cs="Times New Roman"/>
              <w:sz w:val="22"/>
              <w:szCs w:val="22"/>
            </w:rPr>
          </w:pPr>
          <w:r>
            <w:fldChar w:fldCharType="begin"/>
          </w:r>
          <w:r>
            <w:instrText xml:space="preserve"> HYPERLINK \l "bookmark216" </w:instrText>
          </w:r>
          <w:r>
            <w:fldChar w:fldCharType="separate"/>
          </w:r>
          <w:r>
            <w:rPr>
              <w:b/>
              <w:bCs/>
              <w:spacing w:val="-13"/>
              <w:sz w:val="22"/>
              <w:szCs w:val="22"/>
            </w:rPr>
            <w:t>第</w:t>
          </w:r>
          <w:r>
            <w:rPr>
              <w:spacing w:val="-41"/>
              <w:sz w:val="22"/>
              <w:szCs w:val="22"/>
            </w:rPr>
            <w:t xml:space="preserve"> </w:t>
          </w:r>
          <w:r>
            <w:rPr>
              <w:b/>
              <w:bCs/>
              <w:spacing w:val="-13"/>
              <w:sz w:val="22"/>
              <w:szCs w:val="22"/>
            </w:rPr>
            <w:t>十</w:t>
          </w:r>
          <w:r>
            <w:rPr>
              <w:spacing w:val="-40"/>
              <w:sz w:val="22"/>
              <w:szCs w:val="22"/>
            </w:rPr>
            <w:t xml:space="preserve"> </w:t>
          </w:r>
          <w:r>
            <w:rPr>
              <w:b/>
              <w:bCs/>
              <w:spacing w:val="-13"/>
              <w:sz w:val="22"/>
              <w:szCs w:val="22"/>
            </w:rPr>
            <w:t>三</w:t>
          </w:r>
          <w:r>
            <w:rPr>
              <w:spacing w:val="-44"/>
              <w:sz w:val="22"/>
              <w:szCs w:val="22"/>
            </w:rPr>
            <w:t xml:space="preserve"> </w:t>
          </w:r>
          <w:r>
            <w:rPr>
              <w:b/>
              <w:bCs/>
              <w:spacing w:val="-13"/>
              <w:sz w:val="22"/>
              <w:szCs w:val="22"/>
            </w:rPr>
            <w:t>章</w:t>
          </w:r>
          <w:r>
            <w:rPr>
              <w:spacing w:val="64"/>
              <w:sz w:val="22"/>
              <w:szCs w:val="22"/>
            </w:rPr>
            <w:t xml:space="preserve"> </w:t>
          </w:r>
          <w:r>
            <w:rPr>
              <w:b/>
              <w:bCs/>
              <w:spacing w:val="-13"/>
              <w:sz w:val="22"/>
              <w:szCs w:val="22"/>
            </w:rPr>
            <w:t>消</w:t>
          </w:r>
          <w:r>
            <w:rPr>
              <w:spacing w:val="-36"/>
              <w:sz w:val="22"/>
              <w:szCs w:val="22"/>
            </w:rPr>
            <w:t xml:space="preserve"> </w:t>
          </w:r>
          <w:r>
            <w:rPr>
              <w:b/>
              <w:bCs/>
              <w:spacing w:val="-13"/>
              <w:sz w:val="22"/>
              <w:szCs w:val="22"/>
            </w:rPr>
            <w:t>毒</w:t>
          </w:r>
          <w:r>
            <w:rPr>
              <w:spacing w:val="-33"/>
              <w:sz w:val="22"/>
              <w:szCs w:val="22"/>
            </w:rPr>
            <w:t xml:space="preserve"> </w:t>
          </w:r>
          <w:r>
            <w:rPr>
              <w:b/>
              <w:bCs/>
              <w:spacing w:val="-13"/>
              <w:sz w:val="22"/>
              <w:szCs w:val="22"/>
            </w:rPr>
            <w:t>与</w:t>
          </w:r>
          <w:r>
            <w:rPr>
              <w:spacing w:val="-43"/>
              <w:sz w:val="22"/>
              <w:szCs w:val="22"/>
            </w:rPr>
            <w:t xml:space="preserve"> </w:t>
          </w:r>
          <w:r>
            <w:rPr>
              <w:b/>
              <w:bCs/>
              <w:spacing w:val="-13"/>
              <w:sz w:val="22"/>
              <w:szCs w:val="22"/>
            </w:rPr>
            <w:t>病</w:t>
          </w:r>
          <w:r>
            <w:rPr>
              <w:spacing w:val="-42"/>
              <w:sz w:val="22"/>
              <w:szCs w:val="22"/>
            </w:rPr>
            <w:t xml:space="preserve"> </w:t>
          </w:r>
          <w:r>
            <w:rPr>
              <w:b/>
              <w:bCs/>
              <w:spacing w:val="-13"/>
              <w:sz w:val="22"/>
              <w:szCs w:val="22"/>
            </w:rPr>
            <w:t>媒</w:t>
          </w:r>
          <w:r>
            <w:rPr>
              <w:spacing w:val="-43"/>
              <w:sz w:val="22"/>
              <w:szCs w:val="22"/>
            </w:rPr>
            <w:t xml:space="preserve"> </w:t>
          </w:r>
          <w:r>
            <w:rPr>
              <w:b/>
              <w:bCs/>
              <w:spacing w:val="-13"/>
              <w:sz w:val="22"/>
              <w:szCs w:val="22"/>
            </w:rPr>
            <w:t>生</w:t>
          </w:r>
          <w:r>
            <w:rPr>
              <w:spacing w:val="-41"/>
              <w:sz w:val="22"/>
              <w:szCs w:val="22"/>
            </w:rPr>
            <w:t xml:space="preserve"> </w:t>
          </w:r>
          <w:r>
            <w:rPr>
              <w:b/>
              <w:bCs/>
              <w:spacing w:val="-13"/>
              <w:sz w:val="22"/>
              <w:szCs w:val="22"/>
            </w:rPr>
            <w:t>物</w:t>
          </w:r>
          <w:r>
            <w:rPr>
              <w:spacing w:val="-30"/>
              <w:sz w:val="22"/>
              <w:szCs w:val="22"/>
            </w:rPr>
            <w:t xml:space="preserve"> </w:t>
          </w:r>
          <w:r>
            <w:rPr>
              <w:b/>
              <w:bCs/>
              <w:spacing w:val="-13"/>
              <w:sz w:val="22"/>
              <w:szCs w:val="22"/>
            </w:rPr>
            <w:t>防</w:t>
          </w:r>
          <w:r>
            <w:rPr>
              <w:spacing w:val="-42"/>
              <w:sz w:val="22"/>
              <w:szCs w:val="22"/>
            </w:rPr>
            <w:t xml:space="preserve"> </w:t>
          </w:r>
          <w:r>
            <w:rPr>
              <w:b/>
              <w:bCs/>
              <w:spacing w:val="-13"/>
              <w:sz w:val="22"/>
              <w:szCs w:val="22"/>
            </w:rPr>
            <w:t>制</w:t>
          </w:r>
          <w:r>
            <w:rPr>
              <w:spacing w:val="-95"/>
              <w:sz w:val="22"/>
              <w:szCs w:val="22"/>
            </w:rPr>
            <w:t xml:space="preserve"> </w:t>
          </w:r>
          <w:r>
            <w:rPr>
              <w:sz w:val="22"/>
              <w:szCs w:val="22"/>
            </w:rPr>
            <w:tab/>
          </w:r>
          <w:r>
            <w:rPr>
              <w:spacing w:val="-74"/>
              <w:sz w:val="22"/>
              <w:szCs w:val="22"/>
            </w:rPr>
            <w:t xml:space="preserve"> </w:t>
          </w:r>
          <w:r>
            <w:rPr>
              <w:rFonts w:ascii="Times New Roman" w:hAnsi="Times New Roman" w:eastAsia="Times New Roman" w:cs="Times New Roman"/>
              <w:b/>
              <w:bCs/>
              <w:spacing w:val="-4"/>
              <w:sz w:val="22"/>
              <w:szCs w:val="22"/>
            </w:rPr>
            <w:t>178</w:t>
          </w:r>
          <w:r>
            <w:rPr>
              <w:rFonts w:ascii="Times New Roman" w:hAnsi="Times New Roman" w:eastAsia="Times New Roman" w:cs="Times New Roman"/>
              <w:b/>
              <w:bCs/>
              <w:spacing w:val="-4"/>
              <w:sz w:val="22"/>
              <w:szCs w:val="22"/>
            </w:rPr>
            <w:fldChar w:fldCharType="end"/>
          </w:r>
        </w:p>
        <w:p w14:paraId="2DD13FCE">
          <w:pPr>
            <w:pStyle w:val="2"/>
            <w:tabs>
              <w:tab w:val="right" w:leader="dot" w:pos="9160"/>
            </w:tabs>
            <w:spacing w:before="150" w:line="222" w:lineRule="auto"/>
            <w:ind w:left="1296"/>
            <w:rPr>
              <w:rFonts w:ascii="Times New Roman" w:hAnsi="Times New Roman" w:eastAsia="Times New Roman" w:cs="Times New Roman"/>
              <w:sz w:val="22"/>
              <w:szCs w:val="22"/>
            </w:rPr>
          </w:pPr>
          <w:r>
            <w:fldChar w:fldCharType="begin"/>
          </w:r>
          <w:r>
            <w:instrText xml:space="preserve"> HYPERLINK \l "bookmark217" </w:instrText>
          </w:r>
          <w:r>
            <w:fldChar w:fldCharType="separate"/>
          </w:r>
          <w:r>
            <w:rPr>
              <w:spacing w:val="11"/>
              <w:sz w:val="22"/>
              <w:szCs w:val="22"/>
            </w:rPr>
            <w:t>第一节</w:t>
          </w:r>
          <w:r>
            <w:rPr>
              <w:spacing w:val="41"/>
              <w:sz w:val="22"/>
              <w:szCs w:val="22"/>
            </w:rPr>
            <w:t xml:space="preserve"> </w:t>
          </w:r>
          <w:r>
            <w:rPr>
              <w:spacing w:val="11"/>
              <w:sz w:val="22"/>
              <w:szCs w:val="22"/>
            </w:rPr>
            <w:t>消毒技术</w:t>
          </w:r>
          <w:r>
            <w:rPr>
              <w:spacing w:val="-90"/>
              <w:sz w:val="22"/>
              <w:szCs w:val="22"/>
            </w:rPr>
            <w:t xml:space="preserve"> </w:t>
          </w:r>
          <w:r>
            <w:rPr>
              <w:sz w:val="22"/>
              <w:szCs w:val="22"/>
            </w:rPr>
            <w:tab/>
          </w:r>
          <w:r>
            <w:rPr>
              <w:spacing w:val="-36"/>
              <w:sz w:val="22"/>
              <w:szCs w:val="22"/>
            </w:rPr>
            <w:t xml:space="preserve"> </w:t>
          </w:r>
          <w:r>
            <w:rPr>
              <w:rFonts w:ascii="Times New Roman" w:hAnsi="Times New Roman" w:eastAsia="Times New Roman" w:cs="Times New Roman"/>
              <w:spacing w:val="-6"/>
              <w:sz w:val="22"/>
              <w:szCs w:val="22"/>
            </w:rPr>
            <w:t>178</w:t>
          </w:r>
          <w:r>
            <w:rPr>
              <w:rFonts w:ascii="Times New Roman" w:hAnsi="Times New Roman" w:eastAsia="Times New Roman" w:cs="Times New Roman"/>
              <w:spacing w:val="-6"/>
              <w:sz w:val="22"/>
              <w:szCs w:val="22"/>
            </w:rPr>
            <w:fldChar w:fldCharType="end"/>
          </w:r>
        </w:p>
        <w:p w14:paraId="3AD4D2EC">
          <w:pPr>
            <w:pStyle w:val="2"/>
            <w:tabs>
              <w:tab w:val="right" w:leader="dot" w:pos="9190"/>
            </w:tabs>
            <w:spacing w:before="124" w:line="221" w:lineRule="auto"/>
            <w:ind w:left="1716"/>
            <w:rPr>
              <w:rFonts w:ascii="Times New Roman" w:hAnsi="Times New Roman" w:eastAsia="Times New Roman" w:cs="Times New Roman"/>
              <w:sz w:val="22"/>
              <w:szCs w:val="22"/>
            </w:rPr>
          </w:pPr>
          <w:r>
            <w:fldChar w:fldCharType="begin"/>
          </w:r>
          <w:r>
            <w:instrText xml:space="preserve"> HYPERLINK \l "bookmark218" </w:instrText>
          </w:r>
          <w:r>
            <w:fldChar w:fldCharType="separate"/>
          </w:r>
          <w:r>
            <w:rPr>
              <w:spacing w:val="-27"/>
              <w:sz w:val="22"/>
              <w:szCs w:val="22"/>
            </w:rPr>
            <w:t>一</w:t>
          </w:r>
          <w:r>
            <w:rPr>
              <w:spacing w:val="-26"/>
              <w:sz w:val="22"/>
              <w:szCs w:val="22"/>
            </w:rPr>
            <w:t xml:space="preserve"> </w:t>
          </w:r>
          <w:r>
            <w:rPr>
              <w:spacing w:val="-27"/>
              <w:sz w:val="22"/>
              <w:szCs w:val="22"/>
            </w:rPr>
            <w:t>、概</w:t>
          </w:r>
          <w:r>
            <w:rPr>
              <w:spacing w:val="-50"/>
              <w:sz w:val="22"/>
              <w:szCs w:val="22"/>
            </w:rPr>
            <w:t xml:space="preserve"> </w:t>
          </w:r>
          <w:r>
            <w:rPr>
              <w:spacing w:val="-27"/>
              <w:sz w:val="22"/>
              <w:szCs w:val="22"/>
            </w:rPr>
            <w:t>述</w:t>
          </w:r>
          <w:r>
            <w:rPr>
              <w:spacing w:val="-98"/>
              <w:sz w:val="22"/>
              <w:szCs w:val="22"/>
            </w:rPr>
            <w:t xml:space="preserve"> </w:t>
          </w:r>
          <w:r>
            <w:rPr>
              <w:sz w:val="22"/>
              <w:szCs w:val="22"/>
            </w:rPr>
            <w:tab/>
          </w:r>
          <w:r>
            <w:rPr>
              <w:spacing w:val="-6"/>
              <w:sz w:val="22"/>
              <w:szCs w:val="22"/>
            </w:rPr>
            <w:t xml:space="preserve"> </w:t>
          </w:r>
          <w:r>
            <w:rPr>
              <w:rFonts w:ascii="Times New Roman" w:hAnsi="Times New Roman" w:eastAsia="Times New Roman" w:cs="Times New Roman"/>
              <w:spacing w:val="-6"/>
              <w:sz w:val="22"/>
              <w:szCs w:val="22"/>
            </w:rPr>
            <w:t>178</w:t>
          </w:r>
          <w:r>
            <w:rPr>
              <w:rFonts w:ascii="Times New Roman" w:hAnsi="Times New Roman" w:eastAsia="Times New Roman" w:cs="Times New Roman"/>
              <w:spacing w:val="-6"/>
              <w:sz w:val="22"/>
              <w:szCs w:val="22"/>
            </w:rPr>
            <w:fldChar w:fldCharType="end"/>
          </w:r>
        </w:p>
        <w:p w14:paraId="15A09832">
          <w:pPr>
            <w:pStyle w:val="2"/>
            <w:tabs>
              <w:tab w:val="right" w:leader="dot" w:pos="9170"/>
            </w:tabs>
            <w:spacing w:before="126" w:line="221" w:lineRule="auto"/>
            <w:ind w:left="1716"/>
            <w:rPr>
              <w:rFonts w:ascii="Times New Roman" w:hAnsi="Times New Roman" w:eastAsia="Times New Roman" w:cs="Times New Roman"/>
              <w:sz w:val="22"/>
              <w:szCs w:val="22"/>
            </w:rPr>
          </w:pPr>
          <w:r>
            <w:fldChar w:fldCharType="begin"/>
          </w:r>
          <w:r>
            <w:instrText xml:space="preserve"> HYPERLINK \l "bookmark219" </w:instrText>
          </w:r>
          <w:r>
            <w:fldChar w:fldCharType="separate"/>
          </w:r>
          <w:r>
            <w:rPr>
              <w:spacing w:val="-8"/>
              <w:sz w:val="22"/>
              <w:szCs w:val="22"/>
            </w:rPr>
            <w:t>二</w:t>
          </w:r>
          <w:r>
            <w:rPr>
              <w:spacing w:val="-36"/>
              <w:sz w:val="22"/>
              <w:szCs w:val="22"/>
            </w:rPr>
            <w:t xml:space="preserve"> </w:t>
          </w:r>
          <w:r>
            <w:rPr>
              <w:spacing w:val="-8"/>
              <w:sz w:val="22"/>
              <w:szCs w:val="22"/>
            </w:rPr>
            <w:t>、常用消毒方法</w:t>
          </w:r>
          <w:r>
            <w:rPr>
              <w:spacing w:val="-92"/>
              <w:sz w:val="22"/>
              <w:szCs w:val="22"/>
            </w:rPr>
            <w:t xml:space="preserve"> </w:t>
          </w:r>
          <w:r>
            <w:rPr>
              <w:sz w:val="22"/>
              <w:szCs w:val="22"/>
            </w:rPr>
            <w:tab/>
          </w:r>
          <w:r>
            <w:rPr>
              <w:spacing w:val="-6"/>
              <w:sz w:val="22"/>
              <w:szCs w:val="22"/>
            </w:rPr>
            <w:t xml:space="preserve"> </w:t>
          </w:r>
          <w:r>
            <w:rPr>
              <w:rFonts w:ascii="Times New Roman" w:hAnsi="Times New Roman" w:eastAsia="Times New Roman" w:cs="Times New Roman"/>
              <w:spacing w:val="-6"/>
              <w:sz w:val="22"/>
              <w:szCs w:val="22"/>
            </w:rPr>
            <w:t>179</w:t>
          </w:r>
          <w:r>
            <w:rPr>
              <w:rFonts w:ascii="Times New Roman" w:hAnsi="Times New Roman" w:eastAsia="Times New Roman" w:cs="Times New Roman"/>
              <w:spacing w:val="-6"/>
              <w:sz w:val="22"/>
              <w:szCs w:val="22"/>
            </w:rPr>
            <w:fldChar w:fldCharType="end"/>
          </w:r>
        </w:p>
        <w:p w14:paraId="4AB19356">
          <w:pPr>
            <w:pStyle w:val="2"/>
            <w:tabs>
              <w:tab w:val="right" w:leader="dot" w:pos="9160"/>
            </w:tabs>
            <w:spacing w:before="127" w:line="221" w:lineRule="auto"/>
            <w:ind w:left="1716"/>
            <w:rPr>
              <w:rFonts w:ascii="Times New Roman" w:hAnsi="Times New Roman" w:eastAsia="Times New Roman" w:cs="Times New Roman"/>
              <w:sz w:val="22"/>
              <w:szCs w:val="22"/>
            </w:rPr>
          </w:pPr>
          <w:r>
            <w:fldChar w:fldCharType="begin"/>
          </w:r>
          <w:r>
            <w:instrText xml:space="preserve"> HYPERLINK \l "bookmark220" </w:instrText>
          </w:r>
          <w:r>
            <w:fldChar w:fldCharType="separate"/>
          </w:r>
          <w:r>
            <w:rPr>
              <w:spacing w:val="-8"/>
              <w:sz w:val="22"/>
              <w:szCs w:val="22"/>
            </w:rPr>
            <w:t>三</w:t>
          </w:r>
          <w:r>
            <w:rPr>
              <w:spacing w:val="-30"/>
              <w:sz w:val="22"/>
              <w:szCs w:val="22"/>
            </w:rPr>
            <w:t xml:space="preserve"> </w:t>
          </w:r>
          <w:r>
            <w:rPr>
              <w:spacing w:val="-8"/>
              <w:sz w:val="22"/>
              <w:szCs w:val="22"/>
            </w:rPr>
            <w:t>、消毒方法选择原则</w:t>
          </w:r>
          <w:r>
            <w:rPr>
              <w:spacing w:val="-102"/>
              <w:sz w:val="22"/>
              <w:szCs w:val="22"/>
            </w:rPr>
            <w:t xml:space="preserve"> </w:t>
          </w:r>
          <w:r>
            <w:rPr>
              <w:sz w:val="22"/>
              <w:szCs w:val="22"/>
            </w:rPr>
            <w:tab/>
          </w:r>
          <w:r>
            <w:rPr>
              <w:rFonts w:ascii="Times New Roman" w:hAnsi="Times New Roman" w:eastAsia="Times New Roman" w:cs="Times New Roman"/>
              <w:spacing w:val="-5"/>
              <w:sz w:val="22"/>
              <w:szCs w:val="22"/>
            </w:rPr>
            <w:t>179</w:t>
          </w:r>
          <w:r>
            <w:rPr>
              <w:rFonts w:ascii="Times New Roman" w:hAnsi="Times New Roman" w:eastAsia="Times New Roman" w:cs="Times New Roman"/>
              <w:spacing w:val="-5"/>
              <w:sz w:val="22"/>
              <w:szCs w:val="22"/>
            </w:rPr>
            <w:fldChar w:fldCharType="end"/>
          </w:r>
        </w:p>
        <w:p w14:paraId="6D293BCA">
          <w:pPr>
            <w:pStyle w:val="2"/>
            <w:tabs>
              <w:tab w:val="right" w:leader="dot" w:pos="9150"/>
            </w:tabs>
            <w:spacing w:before="127" w:line="221" w:lineRule="auto"/>
            <w:ind w:left="1716"/>
            <w:rPr>
              <w:rFonts w:ascii="Times New Roman" w:hAnsi="Times New Roman" w:eastAsia="Times New Roman" w:cs="Times New Roman"/>
              <w:sz w:val="22"/>
              <w:szCs w:val="22"/>
            </w:rPr>
          </w:pPr>
          <w:r>
            <w:fldChar w:fldCharType="begin"/>
          </w:r>
          <w:r>
            <w:instrText xml:space="preserve"> HYPERLINK \l "bookmark221" </w:instrText>
          </w:r>
          <w:r>
            <w:fldChar w:fldCharType="separate"/>
          </w:r>
          <w:r>
            <w:rPr>
              <w:spacing w:val="-8"/>
              <w:sz w:val="22"/>
              <w:szCs w:val="22"/>
            </w:rPr>
            <w:t>四</w:t>
          </w:r>
          <w:r>
            <w:rPr>
              <w:spacing w:val="-36"/>
              <w:sz w:val="22"/>
              <w:szCs w:val="22"/>
            </w:rPr>
            <w:t xml:space="preserve"> </w:t>
          </w:r>
          <w:r>
            <w:rPr>
              <w:spacing w:val="-8"/>
              <w:sz w:val="22"/>
              <w:szCs w:val="22"/>
            </w:rPr>
            <w:t>、消毒效果影响因素</w:t>
          </w:r>
          <w:r>
            <w:rPr>
              <w:spacing w:val="-96"/>
              <w:sz w:val="22"/>
              <w:szCs w:val="22"/>
            </w:rPr>
            <w:t xml:space="preserve"> </w:t>
          </w:r>
          <w:r>
            <w:rPr>
              <w:sz w:val="22"/>
              <w:szCs w:val="22"/>
            </w:rPr>
            <w:tab/>
          </w:r>
          <w:r>
            <w:rPr>
              <w:spacing w:val="-6"/>
              <w:sz w:val="22"/>
              <w:szCs w:val="22"/>
            </w:rPr>
            <w:t xml:space="preserve"> </w:t>
          </w:r>
          <w:r>
            <w:rPr>
              <w:rFonts w:ascii="Times New Roman" w:hAnsi="Times New Roman" w:eastAsia="Times New Roman" w:cs="Times New Roman"/>
              <w:spacing w:val="-6"/>
              <w:sz w:val="22"/>
              <w:szCs w:val="22"/>
            </w:rPr>
            <w:t>180</w:t>
          </w:r>
          <w:r>
            <w:rPr>
              <w:rFonts w:ascii="Times New Roman" w:hAnsi="Times New Roman" w:eastAsia="Times New Roman" w:cs="Times New Roman"/>
              <w:spacing w:val="-6"/>
              <w:sz w:val="22"/>
              <w:szCs w:val="22"/>
            </w:rPr>
            <w:fldChar w:fldCharType="end"/>
          </w:r>
        </w:p>
        <w:p w14:paraId="065B5443">
          <w:pPr>
            <w:pStyle w:val="2"/>
            <w:tabs>
              <w:tab w:val="right" w:leader="dot" w:pos="9200"/>
            </w:tabs>
            <w:spacing w:before="128" w:line="222" w:lineRule="auto"/>
            <w:ind w:left="1716"/>
            <w:rPr>
              <w:rFonts w:ascii="Times New Roman" w:hAnsi="Times New Roman" w:eastAsia="Times New Roman" w:cs="Times New Roman"/>
              <w:sz w:val="22"/>
              <w:szCs w:val="22"/>
            </w:rPr>
          </w:pPr>
          <w:r>
            <w:fldChar w:fldCharType="begin"/>
          </w:r>
          <w:r>
            <w:instrText xml:space="preserve"> HYPERLINK \l "bookmark222" </w:instrText>
          </w:r>
          <w:r>
            <w:fldChar w:fldCharType="separate"/>
          </w:r>
          <w:r>
            <w:rPr>
              <w:spacing w:val="-6"/>
              <w:sz w:val="22"/>
              <w:szCs w:val="22"/>
            </w:rPr>
            <w:t>五</w:t>
          </w:r>
          <w:r>
            <w:rPr>
              <w:spacing w:val="-32"/>
              <w:sz w:val="22"/>
              <w:szCs w:val="22"/>
            </w:rPr>
            <w:t xml:space="preserve"> </w:t>
          </w:r>
          <w:r>
            <w:rPr>
              <w:spacing w:val="-6"/>
              <w:sz w:val="22"/>
              <w:szCs w:val="22"/>
            </w:rPr>
            <w:t>、消毒技术应用</w:t>
          </w:r>
          <w:r>
            <w:rPr>
              <w:sz w:val="22"/>
              <w:szCs w:val="22"/>
            </w:rPr>
            <w:tab/>
          </w:r>
          <w:r>
            <w:rPr>
              <w:rFonts w:ascii="Times New Roman" w:hAnsi="Times New Roman" w:eastAsia="Times New Roman" w:cs="Times New Roman"/>
              <w:spacing w:val="-5"/>
              <w:sz w:val="22"/>
              <w:szCs w:val="22"/>
            </w:rPr>
            <w:t>180</w:t>
          </w:r>
          <w:r>
            <w:rPr>
              <w:rFonts w:ascii="Times New Roman" w:hAnsi="Times New Roman" w:eastAsia="Times New Roman" w:cs="Times New Roman"/>
              <w:spacing w:val="-5"/>
              <w:sz w:val="22"/>
              <w:szCs w:val="22"/>
            </w:rPr>
            <w:fldChar w:fldCharType="end"/>
          </w:r>
        </w:p>
        <w:p w14:paraId="244D8FB6">
          <w:pPr>
            <w:pStyle w:val="2"/>
            <w:tabs>
              <w:tab w:val="right" w:leader="dot" w:pos="9180"/>
            </w:tabs>
            <w:spacing w:before="134" w:line="221" w:lineRule="auto"/>
            <w:ind w:left="1296"/>
            <w:rPr>
              <w:rFonts w:ascii="Times New Roman" w:hAnsi="Times New Roman" w:eastAsia="Times New Roman" w:cs="Times New Roman"/>
              <w:sz w:val="22"/>
              <w:szCs w:val="22"/>
            </w:rPr>
          </w:pPr>
          <w:r>
            <w:fldChar w:fldCharType="begin"/>
          </w:r>
          <w:r>
            <w:instrText xml:space="preserve"> HYPERLINK \l "bookmark223" </w:instrText>
          </w:r>
          <w:r>
            <w:fldChar w:fldCharType="separate"/>
          </w:r>
          <w:r>
            <w:rPr>
              <w:spacing w:val="10"/>
              <w:sz w:val="22"/>
              <w:szCs w:val="22"/>
            </w:rPr>
            <w:t>第二节 病媒生物防制</w:t>
          </w:r>
          <w:r>
            <w:rPr>
              <w:spacing w:val="-92"/>
              <w:sz w:val="22"/>
              <w:szCs w:val="22"/>
            </w:rPr>
            <w:t xml:space="preserve"> </w:t>
          </w:r>
          <w:r>
            <w:rPr>
              <w:sz w:val="22"/>
              <w:szCs w:val="22"/>
            </w:rPr>
            <w:tab/>
          </w:r>
          <w:r>
            <w:rPr>
              <w:rFonts w:ascii="Times New Roman" w:hAnsi="Times New Roman" w:eastAsia="Times New Roman" w:cs="Times New Roman"/>
              <w:spacing w:val="-5"/>
              <w:sz w:val="22"/>
              <w:szCs w:val="22"/>
            </w:rPr>
            <w:t>181</w:t>
          </w:r>
          <w:r>
            <w:rPr>
              <w:rFonts w:ascii="Times New Roman" w:hAnsi="Times New Roman" w:eastAsia="Times New Roman" w:cs="Times New Roman"/>
              <w:spacing w:val="-5"/>
              <w:sz w:val="22"/>
              <w:szCs w:val="22"/>
            </w:rPr>
            <w:fldChar w:fldCharType="end"/>
          </w:r>
        </w:p>
        <w:p w14:paraId="60F44C7C">
          <w:pPr>
            <w:pStyle w:val="2"/>
            <w:tabs>
              <w:tab w:val="right" w:leader="dot" w:pos="9230"/>
            </w:tabs>
            <w:spacing w:before="116" w:line="221" w:lineRule="auto"/>
            <w:ind w:left="1716"/>
            <w:rPr>
              <w:rFonts w:ascii="Times New Roman" w:hAnsi="Times New Roman" w:eastAsia="Times New Roman" w:cs="Times New Roman"/>
              <w:sz w:val="22"/>
              <w:szCs w:val="22"/>
            </w:rPr>
          </w:pPr>
          <w:r>
            <w:fldChar w:fldCharType="begin"/>
          </w:r>
          <w:r>
            <w:instrText xml:space="preserve"> HYPERLINK \l "bookmark224" </w:instrText>
          </w:r>
          <w:r>
            <w:fldChar w:fldCharType="separate"/>
          </w:r>
          <w:r>
            <w:rPr>
              <w:spacing w:val="-8"/>
              <w:sz w:val="22"/>
              <w:szCs w:val="22"/>
            </w:rPr>
            <w:t>一</w:t>
          </w:r>
          <w:r>
            <w:rPr>
              <w:spacing w:val="-27"/>
              <w:sz w:val="22"/>
              <w:szCs w:val="22"/>
            </w:rPr>
            <w:t xml:space="preserve"> </w:t>
          </w:r>
          <w:r>
            <w:rPr>
              <w:spacing w:val="-8"/>
              <w:sz w:val="22"/>
              <w:szCs w:val="22"/>
            </w:rPr>
            <w:t>、常见病媒生物及相关传染病</w:t>
          </w:r>
          <w:r>
            <w:rPr>
              <w:spacing w:val="-83"/>
              <w:sz w:val="22"/>
              <w:szCs w:val="22"/>
            </w:rPr>
            <w:t xml:space="preserve"> </w:t>
          </w:r>
          <w:r>
            <w:rPr>
              <w:sz w:val="22"/>
              <w:szCs w:val="22"/>
            </w:rPr>
            <w:tab/>
          </w:r>
          <w:r>
            <w:rPr>
              <w:rFonts w:ascii="Times New Roman" w:hAnsi="Times New Roman" w:eastAsia="Times New Roman" w:cs="Times New Roman"/>
              <w:spacing w:val="-5"/>
              <w:sz w:val="22"/>
              <w:szCs w:val="22"/>
            </w:rPr>
            <w:t>181</w:t>
          </w:r>
          <w:r>
            <w:rPr>
              <w:rFonts w:ascii="Times New Roman" w:hAnsi="Times New Roman" w:eastAsia="Times New Roman" w:cs="Times New Roman"/>
              <w:spacing w:val="-5"/>
              <w:sz w:val="22"/>
              <w:szCs w:val="22"/>
            </w:rPr>
            <w:fldChar w:fldCharType="end"/>
          </w:r>
        </w:p>
        <w:p w14:paraId="5A4F6799">
          <w:pPr>
            <w:pStyle w:val="2"/>
            <w:tabs>
              <w:tab w:val="right" w:leader="dot" w:pos="9230"/>
            </w:tabs>
            <w:spacing w:before="127" w:line="221" w:lineRule="auto"/>
            <w:ind w:left="1716"/>
            <w:rPr>
              <w:rFonts w:ascii="Times New Roman" w:hAnsi="Times New Roman" w:eastAsia="Times New Roman" w:cs="Times New Roman"/>
              <w:sz w:val="22"/>
              <w:szCs w:val="22"/>
            </w:rPr>
          </w:pPr>
          <w:r>
            <w:fldChar w:fldCharType="begin"/>
          </w:r>
          <w:r>
            <w:instrText xml:space="preserve"> HYPERLINK \l "bookmark225" </w:instrText>
          </w:r>
          <w:r>
            <w:fldChar w:fldCharType="separate"/>
          </w:r>
          <w:r>
            <w:rPr>
              <w:spacing w:val="-8"/>
              <w:sz w:val="22"/>
              <w:szCs w:val="22"/>
            </w:rPr>
            <w:t>二</w:t>
          </w:r>
          <w:r>
            <w:rPr>
              <w:spacing w:val="-47"/>
              <w:sz w:val="22"/>
              <w:szCs w:val="22"/>
            </w:rPr>
            <w:t xml:space="preserve"> </w:t>
          </w:r>
          <w:r>
            <w:rPr>
              <w:spacing w:val="-8"/>
              <w:sz w:val="22"/>
              <w:szCs w:val="22"/>
            </w:rPr>
            <w:t>、病媒生物防制方法</w:t>
          </w:r>
          <w:r>
            <w:rPr>
              <w:spacing w:val="-85"/>
              <w:sz w:val="22"/>
              <w:szCs w:val="22"/>
            </w:rPr>
            <w:t xml:space="preserve"> </w:t>
          </w:r>
          <w:r>
            <w:rPr>
              <w:sz w:val="22"/>
              <w:szCs w:val="22"/>
            </w:rPr>
            <w:tab/>
          </w:r>
          <w:r>
            <w:rPr>
              <w:rFonts w:ascii="Times New Roman" w:hAnsi="Times New Roman" w:eastAsia="Times New Roman" w:cs="Times New Roman"/>
              <w:spacing w:val="-5"/>
              <w:sz w:val="22"/>
              <w:szCs w:val="22"/>
            </w:rPr>
            <w:t>181</w:t>
          </w:r>
          <w:r>
            <w:rPr>
              <w:rFonts w:ascii="Times New Roman" w:hAnsi="Times New Roman" w:eastAsia="Times New Roman" w:cs="Times New Roman"/>
              <w:spacing w:val="-5"/>
              <w:sz w:val="22"/>
              <w:szCs w:val="22"/>
            </w:rPr>
            <w:fldChar w:fldCharType="end"/>
          </w:r>
        </w:p>
        <w:p w14:paraId="17333704">
          <w:pPr>
            <w:pStyle w:val="2"/>
            <w:tabs>
              <w:tab w:val="right" w:leader="dot" w:pos="9130"/>
            </w:tabs>
            <w:spacing w:before="137" w:line="221" w:lineRule="auto"/>
            <w:ind w:left="1716"/>
            <w:rPr>
              <w:rFonts w:ascii="Times New Roman" w:hAnsi="Times New Roman" w:eastAsia="Times New Roman" w:cs="Times New Roman"/>
              <w:sz w:val="22"/>
              <w:szCs w:val="22"/>
            </w:rPr>
          </w:pPr>
          <w:r>
            <w:fldChar w:fldCharType="begin"/>
          </w:r>
          <w:r>
            <w:instrText xml:space="preserve"> HYPERLINK \l "bookmark226" </w:instrText>
          </w:r>
          <w:r>
            <w:fldChar w:fldCharType="separate"/>
          </w:r>
          <w:r>
            <w:rPr>
              <w:spacing w:val="-6"/>
              <w:sz w:val="22"/>
              <w:szCs w:val="22"/>
            </w:rPr>
            <w:t>三</w:t>
          </w:r>
          <w:r>
            <w:rPr>
              <w:spacing w:val="-37"/>
              <w:sz w:val="22"/>
              <w:szCs w:val="22"/>
            </w:rPr>
            <w:t xml:space="preserve"> </w:t>
          </w:r>
          <w:r>
            <w:rPr>
              <w:spacing w:val="-6"/>
              <w:sz w:val="22"/>
              <w:szCs w:val="22"/>
            </w:rPr>
            <w:t>、病媒生物防制方法的使用原则</w:t>
          </w:r>
          <w:r>
            <w:rPr>
              <w:spacing w:val="-95"/>
              <w:sz w:val="22"/>
              <w:szCs w:val="22"/>
            </w:rPr>
            <w:t xml:space="preserve"> </w:t>
          </w:r>
          <w:r>
            <w:rPr>
              <w:sz w:val="22"/>
              <w:szCs w:val="22"/>
            </w:rPr>
            <w:tab/>
          </w:r>
          <w:r>
            <w:rPr>
              <w:spacing w:val="-16"/>
              <w:sz w:val="22"/>
              <w:szCs w:val="22"/>
            </w:rPr>
            <w:t xml:space="preserve"> </w:t>
          </w:r>
          <w:r>
            <w:rPr>
              <w:rFonts w:ascii="Times New Roman" w:hAnsi="Times New Roman" w:eastAsia="Times New Roman" w:cs="Times New Roman"/>
              <w:spacing w:val="-6"/>
              <w:sz w:val="22"/>
              <w:szCs w:val="22"/>
            </w:rPr>
            <w:t>182</w:t>
          </w:r>
          <w:r>
            <w:rPr>
              <w:rFonts w:ascii="Times New Roman" w:hAnsi="Times New Roman" w:eastAsia="Times New Roman" w:cs="Times New Roman"/>
              <w:spacing w:val="-6"/>
              <w:sz w:val="22"/>
              <w:szCs w:val="22"/>
            </w:rPr>
            <w:fldChar w:fldCharType="end"/>
          </w:r>
        </w:p>
        <w:p w14:paraId="39A8CEC3">
          <w:pPr>
            <w:spacing w:line="369" w:lineRule="auto"/>
            <w:rPr>
              <w:rFonts w:ascii="Arial"/>
              <w:sz w:val="21"/>
            </w:rPr>
          </w:pPr>
        </w:p>
        <w:p w14:paraId="145A2224">
          <w:pPr>
            <w:pStyle w:val="2"/>
            <w:tabs>
              <w:tab w:val="right" w:leader="dot" w:pos="9062"/>
            </w:tabs>
            <w:spacing w:before="72" w:line="221" w:lineRule="auto"/>
            <w:rPr>
              <w:rFonts w:ascii="Times New Roman" w:hAnsi="Times New Roman" w:eastAsia="Times New Roman" w:cs="Times New Roman"/>
              <w:sz w:val="22"/>
              <w:szCs w:val="22"/>
            </w:rPr>
          </w:pPr>
          <w:r>
            <w:fldChar w:fldCharType="begin"/>
          </w:r>
          <w:r>
            <w:instrText xml:space="preserve"> HYPERLINK \l "bookmark227" </w:instrText>
          </w:r>
          <w:r>
            <w:fldChar w:fldCharType="separate"/>
          </w:r>
          <w:r>
            <w:rPr>
              <w:b/>
              <w:bCs/>
              <w:spacing w:val="-13"/>
              <w:sz w:val="22"/>
              <w:szCs w:val="22"/>
            </w:rPr>
            <w:t>第</w:t>
          </w:r>
          <w:r>
            <w:rPr>
              <w:spacing w:val="-40"/>
              <w:sz w:val="22"/>
              <w:szCs w:val="22"/>
            </w:rPr>
            <w:t xml:space="preserve"> </w:t>
          </w:r>
          <w:r>
            <w:rPr>
              <w:b/>
              <w:bCs/>
              <w:spacing w:val="-13"/>
              <w:sz w:val="22"/>
              <w:szCs w:val="22"/>
            </w:rPr>
            <w:t>十</w:t>
          </w:r>
          <w:r>
            <w:rPr>
              <w:spacing w:val="-31"/>
              <w:sz w:val="22"/>
              <w:szCs w:val="22"/>
            </w:rPr>
            <w:t xml:space="preserve"> </w:t>
          </w:r>
          <w:r>
            <w:rPr>
              <w:b/>
              <w:bCs/>
              <w:spacing w:val="-13"/>
              <w:sz w:val="22"/>
              <w:szCs w:val="22"/>
            </w:rPr>
            <w:t>四</w:t>
          </w:r>
          <w:r>
            <w:rPr>
              <w:spacing w:val="-44"/>
              <w:sz w:val="22"/>
              <w:szCs w:val="22"/>
            </w:rPr>
            <w:t xml:space="preserve"> </w:t>
          </w:r>
          <w:r>
            <w:rPr>
              <w:b/>
              <w:bCs/>
              <w:spacing w:val="-13"/>
              <w:sz w:val="22"/>
              <w:szCs w:val="22"/>
            </w:rPr>
            <w:t>章</w:t>
          </w:r>
          <w:r>
            <w:rPr>
              <w:spacing w:val="67"/>
              <w:sz w:val="22"/>
              <w:szCs w:val="22"/>
            </w:rPr>
            <w:t xml:space="preserve"> </w:t>
          </w:r>
          <w:r>
            <w:rPr>
              <w:b/>
              <w:bCs/>
              <w:spacing w:val="-13"/>
              <w:sz w:val="22"/>
              <w:szCs w:val="22"/>
            </w:rPr>
            <w:t>慢</w:t>
          </w:r>
          <w:r>
            <w:rPr>
              <w:spacing w:val="-37"/>
              <w:sz w:val="22"/>
              <w:szCs w:val="22"/>
            </w:rPr>
            <w:t xml:space="preserve"> </w:t>
          </w:r>
          <w:r>
            <w:rPr>
              <w:b/>
              <w:bCs/>
              <w:spacing w:val="-13"/>
              <w:sz w:val="22"/>
              <w:szCs w:val="22"/>
            </w:rPr>
            <w:t>性</w:t>
          </w:r>
          <w:r>
            <w:rPr>
              <w:spacing w:val="-39"/>
              <w:sz w:val="22"/>
              <w:szCs w:val="22"/>
            </w:rPr>
            <w:t xml:space="preserve"> </w:t>
          </w:r>
          <w:r>
            <w:rPr>
              <w:b/>
              <w:bCs/>
              <w:spacing w:val="-13"/>
              <w:sz w:val="22"/>
              <w:szCs w:val="22"/>
            </w:rPr>
            <w:t>病</w:t>
          </w:r>
          <w:r>
            <w:rPr>
              <w:spacing w:val="-34"/>
              <w:sz w:val="22"/>
              <w:szCs w:val="22"/>
            </w:rPr>
            <w:t xml:space="preserve"> </w:t>
          </w:r>
          <w:r>
            <w:rPr>
              <w:b/>
              <w:bCs/>
              <w:spacing w:val="-13"/>
              <w:sz w:val="22"/>
              <w:szCs w:val="22"/>
            </w:rPr>
            <w:t>流</w:t>
          </w:r>
          <w:r>
            <w:rPr>
              <w:spacing w:val="-37"/>
              <w:sz w:val="22"/>
              <w:szCs w:val="22"/>
            </w:rPr>
            <w:t xml:space="preserve"> </w:t>
          </w:r>
          <w:r>
            <w:rPr>
              <w:b/>
              <w:bCs/>
              <w:spacing w:val="-13"/>
              <w:sz w:val="22"/>
              <w:szCs w:val="22"/>
            </w:rPr>
            <w:t>行</w:t>
          </w:r>
          <w:r>
            <w:rPr>
              <w:spacing w:val="-39"/>
              <w:sz w:val="22"/>
              <w:szCs w:val="22"/>
            </w:rPr>
            <w:t xml:space="preserve"> </w:t>
          </w:r>
          <w:r>
            <w:rPr>
              <w:b/>
              <w:bCs/>
              <w:spacing w:val="-13"/>
              <w:sz w:val="22"/>
              <w:szCs w:val="22"/>
            </w:rPr>
            <w:t>病</w:t>
          </w:r>
          <w:r>
            <w:rPr>
              <w:spacing w:val="-30"/>
              <w:sz w:val="22"/>
              <w:szCs w:val="22"/>
            </w:rPr>
            <w:t xml:space="preserve"> </w:t>
          </w:r>
          <w:r>
            <w:rPr>
              <w:b/>
              <w:bCs/>
              <w:spacing w:val="-13"/>
              <w:sz w:val="22"/>
              <w:szCs w:val="22"/>
            </w:rPr>
            <w:t>学</w:t>
          </w:r>
          <w:r>
            <w:rPr>
              <w:spacing w:val="-93"/>
              <w:sz w:val="22"/>
              <w:szCs w:val="22"/>
            </w:rPr>
            <w:t xml:space="preserve"> </w:t>
          </w:r>
          <w:r>
            <w:rPr>
              <w:sz w:val="22"/>
              <w:szCs w:val="22"/>
            </w:rPr>
            <w:tab/>
          </w:r>
          <w:r>
            <w:rPr>
              <w:rFonts w:ascii="Times New Roman" w:hAnsi="Times New Roman" w:eastAsia="Times New Roman" w:cs="Times New Roman"/>
              <w:b/>
              <w:bCs/>
              <w:spacing w:val="-2"/>
              <w:sz w:val="22"/>
              <w:szCs w:val="22"/>
            </w:rPr>
            <w:t>184</w:t>
          </w:r>
          <w:r>
            <w:rPr>
              <w:rFonts w:ascii="Times New Roman" w:hAnsi="Times New Roman" w:eastAsia="Times New Roman" w:cs="Times New Roman"/>
              <w:b/>
              <w:bCs/>
              <w:spacing w:val="-2"/>
              <w:sz w:val="22"/>
              <w:szCs w:val="22"/>
            </w:rPr>
            <w:fldChar w:fldCharType="end"/>
          </w:r>
        </w:p>
        <w:p w14:paraId="2F8F8C0E">
          <w:pPr>
            <w:pStyle w:val="2"/>
            <w:tabs>
              <w:tab w:val="right" w:leader="dot" w:pos="9150"/>
            </w:tabs>
            <w:spacing w:before="150" w:line="221" w:lineRule="auto"/>
            <w:ind w:left="1296"/>
            <w:rPr>
              <w:rFonts w:ascii="Times New Roman" w:hAnsi="Times New Roman" w:eastAsia="Times New Roman" w:cs="Times New Roman"/>
              <w:sz w:val="22"/>
              <w:szCs w:val="22"/>
            </w:rPr>
          </w:pPr>
          <w:r>
            <w:fldChar w:fldCharType="begin"/>
          </w:r>
          <w:r>
            <w:instrText xml:space="preserve"> HYPERLINK \l "bookmark228" </w:instrText>
          </w:r>
          <w:r>
            <w:fldChar w:fldCharType="separate"/>
          </w:r>
          <w:r>
            <w:rPr>
              <w:spacing w:val="2"/>
              <w:sz w:val="22"/>
              <w:szCs w:val="22"/>
            </w:rPr>
            <w:t>第一节</w:t>
          </w:r>
          <w:r>
            <w:rPr>
              <w:spacing w:val="51"/>
              <w:sz w:val="22"/>
              <w:szCs w:val="22"/>
            </w:rPr>
            <w:t xml:space="preserve"> </w:t>
          </w:r>
          <w:r>
            <w:rPr>
              <w:spacing w:val="2"/>
              <w:sz w:val="22"/>
              <w:szCs w:val="22"/>
            </w:rPr>
            <w:t>概</w:t>
          </w:r>
          <w:r>
            <w:rPr>
              <w:spacing w:val="-45"/>
              <w:sz w:val="22"/>
              <w:szCs w:val="22"/>
            </w:rPr>
            <w:t xml:space="preserve"> </w:t>
          </w:r>
          <w:r>
            <w:rPr>
              <w:spacing w:val="2"/>
              <w:sz w:val="22"/>
              <w:szCs w:val="22"/>
            </w:rPr>
            <w:t>述</w:t>
          </w:r>
          <w:r>
            <w:rPr>
              <w:spacing w:val="-88"/>
              <w:sz w:val="22"/>
              <w:szCs w:val="22"/>
            </w:rPr>
            <w:t xml:space="preserve"> </w:t>
          </w:r>
          <w:r>
            <w:rPr>
              <w:sz w:val="22"/>
              <w:szCs w:val="22"/>
            </w:rPr>
            <w:tab/>
          </w:r>
          <w:r>
            <w:rPr>
              <w:spacing w:val="-56"/>
              <w:sz w:val="22"/>
              <w:szCs w:val="22"/>
            </w:rPr>
            <w:t xml:space="preserve"> </w:t>
          </w:r>
          <w:r>
            <w:rPr>
              <w:rFonts w:ascii="Times New Roman" w:hAnsi="Times New Roman" w:eastAsia="Times New Roman" w:cs="Times New Roman"/>
              <w:spacing w:val="-6"/>
              <w:sz w:val="22"/>
              <w:szCs w:val="22"/>
            </w:rPr>
            <w:t>184</w:t>
          </w:r>
          <w:r>
            <w:rPr>
              <w:rFonts w:ascii="Times New Roman" w:hAnsi="Times New Roman" w:eastAsia="Times New Roman" w:cs="Times New Roman"/>
              <w:spacing w:val="-6"/>
              <w:sz w:val="22"/>
              <w:szCs w:val="22"/>
            </w:rPr>
            <w:fldChar w:fldCharType="end"/>
          </w:r>
        </w:p>
        <w:p w14:paraId="4BCC052C">
          <w:pPr>
            <w:pStyle w:val="2"/>
            <w:tabs>
              <w:tab w:val="right" w:leader="dot" w:pos="9190"/>
            </w:tabs>
            <w:spacing w:before="126" w:line="221" w:lineRule="auto"/>
            <w:ind w:left="1716"/>
            <w:rPr>
              <w:rFonts w:ascii="Times New Roman" w:hAnsi="Times New Roman" w:eastAsia="Times New Roman" w:cs="Times New Roman"/>
              <w:sz w:val="22"/>
              <w:szCs w:val="22"/>
            </w:rPr>
          </w:pPr>
          <w:r>
            <w:fldChar w:fldCharType="begin"/>
          </w:r>
          <w:r>
            <w:instrText xml:space="preserve"> HYPERLINK \l "bookmark229" </w:instrText>
          </w:r>
          <w:r>
            <w:fldChar w:fldCharType="separate"/>
          </w:r>
          <w:r>
            <w:rPr>
              <w:spacing w:val="-8"/>
              <w:sz w:val="22"/>
              <w:szCs w:val="22"/>
            </w:rPr>
            <w:t>一</w:t>
          </w:r>
          <w:r>
            <w:rPr>
              <w:spacing w:val="-45"/>
              <w:sz w:val="22"/>
              <w:szCs w:val="22"/>
            </w:rPr>
            <w:t xml:space="preserve"> </w:t>
          </w:r>
          <w:r>
            <w:rPr>
              <w:spacing w:val="-8"/>
              <w:sz w:val="22"/>
              <w:szCs w:val="22"/>
            </w:rPr>
            <w:t>、基本概念</w:t>
          </w:r>
          <w:r>
            <w:rPr>
              <w:spacing w:val="-88"/>
              <w:sz w:val="22"/>
              <w:szCs w:val="22"/>
            </w:rPr>
            <w:t xml:space="preserve"> </w:t>
          </w:r>
          <w:r>
            <w:rPr>
              <w:sz w:val="22"/>
              <w:szCs w:val="22"/>
            </w:rPr>
            <w:tab/>
          </w:r>
          <w:r>
            <w:rPr>
              <w:rFonts w:ascii="Times New Roman" w:hAnsi="Times New Roman" w:eastAsia="Times New Roman" w:cs="Times New Roman"/>
              <w:spacing w:val="-5"/>
              <w:sz w:val="22"/>
              <w:szCs w:val="22"/>
            </w:rPr>
            <w:t>184</w:t>
          </w:r>
          <w:r>
            <w:rPr>
              <w:rFonts w:ascii="Times New Roman" w:hAnsi="Times New Roman" w:eastAsia="Times New Roman" w:cs="Times New Roman"/>
              <w:spacing w:val="-5"/>
              <w:sz w:val="22"/>
              <w:szCs w:val="22"/>
            </w:rPr>
            <w:fldChar w:fldCharType="end"/>
          </w:r>
        </w:p>
        <w:p w14:paraId="1EEB00D1">
          <w:pPr>
            <w:pStyle w:val="2"/>
            <w:tabs>
              <w:tab w:val="right" w:leader="dot" w:pos="9150"/>
            </w:tabs>
            <w:spacing w:before="127" w:line="222" w:lineRule="auto"/>
            <w:ind w:left="1716"/>
            <w:rPr>
              <w:rFonts w:ascii="Times New Roman" w:hAnsi="Times New Roman" w:eastAsia="Times New Roman" w:cs="Times New Roman"/>
              <w:sz w:val="22"/>
              <w:szCs w:val="22"/>
            </w:rPr>
          </w:pPr>
          <w:r>
            <w:fldChar w:fldCharType="begin"/>
          </w:r>
          <w:r>
            <w:instrText xml:space="preserve"> HYPERLINK \l "bookmark230" </w:instrText>
          </w:r>
          <w:r>
            <w:fldChar w:fldCharType="separate"/>
          </w:r>
          <w:r>
            <w:rPr>
              <w:spacing w:val="-4"/>
              <w:sz w:val="22"/>
              <w:szCs w:val="22"/>
            </w:rPr>
            <w:t>二</w:t>
          </w:r>
          <w:r>
            <w:rPr>
              <w:spacing w:val="-43"/>
              <w:sz w:val="22"/>
              <w:szCs w:val="22"/>
            </w:rPr>
            <w:t xml:space="preserve"> </w:t>
          </w:r>
          <w:r>
            <w:rPr>
              <w:spacing w:val="-4"/>
              <w:sz w:val="22"/>
              <w:szCs w:val="22"/>
            </w:rPr>
            <w:t>、慢性病的健康和社会经济影响</w:t>
          </w:r>
          <w:r>
            <w:rPr>
              <w:spacing w:val="-99"/>
              <w:sz w:val="22"/>
              <w:szCs w:val="22"/>
            </w:rPr>
            <w:t xml:space="preserve"> </w:t>
          </w:r>
          <w:r>
            <w:rPr>
              <w:sz w:val="22"/>
              <w:szCs w:val="22"/>
            </w:rPr>
            <w:tab/>
          </w:r>
          <w:r>
            <w:rPr>
              <w:spacing w:val="-16"/>
              <w:sz w:val="22"/>
              <w:szCs w:val="22"/>
            </w:rPr>
            <w:t xml:space="preserve"> </w:t>
          </w:r>
          <w:r>
            <w:rPr>
              <w:rFonts w:ascii="Times New Roman" w:hAnsi="Times New Roman" w:eastAsia="Times New Roman" w:cs="Times New Roman"/>
              <w:spacing w:val="-6"/>
              <w:sz w:val="22"/>
              <w:szCs w:val="22"/>
            </w:rPr>
            <w:t>185</w:t>
          </w:r>
          <w:r>
            <w:rPr>
              <w:rFonts w:ascii="Times New Roman" w:hAnsi="Times New Roman" w:eastAsia="Times New Roman" w:cs="Times New Roman"/>
              <w:spacing w:val="-6"/>
              <w:sz w:val="22"/>
              <w:szCs w:val="22"/>
            </w:rPr>
            <w:fldChar w:fldCharType="end"/>
          </w:r>
        </w:p>
        <w:p w14:paraId="1B4A0D65">
          <w:pPr>
            <w:pStyle w:val="2"/>
            <w:tabs>
              <w:tab w:val="right" w:leader="dot" w:pos="9140"/>
            </w:tabs>
            <w:spacing w:before="117" w:line="222" w:lineRule="auto"/>
            <w:ind w:left="1716"/>
            <w:rPr>
              <w:rFonts w:ascii="Times New Roman" w:hAnsi="Times New Roman" w:eastAsia="Times New Roman" w:cs="Times New Roman"/>
              <w:sz w:val="22"/>
              <w:szCs w:val="22"/>
            </w:rPr>
          </w:pPr>
          <w:r>
            <w:fldChar w:fldCharType="begin"/>
          </w:r>
          <w:r>
            <w:instrText xml:space="preserve"> HYPERLINK \l "bookmark231" </w:instrText>
          </w:r>
          <w:r>
            <w:fldChar w:fldCharType="separate"/>
          </w:r>
          <w:r>
            <w:rPr>
              <w:spacing w:val="-4"/>
              <w:sz w:val="22"/>
              <w:szCs w:val="22"/>
            </w:rPr>
            <w:t>三</w:t>
          </w:r>
          <w:r>
            <w:rPr>
              <w:spacing w:val="-47"/>
              <w:sz w:val="22"/>
              <w:szCs w:val="22"/>
            </w:rPr>
            <w:t xml:space="preserve"> </w:t>
          </w:r>
          <w:r>
            <w:rPr>
              <w:spacing w:val="-4"/>
              <w:sz w:val="22"/>
              <w:szCs w:val="22"/>
            </w:rPr>
            <w:t>、慢性病的主要影响因素</w:t>
          </w:r>
          <w:r>
            <w:rPr>
              <w:spacing w:val="-96"/>
              <w:sz w:val="22"/>
              <w:szCs w:val="22"/>
            </w:rPr>
            <w:t xml:space="preserve"> </w:t>
          </w:r>
          <w:r>
            <w:rPr>
              <w:sz w:val="22"/>
              <w:szCs w:val="22"/>
            </w:rPr>
            <w:tab/>
          </w:r>
          <w:r>
            <w:rPr>
              <w:spacing w:val="-36"/>
              <w:sz w:val="22"/>
              <w:szCs w:val="22"/>
            </w:rPr>
            <w:t xml:space="preserve"> </w:t>
          </w:r>
          <w:r>
            <w:rPr>
              <w:rFonts w:ascii="Times New Roman" w:hAnsi="Times New Roman" w:eastAsia="Times New Roman" w:cs="Times New Roman"/>
              <w:spacing w:val="-6"/>
              <w:sz w:val="22"/>
              <w:szCs w:val="22"/>
            </w:rPr>
            <w:t>185</w:t>
          </w:r>
          <w:r>
            <w:rPr>
              <w:rFonts w:ascii="Times New Roman" w:hAnsi="Times New Roman" w:eastAsia="Times New Roman" w:cs="Times New Roman"/>
              <w:spacing w:val="-6"/>
              <w:sz w:val="22"/>
              <w:szCs w:val="22"/>
            </w:rPr>
            <w:fldChar w:fldCharType="end"/>
          </w:r>
        </w:p>
        <w:p w14:paraId="37DCACC3">
          <w:pPr>
            <w:pStyle w:val="2"/>
            <w:tabs>
              <w:tab w:val="right" w:leader="dot" w:pos="9190"/>
            </w:tabs>
            <w:spacing w:before="114" w:line="221" w:lineRule="auto"/>
            <w:ind w:left="1296"/>
            <w:rPr>
              <w:rFonts w:ascii="Times New Roman" w:hAnsi="Times New Roman" w:eastAsia="Times New Roman" w:cs="Times New Roman"/>
              <w:sz w:val="22"/>
              <w:szCs w:val="22"/>
            </w:rPr>
          </w:pPr>
          <w:r>
            <w:fldChar w:fldCharType="begin"/>
          </w:r>
          <w:r>
            <w:instrText xml:space="preserve"> HYPERLINK \l "bookmark232" </w:instrText>
          </w:r>
          <w:r>
            <w:fldChar w:fldCharType="separate"/>
          </w:r>
          <w:r>
            <w:rPr>
              <w:spacing w:val="11"/>
              <w:sz w:val="22"/>
              <w:szCs w:val="22"/>
            </w:rPr>
            <w:t>第二节</w:t>
          </w:r>
          <w:r>
            <w:rPr>
              <w:spacing w:val="42"/>
              <w:sz w:val="22"/>
              <w:szCs w:val="22"/>
            </w:rPr>
            <w:t xml:space="preserve"> </w:t>
          </w:r>
          <w:r>
            <w:rPr>
              <w:spacing w:val="11"/>
              <w:sz w:val="22"/>
              <w:szCs w:val="22"/>
            </w:rPr>
            <w:t>流行特征</w:t>
          </w:r>
          <w:r>
            <w:rPr>
              <w:spacing w:val="-90"/>
              <w:sz w:val="22"/>
              <w:szCs w:val="22"/>
            </w:rPr>
            <w:t xml:space="preserve"> </w:t>
          </w:r>
          <w:r>
            <w:rPr>
              <w:sz w:val="22"/>
              <w:szCs w:val="22"/>
            </w:rPr>
            <w:tab/>
          </w:r>
          <w:r>
            <w:rPr>
              <w:spacing w:val="-6"/>
              <w:sz w:val="22"/>
              <w:szCs w:val="22"/>
            </w:rPr>
            <w:t xml:space="preserve"> </w:t>
          </w:r>
          <w:r>
            <w:rPr>
              <w:rFonts w:ascii="Times New Roman" w:hAnsi="Times New Roman" w:eastAsia="Times New Roman" w:cs="Times New Roman"/>
              <w:spacing w:val="-6"/>
              <w:sz w:val="22"/>
              <w:szCs w:val="22"/>
            </w:rPr>
            <w:t>186</w:t>
          </w:r>
          <w:r>
            <w:rPr>
              <w:rFonts w:ascii="Times New Roman" w:hAnsi="Times New Roman" w:eastAsia="Times New Roman" w:cs="Times New Roman"/>
              <w:spacing w:val="-6"/>
              <w:sz w:val="22"/>
              <w:szCs w:val="22"/>
            </w:rPr>
            <w:fldChar w:fldCharType="end"/>
          </w:r>
        </w:p>
        <w:p w14:paraId="321D1F33">
          <w:pPr>
            <w:pStyle w:val="2"/>
            <w:tabs>
              <w:tab w:val="right" w:leader="dot" w:pos="9130"/>
            </w:tabs>
            <w:spacing w:before="136" w:line="221" w:lineRule="auto"/>
            <w:ind w:left="1716"/>
            <w:rPr>
              <w:rFonts w:ascii="Times New Roman" w:hAnsi="Times New Roman" w:eastAsia="Times New Roman" w:cs="Times New Roman"/>
              <w:sz w:val="22"/>
              <w:szCs w:val="22"/>
            </w:rPr>
          </w:pPr>
          <w:r>
            <w:fldChar w:fldCharType="begin"/>
          </w:r>
          <w:r>
            <w:instrText xml:space="preserve"> HYPERLINK \l "bookmark233" </w:instrText>
          </w:r>
          <w:r>
            <w:fldChar w:fldCharType="separate"/>
          </w:r>
          <w:r>
            <w:rPr>
              <w:spacing w:val="-3"/>
              <w:sz w:val="22"/>
              <w:szCs w:val="22"/>
            </w:rPr>
            <w:t>一</w:t>
          </w:r>
          <w:r>
            <w:rPr>
              <w:spacing w:val="-36"/>
              <w:sz w:val="22"/>
              <w:szCs w:val="22"/>
            </w:rPr>
            <w:t xml:space="preserve"> </w:t>
          </w:r>
          <w:r>
            <w:rPr>
              <w:spacing w:val="-3"/>
              <w:sz w:val="22"/>
              <w:szCs w:val="22"/>
            </w:rPr>
            <w:t>、主要慢性病的流行特征</w:t>
          </w:r>
          <w:r>
            <w:rPr>
              <w:spacing w:val="-100"/>
              <w:sz w:val="22"/>
              <w:szCs w:val="22"/>
            </w:rPr>
            <w:t xml:space="preserve"> </w:t>
          </w:r>
          <w:r>
            <w:rPr>
              <w:sz w:val="22"/>
              <w:szCs w:val="22"/>
            </w:rPr>
            <w:tab/>
          </w:r>
          <w:r>
            <w:rPr>
              <w:spacing w:val="-66"/>
              <w:sz w:val="22"/>
              <w:szCs w:val="22"/>
            </w:rPr>
            <w:t xml:space="preserve"> </w:t>
          </w:r>
          <w:r>
            <w:rPr>
              <w:rFonts w:ascii="Times New Roman" w:hAnsi="Times New Roman" w:eastAsia="Times New Roman" w:cs="Times New Roman"/>
              <w:spacing w:val="-6"/>
              <w:sz w:val="22"/>
              <w:szCs w:val="22"/>
            </w:rPr>
            <w:t>186</w:t>
          </w:r>
          <w:r>
            <w:rPr>
              <w:rFonts w:ascii="Times New Roman" w:hAnsi="Times New Roman" w:eastAsia="Times New Roman" w:cs="Times New Roman"/>
              <w:spacing w:val="-6"/>
              <w:sz w:val="22"/>
              <w:szCs w:val="22"/>
            </w:rPr>
            <w:fldChar w:fldCharType="end"/>
          </w:r>
        </w:p>
        <w:p w14:paraId="421687F6">
          <w:pPr>
            <w:pStyle w:val="2"/>
            <w:tabs>
              <w:tab w:val="right" w:leader="dot" w:pos="9140"/>
            </w:tabs>
            <w:spacing w:before="127" w:line="221" w:lineRule="auto"/>
            <w:ind w:left="1716"/>
            <w:rPr>
              <w:rFonts w:ascii="Times New Roman" w:hAnsi="Times New Roman" w:eastAsia="Times New Roman" w:cs="Times New Roman"/>
              <w:sz w:val="22"/>
              <w:szCs w:val="22"/>
            </w:rPr>
          </w:pPr>
          <w:r>
            <w:fldChar w:fldCharType="begin"/>
          </w:r>
          <w:r>
            <w:instrText xml:space="preserve"> HYPERLINK \l "bookmark234" </w:instrText>
          </w:r>
          <w:r>
            <w:fldChar w:fldCharType="separate"/>
          </w:r>
          <w:r>
            <w:rPr>
              <w:spacing w:val="-4"/>
              <w:sz w:val="22"/>
              <w:szCs w:val="22"/>
            </w:rPr>
            <w:t>二</w:t>
          </w:r>
          <w:r>
            <w:rPr>
              <w:spacing w:val="-40"/>
              <w:sz w:val="22"/>
              <w:szCs w:val="22"/>
            </w:rPr>
            <w:t xml:space="preserve"> </w:t>
          </w:r>
          <w:r>
            <w:rPr>
              <w:spacing w:val="-4"/>
              <w:sz w:val="22"/>
              <w:szCs w:val="22"/>
            </w:rPr>
            <w:t>、主要危险因素的流行特征</w:t>
          </w:r>
          <w:r>
            <w:rPr>
              <w:spacing w:val="-89"/>
              <w:sz w:val="22"/>
              <w:szCs w:val="22"/>
            </w:rPr>
            <w:t xml:space="preserve"> </w:t>
          </w:r>
          <w:r>
            <w:rPr>
              <w:sz w:val="22"/>
              <w:szCs w:val="22"/>
            </w:rPr>
            <w:tab/>
          </w:r>
          <w:r>
            <w:rPr>
              <w:spacing w:val="-46"/>
              <w:sz w:val="22"/>
              <w:szCs w:val="22"/>
            </w:rPr>
            <w:t xml:space="preserve"> </w:t>
          </w:r>
          <w:r>
            <w:rPr>
              <w:rFonts w:ascii="Times New Roman" w:hAnsi="Times New Roman" w:eastAsia="Times New Roman" w:cs="Times New Roman"/>
              <w:spacing w:val="-6"/>
              <w:sz w:val="22"/>
              <w:szCs w:val="22"/>
            </w:rPr>
            <w:t>187</w:t>
          </w:r>
          <w:r>
            <w:rPr>
              <w:rFonts w:ascii="Times New Roman" w:hAnsi="Times New Roman" w:eastAsia="Times New Roman" w:cs="Times New Roman"/>
              <w:spacing w:val="-6"/>
              <w:sz w:val="22"/>
              <w:szCs w:val="22"/>
            </w:rPr>
            <w:fldChar w:fldCharType="end"/>
          </w:r>
        </w:p>
        <w:p w14:paraId="7736B15E">
          <w:pPr>
            <w:pStyle w:val="2"/>
            <w:tabs>
              <w:tab w:val="right" w:leader="dot" w:pos="9180"/>
            </w:tabs>
            <w:spacing w:before="117" w:line="221" w:lineRule="auto"/>
            <w:ind w:left="1296"/>
            <w:rPr>
              <w:rFonts w:ascii="Times New Roman" w:hAnsi="Times New Roman" w:eastAsia="Times New Roman" w:cs="Times New Roman"/>
              <w:sz w:val="22"/>
              <w:szCs w:val="22"/>
            </w:rPr>
          </w:pPr>
          <w:r>
            <w:fldChar w:fldCharType="begin"/>
          </w:r>
          <w:r>
            <w:instrText xml:space="preserve"> HYPERLINK \l "bookmark235" </w:instrText>
          </w:r>
          <w:r>
            <w:fldChar w:fldCharType="separate"/>
          </w:r>
          <w:r>
            <w:rPr>
              <w:spacing w:val="11"/>
              <w:sz w:val="22"/>
              <w:szCs w:val="22"/>
            </w:rPr>
            <w:t>第三节 预防策略与措施</w:t>
          </w:r>
          <w:r>
            <w:rPr>
              <w:spacing w:val="-83"/>
              <w:sz w:val="22"/>
              <w:szCs w:val="22"/>
            </w:rPr>
            <w:t xml:space="preserve"> </w:t>
          </w:r>
          <w:r>
            <w:rPr>
              <w:sz w:val="22"/>
              <w:szCs w:val="22"/>
            </w:rPr>
            <w:tab/>
          </w:r>
          <w:r>
            <w:rPr>
              <w:spacing w:val="-26"/>
              <w:sz w:val="22"/>
              <w:szCs w:val="22"/>
            </w:rPr>
            <w:t xml:space="preserve"> </w:t>
          </w:r>
          <w:r>
            <w:rPr>
              <w:rFonts w:ascii="Times New Roman" w:hAnsi="Times New Roman" w:eastAsia="Times New Roman" w:cs="Times New Roman"/>
              <w:spacing w:val="-6"/>
              <w:sz w:val="22"/>
              <w:szCs w:val="22"/>
            </w:rPr>
            <w:t>188</w:t>
          </w:r>
          <w:r>
            <w:rPr>
              <w:rFonts w:ascii="Times New Roman" w:hAnsi="Times New Roman" w:eastAsia="Times New Roman" w:cs="Times New Roman"/>
              <w:spacing w:val="-6"/>
              <w:sz w:val="22"/>
              <w:szCs w:val="22"/>
            </w:rPr>
            <w:fldChar w:fldCharType="end"/>
          </w:r>
        </w:p>
        <w:p w14:paraId="12F43A88">
          <w:pPr>
            <w:pStyle w:val="2"/>
            <w:tabs>
              <w:tab w:val="right" w:leader="dot" w:pos="9130"/>
            </w:tabs>
            <w:spacing w:before="127" w:line="222" w:lineRule="auto"/>
            <w:ind w:left="1716"/>
            <w:rPr>
              <w:rFonts w:ascii="Times New Roman" w:hAnsi="Times New Roman" w:eastAsia="Times New Roman" w:cs="Times New Roman"/>
              <w:sz w:val="22"/>
              <w:szCs w:val="22"/>
            </w:rPr>
          </w:pPr>
          <w:r>
            <w:fldChar w:fldCharType="begin"/>
          </w:r>
          <w:r>
            <w:instrText xml:space="preserve"> HYPERLINK \l "bookmark236" </w:instrText>
          </w:r>
          <w:r>
            <w:fldChar w:fldCharType="separate"/>
          </w:r>
          <w:r>
            <w:rPr>
              <w:spacing w:val="-29"/>
              <w:sz w:val="22"/>
              <w:szCs w:val="22"/>
            </w:rPr>
            <w:t>一</w:t>
          </w:r>
          <w:r>
            <w:rPr>
              <w:spacing w:val="-47"/>
              <w:sz w:val="22"/>
              <w:szCs w:val="22"/>
            </w:rPr>
            <w:t xml:space="preserve"> </w:t>
          </w:r>
          <w:r>
            <w:rPr>
              <w:spacing w:val="-29"/>
              <w:sz w:val="22"/>
              <w:szCs w:val="22"/>
            </w:rPr>
            <w:t>、策</w:t>
          </w:r>
          <w:r>
            <w:rPr>
              <w:spacing w:val="-38"/>
              <w:sz w:val="22"/>
              <w:szCs w:val="22"/>
            </w:rPr>
            <w:t xml:space="preserve"> </w:t>
          </w:r>
          <w:r>
            <w:rPr>
              <w:spacing w:val="-29"/>
              <w:sz w:val="22"/>
              <w:szCs w:val="22"/>
            </w:rPr>
            <w:t>略</w:t>
          </w:r>
          <w:r>
            <w:rPr>
              <w:spacing w:val="-91"/>
              <w:sz w:val="22"/>
              <w:szCs w:val="22"/>
            </w:rPr>
            <w:t xml:space="preserve"> </w:t>
          </w:r>
          <w:r>
            <w:rPr>
              <w:sz w:val="22"/>
              <w:szCs w:val="22"/>
            </w:rPr>
            <w:tab/>
          </w:r>
          <w:r>
            <w:rPr>
              <w:spacing w:val="-56"/>
              <w:sz w:val="22"/>
              <w:szCs w:val="22"/>
            </w:rPr>
            <w:t xml:space="preserve"> </w:t>
          </w:r>
          <w:r>
            <w:rPr>
              <w:rFonts w:ascii="Times New Roman" w:hAnsi="Times New Roman" w:eastAsia="Times New Roman" w:cs="Times New Roman"/>
              <w:spacing w:val="-6"/>
              <w:sz w:val="22"/>
              <w:szCs w:val="22"/>
            </w:rPr>
            <w:t>188</w:t>
          </w:r>
          <w:r>
            <w:rPr>
              <w:rFonts w:ascii="Times New Roman" w:hAnsi="Times New Roman" w:eastAsia="Times New Roman" w:cs="Times New Roman"/>
              <w:spacing w:val="-6"/>
              <w:sz w:val="22"/>
              <w:szCs w:val="22"/>
            </w:rPr>
            <w:fldChar w:fldCharType="end"/>
          </w:r>
        </w:p>
        <w:p w14:paraId="20763793">
          <w:pPr>
            <w:pStyle w:val="2"/>
            <w:tabs>
              <w:tab w:val="right" w:leader="dot" w:pos="9130"/>
            </w:tabs>
            <w:spacing w:before="127" w:line="223" w:lineRule="auto"/>
            <w:ind w:left="1716"/>
            <w:rPr>
              <w:rFonts w:ascii="Times New Roman" w:hAnsi="Times New Roman" w:eastAsia="Times New Roman" w:cs="Times New Roman"/>
              <w:sz w:val="22"/>
              <w:szCs w:val="22"/>
            </w:rPr>
          </w:pPr>
          <w:r>
            <w:fldChar w:fldCharType="begin"/>
          </w:r>
          <w:r>
            <w:instrText xml:space="preserve"> HYPERLINK \l "bookmark237" </w:instrText>
          </w:r>
          <w:r>
            <w:fldChar w:fldCharType="separate"/>
          </w:r>
          <w:r>
            <w:rPr>
              <w:spacing w:val="-27"/>
              <w:sz w:val="22"/>
              <w:szCs w:val="22"/>
            </w:rPr>
            <w:t>二</w:t>
          </w:r>
          <w:r>
            <w:rPr>
              <w:spacing w:val="-47"/>
              <w:sz w:val="22"/>
              <w:szCs w:val="22"/>
            </w:rPr>
            <w:t xml:space="preserve"> </w:t>
          </w:r>
          <w:r>
            <w:rPr>
              <w:spacing w:val="-27"/>
              <w:sz w:val="22"/>
              <w:szCs w:val="22"/>
            </w:rPr>
            <w:t>、措</w:t>
          </w:r>
          <w:r>
            <w:rPr>
              <w:spacing w:val="-46"/>
              <w:sz w:val="22"/>
              <w:szCs w:val="22"/>
            </w:rPr>
            <w:t xml:space="preserve"> </w:t>
          </w:r>
          <w:r>
            <w:rPr>
              <w:spacing w:val="-27"/>
              <w:sz w:val="22"/>
              <w:szCs w:val="22"/>
            </w:rPr>
            <w:t>施</w:t>
          </w:r>
          <w:r>
            <w:rPr>
              <w:spacing w:val="-91"/>
              <w:sz w:val="22"/>
              <w:szCs w:val="22"/>
            </w:rPr>
            <w:t xml:space="preserve"> </w:t>
          </w:r>
          <w:r>
            <w:rPr>
              <w:sz w:val="22"/>
              <w:szCs w:val="22"/>
            </w:rPr>
            <w:tab/>
          </w:r>
          <w:r>
            <w:rPr>
              <w:spacing w:val="-56"/>
              <w:sz w:val="22"/>
              <w:szCs w:val="22"/>
            </w:rPr>
            <w:t xml:space="preserve"> </w:t>
          </w:r>
          <w:r>
            <w:rPr>
              <w:rFonts w:ascii="Times New Roman" w:hAnsi="Times New Roman" w:eastAsia="Times New Roman" w:cs="Times New Roman"/>
              <w:spacing w:val="-6"/>
              <w:sz w:val="22"/>
              <w:szCs w:val="22"/>
            </w:rPr>
            <w:t>189</w:t>
          </w:r>
          <w:r>
            <w:rPr>
              <w:rFonts w:ascii="Times New Roman" w:hAnsi="Times New Roman" w:eastAsia="Times New Roman" w:cs="Times New Roman"/>
              <w:spacing w:val="-6"/>
              <w:sz w:val="22"/>
              <w:szCs w:val="22"/>
            </w:rPr>
            <w:fldChar w:fldCharType="end"/>
          </w:r>
        </w:p>
        <w:p w14:paraId="3CD6BD3F">
          <w:pPr>
            <w:pStyle w:val="2"/>
            <w:tabs>
              <w:tab w:val="right" w:leader="dot" w:pos="9200"/>
            </w:tabs>
            <w:spacing w:before="123" w:line="222" w:lineRule="auto"/>
            <w:ind w:left="1296"/>
            <w:rPr>
              <w:rFonts w:ascii="Times New Roman" w:hAnsi="Times New Roman" w:eastAsia="Times New Roman" w:cs="Times New Roman"/>
              <w:sz w:val="22"/>
              <w:szCs w:val="22"/>
            </w:rPr>
          </w:pPr>
          <w:r>
            <w:fldChar w:fldCharType="begin"/>
          </w:r>
          <w:r>
            <w:instrText xml:space="preserve"> HYPERLINK \l "bookmark238" </w:instrText>
          </w:r>
          <w:r>
            <w:fldChar w:fldCharType="separate"/>
          </w:r>
          <w:r>
            <w:rPr>
              <w:spacing w:val="9"/>
              <w:sz w:val="22"/>
              <w:szCs w:val="22"/>
            </w:rPr>
            <w:t>第四节</w:t>
          </w:r>
          <w:r>
            <w:rPr>
              <w:spacing w:val="38"/>
              <w:sz w:val="22"/>
              <w:szCs w:val="22"/>
            </w:rPr>
            <w:t xml:space="preserve"> </w:t>
          </w:r>
          <w:r>
            <w:rPr>
              <w:spacing w:val="9"/>
              <w:sz w:val="22"/>
              <w:szCs w:val="22"/>
            </w:rPr>
            <w:t>主要慢性病</w:t>
          </w:r>
          <w:r>
            <w:rPr>
              <w:spacing w:val="-92"/>
              <w:sz w:val="22"/>
              <w:szCs w:val="22"/>
            </w:rPr>
            <w:t xml:space="preserve"> </w:t>
          </w:r>
          <w:r>
            <w:rPr>
              <w:sz w:val="22"/>
              <w:szCs w:val="22"/>
            </w:rPr>
            <w:tab/>
          </w:r>
          <w:r>
            <w:rPr>
              <w:rFonts w:ascii="Times New Roman" w:hAnsi="Times New Roman" w:eastAsia="Times New Roman" w:cs="Times New Roman"/>
              <w:spacing w:val="-5"/>
              <w:sz w:val="22"/>
              <w:szCs w:val="22"/>
            </w:rPr>
            <w:t>190</w:t>
          </w:r>
          <w:r>
            <w:rPr>
              <w:rFonts w:ascii="Times New Roman" w:hAnsi="Times New Roman" w:eastAsia="Times New Roman" w:cs="Times New Roman"/>
              <w:spacing w:val="-5"/>
              <w:sz w:val="22"/>
              <w:szCs w:val="22"/>
            </w:rPr>
            <w:fldChar w:fldCharType="end"/>
          </w:r>
        </w:p>
        <w:p w14:paraId="675A11B8">
          <w:pPr>
            <w:pStyle w:val="2"/>
            <w:tabs>
              <w:tab w:val="right" w:leader="dot" w:pos="9190"/>
            </w:tabs>
            <w:spacing w:before="145" w:line="221" w:lineRule="auto"/>
            <w:ind w:left="1716"/>
            <w:rPr>
              <w:rFonts w:ascii="Times New Roman" w:hAnsi="Times New Roman" w:eastAsia="Times New Roman" w:cs="Times New Roman"/>
              <w:sz w:val="22"/>
              <w:szCs w:val="22"/>
            </w:rPr>
          </w:pPr>
          <w:r>
            <w:fldChar w:fldCharType="begin"/>
          </w:r>
          <w:r>
            <w:instrText xml:space="preserve"> HYPERLINK \l "bookmark239" </w:instrText>
          </w:r>
          <w:r>
            <w:fldChar w:fldCharType="separate"/>
          </w:r>
          <w:r>
            <w:rPr>
              <w:spacing w:val="-6"/>
              <w:sz w:val="22"/>
              <w:szCs w:val="22"/>
            </w:rPr>
            <w:t>一</w:t>
          </w:r>
          <w:r>
            <w:rPr>
              <w:spacing w:val="-27"/>
              <w:sz w:val="22"/>
              <w:szCs w:val="22"/>
            </w:rPr>
            <w:t xml:space="preserve"> </w:t>
          </w:r>
          <w:r>
            <w:rPr>
              <w:spacing w:val="-6"/>
              <w:sz w:val="22"/>
              <w:szCs w:val="22"/>
            </w:rPr>
            <w:t>、心血管疾病</w:t>
          </w:r>
          <w:r>
            <w:rPr>
              <w:spacing w:val="-103"/>
              <w:sz w:val="22"/>
              <w:szCs w:val="22"/>
            </w:rPr>
            <w:t xml:space="preserve"> </w:t>
          </w:r>
          <w:r>
            <w:rPr>
              <w:sz w:val="22"/>
              <w:szCs w:val="22"/>
            </w:rPr>
            <w:tab/>
          </w:r>
          <w:r>
            <w:rPr>
              <w:rFonts w:ascii="Times New Roman" w:hAnsi="Times New Roman" w:eastAsia="Times New Roman" w:cs="Times New Roman"/>
              <w:spacing w:val="-5"/>
              <w:sz w:val="22"/>
              <w:szCs w:val="22"/>
            </w:rPr>
            <w:t>190</w:t>
          </w:r>
          <w:r>
            <w:rPr>
              <w:rFonts w:ascii="Times New Roman" w:hAnsi="Times New Roman" w:eastAsia="Times New Roman" w:cs="Times New Roman"/>
              <w:spacing w:val="-5"/>
              <w:sz w:val="22"/>
              <w:szCs w:val="22"/>
            </w:rPr>
            <w:fldChar w:fldCharType="end"/>
          </w:r>
        </w:p>
        <w:p w14:paraId="11B78AEA">
          <w:pPr>
            <w:pStyle w:val="2"/>
            <w:tabs>
              <w:tab w:val="right" w:leader="dot" w:pos="9200"/>
            </w:tabs>
            <w:spacing w:before="127" w:line="222" w:lineRule="auto"/>
            <w:ind w:left="1716"/>
            <w:rPr>
              <w:rFonts w:ascii="Times New Roman" w:hAnsi="Times New Roman" w:eastAsia="Times New Roman" w:cs="Times New Roman"/>
              <w:sz w:val="22"/>
              <w:szCs w:val="22"/>
            </w:rPr>
          </w:pPr>
          <w:r>
            <w:fldChar w:fldCharType="begin"/>
          </w:r>
          <w:r>
            <w:instrText xml:space="preserve"> HYPERLINK \l "bookmark240" </w:instrText>
          </w:r>
          <w:r>
            <w:fldChar w:fldCharType="separate"/>
          </w:r>
          <w:r>
            <w:rPr>
              <w:spacing w:val="-6"/>
              <w:sz w:val="22"/>
              <w:szCs w:val="22"/>
            </w:rPr>
            <w:t>二</w:t>
          </w:r>
          <w:r>
            <w:rPr>
              <w:spacing w:val="-26"/>
              <w:sz w:val="22"/>
              <w:szCs w:val="22"/>
            </w:rPr>
            <w:t xml:space="preserve"> </w:t>
          </w:r>
          <w:r>
            <w:rPr>
              <w:spacing w:val="-6"/>
              <w:sz w:val="22"/>
              <w:szCs w:val="22"/>
            </w:rPr>
            <w:t>、恶性肿瘤</w:t>
          </w:r>
          <w:r>
            <w:rPr>
              <w:spacing w:val="-99"/>
              <w:sz w:val="22"/>
              <w:szCs w:val="22"/>
            </w:rPr>
            <w:t xml:space="preserve"> </w:t>
          </w:r>
          <w:r>
            <w:rPr>
              <w:sz w:val="22"/>
              <w:szCs w:val="22"/>
            </w:rPr>
            <w:tab/>
          </w:r>
          <w:r>
            <w:rPr>
              <w:spacing w:val="-6"/>
              <w:sz w:val="22"/>
              <w:szCs w:val="22"/>
            </w:rPr>
            <w:t xml:space="preserve"> </w:t>
          </w:r>
          <w:r>
            <w:rPr>
              <w:rFonts w:ascii="Times New Roman" w:hAnsi="Times New Roman" w:eastAsia="Times New Roman" w:cs="Times New Roman"/>
              <w:spacing w:val="-6"/>
              <w:sz w:val="22"/>
              <w:szCs w:val="22"/>
            </w:rPr>
            <w:t>193</w:t>
          </w:r>
          <w:r>
            <w:rPr>
              <w:rFonts w:ascii="Times New Roman" w:hAnsi="Times New Roman" w:eastAsia="Times New Roman" w:cs="Times New Roman"/>
              <w:spacing w:val="-6"/>
              <w:sz w:val="22"/>
              <w:szCs w:val="22"/>
            </w:rPr>
            <w:fldChar w:fldCharType="end"/>
          </w:r>
        </w:p>
        <w:p w14:paraId="402C9EE3">
          <w:pPr>
            <w:pStyle w:val="2"/>
            <w:tabs>
              <w:tab w:val="right" w:leader="dot" w:pos="9180"/>
            </w:tabs>
            <w:spacing w:before="127" w:line="222" w:lineRule="auto"/>
            <w:ind w:left="1716"/>
            <w:rPr>
              <w:rFonts w:ascii="Times New Roman" w:hAnsi="Times New Roman" w:eastAsia="Times New Roman" w:cs="Times New Roman"/>
              <w:sz w:val="22"/>
              <w:szCs w:val="22"/>
            </w:rPr>
          </w:pPr>
          <w:r>
            <w:fldChar w:fldCharType="begin"/>
          </w:r>
          <w:r>
            <w:instrText xml:space="preserve"> HYPERLINK \l "bookmark241" </w:instrText>
          </w:r>
          <w:r>
            <w:fldChar w:fldCharType="separate"/>
          </w:r>
          <w:r>
            <w:rPr>
              <w:spacing w:val="-9"/>
              <w:sz w:val="22"/>
              <w:szCs w:val="22"/>
            </w:rPr>
            <w:t>三</w:t>
          </w:r>
          <w:r>
            <w:rPr>
              <w:spacing w:val="-34"/>
              <w:sz w:val="22"/>
              <w:szCs w:val="22"/>
            </w:rPr>
            <w:t xml:space="preserve"> </w:t>
          </w:r>
          <w:r>
            <w:rPr>
              <w:spacing w:val="-9"/>
              <w:sz w:val="22"/>
              <w:szCs w:val="22"/>
            </w:rPr>
            <w:t>、糖尿病</w:t>
          </w:r>
          <w:r>
            <w:rPr>
              <w:spacing w:val="-102"/>
              <w:sz w:val="22"/>
              <w:szCs w:val="22"/>
            </w:rPr>
            <w:t xml:space="preserve"> </w:t>
          </w:r>
          <w:r>
            <w:rPr>
              <w:sz w:val="22"/>
              <w:szCs w:val="22"/>
            </w:rPr>
            <w:tab/>
          </w:r>
          <w:r>
            <w:rPr>
              <w:rFonts w:ascii="Times New Roman" w:hAnsi="Times New Roman" w:eastAsia="Times New Roman" w:cs="Times New Roman"/>
              <w:spacing w:val="-5"/>
              <w:sz w:val="22"/>
              <w:szCs w:val="22"/>
            </w:rPr>
            <w:t>195</w:t>
          </w:r>
          <w:r>
            <w:rPr>
              <w:rFonts w:ascii="Times New Roman" w:hAnsi="Times New Roman" w:eastAsia="Times New Roman" w:cs="Times New Roman"/>
              <w:spacing w:val="-5"/>
              <w:sz w:val="22"/>
              <w:szCs w:val="22"/>
            </w:rPr>
            <w:fldChar w:fldCharType="end"/>
          </w:r>
        </w:p>
        <w:p w14:paraId="0277DCA8">
          <w:pPr>
            <w:pStyle w:val="2"/>
            <w:tabs>
              <w:tab w:val="right" w:leader="dot" w:pos="9190"/>
            </w:tabs>
            <w:spacing w:before="133" w:line="221" w:lineRule="auto"/>
            <w:ind w:left="1716"/>
            <w:rPr>
              <w:rFonts w:ascii="Times New Roman" w:hAnsi="Times New Roman" w:eastAsia="Times New Roman" w:cs="Times New Roman"/>
              <w:sz w:val="22"/>
              <w:szCs w:val="22"/>
            </w:rPr>
          </w:pPr>
          <w:r>
            <w:fldChar w:fldCharType="begin"/>
          </w:r>
          <w:r>
            <w:instrText xml:space="preserve"> HYPERLINK \l "bookmark242" </w:instrText>
          </w:r>
          <w:r>
            <w:fldChar w:fldCharType="separate"/>
          </w:r>
          <w:r>
            <w:rPr>
              <w:spacing w:val="-5"/>
              <w:sz w:val="22"/>
              <w:szCs w:val="22"/>
            </w:rPr>
            <w:t>四</w:t>
          </w:r>
          <w:r>
            <w:rPr>
              <w:spacing w:val="-59"/>
              <w:sz w:val="22"/>
              <w:szCs w:val="22"/>
            </w:rPr>
            <w:t xml:space="preserve"> </w:t>
          </w:r>
          <w:r>
            <w:rPr>
              <w:spacing w:val="-5"/>
              <w:sz w:val="22"/>
              <w:szCs w:val="22"/>
            </w:rPr>
            <w:t>、慢性阻塞性肺疾病</w:t>
          </w:r>
          <w:r>
            <w:rPr>
              <w:spacing w:val="-92"/>
              <w:sz w:val="22"/>
              <w:szCs w:val="22"/>
            </w:rPr>
            <w:t xml:space="preserve"> </w:t>
          </w:r>
          <w:r>
            <w:rPr>
              <w:sz w:val="22"/>
              <w:szCs w:val="22"/>
            </w:rPr>
            <w:tab/>
          </w:r>
          <w:r>
            <w:rPr>
              <w:rFonts w:ascii="Times New Roman" w:hAnsi="Times New Roman" w:eastAsia="Times New Roman" w:cs="Times New Roman"/>
              <w:spacing w:val="-5"/>
              <w:sz w:val="22"/>
              <w:szCs w:val="22"/>
            </w:rPr>
            <w:t>198</w:t>
          </w:r>
          <w:r>
            <w:rPr>
              <w:rFonts w:ascii="Times New Roman" w:hAnsi="Times New Roman" w:eastAsia="Times New Roman" w:cs="Times New Roman"/>
              <w:spacing w:val="-5"/>
              <w:sz w:val="22"/>
              <w:szCs w:val="22"/>
            </w:rPr>
            <w:fldChar w:fldCharType="end"/>
          </w:r>
        </w:p>
        <w:p w14:paraId="4F235792">
          <w:pPr>
            <w:pStyle w:val="2"/>
            <w:tabs>
              <w:tab w:val="right" w:leader="dot" w:pos="9142"/>
            </w:tabs>
            <w:spacing w:before="127" w:line="222" w:lineRule="auto"/>
            <w:ind w:left="1716"/>
            <w:rPr>
              <w:rFonts w:ascii="Times New Roman" w:hAnsi="Times New Roman" w:eastAsia="Times New Roman" w:cs="Times New Roman"/>
              <w:sz w:val="22"/>
              <w:szCs w:val="22"/>
            </w:rPr>
          </w:pPr>
          <w:r>
            <w:fldChar w:fldCharType="begin"/>
          </w:r>
          <w:r>
            <w:instrText xml:space="preserve"> HYPERLINK \l "bookmark243" </w:instrText>
          </w:r>
          <w:r>
            <w:fldChar w:fldCharType="separate"/>
          </w:r>
          <w:r>
            <w:rPr>
              <w:spacing w:val="-7"/>
              <w:sz w:val="22"/>
              <w:szCs w:val="22"/>
            </w:rPr>
            <w:t>五</w:t>
          </w:r>
          <w:r>
            <w:rPr>
              <w:spacing w:val="-52"/>
              <w:sz w:val="22"/>
              <w:szCs w:val="22"/>
            </w:rPr>
            <w:t xml:space="preserve"> </w:t>
          </w:r>
          <w:r>
            <w:rPr>
              <w:spacing w:val="-7"/>
              <w:sz w:val="22"/>
              <w:szCs w:val="22"/>
            </w:rPr>
            <w:t>、精神障碍</w:t>
          </w:r>
          <w:r>
            <w:rPr>
              <w:spacing w:val="-87"/>
              <w:sz w:val="22"/>
              <w:szCs w:val="22"/>
            </w:rPr>
            <w:t xml:space="preserve"> </w:t>
          </w:r>
          <w:r>
            <w:rPr>
              <w:sz w:val="22"/>
              <w:szCs w:val="22"/>
            </w:rPr>
            <w:tab/>
          </w:r>
          <w:r>
            <w:rPr>
              <w:spacing w:val="-64"/>
              <w:sz w:val="22"/>
              <w:szCs w:val="22"/>
            </w:rPr>
            <w:t xml:space="preserve"> </w:t>
          </w:r>
          <w:r>
            <w:rPr>
              <w:rFonts w:ascii="Times New Roman" w:hAnsi="Times New Roman" w:eastAsia="Times New Roman" w:cs="Times New Roman"/>
              <w:spacing w:val="-2"/>
              <w:sz w:val="22"/>
              <w:szCs w:val="22"/>
            </w:rPr>
            <w:t>200</w:t>
          </w:r>
          <w:r>
            <w:rPr>
              <w:rFonts w:ascii="Times New Roman" w:hAnsi="Times New Roman" w:eastAsia="Times New Roman" w:cs="Times New Roman"/>
              <w:spacing w:val="-2"/>
              <w:sz w:val="22"/>
              <w:szCs w:val="22"/>
            </w:rPr>
            <w:fldChar w:fldCharType="end"/>
          </w:r>
        </w:p>
        <w:p w14:paraId="5983E34D">
          <w:pPr>
            <w:spacing w:line="407" w:lineRule="auto"/>
            <w:rPr>
              <w:rFonts w:ascii="Arial"/>
              <w:sz w:val="21"/>
            </w:rPr>
          </w:pPr>
        </w:p>
        <w:p w14:paraId="52267F82">
          <w:pPr>
            <w:pStyle w:val="2"/>
            <w:tabs>
              <w:tab w:val="right" w:leader="dot" w:pos="9010"/>
            </w:tabs>
            <w:spacing w:before="72" w:line="221" w:lineRule="auto"/>
            <w:rPr>
              <w:rFonts w:ascii="Times New Roman" w:hAnsi="Times New Roman" w:eastAsia="Times New Roman" w:cs="Times New Roman"/>
              <w:sz w:val="22"/>
              <w:szCs w:val="22"/>
            </w:rPr>
          </w:pPr>
          <w:r>
            <w:fldChar w:fldCharType="begin"/>
          </w:r>
          <w:r>
            <w:instrText xml:space="preserve"> HYPERLINK \l "bookmark244" </w:instrText>
          </w:r>
          <w:r>
            <w:fldChar w:fldCharType="separate"/>
          </w:r>
          <w:r>
            <w:rPr>
              <w:b/>
              <w:bCs/>
              <w:spacing w:val="-14"/>
              <w:sz w:val="22"/>
              <w:szCs w:val="22"/>
            </w:rPr>
            <w:t>第</w:t>
          </w:r>
          <w:r>
            <w:rPr>
              <w:spacing w:val="-40"/>
              <w:sz w:val="22"/>
              <w:szCs w:val="22"/>
            </w:rPr>
            <w:t xml:space="preserve"> </w:t>
          </w:r>
          <w:r>
            <w:rPr>
              <w:b/>
              <w:bCs/>
              <w:spacing w:val="-14"/>
              <w:sz w:val="22"/>
              <w:szCs w:val="22"/>
            </w:rPr>
            <w:t>十</w:t>
          </w:r>
          <w:r>
            <w:rPr>
              <w:spacing w:val="-39"/>
              <w:sz w:val="22"/>
              <w:szCs w:val="22"/>
            </w:rPr>
            <w:t xml:space="preserve"> </w:t>
          </w:r>
          <w:r>
            <w:rPr>
              <w:b/>
              <w:bCs/>
              <w:spacing w:val="-14"/>
              <w:sz w:val="22"/>
              <w:szCs w:val="22"/>
            </w:rPr>
            <w:t>五</w:t>
          </w:r>
          <w:r>
            <w:rPr>
              <w:spacing w:val="-43"/>
              <w:sz w:val="22"/>
              <w:szCs w:val="22"/>
            </w:rPr>
            <w:t xml:space="preserve"> </w:t>
          </w:r>
          <w:r>
            <w:rPr>
              <w:b/>
              <w:bCs/>
              <w:spacing w:val="-14"/>
              <w:sz w:val="22"/>
              <w:szCs w:val="22"/>
            </w:rPr>
            <w:t>章</w:t>
          </w:r>
          <w:r>
            <w:rPr>
              <w:spacing w:val="75"/>
              <w:sz w:val="22"/>
              <w:szCs w:val="22"/>
            </w:rPr>
            <w:t xml:space="preserve"> </w:t>
          </w:r>
          <w:r>
            <w:rPr>
              <w:b/>
              <w:bCs/>
              <w:spacing w:val="-14"/>
              <w:sz w:val="22"/>
              <w:szCs w:val="22"/>
            </w:rPr>
            <w:t>伤</w:t>
          </w:r>
          <w:r>
            <w:rPr>
              <w:spacing w:val="-14"/>
              <w:sz w:val="22"/>
              <w:szCs w:val="22"/>
            </w:rPr>
            <w:t xml:space="preserve"> </w:t>
          </w:r>
          <w:r>
            <w:rPr>
              <w:b/>
              <w:bCs/>
              <w:spacing w:val="-14"/>
              <w:sz w:val="22"/>
              <w:szCs w:val="22"/>
            </w:rPr>
            <w:t>害</w:t>
          </w:r>
          <w:r>
            <w:rPr>
              <w:spacing w:val="-25"/>
              <w:sz w:val="22"/>
              <w:szCs w:val="22"/>
            </w:rPr>
            <w:t xml:space="preserve"> </w:t>
          </w:r>
          <w:r>
            <w:rPr>
              <w:b/>
              <w:bCs/>
              <w:spacing w:val="-14"/>
              <w:sz w:val="22"/>
              <w:szCs w:val="22"/>
            </w:rPr>
            <w:t>流</w:t>
          </w:r>
          <w:r>
            <w:rPr>
              <w:spacing w:val="-28"/>
              <w:sz w:val="22"/>
              <w:szCs w:val="22"/>
            </w:rPr>
            <w:t xml:space="preserve"> </w:t>
          </w:r>
          <w:r>
            <w:rPr>
              <w:b/>
              <w:bCs/>
              <w:spacing w:val="-14"/>
              <w:sz w:val="22"/>
              <w:szCs w:val="22"/>
            </w:rPr>
            <w:t>行</w:t>
          </w:r>
          <w:r>
            <w:rPr>
              <w:spacing w:val="-30"/>
              <w:sz w:val="22"/>
              <w:szCs w:val="22"/>
            </w:rPr>
            <w:t xml:space="preserve"> </w:t>
          </w:r>
          <w:r>
            <w:rPr>
              <w:b/>
              <w:bCs/>
              <w:spacing w:val="-14"/>
              <w:sz w:val="22"/>
              <w:szCs w:val="22"/>
            </w:rPr>
            <w:t>病</w:t>
          </w:r>
          <w:r>
            <w:rPr>
              <w:spacing w:val="-21"/>
              <w:sz w:val="22"/>
              <w:szCs w:val="22"/>
            </w:rPr>
            <w:t xml:space="preserve"> </w:t>
          </w:r>
          <w:r>
            <w:rPr>
              <w:b/>
              <w:bCs/>
              <w:spacing w:val="-14"/>
              <w:sz w:val="22"/>
              <w:szCs w:val="22"/>
            </w:rPr>
            <w:t>学</w:t>
          </w:r>
          <w:r>
            <w:rPr>
              <w:spacing w:val="-93"/>
              <w:sz w:val="22"/>
              <w:szCs w:val="22"/>
            </w:rPr>
            <w:t xml:space="preserve"> </w:t>
          </w:r>
          <w:r>
            <w:rPr>
              <w:sz w:val="22"/>
              <w:szCs w:val="22"/>
            </w:rPr>
            <w:tab/>
          </w:r>
          <w:r>
            <w:rPr>
              <w:spacing w:val="-44"/>
              <w:sz w:val="22"/>
              <w:szCs w:val="22"/>
            </w:rPr>
            <w:t xml:space="preserve"> </w:t>
          </w:r>
          <w:r>
            <w:rPr>
              <w:rFonts w:ascii="Times New Roman" w:hAnsi="Times New Roman" w:eastAsia="Times New Roman" w:cs="Times New Roman"/>
              <w:b/>
              <w:bCs/>
              <w:spacing w:val="-2"/>
              <w:sz w:val="22"/>
              <w:szCs w:val="22"/>
            </w:rPr>
            <w:t>204</w:t>
          </w:r>
          <w:r>
            <w:rPr>
              <w:rFonts w:ascii="Times New Roman" w:hAnsi="Times New Roman" w:eastAsia="Times New Roman" w:cs="Times New Roman"/>
              <w:b/>
              <w:bCs/>
              <w:spacing w:val="-2"/>
              <w:sz w:val="22"/>
              <w:szCs w:val="22"/>
            </w:rPr>
            <w:fldChar w:fldCharType="end"/>
          </w:r>
        </w:p>
        <w:p w14:paraId="2867BBA3">
          <w:pPr>
            <w:pStyle w:val="2"/>
            <w:tabs>
              <w:tab w:val="right" w:leader="dot" w:pos="9162"/>
            </w:tabs>
            <w:spacing w:before="150" w:line="221" w:lineRule="auto"/>
            <w:ind w:left="1296"/>
            <w:rPr>
              <w:rFonts w:ascii="Times New Roman" w:hAnsi="Times New Roman" w:eastAsia="Times New Roman" w:cs="Times New Roman"/>
              <w:sz w:val="22"/>
              <w:szCs w:val="22"/>
            </w:rPr>
          </w:pPr>
          <w:r>
            <w:fldChar w:fldCharType="begin"/>
          </w:r>
          <w:r>
            <w:instrText xml:space="preserve"> HYPERLINK \l "bookmark245" </w:instrText>
          </w:r>
          <w:r>
            <w:fldChar w:fldCharType="separate"/>
          </w:r>
          <w:r>
            <w:rPr>
              <w:sz w:val="22"/>
              <w:szCs w:val="22"/>
            </w:rPr>
            <w:t>第一节</w:t>
          </w:r>
          <w:r>
            <w:rPr>
              <w:spacing w:val="56"/>
              <w:sz w:val="22"/>
              <w:szCs w:val="22"/>
            </w:rPr>
            <w:t xml:space="preserve"> </w:t>
          </w:r>
          <w:r>
            <w:rPr>
              <w:sz w:val="22"/>
              <w:szCs w:val="22"/>
            </w:rPr>
            <w:t>概</w:t>
          </w:r>
          <w:r>
            <w:rPr>
              <w:spacing w:val="-40"/>
              <w:sz w:val="22"/>
              <w:szCs w:val="22"/>
            </w:rPr>
            <w:t xml:space="preserve"> </w:t>
          </w:r>
          <w:r>
            <w:rPr>
              <w:sz w:val="22"/>
              <w:szCs w:val="22"/>
            </w:rPr>
            <w:t>述</w:t>
          </w:r>
          <w:r>
            <w:rPr>
              <w:spacing w:val="-88"/>
              <w:sz w:val="22"/>
              <w:szCs w:val="22"/>
            </w:rPr>
            <w:t xml:space="preserve"> </w:t>
          </w:r>
          <w:r>
            <w:rPr>
              <w:sz w:val="22"/>
              <w:szCs w:val="22"/>
            </w:rPr>
            <w:tab/>
          </w:r>
          <w:r>
            <w:rPr>
              <w:spacing w:val="-64"/>
              <w:sz w:val="22"/>
              <w:szCs w:val="22"/>
            </w:rPr>
            <w:t xml:space="preserve"> </w:t>
          </w:r>
          <w:r>
            <w:rPr>
              <w:rFonts w:ascii="Times New Roman" w:hAnsi="Times New Roman" w:eastAsia="Times New Roman" w:cs="Times New Roman"/>
              <w:spacing w:val="-2"/>
              <w:sz w:val="22"/>
              <w:szCs w:val="22"/>
            </w:rPr>
            <w:t>204</w:t>
          </w:r>
          <w:r>
            <w:rPr>
              <w:rFonts w:ascii="Times New Roman" w:hAnsi="Times New Roman" w:eastAsia="Times New Roman" w:cs="Times New Roman"/>
              <w:spacing w:val="-2"/>
              <w:sz w:val="22"/>
              <w:szCs w:val="22"/>
            </w:rPr>
            <w:fldChar w:fldCharType="end"/>
          </w:r>
        </w:p>
        <w:p w14:paraId="03B6663A">
          <w:pPr>
            <w:pStyle w:val="2"/>
            <w:tabs>
              <w:tab w:val="right" w:leader="dot" w:pos="9162"/>
            </w:tabs>
            <w:spacing w:before="129" w:line="223" w:lineRule="auto"/>
            <w:ind w:left="1716"/>
            <w:rPr>
              <w:rFonts w:ascii="Times New Roman" w:hAnsi="Times New Roman" w:eastAsia="Times New Roman" w:cs="Times New Roman"/>
              <w:sz w:val="22"/>
              <w:szCs w:val="22"/>
            </w:rPr>
          </w:pPr>
          <w:r>
            <w:fldChar w:fldCharType="begin"/>
          </w:r>
          <w:r>
            <w:instrText xml:space="preserve"> HYPERLINK \l "bookmark246" </w:instrText>
          </w:r>
          <w:r>
            <w:fldChar w:fldCharType="separate"/>
          </w:r>
          <w:r>
            <w:rPr>
              <w:spacing w:val="-8"/>
              <w:sz w:val="22"/>
              <w:szCs w:val="22"/>
            </w:rPr>
            <w:t>一</w:t>
          </w:r>
          <w:r>
            <w:rPr>
              <w:spacing w:val="-43"/>
              <w:sz w:val="22"/>
              <w:szCs w:val="22"/>
            </w:rPr>
            <w:t xml:space="preserve"> </w:t>
          </w:r>
          <w:r>
            <w:rPr>
              <w:spacing w:val="-8"/>
              <w:sz w:val="22"/>
              <w:szCs w:val="22"/>
            </w:rPr>
            <w:t>、伤害的定义</w:t>
          </w:r>
          <w:r>
            <w:rPr>
              <w:spacing w:val="-93"/>
              <w:sz w:val="22"/>
              <w:szCs w:val="22"/>
            </w:rPr>
            <w:t xml:space="preserve"> </w:t>
          </w:r>
          <w:r>
            <w:rPr>
              <w:sz w:val="22"/>
              <w:szCs w:val="22"/>
            </w:rPr>
            <w:tab/>
          </w:r>
          <w:r>
            <w:rPr>
              <w:spacing w:val="-34"/>
              <w:sz w:val="22"/>
              <w:szCs w:val="22"/>
            </w:rPr>
            <w:t xml:space="preserve"> </w:t>
          </w:r>
          <w:r>
            <w:rPr>
              <w:rFonts w:ascii="Times New Roman" w:hAnsi="Times New Roman" w:eastAsia="Times New Roman" w:cs="Times New Roman"/>
              <w:spacing w:val="-2"/>
              <w:sz w:val="22"/>
              <w:szCs w:val="22"/>
            </w:rPr>
            <w:t>204</w:t>
          </w:r>
          <w:r>
            <w:rPr>
              <w:rFonts w:ascii="Times New Roman" w:hAnsi="Times New Roman" w:eastAsia="Times New Roman" w:cs="Times New Roman"/>
              <w:spacing w:val="-2"/>
              <w:sz w:val="22"/>
              <w:szCs w:val="22"/>
            </w:rPr>
            <w:fldChar w:fldCharType="end"/>
          </w:r>
        </w:p>
        <w:p w14:paraId="5B43A456">
          <w:pPr>
            <w:pStyle w:val="2"/>
            <w:tabs>
              <w:tab w:val="right" w:leader="dot" w:pos="9142"/>
            </w:tabs>
            <w:spacing w:before="122" w:line="221" w:lineRule="auto"/>
            <w:ind w:left="1716"/>
            <w:rPr>
              <w:rFonts w:ascii="Times New Roman" w:hAnsi="Times New Roman" w:eastAsia="Times New Roman" w:cs="Times New Roman"/>
              <w:sz w:val="22"/>
              <w:szCs w:val="22"/>
            </w:rPr>
          </w:pPr>
          <w:r>
            <w:fldChar w:fldCharType="begin"/>
          </w:r>
          <w:r>
            <w:instrText xml:space="preserve"> HYPERLINK \l "bookmark247" </w:instrText>
          </w:r>
          <w:r>
            <w:fldChar w:fldCharType="separate"/>
          </w:r>
          <w:r>
            <w:rPr>
              <w:spacing w:val="-6"/>
              <w:sz w:val="22"/>
              <w:szCs w:val="22"/>
            </w:rPr>
            <w:t>二</w:t>
          </w:r>
          <w:r>
            <w:rPr>
              <w:spacing w:val="-37"/>
              <w:sz w:val="22"/>
              <w:szCs w:val="22"/>
            </w:rPr>
            <w:t xml:space="preserve"> </w:t>
          </w:r>
          <w:r>
            <w:rPr>
              <w:spacing w:val="-6"/>
              <w:sz w:val="22"/>
              <w:szCs w:val="22"/>
            </w:rPr>
            <w:t>、伤害的分类</w:t>
          </w:r>
          <w:r>
            <w:rPr>
              <w:spacing w:val="-93"/>
              <w:sz w:val="22"/>
              <w:szCs w:val="22"/>
            </w:rPr>
            <w:t xml:space="preserve"> </w:t>
          </w:r>
          <w:r>
            <w:rPr>
              <w:sz w:val="22"/>
              <w:szCs w:val="22"/>
            </w:rPr>
            <w:tab/>
          </w:r>
          <w:r>
            <w:rPr>
              <w:spacing w:val="-74"/>
              <w:sz w:val="22"/>
              <w:szCs w:val="22"/>
            </w:rPr>
            <w:t xml:space="preserve"> </w:t>
          </w:r>
          <w:r>
            <w:rPr>
              <w:rFonts w:ascii="Times New Roman" w:hAnsi="Times New Roman" w:eastAsia="Times New Roman" w:cs="Times New Roman"/>
              <w:spacing w:val="-2"/>
              <w:sz w:val="22"/>
              <w:szCs w:val="22"/>
            </w:rPr>
            <w:t>205</w:t>
          </w:r>
          <w:r>
            <w:rPr>
              <w:rFonts w:ascii="Times New Roman" w:hAnsi="Times New Roman" w:eastAsia="Times New Roman" w:cs="Times New Roman"/>
              <w:spacing w:val="-2"/>
              <w:sz w:val="22"/>
              <w:szCs w:val="22"/>
            </w:rPr>
            <w:fldChar w:fldCharType="end"/>
          </w:r>
        </w:p>
        <w:p w14:paraId="23FBC4C4">
          <w:pPr>
            <w:pStyle w:val="2"/>
            <w:tabs>
              <w:tab w:val="right" w:leader="dot" w:pos="9162"/>
            </w:tabs>
            <w:spacing w:before="127" w:line="221" w:lineRule="auto"/>
            <w:ind w:left="1716"/>
            <w:rPr>
              <w:rFonts w:ascii="Times New Roman" w:hAnsi="Times New Roman" w:eastAsia="Times New Roman" w:cs="Times New Roman"/>
              <w:sz w:val="22"/>
              <w:szCs w:val="22"/>
            </w:rPr>
          </w:pPr>
          <w:r>
            <w:fldChar w:fldCharType="begin"/>
          </w:r>
          <w:r>
            <w:instrText xml:space="preserve"> HYPERLINK \l "bookmark248" </w:instrText>
          </w:r>
          <w:r>
            <w:fldChar w:fldCharType="separate"/>
          </w:r>
          <w:r>
            <w:rPr>
              <w:spacing w:val="-2"/>
              <w:sz w:val="22"/>
              <w:szCs w:val="22"/>
            </w:rPr>
            <w:t>三</w:t>
          </w:r>
          <w:r>
            <w:rPr>
              <w:spacing w:val="-37"/>
              <w:sz w:val="22"/>
              <w:szCs w:val="22"/>
            </w:rPr>
            <w:t xml:space="preserve"> </w:t>
          </w:r>
          <w:r>
            <w:rPr>
              <w:spacing w:val="-2"/>
              <w:sz w:val="22"/>
              <w:szCs w:val="22"/>
            </w:rPr>
            <w:t>、伤害发生的原因及影响因素</w:t>
          </w:r>
          <w:r>
            <w:rPr>
              <w:spacing w:val="-96"/>
              <w:sz w:val="22"/>
              <w:szCs w:val="22"/>
            </w:rPr>
            <w:t xml:space="preserve"> </w:t>
          </w:r>
          <w:r>
            <w:rPr>
              <w:sz w:val="22"/>
              <w:szCs w:val="22"/>
            </w:rPr>
            <w:tab/>
          </w:r>
          <w:r>
            <w:rPr>
              <w:spacing w:val="-64"/>
              <w:sz w:val="22"/>
              <w:szCs w:val="22"/>
            </w:rPr>
            <w:t xml:space="preserve"> </w:t>
          </w:r>
          <w:r>
            <w:rPr>
              <w:rFonts w:ascii="Times New Roman" w:hAnsi="Times New Roman" w:eastAsia="Times New Roman" w:cs="Times New Roman"/>
              <w:spacing w:val="-2"/>
              <w:sz w:val="22"/>
              <w:szCs w:val="22"/>
            </w:rPr>
            <w:t>206</w:t>
          </w:r>
          <w:r>
            <w:rPr>
              <w:rFonts w:ascii="Times New Roman" w:hAnsi="Times New Roman" w:eastAsia="Times New Roman" w:cs="Times New Roman"/>
              <w:spacing w:val="-2"/>
              <w:sz w:val="22"/>
              <w:szCs w:val="22"/>
            </w:rPr>
            <w:fldChar w:fldCharType="end"/>
          </w:r>
        </w:p>
        <w:p w14:paraId="5F1DFDE4">
          <w:pPr>
            <w:pStyle w:val="2"/>
            <w:tabs>
              <w:tab w:val="right" w:leader="dot" w:pos="9162"/>
            </w:tabs>
            <w:spacing w:before="126" w:line="221" w:lineRule="auto"/>
            <w:ind w:left="1296"/>
            <w:rPr>
              <w:rFonts w:ascii="Times New Roman" w:hAnsi="Times New Roman" w:eastAsia="Times New Roman" w:cs="Times New Roman"/>
              <w:sz w:val="22"/>
              <w:szCs w:val="22"/>
            </w:rPr>
          </w:pPr>
          <w:r>
            <w:fldChar w:fldCharType="begin"/>
          </w:r>
          <w:r>
            <w:instrText xml:space="preserve"> HYPERLINK \l "bookmark249" </w:instrText>
          </w:r>
          <w:r>
            <w:fldChar w:fldCharType="separate"/>
          </w:r>
          <w:r>
            <w:rPr>
              <w:spacing w:val="12"/>
              <w:sz w:val="22"/>
              <w:szCs w:val="22"/>
            </w:rPr>
            <w:t>第二节</w:t>
          </w:r>
          <w:r>
            <w:rPr>
              <w:spacing w:val="44"/>
              <w:sz w:val="22"/>
              <w:szCs w:val="22"/>
            </w:rPr>
            <w:t xml:space="preserve"> </w:t>
          </w:r>
          <w:r>
            <w:rPr>
              <w:spacing w:val="12"/>
              <w:sz w:val="22"/>
              <w:szCs w:val="22"/>
            </w:rPr>
            <w:t>流行特征</w:t>
          </w:r>
          <w:r>
            <w:rPr>
              <w:spacing w:val="-90"/>
              <w:sz w:val="22"/>
              <w:szCs w:val="22"/>
            </w:rPr>
            <w:t xml:space="preserve"> </w:t>
          </w:r>
          <w:r>
            <w:rPr>
              <w:sz w:val="22"/>
              <w:szCs w:val="22"/>
            </w:rPr>
            <w:tab/>
          </w:r>
          <w:r>
            <w:rPr>
              <w:spacing w:val="-64"/>
              <w:sz w:val="22"/>
              <w:szCs w:val="22"/>
            </w:rPr>
            <w:t xml:space="preserve"> </w:t>
          </w:r>
          <w:r>
            <w:rPr>
              <w:rFonts w:ascii="Times New Roman" w:hAnsi="Times New Roman" w:eastAsia="Times New Roman" w:cs="Times New Roman"/>
              <w:spacing w:val="-2"/>
              <w:sz w:val="22"/>
              <w:szCs w:val="22"/>
            </w:rPr>
            <w:t>207</w:t>
          </w:r>
          <w:r>
            <w:rPr>
              <w:rFonts w:ascii="Times New Roman" w:hAnsi="Times New Roman" w:eastAsia="Times New Roman" w:cs="Times New Roman"/>
              <w:spacing w:val="-2"/>
              <w:sz w:val="22"/>
              <w:szCs w:val="22"/>
            </w:rPr>
            <w:fldChar w:fldCharType="end"/>
          </w:r>
        </w:p>
        <w:p w14:paraId="11EF765F">
          <w:pPr>
            <w:pStyle w:val="2"/>
            <w:tabs>
              <w:tab w:val="right" w:leader="dot" w:pos="9162"/>
            </w:tabs>
            <w:spacing w:before="127" w:line="221" w:lineRule="auto"/>
            <w:ind w:left="1716"/>
            <w:rPr>
              <w:rFonts w:ascii="Times New Roman" w:hAnsi="Times New Roman" w:eastAsia="Times New Roman" w:cs="Times New Roman"/>
              <w:sz w:val="22"/>
              <w:szCs w:val="22"/>
            </w:rPr>
          </w:pPr>
          <w:r>
            <w:fldChar w:fldCharType="begin"/>
          </w:r>
          <w:r>
            <w:instrText xml:space="preserve"> HYPERLINK \l "bookmark250" </w:instrText>
          </w:r>
          <w:r>
            <w:fldChar w:fldCharType="separate"/>
          </w:r>
          <w:r>
            <w:rPr>
              <w:spacing w:val="-4"/>
              <w:sz w:val="22"/>
              <w:szCs w:val="22"/>
            </w:rPr>
            <w:t>一</w:t>
          </w:r>
          <w:r>
            <w:rPr>
              <w:spacing w:val="-36"/>
              <w:sz w:val="22"/>
              <w:szCs w:val="22"/>
            </w:rPr>
            <w:t xml:space="preserve"> </w:t>
          </w:r>
          <w:r>
            <w:rPr>
              <w:spacing w:val="-4"/>
              <w:sz w:val="22"/>
              <w:szCs w:val="22"/>
            </w:rPr>
            <w:t>、全球的流行特征</w:t>
          </w:r>
          <w:r>
            <w:rPr>
              <w:spacing w:val="-99"/>
              <w:sz w:val="22"/>
              <w:szCs w:val="22"/>
            </w:rPr>
            <w:t xml:space="preserve"> </w:t>
          </w:r>
          <w:r>
            <w:rPr>
              <w:sz w:val="22"/>
              <w:szCs w:val="22"/>
            </w:rPr>
            <w:tab/>
          </w:r>
          <w:r>
            <w:rPr>
              <w:spacing w:val="-54"/>
              <w:sz w:val="22"/>
              <w:szCs w:val="22"/>
            </w:rPr>
            <w:t xml:space="preserve"> </w:t>
          </w:r>
          <w:r>
            <w:rPr>
              <w:rFonts w:ascii="Times New Roman" w:hAnsi="Times New Roman" w:eastAsia="Times New Roman" w:cs="Times New Roman"/>
              <w:spacing w:val="-2"/>
              <w:sz w:val="22"/>
              <w:szCs w:val="22"/>
            </w:rPr>
            <w:t>207</w:t>
          </w:r>
          <w:r>
            <w:rPr>
              <w:rFonts w:ascii="Times New Roman" w:hAnsi="Times New Roman" w:eastAsia="Times New Roman" w:cs="Times New Roman"/>
              <w:spacing w:val="-2"/>
              <w:sz w:val="22"/>
              <w:szCs w:val="22"/>
            </w:rPr>
            <w:fldChar w:fldCharType="end"/>
          </w:r>
        </w:p>
      </w:sdtContent>
    </w:sdt>
    <w:p w14:paraId="4BA1BDAA">
      <w:pPr>
        <w:spacing w:line="221" w:lineRule="auto"/>
        <w:rPr>
          <w:rFonts w:ascii="Times New Roman" w:hAnsi="Times New Roman" w:eastAsia="Times New Roman" w:cs="Times New Roman"/>
          <w:sz w:val="22"/>
          <w:szCs w:val="22"/>
        </w:rPr>
        <w:sectPr>
          <w:footerReference r:id="rId25" w:type="default"/>
          <w:pgSz w:w="11900" w:h="16820"/>
          <w:pgMar w:top="400" w:right="665" w:bottom="863" w:left="1273" w:header="0" w:footer="665" w:gutter="0"/>
          <w:cols w:space="720" w:num="1"/>
        </w:sectPr>
      </w:pPr>
    </w:p>
    <w:sdt>
      <w:sdtPr>
        <w:rPr>
          <w:rFonts w:ascii="黑体" w:hAnsi="黑体" w:eastAsia="黑体" w:cs="黑体"/>
          <w:sz w:val="21"/>
          <w:szCs w:val="21"/>
        </w:rPr>
        <w:id w:val="93427780"/>
        <w:docPartObj>
          <w:docPartGallery w:val="Table of Contents"/>
          <w:docPartUnique/>
        </w:docPartObj>
      </w:sdtPr>
      <w:sdtEndPr>
        <w:rPr>
          <w:rFonts w:ascii="Times New Roman" w:hAnsi="Times New Roman" w:eastAsia="Times New Roman" w:cs="Times New Roman"/>
          <w:sz w:val="21"/>
          <w:szCs w:val="21"/>
        </w:rPr>
      </w:sdtEndPr>
      <w:sdtContent>
        <w:p w14:paraId="34530EA2">
          <w:pPr>
            <w:pStyle w:val="2"/>
            <w:spacing w:before="197" w:line="222" w:lineRule="auto"/>
            <w:ind w:left="770"/>
            <w:rPr>
              <w:sz w:val="21"/>
              <w:szCs w:val="21"/>
            </w:rPr>
          </w:pPr>
          <w:r>
            <w:rPr>
              <w:spacing w:val="-16"/>
              <w:sz w:val="21"/>
              <w:szCs w:val="21"/>
            </w:rPr>
            <w:t>目录</w:t>
          </w:r>
        </w:p>
        <w:p w14:paraId="269AF7CC">
          <w:pPr>
            <w:spacing w:line="271" w:lineRule="auto"/>
            <w:rPr>
              <w:rFonts w:ascii="Arial"/>
              <w:sz w:val="21"/>
            </w:rPr>
          </w:pPr>
        </w:p>
        <w:p w14:paraId="1047A23B">
          <w:pPr>
            <w:spacing w:line="271" w:lineRule="auto"/>
            <w:rPr>
              <w:rFonts w:ascii="Arial"/>
              <w:sz w:val="21"/>
            </w:rPr>
          </w:pPr>
        </w:p>
        <w:p w14:paraId="716563DA">
          <w:pPr>
            <w:pStyle w:val="2"/>
            <w:tabs>
              <w:tab w:val="right" w:leader="dot" w:pos="9569"/>
            </w:tabs>
            <w:spacing w:before="68" w:line="221" w:lineRule="auto"/>
            <w:ind w:left="2383"/>
            <w:rPr>
              <w:rFonts w:ascii="Times New Roman" w:hAnsi="Times New Roman" w:eastAsia="Times New Roman" w:cs="Times New Roman"/>
              <w:sz w:val="21"/>
              <w:szCs w:val="21"/>
            </w:rPr>
          </w:pPr>
          <w:bookmarkStart w:id="5" w:name="bookmark251"/>
          <w:bookmarkEnd w:id="5"/>
          <w:r>
            <w:fldChar w:fldCharType="begin"/>
          </w:r>
          <w:r>
            <w:instrText xml:space="preserve"> HYPERLINK \l "bookmark252" </w:instrText>
          </w:r>
          <w:r>
            <w:fldChar w:fldCharType="separate"/>
          </w:r>
          <w:r>
            <w:rPr>
              <w:b/>
              <w:bCs/>
              <w:spacing w:val="-13"/>
              <w:sz w:val="21"/>
              <w:szCs w:val="21"/>
            </w:rPr>
            <w:t>二</w:t>
          </w:r>
          <w:r>
            <w:rPr>
              <w:spacing w:val="-41"/>
              <w:sz w:val="21"/>
              <w:szCs w:val="21"/>
            </w:rPr>
            <w:t xml:space="preserve"> </w:t>
          </w:r>
          <w:r>
            <w:rPr>
              <w:b/>
              <w:bCs/>
              <w:spacing w:val="-13"/>
              <w:sz w:val="21"/>
              <w:szCs w:val="21"/>
            </w:rPr>
            <w:t>、我国的流行特征</w:t>
          </w:r>
          <w:r>
            <w:rPr>
              <w:spacing w:val="-66"/>
              <w:sz w:val="21"/>
              <w:szCs w:val="21"/>
            </w:rPr>
            <w:t xml:space="preserve"> </w:t>
          </w:r>
          <w:r>
            <w:rPr>
              <w:sz w:val="21"/>
              <w:szCs w:val="21"/>
            </w:rPr>
            <w:tab/>
          </w:r>
          <w:r>
            <w:rPr>
              <w:rFonts w:ascii="Times New Roman" w:hAnsi="Times New Roman" w:eastAsia="Times New Roman" w:cs="Times New Roman"/>
              <w:b/>
              <w:bCs/>
              <w:spacing w:val="2"/>
              <w:sz w:val="21"/>
              <w:szCs w:val="21"/>
            </w:rPr>
            <w:t>210</w:t>
          </w:r>
          <w:r>
            <w:rPr>
              <w:rFonts w:ascii="Times New Roman" w:hAnsi="Times New Roman" w:eastAsia="Times New Roman" w:cs="Times New Roman"/>
              <w:b/>
              <w:bCs/>
              <w:spacing w:val="2"/>
              <w:sz w:val="21"/>
              <w:szCs w:val="21"/>
            </w:rPr>
            <w:fldChar w:fldCharType="end"/>
          </w:r>
        </w:p>
        <w:p w14:paraId="57E93B2A">
          <w:pPr>
            <w:pStyle w:val="2"/>
            <w:tabs>
              <w:tab w:val="right" w:leader="dot" w:pos="9580"/>
            </w:tabs>
            <w:spacing w:before="141" w:line="221" w:lineRule="auto"/>
            <w:ind w:left="1960"/>
            <w:rPr>
              <w:rFonts w:ascii="Times New Roman" w:hAnsi="Times New Roman" w:eastAsia="Times New Roman" w:cs="Times New Roman"/>
              <w:sz w:val="21"/>
              <w:szCs w:val="21"/>
            </w:rPr>
          </w:pPr>
          <w:r>
            <w:fldChar w:fldCharType="begin"/>
          </w:r>
          <w:r>
            <w:instrText xml:space="preserve"> HYPERLINK \l "bookmark253" </w:instrText>
          </w:r>
          <w:r>
            <w:fldChar w:fldCharType="separate"/>
          </w:r>
          <w:r>
            <w:rPr>
              <w:spacing w:val="6"/>
              <w:sz w:val="21"/>
              <w:szCs w:val="21"/>
            </w:rPr>
            <w:t>第三节 伤害的流行病学研究</w:t>
          </w:r>
          <w:r>
            <w:rPr>
              <w:spacing w:val="-80"/>
              <w:sz w:val="21"/>
              <w:szCs w:val="21"/>
            </w:rPr>
            <w:t xml:space="preserve"> </w:t>
          </w:r>
          <w:r>
            <w:rPr>
              <w:sz w:val="21"/>
              <w:szCs w:val="21"/>
            </w:rPr>
            <w:tab/>
          </w:r>
          <w:r>
            <w:rPr>
              <w:rFonts w:ascii="Times New Roman" w:hAnsi="Times New Roman" w:eastAsia="Times New Roman" w:cs="Times New Roman"/>
              <w:spacing w:val="2"/>
              <w:sz w:val="21"/>
              <w:szCs w:val="21"/>
            </w:rPr>
            <w:t>212</w:t>
          </w:r>
          <w:r>
            <w:rPr>
              <w:rFonts w:ascii="Times New Roman" w:hAnsi="Times New Roman" w:eastAsia="Times New Roman" w:cs="Times New Roman"/>
              <w:spacing w:val="2"/>
              <w:sz w:val="21"/>
              <w:szCs w:val="21"/>
            </w:rPr>
            <w:fldChar w:fldCharType="end"/>
          </w:r>
        </w:p>
        <w:p w14:paraId="68C4E382">
          <w:pPr>
            <w:pStyle w:val="2"/>
            <w:tabs>
              <w:tab w:val="right" w:leader="dot" w:pos="9580"/>
            </w:tabs>
            <w:spacing w:before="121" w:line="223" w:lineRule="auto"/>
            <w:ind w:left="2379"/>
            <w:rPr>
              <w:rFonts w:ascii="Times New Roman" w:hAnsi="Times New Roman" w:eastAsia="Times New Roman" w:cs="Times New Roman"/>
              <w:sz w:val="21"/>
              <w:szCs w:val="21"/>
            </w:rPr>
          </w:pPr>
          <w:r>
            <w:fldChar w:fldCharType="begin"/>
          </w:r>
          <w:r>
            <w:instrText xml:space="preserve"> HYPERLINK \l "bookmark254" </w:instrText>
          </w:r>
          <w:r>
            <w:fldChar w:fldCharType="separate"/>
          </w:r>
          <w:r>
            <w:rPr>
              <w:spacing w:val="-10"/>
              <w:sz w:val="21"/>
              <w:szCs w:val="21"/>
            </w:rPr>
            <w:t>一</w:t>
          </w:r>
          <w:r>
            <w:rPr>
              <w:spacing w:val="-40"/>
              <w:sz w:val="21"/>
              <w:szCs w:val="21"/>
            </w:rPr>
            <w:t xml:space="preserve"> </w:t>
          </w:r>
          <w:r>
            <w:rPr>
              <w:spacing w:val="-10"/>
              <w:sz w:val="21"/>
              <w:szCs w:val="21"/>
            </w:rPr>
            <w:t>、测量指标</w:t>
          </w:r>
          <w:r>
            <w:rPr>
              <w:spacing w:val="-81"/>
              <w:sz w:val="21"/>
              <w:szCs w:val="21"/>
            </w:rPr>
            <w:t xml:space="preserve"> </w:t>
          </w:r>
          <w:r>
            <w:rPr>
              <w:sz w:val="21"/>
              <w:szCs w:val="21"/>
            </w:rPr>
            <w:tab/>
          </w:r>
          <w:r>
            <w:rPr>
              <w:rFonts w:ascii="Times New Roman" w:hAnsi="Times New Roman" w:eastAsia="Times New Roman" w:cs="Times New Roman"/>
              <w:sz w:val="21"/>
              <w:szCs w:val="21"/>
            </w:rPr>
            <w:t>212</w:t>
          </w:r>
          <w:r>
            <w:rPr>
              <w:rFonts w:ascii="Times New Roman" w:hAnsi="Times New Roman" w:eastAsia="Times New Roman" w:cs="Times New Roman"/>
              <w:sz w:val="21"/>
              <w:szCs w:val="21"/>
            </w:rPr>
            <w:fldChar w:fldCharType="end"/>
          </w:r>
        </w:p>
        <w:p w14:paraId="254C9FDA">
          <w:pPr>
            <w:pStyle w:val="2"/>
            <w:tabs>
              <w:tab w:val="right" w:leader="dot" w:pos="9570"/>
            </w:tabs>
            <w:spacing w:before="136" w:line="223" w:lineRule="auto"/>
            <w:ind w:left="2379"/>
            <w:rPr>
              <w:rFonts w:ascii="Times New Roman" w:hAnsi="Times New Roman" w:eastAsia="Times New Roman" w:cs="Times New Roman"/>
              <w:sz w:val="21"/>
              <w:szCs w:val="21"/>
            </w:rPr>
          </w:pPr>
          <w:r>
            <w:fldChar w:fldCharType="begin"/>
          </w:r>
          <w:r>
            <w:instrText xml:space="preserve"> HYPERLINK \l "bookmark255" </w:instrText>
          </w:r>
          <w:r>
            <w:fldChar w:fldCharType="separate"/>
          </w:r>
          <w:r>
            <w:rPr>
              <w:spacing w:val="-12"/>
              <w:sz w:val="21"/>
              <w:szCs w:val="21"/>
            </w:rPr>
            <w:t>二</w:t>
          </w:r>
          <w:r>
            <w:rPr>
              <w:spacing w:val="-28"/>
              <w:sz w:val="21"/>
              <w:szCs w:val="21"/>
            </w:rPr>
            <w:t xml:space="preserve"> </w:t>
          </w:r>
          <w:r>
            <w:rPr>
              <w:spacing w:val="-12"/>
              <w:sz w:val="21"/>
              <w:szCs w:val="21"/>
            </w:rPr>
            <w:t>、伤害监测</w:t>
          </w:r>
          <w:r>
            <w:rPr>
              <w:spacing w:val="-91"/>
              <w:sz w:val="21"/>
              <w:szCs w:val="21"/>
            </w:rPr>
            <w:t xml:space="preserve"> </w:t>
          </w:r>
          <w:r>
            <w:rPr>
              <w:sz w:val="21"/>
              <w:szCs w:val="21"/>
            </w:rPr>
            <w:tab/>
          </w:r>
          <w:r>
            <w:rPr>
              <w:rFonts w:ascii="Times New Roman" w:hAnsi="Times New Roman" w:eastAsia="Times New Roman" w:cs="Times New Roman"/>
              <w:sz w:val="21"/>
              <w:szCs w:val="21"/>
            </w:rPr>
            <w:t>213</w:t>
          </w:r>
          <w:r>
            <w:rPr>
              <w:rFonts w:ascii="Times New Roman" w:hAnsi="Times New Roman" w:eastAsia="Times New Roman" w:cs="Times New Roman"/>
              <w:sz w:val="21"/>
              <w:szCs w:val="21"/>
            </w:rPr>
            <w:fldChar w:fldCharType="end"/>
          </w:r>
        </w:p>
        <w:p w14:paraId="5A54784B">
          <w:pPr>
            <w:pStyle w:val="2"/>
            <w:tabs>
              <w:tab w:val="right" w:leader="dot" w:pos="9579"/>
            </w:tabs>
            <w:spacing w:before="120" w:line="221" w:lineRule="auto"/>
            <w:ind w:left="1963"/>
            <w:rPr>
              <w:rFonts w:ascii="Times New Roman" w:hAnsi="Times New Roman" w:eastAsia="Times New Roman" w:cs="Times New Roman"/>
              <w:sz w:val="21"/>
              <w:szCs w:val="21"/>
            </w:rPr>
          </w:pPr>
          <w:r>
            <w:fldChar w:fldCharType="begin"/>
          </w:r>
          <w:r>
            <w:instrText xml:space="preserve"> HYPERLINK \l "bookmark256" </w:instrText>
          </w:r>
          <w:r>
            <w:fldChar w:fldCharType="separate"/>
          </w:r>
          <w:r>
            <w:rPr>
              <w:b/>
              <w:bCs/>
              <w:spacing w:val="3"/>
              <w:sz w:val="21"/>
              <w:szCs w:val="21"/>
            </w:rPr>
            <w:t>第四节</w:t>
          </w:r>
          <w:r>
            <w:rPr>
              <w:spacing w:val="35"/>
              <w:sz w:val="21"/>
              <w:szCs w:val="21"/>
            </w:rPr>
            <w:t xml:space="preserve"> </w:t>
          </w:r>
          <w:r>
            <w:rPr>
              <w:b/>
              <w:bCs/>
              <w:spacing w:val="3"/>
              <w:sz w:val="21"/>
              <w:szCs w:val="21"/>
            </w:rPr>
            <w:t>预防策略与措施</w:t>
          </w:r>
          <w:r>
            <w:rPr>
              <w:spacing w:val="-82"/>
              <w:sz w:val="21"/>
              <w:szCs w:val="21"/>
            </w:rPr>
            <w:t xml:space="preserve"> </w:t>
          </w:r>
          <w:r>
            <w:rPr>
              <w:sz w:val="21"/>
              <w:szCs w:val="21"/>
            </w:rPr>
            <w:tab/>
          </w:r>
          <w:r>
            <w:rPr>
              <w:rFonts w:ascii="Times New Roman" w:hAnsi="Times New Roman" w:eastAsia="Times New Roman" w:cs="Times New Roman"/>
              <w:b/>
              <w:bCs/>
              <w:spacing w:val="2"/>
              <w:sz w:val="21"/>
              <w:szCs w:val="21"/>
            </w:rPr>
            <w:t>214</w:t>
          </w:r>
          <w:r>
            <w:rPr>
              <w:rFonts w:ascii="Times New Roman" w:hAnsi="Times New Roman" w:eastAsia="Times New Roman" w:cs="Times New Roman"/>
              <w:b/>
              <w:bCs/>
              <w:spacing w:val="2"/>
              <w:sz w:val="21"/>
              <w:szCs w:val="21"/>
            </w:rPr>
            <w:fldChar w:fldCharType="end"/>
          </w:r>
        </w:p>
        <w:p w14:paraId="1C06AF50">
          <w:pPr>
            <w:pStyle w:val="2"/>
            <w:tabs>
              <w:tab w:val="right" w:leader="dot" w:pos="9570"/>
            </w:tabs>
            <w:spacing w:before="132" w:line="222" w:lineRule="auto"/>
            <w:ind w:left="2379"/>
            <w:rPr>
              <w:rFonts w:ascii="Times New Roman" w:hAnsi="Times New Roman" w:eastAsia="Times New Roman" w:cs="Times New Roman"/>
              <w:sz w:val="21"/>
              <w:szCs w:val="21"/>
            </w:rPr>
          </w:pPr>
          <w:r>
            <w:fldChar w:fldCharType="begin"/>
          </w:r>
          <w:r>
            <w:instrText xml:space="preserve"> HYPERLINK \l "bookmark257" </w:instrText>
          </w:r>
          <w:r>
            <w:fldChar w:fldCharType="separate"/>
          </w:r>
          <w:r>
            <w:rPr>
              <w:spacing w:val="-9"/>
              <w:sz w:val="21"/>
              <w:szCs w:val="21"/>
            </w:rPr>
            <w:t>一</w:t>
          </w:r>
          <w:r>
            <w:rPr>
              <w:spacing w:val="-50"/>
              <w:sz w:val="21"/>
              <w:szCs w:val="21"/>
            </w:rPr>
            <w:t xml:space="preserve"> </w:t>
          </w:r>
          <w:r>
            <w:rPr>
              <w:spacing w:val="-9"/>
              <w:sz w:val="21"/>
              <w:szCs w:val="21"/>
            </w:rPr>
            <w:t>、策略</w:t>
          </w:r>
          <w:r>
            <w:rPr>
              <w:spacing w:val="-85"/>
              <w:sz w:val="21"/>
              <w:szCs w:val="21"/>
            </w:rPr>
            <w:t xml:space="preserve"> </w:t>
          </w:r>
          <w:r>
            <w:rPr>
              <w:sz w:val="21"/>
              <w:szCs w:val="21"/>
            </w:rPr>
            <w:tab/>
          </w:r>
          <w:r>
            <w:rPr>
              <w:rFonts w:ascii="Times New Roman" w:hAnsi="Times New Roman" w:eastAsia="Times New Roman" w:cs="Times New Roman"/>
              <w:sz w:val="21"/>
              <w:szCs w:val="21"/>
            </w:rPr>
            <w:t>214</w:t>
          </w:r>
          <w:r>
            <w:rPr>
              <w:rFonts w:ascii="Times New Roman" w:hAnsi="Times New Roman" w:eastAsia="Times New Roman" w:cs="Times New Roman"/>
              <w:sz w:val="21"/>
              <w:szCs w:val="21"/>
            </w:rPr>
            <w:fldChar w:fldCharType="end"/>
          </w:r>
        </w:p>
        <w:p w14:paraId="22FDB91D">
          <w:pPr>
            <w:pStyle w:val="2"/>
            <w:tabs>
              <w:tab w:val="right" w:leader="dot" w:pos="9570"/>
            </w:tabs>
            <w:spacing w:before="140" w:line="223" w:lineRule="auto"/>
            <w:ind w:left="2379"/>
            <w:rPr>
              <w:rFonts w:ascii="Times New Roman" w:hAnsi="Times New Roman" w:eastAsia="Times New Roman" w:cs="Times New Roman"/>
              <w:sz w:val="21"/>
              <w:szCs w:val="21"/>
            </w:rPr>
          </w:pPr>
          <w:r>
            <w:fldChar w:fldCharType="begin"/>
          </w:r>
          <w:r>
            <w:instrText xml:space="preserve"> HYPERLINK \l "bookmark258" </w:instrText>
          </w:r>
          <w:r>
            <w:fldChar w:fldCharType="separate"/>
          </w:r>
          <w:r>
            <w:rPr>
              <w:spacing w:val="-23"/>
              <w:sz w:val="21"/>
              <w:szCs w:val="21"/>
            </w:rPr>
            <w:t>二</w:t>
          </w:r>
          <w:r>
            <w:rPr>
              <w:spacing w:val="-47"/>
              <w:sz w:val="21"/>
              <w:szCs w:val="21"/>
            </w:rPr>
            <w:t xml:space="preserve"> </w:t>
          </w:r>
          <w:r>
            <w:rPr>
              <w:spacing w:val="-23"/>
              <w:sz w:val="21"/>
              <w:szCs w:val="21"/>
            </w:rPr>
            <w:t>、措</w:t>
          </w:r>
          <w:r>
            <w:rPr>
              <w:spacing w:val="-43"/>
              <w:sz w:val="21"/>
              <w:szCs w:val="21"/>
            </w:rPr>
            <w:t xml:space="preserve"> </w:t>
          </w:r>
          <w:r>
            <w:rPr>
              <w:spacing w:val="-23"/>
              <w:sz w:val="21"/>
              <w:szCs w:val="21"/>
            </w:rPr>
            <w:t>施</w:t>
          </w:r>
          <w:r>
            <w:rPr>
              <w:spacing w:val="-84"/>
              <w:sz w:val="21"/>
              <w:szCs w:val="21"/>
            </w:rPr>
            <w:t xml:space="preserve"> </w:t>
          </w:r>
          <w:r>
            <w:rPr>
              <w:sz w:val="21"/>
              <w:szCs w:val="21"/>
            </w:rPr>
            <w:tab/>
          </w:r>
          <w:r>
            <w:rPr>
              <w:rFonts w:ascii="Times New Roman" w:hAnsi="Times New Roman" w:eastAsia="Times New Roman" w:cs="Times New Roman"/>
              <w:sz w:val="21"/>
              <w:szCs w:val="21"/>
            </w:rPr>
            <w:t>216</w:t>
          </w:r>
          <w:r>
            <w:rPr>
              <w:rFonts w:ascii="Times New Roman" w:hAnsi="Times New Roman" w:eastAsia="Times New Roman" w:cs="Times New Roman"/>
              <w:sz w:val="21"/>
              <w:szCs w:val="21"/>
            </w:rPr>
            <w:fldChar w:fldCharType="end"/>
          </w:r>
        </w:p>
        <w:p w14:paraId="3EEFCB46">
          <w:pPr>
            <w:spacing w:line="380" w:lineRule="auto"/>
            <w:rPr>
              <w:rFonts w:ascii="Arial"/>
              <w:sz w:val="21"/>
            </w:rPr>
          </w:pPr>
        </w:p>
        <w:p w14:paraId="286D8311">
          <w:pPr>
            <w:pStyle w:val="2"/>
            <w:tabs>
              <w:tab w:val="right" w:leader="dot" w:pos="9509"/>
            </w:tabs>
            <w:spacing w:before="68" w:line="221" w:lineRule="auto"/>
            <w:ind w:left="763"/>
            <w:rPr>
              <w:rFonts w:ascii="Times New Roman" w:hAnsi="Times New Roman" w:eastAsia="Times New Roman" w:cs="Times New Roman"/>
              <w:sz w:val="21"/>
              <w:szCs w:val="21"/>
            </w:rPr>
          </w:pPr>
          <w:r>
            <w:fldChar w:fldCharType="begin"/>
          </w:r>
          <w:r>
            <w:instrText xml:space="preserve"> HYPERLINK \l "bookmark259" </w:instrText>
          </w:r>
          <w:r>
            <w:fldChar w:fldCharType="separate"/>
          </w:r>
          <w:r>
            <w:rPr>
              <w:b/>
              <w:bCs/>
              <w:spacing w:val="-12"/>
              <w:sz w:val="21"/>
              <w:szCs w:val="21"/>
            </w:rPr>
            <w:t>第</w:t>
          </w:r>
          <w:r>
            <w:rPr>
              <w:spacing w:val="-41"/>
              <w:sz w:val="21"/>
              <w:szCs w:val="21"/>
            </w:rPr>
            <w:t xml:space="preserve"> </w:t>
          </w:r>
          <w:r>
            <w:rPr>
              <w:b/>
              <w:bCs/>
              <w:spacing w:val="-12"/>
              <w:sz w:val="21"/>
              <w:szCs w:val="21"/>
            </w:rPr>
            <w:t>十</w:t>
          </w:r>
          <w:r>
            <w:rPr>
              <w:spacing w:val="-37"/>
              <w:sz w:val="21"/>
              <w:szCs w:val="21"/>
            </w:rPr>
            <w:t xml:space="preserve"> </w:t>
          </w:r>
          <w:r>
            <w:rPr>
              <w:b/>
              <w:bCs/>
              <w:spacing w:val="-12"/>
              <w:sz w:val="21"/>
              <w:szCs w:val="21"/>
            </w:rPr>
            <w:t>六</w:t>
          </w:r>
          <w:r>
            <w:rPr>
              <w:spacing w:val="-43"/>
              <w:sz w:val="21"/>
              <w:szCs w:val="21"/>
            </w:rPr>
            <w:t xml:space="preserve"> </w:t>
          </w:r>
          <w:r>
            <w:rPr>
              <w:b/>
              <w:bCs/>
              <w:spacing w:val="-12"/>
              <w:sz w:val="21"/>
              <w:szCs w:val="21"/>
            </w:rPr>
            <w:t>章</w:t>
          </w:r>
          <w:r>
            <w:rPr>
              <w:spacing w:val="55"/>
              <w:sz w:val="21"/>
              <w:szCs w:val="21"/>
            </w:rPr>
            <w:t xml:space="preserve"> </w:t>
          </w:r>
          <w:r>
            <w:rPr>
              <w:b/>
              <w:bCs/>
              <w:spacing w:val="-12"/>
              <w:sz w:val="21"/>
              <w:szCs w:val="21"/>
            </w:rPr>
            <w:t>突</w:t>
          </w:r>
          <w:r>
            <w:rPr>
              <w:spacing w:val="-44"/>
              <w:sz w:val="21"/>
              <w:szCs w:val="21"/>
            </w:rPr>
            <w:t xml:space="preserve"> </w:t>
          </w:r>
          <w:r>
            <w:rPr>
              <w:b/>
              <w:bCs/>
              <w:spacing w:val="-12"/>
              <w:sz w:val="21"/>
              <w:szCs w:val="21"/>
            </w:rPr>
            <w:t>发</w:t>
          </w:r>
          <w:r>
            <w:rPr>
              <w:spacing w:val="-43"/>
              <w:sz w:val="21"/>
              <w:szCs w:val="21"/>
            </w:rPr>
            <w:t xml:space="preserve"> </w:t>
          </w:r>
          <w:r>
            <w:rPr>
              <w:b/>
              <w:bCs/>
              <w:spacing w:val="-12"/>
              <w:sz w:val="21"/>
              <w:szCs w:val="21"/>
            </w:rPr>
            <w:t>公</w:t>
          </w:r>
          <w:r>
            <w:rPr>
              <w:spacing w:val="-43"/>
              <w:sz w:val="21"/>
              <w:szCs w:val="21"/>
            </w:rPr>
            <w:t xml:space="preserve"> </w:t>
          </w:r>
          <w:r>
            <w:rPr>
              <w:b/>
              <w:bCs/>
              <w:spacing w:val="-12"/>
              <w:sz w:val="21"/>
              <w:szCs w:val="21"/>
            </w:rPr>
            <w:t>共</w:t>
          </w:r>
          <w:r>
            <w:rPr>
              <w:spacing w:val="-46"/>
              <w:sz w:val="21"/>
              <w:szCs w:val="21"/>
            </w:rPr>
            <w:t xml:space="preserve"> </w:t>
          </w:r>
          <w:r>
            <w:rPr>
              <w:b/>
              <w:bCs/>
              <w:spacing w:val="-12"/>
              <w:sz w:val="21"/>
              <w:szCs w:val="21"/>
            </w:rPr>
            <w:t>卫</w:t>
          </w:r>
          <w:r>
            <w:rPr>
              <w:spacing w:val="-47"/>
              <w:sz w:val="21"/>
              <w:szCs w:val="21"/>
            </w:rPr>
            <w:t xml:space="preserve"> </w:t>
          </w:r>
          <w:r>
            <w:rPr>
              <w:b/>
              <w:bCs/>
              <w:spacing w:val="-12"/>
              <w:sz w:val="21"/>
              <w:szCs w:val="21"/>
            </w:rPr>
            <w:t>生</w:t>
          </w:r>
          <w:r>
            <w:rPr>
              <w:spacing w:val="-39"/>
              <w:sz w:val="21"/>
              <w:szCs w:val="21"/>
            </w:rPr>
            <w:t xml:space="preserve"> </w:t>
          </w:r>
          <w:r>
            <w:rPr>
              <w:b/>
              <w:bCs/>
              <w:spacing w:val="-12"/>
              <w:sz w:val="21"/>
              <w:szCs w:val="21"/>
            </w:rPr>
            <w:t>事</w:t>
          </w:r>
          <w:r>
            <w:rPr>
              <w:spacing w:val="-47"/>
              <w:sz w:val="21"/>
              <w:szCs w:val="21"/>
            </w:rPr>
            <w:t xml:space="preserve"> </w:t>
          </w:r>
          <w:r>
            <w:rPr>
              <w:b/>
              <w:bCs/>
              <w:spacing w:val="-12"/>
              <w:sz w:val="21"/>
              <w:szCs w:val="21"/>
            </w:rPr>
            <w:t>件</w:t>
          </w:r>
          <w:r>
            <w:rPr>
              <w:spacing w:val="-43"/>
              <w:sz w:val="21"/>
              <w:szCs w:val="21"/>
            </w:rPr>
            <w:t xml:space="preserve"> </w:t>
          </w:r>
          <w:r>
            <w:rPr>
              <w:b/>
              <w:bCs/>
              <w:spacing w:val="-12"/>
              <w:sz w:val="21"/>
              <w:szCs w:val="21"/>
            </w:rPr>
            <w:t>流</w:t>
          </w:r>
          <w:r>
            <w:rPr>
              <w:spacing w:val="-46"/>
              <w:sz w:val="21"/>
              <w:szCs w:val="21"/>
            </w:rPr>
            <w:t xml:space="preserve"> </w:t>
          </w:r>
          <w:r>
            <w:rPr>
              <w:b/>
              <w:bCs/>
              <w:spacing w:val="-12"/>
              <w:sz w:val="21"/>
              <w:szCs w:val="21"/>
            </w:rPr>
            <w:t>行</w:t>
          </w:r>
          <w:r>
            <w:rPr>
              <w:spacing w:val="-47"/>
              <w:sz w:val="21"/>
              <w:szCs w:val="21"/>
            </w:rPr>
            <w:t xml:space="preserve"> </w:t>
          </w:r>
          <w:r>
            <w:rPr>
              <w:b/>
              <w:bCs/>
              <w:spacing w:val="-12"/>
              <w:sz w:val="21"/>
              <w:szCs w:val="21"/>
            </w:rPr>
            <w:t>病</w:t>
          </w:r>
          <w:r>
            <w:rPr>
              <w:spacing w:val="-39"/>
              <w:sz w:val="21"/>
              <w:szCs w:val="21"/>
            </w:rPr>
            <w:t xml:space="preserve"> </w:t>
          </w:r>
          <w:r>
            <w:rPr>
              <w:b/>
              <w:bCs/>
              <w:spacing w:val="-12"/>
              <w:sz w:val="21"/>
              <w:szCs w:val="21"/>
            </w:rPr>
            <w:t>学</w:t>
          </w:r>
          <w:r>
            <w:rPr>
              <w:spacing w:val="-88"/>
              <w:sz w:val="21"/>
              <w:szCs w:val="21"/>
            </w:rPr>
            <w:t xml:space="preserve"> </w:t>
          </w:r>
          <w:r>
            <w:rPr>
              <w:sz w:val="21"/>
              <w:szCs w:val="21"/>
            </w:rPr>
            <w:tab/>
          </w:r>
          <w:r>
            <w:rPr>
              <w:rFonts w:ascii="Times New Roman" w:hAnsi="Times New Roman" w:eastAsia="Times New Roman" w:cs="Times New Roman"/>
              <w:b/>
              <w:bCs/>
              <w:spacing w:val="2"/>
              <w:sz w:val="21"/>
              <w:szCs w:val="21"/>
            </w:rPr>
            <w:t>219</w:t>
          </w:r>
          <w:r>
            <w:rPr>
              <w:rFonts w:ascii="Times New Roman" w:hAnsi="Times New Roman" w:eastAsia="Times New Roman" w:cs="Times New Roman"/>
              <w:b/>
              <w:bCs/>
              <w:spacing w:val="2"/>
              <w:sz w:val="21"/>
              <w:szCs w:val="21"/>
            </w:rPr>
            <w:fldChar w:fldCharType="end"/>
          </w:r>
        </w:p>
        <w:p w14:paraId="0A83453F">
          <w:pPr>
            <w:pStyle w:val="2"/>
            <w:tabs>
              <w:tab w:val="right" w:leader="dot" w:pos="9560"/>
            </w:tabs>
            <w:spacing w:before="172" w:line="221" w:lineRule="auto"/>
            <w:ind w:left="1960"/>
            <w:rPr>
              <w:rFonts w:ascii="Times New Roman" w:hAnsi="Times New Roman" w:eastAsia="Times New Roman" w:cs="Times New Roman"/>
              <w:sz w:val="21"/>
              <w:szCs w:val="21"/>
            </w:rPr>
          </w:pPr>
          <w:r>
            <w:fldChar w:fldCharType="begin"/>
          </w:r>
          <w:r>
            <w:instrText xml:space="preserve"> HYPERLINK \l "bookmark260" </w:instrText>
          </w:r>
          <w:r>
            <w:fldChar w:fldCharType="separate"/>
          </w:r>
          <w:r>
            <w:rPr>
              <w:spacing w:val="6"/>
              <w:sz w:val="21"/>
              <w:szCs w:val="21"/>
            </w:rPr>
            <w:t>第一节 突发公共卫生事件概述</w:t>
          </w:r>
          <w:r>
            <w:rPr>
              <w:spacing w:val="-75"/>
              <w:sz w:val="21"/>
              <w:szCs w:val="21"/>
            </w:rPr>
            <w:t xml:space="preserve"> </w:t>
          </w:r>
          <w:r>
            <w:rPr>
              <w:sz w:val="21"/>
              <w:szCs w:val="21"/>
            </w:rPr>
            <w:tab/>
          </w:r>
          <w:r>
            <w:rPr>
              <w:rFonts w:ascii="Times New Roman" w:hAnsi="Times New Roman" w:eastAsia="Times New Roman" w:cs="Times New Roman"/>
              <w:sz w:val="21"/>
              <w:szCs w:val="21"/>
            </w:rPr>
            <w:t>219</w:t>
          </w:r>
          <w:r>
            <w:rPr>
              <w:rFonts w:ascii="Times New Roman" w:hAnsi="Times New Roman" w:eastAsia="Times New Roman" w:cs="Times New Roman"/>
              <w:sz w:val="21"/>
              <w:szCs w:val="21"/>
            </w:rPr>
            <w:fldChar w:fldCharType="end"/>
          </w:r>
        </w:p>
        <w:p w14:paraId="6C1C67D4">
          <w:pPr>
            <w:pStyle w:val="2"/>
            <w:tabs>
              <w:tab w:val="right" w:leader="dot" w:pos="9570"/>
            </w:tabs>
            <w:spacing w:before="139" w:line="221" w:lineRule="auto"/>
            <w:ind w:left="2379"/>
            <w:rPr>
              <w:rFonts w:ascii="Times New Roman" w:hAnsi="Times New Roman" w:eastAsia="Times New Roman" w:cs="Times New Roman"/>
              <w:sz w:val="21"/>
              <w:szCs w:val="21"/>
            </w:rPr>
          </w:pPr>
          <w:r>
            <w:fldChar w:fldCharType="begin"/>
          </w:r>
          <w:r>
            <w:instrText xml:space="preserve"> HYPERLINK \l "bookmark261" </w:instrText>
          </w:r>
          <w:r>
            <w:fldChar w:fldCharType="separate"/>
          </w:r>
          <w:r>
            <w:rPr>
              <w:spacing w:val="-7"/>
              <w:sz w:val="21"/>
              <w:szCs w:val="21"/>
            </w:rPr>
            <w:t>一</w:t>
          </w:r>
          <w:r>
            <w:rPr>
              <w:spacing w:val="-48"/>
              <w:sz w:val="21"/>
              <w:szCs w:val="21"/>
            </w:rPr>
            <w:t xml:space="preserve"> </w:t>
          </w:r>
          <w:r>
            <w:rPr>
              <w:spacing w:val="-7"/>
              <w:sz w:val="21"/>
              <w:szCs w:val="21"/>
            </w:rPr>
            <w:t>、定义与特征</w:t>
          </w:r>
          <w:r>
            <w:rPr>
              <w:spacing w:val="-85"/>
              <w:sz w:val="21"/>
              <w:szCs w:val="21"/>
            </w:rPr>
            <w:t xml:space="preserve"> </w:t>
          </w:r>
          <w:r>
            <w:rPr>
              <w:sz w:val="21"/>
              <w:szCs w:val="21"/>
            </w:rPr>
            <w:tab/>
          </w:r>
          <w:r>
            <w:rPr>
              <w:rFonts w:ascii="Times New Roman" w:hAnsi="Times New Roman" w:eastAsia="Times New Roman" w:cs="Times New Roman"/>
              <w:sz w:val="21"/>
              <w:szCs w:val="21"/>
            </w:rPr>
            <w:t>219</w:t>
          </w:r>
          <w:r>
            <w:rPr>
              <w:rFonts w:ascii="Times New Roman" w:hAnsi="Times New Roman" w:eastAsia="Times New Roman" w:cs="Times New Roman"/>
              <w:sz w:val="21"/>
              <w:szCs w:val="21"/>
            </w:rPr>
            <w:fldChar w:fldCharType="end"/>
          </w:r>
        </w:p>
        <w:p w14:paraId="0CA9B728">
          <w:pPr>
            <w:pStyle w:val="2"/>
            <w:tabs>
              <w:tab w:val="right" w:leader="dot" w:pos="9600"/>
            </w:tabs>
            <w:spacing w:before="128" w:line="221" w:lineRule="auto"/>
            <w:ind w:left="2379"/>
            <w:rPr>
              <w:rFonts w:ascii="Times New Roman" w:hAnsi="Times New Roman" w:eastAsia="Times New Roman" w:cs="Times New Roman"/>
              <w:sz w:val="21"/>
              <w:szCs w:val="21"/>
            </w:rPr>
          </w:pPr>
          <w:r>
            <w:fldChar w:fldCharType="begin"/>
          </w:r>
          <w:r>
            <w:instrText xml:space="preserve"> HYPERLINK \l "bookmark262" </w:instrText>
          </w:r>
          <w:r>
            <w:fldChar w:fldCharType="separate"/>
          </w:r>
          <w:r>
            <w:rPr>
              <w:spacing w:val="-27"/>
              <w:sz w:val="21"/>
              <w:szCs w:val="21"/>
            </w:rPr>
            <w:t>二</w:t>
          </w:r>
          <w:r>
            <w:rPr>
              <w:spacing w:val="-47"/>
              <w:sz w:val="21"/>
              <w:szCs w:val="21"/>
            </w:rPr>
            <w:t xml:space="preserve"> </w:t>
          </w:r>
          <w:r>
            <w:rPr>
              <w:spacing w:val="-27"/>
              <w:sz w:val="21"/>
              <w:szCs w:val="21"/>
            </w:rPr>
            <w:t>、分</w:t>
          </w:r>
          <w:r>
            <w:rPr>
              <w:spacing w:val="-35"/>
              <w:sz w:val="21"/>
              <w:szCs w:val="21"/>
            </w:rPr>
            <w:t xml:space="preserve"> </w:t>
          </w:r>
          <w:r>
            <w:rPr>
              <w:spacing w:val="-27"/>
              <w:sz w:val="21"/>
              <w:szCs w:val="21"/>
            </w:rPr>
            <w:t>类</w:t>
          </w:r>
          <w:r>
            <w:rPr>
              <w:spacing w:val="-86"/>
              <w:sz w:val="21"/>
              <w:szCs w:val="21"/>
            </w:rPr>
            <w:t xml:space="preserve"> </w:t>
          </w:r>
          <w:r>
            <w:rPr>
              <w:sz w:val="21"/>
              <w:szCs w:val="21"/>
            </w:rPr>
            <w:tab/>
          </w:r>
          <w:r>
            <w:rPr>
              <w:rFonts w:ascii="Times New Roman" w:hAnsi="Times New Roman" w:eastAsia="Times New Roman" w:cs="Times New Roman"/>
              <w:sz w:val="21"/>
              <w:szCs w:val="21"/>
            </w:rPr>
            <w:t>221</w:t>
          </w:r>
          <w:r>
            <w:rPr>
              <w:rFonts w:ascii="Times New Roman" w:hAnsi="Times New Roman" w:eastAsia="Times New Roman" w:cs="Times New Roman"/>
              <w:sz w:val="21"/>
              <w:szCs w:val="21"/>
            </w:rPr>
            <w:fldChar w:fldCharType="end"/>
          </w:r>
        </w:p>
        <w:p w14:paraId="499957C4">
          <w:pPr>
            <w:pStyle w:val="2"/>
            <w:tabs>
              <w:tab w:val="right" w:leader="dot" w:pos="9580"/>
            </w:tabs>
            <w:spacing w:before="141" w:line="222" w:lineRule="auto"/>
            <w:ind w:left="2379"/>
            <w:rPr>
              <w:rFonts w:ascii="Times New Roman" w:hAnsi="Times New Roman" w:eastAsia="Times New Roman" w:cs="Times New Roman"/>
              <w:sz w:val="21"/>
              <w:szCs w:val="21"/>
            </w:rPr>
          </w:pPr>
          <w:r>
            <w:fldChar w:fldCharType="begin"/>
          </w:r>
          <w:r>
            <w:instrText xml:space="preserve"> HYPERLINK \l "bookmark263" </w:instrText>
          </w:r>
          <w:r>
            <w:fldChar w:fldCharType="separate"/>
          </w:r>
          <w:r>
            <w:rPr>
              <w:spacing w:val="-27"/>
              <w:sz w:val="21"/>
              <w:szCs w:val="21"/>
            </w:rPr>
            <w:t>三</w:t>
          </w:r>
          <w:r>
            <w:rPr>
              <w:spacing w:val="-39"/>
              <w:sz w:val="21"/>
              <w:szCs w:val="21"/>
            </w:rPr>
            <w:t xml:space="preserve"> </w:t>
          </w:r>
          <w:r>
            <w:rPr>
              <w:spacing w:val="-27"/>
              <w:sz w:val="21"/>
              <w:szCs w:val="21"/>
            </w:rPr>
            <w:t>、分</w:t>
          </w:r>
          <w:r>
            <w:rPr>
              <w:spacing w:val="-40"/>
              <w:sz w:val="21"/>
              <w:szCs w:val="21"/>
            </w:rPr>
            <w:t xml:space="preserve"> </w:t>
          </w:r>
          <w:r>
            <w:rPr>
              <w:spacing w:val="-27"/>
              <w:sz w:val="21"/>
              <w:szCs w:val="21"/>
            </w:rPr>
            <w:t>期</w:t>
          </w:r>
          <w:r>
            <w:rPr>
              <w:spacing w:val="-89"/>
              <w:sz w:val="21"/>
              <w:szCs w:val="21"/>
            </w:rPr>
            <w:t xml:space="preserve"> </w:t>
          </w:r>
          <w:r>
            <w:rPr>
              <w:sz w:val="21"/>
              <w:szCs w:val="21"/>
            </w:rPr>
            <w:tab/>
          </w:r>
          <w:r>
            <w:rPr>
              <w:rFonts w:ascii="Times New Roman" w:hAnsi="Times New Roman" w:eastAsia="Times New Roman" w:cs="Times New Roman"/>
              <w:sz w:val="21"/>
              <w:szCs w:val="21"/>
            </w:rPr>
            <w:t>223</w:t>
          </w:r>
          <w:r>
            <w:rPr>
              <w:rFonts w:ascii="Times New Roman" w:hAnsi="Times New Roman" w:eastAsia="Times New Roman" w:cs="Times New Roman"/>
              <w:sz w:val="21"/>
              <w:szCs w:val="21"/>
            </w:rPr>
            <w:fldChar w:fldCharType="end"/>
          </w:r>
        </w:p>
        <w:p w14:paraId="06867E73">
          <w:pPr>
            <w:pStyle w:val="2"/>
            <w:tabs>
              <w:tab w:val="right" w:leader="dot" w:pos="9600"/>
            </w:tabs>
            <w:spacing w:before="125" w:line="221" w:lineRule="auto"/>
            <w:ind w:left="2379"/>
            <w:rPr>
              <w:rFonts w:ascii="Times New Roman" w:hAnsi="Times New Roman" w:eastAsia="Times New Roman" w:cs="Times New Roman"/>
              <w:sz w:val="21"/>
              <w:szCs w:val="21"/>
            </w:rPr>
          </w:pPr>
          <w:r>
            <w:fldChar w:fldCharType="begin"/>
          </w:r>
          <w:r>
            <w:instrText xml:space="preserve"> HYPERLINK \l "bookmark264" </w:instrText>
          </w:r>
          <w:r>
            <w:fldChar w:fldCharType="separate"/>
          </w:r>
          <w:r>
            <w:rPr>
              <w:spacing w:val="-30"/>
              <w:sz w:val="21"/>
              <w:szCs w:val="21"/>
            </w:rPr>
            <w:t>四</w:t>
          </w:r>
          <w:r>
            <w:rPr>
              <w:spacing w:val="-40"/>
              <w:sz w:val="21"/>
              <w:szCs w:val="21"/>
            </w:rPr>
            <w:t xml:space="preserve"> </w:t>
          </w:r>
          <w:r>
            <w:rPr>
              <w:spacing w:val="-30"/>
              <w:sz w:val="21"/>
              <w:szCs w:val="21"/>
            </w:rPr>
            <w:t>、分</w:t>
          </w:r>
          <w:r>
            <w:rPr>
              <w:spacing w:val="-33"/>
              <w:sz w:val="21"/>
              <w:szCs w:val="21"/>
            </w:rPr>
            <w:t xml:space="preserve"> </w:t>
          </w:r>
          <w:r>
            <w:rPr>
              <w:spacing w:val="-30"/>
              <w:sz w:val="21"/>
              <w:szCs w:val="21"/>
            </w:rPr>
            <w:t>级</w:t>
          </w:r>
          <w:r>
            <w:rPr>
              <w:spacing w:val="-83"/>
              <w:sz w:val="21"/>
              <w:szCs w:val="21"/>
            </w:rPr>
            <w:t xml:space="preserve"> </w:t>
          </w:r>
          <w:r>
            <w:rPr>
              <w:sz w:val="21"/>
              <w:szCs w:val="21"/>
            </w:rPr>
            <w:tab/>
          </w:r>
          <w:r>
            <w:rPr>
              <w:rFonts w:ascii="Times New Roman" w:hAnsi="Times New Roman" w:eastAsia="Times New Roman" w:cs="Times New Roman"/>
              <w:sz w:val="21"/>
              <w:szCs w:val="21"/>
            </w:rPr>
            <w:t>223</w:t>
          </w:r>
          <w:r>
            <w:rPr>
              <w:rFonts w:ascii="Times New Roman" w:hAnsi="Times New Roman" w:eastAsia="Times New Roman" w:cs="Times New Roman"/>
              <w:sz w:val="21"/>
              <w:szCs w:val="21"/>
            </w:rPr>
            <w:fldChar w:fldCharType="end"/>
          </w:r>
        </w:p>
        <w:p w14:paraId="5A08951E">
          <w:pPr>
            <w:pStyle w:val="2"/>
            <w:tabs>
              <w:tab w:val="right" w:leader="dot" w:pos="9590"/>
            </w:tabs>
            <w:spacing w:before="139" w:line="221" w:lineRule="auto"/>
            <w:ind w:left="1960"/>
            <w:rPr>
              <w:rFonts w:ascii="Times New Roman" w:hAnsi="Times New Roman" w:eastAsia="Times New Roman" w:cs="Times New Roman"/>
              <w:sz w:val="21"/>
              <w:szCs w:val="21"/>
            </w:rPr>
          </w:pPr>
          <w:r>
            <w:fldChar w:fldCharType="begin"/>
          </w:r>
          <w:r>
            <w:instrText xml:space="preserve"> HYPERLINK \l "bookmark265" </w:instrText>
          </w:r>
          <w:r>
            <w:fldChar w:fldCharType="separate"/>
          </w:r>
          <w:r>
            <w:rPr>
              <w:spacing w:val="4"/>
              <w:sz w:val="21"/>
              <w:szCs w:val="21"/>
            </w:rPr>
            <w:t>第二节 突发公共卫生事件的流行病学调查</w:t>
          </w:r>
          <w:r>
            <w:rPr>
              <w:spacing w:val="-68"/>
              <w:sz w:val="21"/>
              <w:szCs w:val="21"/>
            </w:rPr>
            <w:t xml:space="preserve"> </w:t>
          </w:r>
          <w:r>
            <w:rPr>
              <w:sz w:val="21"/>
              <w:szCs w:val="21"/>
            </w:rPr>
            <w:tab/>
          </w:r>
          <w:r>
            <w:rPr>
              <w:rFonts w:ascii="Times New Roman" w:hAnsi="Times New Roman" w:eastAsia="Times New Roman" w:cs="Times New Roman"/>
              <w:sz w:val="21"/>
              <w:szCs w:val="21"/>
            </w:rPr>
            <w:t>223</w:t>
          </w:r>
          <w:r>
            <w:rPr>
              <w:rFonts w:ascii="Times New Roman" w:hAnsi="Times New Roman" w:eastAsia="Times New Roman" w:cs="Times New Roman"/>
              <w:sz w:val="21"/>
              <w:szCs w:val="21"/>
            </w:rPr>
            <w:fldChar w:fldCharType="end"/>
          </w:r>
        </w:p>
        <w:p w14:paraId="7BF628F7">
          <w:pPr>
            <w:pStyle w:val="2"/>
            <w:tabs>
              <w:tab w:val="right" w:leader="dot" w:pos="9580"/>
            </w:tabs>
            <w:spacing w:before="129" w:line="221" w:lineRule="auto"/>
            <w:ind w:left="2379"/>
            <w:rPr>
              <w:rFonts w:ascii="Times New Roman" w:hAnsi="Times New Roman" w:eastAsia="Times New Roman" w:cs="Times New Roman"/>
              <w:sz w:val="21"/>
              <w:szCs w:val="21"/>
            </w:rPr>
          </w:pPr>
          <w:r>
            <w:fldChar w:fldCharType="begin"/>
          </w:r>
          <w:r>
            <w:instrText xml:space="preserve"> HYPERLINK \l "bookmark266" </w:instrText>
          </w:r>
          <w:r>
            <w:fldChar w:fldCharType="separate"/>
          </w:r>
          <w:r>
            <w:rPr>
              <w:spacing w:val="-5"/>
              <w:sz w:val="21"/>
              <w:szCs w:val="21"/>
            </w:rPr>
            <w:t>一</w:t>
          </w:r>
          <w:r>
            <w:rPr>
              <w:spacing w:val="-49"/>
              <w:sz w:val="21"/>
              <w:szCs w:val="21"/>
            </w:rPr>
            <w:t xml:space="preserve"> </w:t>
          </w:r>
          <w:r>
            <w:rPr>
              <w:spacing w:val="-5"/>
              <w:sz w:val="21"/>
              <w:szCs w:val="21"/>
            </w:rPr>
            <w:t>、开展流行病学调查的意义</w:t>
          </w:r>
          <w:r>
            <w:rPr>
              <w:spacing w:val="-87"/>
              <w:sz w:val="21"/>
              <w:szCs w:val="21"/>
            </w:rPr>
            <w:t xml:space="preserve"> </w:t>
          </w:r>
          <w:r>
            <w:rPr>
              <w:sz w:val="21"/>
              <w:szCs w:val="21"/>
            </w:rPr>
            <w:tab/>
          </w:r>
          <w:r>
            <w:rPr>
              <w:rFonts w:ascii="Times New Roman" w:hAnsi="Times New Roman" w:eastAsia="Times New Roman" w:cs="Times New Roman"/>
              <w:sz w:val="21"/>
              <w:szCs w:val="21"/>
            </w:rPr>
            <w:t>224</w:t>
          </w:r>
          <w:r>
            <w:rPr>
              <w:rFonts w:ascii="Times New Roman" w:hAnsi="Times New Roman" w:eastAsia="Times New Roman" w:cs="Times New Roman"/>
              <w:sz w:val="21"/>
              <w:szCs w:val="21"/>
            </w:rPr>
            <w:fldChar w:fldCharType="end"/>
          </w:r>
        </w:p>
        <w:p w14:paraId="3A1813BD">
          <w:pPr>
            <w:pStyle w:val="2"/>
            <w:tabs>
              <w:tab w:val="right" w:leader="dot" w:pos="9590"/>
            </w:tabs>
            <w:spacing w:before="128" w:line="221" w:lineRule="auto"/>
            <w:ind w:left="2379"/>
            <w:rPr>
              <w:rFonts w:ascii="Times New Roman" w:hAnsi="Times New Roman" w:eastAsia="Times New Roman" w:cs="Times New Roman"/>
              <w:sz w:val="21"/>
              <w:szCs w:val="21"/>
            </w:rPr>
          </w:pPr>
          <w:r>
            <w:fldChar w:fldCharType="begin"/>
          </w:r>
          <w:r>
            <w:instrText xml:space="preserve"> HYPERLINK \l "bookmark267" </w:instrText>
          </w:r>
          <w:r>
            <w:fldChar w:fldCharType="separate"/>
          </w:r>
          <w:r>
            <w:rPr>
              <w:spacing w:val="-7"/>
              <w:sz w:val="21"/>
              <w:szCs w:val="21"/>
            </w:rPr>
            <w:t>二</w:t>
          </w:r>
          <w:r>
            <w:rPr>
              <w:spacing w:val="-45"/>
              <w:sz w:val="21"/>
              <w:szCs w:val="21"/>
            </w:rPr>
            <w:t xml:space="preserve"> </w:t>
          </w:r>
          <w:r>
            <w:rPr>
              <w:spacing w:val="-7"/>
              <w:sz w:val="21"/>
              <w:szCs w:val="21"/>
            </w:rPr>
            <w:t>、暴发调查</w:t>
          </w:r>
          <w:r>
            <w:rPr>
              <w:spacing w:val="-84"/>
              <w:sz w:val="21"/>
              <w:szCs w:val="21"/>
            </w:rPr>
            <w:t xml:space="preserve"> </w:t>
          </w:r>
          <w:r>
            <w:rPr>
              <w:sz w:val="21"/>
              <w:szCs w:val="21"/>
            </w:rPr>
            <w:tab/>
          </w:r>
          <w:r>
            <w:rPr>
              <w:rFonts w:ascii="Times New Roman" w:hAnsi="Times New Roman" w:eastAsia="Times New Roman" w:cs="Times New Roman"/>
              <w:sz w:val="21"/>
              <w:szCs w:val="21"/>
            </w:rPr>
            <w:t>224</w:t>
          </w:r>
          <w:r>
            <w:rPr>
              <w:rFonts w:ascii="Times New Roman" w:hAnsi="Times New Roman" w:eastAsia="Times New Roman" w:cs="Times New Roman"/>
              <w:sz w:val="21"/>
              <w:szCs w:val="21"/>
            </w:rPr>
            <w:fldChar w:fldCharType="end"/>
          </w:r>
        </w:p>
        <w:p w14:paraId="60CBB6D4">
          <w:pPr>
            <w:pStyle w:val="2"/>
            <w:tabs>
              <w:tab w:val="right" w:leader="dot" w:pos="9590"/>
            </w:tabs>
            <w:spacing w:before="139" w:line="221" w:lineRule="auto"/>
            <w:ind w:left="2379"/>
            <w:rPr>
              <w:rFonts w:ascii="Times New Roman" w:hAnsi="Times New Roman" w:eastAsia="Times New Roman" w:cs="Times New Roman"/>
              <w:sz w:val="21"/>
              <w:szCs w:val="21"/>
            </w:rPr>
          </w:pPr>
          <w:r>
            <w:fldChar w:fldCharType="begin"/>
          </w:r>
          <w:r>
            <w:instrText xml:space="preserve"> HYPERLINK \l "bookmark268" </w:instrText>
          </w:r>
          <w:r>
            <w:fldChar w:fldCharType="separate"/>
          </w:r>
          <w:r>
            <w:rPr>
              <w:spacing w:val="-2"/>
              <w:sz w:val="21"/>
              <w:szCs w:val="21"/>
            </w:rPr>
            <w:t>三</w:t>
          </w:r>
          <w:r>
            <w:rPr>
              <w:spacing w:val="-42"/>
              <w:sz w:val="21"/>
              <w:szCs w:val="21"/>
            </w:rPr>
            <w:t xml:space="preserve"> </w:t>
          </w:r>
          <w:r>
            <w:rPr>
              <w:spacing w:val="-2"/>
              <w:sz w:val="21"/>
              <w:szCs w:val="21"/>
            </w:rPr>
            <w:t>、自然灾害和技术事故的流行病学调查</w:t>
          </w:r>
          <w:r>
            <w:rPr>
              <w:spacing w:val="-83"/>
              <w:sz w:val="21"/>
              <w:szCs w:val="21"/>
            </w:rPr>
            <w:t xml:space="preserve"> </w:t>
          </w:r>
          <w:r>
            <w:rPr>
              <w:sz w:val="21"/>
              <w:szCs w:val="21"/>
            </w:rPr>
            <w:tab/>
          </w:r>
          <w:r>
            <w:rPr>
              <w:rFonts w:ascii="Times New Roman" w:hAnsi="Times New Roman" w:eastAsia="Times New Roman" w:cs="Times New Roman"/>
              <w:sz w:val="21"/>
              <w:szCs w:val="21"/>
            </w:rPr>
            <w:t>229</w:t>
          </w:r>
          <w:r>
            <w:rPr>
              <w:rFonts w:ascii="Times New Roman" w:hAnsi="Times New Roman" w:eastAsia="Times New Roman" w:cs="Times New Roman"/>
              <w:sz w:val="21"/>
              <w:szCs w:val="21"/>
            </w:rPr>
            <w:fldChar w:fldCharType="end"/>
          </w:r>
        </w:p>
        <w:p w14:paraId="77F77A93">
          <w:pPr>
            <w:pStyle w:val="2"/>
            <w:tabs>
              <w:tab w:val="right" w:leader="dot" w:pos="9580"/>
            </w:tabs>
            <w:spacing w:before="128" w:line="221" w:lineRule="auto"/>
            <w:ind w:left="1960"/>
            <w:rPr>
              <w:rFonts w:ascii="Times New Roman" w:hAnsi="Times New Roman" w:eastAsia="Times New Roman" w:cs="Times New Roman"/>
              <w:sz w:val="21"/>
              <w:szCs w:val="21"/>
            </w:rPr>
          </w:pPr>
          <w:r>
            <w:fldChar w:fldCharType="begin"/>
          </w:r>
          <w:r>
            <w:instrText xml:space="preserve"> HYPERLINK \l "bookmark269" </w:instrText>
          </w:r>
          <w:r>
            <w:fldChar w:fldCharType="separate"/>
          </w:r>
          <w:r>
            <w:rPr>
              <w:spacing w:val="3"/>
              <w:sz w:val="21"/>
              <w:szCs w:val="21"/>
            </w:rPr>
            <w:t>第三节 突发公共卫生事件的应急准备与应急处置</w:t>
          </w:r>
          <w:r>
            <w:rPr>
              <w:spacing w:val="-88"/>
              <w:sz w:val="21"/>
              <w:szCs w:val="21"/>
            </w:rPr>
            <w:t xml:space="preserve"> </w:t>
          </w:r>
          <w:r>
            <w:rPr>
              <w:sz w:val="21"/>
              <w:szCs w:val="21"/>
            </w:rPr>
            <w:tab/>
          </w:r>
          <w:r>
            <w:rPr>
              <w:rFonts w:ascii="Times New Roman" w:hAnsi="Times New Roman" w:eastAsia="Times New Roman" w:cs="Times New Roman"/>
              <w:spacing w:val="-1"/>
              <w:sz w:val="21"/>
              <w:szCs w:val="21"/>
            </w:rPr>
            <w:t>230</w:t>
          </w:r>
          <w:r>
            <w:rPr>
              <w:rFonts w:ascii="Times New Roman" w:hAnsi="Times New Roman" w:eastAsia="Times New Roman" w:cs="Times New Roman"/>
              <w:spacing w:val="-1"/>
              <w:sz w:val="21"/>
              <w:szCs w:val="21"/>
            </w:rPr>
            <w:fldChar w:fldCharType="end"/>
          </w:r>
        </w:p>
        <w:p w14:paraId="7A2CF0DE">
          <w:pPr>
            <w:pStyle w:val="2"/>
            <w:tabs>
              <w:tab w:val="right" w:leader="dot" w:pos="9580"/>
            </w:tabs>
            <w:spacing w:before="141" w:line="223" w:lineRule="auto"/>
            <w:ind w:left="2379"/>
            <w:rPr>
              <w:rFonts w:ascii="Times New Roman" w:hAnsi="Times New Roman" w:eastAsia="Times New Roman" w:cs="Times New Roman"/>
              <w:sz w:val="21"/>
              <w:szCs w:val="21"/>
            </w:rPr>
          </w:pPr>
          <w:r>
            <w:fldChar w:fldCharType="begin"/>
          </w:r>
          <w:r>
            <w:instrText xml:space="preserve"> HYPERLINK \l "bookmark270" </w:instrText>
          </w:r>
          <w:r>
            <w:fldChar w:fldCharType="separate"/>
          </w:r>
          <w:r>
            <w:rPr>
              <w:spacing w:val="-15"/>
              <w:sz w:val="21"/>
              <w:szCs w:val="21"/>
            </w:rPr>
            <w:t>一</w:t>
          </w:r>
          <w:r>
            <w:rPr>
              <w:spacing w:val="-36"/>
              <w:sz w:val="21"/>
              <w:szCs w:val="21"/>
            </w:rPr>
            <w:t xml:space="preserve"> </w:t>
          </w:r>
          <w:r>
            <w:rPr>
              <w:spacing w:val="-15"/>
              <w:sz w:val="21"/>
              <w:szCs w:val="21"/>
            </w:rPr>
            <w:t>、应急准备</w:t>
          </w:r>
          <w:r>
            <w:rPr>
              <w:spacing w:val="-65"/>
              <w:sz w:val="21"/>
              <w:szCs w:val="21"/>
            </w:rPr>
            <w:t xml:space="preserve"> </w:t>
          </w:r>
          <w:r>
            <w:rPr>
              <w:sz w:val="21"/>
              <w:szCs w:val="21"/>
            </w:rPr>
            <w:tab/>
          </w:r>
          <w:r>
            <w:rPr>
              <w:rFonts w:ascii="Times New Roman" w:hAnsi="Times New Roman" w:eastAsia="Times New Roman" w:cs="Times New Roman"/>
              <w:sz w:val="21"/>
              <w:szCs w:val="21"/>
            </w:rPr>
            <w:t>230</w:t>
          </w:r>
          <w:r>
            <w:rPr>
              <w:rFonts w:ascii="Times New Roman" w:hAnsi="Times New Roman" w:eastAsia="Times New Roman" w:cs="Times New Roman"/>
              <w:sz w:val="21"/>
              <w:szCs w:val="21"/>
            </w:rPr>
            <w:fldChar w:fldCharType="end"/>
          </w:r>
        </w:p>
        <w:p w14:paraId="2B55F96C">
          <w:pPr>
            <w:pStyle w:val="2"/>
            <w:tabs>
              <w:tab w:val="right" w:leader="dot" w:pos="9600"/>
            </w:tabs>
            <w:spacing w:before="127" w:line="223" w:lineRule="auto"/>
            <w:ind w:left="2379"/>
            <w:rPr>
              <w:rFonts w:ascii="Times New Roman" w:hAnsi="Times New Roman" w:eastAsia="Times New Roman" w:cs="Times New Roman"/>
              <w:sz w:val="21"/>
              <w:szCs w:val="21"/>
            </w:rPr>
          </w:pPr>
          <w:r>
            <w:fldChar w:fldCharType="begin"/>
          </w:r>
          <w:r>
            <w:instrText xml:space="preserve"> HYPERLINK \l "bookmark271" </w:instrText>
          </w:r>
          <w:r>
            <w:fldChar w:fldCharType="separate"/>
          </w:r>
          <w:r>
            <w:rPr>
              <w:spacing w:val="-8"/>
              <w:sz w:val="21"/>
              <w:szCs w:val="21"/>
            </w:rPr>
            <w:t>二</w:t>
          </w:r>
          <w:r>
            <w:rPr>
              <w:spacing w:val="-36"/>
              <w:sz w:val="21"/>
              <w:szCs w:val="21"/>
            </w:rPr>
            <w:t xml:space="preserve"> </w:t>
          </w:r>
          <w:r>
            <w:rPr>
              <w:spacing w:val="-8"/>
              <w:sz w:val="21"/>
              <w:szCs w:val="21"/>
            </w:rPr>
            <w:t>、应急处置</w:t>
          </w:r>
          <w:r>
            <w:rPr>
              <w:spacing w:val="-87"/>
              <w:sz w:val="21"/>
              <w:szCs w:val="21"/>
            </w:rPr>
            <w:t xml:space="preserve"> </w:t>
          </w:r>
          <w:r>
            <w:rPr>
              <w:sz w:val="21"/>
              <w:szCs w:val="21"/>
            </w:rPr>
            <w:tab/>
          </w:r>
          <w:r>
            <w:rPr>
              <w:rFonts w:ascii="Times New Roman" w:hAnsi="Times New Roman" w:eastAsia="Times New Roman" w:cs="Times New Roman"/>
              <w:sz w:val="21"/>
              <w:szCs w:val="21"/>
            </w:rPr>
            <w:t>231</w:t>
          </w:r>
          <w:r>
            <w:rPr>
              <w:rFonts w:ascii="Times New Roman" w:hAnsi="Times New Roman" w:eastAsia="Times New Roman" w:cs="Times New Roman"/>
              <w:sz w:val="21"/>
              <w:szCs w:val="21"/>
            </w:rPr>
            <w:fldChar w:fldCharType="end"/>
          </w:r>
        </w:p>
        <w:p w14:paraId="650436EE">
          <w:pPr>
            <w:spacing w:line="400" w:lineRule="auto"/>
            <w:rPr>
              <w:rFonts w:ascii="Arial"/>
              <w:sz w:val="21"/>
            </w:rPr>
          </w:pPr>
        </w:p>
        <w:p w14:paraId="6F4B46C6">
          <w:pPr>
            <w:pStyle w:val="2"/>
            <w:tabs>
              <w:tab w:val="right" w:leader="dot" w:pos="9499"/>
            </w:tabs>
            <w:spacing w:before="68" w:line="221" w:lineRule="auto"/>
            <w:ind w:left="763"/>
            <w:rPr>
              <w:rFonts w:ascii="Times New Roman" w:hAnsi="Times New Roman" w:eastAsia="Times New Roman" w:cs="Times New Roman"/>
              <w:sz w:val="21"/>
              <w:szCs w:val="21"/>
            </w:rPr>
          </w:pPr>
          <w:r>
            <w:fldChar w:fldCharType="begin"/>
          </w:r>
          <w:r>
            <w:instrText xml:space="preserve"> HYPERLINK \l "bookmark272" </w:instrText>
          </w:r>
          <w:r>
            <w:fldChar w:fldCharType="separate"/>
          </w:r>
          <w:r>
            <w:rPr>
              <w:b/>
              <w:bCs/>
              <w:spacing w:val="-13"/>
              <w:sz w:val="21"/>
              <w:szCs w:val="21"/>
            </w:rPr>
            <w:t>第</w:t>
          </w:r>
          <w:r>
            <w:rPr>
              <w:spacing w:val="-34"/>
              <w:sz w:val="21"/>
              <w:szCs w:val="21"/>
            </w:rPr>
            <w:t xml:space="preserve"> </w:t>
          </w:r>
          <w:r>
            <w:rPr>
              <w:b/>
              <w:bCs/>
              <w:spacing w:val="-13"/>
              <w:sz w:val="21"/>
              <w:szCs w:val="21"/>
            </w:rPr>
            <w:t>十</w:t>
          </w:r>
          <w:r>
            <w:rPr>
              <w:spacing w:val="-44"/>
              <w:sz w:val="21"/>
              <w:szCs w:val="21"/>
            </w:rPr>
            <w:t xml:space="preserve"> </w:t>
          </w:r>
          <w:r>
            <w:rPr>
              <w:b/>
              <w:bCs/>
              <w:spacing w:val="-13"/>
              <w:sz w:val="21"/>
              <w:szCs w:val="21"/>
            </w:rPr>
            <w:t>七</w:t>
          </w:r>
          <w:r>
            <w:rPr>
              <w:spacing w:val="-42"/>
              <w:sz w:val="21"/>
              <w:szCs w:val="21"/>
            </w:rPr>
            <w:t xml:space="preserve"> </w:t>
          </w:r>
          <w:r>
            <w:rPr>
              <w:b/>
              <w:bCs/>
              <w:spacing w:val="-13"/>
              <w:sz w:val="21"/>
              <w:szCs w:val="21"/>
            </w:rPr>
            <w:t>章</w:t>
          </w:r>
          <w:r>
            <w:rPr>
              <w:spacing w:val="76"/>
              <w:sz w:val="21"/>
              <w:szCs w:val="21"/>
            </w:rPr>
            <w:t xml:space="preserve"> </w:t>
          </w:r>
          <w:r>
            <w:rPr>
              <w:b/>
              <w:bCs/>
              <w:spacing w:val="-13"/>
              <w:sz w:val="21"/>
              <w:szCs w:val="21"/>
            </w:rPr>
            <w:t>分</w:t>
          </w:r>
          <w:r>
            <w:rPr>
              <w:spacing w:val="-26"/>
              <w:sz w:val="21"/>
              <w:szCs w:val="21"/>
            </w:rPr>
            <w:t xml:space="preserve"> </w:t>
          </w:r>
          <w:r>
            <w:rPr>
              <w:b/>
              <w:bCs/>
              <w:spacing w:val="-13"/>
              <w:sz w:val="21"/>
              <w:szCs w:val="21"/>
            </w:rPr>
            <w:t>子</w:t>
          </w:r>
          <w:r>
            <w:rPr>
              <w:spacing w:val="-26"/>
              <w:sz w:val="21"/>
              <w:szCs w:val="21"/>
            </w:rPr>
            <w:t xml:space="preserve"> </w:t>
          </w:r>
          <w:r>
            <w:rPr>
              <w:b/>
              <w:bCs/>
              <w:spacing w:val="-13"/>
              <w:sz w:val="21"/>
              <w:szCs w:val="21"/>
            </w:rPr>
            <w:t>流</w:t>
          </w:r>
          <w:r>
            <w:rPr>
              <w:spacing w:val="-29"/>
              <w:sz w:val="21"/>
              <w:szCs w:val="21"/>
            </w:rPr>
            <w:t xml:space="preserve"> </w:t>
          </w:r>
          <w:r>
            <w:rPr>
              <w:b/>
              <w:bCs/>
              <w:spacing w:val="-13"/>
              <w:sz w:val="21"/>
              <w:szCs w:val="21"/>
            </w:rPr>
            <w:t>行</w:t>
          </w:r>
          <w:r>
            <w:rPr>
              <w:spacing w:val="-32"/>
              <w:sz w:val="21"/>
              <w:szCs w:val="21"/>
            </w:rPr>
            <w:t xml:space="preserve"> </w:t>
          </w:r>
          <w:r>
            <w:rPr>
              <w:b/>
              <w:bCs/>
              <w:spacing w:val="-13"/>
              <w:sz w:val="21"/>
              <w:szCs w:val="21"/>
            </w:rPr>
            <w:t>病</w:t>
          </w:r>
          <w:r>
            <w:rPr>
              <w:spacing w:val="-22"/>
              <w:sz w:val="21"/>
              <w:szCs w:val="21"/>
            </w:rPr>
            <w:t xml:space="preserve"> </w:t>
          </w:r>
          <w:r>
            <w:rPr>
              <w:b/>
              <w:bCs/>
              <w:spacing w:val="-13"/>
              <w:sz w:val="21"/>
              <w:szCs w:val="21"/>
            </w:rPr>
            <w:t>学</w:t>
          </w:r>
          <w:r>
            <w:rPr>
              <w:spacing w:val="-88"/>
              <w:sz w:val="21"/>
              <w:szCs w:val="21"/>
            </w:rPr>
            <w:t xml:space="preserve"> </w:t>
          </w:r>
          <w:r>
            <w:rPr>
              <w:sz w:val="21"/>
              <w:szCs w:val="21"/>
            </w:rPr>
            <w:tab/>
          </w:r>
          <w:r>
            <w:rPr>
              <w:rFonts w:ascii="Times New Roman" w:hAnsi="Times New Roman" w:eastAsia="Times New Roman" w:cs="Times New Roman"/>
              <w:b/>
              <w:bCs/>
              <w:spacing w:val="-1"/>
              <w:sz w:val="21"/>
              <w:szCs w:val="21"/>
            </w:rPr>
            <w:t>232</w:t>
          </w:r>
          <w:r>
            <w:rPr>
              <w:rFonts w:ascii="Times New Roman" w:hAnsi="Times New Roman" w:eastAsia="Times New Roman" w:cs="Times New Roman"/>
              <w:b/>
              <w:bCs/>
              <w:spacing w:val="-1"/>
              <w:sz w:val="21"/>
              <w:szCs w:val="21"/>
            </w:rPr>
            <w:fldChar w:fldCharType="end"/>
          </w:r>
        </w:p>
        <w:p w14:paraId="142364C1">
          <w:pPr>
            <w:pStyle w:val="2"/>
            <w:tabs>
              <w:tab w:val="right" w:leader="dot" w:pos="9650"/>
            </w:tabs>
            <w:spacing w:before="162" w:line="221" w:lineRule="auto"/>
            <w:ind w:left="1960"/>
            <w:rPr>
              <w:rFonts w:ascii="Times New Roman" w:hAnsi="Times New Roman" w:eastAsia="Times New Roman" w:cs="Times New Roman"/>
              <w:sz w:val="21"/>
              <w:szCs w:val="21"/>
            </w:rPr>
          </w:pPr>
          <w:r>
            <w:fldChar w:fldCharType="begin"/>
          </w:r>
          <w:r>
            <w:instrText xml:space="preserve"> HYPERLINK \l "bookmark273" </w:instrText>
          </w:r>
          <w:r>
            <w:fldChar w:fldCharType="separate"/>
          </w:r>
          <w:r>
            <w:rPr>
              <w:sz w:val="21"/>
              <w:szCs w:val="21"/>
            </w:rPr>
            <w:t>第一节</w:t>
          </w:r>
          <w:r>
            <w:rPr>
              <w:spacing w:val="53"/>
              <w:sz w:val="21"/>
              <w:szCs w:val="21"/>
            </w:rPr>
            <w:t xml:space="preserve"> </w:t>
          </w:r>
          <w:r>
            <w:rPr>
              <w:sz w:val="21"/>
              <w:szCs w:val="21"/>
            </w:rPr>
            <w:t>概</w:t>
          </w:r>
          <w:r>
            <w:rPr>
              <w:spacing w:val="-37"/>
              <w:sz w:val="21"/>
              <w:szCs w:val="21"/>
            </w:rPr>
            <w:t xml:space="preserve"> </w:t>
          </w:r>
          <w:r>
            <w:rPr>
              <w:sz w:val="21"/>
              <w:szCs w:val="21"/>
            </w:rPr>
            <w:t>述</w:t>
          </w:r>
          <w:r>
            <w:rPr>
              <w:spacing w:val="-83"/>
              <w:sz w:val="21"/>
              <w:szCs w:val="21"/>
            </w:rPr>
            <w:t xml:space="preserve"> </w:t>
          </w:r>
          <w:r>
            <w:rPr>
              <w:sz w:val="21"/>
              <w:szCs w:val="21"/>
            </w:rPr>
            <w:tab/>
          </w:r>
          <w:r>
            <w:rPr>
              <w:rFonts w:ascii="Times New Roman" w:hAnsi="Times New Roman" w:eastAsia="Times New Roman" w:cs="Times New Roman"/>
              <w:spacing w:val="3"/>
              <w:sz w:val="21"/>
              <w:szCs w:val="21"/>
            </w:rPr>
            <w:t>232</w:t>
          </w:r>
          <w:r>
            <w:rPr>
              <w:rFonts w:ascii="Times New Roman" w:hAnsi="Times New Roman" w:eastAsia="Times New Roman" w:cs="Times New Roman"/>
              <w:spacing w:val="3"/>
              <w:sz w:val="21"/>
              <w:szCs w:val="21"/>
            </w:rPr>
            <w:fldChar w:fldCharType="end"/>
          </w:r>
        </w:p>
        <w:p w14:paraId="25DAF1EC">
          <w:pPr>
            <w:pStyle w:val="2"/>
            <w:tabs>
              <w:tab w:val="right" w:leader="dot" w:pos="9580"/>
            </w:tabs>
            <w:spacing w:before="128" w:line="221" w:lineRule="auto"/>
            <w:ind w:left="2379"/>
            <w:rPr>
              <w:rFonts w:ascii="Times New Roman" w:hAnsi="Times New Roman" w:eastAsia="Times New Roman" w:cs="Times New Roman"/>
              <w:sz w:val="21"/>
              <w:szCs w:val="21"/>
            </w:rPr>
          </w:pPr>
          <w:r>
            <w:fldChar w:fldCharType="begin"/>
          </w:r>
          <w:r>
            <w:instrText xml:space="preserve"> HYPERLINK \l "bookmark274" </w:instrText>
          </w:r>
          <w:r>
            <w:fldChar w:fldCharType="separate"/>
          </w:r>
          <w:r>
            <w:rPr>
              <w:spacing w:val="-6"/>
              <w:sz w:val="21"/>
              <w:szCs w:val="21"/>
            </w:rPr>
            <w:t>一</w:t>
          </w:r>
          <w:r>
            <w:rPr>
              <w:spacing w:val="-48"/>
              <w:sz w:val="21"/>
              <w:szCs w:val="21"/>
            </w:rPr>
            <w:t xml:space="preserve"> </w:t>
          </w:r>
          <w:r>
            <w:rPr>
              <w:spacing w:val="-6"/>
              <w:sz w:val="21"/>
              <w:szCs w:val="21"/>
            </w:rPr>
            <w:t>、分子流行病学的定义</w:t>
          </w:r>
          <w:r>
            <w:rPr>
              <w:spacing w:val="-87"/>
              <w:sz w:val="21"/>
              <w:szCs w:val="21"/>
            </w:rPr>
            <w:t xml:space="preserve"> </w:t>
          </w:r>
          <w:r>
            <w:rPr>
              <w:sz w:val="21"/>
              <w:szCs w:val="21"/>
            </w:rPr>
            <w:tab/>
          </w:r>
          <w:r>
            <w:rPr>
              <w:rFonts w:ascii="Times New Roman" w:hAnsi="Times New Roman" w:eastAsia="Times New Roman" w:cs="Times New Roman"/>
              <w:sz w:val="21"/>
              <w:szCs w:val="21"/>
            </w:rPr>
            <w:t>232</w:t>
          </w:r>
          <w:r>
            <w:rPr>
              <w:rFonts w:ascii="Times New Roman" w:hAnsi="Times New Roman" w:eastAsia="Times New Roman" w:cs="Times New Roman"/>
              <w:sz w:val="21"/>
              <w:szCs w:val="21"/>
            </w:rPr>
            <w:fldChar w:fldCharType="end"/>
          </w:r>
        </w:p>
        <w:p w14:paraId="75EC6682">
          <w:pPr>
            <w:pStyle w:val="2"/>
            <w:tabs>
              <w:tab w:val="right" w:leader="dot" w:pos="9580"/>
            </w:tabs>
            <w:spacing w:before="129" w:line="221" w:lineRule="auto"/>
            <w:ind w:left="2379"/>
            <w:rPr>
              <w:rFonts w:ascii="Times New Roman" w:hAnsi="Times New Roman" w:eastAsia="Times New Roman" w:cs="Times New Roman"/>
              <w:sz w:val="21"/>
              <w:szCs w:val="21"/>
            </w:rPr>
          </w:pPr>
          <w:r>
            <w:fldChar w:fldCharType="begin"/>
          </w:r>
          <w:r>
            <w:instrText xml:space="preserve"> HYPERLINK \l "bookmark275" </w:instrText>
          </w:r>
          <w:r>
            <w:fldChar w:fldCharType="separate"/>
          </w:r>
          <w:r>
            <w:rPr>
              <w:spacing w:val="-6"/>
              <w:sz w:val="21"/>
              <w:szCs w:val="21"/>
            </w:rPr>
            <w:t>二</w:t>
          </w:r>
          <w:r>
            <w:rPr>
              <w:spacing w:val="-41"/>
              <w:sz w:val="21"/>
              <w:szCs w:val="21"/>
            </w:rPr>
            <w:t xml:space="preserve"> </w:t>
          </w:r>
          <w:r>
            <w:rPr>
              <w:spacing w:val="-6"/>
              <w:sz w:val="21"/>
              <w:szCs w:val="21"/>
            </w:rPr>
            <w:t>、分子流行病学的发展简史</w:t>
          </w:r>
          <w:r>
            <w:rPr>
              <w:spacing w:val="-82"/>
              <w:sz w:val="21"/>
              <w:szCs w:val="21"/>
            </w:rPr>
            <w:t xml:space="preserve"> </w:t>
          </w:r>
          <w:r>
            <w:rPr>
              <w:sz w:val="21"/>
              <w:szCs w:val="21"/>
            </w:rPr>
            <w:tab/>
          </w:r>
          <w:r>
            <w:rPr>
              <w:rFonts w:ascii="Times New Roman" w:hAnsi="Times New Roman" w:eastAsia="Times New Roman" w:cs="Times New Roman"/>
              <w:sz w:val="21"/>
              <w:szCs w:val="21"/>
            </w:rPr>
            <w:t>233</w:t>
          </w:r>
          <w:r>
            <w:rPr>
              <w:rFonts w:ascii="Times New Roman" w:hAnsi="Times New Roman" w:eastAsia="Times New Roman" w:cs="Times New Roman"/>
              <w:sz w:val="21"/>
              <w:szCs w:val="21"/>
            </w:rPr>
            <w:fldChar w:fldCharType="end"/>
          </w:r>
        </w:p>
        <w:p w14:paraId="65126F97">
          <w:pPr>
            <w:pStyle w:val="2"/>
            <w:tabs>
              <w:tab w:val="right" w:leader="dot" w:pos="9580"/>
            </w:tabs>
            <w:spacing w:before="129" w:line="221" w:lineRule="auto"/>
            <w:ind w:left="2379"/>
            <w:rPr>
              <w:rFonts w:ascii="Times New Roman" w:hAnsi="Times New Roman" w:eastAsia="Times New Roman" w:cs="Times New Roman"/>
              <w:sz w:val="21"/>
              <w:szCs w:val="21"/>
            </w:rPr>
          </w:pPr>
          <w:r>
            <w:fldChar w:fldCharType="begin"/>
          </w:r>
          <w:r>
            <w:instrText xml:space="preserve"> HYPERLINK \l "bookmark276" </w:instrText>
          </w:r>
          <w:r>
            <w:fldChar w:fldCharType="separate"/>
          </w:r>
          <w:r>
            <w:rPr>
              <w:spacing w:val="-6"/>
              <w:sz w:val="21"/>
              <w:szCs w:val="21"/>
            </w:rPr>
            <w:t>三</w:t>
          </w:r>
          <w:r>
            <w:rPr>
              <w:spacing w:val="-44"/>
              <w:sz w:val="21"/>
              <w:szCs w:val="21"/>
            </w:rPr>
            <w:t xml:space="preserve"> </w:t>
          </w:r>
          <w:r>
            <w:rPr>
              <w:spacing w:val="-6"/>
              <w:sz w:val="21"/>
              <w:szCs w:val="21"/>
            </w:rPr>
            <w:t>、与传统流行病学的关系</w:t>
          </w:r>
          <w:r>
            <w:rPr>
              <w:spacing w:val="-85"/>
              <w:sz w:val="21"/>
              <w:szCs w:val="21"/>
            </w:rPr>
            <w:t xml:space="preserve"> </w:t>
          </w:r>
          <w:r>
            <w:rPr>
              <w:sz w:val="21"/>
              <w:szCs w:val="21"/>
            </w:rPr>
            <w:tab/>
          </w:r>
          <w:r>
            <w:rPr>
              <w:rFonts w:ascii="Times New Roman" w:hAnsi="Times New Roman" w:eastAsia="Times New Roman" w:cs="Times New Roman"/>
              <w:sz w:val="21"/>
              <w:szCs w:val="21"/>
            </w:rPr>
            <w:t>235</w:t>
          </w:r>
          <w:r>
            <w:rPr>
              <w:rFonts w:ascii="Times New Roman" w:hAnsi="Times New Roman" w:eastAsia="Times New Roman" w:cs="Times New Roman"/>
              <w:sz w:val="21"/>
              <w:szCs w:val="21"/>
            </w:rPr>
            <w:fldChar w:fldCharType="end"/>
          </w:r>
        </w:p>
        <w:p w14:paraId="27EBDE73">
          <w:pPr>
            <w:pStyle w:val="2"/>
            <w:tabs>
              <w:tab w:val="right" w:leader="dot" w:pos="9580"/>
            </w:tabs>
            <w:spacing w:before="139" w:line="222" w:lineRule="auto"/>
            <w:ind w:left="1960"/>
            <w:rPr>
              <w:rFonts w:ascii="Times New Roman" w:hAnsi="Times New Roman" w:eastAsia="Times New Roman" w:cs="Times New Roman"/>
              <w:sz w:val="21"/>
              <w:szCs w:val="21"/>
            </w:rPr>
          </w:pPr>
          <w:r>
            <w:fldChar w:fldCharType="begin"/>
          </w:r>
          <w:r>
            <w:instrText xml:space="preserve"> HYPERLINK \l "bookmark277" </w:instrText>
          </w:r>
          <w:r>
            <w:fldChar w:fldCharType="separate"/>
          </w:r>
          <w:r>
            <w:rPr>
              <w:spacing w:val="14"/>
              <w:sz w:val="21"/>
              <w:szCs w:val="21"/>
            </w:rPr>
            <w:t>第二节</w:t>
          </w:r>
          <w:r>
            <w:rPr>
              <w:spacing w:val="24"/>
              <w:sz w:val="21"/>
              <w:szCs w:val="21"/>
            </w:rPr>
            <w:t xml:space="preserve"> </w:t>
          </w:r>
          <w:r>
            <w:rPr>
              <w:spacing w:val="14"/>
              <w:sz w:val="21"/>
              <w:szCs w:val="21"/>
            </w:rPr>
            <w:t>生物标志</w:t>
          </w:r>
          <w:r>
            <w:rPr>
              <w:spacing w:val="-83"/>
              <w:sz w:val="21"/>
              <w:szCs w:val="21"/>
            </w:rPr>
            <w:t xml:space="preserve"> </w:t>
          </w:r>
          <w:r>
            <w:rPr>
              <w:sz w:val="21"/>
              <w:szCs w:val="21"/>
            </w:rPr>
            <w:tab/>
          </w:r>
          <w:r>
            <w:rPr>
              <w:rFonts w:ascii="Times New Roman" w:hAnsi="Times New Roman" w:eastAsia="Times New Roman" w:cs="Times New Roman"/>
              <w:sz w:val="21"/>
              <w:szCs w:val="21"/>
            </w:rPr>
            <w:t>236</w:t>
          </w:r>
          <w:r>
            <w:rPr>
              <w:rFonts w:ascii="Times New Roman" w:hAnsi="Times New Roman" w:eastAsia="Times New Roman" w:cs="Times New Roman"/>
              <w:sz w:val="21"/>
              <w:szCs w:val="21"/>
            </w:rPr>
            <w:fldChar w:fldCharType="end"/>
          </w:r>
        </w:p>
        <w:p w14:paraId="3D2FECEB">
          <w:pPr>
            <w:pStyle w:val="2"/>
            <w:tabs>
              <w:tab w:val="right" w:leader="dot" w:pos="9580"/>
            </w:tabs>
            <w:spacing w:before="149" w:line="223" w:lineRule="auto"/>
            <w:ind w:left="2379"/>
            <w:rPr>
              <w:rFonts w:ascii="Times New Roman" w:hAnsi="Times New Roman" w:eastAsia="Times New Roman" w:cs="Times New Roman"/>
              <w:sz w:val="21"/>
              <w:szCs w:val="21"/>
            </w:rPr>
          </w:pPr>
          <w:r>
            <w:fldChar w:fldCharType="begin"/>
          </w:r>
          <w:r>
            <w:instrText xml:space="preserve"> HYPERLINK \l "bookmark278" </w:instrText>
          </w:r>
          <w:r>
            <w:fldChar w:fldCharType="separate"/>
          </w:r>
          <w:r>
            <w:rPr>
              <w:spacing w:val="-10"/>
              <w:sz w:val="21"/>
              <w:szCs w:val="21"/>
            </w:rPr>
            <w:t>一</w:t>
          </w:r>
          <w:r>
            <w:rPr>
              <w:spacing w:val="-28"/>
              <w:sz w:val="21"/>
              <w:szCs w:val="21"/>
            </w:rPr>
            <w:t xml:space="preserve"> </w:t>
          </w:r>
          <w:r>
            <w:rPr>
              <w:spacing w:val="-10"/>
              <w:sz w:val="21"/>
              <w:szCs w:val="21"/>
            </w:rPr>
            <w:t>、暴露标志</w:t>
          </w:r>
          <w:r>
            <w:rPr>
              <w:spacing w:val="-83"/>
              <w:sz w:val="21"/>
              <w:szCs w:val="21"/>
            </w:rPr>
            <w:t xml:space="preserve"> </w:t>
          </w:r>
          <w:r>
            <w:rPr>
              <w:sz w:val="21"/>
              <w:szCs w:val="21"/>
            </w:rPr>
            <w:tab/>
          </w:r>
          <w:r>
            <w:rPr>
              <w:rFonts w:ascii="Times New Roman" w:hAnsi="Times New Roman" w:eastAsia="Times New Roman" w:cs="Times New Roman"/>
              <w:sz w:val="21"/>
              <w:szCs w:val="21"/>
            </w:rPr>
            <w:t>236</w:t>
          </w:r>
          <w:r>
            <w:rPr>
              <w:rFonts w:ascii="Times New Roman" w:hAnsi="Times New Roman" w:eastAsia="Times New Roman" w:cs="Times New Roman"/>
              <w:sz w:val="21"/>
              <w:szCs w:val="21"/>
            </w:rPr>
            <w:fldChar w:fldCharType="end"/>
          </w:r>
        </w:p>
        <w:p w14:paraId="142C81D4">
          <w:pPr>
            <w:pStyle w:val="2"/>
            <w:tabs>
              <w:tab w:val="right" w:leader="dot" w:pos="9570"/>
            </w:tabs>
            <w:spacing w:before="114" w:line="221" w:lineRule="auto"/>
            <w:ind w:left="2379"/>
            <w:rPr>
              <w:rFonts w:ascii="Times New Roman" w:hAnsi="Times New Roman" w:eastAsia="Times New Roman" w:cs="Times New Roman"/>
              <w:sz w:val="21"/>
              <w:szCs w:val="21"/>
            </w:rPr>
          </w:pPr>
          <w:r>
            <w:fldChar w:fldCharType="begin"/>
          </w:r>
          <w:r>
            <w:instrText xml:space="preserve"> HYPERLINK \l "bookmark279" </w:instrText>
          </w:r>
          <w:r>
            <w:fldChar w:fldCharType="separate"/>
          </w:r>
          <w:r>
            <w:rPr>
              <w:spacing w:val="-8"/>
              <w:sz w:val="21"/>
              <w:szCs w:val="21"/>
            </w:rPr>
            <w:t>二</w:t>
          </w:r>
          <w:r>
            <w:rPr>
              <w:spacing w:val="-40"/>
              <w:sz w:val="21"/>
              <w:szCs w:val="21"/>
            </w:rPr>
            <w:t xml:space="preserve"> </w:t>
          </w:r>
          <w:r>
            <w:rPr>
              <w:spacing w:val="-8"/>
              <w:sz w:val="21"/>
              <w:szCs w:val="21"/>
            </w:rPr>
            <w:t>、效应标志</w:t>
          </w:r>
          <w:r>
            <w:rPr>
              <w:spacing w:val="-83"/>
              <w:sz w:val="21"/>
              <w:szCs w:val="21"/>
            </w:rPr>
            <w:t xml:space="preserve"> </w:t>
          </w:r>
          <w:r>
            <w:rPr>
              <w:sz w:val="21"/>
              <w:szCs w:val="21"/>
            </w:rPr>
            <w:tab/>
          </w:r>
          <w:r>
            <w:rPr>
              <w:rFonts w:ascii="Times New Roman" w:hAnsi="Times New Roman" w:eastAsia="Times New Roman" w:cs="Times New Roman"/>
              <w:sz w:val="21"/>
              <w:szCs w:val="21"/>
            </w:rPr>
            <w:t>237</w:t>
          </w:r>
          <w:r>
            <w:rPr>
              <w:rFonts w:ascii="Times New Roman" w:hAnsi="Times New Roman" w:eastAsia="Times New Roman" w:cs="Times New Roman"/>
              <w:sz w:val="21"/>
              <w:szCs w:val="21"/>
            </w:rPr>
            <w:fldChar w:fldCharType="end"/>
          </w:r>
        </w:p>
        <w:p w14:paraId="7980813A">
          <w:pPr>
            <w:pStyle w:val="2"/>
            <w:tabs>
              <w:tab w:val="right" w:leader="dot" w:pos="9570"/>
            </w:tabs>
            <w:spacing w:before="131" w:line="223" w:lineRule="auto"/>
            <w:ind w:left="2379"/>
            <w:rPr>
              <w:rFonts w:ascii="Times New Roman" w:hAnsi="Times New Roman" w:eastAsia="Times New Roman" w:cs="Times New Roman"/>
              <w:sz w:val="21"/>
              <w:szCs w:val="21"/>
            </w:rPr>
          </w:pPr>
          <w:r>
            <w:fldChar w:fldCharType="begin"/>
          </w:r>
          <w:r>
            <w:instrText xml:space="preserve"> HYPERLINK \l "bookmark280" </w:instrText>
          </w:r>
          <w:r>
            <w:fldChar w:fldCharType="separate"/>
          </w:r>
          <w:r>
            <w:rPr>
              <w:spacing w:val="-7"/>
              <w:sz w:val="21"/>
              <w:szCs w:val="21"/>
            </w:rPr>
            <w:t>三</w:t>
          </w:r>
          <w:r>
            <w:rPr>
              <w:spacing w:val="-49"/>
              <w:sz w:val="21"/>
              <w:szCs w:val="21"/>
            </w:rPr>
            <w:t xml:space="preserve"> </w:t>
          </w:r>
          <w:r>
            <w:rPr>
              <w:spacing w:val="-7"/>
              <w:sz w:val="21"/>
              <w:szCs w:val="21"/>
            </w:rPr>
            <w:t>、易感性标志</w:t>
          </w:r>
          <w:r>
            <w:rPr>
              <w:spacing w:val="-84"/>
              <w:sz w:val="21"/>
              <w:szCs w:val="21"/>
            </w:rPr>
            <w:t xml:space="preserve"> </w:t>
          </w:r>
          <w:r>
            <w:rPr>
              <w:sz w:val="21"/>
              <w:szCs w:val="21"/>
            </w:rPr>
            <w:tab/>
          </w:r>
          <w:r>
            <w:rPr>
              <w:rFonts w:ascii="Times New Roman" w:hAnsi="Times New Roman" w:eastAsia="Times New Roman" w:cs="Times New Roman"/>
              <w:sz w:val="21"/>
              <w:szCs w:val="21"/>
            </w:rPr>
            <w:t>238</w:t>
          </w:r>
          <w:r>
            <w:rPr>
              <w:rFonts w:ascii="Times New Roman" w:hAnsi="Times New Roman" w:eastAsia="Times New Roman" w:cs="Times New Roman"/>
              <w:sz w:val="21"/>
              <w:szCs w:val="21"/>
            </w:rPr>
            <w:fldChar w:fldCharType="end"/>
          </w:r>
        </w:p>
        <w:p w14:paraId="2E19E1D8">
          <w:pPr>
            <w:pStyle w:val="2"/>
            <w:tabs>
              <w:tab w:val="right" w:leader="dot" w:pos="9570"/>
            </w:tabs>
            <w:spacing w:before="134" w:line="221" w:lineRule="auto"/>
            <w:ind w:left="1960"/>
            <w:rPr>
              <w:rFonts w:ascii="Times New Roman" w:hAnsi="Times New Roman" w:eastAsia="Times New Roman" w:cs="Times New Roman"/>
              <w:sz w:val="21"/>
              <w:szCs w:val="21"/>
            </w:rPr>
          </w:pPr>
          <w:r>
            <w:fldChar w:fldCharType="begin"/>
          </w:r>
          <w:r>
            <w:instrText xml:space="preserve"> HYPERLINK \l "bookmark281" </w:instrText>
          </w:r>
          <w:r>
            <w:fldChar w:fldCharType="separate"/>
          </w:r>
          <w:r>
            <w:rPr>
              <w:spacing w:val="12"/>
              <w:sz w:val="21"/>
              <w:szCs w:val="21"/>
            </w:rPr>
            <w:t>第三节 主要研究方法</w:t>
          </w:r>
          <w:r>
            <w:rPr>
              <w:spacing w:val="-82"/>
              <w:sz w:val="21"/>
              <w:szCs w:val="21"/>
            </w:rPr>
            <w:t xml:space="preserve"> </w:t>
          </w:r>
          <w:r>
            <w:rPr>
              <w:sz w:val="21"/>
              <w:szCs w:val="21"/>
            </w:rPr>
            <w:tab/>
          </w:r>
          <w:r>
            <w:rPr>
              <w:rFonts w:ascii="Times New Roman" w:hAnsi="Times New Roman" w:eastAsia="Times New Roman" w:cs="Times New Roman"/>
              <w:sz w:val="21"/>
              <w:szCs w:val="21"/>
            </w:rPr>
            <w:t>238</w:t>
          </w:r>
          <w:r>
            <w:rPr>
              <w:rFonts w:ascii="Times New Roman" w:hAnsi="Times New Roman" w:eastAsia="Times New Roman" w:cs="Times New Roman"/>
              <w:sz w:val="21"/>
              <w:szCs w:val="21"/>
            </w:rPr>
            <w:fldChar w:fldCharType="end"/>
          </w:r>
        </w:p>
        <w:p w14:paraId="4ED3D9B0">
          <w:pPr>
            <w:pStyle w:val="2"/>
            <w:tabs>
              <w:tab w:val="right" w:leader="dot" w:pos="9580"/>
            </w:tabs>
            <w:spacing w:before="129" w:line="222" w:lineRule="auto"/>
            <w:ind w:left="2379"/>
            <w:rPr>
              <w:rFonts w:ascii="Times New Roman" w:hAnsi="Times New Roman" w:eastAsia="Times New Roman" w:cs="Times New Roman"/>
              <w:sz w:val="21"/>
              <w:szCs w:val="21"/>
            </w:rPr>
          </w:pPr>
          <w:r>
            <w:fldChar w:fldCharType="begin"/>
          </w:r>
          <w:r>
            <w:instrText xml:space="preserve"> HYPERLINK \l "bookmark282" </w:instrText>
          </w:r>
          <w:r>
            <w:fldChar w:fldCharType="separate"/>
          </w:r>
          <w:r>
            <w:rPr>
              <w:spacing w:val="-6"/>
              <w:sz w:val="21"/>
              <w:szCs w:val="21"/>
            </w:rPr>
            <w:t>一</w:t>
          </w:r>
          <w:r>
            <w:rPr>
              <w:spacing w:val="-40"/>
              <w:sz w:val="21"/>
              <w:szCs w:val="21"/>
            </w:rPr>
            <w:t xml:space="preserve"> </w:t>
          </w:r>
          <w:r>
            <w:rPr>
              <w:spacing w:val="-6"/>
              <w:sz w:val="21"/>
              <w:szCs w:val="21"/>
            </w:rPr>
            <w:t>、研究设计</w:t>
          </w:r>
          <w:r>
            <w:rPr>
              <w:spacing w:val="-95"/>
              <w:sz w:val="21"/>
              <w:szCs w:val="21"/>
            </w:rPr>
            <w:t xml:space="preserve"> </w:t>
          </w:r>
          <w:r>
            <w:rPr>
              <w:sz w:val="21"/>
              <w:szCs w:val="21"/>
            </w:rPr>
            <w:tab/>
          </w:r>
          <w:r>
            <w:rPr>
              <w:rFonts w:ascii="Times New Roman" w:hAnsi="Times New Roman" w:eastAsia="Times New Roman" w:cs="Times New Roman"/>
              <w:sz w:val="21"/>
              <w:szCs w:val="21"/>
            </w:rPr>
            <w:t>238</w:t>
          </w:r>
          <w:r>
            <w:rPr>
              <w:rFonts w:ascii="Times New Roman" w:hAnsi="Times New Roman" w:eastAsia="Times New Roman" w:cs="Times New Roman"/>
              <w:sz w:val="21"/>
              <w:szCs w:val="21"/>
            </w:rPr>
            <w:fldChar w:fldCharType="end"/>
          </w:r>
        </w:p>
        <w:p w14:paraId="3F6CA25E">
          <w:pPr>
            <w:pStyle w:val="2"/>
            <w:tabs>
              <w:tab w:val="right" w:leader="dot" w:pos="9590"/>
            </w:tabs>
            <w:spacing w:before="139" w:line="222" w:lineRule="auto"/>
            <w:ind w:left="2379"/>
            <w:rPr>
              <w:rFonts w:ascii="Times New Roman" w:hAnsi="Times New Roman" w:eastAsia="Times New Roman" w:cs="Times New Roman"/>
              <w:sz w:val="21"/>
              <w:szCs w:val="21"/>
            </w:rPr>
          </w:pPr>
          <w:r>
            <w:fldChar w:fldCharType="begin"/>
          </w:r>
          <w:r>
            <w:instrText xml:space="preserve"> HYPERLINK \l "bookmark283" </w:instrText>
          </w:r>
          <w:r>
            <w:fldChar w:fldCharType="separate"/>
          </w:r>
          <w:r>
            <w:rPr>
              <w:spacing w:val="-6"/>
              <w:sz w:val="21"/>
              <w:szCs w:val="21"/>
            </w:rPr>
            <w:t>二</w:t>
          </w:r>
          <w:r>
            <w:rPr>
              <w:spacing w:val="-39"/>
              <w:sz w:val="21"/>
              <w:szCs w:val="21"/>
            </w:rPr>
            <w:t xml:space="preserve"> </w:t>
          </w:r>
          <w:r>
            <w:rPr>
              <w:spacing w:val="-6"/>
              <w:sz w:val="21"/>
              <w:szCs w:val="21"/>
            </w:rPr>
            <w:t>、生物标本采集</w:t>
          </w:r>
          <w:r>
            <w:rPr>
              <w:spacing w:val="-94"/>
              <w:sz w:val="21"/>
              <w:szCs w:val="21"/>
            </w:rPr>
            <w:t xml:space="preserve"> </w:t>
          </w:r>
          <w:r>
            <w:rPr>
              <w:sz w:val="21"/>
              <w:szCs w:val="21"/>
            </w:rPr>
            <w:tab/>
          </w:r>
          <w:r>
            <w:rPr>
              <w:rFonts w:ascii="Times New Roman" w:hAnsi="Times New Roman" w:eastAsia="Times New Roman" w:cs="Times New Roman"/>
              <w:sz w:val="21"/>
              <w:szCs w:val="21"/>
            </w:rPr>
            <w:t>239</w:t>
          </w:r>
          <w:r>
            <w:rPr>
              <w:rFonts w:ascii="Times New Roman" w:hAnsi="Times New Roman" w:eastAsia="Times New Roman" w:cs="Times New Roman"/>
              <w:sz w:val="21"/>
              <w:szCs w:val="21"/>
            </w:rPr>
            <w:fldChar w:fldCharType="end"/>
          </w:r>
        </w:p>
        <w:p w14:paraId="2A031C81">
          <w:pPr>
            <w:pStyle w:val="2"/>
            <w:tabs>
              <w:tab w:val="right" w:leader="dot" w:pos="9590"/>
            </w:tabs>
            <w:spacing w:before="126" w:line="222" w:lineRule="auto"/>
            <w:ind w:left="2379"/>
            <w:rPr>
              <w:rFonts w:ascii="Times New Roman" w:hAnsi="Times New Roman" w:eastAsia="Times New Roman" w:cs="Times New Roman"/>
              <w:sz w:val="21"/>
              <w:szCs w:val="21"/>
            </w:rPr>
          </w:pPr>
          <w:r>
            <w:fldChar w:fldCharType="begin"/>
          </w:r>
          <w:r>
            <w:instrText xml:space="preserve"> HYPERLINK \l "bookmark284" </w:instrText>
          </w:r>
          <w:r>
            <w:fldChar w:fldCharType="separate"/>
          </w:r>
          <w:r>
            <w:rPr>
              <w:spacing w:val="-6"/>
              <w:sz w:val="21"/>
              <w:szCs w:val="21"/>
            </w:rPr>
            <w:t>三</w:t>
          </w:r>
          <w:r>
            <w:rPr>
              <w:spacing w:val="-38"/>
              <w:sz w:val="21"/>
              <w:szCs w:val="21"/>
            </w:rPr>
            <w:t xml:space="preserve"> </w:t>
          </w:r>
          <w:r>
            <w:rPr>
              <w:spacing w:val="-6"/>
              <w:sz w:val="21"/>
              <w:szCs w:val="21"/>
            </w:rPr>
            <w:t>、生物标志的选择和检测</w:t>
          </w:r>
          <w:r>
            <w:rPr>
              <w:spacing w:val="-91"/>
              <w:sz w:val="21"/>
              <w:szCs w:val="21"/>
            </w:rPr>
            <w:t xml:space="preserve"> </w:t>
          </w:r>
          <w:r>
            <w:rPr>
              <w:sz w:val="21"/>
              <w:szCs w:val="21"/>
            </w:rPr>
            <w:tab/>
          </w:r>
          <w:r>
            <w:rPr>
              <w:rFonts w:ascii="Times New Roman" w:hAnsi="Times New Roman" w:eastAsia="Times New Roman" w:cs="Times New Roman"/>
              <w:sz w:val="21"/>
              <w:szCs w:val="21"/>
            </w:rPr>
            <w:t>240</w:t>
          </w:r>
          <w:r>
            <w:rPr>
              <w:rFonts w:ascii="Times New Roman" w:hAnsi="Times New Roman" w:eastAsia="Times New Roman" w:cs="Times New Roman"/>
              <w:sz w:val="21"/>
              <w:szCs w:val="21"/>
            </w:rPr>
            <w:fldChar w:fldCharType="end"/>
          </w:r>
        </w:p>
        <w:p w14:paraId="5352B430">
          <w:pPr>
            <w:pStyle w:val="2"/>
            <w:tabs>
              <w:tab w:val="right" w:leader="dot" w:pos="9560"/>
            </w:tabs>
            <w:spacing w:before="128" w:line="222" w:lineRule="auto"/>
            <w:ind w:left="1960"/>
            <w:rPr>
              <w:rFonts w:ascii="Times New Roman" w:hAnsi="Times New Roman" w:eastAsia="Times New Roman" w:cs="Times New Roman"/>
              <w:sz w:val="21"/>
              <w:szCs w:val="21"/>
            </w:rPr>
          </w:pPr>
          <w:r>
            <w:fldChar w:fldCharType="begin"/>
          </w:r>
          <w:r>
            <w:instrText xml:space="preserve"> HYPERLINK \l "bookmark285" </w:instrText>
          </w:r>
          <w:r>
            <w:fldChar w:fldCharType="separate"/>
          </w:r>
          <w:r>
            <w:rPr>
              <w:spacing w:val="14"/>
              <w:sz w:val="21"/>
              <w:szCs w:val="21"/>
            </w:rPr>
            <w:t>第四节 应用与展望</w:t>
          </w:r>
          <w:r>
            <w:rPr>
              <w:spacing w:val="-88"/>
              <w:sz w:val="21"/>
              <w:szCs w:val="21"/>
            </w:rPr>
            <w:t xml:space="preserve"> </w:t>
          </w:r>
          <w:r>
            <w:rPr>
              <w:sz w:val="21"/>
              <w:szCs w:val="21"/>
            </w:rPr>
            <w:tab/>
          </w:r>
          <w:r>
            <w:rPr>
              <w:rFonts w:ascii="Times New Roman" w:hAnsi="Times New Roman" w:eastAsia="Times New Roman" w:cs="Times New Roman"/>
              <w:sz w:val="21"/>
              <w:szCs w:val="21"/>
            </w:rPr>
            <w:t>242</w:t>
          </w:r>
          <w:r>
            <w:rPr>
              <w:rFonts w:ascii="Times New Roman" w:hAnsi="Times New Roman" w:eastAsia="Times New Roman" w:cs="Times New Roman"/>
              <w:sz w:val="21"/>
              <w:szCs w:val="21"/>
            </w:rPr>
            <w:fldChar w:fldCharType="end"/>
          </w:r>
        </w:p>
        <w:p w14:paraId="3AA5FF20">
          <w:pPr>
            <w:pStyle w:val="2"/>
            <w:tabs>
              <w:tab w:val="right" w:leader="dot" w:pos="9560"/>
            </w:tabs>
            <w:spacing w:before="147" w:line="221" w:lineRule="auto"/>
            <w:ind w:left="2379"/>
            <w:rPr>
              <w:rFonts w:ascii="Times New Roman" w:hAnsi="Times New Roman" w:eastAsia="Times New Roman" w:cs="Times New Roman"/>
              <w:sz w:val="21"/>
              <w:szCs w:val="21"/>
            </w:rPr>
          </w:pPr>
          <w:r>
            <w:fldChar w:fldCharType="begin"/>
          </w:r>
          <w:r>
            <w:instrText xml:space="preserve"> HYPERLINK \l "bookmark286" </w:instrText>
          </w:r>
          <w:r>
            <w:fldChar w:fldCharType="separate"/>
          </w:r>
          <w:r>
            <w:rPr>
              <w:spacing w:val="-9"/>
              <w:sz w:val="21"/>
              <w:szCs w:val="21"/>
            </w:rPr>
            <w:t>一</w:t>
          </w:r>
          <w:r>
            <w:rPr>
              <w:spacing w:val="-24"/>
              <w:sz w:val="21"/>
              <w:szCs w:val="21"/>
            </w:rPr>
            <w:t xml:space="preserve"> </w:t>
          </w:r>
          <w:r>
            <w:rPr>
              <w:spacing w:val="-9"/>
              <w:sz w:val="21"/>
              <w:szCs w:val="21"/>
            </w:rPr>
            <w:t>、传染病防治</w:t>
          </w:r>
          <w:r>
            <w:rPr>
              <w:spacing w:val="-85"/>
              <w:sz w:val="21"/>
              <w:szCs w:val="21"/>
            </w:rPr>
            <w:t xml:space="preserve"> </w:t>
          </w:r>
          <w:r>
            <w:rPr>
              <w:sz w:val="21"/>
              <w:szCs w:val="21"/>
            </w:rPr>
            <w:tab/>
          </w:r>
          <w:r>
            <w:rPr>
              <w:rFonts w:ascii="Times New Roman" w:hAnsi="Times New Roman" w:eastAsia="Times New Roman" w:cs="Times New Roman"/>
              <w:sz w:val="21"/>
              <w:szCs w:val="21"/>
            </w:rPr>
            <w:t>242</w:t>
          </w:r>
          <w:r>
            <w:rPr>
              <w:rFonts w:ascii="Times New Roman" w:hAnsi="Times New Roman" w:eastAsia="Times New Roman" w:cs="Times New Roman"/>
              <w:sz w:val="21"/>
              <w:szCs w:val="21"/>
            </w:rPr>
            <w:fldChar w:fldCharType="end"/>
          </w:r>
        </w:p>
        <w:p w14:paraId="209140A6">
          <w:pPr>
            <w:pStyle w:val="2"/>
            <w:tabs>
              <w:tab w:val="right" w:leader="dot" w:pos="9550"/>
            </w:tabs>
            <w:spacing w:before="128" w:line="221" w:lineRule="auto"/>
            <w:ind w:left="2379"/>
            <w:rPr>
              <w:rFonts w:ascii="Times New Roman" w:hAnsi="Times New Roman" w:eastAsia="Times New Roman" w:cs="Times New Roman"/>
              <w:sz w:val="21"/>
              <w:szCs w:val="21"/>
            </w:rPr>
          </w:pPr>
          <w:r>
            <w:fldChar w:fldCharType="begin"/>
          </w:r>
          <w:r>
            <w:instrText xml:space="preserve"> HYPERLINK \l "bookmark287" </w:instrText>
          </w:r>
          <w:r>
            <w:fldChar w:fldCharType="separate"/>
          </w:r>
          <w:r>
            <w:rPr>
              <w:spacing w:val="-6"/>
              <w:sz w:val="21"/>
              <w:szCs w:val="21"/>
            </w:rPr>
            <w:t>二</w:t>
          </w:r>
          <w:r>
            <w:rPr>
              <w:spacing w:val="-35"/>
              <w:sz w:val="21"/>
              <w:szCs w:val="21"/>
            </w:rPr>
            <w:t xml:space="preserve"> </w:t>
          </w:r>
          <w:r>
            <w:rPr>
              <w:spacing w:val="-6"/>
              <w:sz w:val="21"/>
              <w:szCs w:val="21"/>
            </w:rPr>
            <w:t>、慢性非传染性疾病防治</w:t>
          </w:r>
          <w:r>
            <w:rPr>
              <w:spacing w:val="-84"/>
              <w:sz w:val="21"/>
              <w:szCs w:val="21"/>
            </w:rPr>
            <w:t xml:space="preserve"> </w:t>
          </w:r>
          <w:r>
            <w:rPr>
              <w:sz w:val="21"/>
              <w:szCs w:val="21"/>
            </w:rPr>
            <w:tab/>
          </w:r>
          <w:r>
            <w:rPr>
              <w:rFonts w:ascii="Times New Roman" w:hAnsi="Times New Roman" w:eastAsia="Times New Roman" w:cs="Times New Roman"/>
              <w:sz w:val="21"/>
              <w:szCs w:val="21"/>
            </w:rPr>
            <w:t>243</w:t>
          </w:r>
          <w:r>
            <w:rPr>
              <w:rFonts w:ascii="Times New Roman" w:hAnsi="Times New Roman" w:eastAsia="Times New Roman" w:cs="Times New Roman"/>
              <w:sz w:val="21"/>
              <w:szCs w:val="21"/>
            </w:rPr>
            <w:fldChar w:fldCharType="end"/>
          </w:r>
        </w:p>
      </w:sdtContent>
    </w:sdt>
    <w:p w14:paraId="4E0ADF23">
      <w:pPr>
        <w:spacing w:line="221" w:lineRule="auto"/>
        <w:rPr>
          <w:rFonts w:ascii="Times New Roman" w:hAnsi="Times New Roman" w:eastAsia="Times New Roman" w:cs="Times New Roman"/>
          <w:sz w:val="21"/>
          <w:szCs w:val="21"/>
        </w:rPr>
        <w:sectPr>
          <w:footerReference r:id="rId26" w:type="default"/>
          <w:pgSz w:w="11900" w:h="16820"/>
          <w:pgMar w:top="400" w:right="1559" w:bottom="746" w:left="689" w:header="0" w:footer="557" w:gutter="0"/>
          <w:cols w:space="720" w:num="1"/>
        </w:sectPr>
      </w:pPr>
    </w:p>
    <w:p w14:paraId="5FAEAAE5">
      <w:pPr>
        <w:spacing w:line="346" w:lineRule="auto"/>
        <w:rPr>
          <w:rFonts w:ascii="Arial"/>
          <w:sz w:val="21"/>
        </w:rPr>
      </w:pPr>
    </w:p>
    <w:sdt>
      <w:sdtPr>
        <w:rPr>
          <w:rFonts w:ascii="黑体" w:hAnsi="黑体" w:eastAsia="黑体" w:cs="黑体"/>
          <w:sz w:val="17"/>
          <w:szCs w:val="17"/>
        </w:rPr>
        <w:id w:val="223131081"/>
        <w:docPartObj>
          <w:docPartGallery w:val="Table of Contents"/>
          <w:docPartUnique/>
        </w:docPartObj>
      </w:sdtPr>
      <w:sdtEndPr>
        <w:rPr>
          <w:rFonts w:ascii="Times New Roman" w:hAnsi="Times New Roman" w:eastAsia="Times New Roman" w:cs="Times New Roman"/>
          <w:sz w:val="22"/>
          <w:szCs w:val="22"/>
        </w:rPr>
      </w:sdtEndPr>
      <w:sdtContent>
        <w:p w14:paraId="50DCD2CB">
          <w:pPr>
            <w:pStyle w:val="2"/>
            <w:spacing w:before="55" w:line="222" w:lineRule="auto"/>
            <w:ind w:left="8839"/>
            <w:rPr>
              <w:sz w:val="17"/>
              <w:szCs w:val="17"/>
            </w:rPr>
          </w:pPr>
          <w:r>
            <w:rPr>
              <w:b/>
              <w:bCs/>
              <w:spacing w:val="9"/>
              <w:sz w:val="17"/>
              <w:szCs w:val="17"/>
            </w:rPr>
            <w:t>目录</w:t>
          </w:r>
        </w:p>
        <w:p w14:paraId="20FBDA7F">
          <w:pPr>
            <w:spacing w:line="247" w:lineRule="auto"/>
            <w:rPr>
              <w:rFonts w:ascii="Arial"/>
              <w:sz w:val="21"/>
            </w:rPr>
          </w:pPr>
        </w:p>
        <w:p w14:paraId="693654F3">
          <w:pPr>
            <w:spacing w:line="247" w:lineRule="auto"/>
            <w:rPr>
              <w:rFonts w:ascii="Arial"/>
              <w:sz w:val="21"/>
            </w:rPr>
          </w:pPr>
        </w:p>
        <w:p w14:paraId="6D580320">
          <w:pPr>
            <w:pStyle w:val="2"/>
            <w:tabs>
              <w:tab w:val="right" w:leader="dot" w:pos="9072"/>
            </w:tabs>
            <w:spacing w:before="72" w:line="221" w:lineRule="auto"/>
            <w:ind w:left="1716"/>
            <w:rPr>
              <w:rFonts w:ascii="Times New Roman" w:hAnsi="Times New Roman" w:eastAsia="Times New Roman" w:cs="Times New Roman"/>
              <w:sz w:val="22"/>
              <w:szCs w:val="22"/>
            </w:rPr>
          </w:pPr>
          <w:r>
            <w:fldChar w:fldCharType="begin"/>
          </w:r>
          <w:r>
            <w:instrText xml:space="preserve"> HYPERLINK \l "bookmark288" </w:instrText>
          </w:r>
          <w:r>
            <w:fldChar w:fldCharType="separate"/>
          </w:r>
          <w:r>
            <w:rPr>
              <w:spacing w:val="-11"/>
              <w:sz w:val="22"/>
              <w:szCs w:val="22"/>
            </w:rPr>
            <w:t>三</w:t>
          </w:r>
          <w:r>
            <w:rPr>
              <w:spacing w:val="-45"/>
              <w:sz w:val="22"/>
              <w:szCs w:val="22"/>
            </w:rPr>
            <w:t xml:space="preserve"> </w:t>
          </w:r>
          <w:r>
            <w:rPr>
              <w:spacing w:val="-11"/>
              <w:sz w:val="22"/>
              <w:szCs w:val="22"/>
            </w:rPr>
            <w:t>、分子流行病学展望</w:t>
          </w:r>
          <w:r>
            <w:rPr>
              <w:spacing w:val="-86"/>
              <w:sz w:val="22"/>
              <w:szCs w:val="22"/>
            </w:rPr>
            <w:t xml:space="preserve"> </w:t>
          </w:r>
          <w:r>
            <w:rPr>
              <w:sz w:val="22"/>
              <w:szCs w:val="22"/>
            </w:rPr>
            <w:tab/>
          </w:r>
          <w:r>
            <w:rPr>
              <w:spacing w:val="-74"/>
              <w:sz w:val="22"/>
              <w:szCs w:val="22"/>
            </w:rPr>
            <w:t xml:space="preserve"> </w:t>
          </w:r>
          <w:r>
            <w:rPr>
              <w:rFonts w:ascii="Times New Roman" w:hAnsi="Times New Roman" w:eastAsia="Times New Roman" w:cs="Times New Roman"/>
              <w:spacing w:val="-2"/>
              <w:sz w:val="22"/>
              <w:szCs w:val="22"/>
            </w:rPr>
            <w:t>244</w:t>
          </w:r>
          <w:r>
            <w:rPr>
              <w:rFonts w:ascii="Times New Roman" w:hAnsi="Times New Roman" w:eastAsia="Times New Roman" w:cs="Times New Roman"/>
              <w:spacing w:val="-2"/>
              <w:sz w:val="22"/>
              <w:szCs w:val="22"/>
            </w:rPr>
            <w:fldChar w:fldCharType="end"/>
          </w:r>
        </w:p>
        <w:p w14:paraId="24C70C0A">
          <w:pPr>
            <w:spacing w:line="389" w:lineRule="auto"/>
            <w:rPr>
              <w:rFonts w:ascii="Arial"/>
              <w:sz w:val="21"/>
            </w:rPr>
          </w:pPr>
        </w:p>
        <w:p w14:paraId="0CFCBA9E">
          <w:pPr>
            <w:pStyle w:val="2"/>
            <w:tabs>
              <w:tab w:val="right" w:leader="dot" w:pos="9060"/>
            </w:tabs>
            <w:spacing w:before="72" w:line="221" w:lineRule="auto"/>
            <w:rPr>
              <w:rFonts w:ascii="Times New Roman" w:hAnsi="Times New Roman" w:eastAsia="Times New Roman" w:cs="Times New Roman"/>
              <w:sz w:val="22"/>
              <w:szCs w:val="22"/>
            </w:rPr>
          </w:pPr>
          <w:r>
            <w:fldChar w:fldCharType="begin"/>
          </w:r>
          <w:r>
            <w:instrText xml:space="preserve"> HYPERLINK \l "bookmark289" </w:instrText>
          </w:r>
          <w:r>
            <w:fldChar w:fldCharType="separate"/>
          </w:r>
          <w:r>
            <w:rPr>
              <w:b/>
              <w:bCs/>
              <w:spacing w:val="-14"/>
              <w:sz w:val="22"/>
              <w:szCs w:val="22"/>
            </w:rPr>
            <w:t>第</w:t>
          </w:r>
          <w:r>
            <w:rPr>
              <w:spacing w:val="-30"/>
              <w:sz w:val="22"/>
              <w:szCs w:val="22"/>
            </w:rPr>
            <w:t xml:space="preserve"> </w:t>
          </w:r>
          <w:r>
            <w:rPr>
              <w:b/>
              <w:bCs/>
              <w:spacing w:val="-14"/>
              <w:sz w:val="22"/>
              <w:szCs w:val="22"/>
            </w:rPr>
            <w:t>十</w:t>
          </w:r>
          <w:r>
            <w:rPr>
              <w:spacing w:val="-45"/>
              <w:sz w:val="22"/>
              <w:szCs w:val="22"/>
            </w:rPr>
            <w:t xml:space="preserve"> </w:t>
          </w:r>
          <w:r>
            <w:rPr>
              <w:b/>
              <w:bCs/>
              <w:spacing w:val="-14"/>
              <w:sz w:val="22"/>
              <w:szCs w:val="22"/>
            </w:rPr>
            <w:t>八</w:t>
          </w:r>
          <w:r>
            <w:rPr>
              <w:spacing w:val="-43"/>
              <w:sz w:val="22"/>
              <w:szCs w:val="22"/>
            </w:rPr>
            <w:t xml:space="preserve"> </w:t>
          </w:r>
          <w:r>
            <w:rPr>
              <w:b/>
              <w:bCs/>
              <w:spacing w:val="-14"/>
              <w:sz w:val="22"/>
              <w:szCs w:val="22"/>
            </w:rPr>
            <w:t>章</w:t>
          </w:r>
          <w:r>
            <w:rPr>
              <w:spacing w:val="62"/>
              <w:sz w:val="22"/>
              <w:szCs w:val="22"/>
            </w:rPr>
            <w:t xml:space="preserve"> </w:t>
          </w:r>
          <w:r>
            <w:rPr>
              <w:b/>
              <w:bCs/>
              <w:spacing w:val="-14"/>
              <w:sz w:val="22"/>
              <w:szCs w:val="22"/>
            </w:rPr>
            <w:t>循</w:t>
          </w:r>
          <w:r>
            <w:rPr>
              <w:spacing w:val="-44"/>
              <w:sz w:val="22"/>
              <w:szCs w:val="22"/>
            </w:rPr>
            <w:t xml:space="preserve"> </w:t>
          </w:r>
          <w:r>
            <w:rPr>
              <w:b/>
              <w:bCs/>
              <w:spacing w:val="-14"/>
              <w:sz w:val="22"/>
              <w:szCs w:val="22"/>
            </w:rPr>
            <w:t>证</w:t>
          </w:r>
          <w:r>
            <w:rPr>
              <w:spacing w:val="-34"/>
              <w:sz w:val="22"/>
              <w:szCs w:val="22"/>
            </w:rPr>
            <w:t xml:space="preserve"> </w:t>
          </w:r>
          <w:r>
            <w:rPr>
              <w:b/>
              <w:bCs/>
              <w:spacing w:val="-14"/>
              <w:sz w:val="22"/>
              <w:szCs w:val="22"/>
            </w:rPr>
            <w:t>医</w:t>
          </w:r>
          <w:r>
            <w:rPr>
              <w:spacing w:val="-36"/>
              <w:sz w:val="22"/>
              <w:szCs w:val="22"/>
            </w:rPr>
            <w:t xml:space="preserve"> </w:t>
          </w:r>
          <w:r>
            <w:rPr>
              <w:b/>
              <w:bCs/>
              <w:spacing w:val="-14"/>
              <w:sz w:val="22"/>
              <w:szCs w:val="22"/>
            </w:rPr>
            <w:t>学</w:t>
          </w:r>
          <w:r>
            <w:rPr>
              <w:spacing w:val="-35"/>
              <w:sz w:val="22"/>
              <w:szCs w:val="22"/>
            </w:rPr>
            <w:t xml:space="preserve"> </w:t>
          </w:r>
          <w:r>
            <w:rPr>
              <w:b/>
              <w:bCs/>
              <w:spacing w:val="-14"/>
              <w:sz w:val="22"/>
              <w:szCs w:val="22"/>
            </w:rPr>
            <w:t>与</w:t>
          </w:r>
          <w:r>
            <w:rPr>
              <w:spacing w:val="-38"/>
              <w:sz w:val="22"/>
              <w:szCs w:val="22"/>
            </w:rPr>
            <w:t xml:space="preserve"> </w:t>
          </w:r>
          <w:r>
            <w:rPr>
              <w:b/>
              <w:bCs/>
              <w:spacing w:val="-14"/>
              <w:sz w:val="22"/>
              <w:szCs w:val="22"/>
            </w:rPr>
            <w:t>系</w:t>
          </w:r>
          <w:r>
            <w:rPr>
              <w:spacing w:val="-45"/>
              <w:sz w:val="22"/>
              <w:szCs w:val="22"/>
            </w:rPr>
            <w:t xml:space="preserve"> </w:t>
          </w:r>
          <w:r>
            <w:rPr>
              <w:b/>
              <w:bCs/>
              <w:spacing w:val="-14"/>
              <w:sz w:val="22"/>
              <w:szCs w:val="22"/>
            </w:rPr>
            <w:t>统</w:t>
          </w:r>
          <w:r>
            <w:rPr>
              <w:spacing w:val="-45"/>
              <w:sz w:val="22"/>
              <w:szCs w:val="22"/>
            </w:rPr>
            <w:t xml:space="preserve"> </w:t>
          </w:r>
          <w:r>
            <w:rPr>
              <w:b/>
              <w:bCs/>
              <w:spacing w:val="-14"/>
              <w:sz w:val="22"/>
              <w:szCs w:val="22"/>
            </w:rPr>
            <w:t>综</w:t>
          </w:r>
          <w:r>
            <w:rPr>
              <w:spacing w:val="-45"/>
              <w:sz w:val="22"/>
              <w:szCs w:val="22"/>
            </w:rPr>
            <w:t xml:space="preserve"> </w:t>
          </w:r>
          <w:r>
            <w:rPr>
              <w:b/>
              <w:bCs/>
              <w:spacing w:val="-14"/>
              <w:sz w:val="22"/>
              <w:szCs w:val="22"/>
            </w:rPr>
            <w:t>述</w:t>
          </w:r>
          <w:r>
            <w:rPr>
              <w:spacing w:val="-85"/>
              <w:sz w:val="22"/>
              <w:szCs w:val="22"/>
            </w:rPr>
            <w:t xml:space="preserve"> </w:t>
          </w:r>
          <w:r>
            <w:rPr>
              <w:sz w:val="22"/>
              <w:szCs w:val="22"/>
            </w:rPr>
            <w:tab/>
          </w:r>
          <w:r>
            <w:rPr>
              <w:rFonts w:ascii="Times New Roman" w:hAnsi="Times New Roman" w:eastAsia="Times New Roman" w:cs="Times New Roman"/>
              <w:b/>
              <w:bCs/>
              <w:spacing w:val="6"/>
              <w:sz w:val="22"/>
              <w:szCs w:val="22"/>
            </w:rPr>
            <w:t>245</w:t>
          </w:r>
          <w:r>
            <w:rPr>
              <w:rFonts w:ascii="Times New Roman" w:hAnsi="Times New Roman" w:eastAsia="Times New Roman" w:cs="Times New Roman"/>
              <w:b/>
              <w:bCs/>
              <w:spacing w:val="6"/>
              <w:sz w:val="22"/>
              <w:szCs w:val="22"/>
            </w:rPr>
            <w:fldChar w:fldCharType="end"/>
          </w:r>
        </w:p>
        <w:p w14:paraId="41902227">
          <w:pPr>
            <w:pStyle w:val="2"/>
            <w:tabs>
              <w:tab w:val="right" w:leader="dot" w:pos="9062"/>
            </w:tabs>
            <w:spacing w:before="129" w:line="221" w:lineRule="auto"/>
            <w:ind w:left="1296"/>
            <w:rPr>
              <w:rFonts w:ascii="Times New Roman" w:hAnsi="Times New Roman" w:eastAsia="Times New Roman" w:cs="Times New Roman"/>
              <w:sz w:val="22"/>
              <w:szCs w:val="22"/>
            </w:rPr>
          </w:pPr>
          <w:r>
            <w:fldChar w:fldCharType="begin"/>
          </w:r>
          <w:r>
            <w:instrText xml:space="preserve"> HYPERLINK \l "bookmark290" </w:instrText>
          </w:r>
          <w:r>
            <w:fldChar w:fldCharType="separate"/>
          </w:r>
          <w:r>
            <w:rPr>
              <w:spacing w:val="9"/>
              <w:sz w:val="22"/>
              <w:szCs w:val="22"/>
            </w:rPr>
            <w:t>第一节</w:t>
          </w:r>
          <w:r>
            <w:rPr>
              <w:spacing w:val="42"/>
              <w:sz w:val="22"/>
              <w:szCs w:val="22"/>
            </w:rPr>
            <w:t xml:space="preserve"> </w:t>
          </w:r>
          <w:r>
            <w:rPr>
              <w:spacing w:val="9"/>
              <w:sz w:val="22"/>
              <w:szCs w:val="22"/>
            </w:rPr>
            <w:t>循证医学</w:t>
          </w:r>
          <w:r>
            <w:rPr>
              <w:spacing w:val="-96"/>
              <w:sz w:val="22"/>
              <w:szCs w:val="22"/>
            </w:rPr>
            <w:t xml:space="preserve"> </w:t>
          </w:r>
          <w:r>
            <w:rPr>
              <w:sz w:val="22"/>
              <w:szCs w:val="22"/>
            </w:rPr>
            <w:tab/>
          </w:r>
          <w:r>
            <w:rPr>
              <w:rFonts w:ascii="Times New Roman" w:hAnsi="Times New Roman" w:eastAsia="Times New Roman" w:cs="Times New Roman"/>
              <w:sz w:val="22"/>
              <w:szCs w:val="22"/>
            </w:rPr>
            <w:t>245</w:t>
          </w:r>
          <w:r>
            <w:rPr>
              <w:rFonts w:ascii="Times New Roman" w:hAnsi="Times New Roman" w:eastAsia="Times New Roman" w:cs="Times New Roman"/>
              <w:sz w:val="22"/>
              <w:szCs w:val="22"/>
            </w:rPr>
            <w:fldChar w:fldCharType="end"/>
          </w:r>
        </w:p>
        <w:p w14:paraId="256A2765">
          <w:pPr>
            <w:pStyle w:val="2"/>
            <w:tabs>
              <w:tab w:val="right" w:leader="dot" w:pos="9062"/>
            </w:tabs>
            <w:spacing w:before="106" w:line="221" w:lineRule="auto"/>
            <w:ind w:left="1716"/>
            <w:rPr>
              <w:rFonts w:ascii="Times New Roman" w:hAnsi="Times New Roman" w:eastAsia="Times New Roman" w:cs="Times New Roman"/>
              <w:sz w:val="22"/>
              <w:szCs w:val="22"/>
            </w:rPr>
          </w:pPr>
          <w:r>
            <w:fldChar w:fldCharType="begin"/>
          </w:r>
          <w:r>
            <w:instrText xml:space="preserve"> HYPERLINK \l "bookmark291" </w:instrText>
          </w:r>
          <w:r>
            <w:fldChar w:fldCharType="separate"/>
          </w:r>
          <w:r>
            <w:rPr>
              <w:spacing w:val="-24"/>
              <w:sz w:val="22"/>
              <w:szCs w:val="22"/>
            </w:rPr>
            <w:t>一</w:t>
          </w:r>
          <w:r>
            <w:rPr>
              <w:spacing w:val="-48"/>
              <w:sz w:val="22"/>
              <w:szCs w:val="22"/>
            </w:rPr>
            <w:t xml:space="preserve"> </w:t>
          </w:r>
          <w:r>
            <w:rPr>
              <w:spacing w:val="-24"/>
              <w:sz w:val="22"/>
              <w:szCs w:val="22"/>
            </w:rPr>
            <w:t>、概</w:t>
          </w:r>
          <w:r>
            <w:rPr>
              <w:spacing w:val="-50"/>
              <w:sz w:val="22"/>
              <w:szCs w:val="22"/>
            </w:rPr>
            <w:t xml:space="preserve"> </w:t>
          </w:r>
          <w:r>
            <w:rPr>
              <w:spacing w:val="-24"/>
              <w:sz w:val="22"/>
              <w:szCs w:val="22"/>
            </w:rPr>
            <w:t>述</w:t>
          </w:r>
          <w:r>
            <w:rPr>
              <w:spacing w:val="-88"/>
              <w:sz w:val="22"/>
              <w:szCs w:val="22"/>
            </w:rPr>
            <w:t xml:space="preserve"> </w:t>
          </w:r>
          <w:r>
            <w:rPr>
              <w:sz w:val="22"/>
              <w:szCs w:val="22"/>
            </w:rPr>
            <w:tab/>
          </w:r>
          <w:r>
            <w:rPr>
              <w:rFonts w:ascii="Times New Roman" w:hAnsi="Times New Roman" w:eastAsia="Times New Roman" w:cs="Times New Roman"/>
              <w:sz w:val="22"/>
              <w:szCs w:val="22"/>
            </w:rPr>
            <w:t>245</w:t>
          </w:r>
          <w:r>
            <w:rPr>
              <w:rFonts w:ascii="Times New Roman" w:hAnsi="Times New Roman" w:eastAsia="Times New Roman" w:cs="Times New Roman"/>
              <w:sz w:val="22"/>
              <w:szCs w:val="22"/>
            </w:rPr>
            <w:fldChar w:fldCharType="end"/>
          </w:r>
        </w:p>
        <w:p w14:paraId="33F5B9F1">
          <w:pPr>
            <w:pStyle w:val="2"/>
            <w:tabs>
              <w:tab w:val="right" w:leader="dot" w:pos="9082"/>
            </w:tabs>
            <w:spacing w:before="103" w:line="218" w:lineRule="auto"/>
            <w:ind w:left="1716"/>
            <w:rPr>
              <w:rFonts w:ascii="Times New Roman" w:hAnsi="Times New Roman" w:eastAsia="Times New Roman" w:cs="Times New Roman"/>
              <w:sz w:val="22"/>
              <w:szCs w:val="22"/>
            </w:rPr>
          </w:pPr>
          <w:r>
            <w:fldChar w:fldCharType="begin"/>
          </w:r>
          <w:r>
            <w:instrText xml:space="preserve"> HYPERLINK \l "bookmark292" </w:instrText>
          </w:r>
          <w:r>
            <w:fldChar w:fldCharType="separate"/>
          </w:r>
          <w:r>
            <w:rPr>
              <w:spacing w:val="-9"/>
              <w:sz w:val="22"/>
              <w:szCs w:val="22"/>
            </w:rPr>
            <w:t>二</w:t>
          </w:r>
          <w:r>
            <w:rPr>
              <w:spacing w:val="-42"/>
              <w:sz w:val="22"/>
              <w:szCs w:val="22"/>
            </w:rPr>
            <w:t xml:space="preserve"> </w:t>
          </w:r>
          <w:r>
            <w:rPr>
              <w:spacing w:val="-9"/>
              <w:sz w:val="22"/>
              <w:szCs w:val="22"/>
            </w:rPr>
            <w:t>、循证医学实践的基础</w:t>
          </w:r>
          <w:r>
            <w:rPr>
              <w:spacing w:val="-91"/>
              <w:sz w:val="22"/>
              <w:szCs w:val="22"/>
            </w:rPr>
            <w:t xml:space="preserve"> </w:t>
          </w:r>
          <w:r>
            <w:rPr>
              <w:sz w:val="22"/>
              <w:szCs w:val="22"/>
            </w:rPr>
            <w:tab/>
          </w:r>
          <w:r>
            <w:rPr>
              <w:spacing w:val="-74"/>
              <w:sz w:val="22"/>
              <w:szCs w:val="22"/>
            </w:rPr>
            <w:t xml:space="preserve"> </w:t>
          </w:r>
          <w:r>
            <w:rPr>
              <w:rFonts w:ascii="Times New Roman" w:hAnsi="Times New Roman" w:eastAsia="Times New Roman" w:cs="Times New Roman"/>
              <w:spacing w:val="-2"/>
              <w:sz w:val="22"/>
              <w:szCs w:val="22"/>
            </w:rPr>
            <w:t>247</w:t>
          </w:r>
          <w:r>
            <w:rPr>
              <w:rFonts w:ascii="Times New Roman" w:hAnsi="Times New Roman" w:eastAsia="Times New Roman" w:cs="Times New Roman"/>
              <w:spacing w:val="-2"/>
              <w:sz w:val="22"/>
              <w:szCs w:val="22"/>
            </w:rPr>
            <w:fldChar w:fldCharType="end"/>
          </w:r>
        </w:p>
        <w:p w14:paraId="3B9E6E63">
          <w:pPr>
            <w:pStyle w:val="2"/>
            <w:tabs>
              <w:tab w:val="right" w:leader="dot" w:pos="9082"/>
            </w:tabs>
            <w:spacing w:before="120" w:line="218" w:lineRule="auto"/>
            <w:ind w:left="1716"/>
            <w:rPr>
              <w:rFonts w:ascii="Times New Roman" w:hAnsi="Times New Roman" w:eastAsia="Times New Roman" w:cs="Times New Roman"/>
              <w:sz w:val="22"/>
              <w:szCs w:val="22"/>
            </w:rPr>
          </w:pPr>
          <w:r>
            <w:fldChar w:fldCharType="begin"/>
          </w:r>
          <w:r>
            <w:instrText xml:space="preserve"> HYPERLINK \l "bookmark293" </w:instrText>
          </w:r>
          <w:r>
            <w:fldChar w:fldCharType="separate"/>
          </w:r>
          <w:r>
            <w:rPr>
              <w:spacing w:val="-7"/>
              <w:sz w:val="22"/>
              <w:szCs w:val="22"/>
            </w:rPr>
            <w:t>三</w:t>
          </w:r>
          <w:r>
            <w:rPr>
              <w:spacing w:val="-43"/>
              <w:sz w:val="22"/>
              <w:szCs w:val="22"/>
            </w:rPr>
            <w:t xml:space="preserve"> </w:t>
          </w:r>
          <w:r>
            <w:rPr>
              <w:spacing w:val="-7"/>
              <w:sz w:val="22"/>
              <w:szCs w:val="22"/>
            </w:rPr>
            <w:t>、循证医学实践的方法</w:t>
          </w:r>
          <w:r>
            <w:rPr>
              <w:spacing w:val="-102"/>
              <w:sz w:val="22"/>
              <w:szCs w:val="22"/>
            </w:rPr>
            <w:t xml:space="preserve"> </w:t>
          </w:r>
          <w:r>
            <w:rPr>
              <w:sz w:val="22"/>
              <w:szCs w:val="22"/>
            </w:rPr>
            <w:tab/>
          </w:r>
          <w:r>
            <w:rPr>
              <w:rFonts w:ascii="Times New Roman" w:hAnsi="Times New Roman" w:eastAsia="Times New Roman" w:cs="Times New Roman"/>
              <w:spacing w:val="6"/>
              <w:sz w:val="22"/>
              <w:szCs w:val="22"/>
            </w:rPr>
            <w:t>248</w:t>
          </w:r>
          <w:r>
            <w:rPr>
              <w:rFonts w:ascii="Times New Roman" w:hAnsi="Times New Roman" w:eastAsia="Times New Roman" w:cs="Times New Roman"/>
              <w:spacing w:val="6"/>
              <w:sz w:val="22"/>
              <w:szCs w:val="22"/>
            </w:rPr>
            <w:fldChar w:fldCharType="end"/>
          </w:r>
        </w:p>
        <w:p w14:paraId="7A8CE342">
          <w:pPr>
            <w:pStyle w:val="2"/>
            <w:tabs>
              <w:tab w:val="right" w:leader="dot" w:pos="9072"/>
            </w:tabs>
            <w:spacing w:before="114" w:line="221" w:lineRule="auto"/>
            <w:ind w:left="1296"/>
            <w:rPr>
              <w:rFonts w:ascii="Times New Roman" w:hAnsi="Times New Roman" w:eastAsia="Times New Roman" w:cs="Times New Roman"/>
              <w:sz w:val="22"/>
              <w:szCs w:val="22"/>
            </w:rPr>
          </w:pPr>
          <w:r>
            <w:fldChar w:fldCharType="begin"/>
          </w:r>
          <w:r>
            <w:instrText xml:space="preserve"> HYPERLINK \l "bookmark294" </w:instrText>
          </w:r>
          <w:r>
            <w:fldChar w:fldCharType="separate"/>
          </w:r>
          <w:r>
            <w:rPr>
              <w:spacing w:val="9"/>
              <w:sz w:val="22"/>
              <w:szCs w:val="22"/>
            </w:rPr>
            <w:t>第二节</w:t>
          </w:r>
          <w:r>
            <w:rPr>
              <w:spacing w:val="43"/>
              <w:sz w:val="22"/>
              <w:szCs w:val="22"/>
            </w:rPr>
            <w:t xml:space="preserve"> </w:t>
          </w:r>
          <w:r>
            <w:rPr>
              <w:spacing w:val="9"/>
              <w:sz w:val="22"/>
              <w:szCs w:val="22"/>
            </w:rPr>
            <w:t>系统综述</w:t>
          </w:r>
          <w:r>
            <w:rPr>
              <w:spacing w:val="-87"/>
              <w:sz w:val="22"/>
              <w:szCs w:val="22"/>
            </w:rPr>
            <w:t xml:space="preserve"> </w:t>
          </w:r>
          <w:r>
            <w:rPr>
              <w:sz w:val="22"/>
              <w:szCs w:val="22"/>
            </w:rPr>
            <w:tab/>
          </w:r>
          <w:r>
            <w:rPr>
              <w:rFonts w:ascii="Times New Roman" w:hAnsi="Times New Roman" w:eastAsia="Times New Roman" w:cs="Times New Roman"/>
              <w:sz w:val="22"/>
              <w:szCs w:val="22"/>
            </w:rPr>
            <w:t>250</w:t>
          </w:r>
          <w:r>
            <w:rPr>
              <w:rFonts w:ascii="Times New Roman" w:hAnsi="Times New Roman" w:eastAsia="Times New Roman" w:cs="Times New Roman"/>
              <w:sz w:val="22"/>
              <w:szCs w:val="22"/>
            </w:rPr>
            <w:fldChar w:fldCharType="end"/>
          </w:r>
        </w:p>
        <w:p w14:paraId="24CDF0E3">
          <w:pPr>
            <w:pStyle w:val="2"/>
            <w:tabs>
              <w:tab w:val="right" w:leader="dot" w:pos="9072"/>
            </w:tabs>
            <w:spacing w:before="116" w:line="221" w:lineRule="auto"/>
            <w:ind w:left="1716"/>
            <w:rPr>
              <w:rFonts w:ascii="Times New Roman" w:hAnsi="Times New Roman" w:eastAsia="Times New Roman" w:cs="Times New Roman"/>
              <w:sz w:val="22"/>
              <w:szCs w:val="22"/>
            </w:rPr>
          </w:pPr>
          <w:r>
            <w:fldChar w:fldCharType="begin"/>
          </w:r>
          <w:r>
            <w:instrText xml:space="preserve"> HYPERLINK \l "bookmark295" </w:instrText>
          </w:r>
          <w:r>
            <w:fldChar w:fldCharType="separate"/>
          </w:r>
          <w:r>
            <w:rPr>
              <w:spacing w:val="-9"/>
              <w:sz w:val="22"/>
              <w:szCs w:val="22"/>
            </w:rPr>
            <w:t>一</w:t>
          </w:r>
          <w:r>
            <w:rPr>
              <w:spacing w:val="-38"/>
              <w:sz w:val="22"/>
              <w:szCs w:val="22"/>
            </w:rPr>
            <w:t xml:space="preserve"> </w:t>
          </w:r>
          <w:r>
            <w:rPr>
              <w:spacing w:val="-9"/>
              <w:sz w:val="22"/>
              <w:szCs w:val="22"/>
            </w:rPr>
            <w:t>、基本概念</w:t>
          </w:r>
          <w:r>
            <w:rPr>
              <w:spacing w:val="-89"/>
              <w:sz w:val="22"/>
              <w:szCs w:val="22"/>
            </w:rPr>
            <w:t xml:space="preserve"> </w:t>
          </w:r>
          <w:r>
            <w:rPr>
              <w:sz w:val="22"/>
              <w:szCs w:val="22"/>
            </w:rPr>
            <w:tab/>
          </w:r>
          <w:r>
            <w:rPr>
              <w:rFonts w:ascii="Times New Roman" w:hAnsi="Times New Roman" w:eastAsia="Times New Roman" w:cs="Times New Roman"/>
              <w:sz w:val="22"/>
              <w:szCs w:val="22"/>
            </w:rPr>
            <w:t>250</w:t>
          </w:r>
          <w:r>
            <w:rPr>
              <w:rFonts w:ascii="Times New Roman" w:hAnsi="Times New Roman" w:eastAsia="Times New Roman" w:cs="Times New Roman"/>
              <w:sz w:val="22"/>
              <w:szCs w:val="22"/>
            </w:rPr>
            <w:fldChar w:fldCharType="end"/>
          </w:r>
        </w:p>
        <w:p w14:paraId="7E7FCA2A">
          <w:pPr>
            <w:pStyle w:val="2"/>
            <w:tabs>
              <w:tab w:val="right" w:leader="dot" w:pos="9082"/>
            </w:tabs>
            <w:spacing w:before="107" w:line="221" w:lineRule="auto"/>
            <w:ind w:left="1716"/>
            <w:rPr>
              <w:rFonts w:ascii="Times New Roman" w:hAnsi="Times New Roman" w:eastAsia="Times New Roman" w:cs="Times New Roman"/>
              <w:sz w:val="22"/>
              <w:szCs w:val="22"/>
            </w:rPr>
          </w:pPr>
          <w:r>
            <w:fldChar w:fldCharType="begin"/>
          </w:r>
          <w:r>
            <w:instrText xml:space="preserve"> HYPERLINK \l "bookmark296" </w:instrText>
          </w:r>
          <w:r>
            <w:fldChar w:fldCharType="separate"/>
          </w:r>
          <w:r>
            <w:rPr>
              <w:spacing w:val="-9"/>
              <w:sz w:val="22"/>
              <w:szCs w:val="22"/>
            </w:rPr>
            <w:t>二</w:t>
          </w:r>
          <w:r>
            <w:rPr>
              <w:spacing w:val="-37"/>
              <w:sz w:val="22"/>
              <w:szCs w:val="22"/>
            </w:rPr>
            <w:t xml:space="preserve"> </w:t>
          </w:r>
          <w:r>
            <w:rPr>
              <w:spacing w:val="-9"/>
              <w:sz w:val="22"/>
              <w:szCs w:val="22"/>
            </w:rPr>
            <w:t>、步骤和方法</w:t>
          </w:r>
          <w:r>
            <w:rPr>
              <w:spacing w:val="-92"/>
              <w:sz w:val="22"/>
              <w:szCs w:val="22"/>
            </w:rPr>
            <w:t xml:space="preserve"> </w:t>
          </w:r>
          <w:r>
            <w:rPr>
              <w:sz w:val="22"/>
              <w:szCs w:val="22"/>
            </w:rPr>
            <w:tab/>
          </w:r>
          <w:r>
            <w:rPr>
              <w:rFonts w:ascii="Times New Roman" w:hAnsi="Times New Roman" w:eastAsia="Times New Roman" w:cs="Times New Roman"/>
              <w:spacing w:val="-3"/>
              <w:sz w:val="22"/>
              <w:szCs w:val="22"/>
            </w:rPr>
            <w:t>251</w:t>
          </w:r>
          <w:r>
            <w:rPr>
              <w:rFonts w:ascii="Times New Roman" w:hAnsi="Times New Roman" w:eastAsia="Times New Roman" w:cs="Times New Roman"/>
              <w:spacing w:val="-3"/>
              <w:sz w:val="22"/>
              <w:szCs w:val="22"/>
            </w:rPr>
            <w:fldChar w:fldCharType="end"/>
          </w:r>
        </w:p>
        <w:p w14:paraId="70D8DF95">
          <w:pPr>
            <w:pStyle w:val="2"/>
            <w:tabs>
              <w:tab w:val="right" w:leader="dot" w:pos="9072"/>
            </w:tabs>
            <w:spacing w:before="117" w:line="221" w:lineRule="auto"/>
            <w:ind w:left="1716"/>
            <w:rPr>
              <w:rFonts w:ascii="Times New Roman" w:hAnsi="Times New Roman" w:eastAsia="Times New Roman" w:cs="Times New Roman"/>
              <w:sz w:val="22"/>
              <w:szCs w:val="22"/>
            </w:rPr>
          </w:pPr>
          <w:r>
            <w:fldChar w:fldCharType="begin"/>
          </w:r>
          <w:r>
            <w:instrText xml:space="preserve"> HYPERLINK \l "bookmark297" </w:instrText>
          </w:r>
          <w:r>
            <w:fldChar w:fldCharType="separate"/>
          </w:r>
          <w:r>
            <w:rPr>
              <w:spacing w:val="-8"/>
              <w:sz w:val="22"/>
              <w:szCs w:val="22"/>
            </w:rPr>
            <w:t>三</w:t>
          </w:r>
          <w:r>
            <w:rPr>
              <w:spacing w:val="-34"/>
              <w:sz w:val="22"/>
              <w:szCs w:val="22"/>
            </w:rPr>
            <w:t xml:space="preserve"> </w:t>
          </w:r>
          <w:r>
            <w:rPr>
              <w:spacing w:val="-8"/>
              <w:sz w:val="22"/>
              <w:szCs w:val="22"/>
            </w:rPr>
            <w:t>、系统综述中的偏倚</w:t>
          </w:r>
          <w:r>
            <w:rPr>
              <w:spacing w:val="-97"/>
              <w:sz w:val="22"/>
              <w:szCs w:val="22"/>
            </w:rPr>
            <w:t xml:space="preserve"> </w:t>
          </w:r>
          <w:r>
            <w:rPr>
              <w:sz w:val="22"/>
              <w:szCs w:val="22"/>
            </w:rPr>
            <w:tab/>
          </w:r>
          <w:r>
            <w:rPr>
              <w:rFonts w:ascii="Times New Roman" w:hAnsi="Times New Roman" w:eastAsia="Times New Roman" w:cs="Times New Roman"/>
              <w:sz w:val="22"/>
              <w:szCs w:val="22"/>
            </w:rPr>
            <w:t>257</w:t>
          </w:r>
          <w:r>
            <w:rPr>
              <w:rFonts w:ascii="Times New Roman" w:hAnsi="Times New Roman" w:eastAsia="Times New Roman" w:cs="Times New Roman"/>
              <w:sz w:val="22"/>
              <w:szCs w:val="22"/>
            </w:rPr>
            <w:fldChar w:fldCharType="end"/>
          </w:r>
        </w:p>
        <w:p w14:paraId="44B4757C">
          <w:pPr>
            <w:pStyle w:val="2"/>
            <w:tabs>
              <w:tab w:val="right" w:leader="dot" w:pos="9062"/>
            </w:tabs>
            <w:spacing w:before="106" w:line="221" w:lineRule="auto"/>
            <w:ind w:left="1716"/>
            <w:rPr>
              <w:rFonts w:ascii="Times New Roman" w:hAnsi="Times New Roman" w:eastAsia="Times New Roman" w:cs="Times New Roman"/>
              <w:sz w:val="22"/>
              <w:szCs w:val="22"/>
            </w:rPr>
          </w:pPr>
          <w:r>
            <w:fldChar w:fldCharType="begin"/>
          </w:r>
          <w:r>
            <w:instrText xml:space="preserve"> HYPERLINK \l "bookmark298" </w:instrText>
          </w:r>
          <w:r>
            <w:fldChar w:fldCharType="separate"/>
          </w:r>
          <w:r>
            <w:rPr>
              <w:spacing w:val="-2"/>
              <w:sz w:val="22"/>
              <w:szCs w:val="22"/>
            </w:rPr>
            <w:t>四</w:t>
          </w:r>
          <w:r>
            <w:rPr>
              <w:spacing w:val="-45"/>
              <w:sz w:val="22"/>
              <w:szCs w:val="22"/>
            </w:rPr>
            <w:t xml:space="preserve"> </w:t>
          </w:r>
          <w:r>
            <w:rPr>
              <w:spacing w:val="-2"/>
              <w:sz w:val="22"/>
              <w:szCs w:val="22"/>
            </w:rPr>
            <w:t>、系统综述与</w:t>
          </w:r>
          <w:r>
            <w:rPr>
              <w:rFonts w:ascii="Times New Roman" w:hAnsi="Times New Roman" w:eastAsia="Times New Roman" w:cs="Times New Roman"/>
              <w:spacing w:val="-2"/>
              <w:sz w:val="22"/>
              <w:szCs w:val="22"/>
            </w:rPr>
            <w:t xml:space="preserve">Meta  </w:t>
          </w:r>
          <w:r>
            <w:rPr>
              <w:spacing w:val="-2"/>
              <w:sz w:val="22"/>
              <w:szCs w:val="22"/>
            </w:rPr>
            <w:t>分析的进展</w:t>
          </w:r>
          <w:r>
            <w:rPr>
              <w:spacing w:val="-93"/>
              <w:sz w:val="22"/>
              <w:szCs w:val="22"/>
            </w:rPr>
            <w:t xml:space="preserve"> </w:t>
          </w:r>
          <w:r>
            <w:rPr>
              <w:sz w:val="22"/>
              <w:szCs w:val="22"/>
            </w:rPr>
            <w:tab/>
          </w:r>
          <w:r>
            <w:rPr>
              <w:spacing w:val="-54"/>
              <w:sz w:val="22"/>
              <w:szCs w:val="22"/>
            </w:rPr>
            <w:t xml:space="preserve"> </w:t>
          </w:r>
          <w:r>
            <w:rPr>
              <w:rFonts w:ascii="Times New Roman" w:hAnsi="Times New Roman" w:eastAsia="Times New Roman" w:cs="Times New Roman"/>
              <w:spacing w:val="-2"/>
              <w:sz w:val="22"/>
              <w:szCs w:val="22"/>
            </w:rPr>
            <w:t>263</w:t>
          </w:r>
          <w:r>
            <w:rPr>
              <w:rFonts w:ascii="Times New Roman" w:hAnsi="Times New Roman" w:eastAsia="Times New Roman" w:cs="Times New Roman"/>
              <w:spacing w:val="-2"/>
              <w:sz w:val="22"/>
              <w:szCs w:val="22"/>
            </w:rPr>
            <w:fldChar w:fldCharType="end"/>
          </w:r>
        </w:p>
        <w:p w14:paraId="7E556E0F">
          <w:pPr>
            <w:spacing w:line="400" w:lineRule="auto"/>
            <w:rPr>
              <w:rFonts w:ascii="Arial"/>
              <w:sz w:val="21"/>
            </w:rPr>
          </w:pPr>
        </w:p>
        <w:p w14:paraId="016E3FF3">
          <w:pPr>
            <w:pStyle w:val="2"/>
            <w:tabs>
              <w:tab w:val="right" w:leader="dot" w:pos="8960"/>
            </w:tabs>
            <w:spacing w:before="72" w:line="222" w:lineRule="auto"/>
            <w:rPr>
              <w:rFonts w:ascii="Times New Roman" w:hAnsi="Times New Roman" w:eastAsia="Times New Roman" w:cs="Times New Roman"/>
              <w:sz w:val="22"/>
              <w:szCs w:val="22"/>
            </w:rPr>
          </w:pPr>
          <w:r>
            <w:fldChar w:fldCharType="begin"/>
          </w:r>
          <w:r>
            <w:instrText xml:space="preserve"> HYPERLINK \l "bookmark299" </w:instrText>
          </w:r>
          <w:r>
            <w:fldChar w:fldCharType="separate"/>
          </w:r>
          <w:r>
            <w:rPr>
              <w:b/>
              <w:bCs/>
              <w:spacing w:val="8"/>
              <w:sz w:val="22"/>
              <w:szCs w:val="22"/>
            </w:rPr>
            <w:t>第十九章</w:t>
          </w:r>
          <w:r>
            <w:rPr>
              <w:spacing w:val="84"/>
              <w:sz w:val="22"/>
              <w:szCs w:val="22"/>
            </w:rPr>
            <w:t xml:space="preserve"> </w:t>
          </w:r>
          <w:r>
            <w:rPr>
              <w:b/>
              <w:bCs/>
              <w:spacing w:val="8"/>
              <w:sz w:val="22"/>
              <w:szCs w:val="22"/>
            </w:rPr>
            <w:t>病</w:t>
          </w:r>
          <w:r>
            <w:rPr>
              <w:spacing w:val="-18"/>
              <w:sz w:val="22"/>
              <w:szCs w:val="22"/>
            </w:rPr>
            <w:t xml:space="preserve"> </w:t>
          </w:r>
          <w:r>
            <w:rPr>
              <w:b/>
              <w:bCs/>
              <w:spacing w:val="8"/>
              <w:sz w:val="22"/>
              <w:szCs w:val="22"/>
            </w:rPr>
            <w:t>毒</w:t>
          </w:r>
          <w:r>
            <w:rPr>
              <w:spacing w:val="-23"/>
              <w:sz w:val="22"/>
              <w:szCs w:val="22"/>
            </w:rPr>
            <w:t xml:space="preserve"> </w:t>
          </w:r>
          <w:r>
            <w:rPr>
              <w:b/>
              <w:bCs/>
              <w:spacing w:val="8"/>
              <w:sz w:val="22"/>
              <w:szCs w:val="22"/>
            </w:rPr>
            <w:t>性</w:t>
          </w:r>
          <w:r>
            <w:rPr>
              <w:spacing w:val="-24"/>
              <w:sz w:val="22"/>
              <w:szCs w:val="22"/>
            </w:rPr>
            <w:t xml:space="preserve"> </w:t>
          </w:r>
          <w:r>
            <w:rPr>
              <w:b/>
              <w:bCs/>
              <w:spacing w:val="8"/>
              <w:sz w:val="22"/>
              <w:szCs w:val="22"/>
            </w:rPr>
            <w:t>肝</w:t>
          </w:r>
          <w:r>
            <w:rPr>
              <w:spacing w:val="-22"/>
              <w:sz w:val="22"/>
              <w:szCs w:val="22"/>
            </w:rPr>
            <w:t xml:space="preserve"> </w:t>
          </w:r>
          <w:r>
            <w:rPr>
              <w:b/>
              <w:bCs/>
              <w:spacing w:val="8"/>
              <w:sz w:val="22"/>
              <w:szCs w:val="22"/>
            </w:rPr>
            <w:t>炎</w:t>
          </w:r>
          <w:r>
            <w:rPr>
              <w:spacing w:val="-84"/>
              <w:sz w:val="22"/>
              <w:szCs w:val="22"/>
            </w:rPr>
            <w:t xml:space="preserve"> </w:t>
          </w:r>
          <w:r>
            <w:rPr>
              <w:sz w:val="22"/>
              <w:szCs w:val="22"/>
            </w:rPr>
            <w:tab/>
          </w:r>
          <w:r>
            <w:rPr>
              <w:spacing w:val="-34"/>
              <w:sz w:val="22"/>
              <w:szCs w:val="22"/>
            </w:rPr>
            <w:t xml:space="preserve"> </w:t>
          </w:r>
          <w:r>
            <w:rPr>
              <w:rFonts w:ascii="Times New Roman" w:hAnsi="Times New Roman" w:eastAsia="Times New Roman" w:cs="Times New Roman"/>
              <w:b/>
              <w:bCs/>
              <w:spacing w:val="-2"/>
              <w:sz w:val="22"/>
              <w:szCs w:val="22"/>
            </w:rPr>
            <w:t>265</w:t>
          </w:r>
          <w:r>
            <w:rPr>
              <w:rFonts w:ascii="Times New Roman" w:hAnsi="Times New Roman" w:eastAsia="Times New Roman" w:cs="Times New Roman"/>
              <w:b/>
              <w:bCs/>
              <w:spacing w:val="-2"/>
              <w:sz w:val="22"/>
              <w:szCs w:val="22"/>
            </w:rPr>
            <w:fldChar w:fldCharType="end"/>
          </w:r>
        </w:p>
        <w:p w14:paraId="098C0E61">
          <w:pPr>
            <w:pStyle w:val="2"/>
            <w:tabs>
              <w:tab w:val="right" w:leader="dot" w:pos="9072"/>
            </w:tabs>
            <w:spacing w:before="128" w:line="221" w:lineRule="auto"/>
            <w:ind w:left="1296"/>
            <w:rPr>
              <w:rFonts w:ascii="Times New Roman" w:hAnsi="Times New Roman" w:eastAsia="Times New Roman" w:cs="Times New Roman"/>
              <w:sz w:val="22"/>
              <w:szCs w:val="22"/>
            </w:rPr>
          </w:pPr>
          <w:r>
            <w:fldChar w:fldCharType="begin"/>
          </w:r>
          <w:r>
            <w:instrText xml:space="preserve"> HYPERLINK \l "bookmark300" </w:instrText>
          </w:r>
          <w:r>
            <w:fldChar w:fldCharType="separate"/>
          </w:r>
          <w:r>
            <w:rPr>
              <w:spacing w:val="9"/>
              <w:sz w:val="22"/>
              <w:szCs w:val="22"/>
            </w:rPr>
            <w:t>第一节 病原学和临床特征</w:t>
          </w:r>
          <w:r>
            <w:rPr>
              <w:spacing w:val="-89"/>
              <w:sz w:val="22"/>
              <w:szCs w:val="22"/>
            </w:rPr>
            <w:t xml:space="preserve"> </w:t>
          </w:r>
          <w:r>
            <w:rPr>
              <w:sz w:val="22"/>
              <w:szCs w:val="22"/>
            </w:rPr>
            <w:tab/>
          </w:r>
          <w:r>
            <w:rPr>
              <w:rFonts w:ascii="Times New Roman" w:hAnsi="Times New Roman" w:eastAsia="Times New Roman" w:cs="Times New Roman"/>
              <w:sz w:val="22"/>
              <w:szCs w:val="22"/>
            </w:rPr>
            <w:t>265</w:t>
          </w:r>
          <w:r>
            <w:rPr>
              <w:rFonts w:ascii="Times New Roman" w:hAnsi="Times New Roman" w:eastAsia="Times New Roman" w:cs="Times New Roman"/>
              <w:sz w:val="22"/>
              <w:szCs w:val="22"/>
            </w:rPr>
            <w:fldChar w:fldCharType="end"/>
          </w:r>
        </w:p>
        <w:p w14:paraId="5D242648">
          <w:pPr>
            <w:pStyle w:val="2"/>
            <w:tabs>
              <w:tab w:val="right" w:leader="dot" w:pos="9082"/>
            </w:tabs>
            <w:spacing w:before="106" w:line="221" w:lineRule="auto"/>
            <w:ind w:left="1716"/>
            <w:rPr>
              <w:rFonts w:ascii="Times New Roman" w:hAnsi="Times New Roman" w:eastAsia="Times New Roman" w:cs="Times New Roman"/>
              <w:sz w:val="22"/>
              <w:szCs w:val="22"/>
            </w:rPr>
          </w:pPr>
          <w:r>
            <w:fldChar w:fldCharType="begin"/>
          </w:r>
          <w:r>
            <w:instrText xml:space="preserve"> HYPERLINK \l "bookmark301" </w:instrText>
          </w:r>
          <w:r>
            <w:fldChar w:fldCharType="separate"/>
          </w:r>
          <w:r>
            <w:rPr>
              <w:spacing w:val="-10"/>
              <w:sz w:val="22"/>
              <w:szCs w:val="22"/>
            </w:rPr>
            <w:t>一</w:t>
          </w:r>
          <w:r>
            <w:rPr>
              <w:spacing w:val="-35"/>
              <w:sz w:val="22"/>
              <w:szCs w:val="22"/>
            </w:rPr>
            <w:t xml:space="preserve"> </w:t>
          </w:r>
          <w:r>
            <w:rPr>
              <w:spacing w:val="-10"/>
              <w:sz w:val="22"/>
              <w:szCs w:val="22"/>
            </w:rPr>
            <w:t>、病原学</w:t>
          </w:r>
          <w:r>
            <w:rPr>
              <w:spacing w:val="-96"/>
              <w:sz w:val="22"/>
              <w:szCs w:val="22"/>
            </w:rPr>
            <w:t xml:space="preserve"> </w:t>
          </w:r>
          <w:r>
            <w:rPr>
              <w:sz w:val="22"/>
              <w:szCs w:val="22"/>
            </w:rPr>
            <w:tab/>
          </w:r>
          <w:r>
            <w:rPr>
              <w:rFonts w:ascii="Times New Roman" w:hAnsi="Times New Roman" w:eastAsia="Times New Roman" w:cs="Times New Roman"/>
              <w:sz w:val="22"/>
              <w:szCs w:val="22"/>
            </w:rPr>
            <w:t>265</w:t>
          </w:r>
          <w:r>
            <w:rPr>
              <w:rFonts w:ascii="Times New Roman" w:hAnsi="Times New Roman" w:eastAsia="Times New Roman" w:cs="Times New Roman"/>
              <w:sz w:val="22"/>
              <w:szCs w:val="22"/>
            </w:rPr>
            <w:fldChar w:fldCharType="end"/>
          </w:r>
        </w:p>
        <w:p w14:paraId="2E05A3F6">
          <w:pPr>
            <w:pStyle w:val="2"/>
            <w:tabs>
              <w:tab w:val="right" w:leader="dot" w:pos="9072"/>
            </w:tabs>
            <w:spacing w:before="107" w:line="221" w:lineRule="auto"/>
            <w:ind w:left="1716"/>
            <w:rPr>
              <w:rFonts w:ascii="Times New Roman" w:hAnsi="Times New Roman" w:eastAsia="Times New Roman" w:cs="Times New Roman"/>
              <w:sz w:val="22"/>
              <w:szCs w:val="22"/>
            </w:rPr>
          </w:pPr>
          <w:r>
            <w:fldChar w:fldCharType="begin"/>
          </w:r>
          <w:r>
            <w:instrText xml:space="preserve"> HYPERLINK \l "bookmark302" </w:instrText>
          </w:r>
          <w:r>
            <w:fldChar w:fldCharType="separate"/>
          </w:r>
          <w:r>
            <w:rPr>
              <w:spacing w:val="-8"/>
              <w:sz w:val="22"/>
              <w:szCs w:val="22"/>
            </w:rPr>
            <w:t>二</w:t>
          </w:r>
          <w:r>
            <w:rPr>
              <w:spacing w:val="-44"/>
              <w:sz w:val="22"/>
              <w:szCs w:val="22"/>
            </w:rPr>
            <w:t xml:space="preserve"> </w:t>
          </w:r>
          <w:r>
            <w:rPr>
              <w:spacing w:val="-8"/>
              <w:sz w:val="22"/>
              <w:szCs w:val="22"/>
            </w:rPr>
            <w:t>、临床特征</w:t>
          </w:r>
          <w:r>
            <w:rPr>
              <w:spacing w:val="-89"/>
              <w:sz w:val="22"/>
              <w:szCs w:val="22"/>
            </w:rPr>
            <w:t xml:space="preserve"> </w:t>
          </w:r>
          <w:r>
            <w:rPr>
              <w:sz w:val="22"/>
              <w:szCs w:val="22"/>
            </w:rPr>
            <w:tab/>
          </w:r>
          <w:r>
            <w:rPr>
              <w:rFonts w:ascii="Times New Roman" w:hAnsi="Times New Roman" w:eastAsia="Times New Roman" w:cs="Times New Roman"/>
              <w:sz w:val="22"/>
              <w:szCs w:val="22"/>
            </w:rPr>
            <w:t>267</w:t>
          </w:r>
          <w:r>
            <w:rPr>
              <w:rFonts w:ascii="Times New Roman" w:hAnsi="Times New Roman" w:eastAsia="Times New Roman" w:cs="Times New Roman"/>
              <w:sz w:val="22"/>
              <w:szCs w:val="22"/>
            </w:rPr>
            <w:fldChar w:fldCharType="end"/>
          </w:r>
        </w:p>
        <w:p w14:paraId="0BF182A9">
          <w:pPr>
            <w:pStyle w:val="2"/>
            <w:tabs>
              <w:tab w:val="right" w:leader="dot" w:pos="9072"/>
            </w:tabs>
            <w:spacing w:before="97" w:line="221" w:lineRule="auto"/>
            <w:ind w:left="1296"/>
            <w:rPr>
              <w:rFonts w:ascii="Times New Roman" w:hAnsi="Times New Roman" w:eastAsia="Times New Roman" w:cs="Times New Roman"/>
              <w:sz w:val="22"/>
              <w:szCs w:val="22"/>
            </w:rPr>
          </w:pPr>
          <w:r>
            <w:fldChar w:fldCharType="begin"/>
          </w:r>
          <w:r>
            <w:instrText xml:space="preserve"> HYPERLINK \l "bookmark303" </w:instrText>
          </w:r>
          <w:r>
            <w:fldChar w:fldCharType="separate"/>
          </w:r>
          <w:r>
            <w:rPr>
              <w:spacing w:val="12"/>
              <w:sz w:val="22"/>
              <w:szCs w:val="22"/>
            </w:rPr>
            <w:t>第二节</w:t>
          </w:r>
          <w:r>
            <w:rPr>
              <w:spacing w:val="32"/>
              <w:sz w:val="22"/>
              <w:szCs w:val="22"/>
            </w:rPr>
            <w:t xml:space="preserve"> </w:t>
          </w:r>
          <w:r>
            <w:rPr>
              <w:spacing w:val="12"/>
              <w:sz w:val="22"/>
              <w:szCs w:val="22"/>
            </w:rPr>
            <w:t>流行过程</w:t>
          </w:r>
          <w:r>
            <w:rPr>
              <w:spacing w:val="-88"/>
              <w:sz w:val="22"/>
              <w:szCs w:val="22"/>
            </w:rPr>
            <w:t xml:space="preserve"> </w:t>
          </w:r>
          <w:r>
            <w:rPr>
              <w:sz w:val="22"/>
              <w:szCs w:val="22"/>
            </w:rPr>
            <w:tab/>
          </w:r>
          <w:r>
            <w:rPr>
              <w:rFonts w:ascii="Times New Roman" w:hAnsi="Times New Roman" w:eastAsia="Times New Roman" w:cs="Times New Roman"/>
              <w:sz w:val="22"/>
              <w:szCs w:val="22"/>
            </w:rPr>
            <w:t>270</w:t>
          </w:r>
          <w:r>
            <w:rPr>
              <w:rFonts w:ascii="Times New Roman" w:hAnsi="Times New Roman" w:eastAsia="Times New Roman" w:cs="Times New Roman"/>
              <w:sz w:val="22"/>
              <w:szCs w:val="22"/>
            </w:rPr>
            <w:fldChar w:fldCharType="end"/>
          </w:r>
        </w:p>
        <w:p w14:paraId="4F3BFD4A">
          <w:pPr>
            <w:pStyle w:val="2"/>
            <w:tabs>
              <w:tab w:val="right" w:leader="dot" w:pos="9062"/>
            </w:tabs>
            <w:spacing w:before="128" w:line="222" w:lineRule="auto"/>
            <w:ind w:left="1716"/>
            <w:rPr>
              <w:rFonts w:ascii="Times New Roman" w:hAnsi="Times New Roman" w:eastAsia="Times New Roman" w:cs="Times New Roman"/>
              <w:sz w:val="22"/>
              <w:szCs w:val="22"/>
            </w:rPr>
          </w:pPr>
          <w:r>
            <w:fldChar w:fldCharType="begin"/>
          </w:r>
          <w:r>
            <w:instrText xml:space="preserve"> HYPERLINK \l "bookmark304" </w:instrText>
          </w:r>
          <w:r>
            <w:fldChar w:fldCharType="separate"/>
          </w:r>
          <w:r>
            <w:rPr>
              <w:spacing w:val="-6"/>
              <w:sz w:val="22"/>
              <w:szCs w:val="22"/>
            </w:rPr>
            <w:t>一</w:t>
          </w:r>
          <w:r>
            <w:rPr>
              <w:spacing w:val="-48"/>
              <w:sz w:val="22"/>
              <w:szCs w:val="22"/>
            </w:rPr>
            <w:t xml:space="preserve"> </w:t>
          </w:r>
          <w:r>
            <w:rPr>
              <w:spacing w:val="-6"/>
              <w:sz w:val="22"/>
              <w:szCs w:val="22"/>
            </w:rPr>
            <w:t>、甲型肝炎</w:t>
          </w:r>
          <w:r>
            <w:rPr>
              <w:spacing w:val="-87"/>
              <w:sz w:val="22"/>
              <w:szCs w:val="22"/>
            </w:rPr>
            <w:t xml:space="preserve"> </w:t>
          </w:r>
          <w:r>
            <w:rPr>
              <w:sz w:val="22"/>
              <w:szCs w:val="22"/>
            </w:rPr>
            <w:tab/>
          </w:r>
          <w:r>
            <w:rPr>
              <w:rFonts w:ascii="Times New Roman" w:hAnsi="Times New Roman" w:eastAsia="Times New Roman" w:cs="Times New Roman"/>
              <w:sz w:val="22"/>
              <w:szCs w:val="22"/>
            </w:rPr>
            <w:t>270</w:t>
          </w:r>
          <w:r>
            <w:rPr>
              <w:rFonts w:ascii="Times New Roman" w:hAnsi="Times New Roman" w:eastAsia="Times New Roman" w:cs="Times New Roman"/>
              <w:sz w:val="22"/>
              <w:szCs w:val="22"/>
            </w:rPr>
            <w:fldChar w:fldCharType="end"/>
          </w:r>
        </w:p>
        <w:p w14:paraId="4BFE09A6">
          <w:pPr>
            <w:pStyle w:val="2"/>
            <w:tabs>
              <w:tab w:val="right" w:leader="dot" w:pos="9132"/>
            </w:tabs>
            <w:spacing w:before="116" w:line="222" w:lineRule="auto"/>
            <w:ind w:left="1716"/>
            <w:rPr>
              <w:rFonts w:ascii="Times New Roman" w:hAnsi="Times New Roman" w:eastAsia="Times New Roman" w:cs="Times New Roman"/>
              <w:sz w:val="22"/>
              <w:szCs w:val="22"/>
            </w:rPr>
          </w:pPr>
          <w:r>
            <w:fldChar w:fldCharType="begin"/>
          </w:r>
          <w:r>
            <w:instrText xml:space="preserve"> HYPERLINK \l "bookmark305" </w:instrText>
          </w:r>
          <w:r>
            <w:fldChar w:fldCharType="separate"/>
          </w:r>
          <w:r>
            <w:rPr>
              <w:spacing w:val="-10"/>
              <w:sz w:val="22"/>
              <w:szCs w:val="22"/>
            </w:rPr>
            <w:t>二</w:t>
          </w:r>
          <w:r>
            <w:rPr>
              <w:spacing w:val="-34"/>
              <w:sz w:val="22"/>
              <w:szCs w:val="22"/>
            </w:rPr>
            <w:t xml:space="preserve"> </w:t>
          </w:r>
          <w:r>
            <w:rPr>
              <w:spacing w:val="-10"/>
              <w:sz w:val="22"/>
              <w:szCs w:val="22"/>
            </w:rPr>
            <w:t>、乙型肝炎</w:t>
          </w:r>
          <w:r>
            <w:rPr>
              <w:spacing w:val="-87"/>
              <w:sz w:val="22"/>
              <w:szCs w:val="22"/>
            </w:rPr>
            <w:t xml:space="preserve"> </w:t>
          </w:r>
          <w:r>
            <w:rPr>
              <w:sz w:val="22"/>
              <w:szCs w:val="22"/>
            </w:rPr>
            <w:tab/>
          </w:r>
          <w:r>
            <w:rPr>
              <w:spacing w:val="-74"/>
              <w:sz w:val="22"/>
              <w:szCs w:val="22"/>
            </w:rPr>
            <w:t xml:space="preserve"> </w:t>
          </w:r>
          <w:r>
            <w:rPr>
              <w:rFonts w:ascii="Times New Roman" w:hAnsi="Times New Roman" w:eastAsia="Times New Roman" w:cs="Times New Roman"/>
              <w:spacing w:val="-2"/>
              <w:sz w:val="22"/>
              <w:szCs w:val="22"/>
            </w:rPr>
            <w:t>271</w:t>
          </w:r>
          <w:r>
            <w:rPr>
              <w:rFonts w:ascii="Times New Roman" w:hAnsi="Times New Roman" w:eastAsia="Times New Roman" w:cs="Times New Roman"/>
              <w:spacing w:val="-2"/>
              <w:sz w:val="22"/>
              <w:szCs w:val="22"/>
            </w:rPr>
            <w:fldChar w:fldCharType="end"/>
          </w:r>
        </w:p>
        <w:p w14:paraId="1D4B13B3">
          <w:pPr>
            <w:pStyle w:val="2"/>
            <w:tabs>
              <w:tab w:val="right" w:leader="dot" w:pos="9072"/>
            </w:tabs>
            <w:spacing w:before="105" w:line="222" w:lineRule="auto"/>
            <w:ind w:left="1716"/>
            <w:rPr>
              <w:rFonts w:ascii="Times New Roman" w:hAnsi="Times New Roman" w:eastAsia="Times New Roman" w:cs="Times New Roman"/>
              <w:sz w:val="22"/>
              <w:szCs w:val="22"/>
            </w:rPr>
          </w:pPr>
          <w:r>
            <w:fldChar w:fldCharType="begin"/>
          </w:r>
          <w:r>
            <w:instrText xml:space="preserve"> HYPERLINK \l "bookmark306" </w:instrText>
          </w:r>
          <w:r>
            <w:fldChar w:fldCharType="separate"/>
          </w:r>
          <w:r>
            <w:rPr>
              <w:spacing w:val="-6"/>
              <w:sz w:val="22"/>
              <w:szCs w:val="22"/>
            </w:rPr>
            <w:t>三</w:t>
          </w:r>
          <w:r>
            <w:rPr>
              <w:spacing w:val="-47"/>
              <w:sz w:val="22"/>
              <w:szCs w:val="22"/>
            </w:rPr>
            <w:t xml:space="preserve"> </w:t>
          </w:r>
          <w:r>
            <w:rPr>
              <w:spacing w:val="-6"/>
              <w:sz w:val="22"/>
              <w:szCs w:val="22"/>
            </w:rPr>
            <w:t>、丙型肝炎</w:t>
          </w:r>
          <w:r>
            <w:rPr>
              <w:spacing w:val="-88"/>
              <w:sz w:val="22"/>
              <w:szCs w:val="22"/>
            </w:rPr>
            <w:t xml:space="preserve"> </w:t>
          </w:r>
          <w:r>
            <w:rPr>
              <w:sz w:val="22"/>
              <w:szCs w:val="22"/>
            </w:rPr>
            <w:tab/>
          </w:r>
          <w:r>
            <w:rPr>
              <w:rFonts w:ascii="Times New Roman" w:hAnsi="Times New Roman" w:eastAsia="Times New Roman" w:cs="Times New Roman"/>
              <w:sz w:val="22"/>
              <w:szCs w:val="22"/>
            </w:rPr>
            <w:t>272</w:t>
          </w:r>
          <w:r>
            <w:rPr>
              <w:rFonts w:ascii="Times New Roman" w:hAnsi="Times New Roman" w:eastAsia="Times New Roman" w:cs="Times New Roman"/>
              <w:sz w:val="22"/>
              <w:szCs w:val="22"/>
            </w:rPr>
            <w:fldChar w:fldCharType="end"/>
          </w:r>
        </w:p>
        <w:p w14:paraId="0C8AEFDA">
          <w:pPr>
            <w:pStyle w:val="2"/>
            <w:tabs>
              <w:tab w:val="right" w:leader="dot" w:pos="9092"/>
            </w:tabs>
            <w:spacing w:before="116" w:line="222" w:lineRule="auto"/>
            <w:ind w:left="1716"/>
            <w:rPr>
              <w:rFonts w:ascii="Times New Roman" w:hAnsi="Times New Roman" w:eastAsia="Times New Roman" w:cs="Times New Roman"/>
              <w:sz w:val="22"/>
              <w:szCs w:val="22"/>
            </w:rPr>
          </w:pPr>
          <w:r>
            <w:fldChar w:fldCharType="begin"/>
          </w:r>
          <w:r>
            <w:instrText xml:space="preserve"> HYPERLINK \l "bookmark307" </w:instrText>
          </w:r>
          <w:r>
            <w:fldChar w:fldCharType="separate"/>
          </w:r>
          <w:r>
            <w:rPr>
              <w:spacing w:val="-11"/>
              <w:sz w:val="22"/>
              <w:szCs w:val="22"/>
            </w:rPr>
            <w:t>四</w:t>
          </w:r>
          <w:r>
            <w:rPr>
              <w:spacing w:val="-28"/>
              <w:sz w:val="22"/>
              <w:szCs w:val="22"/>
            </w:rPr>
            <w:t xml:space="preserve"> </w:t>
          </w:r>
          <w:r>
            <w:rPr>
              <w:spacing w:val="-11"/>
              <w:sz w:val="22"/>
              <w:szCs w:val="22"/>
            </w:rPr>
            <w:t>、丁型肝炎</w:t>
          </w:r>
          <w:r>
            <w:rPr>
              <w:spacing w:val="-97"/>
              <w:sz w:val="22"/>
              <w:szCs w:val="22"/>
            </w:rPr>
            <w:t xml:space="preserve"> </w:t>
          </w:r>
          <w:r>
            <w:rPr>
              <w:sz w:val="22"/>
              <w:szCs w:val="22"/>
            </w:rPr>
            <w:tab/>
          </w:r>
          <w:r>
            <w:rPr>
              <w:rFonts w:ascii="Times New Roman" w:hAnsi="Times New Roman" w:eastAsia="Times New Roman" w:cs="Times New Roman"/>
              <w:sz w:val="22"/>
              <w:szCs w:val="22"/>
            </w:rPr>
            <w:t>272</w:t>
          </w:r>
          <w:r>
            <w:rPr>
              <w:rFonts w:ascii="Times New Roman" w:hAnsi="Times New Roman" w:eastAsia="Times New Roman" w:cs="Times New Roman"/>
              <w:sz w:val="22"/>
              <w:szCs w:val="22"/>
            </w:rPr>
            <w:fldChar w:fldCharType="end"/>
          </w:r>
        </w:p>
        <w:p w14:paraId="7E292B55">
          <w:pPr>
            <w:pStyle w:val="2"/>
            <w:tabs>
              <w:tab w:val="right" w:leader="dot" w:pos="9072"/>
            </w:tabs>
            <w:spacing w:before="95" w:line="222" w:lineRule="auto"/>
            <w:ind w:left="1716"/>
            <w:rPr>
              <w:rFonts w:ascii="Times New Roman" w:hAnsi="Times New Roman" w:eastAsia="Times New Roman" w:cs="Times New Roman"/>
              <w:sz w:val="22"/>
              <w:szCs w:val="22"/>
            </w:rPr>
          </w:pPr>
          <w:r>
            <w:fldChar w:fldCharType="begin"/>
          </w:r>
          <w:r>
            <w:instrText xml:space="preserve"> HYPERLINK \l "bookmark308" </w:instrText>
          </w:r>
          <w:r>
            <w:fldChar w:fldCharType="separate"/>
          </w:r>
          <w:r>
            <w:rPr>
              <w:spacing w:val="-8"/>
              <w:sz w:val="22"/>
              <w:szCs w:val="22"/>
            </w:rPr>
            <w:t>五</w:t>
          </w:r>
          <w:r>
            <w:rPr>
              <w:spacing w:val="-36"/>
              <w:sz w:val="22"/>
              <w:szCs w:val="22"/>
            </w:rPr>
            <w:t xml:space="preserve"> </w:t>
          </w:r>
          <w:r>
            <w:rPr>
              <w:spacing w:val="-8"/>
              <w:sz w:val="22"/>
              <w:szCs w:val="22"/>
            </w:rPr>
            <w:t>、戊型肝炎</w:t>
          </w:r>
          <w:r>
            <w:rPr>
              <w:spacing w:val="-97"/>
              <w:sz w:val="22"/>
              <w:szCs w:val="22"/>
            </w:rPr>
            <w:t xml:space="preserve"> </w:t>
          </w:r>
          <w:r>
            <w:rPr>
              <w:sz w:val="22"/>
              <w:szCs w:val="22"/>
            </w:rPr>
            <w:tab/>
          </w:r>
          <w:r>
            <w:rPr>
              <w:rFonts w:ascii="Times New Roman" w:hAnsi="Times New Roman" w:eastAsia="Times New Roman" w:cs="Times New Roman"/>
              <w:sz w:val="22"/>
              <w:szCs w:val="22"/>
            </w:rPr>
            <w:t>273</w:t>
          </w:r>
          <w:r>
            <w:rPr>
              <w:rFonts w:ascii="Times New Roman" w:hAnsi="Times New Roman" w:eastAsia="Times New Roman" w:cs="Times New Roman"/>
              <w:sz w:val="22"/>
              <w:szCs w:val="22"/>
            </w:rPr>
            <w:fldChar w:fldCharType="end"/>
          </w:r>
        </w:p>
        <w:p w14:paraId="12357BFE">
          <w:pPr>
            <w:pStyle w:val="2"/>
            <w:tabs>
              <w:tab w:val="right" w:leader="dot" w:pos="9092"/>
            </w:tabs>
            <w:spacing w:before="114" w:line="221" w:lineRule="auto"/>
            <w:ind w:left="1296"/>
            <w:rPr>
              <w:rFonts w:ascii="Times New Roman" w:hAnsi="Times New Roman" w:eastAsia="Times New Roman" w:cs="Times New Roman"/>
              <w:sz w:val="22"/>
              <w:szCs w:val="22"/>
            </w:rPr>
          </w:pPr>
          <w:r>
            <w:fldChar w:fldCharType="begin"/>
          </w:r>
          <w:r>
            <w:instrText xml:space="preserve"> HYPERLINK \l "bookmark309" </w:instrText>
          </w:r>
          <w:r>
            <w:fldChar w:fldCharType="separate"/>
          </w:r>
          <w:r>
            <w:rPr>
              <w:spacing w:val="14"/>
              <w:sz w:val="22"/>
              <w:szCs w:val="22"/>
            </w:rPr>
            <w:t>第三节</w:t>
          </w:r>
          <w:r>
            <w:rPr>
              <w:spacing w:val="30"/>
              <w:sz w:val="22"/>
              <w:szCs w:val="22"/>
            </w:rPr>
            <w:t xml:space="preserve"> </w:t>
          </w:r>
          <w:r>
            <w:rPr>
              <w:spacing w:val="14"/>
              <w:sz w:val="22"/>
              <w:szCs w:val="22"/>
            </w:rPr>
            <w:t>流行特征</w:t>
          </w:r>
          <w:r>
            <w:rPr>
              <w:spacing w:val="-100"/>
              <w:sz w:val="22"/>
              <w:szCs w:val="22"/>
            </w:rPr>
            <w:t xml:space="preserve"> </w:t>
          </w:r>
          <w:r>
            <w:rPr>
              <w:sz w:val="22"/>
              <w:szCs w:val="22"/>
            </w:rPr>
            <w:tab/>
          </w:r>
          <w:r>
            <w:rPr>
              <w:rFonts w:ascii="Times New Roman" w:hAnsi="Times New Roman" w:eastAsia="Times New Roman" w:cs="Times New Roman"/>
              <w:sz w:val="22"/>
              <w:szCs w:val="22"/>
            </w:rPr>
            <w:t>273</w:t>
          </w:r>
          <w:r>
            <w:rPr>
              <w:rFonts w:ascii="Times New Roman" w:hAnsi="Times New Roman" w:eastAsia="Times New Roman" w:cs="Times New Roman"/>
              <w:sz w:val="22"/>
              <w:szCs w:val="22"/>
            </w:rPr>
            <w:fldChar w:fldCharType="end"/>
          </w:r>
        </w:p>
        <w:p w14:paraId="5430BB0B">
          <w:pPr>
            <w:pStyle w:val="2"/>
            <w:tabs>
              <w:tab w:val="right" w:leader="dot" w:pos="9072"/>
            </w:tabs>
            <w:spacing w:before="128" w:line="222" w:lineRule="auto"/>
            <w:ind w:left="1716"/>
            <w:rPr>
              <w:rFonts w:ascii="Times New Roman" w:hAnsi="Times New Roman" w:eastAsia="Times New Roman" w:cs="Times New Roman"/>
              <w:sz w:val="22"/>
              <w:szCs w:val="22"/>
            </w:rPr>
          </w:pPr>
          <w:r>
            <w:fldChar w:fldCharType="begin"/>
          </w:r>
          <w:r>
            <w:instrText xml:space="preserve"> HYPERLINK \l "bookmark310" </w:instrText>
          </w:r>
          <w:r>
            <w:fldChar w:fldCharType="separate"/>
          </w:r>
          <w:r>
            <w:rPr>
              <w:spacing w:val="-6"/>
              <w:sz w:val="22"/>
              <w:szCs w:val="22"/>
            </w:rPr>
            <w:t>一</w:t>
          </w:r>
          <w:r>
            <w:rPr>
              <w:spacing w:val="-48"/>
              <w:sz w:val="22"/>
              <w:szCs w:val="22"/>
            </w:rPr>
            <w:t xml:space="preserve"> </w:t>
          </w:r>
          <w:r>
            <w:rPr>
              <w:spacing w:val="-6"/>
              <w:sz w:val="22"/>
              <w:szCs w:val="22"/>
            </w:rPr>
            <w:t>、甲型肝炎</w:t>
          </w:r>
          <w:r>
            <w:rPr>
              <w:spacing w:val="-87"/>
              <w:sz w:val="22"/>
              <w:szCs w:val="22"/>
            </w:rPr>
            <w:t xml:space="preserve"> </w:t>
          </w:r>
          <w:r>
            <w:rPr>
              <w:sz w:val="22"/>
              <w:szCs w:val="22"/>
            </w:rPr>
            <w:tab/>
          </w:r>
          <w:r>
            <w:rPr>
              <w:rFonts w:ascii="Times New Roman" w:hAnsi="Times New Roman" w:eastAsia="Times New Roman" w:cs="Times New Roman"/>
              <w:sz w:val="22"/>
              <w:szCs w:val="22"/>
            </w:rPr>
            <w:t>273</w:t>
          </w:r>
          <w:r>
            <w:rPr>
              <w:rFonts w:ascii="Times New Roman" w:hAnsi="Times New Roman" w:eastAsia="Times New Roman" w:cs="Times New Roman"/>
              <w:sz w:val="22"/>
              <w:szCs w:val="22"/>
            </w:rPr>
            <w:fldChar w:fldCharType="end"/>
          </w:r>
        </w:p>
        <w:p w14:paraId="4CAC0868">
          <w:pPr>
            <w:pStyle w:val="2"/>
            <w:tabs>
              <w:tab w:val="right" w:leader="dot" w:pos="9092"/>
            </w:tabs>
            <w:spacing w:before="116" w:line="222" w:lineRule="auto"/>
            <w:ind w:left="1716"/>
            <w:rPr>
              <w:rFonts w:ascii="Times New Roman" w:hAnsi="Times New Roman" w:eastAsia="Times New Roman" w:cs="Times New Roman"/>
              <w:sz w:val="22"/>
              <w:szCs w:val="22"/>
            </w:rPr>
          </w:pPr>
          <w:r>
            <w:fldChar w:fldCharType="begin"/>
          </w:r>
          <w:r>
            <w:instrText xml:space="preserve"> HYPERLINK \l "bookmark311" </w:instrText>
          </w:r>
          <w:r>
            <w:fldChar w:fldCharType="separate"/>
          </w:r>
          <w:r>
            <w:rPr>
              <w:spacing w:val="-6"/>
              <w:sz w:val="22"/>
              <w:szCs w:val="22"/>
            </w:rPr>
            <w:t>二</w:t>
          </w:r>
          <w:r>
            <w:rPr>
              <w:spacing w:val="-48"/>
              <w:sz w:val="22"/>
              <w:szCs w:val="22"/>
            </w:rPr>
            <w:t xml:space="preserve"> </w:t>
          </w:r>
          <w:r>
            <w:rPr>
              <w:spacing w:val="-6"/>
              <w:sz w:val="22"/>
              <w:szCs w:val="22"/>
            </w:rPr>
            <w:t>、乙型肝炎</w:t>
          </w:r>
          <w:r>
            <w:rPr>
              <w:spacing w:val="-87"/>
              <w:sz w:val="22"/>
              <w:szCs w:val="22"/>
            </w:rPr>
            <w:t xml:space="preserve"> </w:t>
          </w:r>
          <w:r>
            <w:rPr>
              <w:sz w:val="22"/>
              <w:szCs w:val="22"/>
            </w:rPr>
            <w:tab/>
          </w:r>
          <w:r>
            <w:rPr>
              <w:rFonts w:ascii="Times New Roman" w:hAnsi="Times New Roman" w:eastAsia="Times New Roman" w:cs="Times New Roman"/>
              <w:sz w:val="22"/>
              <w:szCs w:val="22"/>
            </w:rPr>
            <w:t>274</w:t>
          </w:r>
          <w:r>
            <w:rPr>
              <w:rFonts w:ascii="Times New Roman" w:hAnsi="Times New Roman" w:eastAsia="Times New Roman" w:cs="Times New Roman"/>
              <w:sz w:val="22"/>
              <w:szCs w:val="22"/>
            </w:rPr>
            <w:fldChar w:fldCharType="end"/>
          </w:r>
        </w:p>
        <w:p w14:paraId="5EC59BCC">
          <w:pPr>
            <w:pStyle w:val="2"/>
            <w:tabs>
              <w:tab w:val="right" w:leader="dot" w:pos="9072"/>
            </w:tabs>
            <w:spacing w:before="115" w:line="222" w:lineRule="auto"/>
            <w:ind w:left="1716"/>
            <w:rPr>
              <w:rFonts w:ascii="Times New Roman" w:hAnsi="Times New Roman" w:eastAsia="Times New Roman" w:cs="Times New Roman"/>
              <w:sz w:val="22"/>
              <w:szCs w:val="22"/>
            </w:rPr>
          </w:pPr>
          <w:r>
            <w:fldChar w:fldCharType="begin"/>
          </w:r>
          <w:r>
            <w:instrText xml:space="preserve"> HYPERLINK \l "bookmark312" </w:instrText>
          </w:r>
          <w:r>
            <w:fldChar w:fldCharType="separate"/>
          </w:r>
          <w:r>
            <w:rPr>
              <w:spacing w:val="-6"/>
              <w:sz w:val="22"/>
              <w:szCs w:val="22"/>
            </w:rPr>
            <w:t>三</w:t>
          </w:r>
          <w:r>
            <w:rPr>
              <w:spacing w:val="-47"/>
              <w:sz w:val="22"/>
              <w:szCs w:val="22"/>
            </w:rPr>
            <w:t xml:space="preserve"> </w:t>
          </w:r>
          <w:r>
            <w:rPr>
              <w:spacing w:val="-6"/>
              <w:sz w:val="22"/>
              <w:szCs w:val="22"/>
            </w:rPr>
            <w:t>、丙型肝炎</w:t>
          </w:r>
          <w:r>
            <w:rPr>
              <w:spacing w:val="-88"/>
              <w:sz w:val="22"/>
              <w:szCs w:val="22"/>
            </w:rPr>
            <w:t xml:space="preserve"> </w:t>
          </w:r>
          <w:r>
            <w:rPr>
              <w:sz w:val="22"/>
              <w:szCs w:val="22"/>
            </w:rPr>
            <w:tab/>
          </w:r>
          <w:r>
            <w:rPr>
              <w:rFonts w:ascii="Times New Roman" w:hAnsi="Times New Roman" w:eastAsia="Times New Roman" w:cs="Times New Roman"/>
              <w:sz w:val="22"/>
              <w:szCs w:val="22"/>
            </w:rPr>
            <w:t>275</w:t>
          </w:r>
          <w:r>
            <w:rPr>
              <w:rFonts w:ascii="Times New Roman" w:hAnsi="Times New Roman" w:eastAsia="Times New Roman" w:cs="Times New Roman"/>
              <w:sz w:val="22"/>
              <w:szCs w:val="22"/>
            </w:rPr>
            <w:fldChar w:fldCharType="end"/>
          </w:r>
        </w:p>
        <w:p w14:paraId="197735BA">
          <w:pPr>
            <w:pStyle w:val="2"/>
            <w:tabs>
              <w:tab w:val="right" w:leader="dot" w:pos="9062"/>
            </w:tabs>
            <w:spacing w:before="116" w:line="222" w:lineRule="auto"/>
            <w:ind w:left="1716"/>
            <w:rPr>
              <w:rFonts w:ascii="Times New Roman" w:hAnsi="Times New Roman" w:eastAsia="Times New Roman" w:cs="Times New Roman"/>
              <w:sz w:val="22"/>
              <w:szCs w:val="22"/>
            </w:rPr>
          </w:pPr>
          <w:r>
            <w:fldChar w:fldCharType="begin"/>
          </w:r>
          <w:r>
            <w:instrText xml:space="preserve"> HYPERLINK \l "bookmark313" </w:instrText>
          </w:r>
          <w:r>
            <w:fldChar w:fldCharType="separate"/>
          </w:r>
          <w:r>
            <w:rPr>
              <w:spacing w:val="-13"/>
              <w:sz w:val="22"/>
              <w:szCs w:val="22"/>
            </w:rPr>
            <w:t>四</w:t>
          </w:r>
          <w:r>
            <w:rPr>
              <w:spacing w:val="-36"/>
              <w:sz w:val="22"/>
              <w:szCs w:val="22"/>
            </w:rPr>
            <w:t xml:space="preserve"> </w:t>
          </w:r>
          <w:r>
            <w:rPr>
              <w:spacing w:val="-13"/>
              <w:sz w:val="22"/>
              <w:szCs w:val="22"/>
            </w:rPr>
            <w:t>、丁型肝炎</w:t>
          </w:r>
          <w:r>
            <w:rPr>
              <w:spacing w:val="-87"/>
              <w:sz w:val="22"/>
              <w:szCs w:val="22"/>
            </w:rPr>
            <w:t xml:space="preserve"> </w:t>
          </w:r>
          <w:r>
            <w:rPr>
              <w:sz w:val="22"/>
              <w:szCs w:val="22"/>
            </w:rPr>
            <w:tab/>
          </w:r>
          <w:r>
            <w:rPr>
              <w:rFonts w:ascii="Times New Roman" w:hAnsi="Times New Roman" w:eastAsia="Times New Roman" w:cs="Times New Roman"/>
              <w:sz w:val="22"/>
              <w:szCs w:val="22"/>
            </w:rPr>
            <w:t>276</w:t>
          </w:r>
          <w:r>
            <w:rPr>
              <w:rFonts w:ascii="Times New Roman" w:hAnsi="Times New Roman" w:eastAsia="Times New Roman" w:cs="Times New Roman"/>
              <w:sz w:val="22"/>
              <w:szCs w:val="22"/>
            </w:rPr>
            <w:fldChar w:fldCharType="end"/>
          </w:r>
        </w:p>
        <w:p w14:paraId="43CDAE4A">
          <w:pPr>
            <w:pStyle w:val="2"/>
            <w:tabs>
              <w:tab w:val="right" w:leader="dot" w:pos="9072"/>
            </w:tabs>
            <w:spacing w:before="115" w:line="222" w:lineRule="auto"/>
            <w:ind w:left="1716"/>
            <w:rPr>
              <w:rFonts w:ascii="Times New Roman" w:hAnsi="Times New Roman" w:eastAsia="Times New Roman" w:cs="Times New Roman"/>
              <w:sz w:val="22"/>
              <w:szCs w:val="22"/>
            </w:rPr>
          </w:pPr>
          <w:r>
            <w:fldChar w:fldCharType="begin"/>
          </w:r>
          <w:r>
            <w:instrText xml:space="preserve"> HYPERLINK \l "bookmark314" </w:instrText>
          </w:r>
          <w:r>
            <w:fldChar w:fldCharType="separate"/>
          </w:r>
          <w:r>
            <w:rPr>
              <w:spacing w:val="-7"/>
              <w:sz w:val="22"/>
              <w:szCs w:val="22"/>
            </w:rPr>
            <w:t>五</w:t>
          </w:r>
          <w:r>
            <w:rPr>
              <w:spacing w:val="-42"/>
              <w:sz w:val="22"/>
              <w:szCs w:val="22"/>
            </w:rPr>
            <w:t xml:space="preserve"> </w:t>
          </w:r>
          <w:r>
            <w:rPr>
              <w:spacing w:val="-7"/>
              <w:sz w:val="22"/>
              <w:szCs w:val="22"/>
            </w:rPr>
            <w:t>、戊型肝炎</w:t>
          </w:r>
          <w:r>
            <w:rPr>
              <w:spacing w:val="-87"/>
              <w:sz w:val="22"/>
              <w:szCs w:val="22"/>
            </w:rPr>
            <w:t xml:space="preserve"> </w:t>
          </w:r>
          <w:r>
            <w:rPr>
              <w:sz w:val="22"/>
              <w:szCs w:val="22"/>
            </w:rPr>
            <w:tab/>
          </w:r>
          <w:r>
            <w:rPr>
              <w:rFonts w:ascii="Times New Roman" w:hAnsi="Times New Roman" w:eastAsia="Times New Roman" w:cs="Times New Roman"/>
              <w:sz w:val="22"/>
              <w:szCs w:val="22"/>
            </w:rPr>
            <w:t>277</w:t>
          </w:r>
          <w:r>
            <w:rPr>
              <w:rFonts w:ascii="Times New Roman" w:hAnsi="Times New Roman" w:eastAsia="Times New Roman" w:cs="Times New Roman"/>
              <w:sz w:val="22"/>
              <w:szCs w:val="22"/>
            </w:rPr>
            <w:fldChar w:fldCharType="end"/>
          </w:r>
        </w:p>
        <w:p w14:paraId="5B4B37A6">
          <w:pPr>
            <w:pStyle w:val="2"/>
            <w:tabs>
              <w:tab w:val="right" w:leader="dot" w:pos="9072"/>
            </w:tabs>
            <w:spacing w:before="113" w:line="221" w:lineRule="auto"/>
            <w:ind w:left="1296"/>
            <w:rPr>
              <w:rFonts w:ascii="Times New Roman" w:hAnsi="Times New Roman" w:eastAsia="Times New Roman" w:cs="Times New Roman"/>
              <w:sz w:val="22"/>
              <w:szCs w:val="22"/>
            </w:rPr>
          </w:pPr>
          <w:r>
            <w:fldChar w:fldCharType="begin"/>
          </w:r>
          <w:r>
            <w:instrText xml:space="preserve"> HYPERLINK \l "bookmark315" </w:instrText>
          </w:r>
          <w:r>
            <w:fldChar w:fldCharType="separate"/>
          </w:r>
          <w:r>
            <w:rPr>
              <w:spacing w:val="9"/>
              <w:sz w:val="22"/>
              <w:szCs w:val="22"/>
            </w:rPr>
            <w:t>第四节</w:t>
          </w:r>
          <w:r>
            <w:rPr>
              <w:spacing w:val="29"/>
              <w:sz w:val="22"/>
              <w:szCs w:val="22"/>
            </w:rPr>
            <w:t xml:space="preserve"> </w:t>
          </w:r>
          <w:r>
            <w:rPr>
              <w:spacing w:val="9"/>
              <w:sz w:val="22"/>
              <w:szCs w:val="22"/>
            </w:rPr>
            <w:t>预防策略与措施</w:t>
          </w:r>
          <w:r>
            <w:rPr>
              <w:spacing w:val="-91"/>
              <w:sz w:val="22"/>
              <w:szCs w:val="22"/>
            </w:rPr>
            <w:t xml:space="preserve"> </w:t>
          </w:r>
          <w:r>
            <w:rPr>
              <w:sz w:val="22"/>
              <w:szCs w:val="22"/>
            </w:rPr>
            <w:tab/>
          </w:r>
          <w:r>
            <w:rPr>
              <w:rFonts w:ascii="Times New Roman" w:hAnsi="Times New Roman" w:eastAsia="Times New Roman" w:cs="Times New Roman"/>
              <w:sz w:val="22"/>
              <w:szCs w:val="22"/>
            </w:rPr>
            <w:t>277</w:t>
          </w:r>
          <w:r>
            <w:rPr>
              <w:rFonts w:ascii="Times New Roman" w:hAnsi="Times New Roman" w:eastAsia="Times New Roman" w:cs="Times New Roman"/>
              <w:sz w:val="22"/>
              <w:szCs w:val="22"/>
            </w:rPr>
            <w:fldChar w:fldCharType="end"/>
          </w:r>
        </w:p>
        <w:p w14:paraId="5949B109">
          <w:pPr>
            <w:pStyle w:val="2"/>
            <w:tabs>
              <w:tab w:val="right" w:leader="dot" w:pos="9072"/>
            </w:tabs>
            <w:spacing w:before="118" w:line="222" w:lineRule="auto"/>
            <w:ind w:left="1716"/>
            <w:rPr>
              <w:rFonts w:ascii="Times New Roman" w:hAnsi="Times New Roman" w:eastAsia="Times New Roman" w:cs="Times New Roman"/>
              <w:sz w:val="22"/>
              <w:szCs w:val="22"/>
            </w:rPr>
          </w:pPr>
          <w:r>
            <w:fldChar w:fldCharType="begin"/>
          </w:r>
          <w:r>
            <w:instrText xml:space="preserve"> HYPERLINK \l "bookmark316" </w:instrText>
          </w:r>
          <w:r>
            <w:fldChar w:fldCharType="separate"/>
          </w:r>
          <w:r>
            <w:rPr>
              <w:spacing w:val="-11"/>
              <w:sz w:val="22"/>
              <w:szCs w:val="22"/>
            </w:rPr>
            <w:t>一</w:t>
          </w:r>
          <w:r>
            <w:rPr>
              <w:spacing w:val="-47"/>
              <w:sz w:val="22"/>
              <w:szCs w:val="22"/>
            </w:rPr>
            <w:t xml:space="preserve"> </w:t>
          </w:r>
          <w:r>
            <w:rPr>
              <w:spacing w:val="-11"/>
              <w:sz w:val="22"/>
              <w:szCs w:val="22"/>
            </w:rPr>
            <w:t>、策略</w:t>
          </w:r>
          <w:r>
            <w:rPr>
              <w:spacing w:val="-91"/>
              <w:sz w:val="22"/>
              <w:szCs w:val="22"/>
            </w:rPr>
            <w:t xml:space="preserve"> </w:t>
          </w:r>
          <w:r>
            <w:rPr>
              <w:sz w:val="22"/>
              <w:szCs w:val="22"/>
            </w:rPr>
            <w:tab/>
          </w:r>
          <w:r>
            <w:rPr>
              <w:rFonts w:ascii="Times New Roman" w:hAnsi="Times New Roman" w:eastAsia="Times New Roman" w:cs="Times New Roman"/>
              <w:sz w:val="22"/>
              <w:szCs w:val="22"/>
            </w:rPr>
            <w:t>277</w:t>
          </w:r>
          <w:r>
            <w:rPr>
              <w:rFonts w:ascii="Times New Roman" w:hAnsi="Times New Roman" w:eastAsia="Times New Roman" w:cs="Times New Roman"/>
              <w:sz w:val="22"/>
              <w:szCs w:val="22"/>
            </w:rPr>
            <w:fldChar w:fldCharType="end"/>
          </w:r>
        </w:p>
        <w:p w14:paraId="5EA7F407">
          <w:pPr>
            <w:pStyle w:val="2"/>
            <w:tabs>
              <w:tab w:val="right" w:leader="dot" w:pos="9072"/>
            </w:tabs>
            <w:spacing w:before="117" w:line="223" w:lineRule="auto"/>
            <w:ind w:left="1716"/>
            <w:rPr>
              <w:rFonts w:ascii="Times New Roman" w:hAnsi="Times New Roman" w:eastAsia="Times New Roman" w:cs="Times New Roman"/>
              <w:sz w:val="22"/>
              <w:szCs w:val="22"/>
            </w:rPr>
          </w:pPr>
          <w:r>
            <w:fldChar w:fldCharType="begin"/>
          </w:r>
          <w:r>
            <w:instrText xml:space="preserve"> HYPERLINK \l "bookmark317" </w:instrText>
          </w:r>
          <w:r>
            <w:fldChar w:fldCharType="separate"/>
          </w:r>
          <w:r>
            <w:rPr>
              <w:spacing w:val="-27"/>
              <w:sz w:val="22"/>
              <w:szCs w:val="22"/>
            </w:rPr>
            <w:t>二</w:t>
          </w:r>
          <w:r>
            <w:rPr>
              <w:spacing w:val="-47"/>
              <w:sz w:val="22"/>
              <w:szCs w:val="22"/>
            </w:rPr>
            <w:t xml:space="preserve"> </w:t>
          </w:r>
          <w:r>
            <w:rPr>
              <w:spacing w:val="-27"/>
              <w:sz w:val="22"/>
              <w:szCs w:val="22"/>
            </w:rPr>
            <w:t>、措</w:t>
          </w:r>
          <w:r>
            <w:rPr>
              <w:spacing w:val="-36"/>
              <w:sz w:val="22"/>
              <w:szCs w:val="22"/>
            </w:rPr>
            <w:t xml:space="preserve"> </w:t>
          </w:r>
          <w:r>
            <w:rPr>
              <w:spacing w:val="-27"/>
              <w:sz w:val="22"/>
              <w:szCs w:val="22"/>
            </w:rPr>
            <w:t>施</w:t>
          </w:r>
          <w:r>
            <w:rPr>
              <w:spacing w:val="-91"/>
              <w:sz w:val="22"/>
              <w:szCs w:val="22"/>
            </w:rPr>
            <w:t xml:space="preserve"> </w:t>
          </w:r>
          <w:r>
            <w:rPr>
              <w:sz w:val="22"/>
              <w:szCs w:val="22"/>
            </w:rPr>
            <w:tab/>
          </w:r>
          <w:r>
            <w:rPr>
              <w:rFonts w:ascii="Times New Roman" w:hAnsi="Times New Roman" w:eastAsia="Times New Roman" w:cs="Times New Roman"/>
              <w:sz w:val="22"/>
              <w:szCs w:val="22"/>
            </w:rPr>
            <w:t>278</w:t>
          </w:r>
          <w:r>
            <w:rPr>
              <w:rFonts w:ascii="Times New Roman" w:hAnsi="Times New Roman" w:eastAsia="Times New Roman" w:cs="Times New Roman"/>
              <w:sz w:val="22"/>
              <w:szCs w:val="22"/>
            </w:rPr>
            <w:fldChar w:fldCharType="end"/>
          </w:r>
        </w:p>
        <w:p w14:paraId="481A9FC9">
          <w:pPr>
            <w:spacing w:line="395" w:lineRule="auto"/>
            <w:rPr>
              <w:rFonts w:ascii="Arial"/>
              <w:sz w:val="21"/>
            </w:rPr>
          </w:pPr>
        </w:p>
        <w:p w14:paraId="64E01CFB">
          <w:pPr>
            <w:pStyle w:val="2"/>
            <w:tabs>
              <w:tab w:val="right" w:leader="dot" w:pos="8960"/>
            </w:tabs>
            <w:spacing w:before="72" w:line="222" w:lineRule="auto"/>
            <w:rPr>
              <w:rFonts w:ascii="Times New Roman" w:hAnsi="Times New Roman" w:eastAsia="Times New Roman" w:cs="Times New Roman"/>
              <w:sz w:val="22"/>
              <w:szCs w:val="22"/>
            </w:rPr>
          </w:pPr>
          <w:r>
            <w:fldChar w:fldCharType="begin"/>
          </w:r>
          <w:r>
            <w:instrText xml:space="preserve"> HYPERLINK \l "bookmark318" </w:instrText>
          </w:r>
          <w:r>
            <w:fldChar w:fldCharType="separate"/>
          </w:r>
          <w:r>
            <w:rPr>
              <w:b/>
              <w:bCs/>
              <w:spacing w:val="-9"/>
              <w:sz w:val="22"/>
              <w:szCs w:val="22"/>
            </w:rPr>
            <w:t>第</w:t>
          </w:r>
          <w:r>
            <w:rPr>
              <w:spacing w:val="-38"/>
              <w:sz w:val="22"/>
              <w:szCs w:val="22"/>
            </w:rPr>
            <w:t xml:space="preserve"> </w:t>
          </w:r>
          <w:r>
            <w:rPr>
              <w:b/>
              <w:bCs/>
              <w:spacing w:val="-9"/>
              <w:sz w:val="22"/>
              <w:szCs w:val="22"/>
            </w:rPr>
            <w:t>二</w:t>
          </w:r>
          <w:r>
            <w:rPr>
              <w:spacing w:val="-41"/>
              <w:sz w:val="22"/>
              <w:szCs w:val="22"/>
            </w:rPr>
            <w:t xml:space="preserve"> </w:t>
          </w:r>
          <w:r>
            <w:rPr>
              <w:b/>
              <w:bCs/>
              <w:spacing w:val="-9"/>
              <w:sz w:val="22"/>
              <w:szCs w:val="22"/>
            </w:rPr>
            <w:t>十</w:t>
          </w:r>
          <w:r>
            <w:rPr>
              <w:spacing w:val="-44"/>
              <w:sz w:val="22"/>
              <w:szCs w:val="22"/>
            </w:rPr>
            <w:t xml:space="preserve"> </w:t>
          </w:r>
          <w:r>
            <w:rPr>
              <w:b/>
              <w:bCs/>
              <w:spacing w:val="-9"/>
              <w:sz w:val="22"/>
              <w:szCs w:val="22"/>
            </w:rPr>
            <w:t>章</w:t>
          </w:r>
          <w:r>
            <w:rPr>
              <w:spacing w:val="-9"/>
              <w:sz w:val="22"/>
              <w:szCs w:val="22"/>
            </w:rPr>
            <w:t xml:space="preserve">  </w:t>
          </w:r>
          <w:r>
            <w:rPr>
              <w:b/>
              <w:bCs/>
              <w:spacing w:val="-9"/>
              <w:sz w:val="22"/>
              <w:szCs w:val="22"/>
            </w:rPr>
            <w:t>结</w:t>
          </w:r>
          <w:r>
            <w:rPr>
              <w:spacing w:val="-9"/>
              <w:sz w:val="22"/>
              <w:szCs w:val="22"/>
            </w:rPr>
            <w:t xml:space="preserve"> </w:t>
          </w:r>
          <w:r>
            <w:rPr>
              <w:b/>
              <w:bCs/>
              <w:spacing w:val="-9"/>
              <w:sz w:val="22"/>
              <w:szCs w:val="22"/>
            </w:rPr>
            <w:t>核</w:t>
          </w:r>
          <w:r>
            <w:rPr>
              <w:spacing w:val="-9"/>
              <w:sz w:val="22"/>
              <w:szCs w:val="22"/>
            </w:rPr>
            <w:t xml:space="preserve"> </w:t>
          </w:r>
          <w:r>
            <w:rPr>
              <w:b/>
              <w:bCs/>
              <w:spacing w:val="-9"/>
              <w:sz w:val="22"/>
              <w:szCs w:val="22"/>
            </w:rPr>
            <w:t>病</w:t>
          </w:r>
          <w:r>
            <w:rPr>
              <w:spacing w:val="-89"/>
              <w:sz w:val="22"/>
              <w:szCs w:val="22"/>
            </w:rPr>
            <w:t xml:space="preserve"> </w:t>
          </w:r>
          <w:r>
            <w:rPr>
              <w:sz w:val="22"/>
              <w:szCs w:val="22"/>
            </w:rPr>
            <w:tab/>
          </w:r>
          <w:r>
            <w:rPr>
              <w:rFonts w:ascii="Times New Roman" w:hAnsi="Times New Roman" w:eastAsia="Times New Roman" w:cs="Times New Roman"/>
              <w:b/>
              <w:bCs/>
              <w:sz w:val="22"/>
              <w:szCs w:val="22"/>
            </w:rPr>
            <w:t>282</w:t>
          </w:r>
          <w:r>
            <w:rPr>
              <w:rFonts w:ascii="Times New Roman" w:hAnsi="Times New Roman" w:eastAsia="Times New Roman" w:cs="Times New Roman"/>
              <w:b/>
              <w:bCs/>
              <w:sz w:val="22"/>
              <w:szCs w:val="22"/>
            </w:rPr>
            <w:fldChar w:fldCharType="end"/>
          </w:r>
        </w:p>
        <w:p w14:paraId="5D46E486">
          <w:pPr>
            <w:pStyle w:val="2"/>
            <w:tabs>
              <w:tab w:val="right" w:leader="dot" w:pos="9072"/>
            </w:tabs>
            <w:spacing w:before="138" w:line="221" w:lineRule="auto"/>
            <w:ind w:left="1296"/>
            <w:rPr>
              <w:rFonts w:ascii="Times New Roman" w:hAnsi="Times New Roman" w:eastAsia="Times New Roman" w:cs="Times New Roman"/>
              <w:sz w:val="22"/>
              <w:szCs w:val="22"/>
            </w:rPr>
          </w:pPr>
          <w:r>
            <w:fldChar w:fldCharType="begin"/>
          </w:r>
          <w:r>
            <w:instrText xml:space="preserve"> HYPERLINK \l "bookmark319" </w:instrText>
          </w:r>
          <w:r>
            <w:fldChar w:fldCharType="separate"/>
          </w:r>
          <w:r>
            <w:rPr>
              <w:spacing w:val="-5"/>
              <w:sz w:val="22"/>
              <w:szCs w:val="22"/>
            </w:rPr>
            <w:t>第一节</w:t>
          </w:r>
          <w:r>
            <w:rPr>
              <w:spacing w:val="75"/>
              <w:sz w:val="22"/>
              <w:szCs w:val="22"/>
            </w:rPr>
            <w:t xml:space="preserve"> </w:t>
          </w:r>
          <w:r>
            <w:rPr>
              <w:spacing w:val="-5"/>
              <w:sz w:val="22"/>
              <w:szCs w:val="22"/>
            </w:rPr>
            <w:t>概</w:t>
          </w:r>
          <w:r>
            <w:rPr>
              <w:spacing w:val="-34"/>
              <w:sz w:val="22"/>
              <w:szCs w:val="22"/>
            </w:rPr>
            <w:t xml:space="preserve"> </w:t>
          </w:r>
          <w:r>
            <w:rPr>
              <w:spacing w:val="-5"/>
              <w:sz w:val="22"/>
              <w:szCs w:val="22"/>
            </w:rPr>
            <w:t>述</w:t>
          </w:r>
          <w:r>
            <w:rPr>
              <w:spacing w:val="-88"/>
              <w:sz w:val="22"/>
              <w:szCs w:val="22"/>
            </w:rPr>
            <w:t xml:space="preserve"> </w:t>
          </w:r>
          <w:r>
            <w:rPr>
              <w:sz w:val="22"/>
              <w:szCs w:val="22"/>
            </w:rPr>
            <w:tab/>
          </w:r>
          <w:r>
            <w:rPr>
              <w:rFonts w:ascii="Times New Roman" w:hAnsi="Times New Roman" w:eastAsia="Times New Roman" w:cs="Times New Roman"/>
              <w:sz w:val="22"/>
              <w:szCs w:val="22"/>
            </w:rPr>
            <w:t>282</w:t>
          </w:r>
          <w:r>
            <w:rPr>
              <w:rFonts w:ascii="Times New Roman" w:hAnsi="Times New Roman" w:eastAsia="Times New Roman" w:cs="Times New Roman"/>
              <w:sz w:val="22"/>
              <w:szCs w:val="22"/>
            </w:rPr>
            <w:fldChar w:fldCharType="end"/>
          </w:r>
        </w:p>
        <w:p w14:paraId="23834D0C">
          <w:pPr>
            <w:pStyle w:val="2"/>
            <w:tabs>
              <w:tab w:val="right" w:leader="dot" w:pos="9082"/>
            </w:tabs>
            <w:spacing w:before="117" w:line="221" w:lineRule="auto"/>
            <w:ind w:left="1716"/>
            <w:rPr>
              <w:rFonts w:ascii="Times New Roman" w:hAnsi="Times New Roman" w:eastAsia="Times New Roman" w:cs="Times New Roman"/>
              <w:sz w:val="22"/>
              <w:szCs w:val="22"/>
            </w:rPr>
          </w:pPr>
          <w:r>
            <w:fldChar w:fldCharType="begin"/>
          </w:r>
          <w:r>
            <w:instrText xml:space="preserve"> HYPERLINK \l "bookmark320" </w:instrText>
          </w:r>
          <w:r>
            <w:fldChar w:fldCharType="separate"/>
          </w:r>
          <w:r>
            <w:rPr>
              <w:spacing w:val="-8"/>
              <w:sz w:val="22"/>
              <w:szCs w:val="22"/>
            </w:rPr>
            <w:t>一</w:t>
          </w:r>
          <w:r>
            <w:rPr>
              <w:spacing w:val="-23"/>
              <w:sz w:val="22"/>
              <w:szCs w:val="22"/>
            </w:rPr>
            <w:t xml:space="preserve"> </w:t>
          </w:r>
          <w:r>
            <w:rPr>
              <w:spacing w:val="-8"/>
              <w:sz w:val="22"/>
              <w:szCs w:val="22"/>
            </w:rPr>
            <w:t>、感染和发病</w:t>
          </w:r>
          <w:r>
            <w:rPr>
              <w:sz w:val="22"/>
              <w:szCs w:val="22"/>
            </w:rPr>
            <w:tab/>
          </w:r>
          <w:r>
            <w:rPr>
              <w:rFonts w:ascii="Times New Roman" w:hAnsi="Times New Roman" w:eastAsia="Times New Roman" w:cs="Times New Roman"/>
              <w:spacing w:val="-3"/>
              <w:sz w:val="22"/>
              <w:szCs w:val="22"/>
            </w:rPr>
            <w:t>283</w:t>
          </w:r>
          <w:r>
            <w:rPr>
              <w:rFonts w:ascii="Times New Roman" w:hAnsi="Times New Roman" w:eastAsia="Times New Roman" w:cs="Times New Roman"/>
              <w:spacing w:val="-3"/>
              <w:sz w:val="22"/>
              <w:szCs w:val="22"/>
            </w:rPr>
            <w:fldChar w:fldCharType="end"/>
          </w:r>
        </w:p>
        <w:p w14:paraId="54697F7A">
          <w:pPr>
            <w:pStyle w:val="2"/>
            <w:tabs>
              <w:tab w:val="right" w:leader="dot" w:pos="9072"/>
            </w:tabs>
            <w:spacing w:before="116" w:line="221" w:lineRule="auto"/>
            <w:ind w:left="1716"/>
            <w:rPr>
              <w:rFonts w:ascii="Times New Roman" w:hAnsi="Times New Roman" w:eastAsia="Times New Roman" w:cs="Times New Roman"/>
              <w:sz w:val="22"/>
              <w:szCs w:val="22"/>
            </w:rPr>
          </w:pPr>
          <w:r>
            <w:fldChar w:fldCharType="begin"/>
          </w:r>
          <w:r>
            <w:instrText xml:space="preserve"> HYPERLINK \l "bookmark321" </w:instrText>
          </w:r>
          <w:r>
            <w:fldChar w:fldCharType="separate"/>
          </w:r>
          <w:r>
            <w:rPr>
              <w:spacing w:val="-4"/>
              <w:sz w:val="22"/>
              <w:szCs w:val="22"/>
            </w:rPr>
            <w:t>二</w:t>
          </w:r>
          <w:r>
            <w:rPr>
              <w:spacing w:val="-48"/>
              <w:sz w:val="22"/>
              <w:szCs w:val="22"/>
            </w:rPr>
            <w:t xml:space="preserve"> </w:t>
          </w:r>
          <w:r>
            <w:rPr>
              <w:spacing w:val="-4"/>
              <w:sz w:val="22"/>
              <w:szCs w:val="22"/>
            </w:rPr>
            <w:t>、结核病的诊治与管理</w:t>
          </w:r>
          <w:r>
            <w:rPr>
              <w:spacing w:val="-89"/>
              <w:sz w:val="22"/>
              <w:szCs w:val="22"/>
            </w:rPr>
            <w:t xml:space="preserve"> </w:t>
          </w:r>
          <w:r>
            <w:rPr>
              <w:sz w:val="22"/>
              <w:szCs w:val="22"/>
            </w:rPr>
            <w:tab/>
          </w:r>
          <w:r>
            <w:rPr>
              <w:rFonts w:ascii="Times New Roman" w:hAnsi="Times New Roman" w:eastAsia="Times New Roman" w:cs="Times New Roman"/>
              <w:sz w:val="22"/>
              <w:szCs w:val="22"/>
            </w:rPr>
            <w:t>284</w:t>
          </w:r>
          <w:r>
            <w:rPr>
              <w:rFonts w:ascii="Times New Roman" w:hAnsi="Times New Roman" w:eastAsia="Times New Roman" w:cs="Times New Roman"/>
              <w:sz w:val="22"/>
              <w:szCs w:val="22"/>
            </w:rPr>
            <w:fldChar w:fldCharType="end"/>
          </w:r>
        </w:p>
        <w:p w14:paraId="10F3350A">
          <w:pPr>
            <w:pStyle w:val="2"/>
            <w:tabs>
              <w:tab w:val="right" w:leader="dot" w:pos="9082"/>
            </w:tabs>
            <w:spacing w:before="119" w:line="222" w:lineRule="auto"/>
            <w:ind w:left="1716"/>
            <w:rPr>
              <w:rFonts w:ascii="Times New Roman" w:hAnsi="Times New Roman" w:eastAsia="Times New Roman" w:cs="Times New Roman"/>
              <w:sz w:val="22"/>
              <w:szCs w:val="22"/>
            </w:rPr>
          </w:pPr>
          <w:r>
            <w:fldChar w:fldCharType="begin"/>
          </w:r>
          <w:r>
            <w:instrText xml:space="preserve"> HYPERLINK \l "bookmark322" </w:instrText>
          </w:r>
          <w:r>
            <w:fldChar w:fldCharType="separate"/>
          </w:r>
          <w:r>
            <w:rPr>
              <w:spacing w:val="-8"/>
              <w:sz w:val="22"/>
              <w:szCs w:val="22"/>
            </w:rPr>
            <w:t>三</w:t>
          </w:r>
          <w:r>
            <w:rPr>
              <w:spacing w:val="-43"/>
              <w:sz w:val="22"/>
              <w:szCs w:val="22"/>
            </w:rPr>
            <w:t xml:space="preserve"> </w:t>
          </w:r>
          <w:r>
            <w:rPr>
              <w:spacing w:val="-8"/>
              <w:sz w:val="22"/>
              <w:szCs w:val="22"/>
            </w:rPr>
            <w:t>、耐药结核病</w:t>
          </w:r>
          <w:r>
            <w:rPr>
              <w:spacing w:val="-93"/>
              <w:sz w:val="22"/>
              <w:szCs w:val="22"/>
            </w:rPr>
            <w:t xml:space="preserve"> </w:t>
          </w:r>
          <w:r>
            <w:rPr>
              <w:sz w:val="22"/>
              <w:szCs w:val="22"/>
            </w:rPr>
            <w:tab/>
          </w:r>
          <w:r>
            <w:rPr>
              <w:rFonts w:ascii="Times New Roman" w:hAnsi="Times New Roman" w:eastAsia="Times New Roman" w:cs="Times New Roman"/>
              <w:spacing w:val="-3"/>
              <w:sz w:val="22"/>
              <w:szCs w:val="22"/>
            </w:rPr>
            <w:t>285</w:t>
          </w:r>
          <w:r>
            <w:rPr>
              <w:rFonts w:ascii="Times New Roman" w:hAnsi="Times New Roman" w:eastAsia="Times New Roman" w:cs="Times New Roman"/>
              <w:spacing w:val="-3"/>
              <w:sz w:val="22"/>
              <w:szCs w:val="22"/>
            </w:rPr>
            <w:fldChar w:fldCharType="end"/>
          </w:r>
        </w:p>
      </w:sdtContent>
    </w:sdt>
    <w:p w14:paraId="0EAF7A52">
      <w:pPr>
        <w:spacing w:line="222" w:lineRule="auto"/>
        <w:rPr>
          <w:rFonts w:ascii="Times New Roman" w:hAnsi="Times New Roman" w:eastAsia="Times New Roman" w:cs="Times New Roman"/>
          <w:sz w:val="22"/>
          <w:szCs w:val="22"/>
        </w:rPr>
        <w:sectPr>
          <w:footerReference r:id="rId27" w:type="default"/>
          <w:pgSz w:w="11900" w:h="16820"/>
          <w:pgMar w:top="400" w:right="704" w:bottom="870" w:left="1323" w:header="0" w:footer="672" w:gutter="0"/>
          <w:cols w:space="720" w:num="1"/>
        </w:sectPr>
      </w:pPr>
    </w:p>
    <w:sdt>
      <w:sdtPr>
        <w:rPr>
          <w:rFonts w:ascii="黑体" w:hAnsi="黑体" w:eastAsia="黑体" w:cs="黑体"/>
          <w:sz w:val="21"/>
          <w:szCs w:val="21"/>
        </w:rPr>
        <w:id w:val="450609283"/>
        <w:docPartObj>
          <w:docPartGallery w:val="Table of Contents"/>
          <w:docPartUnique/>
        </w:docPartObj>
      </w:sdtPr>
      <w:sdtEndPr>
        <w:rPr>
          <w:rFonts w:ascii="Times New Roman" w:hAnsi="Times New Roman" w:eastAsia="Times New Roman" w:cs="Times New Roman"/>
          <w:sz w:val="21"/>
          <w:szCs w:val="21"/>
        </w:rPr>
      </w:sdtEndPr>
      <w:sdtContent>
        <w:p w14:paraId="33121E69">
          <w:pPr>
            <w:pStyle w:val="2"/>
            <w:spacing w:line="221" w:lineRule="auto"/>
            <w:ind w:left="759"/>
            <w:rPr>
              <w:sz w:val="21"/>
              <w:szCs w:val="21"/>
            </w:rPr>
          </w:pPr>
          <w:r>
            <w:rPr>
              <w:spacing w:val="-18"/>
              <w:sz w:val="21"/>
              <w:szCs w:val="21"/>
            </w:rPr>
            <w:t>目录</w:t>
          </w:r>
        </w:p>
        <w:p w14:paraId="25B9E49F">
          <w:pPr>
            <w:spacing w:line="282" w:lineRule="auto"/>
            <w:rPr>
              <w:rFonts w:ascii="Arial"/>
              <w:sz w:val="21"/>
            </w:rPr>
          </w:pPr>
        </w:p>
        <w:p w14:paraId="1A9899B5">
          <w:pPr>
            <w:spacing w:line="283" w:lineRule="auto"/>
            <w:rPr>
              <w:rFonts w:ascii="Arial"/>
              <w:sz w:val="21"/>
            </w:rPr>
          </w:pPr>
        </w:p>
        <w:p w14:paraId="78204426">
          <w:pPr>
            <w:pStyle w:val="2"/>
            <w:tabs>
              <w:tab w:val="right" w:leader="dot" w:pos="9400"/>
            </w:tabs>
            <w:spacing w:before="68" w:line="221" w:lineRule="auto"/>
            <w:ind w:left="1989"/>
            <w:rPr>
              <w:rFonts w:ascii="Times New Roman" w:hAnsi="Times New Roman" w:eastAsia="Times New Roman" w:cs="Times New Roman"/>
              <w:sz w:val="21"/>
              <w:szCs w:val="21"/>
            </w:rPr>
          </w:pPr>
          <w:r>
            <w:fldChar w:fldCharType="begin"/>
          </w:r>
          <w:r>
            <w:instrText xml:space="preserve"> HYPERLINK \l "bookmark323" </w:instrText>
          </w:r>
          <w:r>
            <w:fldChar w:fldCharType="separate"/>
          </w:r>
          <w:r>
            <w:rPr>
              <w:spacing w:val="10"/>
              <w:sz w:val="21"/>
              <w:szCs w:val="21"/>
            </w:rPr>
            <w:t>第二节</w:t>
          </w:r>
          <w:r>
            <w:rPr>
              <w:spacing w:val="23"/>
              <w:sz w:val="21"/>
              <w:szCs w:val="21"/>
            </w:rPr>
            <w:t xml:space="preserve"> </w:t>
          </w:r>
          <w:r>
            <w:rPr>
              <w:spacing w:val="10"/>
              <w:sz w:val="21"/>
              <w:szCs w:val="21"/>
            </w:rPr>
            <w:t>流行特征</w:t>
          </w:r>
          <w:r>
            <w:rPr>
              <w:spacing w:val="-84"/>
              <w:sz w:val="21"/>
              <w:szCs w:val="21"/>
            </w:rPr>
            <w:t xml:space="preserve"> </w:t>
          </w:r>
          <w:r>
            <w:rPr>
              <w:sz w:val="21"/>
              <w:szCs w:val="21"/>
            </w:rPr>
            <w:tab/>
          </w:r>
          <w:r>
            <w:rPr>
              <w:rFonts w:ascii="Times New Roman" w:hAnsi="Times New Roman" w:eastAsia="Times New Roman" w:cs="Times New Roman"/>
              <w:sz w:val="21"/>
              <w:szCs w:val="21"/>
            </w:rPr>
            <w:t>286</w:t>
          </w:r>
          <w:r>
            <w:rPr>
              <w:rFonts w:ascii="Times New Roman" w:hAnsi="Times New Roman" w:eastAsia="Times New Roman" w:cs="Times New Roman"/>
              <w:sz w:val="21"/>
              <w:szCs w:val="21"/>
            </w:rPr>
            <w:fldChar w:fldCharType="end"/>
          </w:r>
        </w:p>
        <w:p w14:paraId="6C428A5B">
          <w:pPr>
            <w:pStyle w:val="2"/>
            <w:tabs>
              <w:tab w:val="right" w:leader="dot" w:pos="9400"/>
            </w:tabs>
            <w:spacing w:before="148" w:line="221" w:lineRule="auto"/>
            <w:ind w:left="2389"/>
            <w:rPr>
              <w:rFonts w:ascii="Times New Roman" w:hAnsi="Times New Roman" w:eastAsia="Times New Roman" w:cs="Times New Roman"/>
              <w:sz w:val="21"/>
              <w:szCs w:val="21"/>
            </w:rPr>
          </w:pPr>
          <w:r>
            <w:fldChar w:fldCharType="begin"/>
          </w:r>
          <w:r>
            <w:instrText xml:space="preserve"> HYPERLINK \l "bookmark324" </w:instrText>
          </w:r>
          <w:r>
            <w:fldChar w:fldCharType="separate"/>
          </w:r>
          <w:r>
            <w:rPr>
              <w:spacing w:val="-8"/>
              <w:sz w:val="21"/>
              <w:szCs w:val="21"/>
            </w:rPr>
            <w:t>一</w:t>
          </w:r>
          <w:r>
            <w:rPr>
              <w:spacing w:val="-40"/>
              <w:sz w:val="21"/>
              <w:szCs w:val="21"/>
            </w:rPr>
            <w:t xml:space="preserve"> </w:t>
          </w:r>
          <w:r>
            <w:rPr>
              <w:spacing w:val="-8"/>
              <w:sz w:val="21"/>
              <w:szCs w:val="21"/>
            </w:rPr>
            <w:t>、流行概况</w:t>
          </w:r>
          <w:r>
            <w:rPr>
              <w:spacing w:val="-84"/>
              <w:sz w:val="21"/>
              <w:szCs w:val="21"/>
            </w:rPr>
            <w:t xml:space="preserve"> </w:t>
          </w:r>
          <w:r>
            <w:rPr>
              <w:sz w:val="21"/>
              <w:szCs w:val="21"/>
            </w:rPr>
            <w:tab/>
          </w:r>
          <w:r>
            <w:rPr>
              <w:rFonts w:ascii="Times New Roman" w:hAnsi="Times New Roman" w:eastAsia="Times New Roman" w:cs="Times New Roman"/>
              <w:sz w:val="21"/>
              <w:szCs w:val="21"/>
            </w:rPr>
            <w:t>286</w:t>
          </w:r>
          <w:r>
            <w:rPr>
              <w:rFonts w:ascii="Times New Roman" w:hAnsi="Times New Roman" w:eastAsia="Times New Roman" w:cs="Times New Roman"/>
              <w:sz w:val="21"/>
              <w:szCs w:val="21"/>
            </w:rPr>
            <w:fldChar w:fldCharType="end"/>
          </w:r>
        </w:p>
        <w:p w14:paraId="03C6BC05">
          <w:pPr>
            <w:pStyle w:val="2"/>
            <w:tabs>
              <w:tab w:val="right" w:leader="dot" w:pos="9400"/>
            </w:tabs>
            <w:spacing w:before="138" w:line="221" w:lineRule="auto"/>
            <w:ind w:left="2389"/>
            <w:rPr>
              <w:rFonts w:ascii="Times New Roman" w:hAnsi="Times New Roman" w:eastAsia="Times New Roman" w:cs="Times New Roman"/>
              <w:sz w:val="21"/>
              <w:szCs w:val="21"/>
            </w:rPr>
          </w:pPr>
          <w:r>
            <w:fldChar w:fldCharType="begin"/>
          </w:r>
          <w:r>
            <w:instrText xml:space="preserve"> HYPERLINK \l "bookmark325" </w:instrText>
          </w:r>
          <w:r>
            <w:fldChar w:fldCharType="separate"/>
          </w:r>
          <w:r>
            <w:rPr>
              <w:spacing w:val="-9"/>
              <w:sz w:val="21"/>
              <w:szCs w:val="21"/>
            </w:rPr>
            <w:t>二</w:t>
          </w:r>
          <w:r>
            <w:rPr>
              <w:spacing w:val="-29"/>
              <w:sz w:val="21"/>
              <w:szCs w:val="21"/>
            </w:rPr>
            <w:t xml:space="preserve"> </w:t>
          </w:r>
          <w:r>
            <w:rPr>
              <w:spacing w:val="-9"/>
              <w:sz w:val="21"/>
              <w:szCs w:val="21"/>
            </w:rPr>
            <w:t>、流行过程及其影响因素</w:t>
          </w:r>
          <w:r>
            <w:rPr>
              <w:spacing w:val="-95"/>
              <w:sz w:val="21"/>
              <w:szCs w:val="21"/>
            </w:rPr>
            <w:t xml:space="preserve"> </w:t>
          </w:r>
          <w:r>
            <w:rPr>
              <w:sz w:val="21"/>
              <w:szCs w:val="21"/>
            </w:rPr>
            <w:tab/>
          </w:r>
          <w:r>
            <w:rPr>
              <w:rFonts w:ascii="Times New Roman" w:hAnsi="Times New Roman" w:eastAsia="Times New Roman" w:cs="Times New Roman"/>
              <w:spacing w:val="6"/>
              <w:sz w:val="21"/>
              <w:szCs w:val="21"/>
            </w:rPr>
            <w:t>290</w:t>
          </w:r>
          <w:r>
            <w:rPr>
              <w:rFonts w:ascii="Times New Roman" w:hAnsi="Times New Roman" w:eastAsia="Times New Roman" w:cs="Times New Roman"/>
              <w:spacing w:val="6"/>
              <w:sz w:val="21"/>
              <w:szCs w:val="21"/>
            </w:rPr>
            <w:fldChar w:fldCharType="end"/>
          </w:r>
        </w:p>
        <w:p w14:paraId="41509918">
          <w:pPr>
            <w:pStyle w:val="2"/>
            <w:tabs>
              <w:tab w:val="right" w:leader="dot" w:pos="9400"/>
            </w:tabs>
            <w:spacing w:before="118" w:line="221" w:lineRule="auto"/>
            <w:ind w:left="1989"/>
            <w:rPr>
              <w:rFonts w:ascii="Times New Roman" w:hAnsi="Times New Roman" w:eastAsia="Times New Roman" w:cs="Times New Roman"/>
              <w:sz w:val="21"/>
              <w:szCs w:val="21"/>
            </w:rPr>
          </w:pPr>
          <w:r>
            <w:fldChar w:fldCharType="begin"/>
          </w:r>
          <w:r>
            <w:instrText xml:space="preserve"> HYPERLINK \l "bookmark326" </w:instrText>
          </w:r>
          <w:r>
            <w:fldChar w:fldCharType="separate"/>
          </w:r>
          <w:r>
            <w:rPr>
              <w:spacing w:val="6"/>
              <w:sz w:val="21"/>
              <w:szCs w:val="21"/>
            </w:rPr>
            <w:t>第三节 预防策略与措施</w:t>
          </w:r>
          <w:r>
            <w:rPr>
              <w:spacing w:val="-77"/>
              <w:sz w:val="21"/>
              <w:szCs w:val="21"/>
            </w:rPr>
            <w:t xml:space="preserve"> </w:t>
          </w:r>
          <w:r>
            <w:rPr>
              <w:sz w:val="21"/>
              <w:szCs w:val="21"/>
            </w:rPr>
            <w:tab/>
          </w:r>
          <w:r>
            <w:rPr>
              <w:rFonts w:ascii="Times New Roman" w:hAnsi="Times New Roman" w:eastAsia="Times New Roman" w:cs="Times New Roman"/>
              <w:spacing w:val="-3"/>
              <w:sz w:val="21"/>
              <w:szCs w:val="21"/>
            </w:rPr>
            <w:t>292</w:t>
          </w:r>
          <w:r>
            <w:rPr>
              <w:rFonts w:ascii="Times New Roman" w:hAnsi="Times New Roman" w:eastAsia="Times New Roman" w:cs="Times New Roman"/>
              <w:spacing w:val="-3"/>
              <w:sz w:val="21"/>
              <w:szCs w:val="21"/>
            </w:rPr>
            <w:fldChar w:fldCharType="end"/>
          </w:r>
        </w:p>
        <w:p w14:paraId="031A47B5">
          <w:pPr>
            <w:pStyle w:val="2"/>
            <w:tabs>
              <w:tab w:val="right" w:leader="dot" w:pos="9390"/>
            </w:tabs>
            <w:spacing w:before="139" w:line="221" w:lineRule="auto"/>
            <w:ind w:left="2389"/>
            <w:rPr>
              <w:rFonts w:ascii="Times New Roman" w:hAnsi="Times New Roman" w:eastAsia="Times New Roman" w:cs="Times New Roman"/>
              <w:sz w:val="21"/>
              <w:szCs w:val="21"/>
            </w:rPr>
          </w:pPr>
          <w:r>
            <w:fldChar w:fldCharType="begin"/>
          </w:r>
          <w:r>
            <w:instrText xml:space="preserve"> HYPERLINK \l "bookmark327" </w:instrText>
          </w:r>
          <w:r>
            <w:fldChar w:fldCharType="separate"/>
          </w:r>
          <w:r>
            <w:rPr>
              <w:spacing w:val="-12"/>
              <w:sz w:val="21"/>
              <w:szCs w:val="21"/>
            </w:rPr>
            <w:t>一</w:t>
          </w:r>
          <w:r>
            <w:rPr>
              <w:spacing w:val="-28"/>
              <w:sz w:val="21"/>
              <w:szCs w:val="21"/>
            </w:rPr>
            <w:t xml:space="preserve"> </w:t>
          </w:r>
          <w:r>
            <w:rPr>
              <w:spacing w:val="-12"/>
              <w:sz w:val="21"/>
              <w:szCs w:val="21"/>
            </w:rPr>
            <w:t>、策略及其演变</w:t>
          </w:r>
          <w:r>
            <w:rPr>
              <w:spacing w:val="-88"/>
              <w:sz w:val="21"/>
              <w:szCs w:val="21"/>
            </w:rPr>
            <w:t xml:space="preserve"> </w:t>
          </w:r>
          <w:r>
            <w:rPr>
              <w:sz w:val="21"/>
              <w:szCs w:val="21"/>
            </w:rPr>
            <w:tab/>
          </w:r>
          <w:r>
            <w:rPr>
              <w:rFonts w:ascii="Times New Roman" w:hAnsi="Times New Roman" w:eastAsia="Times New Roman" w:cs="Times New Roman"/>
              <w:spacing w:val="-3"/>
              <w:sz w:val="21"/>
              <w:szCs w:val="21"/>
            </w:rPr>
            <w:t>292</w:t>
          </w:r>
          <w:r>
            <w:rPr>
              <w:rFonts w:ascii="Times New Roman" w:hAnsi="Times New Roman" w:eastAsia="Times New Roman" w:cs="Times New Roman"/>
              <w:spacing w:val="-3"/>
              <w:sz w:val="21"/>
              <w:szCs w:val="21"/>
            </w:rPr>
            <w:fldChar w:fldCharType="end"/>
          </w:r>
        </w:p>
        <w:p w14:paraId="470F86A1">
          <w:pPr>
            <w:pStyle w:val="2"/>
            <w:tabs>
              <w:tab w:val="right" w:leader="dot" w:pos="9390"/>
            </w:tabs>
            <w:spacing w:before="141" w:line="223" w:lineRule="auto"/>
            <w:ind w:left="2389"/>
            <w:rPr>
              <w:rFonts w:ascii="Times New Roman" w:hAnsi="Times New Roman" w:eastAsia="Times New Roman" w:cs="Times New Roman"/>
              <w:sz w:val="21"/>
              <w:szCs w:val="21"/>
            </w:rPr>
          </w:pPr>
          <w:r>
            <w:fldChar w:fldCharType="begin"/>
          </w:r>
          <w:r>
            <w:instrText xml:space="preserve"> HYPERLINK \l "bookmark328" </w:instrText>
          </w:r>
          <w:r>
            <w:fldChar w:fldCharType="separate"/>
          </w:r>
          <w:r>
            <w:rPr>
              <w:spacing w:val="-9"/>
              <w:sz w:val="21"/>
              <w:szCs w:val="21"/>
            </w:rPr>
            <w:t>二</w:t>
          </w:r>
          <w:r>
            <w:rPr>
              <w:spacing w:val="-40"/>
              <w:sz w:val="21"/>
              <w:szCs w:val="21"/>
            </w:rPr>
            <w:t xml:space="preserve"> </w:t>
          </w:r>
          <w:r>
            <w:rPr>
              <w:spacing w:val="-9"/>
              <w:sz w:val="21"/>
              <w:szCs w:val="21"/>
            </w:rPr>
            <w:t>、措施</w:t>
          </w:r>
          <w:r>
            <w:rPr>
              <w:spacing w:val="-85"/>
              <w:sz w:val="21"/>
              <w:szCs w:val="21"/>
            </w:rPr>
            <w:t xml:space="preserve"> </w:t>
          </w:r>
          <w:r>
            <w:rPr>
              <w:sz w:val="21"/>
              <w:szCs w:val="21"/>
            </w:rPr>
            <w:tab/>
          </w:r>
          <w:r>
            <w:rPr>
              <w:rFonts w:ascii="Times New Roman" w:hAnsi="Times New Roman" w:eastAsia="Times New Roman" w:cs="Times New Roman"/>
              <w:sz w:val="21"/>
              <w:szCs w:val="21"/>
            </w:rPr>
            <w:t>293</w:t>
          </w:r>
          <w:r>
            <w:rPr>
              <w:rFonts w:ascii="Times New Roman" w:hAnsi="Times New Roman" w:eastAsia="Times New Roman" w:cs="Times New Roman"/>
              <w:sz w:val="21"/>
              <w:szCs w:val="21"/>
            </w:rPr>
            <w:fldChar w:fldCharType="end"/>
          </w:r>
        </w:p>
        <w:p w14:paraId="3E1C6FA2">
          <w:pPr>
            <w:spacing w:line="420" w:lineRule="auto"/>
            <w:rPr>
              <w:rFonts w:ascii="Arial"/>
              <w:sz w:val="21"/>
            </w:rPr>
          </w:pPr>
        </w:p>
        <w:p w14:paraId="0DCF1CF9">
          <w:pPr>
            <w:pStyle w:val="2"/>
            <w:tabs>
              <w:tab w:val="right" w:leader="dot" w:pos="9269"/>
            </w:tabs>
            <w:spacing w:before="69" w:line="221" w:lineRule="auto"/>
            <w:ind w:left="762"/>
            <w:rPr>
              <w:rFonts w:ascii="Times New Roman" w:hAnsi="Times New Roman" w:eastAsia="Times New Roman" w:cs="Times New Roman"/>
              <w:sz w:val="21"/>
              <w:szCs w:val="21"/>
            </w:rPr>
          </w:pPr>
          <w:r>
            <w:fldChar w:fldCharType="begin"/>
          </w:r>
          <w:r>
            <w:instrText xml:space="preserve"> HYPERLINK \l "bookmark329" </w:instrText>
          </w:r>
          <w:r>
            <w:fldChar w:fldCharType="separate"/>
          </w:r>
          <w:r>
            <w:rPr>
              <w:b/>
              <w:bCs/>
              <w:spacing w:val="1"/>
              <w:sz w:val="21"/>
              <w:szCs w:val="21"/>
            </w:rPr>
            <w:t>第二十</w:t>
          </w:r>
          <w:r>
            <w:rPr>
              <w:spacing w:val="-46"/>
              <w:sz w:val="21"/>
              <w:szCs w:val="21"/>
            </w:rPr>
            <w:t xml:space="preserve"> </w:t>
          </w:r>
          <w:r>
            <w:rPr>
              <w:b/>
              <w:bCs/>
              <w:spacing w:val="1"/>
              <w:sz w:val="21"/>
              <w:szCs w:val="21"/>
            </w:rPr>
            <w:t>一</w:t>
          </w:r>
          <w:r>
            <w:rPr>
              <w:spacing w:val="-49"/>
              <w:sz w:val="21"/>
              <w:szCs w:val="21"/>
            </w:rPr>
            <w:t xml:space="preserve"> </w:t>
          </w:r>
          <w:r>
            <w:rPr>
              <w:b/>
              <w:bCs/>
              <w:spacing w:val="1"/>
              <w:sz w:val="21"/>
              <w:szCs w:val="21"/>
            </w:rPr>
            <w:t>章</w:t>
          </w:r>
          <w:r>
            <w:rPr>
              <w:spacing w:val="71"/>
              <w:sz w:val="21"/>
              <w:szCs w:val="21"/>
            </w:rPr>
            <w:t xml:space="preserve"> </w:t>
          </w:r>
          <w:r>
            <w:rPr>
              <w:b/>
              <w:bCs/>
              <w:spacing w:val="1"/>
              <w:sz w:val="21"/>
              <w:szCs w:val="21"/>
            </w:rPr>
            <w:t>性</w:t>
          </w:r>
          <w:r>
            <w:rPr>
              <w:spacing w:val="-30"/>
              <w:sz w:val="21"/>
              <w:szCs w:val="21"/>
            </w:rPr>
            <w:t xml:space="preserve"> </w:t>
          </w:r>
          <w:r>
            <w:rPr>
              <w:b/>
              <w:bCs/>
              <w:spacing w:val="1"/>
              <w:sz w:val="21"/>
              <w:szCs w:val="21"/>
            </w:rPr>
            <w:t>传</w:t>
          </w:r>
          <w:r>
            <w:rPr>
              <w:spacing w:val="-29"/>
              <w:sz w:val="21"/>
              <w:szCs w:val="21"/>
            </w:rPr>
            <w:t xml:space="preserve"> </w:t>
          </w:r>
          <w:r>
            <w:rPr>
              <w:b/>
              <w:bCs/>
              <w:spacing w:val="1"/>
              <w:sz w:val="21"/>
              <w:szCs w:val="21"/>
            </w:rPr>
            <w:t>播</w:t>
          </w:r>
          <w:r>
            <w:rPr>
              <w:spacing w:val="-29"/>
              <w:sz w:val="21"/>
              <w:szCs w:val="21"/>
            </w:rPr>
            <w:t xml:space="preserve"> </w:t>
          </w:r>
          <w:r>
            <w:rPr>
              <w:b/>
              <w:bCs/>
              <w:spacing w:val="1"/>
              <w:sz w:val="21"/>
              <w:szCs w:val="21"/>
            </w:rPr>
            <w:t>疾</w:t>
          </w:r>
          <w:r>
            <w:rPr>
              <w:spacing w:val="-31"/>
              <w:sz w:val="21"/>
              <w:szCs w:val="21"/>
            </w:rPr>
            <w:t xml:space="preserve"> </w:t>
          </w:r>
          <w:r>
            <w:rPr>
              <w:b/>
              <w:bCs/>
              <w:spacing w:val="1"/>
              <w:sz w:val="21"/>
              <w:szCs w:val="21"/>
            </w:rPr>
            <w:t>病</w:t>
          </w:r>
          <w:r>
            <w:rPr>
              <w:spacing w:val="-84"/>
              <w:sz w:val="21"/>
              <w:szCs w:val="21"/>
            </w:rPr>
            <w:t xml:space="preserve"> </w:t>
          </w:r>
          <w:r>
            <w:rPr>
              <w:sz w:val="21"/>
              <w:szCs w:val="21"/>
            </w:rPr>
            <w:tab/>
          </w:r>
          <w:r>
            <w:rPr>
              <w:rFonts w:ascii="Times New Roman" w:hAnsi="Times New Roman" w:eastAsia="Times New Roman" w:cs="Times New Roman"/>
              <w:b/>
              <w:bCs/>
              <w:spacing w:val="2"/>
              <w:sz w:val="21"/>
              <w:szCs w:val="21"/>
            </w:rPr>
            <w:t>297</w:t>
          </w:r>
          <w:r>
            <w:rPr>
              <w:rFonts w:ascii="Times New Roman" w:hAnsi="Times New Roman" w:eastAsia="Times New Roman" w:cs="Times New Roman"/>
              <w:b/>
              <w:bCs/>
              <w:spacing w:val="2"/>
              <w:sz w:val="21"/>
              <w:szCs w:val="21"/>
            </w:rPr>
            <w:fldChar w:fldCharType="end"/>
          </w:r>
        </w:p>
        <w:p w14:paraId="514653BE">
          <w:pPr>
            <w:pStyle w:val="2"/>
            <w:tabs>
              <w:tab w:val="right" w:leader="dot" w:pos="9400"/>
            </w:tabs>
            <w:spacing w:before="161" w:line="221" w:lineRule="auto"/>
            <w:ind w:left="2219"/>
            <w:rPr>
              <w:rFonts w:ascii="Times New Roman" w:hAnsi="Times New Roman" w:eastAsia="Times New Roman" w:cs="Times New Roman"/>
              <w:sz w:val="21"/>
              <w:szCs w:val="21"/>
            </w:rPr>
          </w:pPr>
          <w:r>
            <w:fldChar w:fldCharType="begin"/>
          </w:r>
          <w:r>
            <w:instrText xml:space="preserve"> HYPERLINK \l "bookmark330" </w:instrText>
          </w:r>
          <w:r>
            <w:fldChar w:fldCharType="separate"/>
          </w:r>
          <w:r>
            <w:rPr>
              <w:sz w:val="21"/>
              <w:szCs w:val="21"/>
            </w:rPr>
            <w:t>第一节</w:t>
          </w:r>
          <w:r>
            <w:rPr>
              <w:spacing w:val="48"/>
              <w:sz w:val="21"/>
              <w:szCs w:val="21"/>
            </w:rPr>
            <w:t xml:space="preserve"> </w:t>
          </w:r>
          <w:r>
            <w:rPr>
              <w:sz w:val="21"/>
              <w:szCs w:val="21"/>
            </w:rPr>
            <w:t>概</w:t>
          </w:r>
          <w:r>
            <w:rPr>
              <w:spacing w:val="-42"/>
              <w:sz w:val="21"/>
              <w:szCs w:val="21"/>
            </w:rPr>
            <w:t xml:space="preserve"> </w:t>
          </w:r>
          <w:r>
            <w:rPr>
              <w:sz w:val="21"/>
              <w:szCs w:val="21"/>
            </w:rPr>
            <w:t>述</w:t>
          </w:r>
          <w:r>
            <w:rPr>
              <w:spacing w:val="-83"/>
              <w:sz w:val="21"/>
              <w:szCs w:val="21"/>
            </w:rPr>
            <w:t xml:space="preserve"> </w:t>
          </w:r>
          <w:r>
            <w:rPr>
              <w:sz w:val="21"/>
              <w:szCs w:val="21"/>
            </w:rPr>
            <w:tab/>
          </w:r>
          <w:r>
            <w:rPr>
              <w:rFonts w:ascii="Times New Roman" w:hAnsi="Times New Roman" w:eastAsia="Times New Roman" w:cs="Times New Roman"/>
              <w:sz w:val="21"/>
              <w:szCs w:val="21"/>
            </w:rPr>
            <w:t>297</w:t>
          </w:r>
          <w:r>
            <w:rPr>
              <w:rFonts w:ascii="Times New Roman" w:hAnsi="Times New Roman" w:eastAsia="Times New Roman" w:cs="Times New Roman"/>
              <w:sz w:val="21"/>
              <w:szCs w:val="21"/>
            </w:rPr>
            <w:fldChar w:fldCharType="end"/>
          </w:r>
        </w:p>
        <w:p w14:paraId="57D79FFD">
          <w:pPr>
            <w:pStyle w:val="2"/>
            <w:tabs>
              <w:tab w:val="right" w:leader="dot" w:pos="9410"/>
            </w:tabs>
            <w:spacing w:before="139" w:line="221" w:lineRule="auto"/>
            <w:ind w:left="2629"/>
            <w:rPr>
              <w:rFonts w:ascii="Times New Roman" w:hAnsi="Times New Roman" w:eastAsia="Times New Roman" w:cs="Times New Roman"/>
              <w:sz w:val="21"/>
              <w:szCs w:val="21"/>
            </w:rPr>
          </w:pPr>
          <w:r>
            <w:fldChar w:fldCharType="begin"/>
          </w:r>
          <w:r>
            <w:instrText xml:space="preserve"> HYPERLINK \l "bookmark331" </w:instrText>
          </w:r>
          <w:r>
            <w:fldChar w:fldCharType="separate"/>
          </w:r>
          <w:r>
            <w:rPr>
              <w:spacing w:val="-12"/>
              <w:sz w:val="21"/>
              <w:szCs w:val="21"/>
            </w:rPr>
            <w:t>一</w:t>
          </w:r>
          <w:r>
            <w:rPr>
              <w:spacing w:val="-30"/>
              <w:sz w:val="21"/>
              <w:szCs w:val="21"/>
            </w:rPr>
            <w:t xml:space="preserve"> </w:t>
          </w:r>
          <w:r>
            <w:rPr>
              <w:spacing w:val="-12"/>
              <w:sz w:val="21"/>
              <w:szCs w:val="21"/>
            </w:rPr>
            <w:t>、病原学</w:t>
          </w:r>
          <w:r>
            <w:rPr>
              <w:spacing w:val="-91"/>
              <w:sz w:val="21"/>
              <w:szCs w:val="21"/>
            </w:rPr>
            <w:t xml:space="preserve"> </w:t>
          </w:r>
          <w:r>
            <w:rPr>
              <w:sz w:val="21"/>
              <w:szCs w:val="21"/>
            </w:rPr>
            <w:tab/>
          </w:r>
          <w:r>
            <w:rPr>
              <w:rFonts w:ascii="Times New Roman" w:hAnsi="Times New Roman" w:eastAsia="Times New Roman" w:cs="Times New Roman"/>
              <w:sz w:val="21"/>
              <w:szCs w:val="21"/>
            </w:rPr>
            <w:t>297</w:t>
          </w:r>
          <w:r>
            <w:rPr>
              <w:rFonts w:ascii="Times New Roman" w:hAnsi="Times New Roman" w:eastAsia="Times New Roman" w:cs="Times New Roman"/>
              <w:sz w:val="21"/>
              <w:szCs w:val="21"/>
            </w:rPr>
            <w:fldChar w:fldCharType="end"/>
          </w:r>
        </w:p>
        <w:p w14:paraId="59D8E0A0">
          <w:pPr>
            <w:pStyle w:val="2"/>
            <w:tabs>
              <w:tab w:val="right" w:leader="dot" w:pos="9370"/>
            </w:tabs>
            <w:spacing w:before="138" w:line="221" w:lineRule="auto"/>
            <w:ind w:left="2629"/>
            <w:rPr>
              <w:rFonts w:ascii="Times New Roman" w:hAnsi="Times New Roman" w:eastAsia="Times New Roman" w:cs="Times New Roman"/>
              <w:sz w:val="21"/>
              <w:szCs w:val="21"/>
            </w:rPr>
          </w:pPr>
          <w:r>
            <w:fldChar w:fldCharType="begin"/>
          </w:r>
          <w:r>
            <w:instrText xml:space="preserve"> HYPERLINK \l "bookmark332" </w:instrText>
          </w:r>
          <w:r>
            <w:fldChar w:fldCharType="separate"/>
          </w:r>
          <w:r>
            <w:rPr>
              <w:spacing w:val="-10"/>
              <w:sz w:val="21"/>
              <w:szCs w:val="21"/>
            </w:rPr>
            <w:t>二</w:t>
          </w:r>
          <w:r>
            <w:rPr>
              <w:spacing w:val="-38"/>
              <w:sz w:val="21"/>
              <w:szCs w:val="21"/>
            </w:rPr>
            <w:t xml:space="preserve"> </w:t>
          </w:r>
          <w:r>
            <w:rPr>
              <w:spacing w:val="-10"/>
              <w:sz w:val="21"/>
              <w:szCs w:val="21"/>
            </w:rPr>
            <w:t>、流行概况</w:t>
          </w:r>
          <w:r>
            <w:rPr>
              <w:spacing w:val="-83"/>
              <w:sz w:val="21"/>
              <w:szCs w:val="21"/>
            </w:rPr>
            <w:t xml:space="preserve"> </w:t>
          </w:r>
          <w:r>
            <w:rPr>
              <w:sz w:val="21"/>
              <w:szCs w:val="21"/>
            </w:rPr>
            <w:tab/>
          </w:r>
          <w:r>
            <w:rPr>
              <w:rFonts w:ascii="Times New Roman" w:hAnsi="Times New Roman" w:eastAsia="Times New Roman" w:cs="Times New Roman"/>
              <w:sz w:val="21"/>
              <w:szCs w:val="21"/>
            </w:rPr>
            <w:t>299</w:t>
          </w:r>
          <w:r>
            <w:rPr>
              <w:rFonts w:ascii="Times New Roman" w:hAnsi="Times New Roman" w:eastAsia="Times New Roman" w:cs="Times New Roman"/>
              <w:sz w:val="21"/>
              <w:szCs w:val="21"/>
            </w:rPr>
            <w:fldChar w:fldCharType="end"/>
          </w:r>
        </w:p>
        <w:p w14:paraId="63CB1574">
          <w:pPr>
            <w:pStyle w:val="2"/>
            <w:tabs>
              <w:tab w:val="right" w:leader="dot" w:pos="9445"/>
            </w:tabs>
            <w:spacing w:before="139" w:line="221" w:lineRule="auto"/>
            <w:ind w:left="2219"/>
            <w:rPr>
              <w:rFonts w:ascii="Times New Roman" w:hAnsi="Times New Roman" w:eastAsia="Times New Roman" w:cs="Times New Roman"/>
              <w:sz w:val="21"/>
              <w:szCs w:val="21"/>
            </w:rPr>
          </w:pPr>
          <w:r>
            <w:fldChar w:fldCharType="begin"/>
          </w:r>
          <w:r>
            <w:instrText xml:space="preserve"> HYPERLINK \l "bookmark333" </w:instrText>
          </w:r>
          <w:r>
            <w:fldChar w:fldCharType="separate"/>
          </w:r>
          <w:r>
            <w:rPr>
              <w:spacing w:val="10"/>
              <w:sz w:val="21"/>
              <w:szCs w:val="21"/>
            </w:rPr>
            <w:t>第二节</w:t>
          </w:r>
          <w:r>
            <w:rPr>
              <w:spacing w:val="21"/>
              <w:sz w:val="21"/>
              <w:szCs w:val="21"/>
            </w:rPr>
            <w:t xml:space="preserve"> </w:t>
          </w:r>
          <w:r>
            <w:rPr>
              <w:spacing w:val="10"/>
              <w:sz w:val="21"/>
              <w:szCs w:val="21"/>
            </w:rPr>
            <w:t>流行过程</w:t>
          </w:r>
          <w:r>
            <w:rPr>
              <w:spacing w:val="-82"/>
              <w:sz w:val="21"/>
              <w:szCs w:val="21"/>
            </w:rPr>
            <w:t xml:space="preserve"> </w:t>
          </w:r>
          <w:r>
            <w:rPr>
              <w:sz w:val="21"/>
              <w:szCs w:val="21"/>
            </w:rPr>
            <w:tab/>
          </w:r>
          <w:r>
            <w:rPr>
              <w:rFonts w:ascii="Times New Roman" w:hAnsi="Times New Roman" w:eastAsia="Times New Roman" w:cs="Times New Roman"/>
              <w:spacing w:val="-2"/>
              <w:sz w:val="21"/>
              <w:szCs w:val="21"/>
            </w:rPr>
            <w:t>300</w:t>
          </w:r>
          <w:r>
            <w:rPr>
              <w:rFonts w:ascii="Times New Roman" w:hAnsi="Times New Roman" w:eastAsia="Times New Roman" w:cs="Times New Roman"/>
              <w:spacing w:val="-2"/>
              <w:sz w:val="21"/>
              <w:szCs w:val="21"/>
            </w:rPr>
            <w:fldChar w:fldCharType="end"/>
          </w:r>
        </w:p>
        <w:p w14:paraId="32C4C1F9">
          <w:pPr>
            <w:pStyle w:val="2"/>
            <w:tabs>
              <w:tab w:val="right" w:leader="dot" w:pos="9405"/>
            </w:tabs>
            <w:spacing w:before="139" w:line="221" w:lineRule="auto"/>
            <w:ind w:left="2629"/>
            <w:rPr>
              <w:rFonts w:ascii="Times New Roman" w:hAnsi="Times New Roman" w:eastAsia="Times New Roman" w:cs="Times New Roman"/>
              <w:sz w:val="21"/>
              <w:szCs w:val="21"/>
            </w:rPr>
          </w:pPr>
          <w:r>
            <w:fldChar w:fldCharType="begin"/>
          </w:r>
          <w:r>
            <w:instrText xml:space="preserve"> HYPERLINK \l "bookmark334" </w:instrText>
          </w:r>
          <w:r>
            <w:fldChar w:fldCharType="separate"/>
          </w:r>
          <w:r>
            <w:rPr>
              <w:spacing w:val="-14"/>
              <w:sz w:val="21"/>
              <w:szCs w:val="21"/>
            </w:rPr>
            <w:t>一</w:t>
          </w:r>
          <w:r>
            <w:rPr>
              <w:spacing w:val="-29"/>
              <w:sz w:val="21"/>
              <w:szCs w:val="21"/>
            </w:rPr>
            <w:t xml:space="preserve"> </w:t>
          </w:r>
          <w:r>
            <w:rPr>
              <w:spacing w:val="-14"/>
              <w:sz w:val="21"/>
              <w:szCs w:val="21"/>
            </w:rPr>
            <w:t>、传染源</w:t>
          </w:r>
          <w:r>
            <w:rPr>
              <w:spacing w:val="-82"/>
              <w:sz w:val="21"/>
              <w:szCs w:val="21"/>
            </w:rPr>
            <w:t xml:space="preserve"> </w:t>
          </w:r>
          <w:r>
            <w:rPr>
              <w:sz w:val="21"/>
              <w:szCs w:val="21"/>
            </w:rPr>
            <w:tab/>
          </w:r>
          <w:r>
            <w:rPr>
              <w:rFonts w:ascii="Times New Roman" w:hAnsi="Times New Roman" w:eastAsia="Times New Roman" w:cs="Times New Roman"/>
              <w:spacing w:val="-1"/>
              <w:sz w:val="21"/>
              <w:szCs w:val="21"/>
            </w:rPr>
            <w:t>300</w:t>
          </w:r>
          <w:r>
            <w:rPr>
              <w:rFonts w:ascii="Times New Roman" w:hAnsi="Times New Roman" w:eastAsia="Times New Roman" w:cs="Times New Roman"/>
              <w:spacing w:val="-1"/>
              <w:sz w:val="21"/>
              <w:szCs w:val="21"/>
            </w:rPr>
            <w:fldChar w:fldCharType="end"/>
          </w:r>
        </w:p>
        <w:p w14:paraId="268F7278">
          <w:pPr>
            <w:pStyle w:val="2"/>
            <w:tabs>
              <w:tab w:val="right" w:leader="dot" w:pos="9395"/>
            </w:tabs>
            <w:spacing w:before="139" w:line="222" w:lineRule="auto"/>
            <w:ind w:left="2629"/>
            <w:rPr>
              <w:rFonts w:ascii="Times New Roman" w:hAnsi="Times New Roman" w:eastAsia="Times New Roman" w:cs="Times New Roman"/>
              <w:sz w:val="21"/>
              <w:szCs w:val="21"/>
            </w:rPr>
          </w:pPr>
          <w:r>
            <w:fldChar w:fldCharType="begin"/>
          </w:r>
          <w:r>
            <w:instrText xml:space="preserve"> HYPERLINK \l "bookmark335" </w:instrText>
          </w:r>
          <w:r>
            <w:fldChar w:fldCharType="separate"/>
          </w:r>
          <w:r>
            <w:rPr>
              <w:spacing w:val="-10"/>
              <w:sz w:val="21"/>
              <w:szCs w:val="21"/>
            </w:rPr>
            <w:t>二</w:t>
          </w:r>
          <w:r>
            <w:rPr>
              <w:spacing w:val="-36"/>
              <w:sz w:val="21"/>
              <w:szCs w:val="21"/>
            </w:rPr>
            <w:t xml:space="preserve"> </w:t>
          </w:r>
          <w:r>
            <w:rPr>
              <w:spacing w:val="-10"/>
              <w:sz w:val="21"/>
              <w:szCs w:val="21"/>
            </w:rPr>
            <w:t>、传播途径</w:t>
          </w:r>
          <w:r>
            <w:rPr>
              <w:spacing w:val="-85"/>
              <w:sz w:val="21"/>
              <w:szCs w:val="21"/>
            </w:rPr>
            <w:t xml:space="preserve"> </w:t>
          </w:r>
          <w:r>
            <w:rPr>
              <w:sz w:val="21"/>
              <w:szCs w:val="21"/>
            </w:rPr>
            <w:tab/>
          </w:r>
          <w:r>
            <w:rPr>
              <w:rFonts w:ascii="Times New Roman" w:hAnsi="Times New Roman" w:eastAsia="Times New Roman" w:cs="Times New Roman"/>
              <w:spacing w:val="-1"/>
              <w:sz w:val="21"/>
              <w:szCs w:val="21"/>
            </w:rPr>
            <w:t>301</w:t>
          </w:r>
          <w:r>
            <w:rPr>
              <w:rFonts w:ascii="Times New Roman" w:hAnsi="Times New Roman" w:eastAsia="Times New Roman" w:cs="Times New Roman"/>
              <w:spacing w:val="-1"/>
              <w:sz w:val="21"/>
              <w:szCs w:val="21"/>
            </w:rPr>
            <w:fldChar w:fldCharType="end"/>
          </w:r>
        </w:p>
        <w:p w14:paraId="773E0440">
          <w:pPr>
            <w:pStyle w:val="2"/>
            <w:tabs>
              <w:tab w:val="right" w:leader="dot" w:pos="9415"/>
            </w:tabs>
            <w:spacing w:before="137" w:line="221" w:lineRule="auto"/>
            <w:ind w:left="2629"/>
            <w:rPr>
              <w:rFonts w:ascii="Times New Roman" w:hAnsi="Times New Roman" w:eastAsia="Times New Roman" w:cs="Times New Roman"/>
              <w:sz w:val="21"/>
              <w:szCs w:val="21"/>
            </w:rPr>
          </w:pPr>
          <w:r>
            <w:fldChar w:fldCharType="begin"/>
          </w:r>
          <w:r>
            <w:instrText xml:space="preserve"> HYPERLINK \l "bookmark336" </w:instrText>
          </w:r>
          <w:r>
            <w:fldChar w:fldCharType="separate"/>
          </w:r>
          <w:r>
            <w:rPr>
              <w:spacing w:val="-8"/>
              <w:sz w:val="21"/>
              <w:szCs w:val="21"/>
            </w:rPr>
            <w:t>三</w:t>
          </w:r>
          <w:r>
            <w:rPr>
              <w:spacing w:val="-38"/>
              <w:sz w:val="21"/>
              <w:szCs w:val="21"/>
            </w:rPr>
            <w:t xml:space="preserve"> </w:t>
          </w:r>
          <w:r>
            <w:rPr>
              <w:spacing w:val="-8"/>
              <w:sz w:val="21"/>
              <w:szCs w:val="21"/>
            </w:rPr>
            <w:t>、人群易感性</w:t>
          </w:r>
          <w:r>
            <w:rPr>
              <w:spacing w:val="-87"/>
              <w:sz w:val="21"/>
              <w:szCs w:val="21"/>
            </w:rPr>
            <w:t xml:space="preserve"> </w:t>
          </w:r>
          <w:r>
            <w:rPr>
              <w:sz w:val="21"/>
              <w:szCs w:val="21"/>
            </w:rPr>
            <w:tab/>
          </w:r>
          <w:r>
            <w:rPr>
              <w:rFonts w:ascii="Times New Roman" w:hAnsi="Times New Roman" w:eastAsia="Times New Roman" w:cs="Times New Roman"/>
              <w:spacing w:val="-1"/>
              <w:sz w:val="21"/>
              <w:szCs w:val="21"/>
            </w:rPr>
            <w:t>301</w:t>
          </w:r>
          <w:r>
            <w:rPr>
              <w:rFonts w:ascii="Times New Roman" w:hAnsi="Times New Roman" w:eastAsia="Times New Roman" w:cs="Times New Roman"/>
              <w:spacing w:val="-1"/>
              <w:sz w:val="21"/>
              <w:szCs w:val="21"/>
            </w:rPr>
            <w:fldChar w:fldCharType="end"/>
          </w:r>
        </w:p>
        <w:p w14:paraId="6929F39A">
          <w:pPr>
            <w:pStyle w:val="2"/>
            <w:tabs>
              <w:tab w:val="right" w:leader="dot" w:pos="9425"/>
            </w:tabs>
            <w:spacing w:before="148" w:line="221" w:lineRule="auto"/>
            <w:ind w:left="2629"/>
            <w:rPr>
              <w:rFonts w:ascii="Times New Roman" w:hAnsi="Times New Roman" w:eastAsia="Times New Roman" w:cs="Times New Roman"/>
              <w:sz w:val="21"/>
              <w:szCs w:val="21"/>
            </w:rPr>
          </w:pPr>
          <w:r>
            <w:fldChar w:fldCharType="begin"/>
          </w:r>
          <w:r>
            <w:instrText xml:space="preserve"> HYPERLINK \l "bookmark337" </w:instrText>
          </w:r>
          <w:r>
            <w:fldChar w:fldCharType="separate"/>
          </w:r>
          <w:r>
            <w:rPr>
              <w:spacing w:val="-9"/>
              <w:sz w:val="21"/>
              <w:szCs w:val="21"/>
            </w:rPr>
            <w:t>四</w:t>
          </w:r>
          <w:r>
            <w:rPr>
              <w:spacing w:val="-46"/>
              <w:sz w:val="21"/>
              <w:szCs w:val="21"/>
            </w:rPr>
            <w:t xml:space="preserve"> </w:t>
          </w:r>
          <w:r>
            <w:rPr>
              <w:spacing w:val="-9"/>
              <w:sz w:val="21"/>
              <w:szCs w:val="21"/>
            </w:rPr>
            <w:t>、影响流行过程的因素</w:t>
          </w:r>
          <w:r>
            <w:rPr>
              <w:spacing w:val="-86"/>
              <w:sz w:val="21"/>
              <w:szCs w:val="21"/>
            </w:rPr>
            <w:t xml:space="preserve"> </w:t>
          </w:r>
          <w:r>
            <w:rPr>
              <w:sz w:val="21"/>
              <w:szCs w:val="21"/>
            </w:rPr>
            <w:tab/>
          </w:r>
          <w:r>
            <w:rPr>
              <w:rFonts w:ascii="Times New Roman" w:hAnsi="Times New Roman" w:eastAsia="Times New Roman" w:cs="Times New Roman"/>
              <w:spacing w:val="5"/>
              <w:sz w:val="21"/>
              <w:szCs w:val="21"/>
            </w:rPr>
            <w:t>301</w:t>
          </w:r>
          <w:r>
            <w:rPr>
              <w:rFonts w:ascii="Times New Roman" w:hAnsi="Times New Roman" w:eastAsia="Times New Roman" w:cs="Times New Roman"/>
              <w:spacing w:val="5"/>
              <w:sz w:val="21"/>
              <w:szCs w:val="21"/>
            </w:rPr>
            <w:fldChar w:fldCharType="end"/>
          </w:r>
        </w:p>
        <w:p w14:paraId="20056B11">
          <w:pPr>
            <w:pStyle w:val="2"/>
            <w:tabs>
              <w:tab w:val="right" w:leader="dot" w:pos="9465"/>
            </w:tabs>
            <w:spacing w:before="149" w:line="221" w:lineRule="auto"/>
            <w:ind w:left="2219"/>
            <w:rPr>
              <w:rFonts w:ascii="Times New Roman" w:hAnsi="Times New Roman" w:eastAsia="Times New Roman" w:cs="Times New Roman"/>
              <w:sz w:val="21"/>
              <w:szCs w:val="21"/>
            </w:rPr>
          </w:pPr>
          <w:r>
            <w:fldChar w:fldCharType="begin"/>
          </w:r>
          <w:r>
            <w:instrText xml:space="preserve"> HYPERLINK \l "bookmark338" </w:instrText>
          </w:r>
          <w:r>
            <w:fldChar w:fldCharType="separate"/>
          </w:r>
          <w:r>
            <w:rPr>
              <w:spacing w:val="5"/>
              <w:sz w:val="21"/>
              <w:szCs w:val="21"/>
            </w:rPr>
            <w:t>第三节 预防策略与措施</w:t>
          </w:r>
          <w:r>
            <w:rPr>
              <w:spacing w:val="-76"/>
              <w:sz w:val="21"/>
              <w:szCs w:val="21"/>
            </w:rPr>
            <w:t xml:space="preserve"> </w:t>
          </w:r>
          <w:r>
            <w:rPr>
              <w:sz w:val="21"/>
              <w:szCs w:val="21"/>
            </w:rPr>
            <w:tab/>
          </w:r>
          <w:r>
            <w:rPr>
              <w:spacing w:val="-52"/>
              <w:sz w:val="21"/>
              <w:szCs w:val="21"/>
            </w:rPr>
            <w:t xml:space="preserve"> </w:t>
          </w:r>
          <w:r>
            <w:rPr>
              <w:rFonts w:ascii="Times New Roman" w:hAnsi="Times New Roman" w:eastAsia="Times New Roman" w:cs="Times New Roman"/>
              <w:spacing w:val="-2"/>
              <w:sz w:val="21"/>
              <w:szCs w:val="21"/>
            </w:rPr>
            <w:t>302</w:t>
          </w:r>
          <w:r>
            <w:rPr>
              <w:rFonts w:ascii="Times New Roman" w:hAnsi="Times New Roman" w:eastAsia="Times New Roman" w:cs="Times New Roman"/>
              <w:spacing w:val="-2"/>
              <w:sz w:val="21"/>
              <w:szCs w:val="21"/>
            </w:rPr>
            <w:fldChar w:fldCharType="end"/>
          </w:r>
        </w:p>
        <w:p w14:paraId="4361ACD5">
          <w:pPr>
            <w:pStyle w:val="2"/>
            <w:tabs>
              <w:tab w:val="right" w:leader="dot" w:pos="9385"/>
            </w:tabs>
            <w:spacing w:before="139" w:line="222" w:lineRule="auto"/>
            <w:ind w:left="2629"/>
            <w:rPr>
              <w:rFonts w:ascii="Times New Roman" w:hAnsi="Times New Roman" w:eastAsia="Times New Roman" w:cs="Times New Roman"/>
              <w:sz w:val="21"/>
              <w:szCs w:val="21"/>
            </w:rPr>
          </w:pPr>
          <w:r>
            <w:fldChar w:fldCharType="begin"/>
          </w:r>
          <w:r>
            <w:instrText xml:space="preserve"> HYPERLINK \l "bookmark339" </w:instrText>
          </w:r>
          <w:r>
            <w:fldChar w:fldCharType="separate"/>
          </w:r>
          <w:r>
            <w:rPr>
              <w:spacing w:val="-14"/>
              <w:sz w:val="21"/>
              <w:szCs w:val="21"/>
            </w:rPr>
            <w:t>一</w:t>
          </w:r>
          <w:r>
            <w:rPr>
              <w:spacing w:val="-30"/>
              <w:sz w:val="21"/>
              <w:szCs w:val="21"/>
            </w:rPr>
            <w:t xml:space="preserve"> </w:t>
          </w:r>
          <w:r>
            <w:rPr>
              <w:spacing w:val="-14"/>
              <w:sz w:val="21"/>
              <w:szCs w:val="21"/>
            </w:rPr>
            <w:t>、策略</w:t>
          </w:r>
          <w:r>
            <w:rPr>
              <w:spacing w:val="-85"/>
              <w:sz w:val="21"/>
              <w:szCs w:val="21"/>
            </w:rPr>
            <w:t xml:space="preserve"> </w:t>
          </w:r>
          <w:r>
            <w:rPr>
              <w:sz w:val="21"/>
              <w:szCs w:val="21"/>
            </w:rPr>
            <w:tab/>
          </w:r>
          <w:r>
            <w:rPr>
              <w:rFonts w:ascii="Times New Roman" w:hAnsi="Times New Roman" w:eastAsia="Times New Roman" w:cs="Times New Roman"/>
              <w:spacing w:val="-1"/>
              <w:sz w:val="21"/>
              <w:szCs w:val="21"/>
            </w:rPr>
            <w:t>302</w:t>
          </w:r>
          <w:r>
            <w:rPr>
              <w:rFonts w:ascii="Times New Roman" w:hAnsi="Times New Roman" w:eastAsia="Times New Roman" w:cs="Times New Roman"/>
              <w:spacing w:val="-1"/>
              <w:sz w:val="21"/>
              <w:szCs w:val="21"/>
            </w:rPr>
            <w:fldChar w:fldCharType="end"/>
          </w:r>
        </w:p>
        <w:p w14:paraId="3AD0748F">
          <w:pPr>
            <w:pStyle w:val="2"/>
            <w:tabs>
              <w:tab w:val="right" w:leader="dot" w:pos="9375"/>
            </w:tabs>
            <w:spacing w:before="129" w:line="223" w:lineRule="auto"/>
            <w:ind w:left="2629"/>
            <w:rPr>
              <w:rFonts w:ascii="Times New Roman" w:hAnsi="Times New Roman" w:eastAsia="Times New Roman" w:cs="Times New Roman"/>
              <w:sz w:val="21"/>
              <w:szCs w:val="21"/>
            </w:rPr>
          </w:pPr>
          <w:r>
            <w:fldChar w:fldCharType="begin"/>
          </w:r>
          <w:r>
            <w:instrText xml:space="preserve"> HYPERLINK \l "bookmark340" </w:instrText>
          </w:r>
          <w:r>
            <w:fldChar w:fldCharType="separate"/>
          </w:r>
          <w:r>
            <w:rPr>
              <w:spacing w:val="-12"/>
              <w:sz w:val="21"/>
              <w:szCs w:val="21"/>
            </w:rPr>
            <w:t>二</w:t>
          </w:r>
          <w:r>
            <w:rPr>
              <w:spacing w:val="-39"/>
              <w:sz w:val="21"/>
              <w:szCs w:val="21"/>
            </w:rPr>
            <w:t xml:space="preserve"> </w:t>
          </w:r>
          <w:r>
            <w:rPr>
              <w:spacing w:val="-12"/>
              <w:sz w:val="21"/>
              <w:szCs w:val="21"/>
            </w:rPr>
            <w:t>、措施</w:t>
          </w:r>
          <w:r>
            <w:rPr>
              <w:spacing w:val="-84"/>
              <w:sz w:val="21"/>
              <w:szCs w:val="21"/>
            </w:rPr>
            <w:t xml:space="preserve"> </w:t>
          </w:r>
          <w:r>
            <w:rPr>
              <w:sz w:val="21"/>
              <w:szCs w:val="21"/>
            </w:rPr>
            <w:tab/>
          </w:r>
          <w:r>
            <w:rPr>
              <w:rFonts w:ascii="Times New Roman" w:hAnsi="Times New Roman" w:eastAsia="Times New Roman" w:cs="Times New Roman"/>
              <w:spacing w:val="-1"/>
              <w:sz w:val="21"/>
              <w:szCs w:val="21"/>
            </w:rPr>
            <w:t>302</w:t>
          </w:r>
          <w:r>
            <w:rPr>
              <w:rFonts w:ascii="Times New Roman" w:hAnsi="Times New Roman" w:eastAsia="Times New Roman" w:cs="Times New Roman"/>
              <w:spacing w:val="-1"/>
              <w:sz w:val="21"/>
              <w:szCs w:val="21"/>
            </w:rPr>
            <w:fldChar w:fldCharType="end"/>
          </w:r>
        </w:p>
        <w:p w14:paraId="7D9F0A2D">
          <w:pPr>
            <w:pStyle w:val="2"/>
            <w:tabs>
              <w:tab w:val="right" w:leader="dot" w:pos="9435"/>
            </w:tabs>
            <w:spacing w:before="135" w:line="222" w:lineRule="auto"/>
            <w:ind w:left="2219"/>
            <w:rPr>
              <w:rFonts w:ascii="Times New Roman" w:hAnsi="Times New Roman" w:eastAsia="Times New Roman" w:cs="Times New Roman"/>
              <w:sz w:val="21"/>
              <w:szCs w:val="21"/>
            </w:rPr>
          </w:pPr>
          <w:r>
            <w:fldChar w:fldCharType="begin"/>
          </w:r>
          <w:r>
            <w:instrText xml:space="preserve"> HYPERLINK \l "bookmark341" </w:instrText>
          </w:r>
          <w:r>
            <w:fldChar w:fldCharType="separate"/>
          </w:r>
          <w:r>
            <w:rPr>
              <w:spacing w:val="11"/>
              <w:sz w:val="21"/>
              <w:szCs w:val="21"/>
            </w:rPr>
            <w:t>第四节</w:t>
          </w:r>
          <w:r>
            <w:rPr>
              <w:spacing w:val="29"/>
              <w:sz w:val="21"/>
              <w:szCs w:val="21"/>
            </w:rPr>
            <w:t xml:space="preserve"> </w:t>
          </w:r>
          <w:r>
            <w:rPr>
              <w:spacing w:val="11"/>
              <w:sz w:val="21"/>
              <w:szCs w:val="21"/>
            </w:rPr>
            <w:t>艾滋病</w:t>
          </w:r>
          <w:r>
            <w:rPr>
              <w:spacing w:val="-86"/>
              <w:sz w:val="21"/>
              <w:szCs w:val="21"/>
            </w:rPr>
            <w:t xml:space="preserve"> </w:t>
          </w:r>
          <w:r>
            <w:rPr>
              <w:sz w:val="21"/>
              <w:szCs w:val="21"/>
            </w:rPr>
            <w:tab/>
          </w:r>
          <w:r>
            <w:rPr>
              <w:rFonts w:ascii="Times New Roman" w:hAnsi="Times New Roman" w:eastAsia="Times New Roman" w:cs="Times New Roman"/>
              <w:spacing w:val="-4"/>
              <w:sz w:val="21"/>
              <w:szCs w:val="21"/>
            </w:rPr>
            <w:t>303</w:t>
          </w:r>
          <w:r>
            <w:rPr>
              <w:rFonts w:ascii="Times New Roman" w:hAnsi="Times New Roman" w:eastAsia="Times New Roman" w:cs="Times New Roman"/>
              <w:spacing w:val="-4"/>
              <w:sz w:val="21"/>
              <w:szCs w:val="21"/>
            </w:rPr>
            <w:fldChar w:fldCharType="end"/>
          </w:r>
        </w:p>
        <w:p w14:paraId="0EEB6293">
          <w:pPr>
            <w:pStyle w:val="2"/>
            <w:tabs>
              <w:tab w:val="right" w:leader="dot" w:pos="9475"/>
            </w:tabs>
            <w:spacing w:before="157" w:line="221" w:lineRule="auto"/>
            <w:ind w:left="2629"/>
            <w:rPr>
              <w:rFonts w:ascii="Times New Roman" w:hAnsi="Times New Roman" w:eastAsia="Times New Roman" w:cs="Times New Roman"/>
              <w:sz w:val="21"/>
              <w:szCs w:val="21"/>
            </w:rPr>
          </w:pPr>
          <w:r>
            <w:fldChar w:fldCharType="begin"/>
          </w:r>
          <w:r>
            <w:instrText xml:space="preserve"> HYPERLINK \l "bookmark342" </w:instrText>
          </w:r>
          <w:r>
            <w:fldChar w:fldCharType="separate"/>
          </w:r>
          <w:r>
            <w:rPr>
              <w:spacing w:val="-13"/>
              <w:sz w:val="21"/>
              <w:szCs w:val="21"/>
            </w:rPr>
            <w:t>一</w:t>
          </w:r>
          <w:r>
            <w:rPr>
              <w:spacing w:val="-27"/>
              <w:sz w:val="21"/>
              <w:szCs w:val="21"/>
            </w:rPr>
            <w:t xml:space="preserve"> </w:t>
          </w:r>
          <w:r>
            <w:rPr>
              <w:spacing w:val="-13"/>
              <w:sz w:val="21"/>
              <w:szCs w:val="21"/>
            </w:rPr>
            <w:t>、概述</w:t>
          </w:r>
          <w:r>
            <w:rPr>
              <w:spacing w:val="-82"/>
              <w:sz w:val="21"/>
              <w:szCs w:val="21"/>
            </w:rPr>
            <w:t xml:space="preserve"> </w:t>
          </w:r>
          <w:r>
            <w:rPr>
              <w:sz w:val="21"/>
              <w:szCs w:val="21"/>
            </w:rPr>
            <w:tab/>
          </w:r>
          <w:r>
            <w:rPr>
              <w:rFonts w:ascii="Times New Roman" w:hAnsi="Times New Roman" w:eastAsia="Times New Roman" w:cs="Times New Roman"/>
              <w:spacing w:val="-2"/>
              <w:sz w:val="21"/>
              <w:szCs w:val="21"/>
            </w:rPr>
            <w:t>303</w:t>
          </w:r>
          <w:r>
            <w:rPr>
              <w:rFonts w:ascii="Times New Roman" w:hAnsi="Times New Roman" w:eastAsia="Times New Roman" w:cs="Times New Roman"/>
              <w:spacing w:val="-2"/>
              <w:sz w:val="21"/>
              <w:szCs w:val="21"/>
            </w:rPr>
            <w:fldChar w:fldCharType="end"/>
          </w:r>
        </w:p>
        <w:p w14:paraId="4DE9740D">
          <w:pPr>
            <w:pStyle w:val="2"/>
            <w:tabs>
              <w:tab w:val="right" w:leader="dot" w:pos="9375"/>
            </w:tabs>
            <w:spacing w:before="128" w:line="221" w:lineRule="auto"/>
            <w:ind w:left="2629"/>
            <w:rPr>
              <w:rFonts w:ascii="Times New Roman" w:hAnsi="Times New Roman" w:eastAsia="Times New Roman" w:cs="Times New Roman"/>
              <w:sz w:val="21"/>
              <w:szCs w:val="21"/>
            </w:rPr>
          </w:pPr>
          <w:r>
            <w:fldChar w:fldCharType="begin"/>
          </w:r>
          <w:r>
            <w:instrText xml:space="preserve"> HYPERLINK \l "bookmark343" </w:instrText>
          </w:r>
          <w:r>
            <w:fldChar w:fldCharType="separate"/>
          </w:r>
          <w:r>
            <w:rPr>
              <w:spacing w:val="-8"/>
              <w:sz w:val="21"/>
              <w:szCs w:val="21"/>
            </w:rPr>
            <w:t>二</w:t>
          </w:r>
          <w:r>
            <w:rPr>
              <w:spacing w:val="-50"/>
              <w:sz w:val="21"/>
              <w:szCs w:val="21"/>
            </w:rPr>
            <w:t xml:space="preserve"> </w:t>
          </w:r>
          <w:r>
            <w:rPr>
              <w:spacing w:val="-8"/>
              <w:sz w:val="21"/>
              <w:szCs w:val="21"/>
            </w:rPr>
            <w:t>、流行概况</w:t>
          </w:r>
          <w:r>
            <w:rPr>
              <w:spacing w:val="-83"/>
              <w:sz w:val="21"/>
              <w:szCs w:val="21"/>
            </w:rPr>
            <w:t xml:space="preserve"> </w:t>
          </w:r>
          <w:r>
            <w:rPr>
              <w:sz w:val="21"/>
              <w:szCs w:val="21"/>
            </w:rPr>
            <w:tab/>
          </w:r>
          <w:r>
            <w:rPr>
              <w:rFonts w:ascii="Times New Roman" w:hAnsi="Times New Roman" w:eastAsia="Times New Roman" w:cs="Times New Roman"/>
              <w:spacing w:val="-1"/>
              <w:sz w:val="21"/>
              <w:szCs w:val="21"/>
            </w:rPr>
            <w:t>305</w:t>
          </w:r>
          <w:r>
            <w:rPr>
              <w:rFonts w:ascii="Times New Roman" w:hAnsi="Times New Roman" w:eastAsia="Times New Roman" w:cs="Times New Roman"/>
              <w:spacing w:val="-1"/>
              <w:sz w:val="21"/>
              <w:szCs w:val="21"/>
            </w:rPr>
            <w:fldChar w:fldCharType="end"/>
          </w:r>
        </w:p>
        <w:p w14:paraId="09522022">
          <w:pPr>
            <w:pStyle w:val="2"/>
            <w:tabs>
              <w:tab w:val="right" w:leader="dot" w:pos="9385"/>
            </w:tabs>
            <w:spacing w:before="159" w:line="221" w:lineRule="auto"/>
            <w:ind w:left="2629"/>
            <w:rPr>
              <w:rFonts w:ascii="Times New Roman" w:hAnsi="Times New Roman" w:eastAsia="Times New Roman" w:cs="Times New Roman"/>
              <w:sz w:val="21"/>
              <w:szCs w:val="21"/>
            </w:rPr>
          </w:pPr>
          <w:r>
            <w:fldChar w:fldCharType="begin"/>
          </w:r>
          <w:r>
            <w:instrText xml:space="preserve"> HYPERLINK \l "bookmark344" </w:instrText>
          </w:r>
          <w:r>
            <w:fldChar w:fldCharType="separate"/>
          </w:r>
          <w:r>
            <w:rPr>
              <w:spacing w:val="-11"/>
              <w:sz w:val="21"/>
              <w:szCs w:val="21"/>
            </w:rPr>
            <w:t>三</w:t>
          </w:r>
          <w:r>
            <w:rPr>
              <w:spacing w:val="-39"/>
              <w:sz w:val="21"/>
              <w:szCs w:val="21"/>
            </w:rPr>
            <w:t xml:space="preserve"> </w:t>
          </w:r>
          <w:r>
            <w:rPr>
              <w:spacing w:val="-11"/>
              <w:sz w:val="21"/>
              <w:szCs w:val="21"/>
            </w:rPr>
            <w:t>、预防策略与措施</w:t>
          </w:r>
          <w:r>
            <w:rPr>
              <w:spacing w:val="-73"/>
              <w:sz w:val="21"/>
              <w:szCs w:val="21"/>
            </w:rPr>
            <w:t xml:space="preserve"> </w:t>
          </w:r>
          <w:r>
            <w:rPr>
              <w:sz w:val="21"/>
              <w:szCs w:val="21"/>
            </w:rPr>
            <w:tab/>
          </w:r>
          <w:r>
            <w:rPr>
              <w:rFonts w:ascii="Times New Roman" w:hAnsi="Times New Roman" w:eastAsia="Times New Roman" w:cs="Times New Roman"/>
              <w:spacing w:val="-1"/>
              <w:sz w:val="21"/>
              <w:szCs w:val="21"/>
            </w:rPr>
            <w:t>305</w:t>
          </w:r>
          <w:r>
            <w:rPr>
              <w:rFonts w:ascii="Times New Roman" w:hAnsi="Times New Roman" w:eastAsia="Times New Roman" w:cs="Times New Roman"/>
              <w:spacing w:val="-1"/>
              <w:sz w:val="21"/>
              <w:szCs w:val="21"/>
            </w:rPr>
            <w:fldChar w:fldCharType="end"/>
          </w:r>
        </w:p>
        <w:p w14:paraId="264BCF1D">
          <w:pPr>
            <w:spacing w:line="405" w:lineRule="auto"/>
            <w:rPr>
              <w:rFonts w:ascii="Arial"/>
              <w:sz w:val="21"/>
            </w:rPr>
          </w:pPr>
        </w:p>
        <w:p w14:paraId="29265870">
          <w:pPr>
            <w:pStyle w:val="2"/>
            <w:tabs>
              <w:tab w:val="right" w:leader="dot" w:pos="9360"/>
            </w:tabs>
            <w:spacing w:before="69" w:line="222" w:lineRule="auto"/>
            <w:ind w:left="762"/>
            <w:rPr>
              <w:rFonts w:ascii="Times New Roman" w:hAnsi="Times New Roman" w:eastAsia="Times New Roman" w:cs="Times New Roman"/>
              <w:sz w:val="21"/>
              <w:szCs w:val="21"/>
            </w:rPr>
          </w:pPr>
          <w:r>
            <w:fldChar w:fldCharType="begin"/>
          </w:r>
          <w:r>
            <w:instrText xml:space="preserve"> HYPERLINK \l "bookmark345" </w:instrText>
          </w:r>
          <w:r>
            <w:fldChar w:fldCharType="separate"/>
          </w:r>
          <w:r>
            <w:rPr>
              <w:b/>
              <w:bCs/>
              <w:spacing w:val="-12"/>
              <w:sz w:val="21"/>
              <w:szCs w:val="21"/>
            </w:rPr>
            <w:t>第</w:t>
          </w:r>
          <w:r>
            <w:rPr>
              <w:spacing w:val="-37"/>
              <w:sz w:val="21"/>
              <w:szCs w:val="21"/>
            </w:rPr>
            <w:t xml:space="preserve"> </w:t>
          </w:r>
          <w:r>
            <w:rPr>
              <w:b/>
              <w:bCs/>
              <w:spacing w:val="-12"/>
              <w:sz w:val="21"/>
              <w:szCs w:val="21"/>
            </w:rPr>
            <w:t>二</w:t>
          </w:r>
          <w:r>
            <w:rPr>
              <w:spacing w:val="-44"/>
              <w:sz w:val="21"/>
              <w:szCs w:val="21"/>
            </w:rPr>
            <w:t xml:space="preserve"> </w:t>
          </w:r>
          <w:r>
            <w:rPr>
              <w:b/>
              <w:bCs/>
              <w:spacing w:val="-12"/>
              <w:sz w:val="21"/>
              <w:szCs w:val="21"/>
            </w:rPr>
            <w:t>十</w:t>
          </w:r>
          <w:r>
            <w:rPr>
              <w:spacing w:val="-44"/>
              <w:sz w:val="21"/>
              <w:szCs w:val="21"/>
            </w:rPr>
            <w:t xml:space="preserve"> </w:t>
          </w:r>
          <w:r>
            <w:rPr>
              <w:b/>
              <w:bCs/>
              <w:spacing w:val="-12"/>
              <w:sz w:val="21"/>
              <w:szCs w:val="21"/>
            </w:rPr>
            <w:t>二</w:t>
          </w:r>
          <w:r>
            <w:rPr>
              <w:spacing w:val="-46"/>
              <w:sz w:val="21"/>
              <w:szCs w:val="21"/>
            </w:rPr>
            <w:t xml:space="preserve"> </w:t>
          </w:r>
          <w:r>
            <w:rPr>
              <w:b/>
              <w:bCs/>
              <w:spacing w:val="-12"/>
              <w:sz w:val="21"/>
              <w:szCs w:val="21"/>
            </w:rPr>
            <w:t>章</w:t>
          </w:r>
          <w:r>
            <w:rPr>
              <w:spacing w:val="73"/>
              <w:sz w:val="21"/>
              <w:szCs w:val="21"/>
            </w:rPr>
            <w:t xml:space="preserve"> </w:t>
          </w:r>
          <w:r>
            <w:rPr>
              <w:b/>
              <w:bCs/>
              <w:spacing w:val="-12"/>
              <w:sz w:val="21"/>
              <w:szCs w:val="21"/>
            </w:rPr>
            <w:t>感</w:t>
          </w:r>
          <w:r>
            <w:rPr>
              <w:spacing w:val="-29"/>
              <w:sz w:val="21"/>
              <w:szCs w:val="21"/>
            </w:rPr>
            <w:t xml:space="preserve"> </w:t>
          </w:r>
          <w:r>
            <w:rPr>
              <w:b/>
              <w:bCs/>
              <w:spacing w:val="-12"/>
              <w:sz w:val="21"/>
              <w:szCs w:val="21"/>
            </w:rPr>
            <w:t>染</w:t>
          </w:r>
          <w:r>
            <w:rPr>
              <w:spacing w:val="-28"/>
              <w:sz w:val="21"/>
              <w:szCs w:val="21"/>
            </w:rPr>
            <w:t xml:space="preserve"> </w:t>
          </w:r>
          <w:r>
            <w:rPr>
              <w:b/>
              <w:bCs/>
              <w:spacing w:val="-12"/>
              <w:sz w:val="21"/>
              <w:szCs w:val="21"/>
            </w:rPr>
            <w:t>性</w:t>
          </w:r>
          <w:r>
            <w:rPr>
              <w:spacing w:val="-30"/>
              <w:sz w:val="21"/>
              <w:szCs w:val="21"/>
            </w:rPr>
            <w:t xml:space="preserve"> </w:t>
          </w:r>
          <w:r>
            <w:rPr>
              <w:b/>
              <w:bCs/>
              <w:spacing w:val="-12"/>
              <w:sz w:val="21"/>
              <w:szCs w:val="21"/>
            </w:rPr>
            <w:t>腹</w:t>
          </w:r>
          <w:r>
            <w:rPr>
              <w:spacing w:val="-27"/>
              <w:sz w:val="21"/>
              <w:szCs w:val="21"/>
            </w:rPr>
            <w:t xml:space="preserve"> </w:t>
          </w:r>
          <w:r>
            <w:rPr>
              <w:b/>
              <w:bCs/>
              <w:spacing w:val="-12"/>
              <w:sz w:val="21"/>
              <w:szCs w:val="21"/>
            </w:rPr>
            <w:t>泻</w:t>
          </w:r>
          <w:r>
            <w:rPr>
              <w:spacing w:val="-85"/>
              <w:sz w:val="21"/>
              <w:szCs w:val="21"/>
            </w:rPr>
            <w:t xml:space="preserve"> </w:t>
          </w:r>
          <w:r>
            <w:rPr>
              <w:sz w:val="21"/>
              <w:szCs w:val="21"/>
            </w:rPr>
            <w:tab/>
          </w:r>
          <w:r>
            <w:rPr>
              <w:spacing w:val="-12"/>
              <w:sz w:val="21"/>
              <w:szCs w:val="21"/>
            </w:rPr>
            <w:t xml:space="preserve"> </w:t>
          </w:r>
          <w:r>
            <w:rPr>
              <w:rFonts w:ascii="Times New Roman" w:hAnsi="Times New Roman" w:eastAsia="Times New Roman" w:cs="Times New Roman"/>
              <w:b/>
              <w:bCs/>
              <w:spacing w:val="-1"/>
              <w:sz w:val="21"/>
              <w:szCs w:val="21"/>
            </w:rPr>
            <w:t>308</w:t>
          </w:r>
          <w:r>
            <w:rPr>
              <w:rFonts w:ascii="Times New Roman" w:hAnsi="Times New Roman" w:eastAsia="Times New Roman" w:cs="Times New Roman"/>
              <w:b/>
              <w:bCs/>
              <w:spacing w:val="-1"/>
              <w:sz w:val="21"/>
              <w:szCs w:val="21"/>
            </w:rPr>
            <w:fldChar w:fldCharType="end"/>
          </w:r>
        </w:p>
        <w:p w14:paraId="4BA8C2F1">
          <w:pPr>
            <w:pStyle w:val="2"/>
            <w:tabs>
              <w:tab w:val="right" w:leader="dot" w:pos="9475"/>
            </w:tabs>
            <w:spacing w:before="170" w:line="221" w:lineRule="auto"/>
            <w:ind w:left="2219"/>
            <w:rPr>
              <w:rFonts w:ascii="Times New Roman" w:hAnsi="Times New Roman" w:eastAsia="Times New Roman" w:cs="Times New Roman"/>
              <w:sz w:val="21"/>
              <w:szCs w:val="21"/>
            </w:rPr>
          </w:pPr>
          <w:r>
            <w:fldChar w:fldCharType="begin"/>
          </w:r>
          <w:r>
            <w:instrText xml:space="preserve"> HYPERLINK \l "bookmark346" </w:instrText>
          </w:r>
          <w:r>
            <w:fldChar w:fldCharType="separate"/>
          </w:r>
          <w:r>
            <w:rPr>
              <w:spacing w:val="12"/>
              <w:sz w:val="21"/>
              <w:szCs w:val="21"/>
            </w:rPr>
            <w:t>第一节</w:t>
          </w:r>
          <w:r>
            <w:rPr>
              <w:spacing w:val="27"/>
              <w:sz w:val="21"/>
              <w:szCs w:val="21"/>
            </w:rPr>
            <w:t xml:space="preserve"> </w:t>
          </w:r>
          <w:r>
            <w:rPr>
              <w:spacing w:val="12"/>
              <w:sz w:val="21"/>
              <w:szCs w:val="21"/>
            </w:rPr>
            <w:t>病原学</w:t>
          </w:r>
          <w:r>
            <w:rPr>
              <w:spacing w:val="-90"/>
              <w:sz w:val="21"/>
              <w:szCs w:val="21"/>
            </w:rPr>
            <w:t xml:space="preserve"> </w:t>
          </w:r>
          <w:r>
            <w:rPr>
              <w:sz w:val="21"/>
              <w:szCs w:val="21"/>
            </w:rPr>
            <w:tab/>
          </w:r>
          <w:r>
            <w:rPr>
              <w:spacing w:val="-72"/>
              <w:sz w:val="21"/>
              <w:szCs w:val="21"/>
            </w:rPr>
            <w:t xml:space="preserve"> </w:t>
          </w:r>
          <w:r>
            <w:rPr>
              <w:rFonts w:ascii="Times New Roman" w:hAnsi="Times New Roman" w:eastAsia="Times New Roman" w:cs="Times New Roman"/>
              <w:spacing w:val="-3"/>
              <w:sz w:val="21"/>
              <w:szCs w:val="21"/>
            </w:rPr>
            <w:t>308</w:t>
          </w:r>
          <w:r>
            <w:rPr>
              <w:rFonts w:ascii="Times New Roman" w:hAnsi="Times New Roman" w:eastAsia="Times New Roman" w:cs="Times New Roman"/>
              <w:spacing w:val="-3"/>
              <w:sz w:val="21"/>
              <w:szCs w:val="21"/>
            </w:rPr>
            <w:fldChar w:fldCharType="end"/>
          </w:r>
        </w:p>
        <w:p w14:paraId="457EEDF3">
          <w:pPr>
            <w:pStyle w:val="2"/>
            <w:tabs>
              <w:tab w:val="right" w:leader="dot" w:pos="9445"/>
            </w:tabs>
            <w:spacing w:before="148" w:line="221" w:lineRule="auto"/>
            <w:ind w:left="2629"/>
            <w:rPr>
              <w:rFonts w:ascii="Times New Roman" w:hAnsi="Times New Roman" w:eastAsia="Times New Roman" w:cs="Times New Roman"/>
              <w:sz w:val="21"/>
              <w:szCs w:val="21"/>
            </w:rPr>
          </w:pPr>
          <w:r>
            <w:fldChar w:fldCharType="begin"/>
          </w:r>
          <w:r>
            <w:instrText xml:space="preserve"> HYPERLINK \l "bookmark347" </w:instrText>
          </w:r>
          <w:r>
            <w:fldChar w:fldCharType="separate"/>
          </w:r>
          <w:r>
            <w:rPr>
              <w:spacing w:val="-12"/>
              <w:sz w:val="21"/>
              <w:szCs w:val="21"/>
            </w:rPr>
            <w:t>一</w:t>
          </w:r>
          <w:r>
            <w:rPr>
              <w:spacing w:val="-26"/>
              <w:sz w:val="21"/>
              <w:szCs w:val="21"/>
            </w:rPr>
            <w:t xml:space="preserve"> </w:t>
          </w:r>
          <w:r>
            <w:rPr>
              <w:spacing w:val="-12"/>
              <w:sz w:val="21"/>
              <w:szCs w:val="21"/>
            </w:rPr>
            <w:t>、病原体的种类</w:t>
          </w:r>
          <w:r>
            <w:rPr>
              <w:spacing w:val="-89"/>
              <w:sz w:val="21"/>
              <w:szCs w:val="21"/>
            </w:rPr>
            <w:t xml:space="preserve"> </w:t>
          </w:r>
          <w:r>
            <w:rPr>
              <w:sz w:val="21"/>
              <w:szCs w:val="21"/>
            </w:rPr>
            <w:tab/>
          </w:r>
          <w:r>
            <w:rPr>
              <w:rFonts w:ascii="Times New Roman" w:hAnsi="Times New Roman" w:eastAsia="Times New Roman" w:cs="Times New Roman"/>
              <w:spacing w:val="5"/>
              <w:sz w:val="21"/>
              <w:szCs w:val="21"/>
            </w:rPr>
            <w:t>308</w:t>
          </w:r>
          <w:r>
            <w:rPr>
              <w:rFonts w:ascii="Times New Roman" w:hAnsi="Times New Roman" w:eastAsia="Times New Roman" w:cs="Times New Roman"/>
              <w:spacing w:val="5"/>
              <w:sz w:val="21"/>
              <w:szCs w:val="21"/>
            </w:rPr>
            <w:fldChar w:fldCharType="end"/>
          </w:r>
        </w:p>
        <w:p w14:paraId="1BA19DD6">
          <w:pPr>
            <w:pStyle w:val="2"/>
            <w:tabs>
              <w:tab w:val="right" w:leader="dot" w:pos="9385"/>
            </w:tabs>
            <w:spacing w:before="161" w:line="222" w:lineRule="auto"/>
            <w:ind w:left="2629"/>
            <w:rPr>
              <w:rFonts w:ascii="Times New Roman" w:hAnsi="Times New Roman" w:eastAsia="Times New Roman" w:cs="Times New Roman"/>
              <w:sz w:val="21"/>
              <w:szCs w:val="21"/>
            </w:rPr>
          </w:pPr>
          <w:r>
            <w:fldChar w:fldCharType="begin"/>
          </w:r>
          <w:r>
            <w:instrText xml:space="preserve"> HYPERLINK \l "bookmark348" </w:instrText>
          </w:r>
          <w:r>
            <w:fldChar w:fldCharType="separate"/>
          </w:r>
          <w:r>
            <w:rPr>
              <w:spacing w:val="-14"/>
              <w:sz w:val="21"/>
              <w:szCs w:val="21"/>
            </w:rPr>
            <w:t>二</w:t>
          </w:r>
          <w:r>
            <w:rPr>
              <w:spacing w:val="-40"/>
              <w:sz w:val="21"/>
              <w:szCs w:val="21"/>
            </w:rPr>
            <w:t xml:space="preserve"> </w:t>
          </w:r>
          <w:r>
            <w:rPr>
              <w:spacing w:val="-14"/>
              <w:sz w:val="21"/>
              <w:szCs w:val="21"/>
            </w:rPr>
            <w:t>、主要病原体</w:t>
          </w:r>
          <w:r>
            <w:rPr>
              <w:spacing w:val="-63"/>
              <w:sz w:val="21"/>
              <w:szCs w:val="21"/>
            </w:rPr>
            <w:t xml:space="preserve"> </w:t>
          </w:r>
          <w:r>
            <w:rPr>
              <w:sz w:val="21"/>
              <w:szCs w:val="21"/>
            </w:rPr>
            <w:tab/>
          </w:r>
          <w:r>
            <w:rPr>
              <w:rFonts w:ascii="Times New Roman" w:hAnsi="Times New Roman" w:eastAsia="Times New Roman" w:cs="Times New Roman"/>
              <w:spacing w:val="-1"/>
              <w:sz w:val="21"/>
              <w:szCs w:val="21"/>
            </w:rPr>
            <w:t>310</w:t>
          </w:r>
          <w:r>
            <w:rPr>
              <w:rFonts w:ascii="Times New Roman" w:hAnsi="Times New Roman" w:eastAsia="Times New Roman" w:cs="Times New Roman"/>
              <w:spacing w:val="-1"/>
              <w:sz w:val="21"/>
              <w:szCs w:val="21"/>
            </w:rPr>
            <w:fldChar w:fldCharType="end"/>
          </w:r>
        </w:p>
        <w:p w14:paraId="2BAA9EB4">
          <w:pPr>
            <w:pStyle w:val="2"/>
            <w:tabs>
              <w:tab w:val="right" w:leader="dot" w:pos="9375"/>
            </w:tabs>
            <w:spacing w:before="115" w:line="221" w:lineRule="auto"/>
            <w:ind w:left="2219"/>
            <w:rPr>
              <w:rFonts w:ascii="Times New Roman" w:hAnsi="Times New Roman" w:eastAsia="Times New Roman" w:cs="Times New Roman"/>
              <w:sz w:val="21"/>
              <w:szCs w:val="21"/>
            </w:rPr>
          </w:pPr>
          <w:r>
            <w:fldChar w:fldCharType="begin"/>
          </w:r>
          <w:r>
            <w:instrText xml:space="preserve"> HYPERLINK \l "bookmark349" </w:instrText>
          </w:r>
          <w:r>
            <w:fldChar w:fldCharType="separate"/>
          </w:r>
          <w:r>
            <w:rPr>
              <w:spacing w:val="12"/>
              <w:sz w:val="21"/>
              <w:szCs w:val="21"/>
            </w:rPr>
            <w:t>第二节</w:t>
          </w:r>
          <w:r>
            <w:rPr>
              <w:spacing w:val="27"/>
              <w:sz w:val="21"/>
              <w:szCs w:val="21"/>
            </w:rPr>
            <w:t xml:space="preserve"> </w:t>
          </w:r>
          <w:r>
            <w:rPr>
              <w:spacing w:val="12"/>
              <w:sz w:val="21"/>
              <w:szCs w:val="21"/>
            </w:rPr>
            <w:t>流行过程</w:t>
          </w:r>
          <w:r>
            <w:rPr>
              <w:spacing w:val="-82"/>
              <w:sz w:val="21"/>
              <w:szCs w:val="21"/>
            </w:rPr>
            <w:t xml:space="preserve"> </w:t>
          </w:r>
          <w:r>
            <w:rPr>
              <w:sz w:val="21"/>
              <w:szCs w:val="21"/>
            </w:rPr>
            <w:tab/>
          </w:r>
          <w:r>
            <w:rPr>
              <w:rFonts w:ascii="Times New Roman" w:hAnsi="Times New Roman" w:eastAsia="Times New Roman" w:cs="Times New Roman"/>
              <w:spacing w:val="-1"/>
              <w:sz w:val="21"/>
              <w:szCs w:val="21"/>
            </w:rPr>
            <w:t>312</w:t>
          </w:r>
          <w:r>
            <w:rPr>
              <w:rFonts w:ascii="Times New Roman" w:hAnsi="Times New Roman" w:eastAsia="Times New Roman" w:cs="Times New Roman"/>
              <w:spacing w:val="-1"/>
              <w:sz w:val="21"/>
              <w:szCs w:val="21"/>
            </w:rPr>
            <w:fldChar w:fldCharType="end"/>
          </w:r>
        </w:p>
        <w:p w14:paraId="503F7DC8">
          <w:pPr>
            <w:pStyle w:val="2"/>
            <w:tabs>
              <w:tab w:val="right" w:leader="dot" w:pos="9385"/>
            </w:tabs>
            <w:spacing w:before="149" w:line="221" w:lineRule="auto"/>
            <w:ind w:left="2629"/>
            <w:rPr>
              <w:rFonts w:ascii="Times New Roman" w:hAnsi="Times New Roman" w:eastAsia="Times New Roman" w:cs="Times New Roman"/>
              <w:sz w:val="21"/>
              <w:szCs w:val="21"/>
            </w:rPr>
          </w:pPr>
          <w:r>
            <w:fldChar w:fldCharType="begin"/>
          </w:r>
          <w:r>
            <w:instrText xml:space="preserve"> HYPERLINK \l "bookmark350" </w:instrText>
          </w:r>
          <w:r>
            <w:fldChar w:fldCharType="separate"/>
          </w:r>
          <w:r>
            <w:rPr>
              <w:spacing w:val="-12"/>
              <w:sz w:val="21"/>
              <w:szCs w:val="21"/>
            </w:rPr>
            <w:t>一</w:t>
          </w:r>
          <w:r>
            <w:rPr>
              <w:spacing w:val="-29"/>
              <w:sz w:val="21"/>
              <w:szCs w:val="21"/>
            </w:rPr>
            <w:t xml:space="preserve"> </w:t>
          </w:r>
          <w:r>
            <w:rPr>
              <w:spacing w:val="-12"/>
              <w:sz w:val="21"/>
              <w:szCs w:val="21"/>
            </w:rPr>
            <w:t>、传染源</w:t>
          </w:r>
          <w:r>
            <w:rPr>
              <w:spacing w:val="-82"/>
              <w:sz w:val="21"/>
              <w:szCs w:val="21"/>
            </w:rPr>
            <w:t xml:space="preserve"> </w:t>
          </w:r>
          <w:r>
            <w:rPr>
              <w:sz w:val="21"/>
              <w:szCs w:val="21"/>
            </w:rPr>
            <w:tab/>
          </w:r>
          <w:r>
            <w:rPr>
              <w:rFonts w:ascii="Times New Roman" w:hAnsi="Times New Roman" w:eastAsia="Times New Roman" w:cs="Times New Roman"/>
              <w:spacing w:val="-1"/>
              <w:sz w:val="21"/>
              <w:szCs w:val="21"/>
            </w:rPr>
            <w:t>312</w:t>
          </w:r>
          <w:r>
            <w:rPr>
              <w:rFonts w:ascii="Times New Roman" w:hAnsi="Times New Roman" w:eastAsia="Times New Roman" w:cs="Times New Roman"/>
              <w:spacing w:val="-1"/>
              <w:sz w:val="21"/>
              <w:szCs w:val="21"/>
            </w:rPr>
            <w:fldChar w:fldCharType="end"/>
          </w:r>
        </w:p>
        <w:p w14:paraId="0B4801A1">
          <w:pPr>
            <w:pStyle w:val="2"/>
            <w:tabs>
              <w:tab w:val="right" w:leader="dot" w:pos="9375"/>
            </w:tabs>
            <w:spacing w:before="139" w:line="222" w:lineRule="auto"/>
            <w:ind w:left="2629"/>
            <w:rPr>
              <w:rFonts w:ascii="Times New Roman" w:hAnsi="Times New Roman" w:eastAsia="Times New Roman" w:cs="Times New Roman"/>
              <w:sz w:val="21"/>
              <w:szCs w:val="21"/>
            </w:rPr>
          </w:pPr>
          <w:r>
            <w:fldChar w:fldCharType="begin"/>
          </w:r>
          <w:r>
            <w:instrText xml:space="preserve"> HYPERLINK \l "bookmark351" </w:instrText>
          </w:r>
          <w:r>
            <w:fldChar w:fldCharType="separate"/>
          </w:r>
          <w:r>
            <w:rPr>
              <w:spacing w:val="-10"/>
              <w:sz w:val="21"/>
              <w:szCs w:val="21"/>
            </w:rPr>
            <w:t>二</w:t>
          </w:r>
          <w:r>
            <w:rPr>
              <w:spacing w:val="-26"/>
              <w:sz w:val="21"/>
              <w:szCs w:val="21"/>
            </w:rPr>
            <w:t xml:space="preserve"> </w:t>
          </w:r>
          <w:r>
            <w:rPr>
              <w:spacing w:val="-10"/>
              <w:sz w:val="21"/>
              <w:szCs w:val="21"/>
            </w:rPr>
            <w:t>、传播途径</w:t>
          </w:r>
          <w:r>
            <w:rPr>
              <w:spacing w:val="-95"/>
              <w:sz w:val="21"/>
              <w:szCs w:val="21"/>
            </w:rPr>
            <w:t xml:space="preserve"> </w:t>
          </w:r>
          <w:r>
            <w:rPr>
              <w:sz w:val="21"/>
              <w:szCs w:val="21"/>
            </w:rPr>
            <w:tab/>
          </w:r>
          <w:r>
            <w:rPr>
              <w:rFonts w:ascii="Times New Roman" w:hAnsi="Times New Roman" w:eastAsia="Times New Roman" w:cs="Times New Roman"/>
              <w:spacing w:val="-1"/>
              <w:sz w:val="21"/>
              <w:szCs w:val="21"/>
            </w:rPr>
            <w:t>312</w:t>
          </w:r>
          <w:r>
            <w:rPr>
              <w:rFonts w:ascii="Times New Roman" w:hAnsi="Times New Roman" w:eastAsia="Times New Roman" w:cs="Times New Roman"/>
              <w:spacing w:val="-1"/>
              <w:sz w:val="21"/>
              <w:szCs w:val="21"/>
            </w:rPr>
            <w:fldChar w:fldCharType="end"/>
          </w:r>
        </w:p>
        <w:p w14:paraId="60428FCC">
          <w:pPr>
            <w:pStyle w:val="2"/>
            <w:tabs>
              <w:tab w:val="right" w:leader="dot" w:pos="9365"/>
            </w:tabs>
            <w:spacing w:before="157" w:line="221" w:lineRule="auto"/>
            <w:ind w:left="2629"/>
            <w:rPr>
              <w:rFonts w:ascii="Times New Roman" w:hAnsi="Times New Roman" w:eastAsia="Times New Roman" w:cs="Times New Roman"/>
              <w:sz w:val="21"/>
              <w:szCs w:val="21"/>
            </w:rPr>
          </w:pPr>
          <w:r>
            <w:fldChar w:fldCharType="begin"/>
          </w:r>
          <w:r>
            <w:instrText xml:space="preserve"> HYPERLINK \l "bookmark352" </w:instrText>
          </w:r>
          <w:r>
            <w:fldChar w:fldCharType="separate"/>
          </w:r>
          <w:r>
            <w:rPr>
              <w:spacing w:val="-11"/>
              <w:sz w:val="21"/>
              <w:szCs w:val="21"/>
            </w:rPr>
            <w:t>三</w:t>
          </w:r>
          <w:r>
            <w:rPr>
              <w:spacing w:val="-27"/>
              <w:sz w:val="21"/>
              <w:szCs w:val="21"/>
            </w:rPr>
            <w:t xml:space="preserve"> </w:t>
          </w:r>
          <w:r>
            <w:rPr>
              <w:spacing w:val="-11"/>
              <w:sz w:val="21"/>
              <w:szCs w:val="21"/>
            </w:rPr>
            <w:t>、人群易感性</w:t>
          </w:r>
          <w:r>
            <w:rPr>
              <w:spacing w:val="-88"/>
              <w:sz w:val="21"/>
              <w:szCs w:val="21"/>
            </w:rPr>
            <w:t xml:space="preserve"> </w:t>
          </w:r>
          <w:r>
            <w:rPr>
              <w:sz w:val="21"/>
              <w:szCs w:val="21"/>
            </w:rPr>
            <w:tab/>
          </w:r>
          <w:r>
            <w:rPr>
              <w:rFonts w:ascii="Times New Roman" w:hAnsi="Times New Roman" w:eastAsia="Times New Roman" w:cs="Times New Roman"/>
              <w:spacing w:val="-1"/>
              <w:sz w:val="21"/>
              <w:szCs w:val="21"/>
            </w:rPr>
            <w:t>313</w:t>
          </w:r>
          <w:r>
            <w:rPr>
              <w:rFonts w:ascii="Times New Roman" w:hAnsi="Times New Roman" w:eastAsia="Times New Roman" w:cs="Times New Roman"/>
              <w:spacing w:val="-1"/>
              <w:sz w:val="21"/>
              <w:szCs w:val="21"/>
            </w:rPr>
            <w:fldChar w:fldCharType="end"/>
          </w:r>
        </w:p>
        <w:p w14:paraId="1F878290">
          <w:pPr>
            <w:pStyle w:val="2"/>
            <w:tabs>
              <w:tab w:val="right" w:leader="dot" w:pos="9375"/>
            </w:tabs>
            <w:spacing w:before="129" w:line="221" w:lineRule="auto"/>
            <w:ind w:left="2629"/>
            <w:rPr>
              <w:rFonts w:ascii="Times New Roman" w:hAnsi="Times New Roman" w:eastAsia="Times New Roman" w:cs="Times New Roman"/>
              <w:sz w:val="21"/>
              <w:szCs w:val="21"/>
            </w:rPr>
          </w:pPr>
          <w:r>
            <w:fldChar w:fldCharType="begin"/>
          </w:r>
          <w:r>
            <w:instrText xml:space="preserve"> HYPERLINK \l "bookmark353" </w:instrText>
          </w:r>
          <w:r>
            <w:fldChar w:fldCharType="separate"/>
          </w:r>
          <w:r>
            <w:rPr>
              <w:spacing w:val="-9"/>
              <w:sz w:val="21"/>
              <w:szCs w:val="21"/>
            </w:rPr>
            <w:t>四</w:t>
          </w:r>
          <w:r>
            <w:rPr>
              <w:spacing w:val="-40"/>
              <w:sz w:val="21"/>
              <w:szCs w:val="21"/>
            </w:rPr>
            <w:t xml:space="preserve"> </w:t>
          </w:r>
          <w:r>
            <w:rPr>
              <w:spacing w:val="-9"/>
              <w:sz w:val="21"/>
              <w:szCs w:val="21"/>
            </w:rPr>
            <w:t>、流行影响因素</w:t>
          </w:r>
          <w:r>
            <w:rPr>
              <w:spacing w:val="-89"/>
              <w:sz w:val="21"/>
              <w:szCs w:val="21"/>
            </w:rPr>
            <w:t xml:space="preserve"> </w:t>
          </w:r>
          <w:r>
            <w:rPr>
              <w:sz w:val="21"/>
              <w:szCs w:val="21"/>
            </w:rPr>
            <w:tab/>
          </w:r>
          <w:r>
            <w:rPr>
              <w:rFonts w:ascii="Times New Roman" w:hAnsi="Times New Roman" w:eastAsia="Times New Roman" w:cs="Times New Roman"/>
              <w:spacing w:val="-1"/>
              <w:sz w:val="21"/>
              <w:szCs w:val="21"/>
            </w:rPr>
            <w:t>313</w:t>
          </w:r>
          <w:r>
            <w:rPr>
              <w:rFonts w:ascii="Times New Roman" w:hAnsi="Times New Roman" w:eastAsia="Times New Roman" w:cs="Times New Roman"/>
              <w:spacing w:val="-1"/>
              <w:sz w:val="21"/>
              <w:szCs w:val="21"/>
            </w:rPr>
            <w:fldChar w:fldCharType="end"/>
          </w:r>
        </w:p>
        <w:p w14:paraId="2EEE67E7">
          <w:pPr>
            <w:pStyle w:val="2"/>
            <w:tabs>
              <w:tab w:val="right" w:leader="dot" w:pos="9385"/>
            </w:tabs>
            <w:spacing w:before="138" w:line="221" w:lineRule="auto"/>
            <w:ind w:left="2219"/>
            <w:rPr>
              <w:rFonts w:ascii="Times New Roman" w:hAnsi="Times New Roman" w:eastAsia="Times New Roman" w:cs="Times New Roman"/>
              <w:sz w:val="21"/>
              <w:szCs w:val="21"/>
            </w:rPr>
          </w:pPr>
          <w:r>
            <w:fldChar w:fldCharType="begin"/>
          </w:r>
          <w:r>
            <w:instrText xml:space="preserve"> HYPERLINK \l "bookmark354" </w:instrText>
          </w:r>
          <w:r>
            <w:fldChar w:fldCharType="separate"/>
          </w:r>
          <w:r>
            <w:rPr>
              <w:spacing w:val="14"/>
              <w:sz w:val="21"/>
              <w:szCs w:val="21"/>
            </w:rPr>
            <w:t>第三节</w:t>
          </w:r>
          <w:r>
            <w:rPr>
              <w:spacing w:val="25"/>
              <w:sz w:val="21"/>
              <w:szCs w:val="21"/>
            </w:rPr>
            <w:t xml:space="preserve"> </w:t>
          </w:r>
          <w:r>
            <w:rPr>
              <w:spacing w:val="14"/>
              <w:sz w:val="21"/>
              <w:szCs w:val="21"/>
            </w:rPr>
            <w:t>流行特征</w:t>
          </w:r>
          <w:r>
            <w:rPr>
              <w:spacing w:val="-84"/>
              <w:sz w:val="21"/>
              <w:szCs w:val="21"/>
            </w:rPr>
            <w:t xml:space="preserve"> </w:t>
          </w:r>
          <w:r>
            <w:rPr>
              <w:sz w:val="21"/>
              <w:szCs w:val="21"/>
            </w:rPr>
            <w:tab/>
          </w:r>
          <w:r>
            <w:rPr>
              <w:rFonts w:ascii="Times New Roman" w:hAnsi="Times New Roman" w:eastAsia="Times New Roman" w:cs="Times New Roman"/>
              <w:spacing w:val="-1"/>
              <w:sz w:val="21"/>
              <w:szCs w:val="21"/>
            </w:rPr>
            <w:t>313</w:t>
          </w:r>
          <w:r>
            <w:rPr>
              <w:rFonts w:ascii="Times New Roman" w:hAnsi="Times New Roman" w:eastAsia="Times New Roman" w:cs="Times New Roman"/>
              <w:spacing w:val="-1"/>
              <w:sz w:val="21"/>
              <w:szCs w:val="21"/>
            </w:rPr>
            <w:fldChar w:fldCharType="end"/>
          </w:r>
        </w:p>
        <w:p w14:paraId="600CD859">
          <w:pPr>
            <w:pStyle w:val="2"/>
            <w:tabs>
              <w:tab w:val="right" w:leader="dot" w:pos="9385"/>
            </w:tabs>
            <w:spacing w:before="141" w:line="222" w:lineRule="auto"/>
            <w:ind w:left="2629"/>
            <w:rPr>
              <w:rFonts w:ascii="Times New Roman" w:hAnsi="Times New Roman" w:eastAsia="Times New Roman" w:cs="Times New Roman"/>
              <w:sz w:val="21"/>
              <w:szCs w:val="21"/>
            </w:rPr>
          </w:pPr>
          <w:r>
            <w:fldChar w:fldCharType="begin"/>
          </w:r>
          <w:r>
            <w:instrText xml:space="preserve"> HYPERLINK \l "bookmark355" </w:instrText>
          </w:r>
          <w:r>
            <w:fldChar w:fldCharType="separate"/>
          </w:r>
          <w:r>
            <w:rPr>
              <w:spacing w:val="-8"/>
              <w:sz w:val="21"/>
              <w:szCs w:val="21"/>
            </w:rPr>
            <w:t>一</w:t>
          </w:r>
          <w:r>
            <w:rPr>
              <w:spacing w:val="-26"/>
              <w:sz w:val="21"/>
              <w:szCs w:val="21"/>
            </w:rPr>
            <w:t xml:space="preserve"> </w:t>
          </w:r>
          <w:r>
            <w:rPr>
              <w:spacing w:val="-8"/>
              <w:sz w:val="21"/>
              <w:szCs w:val="21"/>
            </w:rPr>
            <w:t>、地区分布</w:t>
          </w:r>
          <w:r>
            <w:rPr>
              <w:spacing w:val="-97"/>
              <w:sz w:val="21"/>
              <w:szCs w:val="21"/>
            </w:rPr>
            <w:t xml:space="preserve"> </w:t>
          </w:r>
          <w:r>
            <w:rPr>
              <w:sz w:val="21"/>
              <w:szCs w:val="21"/>
            </w:rPr>
            <w:tab/>
          </w:r>
          <w:r>
            <w:rPr>
              <w:rFonts w:ascii="Times New Roman" w:hAnsi="Times New Roman" w:eastAsia="Times New Roman" w:cs="Times New Roman"/>
              <w:spacing w:val="-1"/>
              <w:sz w:val="21"/>
              <w:szCs w:val="21"/>
            </w:rPr>
            <w:t>313</w:t>
          </w:r>
          <w:r>
            <w:rPr>
              <w:rFonts w:ascii="Times New Roman" w:hAnsi="Times New Roman" w:eastAsia="Times New Roman" w:cs="Times New Roman"/>
              <w:spacing w:val="-1"/>
              <w:sz w:val="21"/>
              <w:szCs w:val="21"/>
            </w:rPr>
            <w:fldChar w:fldCharType="end"/>
          </w:r>
        </w:p>
        <w:p w14:paraId="48940F94">
          <w:pPr>
            <w:pStyle w:val="2"/>
            <w:tabs>
              <w:tab w:val="right" w:leader="dot" w:pos="9385"/>
            </w:tabs>
            <w:spacing w:before="137" w:line="222" w:lineRule="auto"/>
            <w:ind w:left="2629"/>
            <w:rPr>
              <w:rFonts w:ascii="Times New Roman" w:hAnsi="Times New Roman" w:eastAsia="Times New Roman" w:cs="Times New Roman"/>
              <w:sz w:val="21"/>
              <w:szCs w:val="21"/>
            </w:rPr>
          </w:pPr>
          <w:r>
            <w:fldChar w:fldCharType="begin"/>
          </w:r>
          <w:r>
            <w:instrText xml:space="preserve"> HYPERLINK \l "bookmark356" </w:instrText>
          </w:r>
          <w:r>
            <w:fldChar w:fldCharType="separate"/>
          </w:r>
          <w:r>
            <w:rPr>
              <w:spacing w:val="-8"/>
              <w:sz w:val="21"/>
              <w:szCs w:val="21"/>
            </w:rPr>
            <w:t>二</w:t>
          </w:r>
          <w:r>
            <w:rPr>
              <w:spacing w:val="-26"/>
              <w:sz w:val="21"/>
              <w:szCs w:val="21"/>
            </w:rPr>
            <w:t xml:space="preserve"> </w:t>
          </w:r>
          <w:r>
            <w:rPr>
              <w:spacing w:val="-8"/>
              <w:sz w:val="21"/>
              <w:szCs w:val="21"/>
            </w:rPr>
            <w:t>、时间分布</w:t>
          </w:r>
          <w:r>
            <w:rPr>
              <w:spacing w:val="-87"/>
              <w:sz w:val="21"/>
              <w:szCs w:val="21"/>
            </w:rPr>
            <w:t xml:space="preserve"> </w:t>
          </w:r>
          <w:r>
            <w:rPr>
              <w:sz w:val="21"/>
              <w:szCs w:val="21"/>
            </w:rPr>
            <w:tab/>
          </w:r>
          <w:r>
            <w:rPr>
              <w:rFonts w:ascii="Times New Roman" w:hAnsi="Times New Roman" w:eastAsia="Times New Roman" w:cs="Times New Roman"/>
              <w:spacing w:val="-1"/>
              <w:sz w:val="21"/>
              <w:szCs w:val="21"/>
            </w:rPr>
            <w:t>314</w:t>
          </w:r>
          <w:r>
            <w:rPr>
              <w:rFonts w:ascii="Times New Roman" w:hAnsi="Times New Roman" w:eastAsia="Times New Roman" w:cs="Times New Roman"/>
              <w:spacing w:val="-1"/>
              <w:sz w:val="21"/>
              <w:szCs w:val="21"/>
            </w:rPr>
            <w:fldChar w:fldCharType="end"/>
          </w:r>
        </w:p>
        <w:p w14:paraId="312E8EFD">
          <w:pPr>
            <w:pStyle w:val="2"/>
            <w:tabs>
              <w:tab w:val="right" w:leader="dot" w:pos="9385"/>
            </w:tabs>
            <w:spacing w:before="136" w:line="221" w:lineRule="auto"/>
            <w:ind w:left="2629"/>
            <w:rPr>
              <w:rFonts w:ascii="Times New Roman" w:hAnsi="Times New Roman" w:eastAsia="Times New Roman" w:cs="Times New Roman"/>
              <w:sz w:val="21"/>
              <w:szCs w:val="21"/>
            </w:rPr>
          </w:pPr>
          <w:r>
            <w:fldChar w:fldCharType="begin"/>
          </w:r>
          <w:r>
            <w:instrText xml:space="preserve"> HYPERLINK \l "bookmark357" </w:instrText>
          </w:r>
          <w:r>
            <w:fldChar w:fldCharType="separate"/>
          </w:r>
          <w:r>
            <w:rPr>
              <w:spacing w:val="-9"/>
              <w:sz w:val="21"/>
              <w:szCs w:val="21"/>
            </w:rPr>
            <w:t>三</w:t>
          </w:r>
          <w:r>
            <w:rPr>
              <w:spacing w:val="-29"/>
              <w:sz w:val="21"/>
              <w:szCs w:val="21"/>
            </w:rPr>
            <w:t xml:space="preserve"> </w:t>
          </w:r>
          <w:r>
            <w:rPr>
              <w:spacing w:val="-9"/>
              <w:sz w:val="21"/>
              <w:szCs w:val="21"/>
            </w:rPr>
            <w:t>、人群分布</w:t>
          </w:r>
          <w:r>
            <w:rPr>
              <w:spacing w:val="-88"/>
              <w:sz w:val="21"/>
              <w:szCs w:val="21"/>
            </w:rPr>
            <w:t xml:space="preserve"> </w:t>
          </w:r>
          <w:r>
            <w:rPr>
              <w:sz w:val="21"/>
              <w:szCs w:val="21"/>
            </w:rPr>
            <w:tab/>
          </w:r>
          <w:r>
            <w:rPr>
              <w:rFonts w:ascii="Times New Roman" w:hAnsi="Times New Roman" w:eastAsia="Times New Roman" w:cs="Times New Roman"/>
              <w:spacing w:val="-1"/>
              <w:sz w:val="21"/>
              <w:szCs w:val="21"/>
            </w:rPr>
            <w:t>314</w:t>
          </w:r>
          <w:r>
            <w:rPr>
              <w:rFonts w:ascii="Times New Roman" w:hAnsi="Times New Roman" w:eastAsia="Times New Roman" w:cs="Times New Roman"/>
              <w:spacing w:val="-1"/>
              <w:sz w:val="21"/>
              <w:szCs w:val="21"/>
            </w:rPr>
            <w:fldChar w:fldCharType="end"/>
          </w:r>
        </w:p>
        <w:p w14:paraId="0148770E">
          <w:pPr>
            <w:pStyle w:val="2"/>
            <w:tabs>
              <w:tab w:val="right" w:leader="dot" w:pos="9395"/>
            </w:tabs>
            <w:spacing w:before="138" w:line="221" w:lineRule="auto"/>
            <w:ind w:left="2629"/>
            <w:rPr>
              <w:rFonts w:ascii="Times New Roman" w:hAnsi="Times New Roman" w:eastAsia="Times New Roman" w:cs="Times New Roman"/>
              <w:sz w:val="21"/>
              <w:szCs w:val="21"/>
            </w:rPr>
          </w:pPr>
          <w:r>
            <w:fldChar w:fldCharType="begin"/>
          </w:r>
          <w:r>
            <w:instrText xml:space="preserve"> HYPERLINK \l "bookmark358" </w:instrText>
          </w:r>
          <w:r>
            <w:fldChar w:fldCharType="separate"/>
          </w:r>
          <w:r>
            <w:rPr>
              <w:spacing w:val="-8"/>
              <w:sz w:val="21"/>
              <w:szCs w:val="21"/>
            </w:rPr>
            <w:t>四</w:t>
          </w:r>
          <w:r>
            <w:rPr>
              <w:spacing w:val="-39"/>
              <w:sz w:val="21"/>
              <w:szCs w:val="21"/>
            </w:rPr>
            <w:t xml:space="preserve"> </w:t>
          </w:r>
          <w:r>
            <w:rPr>
              <w:spacing w:val="-8"/>
              <w:sz w:val="21"/>
              <w:szCs w:val="21"/>
            </w:rPr>
            <w:t>、流行强度</w:t>
          </w:r>
          <w:r>
            <w:rPr>
              <w:spacing w:val="-84"/>
              <w:sz w:val="21"/>
              <w:szCs w:val="21"/>
            </w:rPr>
            <w:t xml:space="preserve"> </w:t>
          </w:r>
          <w:r>
            <w:rPr>
              <w:sz w:val="21"/>
              <w:szCs w:val="21"/>
            </w:rPr>
            <w:tab/>
          </w:r>
          <w:r>
            <w:rPr>
              <w:rFonts w:ascii="Times New Roman" w:hAnsi="Times New Roman" w:eastAsia="Times New Roman" w:cs="Times New Roman"/>
              <w:spacing w:val="-1"/>
              <w:sz w:val="21"/>
              <w:szCs w:val="21"/>
            </w:rPr>
            <w:t>314</w:t>
          </w:r>
          <w:r>
            <w:rPr>
              <w:rFonts w:ascii="Times New Roman" w:hAnsi="Times New Roman" w:eastAsia="Times New Roman" w:cs="Times New Roman"/>
              <w:spacing w:val="-1"/>
              <w:sz w:val="21"/>
              <w:szCs w:val="21"/>
            </w:rPr>
            <w:fldChar w:fldCharType="end"/>
          </w:r>
        </w:p>
      </w:sdtContent>
    </w:sdt>
    <w:p w14:paraId="136103A2">
      <w:pPr>
        <w:spacing w:line="221" w:lineRule="auto"/>
        <w:rPr>
          <w:rFonts w:ascii="Times New Roman" w:hAnsi="Times New Roman" w:eastAsia="Times New Roman" w:cs="Times New Roman"/>
          <w:sz w:val="21"/>
          <w:szCs w:val="21"/>
        </w:rPr>
        <w:sectPr>
          <w:footerReference r:id="rId28" w:type="default"/>
          <w:pgSz w:w="11900" w:h="16820"/>
          <w:pgMar w:top="337" w:right="1643" w:bottom="728" w:left="780" w:header="0" w:footer="493" w:gutter="0"/>
          <w:cols w:space="720" w:num="1"/>
        </w:sectPr>
      </w:pPr>
    </w:p>
    <w:p w14:paraId="428802F9">
      <w:pPr>
        <w:spacing w:line="326" w:lineRule="auto"/>
        <w:rPr>
          <w:rFonts w:ascii="Arial"/>
          <w:sz w:val="21"/>
        </w:rPr>
      </w:pPr>
    </w:p>
    <w:sdt>
      <w:sdtPr>
        <w:rPr>
          <w:rFonts w:ascii="黑体" w:hAnsi="黑体" w:eastAsia="黑体" w:cs="黑体"/>
          <w:sz w:val="17"/>
          <w:szCs w:val="17"/>
        </w:rPr>
        <w:id w:val="8374990"/>
        <w:docPartObj>
          <w:docPartGallery w:val="Table of Contents"/>
          <w:docPartUnique/>
        </w:docPartObj>
      </w:sdtPr>
      <w:sdtEndPr>
        <w:rPr>
          <w:rFonts w:ascii="Times New Roman" w:hAnsi="Times New Roman" w:eastAsia="Times New Roman" w:cs="Times New Roman"/>
          <w:sz w:val="22"/>
          <w:szCs w:val="22"/>
        </w:rPr>
      </w:sdtEndPr>
      <w:sdtContent>
        <w:p w14:paraId="7FC83449">
          <w:pPr>
            <w:pStyle w:val="2"/>
            <w:spacing w:before="55" w:line="222" w:lineRule="auto"/>
            <w:ind w:left="8839"/>
            <w:rPr>
              <w:sz w:val="17"/>
              <w:szCs w:val="17"/>
            </w:rPr>
          </w:pPr>
          <w:r>
            <w:rPr>
              <w:b/>
              <w:bCs/>
              <w:sz w:val="17"/>
              <w:szCs w:val="17"/>
            </w:rPr>
            <w:t>目录</w:t>
          </w:r>
        </w:p>
        <w:p w14:paraId="5999302E">
          <w:pPr>
            <w:spacing w:line="260" w:lineRule="auto"/>
            <w:rPr>
              <w:rFonts w:ascii="Arial"/>
              <w:sz w:val="21"/>
            </w:rPr>
          </w:pPr>
        </w:p>
        <w:p w14:paraId="1FA7BE6E">
          <w:pPr>
            <w:spacing w:line="261" w:lineRule="auto"/>
            <w:rPr>
              <w:rFonts w:ascii="Arial"/>
              <w:sz w:val="21"/>
            </w:rPr>
          </w:pPr>
        </w:p>
        <w:p w14:paraId="6731AE46">
          <w:pPr>
            <w:pStyle w:val="2"/>
            <w:tabs>
              <w:tab w:val="right" w:leader="dot" w:pos="9082"/>
            </w:tabs>
            <w:spacing w:before="71" w:line="221" w:lineRule="auto"/>
            <w:ind w:left="1540"/>
            <w:rPr>
              <w:rFonts w:ascii="Times New Roman" w:hAnsi="Times New Roman" w:eastAsia="Times New Roman" w:cs="Times New Roman"/>
              <w:sz w:val="22"/>
              <w:szCs w:val="22"/>
            </w:rPr>
          </w:pPr>
          <w:bookmarkStart w:id="6" w:name="bookmark359"/>
          <w:bookmarkEnd w:id="6"/>
          <w:r>
            <w:fldChar w:fldCharType="begin"/>
          </w:r>
          <w:r>
            <w:instrText xml:space="preserve"> HYPERLINK \l "bookmark360" </w:instrText>
          </w:r>
          <w:r>
            <w:fldChar w:fldCharType="separate"/>
          </w:r>
          <w:r>
            <w:rPr>
              <w:b/>
              <w:bCs/>
              <w:spacing w:val="5"/>
              <w:sz w:val="22"/>
              <w:szCs w:val="22"/>
            </w:rPr>
            <w:t>第四节</w:t>
          </w:r>
          <w:r>
            <w:rPr>
              <w:spacing w:val="5"/>
              <w:sz w:val="22"/>
              <w:szCs w:val="22"/>
            </w:rPr>
            <w:t xml:space="preserve"> </w:t>
          </w:r>
          <w:r>
            <w:rPr>
              <w:b/>
              <w:bCs/>
              <w:spacing w:val="5"/>
              <w:sz w:val="22"/>
              <w:szCs w:val="22"/>
            </w:rPr>
            <w:t>预防策略与措施</w:t>
          </w:r>
          <w:r>
            <w:rPr>
              <w:spacing w:val="-83"/>
              <w:sz w:val="22"/>
              <w:szCs w:val="22"/>
            </w:rPr>
            <w:t xml:space="preserve"> </w:t>
          </w:r>
          <w:r>
            <w:rPr>
              <w:sz w:val="22"/>
              <w:szCs w:val="22"/>
            </w:rPr>
            <w:tab/>
          </w:r>
          <w:r>
            <w:rPr>
              <w:rFonts w:ascii="Times New Roman" w:hAnsi="Times New Roman" w:eastAsia="Times New Roman" w:cs="Times New Roman"/>
              <w:b/>
              <w:bCs/>
              <w:spacing w:val="2"/>
              <w:sz w:val="22"/>
              <w:szCs w:val="22"/>
            </w:rPr>
            <w:t>314</w:t>
          </w:r>
          <w:r>
            <w:rPr>
              <w:rFonts w:ascii="Times New Roman" w:hAnsi="Times New Roman" w:eastAsia="Times New Roman" w:cs="Times New Roman"/>
              <w:b/>
              <w:bCs/>
              <w:spacing w:val="2"/>
              <w:sz w:val="22"/>
              <w:szCs w:val="22"/>
            </w:rPr>
            <w:fldChar w:fldCharType="end"/>
          </w:r>
        </w:p>
        <w:p w14:paraId="6293FF8A">
          <w:pPr>
            <w:pStyle w:val="2"/>
            <w:tabs>
              <w:tab w:val="right" w:leader="dot" w:pos="9147"/>
            </w:tabs>
            <w:spacing w:before="120" w:line="222" w:lineRule="auto"/>
            <w:ind w:left="1956"/>
            <w:rPr>
              <w:rFonts w:ascii="Times New Roman" w:hAnsi="Times New Roman" w:eastAsia="Times New Roman" w:cs="Times New Roman"/>
              <w:sz w:val="22"/>
              <w:szCs w:val="22"/>
            </w:rPr>
          </w:pPr>
          <w:r>
            <w:fldChar w:fldCharType="begin"/>
          </w:r>
          <w:r>
            <w:instrText xml:space="preserve"> HYPERLINK \l "bookmark361" </w:instrText>
          </w:r>
          <w:r>
            <w:fldChar w:fldCharType="separate"/>
          </w:r>
          <w:r>
            <w:rPr>
              <w:spacing w:val="-11"/>
              <w:sz w:val="22"/>
              <w:szCs w:val="22"/>
            </w:rPr>
            <w:t>一</w:t>
          </w:r>
          <w:r>
            <w:rPr>
              <w:spacing w:val="-57"/>
              <w:sz w:val="22"/>
              <w:szCs w:val="22"/>
            </w:rPr>
            <w:t xml:space="preserve"> </w:t>
          </w:r>
          <w:r>
            <w:rPr>
              <w:spacing w:val="-11"/>
              <w:sz w:val="22"/>
              <w:szCs w:val="22"/>
            </w:rPr>
            <w:t>、策略</w:t>
          </w:r>
          <w:r>
            <w:rPr>
              <w:spacing w:val="-91"/>
              <w:sz w:val="22"/>
              <w:szCs w:val="22"/>
            </w:rPr>
            <w:t xml:space="preserve"> </w:t>
          </w:r>
          <w:r>
            <w:rPr>
              <w:sz w:val="22"/>
              <w:szCs w:val="22"/>
            </w:rPr>
            <w:tab/>
          </w:r>
          <w:r>
            <w:rPr>
              <w:spacing w:val="-64"/>
              <w:sz w:val="22"/>
              <w:szCs w:val="22"/>
            </w:rPr>
            <w:t xml:space="preserve"> </w:t>
          </w:r>
          <w:r>
            <w:rPr>
              <w:rFonts w:ascii="Times New Roman" w:hAnsi="Times New Roman" w:eastAsia="Times New Roman" w:cs="Times New Roman"/>
              <w:spacing w:val="-3"/>
              <w:sz w:val="22"/>
              <w:szCs w:val="22"/>
            </w:rPr>
            <w:t>314</w:t>
          </w:r>
          <w:r>
            <w:rPr>
              <w:rFonts w:ascii="Times New Roman" w:hAnsi="Times New Roman" w:eastAsia="Times New Roman" w:cs="Times New Roman"/>
              <w:spacing w:val="-3"/>
              <w:sz w:val="22"/>
              <w:szCs w:val="22"/>
            </w:rPr>
            <w:fldChar w:fldCharType="end"/>
          </w:r>
        </w:p>
        <w:p w14:paraId="28937741">
          <w:pPr>
            <w:pStyle w:val="2"/>
            <w:tabs>
              <w:tab w:val="right" w:leader="dot" w:pos="9067"/>
            </w:tabs>
            <w:spacing w:before="107" w:line="223" w:lineRule="auto"/>
            <w:ind w:left="1956"/>
            <w:rPr>
              <w:rFonts w:ascii="Times New Roman" w:hAnsi="Times New Roman" w:eastAsia="Times New Roman" w:cs="Times New Roman"/>
              <w:sz w:val="22"/>
              <w:szCs w:val="22"/>
            </w:rPr>
          </w:pPr>
          <w:r>
            <w:fldChar w:fldCharType="begin"/>
          </w:r>
          <w:r>
            <w:instrText xml:space="preserve"> HYPERLINK \l "bookmark362" </w:instrText>
          </w:r>
          <w:r>
            <w:fldChar w:fldCharType="separate"/>
          </w:r>
          <w:r>
            <w:rPr>
              <w:spacing w:val="-27"/>
              <w:sz w:val="22"/>
              <w:szCs w:val="22"/>
            </w:rPr>
            <w:t>二</w:t>
          </w:r>
          <w:r>
            <w:rPr>
              <w:spacing w:val="-47"/>
              <w:sz w:val="22"/>
              <w:szCs w:val="22"/>
            </w:rPr>
            <w:t xml:space="preserve"> </w:t>
          </w:r>
          <w:r>
            <w:rPr>
              <w:spacing w:val="-27"/>
              <w:sz w:val="22"/>
              <w:szCs w:val="22"/>
            </w:rPr>
            <w:t>、措</w:t>
          </w:r>
          <w:r>
            <w:rPr>
              <w:spacing w:val="-46"/>
              <w:sz w:val="22"/>
              <w:szCs w:val="22"/>
            </w:rPr>
            <w:t xml:space="preserve"> </w:t>
          </w:r>
          <w:r>
            <w:rPr>
              <w:spacing w:val="-27"/>
              <w:sz w:val="22"/>
              <w:szCs w:val="22"/>
            </w:rPr>
            <w:t>施</w:t>
          </w:r>
          <w:r>
            <w:rPr>
              <w:spacing w:val="-91"/>
              <w:sz w:val="22"/>
              <w:szCs w:val="22"/>
            </w:rPr>
            <w:t xml:space="preserve"> </w:t>
          </w:r>
          <w:r>
            <w:rPr>
              <w:sz w:val="22"/>
              <w:szCs w:val="22"/>
            </w:rPr>
            <w:tab/>
          </w:r>
          <w:r>
            <w:rPr>
              <w:rFonts w:ascii="Times New Roman" w:hAnsi="Times New Roman" w:eastAsia="Times New Roman" w:cs="Times New Roman"/>
              <w:spacing w:val="-1"/>
              <w:sz w:val="22"/>
              <w:szCs w:val="22"/>
            </w:rPr>
            <w:t>315</w:t>
          </w:r>
          <w:r>
            <w:rPr>
              <w:rFonts w:ascii="Times New Roman" w:hAnsi="Times New Roman" w:eastAsia="Times New Roman" w:cs="Times New Roman"/>
              <w:spacing w:val="-1"/>
              <w:sz w:val="22"/>
              <w:szCs w:val="22"/>
            </w:rPr>
            <w:fldChar w:fldCharType="end"/>
          </w:r>
        </w:p>
        <w:p w14:paraId="6A8B909D">
          <w:pPr>
            <w:pStyle w:val="2"/>
            <w:tabs>
              <w:tab w:val="right" w:leader="dot" w:pos="9067"/>
            </w:tabs>
            <w:spacing w:before="122" w:line="222" w:lineRule="auto"/>
            <w:ind w:left="1536"/>
            <w:rPr>
              <w:rFonts w:ascii="Times New Roman" w:hAnsi="Times New Roman" w:eastAsia="Times New Roman" w:cs="Times New Roman"/>
              <w:sz w:val="22"/>
              <w:szCs w:val="22"/>
            </w:rPr>
          </w:pPr>
          <w:r>
            <w:fldChar w:fldCharType="begin"/>
          </w:r>
          <w:r>
            <w:instrText xml:space="preserve"> HYPERLINK \l "bookmark363" </w:instrText>
          </w:r>
          <w:r>
            <w:fldChar w:fldCharType="separate"/>
          </w:r>
          <w:r>
            <w:rPr>
              <w:spacing w:val="8"/>
              <w:sz w:val="22"/>
              <w:szCs w:val="22"/>
            </w:rPr>
            <w:t>第五节 主要感染性腹泻</w:t>
          </w:r>
          <w:r>
            <w:rPr>
              <w:spacing w:val="-90"/>
              <w:sz w:val="22"/>
              <w:szCs w:val="22"/>
            </w:rPr>
            <w:t xml:space="preserve"> </w:t>
          </w:r>
          <w:r>
            <w:rPr>
              <w:sz w:val="22"/>
              <w:szCs w:val="22"/>
            </w:rPr>
            <w:tab/>
          </w:r>
          <w:r>
            <w:rPr>
              <w:rFonts w:ascii="Times New Roman" w:hAnsi="Times New Roman" w:eastAsia="Times New Roman" w:cs="Times New Roman"/>
              <w:spacing w:val="-1"/>
              <w:sz w:val="22"/>
              <w:szCs w:val="22"/>
            </w:rPr>
            <w:t>316</w:t>
          </w:r>
          <w:r>
            <w:rPr>
              <w:rFonts w:ascii="Times New Roman" w:hAnsi="Times New Roman" w:eastAsia="Times New Roman" w:cs="Times New Roman"/>
              <w:spacing w:val="-1"/>
              <w:sz w:val="22"/>
              <w:szCs w:val="22"/>
            </w:rPr>
            <w:fldChar w:fldCharType="end"/>
          </w:r>
        </w:p>
        <w:p w14:paraId="53F6EE43">
          <w:pPr>
            <w:pStyle w:val="2"/>
            <w:tabs>
              <w:tab w:val="right" w:leader="dot" w:pos="9077"/>
            </w:tabs>
            <w:spacing w:before="110" w:line="225" w:lineRule="auto"/>
            <w:ind w:left="1956"/>
            <w:rPr>
              <w:rFonts w:ascii="Times New Roman" w:hAnsi="Times New Roman" w:eastAsia="Times New Roman" w:cs="Times New Roman"/>
              <w:sz w:val="22"/>
              <w:szCs w:val="22"/>
            </w:rPr>
          </w:pPr>
          <w:r>
            <w:fldChar w:fldCharType="begin"/>
          </w:r>
          <w:r>
            <w:instrText xml:space="preserve"> HYPERLINK \l "bookmark364" </w:instrText>
          </w:r>
          <w:r>
            <w:fldChar w:fldCharType="separate"/>
          </w:r>
          <w:r>
            <w:rPr>
              <w:spacing w:val="-14"/>
              <w:sz w:val="22"/>
              <w:szCs w:val="22"/>
            </w:rPr>
            <w:t>一</w:t>
          </w:r>
          <w:r>
            <w:rPr>
              <w:spacing w:val="-48"/>
              <w:sz w:val="22"/>
              <w:szCs w:val="22"/>
            </w:rPr>
            <w:t xml:space="preserve"> </w:t>
          </w:r>
          <w:r>
            <w:rPr>
              <w:spacing w:val="-14"/>
              <w:sz w:val="22"/>
              <w:szCs w:val="22"/>
            </w:rPr>
            <w:t>、霍乱</w:t>
          </w:r>
          <w:r>
            <w:rPr>
              <w:spacing w:val="-88"/>
              <w:sz w:val="22"/>
              <w:szCs w:val="22"/>
            </w:rPr>
            <w:t xml:space="preserve"> </w:t>
          </w:r>
          <w:r>
            <w:rPr>
              <w:sz w:val="22"/>
              <w:szCs w:val="22"/>
            </w:rPr>
            <w:tab/>
          </w:r>
          <w:r>
            <w:rPr>
              <w:rFonts w:ascii="Times New Roman" w:hAnsi="Times New Roman" w:eastAsia="Times New Roman" w:cs="Times New Roman"/>
              <w:spacing w:val="-1"/>
              <w:sz w:val="22"/>
              <w:szCs w:val="22"/>
            </w:rPr>
            <w:t>316</w:t>
          </w:r>
          <w:r>
            <w:rPr>
              <w:rFonts w:ascii="Times New Roman" w:hAnsi="Times New Roman" w:eastAsia="Times New Roman" w:cs="Times New Roman"/>
              <w:spacing w:val="-1"/>
              <w:sz w:val="22"/>
              <w:szCs w:val="22"/>
            </w:rPr>
            <w:fldChar w:fldCharType="end"/>
          </w:r>
        </w:p>
        <w:p w14:paraId="3FD721D1">
          <w:pPr>
            <w:pStyle w:val="2"/>
            <w:tabs>
              <w:tab w:val="right" w:leader="dot" w:pos="9087"/>
            </w:tabs>
            <w:spacing w:before="117" w:line="221" w:lineRule="auto"/>
            <w:ind w:left="1956"/>
            <w:rPr>
              <w:rFonts w:ascii="Times New Roman" w:hAnsi="Times New Roman" w:eastAsia="Times New Roman" w:cs="Times New Roman"/>
              <w:sz w:val="22"/>
              <w:szCs w:val="22"/>
            </w:rPr>
          </w:pPr>
          <w:r>
            <w:fldChar w:fldCharType="begin"/>
          </w:r>
          <w:r>
            <w:instrText xml:space="preserve"> HYPERLINK \l "bookmark365" </w:instrText>
          </w:r>
          <w:r>
            <w:fldChar w:fldCharType="separate"/>
          </w:r>
          <w:r>
            <w:rPr>
              <w:spacing w:val="-6"/>
              <w:sz w:val="22"/>
              <w:szCs w:val="22"/>
            </w:rPr>
            <w:t>二</w:t>
          </w:r>
          <w:r>
            <w:rPr>
              <w:spacing w:val="-48"/>
              <w:sz w:val="22"/>
              <w:szCs w:val="22"/>
            </w:rPr>
            <w:t xml:space="preserve"> </w:t>
          </w:r>
          <w:r>
            <w:rPr>
              <w:spacing w:val="-6"/>
              <w:sz w:val="22"/>
              <w:szCs w:val="22"/>
            </w:rPr>
            <w:t>、细菌性和阿米巴性痢疾</w:t>
          </w:r>
          <w:r>
            <w:rPr>
              <w:spacing w:val="-91"/>
              <w:sz w:val="22"/>
              <w:szCs w:val="22"/>
            </w:rPr>
            <w:t xml:space="preserve"> </w:t>
          </w:r>
          <w:r>
            <w:rPr>
              <w:sz w:val="22"/>
              <w:szCs w:val="22"/>
            </w:rPr>
            <w:tab/>
          </w:r>
          <w:r>
            <w:rPr>
              <w:rFonts w:ascii="Times New Roman" w:hAnsi="Times New Roman" w:eastAsia="Times New Roman" w:cs="Times New Roman"/>
              <w:spacing w:val="-1"/>
              <w:sz w:val="22"/>
              <w:szCs w:val="22"/>
            </w:rPr>
            <w:t>317</w:t>
          </w:r>
          <w:r>
            <w:rPr>
              <w:rFonts w:ascii="Times New Roman" w:hAnsi="Times New Roman" w:eastAsia="Times New Roman" w:cs="Times New Roman"/>
              <w:spacing w:val="-1"/>
              <w:sz w:val="22"/>
              <w:szCs w:val="22"/>
            </w:rPr>
            <w:fldChar w:fldCharType="end"/>
          </w:r>
        </w:p>
        <w:p w14:paraId="2B9DA8DD">
          <w:pPr>
            <w:pStyle w:val="2"/>
            <w:tabs>
              <w:tab w:val="right" w:leader="dot" w:pos="9067"/>
            </w:tabs>
            <w:spacing w:before="97" w:line="222" w:lineRule="auto"/>
            <w:ind w:left="1956"/>
            <w:rPr>
              <w:rFonts w:ascii="Times New Roman" w:hAnsi="Times New Roman" w:eastAsia="Times New Roman" w:cs="Times New Roman"/>
              <w:sz w:val="22"/>
              <w:szCs w:val="22"/>
            </w:rPr>
          </w:pPr>
          <w:r>
            <w:fldChar w:fldCharType="begin"/>
          </w:r>
          <w:r>
            <w:instrText xml:space="preserve"> HYPERLINK \l "bookmark366" </w:instrText>
          </w:r>
          <w:r>
            <w:fldChar w:fldCharType="separate"/>
          </w:r>
          <w:r>
            <w:rPr>
              <w:spacing w:val="-8"/>
              <w:sz w:val="22"/>
              <w:szCs w:val="22"/>
            </w:rPr>
            <w:t>三</w:t>
          </w:r>
          <w:r>
            <w:rPr>
              <w:spacing w:val="-46"/>
              <w:sz w:val="22"/>
              <w:szCs w:val="22"/>
            </w:rPr>
            <w:t xml:space="preserve"> </w:t>
          </w:r>
          <w:r>
            <w:rPr>
              <w:spacing w:val="-8"/>
              <w:sz w:val="22"/>
              <w:szCs w:val="22"/>
            </w:rPr>
            <w:t>、其他感染性腹泻</w:t>
          </w:r>
          <w:r>
            <w:rPr>
              <w:spacing w:val="-93"/>
              <w:sz w:val="22"/>
              <w:szCs w:val="22"/>
            </w:rPr>
            <w:t xml:space="preserve"> </w:t>
          </w:r>
          <w:r>
            <w:rPr>
              <w:sz w:val="22"/>
              <w:szCs w:val="22"/>
            </w:rPr>
            <w:tab/>
          </w:r>
          <w:r>
            <w:rPr>
              <w:rFonts w:ascii="Times New Roman" w:hAnsi="Times New Roman" w:eastAsia="Times New Roman" w:cs="Times New Roman"/>
              <w:spacing w:val="-1"/>
              <w:sz w:val="22"/>
              <w:szCs w:val="22"/>
            </w:rPr>
            <w:t>318</w:t>
          </w:r>
          <w:r>
            <w:rPr>
              <w:rFonts w:ascii="Times New Roman" w:hAnsi="Times New Roman" w:eastAsia="Times New Roman" w:cs="Times New Roman"/>
              <w:spacing w:val="-1"/>
              <w:sz w:val="22"/>
              <w:szCs w:val="22"/>
            </w:rPr>
            <w:fldChar w:fldCharType="end"/>
          </w:r>
        </w:p>
        <w:p w14:paraId="7B80CCEA">
          <w:pPr>
            <w:spacing w:line="377" w:lineRule="auto"/>
            <w:rPr>
              <w:rFonts w:ascii="Arial"/>
              <w:sz w:val="21"/>
            </w:rPr>
          </w:pPr>
        </w:p>
        <w:p w14:paraId="0EA05742">
          <w:pPr>
            <w:pStyle w:val="2"/>
            <w:tabs>
              <w:tab w:val="right" w:leader="dot" w:pos="8972"/>
            </w:tabs>
            <w:spacing w:before="72" w:line="221" w:lineRule="auto"/>
            <w:rPr>
              <w:rFonts w:ascii="Times New Roman" w:hAnsi="Times New Roman" w:eastAsia="Times New Roman" w:cs="Times New Roman"/>
              <w:sz w:val="22"/>
              <w:szCs w:val="22"/>
            </w:rPr>
          </w:pPr>
          <w:r>
            <w:fldChar w:fldCharType="begin"/>
          </w:r>
          <w:r>
            <w:instrText xml:space="preserve"> HYPERLINK \l "bookmark367" </w:instrText>
          </w:r>
          <w:r>
            <w:fldChar w:fldCharType="separate"/>
          </w:r>
          <w:r>
            <w:rPr>
              <w:b/>
              <w:bCs/>
              <w:spacing w:val="7"/>
              <w:sz w:val="22"/>
              <w:szCs w:val="22"/>
            </w:rPr>
            <w:t>第二十三章</w:t>
          </w:r>
          <w:r>
            <w:rPr>
              <w:spacing w:val="81"/>
              <w:sz w:val="22"/>
              <w:szCs w:val="22"/>
            </w:rPr>
            <w:t xml:space="preserve"> </w:t>
          </w:r>
          <w:r>
            <w:rPr>
              <w:b/>
              <w:bCs/>
              <w:spacing w:val="7"/>
              <w:sz w:val="22"/>
              <w:szCs w:val="22"/>
            </w:rPr>
            <w:t>流</w:t>
          </w:r>
          <w:r>
            <w:rPr>
              <w:spacing w:val="-30"/>
              <w:sz w:val="22"/>
              <w:szCs w:val="22"/>
            </w:rPr>
            <w:t xml:space="preserve"> </w:t>
          </w:r>
          <w:r>
            <w:rPr>
              <w:b/>
              <w:bCs/>
              <w:spacing w:val="7"/>
              <w:sz w:val="22"/>
              <w:szCs w:val="22"/>
            </w:rPr>
            <w:t>行</w:t>
          </w:r>
          <w:r>
            <w:rPr>
              <w:spacing w:val="-30"/>
              <w:sz w:val="22"/>
              <w:szCs w:val="22"/>
            </w:rPr>
            <w:t xml:space="preserve"> </w:t>
          </w:r>
          <w:r>
            <w:rPr>
              <w:b/>
              <w:bCs/>
              <w:spacing w:val="7"/>
              <w:sz w:val="22"/>
              <w:szCs w:val="22"/>
            </w:rPr>
            <w:t>性</w:t>
          </w:r>
          <w:r>
            <w:rPr>
              <w:spacing w:val="-29"/>
              <w:sz w:val="22"/>
              <w:szCs w:val="22"/>
            </w:rPr>
            <w:t xml:space="preserve"> </w:t>
          </w:r>
          <w:r>
            <w:rPr>
              <w:b/>
              <w:bCs/>
              <w:spacing w:val="7"/>
              <w:sz w:val="22"/>
              <w:szCs w:val="22"/>
            </w:rPr>
            <w:t>感</w:t>
          </w:r>
          <w:r>
            <w:rPr>
              <w:spacing w:val="7"/>
              <w:sz w:val="22"/>
              <w:szCs w:val="22"/>
            </w:rPr>
            <w:t xml:space="preserve"> </w:t>
          </w:r>
          <w:r>
            <w:rPr>
              <w:b/>
              <w:bCs/>
              <w:spacing w:val="7"/>
              <w:sz w:val="22"/>
              <w:szCs w:val="22"/>
            </w:rPr>
            <w:t>冒</w:t>
          </w:r>
          <w:r>
            <w:rPr>
              <w:spacing w:val="-97"/>
              <w:sz w:val="22"/>
              <w:szCs w:val="22"/>
            </w:rPr>
            <w:t xml:space="preserve"> </w:t>
          </w:r>
          <w:r>
            <w:rPr>
              <w:sz w:val="22"/>
              <w:szCs w:val="22"/>
            </w:rPr>
            <w:tab/>
          </w:r>
          <w:r>
            <w:rPr>
              <w:spacing w:val="-16"/>
              <w:sz w:val="22"/>
              <w:szCs w:val="22"/>
            </w:rPr>
            <w:t xml:space="preserve"> </w:t>
          </w:r>
          <w:r>
            <w:rPr>
              <w:rFonts w:ascii="Times New Roman" w:hAnsi="Times New Roman" w:eastAsia="Times New Roman" w:cs="Times New Roman"/>
              <w:b/>
              <w:bCs/>
              <w:spacing w:val="-1"/>
              <w:sz w:val="22"/>
              <w:szCs w:val="22"/>
            </w:rPr>
            <w:t>320</w:t>
          </w:r>
          <w:r>
            <w:rPr>
              <w:rFonts w:ascii="Times New Roman" w:hAnsi="Times New Roman" w:eastAsia="Times New Roman" w:cs="Times New Roman"/>
              <w:b/>
              <w:bCs/>
              <w:spacing w:val="-1"/>
              <w:sz w:val="22"/>
              <w:szCs w:val="22"/>
            </w:rPr>
            <w:fldChar w:fldCharType="end"/>
          </w:r>
        </w:p>
        <w:p w14:paraId="3164D9CD">
          <w:pPr>
            <w:pStyle w:val="2"/>
            <w:tabs>
              <w:tab w:val="right" w:leader="dot" w:pos="9067"/>
            </w:tabs>
            <w:spacing w:before="140" w:line="221" w:lineRule="auto"/>
            <w:ind w:left="1536"/>
            <w:rPr>
              <w:rFonts w:ascii="Times New Roman" w:hAnsi="Times New Roman" w:eastAsia="Times New Roman" w:cs="Times New Roman"/>
              <w:sz w:val="22"/>
              <w:szCs w:val="22"/>
            </w:rPr>
          </w:pPr>
          <w:r>
            <w:fldChar w:fldCharType="begin"/>
          </w:r>
          <w:r>
            <w:instrText xml:space="preserve"> HYPERLINK \l "bookmark368" </w:instrText>
          </w:r>
          <w:r>
            <w:fldChar w:fldCharType="separate"/>
          </w:r>
          <w:r>
            <w:rPr>
              <w:spacing w:val="9"/>
              <w:sz w:val="22"/>
              <w:szCs w:val="22"/>
            </w:rPr>
            <w:t>第一节</w:t>
          </w:r>
          <w:r>
            <w:rPr>
              <w:spacing w:val="41"/>
              <w:sz w:val="22"/>
              <w:szCs w:val="22"/>
            </w:rPr>
            <w:t xml:space="preserve"> </w:t>
          </w:r>
          <w:r>
            <w:rPr>
              <w:spacing w:val="9"/>
              <w:sz w:val="22"/>
              <w:szCs w:val="22"/>
            </w:rPr>
            <w:t>病原学</w:t>
          </w:r>
          <w:r>
            <w:rPr>
              <w:spacing w:val="-97"/>
              <w:sz w:val="22"/>
              <w:szCs w:val="22"/>
            </w:rPr>
            <w:t xml:space="preserve"> </w:t>
          </w:r>
          <w:r>
            <w:rPr>
              <w:sz w:val="22"/>
              <w:szCs w:val="22"/>
            </w:rPr>
            <w:tab/>
          </w:r>
          <w:r>
            <w:rPr>
              <w:rFonts w:ascii="Times New Roman" w:hAnsi="Times New Roman" w:eastAsia="Times New Roman" w:cs="Times New Roman"/>
              <w:spacing w:val="-1"/>
              <w:sz w:val="22"/>
              <w:szCs w:val="22"/>
            </w:rPr>
            <w:t>320</w:t>
          </w:r>
          <w:r>
            <w:rPr>
              <w:rFonts w:ascii="Times New Roman" w:hAnsi="Times New Roman" w:eastAsia="Times New Roman" w:cs="Times New Roman"/>
              <w:spacing w:val="-1"/>
              <w:sz w:val="22"/>
              <w:szCs w:val="22"/>
            </w:rPr>
            <w:fldChar w:fldCharType="end"/>
          </w:r>
        </w:p>
        <w:p w14:paraId="1D87E0E6">
          <w:pPr>
            <w:pStyle w:val="2"/>
            <w:tabs>
              <w:tab w:val="right" w:leader="dot" w:pos="9167"/>
            </w:tabs>
            <w:spacing w:before="117" w:line="221" w:lineRule="auto"/>
            <w:ind w:left="1956"/>
            <w:rPr>
              <w:rFonts w:ascii="Times New Roman" w:hAnsi="Times New Roman" w:eastAsia="Times New Roman" w:cs="Times New Roman"/>
              <w:sz w:val="22"/>
              <w:szCs w:val="22"/>
            </w:rPr>
          </w:pPr>
          <w:r>
            <w:fldChar w:fldCharType="begin"/>
          </w:r>
          <w:r>
            <w:instrText xml:space="preserve"> HYPERLINK \l "bookmark369" </w:instrText>
          </w:r>
          <w:r>
            <w:fldChar w:fldCharType="separate"/>
          </w:r>
          <w:r>
            <w:rPr>
              <w:spacing w:val="-6"/>
              <w:sz w:val="22"/>
              <w:szCs w:val="22"/>
            </w:rPr>
            <w:t>一</w:t>
          </w:r>
          <w:r>
            <w:rPr>
              <w:spacing w:val="-47"/>
              <w:sz w:val="22"/>
              <w:szCs w:val="22"/>
            </w:rPr>
            <w:t xml:space="preserve"> </w:t>
          </w:r>
          <w:r>
            <w:rPr>
              <w:spacing w:val="-6"/>
              <w:sz w:val="22"/>
              <w:szCs w:val="22"/>
            </w:rPr>
            <w:t>、流感病毒的结构和分类</w:t>
          </w:r>
          <w:r>
            <w:rPr>
              <w:spacing w:val="-92"/>
              <w:sz w:val="22"/>
              <w:szCs w:val="22"/>
            </w:rPr>
            <w:t xml:space="preserve"> </w:t>
          </w:r>
          <w:r>
            <w:rPr>
              <w:sz w:val="22"/>
              <w:szCs w:val="22"/>
            </w:rPr>
            <w:tab/>
          </w:r>
          <w:r>
            <w:rPr>
              <w:spacing w:val="-24"/>
              <w:sz w:val="22"/>
              <w:szCs w:val="22"/>
            </w:rPr>
            <w:t xml:space="preserve"> </w:t>
          </w:r>
          <w:r>
            <w:rPr>
              <w:rFonts w:ascii="Times New Roman" w:hAnsi="Times New Roman" w:eastAsia="Times New Roman" w:cs="Times New Roman"/>
              <w:spacing w:val="-3"/>
              <w:sz w:val="22"/>
              <w:szCs w:val="22"/>
            </w:rPr>
            <w:t>320</w:t>
          </w:r>
          <w:r>
            <w:rPr>
              <w:rFonts w:ascii="Times New Roman" w:hAnsi="Times New Roman" w:eastAsia="Times New Roman" w:cs="Times New Roman"/>
              <w:spacing w:val="-3"/>
              <w:sz w:val="22"/>
              <w:szCs w:val="22"/>
            </w:rPr>
            <w:fldChar w:fldCharType="end"/>
          </w:r>
        </w:p>
        <w:p w14:paraId="3071E965">
          <w:pPr>
            <w:pStyle w:val="2"/>
            <w:tabs>
              <w:tab w:val="right" w:leader="dot" w:pos="9187"/>
            </w:tabs>
            <w:spacing w:before="106" w:line="221" w:lineRule="auto"/>
            <w:ind w:left="1956"/>
            <w:rPr>
              <w:rFonts w:ascii="Times New Roman" w:hAnsi="Times New Roman" w:eastAsia="Times New Roman" w:cs="Times New Roman"/>
              <w:sz w:val="22"/>
              <w:szCs w:val="22"/>
            </w:rPr>
          </w:pPr>
          <w:r>
            <w:fldChar w:fldCharType="begin"/>
          </w:r>
          <w:r>
            <w:instrText xml:space="preserve"> HYPERLINK \l "bookmark370" </w:instrText>
          </w:r>
          <w:r>
            <w:fldChar w:fldCharType="separate"/>
          </w:r>
          <w:r>
            <w:rPr>
              <w:spacing w:val="-10"/>
              <w:sz w:val="22"/>
              <w:szCs w:val="22"/>
            </w:rPr>
            <w:t>二</w:t>
          </w:r>
          <w:r>
            <w:rPr>
              <w:spacing w:val="-48"/>
              <w:sz w:val="22"/>
              <w:szCs w:val="22"/>
            </w:rPr>
            <w:t xml:space="preserve"> </w:t>
          </w:r>
          <w:r>
            <w:rPr>
              <w:spacing w:val="-10"/>
              <w:sz w:val="22"/>
              <w:szCs w:val="22"/>
            </w:rPr>
            <w:t>、抗原变异</w:t>
          </w:r>
          <w:r>
            <w:rPr>
              <w:spacing w:val="-93"/>
              <w:sz w:val="22"/>
              <w:szCs w:val="22"/>
            </w:rPr>
            <w:t xml:space="preserve"> </w:t>
          </w:r>
          <w:r>
            <w:rPr>
              <w:sz w:val="22"/>
              <w:szCs w:val="22"/>
            </w:rPr>
            <w:tab/>
          </w:r>
          <w:r>
            <w:rPr>
              <w:spacing w:val="-14"/>
              <w:sz w:val="22"/>
              <w:szCs w:val="22"/>
            </w:rPr>
            <w:t xml:space="preserve"> </w:t>
          </w:r>
          <w:r>
            <w:rPr>
              <w:rFonts w:ascii="Times New Roman" w:hAnsi="Times New Roman" w:eastAsia="Times New Roman" w:cs="Times New Roman"/>
              <w:spacing w:val="-3"/>
              <w:sz w:val="22"/>
              <w:szCs w:val="22"/>
            </w:rPr>
            <w:t>321</w:t>
          </w:r>
          <w:r>
            <w:rPr>
              <w:rFonts w:ascii="Times New Roman" w:hAnsi="Times New Roman" w:eastAsia="Times New Roman" w:cs="Times New Roman"/>
              <w:spacing w:val="-3"/>
              <w:sz w:val="22"/>
              <w:szCs w:val="22"/>
            </w:rPr>
            <w:fldChar w:fldCharType="end"/>
          </w:r>
        </w:p>
        <w:p w14:paraId="582C7AD7">
          <w:pPr>
            <w:pStyle w:val="2"/>
            <w:tabs>
              <w:tab w:val="right" w:leader="dot" w:pos="9087"/>
            </w:tabs>
            <w:spacing w:before="118" w:line="222" w:lineRule="auto"/>
            <w:ind w:left="1956"/>
            <w:rPr>
              <w:rFonts w:ascii="Times New Roman" w:hAnsi="Times New Roman" w:eastAsia="Times New Roman" w:cs="Times New Roman"/>
              <w:sz w:val="22"/>
              <w:szCs w:val="22"/>
            </w:rPr>
          </w:pPr>
          <w:r>
            <w:fldChar w:fldCharType="begin"/>
          </w:r>
          <w:r>
            <w:instrText xml:space="preserve"> HYPERLINK \l "bookmark371" </w:instrText>
          </w:r>
          <w:r>
            <w:fldChar w:fldCharType="separate"/>
          </w:r>
          <w:r>
            <w:rPr>
              <w:spacing w:val="-9"/>
              <w:sz w:val="22"/>
              <w:szCs w:val="22"/>
            </w:rPr>
            <w:t>三</w:t>
          </w:r>
          <w:r>
            <w:rPr>
              <w:spacing w:val="-57"/>
              <w:sz w:val="22"/>
              <w:szCs w:val="22"/>
            </w:rPr>
            <w:t xml:space="preserve"> </w:t>
          </w:r>
          <w:r>
            <w:rPr>
              <w:spacing w:val="-9"/>
              <w:sz w:val="22"/>
              <w:szCs w:val="22"/>
            </w:rPr>
            <w:t>、致病力</w:t>
          </w:r>
          <w:r>
            <w:rPr>
              <w:spacing w:val="-99"/>
              <w:sz w:val="22"/>
              <w:szCs w:val="22"/>
            </w:rPr>
            <w:t xml:space="preserve"> </w:t>
          </w:r>
          <w:r>
            <w:rPr>
              <w:sz w:val="22"/>
              <w:szCs w:val="22"/>
            </w:rPr>
            <w:tab/>
          </w:r>
          <w:r>
            <w:rPr>
              <w:rFonts w:ascii="Times New Roman" w:hAnsi="Times New Roman" w:eastAsia="Times New Roman" w:cs="Times New Roman"/>
              <w:spacing w:val="-4"/>
              <w:sz w:val="22"/>
              <w:szCs w:val="22"/>
            </w:rPr>
            <w:t>322</w:t>
          </w:r>
          <w:r>
            <w:rPr>
              <w:rFonts w:ascii="Times New Roman" w:hAnsi="Times New Roman" w:eastAsia="Times New Roman" w:cs="Times New Roman"/>
              <w:spacing w:val="-4"/>
              <w:sz w:val="22"/>
              <w:szCs w:val="22"/>
            </w:rPr>
            <w:fldChar w:fldCharType="end"/>
          </w:r>
        </w:p>
        <w:p w14:paraId="3948A194">
          <w:pPr>
            <w:pStyle w:val="2"/>
            <w:tabs>
              <w:tab w:val="right" w:leader="dot" w:pos="9157"/>
            </w:tabs>
            <w:spacing w:before="95" w:line="222" w:lineRule="auto"/>
            <w:ind w:left="1956"/>
            <w:rPr>
              <w:rFonts w:ascii="Times New Roman" w:hAnsi="Times New Roman" w:eastAsia="Times New Roman" w:cs="Times New Roman"/>
              <w:sz w:val="22"/>
              <w:szCs w:val="22"/>
            </w:rPr>
          </w:pPr>
          <w:r>
            <w:fldChar w:fldCharType="begin"/>
          </w:r>
          <w:r>
            <w:instrText xml:space="preserve"> HYPERLINK \l "bookmark372" </w:instrText>
          </w:r>
          <w:r>
            <w:fldChar w:fldCharType="separate"/>
          </w:r>
          <w:r>
            <w:rPr>
              <w:spacing w:val="-15"/>
              <w:sz w:val="22"/>
              <w:szCs w:val="22"/>
            </w:rPr>
            <w:t>四</w:t>
          </w:r>
          <w:r>
            <w:rPr>
              <w:spacing w:val="-47"/>
              <w:sz w:val="22"/>
              <w:szCs w:val="22"/>
            </w:rPr>
            <w:t xml:space="preserve"> </w:t>
          </w:r>
          <w:r>
            <w:rPr>
              <w:spacing w:val="-15"/>
              <w:sz w:val="22"/>
              <w:szCs w:val="22"/>
            </w:rPr>
            <w:t>、免疫力</w:t>
          </w:r>
          <w:r>
            <w:rPr>
              <w:spacing w:val="-99"/>
              <w:sz w:val="22"/>
              <w:szCs w:val="22"/>
            </w:rPr>
            <w:t xml:space="preserve"> </w:t>
          </w:r>
          <w:r>
            <w:rPr>
              <w:sz w:val="22"/>
              <w:szCs w:val="22"/>
            </w:rPr>
            <w:tab/>
          </w:r>
          <w:r>
            <w:rPr>
              <w:spacing w:val="-24"/>
              <w:sz w:val="22"/>
              <w:szCs w:val="22"/>
            </w:rPr>
            <w:t xml:space="preserve"> </w:t>
          </w:r>
          <w:r>
            <w:rPr>
              <w:rFonts w:ascii="Times New Roman" w:hAnsi="Times New Roman" w:eastAsia="Times New Roman" w:cs="Times New Roman"/>
              <w:spacing w:val="-3"/>
              <w:sz w:val="22"/>
              <w:szCs w:val="22"/>
            </w:rPr>
            <w:t>322</w:t>
          </w:r>
          <w:r>
            <w:rPr>
              <w:rFonts w:ascii="Times New Roman" w:hAnsi="Times New Roman" w:eastAsia="Times New Roman" w:cs="Times New Roman"/>
              <w:spacing w:val="-3"/>
              <w:sz w:val="22"/>
              <w:szCs w:val="22"/>
            </w:rPr>
            <w:fldChar w:fldCharType="end"/>
          </w:r>
        </w:p>
        <w:p w14:paraId="75ABC100">
          <w:pPr>
            <w:pStyle w:val="2"/>
            <w:tabs>
              <w:tab w:val="right" w:leader="dot" w:pos="9157"/>
            </w:tabs>
            <w:spacing w:before="125" w:line="221" w:lineRule="auto"/>
            <w:ind w:left="1536"/>
            <w:rPr>
              <w:rFonts w:ascii="Times New Roman" w:hAnsi="Times New Roman" w:eastAsia="Times New Roman" w:cs="Times New Roman"/>
              <w:sz w:val="22"/>
              <w:szCs w:val="22"/>
            </w:rPr>
          </w:pPr>
          <w:r>
            <w:fldChar w:fldCharType="begin"/>
          </w:r>
          <w:r>
            <w:instrText xml:space="preserve"> HYPERLINK \l "bookmark373" </w:instrText>
          </w:r>
          <w:r>
            <w:fldChar w:fldCharType="separate"/>
          </w:r>
          <w:r>
            <w:rPr>
              <w:spacing w:val="12"/>
              <w:sz w:val="22"/>
              <w:szCs w:val="22"/>
            </w:rPr>
            <w:t>第二节</w:t>
          </w:r>
          <w:r>
            <w:rPr>
              <w:spacing w:val="32"/>
              <w:sz w:val="22"/>
              <w:szCs w:val="22"/>
            </w:rPr>
            <w:t xml:space="preserve"> </w:t>
          </w:r>
          <w:r>
            <w:rPr>
              <w:spacing w:val="12"/>
              <w:sz w:val="22"/>
              <w:szCs w:val="22"/>
            </w:rPr>
            <w:t>流行过程</w:t>
          </w:r>
          <w:r>
            <w:rPr>
              <w:spacing w:val="-88"/>
              <w:sz w:val="22"/>
              <w:szCs w:val="22"/>
            </w:rPr>
            <w:t xml:space="preserve"> </w:t>
          </w:r>
          <w:r>
            <w:rPr>
              <w:sz w:val="22"/>
              <w:szCs w:val="22"/>
            </w:rPr>
            <w:tab/>
          </w:r>
          <w:r>
            <w:rPr>
              <w:spacing w:val="-74"/>
              <w:sz w:val="22"/>
              <w:szCs w:val="22"/>
            </w:rPr>
            <w:t xml:space="preserve"> </w:t>
          </w:r>
          <w:r>
            <w:rPr>
              <w:rFonts w:ascii="Times New Roman" w:hAnsi="Times New Roman" w:eastAsia="Times New Roman" w:cs="Times New Roman"/>
              <w:spacing w:val="-3"/>
              <w:sz w:val="22"/>
              <w:szCs w:val="22"/>
            </w:rPr>
            <w:t>322</w:t>
          </w:r>
          <w:r>
            <w:rPr>
              <w:rFonts w:ascii="Times New Roman" w:hAnsi="Times New Roman" w:eastAsia="Times New Roman" w:cs="Times New Roman"/>
              <w:spacing w:val="-3"/>
              <w:sz w:val="22"/>
              <w:szCs w:val="22"/>
            </w:rPr>
            <w:fldChar w:fldCharType="end"/>
          </w:r>
        </w:p>
        <w:p w14:paraId="21D3936C">
          <w:pPr>
            <w:pStyle w:val="2"/>
            <w:tabs>
              <w:tab w:val="right" w:leader="dot" w:pos="9167"/>
            </w:tabs>
            <w:spacing w:before="107" w:line="221" w:lineRule="auto"/>
            <w:ind w:left="1956"/>
            <w:rPr>
              <w:rFonts w:ascii="Times New Roman" w:hAnsi="Times New Roman" w:eastAsia="Times New Roman" w:cs="Times New Roman"/>
              <w:sz w:val="22"/>
              <w:szCs w:val="22"/>
            </w:rPr>
          </w:pPr>
          <w:r>
            <w:fldChar w:fldCharType="begin"/>
          </w:r>
          <w:r>
            <w:instrText xml:space="preserve"> HYPERLINK \l "bookmark374" </w:instrText>
          </w:r>
          <w:r>
            <w:fldChar w:fldCharType="separate"/>
          </w:r>
          <w:r>
            <w:rPr>
              <w:spacing w:val="-11"/>
              <w:sz w:val="22"/>
              <w:szCs w:val="22"/>
            </w:rPr>
            <w:t>一</w:t>
          </w:r>
          <w:r>
            <w:rPr>
              <w:spacing w:val="-48"/>
              <w:sz w:val="22"/>
              <w:szCs w:val="22"/>
            </w:rPr>
            <w:t xml:space="preserve"> </w:t>
          </w:r>
          <w:r>
            <w:rPr>
              <w:spacing w:val="-11"/>
              <w:sz w:val="22"/>
              <w:szCs w:val="22"/>
            </w:rPr>
            <w:t>、传染源</w:t>
          </w:r>
          <w:r>
            <w:rPr>
              <w:spacing w:val="-88"/>
              <w:sz w:val="22"/>
              <w:szCs w:val="22"/>
            </w:rPr>
            <w:t xml:space="preserve"> </w:t>
          </w:r>
          <w:r>
            <w:rPr>
              <w:sz w:val="22"/>
              <w:szCs w:val="22"/>
            </w:rPr>
            <w:tab/>
          </w:r>
          <w:r>
            <w:rPr>
              <w:spacing w:val="-44"/>
              <w:sz w:val="22"/>
              <w:szCs w:val="22"/>
            </w:rPr>
            <w:t xml:space="preserve"> </w:t>
          </w:r>
          <w:r>
            <w:rPr>
              <w:rFonts w:ascii="Times New Roman" w:hAnsi="Times New Roman" w:eastAsia="Times New Roman" w:cs="Times New Roman"/>
              <w:spacing w:val="-3"/>
              <w:sz w:val="22"/>
              <w:szCs w:val="22"/>
            </w:rPr>
            <w:t>322</w:t>
          </w:r>
          <w:r>
            <w:rPr>
              <w:rFonts w:ascii="Times New Roman" w:hAnsi="Times New Roman" w:eastAsia="Times New Roman" w:cs="Times New Roman"/>
              <w:spacing w:val="-3"/>
              <w:sz w:val="22"/>
              <w:szCs w:val="22"/>
            </w:rPr>
            <w:fldChar w:fldCharType="end"/>
          </w:r>
        </w:p>
        <w:p w14:paraId="6140B0E1">
          <w:pPr>
            <w:pStyle w:val="2"/>
            <w:tabs>
              <w:tab w:val="right" w:leader="dot" w:pos="9097"/>
            </w:tabs>
            <w:spacing w:before="117" w:line="222" w:lineRule="auto"/>
            <w:ind w:left="1956"/>
            <w:rPr>
              <w:rFonts w:ascii="Times New Roman" w:hAnsi="Times New Roman" w:eastAsia="Times New Roman" w:cs="Times New Roman"/>
              <w:sz w:val="22"/>
              <w:szCs w:val="22"/>
            </w:rPr>
          </w:pPr>
          <w:r>
            <w:fldChar w:fldCharType="begin"/>
          </w:r>
          <w:r>
            <w:instrText xml:space="preserve"> HYPERLINK \l "bookmark375" </w:instrText>
          </w:r>
          <w:r>
            <w:fldChar w:fldCharType="separate"/>
          </w:r>
          <w:r>
            <w:rPr>
              <w:spacing w:val="-7"/>
              <w:sz w:val="22"/>
              <w:szCs w:val="22"/>
            </w:rPr>
            <w:t>二</w:t>
          </w:r>
          <w:r>
            <w:rPr>
              <w:spacing w:val="-58"/>
              <w:sz w:val="22"/>
              <w:szCs w:val="22"/>
            </w:rPr>
            <w:t xml:space="preserve"> </w:t>
          </w:r>
          <w:r>
            <w:rPr>
              <w:spacing w:val="-7"/>
              <w:sz w:val="22"/>
              <w:szCs w:val="22"/>
            </w:rPr>
            <w:t>、传播途径</w:t>
          </w:r>
          <w:r>
            <w:rPr>
              <w:spacing w:val="-92"/>
              <w:sz w:val="22"/>
              <w:szCs w:val="22"/>
            </w:rPr>
            <w:t xml:space="preserve"> </w:t>
          </w:r>
          <w:r>
            <w:rPr>
              <w:sz w:val="22"/>
              <w:szCs w:val="22"/>
            </w:rPr>
            <w:tab/>
          </w:r>
          <w:r>
            <w:rPr>
              <w:rFonts w:ascii="Times New Roman" w:hAnsi="Times New Roman" w:eastAsia="Times New Roman" w:cs="Times New Roman"/>
              <w:spacing w:val="-4"/>
              <w:sz w:val="22"/>
              <w:szCs w:val="22"/>
            </w:rPr>
            <w:t>323</w:t>
          </w:r>
          <w:r>
            <w:rPr>
              <w:rFonts w:ascii="Times New Roman" w:hAnsi="Times New Roman" w:eastAsia="Times New Roman" w:cs="Times New Roman"/>
              <w:spacing w:val="-4"/>
              <w:sz w:val="22"/>
              <w:szCs w:val="22"/>
            </w:rPr>
            <w:fldChar w:fldCharType="end"/>
          </w:r>
        </w:p>
        <w:p w14:paraId="0DC626F0">
          <w:pPr>
            <w:pStyle w:val="2"/>
            <w:tabs>
              <w:tab w:val="right" w:leader="dot" w:pos="9157"/>
            </w:tabs>
            <w:spacing w:before="105" w:line="221" w:lineRule="auto"/>
            <w:ind w:left="1956"/>
            <w:rPr>
              <w:rFonts w:ascii="Times New Roman" w:hAnsi="Times New Roman" w:eastAsia="Times New Roman" w:cs="Times New Roman"/>
              <w:sz w:val="22"/>
              <w:szCs w:val="22"/>
            </w:rPr>
          </w:pPr>
          <w:r>
            <w:fldChar w:fldCharType="begin"/>
          </w:r>
          <w:r>
            <w:instrText xml:space="preserve"> HYPERLINK \l "bookmark376" </w:instrText>
          </w:r>
          <w:r>
            <w:fldChar w:fldCharType="separate"/>
          </w:r>
          <w:r>
            <w:rPr>
              <w:spacing w:val="-2"/>
              <w:sz w:val="22"/>
              <w:szCs w:val="22"/>
            </w:rPr>
            <w:t>三</w:t>
          </w:r>
          <w:r>
            <w:rPr>
              <w:spacing w:val="-45"/>
              <w:sz w:val="22"/>
              <w:szCs w:val="22"/>
            </w:rPr>
            <w:t xml:space="preserve"> </w:t>
          </w:r>
          <w:r>
            <w:rPr>
              <w:spacing w:val="-2"/>
              <w:sz w:val="22"/>
              <w:szCs w:val="22"/>
            </w:rPr>
            <w:t>、人群易感性</w:t>
          </w:r>
          <w:r>
            <w:rPr>
              <w:spacing w:val="-93"/>
              <w:sz w:val="22"/>
              <w:szCs w:val="22"/>
            </w:rPr>
            <w:t xml:space="preserve"> </w:t>
          </w:r>
          <w:r>
            <w:rPr>
              <w:sz w:val="22"/>
              <w:szCs w:val="22"/>
            </w:rPr>
            <w:tab/>
          </w:r>
          <w:r>
            <w:rPr>
              <w:rFonts w:ascii="Times New Roman" w:hAnsi="Times New Roman" w:eastAsia="Times New Roman" w:cs="Times New Roman"/>
              <w:spacing w:val="1"/>
              <w:sz w:val="22"/>
              <w:szCs w:val="22"/>
            </w:rPr>
            <w:t>323</w:t>
          </w:r>
          <w:r>
            <w:rPr>
              <w:rFonts w:ascii="Times New Roman" w:hAnsi="Times New Roman" w:eastAsia="Times New Roman" w:cs="Times New Roman"/>
              <w:spacing w:val="1"/>
              <w:sz w:val="22"/>
              <w:szCs w:val="22"/>
            </w:rPr>
            <w:fldChar w:fldCharType="end"/>
          </w:r>
        </w:p>
        <w:p w14:paraId="2DDCF72F">
          <w:pPr>
            <w:pStyle w:val="2"/>
            <w:tabs>
              <w:tab w:val="right" w:leader="dot" w:pos="9077"/>
            </w:tabs>
            <w:spacing w:before="116" w:line="221" w:lineRule="auto"/>
            <w:ind w:left="1956"/>
            <w:rPr>
              <w:rFonts w:ascii="Times New Roman" w:hAnsi="Times New Roman" w:eastAsia="Times New Roman" w:cs="Times New Roman"/>
              <w:sz w:val="22"/>
              <w:szCs w:val="22"/>
            </w:rPr>
          </w:pPr>
          <w:r>
            <w:fldChar w:fldCharType="begin"/>
          </w:r>
          <w:r>
            <w:instrText xml:space="preserve"> HYPERLINK \l "bookmark377" </w:instrText>
          </w:r>
          <w:r>
            <w:fldChar w:fldCharType="separate"/>
          </w:r>
          <w:r>
            <w:rPr>
              <w:spacing w:val="-9"/>
              <w:sz w:val="22"/>
              <w:szCs w:val="22"/>
            </w:rPr>
            <w:t>四</w:t>
          </w:r>
          <w:r>
            <w:rPr>
              <w:spacing w:val="-42"/>
              <w:sz w:val="22"/>
              <w:szCs w:val="22"/>
            </w:rPr>
            <w:t xml:space="preserve"> </w:t>
          </w:r>
          <w:r>
            <w:rPr>
              <w:spacing w:val="-9"/>
              <w:sz w:val="22"/>
              <w:szCs w:val="22"/>
            </w:rPr>
            <w:t>、影响流行过程的因素</w:t>
          </w:r>
          <w:r>
            <w:rPr>
              <w:spacing w:val="-81"/>
              <w:sz w:val="22"/>
              <w:szCs w:val="22"/>
            </w:rPr>
            <w:t xml:space="preserve"> </w:t>
          </w:r>
          <w:r>
            <w:rPr>
              <w:sz w:val="22"/>
              <w:szCs w:val="22"/>
            </w:rPr>
            <w:tab/>
          </w:r>
          <w:r>
            <w:rPr>
              <w:rFonts w:ascii="Times New Roman" w:hAnsi="Times New Roman" w:eastAsia="Times New Roman" w:cs="Times New Roman"/>
              <w:spacing w:val="-1"/>
              <w:sz w:val="22"/>
              <w:szCs w:val="22"/>
            </w:rPr>
            <w:t>323</w:t>
          </w:r>
          <w:r>
            <w:rPr>
              <w:rFonts w:ascii="Times New Roman" w:hAnsi="Times New Roman" w:eastAsia="Times New Roman" w:cs="Times New Roman"/>
              <w:spacing w:val="-1"/>
              <w:sz w:val="22"/>
              <w:szCs w:val="22"/>
            </w:rPr>
            <w:fldChar w:fldCharType="end"/>
          </w:r>
        </w:p>
        <w:p w14:paraId="1D8D8773">
          <w:pPr>
            <w:pStyle w:val="2"/>
            <w:tabs>
              <w:tab w:val="right" w:leader="dot" w:pos="9167"/>
            </w:tabs>
            <w:spacing w:before="107" w:line="221" w:lineRule="auto"/>
            <w:ind w:left="1536"/>
            <w:rPr>
              <w:rFonts w:ascii="Times New Roman" w:hAnsi="Times New Roman" w:eastAsia="Times New Roman" w:cs="Times New Roman"/>
              <w:sz w:val="22"/>
              <w:szCs w:val="22"/>
            </w:rPr>
          </w:pPr>
          <w:r>
            <w:fldChar w:fldCharType="begin"/>
          </w:r>
          <w:r>
            <w:instrText xml:space="preserve"> HYPERLINK \l "bookmark378" </w:instrText>
          </w:r>
          <w:r>
            <w:fldChar w:fldCharType="separate"/>
          </w:r>
          <w:r>
            <w:rPr>
              <w:spacing w:val="9"/>
              <w:sz w:val="22"/>
              <w:szCs w:val="22"/>
            </w:rPr>
            <w:t>第三节</w:t>
          </w:r>
          <w:r>
            <w:rPr>
              <w:spacing w:val="45"/>
              <w:sz w:val="22"/>
              <w:szCs w:val="22"/>
            </w:rPr>
            <w:t xml:space="preserve"> </w:t>
          </w:r>
          <w:r>
            <w:rPr>
              <w:spacing w:val="9"/>
              <w:sz w:val="22"/>
              <w:szCs w:val="22"/>
            </w:rPr>
            <w:t>流行特征</w:t>
          </w:r>
          <w:r>
            <w:rPr>
              <w:spacing w:val="-90"/>
              <w:sz w:val="22"/>
              <w:szCs w:val="22"/>
            </w:rPr>
            <w:t xml:space="preserve"> </w:t>
          </w:r>
          <w:r>
            <w:rPr>
              <w:sz w:val="22"/>
              <w:szCs w:val="22"/>
            </w:rPr>
            <w:tab/>
          </w:r>
          <w:r>
            <w:rPr>
              <w:spacing w:val="-54"/>
              <w:sz w:val="22"/>
              <w:szCs w:val="22"/>
            </w:rPr>
            <w:t xml:space="preserve"> </w:t>
          </w:r>
          <w:r>
            <w:rPr>
              <w:rFonts w:ascii="Times New Roman" w:hAnsi="Times New Roman" w:eastAsia="Times New Roman" w:cs="Times New Roman"/>
              <w:spacing w:val="-3"/>
              <w:sz w:val="22"/>
              <w:szCs w:val="22"/>
            </w:rPr>
            <w:t>323</w:t>
          </w:r>
          <w:r>
            <w:rPr>
              <w:rFonts w:ascii="Times New Roman" w:hAnsi="Times New Roman" w:eastAsia="Times New Roman" w:cs="Times New Roman"/>
              <w:spacing w:val="-3"/>
              <w:sz w:val="22"/>
              <w:szCs w:val="22"/>
            </w:rPr>
            <w:fldChar w:fldCharType="end"/>
          </w:r>
        </w:p>
        <w:p w14:paraId="7EFA131A">
          <w:pPr>
            <w:pStyle w:val="2"/>
            <w:tabs>
              <w:tab w:val="right" w:leader="dot" w:pos="9077"/>
            </w:tabs>
            <w:spacing w:before="117" w:line="221" w:lineRule="auto"/>
            <w:ind w:left="1956"/>
            <w:rPr>
              <w:rFonts w:ascii="Times New Roman" w:hAnsi="Times New Roman" w:eastAsia="Times New Roman" w:cs="Times New Roman"/>
              <w:sz w:val="22"/>
              <w:szCs w:val="22"/>
            </w:rPr>
          </w:pPr>
          <w:r>
            <w:fldChar w:fldCharType="begin"/>
          </w:r>
          <w:r>
            <w:instrText xml:space="preserve"> HYPERLINK \l "bookmark379" </w:instrText>
          </w:r>
          <w:r>
            <w:fldChar w:fldCharType="separate"/>
          </w:r>
          <w:r>
            <w:rPr>
              <w:spacing w:val="-6"/>
              <w:sz w:val="22"/>
              <w:szCs w:val="22"/>
            </w:rPr>
            <w:t>一</w:t>
          </w:r>
          <w:r>
            <w:rPr>
              <w:spacing w:val="-47"/>
              <w:sz w:val="22"/>
              <w:szCs w:val="22"/>
            </w:rPr>
            <w:t xml:space="preserve"> </w:t>
          </w:r>
          <w:r>
            <w:rPr>
              <w:spacing w:val="-6"/>
              <w:sz w:val="22"/>
              <w:szCs w:val="22"/>
            </w:rPr>
            <w:t>、流行概况</w:t>
          </w:r>
          <w:r>
            <w:rPr>
              <w:spacing w:val="-88"/>
              <w:sz w:val="22"/>
              <w:szCs w:val="22"/>
            </w:rPr>
            <w:t xml:space="preserve"> </w:t>
          </w:r>
          <w:r>
            <w:rPr>
              <w:sz w:val="22"/>
              <w:szCs w:val="22"/>
            </w:rPr>
            <w:tab/>
          </w:r>
          <w:r>
            <w:rPr>
              <w:rFonts w:ascii="Times New Roman" w:hAnsi="Times New Roman" w:eastAsia="Times New Roman" w:cs="Times New Roman"/>
              <w:spacing w:val="-1"/>
              <w:sz w:val="22"/>
              <w:szCs w:val="22"/>
            </w:rPr>
            <w:t>323</w:t>
          </w:r>
          <w:r>
            <w:rPr>
              <w:rFonts w:ascii="Times New Roman" w:hAnsi="Times New Roman" w:eastAsia="Times New Roman" w:cs="Times New Roman"/>
              <w:spacing w:val="-1"/>
              <w:sz w:val="22"/>
              <w:szCs w:val="22"/>
            </w:rPr>
            <w:fldChar w:fldCharType="end"/>
          </w:r>
        </w:p>
        <w:p w14:paraId="301BB6BF">
          <w:pPr>
            <w:pStyle w:val="2"/>
            <w:tabs>
              <w:tab w:val="right" w:leader="dot" w:pos="9077"/>
            </w:tabs>
            <w:spacing w:before="106" w:line="221" w:lineRule="auto"/>
            <w:ind w:left="1956"/>
            <w:rPr>
              <w:rFonts w:ascii="Times New Roman" w:hAnsi="Times New Roman" w:eastAsia="Times New Roman" w:cs="Times New Roman"/>
              <w:sz w:val="22"/>
              <w:szCs w:val="22"/>
            </w:rPr>
          </w:pPr>
          <w:r>
            <w:fldChar w:fldCharType="begin"/>
          </w:r>
          <w:r>
            <w:instrText xml:space="preserve"> HYPERLINK \l "bookmark380" </w:instrText>
          </w:r>
          <w:r>
            <w:fldChar w:fldCharType="separate"/>
          </w:r>
          <w:r>
            <w:rPr>
              <w:spacing w:val="-9"/>
              <w:sz w:val="22"/>
              <w:szCs w:val="22"/>
            </w:rPr>
            <w:t>二</w:t>
          </w:r>
          <w:r>
            <w:rPr>
              <w:spacing w:val="-45"/>
              <w:sz w:val="22"/>
              <w:szCs w:val="22"/>
            </w:rPr>
            <w:t xml:space="preserve"> </w:t>
          </w:r>
          <w:r>
            <w:rPr>
              <w:spacing w:val="-9"/>
              <w:sz w:val="22"/>
              <w:szCs w:val="22"/>
            </w:rPr>
            <w:t>、流行分布</w:t>
          </w:r>
          <w:r>
            <w:rPr>
              <w:spacing w:val="-93"/>
              <w:sz w:val="22"/>
              <w:szCs w:val="22"/>
            </w:rPr>
            <w:t xml:space="preserve"> </w:t>
          </w:r>
          <w:r>
            <w:rPr>
              <w:sz w:val="22"/>
              <w:szCs w:val="22"/>
            </w:rPr>
            <w:tab/>
          </w:r>
          <w:r>
            <w:rPr>
              <w:rFonts w:ascii="Times New Roman" w:hAnsi="Times New Roman" w:eastAsia="Times New Roman" w:cs="Times New Roman"/>
              <w:spacing w:val="-1"/>
              <w:sz w:val="22"/>
              <w:szCs w:val="22"/>
            </w:rPr>
            <w:t>324</w:t>
          </w:r>
          <w:r>
            <w:rPr>
              <w:rFonts w:ascii="Times New Roman" w:hAnsi="Times New Roman" w:eastAsia="Times New Roman" w:cs="Times New Roman"/>
              <w:spacing w:val="-1"/>
              <w:sz w:val="22"/>
              <w:szCs w:val="22"/>
            </w:rPr>
            <w:fldChar w:fldCharType="end"/>
          </w:r>
        </w:p>
        <w:p w14:paraId="288BA040">
          <w:pPr>
            <w:pStyle w:val="2"/>
            <w:tabs>
              <w:tab w:val="right" w:leader="dot" w:pos="9147"/>
            </w:tabs>
            <w:spacing w:before="117" w:line="221" w:lineRule="auto"/>
            <w:ind w:left="1536"/>
            <w:rPr>
              <w:rFonts w:ascii="Times New Roman" w:hAnsi="Times New Roman" w:eastAsia="Times New Roman" w:cs="Times New Roman"/>
              <w:sz w:val="22"/>
              <w:szCs w:val="22"/>
            </w:rPr>
          </w:pPr>
          <w:r>
            <w:fldChar w:fldCharType="begin"/>
          </w:r>
          <w:r>
            <w:instrText xml:space="preserve"> HYPERLINK \l "bookmark381" </w:instrText>
          </w:r>
          <w:r>
            <w:fldChar w:fldCharType="separate"/>
          </w:r>
          <w:r>
            <w:rPr>
              <w:spacing w:val="7"/>
              <w:sz w:val="22"/>
              <w:szCs w:val="22"/>
            </w:rPr>
            <w:t>第四节</w:t>
          </w:r>
          <w:r>
            <w:rPr>
              <w:spacing w:val="29"/>
              <w:sz w:val="22"/>
              <w:szCs w:val="22"/>
            </w:rPr>
            <w:t xml:space="preserve"> </w:t>
          </w:r>
          <w:r>
            <w:rPr>
              <w:spacing w:val="7"/>
              <w:sz w:val="22"/>
              <w:szCs w:val="22"/>
            </w:rPr>
            <w:t>预防策略与措施</w:t>
          </w:r>
          <w:r>
            <w:rPr>
              <w:spacing w:val="-91"/>
              <w:sz w:val="22"/>
              <w:szCs w:val="22"/>
            </w:rPr>
            <w:t xml:space="preserve"> </w:t>
          </w:r>
          <w:r>
            <w:rPr>
              <w:sz w:val="22"/>
              <w:szCs w:val="22"/>
            </w:rPr>
            <w:tab/>
          </w:r>
          <w:r>
            <w:rPr>
              <w:spacing w:val="-64"/>
              <w:sz w:val="22"/>
              <w:szCs w:val="22"/>
            </w:rPr>
            <w:t xml:space="preserve"> </w:t>
          </w:r>
          <w:r>
            <w:rPr>
              <w:rFonts w:ascii="Times New Roman" w:hAnsi="Times New Roman" w:eastAsia="Times New Roman" w:cs="Times New Roman"/>
              <w:spacing w:val="-3"/>
              <w:sz w:val="22"/>
              <w:szCs w:val="22"/>
            </w:rPr>
            <w:t>324</w:t>
          </w:r>
          <w:r>
            <w:rPr>
              <w:rFonts w:ascii="Times New Roman" w:hAnsi="Times New Roman" w:eastAsia="Times New Roman" w:cs="Times New Roman"/>
              <w:spacing w:val="-3"/>
              <w:sz w:val="22"/>
              <w:szCs w:val="22"/>
            </w:rPr>
            <w:fldChar w:fldCharType="end"/>
          </w:r>
        </w:p>
        <w:p w14:paraId="3D6DCD3C">
          <w:pPr>
            <w:pStyle w:val="2"/>
            <w:tabs>
              <w:tab w:val="right" w:leader="dot" w:pos="9087"/>
            </w:tabs>
            <w:spacing w:before="107" w:line="221" w:lineRule="auto"/>
            <w:ind w:left="1956"/>
            <w:rPr>
              <w:rFonts w:ascii="Times New Roman" w:hAnsi="Times New Roman" w:eastAsia="Times New Roman" w:cs="Times New Roman"/>
              <w:sz w:val="22"/>
              <w:szCs w:val="22"/>
            </w:rPr>
          </w:pPr>
          <w:r>
            <w:fldChar w:fldCharType="begin"/>
          </w:r>
          <w:r>
            <w:instrText xml:space="preserve"> HYPERLINK \l "bookmark382" </w:instrText>
          </w:r>
          <w:r>
            <w:fldChar w:fldCharType="separate"/>
          </w:r>
          <w:r>
            <w:rPr>
              <w:spacing w:val="-6"/>
              <w:sz w:val="22"/>
              <w:szCs w:val="22"/>
            </w:rPr>
            <w:t>一</w:t>
          </w:r>
          <w:r>
            <w:rPr>
              <w:spacing w:val="-38"/>
              <w:sz w:val="22"/>
              <w:szCs w:val="22"/>
            </w:rPr>
            <w:t xml:space="preserve"> </w:t>
          </w:r>
          <w:r>
            <w:rPr>
              <w:spacing w:val="-6"/>
              <w:sz w:val="22"/>
              <w:szCs w:val="22"/>
            </w:rPr>
            <w:t>、全球应对流感大流行的准备</w:t>
          </w:r>
          <w:r>
            <w:rPr>
              <w:spacing w:val="-90"/>
              <w:sz w:val="22"/>
              <w:szCs w:val="22"/>
            </w:rPr>
            <w:t xml:space="preserve"> </w:t>
          </w:r>
          <w:r>
            <w:rPr>
              <w:sz w:val="22"/>
              <w:szCs w:val="22"/>
            </w:rPr>
            <w:tab/>
          </w:r>
          <w:r>
            <w:rPr>
              <w:rFonts w:ascii="Times New Roman" w:hAnsi="Times New Roman" w:eastAsia="Times New Roman" w:cs="Times New Roman"/>
              <w:spacing w:val="-1"/>
              <w:sz w:val="22"/>
              <w:szCs w:val="22"/>
            </w:rPr>
            <w:t>325</w:t>
          </w:r>
          <w:r>
            <w:rPr>
              <w:rFonts w:ascii="Times New Roman" w:hAnsi="Times New Roman" w:eastAsia="Times New Roman" w:cs="Times New Roman"/>
              <w:spacing w:val="-1"/>
              <w:sz w:val="22"/>
              <w:szCs w:val="22"/>
            </w:rPr>
            <w:fldChar w:fldCharType="end"/>
          </w:r>
        </w:p>
        <w:p w14:paraId="281CDB78">
          <w:pPr>
            <w:pStyle w:val="2"/>
            <w:tabs>
              <w:tab w:val="right" w:leader="dot" w:pos="9167"/>
            </w:tabs>
            <w:spacing w:before="107" w:line="222" w:lineRule="auto"/>
            <w:ind w:left="1956"/>
            <w:rPr>
              <w:rFonts w:ascii="Times New Roman" w:hAnsi="Times New Roman" w:eastAsia="Times New Roman" w:cs="Times New Roman"/>
              <w:sz w:val="22"/>
              <w:szCs w:val="22"/>
            </w:rPr>
          </w:pPr>
          <w:r>
            <w:fldChar w:fldCharType="begin"/>
          </w:r>
          <w:r>
            <w:instrText xml:space="preserve"> HYPERLINK \l "bookmark383" </w:instrText>
          </w:r>
          <w:r>
            <w:fldChar w:fldCharType="separate"/>
          </w:r>
          <w:r>
            <w:rPr>
              <w:spacing w:val="-10"/>
              <w:sz w:val="22"/>
              <w:szCs w:val="22"/>
            </w:rPr>
            <w:t>二</w:t>
          </w:r>
          <w:r>
            <w:rPr>
              <w:spacing w:val="-44"/>
              <w:sz w:val="22"/>
              <w:szCs w:val="22"/>
            </w:rPr>
            <w:t xml:space="preserve"> </w:t>
          </w:r>
          <w:r>
            <w:rPr>
              <w:spacing w:val="-10"/>
              <w:sz w:val="22"/>
              <w:szCs w:val="22"/>
            </w:rPr>
            <w:t>、疫情监测</w:t>
          </w:r>
          <w:r>
            <w:rPr>
              <w:spacing w:val="-98"/>
              <w:sz w:val="22"/>
              <w:szCs w:val="22"/>
            </w:rPr>
            <w:t xml:space="preserve"> </w:t>
          </w:r>
          <w:r>
            <w:rPr>
              <w:sz w:val="22"/>
              <w:szCs w:val="22"/>
            </w:rPr>
            <w:tab/>
          </w:r>
          <w:r>
            <w:rPr>
              <w:spacing w:val="-34"/>
              <w:sz w:val="22"/>
              <w:szCs w:val="22"/>
            </w:rPr>
            <w:t xml:space="preserve"> </w:t>
          </w:r>
          <w:r>
            <w:rPr>
              <w:rFonts w:ascii="Times New Roman" w:hAnsi="Times New Roman" w:eastAsia="Times New Roman" w:cs="Times New Roman"/>
              <w:spacing w:val="-3"/>
              <w:sz w:val="22"/>
              <w:szCs w:val="22"/>
            </w:rPr>
            <w:t>325</w:t>
          </w:r>
          <w:r>
            <w:rPr>
              <w:rFonts w:ascii="Times New Roman" w:hAnsi="Times New Roman" w:eastAsia="Times New Roman" w:cs="Times New Roman"/>
              <w:spacing w:val="-3"/>
              <w:sz w:val="22"/>
              <w:szCs w:val="22"/>
            </w:rPr>
            <w:fldChar w:fldCharType="end"/>
          </w:r>
        </w:p>
        <w:p w14:paraId="34568754">
          <w:pPr>
            <w:pStyle w:val="2"/>
            <w:tabs>
              <w:tab w:val="right" w:leader="dot" w:pos="9087"/>
            </w:tabs>
            <w:spacing w:before="114" w:line="221" w:lineRule="auto"/>
            <w:ind w:left="1956"/>
            <w:rPr>
              <w:rFonts w:ascii="Times New Roman" w:hAnsi="Times New Roman" w:eastAsia="Times New Roman" w:cs="Times New Roman"/>
              <w:sz w:val="22"/>
              <w:szCs w:val="22"/>
            </w:rPr>
          </w:pPr>
          <w:r>
            <w:fldChar w:fldCharType="begin"/>
          </w:r>
          <w:r>
            <w:instrText xml:space="preserve"> HYPERLINK \l "bookmark384" </w:instrText>
          </w:r>
          <w:r>
            <w:fldChar w:fldCharType="separate"/>
          </w:r>
          <w:r>
            <w:rPr>
              <w:spacing w:val="-8"/>
              <w:sz w:val="22"/>
              <w:szCs w:val="22"/>
            </w:rPr>
            <w:t>三</w:t>
          </w:r>
          <w:r>
            <w:rPr>
              <w:spacing w:val="-44"/>
              <w:sz w:val="22"/>
              <w:szCs w:val="22"/>
            </w:rPr>
            <w:t xml:space="preserve"> </w:t>
          </w:r>
          <w:r>
            <w:rPr>
              <w:spacing w:val="-8"/>
              <w:sz w:val="22"/>
              <w:szCs w:val="22"/>
            </w:rPr>
            <w:t>、流感疫苗接种</w:t>
          </w:r>
          <w:r>
            <w:rPr>
              <w:spacing w:val="-93"/>
              <w:sz w:val="22"/>
              <w:szCs w:val="22"/>
            </w:rPr>
            <w:t xml:space="preserve"> </w:t>
          </w:r>
          <w:r>
            <w:rPr>
              <w:sz w:val="22"/>
              <w:szCs w:val="22"/>
            </w:rPr>
            <w:tab/>
          </w:r>
          <w:r>
            <w:rPr>
              <w:rFonts w:ascii="Times New Roman" w:hAnsi="Times New Roman" w:eastAsia="Times New Roman" w:cs="Times New Roman"/>
              <w:spacing w:val="-4"/>
              <w:sz w:val="22"/>
              <w:szCs w:val="22"/>
            </w:rPr>
            <w:t>326</w:t>
          </w:r>
          <w:r>
            <w:rPr>
              <w:rFonts w:ascii="Times New Roman" w:hAnsi="Times New Roman" w:eastAsia="Times New Roman" w:cs="Times New Roman"/>
              <w:spacing w:val="-4"/>
              <w:sz w:val="22"/>
              <w:szCs w:val="22"/>
            </w:rPr>
            <w:fldChar w:fldCharType="end"/>
          </w:r>
        </w:p>
        <w:p w14:paraId="33CAAA54">
          <w:pPr>
            <w:pStyle w:val="2"/>
            <w:tabs>
              <w:tab w:val="right" w:leader="dot" w:pos="9137"/>
            </w:tabs>
            <w:spacing w:before="117" w:line="221" w:lineRule="auto"/>
            <w:ind w:left="1956"/>
            <w:rPr>
              <w:rFonts w:ascii="Times New Roman" w:hAnsi="Times New Roman" w:eastAsia="Times New Roman" w:cs="Times New Roman"/>
              <w:sz w:val="22"/>
              <w:szCs w:val="22"/>
            </w:rPr>
          </w:pPr>
          <w:r>
            <w:fldChar w:fldCharType="begin"/>
          </w:r>
          <w:r>
            <w:instrText xml:space="preserve"> HYPERLINK \l "bookmark385" </w:instrText>
          </w:r>
          <w:r>
            <w:fldChar w:fldCharType="separate"/>
          </w:r>
          <w:r>
            <w:rPr>
              <w:spacing w:val="-9"/>
              <w:sz w:val="22"/>
              <w:szCs w:val="22"/>
            </w:rPr>
            <w:t>四</w:t>
          </w:r>
          <w:r>
            <w:rPr>
              <w:spacing w:val="-46"/>
              <w:sz w:val="22"/>
              <w:szCs w:val="22"/>
            </w:rPr>
            <w:t xml:space="preserve"> </w:t>
          </w:r>
          <w:r>
            <w:rPr>
              <w:spacing w:val="-9"/>
              <w:sz w:val="22"/>
              <w:szCs w:val="22"/>
            </w:rPr>
            <w:t>、药物预防</w:t>
          </w:r>
          <w:r>
            <w:rPr>
              <w:spacing w:val="-102"/>
              <w:sz w:val="22"/>
              <w:szCs w:val="22"/>
            </w:rPr>
            <w:t xml:space="preserve"> </w:t>
          </w:r>
          <w:r>
            <w:rPr>
              <w:sz w:val="22"/>
              <w:szCs w:val="22"/>
            </w:rPr>
            <w:tab/>
          </w:r>
          <w:r>
            <w:rPr>
              <w:spacing w:val="-64"/>
              <w:sz w:val="22"/>
              <w:szCs w:val="22"/>
            </w:rPr>
            <w:t xml:space="preserve"> </w:t>
          </w:r>
          <w:r>
            <w:rPr>
              <w:rFonts w:ascii="Times New Roman" w:hAnsi="Times New Roman" w:eastAsia="Times New Roman" w:cs="Times New Roman"/>
              <w:spacing w:val="-3"/>
              <w:sz w:val="22"/>
              <w:szCs w:val="22"/>
            </w:rPr>
            <w:t>326</w:t>
          </w:r>
          <w:r>
            <w:rPr>
              <w:rFonts w:ascii="Times New Roman" w:hAnsi="Times New Roman" w:eastAsia="Times New Roman" w:cs="Times New Roman"/>
              <w:spacing w:val="-3"/>
              <w:sz w:val="22"/>
              <w:szCs w:val="22"/>
            </w:rPr>
            <w:fldChar w:fldCharType="end"/>
          </w:r>
        </w:p>
        <w:p w14:paraId="7BDF6DF4">
          <w:pPr>
            <w:pStyle w:val="2"/>
            <w:tabs>
              <w:tab w:val="right" w:leader="dot" w:pos="9087"/>
            </w:tabs>
            <w:spacing w:before="107" w:line="221" w:lineRule="auto"/>
            <w:ind w:left="1536"/>
            <w:rPr>
              <w:rFonts w:ascii="Times New Roman" w:hAnsi="Times New Roman" w:eastAsia="Times New Roman" w:cs="Times New Roman"/>
              <w:sz w:val="22"/>
              <w:szCs w:val="22"/>
            </w:rPr>
          </w:pPr>
          <w:r>
            <w:fldChar w:fldCharType="begin"/>
          </w:r>
          <w:r>
            <w:instrText xml:space="preserve"> HYPERLINK \l "bookmark386" </w:instrText>
          </w:r>
          <w:r>
            <w:fldChar w:fldCharType="separate"/>
          </w:r>
          <w:r>
            <w:rPr>
              <w:spacing w:val="7"/>
              <w:sz w:val="22"/>
              <w:szCs w:val="22"/>
            </w:rPr>
            <w:t>第五节 人感染高致病性禽流感</w:t>
          </w:r>
          <w:r>
            <w:rPr>
              <w:spacing w:val="-90"/>
              <w:sz w:val="22"/>
              <w:szCs w:val="22"/>
            </w:rPr>
            <w:t xml:space="preserve"> </w:t>
          </w:r>
          <w:r>
            <w:rPr>
              <w:sz w:val="22"/>
              <w:szCs w:val="22"/>
            </w:rPr>
            <w:tab/>
          </w:r>
          <w:r>
            <w:rPr>
              <w:rFonts w:ascii="Times New Roman" w:hAnsi="Times New Roman" w:eastAsia="Times New Roman" w:cs="Times New Roman"/>
              <w:spacing w:val="-1"/>
              <w:sz w:val="22"/>
              <w:szCs w:val="22"/>
            </w:rPr>
            <w:t>327</w:t>
          </w:r>
          <w:r>
            <w:rPr>
              <w:rFonts w:ascii="Times New Roman" w:hAnsi="Times New Roman" w:eastAsia="Times New Roman" w:cs="Times New Roman"/>
              <w:spacing w:val="-1"/>
              <w:sz w:val="22"/>
              <w:szCs w:val="22"/>
            </w:rPr>
            <w:fldChar w:fldCharType="end"/>
          </w:r>
        </w:p>
        <w:p w14:paraId="603E208C">
          <w:pPr>
            <w:pStyle w:val="2"/>
            <w:tabs>
              <w:tab w:val="right" w:leader="dot" w:pos="9167"/>
            </w:tabs>
            <w:spacing w:before="116" w:line="221" w:lineRule="auto"/>
            <w:ind w:left="1956"/>
            <w:rPr>
              <w:rFonts w:ascii="Times New Roman" w:hAnsi="Times New Roman" w:eastAsia="Times New Roman" w:cs="Times New Roman"/>
              <w:sz w:val="22"/>
              <w:szCs w:val="22"/>
            </w:rPr>
          </w:pPr>
          <w:r>
            <w:fldChar w:fldCharType="begin"/>
          </w:r>
          <w:r>
            <w:instrText xml:space="preserve"> HYPERLINK \l "bookmark387" </w:instrText>
          </w:r>
          <w:r>
            <w:fldChar w:fldCharType="separate"/>
          </w:r>
          <w:r>
            <w:rPr>
              <w:spacing w:val="-9"/>
              <w:sz w:val="22"/>
              <w:szCs w:val="22"/>
            </w:rPr>
            <w:t>一</w:t>
          </w:r>
          <w:r>
            <w:rPr>
              <w:spacing w:val="-38"/>
              <w:sz w:val="22"/>
              <w:szCs w:val="22"/>
            </w:rPr>
            <w:t xml:space="preserve"> </w:t>
          </w:r>
          <w:r>
            <w:rPr>
              <w:spacing w:val="-9"/>
              <w:sz w:val="22"/>
              <w:szCs w:val="22"/>
            </w:rPr>
            <w:t>、流行概况</w:t>
          </w:r>
          <w:r>
            <w:rPr>
              <w:spacing w:val="-89"/>
              <w:sz w:val="22"/>
              <w:szCs w:val="22"/>
            </w:rPr>
            <w:t xml:space="preserve"> </w:t>
          </w:r>
          <w:r>
            <w:rPr>
              <w:sz w:val="22"/>
              <w:szCs w:val="22"/>
            </w:rPr>
            <w:tab/>
          </w:r>
          <w:r>
            <w:rPr>
              <w:spacing w:val="-54"/>
              <w:sz w:val="22"/>
              <w:szCs w:val="22"/>
            </w:rPr>
            <w:t xml:space="preserve"> </w:t>
          </w:r>
          <w:r>
            <w:rPr>
              <w:rFonts w:ascii="Times New Roman" w:hAnsi="Times New Roman" w:eastAsia="Times New Roman" w:cs="Times New Roman"/>
              <w:spacing w:val="-3"/>
              <w:sz w:val="22"/>
              <w:szCs w:val="22"/>
            </w:rPr>
            <w:t>327</w:t>
          </w:r>
          <w:r>
            <w:rPr>
              <w:rFonts w:ascii="Times New Roman" w:hAnsi="Times New Roman" w:eastAsia="Times New Roman" w:cs="Times New Roman"/>
              <w:spacing w:val="-3"/>
              <w:sz w:val="22"/>
              <w:szCs w:val="22"/>
            </w:rPr>
            <w:fldChar w:fldCharType="end"/>
          </w:r>
        </w:p>
        <w:p w14:paraId="26790159">
          <w:pPr>
            <w:pStyle w:val="2"/>
            <w:tabs>
              <w:tab w:val="right" w:leader="dot" w:pos="9087"/>
            </w:tabs>
            <w:spacing w:before="117" w:line="221" w:lineRule="auto"/>
            <w:ind w:left="1956"/>
            <w:rPr>
              <w:rFonts w:ascii="Times New Roman" w:hAnsi="Times New Roman" w:eastAsia="Times New Roman" w:cs="Times New Roman"/>
              <w:sz w:val="22"/>
              <w:szCs w:val="22"/>
            </w:rPr>
          </w:pPr>
          <w:r>
            <w:fldChar w:fldCharType="begin"/>
          </w:r>
          <w:r>
            <w:instrText xml:space="preserve"> HYPERLINK \l "bookmark388" </w:instrText>
          </w:r>
          <w:r>
            <w:fldChar w:fldCharType="separate"/>
          </w:r>
          <w:r>
            <w:rPr>
              <w:spacing w:val="-8"/>
              <w:sz w:val="22"/>
              <w:szCs w:val="22"/>
            </w:rPr>
            <w:t>二</w:t>
          </w:r>
          <w:r>
            <w:rPr>
              <w:spacing w:val="-46"/>
              <w:sz w:val="22"/>
              <w:szCs w:val="22"/>
            </w:rPr>
            <w:t xml:space="preserve"> </w:t>
          </w:r>
          <w:r>
            <w:rPr>
              <w:spacing w:val="-8"/>
              <w:sz w:val="22"/>
              <w:szCs w:val="22"/>
            </w:rPr>
            <w:t>、流行过程</w:t>
          </w:r>
          <w:r>
            <w:rPr>
              <w:spacing w:val="-88"/>
              <w:sz w:val="22"/>
              <w:szCs w:val="22"/>
            </w:rPr>
            <w:t xml:space="preserve"> </w:t>
          </w:r>
          <w:r>
            <w:rPr>
              <w:sz w:val="22"/>
              <w:szCs w:val="22"/>
            </w:rPr>
            <w:tab/>
          </w:r>
          <w:r>
            <w:rPr>
              <w:rFonts w:ascii="Times New Roman" w:hAnsi="Times New Roman" w:eastAsia="Times New Roman" w:cs="Times New Roman"/>
              <w:spacing w:val="-1"/>
              <w:sz w:val="22"/>
              <w:szCs w:val="22"/>
            </w:rPr>
            <w:t>327</w:t>
          </w:r>
          <w:r>
            <w:rPr>
              <w:rFonts w:ascii="Times New Roman" w:hAnsi="Times New Roman" w:eastAsia="Times New Roman" w:cs="Times New Roman"/>
              <w:spacing w:val="-1"/>
              <w:sz w:val="22"/>
              <w:szCs w:val="22"/>
            </w:rPr>
            <w:fldChar w:fldCharType="end"/>
          </w:r>
        </w:p>
        <w:p w14:paraId="4B9395F7">
          <w:pPr>
            <w:pStyle w:val="2"/>
            <w:tabs>
              <w:tab w:val="right" w:leader="dot" w:pos="9157"/>
            </w:tabs>
            <w:spacing w:before="107" w:line="221" w:lineRule="auto"/>
            <w:ind w:left="1956"/>
            <w:rPr>
              <w:rFonts w:ascii="Times New Roman" w:hAnsi="Times New Roman" w:eastAsia="Times New Roman" w:cs="Times New Roman"/>
              <w:sz w:val="22"/>
              <w:szCs w:val="22"/>
            </w:rPr>
          </w:pPr>
          <w:r>
            <w:fldChar w:fldCharType="begin"/>
          </w:r>
          <w:r>
            <w:instrText xml:space="preserve"> HYPERLINK \l "bookmark389" </w:instrText>
          </w:r>
          <w:r>
            <w:fldChar w:fldCharType="separate"/>
          </w:r>
          <w:r>
            <w:rPr>
              <w:spacing w:val="-6"/>
              <w:sz w:val="22"/>
              <w:szCs w:val="22"/>
            </w:rPr>
            <w:t>三</w:t>
          </w:r>
          <w:r>
            <w:rPr>
              <w:spacing w:val="-47"/>
              <w:sz w:val="22"/>
              <w:szCs w:val="22"/>
            </w:rPr>
            <w:t xml:space="preserve"> </w:t>
          </w:r>
          <w:r>
            <w:rPr>
              <w:spacing w:val="-6"/>
              <w:sz w:val="22"/>
              <w:szCs w:val="22"/>
            </w:rPr>
            <w:t>、预防策略与措施</w:t>
          </w:r>
          <w:r>
            <w:rPr>
              <w:spacing w:val="-90"/>
              <w:sz w:val="22"/>
              <w:szCs w:val="22"/>
            </w:rPr>
            <w:t xml:space="preserve"> </w:t>
          </w:r>
          <w:r>
            <w:rPr>
              <w:sz w:val="22"/>
              <w:szCs w:val="22"/>
            </w:rPr>
            <w:tab/>
          </w:r>
          <w:r>
            <w:rPr>
              <w:spacing w:val="-54"/>
              <w:sz w:val="22"/>
              <w:szCs w:val="22"/>
            </w:rPr>
            <w:t xml:space="preserve"> </w:t>
          </w:r>
          <w:r>
            <w:rPr>
              <w:rFonts w:ascii="Times New Roman" w:hAnsi="Times New Roman" w:eastAsia="Times New Roman" w:cs="Times New Roman"/>
              <w:spacing w:val="-3"/>
              <w:sz w:val="22"/>
              <w:szCs w:val="22"/>
            </w:rPr>
            <w:t>328</w:t>
          </w:r>
          <w:r>
            <w:rPr>
              <w:rFonts w:ascii="Times New Roman" w:hAnsi="Times New Roman" w:eastAsia="Times New Roman" w:cs="Times New Roman"/>
              <w:spacing w:val="-3"/>
              <w:sz w:val="22"/>
              <w:szCs w:val="22"/>
            </w:rPr>
            <w:fldChar w:fldCharType="end"/>
          </w:r>
        </w:p>
        <w:p w14:paraId="02393882">
          <w:pPr>
            <w:spacing w:line="379" w:lineRule="auto"/>
            <w:rPr>
              <w:rFonts w:ascii="Arial"/>
              <w:sz w:val="21"/>
            </w:rPr>
          </w:pPr>
        </w:p>
        <w:p w14:paraId="6B34EFCE">
          <w:pPr>
            <w:pStyle w:val="2"/>
            <w:tabs>
              <w:tab w:val="right" w:leader="dot" w:pos="8972"/>
            </w:tabs>
            <w:spacing w:before="72" w:line="221" w:lineRule="auto"/>
            <w:rPr>
              <w:rFonts w:ascii="Times New Roman" w:hAnsi="Times New Roman" w:eastAsia="Times New Roman" w:cs="Times New Roman"/>
              <w:sz w:val="22"/>
              <w:szCs w:val="22"/>
            </w:rPr>
          </w:pPr>
          <w:r>
            <w:fldChar w:fldCharType="begin"/>
          </w:r>
          <w:r>
            <w:instrText xml:space="preserve"> HYPERLINK \l "bookmark390" </w:instrText>
          </w:r>
          <w:r>
            <w:fldChar w:fldCharType="separate"/>
          </w:r>
          <w:r>
            <w:rPr>
              <w:b/>
              <w:bCs/>
              <w:spacing w:val="15"/>
              <w:sz w:val="22"/>
              <w:szCs w:val="22"/>
            </w:rPr>
            <w:t>第二十四章</w:t>
          </w:r>
          <w:r>
            <w:rPr>
              <w:spacing w:val="105"/>
              <w:sz w:val="22"/>
              <w:szCs w:val="22"/>
            </w:rPr>
            <w:t xml:space="preserve"> </w:t>
          </w:r>
          <w:r>
            <w:rPr>
              <w:b/>
              <w:bCs/>
              <w:spacing w:val="15"/>
              <w:sz w:val="22"/>
              <w:szCs w:val="22"/>
            </w:rPr>
            <w:t>地</w:t>
          </w:r>
          <w:r>
            <w:rPr>
              <w:spacing w:val="15"/>
              <w:sz w:val="22"/>
              <w:szCs w:val="22"/>
            </w:rPr>
            <w:t xml:space="preserve"> </w:t>
          </w:r>
          <w:r>
            <w:rPr>
              <w:b/>
              <w:bCs/>
              <w:spacing w:val="15"/>
              <w:sz w:val="22"/>
              <w:szCs w:val="22"/>
            </w:rPr>
            <w:t>方</w:t>
          </w:r>
          <w:r>
            <w:rPr>
              <w:spacing w:val="-4"/>
              <w:sz w:val="22"/>
              <w:szCs w:val="22"/>
            </w:rPr>
            <w:t xml:space="preserve"> </w:t>
          </w:r>
          <w:r>
            <w:rPr>
              <w:b/>
              <w:bCs/>
              <w:spacing w:val="15"/>
              <w:sz w:val="22"/>
              <w:szCs w:val="22"/>
            </w:rPr>
            <w:t>病</w:t>
          </w:r>
          <w:r>
            <w:rPr>
              <w:spacing w:val="-89"/>
              <w:sz w:val="22"/>
              <w:szCs w:val="22"/>
            </w:rPr>
            <w:t xml:space="preserve"> </w:t>
          </w:r>
          <w:r>
            <w:rPr>
              <w:sz w:val="22"/>
              <w:szCs w:val="22"/>
            </w:rPr>
            <w:tab/>
          </w:r>
          <w:r>
            <w:rPr>
              <w:rFonts w:ascii="Times New Roman" w:hAnsi="Times New Roman" w:eastAsia="Times New Roman" w:cs="Times New Roman"/>
              <w:b/>
              <w:bCs/>
              <w:sz w:val="22"/>
              <w:szCs w:val="22"/>
            </w:rPr>
            <w:t>329</w:t>
          </w:r>
          <w:r>
            <w:rPr>
              <w:rFonts w:ascii="Times New Roman" w:hAnsi="Times New Roman" w:eastAsia="Times New Roman" w:cs="Times New Roman"/>
              <w:b/>
              <w:bCs/>
              <w:sz w:val="22"/>
              <w:szCs w:val="22"/>
            </w:rPr>
            <w:fldChar w:fldCharType="end"/>
          </w:r>
        </w:p>
        <w:p w14:paraId="320FCF98">
          <w:pPr>
            <w:pStyle w:val="2"/>
            <w:tabs>
              <w:tab w:val="right" w:leader="dot" w:pos="9137"/>
            </w:tabs>
            <w:spacing w:before="150" w:line="221" w:lineRule="auto"/>
            <w:ind w:left="1536"/>
            <w:rPr>
              <w:rFonts w:ascii="Times New Roman" w:hAnsi="Times New Roman" w:eastAsia="Times New Roman" w:cs="Times New Roman"/>
              <w:sz w:val="22"/>
              <w:szCs w:val="22"/>
            </w:rPr>
          </w:pPr>
          <w:r>
            <w:fldChar w:fldCharType="begin"/>
          </w:r>
          <w:r>
            <w:instrText xml:space="preserve"> HYPERLINK \l "bookmark391" </w:instrText>
          </w:r>
          <w:r>
            <w:fldChar w:fldCharType="separate"/>
          </w:r>
          <w:r>
            <w:rPr>
              <w:sz w:val="22"/>
              <w:szCs w:val="22"/>
            </w:rPr>
            <w:t>第一节</w:t>
          </w:r>
          <w:r>
            <w:rPr>
              <w:spacing w:val="56"/>
              <w:sz w:val="22"/>
              <w:szCs w:val="22"/>
            </w:rPr>
            <w:t xml:space="preserve"> </w:t>
          </w:r>
          <w:r>
            <w:rPr>
              <w:sz w:val="22"/>
              <w:szCs w:val="22"/>
            </w:rPr>
            <w:t>概</w:t>
          </w:r>
          <w:r>
            <w:rPr>
              <w:spacing w:val="-40"/>
              <w:sz w:val="22"/>
              <w:szCs w:val="22"/>
            </w:rPr>
            <w:t xml:space="preserve"> </w:t>
          </w:r>
          <w:r>
            <w:rPr>
              <w:sz w:val="22"/>
              <w:szCs w:val="22"/>
            </w:rPr>
            <w:t>述</w:t>
          </w:r>
          <w:r>
            <w:rPr>
              <w:spacing w:val="-88"/>
              <w:sz w:val="22"/>
              <w:szCs w:val="22"/>
            </w:rPr>
            <w:t xml:space="preserve"> </w:t>
          </w:r>
          <w:r>
            <w:rPr>
              <w:sz w:val="22"/>
              <w:szCs w:val="22"/>
            </w:rPr>
            <w:tab/>
          </w:r>
          <w:r>
            <w:rPr>
              <w:rFonts w:ascii="Times New Roman" w:hAnsi="Times New Roman" w:eastAsia="Times New Roman" w:cs="Times New Roman"/>
              <w:spacing w:val="-1"/>
              <w:sz w:val="22"/>
              <w:szCs w:val="22"/>
            </w:rPr>
            <w:t>329</w:t>
          </w:r>
          <w:r>
            <w:rPr>
              <w:rFonts w:ascii="Times New Roman" w:hAnsi="Times New Roman" w:eastAsia="Times New Roman" w:cs="Times New Roman"/>
              <w:spacing w:val="-1"/>
              <w:sz w:val="22"/>
              <w:szCs w:val="22"/>
            </w:rPr>
            <w:fldChar w:fldCharType="end"/>
          </w:r>
        </w:p>
        <w:p w14:paraId="3C598235">
          <w:pPr>
            <w:pStyle w:val="2"/>
            <w:tabs>
              <w:tab w:val="right" w:leader="dot" w:pos="9087"/>
            </w:tabs>
            <w:spacing w:before="116" w:line="221" w:lineRule="auto"/>
            <w:ind w:left="1956"/>
            <w:rPr>
              <w:rFonts w:ascii="Times New Roman" w:hAnsi="Times New Roman" w:eastAsia="Times New Roman" w:cs="Times New Roman"/>
              <w:sz w:val="22"/>
              <w:szCs w:val="22"/>
            </w:rPr>
          </w:pPr>
          <w:r>
            <w:fldChar w:fldCharType="begin"/>
          </w:r>
          <w:r>
            <w:instrText xml:space="preserve"> HYPERLINK \l "bookmark392" </w:instrText>
          </w:r>
          <w:r>
            <w:fldChar w:fldCharType="separate"/>
          </w:r>
          <w:r>
            <w:rPr>
              <w:spacing w:val="-5"/>
              <w:sz w:val="22"/>
              <w:szCs w:val="22"/>
            </w:rPr>
            <w:t>一</w:t>
          </w:r>
          <w:r>
            <w:rPr>
              <w:spacing w:val="-44"/>
              <w:sz w:val="22"/>
              <w:szCs w:val="22"/>
            </w:rPr>
            <w:t xml:space="preserve"> </w:t>
          </w:r>
          <w:r>
            <w:rPr>
              <w:spacing w:val="-5"/>
              <w:sz w:val="22"/>
              <w:szCs w:val="22"/>
            </w:rPr>
            <w:t>、地方病的判断依据及分类</w:t>
          </w:r>
          <w:r>
            <w:rPr>
              <w:spacing w:val="-92"/>
              <w:sz w:val="22"/>
              <w:szCs w:val="22"/>
            </w:rPr>
            <w:t xml:space="preserve"> </w:t>
          </w:r>
          <w:r>
            <w:rPr>
              <w:sz w:val="22"/>
              <w:szCs w:val="22"/>
            </w:rPr>
            <w:tab/>
          </w:r>
          <w:r>
            <w:rPr>
              <w:rFonts w:ascii="Times New Roman" w:hAnsi="Times New Roman" w:eastAsia="Times New Roman" w:cs="Times New Roman"/>
              <w:spacing w:val="-4"/>
              <w:sz w:val="22"/>
              <w:szCs w:val="22"/>
            </w:rPr>
            <w:t>329</w:t>
          </w:r>
          <w:r>
            <w:rPr>
              <w:rFonts w:ascii="Times New Roman" w:hAnsi="Times New Roman" w:eastAsia="Times New Roman" w:cs="Times New Roman"/>
              <w:spacing w:val="-4"/>
              <w:sz w:val="22"/>
              <w:szCs w:val="22"/>
            </w:rPr>
            <w:fldChar w:fldCharType="end"/>
          </w:r>
        </w:p>
        <w:p w14:paraId="72C33CE5">
          <w:pPr>
            <w:pStyle w:val="2"/>
            <w:tabs>
              <w:tab w:val="right" w:leader="dot" w:pos="9087"/>
            </w:tabs>
            <w:spacing w:before="117" w:line="221" w:lineRule="auto"/>
            <w:ind w:left="1956"/>
            <w:rPr>
              <w:rFonts w:ascii="Times New Roman" w:hAnsi="Times New Roman" w:eastAsia="Times New Roman" w:cs="Times New Roman"/>
              <w:sz w:val="22"/>
              <w:szCs w:val="22"/>
            </w:rPr>
          </w:pPr>
          <w:r>
            <w:fldChar w:fldCharType="begin"/>
          </w:r>
          <w:r>
            <w:instrText xml:space="preserve"> HYPERLINK \l "bookmark393" </w:instrText>
          </w:r>
          <w:r>
            <w:fldChar w:fldCharType="separate"/>
          </w:r>
          <w:r>
            <w:rPr>
              <w:spacing w:val="-5"/>
              <w:sz w:val="22"/>
              <w:szCs w:val="22"/>
            </w:rPr>
            <w:t>二</w:t>
          </w:r>
          <w:r>
            <w:rPr>
              <w:spacing w:val="-39"/>
              <w:sz w:val="22"/>
              <w:szCs w:val="22"/>
            </w:rPr>
            <w:t xml:space="preserve"> </w:t>
          </w:r>
          <w:r>
            <w:rPr>
              <w:spacing w:val="-5"/>
              <w:sz w:val="22"/>
              <w:szCs w:val="22"/>
            </w:rPr>
            <w:t>、我国几种主要的地方病</w:t>
          </w:r>
          <w:r>
            <w:rPr>
              <w:spacing w:val="-92"/>
              <w:sz w:val="22"/>
              <w:szCs w:val="22"/>
            </w:rPr>
            <w:t xml:space="preserve"> </w:t>
          </w:r>
          <w:r>
            <w:rPr>
              <w:sz w:val="22"/>
              <w:szCs w:val="22"/>
            </w:rPr>
            <w:tab/>
          </w:r>
          <w:r>
            <w:rPr>
              <w:rFonts w:ascii="Times New Roman" w:hAnsi="Times New Roman" w:eastAsia="Times New Roman" w:cs="Times New Roman"/>
              <w:spacing w:val="-1"/>
              <w:sz w:val="22"/>
              <w:szCs w:val="22"/>
            </w:rPr>
            <w:t>329</w:t>
          </w:r>
          <w:r>
            <w:rPr>
              <w:rFonts w:ascii="Times New Roman" w:hAnsi="Times New Roman" w:eastAsia="Times New Roman" w:cs="Times New Roman"/>
              <w:spacing w:val="-1"/>
              <w:sz w:val="22"/>
              <w:szCs w:val="22"/>
            </w:rPr>
            <w:fldChar w:fldCharType="end"/>
          </w:r>
        </w:p>
        <w:p w14:paraId="46526885">
          <w:pPr>
            <w:pStyle w:val="2"/>
            <w:tabs>
              <w:tab w:val="right" w:leader="dot" w:pos="9097"/>
            </w:tabs>
            <w:spacing w:before="107" w:line="221" w:lineRule="auto"/>
            <w:ind w:left="1536"/>
            <w:rPr>
              <w:rFonts w:ascii="Times New Roman" w:hAnsi="Times New Roman" w:eastAsia="Times New Roman" w:cs="Times New Roman"/>
              <w:sz w:val="22"/>
              <w:szCs w:val="22"/>
            </w:rPr>
          </w:pPr>
          <w:r>
            <w:fldChar w:fldCharType="begin"/>
          </w:r>
          <w:r>
            <w:instrText xml:space="preserve"> HYPERLINK \l "bookmark394" </w:instrText>
          </w:r>
          <w:r>
            <w:fldChar w:fldCharType="separate"/>
          </w:r>
          <w:r>
            <w:rPr>
              <w:spacing w:val="15"/>
              <w:sz w:val="22"/>
              <w:szCs w:val="22"/>
            </w:rPr>
            <w:t>第二节</w:t>
          </w:r>
          <w:r>
            <w:rPr>
              <w:spacing w:val="25"/>
              <w:sz w:val="22"/>
              <w:szCs w:val="22"/>
            </w:rPr>
            <w:t xml:space="preserve"> </w:t>
          </w:r>
          <w:r>
            <w:rPr>
              <w:spacing w:val="15"/>
              <w:sz w:val="22"/>
              <w:szCs w:val="22"/>
            </w:rPr>
            <w:t>碘缺乏病</w:t>
          </w:r>
          <w:r>
            <w:rPr>
              <w:spacing w:val="-102"/>
              <w:sz w:val="22"/>
              <w:szCs w:val="22"/>
            </w:rPr>
            <w:t xml:space="preserve"> </w:t>
          </w:r>
          <w:r>
            <w:rPr>
              <w:sz w:val="22"/>
              <w:szCs w:val="22"/>
            </w:rPr>
            <w:tab/>
          </w:r>
          <w:r>
            <w:rPr>
              <w:rFonts w:ascii="Times New Roman" w:hAnsi="Times New Roman" w:eastAsia="Times New Roman" w:cs="Times New Roman"/>
              <w:spacing w:val="-1"/>
              <w:sz w:val="22"/>
              <w:szCs w:val="22"/>
            </w:rPr>
            <w:t>331</w:t>
          </w:r>
          <w:r>
            <w:rPr>
              <w:rFonts w:ascii="Times New Roman" w:hAnsi="Times New Roman" w:eastAsia="Times New Roman" w:cs="Times New Roman"/>
              <w:spacing w:val="-1"/>
              <w:sz w:val="22"/>
              <w:szCs w:val="22"/>
            </w:rPr>
            <w:fldChar w:fldCharType="end"/>
          </w:r>
        </w:p>
        <w:p w14:paraId="200030C6">
          <w:pPr>
            <w:pStyle w:val="2"/>
            <w:tabs>
              <w:tab w:val="right" w:leader="dot" w:pos="9107"/>
            </w:tabs>
            <w:spacing w:before="126" w:line="221" w:lineRule="auto"/>
            <w:ind w:left="1956"/>
            <w:rPr>
              <w:rFonts w:ascii="Times New Roman" w:hAnsi="Times New Roman" w:eastAsia="Times New Roman" w:cs="Times New Roman"/>
              <w:sz w:val="22"/>
              <w:szCs w:val="22"/>
            </w:rPr>
          </w:pPr>
          <w:r>
            <w:fldChar w:fldCharType="begin"/>
          </w:r>
          <w:r>
            <w:instrText xml:space="preserve"> HYPERLINK \l "bookmark395" </w:instrText>
          </w:r>
          <w:r>
            <w:fldChar w:fldCharType="separate"/>
          </w:r>
          <w:r>
            <w:rPr>
              <w:spacing w:val="-8"/>
              <w:sz w:val="22"/>
              <w:szCs w:val="22"/>
            </w:rPr>
            <w:t>一</w:t>
          </w:r>
          <w:r>
            <w:rPr>
              <w:spacing w:val="-45"/>
              <w:sz w:val="22"/>
              <w:szCs w:val="22"/>
            </w:rPr>
            <w:t xml:space="preserve"> </w:t>
          </w:r>
          <w:r>
            <w:rPr>
              <w:spacing w:val="-8"/>
              <w:sz w:val="22"/>
              <w:szCs w:val="22"/>
            </w:rPr>
            <w:t>、病因学</w:t>
          </w:r>
          <w:r>
            <w:rPr>
              <w:spacing w:val="-96"/>
              <w:sz w:val="22"/>
              <w:szCs w:val="22"/>
            </w:rPr>
            <w:t xml:space="preserve"> </w:t>
          </w:r>
          <w:r>
            <w:rPr>
              <w:sz w:val="22"/>
              <w:szCs w:val="22"/>
            </w:rPr>
            <w:tab/>
          </w:r>
          <w:r>
            <w:rPr>
              <w:rFonts w:ascii="Times New Roman" w:hAnsi="Times New Roman" w:eastAsia="Times New Roman" w:cs="Times New Roman"/>
              <w:spacing w:val="-4"/>
              <w:sz w:val="22"/>
              <w:szCs w:val="22"/>
            </w:rPr>
            <w:t>331</w:t>
          </w:r>
          <w:r>
            <w:rPr>
              <w:rFonts w:ascii="Times New Roman" w:hAnsi="Times New Roman" w:eastAsia="Times New Roman" w:cs="Times New Roman"/>
              <w:spacing w:val="-4"/>
              <w:sz w:val="22"/>
              <w:szCs w:val="22"/>
            </w:rPr>
            <w:fldChar w:fldCharType="end"/>
          </w:r>
        </w:p>
      </w:sdtContent>
    </w:sdt>
    <w:p w14:paraId="1D9BFDBF">
      <w:pPr>
        <w:spacing w:line="221" w:lineRule="auto"/>
        <w:rPr>
          <w:rFonts w:ascii="Times New Roman" w:hAnsi="Times New Roman" w:eastAsia="Times New Roman" w:cs="Times New Roman"/>
          <w:sz w:val="22"/>
          <w:szCs w:val="22"/>
        </w:rPr>
        <w:sectPr>
          <w:footerReference r:id="rId29" w:type="default"/>
          <w:pgSz w:w="11900" w:h="16820"/>
          <w:pgMar w:top="400" w:right="724" w:bottom="883" w:left="1293" w:header="0" w:footer="684" w:gutter="0"/>
          <w:cols w:space="720" w:num="1"/>
        </w:sectPr>
      </w:pPr>
    </w:p>
    <w:sdt>
      <w:sdtPr>
        <w:rPr>
          <w:rFonts w:ascii="Arial" w:hAnsi="Arial" w:eastAsia="Arial" w:cs="Arial"/>
          <w:sz w:val="21"/>
          <w:szCs w:val="21"/>
        </w:rPr>
        <w:id w:val="172019875"/>
        <w:docPartObj>
          <w:docPartGallery w:val="Table of Contents"/>
          <w:docPartUnique/>
        </w:docPartObj>
      </w:sdtPr>
      <w:sdtEndPr>
        <w:rPr>
          <w:rFonts w:ascii="Times New Roman" w:hAnsi="Times New Roman" w:eastAsia="Times New Roman" w:cs="Times New Roman"/>
          <w:sz w:val="22"/>
          <w:szCs w:val="22"/>
        </w:rPr>
      </w:sdtEndPr>
      <w:sdtContent>
        <w:p w14:paraId="43FD70CD">
          <w:pPr>
            <w:pStyle w:val="2"/>
            <w:spacing w:before="293" w:line="222" w:lineRule="auto"/>
            <w:ind w:left="842"/>
            <w:rPr>
              <w:sz w:val="16"/>
              <w:szCs w:val="16"/>
            </w:rPr>
          </w:pPr>
          <w:r>
            <w:rPr>
              <w:b/>
              <w:bCs/>
              <w:sz w:val="16"/>
              <w:szCs w:val="16"/>
            </w:rPr>
            <w:t>目录</w:t>
          </w:r>
        </w:p>
        <w:p w14:paraId="6A853BD3">
          <w:pPr>
            <w:spacing w:line="288" w:lineRule="auto"/>
            <w:rPr>
              <w:rFonts w:ascii="Arial"/>
              <w:sz w:val="21"/>
            </w:rPr>
          </w:pPr>
        </w:p>
        <w:p w14:paraId="6D03734B">
          <w:pPr>
            <w:spacing w:line="288" w:lineRule="auto"/>
            <w:rPr>
              <w:rFonts w:ascii="Arial"/>
              <w:sz w:val="21"/>
            </w:rPr>
          </w:pPr>
        </w:p>
        <w:p w14:paraId="35038823">
          <w:pPr>
            <w:pStyle w:val="2"/>
            <w:tabs>
              <w:tab w:val="right" w:leader="dot" w:pos="9810"/>
            </w:tabs>
            <w:spacing w:before="71" w:line="221" w:lineRule="auto"/>
            <w:ind w:left="2689"/>
            <w:rPr>
              <w:rFonts w:ascii="Times New Roman" w:hAnsi="Times New Roman" w:eastAsia="Times New Roman" w:cs="Times New Roman"/>
              <w:sz w:val="22"/>
              <w:szCs w:val="22"/>
            </w:rPr>
          </w:pPr>
          <w:r>
            <w:fldChar w:fldCharType="begin"/>
          </w:r>
          <w:r>
            <w:instrText xml:space="preserve"> HYPERLINK \l "bookmark396" </w:instrText>
          </w:r>
          <w:r>
            <w:fldChar w:fldCharType="separate"/>
          </w:r>
          <w:r>
            <w:rPr>
              <w:spacing w:val="-14"/>
              <w:sz w:val="22"/>
              <w:szCs w:val="22"/>
            </w:rPr>
            <w:t>二</w:t>
          </w:r>
          <w:r>
            <w:rPr>
              <w:spacing w:val="-48"/>
              <w:sz w:val="22"/>
              <w:szCs w:val="22"/>
            </w:rPr>
            <w:t xml:space="preserve"> </w:t>
          </w:r>
          <w:r>
            <w:rPr>
              <w:spacing w:val="-14"/>
              <w:sz w:val="22"/>
              <w:szCs w:val="22"/>
            </w:rPr>
            <w:t>、流行特征</w:t>
          </w:r>
          <w:r>
            <w:rPr>
              <w:spacing w:val="-90"/>
              <w:sz w:val="22"/>
              <w:szCs w:val="22"/>
            </w:rPr>
            <w:t xml:space="preserve"> </w:t>
          </w:r>
          <w:r>
            <w:rPr>
              <w:sz w:val="22"/>
              <w:szCs w:val="22"/>
            </w:rPr>
            <w:tab/>
          </w:r>
          <w:r>
            <w:rPr>
              <w:rFonts w:ascii="Times New Roman" w:hAnsi="Times New Roman" w:eastAsia="Times New Roman" w:cs="Times New Roman"/>
              <w:spacing w:val="-1"/>
              <w:sz w:val="22"/>
              <w:szCs w:val="22"/>
            </w:rPr>
            <w:t>331</w:t>
          </w:r>
          <w:r>
            <w:rPr>
              <w:rFonts w:ascii="Times New Roman" w:hAnsi="Times New Roman" w:eastAsia="Times New Roman" w:cs="Times New Roman"/>
              <w:spacing w:val="-1"/>
              <w:sz w:val="22"/>
              <w:szCs w:val="22"/>
            </w:rPr>
            <w:fldChar w:fldCharType="end"/>
          </w:r>
        </w:p>
        <w:p w14:paraId="50F59109">
          <w:pPr>
            <w:pStyle w:val="2"/>
            <w:tabs>
              <w:tab w:val="right" w:leader="dot" w:pos="9780"/>
            </w:tabs>
            <w:spacing w:before="106" w:line="221" w:lineRule="auto"/>
            <w:ind w:left="2689"/>
            <w:rPr>
              <w:rFonts w:ascii="Times New Roman" w:hAnsi="Times New Roman" w:eastAsia="Times New Roman" w:cs="Times New Roman"/>
              <w:sz w:val="22"/>
              <w:szCs w:val="22"/>
            </w:rPr>
          </w:pPr>
          <w:r>
            <w:fldChar w:fldCharType="begin"/>
          </w:r>
          <w:r>
            <w:instrText xml:space="preserve"> HYPERLINK \l "bookmark397" </w:instrText>
          </w:r>
          <w:r>
            <w:fldChar w:fldCharType="separate"/>
          </w:r>
          <w:r>
            <w:rPr>
              <w:spacing w:val="-13"/>
              <w:sz w:val="22"/>
              <w:szCs w:val="22"/>
            </w:rPr>
            <w:t>三</w:t>
          </w:r>
          <w:r>
            <w:rPr>
              <w:spacing w:val="-46"/>
              <w:sz w:val="22"/>
              <w:szCs w:val="22"/>
            </w:rPr>
            <w:t xml:space="preserve"> </w:t>
          </w:r>
          <w:r>
            <w:rPr>
              <w:spacing w:val="-13"/>
              <w:sz w:val="22"/>
              <w:szCs w:val="22"/>
            </w:rPr>
            <w:t>、疾病防制</w:t>
          </w:r>
          <w:r>
            <w:rPr>
              <w:spacing w:val="-98"/>
              <w:sz w:val="22"/>
              <w:szCs w:val="22"/>
            </w:rPr>
            <w:t xml:space="preserve"> </w:t>
          </w:r>
          <w:r>
            <w:rPr>
              <w:sz w:val="22"/>
              <w:szCs w:val="22"/>
            </w:rPr>
            <w:tab/>
          </w:r>
          <w:r>
            <w:rPr>
              <w:rFonts w:ascii="Times New Roman" w:hAnsi="Times New Roman" w:eastAsia="Times New Roman" w:cs="Times New Roman"/>
              <w:spacing w:val="-1"/>
              <w:sz w:val="22"/>
              <w:szCs w:val="22"/>
            </w:rPr>
            <w:t>332</w:t>
          </w:r>
          <w:r>
            <w:rPr>
              <w:rFonts w:ascii="Times New Roman" w:hAnsi="Times New Roman" w:eastAsia="Times New Roman" w:cs="Times New Roman"/>
              <w:spacing w:val="-1"/>
              <w:sz w:val="22"/>
              <w:szCs w:val="22"/>
            </w:rPr>
            <w:fldChar w:fldCharType="end"/>
          </w:r>
        </w:p>
        <w:p w14:paraId="2033D801">
          <w:pPr>
            <w:pStyle w:val="2"/>
            <w:tabs>
              <w:tab w:val="right" w:leader="dot" w:pos="9785"/>
            </w:tabs>
            <w:spacing w:before="113" w:line="221" w:lineRule="auto"/>
            <w:ind w:left="2273"/>
            <w:rPr>
              <w:rFonts w:ascii="Times New Roman" w:hAnsi="Times New Roman" w:eastAsia="Times New Roman" w:cs="Times New Roman"/>
              <w:sz w:val="22"/>
              <w:szCs w:val="22"/>
            </w:rPr>
          </w:pPr>
          <w:r>
            <w:fldChar w:fldCharType="begin"/>
          </w:r>
          <w:r>
            <w:instrText xml:space="preserve"> HYPERLINK \l "bookmark398" </w:instrText>
          </w:r>
          <w:r>
            <w:fldChar w:fldCharType="separate"/>
          </w:r>
          <w:r>
            <w:rPr>
              <w:b/>
              <w:bCs/>
              <w:spacing w:val="-1"/>
              <w:sz w:val="22"/>
              <w:szCs w:val="22"/>
            </w:rPr>
            <w:t>第三节</w:t>
          </w:r>
          <w:r>
            <w:rPr>
              <w:spacing w:val="-1"/>
              <w:sz w:val="22"/>
              <w:szCs w:val="22"/>
            </w:rPr>
            <w:t xml:space="preserve"> </w:t>
          </w:r>
          <w:r>
            <w:rPr>
              <w:b/>
              <w:bCs/>
              <w:spacing w:val="-1"/>
              <w:sz w:val="22"/>
              <w:szCs w:val="22"/>
            </w:rPr>
            <w:t>其他几种主要地方病</w:t>
          </w:r>
          <w:r>
            <w:rPr>
              <w:spacing w:val="-79"/>
              <w:sz w:val="22"/>
              <w:szCs w:val="22"/>
            </w:rPr>
            <w:t xml:space="preserve"> </w:t>
          </w:r>
          <w:r>
            <w:rPr>
              <w:sz w:val="22"/>
              <w:szCs w:val="22"/>
            </w:rPr>
            <w:tab/>
          </w:r>
          <w:r>
            <w:rPr>
              <w:rFonts w:ascii="Times New Roman" w:hAnsi="Times New Roman" w:eastAsia="Times New Roman" w:cs="Times New Roman"/>
              <w:b/>
              <w:bCs/>
              <w:spacing w:val="1"/>
              <w:sz w:val="22"/>
              <w:szCs w:val="22"/>
            </w:rPr>
            <w:t>333</w:t>
          </w:r>
          <w:r>
            <w:rPr>
              <w:rFonts w:ascii="Times New Roman" w:hAnsi="Times New Roman" w:eastAsia="Times New Roman" w:cs="Times New Roman"/>
              <w:b/>
              <w:bCs/>
              <w:spacing w:val="1"/>
              <w:sz w:val="22"/>
              <w:szCs w:val="22"/>
            </w:rPr>
            <w:fldChar w:fldCharType="end"/>
          </w:r>
        </w:p>
        <w:p w14:paraId="1D0A9616">
          <w:pPr>
            <w:pStyle w:val="2"/>
            <w:tabs>
              <w:tab w:val="right" w:leader="dot" w:pos="9785"/>
            </w:tabs>
            <w:spacing w:before="126" w:line="221" w:lineRule="auto"/>
            <w:ind w:left="2693"/>
            <w:rPr>
              <w:rFonts w:ascii="Times New Roman" w:hAnsi="Times New Roman" w:eastAsia="Times New Roman" w:cs="Times New Roman"/>
              <w:sz w:val="22"/>
              <w:szCs w:val="22"/>
            </w:rPr>
          </w:pPr>
          <w:r>
            <w:fldChar w:fldCharType="begin"/>
          </w:r>
          <w:r>
            <w:instrText xml:space="preserve"> HYPERLINK \l "bookmark399" </w:instrText>
          </w:r>
          <w:r>
            <w:fldChar w:fldCharType="separate"/>
          </w:r>
          <w:r>
            <w:rPr>
              <w:b/>
              <w:bCs/>
              <w:spacing w:val="-9"/>
              <w:sz w:val="22"/>
              <w:szCs w:val="22"/>
            </w:rPr>
            <w:t>一、地方性氟中毒</w:t>
          </w:r>
          <w:r>
            <w:rPr>
              <w:spacing w:val="-81"/>
              <w:sz w:val="22"/>
              <w:szCs w:val="22"/>
            </w:rPr>
            <w:t xml:space="preserve"> </w:t>
          </w:r>
          <w:r>
            <w:rPr>
              <w:sz w:val="22"/>
              <w:szCs w:val="22"/>
            </w:rPr>
            <w:tab/>
          </w:r>
          <w:r>
            <w:rPr>
              <w:rFonts w:ascii="Times New Roman" w:hAnsi="Times New Roman" w:eastAsia="Times New Roman" w:cs="Times New Roman"/>
              <w:b/>
              <w:bCs/>
              <w:spacing w:val="2"/>
              <w:sz w:val="22"/>
              <w:szCs w:val="22"/>
            </w:rPr>
            <w:t>333</w:t>
          </w:r>
          <w:r>
            <w:rPr>
              <w:rFonts w:ascii="Times New Roman" w:hAnsi="Times New Roman" w:eastAsia="Times New Roman" w:cs="Times New Roman"/>
              <w:b/>
              <w:bCs/>
              <w:spacing w:val="2"/>
              <w:sz w:val="22"/>
              <w:szCs w:val="22"/>
            </w:rPr>
            <w:fldChar w:fldCharType="end"/>
          </w:r>
        </w:p>
        <w:p w14:paraId="53C9E9ED">
          <w:pPr>
            <w:pStyle w:val="2"/>
            <w:tabs>
              <w:tab w:val="right" w:leader="dot" w:pos="9795"/>
            </w:tabs>
            <w:spacing w:before="127" w:line="221" w:lineRule="auto"/>
            <w:ind w:left="2693"/>
            <w:rPr>
              <w:rFonts w:ascii="Times New Roman" w:hAnsi="Times New Roman" w:eastAsia="Times New Roman" w:cs="Times New Roman"/>
              <w:sz w:val="22"/>
              <w:szCs w:val="22"/>
            </w:rPr>
          </w:pPr>
          <w:r>
            <w:fldChar w:fldCharType="begin"/>
          </w:r>
          <w:r>
            <w:instrText xml:space="preserve"> HYPERLINK \l "bookmark400" </w:instrText>
          </w:r>
          <w:r>
            <w:fldChar w:fldCharType="separate"/>
          </w:r>
          <w:r>
            <w:rPr>
              <w:b/>
              <w:bCs/>
              <w:spacing w:val="-15"/>
              <w:sz w:val="22"/>
              <w:szCs w:val="22"/>
            </w:rPr>
            <w:t>二</w:t>
          </w:r>
          <w:r>
            <w:rPr>
              <w:spacing w:val="-49"/>
              <w:sz w:val="22"/>
              <w:szCs w:val="22"/>
            </w:rPr>
            <w:t xml:space="preserve"> </w:t>
          </w:r>
          <w:r>
            <w:rPr>
              <w:b/>
              <w:bCs/>
              <w:spacing w:val="-15"/>
              <w:sz w:val="22"/>
              <w:szCs w:val="22"/>
            </w:rPr>
            <w:t>、地方性砷中毒</w:t>
          </w:r>
          <w:r>
            <w:rPr>
              <w:b/>
              <w:bCs/>
              <w:sz w:val="22"/>
              <w:szCs w:val="22"/>
            </w:rPr>
            <w:tab/>
          </w:r>
          <w:r>
            <w:rPr>
              <w:rFonts w:ascii="Times New Roman" w:hAnsi="Times New Roman" w:eastAsia="Times New Roman" w:cs="Times New Roman"/>
              <w:b/>
              <w:bCs/>
              <w:spacing w:val="1"/>
              <w:sz w:val="22"/>
              <w:szCs w:val="22"/>
            </w:rPr>
            <w:t>334</w:t>
          </w:r>
          <w:r>
            <w:rPr>
              <w:rFonts w:ascii="Times New Roman" w:hAnsi="Times New Roman" w:eastAsia="Times New Roman" w:cs="Times New Roman"/>
              <w:b/>
              <w:bCs/>
              <w:spacing w:val="1"/>
              <w:sz w:val="22"/>
              <w:szCs w:val="22"/>
            </w:rPr>
            <w:fldChar w:fldCharType="end"/>
          </w:r>
        </w:p>
        <w:p w14:paraId="1BE3B83E">
          <w:pPr>
            <w:pStyle w:val="2"/>
            <w:tabs>
              <w:tab w:val="right" w:leader="dot" w:pos="9850"/>
            </w:tabs>
            <w:spacing w:before="122" w:line="222" w:lineRule="auto"/>
            <w:ind w:left="2689"/>
            <w:rPr>
              <w:rFonts w:ascii="Times New Roman" w:hAnsi="Times New Roman" w:eastAsia="Times New Roman" w:cs="Times New Roman"/>
              <w:sz w:val="22"/>
              <w:szCs w:val="22"/>
            </w:rPr>
          </w:pPr>
          <w:r>
            <w:fldChar w:fldCharType="begin"/>
          </w:r>
          <w:r>
            <w:instrText xml:space="preserve"> HYPERLINK \l "bookmark401" </w:instrText>
          </w:r>
          <w:r>
            <w:fldChar w:fldCharType="separate"/>
          </w:r>
          <w:r>
            <w:rPr>
              <w:spacing w:val="-6"/>
              <w:sz w:val="22"/>
              <w:szCs w:val="22"/>
            </w:rPr>
            <w:t>三、克山病</w:t>
          </w:r>
          <w:r>
            <w:rPr>
              <w:spacing w:val="-91"/>
              <w:sz w:val="22"/>
              <w:szCs w:val="22"/>
            </w:rPr>
            <w:t xml:space="preserve"> </w:t>
          </w:r>
          <w:r>
            <w:rPr>
              <w:sz w:val="22"/>
              <w:szCs w:val="22"/>
            </w:rPr>
            <w:tab/>
          </w:r>
          <w:r>
            <w:rPr>
              <w:spacing w:val="-54"/>
              <w:sz w:val="22"/>
              <w:szCs w:val="22"/>
            </w:rPr>
            <w:t xml:space="preserve"> </w:t>
          </w:r>
          <w:r>
            <w:rPr>
              <w:rFonts w:ascii="Times New Roman" w:hAnsi="Times New Roman" w:eastAsia="Times New Roman" w:cs="Times New Roman"/>
              <w:spacing w:val="-4"/>
              <w:sz w:val="22"/>
              <w:szCs w:val="22"/>
            </w:rPr>
            <w:t>335</w:t>
          </w:r>
          <w:r>
            <w:rPr>
              <w:rFonts w:ascii="Times New Roman" w:hAnsi="Times New Roman" w:eastAsia="Times New Roman" w:cs="Times New Roman"/>
              <w:spacing w:val="-4"/>
              <w:sz w:val="22"/>
              <w:szCs w:val="22"/>
            </w:rPr>
            <w:fldChar w:fldCharType="end"/>
          </w:r>
        </w:p>
        <w:p w14:paraId="11BD4F38">
          <w:pPr>
            <w:pStyle w:val="2"/>
            <w:tabs>
              <w:tab w:val="right" w:leader="dot" w:pos="9785"/>
            </w:tabs>
            <w:spacing w:before="122" w:line="222" w:lineRule="auto"/>
            <w:ind w:left="2693"/>
            <w:rPr>
              <w:rFonts w:ascii="Times New Roman" w:hAnsi="Times New Roman" w:eastAsia="Times New Roman" w:cs="Times New Roman"/>
              <w:sz w:val="22"/>
              <w:szCs w:val="22"/>
            </w:rPr>
          </w:pPr>
          <w:r>
            <w:fldChar w:fldCharType="begin"/>
          </w:r>
          <w:r>
            <w:instrText xml:space="preserve"> HYPERLINK \l "bookmark402" </w:instrText>
          </w:r>
          <w:r>
            <w:fldChar w:fldCharType="separate"/>
          </w:r>
          <w:r>
            <w:rPr>
              <w:b/>
              <w:bCs/>
              <w:spacing w:val="-9"/>
              <w:sz w:val="22"/>
              <w:szCs w:val="22"/>
            </w:rPr>
            <w:t>四、大骨节病</w:t>
          </w:r>
          <w:r>
            <w:rPr>
              <w:spacing w:val="-85"/>
              <w:sz w:val="22"/>
              <w:szCs w:val="22"/>
            </w:rPr>
            <w:t xml:space="preserve"> </w:t>
          </w:r>
          <w:r>
            <w:rPr>
              <w:sz w:val="22"/>
              <w:szCs w:val="22"/>
            </w:rPr>
            <w:tab/>
          </w:r>
          <w:r>
            <w:rPr>
              <w:rFonts w:ascii="Times New Roman" w:hAnsi="Times New Roman" w:eastAsia="Times New Roman" w:cs="Times New Roman"/>
              <w:b/>
              <w:bCs/>
              <w:spacing w:val="2"/>
              <w:sz w:val="22"/>
              <w:szCs w:val="22"/>
            </w:rPr>
            <w:t>336</w:t>
          </w:r>
          <w:r>
            <w:rPr>
              <w:rFonts w:ascii="Times New Roman" w:hAnsi="Times New Roman" w:eastAsia="Times New Roman" w:cs="Times New Roman"/>
              <w:b/>
              <w:bCs/>
              <w:spacing w:val="2"/>
              <w:sz w:val="22"/>
              <w:szCs w:val="22"/>
            </w:rPr>
            <w:fldChar w:fldCharType="end"/>
          </w:r>
        </w:p>
        <w:p w14:paraId="21E0E453">
          <w:pPr>
            <w:spacing w:line="411" w:lineRule="auto"/>
            <w:rPr>
              <w:rFonts w:ascii="Arial"/>
              <w:sz w:val="21"/>
            </w:rPr>
          </w:pPr>
        </w:p>
        <w:p w14:paraId="74F7DE16">
          <w:pPr>
            <w:pStyle w:val="2"/>
            <w:tabs>
              <w:tab w:val="right" w:leader="dot" w:pos="9775"/>
            </w:tabs>
            <w:spacing w:before="72" w:line="222" w:lineRule="auto"/>
            <w:ind w:left="803"/>
            <w:rPr>
              <w:rFonts w:ascii="Times New Roman" w:hAnsi="Times New Roman" w:eastAsia="Times New Roman" w:cs="Times New Roman"/>
              <w:sz w:val="22"/>
              <w:szCs w:val="22"/>
            </w:rPr>
          </w:pPr>
          <w:r>
            <w:fldChar w:fldCharType="begin"/>
          </w:r>
          <w:r>
            <w:instrText xml:space="preserve"> HYPERLINK \l "bookmark403" </w:instrText>
          </w:r>
          <w:r>
            <w:fldChar w:fldCharType="separate"/>
          </w:r>
          <w:r>
            <w:rPr>
              <w:b/>
              <w:bCs/>
              <w:spacing w:val="28"/>
              <w:sz w:val="22"/>
              <w:szCs w:val="22"/>
            </w:rPr>
            <w:t>推荐阅读</w:t>
          </w:r>
          <w:r>
            <w:rPr>
              <w:spacing w:val="-86"/>
              <w:sz w:val="22"/>
              <w:szCs w:val="22"/>
            </w:rPr>
            <w:t xml:space="preserve"> </w:t>
          </w:r>
          <w:r>
            <w:rPr>
              <w:sz w:val="22"/>
              <w:szCs w:val="22"/>
            </w:rPr>
            <w:tab/>
          </w:r>
          <w:r>
            <w:rPr>
              <w:rFonts w:ascii="Times New Roman" w:hAnsi="Times New Roman" w:eastAsia="Times New Roman" w:cs="Times New Roman"/>
              <w:b/>
              <w:bCs/>
              <w:sz w:val="22"/>
              <w:szCs w:val="22"/>
            </w:rPr>
            <w:t>337</w:t>
          </w:r>
          <w:r>
            <w:rPr>
              <w:rFonts w:ascii="Times New Roman" w:hAnsi="Times New Roman" w:eastAsia="Times New Roman" w:cs="Times New Roman"/>
              <w:b/>
              <w:bCs/>
              <w:sz w:val="22"/>
              <w:szCs w:val="22"/>
            </w:rPr>
            <w:fldChar w:fldCharType="end"/>
          </w:r>
        </w:p>
        <w:p w14:paraId="6D222360">
          <w:pPr>
            <w:spacing w:line="409" w:lineRule="auto"/>
            <w:rPr>
              <w:rFonts w:ascii="Arial"/>
              <w:sz w:val="21"/>
            </w:rPr>
          </w:pPr>
        </w:p>
        <w:p w14:paraId="67DC3A0D">
          <w:pPr>
            <w:pStyle w:val="2"/>
            <w:tabs>
              <w:tab w:val="right" w:leader="dot" w:pos="9775"/>
            </w:tabs>
            <w:spacing w:before="72" w:line="222" w:lineRule="auto"/>
            <w:ind w:left="803"/>
            <w:rPr>
              <w:rFonts w:ascii="Times New Roman" w:hAnsi="Times New Roman" w:eastAsia="Times New Roman" w:cs="Times New Roman"/>
              <w:sz w:val="22"/>
              <w:szCs w:val="22"/>
            </w:rPr>
          </w:pPr>
          <w:r>
            <w:fldChar w:fldCharType="begin"/>
          </w:r>
          <w:r>
            <w:instrText xml:space="preserve"> HYPERLINK \l "bookmark404" </w:instrText>
          </w:r>
          <w:r>
            <w:fldChar w:fldCharType="separate"/>
          </w:r>
          <w:r>
            <w:rPr>
              <w:b/>
              <w:bCs/>
              <w:spacing w:val="29"/>
              <w:sz w:val="22"/>
              <w:szCs w:val="22"/>
            </w:rPr>
            <w:t>中英文名词对照索引</w:t>
          </w:r>
          <w:r>
            <w:rPr>
              <w:b/>
              <w:bCs/>
              <w:sz w:val="22"/>
              <w:szCs w:val="22"/>
            </w:rPr>
            <w:tab/>
          </w:r>
          <w:r>
            <w:rPr>
              <w:rFonts w:ascii="Times New Roman" w:hAnsi="Times New Roman" w:eastAsia="Times New Roman" w:cs="Times New Roman"/>
              <w:b/>
              <w:bCs/>
              <w:spacing w:val="7"/>
              <w:sz w:val="22"/>
              <w:szCs w:val="22"/>
            </w:rPr>
            <w:t>338</w:t>
          </w:r>
          <w:r>
            <w:rPr>
              <w:rFonts w:ascii="Times New Roman" w:hAnsi="Times New Roman" w:eastAsia="Times New Roman" w:cs="Times New Roman"/>
              <w:b/>
              <w:bCs/>
              <w:spacing w:val="7"/>
              <w:sz w:val="22"/>
              <w:szCs w:val="22"/>
            </w:rPr>
            <w:fldChar w:fldCharType="end"/>
          </w:r>
        </w:p>
      </w:sdtContent>
    </w:sdt>
    <w:p w14:paraId="0234B99A">
      <w:pPr>
        <w:spacing w:line="222" w:lineRule="auto"/>
        <w:rPr>
          <w:rFonts w:ascii="Times New Roman" w:hAnsi="Times New Roman" w:eastAsia="Times New Roman" w:cs="Times New Roman"/>
          <w:sz w:val="22"/>
          <w:szCs w:val="22"/>
        </w:rPr>
        <w:sectPr>
          <w:footerReference r:id="rId30" w:type="default"/>
          <w:pgSz w:w="11900" w:h="16820"/>
          <w:pgMar w:top="400" w:right="1449" w:bottom="936" w:left="599" w:header="0" w:footer="638" w:gutter="0"/>
          <w:cols w:space="720" w:num="1"/>
        </w:sectPr>
      </w:pPr>
    </w:p>
    <w:p w14:paraId="50F066E1">
      <w:pPr>
        <w:spacing w:line="271" w:lineRule="auto"/>
        <w:rPr>
          <w:rFonts w:ascii="Arial"/>
          <w:sz w:val="21"/>
        </w:rPr>
      </w:pPr>
    </w:p>
    <w:p w14:paraId="3A1E2B7D">
      <w:pPr>
        <w:spacing w:line="271" w:lineRule="auto"/>
        <w:rPr>
          <w:rFonts w:ascii="Arial"/>
          <w:sz w:val="21"/>
        </w:rPr>
      </w:pPr>
    </w:p>
    <w:p w14:paraId="03CE4FA0">
      <w:pPr>
        <w:spacing w:line="271" w:lineRule="auto"/>
        <w:rPr>
          <w:rFonts w:ascii="Arial"/>
          <w:sz w:val="21"/>
        </w:rPr>
      </w:pPr>
    </w:p>
    <w:p w14:paraId="6F7EE2FE">
      <w:pPr>
        <w:spacing w:line="271" w:lineRule="auto"/>
        <w:rPr>
          <w:rFonts w:ascii="Arial"/>
          <w:sz w:val="21"/>
        </w:rPr>
      </w:pPr>
      <w:r>
        <w:drawing>
          <wp:anchor distT="0" distB="0" distL="0" distR="0" simplePos="0" relativeHeight="251676672" behindDoc="0" locked="0" layoutInCell="1" allowOverlap="1">
            <wp:simplePos x="0" y="0"/>
            <wp:positionH relativeFrom="column">
              <wp:posOffset>5276850</wp:posOffset>
            </wp:positionH>
            <wp:positionV relativeFrom="paragraph">
              <wp:posOffset>230505</wp:posOffset>
            </wp:positionV>
            <wp:extent cx="590550" cy="609600"/>
            <wp:effectExtent l="0" t="0" r="0" b="0"/>
            <wp:wrapNone/>
            <wp:docPr id="60" name="IM 60"/>
            <wp:cNvGraphicFramePr/>
            <a:graphic xmlns:a="http://schemas.openxmlformats.org/drawingml/2006/main">
              <a:graphicData uri="http://schemas.openxmlformats.org/drawingml/2006/picture">
                <pic:pic xmlns:pic="http://schemas.openxmlformats.org/drawingml/2006/picture">
                  <pic:nvPicPr>
                    <pic:cNvPr id="60" name="IM 60"/>
                    <pic:cNvPicPr/>
                  </pic:nvPicPr>
                  <pic:blipFill>
                    <a:blip r:embed="rId426"/>
                    <a:stretch>
                      <a:fillRect/>
                    </a:stretch>
                  </pic:blipFill>
                  <pic:spPr>
                    <a:xfrm>
                      <a:off x="0" y="0"/>
                      <a:ext cx="590540" cy="609547"/>
                    </a:xfrm>
                    <a:prstGeom prst="rect">
                      <a:avLst/>
                    </a:prstGeom>
                  </pic:spPr>
                </pic:pic>
              </a:graphicData>
            </a:graphic>
          </wp:anchor>
        </w:drawing>
      </w:r>
    </w:p>
    <w:p w14:paraId="4F0AA659">
      <w:pPr>
        <w:pStyle w:val="2"/>
        <w:spacing w:before="97" w:line="239" w:lineRule="auto"/>
        <w:ind w:left="3936" w:right="4508" w:firstLine="237"/>
        <w:outlineLvl w:val="0"/>
        <w:rPr>
          <w:sz w:val="47"/>
          <w:szCs w:val="47"/>
        </w:rPr>
      </w:pPr>
      <w:bookmarkStart w:id="7" w:name="bookmark2"/>
      <w:bookmarkEnd w:id="7"/>
      <w:r>
        <w:rPr>
          <w:b/>
          <w:bCs/>
          <w:spacing w:val="4"/>
        </w:rPr>
        <w:t>第一章</w:t>
      </w:r>
      <w:r>
        <w:t xml:space="preserve">  </w:t>
      </w:r>
      <w:bookmarkStart w:id="8" w:name="bookmark2"/>
      <w:bookmarkEnd w:id="8"/>
      <w:r>
        <w:rPr>
          <w:b/>
          <w:bCs/>
          <w:spacing w:val="-16"/>
          <w:sz w:val="47"/>
          <w:szCs w:val="47"/>
        </w:rPr>
        <w:t>绪</w:t>
      </w:r>
      <w:r>
        <w:rPr>
          <w:spacing w:val="-16"/>
          <w:sz w:val="47"/>
          <w:szCs w:val="47"/>
        </w:rPr>
        <w:t xml:space="preserve">  </w:t>
      </w:r>
      <w:r>
        <w:rPr>
          <w:b/>
          <w:bCs/>
          <w:spacing w:val="-16"/>
          <w:sz w:val="47"/>
          <w:szCs w:val="47"/>
        </w:rPr>
        <w:t>论</w:t>
      </w:r>
    </w:p>
    <w:p w14:paraId="11AC61A2">
      <w:pPr>
        <w:spacing w:before="114" w:line="440" w:lineRule="exact"/>
        <w:ind w:firstLine="9180"/>
      </w:pPr>
      <w:r>
        <w:rPr>
          <w:position w:val="-8"/>
        </w:rPr>
        <w:drawing>
          <wp:inline distT="0" distB="0" distL="0" distR="0">
            <wp:extent cx="349250" cy="279400"/>
            <wp:effectExtent l="0" t="0" r="0" b="0"/>
            <wp:docPr id="62" name="IM 62"/>
            <wp:cNvGraphicFramePr/>
            <a:graphic xmlns:a="http://schemas.openxmlformats.org/drawingml/2006/main">
              <a:graphicData uri="http://schemas.openxmlformats.org/drawingml/2006/picture">
                <pic:pic xmlns:pic="http://schemas.openxmlformats.org/drawingml/2006/picture">
                  <pic:nvPicPr>
                    <pic:cNvPr id="62" name="IM 62"/>
                    <pic:cNvPicPr/>
                  </pic:nvPicPr>
                  <pic:blipFill>
                    <a:blip r:embed="rId427"/>
                    <a:stretch>
                      <a:fillRect/>
                    </a:stretch>
                  </pic:blipFill>
                  <pic:spPr>
                    <a:xfrm>
                      <a:off x="0" y="0"/>
                      <a:ext cx="349261" cy="279406"/>
                    </a:xfrm>
                    <a:prstGeom prst="rect">
                      <a:avLst/>
                    </a:prstGeom>
                  </pic:spPr>
                </pic:pic>
              </a:graphicData>
            </a:graphic>
          </wp:inline>
        </w:drawing>
      </w:r>
    </w:p>
    <w:p w14:paraId="4FB93346">
      <w:pPr>
        <w:spacing w:before="299" w:line="198" w:lineRule="auto"/>
        <w:ind w:left="3019"/>
        <w:rPr>
          <w:rFonts w:ascii="Arial" w:hAnsi="Arial" w:eastAsia="Arial" w:cs="Arial"/>
          <w:sz w:val="30"/>
          <w:szCs w:val="30"/>
        </w:rPr>
      </w:pPr>
      <w:r>
        <w:rPr>
          <w:rFonts w:ascii="Arial" w:hAnsi="Arial" w:eastAsia="Arial" w:cs="Arial"/>
          <w:b/>
          <w:bCs/>
          <w:spacing w:val="-11"/>
          <w:sz w:val="30"/>
          <w:szCs w:val="30"/>
        </w:rPr>
        <w:t>Chapter</w:t>
      </w:r>
      <w:r>
        <w:rPr>
          <w:rFonts w:ascii="Arial" w:hAnsi="Arial" w:eastAsia="Arial" w:cs="Arial"/>
          <w:b/>
          <w:bCs/>
          <w:spacing w:val="28"/>
          <w:sz w:val="30"/>
          <w:szCs w:val="30"/>
        </w:rPr>
        <w:t xml:space="preserve"> </w:t>
      </w:r>
      <w:r>
        <w:rPr>
          <w:rFonts w:ascii="Arial" w:hAnsi="Arial" w:eastAsia="Arial" w:cs="Arial"/>
          <w:b/>
          <w:bCs/>
          <w:spacing w:val="-11"/>
          <w:sz w:val="30"/>
          <w:szCs w:val="30"/>
        </w:rPr>
        <w:t>1</w:t>
      </w:r>
      <w:r>
        <w:rPr>
          <w:rFonts w:ascii="Arial" w:hAnsi="Arial" w:eastAsia="Arial" w:cs="Arial"/>
          <w:b/>
          <w:bCs/>
          <w:spacing w:val="14"/>
          <w:sz w:val="30"/>
          <w:szCs w:val="30"/>
        </w:rPr>
        <w:t xml:space="preserve">   </w:t>
      </w:r>
      <w:r>
        <w:rPr>
          <w:rFonts w:ascii="Arial" w:hAnsi="Arial" w:eastAsia="Arial" w:cs="Arial"/>
          <w:b/>
          <w:bCs/>
          <w:spacing w:val="-11"/>
          <w:sz w:val="30"/>
          <w:szCs w:val="30"/>
        </w:rPr>
        <w:t>Introduction</w:t>
      </w:r>
    </w:p>
    <w:p w14:paraId="6B896ACD">
      <w:pPr>
        <w:spacing w:line="391" w:lineRule="auto"/>
        <w:rPr>
          <w:rFonts w:ascii="Arial"/>
          <w:sz w:val="21"/>
        </w:rPr>
      </w:pPr>
    </w:p>
    <w:p w14:paraId="0E048C96">
      <w:pPr>
        <w:spacing w:before="61" w:line="351" w:lineRule="auto"/>
        <w:ind w:right="559" w:firstLine="430"/>
        <w:jc w:val="both"/>
        <w:rPr>
          <w:rFonts w:ascii="Times New Roman" w:hAnsi="Times New Roman" w:eastAsia="Times New Roman" w:cs="Times New Roman"/>
          <w:sz w:val="21"/>
          <w:szCs w:val="21"/>
        </w:rPr>
      </w:pPr>
      <w:r>
        <w:rPr>
          <w:rFonts w:ascii="Times New Roman" w:hAnsi="Times New Roman" w:eastAsia="Times New Roman" w:cs="Times New Roman"/>
          <w:sz w:val="21"/>
          <w:szCs w:val="21"/>
        </w:rPr>
        <w:t>The</w:t>
      </w:r>
      <w:r>
        <w:rPr>
          <w:rFonts w:ascii="Times New Roman" w:hAnsi="Times New Roman" w:eastAsia="Times New Roman" w:cs="Times New Roman"/>
          <w:spacing w:val="14"/>
          <w:sz w:val="21"/>
          <w:szCs w:val="21"/>
        </w:rPr>
        <w:t xml:space="preserve"> </w:t>
      </w:r>
      <w:r>
        <w:rPr>
          <w:rFonts w:ascii="Times New Roman" w:hAnsi="Times New Roman" w:eastAsia="Times New Roman" w:cs="Times New Roman"/>
          <w:sz w:val="21"/>
          <w:szCs w:val="21"/>
        </w:rPr>
        <w:t>chapter</w:t>
      </w:r>
      <w:r>
        <w:rPr>
          <w:rFonts w:ascii="Times New Roman" w:hAnsi="Times New Roman" w:eastAsia="Times New Roman" w:cs="Times New Roman"/>
          <w:spacing w:val="15"/>
          <w:w w:val="101"/>
          <w:sz w:val="21"/>
          <w:szCs w:val="21"/>
        </w:rPr>
        <w:t xml:space="preserve"> </w:t>
      </w:r>
      <w:r>
        <w:rPr>
          <w:rFonts w:ascii="Times New Roman" w:hAnsi="Times New Roman" w:eastAsia="Times New Roman" w:cs="Times New Roman"/>
          <w:sz w:val="21"/>
          <w:szCs w:val="21"/>
        </w:rPr>
        <w:t>starts with</w:t>
      </w:r>
      <w:r>
        <w:rPr>
          <w:rFonts w:ascii="Times New Roman" w:hAnsi="Times New Roman" w:eastAsia="Times New Roman" w:cs="Times New Roman"/>
          <w:spacing w:val="14"/>
          <w:sz w:val="21"/>
          <w:szCs w:val="21"/>
        </w:rPr>
        <w:t xml:space="preserve"> </w:t>
      </w:r>
      <w:r>
        <w:rPr>
          <w:rFonts w:ascii="Times New Roman" w:hAnsi="Times New Roman" w:eastAsia="Times New Roman" w:cs="Times New Roman"/>
          <w:sz w:val="21"/>
          <w:szCs w:val="21"/>
        </w:rPr>
        <w:t>a brief</w:t>
      </w:r>
      <w:r>
        <w:rPr>
          <w:rFonts w:ascii="Times New Roman" w:hAnsi="Times New Roman" w:eastAsia="Times New Roman" w:cs="Times New Roman"/>
          <w:spacing w:val="-14"/>
          <w:sz w:val="21"/>
          <w:szCs w:val="21"/>
        </w:rPr>
        <w:t xml:space="preserve"> </w:t>
      </w:r>
      <w:r>
        <w:rPr>
          <w:rFonts w:ascii="Times New Roman" w:hAnsi="Times New Roman" w:eastAsia="Times New Roman" w:cs="Times New Roman"/>
          <w:sz w:val="21"/>
          <w:szCs w:val="21"/>
        </w:rPr>
        <w:t>history</w:t>
      </w:r>
      <w:r>
        <w:rPr>
          <w:rFonts w:ascii="Times New Roman" w:hAnsi="Times New Roman" w:eastAsia="Times New Roman" w:cs="Times New Roman"/>
          <w:spacing w:val="13"/>
          <w:w w:val="101"/>
          <w:sz w:val="21"/>
          <w:szCs w:val="21"/>
        </w:rPr>
        <w:t xml:space="preserve"> </w:t>
      </w:r>
      <w:r>
        <w:rPr>
          <w:rFonts w:ascii="Times New Roman" w:hAnsi="Times New Roman" w:eastAsia="Times New Roman" w:cs="Times New Roman"/>
          <w:sz w:val="21"/>
          <w:szCs w:val="21"/>
        </w:rPr>
        <w:t>of epidemiology,with</w:t>
      </w:r>
      <w:r>
        <w:rPr>
          <w:rFonts w:ascii="Times New Roman" w:hAnsi="Times New Roman" w:eastAsia="Times New Roman" w:cs="Times New Roman"/>
          <w:spacing w:val="14"/>
          <w:sz w:val="21"/>
          <w:szCs w:val="21"/>
        </w:rPr>
        <w:t xml:space="preserve"> </w:t>
      </w:r>
      <w:r>
        <w:rPr>
          <w:rFonts w:ascii="Times New Roman" w:hAnsi="Times New Roman" w:eastAsia="Times New Roman" w:cs="Times New Roman"/>
          <w:sz w:val="21"/>
          <w:szCs w:val="21"/>
        </w:rPr>
        <w:t>a</w:t>
      </w:r>
      <w:r>
        <w:rPr>
          <w:rFonts w:ascii="Times New Roman" w:hAnsi="Times New Roman" w:eastAsia="Times New Roman" w:cs="Times New Roman"/>
          <w:spacing w:val="16"/>
          <w:w w:val="101"/>
          <w:sz w:val="21"/>
          <w:szCs w:val="21"/>
        </w:rPr>
        <w:t xml:space="preserve"> </w:t>
      </w:r>
      <w:r>
        <w:rPr>
          <w:rFonts w:ascii="Times New Roman" w:hAnsi="Times New Roman" w:eastAsia="Times New Roman" w:cs="Times New Roman"/>
          <w:sz w:val="21"/>
          <w:szCs w:val="21"/>
        </w:rPr>
        <w:t>special mention</w:t>
      </w:r>
      <w:r>
        <w:rPr>
          <w:rFonts w:ascii="Times New Roman" w:hAnsi="Times New Roman" w:eastAsia="Times New Roman" w:cs="Times New Roman"/>
          <w:spacing w:val="13"/>
          <w:w w:val="101"/>
          <w:sz w:val="21"/>
          <w:szCs w:val="21"/>
        </w:rPr>
        <w:t xml:space="preserve"> </w:t>
      </w:r>
      <w:r>
        <w:rPr>
          <w:rFonts w:ascii="Times New Roman" w:hAnsi="Times New Roman" w:eastAsia="Times New Roman" w:cs="Times New Roman"/>
          <w:sz w:val="21"/>
          <w:szCs w:val="21"/>
        </w:rPr>
        <w:t>of</w:t>
      </w:r>
      <w:r>
        <w:rPr>
          <w:rFonts w:ascii="Times New Roman" w:hAnsi="Times New Roman" w:eastAsia="Times New Roman" w:cs="Times New Roman"/>
          <w:spacing w:val="-14"/>
          <w:sz w:val="21"/>
          <w:szCs w:val="21"/>
        </w:rPr>
        <w:t xml:space="preserve"> </w:t>
      </w:r>
      <w:r>
        <w:rPr>
          <w:rFonts w:ascii="Times New Roman" w:hAnsi="Times New Roman" w:eastAsia="Times New Roman" w:cs="Times New Roman"/>
          <w:sz w:val="21"/>
          <w:szCs w:val="21"/>
        </w:rPr>
        <w:t>recent</w:t>
      </w:r>
      <w:r>
        <w:rPr>
          <w:rFonts w:ascii="Times New Roman" w:hAnsi="Times New Roman" w:eastAsia="Times New Roman" w:cs="Times New Roman"/>
          <w:spacing w:val="14"/>
          <w:sz w:val="21"/>
          <w:szCs w:val="21"/>
        </w:rPr>
        <w:t xml:space="preserve"> </w:t>
      </w:r>
      <w:r>
        <w:rPr>
          <w:rFonts w:ascii="Times New Roman" w:hAnsi="Times New Roman" w:eastAsia="Times New Roman" w:cs="Times New Roman"/>
          <w:sz w:val="21"/>
          <w:szCs w:val="21"/>
        </w:rPr>
        <w:t>e</w:t>
      </w:r>
      <w:r>
        <w:rPr>
          <w:rFonts w:ascii="Times New Roman" w:hAnsi="Times New Roman" w:eastAsia="Times New Roman" w:cs="Times New Roman"/>
          <w:spacing w:val="-1"/>
          <w:sz w:val="21"/>
          <w:szCs w:val="21"/>
        </w:rPr>
        <w:t>pidemiological</w:t>
      </w:r>
      <w:r>
        <w:rPr>
          <w:rFonts w:ascii="Times New Roman" w:hAnsi="Times New Roman" w:eastAsia="Times New Roman" w:cs="Times New Roman"/>
          <w:sz w:val="21"/>
          <w:szCs w:val="21"/>
        </w:rPr>
        <w:t xml:space="preserve"> achievements in China.Section 2 defines modern</w:t>
      </w:r>
      <w:r>
        <w:rPr>
          <w:rFonts w:ascii="Times New Roman" w:hAnsi="Times New Roman" w:eastAsia="Times New Roman" w:cs="Times New Roman"/>
          <w:spacing w:val="11"/>
          <w:sz w:val="21"/>
          <w:szCs w:val="21"/>
        </w:rPr>
        <w:t xml:space="preserve"> </w:t>
      </w:r>
      <w:r>
        <w:rPr>
          <w:rFonts w:ascii="Times New Roman" w:hAnsi="Times New Roman" w:eastAsia="Times New Roman" w:cs="Times New Roman"/>
          <w:sz w:val="21"/>
          <w:szCs w:val="21"/>
        </w:rPr>
        <w:t>epidemiology</w:t>
      </w:r>
      <w:r>
        <w:rPr>
          <w:rFonts w:ascii="Times New Roman" w:hAnsi="Times New Roman" w:eastAsia="Times New Roman" w:cs="Times New Roman"/>
          <w:spacing w:val="11"/>
          <w:sz w:val="21"/>
          <w:szCs w:val="21"/>
        </w:rPr>
        <w:t xml:space="preserve"> </w:t>
      </w:r>
      <w:r>
        <w:rPr>
          <w:rFonts w:ascii="Times New Roman" w:hAnsi="Times New Roman" w:eastAsia="Times New Roman" w:cs="Times New Roman"/>
          <w:sz w:val="21"/>
          <w:szCs w:val="21"/>
        </w:rPr>
        <w:t>and</w:t>
      </w:r>
      <w:r>
        <w:rPr>
          <w:rFonts w:ascii="Times New Roman" w:hAnsi="Times New Roman" w:eastAsia="Times New Roman" w:cs="Times New Roman"/>
          <w:spacing w:val="11"/>
          <w:sz w:val="21"/>
          <w:szCs w:val="21"/>
        </w:rPr>
        <w:t xml:space="preserve"> </w:t>
      </w:r>
      <w:r>
        <w:rPr>
          <w:rFonts w:ascii="Times New Roman" w:hAnsi="Times New Roman" w:eastAsia="Times New Roman" w:cs="Times New Roman"/>
          <w:sz w:val="21"/>
          <w:szCs w:val="21"/>
        </w:rPr>
        <w:t>expla</w:t>
      </w:r>
      <w:r>
        <w:rPr>
          <w:rFonts w:ascii="Times New Roman" w:hAnsi="Times New Roman" w:eastAsia="Times New Roman" w:cs="Times New Roman"/>
          <w:spacing w:val="-1"/>
          <w:sz w:val="21"/>
          <w:szCs w:val="21"/>
        </w:rPr>
        <w:t>ins how</w:t>
      </w:r>
      <w:r>
        <w:rPr>
          <w:rFonts w:ascii="Times New Roman" w:hAnsi="Times New Roman" w:eastAsia="Times New Roman" w:cs="Times New Roman"/>
          <w:spacing w:val="5"/>
          <w:sz w:val="21"/>
          <w:szCs w:val="21"/>
        </w:rPr>
        <w:t xml:space="preserve"> </w:t>
      </w:r>
      <w:r>
        <w:rPr>
          <w:rFonts w:ascii="Times New Roman" w:hAnsi="Times New Roman" w:eastAsia="Times New Roman" w:cs="Times New Roman"/>
          <w:spacing w:val="-1"/>
          <w:sz w:val="21"/>
          <w:szCs w:val="21"/>
        </w:rPr>
        <w:t>the</w:t>
      </w:r>
      <w:r>
        <w:rPr>
          <w:rFonts w:ascii="Times New Roman" w:hAnsi="Times New Roman" w:eastAsia="Times New Roman" w:cs="Times New Roman"/>
          <w:spacing w:val="4"/>
          <w:sz w:val="21"/>
          <w:szCs w:val="21"/>
        </w:rPr>
        <w:t xml:space="preserve"> </w:t>
      </w:r>
      <w:r>
        <w:rPr>
          <w:rFonts w:ascii="Times New Roman" w:hAnsi="Times New Roman" w:eastAsia="Times New Roman" w:cs="Times New Roman"/>
          <w:spacing w:val="-1"/>
          <w:sz w:val="21"/>
          <w:szCs w:val="21"/>
        </w:rPr>
        <w:t>notion</w:t>
      </w:r>
      <w:r>
        <w:rPr>
          <w:rFonts w:ascii="Times New Roman" w:hAnsi="Times New Roman" w:eastAsia="Times New Roman" w:cs="Times New Roman"/>
          <w:spacing w:val="11"/>
          <w:sz w:val="21"/>
          <w:szCs w:val="21"/>
        </w:rPr>
        <w:t xml:space="preserve"> </w:t>
      </w:r>
      <w:r>
        <w:rPr>
          <w:rFonts w:ascii="Times New Roman" w:hAnsi="Times New Roman" w:eastAsia="Times New Roman" w:cs="Times New Roman"/>
          <w:spacing w:val="-1"/>
          <w:sz w:val="21"/>
          <w:szCs w:val="21"/>
        </w:rPr>
        <w:t>evolved.Sections</w:t>
      </w:r>
      <w:r>
        <w:rPr>
          <w:rFonts w:ascii="Times New Roman" w:hAnsi="Times New Roman" w:eastAsia="Times New Roman" w:cs="Times New Roman"/>
          <w:sz w:val="21"/>
          <w:szCs w:val="21"/>
        </w:rPr>
        <w:t xml:space="preserve"> 3</w:t>
      </w:r>
      <w:r>
        <w:rPr>
          <w:rFonts w:ascii="Times New Roman" w:hAnsi="Times New Roman" w:eastAsia="Times New Roman" w:cs="Times New Roman"/>
          <w:spacing w:val="44"/>
          <w:w w:val="101"/>
          <w:sz w:val="21"/>
          <w:szCs w:val="21"/>
        </w:rPr>
        <w:t xml:space="preserve"> </w:t>
      </w:r>
      <w:r>
        <w:rPr>
          <w:rFonts w:ascii="Times New Roman" w:hAnsi="Times New Roman" w:eastAsia="Times New Roman" w:cs="Times New Roman"/>
          <w:sz w:val="21"/>
          <w:szCs w:val="21"/>
        </w:rPr>
        <w:t>and</w:t>
      </w:r>
      <w:r>
        <w:rPr>
          <w:rFonts w:ascii="Times New Roman" w:hAnsi="Times New Roman" w:eastAsia="Times New Roman" w:cs="Times New Roman"/>
          <w:spacing w:val="40"/>
          <w:sz w:val="21"/>
          <w:szCs w:val="21"/>
        </w:rPr>
        <w:t xml:space="preserve"> </w:t>
      </w:r>
      <w:r>
        <w:rPr>
          <w:rFonts w:ascii="Times New Roman" w:hAnsi="Times New Roman" w:eastAsia="Times New Roman" w:cs="Times New Roman"/>
          <w:sz w:val="21"/>
          <w:szCs w:val="21"/>
        </w:rPr>
        <w:t>4</w:t>
      </w:r>
      <w:r>
        <w:rPr>
          <w:rFonts w:ascii="Times New Roman" w:hAnsi="Times New Roman" w:eastAsia="Times New Roman" w:cs="Times New Roman"/>
          <w:spacing w:val="43"/>
          <w:sz w:val="21"/>
          <w:szCs w:val="21"/>
        </w:rPr>
        <w:t xml:space="preserve"> </w:t>
      </w:r>
      <w:r>
        <w:rPr>
          <w:rFonts w:ascii="Times New Roman" w:hAnsi="Times New Roman" w:eastAsia="Times New Roman" w:cs="Times New Roman"/>
          <w:sz w:val="21"/>
          <w:szCs w:val="21"/>
        </w:rPr>
        <w:t>go</w:t>
      </w:r>
      <w:r>
        <w:rPr>
          <w:rFonts w:ascii="Times New Roman" w:hAnsi="Times New Roman" w:eastAsia="Times New Roman" w:cs="Times New Roman"/>
          <w:spacing w:val="43"/>
          <w:sz w:val="21"/>
          <w:szCs w:val="21"/>
        </w:rPr>
        <w:t xml:space="preserve"> </w:t>
      </w:r>
      <w:r>
        <w:rPr>
          <w:rFonts w:ascii="Times New Roman" w:hAnsi="Times New Roman" w:eastAsia="Times New Roman" w:cs="Times New Roman"/>
          <w:sz w:val="21"/>
          <w:szCs w:val="21"/>
        </w:rPr>
        <w:t>into</w:t>
      </w:r>
      <w:r>
        <w:rPr>
          <w:rFonts w:ascii="Times New Roman" w:hAnsi="Times New Roman" w:eastAsia="Times New Roman" w:cs="Times New Roman"/>
          <w:spacing w:val="44"/>
          <w:sz w:val="21"/>
          <w:szCs w:val="21"/>
        </w:rPr>
        <w:t xml:space="preserve"> </w:t>
      </w:r>
      <w:r>
        <w:rPr>
          <w:rFonts w:ascii="Times New Roman" w:hAnsi="Times New Roman" w:eastAsia="Times New Roman" w:cs="Times New Roman"/>
          <w:sz w:val="21"/>
          <w:szCs w:val="21"/>
        </w:rPr>
        <w:t>detail</w:t>
      </w:r>
      <w:r>
        <w:rPr>
          <w:rFonts w:ascii="Times New Roman" w:hAnsi="Times New Roman" w:eastAsia="Times New Roman" w:cs="Times New Roman"/>
          <w:spacing w:val="44"/>
          <w:w w:val="101"/>
          <w:sz w:val="21"/>
          <w:szCs w:val="21"/>
        </w:rPr>
        <w:t xml:space="preserve"> </w:t>
      </w:r>
      <w:r>
        <w:rPr>
          <w:rFonts w:ascii="Times New Roman" w:hAnsi="Times New Roman" w:eastAsia="Times New Roman" w:cs="Times New Roman"/>
          <w:sz w:val="21"/>
          <w:szCs w:val="21"/>
        </w:rPr>
        <w:t>about</w:t>
      </w:r>
      <w:r>
        <w:rPr>
          <w:rFonts w:ascii="Times New Roman" w:hAnsi="Times New Roman" w:eastAsia="Times New Roman" w:cs="Times New Roman"/>
          <w:spacing w:val="38"/>
          <w:w w:val="101"/>
          <w:sz w:val="21"/>
          <w:szCs w:val="21"/>
        </w:rPr>
        <w:t xml:space="preserve"> </w:t>
      </w:r>
      <w:r>
        <w:rPr>
          <w:rFonts w:ascii="Times New Roman" w:hAnsi="Times New Roman" w:eastAsia="Times New Roman" w:cs="Times New Roman"/>
          <w:spacing w:val="-1"/>
          <w:sz w:val="21"/>
          <w:szCs w:val="21"/>
        </w:rPr>
        <w:t>the</w:t>
      </w:r>
      <w:r>
        <w:rPr>
          <w:rFonts w:ascii="Times New Roman" w:hAnsi="Times New Roman" w:eastAsia="Times New Roman" w:cs="Times New Roman"/>
          <w:spacing w:val="47"/>
          <w:sz w:val="21"/>
          <w:szCs w:val="21"/>
        </w:rPr>
        <w:t xml:space="preserve"> </w:t>
      </w:r>
      <w:r>
        <w:rPr>
          <w:rFonts w:ascii="Times New Roman" w:hAnsi="Times New Roman" w:eastAsia="Times New Roman" w:cs="Times New Roman"/>
          <w:spacing w:val="-1"/>
          <w:sz w:val="21"/>
          <w:szCs w:val="21"/>
        </w:rPr>
        <w:t>scope,rationale,methodologies,and</w:t>
      </w:r>
      <w:r>
        <w:rPr>
          <w:rFonts w:ascii="Times New Roman" w:hAnsi="Times New Roman" w:eastAsia="Times New Roman" w:cs="Times New Roman"/>
          <w:spacing w:val="44"/>
          <w:sz w:val="21"/>
          <w:szCs w:val="21"/>
        </w:rPr>
        <w:t xml:space="preserve"> </w:t>
      </w:r>
      <w:r>
        <w:rPr>
          <w:rFonts w:ascii="Times New Roman" w:hAnsi="Times New Roman" w:eastAsia="Times New Roman" w:cs="Times New Roman"/>
          <w:spacing w:val="-1"/>
          <w:sz w:val="21"/>
          <w:szCs w:val="21"/>
        </w:rPr>
        <w:t>applications</w:t>
      </w:r>
      <w:r>
        <w:rPr>
          <w:rFonts w:ascii="Times New Roman" w:hAnsi="Times New Roman" w:eastAsia="Times New Roman" w:cs="Times New Roman"/>
          <w:spacing w:val="44"/>
          <w:w w:val="101"/>
          <w:sz w:val="21"/>
          <w:szCs w:val="21"/>
        </w:rPr>
        <w:t xml:space="preserve"> </w:t>
      </w:r>
      <w:r>
        <w:rPr>
          <w:rFonts w:ascii="Times New Roman" w:hAnsi="Times New Roman" w:eastAsia="Times New Roman" w:cs="Times New Roman"/>
          <w:spacing w:val="-1"/>
          <w:sz w:val="21"/>
          <w:szCs w:val="21"/>
        </w:rPr>
        <w:t>of</w:t>
      </w:r>
      <w:r>
        <w:rPr>
          <w:rFonts w:ascii="Times New Roman" w:hAnsi="Times New Roman" w:eastAsia="Times New Roman" w:cs="Times New Roman"/>
          <w:spacing w:val="17"/>
          <w:sz w:val="21"/>
          <w:szCs w:val="21"/>
        </w:rPr>
        <w:t xml:space="preserve"> </w:t>
      </w:r>
      <w:r>
        <w:rPr>
          <w:rFonts w:ascii="Times New Roman" w:hAnsi="Times New Roman" w:eastAsia="Times New Roman" w:cs="Times New Roman"/>
          <w:spacing w:val="-1"/>
          <w:sz w:val="21"/>
          <w:szCs w:val="21"/>
        </w:rPr>
        <w:t>modern</w:t>
      </w:r>
      <w:r>
        <w:rPr>
          <w:rFonts w:ascii="Times New Roman" w:hAnsi="Times New Roman" w:eastAsia="Times New Roman" w:cs="Times New Roman"/>
          <w:spacing w:val="44"/>
          <w:w w:val="101"/>
          <w:sz w:val="21"/>
          <w:szCs w:val="21"/>
        </w:rPr>
        <w:t xml:space="preserve"> </w:t>
      </w:r>
      <w:r>
        <w:rPr>
          <w:rFonts w:ascii="Times New Roman" w:hAnsi="Times New Roman" w:eastAsia="Times New Roman" w:cs="Times New Roman"/>
          <w:spacing w:val="-1"/>
          <w:sz w:val="21"/>
          <w:szCs w:val="21"/>
        </w:rPr>
        <w:t>epidemiology.</w:t>
      </w:r>
      <w:r>
        <w:rPr>
          <w:rFonts w:ascii="Times New Roman" w:hAnsi="Times New Roman" w:eastAsia="Times New Roman" w:cs="Times New Roman"/>
          <w:sz w:val="21"/>
          <w:szCs w:val="21"/>
        </w:rPr>
        <w:t xml:space="preserve"> The two</w:t>
      </w:r>
      <w:r>
        <w:rPr>
          <w:rFonts w:ascii="Times New Roman" w:hAnsi="Times New Roman" w:eastAsia="Times New Roman" w:cs="Times New Roman"/>
          <w:spacing w:val="14"/>
          <w:sz w:val="21"/>
          <w:szCs w:val="21"/>
        </w:rPr>
        <w:t xml:space="preserve"> </w:t>
      </w:r>
      <w:r>
        <w:rPr>
          <w:rFonts w:ascii="Times New Roman" w:hAnsi="Times New Roman" w:eastAsia="Times New Roman" w:cs="Times New Roman"/>
          <w:sz w:val="21"/>
          <w:szCs w:val="21"/>
        </w:rPr>
        <w:t>last</w:t>
      </w:r>
      <w:r>
        <w:rPr>
          <w:rFonts w:ascii="Times New Roman" w:hAnsi="Times New Roman" w:eastAsia="Times New Roman" w:cs="Times New Roman"/>
          <w:spacing w:val="17"/>
          <w:w w:val="101"/>
          <w:sz w:val="21"/>
          <w:szCs w:val="21"/>
        </w:rPr>
        <w:t xml:space="preserve"> </w:t>
      </w:r>
      <w:r>
        <w:rPr>
          <w:rFonts w:ascii="Times New Roman" w:hAnsi="Times New Roman" w:eastAsia="Times New Roman" w:cs="Times New Roman"/>
          <w:sz w:val="21"/>
          <w:szCs w:val="21"/>
        </w:rPr>
        <w:t>sections</w:t>
      </w:r>
      <w:r>
        <w:rPr>
          <w:rFonts w:ascii="Times New Roman" w:hAnsi="Times New Roman" w:eastAsia="Times New Roman" w:cs="Times New Roman"/>
          <w:spacing w:val="15"/>
          <w:w w:val="101"/>
          <w:sz w:val="21"/>
          <w:szCs w:val="21"/>
        </w:rPr>
        <w:t xml:space="preserve"> </w:t>
      </w:r>
      <w:r>
        <w:rPr>
          <w:rFonts w:ascii="Times New Roman" w:hAnsi="Times New Roman" w:eastAsia="Times New Roman" w:cs="Times New Roman"/>
          <w:sz w:val="21"/>
          <w:szCs w:val="21"/>
        </w:rPr>
        <w:t>further</w:t>
      </w:r>
      <w:r>
        <w:rPr>
          <w:rFonts w:ascii="Times New Roman" w:hAnsi="Times New Roman" w:eastAsia="Times New Roman" w:cs="Times New Roman"/>
          <w:spacing w:val="13"/>
          <w:w w:val="101"/>
          <w:sz w:val="21"/>
          <w:szCs w:val="21"/>
        </w:rPr>
        <w:t xml:space="preserve"> </w:t>
      </w:r>
      <w:r>
        <w:rPr>
          <w:rFonts w:ascii="Times New Roman" w:hAnsi="Times New Roman" w:eastAsia="Times New Roman" w:cs="Times New Roman"/>
          <w:sz w:val="21"/>
          <w:szCs w:val="21"/>
        </w:rPr>
        <w:t>discuss the</w:t>
      </w:r>
      <w:r>
        <w:rPr>
          <w:rFonts w:ascii="Times New Roman" w:hAnsi="Times New Roman" w:eastAsia="Times New Roman" w:cs="Times New Roman"/>
          <w:spacing w:val="15"/>
          <w:w w:val="101"/>
          <w:sz w:val="21"/>
          <w:szCs w:val="21"/>
        </w:rPr>
        <w:t xml:space="preserve"> </w:t>
      </w:r>
      <w:r>
        <w:rPr>
          <w:rFonts w:ascii="Times New Roman" w:hAnsi="Times New Roman" w:eastAsia="Times New Roman" w:cs="Times New Roman"/>
          <w:sz w:val="21"/>
          <w:szCs w:val="21"/>
        </w:rPr>
        <w:t>features that</w:t>
      </w:r>
      <w:r>
        <w:rPr>
          <w:rFonts w:ascii="Times New Roman" w:hAnsi="Times New Roman" w:eastAsia="Times New Roman" w:cs="Times New Roman"/>
          <w:spacing w:val="14"/>
          <w:sz w:val="21"/>
          <w:szCs w:val="21"/>
        </w:rPr>
        <w:t xml:space="preserve"> </w:t>
      </w:r>
      <w:r>
        <w:rPr>
          <w:rFonts w:ascii="Times New Roman" w:hAnsi="Times New Roman" w:eastAsia="Times New Roman" w:cs="Times New Roman"/>
          <w:sz w:val="21"/>
          <w:szCs w:val="21"/>
        </w:rPr>
        <w:t>characteriz</w:t>
      </w:r>
      <w:r>
        <w:rPr>
          <w:rFonts w:ascii="Times New Roman" w:hAnsi="Times New Roman" w:eastAsia="Times New Roman" w:cs="Times New Roman"/>
          <w:spacing w:val="-1"/>
          <w:sz w:val="21"/>
          <w:szCs w:val="21"/>
        </w:rPr>
        <w:t>e</w:t>
      </w:r>
      <w:r>
        <w:rPr>
          <w:rFonts w:ascii="Times New Roman" w:hAnsi="Times New Roman" w:eastAsia="Times New Roman" w:cs="Times New Roman"/>
          <w:spacing w:val="15"/>
          <w:w w:val="101"/>
          <w:sz w:val="21"/>
          <w:szCs w:val="21"/>
        </w:rPr>
        <w:t xml:space="preserve"> </w:t>
      </w:r>
      <w:r>
        <w:rPr>
          <w:rFonts w:ascii="Times New Roman" w:hAnsi="Times New Roman" w:eastAsia="Times New Roman" w:cs="Times New Roman"/>
          <w:spacing w:val="-1"/>
          <w:sz w:val="21"/>
          <w:szCs w:val="21"/>
        </w:rPr>
        <w:t>epidemiology,how</w:t>
      </w:r>
      <w:r>
        <w:rPr>
          <w:rFonts w:ascii="Times New Roman" w:hAnsi="Times New Roman" w:eastAsia="Times New Roman" w:cs="Times New Roman"/>
          <w:spacing w:val="15"/>
          <w:sz w:val="21"/>
          <w:szCs w:val="21"/>
        </w:rPr>
        <w:t xml:space="preserve"> </w:t>
      </w:r>
      <w:r>
        <w:rPr>
          <w:rFonts w:ascii="Times New Roman" w:hAnsi="Times New Roman" w:eastAsia="Times New Roman" w:cs="Times New Roman"/>
          <w:spacing w:val="-1"/>
          <w:sz w:val="21"/>
          <w:szCs w:val="21"/>
        </w:rPr>
        <w:t>epidemiology relates to</w:t>
      </w:r>
      <w:r>
        <w:rPr>
          <w:rFonts w:ascii="Times New Roman" w:hAnsi="Times New Roman" w:eastAsia="Times New Roman" w:cs="Times New Roman"/>
          <w:sz w:val="21"/>
          <w:szCs w:val="21"/>
        </w:rPr>
        <w:t xml:space="preserve"> </w:t>
      </w:r>
      <w:r>
        <w:rPr>
          <w:rFonts w:ascii="Times New Roman" w:hAnsi="Times New Roman" w:eastAsia="Times New Roman" w:cs="Times New Roman"/>
          <w:spacing w:val="-1"/>
          <w:sz w:val="21"/>
          <w:szCs w:val="21"/>
        </w:rPr>
        <w:t>other</w:t>
      </w:r>
      <w:r>
        <w:rPr>
          <w:rFonts w:ascii="Times New Roman" w:hAnsi="Times New Roman" w:eastAsia="Times New Roman" w:cs="Times New Roman"/>
          <w:spacing w:val="30"/>
          <w:w w:val="101"/>
          <w:sz w:val="21"/>
          <w:szCs w:val="21"/>
        </w:rPr>
        <w:t xml:space="preserve"> </w:t>
      </w:r>
      <w:r>
        <w:rPr>
          <w:rFonts w:ascii="Times New Roman" w:hAnsi="Times New Roman" w:eastAsia="Times New Roman" w:cs="Times New Roman"/>
          <w:spacing w:val="-1"/>
          <w:sz w:val="21"/>
          <w:szCs w:val="21"/>
        </w:rPr>
        <w:t>scientific</w:t>
      </w:r>
      <w:r>
        <w:rPr>
          <w:rFonts w:ascii="Times New Roman" w:hAnsi="Times New Roman" w:eastAsia="Times New Roman" w:cs="Times New Roman"/>
          <w:spacing w:val="24"/>
          <w:sz w:val="21"/>
          <w:szCs w:val="21"/>
        </w:rPr>
        <w:t xml:space="preserve"> </w:t>
      </w:r>
      <w:r>
        <w:rPr>
          <w:rFonts w:ascii="Times New Roman" w:hAnsi="Times New Roman" w:eastAsia="Times New Roman" w:cs="Times New Roman"/>
          <w:spacing w:val="-1"/>
          <w:sz w:val="21"/>
          <w:szCs w:val="21"/>
        </w:rPr>
        <w:t>disciplines,and</w:t>
      </w:r>
      <w:r>
        <w:rPr>
          <w:rFonts w:ascii="Times New Roman" w:hAnsi="Times New Roman" w:eastAsia="Times New Roman" w:cs="Times New Roman"/>
          <w:spacing w:val="16"/>
          <w:sz w:val="21"/>
          <w:szCs w:val="21"/>
        </w:rPr>
        <w:t xml:space="preserve"> </w:t>
      </w:r>
      <w:r>
        <w:rPr>
          <w:rFonts w:ascii="Times New Roman" w:hAnsi="Times New Roman" w:eastAsia="Times New Roman" w:cs="Times New Roman"/>
          <w:spacing w:val="-1"/>
          <w:sz w:val="21"/>
          <w:szCs w:val="21"/>
        </w:rPr>
        <w:t>potential</w:t>
      </w:r>
      <w:r>
        <w:rPr>
          <w:rFonts w:ascii="Times New Roman" w:hAnsi="Times New Roman" w:eastAsia="Times New Roman" w:cs="Times New Roman"/>
          <w:spacing w:val="25"/>
          <w:w w:val="101"/>
          <w:sz w:val="21"/>
          <w:szCs w:val="21"/>
        </w:rPr>
        <w:t xml:space="preserve"> </w:t>
      </w:r>
      <w:r>
        <w:rPr>
          <w:rFonts w:ascii="Times New Roman" w:hAnsi="Times New Roman" w:eastAsia="Times New Roman" w:cs="Times New Roman"/>
          <w:spacing w:val="-1"/>
          <w:sz w:val="21"/>
          <w:szCs w:val="21"/>
        </w:rPr>
        <w:t>future</w:t>
      </w:r>
      <w:r>
        <w:rPr>
          <w:rFonts w:ascii="Times New Roman" w:hAnsi="Times New Roman" w:eastAsia="Times New Roman" w:cs="Times New Roman"/>
          <w:spacing w:val="24"/>
          <w:sz w:val="21"/>
          <w:szCs w:val="21"/>
        </w:rPr>
        <w:t xml:space="preserve"> </w:t>
      </w:r>
      <w:r>
        <w:rPr>
          <w:rFonts w:ascii="Times New Roman" w:hAnsi="Times New Roman" w:eastAsia="Times New Roman" w:cs="Times New Roman"/>
          <w:spacing w:val="-1"/>
          <w:sz w:val="21"/>
          <w:szCs w:val="21"/>
        </w:rPr>
        <w:t>developments</w:t>
      </w:r>
      <w:r>
        <w:rPr>
          <w:rFonts w:ascii="Times New Roman" w:hAnsi="Times New Roman" w:eastAsia="Times New Roman" w:cs="Times New Roman"/>
          <w:spacing w:val="24"/>
          <w:w w:val="101"/>
          <w:sz w:val="21"/>
          <w:szCs w:val="21"/>
        </w:rPr>
        <w:t xml:space="preserve"> </w:t>
      </w:r>
      <w:r>
        <w:rPr>
          <w:rFonts w:ascii="Times New Roman" w:hAnsi="Times New Roman" w:eastAsia="Times New Roman" w:cs="Times New Roman"/>
          <w:spacing w:val="-1"/>
          <w:sz w:val="21"/>
          <w:szCs w:val="21"/>
        </w:rPr>
        <w:t>and</w:t>
      </w:r>
      <w:r>
        <w:rPr>
          <w:rFonts w:ascii="Times New Roman" w:hAnsi="Times New Roman" w:eastAsia="Times New Roman" w:cs="Times New Roman"/>
          <w:spacing w:val="23"/>
          <w:w w:val="101"/>
          <w:sz w:val="21"/>
          <w:szCs w:val="21"/>
        </w:rPr>
        <w:t xml:space="preserve"> </w:t>
      </w:r>
      <w:r>
        <w:rPr>
          <w:rFonts w:ascii="Times New Roman" w:hAnsi="Times New Roman" w:eastAsia="Times New Roman" w:cs="Times New Roman"/>
          <w:spacing w:val="-1"/>
          <w:sz w:val="21"/>
          <w:szCs w:val="21"/>
        </w:rPr>
        <w:t>challenges</w:t>
      </w:r>
      <w:r>
        <w:rPr>
          <w:rFonts w:ascii="Times New Roman" w:hAnsi="Times New Roman" w:eastAsia="Times New Roman" w:cs="Times New Roman"/>
          <w:spacing w:val="23"/>
          <w:w w:val="101"/>
          <w:sz w:val="21"/>
          <w:szCs w:val="21"/>
        </w:rPr>
        <w:t xml:space="preserve"> </w:t>
      </w:r>
      <w:r>
        <w:rPr>
          <w:rFonts w:ascii="Times New Roman" w:hAnsi="Times New Roman" w:eastAsia="Times New Roman" w:cs="Times New Roman"/>
          <w:spacing w:val="-1"/>
          <w:sz w:val="21"/>
          <w:szCs w:val="21"/>
        </w:rPr>
        <w:t>in</w:t>
      </w:r>
      <w:r>
        <w:rPr>
          <w:rFonts w:ascii="Times New Roman" w:hAnsi="Times New Roman" w:eastAsia="Times New Roman" w:cs="Times New Roman"/>
          <w:spacing w:val="19"/>
          <w:sz w:val="21"/>
          <w:szCs w:val="21"/>
        </w:rPr>
        <w:t xml:space="preserve"> </w:t>
      </w:r>
      <w:r>
        <w:rPr>
          <w:rFonts w:ascii="Times New Roman" w:hAnsi="Times New Roman" w:eastAsia="Times New Roman" w:cs="Times New Roman"/>
          <w:spacing w:val="-1"/>
          <w:sz w:val="21"/>
          <w:szCs w:val="21"/>
        </w:rPr>
        <w:t>the</w:t>
      </w:r>
      <w:r>
        <w:rPr>
          <w:rFonts w:ascii="Times New Roman" w:hAnsi="Times New Roman" w:eastAsia="Times New Roman" w:cs="Times New Roman"/>
          <w:spacing w:val="25"/>
          <w:sz w:val="21"/>
          <w:szCs w:val="21"/>
        </w:rPr>
        <w:t xml:space="preserve"> </w:t>
      </w:r>
      <w:r>
        <w:rPr>
          <w:rFonts w:ascii="Times New Roman" w:hAnsi="Times New Roman" w:eastAsia="Times New Roman" w:cs="Times New Roman"/>
          <w:spacing w:val="-1"/>
          <w:sz w:val="21"/>
          <w:szCs w:val="21"/>
        </w:rPr>
        <w:t>field.</w:t>
      </w:r>
    </w:p>
    <w:p w14:paraId="4789676E">
      <w:pPr>
        <w:spacing w:line="311" w:lineRule="auto"/>
        <w:rPr>
          <w:rFonts w:ascii="Arial"/>
          <w:sz w:val="21"/>
        </w:rPr>
      </w:pPr>
    </w:p>
    <w:p w14:paraId="001D2EA6">
      <w:pPr>
        <w:spacing w:before="68" w:line="320" w:lineRule="auto"/>
        <w:ind w:right="470" w:firstLine="430"/>
        <w:jc w:val="both"/>
        <w:rPr>
          <w:rFonts w:ascii="宋体" w:hAnsi="宋体" w:eastAsia="宋体" w:cs="宋体"/>
          <w:sz w:val="21"/>
          <w:szCs w:val="21"/>
        </w:rPr>
      </w:pPr>
      <w:r>
        <w:rPr>
          <w:rFonts w:ascii="宋体" w:hAnsi="宋体" w:eastAsia="宋体" w:cs="宋体"/>
          <w:spacing w:val="7"/>
          <w:sz w:val="21"/>
          <w:szCs w:val="21"/>
        </w:rPr>
        <w:t>流行病学</w:t>
      </w:r>
      <w:r>
        <w:rPr>
          <w:rFonts w:ascii="Times New Roman" w:hAnsi="Times New Roman" w:eastAsia="Times New Roman" w:cs="Times New Roman"/>
          <w:spacing w:val="7"/>
          <w:sz w:val="21"/>
          <w:szCs w:val="21"/>
        </w:rPr>
        <w:t>(</w:t>
      </w:r>
      <w:r>
        <w:rPr>
          <w:rFonts w:ascii="Times New Roman" w:hAnsi="Times New Roman" w:eastAsia="Times New Roman" w:cs="Times New Roman"/>
          <w:sz w:val="21"/>
          <w:szCs w:val="21"/>
        </w:rPr>
        <w:t>epidemiology</w:t>
      </w:r>
      <w:r>
        <w:rPr>
          <w:rFonts w:ascii="Times New Roman" w:hAnsi="Times New Roman" w:eastAsia="Times New Roman" w:cs="Times New Roman"/>
          <w:spacing w:val="7"/>
          <w:sz w:val="21"/>
          <w:szCs w:val="21"/>
        </w:rPr>
        <w:t>)</w:t>
      </w:r>
      <w:r>
        <w:rPr>
          <w:rFonts w:ascii="Times New Roman" w:hAnsi="Times New Roman" w:eastAsia="Times New Roman" w:cs="Times New Roman"/>
          <w:spacing w:val="52"/>
          <w:w w:val="101"/>
          <w:sz w:val="21"/>
          <w:szCs w:val="21"/>
        </w:rPr>
        <w:t xml:space="preserve"> </w:t>
      </w:r>
      <w:r>
        <w:rPr>
          <w:rFonts w:ascii="宋体" w:hAnsi="宋体" w:eastAsia="宋体" w:cs="宋体"/>
          <w:spacing w:val="7"/>
          <w:sz w:val="21"/>
          <w:szCs w:val="21"/>
        </w:rPr>
        <w:t>是人类与疾病斗争过程中逐渐发展起来的一门学科，其思想萌</w:t>
      </w:r>
      <w:r>
        <w:rPr>
          <w:rFonts w:ascii="宋体" w:hAnsi="宋体" w:eastAsia="宋体" w:cs="宋体"/>
          <w:spacing w:val="6"/>
          <w:sz w:val="21"/>
          <w:szCs w:val="21"/>
        </w:rPr>
        <w:t>芽可追</w:t>
      </w:r>
      <w:r>
        <w:rPr>
          <w:rFonts w:ascii="宋体" w:hAnsi="宋体" w:eastAsia="宋体" w:cs="宋体"/>
          <w:sz w:val="21"/>
          <w:szCs w:val="21"/>
        </w:rPr>
        <w:t xml:space="preserve">  </w:t>
      </w:r>
      <w:r>
        <w:rPr>
          <w:rFonts w:ascii="宋体" w:hAnsi="宋体" w:eastAsia="宋体" w:cs="宋体"/>
          <w:spacing w:val="9"/>
          <w:sz w:val="21"/>
          <w:szCs w:val="21"/>
        </w:rPr>
        <w:t>溯至2000多年前，但作为一门学科的基本形成则不过百余年。20世纪以来，流行病学在疾病防控</w:t>
      </w:r>
      <w:r>
        <w:rPr>
          <w:rFonts w:ascii="宋体" w:hAnsi="宋体" w:eastAsia="宋体" w:cs="宋体"/>
          <w:spacing w:val="6"/>
          <w:sz w:val="21"/>
          <w:szCs w:val="21"/>
        </w:rPr>
        <w:t xml:space="preserve">  </w:t>
      </w:r>
      <w:r>
        <w:rPr>
          <w:rFonts w:ascii="宋体" w:hAnsi="宋体" w:eastAsia="宋体" w:cs="宋体"/>
          <w:spacing w:val="10"/>
          <w:sz w:val="21"/>
          <w:szCs w:val="21"/>
        </w:rPr>
        <w:t>和健康促进方面发挥了重要作用。据美国疾病预防控制中心报告，20世纪</w:t>
      </w:r>
      <w:r>
        <w:rPr>
          <w:rFonts w:ascii="宋体" w:hAnsi="宋体" w:eastAsia="宋体" w:cs="宋体"/>
          <w:spacing w:val="9"/>
          <w:sz w:val="21"/>
          <w:szCs w:val="21"/>
        </w:rPr>
        <w:t>对改善人群健康贡献最</w:t>
      </w:r>
      <w:r>
        <w:rPr>
          <w:rFonts w:ascii="宋体" w:hAnsi="宋体" w:eastAsia="宋体" w:cs="宋体"/>
          <w:sz w:val="21"/>
          <w:szCs w:val="21"/>
        </w:rPr>
        <w:t xml:space="preserve">  大的十项公共卫生成就包括：预防接种、机动车安全性提升、工作场所安</w:t>
      </w:r>
      <w:r>
        <w:rPr>
          <w:rFonts w:ascii="宋体" w:hAnsi="宋体" w:eastAsia="宋体" w:cs="宋体"/>
          <w:spacing w:val="-1"/>
          <w:sz w:val="21"/>
          <w:szCs w:val="21"/>
        </w:rPr>
        <w:t>全改善、传染病控制、心脏</w:t>
      </w:r>
      <w:r>
        <w:rPr>
          <w:rFonts w:ascii="宋体" w:hAnsi="宋体" w:eastAsia="宋体" w:cs="宋体"/>
          <w:sz w:val="21"/>
          <w:szCs w:val="21"/>
        </w:rPr>
        <w:t xml:space="preserve">  </w:t>
      </w:r>
      <w:r>
        <w:rPr>
          <w:rFonts w:ascii="宋体" w:hAnsi="宋体" w:eastAsia="宋体" w:cs="宋体"/>
          <w:spacing w:val="2"/>
          <w:sz w:val="21"/>
          <w:szCs w:val="21"/>
        </w:rPr>
        <w:t>病和脑卒中死亡率下降、食品安全与营养健康提升、母婴健康改善、计划生育、饮水加氟以及控烟。</w:t>
      </w:r>
      <w:r>
        <w:rPr>
          <w:rFonts w:ascii="宋体" w:hAnsi="宋体" w:eastAsia="宋体" w:cs="宋体"/>
          <w:spacing w:val="5"/>
          <w:sz w:val="21"/>
          <w:szCs w:val="21"/>
        </w:rPr>
        <w:t xml:space="preserve"> </w:t>
      </w:r>
      <w:r>
        <w:rPr>
          <w:rFonts w:ascii="宋体" w:hAnsi="宋体" w:eastAsia="宋体" w:cs="宋体"/>
          <w:spacing w:val="10"/>
          <w:sz w:val="21"/>
          <w:szCs w:val="21"/>
        </w:rPr>
        <w:t>这些成就的取得均直接或间接地与流行病学相关。流行病学不仅是预防医学的骨干学科，随</w:t>
      </w:r>
      <w:r>
        <w:rPr>
          <w:rFonts w:ascii="宋体" w:hAnsi="宋体" w:eastAsia="宋体" w:cs="宋体"/>
          <w:spacing w:val="9"/>
          <w:sz w:val="21"/>
          <w:szCs w:val="21"/>
        </w:rPr>
        <w:t>着其</w:t>
      </w:r>
      <w:r>
        <w:rPr>
          <w:rFonts w:ascii="宋体" w:hAnsi="宋体" w:eastAsia="宋体" w:cs="宋体"/>
          <w:sz w:val="21"/>
          <w:szCs w:val="21"/>
        </w:rPr>
        <w:t xml:space="preserve">  </w:t>
      </w:r>
      <w:r>
        <w:rPr>
          <w:rFonts w:ascii="宋体" w:hAnsi="宋体" w:eastAsia="宋体" w:cs="宋体"/>
          <w:spacing w:val="4"/>
          <w:sz w:val="21"/>
          <w:szCs w:val="21"/>
        </w:rPr>
        <w:t>研究方法的不断完善和应用领域的拓展，也逐渐成为现代</w:t>
      </w:r>
      <w:r>
        <w:rPr>
          <w:rFonts w:ascii="宋体" w:hAnsi="宋体" w:eastAsia="宋体" w:cs="宋体"/>
          <w:spacing w:val="3"/>
          <w:sz w:val="21"/>
          <w:szCs w:val="21"/>
        </w:rPr>
        <w:t>医学的基础学科。</w:t>
      </w:r>
    </w:p>
    <w:p w14:paraId="2FA777A5">
      <w:pPr>
        <w:spacing w:line="381" w:lineRule="auto"/>
        <w:rPr>
          <w:rFonts w:ascii="Arial"/>
          <w:sz w:val="21"/>
        </w:rPr>
      </w:pPr>
    </w:p>
    <w:p w14:paraId="2FF91690">
      <w:pPr>
        <w:pStyle w:val="2"/>
        <w:spacing w:before="98" w:line="221" w:lineRule="auto"/>
        <w:ind w:left="3104"/>
        <w:outlineLvl w:val="1"/>
      </w:pPr>
      <w:bookmarkStart w:id="9" w:name="bookmark3"/>
      <w:bookmarkEnd w:id="9"/>
      <w:r>
        <w:rPr>
          <w:b/>
          <w:bCs/>
          <w:spacing w:val="1"/>
        </w:rPr>
        <w:t>第一节</w:t>
      </w:r>
      <w:r>
        <w:rPr>
          <w:spacing w:val="133"/>
        </w:rPr>
        <w:t xml:space="preserve"> </w:t>
      </w:r>
      <w:r>
        <w:rPr>
          <w:b/>
          <w:bCs/>
          <w:spacing w:val="1"/>
        </w:rPr>
        <w:t>流行病学简史</w:t>
      </w:r>
    </w:p>
    <w:p w14:paraId="083BC9EA">
      <w:pPr>
        <w:spacing w:line="366" w:lineRule="auto"/>
        <w:rPr>
          <w:rFonts w:ascii="Arial"/>
          <w:sz w:val="21"/>
        </w:rPr>
      </w:pPr>
    </w:p>
    <w:p w14:paraId="4094B072">
      <w:pPr>
        <w:pStyle w:val="2"/>
        <w:spacing w:before="82" w:line="221" w:lineRule="auto"/>
        <w:ind w:left="473"/>
        <w:outlineLvl w:val="2"/>
        <w:rPr>
          <w:sz w:val="25"/>
          <w:szCs w:val="25"/>
        </w:rPr>
      </w:pPr>
      <w:bookmarkStart w:id="10" w:name="bookmark4"/>
      <w:bookmarkEnd w:id="10"/>
      <w:r>
        <w:rPr>
          <w:b/>
          <w:bCs/>
          <w:sz w:val="25"/>
          <w:szCs w:val="25"/>
        </w:rPr>
        <w:t>一</w:t>
      </w:r>
      <w:r>
        <w:rPr>
          <w:spacing w:val="-49"/>
          <w:sz w:val="25"/>
          <w:szCs w:val="25"/>
        </w:rPr>
        <w:t xml:space="preserve"> </w:t>
      </w:r>
      <w:r>
        <w:rPr>
          <w:b/>
          <w:bCs/>
          <w:sz w:val="25"/>
          <w:szCs w:val="25"/>
        </w:rPr>
        <w:t>、流行病学发展史</w:t>
      </w:r>
    </w:p>
    <w:p w14:paraId="690B889C">
      <w:pPr>
        <w:spacing w:before="254" w:line="316" w:lineRule="auto"/>
        <w:ind w:right="560" w:firstLine="430"/>
        <w:jc w:val="both"/>
        <w:rPr>
          <w:rFonts w:ascii="宋体" w:hAnsi="宋体" w:eastAsia="宋体" w:cs="宋体"/>
          <w:sz w:val="21"/>
          <w:szCs w:val="21"/>
        </w:rPr>
      </w:pPr>
      <w:r>
        <w:rPr>
          <w:rFonts w:ascii="宋体" w:hAnsi="宋体" w:eastAsia="宋体" w:cs="宋体"/>
          <w:spacing w:val="10"/>
          <w:sz w:val="21"/>
          <w:szCs w:val="21"/>
        </w:rPr>
        <w:t>任何一门学科的出现都是历史的需要与必然，流行病学也不例外。它在与传染病的斗争中应</w:t>
      </w:r>
      <w:r>
        <w:rPr>
          <w:rFonts w:ascii="宋体" w:hAnsi="宋体" w:eastAsia="宋体" w:cs="宋体"/>
          <w:spacing w:val="8"/>
          <w:sz w:val="21"/>
          <w:szCs w:val="21"/>
        </w:rPr>
        <w:t xml:space="preserve"> </w:t>
      </w:r>
      <w:r>
        <w:rPr>
          <w:rFonts w:ascii="宋体" w:hAnsi="宋体" w:eastAsia="宋体" w:cs="宋体"/>
          <w:spacing w:val="10"/>
          <w:sz w:val="21"/>
          <w:szCs w:val="21"/>
        </w:rPr>
        <w:t>运而生，在防控疾病与促进健康的实践过程中不断发展与完善。作为一门科学，流行病学始于观</w:t>
      </w:r>
      <w:r>
        <w:rPr>
          <w:rFonts w:ascii="宋体" w:hAnsi="宋体" w:eastAsia="宋体" w:cs="宋体"/>
          <w:sz w:val="21"/>
          <w:szCs w:val="21"/>
        </w:rPr>
        <w:t xml:space="preserve"> 察，经过实践，上升为理论，进而揭示规律并采取措施予以改变，这是其</w:t>
      </w:r>
      <w:r>
        <w:rPr>
          <w:rFonts w:ascii="宋体" w:hAnsi="宋体" w:eastAsia="宋体" w:cs="宋体"/>
          <w:spacing w:val="-1"/>
          <w:sz w:val="21"/>
          <w:szCs w:val="21"/>
        </w:rPr>
        <w:t>发展的必然轨迹。在这条历</w:t>
      </w:r>
      <w:r>
        <w:rPr>
          <w:rFonts w:ascii="宋体" w:hAnsi="宋体" w:eastAsia="宋体" w:cs="宋体"/>
          <w:sz w:val="21"/>
          <w:szCs w:val="21"/>
        </w:rPr>
        <w:t xml:space="preserve"> </w:t>
      </w:r>
      <w:r>
        <w:rPr>
          <w:rFonts w:ascii="宋体" w:hAnsi="宋体" w:eastAsia="宋体" w:cs="宋体"/>
          <w:spacing w:val="5"/>
          <w:sz w:val="21"/>
          <w:szCs w:val="21"/>
        </w:rPr>
        <w:t>史长河中，许多先驱功不可没，正是他们的创造性贡献推动了流行病学的形成与发展。梳理流</w:t>
      </w:r>
      <w:r>
        <w:rPr>
          <w:rFonts w:ascii="宋体" w:hAnsi="宋体" w:eastAsia="宋体" w:cs="宋体"/>
          <w:spacing w:val="4"/>
          <w:sz w:val="21"/>
          <w:szCs w:val="21"/>
        </w:rPr>
        <w:t>行病</w:t>
      </w:r>
      <w:r>
        <w:rPr>
          <w:rFonts w:ascii="宋体" w:hAnsi="宋体" w:eastAsia="宋体" w:cs="宋体"/>
          <w:sz w:val="21"/>
          <w:szCs w:val="21"/>
        </w:rPr>
        <w:t xml:space="preserve"> </w:t>
      </w:r>
      <w:r>
        <w:rPr>
          <w:rFonts w:ascii="宋体" w:hAnsi="宋体" w:eastAsia="宋体" w:cs="宋体"/>
          <w:spacing w:val="4"/>
          <w:sz w:val="21"/>
          <w:szCs w:val="21"/>
        </w:rPr>
        <w:t>学发展史，可以帮助我们了解该学科的特点及在历史上的重要地位和独特作用。</w:t>
      </w:r>
    </w:p>
    <w:p w14:paraId="016C6171">
      <w:pPr>
        <w:pStyle w:val="2"/>
        <w:spacing w:before="1" w:line="220" w:lineRule="auto"/>
        <w:ind w:left="433"/>
        <w:rPr>
          <w:sz w:val="25"/>
          <w:szCs w:val="25"/>
        </w:rPr>
      </w:pPr>
      <w:r>
        <w:rPr>
          <w:b/>
          <w:bCs/>
          <w:spacing w:val="-9"/>
          <w:sz w:val="25"/>
          <w:szCs w:val="25"/>
        </w:rPr>
        <w:t>(一)学科形成前期</w:t>
      </w:r>
    </w:p>
    <w:p w14:paraId="2830EC24">
      <w:pPr>
        <w:spacing w:before="92" w:line="319" w:lineRule="auto"/>
        <w:ind w:right="469" w:firstLine="430"/>
        <w:jc w:val="both"/>
        <w:rPr>
          <w:rFonts w:ascii="宋体" w:hAnsi="宋体" w:eastAsia="宋体" w:cs="宋体"/>
          <w:sz w:val="21"/>
          <w:szCs w:val="21"/>
        </w:rPr>
      </w:pPr>
      <w:r>
        <w:rPr>
          <w:rFonts w:ascii="宋体" w:hAnsi="宋体" w:eastAsia="宋体" w:cs="宋体"/>
          <w:spacing w:val="7"/>
          <w:sz w:val="21"/>
          <w:szCs w:val="21"/>
        </w:rPr>
        <w:t>学科形成前期指的是自有人类文明史以来至18世纪这一漫长的历史阶段。在这一时期，完整、</w:t>
      </w:r>
      <w:r>
        <w:rPr>
          <w:rFonts w:ascii="宋体" w:hAnsi="宋体" w:eastAsia="宋体" w:cs="宋体"/>
          <w:sz w:val="21"/>
          <w:szCs w:val="21"/>
        </w:rPr>
        <w:t xml:space="preserve"> </w:t>
      </w:r>
      <w:r>
        <w:rPr>
          <w:rFonts w:ascii="宋体" w:hAnsi="宋体" w:eastAsia="宋体" w:cs="宋体"/>
          <w:spacing w:val="5"/>
          <w:sz w:val="21"/>
          <w:szCs w:val="21"/>
        </w:rPr>
        <w:t>清晰的学科体系尚未形成，但与其密切相关的一</w:t>
      </w:r>
      <w:r>
        <w:rPr>
          <w:rFonts w:ascii="宋体" w:hAnsi="宋体" w:eastAsia="宋体" w:cs="宋体"/>
          <w:spacing w:val="4"/>
          <w:sz w:val="21"/>
          <w:szCs w:val="21"/>
        </w:rPr>
        <w:t>些概念、对人群现象的观察以及所采取的措施，已</w:t>
      </w:r>
      <w:r>
        <w:rPr>
          <w:rFonts w:ascii="宋体" w:hAnsi="宋体" w:eastAsia="宋体" w:cs="宋体"/>
          <w:sz w:val="21"/>
          <w:szCs w:val="21"/>
        </w:rPr>
        <w:t xml:space="preserve">  </w:t>
      </w:r>
      <w:r>
        <w:rPr>
          <w:rFonts w:ascii="宋体" w:hAnsi="宋体" w:eastAsia="宋体" w:cs="宋体"/>
          <w:spacing w:val="6"/>
          <w:sz w:val="21"/>
          <w:szCs w:val="21"/>
        </w:rPr>
        <w:t>经构成流行病学学科的雏形。</w:t>
      </w:r>
    </w:p>
    <w:p w14:paraId="136EA401">
      <w:pPr>
        <w:spacing w:before="5" w:line="320" w:lineRule="auto"/>
        <w:ind w:right="529" w:firstLine="430"/>
        <w:jc w:val="both"/>
        <w:rPr>
          <w:rFonts w:ascii="宋体" w:hAnsi="宋体" w:eastAsia="宋体" w:cs="宋体"/>
          <w:sz w:val="21"/>
          <w:szCs w:val="21"/>
        </w:rPr>
      </w:pPr>
      <w:r>
        <w:rPr>
          <w:rFonts w:ascii="Times New Roman" w:hAnsi="Times New Roman" w:eastAsia="Times New Roman" w:cs="Times New Roman"/>
          <w:spacing w:val="2"/>
          <w:sz w:val="21"/>
          <w:szCs w:val="21"/>
        </w:rPr>
        <w:t xml:space="preserve">1.  </w:t>
      </w:r>
      <w:r>
        <w:rPr>
          <w:rFonts w:ascii="宋体" w:hAnsi="宋体" w:eastAsia="宋体" w:cs="宋体"/>
          <w:spacing w:val="2"/>
          <w:sz w:val="21"/>
          <w:szCs w:val="21"/>
        </w:rPr>
        <w:t>古希腊著名医师希波克拉底</w:t>
      </w:r>
      <w:r>
        <w:rPr>
          <w:rFonts w:ascii="Times New Roman" w:hAnsi="Times New Roman" w:eastAsia="Times New Roman" w:cs="Times New Roman"/>
          <w:spacing w:val="2"/>
          <w:sz w:val="21"/>
          <w:szCs w:val="21"/>
        </w:rPr>
        <w:t>(</w:t>
      </w:r>
      <w:r>
        <w:rPr>
          <w:rFonts w:ascii="Times New Roman" w:hAnsi="Times New Roman" w:eastAsia="Times New Roman" w:cs="Times New Roman"/>
          <w:sz w:val="21"/>
          <w:szCs w:val="21"/>
        </w:rPr>
        <w:t>Hippocrates</w:t>
      </w:r>
      <w:r>
        <w:rPr>
          <w:rFonts w:ascii="Times New Roman" w:hAnsi="Times New Roman" w:eastAsia="Times New Roman" w:cs="Times New Roman"/>
          <w:spacing w:val="2"/>
          <w:sz w:val="21"/>
          <w:szCs w:val="21"/>
        </w:rPr>
        <w:t xml:space="preserve">)   </w:t>
      </w:r>
      <w:r>
        <w:rPr>
          <w:rFonts w:ascii="宋体" w:hAnsi="宋体" w:eastAsia="宋体" w:cs="宋体"/>
          <w:spacing w:val="2"/>
          <w:sz w:val="21"/>
          <w:szCs w:val="21"/>
        </w:rPr>
        <w:t>的著作《空气、水</w:t>
      </w:r>
      <w:r>
        <w:rPr>
          <w:rFonts w:ascii="宋体" w:hAnsi="宋体" w:eastAsia="宋体" w:cs="宋体"/>
          <w:spacing w:val="1"/>
          <w:sz w:val="21"/>
          <w:szCs w:val="21"/>
        </w:rPr>
        <w:t>及地点》是全世界最早系统表述</w:t>
      </w:r>
      <w:r>
        <w:rPr>
          <w:rFonts w:ascii="宋体" w:hAnsi="宋体" w:eastAsia="宋体" w:cs="宋体"/>
          <w:sz w:val="21"/>
          <w:szCs w:val="21"/>
        </w:rPr>
        <w:t xml:space="preserve"> </w:t>
      </w:r>
      <w:r>
        <w:rPr>
          <w:rFonts w:ascii="宋体" w:hAnsi="宋体" w:eastAsia="宋体" w:cs="宋体"/>
          <w:spacing w:val="6"/>
          <w:sz w:val="21"/>
          <w:szCs w:val="21"/>
        </w:rPr>
        <w:t>自然环境与疾病关系的文献。他还传授了观察疾病在人群中传播</w:t>
      </w:r>
      <w:r>
        <w:rPr>
          <w:rFonts w:ascii="宋体" w:hAnsi="宋体" w:eastAsia="宋体" w:cs="宋体"/>
          <w:spacing w:val="5"/>
          <w:sz w:val="21"/>
          <w:szCs w:val="21"/>
        </w:rPr>
        <w:t>和探讨疾病流行影响因素的方法，</w:t>
      </w:r>
      <w:r>
        <w:rPr>
          <w:rFonts w:ascii="宋体" w:hAnsi="宋体" w:eastAsia="宋体" w:cs="宋体"/>
          <w:sz w:val="21"/>
          <w:szCs w:val="21"/>
        </w:rPr>
        <w:t xml:space="preserve"> </w:t>
      </w:r>
      <w:r>
        <w:rPr>
          <w:rFonts w:ascii="宋体" w:hAnsi="宋体" w:eastAsia="宋体" w:cs="宋体"/>
          <w:spacing w:val="-9"/>
          <w:sz w:val="21"/>
          <w:szCs w:val="21"/>
        </w:rPr>
        <w:t>并且“流行”</w:t>
      </w:r>
      <w:r>
        <w:rPr>
          <w:rFonts w:ascii="Times New Roman" w:hAnsi="Times New Roman" w:eastAsia="Times New Roman" w:cs="Times New Roman"/>
          <w:spacing w:val="-9"/>
          <w:sz w:val="21"/>
          <w:szCs w:val="21"/>
        </w:rPr>
        <w:t>(epidemie)</w:t>
      </w:r>
      <w:r>
        <w:rPr>
          <w:rFonts w:ascii="Times New Roman" w:hAnsi="Times New Roman" w:eastAsia="Times New Roman" w:cs="Times New Roman"/>
          <w:spacing w:val="26"/>
          <w:sz w:val="21"/>
          <w:szCs w:val="21"/>
        </w:rPr>
        <w:t xml:space="preserve">  </w:t>
      </w:r>
      <w:r>
        <w:rPr>
          <w:rFonts w:ascii="宋体" w:hAnsi="宋体" w:eastAsia="宋体" w:cs="宋体"/>
          <w:spacing w:val="-9"/>
          <w:sz w:val="21"/>
          <w:szCs w:val="21"/>
        </w:rPr>
        <w:t>一词也首次出现在他的著作中。在我国，汉朝已有了“疫”“时疫”“疫疠”等</w:t>
      </w:r>
      <w:r>
        <w:rPr>
          <w:rFonts w:ascii="宋体" w:hAnsi="宋体" w:eastAsia="宋体" w:cs="宋体"/>
          <w:spacing w:val="1"/>
          <w:sz w:val="21"/>
          <w:szCs w:val="21"/>
        </w:rPr>
        <w:t xml:space="preserve"> </w:t>
      </w:r>
      <w:r>
        <w:rPr>
          <w:rFonts w:ascii="宋体" w:hAnsi="宋体" w:eastAsia="宋体" w:cs="宋体"/>
          <w:spacing w:val="-14"/>
          <w:sz w:val="21"/>
          <w:szCs w:val="21"/>
        </w:rPr>
        <w:t>描述疾病流行的词汇，如《说文解字》中的“疫，民皆疾也”,以及《素问</w:t>
      </w:r>
      <w:r>
        <w:rPr>
          <w:rFonts w:ascii="宋体" w:hAnsi="宋体" w:eastAsia="宋体" w:cs="宋体"/>
          <w:spacing w:val="-29"/>
          <w:sz w:val="21"/>
          <w:szCs w:val="21"/>
        </w:rPr>
        <w:t xml:space="preserve"> </w:t>
      </w:r>
      <w:r>
        <w:rPr>
          <w:rFonts w:ascii="宋体" w:hAnsi="宋体" w:eastAsia="宋体" w:cs="宋体"/>
          <w:spacing w:val="-14"/>
          <w:sz w:val="21"/>
          <w:szCs w:val="21"/>
        </w:rPr>
        <w:t>·刺法论》中的“五疫</w:t>
      </w:r>
      <w:r>
        <w:rPr>
          <w:rFonts w:ascii="宋体" w:hAnsi="宋体" w:eastAsia="宋体" w:cs="宋体"/>
          <w:spacing w:val="-15"/>
          <w:sz w:val="21"/>
          <w:szCs w:val="21"/>
        </w:rPr>
        <w:t>之至，皆</w:t>
      </w:r>
      <w:r>
        <w:rPr>
          <w:rFonts w:ascii="宋体" w:hAnsi="宋体" w:eastAsia="宋体" w:cs="宋体"/>
          <w:sz w:val="21"/>
          <w:szCs w:val="21"/>
        </w:rPr>
        <w:t xml:space="preserve">  </w:t>
      </w:r>
      <w:r>
        <w:rPr>
          <w:rFonts w:ascii="宋体" w:hAnsi="宋体" w:eastAsia="宋体" w:cs="宋体"/>
          <w:spacing w:val="-13"/>
          <w:sz w:val="21"/>
          <w:szCs w:val="21"/>
        </w:rPr>
        <w:t>相染易，无问大小，病状相似”。</w:t>
      </w:r>
    </w:p>
    <w:p w14:paraId="5E13ECAA">
      <w:pPr>
        <w:spacing w:line="320" w:lineRule="auto"/>
        <w:rPr>
          <w:rFonts w:ascii="宋体" w:hAnsi="宋体" w:eastAsia="宋体" w:cs="宋体"/>
          <w:sz w:val="21"/>
          <w:szCs w:val="21"/>
        </w:rPr>
        <w:sectPr>
          <w:footerReference r:id="rId31" w:type="default"/>
          <w:pgSz w:w="11900" w:h="16820"/>
          <w:pgMar w:top="400" w:right="815" w:bottom="827" w:left="1279" w:header="0" w:footer="709" w:gutter="0"/>
          <w:cols w:space="720" w:num="1"/>
        </w:sectPr>
      </w:pPr>
    </w:p>
    <w:p w14:paraId="0FBC0A9F">
      <w:pPr>
        <w:pStyle w:val="2"/>
        <w:spacing w:before="276" w:line="222" w:lineRule="auto"/>
        <w:ind w:left="709"/>
        <w:rPr>
          <w:sz w:val="20"/>
          <w:szCs w:val="20"/>
        </w:rPr>
      </w:pPr>
      <w:bookmarkStart w:id="11" w:name="bookmark405"/>
      <w:bookmarkEnd w:id="11"/>
      <w:r>
        <w:rPr>
          <w:spacing w:val="-2"/>
          <w:sz w:val="20"/>
          <w:szCs w:val="20"/>
        </w:rPr>
        <w:t>第一章绪论</w:t>
      </w:r>
    </w:p>
    <w:p w14:paraId="2A37BB65">
      <w:pPr>
        <w:spacing w:line="276" w:lineRule="auto"/>
        <w:rPr>
          <w:rFonts w:ascii="Arial"/>
          <w:sz w:val="21"/>
        </w:rPr>
      </w:pPr>
    </w:p>
    <w:p w14:paraId="5191506F">
      <w:pPr>
        <w:spacing w:line="276" w:lineRule="auto"/>
        <w:rPr>
          <w:rFonts w:ascii="Arial"/>
          <w:sz w:val="21"/>
        </w:rPr>
      </w:pPr>
    </w:p>
    <w:p w14:paraId="6CFCDFED">
      <w:pPr>
        <w:spacing w:before="65" w:line="329" w:lineRule="auto"/>
        <w:ind w:left="709" w:right="58" w:firstLine="400"/>
        <w:jc w:val="both"/>
        <w:rPr>
          <w:rFonts w:ascii="宋体" w:hAnsi="宋体" w:eastAsia="宋体" w:cs="宋体"/>
          <w:sz w:val="20"/>
          <w:szCs w:val="20"/>
        </w:rPr>
      </w:pPr>
      <w:r>
        <w:rPr>
          <w:rFonts w:ascii="宋体" w:hAnsi="宋体" w:eastAsia="宋体" w:cs="宋体"/>
          <w:spacing w:val="7"/>
          <w:sz w:val="20"/>
          <w:szCs w:val="20"/>
        </w:rPr>
        <w:t>2.14—15世纪，意大利威尼斯制定了原始的海港检疫法规，要求外来船只必须先在港外停留</w:t>
      </w:r>
      <w:r>
        <w:rPr>
          <w:rFonts w:ascii="宋体" w:hAnsi="宋体" w:eastAsia="宋体" w:cs="宋体"/>
          <w:spacing w:val="16"/>
          <w:sz w:val="20"/>
          <w:szCs w:val="20"/>
        </w:rPr>
        <w:t xml:space="preserve"> </w:t>
      </w:r>
      <w:r>
        <w:rPr>
          <w:rFonts w:ascii="宋体" w:hAnsi="宋体" w:eastAsia="宋体" w:cs="宋体"/>
          <w:spacing w:val="1"/>
          <w:sz w:val="20"/>
          <w:szCs w:val="20"/>
        </w:rPr>
        <w:t>40天，成为最早的检疫</w:t>
      </w:r>
      <w:r>
        <w:rPr>
          <w:rFonts w:ascii="Times New Roman" w:hAnsi="Times New Roman" w:eastAsia="Times New Roman" w:cs="Times New Roman"/>
          <w:spacing w:val="1"/>
          <w:sz w:val="20"/>
          <w:szCs w:val="20"/>
        </w:rPr>
        <w:t>(</w:t>
      </w:r>
      <w:r>
        <w:rPr>
          <w:rFonts w:ascii="Times New Roman" w:hAnsi="Times New Roman" w:eastAsia="Times New Roman" w:cs="Times New Roman"/>
          <w:sz w:val="20"/>
          <w:szCs w:val="20"/>
        </w:rPr>
        <w:t>quarantine</w:t>
      </w:r>
      <w:r>
        <w:rPr>
          <w:rFonts w:ascii="Times New Roman" w:hAnsi="Times New Roman" w:eastAsia="Times New Roman" w:cs="Times New Roman"/>
          <w:spacing w:val="1"/>
          <w:sz w:val="20"/>
          <w:szCs w:val="20"/>
        </w:rPr>
        <w:t xml:space="preserve">)  </w:t>
      </w:r>
      <w:r>
        <w:rPr>
          <w:rFonts w:ascii="宋体" w:hAnsi="宋体" w:eastAsia="宋体" w:cs="宋体"/>
          <w:spacing w:val="1"/>
          <w:sz w:val="20"/>
          <w:szCs w:val="20"/>
        </w:rPr>
        <w:t xml:space="preserve">措施。同时，威尼斯还建立了首家传染病隔离医院。在我国，隋 </w:t>
      </w:r>
      <w:r>
        <w:rPr>
          <w:rFonts w:ascii="宋体" w:hAnsi="宋体" w:eastAsia="宋体" w:cs="宋体"/>
          <w:spacing w:val="-2"/>
          <w:sz w:val="20"/>
          <w:szCs w:val="20"/>
        </w:rPr>
        <w:t>朝时期就开设了“疠人坊”以隔离麻风病病人</w:t>
      </w:r>
      <w:r>
        <w:rPr>
          <w:rFonts w:ascii="宋体" w:hAnsi="宋体" w:eastAsia="宋体" w:cs="宋体"/>
          <w:spacing w:val="-3"/>
          <w:sz w:val="20"/>
          <w:szCs w:val="20"/>
        </w:rPr>
        <w:t>，是传染病隔离的早期实践。</w:t>
      </w:r>
    </w:p>
    <w:p w14:paraId="0845887F">
      <w:pPr>
        <w:spacing w:before="27" w:line="339" w:lineRule="auto"/>
        <w:ind w:left="709" w:right="71" w:firstLine="400"/>
        <w:jc w:val="both"/>
        <w:rPr>
          <w:rFonts w:ascii="宋体" w:hAnsi="宋体" w:eastAsia="宋体" w:cs="宋体"/>
          <w:sz w:val="20"/>
          <w:szCs w:val="20"/>
        </w:rPr>
      </w:pPr>
      <w:r>
        <w:rPr>
          <w:rFonts w:ascii="宋体" w:hAnsi="宋体" w:eastAsia="宋体" w:cs="宋体"/>
          <w:spacing w:val="6"/>
          <w:sz w:val="20"/>
          <w:szCs w:val="20"/>
        </w:rPr>
        <w:t>3.1662年，英国的</w:t>
      </w:r>
      <w:r>
        <w:rPr>
          <w:rFonts w:ascii="Times New Roman" w:hAnsi="Times New Roman" w:eastAsia="Times New Roman" w:cs="Times New Roman"/>
          <w:sz w:val="20"/>
          <w:szCs w:val="20"/>
        </w:rPr>
        <w:t>John</w:t>
      </w:r>
      <w:r>
        <w:rPr>
          <w:rFonts w:ascii="Times New Roman" w:hAnsi="Times New Roman" w:eastAsia="Times New Roman" w:cs="Times New Roman"/>
          <w:spacing w:val="24"/>
          <w:sz w:val="20"/>
          <w:szCs w:val="20"/>
        </w:rPr>
        <w:t xml:space="preserve">  </w:t>
      </w:r>
      <w:r>
        <w:rPr>
          <w:rFonts w:ascii="Times New Roman" w:hAnsi="Times New Roman" w:eastAsia="Times New Roman" w:cs="Times New Roman"/>
          <w:sz w:val="20"/>
          <w:szCs w:val="20"/>
        </w:rPr>
        <w:t>Graunt</w:t>
      </w:r>
      <w:r>
        <w:rPr>
          <w:rFonts w:ascii="宋体" w:hAnsi="宋体" w:eastAsia="宋体" w:cs="宋体"/>
          <w:spacing w:val="6"/>
          <w:sz w:val="20"/>
          <w:szCs w:val="20"/>
        </w:rPr>
        <w:t>首次利用伦敦的死亡数据进行了死亡分布及规律研究</w:t>
      </w:r>
      <w:r>
        <w:rPr>
          <w:rFonts w:ascii="宋体" w:hAnsi="宋体" w:eastAsia="宋体" w:cs="宋体"/>
          <w:spacing w:val="5"/>
          <w:sz w:val="20"/>
          <w:szCs w:val="20"/>
        </w:rPr>
        <w:t>，创制了</w:t>
      </w:r>
      <w:r>
        <w:rPr>
          <w:rFonts w:ascii="宋体" w:hAnsi="宋体" w:eastAsia="宋体" w:cs="宋体"/>
          <w:sz w:val="20"/>
          <w:szCs w:val="20"/>
        </w:rPr>
        <w:t xml:space="preserve"> </w:t>
      </w:r>
      <w:r>
        <w:rPr>
          <w:rFonts w:ascii="宋体" w:hAnsi="宋体" w:eastAsia="宋体" w:cs="宋体"/>
          <w:spacing w:val="3"/>
          <w:sz w:val="20"/>
          <w:szCs w:val="20"/>
        </w:rPr>
        <w:t>第一张寿命表，用生存概率和死亡概率描述人群</w:t>
      </w:r>
      <w:r>
        <w:rPr>
          <w:rFonts w:ascii="宋体" w:hAnsi="宋体" w:eastAsia="宋体" w:cs="宋体"/>
          <w:spacing w:val="2"/>
          <w:sz w:val="20"/>
          <w:szCs w:val="20"/>
        </w:rPr>
        <w:t>的死亡经历，计算期望寿命。他还提出了设立比较</w:t>
      </w:r>
      <w:r>
        <w:rPr>
          <w:rFonts w:ascii="宋体" w:hAnsi="宋体" w:eastAsia="宋体" w:cs="宋体"/>
          <w:sz w:val="20"/>
          <w:szCs w:val="20"/>
        </w:rPr>
        <w:t xml:space="preserve"> 组的思想，并将统计学引入流行病学领域。</w:t>
      </w:r>
    </w:p>
    <w:p w14:paraId="6EC7DC98">
      <w:pPr>
        <w:pStyle w:val="2"/>
        <w:spacing w:before="1" w:line="220" w:lineRule="auto"/>
        <w:ind w:left="1110"/>
        <w:rPr>
          <w:sz w:val="23"/>
          <w:szCs w:val="23"/>
        </w:rPr>
      </w:pPr>
      <w:r>
        <w:rPr>
          <w:sz w:val="23"/>
          <w:szCs w:val="23"/>
        </w:rPr>
        <w:t>(二)学科形成期</w:t>
      </w:r>
    </w:p>
    <w:p w14:paraId="07FC00B5">
      <w:pPr>
        <w:spacing w:before="76" w:line="344" w:lineRule="auto"/>
        <w:ind w:left="709" w:right="89" w:firstLine="400"/>
        <w:jc w:val="both"/>
        <w:rPr>
          <w:rFonts w:ascii="宋体" w:hAnsi="宋体" w:eastAsia="宋体" w:cs="宋体"/>
          <w:sz w:val="20"/>
          <w:szCs w:val="20"/>
        </w:rPr>
      </w:pPr>
      <w:r>
        <w:rPr>
          <w:rFonts w:ascii="宋体" w:hAnsi="宋体" w:eastAsia="宋体" w:cs="宋体"/>
          <w:spacing w:val="7"/>
          <w:sz w:val="20"/>
          <w:szCs w:val="20"/>
        </w:rPr>
        <w:t>学科形成期指的是18世纪下半叶至20世纪上半叶，历时约两百年。此期间，</w:t>
      </w:r>
      <w:r>
        <w:rPr>
          <w:rFonts w:ascii="宋体" w:hAnsi="宋体" w:eastAsia="宋体" w:cs="宋体"/>
          <w:spacing w:val="6"/>
          <w:sz w:val="20"/>
          <w:szCs w:val="20"/>
        </w:rPr>
        <w:t>正值西方工业革</w:t>
      </w:r>
      <w:r>
        <w:rPr>
          <w:rFonts w:ascii="宋体" w:hAnsi="宋体" w:eastAsia="宋体" w:cs="宋体"/>
          <w:sz w:val="20"/>
          <w:szCs w:val="20"/>
        </w:rPr>
        <w:t xml:space="preserve"> </w:t>
      </w:r>
      <w:r>
        <w:rPr>
          <w:rFonts w:ascii="宋体" w:hAnsi="宋体" w:eastAsia="宋体" w:cs="宋体"/>
          <w:spacing w:val="2"/>
          <w:sz w:val="20"/>
          <w:szCs w:val="20"/>
        </w:rPr>
        <w:t>命与资本主义社会的兴起与迅速发展，城市人口急剧增加，为传染病的流行创造了条件，也使流行</w:t>
      </w:r>
      <w:r>
        <w:rPr>
          <w:rFonts w:ascii="宋体" w:hAnsi="宋体" w:eastAsia="宋体" w:cs="宋体"/>
          <w:spacing w:val="3"/>
          <w:sz w:val="20"/>
          <w:szCs w:val="20"/>
        </w:rPr>
        <w:t xml:space="preserve"> 病学学科的诞生成为必然。</w:t>
      </w:r>
    </w:p>
    <w:p w14:paraId="61FD3C64">
      <w:pPr>
        <w:spacing w:before="2" w:line="343" w:lineRule="auto"/>
        <w:ind w:left="709" w:right="20" w:firstLine="400"/>
        <w:rPr>
          <w:rFonts w:ascii="宋体" w:hAnsi="宋体" w:eastAsia="宋体" w:cs="宋体"/>
          <w:sz w:val="20"/>
          <w:szCs w:val="20"/>
        </w:rPr>
      </w:pPr>
      <w:r>
        <w:rPr>
          <w:rFonts w:ascii="宋体" w:hAnsi="宋体" w:eastAsia="宋体" w:cs="宋体"/>
          <w:spacing w:val="6"/>
          <w:sz w:val="20"/>
          <w:szCs w:val="20"/>
        </w:rPr>
        <w:t>1.1747年，英国海军外科医师</w:t>
      </w:r>
      <w:r>
        <w:rPr>
          <w:rFonts w:ascii="宋体" w:hAnsi="宋体" w:eastAsia="宋体" w:cs="宋体"/>
          <w:sz w:val="20"/>
          <w:szCs w:val="20"/>
        </w:rPr>
        <w:t>James</w:t>
      </w:r>
      <w:r>
        <w:rPr>
          <w:rFonts w:ascii="宋体" w:hAnsi="宋体" w:eastAsia="宋体" w:cs="宋体"/>
          <w:spacing w:val="6"/>
          <w:sz w:val="20"/>
          <w:szCs w:val="20"/>
        </w:rPr>
        <w:t xml:space="preserve"> </w:t>
      </w:r>
      <w:r>
        <w:rPr>
          <w:rFonts w:ascii="宋体" w:hAnsi="宋体" w:eastAsia="宋体" w:cs="宋体"/>
          <w:sz w:val="20"/>
          <w:szCs w:val="20"/>
        </w:rPr>
        <w:t>Lind</w:t>
      </w:r>
      <w:r>
        <w:rPr>
          <w:rFonts w:ascii="宋体" w:hAnsi="宋体" w:eastAsia="宋体" w:cs="宋体"/>
          <w:spacing w:val="6"/>
          <w:sz w:val="20"/>
          <w:szCs w:val="20"/>
        </w:rPr>
        <w:t>将12名患坏血病的海员分为6组，给予不同的干预。</w:t>
      </w:r>
      <w:r>
        <w:rPr>
          <w:rFonts w:ascii="宋体" w:hAnsi="宋体" w:eastAsia="宋体" w:cs="宋体"/>
          <w:spacing w:val="12"/>
          <w:sz w:val="20"/>
          <w:szCs w:val="20"/>
        </w:rPr>
        <w:t xml:space="preserve"> </w:t>
      </w:r>
      <w:r>
        <w:rPr>
          <w:rFonts w:ascii="宋体" w:hAnsi="宋体" w:eastAsia="宋体" w:cs="宋体"/>
          <w:spacing w:val="2"/>
          <w:sz w:val="20"/>
          <w:szCs w:val="20"/>
        </w:rPr>
        <w:t>其研究不仅证实了柑橘类水果的疗效，更开创了设有对照组的临床试验的先河。</w:t>
      </w:r>
    </w:p>
    <w:p w14:paraId="7C2A2BE5">
      <w:pPr>
        <w:spacing w:before="6" w:line="335" w:lineRule="auto"/>
        <w:ind w:left="709" w:right="81" w:firstLine="400"/>
        <w:rPr>
          <w:rFonts w:ascii="宋体" w:hAnsi="宋体" w:eastAsia="宋体" w:cs="宋体"/>
          <w:sz w:val="20"/>
          <w:szCs w:val="20"/>
        </w:rPr>
      </w:pPr>
      <w:r>
        <w:rPr>
          <w:rFonts w:ascii="宋体" w:hAnsi="宋体" w:eastAsia="宋体" w:cs="宋体"/>
          <w:spacing w:val="2"/>
          <w:sz w:val="20"/>
          <w:szCs w:val="20"/>
        </w:rPr>
        <w:t>2.1796年，英国医师</w:t>
      </w:r>
      <w:r>
        <w:rPr>
          <w:rFonts w:ascii="Times New Roman" w:hAnsi="Times New Roman" w:eastAsia="Times New Roman" w:cs="Times New Roman"/>
          <w:sz w:val="20"/>
          <w:szCs w:val="20"/>
        </w:rPr>
        <w:t>Edward</w:t>
      </w:r>
      <w:r>
        <w:rPr>
          <w:rFonts w:ascii="Times New Roman" w:hAnsi="Times New Roman" w:eastAsia="Times New Roman" w:cs="Times New Roman"/>
          <w:spacing w:val="44"/>
          <w:sz w:val="20"/>
          <w:szCs w:val="20"/>
        </w:rPr>
        <w:t xml:space="preserve"> </w:t>
      </w:r>
      <w:r>
        <w:rPr>
          <w:rFonts w:ascii="Times New Roman" w:hAnsi="Times New Roman" w:eastAsia="Times New Roman" w:cs="Times New Roman"/>
          <w:sz w:val="20"/>
          <w:szCs w:val="20"/>
        </w:rPr>
        <w:t>Jenner</w:t>
      </w:r>
      <w:r>
        <w:rPr>
          <w:rFonts w:ascii="宋体" w:hAnsi="宋体" w:eastAsia="宋体" w:cs="宋体"/>
          <w:spacing w:val="2"/>
          <w:sz w:val="20"/>
          <w:szCs w:val="20"/>
        </w:rPr>
        <w:t>发明了牛痘接种法，有</w:t>
      </w:r>
      <w:r>
        <w:rPr>
          <w:rFonts w:ascii="宋体" w:hAnsi="宋体" w:eastAsia="宋体" w:cs="宋体"/>
          <w:spacing w:val="1"/>
          <w:sz w:val="20"/>
          <w:szCs w:val="20"/>
        </w:rPr>
        <w:t>效预防了烈性传染病天花，开创了主</w:t>
      </w:r>
      <w:r>
        <w:rPr>
          <w:rFonts w:ascii="宋体" w:hAnsi="宋体" w:eastAsia="宋体" w:cs="宋体"/>
          <w:sz w:val="20"/>
          <w:szCs w:val="20"/>
        </w:rPr>
        <w:t xml:space="preserve"> </w:t>
      </w:r>
      <w:r>
        <w:rPr>
          <w:rFonts w:ascii="宋体" w:hAnsi="宋体" w:eastAsia="宋体" w:cs="宋体"/>
          <w:spacing w:val="5"/>
          <w:sz w:val="20"/>
          <w:szCs w:val="20"/>
        </w:rPr>
        <w:t>动免疫的先河。</w:t>
      </w:r>
    </w:p>
    <w:p w14:paraId="61D498E9">
      <w:pPr>
        <w:tabs>
          <w:tab w:val="left" w:pos="1110"/>
        </w:tabs>
        <w:spacing w:before="4" w:line="337" w:lineRule="auto"/>
        <w:ind w:left="609" w:firstLine="500"/>
        <w:jc w:val="right"/>
        <w:rPr>
          <w:rFonts w:ascii="宋体" w:hAnsi="宋体" w:eastAsia="宋体" w:cs="宋体"/>
          <w:sz w:val="20"/>
          <w:szCs w:val="20"/>
        </w:rPr>
      </w:pPr>
      <w:r>
        <w:rPr>
          <w:rFonts w:ascii="宋体" w:hAnsi="宋体" w:eastAsia="宋体" w:cs="宋体"/>
          <w:spacing w:val="2"/>
          <w:sz w:val="20"/>
          <w:szCs w:val="20"/>
        </w:rPr>
        <w:t>3.19世纪，法国医师</w:t>
      </w:r>
      <w:r>
        <w:rPr>
          <w:rFonts w:ascii="Times New Roman" w:hAnsi="Times New Roman" w:eastAsia="Times New Roman" w:cs="Times New Roman"/>
          <w:sz w:val="20"/>
          <w:szCs w:val="20"/>
        </w:rPr>
        <w:t>Pierre</w:t>
      </w:r>
      <w:r>
        <w:rPr>
          <w:rFonts w:ascii="Times New Roman" w:hAnsi="Times New Roman" w:eastAsia="Times New Roman" w:cs="Times New Roman"/>
          <w:spacing w:val="2"/>
          <w:sz w:val="20"/>
          <w:szCs w:val="20"/>
        </w:rPr>
        <w:t>-</w:t>
      </w:r>
      <w:r>
        <w:rPr>
          <w:rFonts w:ascii="Times New Roman" w:hAnsi="Times New Roman" w:eastAsia="Times New Roman" w:cs="Times New Roman"/>
          <w:sz w:val="20"/>
          <w:szCs w:val="20"/>
        </w:rPr>
        <w:t>Charles</w:t>
      </w:r>
      <w:r>
        <w:rPr>
          <w:rFonts w:ascii="Times New Roman" w:hAnsi="Times New Roman" w:eastAsia="Times New Roman" w:cs="Times New Roman"/>
          <w:spacing w:val="2"/>
          <w:sz w:val="20"/>
          <w:szCs w:val="20"/>
        </w:rPr>
        <w:t>-</w:t>
      </w:r>
      <w:r>
        <w:rPr>
          <w:rFonts w:ascii="Times New Roman" w:hAnsi="Times New Roman" w:eastAsia="Times New Roman" w:cs="Times New Roman"/>
          <w:sz w:val="20"/>
          <w:szCs w:val="20"/>
        </w:rPr>
        <w:t>Alexandre</w:t>
      </w:r>
      <w:r>
        <w:rPr>
          <w:rFonts w:ascii="Times New Roman" w:hAnsi="Times New Roman" w:eastAsia="Times New Roman" w:cs="Times New Roman"/>
          <w:spacing w:val="2"/>
          <w:sz w:val="20"/>
          <w:szCs w:val="20"/>
        </w:rPr>
        <w:t xml:space="preserve">  </w:t>
      </w:r>
      <w:r>
        <w:rPr>
          <w:rFonts w:ascii="Times New Roman" w:hAnsi="Times New Roman" w:eastAsia="Times New Roman" w:cs="Times New Roman"/>
          <w:sz w:val="20"/>
          <w:szCs w:val="20"/>
        </w:rPr>
        <w:t>Louis</w:t>
      </w:r>
      <w:r>
        <w:rPr>
          <w:rFonts w:ascii="宋体" w:hAnsi="宋体" w:eastAsia="宋体" w:cs="宋体"/>
          <w:spacing w:val="2"/>
          <w:sz w:val="20"/>
          <w:szCs w:val="20"/>
        </w:rPr>
        <w:t>被誉为“现代临床流行病学之父”。他的研</w:t>
      </w:r>
      <w:r>
        <w:rPr>
          <w:rFonts w:ascii="宋体" w:hAnsi="宋体" w:eastAsia="宋体" w:cs="宋体"/>
          <w:spacing w:val="4"/>
          <w:sz w:val="20"/>
          <w:szCs w:val="20"/>
        </w:rPr>
        <w:t xml:space="preserve">  </w:t>
      </w:r>
      <w:r>
        <w:rPr>
          <w:rFonts w:ascii="宋体" w:hAnsi="宋体" w:eastAsia="宋体" w:cs="宋体"/>
          <w:spacing w:val="7"/>
          <w:sz w:val="20"/>
          <w:szCs w:val="20"/>
        </w:rPr>
        <w:t>究展现出流行病学的特征，即群体比较和群体思维。他发展的数值法</w:t>
      </w:r>
      <w:r>
        <w:rPr>
          <w:rFonts w:ascii="Times New Roman" w:hAnsi="Times New Roman" w:eastAsia="Times New Roman" w:cs="Times New Roman"/>
          <w:spacing w:val="7"/>
          <w:sz w:val="20"/>
          <w:szCs w:val="20"/>
        </w:rPr>
        <w:t>(</w:t>
      </w:r>
      <w:r>
        <w:rPr>
          <w:rFonts w:ascii="Times New Roman" w:hAnsi="Times New Roman" w:eastAsia="Times New Roman" w:cs="Times New Roman"/>
          <w:sz w:val="20"/>
          <w:szCs w:val="20"/>
        </w:rPr>
        <w:t>numerical</w:t>
      </w:r>
      <w:r>
        <w:rPr>
          <w:rFonts w:ascii="Times New Roman" w:hAnsi="Times New Roman" w:eastAsia="Times New Roman" w:cs="Times New Roman"/>
          <w:spacing w:val="19"/>
          <w:w w:val="101"/>
          <w:sz w:val="20"/>
          <w:szCs w:val="20"/>
        </w:rPr>
        <w:t xml:space="preserve">   </w:t>
      </w:r>
      <w:r>
        <w:rPr>
          <w:rFonts w:ascii="Times New Roman" w:hAnsi="Times New Roman" w:eastAsia="Times New Roman" w:cs="Times New Roman"/>
          <w:sz w:val="20"/>
          <w:szCs w:val="20"/>
        </w:rPr>
        <w:t>method</w:t>
      </w:r>
      <w:r>
        <w:rPr>
          <w:rFonts w:ascii="Times New Roman" w:hAnsi="Times New Roman" w:eastAsia="Times New Roman" w:cs="Times New Roman"/>
          <w:spacing w:val="7"/>
          <w:sz w:val="20"/>
          <w:szCs w:val="20"/>
        </w:rPr>
        <w:t>)</w:t>
      </w:r>
      <w:r>
        <w:rPr>
          <w:rFonts w:ascii="宋体" w:hAnsi="宋体" w:eastAsia="宋体" w:cs="宋体"/>
          <w:spacing w:val="7"/>
          <w:sz w:val="20"/>
          <w:szCs w:val="20"/>
        </w:rPr>
        <w:t>确保了临</w:t>
      </w:r>
      <w:r>
        <w:rPr>
          <w:rFonts w:ascii="宋体" w:hAnsi="宋体" w:eastAsia="宋体" w:cs="宋体"/>
          <w:sz w:val="20"/>
          <w:szCs w:val="20"/>
        </w:rPr>
        <w:t xml:space="preserve">  </w:t>
      </w:r>
      <w:r>
        <w:rPr>
          <w:rFonts w:ascii="宋体" w:hAnsi="宋体" w:eastAsia="宋体" w:cs="宋体"/>
          <w:spacing w:val="4"/>
          <w:sz w:val="20"/>
          <w:szCs w:val="20"/>
        </w:rPr>
        <w:t>床数据采集的标准化，使得群体数据的分析成为可能。此后，他的学生——英国流行病学家、医学</w:t>
      </w:r>
      <w:r>
        <w:rPr>
          <w:rFonts w:ascii="宋体" w:hAnsi="宋体" w:eastAsia="宋体" w:cs="宋体"/>
          <w:spacing w:val="9"/>
          <w:sz w:val="20"/>
          <w:szCs w:val="20"/>
        </w:rPr>
        <w:t xml:space="preserve">  </w:t>
      </w:r>
      <w:r>
        <w:rPr>
          <w:rFonts w:ascii="宋体" w:hAnsi="宋体" w:eastAsia="宋体" w:cs="宋体"/>
          <w:spacing w:val="2"/>
          <w:sz w:val="20"/>
          <w:szCs w:val="20"/>
        </w:rPr>
        <w:t>统计学奠基人之一</w:t>
      </w:r>
      <w:r>
        <w:rPr>
          <w:rFonts w:ascii="宋体" w:hAnsi="宋体" w:eastAsia="宋体" w:cs="宋体"/>
          <w:sz w:val="20"/>
          <w:szCs w:val="20"/>
        </w:rPr>
        <w:t>William</w:t>
      </w:r>
      <w:r>
        <w:rPr>
          <w:rFonts w:ascii="宋体" w:hAnsi="宋体" w:eastAsia="宋体" w:cs="宋体"/>
          <w:spacing w:val="2"/>
          <w:sz w:val="20"/>
          <w:szCs w:val="20"/>
        </w:rPr>
        <w:t xml:space="preserve"> </w:t>
      </w:r>
      <w:r>
        <w:rPr>
          <w:rFonts w:ascii="宋体" w:hAnsi="宋体" w:eastAsia="宋体" w:cs="宋体"/>
          <w:sz w:val="20"/>
          <w:szCs w:val="20"/>
        </w:rPr>
        <w:t>Farr</w:t>
      </w:r>
      <w:r>
        <w:rPr>
          <w:rFonts w:ascii="宋体" w:hAnsi="宋体" w:eastAsia="宋体" w:cs="宋体"/>
          <w:spacing w:val="2"/>
          <w:sz w:val="20"/>
          <w:szCs w:val="20"/>
        </w:rPr>
        <w:t>,对死亡数据的登记方式进行了标准化处理，制定了疾病的命名和分</w:t>
      </w:r>
      <w:r>
        <w:rPr>
          <w:rFonts w:ascii="宋体" w:hAnsi="宋体" w:eastAsia="宋体" w:cs="宋体"/>
          <w:spacing w:val="4"/>
          <w:sz w:val="20"/>
          <w:szCs w:val="20"/>
        </w:rPr>
        <w:t xml:space="preserve">  类方法(即现代国际疾病分类的前身),并提出了许</w:t>
      </w:r>
      <w:r>
        <w:rPr>
          <w:rFonts w:ascii="宋体" w:hAnsi="宋体" w:eastAsia="宋体" w:cs="宋体"/>
          <w:spacing w:val="3"/>
          <w:sz w:val="20"/>
          <w:szCs w:val="20"/>
        </w:rPr>
        <w:t>多重要的流行病学概念，如标化死亡率、人年等。</w:t>
      </w:r>
      <w:r>
        <w:rPr>
          <w:rFonts w:ascii="宋体" w:hAnsi="宋体" w:eastAsia="宋体" w:cs="宋体"/>
          <w:sz w:val="20"/>
          <w:szCs w:val="20"/>
        </w:rPr>
        <w:t xml:space="preserve"> </w:t>
      </w:r>
      <w:r>
        <w:rPr>
          <w:rFonts w:ascii="宋体" w:hAnsi="宋体" w:eastAsia="宋体" w:cs="宋体"/>
          <w:sz w:val="20"/>
          <w:szCs w:val="20"/>
        </w:rPr>
        <w:tab/>
      </w:r>
      <w:r>
        <w:rPr>
          <w:rFonts w:ascii="宋体" w:hAnsi="宋体" w:eastAsia="宋体" w:cs="宋体"/>
          <w:spacing w:val="7"/>
          <w:sz w:val="20"/>
          <w:szCs w:val="20"/>
        </w:rPr>
        <w:t>4.1848—1854年，英国医师</w:t>
      </w:r>
      <w:r>
        <w:rPr>
          <w:rFonts w:ascii="Times New Roman" w:hAnsi="Times New Roman" w:eastAsia="Times New Roman" w:cs="Times New Roman"/>
          <w:sz w:val="20"/>
          <w:szCs w:val="20"/>
        </w:rPr>
        <w:t>John</w:t>
      </w:r>
      <w:r>
        <w:rPr>
          <w:rFonts w:ascii="Times New Roman" w:hAnsi="Times New Roman" w:eastAsia="Times New Roman" w:cs="Times New Roman"/>
          <w:spacing w:val="7"/>
          <w:sz w:val="20"/>
          <w:szCs w:val="20"/>
        </w:rPr>
        <w:t xml:space="preserve">  </w:t>
      </w:r>
      <w:r>
        <w:rPr>
          <w:rFonts w:ascii="Times New Roman" w:hAnsi="Times New Roman" w:eastAsia="Times New Roman" w:cs="Times New Roman"/>
          <w:sz w:val="20"/>
          <w:szCs w:val="20"/>
        </w:rPr>
        <w:t>Snow</w:t>
      </w:r>
      <w:r>
        <w:rPr>
          <w:rFonts w:ascii="Times New Roman" w:hAnsi="Times New Roman" w:eastAsia="Times New Roman" w:cs="Times New Roman"/>
          <w:spacing w:val="25"/>
          <w:w w:val="101"/>
          <w:sz w:val="20"/>
          <w:szCs w:val="20"/>
        </w:rPr>
        <w:t xml:space="preserve"> </w:t>
      </w:r>
      <w:r>
        <w:rPr>
          <w:rFonts w:ascii="宋体" w:hAnsi="宋体" w:eastAsia="宋体" w:cs="宋体"/>
          <w:spacing w:val="7"/>
          <w:sz w:val="20"/>
          <w:szCs w:val="20"/>
        </w:rPr>
        <w:t>针对伦敦霍乱流行进行了一系列调查研究，首次提出</w:t>
      </w:r>
      <w:r>
        <w:rPr>
          <w:rFonts w:ascii="宋体" w:hAnsi="宋体" w:eastAsia="宋体" w:cs="宋体"/>
          <w:sz w:val="20"/>
          <w:szCs w:val="20"/>
        </w:rPr>
        <w:t xml:space="preserve"> “霍乱是经水传播”的观点。在伦敦宽街的霍乱调查中，他首次使用标点地图法描述病例分布，并果</w:t>
      </w:r>
      <w:r>
        <w:rPr>
          <w:rFonts w:ascii="宋体" w:hAnsi="宋体" w:eastAsia="宋体" w:cs="宋体"/>
          <w:spacing w:val="5"/>
          <w:sz w:val="20"/>
          <w:szCs w:val="20"/>
        </w:rPr>
        <w:t xml:space="preserve"> </w:t>
      </w:r>
      <w:r>
        <w:rPr>
          <w:rFonts w:ascii="宋体" w:hAnsi="宋体" w:eastAsia="宋体" w:cs="宋体"/>
          <w:sz w:val="20"/>
          <w:szCs w:val="20"/>
        </w:rPr>
        <w:t>断移除了宽街水泵的泵柄，控制了霍乱流行，这一案例</w:t>
      </w:r>
      <w:r>
        <w:rPr>
          <w:rFonts w:ascii="宋体" w:hAnsi="宋体" w:eastAsia="宋体" w:cs="宋体"/>
          <w:spacing w:val="-1"/>
          <w:sz w:val="20"/>
          <w:szCs w:val="20"/>
        </w:rPr>
        <w:t>成为流行病学现场调查、分析与控制的经典。</w:t>
      </w:r>
    </w:p>
    <w:p w14:paraId="7359374B">
      <w:pPr>
        <w:spacing w:before="1" w:line="333" w:lineRule="auto"/>
        <w:ind w:left="709"/>
        <w:jc w:val="both"/>
        <w:rPr>
          <w:rFonts w:ascii="宋体" w:hAnsi="宋体" w:eastAsia="宋体" w:cs="宋体"/>
          <w:sz w:val="20"/>
          <w:szCs w:val="20"/>
        </w:rPr>
      </w:pPr>
      <w:r>
        <w:rPr>
          <w:rFonts w:ascii="宋体" w:hAnsi="宋体" w:eastAsia="宋体" w:cs="宋体"/>
          <w:spacing w:val="2"/>
          <w:sz w:val="20"/>
          <w:szCs w:val="20"/>
        </w:rPr>
        <w:t>当时，关于流行性疾病的病因存在两大学说，即瘴气说和细菌说。</w:t>
      </w:r>
      <w:r>
        <w:rPr>
          <w:rFonts w:ascii="宋体" w:hAnsi="宋体" w:eastAsia="宋体" w:cs="宋体"/>
          <w:sz w:val="20"/>
          <w:szCs w:val="20"/>
        </w:rPr>
        <w:t>Snow</w:t>
      </w:r>
      <w:r>
        <w:rPr>
          <w:rFonts w:ascii="宋体" w:hAnsi="宋体" w:eastAsia="宋体" w:cs="宋体"/>
          <w:spacing w:val="2"/>
          <w:sz w:val="20"/>
          <w:szCs w:val="20"/>
        </w:rPr>
        <w:t xml:space="preserve"> 的调查结果否</w:t>
      </w:r>
      <w:r>
        <w:rPr>
          <w:rFonts w:ascii="宋体" w:hAnsi="宋体" w:eastAsia="宋体" w:cs="宋体"/>
          <w:spacing w:val="1"/>
          <w:sz w:val="20"/>
          <w:szCs w:val="20"/>
        </w:rPr>
        <w:t>定了瘴气说，</w:t>
      </w:r>
      <w:r>
        <w:rPr>
          <w:rFonts w:ascii="宋体" w:hAnsi="宋体" w:eastAsia="宋体" w:cs="宋体"/>
          <w:sz w:val="20"/>
          <w:szCs w:val="20"/>
        </w:rPr>
        <w:t xml:space="preserve"> </w:t>
      </w:r>
      <w:r>
        <w:rPr>
          <w:rFonts w:ascii="宋体" w:hAnsi="宋体" w:eastAsia="宋体" w:cs="宋体"/>
          <w:spacing w:val="5"/>
          <w:sz w:val="20"/>
          <w:szCs w:val="20"/>
        </w:rPr>
        <w:t>而直至1884年，</w:t>
      </w:r>
      <w:r>
        <w:rPr>
          <w:rFonts w:ascii="Times New Roman" w:hAnsi="Times New Roman" w:eastAsia="Times New Roman" w:cs="Times New Roman"/>
          <w:sz w:val="20"/>
          <w:szCs w:val="20"/>
        </w:rPr>
        <w:t>Robert</w:t>
      </w:r>
      <w:r>
        <w:rPr>
          <w:rFonts w:ascii="Times New Roman" w:hAnsi="Times New Roman" w:eastAsia="Times New Roman" w:cs="Times New Roman"/>
          <w:spacing w:val="5"/>
          <w:sz w:val="20"/>
          <w:szCs w:val="20"/>
        </w:rPr>
        <w:t xml:space="preserve">  </w:t>
      </w:r>
      <w:r>
        <w:rPr>
          <w:rFonts w:ascii="Times New Roman" w:hAnsi="Times New Roman" w:eastAsia="Times New Roman" w:cs="Times New Roman"/>
          <w:sz w:val="20"/>
          <w:szCs w:val="20"/>
        </w:rPr>
        <w:t>Koch</w:t>
      </w:r>
      <w:r>
        <w:rPr>
          <w:rFonts w:ascii="宋体" w:hAnsi="宋体" w:eastAsia="宋体" w:cs="宋体"/>
          <w:spacing w:val="5"/>
          <w:sz w:val="20"/>
          <w:szCs w:val="20"/>
        </w:rPr>
        <w:t>才宣布在纯培养中分离出霍乱弧菌。这表明，流行病学调查分析完全</w:t>
      </w:r>
      <w:r>
        <w:rPr>
          <w:rFonts w:ascii="宋体" w:hAnsi="宋体" w:eastAsia="宋体" w:cs="宋体"/>
          <w:spacing w:val="2"/>
          <w:sz w:val="20"/>
          <w:szCs w:val="20"/>
        </w:rPr>
        <w:t xml:space="preserve">  </w:t>
      </w:r>
      <w:r>
        <w:rPr>
          <w:rFonts w:ascii="宋体" w:hAnsi="宋体" w:eastAsia="宋体" w:cs="宋体"/>
          <w:sz w:val="20"/>
          <w:szCs w:val="20"/>
        </w:rPr>
        <w:t>可以在病原不明的情况下进行，并实施有效干预。</w:t>
      </w:r>
    </w:p>
    <w:p w14:paraId="40AAD29B">
      <w:pPr>
        <w:spacing w:before="40" w:line="340" w:lineRule="auto"/>
        <w:ind w:left="709" w:right="79" w:firstLine="400"/>
        <w:rPr>
          <w:rFonts w:ascii="宋体" w:hAnsi="宋体" w:eastAsia="宋体" w:cs="宋体"/>
          <w:sz w:val="20"/>
          <w:szCs w:val="20"/>
        </w:rPr>
      </w:pPr>
      <w:r>
        <w:rPr>
          <w:rFonts w:ascii="宋体" w:hAnsi="宋体" w:eastAsia="宋体" w:cs="宋体"/>
          <w:spacing w:val="-6"/>
          <w:sz w:val="20"/>
          <w:szCs w:val="20"/>
        </w:rPr>
        <w:t>5.1850年，伦敦流行病学学会(Epidemiological Society of Lon</w:t>
      </w:r>
      <w:r>
        <w:rPr>
          <w:rFonts w:ascii="宋体" w:hAnsi="宋体" w:eastAsia="宋体" w:cs="宋体"/>
          <w:spacing w:val="-7"/>
          <w:sz w:val="20"/>
          <w:szCs w:val="20"/>
        </w:rPr>
        <w:t>don)成立，旨在研究流行性或地方</w:t>
      </w:r>
      <w:r>
        <w:rPr>
          <w:rFonts w:ascii="宋体" w:hAnsi="宋体" w:eastAsia="宋体" w:cs="宋体"/>
          <w:sz w:val="20"/>
          <w:szCs w:val="20"/>
        </w:rPr>
        <w:t xml:space="preserve"> </w:t>
      </w:r>
      <w:r>
        <w:rPr>
          <w:rFonts w:ascii="宋体" w:hAnsi="宋体" w:eastAsia="宋体" w:cs="宋体"/>
          <w:spacing w:val="2"/>
          <w:sz w:val="20"/>
          <w:szCs w:val="20"/>
        </w:rPr>
        <w:t>性疾病发生和传播的因素及防控措施，标志</w:t>
      </w:r>
      <w:r>
        <w:rPr>
          <w:rFonts w:ascii="宋体" w:hAnsi="宋体" w:eastAsia="宋体" w:cs="宋体"/>
          <w:spacing w:val="1"/>
          <w:sz w:val="20"/>
          <w:szCs w:val="20"/>
        </w:rPr>
        <w:t>着流行病学学科的形成。</w:t>
      </w:r>
    </w:p>
    <w:p w14:paraId="5687DDED">
      <w:pPr>
        <w:spacing w:before="1" w:line="294" w:lineRule="auto"/>
        <w:ind w:left="709" w:right="71" w:firstLine="400"/>
        <w:rPr>
          <w:rFonts w:ascii="宋体" w:hAnsi="宋体" w:eastAsia="宋体" w:cs="宋体"/>
          <w:sz w:val="20"/>
          <w:szCs w:val="20"/>
        </w:rPr>
      </w:pPr>
      <w:r>
        <w:rPr>
          <w:rFonts w:ascii="宋体" w:hAnsi="宋体" w:eastAsia="宋体" w:cs="宋体"/>
          <w:spacing w:val="7"/>
          <w:sz w:val="20"/>
          <w:szCs w:val="20"/>
        </w:rPr>
        <w:t>6.19世纪末，显微镜设计的改善为微生物学带来了突破性发现，细菌说盛行。美国于1887年</w:t>
      </w:r>
      <w:r>
        <w:rPr>
          <w:rFonts w:ascii="宋体" w:hAnsi="宋体" w:eastAsia="宋体" w:cs="宋体"/>
          <w:sz w:val="20"/>
          <w:szCs w:val="20"/>
        </w:rPr>
        <w:t xml:space="preserve"> </w:t>
      </w:r>
      <w:r>
        <w:rPr>
          <w:rFonts w:ascii="宋体" w:hAnsi="宋体" w:eastAsia="宋体" w:cs="宋体"/>
          <w:spacing w:val="2"/>
          <w:sz w:val="20"/>
          <w:szCs w:val="20"/>
        </w:rPr>
        <w:t>成立了卫生实验室</w:t>
      </w:r>
      <w:r>
        <w:rPr>
          <w:rFonts w:ascii="Times New Roman" w:hAnsi="Times New Roman" w:eastAsia="Times New Roman" w:cs="Times New Roman"/>
          <w:spacing w:val="2"/>
          <w:sz w:val="20"/>
          <w:szCs w:val="20"/>
        </w:rPr>
        <w:t>(</w:t>
      </w:r>
      <w:r>
        <w:rPr>
          <w:rFonts w:ascii="Times New Roman" w:hAnsi="Times New Roman" w:eastAsia="Times New Roman" w:cs="Times New Roman"/>
          <w:sz w:val="20"/>
          <w:szCs w:val="20"/>
        </w:rPr>
        <w:t>Hygienic</w:t>
      </w:r>
      <w:r>
        <w:rPr>
          <w:rFonts w:ascii="Times New Roman" w:hAnsi="Times New Roman" w:eastAsia="Times New Roman" w:cs="Times New Roman"/>
          <w:spacing w:val="19"/>
          <w:w w:val="101"/>
          <w:sz w:val="20"/>
          <w:szCs w:val="20"/>
        </w:rPr>
        <w:t xml:space="preserve">  </w:t>
      </w:r>
      <w:r>
        <w:rPr>
          <w:rFonts w:ascii="Times New Roman" w:hAnsi="Times New Roman" w:eastAsia="Times New Roman" w:cs="Times New Roman"/>
          <w:sz w:val="20"/>
          <w:szCs w:val="20"/>
        </w:rPr>
        <w:t>Laboratory</w:t>
      </w:r>
      <w:r>
        <w:rPr>
          <w:rFonts w:ascii="Times New Roman" w:hAnsi="Times New Roman" w:eastAsia="Times New Roman" w:cs="Times New Roman"/>
          <w:spacing w:val="2"/>
          <w:sz w:val="20"/>
          <w:szCs w:val="20"/>
        </w:rPr>
        <w:t>),</w:t>
      </w:r>
      <w:r>
        <w:rPr>
          <w:rFonts w:ascii="宋体" w:hAnsi="宋体" w:eastAsia="宋体" w:cs="宋体"/>
          <w:spacing w:val="2"/>
          <w:sz w:val="20"/>
          <w:szCs w:val="20"/>
        </w:rPr>
        <w:t>即国立卫生研究院</w:t>
      </w:r>
      <w:r>
        <w:rPr>
          <w:rFonts w:ascii="Times New Roman" w:hAnsi="Times New Roman" w:eastAsia="Times New Roman" w:cs="Times New Roman"/>
          <w:spacing w:val="2"/>
          <w:sz w:val="20"/>
          <w:szCs w:val="20"/>
        </w:rPr>
        <w:t>(</w:t>
      </w:r>
      <w:r>
        <w:rPr>
          <w:rFonts w:ascii="Times New Roman" w:hAnsi="Times New Roman" w:eastAsia="Times New Roman" w:cs="Times New Roman"/>
          <w:sz w:val="20"/>
          <w:szCs w:val="20"/>
        </w:rPr>
        <w:t>National</w:t>
      </w:r>
      <w:r>
        <w:rPr>
          <w:rFonts w:ascii="Times New Roman" w:hAnsi="Times New Roman" w:eastAsia="Times New Roman" w:cs="Times New Roman"/>
          <w:spacing w:val="37"/>
          <w:sz w:val="20"/>
          <w:szCs w:val="20"/>
        </w:rPr>
        <w:t xml:space="preserve"> </w:t>
      </w:r>
      <w:r>
        <w:rPr>
          <w:rFonts w:ascii="Times New Roman" w:hAnsi="Times New Roman" w:eastAsia="Times New Roman" w:cs="Times New Roman"/>
          <w:sz w:val="20"/>
          <w:szCs w:val="20"/>
        </w:rPr>
        <w:t>Institutes</w:t>
      </w:r>
      <w:r>
        <w:rPr>
          <w:rFonts w:ascii="Times New Roman" w:hAnsi="Times New Roman" w:eastAsia="Times New Roman" w:cs="Times New Roman"/>
          <w:spacing w:val="38"/>
          <w:sz w:val="20"/>
          <w:szCs w:val="20"/>
        </w:rPr>
        <w:t xml:space="preserve"> </w:t>
      </w:r>
      <w:r>
        <w:rPr>
          <w:rFonts w:ascii="Times New Roman" w:hAnsi="Times New Roman" w:eastAsia="Times New Roman" w:cs="Times New Roman"/>
          <w:sz w:val="20"/>
          <w:szCs w:val="20"/>
        </w:rPr>
        <w:t>of</w:t>
      </w:r>
      <w:r>
        <w:rPr>
          <w:rFonts w:ascii="Times New Roman" w:hAnsi="Times New Roman" w:eastAsia="Times New Roman" w:cs="Times New Roman"/>
          <w:spacing w:val="14"/>
          <w:sz w:val="20"/>
          <w:szCs w:val="20"/>
        </w:rPr>
        <w:t xml:space="preserve"> </w:t>
      </w:r>
      <w:r>
        <w:rPr>
          <w:rFonts w:ascii="Times New Roman" w:hAnsi="Times New Roman" w:eastAsia="Times New Roman" w:cs="Times New Roman"/>
          <w:sz w:val="20"/>
          <w:szCs w:val="20"/>
        </w:rPr>
        <w:t>Health</w:t>
      </w:r>
      <w:r>
        <w:rPr>
          <w:rFonts w:ascii="Times New Roman" w:hAnsi="Times New Roman" w:eastAsia="Times New Roman" w:cs="Times New Roman"/>
          <w:spacing w:val="2"/>
          <w:sz w:val="20"/>
          <w:szCs w:val="20"/>
        </w:rPr>
        <w:t>)</w:t>
      </w:r>
      <w:r>
        <w:rPr>
          <w:rFonts w:ascii="宋体" w:hAnsi="宋体" w:eastAsia="宋体" w:cs="宋体"/>
          <w:spacing w:val="2"/>
          <w:sz w:val="20"/>
          <w:szCs w:val="20"/>
        </w:rPr>
        <w:t>的前身</w:t>
      </w:r>
      <w:r>
        <w:rPr>
          <w:rFonts w:ascii="宋体" w:hAnsi="宋体" w:eastAsia="宋体" w:cs="宋体"/>
          <w:spacing w:val="1"/>
          <w:sz w:val="20"/>
          <w:szCs w:val="20"/>
        </w:rPr>
        <w:t>，将</w:t>
      </w:r>
      <w:r>
        <w:rPr>
          <w:rFonts w:ascii="宋体" w:hAnsi="宋体" w:eastAsia="宋体" w:cs="宋体"/>
          <w:sz w:val="20"/>
          <w:szCs w:val="20"/>
        </w:rPr>
        <w:t xml:space="preserve"> </w:t>
      </w:r>
      <w:r>
        <w:rPr>
          <w:rFonts w:ascii="宋体" w:hAnsi="宋体" w:eastAsia="宋体" w:cs="宋体"/>
          <w:spacing w:val="4"/>
          <w:sz w:val="20"/>
          <w:szCs w:val="20"/>
        </w:rPr>
        <w:t>新的细菌学方法应用于流行性疾病的诊断与研究。</w:t>
      </w:r>
    </w:p>
    <w:p w14:paraId="6F243AB1">
      <w:pPr>
        <w:spacing w:before="143" w:line="280" w:lineRule="auto"/>
        <w:ind w:left="709" w:right="82" w:firstLine="400"/>
        <w:rPr>
          <w:rFonts w:ascii="宋体" w:hAnsi="宋体" w:eastAsia="宋体" w:cs="宋体"/>
          <w:sz w:val="20"/>
          <w:szCs w:val="20"/>
        </w:rPr>
      </w:pPr>
      <w:r>
        <w:rPr>
          <w:rFonts w:ascii="宋体" w:hAnsi="宋体" w:eastAsia="宋体" w:cs="宋体"/>
          <w:spacing w:val="7"/>
          <w:sz w:val="20"/>
          <w:szCs w:val="20"/>
        </w:rPr>
        <w:t>7.20世纪上半叶，队列研究和病例对照研究等基本设计开始应用，同时引人了一些新方法以</w:t>
      </w:r>
      <w:r>
        <w:rPr>
          <w:rFonts w:ascii="宋体" w:hAnsi="宋体" w:eastAsia="宋体" w:cs="宋体"/>
          <w:spacing w:val="3"/>
          <w:sz w:val="20"/>
          <w:szCs w:val="20"/>
        </w:rPr>
        <w:t xml:space="preserve"> </w:t>
      </w:r>
      <w:r>
        <w:rPr>
          <w:rFonts w:ascii="宋体" w:hAnsi="宋体" w:eastAsia="宋体" w:cs="宋体"/>
          <w:sz w:val="20"/>
          <w:szCs w:val="20"/>
        </w:rPr>
        <w:t>增强组间可比性，如随机分配治疗方案等。此时期，流行病学教科书也相继问世。</w:t>
      </w:r>
    </w:p>
    <w:p w14:paraId="4956F4DD">
      <w:pPr>
        <w:pStyle w:val="2"/>
        <w:spacing w:before="119" w:line="221" w:lineRule="auto"/>
        <w:ind w:left="1112"/>
        <w:rPr>
          <w:sz w:val="20"/>
          <w:szCs w:val="20"/>
        </w:rPr>
      </w:pPr>
      <w:r>
        <w:rPr>
          <w:b/>
          <w:bCs/>
          <w:spacing w:val="23"/>
          <w:sz w:val="20"/>
          <w:szCs w:val="20"/>
        </w:rPr>
        <w:t>(三)学科发展期</w:t>
      </w:r>
    </w:p>
    <w:p w14:paraId="36BA1E06">
      <w:pPr>
        <w:spacing w:before="135" w:line="333" w:lineRule="auto"/>
        <w:ind w:left="709" w:right="72" w:firstLine="400"/>
        <w:jc w:val="both"/>
        <w:rPr>
          <w:rFonts w:ascii="宋体" w:hAnsi="宋体" w:eastAsia="宋体" w:cs="宋体"/>
          <w:sz w:val="20"/>
          <w:szCs w:val="20"/>
        </w:rPr>
      </w:pPr>
      <w:r>
        <w:rPr>
          <w:rFonts w:ascii="宋体" w:hAnsi="宋体" w:eastAsia="宋体" w:cs="宋体"/>
          <w:spacing w:val="7"/>
          <w:sz w:val="20"/>
          <w:szCs w:val="20"/>
        </w:rPr>
        <w:t>学科发展期指的是第二次世界大战后至今，也被称为现代流行病学时期。这一时期的主要特</w:t>
      </w:r>
      <w:r>
        <w:rPr>
          <w:rFonts w:ascii="宋体" w:hAnsi="宋体" w:eastAsia="宋体" w:cs="宋体"/>
          <w:spacing w:val="5"/>
          <w:sz w:val="20"/>
          <w:szCs w:val="20"/>
        </w:rPr>
        <w:t xml:space="preserve"> </w:t>
      </w:r>
      <w:r>
        <w:rPr>
          <w:rFonts w:ascii="宋体" w:hAnsi="宋体" w:eastAsia="宋体" w:cs="宋体"/>
          <w:spacing w:val="2"/>
          <w:sz w:val="20"/>
          <w:szCs w:val="20"/>
        </w:rPr>
        <w:t>点包括：①流行病学研究内容从传染病扩展到所有疾病和健康问题；②研究方法由传统的调查分析</w:t>
      </w:r>
      <w:r>
        <w:rPr>
          <w:rFonts w:ascii="宋体" w:hAnsi="宋体" w:eastAsia="宋体" w:cs="宋体"/>
          <w:spacing w:val="1"/>
          <w:sz w:val="20"/>
          <w:szCs w:val="20"/>
        </w:rPr>
        <w:t xml:space="preserve"> </w:t>
      </w:r>
      <w:r>
        <w:rPr>
          <w:rFonts w:ascii="宋体" w:hAnsi="宋体" w:eastAsia="宋体" w:cs="宋体"/>
          <w:spacing w:val="3"/>
          <w:sz w:val="20"/>
          <w:szCs w:val="20"/>
        </w:rPr>
        <w:t>发展为定量与定性相结合、宏观与微观相结合</w:t>
      </w:r>
      <w:r>
        <w:rPr>
          <w:rFonts w:ascii="宋体" w:hAnsi="宋体" w:eastAsia="宋体" w:cs="宋体"/>
          <w:spacing w:val="2"/>
          <w:sz w:val="20"/>
          <w:szCs w:val="20"/>
        </w:rPr>
        <w:t>，分析方法不断完善，分析手段更加先进；③研究内</w:t>
      </w:r>
      <w:r>
        <w:rPr>
          <w:rFonts w:ascii="宋体" w:hAnsi="宋体" w:eastAsia="宋体" w:cs="宋体"/>
          <w:sz w:val="20"/>
          <w:szCs w:val="20"/>
        </w:rPr>
        <w:t xml:space="preserve"> </w:t>
      </w:r>
      <w:r>
        <w:rPr>
          <w:rFonts w:ascii="宋体" w:hAnsi="宋体" w:eastAsia="宋体" w:cs="宋体"/>
          <w:spacing w:val="-5"/>
          <w:sz w:val="20"/>
          <w:szCs w:val="20"/>
        </w:rPr>
        <w:t>容从“流行”发展为“分布”,动静态结合，由三环节两因素扩展到社会行为因素；④流行病学的分支</w:t>
      </w:r>
      <w:r>
        <w:rPr>
          <w:rFonts w:ascii="宋体" w:hAnsi="宋体" w:eastAsia="宋体" w:cs="宋体"/>
          <w:spacing w:val="14"/>
          <w:sz w:val="20"/>
          <w:szCs w:val="20"/>
        </w:rPr>
        <w:t xml:space="preserve"> </w:t>
      </w:r>
      <w:r>
        <w:rPr>
          <w:rFonts w:ascii="宋体" w:hAnsi="宋体" w:eastAsia="宋体" w:cs="宋体"/>
          <w:spacing w:val="2"/>
          <w:sz w:val="20"/>
          <w:szCs w:val="20"/>
        </w:rPr>
        <w:t>学科不断涌现，使其应用范围越来越广。按目前国际流行病学界比较公认的分类，现代流行病学又</w:t>
      </w:r>
      <w:r>
        <w:rPr>
          <w:rFonts w:ascii="宋体" w:hAnsi="宋体" w:eastAsia="宋体" w:cs="宋体"/>
          <w:spacing w:val="1"/>
          <w:sz w:val="20"/>
          <w:szCs w:val="20"/>
        </w:rPr>
        <w:t xml:space="preserve"> </w:t>
      </w:r>
      <w:r>
        <w:rPr>
          <w:rFonts w:ascii="宋体" w:hAnsi="宋体" w:eastAsia="宋体" w:cs="宋体"/>
          <w:spacing w:val="3"/>
          <w:sz w:val="20"/>
          <w:szCs w:val="20"/>
        </w:rPr>
        <w:t>可进一步划分为三个阶段。</w:t>
      </w:r>
    </w:p>
    <w:p w14:paraId="176F8D64">
      <w:pPr>
        <w:spacing w:line="333" w:lineRule="auto"/>
        <w:rPr>
          <w:rFonts w:ascii="宋体" w:hAnsi="宋体" w:eastAsia="宋体" w:cs="宋体"/>
          <w:sz w:val="20"/>
          <w:szCs w:val="20"/>
        </w:rPr>
        <w:sectPr>
          <w:footerReference r:id="rId32" w:type="default"/>
          <w:pgSz w:w="11900" w:h="16820"/>
          <w:pgMar w:top="400" w:right="1539" w:bottom="877" w:left="870" w:header="0" w:footer="696" w:gutter="0"/>
          <w:cols w:space="720" w:num="1"/>
        </w:sectPr>
      </w:pPr>
    </w:p>
    <w:p w14:paraId="0AC919E0">
      <w:pPr>
        <w:spacing w:line="277" w:lineRule="auto"/>
        <w:rPr>
          <w:rFonts w:ascii="Arial"/>
          <w:sz w:val="21"/>
        </w:rPr>
      </w:pPr>
    </w:p>
    <w:p w14:paraId="2715513C">
      <w:pPr>
        <w:pStyle w:val="2"/>
        <w:spacing w:before="68" w:line="222" w:lineRule="auto"/>
        <w:ind w:left="8030"/>
        <w:rPr>
          <w:sz w:val="21"/>
          <w:szCs w:val="21"/>
        </w:rPr>
      </w:pPr>
      <w:r>
        <w:rPr>
          <w:spacing w:val="-15"/>
          <w:w w:val="96"/>
          <w:sz w:val="21"/>
          <w:szCs w:val="21"/>
        </w:rPr>
        <w:t>第一章</w:t>
      </w:r>
      <w:r>
        <w:rPr>
          <w:spacing w:val="44"/>
          <w:sz w:val="21"/>
          <w:szCs w:val="21"/>
        </w:rPr>
        <w:t xml:space="preserve"> </w:t>
      </w:r>
      <w:r>
        <w:rPr>
          <w:spacing w:val="-15"/>
          <w:w w:val="96"/>
          <w:sz w:val="21"/>
          <w:szCs w:val="21"/>
        </w:rPr>
        <w:t>绪论</w:t>
      </w:r>
    </w:p>
    <w:p w14:paraId="01DDCB37">
      <w:pPr>
        <w:spacing w:line="246" w:lineRule="auto"/>
        <w:rPr>
          <w:rFonts w:ascii="Arial"/>
          <w:sz w:val="21"/>
        </w:rPr>
      </w:pPr>
    </w:p>
    <w:p w14:paraId="6BAB0678">
      <w:pPr>
        <w:spacing w:line="247" w:lineRule="auto"/>
        <w:rPr>
          <w:rFonts w:ascii="Arial"/>
          <w:sz w:val="21"/>
        </w:rPr>
      </w:pPr>
    </w:p>
    <w:p w14:paraId="5251C38C">
      <w:pPr>
        <w:spacing w:before="68" w:line="317" w:lineRule="auto"/>
        <w:ind w:right="553" w:firstLine="429"/>
        <w:jc w:val="both"/>
        <w:rPr>
          <w:rFonts w:ascii="宋体" w:hAnsi="宋体" w:eastAsia="宋体" w:cs="宋体"/>
          <w:sz w:val="21"/>
          <w:szCs w:val="21"/>
        </w:rPr>
      </w:pPr>
      <w:r>
        <w:rPr>
          <w:rFonts w:ascii="宋体" w:hAnsi="宋体" w:eastAsia="宋体" w:cs="宋体"/>
          <w:spacing w:val="9"/>
          <w:sz w:val="21"/>
          <w:szCs w:val="21"/>
        </w:rPr>
        <w:t>1.</w:t>
      </w:r>
      <w:r>
        <w:rPr>
          <w:rFonts w:ascii="宋体" w:hAnsi="宋体" w:eastAsia="宋体" w:cs="宋体"/>
          <w:spacing w:val="-41"/>
          <w:sz w:val="21"/>
          <w:szCs w:val="21"/>
        </w:rPr>
        <w:t xml:space="preserve"> </w:t>
      </w:r>
      <w:r>
        <w:rPr>
          <w:rFonts w:ascii="宋体" w:hAnsi="宋体" w:eastAsia="宋体" w:cs="宋体"/>
          <w:spacing w:val="9"/>
          <w:sz w:val="21"/>
          <w:szCs w:val="21"/>
        </w:rPr>
        <w:t>第一阶段为20世纪40年代末期至50年代，此时期慢性非传染性疾病研究迅速发展。1950</w:t>
      </w:r>
      <w:r>
        <w:rPr>
          <w:rFonts w:ascii="宋体" w:hAnsi="宋体" w:eastAsia="宋体" w:cs="宋体"/>
          <w:sz w:val="21"/>
          <w:szCs w:val="21"/>
        </w:rPr>
        <w:t xml:space="preserve">  年，英国学者</w:t>
      </w:r>
      <w:r>
        <w:rPr>
          <w:rFonts w:ascii="Times New Roman" w:hAnsi="Times New Roman" w:eastAsia="Times New Roman" w:cs="Times New Roman"/>
          <w:sz w:val="21"/>
          <w:szCs w:val="21"/>
        </w:rPr>
        <w:t>Richard Doll</w:t>
      </w:r>
      <w:r>
        <w:rPr>
          <w:rFonts w:ascii="Times New Roman" w:hAnsi="Times New Roman" w:eastAsia="Times New Roman" w:cs="Times New Roman"/>
          <w:spacing w:val="-19"/>
          <w:sz w:val="21"/>
          <w:szCs w:val="21"/>
        </w:rPr>
        <w:t xml:space="preserve"> </w:t>
      </w:r>
      <w:r>
        <w:rPr>
          <w:rFonts w:ascii="宋体" w:hAnsi="宋体" w:eastAsia="宋体" w:cs="宋体"/>
          <w:sz w:val="21"/>
          <w:szCs w:val="21"/>
        </w:rPr>
        <w:t>和</w:t>
      </w:r>
      <w:r>
        <w:rPr>
          <w:rFonts w:ascii="宋体" w:hAnsi="宋体" w:eastAsia="宋体" w:cs="宋体"/>
          <w:spacing w:val="-46"/>
          <w:sz w:val="21"/>
          <w:szCs w:val="21"/>
        </w:rPr>
        <w:t xml:space="preserve"> </w:t>
      </w:r>
      <w:r>
        <w:rPr>
          <w:rFonts w:ascii="Times New Roman" w:hAnsi="Times New Roman" w:eastAsia="Times New Roman" w:cs="Times New Roman"/>
          <w:sz w:val="21"/>
          <w:szCs w:val="21"/>
        </w:rPr>
        <w:t>Austin</w:t>
      </w:r>
      <w:r>
        <w:rPr>
          <w:rFonts w:ascii="Times New Roman" w:hAnsi="Times New Roman" w:eastAsia="Times New Roman" w:cs="Times New Roman"/>
          <w:spacing w:val="23"/>
          <w:sz w:val="21"/>
          <w:szCs w:val="21"/>
        </w:rPr>
        <w:t xml:space="preserve"> </w:t>
      </w:r>
      <w:r>
        <w:rPr>
          <w:rFonts w:ascii="Times New Roman" w:hAnsi="Times New Roman" w:eastAsia="Times New Roman" w:cs="Times New Roman"/>
          <w:sz w:val="21"/>
          <w:szCs w:val="21"/>
        </w:rPr>
        <w:t>Bradford</w:t>
      </w:r>
      <w:r>
        <w:rPr>
          <w:rFonts w:ascii="Times New Roman" w:hAnsi="Times New Roman" w:eastAsia="Times New Roman" w:cs="Times New Roman"/>
          <w:spacing w:val="22"/>
          <w:sz w:val="21"/>
          <w:szCs w:val="21"/>
        </w:rPr>
        <w:t xml:space="preserve"> </w:t>
      </w:r>
      <w:r>
        <w:rPr>
          <w:rFonts w:ascii="Times New Roman" w:hAnsi="Times New Roman" w:eastAsia="Times New Roman" w:cs="Times New Roman"/>
          <w:sz w:val="21"/>
          <w:szCs w:val="21"/>
        </w:rPr>
        <w:t>Hill</w:t>
      </w:r>
      <w:r>
        <w:rPr>
          <w:rFonts w:ascii="Times New Roman" w:hAnsi="Times New Roman" w:eastAsia="Times New Roman" w:cs="Times New Roman"/>
          <w:spacing w:val="43"/>
          <w:sz w:val="21"/>
          <w:szCs w:val="21"/>
        </w:rPr>
        <w:t xml:space="preserve"> </w:t>
      </w:r>
      <w:r>
        <w:rPr>
          <w:rFonts w:ascii="宋体" w:hAnsi="宋体" w:eastAsia="宋体" w:cs="宋体"/>
          <w:sz w:val="21"/>
          <w:szCs w:val="21"/>
        </w:rPr>
        <w:t xml:space="preserve">发表了吸烟与肺癌关系的病例对照研究。1951年， </w:t>
      </w:r>
      <w:r>
        <w:rPr>
          <w:rFonts w:ascii="宋体" w:hAnsi="宋体" w:eastAsia="宋体" w:cs="宋体"/>
          <w:spacing w:val="5"/>
          <w:sz w:val="21"/>
          <w:szCs w:val="21"/>
        </w:rPr>
        <w:t>两人又发起了一项前瞻性队列研究——英国医师研究</w:t>
      </w:r>
      <w:r>
        <w:rPr>
          <w:rFonts w:ascii="Times New Roman" w:hAnsi="Times New Roman" w:eastAsia="Times New Roman" w:cs="Times New Roman"/>
          <w:spacing w:val="5"/>
          <w:sz w:val="21"/>
          <w:szCs w:val="21"/>
        </w:rPr>
        <w:t>(</w:t>
      </w:r>
      <w:r>
        <w:rPr>
          <w:rFonts w:ascii="Times New Roman" w:hAnsi="Times New Roman" w:eastAsia="Times New Roman" w:cs="Times New Roman"/>
          <w:sz w:val="21"/>
          <w:szCs w:val="21"/>
        </w:rPr>
        <w:t>British</w:t>
      </w:r>
      <w:r>
        <w:rPr>
          <w:rFonts w:ascii="Times New Roman" w:hAnsi="Times New Roman" w:eastAsia="Times New Roman" w:cs="Times New Roman"/>
          <w:spacing w:val="27"/>
          <w:sz w:val="21"/>
          <w:szCs w:val="21"/>
        </w:rPr>
        <w:t xml:space="preserve">  </w:t>
      </w:r>
      <w:r>
        <w:rPr>
          <w:rFonts w:ascii="Times New Roman" w:hAnsi="Times New Roman" w:eastAsia="Times New Roman" w:cs="Times New Roman"/>
          <w:sz w:val="21"/>
          <w:szCs w:val="21"/>
        </w:rPr>
        <w:t>Doctors</w:t>
      </w:r>
      <w:r>
        <w:rPr>
          <w:rFonts w:ascii="Times New Roman" w:hAnsi="Times New Roman" w:eastAsia="Times New Roman" w:cs="Times New Roman"/>
          <w:spacing w:val="5"/>
          <w:sz w:val="21"/>
          <w:szCs w:val="21"/>
        </w:rPr>
        <w:t xml:space="preserve">   </w:t>
      </w:r>
      <w:r>
        <w:rPr>
          <w:rFonts w:ascii="Times New Roman" w:hAnsi="Times New Roman" w:eastAsia="Times New Roman" w:cs="Times New Roman"/>
          <w:sz w:val="21"/>
          <w:szCs w:val="21"/>
        </w:rPr>
        <w:t>Study</w:t>
      </w:r>
      <w:r>
        <w:rPr>
          <w:rFonts w:ascii="Times New Roman" w:hAnsi="Times New Roman" w:eastAsia="Times New Roman" w:cs="Times New Roman"/>
          <w:spacing w:val="5"/>
          <w:sz w:val="21"/>
          <w:szCs w:val="21"/>
        </w:rPr>
        <w:t>)</w:t>
      </w:r>
      <w:r>
        <w:rPr>
          <w:rFonts w:ascii="宋体" w:hAnsi="宋体" w:eastAsia="宋体" w:cs="宋体"/>
          <w:spacing w:val="5"/>
          <w:sz w:val="21"/>
          <w:szCs w:val="21"/>
        </w:rPr>
        <w:t>。他们不仅开创了生</w:t>
      </w:r>
      <w:r>
        <w:rPr>
          <w:rFonts w:ascii="宋体" w:hAnsi="宋体" w:eastAsia="宋体" w:cs="宋体"/>
          <w:sz w:val="21"/>
          <w:szCs w:val="21"/>
        </w:rPr>
        <w:t xml:space="preserve">  </w:t>
      </w:r>
      <w:r>
        <w:rPr>
          <w:rFonts w:ascii="宋体" w:hAnsi="宋体" w:eastAsia="宋体" w:cs="宋体"/>
          <w:spacing w:val="1"/>
          <w:sz w:val="21"/>
          <w:szCs w:val="21"/>
        </w:rPr>
        <w:t>活方式研究领域，证实了吸烟对健康的危害，还通过队列研究开启了慢性病病因学研究的一片新天</w:t>
      </w:r>
      <w:r>
        <w:rPr>
          <w:rFonts w:ascii="宋体" w:hAnsi="宋体" w:eastAsia="宋体" w:cs="宋体"/>
          <w:spacing w:val="7"/>
          <w:sz w:val="21"/>
          <w:szCs w:val="21"/>
        </w:rPr>
        <w:t xml:space="preserve">  </w:t>
      </w:r>
      <w:r>
        <w:rPr>
          <w:rFonts w:ascii="宋体" w:hAnsi="宋体" w:eastAsia="宋体" w:cs="宋体"/>
          <w:spacing w:val="-1"/>
          <w:sz w:val="21"/>
          <w:szCs w:val="21"/>
        </w:rPr>
        <w:t>地。同期，1948年启动的美国弗明汉心脏研究(Framingham Heart Study)作为一项经典的队列研究，</w:t>
      </w:r>
      <w:r>
        <w:rPr>
          <w:rFonts w:ascii="宋体" w:hAnsi="宋体" w:eastAsia="宋体" w:cs="宋体"/>
          <w:spacing w:val="1"/>
          <w:sz w:val="21"/>
          <w:szCs w:val="21"/>
        </w:rPr>
        <w:t xml:space="preserve"> 确定了心脏病、脑卒中和其他循环系统疾病的主要危险因素，带来了预防医学的革命，改变了医学</w:t>
      </w:r>
      <w:r>
        <w:rPr>
          <w:rFonts w:ascii="宋体" w:hAnsi="宋体" w:eastAsia="宋体" w:cs="宋体"/>
          <w:spacing w:val="8"/>
          <w:sz w:val="21"/>
          <w:szCs w:val="21"/>
        </w:rPr>
        <w:t xml:space="preserve">  </w:t>
      </w:r>
      <w:r>
        <w:rPr>
          <w:rFonts w:ascii="宋体" w:hAnsi="宋体" w:eastAsia="宋体" w:cs="宋体"/>
          <w:spacing w:val="3"/>
          <w:sz w:val="21"/>
          <w:szCs w:val="21"/>
        </w:rPr>
        <w:t>界和公众对疾病起源的认识。</w:t>
      </w:r>
    </w:p>
    <w:p w14:paraId="6E1C96A3">
      <w:pPr>
        <w:spacing w:before="40" w:line="325" w:lineRule="auto"/>
        <w:ind w:right="624" w:firstLine="429"/>
        <w:jc w:val="both"/>
        <w:rPr>
          <w:rFonts w:ascii="宋体" w:hAnsi="宋体" w:eastAsia="宋体" w:cs="宋体"/>
          <w:sz w:val="21"/>
          <w:szCs w:val="21"/>
        </w:rPr>
      </w:pPr>
      <w:r>
        <w:rPr>
          <w:rFonts w:ascii="宋体" w:hAnsi="宋体" w:eastAsia="宋体" w:cs="宋体"/>
          <w:spacing w:val="6"/>
          <w:sz w:val="21"/>
          <w:szCs w:val="21"/>
        </w:rPr>
        <w:t>在传染病方面，1946年启动了首项关于链霉素治疗肺结核的随机对照试验。1954年，美国医</w:t>
      </w:r>
      <w:r>
        <w:rPr>
          <w:rFonts w:ascii="宋体" w:hAnsi="宋体" w:eastAsia="宋体" w:cs="宋体"/>
          <w:spacing w:val="18"/>
          <w:sz w:val="21"/>
          <w:szCs w:val="21"/>
        </w:rPr>
        <w:t xml:space="preserve"> </w:t>
      </w:r>
      <w:r>
        <w:rPr>
          <w:rFonts w:ascii="宋体" w:hAnsi="宋体" w:eastAsia="宋体" w:cs="宋体"/>
          <w:spacing w:val="1"/>
          <w:sz w:val="21"/>
          <w:szCs w:val="21"/>
        </w:rPr>
        <w:t>师</w:t>
      </w:r>
      <w:r>
        <w:rPr>
          <w:rFonts w:ascii="宋体" w:hAnsi="宋体" w:eastAsia="宋体" w:cs="宋体"/>
          <w:sz w:val="21"/>
          <w:szCs w:val="21"/>
        </w:rPr>
        <w:t>Jonas</w:t>
      </w:r>
      <w:r>
        <w:rPr>
          <w:rFonts w:ascii="宋体" w:hAnsi="宋体" w:eastAsia="宋体" w:cs="宋体"/>
          <w:spacing w:val="1"/>
          <w:sz w:val="21"/>
          <w:szCs w:val="21"/>
        </w:rPr>
        <w:t xml:space="preserve"> </w:t>
      </w:r>
      <w:r>
        <w:rPr>
          <w:rFonts w:ascii="宋体" w:hAnsi="宋体" w:eastAsia="宋体" w:cs="宋体"/>
          <w:sz w:val="21"/>
          <w:szCs w:val="21"/>
        </w:rPr>
        <w:t>Edward</w:t>
      </w:r>
      <w:r>
        <w:rPr>
          <w:rFonts w:ascii="宋体" w:hAnsi="宋体" w:eastAsia="宋体" w:cs="宋体"/>
          <w:spacing w:val="1"/>
          <w:sz w:val="21"/>
          <w:szCs w:val="21"/>
        </w:rPr>
        <w:t xml:space="preserve"> </w:t>
      </w:r>
      <w:r>
        <w:rPr>
          <w:rFonts w:ascii="宋体" w:hAnsi="宋体" w:eastAsia="宋体" w:cs="宋体"/>
          <w:sz w:val="21"/>
          <w:szCs w:val="21"/>
        </w:rPr>
        <w:t>Salk</w:t>
      </w:r>
      <w:r>
        <w:rPr>
          <w:rFonts w:ascii="宋体" w:hAnsi="宋体" w:eastAsia="宋体" w:cs="宋体"/>
          <w:spacing w:val="-62"/>
          <w:sz w:val="21"/>
          <w:szCs w:val="21"/>
        </w:rPr>
        <w:t xml:space="preserve"> </w:t>
      </w:r>
      <w:r>
        <w:rPr>
          <w:rFonts w:ascii="宋体" w:hAnsi="宋体" w:eastAsia="宋体" w:cs="宋体"/>
          <w:spacing w:val="1"/>
          <w:sz w:val="21"/>
          <w:szCs w:val="21"/>
        </w:rPr>
        <w:t>在美国、加拿大和芬兰对180余万儿童开展了脊髓灰质炎疫苗现场试验，不仅</w:t>
      </w:r>
      <w:r>
        <w:rPr>
          <w:rFonts w:ascii="宋体" w:hAnsi="宋体" w:eastAsia="宋体" w:cs="宋体"/>
          <w:sz w:val="21"/>
          <w:szCs w:val="21"/>
        </w:rPr>
        <w:t xml:space="preserve"> </w:t>
      </w:r>
      <w:r>
        <w:rPr>
          <w:rFonts w:ascii="宋体" w:hAnsi="宋体" w:eastAsia="宋体" w:cs="宋体"/>
          <w:spacing w:val="1"/>
          <w:sz w:val="21"/>
          <w:szCs w:val="21"/>
        </w:rPr>
        <w:t>证实了疫苗的保护效果，也为人类最终消灭脊髓灰质炎奠定了科学基础。</w:t>
      </w:r>
    </w:p>
    <w:p w14:paraId="5FC4C822">
      <w:pPr>
        <w:spacing w:line="327" w:lineRule="auto"/>
        <w:ind w:right="629" w:firstLine="429"/>
        <w:rPr>
          <w:rFonts w:ascii="宋体" w:hAnsi="宋体" w:eastAsia="宋体" w:cs="宋体"/>
          <w:sz w:val="21"/>
          <w:szCs w:val="21"/>
        </w:rPr>
      </w:pPr>
      <w:r>
        <w:rPr>
          <w:rFonts w:ascii="宋体" w:hAnsi="宋体" w:eastAsia="宋体" w:cs="宋体"/>
          <w:sz w:val="21"/>
          <w:szCs w:val="21"/>
        </w:rPr>
        <w:t>此时期，流行病学方法也得到了显著发展。1951年，</w:t>
      </w:r>
      <w:r>
        <w:rPr>
          <w:rFonts w:ascii="Times New Roman" w:hAnsi="Times New Roman" w:eastAsia="Times New Roman" w:cs="Times New Roman"/>
          <w:sz w:val="21"/>
          <w:szCs w:val="21"/>
        </w:rPr>
        <w:t>Jerome</w:t>
      </w:r>
      <w:r>
        <w:rPr>
          <w:rFonts w:ascii="Times New Roman" w:hAnsi="Times New Roman" w:eastAsia="Times New Roman" w:cs="Times New Roman"/>
          <w:spacing w:val="44"/>
          <w:sz w:val="21"/>
          <w:szCs w:val="21"/>
        </w:rPr>
        <w:t xml:space="preserve"> </w:t>
      </w:r>
      <w:r>
        <w:rPr>
          <w:rFonts w:ascii="Times New Roman" w:hAnsi="Times New Roman" w:eastAsia="Times New Roman" w:cs="Times New Roman"/>
          <w:sz w:val="21"/>
          <w:szCs w:val="21"/>
        </w:rPr>
        <w:t>Cornfield</w:t>
      </w:r>
      <w:r>
        <w:rPr>
          <w:rFonts w:ascii="Times New Roman" w:hAnsi="Times New Roman" w:eastAsia="Times New Roman" w:cs="Times New Roman"/>
          <w:spacing w:val="-23"/>
          <w:sz w:val="21"/>
          <w:szCs w:val="21"/>
        </w:rPr>
        <w:t xml:space="preserve"> </w:t>
      </w:r>
      <w:r>
        <w:rPr>
          <w:rFonts w:ascii="宋体" w:hAnsi="宋体" w:eastAsia="宋体" w:cs="宋体"/>
          <w:sz w:val="21"/>
          <w:szCs w:val="21"/>
        </w:rPr>
        <w:t>提出了比值比及其与相对 危险度的关系。1959年，</w:t>
      </w:r>
      <w:r>
        <w:rPr>
          <w:rFonts w:ascii="Times New Roman" w:hAnsi="Times New Roman" w:eastAsia="Times New Roman" w:cs="Times New Roman"/>
          <w:sz w:val="21"/>
          <w:szCs w:val="21"/>
        </w:rPr>
        <w:t>Nathan</w:t>
      </w:r>
      <w:r>
        <w:rPr>
          <w:rFonts w:ascii="Times New Roman" w:hAnsi="Times New Roman" w:eastAsia="Times New Roman" w:cs="Times New Roman"/>
          <w:spacing w:val="36"/>
          <w:sz w:val="21"/>
          <w:szCs w:val="21"/>
        </w:rPr>
        <w:t xml:space="preserve"> </w:t>
      </w:r>
      <w:r>
        <w:rPr>
          <w:rFonts w:ascii="Times New Roman" w:hAnsi="Times New Roman" w:eastAsia="Times New Roman" w:cs="Times New Roman"/>
          <w:sz w:val="21"/>
          <w:szCs w:val="21"/>
        </w:rPr>
        <w:t>Mantel</w:t>
      </w:r>
      <w:r>
        <w:rPr>
          <w:rFonts w:ascii="宋体" w:hAnsi="宋体" w:eastAsia="宋体" w:cs="宋体"/>
          <w:sz w:val="21"/>
          <w:szCs w:val="21"/>
        </w:rPr>
        <w:t>和</w:t>
      </w:r>
      <w:r>
        <w:rPr>
          <w:rFonts w:ascii="宋体" w:hAnsi="宋体" w:eastAsia="宋体" w:cs="宋体"/>
          <w:spacing w:val="-56"/>
          <w:sz w:val="21"/>
          <w:szCs w:val="21"/>
        </w:rPr>
        <w:t xml:space="preserve"> </w:t>
      </w:r>
      <w:r>
        <w:rPr>
          <w:rFonts w:ascii="Times New Roman" w:hAnsi="Times New Roman" w:eastAsia="Times New Roman" w:cs="Times New Roman"/>
          <w:sz w:val="21"/>
          <w:szCs w:val="21"/>
        </w:rPr>
        <w:t>William Haenszel</w:t>
      </w:r>
      <w:r>
        <w:rPr>
          <w:rFonts w:ascii="Times New Roman" w:hAnsi="Times New Roman" w:eastAsia="Times New Roman" w:cs="Times New Roman"/>
          <w:spacing w:val="-18"/>
          <w:sz w:val="21"/>
          <w:szCs w:val="21"/>
        </w:rPr>
        <w:t xml:space="preserve"> </w:t>
      </w:r>
      <w:r>
        <w:rPr>
          <w:rFonts w:ascii="宋体" w:hAnsi="宋体" w:eastAsia="宋体" w:cs="宋体"/>
          <w:sz w:val="21"/>
          <w:szCs w:val="21"/>
        </w:rPr>
        <w:t>提出了著名的分层分析法。</w:t>
      </w:r>
    </w:p>
    <w:p w14:paraId="78065D2B">
      <w:pPr>
        <w:spacing w:before="8" w:line="288" w:lineRule="auto"/>
        <w:ind w:right="553" w:firstLine="429"/>
        <w:rPr>
          <w:rFonts w:ascii="宋体" w:hAnsi="宋体" w:eastAsia="宋体" w:cs="宋体"/>
          <w:sz w:val="21"/>
          <w:szCs w:val="21"/>
        </w:rPr>
      </w:pPr>
      <w:r>
        <w:rPr>
          <w:rFonts w:ascii="宋体" w:hAnsi="宋体" w:eastAsia="宋体" w:cs="宋体"/>
          <w:spacing w:val="9"/>
          <w:sz w:val="21"/>
          <w:szCs w:val="21"/>
        </w:rPr>
        <w:t>2.</w:t>
      </w:r>
      <w:r>
        <w:rPr>
          <w:rFonts w:ascii="宋体" w:hAnsi="宋体" w:eastAsia="宋体" w:cs="宋体"/>
          <w:spacing w:val="-43"/>
          <w:sz w:val="21"/>
          <w:szCs w:val="21"/>
        </w:rPr>
        <w:t xml:space="preserve"> </w:t>
      </w:r>
      <w:r>
        <w:rPr>
          <w:rFonts w:ascii="宋体" w:hAnsi="宋体" w:eastAsia="宋体" w:cs="宋体"/>
          <w:spacing w:val="9"/>
          <w:sz w:val="21"/>
          <w:szCs w:val="21"/>
        </w:rPr>
        <w:t>第二阶段为20世纪60年代至80年代，此时期流行病学方法得到了长足发展，对疾病发生</w:t>
      </w:r>
      <w:r>
        <w:rPr>
          <w:rFonts w:ascii="宋体" w:hAnsi="宋体" w:eastAsia="宋体" w:cs="宋体"/>
          <w:sz w:val="21"/>
          <w:szCs w:val="21"/>
        </w:rPr>
        <w:t xml:space="preserve">  </w:t>
      </w:r>
      <w:r>
        <w:rPr>
          <w:rFonts w:ascii="宋体" w:hAnsi="宋体" w:eastAsia="宋体" w:cs="宋体"/>
          <w:spacing w:val="1"/>
          <w:sz w:val="21"/>
          <w:szCs w:val="21"/>
        </w:rPr>
        <w:t>的测量、研究设计以及混杂、交互作用、偏倚的认识不断加深。例如，此时期提出了病因推断标准</w:t>
      </w:r>
      <w:r>
        <w:rPr>
          <w:rFonts w:ascii="宋体" w:hAnsi="宋体" w:eastAsia="宋体" w:cs="宋体"/>
          <w:spacing w:val="7"/>
          <w:sz w:val="21"/>
          <w:szCs w:val="21"/>
        </w:rPr>
        <w:t xml:space="preserve">  </w:t>
      </w:r>
      <w:r>
        <w:rPr>
          <w:rFonts w:ascii="Times New Roman" w:hAnsi="Times New Roman" w:eastAsia="Times New Roman" w:cs="Times New Roman"/>
          <w:spacing w:val="6"/>
          <w:sz w:val="21"/>
          <w:szCs w:val="21"/>
        </w:rPr>
        <w:t>(</w:t>
      </w:r>
      <w:r>
        <w:rPr>
          <w:rFonts w:ascii="Times New Roman" w:hAnsi="Times New Roman" w:eastAsia="Times New Roman" w:cs="Times New Roman"/>
          <w:sz w:val="21"/>
          <w:szCs w:val="21"/>
        </w:rPr>
        <w:t>Austin</w:t>
      </w:r>
      <w:r>
        <w:rPr>
          <w:rFonts w:ascii="Times New Roman" w:hAnsi="Times New Roman" w:eastAsia="Times New Roman" w:cs="Times New Roman"/>
          <w:spacing w:val="6"/>
          <w:sz w:val="21"/>
          <w:szCs w:val="21"/>
        </w:rPr>
        <w:t xml:space="preserve">        </w:t>
      </w:r>
      <w:r>
        <w:rPr>
          <w:rFonts w:ascii="Times New Roman" w:hAnsi="Times New Roman" w:eastAsia="Times New Roman" w:cs="Times New Roman"/>
          <w:sz w:val="21"/>
          <w:szCs w:val="21"/>
        </w:rPr>
        <w:t>B</w:t>
      </w:r>
      <w:r>
        <w:rPr>
          <w:rFonts w:ascii="Times New Roman" w:hAnsi="Times New Roman" w:eastAsia="Times New Roman" w:cs="Times New Roman"/>
          <w:spacing w:val="6"/>
          <w:sz w:val="21"/>
          <w:szCs w:val="21"/>
        </w:rPr>
        <w:t>.</w:t>
      </w:r>
      <w:r>
        <w:rPr>
          <w:rFonts w:ascii="Times New Roman" w:hAnsi="Times New Roman" w:eastAsia="Times New Roman" w:cs="Times New Roman"/>
          <w:sz w:val="21"/>
          <w:szCs w:val="21"/>
        </w:rPr>
        <w:t>Hill</w:t>
      </w:r>
      <w:r>
        <w:rPr>
          <w:rFonts w:ascii="Times New Roman" w:hAnsi="Times New Roman" w:eastAsia="Times New Roman" w:cs="Times New Roman"/>
          <w:spacing w:val="6"/>
          <w:sz w:val="21"/>
          <w:szCs w:val="21"/>
        </w:rPr>
        <w:t>,1965);</w:t>
      </w:r>
      <w:r>
        <w:rPr>
          <w:rFonts w:ascii="宋体" w:hAnsi="宋体" w:eastAsia="宋体" w:cs="宋体"/>
          <w:spacing w:val="6"/>
          <w:sz w:val="21"/>
          <w:szCs w:val="21"/>
        </w:rPr>
        <w:t>总结了35种可能的偏倚</w:t>
      </w:r>
      <w:r>
        <w:rPr>
          <w:rFonts w:ascii="Times New Roman" w:hAnsi="Times New Roman" w:eastAsia="Times New Roman" w:cs="Times New Roman"/>
          <w:spacing w:val="6"/>
          <w:sz w:val="21"/>
          <w:szCs w:val="21"/>
        </w:rPr>
        <w:t>(</w:t>
      </w:r>
      <w:r>
        <w:rPr>
          <w:rFonts w:ascii="Times New Roman" w:hAnsi="Times New Roman" w:eastAsia="Times New Roman" w:cs="Times New Roman"/>
          <w:sz w:val="21"/>
          <w:szCs w:val="21"/>
        </w:rPr>
        <w:t>David</w:t>
      </w:r>
      <w:r>
        <w:rPr>
          <w:rFonts w:ascii="Times New Roman" w:hAnsi="Times New Roman" w:eastAsia="Times New Roman" w:cs="Times New Roman"/>
          <w:spacing w:val="6"/>
          <w:sz w:val="21"/>
          <w:szCs w:val="21"/>
        </w:rPr>
        <w:t xml:space="preserve">        </w:t>
      </w:r>
      <w:r>
        <w:rPr>
          <w:rFonts w:ascii="Times New Roman" w:hAnsi="Times New Roman" w:eastAsia="Times New Roman" w:cs="Times New Roman"/>
          <w:sz w:val="21"/>
          <w:szCs w:val="21"/>
        </w:rPr>
        <w:t>L</w:t>
      </w:r>
      <w:r>
        <w:rPr>
          <w:rFonts w:ascii="Times New Roman" w:hAnsi="Times New Roman" w:eastAsia="Times New Roman" w:cs="Times New Roman"/>
          <w:spacing w:val="6"/>
          <w:sz w:val="21"/>
          <w:szCs w:val="21"/>
        </w:rPr>
        <w:t>.</w:t>
      </w:r>
      <w:r>
        <w:rPr>
          <w:rFonts w:ascii="Times New Roman" w:hAnsi="Times New Roman" w:eastAsia="Times New Roman" w:cs="Times New Roman"/>
          <w:sz w:val="21"/>
          <w:szCs w:val="21"/>
        </w:rPr>
        <w:t>Sackett</w:t>
      </w:r>
      <w:r>
        <w:rPr>
          <w:rFonts w:ascii="Times New Roman" w:hAnsi="Times New Roman" w:eastAsia="Times New Roman" w:cs="Times New Roman"/>
          <w:spacing w:val="6"/>
          <w:sz w:val="21"/>
          <w:szCs w:val="21"/>
        </w:rPr>
        <w:t>,1979),</w:t>
      </w:r>
      <w:r>
        <w:rPr>
          <w:rFonts w:ascii="宋体" w:hAnsi="宋体" w:eastAsia="宋体" w:cs="宋体"/>
          <w:spacing w:val="6"/>
          <w:sz w:val="21"/>
          <w:szCs w:val="21"/>
        </w:rPr>
        <w:t>随</w:t>
      </w:r>
      <w:r>
        <w:rPr>
          <w:rFonts w:ascii="宋体" w:hAnsi="宋体" w:eastAsia="宋体" w:cs="宋体"/>
          <w:spacing w:val="5"/>
          <w:sz w:val="21"/>
          <w:szCs w:val="21"/>
        </w:rPr>
        <w:t>后进一步归纳为比较</w:t>
      </w:r>
      <w:r>
        <w:rPr>
          <w:rFonts w:ascii="宋体" w:hAnsi="宋体" w:eastAsia="宋体" w:cs="宋体"/>
          <w:sz w:val="21"/>
          <w:szCs w:val="21"/>
        </w:rPr>
        <w:t xml:space="preserve">  </w:t>
      </w:r>
      <w:r>
        <w:rPr>
          <w:rFonts w:ascii="Times New Roman" w:hAnsi="Times New Roman" w:eastAsia="Times New Roman" w:cs="Times New Roman"/>
          <w:sz w:val="21"/>
          <w:szCs w:val="21"/>
        </w:rPr>
        <w:t>(comparison)</w:t>
      </w:r>
      <w:r>
        <w:rPr>
          <w:rFonts w:ascii="宋体" w:hAnsi="宋体" w:eastAsia="宋体" w:cs="宋体"/>
          <w:sz w:val="21"/>
          <w:szCs w:val="21"/>
        </w:rPr>
        <w:t>、选择</w:t>
      </w:r>
      <w:r>
        <w:rPr>
          <w:rFonts w:ascii="Times New Roman" w:hAnsi="Times New Roman" w:eastAsia="Times New Roman" w:cs="Times New Roman"/>
          <w:sz w:val="21"/>
          <w:szCs w:val="21"/>
        </w:rPr>
        <w:t>(selection</w:t>
      </w:r>
      <w:r>
        <w:rPr>
          <w:rFonts w:ascii="Times New Roman" w:hAnsi="Times New Roman" w:eastAsia="Times New Roman" w:cs="Times New Roman"/>
          <w:spacing w:val="-1"/>
          <w:sz w:val="21"/>
          <w:szCs w:val="21"/>
        </w:rPr>
        <w:t>)</w:t>
      </w:r>
      <w:r>
        <w:rPr>
          <w:rFonts w:ascii="宋体" w:hAnsi="宋体" w:eastAsia="宋体" w:cs="宋体"/>
          <w:spacing w:val="-1"/>
          <w:sz w:val="21"/>
          <w:szCs w:val="21"/>
        </w:rPr>
        <w:t>、信息</w:t>
      </w:r>
      <w:r>
        <w:rPr>
          <w:rFonts w:ascii="Times New Roman" w:hAnsi="Times New Roman" w:eastAsia="Times New Roman" w:cs="Times New Roman"/>
          <w:spacing w:val="-1"/>
          <w:sz w:val="21"/>
          <w:szCs w:val="21"/>
        </w:rPr>
        <w:t xml:space="preserve">(information) </w:t>
      </w:r>
      <w:r>
        <w:rPr>
          <w:rFonts w:ascii="宋体" w:hAnsi="宋体" w:eastAsia="宋体" w:cs="宋体"/>
          <w:spacing w:val="-1"/>
          <w:sz w:val="21"/>
          <w:szCs w:val="21"/>
        </w:rPr>
        <w:t>三大类偏倚</w:t>
      </w:r>
      <w:r>
        <w:rPr>
          <w:rFonts w:ascii="Times New Roman" w:hAnsi="Times New Roman" w:eastAsia="Times New Roman" w:cs="Times New Roman"/>
          <w:spacing w:val="-1"/>
          <w:sz w:val="21"/>
          <w:szCs w:val="21"/>
        </w:rPr>
        <w:t>(Olli     S.Miettinen,1985)</w:t>
      </w:r>
      <w:r>
        <w:rPr>
          <w:rFonts w:ascii="宋体" w:hAnsi="宋体" w:eastAsia="宋体" w:cs="宋体"/>
          <w:spacing w:val="-1"/>
          <w:sz w:val="21"/>
          <w:szCs w:val="21"/>
        </w:rPr>
        <w:t>。同期，一批具</w:t>
      </w:r>
      <w:r>
        <w:rPr>
          <w:rFonts w:ascii="宋体" w:hAnsi="宋体" w:eastAsia="宋体" w:cs="宋体"/>
          <w:sz w:val="21"/>
          <w:szCs w:val="21"/>
        </w:rPr>
        <w:t xml:space="preserve"> </w:t>
      </w:r>
      <w:r>
        <w:rPr>
          <w:rFonts w:ascii="宋体" w:hAnsi="宋体" w:eastAsia="宋体" w:cs="宋体"/>
          <w:spacing w:val="-2"/>
          <w:sz w:val="21"/>
          <w:szCs w:val="21"/>
        </w:rPr>
        <w:t>有代表性的流行病学教科书和专著相继问世(如Brian MacMahon等，1970;Abraham M.Lilienfeld等</w:t>
      </w:r>
      <w:r>
        <w:rPr>
          <w:rFonts w:ascii="宋体" w:hAnsi="宋体" w:eastAsia="宋体" w:cs="宋体"/>
          <w:spacing w:val="-34"/>
          <w:sz w:val="21"/>
          <w:szCs w:val="21"/>
        </w:rPr>
        <w:t xml:space="preserve"> </w:t>
      </w:r>
      <w:r>
        <w:rPr>
          <w:rFonts w:ascii="宋体" w:hAnsi="宋体" w:eastAsia="宋体" w:cs="宋体"/>
          <w:spacing w:val="-2"/>
          <w:sz w:val="21"/>
          <w:szCs w:val="21"/>
        </w:rPr>
        <w:t>，</w:t>
      </w:r>
      <w:r>
        <w:rPr>
          <w:rFonts w:ascii="宋体" w:hAnsi="宋体" w:eastAsia="宋体" w:cs="宋体"/>
          <w:sz w:val="21"/>
          <w:szCs w:val="21"/>
        </w:rPr>
        <w:t xml:space="preserve"> </w:t>
      </w:r>
      <w:r>
        <w:rPr>
          <w:rFonts w:ascii="Times New Roman" w:hAnsi="Times New Roman" w:eastAsia="Times New Roman" w:cs="Times New Roman"/>
          <w:spacing w:val="-2"/>
          <w:sz w:val="21"/>
          <w:szCs w:val="21"/>
        </w:rPr>
        <w:t>1980;Kenneth      J.Rothman,1986)</w:t>
      </w:r>
      <w:r>
        <w:rPr>
          <w:rFonts w:ascii="Times New Roman" w:hAnsi="Times New Roman" w:eastAsia="Times New Roman" w:cs="Times New Roman"/>
          <w:spacing w:val="-24"/>
          <w:sz w:val="21"/>
          <w:szCs w:val="21"/>
        </w:rPr>
        <w:t xml:space="preserve"> </w:t>
      </w:r>
      <w:r>
        <w:rPr>
          <w:rFonts w:ascii="宋体" w:hAnsi="宋体" w:eastAsia="宋体" w:cs="宋体"/>
          <w:spacing w:val="-2"/>
          <w:sz w:val="21"/>
          <w:szCs w:val="21"/>
        </w:rPr>
        <w:t>。</w:t>
      </w:r>
      <w:r>
        <w:rPr>
          <w:rFonts w:ascii="Times New Roman" w:hAnsi="Times New Roman" w:eastAsia="Times New Roman" w:cs="Times New Roman"/>
          <w:spacing w:val="-2"/>
          <w:sz w:val="21"/>
          <w:szCs w:val="21"/>
        </w:rPr>
        <w:t>1983</w:t>
      </w:r>
      <w:r>
        <w:rPr>
          <w:rFonts w:ascii="宋体" w:hAnsi="宋体" w:eastAsia="宋体" w:cs="宋体"/>
          <w:spacing w:val="-2"/>
          <w:sz w:val="21"/>
          <w:szCs w:val="21"/>
        </w:rPr>
        <w:t>年</w:t>
      </w:r>
      <w:r>
        <w:rPr>
          <w:rFonts w:ascii="宋体" w:hAnsi="宋体" w:eastAsia="宋体" w:cs="宋体"/>
          <w:spacing w:val="-44"/>
          <w:sz w:val="21"/>
          <w:szCs w:val="21"/>
        </w:rPr>
        <w:t xml:space="preserve"> </w:t>
      </w:r>
      <w:r>
        <w:rPr>
          <w:rFonts w:ascii="宋体" w:hAnsi="宋体" w:eastAsia="宋体" w:cs="宋体"/>
          <w:spacing w:val="-2"/>
          <w:sz w:val="21"/>
          <w:szCs w:val="21"/>
        </w:rPr>
        <w:t>，</w:t>
      </w:r>
      <w:r>
        <w:rPr>
          <w:rFonts w:ascii="Times New Roman" w:hAnsi="Times New Roman" w:eastAsia="Times New Roman" w:cs="Times New Roman"/>
          <w:spacing w:val="-2"/>
          <w:sz w:val="21"/>
          <w:szCs w:val="21"/>
        </w:rPr>
        <w:t>John  M.Last</w:t>
      </w:r>
      <w:r>
        <w:rPr>
          <w:rFonts w:ascii="宋体" w:hAnsi="宋体" w:eastAsia="宋体" w:cs="宋体"/>
          <w:spacing w:val="-2"/>
          <w:sz w:val="21"/>
          <w:szCs w:val="21"/>
        </w:rPr>
        <w:t>出版了</w:t>
      </w:r>
      <w:r>
        <w:rPr>
          <w:rFonts w:ascii="宋体" w:hAnsi="宋体" w:eastAsia="宋体" w:cs="宋体"/>
          <w:spacing w:val="-3"/>
          <w:sz w:val="21"/>
          <w:szCs w:val="21"/>
        </w:rPr>
        <w:t>第一部流行病学词典。</w:t>
      </w:r>
    </w:p>
    <w:p w14:paraId="433D337F">
      <w:pPr>
        <w:spacing w:before="189" w:line="292" w:lineRule="auto"/>
        <w:ind w:right="641" w:firstLine="429"/>
        <w:rPr>
          <w:rFonts w:ascii="宋体" w:hAnsi="宋体" w:eastAsia="宋体" w:cs="宋体"/>
          <w:sz w:val="21"/>
          <w:szCs w:val="21"/>
        </w:rPr>
      </w:pPr>
      <w:r>
        <w:rPr>
          <w:rFonts w:ascii="宋体" w:hAnsi="宋体" w:eastAsia="宋体" w:cs="宋体"/>
          <w:sz w:val="21"/>
          <w:szCs w:val="21"/>
        </w:rPr>
        <w:t>3.</w:t>
      </w:r>
      <w:r>
        <w:rPr>
          <w:rFonts w:ascii="宋体" w:hAnsi="宋体" w:eastAsia="宋体" w:cs="宋体"/>
          <w:spacing w:val="-43"/>
          <w:sz w:val="21"/>
          <w:szCs w:val="21"/>
        </w:rPr>
        <w:t xml:space="preserve"> </w:t>
      </w:r>
      <w:r>
        <w:rPr>
          <w:rFonts w:ascii="宋体" w:hAnsi="宋体" w:eastAsia="宋体" w:cs="宋体"/>
          <w:sz w:val="21"/>
          <w:szCs w:val="21"/>
        </w:rPr>
        <w:t>第三阶段为20世纪90年代至今，此时期流</w:t>
      </w:r>
      <w:r>
        <w:rPr>
          <w:rFonts w:ascii="宋体" w:hAnsi="宋体" w:eastAsia="宋体" w:cs="宋体"/>
          <w:spacing w:val="-1"/>
          <w:sz w:val="21"/>
          <w:szCs w:val="21"/>
        </w:rPr>
        <w:t>行病学不仅扩大了应用领域，还与其他学科交叉融</w:t>
      </w:r>
      <w:r>
        <w:rPr>
          <w:rFonts w:ascii="宋体" w:hAnsi="宋体" w:eastAsia="宋体" w:cs="宋体"/>
          <w:sz w:val="21"/>
          <w:szCs w:val="21"/>
        </w:rPr>
        <w:t xml:space="preserve"> </w:t>
      </w:r>
      <w:r>
        <w:rPr>
          <w:rFonts w:ascii="宋体" w:hAnsi="宋体" w:eastAsia="宋体" w:cs="宋体"/>
          <w:spacing w:val="-3"/>
          <w:sz w:val="21"/>
          <w:szCs w:val="21"/>
        </w:rPr>
        <w:t>合，不断形成新的分支学科和交叉学科。在微观层面，</w:t>
      </w:r>
      <w:r>
        <w:rPr>
          <w:rFonts w:ascii="宋体" w:hAnsi="宋体" w:eastAsia="宋体" w:cs="宋体"/>
          <w:spacing w:val="-4"/>
          <w:sz w:val="21"/>
          <w:szCs w:val="21"/>
        </w:rPr>
        <w:t>流行病学与分子生物学的交叉融合催生了分子</w:t>
      </w:r>
      <w:r>
        <w:rPr>
          <w:rFonts w:ascii="宋体" w:hAnsi="宋体" w:eastAsia="宋体" w:cs="宋体"/>
          <w:sz w:val="21"/>
          <w:szCs w:val="21"/>
        </w:rPr>
        <w:t xml:space="preserve"> </w:t>
      </w:r>
      <w:r>
        <w:rPr>
          <w:rFonts w:ascii="宋体" w:hAnsi="宋体" w:eastAsia="宋体" w:cs="宋体"/>
          <w:spacing w:val="-2"/>
          <w:sz w:val="21"/>
          <w:szCs w:val="21"/>
        </w:rPr>
        <w:t>流行病学，1993年第一部相关专著出版。在宏观层面，1996年提出了生态流行病学</w:t>
      </w:r>
      <w:r>
        <w:rPr>
          <w:rFonts w:ascii="Times New Roman" w:hAnsi="Times New Roman" w:eastAsia="Times New Roman" w:cs="Times New Roman"/>
          <w:spacing w:val="-2"/>
          <w:sz w:val="21"/>
          <w:szCs w:val="21"/>
        </w:rPr>
        <w:t>(eco-</w:t>
      </w:r>
      <w:r>
        <w:rPr>
          <w:rFonts w:ascii="Times New Roman" w:hAnsi="Times New Roman" w:eastAsia="Times New Roman" w:cs="Times New Roman"/>
          <w:spacing w:val="-3"/>
          <w:sz w:val="21"/>
          <w:szCs w:val="21"/>
        </w:rPr>
        <w:t>epidemiology)</w:t>
      </w:r>
      <w:r>
        <w:rPr>
          <w:rFonts w:ascii="Times New Roman" w:hAnsi="Times New Roman" w:eastAsia="Times New Roman" w:cs="Times New Roman"/>
          <w:sz w:val="21"/>
          <w:szCs w:val="21"/>
        </w:rPr>
        <w:t xml:space="preserve"> </w:t>
      </w:r>
      <w:r>
        <w:rPr>
          <w:rFonts w:ascii="宋体" w:hAnsi="宋体" w:eastAsia="宋体" w:cs="宋体"/>
          <w:spacing w:val="-8"/>
          <w:sz w:val="21"/>
          <w:szCs w:val="21"/>
        </w:rPr>
        <w:t>模式，强调从分子、个体和社会多个水平，并结合个体的生命历程及人群的发展历史，全面研究疾病与</w:t>
      </w:r>
      <w:r>
        <w:rPr>
          <w:rFonts w:ascii="宋体" w:hAnsi="宋体" w:eastAsia="宋体" w:cs="宋体"/>
          <w:spacing w:val="5"/>
          <w:sz w:val="21"/>
          <w:szCs w:val="21"/>
        </w:rPr>
        <w:t xml:space="preserve"> </w:t>
      </w:r>
      <w:r>
        <w:rPr>
          <w:rFonts w:ascii="宋体" w:hAnsi="宋体" w:eastAsia="宋体" w:cs="宋体"/>
          <w:spacing w:val="-6"/>
          <w:sz w:val="21"/>
          <w:szCs w:val="21"/>
        </w:rPr>
        <w:t>健康的相关问题。2007年，系统流行病学</w:t>
      </w:r>
      <w:r>
        <w:rPr>
          <w:rFonts w:ascii="Times New Roman" w:hAnsi="Times New Roman" w:eastAsia="Times New Roman" w:cs="Times New Roman"/>
          <w:spacing w:val="-6"/>
          <w:sz w:val="21"/>
          <w:szCs w:val="21"/>
        </w:rPr>
        <w:t>(systems epidemiology)</w:t>
      </w:r>
      <w:r>
        <w:rPr>
          <w:rFonts w:ascii="宋体" w:hAnsi="宋体" w:eastAsia="宋体" w:cs="宋体"/>
          <w:spacing w:val="-6"/>
          <w:sz w:val="21"/>
          <w:szCs w:val="21"/>
        </w:rPr>
        <w:t>作为新的交叉学科被提出。</w:t>
      </w:r>
    </w:p>
    <w:p w14:paraId="5035A6AD">
      <w:pPr>
        <w:spacing w:line="252" w:lineRule="auto"/>
        <w:rPr>
          <w:rFonts w:ascii="Arial"/>
          <w:sz w:val="21"/>
        </w:rPr>
      </w:pPr>
    </w:p>
    <w:p w14:paraId="42CA2F1D">
      <w:pPr>
        <w:pStyle w:val="2"/>
        <w:spacing w:before="85" w:line="221" w:lineRule="auto"/>
        <w:ind w:left="513"/>
        <w:outlineLvl w:val="2"/>
        <w:rPr>
          <w:sz w:val="26"/>
          <w:szCs w:val="26"/>
        </w:rPr>
      </w:pPr>
      <w:bookmarkStart w:id="12" w:name="bookmark5"/>
      <w:bookmarkEnd w:id="12"/>
      <w:r>
        <w:rPr>
          <w:b/>
          <w:bCs/>
          <w:spacing w:val="-9"/>
          <w:sz w:val="26"/>
          <w:szCs w:val="26"/>
        </w:rPr>
        <w:t>二、我国流行病学的成就</w:t>
      </w:r>
    </w:p>
    <w:p w14:paraId="5805221A">
      <w:pPr>
        <w:spacing w:before="244" w:line="317" w:lineRule="auto"/>
        <w:ind w:right="647" w:firstLine="429"/>
        <w:jc w:val="both"/>
        <w:rPr>
          <w:rFonts w:ascii="宋体" w:hAnsi="宋体" w:eastAsia="宋体" w:cs="宋体"/>
          <w:sz w:val="21"/>
          <w:szCs w:val="21"/>
        </w:rPr>
      </w:pPr>
      <w:r>
        <w:rPr>
          <w:rFonts w:ascii="宋体" w:hAnsi="宋体" w:eastAsia="宋体" w:cs="宋体"/>
          <w:spacing w:val="1"/>
          <w:sz w:val="21"/>
          <w:szCs w:val="21"/>
        </w:rPr>
        <w:t>新中国成立前，我国的流行病学工作不具规模且不够系统，但个别工作仍很卓越。伍连德博士</w:t>
      </w:r>
      <w:r>
        <w:rPr>
          <w:rFonts w:ascii="宋体" w:hAnsi="宋体" w:eastAsia="宋体" w:cs="宋体"/>
          <w:spacing w:val="8"/>
          <w:sz w:val="21"/>
          <w:szCs w:val="21"/>
        </w:rPr>
        <w:t xml:space="preserve"> </w:t>
      </w:r>
      <w:r>
        <w:rPr>
          <w:rFonts w:ascii="宋体" w:hAnsi="宋体" w:eastAsia="宋体" w:cs="宋体"/>
          <w:spacing w:val="6"/>
          <w:sz w:val="21"/>
          <w:szCs w:val="21"/>
        </w:rPr>
        <w:t>作为我国流行病学的先驱和奠基人，领导了</w:t>
      </w:r>
      <w:r>
        <w:rPr>
          <w:rFonts w:ascii="宋体" w:hAnsi="宋体" w:eastAsia="宋体" w:cs="宋体"/>
          <w:spacing w:val="5"/>
          <w:sz w:val="21"/>
          <w:szCs w:val="21"/>
        </w:rPr>
        <w:t>1910—1911年和1920—1921年两次东北鼠疫较大流行</w:t>
      </w:r>
      <w:r>
        <w:rPr>
          <w:rFonts w:ascii="宋体" w:hAnsi="宋体" w:eastAsia="宋体" w:cs="宋体"/>
          <w:sz w:val="21"/>
          <w:szCs w:val="21"/>
        </w:rPr>
        <w:t xml:space="preserve"> </w:t>
      </w:r>
      <w:r>
        <w:rPr>
          <w:rFonts w:ascii="宋体" w:hAnsi="宋体" w:eastAsia="宋体" w:cs="宋体"/>
          <w:spacing w:val="1"/>
          <w:sz w:val="21"/>
          <w:szCs w:val="21"/>
        </w:rPr>
        <w:t>的调查防控工作。他首次提出东北鼠疫流行是通过空气飞沫传播的肺鼠疫，且旱獭为</w:t>
      </w:r>
      <w:r>
        <w:rPr>
          <w:rFonts w:ascii="宋体" w:hAnsi="宋体" w:eastAsia="宋体" w:cs="宋体"/>
          <w:sz w:val="21"/>
          <w:szCs w:val="21"/>
        </w:rPr>
        <w:t xml:space="preserve">主要宿主；他 </w:t>
      </w:r>
      <w:r>
        <w:rPr>
          <w:rFonts w:ascii="宋体" w:hAnsi="宋体" w:eastAsia="宋体" w:cs="宋体"/>
          <w:spacing w:val="6"/>
          <w:sz w:val="21"/>
          <w:szCs w:val="21"/>
        </w:rPr>
        <w:t>也因此项研究工作于1935年获得诺贝尔生理学或医学</w:t>
      </w:r>
      <w:r>
        <w:rPr>
          <w:rFonts w:ascii="宋体" w:hAnsi="宋体" w:eastAsia="宋体" w:cs="宋体"/>
          <w:spacing w:val="5"/>
          <w:sz w:val="21"/>
          <w:szCs w:val="21"/>
        </w:rPr>
        <w:t>奖提名。此外，他也是20世纪初我国霍乱防</w:t>
      </w:r>
      <w:r>
        <w:rPr>
          <w:rFonts w:ascii="宋体" w:hAnsi="宋体" w:eastAsia="宋体" w:cs="宋体"/>
          <w:sz w:val="21"/>
          <w:szCs w:val="21"/>
        </w:rPr>
        <w:t xml:space="preserve"> </w:t>
      </w:r>
      <w:r>
        <w:rPr>
          <w:rFonts w:ascii="宋体" w:hAnsi="宋体" w:eastAsia="宋体" w:cs="宋体"/>
          <w:spacing w:val="-2"/>
          <w:sz w:val="21"/>
          <w:szCs w:val="21"/>
        </w:rPr>
        <w:t>制的卓越领导者，尤其在海港检疫方面贡献显著。</w:t>
      </w:r>
    </w:p>
    <w:p w14:paraId="54A8DD96">
      <w:pPr>
        <w:spacing w:before="44" w:line="317" w:lineRule="auto"/>
        <w:ind w:right="630" w:firstLine="429"/>
        <w:jc w:val="both"/>
        <w:rPr>
          <w:rFonts w:ascii="宋体" w:hAnsi="宋体" w:eastAsia="宋体" w:cs="宋体"/>
          <w:sz w:val="21"/>
          <w:szCs w:val="21"/>
        </w:rPr>
      </w:pPr>
      <w:r>
        <w:rPr>
          <w:rFonts w:ascii="宋体" w:hAnsi="宋体" w:eastAsia="宋体" w:cs="宋体"/>
          <w:spacing w:val="1"/>
          <w:sz w:val="21"/>
          <w:szCs w:val="21"/>
        </w:rPr>
        <w:t>新中国成立后，国家制定了预防为主的卫生工作方针，并相继成立了各级卫</w:t>
      </w:r>
      <w:r>
        <w:rPr>
          <w:rFonts w:ascii="宋体" w:hAnsi="宋体" w:eastAsia="宋体" w:cs="宋体"/>
          <w:sz w:val="21"/>
          <w:szCs w:val="21"/>
        </w:rPr>
        <w:t xml:space="preserve">生防疫、寄生虫病 </w:t>
      </w:r>
      <w:r>
        <w:rPr>
          <w:rFonts w:ascii="宋体" w:hAnsi="宋体" w:eastAsia="宋体" w:cs="宋体"/>
          <w:spacing w:val="-4"/>
          <w:sz w:val="21"/>
          <w:szCs w:val="21"/>
        </w:rPr>
        <w:t>及地方病防制等机构；整顿并发展生物制品研究机构，积极研</w:t>
      </w:r>
      <w:r>
        <w:rPr>
          <w:rFonts w:ascii="宋体" w:hAnsi="宋体" w:eastAsia="宋体" w:cs="宋体"/>
          <w:spacing w:val="-5"/>
          <w:sz w:val="21"/>
          <w:szCs w:val="21"/>
        </w:rPr>
        <w:t>制并推广多种有效疫苗；颁布了《传染</w:t>
      </w:r>
      <w:r>
        <w:rPr>
          <w:rFonts w:ascii="宋体" w:hAnsi="宋体" w:eastAsia="宋体" w:cs="宋体"/>
          <w:sz w:val="21"/>
          <w:szCs w:val="21"/>
        </w:rPr>
        <w:t xml:space="preserve"> </w:t>
      </w:r>
      <w:r>
        <w:rPr>
          <w:rFonts w:ascii="宋体" w:hAnsi="宋体" w:eastAsia="宋体" w:cs="宋体"/>
          <w:spacing w:val="-1"/>
          <w:sz w:val="21"/>
          <w:szCs w:val="21"/>
        </w:rPr>
        <w:t>病管理办法》;还在医学院校设立卫生系，在全国范</w:t>
      </w:r>
      <w:r>
        <w:rPr>
          <w:rFonts w:ascii="宋体" w:hAnsi="宋体" w:eastAsia="宋体" w:cs="宋体"/>
          <w:spacing w:val="-2"/>
          <w:sz w:val="21"/>
          <w:szCs w:val="21"/>
        </w:rPr>
        <w:t>围内建立流行病学研究机构，大力培养流行病学</w:t>
      </w:r>
      <w:r>
        <w:rPr>
          <w:rFonts w:ascii="宋体" w:hAnsi="宋体" w:eastAsia="宋体" w:cs="宋体"/>
          <w:sz w:val="21"/>
          <w:szCs w:val="21"/>
        </w:rPr>
        <w:t xml:space="preserve"> </w:t>
      </w:r>
      <w:r>
        <w:rPr>
          <w:rFonts w:ascii="宋体" w:hAnsi="宋体" w:eastAsia="宋体" w:cs="宋体"/>
          <w:spacing w:val="2"/>
          <w:sz w:val="21"/>
          <w:szCs w:val="21"/>
        </w:rPr>
        <w:t>专业人才。经过短短数年努力，全国基本上消灭和控制了血吸虫病等五大寄</w:t>
      </w:r>
      <w:r>
        <w:rPr>
          <w:rFonts w:ascii="宋体" w:hAnsi="宋体" w:eastAsia="宋体" w:cs="宋体"/>
          <w:spacing w:val="1"/>
          <w:sz w:val="21"/>
          <w:szCs w:val="21"/>
        </w:rPr>
        <w:t>生虫病，随后又消灭了</w:t>
      </w:r>
      <w:r>
        <w:rPr>
          <w:rFonts w:ascii="宋体" w:hAnsi="宋体" w:eastAsia="宋体" w:cs="宋体"/>
          <w:sz w:val="21"/>
          <w:szCs w:val="21"/>
        </w:rPr>
        <w:t xml:space="preserve"> 天花和古典型霍乱，控制了人间鼠疫，并一度在全国范围内基本消灭了性病。国家还大力提倡新法</w:t>
      </w:r>
      <w:r>
        <w:rPr>
          <w:rFonts w:ascii="宋体" w:hAnsi="宋体" w:eastAsia="宋体" w:cs="宋体"/>
          <w:spacing w:val="16"/>
          <w:sz w:val="21"/>
          <w:szCs w:val="21"/>
        </w:rPr>
        <w:t xml:space="preserve"> </w:t>
      </w:r>
      <w:r>
        <w:rPr>
          <w:rFonts w:ascii="宋体" w:hAnsi="宋体" w:eastAsia="宋体" w:cs="宋体"/>
          <w:sz w:val="21"/>
          <w:szCs w:val="21"/>
        </w:rPr>
        <w:t>接生，显著降低了新生儿破伤风的发病率。在接下来的二三十年间，防疫战线在防制麻疹、脊髓灰</w:t>
      </w:r>
      <w:r>
        <w:rPr>
          <w:rFonts w:ascii="宋体" w:hAnsi="宋体" w:eastAsia="宋体" w:cs="宋体"/>
          <w:spacing w:val="17"/>
          <w:sz w:val="21"/>
          <w:szCs w:val="21"/>
        </w:rPr>
        <w:t xml:space="preserve"> </w:t>
      </w:r>
      <w:r>
        <w:rPr>
          <w:rFonts w:ascii="宋体" w:hAnsi="宋体" w:eastAsia="宋体" w:cs="宋体"/>
          <w:spacing w:val="-4"/>
          <w:sz w:val="21"/>
          <w:szCs w:val="21"/>
        </w:rPr>
        <w:t>质炎、白喉、百日咳、流行性脑脊髓膜炎(简称流脑)、乙型脑炎、病毒</w:t>
      </w:r>
      <w:r>
        <w:rPr>
          <w:rFonts w:ascii="宋体" w:hAnsi="宋体" w:eastAsia="宋体" w:cs="宋体"/>
          <w:spacing w:val="-5"/>
          <w:sz w:val="21"/>
          <w:szCs w:val="21"/>
        </w:rPr>
        <w:t>性肝炎、肾综合征出血热等方</w:t>
      </w:r>
      <w:r>
        <w:rPr>
          <w:rFonts w:ascii="宋体" w:hAnsi="宋体" w:eastAsia="宋体" w:cs="宋体"/>
          <w:sz w:val="21"/>
          <w:szCs w:val="21"/>
        </w:rPr>
        <w:t xml:space="preserve"> </w:t>
      </w:r>
      <w:r>
        <w:rPr>
          <w:rFonts w:ascii="宋体" w:hAnsi="宋体" w:eastAsia="宋体" w:cs="宋体"/>
          <w:spacing w:val="2"/>
          <w:sz w:val="21"/>
          <w:szCs w:val="21"/>
        </w:rPr>
        <w:t>面也取得了显著成绩。这些都是流行病学专家和广大防疫人员辛勤努力和艰苦奋斗的结果。</w:t>
      </w:r>
    </w:p>
    <w:p w14:paraId="28820975">
      <w:pPr>
        <w:spacing w:before="7" w:line="219" w:lineRule="auto"/>
        <w:ind w:left="429"/>
        <w:rPr>
          <w:rFonts w:ascii="宋体" w:hAnsi="宋体" w:eastAsia="宋体" w:cs="宋体"/>
          <w:sz w:val="21"/>
          <w:szCs w:val="21"/>
        </w:rPr>
      </w:pPr>
      <w:r>
        <w:rPr>
          <w:rFonts w:ascii="宋体" w:hAnsi="宋体" w:eastAsia="宋体" w:cs="宋体"/>
          <w:spacing w:val="1"/>
          <w:sz w:val="21"/>
          <w:szCs w:val="21"/>
        </w:rPr>
        <w:t>另外值得提及的我国流行病学先驱和奠基人是苏德隆教授、何观清教</w:t>
      </w:r>
      <w:r>
        <w:rPr>
          <w:rFonts w:ascii="宋体" w:hAnsi="宋体" w:eastAsia="宋体" w:cs="宋体"/>
          <w:sz w:val="21"/>
          <w:szCs w:val="21"/>
        </w:rPr>
        <w:t>授和钱宇平教授。苏德隆</w:t>
      </w:r>
    </w:p>
    <w:p w14:paraId="438A6262">
      <w:pPr>
        <w:spacing w:line="219" w:lineRule="auto"/>
        <w:rPr>
          <w:rFonts w:ascii="宋体" w:hAnsi="宋体" w:eastAsia="宋体" w:cs="宋体"/>
          <w:sz w:val="21"/>
          <w:szCs w:val="21"/>
        </w:rPr>
        <w:sectPr>
          <w:footerReference r:id="rId33" w:type="default"/>
          <w:pgSz w:w="11900" w:h="16820"/>
          <w:pgMar w:top="400" w:right="801" w:bottom="938" w:left="1360" w:header="0" w:footer="785" w:gutter="0"/>
          <w:cols w:space="720" w:num="1"/>
        </w:sectPr>
      </w:pPr>
    </w:p>
    <w:p w14:paraId="6C70CAAC">
      <w:pPr>
        <w:pStyle w:val="2"/>
        <w:spacing w:before="196" w:line="222" w:lineRule="auto"/>
        <w:ind w:left="699"/>
        <w:rPr>
          <w:sz w:val="20"/>
          <w:szCs w:val="20"/>
        </w:rPr>
      </w:pPr>
      <w:r>
        <w:rPr>
          <w:spacing w:val="-14"/>
          <w:sz w:val="20"/>
          <w:szCs w:val="20"/>
        </w:rPr>
        <w:t>第一章</w:t>
      </w:r>
      <w:r>
        <w:rPr>
          <w:spacing w:val="25"/>
          <w:sz w:val="20"/>
          <w:szCs w:val="20"/>
        </w:rPr>
        <w:t xml:space="preserve"> </w:t>
      </w:r>
      <w:r>
        <w:rPr>
          <w:spacing w:val="-14"/>
          <w:sz w:val="20"/>
          <w:szCs w:val="20"/>
        </w:rPr>
        <w:t>绪论</w:t>
      </w:r>
    </w:p>
    <w:p w14:paraId="5DD856FA">
      <w:pPr>
        <w:spacing w:line="287" w:lineRule="auto"/>
        <w:rPr>
          <w:rFonts w:ascii="Arial"/>
          <w:sz w:val="21"/>
        </w:rPr>
      </w:pPr>
    </w:p>
    <w:p w14:paraId="4B93EF74">
      <w:pPr>
        <w:spacing w:line="287" w:lineRule="auto"/>
        <w:rPr>
          <w:rFonts w:ascii="Arial"/>
          <w:sz w:val="21"/>
        </w:rPr>
      </w:pPr>
    </w:p>
    <w:p w14:paraId="6674AD5D">
      <w:pPr>
        <w:spacing w:before="65" w:line="340" w:lineRule="auto"/>
        <w:ind w:left="699" w:right="19"/>
        <w:jc w:val="both"/>
        <w:rPr>
          <w:rFonts w:ascii="宋体" w:hAnsi="宋体" w:eastAsia="宋体" w:cs="宋体"/>
          <w:sz w:val="20"/>
          <w:szCs w:val="20"/>
        </w:rPr>
      </w:pPr>
      <w:r>
        <w:rPr>
          <w:rFonts w:ascii="宋体" w:hAnsi="宋体" w:eastAsia="宋体" w:cs="宋体"/>
          <w:spacing w:val="8"/>
          <w:sz w:val="20"/>
          <w:szCs w:val="20"/>
        </w:rPr>
        <w:t>教授积极参与国家对血吸虫病和霍乱的防制研究，尤</w:t>
      </w:r>
      <w:r>
        <w:rPr>
          <w:rFonts w:ascii="宋体" w:hAnsi="宋体" w:eastAsia="宋体" w:cs="宋体"/>
          <w:spacing w:val="7"/>
          <w:sz w:val="20"/>
          <w:szCs w:val="20"/>
        </w:rPr>
        <w:t>其在血吸虫病方面贡献突出。1972年春，他率</w:t>
      </w:r>
      <w:r>
        <w:rPr>
          <w:rFonts w:ascii="宋体" w:hAnsi="宋体" w:eastAsia="宋体" w:cs="宋体"/>
          <w:sz w:val="20"/>
          <w:szCs w:val="20"/>
        </w:rPr>
        <w:t xml:space="preserve">  </w:t>
      </w:r>
      <w:r>
        <w:rPr>
          <w:rFonts w:ascii="宋体" w:hAnsi="宋体" w:eastAsia="宋体" w:cs="宋体"/>
          <w:spacing w:val="12"/>
          <w:sz w:val="20"/>
          <w:szCs w:val="20"/>
        </w:rPr>
        <w:t>队查明了上海一起不明原因的皮炎大流行是由桑毛虫引起的。20世纪70年代初，他又通过对江苏</w:t>
      </w:r>
      <w:r>
        <w:rPr>
          <w:rFonts w:ascii="宋体" w:hAnsi="宋体" w:eastAsia="宋体" w:cs="宋体"/>
          <w:spacing w:val="5"/>
          <w:sz w:val="20"/>
          <w:szCs w:val="20"/>
        </w:rPr>
        <w:t xml:space="preserve">  </w:t>
      </w:r>
      <w:r>
        <w:rPr>
          <w:rFonts w:ascii="宋体" w:hAnsi="宋体" w:eastAsia="宋体" w:cs="宋体"/>
          <w:spacing w:val="13"/>
          <w:sz w:val="20"/>
          <w:szCs w:val="20"/>
        </w:rPr>
        <w:t>启东等地的深人调查，提出了饮水可能是肝癌病因的假设。何观清教授</w:t>
      </w:r>
      <w:r>
        <w:rPr>
          <w:rFonts w:ascii="宋体" w:hAnsi="宋体" w:eastAsia="宋体" w:cs="宋体"/>
          <w:spacing w:val="12"/>
          <w:sz w:val="20"/>
          <w:szCs w:val="20"/>
        </w:rPr>
        <w:t>在20世纪40年代通过调查</w:t>
      </w:r>
      <w:r>
        <w:rPr>
          <w:rFonts w:ascii="宋体" w:hAnsi="宋体" w:eastAsia="宋体" w:cs="宋体"/>
          <w:sz w:val="20"/>
          <w:szCs w:val="20"/>
        </w:rPr>
        <w:t xml:space="preserve"> </w:t>
      </w:r>
      <w:r>
        <w:rPr>
          <w:rFonts w:ascii="宋体" w:hAnsi="宋体" w:eastAsia="宋体" w:cs="宋体"/>
          <w:spacing w:val="13"/>
          <w:sz w:val="20"/>
          <w:szCs w:val="20"/>
        </w:rPr>
        <w:t>发现中华白蛉是我国黑热病的传播媒介。20世纪50年代，他首次采</w:t>
      </w:r>
      <w:r>
        <w:rPr>
          <w:rFonts w:ascii="宋体" w:hAnsi="宋体" w:eastAsia="宋体" w:cs="宋体"/>
          <w:spacing w:val="12"/>
          <w:sz w:val="20"/>
          <w:szCs w:val="20"/>
        </w:rPr>
        <w:t>用随机对照的现场试验，证实</w:t>
      </w:r>
      <w:r>
        <w:rPr>
          <w:rFonts w:ascii="宋体" w:hAnsi="宋体" w:eastAsia="宋体" w:cs="宋体"/>
          <w:sz w:val="20"/>
          <w:szCs w:val="20"/>
        </w:rPr>
        <w:t xml:space="preserve"> </w:t>
      </w:r>
      <w:r>
        <w:rPr>
          <w:rFonts w:ascii="宋体" w:hAnsi="宋体" w:eastAsia="宋体" w:cs="宋体"/>
          <w:spacing w:val="15"/>
          <w:sz w:val="20"/>
          <w:szCs w:val="20"/>
        </w:rPr>
        <w:t>痢疾噬菌体对预防痢疾无效。20世纪70年代末至80年代初，</w:t>
      </w:r>
      <w:r>
        <w:rPr>
          <w:rFonts w:ascii="宋体" w:hAnsi="宋体" w:eastAsia="宋体" w:cs="宋体"/>
          <w:spacing w:val="14"/>
          <w:sz w:val="20"/>
          <w:szCs w:val="20"/>
          <w:u w:val="single" w:color="auto"/>
        </w:rPr>
        <w:t>在卫生</w:t>
      </w:r>
      <w:r>
        <w:rPr>
          <w:rFonts w:ascii="宋体" w:hAnsi="宋体" w:eastAsia="宋体" w:cs="宋体"/>
          <w:spacing w:val="14"/>
          <w:sz w:val="20"/>
          <w:szCs w:val="20"/>
        </w:rPr>
        <w:t>部领导下.他又率先发起并协</w:t>
      </w:r>
      <w:r>
        <w:rPr>
          <w:rFonts w:ascii="宋体" w:hAnsi="宋体" w:eastAsia="宋体" w:cs="宋体"/>
          <w:sz w:val="20"/>
          <w:szCs w:val="20"/>
        </w:rPr>
        <w:t xml:space="preserve"> </w:t>
      </w:r>
      <w:r>
        <w:rPr>
          <w:rFonts w:ascii="宋体" w:hAnsi="宋体" w:eastAsia="宋体" w:cs="宋体"/>
          <w:spacing w:val="10"/>
          <w:sz w:val="20"/>
          <w:szCs w:val="20"/>
        </w:rPr>
        <w:t>助建立了以急性传染病为主的全国疾病监测网。而钱宇平教授则以敏锐的观察力和科学的预见</w:t>
      </w:r>
      <w:r>
        <w:rPr>
          <w:rFonts w:ascii="宋体" w:hAnsi="宋体" w:eastAsia="宋体" w:cs="宋体"/>
          <w:spacing w:val="9"/>
          <w:sz w:val="20"/>
          <w:szCs w:val="20"/>
        </w:rPr>
        <w:t>性，</w:t>
      </w:r>
      <w:r>
        <w:rPr>
          <w:rFonts w:ascii="宋体" w:hAnsi="宋体" w:eastAsia="宋体" w:cs="宋体"/>
          <w:sz w:val="20"/>
          <w:szCs w:val="20"/>
        </w:rPr>
        <w:t xml:space="preserve"> </w:t>
      </w:r>
      <w:r>
        <w:rPr>
          <w:rFonts w:ascii="宋体" w:hAnsi="宋体" w:eastAsia="宋体" w:cs="宋体"/>
          <w:spacing w:val="13"/>
          <w:sz w:val="20"/>
          <w:szCs w:val="20"/>
        </w:rPr>
        <w:t>在我国率先开展了遗传流行病学研究和艾滋病防治的教学工作。他组织全国同道出版了《流行病</w:t>
      </w:r>
      <w:r>
        <w:rPr>
          <w:rFonts w:ascii="宋体" w:hAnsi="宋体" w:eastAsia="宋体" w:cs="宋体"/>
          <w:spacing w:val="16"/>
          <w:sz w:val="20"/>
          <w:szCs w:val="20"/>
        </w:rPr>
        <w:t xml:space="preserve"> </w:t>
      </w:r>
      <w:r>
        <w:rPr>
          <w:rFonts w:ascii="宋体" w:hAnsi="宋体" w:eastAsia="宋体" w:cs="宋体"/>
          <w:spacing w:val="5"/>
          <w:sz w:val="20"/>
          <w:szCs w:val="20"/>
        </w:rPr>
        <w:t>学研究实例》《流行病学进展》等系列专著,有力地推动了我国流行病学教育事业和学术的发展。</w:t>
      </w:r>
    </w:p>
    <w:p w14:paraId="3F64EFED">
      <w:pPr>
        <w:spacing w:before="1" w:line="341" w:lineRule="auto"/>
        <w:ind w:left="699" w:right="79" w:firstLine="409"/>
        <w:jc w:val="both"/>
        <w:rPr>
          <w:rFonts w:ascii="宋体" w:hAnsi="宋体" w:eastAsia="宋体" w:cs="宋体"/>
          <w:sz w:val="20"/>
          <w:szCs w:val="20"/>
        </w:rPr>
      </w:pPr>
      <w:r>
        <w:rPr>
          <w:rFonts w:ascii="宋体" w:hAnsi="宋体" w:eastAsia="宋体" w:cs="宋体"/>
          <w:spacing w:val="18"/>
          <w:sz w:val="20"/>
          <w:szCs w:val="20"/>
        </w:rPr>
        <w:t>20世纪70年代末，我国改革开放促进了国际合作与交流，吸收了先进的流行病学知识和方</w:t>
      </w:r>
      <w:r>
        <w:rPr>
          <w:rFonts w:ascii="宋体" w:hAnsi="宋体" w:eastAsia="宋体" w:cs="宋体"/>
          <w:spacing w:val="9"/>
          <w:sz w:val="20"/>
          <w:szCs w:val="20"/>
        </w:rPr>
        <w:t xml:space="preserve"> </w:t>
      </w:r>
      <w:r>
        <w:rPr>
          <w:rFonts w:ascii="宋体" w:hAnsi="宋体" w:eastAsia="宋体" w:cs="宋体"/>
          <w:spacing w:val="13"/>
          <w:sz w:val="20"/>
          <w:szCs w:val="20"/>
        </w:rPr>
        <w:t>法，推动我国流行病学研究实现了前所未有的发展。40余年来，我国针对多种慢性病及其危险因</w:t>
      </w:r>
      <w:r>
        <w:rPr>
          <w:rFonts w:ascii="宋体" w:hAnsi="宋体" w:eastAsia="宋体" w:cs="宋体"/>
          <w:spacing w:val="10"/>
          <w:sz w:val="20"/>
          <w:szCs w:val="20"/>
        </w:rPr>
        <w:t xml:space="preserve"> </w:t>
      </w:r>
      <w:r>
        <w:rPr>
          <w:rFonts w:ascii="宋体" w:hAnsi="宋体" w:eastAsia="宋体" w:cs="宋体"/>
          <w:spacing w:val="8"/>
          <w:sz w:val="20"/>
          <w:szCs w:val="20"/>
        </w:rPr>
        <w:t>素进行了大规模人群调查，积累了丰富的基础数据，并开展了一系列慢性病病因和防治研究，为全</w:t>
      </w:r>
      <w:r>
        <w:rPr>
          <w:rFonts w:ascii="宋体" w:hAnsi="宋体" w:eastAsia="宋体" w:cs="宋体"/>
          <w:spacing w:val="14"/>
          <w:sz w:val="20"/>
          <w:szCs w:val="20"/>
        </w:rPr>
        <w:t xml:space="preserve"> </w:t>
      </w:r>
      <w:r>
        <w:rPr>
          <w:rFonts w:ascii="宋体" w:hAnsi="宋体" w:eastAsia="宋体" w:cs="宋体"/>
          <w:spacing w:val="12"/>
          <w:sz w:val="20"/>
          <w:szCs w:val="20"/>
        </w:rPr>
        <w:t>球贡献了来自中国人群的重要证据。尤为值得一提的是，</w:t>
      </w:r>
      <w:r>
        <w:rPr>
          <w:rFonts w:ascii="宋体" w:hAnsi="宋体" w:eastAsia="宋体" w:cs="宋体"/>
          <w:spacing w:val="11"/>
          <w:sz w:val="20"/>
          <w:szCs w:val="20"/>
        </w:rPr>
        <w:t>中国慢性病前瞻性研究</w:t>
      </w:r>
      <w:r>
        <w:rPr>
          <w:rFonts w:ascii="Times New Roman" w:hAnsi="Times New Roman" w:eastAsia="Times New Roman" w:cs="Times New Roman"/>
          <w:spacing w:val="11"/>
          <w:sz w:val="20"/>
          <w:szCs w:val="20"/>
        </w:rPr>
        <w:t>(</w:t>
      </w:r>
      <w:r>
        <w:rPr>
          <w:rFonts w:ascii="Times New Roman" w:hAnsi="Times New Roman" w:eastAsia="Times New Roman" w:cs="Times New Roman"/>
          <w:sz w:val="20"/>
          <w:szCs w:val="20"/>
        </w:rPr>
        <w:t>China</w:t>
      </w:r>
      <w:r>
        <w:rPr>
          <w:rFonts w:ascii="Times New Roman" w:hAnsi="Times New Roman" w:eastAsia="Times New Roman" w:cs="Times New Roman"/>
          <w:spacing w:val="11"/>
          <w:sz w:val="20"/>
          <w:szCs w:val="20"/>
        </w:rPr>
        <w:t xml:space="preserve">    </w:t>
      </w:r>
      <w:r>
        <w:rPr>
          <w:rFonts w:ascii="Times New Roman" w:hAnsi="Times New Roman" w:eastAsia="Times New Roman" w:cs="Times New Roman"/>
          <w:sz w:val="20"/>
          <w:szCs w:val="20"/>
        </w:rPr>
        <w:t xml:space="preserve">Kadoorie </w:t>
      </w:r>
      <w:r>
        <w:rPr>
          <w:rFonts w:ascii="宋体" w:hAnsi="宋体" w:eastAsia="宋体" w:cs="宋体"/>
          <w:sz w:val="20"/>
          <w:szCs w:val="20"/>
        </w:rPr>
        <w:t>Biobank</w:t>
      </w:r>
      <w:r>
        <w:rPr>
          <w:rFonts w:ascii="宋体" w:hAnsi="宋体" w:eastAsia="宋体" w:cs="宋体"/>
          <w:spacing w:val="13"/>
          <w:sz w:val="20"/>
          <w:szCs w:val="20"/>
        </w:rPr>
        <w:t>)作为达到世界领先水平的大型队列研究，对51万名成人进行了长达20年的随访，获得了</w:t>
      </w:r>
      <w:r>
        <w:rPr>
          <w:rFonts w:ascii="宋体" w:hAnsi="宋体" w:eastAsia="宋体" w:cs="宋体"/>
          <w:spacing w:val="2"/>
          <w:sz w:val="20"/>
          <w:szCs w:val="20"/>
        </w:rPr>
        <w:t xml:space="preserve"> </w:t>
      </w:r>
      <w:r>
        <w:rPr>
          <w:rFonts w:ascii="宋体" w:hAnsi="宋体" w:eastAsia="宋体" w:cs="宋体"/>
          <w:spacing w:val="7"/>
          <w:sz w:val="20"/>
          <w:szCs w:val="20"/>
        </w:rPr>
        <w:t>一系列慢性病病因和危险因素的中国证据，且该研究仍在</w:t>
      </w:r>
      <w:r>
        <w:rPr>
          <w:rFonts w:ascii="宋体" w:hAnsi="宋体" w:eastAsia="宋体" w:cs="宋体"/>
          <w:spacing w:val="6"/>
          <w:sz w:val="20"/>
          <w:szCs w:val="20"/>
        </w:rPr>
        <w:t>进行中。</w:t>
      </w:r>
    </w:p>
    <w:p w14:paraId="4933BD1B">
      <w:pPr>
        <w:spacing w:before="3" w:line="341" w:lineRule="auto"/>
        <w:ind w:left="699" w:firstLine="429"/>
        <w:jc w:val="both"/>
        <w:rPr>
          <w:rFonts w:ascii="宋体" w:hAnsi="宋体" w:eastAsia="宋体" w:cs="宋体"/>
          <w:sz w:val="20"/>
          <w:szCs w:val="20"/>
        </w:rPr>
      </w:pPr>
      <w:r>
        <w:rPr>
          <w:rFonts w:ascii="宋体" w:hAnsi="宋体" w:eastAsia="宋体" w:cs="宋体"/>
          <w:spacing w:val="17"/>
          <w:sz w:val="20"/>
          <w:szCs w:val="20"/>
        </w:rPr>
        <w:t>自1978年起，我国开始实施计划免疫。进入2</w:t>
      </w:r>
      <w:r>
        <w:rPr>
          <w:rFonts w:ascii="宋体" w:hAnsi="宋体" w:eastAsia="宋体" w:cs="宋体"/>
          <w:spacing w:val="16"/>
          <w:sz w:val="20"/>
          <w:szCs w:val="20"/>
        </w:rPr>
        <w:t>0世纪80年代，我国又积极响应世界卫生组织</w:t>
      </w:r>
      <w:r>
        <w:rPr>
          <w:rFonts w:ascii="宋体" w:hAnsi="宋体" w:eastAsia="宋体" w:cs="宋体"/>
          <w:sz w:val="20"/>
          <w:szCs w:val="20"/>
        </w:rPr>
        <w:t xml:space="preserve">  </w:t>
      </w:r>
      <w:r>
        <w:rPr>
          <w:rFonts w:ascii="Times New Roman" w:hAnsi="Times New Roman" w:eastAsia="Times New Roman" w:cs="Times New Roman"/>
          <w:spacing w:val="8"/>
          <w:sz w:val="20"/>
          <w:szCs w:val="20"/>
        </w:rPr>
        <w:t>(</w:t>
      </w:r>
      <w:r>
        <w:rPr>
          <w:rFonts w:ascii="Times New Roman" w:hAnsi="Times New Roman" w:eastAsia="Times New Roman" w:cs="Times New Roman"/>
          <w:sz w:val="20"/>
          <w:szCs w:val="20"/>
        </w:rPr>
        <w:t>World</w:t>
      </w:r>
      <w:r>
        <w:rPr>
          <w:rFonts w:ascii="Times New Roman" w:hAnsi="Times New Roman" w:eastAsia="Times New Roman" w:cs="Times New Roman"/>
          <w:spacing w:val="18"/>
          <w:sz w:val="20"/>
          <w:szCs w:val="20"/>
        </w:rPr>
        <w:t xml:space="preserve"> </w:t>
      </w:r>
      <w:r>
        <w:rPr>
          <w:rFonts w:ascii="Times New Roman" w:hAnsi="Times New Roman" w:eastAsia="Times New Roman" w:cs="Times New Roman"/>
          <w:sz w:val="20"/>
          <w:szCs w:val="20"/>
        </w:rPr>
        <w:t>Health</w:t>
      </w:r>
      <w:r>
        <w:rPr>
          <w:rFonts w:ascii="Times New Roman" w:hAnsi="Times New Roman" w:eastAsia="Times New Roman" w:cs="Times New Roman"/>
          <w:spacing w:val="22"/>
          <w:sz w:val="20"/>
          <w:szCs w:val="20"/>
        </w:rPr>
        <w:t xml:space="preserve"> </w:t>
      </w:r>
      <w:r>
        <w:rPr>
          <w:rFonts w:ascii="Times New Roman" w:hAnsi="Times New Roman" w:eastAsia="Times New Roman" w:cs="Times New Roman"/>
          <w:sz w:val="20"/>
          <w:szCs w:val="20"/>
        </w:rPr>
        <w:t>Organization</w:t>
      </w:r>
      <w:r>
        <w:rPr>
          <w:rFonts w:ascii="Times New Roman" w:hAnsi="Times New Roman" w:eastAsia="Times New Roman" w:cs="Times New Roman"/>
          <w:spacing w:val="8"/>
          <w:sz w:val="20"/>
          <w:szCs w:val="20"/>
        </w:rPr>
        <w:t>,</w:t>
      </w:r>
      <w:r>
        <w:rPr>
          <w:rFonts w:ascii="Times New Roman" w:hAnsi="Times New Roman" w:eastAsia="Times New Roman" w:cs="Times New Roman"/>
          <w:sz w:val="20"/>
          <w:szCs w:val="20"/>
        </w:rPr>
        <w:t>WHO</w:t>
      </w:r>
      <w:r>
        <w:rPr>
          <w:rFonts w:ascii="Times New Roman" w:hAnsi="Times New Roman" w:eastAsia="Times New Roman" w:cs="Times New Roman"/>
          <w:spacing w:val="8"/>
          <w:sz w:val="20"/>
          <w:szCs w:val="20"/>
        </w:rPr>
        <w:t>)</w:t>
      </w:r>
      <w:r>
        <w:rPr>
          <w:rFonts w:ascii="宋体" w:hAnsi="宋体" w:eastAsia="宋体" w:cs="宋体"/>
          <w:spacing w:val="8"/>
          <w:sz w:val="20"/>
          <w:szCs w:val="20"/>
        </w:rPr>
        <w:t>倡导的扩大免疫规划。至20世纪80年代末和9</w:t>
      </w:r>
      <w:r>
        <w:rPr>
          <w:rFonts w:ascii="宋体" w:hAnsi="宋体" w:eastAsia="宋体" w:cs="宋体"/>
          <w:spacing w:val="7"/>
          <w:sz w:val="20"/>
          <w:szCs w:val="20"/>
        </w:rPr>
        <w:t>0年代初，我国先后实</w:t>
      </w:r>
      <w:r>
        <w:rPr>
          <w:rFonts w:ascii="宋体" w:hAnsi="宋体" w:eastAsia="宋体" w:cs="宋体"/>
          <w:sz w:val="20"/>
          <w:szCs w:val="20"/>
        </w:rPr>
        <w:t xml:space="preserve">  </w:t>
      </w:r>
      <w:r>
        <w:rPr>
          <w:rFonts w:ascii="宋体" w:hAnsi="宋体" w:eastAsia="宋体" w:cs="宋体"/>
          <w:spacing w:val="3"/>
          <w:sz w:val="20"/>
          <w:szCs w:val="20"/>
        </w:rPr>
        <w:t xml:space="preserve">现了以省和县为单位的普及儿童免疫目标，计划免疫中疫苗可预防传染病的发病率也降至历史最低水  </w:t>
      </w:r>
      <w:r>
        <w:rPr>
          <w:rFonts w:ascii="宋体" w:hAnsi="宋体" w:eastAsia="宋体" w:cs="宋体"/>
          <w:spacing w:val="-3"/>
          <w:sz w:val="20"/>
          <w:szCs w:val="20"/>
        </w:rPr>
        <w:t>平。此外，《中华人民共和国传染病防治法》(1989年颁布，并于2004年、2013年和2025年进行了两次修</w:t>
      </w:r>
      <w:r>
        <w:rPr>
          <w:rFonts w:ascii="宋体" w:hAnsi="宋体" w:eastAsia="宋体" w:cs="宋体"/>
          <w:spacing w:val="9"/>
          <w:sz w:val="20"/>
          <w:szCs w:val="20"/>
        </w:rPr>
        <w:t xml:space="preserve">  </w:t>
      </w:r>
      <w:r>
        <w:rPr>
          <w:rFonts w:ascii="宋体" w:hAnsi="宋体" w:eastAsia="宋体" w:cs="宋体"/>
          <w:spacing w:val="-6"/>
          <w:sz w:val="20"/>
          <w:szCs w:val="20"/>
        </w:rPr>
        <w:t>订和一次修正，后文简称《传染病防治法》)与《突发公共卫生事件应急条例》(2003年颁布，2011年修订)</w:t>
      </w:r>
      <w:r>
        <w:rPr>
          <w:rFonts w:ascii="宋体" w:hAnsi="宋体" w:eastAsia="宋体" w:cs="宋体"/>
          <w:spacing w:val="3"/>
          <w:sz w:val="20"/>
          <w:szCs w:val="20"/>
        </w:rPr>
        <w:t xml:space="preserve"> </w:t>
      </w:r>
      <w:r>
        <w:rPr>
          <w:rFonts w:ascii="宋体" w:hAnsi="宋体" w:eastAsia="宋体" w:cs="宋体"/>
          <w:spacing w:val="1"/>
          <w:sz w:val="20"/>
          <w:szCs w:val="20"/>
        </w:rPr>
        <w:t>等法律法规的颁布与实施，将我国传染病防控与突发公共卫生事件应急处理等工作纳人了法制化轨道。</w:t>
      </w:r>
    </w:p>
    <w:p w14:paraId="197822E0">
      <w:pPr>
        <w:spacing w:line="369" w:lineRule="auto"/>
        <w:rPr>
          <w:rFonts w:ascii="Arial"/>
          <w:sz w:val="21"/>
        </w:rPr>
      </w:pPr>
    </w:p>
    <w:p w14:paraId="66D9E16F">
      <w:pPr>
        <w:pStyle w:val="2"/>
        <w:spacing w:before="99" w:line="221" w:lineRule="auto"/>
        <w:ind w:left="3584"/>
        <w:outlineLvl w:val="1"/>
      </w:pPr>
      <w:bookmarkStart w:id="13" w:name="bookmark6"/>
      <w:bookmarkEnd w:id="13"/>
      <w:r>
        <w:rPr>
          <w:b/>
          <w:bCs/>
          <w:spacing w:val="-6"/>
        </w:rPr>
        <w:t>第二节</w:t>
      </w:r>
      <w:r>
        <w:rPr>
          <w:spacing w:val="124"/>
        </w:rPr>
        <w:t xml:space="preserve"> </w:t>
      </w:r>
      <w:r>
        <w:rPr>
          <w:b/>
          <w:bCs/>
          <w:spacing w:val="-6"/>
        </w:rPr>
        <w:t>流行病学的定义</w:t>
      </w:r>
    </w:p>
    <w:p w14:paraId="14AA63DB">
      <w:pPr>
        <w:spacing w:line="386" w:lineRule="auto"/>
        <w:rPr>
          <w:rFonts w:ascii="Arial"/>
          <w:sz w:val="21"/>
        </w:rPr>
      </w:pPr>
    </w:p>
    <w:p w14:paraId="0B74A21D">
      <w:pPr>
        <w:pStyle w:val="2"/>
        <w:spacing w:before="82" w:line="221" w:lineRule="auto"/>
        <w:ind w:left="1133"/>
        <w:outlineLvl w:val="2"/>
        <w:rPr>
          <w:sz w:val="25"/>
          <w:szCs w:val="25"/>
        </w:rPr>
      </w:pPr>
      <w:bookmarkStart w:id="14" w:name="bookmark7"/>
      <w:bookmarkEnd w:id="14"/>
      <w:r>
        <w:rPr>
          <w:b/>
          <w:bCs/>
          <w:spacing w:val="-6"/>
          <w:sz w:val="25"/>
          <w:szCs w:val="25"/>
        </w:rPr>
        <w:t>一</w:t>
      </w:r>
      <w:r>
        <w:rPr>
          <w:spacing w:val="-41"/>
          <w:sz w:val="25"/>
          <w:szCs w:val="25"/>
        </w:rPr>
        <w:t xml:space="preserve"> </w:t>
      </w:r>
      <w:r>
        <w:rPr>
          <w:b/>
          <w:bCs/>
          <w:spacing w:val="-6"/>
          <w:sz w:val="25"/>
          <w:szCs w:val="25"/>
        </w:rPr>
        <w:t>、流行病学定义的演变</w:t>
      </w:r>
    </w:p>
    <w:p w14:paraId="470F01BC">
      <w:pPr>
        <w:spacing w:before="232" w:line="338" w:lineRule="auto"/>
        <w:ind w:left="699" w:right="87" w:firstLine="329"/>
        <w:jc w:val="both"/>
        <w:rPr>
          <w:rFonts w:ascii="宋体" w:hAnsi="宋体" w:eastAsia="宋体" w:cs="宋体"/>
          <w:sz w:val="20"/>
          <w:szCs w:val="20"/>
        </w:rPr>
      </w:pPr>
      <w:r>
        <w:rPr>
          <w:rFonts w:ascii="宋体" w:hAnsi="宋体" w:eastAsia="宋体" w:cs="宋体"/>
          <w:spacing w:val="6"/>
          <w:sz w:val="20"/>
          <w:szCs w:val="20"/>
        </w:rPr>
        <w:t>“流行病学”一词的英文源自希腊语，由</w:t>
      </w:r>
      <w:r>
        <w:rPr>
          <w:rFonts w:ascii="Times New Roman" w:hAnsi="Times New Roman" w:eastAsia="Times New Roman" w:cs="Times New Roman"/>
          <w:sz w:val="20"/>
          <w:szCs w:val="20"/>
        </w:rPr>
        <w:t>epi</w:t>
      </w:r>
      <w:r>
        <w:rPr>
          <w:rFonts w:ascii="宋体" w:hAnsi="宋体" w:eastAsia="宋体" w:cs="宋体"/>
          <w:spacing w:val="6"/>
          <w:sz w:val="20"/>
          <w:szCs w:val="20"/>
        </w:rPr>
        <w:t>(在……之中、之上)、</w:t>
      </w:r>
      <w:r>
        <w:rPr>
          <w:rFonts w:ascii="Times New Roman" w:hAnsi="Times New Roman" w:eastAsia="Times New Roman" w:cs="Times New Roman"/>
          <w:sz w:val="20"/>
          <w:szCs w:val="20"/>
        </w:rPr>
        <w:t>demos</w:t>
      </w:r>
      <w:r>
        <w:rPr>
          <w:rFonts w:ascii="宋体" w:hAnsi="宋体" w:eastAsia="宋体" w:cs="宋体"/>
          <w:spacing w:val="6"/>
          <w:sz w:val="20"/>
          <w:szCs w:val="20"/>
        </w:rPr>
        <w:t>(人</w:t>
      </w:r>
      <w:r>
        <w:rPr>
          <w:rFonts w:ascii="宋体" w:hAnsi="宋体" w:eastAsia="宋体" w:cs="宋体"/>
          <w:spacing w:val="5"/>
          <w:sz w:val="20"/>
          <w:szCs w:val="20"/>
        </w:rPr>
        <w:t>群)和</w:t>
      </w:r>
      <w:r>
        <w:rPr>
          <w:rFonts w:ascii="Times New Roman" w:hAnsi="Times New Roman" w:eastAsia="Times New Roman" w:cs="Times New Roman"/>
          <w:sz w:val="20"/>
          <w:szCs w:val="20"/>
        </w:rPr>
        <w:t>logos</w:t>
      </w:r>
      <w:r>
        <w:rPr>
          <w:rFonts w:ascii="宋体" w:hAnsi="宋体" w:eastAsia="宋体" w:cs="宋体"/>
          <w:spacing w:val="5"/>
          <w:sz w:val="20"/>
          <w:szCs w:val="20"/>
        </w:rPr>
        <w:t>(研究)组</w:t>
      </w:r>
      <w:r>
        <w:rPr>
          <w:rFonts w:ascii="宋体" w:hAnsi="宋体" w:eastAsia="宋体" w:cs="宋体"/>
          <w:sz w:val="20"/>
          <w:szCs w:val="20"/>
        </w:rPr>
        <w:t xml:space="preserve"> </w:t>
      </w:r>
      <w:r>
        <w:rPr>
          <w:rFonts w:ascii="宋体" w:hAnsi="宋体" w:eastAsia="宋体" w:cs="宋体"/>
          <w:spacing w:val="4"/>
          <w:sz w:val="20"/>
          <w:szCs w:val="20"/>
        </w:rPr>
        <w:t>成，直译为“研究人群中发生之事的学问”。在医学范畴中，它</w:t>
      </w:r>
      <w:r>
        <w:rPr>
          <w:rFonts w:ascii="宋体" w:hAnsi="宋体" w:eastAsia="宋体" w:cs="宋体"/>
          <w:spacing w:val="3"/>
          <w:sz w:val="20"/>
          <w:szCs w:val="20"/>
        </w:rPr>
        <w:t>首要关注的是人群的疾病问题。由于</w:t>
      </w:r>
      <w:r>
        <w:rPr>
          <w:rFonts w:ascii="宋体" w:hAnsi="宋体" w:eastAsia="宋体" w:cs="宋体"/>
          <w:sz w:val="20"/>
          <w:szCs w:val="20"/>
        </w:rPr>
        <w:t xml:space="preserve"> </w:t>
      </w:r>
      <w:r>
        <w:rPr>
          <w:rFonts w:ascii="宋体" w:hAnsi="宋体" w:eastAsia="宋体" w:cs="宋体"/>
          <w:spacing w:val="8"/>
          <w:sz w:val="20"/>
          <w:szCs w:val="20"/>
        </w:rPr>
        <w:t>不同时期的主要疾病和健康问题各异，流行病学的定义也随</w:t>
      </w:r>
      <w:r>
        <w:rPr>
          <w:rFonts w:ascii="宋体" w:hAnsi="宋体" w:eastAsia="宋体" w:cs="宋体"/>
          <w:spacing w:val="7"/>
          <w:sz w:val="20"/>
          <w:szCs w:val="20"/>
        </w:rPr>
        <w:t>时代特点而不断发展。</w:t>
      </w:r>
    </w:p>
    <w:p w14:paraId="7B90E993">
      <w:pPr>
        <w:spacing w:before="4" w:line="337" w:lineRule="auto"/>
        <w:ind w:left="699" w:right="88" w:firstLine="429"/>
        <w:jc w:val="both"/>
        <w:rPr>
          <w:rFonts w:ascii="宋体" w:hAnsi="宋体" w:eastAsia="宋体" w:cs="宋体"/>
          <w:sz w:val="20"/>
          <w:szCs w:val="20"/>
        </w:rPr>
      </w:pPr>
      <w:r>
        <w:rPr>
          <w:rFonts w:ascii="宋体" w:hAnsi="宋体" w:eastAsia="宋体" w:cs="宋体"/>
          <w:spacing w:val="11"/>
          <w:sz w:val="20"/>
          <w:szCs w:val="20"/>
        </w:rPr>
        <w:t>在传染病肆虐的20世纪上半叶，1931年，英国学者</w:t>
      </w:r>
      <w:r>
        <w:rPr>
          <w:rFonts w:ascii="Times New Roman" w:hAnsi="Times New Roman" w:eastAsia="Times New Roman" w:cs="Times New Roman"/>
          <w:sz w:val="20"/>
          <w:szCs w:val="20"/>
        </w:rPr>
        <w:t>Clare</w:t>
      </w:r>
      <w:r>
        <w:rPr>
          <w:rFonts w:ascii="Times New Roman" w:hAnsi="Times New Roman" w:eastAsia="Times New Roman" w:cs="Times New Roman"/>
          <w:spacing w:val="11"/>
          <w:sz w:val="20"/>
          <w:szCs w:val="20"/>
        </w:rPr>
        <w:t xml:space="preserve">  </w:t>
      </w:r>
      <w:r>
        <w:rPr>
          <w:rFonts w:ascii="Times New Roman" w:hAnsi="Times New Roman" w:eastAsia="Times New Roman" w:cs="Times New Roman"/>
          <w:sz w:val="20"/>
          <w:szCs w:val="20"/>
        </w:rPr>
        <w:t>Oswald</w:t>
      </w:r>
      <w:r>
        <w:rPr>
          <w:rFonts w:ascii="Times New Roman" w:hAnsi="Times New Roman" w:eastAsia="Times New Roman" w:cs="Times New Roman"/>
          <w:spacing w:val="11"/>
          <w:sz w:val="20"/>
          <w:szCs w:val="20"/>
        </w:rPr>
        <w:t xml:space="preserve">  </w:t>
      </w:r>
      <w:r>
        <w:rPr>
          <w:rFonts w:ascii="Times New Roman" w:hAnsi="Times New Roman" w:eastAsia="Times New Roman" w:cs="Times New Roman"/>
          <w:sz w:val="20"/>
          <w:szCs w:val="20"/>
        </w:rPr>
        <w:t>Stallybrass</w:t>
      </w:r>
      <w:r>
        <w:rPr>
          <w:rFonts w:ascii="宋体" w:hAnsi="宋体" w:eastAsia="宋体" w:cs="宋体"/>
          <w:spacing w:val="11"/>
          <w:sz w:val="20"/>
          <w:szCs w:val="20"/>
        </w:rPr>
        <w:t>在其编写的已知最</w:t>
      </w:r>
      <w:r>
        <w:rPr>
          <w:rFonts w:ascii="宋体" w:hAnsi="宋体" w:eastAsia="宋体" w:cs="宋体"/>
          <w:sz w:val="20"/>
          <w:szCs w:val="20"/>
        </w:rPr>
        <w:t xml:space="preserve"> </w:t>
      </w:r>
      <w:r>
        <w:rPr>
          <w:rFonts w:ascii="宋体" w:hAnsi="宋体" w:eastAsia="宋体" w:cs="宋体"/>
          <w:spacing w:val="8"/>
          <w:sz w:val="20"/>
          <w:szCs w:val="20"/>
        </w:rPr>
        <w:t>早的流行病学教科书中作了如下定义：流行病学是研究传染病的主要原因、传播蔓延以及预防的学</w:t>
      </w:r>
      <w:r>
        <w:rPr>
          <w:rFonts w:ascii="宋体" w:hAnsi="宋体" w:eastAsia="宋体" w:cs="宋体"/>
          <w:spacing w:val="16"/>
          <w:sz w:val="20"/>
          <w:szCs w:val="20"/>
        </w:rPr>
        <w:t xml:space="preserve"> </w:t>
      </w:r>
      <w:r>
        <w:rPr>
          <w:rFonts w:ascii="宋体" w:hAnsi="宋体" w:eastAsia="宋体" w:cs="宋体"/>
          <w:spacing w:val="4"/>
          <w:sz w:val="20"/>
          <w:szCs w:val="20"/>
        </w:rPr>
        <w:t>科。1936年，苏联出版的《流行病学总论</w:t>
      </w:r>
      <w:r>
        <w:rPr>
          <w:rFonts w:ascii="宋体" w:hAnsi="宋体" w:eastAsia="宋体" w:cs="宋体"/>
          <w:spacing w:val="3"/>
          <w:sz w:val="20"/>
          <w:szCs w:val="20"/>
        </w:rPr>
        <w:t>教程》中定义：流行病学是关于流行的科学，研究流行发生</w:t>
      </w:r>
      <w:r>
        <w:rPr>
          <w:rFonts w:ascii="宋体" w:hAnsi="宋体" w:eastAsia="宋体" w:cs="宋体"/>
          <w:sz w:val="20"/>
          <w:szCs w:val="20"/>
        </w:rPr>
        <w:t xml:space="preserve"> </w:t>
      </w:r>
      <w:r>
        <w:rPr>
          <w:rFonts w:ascii="宋体" w:hAnsi="宋体" w:eastAsia="宋体" w:cs="宋体"/>
          <w:spacing w:val="8"/>
          <w:sz w:val="20"/>
          <w:szCs w:val="20"/>
        </w:rPr>
        <w:t>的原因、规律及扑灭的条件，并研究与流行作斗争的措施。由此可见，此时期的流行病学以防制传</w:t>
      </w:r>
      <w:r>
        <w:rPr>
          <w:rFonts w:ascii="宋体" w:hAnsi="宋体" w:eastAsia="宋体" w:cs="宋体"/>
          <w:spacing w:val="15"/>
          <w:sz w:val="20"/>
          <w:szCs w:val="20"/>
        </w:rPr>
        <w:t xml:space="preserve"> </w:t>
      </w:r>
      <w:r>
        <w:rPr>
          <w:rFonts w:ascii="宋体" w:hAnsi="宋体" w:eastAsia="宋体" w:cs="宋体"/>
          <w:spacing w:val="11"/>
          <w:sz w:val="20"/>
          <w:szCs w:val="20"/>
        </w:rPr>
        <w:t>染病为主要任务。</w:t>
      </w:r>
    </w:p>
    <w:p w14:paraId="25BC76FC">
      <w:pPr>
        <w:spacing w:before="31" w:line="327" w:lineRule="auto"/>
        <w:ind w:left="699" w:right="84" w:firstLine="429"/>
        <w:jc w:val="both"/>
        <w:rPr>
          <w:rFonts w:ascii="宋体" w:hAnsi="宋体" w:eastAsia="宋体" w:cs="宋体"/>
          <w:sz w:val="20"/>
          <w:szCs w:val="20"/>
        </w:rPr>
      </w:pPr>
      <w:r>
        <w:rPr>
          <w:rFonts w:ascii="宋体" w:hAnsi="宋体" w:eastAsia="宋体" w:cs="宋体"/>
          <w:spacing w:val="8"/>
          <w:sz w:val="20"/>
          <w:szCs w:val="20"/>
        </w:rPr>
        <w:t>20世纪中后叶，慢性非传染性疾病逐渐成为主要的卫生问题，流行病学</w:t>
      </w:r>
      <w:r>
        <w:rPr>
          <w:rFonts w:ascii="宋体" w:hAnsi="宋体" w:eastAsia="宋体" w:cs="宋体"/>
          <w:spacing w:val="7"/>
          <w:sz w:val="20"/>
          <w:szCs w:val="20"/>
        </w:rPr>
        <w:t>的定义也随之拓展，从</w:t>
      </w:r>
      <w:r>
        <w:rPr>
          <w:rFonts w:ascii="宋体" w:hAnsi="宋体" w:eastAsia="宋体" w:cs="宋体"/>
          <w:sz w:val="20"/>
          <w:szCs w:val="20"/>
        </w:rPr>
        <w:t xml:space="preserve"> </w:t>
      </w:r>
      <w:r>
        <w:rPr>
          <w:rFonts w:ascii="宋体" w:hAnsi="宋体" w:eastAsia="宋体" w:cs="宋体"/>
          <w:spacing w:val="5"/>
          <w:sz w:val="20"/>
          <w:szCs w:val="20"/>
        </w:rPr>
        <w:t>专注传染病扩展到涵盖非传染性疾病。此时期，</w:t>
      </w:r>
      <w:r>
        <w:rPr>
          <w:rFonts w:ascii="宋体" w:hAnsi="宋体" w:eastAsia="宋体" w:cs="宋体"/>
          <w:spacing w:val="65"/>
          <w:sz w:val="20"/>
          <w:szCs w:val="20"/>
        </w:rPr>
        <w:t xml:space="preserve"> </w:t>
      </w:r>
      <w:r>
        <w:rPr>
          <w:rFonts w:ascii="宋体" w:hAnsi="宋体" w:eastAsia="宋体" w:cs="宋体"/>
          <w:spacing w:val="5"/>
          <w:sz w:val="20"/>
          <w:szCs w:val="20"/>
        </w:rPr>
        <w:t>一些较知名的</w:t>
      </w:r>
      <w:r>
        <w:rPr>
          <w:rFonts w:ascii="宋体" w:hAnsi="宋体" w:eastAsia="宋体" w:cs="宋体"/>
          <w:spacing w:val="4"/>
          <w:sz w:val="20"/>
          <w:szCs w:val="20"/>
        </w:rPr>
        <w:t>定义相继涌现：流行病学是医学中的</w:t>
      </w:r>
      <w:r>
        <w:rPr>
          <w:rFonts w:ascii="宋体" w:hAnsi="宋体" w:eastAsia="宋体" w:cs="宋体"/>
          <w:sz w:val="20"/>
          <w:szCs w:val="20"/>
        </w:rPr>
        <w:t xml:space="preserve"> </w:t>
      </w:r>
      <w:r>
        <w:rPr>
          <w:rFonts w:ascii="宋体" w:hAnsi="宋体" w:eastAsia="宋体" w:cs="宋体"/>
          <w:spacing w:val="6"/>
          <w:sz w:val="20"/>
          <w:szCs w:val="20"/>
        </w:rPr>
        <w:t>一门学科，研究疾病的分布、生态学及防制对策(苏德隆</w:t>
      </w:r>
      <w:r>
        <w:rPr>
          <w:rFonts w:ascii="宋体" w:hAnsi="宋体" w:eastAsia="宋体" w:cs="宋体"/>
          <w:spacing w:val="5"/>
          <w:sz w:val="20"/>
          <w:szCs w:val="20"/>
        </w:rPr>
        <w:t>，1964);流行病学是研究人类疾病的分布及</w:t>
      </w:r>
      <w:r>
        <w:rPr>
          <w:rFonts w:ascii="宋体" w:hAnsi="宋体" w:eastAsia="宋体" w:cs="宋体"/>
          <w:sz w:val="20"/>
          <w:szCs w:val="20"/>
        </w:rPr>
        <w:t xml:space="preserve"> </w:t>
      </w:r>
      <w:r>
        <w:rPr>
          <w:rFonts w:ascii="宋体" w:hAnsi="宋体" w:eastAsia="宋体" w:cs="宋体"/>
          <w:spacing w:val="12"/>
          <w:sz w:val="20"/>
          <w:szCs w:val="20"/>
        </w:rPr>
        <w:t>疾病频率决定因子的科学</w:t>
      </w:r>
      <w:r>
        <w:rPr>
          <w:rFonts w:ascii="Times New Roman" w:hAnsi="Times New Roman" w:eastAsia="Times New Roman" w:cs="Times New Roman"/>
          <w:spacing w:val="12"/>
          <w:sz w:val="20"/>
          <w:szCs w:val="20"/>
        </w:rPr>
        <w:t>(</w:t>
      </w:r>
      <w:r>
        <w:rPr>
          <w:rFonts w:ascii="Times New Roman" w:hAnsi="Times New Roman" w:eastAsia="Times New Roman" w:cs="Times New Roman"/>
          <w:sz w:val="20"/>
          <w:szCs w:val="20"/>
        </w:rPr>
        <w:t>MacMahon</w:t>
      </w:r>
      <w:r>
        <w:rPr>
          <w:rFonts w:ascii="Times New Roman" w:hAnsi="Times New Roman" w:eastAsia="Times New Roman" w:cs="Times New Roman"/>
          <w:spacing w:val="12"/>
          <w:sz w:val="20"/>
          <w:szCs w:val="20"/>
        </w:rPr>
        <w:t xml:space="preserve">,1970);     </w:t>
      </w:r>
      <w:r>
        <w:rPr>
          <w:rFonts w:ascii="宋体" w:hAnsi="宋体" w:eastAsia="宋体" w:cs="宋体"/>
          <w:spacing w:val="12"/>
          <w:sz w:val="20"/>
          <w:szCs w:val="20"/>
        </w:rPr>
        <w:t>流行病学是研究人</w:t>
      </w:r>
      <w:r>
        <w:rPr>
          <w:rFonts w:ascii="宋体" w:hAnsi="宋体" w:eastAsia="宋体" w:cs="宋体"/>
          <w:spacing w:val="11"/>
          <w:sz w:val="20"/>
          <w:szCs w:val="20"/>
        </w:rPr>
        <w:t>群中疾病发生的方式及其影响因</w:t>
      </w:r>
      <w:r>
        <w:rPr>
          <w:rFonts w:ascii="宋体" w:hAnsi="宋体" w:eastAsia="宋体" w:cs="宋体"/>
          <w:sz w:val="20"/>
          <w:szCs w:val="20"/>
        </w:rPr>
        <w:t xml:space="preserve"> </w:t>
      </w:r>
      <w:r>
        <w:rPr>
          <w:rFonts w:ascii="宋体" w:hAnsi="宋体" w:eastAsia="宋体" w:cs="宋体"/>
          <w:spacing w:val="7"/>
          <w:sz w:val="20"/>
          <w:szCs w:val="20"/>
        </w:rPr>
        <w:t>素的学科</w:t>
      </w:r>
      <w:r>
        <w:rPr>
          <w:rFonts w:ascii="Times New Roman" w:hAnsi="Times New Roman" w:eastAsia="Times New Roman" w:cs="Times New Roman"/>
          <w:spacing w:val="7"/>
          <w:sz w:val="20"/>
          <w:szCs w:val="20"/>
        </w:rPr>
        <w:t>(</w:t>
      </w:r>
      <w:r>
        <w:rPr>
          <w:rFonts w:ascii="Times New Roman" w:hAnsi="Times New Roman" w:eastAsia="Times New Roman" w:cs="Times New Roman"/>
          <w:sz w:val="20"/>
          <w:szCs w:val="20"/>
        </w:rPr>
        <w:t>Lilienfeld</w:t>
      </w:r>
      <w:r>
        <w:rPr>
          <w:rFonts w:ascii="Times New Roman" w:hAnsi="Times New Roman" w:eastAsia="Times New Roman" w:cs="Times New Roman"/>
          <w:spacing w:val="7"/>
          <w:sz w:val="20"/>
          <w:szCs w:val="20"/>
        </w:rPr>
        <w:t>,1980)</w:t>
      </w:r>
      <w:r>
        <w:rPr>
          <w:rFonts w:ascii="Times New Roman" w:hAnsi="Times New Roman" w:eastAsia="Times New Roman" w:cs="Times New Roman"/>
          <w:spacing w:val="-8"/>
          <w:sz w:val="20"/>
          <w:szCs w:val="20"/>
        </w:rPr>
        <w:t xml:space="preserve"> </w:t>
      </w:r>
      <w:r>
        <w:rPr>
          <w:rFonts w:ascii="宋体" w:hAnsi="宋体" w:eastAsia="宋体" w:cs="宋体"/>
          <w:spacing w:val="7"/>
          <w:sz w:val="20"/>
          <w:szCs w:val="20"/>
        </w:rPr>
        <w:t>。</w:t>
      </w:r>
      <w:r>
        <w:rPr>
          <w:rFonts w:ascii="宋体" w:hAnsi="宋体" w:eastAsia="宋体" w:cs="宋体"/>
          <w:spacing w:val="88"/>
          <w:sz w:val="20"/>
          <w:szCs w:val="20"/>
        </w:rPr>
        <w:t xml:space="preserve"> </w:t>
      </w:r>
      <w:r>
        <w:rPr>
          <w:rFonts w:ascii="宋体" w:hAnsi="宋体" w:eastAsia="宋体" w:cs="宋体"/>
          <w:spacing w:val="7"/>
          <w:sz w:val="20"/>
          <w:szCs w:val="20"/>
        </w:rPr>
        <w:t>这些定义均强调了流行病学的方法学性质。</w:t>
      </w:r>
    </w:p>
    <w:p w14:paraId="3D3DF78B">
      <w:pPr>
        <w:spacing w:before="81" w:line="219" w:lineRule="auto"/>
        <w:ind w:left="1129"/>
        <w:rPr>
          <w:rFonts w:ascii="宋体" w:hAnsi="宋体" w:eastAsia="宋体" w:cs="宋体"/>
          <w:sz w:val="20"/>
          <w:szCs w:val="20"/>
        </w:rPr>
      </w:pPr>
      <w:r>
        <w:rPr>
          <w:rFonts w:ascii="宋体" w:hAnsi="宋体" w:eastAsia="宋体" w:cs="宋体"/>
          <w:spacing w:val="8"/>
          <w:sz w:val="20"/>
          <w:szCs w:val="20"/>
        </w:rPr>
        <w:t>20世纪80年代，随着社会经济发展和医学模式的转变，人们在防控疾病</w:t>
      </w:r>
      <w:r>
        <w:rPr>
          <w:rFonts w:ascii="宋体" w:hAnsi="宋体" w:eastAsia="宋体" w:cs="宋体"/>
          <w:spacing w:val="7"/>
          <w:sz w:val="20"/>
          <w:szCs w:val="20"/>
        </w:rPr>
        <w:t>的同时，也开始关注如</w:t>
      </w:r>
    </w:p>
    <w:p w14:paraId="115EC990">
      <w:pPr>
        <w:spacing w:line="219" w:lineRule="auto"/>
        <w:rPr>
          <w:rFonts w:ascii="宋体" w:hAnsi="宋体" w:eastAsia="宋体" w:cs="宋体"/>
          <w:sz w:val="20"/>
          <w:szCs w:val="20"/>
        </w:rPr>
        <w:sectPr>
          <w:footerReference r:id="rId34" w:type="default"/>
          <w:pgSz w:w="11900" w:h="16820"/>
          <w:pgMar w:top="400" w:right="1390" w:bottom="879" w:left="760" w:header="0" w:footer="735" w:gutter="0"/>
          <w:cols w:space="720" w:num="1"/>
        </w:sectPr>
      </w:pPr>
    </w:p>
    <w:p w14:paraId="7DD79B56">
      <w:pPr>
        <w:spacing w:line="326" w:lineRule="auto"/>
        <w:rPr>
          <w:rFonts w:ascii="Arial"/>
          <w:sz w:val="21"/>
        </w:rPr>
      </w:pPr>
    </w:p>
    <w:p w14:paraId="1F18E22C">
      <w:pPr>
        <w:pStyle w:val="2"/>
        <w:spacing w:before="69" w:line="222" w:lineRule="auto"/>
        <w:ind w:left="8130"/>
        <w:rPr>
          <w:sz w:val="21"/>
          <w:szCs w:val="21"/>
        </w:rPr>
      </w:pPr>
      <w:bookmarkStart w:id="15" w:name="bookmark406"/>
      <w:bookmarkEnd w:id="15"/>
      <w:r>
        <w:rPr>
          <w:spacing w:val="-15"/>
          <w:w w:val="97"/>
          <w:sz w:val="21"/>
          <w:szCs w:val="21"/>
        </w:rPr>
        <w:t>第一章</w:t>
      </w:r>
      <w:r>
        <w:rPr>
          <w:spacing w:val="38"/>
          <w:sz w:val="21"/>
          <w:szCs w:val="21"/>
        </w:rPr>
        <w:t xml:space="preserve"> </w:t>
      </w:r>
      <w:r>
        <w:rPr>
          <w:spacing w:val="-15"/>
          <w:w w:val="97"/>
          <w:sz w:val="21"/>
          <w:szCs w:val="21"/>
        </w:rPr>
        <w:t>绪论</w:t>
      </w:r>
    </w:p>
    <w:p w14:paraId="24604313">
      <w:pPr>
        <w:spacing w:line="252" w:lineRule="auto"/>
        <w:rPr>
          <w:rFonts w:ascii="Arial"/>
          <w:sz w:val="21"/>
        </w:rPr>
      </w:pPr>
    </w:p>
    <w:p w14:paraId="5387D186">
      <w:pPr>
        <w:spacing w:line="253" w:lineRule="auto"/>
        <w:rPr>
          <w:rFonts w:ascii="Arial"/>
          <w:sz w:val="21"/>
        </w:rPr>
      </w:pPr>
    </w:p>
    <w:p w14:paraId="6F7CA7F7">
      <w:pPr>
        <w:spacing w:before="69" w:line="330" w:lineRule="auto"/>
        <w:ind w:right="616"/>
        <w:rPr>
          <w:rFonts w:ascii="宋体" w:hAnsi="宋体" w:eastAsia="宋体" w:cs="宋体"/>
          <w:sz w:val="21"/>
          <w:szCs w:val="21"/>
        </w:rPr>
      </w:pPr>
      <w:r>
        <w:rPr>
          <w:rFonts w:ascii="宋体" w:hAnsi="宋体" w:eastAsia="宋体" w:cs="宋体"/>
          <w:spacing w:val="-1"/>
          <w:sz w:val="21"/>
          <w:szCs w:val="21"/>
        </w:rPr>
        <w:t>何促进健康。1983年，</w:t>
      </w:r>
      <w:r>
        <w:rPr>
          <w:rFonts w:ascii="Times New Roman" w:hAnsi="Times New Roman" w:eastAsia="Times New Roman" w:cs="Times New Roman"/>
          <w:spacing w:val="-1"/>
          <w:sz w:val="21"/>
          <w:szCs w:val="21"/>
        </w:rPr>
        <w:t>Last</w:t>
      </w:r>
      <w:r>
        <w:rPr>
          <w:rFonts w:ascii="Times New Roman" w:hAnsi="Times New Roman" w:eastAsia="Times New Roman" w:cs="Times New Roman"/>
          <w:spacing w:val="31"/>
          <w:w w:val="101"/>
          <w:sz w:val="21"/>
          <w:szCs w:val="21"/>
        </w:rPr>
        <w:t xml:space="preserve"> </w:t>
      </w:r>
      <w:r>
        <w:rPr>
          <w:rFonts w:ascii="宋体" w:hAnsi="宋体" w:eastAsia="宋体" w:cs="宋体"/>
          <w:spacing w:val="-1"/>
          <w:sz w:val="21"/>
          <w:szCs w:val="21"/>
        </w:rPr>
        <w:t>主编的《流行病学词典》中定义：“流行病学研究人群中与健康有关的状</w:t>
      </w:r>
      <w:r>
        <w:rPr>
          <w:rFonts w:ascii="宋体" w:hAnsi="宋体" w:eastAsia="宋体" w:cs="宋体"/>
          <w:sz w:val="21"/>
          <w:szCs w:val="21"/>
        </w:rPr>
        <w:t xml:space="preserve"> </w:t>
      </w:r>
      <w:r>
        <w:rPr>
          <w:rFonts w:ascii="宋体" w:hAnsi="宋体" w:eastAsia="宋体" w:cs="宋体"/>
          <w:spacing w:val="3"/>
          <w:sz w:val="21"/>
          <w:szCs w:val="21"/>
        </w:rPr>
        <w:t>态或事件的分布及其决定因素，并应用这些研究来维持和促进健康。”</w:t>
      </w:r>
    </w:p>
    <w:p w14:paraId="2864F26A">
      <w:pPr>
        <w:spacing w:before="1" w:line="317" w:lineRule="auto"/>
        <w:ind w:right="539" w:firstLine="430"/>
        <w:jc w:val="both"/>
        <w:rPr>
          <w:rFonts w:ascii="宋体" w:hAnsi="宋体" w:eastAsia="宋体" w:cs="宋体"/>
          <w:sz w:val="21"/>
          <w:szCs w:val="21"/>
        </w:rPr>
      </w:pPr>
      <w:r>
        <w:rPr>
          <w:rFonts w:ascii="宋体" w:hAnsi="宋体" w:eastAsia="宋体" w:cs="宋体"/>
          <w:spacing w:val="6"/>
          <w:sz w:val="21"/>
          <w:szCs w:val="21"/>
        </w:rPr>
        <w:t>自预防医学专业规划教材《流行病学》第3版起，我国采用如下定义：流行病学是研究人群中</w:t>
      </w:r>
      <w:r>
        <w:rPr>
          <w:rFonts w:ascii="宋体" w:hAnsi="宋体" w:eastAsia="宋体" w:cs="宋体"/>
          <w:spacing w:val="5"/>
          <w:sz w:val="21"/>
          <w:szCs w:val="21"/>
        </w:rPr>
        <w:t xml:space="preserve">  </w:t>
      </w:r>
      <w:r>
        <w:rPr>
          <w:rFonts w:ascii="宋体" w:hAnsi="宋体" w:eastAsia="宋体" w:cs="宋体"/>
          <w:spacing w:val="9"/>
          <w:sz w:val="21"/>
          <w:szCs w:val="21"/>
        </w:rPr>
        <w:t>疾病与健康状况的分布及其影响因素，并研究防制疾病及</w:t>
      </w:r>
      <w:r>
        <w:rPr>
          <w:rFonts w:ascii="宋体" w:hAnsi="宋体" w:eastAsia="宋体" w:cs="宋体"/>
          <w:spacing w:val="8"/>
          <w:sz w:val="21"/>
          <w:szCs w:val="21"/>
        </w:rPr>
        <w:t>促进健康的策略和措施的科学(连志浩，</w:t>
      </w:r>
      <w:r>
        <w:rPr>
          <w:rFonts w:ascii="宋体" w:hAnsi="宋体" w:eastAsia="宋体" w:cs="宋体"/>
          <w:sz w:val="21"/>
          <w:szCs w:val="21"/>
        </w:rPr>
        <w:t xml:space="preserve"> </w:t>
      </w:r>
      <w:r>
        <w:rPr>
          <w:rFonts w:ascii="宋体" w:hAnsi="宋体" w:eastAsia="宋体" w:cs="宋体"/>
          <w:spacing w:val="1"/>
          <w:sz w:val="21"/>
          <w:szCs w:val="21"/>
        </w:rPr>
        <w:t>1992)。此定义与</w:t>
      </w:r>
      <w:r>
        <w:rPr>
          <w:rFonts w:ascii="Times New Roman" w:hAnsi="Times New Roman" w:eastAsia="Times New Roman" w:cs="Times New Roman"/>
          <w:sz w:val="21"/>
          <w:szCs w:val="21"/>
        </w:rPr>
        <w:t>Last</w:t>
      </w:r>
      <w:r>
        <w:rPr>
          <w:rFonts w:ascii="Times New Roman" w:hAnsi="Times New Roman" w:eastAsia="Times New Roman" w:cs="Times New Roman"/>
          <w:spacing w:val="24"/>
          <w:sz w:val="21"/>
          <w:szCs w:val="21"/>
        </w:rPr>
        <w:t xml:space="preserve"> </w:t>
      </w:r>
      <w:r>
        <w:rPr>
          <w:rFonts w:ascii="宋体" w:hAnsi="宋体" w:eastAsia="宋体" w:cs="宋体"/>
          <w:spacing w:val="1"/>
          <w:sz w:val="21"/>
          <w:szCs w:val="21"/>
        </w:rPr>
        <w:t>的定义相吻合，既符合我国近年来的卫生实践，又充分反映了学科本质，因此</w:t>
      </w:r>
      <w:r>
        <w:rPr>
          <w:rFonts w:ascii="宋体" w:hAnsi="宋体" w:eastAsia="宋体" w:cs="宋体"/>
          <w:sz w:val="21"/>
          <w:szCs w:val="21"/>
        </w:rPr>
        <w:t xml:space="preserve">  </w:t>
      </w:r>
      <w:r>
        <w:rPr>
          <w:rFonts w:ascii="宋体" w:hAnsi="宋体" w:eastAsia="宋体" w:cs="宋体"/>
          <w:spacing w:val="5"/>
          <w:sz w:val="21"/>
          <w:szCs w:val="21"/>
        </w:rPr>
        <w:t>后续几版教材均沿用此定义。</w:t>
      </w:r>
    </w:p>
    <w:p w14:paraId="33AA5209">
      <w:pPr>
        <w:pStyle w:val="2"/>
        <w:spacing w:before="192" w:line="221" w:lineRule="auto"/>
        <w:ind w:left="433"/>
        <w:outlineLvl w:val="2"/>
        <w:rPr>
          <w:sz w:val="25"/>
          <w:szCs w:val="25"/>
        </w:rPr>
      </w:pPr>
      <w:bookmarkStart w:id="16" w:name="bookmark8"/>
      <w:bookmarkEnd w:id="16"/>
      <w:r>
        <w:rPr>
          <w:b/>
          <w:bCs/>
          <w:sz w:val="25"/>
          <w:szCs w:val="25"/>
        </w:rPr>
        <w:t>二</w:t>
      </w:r>
      <w:r>
        <w:rPr>
          <w:spacing w:val="-48"/>
          <w:sz w:val="25"/>
          <w:szCs w:val="25"/>
        </w:rPr>
        <w:t xml:space="preserve"> </w:t>
      </w:r>
      <w:r>
        <w:rPr>
          <w:b/>
          <w:bCs/>
          <w:sz w:val="25"/>
          <w:szCs w:val="25"/>
        </w:rPr>
        <w:t>、现代流行病学定义的诠释</w:t>
      </w:r>
    </w:p>
    <w:p w14:paraId="34547416">
      <w:pPr>
        <w:spacing w:before="253" w:line="219" w:lineRule="auto"/>
        <w:ind w:left="430"/>
        <w:rPr>
          <w:rFonts w:ascii="宋体" w:hAnsi="宋体" w:eastAsia="宋体" w:cs="宋体"/>
          <w:sz w:val="21"/>
          <w:szCs w:val="21"/>
        </w:rPr>
      </w:pPr>
      <w:r>
        <w:rPr>
          <w:rFonts w:ascii="宋体" w:hAnsi="宋体" w:eastAsia="宋体" w:cs="宋体"/>
          <w:sz w:val="21"/>
          <w:szCs w:val="21"/>
        </w:rPr>
        <w:t>流行病学定义虽简洁，但其内涵丰富。</w:t>
      </w:r>
    </w:p>
    <w:p w14:paraId="346437B4">
      <w:pPr>
        <w:pStyle w:val="2"/>
        <w:spacing w:before="78" w:line="221" w:lineRule="auto"/>
        <w:ind w:left="433"/>
        <w:rPr>
          <w:sz w:val="25"/>
          <w:szCs w:val="25"/>
        </w:rPr>
      </w:pPr>
      <w:r>
        <w:rPr>
          <w:b/>
          <w:bCs/>
          <w:spacing w:val="-18"/>
          <w:sz w:val="25"/>
          <w:szCs w:val="25"/>
        </w:rPr>
        <w:t>(一)流行病学研究内容的三个层次</w:t>
      </w:r>
    </w:p>
    <w:p w14:paraId="72F662B7">
      <w:pPr>
        <w:spacing w:before="133" w:line="305" w:lineRule="auto"/>
        <w:ind w:right="632" w:firstLine="430"/>
        <w:jc w:val="both"/>
        <w:rPr>
          <w:rFonts w:ascii="宋体" w:hAnsi="宋体" w:eastAsia="宋体" w:cs="宋体"/>
          <w:sz w:val="21"/>
          <w:szCs w:val="21"/>
        </w:rPr>
      </w:pPr>
      <w:r>
        <w:rPr>
          <w:rFonts w:ascii="宋体" w:hAnsi="宋体" w:eastAsia="宋体" w:cs="宋体"/>
          <w:spacing w:val="9"/>
          <w:sz w:val="21"/>
          <w:szCs w:val="21"/>
        </w:rPr>
        <w:t>流行病学起初以传染病为主要研究内容，现已扩展至全面涵盖疾病、伤害和健康状况三个层</w:t>
      </w:r>
      <w:r>
        <w:rPr>
          <w:rFonts w:ascii="宋体" w:hAnsi="宋体" w:eastAsia="宋体" w:cs="宋体"/>
          <w:spacing w:val="11"/>
          <w:sz w:val="21"/>
          <w:szCs w:val="21"/>
        </w:rPr>
        <w:t xml:space="preserve"> </w:t>
      </w:r>
      <w:r>
        <w:rPr>
          <w:rFonts w:ascii="宋体" w:hAnsi="宋体" w:eastAsia="宋体" w:cs="宋体"/>
          <w:spacing w:val="4"/>
          <w:sz w:val="21"/>
          <w:szCs w:val="21"/>
        </w:rPr>
        <w:t>次。其中，疾病包括传染病、非传染性疾病等；健康状况包括身体和心理的各种状态、残疾</w:t>
      </w:r>
      <w:r>
        <w:rPr>
          <w:rFonts w:ascii="宋体" w:hAnsi="宋体" w:eastAsia="宋体" w:cs="宋体"/>
          <w:spacing w:val="3"/>
          <w:sz w:val="21"/>
          <w:szCs w:val="21"/>
        </w:rPr>
        <w:t>以及长</w:t>
      </w:r>
      <w:r>
        <w:rPr>
          <w:rFonts w:ascii="宋体" w:hAnsi="宋体" w:eastAsia="宋体" w:cs="宋体"/>
          <w:sz w:val="21"/>
          <w:szCs w:val="21"/>
        </w:rPr>
        <w:t xml:space="preserve"> </w:t>
      </w:r>
      <w:r>
        <w:rPr>
          <w:rFonts w:ascii="宋体" w:hAnsi="宋体" w:eastAsia="宋体" w:cs="宋体"/>
          <w:spacing w:val="6"/>
          <w:sz w:val="21"/>
          <w:szCs w:val="21"/>
        </w:rPr>
        <w:t>寿等。这一扩展与</w:t>
      </w:r>
      <w:r>
        <w:rPr>
          <w:rFonts w:ascii="Times New Roman" w:hAnsi="Times New Roman" w:eastAsia="Times New Roman" w:cs="Times New Roman"/>
          <w:sz w:val="21"/>
          <w:szCs w:val="21"/>
        </w:rPr>
        <w:t>WHO</w:t>
      </w:r>
      <w:r>
        <w:rPr>
          <w:rFonts w:ascii="Times New Roman" w:hAnsi="Times New Roman" w:eastAsia="Times New Roman" w:cs="Times New Roman"/>
          <w:spacing w:val="6"/>
          <w:sz w:val="21"/>
          <w:szCs w:val="21"/>
        </w:rPr>
        <w:t xml:space="preserve"> </w:t>
      </w:r>
      <w:r>
        <w:rPr>
          <w:rFonts w:ascii="宋体" w:hAnsi="宋体" w:eastAsia="宋体" w:cs="宋体"/>
          <w:spacing w:val="6"/>
          <w:sz w:val="21"/>
          <w:szCs w:val="21"/>
        </w:rPr>
        <w:t>于1948年提出的健康定义相契合，即</w:t>
      </w:r>
      <w:r>
        <w:rPr>
          <w:rFonts w:ascii="宋体" w:hAnsi="宋体" w:eastAsia="宋体" w:cs="宋体"/>
          <w:spacing w:val="5"/>
          <w:sz w:val="21"/>
          <w:szCs w:val="21"/>
        </w:rPr>
        <w:t>健康是身体、心理和社会适应的完好</w:t>
      </w:r>
      <w:r>
        <w:rPr>
          <w:rFonts w:ascii="宋体" w:hAnsi="宋体" w:eastAsia="宋体" w:cs="宋体"/>
          <w:sz w:val="21"/>
          <w:szCs w:val="21"/>
        </w:rPr>
        <w:t xml:space="preserve"> </w:t>
      </w:r>
      <w:r>
        <w:rPr>
          <w:rFonts w:ascii="宋体" w:hAnsi="宋体" w:eastAsia="宋体" w:cs="宋体"/>
          <w:spacing w:val="-1"/>
          <w:sz w:val="21"/>
          <w:szCs w:val="21"/>
        </w:rPr>
        <w:t>状态，而不只是没有疾病或虚弱。</w:t>
      </w:r>
    </w:p>
    <w:p w14:paraId="360D020B">
      <w:pPr>
        <w:pStyle w:val="2"/>
        <w:spacing w:before="1" w:line="220" w:lineRule="auto"/>
        <w:ind w:left="433"/>
        <w:rPr>
          <w:sz w:val="25"/>
          <w:szCs w:val="25"/>
        </w:rPr>
      </w:pPr>
      <w:r>
        <w:rPr>
          <w:b/>
          <w:bCs/>
          <w:spacing w:val="-15"/>
          <w:sz w:val="25"/>
          <w:szCs w:val="25"/>
        </w:rPr>
        <w:t>(二)流行病学任务的三个阶段</w:t>
      </w:r>
    </w:p>
    <w:p w14:paraId="202611D3">
      <w:pPr>
        <w:spacing w:before="120" w:line="309" w:lineRule="auto"/>
        <w:ind w:right="578" w:firstLine="430"/>
        <w:jc w:val="both"/>
        <w:rPr>
          <w:rFonts w:ascii="宋体" w:hAnsi="宋体" w:eastAsia="宋体" w:cs="宋体"/>
          <w:sz w:val="21"/>
          <w:szCs w:val="21"/>
        </w:rPr>
      </w:pPr>
      <w:r>
        <w:rPr>
          <w:rFonts w:ascii="宋体" w:hAnsi="宋体" w:eastAsia="宋体" w:cs="宋体"/>
          <w:spacing w:val="8"/>
          <w:sz w:val="21"/>
          <w:szCs w:val="21"/>
        </w:rPr>
        <w:t>第一阶段的任务是“揭示现象”,即揭示流</w:t>
      </w:r>
      <w:r>
        <w:rPr>
          <w:rFonts w:ascii="宋体" w:hAnsi="宋体" w:eastAsia="宋体" w:cs="宋体"/>
          <w:spacing w:val="7"/>
          <w:sz w:val="21"/>
          <w:szCs w:val="21"/>
        </w:rPr>
        <w:t>行(主要是传染病)或分布(其他疾病、伤害与健康)</w:t>
      </w:r>
      <w:r>
        <w:rPr>
          <w:rFonts w:ascii="宋体" w:hAnsi="宋体" w:eastAsia="宋体" w:cs="宋体"/>
          <w:sz w:val="21"/>
          <w:szCs w:val="21"/>
        </w:rPr>
        <w:t xml:space="preserve"> </w:t>
      </w:r>
      <w:r>
        <w:rPr>
          <w:rFonts w:ascii="宋体" w:hAnsi="宋体" w:eastAsia="宋体" w:cs="宋体"/>
          <w:spacing w:val="4"/>
          <w:sz w:val="21"/>
          <w:szCs w:val="21"/>
        </w:rPr>
        <w:t>的现象，可通过描述流行病学方法来实现。此阶段虽不能直接找出原因，但为后续深入</w:t>
      </w:r>
      <w:r>
        <w:rPr>
          <w:rFonts w:ascii="宋体" w:hAnsi="宋体" w:eastAsia="宋体" w:cs="宋体"/>
          <w:spacing w:val="3"/>
          <w:sz w:val="21"/>
          <w:szCs w:val="21"/>
        </w:rPr>
        <w:t>探讨原因提</w:t>
      </w:r>
      <w:r>
        <w:rPr>
          <w:rFonts w:ascii="宋体" w:hAnsi="宋体" w:eastAsia="宋体" w:cs="宋体"/>
          <w:sz w:val="21"/>
          <w:szCs w:val="21"/>
        </w:rPr>
        <w:t xml:space="preserve"> </w:t>
      </w:r>
      <w:r>
        <w:rPr>
          <w:rFonts w:ascii="宋体" w:hAnsi="宋体" w:eastAsia="宋体" w:cs="宋体"/>
          <w:spacing w:val="2"/>
          <w:sz w:val="21"/>
          <w:szCs w:val="21"/>
        </w:rPr>
        <w:t>供了基础。第二阶段为“找出原因”,即分</w:t>
      </w:r>
      <w:r>
        <w:rPr>
          <w:rFonts w:ascii="宋体" w:hAnsi="宋体" w:eastAsia="宋体" w:cs="宋体"/>
          <w:spacing w:val="1"/>
          <w:sz w:val="21"/>
          <w:szCs w:val="21"/>
        </w:rPr>
        <w:t>析流行与分布的规律和原因，可借助分析流行病学方法来</w:t>
      </w:r>
      <w:r>
        <w:rPr>
          <w:rFonts w:ascii="宋体" w:hAnsi="宋体" w:eastAsia="宋体" w:cs="宋体"/>
          <w:sz w:val="21"/>
          <w:szCs w:val="21"/>
        </w:rPr>
        <w:t xml:space="preserve"> </w:t>
      </w:r>
      <w:r>
        <w:rPr>
          <w:rFonts w:ascii="宋体" w:hAnsi="宋体" w:eastAsia="宋体" w:cs="宋体"/>
          <w:spacing w:val="2"/>
          <w:sz w:val="21"/>
          <w:szCs w:val="21"/>
        </w:rPr>
        <w:t>检验或验证病因假说。第三阶段为“提供措</w:t>
      </w:r>
      <w:r>
        <w:rPr>
          <w:rFonts w:ascii="宋体" w:hAnsi="宋体" w:eastAsia="宋体" w:cs="宋体"/>
          <w:spacing w:val="1"/>
          <w:sz w:val="21"/>
          <w:szCs w:val="21"/>
        </w:rPr>
        <w:t>施”,即利用前两阶段的结果，制定和评价预防或控制策</w:t>
      </w:r>
      <w:r>
        <w:rPr>
          <w:rFonts w:ascii="宋体" w:hAnsi="宋体" w:eastAsia="宋体" w:cs="宋体"/>
          <w:sz w:val="21"/>
          <w:szCs w:val="21"/>
        </w:rPr>
        <w:t xml:space="preserve"> </w:t>
      </w:r>
      <w:r>
        <w:rPr>
          <w:rFonts w:ascii="宋体" w:hAnsi="宋体" w:eastAsia="宋体" w:cs="宋体"/>
          <w:spacing w:val="4"/>
          <w:sz w:val="21"/>
          <w:szCs w:val="21"/>
        </w:rPr>
        <w:t>略与措施，可通过实验流行病学方法来实现。这三个阶段通常由浅入深、循序渐进，尤其在科</w:t>
      </w:r>
      <w:r>
        <w:rPr>
          <w:rFonts w:ascii="宋体" w:hAnsi="宋体" w:eastAsia="宋体" w:cs="宋体"/>
          <w:spacing w:val="3"/>
          <w:sz w:val="21"/>
          <w:szCs w:val="21"/>
        </w:rPr>
        <w:t>研工</w:t>
      </w:r>
      <w:r>
        <w:rPr>
          <w:rFonts w:ascii="宋体" w:hAnsi="宋体" w:eastAsia="宋体" w:cs="宋体"/>
          <w:sz w:val="21"/>
          <w:szCs w:val="21"/>
        </w:rPr>
        <w:t xml:space="preserve"> </w:t>
      </w:r>
      <w:r>
        <w:rPr>
          <w:rFonts w:ascii="宋体" w:hAnsi="宋体" w:eastAsia="宋体" w:cs="宋体"/>
          <w:spacing w:val="4"/>
          <w:sz w:val="21"/>
          <w:szCs w:val="21"/>
        </w:rPr>
        <w:t>作中，这样才能确保认识和解决问题的说服力。但在具体实践中，常根据具体条件和情况</w:t>
      </w:r>
      <w:r>
        <w:rPr>
          <w:rFonts w:ascii="宋体" w:hAnsi="宋体" w:eastAsia="宋体" w:cs="宋体"/>
          <w:spacing w:val="3"/>
          <w:sz w:val="21"/>
          <w:szCs w:val="21"/>
        </w:rPr>
        <w:t>，着重或</w:t>
      </w:r>
      <w:r>
        <w:rPr>
          <w:rFonts w:ascii="宋体" w:hAnsi="宋体" w:eastAsia="宋体" w:cs="宋体"/>
          <w:sz w:val="21"/>
          <w:szCs w:val="21"/>
        </w:rPr>
        <w:t xml:space="preserve"> </w:t>
      </w:r>
      <w:r>
        <w:rPr>
          <w:rFonts w:ascii="宋体" w:hAnsi="宋体" w:eastAsia="宋体" w:cs="宋体"/>
          <w:spacing w:val="4"/>
          <w:sz w:val="21"/>
          <w:szCs w:val="21"/>
        </w:rPr>
        <w:t>集中进行某一部分工作。</w:t>
      </w:r>
    </w:p>
    <w:p w14:paraId="0DD6B1F4">
      <w:pPr>
        <w:pStyle w:val="2"/>
        <w:spacing w:before="41" w:line="221" w:lineRule="auto"/>
        <w:ind w:left="433"/>
        <w:rPr>
          <w:sz w:val="25"/>
          <w:szCs w:val="25"/>
        </w:rPr>
      </w:pPr>
      <w:r>
        <w:rPr>
          <w:b/>
          <w:bCs/>
          <w:spacing w:val="-16"/>
          <w:sz w:val="25"/>
          <w:szCs w:val="25"/>
        </w:rPr>
        <w:t>(三)流行病学研究的三种基本方法</w:t>
      </w:r>
    </w:p>
    <w:p w14:paraId="24B75A73">
      <w:pPr>
        <w:spacing w:before="115" w:line="309" w:lineRule="auto"/>
        <w:ind w:right="635" w:firstLine="430"/>
        <w:jc w:val="both"/>
        <w:rPr>
          <w:rFonts w:ascii="宋体" w:hAnsi="宋体" w:eastAsia="宋体" w:cs="宋体"/>
          <w:sz w:val="21"/>
          <w:szCs w:val="21"/>
        </w:rPr>
      </w:pPr>
      <w:r>
        <w:rPr>
          <w:rFonts w:ascii="宋体" w:hAnsi="宋体" w:eastAsia="宋体" w:cs="宋体"/>
          <w:spacing w:val="9"/>
          <w:sz w:val="21"/>
          <w:szCs w:val="21"/>
        </w:rPr>
        <w:t>科学研究的基本方法主要包括历史法、观察法、实验法和数理法。流行病学则主要基于后三</w:t>
      </w:r>
      <w:r>
        <w:rPr>
          <w:rFonts w:ascii="宋体" w:hAnsi="宋体" w:eastAsia="宋体" w:cs="宋体"/>
          <w:spacing w:val="6"/>
          <w:sz w:val="21"/>
          <w:szCs w:val="21"/>
        </w:rPr>
        <w:t xml:space="preserve"> </w:t>
      </w:r>
      <w:r>
        <w:rPr>
          <w:rFonts w:ascii="宋体" w:hAnsi="宋体" w:eastAsia="宋体" w:cs="宋体"/>
          <w:spacing w:val="4"/>
          <w:sz w:val="21"/>
          <w:szCs w:val="21"/>
        </w:rPr>
        <w:t>者，即观察法、实验法和数理法，其中观察法尤为重要。逻辑推理是任何学科及日常生活</w:t>
      </w:r>
      <w:r>
        <w:rPr>
          <w:rFonts w:ascii="宋体" w:hAnsi="宋体" w:eastAsia="宋体" w:cs="宋体"/>
          <w:spacing w:val="3"/>
          <w:sz w:val="21"/>
          <w:szCs w:val="21"/>
        </w:rPr>
        <w:t>中不可或</w:t>
      </w:r>
      <w:r>
        <w:rPr>
          <w:rFonts w:ascii="宋体" w:hAnsi="宋体" w:eastAsia="宋体" w:cs="宋体"/>
          <w:sz w:val="21"/>
          <w:szCs w:val="21"/>
        </w:rPr>
        <w:t xml:space="preserve"> </w:t>
      </w:r>
      <w:r>
        <w:rPr>
          <w:rFonts w:ascii="宋体" w:hAnsi="宋体" w:eastAsia="宋体" w:cs="宋体"/>
          <w:spacing w:val="2"/>
          <w:sz w:val="21"/>
          <w:szCs w:val="21"/>
        </w:rPr>
        <w:t>缺的思维方式，流行病学同样离不开逻辑推理。</w:t>
      </w:r>
    </w:p>
    <w:p w14:paraId="2B43F18B">
      <w:pPr>
        <w:pStyle w:val="2"/>
        <w:spacing w:before="30" w:line="221" w:lineRule="auto"/>
        <w:ind w:left="433"/>
        <w:rPr>
          <w:sz w:val="21"/>
          <w:szCs w:val="21"/>
        </w:rPr>
      </w:pPr>
      <w:r>
        <w:rPr>
          <w:b/>
          <w:bCs/>
          <w:spacing w:val="21"/>
          <w:sz w:val="21"/>
          <w:szCs w:val="21"/>
        </w:rPr>
        <w:t>(四)流行病学学科的三大要素</w:t>
      </w:r>
    </w:p>
    <w:p w14:paraId="5ACFBE25">
      <w:pPr>
        <w:spacing w:before="111" w:line="318" w:lineRule="auto"/>
        <w:ind w:right="613" w:firstLine="430"/>
        <w:jc w:val="both"/>
        <w:rPr>
          <w:rFonts w:ascii="宋体" w:hAnsi="宋体" w:eastAsia="宋体" w:cs="宋体"/>
          <w:sz w:val="21"/>
          <w:szCs w:val="21"/>
        </w:rPr>
      </w:pPr>
      <w:r>
        <w:rPr>
          <w:rFonts w:ascii="宋体" w:hAnsi="宋体" w:eastAsia="宋体" w:cs="宋体"/>
          <w:spacing w:val="10"/>
          <w:sz w:val="21"/>
          <w:szCs w:val="21"/>
        </w:rPr>
        <w:t>一门独立的学科需具备独特的研究内容和任务，并拥有自己的原理</w:t>
      </w:r>
      <w:r>
        <w:rPr>
          <w:rFonts w:ascii="宋体" w:hAnsi="宋体" w:eastAsia="宋体" w:cs="宋体"/>
          <w:spacing w:val="9"/>
          <w:sz w:val="21"/>
          <w:szCs w:val="21"/>
        </w:rPr>
        <w:t>和方法。应用学科还必须</w:t>
      </w:r>
      <w:r>
        <w:rPr>
          <w:rFonts w:ascii="宋体" w:hAnsi="宋体" w:eastAsia="宋体" w:cs="宋体"/>
          <w:sz w:val="21"/>
          <w:szCs w:val="21"/>
        </w:rPr>
        <w:t xml:space="preserve"> </w:t>
      </w:r>
      <w:r>
        <w:rPr>
          <w:rFonts w:ascii="宋体" w:hAnsi="宋体" w:eastAsia="宋体" w:cs="宋体"/>
          <w:spacing w:val="4"/>
          <w:sz w:val="21"/>
          <w:szCs w:val="21"/>
        </w:rPr>
        <w:t>在特定领域发挥推动生产力的作用。流行病学学科的要素可概括为原理、方法和应用三部分，</w:t>
      </w:r>
      <w:r>
        <w:rPr>
          <w:rFonts w:ascii="宋体" w:hAnsi="宋体" w:eastAsia="宋体" w:cs="宋体"/>
          <w:spacing w:val="3"/>
          <w:sz w:val="21"/>
          <w:szCs w:val="21"/>
        </w:rPr>
        <w:t>它主</w:t>
      </w:r>
      <w:r>
        <w:rPr>
          <w:rFonts w:ascii="宋体" w:hAnsi="宋体" w:eastAsia="宋体" w:cs="宋体"/>
          <w:sz w:val="21"/>
          <w:szCs w:val="21"/>
        </w:rPr>
        <w:t xml:space="preserve"> </w:t>
      </w:r>
      <w:r>
        <w:rPr>
          <w:rFonts w:ascii="宋体" w:hAnsi="宋体" w:eastAsia="宋体" w:cs="宋体"/>
          <w:spacing w:val="2"/>
          <w:sz w:val="21"/>
          <w:szCs w:val="21"/>
        </w:rPr>
        <w:t>要是一门应用科学，同时也是一门方法学。</w:t>
      </w:r>
    </w:p>
    <w:p w14:paraId="6666E444">
      <w:pPr>
        <w:spacing w:line="380" w:lineRule="auto"/>
        <w:rPr>
          <w:rFonts w:ascii="Arial"/>
          <w:sz w:val="21"/>
        </w:rPr>
      </w:pPr>
    </w:p>
    <w:p w14:paraId="3117B04C">
      <w:pPr>
        <w:pStyle w:val="2"/>
        <w:spacing w:before="102" w:line="221" w:lineRule="auto"/>
        <w:ind w:left="2494"/>
        <w:outlineLvl w:val="1"/>
        <w:rPr>
          <w:sz w:val="31"/>
          <w:szCs w:val="31"/>
        </w:rPr>
      </w:pPr>
      <w:bookmarkStart w:id="17" w:name="bookmark9"/>
      <w:bookmarkEnd w:id="17"/>
      <w:r>
        <w:rPr>
          <w:b/>
          <w:bCs/>
          <w:spacing w:val="-6"/>
          <w:sz w:val="31"/>
          <w:szCs w:val="31"/>
        </w:rPr>
        <w:t>第三节</w:t>
      </w:r>
      <w:r>
        <w:rPr>
          <w:spacing w:val="145"/>
          <w:sz w:val="31"/>
          <w:szCs w:val="31"/>
        </w:rPr>
        <w:t xml:space="preserve"> </w:t>
      </w:r>
      <w:r>
        <w:rPr>
          <w:b/>
          <w:bCs/>
          <w:spacing w:val="-6"/>
          <w:sz w:val="31"/>
          <w:szCs w:val="31"/>
        </w:rPr>
        <w:t>流行病学的原理和应用</w:t>
      </w:r>
    </w:p>
    <w:p w14:paraId="3791FFC7">
      <w:pPr>
        <w:spacing w:line="347" w:lineRule="auto"/>
        <w:rPr>
          <w:rFonts w:ascii="Arial"/>
          <w:sz w:val="21"/>
        </w:rPr>
      </w:pPr>
    </w:p>
    <w:p w14:paraId="522A06CB">
      <w:pPr>
        <w:pStyle w:val="2"/>
        <w:spacing w:before="82" w:line="223" w:lineRule="auto"/>
        <w:ind w:left="433"/>
        <w:outlineLvl w:val="2"/>
        <w:rPr>
          <w:sz w:val="25"/>
          <w:szCs w:val="25"/>
        </w:rPr>
      </w:pPr>
      <w:bookmarkStart w:id="18" w:name="bookmark10"/>
      <w:bookmarkEnd w:id="18"/>
      <w:r>
        <w:rPr>
          <w:b/>
          <w:bCs/>
          <w:spacing w:val="-5"/>
          <w:sz w:val="25"/>
          <w:szCs w:val="25"/>
        </w:rPr>
        <w:t>一</w:t>
      </w:r>
      <w:r>
        <w:rPr>
          <w:spacing w:val="-60"/>
          <w:sz w:val="25"/>
          <w:szCs w:val="25"/>
        </w:rPr>
        <w:t xml:space="preserve"> </w:t>
      </w:r>
      <w:r>
        <w:rPr>
          <w:b/>
          <w:bCs/>
          <w:spacing w:val="-5"/>
          <w:sz w:val="25"/>
          <w:szCs w:val="25"/>
        </w:rPr>
        <w:t>、基本原理</w:t>
      </w:r>
    </w:p>
    <w:p w14:paraId="6418637F">
      <w:pPr>
        <w:spacing w:before="249" w:line="325" w:lineRule="auto"/>
        <w:ind w:right="634" w:firstLine="430"/>
        <w:jc w:val="both"/>
        <w:rPr>
          <w:rFonts w:ascii="宋体" w:hAnsi="宋体" w:eastAsia="宋体" w:cs="宋体"/>
          <w:sz w:val="21"/>
          <w:szCs w:val="21"/>
        </w:rPr>
      </w:pPr>
      <w:r>
        <w:rPr>
          <w:rFonts w:ascii="宋体" w:hAnsi="宋体" w:eastAsia="宋体" w:cs="宋体"/>
          <w:spacing w:val="4"/>
          <w:sz w:val="21"/>
          <w:szCs w:val="21"/>
        </w:rPr>
        <w:t>疾病在人群中的分布并非随机的，而是呈现出特定的时间、地区和社会人口学特征</w:t>
      </w:r>
      <w:r>
        <w:rPr>
          <w:rFonts w:ascii="宋体" w:hAnsi="宋体" w:eastAsia="宋体" w:cs="宋体"/>
          <w:spacing w:val="3"/>
          <w:sz w:val="21"/>
          <w:szCs w:val="21"/>
        </w:rPr>
        <w:t>。这种分布</w:t>
      </w:r>
      <w:r>
        <w:rPr>
          <w:rFonts w:ascii="宋体" w:hAnsi="宋体" w:eastAsia="宋体" w:cs="宋体"/>
          <w:sz w:val="21"/>
          <w:szCs w:val="21"/>
        </w:rPr>
        <w:t xml:space="preserve"> </w:t>
      </w:r>
      <w:r>
        <w:rPr>
          <w:rFonts w:ascii="宋体" w:hAnsi="宋体" w:eastAsia="宋体" w:cs="宋体"/>
          <w:spacing w:val="9"/>
          <w:sz w:val="21"/>
          <w:szCs w:val="21"/>
        </w:rPr>
        <w:t>差异与危险因素的暴露或个体易感性相关。通过测量这些差异</w:t>
      </w:r>
      <w:r>
        <w:rPr>
          <w:rFonts w:ascii="宋体" w:hAnsi="宋体" w:eastAsia="宋体" w:cs="宋体"/>
          <w:spacing w:val="8"/>
          <w:sz w:val="21"/>
          <w:szCs w:val="21"/>
        </w:rPr>
        <w:t>并采取相应控制措施，可实现疾病</w:t>
      </w:r>
      <w:r>
        <w:rPr>
          <w:rFonts w:ascii="宋体" w:hAnsi="宋体" w:eastAsia="宋体" w:cs="宋体"/>
          <w:sz w:val="21"/>
          <w:szCs w:val="21"/>
        </w:rPr>
        <w:t xml:space="preserve"> </w:t>
      </w:r>
      <w:r>
        <w:rPr>
          <w:rFonts w:ascii="宋体" w:hAnsi="宋体" w:eastAsia="宋体" w:cs="宋体"/>
          <w:spacing w:val="4"/>
          <w:sz w:val="21"/>
          <w:szCs w:val="21"/>
        </w:rPr>
        <w:t>的预防。基于此，现代流行病学的基本原理涵盖：①疾病与</w:t>
      </w:r>
      <w:r>
        <w:rPr>
          <w:rFonts w:ascii="宋体" w:hAnsi="宋体" w:eastAsia="宋体" w:cs="宋体"/>
          <w:spacing w:val="3"/>
          <w:sz w:val="21"/>
          <w:szCs w:val="21"/>
        </w:rPr>
        <w:t>健康状况在人群中的分布，包括疾病的</w:t>
      </w:r>
      <w:r>
        <w:rPr>
          <w:rFonts w:ascii="宋体" w:hAnsi="宋体" w:eastAsia="宋体" w:cs="宋体"/>
          <w:sz w:val="21"/>
          <w:szCs w:val="21"/>
        </w:rPr>
        <w:t xml:space="preserve"> </w:t>
      </w:r>
      <w:r>
        <w:rPr>
          <w:rFonts w:ascii="宋体" w:hAnsi="宋体" w:eastAsia="宋体" w:cs="宋体"/>
          <w:spacing w:val="4"/>
          <w:sz w:val="21"/>
          <w:szCs w:val="21"/>
        </w:rPr>
        <w:t>流行现象；②疾病的发生过程，其中涵盖了</w:t>
      </w:r>
      <w:r>
        <w:rPr>
          <w:rFonts w:ascii="宋体" w:hAnsi="宋体" w:eastAsia="宋体" w:cs="宋体"/>
          <w:spacing w:val="3"/>
          <w:sz w:val="21"/>
          <w:szCs w:val="21"/>
        </w:rPr>
        <w:t>机体的感染过程和传染病的流行过程；③人与环境的关</w:t>
      </w:r>
    </w:p>
    <w:p w14:paraId="78C33D60">
      <w:pPr>
        <w:spacing w:line="325" w:lineRule="auto"/>
        <w:rPr>
          <w:rFonts w:ascii="宋体" w:hAnsi="宋体" w:eastAsia="宋体" w:cs="宋体"/>
          <w:sz w:val="21"/>
          <w:szCs w:val="21"/>
        </w:rPr>
        <w:sectPr>
          <w:footerReference r:id="rId35" w:type="default"/>
          <w:pgSz w:w="11900" w:h="16820"/>
          <w:pgMar w:top="400" w:right="745" w:bottom="853" w:left="1319" w:header="0" w:footer="667" w:gutter="0"/>
          <w:cols w:space="720" w:num="1"/>
        </w:sectPr>
      </w:pPr>
    </w:p>
    <w:p w14:paraId="6DBB97B1">
      <w:pPr>
        <w:spacing w:line="260" w:lineRule="auto"/>
        <w:rPr>
          <w:rFonts w:ascii="Arial"/>
          <w:sz w:val="21"/>
        </w:rPr>
      </w:pPr>
    </w:p>
    <w:p w14:paraId="675EBC5C">
      <w:pPr>
        <w:pStyle w:val="2"/>
        <w:spacing w:before="65" w:line="222" w:lineRule="auto"/>
        <w:ind w:left="730"/>
        <w:rPr>
          <w:sz w:val="20"/>
          <w:szCs w:val="20"/>
        </w:rPr>
      </w:pPr>
      <w:bookmarkStart w:id="19" w:name="bookmark407"/>
      <w:bookmarkEnd w:id="19"/>
      <w:r>
        <w:rPr>
          <w:spacing w:val="5"/>
          <w:sz w:val="20"/>
          <w:szCs w:val="20"/>
        </w:rPr>
        <w:t>第一章绪论</w:t>
      </w:r>
    </w:p>
    <w:p w14:paraId="6A3E20A7">
      <w:pPr>
        <w:spacing w:line="285" w:lineRule="auto"/>
        <w:rPr>
          <w:rFonts w:ascii="Arial"/>
          <w:sz w:val="21"/>
        </w:rPr>
      </w:pPr>
    </w:p>
    <w:p w14:paraId="7C5B2DD7">
      <w:pPr>
        <w:spacing w:line="285" w:lineRule="auto"/>
        <w:rPr>
          <w:rFonts w:ascii="Arial"/>
          <w:sz w:val="21"/>
        </w:rPr>
      </w:pPr>
    </w:p>
    <w:p w14:paraId="111BC543">
      <w:pPr>
        <w:spacing w:before="65" w:line="333" w:lineRule="auto"/>
        <w:ind w:left="730" w:right="151"/>
        <w:rPr>
          <w:rFonts w:ascii="宋体" w:hAnsi="宋体" w:eastAsia="宋体" w:cs="宋体"/>
          <w:sz w:val="20"/>
          <w:szCs w:val="20"/>
        </w:rPr>
      </w:pPr>
      <w:r>
        <w:rPr>
          <w:rFonts w:ascii="宋体" w:hAnsi="宋体" w:eastAsia="宋体" w:cs="宋体"/>
          <w:spacing w:val="2"/>
          <w:sz w:val="20"/>
          <w:szCs w:val="20"/>
        </w:rPr>
        <w:t>系，即疾病生态学；④病因论，特别是多因论；⑤病因推断原则；⑥疾病防制的原则和策略，包括疾</w:t>
      </w:r>
      <w:r>
        <w:rPr>
          <w:rFonts w:ascii="宋体" w:hAnsi="宋体" w:eastAsia="宋体" w:cs="宋体"/>
          <w:spacing w:val="9"/>
          <w:sz w:val="20"/>
          <w:szCs w:val="20"/>
        </w:rPr>
        <w:t xml:space="preserve"> </w:t>
      </w:r>
      <w:r>
        <w:rPr>
          <w:rFonts w:ascii="宋体" w:hAnsi="宋体" w:eastAsia="宋体" w:cs="宋体"/>
          <w:spacing w:val="7"/>
          <w:sz w:val="20"/>
          <w:szCs w:val="20"/>
        </w:rPr>
        <w:t>病的三级预防；⑦疾病发展的数学模型等。后续各章将对这些原理进行详细</w:t>
      </w:r>
      <w:r>
        <w:rPr>
          <w:rFonts w:ascii="宋体" w:hAnsi="宋体" w:eastAsia="宋体" w:cs="宋体"/>
          <w:spacing w:val="6"/>
          <w:sz w:val="20"/>
          <w:szCs w:val="20"/>
        </w:rPr>
        <w:t>阐述。</w:t>
      </w:r>
    </w:p>
    <w:p w14:paraId="44EF6BFF">
      <w:pPr>
        <w:spacing w:before="18" w:line="325" w:lineRule="auto"/>
        <w:ind w:left="730" w:right="111" w:firstLine="419"/>
        <w:jc w:val="both"/>
        <w:rPr>
          <w:rFonts w:ascii="宋体" w:hAnsi="宋体" w:eastAsia="宋体" w:cs="宋体"/>
          <w:sz w:val="20"/>
          <w:szCs w:val="20"/>
        </w:rPr>
      </w:pPr>
      <w:r>
        <w:rPr>
          <w:rFonts w:ascii="宋体" w:hAnsi="宋体" w:eastAsia="宋体" w:cs="宋体"/>
          <w:spacing w:val="8"/>
          <w:sz w:val="20"/>
          <w:szCs w:val="20"/>
        </w:rPr>
        <w:t>现代流行病学原理已超越传统范畴，不仅关注传染病流行，还会广泛</w:t>
      </w:r>
      <w:r>
        <w:rPr>
          <w:rFonts w:ascii="宋体" w:hAnsi="宋体" w:eastAsia="宋体" w:cs="宋体"/>
          <w:spacing w:val="7"/>
          <w:sz w:val="20"/>
          <w:szCs w:val="20"/>
        </w:rPr>
        <w:t>考虑各种疾病和健康状况</w:t>
      </w:r>
      <w:r>
        <w:rPr>
          <w:rFonts w:ascii="宋体" w:hAnsi="宋体" w:eastAsia="宋体" w:cs="宋体"/>
          <w:sz w:val="20"/>
          <w:szCs w:val="20"/>
        </w:rPr>
        <w:t xml:space="preserve"> </w:t>
      </w:r>
      <w:r>
        <w:rPr>
          <w:rFonts w:ascii="宋体" w:hAnsi="宋体" w:eastAsia="宋体" w:cs="宋体"/>
          <w:spacing w:val="8"/>
          <w:sz w:val="20"/>
          <w:szCs w:val="20"/>
        </w:rPr>
        <w:t>的分布；在探讨病因时，会综合考虑自然和社会环境，以及人体</w:t>
      </w:r>
      <w:r>
        <w:rPr>
          <w:rFonts w:ascii="宋体" w:hAnsi="宋体" w:eastAsia="宋体" w:cs="宋体"/>
          <w:spacing w:val="7"/>
          <w:sz w:val="20"/>
          <w:szCs w:val="20"/>
        </w:rPr>
        <w:t>生理、心理和精神方面的内环境因</w:t>
      </w:r>
      <w:r>
        <w:rPr>
          <w:rFonts w:ascii="宋体" w:hAnsi="宋体" w:eastAsia="宋体" w:cs="宋体"/>
          <w:sz w:val="20"/>
          <w:szCs w:val="20"/>
        </w:rPr>
        <w:t xml:space="preserve"> </w:t>
      </w:r>
      <w:r>
        <w:rPr>
          <w:rFonts w:ascii="宋体" w:hAnsi="宋体" w:eastAsia="宋体" w:cs="宋体"/>
          <w:spacing w:val="-5"/>
          <w:sz w:val="20"/>
          <w:szCs w:val="20"/>
        </w:rPr>
        <w:t>素，遵循多因论。</w:t>
      </w:r>
    </w:p>
    <w:p w14:paraId="74A522D2">
      <w:pPr>
        <w:pStyle w:val="2"/>
        <w:spacing w:before="241" w:line="222" w:lineRule="auto"/>
        <w:ind w:left="1152"/>
        <w:outlineLvl w:val="2"/>
        <w:rPr>
          <w:sz w:val="20"/>
          <w:szCs w:val="20"/>
        </w:rPr>
      </w:pPr>
      <w:bookmarkStart w:id="20" w:name="bookmark11"/>
      <w:bookmarkEnd w:id="20"/>
      <w:r>
        <w:rPr>
          <w:b/>
          <w:bCs/>
          <w:spacing w:val="-14"/>
          <w:sz w:val="20"/>
          <w:szCs w:val="20"/>
        </w:rPr>
        <w:t>二</w:t>
      </w:r>
      <w:r>
        <w:rPr>
          <w:spacing w:val="35"/>
          <w:sz w:val="20"/>
          <w:szCs w:val="20"/>
        </w:rPr>
        <w:t xml:space="preserve"> </w:t>
      </w:r>
      <w:r>
        <w:rPr>
          <w:b/>
          <w:bCs/>
          <w:spacing w:val="-14"/>
          <w:sz w:val="20"/>
          <w:szCs w:val="20"/>
        </w:rPr>
        <w:t>、实</w:t>
      </w:r>
      <w:r>
        <w:rPr>
          <w:spacing w:val="-14"/>
          <w:sz w:val="20"/>
          <w:szCs w:val="20"/>
        </w:rPr>
        <w:t xml:space="preserve"> </w:t>
      </w:r>
      <w:r>
        <w:rPr>
          <w:b/>
          <w:bCs/>
          <w:spacing w:val="-14"/>
          <w:sz w:val="20"/>
          <w:szCs w:val="20"/>
        </w:rPr>
        <w:t>际</w:t>
      </w:r>
      <w:r>
        <w:rPr>
          <w:spacing w:val="-14"/>
          <w:sz w:val="20"/>
          <w:szCs w:val="20"/>
        </w:rPr>
        <w:t xml:space="preserve"> </w:t>
      </w:r>
      <w:r>
        <w:rPr>
          <w:b/>
          <w:bCs/>
          <w:spacing w:val="-14"/>
          <w:sz w:val="20"/>
          <w:szCs w:val="20"/>
        </w:rPr>
        <w:t>应</w:t>
      </w:r>
      <w:r>
        <w:rPr>
          <w:spacing w:val="-4"/>
          <w:sz w:val="20"/>
          <w:szCs w:val="20"/>
        </w:rPr>
        <w:t xml:space="preserve"> </w:t>
      </w:r>
      <w:r>
        <w:rPr>
          <w:b/>
          <w:bCs/>
          <w:spacing w:val="-14"/>
          <w:sz w:val="20"/>
          <w:szCs w:val="20"/>
        </w:rPr>
        <w:t>用</w:t>
      </w:r>
    </w:p>
    <w:p w14:paraId="0F5182AD">
      <w:pPr>
        <w:spacing w:before="303" w:line="331" w:lineRule="auto"/>
        <w:ind w:left="730" w:right="59" w:firstLine="419"/>
        <w:jc w:val="both"/>
        <w:rPr>
          <w:rFonts w:ascii="宋体" w:hAnsi="宋体" w:eastAsia="宋体" w:cs="宋体"/>
          <w:sz w:val="20"/>
          <w:szCs w:val="20"/>
        </w:rPr>
      </w:pPr>
      <w:r>
        <w:rPr>
          <w:rFonts w:ascii="宋体" w:hAnsi="宋体" w:eastAsia="宋体" w:cs="宋体"/>
          <w:spacing w:val="9"/>
          <w:sz w:val="20"/>
          <w:szCs w:val="20"/>
        </w:rPr>
        <w:t>随着流行病学原理的拓展和方法的发展，其应用范围日益广泛。无论是日常的流行病学实践，</w:t>
      </w:r>
      <w:r>
        <w:rPr>
          <w:rFonts w:ascii="宋体" w:hAnsi="宋体" w:eastAsia="宋体" w:cs="宋体"/>
          <w:sz w:val="20"/>
          <w:szCs w:val="20"/>
        </w:rPr>
        <w:t xml:space="preserve"> </w:t>
      </w:r>
      <w:r>
        <w:rPr>
          <w:rFonts w:ascii="宋体" w:hAnsi="宋体" w:eastAsia="宋体" w:cs="宋体"/>
          <w:spacing w:val="8"/>
          <w:sz w:val="20"/>
          <w:szCs w:val="20"/>
        </w:rPr>
        <w:t>还是深人的科学研究，包括探索病因、疾病自然史以及对干预措施进行科学评价，归</w:t>
      </w:r>
      <w:r>
        <w:rPr>
          <w:rFonts w:ascii="宋体" w:hAnsi="宋体" w:eastAsia="宋体" w:cs="宋体"/>
          <w:spacing w:val="7"/>
          <w:sz w:val="20"/>
          <w:szCs w:val="20"/>
        </w:rPr>
        <w:t>根结底都是为</w:t>
      </w:r>
      <w:r>
        <w:rPr>
          <w:rFonts w:ascii="宋体" w:hAnsi="宋体" w:eastAsia="宋体" w:cs="宋体"/>
          <w:sz w:val="20"/>
          <w:szCs w:val="20"/>
        </w:rPr>
        <w:t xml:space="preserve"> </w:t>
      </w:r>
      <w:r>
        <w:rPr>
          <w:rFonts w:ascii="宋体" w:hAnsi="宋体" w:eastAsia="宋体" w:cs="宋体"/>
          <w:spacing w:val="8"/>
          <w:sz w:val="20"/>
          <w:szCs w:val="20"/>
        </w:rPr>
        <w:t>了预防疾病和促进健康。以下从五个方面予以概括。</w:t>
      </w:r>
    </w:p>
    <w:p w14:paraId="3224B42A">
      <w:pPr>
        <w:pStyle w:val="2"/>
        <w:spacing w:line="220" w:lineRule="auto"/>
        <w:ind w:left="1152"/>
        <w:rPr>
          <w:sz w:val="20"/>
          <w:szCs w:val="20"/>
        </w:rPr>
      </w:pPr>
      <w:r>
        <w:rPr>
          <w:b/>
          <w:bCs/>
          <w:spacing w:val="21"/>
          <w:sz w:val="20"/>
          <w:szCs w:val="20"/>
        </w:rPr>
        <w:t>(</w:t>
      </w:r>
      <w:r>
        <w:rPr>
          <w:spacing w:val="-55"/>
          <w:sz w:val="20"/>
          <w:szCs w:val="20"/>
        </w:rPr>
        <w:t xml:space="preserve"> </w:t>
      </w:r>
      <w:r>
        <w:rPr>
          <w:b/>
          <w:bCs/>
          <w:spacing w:val="21"/>
          <w:sz w:val="20"/>
          <w:szCs w:val="20"/>
        </w:rPr>
        <w:t>一)预防疾病和促进健康</w:t>
      </w:r>
    </w:p>
    <w:p w14:paraId="4D059F13">
      <w:pPr>
        <w:spacing w:before="162" w:line="327" w:lineRule="auto"/>
        <w:ind w:left="730" w:right="19" w:firstLine="419"/>
        <w:jc w:val="both"/>
        <w:rPr>
          <w:rFonts w:ascii="宋体" w:hAnsi="宋体" w:eastAsia="宋体" w:cs="宋体"/>
          <w:sz w:val="20"/>
          <w:szCs w:val="20"/>
        </w:rPr>
      </w:pPr>
      <w:r>
        <w:rPr>
          <w:rFonts w:ascii="宋体" w:hAnsi="宋体" w:eastAsia="宋体" w:cs="宋体"/>
          <w:spacing w:val="8"/>
          <w:sz w:val="20"/>
          <w:szCs w:val="20"/>
        </w:rPr>
        <w:t>流行病学的根本任务是预防疾病和促进健康。此处的“预防”是一个</w:t>
      </w:r>
      <w:r>
        <w:rPr>
          <w:rFonts w:ascii="宋体" w:hAnsi="宋体" w:eastAsia="宋体" w:cs="宋体"/>
          <w:spacing w:val="7"/>
          <w:sz w:val="20"/>
          <w:szCs w:val="20"/>
        </w:rPr>
        <w:t>广义的概念，不仅包括预</w:t>
      </w:r>
      <w:r>
        <w:rPr>
          <w:rFonts w:ascii="宋体" w:hAnsi="宋体" w:eastAsia="宋体" w:cs="宋体"/>
          <w:sz w:val="20"/>
          <w:szCs w:val="20"/>
        </w:rPr>
        <w:t xml:space="preserve">  </w:t>
      </w:r>
      <w:r>
        <w:rPr>
          <w:rFonts w:ascii="宋体" w:hAnsi="宋体" w:eastAsia="宋体" w:cs="宋体"/>
          <w:spacing w:val="8"/>
          <w:sz w:val="20"/>
          <w:szCs w:val="20"/>
        </w:rPr>
        <w:t>防疾病的发生，还包括在疾病早期的早发现、早诊断、早治疗，以增加治愈的机会或</w:t>
      </w:r>
      <w:r>
        <w:rPr>
          <w:rFonts w:ascii="宋体" w:hAnsi="宋体" w:eastAsia="宋体" w:cs="宋体"/>
          <w:spacing w:val="7"/>
          <w:sz w:val="20"/>
          <w:szCs w:val="20"/>
        </w:rPr>
        <w:t>延缓疾病的恶</w:t>
      </w:r>
      <w:r>
        <w:rPr>
          <w:rFonts w:ascii="宋体" w:hAnsi="宋体" w:eastAsia="宋体" w:cs="宋体"/>
          <w:sz w:val="20"/>
          <w:szCs w:val="20"/>
        </w:rPr>
        <w:t xml:space="preserve">  </w:t>
      </w:r>
      <w:r>
        <w:rPr>
          <w:rFonts w:ascii="宋体" w:hAnsi="宋体" w:eastAsia="宋体" w:cs="宋体"/>
          <w:spacing w:val="5"/>
          <w:sz w:val="20"/>
          <w:szCs w:val="20"/>
        </w:rPr>
        <w:t>化，并进一步预防合并症和残疾，从而提高生活质量，延长寿命。这正是疾病三级预防的核心思想。</w:t>
      </w:r>
      <w:r>
        <w:rPr>
          <w:rFonts w:ascii="宋体" w:hAnsi="宋体" w:eastAsia="宋体" w:cs="宋体"/>
          <w:spacing w:val="8"/>
          <w:sz w:val="20"/>
          <w:szCs w:val="20"/>
        </w:rPr>
        <w:t xml:space="preserve"> </w:t>
      </w:r>
      <w:r>
        <w:rPr>
          <w:rFonts w:ascii="宋体" w:hAnsi="宋体" w:eastAsia="宋体" w:cs="宋体"/>
          <w:spacing w:val="4"/>
          <w:sz w:val="20"/>
          <w:szCs w:val="20"/>
        </w:rPr>
        <w:t>此外，在人群层面针对传染病的预防工作，其目标也可以分为控制</w:t>
      </w:r>
      <w:r>
        <w:rPr>
          <w:rFonts w:ascii="Times New Roman" w:hAnsi="Times New Roman" w:eastAsia="Times New Roman" w:cs="Times New Roman"/>
          <w:spacing w:val="4"/>
          <w:sz w:val="20"/>
          <w:szCs w:val="20"/>
        </w:rPr>
        <w:t>(</w:t>
      </w:r>
      <w:r>
        <w:rPr>
          <w:rFonts w:ascii="Times New Roman" w:hAnsi="Times New Roman" w:eastAsia="Times New Roman" w:cs="Times New Roman"/>
          <w:sz w:val="20"/>
          <w:szCs w:val="20"/>
        </w:rPr>
        <w:t>control</w:t>
      </w:r>
      <w:r>
        <w:rPr>
          <w:rFonts w:ascii="Times New Roman" w:hAnsi="Times New Roman" w:eastAsia="Times New Roman" w:cs="Times New Roman"/>
          <w:spacing w:val="4"/>
          <w:sz w:val="20"/>
          <w:szCs w:val="20"/>
        </w:rPr>
        <w:t>)</w:t>
      </w:r>
      <w:r>
        <w:rPr>
          <w:rFonts w:ascii="Times New Roman" w:hAnsi="Times New Roman" w:eastAsia="Times New Roman" w:cs="Times New Roman"/>
          <w:spacing w:val="-28"/>
          <w:sz w:val="20"/>
          <w:szCs w:val="20"/>
        </w:rPr>
        <w:t xml:space="preserve"> </w:t>
      </w:r>
      <w:r>
        <w:rPr>
          <w:rFonts w:ascii="宋体" w:hAnsi="宋体" w:eastAsia="宋体" w:cs="宋体"/>
          <w:spacing w:val="4"/>
          <w:sz w:val="20"/>
          <w:szCs w:val="20"/>
        </w:rPr>
        <w:t>、消</w:t>
      </w:r>
      <w:r>
        <w:rPr>
          <w:rFonts w:ascii="宋体" w:hAnsi="宋体" w:eastAsia="宋体" w:cs="宋体"/>
          <w:spacing w:val="-18"/>
          <w:sz w:val="20"/>
          <w:szCs w:val="20"/>
        </w:rPr>
        <w:t xml:space="preserve"> </w:t>
      </w:r>
      <w:r>
        <w:rPr>
          <w:rFonts w:ascii="宋体" w:hAnsi="宋体" w:eastAsia="宋体" w:cs="宋体"/>
          <w:spacing w:val="4"/>
          <w:sz w:val="20"/>
          <w:szCs w:val="20"/>
        </w:rPr>
        <w:t>除</w:t>
      </w:r>
      <w:r>
        <w:rPr>
          <w:rFonts w:ascii="Times New Roman" w:hAnsi="Times New Roman" w:eastAsia="Times New Roman" w:cs="Times New Roman"/>
          <w:spacing w:val="4"/>
          <w:sz w:val="20"/>
          <w:szCs w:val="20"/>
        </w:rPr>
        <w:t>(</w:t>
      </w:r>
      <w:r>
        <w:rPr>
          <w:rFonts w:ascii="Times New Roman" w:hAnsi="Times New Roman" w:eastAsia="Times New Roman" w:cs="Times New Roman"/>
          <w:sz w:val="20"/>
          <w:szCs w:val="20"/>
        </w:rPr>
        <w:t>elimination</w:t>
      </w:r>
      <w:r>
        <w:rPr>
          <w:rFonts w:ascii="Times New Roman" w:hAnsi="Times New Roman" w:eastAsia="Times New Roman" w:cs="Times New Roman"/>
          <w:spacing w:val="4"/>
          <w:sz w:val="20"/>
          <w:szCs w:val="20"/>
        </w:rPr>
        <w:t>)</w:t>
      </w:r>
      <w:r>
        <w:rPr>
          <w:rFonts w:ascii="Times New Roman" w:hAnsi="Times New Roman" w:eastAsia="Times New Roman" w:cs="Times New Roman"/>
          <w:spacing w:val="-29"/>
          <w:sz w:val="20"/>
          <w:szCs w:val="20"/>
        </w:rPr>
        <w:t xml:space="preserve"> </w:t>
      </w:r>
      <w:r>
        <w:rPr>
          <w:rFonts w:ascii="宋体" w:hAnsi="宋体" w:eastAsia="宋体" w:cs="宋体"/>
          <w:spacing w:val="4"/>
          <w:sz w:val="20"/>
          <w:szCs w:val="20"/>
        </w:rPr>
        <w:t>、</w:t>
      </w:r>
      <w:r>
        <w:rPr>
          <w:rFonts w:ascii="宋体" w:hAnsi="宋体" w:eastAsia="宋体" w:cs="宋体"/>
          <w:spacing w:val="-24"/>
          <w:sz w:val="20"/>
          <w:szCs w:val="20"/>
        </w:rPr>
        <w:t xml:space="preserve"> </w:t>
      </w:r>
      <w:r>
        <w:rPr>
          <w:rFonts w:ascii="宋体" w:hAnsi="宋体" w:eastAsia="宋体" w:cs="宋体"/>
          <w:spacing w:val="4"/>
          <w:sz w:val="20"/>
          <w:szCs w:val="20"/>
        </w:rPr>
        <w:t>消</w:t>
      </w:r>
      <w:r>
        <w:rPr>
          <w:rFonts w:ascii="宋体" w:hAnsi="宋体" w:eastAsia="宋体" w:cs="宋体"/>
          <w:sz w:val="20"/>
          <w:szCs w:val="20"/>
        </w:rPr>
        <w:t xml:space="preserve">  </w:t>
      </w:r>
      <w:r>
        <w:rPr>
          <w:rFonts w:ascii="宋体" w:hAnsi="宋体" w:eastAsia="宋体" w:cs="宋体"/>
          <w:spacing w:val="7"/>
          <w:sz w:val="20"/>
          <w:szCs w:val="20"/>
        </w:rPr>
        <w:t>灭</w:t>
      </w:r>
      <w:r>
        <w:rPr>
          <w:rFonts w:ascii="Times New Roman" w:hAnsi="Times New Roman" w:eastAsia="Times New Roman" w:cs="Times New Roman"/>
          <w:spacing w:val="7"/>
          <w:sz w:val="20"/>
          <w:szCs w:val="20"/>
        </w:rPr>
        <w:t>(</w:t>
      </w:r>
      <w:r>
        <w:rPr>
          <w:rFonts w:ascii="Times New Roman" w:hAnsi="Times New Roman" w:eastAsia="Times New Roman" w:cs="Times New Roman"/>
          <w:sz w:val="20"/>
          <w:szCs w:val="20"/>
        </w:rPr>
        <w:t>eradication</w:t>
      </w:r>
      <w:r>
        <w:rPr>
          <w:rFonts w:ascii="Times New Roman" w:hAnsi="Times New Roman" w:eastAsia="Times New Roman" w:cs="Times New Roman"/>
          <w:spacing w:val="7"/>
          <w:sz w:val="20"/>
          <w:szCs w:val="20"/>
        </w:rPr>
        <w:t xml:space="preserve">)  </w:t>
      </w:r>
      <w:r>
        <w:rPr>
          <w:rFonts w:ascii="宋体" w:hAnsi="宋体" w:eastAsia="宋体" w:cs="宋体"/>
          <w:spacing w:val="7"/>
          <w:sz w:val="20"/>
          <w:szCs w:val="20"/>
        </w:rPr>
        <w:t>和灭绝</w:t>
      </w:r>
      <w:r>
        <w:rPr>
          <w:rFonts w:ascii="Times New Roman" w:hAnsi="Times New Roman" w:eastAsia="Times New Roman" w:cs="Times New Roman"/>
          <w:spacing w:val="7"/>
          <w:sz w:val="20"/>
          <w:szCs w:val="20"/>
        </w:rPr>
        <w:t>(</w:t>
      </w:r>
      <w:r>
        <w:rPr>
          <w:rFonts w:ascii="Times New Roman" w:hAnsi="Times New Roman" w:eastAsia="Times New Roman" w:cs="Times New Roman"/>
          <w:sz w:val="20"/>
          <w:szCs w:val="20"/>
        </w:rPr>
        <w:t>extinction</w:t>
      </w:r>
      <w:r>
        <w:rPr>
          <w:rFonts w:ascii="Times New Roman" w:hAnsi="Times New Roman" w:eastAsia="Times New Roman" w:cs="Times New Roman"/>
          <w:spacing w:val="7"/>
          <w:sz w:val="20"/>
          <w:szCs w:val="20"/>
        </w:rPr>
        <w:t>)</w:t>
      </w:r>
      <w:r>
        <w:rPr>
          <w:rFonts w:ascii="Times New Roman" w:hAnsi="Times New Roman" w:eastAsia="Times New Roman" w:cs="Times New Roman"/>
          <w:spacing w:val="16"/>
          <w:sz w:val="20"/>
          <w:szCs w:val="20"/>
        </w:rPr>
        <w:t xml:space="preserve">  </w:t>
      </w:r>
      <w:r>
        <w:rPr>
          <w:rFonts w:ascii="宋体" w:hAnsi="宋体" w:eastAsia="宋体" w:cs="宋体"/>
          <w:spacing w:val="7"/>
          <w:sz w:val="20"/>
          <w:szCs w:val="20"/>
        </w:rPr>
        <w:t>等不同层次。</w:t>
      </w:r>
    </w:p>
    <w:p w14:paraId="7EDA7C51">
      <w:pPr>
        <w:spacing w:before="61" w:line="333" w:lineRule="auto"/>
        <w:ind w:left="730" w:firstLine="419"/>
        <w:jc w:val="both"/>
        <w:rPr>
          <w:rFonts w:ascii="宋体" w:hAnsi="宋体" w:eastAsia="宋体" w:cs="宋体"/>
          <w:sz w:val="20"/>
          <w:szCs w:val="20"/>
        </w:rPr>
      </w:pPr>
      <w:r>
        <w:rPr>
          <w:rFonts w:ascii="宋体" w:hAnsi="宋体" w:eastAsia="宋体" w:cs="宋体"/>
          <w:spacing w:val="3"/>
          <w:sz w:val="20"/>
          <w:szCs w:val="20"/>
        </w:rPr>
        <w:t>为了有效预防疾病，需重视策略与措施的结合。策略作为总体方针，具有战略性</w:t>
      </w:r>
      <w:r>
        <w:rPr>
          <w:rFonts w:ascii="宋体" w:hAnsi="宋体" w:eastAsia="宋体" w:cs="宋体"/>
          <w:spacing w:val="2"/>
          <w:sz w:val="20"/>
          <w:szCs w:val="20"/>
        </w:rPr>
        <w:t>和全局性；而措</w:t>
      </w:r>
      <w:r>
        <w:rPr>
          <w:rFonts w:ascii="宋体" w:hAnsi="宋体" w:eastAsia="宋体" w:cs="宋体"/>
          <w:sz w:val="20"/>
          <w:szCs w:val="20"/>
        </w:rPr>
        <w:t xml:space="preserve">  </w:t>
      </w:r>
      <w:r>
        <w:rPr>
          <w:rFonts w:ascii="宋体" w:hAnsi="宋体" w:eastAsia="宋体" w:cs="宋体"/>
          <w:spacing w:val="4"/>
          <w:sz w:val="20"/>
          <w:szCs w:val="20"/>
        </w:rPr>
        <w:t>施则是具体实施的手段和方法，具有战术性和局部性。以往</w:t>
      </w:r>
      <w:r>
        <w:rPr>
          <w:rFonts w:ascii="宋体" w:hAnsi="宋体" w:eastAsia="宋体" w:cs="宋体"/>
          <w:spacing w:val="3"/>
          <w:sz w:val="20"/>
          <w:szCs w:val="20"/>
        </w:rPr>
        <w:t>，人们往往过于注重具体措施的提出与实</w:t>
      </w:r>
      <w:r>
        <w:rPr>
          <w:rFonts w:ascii="宋体" w:hAnsi="宋体" w:eastAsia="宋体" w:cs="宋体"/>
          <w:sz w:val="20"/>
          <w:szCs w:val="20"/>
        </w:rPr>
        <w:t xml:space="preserve">  </w:t>
      </w:r>
      <w:r>
        <w:rPr>
          <w:rFonts w:ascii="宋体" w:hAnsi="宋体" w:eastAsia="宋体" w:cs="宋体"/>
          <w:spacing w:val="8"/>
          <w:sz w:val="20"/>
          <w:szCs w:val="20"/>
        </w:rPr>
        <w:t>施，认为这样才能体现流行病学的实践性与应用性，却忽视了学科在制定策略层面的重要性和必要</w:t>
      </w:r>
      <w:r>
        <w:rPr>
          <w:rFonts w:ascii="宋体" w:hAnsi="宋体" w:eastAsia="宋体" w:cs="宋体"/>
          <w:spacing w:val="7"/>
          <w:sz w:val="20"/>
          <w:szCs w:val="20"/>
        </w:rPr>
        <w:t xml:space="preserve">  </w:t>
      </w:r>
      <w:r>
        <w:rPr>
          <w:rFonts w:ascii="宋体" w:hAnsi="宋体" w:eastAsia="宋体" w:cs="宋体"/>
          <w:spacing w:val="6"/>
          <w:sz w:val="20"/>
          <w:szCs w:val="20"/>
        </w:rPr>
        <w:t>性。以全球消灭天花行动为例，早期策略的重点是提高人群疫苗</w:t>
      </w:r>
      <w:r>
        <w:rPr>
          <w:rFonts w:ascii="宋体" w:hAnsi="宋体" w:eastAsia="宋体" w:cs="宋体"/>
          <w:spacing w:val="5"/>
          <w:sz w:val="20"/>
          <w:szCs w:val="20"/>
        </w:rPr>
        <w:t>接种率，但十年努力后成效不显著。</w:t>
      </w:r>
      <w:r>
        <w:rPr>
          <w:rFonts w:ascii="宋体" w:hAnsi="宋体" w:eastAsia="宋体" w:cs="宋体"/>
          <w:sz w:val="20"/>
          <w:szCs w:val="20"/>
        </w:rPr>
        <w:t xml:space="preserve"> </w:t>
      </w:r>
      <w:r>
        <w:rPr>
          <w:rFonts w:ascii="宋体" w:hAnsi="宋体" w:eastAsia="宋体" w:cs="宋体"/>
          <w:spacing w:val="5"/>
          <w:sz w:val="20"/>
          <w:szCs w:val="20"/>
        </w:rPr>
        <w:t>随后调整策略，同时加强疾病监测，并采取更具针对性的围堵</w:t>
      </w:r>
      <w:r>
        <w:rPr>
          <w:rFonts w:ascii="宋体" w:hAnsi="宋体" w:eastAsia="宋体" w:cs="宋体"/>
          <w:spacing w:val="4"/>
          <w:sz w:val="20"/>
          <w:szCs w:val="20"/>
        </w:rPr>
        <w:t>措施，最终实现了消灭天花的目标。</w:t>
      </w:r>
    </w:p>
    <w:p w14:paraId="74FFEDF3">
      <w:pPr>
        <w:pStyle w:val="2"/>
        <w:spacing w:before="33" w:line="221" w:lineRule="auto"/>
        <w:ind w:left="1152"/>
        <w:rPr>
          <w:sz w:val="20"/>
          <w:szCs w:val="20"/>
        </w:rPr>
      </w:pPr>
      <w:r>
        <w:rPr>
          <w:b/>
          <w:bCs/>
          <w:spacing w:val="24"/>
          <w:sz w:val="20"/>
          <w:szCs w:val="20"/>
        </w:rPr>
        <w:t>(二)了解疾病和健康状况的分布</w:t>
      </w:r>
    </w:p>
    <w:p w14:paraId="1D12458C">
      <w:pPr>
        <w:spacing w:before="124" w:line="333" w:lineRule="auto"/>
        <w:ind w:left="730" w:right="90" w:firstLine="419"/>
        <w:jc w:val="both"/>
        <w:rPr>
          <w:rFonts w:ascii="宋体" w:hAnsi="宋体" w:eastAsia="宋体" w:cs="宋体"/>
          <w:sz w:val="20"/>
          <w:szCs w:val="20"/>
        </w:rPr>
      </w:pPr>
      <w:r>
        <w:rPr>
          <w:rFonts w:ascii="宋体" w:hAnsi="宋体" w:eastAsia="宋体" w:cs="宋体"/>
          <w:spacing w:val="13"/>
          <w:sz w:val="20"/>
          <w:szCs w:val="20"/>
        </w:rPr>
        <w:t>公共卫生监测是了解人群中疾病与健康状况分布的重要手段，是流行病学的重要应用。其监</w:t>
      </w:r>
      <w:r>
        <w:rPr>
          <w:rFonts w:ascii="宋体" w:hAnsi="宋体" w:eastAsia="宋体" w:cs="宋体"/>
          <w:spacing w:val="18"/>
          <w:sz w:val="20"/>
          <w:szCs w:val="20"/>
        </w:rPr>
        <w:t xml:space="preserve"> </w:t>
      </w:r>
      <w:r>
        <w:rPr>
          <w:rFonts w:ascii="宋体" w:hAnsi="宋体" w:eastAsia="宋体" w:cs="宋体"/>
          <w:spacing w:val="-1"/>
          <w:sz w:val="20"/>
          <w:szCs w:val="20"/>
        </w:rPr>
        <w:t>测内容广泛，可涵盖传染病、慢性非传染性疾病、伤害、死因，以及行为危险因素、环境暴露危害、预</w:t>
      </w:r>
      <w:r>
        <w:rPr>
          <w:rFonts w:ascii="宋体" w:hAnsi="宋体" w:eastAsia="宋体" w:cs="宋体"/>
          <w:spacing w:val="2"/>
          <w:sz w:val="20"/>
          <w:szCs w:val="20"/>
        </w:rPr>
        <w:t xml:space="preserve"> </w:t>
      </w:r>
      <w:r>
        <w:rPr>
          <w:rFonts w:ascii="宋体" w:hAnsi="宋体" w:eastAsia="宋体" w:cs="宋体"/>
          <w:spacing w:val="13"/>
          <w:sz w:val="20"/>
          <w:szCs w:val="20"/>
        </w:rPr>
        <w:t>防接种状况和健康素养水平等众多方面。监测获得的信息可以反映特定地区</w:t>
      </w:r>
      <w:r>
        <w:rPr>
          <w:rFonts w:ascii="宋体" w:hAnsi="宋体" w:eastAsia="宋体" w:cs="宋体"/>
          <w:spacing w:val="12"/>
          <w:sz w:val="20"/>
          <w:szCs w:val="20"/>
        </w:rPr>
        <w:t>乃至整个国家中威胁</w:t>
      </w:r>
      <w:r>
        <w:rPr>
          <w:rFonts w:ascii="宋体" w:hAnsi="宋体" w:eastAsia="宋体" w:cs="宋体"/>
          <w:sz w:val="20"/>
          <w:szCs w:val="20"/>
        </w:rPr>
        <w:t xml:space="preserve"> </w:t>
      </w:r>
      <w:r>
        <w:rPr>
          <w:rFonts w:ascii="宋体" w:hAnsi="宋体" w:eastAsia="宋体" w:cs="宋体"/>
          <w:spacing w:val="8"/>
          <w:sz w:val="20"/>
          <w:szCs w:val="20"/>
        </w:rPr>
        <w:t>人群健康的疾病或公共卫生问题，评估当前的疾病负担，并预测未来的发展趋势。此外，这些信息</w:t>
      </w:r>
      <w:r>
        <w:rPr>
          <w:rFonts w:ascii="宋体" w:hAnsi="宋体" w:eastAsia="宋体" w:cs="宋体"/>
          <w:sz w:val="20"/>
          <w:szCs w:val="20"/>
        </w:rPr>
        <w:t xml:space="preserve"> </w:t>
      </w:r>
      <w:r>
        <w:rPr>
          <w:rFonts w:ascii="宋体" w:hAnsi="宋体" w:eastAsia="宋体" w:cs="宋体"/>
          <w:spacing w:val="13"/>
          <w:sz w:val="20"/>
          <w:szCs w:val="20"/>
        </w:rPr>
        <w:t>还为探究疾病或公共卫生问题的原因和影响因素提供重要线索，为评价公共卫生干预策略和措施</w:t>
      </w:r>
      <w:r>
        <w:rPr>
          <w:rFonts w:ascii="宋体" w:hAnsi="宋体" w:eastAsia="宋体" w:cs="宋体"/>
          <w:spacing w:val="12"/>
          <w:sz w:val="20"/>
          <w:szCs w:val="20"/>
        </w:rPr>
        <w:t xml:space="preserve"> </w:t>
      </w:r>
      <w:r>
        <w:rPr>
          <w:rFonts w:ascii="宋体" w:hAnsi="宋体" w:eastAsia="宋体" w:cs="宋体"/>
          <w:spacing w:val="6"/>
          <w:sz w:val="20"/>
          <w:szCs w:val="20"/>
        </w:rPr>
        <w:t>的效果提供有力支撑，是公共卫生政策制定的重要依据。</w:t>
      </w:r>
    </w:p>
    <w:p w14:paraId="4C411374">
      <w:pPr>
        <w:pStyle w:val="2"/>
        <w:spacing w:before="32" w:line="221" w:lineRule="auto"/>
        <w:ind w:left="1152"/>
        <w:rPr>
          <w:sz w:val="20"/>
          <w:szCs w:val="20"/>
        </w:rPr>
      </w:pPr>
      <w:r>
        <w:rPr>
          <w:b/>
          <w:bCs/>
          <w:spacing w:val="25"/>
          <w:sz w:val="20"/>
          <w:szCs w:val="20"/>
        </w:rPr>
        <w:t>(三)探索疾病病因和危险因素</w:t>
      </w:r>
    </w:p>
    <w:p w14:paraId="2A06D171">
      <w:pPr>
        <w:spacing w:before="142" w:line="333" w:lineRule="auto"/>
        <w:ind w:left="730" w:right="82" w:firstLine="419"/>
        <w:jc w:val="both"/>
        <w:rPr>
          <w:rFonts w:ascii="宋体" w:hAnsi="宋体" w:eastAsia="宋体" w:cs="宋体"/>
          <w:sz w:val="20"/>
          <w:szCs w:val="20"/>
        </w:rPr>
      </w:pPr>
      <w:r>
        <w:rPr>
          <w:rFonts w:ascii="宋体" w:hAnsi="宋体" w:eastAsia="宋体" w:cs="宋体"/>
          <w:spacing w:val="14"/>
          <w:sz w:val="20"/>
          <w:szCs w:val="20"/>
        </w:rPr>
        <w:t>明确疾病发生或流行的原因是有效预防和控制疾病危</w:t>
      </w:r>
      <w:r>
        <w:rPr>
          <w:rFonts w:ascii="宋体" w:hAnsi="宋体" w:eastAsia="宋体" w:cs="宋体"/>
          <w:spacing w:val="13"/>
          <w:sz w:val="20"/>
          <w:szCs w:val="20"/>
        </w:rPr>
        <w:t>害、促进人群健康的前提。探索疾病病</w:t>
      </w:r>
      <w:r>
        <w:rPr>
          <w:rFonts w:ascii="宋体" w:hAnsi="宋体" w:eastAsia="宋体" w:cs="宋体"/>
          <w:sz w:val="20"/>
          <w:szCs w:val="20"/>
        </w:rPr>
        <w:t xml:space="preserve"> </w:t>
      </w:r>
      <w:r>
        <w:rPr>
          <w:rFonts w:ascii="宋体" w:hAnsi="宋体" w:eastAsia="宋体" w:cs="宋体"/>
          <w:spacing w:val="13"/>
          <w:sz w:val="20"/>
          <w:szCs w:val="20"/>
        </w:rPr>
        <w:t>因和危险因素是流行病学的重要应用。疾病与其病因间的因果关系复杂多样，单因单果的病因关</w:t>
      </w:r>
      <w:r>
        <w:rPr>
          <w:rFonts w:ascii="宋体" w:hAnsi="宋体" w:eastAsia="宋体" w:cs="宋体"/>
          <w:spacing w:val="12"/>
          <w:sz w:val="20"/>
          <w:szCs w:val="20"/>
        </w:rPr>
        <w:t xml:space="preserve"> </w:t>
      </w:r>
      <w:r>
        <w:rPr>
          <w:rFonts w:ascii="宋体" w:hAnsi="宋体" w:eastAsia="宋体" w:cs="宋体"/>
          <w:spacing w:val="8"/>
          <w:sz w:val="20"/>
          <w:szCs w:val="20"/>
        </w:rPr>
        <w:t>系几乎不存在，而单因多果和多因单果的现象更为普遍。例如，吸烟是多种疾病的危险因素；而吸</w:t>
      </w:r>
      <w:r>
        <w:rPr>
          <w:rFonts w:ascii="宋体" w:hAnsi="宋体" w:eastAsia="宋体" w:cs="宋体"/>
          <w:spacing w:val="13"/>
          <w:sz w:val="20"/>
          <w:szCs w:val="20"/>
        </w:rPr>
        <w:t xml:space="preserve"> </w:t>
      </w:r>
      <w:r>
        <w:rPr>
          <w:rFonts w:ascii="宋体" w:hAnsi="宋体" w:eastAsia="宋体" w:cs="宋体"/>
          <w:spacing w:val="4"/>
          <w:sz w:val="20"/>
          <w:szCs w:val="20"/>
        </w:rPr>
        <w:t>烟、缺乏身体活动、高血压、高血脂、糖尿病等均可增</w:t>
      </w:r>
      <w:r>
        <w:rPr>
          <w:rFonts w:ascii="宋体" w:hAnsi="宋体" w:eastAsia="宋体" w:cs="宋体"/>
          <w:spacing w:val="3"/>
          <w:sz w:val="20"/>
          <w:szCs w:val="20"/>
        </w:rPr>
        <w:t>加冠心病风险。这些复杂的关系也意味着，阻</w:t>
      </w:r>
      <w:r>
        <w:rPr>
          <w:rFonts w:ascii="宋体" w:hAnsi="宋体" w:eastAsia="宋体" w:cs="宋体"/>
          <w:sz w:val="20"/>
          <w:szCs w:val="20"/>
        </w:rPr>
        <w:t xml:space="preserve"> </w:t>
      </w:r>
      <w:r>
        <w:rPr>
          <w:rFonts w:ascii="宋体" w:hAnsi="宋体" w:eastAsia="宋体" w:cs="宋体"/>
          <w:spacing w:val="13"/>
          <w:sz w:val="20"/>
          <w:szCs w:val="20"/>
        </w:rPr>
        <w:t>断或控制某一病因可预防多种疾病，而预防某一疾病可以多管齐下。即使真正的病因尚未完全明</w:t>
      </w:r>
      <w:r>
        <w:rPr>
          <w:rFonts w:ascii="宋体" w:hAnsi="宋体" w:eastAsia="宋体" w:cs="宋体"/>
          <w:spacing w:val="4"/>
          <w:sz w:val="20"/>
          <w:szCs w:val="20"/>
        </w:rPr>
        <w:t xml:space="preserve"> 确，针对已知危险因素的干预也能取得显著效果。例如，</w:t>
      </w:r>
      <w:r>
        <w:rPr>
          <w:rFonts w:ascii="宋体" w:hAnsi="宋体" w:eastAsia="宋体" w:cs="宋体"/>
          <w:spacing w:val="3"/>
          <w:sz w:val="20"/>
          <w:szCs w:val="20"/>
        </w:rPr>
        <w:t>已知吸烟、过量饮酒、缺乏身体活动、不健</w:t>
      </w:r>
      <w:r>
        <w:rPr>
          <w:rFonts w:ascii="宋体" w:hAnsi="宋体" w:eastAsia="宋体" w:cs="宋体"/>
          <w:sz w:val="20"/>
          <w:szCs w:val="20"/>
        </w:rPr>
        <w:t xml:space="preserve"> </w:t>
      </w:r>
      <w:r>
        <w:rPr>
          <w:rFonts w:ascii="宋体" w:hAnsi="宋体" w:eastAsia="宋体" w:cs="宋体"/>
          <w:spacing w:val="4"/>
          <w:sz w:val="20"/>
          <w:szCs w:val="20"/>
        </w:rPr>
        <w:t>康饮食习惯、大气污染暴露等是心血管疾病、慢性呼吸系统疾病、恶性肿瘤、</w:t>
      </w:r>
      <w:r>
        <w:rPr>
          <w:rFonts w:ascii="宋体" w:hAnsi="宋体" w:eastAsia="宋体" w:cs="宋体"/>
          <w:spacing w:val="3"/>
          <w:sz w:val="20"/>
          <w:szCs w:val="20"/>
        </w:rPr>
        <w:t>糖尿病等慢性病的共同</w:t>
      </w:r>
      <w:r>
        <w:rPr>
          <w:rFonts w:ascii="宋体" w:hAnsi="宋体" w:eastAsia="宋体" w:cs="宋体"/>
          <w:sz w:val="20"/>
          <w:szCs w:val="20"/>
        </w:rPr>
        <w:t xml:space="preserve"> </w:t>
      </w:r>
      <w:r>
        <w:rPr>
          <w:rFonts w:ascii="宋体" w:hAnsi="宋体" w:eastAsia="宋体" w:cs="宋体"/>
          <w:spacing w:val="8"/>
          <w:sz w:val="20"/>
          <w:szCs w:val="20"/>
        </w:rPr>
        <w:t>危险因素，如能有效控制，可显著降低人群疾病负担。但流行病学研究并不拘泥于寻找病因，若发</w:t>
      </w:r>
      <w:r>
        <w:rPr>
          <w:rFonts w:ascii="宋体" w:hAnsi="宋体" w:eastAsia="宋体" w:cs="宋体"/>
          <w:spacing w:val="13"/>
          <w:sz w:val="20"/>
          <w:szCs w:val="20"/>
        </w:rPr>
        <w:t xml:space="preserve"> </w:t>
      </w:r>
      <w:r>
        <w:rPr>
          <w:rFonts w:ascii="宋体" w:hAnsi="宋体" w:eastAsia="宋体" w:cs="宋体"/>
          <w:spacing w:val="4"/>
          <w:sz w:val="20"/>
          <w:szCs w:val="20"/>
        </w:rPr>
        <w:t>现一些关联因素，如人口学、社会经济特征等，虽非直接</w:t>
      </w:r>
      <w:r>
        <w:rPr>
          <w:rFonts w:ascii="宋体" w:hAnsi="宋体" w:eastAsia="宋体" w:cs="宋体"/>
          <w:spacing w:val="3"/>
          <w:sz w:val="20"/>
          <w:szCs w:val="20"/>
        </w:rPr>
        <w:t>因果关系，但有助于确定公共卫生干预的优</w:t>
      </w:r>
      <w:r>
        <w:rPr>
          <w:rFonts w:ascii="宋体" w:hAnsi="宋体" w:eastAsia="宋体" w:cs="宋体"/>
          <w:sz w:val="20"/>
          <w:szCs w:val="20"/>
        </w:rPr>
        <w:t xml:space="preserve"> </w:t>
      </w:r>
      <w:r>
        <w:rPr>
          <w:rFonts w:ascii="宋体" w:hAnsi="宋体" w:eastAsia="宋体" w:cs="宋体"/>
          <w:spacing w:val="6"/>
          <w:sz w:val="20"/>
          <w:szCs w:val="20"/>
        </w:rPr>
        <w:t>先人群，对解决疾病防控问题同样具有重要意义。</w:t>
      </w:r>
    </w:p>
    <w:p w14:paraId="66CF70DA">
      <w:pPr>
        <w:spacing w:line="333" w:lineRule="auto"/>
        <w:rPr>
          <w:rFonts w:ascii="宋体" w:hAnsi="宋体" w:eastAsia="宋体" w:cs="宋体"/>
          <w:sz w:val="20"/>
          <w:szCs w:val="20"/>
        </w:rPr>
        <w:sectPr>
          <w:footerReference r:id="rId36" w:type="default"/>
          <w:pgSz w:w="11900" w:h="16820"/>
          <w:pgMar w:top="400" w:right="1400" w:bottom="819" w:left="719" w:header="0" w:footer="639" w:gutter="0"/>
          <w:cols w:space="720" w:num="1"/>
        </w:sectPr>
      </w:pPr>
    </w:p>
    <w:p w14:paraId="304971A2">
      <w:pPr>
        <w:spacing w:line="329" w:lineRule="auto"/>
        <w:rPr>
          <w:rFonts w:ascii="Arial"/>
          <w:sz w:val="21"/>
        </w:rPr>
      </w:pPr>
    </w:p>
    <w:p w14:paraId="5496B00E">
      <w:pPr>
        <w:pStyle w:val="2"/>
        <w:spacing w:before="65" w:line="222" w:lineRule="auto"/>
        <w:ind w:left="8170"/>
        <w:rPr>
          <w:sz w:val="20"/>
          <w:szCs w:val="20"/>
        </w:rPr>
      </w:pPr>
      <w:bookmarkStart w:id="21" w:name="bookmark408"/>
      <w:bookmarkEnd w:id="21"/>
      <w:r>
        <w:rPr>
          <w:spacing w:val="-12"/>
          <w:sz w:val="20"/>
          <w:szCs w:val="20"/>
        </w:rPr>
        <w:t>第一章</w:t>
      </w:r>
      <w:r>
        <w:rPr>
          <w:spacing w:val="45"/>
          <w:sz w:val="20"/>
          <w:szCs w:val="20"/>
        </w:rPr>
        <w:t xml:space="preserve"> </w:t>
      </w:r>
      <w:r>
        <w:rPr>
          <w:spacing w:val="-12"/>
          <w:sz w:val="20"/>
          <w:szCs w:val="20"/>
        </w:rPr>
        <w:t>绪论</w:t>
      </w:r>
    </w:p>
    <w:p w14:paraId="5BD50A55">
      <w:pPr>
        <w:spacing w:line="267" w:lineRule="auto"/>
        <w:rPr>
          <w:rFonts w:ascii="Arial"/>
          <w:sz w:val="21"/>
        </w:rPr>
      </w:pPr>
    </w:p>
    <w:p w14:paraId="59AABF33">
      <w:pPr>
        <w:spacing w:line="267" w:lineRule="auto"/>
        <w:rPr>
          <w:rFonts w:ascii="Arial"/>
          <w:sz w:val="21"/>
        </w:rPr>
      </w:pPr>
    </w:p>
    <w:p w14:paraId="26E13DF8">
      <w:pPr>
        <w:spacing w:before="65" w:line="331" w:lineRule="auto"/>
        <w:ind w:right="623" w:firstLine="430"/>
        <w:jc w:val="both"/>
        <w:rPr>
          <w:rFonts w:ascii="宋体" w:hAnsi="宋体" w:eastAsia="宋体" w:cs="宋体"/>
          <w:sz w:val="20"/>
          <w:szCs w:val="20"/>
        </w:rPr>
      </w:pPr>
      <w:r>
        <w:rPr>
          <w:rFonts w:ascii="宋体" w:hAnsi="宋体" w:eastAsia="宋体" w:cs="宋体"/>
          <w:spacing w:val="15"/>
          <w:sz w:val="20"/>
          <w:szCs w:val="20"/>
        </w:rPr>
        <w:t>此外，流行病学在突发或短期多发的群体性“不明原因”疾病或中毒事件的</w:t>
      </w:r>
      <w:r>
        <w:rPr>
          <w:rFonts w:ascii="宋体" w:hAnsi="宋体" w:eastAsia="宋体" w:cs="宋体"/>
          <w:spacing w:val="14"/>
          <w:sz w:val="20"/>
          <w:szCs w:val="20"/>
        </w:rPr>
        <w:t>调查中也发挥着重</w:t>
      </w:r>
      <w:r>
        <w:rPr>
          <w:rFonts w:ascii="宋体" w:hAnsi="宋体" w:eastAsia="宋体" w:cs="宋体"/>
          <w:sz w:val="20"/>
          <w:szCs w:val="20"/>
        </w:rPr>
        <w:t xml:space="preserve"> </w:t>
      </w:r>
      <w:r>
        <w:rPr>
          <w:rFonts w:ascii="宋体" w:hAnsi="宋体" w:eastAsia="宋体" w:cs="宋体"/>
          <w:spacing w:val="15"/>
          <w:sz w:val="20"/>
          <w:szCs w:val="20"/>
        </w:rPr>
        <w:t>要作用。运用流行病学的思维与方法，结合临床检查和检验，以及食品、饮水和环</w:t>
      </w:r>
      <w:r>
        <w:rPr>
          <w:rFonts w:ascii="宋体" w:hAnsi="宋体" w:eastAsia="宋体" w:cs="宋体"/>
          <w:spacing w:val="14"/>
          <w:sz w:val="20"/>
          <w:szCs w:val="20"/>
        </w:rPr>
        <w:t>境卫生危害因素</w:t>
      </w:r>
      <w:r>
        <w:rPr>
          <w:rFonts w:ascii="宋体" w:hAnsi="宋体" w:eastAsia="宋体" w:cs="宋体"/>
          <w:sz w:val="20"/>
          <w:szCs w:val="20"/>
        </w:rPr>
        <w:t xml:space="preserve"> </w:t>
      </w:r>
      <w:r>
        <w:rPr>
          <w:rFonts w:ascii="宋体" w:hAnsi="宋体" w:eastAsia="宋体" w:cs="宋体"/>
          <w:spacing w:val="19"/>
          <w:sz w:val="20"/>
          <w:szCs w:val="20"/>
        </w:rPr>
        <w:t>评估等手段，多数此类公共卫生事件最终都能找到原因。这类实例很多，</w:t>
      </w:r>
      <w:r>
        <w:rPr>
          <w:rFonts w:ascii="宋体" w:hAnsi="宋体" w:eastAsia="宋体" w:cs="宋体"/>
          <w:spacing w:val="18"/>
          <w:sz w:val="20"/>
          <w:szCs w:val="20"/>
        </w:rPr>
        <w:t>如1972年桑毛虫导致的</w:t>
      </w:r>
      <w:r>
        <w:rPr>
          <w:rFonts w:ascii="宋体" w:hAnsi="宋体" w:eastAsia="宋体" w:cs="宋体"/>
          <w:sz w:val="20"/>
          <w:szCs w:val="20"/>
        </w:rPr>
        <w:t xml:space="preserve"> </w:t>
      </w:r>
      <w:r>
        <w:rPr>
          <w:rFonts w:ascii="宋体" w:hAnsi="宋体" w:eastAsia="宋体" w:cs="宋体"/>
          <w:spacing w:val="17"/>
          <w:sz w:val="20"/>
          <w:szCs w:val="20"/>
        </w:rPr>
        <w:t>皮炎流行事件等。</w:t>
      </w:r>
    </w:p>
    <w:p w14:paraId="11523F53">
      <w:pPr>
        <w:pStyle w:val="2"/>
        <w:spacing w:before="1" w:line="220" w:lineRule="auto"/>
        <w:ind w:left="433"/>
        <w:rPr>
          <w:sz w:val="24"/>
          <w:szCs w:val="24"/>
        </w:rPr>
      </w:pPr>
      <w:r>
        <w:rPr>
          <w:b/>
          <w:bCs/>
          <w:spacing w:val="-2"/>
          <w:sz w:val="24"/>
          <w:szCs w:val="24"/>
        </w:rPr>
        <w:t>(四)观察疾病自然史</w:t>
      </w:r>
    </w:p>
    <w:p w14:paraId="66FD2202">
      <w:pPr>
        <w:spacing w:before="115" w:line="333" w:lineRule="auto"/>
        <w:ind w:right="611" w:firstLine="430"/>
        <w:jc w:val="both"/>
        <w:rPr>
          <w:rFonts w:ascii="宋体" w:hAnsi="宋体" w:eastAsia="宋体" w:cs="宋体"/>
          <w:sz w:val="20"/>
          <w:szCs w:val="20"/>
        </w:rPr>
      </w:pPr>
      <w:r>
        <w:rPr>
          <w:rFonts w:ascii="宋体" w:hAnsi="宋体" w:eastAsia="宋体" w:cs="宋体"/>
          <w:spacing w:val="15"/>
          <w:sz w:val="20"/>
          <w:szCs w:val="20"/>
        </w:rPr>
        <w:t>疾病自然史是指在没有治疗或干预的情况下，疾病在个体中发生、发展的全过程，通常包括易</w:t>
      </w:r>
      <w:r>
        <w:rPr>
          <w:rFonts w:ascii="宋体" w:hAnsi="宋体" w:eastAsia="宋体" w:cs="宋体"/>
          <w:spacing w:val="5"/>
          <w:sz w:val="20"/>
          <w:szCs w:val="20"/>
        </w:rPr>
        <w:t xml:space="preserve"> </w:t>
      </w:r>
      <w:r>
        <w:rPr>
          <w:rFonts w:ascii="宋体" w:hAnsi="宋体" w:eastAsia="宋体" w:cs="宋体"/>
          <w:spacing w:val="10"/>
          <w:sz w:val="20"/>
          <w:szCs w:val="20"/>
        </w:rPr>
        <w:t>感期、临床前期、临床期和康复期。尽管个体间存在差异，且可能受到预防和治疗措施的影</w:t>
      </w:r>
      <w:r>
        <w:rPr>
          <w:rFonts w:ascii="宋体" w:hAnsi="宋体" w:eastAsia="宋体" w:cs="宋体"/>
          <w:spacing w:val="9"/>
          <w:sz w:val="20"/>
          <w:szCs w:val="20"/>
        </w:rPr>
        <w:t>响，但许</w:t>
      </w:r>
      <w:r>
        <w:rPr>
          <w:rFonts w:ascii="宋体" w:hAnsi="宋体" w:eastAsia="宋体" w:cs="宋体"/>
          <w:sz w:val="20"/>
          <w:szCs w:val="20"/>
        </w:rPr>
        <w:t xml:space="preserve"> </w:t>
      </w:r>
      <w:r>
        <w:rPr>
          <w:rFonts w:ascii="宋体" w:hAnsi="宋体" w:eastAsia="宋体" w:cs="宋体"/>
          <w:spacing w:val="19"/>
          <w:sz w:val="20"/>
          <w:szCs w:val="20"/>
        </w:rPr>
        <w:t>多疾病仍具有独特的自然史特征。此外，长期随访观察某些生理指标(如血压)从儿童期到成年期</w:t>
      </w:r>
      <w:r>
        <w:rPr>
          <w:rFonts w:ascii="宋体" w:hAnsi="宋体" w:eastAsia="宋体" w:cs="宋体"/>
          <w:spacing w:val="4"/>
          <w:sz w:val="20"/>
          <w:szCs w:val="20"/>
        </w:rPr>
        <w:t xml:space="preserve"> </w:t>
      </w:r>
      <w:r>
        <w:rPr>
          <w:rFonts w:ascii="宋体" w:hAnsi="宋体" w:eastAsia="宋体" w:cs="宋体"/>
          <w:spacing w:val="20"/>
          <w:sz w:val="20"/>
          <w:szCs w:val="20"/>
        </w:rPr>
        <w:t>的变化轨迹及其影响因素，也属于自然史研究的范畴。此类研究对于全面认识疾病自然史</w:t>
      </w:r>
      <w:r>
        <w:rPr>
          <w:rFonts w:ascii="宋体" w:hAnsi="宋体" w:eastAsia="宋体" w:cs="宋体"/>
          <w:spacing w:val="19"/>
          <w:sz w:val="20"/>
          <w:szCs w:val="20"/>
        </w:rPr>
        <w:t>中的预</w:t>
      </w:r>
      <w:r>
        <w:rPr>
          <w:rFonts w:ascii="宋体" w:hAnsi="宋体" w:eastAsia="宋体" w:cs="宋体"/>
          <w:sz w:val="20"/>
          <w:szCs w:val="20"/>
        </w:rPr>
        <w:t xml:space="preserve"> </w:t>
      </w:r>
      <w:r>
        <w:rPr>
          <w:rFonts w:ascii="宋体" w:hAnsi="宋体" w:eastAsia="宋体" w:cs="宋体"/>
          <w:spacing w:val="16"/>
          <w:sz w:val="20"/>
          <w:szCs w:val="20"/>
        </w:rPr>
        <w:t>防机会至关重要。疾病的三级预防正是基于疾病自然史的特征而</w:t>
      </w:r>
      <w:r>
        <w:rPr>
          <w:rFonts w:ascii="宋体" w:hAnsi="宋体" w:eastAsia="宋体" w:cs="宋体"/>
          <w:spacing w:val="15"/>
          <w:sz w:val="20"/>
          <w:szCs w:val="20"/>
        </w:rPr>
        <w:t>进行的划分。</w:t>
      </w:r>
    </w:p>
    <w:p w14:paraId="172E7849">
      <w:pPr>
        <w:pStyle w:val="2"/>
        <w:spacing w:before="32" w:line="221" w:lineRule="auto"/>
        <w:ind w:left="432"/>
        <w:rPr>
          <w:sz w:val="20"/>
          <w:szCs w:val="20"/>
        </w:rPr>
      </w:pPr>
      <w:r>
        <w:rPr>
          <w:b/>
          <w:bCs/>
          <w:spacing w:val="30"/>
          <w:sz w:val="20"/>
          <w:szCs w:val="20"/>
        </w:rPr>
        <w:t>(五)评价疾病防治措施的效果</w:t>
      </w:r>
    </w:p>
    <w:p w14:paraId="5141E615">
      <w:pPr>
        <w:spacing w:before="94" w:line="333" w:lineRule="auto"/>
        <w:ind w:right="643" w:firstLine="430"/>
        <w:jc w:val="both"/>
        <w:rPr>
          <w:rFonts w:ascii="宋体" w:hAnsi="宋体" w:eastAsia="宋体" w:cs="宋体"/>
          <w:sz w:val="20"/>
          <w:szCs w:val="20"/>
        </w:rPr>
      </w:pPr>
      <w:r>
        <w:rPr>
          <w:rFonts w:ascii="宋体" w:hAnsi="宋体" w:eastAsia="宋体" w:cs="宋体"/>
          <w:spacing w:val="20"/>
          <w:sz w:val="20"/>
          <w:szCs w:val="20"/>
        </w:rPr>
        <w:t>防治疾病及促进健康的措施是否安全有效，需经过流行病学研</w:t>
      </w:r>
      <w:r>
        <w:rPr>
          <w:rFonts w:ascii="宋体" w:hAnsi="宋体" w:eastAsia="宋体" w:cs="宋体"/>
          <w:spacing w:val="19"/>
          <w:sz w:val="20"/>
          <w:szCs w:val="20"/>
        </w:rPr>
        <w:t>究的评价。无论是疫苗还是预</w:t>
      </w:r>
      <w:r>
        <w:rPr>
          <w:rFonts w:ascii="宋体" w:hAnsi="宋体" w:eastAsia="宋体" w:cs="宋体"/>
          <w:sz w:val="20"/>
          <w:szCs w:val="20"/>
        </w:rPr>
        <w:t xml:space="preserve"> </w:t>
      </w:r>
      <w:r>
        <w:rPr>
          <w:rFonts w:ascii="宋体" w:hAnsi="宋体" w:eastAsia="宋体" w:cs="宋体"/>
          <w:spacing w:val="14"/>
          <w:sz w:val="20"/>
          <w:szCs w:val="20"/>
        </w:rPr>
        <w:t>防或治疗性药物，上市前均需通过临床试验评估其效果和安全性，并在上市后继续在大规模社区人</w:t>
      </w:r>
      <w:r>
        <w:rPr>
          <w:rFonts w:ascii="宋体" w:hAnsi="宋体" w:eastAsia="宋体" w:cs="宋体"/>
          <w:spacing w:val="15"/>
          <w:sz w:val="20"/>
          <w:szCs w:val="20"/>
        </w:rPr>
        <w:t xml:space="preserve"> </w:t>
      </w:r>
      <w:r>
        <w:rPr>
          <w:rFonts w:ascii="宋体" w:hAnsi="宋体" w:eastAsia="宋体" w:cs="宋体"/>
          <w:spacing w:val="14"/>
          <w:sz w:val="20"/>
          <w:szCs w:val="20"/>
        </w:rPr>
        <w:t>群中进行长期观察。对于计划在社区实施的干预措施，如饮水加氟预防龋齿，用富钾低钠盐替代普</w:t>
      </w:r>
      <w:r>
        <w:rPr>
          <w:rFonts w:ascii="宋体" w:hAnsi="宋体" w:eastAsia="宋体" w:cs="宋体"/>
          <w:spacing w:val="15"/>
          <w:sz w:val="20"/>
          <w:szCs w:val="20"/>
        </w:rPr>
        <w:t xml:space="preserve"> </w:t>
      </w:r>
      <w:r>
        <w:rPr>
          <w:rFonts w:ascii="宋体" w:hAnsi="宋体" w:eastAsia="宋体" w:cs="宋体"/>
          <w:spacing w:val="13"/>
          <w:sz w:val="20"/>
          <w:szCs w:val="20"/>
        </w:rPr>
        <w:t>通盐以预防高血压和心血管事件，同样需采用流行病学实验方法进行评价。</w:t>
      </w:r>
    </w:p>
    <w:p w14:paraId="66480DA7">
      <w:pPr>
        <w:spacing w:line="263" w:lineRule="auto"/>
        <w:rPr>
          <w:rFonts w:ascii="Arial"/>
          <w:sz w:val="21"/>
        </w:rPr>
      </w:pPr>
    </w:p>
    <w:p w14:paraId="36AD2A8B">
      <w:pPr>
        <w:pStyle w:val="2"/>
        <w:spacing w:before="101" w:line="221" w:lineRule="auto"/>
        <w:ind w:left="2804"/>
        <w:outlineLvl w:val="1"/>
        <w:rPr>
          <w:sz w:val="31"/>
          <w:szCs w:val="31"/>
        </w:rPr>
      </w:pPr>
      <w:bookmarkStart w:id="22" w:name="bookmark12"/>
      <w:bookmarkEnd w:id="22"/>
      <w:r>
        <w:rPr>
          <w:b/>
          <w:bCs/>
          <w:spacing w:val="-6"/>
          <w:sz w:val="31"/>
          <w:szCs w:val="31"/>
        </w:rPr>
        <w:t>第四节</w:t>
      </w:r>
      <w:r>
        <w:rPr>
          <w:spacing w:val="120"/>
          <w:sz w:val="31"/>
          <w:szCs w:val="31"/>
        </w:rPr>
        <w:t xml:space="preserve"> </w:t>
      </w:r>
      <w:r>
        <w:rPr>
          <w:b/>
          <w:bCs/>
          <w:spacing w:val="-6"/>
          <w:sz w:val="31"/>
          <w:szCs w:val="31"/>
        </w:rPr>
        <w:t>流行病学研究方法</w:t>
      </w:r>
    </w:p>
    <w:p w14:paraId="2855D420">
      <w:pPr>
        <w:spacing w:line="281" w:lineRule="auto"/>
        <w:rPr>
          <w:rFonts w:ascii="Arial"/>
          <w:sz w:val="21"/>
        </w:rPr>
      </w:pPr>
    </w:p>
    <w:p w14:paraId="49BEADA7">
      <w:pPr>
        <w:spacing w:before="66" w:line="342" w:lineRule="auto"/>
        <w:ind w:right="532" w:firstLine="430"/>
        <w:jc w:val="both"/>
        <w:rPr>
          <w:rFonts w:ascii="宋体" w:hAnsi="宋体" w:eastAsia="宋体" w:cs="宋体"/>
          <w:sz w:val="20"/>
          <w:szCs w:val="20"/>
        </w:rPr>
      </w:pPr>
      <w:r>
        <w:rPr>
          <w:rFonts w:ascii="宋体" w:hAnsi="宋体" w:eastAsia="宋体" w:cs="宋体"/>
          <w:spacing w:val="20"/>
          <w:sz w:val="20"/>
          <w:szCs w:val="20"/>
        </w:rPr>
        <w:t>流行病学既是一门应用学科，也是逻辑性很强的科学研究方法。它以医学为主的多学科知识</w:t>
      </w:r>
      <w:r>
        <w:rPr>
          <w:rFonts w:ascii="宋体" w:hAnsi="宋体" w:eastAsia="宋体" w:cs="宋体"/>
          <w:spacing w:val="5"/>
          <w:sz w:val="20"/>
          <w:szCs w:val="20"/>
        </w:rPr>
        <w:t xml:space="preserve">  </w:t>
      </w:r>
      <w:r>
        <w:rPr>
          <w:rFonts w:ascii="宋体" w:hAnsi="宋体" w:eastAsia="宋体" w:cs="宋体"/>
          <w:spacing w:val="10"/>
          <w:sz w:val="20"/>
          <w:szCs w:val="20"/>
        </w:rPr>
        <w:t>为依据，通过观察、询问、检测等手段，调查人群中的疾病与健康状况，描述其频率与分布</w:t>
      </w:r>
      <w:r>
        <w:rPr>
          <w:rFonts w:ascii="宋体" w:hAnsi="宋体" w:eastAsia="宋体" w:cs="宋体"/>
          <w:spacing w:val="9"/>
          <w:sz w:val="20"/>
          <w:szCs w:val="20"/>
        </w:rPr>
        <w:t>特征，通</w:t>
      </w:r>
      <w:r>
        <w:rPr>
          <w:rFonts w:ascii="宋体" w:hAnsi="宋体" w:eastAsia="宋体" w:cs="宋体"/>
          <w:sz w:val="20"/>
          <w:szCs w:val="20"/>
        </w:rPr>
        <w:t xml:space="preserve">  </w:t>
      </w:r>
      <w:r>
        <w:rPr>
          <w:rFonts w:ascii="宋体" w:hAnsi="宋体" w:eastAsia="宋体" w:cs="宋体"/>
          <w:spacing w:val="12"/>
          <w:sz w:val="20"/>
          <w:szCs w:val="20"/>
        </w:rPr>
        <w:t>过归纳、综合与分析提出假说，进而采用分析性研究对假说进行检验，最终通过实验研究加以证实。</w:t>
      </w:r>
      <w:r>
        <w:rPr>
          <w:rFonts w:ascii="宋体" w:hAnsi="宋体" w:eastAsia="宋体" w:cs="宋体"/>
          <w:sz w:val="20"/>
          <w:szCs w:val="20"/>
        </w:rPr>
        <w:t xml:space="preserve"> </w:t>
      </w:r>
      <w:r>
        <w:rPr>
          <w:rFonts w:ascii="宋体" w:hAnsi="宋体" w:eastAsia="宋体" w:cs="宋体"/>
          <w:spacing w:val="15"/>
          <w:sz w:val="20"/>
          <w:szCs w:val="20"/>
        </w:rPr>
        <w:t>在深入理解疾病发生规律的基础上，流行病学</w:t>
      </w:r>
      <w:r>
        <w:rPr>
          <w:rFonts w:ascii="宋体" w:hAnsi="宋体" w:eastAsia="宋体" w:cs="宋体"/>
          <w:spacing w:val="14"/>
          <w:sz w:val="20"/>
          <w:szCs w:val="20"/>
        </w:rPr>
        <w:t>可进一步运用数学模型预测疾病趋势。</w:t>
      </w:r>
    </w:p>
    <w:p w14:paraId="1E721AB5">
      <w:pPr>
        <w:spacing w:before="6" w:line="332" w:lineRule="auto"/>
        <w:ind w:right="596" w:firstLine="430"/>
        <w:jc w:val="both"/>
        <w:rPr>
          <w:rFonts w:ascii="宋体" w:hAnsi="宋体" w:eastAsia="宋体" w:cs="宋体"/>
          <w:sz w:val="20"/>
          <w:szCs w:val="20"/>
        </w:rPr>
      </w:pPr>
      <w:r>
        <w:rPr>
          <w:rFonts w:ascii="宋体" w:hAnsi="宋体" w:eastAsia="宋体" w:cs="宋体"/>
          <w:spacing w:val="16"/>
          <w:sz w:val="20"/>
          <w:szCs w:val="20"/>
        </w:rPr>
        <w:t>如前所述，流行病学研究主要采用观察法、实</w:t>
      </w:r>
      <w:r>
        <w:rPr>
          <w:rFonts w:ascii="宋体" w:hAnsi="宋体" w:eastAsia="宋体" w:cs="宋体"/>
          <w:spacing w:val="15"/>
          <w:sz w:val="20"/>
          <w:szCs w:val="20"/>
        </w:rPr>
        <w:t>验法和数理法。其中，观察法根据是否预设对照</w:t>
      </w:r>
      <w:r>
        <w:rPr>
          <w:rFonts w:ascii="宋体" w:hAnsi="宋体" w:eastAsia="宋体" w:cs="宋体"/>
          <w:sz w:val="20"/>
          <w:szCs w:val="20"/>
        </w:rPr>
        <w:t xml:space="preserve"> </w:t>
      </w:r>
      <w:r>
        <w:rPr>
          <w:rFonts w:ascii="宋体" w:hAnsi="宋体" w:eastAsia="宋体" w:cs="宋体"/>
          <w:spacing w:val="15"/>
          <w:sz w:val="20"/>
          <w:szCs w:val="20"/>
        </w:rPr>
        <w:t>组，可进一步区分为描述性研究和分析性研究。据此，流行病学研究按设计类型可分</w:t>
      </w:r>
      <w:r>
        <w:rPr>
          <w:rFonts w:ascii="宋体" w:hAnsi="宋体" w:eastAsia="宋体" w:cs="宋体"/>
          <w:spacing w:val="14"/>
          <w:sz w:val="20"/>
          <w:szCs w:val="20"/>
        </w:rPr>
        <w:t>为四大类：描</w:t>
      </w:r>
      <w:r>
        <w:rPr>
          <w:rFonts w:ascii="宋体" w:hAnsi="宋体" w:eastAsia="宋体" w:cs="宋体"/>
          <w:sz w:val="20"/>
          <w:szCs w:val="20"/>
        </w:rPr>
        <w:t xml:space="preserve"> </w:t>
      </w:r>
      <w:r>
        <w:rPr>
          <w:rFonts w:ascii="宋体" w:hAnsi="宋体" w:eastAsia="宋体" w:cs="宋体"/>
          <w:spacing w:val="15"/>
          <w:sz w:val="20"/>
          <w:szCs w:val="20"/>
        </w:rPr>
        <w:t>述流行病学、分析流行病学、实验流行病学和理论流行病学。每种类型中又包含</w:t>
      </w:r>
      <w:r>
        <w:rPr>
          <w:rFonts w:ascii="宋体" w:hAnsi="宋体" w:eastAsia="宋体" w:cs="宋体"/>
          <w:spacing w:val="14"/>
          <w:sz w:val="20"/>
          <w:szCs w:val="20"/>
        </w:rPr>
        <w:t>多种具体的研究设</w:t>
      </w:r>
      <w:r>
        <w:rPr>
          <w:rFonts w:ascii="宋体" w:hAnsi="宋体" w:eastAsia="宋体" w:cs="宋体"/>
          <w:sz w:val="20"/>
          <w:szCs w:val="20"/>
        </w:rPr>
        <w:t xml:space="preserve"> </w:t>
      </w:r>
      <w:r>
        <w:rPr>
          <w:rFonts w:ascii="宋体" w:hAnsi="宋体" w:eastAsia="宋体" w:cs="宋体"/>
          <w:spacing w:val="10"/>
          <w:sz w:val="20"/>
          <w:szCs w:val="20"/>
        </w:rPr>
        <w:t>计。描述流行病学旨在描述疾病或健康状况的分布特征，揭示现象并为病因研究提供线索，</w:t>
      </w:r>
      <w:r>
        <w:rPr>
          <w:rFonts w:ascii="宋体" w:hAnsi="宋体" w:eastAsia="宋体" w:cs="宋体"/>
          <w:spacing w:val="9"/>
          <w:sz w:val="20"/>
          <w:szCs w:val="20"/>
        </w:rPr>
        <w:t>即提出假</w:t>
      </w:r>
      <w:r>
        <w:rPr>
          <w:rFonts w:ascii="宋体" w:hAnsi="宋体" w:eastAsia="宋体" w:cs="宋体"/>
          <w:sz w:val="20"/>
          <w:szCs w:val="20"/>
        </w:rPr>
        <w:t xml:space="preserve"> </w:t>
      </w:r>
      <w:r>
        <w:rPr>
          <w:rFonts w:ascii="宋体" w:hAnsi="宋体" w:eastAsia="宋体" w:cs="宋体"/>
          <w:spacing w:val="10"/>
          <w:sz w:val="20"/>
          <w:szCs w:val="20"/>
        </w:rPr>
        <w:t>设；分析流行病学主要负责检验科研假设；实验流行病学则着重于验证或确证假设。每种方法</w:t>
      </w:r>
      <w:r>
        <w:rPr>
          <w:rFonts w:ascii="宋体" w:hAnsi="宋体" w:eastAsia="宋体" w:cs="宋体"/>
          <w:spacing w:val="9"/>
          <w:sz w:val="20"/>
          <w:szCs w:val="20"/>
        </w:rPr>
        <w:t>各有其</w:t>
      </w:r>
      <w:r>
        <w:rPr>
          <w:rFonts w:ascii="宋体" w:hAnsi="宋体" w:eastAsia="宋体" w:cs="宋体"/>
          <w:sz w:val="20"/>
          <w:szCs w:val="20"/>
        </w:rPr>
        <w:t xml:space="preserve"> </w:t>
      </w:r>
      <w:r>
        <w:rPr>
          <w:rFonts w:ascii="宋体" w:hAnsi="宋体" w:eastAsia="宋体" w:cs="宋体"/>
          <w:spacing w:val="16"/>
          <w:sz w:val="20"/>
          <w:szCs w:val="20"/>
        </w:rPr>
        <w:t>适用性和优缺点。图1-1展示了本书重点介绍的研究设计，相</w:t>
      </w:r>
      <w:r>
        <w:rPr>
          <w:rFonts w:ascii="宋体" w:hAnsi="宋体" w:eastAsia="宋体" w:cs="宋体"/>
          <w:spacing w:val="15"/>
          <w:sz w:val="20"/>
          <w:szCs w:val="20"/>
        </w:rPr>
        <w:t>关内容将在第三至六章中详细阐述。</w:t>
      </w:r>
    </w:p>
    <w:p w14:paraId="726E1B10">
      <w:pPr>
        <w:spacing w:line="216" w:lineRule="exact"/>
      </w:pPr>
    </w:p>
    <w:tbl>
      <w:tblPr>
        <w:tblStyle w:val="5"/>
        <w:tblW w:w="8338" w:type="dxa"/>
        <w:tblInd w:w="43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0" w:type="dxa"/>
          <w:left w:w="0" w:type="dxa"/>
          <w:bottom w:w="0" w:type="dxa"/>
          <w:right w:w="0" w:type="dxa"/>
        </w:tblCellMar>
      </w:tblPr>
      <w:tblGrid>
        <w:gridCol w:w="970"/>
        <w:gridCol w:w="2580"/>
        <w:gridCol w:w="3580"/>
        <w:gridCol w:w="1208"/>
      </w:tblGrid>
      <w:tr w14:paraId="3D7E6DE8">
        <w:trPr>
          <w:trHeight w:val="1621" w:hRule="atLeast"/>
        </w:trPr>
        <w:tc>
          <w:tcPr>
            <w:tcW w:w="970" w:type="dxa"/>
            <w:vAlign w:val="top"/>
          </w:tcPr>
          <w:p w14:paraId="52E71C90">
            <w:pPr>
              <w:rPr>
                <w:rFonts w:ascii="Arial"/>
                <w:sz w:val="21"/>
              </w:rPr>
            </w:pPr>
          </w:p>
        </w:tc>
        <w:tc>
          <w:tcPr>
            <w:tcW w:w="2580" w:type="dxa"/>
            <w:vAlign w:val="top"/>
          </w:tcPr>
          <w:p w14:paraId="1E8A4A00">
            <w:pPr>
              <w:spacing w:line="384" w:lineRule="auto"/>
              <w:rPr>
                <w:rFonts w:ascii="Arial"/>
                <w:sz w:val="21"/>
              </w:rPr>
            </w:pPr>
          </w:p>
          <w:p w14:paraId="095E23F4">
            <w:pPr>
              <w:pStyle w:val="6"/>
              <w:spacing w:before="65" w:line="220" w:lineRule="auto"/>
              <w:ind w:left="1229"/>
            </w:pPr>
            <w:r>
              <w:rPr>
                <w:spacing w:val="-17"/>
                <w:w w:val="97"/>
              </w:rPr>
              <w:t>描述流行病学一</w:t>
            </w:r>
          </w:p>
          <w:p w14:paraId="33B14045">
            <w:pPr>
              <w:spacing w:line="284" w:lineRule="auto"/>
              <w:rPr>
                <w:rFonts w:ascii="Arial"/>
                <w:sz w:val="21"/>
              </w:rPr>
            </w:pPr>
          </w:p>
          <w:p w14:paraId="501870C8">
            <w:pPr>
              <w:pStyle w:val="6"/>
              <w:spacing w:before="65" w:line="219" w:lineRule="auto"/>
              <w:ind w:left="249"/>
            </w:pPr>
            <w:r>
              <w:rPr>
                <w:spacing w:val="-17"/>
              </w:rPr>
              <w:t>观察法一</w:t>
            </w:r>
          </w:p>
        </w:tc>
        <w:tc>
          <w:tcPr>
            <w:tcW w:w="3580" w:type="dxa"/>
            <w:vAlign w:val="top"/>
          </w:tcPr>
          <w:p w14:paraId="09E37945">
            <w:pPr>
              <w:pStyle w:val="6"/>
              <w:spacing w:line="218" w:lineRule="auto"/>
              <w:ind w:left="139"/>
            </w:pPr>
            <w:r>
              <w:rPr>
                <w:spacing w:val="-14"/>
              </w:rPr>
              <w:t>现况研究</w:t>
            </w:r>
          </w:p>
          <w:p w14:paraId="29383738">
            <w:pPr>
              <w:pStyle w:val="6"/>
              <w:spacing w:before="232" w:line="219" w:lineRule="auto"/>
              <w:ind w:left="139"/>
            </w:pPr>
            <w:r>
              <w:rPr>
                <w:spacing w:val="-15"/>
              </w:rPr>
              <w:t>生态学研究</w:t>
            </w:r>
          </w:p>
          <w:p w14:paraId="650D48C7">
            <w:pPr>
              <w:pStyle w:val="6"/>
              <w:spacing w:before="232" w:line="310" w:lineRule="auto"/>
              <w:ind w:left="139" w:right="479"/>
            </w:pPr>
            <w:r>
              <w:rPr>
                <w:spacing w:val="-15"/>
              </w:rPr>
              <w:t>其他(如病例报告、病例系列分析等)</w:t>
            </w:r>
            <w:r>
              <w:rPr>
                <w:spacing w:val="14"/>
              </w:rPr>
              <w:t xml:space="preserve"> </w:t>
            </w:r>
            <w:r>
              <w:rPr>
                <w:spacing w:val="-19"/>
              </w:rPr>
              <w:t>病例对照研究</w:t>
            </w:r>
          </w:p>
        </w:tc>
        <w:tc>
          <w:tcPr>
            <w:tcW w:w="1208" w:type="dxa"/>
            <w:vAlign w:val="top"/>
          </w:tcPr>
          <w:p w14:paraId="3A575ACB">
            <w:pPr>
              <w:spacing w:line="412" w:lineRule="auto"/>
              <w:rPr>
                <w:rFonts w:ascii="Arial"/>
                <w:sz w:val="21"/>
              </w:rPr>
            </w:pPr>
          </w:p>
          <w:p w14:paraId="48A2F208">
            <w:pPr>
              <w:pStyle w:val="6"/>
              <w:spacing w:before="65" w:line="219" w:lineRule="auto"/>
              <w:jc w:val="right"/>
            </w:pPr>
            <w:r>
              <w:rPr>
                <w:spacing w:val="-20"/>
                <w:w w:val="99"/>
              </w:rPr>
              <w:t>产</w:t>
            </w:r>
            <w:r>
              <w:rPr>
                <w:spacing w:val="-19"/>
                <w:w w:val="99"/>
              </w:rPr>
              <w:t>生假</w:t>
            </w:r>
            <w:r>
              <w:rPr>
                <w:spacing w:val="-10"/>
                <w:w w:val="99"/>
              </w:rPr>
              <w:t>设</w:t>
            </w:r>
          </w:p>
        </w:tc>
      </w:tr>
      <w:tr w14:paraId="0DEB1411">
        <w:trPr>
          <w:trHeight w:val="249" w:hRule="atLeast"/>
        </w:trPr>
        <w:tc>
          <w:tcPr>
            <w:tcW w:w="970" w:type="dxa"/>
            <w:vAlign w:val="top"/>
          </w:tcPr>
          <w:p w14:paraId="3385DA5D">
            <w:pPr>
              <w:spacing w:line="238" w:lineRule="exact"/>
              <w:rPr>
                <w:rFonts w:ascii="Arial"/>
                <w:sz w:val="20"/>
              </w:rPr>
            </w:pPr>
          </w:p>
        </w:tc>
        <w:tc>
          <w:tcPr>
            <w:tcW w:w="2580" w:type="dxa"/>
            <w:vAlign w:val="top"/>
          </w:tcPr>
          <w:p w14:paraId="760EF9A4">
            <w:pPr>
              <w:pStyle w:val="6"/>
              <w:spacing w:before="10" w:line="211" w:lineRule="auto"/>
              <w:ind w:left="1199"/>
            </w:pPr>
            <w:r>
              <w:rPr>
                <w:spacing w:val="-19"/>
              </w:rPr>
              <w:t>分析流行病学一</w:t>
            </w:r>
          </w:p>
        </w:tc>
        <w:tc>
          <w:tcPr>
            <w:tcW w:w="3580" w:type="dxa"/>
            <w:vAlign w:val="top"/>
          </w:tcPr>
          <w:p w14:paraId="66EF2C1A">
            <w:pPr>
              <w:spacing w:line="238" w:lineRule="exact"/>
              <w:rPr>
                <w:rFonts w:ascii="Arial"/>
                <w:sz w:val="20"/>
              </w:rPr>
            </w:pPr>
          </w:p>
        </w:tc>
        <w:tc>
          <w:tcPr>
            <w:tcW w:w="1208" w:type="dxa"/>
            <w:vAlign w:val="top"/>
          </w:tcPr>
          <w:p w14:paraId="0F6729DC">
            <w:pPr>
              <w:pStyle w:val="6"/>
              <w:spacing w:before="38" w:line="185" w:lineRule="auto"/>
              <w:jc w:val="right"/>
            </w:pPr>
            <w:r>
              <w:rPr>
                <w:spacing w:val="-17"/>
                <w:w w:val="98"/>
              </w:rPr>
              <w:t>检验</w:t>
            </w:r>
            <w:r>
              <w:rPr>
                <w:spacing w:val="-16"/>
                <w:w w:val="98"/>
              </w:rPr>
              <w:t>假</w:t>
            </w:r>
            <w:r>
              <w:rPr>
                <w:spacing w:val="-10"/>
                <w:w w:val="98"/>
              </w:rPr>
              <w:t>设</w:t>
            </w:r>
          </w:p>
        </w:tc>
      </w:tr>
      <w:tr w14:paraId="4369CAE1">
        <w:trPr>
          <w:trHeight w:val="205" w:hRule="atLeast"/>
        </w:trPr>
        <w:tc>
          <w:tcPr>
            <w:tcW w:w="970" w:type="dxa"/>
            <w:vAlign w:val="top"/>
          </w:tcPr>
          <w:p w14:paraId="7DE55B0C">
            <w:pPr>
              <w:spacing w:line="195" w:lineRule="exact"/>
              <w:rPr>
                <w:rFonts w:ascii="Arial"/>
                <w:sz w:val="16"/>
              </w:rPr>
            </w:pPr>
          </w:p>
        </w:tc>
        <w:tc>
          <w:tcPr>
            <w:tcW w:w="2580" w:type="dxa"/>
            <w:vAlign w:val="top"/>
          </w:tcPr>
          <w:p w14:paraId="10B203DC">
            <w:pPr>
              <w:spacing w:line="195" w:lineRule="exact"/>
              <w:rPr>
                <w:rFonts w:ascii="Arial"/>
                <w:sz w:val="16"/>
              </w:rPr>
            </w:pPr>
          </w:p>
        </w:tc>
        <w:tc>
          <w:tcPr>
            <w:tcW w:w="3580" w:type="dxa"/>
            <w:vAlign w:val="top"/>
          </w:tcPr>
          <w:p w14:paraId="106AC4EB">
            <w:pPr>
              <w:pStyle w:val="6"/>
              <w:spacing w:before="9" w:line="171" w:lineRule="auto"/>
              <w:ind w:left="139"/>
            </w:pPr>
            <w:r>
              <w:rPr>
                <w:spacing w:val="-14"/>
              </w:rPr>
              <w:t>队列研究</w:t>
            </w:r>
          </w:p>
        </w:tc>
        <w:tc>
          <w:tcPr>
            <w:tcW w:w="1208" w:type="dxa"/>
            <w:vAlign w:val="top"/>
          </w:tcPr>
          <w:p w14:paraId="6BDB7EA1">
            <w:pPr>
              <w:spacing w:line="195" w:lineRule="exact"/>
              <w:rPr>
                <w:rFonts w:ascii="Arial"/>
                <w:sz w:val="16"/>
              </w:rPr>
            </w:pPr>
          </w:p>
        </w:tc>
      </w:tr>
      <w:tr w14:paraId="51A0858E">
        <w:trPr>
          <w:trHeight w:val="469" w:hRule="atLeast"/>
        </w:trPr>
        <w:tc>
          <w:tcPr>
            <w:tcW w:w="970" w:type="dxa"/>
            <w:vAlign w:val="top"/>
          </w:tcPr>
          <w:p w14:paraId="3D21997F">
            <w:pPr>
              <w:pStyle w:val="6"/>
              <w:spacing w:line="199" w:lineRule="auto"/>
              <w:ind w:right="250"/>
              <w:rPr>
                <w:sz w:val="19"/>
                <w:szCs w:val="19"/>
              </w:rPr>
            </w:pPr>
            <w:r>
              <w:rPr>
                <w:spacing w:val="-11"/>
                <w:sz w:val="19"/>
                <w:szCs w:val="19"/>
              </w:rPr>
              <w:t>流行病学</w:t>
            </w:r>
            <w:r>
              <w:rPr>
                <w:spacing w:val="2"/>
                <w:sz w:val="19"/>
                <w:szCs w:val="19"/>
              </w:rPr>
              <w:t xml:space="preserve"> </w:t>
            </w:r>
            <w:r>
              <w:rPr>
                <w:spacing w:val="-14"/>
                <w:sz w:val="19"/>
                <w:szCs w:val="19"/>
              </w:rPr>
              <w:t>研究方法</w:t>
            </w:r>
          </w:p>
        </w:tc>
        <w:tc>
          <w:tcPr>
            <w:tcW w:w="2580" w:type="dxa"/>
            <w:vAlign w:val="top"/>
          </w:tcPr>
          <w:p w14:paraId="793BF3E3">
            <w:pPr>
              <w:rPr>
                <w:rFonts w:ascii="Arial"/>
                <w:sz w:val="21"/>
              </w:rPr>
            </w:pPr>
          </w:p>
        </w:tc>
        <w:tc>
          <w:tcPr>
            <w:tcW w:w="3580" w:type="dxa"/>
            <w:vAlign w:val="top"/>
          </w:tcPr>
          <w:p w14:paraId="2D613242">
            <w:pPr>
              <w:pStyle w:val="6"/>
              <w:spacing w:before="106" w:line="219" w:lineRule="auto"/>
              <w:ind w:left="139"/>
            </w:pPr>
            <w:r>
              <w:rPr>
                <w:spacing w:val="-14"/>
              </w:rPr>
              <w:t>临床试验</w:t>
            </w:r>
          </w:p>
        </w:tc>
        <w:tc>
          <w:tcPr>
            <w:tcW w:w="1208" w:type="dxa"/>
            <w:vAlign w:val="top"/>
          </w:tcPr>
          <w:p w14:paraId="60265EA9">
            <w:pPr>
              <w:rPr>
                <w:rFonts w:ascii="Arial"/>
                <w:sz w:val="21"/>
              </w:rPr>
            </w:pPr>
          </w:p>
        </w:tc>
      </w:tr>
      <w:tr w14:paraId="2C466382">
        <w:trPr>
          <w:trHeight w:val="786" w:hRule="atLeast"/>
        </w:trPr>
        <w:tc>
          <w:tcPr>
            <w:tcW w:w="970" w:type="dxa"/>
            <w:vAlign w:val="top"/>
          </w:tcPr>
          <w:p w14:paraId="40C75D74">
            <w:pPr>
              <w:rPr>
                <w:rFonts w:ascii="Arial"/>
                <w:sz w:val="21"/>
              </w:rPr>
            </w:pPr>
          </w:p>
        </w:tc>
        <w:tc>
          <w:tcPr>
            <w:tcW w:w="2580" w:type="dxa"/>
            <w:vAlign w:val="top"/>
          </w:tcPr>
          <w:p w14:paraId="6A421810">
            <w:pPr>
              <w:pStyle w:val="6"/>
              <w:spacing w:before="106" w:line="309" w:lineRule="auto"/>
              <w:ind w:left="249" w:right="139"/>
            </w:pPr>
            <w:r>
              <w:rPr>
                <w:spacing w:val="-15"/>
                <w:w w:val="98"/>
              </w:rPr>
              <w:t>实验法——实验流行病学一</w:t>
            </w:r>
            <w:r>
              <w:rPr>
                <w:spacing w:val="17"/>
              </w:rPr>
              <w:t xml:space="preserve"> </w:t>
            </w:r>
            <w:r>
              <w:rPr>
                <w:spacing w:val="-12"/>
              </w:rPr>
              <w:t>数理法——理论流行病学</w:t>
            </w:r>
          </w:p>
        </w:tc>
        <w:tc>
          <w:tcPr>
            <w:tcW w:w="3580" w:type="dxa"/>
            <w:vAlign w:val="top"/>
          </w:tcPr>
          <w:p w14:paraId="514F42D1">
            <w:pPr>
              <w:spacing w:before="175" w:line="177" w:lineRule="auto"/>
              <w:ind w:left="139"/>
              <w:rPr>
                <w:rFonts w:ascii="LiSu" w:hAnsi="LiSu" w:eastAsia="LiSu" w:cs="LiSu"/>
                <w:sz w:val="20"/>
                <w:szCs w:val="20"/>
              </w:rPr>
            </w:pPr>
            <w:r>
              <w:rPr>
                <w:rFonts w:ascii="LiSu" w:hAnsi="LiSu" w:eastAsia="LiSu" w:cs="LiSu"/>
                <w:spacing w:val="-7"/>
                <w:w w:val="96"/>
                <w:sz w:val="20"/>
                <w:szCs w:val="20"/>
              </w:rPr>
              <w:t>现场试验</w:t>
            </w:r>
          </w:p>
          <w:p w14:paraId="21BFC297">
            <w:pPr>
              <w:pStyle w:val="6"/>
              <w:spacing w:before="219" w:line="175" w:lineRule="auto"/>
              <w:ind w:left="139"/>
            </w:pPr>
            <w:r>
              <w:rPr>
                <w:spacing w:val="-14"/>
              </w:rPr>
              <w:t>社区试验</w:t>
            </w:r>
          </w:p>
        </w:tc>
        <w:tc>
          <w:tcPr>
            <w:tcW w:w="1208" w:type="dxa"/>
            <w:vAlign w:val="top"/>
          </w:tcPr>
          <w:p w14:paraId="7D0EDB59">
            <w:pPr>
              <w:pStyle w:val="6"/>
              <w:spacing w:before="95" w:line="219" w:lineRule="auto"/>
              <w:jc w:val="right"/>
            </w:pPr>
            <w:r>
              <w:rPr>
                <w:spacing w:val="-17"/>
                <w:w w:val="98"/>
              </w:rPr>
              <w:t>确证</w:t>
            </w:r>
            <w:r>
              <w:rPr>
                <w:spacing w:val="-16"/>
                <w:w w:val="98"/>
              </w:rPr>
              <w:t>假</w:t>
            </w:r>
            <w:r>
              <w:rPr>
                <w:spacing w:val="-10"/>
                <w:w w:val="98"/>
              </w:rPr>
              <w:t>设</w:t>
            </w:r>
          </w:p>
        </w:tc>
      </w:tr>
    </w:tbl>
    <w:p w14:paraId="3A60668F">
      <w:pPr>
        <w:pStyle w:val="2"/>
        <w:spacing w:before="179" w:line="221" w:lineRule="auto"/>
        <w:ind w:left="2720"/>
        <w:rPr>
          <w:sz w:val="20"/>
          <w:szCs w:val="20"/>
        </w:rPr>
      </w:pPr>
      <w:r>
        <w:rPr>
          <w:spacing w:val="2"/>
          <w:sz w:val="20"/>
          <w:szCs w:val="20"/>
        </w:rPr>
        <w:t>图1-1</w:t>
      </w:r>
      <w:r>
        <w:rPr>
          <w:spacing w:val="64"/>
          <w:sz w:val="20"/>
          <w:szCs w:val="20"/>
        </w:rPr>
        <w:t xml:space="preserve"> </w:t>
      </w:r>
      <w:r>
        <w:rPr>
          <w:spacing w:val="2"/>
          <w:sz w:val="20"/>
          <w:szCs w:val="20"/>
        </w:rPr>
        <w:t>流行病学研究方法(按设计类型分类)</w:t>
      </w:r>
    </w:p>
    <w:p w14:paraId="0E22D436">
      <w:pPr>
        <w:spacing w:line="221" w:lineRule="auto"/>
        <w:rPr>
          <w:sz w:val="20"/>
          <w:szCs w:val="20"/>
        </w:rPr>
        <w:sectPr>
          <w:headerReference r:id="rId37" w:type="default"/>
          <w:footerReference r:id="rId38" w:type="default"/>
          <w:pgSz w:w="11900" w:h="16820"/>
          <w:pgMar w:top="400" w:right="727" w:bottom="877" w:left="1309" w:header="0" w:footer="699" w:gutter="0"/>
          <w:cols w:space="720" w:num="1"/>
        </w:sectPr>
      </w:pPr>
    </w:p>
    <w:p w14:paraId="1C8A9BC8">
      <w:pPr>
        <w:pStyle w:val="2"/>
        <w:spacing w:before="86" w:line="222" w:lineRule="auto"/>
        <w:ind w:left="709"/>
        <w:rPr>
          <w:sz w:val="20"/>
          <w:szCs w:val="20"/>
        </w:rPr>
      </w:pPr>
      <w:r>
        <w:rPr>
          <w:spacing w:val="-15"/>
          <w:w w:val="97"/>
          <w:sz w:val="20"/>
          <w:szCs w:val="20"/>
        </w:rPr>
        <w:t>第一章</w:t>
      </w:r>
      <w:r>
        <w:rPr>
          <w:spacing w:val="33"/>
          <w:sz w:val="20"/>
          <w:szCs w:val="20"/>
        </w:rPr>
        <w:t xml:space="preserve"> </w:t>
      </w:r>
      <w:r>
        <w:rPr>
          <w:spacing w:val="-15"/>
          <w:w w:val="97"/>
          <w:sz w:val="20"/>
          <w:szCs w:val="20"/>
        </w:rPr>
        <w:t>绪论</w:t>
      </w:r>
    </w:p>
    <w:p w14:paraId="0BF39121">
      <w:pPr>
        <w:spacing w:line="288" w:lineRule="auto"/>
        <w:rPr>
          <w:rFonts w:ascii="Arial"/>
          <w:sz w:val="21"/>
        </w:rPr>
      </w:pPr>
    </w:p>
    <w:p w14:paraId="3784397B">
      <w:pPr>
        <w:spacing w:line="288" w:lineRule="auto"/>
        <w:rPr>
          <w:rFonts w:ascii="Arial"/>
          <w:sz w:val="21"/>
        </w:rPr>
      </w:pPr>
    </w:p>
    <w:p w14:paraId="7B7795EE">
      <w:pPr>
        <w:spacing w:line="289" w:lineRule="auto"/>
        <w:rPr>
          <w:rFonts w:ascii="Arial"/>
          <w:sz w:val="21"/>
        </w:rPr>
      </w:pPr>
    </w:p>
    <w:p w14:paraId="3FD6DA99">
      <w:pPr>
        <w:pStyle w:val="2"/>
        <w:spacing w:before="97" w:line="221" w:lineRule="auto"/>
        <w:ind w:left="3634"/>
        <w:outlineLvl w:val="1"/>
      </w:pPr>
      <w:bookmarkStart w:id="23" w:name="bookmark13"/>
      <w:bookmarkEnd w:id="23"/>
      <w:r>
        <w:rPr>
          <w:b/>
          <w:bCs/>
          <w:spacing w:val="-16"/>
        </w:rPr>
        <w:t>第五节</w:t>
      </w:r>
      <w:r>
        <w:rPr>
          <w:spacing w:val="111"/>
        </w:rPr>
        <w:t xml:space="preserve"> </w:t>
      </w:r>
      <w:r>
        <w:rPr>
          <w:b/>
          <w:bCs/>
          <w:spacing w:val="-16"/>
        </w:rPr>
        <w:t>流行病学特征</w:t>
      </w:r>
    </w:p>
    <w:p w14:paraId="24640C9C">
      <w:pPr>
        <w:spacing w:line="375" w:lineRule="auto"/>
        <w:rPr>
          <w:rFonts w:ascii="Arial"/>
          <w:sz w:val="21"/>
        </w:rPr>
      </w:pPr>
    </w:p>
    <w:p w14:paraId="3BA75B88">
      <w:pPr>
        <w:spacing w:before="65" w:line="219" w:lineRule="auto"/>
        <w:ind w:left="1130"/>
        <w:rPr>
          <w:rFonts w:ascii="宋体" w:hAnsi="宋体" w:eastAsia="宋体" w:cs="宋体"/>
          <w:sz w:val="20"/>
          <w:szCs w:val="20"/>
        </w:rPr>
      </w:pPr>
      <w:r>
        <w:rPr>
          <w:rFonts w:ascii="宋体" w:hAnsi="宋体" w:eastAsia="宋体" w:cs="宋体"/>
          <w:sz w:val="20"/>
          <w:szCs w:val="20"/>
        </w:rPr>
        <w:t>流行病学作为医学科学的基础学科和方法学，其学</w:t>
      </w:r>
      <w:r>
        <w:rPr>
          <w:rFonts w:ascii="宋体" w:hAnsi="宋体" w:eastAsia="宋体" w:cs="宋体"/>
          <w:spacing w:val="-1"/>
          <w:sz w:val="20"/>
          <w:szCs w:val="20"/>
        </w:rPr>
        <w:t>术体系体现出以下特征。</w:t>
      </w:r>
    </w:p>
    <w:p w14:paraId="13DFC1FA">
      <w:pPr>
        <w:pStyle w:val="2"/>
        <w:spacing w:before="129" w:line="221" w:lineRule="auto"/>
        <w:ind w:left="1132"/>
        <w:rPr>
          <w:sz w:val="20"/>
          <w:szCs w:val="20"/>
        </w:rPr>
      </w:pPr>
      <w:r>
        <w:rPr>
          <w:b/>
          <w:bCs/>
          <w:spacing w:val="13"/>
          <w:sz w:val="20"/>
          <w:szCs w:val="20"/>
        </w:rPr>
        <w:t>(</w:t>
      </w:r>
      <w:r>
        <w:rPr>
          <w:spacing w:val="-51"/>
          <w:sz w:val="20"/>
          <w:szCs w:val="20"/>
        </w:rPr>
        <w:t xml:space="preserve"> </w:t>
      </w:r>
      <w:r>
        <w:rPr>
          <w:b/>
          <w:bCs/>
          <w:spacing w:val="13"/>
          <w:sz w:val="20"/>
          <w:szCs w:val="20"/>
        </w:rPr>
        <w:t>一</w:t>
      </w:r>
      <w:r>
        <w:rPr>
          <w:spacing w:val="-58"/>
          <w:sz w:val="20"/>
          <w:szCs w:val="20"/>
        </w:rPr>
        <w:t xml:space="preserve"> </w:t>
      </w:r>
      <w:r>
        <w:rPr>
          <w:b/>
          <w:bCs/>
          <w:spacing w:val="13"/>
          <w:sz w:val="20"/>
          <w:szCs w:val="20"/>
        </w:rPr>
        <w:t>)群体的特征</w:t>
      </w:r>
    </w:p>
    <w:p w14:paraId="72D0D8C7">
      <w:pPr>
        <w:spacing w:before="133" w:line="348" w:lineRule="auto"/>
        <w:ind w:left="709" w:right="50" w:firstLine="420"/>
        <w:jc w:val="both"/>
        <w:rPr>
          <w:rFonts w:ascii="宋体" w:hAnsi="宋体" w:eastAsia="宋体" w:cs="宋体"/>
          <w:sz w:val="20"/>
          <w:szCs w:val="20"/>
        </w:rPr>
      </w:pPr>
      <w:r>
        <w:rPr>
          <w:rFonts w:ascii="宋体" w:hAnsi="宋体" w:eastAsia="宋体" w:cs="宋体"/>
          <w:spacing w:val="1"/>
          <w:sz w:val="20"/>
          <w:szCs w:val="20"/>
        </w:rPr>
        <w:t>流行病学专注于研究人群中的疾病现象与健康状况，从人群的各</w:t>
      </w:r>
      <w:r>
        <w:rPr>
          <w:rFonts w:ascii="宋体" w:hAnsi="宋体" w:eastAsia="宋体" w:cs="宋体"/>
          <w:sz w:val="20"/>
          <w:szCs w:val="20"/>
        </w:rPr>
        <w:t xml:space="preserve">种分布现象人手，将分布作为 </w:t>
      </w:r>
      <w:r>
        <w:rPr>
          <w:rFonts w:ascii="宋体" w:hAnsi="宋体" w:eastAsia="宋体" w:cs="宋体"/>
          <w:spacing w:val="5"/>
          <w:sz w:val="20"/>
          <w:szCs w:val="20"/>
        </w:rPr>
        <w:t>研究所有问题的起点。流行病学不是局限于个人的患病与治疗问题，更非聚焦于疾病在器官和分</w:t>
      </w:r>
      <w:r>
        <w:rPr>
          <w:rFonts w:ascii="宋体" w:hAnsi="宋体" w:eastAsia="宋体" w:cs="宋体"/>
          <w:spacing w:val="17"/>
          <w:sz w:val="20"/>
          <w:szCs w:val="20"/>
        </w:rPr>
        <w:t xml:space="preserve"> </w:t>
      </w:r>
      <w:r>
        <w:rPr>
          <w:rFonts w:ascii="宋体" w:hAnsi="宋体" w:eastAsia="宋体" w:cs="宋体"/>
          <w:spacing w:val="-2"/>
          <w:sz w:val="20"/>
          <w:szCs w:val="20"/>
        </w:rPr>
        <w:t>子水平的表现，而是始终聚焦于人群中的问题。</w:t>
      </w:r>
    </w:p>
    <w:p w14:paraId="0BF10C34">
      <w:pPr>
        <w:spacing w:before="1" w:line="342" w:lineRule="auto"/>
        <w:ind w:left="709" w:right="51" w:firstLine="420"/>
        <w:jc w:val="both"/>
        <w:rPr>
          <w:rFonts w:ascii="宋体" w:hAnsi="宋体" w:eastAsia="宋体" w:cs="宋体"/>
          <w:sz w:val="20"/>
          <w:szCs w:val="20"/>
        </w:rPr>
      </w:pPr>
      <w:r>
        <w:rPr>
          <w:rFonts w:ascii="宋体" w:hAnsi="宋体" w:eastAsia="宋体" w:cs="宋体"/>
          <w:spacing w:val="6"/>
          <w:sz w:val="20"/>
          <w:szCs w:val="20"/>
        </w:rPr>
        <w:t>人群构成了社会，这是人与其他高等动物的根本区别。人群的</w:t>
      </w:r>
      <w:r>
        <w:rPr>
          <w:rFonts w:ascii="宋体" w:hAnsi="宋体" w:eastAsia="宋体" w:cs="宋体"/>
          <w:spacing w:val="5"/>
          <w:sz w:val="20"/>
          <w:szCs w:val="20"/>
        </w:rPr>
        <w:t>疾病与健康现象不可避免地受</w:t>
      </w:r>
      <w:r>
        <w:rPr>
          <w:rFonts w:ascii="宋体" w:hAnsi="宋体" w:eastAsia="宋体" w:cs="宋体"/>
          <w:sz w:val="20"/>
          <w:szCs w:val="20"/>
        </w:rPr>
        <w:t xml:space="preserve"> </w:t>
      </w:r>
      <w:r>
        <w:rPr>
          <w:rFonts w:ascii="宋体" w:hAnsi="宋体" w:eastAsia="宋体" w:cs="宋体"/>
          <w:spacing w:val="1"/>
          <w:sz w:val="20"/>
          <w:szCs w:val="20"/>
        </w:rPr>
        <w:t>到社会因素的影响，因此在研究其分布时，必须考虑职业、居</w:t>
      </w:r>
      <w:r>
        <w:rPr>
          <w:rFonts w:ascii="宋体" w:hAnsi="宋体" w:eastAsia="宋体" w:cs="宋体"/>
          <w:sz w:val="20"/>
          <w:szCs w:val="20"/>
        </w:rPr>
        <w:t xml:space="preserve">住地点等社会特征的分布。在资料分 </w:t>
      </w:r>
      <w:r>
        <w:rPr>
          <w:rFonts w:ascii="宋体" w:hAnsi="宋体" w:eastAsia="宋体" w:cs="宋体"/>
          <w:spacing w:val="1"/>
          <w:sz w:val="20"/>
          <w:szCs w:val="20"/>
        </w:rPr>
        <w:t>析时，同样需关注生活习惯、社会经历、经济条件等因素的</w:t>
      </w:r>
      <w:r>
        <w:rPr>
          <w:rFonts w:ascii="宋体" w:hAnsi="宋体" w:eastAsia="宋体" w:cs="宋体"/>
          <w:sz w:val="20"/>
          <w:szCs w:val="20"/>
        </w:rPr>
        <w:t xml:space="preserve">影响。流行病学借鉴了社会学的研究方 </w:t>
      </w:r>
      <w:r>
        <w:rPr>
          <w:rFonts w:ascii="宋体" w:hAnsi="宋体" w:eastAsia="宋体" w:cs="宋体"/>
          <w:spacing w:val="-4"/>
          <w:sz w:val="20"/>
          <w:szCs w:val="20"/>
        </w:rPr>
        <w:t>法，如非概率性抽样、问卷设计及其技巧、定性分析方法等。在决策和采取措施时，更常运用社会手</w:t>
      </w:r>
      <w:r>
        <w:rPr>
          <w:rFonts w:ascii="宋体" w:hAnsi="宋体" w:eastAsia="宋体" w:cs="宋体"/>
          <w:spacing w:val="3"/>
          <w:sz w:val="20"/>
          <w:szCs w:val="20"/>
        </w:rPr>
        <w:t xml:space="preserve"> </w:t>
      </w:r>
      <w:r>
        <w:rPr>
          <w:rFonts w:ascii="宋体" w:hAnsi="宋体" w:eastAsia="宋体" w:cs="宋体"/>
          <w:spacing w:val="-4"/>
          <w:sz w:val="20"/>
          <w:szCs w:val="20"/>
        </w:rPr>
        <w:t>段，如加强宣传教育、改善生活与经济条件、改进卫生设施及医疗保健服务等。因此，流行病学是医</w:t>
      </w:r>
      <w:r>
        <w:rPr>
          <w:rFonts w:ascii="宋体" w:hAnsi="宋体" w:eastAsia="宋体" w:cs="宋体"/>
          <w:spacing w:val="7"/>
          <w:sz w:val="20"/>
          <w:szCs w:val="20"/>
        </w:rPr>
        <w:t xml:space="preserve"> </w:t>
      </w:r>
      <w:r>
        <w:rPr>
          <w:rFonts w:ascii="宋体" w:hAnsi="宋体" w:eastAsia="宋体" w:cs="宋体"/>
          <w:spacing w:val="3"/>
          <w:sz w:val="20"/>
          <w:szCs w:val="20"/>
        </w:rPr>
        <w:t>学领域中融合了诸多社会因素的一门学科。</w:t>
      </w:r>
    </w:p>
    <w:p w14:paraId="0BFBD80C">
      <w:pPr>
        <w:pStyle w:val="2"/>
        <w:spacing w:before="32" w:line="221" w:lineRule="auto"/>
        <w:ind w:left="1132"/>
        <w:rPr>
          <w:sz w:val="20"/>
          <w:szCs w:val="20"/>
        </w:rPr>
      </w:pPr>
      <w:r>
        <w:rPr>
          <w:b/>
          <w:bCs/>
          <w:spacing w:val="24"/>
          <w:sz w:val="20"/>
          <w:szCs w:val="20"/>
        </w:rPr>
        <w:t>(二)对比的特征</w:t>
      </w:r>
    </w:p>
    <w:p w14:paraId="64CD914C">
      <w:pPr>
        <w:spacing w:before="153" w:line="342" w:lineRule="auto"/>
        <w:ind w:left="709" w:right="51" w:firstLine="420"/>
        <w:jc w:val="both"/>
        <w:rPr>
          <w:rFonts w:ascii="宋体" w:hAnsi="宋体" w:eastAsia="宋体" w:cs="宋体"/>
          <w:sz w:val="20"/>
          <w:szCs w:val="20"/>
        </w:rPr>
      </w:pPr>
      <w:r>
        <w:rPr>
          <w:rFonts w:ascii="宋体" w:hAnsi="宋体" w:eastAsia="宋体" w:cs="宋体"/>
          <w:spacing w:val="6"/>
          <w:sz w:val="20"/>
          <w:szCs w:val="20"/>
        </w:rPr>
        <w:t>在流行病学研究中，对比的思想是研究方法的核心，贯穿始终</w:t>
      </w:r>
      <w:r>
        <w:rPr>
          <w:rFonts w:ascii="宋体" w:hAnsi="宋体" w:eastAsia="宋体" w:cs="宋体"/>
          <w:spacing w:val="5"/>
          <w:sz w:val="20"/>
          <w:szCs w:val="20"/>
        </w:rPr>
        <w:t>。只有通过对比调查和对比分</w:t>
      </w:r>
      <w:r>
        <w:rPr>
          <w:rFonts w:ascii="宋体" w:hAnsi="宋体" w:eastAsia="宋体" w:cs="宋体"/>
          <w:sz w:val="20"/>
          <w:szCs w:val="20"/>
        </w:rPr>
        <w:t xml:space="preserve"> </w:t>
      </w:r>
      <w:r>
        <w:rPr>
          <w:rFonts w:ascii="宋体" w:hAnsi="宋体" w:eastAsia="宋体" w:cs="宋体"/>
          <w:spacing w:val="1"/>
          <w:sz w:val="20"/>
          <w:szCs w:val="20"/>
        </w:rPr>
        <w:t>析，才能揭示疾病发生的原因或线索。例如，对比吸烟组与非吸烟</w:t>
      </w:r>
      <w:r>
        <w:rPr>
          <w:rFonts w:ascii="宋体" w:hAnsi="宋体" w:eastAsia="宋体" w:cs="宋体"/>
          <w:sz w:val="20"/>
          <w:szCs w:val="20"/>
        </w:rPr>
        <w:t xml:space="preserve">组的冠心病发病率，对比乙肝疫 </w:t>
      </w:r>
      <w:r>
        <w:rPr>
          <w:rFonts w:ascii="宋体" w:hAnsi="宋体" w:eastAsia="宋体" w:cs="宋体"/>
          <w:spacing w:val="5"/>
          <w:sz w:val="20"/>
          <w:szCs w:val="20"/>
        </w:rPr>
        <w:t>苗接种组与非接种组的肝癌发病率，以及对比素食者与非素食者的寿命等。流行病学研究的独特</w:t>
      </w:r>
      <w:r>
        <w:rPr>
          <w:rFonts w:ascii="宋体" w:hAnsi="宋体" w:eastAsia="宋体" w:cs="宋体"/>
          <w:spacing w:val="15"/>
          <w:sz w:val="20"/>
          <w:szCs w:val="20"/>
        </w:rPr>
        <w:t xml:space="preserve"> </w:t>
      </w:r>
      <w:r>
        <w:rPr>
          <w:rFonts w:ascii="宋体" w:hAnsi="宋体" w:eastAsia="宋体" w:cs="宋体"/>
          <w:spacing w:val="-2"/>
          <w:sz w:val="20"/>
          <w:szCs w:val="20"/>
        </w:rPr>
        <w:t>之处就在于，它常涉及不同特征人群间某种概率的对比。</w:t>
      </w:r>
    </w:p>
    <w:p w14:paraId="05683474">
      <w:pPr>
        <w:spacing w:before="1" w:line="346" w:lineRule="auto"/>
        <w:ind w:left="709" w:right="65" w:firstLine="420"/>
        <w:jc w:val="both"/>
        <w:rPr>
          <w:rFonts w:ascii="宋体" w:hAnsi="宋体" w:eastAsia="宋体" w:cs="宋体"/>
          <w:sz w:val="20"/>
          <w:szCs w:val="20"/>
        </w:rPr>
      </w:pPr>
      <w:r>
        <w:rPr>
          <w:rFonts w:ascii="宋体" w:hAnsi="宋体" w:eastAsia="宋体" w:cs="宋体"/>
          <w:sz w:val="20"/>
          <w:szCs w:val="20"/>
        </w:rPr>
        <w:t>在关注差异的同时，流行病学还注重观察两个或更多结果之间是否存在相关现象，即关注它们</w:t>
      </w:r>
      <w:r>
        <w:rPr>
          <w:rFonts w:ascii="宋体" w:hAnsi="宋体" w:eastAsia="宋体" w:cs="宋体"/>
          <w:spacing w:val="13"/>
          <w:sz w:val="20"/>
          <w:szCs w:val="20"/>
        </w:rPr>
        <w:t xml:space="preserve"> </w:t>
      </w:r>
      <w:r>
        <w:rPr>
          <w:rFonts w:ascii="宋体" w:hAnsi="宋体" w:eastAsia="宋体" w:cs="宋体"/>
          <w:spacing w:val="-2"/>
          <w:sz w:val="20"/>
          <w:szCs w:val="20"/>
        </w:rPr>
        <w:t>的一致性。这也是一种重要的比较方法。例如，进行结果的一致性检验，探究剂量-反应关系，计算</w:t>
      </w:r>
      <w:r>
        <w:rPr>
          <w:rFonts w:ascii="宋体" w:hAnsi="宋体" w:eastAsia="宋体" w:cs="宋体"/>
          <w:spacing w:val="16"/>
          <w:sz w:val="20"/>
          <w:szCs w:val="20"/>
        </w:rPr>
        <w:t xml:space="preserve"> </w:t>
      </w:r>
      <w:r>
        <w:rPr>
          <w:rFonts w:ascii="宋体" w:hAnsi="宋体" w:eastAsia="宋体" w:cs="宋体"/>
          <w:sz w:val="20"/>
          <w:szCs w:val="20"/>
        </w:rPr>
        <w:t>相关系数以及测定与某种曲线的拟合程度等分析，在流行病学中也应用广泛。</w:t>
      </w:r>
    </w:p>
    <w:p w14:paraId="39685591">
      <w:pPr>
        <w:pStyle w:val="2"/>
        <w:spacing w:before="1" w:line="220" w:lineRule="auto"/>
        <w:ind w:left="1132"/>
        <w:rPr>
          <w:sz w:val="20"/>
          <w:szCs w:val="20"/>
        </w:rPr>
      </w:pPr>
      <w:r>
        <w:rPr>
          <w:b/>
          <w:bCs/>
          <w:spacing w:val="16"/>
          <w:sz w:val="20"/>
          <w:szCs w:val="20"/>
        </w:rPr>
        <w:t>(三)概率论和数理统计学的特征</w:t>
      </w:r>
    </w:p>
    <w:p w14:paraId="1E25E9D8">
      <w:pPr>
        <w:spacing w:before="157" w:line="342" w:lineRule="auto"/>
        <w:ind w:left="709" w:firstLine="420"/>
        <w:jc w:val="both"/>
        <w:rPr>
          <w:rFonts w:ascii="宋体" w:hAnsi="宋体" w:eastAsia="宋体" w:cs="宋体"/>
          <w:sz w:val="20"/>
          <w:szCs w:val="20"/>
        </w:rPr>
      </w:pPr>
      <w:r>
        <w:rPr>
          <w:rFonts w:ascii="宋体" w:hAnsi="宋体" w:eastAsia="宋体" w:cs="宋体"/>
          <w:sz w:val="20"/>
          <w:szCs w:val="20"/>
        </w:rPr>
        <w:t>在流行病学中，为表示各种分布情况，极少使用绝对数，而多采用频率指</w:t>
      </w:r>
      <w:r>
        <w:rPr>
          <w:rFonts w:ascii="宋体" w:hAnsi="宋体" w:eastAsia="宋体" w:cs="宋体"/>
          <w:spacing w:val="-1"/>
          <w:sz w:val="20"/>
          <w:szCs w:val="20"/>
        </w:rPr>
        <w:t>标，因为绝对数无法</w:t>
      </w:r>
      <w:r>
        <w:rPr>
          <w:rFonts w:ascii="宋体" w:hAnsi="宋体" w:eastAsia="宋体" w:cs="宋体"/>
          <w:sz w:val="20"/>
          <w:szCs w:val="20"/>
        </w:rPr>
        <w:t xml:space="preserve">  </w:t>
      </w:r>
      <w:r>
        <w:rPr>
          <w:rFonts w:ascii="宋体" w:hAnsi="宋体" w:eastAsia="宋体" w:cs="宋体"/>
          <w:spacing w:val="5"/>
          <w:sz w:val="20"/>
          <w:szCs w:val="20"/>
        </w:rPr>
        <w:t>准确反映人群中的发病强度或死亡危险度。频率本质上是一种概率，而流行病学正是一门强调概</w:t>
      </w:r>
      <w:r>
        <w:rPr>
          <w:rFonts w:ascii="宋体" w:hAnsi="宋体" w:eastAsia="宋体" w:cs="宋体"/>
          <w:spacing w:val="16"/>
          <w:sz w:val="20"/>
          <w:szCs w:val="20"/>
        </w:rPr>
        <w:t xml:space="preserve"> </w:t>
      </w:r>
      <w:r>
        <w:rPr>
          <w:rFonts w:ascii="宋体" w:hAnsi="宋体" w:eastAsia="宋体" w:cs="宋体"/>
          <w:spacing w:val="-2"/>
          <w:sz w:val="20"/>
          <w:szCs w:val="20"/>
        </w:rPr>
        <w:t>率的学科。计算概率需要准确的分母数据，因此，有人称流行病学是“分母的学科”,这一说法并不</w:t>
      </w:r>
      <w:r>
        <w:rPr>
          <w:rFonts w:ascii="宋体" w:hAnsi="宋体" w:eastAsia="宋体" w:cs="宋体"/>
          <w:spacing w:val="17"/>
          <w:sz w:val="20"/>
          <w:szCs w:val="20"/>
        </w:rPr>
        <w:t xml:space="preserve"> </w:t>
      </w:r>
      <w:r>
        <w:rPr>
          <w:rFonts w:ascii="宋体" w:hAnsi="宋体" w:eastAsia="宋体" w:cs="宋体"/>
          <w:spacing w:val="-2"/>
          <w:sz w:val="20"/>
          <w:szCs w:val="20"/>
        </w:rPr>
        <w:t>为过。此外，流行病学研究要求有足够的样本量，但并非样本量越大</w:t>
      </w:r>
      <w:r>
        <w:rPr>
          <w:rFonts w:ascii="宋体" w:hAnsi="宋体" w:eastAsia="宋体" w:cs="宋体"/>
          <w:spacing w:val="-3"/>
          <w:sz w:val="20"/>
          <w:szCs w:val="20"/>
        </w:rPr>
        <w:t>越好，而是需要合理的样本量。</w:t>
      </w:r>
      <w:r>
        <w:rPr>
          <w:rFonts w:ascii="宋体" w:hAnsi="宋体" w:eastAsia="宋体" w:cs="宋体"/>
          <w:sz w:val="20"/>
          <w:szCs w:val="20"/>
        </w:rPr>
        <w:t xml:space="preserve"> </w:t>
      </w:r>
      <w:r>
        <w:rPr>
          <w:rFonts w:ascii="宋体" w:hAnsi="宋体" w:eastAsia="宋体" w:cs="宋体"/>
          <w:spacing w:val="5"/>
          <w:sz w:val="20"/>
          <w:szCs w:val="20"/>
        </w:rPr>
        <w:t>样本量过大会增加投入和工作难度，而过少则难以准确说明问题。合理的样本量依据统计学原则</w:t>
      </w:r>
      <w:r>
        <w:rPr>
          <w:rFonts w:ascii="宋体" w:hAnsi="宋体" w:eastAsia="宋体" w:cs="宋体"/>
          <w:spacing w:val="3"/>
          <w:sz w:val="20"/>
          <w:szCs w:val="20"/>
        </w:rPr>
        <w:t xml:space="preserve">  </w:t>
      </w:r>
      <w:r>
        <w:rPr>
          <w:rFonts w:ascii="宋体" w:hAnsi="宋体" w:eastAsia="宋体" w:cs="宋体"/>
          <w:spacing w:val="-3"/>
          <w:sz w:val="20"/>
          <w:szCs w:val="20"/>
        </w:rPr>
        <w:t>确定，并结合具体情况进行适当调整。</w:t>
      </w:r>
    </w:p>
    <w:p w14:paraId="11CB2DD0">
      <w:pPr>
        <w:pStyle w:val="2"/>
        <w:spacing w:before="21" w:line="221" w:lineRule="auto"/>
        <w:ind w:left="1132"/>
        <w:rPr>
          <w:sz w:val="20"/>
          <w:szCs w:val="20"/>
        </w:rPr>
      </w:pPr>
      <w:r>
        <w:rPr>
          <w:b/>
          <w:bCs/>
          <w:spacing w:val="21"/>
          <w:sz w:val="20"/>
          <w:szCs w:val="20"/>
        </w:rPr>
        <w:t>(四)社会心理的特征</w:t>
      </w:r>
    </w:p>
    <w:p w14:paraId="4D053B7B">
      <w:pPr>
        <w:spacing w:before="113" w:line="350" w:lineRule="auto"/>
        <w:ind w:left="709" w:right="71" w:firstLine="420"/>
        <w:jc w:val="both"/>
        <w:rPr>
          <w:rFonts w:ascii="宋体" w:hAnsi="宋体" w:eastAsia="宋体" w:cs="宋体"/>
          <w:sz w:val="20"/>
          <w:szCs w:val="20"/>
        </w:rPr>
      </w:pPr>
      <w:r>
        <w:rPr>
          <w:rFonts w:ascii="宋体" w:hAnsi="宋体" w:eastAsia="宋体" w:cs="宋体"/>
          <w:spacing w:val="5"/>
          <w:sz w:val="20"/>
          <w:szCs w:val="20"/>
        </w:rPr>
        <w:t>人群健康与环境密切相关。疾病的发生不仅受人体内环境影响，还必然受到自然环境和社会</w:t>
      </w:r>
      <w:r>
        <w:rPr>
          <w:rFonts w:ascii="宋体" w:hAnsi="宋体" w:eastAsia="宋体" w:cs="宋体"/>
          <w:spacing w:val="7"/>
          <w:sz w:val="20"/>
          <w:szCs w:val="20"/>
        </w:rPr>
        <w:t xml:space="preserve"> </w:t>
      </w:r>
      <w:r>
        <w:rPr>
          <w:rFonts w:ascii="宋体" w:hAnsi="宋体" w:eastAsia="宋体" w:cs="宋体"/>
          <w:spacing w:val="1"/>
          <w:sz w:val="20"/>
          <w:szCs w:val="20"/>
        </w:rPr>
        <w:t>环境的影响和制约。因此，在研究疾病病因和流行因素时，应</w:t>
      </w:r>
      <w:r>
        <w:rPr>
          <w:rFonts w:ascii="宋体" w:hAnsi="宋体" w:eastAsia="宋体" w:cs="宋体"/>
          <w:sz w:val="20"/>
          <w:szCs w:val="20"/>
        </w:rPr>
        <w:t xml:space="preserve">全面考察研究对象的生物、心理和社 </w:t>
      </w:r>
      <w:r>
        <w:rPr>
          <w:rFonts w:ascii="宋体" w:hAnsi="宋体" w:eastAsia="宋体" w:cs="宋体"/>
          <w:spacing w:val="6"/>
          <w:sz w:val="20"/>
          <w:szCs w:val="20"/>
        </w:rPr>
        <w:t>会生活状况。</w:t>
      </w:r>
    </w:p>
    <w:p w14:paraId="7CCF1BBB">
      <w:pPr>
        <w:pStyle w:val="2"/>
        <w:spacing w:before="1" w:line="220" w:lineRule="auto"/>
        <w:ind w:left="1132"/>
        <w:rPr>
          <w:sz w:val="20"/>
          <w:szCs w:val="20"/>
        </w:rPr>
      </w:pPr>
      <w:r>
        <w:rPr>
          <w:b/>
          <w:bCs/>
          <w:spacing w:val="21"/>
          <w:sz w:val="20"/>
          <w:szCs w:val="20"/>
        </w:rPr>
        <w:t>(五)预防为主的特征</w:t>
      </w:r>
    </w:p>
    <w:p w14:paraId="3A548CB1">
      <w:pPr>
        <w:spacing w:before="136" w:line="333" w:lineRule="auto"/>
        <w:ind w:left="709" w:right="79" w:firstLine="420"/>
        <w:jc w:val="both"/>
        <w:rPr>
          <w:rFonts w:ascii="宋体" w:hAnsi="宋体" w:eastAsia="宋体" w:cs="宋体"/>
          <w:sz w:val="20"/>
          <w:szCs w:val="20"/>
        </w:rPr>
      </w:pPr>
      <w:r>
        <w:rPr>
          <w:rFonts w:ascii="宋体" w:hAnsi="宋体" w:eastAsia="宋体" w:cs="宋体"/>
          <w:sz w:val="20"/>
          <w:szCs w:val="20"/>
        </w:rPr>
        <w:t>流行病学作为公共卫生与预防医学的核心分支，始终坚持预防为主的方</w:t>
      </w:r>
      <w:r>
        <w:rPr>
          <w:rFonts w:ascii="宋体" w:hAnsi="宋体" w:eastAsia="宋体" w:cs="宋体"/>
          <w:spacing w:val="-1"/>
          <w:sz w:val="20"/>
          <w:szCs w:val="20"/>
        </w:rPr>
        <w:t>针，并将此作为核心研</w:t>
      </w:r>
      <w:r>
        <w:rPr>
          <w:rFonts w:ascii="宋体" w:hAnsi="宋体" w:eastAsia="宋体" w:cs="宋体"/>
          <w:sz w:val="20"/>
          <w:szCs w:val="20"/>
        </w:rPr>
        <w:t xml:space="preserve"> </w:t>
      </w:r>
      <w:r>
        <w:rPr>
          <w:rFonts w:ascii="宋体" w:hAnsi="宋体" w:eastAsia="宋体" w:cs="宋体"/>
          <w:spacing w:val="-4"/>
          <w:sz w:val="20"/>
          <w:szCs w:val="20"/>
        </w:rPr>
        <w:t>究内容之一。与临床医学面向个体、着重治疗不同，流行病学面向整个人群，着眼于疾病</w:t>
      </w:r>
      <w:r>
        <w:rPr>
          <w:rFonts w:ascii="宋体" w:hAnsi="宋体" w:eastAsia="宋体" w:cs="宋体"/>
          <w:spacing w:val="-5"/>
          <w:sz w:val="20"/>
          <w:szCs w:val="20"/>
        </w:rPr>
        <w:t>的预防，尤</w:t>
      </w:r>
      <w:r>
        <w:rPr>
          <w:rFonts w:ascii="宋体" w:hAnsi="宋体" w:eastAsia="宋体" w:cs="宋体"/>
          <w:sz w:val="20"/>
          <w:szCs w:val="20"/>
        </w:rPr>
        <w:t xml:space="preserve"> 其是一级预防，旨在维护和促进人群健康。</w:t>
      </w:r>
    </w:p>
    <w:p w14:paraId="627A0A46">
      <w:pPr>
        <w:pStyle w:val="2"/>
        <w:spacing w:before="32" w:line="221" w:lineRule="auto"/>
        <w:ind w:left="1132"/>
        <w:rPr>
          <w:sz w:val="20"/>
          <w:szCs w:val="20"/>
        </w:rPr>
      </w:pPr>
      <w:r>
        <w:rPr>
          <w:b/>
          <w:bCs/>
          <w:spacing w:val="26"/>
          <w:sz w:val="20"/>
          <w:szCs w:val="20"/>
        </w:rPr>
        <w:t>(六)发展的特征</w:t>
      </w:r>
    </w:p>
    <w:p w14:paraId="13B74BE2">
      <w:pPr>
        <w:spacing w:before="144" w:line="219" w:lineRule="auto"/>
        <w:ind w:left="1130"/>
        <w:rPr>
          <w:rFonts w:ascii="宋体" w:hAnsi="宋体" w:eastAsia="宋体" w:cs="宋体"/>
          <w:sz w:val="20"/>
          <w:szCs w:val="20"/>
        </w:rPr>
      </w:pPr>
      <w:r>
        <w:rPr>
          <w:rFonts w:ascii="宋体" w:hAnsi="宋体" w:eastAsia="宋体" w:cs="宋体"/>
          <w:spacing w:val="3"/>
          <w:sz w:val="20"/>
          <w:szCs w:val="20"/>
        </w:rPr>
        <w:t>纵观流行病学的发展历程，其定义与任务随不同时期的主要公共</w:t>
      </w:r>
      <w:r>
        <w:rPr>
          <w:rFonts w:ascii="宋体" w:hAnsi="宋体" w:eastAsia="宋体" w:cs="宋体"/>
          <w:spacing w:val="3"/>
          <w:sz w:val="20"/>
          <w:szCs w:val="20"/>
          <w:u w:val="single" w:color="auto"/>
        </w:rPr>
        <w:t>卫生</w:t>
      </w:r>
      <w:r>
        <w:rPr>
          <w:rFonts w:ascii="宋体" w:hAnsi="宋体" w:eastAsia="宋体" w:cs="宋体"/>
          <w:spacing w:val="3"/>
          <w:sz w:val="20"/>
          <w:szCs w:val="20"/>
        </w:rPr>
        <w:t>问题而不断演变.研究方</w:t>
      </w:r>
    </w:p>
    <w:p w14:paraId="5B53C66C">
      <w:pPr>
        <w:spacing w:line="219" w:lineRule="auto"/>
        <w:rPr>
          <w:rFonts w:ascii="宋体" w:hAnsi="宋体" w:eastAsia="宋体" w:cs="宋体"/>
          <w:sz w:val="20"/>
          <w:szCs w:val="20"/>
        </w:rPr>
        <w:sectPr>
          <w:headerReference r:id="rId39" w:type="default"/>
          <w:footerReference r:id="rId40" w:type="default"/>
          <w:pgSz w:w="11900" w:h="16820"/>
          <w:pgMar w:top="400" w:right="1590" w:bottom="759" w:left="899" w:header="0" w:footer="579" w:gutter="0"/>
          <w:cols w:space="720" w:num="1"/>
        </w:sectPr>
      </w:pPr>
    </w:p>
    <w:p w14:paraId="052FACBD">
      <w:pPr>
        <w:spacing w:line="317" w:lineRule="auto"/>
        <w:rPr>
          <w:rFonts w:ascii="Arial"/>
          <w:sz w:val="21"/>
        </w:rPr>
      </w:pPr>
    </w:p>
    <w:p w14:paraId="3D5F0749">
      <w:pPr>
        <w:pStyle w:val="2"/>
        <w:spacing w:before="68" w:line="222" w:lineRule="auto"/>
        <w:ind w:left="8190"/>
        <w:rPr>
          <w:sz w:val="21"/>
          <w:szCs w:val="21"/>
        </w:rPr>
      </w:pPr>
      <w:r>
        <w:rPr>
          <w:spacing w:val="-15"/>
          <w:w w:val="97"/>
          <w:sz w:val="21"/>
          <w:szCs w:val="21"/>
        </w:rPr>
        <w:t>第一章</w:t>
      </w:r>
      <w:r>
        <w:rPr>
          <w:spacing w:val="38"/>
          <w:sz w:val="21"/>
          <w:szCs w:val="21"/>
        </w:rPr>
        <w:t xml:space="preserve"> </w:t>
      </w:r>
      <w:r>
        <w:rPr>
          <w:spacing w:val="-15"/>
          <w:w w:val="97"/>
          <w:sz w:val="21"/>
          <w:szCs w:val="21"/>
        </w:rPr>
        <w:t>绪论</w:t>
      </w:r>
    </w:p>
    <w:p w14:paraId="4FEC149C">
      <w:pPr>
        <w:spacing w:line="263" w:lineRule="auto"/>
        <w:rPr>
          <w:rFonts w:ascii="Arial"/>
          <w:sz w:val="21"/>
        </w:rPr>
      </w:pPr>
    </w:p>
    <w:p w14:paraId="589D9947">
      <w:pPr>
        <w:spacing w:line="263" w:lineRule="auto"/>
        <w:rPr>
          <w:rFonts w:ascii="Arial"/>
          <w:sz w:val="21"/>
        </w:rPr>
      </w:pPr>
    </w:p>
    <w:p w14:paraId="7503090A">
      <w:pPr>
        <w:spacing w:before="68" w:line="327" w:lineRule="auto"/>
        <w:ind w:right="655"/>
        <w:rPr>
          <w:rFonts w:ascii="宋体" w:hAnsi="宋体" w:eastAsia="宋体" w:cs="宋体"/>
          <w:sz w:val="21"/>
          <w:szCs w:val="21"/>
        </w:rPr>
      </w:pPr>
      <w:r>
        <w:rPr>
          <w:rFonts w:ascii="宋体" w:hAnsi="宋体" w:eastAsia="宋体" w:cs="宋体"/>
          <w:spacing w:val="5"/>
          <w:sz w:val="21"/>
          <w:szCs w:val="21"/>
        </w:rPr>
        <w:t>法也在逐年完善。尤其近年来，流行病学不断从其他学科汲取养分，衍生出许多新分支，彰显了学</w:t>
      </w:r>
      <w:r>
        <w:rPr>
          <w:rFonts w:ascii="宋体" w:hAnsi="宋体" w:eastAsia="宋体" w:cs="宋体"/>
          <w:spacing w:val="15"/>
          <w:sz w:val="21"/>
          <w:szCs w:val="21"/>
        </w:rPr>
        <w:t xml:space="preserve"> </w:t>
      </w:r>
      <w:r>
        <w:rPr>
          <w:rFonts w:ascii="宋体" w:hAnsi="宋体" w:eastAsia="宋体" w:cs="宋体"/>
          <w:spacing w:val="7"/>
          <w:sz w:val="21"/>
          <w:szCs w:val="21"/>
        </w:rPr>
        <w:t>科发展的特征。</w:t>
      </w:r>
    </w:p>
    <w:p w14:paraId="614074D1">
      <w:pPr>
        <w:spacing w:line="350" w:lineRule="auto"/>
        <w:rPr>
          <w:rFonts w:ascii="Arial"/>
          <w:sz w:val="21"/>
        </w:rPr>
      </w:pPr>
    </w:p>
    <w:p w14:paraId="6A51A167">
      <w:pPr>
        <w:pStyle w:val="2"/>
        <w:spacing w:before="101" w:line="221" w:lineRule="auto"/>
        <w:ind w:left="1004"/>
        <w:outlineLvl w:val="1"/>
        <w:rPr>
          <w:sz w:val="31"/>
          <w:szCs w:val="31"/>
        </w:rPr>
      </w:pPr>
      <w:bookmarkStart w:id="24" w:name="bookmark14"/>
      <w:bookmarkEnd w:id="24"/>
      <w:bookmarkStart w:id="25" w:name="bookmark409"/>
      <w:bookmarkEnd w:id="25"/>
      <w:r>
        <w:rPr>
          <w:b/>
          <w:bCs/>
          <w:spacing w:val="-7"/>
          <w:sz w:val="31"/>
          <w:szCs w:val="31"/>
        </w:rPr>
        <w:t>第六节</w:t>
      </w:r>
      <w:r>
        <w:rPr>
          <w:spacing w:val="117"/>
          <w:sz w:val="31"/>
          <w:szCs w:val="31"/>
        </w:rPr>
        <w:t xml:space="preserve"> </w:t>
      </w:r>
      <w:r>
        <w:rPr>
          <w:b/>
          <w:bCs/>
          <w:spacing w:val="-7"/>
          <w:sz w:val="31"/>
          <w:szCs w:val="31"/>
        </w:rPr>
        <w:t>流行病学与其他学科的关系及流行病</w:t>
      </w:r>
      <w:r>
        <w:rPr>
          <w:b/>
          <w:bCs/>
          <w:spacing w:val="-8"/>
          <w:sz w:val="31"/>
          <w:szCs w:val="31"/>
        </w:rPr>
        <w:t>学的展望</w:t>
      </w:r>
    </w:p>
    <w:p w14:paraId="4480C042">
      <w:pPr>
        <w:spacing w:line="364" w:lineRule="auto"/>
        <w:rPr>
          <w:rFonts w:ascii="Arial"/>
          <w:sz w:val="21"/>
        </w:rPr>
      </w:pPr>
    </w:p>
    <w:p w14:paraId="43EF372F">
      <w:pPr>
        <w:pStyle w:val="2"/>
        <w:spacing w:before="81" w:line="221" w:lineRule="auto"/>
        <w:ind w:left="443"/>
        <w:outlineLvl w:val="2"/>
        <w:rPr>
          <w:sz w:val="25"/>
          <w:szCs w:val="25"/>
        </w:rPr>
      </w:pPr>
      <w:bookmarkStart w:id="26" w:name="bookmark15"/>
      <w:bookmarkEnd w:id="26"/>
      <w:r>
        <w:rPr>
          <w:b/>
          <w:bCs/>
          <w:spacing w:val="3"/>
          <w:sz w:val="25"/>
          <w:szCs w:val="25"/>
        </w:rPr>
        <w:t>一</w:t>
      </w:r>
      <w:r>
        <w:rPr>
          <w:spacing w:val="-40"/>
          <w:sz w:val="25"/>
          <w:szCs w:val="25"/>
        </w:rPr>
        <w:t xml:space="preserve"> </w:t>
      </w:r>
      <w:r>
        <w:rPr>
          <w:b/>
          <w:bCs/>
          <w:spacing w:val="3"/>
          <w:sz w:val="25"/>
          <w:szCs w:val="25"/>
        </w:rPr>
        <w:t>、流行病学与其他学科的关系</w:t>
      </w:r>
    </w:p>
    <w:p w14:paraId="3D89C51B">
      <w:pPr>
        <w:spacing w:before="266" w:line="322" w:lineRule="auto"/>
        <w:ind w:right="561" w:firstLine="440"/>
        <w:jc w:val="both"/>
        <w:rPr>
          <w:rFonts w:ascii="宋体" w:hAnsi="宋体" w:eastAsia="宋体" w:cs="宋体"/>
          <w:sz w:val="21"/>
          <w:szCs w:val="21"/>
        </w:rPr>
      </w:pPr>
      <w:r>
        <w:rPr>
          <w:rFonts w:ascii="宋体" w:hAnsi="宋体" w:eastAsia="宋体" w:cs="宋体"/>
          <w:spacing w:val="5"/>
          <w:sz w:val="21"/>
          <w:szCs w:val="21"/>
        </w:rPr>
        <w:t>健康是一个多维度概念，涵盖身体、心理和社会三个层面。其影响因素同样复杂多样，包括个</w:t>
      </w:r>
      <w:r>
        <w:rPr>
          <w:rFonts w:ascii="宋体" w:hAnsi="宋体" w:eastAsia="宋体" w:cs="宋体"/>
          <w:spacing w:val="1"/>
          <w:sz w:val="21"/>
          <w:szCs w:val="21"/>
        </w:rPr>
        <w:t xml:space="preserve">  </w:t>
      </w:r>
      <w:r>
        <w:rPr>
          <w:rFonts w:ascii="宋体" w:hAnsi="宋体" w:eastAsia="宋体" w:cs="宋体"/>
          <w:spacing w:val="5"/>
          <w:sz w:val="21"/>
          <w:szCs w:val="21"/>
        </w:rPr>
        <w:t xml:space="preserve">体遗传与生物学特征、生活方式、社会经济状况、环境因素及卫生服务等。因此，流行病学作为解  </w:t>
      </w:r>
      <w:r>
        <w:rPr>
          <w:rFonts w:ascii="宋体" w:hAnsi="宋体" w:eastAsia="宋体" w:cs="宋体"/>
          <w:spacing w:val="11"/>
          <w:sz w:val="21"/>
          <w:szCs w:val="21"/>
        </w:rPr>
        <w:t>决疾病与健康问题的学科，与自然科学和社会</w:t>
      </w:r>
      <w:r>
        <w:rPr>
          <w:rFonts w:ascii="宋体" w:hAnsi="宋体" w:eastAsia="宋体" w:cs="宋体"/>
          <w:spacing w:val="10"/>
          <w:sz w:val="21"/>
          <w:szCs w:val="21"/>
        </w:rPr>
        <w:t>科学中的众多学科紧密相连。这些学科为流行病学</w:t>
      </w:r>
      <w:r>
        <w:rPr>
          <w:rFonts w:ascii="宋体" w:hAnsi="宋体" w:eastAsia="宋体" w:cs="宋体"/>
          <w:sz w:val="21"/>
          <w:szCs w:val="21"/>
        </w:rPr>
        <w:t xml:space="preserve">  </w:t>
      </w:r>
      <w:r>
        <w:rPr>
          <w:rFonts w:ascii="宋体" w:hAnsi="宋体" w:eastAsia="宋体" w:cs="宋体"/>
          <w:spacing w:val="3"/>
          <w:sz w:val="21"/>
          <w:szCs w:val="21"/>
        </w:rPr>
        <w:t>研究提供了丰富的知识(如医学基础与临床知识)</w:t>
      </w:r>
      <w:r>
        <w:rPr>
          <w:rFonts w:ascii="宋体" w:hAnsi="宋体" w:eastAsia="宋体" w:cs="宋体"/>
          <w:spacing w:val="2"/>
          <w:sz w:val="21"/>
          <w:szCs w:val="21"/>
        </w:rPr>
        <w:t>、方法(如卫生统计学、遗传学、分子生物学方法)、</w:t>
      </w:r>
      <w:r>
        <w:rPr>
          <w:rFonts w:ascii="宋体" w:hAnsi="宋体" w:eastAsia="宋体" w:cs="宋体"/>
          <w:sz w:val="21"/>
          <w:szCs w:val="21"/>
        </w:rPr>
        <w:t xml:space="preserve"> </w:t>
      </w:r>
      <w:r>
        <w:rPr>
          <w:rFonts w:ascii="宋体" w:hAnsi="宋体" w:eastAsia="宋体" w:cs="宋体"/>
          <w:spacing w:val="3"/>
          <w:sz w:val="21"/>
          <w:szCs w:val="21"/>
        </w:rPr>
        <w:t>工具(如环境污染物暴露、膳食和营养、心理等的评估工具)、技术和指标</w:t>
      </w:r>
      <w:r>
        <w:rPr>
          <w:rFonts w:ascii="宋体" w:hAnsi="宋体" w:eastAsia="宋体" w:cs="宋体"/>
          <w:spacing w:val="2"/>
          <w:sz w:val="21"/>
          <w:szCs w:val="21"/>
        </w:rPr>
        <w:t>(如反映健康社会决定因素</w:t>
      </w:r>
      <w:r>
        <w:rPr>
          <w:rFonts w:ascii="宋体" w:hAnsi="宋体" w:eastAsia="宋体" w:cs="宋体"/>
          <w:sz w:val="21"/>
          <w:szCs w:val="21"/>
        </w:rPr>
        <w:t xml:space="preserve">  </w:t>
      </w:r>
      <w:r>
        <w:rPr>
          <w:rFonts w:ascii="宋体" w:hAnsi="宋体" w:eastAsia="宋体" w:cs="宋体"/>
          <w:spacing w:val="5"/>
          <w:sz w:val="21"/>
          <w:szCs w:val="21"/>
        </w:rPr>
        <w:t>或健康不公平的指标)等。其中，流行病学与卫生统计学的关系尤为紧密。</w:t>
      </w:r>
    </w:p>
    <w:p w14:paraId="32D18F52">
      <w:pPr>
        <w:spacing w:before="9" w:line="316" w:lineRule="auto"/>
        <w:ind w:right="637" w:firstLine="440"/>
        <w:jc w:val="both"/>
        <w:rPr>
          <w:rFonts w:ascii="宋体" w:hAnsi="宋体" w:eastAsia="宋体" w:cs="宋体"/>
          <w:sz w:val="21"/>
          <w:szCs w:val="21"/>
        </w:rPr>
      </w:pPr>
      <w:r>
        <w:rPr>
          <w:rFonts w:ascii="宋体" w:hAnsi="宋体" w:eastAsia="宋体" w:cs="宋体"/>
          <w:sz w:val="21"/>
          <w:szCs w:val="21"/>
        </w:rPr>
        <w:t>在当代，流行病学与相关学科相互渗透，衍生出众多新的学科名称，如传染</w:t>
      </w:r>
      <w:r>
        <w:rPr>
          <w:rFonts w:ascii="宋体" w:hAnsi="宋体" w:eastAsia="宋体" w:cs="宋体"/>
          <w:spacing w:val="-1"/>
          <w:sz w:val="21"/>
          <w:szCs w:val="21"/>
        </w:rPr>
        <w:t>病流行病学、慢性病</w:t>
      </w:r>
      <w:r>
        <w:rPr>
          <w:rFonts w:ascii="宋体" w:hAnsi="宋体" w:eastAsia="宋体" w:cs="宋体"/>
          <w:sz w:val="21"/>
          <w:szCs w:val="21"/>
        </w:rPr>
        <w:t xml:space="preserve"> 流行病学、伤害流行病学、精神卫生流行病学、肿瘤流行病学、心血管病流</w:t>
      </w:r>
      <w:r>
        <w:rPr>
          <w:rFonts w:ascii="宋体" w:hAnsi="宋体" w:eastAsia="宋体" w:cs="宋体"/>
          <w:spacing w:val="-1"/>
          <w:sz w:val="21"/>
          <w:szCs w:val="21"/>
        </w:rPr>
        <w:t>行病学，生殖和围产期流</w:t>
      </w:r>
      <w:r>
        <w:rPr>
          <w:rFonts w:ascii="宋体" w:hAnsi="宋体" w:eastAsia="宋体" w:cs="宋体"/>
          <w:sz w:val="21"/>
          <w:szCs w:val="21"/>
        </w:rPr>
        <w:t xml:space="preserve"> 行病学、老年流行病学，以及现场流行病学、临床流行病学、分子流行病学、遗传流行病学、社会流</w:t>
      </w:r>
      <w:r>
        <w:rPr>
          <w:rFonts w:ascii="宋体" w:hAnsi="宋体" w:eastAsia="宋体" w:cs="宋体"/>
          <w:spacing w:val="18"/>
          <w:sz w:val="21"/>
          <w:szCs w:val="21"/>
        </w:rPr>
        <w:t xml:space="preserve"> </w:t>
      </w:r>
      <w:r>
        <w:rPr>
          <w:rFonts w:ascii="宋体" w:hAnsi="宋体" w:eastAsia="宋体" w:cs="宋体"/>
          <w:spacing w:val="1"/>
          <w:sz w:val="21"/>
          <w:szCs w:val="21"/>
        </w:rPr>
        <w:t>行病学、环境流行病学、生态流行病学、职业流行病</w:t>
      </w:r>
      <w:r>
        <w:rPr>
          <w:rFonts w:ascii="宋体" w:hAnsi="宋体" w:eastAsia="宋体" w:cs="宋体"/>
          <w:sz w:val="21"/>
          <w:szCs w:val="21"/>
        </w:rPr>
        <w:t xml:space="preserve">学、营养流行病学、药物流行病学、管理流行病 </w:t>
      </w:r>
      <w:r>
        <w:rPr>
          <w:rFonts w:ascii="宋体" w:hAnsi="宋体" w:eastAsia="宋体" w:cs="宋体"/>
          <w:spacing w:val="11"/>
          <w:sz w:val="21"/>
          <w:szCs w:val="21"/>
        </w:rPr>
        <w:t>学等。这一现象不仅展示了流行病学与诸多学科的广泛联</w:t>
      </w:r>
      <w:r>
        <w:rPr>
          <w:rFonts w:ascii="宋体" w:hAnsi="宋体" w:eastAsia="宋体" w:cs="宋体"/>
          <w:spacing w:val="10"/>
          <w:sz w:val="21"/>
          <w:szCs w:val="21"/>
        </w:rPr>
        <w:t>系，也体现了当今学科间交互影响与相</w:t>
      </w:r>
      <w:r>
        <w:rPr>
          <w:rFonts w:ascii="宋体" w:hAnsi="宋体" w:eastAsia="宋体" w:cs="宋体"/>
          <w:sz w:val="21"/>
          <w:szCs w:val="21"/>
        </w:rPr>
        <w:t xml:space="preserve"> </w:t>
      </w:r>
      <w:r>
        <w:rPr>
          <w:rFonts w:ascii="宋体" w:hAnsi="宋体" w:eastAsia="宋体" w:cs="宋体"/>
          <w:spacing w:val="3"/>
          <w:sz w:val="21"/>
          <w:szCs w:val="21"/>
        </w:rPr>
        <w:t>依共存的趋势。对于这些学科名称，有人称之为流行病学的“分支学科”,但我们认为其中部分应归</w:t>
      </w:r>
      <w:r>
        <w:rPr>
          <w:rFonts w:ascii="宋体" w:hAnsi="宋体" w:eastAsia="宋体" w:cs="宋体"/>
          <w:sz w:val="21"/>
          <w:szCs w:val="21"/>
        </w:rPr>
        <w:t xml:space="preserve"> </w:t>
      </w:r>
      <w:r>
        <w:rPr>
          <w:rFonts w:ascii="宋体" w:hAnsi="宋体" w:eastAsia="宋体" w:cs="宋体"/>
          <w:spacing w:val="8"/>
          <w:sz w:val="21"/>
          <w:szCs w:val="21"/>
        </w:rPr>
        <w:t>类为交叉学科，而另一些则仅是流行病学在特定研究内容(如肿瘤、心血管病)或特定人群(如老年</w:t>
      </w:r>
      <w:r>
        <w:rPr>
          <w:rFonts w:ascii="宋体" w:hAnsi="宋体" w:eastAsia="宋体" w:cs="宋体"/>
          <w:sz w:val="21"/>
          <w:szCs w:val="21"/>
        </w:rPr>
        <w:t xml:space="preserve"> </w:t>
      </w:r>
      <w:r>
        <w:rPr>
          <w:rFonts w:ascii="宋体" w:hAnsi="宋体" w:eastAsia="宋体" w:cs="宋体"/>
          <w:spacing w:val="2"/>
          <w:sz w:val="21"/>
          <w:szCs w:val="21"/>
        </w:rPr>
        <w:t>人)中的应用，尚不足以构成独立的分支学科。</w:t>
      </w:r>
    </w:p>
    <w:p w14:paraId="285C693D">
      <w:pPr>
        <w:pStyle w:val="2"/>
        <w:spacing w:before="192" w:line="221" w:lineRule="auto"/>
        <w:ind w:left="443"/>
        <w:outlineLvl w:val="2"/>
        <w:rPr>
          <w:sz w:val="25"/>
          <w:szCs w:val="25"/>
        </w:rPr>
      </w:pPr>
      <w:bookmarkStart w:id="27" w:name="bookmark16"/>
      <w:bookmarkEnd w:id="27"/>
      <w:r>
        <w:rPr>
          <w:b/>
          <w:bCs/>
          <w:spacing w:val="3"/>
          <w:sz w:val="25"/>
          <w:szCs w:val="25"/>
        </w:rPr>
        <w:t>二</w:t>
      </w:r>
      <w:r>
        <w:rPr>
          <w:spacing w:val="-38"/>
          <w:sz w:val="25"/>
          <w:szCs w:val="25"/>
        </w:rPr>
        <w:t xml:space="preserve"> </w:t>
      </w:r>
      <w:r>
        <w:rPr>
          <w:b/>
          <w:bCs/>
          <w:spacing w:val="3"/>
          <w:sz w:val="25"/>
          <w:szCs w:val="25"/>
        </w:rPr>
        <w:t>、流行病学面临的挑战和展望</w:t>
      </w:r>
    </w:p>
    <w:p w14:paraId="116F287B">
      <w:pPr>
        <w:spacing w:before="253" w:line="314" w:lineRule="auto"/>
        <w:ind w:right="581" w:firstLine="440"/>
        <w:jc w:val="both"/>
        <w:rPr>
          <w:rFonts w:ascii="宋体" w:hAnsi="宋体" w:eastAsia="宋体" w:cs="宋体"/>
          <w:sz w:val="21"/>
          <w:szCs w:val="21"/>
        </w:rPr>
      </w:pPr>
      <w:r>
        <w:rPr>
          <w:rFonts w:ascii="宋体" w:hAnsi="宋体" w:eastAsia="宋体" w:cs="宋体"/>
          <w:spacing w:val="5"/>
          <w:sz w:val="21"/>
          <w:szCs w:val="21"/>
        </w:rPr>
        <w:t>在过去的一个世纪里，流行病学在防控疾病和促进健康方面作出了重大贡献，其研究方法也取</w:t>
      </w:r>
      <w:r>
        <w:rPr>
          <w:rFonts w:ascii="宋体" w:hAnsi="宋体" w:eastAsia="宋体" w:cs="宋体"/>
          <w:spacing w:val="3"/>
          <w:sz w:val="21"/>
          <w:szCs w:val="21"/>
        </w:rPr>
        <w:t xml:space="preserve"> </w:t>
      </w:r>
      <w:r>
        <w:rPr>
          <w:rFonts w:ascii="宋体" w:hAnsi="宋体" w:eastAsia="宋体" w:cs="宋体"/>
          <w:sz w:val="21"/>
          <w:szCs w:val="21"/>
        </w:rPr>
        <w:t>得了长足发展。当前时代呈现出全球化、工业化、城市化、老龄化、数字化等特征，这些变化深刻影</w:t>
      </w:r>
      <w:r>
        <w:rPr>
          <w:rFonts w:ascii="宋体" w:hAnsi="宋体" w:eastAsia="宋体" w:cs="宋体"/>
          <w:spacing w:val="18"/>
          <w:sz w:val="21"/>
          <w:szCs w:val="21"/>
        </w:rPr>
        <w:t xml:space="preserve"> </w:t>
      </w:r>
      <w:r>
        <w:rPr>
          <w:rFonts w:ascii="宋体" w:hAnsi="宋体" w:eastAsia="宋体" w:cs="宋体"/>
          <w:spacing w:val="7"/>
          <w:sz w:val="21"/>
          <w:szCs w:val="21"/>
        </w:rPr>
        <w:t>响了生态环境与人类的行为模式。面对这些挑战，流行病学需不断创新研究方法，提高应对能力，</w:t>
      </w:r>
      <w:r>
        <w:rPr>
          <w:rFonts w:ascii="宋体" w:hAnsi="宋体" w:eastAsia="宋体" w:cs="宋体"/>
          <w:spacing w:val="2"/>
          <w:sz w:val="21"/>
          <w:szCs w:val="21"/>
        </w:rPr>
        <w:t xml:space="preserve"> </w:t>
      </w:r>
      <w:r>
        <w:rPr>
          <w:rFonts w:ascii="宋体" w:hAnsi="宋体" w:eastAsia="宋体" w:cs="宋体"/>
          <w:spacing w:val="6"/>
          <w:sz w:val="21"/>
          <w:szCs w:val="21"/>
        </w:rPr>
        <w:t>以适应疾病防控和公众健康需求的新变化。</w:t>
      </w:r>
    </w:p>
    <w:p w14:paraId="18B92F99">
      <w:pPr>
        <w:pStyle w:val="2"/>
        <w:spacing w:before="1" w:line="220" w:lineRule="auto"/>
        <w:ind w:left="443"/>
        <w:rPr>
          <w:sz w:val="25"/>
          <w:szCs w:val="25"/>
        </w:rPr>
      </w:pPr>
      <w:r>
        <w:rPr>
          <w:b/>
          <w:bCs/>
          <w:spacing w:val="-13"/>
          <w:sz w:val="25"/>
          <w:szCs w:val="25"/>
        </w:rPr>
        <w:t>(一)兼顾双重疾病负担</w:t>
      </w:r>
    </w:p>
    <w:p w14:paraId="6EF94550">
      <w:pPr>
        <w:spacing w:before="103" w:line="316" w:lineRule="auto"/>
        <w:ind w:right="645" w:firstLine="440"/>
        <w:jc w:val="both"/>
        <w:rPr>
          <w:rFonts w:ascii="宋体" w:hAnsi="宋体" w:eastAsia="宋体" w:cs="宋体"/>
          <w:sz w:val="21"/>
          <w:szCs w:val="21"/>
        </w:rPr>
      </w:pPr>
      <w:r>
        <w:rPr>
          <w:rFonts w:ascii="宋体" w:hAnsi="宋体" w:eastAsia="宋体" w:cs="宋体"/>
          <w:spacing w:val="5"/>
          <w:sz w:val="21"/>
          <w:szCs w:val="21"/>
        </w:rPr>
        <w:t>新冠大流行使人们认识到，全球都面临传染病与慢性非传染性疾病的双重挑战，其中发展中国</w:t>
      </w:r>
      <w:r>
        <w:rPr>
          <w:rFonts w:ascii="宋体" w:hAnsi="宋体" w:eastAsia="宋体" w:cs="宋体"/>
          <w:spacing w:val="15"/>
          <w:sz w:val="21"/>
          <w:szCs w:val="21"/>
        </w:rPr>
        <w:t xml:space="preserve"> </w:t>
      </w:r>
      <w:r>
        <w:rPr>
          <w:rFonts w:ascii="宋体" w:hAnsi="宋体" w:eastAsia="宋体" w:cs="宋体"/>
          <w:spacing w:val="5"/>
          <w:sz w:val="21"/>
          <w:szCs w:val="21"/>
        </w:rPr>
        <w:t>家受到的影响尤为显著。同时，人们意识到这两组疾病并非截然不同，它们具有共同特征，并存在</w:t>
      </w:r>
      <w:r>
        <w:rPr>
          <w:rFonts w:ascii="宋体" w:hAnsi="宋体" w:eastAsia="宋体" w:cs="宋体"/>
          <w:spacing w:val="15"/>
          <w:sz w:val="21"/>
          <w:szCs w:val="21"/>
        </w:rPr>
        <w:t xml:space="preserve"> </w:t>
      </w:r>
      <w:r>
        <w:rPr>
          <w:rFonts w:ascii="宋体" w:hAnsi="宋体" w:eastAsia="宋体" w:cs="宋体"/>
          <w:spacing w:val="5"/>
          <w:sz w:val="21"/>
          <w:szCs w:val="21"/>
        </w:rPr>
        <w:t>某些直接的相互联系，如共同的高危人群和危险因素，长期照护需求，慢性非传染性疾病可能由感</w:t>
      </w:r>
      <w:r>
        <w:rPr>
          <w:rFonts w:ascii="宋体" w:hAnsi="宋体" w:eastAsia="宋体" w:cs="宋体"/>
          <w:spacing w:val="13"/>
          <w:sz w:val="21"/>
          <w:szCs w:val="21"/>
        </w:rPr>
        <w:t xml:space="preserve"> </w:t>
      </w:r>
      <w:r>
        <w:rPr>
          <w:rFonts w:ascii="宋体" w:hAnsi="宋体" w:eastAsia="宋体" w:cs="宋体"/>
          <w:sz w:val="21"/>
          <w:szCs w:val="21"/>
        </w:rPr>
        <w:t>染引起，以及慢性病患者感染风险增加等。因此，兼顾并重、协同防控这两组疾病，考虑其共性与联</w:t>
      </w:r>
      <w:r>
        <w:rPr>
          <w:rFonts w:ascii="宋体" w:hAnsi="宋体" w:eastAsia="宋体" w:cs="宋体"/>
          <w:spacing w:val="17"/>
          <w:sz w:val="21"/>
          <w:szCs w:val="21"/>
        </w:rPr>
        <w:t xml:space="preserve"> </w:t>
      </w:r>
      <w:r>
        <w:rPr>
          <w:rFonts w:ascii="宋体" w:hAnsi="宋体" w:eastAsia="宋体" w:cs="宋体"/>
          <w:spacing w:val="-2"/>
          <w:sz w:val="21"/>
          <w:szCs w:val="21"/>
        </w:rPr>
        <w:t>系，整合研究与防控活动，可能带来更大收益。</w:t>
      </w:r>
    </w:p>
    <w:p w14:paraId="64AEDD67">
      <w:pPr>
        <w:pStyle w:val="2"/>
        <w:spacing w:before="2" w:line="220" w:lineRule="auto"/>
        <w:ind w:left="443"/>
        <w:rPr>
          <w:sz w:val="25"/>
          <w:szCs w:val="25"/>
        </w:rPr>
      </w:pPr>
      <w:r>
        <w:rPr>
          <w:b/>
          <w:bCs/>
          <w:spacing w:val="-11"/>
          <w:sz w:val="25"/>
          <w:szCs w:val="25"/>
        </w:rPr>
        <w:t>(二)发展系统流行病学</w:t>
      </w:r>
    </w:p>
    <w:p w14:paraId="219BF227">
      <w:pPr>
        <w:spacing w:before="115" w:line="317" w:lineRule="auto"/>
        <w:ind w:right="671" w:firstLine="440"/>
        <w:jc w:val="both"/>
        <w:rPr>
          <w:rFonts w:ascii="宋体" w:hAnsi="宋体" w:eastAsia="宋体" w:cs="宋体"/>
          <w:sz w:val="21"/>
          <w:szCs w:val="21"/>
        </w:rPr>
      </w:pPr>
      <w:r>
        <w:rPr>
          <w:rFonts w:ascii="宋体" w:hAnsi="宋体" w:eastAsia="宋体" w:cs="宋体"/>
          <w:spacing w:val="5"/>
          <w:sz w:val="21"/>
          <w:szCs w:val="21"/>
        </w:rPr>
        <w:t>20世纪后半叶，慢性病流行病学研究兴起，揭示了众多疾</w:t>
      </w:r>
      <w:r>
        <w:rPr>
          <w:rFonts w:ascii="宋体" w:hAnsi="宋体" w:eastAsia="宋体" w:cs="宋体"/>
          <w:spacing w:val="4"/>
          <w:sz w:val="21"/>
          <w:szCs w:val="21"/>
        </w:rPr>
        <w:t>病的危险因素，但难以解析关联背后</w:t>
      </w:r>
      <w:r>
        <w:rPr>
          <w:rFonts w:ascii="宋体" w:hAnsi="宋体" w:eastAsia="宋体" w:cs="宋体"/>
          <w:sz w:val="21"/>
          <w:szCs w:val="21"/>
        </w:rPr>
        <w:t xml:space="preserve"> 的病因机制，因此常被称为“黑箱流行病学”。然而，要真正理解并有效控制疾病的流行，无论是传 </w:t>
      </w:r>
      <w:r>
        <w:rPr>
          <w:rFonts w:ascii="宋体" w:hAnsi="宋体" w:eastAsia="宋体" w:cs="宋体"/>
          <w:spacing w:val="4"/>
          <w:sz w:val="21"/>
          <w:szCs w:val="21"/>
        </w:rPr>
        <w:t>染病还是慢性非传染性疾病，都需要深入理解从分子到个体、社会乃至全球各层面上的影响因素及</w:t>
      </w:r>
      <w:r>
        <w:rPr>
          <w:rFonts w:ascii="宋体" w:hAnsi="宋体" w:eastAsia="宋体" w:cs="宋体"/>
          <w:spacing w:val="18"/>
          <w:sz w:val="21"/>
          <w:szCs w:val="21"/>
        </w:rPr>
        <w:t xml:space="preserve"> </w:t>
      </w:r>
      <w:r>
        <w:rPr>
          <w:rFonts w:ascii="宋体" w:hAnsi="宋体" w:eastAsia="宋体" w:cs="宋体"/>
          <w:spacing w:val="9"/>
          <w:sz w:val="21"/>
          <w:szCs w:val="21"/>
        </w:rPr>
        <w:t>其复杂的相互作用。21世纪最初十年的后半期至今，系统流行病学作为一门新兴的交叉学科应运</w:t>
      </w:r>
      <w:r>
        <w:rPr>
          <w:rFonts w:ascii="宋体" w:hAnsi="宋体" w:eastAsia="宋体" w:cs="宋体"/>
          <w:spacing w:val="10"/>
          <w:sz w:val="21"/>
          <w:szCs w:val="21"/>
        </w:rPr>
        <w:t xml:space="preserve"> </w:t>
      </w:r>
      <w:r>
        <w:rPr>
          <w:rFonts w:ascii="宋体" w:hAnsi="宋体" w:eastAsia="宋体" w:cs="宋体"/>
          <w:spacing w:val="4"/>
          <w:sz w:val="21"/>
          <w:szCs w:val="21"/>
        </w:rPr>
        <w:t>而生，其核心在于整合多组学、多水平数据，以深入研究疾病与健康问题。这一发展为流行病学带</w:t>
      </w:r>
    </w:p>
    <w:p w14:paraId="4A48EC20">
      <w:pPr>
        <w:spacing w:line="317" w:lineRule="auto"/>
        <w:rPr>
          <w:rFonts w:ascii="宋体" w:hAnsi="宋体" w:eastAsia="宋体" w:cs="宋体"/>
          <w:sz w:val="21"/>
          <w:szCs w:val="21"/>
        </w:rPr>
        <w:sectPr>
          <w:footerReference r:id="rId41" w:type="default"/>
          <w:pgSz w:w="11900" w:h="16820"/>
          <w:pgMar w:top="400" w:right="673" w:bottom="846" w:left="1309" w:header="0" w:footer="657" w:gutter="0"/>
          <w:cols w:space="720" w:num="1"/>
        </w:sectPr>
      </w:pPr>
    </w:p>
    <w:p w14:paraId="6427F01B">
      <w:pPr>
        <w:pStyle w:val="2"/>
        <w:spacing w:before="186" w:line="222" w:lineRule="auto"/>
        <w:ind w:left="729"/>
        <w:rPr>
          <w:sz w:val="20"/>
          <w:szCs w:val="20"/>
        </w:rPr>
      </w:pPr>
      <w:r>
        <w:rPr>
          <w:spacing w:val="-15"/>
          <w:w w:val="96"/>
          <w:sz w:val="20"/>
          <w:szCs w:val="20"/>
        </w:rPr>
        <w:t>第一章</w:t>
      </w:r>
      <w:r>
        <w:rPr>
          <w:spacing w:val="47"/>
          <w:sz w:val="20"/>
          <w:szCs w:val="20"/>
        </w:rPr>
        <w:t xml:space="preserve"> </w:t>
      </w:r>
      <w:r>
        <w:rPr>
          <w:spacing w:val="-15"/>
          <w:w w:val="96"/>
          <w:sz w:val="20"/>
          <w:szCs w:val="20"/>
        </w:rPr>
        <w:t>绪论</w:t>
      </w:r>
    </w:p>
    <w:p w14:paraId="5302E3D3">
      <w:pPr>
        <w:spacing w:line="281" w:lineRule="auto"/>
        <w:rPr>
          <w:rFonts w:ascii="Arial"/>
          <w:sz w:val="21"/>
        </w:rPr>
      </w:pPr>
    </w:p>
    <w:p w14:paraId="460B7AAB">
      <w:pPr>
        <w:spacing w:line="281" w:lineRule="auto"/>
        <w:rPr>
          <w:rFonts w:ascii="Arial"/>
          <w:sz w:val="21"/>
        </w:rPr>
      </w:pPr>
    </w:p>
    <w:p w14:paraId="03EF89CF">
      <w:pPr>
        <w:spacing w:before="65" w:line="341" w:lineRule="auto"/>
        <w:ind w:left="729" w:right="249"/>
        <w:jc w:val="both"/>
        <w:rPr>
          <w:rFonts w:ascii="宋体" w:hAnsi="宋体" w:eastAsia="宋体" w:cs="宋体"/>
          <w:sz w:val="20"/>
          <w:szCs w:val="20"/>
        </w:rPr>
      </w:pPr>
      <w:r>
        <w:rPr>
          <w:rFonts w:ascii="宋体" w:hAnsi="宋体" w:eastAsia="宋体" w:cs="宋体"/>
          <w:spacing w:val="2"/>
          <w:sz w:val="20"/>
          <w:szCs w:val="20"/>
        </w:rPr>
        <w:t>来了新的契机，同时也对其研究设计和分析方法提出了挑战。此外，这也凸显了流行病学工作者前</w:t>
      </w:r>
      <w:r>
        <w:rPr>
          <w:rFonts w:ascii="宋体" w:hAnsi="宋体" w:eastAsia="宋体" w:cs="宋体"/>
          <w:spacing w:val="3"/>
          <w:sz w:val="20"/>
          <w:szCs w:val="20"/>
        </w:rPr>
        <w:t xml:space="preserve"> </w:t>
      </w:r>
      <w:r>
        <w:rPr>
          <w:rFonts w:ascii="宋体" w:hAnsi="宋体" w:eastAsia="宋体" w:cs="宋体"/>
          <w:spacing w:val="-2"/>
          <w:sz w:val="20"/>
          <w:szCs w:val="20"/>
        </w:rPr>
        <w:t>期基础课程广度的重要性，包括基础和临床医学、环境科学、社会科学等，以便在解决实际问</w:t>
      </w:r>
      <w:r>
        <w:rPr>
          <w:rFonts w:ascii="宋体" w:hAnsi="宋体" w:eastAsia="宋体" w:cs="宋体"/>
          <w:spacing w:val="-3"/>
          <w:sz w:val="20"/>
          <w:szCs w:val="20"/>
        </w:rPr>
        <w:t>题时能</w:t>
      </w:r>
      <w:r>
        <w:rPr>
          <w:rFonts w:ascii="宋体" w:hAnsi="宋体" w:eastAsia="宋体" w:cs="宋体"/>
          <w:sz w:val="20"/>
          <w:szCs w:val="20"/>
        </w:rPr>
        <w:t xml:space="preserve"> </w:t>
      </w:r>
      <w:r>
        <w:rPr>
          <w:rFonts w:ascii="宋体" w:hAnsi="宋体" w:eastAsia="宋体" w:cs="宋体"/>
          <w:spacing w:val="3"/>
          <w:sz w:val="20"/>
          <w:szCs w:val="20"/>
        </w:rPr>
        <w:t>够提出潜在机制的假设并恰当解释数据和结果，同时也有助于与其他学科的学</w:t>
      </w:r>
      <w:r>
        <w:rPr>
          <w:rFonts w:ascii="宋体" w:hAnsi="宋体" w:eastAsia="宋体" w:cs="宋体"/>
          <w:spacing w:val="2"/>
          <w:sz w:val="20"/>
          <w:szCs w:val="20"/>
        </w:rPr>
        <w:t>者进行有效沟通。</w:t>
      </w:r>
    </w:p>
    <w:p w14:paraId="5C38BDBD">
      <w:pPr>
        <w:pStyle w:val="2"/>
        <w:spacing w:line="220" w:lineRule="auto"/>
        <w:ind w:left="1139"/>
        <w:rPr>
          <w:sz w:val="20"/>
          <w:szCs w:val="20"/>
        </w:rPr>
      </w:pPr>
      <w:r>
        <w:rPr>
          <w:spacing w:val="24"/>
          <w:sz w:val="20"/>
          <w:szCs w:val="20"/>
        </w:rPr>
        <w:t>(三)加强现场流行病学</w:t>
      </w:r>
    </w:p>
    <w:p w14:paraId="33227CD2">
      <w:pPr>
        <w:spacing w:before="163" w:line="333" w:lineRule="auto"/>
        <w:ind w:left="729" w:right="230" w:firstLine="409"/>
        <w:jc w:val="both"/>
        <w:rPr>
          <w:rFonts w:ascii="宋体" w:hAnsi="宋体" w:eastAsia="宋体" w:cs="宋体"/>
          <w:sz w:val="20"/>
          <w:szCs w:val="20"/>
        </w:rPr>
      </w:pPr>
      <w:r>
        <w:rPr>
          <w:rFonts w:ascii="宋体" w:hAnsi="宋体" w:eastAsia="宋体" w:cs="宋体"/>
          <w:spacing w:val="8"/>
          <w:sz w:val="20"/>
          <w:szCs w:val="20"/>
        </w:rPr>
        <w:t>流行病学在研究和应对突发公共卫生事件中发挥着不可替代的作用。尽管紧急情况下调</w:t>
      </w:r>
      <w:r>
        <w:rPr>
          <w:rFonts w:ascii="宋体" w:hAnsi="宋体" w:eastAsia="宋体" w:cs="宋体"/>
          <w:spacing w:val="7"/>
          <w:sz w:val="20"/>
          <w:szCs w:val="20"/>
        </w:rPr>
        <w:t>查设</w:t>
      </w:r>
      <w:r>
        <w:rPr>
          <w:rFonts w:ascii="宋体" w:hAnsi="宋体" w:eastAsia="宋体" w:cs="宋体"/>
          <w:sz w:val="20"/>
          <w:szCs w:val="20"/>
        </w:rPr>
        <w:t xml:space="preserve"> </w:t>
      </w:r>
      <w:r>
        <w:rPr>
          <w:rFonts w:ascii="宋体" w:hAnsi="宋体" w:eastAsia="宋体" w:cs="宋体"/>
          <w:spacing w:val="3"/>
          <w:sz w:val="20"/>
          <w:szCs w:val="20"/>
        </w:rPr>
        <w:t>计和方法受到制约，但流行病学工作者仍需依据不确定和不完善的数据，探索事件的发生原因</w:t>
      </w:r>
      <w:r>
        <w:rPr>
          <w:rFonts w:ascii="宋体" w:hAnsi="宋体" w:eastAsia="宋体" w:cs="宋体"/>
          <w:spacing w:val="2"/>
          <w:sz w:val="20"/>
          <w:szCs w:val="20"/>
        </w:rPr>
        <w:t>、发</w:t>
      </w:r>
      <w:r>
        <w:rPr>
          <w:rFonts w:ascii="宋体" w:hAnsi="宋体" w:eastAsia="宋体" w:cs="宋体"/>
          <w:sz w:val="20"/>
          <w:szCs w:val="20"/>
        </w:rPr>
        <w:t xml:space="preserve"> </w:t>
      </w:r>
      <w:r>
        <w:rPr>
          <w:rFonts w:ascii="宋体" w:hAnsi="宋体" w:eastAsia="宋体" w:cs="宋体"/>
          <w:spacing w:val="3"/>
          <w:sz w:val="20"/>
          <w:szCs w:val="20"/>
        </w:rPr>
        <w:t>展规律和危害特征，以支持快速决策并实施有</w:t>
      </w:r>
      <w:r>
        <w:rPr>
          <w:rFonts w:ascii="宋体" w:hAnsi="宋体" w:eastAsia="宋体" w:cs="宋体"/>
          <w:spacing w:val="2"/>
          <w:sz w:val="20"/>
          <w:szCs w:val="20"/>
        </w:rPr>
        <w:t>效控制，同时制定预防策略和应急预案，以上属于现</w:t>
      </w:r>
      <w:r>
        <w:rPr>
          <w:rFonts w:ascii="宋体" w:hAnsi="宋体" w:eastAsia="宋体" w:cs="宋体"/>
          <w:sz w:val="20"/>
          <w:szCs w:val="20"/>
        </w:rPr>
        <w:t xml:space="preserve"> </w:t>
      </w:r>
      <w:r>
        <w:rPr>
          <w:rFonts w:ascii="宋体" w:hAnsi="宋体" w:eastAsia="宋体" w:cs="宋体"/>
          <w:spacing w:val="3"/>
          <w:sz w:val="20"/>
          <w:szCs w:val="20"/>
        </w:rPr>
        <w:t>场流行病学的范畴。近年来，突发公共卫生事件频发，对人群健康、社会稳定和经济发展构成严重</w:t>
      </w:r>
      <w:r>
        <w:rPr>
          <w:rFonts w:ascii="宋体" w:hAnsi="宋体" w:eastAsia="宋体" w:cs="宋体"/>
          <w:sz w:val="20"/>
          <w:szCs w:val="20"/>
        </w:rPr>
        <w:t xml:space="preserve"> </w:t>
      </w:r>
      <w:r>
        <w:rPr>
          <w:rFonts w:ascii="宋体" w:hAnsi="宋体" w:eastAsia="宋体" w:cs="宋体"/>
          <w:spacing w:val="-1"/>
          <w:sz w:val="20"/>
          <w:szCs w:val="20"/>
        </w:rPr>
        <w:t>威胁，因此加强现场流行病学势在必行。</w:t>
      </w:r>
    </w:p>
    <w:p w14:paraId="57F119FB">
      <w:pPr>
        <w:pStyle w:val="2"/>
        <w:spacing w:before="44" w:line="221" w:lineRule="auto"/>
        <w:ind w:left="1139"/>
        <w:rPr>
          <w:sz w:val="20"/>
          <w:szCs w:val="20"/>
        </w:rPr>
      </w:pPr>
      <w:r>
        <w:rPr>
          <w:spacing w:val="21"/>
          <w:sz w:val="20"/>
          <w:szCs w:val="20"/>
        </w:rPr>
        <w:t>(四)坚持流行病学的使命和本质</w:t>
      </w:r>
    </w:p>
    <w:p w14:paraId="64C222C0">
      <w:pPr>
        <w:spacing w:before="132" w:line="342" w:lineRule="auto"/>
        <w:ind w:left="729" w:right="139" w:firstLine="409"/>
        <w:jc w:val="both"/>
        <w:rPr>
          <w:rFonts w:ascii="宋体" w:hAnsi="宋体" w:eastAsia="宋体" w:cs="宋体"/>
          <w:sz w:val="20"/>
          <w:szCs w:val="20"/>
        </w:rPr>
      </w:pPr>
      <w:r>
        <w:rPr>
          <w:rFonts w:ascii="宋体" w:hAnsi="宋体" w:eastAsia="宋体" w:cs="宋体"/>
          <w:spacing w:val="3"/>
          <w:sz w:val="20"/>
          <w:szCs w:val="20"/>
        </w:rPr>
        <w:t>随着数字时代的发展，健康医疗大数据呈现指数级增长。新的统计方法，包括机器</w:t>
      </w:r>
      <w:r>
        <w:rPr>
          <w:rFonts w:ascii="宋体" w:hAnsi="宋体" w:eastAsia="宋体" w:cs="宋体"/>
          <w:spacing w:val="2"/>
          <w:sz w:val="20"/>
          <w:szCs w:val="20"/>
        </w:rPr>
        <w:t>学习算法等</w:t>
      </w:r>
      <w:r>
        <w:rPr>
          <w:rFonts w:ascii="宋体" w:hAnsi="宋体" w:eastAsia="宋体" w:cs="宋体"/>
          <w:sz w:val="20"/>
          <w:szCs w:val="20"/>
        </w:rPr>
        <w:t xml:space="preserve">  </w:t>
      </w:r>
      <w:r>
        <w:rPr>
          <w:rFonts w:ascii="宋体" w:hAnsi="宋体" w:eastAsia="宋体" w:cs="宋体"/>
          <w:spacing w:val="3"/>
          <w:sz w:val="20"/>
          <w:szCs w:val="20"/>
        </w:rPr>
        <w:t xml:space="preserve">不断涌现并在流行病学研究中得到广泛应用，这无疑推动了流行病学的发展，使其能够解答一些以  </w:t>
      </w:r>
      <w:r>
        <w:rPr>
          <w:rFonts w:ascii="宋体" w:hAnsi="宋体" w:eastAsia="宋体" w:cs="宋体"/>
          <w:sz w:val="20"/>
          <w:szCs w:val="20"/>
        </w:rPr>
        <w:t>往难以解决的问题。然而，我们必须明确，数据是基础，统计方法是工具和手段，而解决疾病威胁、</w:t>
      </w:r>
      <w:r>
        <w:rPr>
          <w:rFonts w:ascii="宋体" w:hAnsi="宋体" w:eastAsia="宋体" w:cs="宋体"/>
          <w:spacing w:val="18"/>
          <w:sz w:val="20"/>
          <w:szCs w:val="20"/>
        </w:rPr>
        <w:t xml:space="preserve"> </w:t>
      </w:r>
      <w:r>
        <w:rPr>
          <w:rFonts w:ascii="宋体" w:hAnsi="宋体" w:eastAsia="宋体" w:cs="宋体"/>
          <w:spacing w:val="8"/>
          <w:sz w:val="20"/>
          <w:szCs w:val="20"/>
        </w:rPr>
        <w:t>促进人群健康才是流行病学的根本使命，不可本末倒置。对于非基于科学目的</w:t>
      </w:r>
      <w:r>
        <w:rPr>
          <w:rFonts w:ascii="宋体" w:hAnsi="宋体" w:eastAsia="宋体" w:cs="宋体"/>
          <w:spacing w:val="7"/>
          <w:sz w:val="20"/>
          <w:szCs w:val="20"/>
        </w:rPr>
        <w:t>积累的健康医疗大</w:t>
      </w:r>
      <w:r>
        <w:rPr>
          <w:rFonts w:ascii="宋体" w:hAnsi="宋体" w:eastAsia="宋体" w:cs="宋体"/>
          <w:sz w:val="20"/>
          <w:szCs w:val="20"/>
        </w:rPr>
        <w:t xml:space="preserve">  </w:t>
      </w:r>
      <w:r>
        <w:rPr>
          <w:rFonts w:ascii="宋体" w:hAnsi="宋体" w:eastAsia="宋体" w:cs="宋体"/>
          <w:spacing w:val="3"/>
          <w:sz w:val="20"/>
          <w:szCs w:val="20"/>
        </w:rPr>
        <w:t>数据，应运用流行病学的思想方法来谨慎解读结果，并对结论的真实性进行科学评价。同时，我们</w:t>
      </w:r>
      <w:r>
        <w:rPr>
          <w:rFonts w:ascii="宋体" w:hAnsi="宋体" w:eastAsia="宋体" w:cs="宋体"/>
          <w:spacing w:val="2"/>
          <w:sz w:val="20"/>
          <w:szCs w:val="20"/>
        </w:rPr>
        <w:t xml:space="preserve">  </w:t>
      </w:r>
      <w:r>
        <w:rPr>
          <w:rFonts w:ascii="宋体" w:hAnsi="宋体" w:eastAsia="宋体" w:cs="宋体"/>
          <w:spacing w:val="5"/>
          <w:sz w:val="20"/>
          <w:szCs w:val="20"/>
        </w:rPr>
        <w:t>仍鼓励基于明确的研究目的和科学设计，专门组织开展调查研究，募集研究对象并采集原始数据。</w:t>
      </w:r>
      <w:r>
        <w:rPr>
          <w:rFonts w:ascii="宋体" w:hAnsi="宋体" w:eastAsia="宋体" w:cs="宋体"/>
          <w:spacing w:val="4"/>
          <w:sz w:val="20"/>
          <w:szCs w:val="20"/>
        </w:rPr>
        <w:t xml:space="preserve"> </w:t>
      </w:r>
      <w:r>
        <w:rPr>
          <w:rFonts w:ascii="宋体" w:hAnsi="宋体" w:eastAsia="宋体" w:cs="宋体"/>
          <w:spacing w:val="-2"/>
          <w:sz w:val="20"/>
          <w:szCs w:val="20"/>
        </w:rPr>
        <w:t>总之，在新时代，我们应坚持流行病学的使命和思想方法，同时充分利用新数据资源、新方法和新技</w:t>
      </w:r>
      <w:r>
        <w:rPr>
          <w:rFonts w:ascii="宋体" w:hAnsi="宋体" w:eastAsia="宋体" w:cs="宋体"/>
          <w:spacing w:val="7"/>
          <w:sz w:val="20"/>
          <w:szCs w:val="20"/>
        </w:rPr>
        <w:t xml:space="preserve">  </w:t>
      </w:r>
      <w:r>
        <w:rPr>
          <w:rFonts w:ascii="宋体" w:hAnsi="宋体" w:eastAsia="宋体" w:cs="宋体"/>
          <w:spacing w:val="-3"/>
          <w:sz w:val="20"/>
          <w:szCs w:val="20"/>
        </w:rPr>
        <w:t>术，以助力流行病学的发展。</w:t>
      </w:r>
    </w:p>
    <w:p w14:paraId="4FF7B973">
      <w:pPr>
        <w:pStyle w:val="2"/>
        <w:spacing w:before="21" w:line="221" w:lineRule="auto"/>
        <w:ind w:left="1142"/>
        <w:rPr>
          <w:sz w:val="20"/>
          <w:szCs w:val="20"/>
        </w:rPr>
      </w:pPr>
      <w:r>
        <w:rPr>
          <w:b/>
          <w:bCs/>
          <w:spacing w:val="17"/>
          <w:sz w:val="20"/>
          <w:szCs w:val="20"/>
        </w:rPr>
        <w:t>(五)关注流行病学中的伦理学问题</w:t>
      </w:r>
    </w:p>
    <w:p w14:paraId="6845BDC5">
      <w:pPr>
        <w:spacing w:before="144" w:line="333" w:lineRule="auto"/>
        <w:ind w:left="729" w:right="139" w:firstLine="409"/>
        <w:jc w:val="both"/>
        <w:rPr>
          <w:rFonts w:ascii="宋体" w:hAnsi="宋体" w:eastAsia="宋体" w:cs="宋体"/>
          <w:sz w:val="20"/>
          <w:szCs w:val="20"/>
        </w:rPr>
      </w:pPr>
      <w:r>
        <w:rPr>
          <w:rFonts w:ascii="宋体" w:hAnsi="宋体" w:eastAsia="宋体" w:cs="宋体"/>
          <w:spacing w:val="3"/>
          <w:sz w:val="20"/>
          <w:szCs w:val="20"/>
        </w:rPr>
        <w:t>流行病学研究以人为对象，无论是实验性还是观察性研究，均涉及伦理学问题。</w:t>
      </w:r>
      <w:r>
        <w:rPr>
          <w:rFonts w:ascii="宋体" w:hAnsi="宋体" w:eastAsia="宋体" w:cs="宋体"/>
          <w:spacing w:val="2"/>
          <w:sz w:val="20"/>
          <w:szCs w:val="20"/>
        </w:rPr>
        <w:t>即使观察性研</w:t>
      </w:r>
      <w:r>
        <w:rPr>
          <w:rFonts w:ascii="宋体" w:hAnsi="宋体" w:eastAsia="宋体" w:cs="宋体"/>
          <w:sz w:val="20"/>
          <w:szCs w:val="20"/>
        </w:rPr>
        <w:t xml:space="preserve">  </w:t>
      </w:r>
      <w:r>
        <w:rPr>
          <w:rFonts w:ascii="宋体" w:hAnsi="宋体" w:eastAsia="宋体" w:cs="宋体"/>
          <w:spacing w:val="8"/>
          <w:sz w:val="20"/>
          <w:szCs w:val="20"/>
        </w:rPr>
        <w:t>究可将研究对象可能面临的风险最小化，也必须严格执行知情同意原则，保护其隐私权和个人信</w:t>
      </w:r>
      <w:r>
        <w:rPr>
          <w:rFonts w:ascii="宋体" w:hAnsi="宋体" w:eastAsia="宋体" w:cs="宋体"/>
          <w:spacing w:val="17"/>
          <w:sz w:val="20"/>
          <w:szCs w:val="20"/>
        </w:rPr>
        <w:t xml:space="preserve"> </w:t>
      </w:r>
      <w:r>
        <w:rPr>
          <w:rFonts w:ascii="宋体" w:hAnsi="宋体" w:eastAsia="宋体" w:cs="宋体"/>
          <w:spacing w:val="3"/>
          <w:sz w:val="20"/>
          <w:szCs w:val="20"/>
        </w:rPr>
        <w:t>息。近年来，越来越多的流行病学研究采集并检测生物样本、利用健康医疗大数据，其中涉及</w:t>
      </w:r>
      <w:r>
        <w:rPr>
          <w:rFonts w:ascii="宋体" w:hAnsi="宋体" w:eastAsia="宋体" w:cs="宋体"/>
          <w:spacing w:val="2"/>
          <w:sz w:val="20"/>
          <w:szCs w:val="20"/>
        </w:rPr>
        <w:t>的基</w:t>
      </w:r>
      <w:r>
        <w:rPr>
          <w:rFonts w:ascii="宋体" w:hAnsi="宋体" w:eastAsia="宋体" w:cs="宋体"/>
          <w:sz w:val="20"/>
          <w:szCs w:val="20"/>
        </w:rPr>
        <w:t xml:space="preserve">  </w:t>
      </w:r>
      <w:r>
        <w:rPr>
          <w:rFonts w:ascii="宋体" w:hAnsi="宋体" w:eastAsia="宋体" w:cs="宋体"/>
          <w:spacing w:val="1"/>
          <w:sz w:val="20"/>
          <w:szCs w:val="20"/>
        </w:rPr>
        <w:t>因等生物识别信息及健康医疗信息等均属于敏感个人信息，</w:t>
      </w:r>
      <w:r>
        <w:rPr>
          <w:rFonts w:ascii="宋体" w:hAnsi="宋体" w:eastAsia="宋体" w:cs="宋体"/>
          <w:spacing w:val="-17"/>
          <w:sz w:val="20"/>
          <w:szCs w:val="20"/>
        </w:rPr>
        <w:t xml:space="preserve"> </w:t>
      </w:r>
      <w:r>
        <w:rPr>
          <w:rFonts w:ascii="宋体" w:hAnsi="宋体" w:eastAsia="宋体" w:cs="宋体"/>
          <w:spacing w:val="1"/>
          <w:sz w:val="20"/>
          <w:szCs w:val="20"/>
        </w:rPr>
        <w:t>一旦泄露，容易对个人、家庭和社会造</w:t>
      </w:r>
      <w:r>
        <w:rPr>
          <w:rFonts w:ascii="宋体" w:hAnsi="宋体" w:eastAsia="宋体" w:cs="宋体"/>
          <w:sz w:val="20"/>
          <w:szCs w:val="20"/>
        </w:rPr>
        <w:t xml:space="preserve">  </w:t>
      </w:r>
      <w:r>
        <w:rPr>
          <w:rFonts w:ascii="宋体" w:hAnsi="宋体" w:eastAsia="宋体" w:cs="宋体"/>
          <w:spacing w:val="5"/>
          <w:sz w:val="20"/>
          <w:szCs w:val="20"/>
        </w:rPr>
        <w:t>成不良影响。此外，在疾病防控的疾病监测、筛检、实施干预等过程中也会面临复杂的伦理挑战。</w:t>
      </w:r>
      <w:r>
        <w:rPr>
          <w:rFonts w:ascii="宋体" w:hAnsi="宋体" w:eastAsia="宋体" w:cs="宋体"/>
          <w:spacing w:val="4"/>
          <w:sz w:val="20"/>
          <w:szCs w:val="20"/>
        </w:rPr>
        <w:t xml:space="preserve"> </w:t>
      </w:r>
      <w:r>
        <w:rPr>
          <w:rFonts w:ascii="宋体" w:hAnsi="宋体" w:eastAsia="宋体" w:cs="宋体"/>
          <w:spacing w:val="1"/>
          <w:sz w:val="20"/>
          <w:szCs w:val="20"/>
        </w:rPr>
        <w:t>因此，流行病学工作者必须重视研究与实践中的伦理学问题。</w:t>
      </w:r>
    </w:p>
    <w:p w14:paraId="7BB125DF">
      <w:pPr>
        <w:pStyle w:val="2"/>
        <w:spacing w:before="49" w:line="218" w:lineRule="auto"/>
        <w:ind w:left="1142"/>
        <w:rPr>
          <w:sz w:val="20"/>
          <w:szCs w:val="20"/>
        </w:rPr>
      </w:pPr>
      <w:r>
        <w:rPr>
          <w:b/>
          <w:bCs/>
          <w:spacing w:val="17"/>
          <w:sz w:val="20"/>
          <w:szCs w:val="20"/>
        </w:rPr>
        <w:t>(六)强化流行病学在循证实践中的作用</w:t>
      </w:r>
    </w:p>
    <w:p w14:paraId="4B1F8F1A">
      <w:pPr>
        <w:spacing w:before="131" w:line="334" w:lineRule="auto"/>
        <w:ind w:left="729" w:right="211" w:firstLine="409"/>
        <w:jc w:val="both"/>
        <w:rPr>
          <w:rFonts w:ascii="宋体" w:hAnsi="宋体" w:eastAsia="宋体" w:cs="宋体"/>
          <w:sz w:val="20"/>
          <w:szCs w:val="20"/>
        </w:rPr>
      </w:pPr>
      <w:r>
        <w:rPr>
          <w:rFonts w:ascii="宋体" w:hAnsi="宋体" w:eastAsia="宋体" w:cs="宋体"/>
          <w:spacing w:val="8"/>
          <w:sz w:val="20"/>
          <w:szCs w:val="20"/>
        </w:rPr>
        <w:t>产生证据并进行科学评价是流行病学的两大重要作用。在当前循证浪潮中，流行病学应把握</w:t>
      </w:r>
      <w:r>
        <w:rPr>
          <w:rFonts w:ascii="宋体" w:hAnsi="宋体" w:eastAsia="宋体" w:cs="宋体"/>
          <w:spacing w:val="17"/>
          <w:sz w:val="20"/>
          <w:szCs w:val="20"/>
        </w:rPr>
        <w:t xml:space="preserve"> </w:t>
      </w:r>
      <w:r>
        <w:rPr>
          <w:rFonts w:ascii="宋体" w:hAnsi="宋体" w:eastAsia="宋体" w:cs="宋体"/>
          <w:spacing w:val="3"/>
          <w:sz w:val="20"/>
          <w:szCs w:val="20"/>
        </w:rPr>
        <w:t>机遇，巩固和加强其在循证实践中的作用和地位，确保所有卫生决策均基于当前最佳证据，以实现</w:t>
      </w:r>
      <w:r>
        <w:rPr>
          <w:rFonts w:ascii="宋体" w:hAnsi="宋体" w:eastAsia="宋体" w:cs="宋体"/>
          <w:spacing w:val="17"/>
          <w:sz w:val="20"/>
          <w:szCs w:val="20"/>
        </w:rPr>
        <w:t xml:space="preserve"> </w:t>
      </w:r>
      <w:r>
        <w:rPr>
          <w:rFonts w:ascii="宋体" w:hAnsi="宋体" w:eastAsia="宋体" w:cs="宋体"/>
          <w:spacing w:val="1"/>
          <w:sz w:val="20"/>
          <w:szCs w:val="20"/>
        </w:rPr>
        <w:t>有限卫生资源的最优配置和利用。</w:t>
      </w:r>
    </w:p>
    <w:p w14:paraId="33044A93">
      <w:pPr>
        <w:spacing w:before="45" w:line="219" w:lineRule="auto"/>
        <w:ind w:left="7909"/>
        <w:rPr>
          <w:rFonts w:ascii="宋体" w:hAnsi="宋体" w:eastAsia="宋体" w:cs="宋体"/>
          <w:sz w:val="20"/>
          <w:szCs w:val="20"/>
        </w:rPr>
      </w:pPr>
      <w:r>
        <w:rPr>
          <w:rFonts w:ascii="宋体" w:hAnsi="宋体" w:eastAsia="宋体" w:cs="宋体"/>
          <w:spacing w:val="-18"/>
          <w:sz w:val="20"/>
          <w:szCs w:val="20"/>
        </w:rPr>
        <w:t>(</w:t>
      </w:r>
      <w:r>
        <w:rPr>
          <w:rFonts w:ascii="宋体" w:hAnsi="宋体" w:eastAsia="宋体" w:cs="宋体"/>
          <w:spacing w:val="17"/>
          <w:sz w:val="20"/>
          <w:szCs w:val="20"/>
        </w:rPr>
        <w:t xml:space="preserve"> </w:t>
      </w:r>
      <w:r>
        <w:rPr>
          <w:rFonts w:ascii="宋体" w:hAnsi="宋体" w:eastAsia="宋体" w:cs="宋体"/>
          <w:spacing w:val="-18"/>
          <w:sz w:val="20"/>
          <w:szCs w:val="20"/>
        </w:rPr>
        <w:t>吕 筠 李</w:t>
      </w:r>
      <w:r>
        <w:rPr>
          <w:rFonts w:ascii="宋体" w:hAnsi="宋体" w:eastAsia="宋体" w:cs="宋体"/>
          <w:spacing w:val="-15"/>
          <w:sz w:val="20"/>
          <w:szCs w:val="20"/>
        </w:rPr>
        <w:t xml:space="preserve"> </w:t>
      </w:r>
      <w:r>
        <w:rPr>
          <w:rFonts w:ascii="宋体" w:hAnsi="宋体" w:eastAsia="宋体" w:cs="宋体"/>
          <w:spacing w:val="-18"/>
          <w:sz w:val="20"/>
          <w:szCs w:val="20"/>
        </w:rPr>
        <w:t>立</w:t>
      </w:r>
      <w:r>
        <w:rPr>
          <w:rFonts w:ascii="宋体" w:hAnsi="宋体" w:eastAsia="宋体" w:cs="宋体"/>
          <w:spacing w:val="5"/>
          <w:sz w:val="20"/>
          <w:szCs w:val="20"/>
        </w:rPr>
        <w:t xml:space="preserve"> </w:t>
      </w:r>
      <w:r>
        <w:rPr>
          <w:rFonts w:ascii="宋体" w:hAnsi="宋体" w:eastAsia="宋体" w:cs="宋体"/>
          <w:spacing w:val="-18"/>
          <w:sz w:val="20"/>
          <w:szCs w:val="20"/>
        </w:rPr>
        <w:t>明</w:t>
      </w:r>
      <w:r>
        <w:rPr>
          <w:rFonts w:ascii="宋体" w:hAnsi="宋体" w:eastAsia="宋体" w:cs="宋体"/>
          <w:spacing w:val="-14"/>
          <w:sz w:val="20"/>
          <w:szCs w:val="20"/>
        </w:rPr>
        <w:t xml:space="preserve"> </w:t>
      </w:r>
      <w:r>
        <w:rPr>
          <w:rFonts w:ascii="宋体" w:hAnsi="宋体" w:eastAsia="宋体" w:cs="宋体"/>
          <w:spacing w:val="-18"/>
          <w:sz w:val="20"/>
          <w:szCs w:val="20"/>
        </w:rPr>
        <w:t>)</w:t>
      </w:r>
    </w:p>
    <w:p w14:paraId="58ECDA38">
      <w:pPr>
        <w:spacing w:line="272" w:lineRule="auto"/>
        <w:rPr>
          <w:rFonts w:ascii="Arial"/>
          <w:sz w:val="21"/>
        </w:rPr>
      </w:pPr>
    </w:p>
    <w:p w14:paraId="72D2728C">
      <w:pPr>
        <w:spacing w:before="1" w:line="460" w:lineRule="exact"/>
        <w:ind w:firstLine="6389"/>
      </w:pPr>
      <w:r>
        <w:rPr>
          <w:position w:val="-9"/>
        </w:rPr>
        <w:drawing>
          <wp:inline distT="0" distB="0" distL="0" distR="0">
            <wp:extent cx="2094865" cy="292100"/>
            <wp:effectExtent l="0" t="0" r="0" b="0"/>
            <wp:docPr id="64" name="IM 64"/>
            <wp:cNvGraphicFramePr/>
            <a:graphic xmlns:a="http://schemas.openxmlformats.org/drawingml/2006/main">
              <a:graphicData uri="http://schemas.openxmlformats.org/drawingml/2006/picture">
                <pic:pic xmlns:pic="http://schemas.openxmlformats.org/drawingml/2006/picture">
                  <pic:nvPicPr>
                    <pic:cNvPr id="64" name="IM 64"/>
                    <pic:cNvPicPr/>
                  </pic:nvPicPr>
                  <pic:blipFill>
                    <a:blip r:embed="rId428"/>
                    <a:stretch>
                      <a:fillRect/>
                    </a:stretch>
                  </pic:blipFill>
                  <pic:spPr>
                    <a:xfrm>
                      <a:off x="0" y="0"/>
                      <a:ext cx="2095492" cy="292117"/>
                    </a:xfrm>
                    <a:prstGeom prst="rect">
                      <a:avLst/>
                    </a:prstGeom>
                  </pic:spPr>
                </pic:pic>
              </a:graphicData>
            </a:graphic>
          </wp:inline>
        </w:drawing>
      </w:r>
    </w:p>
    <w:p w14:paraId="2157F357">
      <w:pPr>
        <w:pStyle w:val="2"/>
        <w:spacing w:before="67" w:line="222" w:lineRule="auto"/>
        <w:ind w:left="1143"/>
        <w:rPr>
          <w:sz w:val="26"/>
          <w:szCs w:val="26"/>
        </w:rPr>
      </w:pPr>
      <w:r>
        <w:rPr>
          <w:b/>
          <w:bCs/>
          <w:spacing w:val="-5"/>
          <w:sz w:val="26"/>
          <w:szCs w:val="26"/>
        </w:rPr>
        <w:t>思考题</w:t>
      </w:r>
    </w:p>
    <w:p w14:paraId="1FE2F04E">
      <w:pPr>
        <w:spacing w:before="108" w:line="219" w:lineRule="auto"/>
        <w:ind w:left="1979"/>
        <w:rPr>
          <w:rFonts w:ascii="宋体" w:hAnsi="宋体" w:eastAsia="宋体" w:cs="宋体"/>
          <w:sz w:val="20"/>
          <w:szCs w:val="20"/>
        </w:rPr>
      </w:pPr>
      <w:r>
        <w:rPr>
          <w:rFonts w:ascii="宋体" w:hAnsi="宋体" w:eastAsia="宋体" w:cs="宋体"/>
          <w:spacing w:val="1"/>
          <w:sz w:val="20"/>
          <w:szCs w:val="20"/>
        </w:rPr>
        <w:t>1.</w:t>
      </w:r>
      <w:r>
        <w:rPr>
          <w:rFonts w:ascii="宋体" w:hAnsi="宋体" w:eastAsia="宋体" w:cs="宋体"/>
          <w:spacing w:val="-48"/>
          <w:sz w:val="20"/>
          <w:szCs w:val="20"/>
        </w:rPr>
        <w:t xml:space="preserve"> </w:t>
      </w:r>
      <w:r>
        <w:rPr>
          <w:rFonts w:ascii="宋体" w:hAnsi="宋体" w:eastAsia="宋体" w:cs="宋体"/>
          <w:spacing w:val="1"/>
          <w:sz w:val="20"/>
          <w:szCs w:val="20"/>
        </w:rPr>
        <w:t>学习流行病学历史后，你对流行病学这一学科有何认识?</w:t>
      </w:r>
    </w:p>
    <w:p w14:paraId="3A28D161">
      <w:pPr>
        <w:spacing w:before="144" w:line="219" w:lineRule="auto"/>
        <w:ind w:left="1979"/>
        <w:rPr>
          <w:rFonts w:ascii="宋体" w:hAnsi="宋体" w:eastAsia="宋体" w:cs="宋体"/>
          <w:sz w:val="20"/>
          <w:szCs w:val="20"/>
        </w:rPr>
      </w:pPr>
      <w:r>
        <w:rPr>
          <w:rFonts w:ascii="宋体" w:hAnsi="宋体" w:eastAsia="宋体" w:cs="宋体"/>
          <w:spacing w:val="7"/>
          <w:sz w:val="20"/>
          <w:szCs w:val="20"/>
        </w:rPr>
        <w:t>2.</w:t>
      </w:r>
      <w:r>
        <w:rPr>
          <w:rFonts w:ascii="宋体" w:hAnsi="宋体" w:eastAsia="宋体" w:cs="宋体"/>
          <w:spacing w:val="-34"/>
          <w:sz w:val="20"/>
          <w:szCs w:val="20"/>
        </w:rPr>
        <w:t xml:space="preserve"> </w:t>
      </w:r>
      <w:r>
        <w:rPr>
          <w:rFonts w:ascii="宋体" w:hAnsi="宋体" w:eastAsia="宋体" w:cs="宋体"/>
          <w:spacing w:val="7"/>
          <w:sz w:val="20"/>
          <w:szCs w:val="20"/>
        </w:rPr>
        <w:t>流行病学定义的发展体现了什么?其应用有哪些方面的发展?</w:t>
      </w:r>
    </w:p>
    <w:p w14:paraId="4B39661B">
      <w:pPr>
        <w:spacing w:before="113" w:line="219" w:lineRule="auto"/>
        <w:ind w:left="1979"/>
        <w:rPr>
          <w:rFonts w:ascii="宋体" w:hAnsi="宋体" w:eastAsia="宋体" w:cs="宋体"/>
          <w:sz w:val="20"/>
          <w:szCs w:val="20"/>
        </w:rPr>
      </w:pPr>
      <w:r>
        <w:rPr>
          <w:rFonts w:ascii="宋体" w:hAnsi="宋体" w:eastAsia="宋体" w:cs="宋体"/>
          <w:spacing w:val="4"/>
          <w:sz w:val="20"/>
          <w:szCs w:val="20"/>
        </w:rPr>
        <w:t>3.</w:t>
      </w:r>
      <w:r>
        <w:rPr>
          <w:rFonts w:ascii="宋体" w:hAnsi="宋体" w:eastAsia="宋体" w:cs="宋体"/>
          <w:spacing w:val="-45"/>
          <w:sz w:val="20"/>
          <w:szCs w:val="20"/>
        </w:rPr>
        <w:t xml:space="preserve"> </w:t>
      </w:r>
      <w:r>
        <w:rPr>
          <w:rFonts w:ascii="宋体" w:hAnsi="宋体" w:eastAsia="宋体" w:cs="宋体"/>
          <w:spacing w:val="4"/>
          <w:sz w:val="20"/>
          <w:szCs w:val="20"/>
        </w:rPr>
        <w:t>流行病学的主要特征包括哪些?</w:t>
      </w:r>
    </w:p>
    <w:p w14:paraId="2E0E6460">
      <w:pPr>
        <w:spacing w:line="219" w:lineRule="auto"/>
        <w:rPr>
          <w:rFonts w:ascii="宋体" w:hAnsi="宋体" w:eastAsia="宋体" w:cs="宋体"/>
          <w:sz w:val="20"/>
          <w:szCs w:val="20"/>
        </w:rPr>
        <w:sectPr>
          <w:footerReference r:id="rId42" w:type="default"/>
          <w:pgSz w:w="11900" w:h="16820"/>
          <w:pgMar w:top="400" w:right="1430" w:bottom="799" w:left="780" w:header="0" w:footer="619" w:gutter="0"/>
          <w:cols w:space="720" w:num="1"/>
        </w:sectPr>
      </w:pPr>
    </w:p>
    <w:p w14:paraId="34E0AEF2">
      <w:pPr>
        <w:spacing w:line="258" w:lineRule="auto"/>
        <w:rPr>
          <w:rFonts w:ascii="Arial"/>
          <w:sz w:val="21"/>
        </w:rPr>
      </w:pPr>
    </w:p>
    <w:p w14:paraId="7E9FC766">
      <w:pPr>
        <w:spacing w:line="258" w:lineRule="auto"/>
        <w:rPr>
          <w:rFonts w:ascii="Arial"/>
          <w:sz w:val="21"/>
        </w:rPr>
      </w:pPr>
    </w:p>
    <w:p w14:paraId="78C9F350">
      <w:pPr>
        <w:spacing w:line="258" w:lineRule="auto"/>
        <w:rPr>
          <w:rFonts w:ascii="Arial"/>
          <w:sz w:val="21"/>
        </w:rPr>
      </w:pPr>
    </w:p>
    <w:p w14:paraId="74F9E0DE">
      <w:pPr>
        <w:spacing w:line="258" w:lineRule="auto"/>
        <w:rPr>
          <w:rFonts w:ascii="Arial"/>
          <w:sz w:val="21"/>
        </w:rPr>
      </w:pPr>
      <w:r>
        <w:drawing>
          <wp:anchor distT="0" distB="0" distL="0" distR="0" simplePos="0" relativeHeight="251677696" behindDoc="0" locked="0" layoutInCell="1" allowOverlap="1">
            <wp:simplePos x="0" y="0"/>
            <wp:positionH relativeFrom="column">
              <wp:posOffset>5327015</wp:posOffset>
            </wp:positionH>
            <wp:positionV relativeFrom="paragraph">
              <wp:posOffset>222250</wp:posOffset>
            </wp:positionV>
            <wp:extent cx="603250" cy="609600"/>
            <wp:effectExtent l="0" t="0" r="0" b="0"/>
            <wp:wrapNone/>
            <wp:docPr id="66" name="IM 66"/>
            <wp:cNvGraphicFramePr/>
            <a:graphic xmlns:a="http://schemas.openxmlformats.org/drawingml/2006/main">
              <a:graphicData uri="http://schemas.openxmlformats.org/drawingml/2006/picture">
                <pic:pic xmlns:pic="http://schemas.openxmlformats.org/drawingml/2006/picture">
                  <pic:nvPicPr>
                    <pic:cNvPr id="66" name="IM 66"/>
                    <pic:cNvPicPr/>
                  </pic:nvPicPr>
                  <pic:blipFill>
                    <a:blip r:embed="rId429"/>
                    <a:stretch>
                      <a:fillRect/>
                    </a:stretch>
                  </pic:blipFill>
                  <pic:spPr>
                    <a:xfrm>
                      <a:off x="0" y="0"/>
                      <a:ext cx="603234" cy="609654"/>
                    </a:xfrm>
                    <a:prstGeom prst="rect">
                      <a:avLst/>
                    </a:prstGeom>
                  </pic:spPr>
                </pic:pic>
              </a:graphicData>
            </a:graphic>
          </wp:anchor>
        </w:drawing>
      </w:r>
    </w:p>
    <w:p w14:paraId="062B43C1">
      <w:pPr>
        <w:pStyle w:val="2"/>
        <w:spacing w:before="97" w:line="222" w:lineRule="auto"/>
        <w:ind w:left="4204"/>
        <w:outlineLvl w:val="0"/>
      </w:pPr>
      <w:bookmarkStart w:id="28" w:name="bookmark17"/>
      <w:bookmarkEnd w:id="28"/>
      <w:r>
        <w:rPr>
          <w:b/>
          <w:bCs/>
          <w:spacing w:val="7"/>
        </w:rPr>
        <w:t>第二章</w:t>
      </w:r>
    </w:p>
    <w:p w14:paraId="3D10189C">
      <w:pPr>
        <w:pStyle w:val="2"/>
        <w:spacing w:before="91" w:line="221" w:lineRule="auto"/>
        <w:ind w:left="3506"/>
        <w:outlineLvl w:val="0"/>
        <w:rPr>
          <w:sz w:val="47"/>
          <w:szCs w:val="47"/>
        </w:rPr>
      </w:pPr>
      <w:bookmarkStart w:id="29" w:name="bookmark17"/>
      <w:bookmarkEnd w:id="29"/>
      <w:r>
        <w:rPr>
          <w:b/>
          <w:bCs/>
          <w:spacing w:val="-8"/>
          <w:sz w:val="47"/>
          <w:szCs w:val="47"/>
        </w:rPr>
        <w:t>疾病的分布</w:t>
      </w:r>
    </w:p>
    <w:p w14:paraId="4BAA9025">
      <w:pPr>
        <w:spacing w:before="98" w:line="440" w:lineRule="exact"/>
        <w:ind w:firstLine="9269"/>
      </w:pPr>
      <w:r>
        <w:rPr>
          <w:position w:val="-8"/>
        </w:rPr>
        <w:drawing>
          <wp:inline distT="0" distB="0" distL="0" distR="0">
            <wp:extent cx="355600" cy="279400"/>
            <wp:effectExtent l="0" t="0" r="0" b="0"/>
            <wp:docPr id="68" name="IM 68"/>
            <wp:cNvGraphicFramePr/>
            <a:graphic xmlns:a="http://schemas.openxmlformats.org/drawingml/2006/main">
              <a:graphicData uri="http://schemas.openxmlformats.org/drawingml/2006/picture">
                <pic:pic xmlns:pic="http://schemas.openxmlformats.org/drawingml/2006/picture">
                  <pic:nvPicPr>
                    <pic:cNvPr id="68" name="IM 68"/>
                    <pic:cNvPicPr/>
                  </pic:nvPicPr>
                  <pic:blipFill>
                    <a:blip r:embed="rId430"/>
                    <a:stretch>
                      <a:fillRect/>
                    </a:stretch>
                  </pic:blipFill>
                  <pic:spPr>
                    <a:xfrm>
                      <a:off x="0" y="0"/>
                      <a:ext cx="355608" cy="279406"/>
                    </a:xfrm>
                    <a:prstGeom prst="rect">
                      <a:avLst/>
                    </a:prstGeom>
                  </pic:spPr>
                </pic:pic>
              </a:graphicData>
            </a:graphic>
          </wp:inline>
        </w:drawing>
      </w:r>
    </w:p>
    <w:p w14:paraId="06119C6E">
      <w:pPr>
        <w:spacing w:line="242" w:lineRule="auto"/>
        <w:rPr>
          <w:rFonts w:ascii="Arial"/>
          <w:sz w:val="21"/>
        </w:rPr>
      </w:pPr>
    </w:p>
    <w:p w14:paraId="150E4866">
      <w:pPr>
        <w:spacing w:before="86" w:line="198" w:lineRule="auto"/>
        <w:ind w:left="2320"/>
        <w:rPr>
          <w:rFonts w:ascii="Arial" w:hAnsi="Arial" w:eastAsia="Arial" w:cs="Arial"/>
          <w:sz w:val="30"/>
          <w:szCs w:val="30"/>
        </w:rPr>
      </w:pPr>
      <w:r>
        <w:rPr>
          <w:rFonts w:ascii="Arial" w:hAnsi="Arial" w:eastAsia="Arial" w:cs="Arial"/>
          <w:b/>
          <w:bCs/>
          <w:spacing w:val="-8"/>
          <w:sz w:val="30"/>
          <w:szCs w:val="30"/>
        </w:rPr>
        <w:t>Chapter 2    Distribution of Disease</w:t>
      </w:r>
    </w:p>
    <w:p w14:paraId="5CE9BF69">
      <w:pPr>
        <w:spacing w:line="385" w:lineRule="auto"/>
        <w:rPr>
          <w:rFonts w:ascii="Arial"/>
          <w:sz w:val="21"/>
        </w:rPr>
      </w:pPr>
    </w:p>
    <w:p w14:paraId="1017D26B">
      <w:pPr>
        <w:spacing w:before="61" w:line="365" w:lineRule="auto"/>
        <w:ind w:right="648" w:firstLine="430"/>
        <w:jc w:val="both"/>
        <w:rPr>
          <w:rFonts w:ascii="Times New Roman" w:hAnsi="Times New Roman" w:eastAsia="Times New Roman" w:cs="Times New Roman"/>
          <w:sz w:val="21"/>
          <w:szCs w:val="21"/>
        </w:rPr>
      </w:pPr>
      <w:r>
        <w:rPr>
          <w:rFonts w:ascii="Times New Roman" w:hAnsi="Times New Roman" w:eastAsia="Times New Roman" w:cs="Times New Roman"/>
          <w:spacing w:val="-1"/>
          <w:sz w:val="21"/>
          <w:szCs w:val="21"/>
        </w:rPr>
        <w:t>Distribution</w:t>
      </w:r>
      <w:r>
        <w:rPr>
          <w:rFonts w:ascii="Times New Roman" w:hAnsi="Times New Roman" w:eastAsia="Times New Roman" w:cs="Times New Roman"/>
          <w:spacing w:val="44"/>
          <w:w w:val="101"/>
          <w:sz w:val="21"/>
          <w:szCs w:val="21"/>
        </w:rPr>
        <w:t xml:space="preserve"> </w:t>
      </w:r>
      <w:r>
        <w:rPr>
          <w:rFonts w:ascii="Times New Roman" w:hAnsi="Times New Roman" w:eastAsia="Times New Roman" w:cs="Times New Roman"/>
          <w:spacing w:val="-1"/>
          <w:sz w:val="21"/>
          <w:szCs w:val="21"/>
        </w:rPr>
        <w:t>of disease</w:t>
      </w:r>
      <w:r>
        <w:rPr>
          <w:rFonts w:ascii="Times New Roman" w:hAnsi="Times New Roman" w:eastAsia="Times New Roman" w:cs="Times New Roman"/>
          <w:spacing w:val="25"/>
          <w:w w:val="101"/>
          <w:sz w:val="21"/>
          <w:szCs w:val="21"/>
        </w:rPr>
        <w:t xml:space="preserve"> </w:t>
      </w:r>
      <w:r>
        <w:rPr>
          <w:rFonts w:ascii="Times New Roman" w:hAnsi="Times New Roman" w:eastAsia="Times New Roman" w:cs="Times New Roman"/>
          <w:spacing w:val="-1"/>
          <w:sz w:val="21"/>
          <w:szCs w:val="21"/>
        </w:rPr>
        <w:t>refers</w:t>
      </w:r>
      <w:r>
        <w:rPr>
          <w:rFonts w:ascii="Times New Roman" w:hAnsi="Times New Roman" w:eastAsia="Times New Roman" w:cs="Times New Roman"/>
          <w:spacing w:val="26"/>
          <w:sz w:val="21"/>
          <w:szCs w:val="21"/>
        </w:rPr>
        <w:t xml:space="preserve"> </w:t>
      </w:r>
      <w:r>
        <w:rPr>
          <w:rFonts w:ascii="Times New Roman" w:hAnsi="Times New Roman" w:eastAsia="Times New Roman" w:cs="Times New Roman"/>
          <w:spacing w:val="-1"/>
          <w:sz w:val="21"/>
          <w:szCs w:val="21"/>
        </w:rPr>
        <w:t>to</w:t>
      </w:r>
      <w:r>
        <w:rPr>
          <w:rFonts w:ascii="Times New Roman" w:hAnsi="Times New Roman" w:eastAsia="Times New Roman" w:cs="Times New Roman"/>
          <w:spacing w:val="25"/>
          <w:w w:val="101"/>
          <w:sz w:val="21"/>
          <w:szCs w:val="21"/>
        </w:rPr>
        <w:t xml:space="preserve"> </w:t>
      </w:r>
      <w:r>
        <w:rPr>
          <w:rFonts w:ascii="Times New Roman" w:hAnsi="Times New Roman" w:eastAsia="Times New Roman" w:cs="Times New Roman"/>
          <w:spacing w:val="-1"/>
          <w:sz w:val="21"/>
          <w:szCs w:val="21"/>
        </w:rPr>
        <w:t>how</w:t>
      </w:r>
      <w:r>
        <w:rPr>
          <w:rFonts w:ascii="Times New Roman" w:hAnsi="Times New Roman" w:eastAsia="Times New Roman" w:cs="Times New Roman"/>
          <w:spacing w:val="31"/>
          <w:w w:val="101"/>
          <w:sz w:val="21"/>
          <w:szCs w:val="21"/>
        </w:rPr>
        <w:t xml:space="preserve"> </w:t>
      </w:r>
      <w:r>
        <w:rPr>
          <w:rFonts w:ascii="Times New Roman" w:hAnsi="Times New Roman" w:eastAsia="Times New Roman" w:cs="Times New Roman"/>
          <w:spacing w:val="-1"/>
          <w:sz w:val="21"/>
          <w:szCs w:val="21"/>
        </w:rPr>
        <w:t>a</w:t>
      </w:r>
      <w:r>
        <w:rPr>
          <w:rFonts w:ascii="Times New Roman" w:hAnsi="Times New Roman" w:eastAsia="Times New Roman" w:cs="Times New Roman"/>
          <w:spacing w:val="31"/>
          <w:sz w:val="21"/>
          <w:szCs w:val="21"/>
        </w:rPr>
        <w:t xml:space="preserve"> </w:t>
      </w:r>
      <w:r>
        <w:rPr>
          <w:rFonts w:ascii="Times New Roman" w:hAnsi="Times New Roman" w:eastAsia="Times New Roman" w:cs="Times New Roman"/>
          <w:spacing w:val="-1"/>
          <w:sz w:val="21"/>
          <w:szCs w:val="21"/>
        </w:rPr>
        <w:t>disease</w:t>
      </w:r>
      <w:r>
        <w:rPr>
          <w:rFonts w:ascii="Times New Roman" w:hAnsi="Times New Roman" w:eastAsia="Times New Roman" w:cs="Times New Roman"/>
          <w:spacing w:val="31"/>
          <w:sz w:val="21"/>
          <w:szCs w:val="21"/>
        </w:rPr>
        <w:t xml:space="preserve"> </w:t>
      </w:r>
      <w:r>
        <w:rPr>
          <w:rFonts w:ascii="Times New Roman" w:hAnsi="Times New Roman" w:eastAsia="Times New Roman" w:cs="Times New Roman"/>
          <w:spacing w:val="-1"/>
          <w:sz w:val="21"/>
          <w:szCs w:val="21"/>
        </w:rPr>
        <w:t>occurs</w:t>
      </w:r>
      <w:r>
        <w:rPr>
          <w:rFonts w:ascii="Times New Roman" w:hAnsi="Times New Roman" w:eastAsia="Times New Roman" w:cs="Times New Roman"/>
          <w:spacing w:val="30"/>
          <w:sz w:val="21"/>
          <w:szCs w:val="21"/>
        </w:rPr>
        <w:t xml:space="preserve"> </w:t>
      </w:r>
      <w:r>
        <w:rPr>
          <w:rFonts w:ascii="Times New Roman" w:hAnsi="Times New Roman" w:eastAsia="Times New Roman" w:cs="Times New Roman"/>
          <w:spacing w:val="-1"/>
          <w:sz w:val="21"/>
          <w:szCs w:val="21"/>
        </w:rPr>
        <w:t>in</w:t>
      </w:r>
      <w:r>
        <w:rPr>
          <w:rFonts w:ascii="Times New Roman" w:hAnsi="Times New Roman" w:eastAsia="Times New Roman" w:cs="Times New Roman"/>
          <w:spacing w:val="31"/>
          <w:w w:val="101"/>
          <w:sz w:val="21"/>
          <w:szCs w:val="21"/>
        </w:rPr>
        <w:t xml:space="preserve"> </w:t>
      </w:r>
      <w:r>
        <w:rPr>
          <w:rFonts w:ascii="Times New Roman" w:hAnsi="Times New Roman" w:eastAsia="Times New Roman" w:cs="Times New Roman"/>
          <w:spacing w:val="-1"/>
          <w:sz w:val="21"/>
          <w:szCs w:val="21"/>
        </w:rPr>
        <w:t>a</w:t>
      </w:r>
      <w:r>
        <w:rPr>
          <w:rFonts w:ascii="Times New Roman" w:hAnsi="Times New Roman" w:eastAsia="Times New Roman" w:cs="Times New Roman"/>
          <w:spacing w:val="24"/>
          <w:sz w:val="21"/>
          <w:szCs w:val="21"/>
        </w:rPr>
        <w:t xml:space="preserve"> </w:t>
      </w:r>
      <w:r>
        <w:rPr>
          <w:rFonts w:ascii="Times New Roman" w:hAnsi="Times New Roman" w:eastAsia="Times New Roman" w:cs="Times New Roman"/>
          <w:spacing w:val="-1"/>
          <w:sz w:val="21"/>
          <w:szCs w:val="21"/>
        </w:rPr>
        <w:t>population</w:t>
      </w:r>
      <w:r>
        <w:rPr>
          <w:rFonts w:ascii="Times New Roman" w:hAnsi="Times New Roman" w:eastAsia="Times New Roman" w:cs="Times New Roman"/>
          <w:spacing w:val="31"/>
          <w:w w:val="101"/>
          <w:sz w:val="21"/>
          <w:szCs w:val="21"/>
        </w:rPr>
        <w:t xml:space="preserve"> </w:t>
      </w:r>
      <w:r>
        <w:rPr>
          <w:rFonts w:ascii="Times New Roman" w:hAnsi="Times New Roman" w:eastAsia="Times New Roman" w:cs="Times New Roman"/>
          <w:spacing w:val="-1"/>
          <w:sz w:val="21"/>
          <w:szCs w:val="21"/>
        </w:rPr>
        <w:t>and</w:t>
      </w:r>
      <w:r>
        <w:rPr>
          <w:rFonts w:ascii="Times New Roman" w:hAnsi="Times New Roman" w:eastAsia="Times New Roman" w:cs="Times New Roman"/>
          <w:spacing w:val="31"/>
          <w:sz w:val="21"/>
          <w:szCs w:val="21"/>
        </w:rPr>
        <w:t xml:space="preserve"> </w:t>
      </w:r>
      <w:r>
        <w:rPr>
          <w:rFonts w:ascii="Times New Roman" w:hAnsi="Times New Roman" w:eastAsia="Times New Roman" w:cs="Times New Roman"/>
          <w:spacing w:val="-1"/>
          <w:sz w:val="21"/>
          <w:szCs w:val="21"/>
        </w:rPr>
        <w:t>addresses</w:t>
      </w:r>
      <w:r>
        <w:rPr>
          <w:rFonts w:ascii="Times New Roman" w:hAnsi="Times New Roman" w:eastAsia="Times New Roman" w:cs="Times New Roman"/>
          <w:spacing w:val="31"/>
          <w:sz w:val="21"/>
          <w:szCs w:val="21"/>
        </w:rPr>
        <w:t xml:space="preserve"> </w:t>
      </w:r>
      <w:r>
        <w:rPr>
          <w:rFonts w:ascii="Times New Roman" w:hAnsi="Times New Roman" w:eastAsia="Times New Roman" w:cs="Times New Roman"/>
          <w:spacing w:val="-1"/>
          <w:sz w:val="21"/>
          <w:szCs w:val="21"/>
        </w:rPr>
        <w:t>questions</w:t>
      </w:r>
      <w:r>
        <w:rPr>
          <w:rFonts w:ascii="Times New Roman" w:hAnsi="Times New Roman" w:eastAsia="Times New Roman" w:cs="Times New Roman"/>
          <w:spacing w:val="34"/>
          <w:w w:val="101"/>
          <w:sz w:val="21"/>
          <w:szCs w:val="21"/>
        </w:rPr>
        <w:t xml:space="preserve"> </w:t>
      </w:r>
      <w:r>
        <w:rPr>
          <w:rFonts w:ascii="Times New Roman" w:hAnsi="Times New Roman" w:eastAsia="Times New Roman" w:cs="Times New Roman"/>
          <w:spacing w:val="-1"/>
          <w:sz w:val="21"/>
          <w:szCs w:val="21"/>
        </w:rPr>
        <w:t>such</w:t>
      </w:r>
      <w:r>
        <w:rPr>
          <w:rFonts w:ascii="Times New Roman" w:hAnsi="Times New Roman" w:eastAsia="Times New Roman" w:cs="Times New Roman"/>
          <w:spacing w:val="31"/>
          <w:w w:val="101"/>
          <w:sz w:val="21"/>
          <w:szCs w:val="21"/>
        </w:rPr>
        <w:t xml:space="preserve"> </w:t>
      </w:r>
      <w:r>
        <w:rPr>
          <w:rFonts w:ascii="Times New Roman" w:hAnsi="Times New Roman" w:eastAsia="Times New Roman" w:cs="Times New Roman"/>
          <w:spacing w:val="-1"/>
          <w:sz w:val="21"/>
          <w:szCs w:val="21"/>
        </w:rPr>
        <w:t>as</w:t>
      </w:r>
      <w:r>
        <w:rPr>
          <w:rFonts w:ascii="Times New Roman" w:hAnsi="Times New Roman" w:eastAsia="Times New Roman" w:cs="Times New Roman"/>
          <w:sz w:val="21"/>
          <w:szCs w:val="21"/>
        </w:rPr>
        <w:t xml:space="preserve"> who  develops  the  disease  </w:t>
      </w:r>
      <w:r>
        <w:rPr>
          <w:rFonts w:ascii="Times New Roman" w:hAnsi="Times New Roman" w:eastAsia="Times New Roman" w:cs="Times New Roman"/>
          <w:spacing w:val="-1"/>
          <w:sz w:val="21"/>
          <w:szCs w:val="21"/>
        </w:rPr>
        <w:t>and  where  and  when</w:t>
      </w:r>
      <w:r>
        <w:rPr>
          <w:rFonts w:ascii="Times New Roman" w:hAnsi="Times New Roman" w:eastAsia="Times New Roman" w:cs="Times New Roman"/>
          <w:spacing w:val="49"/>
          <w:sz w:val="21"/>
          <w:szCs w:val="21"/>
        </w:rPr>
        <w:t xml:space="preserve"> </w:t>
      </w:r>
      <w:r>
        <w:rPr>
          <w:rFonts w:ascii="Times New Roman" w:hAnsi="Times New Roman" w:eastAsia="Times New Roman" w:cs="Times New Roman"/>
          <w:spacing w:val="-1"/>
          <w:sz w:val="21"/>
          <w:szCs w:val="21"/>
        </w:rPr>
        <w:t>the  disease  occurs.To  answer  these  questions,it  involves</w:t>
      </w:r>
      <w:r>
        <w:rPr>
          <w:rFonts w:ascii="Times New Roman" w:hAnsi="Times New Roman" w:eastAsia="Times New Roman" w:cs="Times New Roman"/>
          <w:sz w:val="21"/>
          <w:szCs w:val="21"/>
        </w:rPr>
        <w:t xml:space="preserve"> a</w:t>
      </w:r>
      <w:r>
        <w:rPr>
          <w:rFonts w:ascii="Times New Roman" w:hAnsi="Times New Roman" w:eastAsia="Times New Roman" w:cs="Times New Roman"/>
          <w:spacing w:val="1"/>
          <w:sz w:val="21"/>
          <w:szCs w:val="21"/>
        </w:rPr>
        <w:t xml:space="preserve">  </w:t>
      </w:r>
      <w:r>
        <w:rPr>
          <w:rFonts w:ascii="Times New Roman" w:hAnsi="Times New Roman" w:eastAsia="Times New Roman" w:cs="Times New Roman"/>
          <w:sz w:val="21"/>
          <w:szCs w:val="21"/>
        </w:rPr>
        <w:t>comparison</w:t>
      </w:r>
      <w:r>
        <w:rPr>
          <w:rFonts w:ascii="Times New Roman" w:hAnsi="Times New Roman" w:eastAsia="Times New Roman" w:cs="Times New Roman"/>
          <w:spacing w:val="1"/>
          <w:sz w:val="21"/>
          <w:szCs w:val="21"/>
        </w:rPr>
        <w:t xml:space="preserve">  </w:t>
      </w:r>
      <w:r>
        <w:rPr>
          <w:rFonts w:ascii="Times New Roman" w:hAnsi="Times New Roman" w:eastAsia="Times New Roman" w:cs="Times New Roman"/>
          <w:sz w:val="21"/>
          <w:szCs w:val="21"/>
        </w:rPr>
        <w:t>of</w:t>
      </w:r>
      <w:r>
        <w:rPr>
          <w:rFonts w:ascii="Times New Roman" w:hAnsi="Times New Roman" w:eastAsia="Times New Roman" w:cs="Times New Roman"/>
          <w:spacing w:val="1"/>
          <w:sz w:val="21"/>
          <w:szCs w:val="21"/>
        </w:rPr>
        <w:t xml:space="preserve">  </w:t>
      </w:r>
      <w:r>
        <w:rPr>
          <w:rFonts w:ascii="Times New Roman" w:hAnsi="Times New Roman" w:eastAsia="Times New Roman" w:cs="Times New Roman"/>
          <w:sz w:val="21"/>
          <w:szCs w:val="21"/>
        </w:rPr>
        <w:t>groups</w:t>
      </w:r>
      <w:r>
        <w:rPr>
          <w:rFonts w:ascii="Times New Roman" w:hAnsi="Times New Roman" w:eastAsia="Times New Roman" w:cs="Times New Roman"/>
          <w:spacing w:val="1"/>
          <w:sz w:val="21"/>
          <w:szCs w:val="21"/>
        </w:rPr>
        <w:t xml:space="preserve">  </w:t>
      </w:r>
      <w:r>
        <w:rPr>
          <w:rFonts w:ascii="Times New Roman" w:hAnsi="Times New Roman" w:eastAsia="Times New Roman" w:cs="Times New Roman"/>
          <w:sz w:val="21"/>
          <w:szCs w:val="21"/>
        </w:rPr>
        <w:t>of</w:t>
      </w:r>
      <w:r>
        <w:rPr>
          <w:rFonts w:ascii="Times New Roman" w:hAnsi="Times New Roman" w:eastAsia="Times New Roman" w:cs="Times New Roman"/>
          <w:spacing w:val="38"/>
          <w:w w:val="101"/>
          <w:sz w:val="21"/>
          <w:szCs w:val="21"/>
        </w:rPr>
        <w:t xml:space="preserve"> </w:t>
      </w:r>
      <w:r>
        <w:rPr>
          <w:rFonts w:ascii="Times New Roman" w:hAnsi="Times New Roman" w:eastAsia="Times New Roman" w:cs="Times New Roman"/>
          <w:sz w:val="21"/>
          <w:szCs w:val="21"/>
        </w:rPr>
        <w:t>populations</w:t>
      </w:r>
      <w:r>
        <w:rPr>
          <w:rFonts w:ascii="Times New Roman" w:hAnsi="Times New Roman" w:eastAsia="Times New Roman" w:cs="Times New Roman"/>
          <w:spacing w:val="1"/>
          <w:sz w:val="21"/>
          <w:szCs w:val="21"/>
        </w:rPr>
        <w:t xml:space="preserve">  </w:t>
      </w:r>
      <w:r>
        <w:rPr>
          <w:rFonts w:ascii="Times New Roman" w:hAnsi="Times New Roman" w:eastAsia="Times New Roman" w:cs="Times New Roman"/>
          <w:sz w:val="21"/>
          <w:szCs w:val="21"/>
        </w:rPr>
        <w:t>defined</w:t>
      </w:r>
      <w:r>
        <w:rPr>
          <w:rFonts w:ascii="Times New Roman" w:hAnsi="Times New Roman" w:eastAsia="Times New Roman" w:cs="Times New Roman"/>
          <w:spacing w:val="1"/>
          <w:sz w:val="21"/>
          <w:szCs w:val="21"/>
        </w:rPr>
        <w:t xml:space="preserve">  </w:t>
      </w:r>
      <w:r>
        <w:rPr>
          <w:rFonts w:ascii="Times New Roman" w:hAnsi="Times New Roman" w:eastAsia="Times New Roman" w:cs="Times New Roman"/>
          <w:sz w:val="21"/>
          <w:szCs w:val="21"/>
        </w:rPr>
        <w:t>according</w:t>
      </w:r>
      <w:r>
        <w:rPr>
          <w:rFonts w:ascii="Times New Roman" w:hAnsi="Times New Roman" w:eastAsia="Times New Roman" w:cs="Times New Roman"/>
          <w:spacing w:val="1"/>
          <w:sz w:val="21"/>
          <w:szCs w:val="21"/>
        </w:rPr>
        <w:t xml:space="preserve">  </w:t>
      </w:r>
      <w:r>
        <w:rPr>
          <w:rFonts w:ascii="Times New Roman" w:hAnsi="Times New Roman" w:eastAsia="Times New Roman" w:cs="Times New Roman"/>
          <w:sz w:val="21"/>
          <w:szCs w:val="21"/>
        </w:rPr>
        <w:t>to</w:t>
      </w:r>
      <w:r>
        <w:rPr>
          <w:rFonts w:ascii="Times New Roman" w:hAnsi="Times New Roman" w:eastAsia="Times New Roman" w:cs="Times New Roman"/>
          <w:spacing w:val="1"/>
          <w:sz w:val="21"/>
          <w:szCs w:val="21"/>
        </w:rPr>
        <w:t xml:space="preserve">  </w:t>
      </w:r>
      <w:r>
        <w:rPr>
          <w:rFonts w:ascii="Times New Roman" w:hAnsi="Times New Roman" w:eastAsia="Times New Roman" w:cs="Times New Roman"/>
          <w:sz w:val="21"/>
          <w:szCs w:val="21"/>
        </w:rPr>
        <w:t>geographic</w:t>
      </w:r>
      <w:r>
        <w:rPr>
          <w:rFonts w:ascii="Times New Roman" w:hAnsi="Times New Roman" w:eastAsia="Times New Roman" w:cs="Times New Roman"/>
          <w:spacing w:val="4"/>
          <w:sz w:val="21"/>
          <w:szCs w:val="21"/>
        </w:rPr>
        <w:t xml:space="preserve">  </w:t>
      </w:r>
      <w:r>
        <w:rPr>
          <w:rFonts w:ascii="Times New Roman" w:hAnsi="Times New Roman" w:eastAsia="Times New Roman" w:cs="Times New Roman"/>
          <w:sz w:val="21"/>
          <w:szCs w:val="21"/>
        </w:rPr>
        <w:t>area</w:t>
      </w:r>
      <w:r>
        <w:rPr>
          <w:rFonts w:ascii="Times New Roman" w:hAnsi="Times New Roman" w:eastAsia="Times New Roman" w:cs="Times New Roman"/>
          <w:spacing w:val="1"/>
          <w:sz w:val="21"/>
          <w:szCs w:val="21"/>
        </w:rPr>
        <w:t>,</w:t>
      </w:r>
      <w:r>
        <w:rPr>
          <w:rFonts w:ascii="Times New Roman" w:hAnsi="Times New Roman" w:eastAsia="Times New Roman" w:cs="Times New Roman"/>
          <w:sz w:val="21"/>
          <w:szCs w:val="21"/>
        </w:rPr>
        <w:t>time</w:t>
      </w:r>
      <w:r>
        <w:rPr>
          <w:rFonts w:ascii="Times New Roman" w:hAnsi="Times New Roman" w:eastAsia="Times New Roman" w:cs="Times New Roman"/>
          <w:spacing w:val="1"/>
          <w:sz w:val="21"/>
          <w:szCs w:val="21"/>
        </w:rPr>
        <w:t>,</w:t>
      </w:r>
      <w:r>
        <w:rPr>
          <w:rFonts w:ascii="Times New Roman" w:hAnsi="Times New Roman" w:eastAsia="Times New Roman" w:cs="Times New Roman"/>
          <w:sz w:val="21"/>
          <w:szCs w:val="21"/>
        </w:rPr>
        <w:t>and</w:t>
      </w:r>
      <w:r>
        <w:rPr>
          <w:rFonts w:ascii="Times New Roman" w:hAnsi="Times New Roman" w:eastAsia="Times New Roman" w:cs="Times New Roman"/>
          <w:spacing w:val="1"/>
          <w:sz w:val="21"/>
          <w:szCs w:val="21"/>
        </w:rPr>
        <w:t xml:space="preserve">  </w:t>
      </w:r>
      <w:r>
        <w:rPr>
          <w:rFonts w:ascii="Times New Roman" w:hAnsi="Times New Roman" w:eastAsia="Times New Roman" w:cs="Times New Roman"/>
          <w:sz w:val="21"/>
          <w:szCs w:val="21"/>
        </w:rPr>
        <w:t>characteristics</w:t>
      </w:r>
      <w:r>
        <w:rPr>
          <w:rFonts w:ascii="Times New Roman" w:hAnsi="Times New Roman" w:eastAsia="Times New Roman" w:cs="Times New Roman"/>
          <w:spacing w:val="4"/>
          <w:sz w:val="21"/>
          <w:szCs w:val="21"/>
        </w:rPr>
        <w:t xml:space="preserve">  </w:t>
      </w:r>
      <w:r>
        <w:rPr>
          <w:rFonts w:ascii="Times New Roman" w:hAnsi="Times New Roman" w:eastAsia="Times New Roman" w:cs="Times New Roman"/>
          <w:sz w:val="21"/>
          <w:szCs w:val="21"/>
        </w:rPr>
        <w:t>of</w:t>
      </w:r>
      <w:r>
        <w:rPr>
          <w:rFonts w:ascii="Times New Roman" w:hAnsi="Times New Roman" w:eastAsia="Times New Roman" w:cs="Times New Roman"/>
          <w:spacing w:val="1"/>
          <w:sz w:val="21"/>
          <w:szCs w:val="21"/>
        </w:rPr>
        <w:t xml:space="preserve"> </w:t>
      </w:r>
      <w:r>
        <w:rPr>
          <w:rFonts w:ascii="Times New Roman" w:hAnsi="Times New Roman" w:eastAsia="Times New Roman" w:cs="Times New Roman"/>
          <w:sz w:val="21"/>
          <w:szCs w:val="21"/>
        </w:rPr>
        <w:t>people.A</w:t>
      </w:r>
      <w:r>
        <w:rPr>
          <w:rFonts w:ascii="Times New Roman" w:hAnsi="Times New Roman" w:eastAsia="Times New Roman" w:cs="Times New Roman"/>
          <w:spacing w:val="43"/>
          <w:w w:val="101"/>
          <w:sz w:val="21"/>
          <w:szCs w:val="21"/>
        </w:rPr>
        <w:t xml:space="preserve"> </w:t>
      </w:r>
      <w:r>
        <w:rPr>
          <w:rFonts w:ascii="Times New Roman" w:hAnsi="Times New Roman" w:eastAsia="Times New Roman" w:cs="Times New Roman"/>
          <w:sz w:val="21"/>
          <w:szCs w:val="21"/>
        </w:rPr>
        <w:t>disease</w:t>
      </w:r>
      <w:r>
        <w:rPr>
          <w:rFonts w:ascii="Times New Roman" w:hAnsi="Times New Roman" w:eastAsia="Times New Roman" w:cs="Times New Roman"/>
          <w:spacing w:val="37"/>
          <w:w w:val="101"/>
          <w:sz w:val="21"/>
          <w:szCs w:val="21"/>
        </w:rPr>
        <w:t xml:space="preserve"> </w:t>
      </w:r>
      <w:r>
        <w:rPr>
          <w:rFonts w:ascii="Times New Roman" w:hAnsi="Times New Roman" w:eastAsia="Times New Roman" w:cs="Times New Roman"/>
          <w:sz w:val="21"/>
          <w:szCs w:val="21"/>
        </w:rPr>
        <w:t>may</w:t>
      </w:r>
      <w:r>
        <w:rPr>
          <w:rFonts w:ascii="Times New Roman" w:hAnsi="Times New Roman" w:eastAsia="Times New Roman" w:cs="Times New Roman"/>
          <w:spacing w:val="44"/>
          <w:sz w:val="21"/>
          <w:szCs w:val="21"/>
        </w:rPr>
        <w:t xml:space="preserve"> </w:t>
      </w:r>
      <w:r>
        <w:rPr>
          <w:rFonts w:ascii="Times New Roman" w:hAnsi="Times New Roman" w:eastAsia="Times New Roman" w:cs="Times New Roman"/>
          <w:sz w:val="21"/>
          <w:szCs w:val="21"/>
        </w:rPr>
        <w:t>exhibit</w:t>
      </w:r>
      <w:r>
        <w:rPr>
          <w:rFonts w:ascii="Times New Roman" w:hAnsi="Times New Roman" w:eastAsia="Times New Roman" w:cs="Times New Roman"/>
          <w:spacing w:val="43"/>
          <w:w w:val="101"/>
          <w:sz w:val="21"/>
          <w:szCs w:val="21"/>
        </w:rPr>
        <w:t xml:space="preserve"> </w:t>
      </w:r>
      <w:r>
        <w:rPr>
          <w:rFonts w:ascii="Times New Roman" w:hAnsi="Times New Roman" w:eastAsia="Times New Roman" w:cs="Times New Roman"/>
          <w:sz w:val="21"/>
          <w:szCs w:val="21"/>
        </w:rPr>
        <w:t>a</w:t>
      </w:r>
      <w:r>
        <w:rPr>
          <w:rFonts w:ascii="Times New Roman" w:hAnsi="Times New Roman" w:eastAsia="Times New Roman" w:cs="Times New Roman"/>
          <w:spacing w:val="35"/>
          <w:w w:val="101"/>
          <w:sz w:val="21"/>
          <w:szCs w:val="21"/>
        </w:rPr>
        <w:t xml:space="preserve"> </w:t>
      </w:r>
      <w:r>
        <w:rPr>
          <w:rFonts w:ascii="Times New Roman" w:hAnsi="Times New Roman" w:eastAsia="Times New Roman" w:cs="Times New Roman"/>
          <w:sz w:val="21"/>
          <w:szCs w:val="21"/>
        </w:rPr>
        <w:t>particular</w:t>
      </w:r>
      <w:r>
        <w:rPr>
          <w:rFonts w:ascii="Times New Roman" w:hAnsi="Times New Roman" w:eastAsia="Times New Roman" w:cs="Times New Roman"/>
          <w:spacing w:val="34"/>
          <w:w w:val="101"/>
          <w:sz w:val="21"/>
          <w:szCs w:val="21"/>
        </w:rPr>
        <w:t xml:space="preserve"> </w:t>
      </w:r>
      <w:r>
        <w:rPr>
          <w:rFonts w:ascii="Times New Roman" w:hAnsi="Times New Roman" w:eastAsia="Times New Roman" w:cs="Times New Roman"/>
          <w:sz w:val="21"/>
          <w:szCs w:val="21"/>
        </w:rPr>
        <w:t>pattern</w:t>
      </w:r>
      <w:r>
        <w:rPr>
          <w:rFonts w:ascii="Times New Roman" w:hAnsi="Times New Roman" w:eastAsia="Times New Roman" w:cs="Times New Roman"/>
          <w:spacing w:val="43"/>
          <w:w w:val="101"/>
          <w:sz w:val="21"/>
          <w:szCs w:val="21"/>
        </w:rPr>
        <w:t xml:space="preserve"> </w:t>
      </w:r>
      <w:r>
        <w:rPr>
          <w:rFonts w:ascii="Times New Roman" w:hAnsi="Times New Roman" w:eastAsia="Times New Roman" w:cs="Times New Roman"/>
          <w:sz w:val="21"/>
          <w:szCs w:val="21"/>
        </w:rPr>
        <w:t>of</w:t>
      </w:r>
      <w:r>
        <w:rPr>
          <w:rFonts w:ascii="Times New Roman" w:hAnsi="Times New Roman" w:eastAsia="Times New Roman" w:cs="Times New Roman"/>
          <w:spacing w:val="21"/>
          <w:w w:val="101"/>
          <w:sz w:val="21"/>
          <w:szCs w:val="21"/>
        </w:rPr>
        <w:t xml:space="preserve"> </w:t>
      </w:r>
      <w:r>
        <w:rPr>
          <w:rFonts w:ascii="Times New Roman" w:hAnsi="Times New Roman" w:eastAsia="Times New Roman" w:cs="Times New Roman"/>
          <w:sz w:val="21"/>
          <w:szCs w:val="21"/>
        </w:rPr>
        <w:t>distribution.This</w:t>
      </w:r>
      <w:r>
        <w:rPr>
          <w:rFonts w:ascii="Times New Roman" w:hAnsi="Times New Roman" w:eastAsia="Times New Roman" w:cs="Times New Roman"/>
          <w:spacing w:val="43"/>
          <w:sz w:val="21"/>
          <w:szCs w:val="21"/>
        </w:rPr>
        <w:t xml:space="preserve"> </w:t>
      </w:r>
      <w:r>
        <w:rPr>
          <w:rFonts w:ascii="Times New Roman" w:hAnsi="Times New Roman" w:eastAsia="Times New Roman" w:cs="Times New Roman"/>
          <w:sz w:val="21"/>
          <w:szCs w:val="21"/>
        </w:rPr>
        <w:t>distri</w:t>
      </w:r>
      <w:r>
        <w:rPr>
          <w:rFonts w:ascii="Times New Roman" w:hAnsi="Times New Roman" w:eastAsia="Times New Roman" w:cs="Times New Roman"/>
          <w:spacing w:val="-1"/>
          <w:sz w:val="21"/>
          <w:szCs w:val="21"/>
        </w:rPr>
        <w:t>bution</w:t>
      </w:r>
      <w:r>
        <w:rPr>
          <w:rFonts w:ascii="Times New Roman" w:hAnsi="Times New Roman" w:eastAsia="Times New Roman" w:cs="Times New Roman"/>
          <w:spacing w:val="42"/>
          <w:w w:val="101"/>
          <w:sz w:val="21"/>
          <w:szCs w:val="21"/>
        </w:rPr>
        <w:t xml:space="preserve"> </w:t>
      </w:r>
      <w:r>
        <w:rPr>
          <w:rFonts w:ascii="Times New Roman" w:hAnsi="Times New Roman" w:eastAsia="Times New Roman" w:cs="Times New Roman"/>
          <w:spacing w:val="-1"/>
          <w:sz w:val="21"/>
          <w:szCs w:val="21"/>
        </w:rPr>
        <w:t>is</w:t>
      </w:r>
      <w:r>
        <w:rPr>
          <w:rFonts w:ascii="Times New Roman" w:hAnsi="Times New Roman" w:eastAsia="Times New Roman" w:cs="Times New Roman"/>
          <w:spacing w:val="43"/>
          <w:sz w:val="21"/>
          <w:szCs w:val="21"/>
        </w:rPr>
        <w:t xml:space="preserve"> </w:t>
      </w:r>
      <w:r>
        <w:rPr>
          <w:rFonts w:ascii="Times New Roman" w:hAnsi="Times New Roman" w:eastAsia="Times New Roman" w:cs="Times New Roman"/>
          <w:spacing w:val="-1"/>
          <w:sz w:val="21"/>
          <w:szCs w:val="21"/>
        </w:rPr>
        <w:t>determined</w:t>
      </w:r>
      <w:r>
        <w:rPr>
          <w:rFonts w:ascii="Times New Roman" w:hAnsi="Times New Roman" w:eastAsia="Times New Roman" w:cs="Times New Roman"/>
          <w:spacing w:val="20"/>
          <w:sz w:val="21"/>
          <w:szCs w:val="21"/>
        </w:rPr>
        <w:t xml:space="preserve"> </w:t>
      </w:r>
      <w:r>
        <w:rPr>
          <w:rFonts w:ascii="Times New Roman" w:hAnsi="Times New Roman" w:eastAsia="Times New Roman" w:cs="Times New Roman"/>
          <w:spacing w:val="-1"/>
          <w:sz w:val="21"/>
          <w:szCs w:val="21"/>
        </w:rPr>
        <w:t>jointly</w:t>
      </w:r>
      <w:r>
        <w:rPr>
          <w:rFonts w:ascii="Times New Roman" w:hAnsi="Times New Roman" w:eastAsia="Times New Roman" w:cs="Times New Roman"/>
          <w:spacing w:val="36"/>
          <w:sz w:val="21"/>
          <w:szCs w:val="21"/>
        </w:rPr>
        <w:t xml:space="preserve"> </w:t>
      </w:r>
      <w:r>
        <w:rPr>
          <w:rFonts w:ascii="Times New Roman" w:hAnsi="Times New Roman" w:eastAsia="Times New Roman" w:cs="Times New Roman"/>
          <w:spacing w:val="-1"/>
          <w:sz w:val="21"/>
          <w:szCs w:val="21"/>
        </w:rPr>
        <w:t>by</w:t>
      </w:r>
      <w:r>
        <w:rPr>
          <w:rFonts w:ascii="Times New Roman" w:hAnsi="Times New Roman" w:eastAsia="Times New Roman" w:cs="Times New Roman"/>
          <w:sz w:val="21"/>
          <w:szCs w:val="21"/>
        </w:rPr>
        <w:t xml:space="preserve"> factors</w:t>
      </w:r>
      <w:r>
        <w:rPr>
          <w:rFonts w:ascii="Times New Roman" w:hAnsi="Times New Roman" w:eastAsia="Times New Roman" w:cs="Times New Roman"/>
          <w:spacing w:val="28"/>
          <w:w w:val="101"/>
          <w:sz w:val="21"/>
          <w:szCs w:val="21"/>
        </w:rPr>
        <w:t xml:space="preserve"> </w:t>
      </w:r>
      <w:r>
        <w:rPr>
          <w:rFonts w:ascii="Times New Roman" w:hAnsi="Times New Roman" w:eastAsia="Times New Roman" w:cs="Times New Roman"/>
          <w:sz w:val="21"/>
          <w:szCs w:val="21"/>
        </w:rPr>
        <w:t>such</w:t>
      </w:r>
      <w:r>
        <w:rPr>
          <w:rFonts w:ascii="Times New Roman" w:hAnsi="Times New Roman" w:eastAsia="Times New Roman" w:cs="Times New Roman"/>
          <w:spacing w:val="26"/>
          <w:sz w:val="21"/>
          <w:szCs w:val="21"/>
        </w:rPr>
        <w:t xml:space="preserve"> </w:t>
      </w:r>
      <w:r>
        <w:rPr>
          <w:rFonts w:ascii="Times New Roman" w:hAnsi="Times New Roman" w:eastAsia="Times New Roman" w:cs="Times New Roman"/>
          <w:sz w:val="21"/>
          <w:szCs w:val="21"/>
        </w:rPr>
        <w:t>as</w:t>
      </w:r>
      <w:r>
        <w:rPr>
          <w:rFonts w:ascii="Times New Roman" w:hAnsi="Times New Roman" w:eastAsia="Times New Roman" w:cs="Times New Roman"/>
          <w:spacing w:val="20"/>
          <w:w w:val="101"/>
          <w:sz w:val="21"/>
          <w:szCs w:val="21"/>
        </w:rPr>
        <w:t xml:space="preserve"> </w:t>
      </w:r>
      <w:r>
        <w:rPr>
          <w:rFonts w:ascii="Times New Roman" w:hAnsi="Times New Roman" w:eastAsia="Times New Roman" w:cs="Times New Roman"/>
          <w:sz w:val="21"/>
          <w:szCs w:val="21"/>
        </w:rPr>
        <w:t>the</w:t>
      </w:r>
      <w:r>
        <w:rPr>
          <w:rFonts w:ascii="Times New Roman" w:hAnsi="Times New Roman" w:eastAsia="Times New Roman" w:cs="Times New Roman"/>
          <w:spacing w:val="25"/>
          <w:w w:val="101"/>
          <w:sz w:val="21"/>
          <w:szCs w:val="21"/>
        </w:rPr>
        <w:t xml:space="preserve"> </w:t>
      </w:r>
      <w:r>
        <w:rPr>
          <w:rFonts w:ascii="Times New Roman" w:hAnsi="Times New Roman" w:eastAsia="Times New Roman" w:cs="Times New Roman"/>
          <w:sz w:val="21"/>
          <w:szCs w:val="21"/>
        </w:rPr>
        <w:t>characte</w:t>
      </w:r>
      <w:r>
        <w:rPr>
          <w:rFonts w:ascii="Times New Roman" w:hAnsi="Times New Roman" w:eastAsia="Times New Roman" w:cs="Times New Roman"/>
          <w:spacing w:val="-1"/>
          <w:sz w:val="21"/>
          <w:szCs w:val="21"/>
        </w:rPr>
        <w:t>ristics</w:t>
      </w:r>
      <w:r>
        <w:rPr>
          <w:rFonts w:ascii="Times New Roman" w:hAnsi="Times New Roman" w:eastAsia="Times New Roman" w:cs="Times New Roman"/>
          <w:spacing w:val="25"/>
          <w:w w:val="101"/>
          <w:sz w:val="21"/>
          <w:szCs w:val="21"/>
        </w:rPr>
        <w:t xml:space="preserve"> </w:t>
      </w:r>
      <w:r>
        <w:rPr>
          <w:rFonts w:ascii="Times New Roman" w:hAnsi="Times New Roman" w:eastAsia="Times New Roman" w:cs="Times New Roman"/>
          <w:spacing w:val="-1"/>
          <w:sz w:val="21"/>
          <w:szCs w:val="21"/>
        </w:rPr>
        <w:t>of the</w:t>
      </w:r>
      <w:r>
        <w:rPr>
          <w:rFonts w:ascii="Times New Roman" w:hAnsi="Times New Roman" w:eastAsia="Times New Roman" w:cs="Times New Roman"/>
          <w:spacing w:val="18"/>
          <w:sz w:val="21"/>
          <w:szCs w:val="21"/>
        </w:rPr>
        <w:t xml:space="preserve"> </w:t>
      </w:r>
      <w:r>
        <w:rPr>
          <w:rFonts w:ascii="Times New Roman" w:hAnsi="Times New Roman" w:eastAsia="Times New Roman" w:cs="Times New Roman"/>
          <w:spacing w:val="-1"/>
          <w:sz w:val="21"/>
          <w:szCs w:val="21"/>
        </w:rPr>
        <w:t>population</w:t>
      </w:r>
      <w:r>
        <w:rPr>
          <w:rFonts w:ascii="Times New Roman" w:hAnsi="Times New Roman" w:eastAsia="Times New Roman" w:cs="Times New Roman"/>
          <w:spacing w:val="25"/>
          <w:w w:val="101"/>
          <w:sz w:val="21"/>
          <w:szCs w:val="21"/>
        </w:rPr>
        <w:t xml:space="preserve"> </w:t>
      </w:r>
      <w:r>
        <w:rPr>
          <w:rFonts w:ascii="Times New Roman" w:hAnsi="Times New Roman" w:eastAsia="Times New Roman" w:cs="Times New Roman"/>
          <w:spacing w:val="-1"/>
          <w:sz w:val="21"/>
          <w:szCs w:val="21"/>
        </w:rPr>
        <w:t>and</w:t>
      </w:r>
      <w:r>
        <w:rPr>
          <w:rFonts w:ascii="Times New Roman" w:hAnsi="Times New Roman" w:eastAsia="Times New Roman" w:cs="Times New Roman"/>
          <w:spacing w:val="20"/>
          <w:sz w:val="21"/>
          <w:szCs w:val="21"/>
        </w:rPr>
        <w:t xml:space="preserve"> </w:t>
      </w:r>
      <w:r>
        <w:rPr>
          <w:rFonts w:ascii="Times New Roman" w:hAnsi="Times New Roman" w:eastAsia="Times New Roman" w:cs="Times New Roman"/>
          <w:spacing w:val="-1"/>
          <w:sz w:val="21"/>
          <w:szCs w:val="21"/>
        </w:rPr>
        <w:t>the</w:t>
      </w:r>
      <w:r>
        <w:rPr>
          <w:rFonts w:ascii="Times New Roman" w:hAnsi="Times New Roman" w:eastAsia="Times New Roman" w:cs="Times New Roman"/>
          <w:spacing w:val="20"/>
          <w:sz w:val="21"/>
          <w:szCs w:val="21"/>
        </w:rPr>
        <w:t xml:space="preserve"> </w:t>
      </w:r>
      <w:r>
        <w:rPr>
          <w:rFonts w:ascii="Times New Roman" w:hAnsi="Times New Roman" w:eastAsia="Times New Roman" w:cs="Times New Roman"/>
          <w:spacing w:val="-1"/>
          <w:sz w:val="21"/>
          <w:szCs w:val="21"/>
        </w:rPr>
        <w:t>natural</w:t>
      </w:r>
      <w:r>
        <w:rPr>
          <w:rFonts w:ascii="Times New Roman" w:hAnsi="Times New Roman" w:eastAsia="Times New Roman" w:cs="Times New Roman"/>
          <w:spacing w:val="25"/>
          <w:w w:val="101"/>
          <w:sz w:val="21"/>
          <w:szCs w:val="21"/>
        </w:rPr>
        <w:t xml:space="preserve"> </w:t>
      </w:r>
      <w:r>
        <w:rPr>
          <w:rFonts w:ascii="Times New Roman" w:hAnsi="Times New Roman" w:eastAsia="Times New Roman" w:cs="Times New Roman"/>
          <w:spacing w:val="-1"/>
          <w:sz w:val="21"/>
          <w:szCs w:val="21"/>
        </w:rPr>
        <w:t>and</w:t>
      </w:r>
      <w:r>
        <w:rPr>
          <w:rFonts w:ascii="Times New Roman" w:hAnsi="Times New Roman" w:eastAsia="Times New Roman" w:cs="Times New Roman"/>
          <w:spacing w:val="28"/>
          <w:w w:val="101"/>
          <w:sz w:val="21"/>
          <w:szCs w:val="21"/>
        </w:rPr>
        <w:t xml:space="preserve"> </w:t>
      </w:r>
      <w:r>
        <w:rPr>
          <w:rFonts w:ascii="Times New Roman" w:hAnsi="Times New Roman" w:eastAsia="Times New Roman" w:cs="Times New Roman"/>
          <w:spacing w:val="-1"/>
          <w:sz w:val="21"/>
          <w:szCs w:val="21"/>
        </w:rPr>
        <w:t>socio-economic</w:t>
      </w:r>
      <w:r>
        <w:rPr>
          <w:rFonts w:ascii="Times New Roman" w:hAnsi="Times New Roman" w:eastAsia="Times New Roman" w:cs="Times New Roman"/>
          <w:spacing w:val="26"/>
          <w:sz w:val="21"/>
          <w:szCs w:val="21"/>
        </w:rPr>
        <w:t xml:space="preserve"> </w:t>
      </w:r>
      <w:r>
        <w:rPr>
          <w:rFonts w:ascii="Times New Roman" w:hAnsi="Times New Roman" w:eastAsia="Times New Roman" w:cs="Times New Roman"/>
          <w:spacing w:val="-1"/>
          <w:sz w:val="21"/>
          <w:szCs w:val="21"/>
        </w:rPr>
        <w:t>environments</w:t>
      </w:r>
      <w:r>
        <w:rPr>
          <w:rFonts w:ascii="Times New Roman" w:hAnsi="Times New Roman" w:eastAsia="Times New Roman" w:cs="Times New Roman"/>
          <w:spacing w:val="19"/>
          <w:w w:val="101"/>
          <w:sz w:val="21"/>
          <w:szCs w:val="21"/>
        </w:rPr>
        <w:t xml:space="preserve"> </w:t>
      </w:r>
      <w:r>
        <w:rPr>
          <w:rFonts w:ascii="Times New Roman" w:hAnsi="Times New Roman" w:eastAsia="Times New Roman" w:cs="Times New Roman"/>
          <w:spacing w:val="-1"/>
          <w:sz w:val="21"/>
          <w:szCs w:val="21"/>
        </w:rPr>
        <w:t>where</w:t>
      </w:r>
      <w:r>
        <w:rPr>
          <w:rFonts w:ascii="Times New Roman" w:hAnsi="Times New Roman" w:eastAsia="Times New Roman" w:cs="Times New Roman"/>
          <w:sz w:val="21"/>
          <w:szCs w:val="21"/>
        </w:rPr>
        <w:t xml:space="preserve"> people  live.Thus,it  may  change  over  time.Knowledge  of</w:t>
      </w:r>
      <w:r>
        <w:rPr>
          <w:rFonts w:ascii="Times New Roman" w:hAnsi="Times New Roman" w:eastAsia="Times New Roman" w:cs="Times New Roman"/>
          <w:spacing w:val="49"/>
          <w:w w:val="101"/>
          <w:sz w:val="21"/>
          <w:szCs w:val="21"/>
        </w:rPr>
        <w:t xml:space="preserve"> </w:t>
      </w:r>
      <w:r>
        <w:rPr>
          <w:rFonts w:ascii="Times New Roman" w:hAnsi="Times New Roman" w:eastAsia="Times New Roman" w:cs="Times New Roman"/>
          <w:sz w:val="21"/>
          <w:szCs w:val="21"/>
        </w:rPr>
        <w:t>the  distribution  of  disease  by  person,place,and time</w:t>
      </w:r>
      <w:r>
        <w:rPr>
          <w:rFonts w:ascii="Times New Roman" w:hAnsi="Times New Roman" w:eastAsia="Times New Roman" w:cs="Times New Roman"/>
          <w:spacing w:val="30"/>
          <w:sz w:val="21"/>
          <w:szCs w:val="21"/>
        </w:rPr>
        <w:t xml:space="preserve"> </w:t>
      </w:r>
      <w:r>
        <w:rPr>
          <w:rFonts w:ascii="Times New Roman" w:hAnsi="Times New Roman" w:eastAsia="Times New Roman" w:cs="Times New Roman"/>
          <w:sz w:val="21"/>
          <w:szCs w:val="21"/>
        </w:rPr>
        <w:t>is</w:t>
      </w:r>
      <w:r>
        <w:rPr>
          <w:rFonts w:ascii="Times New Roman" w:hAnsi="Times New Roman" w:eastAsia="Times New Roman" w:cs="Times New Roman"/>
          <w:spacing w:val="23"/>
          <w:w w:val="101"/>
          <w:sz w:val="21"/>
          <w:szCs w:val="21"/>
        </w:rPr>
        <w:t xml:space="preserve"> </w:t>
      </w:r>
      <w:r>
        <w:rPr>
          <w:rFonts w:ascii="Times New Roman" w:hAnsi="Times New Roman" w:eastAsia="Times New Roman" w:cs="Times New Roman"/>
          <w:sz w:val="21"/>
          <w:szCs w:val="21"/>
        </w:rPr>
        <w:t>usually</w:t>
      </w:r>
      <w:r>
        <w:rPr>
          <w:rFonts w:ascii="Times New Roman" w:hAnsi="Times New Roman" w:eastAsia="Times New Roman" w:cs="Times New Roman"/>
          <w:spacing w:val="25"/>
          <w:w w:val="101"/>
          <w:sz w:val="21"/>
          <w:szCs w:val="21"/>
        </w:rPr>
        <w:t xml:space="preserve"> </w:t>
      </w:r>
      <w:r>
        <w:rPr>
          <w:rFonts w:ascii="Times New Roman" w:hAnsi="Times New Roman" w:eastAsia="Times New Roman" w:cs="Times New Roman"/>
          <w:sz w:val="21"/>
          <w:szCs w:val="21"/>
        </w:rPr>
        <w:t>the</w:t>
      </w:r>
      <w:r>
        <w:rPr>
          <w:rFonts w:ascii="Times New Roman" w:hAnsi="Times New Roman" w:eastAsia="Times New Roman" w:cs="Times New Roman"/>
          <w:spacing w:val="33"/>
          <w:w w:val="101"/>
          <w:sz w:val="21"/>
          <w:szCs w:val="21"/>
        </w:rPr>
        <w:t xml:space="preserve"> </w:t>
      </w:r>
      <w:r>
        <w:rPr>
          <w:rFonts w:ascii="Times New Roman" w:hAnsi="Times New Roman" w:eastAsia="Times New Roman" w:cs="Times New Roman"/>
          <w:sz w:val="21"/>
          <w:szCs w:val="21"/>
        </w:rPr>
        <w:t>starting</w:t>
      </w:r>
      <w:r>
        <w:rPr>
          <w:rFonts w:ascii="Times New Roman" w:hAnsi="Times New Roman" w:eastAsia="Times New Roman" w:cs="Times New Roman"/>
          <w:spacing w:val="23"/>
          <w:sz w:val="21"/>
          <w:szCs w:val="21"/>
        </w:rPr>
        <w:t xml:space="preserve"> </w:t>
      </w:r>
      <w:r>
        <w:rPr>
          <w:rFonts w:ascii="Times New Roman" w:hAnsi="Times New Roman" w:eastAsia="Times New Roman" w:cs="Times New Roman"/>
          <w:sz w:val="21"/>
          <w:szCs w:val="21"/>
        </w:rPr>
        <w:t>point</w:t>
      </w:r>
      <w:r>
        <w:rPr>
          <w:rFonts w:ascii="Times New Roman" w:hAnsi="Times New Roman" w:eastAsia="Times New Roman" w:cs="Times New Roman"/>
          <w:spacing w:val="30"/>
          <w:sz w:val="21"/>
          <w:szCs w:val="21"/>
        </w:rPr>
        <w:t xml:space="preserve"> </w:t>
      </w:r>
      <w:r>
        <w:rPr>
          <w:rFonts w:ascii="Times New Roman" w:hAnsi="Times New Roman" w:eastAsia="Times New Roman" w:cs="Times New Roman"/>
          <w:sz w:val="21"/>
          <w:szCs w:val="21"/>
        </w:rPr>
        <w:t>of epidemiological</w:t>
      </w:r>
      <w:r>
        <w:rPr>
          <w:rFonts w:ascii="Times New Roman" w:hAnsi="Times New Roman" w:eastAsia="Times New Roman" w:cs="Times New Roman"/>
          <w:spacing w:val="29"/>
          <w:w w:val="101"/>
          <w:sz w:val="21"/>
          <w:szCs w:val="21"/>
        </w:rPr>
        <w:t xml:space="preserve"> </w:t>
      </w:r>
      <w:r>
        <w:rPr>
          <w:rFonts w:ascii="Times New Roman" w:hAnsi="Times New Roman" w:eastAsia="Times New Roman" w:cs="Times New Roman"/>
          <w:sz w:val="21"/>
          <w:szCs w:val="21"/>
        </w:rPr>
        <w:t>investigation.Analysis</w:t>
      </w:r>
      <w:r>
        <w:rPr>
          <w:rFonts w:ascii="Times New Roman" w:hAnsi="Times New Roman" w:eastAsia="Times New Roman" w:cs="Times New Roman"/>
          <w:spacing w:val="30"/>
          <w:w w:val="101"/>
          <w:sz w:val="21"/>
          <w:szCs w:val="21"/>
        </w:rPr>
        <w:t xml:space="preserve"> </w:t>
      </w:r>
      <w:r>
        <w:rPr>
          <w:rFonts w:ascii="Times New Roman" w:hAnsi="Times New Roman" w:eastAsia="Times New Roman" w:cs="Times New Roman"/>
          <w:sz w:val="21"/>
          <w:szCs w:val="21"/>
        </w:rPr>
        <w:t>of the</w:t>
      </w:r>
      <w:r>
        <w:rPr>
          <w:rFonts w:ascii="Times New Roman" w:hAnsi="Times New Roman" w:eastAsia="Times New Roman" w:cs="Times New Roman"/>
          <w:spacing w:val="30"/>
          <w:w w:val="101"/>
          <w:sz w:val="21"/>
          <w:szCs w:val="21"/>
        </w:rPr>
        <w:t xml:space="preserve"> </w:t>
      </w:r>
      <w:r>
        <w:rPr>
          <w:rFonts w:ascii="Times New Roman" w:hAnsi="Times New Roman" w:eastAsia="Times New Roman" w:cs="Times New Roman"/>
          <w:sz w:val="21"/>
          <w:szCs w:val="21"/>
        </w:rPr>
        <w:t>distribut</w:t>
      </w:r>
      <w:r>
        <w:rPr>
          <w:rFonts w:ascii="Times New Roman" w:hAnsi="Times New Roman" w:eastAsia="Times New Roman" w:cs="Times New Roman"/>
          <w:spacing w:val="-1"/>
          <w:sz w:val="21"/>
          <w:szCs w:val="21"/>
        </w:rPr>
        <w:t>ion</w:t>
      </w:r>
      <w:r>
        <w:rPr>
          <w:rFonts w:ascii="Times New Roman" w:hAnsi="Times New Roman" w:eastAsia="Times New Roman" w:cs="Times New Roman"/>
          <w:spacing w:val="29"/>
          <w:w w:val="101"/>
          <w:sz w:val="21"/>
          <w:szCs w:val="21"/>
        </w:rPr>
        <w:t xml:space="preserve"> </w:t>
      </w:r>
      <w:r>
        <w:rPr>
          <w:rFonts w:ascii="Times New Roman" w:hAnsi="Times New Roman" w:eastAsia="Times New Roman" w:cs="Times New Roman"/>
          <w:spacing w:val="-1"/>
          <w:sz w:val="21"/>
          <w:szCs w:val="21"/>
        </w:rPr>
        <w:t>is</w:t>
      </w:r>
      <w:r>
        <w:rPr>
          <w:rFonts w:ascii="Times New Roman" w:hAnsi="Times New Roman" w:eastAsia="Times New Roman" w:cs="Times New Roman"/>
          <w:spacing w:val="22"/>
          <w:w w:val="101"/>
          <w:sz w:val="21"/>
          <w:szCs w:val="21"/>
        </w:rPr>
        <w:t xml:space="preserve"> </w:t>
      </w:r>
      <w:r>
        <w:rPr>
          <w:rFonts w:ascii="Times New Roman" w:hAnsi="Times New Roman" w:eastAsia="Times New Roman" w:cs="Times New Roman"/>
          <w:spacing w:val="-1"/>
          <w:sz w:val="21"/>
          <w:szCs w:val="21"/>
        </w:rPr>
        <w:t>particularly</w:t>
      </w:r>
      <w:r>
        <w:rPr>
          <w:rFonts w:ascii="Times New Roman" w:hAnsi="Times New Roman" w:eastAsia="Times New Roman" w:cs="Times New Roman"/>
          <w:sz w:val="21"/>
          <w:szCs w:val="21"/>
        </w:rPr>
        <w:t xml:space="preserve"> important</w:t>
      </w:r>
      <w:r>
        <w:rPr>
          <w:rFonts w:ascii="Times New Roman" w:hAnsi="Times New Roman" w:eastAsia="Times New Roman" w:cs="Times New Roman"/>
          <w:spacing w:val="33"/>
          <w:sz w:val="21"/>
          <w:szCs w:val="21"/>
        </w:rPr>
        <w:t xml:space="preserve"> </w:t>
      </w:r>
      <w:r>
        <w:rPr>
          <w:rFonts w:ascii="Times New Roman" w:hAnsi="Times New Roman" w:eastAsia="Times New Roman" w:cs="Times New Roman"/>
          <w:sz w:val="21"/>
          <w:szCs w:val="21"/>
        </w:rPr>
        <w:t>for</w:t>
      </w:r>
      <w:r>
        <w:rPr>
          <w:rFonts w:ascii="Times New Roman" w:hAnsi="Times New Roman" w:eastAsia="Times New Roman" w:cs="Times New Roman"/>
          <w:spacing w:val="29"/>
          <w:w w:val="101"/>
          <w:sz w:val="21"/>
          <w:szCs w:val="21"/>
        </w:rPr>
        <w:t xml:space="preserve"> </w:t>
      </w:r>
      <w:r>
        <w:rPr>
          <w:rFonts w:ascii="Times New Roman" w:hAnsi="Times New Roman" w:eastAsia="Times New Roman" w:cs="Times New Roman"/>
          <w:sz w:val="21"/>
          <w:szCs w:val="21"/>
        </w:rPr>
        <w:t>generating</w:t>
      </w:r>
      <w:r>
        <w:rPr>
          <w:rFonts w:ascii="Times New Roman" w:hAnsi="Times New Roman" w:eastAsia="Times New Roman" w:cs="Times New Roman"/>
          <w:spacing w:val="25"/>
          <w:w w:val="101"/>
          <w:sz w:val="21"/>
          <w:szCs w:val="21"/>
        </w:rPr>
        <w:t xml:space="preserve"> </w:t>
      </w:r>
      <w:r>
        <w:rPr>
          <w:rFonts w:ascii="Times New Roman" w:hAnsi="Times New Roman" w:eastAsia="Times New Roman" w:cs="Times New Roman"/>
          <w:spacing w:val="-1"/>
          <w:sz w:val="21"/>
          <w:szCs w:val="21"/>
        </w:rPr>
        <w:t>hypotheses</w:t>
      </w:r>
      <w:r>
        <w:rPr>
          <w:rFonts w:ascii="Times New Roman" w:hAnsi="Times New Roman" w:eastAsia="Times New Roman" w:cs="Times New Roman"/>
          <w:spacing w:val="32"/>
          <w:sz w:val="21"/>
          <w:szCs w:val="21"/>
        </w:rPr>
        <w:t xml:space="preserve"> </w:t>
      </w:r>
      <w:r>
        <w:rPr>
          <w:rFonts w:ascii="Times New Roman" w:hAnsi="Times New Roman" w:eastAsia="Times New Roman" w:cs="Times New Roman"/>
          <w:spacing w:val="-1"/>
          <w:sz w:val="21"/>
          <w:szCs w:val="21"/>
        </w:rPr>
        <w:t>about</w:t>
      </w:r>
      <w:r>
        <w:rPr>
          <w:rFonts w:ascii="Times New Roman" w:hAnsi="Times New Roman" w:eastAsia="Times New Roman" w:cs="Times New Roman"/>
          <w:spacing w:val="24"/>
          <w:sz w:val="21"/>
          <w:szCs w:val="21"/>
        </w:rPr>
        <w:t xml:space="preserve"> </w:t>
      </w:r>
      <w:r>
        <w:rPr>
          <w:rFonts w:ascii="Times New Roman" w:hAnsi="Times New Roman" w:eastAsia="Times New Roman" w:cs="Times New Roman"/>
          <w:spacing w:val="-1"/>
          <w:sz w:val="21"/>
          <w:szCs w:val="21"/>
        </w:rPr>
        <w:t>possible</w:t>
      </w:r>
      <w:r>
        <w:rPr>
          <w:rFonts w:ascii="Times New Roman" w:hAnsi="Times New Roman" w:eastAsia="Times New Roman" w:cs="Times New Roman"/>
          <w:spacing w:val="31"/>
          <w:w w:val="101"/>
          <w:sz w:val="21"/>
          <w:szCs w:val="21"/>
        </w:rPr>
        <w:t xml:space="preserve"> </w:t>
      </w:r>
      <w:r>
        <w:rPr>
          <w:rFonts w:ascii="Times New Roman" w:hAnsi="Times New Roman" w:eastAsia="Times New Roman" w:cs="Times New Roman"/>
          <w:spacing w:val="-1"/>
          <w:sz w:val="21"/>
          <w:szCs w:val="21"/>
        </w:rPr>
        <w:t>causal</w:t>
      </w:r>
      <w:r>
        <w:rPr>
          <w:rFonts w:ascii="Times New Roman" w:hAnsi="Times New Roman" w:eastAsia="Times New Roman" w:cs="Times New Roman"/>
          <w:spacing w:val="31"/>
          <w:w w:val="101"/>
          <w:sz w:val="21"/>
          <w:szCs w:val="21"/>
        </w:rPr>
        <w:t xml:space="preserve"> </w:t>
      </w:r>
      <w:r>
        <w:rPr>
          <w:rFonts w:ascii="Times New Roman" w:hAnsi="Times New Roman" w:eastAsia="Times New Roman" w:cs="Times New Roman"/>
          <w:spacing w:val="-1"/>
          <w:sz w:val="21"/>
          <w:szCs w:val="21"/>
        </w:rPr>
        <w:t>or</w:t>
      </w:r>
      <w:r>
        <w:rPr>
          <w:rFonts w:ascii="Times New Roman" w:hAnsi="Times New Roman" w:eastAsia="Times New Roman" w:cs="Times New Roman"/>
          <w:spacing w:val="23"/>
          <w:sz w:val="21"/>
          <w:szCs w:val="21"/>
        </w:rPr>
        <w:t xml:space="preserve"> </w:t>
      </w:r>
      <w:r>
        <w:rPr>
          <w:rFonts w:ascii="Times New Roman" w:hAnsi="Times New Roman" w:eastAsia="Times New Roman" w:cs="Times New Roman"/>
          <w:spacing w:val="-1"/>
          <w:sz w:val="21"/>
          <w:szCs w:val="21"/>
        </w:rPr>
        <w:t>preventive</w:t>
      </w:r>
      <w:r>
        <w:rPr>
          <w:rFonts w:ascii="Times New Roman" w:hAnsi="Times New Roman" w:eastAsia="Times New Roman" w:cs="Times New Roman"/>
          <w:spacing w:val="32"/>
          <w:w w:val="101"/>
          <w:sz w:val="21"/>
          <w:szCs w:val="21"/>
        </w:rPr>
        <w:t xml:space="preserve"> </w:t>
      </w:r>
      <w:r>
        <w:rPr>
          <w:rFonts w:ascii="Times New Roman" w:hAnsi="Times New Roman" w:eastAsia="Times New Roman" w:cs="Times New Roman"/>
          <w:spacing w:val="-1"/>
          <w:sz w:val="21"/>
          <w:szCs w:val="21"/>
        </w:rPr>
        <w:t>factors</w:t>
      </w:r>
      <w:r>
        <w:rPr>
          <w:rFonts w:ascii="Times New Roman" w:hAnsi="Times New Roman" w:eastAsia="Times New Roman" w:cs="Times New Roman"/>
          <w:spacing w:val="32"/>
          <w:sz w:val="21"/>
          <w:szCs w:val="21"/>
        </w:rPr>
        <w:t xml:space="preserve"> </w:t>
      </w:r>
      <w:r>
        <w:rPr>
          <w:rFonts w:ascii="Times New Roman" w:hAnsi="Times New Roman" w:eastAsia="Times New Roman" w:cs="Times New Roman"/>
          <w:spacing w:val="-1"/>
          <w:sz w:val="21"/>
          <w:szCs w:val="21"/>
        </w:rPr>
        <w:t>and</w:t>
      </w:r>
      <w:r>
        <w:rPr>
          <w:rFonts w:ascii="Times New Roman" w:hAnsi="Times New Roman" w:eastAsia="Times New Roman" w:cs="Times New Roman"/>
          <w:spacing w:val="32"/>
          <w:sz w:val="21"/>
          <w:szCs w:val="21"/>
        </w:rPr>
        <w:t xml:space="preserve"> </w:t>
      </w:r>
      <w:r>
        <w:rPr>
          <w:rFonts w:ascii="Times New Roman" w:hAnsi="Times New Roman" w:eastAsia="Times New Roman" w:cs="Times New Roman"/>
          <w:spacing w:val="-1"/>
          <w:sz w:val="21"/>
          <w:szCs w:val="21"/>
        </w:rPr>
        <w:t>for</w:t>
      </w:r>
      <w:r>
        <w:rPr>
          <w:rFonts w:ascii="Times New Roman" w:hAnsi="Times New Roman" w:eastAsia="Times New Roman" w:cs="Times New Roman"/>
          <w:spacing w:val="23"/>
          <w:sz w:val="21"/>
          <w:szCs w:val="21"/>
        </w:rPr>
        <w:t xml:space="preserve"> </w:t>
      </w:r>
      <w:r>
        <w:rPr>
          <w:rFonts w:ascii="Times New Roman" w:hAnsi="Times New Roman" w:eastAsia="Times New Roman" w:cs="Times New Roman"/>
          <w:spacing w:val="-1"/>
          <w:sz w:val="21"/>
          <w:szCs w:val="21"/>
        </w:rPr>
        <w:t>planning</w:t>
      </w:r>
      <w:r>
        <w:rPr>
          <w:rFonts w:ascii="Times New Roman" w:hAnsi="Times New Roman" w:eastAsia="Times New Roman" w:cs="Times New Roman"/>
          <w:spacing w:val="25"/>
          <w:w w:val="101"/>
          <w:sz w:val="21"/>
          <w:szCs w:val="21"/>
        </w:rPr>
        <w:t xml:space="preserve"> </w:t>
      </w:r>
      <w:r>
        <w:rPr>
          <w:rFonts w:ascii="Times New Roman" w:hAnsi="Times New Roman" w:eastAsia="Times New Roman" w:cs="Times New Roman"/>
          <w:spacing w:val="-1"/>
          <w:sz w:val="21"/>
          <w:szCs w:val="21"/>
        </w:rPr>
        <w:t>healtheare</w:t>
      </w:r>
      <w:r>
        <w:rPr>
          <w:rFonts w:ascii="Times New Roman" w:hAnsi="Times New Roman" w:eastAsia="Times New Roman" w:cs="Times New Roman"/>
          <w:sz w:val="21"/>
          <w:szCs w:val="21"/>
        </w:rPr>
        <w:t xml:space="preserve"> services  and  making  public  health  decisions.This  chapter</w:t>
      </w:r>
      <w:r>
        <w:rPr>
          <w:rFonts w:ascii="Times New Roman" w:hAnsi="Times New Roman" w:eastAsia="Times New Roman" w:cs="Times New Roman"/>
          <w:spacing w:val="-1"/>
          <w:sz w:val="21"/>
          <w:szCs w:val="21"/>
        </w:rPr>
        <w:t xml:space="preserve">  mainly  introduces  the  frequency  of  disease,the</w:t>
      </w:r>
      <w:r>
        <w:rPr>
          <w:rFonts w:ascii="Times New Roman" w:hAnsi="Times New Roman" w:eastAsia="Times New Roman" w:cs="Times New Roman"/>
          <w:sz w:val="21"/>
          <w:szCs w:val="21"/>
        </w:rPr>
        <w:t xml:space="preserve"> intensity</w:t>
      </w:r>
      <w:r>
        <w:rPr>
          <w:rFonts w:ascii="Times New Roman" w:hAnsi="Times New Roman" w:eastAsia="Times New Roman" w:cs="Times New Roman"/>
          <w:spacing w:val="49"/>
          <w:sz w:val="21"/>
          <w:szCs w:val="21"/>
        </w:rPr>
        <w:t xml:space="preserve"> </w:t>
      </w:r>
      <w:r>
        <w:rPr>
          <w:rFonts w:ascii="Times New Roman" w:hAnsi="Times New Roman" w:eastAsia="Times New Roman" w:cs="Times New Roman"/>
          <w:sz w:val="21"/>
          <w:szCs w:val="21"/>
        </w:rPr>
        <w:t>of</w:t>
      </w:r>
      <w:r>
        <w:rPr>
          <w:rFonts w:ascii="Times New Roman" w:hAnsi="Times New Roman" w:eastAsia="Times New Roman" w:cs="Times New Roman"/>
          <w:spacing w:val="28"/>
          <w:sz w:val="21"/>
          <w:szCs w:val="21"/>
        </w:rPr>
        <w:t xml:space="preserve"> </w:t>
      </w:r>
      <w:r>
        <w:rPr>
          <w:rFonts w:ascii="Times New Roman" w:hAnsi="Times New Roman" w:eastAsia="Times New Roman" w:cs="Times New Roman"/>
          <w:sz w:val="21"/>
          <w:szCs w:val="21"/>
        </w:rPr>
        <w:t>epidemics,and</w:t>
      </w:r>
      <w:r>
        <w:rPr>
          <w:rFonts w:ascii="Times New Roman" w:hAnsi="Times New Roman" w:eastAsia="Times New Roman" w:cs="Times New Roman"/>
          <w:spacing w:val="43"/>
          <w:w w:val="101"/>
          <w:sz w:val="21"/>
          <w:szCs w:val="21"/>
        </w:rPr>
        <w:t xml:space="preserve"> </w:t>
      </w:r>
      <w:r>
        <w:rPr>
          <w:rFonts w:ascii="Times New Roman" w:hAnsi="Times New Roman" w:eastAsia="Times New Roman" w:cs="Times New Roman"/>
          <w:sz w:val="21"/>
          <w:szCs w:val="21"/>
        </w:rPr>
        <w:t>the</w:t>
      </w:r>
      <w:r>
        <w:rPr>
          <w:rFonts w:ascii="Times New Roman" w:hAnsi="Times New Roman" w:eastAsia="Times New Roman" w:cs="Times New Roman"/>
          <w:spacing w:val="48"/>
          <w:w w:val="101"/>
          <w:sz w:val="21"/>
          <w:szCs w:val="21"/>
        </w:rPr>
        <w:t xml:space="preserve"> </w:t>
      </w:r>
      <w:r>
        <w:rPr>
          <w:rFonts w:ascii="Times New Roman" w:hAnsi="Times New Roman" w:eastAsia="Times New Roman" w:cs="Times New Roman"/>
          <w:sz w:val="21"/>
          <w:szCs w:val="21"/>
        </w:rPr>
        <w:t>distribution</w:t>
      </w:r>
      <w:r>
        <w:rPr>
          <w:rFonts w:ascii="Times New Roman" w:hAnsi="Times New Roman" w:eastAsia="Times New Roman" w:cs="Times New Roman"/>
          <w:spacing w:val="49"/>
          <w:sz w:val="21"/>
          <w:szCs w:val="21"/>
        </w:rPr>
        <w:t xml:space="preserve"> </w:t>
      </w:r>
      <w:r>
        <w:rPr>
          <w:rFonts w:ascii="Times New Roman" w:hAnsi="Times New Roman" w:eastAsia="Times New Roman" w:cs="Times New Roman"/>
          <w:sz w:val="21"/>
          <w:szCs w:val="21"/>
        </w:rPr>
        <w:t>of</w:t>
      </w:r>
      <w:r>
        <w:rPr>
          <w:rFonts w:ascii="Times New Roman" w:hAnsi="Times New Roman" w:eastAsia="Times New Roman" w:cs="Times New Roman"/>
          <w:spacing w:val="27"/>
          <w:w w:val="101"/>
          <w:sz w:val="21"/>
          <w:szCs w:val="21"/>
        </w:rPr>
        <w:t xml:space="preserve"> </w:t>
      </w:r>
      <w:r>
        <w:rPr>
          <w:rFonts w:ascii="Times New Roman" w:hAnsi="Times New Roman" w:eastAsia="Times New Roman" w:cs="Times New Roman"/>
          <w:sz w:val="21"/>
          <w:szCs w:val="21"/>
        </w:rPr>
        <w:t>disease</w:t>
      </w:r>
      <w:r>
        <w:rPr>
          <w:rFonts w:ascii="Times New Roman" w:hAnsi="Times New Roman" w:eastAsia="Times New Roman" w:cs="Times New Roman"/>
          <w:spacing w:val="41"/>
          <w:w w:val="101"/>
          <w:sz w:val="21"/>
          <w:szCs w:val="21"/>
        </w:rPr>
        <w:t xml:space="preserve"> </w:t>
      </w:r>
      <w:r>
        <w:rPr>
          <w:rFonts w:ascii="Times New Roman" w:hAnsi="Times New Roman" w:eastAsia="Times New Roman" w:cs="Times New Roman"/>
          <w:sz w:val="21"/>
          <w:szCs w:val="21"/>
        </w:rPr>
        <w:t>by</w:t>
      </w:r>
      <w:r>
        <w:rPr>
          <w:rFonts w:ascii="Times New Roman" w:hAnsi="Times New Roman" w:eastAsia="Times New Roman" w:cs="Times New Roman"/>
          <w:spacing w:val="41"/>
          <w:sz w:val="21"/>
          <w:szCs w:val="21"/>
        </w:rPr>
        <w:t xml:space="preserve"> </w:t>
      </w:r>
      <w:r>
        <w:rPr>
          <w:rFonts w:ascii="Times New Roman" w:hAnsi="Times New Roman" w:eastAsia="Times New Roman" w:cs="Times New Roman"/>
          <w:sz w:val="21"/>
          <w:szCs w:val="21"/>
        </w:rPr>
        <w:t>person,place</w:t>
      </w:r>
      <w:r>
        <w:rPr>
          <w:rFonts w:ascii="Times New Roman" w:hAnsi="Times New Roman" w:eastAsia="Times New Roman" w:cs="Times New Roman"/>
          <w:spacing w:val="-1"/>
          <w:sz w:val="21"/>
          <w:szCs w:val="21"/>
        </w:rPr>
        <w:t>,and</w:t>
      </w:r>
      <w:r>
        <w:rPr>
          <w:rFonts w:ascii="Times New Roman" w:hAnsi="Times New Roman" w:eastAsia="Times New Roman" w:cs="Times New Roman"/>
          <w:spacing w:val="43"/>
          <w:w w:val="101"/>
          <w:sz w:val="21"/>
          <w:szCs w:val="21"/>
        </w:rPr>
        <w:t xml:space="preserve"> </w:t>
      </w:r>
      <w:r>
        <w:rPr>
          <w:rFonts w:ascii="Times New Roman" w:hAnsi="Times New Roman" w:eastAsia="Times New Roman" w:cs="Times New Roman"/>
          <w:spacing w:val="-1"/>
          <w:sz w:val="21"/>
          <w:szCs w:val="21"/>
        </w:rPr>
        <w:t>time.</w:t>
      </w:r>
    </w:p>
    <w:p w14:paraId="7A6B75CC">
      <w:pPr>
        <w:spacing w:line="313" w:lineRule="auto"/>
        <w:rPr>
          <w:rFonts w:ascii="Arial"/>
          <w:sz w:val="21"/>
        </w:rPr>
      </w:pPr>
    </w:p>
    <w:p w14:paraId="122AA21B">
      <w:pPr>
        <w:spacing w:before="69" w:line="317" w:lineRule="auto"/>
        <w:ind w:right="624" w:firstLine="430"/>
        <w:jc w:val="both"/>
        <w:rPr>
          <w:rFonts w:ascii="宋体" w:hAnsi="宋体" w:eastAsia="宋体" w:cs="宋体"/>
          <w:sz w:val="21"/>
          <w:szCs w:val="21"/>
        </w:rPr>
      </w:pPr>
      <w:r>
        <w:rPr>
          <w:rFonts w:ascii="宋体" w:hAnsi="宋体" w:eastAsia="宋体" w:cs="宋体"/>
          <w:spacing w:val="12"/>
          <w:sz w:val="21"/>
          <w:szCs w:val="21"/>
        </w:rPr>
        <w:t>疾病的分布是疾病在不同人群、地区和时间发生、发展和存在状态的群体现象。通过测量疾</w:t>
      </w:r>
      <w:r>
        <w:rPr>
          <w:rFonts w:ascii="宋体" w:hAnsi="宋体" w:eastAsia="宋体" w:cs="宋体"/>
          <w:spacing w:val="17"/>
          <w:sz w:val="21"/>
          <w:szCs w:val="21"/>
        </w:rPr>
        <w:t xml:space="preserve"> </w:t>
      </w:r>
      <w:r>
        <w:rPr>
          <w:rFonts w:ascii="宋体" w:hAnsi="宋体" w:eastAsia="宋体" w:cs="宋体"/>
          <w:spacing w:val="2"/>
          <w:sz w:val="21"/>
          <w:szCs w:val="21"/>
        </w:rPr>
        <w:t>病在不同人群、不同时间、不同地区的发病、患病或死亡的频率，并进行比较和归纳，综合描述疾病</w:t>
      </w:r>
      <w:r>
        <w:rPr>
          <w:rFonts w:ascii="宋体" w:hAnsi="宋体" w:eastAsia="宋体" w:cs="宋体"/>
          <w:spacing w:val="5"/>
          <w:sz w:val="21"/>
          <w:szCs w:val="21"/>
        </w:rPr>
        <w:t xml:space="preserve"> </w:t>
      </w:r>
      <w:r>
        <w:rPr>
          <w:rFonts w:ascii="宋体" w:hAnsi="宋体" w:eastAsia="宋体" w:cs="宋体"/>
          <w:spacing w:val="13"/>
          <w:sz w:val="21"/>
          <w:szCs w:val="21"/>
        </w:rPr>
        <w:t>的分布特征，是流行病学工作的基础和起点。了解疾病的分</w:t>
      </w:r>
      <w:r>
        <w:rPr>
          <w:rFonts w:ascii="宋体" w:hAnsi="宋体" w:eastAsia="宋体" w:cs="宋体"/>
          <w:spacing w:val="12"/>
          <w:sz w:val="21"/>
          <w:szCs w:val="21"/>
        </w:rPr>
        <w:t>布特征有助于认识疾病的流行规律及</w:t>
      </w:r>
      <w:r>
        <w:rPr>
          <w:rFonts w:ascii="宋体" w:hAnsi="宋体" w:eastAsia="宋体" w:cs="宋体"/>
          <w:sz w:val="21"/>
          <w:szCs w:val="21"/>
        </w:rPr>
        <w:t xml:space="preserve"> </w:t>
      </w:r>
      <w:r>
        <w:rPr>
          <w:rFonts w:ascii="宋体" w:hAnsi="宋体" w:eastAsia="宋体" w:cs="宋体"/>
          <w:spacing w:val="13"/>
          <w:sz w:val="21"/>
          <w:szCs w:val="21"/>
        </w:rPr>
        <w:t>其影响因素，为探讨病因提供线索，并为进一步研究防制疾</w:t>
      </w:r>
      <w:r>
        <w:rPr>
          <w:rFonts w:ascii="宋体" w:hAnsi="宋体" w:eastAsia="宋体" w:cs="宋体"/>
          <w:spacing w:val="12"/>
          <w:sz w:val="21"/>
          <w:szCs w:val="21"/>
        </w:rPr>
        <w:t>病及促进健康的策略和措施提供科学</w:t>
      </w:r>
      <w:r>
        <w:rPr>
          <w:rFonts w:ascii="宋体" w:hAnsi="宋体" w:eastAsia="宋体" w:cs="宋体"/>
          <w:sz w:val="21"/>
          <w:szCs w:val="21"/>
        </w:rPr>
        <w:t xml:space="preserve"> </w:t>
      </w:r>
      <w:r>
        <w:rPr>
          <w:rFonts w:ascii="宋体" w:hAnsi="宋体" w:eastAsia="宋体" w:cs="宋体"/>
          <w:spacing w:val="8"/>
          <w:sz w:val="21"/>
          <w:szCs w:val="21"/>
        </w:rPr>
        <w:t>依据。</w:t>
      </w:r>
    </w:p>
    <w:p w14:paraId="734D31F2">
      <w:pPr>
        <w:spacing w:line="304" w:lineRule="auto"/>
        <w:rPr>
          <w:rFonts w:ascii="Arial"/>
          <w:sz w:val="21"/>
        </w:rPr>
      </w:pPr>
    </w:p>
    <w:p w14:paraId="081BE78A">
      <w:pPr>
        <w:pStyle w:val="2"/>
        <w:spacing w:before="97" w:line="221" w:lineRule="auto"/>
        <w:ind w:left="2824"/>
        <w:outlineLvl w:val="1"/>
      </w:pPr>
      <w:bookmarkStart w:id="30" w:name="bookmark18"/>
      <w:bookmarkEnd w:id="30"/>
      <w:r>
        <w:rPr>
          <w:b/>
          <w:bCs/>
          <w:spacing w:val="8"/>
        </w:rPr>
        <w:t>第一节</w:t>
      </w:r>
      <w:r>
        <w:rPr>
          <w:spacing w:val="137"/>
        </w:rPr>
        <w:t xml:space="preserve"> </w:t>
      </w:r>
      <w:r>
        <w:rPr>
          <w:b/>
          <w:bCs/>
          <w:spacing w:val="8"/>
        </w:rPr>
        <w:t>疾病频率测量指标</w:t>
      </w:r>
    </w:p>
    <w:p w14:paraId="50CED6BA">
      <w:pPr>
        <w:spacing w:line="322" w:lineRule="auto"/>
        <w:rPr>
          <w:rFonts w:ascii="Arial"/>
          <w:sz w:val="21"/>
        </w:rPr>
      </w:pPr>
    </w:p>
    <w:p w14:paraId="2099A4DA">
      <w:pPr>
        <w:spacing w:before="69" w:line="337" w:lineRule="auto"/>
        <w:ind w:right="607" w:firstLine="430"/>
        <w:rPr>
          <w:rFonts w:ascii="宋体" w:hAnsi="宋体" w:eastAsia="宋体" w:cs="宋体"/>
          <w:sz w:val="21"/>
          <w:szCs w:val="21"/>
        </w:rPr>
      </w:pPr>
      <w:r>
        <w:rPr>
          <w:rFonts w:ascii="宋体" w:hAnsi="宋体" w:eastAsia="宋体" w:cs="宋体"/>
          <w:spacing w:val="8"/>
          <w:sz w:val="21"/>
          <w:szCs w:val="21"/>
        </w:rPr>
        <w:t>疾病的分布需要使用频率测量指标，定量地按不同人群、时间和地区的特征描述疾病出现</w:t>
      </w:r>
      <w:r>
        <w:rPr>
          <w:rFonts w:ascii="宋体" w:hAnsi="宋体" w:eastAsia="宋体" w:cs="宋体"/>
          <w:spacing w:val="7"/>
          <w:sz w:val="21"/>
          <w:szCs w:val="21"/>
        </w:rPr>
        <w:t>的频</w:t>
      </w:r>
      <w:r>
        <w:rPr>
          <w:rFonts w:ascii="宋体" w:hAnsi="宋体" w:eastAsia="宋体" w:cs="宋体"/>
          <w:sz w:val="21"/>
          <w:szCs w:val="21"/>
        </w:rPr>
        <w:t xml:space="preserve"> </w:t>
      </w:r>
      <w:r>
        <w:rPr>
          <w:rFonts w:ascii="宋体" w:hAnsi="宋体" w:eastAsia="宋体" w:cs="宋体"/>
          <w:spacing w:val="8"/>
          <w:sz w:val="21"/>
          <w:szCs w:val="21"/>
        </w:rPr>
        <w:t>率，有助于认识疾病对人群健康的危害影</w:t>
      </w:r>
      <w:r>
        <w:rPr>
          <w:rFonts w:ascii="宋体" w:hAnsi="宋体" w:eastAsia="宋体" w:cs="宋体"/>
          <w:spacing w:val="7"/>
          <w:sz w:val="21"/>
          <w:szCs w:val="21"/>
        </w:rPr>
        <w:t>响程度。常用疾病频率测量指标如下。</w:t>
      </w:r>
    </w:p>
    <w:p w14:paraId="48087C54">
      <w:pPr>
        <w:pStyle w:val="2"/>
        <w:spacing w:before="165" w:line="221" w:lineRule="auto"/>
        <w:ind w:left="430"/>
        <w:outlineLvl w:val="2"/>
        <w:rPr>
          <w:sz w:val="26"/>
          <w:szCs w:val="26"/>
        </w:rPr>
      </w:pPr>
      <w:bookmarkStart w:id="31" w:name="bookmark19"/>
      <w:bookmarkEnd w:id="31"/>
      <w:r>
        <w:rPr>
          <w:spacing w:val="-4"/>
          <w:sz w:val="26"/>
          <w:szCs w:val="26"/>
        </w:rPr>
        <w:t>一</w:t>
      </w:r>
      <w:r>
        <w:rPr>
          <w:spacing w:val="-50"/>
          <w:sz w:val="26"/>
          <w:szCs w:val="26"/>
        </w:rPr>
        <w:t xml:space="preserve"> </w:t>
      </w:r>
      <w:r>
        <w:rPr>
          <w:spacing w:val="-4"/>
          <w:sz w:val="26"/>
          <w:szCs w:val="26"/>
        </w:rPr>
        <w:t>、发病频率指标</w:t>
      </w:r>
    </w:p>
    <w:p w14:paraId="4EF16B9A">
      <w:pPr>
        <w:pStyle w:val="2"/>
        <w:spacing w:before="218" w:line="221" w:lineRule="auto"/>
        <w:ind w:left="430"/>
        <w:rPr>
          <w:sz w:val="26"/>
          <w:szCs w:val="26"/>
        </w:rPr>
      </w:pPr>
      <w:r>
        <w:rPr>
          <w:spacing w:val="-3"/>
          <w:sz w:val="26"/>
          <w:szCs w:val="26"/>
        </w:rPr>
        <w:t>(一)发病率</w:t>
      </w:r>
    </w:p>
    <w:p w14:paraId="2C491D65">
      <w:pPr>
        <w:pStyle w:val="2"/>
        <w:spacing w:before="66" w:line="347" w:lineRule="auto"/>
        <w:ind w:right="648" w:firstLine="430"/>
        <w:rPr>
          <w:rFonts w:ascii="宋体" w:hAnsi="宋体" w:eastAsia="宋体" w:cs="宋体"/>
          <w:sz w:val="21"/>
          <w:szCs w:val="21"/>
        </w:rPr>
      </w:pPr>
      <w:r>
        <w:rPr>
          <w:rFonts w:ascii="Times New Roman" w:hAnsi="Times New Roman" w:eastAsia="Times New Roman" w:cs="Times New Roman"/>
          <w:spacing w:val="7"/>
          <w:sz w:val="21"/>
          <w:szCs w:val="21"/>
        </w:rPr>
        <w:t>1.</w:t>
      </w:r>
      <w:r>
        <w:rPr>
          <w:rFonts w:ascii="Times New Roman" w:hAnsi="Times New Roman" w:eastAsia="Times New Roman" w:cs="Times New Roman"/>
          <w:spacing w:val="26"/>
          <w:sz w:val="21"/>
          <w:szCs w:val="21"/>
        </w:rPr>
        <w:t xml:space="preserve">  </w:t>
      </w:r>
      <w:r>
        <w:rPr>
          <w:spacing w:val="7"/>
          <w:sz w:val="21"/>
          <w:szCs w:val="21"/>
        </w:rPr>
        <w:t>定义</w:t>
      </w:r>
      <w:r>
        <w:rPr>
          <w:spacing w:val="102"/>
          <w:sz w:val="21"/>
          <w:szCs w:val="21"/>
        </w:rPr>
        <w:t xml:space="preserve"> </w:t>
      </w:r>
      <w:r>
        <w:rPr>
          <w:spacing w:val="7"/>
          <w:sz w:val="21"/>
          <w:szCs w:val="21"/>
        </w:rPr>
        <w:t>发病率</w:t>
      </w:r>
      <w:r>
        <w:rPr>
          <w:rFonts w:ascii="Times New Roman" w:hAnsi="Times New Roman" w:eastAsia="Times New Roman" w:cs="Times New Roman"/>
          <w:spacing w:val="7"/>
          <w:sz w:val="21"/>
          <w:szCs w:val="21"/>
        </w:rPr>
        <w:t>(</w:t>
      </w:r>
      <w:r>
        <w:rPr>
          <w:rFonts w:ascii="Times New Roman" w:hAnsi="Times New Roman" w:eastAsia="Times New Roman" w:cs="Times New Roman"/>
          <w:sz w:val="21"/>
          <w:szCs w:val="21"/>
        </w:rPr>
        <w:t>incidence</w:t>
      </w:r>
      <w:r>
        <w:rPr>
          <w:rFonts w:ascii="Times New Roman" w:hAnsi="Times New Roman" w:eastAsia="Times New Roman" w:cs="Times New Roman"/>
          <w:spacing w:val="7"/>
          <w:sz w:val="21"/>
          <w:szCs w:val="21"/>
        </w:rPr>
        <w:t xml:space="preserve">     </w:t>
      </w:r>
      <w:r>
        <w:rPr>
          <w:rFonts w:ascii="Times New Roman" w:hAnsi="Times New Roman" w:eastAsia="Times New Roman" w:cs="Times New Roman"/>
          <w:sz w:val="21"/>
          <w:szCs w:val="21"/>
        </w:rPr>
        <w:t>rate</w:t>
      </w:r>
      <w:r>
        <w:rPr>
          <w:rFonts w:ascii="Times New Roman" w:hAnsi="Times New Roman" w:eastAsia="Times New Roman" w:cs="Times New Roman"/>
          <w:spacing w:val="7"/>
          <w:sz w:val="21"/>
          <w:szCs w:val="21"/>
        </w:rPr>
        <w:t>)</w:t>
      </w:r>
      <w:r>
        <w:rPr>
          <w:spacing w:val="7"/>
          <w:sz w:val="21"/>
          <w:szCs w:val="21"/>
        </w:rPr>
        <w:t>是指一定期间内，</w:t>
      </w:r>
      <w:r>
        <w:rPr>
          <w:spacing w:val="-36"/>
          <w:sz w:val="21"/>
          <w:szCs w:val="21"/>
        </w:rPr>
        <w:t xml:space="preserve"> </w:t>
      </w:r>
      <w:r>
        <w:rPr>
          <w:spacing w:val="7"/>
          <w:sz w:val="21"/>
          <w:szCs w:val="21"/>
        </w:rPr>
        <w:t>一定范围人群中某病新发</w:t>
      </w:r>
      <w:r>
        <w:rPr>
          <w:spacing w:val="6"/>
          <w:sz w:val="21"/>
          <w:szCs w:val="21"/>
        </w:rPr>
        <w:t>生病例出现的频</w:t>
      </w:r>
      <w:r>
        <w:rPr>
          <w:sz w:val="21"/>
          <w:szCs w:val="21"/>
        </w:rPr>
        <w:t xml:space="preserve"> </w:t>
      </w:r>
      <w:r>
        <w:rPr>
          <w:rFonts w:ascii="宋体" w:hAnsi="宋体" w:eastAsia="宋体" w:cs="宋体"/>
          <w:spacing w:val="8"/>
          <w:sz w:val="21"/>
          <w:szCs w:val="21"/>
        </w:rPr>
        <w:t>率。计算公式为：</w:t>
      </w:r>
    </w:p>
    <w:p w14:paraId="658BE0A7">
      <w:pPr>
        <w:spacing w:before="143" w:line="349" w:lineRule="auto"/>
        <w:ind w:right="549" w:firstLine="2359"/>
        <w:rPr>
          <w:rFonts w:ascii="宋体" w:hAnsi="宋体" w:eastAsia="宋体" w:cs="宋体"/>
          <w:sz w:val="21"/>
          <w:szCs w:val="21"/>
        </w:rPr>
      </w:pPr>
      <w:r>
        <w:rPr>
          <w:rFonts w:ascii="宋体" w:hAnsi="宋体" w:eastAsia="宋体" w:cs="宋体"/>
          <w:position w:val="-20"/>
          <w:sz w:val="21"/>
          <w:szCs w:val="21"/>
        </w:rPr>
        <w:drawing>
          <wp:inline distT="0" distB="0" distL="0" distR="0">
            <wp:extent cx="2984500" cy="331470"/>
            <wp:effectExtent l="0" t="0" r="0" b="0"/>
            <wp:docPr id="70" name="IM 70"/>
            <wp:cNvGraphicFramePr/>
            <a:graphic xmlns:a="http://schemas.openxmlformats.org/drawingml/2006/main">
              <a:graphicData uri="http://schemas.openxmlformats.org/drawingml/2006/picture">
                <pic:pic xmlns:pic="http://schemas.openxmlformats.org/drawingml/2006/picture">
                  <pic:nvPicPr>
                    <pic:cNvPr id="70" name="IM 70"/>
                    <pic:cNvPicPr/>
                  </pic:nvPicPr>
                  <pic:blipFill>
                    <a:blip r:embed="rId431"/>
                    <a:stretch>
                      <a:fillRect/>
                    </a:stretch>
                  </pic:blipFill>
                  <pic:spPr>
                    <a:xfrm>
                      <a:off x="0" y="0"/>
                      <a:ext cx="2984611" cy="331821"/>
                    </a:xfrm>
                    <a:prstGeom prst="rect">
                      <a:avLst/>
                    </a:prstGeom>
                  </pic:spPr>
                </pic:pic>
              </a:graphicData>
            </a:graphic>
          </wp:inline>
        </w:drawing>
      </w:r>
      <w:r>
        <w:rPr>
          <w:rFonts w:ascii="宋体" w:hAnsi="宋体" w:eastAsia="宋体" w:cs="宋体"/>
          <w:spacing w:val="5"/>
          <w:sz w:val="21"/>
          <w:szCs w:val="21"/>
        </w:rPr>
        <w:t xml:space="preserve">              </w:t>
      </w:r>
      <w:r>
        <w:rPr>
          <w:rFonts w:ascii="宋体" w:hAnsi="宋体" w:eastAsia="宋体" w:cs="宋体"/>
          <w:spacing w:val="13"/>
          <w:sz w:val="21"/>
          <w:szCs w:val="21"/>
        </w:rPr>
        <w:t>式(2-1)</w:t>
      </w:r>
      <w:r>
        <w:rPr>
          <w:rFonts w:ascii="宋体" w:hAnsi="宋体" w:eastAsia="宋体" w:cs="宋体"/>
          <w:spacing w:val="11"/>
          <w:sz w:val="21"/>
          <w:szCs w:val="21"/>
        </w:rPr>
        <w:t xml:space="preserve"> </w:t>
      </w:r>
      <w:r>
        <w:rPr>
          <w:rFonts w:ascii="宋体" w:hAnsi="宋体" w:eastAsia="宋体" w:cs="宋体"/>
          <w:spacing w:val="10"/>
          <w:sz w:val="21"/>
          <w:szCs w:val="21"/>
        </w:rPr>
        <w:t>式中，</w:t>
      </w:r>
      <w:r>
        <w:rPr>
          <w:rFonts w:ascii="Times New Roman" w:hAnsi="Times New Roman" w:eastAsia="Times New Roman" w:cs="Times New Roman"/>
          <w:spacing w:val="10"/>
          <w:sz w:val="21"/>
          <w:szCs w:val="21"/>
        </w:rPr>
        <w:t xml:space="preserve">K </w:t>
      </w:r>
      <w:r>
        <w:rPr>
          <w:rFonts w:ascii="宋体" w:hAnsi="宋体" w:eastAsia="宋体" w:cs="宋体"/>
          <w:spacing w:val="10"/>
          <w:sz w:val="21"/>
          <w:szCs w:val="21"/>
        </w:rPr>
        <w:t>的取值可以为100%,1000‰,10000/万，100</w:t>
      </w:r>
      <w:r>
        <w:rPr>
          <w:rFonts w:ascii="宋体" w:hAnsi="宋体" w:eastAsia="宋体" w:cs="宋体"/>
          <w:spacing w:val="9"/>
          <w:sz w:val="21"/>
          <w:szCs w:val="21"/>
        </w:rPr>
        <w:t>000/10万……</w:t>
      </w:r>
    </w:p>
    <w:p w14:paraId="0CF0A0ED">
      <w:pPr>
        <w:pStyle w:val="2"/>
        <w:spacing w:before="126" w:line="221" w:lineRule="auto"/>
        <w:ind w:left="430"/>
        <w:rPr>
          <w:sz w:val="21"/>
          <w:szCs w:val="21"/>
        </w:rPr>
      </w:pPr>
      <w:r>
        <w:rPr>
          <w:rFonts w:ascii="宋体" w:hAnsi="宋体" w:eastAsia="宋体" w:cs="宋体"/>
          <w:spacing w:val="10"/>
          <w:sz w:val="21"/>
          <w:szCs w:val="21"/>
        </w:rPr>
        <w:t>2.</w:t>
      </w:r>
      <w:r>
        <w:rPr>
          <w:rFonts w:ascii="宋体" w:hAnsi="宋体" w:eastAsia="宋体" w:cs="宋体"/>
          <w:spacing w:val="-12"/>
          <w:sz w:val="21"/>
          <w:szCs w:val="21"/>
        </w:rPr>
        <w:t xml:space="preserve"> </w:t>
      </w:r>
      <w:r>
        <w:rPr>
          <w:spacing w:val="10"/>
          <w:sz w:val="21"/>
          <w:szCs w:val="21"/>
        </w:rPr>
        <w:t>计算发病率需考虑的因素</w:t>
      </w:r>
    </w:p>
    <w:p w14:paraId="3EA7B6E5">
      <w:pPr>
        <w:spacing w:before="140" w:line="219" w:lineRule="auto"/>
        <w:ind w:left="430"/>
        <w:rPr>
          <w:rFonts w:ascii="宋体" w:hAnsi="宋体" w:eastAsia="宋体" w:cs="宋体"/>
          <w:sz w:val="21"/>
          <w:szCs w:val="21"/>
        </w:rPr>
      </w:pPr>
      <w:r>
        <w:rPr>
          <w:rFonts w:ascii="宋体" w:hAnsi="宋体" w:eastAsia="宋体" w:cs="宋体"/>
          <w:spacing w:val="9"/>
          <w:sz w:val="21"/>
          <w:szCs w:val="21"/>
        </w:rPr>
        <w:t>(1)新发病例数：新发病例指观察期间内新发生或新确诊的病例。若在观察期间内一个人多次</w:t>
      </w:r>
    </w:p>
    <w:p w14:paraId="737D4906">
      <w:pPr>
        <w:spacing w:line="219" w:lineRule="auto"/>
        <w:rPr>
          <w:rFonts w:ascii="宋体" w:hAnsi="宋体" w:eastAsia="宋体" w:cs="宋体"/>
          <w:sz w:val="21"/>
          <w:szCs w:val="21"/>
        </w:rPr>
        <w:sectPr>
          <w:footerReference r:id="rId43" w:type="default"/>
          <w:pgSz w:w="11900" w:h="16820"/>
          <w:pgMar w:top="400" w:right="714" w:bottom="914" w:left="1209" w:header="0" w:footer="724" w:gutter="0"/>
          <w:cols w:space="720" w:num="1"/>
        </w:sectPr>
      </w:pPr>
    </w:p>
    <w:p w14:paraId="1A22F73A">
      <w:pPr>
        <w:pStyle w:val="2"/>
        <w:spacing w:before="106" w:line="221" w:lineRule="auto"/>
        <w:ind w:left="739"/>
        <w:rPr>
          <w:sz w:val="21"/>
          <w:szCs w:val="21"/>
        </w:rPr>
      </w:pPr>
      <w:r>
        <w:rPr>
          <w:spacing w:val="-24"/>
          <w:w w:val="99"/>
          <w:sz w:val="21"/>
          <w:szCs w:val="21"/>
        </w:rPr>
        <w:t>第二章 疾病的分布</w:t>
      </w:r>
    </w:p>
    <w:p w14:paraId="6C06878E">
      <w:pPr>
        <w:spacing w:line="279" w:lineRule="auto"/>
        <w:rPr>
          <w:rFonts w:ascii="Arial"/>
          <w:sz w:val="21"/>
        </w:rPr>
      </w:pPr>
    </w:p>
    <w:p w14:paraId="03F54098">
      <w:pPr>
        <w:spacing w:line="280" w:lineRule="auto"/>
        <w:rPr>
          <w:rFonts w:ascii="Arial"/>
          <w:sz w:val="21"/>
        </w:rPr>
      </w:pPr>
    </w:p>
    <w:p w14:paraId="74935107">
      <w:pPr>
        <w:spacing w:before="68" w:line="326" w:lineRule="auto"/>
        <w:ind w:left="719" w:firstLine="19"/>
        <w:rPr>
          <w:rFonts w:ascii="宋体" w:hAnsi="宋体" w:eastAsia="宋体" w:cs="宋体"/>
          <w:sz w:val="21"/>
          <w:szCs w:val="21"/>
        </w:rPr>
      </w:pPr>
      <w:r>
        <w:rPr>
          <w:rFonts w:ascii="宋体" w:hAnsi="宋体" w:eastAsia="宋体" w:cs="宋体"/>
          <w:spacing w:val="-3"/>
          <w:sz w:val="21"/>
          <w:szCs w:val="21"/>
        </w:rPr>
        <w:t>发病，如在一年中多次罹患感冒或腹泻，则应计为多个新发病例数。对发病时间不易确定的疾病，</w:t>
      </w:r>
      <w:r>
        <w:rPr>
          <w:rFonts w:ascii="宋体" w:hAnsi="宋体" w:eastAsia="宋体" w:cs="宋体"/>
          <w:spacing w:val="3"/>
          <w:sz w:val="21"/>
          <w:szCs w:val="21"/>
        </w:rPr>
        <w:t xml:space="preserve"> </w:t>
      </w:r>
      <w:r>
        <w:rPr>
          <w:rFonts w:ascii="宋体" w:hAnsi="宋体" w:eastAsia="宋体" w:cs="宋体"/>
          <w:spacing w:val="-11"/>
          <w:sz w:val="21"/>
          <w:szCs w:val="21"/>
        </w:rPr>
        <w:t>如高血压、糖尿病、恶性肿瘤、精神疾病等，可将初次诊断的时间作为发病时间。</w:t>
      </w:r>
    </w:p>
    <w:p w14:paraId="53CAA9E7">
      <w:pPr>
        <w:spacing w:before="4" w:line="308" w:lineRule="auto"/>
        <w:ind w:left="719" w:right="86" w:firstLine="399"/>
        <w:rPr>
          <w:rFonts w:ascii="宋体" w:hAnsi="宋体" w:eastAsia="宋体" w:cs="宋体"/>
          <w:sz w:val="21"/>
          <w:szCs w:val="21"/>
        </w:rPr>
      </w:pPr>
      <w:r>
        <w:rPr>
          <w:rFonts w:ascii="宋体" w:hAnsi="宋体" w:eastAsia="宋体" w:cs="宋体"/>
          <w:spacing w:val="-2"/>
          <w:sz w:val="21"/>
          <w:szCs w:val="21"/>
        </w:rPr>
        <w:t>(2)暴露人口数：暴露人口是指在观察期内一定范围人群中可能发生某种疾病的人。已患</w:t>
      </w:r>
      <w:r>
        <w:rPr>
          <w:rFonts w:ascii="宋体" w:hAnsi="宋体" w:eastAsia="宋体" w:cs="宋体"/>
          <w:spacing w:val="-3"/>
          <w:sz w:val="21"/>
          <w:szCs w:val="21"/>
        </w:rPr>
        <w:t>病而</w:t>
      </w:r>
      <w:r>
        <w:rPr>
          <w:rFonts w:ascii="宋体" w:hAnsi="宋体" w:eastAsia="宋体" w:cs="宋体"/>
          <w:sz w:val="21"/>
          <w:szCs w:val="21"/>
        </w:rPr>
        <w:t xml:space="preserve"> 在观察期内不可能再成为新发病例者、曾罹患疾病或预防接种获得持久免疫力者不应计人暴露人</w:t>
      </w:r>
      <w:r>
        <w:rPr>
          <w:rFonts w:ascii="宋体" w:hAnsi="宋体" w:eastAsia="宋体" w:cs="宋体"/>
          <w:spacing w:val="17"/>
          <w:sz w:val="21"/>
          <w:szCs w:val="21"/>
        </w:rPr>
        <w:t xml:space="preserve"> </w:t>
      </w:r>
      <w:r>
        <w:rPr>
          <w:rFonts w:ascii="宋体" w:hAnsi="宋体" w:eastAsia="宋体" w:cs="宋体"/>
          <w:spacing w:val="-5"/>
          <w:sz w:val="21"/>
          <w:szCs w:val="21"/>
        </w:rPr>
        <w:t>口。如在计算麻疹的发病率时，已患麻疹者不能计入分母，理论上接种麻疹疫苗且获得免疫力者不</w:t>
      </w:r>
      <w:r>
        <w:rPr>
          <w:rFonts w:ascii="宋体" w:hAnsi="宋体" w:eastAsia="宋体" w:cs="宋体"/>
          <w:spacing w:val="15"/>
          <w:sz w:val="21"/>
          <w:szCs w:val="21"/>
        </w:rPr>
        <w:t xml:space="preserve"> </w:t>
      </w:r>
      <w:r>
        <w:rPr>
          <w:rFonts w:ascii="宋体" w:hAnsi="宋体" w:eastAsia="宋体" w:cs="宋体"/>
          <w:spacing w:val="-5"/>
          <w:sz w:val="21"/>
          <w:szCs w:val="21"/>
        </w:rPr>
        <w:t>应计入分母。但实际工作中不易划分，当计算某地区人群某种疾病发病率时，分母多用该地区观察</w:t>
      </w:r>
      <w:r>
        <w:rPr>
          <w:rFonts w:ascii="宋体" w:hAnsi="宋体" w:eastAsia="宋体" w:cs="宋体"/>
          <w:spacing w:val="14"/>
          <w:sz w:val="21"/>
          <w:szCs w:val="21"/>
        </w:rPr>
        <w:t xml:space="preserve"> </w:t>
      </w:r>
      <w:r>
        <w:rPr>
          <w:rFonts w:ascii="宋体" w:hAnsi="宋体" w:eastAsia="宋体" w:cs="宋体"/>
          <w:sz w:val="21"/>
          <w:szCs w:val="21"/>
        </w:rPr>
        <w:t>期间内的平均人口数。如观察时间以年为单位时，分母为年初人口与年末人口之和除以2,或以当</w:t>
      </w:r>
      <w:r>
        <w:rPr>
          <w:rFonts w:ascii="宋体" w:hAnsi="宋体" w:eastAsia="宋体" w:cs="宋体"/>
          <w:spacing w:val="8"/>
          <w:sz w:val="21"/>
          <w:szCs w:val="21"/>
        </w:rPr>
        <w:t xml:space="preserve"> </w:t>
      </w:r>
      <w:r>
        <w:rPr>
          <w:rFonts w:ascii="宋体" w:hAnsi="宋体" w:eastAsia="宋体" w:cs="宋体"/>
          <w:sz w:val="21"/>
          <w:szCs w:val="21"/>
        </w:rPr>
        <w:t>年年中的人口数表示。</w:t>
      </w:r>
    </w:p>
    <w:p w14:paraId="0B5BA867">
      <w:pPr>
        <w:spacing w:before="149" w:line="269" w:lineRule="auto"/>
        <w:ind w:left="739" w:right="86" w:firstLine="389"/>
        <w:rPr>
          <w:rFonts w:ascii="宋体" w:hAnsi="宋体" w:eastAsia="宋体" w:cs="宋体"/>
          <w:sz w:val="21"/>
          <w:szCs w:val="21"/>
        </w:rPr>
      </w:pPr>
      <w:r>
        <w:rPr>
          <w:rFonts w:ascii="宋体" w:hAnsi="宋体" w:eastAsia="宋体" w:cs="宋体"/>
          <w:spacing w:val="-2"/>
          <w:sz w:val="21"/>
          <w:szCs w:val="21"/>
        </w:rPr>
        <w:t>(3)观察时间：常以一年为观察时间单位，也可根据观察的病种特点或研究问题的需要来选择</w:t>
      </w:r>
      <w:r>
        <w:rPr>
          <w:rFonts w:ascii="宋体" w:hAnsi="宋体" w:eastAsia="宋体" w:cs="宋体"/>
          <w:spacing w:val="7"/>
          <w:sz w:val="21"/>
          <w:szCs w:val="21"/>
        </w:rPr>
        <w:t xml:space="preserve"> </w:t>
      </w:r>
      <w:r>
        <w:rPr>
          <w:rFonts w:ascii="宋体" w:hAnsi="宋体" w:eastAsia="宋体" w:cs="宋体"/>
          <w:spacing w:val="-4"/>
          <w:sz w:val="21"/>
          <w:szCs w:val="21"/>
        </w:rPr>
        <w:t>较短或更长的时间。</w:t>
      </w:r>
    </w:p>
    <w:p w14:paraId="6CD6628B">
      <w:pPr>
        <w:spacing w:before="128" w:line="327" w:lineRule="auto"/>
        <w:ind w:left="719" w:right="85" w:firstLine="430"/>
        <w:jc w:val="both"/>
        <w:rPr>
          <w:rFonts w:ascii="宋体" w:hAnsi="宋体" w:eastAsia="宋体" w:cs="宋体"/>
          <w:sz w:val="21"/>
          <w:szCs w:val="21"/>
        </w:rPr>
      </w:pPr>
      <w:r>
        <w:rPr>
          <w:rFonts w:ascii="宋体" w:hAnsi="宋体" w:eastAsia="宋体" w:cs="宋体"/>
          <w:spacing w:val="-5"/>
          <w:sz w:val="21"/>
          <w:szCs w:val="21"/>
        </w:rPr>
        <w:t>发病率可按不同的人群属性(如年龄、性别、职业、民族)分别计算，即发病专率。因发病率可</w:t>
      </w:r>
      <w:r>
        <w:rPr>
          <w:rFonts w:ascii="宋体" w:hAnsi="宋体" w:eastAsia="宋体" w:cs="宋体"/>
          <w:spacing w:val="7"/>
          <w:sz w:val="21"/>
          <w:szCs w:val="21"/>
        </w:rPr>
        <w:t xml:space="preserve"> </w:t>
      </w:r>
      <w:r>
        <w:rPr>
          <w:rFonts w:ascii="宋体" w:hAnsi="宋体" w:eastAsia="宋体" w:cs="宋体"/>
          <w:spacing w:val="-4"/>
          <w:sz w:val="21"/>
          <w:szCs w:val="21"/>
        </w:rPr>
        <w:t>受很多因素的影响，所以在对比不同资料如不同地区</w:t>
      </w:r>
      <w:r>
        <w:rPr>
          <w:rFonts w:ascii="宋体" w:hAnsi="宋体" w:eastAsia="宋体" w:cs="宋体"/>
          <w:spacing w:val="-5"/>
          <w:sz w:val="21"/>
          <w:szCs w:val="21"/>
        </w:rPr>
        <w:t>人群的发病率时，应考虑到年龄、性别等构成</w:t>
      </w:r>
      <w:r>
        <w:rPr>
          <w:rFonts w:ascii="宋体" w:hAnsi="宋体" w:eastAsia="宋体" w:cs="宋体"/>
          <w:sz w:val="21"/>
          <w:szCs w:val="21"/>
        </w:rPr>
        <w:t xml:space="preserve"> </w:t>
      </w:r>
      <w:r>
        <w:rPr>
          <w:rFonts w:ascii="宋体" w:hAnsi="宋体" w:eastAsia="宋体" w:cs="宋体"/>
          <w:spacing w:val="-6"/>
          <w:sz w:val="21"/>
          <w:szCs w:val="21"/>
        </w:rPr>
        <w:t>的影响，进行发病率的标准化处理。</w:t>
      </w:r>
    </w:p>
    <w:p w14:paraId="5C723D2B">
      <w:pPr>
        <w:pStyle w:val="2"/>
        <w:spacing w:before="4" w:line="321" w:lineRule="auto"/>
        <w:ind w:left="719" w:right="76" w:firstLine="430"/>
        <w:jc w:val="both"/>
        <w:rPr>
          <w:rFonts w:ascii="宋体" w:hAnsi="宋体" w:eastAsia="宋体" w:cs="宋体"/>
          <w:sz w:val="21"/>
          <w:szCs w:val="21"/>
        </w:rPr>
      </w:pPr>
      <w:r>
        <w:rPr>
          <w:rFonts w:ascii="宋体" w:hAnsi="宋体" w:eastAsia="宋体" w:cs="宋体"/>
          <w:spacing w:val="-1"/>
          <w:sz w:val="21"/>
          <w:szCs w:val="21"/>
        </w:rPr>
        <w:t xml:space="preserve">3. </w:t>
      </w:r>
      <w:r>
        <w:rPr>
          <w:spacing w:val="-1"/>
          <w:sz w:val="21"/>
          <w:szCs w:val="21"/>
        </w:rPr>
        <w:t>应</w:t>
      </w:r>
      <w:r>
        <w:rPr>
          <w:spacing w:val="-44"/>
          <w:sz w:val="21"/>
          <w:szCs w:val="21"/>
        </w:rPr>
        <w:t xml:space="preserve"> </w:t>
      </w:r>
      <w:r>
        <w:rPr>
          <w:spacing w:val="-1"/>
          <w:sz w:val="21"/>
          <w:szCs w:val="21"/>
        </w:rPr>
        <w:t xml:space="preserve">用 </w:t>
      </w:r>
      <w:r>
        <w:rPr>
          <w:rFonts w:ascii="宋体" w:hAnsi="宋体" w:eastAsia="宋体" w:cs="宋体"/>
          <w:spacing w:val="-1"/>
          <w:sz w:val="21"/>
          <w:szCs w:val="21"/>
        </w:rPr>
        <w:t>发病率是反映疾病流行强度的指标，衡量疾病</w:t>
      </w:r>
      <w:r>
        <w:rPr>
          <w:rFonts w:ascii="宋体" w:hAnsi="宋体" w:eastAsia="宋体" w:cs="宋体"/>
          <w:spacing w:val="-2"/>
          <w:sz w:val="21"/>
          <w:szCs w:val="21"/>
        </w:rPr>
        <w:t>对人群健康影响的程度，发病率高的</w:t>
      </w:r>
      <w:r>
        <w:rPr>
          <w:rFonts w:ascii="宋体" w:hAnsi="宋体" w:eastAsia="宋体" w:cs="宋体"/>
          <w:sz w:val="21"/>
          <w:szCs w:val="21"/>
        </w:rPr>
        <w:t xml:space="preserve"> </w:t>
      </w:r>
      <w:r>
        <w:rPr>
          <w:rFonts w:ascii="宋体" w:hAnsi="宋体" w:eastAsia="宋体" w:cs="宋体"/>
          <w:spacing w:val="-4"/>
          <w:sz w:val="21"/>
          <w:szCs w:val="21"/>
        </w:rPr>
        <w:t>疾病对人群健康的危害大。通过发病率的比较，可了解疾病流行特征，探</w:t>
      </w:r>
      <w:r>
        <w:rPr>
          <w:rFonts w:ascii="宋体" w:hAnsi="宋体" w:eastAsia="宋体" w:cs="宋体"/>
          <w:spacing w:val="-5"/>
          <w:sz w:val="21"/>
          <w:szCs w:val="21"/>
        </w:rPr>
        <w:t>讨病因因素，提出病因假</w:t>
      </w:r>
      <w:r>
        <w:rPr>
          <w:rFonts w:ascii="宋体" w:hAnsi="宋体" w:eastAsia="宋体" w:cs="宋体"/>
          <w:sz w:val="21"/>
          <w:szCs w:val="21"/>
        </w:rPr>
        <w:t xml:space="preserve"> </w:t>
      </w:r>
      <w:r>
        <w:rPr>
          <w:rFonts w:ascii="宋体" w:hAnsi="宋体" w:eastAsia="宋体" w:cs="宋体"/>
          <w:spacing w:val="-9"/>
          <w:sz w:val="21"/>
          <w:szCs w:val="21"/>
        </w:rPr>
        <w:t>说，评价防制措施的效果。</w:t>
      </w:r>
    </w:p>
    <w:p w14:paraId="360920B5">
      <w:pPr>
        <w:pStyle w:val="2"/>
        <w:spacing w:before="6" w:line="222" w:lineRule="auto"/>
        <w:ind w:left="1180"/>
        <w:rPr>
          <w:sz w:val="21"/>
          <w:szCs w:val="21"/>
        </w:rPr>
      </w:pPr>
      <w:r>
        <w:rPr>
          <w:spacing w:val="26"/>
          <w:sz w:val="21"/>
          <w:szCs w:val="21"/>
        </w:rPr>
        <w:t>(二)罹患率</w:t>
      </w:r>
    </w:p>
    <w:p w14:paraId="03BC10D6">
      <w:pPr>
        <w:spacing w:before="113" w:line="329" w:lineRule="auto"/>
        <w:ind w:left="699" w:right="77" w:firstLine="450"/>
        <w:jc w:val="both"/>
        <w:rPr>
          <w:rFonts w:ascii="宋体" w:hAnsi="宋体" w:eastAsia="宋体" w:cs="宋体"/>
          <w:sz w:val="21"/>
          <w:szCs w:val="21"/>
        </w:rPr>
      </w:pPr>
      <w:r>
        <w:drawing>
          <wp:anchor distT="0" distB="0" distL="0" distR="0" simplePos="0" relativeHeight="251679744" behindDoc="0" locked="0" layoutInCell="1" allowOverlap="1">
            <wp:simplePos x="0" y="0"/>
            <wp:positionH relativeFrom="column">
              <wp:posOffset>2215515</wp:posOffset>
            </wp:positionH>
            <wp:positionV relativeFrom="paragraph">
              <wp:posOffset>1109345</wp:posOffset>
            </wp:positionV>
            <wp:extent cx="2171700" cy="361950"/>
            <wp:effectExtent l="0" t="0" r="0" b="0"/>
            <wp:wrapNone/>
            <wp:docPr id="72" name="IM 72"/>
            <wp:cNvGraphicFramePr/>
            <a:graphic xmlns:a="http://schemas.openxmlformats.org/drawingml/2006/main">
              <a:graphicData uri="http://schemas.openxmlformats.org/drawingml/2006/picture">
                <pic:pic xmlns:pic="http://schemas.openxmlformats.org/drawingml/2006/picture">
                  <pic:nvPicPr>
                    <pic:cNvPr id="72" name="IM 72"/>
                    <pic:cNvPicPr/>
                  </pic:nvPicPr>
                  <pic:blipFill>
                    <a:blip r:embed="rId432"/>
                    <a:stretch>
                      <a:fillRect/>
                    </a:stretch>
                  </pic:blipFill>
                  <pic:spPr>
                    <a:xfrm>
                      <a:off x="0" y="0"/>
                      <a:ext cx="2171737" cy="361862"/>
                    </a:xfrm>
                    <a:prstGeom prst="rect">
                      <a:avLst/>
                    </a:prstGeom>
                  </pic:spPr>
                </pic:pic>
              </a:graphicData>
            </a:graphic>
          </wp:anchor>
        </w:drawing>
      </w:r>
      <w:r>
        <w:rPr>
          <w:rFonts w:ascii="宋体" w:hAnsi="宋体" w:eastAsia="宋体" w:cs="宋体"/>
          <w:spacing w:val="-1"/>
          <w:sz w:val="21"/>
          <w:szCs w:val="21"/>
        </w:rPr>
        <w:t>罹患率</w:t>
      </w:r>
      <w:r>
        <w:rPr>
          <w:rFonts w:ascii="Times New Roman" w:hAnsi="Times New Roman" w:eastAsia="Times New Roman" w:cs="Times New Roman"/>
          <w:spacing w:val="-1"/>
          <w:sz w:val="21"/>
          <w:szCs w:val="21"/>
        </w:rPr>
        <w:t>(attack   rate)</w:t>
      </w:r>
      <w:r>
        <w:rPr>
          <w:rFonts w:ascii="宋体" w:hAnsi="宋体" w:eastAsia="宋体" w:cs="宋体"/>
          <w:spacing w:val="-1"/>
          <w:sz w:val="21"/>
          <w:szCs w:val="21"/>
        </w:rPr>
        <w:t>通常是指在某一局限范围短时间内的发病率，也是测量某人群某病新病例</w:t>
      </w:r>
      <w:r>
        <w:rPr>
          <w:rFonts w:ascii="宋体" w:hAnsi="宋体" w:eastAsia="宋体" w:cs="宋体"/>
          <w:spacing w:val="2"/>
          <w:sz w:val="21"/>
          <w:szCs w:val="21"/>
        </w:rPr>
        <w:t xml:space="preserve"> </w:t>
      </w:r>
      <w:r>
        <w:rPr>
          <w:rFonts w:ascii="宋体" w:hAnsi="宋体" w:eastAsia="宋体" w:cs="宋体"/>
          <w:spacing w:val="-9"/>
          <w:sz w:val="21"/>
          <w:szCs w:val="21"/>
        </w:rPr>
        <w:t>发生频率的指标。其计算公式与发病率相同，但它的观察时间较短，常以日、周、旬、月为单位，使</w:t>
      </w:r>
      <w:r>
        <w:rPr>
          <w:rFonts w:ascii="宋体" w:hAnsi="宋体" w:eastAsia="宋体" w:cs="宋体"/>
          <w:spacing w:val="15"/>
          <w:sz w:val="21"/>
          <w:szCs w:val="21"/>
        </w:rPr>
        <w:t xml:space="preserve"> </w:t>
      </w:r>
      <w:r>
        <w:rPr>
          <w:rFonts w:ascii="宋体" w:hAnsi="宋体" w:eastAsia="宋体" w:cs="宋体"/>
          <w:spacing w:val="-4"/>
          <w:sz w:val="21"/>
          <w:szCs w:val="21"/>
        </w:rPr>
        <w:t>用比较灵活。它的优点是能根据暴露程度较精确地测量发病频率，在食物中毒、职业中毒或传染病</w:t>
      </w:r>
      <w:r>
        <w:rPr>
          <w:rFonts w:ascii="宋体" w:hAnsi="宋体" w:eastAsia="宋体" w:cs="宋体"/>
          <w:spacing w:val="5"/>
          <w:sz w:val="21"/>
          <w:szCs w:val="21"/>
        </w:rPr>
        <w:t xml:space="preserve"> </w:t>
      </w:r>
      <w:r>
        <w:rPr>
          <w:rFonts w:ascii="宋体" w:hAnsi="宋体" w:eastAsia="宋体" w:cs="宋体"/>
          <w:spacing w:val="-7"/>
          <w:sz w:val="21"/>
          <w:szCs w:val="21"/>
        </w:rPr>
        <w:t>的暴发及流行中，经常使用该指标。</w:t>
      </w:r>
    </w:p>
    <w:p w14:paraId="3FCD36B0">
      <w:pPr>
        <w:spacing w:before="309" w:line="221" w:lineRule="auto"/>
        <w:ind w:right="19"/>
        <w:jc w:val="right"/>
        <w:rPr>
          <w:rFonts w:ascii="宋体" w:hAnsi="宋体" w:eastAsia="宋体" w:cs="宋体"/>
          <w:sz w:val="21"/>
          <w:szCs w:val="21"/>
        </w:rPr>
      </w:pPr>
      <w:r>
        <w:rPr>
          <w:rFonts w:ascii="宋体" w:hAnsi="宋体" w:eastAsia="宋体" w:cs="宋体"/>
          <w:spacing w:val="6"/>
          <w:sz w:val="21"/>
          <w:szCs w:val="21"/>
        </w:rPr>
        <w:t>式(2-2)</w:t>
      </w:r>
    </w:p>
    <w:p w14:paraId="147859F9">
      <w:pPr>
        <w:spacing w:line="307" w:lineRule="auto"/>
        <w:rPr>
          <w:rFonts w:ascii="Arial"/>
          <w:sz w:val="21"/>
        </w:rPr>
      </w:pPr>
    </w:p>
    <w:p w14:paraId="618C7560">
      <w:pPr>
        <w:spacing w:before="69" w:line="219" w:lineRule="auto"/>
        <w:ind w:left="729"/>
        <w:rPr>
          <w:rFonts w:ascii="宋体" w:hAnsi="宋体" w:eastAsia="宋体" w:cs="宋体"/>
          <w:sz w:val="21"/>
          <w:szCs w:val="21"/>
        </w:rPr>
      </w:pPr>
      <w:r>
        <w:rPr>
          <w:rFonts w:ascii="宋体" w:hAnsi="宋体" w:eastAsia="宋体" w:cs="宋体"/>
          <w:spacing w:val="-3"/>
          <w:sz w:val="21"/>
          <w:szCs w:val="21"/>
        </w:rPr>
        <w:t>式中，</w:t>
      </w:r>
      <w:r>
        <w:rPr>
          <w:rFonts w:ascii="Times New Roman" w:hAnsi="Times New Roman" w:eastAsia="Times New Roman" w:cs="Times New Roman"/>
          <w:spacing w:val="-3"/>
          <w:sz w:val="21"/>
          <w:szCs w:val="21"/>
        </w:rPr>
        <w:t>K</w:t>
      </w:r>
      <w:r>
        <w:rPr>
          <w:rFonts w:ascii="宋体" w:hAnsi="宋体" w:eastAsia="宋体" w:cs="宋体"/>
          <w:spacing w:val="-3"/>
          <w:sz w:val="21"/>
          <w:szCs w:val="21"/>
        </w:rPr>
        <w:t>的取值常为100%、1000‰。</w:t>
      </w:r>
    </w:p>
    <w:p w14:paraId="1B94897F">
      <w:pPr>
        <w:pStyle w:val="2"/>
        <w:spacing w:before="139" w:line="221" w:lineRule="auto"/>
        <w:ind w:left="1170"/>
        <w:rPr>
          <w:sz w:val="21"/>
          <w:szCs w:val="21"/>
        </w:rPr>
      </w:pPr>
      <w:r>
        <w:rPr>
          <w:spacing w:val="24"/>
          <w:sz w:val="21"/>
          <w:szCs w:val="21"/>
        </w:rPr>
        <w:t>(三)续发率</w:t>
      </w:r>
    </w:p>
    <w:p w14:paraId="687CCBBF">
      <w:pPr>
        <w:spacing w:before="106" w:line="313" w:lineRule="auto"/>
        <w:ind w:left="719" w:right="77" w:firstLine="409"/>
        <w:rPr>
          <w:rFonts w:ascii="宋体" w:hAnsi="宋体" w:eastAsia="宋体" w:cs="宋体"/>
          <w:sz w:val="21"/>
          <w:szCs w:val="21"/>
        </w:rPr>
      </w:pPr>
      <w:r>
        <w:rPr>
          <w:rFonts w:ascii="宋体" w:hAnsi="宋体" w:eastAsia="宋体" w:cs="宋体"/>
          <w:sz w:val="21"/>
          <w:szCs w:val="21"/>
        </w:rPr>
        <w:t>续发率</w:t>
      </w:r>
      <w:r>
        <w:rPr>
          <w:rFonts w:ascii="Times New Roman" w:hAnsi="Times New Roman" w:eastAsia="Times New Roman" w:cs="Times New Roman"/>
          <w:sz w:val="21"/>
          <w:szCs w:val="21"/>
        </w:rPr>
        <w:t>(secondary   attack</w:t>
      </w:r>
      <w:r>
        <w:rPr>
          <w:rFonts w:ascii="Times New Roman" w:hAnsi="Times New Roman" w:eastAsia="Times New Roman" w:cs="Times New Roman"/>
          <w:spacing w:val="22"/>
          <w:w w:val="101"/>
          <w:sz w:val="21"/>
          <w:szCs w:val="21"/>
        </w:rPr>
        <w:t xml:space="preserve">  </w:t>
      </w:r>
      <w:r>
        <w:rPr>
          <w:rFonts w:ascii="Times New Roman" w:hAnsi="Times New Roman" w:eastAsia="Times New Roman" w:cs="Times New Roman"/>
          <w:sz w:val="21"/>
          <w:szCs w:val="21"/>
        </w:rPr>
        <w:t>rate,SAR)</w:t>
      </w:r>
      <w:r>
        <w:rPr>
          <w:rFonts w:ascii="宋体" w:hAnsi="宋体" w:eastAsia="宋体" w:cs="宋体"/>
          <w:sz w:val="21"/>
          <w:szCs w:val="21"/>
        </w:rPr>
        <w:t>也称二代发</w:t>
      </w:r>
      <w:r>
        <w:rPr>
          <w:rFonts w:ascii="宋体" w:hAnsi="宋体" w:eastAsia="宋体" w:cs="宋体"/>
          <w:spacing w:val="-1"/>
          <w:sz w:val="21"/>
          <w:szCs w:val="21"/>
        </w:rPr>
        <w:t>病率，指在传染病最短潜伏期到最长潜伏期之</w:t>
      </w:r>
      <w:r>
        <w:rPr>
          <w:rFonts w:ascii="宋体" w:hAnsi="宋体" w:eastAsia="宋体" w:cs="宋体"/>
          <w:sz w:val="21"/>
          <w:szCs w:val="21"/>
        </w:rPr>
        <w:t xml:space="preserve"> </w:t>
      </w:r>
      <w:r>
        <w:rPr>
          <w:rFonts w:ascii="宋体" w:hAnsi="宋体" w:eastAsia="宋体" w:cs="宋体"/>
          <w:spacing w:val="-6"/>
          <w:sz w:val="21"/>
          <w:szCs w:val="21"/>
        </w:rPr>
        <w:t>间，易感接触者中发病人数占所有易感接触者总数的百分比。</w:t>
      </w:r>
    </w:p>
    <w:p w14:paraId="7BEC2905">
      <w:pPr>
        <w:spacing w:line="253" w:lineRule="auto"/>
        <w:rPr>
          <w:rFonts w:ascii="Arial"/>
          <w:sz w:val="21"/>
        </w:rPr>
      </w:pPr>
      <w:r>
        <w:drawing>
          <wp:anchor distT="0" distB="0" distL="0" distR="0" simplePos="0" relativeHeight="251678720" behindDoc="0" locked="0" layoutInCell="1" allowOverlap="1">
            <wp:simplePos x="0" y="0"/>
            <wp:positionH relativeFrom="column">
              <wp:posOffset>1873250</wp:posOffset>
            </wp:positionH>
            <wp:positionV relativeFrom="paragraph">
              <wp:posOffset>97155</wp:posOffset>
            </wp:positionV>
            <wp:extent cx="2794000" cy="355600"/>
            <wp:effectExtent l="0" t="0" r="0" b="0"/>
            <wp:wrapNone/>
            <wp:docPr id="74" name="IM 74"/>
            <wp:cNvGraphicFramePr/>
            <a:graphic xmlns:a="http://schemas.openxmlformats.org/drawingml/2006/main">
              <a:graphicData uri="http://schemas.openxmlformats.org/drawingml/2006/picture">
                <pic:pic xmlns:pic="http://schemas.openxmlformats.org/drawingml/2006/picture">
                  <pic:nvPicPr>
                    <pic:cNvPr id="74" name="IM 74"/>
                    <pic:cNvPicPr/>
                  </pic:nvPicPr>
                  <pic:blipFill>
                    <a:blip r:embed="rId433"/>
                    <a:stretch>
                      <a:fillRect/>
                    </a:stretch>
                  </pic:blipFill>
                  <pic:spPr>
                    <a:xfrm>
                      <a:off x="0" y="0"/>
                      <a:ext cx="2793940" cy="355560"/>
                    </a:xfrm>
                    <a:prstGeom prst="rect">
                      <a:avLst/>
                    </a:prstGeom>
                  </pic:spPr>
                </pic:pic>
              </a:graphicData>
            </a:graphic>
          </wp:anchor>
        </w:drawing>
      </w:r>
    </w:p>
    <w:p w14:paraId="3BE5E555">
      <w:pPr>
        <w:spacing w:before="69" w:line="221" w:lineRule="auto"/>
        <w:ind w:right="9"/>
        <w:jc w:val="right"/>
        <w:rPr>
          <w:rFonts w:ascii="宋体" w:hAnsi="宋体" w:eastAsia="宋体" w:cs="宋体"/>
          <w:sz w:val="21"/>
          <w:szCs w:val="21"/>
        </w:rPr>
      </w:pPr>
      <w:r>
        <w:rPr>
          <w:rFonts w:ascii="宋体" w:hAnsi="宋体" w:eastAsia="宋体" w:cs="宋体"/>
          <w:spacing w:val="10"/>
          <w:sz w:val="21"/>
          <w:szCs w:val="21"/>
        </w:rPr>
        <w:t>式(2-3)</w:t>
      </w:r>
    </w:p>
    <w:p w14:paraId="47ABE4D7">
      <w:pPr>
        <w:spacing w:line="327" w:lineRule="auto"/>
        <w:rPr>
          <w:rFonts w:ascii="Arial"/>
          <w:sz w:val="21"/>
        </w:rPr>
      </w:pPr>
    </w:p>
    <w:p w14:paraId="1F491391">
      <w:pPr>
        <w:spacing w:before="69" w:line="321" w:lineRule="auto"/>
        <w:ind w:left="719" w:right="59" w:firstLine="420"/>
        <w:jc w:val="both"/>
        <w:rPr>
          <w:rFonts w:ascii="宋体" w:hAnsi="宋体" w:eastAsia="宋体" w:cs="宋体"/>
          <w:sz w:val="21"/>
          <w:szCs w:val="21"/>
        </w:rPr>
      </w:pPr>
      <w:r>
        <w:rPr>
          <w:rFonts w:ascii="宋体" w:hAnsi="宋体" w:eastAsia="宋体" w:cs="宋体"/>
          <w:spacing w:val="1"/>
          <w:sz w:val="21"/>
          <w:szCs w:val="21"/>
        </w:rPr>
        <w:t>续发率常用于传染病的流行病学调查。第一个病例发生后，在该病最短与最长潜伏期之间出</w:t>
      </w:r>
      <w:r>
        <w:rPr>
          <w:rFonts w:ascii="宋体" w:hAnsi="宋体" w:eastAsia="宋体" w:cs="宋体"/>
          <w:spacing w:val="4"/>
          <w:sz w:val="21"/>
          <w:szCs w:val="21"/>
        </w:rPr>
        <w:t xml:space="preserve"> </w:t>
      </w:r>
      <w:r>
        <w:rPr>
          <w:rFonts w:ascii="宋体" w:hAnsi="宋体" w:eastAsia="宋体" w:cs="宋体"/>
          <w:spacing w:val="-4"/>
          <w:sz w:val="21"/>
          <w:szCs w:val="21"/>
        </w:rPr>
        <w:t>现的病例称续发病例，又称二代病例。续发率可用于比较传染病传染力的强弱、</w:t>
      </w:r>
      <w:r>
        <w:rPr>
          <w:rFonts w:ascii="宋体" w:hAnsi="宋体" w:eastAsia="宋体" w:cs="宋体"/>
          <w:spacing w:val="-5"/>
          <w:sz w:val="21"/>
          <w:szCs w:val="21"/>
        </w:rPr>
        <w:t>分析传染病流行因</w:t>
      </w:r>
      <w:r>
        <w:rPr>
          <w:rFonts w:ascii="宋体" w:hAnsi="宋体" w:eastAsia="宋体" w:cs="宋体"/>
          <w:sz w:val="21"/>
          <w:szCs w:val="21"/>
        </w:rPr>
        <w:t xml:space="preserve"> </w:t>
      </w:r>
      <w:r>
        <w:rPr>
          <w:rFonts w:ascii="宋体" w:hAnsi="宋体" w:eastAsia="宋体" w:cs="宋体"/>
          <w:spacing w:val="-3"/>
          <w:sz w:val="21"/>
          <w:szCs w:val="21"/>
        </w:rPr>
        <w:t>素及评价卫生防疫措施的效果。</w:t>
      </w:r>
    </w:p>
    <w:p w14:paraId="1B3701E2">
      <w:pPr>
        <w:pStyle w:val="2"/>
        <w:spacing w:before="224" w:line="222" w:lineRule="auto"/>
        <w:ind w:left="1189"/>
        <w:outlineLvl w:val="2"/>
        <w:rPr>
          <w:sz w:val="21"/>
          <w:szCs w:val="21"/>
        </w:rPr>
      </w:pPr>
      <w:bookmarkStart w:id="32" w:name="bookmark20"/>
      <w:bookmarkEnd w:id="32"/>
      <w:r>
        <w:rPr>
          <w:spacing w:val="27"/>
          <w:sz w:val="21"/>
          <w:szCs w:val="21"/>
        </w:rPr>
        <w:t>二 、患病频率指标</w:t>
      </w:r>
    </w:p>
    <w:p w14:paraId="1FE23B7D">
      <w:pPr>
        <w:pStyle w:val="2"/>
        <w:spacing w:before="257" w:line="222" w:lineRule="auto"/>
        <w:ind w:left="1180"/>
        <w:rPr>
          <w:sz w:val="21"/>
          <w:szCs w:val="21"/>
        </w:rPr>
      </w:pPr>
      <w:r>
        <w:rPr>
          <w:spacing w:val="12"/>
          <w:sz w:val="21"/>
          <w:szCs w:val="21"/>
        </w:rPr>
        <w:t>(</w:t>
      </w:r>
      <w:r>
        <w:rPr>
          <w:spacing w:val="-48"/>
          <w:sz w:val="21"/>
          <w:szCs w:val="21"/>
        </w:rPr>
        <w:t xml:space="preserve"> </w:t>
      </w:r>
      <w:r>
        <w:rPr>
          <w:spacing w:val="12"/>
          <w:sz w:val="21"/>
          <w:szCs w:val="21"/>
        </w:rPr>
        <w:t>一</w:t>
      </w:r>
      <w:r>
        <w:rPr>
          <w:spacing w:val="-55"/>
          <w:sz w:val="21"/>
          <w:szCs w:val="21"/>
        </w:rPr>
        <w:t xml:space="preserve"> </w:t>
      </w:r>
      <w:r>
        <w:rPr>
          <w:spacing w:val="12"/>
          <w:sz w:val="21"/>
          <w:szCs w:val="21"/>
        </w:rPr>
        <w:t>)患病率</w:t>
      </w:r>
    </w:p>
    <w:p w14:paraId="05272089">
      <w:pPr>
        <w:pStyle w:val="2"/>
        <w:spacing w:before="140" w:line="324" w:lineRule="auto"/>
        <w:ind w:left="709" w:right="62" w:firstLine="460"/>
        <w:jc w:val="both"/>
        <w:rPr>
          <w:rFonts w:ascii="宋体" w:hAnsi="宋体" w:eastAsia="宋体" w:cs="宋体"/>
          <w:sz w:val="21"/>
          <w:szCs w:val="21"/>
        </w:rPr>
      </w:pPr>
      <w:r>
        <w:rPr>
          <w:rFonts w:ascii="宋体" w:hAnsi="宋体" w:eastAsia="宋体" w:cs="宋体"/>
          <w:spacing w:val="-5"/>
          <w:sz w:val="21"/>
          <w:szCs w:val="21"/>
        </w:rPr>
        <w:t>1.</w:t>
      </w:r>
      <w:r>
        <w:rPr>
          <w:rFonts w:ascii="宋体" w:hAnsi="宋体" w:eastAsia="宋体" w:cs="宋体"/>
          <w:spacing w:val="-21"/>
          <w:sz w:val="21"/>
          <w:szCs w:val="21"/>
        </w:rPr>
        <w:t xml:space="preserve"> </w:t>
      </w:r>
      <w:r>
        <w:rPr>
          <w:spacing w:val="-5"/>
          <w:sz w:val="21"/>
          <w:szCs w:val="21"/>
        </w:rPr>
        <w:t>定义</w:t>
      </w:r>
      <w:r>
        <w:rPr>
          <w:spacing w:val="72"/>
          <w:sz w:val="21"/>
          <w:szCs w:val="21"/>
        </w:rPr>
        <w:t xml:space="preserve"> </w:t>
      </w:r>
      <w:r>
        <w:rPr>
          <w:rFonts w:ascii="宋体" w:hAnsi="宋体" w:eastAsia="宋体" w:cs="宋体"/>
          <w:spacing w:val="-5"/>
          <w:sz w:val="21"/>
          <w:szCs w:val="21"/>
        </w:rPr>
        <w:t>患病率(prevalence)也称现患率，是指某特定时间</w:t>
      </w:r>
      <w:r>
        <w:rPr>
          <w:rFonts w:ascii="宋体" w:hAnsi="宋体" w:eastAsia="宋体" w:cs="宋体"/>
          <w:spacing w:val="-6"/>
          <w:sz w:val="21"/>
          <w:szCs w:val="21"/>
        </w:rPr>
        <w:t>内总人口中某病新旧病例所占的比</w:t>
      </w:r>
      <w:r>
        <w:rPr>
          <w:rFonts w:ascii="宋体" w:hAnsi="宋体" w:eastAsia="宋体" w:cs="宋体"/>
          <w:sz w:val="21"/>
          <w:szCs w:val="21"/>
        </w:rPr>
        <w:t xml:space="preserve"> </w:t>
      </w:r>
      <w:r>
        <w:rPr>
          <w:rFonts w:ascii="宋体" w:hAnsi="宋体" w:eastAsia="宋体" w:cs="宋体"/>
          <w:spacing w:val="1"/>
          <w:sz w:val="21"/>
          <w:szCs w:val="21"/>
        </w:rPr>
        <w:t>例。患病率可按观察时间的不同分为时点患病率和期间患病率。时点患病率的观察时间</w:t>
      </w:r>
      <w:r>
        <w:rPr>
          <w:rFonts w:ascii="宋体" w:hAnsi="宋体" w:eastAsia="宋体" w:cs="宋体"/>
          <w:sz w:val="21"/>
          <w:szCs w:val="21"/>
        </w:rPr>
        <w:t xml:space="preserve">一般不超 </w:t>
      </w:r>
      <w:r>
        <w:rPr>
          <w:rFonts w:ascii="宋体" w:hAnsi="宋体" w:eastAsia="宋体" w:cs="宋体"/>
          <w:spacing w:val="-4"/>
          <w:sz w:val="21"/>
          <w:szCs w:val="21"/>
        </w:rPr>
        <w:t>过一个月，而期间患病率所对应的是特定的一段时间，通常为几个月到几年，疾病监测也常以一年</w:t>
      </w:r>
    </w:p>
    <w:p w14:paraId="5AB7CEE2">
      <w:pPr>
        <w:spacing w:line="324" w:lineRule="auto"/>
        <w:rPr>
          <w:rFonts w:ascii="宋体" w:hAnsi="宋体" w:eastAsia="宋体" w:cs="宋体"/>
          <w:sz w:val="21"/>
          <w:szCs w:val="21"/>
        </w:rPr>
        <w:sectPr>
          <w:footerReference r:id="rId44" w:type="default"/>
          <w:pgSz w:w="11900" w:h="16820"/>
          <w:pgMar w:top="400" w:right="1454" w:bottom="900" w:left="800" w:header="0" w:footer="626" w:gutter="0"/>
          <w:cols w:space="720" w:num="1"/>
        </w:sectPr>
      </w:pPr>
    </w:p>
    <w:p w14:paraId="37547D9B">
      <w:pPr>
        <w:spacing w:line="253" w:lineRule="auto"/>
        <w:rPr>
          <w:rFonts w:ascii="Arial"/>
          <w:sz w:val="21"/>
        </w:rPr>
      </w:pPr>
    </w:p>
    <w:p w14:paraId="735B9F4E">
      <w:pPr>
        <w:pStyle w:val="2"/>
        <w:spacing w:before="69" w:line="221" w:lineRule="auto"/>
        <w:ind w:left="7662"/>
        <w:rPr>
          <w:sz w:val="21"/>
          <w:szCs w:val="21"/>
        </w:rPr>
      </w:pPr>
      <w:r>
        <w:rPr>
          <w:b/>
          <w:bCs/>
          <w:spacing w:val="-14"/>
          <w:sz w:val="21"/>
          <w:szCs w:val="21"/>
        </w:rPr>
        <w:t>第二章疾病的分布</w:t>
      </w:r>
    </w:p>
    <w:p w14:paraId="137339D3">
      <w:pPr>
        <w:spacing w:before="44"/>
      </w:pPr>
    </w:p>
    <w:p w14:paraId="6F34C812">
      <w:pPr>
        <w:spacing w:before="43"/>
      </w:pPr>
    </w:p>
    <w:p w14:paraId="594A960D">
      <w:pPr>
        <w:sectPr>
          <w:footerReference r:id="rId45" w:type="default"/>
          <w:pgSz w:w="11900" w:h="16820"/>
          <w:pgMar w:top="400" w:right="704" w:bottom="886" w:left="1289" w:header="0" w:footer="697" w:gutter="0"/>
          <w:cols w:equalWidth="0" w:num="1">
            <w:col w:w="9906"/>
          </w:cols>
        </w:sectPr>
      </w:pPr>
    </w:p>
    <w:p w14:paraId="1B619F49">
      <w:pPr>
        <w:spacing w:before="41" w:line="219" w:lineRule="auto"/>
        <w:rPr>
          <w:rFonts w:ascii="宋体" w:hAnsi="宋体" w:eastAsia="宋体" w:cs="宋体"/>
          <w:sz w:val="21"/>
          <w:szCs w:val="21"/>
        </w:rPr>
      </w:pPr>
      <w:r>
        <w:rPr>
          <w:rFonts w:ascii="宋体" w:hAnsi="宋体" w:eastAsia="宋体" w:cs="宋体"/>
          <w:spacing w:val="4"/>
          <w:sz w:val="21"/>
          <w:szCs w:val="21"/>
        </w:rPr>
        <w:t>为基本的观察时间。不同地区间的患病率比较，也需要进行率的标准化处</w:t>
      </w:r>
      <w:r>
        <w:rPr>
          <w:rFonts w:ascii="宋体" w:hAnsi="宋体" w:eastAsia="宋体" w:cs="宋体"/>
          <w:spacing w:val="3"/>
          <w:sz w:val="21"/>
          <w:szCs w:val="21"/>
        </w:rPr>
        <w:t>理。</w:t>
      </w:r>
    </w:p>
    <w:p w14:paraId="1E1306D2">
      <w:pPr>
        <w:spacing w:line="270" w:lineRule="auto"/>
        <w:rPr>
          <w:rFonts w:ascii="Arial"/>
          <w:sz w:val="21"/>
        </w:rPr>
      </w:pPr>
    </w:p>
    <w:p w14:paraId="5A5145D6">
      <w:pPr>
        <w:spacing w:line="513" w:lineRule="exact"/>
        <w:ind w:firstLine="2210"/>
      </w:pPr>
      <w:r>
        <w:rPr>
          <w:position w:val="-10"/>
        </w:rPr>
        <w:drawing>
          <wp:inline distT="0" distB="0" distL="0" distR="0">
            <wp:extent cx="3072765" cy="325755"/>
            <wp:effectExtent l="0" t="0" r="0" b="0"/>
            <wp:docPr id="76" name="IM 76"/>
            <wp:cNvGraphicFramePr/>
            <a:graphic xmlns:a="http://schemas.openxmlformats.org/drawingml/2006/main">
              <a:graphicData uri="http://schemas.openxmlformats.org/drawingml/2006/picture">
                <pic:pic xmlns:pic="http://schemas.openxmlformats.org/drawingml/2006/picture">
                  <pic:nvPicPr>
                    <pic:cNvPr id="76" name="IM 76"/>
                    <pic:cNvPicPr/>
                  </pic:nvPicPr>
                  <pic:blipFill>
                    <a:blip r:embed="rId434"/>
                    <a:stretch>
                      <a:fillRect/>
                    </a:stretch>
                  </pic:blipFill>
                  <pic:spPr>
                    <a:xfrm>
                      <a:off x="0" y="0"/>
                      <a:ext cx="3073355" cy="326332"/>
                    </a:xfrm>
                    <a:prstGeom prst="rect">
                      <a:avLst/>
                    </a:prstGeom>
                  </pic:spPr>
                </pic:pic>
              </a:graphicData>
            </a:graphic>
          </wp:inline>
        </w:drawing>
      </w:r>
    </w:p>
    <w:p w14:paraId="03220B9B">
      <w:pPr>
        <w:spacing w:before="138" w:line="590" w:lineRule="exact"/>
        <w:ind w:firstLine="1960"/>
      </w:pPr>
      <w:r>
        <w:rPr>
          <w:position w:val="-11"/>
        </w:rPr>
        <w:drawing>
          <wp:inline distT="0" distB="0" distL="0" distR="0">
            <wp:extent cx="3390900" cy="374650"/>
            <wp:effectExtent l="0" t="0" r="0" b="0"/>
            <wp:docPr id="78" name="IM 78"/>
            <wp:cNvGraphicFramePr/>
            <a:graphic xmlns:a="http://schemas.openxmlformats.org/drawingml/2006/main">
              <a:graphicData uri="http://schemas.openxmlformats.org/drawingml/2006/picture">
                <pic:pic xmlns:pic="http://schemas.openxmlformats.org/drawingml/2006/picture">
                  <pic:nvPicPr>
                    <pic:cNvPr id="78" name="IM 78"/>
                    <pic:cNvPicPr/>
                  </pic:nvPicPr>
                  <pic:blipFill>
                    <a:blip r:embed="rId435"/>
                    <a:stretch>
                      <a:fillRect/>
                    </a:stretch>
                  </pic:blipFill>
                  <pic:spPr>
                    <a:xfrm>
                      <a:off x="0" y="0"/>
                      <a:ext cx="3390903" cy="374678"/>
                    </a:xfrm>
                    <a:prstGeom prst="rect">
                      <a:avLst/>
                    </a:prstGeom>
                  </pic:spPr>
                </pic:pic>
              </a:graphicData>
            </a:graphic>
          </wp:inline>
        </w:drawing>
      </w:r>
    </w:p>
    <w:p w14:paraId="4DEAAD19">
      <w:pPr>
        <w:spacing w:before="235" w:line="212" w:lineRule="auto"/>
        <w:rPr>
          <w:rFonts w:ascii="宋体" w:hAnsi="宋体" w:eastAsia="宋体" w:cs="宋体"/>
          <w:sz w:val="21"/>
          <w:szCs w:val="21"/>
        </w:rPr>
      </w:pPr>
      <w:r>
        <w:rPr>
          <w:rFonts w:ascii="宋体" w:hAnsi="宋体" w:eastAsia="宋体" w:cs="宋体"/>
          <w:spacing w:val="3"/>
          <w:sz w:val="21"/>
          <w:szCs w:val="21"/>
        </w:rPr>
        <w:t>式中，</w:t>
      </w:r>
      <w:r>
        <w:rPr>
          <w:rFonts w:ascii="Times New Roman" w:hAnsi="Times New Roman" w:eastAsia="Times New Roman" w:cs="Times New Roman"/>
          <w:spacing w:val="3"/>
          <w:sz w:val="21"/>
          <w:szCs w:val="21"/>
        </w:rPr>
        <w:t xml:space="preserve">K </w:t>
      </w:r>
      <w:r>
        <w:rPr>
          <w:rFonts w:ascii="宋体" w:hAnsi="宋体" w:eastAsia="宋体" w:cs="宋体"/>
          <w:spacing w:val="3"/>
          <w:sz w:val="21"/>
          <w:szCs w:val="21"/>
        </w:rPr>
        <w:t>的取值为100%,1000%</w:t>
      </w:r>
      <w:r>
        <w:rPr>
          <w:rFonts w:ascii="Times New Roman" w:hAnsi="Times New Roman" w:eastAsia="Times New Roman" w:cs="Times New Roman"/>
          <w:spacing w:val="3"/>
          <w:sz w:val="21"/>
          <w:szCs w:val="21"/>
        </w:rPr>
        <w:t>o,10000/</w:t>
      </w:r>
      <w:r>
        <w:rPr>
          <w:rFonts w:ascii="Times New Roman" w:hAnsi="Times New Roman" w:eastAsia="Times New Roman" w:cs="Times New Roman"/>
          <w:spacing w:val="29"/>
          <w:sz w:val="21"/>
          <w:szCs w:val="21"/>
        </w:rPr>
        <w:t xml:space="preserve">  </w:t>
      </w:r>
      <w:r>
        <w:rPr>
          <w:rFonts w:ascii="宋体" w:hAnsi="宋体" w:eastAsia="宋体" w:cs="宋体"/>
          <w:spacing w:val="3"/>
          <w:sz w:val="21"/>
          <w:szCs w:val="21"/>
        </w:rPr>
        <w:t>万，100000/10万……</w:t>
      </w:r>
    </w:p>
    <w:p w14:paraId="06ABA938">
      <w:pPr>
        <w:spacing w:line="17" w:lineRule="exact"/>
      </w:pPr>
    </w:p>
    <w:p w14:paraId="1AB5B6CC">
      <w:pPr>
        <w:spacing w:line="14" w:lineRule="auto"/>
        <w:rPr>
          <w:rFonts w:ascii="Arial"/>
          <w:sz w:val="2"/>
        </w:rPr>
      </w:pPr>
      <w:r>
        <w:rPr>
          <w:rFonts w:ascii="Arial" w:hAnsi="Arial" w:eastAsia="Arial" w:cs="Arial"/>
          <w:sz w:val="2"/>
          <w:szCs w:val="2"/>
        </w:rPr>
        <w:br w:type="column"/>
      </w:r>
    </w:p>
    <w:p w14:paraId="665DE598">
      <w:pPr>
        <w:spacing w:line="310" w:lineRule="auto"/>
        <w:rPr>
          <w:rFonts w:ascii="Arial"/>
          <w:sz w:val="21"/>
        </w:rPr>
      </w:pPr>
    </w:p>
    <w:p w14:paraId="31239DBF">
      <w:pPr>
        <w:spacing w:line="310" w:lineRule="auto"/>
        <w:rPr>
          <w:rFonts w:ascii="Arial"/>
          <w:sz w:val="21"/>
        </w:rPr>
      </w:pPr>
    </w:p>
    <w:p w14:paraId="138CFF51">
      <w:pPr>
        <w:spacing w:before="68" w:line="221" w:lineRule="auto"/>
        <w:rPr>
          <w:rFonts w:ascii="宋体" w:hAnsi="宋体" w:eastAsia="宋体" w:cs="宋体"/>
          <w:sz w:val="21"/>
          <w:szCs w:val="21"/>
        </w:rPr>
      </w:pPr>
      <w:r>
        <w:rPr>
          <w:rFonts w:ascii="宋体" w:hAnsi="宋体" w:eastAsia="宋体" w:cs="宋体"/>
          <w:spacing w:val="10"/>
          <w:sz w:val="21"/>
          <w:szCs w:val="21"/>
        </w:rPr>
        <w:t>式(2-4)</w:t>
      </w:r>
    </w:p>
    <w:p w14:paraId="6A1C3493">
      <w:pPr>
        <w:spacing w:line="377" w:lineRule="auto"/>
        <w:rPr>
          <w:rFonts w:ascii="Arial"/>
          <w:sz w:val="21"/>
        </w:rPr>
      </w:pPr>
    </w:p>
    <w:p w14:paraId="65FFF95C">
      <w:pPr>
        <w:spacing w:before="69" w:line="221" w:lineRule="auto"/>
        <w:rPr>
          <w:rFonts w:ascii="宋体" w:hAnsi="宋体" w:eastAsia="宋体" w:cs="宋体"/>
          <w:sz w:val="21"/>
          <w:szCs w:val="21"/>
        </w:rPr>
      </w:pPr>
      <w:r>
        <w:rPr>
          <w:rFonts w:ascii="宋体" w:hAnsi="宋体" w:eastAsia="宋体" w:cs="宋体"/>
          <w:spacing w:val="13"/>
          <w:sz w:val="21"/>
          <w:szCs w:val="21"/>
        </w:rPr>
        <w:t>式(2-5)</w:t>
      </w:r>
    </w:p>
    <w:p w14:paraId="3F1B304D">
      <w:pPr>
        <w:spacing w:line="221" w:lineRule="auto"/>
        <w:rPr>
          <w:rFonts w:ascii="宋体" w:hAnsi="宋体" w:eastAsia="宋体" w:cs="宋体"/>
          <w:sz w:val="21"/>
          <w:szCs w:val="21"/>
        </w:rPr>
        <w:sectPr>
          <w:type w:val="continuous"/>
          <w:pgSz w:w="11900" w:h="16820"/>
          <w:pgMar w:top="400" w:right="704" w:bottom="886" w:left="1289" w:header="0" w:footer="697" w:gutter="0"/>
          <w:cols w:equalWidth="0" w:num="2">
            <w:col w:w="8401" w:space="100"/>
            <w:col w:w="1406"/>
          </w:cols>
        </w:sectPr>
      </w:pPr>
    </w:p>
    <w:p w14:paraId="0A47121E">
      <w:pPr>
        <w:pStyle w:val="2"/>
        <w:spacing w:before="126" w:line="296" w:lineRule="auto"/>
        <w:ind w:right="639" w:firstLine="430"/>
        <w:rPr>
          <w:rFonts w:ascii="宋体" w:hAnsi="宋体" w:eastAsia="宋体" w:cs="宋体"/>
          <w:sz w:val="21"/>
          <w:szCs w:val="21"/>
        </w:rPr>
      </w:pPr>
      <w:r>
        <w:rPr>
          <w:rFonts w:ascii="宋体" w:hAnsi="宋体" w:eastAsia="宋体" w:cs="宋体"/>
          <w:spacing w:val="9"/>
          <w:sz w:val="21"/>
          <w:szCs w:val="21"/>
        </w:rPr>
        <w:t>2.</w:t>
      </w:r>
      <w:r>
        <w:rPr>
          <w:rFonts w:ascii="宋体" w:hAnsi="宋体" w:eastAsia="宋体" w:cs="宋体"/>
          <w:spacing w:val="-15"/>
          <w:sz w:val="21"/>
          <w:szCs w:val="21"/>
        </w:rPr>
        <w:t xml:space="preserve"> </w:t>
      </w:r>
      <w:r>
        <w:rPr>
          <w:spacing w:val="9"/>
          <w:sz w:val="21"/>
          <w:szCs w:val="21"/>
        </w:rPr>
        <w:t>影响患病率的因素</w:t>
      </w:r>
      <w:r>
        <w:rPr>
          <w:spacing w:val="90"/>
          <w:sz w:val="21"/>
          <w:szCs w:val="21"/>
        </w:rPr>
        <w:t xml:space="preserve"> </w:t>
      </w:r>
      <w:r>
        <w:rPr>
          <w:rFonts w:ascii="宋体" w:hAnsi="宋体" w:eastAsia="宋体" w:cs="宋体"/>
          <w:spacing w:val="9"/>
          <w:sz w:val="21"/>
          <w:szCs w:val="21"/>
        </w:rPr>
        <w:t>影响人群中新发病例和现患病例数量增减的因素均可影响患病率。引</w:t>
      </w:r>
      <w:r>
        <w:rPr>
          <w:rFonts w:ascii="宋体" w:hAnsi="宋体" w:eastAsia="宋体" w:cs="宋体"/>
          <w:sz w:val="21"/>
          <w:szCs w:val="21"/>
        </w:rPr>
        <w:t xml:space="preserve"> </w:t>
      </w:r>
      <w:r>
        <w:rPr>
          <w:rFonts w:ascii="宋体" w:hAnsi="宋体" w:eastAsia="宋体" w:cs="宋体"/>
          <w:spacing w:val="7"/>
          <w:sz w:val="21"/>
          <w:szCs w:val="21"/>
        </w:rPr>
        <w:t>起患病率升高的主要因素有：①新病例增加(即发病率增高);②医疗水平提高，病人免于死亡，但</w:t>
      </w:r>
      <w:r>
        <w:rPr>
          <w:rFonts w:ascii="宋体" w:hAnsi="宋体" w:eastAsia="宋体" w:cs="宋体"/>
          <w:spacing w:val="5"/>
          <w:sz w:val="21"/>
          <w:szCs w:val="21"/>
        </w:rPr>
        <w:t xml:space="preserve"> </w:t>
      </w:r>
      <w:r>
        <w:rPr>
          <w:rFonts w:ascii="宋体" w:hAnsi="宋体" w:eastAsia="宋体" w:cs="宋体"/>
          <w:spacing w:val="1"/>
          <w:sz w:val="21"/>
          <w:szCs w:val="21"/>
        </w:rPr>
        <w:t>未痊愈，病程延长；③未治愈者的寿命延长；④病例</w:t>
      </w:r>
      <w:r>
        <w:rPr>
          <w:rFonts w:ascii="宋体" w:hAnsi="宋体" w:eastAsia="宋体" w:cs="宋体"/>
          <w:sz w:val="21"/>
          <w:szCs w:val="21"/>
        </w:rPr>
        <w:t xml:space="preserve">迁人；⑤健康者迁出；⑥诊断水平提高；⑦报告 </w:t>
      </w:r>
      <w:r>
        <w:rPr>
          <w:rFonts w:ascii="宋体" w:hAnsi="宋体" w:eastAsia="宋体" w:cs="宋体"/>
          <w:spacing w:val="7"/>
          <w:sz w:val="21"/>
          <w:szCs w:val="21"/>
        </w:rPr>
        <w:t>率提高。引起患病率降低的主要因素有：①新病例减少(即发病率下降);②病死率增高；③病程缩</w:t>
      </w:r>
      <w:r>
        <w:rPr>
          <w:rFonts w:ascii="宋体" w:hAnsi="宋体" w:eastAsia="宋体" w:cs="宋体"/>
          <w:spacing w:val="6"/>
          <w:sz w:val="21"/>
          <w:szCs w:val="21"/>
        </w:rPr>
        <w:t xml:space="preserve"> </w:t>
      </w:r>
      <w:r>
        <w:rPr>
          <w:rFonts w:ascii="宋体" w:hAnsi="宋体" w:eastAsia="宋体" w:cs="宋体"/>
          <w:spacing w:val="-3"/>
          <w:sz w:val="21"/>
          <w:szCs w:val="21"/>
        </w:rPr>
        <w:t>短；④病例迁出；⑤健康者迁人；⑥治愈率提高。</w:t>
      </w:r>
    </w:p>
    <w:p w14:paraId="47A81041">
      <w:pPr>
        <w:pStyle w:val="2"/>
        <w:spacing w:before="143" w:line="269" w:lineRule="auto"/>
        <w:ind w:right="661" w:firstLine="430"/>
        <w:rPr>
          <w:rFonts w:ascii="宋体" w:hAnsi="宋体" w:eastAsia="宋体" w:cs="宋体"/>
          <w:sz w:val="21"/>
          <w:szCs w:val="21"/>
        </w:rPr>
      </w:pPr>
      <w:r>
        <w:rPr>
          <w:rFonts w:ascii="宋体" w:hAnsi="宋体" w:eastAsia="宋体" w:cs="宋体"/>
          <w:spacing w:val="12"/>
          <w:sz w:val="21"/>
          <w:szCs w:val="21"/>
        </w:rPr>
        <w:t xml:space="preserve">3. </w:t>
      </w:r>
      <w:r>
        <w:rPr>
          <w:spacing w:val="12"/>
          <w:sz w:val="21"/>
          <w:szCs w:val="21"/>
        </w:rPr>
        <w:t xml:space="preserve">患病率与发病率、病程的关系  </w:t>
      </w:r>
      <w:r>
        <w:rPr>
          <w:rFonts w:ascii="宋体" w:hAnsi="宋体" w:eastAsia="宋体" w:cs="宋体"/>
          <w:spacing w:val="12"/>
          <w:sz w:val="21"/>
          <w:szCs w:val="21"/>
        </w:rPr>
        <w:t>当某病的发病率和该病的病程在相当长时间内保持稳定</w:t>
      </w:r>
      <w:r>
        <w:rPr>
          <w:rFonts w:ascii="宋体" w:hAnsi="宋体" w:eastAsia="宋体" w:cs="宋体"/>
          <w:spacing w:val="13"/>
          <w:sz w:val="21"/>
          <w:szCs w:val="21"/>
        </w:rPr>
        <w:t xml:space="preserve"> </w:t>
      </w:r>
      <w:r>
        <w:rPr>
          <w:rFonts w:ascii="宋体" w:hAnsi="宋体" w:eastAsia="宋体" w:cs="宋体"/>
          <w:sz w:val="21"/>
          <w:szCs w:val="21"/>
        </w:rPr>
        <w:t>时，患病率取决于两个因素，即发病率和病程。患病率、发病率和病程三</w:t>
      </w:r>
      <w:r>
        <w:rPr>
          <w:rFonts w:ascii="宋体" w:hAnsi="宋体" w:eastAsia="宋体" w:cs="宋体"/>
          <w:spacing w:val="-1"/>
          <w:sz w:val="21"/>
          <w:szCs w:val="21"/>
        </w:rPr>
        <w:t>者的关系是：</w:t>
      </w:r>
    </w:p>
    <w:p w14:paraId="609348F9">
      <w:pPr>
        <w:spacing w:before="260" w:line="221" w:lineRule="auto"/>
        <w:ind w:left="3570"/>
        <w:rPr>
          <w:rFonts w:ascii="宋体" w:hAnsi="宋体" w:eastAsia="宋体" w:cs="宋体"/>
          <w:sz w:val="21"/>
          <w:szCs w:val="21"/>
        </w:rPr>
      </w:pPr>
      <w:r>
        <w:rPr>
          <w:rFonts w:ascii="宋体" w:hAnsi="宋体" w:eastAsia="宋体" w:cs="宋体"/>
          <w:spacing w:val="12"/>
          <w:sz w:val="21"/>
          <w:szCs w:val="21"/>
        </w:rPr>
        <w:t>患病率=发病率×病程</w:t>
      </w:r>
      <w:r>
        <w:rPr>
          <w:rFonts w:ascii="宋体" w:hAnsi="宋体" w:eastAsia="宋体" w:cs="宋体"/>
          <w:spacing w:val="3"/>
          <w:sz w:val="21"/>
          <w:szCs w:val="21"/>
        </w:rPr>
        <w:t xml:space="preserve">                   </w:t>
      </w:r>
      <w:r>
        <w:rPr>
          <w:rFonts w:ascii="宋体" w:hAnsi="宋体" w:eastAsia="宋体" w:cs="宋体"/>
          <w:spacing w:val="2"/>
          <w:sz w:val="21"/>
          <w:szCs w:val="21"/>
        </w:rPr>
        <w:t xml:space="preserve">       </w:t>
      </w:r>
      <w:r>
        <w:rPr>
          <w:rFonts w:ascii="宋体" w:hAnsi="宋体" w:eastAsia="宋体" w:cs="宋体"/>
          <w:spacing w:val="12"/>
          <w:sz w:val="21"/>
          <w:szCs w:val="21"/>
        </w:rPr>
        <w:t>式(2-6)</w:t>
      </w:r>
    </w:p>
    <w:p w14:paraId="633E9446">
      <w:pPr>
        <w:spacing w:before="238" w:line="317" w:lineRule="auto"/>
        <w:ind w:right="665" w:firstLine="430"/>
        <w:jc w:val="both"/>
        <w:rPr>
          <w:rFonts w:ascii="宋体" w:hAnsi="宋体" w:eastAsia="宋体" w:cs="宋体"/>
          <w:sz w:val="21"/>
          <w:szCs w:val="21"/>
        </w:rPr>
      </w:pPr>
      <w:r>
        <w:rPr>
          <w:rFonts w:ascii="宋体" w:hAnsi="宋体" w:eastAsia="宋体" w:cs="宋体"/>
          <w:spacing w:val="3"/>
          <w:sz w:val="21"/>
          <w:szCs w:val="21"/>
        </w:rPr>
        <w:t>式(2-6)在某病的发病率和患病率长期保持稳定时，也可用于推算某病的病程。例如，</w:t>
      </w:r>
      <w:r>
        <w:rPr>
          <w:rFonts w:ascii="宋体" w:hAnsi="宋体" w:eastAsia="宋体" w:cs="宋体"/>
          <w:spacing w:val="70"/>
          <w:sz w:val="21"/>
          <w:szCs w:val="21"/>
        </w:rPr>
        <w:t xml:space="preserve"> </w:t>
      </w:r>
      <w:r>
        <w:rPr>
          <w:rFonts w:ascii="宋体" w:hAnsi="宋体" w:eastAsia="宋体" w:cs="宋体"/>
          <w:spacing w:val="3"/>
          <w:sz w:val="21"/>
          <w:szCs w:val="21"/>
        </w:rPr>
        <w:t>一项长</w:t>
      </w:r>
      <w:r>
        <w:rPr>
          <w:rFonts w:ascii="宋体" w:hAnsi="宋体" w:eastAsia="宋体" w:cs="宋体"/>
          <w:sz w:val="21"/>
          <w:szCs w:val="21"/>
        </w:rPr>
        <w:t xml:space="preserve"> </w:t>
      </w:r>
      <w:r>
        <w:rPr>
          <w:rFonts w:ascii="宋体" w:hAnsi="宋体" w:eastAsia="宋体" w:cs="宋体"/>
          <w:spacing w:val="9"/>
          <w:sz w:val="21"/>
          <w:szCs w:val="21"/>
        </w:rPr>
        <w:t>期的流行病学调查结果显示，美国1980—1990年间糖尿病的发病率和患病率较为稳定，患病率为</w:t>
      </w:r>
      <w:r>
        <w:rPr>
          <w:rFonts w:ascii="宋体" w:hAnsi="宋体" w:eastAsia="宋体" w:cs="宋体"/>
          <w:spacing w:val="5"/>
          <w:sz w:val="21"/>
          <w:szCs w:val="21"/>
        </w:rPr>
        <w:t xml:space="preserve"> </w:t>
      </w:r>
      <w:r>
        <w:rPr>
          <w:rFonts w:ascii="宋体" w:hAnsi="宋体" w:eastAsia="宋体" w:cs="宋体"/>
          <w:spacing w:val="2"/>
          <w:sz w:val="21"/>
          <w:szCs w:val="21"/>
        </w:rPr>
        <w:t>350/万，发病率为40/万，则可估算糖尿病的病程约为8.8年。</w:t>
      </w:r>
    </w:p>
    <w:p w14:paraId="6B25C719">
      <w:pPr>
        <w:spacing w:before="17" w:line="284" w:lineRule="auto"/>
        <w:ind w:right="570" w:firstLine="433"/>
        <w:rPr>
          <w:rFonts w:ascii="宋体" w:hAnsi="宋体" w:eastAsia="宋体" w:cs="宋体"/>
          <w:sz w:val="21"/>
          <w:szCs w:val="21"/>
        </w:rPr>
      </w:pPr>
      <w:r>
        <w:rPr>
          <w:rFonts w:ascii="宋体" w:hAnsi="宋体" w:eastAsia="宋体" w:cs="宋体"/>
          <w:b/>
          <w:bCs/>
          <w:spacing w:val="4"/>
          <w:sz w:val="21"/>
          <w:szCs w:val="21"/>
        </w:rPr>
        <w:t>4.</w:t>
      </w:r>
      <w:r>
        <w:rPr>
          <w:rFonts w:ascii="宋体" w:hAnsi="宋体" w:eastAsia="宋体" w:cs="宋体"/>
          <w:spacing w:val="4"/>
          <w:sz w:val="21"/>
          <w:szCs w:val="21"/>
        </w:rPr>
        <w:t xml:space="preserve"> </w:t>
      </w:r>
      <w:r>
        <w:rPr>
          <w:rFonts w:ascii="宋体" w:hAnsi="宋体" w:eastAsia="宋体" w:cs="宋体"/>
          <w:b/>
          <w:bCs/>
          <w:spacing w:val="4"/>
          <w:sz w:val="21"/>
          <w:szCs w:val="21"/>
        </w:rPr>
        <w:t>应用</w:t>
      </w:r>
      <w:r>
        <w:rPr>
          <w:rFonts w:ascii="宋体" w:hAnsi="宋体" w:eastAsia="宋体" w:cs="宋体"/>
          <w:spacing w:val="114"/>
          <w:sz w:val="21"/>
          <w:szCs w:val="21"/>
        </w:rPr>
        <w:t xml:space="preserve"> </w:t>
      </w:r>
      <w:r>
        <w:rPr>
          <w:rFonts w:ascii="宋体" w:hAnsi="宋体" w:eastAsia="宋体" w:cs="宋体"/>
          <w:spacing w:val="4"/>
          <w:sz w:val="21"/>
          <w:szCs w:val="21"/>
        </w:rPr>
        <w:t>患病率通常用来反映疾病的现患状况，对于病程较长的慢性病，可反映其流行情况。</w:t>
      </w:r>
      <w:r>
        <w:rPr>
          <w:rFonts w:ascii="宋体" w:hAnsi="宋体" w:eastAsia="宋体" w:cs="宋体"/>
          <w:sz w:val="21"/>
          <w:szCs w:val="21"/>
        </w:rPr>
        <w:t xml:space="preserve"> </w:t>
      </w:r>
      <w:r>
        <w:rPr>
          <w:rFonts w:ascii="宋体" w:hAnsi="宋体" w:eastAsia="宋体" w:cs="宋体"/>
          <w:spacing w:val="5"/>
          <w:sz w:val="21"/>
          <w:szCs w:val="21"/>
        </w:rPr>
        <w:t>患病率用于估计某病对居民健康的现存危害程度，可为医疗设施规划、估计医院床位周转、卫生设</w:t>
      </w:r>
      <w:r>
        <w:rPr>
          <w:rFonts w:ascii="宋体" w:hAnsi="宋体" w:eastAsia="宋体" w:cs="宋体"/>
          <w:spacing w:val="13"/>
          <w:sz w:val="21"/>
          <w:szCs w:val="21"/>
        </w:rPr>
        <w:t xml:space="preserve"> </w:t>
      </w:r>
      <w:r>
        <w:rPr>
          <w:rFonts w:ascii="宋体" w:hAnsi="宋体" w:eastAsia="宋体" w:cs="宋体"/>
          <w:spacing w:val="4"/>
          <w:sz w:val="21"/>
          <w:szCs w:val="21"/>
        </w:rPr>
        <w:t>施及人力的需要量、医疗质量的评估和医疗费用的投人等提供科学依据。</w:t>
      </w:r>
    </w:p>
    <w:p w14:paraId="77222B42">
      <w:pPr>
        <w:pStyle w:val="2"/>
        <w:spacing w:before="102" w:line="221" w:lineRule="auto"/>
        <w:ind w:left="430"/>
        <w:rPr>
          <w:rFonts w:ascii="宋体" w:hAnsi="宋体" w:eastAsia="宋体" w:cs="宋体"/>
          <w:sz w:val="21"/>
          <w:szCs w:val="21"/>
        </w:rPr>
      </w:pPr>
      <w:r>
        <w:rPr>
          <w:rFonts w:ascii="宋体" w:hAnsi="宋体" w:eastAsia="宋体" w:cs="宋体"/>
          <w:spacing w:val="6"/>
          <w:sz w:val="21"/>
          <w:szCs w:val="21"/>
        </w:rPr>
        <w:t xml:space="preserve">5. </w:t>
      </w:r>
      <w:r>
        <w:rPr>
          <w:spacing w:val="6"/>
          <w:sz w:val="21"/>
          <w:szCs w:val="21"/>
        </w:rPr>
        <w:t>患病率与发病率的比较</w:t>
      </w:r>
      <w:r>
        <w:rPr>
          <w:spacing w:val="104"/>
          <w:sz w:val="21"/>
          <w:szCs w:val="21"/>
        </w:rPr>
        <w:t xml:space="preserve"> </w:t>
      </w:r>
      <w:r>
        <w:rPr>
          <w:rFonts w:ascii="宋体" w:hAnsi="宋体" w:eastAsia="宋体" w:cs="宋体"/>
          <w:spacing w:val="6"/>
          <w:sz w:val="21"/>
          <w:szCs w:val="21"/>
        </w:rPr>
        <w:t>见表2-1。</w:t>
      </w:r>
    </w:p>
    <w:p w14:paraId="414D4CA0">
      <w:pPr>
        <w:spacing w:before="286" w:line="222" w:lineRule="auto"/>
        <w:ind w:left="1602"/>
        <w:rPr>
          <w:rFonts w:ascii="宋体" w:hAnsi="宋体" w:eastAsia="宋体" w:cs="宋体"/>
          <w:sz w:val="20"/>
          <w:szCs w:val="20"/>
        </w:rPr>
      </w:pPr>
      <w:r>
        <w:rPr>
          <w:rFonts w:ascii="宋体" w:hAnsi="宋体" w:eastAsia="宋体" w:cs="宋体"/>
          <w:b/>
          <w:bCs/>
          <w:spacing w:val="-1"/>
          <w:sz w:val="20"/>
          <w:szCs w:val="20"/>
        </w:rPr>
        <w:t>表2-1患病率与发病率</w:t>
      </w:r>
      <w:r>
        <w:rPr>
          <w:rFonts w:ascii="宋体" w:hAnsi="宋体" w:eastAsia="宋体" w:cs="宋体"/>
          <w:spacing w:val="-1"/>
          <w:sz w:val="20"/>
          <w:szCs w:val="20"/>
        </w:rPr>
        <w:t xml:space="preserve">                    </w:t>
      </w:r>
      <w:r>
        <w:rPr>
          <w:rFonts w:ascii="宋体" w:hAnsi="宋体" w:eastAsia="宋体" w:cs="宋体"/>
          <w:b/>
          <w:bCs/>
          <w:spacing w:val="-1"/>
          <w:sz w:val="20"/>
          <w:szCs w:val="20"/>
        </w:rPr>
        <w:t>的比较</w:t>
      </w:r>
    </w:p>
    <w:p w14:paraId="62874A4D">
      <w:pPr>
        <w:spacing w:line="20" w:lineRule="exact"/>
      </w:pPr>
    </w:p>
    <w:tbl>
      <w:tblPr>
        <w:tblStyle w:val="5"/>
        <w:tblW w:w="9269"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0" w:type="dxa"/>
          <w:left w:w="0" w:type="dxa"/>
          <w:bottom w:w="0" w:type="dxa"/>
          <w:right w:w="0" w:type="dxa"/>
        </w:tblCellMar>
      </w:tblPr>
      <w:tblGrid>
        <w:gridCol w:w="1500"/>
        <w:gridCol w:w="3920"/>
        <w:gridCol w:w="3849"/>
      </w:tblGrid>
      <w:tr w14:paraId="4E732890">
        <w:trPr>
          <w:trHeight w:val="364" w:hRule="atLeast"/>
        </w:trPr>
        <w:tc>
          <w:tcPr>
            <w:tcW w:w="1500" w:type="dxa"/>
            <w:tcBorders>
              <w:top w:val="single" w:color="000000" w:sz="4" w:space="0"/>
              <w:bottom w:val="single" w:color="000000" w:sz="4" w:space="0"/>
            </w:tcBorders>
            <w:shd w:val="clear" w:color="auto" w:fill="A9B4AD"/>
            <w:vAlign w:val="top"/>
          </w:tcPr>
          <w:p w14:paraId="73236D49">
            <w:pPr>
              <w:pStyle w:val="6"/>
              <w:spacing w:before="83" w:line="219" w:lineRule="auto"/>
              <w:ind w:left="130"/>
            </w:pPr>
            <w:r>
              <w:rPr>
                <w:spacing w:val="2"/>
              </w:rPr>
              <w:t>比较内容</w:t>
            </w:r>
          </w:p>
        </w:tc>
        <w:tc>
          <w:tcPr>
            <w:tcW w:w="3920" w:type="dxa"/>
            <w:tcBorders>
              <w:top w:val="single" w:color="000000" w:sz="4" w:space="0"/>
              <w:bottom w:val="single" w:color="000000" w:sz="4" w:space="0"/>
            </w:tcBorders>
            <w:shd w:val="clear" w:color="auto" w:fill="B0B8AD"/>
            <w:vAlign w:val="top"/>
          </w:tcPr>
          <w:p w14:paraId="7773B766">
            <w:pPr>
              <w:pStyle w:val="6"/>
              <w:spacing w:before="83" w:line="219" w:lineRule="auto"/>
              <w:ind w:left="100"/>
            </w:pPr>
            <w:r>
              <w:rPr>
                <w:spacing w:val="3"/>
              </w:rPr>
              <w:t>患病率</w:t>
            </w:r>
          </w:p>
        </w:tc>
        <w:tc>
          <w:tcPr>
            <w:tcW w:w="3849" w:type="dxa"/>
            <w:tcBorders>
              <w:top w:val="single" w:color="000000" w:sz="4" w:space="0"/>
              <w:bottom w:val="single" w:color="000000" w:sz="4" w:space="0"/>
            </w:tcBorders>
            <w:shd w:val="clear" w:color="auto" w:fill="ACAE9D"/>
            <w:vAlign w:val="top"/>
          </w:tcPr>
          <w:p w14:paraId="450E25AE">
            <w:pPr>
              <w:pStyle w:val="6"/>
              <w:spacing w:before="83" w:line="219" w:lineRule="auto"/>
              <w:ind w:left="90"/>
            </w:pPr>
            <w:r>
              <w:rPr>
                <w:spacing w:val="3"/>
              </w:rPr>
              <w:t>发病率</w:t>
            </w:r>
          </w:p>
        </w:tc>
      </w:tr>
      <w:tr w14:paraId="6216B684">
        <w:trPr>
          <w:trHeight w:val="409" w:hRule="atLeast"/>
        </w:trPr>
        <w:tc>
          <w:tcPr>
            <w:tcW w:w="1500" w:type="dxa"/>
            <w:tcBorders>
              <w:top w:val="single" w:color="000000" w:sz="4" w:space="0"/>
              <w:bottom w:val="single" w:color="000000" w:sz="4" w:space="0"/>
            </w:tcBorders>
            <w:vAlign w:val="top"/>
          </w:tcPr>
          <w:p w14:paraId="6DA8389E">
            <w:pPr>
              <w:pStyle w:val="6"/>
              <w:spacing w:before="109" w:line="219" w:lineRule="auto"/>
              <w:ind w:left="130"/>
            </w:pPr>
            <w:r>
              <w:rPr>
                <w:spacing w:val="2"/>
              </w:rPr>
              <w:t>资料来源</w:t>
            </w:r>
          </w:p>
        </w:tc>
        <w:tc>
          <w:tcPr>
            <w:tcW w:w="3920" w:type="dxa"/>
            <w:tcBorders>
              <w:top w:val="single" w:color="000000" w:sz="4" w:space="0"/>
              <w:bottom w:val="single" w:color="000000" w:sz="4" w:space="0"/>
            </w:tcBorders>
            <w:vAlign w:val="top"/>
          </w:tcPr>
          <w:p w14:paraId="46966AFE">
            <w:pPr>
              <w:pStyle w:val="6"/>
              <w:spacing w:before="109" w:line="219" w:lineRule="auto"/>
              <w:ind w:left="100"/>
            </w:pPr>
            <w:r>
              <w:rPr>
                <w:spacing w:val="-2"/>
              </w:rPr>
              <w:t>现况调查、筛检等</w:t>
            </w:r>
          </w:p>
        </w:tc>
        <w:tc>
          <w:tcPr>
            <w:tcW w:w="3849" w:type="dxa"/>
            <w:tcBorders>
              <w:top w:val="single" w:color="000000" w:sz="4" w:space="0"/>
              <w:bottom w:val="single" w:color="000000" w:sz="4" w:space="0"/>
            </w:tcBorders>
            <w:vAlign w:val="top"/>
          </w:tcPr>
          <w:p w14:paraId="4311C192">
            <w:pPr>
              <w:pStyle w:val="6"/>
              <w:spacing w:before="107" w:line="218" w:lineRule="auto"/>
              <w:ind w:left="90"/>
            </w:pPr>
            <w:r>
              <w:rPr>
                <w:spacing w:val="-1"/>
              </w:rPr>
              <w:t>疾病报告、疾病监测、队列研究</w:t>
            </w:r>
          </w:p>
        </w:tc>
      </w:tr>
      <w:tr w14:paraId="108EE739">
        <w:trPr>
          <w:trHeight w:val="399" w:hRule="atLeast"/>
        </w:trPr>
        <w:tc>
          <w:tcPr>
            <w:tcW w:w="1500" w:type="dxa"/>
            <w:tcBorders>
              <w:top w:val="single" w:color="000000" w:sz="4" w:space="0"/>
              <w:bottom w:val="single" w:color="000000" w:sz="4" w:space="0"/>
            </w:tcBorders>
            <w:shd w:val="clear" w:color="auto" w:fill="D4D4D7"/>
            <w:vAlign w:val="top"/>
          </w:tcPr>
          <w:p w14:paraId="1671808B">
            <w:pPr>
              <w:pStyle w:val="6"/>
              <w:spacing w:before="100" w:line="219" w:lineRule="auto"/>
              <w:ind w:left="130"/>
            </w:pPr>
            <w:r>
              <w:rPr>
                <w:spacing w:val="-2"/>
              </w:rPr>
              <w:t>计算分子</w:t>
            </w:r>
          </w:p>
        </w:tc>
        <w:tc>
          <w:tcPr>
            <w:tcW w:w="3920" w:type="dxa"/>
            <w:tcBorders>
              <w:top w:val="single" w:color="000000" w:sz="4" w:space="0"/>
              <w:bottom w:val="single" w:color="000000" w:sz="4" w:space="0"/>
            </w:tcBorders>
            <w:shd w:val="clear" w:color="auto" w:fill="D1D0D0"/>
            <w:vAlign w:val="top"/>
          </w:tcPr>
          <w:p w14:paraId="7617918D">
            <w:pPr>
              <w:pStyle w:val="6"/>
              <w:spacing w:before="100" w:line="219" w:lineRule="auto"/>
              <w:ind w:left="100"/>
            </w:pPr>
            <w:r>
              <w:t>观察期间新发病例数和现患病例数之和</w:t>
            </w:r>
          </w:p>
        </w:tc>
        <w:tc>
          <w:tcPr>
            <w:tcW w:w="3849" w:type="dxa"/>
            <w:tcBorders>
              <w:top w:val="single" w:color="000000" w:sz="4" w:space="0"/>
              <w:bottom w:val="single" w:color="000000" w:sz="4" w:space="0"/>
            </w:tcBorders>
            <w:shd w:val="clear" w:color="auto" w:fill="D1D0CA"/>
            <w:vAlign w:val="top"/>
          </w:tcPr>
          <w:p w14:paraId="746CAEB3">
            <w:pPr>
              <w:pStyle w:val="6"/>
              <w:spacing w:before="100" w:line="219" w:lineRule="auto"/>
              <w:ind w:left="90"/>
            </w:pPr>
            <w:r>
              <w:rPr>
                <w:spacing w:val="-1"/>
              </w:rPr>
              <w:t>观察期间新发病例数</w:t>
            </w:r>
          </w:p>
        </w:tc>
      </w:tr>
      <w:tr w14:paraId="27EE1112">
        <w:trPr>
          <w:trHeight w:val="818" w:hRule="atLeast"/>
        </w:trPr>
        <w:tc>
          <w:tcPr>
            <w:tcW w:w="1500" w:type="dxa"/>
            <w:tcBorders>
              <w:top w:val="single" w:color="000000" w:sz="4" w:space="0"/>
              <w:bottom w:val="single" w:color="000000" w:sz="4" w:space="0"/>
            </w:tcBorders>
            <w:vAlign w:val="top"/>
          </w:tcPr>
          <w:p w14:paraId="1C7C59A1">
            <w:pPr>
              <w:spacing w:line="244" w:lineRule="auto"/>
              <w:rPr>
                <w:rFonts w:ascii="Arial"/>
                <w:sz w:val="21"/>
              </w:rPr>
            </w:pPr>
          </w:p>
          <w:p w14:paraId="1C889FF7">
            <w:pPr>
              <w:pStyle w:val="6"/>
              <w:spacing w:before="65" w:line="219" w:lineRule="auto"/>
              <w:ind w:left="130"/>
            </w:pPr>
            <w:r>
              <w:rPr>
                <w:spacing w:val="-2"/>
              </w:rPr>
              <w:t>计算分母</w:t>
            </w:r>
          </w:p>
        </w:tc>
        <w:tc>
          <w:tcPr>
            <w:tcW w:w="3920" w:type="dxa"/>
            <w:tcBorders>
              <w:top w:val="single" w:color="000000" w:sz="4" w:space="0"/>
              <w:bottom w:val="single" w:color="000000" w:sz="4" w:space="0"/>
            </w:tcBorders>
            <w:vAlign w:val="top"/>
          </w:tcPr>
          <w:p w14:paraId="3E3B71B5">
            <w:pPr>
              <w:pStyle w:val="6"/>
              <w:spacing w:before="111" w:line="219" w:lineRule="auto"/>
              <w:ind w:left="100"/>
            </w:pPr>
            <w:r>
              <w:rPr>
                <w:spacing w:val="3"/>
              </w:rPr>
              <w:t>调查人数(时点患病率)</w:t>
            </w:r>
          </w:p>
          <w:p w14:paraId="5FE604B2">
            <w:pPr>
              <w:pStyle w:val="6"/>
              <w:spacing w:before="162" w:line="219" w:lineRule="auto"/>
              <w:ind w:left="100"/>
            </w:pPr>
            <w:r>
              <w:rPr>
                <w:spacing w:val="6"/>
              </w:rPr>
              <w:t>平均人口数(期间患病率)</w:t>
            </w:r>
          </w:p>
        </w:tc>
        <w:tc>
          <w:tcPr>
            <w:tcW w:w="3849" w:type="dxa"/>
            <w:tcBorders>
              <w:top w:val="single" w:color="000000" w:sz="4" w:space="0"/>
              <w:bottom w:val="single" w:color="000000" w:sz="4" w:space="0"/>
            </w:tcBorders>
            <w:vAlign w:val="top"/>
          </w:tcPr>
          <w:p w14:paraId="21AA65BB">
            <w:pPr>
              <w:spacing w:line="243" w:lineRule="auto"/>
              <w:rPr>
                <w:rFonts w:ascii="Arial"/>
                <w:sz w:val="21"/>
              </w:rPr>
            </w:pPr>
          </w:p>
          <w:p w14:paraId="20D8C9E7">
            <w:pPr>
              <w:pStyle w:val="6"/>
              <w:spacing w:before="65" w:line="219" w:lineRule="auto"/>
              <w:ind w:left="90"/>
            </w:pPr>
            <w:r>
              <w:rPr>
                <w:spacing w:val="-1"/>
              </w:rPr>
              <w:t>暴露人口数或平均人口数</w:t>
            </w:r>
          </w:p>
        </w:tc>
      </w:tr>
      <w:tr w14:paraId="59FB023B">
        <w:trPr>
          <w:trHeight w:val="678" w:hRule="atLeast"/>
        </w:trPr>
        <w:tc>
          <w:tcPr>
            <w:tcW w:w="1500" w:type="dxa"/>
            <w:tcBorders>
              <w:top w:val="single" w:color="000000" w:sz="4" w:space="0"/>
              <w:bottom w:val="single" w:color="000000" w:sz="4" w:space="0"/>
            </w:tcBorders>
            <w:shd w:val="clear" w:color="auto" w:fill="CDD1D4"/>
            <w:vAlign w:val="top"/>
          </w:tcPr>
          <w:p w14:paraId="3F97DBBB">
            <w:pPr>
              <w:pStyle w:val="6"/>
              <w:spacing w:before="243" w:line="219" w:lineRule="auto"/>
              <w:ind w:left="130"/>
            </w:pPr>
            <w:r>
              <w:rPr>
                <w:spacing w:val="4"/>
              </w:rPr>
              <w:t>观察时间</w:t>
            </w:r>
          </w:p>
        </w:tc>
        <w:tc>
          <w:tcPr>
            <w:tcW w:w="3920" w:type="dxa"/>
            <w:tcBorders>
              <w:top w:val="single" w:color="000000" w:sz="4" w:space="0"/>
              <w:bottom w:val="single" w:color="000000" w:sz="4" w:space="0"/>
            </w:tcBorders>
            <w:shd w:val="clear" w:color="auto" w:fill="D6D8D9"/>
            <w:vAlign w:val="top"/>
          </w:tcPr>
          <w:p w14:paraId="0D8DA1B4">
            <w:pPr>
              <w:pStyle w:val="6"/>
              <w:spacing w:before="123" w:line="251" w:lineRule="auto"/>
              <w:ind w:left="29" w:right="201"/>
            </w:pPr>
            <w:r>
              <w:rPr>
                <w:spacing w:val="-1"/>
              </w:rPr>
              <w:t>一般为一个月(时点患病率)或更长时间(期</w:t>
            </w:r>
            <w:r>
              <w:rPr>
                <w:spacing w:val="7"/>
              </w:rPr>
              <w:t xml:space="preserve"> </w:t>
            </w:r>
            <w:r>
              <w:rPr>
                <w:spacing w:val="24"/>
              </w:rPr>
              <w:t>间患病率)</w:t>
            </w:r>
          </w:p>
        </w:tc>
        <w:tc>
          <w:tcPr>
            <w:tcW w:w="3849" w:type="dxa"/>
            <w:tcBorders>
              <w:top w:val="single" w:color="000000" w:sz="4" w:space="0"/>
              <w:bottom w:val="single" w:color="000000" w:sz="4" w:space="0"/>
            </w:tcBorders>
            <w:shd w:val="clear" w:color="auto" w:fill="CCCCCB"/>
            <w:vAlign w:val="top"/>
          </w:tcPr>
          <w:p w14:paraId="7AA4D943">
            <w:pPr>
              <w:pStyle w:val="6"/>
              <w:spacing w:before="243" w:line="219" w:lineRule="auto"/>
              <w:ind w:left="90"/>
            </w:pPr>
            <w:r>
              <w:rPr>
                <w:spacing w:val="-3"/>
              </w:rPr>
              <w:t>一般为一年</w:t>
            </w:r>
          </w:p>
        </w:tc>
      </w:tr>
      <w:tr w14:paraId="5EAF71A2">
        <w:trPr>
          <w:trHeight w:val="399" w:hRule="atLeast"/>
        </w:trPr>
        <w:tc>
          <w:tcPr>
            <w:tcW w:w="1500" w:type="dxa"/>
            <w:tcBorders>
              <w:top w:val="single" w:color="000000" w:sz="4" w:space="0"/>
              <w:bottom w:val="single" w:color="000000" w:sz="4" w:space="0"/>
            </w:tcBorders>
            <w:vAlign w:val="top"/>
          </w:tcPr>
          <w:p w14:paraId="4CFA6F76">
            <w:pPr>
              <w:pStyle w:val="6"/>
              <w:spacing w:before="105" w:line="219" w:lineRule="auto"/>
              <w:ind w:left="130"/>
            </w:pPr>
            <w:r>
              <w:rPr>
                <w:spacing w:val="-2"/>
              </w:rPr>
              <w:t>适用疾病种类</w:t>
            </w:r>
          </w:p>
        </w:tc>
        <w:tc>
          <w:tcPr>
            <w:tcW w:w="3920" w:type="dxa"/>
            <w:tcBorders>
              <w:top w:val="single" w:color="000000" w:sz="4" w:space="0"/>
              <w:bottom w:val="single" w:color="000000" w:sz="4" w:space="0"/>
            </w:tcBorders>
            <w:vAlign w:val="top"/>
          </w:tcPr>
          <w:p w14:paraId="646A5895">
            <w:pPr>
              <w:pStyle w:val="6"/>
              <w:spacing w:before="105" w:line="220" w:lineRule="auto"/>
              <w:ind w:left="100"/>
            </w:pPr>
            <w:r>
              <w:rPr>
                <w:spacing w:val="1"/>
              </w:rPr>
              <w:t>慢性病，或病程较长的疾病</w:t>
            </w:r>
          </w:p>
        </w:tc>
        <w:tc>
          <w:tcPr>
            <w:tcW w:w="3849" w:type="dxa"/>
            <w:tcBorders>
              <w:top w:val="single" w:color="000000" w:sz="4" w:space="0"/>
              <w:bottom w:val="single" w:color="000000" w:sz="4" w:space="0"/>
            </w:tcBorders>
            <w:vAlign w:val="top"/>
          </w:tcPr>
          <w:p w14:paraId="2904066B">
            <w:pPr>
              <w:pStyle w:val="6"/>
              <w:spacing w:before="105" w:line="220" w:lineRule="auto"/>
              <w:ind w:left="90"/>
            </w:pPr>
            <w:r>
              <w:rPr>
                <w:spacing w:val="3"/>
              </w:rPr>
              <w:t>各种疾病</w:t>
            </w:r>
          </w:p>
        </w:tc>
      </w:tr>
      <w:tr w14:paraId="6E31B19B">
        <w:trPr>
          <w:trHeight w:val="409" w:hRule="atLeast"/>
        </w:trPr>
        <w:tc>
          <w:tcPr>
            <w:tcW w:w="1500" w:type="dxa"/>
            <w:tcBorders>
              <w:top w:val="single" w:color="000000" w:sz="4" w:space="0"/>
              <w:bottom w:val="single" w:color="000000" w:sz="4" w:space="0"/>
            </w:tcBorders>
            <w:shd w:val="clear" w:color="auto" w:fill="D2D5D7"/>
            <w:vAlign w:val="top"/>
          </w:tcPr>
          <w:p w14:paraId="55066B0E">
            <w:pPr>
              <w:pStyle w:val="6"/>
              <w:spacing w:before="117" w:line="221" w:lineRule="auto"/>
              <w:ind w:left="130"/>
            </w:pPr>
            <w:r>
              <w:rPr>
                <w:spacing w:val="-3"/>
              </w:rPr>
              <w:t>用途</w:t>
            </w:r>
          </w:p>
        </w:tc>
        <w:tc>
          <w:tcPr>
            <w:tcW w:w="3920" w:type="dxa"/>
            <w:tcBorders>
              <w:top w:val="single" w:color="000000" w:sz="4" w:space="0"/>
              <w:bottom w:val="single" w:color="000000" w:sz="4" w:space="0"/>
            </w:tcBorders>
            <w:shd w:val="clear" w:color="auto" w:fill="CBCCCC"/>
            <w:vAlign w:val="top"/>
          </w:tcPr>
          <w:p w14:paraId="1AC76483">
            <w:pPr>
              <w:pStyle w:val="6"/>
              <w:spacing w:before="116" w:line="219" w:lineRule="auto"/>
              <w:ind w:left="100"/>
            </w:pPr>
            <w:r>
              <w:rPr>
                <w:spacing w:val="-1"/>
              </w:rPr>
              <w:t>反映疾病现患状况或慢性病流行情况</w:t>
            </w:r>
          </w:p>
        </w:tc>
        <w:tc>
          <w:tcPr>
            <w:tcW w:w="3849" w:type="dxa"/>
            <w:tcBorders>
              <w:top w:val="single" w:color="000000" w:sz="4" w:space="0"/>
              <w:bottom w:val="single" w:color="000000" w:sz="4" w:space="0"/>
            </w:tcBorders>
            <w:shd w:val="clear" w:color="auto" w:fill="C8C8C8"/>
            <w:vAlign w:val="top"/>
          </w:tcPr>
          <w:p w14:paraId="48FEE250">
            <w:pPr>
              <w:pStyle w:val="6"/>
              <w:spacing w:before="116" w:line="220" w:lineRule="auto"/>
              <w:ind w:left="90"/>
            </w:pPr>
            <w:r>
              <w:rPr>
                <w:spacing w:val="1"/>
              </w:rPr>
              <w:t>反映疾病流行强度</w:t>
            </w:r>
          </w:p>
        </w:tc>
      </w:tr>
      <w:tr w14:paraId="05488D71">
        <w:trPr>
          <w:trHeight w:val="674" w:hRule="atLeast"/>
        </w:trPr>
        <w:tc>
          <w:tcPr>
            <w:tcW w:w="1500" w:type="dxa"/>
            <w:tcBorders>
              <w:top w:val="single" w:color="000000" w:sz="4" w:space="0"/>
              <w:bottom w:val="single" w:color="000000" w:sz="4" w:space="0"/>
            </w:tcBorders>
            <w:vAlign w:val="top"/>
          </w:tcPr>
          <w:p w14:paraId="5732FAD4">
            <w:pPr>
              <w:pStyle w:val="6"/>
              <w:spacing w:before="247" w:line="219" w:lineRule="auto"/>
              <w:ind w:left="130"/>
            </w:pPr>
            <w:r>
              <w:rPr>
                <w:spacing w:val="-2"/>
              </w:rPr>
              <w:t>影响因素</w:t>
            </w:r>
          </w:p>
        </w:tc>
        <w:tc>
          <w:tcPr>
            <w:tcW w:w="3920" w:type="dxa"/>
            <w:tcBorders>
              <w:top w:val="single" w:color="000000" w:sz="4" w:space="0"/>
              <w:bottom w:val="single" w:color="000000" w:sz="4" w:space="0"/>
            </w:tcBorders>
            <w:vAlign w:val="top"/>
          </w:tcPr>
          <w:p w14:paraId="63ACDD19">
            <w:pPr>
              <w:pStyle w:val="6"/>
              <w:spacing w:before="107" w:line="257" w:lineRule="auto"/>
              <w:ind w:left="100"/>
            </w:pPr>
            <w:r>
              <w:rPr>
                <w:spacing w:val="1"/>
              </w:rPr>
              <w:t>较多，影响发病率变动的因素、病后结局及</w:t>
            </w:r>
            <w:r>
              <w:t xml:space="preserve"> </w:t>
            </w:r>
            <w:r>
              <w:rPr>
                <w:spacing w:val="-2"/>
              </w:rPr>
              <w:t>病人病程等</w:t>
            </w:r>
          </w:p>
        </w:tc>
        <w:tc>
          <w:tcPr>
            <w:tcW w:w="3849" w:type="dxa"/>
            <w:tcBorders>
              <w:top w:val="single" w:color="000000" w:sz="4" w:space="0"/>
              <w:bottom w:val="single" w:color="000000" w:sz="4" w:space="0"/>
            </w:tcBorders>
            <w:vAlign w:val="top"/>
          </w:tcPr>
          <w:p w14:paraId="4F9C8A28">
            <w:pPr>
              <w:pStyle w:val="6"/>
              <w:spacing w:before="115" w:line="253" w:lineRule="auto"/>
              <w:ind w:left="100" w:right="156"/>
            </w:pPr>
            <w:r>
              <w:rPr>
                <w:spacing w:val="-1"/>
              </w:rPr>
              <w:t>相对少，致病因素暴露程度、疾病诊断水</w:t>
            </w:r>
            <w:r>
              <w:rPr>
                <w:spacing w:val="9"/>
              </w:rPr>
              <w:t xml:space="preserve"> </w:t>
            </w:r>
            <w:r>
              <w:rPr>
                <w:spacing w:val="3"/>
              </w:rPr>
              <w:t>平、疾病报告质量等</w:t>
            </w:r>
          </w:p>
        </w:tc>
      </w:tr>
    </w:tbl>
    <w:p w14:paraId="2649EA30">
      <w:pPr>
        <w:spacing w:line="320" w:lineRule="auto"/>
        <w:rPr>
          <w:rFonts w:ascii="Arial"/>
          <w:sz w:val="21"/>
        </w:rPr>
      </w:pPr>
    </w:p>
    <w:p w14:paraId="307629ED">
      <w:pPr>
        <w:pStyle w:val="2"/>
        <w:spacing w:before="69" w:line="223" w:lineRule="auto"/>
        <w:ind w:left="433"/>
        <w:rPr>
          <w:sz w:val="21"/>
          <w:szCs w:val="21"/>
        </w:rPr>
      </w:pPr>
      <w:r>
        <w:rPr>
          <w:b/>
          <w:bCs/>
          <w:spacing w:val="-16"/>
          <w:sz w:val="21"/>
          <w:szCs w:val="21"/>
        </w:rPr>
        <w:t>(</w:t>
      </w:r>
      <w:r>
        <w:rPr>
          <w:spacing w:val="-39"/>
          <w:sz w:val="21"/>
          <w:szCs w:val="21"/>
        </w:rPr>
        <w:t xml:space="preserve"> </w:t>
      </w:r>
      <w:r>
        <w:rPr>
          <w:b/>
          <w:bCs/>
          <w:spacing w:val="-16"/>
          <w:sz w:val="21"/>
          <w:szCs w:val="21"/>
        </w:rPr>
        <w:t>二</w:t>
      </w:r>
      <w:r>
        <w:rPr>
          <w:spacing w:val="-48"/>
          <w:sz w:val="21"/>
          <w:szCs w:val="21"/>
        </w:rPr>
        <w:t xml:space="preserve"> </w:t>
      </w:r>
      <w:r>
        <w:rPr>
          <w:b/>
          <w:bCs/>
          <w:spacing w:val="-16"/>
          <w:sz w:val="21"/>
          <w:szCs w:val="21"/>
        </w:rPr>
        <w:t>)</w:t>
      </w:r>
      <w:r>
        <w:rPr>
          <w:spacing w:val="-44"/>
          <w:sz w:val="21"/>
          <w:szCs w:val="21"/>
        </w:rPr>
        <w:t xml:space="preserve"> </w:t>
      </w:r>
      <w:r>
        <w:rPr>
          <w:b/>
          <w:bCs/>
          <w:spacing w:val="-16"/>
          <w:sz w:val="21"/>
          <w:szCs w:val="21"/>
        </w:rPr>
        <w:t>感</w:t>
      </w:r>
      <w:r>
        <w:rPr>
          <w:spacing w:val="-46"/>
          <w:sz w:val="21"/>
          <w:szCs w:val="21"/>
        </w:rPr>
        <w:t xml:space="preserve"> </w:t>
      </w:r>
      <w:r>
        <w:rPr>
          <w:b/>
          <w:bCs/>
          <w:spacing w:val="-16"/>
          <w:sz w:val="21"/>
          <w:szCs w:val="21"/>
        </w:rPr>
        <w:t>染</w:t>
      </w:r>
      <w:r>
        <w:rPr>
          <w:spacing w:val="-42"/>
          <w:sz w:val="21"/>
          <w:szCs w:val="21"/>
        </w:rPr>
        <w:t xml:space="preserve"> </w:t>
      </w:r>
      <w:r>
        <w:rPr>
          <w:b/>
          <w:bCs/>
          <w:spacing w:val="-16"/>
          <w:sz w:val="21"/>
          <w:szCs w:val="21"/>
        </w:rPr>
        <w:t>率</w:t>
      </w:r>
    </w:p>
    <w:p w14:paraId="53EC90C5">
      <w:pPr>
        <w:spacing w:before="74" w:line="270" w:lineRule="auto"/>
        <w:ind w:left="60" w:right="682" w:firstLine="369"/>
        <w:rPr>
          <w:rFonts w:ascii="宋体" w:hAnsi="宋体" w:eastAsia="宋体" w:cs="宋体"/>
          <w:sz w:val="21"/>
          <w:szCs w:val="21"/>
        </w:rPr>
      </w:pPr>
      <w:r>
        <w:rPr>
          <w:rFonts w:ascii="宋体" w:hAnsi="宋体" w:eastAsia="宋体" w:cs="宋体"/>
          <w:spacing w:val="8"/>
          <w:sz w:val="21"/>
          <w:szCs w:val="21"/>
        </w:rPr>
        <w:t>感染率</w:t>
      </w:r>
      <w:r>
        <w:rPr>
          <w:rFonts w:ascii="Times New Roman" w:hAnsi="Times New Roman" w:eastAsia="Times New Roman" w:cs="Times New Roman"/>
          <w:spacing w:val="8"/>
          <w:sz w:val="21"/>
          <w:szCs w:val="21"/>
        </w:rPr>
        <w:t>(</w:t>
      </w:r>
      <w:r>
        <w:rPr>
          <w:rFonts w:ascii="Times New Roman" w:hAnsi="Times New Roman" w:eastAsia="Times New Roman" w:cs="Times New Roman"/>
          <w:sz w:val="21"/>
          <w:szCs w:val="21"/>
        </w:rPr>
        <w:t>prevalence</w:t>
      </w:r>
      <w:r>
        <w:rPr>
          <w:rFonts w:ascii="Times New Roman" w:hAnsi="Times New Roman" w:eastAsia="Times New Roman" w:cs="Times New Roman"/>
          <w:spacing w:val="26"/>
          <w:sz w:val="21"/>
          <w:szCs w:val="21"/>
        </w:rPr>
        <w:t xml:space="preserve">  </w:t>
      </w:r>
      <w:r>
        <w:rPr>
          <w:rFonts w:ascii="Times New Roman" w:hAnsi="Times New Roman" w:eastAsia="Times New Roman" w:cs="Times New Roman"/>
          <w:sz w:val="21"/>
          <w:szCs w:val="21"/>
        </w:rPr>
        <w:t>of</w:t>
      </w:r>
      <w:r>
        <w:rPr>
          <w:rFonts w:ascii="Times New Roman" w:hAnsi="Times New Roman" w:eastAsia="Times New Roman" w:cs="Times New Roman"/>
          <w:spacing w:val="8"/>
          <w:sz w:val="21"/>
          <w:szCs w:val="21"/>
        </w:rPr>
        <w:t xml:space="preserve">  </w:t>
      </w:r>
      <w:r>
        <w:rPr>
          <w:rFonts w:ascii="Times New Roman" w:hAnsi="Times New Roman" w:eastAsia="Times New Roman" w:cs="Times New Roman"/>
          <w:sz w:val="21"/>
          <w:szCs w:val="21"/>
        </w:rPr>
        <w:t>infection</w:t>
      </w:r>
      <w:r>
        <w:rPr>
          <w:rFonts w:ascii="Times New Roman" w:hAnsi="Times New Roman" w:eastAsia="Times New Roman" w:cs="Times New Roman"/>
          <w:spacing w:val="8"/>
          <w:sz w:val="21"/>
          <w:szCs w:val="21"/>
        </w:rPr>
        <w:t>)</w:t>
      </w:r>
      <w:r>
        <w:rPr>
          <w:rFonts w:ascii="宋体" w:hAnsi="宋体" w:eastAsia="宋体" w:cs="宋体"/>
          <w:spacing w:val="8"/>
          <w:sz w:val="21"/>
          <w:szCs w:val="21"/>
        </w:rPr>
        <w:t>是指在某时间内受检人群中某病</w:t>
      </w:r>
      <w:r>
        <w:rPr>
          <w:rFonts w:ascii="宋体" w:hAnsi="宋体" w:eastAsia="宋体" w:cs="宋体"/>
          <w:spacing w:val="7"/>
          <w:sz w:val="21"/>
          <w:szCs w:val="21"/>
        </w:rPr>
        <w:t>原体现有的感染人数所占的比</w:t>
      </w:r>
      <w:r>
        <w:rPr>
          <w:rFonts w:ascii="宋体" w:hAnsi="宋体" w:eastAsia="宋体" w:cs="宋体"/>
          <w:sz w:val="21"/>
          <w:szCs w:val="21"/>
        </w:rPr>
        <w:t xml:space="preserve"> </w:t>
      </w:r>
      <w:r>
        <w:rPr>
          <w:rFonts w:ascii="宋体" w:hAnsi="宋体" w:eastAsia="宋体" w:cs="宋体"/>
          <w:spacing w:val="4"/>
          <w:sz w:val="21"/>
          <w:szCs w:val="21"/>
        </w:rPr>
        <w:t>例，通常用百分率表示。感染率的性质与患病率</w:t>
      </w:r>
      <w:r>
        <w:rPr>
          <w:rFonts w:ascii="宋体" w:hAnsi="宋体" w:eastAsia="宋体" w:cs="宋体"/>
          <w:spacing w:val="3"/>
          <w:sz w:val="21"/>
          <w:szCs w:val="21"/>
        </w:rPr>
        <w:t>相似。</w:t>
      </w:r>
    </w:p>
    <w:p w14:paraId="476815E8">
      <w:pPr>
        <w:spacing w:line="270" w:lineRule="auto"/>
        <w:rPr>
          <w:rFonts w:ascii="宋体" w:hAnsi="宋体" w:eastAsia="宋体" w:cs="宋体"/>
          <w:sz w:val="21"/>
          <w:szCs w:val="21"/>
        </w:rPr>
        <w:sectPr>
          <w:type w:val="continuous"/>
          <w:pgSz w:w="11900" w:h="16820"/>
          <w:pgMar w:top="400" w:right="704" w:bottom="886" w:left="1289" w:header="0" w:footer="697" w:gutter="0"/>
          <w:cols w:equalWidth="0" w:num="1">
            <w:col w:w="9906"/>
          </w:cols>
        </w:sectPr>
      </w:pPr>
    </w:p>
    <w:p w14:paraId="25BF7D73">
      <w:pPr>
        <w:pStyle w:val="2"/>
        <w:spacing w:before="196" w:line="221" w:lineRule="auto"/>
        <w:ind w:left="720"/>
        <w:rPr>
          <w:sz w:val="20"/>
          <w:szCs w:val="20"/>
        </w:rPr>
      </w:pPr>
      <w:r>
        <w:rPr>
          <w:spacing w:val="-16"/>
          <w:sz w:val="20"/>
          <w:szCs w:val="20"/>
        </w:rPr>
        <w:t>第二章疾病的分布</w:t>
      </w:r>
    </w:p>
    <w:p w14:paraId="7881FF95">
      <w:pPr>
        <w:spacing w:line="357" w:lineRule="auto"/>
        <w:rPr>
          <w:rFonts w:ascii="Arial"/>
          <w:sz w:val="21"/>
        </w:rPr>
      </w:pPr>
    </w:p>
    <w:p w14:paraId="10ACC0B8">
      <w:pPr>
        <w:spacing w:line="357" w:lineRule="auto"/>
        <w:rPr>
          <w:rFonts w:ascii="Arial"/>
          <w:sz w:val="21"/>
        </w:rPr>
      </w:pPr>
      <w:r>
        <w:drawing>
          <wp:anchor distT="0" distB="0" distL="0" distR="0" simplePos="0" relativeHeight="251682816" behindDoc="0" locked="0" layoutInCell="1" allowOverlap="1">
            <wp:simplePos x="0" y="0"/>
            <wp:positionH relativeFrom="column">
              <wp:posOffset>2209800</wp:posOffset>
            </wp:positionH>
            <wp:positionV relativeFrom="paragraph">
              <wp:posOffset>154940</wp:posOffset>
            </wp:positionV>
            <wp:extent cx="1955800" cy="342900"/>
            <wp:effectExtent l="0" t="0" r="0" b="0"/>
            <wp:wrapNone/>
            <wp:docPr id="80" name="IM 80"/>
            <wp:cNvGraphicFramePr/>
            <a:graphic xmlns:a="http://schemas.openxmlformats.org/drawingml/2006/main">
              <a:graphicData uri="http://schemas.openxmlformats.org/drawingml/2006/picture">
                <pic:pic xmlns:pic="http://schemas.openxmlformats.org/drawingml/2006/picture">
                  <pic:nvPicPr>
                    <pic:cNvPr id="80" name="IM 80"/>
                    <pic:cNvPicPr/>
                  </pic:nvPicPr>
                  <pic:blipFill>
                    <a:blip r:embed="rId436"/>
                    <a:stretch>
                      <a:fillRect/>
                    </a:stretch>
                  </pic:blipFill>
                  <pic:spPr>
                    <a:xfrm>
                      <a:off x="0" y="0"/>
                      <a:ext cx="1955773" cy="342957"/>
                    </a:xfrm>
                    <a:prstGeom prst="rect">
                      <a:avLst/>
                    </a:prstGeom>
                  </pic:spPr>
                </pic:pic>
              </a:graphicData>
            </a:graphic>
          </wp:anchor>
        </w:drawing>
      </w:r>
    </w:p>
    <w:p w14:paraId="3BD7024E">
      <w:pPr>
        <w:spacing w:before="65" w:line="221" w:lineRule="auto"/>
        <w:ind w:left="8590"/>
        <w:rPr>
          <w:rFonts w:ascii="宋体" w:hAnsi="宋体" w:eastAsia="宋体" w:cs="宋体"/>
          <w:sz w:val="20"/>
          <w:szCs w:val="20"/>
        </w:rPr>
      </w:pPr>
      <w:r>
        <w:rPr>
          <w:rFonts w:ascii="宋体" w:hAnsi="宋体" w:eastAsia="宋体" w:cs="宋体"/>
          <w:spacing w:val="12"/>
          <w:sz w:val="20"/>
          <w:szCs w:val="20"/>
        </w:rPr>
        <w:t>式(2-7)</w:t>
      </w:r>
    </w:p>
    <w:p w14:paraId="121C3A41">
      <w:pPr>
        <w:spacing w:line="341" w:lineRule="auto"/>
        <w:rPr>
          <w:rFonts w:ascii="Arial"/>
          <w:sz w:val="21"/>
        </w:rPr>
      </w:pPr>
    </w:p>
    <w:p w14:paraId="200765DC">
      <w:pPr>
        <w:spacing w:before="65" w:line="348" w:lineRule="auto"/>
        <w:ind w:left="689" w:right="66" w:firstLine="410"/>
        <w:jc w:val="both"/>
        <w:rPr>
          <w:rFonts w:ascii="宋体" w:hAnsi="宋体" w:eastAsia="宋体" w:cs="宋体"/>
          <w:sz w:val="20"/>
          <w:szCs w:val="20"/>
        </w:rPr>
      </w:pPr>
      <w:r>
        <w:rPr>
          <w:rFonts w:ascii="宋体" w:hAnsi="宋体" w:eastAsia="宋体" w:cs="宋体"/>
          <w:spacing w:val="1"/>
          <w:sz w:val="20"/>
          <w:szCs w:val="20"/>
        </w:rPr>
        <w:t>感染率在流行病学工作中应用较广泛，特别是对那些隐性感染、病原携带</w:t>
      </w:r>
      <w:r>
        <w:rPr>
          <w:rFonts w:ascii="宋体" w:hAnsi="宋体" w:eastAsia="宋体" w:cs="宋体"/>
          <w:sz w:val="20"/>
          <w:szCs w:val="20"/>
        </w:rPr>
        <w:t xml:space="preserve">者及轻型和不典型病 </w:t>
      </w:r>
      <w:r>
        <w:rPr>
          <w:rFonts w:ascii="宋体" w:hAnsi="宋体" w:eastAsia="宋体" w:cs="宋体"/>
          <w:spacing w:val="1"/>
          <w:sz w:val="20"/>
          <w:szCs w:val="20"/>
        </w:rPr>
        <w:t>例的调查较为常用。可通过检出某病的病原体发现感</w:t>
      </w:r>
      <w:r>
        <w:rPr>
          <w:rFonts w:ascii="宋体" w:hAnsi="宋体" w:eastAsia="宋体" w:cs="宋体"/>
          <w:sz w:val="20"/>
          <w:szCs w:val="20"/>
        </w:rPr>
        <w:t xml:space="preserve">染者，也可用血清学、分子生物学等方法检出 </w:t>
      </w:r>
      <w:r>
        <w:rPr>
          <w:rFonts w:ascii="宋体" w:hAnsi="宋体" w:eastAsia="宋体" w:cs="宋体"/>
          <w:spacing w:val="6"/>
          <w:sz w:val="20"/>
          <w:szCs w:val="20"/>
        </w:rPr>
        <w:t>感染者。感染率常用于研究某些传染病或寄生虫病的感染情况和评</w:t>
      </w:r>
      <w:r>
        <w:rPr>
          <w:rFonts w:ascii="宋体" w:hAnsi="宋体" w:eastAsia="宋体" w:cs="宋体"/>
          <w:spacing w:val="5"/>
          <w:sz w:val="20"/>
          <w:szCs w:val="20"/>
        </w:rPr>
        <w:t>价防制工作的效果，为估计某</w:t>
      </w:r>
      <w:r>
        <w:rPr>
          <w:rFonts w:ascii="宋体" w:hAnsi="宋体" w:eastAsia="宋体" w:cs="宋体"/>
          <w:sz w:val="20"/>
          <w:szCs w:val="20"/>
        </w:rPr>
        <w:t xml:space="preserve"> 病的流行态势和制定防制措施提供依据，也是评价人群健康状况的常用指标。</w:t>
      </w:r>
    </w:p>
    <w:p w14:paraId="4DF64773">
      <w:pPr>
        <w:pStyle w:val="2"/>
        <w:spacing w:before="201" w:line="222" w:lineRule="auto"/>
        <w:ind w:left="1120"/>
        <w:outlineLvl w:val="2"/>
        <w:rPr>
          <w:sz w:val="20"/>
          <w:szCs w:val="20"/>
        </w:rPr>
      </w:pPr>
      <w:bookmarkStart w:id="33" w:name="bookmark1"/>
      <w:bookmarkEnd w:id="33"/>
      <w:r>
        <w:rPr>
          <w:spacing w:val="32"/>
          <w:sz w:val="20"/>
          <w:szCs w:val="20"/>
        </w:rPr>
        <w:t>三 、死亡与生存频率指标</w:t>
      </w:r>
    </w:p>
    <w:p w14:paraId="207D6932">
      <w:pPr>
        <w:pStyle w:val="2"/>
        <w:spacing w:before="291" w:line="223" w:lineRule="auto"/>
        <w:ind w:left="1100"/>
        <w:rPr>
          <w:sz w:val="20"/>
          <w:szCs w:val="20"/>
        </w:rPr>
      </w:pPr>
      <w:r>
        <w:rPr>
          <w:spacing w:val="12"/>
          <w:sz w:val="20"/>
          <w:szCs w:val="20"/>
        </w:rPr>
        <w:t>(</w:t>
      </w:r>
      <w:r>
        <w:rPr>
          <w:spacing w:val="-44"/>
          <w:sz w:val="20"/>
          <w:szCs w:val="20"/>
        </w:rPr>
        <w:t xml:space="preserve"> </w:t>
      </w:r>
      <w:r>
        <w:rPr>
          <w:spacing w:val="12"/>
          <w:sz w:val="20"/>
          <w:szCs w:val="20"/>
        </w:rPr>
        <w:t>一</w:t>
      </w:r>
      <w:r>
        <w:rPr>
          <w:spacing w:val="-50"/>
          <w:sz w:val="20"/>
          <w:szCs w:val="20"/>
        </w:rPr>
        <w:t xml:space="preserve"> </w:t>
      </w:r>
      <w:r>
        <w:rPr>
          <w:spacing w:val="12"/>
          <w:sz w:val="20"/>
          <w:szCs w:val="20"/>
        </w:rPr>
        <w:t>)死亡率</w:t>
      </w:r>
    </w:p>
    <w:p w14:paraId="0F0843D4">
      <w:pPr>
        <w:spacing w:before="134" w:line="341" w:lineRule="auto"/>
        <w:ind w:left="689" w:right="87" w:firstLine="430"/>
        <w:jc w:val="both"/>
        <w:rPr>
          <w:rFonts w:ascii="宋体" w:hAnsi="宋体" w:eastAsia="宋体" w:cs="宋体"/>
          <w:sz w:val="20"/>
          <w:szCs w:val="20"/>
        </w:rPr>
      </w:pPr>
      <w:r>
        <w:rPr>
          <w:rFonts w:ascii="宋体" w:hAnsi="宋体" w:eastAsia="宋体" w:cs="宋体"/>
          <w:spacing w:val="1"/>
          <w:sz w:val="20"/>
          <w:szCs w:val="20"/>
        </w:rPr>
        <w:t>1.</w:t>
      </w:r>
      <w:r>
        <w:rPr>
          <w:rFonts w:ascii="宋体" w:hAnsi="宋体" w:eastAsia="宋体" w:cs="宋体"/>
          <w:spacing w:val="-18"/>
          <w:sz w:val="20"/>
          <w:szCs w:val="20"/>
        </w:rPr>
        <w:t xml:space="preserve"> </w:t>
      </w:r>
      <w:r>
        <w:rPr>
          <w:rFonts w:ascii="宋体" w:hAnsi="宋体" w:eastAsia="宋体" w:cs="宋体"/>
          <w:spacing w:val="1"/>
          <w:sz w:val="20"/>
          <w:szCs w:val="20"/>
        </w:rPr>
        <w:t>定</w:t>
      </w:r>
      <w:r>
        <w:rPr>
          <w:rFonts w:ascii="宋体" w:hAnsi="宋体" w:eastAsia="宋体" w:cs="宋体"/>
          <w:spacing w:val="-22"/>
          <w:sz w:val="20"/>
          <w:szCs w:val="20"/>
        </w:rPr>
        <w:t xml:space="preserve"> </w:t>
      </w:r>
      <w:r>
        <w:rPr>
          <w:rFonts w:ascii="宋体" w:hAnsi="宋体" w:eastAsia="宋体" w:cs="宋体"/>
          <w:spacing w:val="1"/>
          <w:sz w:val="20"/>
          <w:szCs w:val="20"/>
        </w:rPr>
        <w:t>义</w:t>
      </w:r>
      <w:r>
        <w:rPr>
          <w:rFonts w:ascii="宋体" w:hAnsi="宋体" w:eastAsia="宋体" w:cs="宋体"/>
          <w:spacing w:val="-23"/>
          <w:sz w:val="20"/>
          <w:szCs w:val="20"/>
        </w:rPr>
        <w:t xml:space="preserve"> </w:t>
      </w:r>
      <w:r>
        <w:rPr>
          <w:rFonts w:ascii="宋体" w:hAnsi="宋体" w:eastAsia="宋体" w:cs="宋体"/>
          <w:spacing w:val="1"/>
          <w:sz w:val="20"/>
          <w:szCs w:val="20"/>
        </w:rPr>
        <w:t>死</w:t>
      </w:r>
      <w:r>
        <w:rPr>
          <w:rFonts w:ascii="宋体" w:hAnsi="宋体" w:eastAsia="宋体" w:cs="宋体"/>
          <w:spacing w:val="-23"/>
          <w:sz w:val="20"/>
          <w:szCs w:val="20"/>
        </w:rPr>
        <w:t xml:space="preserve"> </w:t>
      </w:r>
      <w:r>
        <w:rPr>
          <w:rFonts w:ascii="宋体" w:hAnsi="宋体" w:eastAsia="宋体" w:cs="宋体"/>
          <w:spacing w:val="1"/>
          <w:sz w:val="20"/>
          <w:szCs w:val="20"/>
        </w:rPr>
        <w:t>亡</w:t>
      </w:r>
      <w:r>
        <w:rPr>
          <w:rFonts w:ascii="宋体" w:hAnsi="宋体" w:eastAsia="宋体" w:cs="宋体"/>
          <w:spacing w:val="-22"/>
          <w:sz w:val="20"/>
          <w:szCs w:val="20"/>
        </w:rPr>
        <w:t xml:space="preserve"> </w:t>
      </w:r>
      <w:r>
        <w:rPr>
          <w:rFonts w:ascii="宋体" w:hAnsi="宋体" w:eastAsia="宋体" w:cs="宋体"/>
          <w:spacing w:val="1"/>
          <w:sz w:val="20"/>
          <w:szCs w:val="20"/>
        </w:rPr>
        <w:t>率</w:t>
      </w:r>
      <w:r>
        <w:rPr>
          <w:rFonts w:ascii="Times New Roman" w:hAnsi="Times New Roman" w:eastAsia="Times New Roman" w:cs="Times New Roman"/>
          <w:spacing w:val="1"/>
          <w:sz w:val="20"/>
          <w:szCs w:val="20"/>
        </w:rPr>
        <w:t>(</w:t>
      </w:r>
      <w:r>
        <w:rPr>
          <w:rFonts w:ascii="Times New Roman" w:hAnsi="Times New Roman" w:eastAsia="Times New Roman" w:cs="Times New Roman"/>
          <w:sz w:val="20"/>
          <w:szCs w:val="20"/>
        </w:rPr>
        <w:t>mortality</w:t>
      </w:r>
      <w:r>
        <w:rPr>
          <w:rFonts w:ascii="Times New Roman" w:hAnsi="Times New Roman" w:eastAsia="Times New Roman" w:cs="Times New Roman"/>
          <w:spacing w:val="1"/>
          <w:sz w:val="20"/>
          <w:szCs w:val="20"/>
        </w:rPr>
        <w:t xml:space="preserve">    </w:t>
      </w:r>
      <w:r>
        <w:rPr>
          <w:rFonts w:ascii="Times New Roman" w:hAnsi="Times New Roman" w:eastAsia="Times New Roman" w:cs="Times New Roman"/>
          <w:sz w:val="20"/>
          <w:szCs w:val="20"/>
        </w:rPr>
        <w:t>rate</w:t>
      </w:r>
      <w:r>
        <w:rPr>
          <w:rFonts w:ascii="Times New Roman" w:hAnsi="Times New Roman" w:eastAsia="Times New Roman" w:cs="Times New Roman"/>
          <w:spacing w:val="1"/>
          <w:sz w:val="20"/>
          <w:szCs w:val="20"/>
        </w:rPr>
        <w:t>)</w:t>
      </w:r>
      <w:r>
        <w:rPr>
          <w:rFonts w:ascii="宋体" w:hAnsi="宋体" w:eastAsia="宋体" w:cs="宋体"/>
          <w:spacing w:val="1"/>
          <w:sz w:val="20"/>
          <w:szCs w:val="20"/>
        </w:rPr>
        <w:t>指在一定期间内，某人群中总死亡人数在该人</w:t>
      </w:r>
      <w:r>
        <w:rPr>
          <w:rFonts w:ascii="宋体" w:hAnsi="宋体" w:eastAsia="宋体" w:cs="宋体"/>
          <w:sz w:val="20"/>
          <w:szCs w:val="20"/>
        </w:rPr>
        <w:t>群中所占的比 例，是测量人群死亡危险最常用的指标。其分子为死亡人数，分母为该人群同期平均人口数。观察</w:t>
      </w:r>
      <w:r>
        <w:rPr>
          <w:rFonts w:ascii="宋体" w:hAnsi="宋体" w:eastAsia="宋体" w:cs="宋体"/>
          <w:spacing w:val="18"/>
          <w:sz w:val="20"/>
          <w:szCs w:val="20"/>
        </w:rPr>
        <w:t xml:space="preserve"> </w:t>
      </w:r>
      <w:r>
        <w:rPr>
          <w:rFonts w:ascii="宋体" w:hAnsi="宋体" w:eastAsia="宋体" w:cs="宋体"/>
          <w:spacing w:val="1"/>
          <w:sz w:val="20"/>
          <w:szCs w:val="20"/>
        </w:rPr>
        <w:t>时间常以年为单位。</w:t>
      </w:r>
    </w:p>
    <w:p w14:paraId="50FB80D4">
      <w:pPr>
        <w:spacing w:line="279" w:lineRule="auto"/>
        <w:rPr>
          <w:rFonts w:ascii="Arial"/>
          <w:sz w:val="21"/>
        </w:rPr>
      </w:pPr>
      <w:r>
        <w:drawing>
          <wp:anchor distT="0" distB="0" distL="0" distR="0" simplePos="0" relativeHeight="251681792" behindDoc="0" locked="0" layoutInCell="1" allowOverlap="1">
            <wp:simplePos x="0" y="0"/>
            <wp:positionH relativeFrom="column">
              <wp:posOffset>2178050</wp:posOffset>
            </wp:positionH>
            <wp:positionV relativeFrom="paragraph">
              <wp:posOffset>99060</wp:posOffset>
            </wp:positionV>
            <wp:extent cx="2006600" cy="355600"/>
            <wp:effectExtent l="0" t="0" r="0" b="0"/>
            <wp:wrapNone/>
            <wp:docPr id="82" name="IM 82"/>
            <wp:cNvGraphicFramePr/>
            <a:graphic xmlns:a="http://schemas.openxmlformats.org/drawingml/2006/main">
              <a:graphicData uri="http://schemas.openxmlformats.org/drawingml/2006/picture">
                <pic:pic xmlns:pic="http://schemas.openxmlformats.org/drawingml/2006/picture">
                  <pic:nvPicPr>
                    <pic:cNvPr id="82" name="IM 82"/>
                    <pic:cNvPicPr/>
                  </pic:nvPicPr>
                  <pic:blipFill>
                    <a:blip r:embed="rId437"/>
                    <a:stretch>
                      <a:fillRect/>
                    </a:stretch>
                  </pic:blipFill>
                  <pic:spPr>
                    <a:xfrm>
                      <a:off x="0" y="0"/>
                      <a:ext cx="2006552" cy="355560"/>
                    </a:xfrm>
                    <a:prstGeom prst="rect">
                      <a:avLst/>
                    </a:prstGeom>
                  </pic:spPr>
                </pic:pic>
              </a:graphicData>
            </a:graphic>
          </wp:anchor>
        </w:drawing>
      </w:r>
    </w:p>
    <w:p w14:paraId="69F1F4CD">
      <w:pPr>
        <w:spacing w:before="65" w:line="221" w:lineRule="auto"/>
        <w:ind w:left="8600"/>
        <w:rPr>
          <w:rFonts w:ascii="宋体" w:hAnsi="宋体" w:eastAsia="宋体" w:cs="宋体"/>
          <w:sz w:val="20"/>
          <w:szCs w:val="20"/>
        </w:rPr>
      </w:pPr>
      <w:r>
        <w:rPr>
          <w:rFonts w:ascii="宋体" w:hAnsi="宋体" w:eastAsia="宋体" w:cs="宋体"/>
          <w:spacing w:val="10"/>
          <w:sz w:val="20"/>
          <w:szCs w:val="20"/>
        </w:rPr>
        <w:t>式(2-8)</w:t>
      </w:r>
    </w:p>
    <w:p w14:paraId="4F625FAE">
      <w:pPr>
        <w:spacing w:line="322" w:lineRule="auto"/>
        <w:rPr>
          <w:rFonts w:ascii="Arial"/>
          <w:sz w:val="21"/>
        </w:rPr>
      </w:pPr>
    </w:p>
    <w:p w14:paraId="4FA79EA4">
      <w:pPr>
        <w:spacing w:before="66" w:line="219" w:lineRule="auto"/>
        <w:ind w:left="709"/>
        <w:rPr>
          <w:rFonts w:ascii="宋体" w:hAnsi="宋体" w:eastAsia="宋体" w:cs="宋体"/>
          <w:sz w:val="20"/>
          <w:szCs w:val="20"/>
        </w:rPr>
      </w:pPr>
      <w:r>
        <w:rPr>
          <w:rFonts w:ascii="宋体" w:hAnsi="宋体" w:eastAsia="宋体" w:cs="宋体"/>
          <w:spacing w:val="2"/>
          <w:sz w:val="20"/>
          <w:szCs w:val="20"/>
        </w:rPr>
        <w:t>式中，</w:t>
      </w:r>
      <w:r>
        <w:rPr>
          <w:rFonts w:ascii="Times New Roman" w:hAnsi="Times New Roman" w:eastAsia="Times New Roman" w:cs="Times New Roman"/>
          <w:spacing w:val="2"/>
          <w:sz w:val="20"/>
          <w:szCs w:val="20"/>
        </w:rPr>
        <w:t>K</w:t>
      </w:r>
      <w:r>
        <w:rPr>
          <w:rFonts w:ascii="宋体" w:hAnsi="宋体" w:eastAsia="宋体" w:cs="宋体"/>
          <w:spacing w:val="2"/>
          <w:sz w:val="20"/>
          <w:szCs w:val="20"/>
        </w:rPr>
        <w:t>的取值一般为1000‰。</w:t>
      </w:r>
    </w:p>
    <w:p w14:paraId="2D3FC7ED">
      <w:pPr>
        <w:spacing w:before="161" w:line="344" w:lineRule="auto"/>
        <w:ind w:left="689" w:right="103" w:firstLine="410"/>
        <w:jc w:val="both"/>
        <w:rPr>
          <w:rFonts w:ascii="宋体" w:hAnsi="宋体" w:eastAsia="宋体" w:cs="宋体"/>
          <w:sz w:val="20"/>
          <w:szCs w:val="20"/>
        </w:rPr>
      </w:pPr>
      <w:r>
        <w:rPr>
          <w:rFonts w:ascii="宋体" w:hAnsi="宋体" w:eastAsia="宋体" w:cs="宋体"/>
          <w:spacing w:val="-4"/>
          <w:sz w:val="20"/>
          <w:szCs w:val="20"/>
        </w:rPr>
        <w:t>根据式(2-8)计算所得的死亡率也称粗死亡率(crude death rate),是反映一个人群总死亡水平的</w:t>
      </w:r>
      <w:r>
        <w:rPr>
          <w:rFonts w:ascii="宋体" w:hAnsi="宋体" w:eastAsia="宋体" w:cs="宋体"/>
          <w:spacing w:val="10"/>
          <w:sz w:val="20"/>
          <w:szCs w:val="20"/>
        </w:rPr>
        <w:t xml:space="preserve"> </w:t>
      </w:r>
      <w:r>
        <w:rPr>
          <w:rFonts w:ascii="宋体" w:hAnsi="宋体" w:eastAsia="宋体" w:cs="宋体"/>
          <w:spacing w:val="5"/>
          <w:sz w:val="20"/>
          <w:szCs w:val="20"/>
        </w:rPr>
        <w:t>指标。不同地区死亡率进行比较时需将死亡率标准化处理，标化后的死亡率称为标化</w:t>
      </w:r>
      <w:r>
        <w:rPr>
          <w:rFonts w:ascii="宋体" w:hAnsi="宋体" w:eastAsia="宋体" w:cs="宋体"/>
          <w:spacing w:val="4"/>
          <w:sz w:val="20"/>
          <w:szCs w:val="20"/>
        </w:rPr>
        <w:t>死亡率或调</w:t>
      </w:r>
      <w:r>
        <w:rPr>
          <w:rFonts w:ascii="宋体" w:hAnsi="宋体" w:eastAsia="宋体" w:cs="宋体"/>
          <w:sz w:val="20"/>
          <w:szCs w:val="20"/>
        </w:rPr>
        <w:t xml:space="preserve"> </w:t>
      </w:r>
      <w:r>
        <w:rPr>
          <w:rFonts w:ascii="宋体" w:hAnsi="宋体" w:eastAsia="宋体" w:cs="宋体"/>
          <w:spacing w:val="2"/>
          <w:sz w:val="20"/>
          <w:szCs w:val="20"/>
        </w:rPr>
        <w:t>整死亡率。</w:t>
      </w:r>
    </w:p>
    <w:p w14:paraId="56393777">
      <w:pPr>
        <w:spacing w:before="3" w:line="351" w:lineRule="auto"/>
        <w:ind w:left="689" w:right="91" w:firstLine="400"/>
        <w:rPr>
          <w:rFonts w:ascii="宋体" w:hAnsi="宋体" w:eastAsia="宋体" w:cs="宋体"/>
          <w:sz w:val="20"/>
          <w:szCs w:val="20"/>
        </w:rPr>
      </w:pPr>
      <w:r>
        <w:rPr>
          <w:rFonts w:ascii="宋体" w:hAnsi="宋体" w:eastAsia="宋体" w:cs="宋体"/>
          <w:spacing w:val="-4"/>
          <w:sz w:val="20"/>
          <w:szCs w:val="20"/>
        </w:rPr>
        <w:t>死亡率可按不同的人群属性(如年龄、性别、职业、民族)、疾病种类等</w:t>
      </w:r>
      <w:r>
        <w:rPr>
          <w:rFonts w:ascii="宋体" w:hAnsi="宋体" w:eastAsia="宋体" w:cs="宋体"/>
          <w:spacing w:val="-5"/>
          <w:sz w:val="20"/>
          <w:szCs w:val="20"/>
        </w:rPr>
        <w:t>特征分别计算，此即死亡</w:t>
      </w:r>
      <w:r>
        <w:rPr>
          <w:rFonts w:ascii="宋体" w:hAnsi="宋体" w:eastAsia="宋体" w:cs="宋体"/>
          <w:sz w:val="20"/>
          <w:szCs w:val="20"/>
        </w:rPr>
        <w:t xml:space="preserve"> </w:t>
      </w:r>
      <w:r>
        <w:rPr>
          <w:rFonts w:ascii="宋体" w:hAnsi="宋体" w:eastAsia="宋体" w:cs="宋体"/>
          <w:spacing w:val="3"/>
          <w:sz w:val="20"/>
          <w:szCs w:val="20"/>
        </w:rPr>
        <w:t>专率。</w:t>
      </w:r>
    </w:p>
    <w:p w14:paraId="31CAC74F">
      <w:pPr>
        <w:spacing w:before="2" w:line="348" w:lineRule="auto"/>
        <w:ind w:left="679" w:right="82" w:firstLine="410"/>
        <w:jc w:val="both"/>
        <w:rPr>
          <w:rFonts w:ascii="宋体" w:hAnsi="宋体" w:eastAsia="宋体" w:cs="宋体"/>
          <w:sz w:val="20"/>
          <w:szCs w:val="20"/>
        </w:rPr>
      </w:pPr>
      <w:r>
        <w:rPr>
          <w:rFonts w:ascii="宋体" w:hAnsi="宋体" w:eastAsia="宋体" w:cs="宋体"/>
          <w:spacing w:val="8"/>
          <w:sz w:val="20"/>
          <w:szCs w:val="20"/>
        </w:rPr>
        <w:t>2. 应用死亡率用于衡量某一时期、某一地区人群死亡危险性的大小。它既可反映一个</w:t>
      </w:r>
      <w:r>
        <w:rPr>
          <w:rFonts w:ascii="宋体" w:hAnsi="宋体" w:eastAsia="宋体" w:cs="宋体"/>
          <w:spacing w:val="7"/>
          <w:sz w:val="20"/>
          <w:szCs w:val="20"/>
        </w:rPr>
        <w:t>地区</w:t>
      </w:r>
      <w:r>
        <w:rPr>
          <w:rFonts w:ascii="宋体" w:hAnsi="宋体" w:eastAsia="宋体" w:cs="宋体"/>
          <w:sz w:val="20"/>
          <w:szCs w:val="20"/>
        </w:rPr>
        <w:t xml:space="preserve"> </w:t>
      </w:r>
      <w:r>
        <w:rPr>
          <w:rFonts w:ascii="宋体" w:hAnsi="宋体" w:eastAsia="宋体" w:cs="宋体"/>
          <w:spacing w:val="5"/>
          <w:sz w:val="20"/>
          <w:szCs w:val="20"/>
        </w:rPr>
        <w:t xml:space="preserve">不同时期人群的健康状况和卫生保健工作的水平，也可为该地区卫生保健工作的需求和规划提供 </w:t>
      </w:r>
      <w:r>
        <w:rPr>
          <w:rFonts w:ascii="宋体" w:hAnsi="宋体" w:eastAsia="宋体" w:cs="宋体"/>
          <w:sz w:val="20"/>
          <w:szCs w:val="20"/>
        </w:rPr>
        <w:t>科学依据。死亡专率可提供某病死亡在人群、时间、地区上变化的信息，用于</w:t>
      </w:r>
      <w:r>
        <w:rPr>
          <w:rFonts w:ascii="宋体" w:hAnsi="宋体" w:eastAsia="宋体" w:cs="宋体"/>
          <w:spacing w:val="-1"/>
          <w:sz w:val="20"/>
          <w:szCs w:val="20"/>
        </w:rPr>
        <w:t>探讨病因和评价防制</w:t>
      </w:r>
      <w:r>
        <w:rPr>
          <w:rFonts w:ascii="宋体" w:hAnsi="宋体" w:eastAsia="宋体" w:cs="宋体"/>
          <w:sz w:val="20"/>
          <w:szCs w:val="20"/>
        </w:rPr>
        <w:t xml:space="preserve"> </w:t>
      </w:r>
      <w:r>
        <w:rPr>
          <w:rFonts w:ascii="宋体" w:hAnsi="宋体" w:eastAsia="宋体" w:cs="宋体"/>
          <w:spacing w:val="10"/>
          <w:sz w:val="20"/>
          <w:szCs w:val="20"/>
        </w:rPr>
        <w:t>措施。</w:t>
      </w:r>
    </w:p>
    <w:p w14:paraId="11A3E4FC">
      <w:pPr>
        <w:spacing w:before="2" w:line="351" w:lineRule="auto"/>
        <w:ind w:left="689" w:right="102" w:firstLine="410"/>
        <w:jc w:val="both"/>
        <w:rPr>
          <w:rFonts w:ascii="宋体" w:hAnsi="宋体" w:eastAsia="宋体" w:cs="宋体"/>
          <w:sz w:val="20"/>
          <w:szCs w:val="20"/>
        </w:rPr>
      </w:pPr>
      <w:r>
        <w:rPr>
          <w:rFonts w:ascii="宋体" w:hAnsi="宋体" w:eastAsia="宋体" w:cs="宋体"/>
          <w:sz w:val="20"/>
          <w:szCs w:val="20"/>
        </w:rPr>
        <w:t>死亡率还可作为疾病发生风险的指标，对于病死率高和生存时间短的疾</w:t>
      </w:r>
      <w:r>
        <w:rPr>
          <w:rFonts w:ascii="宋体" w:hAnsi="宋体" w:eastAsia="宋体" w:cs="宋体"/>
          <w:spacing w:val="-1"/>
          <w:sz w:val="20"/>
          <w:szCs w:val="20"/>
        </w:rPr>
        <w:t>病，死亡率可以反映人</w:t>
      </w:r>
      <w:r>
        <w:rPr>
          <w:rFonts w:ascii="宋体" w:hAnsi="宋体" w:eastAsia="宋体" w:cs="宋体"/>
          <w:sz w:val="20"/>
          <w:szCs w:val="20"/>
        </w:rPr>
        <w:t xml:space="preserve"> </w:t>
      </w:r>
      <w:r>
        <w:rPr>
          <w:rFonts w:ascii="宋体" w:hAnsi="宋体" w:eastAsia="宋体" w:cs="宋体"/>
          <w:spacing w:val="-4"/>
          <w:sz w:val="20"/>
          <w:szCs w:val="20"/>
        </w:rPr>
        <w:t>群的发病率，如胰腺癌，从确诊至死亡可在几个月内发生，</w:t>
      </w:r>
      <w:r>
        <w:rPr>
          <w:rFonts w:ascii="宋体" w:hAnsi="宋体" w:eastAsia="宋体" w:cs="宋体"/>
          <w:spacing w:val="-5"/>
          <w:sz w:val="20"/>
          <w:szCs w:val="20"/>
        </w:rPr>
        <w:t>长期存活很罕见，因此胰腺癌死亡率可以</w:t>
      </w:r>
      <w:r>
        <w:rPr>
          <w:rFonts w:ascii="宋体" w:hAnsi="宋体" w:eastAsia="宋体" w:cs="宋体"/>
          <w:sz w:val="20"/>
          <w:szCs w:val="20"/>
        </w:rPr>
        <w:t xml:space="preserve"> </w:t>
      </w:r>
      <w:r>
        <w:rPr>
          <w:rFonts w:ascii="宋体" w:hAnsi="宋体" w:eastAsia="宋体" w:cs="宋体"/>
          <w:spacing w:val="-2"/>
          <w:sz w:val="20"/>
          <w:szCs w:val="20"/>
        </w:rPr>
        <w:t>基本代替其发病率，反映该病的发病水平。</w:t>
      </w:r>
    </w:p>
    <w:p w14:paraId="4413AC74">
      <w:pPr>
        <w:pStyle w:val="2"/>
        <w:spacing w:before="28" w:line="222" w:lineRule="auto"/>
        <w:ind w:left="1100"/>
        <w:rPr>
          <w:sz w:val="20"/>
          <w:szCs w:val="20"/>
        </w:rPr>
      </w:pPr>
      <w:r>
        <w:rPr>
          <w:spacing w:val="29"/>
          <w:sz w:val="20"/>
          <w:szCs w:val="20"/>
        </w:rPr>
        <w:t>(二)病死率</w:t>
      </w:r>
    </w:p>
    <w:p w14:paraId="2E859C58">
      <w:pPr>
        <w:spacing w:before="115" w:line="338" w:lineRule="auto"/>
        <w:ind w:left="699" w:right="81" w:firstLine="420"/>
        <w:rPr>
          <w:rFonts w:ascii="宋体" w:hAnsi="宋体" w:eastAsia="宋体" w:cs="宋体"/>
          <w:sz w:val="20"/>
          <w:szCs w:val="20"/>
        </w:rPr>
      </w:pPr>
      <w:r>
        <w:rPr>
          <w:rFonts w:ascii="宋体" w:hAnsi="宋体" w:eastAsia="宋体" w:cs="宋体"/>
          <w:sz w:val="20"/>
          <w:szCs w:val="20"/>
        </w:rPr>
        <w:t>1.</w:t>
      </w:r>
      <w:r>
        <w:rPr>
          <w:rFonts w:ascii="宋体" w:hAnsi="宋体" w:eastAsia="宋体" w:cs="宋体"/>
          <w:spacing w:val="-18"/>
          <w:sz w:val="20"/>
          <w:szCs w:val="20"/>
        </w:rPr>
        <w:t xml:space="preserve"> </w:t>
      </w:r>
      <w:r>
        <w:rPr>
          <w:rFonts w:ascii="宋体" w:hAnsi="宋体" w:eastAsia="宋体" w:cs="宋体"/>
          <w:sz w:val="20"/>
          <w:szCs w:val="20"/>
        </w:rPr>
        <w:t>定</w:t>
      </w:r>
      <w:r>
        <w:rPr>
          <w:rFonts w:ascii="宋体" w:hAnsi="宋体" w:eastAsia="宋体" w:cs="宋体"/>
          <w:spacing w:val="-27"/>
          <w:sz w:val="20"/>
          <w:szCs w:val="20"/>
        </w:rPr>
        <w:t xml:space="preserve"> </w:t>
      </w:r>
      <w:r>
        <w:rPr>
          <w:rFonts w:ascii="宋体" w:hAnsi="宋体" w:eastAsia="宋体" w:cs="宋体"/>
          <w:sz w:val="20"/>
          <w:szCs w:val="20"/>
        </w:rPr>
        <w:t>义</w:t>
      </w:r>
      <w:r>
        <w:rPr>
          <w:rFonts w:ascii="宋体" w:hAnsi="宋体" w:eastAsia="宋体" w:cs="宋体"/>
          <w:spacing w:val="-30"/>
          <w:sz w:val="20"/>
          <w:szCs w:val="20"/>
        </w:rPr>
        <w:t xml:space="preserve"> </w:t>
      </w:r>
      <w:r>
        <w:rPr>
          <w:rFonts w:ascii="宋体" w:hAnsi="宋体" w:eastAsia="宋体" w:cs="宋体"/>
          <w:sz w:val="20"/>
          <w:szCs w:val="20"/>
        </w:rPr>
        <w:t>病</w:t>
      </w:r>
      <w:r>
        <w:rPr>
          <w:rFonts w:ascii="宋体" w:hAnsi="宋体" w:eastAsia="宋体" w:cs="宋体"/>
          <w:spacing w:val="-28"/>
          <w:sz w:val="20"/>
          <w:szCs w:val="20"/>
        </w:rPr>
        <w:t xml:space="preserve"> </w:t>
      </w:r>
      <w:r>
        <w:rPr>
          <w:rFonts w:ascii="宋体" w:hAnsi="宋体" w:eastAsia="宋体" w:cs="宋体"/>
          <w:sz w:val="20"/>
          <w:szCs w:val="20"/>
        </w:rPr>
        <w:t>死</w:t>
      </w:r>
      <w:r>
        <w:rPr>
          <w:rFonts w:ascii="宋体" w:hAnsi="宋体" w:eastAsia="宋体" w:cs="宋体"/>
          <w:spacing w:val="-28"/>
          <w:sz w:val="20"/>
          <w:szCs w:val="20"/>
        </w:rPr>
        <w:t xml:space="preserve"> </w:t>
      </w:r>
      <w:r>
        <w:rPr>
          <w:rFonts w:ascii="宋体" w:hAnsi="宋体" w:eastAsia="宋体" w:cs="宋体"/>
          <w:sz w:val="20"/>
          <w:szCs w:val="20"/>
        </w:rPr>
        <w:t>率</w:t>
      </w:r>
      <w:r>
        <w:rPr>
          <w:rFonts w:ascii="Times New Roman" w:hAnsi="Times New Roman" w:eastAsia="Times New Roman" w:cs="Times New Roman"/>
          <w:sz w:val="20"/>
          <w:szCs w:val="20"/>
        </w:rPr>
        <w:t>(case   fatality   rate)</w:t>
      </w:r>
      <w:r>
        <w:rPr>
          <w:rFonts w:ascii="宋体" w:hAnsi="宋体" w:eastAsia="宋体" w:cs="宋体"/>
          <w:sz w:val="20"/>
          <w:szCs w:val="20"/>
        </w:rPr>
        <w:t>表示一定时期内因某</w:t>
      </w:r>
      <w:r>
        <w:rPr>
          <w:rFonts w:ascii="宋体" w:hAnsi="宋体" w:eastAsia="宋体" w:cs="宋体"/>
          <w:spacing w:val="-1"/>
          <w:sz w:val="20"/>
          <w:szCs w:val="20"/>
        </w:rPr>
        <w:t>病死亡者占患该病人数的比例，表示</w:t>
      </w:r>
      <w:r>
        <w:rPr>
          <w:rFonts w:ascii="宋体" w:hAnsi="宋体" w:eastAsia="宋体" w:cs="宋体"/>
          <w:sz w:val="20"/>
          <w:szCs w:val="20"/>
        </w:rPr>
        <w:t xml:space="preserve"> </w:t>
      </w:r>
      <w:r>
        <w:rPr>
          <w:rFonts w:ascii="宋体" w:hAnsi="宋体" w:eastAsia="宋体" w:cs="宋体"/>
          <w:spacing w:val="1"/>
          <w:sz w:val="20"/>
          <w:szCs w:val="20"/>
        </w:rPr>
        <w:t>某病病人因该病死亡的危险性。</w:t>
      </w:r>
    </w:p>
    <w:p w14:paraId="0815F92A">
      <w:pPr>
        <w:spacing w:line="266" w:lineRule="auto"/>
        <w:rPr>
          <w:rFonts w:ascii="Arial"/>
          <w:sz w:val="21"/>
        </w:rPr>
      </w:pPr>
      <w:r>
        <w:drawing>
          <wp:anchor distT="0" distB="0" distL="0" distR="0" simplePos="0" relativeHeight="251680768" behindDoc="0" locked="0" layoutInCell="1" allowOverlap="1">
            <wp:simplePos x="0" y="0"/>
            <wp:positionH relativeFrom="column">
              <wp:posOffset>2006600</wp:posOffset>
            </wp:positionH>
            <wp:positionV relativeFrom="paragraph">
              <wp:posOffset>97155</wp:posOffset>
            </wp:positionV>
            <wp:extent cx="2343150" cy="349250"/>
            <wp:effectExtent l="0" t="0" r="0" b="0"/>
            <wp:wrapNone/>
            <wp:docPr id="84" name="IM 84"/>
            <wp:cNvGraphicFramePr/>
            <a:graphic xmlns:a="http://schemas.openxmlformats.org/drawingml/2006/main">
              <a:graphicData uri="http://schemas.openxmlformats.org/drawingml/2006/picture">
                <pic:pic xmlns:pic="http://schemas.openxmlformats.org/drawingml/2006/picture">
                  <pic:nvPicPr>
                    <pic:cNvPr id="84" name="IM 84"/>
                    <pic:cNvPicPr/>
                  </pic:nvPicPr>
                  <pic:blipFill>
                    <a:blip r:embed="rId438"/>
                    <a:stretch>
                      <a:fillRect/>
                    </a:stretch>
                  </pic:blipFill>
                  <pic:spPr>
                    <a:xfrm>
                      <a:off x="0" y="0"/>
                      <a:ext cx="2343119" cy="349258"/>
                    </a:xfrm>
                    <a:prstGeom prst="rect">
                      <a:avLst/>
                    </a:prstGeom>
                  </pic:spPr>
                </pic:pic>
              </a:graphicData>
            </a:graphic>
          </wp:anchor>
        </w:drawing>
      </w:r>
    </w:p>
    <w:p w14:paraId="5D2CD7E9">
      <w:pPr>
        <w:spacing w:before="65" w:line="221" w:lineRule="auto"/>
        <w:ind w:right="26"/>
        <w:jc w:val="right"/>
        <w:rPr>
          <w:rFonts w:ascii="宋体" w:hAnsi="宋体" w:eastAsia="宋体" w:cs="宋体"/>
          <w:sz w:val="20"/>
          <w:szCs w:val="20"/>
        </w:rPr>
      </w:pPr>
      <w:r>
        <w:rPr>
          <w:rFonts w:ascii="宋体" w:hAnsi="宋体" w:eastAsia="宋体" w:cs="宋体"/>
          <w:spacing w:val="10"/>
          <w:sz w:val="20"/>
          <w:szCs w:val="20"/>
        </w:rPr>
        <w:t>式(2-9)</w:t>
      </w:r>
    </w:p>
    <w:p w14:paraId="573B8808">
      <w:pPr>
        <w:spacing w:line="350" w:lineRule="auto"/>
        <w:rPr>
          <w:rFonts w:ascii="Arial"/>
          <w:sz w:val="21"/>
        </w:rPr>
      </w:pPr>
    </w:p>
    <w:p w14:paraId="2748021D">
      <w:pPr>
        <w:spacing w:before="65" w:line="313" w:lineRule="auto"/>
        <w:ind w:left="669" w:firstLine="410"/>
        <w:rPr>
          <w:rFonts w:ascii="宋体" w:hAnsi="宋体" w:eastAsia="宋体" w:cs="宋体"/>
          <w:sz w:val="20"/>
          <w:szCs w:val="20"/>
        </w:rPr>
      </w:pPr>
      <w:r>
        <w:rPr>
          <w:rFonts w:ascii="宋体" w:hAnsi="宋体" w:eastAsia="宋体" w:cs="宋体"/>
          <w:spacing w:val="6"/>
          <w:sz w:val="20"/>
          <w:szCs w:val="20"/>
        </w:rPr>
        <w:t>2. 应用 病死率表示确诊某病者的死亡概率，它可反映疾病的严重程度，也可反映</w:t>
      </w:r>
      <w:r>
        <w:rPr>
          <w:rFonts w:ascii="宋体" w:hAnsi="宋体" w:eastAsia="宋体" w:cs="宋体"/>
          <w:spacing w:val="5"/>
          <w:sz w:val="20"/>
          <w:szCs w:val="20"/>
        </w:rPr>
        <w:t>医疗水平</w:t>
      </w:r>
      <w:r>
        <w:rPr>
          <w:rFonts w:ascii="宋体" w:hAnsi="宋体" w:eastAsia="宋体" w:cs="宋体"/>
          <w:sz w:val="20"/>
          <w:szCs w:val="20"/>
        </w:rPr>
        <w:t xml:space="preserve"> 和诊治能力，常用于急性传染病，或存在急性发作且病情危重的疾病。</w:t>
      </w:r>
      <w:r>
        <w:rPr>
          <w:rFonts w:ascii="宋体" w:hAnsi="宋体" w:eastAsia="宋体" w:cs="宋体"/>
          <w:spacing w:val="-50"/>
          <w:sz w:val="20"/>
          <w:szCs w:val="20"/>
        </w:rPr>
        <w:t xml:space="preserve"> </w:t>
      </w:r>
      <w:r>
        <w:rPr>
          <w:rFonts w:ascii="宋体" w:hAnsi="宋体" w:eastAsia="宋体" w:cs="宋体"/>
          <w:sz w:val="20"/>
          <w:szCs w:val="20"/>
        </w:rPr>
        <w:t>一种疾病的病死率受</w:t>
      </w:r>
      <w:r>
        <w:rPr>
          <w:rFonts w:ascii="宋体" w:hAnsi="宋体" w:eastAsia="宋体" w:cs="宋体"/>
          <w:spacing w:val="-1"/>
          <w:sz w:val="20"/>
          <w:szCs w:val="20"/>
        </w:rPr>
        <w:t>疾病严</w:t>
      </w:r>
      <w:r>
        <w:rPr>
          <w:rFonts w:ascii="宋体" w:hAnsi="宋体" w:eastAsia="宋体" w:cs="宋体"/>
          <w:sz w:val="20"/>
          <w:szCs w:val="20"/>
        </w:rPr>
        <w:t xml:space="preserve">  </w:t>
      </w:r>
      <w:r>
        <w:rPr>
          <w:rFonts w:ascii="宋体" w:hAnsi="宋体" w:eastAsia="宋体" w:cs="宋体"/>
          <w:spacing w:val="-6"/>
          <w:sz w:val="20"/>
          <w:szCs w:val="20"/>
        </w:rPr>
        <w:t>重程度、诊断及治疗水平和病原体毒力的影响，随医疗水平、病因、环境和宿主等因素的变化而变</w:t>
      </w:r>
      <w:r>
        <w:rPr>
          <w:rFonts w:ascii="宋体" w:hAnsi="宋体" w:eastAsia="宋体" w:cs="宋体"/>
          <w:spacing w:val="-7"/>
          <w:sz w:val="20"/>
          <w:szCs w:val="20"/>
        </w:rPr>
        <w:t>化。</w:t>
      </w:r>
      <w:r>
        <w:rPr>
          <w:rFonts w:ascii="宋体" w:hAnsi="宋体" w:eastAsia="宋体" w:cs="宋体"/>
          <w:sz w:val="20"/>
          <w:szCs w:val="20"/>
        </w:rPr>
        <w:t xml:space="preserve"> </w:t>
      </w:r>
      <w:r>
        <w:rPr>
          <w:rFonts w:ascii="宋体" w:hAnsi="宋体" w:eastAsia="宋体" w:cs="宋体"/>
          <w:spacing w:val="-2"/>
          <w:sz w:val="20"/>
          <w:szCs w:val="20"/>
        </w:rPr>
        <w:t>用病死率作为评价不同医院医疗水平的指标时</w:t>
      </w:r>
      <w:r>
        <w:rPr>
          <w:rFonts w:ascii="宋体" w:hAnsi="宋体" w:eastAsia="宋体" w:cs="宋体"/>
          <w:spacing w:val="-3"/>
          <w:sz w:val="20"/>
          <w:szCs w:val="20"/>
        </w:rPr>
        <w:t>，要注意不同医院间的病人病情严重程度的可比性。</w:t>
      </w:r>
    </w:p>
    <w:p w14:paraId="1F3202D1">
      <w:pPr>
        <w:spacing w:before="116" w:line="219" w:lineRule="auto"/>
        <w:ind w:left="1100"/>
        <w:rPr>
          <w:rFonts w:ascii="宋体" w:hAnsi="宋体" w:eastAsia="宋体" w:cs="宋体"/>
          <w:sz w:val="20"/>
          <w:szCs w:val="20"/>
        </w:rPr>
      </w:pPr>
      <w:r>
        <w:rPr>
          <w:rFonts w:ascii="宋体" w:hAnsi="宋体" w:eastAsia="宋体" w:cs="宋体"/>
          <w:spacing w:val="6"/>
          <w:sz w:val="20"/>
          <w:szCs w:val="20"/>
        </w:rPr>
        <w:t>3.</w:t>
      </w:r>
      <w:r>
        <w:rPr>
          <w:rFonts w:ascii="宋体" w:hAnsi="宋体" w:eastAsia="宋体" w:cs="宋体"/>
          <w:spacing w:val="-14"/>
          <w:sz w:val="20"/>
          <w:szCs w:val="20"/>
        </w:rPr>
        <w:t xml:space="preserve"> </w:t>
      </w:r>
      <w:r>
        <w:rPr>
          <w:rFonts w:ascii="宋体" w:hAnsi="宋体" w:eastAsia="宋体" w:cs="宋体"/>
          <w:spacing w:val="6"/>
          <w:sz w:val="20"/>
          <w:szCs w:val="20"/>
        </w:rPr>
        <w:t>病死率与死亡率的比较</w:t>
      </w:r>
      <w:r>
        <w:rPr>
          <w:rFonts w:ascii="宋体" w:hAnsi="宋体" w:eastAsia="宋体" w:cs="宋体"/>
          <w:spacing w:val="37"/>
          <w:sz w:val="20"/>
          <w:szCs w:val="20"/>
        </w:rPr>
        <w:t xml:space="preserve"> </w:t>
      </w:r>
      <w:r>
        <w:rPr>
          <w:rFonts w:ascii="宋体" w:hAnsi="宋体" w:eastAsia="宋体" w:cs="宋体"/>
          <w:spacing w:val="6"/>
          <w:sz w:val="20"/>
          <w:szCs w:val="20"/>
        </w:rPr>
        <w:t>见表2-2。</w:t>
      </w:r>
    </w:p>
    <w:p w14:paraId="78E0C4B1">
      <w:pPr>
        <w:spacing w:line="219" w:lineRule="auto"/>
        <w:rPr>
          <w:rFonts w:ascii="宋体" w:hAnsi="宋体" w:eastAsia="宋体" w:cs="宋体"/>
          <w:sz w:val="20"/>
          <w:szCs w:val="20"/>
        </w:rPr>
        <w:sectPr>
          <w:footerReference r:id="rId46" w:type="default"/>
          <w:pgSz w:w="11900" w:h="16820"/>
          <w:pgMar w:top="400" w:right="1580" w:bottom="951" w:left="919" w:header="0" w:footer="690" w:gutter="0"/>
          <w:cols w:space="720" w:num="1"/>
        </w:sectPr>
      </w:pPr>
    </w:p>
    <w:p w14:paraId="00E1AF79">
      <w:pPr>
        <w:spacing w:line="244" w:lineRule="auto"/>
        <w:rPr>
          <w:rFonts w:ascii="Arial"/>
          <w:sz w:val="21"/>
        </w:rPr>
      </w:pPr>
    </w:p>
    <w:p w14:paraId="685E0F30">
      <w:pPr>
        <w:pStyle w:val="2"/>
        <w:spacing w:before="71" w:line="221" w:lineRule="auto"/>
        <w:ind w:left="7739"/>
        <w:rPr>
          <w:sz w:val="22"/>
          <w:szCs w:val="22"/>
        </w:rPr>
      </w:pPr>
      <w:bookmarkStart w:id="34" w:name="bookmark410"/>
      <w:bookmarkEnd w:id="34"/>
      <w:r>
        <w:rPr>
          <w:spacing w:val="-16"/>
          <w:sz w:val="22"/>
          <w:szCs w:val="22"/>
        </w:rPr>
        <w:t>第二章疾病的分布</w:t>
      </w:r>
    </w:p>
    <w:p w14:paraId="465259BF">
      <w:pPr>
        <w:spacing w:line="242" w:lineRule="auto"/>
        <w:rPr>
          <w:rFonts w:ascii="Arial"/>
          <w:sz w:val="21"/>
        </w:rPr>
      </w:pPr>
    </w:p>
    <w:p w14:paraId="5BDE72BF">
      <w:pPr>
        <w:spacing w:line="242" w:lineRule="auto"/>
        <w:rPr>
          <w:rFonts w:ascii="Arial"/>
          <w:sz w:val="21"/>
        </w:rPr>
      </w:pPr>
    </w:p>
    <w:p w14:paraId="1951F92B">
      <w:pPr>
        <w:pStyle w:val="2"/>
        <w:spacing w:before="71" w:line="222" w:lineRule="auto"/>
        <w:ind w:left="3319"/>
        <w:rPr>
          <w:sz w:val="22"/>
          <w:szCs w:val="22"/>
        </w:rPr>
      </w:pPr>
      <w:r>
        <w:rPr>
          <w:spacing w:val="-14"/>
          <w:sz w:val="22"/>
          <w:szCs w:val="22"/>
        </w:rPr>
        <w:t>表2-2</w:t>
      </w:r>
      <w:r>
        <w:rPr>
          <w:spacing w:val="80"/>
          <w:sz w:val="22"/>
          <w:szCs w:val="22"/>
        </w:rPr>
        <w:t xml:space="preserve"> </w:t>
      </w:r>
      <w:r>
        <w:rPr>
          <w:spacing w:val="-14"/>
          <w:sz w:val="22"/>
          <w:szCs w:val="22"/>
        </w:rPr>
        <w:t>病死率与死亡率的比较</w:t>
      </w:r>
    </w:p>
    <w:p w14:paraId="183E6856">
      <w:pPr>
        <w:spacing w:line="31" w:lineRule="exact"/>
      </w:pPr>
    </w:p>
    <w:tbl>
      <w:tblPr>
        <w:tblStyle w:val="5"/>
        <w:tblW w:w="9356"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0" w:type="dxa"/>
          <w:left w:w="0" w:type="dxa"/>
          <w:bottom w:w="0" w:type="dxa"/>
          <w:right w:w="0" w:type="dxa"/>
        </w:tblCellMar>
      </w:tblPr>
      <w:tblGrid>
        <w:gridCol w:w="1430"/>
        <w:gridCol w:w="3970"/>
        <w:gridCol w:w="3956"/>
      </w:tblGrid>
      <w:tr w14:paraId="40EBA96B">
        <w:trPr>
          <w:trHeight w:val="384" w:hRule="atLeast"/>
        </w:trPr>
        <w:tc>
          <w:tcPr>
            <w:tcW w:w="1430" w:type="dxa"/>
            <w:tcBorders>
              <w:top w:val="single" w:color="000000" w:sz="4" w:space="0"/>
              <w:bottom w:val="single" w:color="000000" w:sz="4" w:space="0"/>
            </w:tcBorders>
            <w:shd w:val="clear" w:color="auto" w:fill="B6C7B7"/>
            <w:vAlign w:val="top"/>
          </w:tcPr>
          <w:p w14:paraId="33101F14">
            <w:pPr>
              <w:pStyle w:val="6"/>
              <w:spacing w:before="93" w:line="219" w:lineRule="auto"/>
              <w:ind w:left="120"/>
              <w:rPr>
                <w:sz w:val="21"/>
                <w:szCs w:val="21"/>
              </w:rPr>
            </w:pPr>
            <w:r>
              <w:rPr>
                <w:spacing w:val="2"/>
                <w:sz w:val="21"/>
                <w:szCs w:val="21"/>
              </w:rPr>
              <w:t>比较内容</w:t>
            </w:r>
          </w:p>
        </w:tc>
        <w:tc>
          <w:tcPr>
            <w:tcW w:w="3970" w:type="dxa"/>
            <w:tcBorders>
              <w:top w:val="single" w:color="000000" w:sz="4" w:space="0"/>
              <w:bottom w:val="single" w:color="000000" w:sz="4" w:space="0"/>
            </w:tcBorders>
            <w:shd w:val="clear" w:color="auto" w:fill="BBC5B0"/>
            <w:vAlign w:val="top"/>
          </w:tcPr>
          <w:p w14:paraId="1FEE9271">
            <w:pPr>
              <w:pStyle w:val="6"/>
              <w:spacing w:before="93" w:line="219" w:lineRule="auto"/>
              <w:ind w:left="129"/>
              <w:rPr>
                <w:sz w:val="21"/>
                <w:szCs w:val="21"/>
              </w:rPr>
            </w:pPr>
            <w:r>
              <w:rPr>
                <w:spacing w:val="-2"/>
                <w:sz w:val="21"/>
                <w:szCs w:val="21"/>
              </w:rPr>
              <w:t>病死率</w:t>
            </w:r>
          </w:p>
        </w:tc>
        <w:tc>
          <w:tcPr>
            <w:tcW w:w="3956" w:type="dxa"/>
            <w:tcBorders>
              <w:top w:val="single" w:color="000000" w:sz="4" w:space="0"/>
              <w:bottom w:val="single" w:color="000000" w:sz="4" w:space="0"/>
            </w:tcBorders>
            <w:shd w:val="clear" w:color="auto" w:fill="B7BCA4"/>
            <w:vAlign w:val="top"/>
          </w:tcPr>
          <w:p w14:paraId="2D97363C">
            <w:pPr>
              <w:pStyle w:val="6"/>
              <w:spacing w:before="90" w:line="219" w:lineRule="auto"/>
              <w:ind w:left="113"/>
              <w:rPr>
                <w:sz w:val="21"/>
                <w:szCs w:val="21"/>
              </w:rPr>
            </w:pPr>
            <w:r>
              <w:rPr>
                <w:b/>
                <w:bCs/>
                <w:spacing w:val="-5"/>
                <w:sz w:val="21"/>
                <w:szCs w:val="21"/>
              </w:rPr>
              <w:t>死亡率</w:t>
            </w:r>
          </w:p>
        </w:tc>
      </w:tr>
      <w:tr w14:paraId="6607F817">
        <w:trPr>
          <w:trHeight w:val="369" w:hRule="atLeast"/>
        </w:trPr>
        <w:tc>
          <w:tcPr>
            <w:tcW w:w="1430" w:type="dxa"/>
            <w:tcBorders>
              <w:top w:val="single" w:color="000000" w:sz="4" w:space="0"/>
              <w:bottom w:val="single" w:color="000000" w:sz="4" w:space="0"/>
            </w:tcBorders>
            <w:vAlign w:val="top"/>
          </w:tcPr>
          <w:p w14:paraId="6C72C214">
            <w:pPr>
              <w:pStyle w:val="6"/>
              <w:spacing w:before="79" w:line="219" w:lineRule="auto"/>
              <w:ind w:left="120"/>
              <w:rPr>
                <w:sz w:val="21"/>
                <w:szCs w:val="21"/>
              </w:rPr>
            </w:pPr>
            <w:r>
              <w:rPr>
                <w:spacing w:val="2"/>
                <w:sz w:val="21"/>
                <w:szCs w:val="21"/>
              </w:rPr>
              <w:t>资料来源</w:t>
            </w:r>
          </w:p>
        </w:tc>
        <w:tc>
          <w:tcPr>
            <w:tcW w:w="3970" w:type="dxa"/>
            <w:tcBorders>
              <w:top w:val="single" w:color="000000" w:sz="4" w:space="0"/>
              <w:bottom w:val="single" w:color="000000" w:sz="4" w:space="0"/>
            </w:tcBorders>
            <w:vAlign w:val="top"/>
          </w:tcPr>
          <w:p w14:paraId="3FB7D15C">
            <w:pPr>
              <w:pStyle w:val="6"/>
              <w:spacing w:before="80" w:line="220" w:lineRule="auto"/>
              <w:ind w:left="129"/>
              <w:rPr>
                <w:sz w:val="21"/>
                <w:szCs w:val="21"/>
              </w:rPr>
            </w:pPr>
            <w:r>
              <w:rPr>
                <w:spacing w:val="2"/>
                <w:sz w:val="21"/>
                <w:szCs w:val="21"/>
              </w:rPr>
              <w:t>医疗记录</w:t>
            </w:r>
          </w:p>
        </w:tc>
        <w:tc>
          <w:tcPr>
            <w:tcW w:w="3956" w:type="dxa"/>
            <w:tcBorders>
              <w:top w:val="single" w:color="000000" w:sz="4" w:space="0"/>
              <w:bottom w:val="single" w:color="000000" w:sz="4" w:space="0"/>
            </w:tcBorders>
            <w:vAlign w:val="top"/>
          </w:tcPr>
          <w:p w14:paraId="43F40A0C">
            <w:pPr>
              <w:pStyle w:val="6"/>
              <w:spacing w:before="80" w:line="220" w:lineRule="auto"/>
              <w:ind w:left="110"/>
              <w:rPr>
                <w:sz w:val="21"/>
                <w:szCs w:val="21"/>
              </w:rPr>
            </w:pPr>
            <w:r>
              <w:rPr>
                <w:spacing w:val="4"/>
                <w:sz w:val="21"/>
                <w:szCs w:val="21"/>
              </w:rPr>
              <w:t>疾病监测</w:t>
            </w:r>
          </w:p>
        </w:tc>
      </w:tr>
      <w:tr w14:paraId="35728F4E">
        <w:trPr>
          <w:trHeight w:val="379" w:hRule="atLeast"/>
        </w:trPr>
        <w:tc>
          <w:tcPr>
            <w:tcW w:w="1430" w:type="dxa"/>
            <w:tcBorders>
              <w:top w:val="single" w:color="000000" w:sz="4" w:space="0"/>
              <w:bottom w:val="single" w:color="000000" w:sz="4" w:space="0"/>
            </w:tcBorders>
            <w:shd w:val="clear" w:color="auto" w:fill="DBDCDB"/>
            <w:vAlign w:val="top"/>
          </w:tcPr>
          <w:p w14:paraId="1B64B7D1">
            <w:pPr>
              <w:pStyle w:val="6"/>
              <w:spacing w:before="90" w:line="219" w:lineRule="auto"/>
              <w:ind w:left="120"/>
              <w:rPr>
                <w:sz w:val="21"/>
                <w:szCs w:val="21"/>
              </w:rPr>
            </w:pPr>
            <w:r>
              <w:rPr>
                <w:spacing w:val="-2"/>
                <w:sz w:val="21"/>
                <w:szCs w:val="21"/>
              </w:rPr>
              <w:t>计算分子</w:t>
            </w:r>
          </w:p>
        </w:tc>
        <w:tc>
          <w:tcPr>
            <w:tcW w:w="3970" w:type="dxa"/>
            <w:tcBorders>
              <w:top w:val="single" w:color="000000" w:sz="4" w:space="0"/>
              <w:bottom w:val="single" w:color="000000" w:sz="4" w:space="0"/>
            </w:tcBorders>
            <w:shd w:val="clear" w:color="auto" w:fill="DCDDD5"/>
            <w:vAlign w:val="top"/>
          </w:tcPr>
          <w:p w14:paraId="0FB43F93">
            <w:pPr>
              <w:pStyle w:val="6"/>
              <w:spacing w:before="90" w:line="219" w:lineRule="auto"/>
              <w:ind w:left="129"/>
              <w:rPr>
                <w:sz w:val="21"/>
                <w:szCs w:val="21"/>
              </w:rPr>
            </w:pPr>
            <w:r>
              <w:rPr>
                <w:sz w:val="21"/>
                <w:szCs w:val="21"/>
              </w:rPr>
              <w:t>因特定疾病的死亡人数</w:t>
            </w:r>
          </w:p>
        </w:tc>
        <w:tc>
          <w:tcPr>
            <w:tcW w:w="3956" w:type="dxa"/>
            <w:tcBorders>
              <w:top w:val="single" w:color="000000" w:sz="4" w:space="0"/>
              <w:bottom w:val="single" w:color="000000" w:sz="4" w:space="0"/>
            </w:tcBorders>
            <w:shd w:val="clear" w:color="auto" w:fill="D6D5C7"/>
            <w:vAlign w:val="top"/>
          </w:tcPr>
          <w:p w14:paraId="41C5617A">
            <w:pPr>
              <w:pStyle w:val="6"/>
              <w:spacing w:before="90" w:line="219" w:lineRule="auto"/>
              <w:ind w:left="110"/>
              <w:rPr>
                <w:sz w:val="21"/>
                <w:szCs w:val="21"/>
              </w:rPr>
            </w:pPr>
            <w:r>
              <w:rPr>
                <w:spacing w:val="-1"/>
                <w:sz w:val="21"/>
                <w:szCs w:val="21"/>
              </w:rPr>
              <w:t>所有死亡人数，或因特定疾病的死亡人数</w:t>
            </w:r>
          </w:p>
        </w:tc>
      </w:tr>
      <w:tr w14:paraId="48072D64">
        <w:trPr>
          <w:trHeight w:val="399" w:hRule="atLeast"/>
        </w:trPr>
        <w:tc>
          <w:tcPr>
            <w:tcW w:w="1430" w:type="dxa"/>
            <w:tcBorders>
              <w:top w:val="single" w:color="000000" w:sz="4" w:space="0"/>
              <w:bottom w:val="single" w:color="000000" w:sz="4" w:space="0"/>
            </w:tcBorders>
            <w:vAlign w:val="top"/>
          </w:tcPr>
          <w:p w14:paraId="5EFE2501">
            <w:pPr>
              <w:pStyle w:val="6"/>
              <w:spacing w:before="101" w:line="219" w:lineRule="auto"/>
              <w:ind w:left="120"/>
              <w:rPr>
                <w:sz w:val="21"/>
                <w:szCs w:val="21"/>
              </w:rPr>
            </w:pPr>
            <w:r>
              <w:rPr>
                <w:spacing w:val="-2"/>
                <w:sz w:val="21"/>
                <w:szCs w:val="21"/>
              </w:rPr>
              <w:t>计算分母</w:t>
            </w:r>
          </w:p>
        </w:tc>
        <w:tc>
          <w:tcPr>
            <w:tcW w:w="3970" w:type="dxa"/>
            <w:tcBorders>
              <w:top w:val="single" w:color="000000" w:sz="4" w:space="0"/>
              <w:bottom w:val="single" w:color="000000" w:sz="4" w:space="0"/>
            </w:tcBorders>
            <w:vAlign w:val="top"/>
          </w:tcPr>
          <w:p w14:paraId="67262F25">
            <w:pPr>
              <w:pStyle w:val="6"/>
              <w:spacing w:before="101" w:line="219" w:lineRule="auto"/>
              <w:ind w:left="129"/>
              <w:rPr>
                <w:sz w:val="21"/>
                <w:szCs w:val="21"/>
              </w:rPr>
            </w:pPr>
            <w:r>
              <w:rPr>
                <w:spacing w:val="-1"/>
                <w:sz w:val="21"/>
                <w:szCs w:val="21"/>
              </w:rPr>
              <w:t>特定疾病的确诊病例数</w:t>
            </w:r>
          </w:p>
        </w:tc>
        <w:tc>
          <w:tcPr>
            <w:tcW w:w="3956" w:type="dxa"/>
            <w:tcBorders>
              <w:top w:val="single" w:color="000000" w:sz="4" w:space="0"/>
              <w:bottom w:val="single" w:color="000000" w:sz="4" w:space="0"/>
            </w:tcBorders>
            <w:vAlign w:val="top"/>
          </w:tcPr>
          <w:p w14:paraId="0D77DE8F">
            <w:pPr>
              <w:pStyle w:val="6"/>
              <w:spacing w:before="101" w:line="219" w:lineRule="auto"/>
              <w:ind w:left="110"/>
              <w:rPr>
                <w:sz w:val="21"/>
                <w:szCs w:val="21"/>
              </w:rPr>
            </w:pPr>
            <w:r>
              <w:rPr>
                <w:spacing w:val="-2"/>
                <w:sz w:val="21"/>
                <w:szCs w:val="21"/>
              </w:rPr>
              <w:t>平均人口数</w:t>
            </w:r>
          </w:p>
        </w:tc>
      </w:tr>
      <w:tr w14:paraId="167E2E92">
        <w:trPr>
          <w:trHeight w:val="399" w:hRule="atLeast"/>
        </w:trPr>
        <w:tc>
          <w:tcPr>
            <w:tcW w:w="1430" w:type="dxa"/>
            <w:tcBorders>
              <w:top w:val="single" w:color="000000" w:sz="4" w:space="0"/>
              <w:bottom w:val="single" w:color="000000" w:sz="4" w:space="0"/>
            </w:tcBorders>
            <w:shd w:val="clear" w:color="auto" w:fill="EBECEC"/>
            <w:vAlign w:val="top"/>
          </w:tcPr>
          <w:p w14:paraId="3CE2D03B">
            <w:pPr>
              <w:pStyle w:val="6"/>
              <w:spacing w:before="102" w:line="219" w:lineRule="auto"/>
              <w:ind w:left="120"/>
              <w:rPr>
                <w:sz w:val="21"/>
                <w:szCs w:val="21"/>
              </w:rPr>
            </w:pPr>
            <w:r>
              <w:rPr>
                <w:spacing w:val="5"/>
                <w:sz w:val="21"/>
                <w:szCs w:val="21"/>
              </w:rPr>
              <w:t>观察时间</w:t>
            </w:r>
          </w:p>
        </w:tc>
        <w:tc>
          <w:tcPr>
            <w:tcW w:w="3970" w:type="dxa"/>
            <w:tcBorders>
              <w:top w:val="single" w:color="000000" w:sz="4" w:space="0"/>
              <w:bottom w:val="single" w:color="000000" w:sz="4" w:space="0"/>
            </w:tcBorders>
            <w:shd w:val="clear" w:color="auto" w:fill="E9E9E3"/>
            <w:vAlign w:val="top"/>
          </w:tcPr>
          <w:p w14:paraId="4BDCDA12">
            <w:pPr>
              <w:pStyle w:val="6"/>
              <w:spacing w:before="103" w:line="220" w:lineRule="auto"/>
              <w:ind w:left="129"/>
              <w:rPr>
                <w:sz w:val="21"/>
                <w:szCs w:val="21"/>
              </w:rPr>
            </w:pPr>
            <w:r>
              <w:rPr>
                <w:spacing w:val="-1"/>
                <w:sz w:val="21"/>
                <w:szCs w:val="21"/>
              </w:rPr>
              <w:t>病例从确诊至死亡的病程</w:t>
            </w:r>
          </w:p>
        </w:tc>
        <w:tc>
          <w:tcPr>
            <w:tcW w:w="3956" w:type="dxa"/>
            <w:tcBorders>
              <w:top w:val="single" w:color="000000" w:sz="4" w:space="0"/>
              <w:bottom w:val="single" w:color="000000" w:sz="4" w:space="0"/>
            </w:tcBorders>
            <w:shd w:val="clear" w:color="auto" w:fill="E3E0D3"/>
            <w:vAlign w:val="top"/>
          </w:tcPr>
          <w:p w14:paraId="5FB5F132">
            <w:pPr>
              <w:pStyle w:val="6"/>
              <w:spacing w:before="102" w:line="219" w:lineRule="auto"/>
              <w:ind w:left="110"/>
              <w:rPr>
                <w:sz w:val="21"/>
                <w:szCs w:val="21"/>
              </w:rPr>
            </w:pPr>
            <w:r>
              <w:rPr>
                <w:spacing w:val="3"/>
                <w:sz w:val="21"/>
                <w:szCs w:val="21"/>
              </w:rPr>
              <w:t>通常是某一时间段(如一年)</w:t>
            </w:r>
          </w:p>
        </w:tc>
      </w:tr>
      <w:tr w14:paraId="4C09476B">
        <w:trPr>
          <w:trHeight w:val="359" w:hRule="atLeast"/>
        </w:trPr>
        <w:tc>
          <w:tcPr>
            <w:tcW w:w="9356" w:type="dxa"/>
            <w:gridSpan w:val="3"/>
            <w:tcBorders>
              <w:top w:val="single" w:color="000000" w:sz="4" w:space="0"/>
              <w:bottom w:val="single" w:color="000000" w:sz="4" w:space="0"/>
            </w:tcBorders>
            <w:vAlign w:val="top"/>
          </w:tcPr>
          <w:p w14:paraId="7BCD2C1A">
            <w:pPr>
              <w:pStyle w:val="6"/>
              <w:spacing w:before="82" w:line="220" w:lineRule="auto"/>
              <w:ind w:left="120"/>
              <w:rPr>
                <w:sz w:val="21"/>
                <w:szCs w:val="21"/>
              </w:rPr>
            </w:pPr>
            <w:r>
              <w:rPr>
                <w:spacing w:val="-5"/>
                <w:sz w:val="21"/>
                <w:szCs w:val="21"/>
              </w:rPr>
              <w:t>适用疾病种类</w:t>
            </w:r>
            <w:r>
              <w:rPr>
                <w:spacing w:val="93"/>
                <w:sz w:val="21"/>
                <w:szCs w:val="21"/>
              </w:rPr>
              <w:t xml:space="preserve"> </w:t>
            </w:r>
            <w:r>
              <w:rPr>
                <w:spacing w:val="-5"/>
                <w:sz w:val="21"/>
                <w:szCs w:val="21"/>
              </w:rPr>
              <w:t>急性传染病，或急性发作且病情危重的疾病 各种疾病</w:t>
            </w:r>
          </w:p>
        </w:tc>
      </w:tr>
      <w:tr w14:paraId="5989A95B">
        <w:trPr>
          <w:trHeight w:val="658" w:hRule="atLeast"/>
        </w:trPr>
        <w:tc>
          <w:tcPr>
            <w:tcW w:w="1430" w:type="dxa"/>
            <w:tcBorders>
              <w:top w:val="single" w:color="000000" w:sz="4" w:space="0"/>
              <w:bottom w:val="single" w:color="000000" w:sz="4" w:space="0"/>
            </w:tcBorders>
            <w:shd w:val="clear" w:color="auto" w:fill="E5EAE8"/>
            <w:vAlign w:val="top"/>
          </w:tcPr>
          <w:p w14:paraId="14D96337">
            <w:pPr>
              <w:pStyle w:val="6"/>
              <w:spacing w:before="235" w:line="221" w:lineRule="auto"/>
              <w:ind w:left="120"/>
              <w:rPr>
                <w:sz w:val="21"/>
                <w:szCs w:val="21"/>
              </w:rPr>
            </w:pPr>
            <w:r>
              <w:rPr>
                <w:spacing w:val="-3"/>
                <w:sz w:val="21"/>
                <w:szCs w:val="21"/>
              </w:rPr>
              <w:t>用途</w:t>
            </w:r>
          </w:p>
        </w:tc>
        <w:tc>
          <w:tcPr>
            <w:tcW w:w="3970" w:type="dxa"/>
            <w:tcBorders>
              <w:top w:val="single" w:color="000000" w:sz="4" w:space="0"/>
              <w:bottom w:val="single" w:color="000000" w:sz="4" w:space="0"/>
            </w:tcBorders>
            <w:shd w:val="clear" w:color="auto" w:fill="E0E1DC"/>
            <w:vAlign w:val="top"/>
          </w:tcPr>
          <w:p w14:paraId="7248972C">
            <w:pPr>
              <w:pStyle w:val="6"/>
              <w:spacing w:before="115" w:line="234" w:lineRule="auto"/>
              <w:ind w:left="139" w:right="241"/>
              <w:rPr>
                <w:sz w:val="21"/>
                <w:szCs w:val="21"/>
              </w:rPr>
            </w:pPr>
            <w:r>
              <w:rPr>
                <w:spacing w:val="1"/>
                <w:sz w:val="21"/>
                <w:szCs w:val="21"/>
              </w:rPr>
              <w:t xml:space="preserve">通常用于衡量病程短的急性疾病的危险 </w:t>
            </w:r>
            <w:r>
              <w:rPr>
                <w:spacing w:val="-2"/>
                <w:sz w:val="21"/>
                <w:szCs w:val="21"/>
              </w:rPr>
              <w:t>程度</w:t>
            </w:r>
          </w:p>
        </w:tc>
        <w:tc>
          <w:tcPr>
            <w:tcW w:w="3956" w:type="dxa"/>
            <w:tcBorders>
              <w:top w:val="single" w:color="000000" w:sz="4" w:space="0"/>
              <w:bottom w:val="single" w:color="000000" w:sz="4" w:space="0"/>
            </w:tcBorders>
            <w:shd w:val="clear" w:color="auto" w:fill="E3E0D5"/>
            <w:vAlign w:val="top"/>
          </w:tcPr>
          <w:p w14:paraId="4BB64837">
            <w:pPr>
              <w:pStyle w:val="6"/>
              <w:spacing w:before="232" w:line="218" w:lineRule="auto"/>
              <w:ind w:left="110"/>
              <w:rPr>
                <w:sz w:val="21"/>
                <w:szCs w:val="21"/>
              </w:rPr>
            </w:pPr>
            <w:r>
              <w:rPr>
                <w:spacing w:val="-1"/>
                <w:sz w:val="21"/>
                <w:szCs w:val="21"/>
              </w:rPr>
              <w:t>评估整体人群的健康状况和死亡风险</w:t>
            </w:r>
          </w:p>
        </w:tc>
      </w:tr>
      <w:tr w14:paraId="79207A3E">
        <w:trPr>
          <w:trHeight w:val="653" w:hRule="atLeast"/>
        </w:trPr>
        <w:tc>
          <w:tcPr>
            <w:tcW w:w="1430" w:type="dxa"/>
            <w:tcBorders>
              <w:top w:val="single" w:color="000000" w:sz="4" w:space="0"/>
              <w:bottom w:val="single" w:color="000000" w:sz="4" w:space="0"/>
            </w:tcBorders>
            <w:vAlign w:val="top"/>
          </w:tcPr>
          <w:p w14:paraId="409B0721">
            <w:pPr>
              <w:pStyle w:val="6"/>
              <w:spacing w:before="226" w:line="219" w:lineRule="auto"/>
              <w:ind w:left="120"/>
              <w:rPr>
                <w:sz w:val="21"/>
                <w:szCs w:val="21"/>
              </w:rPr>
            </w:pPr>
            <w:r>
              <w:rPr>
                <w:spacing w:val="-2"/>
                <w:sz w:val="21"/>
                <w:szCs w:val="21"/>
              </w:rPr>
              <w:t>影响因素</w:t>
            </w:r>
          </w:p>
        </w:tc>
        <w:tc>
          <w:tcPr>
            <w:tcW w:w="3970" w:type="dxa"/>
            <w:tcBorders>
              <w:top w:val="single" w:color="000000" w:sz="4" w:space="0"/>
              <w:bottom w:val="single" w:color="000000" w:sz="4" w:space="0"/>
            </w:tcBorders>
            <w:vAlign w:val="top"/>
          </w:tcPr>
          <w:p w14:paraId="1982A97A">
            <w:pPr>
              <w:pStyle w:val="6"/>
              <w:spacing w:before="106" w:line="236" w:lineRule="auto"/>
              <w:ind w:left="40" w:right="110"/>
              <w:rPr>
                <w:sz w:val="21"/>
                <w:szCs w:val="21"/>
              </w:rPr>
            </w:pPr>
            <w:r>
              <w:rPr>
                <w:spacing w:val="-9"/>
                <w:sz w:val="21"/>
                <w:szCs w:val="21"/>
              </w:rPr>
              <w:t>疾病严重程度、病原体毒力、诊断和治疗水</w:t>
            </w:r>
            <w:r>
              <w:rPr>
                <w:sz w:val="21"/>
                <w:szCs w:val="21"/>
              </w:rPr>
              <w:t xml:space="preserve"> </w:t>
            </w:r>
            <w:r>
              <w:rPr>
                <w:spacing w:val="-4"/>
                <w:sz w:val="21"/>
                <w:szCs w:val="21"/>
              </w:rPr>
              <w:t>平</w:t>
            </w:r>
            <w:r>
              <w:rPr>
                <w:spacing w:val="32"/>
                <w:sz w:val="21"/>
                <w:szCs w:val="21"/>
              </w:rPr>
              <w:t xml:space="preserve"> </w:t>
            </w:r>
            <w:r>
              <w:rPr>
                <w:spacing w:val="-4"/>
                <w:sz w:val="21"/>
                <w:szCs w:val="21"/>
              </w:rPr>
              <w:t>等</w:t>
            </w:r>
          </w:p>
        </w:tc>
        <w:tc>
          <w:tcPr>
            <w:tcW w:w="3956" w:type="dxa"/>
            <w:tcBorders>
              <w:top w:val="single" w:color="000000" w:sz="4" w:space="0"/>
              <w:bottom w:val="single" w:color="000000" w:sz="4" w:space="0"/>
            </w:tcBorders>
            <w:vAlign w:val="top"/>
          </w:tcPr>
          <w:p w14:paraId="7D7E317A">
            <w:pPr>
              <w:pStyle w:val="6"/>
              <w:spacing w:before="106" w:line="236" w:lineRule="auto"/>
              <w:ind w:left="100"/>
              <w:rPr>
                <w:sz w:val="21"/>
                <w:szCs w:val="21"/>
              </w:rPr>
            </w:pPr>
            <w:r>
              <w:rPr>
                <w:spacing w:val="-8"/>
                <w:sz w:val="21"/>
                <w:szCs w:val="21"/>
              </w:rPr>
              <w:t>整体人口构成、健康状况、卫生保健水平和</w:t>
            </w:r>
            <w:r>
              <w:rPr>
                <w:spacing w:val="16"/>
                <w:sz w:val="21"/>
                <w:szCs w:val="21"/>
              </w:rPr>
              <w:t xml:space="preserve"> </w:t>
            </w:r>
            <w:r>
              <w:rPr>
                <w:spacing w:val="4"/>
                <w:sz w:val="21"/>
                <w:szCs w:val="21"/>
              </w:rPr>
              <w:t>社会经济环境等</w:t>
            </w:r>
          </w:p>
        </w:tc>
      </w:tr>
    </w:tbl>
    <w:p w14:paraId="136BCAEF">
      <w:pPr>
        <w:spacing w:line="329" w:lineRule="auto"/>
        <w:rPr>
          <w:rFonts w:ascii="Arial"/>
          <w:sz w:val="21"/>
        </w:rPr>
      </w:pPr>
    </w:p>
    <w:p w14:paraId="3BE30CDC">
      <w:pPr>
        <w:pStyle w:val="2"/>
        <w:spacing w:before="71" w:line="222" w:lineRule="auto"/>
        <w:ind w:left="490"/>
        <w:rPr>
          <w:sz w:val="22"/>
          <w:szCs w:val="22"/>
        </w:rPr>
      </w:pPr>
      <w:r>
        <w:rPr>
          <w:spacing w:val="25"/>
          <w:sz w:val="22"/>
          <w:szCs w:val="22"/>
        </w:rPr>
        <w:t>(三)生存率</w:t>
      </w:r>
    </w:p>
    <w:p w14:paraId="332C254C">
      <w:pPr>
        <w:spacing w:before="62" w:line="316" w:lineRule="auto"/>
        <w:ind w:left="29" w:right="616" w:firstLine="430"/>
        <w:rPr>
          <w:rFonts w:ascii="宋体" w:hAnsi="宋体" w:eastAsia="宋体" w:cs="宋体"/>
          <w:sz w:val="22"/>
          <w:szCs w:val="22"/>
        </w:rPr>
      </w:pPr>
      <w:r>
        <w:rPr>
          <w:rFonts w:ascii="宋体" w:hAnsi="宋体" w:eastAsia="宋体" w:cs="宋体"/>
          <w:spacing w:val="-3"/>
          <w:sz w:val="22"/>
          <w:szCs w:val="22"/>
        </w:rPr>
        <w:t>1. 定</w:t>
      </w:r>
      <w:r>
        <w:rPr>
          <w:rFonts w:ascii="宋体" w:hAnsi="宋体" w:eastAsia="宋体" w:cs="宋体"/>
          <w:spacing w:val="-13"/>
          <w:sz w:val="22"/>
          <w:szCs w:val="22"/>
        </w:rPr>
        <w:t xml:space="preserve"> </w:t>
      </w:r>
      <w:r>
        <w:rPr>
          <w:rFonts w:ascii="宋体" w:hAnsi="宋体" w:eastAsia="宋体" w:cs="宋体"/>
          <w:spacing w:val="-3"/>
          <w:sz w:val="22"/>
          <w:szCs w:val="22"/>
        </w:rPr>
        <w:t>义</w:t>
      </w:r>
      <w:r>
        <w:rPr>
          <w:rFonts w:ascii="宋体" w:hAnsi="宋体" w:eastAsia="宋体" w:cs="宋体"/>
          <w:spacing w:val="-31"/>
          <w:sz w:val="22"/>
          <w:szCs w:val="22"/>
        </w:rPr>
        <w:t xml:space="preserve"> </w:t>
      </w:r>
      <w:r>
        <w:rPr>
          <w:rFonts w:ascii="宋体" w:hAnsi="宋体" w:eastAsia="宋体" w:cs="宋体"/>
          <w:spacing w:val="-3"/>
          <w:sz w:val="22"/>
          <w:szCs w:val="22"/>
        </w:rPr>
        <w:t>生</w:t>
      </w:r>
      <w:r>
        <w:rPr>
          <w:rFonts w:ascii="宋体" w:hAnsi="宋体" w:eastAsia="宋体" w:cs="宋体"/>
          <w:spacing w:val="-33"/>
          <w:sz w:val="22"/>
          <w:szCs w:val="22"/>
        </w:rPr>
        <w:t xml:space="preserve"> </w:t>
      </w:r>
      <w:r>
        <w:rPr>
          <w:rFonts w:ascii="宋体" w:hAnsi="宋体" w:eastAsia="宋体" w:cs="宋体"/>
          <w:spacing w:val="-3"/>
          <w:sz w:val="22"/>
          <w:szCs w:val="22"/>
        </w:rPr>
        <w:t>存</w:t>
      </w:r>
      <w:r>
        <w:rPr>
          <w:rFonts w:ascii="宋体" w:hAnsi="宋体" w:eastAsia="宋体" w:cs="宋体"/>
          <w:spacing w:val="-32"/>
          <w:sz w:val="22"/>
          <w:szCs w:val="22"/>
        </w:rPr>
        <w:t xml:space="preserve"> </w:t>
      </w:r>
      <w:r>
        <w:rPr>
          <w:rFonts w:ascii="宋体" w:hAnsi="宋体" w:eastAsia="宋体" w:cs="宋体"/>
          <w:spacing w:val="-3"/>
          <w:sz w:val="22"/>
          <w:szCs w:val="22"/>
        </w:rPr>
        <w:t>率</w:t>
      </w:r>
      <w:r>
        <w:rPr>
          <w:rFonts w:ascii="Times New Roman" w:hAnsi="Times New Roman" w:eastAsia="Times New Roman" w:cs="Times New Roman"/>
          <w:spacing w:val="-3"/>
          <w:sz w:val="22"/>
          <w:szCs w:val="22"/>
        </w:rPr>
        <w:t>(survival</w:t>
      </w:r>
      <w:r>
        <w:rPr>
          <w:rFonts w:ascii="Times New Roman" w:hAnsi="Times New Roman" w:eastAsia="Times New Roman" w:cs="Times New Roman"/>
          <w:spacing w:val="13"/>
          <w:w w:val="101"/>
          <w:sz w:val="22"/>
          <w:szCs w:val="22"/>
        </w:rPr>
        <w:t xml:space="preserve">   </w:t>
      </w:r>
      <w:r>
        <w:rPr>
          <w:rFonts w:ascii="Times New Roman" w:hAnsi="Times New Roman" w:eastAsia="Times New Roman" w:cs="Times New Roman"/>
          <w:spacing w:val="-3"/>
          <w:sz w:val="22"/>
          <w:szCs w:val="22"/>
        </w:rPr>
        <w:t>rate)</w:t>
      </w:r>
      <w:r>
        <w:rPr>
          <w:rFonts w:ascii="宋体" w:hAnsi="宋体" w:eastAsia="宋体" w:cs="宋体"/>
          <w:spacing w:val="-3"/>
          <w:sz w:val="22"/>
          <w:szCs w:val="22"/>
        </w:rPr>
        <w:t>指接受某种治疗的病人或某病病人中，经</w:t>
      </w:r>
      <w:r>
        <w:rPr>
          <w:rFonts w:ascii="Times New Roman" w:hAnsi="Times New Roman" w:eastAsia="Times New Roman" w:cs="Times New Roman"/>
          <w:spacing w:val="-3"/>
          <w:sz w:val="22"/>
          <w:szCs w:val="22"/>
        </w:rPr>
        <w:t xml:space="preserve">n </w:t>
      </w:r>
      <w:r>
        <w:rPr>
          <w:rFonts w:ascii="宋体" w:hAnsi="宋体" w:eastAsia="宋体" w:cs="宋体"/>
          <w:spacing w:val="-3"/>
          <w:sz w:val="22"/>
          <w:szCs w:val="22"/>
        </w:rPr>
        <w:t>年随访后，尚存活</w:t>
      </w:r>
      <w:r>
        <w:rPr>
          <w:rFonts w:ascii="宋体" w:hAnsi="宋体" w:eastAsia="宋体" w:cs="宋体"/>
          <w:sz w:val="22"/>
          <w:szCs w:val="22"/>
        </w:rPr>
        <w:t xml:space="preserve"> </w:t>
      </w:r>
      <w:r>
        <w:rPr>
          <w:rFonts w:ascii="宋体" w:hAnsi="宋体" w:eastAsia="宋体" w:cs="宋体"/>
          <w:spacing w:val="-3"/>
          <w:sz w:val="22"/>
          <w:szCs w:val="22"/>
        </w:rPr>
        <w:t>的病例数所占的比例。</w:t>
      </w:r>
    </w:p>
    <w:p w14:paraId="58565B29">
      <w:pPr>
        <w:rPr>
          <w:rFonts w:ascii="Arial"/>
          <w:sz w:val="21"/>
        </w:rPr>
      </w:pPr>
      <w:r>
        <w:drawing>
          <wp:anchor distT="0" distB="0" distL="0" distR="0" simplePos="0" relativeHeight="251683840" behindDoc="0" locked="0" layoutInCell="1" allowOverlap="1">
            <wp:simplePos x="0" y="0"/>
            <wp:positionH relativeFrom="column">
              <wp:posOffset>1644650</wp:posOffset>
            </wp:positionH>
            <wp:positionV relativeFrom="paragraph">
              <wp:posOffset>96520</wp:posOffset>
            </wp:positionV>
            <wp:extent cx="2673350" cy="349250"/>
            <wp:effectExtent l="0" t="0" r="0" b="0"/>
            <wp:wrapNone/>
            <wp:docPr id="86" name="IM 86"/>
            <wp:cNvGraphicFramePr/>
            <a:graphic xmlns:a="http://schemas.openxmlformats.org/drawingml/2006/main">
              <a:graphicData uri="http://schemas.openxmlformats.org/drawingml/2006/picture">
                <pic:pic xmlns:pic="http://schemas.openxmlformats.org/drawingml/2006/picture">
                  <pic:nvPicPr>
                    <pic:cNvPr id="86" name="IM 86"/>
                    <pic:cNvPicPr/>
                  </pic:nvPicPr>
                  <pic:blipFill>
                    <a:blip r:embed="rId439"/>
                    <a:stretch>
                      <a:fillRect/>
                    </a:stretch>
                  </pic:blipFill>
                  <pic:spPr>
                    <a:xfrm>
                      <a:off x="0" y="0"/>
                      <a:ext cx="2673338" cy="349258"/>
                    </a:xfrm>
                    <a:prstGeom prst="rect">
                      <a:avLst/>
                    </a:prstGeom>
                  </pic:spPr>
                </pic:pic>
              </a:graphicData>
            </a:graphic>
          </wp:anchor>
        </w:drawing>
      </w:r>
    </w:p>
    <w:p w14:paraId="43A5C844">
      <w:pPr>
        <w:spacing w:before="71" w:line="221" w:lineRule="auto"/>
        <w:ind w:left="8480"/>
        <w:rPr>
          <w:rFonts w:ascii="宋体" w:hAnsi="宋体" w:eastAsia="宋体" w:cs="宋体"/>
          <w:sz w:val="22"/>
          <w:szCs w:val="22"/>
        </w:rPr>
      </w:pPr>
      <w:r>
        <w:rPr>
          <w:rFonts w:ascii="宋体" w:hAnsi="宋体" w:eastAsia="宋体" w:cs="宋体"/>
          <w:spacing w:val="9"/>
          <w:sz w:val="22"/>
          <w:szCs w:val="22"/>
        </w:rPr>
        <w:t>式(2-10)</w:t>
      </w:r>
    </w:p>
    <w:p w14:paraId="3B5B3C45">
      <w:pPr>
        <w:spacing w:line="301" w:lineRule="auto"/>
        <w:rPr>
          <w:rFonts w:ascii="Arial"/>
          <w:sz w:val="21"/>
        </w:rPr>
      </w:pPr>
    </w:p>
    <w:p w14:paraId="3F56D6E9">
      <w:pPr>
        <w:spacing w:before="72" w:line="280" w:lineRule="auto"/>
        <w:ind w:left="29" w:right="604" w:firstLine="410"/>
        <w:rPr>
          <w:rFonts w:ascii="宋体" w:hAnsi="宋体" w:eastAsia="宋体" w:cs="宋体"/>
          <w:sz w:val="22"/>
          <w:szCs w:val="22"/>
        </w:rPr>
      </w:pPr>
      <w:r>
        <w:rPr>
          <w:rFonts w:ascii="宋体" w:hAnsi="宋体" w:eastAsia="宋体" w:cs="宋体"/>
          <w:spacing w:val="-2"/>
          <w:sz w:val="22"/>
          <w:szCs w:val="22"/>
        </w:rPr>
        <w:t>式(2-10)适用于无失访和没有删失数据时；如有失访或存在删失</w:t>
      </w:r>
      <w:r>
        <w:rPr>
          <w:rFonts w:ascii="宋体" w:hAnsi="宋体" w:eastAsia="宋体" w:cs="宋体"/>
          <w:spacing w:val="-3"/>
          <w:sz w:val="22"/>
          <w:szCs w:val="22"/>
        </w:rPr>
        <w:t>数据时，生存率可通过寿命表</w:t>
      </w:r>
      <w:r>
        <w:rPr>
          <w:rFonts w:ascii="宋体" w:hAnsi="宋体" w:eastAsia="宋体" w:cs="宋体"/>
          <w:sz w:val="22"/>
          <w:szCs w:val="22"/>
        </w:rPr>
        <w:t xml:space="preserve"> 法或</w:t>
      </w:r>
      <w:r>
        <w:rPr>
          <w:rFonts w:ascii="Times New Roman" w:hAnsi="Times New Roman" w:eastAsia="Times New Roman" w:cs="Times New Roman"/>
          <w:sz w:val="22"/>
          <w:szCs w:val="22"/>
        </w:rPr>
        <w:t>Kaplan-Meier</w:t>
      </w:r>
      <w:r>
        <w:rPr>
          <w:rFonts w:ascii="宋体" w:hAnsi="宋体" w:eastAsia="宋体" w:cs="宋体"/>
          <w:sz w:val="22"/>
          <w:szCs w:val="22"/>
        </w:rPr>
        <w:t>法计算各时段的生存概率累积乘积而得。</w:t>
      </w:r>
    </w:p>
    <w:p w14:paraId="0900EF42">
      <w:pPr>
        <w:spacing w:before="52" w:line="296" w:lineRule="auto"/>
        <w:ind w:left="29" w:right="615" w:firstLine="440"/>
        <w:rPr>
          <w:rFonts w:ascii="宋体" w:hAnsi="宋体" w:eastAsia="宋体" w:cs="宋体"/>
          <w:sz w:val="22"/>
          <w:szCs w:val="22"/>
        </w:rPr>
      </w:pPr>
      <w:r>
        <w:rPr>
          <w:rFonts w:ascii="宋体" w:hAnsi="宋体" w:eastAsia="宋体" w:cs="宋体"/>
          <w:sz w:val="22"/>
          <w:szCs w:val="22"/>
        </w:rPr>
        <w:t>2. 应用</w:t>
      </w:r>
      <w:r>
        <w:rPr>
          <w:rFonts w:ascii="宋体" w:hAnsi="宋体" w:eastAsia="宋体" w:cs="宋体"/>
          <w:spacing w:val="78"/>
          <w:sz w:val="22"/>
          <w:szCs w:val="22"/>
        </w:rPr>
        <w:t xml:space="preserve"> </w:t>
      </w:r>
      <w:r>
        <w:rPr>
          <w:rFonts w:ascii="宋体" w:hAnsi="宋体" w:eastAsia="宋体" w:cs="宋体"/>
          <w:sz w:val="22"/>
          <w:szCs w:val="22"/>
        </w:rPr>
        <w:t xml:space="preserve">生存率反映疾病对生命的危害程度，可用于评价某些病程较长疾病的远期疗效，常 </w:t>
      </w:r>
      <w:r>
        <w:rPr>
          <w:rFonts w:ascii="宋体" w:hAnsi="宋体" w:eastAsia="宋体" w:cs="宋体"/>
          <w:spacing w:val="-8"/>
          <w:sz w:val="22"/>
          <w:szCs w:val="22"/>
        </w:rPr>
        <w:t>用于癌症、心血管疾病、结核病等慢性疾病的预后研究。</w:t>
      </w:r>
    </w:p>
    <w:p w14:paraId="16575349">
      <w:pPr>
        <w:pStyle w:val="2"/>
        <w:spacing w:before="234" w:line="221" w:lineRule="auto"/>
        <w:ind w:left="530"/>
        <w:outlineLvl w:val="2"/>
        <w:rPr>
          <w:sz w:val="22"/>
          <w:szCs w:val="22"/>
        </w:rPr>
      </w:pPr>
      <w:bookmarkStart w:id="35" w:name="bookmark21"/>
      <w:bookmarkEnd w:id="35"/>
      <w:r>
        <w:rPr>
          <w:spacing w:val="24"/>
          <w:sz w:val="22"/>
          <w:szCs w:val="22"/>
        </w:rPr>
        <w:t>四 、疾病负担指标</w:t>
      </w:r>
    </w:p>
    <w:p w14:paraId="0E17FFE3">
      <w:pPr>
        <w:pStyle w:val="2"/>
        <w:spacing w:before="269" w:line="222" w:lineRule="auto"/>
        <w:ind w:left="490"/>
        <w:rPr>
          <w:sz w:val="22"/>
          <w:szCs w:val="22"/>
        </w:rPr>
      </w:pPr>
      <w:r>
        <w:rPr>
          <w:spacing w:val="18"/>
          <w:sz w:val="22"/>
          <w:szCs w:val="22"/>
        </w:rPr>
        <w:t>(</w:t>
      </w:r>
      <w:r>
        <w:rPr>
          <w:spacing w:val="-61"/>
          <w:sz w:val="22"/>
          <w:szCs w:val="22"/>
        </w:rPr>
        <w:t xml:space="preserve"> </w:t>
      </w:r>
      <w:r>
        <w:rPr>
          <w:spacing w:val="18"/>
          <w:sz w:val="22"/>
          <w:szCs w:val="22"/>
        </w:rPr>
        <w:t>一)潜在减寿年数</w:t>
      </w:r>
    </w:p>
    <w:p w14:paraId="795DE541">
      <w:pPr>
        <w:pStyle w:val="2"/>
        <w:spacing w:before="90" w:line="316" w:lineRule="auto"/>
        <w:ind w:left="19" w:right="593" w:firstLine="480"/>
        <w:rPr>
          <w:rFonts w:ascii="宋体" w:hAnsi="宋体" w:eastAsia="宋体" w:cs="宋体"/>
          <w:sz w:val="22"/>
          <w:szCs w:val="22"/>
        </w:rPr>
      </w:pPr>
      <w:r>
        <w:drawing>
          <wp:anchor distT="0" distB="0" distL="0" distR="0" simplePos="0" relativeHeight="251684864" behindDoc="0" locked="0" layoutInCell="1" allowOverlap="1">
            <wp:simplePos x="0" y="0"/>
            <wp:positionH relativeFrom="column">
              <wp:posOffset>2565400</wp:posOffset>
            </wp:positionH>
            <wp:positionV relativeFrom="paragraph">
              <wp:posOffset>626110</wp:posOffset>
            </wp:positionV>
            <wp:extent cx="863600" cy="330200"/>
            <wp:effectExtent l="0" t="0" r="0" b="0"/>
            <wp:wrapNone/>
            <wp:docPr id="88" name="IM 88"/>
            <wp:cNvGraphicFramePr/>
            <a:graphic xmlns:a="http://schemas.openxmlformats.org/drawingml/2006/main">
              <a:graphicData uri="http://schemas.openxmlformats.org/drawingml/2006/picture">
                <pic:pic xmlns:pic="http://schemas.openxmlformats.org/drawingml/2006/picture">
                  <pic:nvPicPr>
                    <pic:cNvPr id="88" name="IM 88"/>
                    <pic:cNvPicPr/>
                  </pic:nvPicPr>
                  <pic:blipFill>
                    <a:blip r:embed="rId440"/>
                    <a:stretch>
                      <a:fillRect/>
                    </a:stretch>
                  </pic:blipFill>
                  <pic:spPr>
                    <a:xfrm>
                      <a:off x="0" y="0"/>
                      <a:ext cx="863556" cy="330247"/>
                    </a:xfrm>
                    <a:prstGeom prst="rect">
                      <a:avLst/>
                    </a:prstGeom>
                  </pic:spPr>
                </pic:pic>
              </a:graphicData>
            </a:graphic>
          </wp:anchor>
        </w:drawing>
      </w:r>
      <w:r>
        <w:rPr>
          <w:rFonts w:ascii="Times New Roman" w:hAnsi="Times New Roman" w:eastAsia="Times New Roman" w:cs="Times New Roman"/>
          <w:spacing w:val="1"/>
          <w:sz w:val="22"/>
          <w:szCs w:val="22"/>
        </w:rPr>
        <w:t>1.</w:t>
      </w:r>
      <w:r>
        <w:rPr>
          <w:rFonts w:ascii="Times New Roman" w:hAnsi="Times New Roman" w:eastAsia="Times New Roman" w:cs="Times New Roman"/>
          <w:spacing w:val="15"/>
          <w:w w:val="101"/>
          <w:sz w:val="22"/>
          <w:szCs w:val="22"/>
        </w:rPr>
        <w:t xml:space="preserve">  </w:t>
      </w:r>
      <w:r>
        <w:rPr>
          <w:spacing w:val="1"/>
          <w:sz w:val="22"/>
          <w:szCs w:val="22"/>
        </w:rPr>
        <w:t>定义</w:t>
      </w:r>
      <w:r>
        <w:rPr>
          <w:spacing w:val="57"/>
          <w:sz w:val="22"/>
          <w:szCs w:val="22"/>
        </w:rPr>
        <w:t xml:space="preserve"> </w:t>
      </w:r>
      <w:r>
        <w:rPr>
          <w:rFonts w:ascii="宋体" w:hAnsi="宋体" w:eastAsia="宋体" w:cs="宋体"/>
          <w:spacing w:val="1"/>
          <w:sz w:val="22"/>
          <w:szCs w:val="22"/>
        </w:rPr>
        <w:t>潜在减寿年数</w:t>
      </w:r>
      <w:r>
        <w:rPr>
          <w:rFonts w:ascii="Times New Roman" w:hAnsi="Times New Roman" w:eastAsia="Times New Roman" w:cs="Times New Roman"/>
          <w:spacing w:val="1"/>
          <w:sz w:val="22"/>
          <w:szCs w:val="22"/>
        </w:rPr>
        <w:t>(</w:t>
      </w:r>
      <w:r>
        <w:rPr>
          <w:rFonts w:ascii="Times New Roman" w:hAnsi="Times New Roman" w:eastAsia="Times New Roman" w:cs="Times New Roman"/>
          <w:sz w:val="22"/>
          <w:szCs w:val="22"/>
        </w:rPr>
        <w:t>potential</w:t>
      </w:r>
      <w:r>
        <w:rPr>
          <w:rFonts w:ascii="Times New Roman" w:hAnsi="Times New Roman" w:eastAsia="Times New Roman" w:cs="Times New Roman"/>
          <w:spacing w:val="26"/>
          <w:w w:val="101"/>
          <w:sz w:val="22"/>
          <w:szCs w:val="22"/>
        </w:rPr>
        <w:t xml:space="preserve"> </w:t>
      </w:r>
      <w:r>
        <w:rPr>
          <w:rFonts w:ascii="Times New Roman" w:hAnsi="Times New Roman" w:eastAsia="Times New Roman" w:cs="Times New Roman"/>
          <w:sz w:val="22"/>
          <w:szCs w:val="22"/>
        </w:rPr>
        <w:t>years</w:t>
      </w:r>
      <w:r>
        <w:rPr>
          <w:rFonts w:ascii="Times New Roman" w:hAnsi="Times New Roman" w:eastAsia="Times New Roman" w:cs="Times New Roman"/>
          <w:spacing w:val="32"/>
          <w:w w:val="101"/>
          <w:sz w:val="22"/>
          <w:szCs w:val="22"/>
        </w:rPr>
        <w:t xml:space="preserve"> </w:t>
      </w:r>
      <w:r>
        <w:rPr>
          <w:rFonts w:ascii="Times New Roman" w:hAnsi="Times New Roman" w:eastAsia="Times New Roman" w:cs="Times New Roman"/>
          <w:sz w:val="22"/>
          <w:szCs w:val="22"/>
        </w:rPr>
        <w:t>of</w:t>
      </w:r>
      <w:r>
        <w:rPr>
          <w:rFonts w:ascii="Times New Roman" w:hAnsi="Times New Roman" w:eastAsia="Times New Roman" w:cs="Times New Roman"/>
          <w:spacing w:val="1"/>
          <w:sz w:val="22"/>
          <w:szCs w:val="22"/>
        </w:rPr>
        <w:t xml:space="preserve"> </w:t>
      </w:r>
      <w:r>
        <w:rPr>
          <w:rFonts w:ascii="Times New Roman" w:hAnsi="Times New Roman" w:eastAsia="Times New Roman" w:cs="Times New Roman"/>
          <w:sz w:val="22"/>
          <w:szCs w:val="22"/>
        </w:rPr>
        <w:t>life</w:t>
      </w:r>
      <w:r>
        <w:rPr>
          <w:rFonts w:ascii="Times New Roman" w:hAnsi="Times New Roman" w:eastAsia="Times New Roman" w:cs="Times New Roman"/>
          <w:spacing w:val="32"/>
          <w:sz w:val="22"/>
          <w:szCs w:val="22"/>
        </w:rPr>
        <w:t xml:space="preserve"> </w:t>
      </w:r>
      <w:r>
        <w:rPr>
          <w:rFonts w:ascii="Times New Roman" w:hAnsi="Times New Roman" w:eastAsia="Times New Roman" w:cs="Times New Roman"/>
          <w:sz w:val="22"/>
          <w:szCs w:val="22"/>
        </w:rPr>
        <w:t>lost</w:t>
      </w:r>
      <w:r>
        <w:rPr>
          <w:rFonts w:ascii="Times New Roman" w:hAnsi="Times New Roman" w:eastAsia="Times New Roman" w:cs="Times New Roman"/>
          <w:spacing w:val="1"/>
          <w:sz w:val="22"/>
          <w:szCs w:val="22"/>
        </w:rPr>
        <w:t>,</w:t>
      </w:r>
      <w:r>
        <w:rPr>
          <w:rFonts w:ascii="Times New Roman" w:hAnsi="Times New Roman" w:eastAsia="Times New Roman" w:cs="Times New Roman"/>
          <w:sz w:val="22"/>
          <w:szCs w:val="22"/>
        </w:rPr>
        <w:t>PYLL</w:t>
      </w:r>
      <w:r>
        <w:rPr>
          <w:rFonts w:ascii="Times New Roman" w:hAnsi="Times New Roman" w:eastAsia="Times New Roman" w:cs="Times New Roman"/>
          <w:spacing w:val="1"/>
          <w:sz w:val="22"/>
          <w:szCs w:val="22"/>
        </w:rPr>
        <w:t>)</w:t>
      </w:r>
      <w:r>
        <w:rPr>
          <w:rFonts w:ascii="宋体" w:hAnsi="宋体" w:eastAsia="宋体" w:cs="宋体"/>
          <w:spacing w:val="1"/>
          <w:sz w:val="22"/>
          <w:szCs w:val="22"/>
        </w:rPr>
        <w:t>是某病某年龄组人群死亡者</w:t>
      </w:r>
      <w:r>
        <w:rPr>
          <w:rFonts w:ascii="宋体" w:hAnsi="宋体" w:eastAsia="宋体" w:cs="宋体"/>
          <w:sz w:val="22"/>
          <w:szCs w:val="22"/>
        </w:rPr>
        <w:t xml:space="preserve">的期望寿 </w:t>
      </w:r>
      <w:r>
        <w:rPr>
          <w:rFonts w:ascii="宋体" w:hAnsi="宋体" w:eastAsia="宋体" w:cs="宋体"/>
          <w:spacing w:val="-4"/>
          <w:sz w:val="22"/>
          <w:szCs w:val="22"/>
        </w:rPr>
        <w:t>命与实际死亡年龄之差的总和，即死亡所造成的寿命损失。计算公式为：</w:t>
      </w:r>
    </w:p>
    <w:p w14:paraId="27C6F3DE">
      <w:pPr>
        <w:spacing w:before="293" w:line="221" w:lineRule="auto"/>
        <w:ind w:left="8510"/>
        <w:rPr>
          <w:rFonts w:ascii="宋体" w:hAnsi="宋体" w:eastAsia="宋体" w:cs="宋体"/>
          <w:sz w:val="22"/>
          <w:szCs w:val="22"/>
        </w:rPr>
      </w:pPr>
      <w:r>
        <w:rPr>
          <w:rFonts w:ascii="宋体" w:hAnsi="宋体" w:eastAsia="宋体" w:cs="宋体"/>
          <w:spacing w:val="6"/>
          <w:sz w:val="22"/>
          <w:szCs w:val="22"/>
        </w:rPr>
        <w:t>式(2-11)</w:t>
      </w:r>
    </w:p>
    <w:p w14:paraId="77328FFA">
      <w:pPr>
        <w:spacing w:line="265" w:lineRule="auto"/>
        <w:rPr>
          <w:rFonts w:ascii="Arial"/>
          <w:sz w:val="21"/>
        </w:rPr>
      </w:pPr>
    </w:p>
    <w:p w14:paraId="0BDBF120">
      <w:pPr>
        <w:spacing w:before="73" w:line="312" w:lineRule="auto"/>
        <w:ind w:left="19" w:right="590" w:firstLine="9"/>
        <w:jc w:val="both"/>
        <w:rPr>
          <w:rFonts w:ascii="宋体" w:hAnsi="宋体" w:eastAsia="宋体" w:cs="宋体"/>
          <w:sz w:val="22"/>
          <w:szCs w:val="22"/>
        </w:rPr>
      </w:pPr>
      <w:r>
        <w:rPr>
          <w:rFonts w:ascii="宋体" w:hAnsi="宋体" w:eastAsia="宋体" w:cs="宋体"/>
          <w:spacing w:val="-2"/>
          <w:sz w:val="22"/>
          <w:szCs w:val="22"/>
        </w:rPr>
        <w:t>式中，</w:t>
      </w:r>
      <w:r>
        <w:rPr>
          <w:rFonts w:ascii="Times New Roman" w:hAnsi="Times New Roman" w:eastAsia="Times New Roman" w:cs="Times New Roman"/>
          <w:spacing w:val="-2"/>
          <w:sz w:val="22"/>
          <w:szCs w:val="22"/>
        </w:rPr>
        <w:t xml:space="preserve">e </w:t>
      </w:r>
      <w:r>
        <w:rPr>
          <w:rFonts w:ascii="宋体" w:hAnsi="宋体" w:eastAsia="宋体" w:cs="宋体"/>
          <w:spacing w:val="-2"/>
          <w:sz w:val="22"/>
          <w:szCs w:val="22"/>
        </w:rPr>
        <w:t>为预期寿命(岁);</w:t>
      </w:r>
      <w:r>
        <w:rPr>
          <w:rFonts w:ascii="Times New Roman" w:hAnsi="Times New Roman" w:eastAsia="Times New Roman" w:cs="Times New Roman"/>
          <w:spacing w:val="-2"/>
          <w:sz w:val="22"/>
          <w:szCs w:val="22"/>
        </w:rPr>
        <w:t xml:space="preserve">i </w:t>
      </w:r>
      <w:r>
        <w:rPr>
          <w:rFonts w:ascii="宋体" w:hAnsi="宋体" w:eastAsia="宋体" w:cs="宋体"/>
          <w:spacing w:val="-2"/>
          <w:sz w:val="22"/>
          <w:szCs w:val="22"/>
        </w:rPr>
        <w:t>为年龄组(通常计算其年龄组中值)</w:t>
      </w:r>
      <w:r>
        <w:rPr>
          <w:rFonts w:ascii="宋体" w:hAnsi="宋体" w:eastAsia="宋体" w:cs="宋体"/>
          <w:spacing w:val="-58"/>
          <w:sz w:val="22"/>
          <w:szCs w:val="22"/>
        </w:rPr>
        <w:t xml:space="preserve"> </w:t>
      </w:r>
      <w:r>
        <w:rPr>
          <w:rFonts w:ascii="宋体" w:hAnsi="宋体" w:eastAsia="宋体" w:cs="宋体"/>
          <w:spacing w:val="-2"/>
          <w:sz w:val="22"/>
          <w:szCs w:val="22"/>
        </w:rPr>
        <w:t>;</w:t>
      </w:r>
      <w:r>
        <w:rPr>
          <w:rFonts w:ascii="Times New Roman" w:hAnsi="Times New Roman" w:eastAsia="Times New Roman" w:cs="Times New Roman"/>
          <w:spacing w:val="-2"/>
          <w:sz w:val="22"/>
          <w:szCs w:val="22"/>
        </w:rPr>
        <w:t>a</w:t>
      </w:r>
      <w:r>
        <w:rPr>
          <w:rFonts w:ascii="Times New Roman" w:hAnsi="Times New Roman" w:eastAsia="Times New Roman" w:cs="Times New Roman"/>
          <w:spacing w:val="-3"/>
          <w:sz w:val="22"/>
          <w:szCs w:val="22"/>
        </w:rPr>
        <w:t>;</w:t>
      </w:r>
      <w:r>
        <w:rPr>
          <w:rFonts w:ascii="Times New Roman" w:hAnsi="Times New Roman" w:eastAsia="Times New Roman" w:cs="Times New Roman"/>
          <w:spacing w:val="25"/>
          <w:sz w:val="22"/>
          <w:szCs w:val="22"/>
        </w:rPr>
        <w:t xml:space="preserve"> </w:t>
      </w:r>
      <w:r>
        <w:rPr>
          <w:rFonts w:ascii="宋体" w:hAnsi="宋体" w:eastAsia="宋体" w:cs="宋体"/>
          <w:spacing w:val="-3"/>
          <w:sz w:val="22"/>
          <w:szCs w:val="22"/>
        </w:rPr>
        <w:t>为剩余年龄，</w:t>
      </w:r>
      <w:r>
        <w:rPr>
          <w:rFonts w:ascii="Times New Roman" w:hAnsi="Times New Roman" w:eastAsia="Times New Roman" w:cs="Times New Roman"/>
          <w:spacing w:val="-3"/>
          <w:sz w:val="22"/>
          <w:szCs w:val="22"/>
        </w:rPr>
        <w:t xml:space="preserve">a=e-(i+0.5),      </w:t>
      </w:r>
      <w:r>
        <w:rPr>
          <w:rFonts w:ascii="宋体" w:hAnsi="宋体" w:eastAsia="宋体" w:cs="宋体"/>
          <w:spacing w:val="-3"/>
          <w:sz w:val="22"/>
          <w:szCs w:val="22"/>
        </w:rPr>
        <w:t>其</w:t>
      </w:r>
      <w:r>
        <w:rPr>
          <w:rFonts w:ascii="宋体" w:hAnsi="宋体" w:eastAsia="宋体" w:cs="宋体"/>
          <w:spacing w:val="-42"/>
          <w:sz w:val="22"/>
          <w:szCs w:val="22"/>
        </w:rPr>
        <w:t xml:space="preserve"> </w:t>
      </w:r>
      <w:r>
        <w:rPr>
          <w:rFonts w:ascii="宋体" w:hAnsi="宋体" w:eastAsia="宋体" w:cs="宋体"/>
          <w:spacing w:val="-3"/>
          <w:sz w:val="22"/>
          <w:szCs w:val="22"/>
        </w:rPr>
        <w:t>意</w:t>
      </w:r>
      <w:r>
        <w:rPr>
          <w:rFonts w:ascii="宋体" w:hAnsi="宋体" w:eastAsia="宋体" w:cs="宋体"/>
          <w:sz w:val="22"/>
          <w:szCs w:val="22"/>
        </w:rPr>
        <w:t xml:space="preserve"> </w:t>
      </w:r>
      <w:r>
        <w:rPr>
          <w:rFonts w:ascii="宋体" w:hAnsi="宋体" w:eastAsia="宋体" w:cs="宋体"/>
          <w:spacing w:val="1"/>
          <w:sz w:val="22"/>
          <w:szCs w:val="22"/>
        </w:rPr>
        <w:t>义为：当死亡发生于某年龄(组)</w:t>
      </w:r>
      <w:r>
        <w:rPr>
          <w:rFonts w:ascii="Times New Roman" w:hAnsi="Times New Roman" w:eastAsia="Times New Roman" w:cs="Times New Roman"/>
          <w:spacing w:val="1"/>
          <w:sz w:val="22"/>
          <w:szCs w:val="22"/>
        </w:rPr>
        <w:t xml:space="preserve">i </w:t>
      </w:r>
      <w:r>
        <w:rPr>
          <w:rFonts w:ascii="宋体" w:hAnsi="宋体" w:eastAsia="宋体" w:cs="宋体"/>
          <w:spacing w:val="1"/>
          <w:sz w:val="22"/>
          <w:szCs w:val="22"/>
        </w:rPr>
        <w:t>时，至活到</w:t>
      </w:r>
      <w:r>
        <w:rPr>
          <w:rFonts w:ascii="Times New Roman" w:hAnsi="Times New Roman" w:eastAsia="Times New Roman" w:cs="Times New Roman"/>
          <w:spacing w:val="1"/>
          <w:sz w:val="22"/>
          <w:szCs w:val="22"/>
        </w:rPr>
        <w:t>e</w:t>
      </w:r>
      <w:r>
        <w:rPr>
          <w:rFonts w:ascii="Times New Roman" w:hAnsi="Times New Roman" w:eastAsia="Times New Roman" w:cs="Times New Roman"/>
          <w:spacing w:val="25"/>
          <w:w w:val="101"/>
          <w:sz w:val="22"/>
          <w:szCs w:val="22"/>
        </w:rPr>
        <w:t xml:space="preserve"> </w:t>
      </w:r>
      <w:r>
        <w:rPr>
          <w:rFonts w:ascii="宋体" w:hAnsi="宋体" w:eastAsia="宋体" w:cs="宋体"/>
          <w:spacing w:val="1"/>
          <w:sz w:val="22"/>
          <w:szCs w:val="22"/>
        </w:rPr>
        <w:t>岁还剩余的年龄。由于死</w:t>
      </w:r>
      <w:r>
        <w:rPr>
          <w:rFonts w:ascii="宋体" w:hAnsi="宋体" w:eastAsia="宋体" w:cs="宋体"/>
          <w:sz w:val="22"/>
          <w:szCs w:val="22"/>
        </w:rPr>
        <w:t xml:space="preserve">亡年龄通常以上一个生日 </w:t>
      </w:r>
      <w:r>
        <w:rPr>
          <w:rFonts w:ascii="宋体" w:hAnsi="宋体" w:eastAsia="宋体" w:cs="宋体"/>
          <w:spacing w:val="-5"/>
          <w:sz w:val="22"/>
          <w:szCs w:val="22"/>
        </w:rPr>
        <w:t>计算，所以尚应加上一个平均值0.5岁；d;</w:t>
      </w:r>
      <w:r>
        <w:rPr>
          <w:rFonts w:ascii="宋体" w:hAnsi="宋体" w:eastAsia="宋体" w:cs="宋体"/>
          <w:spacing w:val="-6"/>
          <w:sz w:val="22"/>
          <w:szCs w:val="22"/>
        </w:rPr>
        <w:t>为某年龄组的死亡人数。</w:t>
      </w:r>
    </w:p>
    <w:p w14:paraId="314F106B">
      <w:pPr>
        <w:spacing w:before="1" w:line="304" w:lineRule="auto"/>
        <w:ind w:left="29" w:right="593" w:firstLine="430"/>
        <w:rPr>
          <w:rFonts w:ascii="宋体" w:hAnsi="宋体" w:eastAsia="宋体" w:cs="宋体"/>
          <w:sz w:val="22"/>
          <w:szCs w:val="22"/>
        </w:rPr>
      </w:pPr>
      <w:r>
        <w:rPr>
          <w:rFonts w:ascii="宋体" w:hAnsi="宋体" w:eastAsia="宋体" w:cs="宋体"/>
          <w:spacing w:val="3"/>
          <w:sz w:val="22"/>
          <w:szCs w:val="22"/>
        </w:rPr>
        <w:t>该指标不仅考虑到死亡率水平的高低，而且考虑到死亡发生时的年龄</w:t>
      </w:r>
      <w:r>
        <w:rPr>
          <w:rFonts w:ascii="宋体" w:hAnsi="宋体" w:eastAsia="宋体" w:cs="宋体"/>
          <w:spacing w:val="2"/>
          <w:sz w:val="22"/>
          <w:szCs w:val="22"/>
        </w:rPr>
        <w:t>对预期寿命的影响。该</w:t>
      </w:r>
      <w:r>
        <w:rPr>
          <w:rFonts w:ascii="宋体" w:hAnsi="宋体" w:eastAsia="宋体" w:cs="宋体"/>
          <w:sz w:val="22"/>
          <w:szCs w:val="22"/>
        </w:rPr>
        <w:t xml:space="preserve"> </w:t>
      </w:r>
      <w:r>
        <w:rPr>
          <w:rFonts w:ascii="宋体" w:hAnsi="宋体" w:eastAsia="宋体" w:cs="宋体"/>
          <w:spacing w:val="-3"/>
          <w:sz w:val="22"/>
          <w:szCs w:val="22"/>
        </w:rPr>
        <w:t>项指标可用来计算不同疾病、不同年龄组死亡者总的减</w:t>
      </w:r>
      <w:r>
        <w:rPr>
          <w:rFonts w:ascii="宋体" w:hAnsi="宋体" w:eastAsia="宋体" w:cs="宋体"/>
          <w:spacing w:val="-4"/>
          <w:sz w:val="22"/>
          <w:szCs w:val="22"/>
        </w:rPr>
        <w:t>寿年数。</w:t>
      </w:r>
    </w:p>
    <w:p w14:paraId="69DB5B3F">
      <w:pPr>
        <w:spacing w:before="33" w:line="300" w:lineRule="auto"/>
        <w:ind w:left="29" w:right="604" w:firstLine="450"/>
        <w:jc w:val="both"/>
        <w:rPr>
          <w:rFonts w:ascii="宋体" w:hAnsi="宋体" w:eastAsia="宋体" w:cs="宋体"/>
          <w:sz w:val="22"/>
          <w:szCs w:val="22"/>
        </w:rPr>
      </w:pPr>
      <w:r>
        <w:rPr>
          <w:rFonts w:ascii="宋体" w:hAnsi="宋体" w:eastAsia="宋体" w:cs="宋体"/>
          <w:spacing w:val="-2"/>
          <w:sz w:val="22"/>
          <w:szCs w:val="22"/>
        </w:rPr>
        <w:t>2. 应用</w:t>
      </w:r>
      <w:r>
        <w:rPr>
          <w:rFonts w:ascii="宋体" w:hAnsi="宋体" w:eastAsia="宋体" w:cs="宋体"/>
          <w:spacing w:val="56"/>
          <w:sz w:val="22"/>
          <w:szCs w:val="22"/>
        </w:rPr>
        <w:t xml:space="preserve"> </w:t>
      </w:r>
      <w:r>
        <w:rPr>
          <w:rFonts w:ascii="Times New Roman" w:hAnsi="Times New Roman" w:eastAsia="Times New Roman" w:cs="Times New Roman"/>
          <w:spacing w:val="-2"/>
          <w:sz w:val="22"/>
          <w:szCs w:val="22"/>
        </w:rPr>
        <w:t>PYLL</w:t>
      </w:r>
      <w:r>
        <w:rPr>
          <w:rFonts w:ascii="宋体" w:hAnsi="宋体" w:eastAsia="宋体" w:cs="宋体"/>
          <w:spacing w:val="-2"/>
          <w:sz w:val="22"/>
          <w:szCs w:val="22"/>
        </w:rPr>
        <w:t>是疾病负担测量的一个直接指标，也是评价人群健康水平的一个重要指标，是</w:t>
      </w:r>
      <w:r>
        <w:rPr>
          <w:rFonts w:ascii="宋体" w:hAnsi="宋体" w:eastAsia="宋体" w:cs="宋体"/>
          <w:sz w:val="22"/>
          <w:szCs w:val="22"/>
        </w:rPr>
        <w:t xml:space="preserve"> </w:t>
      </w:r>
      <w:r>
        <w:rPr>
          <w:rFonts w:ascii="宋体" w:hAnsi="宋体" w:eastAsia="宋体" w:cs="宋体"/>
          <w:spacing w:val="-3"/>
          <w:sz w:val="22"/>
          <w:szCs w:val="22"/>
        </w:rPr>
        <w:t>在考虑死亡数量的基础上，以期望寿命为基准，进一步衡量死亡造成</w:t>
      </w:r>
      <w:r>
        <w:rPr>
          <w:rFonts w:ascii="宋体" w:hAnsi="宋体" w:eastAsia="宋体" w:cs="宋体"/>
          <w:spacing w:val="-4"/>
          <w:sz w:val="22"/>
          <w:szCs w:val="22"/>
        </w:rPr>
        <w:t>的寿命损失，强调了早死对人</w:t>
      </w:r>
      <w:r>
        <w:rPr>
          <w:rFonts w:ascii="宋体" w:hAnsi="宋体" w:eastAsia="宋体" w:cs="宋体"/>
          <w:sz w:val="22"/>
          <w:szCs w:val="22"/>
        </w:rPr>
        <w:t xml:space="preserve"> </w:t>
      </w:r>
      <w:r>
        <w:rPr>
          <w:rFonts w:ascii="宋体" w:hAnsi="宋体" w:eastAsia="宋体" w:cs="宋体"/>
          <w:spacing w:val="1"/>
          <w:sz w:val="22"/>
          <w:szCs w:val="22"/>
        </w:rPr>
        <w:t>群健康的损害。</w:t>
      </w:r>
    </w:p>
    <w:p w14:paraId="3B4CE545">
      <w:pPr>
        <w:spacing w:before="29" w:line="302" w:lineRule="auto"/>
        <w:ind w:left="49" w:right="655" w:firstLine="420"/>
        <w:rPr>
          <w:rFonts w:ascii="宋体" w:hAnsi="宋体" w:eastAsia="宋体" w:cs="宋体"/>
          <w:sz w:val="22"/>
          <w:szCs w:val="22"/>
        </w:rPr>
      </w:pPr>
      <w:r>
        <w:rPr>
          <w:rFonts w:ascii="Arial" w:hAnsi="Arial" w:eastAsia="Arial" w:cs="Arial"/>
          <w:sz w:val="22"/>
          <w:szCs w:val="22"/>
        </w:rPr>
        <w:t>PYLL</w:t>
      </w:r>
      <w:r>
        <w:rPr>
          <w:rFonts w:ascii="Arial" w:hAnsi="Arial" w:eastAsia="Arial" w:cs="Arial"/>
          <w:spacing w:val="23"/>
          <w:sz w:val="22"/>
          <w:szCs w:val="22"/>
        </w:rPr>
        <w:t xml:space="preserve"> </w:t>
      </w:r>
      <w:r>
        <w:rPr>
          <w:rFonts w:ascii="宋体" w:hAnsi="宋体" w:eastAsia="宋体" w:cs="宋体"/>
          <w:spacing w:val="2"/>
          <w:sz w:val="22"/>
          <w:szCs w:val="22"/>
        </w:rPr>
        <w:t>可用于比较不同疾病或每类疾病所致的寿命减少年数，衡量不同死因对人群的危害程</w:t>
      </w:r>
      <w:r>
        <w:rPr>
          <w:rFonts w:ascii="宋体" w:hAnsi="宋体" w:eastAsia="宋体" w:cs="宋体"/>
          <w:sz w:val="22"/>
          <w:szCs w:val="22"/>
        </w:rPr>
        <w:t xml:space="preserve"> </w:t>
      </w:r>
      <w:r>
        <w:rPr>
          <w:rFonts w:ascii="宋体" w:hAnsi="宋体" w:eastAsia="宋体" w:cs="宋体"/>
          <w:spacing w:val="-5"/>
          <w:sz w:val="22"/>
          <w:szCs w:val="22"/>
        </w:rPr>
        <w:t>度，确定重点疾病，明确重点卫生问题；用于综合估计导致不同年龄组人群早死的各种死因的相对</w:t>
      </w:r>
    </w:p>
    <w:p w14:paraId="13B7A52C">
      <w:pPr>
        <w:spacing w:line="302" w:lineRule="auto"/>
        <w:rPr>
          <w:rFonts w:ascii="宋体" w:hAnsi="宋体" w:eastAsia="宋体" w:cs="宋体"/>
          <w:sz w:val="22"/>
          <w:szCs w:val="22"/>
        </w:rPr>
        <w:sectPr>
          <w:footerReference r:id="rId47" w:type="default"/>
          <w:pgSz w:w="11900" w:h="16820"/>
          <w:pgMar w:top="400" w:right="704" w:bottom="958" w:left="1229" w:header="0" w:footer="673" w:gutter="0"/>
          <w:cols w:space="720" w:num="1"/>
        </w:sectPr>
      </w:pPr>
    </w:p>
    <w:p w14:paraId="2FD756FE">
      <w:pPr>
        <w:pStyle w:val="2"/>
        <w:spacing w:before="186" w:line="221" w:lineRule="auto"/>
        <w:ind w:left="699"/>
        <w:rPr>
          <w:sz w:val="20"/>
          <w:szCs w:val="20"/>
        </w:rPr>
      </w:pPr>
      <w:r>
        <w:rPr>
          <w:spacing w:val="-19"/>
          <w:sz w:val="20"/>
          <w:szCs w:val="20"/>
        </w:rPr>
        <w:t>第二章 疾病的分布</w:t>
      </w:r>
    </w:p>
    <w:p w14:paraId="00AA7F99">
      <w:pPr>
        <w:spacing w:line="286" w:lineRule="auto"/>
        <w:rPr>
          <w:rFonts w:ascii="Arial"/>
          <w:sz w:val="21"/>
        </w:rPr>
      </w:pPr>
    </w:p>
    <w:p w14:paraId="6D603BB6">
      <w:pPr>
        <w:spacing w:line="286" w:lineRule="auto"/>
        <w:rPr>
          <w:rFonts w:ascii="Arial"/>
          <w:sz w:val="21"/>
        </w:rPr>
      </w:pPr>
    </w:p>
    <w:p w14:paraId="4391672C">
      <w:pPr>
        <w:spacing w:before="65" w:line="218" w:lineRule="auto"/>
        <w:ind w:left="699"/>
        <w:rPr>
          <w:rFonts w:ascii="宋体" w:hAnsi="宋体" w:eastAsia="宋体" w:cs="宋体"/>
          <w:sz w:val="20"/>
          <w:szCs w:val="20"/>
        </w:rPr>
      </w:pPr>
      <w:r>
        <w:rPr>
          <w:rFonts w:ascii="宋体" w:hAnsi="宋体" w:eastAsia="宋体" w:cs="宋体"/>
          <w:spacing w:val="5"/>
          <w:sz w:val="20"/>
          <w:szCs w:val="20"/>
        </w:rPr>
        <w:t>重要性，为确定不同年龄组重点疾病提供依据；用于防制措施效果的评价和</w:t>
      </w:r>
      <w:r>
        <w:rPr>
          <w:rFonts w:ascii="宋体" w:hAnsi="宋体" w:eastAsia="宋体" w:cs="宋体"/>
          <w:spacing w:val="5"/>
          <w:sz w:val="20"/>
          <w:szCs w:val="20"/>
          <w:u w:val="single" w:color="auto"/>
        </w:rPr>
        <w:t>卫生</w:t>
      </w:r>
      <w:r>
        <w:rPr>
          <w:rFonts w:ascii="宋体" w:hAnsi="宋体" w:eastAsia="宋体" w:cs="宋体"/>
          <w:spacing w:val="5"/>
          <w:sz w:val="20"/>
          <w:szCs w:val="20"/>
        </w:rPr>
        <w:t>政策的分析。</w:t>
      </w:r>
    </w:p>
    <w:p w14:paraId="25F42A47">
      <w:pPr>
        <w:pStyle w:val="2"/>
        <w:spacing w:before="145" w:line="217" w:lineRule="auto"/>
        <w:ind w:left="1122"/>
        <w:rPr>
          <w:sz w:val="20"/>
          <w:szCs w:val="20"/>
        </w:rPr>
      </w:pPr>
      <w:r>
        <w:rPr>
          <w:b/>
          <w:bCs/>
          <w:spacing w:val="26"/>
          <w:sz w:val="20"/>
          <w:szCs w:val="20"/>
        </w:rPr>
        <w:t>(二)伤残调整寿命年</w:t>
      </w:r>
    </w:p>
    <w:p w14:paraId="64B83022">
      <w:pPr>
        <w:pStyle w:val="2"/>
        <w:spacing w:before="91" w:line="325" w:lineRule="auto"/>
        <w:ind w:left="699" w:right="83" w:firstLine="419"/>
        <w:rPr>
          <w:rFonts w:ascii="宋体" w:hAnsi="宋体" w:eastAsia="宋体" w:cs="宋体"/>
          <w:sz w:val="20"/>
          <w:szCs w:val="20"/>
        </w:rPr>
      </w:pPr>
      <w:r>
        <w:rPr>
          <w:rFonts w:ascii="Times New Roman" w:hAnsi="Times New Roman" w:eastAsia="Times New Roman" w:cs="Times New Roman"/>
          <w:b/>
          <w:bCs/>
          <w:spacing w:val="11"/>
          <w:sz w:val="20"/>
          <w:szCs w:val="20"/>
        </w:rPr>
        <w:t>1.</w:t>
      </w:r>
      <w:r>
        <w:rPr>
          <w:rFonts w:ascii="Times New Roman" w:hAnsi="Times New Roman" w:eastAsia="Times New Roman" w:cs="Times New Roman"/>
          <w:b/>
          <w:bCs/>
          <w:spacing w:val="31"/>
          <w:sz w:val="20"/>
          <w:szCs w:val="20"/>
        </w:rPr>
        <w:t xml:space="preserve">  </w:t>
      </w:r>
      <w:r>
        <w:rPr>
          <w:b/>
          <w:bCs/>
          <w:spacing w:val="11"/>
          <w:sz w:val="20"/>
          <w:szCs w:val="20"/>
        </w:rPr>
        <w:t>定义</w:t>
      </w:r>
      <w:r>
        <w:rPr>
          <w:spacing w:val="49"/>
          <w:sz w:val="20"/>
          <w:szCs w:val="20"/>
        </w:rPr>
        <w:t xml:space="preserve"> </w:t>
      </w:r>
      <w:r>
        <w:rPr>
          <w:rFonts w:ascii="宋体" w:hAnsi="宋体" w:eastAsia="宋体" w:cs="宋体"/>
          <w:spacing w:val="11"/>
          <w:sz w:val="20"/>
          <w:szCs w:val="20"/>
        </w:rPr>
        <w:t>伤残调整寿命年</w:t>
      </w:r>
      <w:r>
        <w:rPr>
          <w:rFonts w:ascii="Times New Roman" w:hAnsi="Times New Roman" w:eastAsia="Times New Roman" w:cs="Times New Roman"/>
          <w:spacing w:val="11"/>
          <w:sz w:val="20"/>
          <w:szCs w:val="20"/>
        </w:rPr>
        <w:t>(</w:t>
      </w:r>
      <w:r>
        <w:rPr>
          <w:rFonts w:ascii="Times New Roman" w:hAnsi="Times New Roman" w:eastAsia="Times New Roman" w:cs="Times New Roman"/>
          <w:sz w:val="20"/>
          <w:szCs w:val="20"/>
        </w:rPr>
        <w:t>disability</w:t>
      </w:r>
      <w:r>
        <w:rPr>
          <w:rFonts w:ascii="Times New Roman" w:hAnsi="Times New Roman" w:eastAsia="Times New Roman" w:cs="Times New Roman"/>
          <w:spacing w:val="11"/>
          <w:sz w:val="20"/>
          <w:szCs w:val="20"/>
        </w:rPr>
        <w:t>-</w:t>
      </w:r>
      <w:r>
        <w:rPr>
          <w:rFonts w:ascii="Times New Roman" w:hAnsi="Times New Roman" w:eastAsia="Times New Roman" w:cs="Times New Roman"/>
          <w:sz w:val="20"/>
          <w:szCs w:val="20"/>
        </w:rPr>
        <w:t>adjusted</w:t>
      </w:r>
      <w:r>
        <w:rPr>
          <w:rFonts w:ascii="Times New Roman" w:hAnsi="Times New Roman" w:eastAsia="Times New Roman" w:cs="Times New Roman"/>
          <w:spacing w:val="11"/>
          <w:sz w:val="20"/>
          <w:szCs w:val="20"/>
        </w:rPr>
        <w:t xml:space="preserve">    </w:t>
      </w:r>
      <w:r>
        <w:rPr>
          <w:rFonts w:ascii="Times New Roman" w:hAnsi="Times New Roman" w:eastAsia="Times New Roman" w:cs="Times New Roman"/>
          <w:sz w:val="20"/>
          <w:szCs w:val="20"/>
        </w:rPr>
        <w:t>life</w:t>
      </w:r>
      <w:r>
        <w:rPr>
          <w:rFonts w:ascii="Times New Roman" w:hAnsi="Times New Roman" w:eastAsia="Times New Roman" w:cs="Times New Roman"/>
          <w:spacing w:val="11"/>
          <w:sz w:val="20"/>
          <w:szCs w:val="20"/>
        </w:rPr>
        <w:t xml:space="preserve">    </w:t>
      </w:r>
      <w:r>
        <w:rPr>
          <w:rFonts w:ascii="Times New Roman" w:hAnsi="Times New Roman" w:eastAsia="Times New Roman" w:cs="Times New Roman"/>
          <w:sz w:val="20"/>
          <w:szCs w:val="20"/>
        </w:rPr>
        <w:t>year</w:t>
      </w:r>
      <w:r>
        <w:rPr>
          <w:rFonts w:ascii="Times New Roman" w:hAnsi="Times New Roman" w:eastAsia="Times New Roman" w:cs="Times New Roman"/>
          <w:spacing w:val="11"/>
          <w:sz w:val="20"/>
          <w:szCs w:val="20"/>
        </w:rPr>
        <w:t>,</w:t>
      </w:r>
      <w:r>
        <w:rPr>
          <w:rFonts w:ascii="Times New Roman" w:hAnsi="Times New Roman" w:eastAsia="Times New Roman" w:cs="Times New Roman"/>
          <w:sz w:val="20"/>
          <w:szCs w:val="20"/>
        </w:rPr>
        <w:t>DALY</w:t>
      </w:r>
      <w:r>
        <w:rPr>
          <w:rFonts w:ascii="Times New Roman" w:hAnsi="Times New Roman" w:eastAsia="Times New Roman" w:cs="Times New Roman"/>
          <w:spacing w:val="11"/>
          <w:sz w:val="20"/>
          <w:szCs w:val="20"/>
        </w:rPr>
        <w:t>)</w:t>
      </w:r>
      <w:r>
        <w:rPr>
          <w:rFonts w:ascii="宋体" w:hAnsi="宋体" w:eastAsia="宋体" w:cs="宋体"/>
          <w:spacing w:val="11"/>
          <w:sz w:val="20"/>
          <w:szCs w:val="20"/>
        </w:rPr>
        <w:t>是指从发病到死亡所损失的全</w:t>
      </w:r>
      <w:r>
        <w:rPr>
          <w:rFonts w:ascii="宋体" w:hAnsi="宋体" w:eastAsia="宋体" w:cs="宋体"/>
          <w:sz w:val="20"/>
          <w:szCs w:val="20"/>
        </w:rPr>
        <w:t xml:space="preserve"> </w:t>
      </w:r>
      <w:r>
        <w:rPr>
          <w:rFonts w:ascii="宋体" w:hAnsi="宋体" w:eastAsia="宋体" w:cs="宋体"/>
          <w:spacing w:val="3"/>
          <w:sz w:val="20"/>
          <w:szCs w:val="20"/>
        </w:rPr>
        <w:t>部健康寿命年，包括因早死所致的寿命损失年(</w:t>
      </w:r>
      <w:r>
        <w:rPr>
          <w:rFonts w:ascii="宋体" w:hAnsi="宋体" w:eastAsia="宋体" w:cs="宋体"/>
          <w:sz w:val="20"/>
          <w:szCs w:val="20"/>
        </w:rPr>
        <w:t>years</w:t>
      </w:r>
      <w:r>
        <w:rPr>
          <w:rFonts w:ascii="宋体" w:hAnsi="宋体" w:eastAsia="宋体" w:cs="宋体"/>
          <w:spacing w:val="3"/>
          <w:sz w:val="20"/>
          <w:szCs w:val="20"/>
        </w:rPr>
        <w:t xml:space="preserve"> </w:t>
      </w:r>
      <w:r>
        <w:rPr>
          <w:rFonts w:ascii="宋体" w:hAnsi="宋体" w:eastAsia="宋体" w:cs="宋体"/>
          <w:sz w:val="20"/>
          <w:szCs w:val="20"/>
        </w:rPr>
        <w:t>of</w:t>
      </w:r>
      <w:r>
        <w:rPr>
          <w:rFonts w:ascii="宋体" w:hAnsi="宋体" w:eastAsia="宋体" w:cs="宋体"/>
          <w:spacing w:val="3"/>
          <w:sz w:val="20"/>
          <w:szCs w:val="20"/>
        </w:rPr>
        <w:t xml:space="preserve"> </w:t>
      </w:r>
      <w:r>
        <w:rPr>
          <w:rFonts w:ascii="宋体" w:hAnsi="宋体" w:eastAsia="宋体" w:cs="宋体"/>
          <w:sz w:val="20"/>
          <w:szCs w:val="20"/>
        </w:rPr>
        <w:t>life</w:t>
      </w:r>
      <w:r>
        <w:rPr>
          <w:rFonts w:ascii="宋体" w:hAnsi="宋体" w:eastAsia="宋体" w:cs="宋体"/>
          <w:spacing w:val="3"/>
          <w:sz w:val="20"/>
          <w:szCs w:val="20"/>
        </w:rPr>
        <w:t xml:space="preserve"> </w:t>
      </w:r>
      <w:r>
        <w:rPr>
          <w:rFonts w:ascii="宋体" w:hAnsi="宋体" w:eastAsia="宋体" w:cs="宋体"/>
          <w:sz w:val="20"/>
          <w:szCs w:val="20"/>
        </w:rPr>
        <w:t>lost</w:t>
      </w:r>
      <w:r>
        <w:rPr>
          <w:rFonts w:ascii="宋体" w:hAnsi="宋体" w:eastAsia="宋体" w:cs="宋体"/>
          <w:spacing w:val="3"/>
          <w:sz w:val="20"/>
          <w:szCs w:val="20"/>
        </w:rPr>
        <w:t>,</w:t>
      </w:r>
      <w:r>
        <w:rPr>
          <w:rFonts w:ascii="宋体" w:hAnsi="宋体" w:eastAsia="宋体" w:cs="宋体"/>
          <w:sz w:val="20"/>
          <w:szCs w:val="20"/>
        </w:rPr>
        <w:t>YLL</w:t>
      </w:r>
      <w:r>
        <w:rPr>
          <w:rFonts w:ascii="宋体" w:hAnsi="宋体" w:eastAsia="宋体" w:cs="宋体"/>
          <w:spacing w:val="3"/>
          <w:sz w:val="20"/>
          <w:szCs w:val="20"/>
        </w:rPr>
        <w:t>)和疾病所致伤</w:t>
      </w:r>
      <w:r>
        <w:rPr>
          <w:rFonts w:ascii="宋体" w:hAnsi="宋体" w:eastAsia="宋体" w:cs="宋体"/>
          <w:spacing w:val="2"/>
          <w:sz w:val="20"/>
          <w:szCs w:val="20"/>
        </w:rPr>
        <w:t>残引起的健康</w:t>
      </w:r>
      <w:r>
        <w:rPr>
          <w:rFonts w:ascii="宋体" w:hAnsi="宋体" w:eastAsia="宋体" w:cs="宋体"/>
          <w:sz w:val="20"/>
          <w:szCs w:val="20"/>
        </w:rPr>
        <w:t xml:space="preserve"> </w:t>
      </w:r>
      <w:r>
        <w:rPr>
          <w:rFonts w:ascii="宋体" w:hAnsi="宋体" w:eastAsia="宋体" w:cs="宋体"/>
          <w:spacing w:val="7"/>
          <w:sz w:val="20"/>
          <w:szCs w:val="20"/>
        </w:rPr>
        <w:t>寿命损失年</w:t>
      </w:r>
      <w:r>
        <w:rPr>
          <w:rFonts w:ascii="Times New Roman" w:hAnsi="Times New Roman" w:eastAsia="Times New Roman" w:cs="Times New Roman"/>
          <w:spacing w:val="7"/>
          <w:sz w:val="20"/>
          <w:szCs w:val="20"/>
        </w:rPr>
        <w:t>(</w:t>
      </w:r>
      <w:r>
        <w:rPr>
          <w:rFonts w:ascii="Times New Roman" w:hAnsi="Times New Roman" w:eastAsia="Times New Roman" w:cs="Times New Roman"/>
          <w:sz w:val="20"/>
          <w:szCs w:val="20"/>
        </w:rPr>
        <w:t>years</w:t>
      </w:r>
      <w:r>
        <w:rPr>
          <w:rFonts w:ascii="Times New Roman" w:hAnsi="Times New Roman" w:eastAsia="Times New Roman" w:cs="Times New Roman"/>
          <w:spacing w:val="25"/>
          <w:sz w:val="20"/>
          <w:szCs w:val="20"/>
        </w:rPr>
        <w:t xml:space="preserve">  </w:t>
      </w:r>
      <w:r>
        <w:rPr>
          <w:rFonts w:ascii="Times New Roman" w:hAnsi="Times New Roman" w:eastAsia="Times New Roman" w:cs="Times New Roman"/>
          <w:sz w:val="20"/>
          <w:szCs w:val="20"/>
        </w:rPr>
        <w:t>lived</w:t>
      </w:r>
      <w:r>
        <w:rPr>
          <w:rFonts w:ascii="Times New Roman" w:hAnsi="Times New Roman" w:eastAsia="Times New Roman" w:cs="Times New Roman"/>
          <w:spacing w:val="19"/>
          <w:sz w:val="20"/>
          <w:szCs w:val="20"/>
        </w:rPr>
        <w:t xml:space="preserve">  </w:t>
      </w:r>
      <w:r>
        <w:rPr>
          <w:rFonts w:ascii="Times New Roman" w:hAnsi="Times New Roman" w:eastAsia="Times New Roman" w:cs="Times New Roman"/>
          <w:sz w:val="20"/>
          <w:szCs w:val="20"/>
        </w:rPr>
        <w:t>with</w:t>
      </w:r>
      <w:r>
        <w:rPr>
          <w:rFonts w:ascii="Times New Roman" w:hAnsi="Times New Roman" w:eastAsia="Times New Roman" w:cs="Times New Roman"/>
          <w:spacing w:val="22"/>
          <w:w w:val="101"/>
          <w:sz w:val="20"/>
          <w:szCs w:val="20"/>
        </w:rPr>
        <w:t xml:space="preserve">  </w:t>
      </w:r>
      <w:r>
        <w:rPr>
          <w:rFonts w:ascii="Times New Roman" w:hAnsi="Times New Roman" w:eastAsia="Times New Roman" w:cs="Times New Roman"/>
          <w:sz w:val="20"/>
          <w:szCs w:val="20"/>
        </w:rPr>
        <w:t>disability</w:t>
      </w:r>
      <w:r>
        <w:rPr>
          <w:rFonts w:ascii="Times New Roman" w:hAnsi="Times New Roman" w:eastAsia="Times New Roman" w:cs="Times New Roman"/>
          <w:spacing w:val="7"/>
          <w:sz w:val="20"/>
          <w:szCs w:val="20"/>
        </w:rPr>
        <w:t>,</w:t>
      </w:r>
      <w:r>
        <w:rPr>
          <w:rFonts w:ascii="Times New Roman" w:hAnsi="Times New Roman" w:eastAsia="Times New Roman" w:cs="Times New Roman"/>
          <w:sz w:val="20"/>
          <w:szCs w:val="20"/>
        </w:rPr>
        <w:t>YLD</w:t>
      </w:r>
      <w:r>
        <w:rPr>
          <w:rFonts w:ascii="Times New Roman" w:hAnsi="Times New Roman" w:eastAsia="Times New Roman" w:cs="Times New Roman"/>
          <w:spacing w:val="7"/>
          <w:sz w:val="20"/>
          <w:szCs w:val="20"/>
        </w:rPr>
        <w:t>)</w:t>
      </w:r>
      <w:r>
        <w:rPr>
          <w:rFonts w:ascii="宋体" w:hAnsi="宋体" w:eastAsia="宋体" w:cs="宋体"/>
          <w:spacing w:val="7"/>
          <w:sz w:val="20"/>
          <w:szCs w:val="20"/>
        </w:rPr>
        <w:t>两部分。</w:t>
      </w:r>
      <w:r>
        <w:rPr>
          <w:rFonts w:ascii="Times New Roman" w:hAnsi="Times New Roman" w:eastAsia="Times New Roman" w:cs="Times New Roman"/>
          <w:sz w:val="20"/>
          <w:szCs w:val="20"/>
        </w:rPr>
        <w:t>DALY</w:t>
      </w:r>
      <w:r>
        <w:rPr>
          <w:rFonts w:ascii="宋体" w:hAnsi="宋体" w:eastAsia="宋体" w:cs="宋体"/>
          <w:spacing w:val="7"/>
          <w:sz w:val="20"/>
          <w:szCs w:val="20"/>
        </w:rPr>
        <w:t>是一个定量的指标，它将各种疾病引起</w:t>
      </w:r>
      <w:r>
        <w:rPr>
          <w:rFonts w:ascii="宋体" w:hAnsi="宋体" w:eastAsia="宋体" w:cs="宋体"/>
          <w:sz w:val="20"/>
          <w:szCs w:val="20"/>
        </w:rPr>
        <w:t xml:space="preserve"> </w:t>
      </w:r>
      <w:r>
        <w:rPr>
          <w:rFonts w:ascii="宋体" w:hAnsi="宋体" w:eastAsia="宋体" w:cs="宋体"/>
          <w:spacing w:val="14"/>
          <w:sz w:val="20"/>
          <w:szCs w:val="20"/>
        </w:rPr>
        <w:t>的早死(实际死亡年龄与一般人群中该年龄的预期寿命之差)造成的寿命损失与伤残(暂时失能与</w:t>
      </w:r>
      <w:r>
        <w:rPr>
          <w:rFonts w:ascii="宋体" w:hAnsi="宋体" w:eastAsia="宋体" w:cs="宋体"/>
          <w:spacing w:val="13"/>
          <w:sz w:val="20"/>
          <w:szCs w:val="20"/>
        </w:rPr>
        <w:t xml:space="preserve"> </w:t>
      </w:r>
      <w:r>
        <w:rPr>
          <w:rFonts w:ascii="宋体" w:hAnsi="宋体" w:eastAsia="宋体" w:cs="宋体"/>
          <w:spacing w:val="10"/>
          <w:sz w:val="20"/>
          <w:szCs w:val="20"/>
        </w:rPr>
        <w:t>永久残疾)造成的健康损失二者结合起来加以</w:t>
      </w:r>
      <w:r>
        <w:rPr>
          <w:rFonts w:ascii="宋体" w:hAnsi="宋体" w:eastAsia="宋体" w:cs="宋体"/>
          <w:spacing w:val="9"/>
          <w:sz w:val="20"/>
          <w:szCs w:val="20"/>
        </w:rPr>
        <w:t>测算，是反映疾病对人群健康和寿命损失影响的综合</w:t>
      </w:r>
      <w:r>
        <w:rPr>
          <w:rFonts w:ascii="宋体" w:hAnsi="宋体" w:eastAsia="宋体" w:cs="宋体"/>
          <w:sz w:val="20"/>
          <w:szCs w:val="20"/>
        </w:rPr>
        <w:t xml:space="preserve"> </w:t>
      </w:r>
      <w:r>
        <w:rPr>
          <w:rFonts w:ascii="宋体" w:hAnsi="宋体" w:eastAsia="宋体" w:cs="宋体"/>
          <w:spacing w:val="6"/>
          <w:sz w:val="20"/>
          <w:szCs w:val="20"/>
        </w:rPr>
        <w:t>指标。</w:t>
      </w:r>
    </w:p>
    <w:p w14:paraId="3C561B1A">
      <w:pPr>
        <w:pStyle w:val="2"/>
        <w:spacing w:before="128" w:line="314" w:lineRule="auto"/>
        <w:ind w:left="699" w:right="64" w:firstLine="419"/>
        <w:rPr>
          <w:rFonts w:ascii="宋体" w:hAnsi="宋体" w:eastAsia="宋体" w:cs="宋体"/>
          <w:sz w:val="20"/>
          <w:szCs w:val="20"/>
        </w:rPr>
      </w:pPr>
      <w:r>
        <w:rPr>
          <w:rFonts w:ascii="宋体" w:hAnsi="宋体" w:eastAsia="宋体" w:cs="宋体"/>
          <w:spacing w:val="9"/>
          <w:sz w:val="20"/>
          <w:szCs w:val="20"/>
        </w:rPr>
        <w:t xml:space="preserve">2. </w:t>
      </w:r>
      <w:r>
        <w:rPr>
          <w:spacing w:val="9"/>
          <w:sz w:val="20"/>
          <w:szCs w:val="20"/>
        </w:rPr>
        <w:t>应</w:t>
      </w:r>
      <w:r>
        <w:rPr>
          <w:spacing w:val="-21"/>
          <w:sz w:val="20"/>
          <w:szCs w:val="20"/>
        </w:rPr>
        <w:t xml:space="preserve"> </w:t>
      </w:r>
      <w:r>
        <w:rPr>
          <w:spacing w:val="9"/>
          <w:sz w:val="20"/>
          <w:szCs w:val="20"/>
        </w:rPr>
        <w:t>用</w:t>
      </w:r>
      <w:r>
        <w:rPr>
          <w:spacing w:val="1"/>
          <w:sz w:val="20"/>
          <w:szCs w:val="20"/>
        </w:rPr>
        <w:t xml:space="preserve">  </w:t>
      </w:r>
      <w:r>
        <w:rPr>
          <w:rFonts w:ascii="宋体" w:hAnsi="宋体" w:eastAsia="宋体" w:cs="宋体"/>
          <w:spacing w:val="9"/>
          <w:sz w:val="20"/>
          <w:szCs w:val="20"/>
        </w:rPr>
        <w:t>比较与评价地区间的卫生健康状况，通过应用</w:t>
      </w:r>
      <w:r>
        <w:rPr>
          <w:rFonts w:ascii="宋体" w:hAnsi="宋体" w:eastAsia="宋体" w:cs="宋体"/>
          <w:sz w:val="20"/>
          <w:szCs w:val="20"/>
        </w:rPr>
        <w:t>DALY</w:t>
      </w:r>
      <w:r>
        <w:rPr>
          <w:rFonts w:ascii="宋体" w:hAnsi="宋体" w:eastAsia="宋体" w:cs="宋体"/>
          <w:spacing w:val="84"/>
          <w:sz w:val="20"/>
          <w:szCs w:val="20"/>
        </w:rPr>
        <w:t xml:space="preserve"> </w:t>
      </w:r>
      <w:r>
        <w:rPr>
          <w:rFonts w:ascii="宋体" w:hAnsi="宋体" w:eastAsia="宋体" w:cs="宋体"/>
          <w:spacing w:val="9"/>
          <w:sz w:val="20"/>
          <w:szCs w:val="20"/>
        </w:rPr>
        <w:t>指标跟踪全球或国家及地区疾</w:t>
      </w:r>
      <w:r>
        <w:rPr>
          <w:rFonts w:ascii="宋体" w:hAnsi="宋体" w:eastAsia="宋体" w:cs="宋体"/>
          <w:sz w:val="20"/>
          <w:szCs w:val="20"/>
        </w:rPr>
        <w:t xml:space="preserve"> </w:t>
      </w:r>
      <w:r>
        <w:rPr>
          <w:rFonts w:ascii="宋体" w:hAnsi="宋体" w:eastAsia="宋体" w:cs="宋体"/>
          <w:spacing w:val="8"/>
          <w:sz w:val="20"/>
          <w:szCs w:val="20"/>
        </w:rPr>
        <w:t>病负担的动态变化情况，了解干预措施的有效性；按</w:t>
      </w:r>
      <w:r>
        <w:rPr>
          <w:rFonts w:ascii="宋体" w:hAnsi="宋体" w:eastAsia="宋体" w:cs="宋体"/>
          <w:sz w:val="20"/>
          <w:szCs w:val="20"/>
        </w:rPr>
        <w:t>DALY</w:t>
      </w:r>
      <w:r>
        <w:rPr>
          <w:rFonts w:ascii="宋体" w:hAnsi="宋体" w:eastAsia="宋体" w:cs="宋体"/>
          <w:spacing w:val="2"/>
          <w:sz w:val="20"/>
          <w:szCs w:val="20"/>
        </w:rPr>
        <w:t xml:space="preserve">  </w:t>
      </w:r>
      <w:r>
        <w:rPr>
          <w:rFonts w:ascii="宋体" w:hAnsi="宋体" w:eastAsia="宋体" w:cs="宋体"/>
          <w:spacing w:val="8"/>
          <w:sz w:val="20"/>
          <w:szCs w:val="20"/>
        </w:rPr>
        <w:t>大</w:t>
      </w:r>
      <w:r>
        <w:rPr>
          <w:rFonts w:ascii="宋体" w:hAnsi="宋体" w:eastAsia="宋体" w:cs="宋体"/>
          <w:spacing w:val="7"/>
          <w:sz w:val="20"/>
          <w:szCs w:val="20"/>
        </w:rPr>
        <w:t>小排序可对不同病种、不同人群特征</w:t>
      </w:r>
      <w:r>
        <w:rPr>
          <w:rFonts w:ascii="宋体" w:hAnsi="宋体" w:eastAsia="宋体" w:cs="宋体"/>
          <w:sz w:val="20"/>
          <w:szCs w:val="20"/>
        </w:rPr>
        <w:t xml:space="preserve"> </w:t>
      </w:r>
      <w:r>
        <w:rPr>
          <w:rFonts w:ascii="宋体" w:hAnsi="宋体" w:eastAsia="宋体" w:cs="宋体"/>
          <w:spacing w:val="3"/>
          <w:sz w:val="20"/>
          <w:szCs w:val="20"/>
        </w:rPr>
        <w:t>(如性别、年龄)、不同地区进行分析，以确定危害人</w:t>
      </w:r>
      <w:r>
        <w:rPr>
          <w:rFonts w:ascii="宋体" w:hAnsi="宋体" w:eastAsia="宋体" w:cs="宋体"/>
          <w:spacing w:val="2"/>
          <w:sz w:val="20"/>
          <w:szCs w:val="20"/>
        </w:rPr>
        <w:t>群健康的主要病种，以及重点人群和地区，为确</w:t>
      </w:r>
      <w:r>
        <w:rPr>
          <w:rFonts w:ascii="宋体" w:hAnsi="宋体" w:eastAsia="宋体" w:cs="宋体"/>
          <w:sz w:val="20"/>
          <w:szCs w:val="20"/>
        </w:rPr>
        <w:t xml:space="preserve"> </w:t>
      </w:r>
      <w:r>
        <w:rPr>
          <w:rFonts w:ascii="宋体" w:hAnsi="宋体" w:eastAsia="宋体" w:cs="宋体"/>
          <w:spacing w:val="5"/>
          <w:sz w:val="20"/>
          <w:szCs w:val="20"/>
        </w:rPr>
        <w:t>定防制重点提供重要信息；研究不同病种，进行卫生经济学评价，如成本-效用分析，比较不同干预</w:t>
      </w:r>
      <w:r>
        <w:rPr>
          <w:rFonts w:ascii="宋体" w:hAnsi="宋体" w:eastAsia="宋体" w:cs="宋体"/>
          <w:spacing w:val="7"/>
          <w:sz w:val="20"/>
          <w:szCs w:val="20"/>
        </w:rPr>
        <w:t xml:space="preserve"> </w:t>
      </w:r>
      <w:r>
        <w:rPr>
          <w:rFonts w:ascii="宋体" w:hAnsi="宋体" w:eastAsia="宋体" w:cs="宋体"/>
          <w:spacing w:val="10"/>
          <w:sz w:val="20"/>
          <w:szCs w:val="20"/>
        </w:rPr>
        <w:t>策略和措施降低</w:t>
      </w:r>
      <w:r>
        <w:rPr>
          <w:rFonts w:ascii="Times New Roman" w:hAnsi="Times New Roman" w:eastAsia="Times New Roman" w:cs="Times New Roman"/>
          <w:sz w:val="20"/>
          <w:szCs w:val="20"/>
        </w:rPr>
        <w:t>DALY</w:t>
      </w:r>
      <w:r>
        <w:rPr>
          <w:rFonts w:ascii="宋体" w:hAnsi="宋体" w:eastAsia="宋体" w:cs="宋体"/>
          <w:spacing w:val="10"/>
          <w:sz w:val="20"/>
          <w:szCs w:val="20"/>
        </w:rPr>
        <w:t>的投入成本和所得效果，以</w:t>
      </w:r>
      <w:r>
        <w:rPr>
          <w:rFonts w:ascii="宋体" w:hAnsi="宋体" w:eastAsia="宋体" w:cs="宋体"/>
          <w:spacing w:val="9"/>
          <w:sz w:val="20"/>
          <w:szCs w:val="20"/>
        </w:rPr>
        <w:t>求采用最佳干预措施来防制重点疾病，使有限的</w:t>
      </w:r>
      <w:r>
        <w:rPr>
          <w:rFonts w:ascii="宋体" w:hAnsi="宋体" w:eastAsia="宋体" w:cs="宋体"/>
          <w:sz w:val="20"/>
          <w:szCs w:val="20"/>
        </w:rPr>
        <w:t xml:space="preserve"> </w:t>
      </w:r>
      <w:r>
        <w:rPr>
          <w:rFonts w:ascii="宋体" w:hAnsi="宋体" w:eastAsia="宋体" w:cs="宋体"/>
          <w:spacing w:val="7"/>
          <w:sz w:val="20"/>
          <w:szCs w:val="20"/>
        </w:rPr>
        <w:t>资源发挥更大作用。</w:t>
      </w:r>
    </w:p>
    <w:p w14:paraId="7F3B5BC1">
      <w:pPr>
        <w:spacing w:before="172" w:line="352" w:lineRule="auto"/>
        <w:ind w:left="699" w:right="71" w:firstLine="419"/>
        <w:jc w:val="both"/>
        <w:rPr>
          <w:rFonts w:ascii="宋体" w:hAnsi="宋体" w:eastAsia="宋体" w:cs="宋体"/>
          <w:sz w:val="20"/>
          <w:szCs w:val="20"/>
        </w:rPr>
      </w:pPr>
      <w:r>
        <w:rPr>
          <w:rFonts w:ascii="宋体" w:hAnsi="宋体" w:eastAsia="宋体" w:cs="宋体"/>
          <w:spacing w:val="8"/>
          <w:sz w:val="20"/>
          <w:szCs w:val="20"/>
        </w:rPr>
        <w:t>如图2-1所示，2019年我国</w:t>
      </w:r>
      <w:r>
        <w:rPr>
          <w:rFonts w:ascii="Times New Roman" w:hAnsi="Times New Roman" w:eastAsia="Times New Roman" w:cs="Times New Roman"/>
          <w:sz w:val="20"/>
          <w:szCs w:val="20"/>
        </w:rPr>
        <w:t>DALYs</w:t>
      </w:r>
      <w:r>
        <w:rPr>
          <w:rFonts w:ascii="Times New Roman" w:hAnsi="Times New Roman" w:eastAsia="Times New Roman" w:cs="Times New Roman"/>
          <w:spacing w:val="8"/>
          <w:sz w:val="20"/>
          <w:szCs w:val="20"/>
        </w:rPr>
        <w:t xml:space="preserve"> </w:t>
      </w:r>
      <w:r>
        <w:rPr>
          <w:rFonts w:ascii="宋体" w:hAnsi="宋体" w:eastAsia="宋体" w:cs="宋体"/>
          <w:spacing w:val="8"/>
          <w:sz w:val="20"/>
          <w:szCs w:val="20"/>
        </w:rPr>
        <w:t>排名前四的依次为心血管疾病、</w:t>
      </w:r>
      <w:r>
        <w:rPr>
          <w:rFonts w:ascii="宋体" w:hAnsi="宋体" w:eastAsia="宋体" w:cs="宋体"/>
          <w:spacing w:val="7"/>
          <w:sz w:val="20"/>
          <w:szCs w:val="20"/>
        </w:rPr>
        <w:t>恶性肿瘤、慢性呼吸系统疾</w:t>
      </w:r>
      <w:r>
        <w:rPr>
          <w:rFonts w:ascii="宋体" w:hAnsi="宋体" w:eastAsia="宋体" w:cs="宋体"/>
          <w:sz w:val="20"/>
          <w:szCs w:val="20"/>
        </w:rPr>
        <w:t xml:space="preserve"> </w:t>
      </w:r>
      <w:r>
        <w:rPr>
          <w:rFonts w:ascii="宋体" w:hAnsi="宋体" w:eastAsia="宋体" w:cs="宋体"/>
          <w:spacing w:val="8"/>
          <w:sz w:val="20"/>
          <w:szCs w:val="20"/>
        </w:rPr>
        <w:t>病和伤害。由图可见，慢性病尤其是心血管疾病，是造成我国</w:t>
      </w:r>
      <w:r>
        <w:rPr>
          <w:rFonts w:ascii="宋体" w:hAnsi="宋体" w:eastAsia="宋体" w:cs="宋体"/>
          <w:spacing w:val="7"/>
          <w:sz w:val="20"/>
          <w:szCs w:val="20"/>
        </w:rPr>
        <w:t>居民健康寿命损失的主要原因；相较</w:t>
      </w:r>
      <w:r>
        <w:rPr>
          <w:rFonts w:ascii="宋体" w:hAnsi="宋体" w:eastAsia="宋体" w:cs="宋体"/>
          <w:sz w:val="20"/>
          <w:szCs w:val="20"/>
        </w:rPr>
        <w:t xml:space="preserve"> </w:t>
      </w:r>
      <w:r>
        <w:rPr>
          <w:rFonts w:ascii="宋体" w:hAnsi="宋体" w:eastAsia="宋体" w:cs="宋体"/>
          <w:spacing w:val="4"/>
          <w:sz w:val="20"/>
          <w:szCs w:val="20"/>
        </w:rPr>
        <w:t>于慢性病，伤害造成的健康寿命损失在婴儿期就已经出现，并横跨各个年龄段。</w:t>
      </w:r>
    </w:p>
    <w:p w14:paraId="454800DE">
      <w:pPr>
        <w:spacing w:before="217" w:line="4350" w:lineRule="exact"/>
        <w:ind w:firstLine="2639"/>
      </w:pPr>
      <w:r>
        <mc:AlternateContent>
          <mc:Choice Requires="wps">
            <w:drawing>
              <wp:anchor distT="0" distB="0" distL="0" distR="0" simplePos="0" relativeHeight="251685888" behindDoc="0" locked="0" layoutInCell="1" allowOverlap="1">
                <wp:simplePos x="0" y="0"/>
                <wp:positionH relativeFrom="column">
                  <wp:posOffset>1353185</wp:posOffset>
                </wp:positionH>
                <wp:positionV relativeFrom="paragraph">
                  <wp:posOffset>1351280</wp:posOffset>
                </wp:positionV>
                <wp:extent cx="507365" cy="140335"/>
                <wp:effectExtent l="0" t="0" r="0" b="0"/>
                <wp:wrapNone/>
                <wp:docPr id="90" name="TextBox 90"/>
                <wp:cNvGraphicFramePr/>
                <a:graphic xmlns:a="http://schemas.openxmlformats.org/drawingml/2006/main">
                  <a:graphicData uri="http://schemas.microsoft.com/office/word/2010/wordprocessingShape">
                    <wps:wsp>
                      <wps:cNvSpPr txBox="1"/>
                      <wps:spPr>
                        <a:xfrm rot="16200000">
                          <a:off x="1353515" y="1351452"/>
                          <a:ext cx="507365" cy="140335"/>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776ADD04">
                            <w:pPr>
                              <w:spacing w:before="45" w:line="220" w:lineRule="auto"/>
                              <w:ind w:left="20"/>
                              <w:rPr>
                                <w:rFonts w:ascii="宋体" w:hAnsi="宋体" w:eastAsia="宋体" w:cs="宋体"/>
                                <w:sz w:val="13"/>
                                <w:szCs w:val="13"/>
                              </w:rPr>
                            </w:pPr>
                            <w:r>
                              <w:rPr>
                                <w:rFonts w:ascii="宋体" w:hAnsi="宋体" w:eastAsia="宋体" w:cs="宋体"/>
                                <w:spacing w:val="-3"/>
                                <w:sz w:val="13"/>
                                <w:szCs w:val="13"/>
                              </w:rPr>
                              <w:t>D A L Y</w:t>
                            </w:r>
                            <w:r>
                              <w:rPr>
                                <w:rFonts w:ascii="宋体" w:hAnsi="宋体" w:eastAsia="宋体" w:cs="宋体"/>
                                <w:spacing w:val="7"/>
                                <w:sz w:val="13"/>
                                <w:szCs w:val="13"/>
                              </w:rPr>
                              <w:t xml:space="preserve"> </w:t>
                            </w:r>
                            <w:r>
                              <w:rPr>
                                <w:rFonts w:ascii="宋体" w:hAnsi="宋体" w:eastAsia="宋体" w:cs="宋体"/>
                                <w:spacing w:val="-3"/>
                                <w:sz w:val="13"/>
                                <w:szCs w:val="13"/>
                              </w:rPr>
                              <w:t>s</w:t>
                            </w:r>
                            <w:r>
                              <w:rPr>
                                <w:rFonts w:ascii="宋体" w:hAnsi="宋体" w:eastAsia="宋体" w:cs="宋体"/>
                                <w:spacing w:val="5"/>
                                <w:sz w:val="13"/>
                                <w:szCs w:val="13"/>
                              </w:rPr>
                              <w:t xml:space="preserve"> </w:t>
                            </w:r>
                            <w:r>
                              <w:rPr>
                                <w:rFonts w:ascii="宋体" w:hAnsi="宋体" w:eastAsia="宋体" w:cs="宋体"/>
                                <w:spacing w:val="-3"/>
                                <w:sz w:val="13"/>
                                <w:szCs w:val="13"/>
                              </w:rPr>
                              <w:t>万</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90" o:spid="_x0000_s1026" o:spt="202" type="#_x0000_t202" style="position:absolute;left:0pt;margin-left:106.55pt;margin-top:106.4pt;height:11.05pt;width:39.95pt;rotation:-5898240f;z-index:251685888;mso-width-relative:page;mso-height-relative:page;" filled="f" stroked="f" coordsize="21600,21600" o:gfxdata="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">
                <v:fill on="f" focussize="0,0"/>
                <v:stroke on="f" weight="0pt" miterlimit="0" joinstyle="miter"/>
                <v:imagedata o:title=""/>
                <o:lock v:ext="edit" aspectratio="f"/>
                <v:textbox inset="0mm,0mm,0mm,0mm">
                  <w:txbxContent>
                    <w:p w14:paraId="776ADD04">
                      <w:pPr>
                        <w:spacing w:before="45" w:line="220" w:lineRule="auto"/>
                        <w:ind w:left="20"/>
                        <w:rPr>
                          <w:rFonts w:ascii="宋体" w:hAnsi="宋体" w:eastAsia="宋体" w:cs="宋体"/>
                          <w:sz w:val="13"/>
                          <w:szCs w:val="13"/>
                        </w:rPr>
                      </w:pPr>
                      <w:r>
                        <w:rPr>
                          <w:rFonts w:ascii="宋体" w:hAnsi="宋体" w:eastAsia="宋体" w:cs="宋体"/>
                          <w:spacing w:val="-3"/>
                          <w:sz w:val="13"/>
                          <w:szCs w:val="13"/>
                        </w:rPr>
                        <w:t>D A L Y</w:t>
                      </w:r>
                      <w:r>
                        <w:rPr>
                          <w:rFonts w:ascii="宋体" w:hAnsi="宋体" w:eastAsia="宋体" w:cs="宋体"/>
                          <w:spacing w:val="7"/>
                          <w:sz w:val="13"/>
                          <w:szCs w:val="13"/>
                        </w:rPr>
                        <w:t xml:space="preserve"> </w:t>
                      </w:r>
                      <w:r>
                        <w:rPr>
                          <w:rFonts w:ascii="宋体" w:hAnsi="宋体" w:eastAsia="宋体" w:cs="宋体"/>
                          <w:spacing w:val="-3"/>
                          <w:sz w:val="13"/>
                          <w:szCs w:val="13"/>
                        </w:rPr>
                        <w:t>s</w:t>
                      </w:r>
                      <w:r>
                        <w:rPr>
                          <w:rFonts w:ascii="宋体" w:hAnsi="宋体" w:eastAsia="宋体" w:cs="宋体"/>
                          <w:spacing w:val="5"/>
                          <w:sz w:val="13"/>
                          <w:szCs w:val="13"/>
                        </w:rPr>
                        <w:t xml:space="preserve"> </w:t>
                      </w:r>
                      <w:r>
                        <w:rPr>
                          <w:rFonts w:ascii="宋体" w:hAnsi="宋体" w:eastAsia="宋体" w:cs="宋体"/>
                          <w:spacing w:val="-3"/>
                          <w:sz w:val="13"/>
                          <w:szCs w:val="13"/>
                        </w:rPr>
                        <w:t>万</w:t>
                      </w:r>
                    </w:p>
                  </w:txbxContent>
                </v:textbox>
              </v:shape>
            </w:pict>
          </mc:Fallback>
        </mc:AlternateContent>
      </w:r>
      <w:r>
        <w:rPr>
          <w:position w:val="-86"/>
        </w:rPr>
        <w:drawing>
          <wp:inline distT="0" distB="0" distL="0" distR="0">
            <wp:extent cx="3378200" cy="2761615"/>
            <wp:effectExtent l="0" t="0" r="0" b="0"/>
            <wp:docPr id="92" name="IM 92"/>
            <wp:cNvGraphicFramePr/>
            <a:graphic xmlns:a="http://schemas.openxmlformats.org/drawingml/2006/main">
              <a:graphicData uri="http://schemas.openxmlformats.org/drawingml/2006/picture">
                <pic:pic xmlns:pic="http://schemas.openxmlformats.org/drawingml/2006/picture">
                  <pic:nvPicPr>
                    <pic:cNvPr id="92" name="IM 92"/>
                    <pic:cNvPicPr/>
                  </pic:nvPicPr>
                  <pic:blipFill>
                    <a:blip r:embed="rId441"/>
                    <a:stretch>
                      <a:fillRect/>
                    </a:stretch>
                  </pic:blipFill>
                  <pic:spPr>
                    <a:xfrm>
                      <a:off x="0" y="0"/>
                      <a:ext cx="3378208" cy="2762242"/>
                    </a:xfrm>
                    <a:prstGeom prst="rect">
                      <a:avLst/>
                    </a:prstGeom>
                  </pic:spPr>
                </pic:pic>
              </a:graphicData>
            </a:graphic>
          </wp:inline>
        </w:drawing>
      </w:r>
    </w:p>
    <w:p w14:paraId="01B30AFD">
      <w:pPr>
        <w:spacing w:before="58" w:line="219" w:lineRule="auto"/>
        <w:ind w:left="5159"/>
        <w:rPr>
          <w:rFonts w:ascii="宋体" w:hAnsi="宋体" w:eastAsia="宋体" w:cs="宋体"/>
          <w:sz w:val="20"/>
          <w:szCs w:val="20"/>
        </w:rPr>
      </w:pPr>
      <w:r>
        <w:rPr>
          <w:rFonts w:ascii="宋体" w:hAnsi="宋体" w:eastAsia="宋体" w:cs="宋体"/>
          <w:spacing w:val="-17"/>
          <w:w w:val="97"/>
          <w:sz w:val="20"/>
          <w:szCs w:val="20"/>
        </w:rPr>
        <w:t>年龄/岁</w:t>
      </w:r>
    </w:p>
    <w:p w14:paraId="573CF0C1">
      <w:pPr>
        <w:spacing w:before="163" w:line="219" w:lineRule="auto"/>
        <w:ind w:left="1879"/>
        <w:rPr>
          <w:rFonts w:ascii="宋体" w:hAnsi="宋体" w:eastAsia="宋体" w:cs="宋体"/>
          <w:sz w:val="20"/>
          <w:szCs w:val="20"/>
        </w:rPr>
      </w:pPr>
      <w:r>
        <w:rPr>
          <w:rFonts w:ascii="宋体" w:hAnsi="宋体" w:eastAsia="宋体" w:cs="宋体"/>
          <w:spacing w:val="-8"/>
          <w:sz w:val="20"/>
          <w:szCs w:val="20"/>
        </w:rPr>
        <w:t>图2-1</w:t>
      </w:r>
      <w:r>
        <w:rPr>
          <w:rFonts w:ascii="宋体" w:hAnsi="宋体" w:eastAsia="宋体" w:cs="宋体"/>
          <w:spacing w:val="70"/>
          <w:sz w:val="20"/>
          <w:szCs w:val="20"/>
        </w:rPr>
        <w:t xml:space="preserve"> </w:t>
      </w:r>
      <w:r>
        <w:rPr>
          <w:rFonts w:ascii="宋体" w:hAnsi="宋体" w:eastAsia="宋体" w:cs="宋体"/>
          <w:spacing w:val="-8"/>
          <w:sz w:val="20"/>
          <w:szCs w:val="20"/>
        </w:rPr>
        <w:t>中国2019年心血管疾病、恶性肿瘤、慢性呼吸</w:t>
      </w:r>
      <w:r>
        <w:rPr>
          <w:rFonts w:ascii="宋体" w:hAnsi="宋体" w:eastAsia="宋体" w:cs="宋体"/>
          <w:spacing w:val="-9"/>
          <w:sz w:val="20"/>
          <w:szCs w:val="20"/>
        </w:rPr>
        <w:t>系统疾病和伤害的DALYs</w:t>
      </w:r>
    </w:p>
    <w:p w14:paraId="247C0E86">
      <w:pPr>
        <w:spacing w:before="50" w:line="212" w:lineRule="auto"/>
        <w:ind w:left="3579"/>
        <w:rPr>
          <w:rFonts w:ascii="Times New Roman" w:hAnsi="Times New Roman" w:eastAsia="Times New Roman" w:cs="Times New Roman"/>
          <w:sz w:val="20"/>
          <w:szCs w:val="20"/>
        </w:rPr>
      </w:pPr>
      <w:r>
        <w:rPr>
          <w:rFonts w:ascii="宋体" w:hAnsi="宋体" w:eastAsia="宋体" w:cs="宋体"/>
          <w:spacing w:val="-2"/>
          <w:sz w:val="20"/>
          <w:szCs w:val="20"/>
        </w:rPr>
        <w:t>(改编自</w:t>
      </w:r>
      <w:r>
        <w:rPr>
          <w:rFonts w:ascii="Times New Roman" w:hAnsi="Times New Roman" w:eastAsia="Times New Roman" w:cs="Times New Roman"/>
          <w:spacing w:val="-2"/>
          <w:sz w:val="20"/>
          <w:szCs w:val="20"/>
        </w:rPr>
        <w:t>Global Burden ofDisease,2019)</w:t>
      </w:r>
    </w:p>
    <w:p w14:paraId="137B17F6">
      <w:pPr>
        <w:spacing w:line="299" w:lineRule="auto"/>
        <w:rPr>
          <w:rFonts w:ascii="Arial"/>
          <w:sz w:val="21"/>
        </w:rPr>
      </w:pPr>
    </w:p>
    <w:p w14:paraId="42F59E83">
      <w:pPr>
        <w:spacing w:line="299" w:lineRule="auto"/>
        <w:rPr>
          <w:rFonts w:ascii="Arial"/>
          <w:sz w:val="21"/>
        </w:rPr>
      </w:pPr>
    </w:p>
    <w:p w14:paraId="683788F0">
      <w:pPr>
        <w:pStyle w:val="2"/>
        <w:spacing w:before="98" w:line="221" w:lineRule="auto"/>
        <w:ind w:left="3694"/>
        <w:outlineLvl w:val="1"/>
      </w:pPr>
      <w:bookmarkStart w:id="36" w:name="bookmark22"/>
      <w:bookmarkEnd w:id="36"/>
      <w:r>
        <w:rPr>
          <w:b/>
          <w:bCs/>
          <w:spacing w:val="-6"/>
        </w:rPr>
        <w:t>第二节</w:t>
      </w:r>
      <w:r>
        <w:rPr>
          <w:spacing w:val="136"/>
        </w:rPr>
        <w:t xml:space="preserve"> </w:t>
      </w:r>
      <w:r>
        <w:rPr>
          <w:b/>
          <w:bCs/>
          <w:spacing w:val="-6"/>
        </w:rPr>
        <w:t>疾病流行强度</w:t>
      </w:r>
    </w:p>
    <w:p w14:paraId="2EF83EF9">
      <w:pPr>
        <w:spacing w:line="305" w:lineRule="auto"/>
        <w:rPr>
          <w:rFonts w:ascii="Arial"/>
          <w:sz w:val="21"/>
        </w:rPr>
      </w:pPr>
    </w:p>
    <w:p w14:paraId="4F06DC15">
      <w:pPr>
        <w:spacing w:before="66" w:line="353" w:lineRule="auto"/>
        <w:ind w:left="699" w:firstLine="419"/>
        <w:jc w:val="both"/>
        <w:rPr>
          <w:rFonts w:ascii="宋体" w:hAnsi="宋体" w:eastAsia="宋体" w:cs="宋体"/>
          <w:sz w:val="20"/>
          <w:szCs w:val="20"/>
        </w:rPr>
      </w:pPr>
      <w:r>
        <w:rPr>
          <w:rFonts w:ascii="宋体" w:hAnsi="宋体" w:eastAsia="宋体" w:cs="宋体"/>
          <w:spacing w:val="15"/>
          <w:sz w:val="20"/>
          <w:szCs w:val="20"/>
        </w:rPr>
        <w:t>疾病流行强度是指在特定时期内，在某地区</w:t>
      </w:r>
      <w:r>
        <w:rPr>
          <w:rFonts w:ascii="宋体" w:hAnsi="宋体" w:eastAsia="宋体" w:cs="宋体"/>
          <w:spacing w:val="14"/>
          <w:sz w:val="20"/>
          <w:szCs w:val="20"/>
        </w:rPr>
        <w:t>人群中疾病发病率的变化及病例间的关联程度。</w:t>
      </w:r>
      <w:r>
        <w:rPr>
          <w:rFonts w:ascii="宋体" w:hAnsi="宋体" w:eastAsia="宋体" w:cs="宋体"/>
          <w:sz w:val="20"/>
          <w:szCs w:val="20"/>
        </w:rPr>
        <w:t xml:space="preserve"> </w:t>
      </w:r>
      <w:r>
        <w:rPr>
          <w:rFonts w:ascii="宋体" w:hAnsi="宋体" w:eastAsia="宋体" w:cs="宋体"/>
          <w:spacing w:val="7"/>
          <w:sz w:val="20"/>
          <w:szCs w:val="20"/>
        </w:rPr>
        <w:t>常用散发、暴发、流行及大流行来描述疾病的流行强度。准确描述流行强度有助于确定是应该采取</w:t>
      </w:r>
      <w:r>
        <w:rPr>
          <w:rFonts w:ascii="宋体" w:hAnsi="宋体" w:eastAsia="宋体" w:cs="宋体"/>
          <w:spacing w:val="3"/>
          <w:sz w:val="20"/>
          <w:szCs w:val="20"/>
        </w:rPr>
        <w:t xml:space="preserve">  </w:t>
      </w:r>
      <w:r>
        <w:rPr>
          <w:rFonts w:ascii="宋体" w:hAnsi="宋体" w:eastAsia="宋体" w:cs="宋体"/>
          <w:spacing w:val="4"/>
          <w:sz w:val="20"/>
          <w:szCs w:val="20"/>
        </w:rPr>
        <w:t>常规预防控制措施，还是应启动应急响应对策。</w:t>
      </w:r>
    </w:p>
    <w:p w14:paraId="1F4AB5A8">
      <w:pPr>
        <w:spacing w:line="353" w:lineRule="auto"/>
        <w:rPr>
          <w:rFonts w:ascii="宋体" w:hAnsi="宋体" w:eastAsia="宋体" w:cs="宋体"/>
          <w:sz w:val="20"/>
          <w:szCs w:val="20"/>
        </w:rPr>
        <w:sectPr>
          <w:footerReference r:id="rId48" w:type="default"/>
          <w:pgSz w:w="11900" w:h="16820"/>
          <w:pgMar w:top="400" w:right="1419" w:bottom="879" w:left="780" w:header="0" w:footer="699" w:gutter="0"/>
          <w:cols w:space="720" w:num="1"/>
        </w:sectPr>
      </w:pPr>
    </w:p>
    <w:p w14:paraId="75B792FE">
      <w:pPr>
        <w:spacing w:line="244" w:lineRule="auto"/>
        <w:rPr>
          <w:rFonts w:ascii="Arial"/>
          <w:sz w:val="21"/>
        </w:rPr>
      </w:pPr>
    </w:p>
    <w:p w14:paraId="38F07D4C">
      <w:pPr>
        <w:pStyle w:val="2"/>
        <w:spacing w:before="68" w:line="221" w:lineRule="auto"/>
        <w:ind w:left="7732"/>
        <w:rPr>
          <w:sz w:val="21"/>
          <w:szCs w:val="21"/>
        </w:rPr>
      </w:pPr>
      <w:r>
        <w:rPr>
          <w:b/>
          <w:bCs/>
          <w:spacing w:val="-12"/>
          <w:sz w:val="21"/>
          <w:szCs w:val="21"/>
        </w:rPr>
        <w:t>第二章疾病的分布</w:t>
      </w:r>
    </w:p>
    <w:p w14:paraId="2D694813">
      <w:pPr>
        <w:spacing w:line="340" w:lineRule="auto"/>
        <w:rPr>
          <w:rFonts w:ascii="Arial"/>
          <w:sz w:val="21"/>
        </w:rPr>
      </w:pPr>
    </w:p>
    <w:p w14:paraId="61695660">
      <w:pPr>
        <w:spacing w:line="340" w:lineRule="auto"/>
        <w:rPr>
          <w:rFonts w:ascii="Arial"/>
          <w:sz w:val="21"/>
        </w:rPr>
      </w:pPr>
    </w:p>
    <w:p w14:paraId="26527A93">
      <w:pPr>
        <w:pStyle w:val="2"/>
        <w:spacing w:before="85" w:line="221" w:lineRule="auto"/>
        <w:ind w:left="433"/>
        <w:outlineLvl w:val="2"/>
        <w:rPr>
          <w:sz w:val="26"/>
          <w:szCs w:val="26"/>
        </w:rPr>
      </w:pPr>
      <w:bookmarkStart w:id="37" w:name="bookmark23"/>
      <w:bookmarkEnd w:id="37"/>
      <w:bookmarkStart w:id="38" w:name="bookmark411"/>
      <w:bookmarkEnd w:id="38"/>
      <w:r>
        <w:rPr>
          <w:b/>
          <w:bCs/>
          <w:spacing w:val="-11"/>
          <w:sz w:val="26"/>
          <w:szCs w:val="26"/>
        </w:rPr>
        <w:t>一</w:t>
      </w:r>
      <w:r>
        <w:rPr>
          <w:spacing w:val="-58"/>
          <w:sz w:val="26"/>
          <w:szCs w:val="26"/>
        </w:rPr>
        <w:t xml:space="preserve"> </w:t>
      </w:r>
      <w:r>
        <w:rPr>
          <w:b/>
          <w:bCs/>
          <w:spacing w:val="-11"/>
          <w:sz w:val="26"/>
          <w:szCs w:val="26"/>
        </w:rPr>
        <w:t>、散发</w:t>
      </w:r>
    </w:p>
    <w:p w14:paraId="03B2967E">
      <w:pPr>
        <w:spacing w:before="239" w:line="329" w:lineRule="auto"/>
        <w:ind w:right="624" w:firstLine="430"/>
        <w:jc w:val="both"/>
        <w:rPr>
          <w:rFonts w:ascii="宋体" w:hAnsi="宋体" w:eastAsia="宋体" w:cs="宋体"/>
          <w:sz w:val="21"/>
          <w:szCs w:val="21"/>
        </w:rPr>
      </w:pPr>
      <w:r>
        <w:rPr>
          <w:rFonts w:ascii="宋体" w:hAnsi="宋体" w:eastAsia="宋体" w:cs="宋体"/>
          <w:spacing w:val="8"/>
          <w:sz w:val="21"/>
          <w:szCs w:val="21"/>
        </w:rPr>
        <w:t>散发</w:t>
      </w:r>
      <w:r>
        <w:rPr>
          <w:rFonts w:ascii="Times New Roman" w:hAnsi="Times New Roman" w:eastAsia="Times New Roman" w:cs="Times New Roman"/>
          <w:spacing w:val="8"/>
          <w:sz w:val="21"/>
          <w:szCs w:val="21"/>
        </w:rPr>
        <w:t>(</w:t>
      </w:r>
      <w:r>
        <w:rPr>
          <w:rFonts w:ascii="Times New Roman" w:hAnsi="Times New Roman" w:eastAsia="Times New Roman" w:cs="Times New Roman"/>
          <w:sz w:val="21"/>
          <w:szCs w:val="21"/>
        </w:rPr>
        <w:t>sporadic</w:t>
      </w:r>
      <w:r>
        <w:rPr>
          <w:rFonts w:ascii="Times New Roman" w:hAnsi="Times New Roman" w:eastAsia="Times New Roman" w:cs="Times New Roman"/>
          <w:spacing w:val="8"/>
          <w:sz w:val="21"/>
          <w:szCs w:val="21"/>
        </w:rPr>
        <w:t xml:space="preserve">)   </w:t>
      </w:r>
      <w:r>
        <w:rPr>
          <w:rFonts w:ascii="宋体" w:hAnsi="宋体" w:eastAsia="宋体" w:cs="宋体"/>
          <w:spacing w:val="8"/>
          <w:sz w:val="21"/>
          <w:szCs w:val="21"/>
        </w:rPr>
        <w:t>指发病率呈历年的一般水平，各病例间在发病时间和地点上无明显联系，表现</w:t>
      </w:r>
      <w:r>
        <w:rPr>
          <w:rFonts w:ascii="宋体" w:hAnsi="宋体" w:eastAsia="宋体" w:cs="宋体"/>
          <w:sz w:val="21"/>
          <w:szCs w:val="21"/>
        </w:rPr>
        <w:t xml:space="preserve"> </w:t>
      </w:r>
      <w:r>
        <w:rPr>
          <w:rFonts w:ascii="宋体" w:hAnsi="宋体" w:eastAsia="宋体" w:cs="宋体"/>
          <w:spacing w:val="12"/>
          <w:sz w:val="21"/>
          <w:szCs w:val="21"/>
        </w:rPr>
        <w:t>为散在发生的现象。散发一般是针对较大范围的地区而言。确定散发时，常通过与当地近三年该</w:t>
      </w:r>
      <w:r>
        <w:rPr>
          <w:rFonts w:ascii="宋体" w:hAnsi="宋体" w:eastAsia="宋体" w:cs="宋体"/>
          <w:spacing w:val="5"/>
          <w:sz w:val="21"/>
          <w:szCs w:val="21"/>
        </w:rPr>
        <w:t xml:space="preserve"> </w:t>
      </w:r>
      <w:r>
        <w:rPr>
          <w:rFonts w:ascii="宋体" w:hAnsi="宋体" w:eastAsia="宋体" w:cs="宋体"/>
          <w:spacing w:val="4"/>
          <w:sz w:val="21"/>
          <w:szCs w:val="21"/>
        </w:rPr>
        <w:t>病的发病率进行比较，如果当年发病率未明显超过既往平均水平，则可称为散发。</w:t>
      </w:r>
    </w:p>
    <w:p w14:paraId="3CC36C87">
      <w:pPr>
        <w:spacing w:line="218" w:lineRule="auto"/>
        <w:ind w:left="430"/>
        <w:rPr>
          <w:rFonts w:ascii="宋体" w:hAnsi="宋体" w:eastAsia="宋体" w:cs="宋体"/>
          <w:sz w:val="21"/>
          <w:szCs w:val="21"/>
        </w:rPr>
      </w:pPr>
      <w:r>
        <w:rPr>
          <w:rFonts w:ascii="宋体" w:hAnsi="宋体" w:eastAsia="宋体" w:cs="宋体"/>
          <w:spacing w:val="3"/>
          <w:sz w:val="21"/>
          <w:szCs w:val="21"/>
        </w:rPr>
        <w:t>当预防控制策略与措施有效时，疾病通常会</w:t>
      </w:r>
      <w:r>
        <w:rPr>
          <w:rFonts w:ascii="宋体" w:hAnsi="宋体" w:eastAsia="宋体" w:cs="宋体"/>
          <w:spacing w:val="2"/>
          <w:sz w:val="21"/>
          <w:szCs w:val="21"/>
        </w:rPr>
        <w:t>呈现散发，常见于以下情况：</w:t>
      </w:r>
    </w:p>
    <w:p w14:paraId="5886CD05">
      <w:pPr>
        <w:spacing w:before="130" w:line="264" w:lineRule="auto"/>
        <w:ind w:right="530" w:firstLine="430"/>
        <w:rPr>
          <w:rFonts w:ascii="宋体" w:hAnsi="宋体" w:eastAsia="宋体" w:cs="宋体"/>
          <w:sz w:val="21"/>
          <w:szCs w:val="21"/>
        </w:rPr>
      </w:pPr>
      <w:r>
        <w:rPr>
          <w:rFonts w:ascii="宋体" w:hAnsi="宋体" w:eastAsia="宋体" w:cs="宋体"/>
          <w:spacing w:val="8"/>
          <w:sz w:val="21"/>
          <w:szCs w:val="21"/>
        </w:rPr>
        <w:t>1.</w:t>
      </w:r>
      <w:r>
        <w:rPr>
          <w:rFonts w:ascii="宋体" w:hAnsi="宋体" w:eastAsia="宋体" w:cs="宋体"/>
          <w:spacing w:val="-41"/>
          <w:sz w:val="21"/>
          <w:szCs w:val="21"/>
        </w:rPr>
        <w:t xml:space="preserve"> </w:t>
      </w:r>
      <w:r>
        <w:rPr>
          <w:rFonts w:ascii="宋体" w:hAnsi="宋体" w:eastAsia="宋体" w:cs="宋体"/>
          <w:spacing w:val="8"/>
          <w:sz w:val="21"/>
          <w:szCs w:val="21"/>
        </w:rPr>
        <w:t>病后可获持久免疫力的疾病，或疫苗接种可使人群维持</w:t>
      </w:r>
      <w:r>
        <w:rPr>
          <w:rFonts w:ascii="宋体" w:hAnsi="宋体" w:eastAsia="宋体" w:cs="宋体"/>
          <w:spacing w:val="7"/>
          <w:sz w:val="21"/>
          <w:szCs w:val="21"/>
        </w:rPr>
        <w:t>一定免疫水平的疾病。例如，麻疹、</w:t>
      </w:r>
      <w:r>
        <w:rPr>
          <w:rFonts w:ascii="宋体" w:hAnsi="宋体" w:eastAsia="宋体" w:cs="宋体"/>
          <w:sz w:val="21"/>
          <w:szCs w:val="21"/>
        </w:rPr>
        <w:t xml:space="preserve"> </w:t>
      </w:r>
      <w:r>
        <w:rPr>
          <w:rFonts w:ascii="宋体" w:hAnsi="宋体" w:eastAsia="宋体" w:cs="宋体"/>
          <w:spacing w:val="8"/>
          <w:sz w:val="21"/>
          <w:szCs w:val="21"/>
        </w:rPr>
        <w:t>水痘等。</w:t>
      </w:r>
    </w:p>
    <w:p w14:paraId="72751F42">
      <w:pPr>
        <w:spacing w:before="120" w:line="277" w:lineRule="auto"/>
        <w:ind w:right="626" w:firstLine="430"/>
        <w:rPr>
          <w:rFonts w:ascii="宋体" w:hAnsi="宋体" w:eastAsia="宋体" w:cs="宋体"/>
          <w:sz w:val="21"/>
          <w:szCs w:val="21"/>
        </w:rPr>
      </w:pPr>
      <w:r>
        <w:rPr>
          <w:rFonts w:ascii="宋体" w:hAnsi="宋体" w:eastAsia="宋体" w:cs="宋体"/>
          <w:spacing w:val="5"/>
          <w:sz w:val="21"/>
          <w:szCs w:val="21"/>
        </w:rPr>
        <w:t>2.</w:t>
      </w:r>
      <w:r>
        <w:rPr>
          <w:rFonts w:ascii="宋体" w:hAnsi="宋体" w:eastAsia="宋体" w:cs="宋体"/>
          <w:spacing w:val="-24"/>
          <w:sz w:val="21"/>
          <w:szCs w:val="21"/>
        </w:rPr>
        <w:t xml:space="preserve"> </w:t>
      </w:r>
      <w:r>
        <w:rPr>
          <w:rFonts w:ascii="宋体" w:hAnsi="宋体" w:eastAsia="宋体" w:cs="宋体"/>
          <w:spacing w:val="5"/>
          <w:sz w:val="21"/>
          <w:szCs w:val="21"/>
        </w:rPr>
        <w:t>以隐性感染为主的疾病。这种疾病的显性感染形式较少，常以散发形式存在。例如，</w:t>
      </w:r>
      <w:r>
        <w:rPr>
          <w:rFonts w:ascii="宋体" w:hAnsi="宋体" w:eastAsia="宋体" w:cs="宋体"/>
          <w:spacing w:val="4"/>
          <w:sz w:val="21"/>
          <w:szCs w:val="21"/>
        </w:rPr>
        <w:t>脊髓灰</w:t>
      </w:r>
      <w:r>
        <w:rPr>
          <w:rFonts w:ascii="宋体" w:hAnsi="宋体" w:eastAsia="宋体" w:cs="宋体"/>
          <w:sz w:val="21"/>
          <w:szCs w:val="21"/>
        </w:rPr>
        <w:t xml:space="preserve"> </w:t>
      </w:r>
      <w:r>
        <w:rPr>
          <w:rFonts w:ascii="宋体" w:hAnsi="宋体" w:eastAsia="宋体" w:cs="宋体"/>
          <w:spacing w:val="-2"/>
          <w:sz w:val="21"/>
          <w:szCs w:val="21"/>
        </w:rPr>
        <w:t>质炎、乙型脑炎等。</w:t>
      </w:r>
    </w:p>
    <w:p w14:paraId="5229D150">
      <w:pPr>
        <w:spacing w:before="129" w:line="264" w:lineRule="auto"/>
        <w:ind w:right="626" w:firstLine="430"/>
        <w:rPr>
          <w:rFonts w:ascii="宋体" w:hAnsi="宋体" w:eastAsia="宋体" w:cs="宋体"/>
          <w:sz w:val="21"/>
          <w:szCs w:val="21"/>
        </w:rPr>
      </w:pPr>
      <w:r>
        <w:rPr>
          <w:rFonts w:ascii="宋体" w:hAnsi="宋体" w:eastAsia="宋体" w:cs="宋体"/>
          <w:spacing w:val="6"/>
          <w:sz w:val="21"/>
          <w:szCs w:val="21"/>
        </w:rPr>
        <w:t>3.</w:t>
      </w:r>
      <w:r>
        <w:rPr>
          <w:rFonts w:ascii="宋体" w:hAnsi="宋体" w:eastAsia="宋体" w:cs="宋体"/>
          <w:spacing w:val="-53"/>
          <w:sz w:val="21"/>
          <w:szCs w:val="21"/>
        </w:rPr>
        <w:t xml:space="preserve"> </w:t>
      </w:r>
      <w:r>
        <w:rPr>
          <w:rFonts w:ascii="宋体" w:hAnsi="宋体" w:eastAsia="宋体" w:cs="宋体"/>
          <w:spacing w:val="6"/>
          <w:sz w:val="21"/>
          <w:szCs w:val="21"/>
        </w:rPr>
        <w:t>与特殊情境相关的疾病，有些传播机制不容易实现的</w:t>
      </w:r>
      <w:r>
        <w:rPr>
          <w:rFonts w:ascii="宋体" w:hAnsi="宋体" w:eastAsia="宋体" w:cs="宋体"/>
          <w:spacing w:val="5"/>
          <w:sz w:val="21"/>
          <w:szCs w:val="21"/>
        </w:rPr>
        <w:t>疾病，如特定外伤或暴露后出现的感染</w:t>
      </w:r>
      <w:r>
        <w:rPr>
          <w:rFonts w:ascii="宋体" w:hAnsi="宋体" w:eastAsia="宋体" w:cs="宋体"/>
          <w:sz w:val="21"/>
          <w:szCs w:val="21"/>
        </w:rPr>
        <w:t xml:space="preserve"> </w:t>
      </w:r>
      <w:r>
        <w:rPr>
          <w:rFonts w:ascii="宋体" w:hAnsi="宋体" w:eastAsia="宋体" w:cs="宋体"/>
          <w:spacing w:val="-2"/>
          <w:sz w:val="21"/>
          <w:szCs w:val="21"/>
        </w:rPr>
        <w:t>性疾病，可能散在发生。例如，破伤风、狂犬病等。</w:t>
      </w:r>
    </w:p>
    <w:p w14:paraId="40D7CB8B">
      <w:pPr>
        <w:spacing w:before="109" w:line="219" w:lineRule="auto"/>
        <w:ind w:left="430"/>
        <w:rPr>
          <w:rFonts w:ascii="宋体" w:hAnsi="宋体" w:eastAsia="宋体" w:cs="宋体"/>
          <w:sz w:val="21"/>
          <w:szCs w:val="21"/>
        </w:rPr>
      </w:pPr>
      <w:r>
        <w:rPr>
          <w:rFonts w:ascii="宋体" w:hAnsi="宋体" w:eastAsia="宋体" w:cs="宋体"/>
          <w:spacing w:val="1"/>
          <w:sz w:val="21"/>
          <w:szCs w:val="21"/>
        </w:rPr>
        <w:t>4.</w:t>
      </w:r>
      <w:r>
        <w:rPr>
          <w:rFonts w:ascii="宋体" w:hAnsi="宋体" w:eastAsia="宋体" w:cs="宋体"/>
          <w:spacing w:val="-55"/>
          <w:sz w:val="21"/>
          <w:szCs w:val="21"/>
        </w:rPr>
        <w:t xml:space="preserve"> </w:t>
      </w:r>
      <w:r>
        <w:rPr>
          <w:rFonts w:ascii="宋体" w:hAnsi="宋体" w:eastAsia="宋体" w:cs="宋体"/>
          <w:spacing w:val="1"/>
          <w:sz w:val="21"/>
          <w:szCs w:val="21"/>
        </w:rPr>
        <w:t>某些潜伏期长的传染病，常以散发形式存在。例如，麻风、结核病等。</w:t>
      </w:r>
    </w:p>
    <w:p w14:paraId="324EC251">
      <w:pPr>
        <w:pStyle w:val="2"/>
        <w:spacing w:before="309" w:line="221" w:lineRule="auto"/>
        <w:ind w:left="433"/>
        <w:outlineLvl w:val="2"/>
        <w:rPr>
          <w:sz w:val="26"/>
          <w:szCs w:val="26"/>
        </w:rPr>
      </w:pPr>
      <w:bookmarkStart w:id="39" w:name="bookmark24"/>
      <w:bookmarkEnd w:id="39"/>
      <w:r>
        <w:rPr>
          <w:b/>
          <w:bCs/>
          <w:spacing w:val="-8"/>
          <w:sz w:val="26"/>
          <w:szCs w:val="26"/>
        </w:rPr>
        <w:t>二</w:t>
      </w:r>
      <w:r>
        <w:rPr>
          <w:spacing w:val="-58"/>
          <w:sz w:val="26"/>
          <w:szCs w:val="26"/>
        </w:rPr>
        <w:t xml:space="preserve"> </w:t>
      </w:r>
      <w:r>
        <w:rPr>
          <w:b/>
          <w:bCs/>
          <w:spacing w:val="-8"/>
          <w:sz w:val="26"/>
          <w:szCs w:val="26"/>
        </w:rPr>
        <w:t>、暴发</w:t>
      </w:r>
    </w:p>
    <w:p w14:paraId="14A2C328">
      <w:pPr>
        <w:spacing w:before="207" w:line="321" w:lineRule="auto"/>
        <w:ind w:right="615" w:firstLine="430"/>
        <w:jc w:val="both"/>
        <w:rPr>
          <w:rFonts w:ascii="宋体" w:hAnsi="宋体" w:eastAsia="宋体" w:cs="宋体"/>
          <w:sz w:val="21"/>
          <w:szCs w:val="21"/>
        </w:rPr>
      </w:pPr>
      <w:r>
        <w:rPr>
          <w:rFonts w:ascii="宋体" w:hAnsi="宋体" w:eastAsia="宋体" w:cs="宋体"/>
          <w:spacing w:val="9"/>
          <w:sz w:val="21"/>
          <w:szCs w:val="21"/>
        </w:rPr>
        <w:t>暴发</w:t>
      </w:r>
      <w:r>
        <w:rPr>
          <w:rFonts w:ascii="Times New Roman" w:hAnsi="Times New Roman" w:eastAsia="Times New Roman" w:cs="Times New Roman"/>
          <w:spacing w:val="9"/>
          <w:sz w:val="21"/>
          <w:szCs w:val="21"/>
        </w:rPr>
        <w:t>(</w:t>
      </w:r>
      <w:r>
        <w:rPr>
          <w:rFonts w:ascii="Times New Roman" w:hAnsi="Times New Roman" w:eastAsia="Times New Roman" w:cs="Times New Roman"/>
          <w:sz w:val="21"/>
          <w:szCs w:val="21"/>
        </w:rPr>
        <w:t>outbreak</w:t>
      </w:r>
      <w:r>
        <w:rPr>
          <w:rFonts w:ascii="Times New Roman" w:hAnsi="Times New Roman" w:eastAsia="Times New Roman" w:cs="Times New Roman"/>
          <w:spacing w:val="9"/>
          <w:sz w:val="21"/>
          <w:szCs w:val="21"/>
        </w:rPr>
        <w:t>)</w:t>
      </w:r>
      <w:r>
        <w:rPr>
          <w:rFonts w:ascii="Times New Roman" w:hAnsi="Times New Roman" w:eastAsia="Times New Roman" w:cs="Times New Roman"/>
          <w:spacing w:val="20"/>
          <w:sz w:val="21"/>
          <w:szCs w:val="21"/>
        </w:rPr>
        <w:t xml:space="preserve">  </w:t>
      </w:r>
      <w:r>
        <w:rPr>
          <w:rFonts w:ascii="宋体" w:hAnsi="宋体" w:eastAsia="宋体" w:cs="宋体"/>
          <w:spacing w:val="9"/>
          <w:sz w:val="21"/>
          <w:szCs w:val="21"/>
        </w:rPr>
        <w:t>是指局部地区或集体单位，短时间内突然出现很</w:t>
      </w:r>
      <w:r>
        <w:rPr>
          <w:rFonts w:ascii="宋体" w:hAnsi="宋体" w:eastAsia="宋体" w:cs="宋体"/>
          <w:spacing w:val="8"/>
          <w:sz w:val="21"/>
          <w:szCs w:val="21"/>
        </w:rPr>
        <w:t>多症状相似病人的现象。大多</w:t>
      </w:r>
      <w:r>
        <w:rPr>
          <w:rFonts w:ascii="宋体" w:hAnsi="宋体" w:eastAsia="宋体" w:cs="宋体"/>
          <w:sz w:val="21"/>
          <w:szCs w:val="21"/>
        </w:rPr>
        <w:t xml:space="preserve"> </w:t>
      </w:r>
      <w:r>
        <w:rPr>
          <w:rFonts w:ascii="宋体" w:hAnsi="宋体" w:eastAsia="宋体" w:cs="宋体"/>
          <w:spacing w:val="7"/>
          <w:sz w:val="21"/>
          <w:szCs w:val="21"/>
        </w:rPr>
        <w:t>数病人在疾病的最短潜伏期到最长潜伏期之间发病，通常具有相同的传染源或传播途径，</w:t>
      </w:r>
      <w:r>
        <w:rPr>
          <w:rFonts w:ascii="宋体" w:hAnsi="宋体" w:eastAsia="宋体" w:cs="宋体"/>
          <w:spacing w:val="6"/>
          <w:sz w:val="21"/>
          <w:szCs w:val="21"/>
        </w:rPr>
        <w:t>如托幼机</w:t>
      </w:r>
      <w:r>
        <w:rPr>
          <w:rFonts w:ascii="宋体" w:hAnsi="宋体" w:eastAsia="宋体" w:cs="宋体"/>
          <w:sz w:val="21"/>
          <w:szCs w:val="21"/>
        </w:rPr>
        <w:t xml:space="preserve"> </w:t>
      </w:r>
      <w:r>
        <w:rPr>
          <w:rFonts w:ascii="宋体" w:hAnsi="宋体" w:eastAsia="宋体" w:cs="宋体"/>
          <w:spacing w:val="2"/>
          <w:sz w:val="21"/>
          <w:szCs w:val="21"/>
        </w:rPr>
        <w:t>构的麻疹、手足口病、腮腺炎、甲型病毒性肝炎等的暴发。每种疾病的暴发标准可能不同，通常取决</w:t>
      </w:r>
      <w:r>
        <w:rPr>
          <w:rFonts w:ascii="宋体" w:hAnsi="宋体" w:eastAsia="宋体" w:cs="宋体"/>
          <w:sz w:val="21"/>
          <w:szCs w:val="21"/>
        </w:rPr>
        <w:t xml:space="preserve"> </w:t>
      </w:r>
      <w:r>
        <w:rPr>
          <w:rFonts w:ascii="宋体" w:hAnsi="宋体" w:eastAsia="宋体" w:cs="宋体"/>
          <w:spacing w:val="2"/>
          <w:sz w:val="21"/>
          <w:szCs w:val="21"/>
        </w:rPr>
        <w:t>于其传染性、潜伏期、传播途径和历史发病数据等因素。例如，根据《手足口病聚集性和暴发疫情处</w:t>
      </w:r>
      <w:r>
        <w:rPr>
          <w:rFonts w:ascii="宋体" w:hAnsi="宋体" w:eastAsia="宋体" w:cs="宋体"/>
          <w:sz w:val="21"/>
          <w:szCs w:val="21"/>
        </w:rPr>
        <w:t xml:space="preserve"> </w:t>
      </w:r>
      <w:r>
        <w:rPr>
          <w:rFonts w:ascii="宋体" w:hAnsi="宋体" w:eastAsia="宋体" w:cs="宋体"/>
          <w:spacing w:val="7"/>
          <w:sz w:val="21"/>
          <w:szCs w:val="21"/>
        </w:rPr>
        <w:t>置工作规范(2012版)》规定，手足口病暴发疫</w:t>
      </w:r>
      <w:r>
        <w:rPr>
          <w:rFonts w:ascii="宋体" w:hAnsi="宋体" w:eastAsia="宋体" w:cs="宋体"/>
          <w:spacing w:val="6"/>
          <w:sz w:val="21"/>
          <w:szCs w:val="21"/>
        </w:rPr>
        <w:t>情是指一周内，同一托幼机构或学校等集体单位发生</w:t>
      </w:r>
      <w:r>
        <w:rPr>
          <w:rFonts w:ascii="宋体" w:hAnsi="宋体" w:eastAsia="宋体" w:cs="宋体"/>
          <w:sz w:val="21"/>
          <w:szCs w:val="21"/>
        </w:rPr>
        <w:t xml:space="preserve"> </w:t>
      </w:r>
      <w:r>
        <w:rPr>
          <w:rFonts w:ascii="宋体" w:hAnsi="宋体" w:eastAsia="宋体" w:cs="宋体"/>
          <w:spacing w:val="10"/>
          <w:sz w:val="21"/>
          <w:szCs w:val="21"/>
        </w:rPr>
        <w:t>10例及以上手足口病病例，或同一个自然村/居</w:t>
      </w:r>
      <w:r>
        <w:rPr>
          <w:rFonts w:ascii="宋体" w:hAnsi="宋体" w:eastAsia="宋体" w:cs="宋体"/>
          <w:spacing w:val="9"/>
          <w:sz w:val="21"/>
          <w:szCs w:val="21"/>
        </w:rPr>
        <w:t>委会发生5例及以上手足口病病例。</w:t>
      </w:r>
    </w:p>
    <w:p w14:paraId="010F77D1">
      <w:pPr>
        <w:pStyle w:val="2"/>
        <w:spacing w:before="191" w:line="221" w:lineRule="auto"/>
        <w:ind w:left="433"/>
        <w:outlineLvl w:val="2"/>
        <w:rPr>
          <w:sz w:val="26"/>
          <w:szCs w:val="26"/>
        </w:rPr>
      </w:pPr>
      <w:bookmarkStart w:id="40" w:name="bookmark25"/>
      <w:bookmarkEnd w:id="40"/>
      <w:r>
        <w:rPr>
          <w:b/>
          <w:bCs/>
          <w:spacing w:val="-14"/>
          <w:sz w:val="26"/>
          <w:szCs w:val="26"/>
        </w:rPr>
        <w:t>三</w:t>
      </w:r>
      <w:r>
        <w:rPr>
          <w:spacing w:val="-55"/>
          <w:sz w:val="26"/>
          <w:szCs w:val="26"/>
        </w:rPr>
        <w:t xml:space="preserve"> </w:t>
      </w:r>
      <w:r>
        <w:rPr>
          <w:b/>
          <w:bCs/>
          <w:spacing w:val="-14"/>
          <w:sz w:val="26"/>
          <w:szCs w:val="26"/>
        </w:rPr>
        <w:t>、流行</w:t>
      </w:r>
    </w:p>
    <w:p w14:paraId="1C88FA95">
      <w:pPr>
        <w:spacing w:before="228" w:line="323" w:lineRule="auto"/>
        <w:ind w:right="614" w:firstLine="430"/>
        <w:jc w:val="both"/>
        <w:rPr>
          <w:rFonts w:ascii="宋体" w:hAnsi="宋体" w:eastAsia="宋体" w:cs="宋体"/>
          <w:sz w:val="21"/>
          <w:szCs w:val="21"/>
        </w:rPr>
      </w:pPr>
      <w:r>
        <w:rPr>
          <w:rFonts w:ascii="宋体" w:hAnsi="宋体" w:eastAsia="宋体" w:cs="宋体"/>
          <w:spacing w:val="6"/>
          <w:sz w:val="21"/>
          <w:szCs w:val="21"/>
        </w:rPr>
        <w:t>流</w:t>
      </w:r>
      <w:r>
        <w:rPr>
          <w:rFonts w:ascii="宋体" w:hAnsi="宋体" w:eastAsia="宋体" w:cs="宋体"/>
          <w:spacing w:val="-30"/>
          <w:sz w:val="21"/>
          <w:szCs w:val="21"/>
        </w:rPr>
        <w:t xml:space="preserve"> </w:t>
      </w:r>
      <w:r>
        <w:rPr>
          <w:rFonts w:ascii="宋体" w:hAnsi="宋体" w:eastAsia="宋体" w:cs="宋体"/>
          <w:spacing w:val="6"/>
          <w:sz w:val="21"/>
          <w:szCs w:val="21"/>
        </w:rPr>
        <w:t>行</w:t>
      </w:r>
      <w:r>
        <w:rPr>
          <w:rFonts w:ascii="Times New Roman" w:hAnsi="Times New Roman" w:eastAsia="Times New Roman" w:cs="Times New Roman"/>
          <w:spacing w:val="6"/>
          <w:sz w:val="21"/>
          <w:szCs w:val="21"/>
        </w:rPr>
        <w:t>(</w:t>
      </w:r>
      <w:r>
        <w:rPr>
          <w:rFonts w:ascii="Times New Roman" w:hAnsi="Times New Roman" w:eastAsia="Times New Roman" w:cs="Times New Roman"/>
          <w:sz w:val="21"/>
          <w:szCs w:val="21"/>
        </w:rPr>
        <w:t>epidemic</w:t>
      </w:r>
      <w:r>
        <w:rPr>
          <w:rFonts w:ascii="Times New Roman" w:hAnsi="Times New Roman" w:eastAsia="Times New Roman" w:cs="Times New Roman"/>
          <w:spacing w:val="6"/>
          <w:sz w:val="21"/>
          <w:szCs w:val="21"/>
        </w:rPr>
        <w:t xml:space="preserve">)  </w:t>
      </w:r>
      <w:r>
        <w:rPr>
          <w:rFonts w:ascii="宋体" w:hAnsi="宋体" w:eastAsia="宋体" w:cs="宋体"/>
          <w:spacing w:val="6"/>
          <w:sz w:val="21"/>
          <w:szCs w:val="21"/>
        </w:rPr>
        <w:t>是指在某地区某病的发病率显著超过该病历年发病率水平的现象，各病例之间</w:t>
      </w:r>
      <w:r>
        <w:rPr>
          <w:rFonts w:ascii="宋体" w:hAnsi="宋体" w:eastAsia="宋体" w:cs="宋体"/>
          <w:sz w:val="21"/>
          <w:szCs w:val="21"/>
        </w:rPr>
        <w:t xml:space="preserve"> </w:t>
      </w:r>
      <w:r>
        <w:rPr>
          <w:rFonts w:ascii="宋体" w:hAnsi="宋体" w:eastAsia="宋体" w:cs="宋体"/>
          <w:spacing w:val="12"/>
          <w:sz w:val="21"/>
          <w:szCs w:val="21"/>
        </w:rPr>
        <w:t xml:space="preserve">呈现明显的时间和空间联系。当某地出现某疾病流行时，提示当地可能存在共同的传播因素。例 </w:t>
      </w:r>
      <w:r>
        <w:rPr>
          <w:rFonts w:ascii="宋体" w:hAnsi="宋体" w:eastAsia="宋体" w:cs="宋体"/>
          <w:spacing w:val="7"/>
          <w:sz w:val="21"/>
          <w:szCs w:val="21"/>
        </w:rPr>
        <w:t>如，2023年东南亚和南美洲多国报告的登革热流行，发病地区的病例数远超往年同期</w:t>
      </w:r>
      <w:r>
        <w:rPr>
          <w:rFonts w:ascii="宋体" w:hAnsi="宋体" w:eastAsia="宋体" w:cs="宋体"/>
          <w:spacing w:val="6"/>
          <w:sz w:val="21"/>
          <w:szCs w:val="21"/>
        </w:rPr>
        <w:t>水平，病例间</w:t>
      </w:r>
      <w:r>
        <w:rPr>
          <w:rFonts w:ascii="宋体" w:hAnsi="宋体" w:eastAsia="宋体" w:cs="宋体"/>
          <w:sz w:val="21"/>
          <w:szCs w:val="21"/>
        </w:rPr>
        <w:t xml:space="preserve"> </w:t>
      </w:r>
      <w:r>
        <w:rPr>
          <w:rFonts w:ascii="宋体" w:hAnsi="宋体" w:eastAsia="宋体" w:cs="宋体"/>
          <w:spacing w:val="5"/>
          <w:sz w:val="21"/>
          <w:szCs w:val="21"/>
        </w:rPr>
        <w:t>通过蚊媒传播，并显示出明显的地区聚集性特点。</w:t>
      </w:r>
    </w:p>
    <w:p w14:paraId="5665CF81">
      <w:pPr>
        <w:pStyle w:val="2"/>
        <w:spacing w:before="181" w:line="221" w:lineRule="auto"/>
        <w:ind w:left="433"/>
        <w:outlineLvl w:val="2"/>
        <w:rPr>
          <w:sz w:val="26"/>
          <w:szCs w:val="26"/>
        </w:rPr>
      </w:pPr>
      <w:bookmarkStart w:id="41" w:name="bookmark26"/>
      <w:bookmarkEnd w:id="41"/>
      <w:r>
        <w:rPr>
          <w:b/>
          <w:bCs/>
          <w:spacing w:val="-14"/>
          <w:sz w:val="26"/>
          <w:szCs w:val="26"/>
        </w:rPr>
        <w:t>四</w:t>
      </w:r>
      <w:r>
        <w:rPr>
          <w:spacing w:val="-64"/>
          <w:sz w:val="26"/>
          <w:szCs w:val="26"/>
        </w:rPr>
        <w:t xml:space="preserve"> </w:t>
      </w:r>
      <w:r>
        <w:rPr>
          <w:b/>
          <w:bCs/>
          <w:spacing w:val="-14"/>
          <w:sz w:val="26"/>
          <w:szCs w:val="26"/>
        </w:rPr>
        <w:t>、大流行</w:t>
      </w:r>
    </w:p>
    <w:p w14:paraId="35F043BF">
      <w:pPr>
        <w:spacing w:before="229" w:line="321" w:lineRule="auto"/>
        <w:ind w:right="550" w:firstLine="430"/>
        <w:jc w:val="both"/>
        <w:rPr>
          <w:rFonts w:ascii="宋体" w:hAnsi="宋体" w:eastAsia="宋体" w:cs="宋体"/>
          <w:sz w:val="21"/>
          <w:szCs w:val="21"/>
        </w:rPr>
      </w:pPr>
      <w:r>
        <w:rPr>
          <w:rFonts w:ascii="宋体" w:hAnsi="宋体" w:eastAsia="宋体" w:cs="宋体"/>
          <w:spacing w:val="11"/>
          <w:sz w:val="21"/>
          <w:szCs w:val="21"/>
        </w:rPr>
        <w:t>大流行</w:t>
      </w:r>
      <w:r>
        <w:rPr>
          <w:rFonts w:ascii="Times New Roman" w:hAnsi="Times New Roman" w:eastAsia="Times New Roman" w:cs="Times New Roman"/>
          <w:spacing w:val="11"/>
          <w:sz w:val="21"/>
          <w:szCs w:val="21"/>
        </w:rPr>
        <w:t>(</w:t>
      </w:r>
      <w:r>
        <w:rPr>
          <w:rFonts w:ascii="Times New Roman" w:hAnsi="Times New Roman" w:eastAsia="Times New Roman" w:cs="Times New Roman"/>
          <w:sz w:val="21"/>
          <w:szCs w:val="21"/>
        </w:rPr>
        <w:t>pandemic</w:t>
      </w:r>
      <w:r>
        <w:rPr>
          <w:rFonts w:ascii="Times New Roman" w:hAnsi="Times New Roman" w:eastAsia="Times New Roman" w:cs="Times New Roman"/>
          <w:spacing w:val="11"/>
          <w:sz w:val="21"/>
          <w:szCs w:val="21"/>
        </w:rPr>
        <w:t xml:space="preserve">)   </w:t>
      </w:r>
      <w:r>
        <w:rPr>
          <w:rFonts w:ascii="宋体" w:hAnsi="宋体" w:eastAsia="宋体" w:cs="宋体"/>
          <w:spacing w:val="11"/>
          <w:sz w:val="21"/>
          <w:szCs w:val="21"/>
        </w:rPr>
        <w:t>是指某病发病率显著超过该病历年发病率水平，疾病蔓延迅速，涉及地区</w:t>
      </w:r>
      <w:r>
        <w:rPr>
          <w:rFonts w:ascii="宋体" w:hAnsi="宋体" w:eastAsia="宋体" w:cs="宋体"/>
          <w:spacing w:val="3"/>
          <w:sz w:val="21"/>
          <w:szCs w:val="21"/>
        </w:rPr>
        <w:t xml:space="preserve"> </w:t>
      </w:r>
      <w:r>
        <w:rPr>
          <w:rFonts w:ascii="宋体" w:hAnsi="宋体" w:eastAsia="宋体" w:cs="宋体"/>
          <w:spacing w:val="7"/>
          <w:sz w:val="21"/>
          <w:szCs w:val="21"/>
        </w:rPr>
        <w:t>广，在短期内可跨越省界、国界甚至洲界的现象。以2014</w:t>
      </w:r>
      <w:r>
        <w:rPr>
          <w:rFonts w:ascii="宋体" w:hAnsi="宋体" w:eastAsia="宋体" w:cs="宋体"/>
          <w:spacing w:val="6"/>
          <w:sz w:val="21"/>
          <w:szCs w:val="21"/>
        </w:rPr>
        <w:t>年的埃博拉病毒病疫情为例，最初在西非</w:t>
      </w:r>
      <w:r>
        <w:rPr>
          <w:rFonts w:ascii="宋体" w:hAnsi="宋体" w:eastAsia="宋体" w:cs="宋体"/>
          <w:sz w:val="21"/>
          <w:szCs w:val="21"/>
        </w:rPr>
        <w:t xml:space="preserve"> 的几个国家发生，但在短短几个月内，迅速传播至其他非洲国家，随着疫情的加重，</w:t>
      </w:r>
      <w:r>
        <w:rPr>
          <w:rFonts w:ascii="宋体" w:hAnsi="宋体" w:eastAsia="宋体" w:cs="宋体"/>
          <w:spacing w:val="-36"/>
          <w:sz w:val="21"/>
          <w:szCs w:val="21"/>
        </w:rPr>
        <w:t xml:space="preserve"> </w:t>
      </w:r>
      <w:r>
        <w:rPr>
          <w:rFonts w:ascii="宋体" w:hAnsi="宋体" w:eastAsia="宋体" w:cs="宋体"/>
          <w:sz w:val="21"/>
          <w:szCs w:val="21"/>
        </w:rPr>
        <w:t xml:space="preserve">一些病例甚至扩  </w:t>
      </w:r>
      <w:r>
        <w:rPr>
          <w:rFonts w:ascii="宋体" w:hAnsi="宋体" w:eastAsia="宋体" w:cs="宋体"/>
          <w:spacing w:val="11"/>
          <w:sz w:val="21"/>
          <w:szCs w:val="21"/>
        </w:rPr>
        <w:t>散到了欧洲和北美地区，最终被</w:t>
      </w:r>
      <w:r>
        <w:rPr>
          <w:rFonts w:ascii="宋体" w:hAnsi="宋体" w:eastAsia="宋体" w:cs="宋体"/>
          <w:sz w:val="21"/>
          <w:szCs w:val="21"/>
        </w:rPr>
        <w:t>WHO</w:t>
      </w:r>
      <w:r>
        <w:rPr>
          <w:rFonts w:ascii="宋体" w:hAnsi="宋体" w:eastAsia="宋体" w:cs="宋体"/>
          <w:spacing w:val="11"/>
          <w:sz w:val="21"/>
          <w:szCs w:val="21"/>
        </w:rPr>
        <w:t xml:space="preserve">  宣布为国际关注的突发公共卫生事件。随着全球化的发展，</w:t>
      </w:r>
      <w:r>
        <w:rPr>
          <w:rFonts w:ascii="宋体" w:hAnsi="宋体" w:eastAsia="宋体" w:cs="宋体"/>
          <w:spacing w:val="17"/>
          <w:sz w:val="21"/>
          <w:szCs w:val="21"/>
        </w:rPr>
        <w:t xml:space="preserve"> </w:t>
      </w:r>
      <w:r>
        <w:rPr>
          <w:rFonts w:ascii="宋体" w:hAnsi="宋体" w:eastAsia="宋体" w:cs="宋体"/>
          <w:spacing w:val="7"/>
          <w:sz w:val="21"/>
          <w:szCs w:val="21"/>
        </w:rPr>
        <w:t>交通日益便捷，人群与物资流动的频度和速度大</w:t>
      </w:r>
      <w:r>
        <w:rPr>
          <w:rFonts w:ascii="宋体" w:hAnsi="宋体" w:eastAsia="宋体" w:cs="宋体"/>
          <w:spacing w:val="6"/>
          <w:sz w:val="21"/>
          <w:szCs w:val="21"/>
        </w:rPr>
        <w:t>幅增加，这为病原体的迅速传播创造了条件，使某</w:t>
      </w:r>
      <w:r>
        <w:rPr>
          <w:rFonts w:ascii="宋体" w:hAnsi="宋体" w:eastAsia="宋体" w:cs="宋体"/>
          <w:sz w:val="21"/>
          <w:szCs w:val="21"/>
        </w:rPr>
        <w:t xml:space="preserve">  </w:t>
      </w:r>
      <w:r>
        <w:rPr>
          <w:rFonts w:ascii="宋体" w:hAnsi="宋体" w:eastAsia="宋体" w:cs="宋体"/>
          <w:spacing w:val="6"/>
          <w:sz w:val="21"/>
          <w:szCs w:val="21"/>
        </w:rPr>
        <w:t>种疾病有可能在短时间内蔓延至全球，增加大流行的</w:t>
      </w:r>
      <w:r>
        <w:rPr>
          <w:rFonts w:ascii="宋体" w:hAnsi="宋体" w:eastAsia="宋体" w:cs="宋体"/>
          <w:spacing w:val="5"/>
          <w:sz w:val="21"/>
          <w:szCs w:val="21"/>
        </w:rPr>
        <w:t>发生风险。</w:t>
      </w:r>
    </w:p>
    <w:p w14:paraId="26F059C2">
      <w:pPr>
        <w:spacing w:line="287" w:lineRule="auto"/>
        <w:rPr>
          <w:rFonts w:ascii="Arial"/>
          <w:sz w:val="21"/>
        </w:rPr>
      </w:pPr>
    </w:p>
    <w:p w14:paraId="13DC04F5">
      <w:pPr>
        <w:pStyle w:val="2"/>
        <w:spacing w:before="101" w:line="221" w:lineRule="auto"/>
        <w:ind w:left="3004"/>
        <w:outlineLvl w:val="1"/>
        <w:rPr>
          <w:sz w:val="31"/>
          <w:szCs w:val="31"/>
        </w:rPr>
      </w:pPr>
      <w:bookmarkStart w:id="42" w:name="bookmark27"/>
      <w:bookmarkEnd w:id="42"/>
      <w:r>
        <w:rPr>
          <w:b/>
          <w:bCs/>
          <w:spacing w:val="-6"/>
          <w:sz w:val="31"/>
          <w:szCs w:val="31"/>
        </w:rPr>
        <w:t>第三节</w:t>
      </w:r>
      <w:r>
        <w:rPr>
          <w:spacing w:val="143"/>
          <w:sz w:val="31"/>
          <w:szCs w:val="31"/>
        </w:rPr>
        <w:t xml:space="preserve"> </w:t>
      </w:r>
      <w:r>
        <w:rPr>
          <w:b/>
          <w:bCs/>
          <w:spacing w:val="-6"/>
          <w:sz w:val="31"/>
          <w:szCs w:val="31"/>
        </w:rPr>
        <w:t>疾病的分布特征</w:t>
      </w:r>
    </w:p>
    <w:p w14:paraId="5A0AD581">
      <w:pPr>
        <w:spacing w:line="300" w:lineRule="auto"/>
        <w:rPr>
          <w:rFonts w:ascii="Arial"/>
          <w:sz w:val="21"/>
        </w:rPr>
      </w:pPr>
    </w:p>
    <w:p w14:paraId="2C1F3863">
      <w:pPr>
        <w:spacing w:before="69" w:line="219" w:lineRule="auto"/>
        <w:ind w:left="430"/>
        <w:rPr>
          <w:rFonts w:ascii="宋体" w:hAnsi="宋体" w:eastAsia="宋体" w:cs="宋体"/>
          <w:sz w:val="21"/>
          <w:szCs w:val="21"/>
        </w:rPr>
      </w:pPr>
      <w:r>
        <w:rPr>
          <w:rFonts w:ascii="宋体" w:hAnsi="宋体" w:eastAsia="宋体" w:cs="宋体"/>
          <w:spacing w:val="1"/>
          <w:sz w:val="21"/>
          <w:szCs w:val="21"/>
        </w:rPr>
        <w:t>在致病因素、人群特征、自然和社会环境等多种因素综合作用下，疾</w:t>
      </w:r>
      <w:r>
        <w:rPr>
          <w:rFonts w:ascii="宋体" w:hAnsi="宋体" w:eastAsia="宋体" w:cs="宋体"/>
          <w:sz w:val="21"/>
          <w:szCs w:val="21"/>
        </w:rPr>
        <w:t>病在不同人群、不同地区及</w:t>
      </w:r>
    </w:p>
    <w:p w14:paraId="4D496CDF">
      <w:pPr>
        <w:spacing w:line="219" w:lineRule="auto"/>
        <w:rPr>
          <w:rFonts w:ascii="宋体" w:hAnsi="宋体" w:eastAsia="宋体" w:cs="宋体"/>
          <w:sz w:val="21"/>
          <w:szCs w:val="21"/>
        </w:rPr>
        <w:sectPr>
          <w:footerReference r:id="rId49" w:type="default"/>
          <w:pgSz w:w="11900" w:h="16820"/>
          <w:pgMar w:top="400" w:right="674" w:bottom="896" w:left="1269" w:header="0" w:footer="707" w:gutter="0"/>
          <w:cols w:space="720" w:num="1"/>
        </w:sectPr>
      </w:pPr>
    </w:p>
    <w:p w14:paraId="60D89B7E">
      <w:pPr>
        <w:pStyle w:val="2"/>
        <w:spacing w:before="56" w:line="221" w:lineRule="auto"/>
        <w:ind w:left="699"/>
        <w:rPr>
          <w:sz w:val="20"/>
          <w:szCs w:val="20"/>
        </w:rPr>
      </w:pPr>
      <w:bookmarkStart w:id="43" w:name="bookmark412"/>
      <w:bookmarkEnd w:id="43"/>
      <w:r>
        <w:rPr>
          <w:spacing w:val="-9"/>
          <w:sz w:val="20"/>
          <w:szCs w:val="20"/>
        </w:rPr>
        <w:t>第二章疾病的分布</w:t>
      </w:r>
    </w:p>
    <w:p w14:paraId="48D89968">
      <w:pPr>
        <w:spacing w:line="287" w:lineRule="auto"/>
        <w:rPr>
          <w:rFonts w:ascii="Arial"/>
          <w:sz w:val="21"/>
        </w:rPr>
      </w:pPr>
    </w:p>
    <w:p w14:paraId="4F3E60D1">
      <w:pPr>
        <w:spacing w:line="287" w:lineRule="auto"/>
        <w:rPr>
          <w:rFonts w:ascii="Arial"/>
          <w:sz w:val="21"/>
        </w:rPr>
      </w:pPr>
    </w:p>
    <w:p w14:paraId="0E176745">
      <w:pPr>
        <w:spacing w:before="65" w:line="342" w:lineRule="auto"/>
        <w:ind w:left="699"/>
        <w:jc w:val="both"/>
        <w:rPr>
          <w:rFonts w:ascii="宋体" w:hAnsi="宋体" w:eastAsia="宋体" w:cs="宋体"/>
          <w:sz w:val="20"/>
          <w:szCs w:val="20"/>
        </w:rPr>
      </w:pPr>
      <w:r>
        <w:rPr>
          <w:rFonts w:ascii="宋体" w:hAnsi="宋体" w:eastAsia="宋体" w:cs="宋体"/>
          <w:spacing w:val="5"/>
          <w:sz w:val="20"/>
          <w:szCs w:val="20"/>
        </w:rPr>
        <w:t>不同时间的流行强度不一，存在状态也不完全相同。对于病因明确的疾病，流行特</w:t>
      </w:r>
      <w:r>
        <w:rPr>
          <w:rFonts w:ascii="宋体" w:hAnsi="宋体" w:eastAsia="宋体" w:cs="宋体"/>
          <w:spacing w:val="4"/>
          <w:sz w:val="20"/>
          <w:szCs w:val="20"/>
        </w:rPr>
        <w:t>征是辨识和解释</w:t>
      </w:r>
      <w:r>
        <w:rPr>
          <w:rFonts w:ascii="宋体" w:hAnsi="宋体" w:eastAsia="宋体" w:cs="宋体"/>
          <w:sz w:val="20"/>
          <w:szCs w:val="20"/>
        </w:rPr>
        <w:t xml:space="preserve">  </w:t>
      </w:r>
      <w:r>
        <w:rPr>
          <w:rFonts w:ascii="宋体" w:hAnsi="宋体" w:eastAsia="宋体" w:cs="宋体"/>
          <w:spacing w:val="5"/>
          <w:sz w:val="20"/>
          <w:szCs w:val="20"/>
        </w:rPr>
        <w:t>病因的依据；对于病因未明的疾病，流行特征是病因的外在表现，是形成病因假设的重要线索，是</w:t>
      </w:r>
      <w:r>
        <w:rPr>
          <w:rFonts w:ascii="宋体" w:hAnsi="宋体" w:eastAsia="宋体" w:cs="宋体"/>
          <w:spacing w:val="4"/>
          <w:sz w:val="20"/>
          <w:szCs w:val="20"/>
        </w:rPr>
        <w:t xml:space="preserve"> </w:t>
      </w:r>
      <w:r>
        <w:rPr>
          <w:rFonts w:ascii="宋体" w:hAnsi="宋体" w:eastAsia="宋体" w:cs="宋体"/>
          <w:spacing w:val="7"/>
          <w:sz w:val="20"/>
          <w:szCs w:val="20"/>
        </w:rPr>
        <w:t>探索流行因素和制定防制对策的前提。了解疾病的流行特征一般通过</w:t>
      </w:r>
      <w:r>
        <w:rPr>
          <w:rFonts w:ascii="宋体" w:hAnsi="宋体" w:eastAsia="宋体" w:cs="宋体"/>
          <w:spacing w:val="6"/>
          <w:sz w:val="20"/>
          <w:szCs w:val="20"/>
        </w:rPr>
        <w:t>综合描述疾病在人群、地区、</w:t>
      </w:r>
      <w:r>
        <w:rPr>
          <w:rFonts w:ascii="宋体" w:hAnsi="宋体" w:eastAsia="宋体" w:cs="宋体"/>
          <w:sz w:val="20"/>
          <w:szCs w:val="20"/>
        </w:rPr>
        <w:t xml:space="preserve"> </w:t>
      </w:r>
      <w:r>
        <w:rPr>
          <w:rFonts w:ascii="宋体" w:hAnsi="宋体" w:eastAsia="宋体" w:cs="宋体"/>
          <w:spacing w:val="9"/>
          <w:sz w:val="20"/>
          <w:szCs w:val="20"/>
        </w:rPr>
        <w:t>时间上的分布(三间分布)特征得以实现。目前疾病分布研究已广泛采用新兴的大数据、地理信息</w:t>
      </w:r>
      <w:r>
        <w:rPr>
          <w:rFonts w:ascii="宋体" w:hAnsi="宋体" w:eastAsia="宋体" w:cs="宋体"/>
          <w:spacing w:val="8"/>
          <w:sz w:val="20"/>
          <w:szCs w:val="20"/>
        </w:rPr>
        <w:t xml:space="preserve">  </w:t>
      </w:r>
      <w:r>
        <w:rPr>
          <w:rFonts w:ascii="宋体" w:hAnsi="宋体" w:eastAsia="宋体" w:cs="宋体"/>
          <w:spacing w:val="4"/>
          <w:sz w:val="20"/>
          <w:szCs w:val="20"/>
        </w:rPr>
        <w:t>和空间分析等技术，通过这些技术方法可以更精确</w:t>
      </w:r>
      <w:r>
        <w:rPr>
          <w:rFonts w:ascii="宋体" w:hAnsi="宋体" w:eastAsia="宋体" w:cs="宋体"/>
          <w:spacing w:val="3"/>
          <w:sz w:val="20"/>
          <w:szCs w:val="20"/>
        </w:rPr>
        <w:t>了解疾病的分布特征。</w:t>
      </w:r>
    </w:p>
    <w:p w14:paraId="298B300B">
      <w:pPr>
        <w:pStyle w:val="2"/>
        <w:spacing w:before="193" w:line="221" w:lineRule="auto"/>
        <w:ind w:left="1103"/>
        <w:outlineLvl w:val="2"/>
        <w:rPr>
          <w:sz w:val="25"/>
          <w:szCs w:val="25"/>
        </w:rPr>
      </w:pPr>
      <w:bookmarkStart w:id="44" w:name="bookmark28"/>
      <w:bookmarkEnd w:id="44"/>
      <w:r>
        <w:rPr>
          <w:b/>
          <w:bCs/>
          <w:spacing w:val="-10"/>
          <w:sz w:val="25"/>
          <w:szCs w:val="25"/>
        </w:rPr>
        <w:t>一</w:t>
      </w:r>
      <w:r>
        <w:rPr>
          <w:spacing w:val="-65"/>
          <w:sz w:val="25"/>
          <w:szCs w:val="25"/>
        </w:rPr>
        <w:t xml:space="preserve"> </w:t>
      </w:r>
      <w:r>
        <w:rPr>
          <w:b/>
          <w:bCs/>
          <w:spacing w:val="-10"/>
          <w:sz w:val="25"/>
          <w:szCs w:val="25"/>
        </w:rPr>
        <w:t>、人群分布</w:t>
      </w:r>
    </w:p>
    <w:p w14:paraId="462A5324">
      <w:pPr>
        <w:spacing w:before="263" w:line="328" w:lineRule="auto"/>
        <w:ind w:left="699" w:right="96" w:firstLine="399"/>
        <w:rPr>
          <w:rFonts w:ascii="宋体" w:hAnsi="宋体" w:eastAsia="宋体" w:cs="宋体"/>
          <w:sz w:val="20"/>
          <w:szCs w:val="20"/>
        </w:rPr>
      </w:pPr>
      <w:r>
        <w:rPr>
          <w:rFonts w:ascii="宋体" w:hAnsi="宋体" w:eastAsia="宋体" w:cs="宋体"/>
          <w:sz w:val="20"/>
          <w:szCs w:val="20"/>
        </w:rPr>
        <w:t>疾病在不同人群中的分布特征，即人群分布。一般按人群的不同年龄、性别、</w:t>
      </w:r>
      <w:r>
        <w:rPr>
          <w:rFonts w:ascii="宋体" w:hAnsi="宋体" w:eastAsia="宋体" w:cs="宋体"/>
          <w:spacing w:val="-1"/>
          <w:sz w:val="20"/>
          <w:szCs w:val="20"/>
        </w:rPr>
        <w:t>职业、种族等来分</w:t>
      </w:r>
      <w:r>
        <w:rPr>
          <w:rFonts w:ascii="宋体" w:hAnsi="宋体" w:eastAsia="宋体" w:cs="宋体"/>
          <w:sz w:val="20"/>
          <w:szCs w:val="20"/>
        </w:rPr>
        <w:t xml:space="preserve"> </w:t>
      </w:r>
      <w:r>
        <w:rPr>
          <w:rFonts w:ascii="宋体" w:hAnsi="宋体" w:eastAsia="宋体" w:cs="宋体"/>
          <w:spacing w:val="5"/>
          <w:sz w:val="20"/>
          <w:szCs w:val="20"/>
        </w:rPr>
        <w:t>组描述疾病的发生、死亡等强度(频率),可以帮助确定危险人群和</w:t>
      </w:r>
      <w:r>
        <w:rPr>
          <w:rFonts w:ascii="宋体" w:hAnsi="宋体" w:eastAsia="宋体" w:cs="宋体"/>
          <w:spacing w:val="4"/>
          <w:sz w:val="20"/>
          <w:szCs w:val="20"/>
        </w:rPr>
        <w:t>探索致病因素。</w:t>
      </w:r>
    </w:p>
    <w:p w14:paraId="6E59E6AE">
      <w:pPr>
        <w:pStyle w:val="2"/>
        <w:spacing w:line="223" w:lineRule="auto"/>
        <w:ind w:left="1103"/>
        <w:rPr>
          <w:sz w:val="25"/>
          <w:szCs w:val="25"/>
        </w:rPr>
      </w:pPr>
      <w:r>
        <w:rPr>
          <w:b/>
          <w:bCs/>
          <w:spacing w:val="-5"/>
          <w:sz w:val="25"/>
          <w:szCs w:val="25"/>
        </w:rPr>
        <w:t>(一)年龄</w:t>
      </w:r>
    </w:p>
    <w:p w14:paraId="795A8BEC">
      <w:pPr>
        <w:pStyle w:val="2"/>
        <w:spacing w:before="116" w:line="342" w:lineRule="auto"/>
        <w:ind w:left="699" w:right="139" w:firstLine="399"/>
        <w:rPr>
          <w:rFonts w:ascii="宋体" w:hAnsi="宋体" w:eastAsia="宋体" w:cs="宋体"/>
          <w:sz w:val="20"/>
          <w:szCs w:val="20"/>
        </w:rPr>
      </w:pPr>
      <w:r>
        <w:rPr>
          <w:rFonts w:ascii="宋体" w:hAnsi="宋体" w:eastAsia="宋体" w:cs="宋体"/>
          <w:spacing w:val="7"/>
          <w:sz w:val="20"/>
          <w:szCs w:val="20"/>
        </w:rPr>
        <w:t xml:space="preserve">1. </w:t>
      </w:r>
      <w:r>
        <w:rPr>
          <w:spacing w:val="7"/>
          <w:sz w:val="20"/>
          <w:szCs w:val="20"/>
        </w:rPr>
        <w:t>疾病年龄分布特征</w:t>
      </w:r>
      <w:r>
        <w:rPr>
          <w:spacing w:val="62"/>
          <w:sz w:val="20"/>
          <w:szCs w:val="20"/>
        </w:rPr>
        <w:t xml:space="preserve"> </w:t>
      </w:r>
      <w:r>
        <w:rPr>
          <w:rFonts w:ascii="宋体" w:hAnsi="宋体" w:eastAsia="宋体" w:cs="宋体"/>
          <w:spacing w:val="7"/>
          <w:sz w:val="20"/>
          <w:szCs w:val="20"/>
        </w:rPr>
        <w:t>年龄是人群最主要的人口学特征之一，几乎所有疾病的发生发展均与</w:t>
      </w:r>
      <w:r>
        <w:rPr>
          <w:rFonts w:ascii="宋体" w:hAnsi="宋体" w:eastAsia="宋体" w:cs="宋体"/>
          <w:sz w:val="20"/>
          <w:szCs w:val="20"/>
        </w:rPr>
        <w:t xml:space="preserve"> </w:t>
      </w:r>
      <w:r>
        <w:rPr>
          <w:rFonts w:ascii="宋体" w:hAnsi="宋体" w:eastAsia="宋体" w:cs="宋体"/>
          <w:spacing w:val="3"/>
          <w:sz w:val="20"/>
          <w:szCs w:val="20"/>
        </w:rPr>
        <w:t>年龄密切相关。随着年龄的增长，大部分疾病的发生频率都有变化。</w:t>
      </w:r>
    </w:p>
    <w:p w14:paraId="5515CDEE">
      <w:pPr>
        <w:spacing w:line="304" w:lineRule="auto"/>
        <w:ind w:left="699" w:right="70" w:firstLine="399"/>
        <w:rPr>
          <w:rFonts w:ascii="宋体" w:hAnsi="宋体" w:eastAsia="宋体" w:cs="宋体"/>
          <w:sz w:val="20"/>
          <w:szCs w:val="20"/>
        </w:rPr>
      </w:pPr>
      <w:r>
        <w:rPr>
          <w:rFonts w:ascii="宋体" w:hAnsi="宋体" w:eastAsia="宋体" w:cs="宋体"/>
          <w:spacing w:val="15"/>
          <w:sz w:val="20"/>
          <w:szCs w:val="20"/>
        </w:rPr>
        <w:t>(1)急性传染病一般有发病率随年龄的增长而下降的趋势。出生6个月内的婴儿因具有从母</w:t>
      </w:r>
      <w:r>
        <w:rPr>
          <w:rFonts w:ascii="宋体" w:hAnsi="宋体" w:eastAsia="宋体" w:cs="宋体"/>
          <w:spacing w:val="3"/>
          <w:sz w:val="20"/>
          <w:szCs w:val="20"/>
        </w:rPr>
        <w:t xml:space="preserve"> </w:t>
      </w:r>
      <w:r>
        <w:rPr>
          <w:rFonts w:ascii="宋体" w:hAnsi="宋体" w:eastAsia="宋体" w:cs="宋体"/>
          <w:spacing w:val="5"/>
          <w:sz w:val="20"/>
          <w:szCs w:val="20"/>
        </w:rPr>
        <w:t>体获得的抗体，一般不易患传染病，但是随着从母体获得的抗体逐渐</w:t>
      </w:r>
      <w:r>
        <w:rPr>
          <w:rFonts w:ascii="宋体" w:hAnsi="宋体" w:eastAsia="宋体" w:cs="宋体"/>
          <w:spacing w:val="4"/>
          <w:sz w:val="20"/>
          <w:szCs w:val="20"/>
        </w:rPr>
        <w:t>减少或消失，儿童、青少年期</w:t>
      </w:r>
      <w:r>
        <w:rPr>
          <w:rFonts w:ascii="宋体" w:hAnsi="宋体" w:eastAsia="宋体" w:cs="宋体"/>
          <w:sz w:val="20"/>
          <w:szCs w:val="20"/>
        </w:rPr>
        <w:t xml:space="preserve"> </w:t>
      </w:r>
      <w:r>
        <w:rPr>
          <w:rFonts w:ascii="宋体" w:hAnsi="宋体" w:eastAsia="宋体" w:cs="宋体"/>
          <w:spacing w:val="5"/>
          <w:sz w:val="20"/>
          <w:szCs w:val="20"/>
        </w:rPr>
        <w:t>易患某些急性呼吸道传染病如麻疹、百日咳、流行性腮腺炎等，至成年期免疫力增强，易感性逐渐</w:t>
      </w:r>
      <w:r>
        <w:rPr>
          <w:rFonts w:ascii="宋体" w:hAnsi="宋体" w:eastAsia="宋体" w:cs="宋体"/>
          <w:spacing w:val="2"/>
          <w:sz w:val="20"/>
          <w:szCs w:val="20"/>
        </w:rPr>
        <w:t xml:space="preserve"> </w:t>
      </w:r>
      <w:r>
        <w:rPr>
          <w:rFonts w:ascii="宋体" w:hAnsi="宋体" w:eastAsia="宋体" w:cs="宋体"/>
          <w:spacing w:val="6"/>
          <w:sz w:val="20"/>
          <w:szCs w:val="20"/>
        </w:rPr>
        <w:t>降低。</w:t>
      </w:r>
    </w:p>
    <w:p w14:paraId="30495248">
      <w:pPr>
        <w:spacing w:before="182" w:line="304" w:lineRule="auto"/>
        <w:ind w:left="699" w:right="71" w:firstLine="399"/>
        <w:rPr>
          <w:rFonts w:ascii="宋体" w:hAnsi="宋体" w:eastAsia="宋体" w:cs="宋体"/>
          <w:sz w:val="20"/>
          <w:szCs w:val="20"/>
        </w:rPr>
      </w:pPr>
      <w:r>
        <w:rPr>
          <w:rFonts w:ascii="宋体" w:hAnsi="宋体" w:eastAsia="宋体" w:cs="宋体"/>
          <w:spacing w:val="8"/>
          <w:sz w:val="20"/>
          <w:szCs w:val="20"/>
        </w:rPr>
        <w:t>(2)慢性病发病率常随年龄增长而上升。这是由</w:t>
      </w:r>
      <w:r>
        <w:rPr>
          <w:rFonts w:ascii="宋体" w:hAnsi="宋体" w:eastAsia="宋体" w:cs="宋体"/>
          <w:spacing w:val="7"/>
          <w:sz w:val="20"/>
          <w:szCs w:val="20"/>
        </w:rPr>
        <w:t>于慢性病致病因素需要较长时间积累，才可致</w:t>
      </w:r>
      <w:r>
        <w:rPr>
          <w:rFonts w:ascii="宋体" w:hAnsi="宋体" w:eastAsia="宋体" w:cs="宋体"/>
          <w:sz w:val="20"/>
          <w:szCs w:val="20"/>
        </w:rPr>
        <w:t xml:space="preserve"> </w:t>
      </w:r>
      <w:r>
        <w:rPr>
          <w:rFonts w:ascii="宋体" w:hAnsi="宋体" w:eastAsia="宋体" w:cs="宋体"/>
          <w:spacing w:val="6"/>
          <w:sz w:val="20"/>
          <w:szCs w:val="20"/>
        </w:rPr>
        <w:t>疾病发生，如大多数的恶性肿瘤和心血管疾病多发生于45岁以后。但是，</w:t>
      </w:r>
      <w:r>
        <w:rPr>
          <w:rFonts w:ascii="宋体" w:hAnsi="宋体" w:eastAsia="宋体" w:cs="宋体"/>
          <w:spacing w:val="65"/>
          <w:sz w:val="20"/>
          <w:szCs w:val="20"/>
        </w:rPr>
        <w:t xml:space="preserve"> </w:t>
      </w:r>
      <w:r>
        <w:rPr>
          <w:rFonts w:ascii="宋体" w:hAnsi="宋体" w:eastAsia="宋体" w:cs="宋体"/>
          <w:spacing w:val="6"/>
          <w:sz w:val="20"/>
          <w:szCs w:val="20"/>
        </w:rPr>
        <w:t>一些恶性</w:t>
      </w:r>
      <w:r>
        <w:rPr>
          <w:rFonts w:ascii="宋体" w:hAnsi="宋体" w:eastAsia="宋体" w:cs="宋体"/>
          <w:spacing w:val="5"/>
          <w:sz w:val="20"/>
          <w:szCs w:val="20"/>
        </w:rPr>
        <w:t>肿瘤的年龄分</w:t>
      </w:r>
      <w:r>
        <w:rPr>
          <w:rFonts w:ascii="宋体" w:hAnsi="宋体" w:eastAsia="宋体" w:cs="宋体"/>
          <w:sz w:val="20"/>
          <w:szCs w:val="20"/>
        </w:rPr>
        <w:t xml:space="preserve"> </w:t>
      </w:r>
      <w:r>
        <w:rPr>
          <w:rFonts w:ascii="宋体" w:hAnsi="宋体" w:eastAsia="宋体" w:cs="宋体"/>
          <w:spacing w:val="5"/>
          <w:sz w:val="20"/>
          <w:szCs w:val="20"/>
        </w:rPr>
        <w:t>布差异很大。如急性淋巴细胞白血病多见于儿童，霍奇金淋巴瘤存在青年和老年两个高峰，子宫内</w:t>
      </w:r>
      <w:r>
        <w:rPr>
          <w:rFonts w:ascii="宋体" w:hAnsi="宋体" w:eastAsia="宋体" w:cs="宋体"/>
          <w:spacing w:val="1"/>
          <w:sz w:val="20"/>
          <w:szCs w:val="20"/>
        </w:rPr>
        <w:t xml:space="preserve"> </w:t>
      </w:r>
      <w:r>
        <w:rPr>
          <w:rFonts w:ascii="宋体" w:hAnsi="宋体" w:eastAsia="宋体" w:cs="宋体"/>
          <w:spacing w:val="6"/>
          <w:sz w:val="20"/>
          <w:szCs w:val="20"/>
        </w:rPr>
        <w:t>膜癌和胃癌则在中老年群体中发病率较高。</w:t>
      </w:r>
    </w:p>
    <w:p w14:paraId="550943DA">
      <w:pPr>
        <w:spacing w:before="173" w:line="301" w:lineRule="auto"/>
        <w:ind w:left="699" w:right="69" w:firstLine="399"/>
        <w:rPr>
          <w:rFonts w:ascii="宋体" w:hAnsi="宋体" w:eastAsia="宋体" w:cs="宋体"/>
          <w:sz w:val="20"/>
          <w:szCs w:val="20"/>
        </w:rPr>
      </w:pPr>
      <w:r>
        <w:rPr>
          <w:rFonts w:ascii="宋体" w:hAnsi="宋体" w:eastAsia="宋体" w:cs="宋体"/>
          <w:spacing w:val="13"/>
          <w:sz w:val="20"/>
          <w:szCs w:val="20"/>
        </w:rPr>
        <w:t>(3)接种疫苗可改变一些急性传染病感染的年龄模式。如麻</w:t>
      </w:r>
      <w:r>
        <w:rPr>
          <w:rFonts w:ascii="宋体" w:hAnsi="宋体" w:eastAsia="宋体" w:cs="宋体"/>
          <w:spacing w:val="12"/>
          <w:sz w:val="20"/>
          <w:szCs w:val="20"/>
        </w:rPr>
        <w:t>疹既往主要发生于幼儿及学龄前</w:t>
      </w:r>
      <w:r>
        <w:rPr>
          <w:rFonts w:ascii="宋体" w:hAnsi="宋体" w:eastAsia="宋体" w:cs="宋体"/>
          <w:sz w:val="20"/>
          <w:szCs w:val="20"/>
        </w:rPr>
        <w:t xml:space="preserve"> 儿童，在推行免疫规划后，发病高峰后延，出现在大龄儿童、新入学的大学生、新入伍的士兵中，且</w:t>
      </w:r>
      <w:r>
        <w:rPr>
          <w:rFonts w:ascii="宋体" w:hAnsi="宋体" w:eastAsia="宋体" w:cs="宋体"/>
          <w:spacing w:val="18"/>
          <w:sz w:val="20"/>
          <w:szCs w:val="20"/>
        </w:rPr>
        <w:t xml:space="preserve"> </w:t>
      </w:r>
      <w:r>
        <w:rPr>
          <w:rFonts w:ascii="宋体" w:hAnsi="宋体" w:eastAsia="宋体" w:cs="宋体"/>
          <w:spacing w:val="7"/>
          <w:sz w:val="20"/>
          <w:szCs w:val="20"/>
        </w:rPr>
        <w:t>症状往往比年幼者重或不典型。</w:t>
      </w:r>
    </w:p>
    <w:p w14:paraId="024FBA42">
      <w:pPr>
        <w:spacing w:before="122" w:line="285" w:lineRule="auto"/>
        <w:ind w:left="699" w:right="71" w:firstLine="399"/>
        <w:rPr>
          <w:rFonts w:ascii="宋体" w:hAnsi="宋体" w:eastAsia="宋体" w:cs="宋体"/>
          <w:sz w:val="20"/>
          <w:szCs w:val="20"/>
        </w:rPr>
      </w:pPr>
      <w:r>
        <w:rPr>
          <w:rFonts w:ascii="宋体" w:hAnsi="宋体" w:eastAsia="宋体" w:cs="宋体"/>
          <w:spacing w:val="8"/>
          <w:sz w:val="20"/>
          <w:szCs w:val="20"/>
        </w:rPr>
        <w:t>(4)随着致病因素的变化，疾病的年龄分布也在动</w:t>
      </w:r>
      <w:r>
        <w:rPr>
          <w:rFonts w:ascii="宋体" w:hAnsi="宋体" w:eastAsia="宋体" w:cs="宋体"/>
          <w:spacing w:val="7"/>
          <w:sz w:val="20"/>
          <w:szCs w:val="20"/>
        </w:rPr>
        <w:t>态变化。某些恶性肿瘤有年轻化趋势，如肺</w:t>
      </w:r>
      <w:r>
        <w:rPr>
          <w:rFonts w:ascii="宋体" w:hAnsi="宋体" w:eastAsia="宋体" w:cs="宋体"/>
          <w:sz w:val="20"/>
          <w:szCs w:val="20"/>
        </w:rPr>
        <w:t xml:space="preserve"> 癌、乳腺癌等；一些慢性病呈现发病年龄前移现象，如糖尿病和高血压等。</w:t>
      </w:r>
    </w:p>
    <w:p w14:paraId="588EC26F">
      <w:pPr>
        <w:pStyle w:val="2"/>
        <w:spacing w:before="128" w:line="221" w:lineRule="auto"/>
        <w:ind w:left="1102"/>
        <w:rPr>
          <w:sz w:val="20"/>
          <w:szCs w:val="20"/>
        </w:rPr>
      </w:pPr>
      <w:r>
        <w:rPr>
          <w:rFonts w:ascii="宋体" w:hAnsi="宋体" w:eastAsia="宋体" w:cs="宋体"/>
          <w:b/>
          <w:bCs/>
          <w:spacing w:val="3"/>
          <w:sz w:val="20"/>
          <w:szCs w:val="20"/>
        </w:rPr>
        <w:t>2.</w:t>
      </w:r>
      <w:r>
        <w:rPr>
          <w:rFonts w:ascii="宋体" w:hAnsi="宋体" w:eastAsia="宋体" w:cs="宋体"/>
          <w:spacing w:val="3"/>
          <w:sz w:val="20"/>
          <w:szCs w:val="20"/>
        </w:rPr>
        <w:t xml:space="preserve"> </w:t>
      </w:r>
      <w:r>
        <w:rPr>
          <w:b/>
          <w:bCs/>
          <w:spacing w:val="3"/>
          <w:sz w:val="20"/>
          <w:szCs w:val="20"/>
        </w:rPr>
        <w:t>疾病年龄分布的分析方法</w:t>
      </w:r>
    </w:p>
    <w:p w14:paraId="5785572F">
      <w:pPr>
        <w:spacing w:before="130" w:line="336" w:lineRule="auto"/>
        <w:ind w:left="699" w:right="51" w:firstLine="399"/>
        <w:jc w:val="both"/>
        <w:rPr>
          <w:rFonts w:ascii="宋体" w:hAnsi="宋体" w:eastAsia="宋体" w:cs="宋体"/>
          <w:sz w:val="20"/>
          <w:szCs w:val="20"/>
        </w:rPr>
      </w:pPr>
      <w:r>
        <w:rPr>
          <w:rFonts w:ascii="宋体" w:hAnsi="宋体" w:eastAsia="宋体" w:cs="宋体"/>
          <w:spacing w:val="11"/>
          <w:sz w:val="20"/>
          <w:szCs w:val="20"/>
        </w:rPr>
        <w:t>(1)横断面分析</w:t>
      </w:r>
      <w:r>
        <w:rPr>
          <w:rFonts w:ascii="Times New Roman" w:hAnsi="Times New Roman" w:eastAsia="Times New Roman" w:cs="Times New Roman"/>
          <w:spacing w:val="11"/>
          <w:sz w:val="20"/>
          <w:szCs w:val="20"/>
        </w:rPr>
        <w:t>(</w:t>
      </w:r>
      <w:r>
        <w:rPr>
          <w:rFonts w:ascii="Times New Roman" w:hAnsi="Times New Roman" w:eastAsia="Times New Roman" w:cs="Times New Roman"/>
          <w:sz w:val="20"/>
          <w:szCs w:val="20"/>
        </w:rPr>
        <w:t>cross</w:t>
      </w:r>
      <w:r>
        <w:rPr>
          <w:rFonts w:ascii="Times New Roman" w:hAnsi="Times New Roman" w:eastAsia="Times New Roman" w:cs="Times New Roman"/>
          <w:spacing w:val="11"/>
          <w:sz w:val="20"/>
          <w:szCs w:val="20"/>
        </w:rPr>
        <w:t>-</w:t>
      </w:r>
      <w:r>
        <w:rPr>
          <w:rFonts w:ascii="Times New Roman" w:hAnsi="Times New Roman" w:eastAsia="Times New Roman" w:cs="Times New Roman"/>
          <w:sz w:val="20"/>
          <w:szCs w:val="20"/>
        </w:rPr>
        <w:t>sectional</w:t>
      </w:r>
      <w:r>
        <w:rPr>
          <w:rFonts w:ascii="Times New Roman" w:hAnsi="Times New Roman" w:eastAsia="Times New Roman" w:cs="Times New Roman"/>
          <w:spacing w:val="11"/>
          <w:sz w:val="20"/>
          <w:szCs w:val="20"/>
        </w:rPr>
        <w:t xml:space="preserve">     </w:t>
      </w:r>
      <w:r>
        <w:rPr>
          <w:rFonts w:ascii="Times New Roman" w:hAnsi="Times New Roman" w:eastAsia="Times New Roman" w:cs="Times New Roman"/>
          <w:sz w:val="20"/>
          <w:szCs w:val="20"/>
        </w:rPr>
        <w:t>analysis</w:t>
      </w:r>
      <w:r>
        <w:rPr>
          <w:rFonts w:ascii="Times New Roman" w:hAnsi="Times New Roman" w:eastAsia="Times New Roman" w:cs="Times New Roman"/>
          <w:spacing w:val="11"/>
          <w:sz w:val="20"/>
          <w:szCs w:val="20"/>
        </w:rPr>
        <w:t>):</w:t>
      </w:r>
      <w:r>
        <w:rPr>
          <w:rFonts w:ascii="宋体" w:hAnsi="宋体" w:eastAsia="宋体" w:cs="宋体"/>
          <w:spacing w:val="11"/>
          <w:sz w:val="20"/>
          <w:szCs w:val="20"/>
        </w:rPr>
        <w:t>主要分析同一时期不同年龄组或不同时期同一年龄</w:t>
      </w:r>
      <w:r>
        <w:rPr>
          <w:rFonts w:ascii="宋体" w:hAnsi="宋体" w:eastAsia="宋体" w:cs="宋体"/>
          <w:spacing w:val="16"/>
          <w:sz w:val="20"/>
          <w:szCs w:val="20"/>
        </w:rPr>
        <w:t xml:space="preserve"> </w:t>
      </w:r>
      <w:r>
        <w:rPr>
          <w:rFonts w:ascii="宋体" w:hAnsi="宋体" w:eastAsia="宋体" w:cs="宋体"/>
          <w:spacing w:val="5"/>
          <w:sz w:val="20"/>
          <w:szCs w:val="20"/>
        </w:rPr>
        <w:t>组的发病率、患病率或死亡率的变化，多用于某时期传染病或潜伏期较短疾病的年龄分布分析。对</w:t>
      </w:r>
      <w:r>
        <w:rPr>
          <w:rFonts w:ascii="宋体" w:hAnsi="宋体" w:eastAsia="宋体" w:cs="宋体"/>
          <w:spacing w:val="2"/>
          <w:sz w:val="20"/>
          <w:szCs w:val="20"/>
        </w:rPr>
        <w:t xml:space="preserve"> </w:t>
      </w:r>
      <w:r>
        <w:rPr>
          <w:rFonts w:ascii="宋体" w:hAnsi="宋体" w:eastAsia="宋体" w:cs="宋体"/>
          <w:spacing w:val="5"/>
          <w:sz w:val="20"/>
          <w:szCs w:val="20"/>
        </w:rPr>
        <w:t>于慢性病，由于暴露时间距发病时间可能很长，致病因素在不同时间的强度也可能发生变化，横断</w:t>
      </w:r>
      <w:r>
        <w:rPr>
          <w:rFonts w:ascii="宋体" w:hAnsi="宋体" w:eastAsia="宋体" w:cs="宋体"/>
          <w:spacing w:val="2"/>
          <w:sz w:val="20"/>
          <w:szCs w:val="20"/>
        </w:rPr>
        <w:t xml:space="preserve"> </w:t>
      </w:r>
      <w:r>
        <w:rPr>
          <w:rFonts w:ascii="宋体" w:hAnsi="宋体" w:eastAsia="宋体" w:cs="宋体"/>
          <w:spacing w:val="11"/>
          <w:sz w:val="20"/>
          <w:szCs w:val="20"/>
        </w:rPr>
        <w:t>面分析难以正确显示疾病与年龄的关系。图2-2展示了基于我国1997—2012年鼻咽癌的年龄别发</w:t>
      </w:r>
      <w:r>
        <w:rPr>
          <w:rFonts w:ascii="宋体" w:hAnsi="宋体" w:eastAsia="宋体" w:cs="宋体"/>
          <w:sz w:val="20"/>
          <w:szCs w:val="20"/>
        </w:rPr>
        <w:t xml:space="preserve"> </w:t>
      </w:r>
      <w:r>
        <w:rPr>
          <w:rFonts w:ascii="宋体" w:hAnsi="宋体" w:eastAsia="宋体" w:cs="宋体"/>
          <w:spacing w:val="5"/>
          <w:sz w:val="20"/>
          <w:szCs w:val="20"/>
        </w:rPr>
        <w:t>病率，进行年龄与鼻咽癌发病关系的横断面分析。从同一年龄组人群纵向分析来看，1997—2012年</w:t>
      </w:r>
      <w:r>
        <w:rPr>
          <w:rFonts w:ascii="宋体" w:hAnsi="宋体" w:eastAsia="宋体" w:cs="宋体"/>
          <w:spacing w:val="2"/>
          <w:sz w:val="20"/>
          <w:szCs w:val="20"/>
        </w:rPr>
        <w:t xml:space="preserve"> </w:t>
      </w:r>
      <w:r>
        <w:rPr>
          <w:rFonts w:ascii="宋体" w:hAnsi="宋体" w:eastAsia="宋体" w:cs="宋体"/>
          <w:spacing w:val="9"/>
          <w:sz w:val="20"/>
          <w:szCs w:val="20"/>
        </w:rPr>
        <w:t>的发病率整体有不同程度的上升。就同一时期横向分析而言，如2012年，人群鼻咽癌的发病率出</w:t>
      </w:r>
      <w:r>
        <w:rPr>
          <w:rFonts w:ascii="宋体" w:hAnsi="宋体" w:eastAsia="宋体" w:cs="宋体"/>
          <w:spacing w:val="17"/>
          <w:sz w:val="20"/>
          <w:szCs w:val="20"/>
        </w:rPr>
        <w:t xml:space="preserve"> </w:t>
      </w:r>
      <w:r>
        <w:rPr>
          <w:rFonts w:ascii="宋体" w:hAnsi="宋体" w:eastAsia="宋体" w:cs="宋体"/>
          <w:spacing w:val="10"/>
          <w:sz w:val="20"/>
          <w:szCs w:val="20"/>
        </w:rPr>
        <w:t>现随年龄增大而增高，至60岁组以上呈下降的态势，显然这未能反映</w:t>
      </w:r>
      <w:r>
        <w:rPr>
          <w:rFonts w:ascii="宋体" w:hAnsi="宋体" w:eastAsia="宋体" w:cs="宋体"/>
          <w:spacing w:val="9"/>
          <w:sz w:val="20"/>
          <w:szCs w:val="20"/>
        </w:rPr>
        <w:t>鼻咽癌发病与年龄关系的客</w:t>
      </w:r>
      <w:r>
        <w:rPr>
          <w:rFonts w:ascii="宋体" w:hAnsi="宋体" w:eastAsia="宋体" w:cs="宋体"/>
          <w:sz w:val="20"/>
          <w:szCs w:val="20"/>
        </w:rPr>
        <w:t xml:space="preserve"> </w:t>
      </w:r>
      <w:r>
        <w:rPr>
          <w:rFonts w:ascii="宋体" w:hAnsi="宋体" w:eastAsia="宋体" w:cs="宋体"/>
          <w:spacing w:val="7"/>
          <w:sz w:val="20"/>
          <w:szCs w:val="20"/>
        </w:rPr>
        <w:t>观趋势。</w:t>
      </w:r>
    </w:p>
    <w:p w14:paraId="780EA249">
      <w:pPr>
        <w:spacing w:before="63" w:line="336" w:lineRule="auto"/>
        <w:ind w:left="699" w:right="60" w:firstLine="399"/>
        <w:rPr>
          <w:rFonts w:ascii="宋体" w:hAnsi="宋体" w:eastAsia="宋体" w:cs="宋体"/>
          <w:sz w:val="20"/>
          <w:szCs w:val="20"/>
        </w:rPr>
      </w:pPr>
      <w:r>
        <w:rPr>
          <w:rFonts w:ascii="宋体" w:hAnsi="宋体" w:eastAsia="宋体" w:cs="宋体"/>
          <w:spacing w:val="10"/>
          <w:sz w:val="20"/>
          <w:szCs w:val="20"/>
        </w:rPr>
        <w:t>同一年代出生的群体对致病因素暴露的时间和强度具有一定的相似性。可用下述出生队列分</w:t>
      </w:r>
      <w:r>
        <w:rPr>
          <w:rFonts w:ascii="宋体" w:hAnsi="宋体" w:eastAsia="宋体" w:cs="宋体"/>
          <w:spacing w:val="17"/>
          <w:sz w:val="20"/>
          <w:szCs w:val="20"/>
        </w:rPr>
        <w:t xml:space="preserve"> </w:t>
      </w:r>
      <w:r>
        <w:rPr>
          <w:rFonts w:ascii="宋体" w:hAnsi="宋体" w:eastAsia="宋体" w:cs="宋体"/>
          <w:spacing w:val="5"/>
          <w:sz w:val="20"/>
          <w:szCs w:val="20"/>
        </w:rPr>
        <w:t>析了解不同年代出生人群各年龄组的发病趋势，正确揭示和合理解释人群年龄与疾病发生的关系。</w:t>
      </w:r>
    </w:p>
    <w:p w14:paraId="5D8092F5">
      <w:pPr>
        <w:spacing w:line="349" w:lineRule="auto"/>
        <w:ind w:left="699" w:right="44" w:firstLine="399"/>
        <w:jc w:val="both"/>
        <w:rPr>
          <w:rFonts w:ascii="宋体" w:hAnsi="宋体" w:eastAsia="宋体" w:cs="宋体"/>
          <w:sz w:val="20"/>
          <w:szCs w:val="20"/>
        </w:rPr>
      </w:pPr>
      <w:r>
        <w:rPr>
          <w:rFonts w:ascii="宋体" w:hAnsi="宋体" w:eastAsia="宋体" w:cs="宋体"/>
          <w:spacing w:val="9"/>
          <w:sz w:val="20"/>
          <w:szCs w:val="20"/>
        </w:rPr>
        <w:t>(2)出生队列分析</w:t>
      </w:r>
      <w:r>
        <w:rPr>
          <w:rFonts w:ascii="Times New Roman" w:hAnsi="Times New Roman" w:eastAsia="Times New Roman" w:cs="Times New Roman"/>
          <w:spacing w:val="9"/>
          <w:sz w:val="20"/>
          <w:szCs w:val="20"/>
        </w:rPr>
        <w:t>(</w:t>
      </w:r>
      <w:r>
        <w:rPr>
          <w:rFonts w:ascii="Times New Roman" w:hAnsi="Times New Roman" w:eastAsia="Times New Roman" w:cs="Times New Roman"/>
          <w:sz w:val="20"/>
          <w:szCs w:val="20"/>
        </w:rPr>
        <w:t>birth</w:t>
      </w:r>
      <w:r>
        <w:rPr>
          <w:rFonts w:ascii="Times New Roman" w:hAnsi="Times New Roman" w:eastAsia="Times New Roman" w:cs="Times New Roman"/>
          <w:spacing w:val="9"/>
          <w:sz w:val="20"/>
          <w:szCs w:val="20"/>
        </w:rPr>
        <w:t xml:space="preserve">  </w:t>
      </w:r>
      <w:r>
        <w:rPr>
          <w:rFonts w:ascii="Times New Roman" w:hAnsi="Times New Roman" w:eastAsia="Times New Roman" w:cs="Times New Roman"/>
          <w:sz w:val="20"/>
          <w:szCs w:val="20"/>
        </w:rPr>
        <w:t>cohort</w:t>
      </w:r>
      <w:r>
        <w:rPr>
          <w:rFonts w:ascii="Times New Roman" w:hAnsi="Times New Roman" w:eastAsia="Times New Roman" w:cs="Times New Roman"/>
          <w:spacing w:val="9"/>
          <w:sz w:val="20"/>
          <w:szCs w:val="20"/>
        </w:rPr>
        <w:t xml:space="preserve">  </w:t>
      </w:r>
      <w:r>
        <w:rPr>
          <w:rFonts w:ascii="Times New Roman" w:hAnsi="Times New Roman" w:eastAsia="Times New Roman" w:cs="Times New Roman"/>
          <w:sz w:val="20"/>
          <w:szCs w:val="20"/>
        </w:rPr>
        <w:t>analysis</w:t>
      </w:r>
      <w:r>
        <w:rPr>
          <w:rFonts w:ascii="Times New Roman" w:hAnsi="Times New Roman" w:eastAsia="Times New Roman" w:cs="Times New Roman"/>
          <w:spacing w:val="9"/>
          <w:sz w:val="20"/>
          <w:szCs w:val="20"/>
        </w:rPr>
        <w:t>):</w:t>
      </w:r>
      <w:r>
        <w:rPr>
          <w:rFonts w:ascii="宋体" w:hAnsi="宋体" w:eastAsia="宋体" w:cs="宋体"/>
          <w:spacing w:val="9"/>
          <w:sz w:val="20"/>
          <w:szCs w:val="20"/>
        </w:rPr>
        <w:t>同一时期出生的</w:t>
      </w:r>
      <w:r>
        <w:rPr>
          <w:rFonts w:ascii="宋体" w:hAnsi="宋体" w:eastAsia="宋体" w:cs="宋体"/>
          <w:spacing w:val="8"/>
          <w:sz w:val="20"/>
          <w:szCs w:val="20"/>
        </w:rPr>
        <w:t>一组人群称为出生队列</w:t>
      </w:r>
      <w:r>
        <w:rPr>
          <w:rFonts w:ascii="Times New Roman" w:hAnsi="Times New Roman" w:eastAsia="Times New Roman" w:cs="Times New Roman"/>
          <w:spacing w:val="8"/>
          <w:sz w:val="20"/>
          <w:szCs w:val="20"/>
        </w:rPr>
        <w:t>(</w:t>
      </w:r>
      <w:r>
        <w:rPr>
          <w:rFonts w:ascii="Times New Roman" w:hAnsi="Times New Roman" w:eastAsia="Times New Roman" w:cs="Times New Roman"/>
          <w:sz w:val="20"/>
          <w:szCs w:val="20"/>
        </w:rPr>
        <w:t>birth</w:t>
      </w:r>
      <w:r>
        <w:rPr>
          <w:rFonts w:ascii="Times New Roman" w:hAnsi="Times New Roman" w:eastAsia="Times New Roman" w:cs="Times New Roman"/>
          <w:spacing w:val="3"/>
          <w:sz w:val="20"/>
          <w:szCs w:val="20"/>
        </w:rPr>
        <w:t xml:space="preserve">    </w:t>
      </w:r>
      <w:r>
        <w:rPr>
          <w:rFonts w:ascii="Times New Roman" w:hAnsi="Times New Roman" w:eastAsia="Times New Roman" w:cs="Times New Roman"/>
          <w:sz w:val="20"/>
          <w:szCs w:val="20"/>
        </w:rPr>
        <w:t>cohort</w:t>
      </w:r>
      <w:r>
        <w:rPr>
          <w:rFonts w:ascii="Times New Roman" w:hAnsi="Times New Roman" w:eastAsia="Times New Roman" w:cs="Times New Roman"/>
          <w:spacing w:val="8"/>
          <w:sz w:val="20"/>
          <w:szCs w:val="20"/>
        </w:rPr>
        <w:t>),</w:t>
      </w:r>
      <w:r>
        <w:rPr>
          <w:rFonts w:ascii="Times New Roman" w:hAnsi="Times New Roman" w:eastAsia="Times New Roman" w:cs="Times New Roman"/>
          <w:spacing w:val="2"/>
          <w:sz w:val="20"/>
          <w:szCs w:val="20"/>
        </w:rPr>
        <w:t xml:space="preserve"> </w:t>
      </w:r>
      <w:r>
        <w:rPr>
          <w:rFonts w:ascii="宋体" w:hAnsi="宋体" w:eastAsia="宋体" w:cs="宋体"/>
          <w:spacing w:val="6"/>
          <w:sz w:val="20"/>
          <w:szCs w:val="20"/>
        </w:rPr>
        <w:t>对其随访若千年，以观察发病情况，这种利用出生队列资料将疾病</w:t>
      </w:r>
      <w:r>
        <w:rPr>
          <w:rFonts w:ascii="宋体" w:hAnsi="宋体" w:eastAsia="宋体" w:cs="宋体"/>
          <w:spacing w:val="5"/>
          <w:sz w:val="20"/>
          <w:szCs w:val="20"/>
        </w:rPr>
        <w:t>年龄分布和时间分布结合描述的</w:t>
      </w:r>
      <w:r>
        <w:rPr>
          <w:rFonts w:ascii="宋体" w:hAnsi="宋体" w:eastAsia="宋体" w:cs="宋体"/>
          <w:sz w:val="20"/>
          <w:szCs w:val="20"/>
        </w:rPr>
        <w:t xml:space="preserve"> </w:t>
      </w:r>
      <w:r>
        <w:rPr>
          <w:rFonts w:ascii="宋体" w:hAnsi="宋体" w:eastAsia="宋体" w:cs="宋体"/>
          <w:spacing w:val="11"/>
          <w:sz w:val="20"/>
          <w:szCs w:val="20"/>
        </w:rPr>
        <w:t>方法称出生队列分析。该方法在评价疾病年龄分布</w:t>
      </w:r>
      <w:r>
        <w:rPr>
          <w:rFonts w:ascii="宋体" w:hAnsi="宋体" w:eastAsia="宋体" w:cs="宋体"/>
          <w:spacing w:val="10"/>
          <w:sz w:val="20"/>
          <w:szCs w:val="20"/>
        </w:rPr>
        <w:t>的长期趋势及提供病因线索等方面发挥重要作</w:t>
      </w:r>
    </w:p>
    <w:p w14:paraId="55706D2E">
      <w:pPr>
        <w:spacing w:line="349" w:lineRule="auto"/>
        <w:rPr>
          <w:rFonts w:ascii="宋体" w:hAnsi="宋体" w:eastAsia="宋体" w:cs="宋体"/>
          <w:sz w:val="20"/>
          <w:szCs w:val="20"/>
        </w:rPr>
        <w:sectPr>
          <w:footerReference r:id="rId50" w:type="default"/>
          <w:pgSz w:w="11900" w:h="16820"/>
          <w:pgMar w:top="400" w:right="1480" w:bottom="899" w:left="830" w:header="0" w:footer="719" w:gutter="0"/>
          <w:cols w:space="720" w:num="1"/>
        </w:sectPr>
      </w:pPr>
    </w:p>
    <w:p w14:paraId="27469C6B">
      <w:pPr>
        <w:spacing w:line="323" w:lineRule="auto"/>
        <w:rPr>
          <w:rFonts w:ascii="Arial"/>
          <w:sz w:val="21"/>
        </w:rPr>
      </w:pPr>
    </w:p>
    <w:p w14:paraId="1E29B1A7">
      <w:pPr>
        <w:pStyle w:val="2"/>
        <w:spacing w:before="68" w:line="221" w:lineRule="auto"/>
        <w:ind w:left="7682"/>
        <w:rPr>
          <w:sz w:val="21"/>
          <w:szCs w:val="21"/>
        </w:rPr>
      </w:pPr>
      <w:bookmarkStart w:id="45" w:name="bookmark413"/>
      <w:bookmarkEnd w:id="45"/>
      <w:r>
        <w:rPr>
          <w:b/>
          <w:bCs/>
          <w:spacing w:val="-20"/>
          <w:sz w:val="21"/>
          <w:szCs w:val="21"/>
        </w:rPr>
        <w:t>第二章</w:t>
      </w:r>
      <w:r>
        <w:rPr>
          <w:spacing w:val="-20"/>
          <w:sz w:val="21"/>
          <w:szCs w:val="21"/>
        </w:rPr>
        <w:t xml:space="preserve"> </w:t>
      </w:r>
      <w:r>
        <w:rPr>
          <w:b/>
          <w:bCs/>
          <w:spacing w:val="-20"/>
          <w:sz w:val="21"/>
          <w:szCs w:val="21"/>
        </w:rPr>
        <w:t>疾病的分布</w:t>
      </w:r>
    </w:p>
    <w:p w14:paraId="7E2D54D2">
      <w:pPr>
        <w:spacing w:line="270" w:lineRule="auto"/>
        <w:rPr>
          <w:rFonts w:ascii="Arial"/>
          <w:sz w:val="21"/>
        </w:rPr>
      </w:pPr>
    </w:p>
    <w:p w14:paraId="0A5C764C">
      <w:pPr>
        <w:spacing w:line="271" w:lineRule="auto"/>
        <w:rPr>
          <w:rFonts w:ascii="Arial"/>
          <w:sz w:val="21"/>
        </w:rPr>
      </w:pPr>
    </w:p>
    <w:p w14:paraId="0F144960">
      <w:pPr>
        <w:spacing w:line="3760" w:lineRule="exact"/>
        <w:ind w:firstLine="2070"/>
      </w:pPr>
      <w:r>
        <mc:AlternateContent>
          <mc:Choice Requires="wps">
            <w:drawing>
              <wp:anchor distT="0" distB="0" distL="0" distR="0" simplePos="0" relativeHeight="251686912" behindDoc="0" locked="0" layoutInCell="1" allowOverlap="1">
                <wp:simplePos x="0" y="0"/>
                <wp:positionH relativeFrom="column">
                  <wp:posOffset>807085</wp:posOffset>
                </wp:positionH>
                <wp:positionV relativeFrom="paragraph">
                  <wp:posOffset>974090</wp:posOffset>
                </wp:positionV>
                <wp:extent cx="906145" cy="130810"/>
                <wp:effectExtent l="0" t="0" r="0" b="0"/>
                <wp:wrapNone/>
                <wp:docPr id="94" name="TextBox 94"/>
                <wp:cNvGraphicFramePr/>
                <a:graphic xmlns:a="http://schemas.openxmlformats.org/drawingml/2006/main">
                  <a:graphicData uri="http://schemas.microsoft.com/office/word/2010/wordprocessingShape">
                    <wps:wsp>
                      <wps:cNvSpPr txBox="1"/>
                      <wps:spPr>
                        <a:xfrm rot="16200000">
                          <a:off x="807438" y="974610"/>
                          <a:ext cx="906144" cy="130810"/>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294956DA">
                            <w:pPr>
                              <w:spacing w:before="42" w:line="219" w:lineRule="auto"/>
                              <w:ind w:left="20"/>
                              <w:rPr>
                                <w:rFonts w:ascii="宋体" w:hAnsi="宋体" w:eastAsia="宋体" w:cs="宋体"/>
                                <w:sz w:val="12"/>
                                <w:szCs w:val="12"/>
                              </w:rPr>
                            </w:pPr>
                            <w:r>
                              <w:rPr>
                                <w:rFonts w:ascii="宋体" w:hAnsi="宋体" w:eastAsia="宋体" w:cs="宋体"/>
                                <w:spacing w:val="-7"/>
                                <w:sz w:val="12"/>
                                <w:szCs w:val="12"/>
                              </w:rPr>
                              <w:t>发 病 率 /</w:t>
                            </w:r>
                            <w:r>
                              <w:rPr>
                                <w:rFonts w:ascii="宋体" w:hAnsi="宋体" w:eastAsia="宋体" w:cs="宋体"/>
                                <w:spacing w:val="16"/>
                                <w:w w:val="101"/>
                                <w:sz w:val="12"/>
                                <w:szCs w:val="12"/>
                              </w:rPr>
                              <w:t xml:space="preserve"> </w:t>
                            </w:r>
                            <w:r>
                              <w:rPr>
                                <w:rFonts w:ascii="宋体" w:hAnsi="宋体" w:eastAsia="宋体" w:cs="宋体"/>
                                <w:spacing w:val="-7"/>
                                <w:sz w:val="12"/>
                                <w:szCs w:val="12"/>
                              </w:rPr>
                              <w:t>( 1 /</w:t>
                            </w:r>
                            <w:r>
                              <w:rPr>
                                <w:rFonts w:ascii="宋体" w:hAnsi="宋体" w:eastAsia="宋体" w:cs="宋体"/>
                                <w:spacing w:val="3"/>
                                <w:sz w:val="12"/>
                                <w:szCs w:val="12"/>
                              </w:rPr>
                              <w:t xml:space="preserve"> </w:t>
                            </w:r>
                            <w:r>
                              <w:rPr>
                                <w:rFonts w:ascii="宋体" w:hAnsi="宋体" w:eastAsia="宋体" w:cs="宋体"/>
                                <w:spacing w:val="-7"/>
                                <w:sz w:val="12"/>
                                <w:szCs w:val="12"/>
                              </w:rPr>
                              <w:t>1 0</w:t>
                            </w:r>
                            <w:r>
                              <w:rPr>
                                <w:rFonts w:ascii="宋体" w:hAnsi="宋体" w:eastAsia="宋体" w:cs="宋体"/>
                                <w:spacing w:val="-4"/>
                                <w:sz w:val="12"/>
                                <w:szCs w:val="12"/>
                              </w:rPr>
                              <w:t xml:space="preserve"> </w:t>
                            </w:r>
                            <w:r>
                              <w:rPr>
                                <w:rFonts w:ascii="宋体" w:hAnsi="宋体" w:eastAsia="宋体" w:cs="宋体"/>
                                <w:spacing w:val="-7"/>
                                <w:sz w:val="12"/>
                                <w:szCs w:val="12"/>
                              </w:rPr>
                              <w:t>万 )</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94" o:spid="_x0000_s1026" o:spt="202" type="#_x0000_t202" style="position:absolute;left:0pt;margin-left:63.55pt;margin-top:76.7pt;height:10.3pt;width:71.35pt;rotation:-5898240f;z-index:251686912;mso-width-relative:page;mso-height-relative:page;" filled="f" stroked="f" coordsize="21600,21600" o:gfxdata="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">
                <v:fill on="f" focussize="0,0"/>
                <v:stroke on="f" weight="0pt" miterlimit="0" joinstyle="miter"/>
                <v:imagedata o:title=""/>
                <o:lock v:ext="edit" aspectratio="f"/>
                <v:textbox inset="0mm,0mm,0mm,0mm">
                  <w:txbxContent>
                    <w:p w14:paraId="294956DA">
                      <w:pPr>
                        <w:spacing w:before="42" w:line="219" w:lineRule="auto"/>
                        <w:ind w:left="20"/>
                        <w:rPr>
                          <w:rFonts w:ascii="宋体" w:hAnsi="宋体" w:eastAsia="宋体" w:cs="宋体"/>
                          <w:sz w:val="12"/>
                          <w:szCs w:val="12"/>
                        </w:rPr>
                      </w:pPr>
                      <w:r>
                        <w:rPr>
                          <w:rFonts w:ascii="宋体" w:hAnsi="宋体" w:eastAsia="宋体" w:cs="宋体"/>
                          <w:spacing w:val="-7"/>
                          <w:sz w:val="12"/>
                          <w:szCs w:val="12"/>
                        </w:rPr>
                        <w:t>发 病 率 /</w:t>
                      </w:r>
                      <w:r>
                        <w:rPr>
                          <w:rFonts w:ascii="宋体" w:hAnsi="宋体" w:eastAsia="宋体" w:cs="宋体"/>
                          <w:spacing w:val="16"/>
                          <w:w w:val="101"/>
                          <w:sz w:val="12"/>
                          <w:szCs w:val="12"/>
                        </w:rPr>
                        <w:t xml:space="preserve"> </w:t>
                      </w:r>
                      <w:r>
                        <w:rPr>
                          <w:rFonts w:ascii="宋体" w:hAnsi="宋体" w:eastAsia="宋体" w:cs="宋体"/>
                          <w:spacing w:val="-7"/>
                          <w:sz w:val="12"/>
                          <w:szCs w:val="12"/>
                        </w:rPr>
                        <w:t>( 1 /</w:t>
                      </w:r>
                      <w:r>
                        <w:rPr>
                          <w:rFonts w:ascii="宋体" w:hAnsi="宋体" w:eastAsia="宋体" w:cs="宋体"/>
                          <w:spacing w:val="3"/>
                          <w:sz w:val="12"/>
                          <w:szCs w:val="12"/>
                        </w:rPr>
                        <w:t xml:space="preserve"> </w:t>
                      </w:r>
                      <w:r>
                        <w:rPr>
                          <w:rFonts w:ascii="宋体" w:hAnsi="宋体" w:eastAsia="宋体" w:cs="宋体"/>
                          <w:spacing w:val="-7"/>
                          <w:sz w:val="12"/>
                          <w:szCs w:val="12"/>
                        </w:rPr>
                        <w:t>1 0</w:t>
                      </w:r>
                      <w:r>
                        <w:rPr>
                          <w:rFonts w:ascii="宋体" w:hAnsi="宋体" w:eastAsia="宋体" w:cs="宋体"/>
                          <w:spacing w:val="-4"/>
                          <w:sz w:val="12"/>
                          <w:szCs w:val="12"/>
                        </w:rPr>
                        <w:t xml:space="preserve"> </w:t>
                      </w:r>
                      <w:r>
                        <w:rPr>
                          <w:rFonts w:ascii="宋体" w:hAnsi="宋体" w:eastAsia="宋体" w:cs="宋体"/>
                          <w:spacing w:val="-7"/>
                          <w:sz w:val="12"/>
                          <w:szCs w:val="12"/>
                        </w:rPr>
                        <w:t>万 )</w:t>
                      </w:r>
                    </w:p>
                  </w:txbxContent>
                </v:textbox>
              </v:shape>
            </w:pict>
          </mc:Fallback>
        </mc:AlternateContent>
      </w:r>
      <w:r>
        <w:rPr>
          <w:position w:val="-75"/>
        </w:rPr>
        <w:drawing>
          <wp:inline distT="0" distB="0" distL="0" distR="0">
            <wp:extent cx="3428365" cy="2386965"/>
            <wp:effectExtent l="0" t="0" r="0" b="0"/>
            <wp:docPr id="96" name="IM 96"/>
            <wp:cNvGraphicFramePr/>
            <a:graphic xmlns:a="http://schemas.openxmlformats.org/drawingml/2006/main">
              <a:graphicData uri="http://schemas.openxmlformats.org/drawingml/2006/picture">
                <pic:pic xmlns:pic="http://schemas.openxmlformats.org/drawingml/2006/picture">
                  <pic:nvPicPr>
                    <pic:cNvPr id="96" name="IM 96"/>
                    <pic:cNvPicPr/>
                  </pic:nvPicPr>
                  <pic:blipFill>
                    <a:blip r:embed="rId442"/>
                    <a:stretch>
                      <a:fillRect/>
                    </a:stretch>
                  </pic:blipFill>
                  <pic:spPr>
                    <a:xfrm>
                      <a:off x="0" y="0"/>
                      <a:ext cx="3428988" cy="2387563"/>
                    </a:xfrm>
                    <a:prstGeom prst="rect">
                      <a:avLst/>
                    </a:prstGeom>
                  </pic:spPr>
                </pic:pic>
              </a:graphicData>
            </a:graphic>
          </wp:inline>
        </w:drawing>
      </w:r>
    </w:p>
    <w:p w14:paraId="3E614CC7">
      <w:pPr>
        <w:spacing w:before="96" w:line="219" w:lineRule="auto"/>
        <w:ind w:left="4700"/>
        <w:rPr>
          <w:rFonts w:ascii="宋体" w:hAnsi="宋体" w:eastAsia="宋体" w:cs="宋体"/>
          <w:sz w:val="16"/>
          <w:szCs w:val="16"/>
        </w:rPr>
      </w:pPr>
      <w:r>
        <w:rPr>
          <w:rFonts w:ascii="宋体" w:hAnsi="宋体" w:eastAsia="宋体" w:cs="宋体"/>
          <w:spacing w:val="12"/>
          <w:sz w:val="16"/>
          <w:szCs w:val="16"/>
        </w:rPr>
        <w:t>年龄/岁</w:t>
      </w:r>
    </w:p>
    <w:p w14:paraId="5DD32FA4">
      <w:pPr>
        <w:pStyle w:val="2"/>
        <w:spacing w:before="140" w:line="221" w:lineRule="auto"/>
        <w:ind w:left="2530"/>
        <w:rPr>
          <w:sz w:val="21"/>
          <w:szCs w:val="21"/>
        </w:rPr>
      </w:pPr>
      <w:r>
        <w:rPr>
          <w:spacing w:val="-2"/>
          <w:sz w:val="21"/>
          <w:szCs w:val="21"/>
        </w:rPr>
        <w:t>图2-2</w:t>
      </w:r>
      <w:r>
        <w:rPr>
          <w:spacing w:val="54"/>
          <w:sz w:val="21"/>
          <w:szCs w:val="21"/>
        </w:rPr>
        <w:t xml:space="preserve"> </w:t>
      </w:r>
      <w:r>
        <w:rPr>
          <w:spacing w:val="-2"/>
          <w:sz w:val="21"/>
          <w:szCs w:val="21"/>
        </w:rPr>
        <w:t>中国1997—2012年鼻咽癌年龄别发病率</w:t>
      </w:r>
    </w:p>
    <w:p w14:paraId="3B05564D">
      <w:pPr>
        <w:pStyle w:val="2"/>
        <w:spacing w:before="7" w:line="212" w:lineRule="auto"/>
        <w:ind w:left="2979"/>
        <w:rPr>
          <w:rFonts w:ascii="Times New Roman" w:hAnsi="Times New Roman" w:eastAsia="Times New Roman" w:cs="Times New Roman"/>
          <w:sz w:val="21"/>
          <w:szCs w:val="21"/>
        </w:rPr>
      </w:pPr>
      <w:r>
        <w:rPr>
          <w:spacing w:val="-4"/>
          <w:sz w:val="21"/>
          <w:szCs w:val="21"/>
        </w:rPr>
        <w:t>(改编自</w:t>
      </w:r>
      <w:r>
        <w:rPr>
          <w:rFonts w:ascii="Times New Roman" w:hAnsi="Times New Roman" w:eastAsia="Times New Roman" w:cs="Times New Roman"/>
          <w:spacing w:val="-4"/>
          <w:sz w:val="21"/>
          <w:szCs w:val="21"/>
        </w:rPr>
        <w:t>Global Burden of</w:t>
      </w:r>
      <w:r>
        <w:rPr>
          <w:rFonts w:ascii="Times New Roman" w:hAnsi="Times New Roman" w:eastAsia="Times New Roman" w:cs="Times New Roman"/>
          <w:spacing w:val="-11"/>
          <w:sz w:val="21"/>
          <w:szCs w:val="21"/>
        </w:rPr>
        <w:t xml:space="preserve"> </w:t>
      </w:r>
      <w:r>
        <w:rPr>
          <w:rFonts w:ascii="Times New Roman" w:hAnsi="Times New Roman" w:eastAsia="Times New Roman" w:cs="Times New Roman"/>
          <w:spacing w:val="-4"/>
          <w:sz w:val="21"/>
          <w:szCs w:val="21"/>
        </w:rPr>
        <w:t>Disease,2019)</w:t>
      </w:r>
    </w:p>
    <w:p w14:paraId="39E7C5D0">
      <w:pPr>
        <w:spacing w:line="302" w:lineRule="auto"/>
        <w:rPr>
          <w:rFonts w:ascii="Arial"/>
          <w:sz w:val="21"/>
        </w:rPr>
      </w:pPr>
    </w:p>
    <w:p w14:paraId="69DEE062">
      <w:pPr>
        <w:spacing w:before="68" w:line="312" w:lineRule="auto"/>
        <w:ind w:right="590"/>
        <w:rPr>
          <w:rFonts w:ascii="宋体" w:hAnsi="宋体" w:eastAsia="宋体" w:cs="宋体"/>
          <w:sz w:val="21"/>
          <w:szCs w:val="21"/>
        </w:rPr>
      </w:pPr>
      <w:r>
        <w:rPr>
          <w:rFonts w:ascii="宋体" w:hAnsi="宋体" w:eastAsia="宋体" w:cs="宋体"/>
          <w:spacing w:val="6"/>
          <w:sz w:val="21"/>
          <w:szCs w:val="21"/>
        </w:rPr>
        <w:t>用。它可以直观地呈现致病因素与年龄的关系，有助于探索年龄</w:t>
      </w:r>
      <w:r>
        <w:rPr>
          <w:rFonts w:ascii="宋体" w:hAnsi="宋体" w:eastAsia="宋体" w:cs="宋体"/>
          <w:spacing w:val="5"/>
          <w:sz w:val="21"/>
          <w:szCs w:val="21"/>
        </w:rPr>
        <w:t>、所处时代暴露特点及经历在疾病</w:t>
      </w:r>
      <w:r>
        <w:rPr>
          <w:rFonts w:ascii="宋体" w:hAnsi="宋体" w:eastAsia="宋体" w:cs="宋体"/>
          <w:sz w:val="21"/>
          <w:szCs w:val="21"/>
        </w:rPr>
        <w:t xml:space="preserve"> </w:t>
      </w:r>
      <w:r>
        <w:rPr>
          <w:rFonts w:ascii="宋体" w:hAnsi="宋体" w:eastAsia="宋体" w:cs="宋体"/>
          <w:spacing w:val="7"/>
          <w:sz w:val="21"/>
          <w:szCs w:val="21"/>
        </w:rPr>
        <w:t>频率变化中的作用。</w:t>
      </w:r>
    </w:p>
    <w:p w14:paraId="725E502E">
      <w:pPr>
        <w:spacing w:before="7" w:line="316" w:lineRule="auto"/>
        <w:ind w:right="571" w:firstLine="440"/>
        <w:jc w:val="both"/>
        <w:rPr>
          <w:rFonts w:ascii="宋体" w:hAnsi="宋体" w:eastAsia="宋体" w:cs="宋体"/>
          <w:sz w:val="21"/>
          <w:szCs w:val="21"/>
        </w:rPr>
      </w:pPr>
      <w:r>
        <w:rPr>
          <w:rFonts w:ascii="宋体" w:hAnsi="宋体" w:eastAsia="宋体" w:cs="宋体"/>
          <w:spacing w:val="7"/>
          <w:sz w:val="21"/>
          <w:szCs w:val="21"/>
        </w:rPr>
        <w:t>图2-3展示了年龄与鼻咽癌发病关系的出生队列分析，分别以1938年、1943年、1948年、1</w:t>
      </w:r>
      <w:r>
        <w:rPr>
          <w:rFonts w:ascii="宋体" w:hAnsi="宋体" w:eastAsia="宋体" w:cs="宋体"/>
          <w:spacing w:val="6"/>
          <w:sz w:val="21"/>
          <w:szCs w:val="21"/>
        </w:rPr>
        <w:t>953</w:t>
      </w:r>
      <w:r>
        <w:rPr>
          <w:rFonts w:ascii="宋体" w:hAnsi="宋体" w:eastAsia="宋体" w:cs="宋体"/>
          <w:sz w:val="21"/>
          <w:szCs w:val="21"/>
        </w:rPr>
        <w:t xml:space="preserve"> </w:t>
      </w:r>
      <w:r>
        <w:rPr>
          <w:rFonts w:ascii="宋体" w:hAnsi="宋体" w:eastAsia="宋体" w:cs="宋体"/>
          <w:spacing w:val="11"/>
          <w:sz w:val="21"/>
          <w:szCs w:val="21"/>
        </w:rPr>
        <w:t>年及1958年出生的人群作为出生队列，观察其鼻咽癌的年龄</w:t>
      </w:r>
      <w:r>
        <w:rPr>
          <w:rFonts w:ascii="宋体" w:hAnsi="宋体" w:eastAsia="宋体" w:cs="宋体"/>
          <w:spacing w:val="10"/>
          <w:sz w:val="21"/>
          <w:szCs w:val="21"/>
        </w:rPr>
        <w:t>别发病率，结果显示鼻咽癌的发病率</w:t>
      </w:r>
      <w:r>
        <w:rPr>
          <w:rFonts w:ascii="宋体" w:hAnsi="宋体" w:eastAsia="宋体" w:cs="宋体"/>
          <w:sz w:val="21"/>
          <w:szCs w:val="21"/>
        </w:rPr>
        <w:t xml:space="preserve"> </w:t>
      </w:r>
      <w:r>
        <w:rPr>
          <w:rFonts w:ascii="宋体" w:hAnsi="宋体" w:eastAsia="宋体" w:cs="宋体"/>
          <w:spacing w:val="13"/>
          <w:sz w:val="21"/>
          <w:szCs w:val="21"/>
        </w:rPr>
        <w:t>均随年龄的增长而呈显著升高的趋势，未出现图2-2所示高年龄组60～64岁及</w:t>
      </w:r>
      <w:r>
        <w:rPr>
          <w:rFonts w:ascii="宋体" w:hAnsi="宋体" w:eastAsia="宋体" w:cs="宋体"/>
          <w:spacing w:val="12"/>
          <w:sz w:val="21"/>
          <w:szCs w:val="21"/>
        </w:rPr>
        <w:t>以上人群发病率下</w:t>
      </w:r>
      <w:r>
        <w:rPr>
          <w:rFonts w:ascii="宋体" w:hAnsi="宋体" w:eastAsia="宋体" w:cs="宋体"/>
          <w:sz w:val="21"/>
          <w:szCs w:val="21"/>
        </w:rPr>
        <w:t xml:space="preserve"> </w:t>
      </w:r>
      <w:r>
        <w:rPr>
          <w:rFonts w:ascii="宋体" w:hAnsi="宋体" w:eastAsia="宋体" w:cs="宋体"/>
          <w:spacing w:val="6"/>
          <w:sz w:val="21"/>
          <w:szCs w:val="21"/>
        </w:rPr>
        <w:t>降的现象。此外，尚可见出生年代越晚的队列同一年龄组的发病率越高，发病年龄明显提前。提示</w:t>
      </w:r>
      <w:r>
        <w:rPr>
          <w:rFonts w:ascii="宋体" w:hAnsi="宋体" w:eastAsia="宋体" w:cs="宋体"/>
          <w:sz w:val="21"/>
          <w:szCs w:val="21"/>
        </w:rPr>
        <w:t xml:space="preserve"> </w:t>
      </w:r>
      <w:r>
        <w:rPr>
          <w:rFonts w:ascii="宋体" w:hAnsi="宋体" w:eastAsia="宋体" w:cs="宋体"/>
          <w:spacing w:val="6"/>
          <w:sz w:val="21"/>
          <w:szCs w:val="21"/>
        </w:rPr>
        <w:t>这些出生者暴露于致病因素的时间可能更早，暴露量可能更大。相比横断面分析，出生队列分析更</w:t>
      </w:r>
      <w:r>
        <w:rPr>
          <w:rFonts w:ascii="宋体" w:hAnsi="宋体" w:eastAsia="宋体" w:cs="宋体"/>
          <w:sz w:val="21"/>
          <w:szCs w:val="21"/>
        </w:rPr>
        <w:t xml:space="preserve"> </w:t>
      </w:r>
      <w:r>
        <w:rPr>
          <w:rFonts w:ascii="宋体" w:hAnsi="宋体" w:eastAsia="宋体" w:cs="宋体"/>
          <w:spacing w:val="2"/>
          <w:sz w:val="21"/>
          <w:szCs w:val="21"/>
        </w:rPr>
        <w:t>合理地展示了年龄与鼻咽癌发病的关系，有助于正确分辨出年龄、时间、暴露经历对疾病的作用。</w:t>
      </w:r>
    </w:p>
    <w:p w14:paraId="6B403160">
      <w:pPr>
        <w:spacing w:line="256" w:lineRule="auto"/>
        <w:rPr>
          <w:rFonts w:ascii="Arial"/>
          <w:sz w:val="21"/>
        </w:rPr>
      </w:pPr>
    </w:p>
    <w:p w14:paraId="50F96580">
      <w:pPr>
        <w:spacing w:line="3710" w:lineRule="exact"/>
        <w:ind w:firstLine="2080"/>
      </w:pPr>
      <w:r>
        <mc:AlternateContent>
          <mc:Choice Requires="wps">
            <w:drawing>
              <wp:anchor distT="0" distB="0" distL="0" distR="0" simplePos="0" relativeHeight="251687936" behindDoc="0" locked="0" layoutInCell="1" allowOverlap="1">
                <wp:simplePos x="0" y="0"/>
                <wp:positionH relativeFrom="column">
                  <wp:posOffset>845185</wp:posOffset>
                </wp:positionH>
                <wp:positionV relativeFrom="paragraph">
                  <wp:posOffset>949325</wp:posOffset>
                </wp:positionV>
                <wp:extent cx="868045" cy="130810"/>
                <wp:effectExtent l="0" t="0" r="0" b="0"/>
                <wp:wrapNone/>
                <wp:docPr id="98" name="TextBox 98"/>
                <wp:cNvGraphicFramePr/>
                <a:graphic xmlns:a="http://schemas.openxmlformats.org/drawingml/2006/main">
                  <a:graphicData uri="http://schemas.microsoft.com/office/word/2010/wordprocessingShape">
                    <wps:wsp>
                      <wps:cNvSpPr txBox="1"/>
                      <wps:spPr>
                        <a:xfrm rot="16200000">
                          <a:off x="845638" y="949399"/>
                          <a:ext cx="868044" cy="130810"/>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12B329B4">
                            <w:pPr>
                              <w:spacing w:before="42" w:line="219" w:lineRule="auto"/>
                              <w:ind w:left="20"/>
                              <w:rPr>
                                <w:rFonts w:ascii="宋体" w:hAnsi="宋体" w:eastAsia="宋体" w:cs="宋体"/>
                                <w:sz w:val="12"/>
                                <w:szCs w:val="12"/>
                              </w:rPr>
                            </w:pPr>
                            <w:r>
                              <w:rPr>
                                <w:rFonts w:ascii="宋体" w:hAnsi="宋体" w:eastAsia="宋体" w:cs="宋体"/>
                                <w:spacing w:val="-8"/>
                                <w:sz w:val="12"/>
                                <w:szCs w:val="12"/>
                              </w:rPr>
                              <w:t>发 病</w:t>
                            </w:r>
                            <w:r>
                              <w:rPr>
                                <w:rFonts w:ascii="宋体" w:hAnsi="宋体" w:eastAsia="宋体" w:cs="宋体"/>
                                <w:sz w:val="12"/>
                                <w:szCs w:val="12"/>
                              </w:rPr>
                              <w:t xml:space="preserve"> </w:t>
                            </w:r>
                            <w:r>
                              <w:rPr>
                                <w:rFonts w:ascii="宋体" w:hAnsi="宋体" w:eastAsia="宋体" w:cs="宋体"/>
                                <w:spacing w:val="-8"/>
                                <w:sz w:val="12"/>
                                <w:szCs w:val="12"/>
                              </w:rPr>
                              <w:t>率</w:t>
                            </w:r>
                            <w:r>
                              <w:rPr>
                                <w:rFonts w:ascii="宋体" w:hAnsi="宋体" w:eastAsia="宋体" w:cs="宋体"/>
                                <w:spacing w:val="20"/>
                                <w:sz w:val="12"/>
                                <w:szCs w:val="12"/>
                              </w:rPr>
                              <w:t xml:space="preserve"> </w:t>
                            </w:r>
                            <w:r>
                              <w:rPr>
                                <w:rFonts w:ascii="宋体" w:hAnsi="宋体" w:eastAsia="宋体" w:cs="宋体"/>
                                <w:spacing w:val="-8"/>
                                <w:sz w:val="12"/>
                                <w:szCs w:val="12"/>
                              </w:rPr>
                              <w:t>(</w:t>
                            </w:r>
                            <w:r>
                              <w:rPr>
                                <w:rFonts w:ascii="宋体" w:hAnsi="宋体" w:eastAsia="宋体" w:cs="宋体"/>
                                <w:spacing w:val="8"/>
                                <w:sz w:val="12"/>
                                <w:szCs w:val="12"/>
                              </w:rPr>
                              <w:t xml:space="preserve"> </w:t>
                            </w:r>
                            <w:r>
                              <w:rPr>
                                <w:rFonts w:ascii="宋体" w:hAnsi="宋体" w:eastAsia="宋体" w:cs="宋体"/>
                                <w:spacing w:val="-8"/>
                                <w:sz w:val="12"/>
                                <w:szCs w:val="12"/>
                              </w:rPr>
                              <w:t>1</w:t>
                            </w:r>
                            <w:r>
                              <w:rPr>
                                <w:rFonts w:ascii="宋体" w:hAnsi="宋体" w:eastAsia="宋体" w:cs="宋体"/>
                                <w:spacing w:val="-1"/>
                                <w:sz w:val="12"/>
                                <w:szCs w:val="12"/>
                              </w:rPr>
                              <w:t xml:space="preserve"> </w:t>
                            </w:r>
                            <w:r>
                              <w:rPr>
                                <w:rFonts w:ascii="宋体" w:hAnsi="宋体" w:eastAsia="宋体" w:cs="宋体"/>
                                <w:spacing w:val="-8"/>
                                <w:sz w:val="12"/>
                                <w:szCs w:val="12"/>
                              </w:rPr>
                              <w:t>/</w:t>
                            </w:r>
                            <w:r>
                              <w:rPr>
                                <w:rFonts w:ascii="宋体" w:hAnsi="宋体" w:eastAsia="宋体" w:cs="宋体"/>
                                <w:spacing w:val="8"/>
                                <w:sz w:val="12"/>
                                <w:szCs w:val="12"/>
                              </w:rPr>
                              <w:t xml:space="preserve"> </w:t>
                            </w:r>
                            <w:r>
                              <w:rPr>
                                <w:rFonts w:ascii="宋体" w:hAnsi="宋体" w:eastAsia="宋体" w:cs="宋体"/>
                                <w:spacing w:val="-8"/>
                                <w:sz w:val="12"/>
                                <w:szCs w:val="12"/>
                              </w:rPr>
                              <w:t>1</w:t>
                            </w:r>
                            <w:r>
                              <w:rPr>
                                <w:rFonts w:ascii="宋体" w:hAnsi="宋体" w:eastAsia="宋体" w:cs="宋体"/>
                                <w:spacing w:val="1"/>
                                <w:sz w:val="12"/>
                                <w:szCs w:val="12"/>
                              </w:rPr>
                              <w:t xml:space="preserve"> </w:t>
                            </w:r>
                            <w:r>
                              <w:rPr>
                                <w:rFonts w:ascii="宋体" w:hAnsi="宋体" w:eastAsia="宋体" w:cs="宋体"/>
                                <w:spacing w:val="-8"/>
                                <w:sz w:val="12"/>
                                <w:szCs w:val="12"/>
                              </w:rPr>
                              <w:t>0</w:t>
                            </w:r>
                            <w:r>
                              <w:rPr>
                                <w:rFonts w:ascii="宋体" w:hAnsi="宋体" w:eastAsia="宋体" w:cs="宋体"/>
                                <w:spacing w:val="2"/>
                                <w:sz w:val="12"/>
                                <w:szCs w:val="12"/>
                              </w:rPr>
                              <w:t xml:space="preserve"> </w:t>
                            </w:r>
                            <w:r>
                              <w:rPr>
                                <w:rFonts w:ascii="宋体" w:hAnsi="宋体" w:eastAsia="宋体" w:cs="宋体"/>
                                <w:spacing w:val="-8"/>
                                <w:sz w:val="12"/>
                                <w:szCs w:val="12"/>
                              </w:rPr>
                              <w:t>万</w:t>
                            </w:r>
                            <w:r>
                              <w:rPr>
                                <w:rFonts w:ascii="宋体" w:hAnsi="宋体" w:eastAsia="宋体" w:cs="宋体"/>
                                <w:sz w:val="12"/>
                                <w:szCs w:val="12"/>
                              </w:rPr>
                              <w:t xml:space="preserve"> </w:t>
                            </w:r>
                            <w:r>
                              <w:rPr>
                                <w:rFonts w:ascii="宋体" w:hAnsi="宋体" w:eastAsia="宋体" w:cs="宋体"/>
                                <w:spacing w:val="-8"/>
                                <w:sz w:val="12"/>
                                <w:szCs w:val="12"/>
                              </w:rPr>
                              <w:t>)</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98" o:spid="_x0000_s1026" o:spt="202" type="#_x0000_t202" style="position:absolute;left:0pt;margin-left:66.55pt;margin-top:74.75pt;height:10.3pt;width:68.35pt;rotation:-5898240f;z-index:251687936;mso-width-relative:page;mso-height-relative:page;" filled="f" stroked="f" coordsize="21600,21600" o:gfxdata="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qR9y4tkAAAALAQAADwAA&#10;AAAAAAABACAAAAAiAAAAZHJzL2Rvd25yZXYueG1sUEsBAhQAFAAAAAgAh07iQCm2TjtOAgAAoQQA&#10;AA4AAAAAAAAAAQAgAAAAKAEAAGRycy9lMm9Eb2MueG1sUEsFBgAAAAAGAAYAWQEAAOgFAAAAAA==&#10;">
                <v:fill on="f" focussize="0,0"/>
                <v:stroke on="f" weight="0pt" miterlimit="0" joinstyle="miter"/>
                <v:imagedata o:title=""/>
                <o:lock v:ext="edit" aspectratio="f"/>
                <v:textbox inset="0mm,0mm,0mm,0mm">
                  <w:txbxContent>
                    <w:p w14:paraId="12B329B4">
                      <w:pPr>
                        <w:spacing w:before="42" w:line="219" w:lineRule="auto"/>
                        <w:ind w:left="20"/>
                        <w:rPr>
                          <w:rFonts w:ascii="宋体" w:hAnsi="宋体" w:eastAsia="宋体" w:cs="宋体"/>
                          <w:sz w:val="12"/>
                          <w:szCs w:val="12"/>
                        </w:rPr>
                      </w:pPr>
                      <w:r>
                        <w:rPr>
                          <w:rFonts w:ascii="宋体" w:hAnsi="宋体" w:eastAsia="宋体" w:cs="宋体"/>
                          <w:spacing w:val="-8"/>
                          <w:sz w:val="12"/>
                          <w:szCs w:val="12"/>
                        </w:rPr>
                        <w:t>发 病</w:t>
                      </w:r>
                      <w:r>
                        <w:rPr>
                          <w:rFonts w:ascii="宋体" w:hAnsi="宋体" w:eastAsia="宋体" w:cs="宋体"/>
                          <w:sz w:val="12"/>
                          <w:szCs w:val="12"/>
                        </w:rPr>
                        <w:t xml:space="preserve"> </w:t>
                      </w:r>
                      <w:r>
                        <w:rPr>
                          <w:rFonts w:ascii="宋体" w:hAnsi="宋体" w:eastAsia="宋体" w:cs="宋体"/>
                          <w:spacing w:val="-8"/>
                          <w:sz w:val="12"/>
                          <w:szCs w:val="12"/>
                        </w:rPr>
                        <w:t>率</w:t>
                      </w:r>
                      <w:r>
                        <w:rPr>
                          <w:rFonts w:ascii="宋体" w:hAnsi="宋体" w:eastAsia="宋体" w:cs="宋体"/>
                          <w:spacing w:val="20"/>
                          <w:sz w:val="12"/>
                          <w:szCs w:val="12"/>
                        </w:rPr>
                        <w:t xml:space="preserve"> </w:t>
                      </w:r>
                      <w:r>
                        <w:rPr>
                          <w:rFonts w:ascii="宋体" w:hAnsi="宋体" w:eastAsia="宋体" w:cs="宋体"/>
                          <w:spacing w:val="-8"/>
                          <w:sz w:val="12"/>
                          <w:szCs w:val="12"/>
                        </w:rPr>
                        <w:t>(</w:t>
                      </w:r>
                      <w:r>
                        <w:rPr>
                          <w:rFonts w:ascii="宋体" w:hAnsi="宋体" w:eastAsia="宋体" w:cs="宋体"/>
                          <w:spacing w:val="8"/>
                          <w:sz w:val="12"/>
                          <w:szCs w:val="12"/>
                        </w:rPr>
                        <w:t xml:space="preserve"> </w:t>
                      </w:r>
                      <w:r>
                        <w:rPr>
                          <w:rFonts w:ascii="宋体" w:hAnsi="宋体" w:eastAsia="宋体" w:cs="宋体"/>
                          <w:spacing w:val="-8"/>
                          <w:sz w:val="12"/>
                          <w:szCs w:val="12"/>
                        </w:rPr>
                        <w:t>1</w:t>
                      </w:r>
                      <w:r>
                        <w:rPr>
                          <w:rFonts w:ascii="宋体" w:hAnsi="宋体" w:eastAsia="宋体" w:cs="宋体"/>
                          <w:spacing w:val="-1"/>
                          <w:sz w:val="12"/>
                          <w:szCs w:val="12"/>
                        </w:rPr>
                        <w:t xml:space="preserve"> </w:t>
                      </w:r>
                      <w:r>
                        <w:rPr>
                          <w:rFonts w:ascii="宋体" w:hAnsi="宋体" w:eastAsia="宋体" w:cs="宋体"/>
                          <w:spacing w:val="-8"/>
                          <w:sz w:val="12"/>
                          <w:szCs w:val="12"/>
                        </w:rPr>
                        <w:t>/</w:t>
                      </w:r>
                      <w:r>
                        <w:rPr>
                          <w:rFonts w:ascii="宋体" w:hAnsi="宋体" w:eastAsia="宋体" w:cs="宋体"/>
                          <w:spacing w:val="8"/>
                          <w:sz w:val="12"/>
                          <w:szCs w:val="12"/>
                        </w:rPr>
                        <w:t xml:space="preserve"> </w:t>
                      </w:r>
                      <w:r>
                        <w:rPr>
                          <w:rFonts w:ascii="宋体" w:hAnsi="宋体" w:eastAsia="宋体" w:cs="宋体"/>
                          <w:spacing w:val="-8"/>
                          <w:sz w:val="12"/>
                          <w:szCs w:val="12"/>
                        </w:rPr>
                        <w:t>1</w:t>
                      </w:r>
                      <w:r>
                        <w:rPr>
                          <w:rFonts w:ascii="宋体" w:hAnsi="宋体" w:eastAsia="宋体" w:cs="宋体"/>
                          <w:spacing w:val="1"/>
                          <w:sz w:val="12"/>
                          <w:szCs w:val="12"/>
                        </w:rPr>
                        <w:t xml:space="preserve"> </w:t>
                      </w:r>
                      <w:r>
                        <w:rPr>
                          <w:rFonts w:ascii="宋体" w:hAnsi="宋体" w:eastAsia="宋体" w:cs="宋体"/>
                          <w:spacing w:val="-8"/>
                          <w:sz w:val="12"/>
                          <w:szCs w:val="12"/>
                        </w:rPr>
                        <w:t>0</w:t>
                      </w:r>
                      <w:r>
                        <w:rPr>
                          <w:rFonts w:ascii="宋体" w:hAnsi="宋体" w:eastAsia="宋体" w:cs="宋体"/>
                          <w:spacing w:val="2"/>
                          <w:sz w:val="12"/>
                          <w:szCs w:val="12"/>
                        </w:rPr>
                        <w:t xml:space="preserve"> </w:t>
                      </w:r>
                      <w:r>
                        <w:rPr>
                          <w:rFonts w:ascii="宋体" w:hAnsi="宋体" w:eastAsia="宋体" w:cs="宋体"/>
                          <w:spacing w:val="-8"/>
                          <w:sz w:val="12"/>
                          <w:szCs w:val="12"/>
                        </w:rPr>
                        <w:t>万</w:t>
                      </w:r>
                      <w:r>
                        <w:rPr>
                          <w:rFonts w:ascii="宋体" w:hAnsi="宋体" w:eastAsia="宋体" w:cs="宋体"/>
                          <w:sz w:val="12"/>
                          <w:szCs w:val="12"/>
                        </w:rPr>
                        <w:t xml:space="preserve"> </w:t>
                      </w:r>
                      <w:r>
                        <w:rPr>
                          <w:rFonts w:ascii="宋体" w:hAnsi="宋体" w:eastAsia="宋体" w:cs="宋体"/>
                          <w:spacing w:val="-8"/>
                          <w:sz w:val="12"/>
                          <w:szCs w:val="12"/>
                        </w:rPr>
                        <w:t>)</w:t>
                      </w:r>
                    </w:p>
                  </w:txbxContent>
                </v:textbox>
              </v:shape>
            </w:pict>
          </mc:Fallback>
        </mc:AlternateContent>
      </w:r>
      <w:r>
        <w:rPr>
          <w:position w:val="-74"/>
        </w:rPr>
        <w:drawing>
          <wp:inline distT="0" distB="0" distL="0" distR="0">
            <wp:extent cx="3454400" cy="2355215"/>
            <wp:effectExtent l="0" t="0" r="0" b="0"/>
            <wp:docPr id="100" name="IM 100"/>
            <wp:cNvGraphicFramePr/>
            <a:graphic xmlns:a="http://schemas.openxmlformats.org/drawingml/2006/main">
              <a:graphicData uri="http://schemas.openxmlformats.org/drawingml/2006/picture">
                <pic:pic xmlns:pic="http://schemas.openxmlformats.org/drawingml/2006/picture">
                  <pic:nvPicPr>
                    <pic:cNvPr id="100" name="IM 100"/>
                    <pic:cNvPicPr/>
                  </pic:nvPicPr>
                  <pic:blipFill>
                    <a:blip r:embed="rId443"/>
                    <a:stretch>
                      <a:fillRect/>
                    </a:stretch>
                  </pic:blipFill>
                  <pic:spPr>
                    <a:xfrm>
                      <a:off x="0" y="0"/>
                      <a:ext cx="3454453" cy="2355841"/>
                    </a:xfrm>
                    <a:prstGeom prst="rect">
                      <a:avLst/>
                    </a:prstGeom>
                  </pic:spPr>
                </pic:pic>
              </a:graphicData>
            </a:graphic>
          </wp:inline>
        </w:drawing>
      </w:r>
    </w:p>
    <w:p w14:paraId="33CC87DE">
      <w:pPr>
        <w:spacing w:before="87" w:line="219" w:lineRule="auto"/>
        <w:ind w:left="4759"/>
        <w:rPr>
          <w:rFonts w:ascii="宋体" w:hAnsi="宋体" w:eastAsia="宋体" w:cs="宋体"/>
          <w:sz w:val="16"/>
          <w:szCs w:val="16"/>
        </w:rPr>
      </w:pPr>
      <w:r>
        <w:rPr>
          <w:rFonts w:ascii="宋体" w:hAnsi="宋体" w:eastAsia="宋体" w:cs="宋体"/>
          <w:spacing w:val="7"/>
          <w:sz w:val="16"/>
          <w:szCs w:val="16"/>
        </w:rPr>
        <w:t>年龄/岁</w:t>
      </w:r>
    </w:p>
    <w:p w14:paraId="12D0F25A">
      <w:pPr>
        <w:spacing w:before="113" w:line="219" w:lineRule="auto"/>
        <w:ind w:left="2150"/>
        <w:rPr>
          <w:rFonts w:ascii="宋体" w:hAnsi="宋体" w:eastAsia="宋体" w:cs="宋体"/>
          <w:sz w:val="21"/>
          <w:szCs w:val="21"/>
        </w:rPr>
      </w:pPr>
      <w:r>
        <w:rPr>
          <w:rFonts w:ascii="宋体" w:hAnsi="宋体" w:eastAsia="宋体" w:cs="宋体"/>
          <w:spacing w:val="-4"/>
          <w:sz w:val="21"/>
          <w:szCs w:val="21"/>
        </w:rPr>
        <w:t>图2-3</w:t>
      </w:r>
      <w:r>
        <w:rPr>
          <w:rFonts w:ascii="宋体" w:hAnsi="宋体" w:eastAsia="宋体" w:cs="宋体"/>
          <w:spacing w:val="108"/>
          <w:sz w:val="21"/>
          <w:szCs w:val="21"/>
        </w:rPr>
        <w:t xml:space="preserve"> </w:t>
      </w:r>
      <w:r>
        <w:rPr>
          <w:rFonts w:ascii="宋体" w:hAnsi="宋体" w:eastAsia="宋体" w:cs="宋体"/>
          <w:spacing w:val="-4"/>
          <w:sz w:val="21"/>
          <w:szCs w:val="21"/>
        </w:rPr>
        <w:t>中国1938—1958年出生队列鼻咽癌年龄别发病率</w:t>
      </w:r>
    </w:p>
    <w:p w14:paraId="4C6977C2">
      <w:pPr>
        <w:spacing w:before="17" w:line="212" w:lineRule="auto"/>
        <w:ind w:left="2999"/>
        <w:rPr>
          <w:rFonts w:ascii="Times New Roman" w:hAnsi="Times New Roman" w:eastAsia="Times New Roman" w:cs="Times New Roman"/>
          <w:sz w:val="21"/>
          <w:szCs w:val="21"/>
        </w:rPr>
      </w:pPr>
      <w:r>
        <w:rPr>
          <w:rFonts w:ascii="宋体" w:hAnsi="宋体" w:eastAsia="宋体" w:cs="宋体"/>
          <w:spacing w:val="-3"/>
          <w:sz w:val="21"/>
          <w:szCs w:val="21"/>
        </w:rPr>
        <w:t>(改编自</w:t>
      </w:r>
      <w:r>
        <w:rPr>
          <w:rFonts w:ascii="Times New Roman" w:hAnsi="Times New Roman" w:eastAsia="Times New Roman" w:cs="Times New Roman"/>
          <w:spacing w:val="-3"/>
          <w:sz w:val="21"/>
          <w:szCs w:val="21"/>
        </w:rPr>
        <w:t>Global Burden of</w:t>
      </w:r>
      <w:r>
        <w:rPr>
          <w:rFonts w:ascii="Times New Roman" w:hAnsi="Times New Roman" w:eastAsia="Times New Roman" w:cs="Times New Roman"/>
          <w:spacing w:val="-14"/>
          <w:sz w:val="21"/>
          <w:szCs w:val="21"/>
        </w:rPr>
        <w:t xml:space="preserve"> </w:t>
      </w:r>
      <w:r>
        <w:rPr>
          <w:rFonts w:ascii="Times New Roman" w:hAnsi="Times New Roman" w:eastAsia="Times New Roman" w:cs="Times New Roman"/>
          <w:spacing w:val="-3"/>
          <w:sz w:val="21"/>
          <w:szCs w:val="21"/>
        </w:rPr>
        <w:t>Disease,2019)</w:t>
      </w:r>
    </w:p>
    <w:p w14:paraId="32262CB9">
      <w:pPr>
        <w:spacing w:line="256" w:lineRule="auto"/>
        <w:rPr>
          <w:rFonts w:ascii="Arial"/>
          <w:sz w:val="21"/>
        </w:rPr>
      </w:pPr>
    </w:p>
    <w:p w14:paraId="01B5E5B1">
      <w:pPr>
        <w:pStyle w:val="2"/>
        <w:spacing w:before="85" w:line="222" w:lineRule="auto"/>
        <w:ind w:left="440"/>
        <w:rPr>
          <w:sz w:val="26"/>
          <w:szCs w:val="26"/>
        </w:rPr>
      </w:pPr>
      <w:r>
        <w:rPr>
          <w:spacing w:val="4"/>
          <w:sz w:val="26"/>
          <w:szCs w:val="26"/>
        </w:rPr>
        <w:t>(二)性别</w:t>
      </w:r>
    </w:p>
    <w:p w14:paraId="5DB34166">
      <w:pPr>
        <w:spacing w:before="65" w:line="350" w:lineRule="auto"/>
        <w:ind w:right="626" w:firstLine="440"/>
        <w:rPr>
          <w:rFonts w:ascii="宋体" w:hAnsi="宋体" w:eastAsia="宋体" w:cs="宋体"/>
          <w:sz w:val="21"/>
          <w:szCs w:val="21"/>
        </w:rPr>
      </w:pPr>
      <w:r>
        <w:rPr>
          <w:rFonts w:ascii="宋体" w:hAnsi="宋体" w:eastAsia="宋体" w:cs="宋体"/>
          <w:spacing w:val="5"/>
          <w:sz w:val="21"/>
          <w:szCs w:val="21"/>
        </w:rPr>
        <w:t>某些疾病的死亡率与发病率存在着明显的性别差异，</w:t>
      </w:r>
      <w:r>
        <w:rPr>
          <w:rFonts w:ascii="宋体" w:hAnsi="宋体" w:eastAsia="宋体" w:cs="宋体"/>
          <w:spacing w:val="4"/>
          <w:sz w:val="21"/>
          <w:szCs w:val="21"/>
        </w:rPr>
        <w:t>这种差异与男性、女性的遗传特征、内分</w:t>
      </w:r>
      <w:r>
        <w:rPr>
          <w:rFonts w:ascii="宋体" w:hAnsi="宋体" w:eastAsia="宋体" w:cs="宋体"/>
          <w:sz w:val="21"/>
          <w:szCs w:val="21"/>
        </w:rPr>
        <w:t xml:space="preserve"> </w:t>
      </w:r>
      <w:r>
        <w:rPr>
          <w:rFonts w:ascii="宋体" w:hAnsi="宋体" w:eastAsia="宋体" w:cs="宋体"/>
          <w:spacing w:val="10"/>
          <w:sz w:val="21"/>
          <w:szCs w:val="21"/>
        </w:rPr>
        <w:t>泌代谢、生理解剖特点和内在素质的不同以及</w:t>
      </w:r>
      <w:r>
        <w:rPr>
          <w:rFonts w:ascii="宋体" w:hAnsi="宋体" w:eastAsia="宋体" w:cs="宋体"/>
          <w:spacing w:val="9"/>
          <w:sz w:val="21"/>
          <w:szCs w:val="21"/>
        </w:rPr>
        <w:t>致病因素暴露的特点有关。这些因素影响了人体对</w:t>
      </w:r>
    </w:p>
    <w:p w14:paraId="5977394A">
      <w:pPr>
        <w:spacing w:line="350" w:lineRule="auto"/>
        <w:rPr>
          <w:rFonts w:ascii="宋体" w:hAnsi="宋体" w:eastAsia="宋体" w:cs="宋体"/>
          <w:sz w:val="21"/>
          <w:szCs w:val="21"/>
        </w:rPr>
        <w:sectPr>
          <w:footerReference r:id="rId51" w:type="default"/>
          <w:pgSz w:w="11900" w:h="16820"/>
          <w:pgMar w:top="400" w:right="744" w:bottom="906" w:left="1289" w:header="0" w:footer="717" w:gutter="0"/>
          <w:cols w:space="720" w:num="1"/>
        </w:sectPr>
      </w:pPr>
    </w:p>
    <w:p w14:paraId="32DEC006">
      <w:pPr>
        <w:pStyle w:val="2"/>
        <w:spacing w:before="266" w:line="221" w:lineRule="auto"/>
        <w:ind w:left="689"/>
        <w:rPr>
          <w:sz w:val="20"/>
          <w:szCs w:val="20"/>
        </w:rPr>
      </w:pPr>
      <w:bookmarkStart w:id="46" w:name="bookmark414"/>
      <w:bookmarkEnd w:id="46"/>
      <w:r>
        <w:rPr>
          <w:spacing w:val="-12"/>
          <w:sz w:val="20"/>
          <w:szCs w:val="20"/>
        </w:rPr>
        <w:t>第二章疾病的分布</w:t>
      </w:r>
    </w:p>
    <w:p w14:paraId="399A1923">
      <w:pPr>
        <w:spacing w:line="302" w:lineRule="auto"/>
        <w:rPr>
          <w:rFonts w:ascii="Arial"/>
          <w:sz w:val="21"/>
        </w:rPr>
      </w:pPr>
    </w:p>
    <w:p w14:paraId="2EEAA333">
      <w:pPr>
        <w:spacing w:line="302" w:lineRule="auto"/>
        <w:rPr>
          <w:rFonts w:ascii="Arial"/>
          <w:sz w:val="21"/>
        </w:rPr>
      </w:pPr>
    </w:p>
    <w:p w14:paraId="799132BD">
      <w:pPr>
        <w:spacing w:before="65" w:line="333" w:lineRule="auto"/>
        <w:ind w:left="689" w:right="91"/>
        <w:jc w:val="both"/>
        <w:rPr>
          <w:rFonts w:ascii="宋体" w:hAnsi="宋体" w:eastAsia="宋体" w:cs="宋体"/>
          <w:sz w:val="20"/>
          <w:szCs w:val="20"/>
        </w:rPr>
      </w:pPr>
      <w:r>
        <w:rPr>
          <w:rFonts w:ascii="宋体" w:hAnsi="宋体" w:eastAsia="宋体" w:cs="宋体"/>
          <w:spacing w:val="5"/>
          <w:sz w:val="20"/>
          <w:szCs w:val="20"/>
        </w:rPr>
        <w:t>疾病的易感性，如在同年龄组中，绝经前女性患心脏病的</w:t>
      </w:r>
      <w:r>
        <w:rPr>
          <w:rFonts w:ascii="宋体" w:hAnsi="宋体" w:eastAsia="宋体" w:cs="宋体"/>
          <w:spacing w:val="4"/>
          <w:sz w:val="20"/>
          <w:szCs w:val="20"/>
        </w:rPr>
        <w:t>概率低于男性，这与绝经前女性具有较高</w:t>
      </w:r>
      <w:r>
        <w:rPr>
          <w:rFonts w:ascii="宋体" w:hAnsi="宋体" w:eastAsia="宋体" w:cs="宋体"/>
          <w:sz w:val="20"/>
          <w:szCs w:val="20"/>
        </w:rPr>
        <w:t xml:space="preserve"> </w:t>
      </w:r>
      <w:r>
        <w:rPr>
          <w:rFonts w:ascii="宋体" w:hAnsi="宋体" w:eastAsia="宋体" w:cs="宋体"/>
          <w:spacing w:val="10"/>
          <w:sz w:val="20"/>
          <w:szCs w:val="20"/>
        </w:rPr>
        <w:t>的雌激素水平有关。大多数疾病发生率的性</w:t>
      </w:r>
      <w:r>
        <w:rPr>
          <w:rFonts w:ascii="宋体" w:hAnsi="宋体" w:eastAsia="宋体" w:cs="宋体"/>
          <w:spacing w:val="9"/>
          <w:sz w:val="20"/>
          <w:szCs w:val="20"/>
        </w:rPr>
        <w:t>别差异与暴露机会和暴露水平有关，如肺癌在男性群</w:t>
      </w:r>
      <w:r>
        <w:rPr>
          <w:rFonts w:ascii="宋体" w:hAnsi="宋体" w:eastAsia="宋体" w:cs="宋体"/>
          <w:sz w:val="20"/>
          <w:szCs w:val="20"/>
        </w:rPr>
        <w:t xml:space="preserve"> </w:t>
      </w:r>
      <w:r>
        <w:rPr>
          <w:rFonts w:ascii="宋体" w:hAnsi="宋体" w:eastAsia="宋体" w:cs="宋体"/>
          <w:spacing w:val="5"/>
          <w:sz w:val="20"/>
          <w:szCs w:val="20"/>
        </w:rPr>
        <w:t>体更高发，这可能与男性群体较女性群体具有更高</w:t>
      </w:r>
      <w:r>
        <w:rPr>
          <w:rFonts w:ascii="宋体" w:hAnsi="宋体" w:eastAsia="宋体" w:cs="宋体"/>
          <w:spacing w:val="4"/>
          <w:sz w:val="20"/>
          <w:szCs w:val="20"/>
        </w:rPr>
        <w:t>的吸烟累积暴露风险有关。</w:t>
      </w:r>
    </w:p>
    <w:p w14:paraId="78891590">
      <w:pPr>
        <w:spacing w:before="17" w:line="333" w:lineRule="auto"/>
        <w:ind w:left="689" w:firstLine="430"/>
        <w:jc w:val="both"/>
        <w:rPr>
          <w:rFonts w:ascii="宋体" w:hAnsi="宋体" w:eastAsia="宋体" w:cs="宋体"/>
          <w:sz w:val="20"/>
          <w:szCs w:val="20"/>
        </w:rPr>
      </w:pPr>
      <w:r>
        <w:rPr>
          <w:rFonts w:ascii="宋体" w:hAnsi="宋体" w:eastAsia="宋体" w:cs="宋体"/>
          <w:spacing w:val="11"/>
          <w:sz w:val="20"/>
          <w:szCs w:val="20"/>
        </w:rPr>
        <w:t>表2-3展示的是我国1990年与2016年几种主要心血管疾病的死亡及变化情况，</w:t>
      </w:r>
      <w:r>
        <w:rPr>
          <w:rFonts w:ascii="宋体" w:hAnsi="宋体" w:eastAsia="宋体" w:cs="宋体"/>
          <w:spacing w:val="10"/>
          <w:sz w:val="20"/>
          <w:szCs w:val="20"/>
        </w:rPr>
        <w:t>由表可见，除</w:t>
      </w:r>
      <w:r>
        <w:rPr>
          <w:rFonts w:ascii="宋体" w:hAnsi="宋体" w:eastAsia="宋体" w:cs="宋体"/>
          <w:sz w:val="20"/>
          <w:szCs w:val="20"/>
        </w:rPr>
        <w:t xml:space="preserve"> </w:t>
      </w:r>
      <w:r>
        <w:rPr>
          <w:rFonts w:ascii="宋体" w:hAnsi="宋体" w:eastAsia="宋体" w:cs="宋体"/>
          <w:spacing w:val="4"/>
          <w:sz w:val="20"/>
          <w:szCs w:val="20"/>
        </w:rPr>
        <w:t xml:space="preserve">风湿性心脏病外，1990年及2016年我国人群缺血性心脏病、缺血性脑卒中、出血性脑卒中的标化死  </w:t>
      </w:r>
      <w:r>
        <w:rPr>
          <w:rFonts w:ascii="宋体" w:hAnsi="宋体" w:eastAsia="宋体" w:cs="宋体"/>
          <w:spacing w:val="11"/>
          <w:sz w:val="20"/>
          <w:szCs w:val="20"/>
        </w:rPr>
        <w:t>亡率均是男性高于女性。与1990年相比，2016年我国人群</w:t>
      </w:r>
      <w:r>
        <w:rPr>
          <w:rFonts w:ascii="宋体" w:hAnsi="宋体" w:eastAsia="宋体" w:cs="宋体"/>
          <w:spacing w:val="10"/>
          <w:sz w:val="20"/>
          <w:szCs w:val="20"/>
        </w:rPr>
        <w:t>缺血性心脏病的标化死亡率有所升高，</w:t>
      </w:r>
      <w:r>
        <w:rPr>
          <w:rFonts w:ascii="宋体" w:hAnsi="宋体" w:eastAsia="宋体" w:cs="宋体"/>
          <w:sz w:val="20"/>
          <w:szCs w:val="20"/>
        </w:rPr>
        <w:t xml:space="preserve"> </w:t>
      </w:r>
      <w:r>
        <w:rPr>
          <w:rFonts w:ascii="宋体" w:hAnsi="宋体" w:eastAsia="宋体" w:cs="宋体"/>
          <w:spacing w:val="8"/>
          <w:sz w:val="20"/>
          <w:szCs w:val="20"/>
        </w:rPr>
        <w:t>男性增加了33.0%,女性增加了15.7%,男性更为明显；而风湿性心脏病、缺血性脑卒中、出血性脑</w:t>
      </w:r>
      <w:r>
        <w:rPr>
          <w:rFonts w:ascii="宋体" w:hAnsi="宋体" w:eastAsia="宋体" w:cs="宋体"/>
          <w:spacing w:val="7"/>
          <w:sz w:val="20"/>
          <w:szCs w:val="20"/>
        </w:rPr>
        <w:t xml:space="preserve">  </w:t>
      </w:r>
      <w:r>
        <w:rPr>
          <w:rFonts w:ascii="宋体" w:hAnsi="宋体" w:eastAsia="宋体" w:cs="宋体"/>
          <w:spacing w:val="10"/>
          <w:sz w:val="20"/>
          <w:szCs w:val="20"/>
        </w:rPr>
        <w:t>卒中的标化死亡率均有所下降，女性则更为明显。数据</w:t>
      </w:r>
      <w:r>
        <w:rPr>
          <w:rFonts w:ascii="宋体" w:hAnsi="宋体" w:eastAsia="宋体" w:cs="宋体"/>
          <w:spacing w:val="9"/>
          <w:sz w:val="20"/>
          <w:szCs w:val="20"/>
        </w:rPr>
        <w:t>结果反映了我国缺血性心脏病的防制工作</w:t>
      </w:r>
      <w:r>
        <w:rPr>
          <w:rFonts w:ascii="宋体" w:hAnsi="宋体" w:eastAsia="宋体" w:cs="宋体"/>
          <w:sz w:val="20"/>
          <w:szCs w:val="20"/>
        </w:rPr>
        <w:t xml:space="preserve">  </w:t>
      </w:r>
      <w:r>
        <w:rPr>
          <w:rFonts w:ascii="宋体" w:hAnsi="宋体" w:eastAsia="宋体" w:cs="宋体"/>
          <w:spacing w:val="3"/>
          <w:sz w:val="20"/>
          <w:szCs w:val="20"/>
        </w:rPr>
        <w:t>尤其在男性人群中仍需加强。</w:t>
      </w:r>
    </w:p>
    <w:p w14:paraId="0901D2BE">
      <w:pPr>
        <w:spacing w:before="225" w:line="219" w:lineRule="auto"/>
        <w:ind w:left="2060"/>
        <w:rPr>
          <w:rFonts w:ascii="宋体" w:hAnsi="宋体" w:eastAsia="宋体" w:cs="宋体"/>
          <w:sz w:val="19"/>
          <w:szCs w:val="19"/>
        </w:rPr>
      </w:pPr>
      <w:r>
        <w:rPr>
          <w:rFonts w:ascii="宋体" w:hAnsi="宋体" w:eastAsia="宋体" w:cs="宋体"/>
          <w:sz w:val="19"/>
          <w:szCs w:val="19"/>
        </w:rPr>
        <w:t>表2-31990年与2016年我国不同性别人群心血管疾病标化</w:t>
      </w:r>
      <w:r>
        <w:rPr>
          <w:rFonts w:ascii="宋体" w:hAnsi="宋体" w:eastAsia="宋体" w:cs="宋体"/>
          <w:spacing w:val="-1"/>
          <w:sz w:val="19"/>
          <w:szCs w:val="19"/>
        </w:rPr>
        <w:t>死亡率及其变化率</w:t>
      </w:r>
    </w:p>
    <w:p w14:paraId="357653D6">
      <w:pPr>
        <w:spacing w:line="31" w:lineRule="exact"/>
      </w:pPr>
    </w:p>
    <w:tbl>
      <w:tblPr>
        <w:tblStyle w:val="5"/>
        <w:tblW w:w="8700" w:type="dxa"/>
        <w:tblInd w:w="799"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0" w:type="dxa"/>
          <w:left w:w="0" w:type="dxa"/>
          <w:bottom w:w="0" w:type="dxa"/>
          <w:right w:w="0" w:type="dxa"/>
        </w:tblCellMar>
      </w:tblPr>
      <w:tblGrid>
        <w:gridCol w:w="1650"/>
        <w:gridCol w:w="1140"/>
        <w:gridCol w:w="1170"/>
        <w:gridCol w:w="1230"/>
        <w:gridCol w:w="1220"/>
        <w:gridCol w:w="1150"/>
        <w:gridCol w:w="1140"/>
      </w:tblGrid>
      <w:tr w14:paraId="01B88BE2">
        <w:trPr>
          <w:trHeight w:val="354" w:hRule="atLeast"/>
        </w:trPr>
        <w:tc>
          <w:tcPr>
            <w:tcW w:w="1650" w:type="dxa"/>
            <w:vMerge w:val="restart"/>
            <w:tcBorders>
              <w:top w:val="single" w:color="000000" w:sz="4" w:space="0"/>
              <w:bottom w:val="nil"/>
            </w:tcBorders>
            <w:shd w:val="clear" w:color="auto" w:fill="BECDC5"/>
            <w:vAlign w:val="top"/>
          </w:tcPr>
          <w:p w14:paraId="05E7C0B7">
            <w:pPr>
              <w:pStyle w:val="6"/>
              <w:spacing w:before="273" w:line="220" w:lineRule="auto"/>
              <w:ind w:left="630"/>
              <w:rPr>
                <w:sz w:val="19"/>
                <w:szCs w:val="19"/>
              </w:rPr>
            </w:pPr>
            <w:r>
              <w:rPr>
                <w:spacing w:val="-2"/>
                <w:sz w:val="19"/>
                <w:szCs w:val="19"/>
              </w:rPr>
              <w:t>疾病</w:t>
            </w:r>
          </w:p>
        </w:tc>
        <w:tc>
          <w:tcPr>
            <w:tcW w:w="1140" w:type="dxa"/>
            <w:vMerge w:val="restart"/>
            <w:tcBorders>
              <w:top w:val="single" w:color="000000" w:sz="4" w:space="0"/>
              <w:bottom w:val="nil"/>
            </w:tcBorders>
            <w:shd w:val="clear" w:color="auto" w:fill="C2CBC5"/>
            <w:vAlign w:val="top"/>
          </w:tcPr>
          <w:p w14:paraId="467D460A">
            <w:pPr>
              <w:pStyle w:val="6"/>
              <w:spacing w:before="273" w:line="220" w:lineRule="auto"/>
              <w:ind w:left="380"/>
              <w:rPr>
                <w:sz w:val="19"/>
                <w:szCs w:val="19"/>
              </w:rPr>
            </w:pPr>
            <w:r>
              <w:rPr>
                <w:spacing w:val="7"/>
                <w:sz w:val="19"/>
                <w:szCs w:val="19"/>
              </w:rPr>
              <w:t>性别</w:t>
            </w:r>
          </w:p>
        </w:tc>
        <w:tc>
          <w:tcPr>
            <w:tcW w:w="2400" w:type="dxa"/>
            <w:gridSpan w:val="2"/>
            <w:tcBorders>
              <w:top w:val="single" w:color="000000" w:sz="4" w:space="0"/>
            </w:tcBorders>
            <w:shd w:val="clear" w:color="auto" w:fill="C1CDC4"/>
            <w:vAlign w:val="top"/>
          </w:tcPr>
          <w:p w14:paraId="65D92348">
            <w:pPr>
              <w:pStyle w:val="6"/>
              <w:spacing w:before="83" w:line="219" w:lineRule="auto"/>
              <w:ind w:left="390"/>
              <w:rPr>
                <w:sz w:val="19"/>
                <w:szCs w:val="19"/>
              </w:rPr>
            </w:pPr>
            <w:r>
              <w:rPr>
                <w:spacing w:val="11"/>
                <w:sz w:val="19"/>
                <w:szCs w:val="19"/>
              </w:rPr>
              <w:t>死亡人数/(×10³)</w:t>
            </w:r>
          </w:p>
        </w:tc>
        <w:tc>
          <w:tcPr>
            <w:tcW w:w="2370" w:type="dxa"/>
            <w:gridSpan w:val="2"/>
            <w:tcBorders>
              <w:top w:val="single" w:color="000000" w:sz="4" w:space="0"/>
            </w:tcBorders>
            <w:shd w:val="clear" w:color="auto" w:fill="C8CFC7"/>
            <w:vAlign w:val="top"/>
          </w:tcPr>
          <w:p w14:paraId="39E5040F">
            <w:pPr>
              <w:pStyle w:val="6"/>
              <w:spacing w:before="83" w:line="219" w:lineRule="auto"/>
              <w:ind w:left="330"/>
              <w:rPr>
                <w:sz w:val="19"/>
                <w:szCs w:val="19"/>
              </w:rPr>
            </w:pPr>
            <w:r>
              <w:rPr>
                <w:spacing w:val="3"/>
                <w:sz w:val="19"/>
                <w:szCs w:val="19"/>
              </w:rPr>
              <w:t>标化死亡率(1/10万)</w:t>
            </w:r>
          </w:p>
        </w:tc>
        <w:tc>
          <w:tcPr>
            <w:tcW w:w="1140" w:type="dxa"/>
            <w:vMerge w:val="restart"/>
            <w:tcBorders>
              <w:top w:val="single" w:color="000000" w:sz="4" w:space="0"/>
              <w:bottom w:val="nil"/>
            </w:tcBorders>
            <w:shd w:val="clear" w:color="auto" w:fill="B7BBAA"/>
            <w:vAlign w:val="top"/>
          </w:tcPr>
          <w:p w14:paraId="6A309E0E">
            <w:pPr>
              <w:pStyle w:val="6"/>
              <w:spacing w:before="272" w:line="219" w:lineRule="auto"/>
              <w:ind w:left="190"/>
              <w:rPr>
                <w:sz w:val="19"/>
                <w:szCs w:val="19"/>
              </w:rPr>
            </w:pPr>
            <w:r>
              <w:rPr>
                <w:spacing w:val="-2"/>
                <w:sz w:val="19"/>
                <w:szCs w:val="19"/>
              </w:rPr>
              <w:t>变化率1%</w:t>
            </w:r>
          </w:p>
        </w:tc>
      </w:tr>
      <w:tr w14:paraId="3CA9DE87">
        <w:trPr>
          <w:trHeight w:val="379" w:hRule="atLeast"/>
        </w:trPr>
        <w:tc>
          <w:tcPr>
            <w:tcW w:w="1650" w:type="dxa"/>
            <w:vMerge w:val="continue"/>
            <w:tcBorders>
              <w:top w:val="nil"/>
              <w:bottom w:val="single" w:color="000000" w:sz="4" w:space="0"/>
            </w:tcBorders>
            <w:vAlign w:val="top"/>
          </w:tcPr>
          <w:p w14:paraId="7F0D9C52">
            <w:pPr>
              <w:rPr>
                <w:rFonts w:ascii="Arial"/>
                <w:sz w:val="21"/>
              </w:rPr>
            </w:pPr>
          </w:p>
        </w:tc>
        <w:tc>
          <w:tcPr>
            <w:tcW w:w="1140" w:type="dxa"/>
            <w:vMerge w:val="continue"/>
            <w:tcBorders>
              <w:top w:val="nil"/>
              <w:bottom w:val="single" w:color="000000" w:sz="4" w:space="0"/>
            </w:tcBorders>
            <w:vAlign w:val="top"/>
          </w:tcPr>
          <w:p w14:paraId="6BE81DD9">
            <w:pPr>
              <w:rPr>
                <w:rFonts w:ascii="Arial"/>
                <w:sz w:val="21"/>
              </w:rPr>
            </w:pPr>
          </w:p>
        </w:tc>
        <w:tc>
          <w:tcPr>
            <w:tcW w:w="1170" w:type="dxa"/>
            <w:tcBorders>
              <w:bottom w:val="single" w:color="000000" w:sz="4" w:space="0"/>
            </w:tcBorders>
            <w:shd w:val="clear" w:color="auto" w:fill="BEC8C1"/>
            <w:vAlign w:val="top"/>
          </w:tcPr>
          <w:p w14:paraId="39AA11A0">
            <w:pPr>
              <w:pStyle w:val="6"/>
              <w:spacing w:before="98" w:line="219" w:lineRule="auto"/>
              <w:ind w:left="300"/>
              <w:rPr>
                <w:sz w:val="19"/>
                <w:szCs w:val="19"/>
              </w:rPr>
            </w:pPr>
            <w:r>
              <w:rPr>
                <w:spacing w:val="1"/>
                <w:sz w:val="19"/>
                <w:szCs w:val="19"/>
              </w:rPr>
              <w:t>1990年</w:t>
            </w:r>
          </w:p>
        </w:tc>
        <w:tc>
          <w:tcPr>
            <w:tcW w:w="1230" w:type="dxa"/>
            <w:tcBorders>
              <w:bottom w:val="single" w:color="000000" w:sz="4" w:space="0"/>
            </w:tcBorders>
            <w:shd w:val="clear" w:color="auto" w:fill="BFC6C0"/>
            <w:vAlign w:val="top"/>
          </w:tcPr>
          <w:p w14:paraId="1AE3311F">
            <w:pPr>
              <w:pStyle w:val="6"/>
              <w:spacing w:before="98" w:line="219" w:lineRule="auto"/>
              <w:ind w:left="330"/>
              <w:rPr>
                <w:sz w:val="19"/>
                <w:szCs w:val="19"/>
              </w:rPr>
            </w:pPr>
            <w:r>
              <w:rPr>
                <w:spacing w:val="-2"/>
                <w:sz w:val="19"/>
                <w:szCs w:val="19"/>
              </w:rPr>
              <w:t>2016年</w:t>
            </w:r>
          </w:p>
        </w:tc>
        <w:tc>
          <w:tcPr>
            <w:tcW w:w="1220" w:type="dxa"/>
            <w:tcBorders>
              <w:bottom w:val="single" w:color="000000" w:sz="4" w:space="0"/>
            </w:tcBorders>
            <w:shd w:val="clear" w:color="auto" w:fill="BFC7C0"/>
            <w:vAlign w:val="top"/>
          </w:tcPr>
          <w:p w14:paraId="23F2AFAC">
            <w:pPr>
              <w:pStyle w:val="6"/>
              <w:spacing w:before="98" w:line="219" w:lineRule="auto"/>
              <w:ind w:left="320"/>
              <w:rPr>
                <w:sz w:val="19"/>
                <w:szCs w:val="19"/>
              </w:rPr>
            </w:pPr>
            <w:r>
              <w:rPr>
                <w:spacing w:val="1"/>
                <w:sz w:val="19"/>
                <w:szCs w:val="19"/>
              </w:rPr>
              <w:t>1990年</w:t>
            </w:r>
          </w:p>
        </w:tc>
        <w:tc>
          <w:tcPr>
            <w:tcW w:w="1150" w:type="dxa"/>
            <w:tcBorders>
              <w:bottom w:val="single" w:color="000000" w:sz="4" w:space="0"/>
            </w:tcBorders>
            <w:shd w:val="clear" w:color="auto" w:fill="B7BAAF"/>
            <w:vAlign w:val="top"/>
          </w:tcPr>
          <w:p w14:paraId="2779C38E">
            <w:pPr>
              <w:pStyle w:val="6"/>
              <w:spacing w:before="98" w:line="219" w:lineRule="auto"/>
              <w:ind w:left="290"/>
              <w:rPr>
                <w:sz w:val="19"/>
                <w:szCs w:val="19"/>
              </w:rPr>
            </w:pPr>
            <w:r>
              <w:rPr>
                <w:spacing w:val="-2"/>
                <w:sz w:val="19"/>
                <w:szCs w:val="19"/>
              </w:rPr>
              <w:t>2016年</w:t>
            </w:r>
          </w:p>
        </w:tc>
        <w:tc>
          <w:tcPr>
            <w:tcW w:w="1140" w:type="dxa"/>
            <w:vMerge w:val="continue"/>
            <w:tcBorders>
              <w:top w:val="nil"/>
              <w:bottom w:val="single" w:color="000000" w:sz="4" w:space="0"/>
            </w:tcBorders>
            <w:vAlign w:val="top"/>
          </w:tcPr>
          <w:p w14:paraId="49E72D9C">
            <w:pPr>
              <w:rPr>
                <w:rFonts w:ascii="Arial"/>
                <w:sz w:val="21"/>
              </w:rPr>
            </w:pPr>
          </w:p>
        </w:tc>
      </w:tr>
      <w:tr w14:paraId="32CE108B">
        <w:trPr>
          <w:trHeight w:val="1178" w:hRule="atLeast"/>
        </w:trPr>
        <w:tc>
          <w:tcPr>
            <w:tcW w:w="1650" w:type="dxa"/>
            <w:tcBorders>
              <w:top w:val="single" w:color="000000" w:sz="4" w:space="0"/>
              <w:bottom w:val="single" w:color="000000" w:sz="4" w:space="0"/>
            </w:tcBorders>
            <w:vAlign w:val="top"/>
          </w:tcPr>
          <w:p w14:paraId="2BB6F5E9">
            <w:pPr>
              <w:spacing w:line="436" w:lineRule="auto"/>
              <w:rPr>
                <w:rFonts w:ascii="Arial"/>
                <w:sz w:val="21"/>
              </w:rPr>
            </w:pPr>
          </w:p>
          <w:p w14:paraId="263E5B54">
            <w:pPr>
              <w:pStyle w:val="6"/>
              <w:spacing w:before="61" w:line="220" w:lineRule="auto"/>
              <w:ind w:left="250"/>
              <w:rPr>
                <w:sz w:val="19"/>
                <w:szCs w:val="19"/>
              </w:rPr>
            </w:pPr>
            <w:r>
              <w:rPr>
                <w:spacing w:val="2"/>
                <w:sz w:val="19"/>
                <w:szCs w:val="19"/>
              </w:rPr>
              <w:t>风湿性心脏病</w:t>
            </w:r>
          </w:p>
        </w:tc>
        <w:tc>
          <w:tcPr>
            <w:tcW w:w="1140" w:type="dxa"/>
            <w:tcBorders>
              <w:top w:val="single" w:color="000000" w:sz="4" w:space="0"/>
              <w:bottom w:val="single" w:color="000000" w:sz="4" w:space="0"/>
            </w:tcBorders>
            <w:vAlign w:val="top"/>
          </w:tcPr>
          <w:p w14:paraId="22DC6BE1">
            <w:pPr>
              <w:pStyle w:val="6"/>
              <w:spacing w:before="90" w:line="220" w:lineRule="auto"/>
              <w:ind w:left="380"/>
              <w:rPr>
                <w:sz w:val="19"/>
                <w:szCs w:val="19"/>
              </w:rPr>
            </w:pPr>
            <w:r>
              <w:rPr>
                <w:spacing w:val="3"/>
                <w:sz w:val="19"/>
                <w:szCs w:val="19"/>
              </w:rPr>
              <w:t>男性</w:t>
            </w:r>
          </w:p>
          <w:p w14:paraId="323909C9">
            <w:pPr>
              <w:pStyle w:val="6"/>
              <w:spacing w:before="162" w:line="219" w:lineRule="auto"/>
              <w:ind w:left="380"/>
              <w:rPr>
                <w:sz w:val="19"/>
                <w:szCs w:val="19"/>
              </w:rPr>
            </w:pPr>
            <w:r>
              <w:rPr>
                <w:spacing w:val="3"/>
                <w:sz w:val="19"/>
                <w:szCs w:val="19"/>
              </w:rPr>
              <w:t>女性</w:t>
            </w:r>
          </w:p>
          <w:p w14:paraId="760D3120">
            <w:pPr>
              <w:pStyle w:val="6"/>
              <w:spacing w:before="185" w:line="221" w:lineRule="auto"/>
              <w:ind w:left="380"/>
              <w:rPr>
                <w:sz w:val="19"/>
                <w:szCs w:val="19"/>
              </w:rPr>
            </w:pPr>
            <w:r>
              <w:rPr>
                <w:spacing w:val="-3"/>
                <w:sz w:val="19"/>
                <w:szCs w:val="19"/>
              </w:rPr>
              <w:t>合计</w:t>
            </w:r>
          </w:p>
        </w:tc>
        <w:tc>
          <w:tcPr>
            <w:tcW w:w="1170" w:type="dxa"/>
            <w:tcBorders>
              <w:top w:val="single" w:color="000000" w:sz="4" w:space="0"/>
              <w:bottom w:val="single" w:color="000000" w:sz="4" w:space="0"/>
            </w:tcBorders>
            <w:vAlign w:val="top"/>
          </w:tcPr>
          <w:p w14:paraId="50C6C9B2">
            <w:pPr>
              <w:pStyle w:val="6"/>
              <w:spacing w:before="108"/>
              <w:ind w:left="490"/>
              <w:rPr>
                <w:sz w:val="19"/>
                <w:szCs w:val="19"/>
              </w:rPr>
            </w:pPr>
            <w:r>
              <w:rPr>
                <w:spacing w:val="-3"/>
                <w:sz w:val="19"/>
                <w:szCs w:val="19"/>
              </w:rPr>
              <w:t>52</w:t>
            </w:r>
          </w:p>
          <w:p w14:paraId="0F54EF6E">
            <w:pPr>
              <w:pStyle w:val="6"/>
              <w:spacing w:before="142"/>
              <w:ind w:left="490"/>
              <w:rPr>
                <w:sz w:val="19"/>
                <w:szCs w:val="19"/>
              </w:rPr>
            </w:pPr>
            <w:r>
              <w:rPr>
                <w:spacing w:val="-3"/>
                <w:sz w:val="19"/>
                <w:szCs w:val="19"/>
              </w:rPr>
              <w:t>85</w:t>
            </w:r>
          </w:p>
          <w:p w14:paraId="34F9B3D5">
            <w:pPr>
              <w:pStyle w:val="6"/>
              <w:spacing w:before="163"/>
              <w:ind w:left="440"/>
              <w:rPr>
                <w:sz w:val="19"/>
                <w:szCs w:val="19"/>
              </w:rPr>
            </w:pPr>
            <w:r>
              <w:rPr>
                <w:spacing w:val="-5"/>
                <w:sz w:val="19"/>
                <w:szCs w:val="19"/>
              </w:rPr>
              <w:t>137</w:t>
            </w:r>
          </w:p>
        </w:tc>
        <w:tc>
          <w:tcPr>
            <w:tcW w:w="1230" w:type="dxa"/>
            <w:tcBorders>
              <w:top w:val="single" w:color="000000" w:sz="4" w:space="0"/>
              <w:bottom w:val="single" w:color="000000" w:sz="4" w:space="0"/>
            </w:tcBorders>
            <w:vAlign w:val="top"/>
          </w:tcPr>
          <w:p w14:paraId="5B2D2BB3">
            <w:pPr>
              <w:pStyle w:val="6"/>
              <w:spacing w:before="108"/>
              <w:ind w:left="520"/>
              <w:rPr>
                <w:sz w:val="19"/>
                <w:szCs w:val="19"/>
              </w:rPr>
            </w:pPr>
            <w:r>
              <w:rPr>
                <w:spacing w:val="-3"/>
                <w:sz w:val="19"/>
                <w:szCs w:val="19"/>
              </w:rPr>
              <w:t>31</w:t>
            </w:r>
          </w:p>
          <w:p w14:paraId="0692300B">
            <w:pPr>
              <w:pStyle w:val="6"/>
              <w:spacing w:before="142"/>
              <w:ind w:left="520"/>
              <w:rPr>
                <w:sz w:val="19"/>
                <w:szCs w:val="19"/>
              </w:rPr>
            </w:pPr>
            <w:r>
              <w:rPr>
                <w:spacing w:val="-2"/>
                <w:sz w:val="19"/>
                <w:szCs w:val="19"/>
              </w:rPr>
              <w:t>40</w:t>
            </w:r>
          </w:p>
          <w:p w14:paraId="2BA5E7CD">
            <w:pPr>
              <w:pStyle w:val="6"/>
              <w:spacing w:before="163"/>
              <w:ind w:left="520"/>
              <w:rPr>
                <w:sz w:val="19"/>
                <w:szCs w:val="19"/>
              </w:rPr>
            </w:pPr>
            <w:r>
              <w:rPr>
                <w:spacing w:val="-3"/>
                <w:sz w:val="19"/>
                <w:szCs w:val="19"/>
              </w:rPr>
              <w:t>71</w:t>
            </w:r>
          </w:p>
        </w:tc>
        <w:tc>
          <w:tcPr>
            <w:tcW w:w="1220" w:type="dxa"/>
            <w:tcBorders>
              <w:top w:val="single" w:color="000000" w:sz="4" w:space="0"/>
              <w:bottom w:val="single" w:color="000000" w:sz="4" w:space="0"/>
            </w:tcBorders>
            <w:vAlign w:val="top"/>
          </w:tcPr>
          <w:p w14:paraId="7E9796C3">
            <w:pPr>
              <w:pStyle w:val="6"/>
              <w:spacing w:before="108" w:line="239" w:lineRule="auto"/>
              <w:ind w:left="420"/>
              <w:rPr>
                <w:sz w:val="19"/>
                <w:szCs w:val="19"/>
              </w:rPr>
            </w:pPr>
            <w:r>
              <w:rPr>
                <w:spacing w:val="-5"/>
                <w:sz w:val="19"/>
                <w:szCs w:val="19"/>
              </w:rPr>
              <w:t>16.8</w:t>
            </w:r>
          </w:p>
          <w:p w14:paraId="0EEF4F29">
            <w:pPr>
              <w:pStyle w:val="6"/>
              <w:spacing w:before="143" w:line="239" w:lineRule="auto"/>
              <w:ind w:left="420"/>
              <w:rPr>
                <w:sz w:val="19"/>
                <w:szCs w:val="19"/>
              </w:rPr>
            </w:pPr>
            <w:r>
              <w:rPr>
                <w:spacing w:val="-2"/>
                <w:sz w:val="19"/>
                <w:szCs w:val="19"/>
              </w:rPr>
              <w:t>24.0</w:t>
            </w:r>
          </w:p>
          <w:p w14:paraId="6830C74F">
            <w:pPr>
              <w:pStyle w:val="6"/>
              <w:spacing w:before="164" w:line="239" w:lineRule="auto"/>
              <w:ind w:left="420"/>
              <w:rPr>
                <w:sz w:val="19"/>
                <w:szCs w:val="19"/>
              </w:rPr>
            </w:pPr>
            <w:r>
              <w:rPr>
                <w:spacing w:val="-2"/>
                <w:sz w:val="19"/>
                <w:szCs w:val="19"/>
              </w:rPr>
              <w:t>20.6</w:t>
            </w:r>
          </w:p>
        </w:tc>
        <w:tc>
          <w:tcPr>
            <w:tcW w:w="1150" w:type="dxa"/>
            <w:tcBorders>
              <w:top w:val="single" w:color="000000" w:sz="4" w:space="0"/>
              <w:bottom w:val="single" w:color="000000" w:sz="4" w:space="0"/>
            </w:tcBorders>
            <w:vAlign w:val="top"/>
          </w:tcPr>
          <w:p w14:paraId="587CD9FC">
            <w:pPr>
              <w:pStyle w:val="6"/>
              <w:spacing w:before="108" w:line="239" w:lineRule="auto"/>
              <w:ind w:left="430"/>
              <w:rPr>
                <w:sz w:val="19"/>
                <w:szCs w:val="19"/>
              </w:rPr>
            </w:pPr>
            <w:r>
              <w:rPr>
                <w:spacing w:val="-2"/>
                <w:sz w:val="19"/>
                <w:szCs w:val="19"/>
              </w:rPr>
              <w:t>4.8</w:t>
            </w:r>
          </w:p>
          <w:p w14:paraId="55F3A6F6">
            <w:pPr>
              <w:pStyle w:val="6"/>
              <w:spacing w:before="143" w:line="239" w:lineRule="auto"/>
              <w:ind w:left="430"/>
              <w:rPr>
                <w:sz w:val="19"/>
                <w:szCs w:val="19"/>
              </w:rPr>
            </w:pPr>
            <w:r>
              <w:rPr>
                <w:spacing w:val="-3"/>
                <w:sz w:val="19"/>
                <w:szCs w:val="19"/>
              </w:rPr>
              <w:t>5.6</w:t>
            </w:r>
          </w:p>
          <w:p w14:paraId="5BC286C3">
            <w:pPr>
              <w:pStyle w:val="6"/>
              <w:spacing w:before="164" w:line="239" w:lineRule="auto"/>
              <w:ind w:left="430"/>
              <w:rPr>
                <w:sz w:val="19"/>
                <w:szCs w:val="19"/>
              </w:rPr>
            </w:pPr>
            <w:r>
              <w:rPr>
                <w:spacing w:val="-3"/>
                <w:sz w:val="19"/>
                <w:szCs w:val="19"/>
              </w:rPr>
              <w:t>5.2</w:t>
            </w:r>
          </w:p>
        </w:tc>
        <w:tc>
          <w:tcPr>
            <w:tcW w:w="1140" w:type="dxa"/>
            <w:tcBorders>
              <w:top w:val="single" w:color="000000" w:sz="4" w:space="0"/>
              <w:bottom w:val="single" w:color="000000" w:sz="4" w:space="0"/>
            </w:tcBorders>
            <w:vAlign w:val="top"/>
          </w:tcPr>
          <w:p w14:paraId="3BFF196C">
            <w:pPr>
              <w:pStyle w:val="6"/>
              <w:spacing w:before="108" w:line="239" w:lineRule="auto"/>
              <w:ind w:left="330"/>
              <w:rPr>
                <w:sz w:val="19"/>
                <w:szCs w:val="19"/>
              </w:rPr>
            </w:pPr>
            <w:r>
              <w:rPr>
                <w:spacing w:val="-1"/>
                <w:sz w:val="19"/>
                <w:szCs w:val="19"/>
              </w:rPr>
              <w:t>-71.4</w:t>
            </w:r>
          </w:p>
          <w:p w14:paraId="07606D24">
            <w:pPr>
              <w:pStyle w:val="6"/>
              <w:spacing w:before="143" w:line="239" w:lineRule="auto"/>
              <w:ind w:left="330"/>
              <w:rPr>
                <w:sz w:val="19"/>
                <w:szCs w:val="19"/>
              </w:rPr>
            </w:pPr>
            <w:r>
              <w:rPr>
                <w:spacing w:val="-1"/>
                <w:sz w:val="19"/>
                <w:szCs w:val="19"/>
              </w:rPr>
              <w:t>-76.7</w:t>
            </w:r>
          </w:p>
          <w:p w14:paraId="09F3EED5">
            <w:pPr>
              <w:pStyle w:val="6"/>
              <w:spacing w:before="164" w:line="239" w:lineRule="auto"/>
              <w:ind w:left="330"/>
              <w:rPr>
                <w:sz w:val="19"/>
                <w:szCs w:val="19"/>
              </w:rPr>
            </w:pPr>
            <w:r>
              <w:rPr>
                <w:spacing w:val="-1"/>
                <w:sz w:val="19"/>
                <w:szCs w:val="19"/>
              </w:rPr>
              <w:t>-74.8</w:t>
            </w:r>
          </w:p>
        </w:tc>
      </w:tr>
      <w:tr w14:paraId="49F476F3">
        <w:trPr>
          <w:trHeight w:val="1178" w:hRule="atLeast"/>
        </w:trPr>
        <w:tc>
          <w:tcPr>
            <w:tcW w:w="1650" w:type="dxa"/>
            <w:tcBorders>
              <w:top w:val="single" w:color="000000" w:sz="4" w:space="0"/>
              <w:bottom w:val="single" w:color="000000" w:sz="4" w:space="0"/>
            </w:tcBorders>
            <w:shd w:val="clear" w:color="auto" w:fill="DCDDE0"/>
            <w:vAlign w:val="top"/>
          </w:tcPr>
          <w:p w14:paraId="2C4B95A4">
            <w:pPr>
              <w:spacing w:line="438" w:lineRule="auto"/>
              <w:rPr>
                <w:rFonts w:ascii="Arial"/>
                <w:sz w:val="21"/>
              </w:rPr>
            </w:pPr>
          </w:p>
          <w:p w14:paraId="73F57873">
            <w:pPr>
              <w:pStyle w:val="6"/>
              <w:spacing w:before="61" w:line="220" w:lineRule="auto"/>
              <w:ind w:left="250"/>
              <w:rPr>
                <w:sz w:val="19"/>
                <w:szCs w:val="19"/>
              </w:rPr>
            </w:pPr>
            <w:r>
              <w:rPr>
                <w:spacing w:val="2"/>
                <w:sz w:val="19"/>
                <w:szCs w:val="19"/>
              </w:rPr>
              <w:t>缺血性心脏病</w:t>
            </w:r>
          </w:p>
        </w:tc>
        <w:tc>
          <w:tcPr>
            <w:tcW w:w="1140" w:type="dxa"/>
            <w:tcBorders>
              <w:top w:val="single" w:color="000000" w:sz="4" w:space="0"/>
              <w:bottom w:val="single" w:color="000000" w:sz="4" w:space="0"/>
            </w:tcBorders>
            <w:shd w:val="clear" w:color="auto" w:fill="DDDCDF"/>
            <w:vAlign w:val="top"/>
          </w:tcPr>
          <w:p w14:paraId="54D70834">
            <w:pPr>
              <w:pStyle w:val="6"/>
              <w:spacing w:before="102" w:line="220" w:lineRule="auto"/>
              <w:ind w:left="380"/>
              <w:rPr>
                <w:sz w:val="19"/>
                <w:szCs w:val="19"/>
              </w:rPr>
            </w:pPr>
            <w:r>
              <w:rPr>
                <w:spacing w:val="3"/>
                <w:sz w:val="19"/>
                <w:szCs w:val="19"/>
              </w:rPr>
              <w:t>男性</w:t>
            </w:r>
          </w:p>
          <w:p w14:paraId="3F17E502">
            <w:pPr>
              <w:pStyle w:val="6"/>
              <w:spacing w:before="173" w:line="219" w:lineRule="auto"/>
              <w:ind w:left="380"/>
              <w:rPr>
                <w:sz w:val="19"/>
                <w:szCs w:val="19"/>
              </w:rPr>
            </w:pPr>
            <w:r>
              <w:rPr>
                <w:spacing w:val="3"/>
                <w:sz w:val="19"/>
                <w:szCs w:val="19"/>
              </w:rPr>
              <w:t>女性</w:t>
            </w:r>
          </w:p>
          <w:p w14:paraId="4C92216F">
            <w:pPr>
              <w:pStyle w:val="6"/>
              <w:spacing w:before="175" w:line="221" w:lineRule="auto"/>
              <w:ind w:left="380"/>
              <w:rPr>
                <w:sz w:val="19"/>
                <w:szCs w:val="19"/>
              </w:rPr>
            </w:pPr>
            <w:r>
              <w:rPr>
                <w:spacing w:val="-3"/>
                <w:sz w:val="19"/>
                <w:szCs w:val="19"/>
              </w:rPr>
              <w:t>合计</w:t>
            </w:r>
          </w:p>
        </w:tc>
        <w:tc>
          <w:tcPr>
            <w:tcW w:w="1170" w:type="dxa"/>
            <w:tcBorders>
              <w:top w:val="single" w:color="000000" w:sz="4" w:space="0"/>
              <w:bottom w:val="single" w:color="000000" w:sz="4" w:space="0"/>
            </w:tcBorders>
            <w:shd w:val="clear" w:color="auto" w:fill="DCDBDF"/>
            <w:vAlign w:val="top"/>
          </w:tcPr>
          <w:p w14:paraId="0C736D88">
            <w:pPr>
              <w:pStyle w:val="6"/>
              <w:spacing w:before="120"/>
              <w:ind w:left="440"/>
              <w:rPr>
                <w:sz w:val="19"/>
                <w:szCs w:val="19"/>
              </w:rPr>
            </w:pPr>
            <w:r>
              <w:rPr>
                <w:spacing w:val="-3"/>
                <w:sz w:val="19"/>
                <w:szCs w:val="19"/>
              </w:rPr>
              <w:t>325</w:t>
            </w:r>
          </w:p>
          <w:p w14:paraId="4B2C1B09">
            <w:pPr>
              <w:pStyle w:val="6"/>
              <w:spacing w:before="152"/>
              <w:ind w:left="440"/>
              <w:rPr>
                <w:sz w:val="19"/>
                <w:szCs w:val="19"/>
              </w:rPr>
            </w:pPr>
            <w:r>
              <w:rPr>
                <w:spacing w:val="-3"/>
                <w:sz w:val="19"/>
                <w:szCs w:val="19"/>
              </w:rPr>
              <w:t>281</w:t>
            </w:r>
          </w:p>
          <w:p w14:paraId="6CBEC1EB">
            <w:pPr>
              <w:pStyle w:val="6"/>
              <w:spacing w:before="152"/>
              <w:ind w:left="440"/>
              <w:rPr>
                <w:sz w:val="19"/>
                <w:szCs w:val="19"/>
              </w:rPr>
            </w:pPr>
            <w:r>
              <w:rPr>
                <w:spacing w:val="-2"/>
                <w:sz w:val="19"/>
                <w:szCs w:val="19"/>
              </w:rPr>
              <w:t>606</w:t>
            </w:r>
          </w:p>
        </w:tc>
        <w:tc>
          <w:tcPr>
            <w:tcW w:w="1230" w:type="dxa"/>
            <w:tcBorders>
              <w:top w:val="single" w:color="000000" w:sz="4" w:space="0"/>
              <w:bottom w:val="single" w:color="000000" w:sz="4" w:space="0"/>
            </w:tcBorders>
            <w:shd w:val="clear" w:color="auto" w:fill="DCDCDC"/>
            <w:vAlign w:val="top"/>
          </w:tcPr>
          <w:p w14:paraId="7D6ABADE">
            <w:pPr>
              <w:pStyle w:val="6"/>
              <w:spacing w:before="120"/>
              <w:ind w:left="470"/>
              <w:rPr>
                <w:sz w:val="19"/>
                <w:szCs w:val="19"/>
              </w:rPr>
            </w:pPr>
            <w:r>
              <w:rPr>
                <w:spacing w:val="-2"/>
                <w:sz w:val="19"/>
                <w:szCs w:val="19"/>
              </w:rPr>
              <w:t>981</w:t>
            </w:r>
          </w:p>
          <w:p w14:paraId="27AC388A">
            <w:pPr>
              <w:pStyle w:val="6"/>
              <w:spacing w:before="152"/>
              <w:ind w:left="470"/>
              <w:rPr>
                <w:sz w:val="19"/>
                <w:szCs w:val="19"/>
              </w:rPr>
            </w:pPr>
            <w:r>
              <w:rPr>
                <w:spacing w:val="-3"/>
                <w:sz w:val="19"/>
                <w:szCs w:val="19"/>
              </w:rPr>
              <w:t>742</w:t>
            </w:r>
          </w:p>
          <w:p w14:paraId="118B2294">
            <w:pPr>
              <w:pStyle w:val="6"/>
              <w:spacing w:before="152"/>
              <w:ind w:left="420"/>
              <w:rPr>
                <w:sz w:val="19"/>
                <w:szCs w:val="19"/>
              </w:rPr>
            </w:pPr>
            <w:r>
              <w:rPr>
                <w:spacing w:val="-5"/>
                <w:sz w:val="19"/>
                <w:szCs w:val="19"/>
              </w:rPr>
              <w:t>1723</w:t>
            </w:r>
          </w:p>
        </w:tc>
        <w:tc>
          <w:tcPr>
            <w:tcW w:w="1220" w:type="dxa"/>
            <w:tcBorders>
              <w:top w:val="single" w:color="000000" w:sz="4" w:space="0"/>
              <w:bottom w:val="single" w:color="000000" w:sz="4" w:space="0"/>
            </w:tcBorders>
            <w:shd w:val="clear" w:color="auto" w:fill="DDDCDC"/>
            <w:vAlign w:val="top"/>
          </w:tcPr>
          <w:p w14:paraId="22F343C2">
            <w:pPr>
              <w:pStyle w:val="6"/>
              <w:spacing w:before="120" w:line="239" w:lineRule="auto"/>
              <w:ind w:left="370"/>
              <w:rPr>
                <w:sz w:val="19"/>
                <w:szCs w:val="19"/>
              </w:rPr>
            </w:pPr>
            <w:r>
              <w:rPr>
                <w:spacing w:val="-4"/>
                <w:sz w:val="19"/>
                <w:szCs w:val="19"/>
              </w:rPr>
              <w:t>125.3</w:t>
            </w:r>
          </w:p>
          <w:p w14:paraId="50FE71D2">
            <w:pPr>
              <w:pStyle w:val="6"/>
              <w:spacing w:before="154" w:line="239" w:lineRule="auto"/>
              <w:ind w:left="420"/>
              <w:rPr>
                <w:sz w:val="19"/>
                <w:szCs w:val="19"/>
              </w:rPr>
            </w:pPr>
            <w:r>
              <w:rPr>
                <w:spacing w:val="-2"/>
                <w:sz w:val="19"/>
                <w:szCs w:val="19"/>
              </w:rPr>
              <w:t>97.0</w:t>
            </w:r>
          </w:p>
          <w:p w14:paraId="18BC5AB4">
            <w:pPr>
              <w:pStyle w:val="6"/>
              <w:spacing w:before="154" w:line="239" w:lineRule="auto"/>
              <w:ind w:left="370"/>
              <w:rPr>
                <w:sz w:val="19"/>
                <w:szCs w:val="19"/>
              </w:rPr>
            </w:pPr>
            <w:r>
              <w:rPr>
                <w:spacing w:val="-4"/>
                <w:sz w:val="19"/>
                <w:szCs w:val="19"/>
              </w:rPr>
              <w:t>110.0</w:t>
            </w:r>
          </w:p>
        </w:tc>
        <w:tc>
          <w:tcPr>
            <w:tcW w:w="1150" w:type="dxa"/>
            <w:tcBorders>
              <w:top w:val="single" w:color="000000" w:sz="4" w:space="0"/>
              <w:bottom w:val="single" w:color="000000" w:sz="4" w:space="0"/>
            </w:tcBorders>
            <w:shd w:val="clear" w:color="auto" w:fill="E1DFDE"/>
            <w:vAlign w:val="top"/>
          </w:tcPr>
          <w:p w14:paraId="7FA20DAF">
            <w:pPr>
              <w:pStyle w:val="6"/>
              <w:spacing w:before="120" w:line="239" w:lineRule="auto"/>
              <w:ind w:left="330"/>
              <w:rPr>
                <w:sz w:val="19"/>
                <w:szCs w:val="19"/>
              </w:rPr>
            </w:pPr>
            <w:r>
              <w:rPr>
                <w:spacing w:val="-4"/>
                <w:sz w:val="19"/>
                <w:szCs w:val="19"/>
              </w:rPr>
              <w:t>166.7</w:t>
            </w:r>
          </w:p>
          <w:p w14:paraId="1187A248">
            <w:pPr>
              <w:pStyle w:val="6"/>
              <w:spacing w:before="154" w:line="239" w:lineRule="auto"/>
              <w:ind w:left="330"/>
              <w:rPr>
                <w:sz w:val="19"/>
                <w:szCs w:val="19"/>
              </w:rPr>
            </w:pPr>
            <w:r>
              <w:rPr>
                <w:spacing w:val="-4"/>
                <w:sz w:val="19"/>
                <w:szCs w:val="19"/>
              </w:rPr>
              <w:t>112.2</w:t>
            </w:r>
          </w:p>
          <w:p w14:paraId="4439E5D7">
            <w:pPr>
              <w:pStyle w:val="6"/>
              <w:spacing w:before="154" w:line="239" w:lineRule="auto"/>
              <w:ind w:left="330"/>
              <w:rPr>
                <w:sz w:val="19"/>
                <w:szCs w:val="19"/>
              </w:rPr>
            </w:pPr>
            <w:r>
              <w:rPr>
                <w:spacing w:val="-4"/>
                <w:sz w:val="19"/>
                <w:szCs w:val="19"/>
              </w:rPr>
              <w:t>137.7</w:t>
            </w:r>
          </w:p>
        </w:tc>
        <w:tc>
          <w:tcPr>
            <w:tcW w:w="1140" w:type="dxa"/>
            <w:tcBorders>
              <w:top w:val="single" w:color="000000" w:sz="4" w:space="0"/>
              <w:bottom w:val="single" w:color="000000" w:sz="4" w:space="0"/>
            </w:tcBorders>
            <w:shd w:val="clear" w:color="auto" w:fill="D1D1CB"/>
            <w:vAlign w:val="top"/>
          </w:tcPr>
          <w:p w14:paraId="2084598A">
            <w:pPr>
              <w:pStyle w:val="6"/>
              <w:spacing w:before="120" w:line="239" w:lineRule="auto"/>
              <w:ind w:left="380"/>
              <w:rPr>
                <w:sz w:val="19"/>
                <w:szCs w:val="19"/>
              </w:rPr>
            </w:pPr>
            <w:r>
              <w:rPr>
                <w:spacing w:val="-3"/>
                <w:sz w:val="19"/>
                <w:szCs w:val="19"/>
              </w:rPr>
              <w:t>33.0</w:t>
            </w:r>
          </w:p>
          <w:p w14:paraId="63767DE6">
            <w:pPr>
              <w:pStyle w:val="6"/>
              <w:spacing w:before="154" w:line="239" w:lineRule="auto"/>
              <w:ind w:left="380"/>
              <w:rPr>
                <w:sz w:val="19"/>
                <w:szCs w:val="19"/>
              </w:rPr>
            </w:pPr>
            <w:r>
              <w:rPr>
                <w:spacing w:val="-5"/>
                <w:sz w:val="19"/>
                <w:szCs w:val="19"/>
              </w:rPr>
              <w:t>15.7</w:t>
            </w:r>
          </w:p>
          <w:p w14:paraId="382A3EF4">
            <w:pPr>
              <w:pStyle w:val="6"/>
              <w:spacing w:before="154" w:line="239" w:lineRule="auto"/>
              <w:ind w:left="380"/>
              <w:rPr>
                <w:sz w:val="19"/>
                <w:szCs w:val="19"/>
              </w:rPr>
            </w:pPr>
            <w:r>
              <w:rPr>
                <w:spacing w:val="-2"/>
                <w:sz w:val="19"/>
                <w:szCs w:val="19"/>
              </w:rPr>
              <w:t>25.2</w:t>
            </w:r>
          </w:p>
        </w:tc>
      </w:tr>
      <w:tr w14:paraId="376D7551">
        <w:trPr>
          <w:trHeight w:val="1188" w:hRule="atLeast"/>
        </w:trPr>
        <w:tc>
          <w:tcPr>
            <w:tcW w:w="1650" w:type="dxa"/>
            <w:tcBorders>
              <w:top w:val="single" w:color="000000" w:sz="4" w:space="0"/>
              <w:bottom w:val="single" w:color="000000" w:sz="4" w:space="0"/>
            </w:tcBorders>
            <w:vAlign w:val="top"/>
          </w:tcPr>
          <w:p w14:paraId="4ACC5FED">
            <w:pPr>
              <w:spacing w:line="440" w:lineRule="auto"/>
              <w:rPr>
                <w:rFonts w:ascii="Arial"/>
                <w:sz w:val="21"/>
              </w:rPr>
            </w:pPr>
          </w:p>
          <w:p w14:paraId="28EAF0F7">
            <w:pPr>
              <w:pStyle w:val="6"/>
              <w:spacing w:before="61" w:line="220" w:lineRule="auto"/>
              <w:ind w:left="250"/>
              <w:rPr>
                <w:sz w:val="19"/>
                <w:szCs w:val="19"/>
              </w:rPr>
            </w:pPr>
            <w:r>
              <w:rPr>
                <w:spacing w:val="3"/>
                <w:sz w:val="19"/>
                <w:szCs w:val="19"/>
              </w:rPr>
              <w:t>缺血性脑卒中</w:t>
            </w:r>
          </w:p>
        </w:tc>
        <w:tc>
          <w:tcPr>
            <w:tcW w:w="1140" w:type="dxa"/>
            <w:tcBorders>
              <w:top w:val="single" w:color="000000" w:sz="4" w:space="0"/>
              <w:bottom w:val="single" w:color="000000" w:sz="4" w:space="0"/>
            </w:tcBorders>
            <w:vAlign w:val="top"/>
          </w:tcPr>
          <w:p w14:paraId="0E95E4F4">
            <w:pPr>
              <w:pStyle w:val="6"/>
              <w:spacing w:before="104" w:line="220" w:lineRule="auto"/>
              <w:ind w:left="380"/>
              <w:rPr>
                <w:sz w:val="19"/>
                <w:szCs w:val="19"/>
              </w:rPr>
            </w:pPr>
            <w:r>
              <w:rPr>
                <w:spacing w:val="3"/>
                <w:sz w:val="19"/>
                <w:szCs w:val="19"/>
              </w:rPr>
              <w:t>男性</w:t>
            </w:r>
          </w:p>
          <w:p w14:paraId="50A11AC8">
            <w:pPr>
              <w:pStyle w:val="6"/>
              <w:spacing w:before="153" w:line="219" w:lineRule="auto"/>
              <w:ind w:left="380"/>
              <w:rPr>
                <w:sz w:val="19"/>
                <w:szCs w:val="19"/>
              </w:rPr>
            </w:pPr>
            <w:r>
              <w:rPr>
                <w:spacing w:val="3"/>
                <w:sz w:val="19"/>
                <w:szCs w:val="19"/>
              </w:rPr>
              <w:t>女性</w:t>
            </w:r>
          </w:p>
          <w:p w14:paraId="66BCE441">
            <w:pPr>
              <w:pStyle w:val="6"/>
              <w:spacing w:before="185" w:line="221" w:lineRule="auto"/>
              <w:ind w:left="380"/>
              <w:rPr>
                <w:sz w:val="19"/>
                <w:szCs w:val="19"/>
              </w:rPr>
            </w:pPr>
            <w:r>
              <w:rPr>
                <w:spacing w:val="-3"/>
                <w:sz w:val="19"/>
                <w:szCs w:val="19"/>
              </w:rPr>
              <w:t>合计</w:t>
            </w:r>
          </w:p>
        </w:tc>
        <w:tc>
          <w:tcPr>
            <w:tcW w:w="1170" w:type="dxa"/>
            <w:tcBorders>
              <w:top w:val="single" w:color="000000" w:sz="4" w:space="0"/>
              <w:bottom w:val="single" w:color="000000" w:sz="4" w:space="0"/>
            </w:tcBorders>
            <w:vAlign w:val="top"/>
          </w:tcPr>
          <w:p w14:paraId="06B80AB0">
            <w:pPr>
              <w:pStyle w:val="6"/>
              <w:spacing w:before="122"/>
              <w:ind w:left="440"/>
              <w:rPr>
                <w:sz w:val="19"/>
                <w:szCs w:val="19"/>
              </w:rPr>
            </w:pPr>
            <w:r>
              <w:rPr>
                <w:spacing w:val="-3"/>
                <w:sz w:val="19"/>
                <w:szCs w:val="19"/>
              </w:rPr>
              <w:t>210</w:t>
            </w:r>
          </w:p>
          <w:p w14:paraId="2154A297">
            <w:pPr>
              <w:pStyle w:val="6"/>
              <w:spacing w:before="132"/>
              <w:ind w:left="440"/>
              <w:rPr>
                <w:sz w:val="19"/>
                <w:szCs w:val="19"/>
              </w:rPr>
            </w:pPr>
            <w:r>
              <w:rPr>
                <w:spacing w:val="-5"/>
                <w:sz w:val="19"/>
                <w:szCs w:val="19"/>
              </w:rPr>
              <w:t>186</w:t>
            </w:r>
          </w:p>
          <w:p w14:paraId="2375CA2F">
            <w:pPr>
              <w:pStyle w:val="6"/>
              <w:spacing w:before="163"/>
              <w:ind w:left="440"/>
              <w:rPr>
                <w:sz w:val="19"/>
                <w:szCs w:val="19"/>
              </w:rPr>
            </w:pPr>
            <w:r>
              <w:rPr>
                <w:spacing w:val="-3"/>
                <w:sz w:val="19"/>
                <w:szCs w:val="19"/>
              </w:rPr>
              <w:t>396</w:t>
            </w:r>
          </w:p>
        </w:tc>
        <w:tc>
          <w:tcPr>
            <w:tcW w:w="1230" w:type="dxa"/>
            <w:tcBorders>
              <w:top w:val="single" w:color="000000" w:sz="4" w:space="0"/>
              <w:bottom w:val="single" w:color="000000" w:sz="4" w:space="0"/>
            </w:tcBorders>
            <w:vAlign w:val="top"/>
          </w:tcPr>
          <w:p w14:paraId="47F81DDF">
            <w:pPr>
              <w:pStyle w:val="6"/>
              <w:spacing w:before="122" w:line="241" w:lineRule="auto"/>
              <w:ind w:left="470"/>
              <w:rPr>
                <w:sz w:val="19"/>
                <w:szCs w:val="19"/>
              </w:rPr>
            </w:pPr>
            <w:r>
              <w:rPr>
                <w:spacing w:val="-2"/>
                <w:sz w:val="19"/>
                <w:szCs w:val="19"/>
              </w:rPr>
              <w:t>444</w:t>
            </w:r>
          </w:p>
          <w:p w14:paraId="16748013">
            <w:pPr>
              <w:pStyle w:val="6"/>
              <w:spacing w:before="131"/>
              <w:ind w:left="470"/>
              <w:rPr>
                <w:sz w:val="19"/>
                <w:szCs w:val="19"/>
              </w:rPr>
            </w:pPr>
            <w:r>
              <w:rPr>
                <w:spacing w:val="-3"/>
                <w:sz w:val="19"/>
                <w:szCs w:val="19"/>
              </w:rPr>
              <w:t>285</w:t>
            </w:r>
          </w:p>
          <w:p w14:paraId="4D1C369E">
            <w:pPr>
              <w:pStyle w:val="6"/>
              <w:spacing w:before="163"/>
              <w:ind w:left="470"/>
              <w:rPr>
                <w:sz w:val="19"/>
                <w:szCs w:val="19"/>
              </w:rPr>
            </w:pPr>
            <w:r>
              <w:rPr>
                <w:spacing w:val="-3"/>
                <w:sz w:val="19"/>
                <w:szCs w:val="19"/>
              </w:rPr>
              <w:t>729</w:t>
            </w:r>
          </w:p>
        </w:tc>
        <w:tc>
          <w:tcPr>
            <w:tcW w:w="1220" w:type="dxa"/>
            <w:tcBorders>
              <w:top w:val="single" w:color="000000" w:sz="4" w:space="0"/>
              <w:bottom w:val="single" w:color="000000" w:sz="4" w:space="0"/>
            </w:tcBorders>
            <w:vAlign w:val="top"/>
          </w:tcPr>
          <w:p w14:paraId="02912DE6">
            <w:pPr>
              <w:pStyle w:val="6"/>
              <w:spacing w:before="122" w:line="239" w:lineRule="auto"/>
              <w:ind w:left="420"/>
              <w:rPr>
                <w:sz w:val="19"/>
                <w:szCs w:val="19"/>
              </w:rPr>
            </w:pPr>
            <w:r>
              <w:rPr>
                <w:spacing w:val="-2"/>
                <w:sz w:val="19"/>
                <w:szCs w:val="19"/>
              </w:rPr>
              <w:t>83.3</w:t>
            </w:r>
          </w:p>
          <w:p w14:paraId="75F189C0">
            <w:pPr>
              <w:pStyle w:val="6"/>
              <w:spacing w:before="133" w:line="239" w:lineRule="auto"/>
              <w:ind w:left="420"/>
              <w:rPr>
                <w:sz w:val="19"/>
                <w:szCs w:val="19"/>
              </w:rPr>
            </w:pPr>
            <w:r>
              <w:rPr>
                <w:spacing w:val="-2"/>
                <w:sz w:val="19"/>
                <w:szCs w:val="19"/>
              </w:rPr>
              <w:t>62.6</w:t>
            </w:r>
          </w:p>
          <w:p w14:paraId="13AAA085">
            <w:pPr>
              <w:pStyle w:val="6"/>
              <w:spacing w:before="164" w:line="239" w:lineRule="auto"/>
              <w:ind w:left="420"/>
              <w:rPr>
                <w:sz w:val="19"/>
                <w:szCs w:val="19"/>
              </w:rPr>
            </w:pPr>
            <w:r>
              <w:rPr>
                <w:spacing w:val="-3"/>
                <w:sz w:val="19"/>
                <w:szCs w:val="19"/>
              </w:rPr>
              <w:t>71.7</w:t>
            </w:r>
          </w:p>
        </w:tc>
        <w:tc>
          <w:tcPr>
            <w:tcW w:w="1150" w:type="dxa"/>
            <w:tcBorders>
              <w:top w:val="single" w:color="000000" w:sz="4" w:space="0"/>
              <w:bottom w:val="single" w:color="000000" w:sz="4" w:space="0"/>
            </w:tcBorders>
            <w:vAlign w:val="top"/>
          </w:tcPr>
          <w:p w14:paraId="59312187">
            <w:pPr>
              <w:pStyle w:val="6"/>
              <w:spacing w:before="122" w:line="239" w:lineRule="auto"/>
              <w:ind w:left="380"/>
              <w:rPr>
                <w:sz w:val="19"/>
                <w:szCs w:val="19"/>
              </w:rPr>
            </w:pPr>
            <w:r>
              <w:rPr>
                <w:spacing w:val="-3"/>
                <w:sz w:val="19"/>
                <w:szCs w:val="19"/>
              </w:rPr>
              <w:t>74.0</w:t>
            </w:r>
          </w:p>
          <w:p w14:paraId="0AC51CC9">
            <w:pPr>
              <w:pStyle w:val="6"/>
              <w:spacing w:before="133" w:line="239" w:lineRule="auto"/>
              <w:ind w:left="380"/>
              <w:rPr>
                <w:sz w:val="19"/>
                <w:szCs w:val="19"/>
              </w:rPr>
            </w:pPr>
            <w:r>
              <w:rPr>
                <w:spacing w:val="-2"/>
                <w:sz w:val="19"/>
                <w:szCs w:val="19"/>
              </w:rPr>
              <w:t>42.1</w:t>
            </w:r>
          </w:p>
          <w:p w14:paraId="4CEDDCF4">
            <w:pPr>
              <w:pStyle w:val="6"/>
              <w:spacing w:before="164" w:line="239" w:lineRule="auto"/>
              <w:ind w:left="380"/>
              <w:rPr>
                <w:sz w:val="19"/>
                <w:szCs w:val="19"/>
              </w:rPr>
            </w:pPr>
            <w:r>
              <w:rPr>
                <w:spacing w:val="-3"/>
                <w:sz w:val="19"/>
                <w:szCs w:val="19"/>
              </w:rPr>
              <w:t>56.9</w:t>
            </w:r>
          </w:p>
        </w:tc>
        <w:tc>
          <w:tcPr>
            <w:tcW w:w="1140" w:type="dxa"/>
            <w:tcBorders>
              <w:top w:val="single" w:color="000000" w:sz="4" w:space="0"/>
              <w:bottom w:val="single" w:color="000000" w:sz="4" w:space="0"/>
            </w:tcBorders>
            <w:vAlign w:val="top"/>
          </w:tcPr>
          <w:p w14:paraId="1BA650DC">
            <w:pPr>
              <w:pStyle w:val="6"/>
              <w:spacing w:before="122" w:line="239" w:lineRule="auto"/>
              <w:ind w:left="330"/>
              <w:rPr>
                <w:sz w:val="19"/>
                <w:szCs w:val="19"/>
              </w:rPr>
            </w:pPr>
            <w:r>
              <w:rPr>
                <w:spacing w:val="-1"/>
                <w:sz w:val="19"/>
                <w:szCs w:val="19"/>
              </w:rPr>
              <w:t>-11.2</w:t>
            </w:r>
          </w:p>
          <w:p w14:paraId="18B4EDFA">
            <w:pPr>
              <w:pStyle w:val="6"/>
              <w:spacing w:before="133" w:line="239" w:lineRule="auto"/>
              <w:ind w:left="330"/>
              <w:rPr>
                <w:sz w:val="19"/>
                <w:szCs w:val="19"/>
              </w:rPr>
            </w:pPr>
            <w:r>
              <w:rPr>
                <w:spacing w:val="-1"/>
                <w:sz w:val="19"/>
                <w:szCs w:val="19"/>
              </w:rPr>
              <w:t>-32.7</w:t>
            </w:r>
          </w:p>
          <w:p w14:paraId="0B414604">
            <w:pPr>
              <w:pStyle w:val="6"/>
              <w:spacing w:before="164" w:line="239" w:lineRule="auto"/>
              <w:ind w:left="330"/>
              <w:rPr>
                <w:sz w:val="19"/>
                <w:szCs w:val="19"/>
              </w:rPr>
            </w:pPr>
            <w:r>
              <w:rPr>
                <w:spacing w:val="-1"/>
                <w:sz w:val="19"/>
                <w:szCs w:val="19"/>
              </w:rPr>
              <w:t>-20.6</w:t>
            </w:r>
          </w:p>
        </w:tc>
      </w:tr>
      <w:tr w14:paraId="6B9B1E8A">
        <w:trPr>
          <w:trHeight w:val="1153" w:hRule="atLeast"/>
        </w:trPr>
        <w:tc>
          <w:tcPr>
            <w:tcW w:w="1650" w:type="dxa"/>
            <w:tcBorders>
              <w:top w:val="single" w:color="000000" w:sz="4" w:space="0"/>
              <w:bottom w:val="single" w:color="000000" w:sz="4" w:space="0"/>
            </w:tcBorders>
            <w:shd w:val="clear" w:color="auto" w:fill="DFE1E5"/>
            <w:vAlign w:val="top"/>
          </w:tcPr>
          <w:p w14:paraId="7829960D">
            <w:pPr>
              <w:spacing w:line="422" w:lineRule="auto"/>
              <w:rPr>
                <w:rFonts w:ascii="Arial"/>
                <w:sz w:val="21"/>
              </w:rPr>
            </w:pPr>
          </w:p>
          <w:p w14:paraId="302E1FCB">
            <w:pPr>
              <w:pStyle w:val="6"/>
              <w:spacing w:before="61" w:line="220" w:lineRule="auto"/>
              <w:ind w:left="250"/>
              <w:rPr>
                <w:sz w:val="19"/>
                <w:szCs w:val="19"/>
              </w:rPr>
            </w:pPr>
            <w:r>
              <w:rPr>
                <w:spacing w:val="3"/>
                <w:sz w:val="19"/>
                <w:szCs w:val="19"/>
              </w:rPr>
              <w:t>出血性脑卒中</w:t>
            </w:r>
          </w:p>
        </w:tc>
        <w:tc>
          <w:tcPr>
            <w:tcW w:w="1140" w:type="dxa"/>
            <w:tcBorders>
              <w:top w:val="single" w:color="000000" w:sz="4" w:space="0"/>
              <w:bottom w:val="single" w:color="000000" w:sz="4" w:space="0"/>
            </w:tcBorders>
            <w:shd w:val="clear" w:color="auto" w:fill="E1DFE4"/>
            <w:vAlign w:val="top"/>
          </w:tcPr>
          <w:p w14:paraId="72E2693A">
            <w:pPr>
              <w:pStyle w:val="6"/>
              <w:spacing w:before="96" w:line="220" w:lineRule="auto"/>
              <w:ind w:left="380"/>
              <w:rPr>
                <w:sz w:val="19"/>
                <w:szCs w:val="19"/>
              </w:rPr>
            </w:pPr>
            <w:r>
              <w:rPr>
                <w:spacing w:val="3"/>
                <w:sz w:val="19"/>
                <w:szCs w:val="19"/>
              </w:rPr>
              <w:t>男性</w:t>
            </w:r>
          </w:p>
          <w:p w14:paraId="243ACA1C">
            <w:pPr>
              <w:pStyle w:val="6"/>
              <w:spacing w:before="153" w:line="219" w:lineRule="auto"/>
              <w:ind w:left="380"/>
              <w:rPr>
                <w:sz w:val="19"/>
                <w:szCs w:val="19"/>
              </w:rPr>
            </w:pPr>
            <w:r>
              <w:rPr>
                <w:spacing w:val="3"/>
                <w:sz w:val="19"/>
                <w:szCs w:val="19"/>
              </w:rPr>
              <w:t>女性</w:t>
            </w:r>
          </w:p>
          <w:p w14:paraId="6A4153D5">
            <w:pPr>
              <w:pStyle w:val="6"/>
              <w:spacing w:before="175" w:line="221" w:lineRule="auto"/>
              <w:ind w:left="380"/>
              <w:rPr>
                <w:sz w:val="19"/>
                <w:szCs w:val="19"/>
              </w:rPr>
            </w:pPr>
            <w:r>
              <w:rPr>
                <w:spacing w:val="-3"/>
                <w:sz w:val="19"/>
                <w:szCs w:val="19"/>
              </w:rPr>
              <w:t>合计</w:t>
            </w:r>
          </w:p>
        </w:tc>
        <w:tc>
          <w:tcPr>
            <w:tcW w:w="1170" w:type="dxa"/>
            <w:tcBorders>
              <w:top w:val="single" w:color="000000" w:sz="4" w:space="0"/>
              <w:bottom w:val="single" w:color="000000" w:sz="4" w:space="0"/>
            </w:tcBorders>
            <w:shd w:val="clear" w:color="auto" w:fill="E4E3E5"/>
            <w:vAlign w:val="top"/>
          </w:tcPr>
          <w:p w14:paraId="7B4100ED">
            <w:pPr>
              <w:pStyle w:val="6"/>
              <w:spacing w:before="114"/>
              <w:ind w:left="440"/>
              <w:rPr>
                <w:sz w:val="19"/>
                <w:szCs w:val="19"/>
              </w:rPr>
            </w:pPr>
            <w:r>
              <w:rPr>
                <w:spacing w:val="-3"/>
                <w:sz w:val="19"/>
                <w:szCs w:val="19"/>
              </w:rPr>
              <w:t>536</w:t>
            </w:r>
          </w:p>
          <w:p w14:paraId="25D565A0">
            <w:pPr>
              <w:pStyle w:val="6"/>
              <w:spacing w:before="132"/>
              <w:ind w:left="440"/>
              <w:rPr>
                <w:sz w:val="19"/>
                <w:szCs w:val="19"/>
              </w:rPr>
            </w:pPr>
            <w:r>
              <w:rPr>
                <w:spacing w:val="-2"/>
                <w:sz w:val="19"/>
                <w:szCs w:val="19"/>
              </w:rPr>
              <w:t>455</w:t>
            </w:r>
          </w:p>
          <w:p w14:paraId="21AD3DF6">
            <w:pPr>
              <w:pStyle w:val="6"/>
              <w:spacing w:before="152"/>
              <w:ind w:left="440"/>
              <w:rPr>
                <w:sz w:val="19"/>
                <w:szCs w:val="19"/>
              </w:rPr>
            </w:pPr>
            <w:r>
              <w:rPr>
                <w:spacing w:val="-2"/>
                <w:sz w:val="19"/>
                <w:szCs w:val="19"/>
              </w:rPr>
              <w:t>991</w:t>
            </w:r>
          </w:p>
        </w:tc>
        <w:tc>
          <w:tcPr>
            <w:tcW w:w="1230" w:type="dxa"/>
            <w:tcBorders>
              <w:top w:val="single" w:color="000000" w:sz="4" w:space="0"/>
              <w:bottom w:val="single" w:color="000000" w:sz="4" w:space="0"/>
            </w:tcBorders>
            <w:shd w:val="clear" w:color="auto" w:fill="E2E1E0"/>
            <w:vAlign w:val="top"/>
          </w:tcPr>
          <w:p w14:paraId="43604BC7">
            <w:pPr>
              <w:pStyle w:val="6"/>
              <w:spacing w:before="114"/>
              <w:ind w:left="470"/>
              <w:rPr>
                <w:sz w:val="19"/>
                <w:szCs w:val="19"/>
              </w:rPr>
            </w:pPr>
            <w:r>
              <w:rPr>
                <w:spacing w:val="-2"/>
                <w:sz w:val="19"/>
                <w:szCs w:val="19"/>
              </w:rPr>
              <w:t>668</w:t>
            </w:r>
          </w:p>
          <w:p w14:paraId="505EEA19">
            <w:pPr>
              <w:pStyle w:val="6"/>
              <w:spacing w:before="132"/>
              <w:ind w:left="470"/>
              <w:rPr>
                <w:sz w:val="19"/>
                <w:szCs w:val="19"/>
              </w:rPr>
            </w:pPr>
            <w:r>
              <w:rPr>
                <w:spacing w:val="-3"/>
                <w:sz w:val="19"/>
                <w:szCs w:val="19"/>
              </w:rPr>
              <w:t>393</w:t>
            </w:r>
          </w:p>
          <w:p w14:paraId="2E65DD47">
            <w:pPr>
              <w:pStyle w:val="6"/>
              <w:spacing w:before="152"/>
              <w:ind w:left="420"/>
              <w:rPr>
                <w:sz w:val="19"/>
                <w:szCs w:val="19"/>
              </w:rPr>
            </w:pPr>
            <w:r>
              <w:rPr>
                <w:spacing w:val="-5"/>
                <w:sz w:val="19"/>
                <w:szCs w:val="19"/>
              </w:rPr>
              <w:t>1061</w:t>
            </w:r>
          </w:p>
        </w:tc>
        <w:tc>
          <w:tcPr>
            <w:tcW w:w="1220" w:type="dxa"/>
            <w:tcBorders>
              <w:top w:val="single" w:color="000000" w:sz="4" w:space="0"/>
              <w:bottom w:val="single" w:color="000000" w:sz="4" w:space="0"/>
            </w:tcBorders>
            <w:shd w:val="clear" w:color="auto" w:fill="E2E0DF"/>
            <w:vAlign w:val="top"/>
          </w:tcPr>
          <w:p w14:paraId="05917FC0">
            <w:pPr>
              <w:pStyle w:val="6"/>
              <w:spacing w:before="114" w:line="239" w:lineRule="auto"/>
              <w:ind w:left="370"/>
              <w:rPr>
                <w:sz w:val="19"/>
                <w:szCs w:val="19"/>
              </w:rPr>
            </w:pPr>
            <w:r>
              <w:rPr>
                <w:spacing w:val="-4"/>
                <w:sz w:val="19"/>
                <w:szCs w:val="19"/>
              </w:rPr>
              <w:t>182.6</w:t>
            </w:r>
          </w:p>
          <w:p w14:paraId="42AB255C">
            <w:pPr>
              <w:pStyle w:val="6"/>
              <w:spacing w:before="133" w:line="239" w:lineRule="auto"/>
              <w:ind w:left="370"/>
              <w:rPr>
                <w:sz w:val="19"/>
                <w:szCs w:val="19"/>
              </w:rPr>
            </w:pPr>
            <w:r>
              <w:rPr>
                <w:spacing w:val="-4"/>
                <w:sz w:val="19"/>
                <w:szCs w:val="19"/>
              </w:rPr>
              <w:t>140.1</w:t>
            </w:r>
          </w:p>
          <w:p w14:paraId="2B4E32A4">
            <w:pPr>
              <w:pStyle w:val="6"/>
              <w:spacing w:before="154" w:line="239" w:lineRule="auto"/>
              <w:ind w:left="370"/>
              <w:rPr>
                <w:sz w:val="19"/>
                <w:szCs w:val="19"/>
              </w:rPr>
            </w:pPr>
            <w:r>
              <w:rPr>
                <w:spacing w:val="-4"/>
                <w:sz w:val="19"/>
                <w:szCs w:val="19"/>
              </w:rPr>
              <w:t>159.6</w:t>
            </w:r>
          </w:p>
        </w:tc>
        <w:tc>
          <w:tcPr>
            <w:tcW w:w="1150" w:type="dxa"/>
            <w:tcBorders>
              <w:top w:val="single" w:color="000000" w:sz="4" w:space="0"/>
              <w:bottom w:val="single" w:color="000000" w:sz="4" w:space="0"/>
            </w:tcBorders>
            <w:shd w:val="clear" w:color="auto" w:fill="E0DFDF"/>
            <w:vAlign w:val="top"/>
          </w:tcPr>
          <w:p w14:paraId="2C4D8822">
            <w:pPr>
              <w:pStyle w:val="6"/>
              <w:spacing w:before="114" w:line="239" w:lineRule="auto"/>
              <w:ind w:left="380"/>
              <w:rPr>
                <w:sz w:val="19"/>
                <w:szCs w:val="19"/>
              </w:rPr>
            </w:pPr>
            <w:r>
              <w:rPr>
                <w:spacing w:val="-2"/>
                <w:sz w:val="19"/>
                <w:szCs w:val="19"/>
              </w:rPr>
              <w:t>99.7</w:t>
            </w:r>
          </w:p>
          <w:p w14:paraId="58A58149">
            <w:pPr>
              <w:pStyle w:val="6"/>
              <w:spacing w:before="133" w:line="239" w:lineRule="auto"/>
              <w:ind w:left="380"/>
              <w:rPr>
                <w:sz w:val="19"/>
                <w:szCs w:val="19"/>
              </w:rPr>
            </w:pPr>
            <w:r>
              <w:rPr>
                <w:spacing w:val="-3"/>
                <w:sz w:val="19"/>
                <w:szCs w:val="19"/>
              </w:rPr>
              <w:t>54.6</w:t>
            </w:r>
          </w:p>
          <w:p w14:paraId="666B548B">
            <w:pPr>
              <w:pStyle w:val="6"/>
              <w:spacing w:before="154" w:line="239" w:lineRule="auto"/>
              <w:ind w:left="380"/>
              <w:rPr>
                <w:sz w:val="19"/>
                <w:szCs w:val="19"/>
              </w:rPr>
            </w:pPr>
            <w:r>
              <w:rPr>
                <w:spacing w:val="-3"/>
                <w:sz w:val="19"/>
                <w:szCs w:val="19"/>
              </w:rPr>
              <w:t>76.0</w:t>
            </w:r>
          </w:p>
        </w:tc>
        <w:tc>
          <w:tcPr>
            <w:tcW w:w="1140" w:type="dxa"/>
            <w:tcBorders>
              <w:top w:val="single" w:color="000000" w:sz="4" w:space="0"/>
              <w:bottom w:val="single" w:color="000000" w:sz="4" w:space="0"/>
            </w:tcBorders>
            <w:shd w:val="clear" w:color="auto" w:fill="CACAC3"/>
            <w:vAlign w:val="top"/>
          </w:tcPr>
          <w:p w14:paraId="43FADEE8">
            <w:pPr>
              <w:pStyle w:val="6"/>
              <w:spacing w:before="114" w:line="239" w:lineRule="auto"/>
              <w:ind w:left="330"/>
              <w:rPr>
                <w:sz w:val="19"/>
                <w:szCs w:val="19"/>
              </w:rPr>
            </w:pPr>
            <w:r>
              <w:rPr>
                <w:spacing w:val="-1"/>
                <w:sz w:val="19"/>
                <w:szCs w:val="19"/>
              </w:rPr>
              <w:t>-45.4</w:t>
            </w:r>
          </w:p>
          <w:p w14:paraId="72220C84">
            <w:pPr>
              <w:pStyle w:val="6"/>
              <w:spacing w:before="133" w:line="239" w:lineRule="auto"/>
              <w:ind w:left="330"/>
              <w:rPr>
                <w:sz w:val="19"/>
                <w:szCs w:val="19"/>
              </w:rPr>
            </w:pPr>
            <w:r>
              <w:rPr>
                <w:spacing w:val="-1"/>
                <w:sz w:val="19"/>
                <w:szCs w:val="19"/>
              </w:rPr>
              <w:t>-61.0</w:t>
            </w:r>
          </w:p>
          <w:p w14:paraId="1FD81ACB">
            <w:pPr>
              <w:pStyle w:val="6"/>
              <w:spacing w:before="154" w:line="239" w:lineRule="auto"/>
              <w:ind w:left="330"/>
              <w:rPr>
                <w:sz w:val="19"/>
                <w:szCs w:val="19"/>
              </w:rPr>
            </w:pPr>
            <w:r>
              <w:rPr>
                <w:spacing w:val="-1"/>
                <w:sz w:val="19"/>
                <w:szCs w:val="19"/>
              </w:rPr>
              <w:t>-52.4</w:t>
            </w:r>
          </w:p>
        </w:tc>
      </w:tr>
    </w:tbl>
    <w:p w14:paraId="028DCB9D">
      <w:pPr>
        <w:spacing w:before="56" w:line="214" w:lineRule="auto"/>
        <w:ind w:left="7120"/>
        <w:rPr>
          <w:rFonts w:ascii="宋体" w:hAnsi="宋体" w:eastAsia="宋体" w:cs="宋体"/>
          <w:sz w:val="19"/>
          <w:szCs w:val="19"/>
        </w:rPr>
      </w:pPr>
      <w:r>
        <w:rPr>
          <w:rFonts w:ascii="宋体" w:hAnsi="宋体" w:eastAsia="宋体" w:cs="宋体"/>
          <w:spacing w:val="4"/>
          <w:sz w:val="19"/>
          <w:szCs w:val="19"/>
        </w:rPr>
        <w:t>(改编自</w:t>
      </w:r>
      <w:r>
        <w:rPr>
          <w:rFonts w:ascii="宋体" w:hAnsi="宋体" w:eastAsia="宋体" w:cs="宋体"/>
          <w:sz w:val="19"/>
          <w:szCs w:val="19"/>
        </w:rPr>
        <w:t>Zhou</w:t>
      </w:r>
      <w:r>
        <w:rPr>
          <w:rFonts w:ascii="宋体" w:hAnsi="宋体" w:eastAsia="宋体" w:cs="宋体"/>
          <w:spacing w:val="4"/>
          <w:sz w:val="19"/>
          <w:szCs w:val="19"/>
        </w:rPr>
        <w:t xml:space="preserve"> </w:t>
      </w:r>
      <w:r>
        <w:rPr>
          <w:rFonts w:ascii="宋体" w:hAnsi="宋体" w:eastAsia="宋体" w:cs="宋体"/>
          <w:sz w:val="19"/>
          <w:szCs w:val="19"/>
        </w:rPr>
        <w:t>Maigeng</w:t>
      </w:r>
      <w:r>
        <w:rPr>
          <w:rFonts w:ascii="宋体" w:hAnsi="宋体" w:eastAsia="宋体" w:cs="宋体"/>
          <w:spacing w:val="4"/>
          <w:sz w:val="19"/>
          <w:szCs w:val="19"/>
        </w:rPr>
        <w:t>,2019)</w:t>
      </w:r>
    </w:p>
    <w:p w14:paraId="3C300735">
      <w:pPr>
        <w:spacing w:line="253" w:lineRule="auto"/>
        <w:rPr>
          <w:rFonts w:ascii="Arial"/>
          <w:sz w:val="21"/>
        </w:rPr>
      </w:pPr>
    </w:p>
    <w:p w14:paraId="6631D9CB">
      <w:pPr>
        <w:pStyle w:val="2"/>
        <w:spacing w:before="82" w:line="224" w:lineRule="auto"/>
        <w:ind w:left="1123"/>
        <w:rPr>
          <w:sz w:val="25"/>
          <w:szCs w:val="25"/>
        </w:rPr>
      </w:pPr>
      <w:r>
        <w:rPr>
          <w:b/>
          <w:bCs/>
          <w:spacing w:val="-5"/>
          <w:sz w:val="25"/>
          <w:szCs w:val="25"/>
        </w:rPr>
        <w:t>(三)职业</w:t>
      </w:r>
    </w:p>
    <w:p w14:paraId="22592DB4">
      <w:pPr>
        <w:spacing w:before="125" w:line="333" w:lineRule="auto"/>
        <w:ind w:left="689" w:firstLine="430"/>
        <w:jc w:val="both"/>
        <w:rPr>
          <w:rFonts w:ascii="宋体" w:hAnsi="宋体" w:eastAsia="宋体" w:cs="宋体"/>
          <w:sz w:val="20"/>
          <w:szCs w:val="20"/>
        </w:rPr>
      </w:pPr>
      <w:r>
        <w:rPr>
          <w:rFonts w:ascii="宋体" w:hAnsi="宋体" w:eastAsia="宋体" w:cs="宋体"/>
          <w:spacing w:val="10"/>
          <w:sz w:val="20"/>
          <w:szCs w:val="20"/>
        </w:rPr>
        <w:t>某些疾病的发生与职业密切相关，机体所处职业环境中的</w:t>
      </w:r>
      <w:r>
        <w:rPr>
          <w:rFonts w:ascii="宋体" w:hAnsi="宋体" w:eastAsia="宋体" w:cs="宋体"/>
          <w:spacing w:val="9"/>
          <w:sz w:val="20"/>
          <w:szCs w:val="20"/>
        </w:rPr>
        <w:t>致病因素，如职业性的精神紧张程</w:t>
      </w:r>
      <w:r>
        <w:rPr>
          <w:rFonts w:ascii="宋体" w:hAnsi="宋体" w:eastAsia="宋体" w:cs="宋体"/>
          <w:sz w:val="20"/>
          <w:szCs w:val="20"/>
        </w:rPr>
        <w:t xml:space="preserve"> </w:t>
      </w:r>
      <w:r>
        <w:rPr>
          <w:rFonts w:ascii="宋体" w:hAnsi="宋体" w:eastAsia="宋体" w:cs="宋体"/>
          <w:spacing w:val="6"/>
          <w:sz w:val="20"/>
          <w:szCs w:val="20"/>
        </w:rPr>
        <w:t>度、物理因素、化学因素及生物因素的不同可导致疾病分布的差异。对不同职业人群的观察表明：</w:t>
      </w:r>
      <w:r>
        <w:rPr>
          <w:rFonts w:ascii="宋体" w:hAnsi="宋体" w:eastAsia="宋体" w:cs="宋体"/>
          <w:spacing w:val="11"/>
          <w:sz w:val="20"/>
          <w:szCs w:val="20"/>
        </w:rPr>
        <w:t xml:space="preserve"> </w:t>
      </w:r>
      <w:r>
        <w:rPr>
          <w:rFonts w:ascii="宋体" w:hAnsi="宋体" w:eastAsia="宋体" w:cs="宋体"/>
          <w:spacing w:val="7"/>
          <w:sz w:val="20"/>
          <w:szCs w:val="20"/>
        </w:rPr>
        <w:t>石棉工人间皮瘤、肺癌及胃肠癌的发生率高于其他职业人群；生产联</w:t>
      </w:r>
      <w:r>
        <w:rPr>
          <w:rFonts w:ascii="宋体" w:hAnsi="宋体" w:eastAsia="宋体" w:cs="宋体"/>
          <w:spacing w:val="6"/>
          <w:sz w:val="20"/>
          <w:szCs w:val="20"/>
        </w:rPr>
        <w:t>苯胺染料的工人易患膀胱癌；</w:t>
      </w:r>
      <w:r>
        <w:rPr>
          <w:rFonts w:ascii="宋体" w:hAnsi="宋体" w:eastAsia="宋体" w:cs="宋体"/>
          <w:sz w:val="20"/>
          <w:szCs w:val="20"/>
        </w:rPr>
        <w:t xml:space="preserve"> </w:t>
      </w:r>
      <w:r>
        <w:rPr>
          <w:rFonts w:ascii="宋体" w:hAnsi="宋体" w:eastAsia="宋体" w:cs="宋体"/>
          <w:spacing w:val="10"/>
          <w:sz w:val="20"/>
          <w:szCs w:val="20"/>
        </w:rPr>
        <w:t>矿工及建筑工人易发生意外伤害和死于外伤；医</w:t>
      </w:r>
      <w:r>
        <w:rPr>
          <w:rFonts w:ascii="宋体" w:hAnsi="宋体" w:eastAsia="宋体" w:cs="宋体"/>
          <w:spacing w:val="9"/>
          <w:sz w:val="20"/>
          <w:szCs w:val="20"/>
        </w:rPr>
        <w:t>务人员罹患经血传播和经呼吸道传播等疾病的危</w:t>
      </w:r>
      <w:r>
        <w:rPr>
          <w:rFonts w:ascii="宋体" w:hAnsi="宋体" w:eastAsia="宋体" w:cs="宋体"/>
          <w:sz w:val="20"/>
          <w:szCs w:val="20"/>
        </w:rPr>
        <w:t xml:space="preserve">  </w:t>
      </w:r>
      <w:r>
        <w:rPr>
          <w:rFonts w:ascii="宋体" w:hAnsi="宋体" w:eastAsia="宋体" w:cs="宋体"/>
          <w:spacing w:val="9"/>
          <w:sz w:val="20"/>
          <w:szCs w:val="20"/>
        </w:rPr>
        <w:t>险性高于一般人群。2005—2009年甘肃省天祝藏族自治县布鲁氏菌病监</w:t>
      </w:r>
      <w:r>
        <w:rPr>
          <w:rFonts w:ascii="宋体" w:hAnsi="宋体" w:eastAsia="宋体" w:cs="宋体"/>
          <w:spacing w:val="8"/>
          <w:sz w:val="20"/>
          <w:szCs w:val="20"/>
        </w:rPr>
        <w:t>测结果显示：屠宰工发病</w:t>
      </w:r>
      <w:r>
        <w:rPr>
          <w:rFonts w:ascii="宋体" w:hAnsi="宋体" w:eastAsia="宋体" w:cs="宋体"/>
          <w:sz w:val="20"/>
          <w:szCs w:val="20"/>
        </w:rPr>
        <w:t xml:space="preserve">  </w:t>
      </w:r>
      <w:r>
        <w:rPr>
          <w:rFonts w:ascii="宋体" w:hAnsi="宋体" w:eastAsia="宋体" w:cs="宋体"/>
          <w:spacing w:val="8"/>
          <w:sz w:val="20"/>
          <w:szCs w:val="20"/>
        </w:rPr>
        <w:t>率最高，为5.77%;其次是牧民，为2.82%;其余依次为农民2.</w:t>
      </w:r>
      <w:r>
        <w:rPr>
          <w:rFonts w:ascii="宋体" w:hAnsi="宋体" w:eastAsia="宋体" w:cs="宋体"/>
          <w:spacing w:val="7"/>
          <w:sz w:val="20"/>
          <w:szCs w:val="20"/>
        </w:rPr>
        <w:t>19%,皮、肉、乳制品加工人员0.80%;</w:t>
      </w:r>
      <w:r>
        <w:rPr>
          <w:rFonts w:ascii="宋体" w:hAnsi="宋体" w:eastAsia="宋体" w:cs="宋体"/>
          <w:sz w:val="20"/>
          <w:szCs w:val="20"/>
        </w:rPr>
        <w:t xml:space="preserve"> </w:t>
      </w:r>
      <w:r>
        <w:rPr>
          <w:rFonts w:ascii="宋体" w:hAnsi="宋体" w:eastAsia="宋体" w:cs="宋体"/>
          <w:spacing w:val="7"/>
          <w:sz w:val="20"/>
          <w:szCs w:val="20"/>
        </w:rPr>
        <w:t>学生和其他职业人群均无发病。可见该病发病与从事牲畜</w:t>
      </w:r>
      <w:r>
        <w:rPr>
          <w:rFonts w:ascii="宋体" w:hAnsi="宋体" w:eastAsia="宋体" w:cs="宋体"/>
          <w:spacing w:val="6"/>
          <w:sz w:val="20"/>
          <w:szCs w:val="20"/>
        </w:rPr>
        <w:t>及畜产品接触的职业密切相关。</w:t>
      </w:r>
    </w:p>
    <w:p w14:paraId="5B07D3CC">
      <w:pPr>
        <w:spacing w:before="5" w:line="219" w:lineRule="auto"/>
        <w:ind w:left="1120"/>
        <w:rPr>
          <w:rFonts w:ascii="宋体" w:hAnsi="宋体" w:eastAsia="宋体" w:cs="宋体"/>
          <w:sz w:val="20"/>
          <w:szCs w:val="20"/>
        </w:rPr>
      </w:pPr>
      <w:r>
        <w:rPr>
          <w:rFonts w:ascii="宋体" w:hAnsi="宋体" w:eastAsia="宋体" w:cs="宋体"/>
          <w:spacing w:val="5"/>
          <w:sz w:val="20"/>
          <w:szCs w:val="20"/>
        </w:rPr>
        <w:t>在研究职业与疾病的关系时应主要考虑的因素如下：</w:t>
      </w:r>
    </w:p>
    <w:p w14:paraId="5DA36129">
      <w:pPr>
        <w:spacing w:before="154" w:line="271" w:lineRule="auto"/>
        <w:ind w:left="689" w:right="93" w:firstLine="430"/>
        <w:rPr>
          <w:rFonts w:ascii="宋体" w:hAnsi="宋体" w:eastAsia="宋体" w:cs="宋体"/>
          <w:sz w:val="20"/>
          <w:szCs w:val="20"/>
        </w:rPr>
      </w:pPr>
      <w:r>
        <w:rPr>
          <w:rFonts w:ascii="宋体" w:hAnsi="宋体" w:eastAsia="宋体" w:cs="宋体"/>
          <w:spacing w:val="3"/>
          <w:sz w:val="20"/>
          <w:szCs w:val="20"/>
        </w:rPr>
        <w:t>1.</w:t>
      </w:r>
      <w:r>
        <w:rPr>
          <w:rFonts w:ascii="宋体" w:hAnsi="宋体" w:eastAsia="宋体" w:cs="宋体"/>
          <w:spacing w:val="-47"/>
          <w:sz w:val="20"/>
          <w:szCs w:val="20"/>
        </w:rPr>
        <w:t xml:space="preserve"> </w:t>
      </w:r>
      <w:r>
        <w:rPr>
          <w:rFonts w:ascii="宋体" w:hAnsi="宋体" w:eastAsia="宋体" w:cs="宋体"/>
          <w:spacing w:val="3"/>
          <w:sz w:val="20"/>
          <w:szCs w:val="20"/>
        </w:rPr>
        <w:t>职业是劳动者所处的作业环境、社会经济地位、卫生文化水平</w:t>
      </w:r>
      <w:r>
        <w:rPr>
          <w:rFonts w:ascii="宋体" w:hAnsi="宋体" w:eastAsia="宋体" w:cs="宋体"/>
          <w:spacing w:val="2"/>
          <w:sz w:val="20"/>
          <w:szCs w:val="20"/>
        </w:rPr>
        <w:t>、体力劳动强度和精神紧张程</w:t>
      </w:r>
      <w:r>
        <w:rPr>
          <w:rFonts w:ascii="宋体" w:hAnsi="宋体" w:eastAsia="宋体" w:cs="宋体"/>
          <w:sz w:val="20"/>
          <w:szCs w:val="20"/>
        </w:rPr>
        <w:t xml:space="preserve"> </w:t>
      </w:r>
      <w:r>
        <w:rPr>
          <w:rFonts w:ascii="宋体" w:hAnsi="宋体" w:eastAsia="宋体" w:cs="宋体"/>
          <w:spacing w:val="5"/>
          <w:sz w:val="20"/>
          <w:szCs w:val="20"/>
        </w:rPr>
        <w:t>度等因素的综合指标。</w:t>
      </w:r>
    </w:p>
    <w:p w14:paraId="2CD03212">
      <w:pPr>
        <w:spacing w:before="121" w:line="219" w:lineRule="auto"/>
        <w:ind w:left="1120"/>
        <w:rPr>
          <w:rFonts w:ascii="宋体" w:hAnsi="宋体" w:eastAsia="宋体" w:cs="宋体"/>
          <w:sz w:val="20"/>
          <w:szCs w:val="20"/>
        </w:rPr>
      </w:pPr>
      <w:r>
        <w:rPr>
          <w:rFonts w:ascii="宋体" w:hAnsi="宋体" w:eastAsia="宋体" w:cs="宋体"/>
          <w:spacing w:val="7"/>
          <w:sz w:val="20"/>
          <w:szCs w:val="20"/>
        </w:rPr>
        <w:t>2.</w:t>
      </w:r>
      <w:r>
        <w:rPr>
          <w:rFonts w:ascii="宋体" w:hAnsi="宋体" w:eastAsia="宋体" w:cs="宋体"/>
          <w:spacing w:val="-33"/>
          <w:sz w:val="20"/>
          <w:szCs w:val="20"/>
        </w:rPr>
        <w:t xml:space="preserve"> </w:t>
      </w:r>
      <w:r>
        <w:rPr>
          <w:rFonts w:ascii="宋体" w:hAnsi="宋体" w:eastAsia="宋体" w:cs="宋体"/>
          <w:spacing w:val="7"/>
          <w:sz w:val="20"/>
          <w:szCs w:val="20"/>
        </w:rPr>
        <w:t>疾病的职业分布与作业环境致病因素暴露有关。</w:t>
      </w:r>
    </w:p>
    <w:p w14:paraId="7F9F961D">
      <w:pPr>
        <w:spacing w:line="219" w:lineRule="auto"/>
        <w:rPr>
          <w:rFonts w:ascii="宋体" w:hAnsi="宋体" w:eastAsia="宋体" w:cs="宋体"/>
          <w:sz w:val="20"/>
          <w:szCs w:val="20"/>
        </w:rPr>
        <w:sectPr>
          <w:footerReference r:id="rId52" w:type="default"/>
          <w:pgSz w:w="11900" w:h="16820"/>
          <w:pgMar w:top="400" w:right="1489" w:bottom="909" w:left="830" w:header="0" w:footer="729" w:gutter="0"/>
          <w:cols w:space="720" w:num="1"/>
        </w:sectPr>
      </w:pPr>
    </w:p>
    <w:p w14:paraId="5405E0E5">
      <w:pPr>
        <w:spacing w:line="263" w:lineRule="auto"/>
        <w:rPr>
          <w:rFonts w:ascii="Arial"/>
          <w:sz w:val="21"/>
        </w:rPr>
      </w:pPr>
    </w:p>
    <w:p w14:paraId="749715BD">
      <w:pPr>
        <w:pStyle w:val="2"/>
        <w:spacing w:before="69" w:line="221" w:lineRule="auto"/>
        <w:ind w:left="7652"/>
        <w:rPr>
          <w:sz w:val="21"/>
          <w:szCs w:val="21"/>
        </w:rPr>
      </w:pPr>
      <w:r>
        <w:rPr>
          <w:b/>
          <w:bCs/>
          <w:spacing w:val="-12"/>
          <w:sz w:val="21"/>
          <w:szCs w:val="21"/>
        </w:rPr>
        <w:t>第二章疾病的分布</w:t>
      </w:r>
    </w:p>
    <w:p w14:paraId="10550E4F">
      <w:pPr>
        <w:spacing w:line="275" w:lineRule="auto"/>
        <w:rPr>
          <w:rFonts w:ascii="Arial"/>
          <w:sz w:val="21"/>
        </w:rPr>
      </w:pPr>
    </w:p>
    <w:p w14:paraId="27CC71AE">
      <w:pPr>
        <w:spacing w:line="275" w:lineRule="auto"/>
        <w:rPr>
          <w:rFonts w:ascii="Arial"/>
          <w:sz w:val="21"/>
        </w:rPr>
      </w:pPr>
    </w:p>
    <w:p w14:paraId="1BEE6055">
      <w:pPr>
        <w:spacing w:before="68" w:line="219" w:lineRule="auto"/>
        <w:ind w:left="440"/>
        <w:rPr>
          <w:rFonts w:ascii="宋体" w:hAnsi="宋体" w:eastAsia="宋体" w:cs="宋体"/>
          <w:sz w:val="21"/>
          <w:szCs w:val="21"/>
        </w:rPr>
      </w:pPr>
      <w:r>
        <w:rPr>
          <w:rFonts w:ascii="宋体" w:hAnsi="宋体" w:eastAsia="宋体" w:cs="宋体"/>
          <w:spacing w:val="3"/>
          <w:sz w:val="21"/>
          <w:szCs w:val="21"/>
        </w:rPr>
        <w:t>3.</w:t>
      </w:r>
      <w:r>
        <w:rPr>
          <w:rFonts w:ascii="宋体" w:hAnsi="宋体" w:eastAsia="宋体" w:cs="宋体"/>
          <w:spacing w:val="-32"/>
          <w:sz w:val="21"/>
          <w:szCs w:val="21"/>
        </w:rPr>
        <w:t xml:space="preserve"> </w:t>
      </w:r>
      <w:r>
        <w:rPr>
          <w:rFonts w:ascii="宋体" w:hAnsi="宋体" w:eastAsia="宋体" w:cs="宋体"/>
          <w:spacing w:val="3"/>
          <w:sz w:val="21"/>
          <w:szCs w:val="21"/>
        </w:rPr>
        <w:t>职业相关致病因素的暴露及其作用与劳动条件、防护设施有关。</w:t>
      </w:r>
    </w:p>
    <w:p w14:paraId="640D58D2">
      <w:pPr>
        <w:spacing w:before="112" w:line="219" w:lineRule="auto"/>
        <w:ind w:left="440"/>
        <w:rPr>
          <w:rFonts w:ascii="宋体" w:hAnsi="宋体" w:eastAsia="宋体" w:cs="宋体"/>
          <w:sz w:val="21"/>
          <w:szCs w:val="21"/>
        </w:rPr>
      </w:pPr>
      <w:r>
        <w:rPr>
          <w:rFonts w:ascii="宋体" w:hAnsi="宋体" w:eastAsia="宋体" w:cs="宋体"/>
          <w:spacing w:val="1"/>
          <w:sz w:val="21"/>
          <w:szCs w:val="21"/>
        </w:rPr>
        <w:t>4.</w:t>
      </w:r>
      <w:r>
        <w:rPr>
          <w:rFonts w:ascii="宋体" w:hAnsi="宋体" w:eastAsia="宋体" w:cs="宋体"/>
          <w:spacing w:val="-23"/>
          <w:sz w:val="21"/>
          <w:szCs w:val="21"/>
        </w:rPr>
        <w:t xml:space="preserve"> </w:t>
      </w:r>
      <w:r>
        <w:rPr>
          <w:rFonts w:ascii="宋体" w:hAnsi="宋体" w:eastAsia="宋体" w:cs="宋体"/>
          <w:spacing w:val="1"/>
          <w:sz w:val="21"/>
          <w:szCs w:val="21"/>
        </w:rPr>
        <w:t>不同职业人群疾病种类不同，防制重点各异。</w:t>
      </w:r>
    </w:p>
    <w:p w14:paraId="087D8BE8">
      <w:pPr>
        <w:spacing w:before="119" w:line="219" w:lineRule="auto"/>
        <w:ind w:left="440"/>
        <w:rPr>
          <w:rFonts w:ascii="宋体" w:hAnsi="宋体" w:eastAsia="宋体" w:cs="宋体"/>
          <w:sz w:val="21"/>
          <w:szCs w:val="21"/>
        </w:rPr>
      </w:pPr>
      <w:r>
        <w:rPr>
          <w:rFonts w:ascii="宋体" w:hAnsi="宋体" w:eastAsia="宋体" w:cs="宋体"/>
          <w:spacing w:val="5"/>
          <w:sz w:val="21"/>
          <w:szCs w:val="21"/>
        </w:rPr>
        <w:t>5.</w:t>
      </w:r>
      <w:r>
        <w:rPr>
          <w:rFonts w:ascii="宋体" w:hAnsi="宋体" w:eastAsia="宋体" w:cs="宋体"/>
          <w:spacing w:val="-23"/>
          <w:sz w:val="21"/>
          <w:szCs w:val="21"/>
        </w:rPr>
        <w:t xml:space="preserve"> </w:t>
      </w:r>
      <w:r>
        <w:rPr>
          <w:rFonts w:ascii="宋体" w:hAnsi="宋体" w:eastAsia="宋体" w:cs="宋体"/>
          <w:spacing w:val="5"/>
          <w:sz w:val="21"/>
          <w:szCs w:val="21"/>
        </w:rPr>
        <w:t>职业暴露时间及既往职业史对疾病发生</w:t>
      </w:r>
      <w:r>
        <w:rPr>
          <w:rFonts w:ascii="宋体" w:hAnsi="宋体" w:eastAsia="宋体" w:cs="宋体"/>
          <w:spacing w:val="4"/>
          <w:sz w:val="21"/>
          <w:szCs w:val="21"/>
        </w:rPr>
        <w:t>的影响。</w:t>
      </w:r>
    </w:p>
    <w:p w14:paraId="7DA3EE14">
      <w:pPr>
        <w:pStyle w:val="2"/>
        <w:spacing w:before="47" w:line="221" w:lineRule="auto"/>
        <w:ind w:left="443"/>
        <w:rPr>
          <w:sz w:val="24"/>
          <w:szCs w:val="24"/>
        </w:rPr>
      </w:pPr>
      <w:r>
        <w:rPr>
          <w:b/>
          <w:bCs/>
          <w:spacing w:val="2"/>
          <w:sz w:val="24"/>
          <w:szCs w:val="24"/>
        </w:rPr>
        <w:t>(四)种族和民族</w:t>
      </w:r>
    </w:p>
    <w:p w14:paraId="53F018E0">
      <w:pPr>
        <w:spacing w:before="133" w:line="318" w:lineRule="auto"/>
        <w:ind w:right="590" w:firstLine="440"/>
        <w:jc w:val="both"/>
        <w:rPr>
          <w:rFonts w:ascii="宋体" w:hAnsi="宋体" w:eastAsia="宋体" w:cs="宋体"/>
          <w:sz w:val="21"/>
          <w:szCs w:val="21"/>
        </w:rPr>
      </w:pPr>
      <w:r>
        <w:rPr>
          <w:rFonts w:ascii="宋体" w:hAnsi="宋体" w:eastAsia="宋体" w:cs="宋体"/>
          <w:spacing w:val="10"/>
          <w:sz w:val="21"/>
          <w:szCs w:val="21"/>
        </w:rPr>
        <w:t xml:space="preserve">种族和民族是长期共同生活并具有共同生物学和社会学特征的相对稳定群体。不同种族和民 </w:t>
      </w:r>
      <w:r>
        <w:rPr>
          <w:rFonts w:ascii="宋体" w:hAnsi="宋体" w:eastAsia="宋体" w:cs="宋体"/>
          <w:sz w:val="21"/>
          <w:szCs w:val="21"/>
        </w:rPr>
        <w:t>族由于长期受一定自然环境、社会环境、遗传背景的影响，如社会经济状况、风</w:t>
      </w:r>
      <w:r>
        <w:rPr>
          <w:rFonts w:ascii="宋体" w:hAnsi="宋体" w:eastAsia="宋体" w:cs="宋体"/>
          <w:spacing w:val="-1"/>
          <w:sz w:val="21"/>
          <w:szCs w:val="21"/>
        </w:rPr>
        <w:t>俗和生活习惯、遗传</w:t>
      </w:r>
      <w:r>
        <w:rPr>
          <w:rFonts w:ascii="宋体" w:hAnsi="宋体" w:eastAsia="宋体" w:cs="宋体"/>
          <w:sz w:val="21"/>
          <w:szCs w:val="21"/>
        </w:rPr>
        <w:t xml:space="preserve">  </w:t>
      </w:r>
      <w:r>
        <w:rPr>
          <w:rFonts w:ascii="宋体" w:hAnsi="宋体" w:eastAsia="宋体" w:cs="宋体"/>
          <w:spacing w:val="10"/>
          <w:sz w:val="21"/>
          <w:szCs w:val="21"/>
        </w:rPr>
        <w:t>易感性以及医疗卫生水平的影响等，疾病分布可显示出差异性。黑种人中镰状细胞贫血的发病率</w:t>
      </w:r>
      <w:r>
        <w:rPr>
          <w:rFonts w:ascii="宋体" w:hAnsi="宋体" w:eastAsia="宋体" w:cs="宋体"/>
          <w:spacing w:val="8"/>
          <w:sz w:val="21"/>
          <w:szCs w:val="21"/>
        </w:rPr>
        <w:t xml:space="preserve"> </w:t>
      </w:r>
      <w:r>
        <w:rPr>
          <w:rFonts w:ascii="宋体" w:hAnsi="宋体" w:eastAsia="宋体" w:cs="宋体"/>
          <w:spacing w:val="7"/>
          <w:sz w:val="21"/>
          <w:szCs w:val="21"/>
        </w:rPr>
        <w:t>高于其他人群，美国白种人的睾丸癌发病率明显高于美国黑种人，提示遗传因素的</w:t>
      </w:r>
      <w:r>
        <w:rPr>
          <w:rFonts w:ascii="宋体" w:hAnsi="宋体" w:eastAsia="宋体" w:cs="宋体"/>
          <w:spacing w:val="6"/>
          <w:sz w:val="21"/>
          <w:szCs w:val="21"/>
        </w:rPr>
        <w:t>作用不容忽视。</w:t>
      </w:r>
      <w:r>
        <w:rPr>
          <w:rFonts w:ascii="宋体" w:hAnsi="宋体" w:eastAsia="宋体" w:cs="宋体"/>
          <w:sz w:val="21"/>
          <w:szCs w:val="21"/>
        </w:rPr>
        <w:t xml:space="preserve"> </w:t>
      </w:r>
      <w:r>
        <w:rPr>
          <w:rFonts w:ascii="宋体" w:hAnsi="宋体" w:eastAsia="宋体" w:cs="宋体"/>
          <w:spacing w:val="5"/>
          <w:sz w:val="21"/>
          <w:szCs w:val="21"/>
        </w:rPr>
        <w:t>日本人的胃癌发病率高于美国人，但移居美国后发病率降低，</w:t>
      </w:r>
      <w:r>
        <w:rPr>
          <w:rFonts w:ascii="宋体" w:hAnsi="宋体" w:eastAsia="宋体" w:cs="宋体"/>
          <w:spacing w:val="4"/>
          <w:sz w:val="21"/>
          <w:szCs w:val="21"/>
        </w:rPr>
        <w:t>提示环境因素在胃癌发生中发挥重要</w:t>
      </w:r>
      <w:r>
        <w:rPr>
          <w:rFonts w:ascii="宋体" w:hAnsi="宋体" w:eastAsia="宋体" w:cs="宋体"/>
          <w:sz w:val="21"/>
          <w:szCs w:val="21"/>
        </w:rPr>
        <w:t xml:space="preserve">  </w:t>
      </w:r>
      <w:r>
        <w:rPr>
          <w:rFonts w:ascii="宋体" w:hAnsi="宋体" w:eastAsia="宋体" w:cs="宋体"/>
          <w:spacing w:val="11"/>
          <w:sz w:val="21"/>
          <w:szCs w:val="21"/>
        </w:rPr>
        <w:t>作用。</w:t>
      </w:r>
    </w:p>
    <w:p w14:paraId="1EF330E5">
      <w:pPr>
        <w:pStyle w:val="2"/>
        <w:spacing w:before="1" w:line="221" w:lineRule="auto"/>
        <w:ind w:left="443"/>
        <w:rPr>
          <w:sz w:val="24"/>
          <w:szCs w:val="24"/>
        </w:rPr>
      </w:pPr>
      <w:r>
        <w:rPr>
          <w:b/>
          <w:bCs/>
          <w:spacing w:val="-1"/>
          <w:sz w:val="24"/>
          <w:szCs w:val="24"/>
        </w:rPr>
        <w:t>(五)婚姻与家庭</w:t>
      </w:r>
    </w:p>
    <w:p w14:paraId="08A6CD45">
      <w:pPr>
        <w:spacing w:before="127" w:line="317" w:lineRule="auto"/>
        <w:ind w:right="610" w:firstLine="440"/>
        <w:jc w:val="both"/>
        <w:rPr>
          <w:rFonts w:ascii="宋体" w:hAnsi="宋体" w:eastAsia="宋体" w:cs="宋体"/>
          <w:sz w:val="21"/>
          <w:szCs w:val="21"/>
        </w:rPr>
      </w:pPr>
      <w:r>
        <w:rPr>
          <w:rFonts w:ascii="宋体" w:hAnsi="宋体" w:eastAsia="宋体" w:cs="宋体"/>
          <w:spacing w:val="4"/>
          <w:sz w:val="21"/>
          <w:szCs w:val="21"/>
        </w:rPr>
        <w:t>婚姻状况可影响人群健康状况。国内外的许多研究证实，离婚者全死因死亡率最高，丧偶及独</w:t>
      </w:r>
      <w:r>
        <w:rPr>
          <w:rFonts w:ascii="宋体" w:hAnsi="宋体" w:eastAsia="宋体" w:cs="宋体"/>
          <w:spacing w:val="16"/>
          <w:sz w:val="21"/>
          <w:szCs w:val="21"/>
        </w:rPr>
        <w:t xml:space="preserve"> </w:t>
      </w:r>
      <w:r>
        <w:rPr>
          <w:rFonts w:ascii="宋体" w:hAnsi="宋体" w:eastAsia="宋体" w:cs="宋体"/>
          <w:sz w:val="21"/>
          <w:szCs w:val="21"/>
        </w:rPr>
        <w:t>身者次之，已婚者最低，可见离婚、丧偶对精神、心理和生活的影</w:t>
      </w:r>
      <w:r>
        <w:rPr>
          <w:rFonts w:ascii="宋体" w:hAnsi="宋体" w:eastAsia="宋体" w:cs="宋体"/>
          <w:spacing w:val="-1"/>
          <w:sz w:val="21"/>
          <w:szCs w:val="21"/>
        </w:rPr>
        <w:t>响明显，可能是导致高发病率或高</w:t>
      </w:r>
      <w:r>
        <w:rPr>
          <w:rFonts w:ascii="宋体" w:hAnsi="宋体" w:eastAsia="宋体" w:cs="宋体"/>
          <w:sz w:val="21"/>
          <w:szCs w:val="21"/>
        </w:rPr>
        <w:t xml:space="preserve"> </w:t>
      </w:r>
      <w:r>
        <w:rPr>
          <w:rFonts w:ascii="宋体" w:hAnsi="宋体" w:eastAsia="宋体" w:cs="宋体"/>
          <w:spacing w:val="6"/>
          <w:sz w:val="21"/>
          <w:szCs w:val="21"/>
        </w:rPr>
        <w:t>死亡率的主要原因。婚姻生活状况如婚后的性生活、妊娠、分娩、哺乳等对女性健康有明显影响：</w:t>
      </w:r>
      <w:r>
        <w:rPr>
          <w:rFonts w:ascii="宋体" w:hAnsi="宋体" w:eastAsia="宋体" w:cs="宋体"/>
          <w:spacing w:val="16"/>
          <w:sz w:val="21"/>
          <w:szCs w:val="21"/>
        </w:rPr>
        <w:t xml:space="preserve"> </w:t>
      </w:r>
      <w:r>
        <w:rPr>
          <w:rFonts w:ascii="宋体" w:hAnsi="宋体" w:eastAsia="宋体" w:cs="宋体"/>
          <w:spacing w:val="4"/>
          <w:sz w:val="21"/>
          <w:szCs w:val="21"/>
        </w:rPr>
        <w:t>已婚妇女宫颈癌发病率显著高于单身妇女；未婚女性和高龄分娩者易患乳腺癌，而初次足月妊娠的</w:t>
      </w:r>
      <w:r>
        <w:rPr>
          <w:rFonts w:ascii="宋体" w:hAnsi="宋体" w:eastAsia="宋体" w:cs="宋体"/>
          <w:spacing w:val="6"/>
          <w:sz w:val="21"/>
          <w:szCs w:val="21"/>
        </w:rPr>
        <w:t xml:space="preserve">  </w:t>
      </w:r>
      <w:r>
        <w:rPr>
          <w:rFonts w:ascii="宋体" w:hAnsi="宋体" w:eastAsia="宋体" w:cs="宋体"/>
          <w:spacing w:val="5"/>
          <w:sz w:val="21"/>
          <w:szCs w:val="21"/>
        </w:rPr>
        <w:t>年龄越小，乳腺癌的发病率越低。近亲婚配使先天性畸形及遗传性</w:t>
      </w:r>
      <w:r>
        <w:rPr>
          <w:rFonts w:ascii="宋体" w:hAnsi="宋体" w:eastAsia="宋体" w:cs="宋体"/>
          <w:spacing w:val="4"/>
          <w:sz w:val="21"/>
          <w:szCs w:val="21"/>
        </w:rPr>
        <w:t>疾病增加，并可造成流产、早产</w:t>
      </w:r>
      <w:r>
        <w:rPr>
          <w:rFonts w:ascii="宋体" w:hAnsi="宋体" w:eastAsia="宋体" w:cs="宋体"/>
          <w:sz w:val="21"/>
          <w:szCs w:val="21"/>
        </w:rPr>
        <w:t xml:space="preserve"> 和子女的夭折早亡，严重影响人口素质。</w:t>
      </w:r>
    </w:p>
    <w:p w14:paraId="294C45D6">
      <w:pPr>
        <w:spacing w:before="22" w:line="314" w:lineRule="auto"/>
        <w:ind w:right="670" w:firstLine="440"/>
        <w:jc w:val="both"/>
        <w:rPr>
          <w:rFonts w:ascii="宋体" w:hAnsi="宋体" w:eastAsia="宋体" w:cs="宋体"/>
          <w:sz w:val="21"/>
          <w:szCs w:val="21"/>
        </w:rPr>
      </w:pPr>
      <w:r>
        <w:rPr>
          <w:rFonts w:ascii="宋体" w:hAnsi="宋体" w:eastAsia="宋体" w:cs="宋体"/>
          <w:spacing w:val="5"/>
          <w:sz w:val="21"/>
          <w:szCs w:val="21"/>
        </w:rPr>
        <w:t>家庭因素对疾病的影响，与家庭成员间有共同的居</w:t>
      </w:r>
      <w:r>
        <w:rPr>
          <w:rFonts w:ascii="宋体" w:hAnsi="宋体" w:eastAsia="宋体" w:cs="宋体"/>
          <w:spacing w:val="4"/>
          <w:sz w:val="21"/>
          <w:szCs w:val="21"/>
        </w:rPr>
        <w:t>住环境、生活习惯、生活密切接触及遗传属</w:t>
      </w:r>
      <w:r>
        <w:rPr>
          <w:rFonts w:ascii="宋体" w:hAnsi="宋体" w:eastAsia="宋体" w:cs="宋体"/>
          <w:sz w:val="21"/>
          <w:szCs w:val="21"/>
        </w:rPr>
        <w:t xml:space="preserve"> </w:t>
      </w:r>
      <w:r>
        <w:rPr>
          <w:rFonts w:ascii="宋体" w:hAnsi="宋体" w:eastAsia="宋体" w:cs="宋体"/>
          <w:spacing w:val="5"/>
          <w:sz w:val="21"/>
          <w:szCs w:val="21"/>
        </w:rPr>
        <w:t>性有关。如结核病、甲型肝炎、流行性感冒和禽流感等传染性疾病容易在家庭成员间传播，表现出</w:t>
      </w:r>
      <w:r>
        <w:rPr>
          <w:rFonts w:ascii="宋体" w:hAnsi="宋体" w:eastAsia="宋体" w:cs="宋体"/>
          <w:sz w:val="21"/>
          <w:szCs w:val="21"/>
        </w:rPr>
        <w:t xml:space="preserve"> 家庭聚集性。而对于具有一定遗传度的疾病，如哮喘、糖尿病、原发性高血</w:t>
      </w:r>
      <w:r>
        <w:rPr>
          <w:rFonts w:ascii="宋体" w:hAnsi="宋体" w:eastAsia="宋体" w:cs="宋体"/>
          <w:spacing w:val="-1"/>
          <w:sz w:val="21"/>
          <w:szCs w:val="21"/>
        </w:rPr>
        <w:t>压、代谢综合征等非传染</w:t>
      </w:r>
      <w:r>
        <w:rPr>
          <w:rFonts w:ascii="宋体" w:hAnsi="宋体" w:eastAsia="宋体" w:cs="宋体"/>
          <w:sz w:val="21"/>
          <w:szCs w:val="21"/>
        </w:rPr>
        <w:t xml:space="preserve"> </w:t>
      </w:r>
      <w:r>
        <w:rPr>
          <w:rFonts w:ascii="宋体" w:hAnsi="宋体" w:eastAsia="宋体" w:cs="宋体"/>
          <w:spacing w:val="1"/>
          <w:sz w:val="21"/>
          <w:szCs w:val="21"/>
        </w:rPr>
        <w:t>性疾病，也可存在不同程度的家庭聚集性。</w:t>
      </w:r>
    </w:p>
    <w:p w14:paraId="04330F0B">
      <w:pPr>
        <w:pStyle w:val="2"/>
        <w:spacing w:before="1" w:line="220" w:lineRule="auto"/>
        <w:ind w:left="443"/>
        <w:rPr>
          <w:sz w:val="24"/>
          <w:szCs w:val="24"/>
        </w:rPr>
      </w:pPr>
      <w:r>
        <w:rPr>
          <w:b/>
          <w:bCs/>
          <w:spacing w:val="-2"/>
          <w:sz w:val="24"/>
          <w:szCs w:val="24"/>
        </w:rPr>
        <w:t>(六)行为生活方式</w:t>
      </w:r>
    </w:p>
    <w:p w14:paraId="065AF10A">
      <w:pPr>
        <w:spacing w:before="106" w:line="319" w:lineRule="auto"/>
        <w:ind w:right="570" w:firstLine="440"/>
        <w:rPr>
          <w:rFonts w:ascii="宋体" w:hAnsi="宋体" w:eastAsia="宋体" w:cs="宋体"/>
          <w:sz w:val="21"/>
          <w:szCs w:val="21"/>
        </w:rPr>
      </w:pPr>
      <w:r>
        <w:rPr>
          <w:rFonts w:ascii="宋体" w:hAnsi="宋体" w:eastAsia="宋体" w:cs="宋体"/>
          <w:spacing w:val="2"/>
          <w:sz w:val="21"/>
          <w:szCs w:val="21"/>
        </w:rPr>
        <w:t>疾病的发生与行为生活方式密切相关，健康行为有益于提升人群健康水平，吸烟、酗酒、吸毒、</w:t>
      </w:r>
      <w:r>
        <w:rPr>
          <w:rFonts w:ascii="宋体" w:hAnsi="宋体" w:eastAsia="宋体" w:cs="宋体"/>
          <w:sz w:val="21"/>
          <w:szCs w:val="21"/>
        </w:rPr>
        <w:t xml:space="preserve"> </w:t>
      </w:r>
      <w:r>
        <w:rPr>
          <w:rFonts w:ascii="宋体" w:hAnsi="宋体" w:eastAsia="宋体" w:cs="宋体"/>
          <w:spacing w:val="6"/>
          <w:sz w:val="21"/>
          <w:szCs w:val="21"/>
        </w:rPr>
        <w:t>不安全性行为等不良行为可增加某些疾病的发生风险。</w:t>
      </w:r>
    </w:p>
    <w:p w14:paraId="2439E91C">
      <w:pPr>
        <w:spacing w:before="2" w:line="317" w:lineRule="auto"/>
        <w:ind w:right="666" w:firstLine="440"/>
        <w:jc w:val="both"/>
        <w:rPr>
          <w:rFonts w:ascii="宋体" w:hAnsi="宋体" w:eastAsia="宋体" w:cs="宋体"/>
          <w:sz w:val="21"/>
          <w:szCs w:val="21"/>
        </w:rPr>
      </w:pPr>
      <w:r>
        <w:rPr>
          <w:rFonts w:ascii="宋体" w:hAnsi="宋体" w:eastAsia="宋体" w:cs="宋体"/>
          <w:spacing w:val="-1"/>
          <w:sz w:val="21"/>
          <w:szCs w:val="21"/>
        </w:rPr>
        <w:t>国内外研究显示吸烟与多种疾病的发生有密切关系，吸烟群体的肺癌、喉癌、咽癌、食管癌、膀</w:t>
      </w:r>
      <w:r>
        <w:rPr>
          <w:rFonts w:ascii="宋体" w:hAnsi="宋体" w:eastAsia="宋体" w:cs="宋体"/>
          <w:spacing w:val="12"/>
          <w:sz w:val="21"/>
          <w:szCs w:val="21"/>
        </w:rPr>
        <w:t xml:space="preserve"> </w:t>
      </w:r>
      <w:r>
        <w:rPr>
          <w:rFonts w:ascii="宋体" w:hAnsi="宋体" w:eastAsia="宋体" w:cs="宋体"/>
          <w:spacing w:val="7"/>
          <w:sz w:val="21"/>
          <w:szCs w:val="21"/>
        </w:rPr>
        <w:t>胱癌等疾病的死亡率均高于不吸烟群体，而且存在剂量-反应关系。饮酒是肝硬化、高血压、脑出</w:t>
      </w:r>
      <w:r>
        <w:rPr>
          <w:rFonts w:ascii="宋体" w:hAnsi="宋体" w:eastAsia="宋体" w:cs="宋体"/>
          <w:spacing w:val="18"/>
          <w:sz w:val="21"/>
          <w:szCs w:val="21"/>
        </w:rPr>
        <w:t xml:space="preserve"> </w:t>
      </w:r>
      <w:r>
        <w:rPr>
          <w:rFonts w:ascii="宋体" w:hAnsi="宋体" w:eastAsia="宋体" w:cs="宋体"/>
          <w:spacing w:val="7"/>
          <w:sz w:val="21"/>
          <w:szCs w:val="21"/>
        </w:rPr>
        <w:t>血等疾病的危险因素，有研究报道，每日饮酒量在50</w:t>
      </w:r>
      <w:r>
        <w:rPr>
          <w:rFonts w:ascii="Times New Roman" w:hAnsi="Times New Roman" w:eastAsia="Times New Roman" w:cs="Times New Roman"/>
          <w:spacing w:val="7"/>
          <w:sz w:val="21"/>
          <w:szCs w:val="21"/>
        </w:rPr>
        <w:t>g</w:t>
      </w:r>
      <w:r>
        <w:rPr>
          <w:rFonts w:ascii="宋体" w:hAnsi="宋体" w:eastAsia="宋体" w:cs="宋体"/>
          <w:spacing w:val="7"/>
          <w:sz w:val="21"/>
          <w:szCs w:val="21"/>
        </w:rPr>
        <w:t>以上的群体，发生脑出血的风险是不饮酒群</w:t>
      </w:r>
      <w:r>
        <w:rPr>
          <w:rFonts w:ascii="宋体" w:hAnsi="宋体" w:eastAsia="宋体" w:cs="宋体"/>
          <w:spacing w:val="15"/>
          <w:sz w:val="21"/>
          <w:szCs w:val="21"/>
        </w:rPr>
        <w:t xml:space="preserve"> </w:t>
      </w:r>
      <w:r>
        <w:rPr>
          <w:rFonts w:ascii="宋体" w:hAnsi="宋体" w:eastAsia="宋体" w:cs="宋体"/>
          <w:spacing w:val="7"/>
          <w:sz w:val="21"/>
          <w:szCs w:val="21"/>
        </w:rPr>
        <w:t>体的6.8倍。静脉注射吸毒、男男同性性行为是艾滋病的重要传播途径，可显著增加艾滋病的发生</w:t>
      </w:r>
      <w:r>
        <w:rPr>
          <w:rFonts w:ascii="宋体" w:hAnsi="宋体" w:eastAsia="宋体" w:cs="宋体"/>
          <w:spacing w:val="15"/>
          <w:sz w:val="21"/>
          <w:szCs w:val="21"/>
        </w:rPr>
        <w:t xml:space="preserve"> </w:t>
      </w:r>
      <w:r>
        <w:rPr>
          <w:rFonts w:ascii="宋体" w:hAnsi="宋体" w:eastAsia="宋体" w:cs="宋体"/>
          <w:spacing w:val="11"/>
          <w:sz w:val="21"/>
          <w:szCs w:val="21"/>
        </w:rPr>
        <w:t>风险。</w:t>
      </w:r>
    </w:p>
    <w:p w14:paraId="05C34AA4">
      <w:pPr>
        <w:pStyle w:val="2"/>
        <w:spacing w:before="209" w:line="222" w:lineRule="auto"/>
        <w:ind w:left="443"/>
        <w:outlineLvl w:val="2"/>
        <w:rPr>
          <w:sz w:val="24"/>
          <w:szCs w:val="24"/>
        </w:rPr>
      </w:pPr>
      <w:bookmarkStart w:id="47" w:name="bookmark29"/>
      <w:bookmarkEnd w:id="47"/>
      <w:r>
        <w:rPr>
          <w:b/>
          <w:bCs/>
          <w:spacing w:val="3"/>
          <w:sz w:val="24"/>
          <w:szCs w:val="24"/>
        </w:rPr>
        <w:t>二</w:t>
      </w:r>
      <w:r>
        <w:rPr>
          <w:spacing w:val="-27"/>
          <w:sz w:val="24"/>
          <w:szCs w:val="24"/>
        </w:rPr>
        <w:t xml:space="preserve"> </w:t>
      </w:r>
      <w:r>
        <w:rPr>
          <w:b/>
          <w:bCs/>
          <w:spacing w:val="3"/>
          <w:sz w:val="24"/>
          <w:szCs w:val="24"/>
        </w:rPr>
        <w:t>、地区分布</w:t>
      </w:r>
    </w:p>
    <w:p w14:paraId="749A1C11">
      <w:pPr>
        <w:spacing w:before="273" w:line="317" w:lineRule="auto"/>
        <w:ind w:right="590" w:firstLine="440"/>
        <w:jc w:val="both"/>
        <w:rPr>
          <w:rFonts w:ascii="宋体" w:hAnsi="宋体" w:eastAsia="宋体" w:cs="宋体"/>
          <w:sz w:val="21"/>
          <w:szCs w:val="21"/>
        </w:rPr>
      </w:pPr>
      <w:r>
        <w:rPr>
          <w:rFonts w:ascii="宋体" w:hAnsi="宋体" w:eastAsia="宋体" w:cs="宋体"/>
          <w:spacing w:val="10"/>
          <w:sz w:val="21"/>
          <w:szCs w:val="21"/>
        </w:rPr>
        <w:t>地区分布是指按不同地域空间分组描述疾病，反映致病因素在这些地区作用的差</w:t>
      </w:r>
      <w:r>
        <w:rPr>
          <w:rFonts w:ascii="宋体" w:hAnsi="宋体" w:eastAsia="宋体" w:cs="宋体"/>
          <w:spacing w:val="9"/>
          <w:sz w:val="21"/>
          <w:szCs w:val="21"/>
        </w:rPr>
        <w:t>别。疾病的</w:t>
      </w:r>
      <w:r>
        <w:rPr>
          <w:rFonts w:ascii="宋体" w:hAnsi="宋体" w:eastAsia="宋体" w:cs="宋体"/>
          <w:sz w:val="21"/>
          <w:szCs w:val="21"/>
        </w:rPr>
        <w:t xml:space="preserve">  </w:t>
      </w:r>
      <w:r>
        <w:rPr>
          <w:rFonts w:ascii="宋体" w:hAnsi="宋体" w:eastAsia="宋体" w:cs="宋体"/>
          <w:spacing w:val="2"/>
          <w:sz w:val="21"/>
          <w:szCs w:val="21"/>
        </w:rPr>
        <w:t>分布特征与一定地域空间的自然环境、社会环境等多种因素密切相关，如地理、地形、地貌</w:t>
      </w:r>
      <w:r>
        <w:rPr>
          <w:rFonts w:ascii="宋体" w:hAnsi="宋体" w:eastAsia="宋体" w:cs="宋体"/>
          <w:spacing w:val="1"/>
          <w:sz w:val="21"/>
          <w:szCs w:val="21"/>
        </w:rPr>
        <w:t>、气温、</w:t>
      </w:r>
      <w:r>
        <w:rPr>
          <w:rFonts w:ascii="宋体" w:hAnsi="宋体" w:eastAsia="宋体" w:cs="宋体"/>
          <w:sz w:val="21"/>
          <w:szCs w:val="21"/>
        </w:rPr>
        <w:t xml:space="preserve"> </w:t>
      </w:r>
      <w:r>
        <w:rPr>
          <w:rFonts w:ascii="宋体" w:hAnsi="宋体" w:eastAsia="宋体" w:cs="宋体"/>
          <w:spacing w:val="-5"/>
          <w:sz w:val="21"/>
          <w:szCs w:val="21"/>
        </w:rPr>
        <w:t>风力、日照、雨量、植被、物产、微量元素等自然条件，以及社会环境中的政治、经济、文化、人口密</w:t>
      </w:r>
      <w:r>
        <w:rPr>
          <w:rFonts w:ascii="宋体" w:hAnsi="宋体" w:eastAsia="宋体" w:cs="宋体"/>
          <w:spacing w:val="3"/>
          <w:sz w:val="21"/>
          <w:szCs w:val="21"/>
        </w:rPr>
        <w:t xml:space="preserve">  </w:t>
      </w:r>
      <w:r>
        <w:rPr>
          <w:rFonts w:ascii="宋体" w:hAnsi="宋体" w:eastAsia="宋体" w:cs="宋体"/>
          <w:spacing w:val="2"/>
          <w:sz w:val="21"/>
          <w:szCs w:val="21"/>
        </w:rPr>
        <w:t>度、生活习惯、遗传特征等。各种疾病包括传染病、非传染病及原因不明疾病均具有地区分</w:t>
      </w:r>
      <w:r>
        <w:rPr>
          <w:rFonts w:ascii="宋体" w:hAnsi="宋体" w:eastAsia="宋体" w:cs="宋体"/>
          <w:spacing w:val="1"/>
          <w:sz w:val="21"/>
          <w:szCs w:val="21"/>
        </w:rPr>
        <w:t>布特征，</w:t>
      </w:r>
      <w:r>
        <w:rPr>
          <w:rFonts w:ascii="宋体" w:hAnsi="宋体" w:eastAsia="宋体" w:cs="宋体"/>
          <w:sz w:val="21"/>
          <w:szCs w:val="21"/>
        </w:rPr>
        <w:t xml:space="preserve"> </w:t>
      </w:r>
      <w:r>
        <w:rPr>
          <w:rFonts w:ascii="宋体" w:hAnsi="宋体" w:eastAsia="宋体" w:cs="宋体"/>
          <w:spacing w:val="3"/>
          <w:sz w:val="21"/>
          <w:szCs w:val="21"/>
        </w:rPr>
        <w:t>在不同国家间、国家内不同地区间和城乡间存在分布差别，某些</w:t>
      </w:r>
      <w:r>
        <w:rPr>
          <w:rFonts w:ascii="宋体" w:hAnsi="宋体" w:eastAsia="宋体" w:cs="宋体"/>
          <w:spacing w:val="2"/>
          <w:sz w:val="21"/>
          <w:szCs w:val="21"/>
        </w:rPr>
        <w:t>疾病存在地区聚集性。</w:t>
      </w:r>
    </w:p>
    <w:p w14:paraId="5758A23A">
      <w:pPr>
        <w:pStyle w:val="2"/>
        <w:spacing w:before="13" w:line="222" w:lineRule="auto"/>
        <w:ind w:left="443"/>
        <w:rPr>
          <w:sz w:val="21"/>
          <w:szCs w:val="21"/>
        </w:rPr>
      </w:pPr>
      <w:r>
        <w:rPr>
          <w:b/>
          <w:bCs/>
          <w:spacing w:val="20"/>
          <w:sz w:val="21"/>
          <w:szCs w:val="21"/>
        </w:rPr>
        <w:t>(</w:t>
      </w:r>
      <w:r>
        <w:rPr>
          <w:spacing w:val="-59"/>
          <w:sz w:val="21"/>
          <w:szCs w:val="21"/>
        </w:rPr>
        <w:t xml:space="preserve"> </w:t>
      </w:r>
      <w:r>
        <w:rPr>
          <w:b/>
          <w:bCs/>
          <w:spacing w:val="20"/>
          <w:sz w:val="21"/>
          <w:szCs w:val="21"/>
        </w:rPr>
        <w:t>一)国家间及国家内的分布</w:t>
      </w:r>
    </w:p>
    <w:p w14:paraId="28B6FAD6">
      <w:pPr>
        <w:pStyle w:val="2"/>
        <w:spacing w:before="107" w:line="337" w:lineRule="auto"/>
        <w:ind w:right="610" w:firstLine="443"/>
        <w:rPr>
          <w:rFonts w:ascii="宋体" w:hAnsi="宋体" w:eastAsia="宋体" w:cs="宋体"/>
          <w:sz w:val="21"/>
          <w:szCs w:val="21"/>
        </w:rPr>
      </w:pPr>
      <w:r>
        <w:rPr>
          <w:rFonts w:ascii="宋体" w:hAnsi="宋体" w:eastAsia="宋体" w:cs="宋体"/>
          <w:b/>
          <w:bCs/>
          <w:spacing w:val="8"/>
          <w:sz w:val="21"/>
          <w:szCs w:val="21"/>
        </w:rPr>
        <w:t>1.</w:t>
      </w:r>
      <w:r>
        <w:rPr>
          <w:rFonts w:ascii="宋体" w:hAnsi="宋体" w:eastAsia="宋体" w:cs="宋体"/>
          <w:spacing w:val="8"/>
          <w:sz w:val="21"/>
          <w:szCs w:val="21"/>
        </w:rPr>
        <w:t xml:space="preserve"> </w:t>
      </w:r>
      <w:r>
        <w:rPr>
          <w:b/>
          <w:bCs/>
          <w:spacing w:val="8"/>
          <w:sz w:val="21"/>
          <w:szCs w:val="21"/>
        </w:rPr>
        <w:t>疾病在不同国家间的分布</w:t>
      </w:r>
      <w:r>
        <w:rPr>
          <w:spacing w:val="8"/>
          <w:sz w:val="21"/>
          <w:szCs w:val="21"/>
        </w:rPr>
        <w:t xml:space="preserve">  </w:t>
      </w:r>
      <w:r>
        <w:rPr>
          <w:rFonts w:ascii="宋体" w:hAnsi="宋体" w:eastAsia="宋体" w:cs="宋体"/>
          <w:spacing w:val="8"/>
          <w:sz w:val="21"/>
          <w:szCs w:val="21"/>
        </w:rPr>
        <w:t>某些疾病呈世界范围流</w:t>
      </w:r>
      <w:r>
        <w:rPr>
          <w:rFonts w:ascii="宋体" w:hAnsi="宋体" w:eastAsia="宋体" w:cs="宋体"/>
          <w:spacing w:val="7"/>
          <w:sz w:val="21"/>
          <w:szCs w:val="21"/>
        </w:rPr>
        <w:t>行，但不同国家间流行强度差异较大。</w:t>
      </w:r>
      <w:r>
        <w:rPr>
          <w:rFonts w:ascii="宋体" w:hAnsi="宋体" w:eastAsia="宋体" w:cs="宋体"/>
          <w:sz w:val="21"/>
          <w:szCs w:val="21"/>
        </w:rPr>
        <w:t xml:space="preserve"> </w:t>
      </w:r>
      <w:r>
        <w:rPr>
          <w:rFonts w:ascii="宋体" w:hAnsi="宋体" w:eastAsia="宋体" w:cs="宋体"/>
          <w:spacing w:val="5"/>
          <w:sz w:val="21"/>
          <w:szCs w:val="21"/>
        </w:rPr>
        <w:t>传染病和慢性非传染性疾病均可呈现国家间分布的差异</w:t>
      </w:r>
      <w:r>
        <w:rPr>
          <w:rFonts w:ascii="宋体" w:hAnsi="宋体" w:eastAsia="宋体" w:cs="宋体"/>
          <w:spacing w:val="4"/>
          <w:sz w:val="21"/>
          <w:szCs w:val="21"/>
        </w:rPr>
        <w:t>性。例如，艾滋病已在全球广泛流行，但撒</w:t>
      </w:r>
    </w:p>
    <w:p w14:paraId="692505B6">
      <w:pPr>
        <w:spacing w:line="337" w:lineRule="auto"/>
        <w:rPr>
          <w:rFonts w:ascii="宋体" w:hAnsi="宋体" w:eastAsia="宋体" w:cs="宋体"/>
          <w:sz w:val="21"/>
          <w:szCs w:val="21"/>
        </w:rPr>
        <w:sectPr>
          <w:footerReference r:id="rId53" w:type="default"/>
          <w:pgSz w:w="11900" w:h="16820"/>
          <w:pgMar w:top="400" w:right="694" w:bottom="884" w:left="1289" w:header="0" w:footer="694" w:gutter="0"/>
          <w:cols w:space="720" w:num="1"/>
        </w:sectPr>
      </w:pPr>
    </w:p>
    <w:p w14:paraId="04AE55C3">
      <w:pPr>
        <w:pStyle w:val="2"/>
        <w:spacing w:line="220" w:lineRule="auto"/>
        <w:ind w:left="679"/>
        <w:rPr>
          <w:sz w:val="19"/>
          <w:szCs w:val="19"/>
        </w:rPr>
      </w:pPr>
      <w:bookmarkStart w:id="48" w:name="bookmark415"/>
      <w:bookmarkEnd w:id="48"/>
      <w:r>
        <w:rPr>
          <w:spacing w:val="-1"/>
          <w:sz w:val="19"/>
          <w:szCs w:val="19"/>
        </w:rPr>
        <w:t>第二章疾病的分布</w:t>
      </w:r>
    </w:p>
    <w:p w14:paraId="010B8849">
      <w:pPr>
        <w:spacing w:line="292" w:lineRule="auto"/>
        <w:rPr>
          <w:rFonts w:ascii="Arial"/>
          <w:sz w:val="21"/>
        </w:rPr>
      </w:pPr>
    </w:p>
    <w:p w14:paraId="653C073C">
      <w:pPr>
        <w:spacing w:line="293" w:lineRule="auto"/>
        <w:rPr>
          <w:rFonts w:ascii="Arial"/>
          <w:sz w:val="21"/>
        </w:rPr>
      </w:pPr>
    </w:p>
    <w:p w14:paraId="255EBD53">
      <w:pPr>
        <w:spacing w:before="62" w:line="370" w:lineRule="auto"/>
        <w:ind w:left="679"/>
        <w:jc w:val="both"/>
        <w:rPr>
          <w:rFonts w:ascii="宋体" w:hAnsi="宋体" w:eastAsia="宋体" w:cs="宋体"/>
          <w:sz w:val="19"/>
          <w:szCs w:val="19"/>
        </w:rPr>
      </w:pPr>
      <w:r>
        <w:rPr>
          <w:rFonts w:ascii="宋体" w:hAnsi="宋体" w:eastAsia="宋体" w:cs="宋体"/>
          <w:spacing w:val="15"/>
          <w:sz w:val="19"/>
          <w:szCs w:val="19"/>
        </w:rPr>
        <w:t>哈拉以南非洲的人类免疫缺陷病毒(</w:t>
      </w:r>
      <w:r>
        <w:rPr>
          <w:rFonts w:ascii="宋体" w:hAnsi="宋体" w:eastAsia="宋体" w:cs="宋体"/>
          <w:sz w:val="19"/>
          <w:szCs w:val="19"/>
        </w:rPr>
        <w:t>human</w:t>
      </w:r>
      <w:r>
        <w:rPr>
          <w:rFonts w:ascii="宋体" w:hAnsi="宋体" w:eastAsia="宋体" w:cs="宋体"/>
          <w:spacing w:val="15"/>
          <w:sz w:val="19"/>
          <w:szCs w:val="19"/>
        </w:rPr>
        <w:t xml:space="preserve">  </w:t>
      </w:r>
      <w:r>
        <w:rPr>
          <w:rFonts w:ascii="宋体" w:hAnsi="宋体" w:eastAsia="宋体" w:cs="宋体"/>
          <w:sz w:val="19"/>
          <w:szCs w:val="19"/>
        </w:rPr>
        <w:t>immunodeficiency</w:t>
      </w:r>
      <w:r>
        <w:rPr>
          <w:rFonts w:ascii="宋体" w:hAnsi="宋体" w:eastAsia="宋体" w:cs="宋体"/>
          <w:spacing w:val="15"/>
          <w:sz w:val="19"/>
          <w:szCs w:val="19"/>
        </w:rPr>
        <w:t xml:space="preserve">  </w:t>
      </w:r>
      <w:r>
        <w:rPr>
          <w:rFonts w:ascii="宋体" w:hAnsi="宋体" w:eastAsia="宋体" w:cs="宋体"/>
          <w:sz w:val="19"/>
          <w:szCs w:val="19"/>
        </w:rPr>
        <w:t>virus</w:t>
      </w:r>
      <w:r>
        <w:rPr>
          <w:rFonts w:ascii="宋体" w:hAnsi="宋体" w:eastAsia="宋体" w:cs="宋体"/>
          <w:spacing w:val="15"/>
          <w:sz w:val="19"/>
          <w:szCs w:val="19"/>
        </w:rPr>
        <w:t>,</w:t>
      </w:r>
      <w:r>
        <w:rPr>
          <w:rFonts w:ascii="宋体" w:hAnsi="宋体" w:eastAsia="宋体" w:cs="宋体"/>
          <w:sz w:val="19"/>
          <w:szCs w:val="19"/>
        </w:rPr>
        <w:t>HIV</w:t>
      </w:r>
      <w:r>
        <w:rPr>
          <w:rFonts w:ascii="宋体" w:hAnsi="宋体" w:eastAsia="宋体" w:cs="宋体"/>
          <w:spacing w:val="15"/>
          <w:sz w:val="19"/>
          <w:szCs w:val="19"/>
        </w:rPr>
        <w:t>)感染者占全球感染人</w:t>
      </w:r>
      <w:r>
        <w:rPr>
          <w:rFonts w:ascii="宋体" w:hAnsi="宋体" w:eastAsia="宋体" w:cs="宋体"/>
          <w:spacing w:val="14"/>
          <w:sz w:val="19"/>
          <w:szCs w:val="19"/>
        </w:rPr>
        <w:t>数的</w:t>
      </w:r>
      <w:r>
        <w:rPr>
          <w:rFonts w:ascii="宋体" w:hAnsi="宋体" w:eastAsia="宋体" w:cs="宋体"/>
          <w:sz w:val="19"/>
          <w:szCs w:val="19"/>
        </w:rPr>
        <w:t xml:space="preserve">  </w:t>
      </w:r>
      <w:r>
        <w:rPr>
          <w:rFonts w:ascii="宋体" w:hAnsi="宋体" w:eastAsia="宋体" w:cs="宋体"/>
          <w:spacing w:val="8"/>
          <w:sz w:val="19"/>
          <w:szCs w:val="19"/>
        </w:rPr>
        <w:t>2/3;霍乱多见于印度；病毒性肝炎在我国和亚裔人群高发；黄热病主要在非洲、中美洲及南美洲流行；</w:t>
      </w:r>
      <w:r>
        <w:rPr>
          <w:rFonts w:ascii="宋体" w:hAnsi="宋体" w:eastAsia="宋体" w:cs="宋体"/>
          <w:spacing w:val="7"/>
          <w:sz w:val="19"/>
          <w:szCs w:val="19"/>
        </w:rPr>
        <w:t xml:space="preserve"> </w:t>
      </w:r>
      <w:r>
        <w:rPr>
          <w:rFonts w:ascii="宋体" w:hAnsi="宋体" w:eastAsia="宋体" w:cs="宋体"/>
          <w:spacing w:val="11"/>
          <w:sz w:val="19"/>
          <w:szCs w:val="19"/>
        </w:rPr>
        <w:t>日本的胃癌及脑血管病的调整死亡率或年龄死亡专率居</w:t>
      </w:r>
      <w:r>
        <w:rPr>
          <w:rFonts w:ascii="宋体" w:hAnsi="宋体" w:eastAsia="宋体" w:cs="宋体"/>
          <w:spacing w:val="10"/>
          <w:sz w:val="19"/>
          <w:szCs w:val="19"/>
        </w:rPr>
        <w:t>世界首位，而其乳腺癌、大肠癌及冠心病的调</w:t>
      </w:r>
      <w:r>
        <w:rPr>
          <w:rFonts w:ascii="宋体" w:hAnsi="宋体" w:eastAsia="宋体" w:cs="宋体"/>
          <w:sz w:val="19"/>
          <w:szCs w:val="19"/>
        </w:rPr>
        <w:t xml:space="preserve">  </w:t>
      </w:r>
      <w:r>
        <w:rPr>
          <w:rFonts w:ascii="宋体" w:hAnsi="宋体" w:eastAsia="宋体" w:cs="宋体"/>
          <w:spacing w:val="9"/>
          <w:sz w:val="19"/>
          <w:szCs w:val="19"/>
        </w:rPr>
        <w:t>整死亡率或年龄死亡专率则最低；肝癌多见于亚洲、非洲，乳腺癌、肠癌多见于欧洲、北美洲。</w:t>
      </w:r>
    </w:p>
    <w:p w14:paraId="2A50E6F1">
      <w:pPr>
        <w:spacing w:before="1" w:line="360" w:lineRule="auto"/>
        <w:ind w:left="679" w:right="72" w:firstLine="419"/>
        <w:jc w:val="both"/>
        <w:rPr>
          <w:rFonts w:ascii="宋体" w:hAnsi="宋体" w:eastAsia="宋体" w:cs="宋体"/>
          <w:sz w:val="19"/>
          <w:szCs w:val="19"/>
        </w:rPr>
      </w:pPr>
      <w:r>
        <w:rPr>
          <w:rFonts w:ascii="宋体" w:hAnsi="宋体" w:eastAsia="宋体" w:cs="宋体"/>
          <w:spacing w:val="18"/>
          <w:sz w:val="19"/>
          <w:szCs w:val="19"/>
        </w:rPr>
        <w:t>图2-4展示了甲状腺癌在不同国家间的标化发病率，以乳头状类型的发病</w:t>
      </w:r>
      <w:r>
        <w:rPr>
          <w:rFonts w:ascii="宋体" w:hAnsi="宋体" w:eastAsia="宋体" w:cs="宋体"/>
          <w:spacing w:val="17"/>
          <w:sz w:val="19"/>
          <w:szCs w:val="19"/>
        </w:rPr>
        <w:t>率最高，并且表现出</w:t>
      </w:r>
      <w:r>
        <w:rPr>
          <w:rFonts w:ascii="宋体" w:hAnsi="宋体" w:eastAsia="宋体" w:cs="宋体"/>
          <w:sz w:val="19"/>
          <w:szCs w:val="19"/>
        </w:rPr>
        <w:t xml:space="preserve"> </w:t>
      </w:r>
      <w:r>
        <w:rPr>
          <w:rFonts w:ascii="宋体" w:hAnsi="宋体" w:eastAsia="宋体" w:cs="宋体"/>
          <w:spacing w:val="16"/>
          <w:sz w:val="19"/>
          <w:szCs w:val="19"/>
        </w:rPr>
        <w:t>明显的国家间差异。乳头状甲状腺癌标化发病率排在前三位的国家是意大利</w:t>
      </w:r>
      <w:r>
        <w:rPr>
          <w:rFonts w:ascii="宋体" w:hAnsi="宋体" w:eastAsia="宋体" w:cs="宋体"/>
          <w:spacing w:val="15"/>
          <w:sz w:val="19"/>
          <w:szCs w:val="19"/>
        </w:rPr>
        <w:t>、加拿大和土耳其，而</w:t>
      </w:r>
      <w:r>
        <w:rPr>
          <w:rFonts w:ascii="宋体" w:hAnsi="宋体" w:eastAsia="宋体" w:cs="宋体"/>
          <w:sz w:val="19"/>
          <w:szCs w:val="19"/>
        </w:rPr>
        <w:t xml:space="preserve"> </w:t>
      </w:r>
      <w:r>
        <w:rPr>
          <w:rFonts w:ascii="宋体" w:hAnsi="宋体" w:eastAsia="宋体" w:cs="宋体"/>
          <w:spacing w:val="14"/>
          <w:sz w:val="19"/>
          <w:szCs w:val="19"/>
        </w:rPr>
        <w:t>欧洲国家如丹麦、英国和荷兰的标化发病率则较低。</w:t>
      </w:r>
    </w:p>
    <w:p w14:paraId="48157B57">
      <w:pPr>
        <w:pStyle w:val="2"/>
        <w:spacing w:before="219" w:line="5560" w:lineRule="exact"/>
        <w:ind w:firstLine="1549"/>
      </w:pPr>
      <w:r>
        <w:rPr>
          <w:position w:val="-111"/>
        </w:rPr>
        <w:pict>
          <v:group id="_x0000_s1036" o:spid="_x0000_s1036" o:spt="203" style="height:278.05pt;width:356.05pt;" coordsize="7120,5560">
            <o:lock v:ext="edit"/>
            <v:shape id="_x0000_s1037" o:spid="_x0000_s1037" o:spt="75" type="#_x0000_t75" style="position:absolute;left:0;top:0;height:5560;width:7120;" filled="f" stroked="f" coordsize="21600,21600">
              <v:path/>
              <v:fill on="f" focussize="0,0"/>
              <v:stroke on="f"/>
              <v:imagedata r:id="rId444" o:title=""/>
              <o:lock v:ext="edit" aspectratio="t"/>
            </v:shape>
            <v:shape id="_x0000_s1038" o:spid="_x0000_s1038" o:spt="202" type="#_x0000_t202" style="position:absolute;left:-10;top:-1;height:5542;width:5077;" filled="f" stroked="f" coordsize="21600,21600">
              <v:path/>
              <v:fill on="f" focussize="0,0"/>
              <v:stroke on="f"/>
              <v:imagedata o:title=""/>
              <o:lock v:ext="edit" aspectratio="f"/>
              <v:textbox inset="0mm,0mm,0mm,0mm">
                <w:txbxContent>
                  <w:p w14:paraId="782335B2">
                    <w:pPr>
                      <w:spacing w:before="20" w:line="220" w:lineRule="auto"/>
                      <w:ind w:left="349"/>
                      <w:rPr>
                        <w:rFonts w:ascii="宋体" w:hAnsi="宋体" w:eastAsia="宋体" w:cs="宋体"/>
                        <w:sz w:val="19"/>
                        <w:szCs w:val="19"/>
                      </w:rPr>
                    </w:pPr>
                    <w:r>
                      <w:rPr>
                        <w:rFonts w:ascii="宋体" w:hAnsi="宋体" w:eastAsia="宋体" w:cs="宋体"/>
                        <w:spacing w:val="-9"/>
                        <w:sz w:val="19"/>
                        <w:szCs w:val="19"/>
                      </w:rPr>
                      <w:t>意大利</w:t>
                    </w:r>
                  </w:p>
                  <w:p w14:paraId="334ADCBE">
                    <w:pPr>
                      <w:spacing w:before="3" w:line="219" w:lineRule="auto"/>
                      <w:ind w:left="349"/>
                      <w:rPr>
                        <w:rFonts w:ascii="宋体" w:hAnsi="宋体" w:eastAsia="宋体" w:cs="宋体"/>
                        <w:sz w:val="19"/>
                        <w:szCs w:val="19"/>
                      </w:rPr>
                    </w:pPr>
                    <w:r>
                      <w:rPr>
                        <w:rFonts w:ascii="宋体" w:hAnsi="宋体" w:eastAsia="宋体" w:cs="宋体"/>
                        <w:spacing w:val="-10"/>
                        <w:sz w:val="19"/>
                        <w:szCs w:val="19"/>
                      </w:rPr>
                      <w:t>加拿大</w:t>
                    </w:r>
                  </w:p>
                  <w:p w14:paraId="697AA735">
                    <w:pPr>
                      <w:spacing w:before="5" w:line="203" w:lineRule="auto"/>
                      <w:ind w:left="349"/>
                      <w:rPr>
                        <w:rFonts w:ascii="宋体" w:hAnsi="宋体" w:eastAsia="宋体" w:cs="宋体"/>
                        <w:sz w:val="19"/>
                        <w:szCs w:val="19"/>
                      </w:rPr>
                    </w:pPr>
                    <w:r>
                      <w:rPr>
                        <w:rFonts w:ascii="宋体" w:hAnsi="宋体" w:eastAsia="宋体" w:cs="宋体"/>
                        <w:spacing w:val="-10"/>
                        <w:sz w:val="19"/>
                        <w:szCs w:val="19"/>
                      </w:rPr>
                      <w:t>土耳其</w:t>
                    </w:r>
                  </w:p>
                  <w:p w14:paraId="4F55819D">
                    <w:pPr>
                      <w:spacing w:line="222" w:lineRule="auto"/>
                      <w:ind w:left="520"/>
                      <w:rPr>
                        <w:rFonts w:ascii="黑体" w:hAnsi="黑体" w:eastAsia="黑体" w:cs="黑体"/>
                        <w:sz w:val="19"/>
                        <w:szCs w:val="19"/>
                      </w:rPr>
                    </w:pPr>
                    <w:r>
                      <w:rPr>
                        <w:rFonts w:ascii="黑体" w:hAnsi="黑体" w:eastAsia="黑体" w:cs="黑体"/>
                        <w:spacing w:val="-6"/>
                        <w:sz w:val="19"/>
                        <w:szCs w:val="19"/>
                      </w:rPr>
                      <w:t>中国</w:t>
                    </w:r>
                  </w:p>
                  <w:p w14:paraId="39EE8DC7">
                    <w:pPr>
                      <w:spacing w:before="1" w:line="213" w:lineRule="auto"/>
                      <w:ind w:left="520"/>
                      <w:rPr>
                        <w:rFonts w:ascii="宋体" w:hAnsi="宋体" w:eastAsia="宋体" w:cs="宋体"/>
                        <w:sz w:val="19"/>
                        <w:szCs w:val="19"/>
                      </w:rPr>
                    </w:pPr>
                    <w:r>
                      <w:rPr>
                        <w:rFonts w:ascii="宋体" w:hAnsi="宋体" w:eastAsia="宋体" w:cs="宋体"/>
                        <w:spacing w:val="-3"/>
                        <w:sz w:val="19"/>
                        <w:szCs w:val="19"/>
                      </w:rPr>
                      <w:t>美国</w:t>
                    </w:r>
                  </w:p>
                  <w:p w14:paraId="5CCA2E4B">
                    <w:pPr>
                      <w:spacing w:before="3" w:line="212" w:lineRule="auto"/>
                      <w:ind w:left="190" w:right="4185" w:firstLine="329"/>
                      <w:jc w:val="right"/>
                      <w:rPr>
                        <w:rFonts w:ascii="宋体" w:hAnsi="宋体" w:eastAsia="宋体" w:cs="宋体"/>
                        <w:sz w:val="19"/>
                        <w:szCs w:val="19"/>
                      </w:rPr>
                    </w:pPr>
                    <w:r>
                      <w:rPr>
                        <w:rFonts w:ascii="黑体" w:hAnsi="黑体" w:eastAsia="黑体" w:cs="黑体"/>
                        <w:spacing w:val="-5"/>
                        <w:sz w:val="19"/>
                        <w:szCs w:val="19"/>
                      </w:rPr>
                      <w:t>法国</w:t>
                    </w:r>
                    <w:r>
                      <w:rPr>
                        <w:rFonts w:ascii="黑体" w:hAnsi="黑体" w:eastAsia="黑体" w:cs="黑体"/>
                        <w:sz w:val="19"/>
                        <w:szCs w:val="19"/>
                      </w:rPr>
                      <w:t xml:space="preserve"> </w:t>
                    </w:r>
                    <w:r>
                      <w:rPr>
                        <w:rFonts w:ascii="宋体" w:hAnsi="宋体" w:eastAsia="宋体" w:cs="宋体"/>
                        <w:spacing w:val="-18"/>
                        <w:sz w:val="19"/>
                        <w:szCs w:val="19"/>
                      </w:rPr>
                      <w:t>克罗地亚</w:t>
                    </w:r>
                    <w:r>
                      <w:rPr>
                        <w:rFonts w:ascii="宋体" w:hAnsi="宋体" w:eastAsia="宋体" w:cs="宋体"/>
                        <w:sz w:val="19"/>
                        <w:szCs w:val="19"/>
                      </w:rPr>
                      <w:t xml:space="preserve"> </w:t>
                    </w:r>
                    <w:r>
                      <w:rPr>
                        <w:rFonts w:ascii="宋体" w:hAnsi="宋体" w:eastAsia="宋体" w:cs="宋体"/>
                        <w:spacing w:val="-18"/>
                        <w:sz w:val="19"/>
                        <w:szCs w:val="19"/>
                      </w:rPr>
                      <w:t>哥伦比亚</w:t>
                    </w:r>
                    <w:r>
                      <w:rPr>
                        <w:rFonts w:ascii="宋体" w:hAnsi="宋体" w:eastAsia="宋体" w:cs="宋体"/>
                        <w:sz w:val="19"/>
                        <w:szCs w:val="19"/>
                      </w:rPr>
                      <w:t xml:space="preserve"> </w:t>
                    </w:r>
                    <w:r>
                      <w:rPr>
                        <w:rFonts w:ascii="宋体" w:hAnsi="宋体" w:eastAsia="宋体" w:cs="宋体"/>
                        <w:spacing w:val="40"/>
                        <w:sz w:val="19"/>
                        <w:szCs w:val="19"/>
                      </w:rPr>
                      <w:t>立陶宛</w:t>
                    </w:r>
                    <w:r>
                      <w:rPr>
                        <w:rFonts w:ascii="宋体" w:hAnsi="宋体" w:eastAsia="宋体" w:cs="宋体"/>
                        <w:sz w:val="19"/>
                        <w:szCs w:val="19"/>
                      </w:rPr>
                      <w:t xml:space="preserve"> </w:t>
                    </w:r>
                    <w:r>
                      <w:rPr>
                        <w:rFonts w:ascii="宋体" w:hAnsi="宋体" w:eastAsia="宋体" w:cs="宋体"/>
                        <w:spacing w:val="41"/>
                        <w:sz w:val="19"/>
                        <w:szCs w:val="19"/>
                      </w:rPr>
                      <w:t>奥地利</w:t>
                    </w:r>
                    <w:r>
                      <w:rPr>
                        <w:rFonts w:ascii="宋体" w:hAnsi="宋体" w:eastAsia="宋体" w:cs="宋体"/>
                        <w:sz w:val="19"/>
                        <w:szCs w:val="19"/>
                      </w:rPr>
                      <w:t xml:space="preserve"> </w:t>
                    </w:r>
                    <w:r>
                      <w:rPr>
                        <w:rFonts w:ascii="宋体" w:hAnsi="宋体" w:eastAsia="宋体" w:cs="宋体"/>
                        <w:spacing w:val="-17"/>
                        <w:w w:val="99"/>
                        <w:sz w:val="19"/>
                        <w:szCs w:val="19"/>
                      </w:rPr>
                      <w:t>澳大利亚</w:t>
                    </w:r>
                  </w:p>
                  <w:p w14:paraId="1FE0B254">
                    <w:pPr>
                      <w:spacing w:before="1" w:line="221" w:lineRule="auto"/>
                      <w:ind w:left="349" w:right="4184" w:firstLine="170"/>
                      <w:rPr>
                        <w:rFonts w:ascii="宋体" w:hAnsi="宋体" w:eastAsia="宋体" w:cs="宋体"/>
                        <w:sz w:val="19"/>
                        <w:szCs w:val="19"/>
                      </w:rPr>
                    </w:pPr>
                    <w:r>
                      <w:rPr>
                        <w:rFonts w:ascii="宋体" w:hAnsi="宋体" w:eastAsia="宋体" w:cs="宋体"/>
                        <w:spacing w:val="-4"/>
                        <w:sz w:val="19"/>
                        <w:szCs w:val="19"/>
                      </w:rPr>
                      <w:t>瑞士</w:t>
                    </w:r>
                    <w:r>
                      <w:rPr>
                        <w:rFonts w:ascii="宋体" w:hAnsi="宋体" w:eastAsia="宋体" w:cs="宋体"/>
                        <w:sz w:val="19"/>
                        <w:szCs w:val="19"/>
                      </w:rPr>
                      <w:t xml:space="preserve"> </w:t>
                    </w:r>
                    <w:r>
                      <w:rPr>
                        <w:rFonts w:ascii="宋体" w:hAnsi="宋体" w:eastAsia="宋体" w:cs="宋体"/>
                        <w:spacing w:val="-14"/>
                        <w:sz w:val="19"/>
                        <w:szCs w:val="19"/>
                      </w:rPr>
                      <w:t>西班牙</w:t>
                    </w:r>
                  </w:p>
                  <w:p w14:paraId="123C858E">
                    <w:pPr>
                      <w:spacing w:line="205" w:lineRule="auto"/>
                      <w:ind w:left="20" w:right="4178" w:firstLine="500"/>
                      <w:rPr>
                        <w:rFonts w:ascii="宋体" w:hAnsi="宋体" w:eastAsia="宋体" w:cs="宋体"/>
                        <w:sz w:val="19"/>
                        <w:szCs w:val="19"/>
                      </w:rPr>
                    </w:pPr>
                    <w:r>
                      <w:rPr>
                        <w:rFonts w:ascii="FangSong" w:hAnsi="FangSong" w:eastAsia="FangSong" w:cs="FangSong"/>
                        <w:spacing w:val="-27"/>
                        <w:sz w:val="19"/>
                        <w:szCs w:val="19"/>
                      </w:rPr>
                      <w:t>日本</w:t>
                    </w:r>
                    <w:r>
                      <w:rPr>
                        <w:rFonts w:ascii="FangSong" w:hAnsi="FangSong" w:eastAsia="FangSong" w:cs="FangSong"/>
                        <w:sz w:val="19"/>
                        <w:szCs w:val="19"/>
                      </w:rPr>
                      <w:t xml:space="preserve"> </w:t>
                    </w:r>
                    <w:r>
                      <w:rPr>
                        <w:rFonts w:ascii="宋体" w:hAnsi="宋体" w:eastAsia="宋体" w:cs="宋体"/>
                        <w:spacing w:val="-15"/>
                        <w:sz w:val="19"/>
                        <w:szCs w:val="19"/>
                      </w:rPr>
                      <w:t>斯洛文尼亚</w:t>
                    </w:r>
                  </w:p>
                  <w:p w14:paraId="2575BADF">
                    <w:pPr>
                      <w:spacing w:before="2" w:line="216" w:lineRule="auto"/>
                      <w:ind w:left="349" w:right="4182" w:firstLine="170"/>
                      <w:rPr>
                        <w:rFonts w:ascii="宋体" w:hAnsi="宋体" w:eastAsia="宋体" w:cs="宋体"/>
                        <w:sz w:val="19"/>
                        <w:szCs w:val="19"/>
                      </w:rPr>
                    </w:pPr>
                    <w:r>
                      <w:rPr>
                        <w:rFonts w:ascii="黑体" w:hAnsi="黑体" w:eastAsia="黑体" w:cs="黑体"/>
                        <w:spacing w:val="-3"/>
                        <w:sz w:val="19"/>
                        <w:szCs w:val="19"/>
                      </w:rPr>
                      <w:t>挪威</w:t>
                    </w:r>
                    <w:r>
                      <w:rPr>
                        <w:rFonts w:ascii="黑体" w:hAnsi="黑体" w:eastAsia="黑体" w:cs="黑体"/>
                        <w:sz w:val="19"/>
                        <w:szCs w:val="19"/>
                      </w:rPr>
                      <w:t xml:space="preserve"> </w:t>
                    </w:r>
                    <w:r>
                      <w:rPr>
                        <w:rFonts w:ascii="宋体" w:hAnsi="宋体" w:eastAsia="宋体" w:cs="宋体"/>
                        <w:spacing w:val="-10"/>
                        <w:sz w:val="19"/>
                        <w:szCs w:val="19"/>
                      </w:rPr>
                      <w:t>新西兰</w:t>
                    </w:r>
                  </w:p>
                  <w:p w14:paraId="45DC8BE9">
                    <w:pPr>
                      <w:spacing w:before="1" w:line="214" w:lineRule="auto"/>
                      <w:ind w:left="190" w:right="4183" w:firstLine="329"/>
                      <w:jc w:val="right"/>
                      <w:rPr>
                        <w:rFonts w:ascii="宋体" w:hAnsi="宋体" w:eastAsia="宋体" w:cs="宋体"/>
                        <w:sz w:val="19"/>
                        <w:szCs w:val="19"/>
                      </w:rPr>
                    </w:pPr>
                    <w:r>
                      <w:rPr>
                        <w:rFonts w:ascii="黑体" w:hAnsi="黑体" w:eastAsia="黑体" w:cs="黑体"/>
                        <w:spacing w:val="-4"/>
                        <w:sz w:val="19"/>
                        <w:szCs w:val="19"/>
                      </w:rPr>
                      <w:t>德国</w:t>
                    </w:r>
                    <w:r>
                      <w:rPr>
                        <w:rFonts w:ascii="黑体" w:hAnsi="黑体" w:eastAsia="黑体" w:cs="黑体"/>
                        <w:sz w:val="19"/>
                        <w:szCs w:val="19"/>
                      </w:rPr>
                      <w:t xml:space="preserve"> </w:t>
                    </w:r>
                    <w:r>
                      <w:rPr>
                        <w:rFonts w:ascii="宋体" w:hAnsi="宋体" w:eastAsia="宋体" w:cs="宋体"/>
                        <w:spacing w:val="39"/>
                        <w:sz w:val="19"/>
                        <w:szCs w:val="19"/>
                      </w:rPr>
                      <w:t>爱尔兰</w:t>
                    </w:r>
                    <w:r>
                      <w:rPr>
                        <w:rFonts w:ascii="宋体" w:hAnsi="宋体" w:eastAsia="宋体" w:cs="宋体"/>
                        <w:sz w:val="19"/>
                        <w:szCs w:val="19"/>
                      </w:rPr>
                      <w:t xml:space="preserve"> </w:t>
                    </w:r>
                    <w:r>
                      <w:rPr>
                        <w:rFonts w:ascii="宋体" w:hAnsi="宋体" w:eastAsia="宋体" w:cs="宋体"/>
                        <w:spacing w:val="-14"/>
                        <w:w w:val="97"/>
                        <w:sz w:val="19"/>
                        <w:szCs w:val="19"/>
                      </w:rPr>
                      <w:t>保加利亚</w:t>
                    </w:r>
                  </w:p>
                  <w:p w14:paraId="77B95B1E">
                    <w:pPr>
                      <w:spacing w:before="1" w:line="204" w:lineRule="auto"/>
                      <w:ind w:left="520"/>
                      <w:rPr>
                        <w:rFonts w:ascii="宋体" w:hAnsi="宋体" w:eastAsia="宋体" w:cs="宋体"/>
                        <w:sz w:val="19"/>
                        <w:szCs w:val="19"/>
                      </w:rPr>
                    </w:pPr>
                    <w:r>
                      <w:rPr>
                        <w:rFonts w:ascii="宋体" w:hAnsi="宋体" w:eastAsia="宋体" w:cs="宋体"/>
                        <w:spacing w:val="-2"/>
                        <w:sz w:val="19"/>
                        <w:szCs w:val="19"/>
                      </w:rPr>
                      <w:t>丹麦</w:t>
                    </w:r>
                  </w:p>
                  <w:p w14:paraId="32236747">
                    <w:pPr>
                      <w:spacing w:line="222" w:lineRule="auto"/>
                      <w:ind w:left="520"/>
                      <w:rPr>
                        <w:rFonts w:ascii="黑体" w:hAnsi="黑体" w:eastAsia="黑体" w:cs="黑体"/>
                        <w:sz w:val="19"/>
                        <w:szCs w:val="19"/>
                      </w:rPr>
                    </w:pPr>
                    <w:r>
                      <w:rPr>
                        <w:rFonts w:ascii="黑体" w:hAnsi="黑体" w:eastAsia="黑体" w:cs="黑体"/>
                        <w:spacing w:val="-3"/>
                        <w:sz w:val="19"/>
                        <w:szCs w:val="19"/>
                      </w:rPr>
                      <w:t>英国</w:t>
                    </w:r>
                  </w:p>
                  <w:p w14:paraId="174ACC1C">
                    <w:pPr>
                      <w:spacing w:before="2" w:line="219" w:lineRule="auto"/>
                      <w:ind w:left="520"/>
                      <w:rPr>
                        <w:rFonts w:ascii="宋体" w:hAnsi="宋体" w:eastAsia="宋体" w:cs="宋体"/>
                        <w:sz w:val="19"/>
                        <w:szCs w:val="19"/>
                      </w:rPr>
                    </w:pPr>
                    <w:r>
                      <w:rPr>
                        <w:rFonts w:ascii="宋体" w:hAnsi="宋体" w:eastAsia="宋体" w:cs="宋体"/>
                        <w:spacing w:val="-2"/>
                        <w:sz w:val="19"/>
                        <w:szCs w:val="19"/>
                      </w:rPr>
                      <w:t>荷兰</w:t>
                    </w:r>
                  </w:p>
                  <w:p w14:paraId="4EB4888F">
                    <w:pPr>
                      <w:spacing w:line="267" w:lineRule="auto"/>
                      <w:rPr>
                        <w:rFonts w:ascii="Arial"/>
                        <w:sz w:val="21"/>
                      </w:rPr>
                    </w:pPr>
                  </w:p>
                  <w:p w14:paraId="06DC2D23">
                    <w:pPr>
                      <w:spacing w:before="40" w:line="203" w:lineRule="auto"/>
                      <w:ind w:right="18"/>
                      <w:jc w:val="right"/>
                      <w:rPr>
                        <w:rFonts w:ascii="Times New Roman" w:hAnsi="Times New Roman" w:eastAsia="Times New Roman" w:cs="Times New Roman"/>
                        <w:sz w:val="14"/>
                        <w:szCs w:val="14"/>
                      </w:rPr>
                    </w:pPr>
                    <w:r>
                      <w:rPr>
                        <w:rFonts w:ascii="Times New Roman" w:hAnsi="Times New Roman" w:eastAsia="Times New Roman" w:cs="Times New Roman"/>
                        <w:spacing w:val="-3"/>
                        <w:sz w:val="14"/>
                        <w:szCs w:val="14"/>
                      </w:rPr>
                      <w:t>0                             5</w:t>
                    </w:r>
                    <w:r>
                      <w:rPr>
                        <w:rFonts w:ascii="Times New Roman" w:hAnsi="Times New Roman" w:eastAsia="Times New Roman" w:cs="Times New Roman"/>
                        <w:sz w:val="14"/>
                        <w:szCs w:val="14"/>
                      </w:rPr>
                      <w:t xml:space="preserve">                          </w:t>
                    </w:r>
                    <w:r>
                      <w:rPr>
                        <w:rFonts w:ascii="Times New Roman" w:hAnsi="Times New Roman" w:eastAsia="Times New Roman" w:cs="Times New Roman"/>
                        <w:spacing w:val="-3"/>
                        <w:sz w:val="14"/>
                        <w:szCs w:val="14"/>
                      </w:rPr>
                      <w:t xml:space="preserve">10                           15                           </w:t>
                    </w:r>
                    <w:r>
                      <w:rPr>
                        <w:rFonts w:ascii="Times New Roman" w:hAnsi="Times New Roman" w:eastAsia="Times New Roman" w:cs="Times New Roman"/>
                        <w:spacing w:val="-4"/>
                        <w:sz w:val="14"/>
                        <w:szCs w:val="14"/>
                      </w:rPr>
                      <w:t>20</w:t>
                    </w:r>
                  </w:p>
                </w:txbxContent>
              </v:textbox>
            </v:shape>
            <v:shape id="_x0000_s1039" o:spid="_x0000_s1039" o:spt="202" type="#_x0000_t202" style="position:absolute;left:5732;top:3654;height:850;width:926;" filled="f" stroked="f" coordsize="21600,21600">
              <v:path/>
              <v:fill on="f" focussize="0,0"/>
              <v:stroke on="f"/>
              <v:imagedata o:title=""/>
              <o:lock v:ext="edit" aspectratio="f"/>
              <v:textbox inset="0mm,0mm,0mm,0mm">
                <w:txbxContent>
                  <w:p w14:paraId="1C45B081">
                    <w:pPr>
                      <w:spacing w:before="20" w:line="265" w:lineRule="auto"/>
                      <w:ind w:left="20" w:right="20"/>
                      <w:rPr>
                        <w:rFonts w:ascii="宋体" w:hAnsi="宋体" w:eastAsia="宋体" w:cs="宋体"/>
                        <w:sz w:val="19"/>
                        <w:szCs w:val="19"/>
                      </w:rPr>
                    </w:pPr>
                    <w:r>
                      <w:rPr>
                        <w:rFonts w:ascii="宋体" w:hAnsi="宋体" w:eastAsia="宋体" w:cs="宋体"/>
                        <w:b/>
                        <w:bCs/>
                        <w:spacing w:val="-21"/>
                        <w:sz w:val="19"/>
                        <w:szCs w:val="19"/>
                      </w:rPr>
                      <w:t>■乳头状癌</w:t>
                    </w:r>
                    <w:r>
                      <w:rPr>
                        <w:rFonts w:ascii="宋体" w:hAnsi="宋体" w:eastAsia="宋体" w:cs="宋体"/>
                        <w:sz w:val="19"/>
                        <w:szCs w:val="19"/>
                      </w:rPr>
                      <w:t xml:space="preserve"> </w:t>
                    </w:r>
                    <w:r>
                      <w:rPr>
                        <w:rFonts w:ascii="宋体" w:hAnsi="宋体" w:eastAsia="宋体" w:cs="宋体"/>
                        <w:b/>
                        <w:bCs/>
                        <w:spacing w:val="-15"/>
                        <w:sz w:val="19"/>
                        <w:szCs w:val="19"/>
                      </w:rPr>
                      <w:t>口滤泡状癌</w:t>
                    </w:r>
                  </w:p>
                  <w:p w14:paraId="6FD531DE">
                    <w:pPr>
                      <w:spacing w:before="74" w:line="219" w:lineRule="auto"/>
                      <w:ind w:left="20"/>
                      <w:rPr>
                        <w:rFonts w:ascii="宋体" w:hAnsi="宋体" w:eastAsia="宋体" w:cs="宋体"/>
                        <w:sz w:val="19"/>
                        <w:szCs w:val="19"/>
                      </w:rPr>
                    </w:pPr>
                    <w:r>
                      <w:rPr>
                        <w:rFonts w:ascii="宋体" w:hAnsi="宋体" w:eastAsia="宋体" w:cs="宋体"/>
                        <w:b/>
                        <w:bCs/>
                        <w:spacing w:val="-17"/>
                        <w:sz w:val="19"/>
                        <w:szCs w:val="19"/>
                      </w:rPr>
                      <w:t>□其他类型</w:t>
                    </w:r>
                  </w:p>
                </w:txbxContent>
              </v:textbox>
            </v:shape>
            <v:shape id="_x0000_s1040" o:spid="_x0000_s1040" o:spt="202" type="#_x0000_t202" style="position:absolute;left:5900;top:5402;height:138;width:1198;" filled="f" stroked="f" coordsize="21600,21600">
              <v:path/>
              <v:fill on="f" focussize="0,0"/>
              <v:stroke on="f"/>
              <v:imagedata o:title=""/>
              <o:lock v:ext="edit" aspectratio="f"/>
              <v:textbox inset="0mm,0mm,0mm,0mm">
                <w:txbxContent>
                  <w:p w14:paraId="4B91845A">
                    <w:pPr>
                      <w:spacing w:before="20" w:line="188" w:lineRule="auto"/>
                      <w:ind w:left="20"/>
                      <w:rPr>
                        <w:rFonts w:ascii="Times New Roman" w:hAnsi="Times New Roman" w:eastAsia="Times New Roman" w:cs="Times New Roman"/>
                        <w:sz w:val="14"/>
                        <w:szCs w:val="14"/>
                      </w:rPr>
                    </w:pPr>
                    <w:r>
                      <w:rPr>
                        <w:rFonts w:ascii="Times New Roman" w:hAnsi="Times New Roman" w:eastAsia="Times New Roman" w:cs="Times New Roman"/>
                        <w:spacing w:val="-2"/>
                        <w:sz w:val="14"/>
                        <w:szCs w:val="14"/>
                      </w:rPr>
                      <w:t>25</w:t>
                    </w:r>
                    <w:r>
                      <w:rPr>
                        <w:rFonts w:ascii="Times New Roman" w:hAnsi="Times New Roman" w:eastAsia="Times New Roman" w:cs="Times New Roman"/>
                        <w:sz w:val="14"/>
                        <w:szCs w:val="14"/>
                      </w:rPr>
                      <w:t xml:space="preserve">                         </w:t>
                    </w:r>
                    <w:r>
                      <w:rPr>
                        <w:rFonts w:ascii="Times New Roman" w:hAnsi="Times New Roman" w:eastAsia="Times New Roman" w:cs="Times New Roman"/>
                        <w:b/>
                        <w:bCs/>
                        <w:spacing w:val="-2"/>
                        <w:sz w:val="14"/>
                        <w:szCs w:val="14"/>
                      </w:rPr>
                      <w:t>30</w:t>
                    </w:r>
                  </w:p>
                </w:txbxContent>
              </v:textbox>
            </v:shape>
            <w10:wrap type="none"/>
            <w10:anchorlock/>
          </v:group>
        </w:pict>
      </w:r>
    </w:p>
    <w:p w14:paraId="6BB5D78C">
      <w:pPr>
        <w:spacing w:before="87" w:line="219" w:lineRule="auto"/>
        <w:ind w:left="4669"/>
        <w:rPr>
          <w:rFonts w:ascii="宋体" w:hAnsi="宋体" w:eastAsia="宋体" w:cs="宋体"/>
          <w:sz w:val="19"/>
          <w:szCs w:val="19"/>
        </w:rPr>
      </w:pPr>
      <w:r>
        <w:rPr>
          <w:rFonts w:ascii="宋体" w:hAnsi="宋体" w:eastAsia="宋体" w:cs="宋体"/>
          <w:spacing w:val="-5"/>
          <w:sz w:val="19"/>
          <w:szCs w:val="19"/>
        </w:rPr>
        <w:t>标化发病率/(1/10万)</w:t>
      </w:r>
    </w:p>
    <w:p w14:paraId="167422F5">
      <w:pPr>
        <w:spacing w:before="135" w:line="219" w:lineRule="auto"/>
        <w:ind w:left="2709"/>
        <w:rPr>
          <w:rFonts w:ascii="宋体" w:hAnsi="宋体" w:eastAsia="宋体" w:cs="宋体"/>
          <w:sz w:val="19"/>
          <w:szCs w:val="19"/>
        </w:rPr>
      </w:pPr>
      <w:r>
        <w:rPr>
          <w:rFonts w:ascii="宋体" w:hAnsi="宋体" w:eastAsia="宋体" w:cs="宋体"/>
          <w:spacing w:val="11"/>
          <w:sz w:val="19"/>
          <w:szCs w:val="19"/>
        </w:rPr>
        <w:t>图2-42008—2012年世界不同国家甲状</w:t>
      </w:r>
      <w:r>
        <w:rPr>
          <w:rFonts w:ascii="宋体" w:hAnsi="宋体" w:eastAsia="宋体" w:cs="宋体"/>
          <w:spacing w:val="10"/>
          <w:sz w:val="19"/>
          <w:szCs w:val="19"/>
        </w:rPr>
        <w:t>腺癌标化发病率</w:t>
      </w:r>
    </w:p>
    <w:p w14:paraId="3F5EC112">
      <w:pPr>
        <w:spacing w:before="83" w:line="212" w:lineRule="auto"/>
        <w:ind w:left="3699"/>
        <w:rPr>
          <w:rFonts w:ascii="Times New Roman" w:hAnsi="Times New Roman" w:eastAsia="Times New Roman" w:cs="Times New Roman"/>
          <w:sz w:val="19"/>
          <w:szCs w:val="19"/>
        </w:rPr>
      </w:pPr>
      <w:r>
        <w:rPr>
          <w:rFonts w:ascii="宋体" w:hAnsi="宋体" w:eastAsia="宋体" w:cs="宋体"/>
          <w:sz w:val="19"/>
          <w:szCs w:val="19"/>
        </w:rPr>
        <w:t>(改编自</w:t>
      </w:r>
      <w:r>
        <w:rPr>
          <w:rFonts w:ascii="Times New Roman" w:hAnsi="Times New Roman" w:eastAsia="Times New Roman" w:cs="Times New Roman"/>
          <w:sz w:val="19"/>
          <w:szCs w:val="19"/>
        </w:rPr>
        <w:t>Salvatore   Vaccarella,2021)</w:t>
      </w:r>
    </w:p>
    <w:p w14:paraId="7033D4EB">
      <w:pPr>
        <w:spacing w:line="358" w:lineRule="auto"/>
        <w:rPr>
          <w:rFonts w:ascii="Arial"/>
          <w:sz w:val="21"/>
        </w:rPr>
      </w:pPr>
    </w:p>
    <w:p w14:paraId="3B1CE5AD">
      <w:pPr>
        <w:pStyle w:val="2"/>
        <w:spacing w:before="63" w:line="360" w:lineRule="auto"/>
        <w:ind w:left="679" w:right="37" w:firstLine="419"/>
        <w:jc w:val="both"/>
        <w:rPr>
          <w:rFonts w:ascii="宋体" w:hAnsi="宋体" w:eastAsia="宋体" w:cs="宋体"/>
          <w:sz w:val="19"/>
          <w:szCs w:val="19"/>
        </w:rPr>
      </w:pPr>
      <w:r>
        <w:rPr>
          <w:rFonts w:ascii="宋体" w:hAnsi="宋体" w:eastAsia="宋体" w:cs="宋体"/>
          <w:spacing w:val="19"/>
          <w:sz w:val="19"/>
          <w:szCs w:val="19"/>
        </w:rPr>
        <w:t xml:space="preserve">2. </w:t>
      </w:r>
      <w:r>
        <w:rPr>
          <w:spacing w:val="19"/>
          <w:sz w:val="19"/>
          <w:szCs w:val="19"/>
        </w:rPr>
        <w:t>疾病在同一国家内不同地区的分布</w:t>
      </w:r>
      <w:r>
        <w:rPr>
          <w:spacing w:val="97"/>
          <w:sz w:val="19"/>
          <w:szCs w:val="19"/>
        </w:rPr>
        <w:t xml:space="preserve"> </w:t>
      </w:r>
      <w:r>
        <w:rPr>
          <w:rFonts w:ascii="宋体" w:hAnsi="宋体" w:eastAsia="宋体" w:cs="宋体"/>
          <w:spacing w:val="19"/>
          <w:sz w:val="19"/>
          <w:szCs w:val="19"/>
        </w:rPr>
        <w:t>疾病在同一国家不同地区的分布存在明显差别。如我</w:t>
      </w:r>
      <w:r>
        <w:rPr>
          <w:rFonts w:ascii="宋体" w:hAnsi="宋体" w:eastAsia="宋体" w:cs="宋体"/>
          <w:sz w:val="19"/>
          <w:szCs w:val="19"/>
        </w:rPr>
        <w:t xml:space="preserve"> </w:t>
      </w:r>
      <w:r>
        <w:rPr>
          <w:rFonts w:ascii="宋体" w:hAnsi="宋体" w:eastAsia="宋体" w:cs="宋体"/>
          <w:spacing w:val="16"/>
          <w:sz w:val="19"/>
          <w:szCs w:val="19"/>
        </w:rPr>
        <w:t>国血吸虫病多见于长江以南地区，鼻咽癌多见于广东，胃癌好发于西北地区，原发</w:t>
      </w:r>
      <w:r>
        <w:rPr>
          <w:rFonts w:ascii="宋体" w:hAnsi="宋体" w:eastAsia="宋体" w:cs="宋体"/>
          <w:spacing w:val="15"/>
          <w:sz w:val="19"/>
          <w:szCs w:val="19"/>
        </w:rPr>
        <w:t>性高血压的患病</w:t>
      </w:r>
      <w:r>
        <w:rPr>
          <w:rFonts w:ascii="宋体" w:hAnsi="宋体" w:eastAsia="宋体" w:cs="宋体"/>
          <w:sz w:val="19"/>
          <w:szCs w:val="19"/>
        </w:rPr>
        <w:t xml:space="preserve"> </w:t>
      </w:r>
      <w:r>
        <w:rPr>
          <w:rFonts w:ascii="宋体" w:hAnsi="宋体" w:eastAsia="宋体" w:cs="宋体"/>
          <w:spacing w:val="14"/>
          <w:sz w:val="19"/>
          <w:szCs w:val="19"/>
        </w:rPr>
        <w:t>率北方高于南方，肝癌一般呈现东南沿海高于西部内陆、农村高于城市的地区分布特点。</w:t>
      </w:r>
    </w:p>
    <w:p w14:paraId="0B56EFEE">
      <w:pPr>
        <w:spacing w:before="20" w:line="349" w:lineRule="auto"/>
        <w:ind w:left="679" w:right="35" w:firstLine="419"/>
        <w:jc w:val="both"/>
        <w:rPr>
          <w:rFonts w:ascii="宋体" w:hAnsi="宋体" w:eastAsia="宋体" w:cs="宋体"/>
          <w:sz w:val="19"/>
          <w:szCs w:val="19"/>
        </w:rPr>
      </w:pPr>
      <w:r>
        <w:rPr>
          <w:rFonts w:ascii="宋体" w:hAnsi="宋体" w:eastAsia="宋体" w:cs="宋体"/>
          <w:spacing w:val="21"/>
          <w:sz w:val="19"/>
          <w:szCs w:val="19"/>
        </w:rPr>
        <w:t>我国人布鲁氏菌病的发病率北方地区(尤其是内蒙古、青海与新疆)显著高于南方地区。人布</w:t>
      </w:r>
      <w:r>
        <w:rPr>
          <w:rFonts w:ascii="宋体" w:hAnsi="宋体" w:eastAsia="宋体" w:cs="宋体"/>
          <w:spacing w:val="17"/>
          <w:sz w:val="19"/>
          <w:szCs w:val="19"/>
        </w:rPr>
        <w:t xml:space="preserve"> </w:t>
      </w:r>
      <w:r>
        <w:rPr>
          <w:rFonts w:ascii="宋体" w:hAnsi="宋体" w:eastAsia="宋体" w:cs="宋体"/>
          <w:spacing w:val="16"/>
          <w:sz w:val="19"/>
          <w:szCs w:val="19"/>
        </w:rPr>
        <w:t>鲁氏菌病是一种自然疫源性传染病，与受感染的动物接触、食用被污染的生奶和奶制品是感染布鲁</w:t>
      </w:r>
      <w:r>
        <w:rPr>
          <w:rFonts w:ascii="宋体" w:hAnsi="宋体" w:eastAsia="宋体" w:cs="宋体"/>
          <w:spacing w:val="10"/>
          <w:sz w:val="19"/>
          <w:szCs w:val="19"/>
        </w:rPr>
        <w:t xml:space="preserve"> </w:t>
      </w:r>
      <w:r>
        <w:rPr>
          <w:rFonts w:ascii="宋体" w:hAnsi="宋体" w:eastAsia="宋体" w:cs="宋体"/>
          <w:spacing w:val="16"/>
          <w:sz w:val="19"/>
          <w:szCs w:val="19"/>
        </w:rPr>
        <w:t>氏菌的主要危险因素。内蒙古、青海与新疆是传统的畜牧业大省，其高发病率水平与牛、羊等养殖</w:t>
      </w:r>
      <w:r>
        <w:rPr>
          <w:rFonts w:ascii="宋体" w:hAnsi="宋体" w:eastAsia="宋体" w:cs="宋体"/>
          <w:spacing w:val="8"/>
          <w:sz w:val="19"/>
          <w:szCs w:val="19"/>
        </w:rPr>
        <w:t xml:space="preserve"> </w:t>
      </w:r>
      <w:r>
        <w:rPr>
          <w:rFonts w:ascii="宋体" w:hAnsi="宋体" w:eastAsia="宋体" w:cs="宋体"/>
          <w:spacing w:val="14"/>
          <w:sz w:val="19"/>
          <w:szCs w:val="19"/>
        </w:rPr>
        <w:t>密切相关，与牲畜密切接触的传统养殖、生产和销售方式是导致该病流行的主要危险因素。</w:t>
      </w:r>
    </w:p>
    <w:p w14:paraId="24B16BD6">
      <w:pPr>
        <w:pStyle w:val="2"/>
        <w:spacing w:line="221" w:lineRule="auto"/>
        <w:ind w:left="1103"/>
        <w:rPr>
          <w:sz w:val="24"/>
          <w:szCs w:val="24"/>
        </w:rPr>
      </w:pPr>
      <w:r>
        <w:rPr>
          <w:b/>
          <w:bCs/>
          <w:spacing w:val="-5"/>
          <w:sz w:val="24"/>
          <w:szCs w:val="24"/>
        </w:rPr>
        <w:t>(二)城乡分布</w:t>
      </w:r>
    </w:p>
    <w:p w14:paraId="37787C11">
      <w:pPr>
        <w:spacing w:before="125" w:line="370" w:lineRule="auto"/>
        <w:ind w:left="679" w:firstLine="419"/>
        <w:jc w:val="both"/>
        <w:rPr>
          <w:rFonts w:ascii="宋体" w:hAnsi="宋体" w:eastAsia="宋体" w:cs="宋体"/>
          <w:sz w:val="19"/>
          <w:szCs w:val="19"/>
        </w:rPr>
      </w:pPr>
      <w:r>
        <w:rPr>
          <w:rFonts w:ascii="宋体" w:hAnsi="宋体" w:eastAsia="宋体" w:cs="宋体"/>
          <w:spacing w:val="11"/>
          <w:sz w:val="19"/>
          <w:szCs w:val="19"/>
        </w:rPr>
        <w:t>由于生活条件、卫生状况、人口密度、交通条件、工业水平、动植物的分布等</w:t>
      </w:r>
      <w:r>
        <w:rPr>
          <w:rFonts w:ascii="宋体" w:hAnsi="宋体" w:eastAsia="宋体" w:cs="宋体"/>
          <w:spacing w:val="10"/>
          <w:sz w:val="19"/>
          <w:szCs w:val="19"/>
        </w:rPr>
        <w:t>情况不同，疾病的</w:t>
      </w:r>
      <w:r>
        <w:rPr>
          <w:rFonts w:ascii="宋体" w:hAnsi="宋体" w:eastAsia="宋体" w:cs="宋体"/>
          <w:sz w:val="19"/>
          <w:szCs w:val="19"/>
        </w:rPr>
        <w:t xml:space="preserve">  </w:t>
      </w:r>
      <w:r>
        <w:rPr>
          <w:rFonts w:ascii="宋体" w:hAnsi="宋体" w:eastAsia="宋体" w:cs="宋体"/>
          <w:spacing w:val="21"/>
          <w:sz w:val="19"/>
          <w:szCs w:val="19"/>
        </w:rPr>
        <w:t>病种、死因顺位、发病率或死亡率等均表现出明显的城乡差异，了解城乡人</w:t>
      </w:r>
      <w:r>
        <w:rPr>
          <w:rFonts w:ascii="宋体" w:hAnsi="宋体" w:eastAsia="宋体" w:cs="宋体"/>
          <w:spacing w:val="20"/>
          <w:sz w:val="19"/>
          <w:szCs w:val="19"/>
        </w:rPr>
        <w:t>群疾病频率变动趋势</w:t>
      </w:r>
      <w:r>
        <w:rPr>
          <w:rFonts w:ascii="宋体" w:hAnsi="宋体" w:eastAsia="宋体" w:cs="宋体"/>
          <w:sz w:val="19"/>
          <w:szCs w:val="19"/>
        </w:rPr>
        <w:t xml:space="preserve">  </w:t>
      </w:r>
      <w:r>
        <w:rPr>
          <w:rFonts w:ascii="宋体" w:hAnsi="宋体" w:eastAsia="宋体" w:cs="宋体"/>
          <w:spacing w:val="21"/>
          <w:sz w:val="19"/>
          <w:szCs w:val="19"/>
        </w:rPr>
        <w:t>是制定预防和控制措施的依据。图2-5显示2005</w:t>
      </w:r>
      <w:r>
        <w:rPr>
          <w:rFonts w:ascii="宋体" w:hAnsi="宋体" w:eastAsia="宋体" w:cs="宋体"/>
          <w:spacing w:val="-65"/>
          <w:sz w:val="19"/>
          <w:szCs w:val="19"/>
        </w:rPr>
        <w:t xml:space="preserve"> </w:t>
      </w:r>
      <w:r>
        <w:rPr>
          <w:rFonts w:ascii="宋体" w:hAnsi="宋体" w:eastAsia="宋体" w:cs="宋体"/>
          <w:spacing w:val="21"/>
          <w:sz w:val="19"/>
          <w:szCs w:val="19"/>
        </w:rPr>
        <w:t>—</w:t>
      </w:r>
      <w:r>
        <w:rPr>
          <w:rFonts w:ascii="宋体" w:hAnsi="宋体" w:eastAsia="宋体" w:cs="宋体"/>
          <w:spacing w:val="-61"/>
          <w:sz w:val="19"/>
          <w:szCs w:val="19"/>
        </w:rPr>
        <w:t xml:space="preserve"> </w:t>
      </w:r>
      <w:r>
        <w:rPr>
          <w:rFonts w:ascii="宋体" w:hAnsi="宋体" w:eastAsia="宋体" w:cs="宋体"/>
          <w:spacing w:val="21"/>
          <w:sz w:val="19"/>
          <w:szCs w:val="19"/>
        </w:rPr>
        <w:t>2016年我国城乡人群肝癌发病率的流行趋</w:t>
      </w:r>
      <w:r>
        <w:rPr>
          <w:rFonts w:ascii="宋体" w:hAnsi="宋体" w:eastAsia="宋体" w:cs="宋体"/>
          <w:spacing w:val="20"/>
          <w:sz w:val="19"/>
          <w:szCs w:val="19"/>
        </w:rPr>
        <w:t>势，</w:t>
      </w:r>
      <w:r>
        <w:rPr>
          <w:rFonts w:ascii="宋体" w:hAnsi="宋体" w:eastAsia="宋体" w:cs="宋体"/>
          <w:sz w:val="19"/>
          <w:szCs w:val="19"/>
        </w:rPr>
        <w:t xml:space="preserve"> </w:t>
      </w:r>
      <w:r>
        <w:rPr>
          <w:rFonts w:ascii="宋体" w:hAnsi="宋体" w:eastAsia="宋体" w:cs="宋体"/>
          <w:spacing w:val="16"/>
          <w:sz w:val="19"/>
          <w:szCs w:val="19"/>
        </w:rPr>
        <w:t>城市和农村的变化趋势有所不同，农村尤其在男性人群中呈明显的下降趋</w:t>
      </w:r>
      <w:r>
        <w:rPr>
          <w:rFonts w:ascii="宋体" w:hAnsi="宋体" w:eastAsia="宋体" w:cs="宋体"/>
          <w:spacing w:val="15"/>
          <w:sz w:val="19"/>
          <w:szCs w:val="19"/>
        </w:rPr>
        <w:t>势。总体而言，农村人群</w:t>
      </w:r>
      <w:r>
        <w:rPr>
          <w:rFonts w:ascii="宋体" w:hAnsi="宋体" w:eastAsia="宋体" w:cs="宋体"/>
          <w:sz w:val="19"/>
          <w:szCs w:val="19"/>
        </w:rPr>
        <w:t xml:space="preserve">  </w:t>
      </w:r>
      <w:r>
        <w:rPr>
          <w:rFonts w:ascii="宋体" w:hAnsi="宋体" w:eastAsia="宋体" w:cs="宋体"/>
          <w:spacing w:val="20"/>
          <w:sz w:val="19"/>
          <w:szCs w:val="19"/>
        </w:rPr>
        <w:t>肝癌发病率高于城市人群，城乡人群之间的发病率差异无论男性还是女性均呈逐渐</w:t>
      </w:r>
      <w:r>
        <w:rPr>
          <w:rFonts w:ascii="宋体" w:hAnsi="宋体" w:eastAsia="宋体" w:cs="宋体"/>
          <w:spacing w:val="19"/>
          <w:sz w:val="19"/>
          <w:szCs w:val="19"/>
        </w:rPr>
        <w:t>减小的趋势。</w:t>
      </w:r>
    </w:p>
    <w:p w14:paraId="5456DE79">
      <w:pPr>
        <w:spacing w:line="370" w:lineRule="auto"/>
        <w:rPr>
          <w:rFonts w:ascii="宋体" w:hAnsi="宋体" w:eastAsia="宋体" w:cs="宋体"/>
          <w:sz w:val="19"/>
          <w:szCs w:val="19"/>
        </w:rPr>
        <w:sectPr>
          <w:footerReference r:id="rId54" w:type="default"/>
          <w:pgSz w:w="11900" w:h="16820"/>
          <w:pgMar w:top="396" w:right="1474" w:bottom="830" w:left="810" w:header="0" w:footer="658" w:gutter="0"/>
          <w:cols w:space="720" w:num="1"/>
        </w:sectPr>
      </w:pPr>
    </w:p>
    <w:p w14:paraId="4D9E3E59">
      <w:pPr>
        <w:pStyle w:val="2"/>
        <w:spacing w:before="303" w:line="221" w:lineRule="auto"/>
        <w:ind w:left="7612"/>
        <w:rPr>
          <w:sz w:val="21"/>
          <w:szCs w:val="21"/>
        </w:rPr>
      </w:pPr>
      <w:bookmarkStart w:id="49" w:name="bookmark416"/>
      <w:bookmarkEnd w:id="49"/>
      <w:r>
        <w:rPr>
          <w:b/>
          <w:bCs/>
          <w:spacing w:val="-24"/>
          <w:sz w:val="21"/>
          <w:szCs w:val="21"/>
        </w:rPr>
        <w:t>第二章</w:t>
      </w:r>
      <w:r>
        <w:rPr>
          <w:spacing w:val="-24"/>
          <w:sz w:val="21"/>
          <w:szCs w:val="21"/>
        </w:rPr>
        <w:t xml:space="preserve"> </w:t>
      </w:r>
      <w:r>
        <w:rPr>
          <w:b/>
          <w:bCs/>
          <w:spacing w:val="-24"/>
          <w:sz w:val="21"/>
          <w:szCs w:val="21"/>
        </w:rPr>
        <w:t>疾病的分布</w:t>
      </w:r>
    </w:p>
    <w:p w14:paraId="6CBA97E4">
      <w:pPr>
        <w:spacing w:line="295" w:lineRule="auto"/>
        <w:rPr>
          <w:rFonts w:ascii="Arial"/>
          <w:sz w:val="21"/>
        </w:rPr>
      </w:pPr>
    </w:p>
    <w:p w14:paraId="19C8BB78">
      <w:pPr>
        <w:spacing w:line="296" w:lineRule="auto"/>
        <w:rPr>
          <w:rFonts w:ascii="Arial"/>
          <w:sz w:val="21"/>
        </w:rPr>
      </w:pPr>
    </w:p>
    <w:p w14:paraId="315FBBE2">
      <w:pPr>
        <w:spacing w:line="3830" w:lineRule="exact"/>
        <w:ind w:firstLine="2110"/>
      </w:pPr>
      <w:r>
        <mc:AlternateContent>
          <mc:Choice Requires="wps">
            <w:drawing>
              <wp:anchor distT="0" distB="0" distL="0" distR="0" simplePos="0" relativeHeight="251688960" behindDoc="0" locked="0" layoutInCell="1" allowOverlap="1">
                <wp:simplePos x="0" y="0"/>
                <wp:positionH relativeFrom="column">
                  <wp:posOffset>744855</wp:posOffset>
                </wp:positionH>
                <wp:positionV relativeFrom="paragraph">
                  <wp:posOffset>1149350</wp:posOffset>
                </wp:positionV>
                <wp:extent cx="1093470" cy="113030"/>
                <wp:effectExtent l="0" t="0" r="0" b="0"/>
                <wp:wrapNone/>
                <wp:docPr id="102" name="TextBox 102"/>
                <wp:cNvGraphicFramePr/>
                <a:graphic xmlns:a="http://schemas.openxmlformats.org/drawingml/2006/main">
                  <a:graphicData uri="http://schemas.microsoft.com/office/word/2010/wordprocessingShape">
                    <wps:wsp>
                      <wps:cNvSpPr txBox="1"/>
                      <wps:spPr>
                        <a:xfrm rot="16200000">
                          <a:off x="744893" y="1149634"/>
                          <a:ext cx="1093469" cy="113029"/>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4ECA2976">
                            <w:pPr>
                              <w:spacing w:before="39" w:line="219" w:lineRule="auto"/>
                              <w:ind w:left="20"/>
                              <w:rPr>
                                <w:rFonts w:ascii="宋体" w:hAnsi="宋体" w:eastAsia="宋体" w:cs="宋体"/>
                                <w:sz w:val="10"/>
                                <w:szCs w:val="10"/>
                              </w:rPr>
                            </w:pPr>
                            <w:r>
                              <w:rPr>
                                <w:rFonts w:ascii="宋体" w:hAnsi="宋体" w:eastAsia="宋体" w:cs="宋体"/>
                                <w:spacing w:val="-7"/>
                                <w:sz w:val="10"/>
                                <w:szCs w:val="10"/>
                              </w:rPr>
                              <w:t>标</w:t>
                            </w:r>
                            <w:r>
                              <w:rPr>
                                <w:rFonts w:ascii="宋体" w:hAnsi="宋体" w:eastAsia="宋体" w:cs="宋体"/>
                                <w:spacing w:val="21"/>
                                <w:sz w:val="10"/>
                                <w:szCs w:val="10"/>
                              </w:rPr>
                              <w:t xml:space="preserve"> </w:t>
                            </w:r>
                            <w:r>
                              <w:rPr>
                                <w:rFonts w:ascii="宋体" w:hAnsi="宋体" w:eastAsia="宋体" w:cs="宋体"/>
                                <w:spacing w:val="-7"/>
                                <w:sz w:val="10"/>
                                <w:szCs w:val="10"/>
                              </w:rPr>
                              <w:t>化</w:t>
                            </w:r>
                            <w:r>
                              <w:rPr>
                                <w:rFonts w:ascii="宋体" w:hAnsi="宋体" w:eastAsia="宋体" w:cs="宋体"/>
                                <w:spacing w:val="17"/>
                                <w:sz w:val="10"/>
                                <w:szCs w:val="10"/>
                              </w:rPr>
                              <w:t xml:space="preserve"> </w:t>
                            </w:r>
                            <w:r>
                              <w:rPr>
                                <w:rFonts w:ascii="宋体" w:hAnsi="宋体" w:eastAsia="宋体" w:cs="宋体"/>
                                <w:spacing w:val="-7"/>
                                <w:sz w:val="10"/>
                                <w:szCs w:val="10"/>
                              </w:rPr>
                              <w:t>发</w:t>
                            </w:r>
                            <w:r>
                              <w:rPr>
                                <w:rFonts w:ascii="宋体" w:hAnsi="宋体" w:eastAsia="宋体" w:cs="宋体"/>
                                <w:spacing w:val="14"/>
                                <w:w w:val="101"/>
                                <w:sz w:val="10"/>
                                <w:szCs w:val="10"/>
                              </w:rPr>
                              <w:t xml:space="preserve"> </w:t>
                            </w:r>
                            <w:r>
                              <w:rPr>
                                <w:rFonts w:ascii="宋体" w:hAnsi="宋体" w:eastAsia="宋体" w:cs="宋体"/>
                                <w:spacing w:val="-7"/>
                                <w:sz w:val="10"/>
                                <w:szCs w:val="10"/>
                              </w:rPr>
                              <w:t>病</w:t>
                            </w:r>
                            <w:r>
                              <w:rPr>
                                <w:rFonts w:ascii="宋体" w:hAnsi="宋体" w:eastAsia="宋体" w:cs="宋体"/>
                                <w:spacing w:val="16"/>
                                <w:sz w:val="10"/>
                                <w:szCs w:val="10"/>
                              </w:rPr>
                              <w:t xml:space="preserve"> </w:t>
                            </w:r>
                            <w:r>
                              <w:rPr>
                                <w:rFonts w:ascii="宋体" w:hAnsi="宋体" w:eastAsia="宋体" w:cs="宋体"/>
                                <w:spacing w:val="-7"/>
                                <w:sz w:val="10"/>
                                <w:szCs w:val="10"/>
                              </w:rPr>
                              <w:t>率</w:t>
                            </w:r>
                            <w:r>
                              <w:rPr>
                                <w:rFonts w:ascii="宋体" w:hAnsi="宋体" w:eastAsia="宋体" w:cs="宋体"/>
                                <w:spacing w:val="15"/>
                                <w:sz w:val="10"/>
                                <w:szCs w:val="10"/>
                              </w:rPr>
                              <w:t xml:space="preserve"> </w:t>
                            </w:r>
                            <w:r>
                              <w:rPr>
                                <w:rFonts w:ascii="宋体" w:hAnsi="宋体" w:eastAsia="宋体" w:cs="宋体"/>
                                <w:spacing w:val="-7"/>
                                <w:sz w:val="10"/>
                                <w:szCs w:val="10"/>
                              </w:rPr>
                              <w:t>/</w:t>
                            </w:r>
                            <w:r>
                              <w:rPr>
                                <w:rFonts w:ascii="宋体" w:hAnsi="宋体" w:eastAsia="宋体" w:cs="宋体"/>
                                <w:spacing w:val="33"/>
                                <w:sz w:val="10"/>
                                <w:szCs w:val="10"/>
                              </w:rPr>
                              <w:t xml:space="preserve"> </w:t>
                            </w:r>
                            <w:r>
                              <w:rPr>
                                <w:rFonts w:ascii="宋体" w:hAnsi="宋体" w:eastAsia="宋体" w:cs="宋体"/>
                                <w:spacing w:val="-7"/>
                                <w:sz w:val="10"/>
                                <w:szCs w:val="10"/>
                              </w:rPr>
                              <w:t>(</w:t>
                            </w:r>
                            <w:r>
                              <w:rPr>
                                <w:rFonts w:ascii="宋体" w:hAnsi="宋体" w:eastAsia="宋体" w:cs="宋体"/>
                                <w:spacing w:val="22"/>
                                <w:w w:val="101"/>
                                <w:sz w:val="10"/>
                                <w:szCs w:val="10"/>
                              </w:rPr>
                              <w:t xml:space="preserve"> </w:t>
                            </w:r>
                            <w:r>
                              <w:rPr>
                                <w:rFonts w:ascii="宋体" w:hAnsi="宋体" w:eastAsia="宋体" w:cs="宋体"/>
                                <w:spacing w:val="-7"/>
                                <w:sz w:val="10"/>
                                <w:szCs w:val="10"/>
                              </w:rPr>
                              <w:t>1</w:t>
                            </w:r>
                            <w:r>
                              <w:rPr>
                                <w:rFonts w:ascii="宋体" w:hAnsi="宋体" w:eastAsia="宋体" w:cs="宋体"/>
                                <w:spacing w:val="15"/>
                                <w:sz w:val="10"/>
                                <w:szCs w:val="10"/>
                              </w:rPr>
                              <w:t xml:space="preserve"> </w:t>
                            </w:r>
                            <w:r>
                              <w:rPr>
                                <w:rFonts w:ascii="宋体" w:hAnsi="宋体" w:eastAsia="宋体" w:cs="宋体"/>
                                <w:spacing w:val="-7"/>
                                <w:sz w:val="10"/>
                                <w:szCs w:val="10"/>
                              </w:rPr>
                              <w:t>/</w:t>
                            </w:r>
                            <w:r>
                              <w:rPr>
                                <w:rFonts w:ascii="宋体" w:hAnsi="宋体" w:eastAsia="宋体" w:cs="宋体"/>
                                <w:spacing w:val="22"/>
                                <w:w w:val="101"/>
                                <w:sz w:val="10"/>
                                <w:szCs w:val="10"/>
                              </w:rPr>
                              <w:t xml:space="preserve"> </w:t>
                            </w:r>
                            <w:r>
                              <w:rPr>
                                <w:rFonts w:ascii="宋体" w:hAnsi="宋体" w:eastAsia="宋体" w:cs="宋体"/>
                                <w:spacing w:val="-7"/>
                                <w:sz w:val="10"/>
                                <w:szCs w:val="10"/>
                              </w:rPr>
                              <w:t>1</w:t>
                            </w:r>
                            <w:r>
                              <w:rPr>
                                <w:rFonts w:ascii="宋体" w:hAnsi="宋体" w:eastAsia="宋体" w:cs="宋体"/>
                                <w:spacing w:val="16"/>
                                <w:sz w:val="10"/>
                                <w:szCs w:val="10"/>
                              </w:rPr>
                              <w:t xml:space="preserve"> </w:t>
                            </w:r>
                            <w:r>
                              <w:rPr>
                                <w:rFonts w:ascii="宋体" w:hAnsi="宋体" w:eastAsia="宋体" w:cs="宋体"/>
                                <w:spacing w:val="-7"/>
                                <w:sz w:val="10"/>
                                <w:szCs w:val="10"/>
                              </w:rPr>
                              <w:t>0</w:t>
                            </w:r>
                            <w:r>
                              <w:rPr>
                                <w:rFonts w:ascii="宋体" w:hAnsi="宋体" w:eastAsia="宋体" w:cs="宋体"/>
                                <w:spacing w:val="17"/>
                                <w:w w:val="101"/>
                                <w:sz w:val="10"/>
                                <w:szCs w:val="10"/>
                              </w:rPr>
                              <w:t xml:space="preserve"> </w:t>
                            </w:r>
                            <w:r>
                              <w:rPr>
                                <w:rFonts w:ascii="宋体" w:hAnsi="宋体" w:eastAsia="宋体" w:cs="宋体"/>
                                <w:spacing w:val="-7"/>
                                <w:sz w:val="10"/>
                                <w:szCs w:val="10"/>
                              </w:rPr>
                              <w:t>万</w:t>
                            </w:r>
                            <w:r>
                              <w:rPr>
                                <w:rFonts w:ascii="宋体" w:hAnsi="宋体" w:eastAsia="宋体" w:cs="宋体"/>
                                <w:spacing w:val="16"/>
                                <w:sz w:val="10"/>
                                <w:szCs w:val="10"/>
                              </w:rPr>
                              <w:t xml:space="preserve"> </w:t>
                            </w:r>
                            <w:r>
                              <w:rPr>
                                <w:rFonts w:ascii="宋体" w:hAnsi="宋体" w:eastAsia="宋体" w:cs="宋体"/>
                                <w:spacing w:val="-7"/>
                                <w:sz w:val="10"/>
                                <w:szCs w:val="10"/>
                              </w:rPr>
                              <w:t>)</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102" o:spid="_x0000_s1026" o:spt="202" type="#_x0000_t202" style="position:absolute;left:0pt;margin-left:58.65pt;margin-top:90.5pt;height:8.9pt;width:86.1pt;rotation:-5898240f;z-index:251688960;mso-width-relative:page;mso-height-relative:page;" filled="f" stroked="f" coordsize="21600,21600" o:gfxdata="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NXs9ZLZAAAACwEAAA8A&#10;AAAAAAAAAQAgAAAAIgAAAGRycy9kb3ducmV2LnhtbFBLAQIUABQAAAAIAIdO4kC4Xms8TwIAAKUE&#10;AAAOAAAAAAAAAAEAIAAAACgBAABkcnMvZTJvRG9jLnhtbFBLBQYAAAAABgAGAFkBAADpBQAAAAA=&#10;">
                <v:fill on="f" focussize="0,0"/>
                <v:stroke on="f" weight="0pt" miterlimit="0" joinstyle="miter"/>
                <v:imagedata o:title=""/>
                <o:lock v:ext="edit" aspectratio="f"/>
                <v:textbox inset="0mm,0mm,0mm,0mm">
                  <w:txbxContent>
                    <w:p w14:paraId="4ECA2976">
                      <w:pPr>
                        <w:spacing w:before="39" w:line="219" w:lineRule="auto"/>
                        <w:ind w:left="20"/>
                        <w:rPr>
                          <w:rFonts w:ascii="宋体" w:hAnsi="宋体" w:eastAsia="宋体" w:cs="宋体"/>
                          <w:sz w:val="10"/>
                          <w:szCs w:val="10"/>
                        </w:rPr>
                      </w:pPr>
                      <w:r>
                        <w:rPr>
                          <w:rFonts w:ascii="宋体" w:hAnsi="宋体" w:eastAsia="宋体" w:cs="宋体"/>
                          <w:spacing w:val="-7"/>
                          <w:sz w:val="10"/>
                          <w:szCs w:val="10"/>
                        </w:rPr>
                        <w:t>标</w:t>
                      </w:r>
                      <w:r>
                        <w:rPr>
                          <w:rFonts w:ascii="宋体" w:hAnsi="宋体" w:eastAsia="宋体" w:cs="宋体"/>
                          <w:spacing w:val="21"/>
                          <w:sz w:val="10"/>
                          <w:szCs w:val="10"/>
                        </w:rPr>
                        <w:t xml:space="preserve"> </w:t>
                      </w:r>
                      <w:r>
                        <w:rPr>
                          <w:rFonts w:ascii="宋体" w:hAnsi="宋体" w:eastAsia="宋体" w:cs="宋体"/>
                          <w:spacing w:val="-7"/>
                          <w:sz w:val="10"/>
                          <w:szCs w:val="10"/>
                        </w:rPr>
                        <w:t>化</w:t>
                      </w:r>
                      <w:r>
                        <w:rPr>
                          <w:rFonts w:ascii="宋体" w:hAnsi="宋体" w:eastAsia="宋体" w:cs="宋体"/>
                          <w:spacing w:val="17"/>
                          <w:sz w:val="10"/>
                          <w:szCs w:val="10"/>
                        </w:rPr>
                        <w:t xml:space="preserve"> </w:t>
                      </w:r>
                      <w:r>
                        <w:rPr>
                          <w:rFonts w:ascii="宋体" w:hAnsi="宋体" w:eastAsia="宋体" w:cs="宋体"/>
                          <w:spacing w:val="-7"/>
                          <w:sz w:val="10"/>
                          <w:szCs w:val="10"/>
                        </w:rPr>
                        <w:t>发</w:t>
                      </w:r>
                      <w:r>
                        <w:rPr>
                          <w:rFonts w:ascii="宋体" w:hAnsi="宋体" w:eastAsia="宋体" w:cs="宋体"/>
                          <w:spacing w:val="14"/>
                          <w:w w:val="101"/>
                          <w:sz w:val="10"/>
                          <w:szCs w:val="10"/>
                        </w:rPr>
                        <w:t xml:space="preserve"> </w:t>
                      </w:r>
                      <w:r>
                        <w:rPr>
                          <w:rFonts w:ascii="宋体" w:hAnsi="宋体" w:eastAsia="宋体" w:cs="宋体"/>
                          <w:spacing w:val="-7"/>
                          <w:sz w:val="10"/>
                          <w:szCs w:val="10"/>
                        </w:rPr>
                        <w:t>病</w:t>
                      </w:r>
                      <w:r>
                        <w:rPr>
                          <w:rFonts w:ascii="宋体" w:hAnsi="宋体" w:eastAsia="宋体" w:cs="宋体"/>
                          <w:spacing w:val="16"/>
                          <w:sz w:val="10"/>
                          <w:szCs w:val="10"/>
                        </w:rPr>
                        <w:t xml:space="preserve"> </w:t>
                      </w:r>
                      <w:r>
                        <w:rPr>
                          <w:rFonts w:ascii="宋体" w:hAnsi="宋体" w:eastAsia="宋体" w:cs="宋体"/>
                          <w:spacing w:val="-7"/>
                          <w:sz w:val="10"/>
                          <w:szCs w:val="10"/>
                        </w:rPr>
                        <w:t>率</w:t>
                      </w:r>
                      <w:r>
                        <w:rPr>
                          <w:rFonts w:ascii="宋体" w:hAnsi="宋体" w:eastAsia="宋体" w:cs="宋体"/>
                          <w:spacing w:val="15"/>
                          <w:sz w:val="10"/>
                          <w:szCs w:val="10"/>
                        </w:rPr>
                        <w:t xml:space="preserve"> </w:t>
                      </w:r>
                      <w:r>
                        <w:rPr>
                          <w:rFonts w:ascii="宋体" w:hAnsi="宋体" w:eastAsia="宋体" w:cs="宋体"/>
                          <w:spacing w:val="-7"/>
                          <w:sz w:val="10"/>
                          <w:szCs w:val="10"/>
                        </w:rPr>
                        <w:t>/</w:t>
                      </w:r>
                      <w:r>
                        <w:rPr>
                          <w:rFonts w:ascii="宋体" w:hAnsi="宋体" w:eastAsia="宋体" w:cs="宋体"/>
                          <w:spacing w:val="33"/>
                          <w:sz w:val="10"/>
                          <w:szCs w:val="10"/>
                        </w:rPr>
                        <w:t xml:space="preserve"> </w:t>
                      </w:r>
                      <w:r>
                        <w:rPr>
                          <w:rFonts w:ascii="宋体" w:hAnsi="宋体" w:eastAsia="宋体" w:cs="宋体"/>
                          <w:spacing w:val="-7"/>
                          <w:sz w:val="10"/>
                          <w:szCs w:val="10"/>
                        </w:rPr>
                        <w:t>(</w:t>
                      </w:r>
                      <w:r>
                        <w:rPr>
                          <w:rFonts w:ascii="宋体" w:hAnsi="宋体" w:eastAsia="宋体" w:cs="宋体"/>
                          <w:spacing w:val="22"/>
                          <w:w w:val="101"/>
                          <w:sz w:val="10"/>
                          <w:szCs w:val="10"/>
                        </w:rPr>
                        <w:t xml:space="preserve"> </w:t>
                      </w:r>
                      <w:r>
                        <w:rPr>
                          <w:rFonts w:ascii="宋体" w:hAnsi="宋体" w:eastAsia="宋体" w:cs="宋体"/>
                          <w:spacing w:val="-7"/>
                          <w:sz w:val="10"/>
                          <w:szCs w:val="10"/>
                        </w:rPr>
                        <w:t>1</w:t>
                      </w:r>
                      <w:r>
                        <w:rPr>
                          <w:rFonts w:ascii="宋体" w:hAnsi="宋体" w:eastAsia="宋体" w:cs="宋体"/>
                          <w:spacing w:val="15"/>
                          <w:sz w:val="10"/>
                          <w:szCs w:val="10"/>
                        </w:rPr>
                        <w:t xml:space="preserve"> </w:t>
                      </w:r>
                      <w:r>
                        <w:rPr>
                          <w:rFonts w:ascii="宋体" w:hAnsi="宋体" w:eastAsia="宋体" w:cs="宋体"/>
                          <w:spacing w:val="-7"/>
                          <w:sz w:val="10"/>
                          <w:szCs w:val="10"/>
                        </w:rPr>
                        <w:t>/</w:t>
                      </w:r>
                      <w:r>
                        <w:rPr>
                          <w:rFonts w:ascii="宋体" w:hAnsi="宋体" w:eastAsia="宋体" w:cs="宋体"/>
                          <w:spacing w:val="22"/>
                          <w:w w:val="101"/>
                          <w:sz w:val="10"/>
                          <w:szCs w:val="10"/>
                        </w:rPr>
                        <w:t xml:space="preserve"> </w:t>
                      </w:r>
                      <w:r>
                        <w:rPr>
                          <w:rFonts w:ascii="宋体" w:hAnsi="宋体" w:eastAsia="宋体" w:cs="宋体"/>
                          <w:spacing w:val="-7"/>
                          <w:sz w:val="10"/>
                          <w:szCs w:val="10"/>
                        </w:rPr>
                        <w:t>1</w:t>
                      </w:r>
                      <w:r>
                        <w:rPr>
                          <w:rFonts w:ascii="宋体" w:hAnsi="宋体" w:eastAsia="宋体" w:cs="宋体"/>
                          <w:spacing w:val="16"/>
                          <w:sz w:val="10"/>
                          <w:szCs w:val="10"/>
                        </w:rPr>
                        <w:t xml:space="preserve"> </w:t>
                      </w:r>
                      <w:r>
                        <w:rPr>
                          <w:rFonts w:ascii="宋体" w:hAnsi="宋体" w:eastAsia="宋体" w:cs="宋体"/>
                          <w:spacing w:val="-7"/>
                          <w:sz w:val="10"/>
                          <w:szCs w:val="10"/>
                        </w:rPr>
                        <w:t>0</w:t>
                      </w:r>
                      <w:r>
                        <w:rPr>
                          <w:rFonts w:ascii="宋体" w:hAnsi="宋体" w:eastAsia="宋体" w:cs="宋体"/>
                          <w:spacing w:val="17"/>
                          <w:w w:val="101"/>
                          <w:sz w:val="10"/>
                          <w:szCs w:val="10"/>
                        </w:rPr>
                        <w:t xml:space="preserve"> </w:t>
                      </w:r>
                      <w:r>
                        <w:rPr>
                          <w:rFonts w:ascii="宋体" w:hAnsi="宋体" w:eastAsia="宋体" w:cs="宋体"/>
                          <w:spacing w:val="-7"/>
                          <w:sz w:val="10"/>
                          <w:szCs w:val="10"/>
                        </w:rPr>
                        <w:t>万</w:t>
                      </w:r>
                      <w:r>
                        <w:rPr>
                          <w:rFonts w:ascii="宋体" w:hAnsi="宋体" w:eastAsia="宋体" w:cs="宋体"/>
                          <w:spacing w:val="16"/>
                          <w:sz w:val="10"/>
                          <w:szCs w:val="10"/>
                        </w:rPr>
                        <w:t xml:space="preserve"> </w:t>
                      </w:r>
                      <w:r>
                        <w:rPr>
                          <w:rFonts w:ascii="宋体" w:hAnsi="宋体" w:eastAsia="宋体" w:cs="宋体"/>
                          <w:spacing w:val="-7"/>
                          <w:sz w:val="10"/>
                          <w:szCs w:val="10"/>
                        </w:rPr>
                        <w:t>)</w:t>
                      </w:r>
                    </w:p>
                  </w:txbxContent>
                </v:textbox>
              </v:shape>
            </w:pict>
          </mc:Fallback>
        </mc:AlternateContent>
      </w:r>
      <w:r>
        <w:rPr>
          <w:position w:val="-76"/>
        </w:rPr>
        <w:drawing>
          <wp:inline distT="0" distB="0" distL="0" distR="0">
            <wp:extent cx="3314065" cy="2432050"/>
            <wp:effectExtent l="0" t="0" r="0" b="0"/>
            <wp:docPr id="104" name="IM 104"/>
            <wp:cNvGraphicFramePr/>
            <a:graphic xmlns:a="http://schemas.openxmlformats.org/drawingml/2006/main">
              <a:graphicData uri="http://schemas.openxmlformats.org/drawingml/2006/picture">
                <pic:pic xmlns:pic="http://schemas.openxmlformats.org/drawingml/2006/picture">
                  <pic:nvPicPr>
                    <pic:cNvPr id="104" name="IM 104"/>
                    <pic:cNvPicPr/>
                  </pic:nvPicPr>
                  <pic:blipFill>
                    <a:blip r:embed="rId445"/>
                    <a:stretch>
                      <a:fillRect/>
                    </a:stretch>
                  </pic:blipFill>
                  <pic:spPr>
                    <a:xfrm>
                      <a:off x="0" y="0"/>
                      <a:ext cx="3314658" cy="2432101"/>
                    </a:xfrm>
                    <a:prstGeom prst="rect">
                      <a:avLst/>
                    </a:prstGeom>
                  </pic:spPr>
                </pic:pic>
              </a:graphicData>
            </a:graphic>
          </wp:inline>
        </w:drawing>
      </w:r>
    </w:p>
    <w:p w14:paraId="2C7C0BE0">
      <w:pPr>
        <w:pStyle w:val="2"/>
        <w:spacing w:before="49" w:line="223" w:lineRule="auto"/>
        <w:ind w:left="4720"/>
        <w:rPr>
          <w:sz w:val="21"/>
          <w:szCs w:val="21"/>
        </w:rPr>
      </w:pPr>
      <w:r>
        <w:rPr>
          <w:spacing w:val="-14"/>
          <w:sz w:val="21"/>
          <w:szCs w:val="21"/>
        </w:rPr>
        <w:t>年份</w:t>
      </w:r>
    </w:p>
    <w:p w14:paraId="278DD67F">
      <w:pPr>
        <w:spacing w:before="145" w:line="219" w:lineRule="auto"/>
        <w:ind w:left="2030"/>
        <w:rPr>
          <w:rFonts w:ascii="宋体" w:hAnsi="宋体" w:eastAsia="宋体" w:cs="宋体"/>
          <w:sz w:val="21"/>
          <w:szCs w:val="21"/>
        </w:rPr>
      </w:pPr>
      <w:r>
        <w:rPr>
          <w:rFonts w:ascii="宋体" w:hAnsi="宋体" w:eastAsia="宋体" w:cs="宋体"/>
          <w:spacing w:val="-1"/>
          <w:sz w:val="21"/>
          <w:szCs w:val="21"/>
        </w:rPr>
        <w:t>图2-52005—2016年我国城乡人群肝癌发病率的流行趋势</w:t>
      </w:r>
    </w:p>
    <w:p w14:paraId="66ECDAF7">
      <w:pPr>
        <w:spacing w:before="49" w:line="219" w:lineRule="auto"/>
        <w:ind w:left="3660"/>
        <w:rPr>
          <w:rFonts w:ascii="宋体" w:hAnsi="宋体" w:eastAsia="宋体" w:cs="宋体"/>
          <w:sz w:val="21"/>
          <w:szCs w:val="21"/>
        </w:rPr>
      </w:pPr>
      <w:r>
        <w:rPr>
          <w:rFonts w:ascii="宋体" w:hAnsi="宋体" w:eastAsia="宋体" w:cs="宋体"/>
          <w:spacing w:val="-13"/>
          <w:sz w:val="21"/>
          <w:szCs w:val="21"/>
        </w:rPr>
        <w:t>(改编自张铁军，2022)</w:t>
      </w:r>
    </w:p>
    <w:p w14:paraId="5610295D">
      <w:pPr>
        <w:rPr>
          <w:rFonts w:ascii="Arial"/>
          <w:sz w:val="21"/>
        </w:rPr>
      </w:pPr>
    </w:p>
    <w:p w14:paraId="7116C332">
      <w:pPr>
        <w:pStyle w:val="2"/>
        <w:spacing w:before="69" w:line="322" w:lineRule="auto"/>
        <w:ind w:right="649" w:firstLine="430"/>
        <w:jc w:val="both"/>
        <w:rPr>
          <w:rFonts w:ascii="宋体" w:hAnsi="宋体" w:eastAsia="宋体" w:cs="宋体"/>
          <w:sz w:val="21"/>
          <w:szCs w:val="21"/>
        </w:rPr>
      </w:pPr>
      <w:r>
        <w:rPr>
          <w:rFonts w:ascii="宋体" w:hAnsi="宋体" w:eastAsia="宋体" w:cs="宋体"/>
          <w:spacing w:val="6"/>
          <w:sz w:val="21"/>
          <w:szCs w:val="21"/>
        </w:rPr>
        <w:t xml:space="preserve">1. </w:t>
      </w:r>
      <w:r>
        <w:rPr>
          <w:spacing w:val="6"/>
          <w:sz w:val="21"/>
          <w:szCs w:val="21"/>
        </w:rPr>
        <w:t xml:space="preserve">城市  </w:t>
      </w:r>
      <w:r>
        <w:rPr>
          <w:rFonts w:ascii="宋体" w:hAnsi="宋体" w:eastAsia="宋体" w:cs="宋体"/>
          <w:spacing w:val="6"/>
          <w:sz w:val="21"/>
          <w:szCs w:val="21"/>
        </w:rPr>
        <w:t>城市人口的密度大、居住面积狭窄、人口流动性大</w:t>
      </w:r>
      <w:r>
        <w:rPr>
          <w:rFonts w:ascii="宋体" w:hAnsi="宋体" w:eastAsia="宋体" w:cs="宋体"/>
          <w:spacing w:val="5"/>
          <w:sz w:val="21"/>
          <w:szCs w:val="21"/>
        </w:rPr>
        <w:t>和交通拥挤等，呼吸道传染病容</w:t>
      </w:r>
      <w:r>
        <w:rPr>
          <w:rFonts w:ascii="宋体" w:hAnsi="宋体" w:eastAsia="宋体" w:cs="宋体"/>
          <w:sz w:val="21"/>
          <w:szCs w:val="21"/>
        </w:rPr>
        <w:t xml:space="preserve"> </w:t>
      </w:r>
      <w:r>
        <w:rPr>
          <w:rFonts w:ascii="宋体" w:hAnsi="宋体" w:eastAsia="宋体" w:cs="宋体"/>
          <w:spacing w:val="13"/>
          <w:sz w:val="21"/>
          <w:szCs w:val="21"/>
        </w:rPr>
        <w:t>易传播，如水痘、流行性脑脊髓膜炎和流行性感冒等常在大城市发生流行。城市的出生率相对</w:t>
      </w:r>
      <w:r>
        <w:rPr>
          <w:rFonts w:ascii="宋体" w:hAnsi="宋体" w:eastAsia="宋体" w:cs="宋体"/>
          <w:spacing w:val="15"/>
          <w:sz w:val="21"/>
          <w:szCs w:val="21"/>
        </w:rPr>
        <w:t xml:space="preserve"> </w:t>
      </w:r>
      <w:r>
        <w:rPr>
          <w:rFonts w:ascii="宋体" w:hAnsi="宋体" w:eastAsia="宋体" w:cs="宋体"/>
          <w:spacing w:val="9"/>
          <w:sz w:val="21"/>
          <w:szCs w:val="21"/>
        </w:rPr>
        <w:t>稳定，青壮年所占比例较大，特别是大量农村人口涌</w:t>
      </w:r>
      <w:r>
        <w:rPr>
          <w:rFonts w:ascii="宋体" w:hAnsi="宋体" w:eastAsia="宋体" w:cs="宋体"/>
          <w:spacing w:val="8"/>
          <w:sz w:val="21"/>
          <w:szCs w:val="21"/>
        </w:rPr>
        <w:t>人城市，使城市始终保持一定数量的某些传</w:t>
      </w:r>
      <w:r>
        <w:rPr>
          <w:rFonts w:ascii="宋体" w:hAnsi="宋体" w:eastAsia="宋体" w:cs="宋体"/>
          <w:sz w:val="21"/>
          <w:szCs w:val="21"/>
        </w:rPr>
        <w:t xml:space="preserve"> </w:t>
      </w:r>
      <w:r>
        <w:rPr>
          <w:rFonts w:ascii="宋体" w:hAnsi="宋体" w:eastAsia="宋体" w:cs="宋体"/>
          <w:spacing w:val="9"/>
          <w:sz w:val="21"/>
          <w:szCs w:val="21"/>
        </w:rPr>
        <w:t>染病的易感人群，导致某些传染病可常年发生，并可形成暴发或流行，也常常呈现周期性流行的</w:t>
      </w:r>
      <w:r>
        <w:rPr>
          <w:rFonts w:ascii="宋体" w:hAnsi="宋体" w:eastAsia="宋体" w:cs="宋体"/>
          <w:spacing w:val="7"/>
          <w:sz w:val="21"/>
          <w:szCs w:val="21"/>
        </w:rPr>
        <w:t xml:space="preserve"> </w:t>
      </w:r>
      <w:r>
        <w:rPr>
          <w:rFonts w:ascii="宋体" w:hAnsi="宋体" w:eastAsia="宋体" w:cs="宋体"/>
          <w:spacing w:val="8"/>
          <w:sz w:val="21"/>
          <w:szCs w:val="21"/>
        </w:rPr>
        <w:t>特点。</w:t>
      </w:r>
    </w:p>
    <w:p w14:paraId="3D51729C">
      <w:pPr>
        <w:spacing w:before="3" w:line="317" w:lineRule="auto"/>
        <w:ind w:right="665" w:firstLine="430"/>
        <w:jc w:val="both"/>
        <w:rPr>
          <w:rFonts w:ascii="宋体" w:hAnsi="宋体" w:eastAsia="宋体" w:cs="宋体"/>
          <w:sz w:val="21"/>
          <w:szCs w:val="21"/>
        </w:rPr>
      </w:pPr>
      <w:r>
        <w:rPr>
          <w:rFonts w:ascii="宋体" w:hAnsi="宋体" w:eastAsia="宋体" w:cs="宋体"/>
          <w:spacing w:val="-6"/>
          <w:sz w:val="21"/>
          <w:szCs w:val="21"/>
        </w:rPr>
        <w:t>城市工业较集中，车辆多，空气、水、环境受污染</w:t>
      </w:r>
      <w:r>
        <w:rPr>
          <w:rFonts w:ascii="宋体" w:hAnsi="宋体" w:eastAsia="宋体" w:cs="宋体"/>
          <w:spacing w:val="-7"/>
          <w:sz w:val="21"/>
          <w:szCs w:val="21"/>
        </w:rPr>
        <w:t>较重，慢性病患病率明显升高，如高血压、肺癌</w:t>
      </w:r>
      <w:r>
        <w:rPr>
          <w:rFonts w:ascii="宋体" w:hAnsi="宋体" w:eastAsia="宋体" w:cs="宋体"/>
          <w:sz w:val="21"/>
          <w:szCs w:val="21"/>
        </w:rPr>
        <w:t xml:space="preserve"> </w:t>
      </w:r>
      <w:r>
        <w:rPr>
          <w:rFonts w:ascii="宋体" w:hAnsi="宋体" w:eastAsia="宋体" w:cs="宋体"/>
          <w:spacing w:val="9"/>
          <w:sz w:val="21"/>
          <w:szCs w:val="21"/>
        </w:rPr>
        <w:t>及部分恶性肿瘤的患病率城市高于农村。与空气污染或噪声有联系的职业</w:t>
      </w:r>
      <w:r>
        <w:rPr>
          <w:rFonts w:ascii="宋体" w:hAnsi="宋体" w:eastAsia="宋体" w:cs="宋体"/>
          <w:spacing w:val="8"/>
          <w:sz w:val="21"/>
          <w:szCs w:val="21"/>
        </w:rPr>
        <w:t>性因素所致的疾病也多</w:t>
      </w:r>
      <w:r>
        <w:rPr>
          <w:rFonts w:ascii="宋体" w:hAnsi="宋体" w:eastAsia="宋体" w:cs="宋体"/>
          <w:sz w:val="21"/>
          <w:szCs w:val="21"/>
        </w:rPr>
        <w:t xml:space="preserve"> </w:t>
      </w:r>
      <w:r>
        <w:rPr>
          <w:rFonts w:ascii="宋体" w:hAnsi="宋体" w:eastAsia="宋体" w:cs="宋体"/>
          <w:spacing w:val="5"/>
          <w:sz w:val="21"/>
          <w:szCs w:val="21"/>
        </w:rPr>
        <w:t>见于城市。</w:t>
      </w:r>
    </w:p>
    <w:p w14:paraId="48391958">
      <w:pPr>
        <w:spacing w:before="55" w:line="301" w:lineRule="auto"/>
        <w:ind w:right="668" w:firstLine="430"/>
        <w:jc w:val="both"/>
        <w:rPr>
          <w:rFonts w:ascii="宋体" w:hAnsi="宋体" w:eastAsia="宋体" w:cs="宋体"/>
          <w:sz w:val="21"/>
          <w:szCs w:val="21"/>
        </w:rPr>
      </w:pPr>
      <w:r>
        <w:rPr>
          <w:rFonts w:ascii="宋体" w:hAnsi="宋体" w:eastAsia="宋体" w:cs="宋体"/>
          <w:spacing w:val="4"/>
          <w:sz w:val="21"/>
          <w:szCs w:val="21"/>
        </w:rPr>
        <w:t>城市的供水、排水设施完善，管理健全，饮用水的卫</w:t>
      </w:r>
      <w:r>
        <w:rPr>
          <w:rFonts w:ascii="宋体" w:hAnsi="宋体" w:eastAsia="宋体" w:cs="宋体"/>
          <w:spacing w:val="3"/>
          <w:sz w:val="21"/>
          <w:szCs w:val="21"/>
        </w:rPr>
        <w:t>生水平较高，因此肠道传染病的发病率相</w:t>
      </w:r>
      <w:r>
        <w:rPr>
          <w:rFonts w:ascii="宋体" w:hAnsi="宋体" w:eastAsia="宋体" w:cs="宋体"/>
          <w:sz w:val="21"/>
          <w:szCs w:val="21"/>
        </w:rPr>
        <w:t xml:space="preserve"> </w:t>
      </w:r>
      <w:r>
        <w:rPr>
          <w:rFonts w:ascii="宋体" w:hAnsi="宋体" w:eastAsia="宋体" w:cs="宋体"/>
          <w:spacing w:val="4"/>
          <w:sz w:val="21"/>
          <w:szCs w:val="21"/>
        </w:rPr>
        <w:t>对较低。城市的医疗卫生水平高，设施集中，医疗</w:t>
      </w:r>
      <w:r>
        <w:rPr>
          <w:rFonts w:ascii="宋体" w:hAnsi="宋体" w:eastAsia="宋体" w:cs="宋体"/>
          <w:spacing w:val="3"/>
          <w:sz w:val="21"/>
          <w:szCs w:val="21"/>
        </w:rPr>
        <w:t>保健制度较健全，肠道传染病疫情容易得到及时</w:t>
      </w:r>
      <w:r>
        <w:rPr>
          <w:rFonts w:ascii="宋体" w:hAnsi="宋体" w:eastAsia="宋体" w:cs="宋体"/>
          <w:sz w:val="21"/>
          <w:szCs w:val="21"/>
        </w:rPr>
        <w:t xml:space="preserve"> </w:t>
      </w:r>
      <w:r>
        <w:rPr>
          <w:rFonts w:ascii="宋体" w:hAnsi="宋体" w:eastAsia="宋体" w:cs="宋体"/>
          <w:spacing w:val="8"/>
          <w:sz w:val="21"/>
          <w:szCs w:val="21"/>
        </w:rPr>
        <w:t>控制。</w:t>
      </w:r>
    </w:p>
    <w:p w14:paraId="219AA68B">
      <w:pPr>
        <w:pStyle w:val="2"/>
        <w:spacing w:before="54" w:line="325" w:lineRule="auto"/>
        <w:ind w:right="675" w:firstLine="430"/>
        <w:jc w:val="both"/>
        <w:rPr>
          <w:rFonts w:ascii="宋体" w:hAnsi="宋体" w:eastAsia="宋体" w:cs="宋体"/>
          <w:sz w:val="21"/>
          <w:szCs w:val="21"/>
        </w:rPr>
      </w:pPr>
      <w:r>
        <w:rPr>
          <w:rFonts w:ascii="宋体" w:hAnsi="宋体" w:eastAsia="宋体" w:cs="宋体"/>
          <w:spacing w:val="-1"/>
          <w:sz w:val="21"/>
          <w:szCs w:val="21"/>
        </w:rPr>
        <w:t xml:space="preserve">2. </w:t>
      </w:r>
      <w:r>
        <w:rPr>
          <w:spacing w:val="-1"/>
          <w:sz w:val="21"/>
          <w:szCs w:val="21"/>
        </w:rPr>
        <w:t>农村</w:t>
      </w:r>
      <w:r>
        <w:rPr>
          <w:spacing w:val="37"/>
          <w:sz w:val="21"/>
          <w:szCs w:val="21"/>
        </w:rPr>
        <w:t xml:space="preserve">  </w:t>
      </w:r>
      <w:r>
        <w:rPr>
          <w:rFonts w:ascii="宋体" w:hAnsi="宋体" w:eastAsia="宋体" w:cs="宋体"/>
          <w:spacing w:val="-1"/>
          <w:sz w:val="21"/>
          <w:szCs w:val="21"/>
        </w:rPr>
        <w:t>由于农村人口密度低，交通不便，与外界交往相对较少，呼吸道传染病不易流行，但</w:t>
      </w:r>
      <w:r>
        <w:rPr>
          <w:rFonts w:ascii="宋体" w:hAnsi="宋体" w:eastAsia="宋体" w:cs="宋体"/>
          <w:sz w:val="21"/>
          <w:szCs w:val="21"/>
        </w:rPr>
        <w:t xml:space="preserve"> </w:t>
      </w:r>
      <w:r>
        <w:rPr>
          <w:rFonts w:ascii="宋体" w:hAnsi="宋体" w:eastAsia="宋体" w:cs="宋体"/>
          <w:spacing w:val="4"/>
          <w:sz w:val="21"/>
          <w:szCs w:val="21"/>
        </w:rPr>
        <w:t>一旦有传染病传人，便可迅速蔓延，引起暴发</w:t>
      </w:r>
      <w:r>
        <w:rPr>
          <w:rFonts w:ascii="宋体" w:hAnsi="宋体" w:eastAsia="宋体" w:cs="宋体"/>
          <w:spacing w:val="3"/>
          <w:sz w:val="21"/>
          <w:szCs w:val="21"/>
        </w:rPr>
        <w:t>和流行。农村卫生条件相对较差，人群更接近自然环</w:t>
      </w:r>
      <w:r>
        <w:rPr>
          <w:rFonts w:ascii="宋体" w:hAnsi="宋体" w:eastAsia="宋体" w:cs="宋体"/>
          <w:sz w:val="21"/>
          <w:szCs w:val="21"/>
        </w:rPr>
        <w:t xml:space="preserve"> </w:t>
      </w:r>
      <w:r>
        <w:rPr>
          <w:rFonts w:ascii="宋体" w:hAnsi="宋体" w:eastAsia="宋体" w:cs="宋体"/>
          <w:spacing w:val="-1"/>
          <w:sz w:val="21"/>
          <w:szCs w:val="21"/>
        </w:rPr>
        <w:t>境，所以肠道传染病、虫媒传染病及自然疫源性疾病，如痢</w:t>
      </w:r>
      <w:r>
        <w:rPr>
          <w:rFonts w:ascii="宋体" w:hAnsi="宋体" w:eastAsia="宋体" w:cs="宋体"/>
          <w:spacing w:val="-2"/>
          <w:sz w:val="21"/>
          <w:szCs w:val="21"/>
        </w:rPr>
        <w:t>疾、疟疾、肾综合征出血热、钩端螺旋体</w:t>
      </w:r>
      <w:r>
        <w:rPr>
          <w:rFonts w:ascii="宋体" w:hAnsi="宋体" w:eastAsia="宋体" w:cs="宋体"/>
          <w:sz w:val="21"/>
          <w:szCs w:val="21"/>
        </w:rPr>
        <w:t xml:space="preserve"> </w:t>
      </w:r>
      <w:r>
        <w:rPr>
          <w:rFonts w:ascii="宋体" w:hAnsi="宋体" w:eastAsia="宋体" w:cs="宋体"/>
          <w:spacing w:val="4"/>
          <w:sz w:val="21"/>
          <w:szCs w:val="21"/>
        </w:rPr>
        <w:t>病等较易流行。一些地方病如地方性甲状腺肿、氟</w:t>
      </w:r>
      <w:r>
        <w:rPr>
          <w:rFonts w:ascii="宋体" w:hAnsi="宋体" w:eastAsia="宋体" w:cs="宋体"/>
          <w:spacing w:val="3"/>
          <w:sz w:val="21"/>
          <w:szCs w:val="21"/>
        </w:rPr>
        <w:t>骨症等在农村的发病率高于城市。</w:t>
      </w:r>
    </w:p>
    <w:p w14:paraId="6CB0F252">
      <w:pPr>
        <w:spacing w:before="2" w:line="317" w:lineRule="auto"/>
        <w:ind w:right="667" w:firstLine="430"/>
        <w:jc w:val="both"/>
        <w:rPr>
          <w:rFonts w:ascii="宋体" w:hAnsi="宋体" w:eastAsia="宋体" w:cs="宋体"/>
          <w:sz w:val="21"/>
          <w:szCs w:val="21"/>
        </w:rPr>
      </w:pPr>
      <w:r>
        <w:rPr>
          <w:rFonts w:ascii="宋体" w:hAnsi="宋体" w:eastAsia="宋体" w:cs="宋体"/>
          <w:spacing w:val="9"/>
          <w:sz w:val="21"/>
          <w:szCs w:val="21"/>
        </w:rPr>
        <w:t>近些年农村经济和人群生活水平、生活方式发生了很大的改变，乡镇企业得以迅速发</w:t>
      </w:r>
      <w:r>
        <w:rPr>
          <w:rFonts w:ascii="宋体" w:hAnsi="宋体" w:eastAsia="宋体" w:cs="宋体"/>
          <w:spacing w:val="8"/>
          <w:sz w:val="21"/>
          <w:szCs w:val="21"/>
        </w:rPr>
        <w:t>展的同</w:t>
      </w:r>
      <w:r>
        <w:rPr>
          <w:rFonts w:ascii="宋体" w:hAnsi="宋体" w:eastAsia="宋体" w:cs="宋体"/>
          <w:sz w:val="21"/>
          <w:szCs w:val="21"/>
        </w:rPr>
        <w:t xml:space="preserve"> </w:t>
      </w:r>
      <w:r>
        <w:rPr>
          <w:rFonts w:ascii="宋体" w:hAnsi="宋体" w:eastAsia="宋体" w:cs="宋体"/>
          <w:spacing w:val="-1"/>
          <w:sz w:val="21"/>
          <w:szCs w:val="21"/>
        </w:rPr>
        <w:t>时，也伴随农村的环境污染加剧，这些因素使高血压、糖尿病和肿</w:t>
      </w:r>
      <w:r>
        <w:rPr>
          <w:rFonts w:ascii="宋体" w:hAnsi="宋体" w:eastAsia="宋体" w:cs="宋体"/>
          <w:spacing w:val="-2"/>
          <w:sz w:val="21"/>
          <w:szCs w:val="21"/>
        </w:rPr>
        <w:t>瘤发病率出现上升趋势。此外，农</w:t>
      </w:r>
      <w:r>
        <w:rPr>
          <w:rFonts w:ascii="宋体" w:hAnsi="宋体" w:eastAsia="宋体" w:cs="宋体"/>
          <w:sz w:val="21"/>
          <w:szCs w:val="21"/>
        </w:rPr>
        <w:t xml:space="preserve"> </w:t>
      </w:r>
      <w:r>
        <w:rPr>
          <w:rFonts w:ascii="宋体" w:hAnsi="宋体" w:eastAsia="宋体" w:cs="宋体"/>
          <w:spacing w:val="2"/>
          <w:sz w:val="21"/>
          <w:szCs w:val="21"/>
        </w:rPr>
        <w:t>村人口不断在城乡间流动，</w:t>
      </w:r>
      <w:r>
        <w:rPr>
          <w:rFonts w:ascii="宋体" w:hAnsi="宋体" w:eastAsia="宋体" w:cs="宋体"/>
          <w:spacing w:val="-48"/>
          <w:sz w:val="21"/>
          <w:szCs w:val="21"/>
        </w:rPr>
        <w:t xml:space="preserve"> </w:t>
      </w:r>
      <w:r>
        <w:rPr>
          <w:rFonts w:ascii="宋体" w:hAnsi="宋体" w:eastAsia="宋体" w:cs="宋体"/>
          <w:spacing w:val="2"/>
          <w:sz w:val="21"/>
          <w:szCs w:val="21"/>
        </w:rPr>
        <w:t>一些传染病发病率在</w:t>
      </w:r>
      <w:r>
        <w:rPr>
          <w:rFonts w:ascii="宋体" w:hAnsi="宋体" w:eastAsia="宋体" w:cs="宋体"/>
          <w:spacing w:val="1"/>
          <w:sz w:val="21"/>
          <w:szCs w:val="21"/>
        </w:rPr>
        <w:t>城乡间的差异正在减小或消失。</w:t>
      </w:r>
    </w:p>
    <w:p w14:paraId="5C40E1CE">
      <w:pPr>
        <w:pStyle w:val="2"/>
        <w:spacing w:before="4" w:line="222" w:lineRule="auto"/>
        <w:ind w:left="433"/>
        <w:rPr>
          <w:sz w:val="21"/>
          <w:szCs w:val="21"/>
        </w:rPr>
      </w:pPr>
      <w:r>
        <w:rPr>
          <w:b/>
          <w:bCs/>
          <w:spacing w:val="28"/>
          <w:sz w:val="21"/>
          <w:szCs w:val="21"/>
        </w:rPr>
        <w:t>(三)地区聚集性</w:t>
      </w:r>
    </w:p>
    <w:p w14:paraId="558E1D10">
      <w:pPr>
        <w:spacing w:before="132" w:line="307" w:lineRule="auto"/>
        <w:ind w:right="677" w:firstLine="430"/>
        <w:jc w:val="both"/>
        <w:rPr>
          <w:rFonts w:ascii="宋体" w:hAnsi="宋体" w:eastAsia="宋体" w:cs="宋体"/>
          <w:sz w:val="21"/>
          <w:szCs w:val="21"/>
        </w:rPr>
      </w:pPr>
      <w:r>
        <w:rPr>
          <w:rFonts w:ascii="宋体" w:hAnsi="宋体" w:eastAsia="宋体" w:cs="宋体"/>
          <w:spacing w:val="9"/>
          <w:sz w:val="21"/>
          <w:szCs w:val="21"/>
        </w:rPr>
        <w:t>某地区发病及患病等疾病频率超过了随机概率，高于周围地区</w:t>
      </w:r>
      <w:r>
        <w:rPr>
          <w:rFonts w:ascii="宋体" w:hAnsi="宋体" w:eastAsia="宋体" w:cs="宋体"/>
          <w:spacing w:val="8"/>
          <w:sz w:val="21"/>
          <w:szCs w:val="21"/>
        </w:rPr>
        <w:t>的现象，称为疾病的地区聚集</w:t>
      </w:r>
      <w:r>
        <w:rPr>
          <w:rFonts w:ascii="宋体" w:hAnsi="宋体" w:eastAsia="宋体" w:cs="宋体"/>
          <w:sz w:val="21"/>
          <w:szCs w:val="21"/>
        </w:rPr>
        <w:t xml:space="preserve"> </w:t>
      </w:r>
      <w:r>
        <w:rPr>
          <w:rFonts w:ascii="宋体" w:hAnsi="宋体" w:eastAsia="宋体" w:cs="宋体"/>
          <w:spacing w:val="3"/>
          <w:sz w:val="21"/>
          <w:szCs w:val="21"/>
        </w:rPr>
        <w:t>性</w:t>
      </w:r>
      <w:r>
        <w:rPr>
          <w:rFonts w:ascii="Times New Roman" w:hAnsi="Times New Roman" w:eastAsia="Times New Roman" w:cs="Times New Roman"/>
          <w:spacing w:val="3"/>
          <w:sz w:val="21"/>
          <w:szCs w:val="21"/>
        </w:rPr>
        <w:t>(</w:t>
      </w:r>
      <w:r>
        <w:rPr>
          <w:rFonts w:ascii="Times New Roman" w:hAnsi="Times New Roman" w:eastAsia="Times New Roman" w:cs="Times New Roman"/>
          <w:sz w:val="21"/>
          <w:szCs w:val="21"/>
        </w:rPr>
        <w:t>endemic</w:t>
      </w:r>
      <w:r>
        <w:rPr>
          <w:rFonts w:ascii="Times New Roman" w:hAnsi="Times New Roman" w:eastAsia="Times New Roman" w:cs="Times New Roman"/>
          <w:spacing w:val="3"/>
          <w:sz w:val="21"/>
          <w:szCs w:val="21"/>
        </w:rPr>
        <w:t xml:space="preserve">    </w:t>
      </w:r>
      <w:r>
        <w:rPr>
          <w:rFonts w:ascii="Times New Roman" w:hAnsi="Times New Roman" w:eastAsia="Times New Roman" w:cs="Times New Roman"/>
          <w:sz w:val="21"/>
          <w:szCs w:val="21"/>
        </w:rPr>
        <w:t>clustering</w:t>
      </w:r>
      <w:r>
        <w:rPr>
          <w:rFonts w:ascii="Times New Roman" w:hAnsi="Times New Roman" w:eastAsia="Times New Roman" w:cs="Times New Roman"/>
          <w:spacing w:val="3"/>
          <w:sz w:val="21"/>
          <w:szCs w:val="21"/>
        </w:rPr>
        <w:t>)</w:t>
      </w:r>
      <w:r>
        <w:rPr>
          <w:rFonts w:ascii="宋体" w:hAnsi="宋体" w:eastAsia="宋体" w:cs="宋体"/>
          <w:spacing w:val="3"/>
          <w:sz w:val="21"/>
          <w:szCs w:val="21"/>
        </w:rPr>
        <w:t>。若某疾病表现为地区聚集性，提示该地区特定的致病因素对人群健康产生</w:t>
      </w:r>
      <w:r>
        <w:rPr>
          <w:rFonts w:ascii="宋体" w:hAnsi="宋体" w:eastAsia="宋体" w:cs="宋体"/>
          <w:spacing w:val="9"/>
          <w:sz w:val="21"/>
          <w:szCs w:val="21"/>
        </w:rPr>
        <w:t xml:space="preserve"> </w:t>
      </w:r>
      <w:r>
        <w:rPr>
          <w:rFonts w:ascii="宋体" w:hAnsi="宋体" w:eastAsia="宋体" w:cs="宋体"/>
          <w:spacing w:val="8"/>
          <w:sz w:val="21"/>
          <w:szCs w:val="21"/>
        </w:rPr>
        <w:t>了影响。研究疾病的地区聚集性对探讨病因、采取相应的防制措施并评价其效果具有十分重要的</w:t>
      </w:r>
      <w:r>
        <w:rPr>
          <w:rFonts w:ascii="宋体" w:hAnsi="宋体" w:eastAsia="宋体" w:cs="宋体"/>
          <w:spacing w:val="9"/>
          <w:sz w:val="21"/>
          <w:szCs w:val="21"/>
        </w:rPr>
        <w:t xml:space="preserve"> </w:t>
      </w:r>
      <w:r>
        <w:rPr>
          <w:rFonts w:ascii="宋体" w:hAnsi="宋体" w:eastAsia="宋体" w:cs="宋体"/>
          <w:spacing w:val="8"/>
          <w:sz w:val="21"/>
          <w:szCs w:val="21"/>
        </w:rPr>
        <w:t>意义。</w:t>
      </w:r>
    </w:p>
    <w:p w14:paraId="24A503A7">
      <w:pPr>
        <w:spacing w:before="29" w:line="355" w:lineRule="auto"/>
        <w:ind w:right="696" w:firstLine="430"/>
        <w:rPr>
          <w:rFonts w:ascii="宋体" w:hAnsi="宋体" w:eastAsia="宋体" w:cs="宋体"/>
          <w:sz w:val="21"/>
          <w:szCs w:val="21"/>
        </w:rPr>
      </w:pPr>
      <w:r>
        <w:rPr>
          <w:rFonts w:ascii="Times New Roman" w:hAnsi="Times New Roman" w:eastAsia="Times New Roman" w:cs="Times New Roman"/>
          <w:spacing w:val="4"/>
          <w:sz w:val="21"/>
          <w:szCs w:val="21"/>
        </w:rPr>
        <w:t>1.</w:t>
      </w:r>
      <w:r>
        <w:rPr>
          <w:rFonts w:ascii="Times New Roman" w:hAnsi="Times New Roman" w:eastAsia="Times New Roman" w:cs="Times New Roman"/>
          <w:spacing w:val="21"/>
          <w:sz w:val="21"/>
          <w:szCs w:val="21"/>
        </w:rPr>
        <w:t xml:space="preserve">  </w:t>
      </w:r>
      <w:r>
        <w:rPr>
          <w:rFonts w:ascii="宋体" w:hAnsi="宋体" w:eastAsia="宋体" w:cs="宋体"/>
          <w:spacing w:val="4"/>
          <w:sz w:val="21"/>
          <w:szCs w:val="21"/>
        </w:rPr>
        <w:t>地方性</w:t>
      </w:r>
      <w:r>
        <w:rPr>
          <w:rFonts w:ascii="Times New Roman" w:hAnsi="Times New Roman" w:eastAsia="Times New Roman" w:cs="Times New Roman"/>
          <w:spacing w:val="4"/>
          <w:sz w:val="21"/>
          <w:szCs w:val="21"/>
        </w:rPr>
        <w:t>(</w:t>
      </w:r>
      <w:r>
        <w:rPr>
          <w:rFonts w:ascii="Times New Roman" w:hAnsi="Times New Roman" w:eastAsia="Times New Roman" w:cs="Times New Roman"/>
          <w:sz w:val="21"/>
          <w:szCs w:val="21"/>
        </w:rPr>
        <w:t>endemic</w:t>
      </w:r>
      <w:r>
        <w:rPr>
          <w:rFonts w:ascii="Times New Roman" w:hAnsi="Times New Roman" w:eastAsia="Times New Roman" w:cs="Times New Roman"/>
          <w:spacing w:val="4"/>
          <w:sz w:val="21"/>
          <w:szCs w:val="21"/>
        </w:rPr>
        <w:t xml:space="preserve">)     </w:t>
      </w:r>
      <w:r>
        <w:rPr>
          <w:rFonts w:ascii="宋体" w:hAnsi="宋体" w:eastAsia="宋体" w:cs="宋体"/>
          <w:spacing w:val="4"/>
          <w:sz w:val="21"/>
          <w:szCs w:val="21"/>
        </w:rPr>
        <w:t>由于自然因素或社会因素的影响，某种疾病不需自外地输人，而</w:t>
      </w:r>
      <w:r>
        <w:rPr>
          <w:rFonts w:ascii="宋体" w:hAnsi="宋体" w:eastAsia="宋体" w:cs="宋体"/>
          <w:spacing w:val="3"/>
          <w:sz w:val="21"/>
          <w:szCs w:val="21"/>
        </w:rPr>
        <w:t>经常存</w:t>
      </w:r>
      <w:r>
        <w:rPr>
          <w:rFonts w:ascii="宋体" w:hAnsi="宋体" w:eastAsia="宋体" w:cs="宋体"/>
          <w:sz w:val="21"/>
          <w:szCs w:val="21"/>
        </w:rPr>
        <w:t xml:space="preserve"> </w:t>
      </w:r>
      <w:r>
        <w:rPr>
          <w:rFonts w:ascii="宋体" w:hAnsi="宋体" w:eastAsia="宋体" w:cs="宋体"/>
          <w:spacing w:val="5"/>
          <w:sz w:val="21"/>
          <w:szCs w:val="21"/>
        </w:rPr>
        <w:t>在于某一地区或者只在一定范围人群中发生的现</w:t>
      </w:r>
      <w:r>
        <w:rPr>
          <w:rFonts w:ascii="宋体" w:hAnsi="宋体" w:eastAsia="宋体" w:cs="宋体"/>
          <w:spacing w:val="4"/>
          <w:sz w:val="21"/>
          <w:szCs w:val="21"/>
        </w:rPr>
        <w:t>象。</w:t>
      </w:r>
    </w:p>
    <w:p w14:paraId="228A9993">
      <w:pPr>
        <w:spacing w:line="355" w:lineRule="auto"/>
        <w:rPr>
          <w:rFonts w:ascii="宋体" w:hAnsi="宋体" w:eastAsia="宋体" w:cs="宋体"/>
          <w:sz w:val="21"/>
          <w:szCs w:val="21"/>
        </w:rPr>
        <w:sectPr>
          <w:footerReference r:id="rId55" w:type="default"/>
          <w:pgSz w:w="11900" w:h="16820"/>
          <w:pgMar w:top="400" w:right="714" w:bottom="866" w:left="1329" w:header="0" w:footer="677" w:gutter="0"/>
          <w:cols w:space="720" w:num="1"/>
        </w:sectPr>
      </w:pPr>
    </w:p>
    <w:p w14:paraId="43E5E80F">
      <w:pPr>
        <w:pStyle w:val="2"/>
        <w:spacing w:before="66" w:line="221" w:lineRule="auto"/>
        <w:ind w:left="709"/>
        <w:rPr>
          <w:sz w:val="20"/>
          <w:szCs w:val="20"/>
        </w:rPr>
      </w:pPr>
      <w:bookmarkStart w:id="50" w:name="bookmark417"/>
      <w:bookmarkEnd w:id="50"/>
      <w:r>
        <w:rPr>
          <w:spacing w:val="-11"/>
          <w:sz w:val="20"/>
          <w:szCs w:val="20"/>
        </w:rPr>
        <w:t>第二章疾病的分布</w:t>
      </w:r>
    </w:p>
    <w:p w14:paraId="1F90B575">
      <w:pPr>
        <w:spacing w:line="295" w:lineRule="auto"/>
        <w:rPr>
          <w:rFonts w:ascii="Arial"/>
          <w:sz w:val="21"/>
        </w:rPr>
      </w:pPr>
    </w:p>
    <w:p w14:paraId="00A6DDF0">
      <w:pPr>
        <w:spacing w:line="296" w:lineRule="auto"/>
        <w:rPr>
          <w:rFonts w:ascii="Arial"/>
          <w:sz w:val="21"/>
        </w:rPr>
      </w:pPr>
    </w:p>
    <w:p w14:paraId="70896FC3">
      <w:pPr>
        <w:spacing w:before="65" w:line="301" w:lineRule="auto"/>
        <w:ind w:left="709" w:right="90" w:firstLine="410"/>
        <w:rPr>
          <w:rFonts w:ascii="宋体" w:hAnsi="宋体" w:eastAsia="宋体" w:cs="宋体"/>
          <w:sz w:val="20"/>
          <w:szCs w:val="20"/>
        </w:rPr>
      </w:pPr>
      <w:r>
        <w:rPr>
          <w:rFonts w:ascii="宋体" w:hAnsi="宋体" w:eastAsia="宋体" w:cs="宋体"/>
          <w:spacing w:val="5"/>
          <w:sz w:val="20"/>
          <w:szCs w:val="20"/>
        </w:rPr>
        <w:t>(1)统计地方性：生活环境、卫生条件和宗教信仰等社会因素使某一地区某些疾病的发病</w:t>
      </w:r>
      <w:r>
        <w:rPr>
          <w:rFonts w:ascii="宋体" w:hAnsi="宋体" w:eastAsia="宋体" w:cs="宋体"/>
          <w:spacing w:val="4"/>
          <w:sz w:val="20"/>
          <w:szCs w:val="20"/>
        </w:rPr>
        <w:t>率长</w:t>
      </w:r>
      <w:r>
        <w:rPr>
          <w:rFonts w:ascii="宋体" w:hAnsi="宋体" w:eastAsia="宋体" w:cs="宋体"/>
          <w:sz w:val="20"/>
          <w:szCs w:val="20"/>
        </w:rPr>
        <w:t xml:space="preserve"> </w:t>
      </w:r>
      <w:r>
        <w:rPr>
          <w:rFonts w:ascii="宋体" w:hAnsi="宋体" w:eastAsia="宋体" w:cs="宋体"/>
          <w:spacing w:val="3"/>
          <w:sz w:val="20"/>
          <w:szCs w:val="20"/>
        </w:rPr>
        <w:t>期显著高于其他地区，而与该地自然环境关联甚微的现象，称统计地方</w:t>
      </w:r>
      <w:r>
        <w:rPr>
          <w:rFonts w:ascii="宋体" w:hAnsi="宋体" w:eastAsia="宋体" w:cs="宋体"/>
          <w:spacing w:val="2"/>
          <w:sz w:val="20"/>
          <w:szCs w:val="20"/>
        </w:rPr>
        <w:t>性。如痢疾等肠道传染病流</w:t>
      </w:r>
      <w:r>
        <w:rPr>
          <w:rFonts w:ascii="宋体" w:hAnsi="宋体" w:eastAsia="宋体" w:cs="宋体"/>
          <w:sz w:val="20"/>
          <w:szCs w:val="20"/>
        </w:rPr>
        <w:t xml:space="preserve"> </w:t>
      </w:r>
      <w:r>
        <w:rPr>
          <w:rFonts w:ascii="宋体" w:hAnsi="宋体" w:eastAsia="宋体" w:cs="宋体"/>
          <w:spacing w:val="-2"/>
          <w:sz w:val="20"/>
          <w:szCs w:val="20"/>
        </w:rPr>
        <w:t>行，常发生于卫生条件和经济条件差、人群卫生习惯不良的地区。</w:t>
      </w:r>
    </w:p>
    <w:p w14:paraId="52858662">
      <w:pPr>
        <w:spacing w:before="133" w:line="311" w:lineRule="auto"/>
        <w:ind w:left="709" w:firstLine="410"/>
        <w:rPr>
          <w:rFonts w:ascii="宋体" w:hAnsi="宋体" w:eastAsia="宋体" w:cs="宋体"/>
          <w:sz w:val="20"/>
          <w:szCs w:val="20"/>
        </w:rPr>
      </w:pPr>
      <w:r>
        <w:rPr>
          <w:rFonts w:ascii="宋体" w:hAnsi="宋体" w:eastAsia="宋体" w:cs="宋体"/>
          <w:spacing w:val="7"/>
          <w:sz w:val="20"/>
          <w:szCs w:val="20"/>
        </w:rPr>
        <w:t>(2)自然地方性：某些疾病受自然环境的影响只在某一特定地区存在的现象称为自然地方性。</w:t>
      </w:r>
      <w:r>
        <w:rPr>
          <w:rFonts w:ascii="宋体" w:hAnsi="宋体" w:eastAsia="宋体" w:cs="宋体"/>
          <w:spacing w:val="5"/>
          <w:sz w:val="20"/>
          <w:szCs w:val="20"/>
        </w:rPr>
        <w:t xml:space="preserve"> </w:t>
      </w:r>
      <w:r>
        <w:rPr>
          <w:rFonts w:ascii="宋体" w:hAnsi="宋体" w:eastAsia="宋体" w:cs="宋体"/>
          <w:spacing w:val="3"/>
          <w:sz w:val="20"/>
          <w:szCs w:val="20"/>
        </w:rPr>
        <w:t>包括两种情况：一类是该地区有适合某种病原体生长繁殖和传播媒介生存的</w:t>
      </w:r>
      <w:r>
        <w:rPr>
          <w:rFonts w:ascii="宋体" w:hAnsi="宋体" w:eastAsia="宋体" w:cs="宋体"/>
          <w:spacing w:val="2"/>
          <w:sz w:val="20"/>
          <w:szCs w:val="20"/>
        </w:rPr>
        <w:t>自然环境，使该病只在</w:t>
      </w:r>
      <w:r>
        <w:rPr>
          <w:rFonts w:ascii="宋体" w:hAnsi="宋体" w:eastAsia="宋体" w:cs="宋体"/>
          <w:sz w:val="20"/>
          <w:szCs w:val="20"/>
        </w:rPr>
        <w:t xml:space="preserve">  </w:t>
      </w:r>
      <w:r>
        <w:rPr>
          <w:rFonts w:ascii="宋体" w:hAnsi="宋体" w:eastAsia="宋体" w:cs="宋体"/>
          <w:spacing w:val="3"/>
          <w:sz w:val="20"/>
          <w:szCs w:val="20"/>
        </w:rPr>
        <w:t>这一地区存在，如血吸虫病和丝虫病等；另一类是疾病与自然环境中的</w:t>
      </w:r>
      <w:r>
        <w:rPr>
          <w:rFonts w:ascii="宋体" w:hAnsi="宋体" w:eastAsia="宋体" w:cs="宋体"/>
          <w:spacing w:val="2"/>
          <w:sz w:val="20"/>
          <w:szCs w:val="20"/>
        </w:rPr>
        <w:t>微量元素分布有关，如地方</w:t>
      </w:r>
      <w:r>
        <w:rPr>
          <w:rFonts w:ascii="宋体" w:hAnsi="宋体" w:eastAsia="宋体" w:cs="宋体"/>
          <w:sz w:val="20"/>
          <w:szCs w:val="20"/>
        </w:rPr>
        <w:t xml:space="preserve">  </w:t>
      </w:r>
      <w:r>
        <w:rPr>
          <w:rFonts w:ascii="宋体" w:hAnsi="宋体" w:eastAsia="宋体" w:cs="宋体"/>
          <w:spacing w:val="5"/>
          <w:sz w:val="20"/>
          <w:szCs w:val="20"/>
        </w:rPr>
        <w:t>性甲状腺肿和氟中毒等。</w:t>
      </w:r>
    </w:p>
    <w:p w14:paraId="4417356A">
      <w:pPr>
        <w:spacing w:before="142" w:line="307" w:lineRule="auto"/>
        <w:ind w:left="709" w:right="71" w:firstLine="410"/>
        <w:rPr>
          <w:rFonts w:ascii="宋体" w:hAnsi="宋体" w:eastAsia="宋体" w:cs="宋体"/>
          <w:sz w:val="20"/>
          <w:szCs w:val="20"/>
        </w:rPr>
      </w:pPr>
      <w:r>
        <w:rPr>
          <w:rFonts w:ascii="宋体" w:hAnsi="宋体" w:eastAsia="宋体" w:cs="宋体"/>
          <w:spacing w:val="10"/>
          <w:sz w:val="20"/>
          <w:szCs w:val="20"/>
        </w:rPr>
        <w:t>(3)自然疫源性：病原体不需要人类参与也可以在动物间存在并传播的特性，即为自然疫源</w:t>
      </w:r>
      <w:r>
        <w:rPr>
          <w:rFonts w:ascii="宋体" w:hAnsi="宋体" w:eastAsia="宋体" w:cs="宋体"/>
          <w:spacing w:val="17"/>
          <w:sz w:val="20"/>
          <w:szCs w:val="20"/>
        </w:rPr>
        <w:t xml:space="preserve"> </w:t>
      </w:r>
      <w:r>
        <w:rPr>
          <w:rFonts w:ascii="宋体" w:hAnsi="宋体" w:eastAsia="宋体" w:cs="宋体"/>
          <w:spacing w:val="3"/>
          <w:sz w:val="20"/>
          <w:szCs w:val="20"/>
        </w:rPr>
        <w:t>性。人与带有病原体的动物直接或间接接触可被感染，这类疾病称为自然疫源性</w:t>
      </w:r>
      <w:r>
        <w:rPr>
          <w:rFonts w:ascii="宋体" w:hAnsi="宋体" w:eastAsia="宋体" w:cs="宋体"/>
          <w:spacing w:val="2"/>
          <w:sz w:val="20"/>
          <w:szCs w:val="20"/>
        </w:rPr>
        <w:t>疾病，如鼠疫、肾</w:t>
      </w:r>
      <w:r>
        <w:rPr>
          <w:rFonts w:ascii="宋体" w:hAnsi="宋体" w:eastAsia="宋体" w:cs="宋体"/>
          <w:sz w:val="20"/>
          <w:szCs w:val="20"/>
        </w:rPr>
        <w:t xml:space="preserve"> </w:t>
      </w:r>
      <w:r>
        <w:rPr>
          <w:rFonts w:ascii="宋体" w:hAnsi="宋体" w:eastAsia="宋体" w:cs="宋体"/>
          <w:spacing w:val="4"/>
          <w:sz w:val="20"/>
          <w:szCs w:val="20"/>
        </w:rPr>
        <w:t>综合征出血热和森林脑炎等。</w:t>
      </w:r>
    </w:p>
    <w:p w14:paraId="6D3DC03C">
      <w:pPr>
        <w:pStyle w:val="2"/>
        <w:spacing w:before="98" w:line="353" w:lineRule="auto"/>
        <w:ind w:left="709" w:right="78" w:firstLine="410"/>
        <w:jc w:val="both"/>
        <w:rPr>
          <w:rFonts w:ascii="宋体" w:hAnsi="宋体" w:eastAsia="宋体" w:cs="宋体"/>
          <w:sz w:val="20"/>
          <w:szCs w:val="20"/>
        </w:rPr>
      </w:pPr>
      <w:r>
        <w:rPr>
          <w:rFonts w:ascii="Times New Roman" w:hAnsi="Times New Roman" w:eastAsia="Times New Roman" w:cs="Times New Roman"/>
          <w:spacing w:val="3"/>
          <w:sz w:val="20"/>
          <w:szCs w:val="20"/>
        </w:rPr>
        <w:t>2.</w:t>
      </w:r>
      <w:r>
        <w:rPr>
          <w:rFonts w:ascii="Times New Roman" w:hAnsi="Times New Roman" w:eastAsia="Times New Roman" w:cs="Times New Roman"/>
          <w:spacing w:val="17"/>
          <w:w w:val="101"/>
          <w:sz w:val="20"/>
          <w:szCs w:val="20"/>
        </w:rPr>
        <w:t xml:space="preserve">  </w:t>
      </w:r>
      <w:r>
        <w:rPr>
          <w:rFonts w:ascii="宋体" w:hAnsi="宋体" w:eastAsia="宋体" w:cs="宋体"/>
          <w:spacing w:val="3"/>
          <w:sz w:val="20"/>
          <w:szCs w:val="20"/>
        </w:rPr>
        <w:t>地方性疾病</w:t>
      </w:r>
      <w:r>
        <w:rPr>
          <w:spacing w:val="3"/>
          <w:sz w:val="20"/>
          <w:szCs w:val="20"/>
        </w:rPr>
        <w:t>(</w:t>
      </w:r>
      <w:r>
        <w:rPr>
          <w:sz w:val="20"/>
          <w:szCs w:val="20"/>
        </w:rPr>
        <w:t>end</w:t>
      </w:r>
      <w:r>
        <w:rPr>
          <w:rFonts w:ascii="Times New Roman" w:hAnsi="Times New Roman" w:eastAsia="Times New Roman" w:cs="Times New Roman"/>
          <w:sz w:val="20"/>
          <w:szCs w:val="20"/>
        </w:rPr>
        <w:t>emic</w:t>
      </w:r>
      <w:r>
        <w:rPr>
          <w:rFonts w:ascii="Times New Roman" w:hAnsi="Times New Roman" w:eastAsia="Times New Roman" w:cs="Times New Roman"/>
          <w:spacing w:val="13"/>
          <w:w w:val="101"/>
          <w:sz w:val="20"/>
          <w:szCs w:val="20"/>
        </w:rPr>
        <w:t xml:space="preserve">   </w:t>
      </w:r>
      <w:r>
        <w:rPr>
          <w:rFonts w:ascii="Times New Roman" w:hAnsi="Times New Roman" w:eastAsia="Times New Roman" w:cs="Times New Roman"/>
          <w:sz w:val="20"/>
          <w:szCs w:val="20"/>
        </w:rPr>
        <w:t>disease</w:t>
      </w:r>
      <w:r>
        <w:rPr>
          <w:rFonts w:ascii="Times New Roman" w:hAnsi="Times New Roman" w:eastAsia="Times New Roman" w:cs="Times New Roman"/>
          <w:spacing w:val="3"/>
          <w:sz w:val="20"/>
          <w:szCs w:val="20"/>
        </w:rPr>
        <w:t xml:space="preserve">)  </w:t>
      </w:r>
      <w:r>
        <w:rPr>
          <w:rFonts w:ascii="宋体" w:hAnsi="宋体" w:eastAsia="宋体" w:cs="宋体"/>
          <w:spacing w:val="3"/>
          <w:sz w:val="20"/>
          <w:szCs w:val="20"/>
        </w:rPr>
        <w:t>也称地方病，是由于自然因素</w:t>
      </w:r>
      <w:r>
        <w:rPr>
          <w:rFonts w:ascii="宋体" w:hAnsi="宋体" w:eastAsia="宋体" w:cs="宋体"/>
          <w:spacing w:val="2"/>
          <w:sz w:val="20"/>
          <w:szCs w:val="20"/>
        </w:rPr>
        <w:t>或社会因素的影响，在某一地</w:t>
      </w:r>
      <w:r>
        <w:rPr>
          <w:rFonts w:ascii="宋体" w:hAnsi="宋体" w:eastAsia="宋体" w:cs="宋体"/>
          <w:sz w:val="20"/>
          <w:szCs w:val="20"/>
        </w:rPr>
        <w:t xml:space="preserve"> </w:t>
      </w:r>
      <w:r>
        <w:rPr>
          <w:rFonts w:ascii="宋体" w:hAnsi="宋体" w:eastAsia="宋体" w:cs="宋体"/>
          <w:spacing w:val="1"/>
          <w:sz w:val="20"/>
          <w:szCs w:val="20"/>
        </w:rPr>
        <w:t>区的人群中发生，不需自外地输入，并呈地方性流行的疾病。</w:t>
      </w:r>
      <w:r>
        <w:rPr>
          <w:rFonts w:ascii="宋体" w:hAnsi="宋体" w:eastAsia="宋体" w:cs="宋体"/>
          <w:spacing w:val="-20"/>
          <w:sz w:val="20"/>
          <w:szCs w:val="20"/>
        </w:rPr>
        <w:t xml:space="preserve"> </w:t>
      </w:r>
      <w:r>
        <w:rPr>
          <w:rFonts w:ascii="宋体" w:hAnsi="宋体" w:eastAsia="宋体" w:cs="宋体"/>
          <w:spacing w:val="1"/>
          <w:sz w:val="20"/>
          <w:szCs w:val="20"/>
        </w:rPr>
        <w:t>一般而言的地方病，是指自</w:t>
      </w:r>
      <w:r>
        <w:rPr>
          <w:rFonts w:ascii="宋体" w:hAnsi="宋体" w:eastAsia="宋体" w:cs="宋体"/>
          <w:sz w:val="20"/>
          <w:szCs w:val="20"/>
        </w:rPr>
        <w:t xml:space="preserve">然地理环 </w:t>
      </w:r>
      <w:r>
        <w:rPr>
          <w:rFonts w:ascii="宋体" w:hAnsi="宋体" w:eastAsia="宋体" w:cs="宋体"/>
          <w:spacing w:val="8"/>
          <w:sz w:val="20"/>
          <w:szCs w:val="20"/>
        </w:rPr>
        <w:t>境中人体正常代谢所需的某些微量元素过多或者缺乏所致的一类疾病，如碘缺乏病</w:t>
      </w:r>
      <w:r>
        <w:rPr>
          <w:rFonts w:ascii="宋体" w:hAnsi="宋体" w:eastAsia="宋体" w:cs="宋体"/>
          <w:spacing w:val="7"/>
          <w:sz w:val="20"/>
          <w:szCs w:val="20"/>
        </w:rPr>
        <w:t>、地方性氟中</w:t>
      </w:r>
      <w:r>
        <w:rPr>
          <w:rFonts w:ascii="宋体" w:hAnsi="宋体" w:eastAsia="宋体" w:cs="宋体"/>
          <w:sz w:val="20"/>
          <w:szCs w:val="20"/>
        </w:rPr>
        <w:t xml:space="preserve"> </w:t>
      </w:r>
      <w:r>
        <w:rPr>
          <w:rFonts w:ascii="宋体" w:hAnsi="宋体" w:eastAsia="宋体" w:cs="宋体"/>
          <w:spacing w:val="-2"/>
          <w:sz w:val="20"/>
          <w:szCs w:val="20"/>
        </w:rPr>
        <w:t>毒、地方性砷中毒等。我国幅员辽阔，环境致病因素复杂，环境因素与人群行为生活方式、经济发展</w:t>
      </w:r>
      <w:r>
        <w:rPr>
          <w:rFonts w:ascii="宋体" w:hAnsi="宋体" w:eastAsia="宋体" w:cs="宋体"/>
          <w:spacing w:val="7"/>
          <w:sz w:val="20"/>
          <w:szCs w:val="20"/>
        </w:rPr>
        <w:t xml:space="preserve"> </w:t>
      </w:r>
      <w:r>
        <w:rPr>
          <w:rFonts w:ascii="宋体" w:hAnsi="宋体" w:eastAsia="宋体" w:cs="宋体"/>
          <w:spacing w:val="-2"/>
          <w:sz w:val="20"/>
          <w:szCs w:val="20"/>
        </w:rPr>
        <w:t>等因素交织存在，地方病类型各异，防制任务仍十分艰巨。</w:t>
      </w:r>
    </w:p>
    <w:p w14:paraId="393BBDEF">
      <w:pPr>
        <w:spacing w:before="1" w:line="351" w:lineRule="auto"/>
        <w:ind w:left="709" w:right="86" w:firstLine="410"/>
        <w:jc w:val="both"/>
        <w:rPr>
          <w:rFonts w:ascii="宋体" w:hAnsi="宋体" w:eastAsia="宋体" w:cs="宋体"/>
          <w:sz w:val="20"/>
          <w:szCs w:val="20"/>
        </w:rPr>
      </w:pPr>
      <w:r>
        <w:rPr>
          <w:rFonts w:ascii="宋体" w:hAnsi="宋体" w:eastAsia="宋体" w:cs="宋体"/>
          <w:spacing w:val="3"/>
          <w:sz w:val="20"/>
          <w:szCs w:val="20"/>
        </w:rPr>
        <w:t>判断一种疾病是否属于地方病的依据是：①该地区的居民</w:t>
      </w:r>
      <w:r>
        <w:rPr>
          <w:rFonts w:ascii="宋体" w:hAnsi="宋体" w:eastAsia="宋体" w:cs="宋体"/>
          <w:spacing w:val="2"/>
          <w:sz w:val="20"/>
          <w:szCs w:val="20"/>
        </w:rPr>
        <w:t>发病率高；②其他地区居住的人群发</w:t>
      </w:r>
      <w:r>
        <w:rPr>
          <w:rFonts w:ascii="宋体" w:hAnsi="宋体" w:eastAsia="宋体" w:cs="宋体"/>
          <w:sz w:val="20"/>
          <w:szCs w:val="20"/>
        </w:rPr>
        <w:t xml:space="preserve"> </w:t>
      </w:r>
      <w:r>
        <w:rPr>
          <w:rFonts w:ascii="宋体" w:hAnsi="宋体" w:eastAsia="宋体" w:cs="宋体"/>
          <w:spacing w:val="-2"/>
          <w:sz w:val="20"/>
          <w:szCs w:val="20"/>
        </w:rPr>
        <w:t>病率低，甚至不发病；③迁人该地区一段时间后，其发病率和当地居民一致；④迁出该地区后，发病</w:t>
      </w:r>
      <w:r>
        <w:rPr>
          <w:rFonts w:ascii="宋体" w:hAnsi="宋体" w:eastAsia="宋体" w:cs="宋体"/>
          <w:spacing w:val="10"/>
          <w:sz w:val="20"/>
          <w:szCs w:val="20"/>
        </w:rPr>
        <w:t xml:space="preserve"> </w:t>
      </w:r>
      <w:r>
        <w:rPr>
          <w:rFonts w:ascii="宋体" w:hAnsi="宋体" w:eastAsia="宋体" w:cs="宋体"/>
          <w:sz w:val="20"/>
          <w:szCs w:val="20"/>
        </w:rPr>
        <w:t>率下降，患病症状减轻或自愈；⑤当地的易感动物也可发生同样的疾病。</w:t>
      </w:r>
    </w:p>
    <w:p w14:paraId="757AF62C">
      <w:pPr>
        <w:pStyle w:val="2"/>
        <w:spacing w:before="148" w:line="222" w:lineRule="auto"/>
        <w:ind w:left="1173"/>
        <w:outlineLvl w:val="2"/>
        <w:rPr>
          <w:sz w:val="24"/>
          <w:szCs w:val="24"/>
        </w:rPr>
      </w:pPr>
      <w:bookmarkStart w:id="51" w:name="bookmark30"/>
      <w:bookmarkEnd w:id="51"/>
      <w:r>
        <w:rPr>
          <w:b/>
          <w:bCs/>
          <w:spacing w:val="-7"/>
          <w:sz w:val="24"/>
          <w:szCs w:val="24"/>
        </w:rPr>
        <w:t>三</w:t>
      </w:r>
      <w:r>
        <w:rPr>
          <w:spacing w:val="-47"/>
          <w:sz w:val="24"/>
          <w:szCs w:val="24"/>
        </w:rPr>
        <w:t xml:space="preserve"> </w:t>
      </w:r>
      <w:r>
        <w:rPr>
          <w:b/>
          <w:bCs/>
          <w:spacing w:val="-7"/>
          <w:sz w:val="24"/>
          <w:szCs w:val="24"/>
        </w:rPr>
        <w:t>、时间分布</w:t>
      </w:r>
    </w:p>
    <w:p w14:paraId="3F4FAC46">
      <w:pPr>
        <w:spacing w:before="292" w:line="343" w:lineRule="auto"/>
        <w:ind w:left="709" w:right="85" w:firstLine="410"/>
        <w:jc w:val="both"/>
        <w:rPr>
          <w:rFonts w:ascii="宋体" w:hAnsi="宋体" w:eastAsia="宋体" w:cs="宋体"/>
          <w:sz w:val="20"/>
          <w:szCs w:val="20"/>
        </w:rPr>
      </w:pPr>
      <w:r>
        <w:rPr>
          <w:rFonts w:ascii="宋体" w:hAnsi="宋体" w:eastAsia="宋体" w:cs="宋体"/>
          <w:spacing w:val="8"/>
          <w:sz w:val="20"/>
          <w:szCs w:val="20"/>
        </w:rPr>
        <w:t>时间分布是指疾病随着时间的变化所呈现的特征，反映疾病在时间上的流行</w:t>
      </w:r>
      <w:r>
        <w:rPr>
          <w:rFonts w:ascii="宋体" w:hAnsi="宋体" w:eastAsia="宋体" w:cs="宋体"/>
          <w:spacing w:val="7"/>
          <w:sz w:val="20"/>
          <w:szCs w:val="20"/>
        </w:rPr>
        <w:t>规律。通过疾病</w:t>
      </w:r>
      <w:r>
        <w:rPr>
          <w:rFonts w:ascii="宋体" w:hAnsi="宋体" w:eastAsia="宋体" w:cs="宋体"/>
          <w:sz w:val="20"/>
          <w:szCs w:val="20"/>
        </w:rPr>
        <w:t xml:space="preserve"> </w:t>
      </w:r>
      <w:r>
        <w:rPr>
          <w:rFonts w:ascii="宋体" w:hAnsi="宋体" w:eastAsia="宋体" w:cs="宋体"/>
          <w:spacing w:val="8"/>
          <w:sz w:val="20"/>
          <w:szCs w:val="20"/>
        </w:rPr>
        <w:t>的时间分布可验证可疑的致病因素与疾病发生的关</w:t>
      </w:r>
      <w:r>
        <w:rPr>
          <w:rFonts w:ascii="宋体" w:hAnsi="宋体" w:eastAsia="宋体" w:cs="宋体"/>
          <w:spacing w:val="7"/>
          <w:sz w:val="20"/>
          <w:szCs w:val="20"/>
        </w:rPr>
        <w:t>系，通过防制措施实施前后疾病频率的变化评</w:t>
      </w:r>
      <w:r>
        <w:rPr>
          <w:rFonts w:ascii="宋体" w:hAnsi="宋体" w:eastAsia="宋体" w:cs="宋体"/>
          <w:sz w:val="20"/>
          <w:szCs w:val="20"/>
        </w:rPr>
        <w:t xml:space="preserve"> </w:t>
      </w:r>
      <w:r>
        <w:rPr>
          <w:rFonts w:ascii="宋体" w:hAnsi="宋体" w:eastAsia="宋体" w:cs="宋体"/>
          <w:spacing w:val="3"/>
          <w:sz w:val="20"/>
          <w:szCs w:val="20"/>
        </w:rPr>
        <w:t>价其效果。疾病的时间分布特征与变化规律可以从短期波动、季节性、</w:t>
      </w:r>
      <w:r>
        <w:rPr>
          <w:rFonts w:ascii="宋体" w:hAnsi="宋体" w:eastAsia="宋体" w:cs="宋体"/>
          <w:spacing w:val="2"/>
          <w:sz w:val="20"/>
          <w:szCs w:val="20"/>
        </w:rPr>
        <w:t>周期性、长期趋势等几个方</w:t>
      </w:r>
      <w:r>
        <w:rPr>
          <w:rFonts w:ascii="宋体" w:hAnsi="宋体" w:eastAsia="宋体" w:cs="宋体"/>
          <w:sz w:val="20"/>
          <w:szCs w:val="20"/>
        </w:rPr>
        <w:t xml:space="preserve"> </w:t>
      </w:r>
      <w:r>
        <w:rPr>
          <w:rFonts w:ascii="宋体" w:hAnsi="宋体" w:eastAsia="宋体" w:cs="宋体"/>
          <w:spacing w:val="4"/>
          <w:sz w:val="20"/>
          <w:szCs w:val="20"/>
        </w:rPr>
        <w:t>面进行归纳与描述。</w:t>
      </w:r>
    </w:p>
    <w:p w14:paraId="2EE15106">
      <w:pPr>
        <w:pStyle w:val="2"/>
        <w:spacing w:before="21" w:line="222" w:lineRule="auto"/>
        <w:ind w:left="1172"/>
        <w:rPr>
          <w:sz w:val="20"/>
          <w:szCs w:val="20"/>
        </w:rPr>
      </w:pPr>
      <w:r>
        <w:rPr>
          <w:b/>
          <w:bCs/>
          <w:spacing w:val="12"/>
          <w:sz w:val="20"/>
          <w:szCs w:val="20"/>
        </w:rPr>
        <w:t>(</w:t>
      </w:r>
      <w:r>
        <w:rPr>
          <w:spacing w:val="-49"/>
          <w:sz w:val="20"/>
          <w:szCs w:val="20"/>
        </w:rPr>
        <w:t xml:space="preserve"> </w:t>
      </w:r>
      <w:r>
        <w:rPr>
          <w:b/>
          <w:bCs/>
          <w:spacing w:val="12"/>
          <w:sz w:val="20"/>
          <w:szCs w:val="20"/>
        </w:rPr>
        <w:t>一</w:t>
      </w:r>
      <w:r>
        <w:rPr>
          <w:spacing w:val="-55"/>
          <w:sz w:val="20"/>
          <w:szCs w:val="20"/>
        </w:rPr>
        <w:t xml:space="preserve"> </w:t>
      </w:r>
      <w:r>
        <w:rPr>
          <w:b/>
          <w:bCs/>
          <w:spacing w:val="12"/>
          <w:sz w:val="20"/>
          <w:szCs w:val="20"/>
        </w:rPr>
        <w:t>)短期波动</w:t>
      </w:r>
    </w:p>
    <w:p w14:paraId="5BF857DC">
      <w:pPr>
        <w:spacing w:before="102" w:line="350" w:lineRule="auto"/>
        <w:ind w:left="709" w:right="20" w:firstLine="410"/>
        <w:jc w:val="both"/>
        <w:rPr>
          <w:rFonts w:ascii="宋体" w:hAnsi="宋体" w:eastAsia="宋体" w:cs="宋体"/>
          <w:sz w:val="20"/>
          <w:szCs w:val="20"/>
        </w:rPr>
      </w:pPr>
      <w:r>
        <w:rPr>
          <w:rFonts w:ascii="宋体" w:hAnsi="宋体" w:eastAsia="宋体" w:cs="宋体"/>
          <w:spacing w:val="4"/>
          <w:sz w:val="20"/>
          <w:szCs w:val="20"/>
        </w:rPr>
        <w:t>短期波动</w:t>
      </w:r>
      <w:r>
        <w:rPr>
          <w:rFonts w:ascii="Times New Roman" w:hAnsi="Times New Roman" w:eastAsia="Times New Roman" w:cs="Times New Roman"/>
          <w:spacing w:val="4"/>
          <w:sz w:val="20"/>
          <w:szCs w:val="20"/>
        </w:rPr>
        <w:t>(</w:t>
      </w:r>
      <w:r>
        <w:rPr>
          <w:rFonts w:ascii="Times New Roman" w:hAnsi="Times New Roman" w:eastAsia="Times New Roman" w:cs="Times New Roman"/>
          <w:sz w:val="20"/>
          <w:szCs w:val="20"/>
        </w:rPr>
        <w:t>rapid</w:t>
      </w:r>
      <w:r>
        <w:rPr>
          <w:rFonts w:ascii="Times New Roman" w:hAnsi="Times New Roman" w:eastAsia="Times New Roman" w:cs="Times New Roman"/>
          <w:spacing w:val="4"/>
          <w:sz w:val="20"/>
          <w:szCs w:val="20"/>
        </w:rPr>
        <w:t xml:space="preserve">    </w:t>
      </w:r>
      <w:r>
        <w:rPr>
          <w:rFonts w:ascii="Times New Roman" w:hAnsi="Times New Roman" w:eastAsia="Times New Roman" w:cs="Times New Roman"/>
          <w:sz w:val="20"/>
          <w:szCs w:val="20"/>
        </w:rPr>
        <w:t>fluctuation</w:t>
      </w:r>
      <w:r>
        <w:rPr>
          <w:rFonts w:ascii="Times New Roman" w:hAnsi="Times New Roman" w:eastAsia="Times New Roman" w:cs="Times New Roman"/>
          <w:spacing w:val="4"/>
          <w:sz w:val="20"/>
          <w:szCs w:val="20"/>
        </w:rPr>
        <w:t>)</w:t>
      </w:r>
      <w:r>
        <w:rPr>
          <w:rFonts w:ascii="宋体" w:hAnsi="宋体" w:eastAsia="宋体" w:cs="宋体"/>
          <w:spacing w:val="4"/>
          <w:sz w:val="20"/>
          <w:szCs w:val="20"/>
        </w:rPr>
        <w:t>一般是指持续几天、几周或几个月的疾病流行或疫情暴发的现象，</w:t>
      </w:r>
      <w:r>
        <w:rPr>
          <w:rFonts w:ascii="宋体" w:hAnsi="宋体" w:eastAsia="宋体" w:cs="宋体"/>
          <w:spacing w:val="12"/>
          <w:sz w:val="20"/>
          <w:szCs w:val="20"/>
        </w:rPr>
        <w:t xml:space="preserve"> </w:t>
      </w:r>
      <w:r>
        <w:rPr>
          <w:rFonts w:ascii="宋体" w:hAnsi="宋体" w:eastAsia="宋体" w:cs="宋体"/>
          <w:spacing w:val="3"/>
          <w:sz w:val="20"/>
          <w:szCs w:val="20"/>
        </w:rPr>
        <w:t>是疾病的特殊存在方式。其含义与暴发相近，区别在于暴发常用于少量</w:t>
      </w:r>
      <w:r>
        <w:rPr>
          <w:rFonts w:ascii="宋体" w:hAnsi="宋体" w:eastAsia="宋体" w:cs="宋体"/>
          <w:spacing w:val="2"/>
          <w:sz w:val="20"/>
          <w:szCs w:val="20"/>
        </w:rPr>
        <w:t>人群，而短期波动常用于较</w:t>
      </w:r>
      <w:r>
        <w:rPr>
          <w:rFonts w:ascii="宋体" w:hAnsi="宋体" w:eastAsia="宋体" w:cs="宋体"/>
          <w:sz w:val="20"/>
          <w:szCs w:val="20"/>
        </w:rPr>
        <w:t xml:space="preserve"> </w:t>
      </w:r>
      <w:r>
        <w:rPr>
          <w:rFonts w:ascii="宋体" w:hAnsi="宋体" w:eastAsia="宋体" w:cs="宋体"/>
          <w:spacing w:val="7"/>
          <w:sz w:val="20"/>
          <w:szCs w:val="20"/>
        </w:rPr>
        <w:t>大数量的人群。</w:t>
      </w:r>
    </w:p>
    <w:p w14:paraId="6E15811D">
      <w:pPr>
        <w:spacing w:before="13" w:line="337" w:lineRule="auto"/>
        <w:ind w:left="709" w:right="20" w:firstLine="410"/>
        <w:jc w:val="both"/>
        <w:rPr>
          <w:rFonts w:ascii="宋体" w:hAnsi="宋体" w:eastAsia="宋体" w:cs="宋体"/>
          <w:sz w:val="20"/>
          <w:szCs w:val="20"/>
        </w:rPr>
      </w:pPr>
      <w:r>
        <w:rPr>
          <w:rFonts w:ascii="宋体" w:hAnsi="宋体" w:eastAsia="宋体" w:cs="宋体"/>
          <w:spacing w:val="13"/>
          <w:sz w:val="20"/>
          <w:szCs w:val="20"/>
        </w:rPr>
        <w:t>短期波动一般具有比较确定的原因，多数情况下是由于大量人群同时或持续暴露于某共同</w:t>
      </w:r>
      <w:r>
        <w:rPr>
          <w:rFonts w:ascii="宋体" w:hAnsi="宋体" w:eastAsia="宋体" w:cs="宋体"/>
          <w:spacing w:val="10"/>
          <w:sz w:val="20"/>
          <w:szCs w:val="20"/>
        </w:rPr>
        <w:t xml:space="preserve"> </w:t>
      </w:r>
      <w:r>
        <w:rPr>
          <w:rFonts w:ascii="宋体" w:hAnsi="宋体" w:eastAsia="宋体" w:cs="宋体"/>
          <w:spacing w:val="9"/>
          <w:sz w:val="20"/>
          <w:szCs w:val="20"/>
        </w:rPr>
        <w:t>致病因素，致使人群中疾病的病例数在短时间内迅速增多。如伤寒、痢疾和麻疹的暴发或流行，</w:t>
      </w:r>
      <w:r>
        <w:rPr>
          <w:rFonts w:ascii="宋体" w:hAnsi="宋体" w:eastAsia="宋体" w:cs="宋体"/>
          <w:spacing w:val="10"/>
          <w:sz w:val="20"/>
          <w:szCs w:val="20"/>
        </w:rPr>
        <w:t xml:space="preserve"> </w:t>
      </w:r>
      <w:r>
        <w:rPr>
          <w:rFonts w:ascii="宋体" w:hAnsi="宋体" w:eastAsia="宋体" w:cs="宋体"/>
          <w:spacing w:val="2"/>
          <w:sz w:val="20"/>
          <w:szCs w:val="20"/>
        </w:rPr>
        <w:t>以及化学毒物中毒等。自然灾害、环境污染以及社会政治、经济、文化因素等也可导致疾病的短期</w:t>
      </w:r>
      <w:r>
        <w:rPr>
          <w:rFonts w:ascii="宋体" w:hAnsi="宋体" w:eastAsia="宋体" w:cs="宋体"/>
          <w:spacing w:val="8"/>
          <w:sz w:val="20"/>
          <w:szCs w:val="20"/>
        </w:rPr>
        <w:t xml:space="preserve">  </w:t>
      </w:r>
      <w:r>
        <w:rPr>
          <w:rFonts w:ascii="宋体" w:hAnsi="宋体" w:eastAsia="宋体" w:cs="宋体"/>
          <w:spacing w:val="13"/>
          <w:sz w:val="20"/>
          <w:szCs w:val="20"/>
        </w:rPr>
        <w:t>波动。</w:t>
      </w:r>
    </w:p>
    <w:p w14:paraId="580597D9">
      <w:pPr>
        <w:pStyle w:val="2"/>
        <w:spacing w:line="223" w:lineRule="auto"/>
        <w:ind w:left="1173"/>
        <w:rPr>
          <w:sz w:val="24"/>
          <w:szCs w:val="24"/>
        </w:rPr>
      </w:pPr>
      <w:r>
        <w:rPr>
          <w:b/>
          <w:bCs/>
          <w:sz w:val="24"/>
          <w:szCs w:val="24"/>
        </w:rPr>
        <w:t>(二)季节性</w:t>
      </w:r>
    </w:p>
    <w:p w14:paraId="0899FC0A">
      <w:pPr>
        <w:spacing w:before="88" w:line="212" w:lineRule="auto"/>
        <w:ind w:left="1120"/>
        <w:rPr>
          <w:rFonts w:ascii="Times New Roman" w:hAnsi="Times New Roman" w:eastAsia="Times New Roman" w:cs="Times New Roman"/>
          <w:sz w:val="20"/>
          <w:szCs w:val="20"/>
        </w:rPr>
      </w:pPr>
      <w:r>
        <w:rPr>
          <w:rFonts w:ascii="宋体" w:hAnsi="宋体" w:eastAsia="宋体" w:cs="宋体"/>
          <w:spacing w:val="8"/>
          <w:sz w:val="20"/>
          <w:szCs w:val="20"/>
        </w:rPr>
        <w:t>疾病只在一定季节发生，或在一定季节内呈现发病率增高的现象</w:t>
      </w:r>
      <w:r>
        <w:rPr>
          <w:rFonts w:ascii="宋体" w:hAnsi="宋体" w:eastAsia="宋体" w:cs="宋体"/>
          <w:spacing w:val="7"/>
          <w:sz w:val="20"/>
          <w:szCs w:val="20"/>
        </w:rPr>
        <w:t>，称为季节性</w:t>
      </w:r>
      <w:r>
        <w:rPr>
          <w:rFonts w:ascii="Times New Roman" w:hAnsi="Times New Roman" w:eastAsia="Times New Roman" w:cs="Times New Roman"/>
          <w:spacing w:val="7"/>
          <w:sz w:val="20"/>
          <w:szCs w:val="20"/>
        </w:rPr>
        <w:t>(</w:t>
      </w:r>
      <w:r>
        <w:rPr>
          <w:rFonts w:ascii="Times New Roman" w:hAnsi="Times New Roman" w:eastAsia="Times New Roman" w:cs="Times New Roman"/>
          <w:sz w:val="20"/>
          <w:szCs w:val="20"/>
        </w:rPr>
        <w:t>seasonality</w:t>
      </w:r>
      <w:r>
        <w:rPr>
          <w:rFonts w:ascii="Times New Roman" w:hAnsi="Times New Roman" w:eastAsia="Times New Roman" w:cs="Times New Roman"/>
          <w:spacing w:val="7"/>
          <w:sz w:val="20"/>
          <w:szCs w:val="20"/>
        </w:rPr>
        <w:t>,</w:t>
      </w:r>
    </w:p>
    <w:p w14:paraId="3552E81E">
      <w:pPr>
        <w:spacing w:before="162" w:line="344" w:lineRule="auto"/>
        <w:ind w:left="709" w:right="90"/>
        <w:rPr>
          <w:rFonts w:ascii="宋体" w:hAnsi="宋体" w:eastAsia="宋体" w:cs="宋体"/>
          <w:sz w:val="20"/>
          <w:szCs w:val="20"/>
        </w:rPr>
      </w:pPr>
      <w:r>
        <w:rPr>
          <w:rFonts w:ascii="宋体" w:hAnsi="宋体" w:eastAsia="宋体" w:cs="宋体"/>
          <w:spacing w:val="-3"/>
          <w:sz w:val="20"/>
          <w:szCs w:val="20"/>
        </w:rPr>
        <w:t>seasonal variation)。季节性是疾病非常重要的流行病</w:t>
      </w:r>
      <w:r>
        <w:rPr>
          <w:rFonts w:ascii="宋体" w:hAnsi="宋体" w:eastAsia="宋体" w:cs="宋体"/>
          <w:spacing w:val="-4"/>
          <w:sz w:val="20"/>
          <w:szCs w:val="20"/>
        </w:rPr>
        <w:t>学特征，许多疾病发病率呈现季节性升高和降</w:t>
      </w:r>
      <w:r>
        <w:rPr>
          <w:rFonts w:ascii="宋体" w:hAnsi="宋体" w:eastAsia="宋体" w:cs="宋体"/>
          <w:sz w:val="20"/>
          <w:szCs w:val="20"/>
        </w:rPr>
        <w:t xml:space="preserve"> </w:t>
      </w:r>
      <w:r>
        <w:rPr>
          <w:rFonts w:ascii="宋体" w:hAnsi="宋体" w:eastAsia="宋体" w:cs="宋体"/>
          <w:spacing w:val="1"/>
          <w:sz w:val="20"/>
          <w:szCs w:val="20"/>
        </w:rPr>
        <w:t>低相交替的特点，有以下两种季节性表现形式。</w:t>
      </w:r>
    </w:p>
    <w:p w14:paraId="280BB7EF">
      <w:pPr>
        <w:pStyle w:val="2"/>
        <w:spacing w:before="5" w:line="343" w:lineRule="auto"/>
        <w:ind w:left="709" w:right="71" w:firstLine="460"/>
        <w:jc w:val="both"/>
        <w:rPr>
          <w:rFonts w:ascii="宋体" w:hAnsi="宋体" w:eastAsia="宋体" w:cs="宋体"/>
          <w:sz w:val="20"/>
          <w:szCs w:val="20"/>
        </w:rPr>
      </w:pPr>
      <w:r>
        <w:rPr>
          <w:rFonts w:ascii="宋体" w:hAnsi="宋体" w:eastAsia="宋体" w:cs="宋体"/>
          <w:spacing w:val="7"/>
          <w:sz w:val="20"/>
          <w:szCs w:val="20"/>
        </w:rPr>
        <w:t xml:space="preserve">1. </w:t>
      </w:r>
      <w:r>
        <w:rPr>
          <w:spacing w:val="7"/>
          <w:sz w:val="20"/>
          <w:szCs w:val="20"/>
        </w:rPr>
        <w:t xml:space="preserve">严格的季节性 </w:t>
      </w:r>
      <w:r>
        <w:rPr>
          <w:rFonts w:ascii="宋体" w:hAnsi="宋体" w:eastAsia="宋体" w:cs="宋体"/>
          <w:spacing w:val="7"/>
          <w:sz w:val="20"/>
          <w:szCs w:val="20"/>
        </w:rPr>
        <w:t>在某些地区经虫媒传播的传染病发</w:t>
      </w:r>
      <w:r>
        <w:rPr>
          <w:rFonts w:ascii="宋体" w:hAnsi="宋体" w:eastAsia="宋体" w:cs="宋体"/>
          <w:spacing w:val="6"/>
          <w:sz w:val="20"/>
          <w:szCs w:val="20"/>
        </w:rPr>
        <w:t>生有严格的季节性，发病多集中在少数</w:t>
      </w:r>
      <w:r>
        <w:rPr>
          <w:rFonts w:ascii="宋体" w:hAnsi="宋体" w:eastAsia="宋体" w:cs="宋体"/>
          <w:sz w:val="20"/>
          <w:szCs w:val="20"/>
        </w:rPr>
        <w:t xml:space="preserve"> </w:t>
      </w:r>
      <w:r>
        <w:rPr>
          <w:rFonts w:ascii="宋体" w:hAnsi="宋体" w:eastAsia="宋体" w:cs="宋体"/>
          <w:spacing w:val="8"/>
          <w:sz w:val="20"/>
          <w:szCs w:val="20"/>
        </w:rPr>
        <w:t>几个月内，其余月份没有或者很少有病例的发生。如</w:t>
      </w:r>
      <w:r>
        <w:rPr>
          <w:rFonts w:ascii="宋体" w:hAnsi="宋体" w:eastAsia="宋体" w:cs="宋体"/>
          <w:spacing w:val="7"/>
          <w:sz w:val="20"/>
          <w:szCs w:val="20"/>
        </w:rPr>
        <w:t>我国北方地区流行性乙型脑炎(简称乙脑)的</w:t>
      </w:r>
      <w:r>
        <w:rPr>
          <w:rFonts w:ascii="宋体" w:hAnsi="宋体" w:eastAsia="宋体" w:cs="宋体"/>
          <w:sz w:val="20"/>
          <w:szCs w:val="20"/>
        </w:rPr>
        <w:t xml:space="preserve"> </w:t>
      </w:r>
      <w:r>
        <w:rPr>
          <w:sz w:val="20"/>
          <w:szCs w:val="20"/>
        </w:rPr>
        <w:t>发病</w:t>
      </w:r>
      <w:r>
        <w:rPr>
          <w:rFonts w:ascii="宋体" w:hAnsi="宋体" w:eastAsia="宋体" w:cs="宋体"/>
          <w:sz w:val="20"/>
          <w:szCs w:val="20"/>
        </w:rPr>
        <w:t>季节为夏秋季，其他季节无病例出现，表现出乙脑严</w:t>
      </w:r>
      <w:r>
        <w:rPr>
          <w:rFonts w:ascii="宋体" w:hAnsi="宋体" w:eastAsia="宋体" w:cs="宋体"/>
          <w:spacing w:val="-1"/>
          <w:sz w:val="20"/>
          <w:szCs w:val="20"/>
        </w:rPr>
        <w:t>格的季节性特点。</w:t>
      </w:r>
    </w:p>
    <w:p w14:paraId="705734F1">
      <w:pPr>
        <w:spacing w:line="343" w:lineRule="auto"/>
        <w:rPr>
          <w:rFonts w:ascii="宋体" w:hAnsi="宋体" w:eastAsia="宋体" w:cs="宋体"/>
          <w:sz w:val="20"/>
          <w:szCs w:val="20"/>
        </w:rPr>
        <w:sectPr>
          <w:footerReference r:id="rId56" w:type="default"/>
          <w:pgSz w:w="11900" w:h="16820"/>
          <w:pgMar w:top="400" w:right="1519" w:bottom="817" w:left="860" w:header="0" w:footer="636" w:gutter="0"/>
          <w:cols w:space="720" w:num="1"/>
        </w:sectPr>
      </w:pPr>
    </w:p>
    <w:p w14:paraId="6577DAD9">
      <w:pPr>
        <w:pStyle w:val="2"/>
        <w:spacing w:before="256" w:line="221" w:lineRule="auto"/>
        <w:ind w:left="7610"/>
        <w:rPr>
          <w:sz w:val="21"/>
          <w:szCs w:val="21"/>
        </w:rPr>
      </w:pPr>
      <w:bookmarkStart w:id="52" w:name="bookmark418"/>
      <w:bookmarkEnd w:id="52"/>
      <w:r>
        <w:rPr>
          <w:spacing w:val="-12"/>
          <w:sz w:val="21"/>
          <w:szCs w:val="21"/>
        </w:rPr>
        <w:t>第二章疾病的分布</w:t>
      </w:r>
    </w:p>
    <w:p w14:paraId="6ECBFC24">
      <w:pPr>
        <w:spacing w:line="273" w:lineRule="auto"/>
        <w:rPr>
          <w:rFonts w:ascii="Arial"/>
          <w:sz w:val="21"/>
        </w:rPr>
      </w:pPr>
    </w:p>
    <w:p w14:paraId="4BD75A63">
      <w:pPr>
        <w:spacing w:line="273" w:lineRule="auto"/>
        <w:rPr>
          <w:rFonts w:ascii="Arial"/>
          <w:sz w:val="21"/>
        </w:rPr>
      </w:pPr>
    </w:p>
    <w:p w14:paraId="74EA8AED">
      <w:pPr>
        <w:spacing w:before="68" w:line="318" w:lineRule="auto"/>
        <w:ind w:right="727" w:firstLine="440"/>
        <w:jc w:val="both"/>
        <w:rPr>
          <w:rFonts w:ascii="宋体" w:hAnsi="宋体" w:eastAsia="宋体" w:cs="宋体"/>
          <w:sz w:val="21"/>
          <w:szCs w:val="21"/>
        </w:rPr>
      </w:pPr>
      <w:r>
        <w:rPr>
          <w:rFonts w:ascii="宋体" w:hAnsi="宋体" w:eastAsia="宋体" w:cs="宋体"/>
          <w:spacing w:val="5"/>
          <w:sz w:val="21"/>
          <w:szCs w:val="21"/>
        </w:rPr>
        <w:t>2. 季节性升高</w:t>
      </w:r>
      <w:r>
        <w:rPr>
          <w:rFonts w:ascii="宋体" w:hAnsi="宋体" w:eastAsia="宋体" w:cs="宋体"/>
          <w:spacing w:val="4"/>
          <w:sz w:val="21"/>
          <w:szCs w:val="21"/>
        </w:rPr>
        <w:t xml:space="preserve">  </w:t>
      </w:r>
      <w:r>
        <w:rPr>
          <w:rFonts w:ascii="宋体" w:hAnsi="宋体" w:eastAsia="宋体" w:cs="宋体"/>
          <w:spacing w:val="5"/>
          <w:sz w:val="21"/>
          <w:szCs w:val="21"/>
        </w:rPr>
        <w:t>一年四季均发病，但仅在一定的月份发病率升高，如肠道传染病和呼吸道传</w:t>
      </w:r>
      <w:r>
        <w:rPr>
          <w:rFonts w:ascii="宋体" w:hAnsi="宋体" w:eastAsia="宋体" w:cs="宋体"/>
          <w:spacing w:val="1"/>
          <w:sz w:val="21"/>
          <w:szCs w:val="21"/>
        </w:rPr>
        <w:t xml:space="preserve"> </w:t>
      </w:r>
      <w:r>
        <w:rPr>
          <w:rFonts w:ascii="宋体" w:hAnsi="宋体" w:eastAsia="宋体" w:cs="宋体"/>
          <w:spacing w:val="5"/>
          <w:sz w:val="21"/>
          <w:szCs w:val="21"/>
        </w:rPr>
        <w:t>染病，全年均有病例发生，但肠道传染病多见于夏秋季，而呼吸道传染病在冬春季高发。图2-6展</w:t>
      </w:r>
      <w:r>
        <w:rPr>
          <w:rFonts w:ascii="宋体" w:hAnsi="宋体" w:eastAsia="宋体" w:cs="宋体"/>
          <w:spacing w:val="15"/>
          <w:sz w:val="21"/>
          <w:szCs w:val="21"/>
        </w:rPr>
        <w:t xml:space="preserve"> </w:t>
      </w:r>
      <w:r>
        <w:rPr>
          <w:rFonts w:ascii="宋体" w:hAnsi="宋体" w:eastAsia="宋体" w:cs="宋体"/>
          <w:spacing w:val="8"/>
          <w:sz w:val="21"/>
          <w:szCs w:val="21"/>
        </w:rPr>
        <w:t>示了2015—2019年我国法定报告的细菌性和阿米巴性痢疾按月的新发病例数分布，可以看出</w:t>
      </w:r>
      <w:r>
        <w:rPr>
          <w:rFonts w:ascii="宋体" w:hAnsi="宋体" w:eastAsia="宋体" w:cs="宋体"/>
          <w:spacing w:val="7"/>
          <w:sz w:val="21"/>
          <w:szCs w:val="21"/>
        </w:rPr>
        <w:t>病例</w:t>
      </w:r>
      <w:r>
        <w:rPr>
          <w:rFonts w:ascii="宋体" w:hAnsi="宋体" w:eastAsia="宋体" w:cs="宋体"/>
          <w:sz w:val="21"/>
          <w:szCs w:val="21"/>
        </w:rPr>
        <w:t xml:space="preserve"> </w:t>
      </w:r>
      <w:r>
        <w:rPr>
          <w:rFonts w:ascii="宋体" w:hAnsi="宋体" w:eastAsia="宋体" w:cs="宋体"/>
          <w:spacing w:val="4"/>
          <w:sz w:val="21"/>
          <w:szCs w:val="21"/>
        </w:rPr>
        <w:t>数呈现出明显的季节性升高，多发生在夏秋季5—10月。</w:t>
      </w:r>
    </w:p>
    <w:p w14:paraId="64005515">
      <w:pPr>
        <w:spacing w:line="264" w:lineRule="auto"/>
        <w:rPr>
          <w:rFonts w:ascii="Arial"/>
          <w:sz w:val="21"/>
        </w:rPr>
      </w:pPr>
    </w:p>
    <w:p w14:paraId="69C5CCA5">
      <w:pPr>
        <w:spacing w:before="61" w:line="242" w:lineRule="auto"/>
        <w:ind w:left="1590" w:right="7745"/>
        <w:jc w:val="both"/>
        <w:rPr>
          <w:rFonts w:ascii="Times New Roman" w:hAnsi="Times New Roman" w:eastAsia="Times New Roman" w:cs="Times New Roman"/>
          <w:sz w:val="31"/>
          <w:szCs w:val="31"/>
        </w:rPr>
      </w:pPr>
      <w:r>
        <mc:AlternateContent>
          <mc:Choice Requires="wps">
            <w:drawing>
              <wp:anchor distT="0" distB="0" distL="0" distR="0" simplePos="0" relativeHeight="251692032" behindDoc="0" locked="0" layoutInCell="1" allowOverlap="1">
                <wp:simplePos x="0" y="0"/>
                <wp:positionH relativeFrom="column">
                  <wp:posOffset>596265</wp:posOffset>
                </wp:positionH>
                <wp:positionV relativeFrom="paragraph">
                  <wp:posOffset>1002665</wp:posOffset>
                </wp:positionV>
                <wp:extent cx="589280" cy="209550"/>
                <wp:effectExtent l="0" t="0" r="0" b="0"/>
                <wp:wrapNone/>
                <wp:docPr id="106" name="TextBox 106"/>
                <wp:cNvGraphicFramePr/>
                <a:graphic xmlns:a="http://schemas.openxmlformats.org/drawingml/2006/main">
                  <a:graphicData uri="http://schemas.microsoft.com/office/word/2010/wordprocessingShape">
                    <wps:wsp>
                      <wps:cNvSpPr txBox="1"/>
                      <wps:spPr>
                        <a:xfrm rot="16200000">
                          <a:off x="596538" y="1002688"/>
                          <a:ext cx="589280" cy="209550"/>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042E771B">
                            <w:pPr>
                              <w:spacing w:before="60" w:line="219" w:lineRule="auto"/>
                              <w:jc w:val="right"/>
                              <w:rPr>
                                <w:rFonts w:ascii="宋体" w:hAnsi="宋体" w:eastAsia="宋体" w:cs="宋体"/>
                                <w:sz w:val="21"/>
                                <w:szCs w:val="21"/>
                              </w:rPr>
                            </w:pPr>
                            <w:r>
                              <w:rPr>
                                <w:rFonts w:ascii="宋体" w:hAnsi="宋体" w:eastAsia="宋体" w:cs="宋体"/>
                                <w:spacing w:val="-17"/>
                                <w:w w:val="91"/>
                                <w:sz w:val="21"/>
                                <w:szCs w:val="21"/>
                              </w:rPr>
                              <w:t>新</w:t>
                            </w:r>
                            <w:r>
                              <w:rPr>
                                <w:rFonts w:ascii="宋体" w:hAnsi="宋体" w:eastAsia="宋体" w:cs="宋体"/>
                                <w:spacing w:val="-16"/>
                                <w:w w:val="91"/>
                                <w:sz w:val="21"/>
                                <w:szCs w:val="21"/>
                              </w:rPr>
                              <w:t>发病例</w:t>
                            </w:r>
                            <w:r>
                              <w:rPr>
                                <w:rFonts w:ascii="宋体" w:hAnsi="宋体" w:eastAsia="宋体" w:cs="宋体"/>
                                <w:spacing w:val="-10"/>
                                <w:w w:val="91"/>
                                <w:sz w:val="21"/>
                                <w:szCs w:val="21"/>
                              </w:rPr>
                              <w:t>数</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106" o:spid="_x0000_s1026" o:spt="202" type="#_x0000_t202" style="position:absolute;left:0pt;margin-left:46.95pt;margin-top:78.95pt;height:16.5pt;width:46.4pt;rotation:-5898240f;z-index:251692032;mso-width-relative:page;mso-height-relative:page;" filled="f" stroked="f" coordsize="21600,21600" o:gfxdata="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Bj/2lX2AAAAAoBAAAPAAAA&#10;AAAAAAEAIAAAACIAAABkcnMvZG93bnJldi54bWxQSwECFAAUAAAACACHTuJAAoe2vk4CAACkBAAA&#10;DgAAAAAAAAABACAAAAAnAQAAZHJzL2Uyb0RvYy54bWxQSwUGAAAAAAYABgBZAQAA5wUAAAAA&#10;">
                <v:fill on="f" focussize="0,0"/>
                <v:stroke on="f" weight="0pt" miterlimit="0" joinstyle="miter"/>
                <v:imagedata o:title=""/>
                <o:lock v:ext="edit" aspectratio="f"/>
                <v:textbox inset="0mm,0mm,0mm,0mm">
                  <w:txbxContent>
                    <w:p w14:paraId="042E771B">
                      <w:pPr>
                        <w:spacing w:before="60" w:line="219" w:lineRule="auto"/>
                        <w:jc w:val="right"/>
                        <w:rPr>
                          <w:rFonts w:ascii="宋体" w:hAnsi="宋体" w:eastAsia="宋体" w:cs="宋体"/>
                          <w:sz w:val="21"/>
                          <w:szCs w:val="21"/>
                        </w:rPr>
                      </w:pPr>
                      <w:r>
                        <w:rPr>
                          <w:rFonts w:ascii="宋体" w:hAnsi="宋体" w:eastAsia="宋体" w:cs="宋体"/>
                          <w:spacing w:val="-17"/>
                          <w:w w:val="91"/>
                          <w:sz w:val="21"/>
                          <w:szCs w:val="21"/>
                        </w:rPr>
                        <w:t>新</w:t>
                      </w:r>
                      <w:r>
                        <w:rPr>
                          <w:rFonts w:ascii="宋体" w:hAnsi="宋体" w:eastAsia="宋体" w:cs="宋体"/>
                          <w:spacing w:val="-16"/>
                          <w:w w:val="91"/>
                          <w:sz w:val="21"/>
                          <w:szCs w:val="21"/>
                        </w:rPr>
                        <w:t>发病例</w:t>
                      </w:r>
                      <w:r>
                        <w:rPr>
                          <w:rFonts w:ascii="宋体" w:hAnsi="宋体" w:eastAsia="宋体" w:cs="宋体"/>
                          <w:spacing w:val="-10"/>
                          <w:w w:val="91"/>
                          <w:sz w:val="21"/>
                          <w:szCs w:val="21"/>
                        </w:rPr>
                        <w:t>数</w:t>
                      </w:r>
                    </w:p>
                  </w:txbxContent>
                </v:textbox>
              </v:shape>
            </w:pict>
          </mc:Fallback>
        </mc:AlternateContent>
      </w:r>
      <w:r>
        <w:drawing>
          <wp:anchor distT="0" distB="0" distL="0" distR="0" simplePos="0" relativeHeight="251689984" behindDoc="1" locked="0" layoutInCell="1" allowOverlap="1">
            <wp:simplePos x="0" y="0"/>
            <wp:positionH relativeFrom="column">
              <wp:posOffset>945515</wp:posOffset>
            </wp:positionH>
            <wp:positionV relativeFrom="paragraph">
              <wp:posOffset>-45720</wp:posOffset>
            </wp:positionV>
            <wp:extent cx="4121150" cy="2825750"/>
            <wp:effectExtent l="0" t="0" r="0" b="0"/>
            <wp:wrapNone/>
            <wp:docPr id="108" name="IM 108"/>
            <wp:cNvGraphicFramePr/>
            <a:graphic xmlns:a="http://schemas.openxmlformats.org/drawingml/2006/main">
              <a:graphicData uri="http://schemas.openxmlformats.org/drawingml/2006/picture">
                <pic:pic xmlns:pic="http://schemas.openxmlformats.org/drawingml/2006/picture">
                  <pic:nvPicPr>
                    <pic:cNvPr id="108" name="IM 108"/>
                    <pic:cNvPicPr/>
                  </pic:nvPicPr>
                  <pic:blipFill>
                    <a:blip r:embed="rId446"/>
                    <a:stretch>
                      <a:fillRect/>
                    </a:stretch>
                  </pic:blipFill>
                  <pic:spPr>
                    <a:xfrm>
                      <a:off x="0" y="0"/>
                      <a:ext cx="4121163" cy="2825685"/>
                    </a:xfrm>
                    <a:prstGeom prst="rect">
                      <a:avLst/>
                    </a:prstGeom>
                  </pic:spPr>
                </pic:pic>
              </a:graphicData>
            </a:graphic>
          </wp:anchor>
        </w:drawing>
      </w:r>
      <w:r>
        <w:rPr>
          <w:rFonts w:ascii="Times New Roman" w:hAnsi="Times New Roman" w:eastAsia="Times New Roman" w:cs="Times New Roman"/>
          <w:spacing w:val="-5"/>
          <w:sz w:val="21"/>
          <w:szCs w:val="21"/>
        </w:rPr>
        <w:t>20000r</w:t>
      </w:r>
      <w:r>
        <w:rPr>
          <w:rFonts w:ascii="Times New Roman" w:hAnsi="Times New Roman" w:eastAsia="Times New Roman" w:cs="Times New Roman"/>
          <w:spacing w:val="4"/>
          <w:sz w:val="21"/>
          <w:szCs w:val="21"/>
        </w:rPr>
        <w:t xml:space="preserve"> </w:t>
      </w:r>
      <w:r>
        <w:rPr>
          <w:rFonts w:ascii="Times New Roman" w:hAnsi="Times New Roman" w:eastAsia="Times New Roman" w:cs="Times New Roman"/>
          <w:spacing w:val="-33"/>
          <w:w w:val="95"/>
          <w:sz w:val="31"/>
          <w:szCs w:val="31"/>
        </w:rPr>
        <w:t>18000</w:t>
      </w:r>
      <w:r>
        <w:rPr>
          <w:rFonts w:ascii="Times New Roman" w:hAnsi="Times New Roman" w:eastAsia="Times New Roman" w:cs="Times New Roman"/>
          <w:spacing w:val="6"/>
          <w:sz w:val="31"/>
          <w:szCs w:val="31"/>
        </w:rPr>
        <w:t xml:space="preserve"> </w:t>
      </w:r>
      <w:r>
        <w:rPr>
          <w:rFonts w:ascii="Times New Roman" w:hAnsi="Times New Roman" w:eastAsia="Times New Roman" w:cs="Times New Roman"/>
          <w:spacing w:val="-30"/>
          <w:w w:val="94"/>
          <w:sz w:val="31"/>
          <w:szCs w:val="31"/>
        </w:rPr>
        <w:t>16000</w:t>
      </w:r>
      <w:r>
        <w:rPr>
          <w:rFonts w:ascii="Times New Roman" w:hAnsi="Times New Roman" w:eastAsia="Times New Roman" w:cs="Times New Roman"/>
          <w:sz w:val="31"/>
          <w:szCs w:val="31"/>
        </w:rPr>
        <w:t xml:space="preserve"> </w:t>
      </w:r>
      <w:r>
        <w:rPr>
          <w:rFonts w:ascii="Times New Roman" w:hAnsi="Times New Roman" w:eastAsia="Times New Roman" w:cs="Times New Roman"/>
          <w:spacing w:val="-26"/>
          <w:w w:val="91"/>
          <w:sz w:val="31"/>
          <w:szCs w:val="31"/>
        </w:rPr>
        <w:t>14000</w:t>
      </w:r>
      <w:r>
        <w:rPr>
          <w:rFonts w:ascii="Times New Roman" w:hAnsi="Times New Roman" w:eastAsia="Times New Roman" w:cs="Times New Roman"/>
          <w:spacing w:val="2"/>
          <w:sz w:val="31"/>
          <w:szCs w:val="31"/>
        </w:rPr>
        <w:t xml:space="preserve"> </w:t>
      </w:r>
      <w:r>
        <w:rPr>
          <w:rFonts w:ascii="Times New Roman" w:hAnsi="Times New Roman" w:eastAsia="Times New Roman" w:cs="Times New Roman"/>
          <w:spacing w:val="-27"/>
          <w:w w:val="92"/>
          <w:sz w:val="31"/>
          <w:szCs w:val="31"/>
        </w:rPr>
        <w:t>12000</w:t>
      </w:r>
      <w:r>
        <w:rPr>
          <w:rFonts w:ascii="Times New Roman" w:hAnsi="Times New Roman" w:eastAsia="Times New Roman" w:cs="Times New Roman"/>
          <w:sz w:val="31"/>
          <w:szCs w:val="31"/>
        </w:rPr>
        <w:t xml:space="preserve"> </w:t>
      </w:r>
      <w:r>
        <w:rPr>
          <w:rFonts w:ascii="Times New Roman" w:hAnsi="Times New Roman" w:eastAsia="Times New Roman" w:cs="Times New Roman"/>
          <w:spacing w:val="-28"/>
          <w:w w:val="87"/>
          <w:sz w:val="31"/>
          <w:szCs w:val="31"/>
        </w:rPr>
        <w:t>10000</w:t>
      </w:r>
      <w:r>
        <w:rPr>
          <w:rFonts w:ascii="Times New Roman" w:hAnsi="Times New Roman" w:eastAsia="Times New Roman" w:cs="Times New Roman"/>
          <w:spacing w:val="2"/>
          <w:sz w:val="31"/>
          <w:szCs w:val="31"/>
        </w:rPr>
        <w:t xml:space="preserve"> </w:t>
      </w:r>
      <w:r>
        <w:rPr>
          <w:rFonts w:ascii="Times New Roman" w:hAnsi="Times New Roman" w:eastAsia="Times New Roman" w:cs="Times New Roman"/>
          <w:spacing w:val="-11"/>
          <w:sz w:val="31"/>
          <w:szCs w:val="31"/>
        </w:rPr>
        <w:t>8000</w:t>
      </w:r>
      <w:r>
        <w:rPr>
          <w:rFonts w:ascii="Times New Roman" w:hAnsi="Times New Roman" w:eastAsia="Times New Roman" w:cs="Times New Roman"/>
          <w:spacing w:val="2"/>
          <w:sz w:val="31"/>
          <w:szCs w:val="31"/>
        </w:rPr>
        <w:t xml:space="preserve"> </w:t>
      </w:r>
      <w:r>
        <w:rPr>
          <w:rFonts w:ascii="Times New Roman" w:hAnsi="Times New Roman" w:eastAsia="Times New Roman" w:cs="Times New Roman"/>
          <w:spacing w:val="-21"/>
          <w:sz w:val="31"/>
          <w:szCs w:val="31"/>
        </w:rPr>
        <w:t>6000</w:t>
      </w:r>
      <w:r>
        <w:rPr>
          <w:rFonts w:ascii="Times New Roman" w:hAnsi="Times New Roman" w:eastAsia="Times New Roman" w:cs="Times New Roman"/>
          <w:spacing w:val="1"/>
          <w:sz w:val="31"/>
          <w:szCs w:val="31"/>
        </w:rPr>
        <w:t xml:space="preserve"> </w:t>
      </w:r>
      <w:r>
        <w:rPr>
          <w:rFonts w:ascii="Times New Roman" w:hAnsi="Times New Roman" w:eastAsia="Times New Roman" w:cs="Times New Roman"/>
          <w:spacing w:val="-18"/>
          <w:w w:val="98"/>
          <w:sz w:val="31"/>
          <w:szCs w:val="31"/>
        </w:rPr>
        <w:t>4000</w:t>
      </w:r>
      <w:r>
        <w:rPr>
          <w:rFonts w:ascii="Times New Roman" w:hAnsi="Times New Roman" w:eastAsia="Times New Roman" w:cs="Times New Roman"/>
          <w:spacing w:val="1"/>
          <w:sz w:val="31"/>
          <w:szCs w:val="31"/>
        </w:rPr>
        <w:t xml:space="preserve"> </w:t>
      </w:r>
      <w:r>
        <w:rPr>
          <w:rFonts w:ascii="Times New Roman" w:hAnsi="Times New Roman" w:eastAsia="Times New Roman" w:cs="Times New Roman"/>
          <w:spacing w:val="-11"/>
          <w:sz w:val="31"/>
          <w:szCs w:val="31"/>
        </w:rPr>
        <w:t>2000</w:t>
      </w:r>
    </w:p>
    <w:p w14:paraId="0F007F1E">
      <w:pPr>
        <w:spacing w:line="188" w:lineRule="auto"/>
        <w:ind w:left="2000"/>
        <w:rPr>
          <w:rFonts w:ascii="Times New Roman" w:hAnsi="Times New Roman" w:eastAsia="Times New Roman" w:cs="Times New Roman"/>
          <w:sz w:val="16"/>
          <w:szCs w:val="16"/>
        </w:rPr>
      </w:pPr>
      <w:r>
        <mc:AlternateContent>
          <mc:Choice Requires="wps">
            <w:drawing>
              <wp:anchor distT="0" distB="0" distL="0" distR="0" simplePos="0" relativeHeight="251700224" behindDoc="0" locked="0" layoutInCell="1" allowOverlap="1">
                <wp:simplePos x="0" y="0"/>
                <wp:positionH relativeFrom="column">
                  <wp:posOffset>1256665</wp:posOffset>
                </wp:positionH>
                <wp:positionV relativeFrom="paragraph">
                  <wp:posOffset>149860</wp:posOffset>
                </wp:positionV>
                <wp:extent cx="412115" cy="269240"/>
                <wp:effectExtent l="0" t="0" r="0" b="0"/>
                <wp:wrapNone/>
                <wp:docPr id="110" name="TextBox 110"/>
                <wp:cNvGraphicFramePr/>
                <a:graphic xmlns:a="http://schemas.openxmlformats.org/drawingml/2006/main">
                  <a:graphicData uri="http://schemas.microsoft.com/office/word/2010/wordprocessingShape">
                    <wps:wsp>
                      <wps:cNvSpPr txBox="1"/>
                      <wps:spPr>
                        <a:xfrm rot="16200000">
                          <a:off x="1257112" y="149947"/>
                          <a:ext cx="412115" cy="269240"/>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5625A0B3">
                            <w:pPr>
                              <w:spacing w:before="91"/>
                              <w:jc w:val="right"/>
                              <w:rPr>
                                <w:rFonts w:ascii="宋体" w:hAnsi="宋体" w:eastAsia="宋体" w:cs="宋体"/>
                                <w:sz w:val="24"/>
                                <w:szCs w:val="24"/>
                              </w:rPr>
                            </w:pPr>
                            <w:r>
                              <w:rPr>
                                <w:rFonts w:ascii="宋体" w:hAnsi="宋体" w:eastAsia="宋体" w:cs="宋体"/>
                                <w:spacing w:val="-30"/>
                                <w:w w:val="96"/>
                                <w:sz w:val="24"/>
                                <w:szCs w:val="24"/>
                              </w:rPr>
                              <w:t>2015</w:t>
                            </w:r>
                            <w:r>
                              <w:rPr>
                                <w:rFonts w:ascii="宋体" w:hAnsi="宋体" w:eastAsia="宋体" w:cs="宋体"/>
                                <w:spacing w:val="-29"/>
                                <w:w w:val="96"/>
                                <w:sz w:val="24"/>
                                <w:szCs w:val="24"/>
                              </w:rPr>
                              <w:t>-0</w:t>
                            </w:r>
                            <w:r>
                              <w:rPr>
                                <w:rFonts w:ascii="宋体" w:hAnsi="宋体" w:eastAsia="宋体" w:cs="宋体"/>
                                <w:spacing w:val="-25"/>
                                <w:w w:val="96"/>
                                <w:sz w:val="24"/>
                                <w:szCs w:val="24"/>
                              </w:rPr>
                              <w:t>1</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110" o:spid="_x0000_s1026" o:spt="202" type="#_x0000_t202" style="position:absolute;left:0pt;margin-left:98.95pt;margin-top:11.8pt;height:21.2pt;width:32.45pt;rotation:-5898240f;z-index:251700224;mso-width-relative:page;mso-height-relative:page;" filled="f" stroked="f" coordsize="21600,21600" o:gfxdata="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">
                <v:fill on="f" focussize="0,0"/>
                <v:stroke on="f" weight="0pt" miterlimit="0" joinstyle="miter"/>
                <v:imagedata o:title=""/>
                <o:lock v:ext="edit" aspectratio="f"/>
                <v:textbox inset="0mm,0mm,0mm,0mm">
                  <w:txbxContent>
                    <w:p w14:paraId="5625A0B3">
                      <w:pPr>
                        <w:spacing w:before="91"/>
                        <w:jc w:val="right"/>
                        <w:rPr>
                          <w:rFonts w:ascii="宋体" w:hAnsi="宋体" w:eastAsia="宋体" w:cs="宋体"/>
                          <w:sz w:val="24"/>
                          <w:szCs w:val="24"/>
                        </w:rPr>
                      </w:pPr>
                      <w:r>
                        <w:rPr>
                          <w:rFonts w:ascii="宋体" w:hAnsi="宋体" w:eastAsia="宋体" w:cs="宋体"/>
                          <w:spacing w:val="-30"/>
                          <w:w w:val="96"/>
                          <w:sz w:val="24"/>
                          <w:szCs w:val="24"/>
                        </w:rPr>
                        <w:t>2015</w:t>
                      </w:r>
                      <w:r>
                        <w:rPr>
                          <w:rFonts w:ascii="宋体" w:hAnsi="宋体" w:eastAsia="宋体" w:cs="宋体"/>
                          <w:spacing w:val="-29"/>
                          <w:w w:val="96"/>
                          <w:sz w:val="24"/>
                          <w:szCs w:val="24"/>
                        </w:rPr>
                        <w:t>-0</w:t>
                      </w:r>
                      <w:r>
                        <w:rPr>
                          <w:rFonts w:ascii="宋体" w:hAnsi="宋体" w:eastAsia="宋体" w:cs="宋体"/>
                          <w:spacing w:val="-25"/>
                          <w:w w:val="96"/>
                          <w:sz w:val="24"/>
                          <w:szCs w:val="24"/>
                        </w:rPr>
                        <w:t>1</w:t>
                      </w:r>
                    </w:p>
                  </w:txbxContent>
                </v:textbox>
              </v:shape>
            </w:pict>
          </mc:Fallback>
        </mc:AlternateContent>
      </w:r>
      <w:r>
        <mc:AlternateContent>
          <mc:Choice Requires="wps">
            <w:drawing>
              <wp:anchor distT="0" distB="0" distL="0" distR="0" simplePos="0" relativeHeight="251699200" behindDoc="0" locked="0" layoutInCell="1" allowOverlap="1">
                <wp:simplePos x="0" y="0"/>
                <wp:positionH relativeFrom="column">
                  <wp:posOffset>1967865</wp:posOffset>
                </wp:positionH>
                <wp:positionV relativeFrom="paragraph">
                  <wp:posOffset>149860</wp:posOffset>
                </wp:positionV>
                <wp:extent cx="412115" cy="269240"/>
                <wp:effectExtent l="0" t="0" r="0" b="0"/>
                <wp:wrapNone/>
                <wp:docPr id="112" name="TextBox 112"/>
                <wp:cNvGraphicFramePr/>
                <a:graphic xmlns:a="http://schemas.openxmlformats.org/drawingml/2006/main">
                  <a:graphicData uri="http://schemas.microsoft.com/office/word/2010/wordprocessingShape">
                    <wps:wsp>
                      <wps:cNvSpPr txBox="1"/>
                      <wps:spPr>
                        <a:xfrm rot="16200000">
                          <a:off x="1968329" y="149947"/>
                          <a:ext cx="412115" cy="269240"/>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1AFE6513">
                            <w:pPr>
                              <w:spacing w:before="91"/>
                              <w:jc w:val="right"/>
                              <w:rPr>
                                <w:rFonts w:ascii="宋体" w:hAnsi="宋体" w:eastAsia="宋体" w:cs="宋体"/>
                                <w:sz w:val="24"/>
                                <w:szCs w:val="24"/>
                              </w:rPr>
                            </w:pPr>
                            <w:r>
                              <w:rPr>
                                <w:rFonts w:ascii="宋体" w:hAnsi="宋体" w:eastAsia="宋体" w:cs="宋体"/>
                                <w:spacing w:val="-28"/>
                                <w:w w:val="94"/>
                                <w:sz w:val="24"/>
                                <w:szCs w:val="24"/>
                              </w:rPr>
                              <w:t>20</w:t>
                            </w:r>
                            <w:r>
                              <w:rPr>
                                <w:rFonts w:ascii="宋体" w:hAnsi="宋体" w:eastAsia="宋体" w:cs="宋体"/>
                                <w:spacing w:val="-27"/>
                                <w:w w:val="94"/>
                                <w:sz w:val="24"/>
                                <w:szCs w:val="24"/>
                              </w:rPr>
                              <w:t>16-0</w:t>
                            </w:r>
                            <w:r>
                              <w:rPr>
                                <w:rFonts w:ascii="宋体" w:hAnsi="宋体" w:eastAsia="宋体" w:cs="宋体"/>
                                <w:spacing w:val="-25"/>
                                <w:w w:val="94"/>
                                <w:sz w:val="24"/>
                                <w:szCs w:val="24"/>
                              </w:rPr>
                              <w:t>1</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112" o:spid="_x0000_s1026" o:spt="202" type="#_x0000_t202" style="position:absolute;left:0pt;margin-left:154.95pt;margin-top:11.8pt;height:21.2pt;width:32.45pt;rotation:-5898240f;z-index:251699200;mso-width-relative:page;mso-height-relative:page;" filled="f" stroked="f" coordsize="21600,21600" o:gfxdata="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Hf44SrYAAAACQEAAA8A&#10;AAAAAAAAAQAgAAAAIgAAAGRycy9kb3ducmV2LnhtbFBLAQIUABQAAAAIAIdO4kAu98mDUAIAAKQE&#10;AAAOAAAAAAAAAAEAIAAAACcBAABkcnMvZTJvRG9jLnhtbFBLBQYAAAAABgAGAFkBAADpBQAAAAA=&#10;">
                <v:fill on="f" focussize="0,0"/>
                <v:stroke on="f" weight="0pt" miterlimit="0" joinstyle="miter"/>
                <v:imagedata o:title=""/>
                <o:lock v:ext="edit" aspectratio="f"/>
                <v:textbox inset="0mm,0mm,0mm,0mm">
                  <w:txbxContent>
                    <w:p w14:paraId="1AFE6513">
                      <w:pPr>
                        <w:spacing w:before="91"/>
                        <w:jc w:val="right"/>
                        <w:rPr>
                          <w:rFonts w:ascii="宋体" w:hAnsi="宋体" w:eastAsia="宋体" w:cs="宋体"/>
                          <w:sz w:val="24"/>
                          <w:szCs w:val="24"/>
                        </w:rPr>
                      </w:pPr>
                      <w:r>
                        <w:rPr>
                          <w:rFonts w:ascii="宋体" w:hAnsi="宋体" w:eastAsia="宋体" w:cs="宋体"/>
                          <w:spacing w:val="-28"/>
                          <w:w w:val="94"/>
                          <w:sz w:val="24"/>
                          <w:szCs w:val="24"/>
                        </w:rPr>
                        <w:t>20</w:t>
                      </w:r>
                      <w:r>
                        <w:rPr>
                          <w:rFonts w:ascii="宋体" w:hAnsi="宋体" w:eastAsia="宋体" w:cs="宋体"/>
                          <w:spacing w:val="-27"/>
                          <w:w w:val="94"/>
                          <w:sz w:val="24"/>
                          <w:szCs w:val="24"/>
                        </w:rPr>
                        <w:t>16-0</w:t>
                      </w:r>
                      <w:r>
                        <w:rPr>
                          <w:rFonts w:ascii="宋体" w:hAnsi="宋体" w:eastAsia="宋体" w:cs="宋体"/>
                          <w:spacing w:val="-25"/>
                          <w:w w:val="94"/>
                          <w:sz w:val="24"/>
                          <w:szCs w:val="24"/>
                        </w:rPr>
                        <w:t>1</w:t>
                      </w:r>
                    </w:p>
                  </w:txbxContent>
                </v:textbox>
              </v:shape>
            </w:pict>
          </mc:Fallback>
        </mc:AlternateContent>
      </w:r>
      <w:r>
        <mc:AlternateContent>
          <mc:Choice Requires="wps">
            <w:drawing>
              <wp:anchor distT="0" distB="0" distL="0" distR="0" simplePos="0" relativeHeight="251697152" behindDoc="0" locked="0" layoutInCell="1" allowOverlap="1">
                <wp:simplePos x="0" y="0"/>
                <wp:positionH relativeFrom="column">
                  <wp:posOffset>2679065</wp:posOffset>
                </wp:positionH>
                <wp:positionV relativeFrom="paragraph">
                  <wp:posOffset>149860</wp:posOffset>
                </wp:positionV>
                <wp:extent cx="412115" cy="269240"/>
                <wp:effectExtent l="0" t="0" r="0" b="0"/>
                <wp:wrapNone/>
                <wp:docPr id="114" name="TextBox 114"/>
                <wp:cNvGraphicFramePr/>
                <a:graphic xmlns:a="http://schemas.openxmlformats.org/drawingml/2006/main">
                  <a:graphicData uri="http://schemas.microsoft.com/office/word/2010/wordprocessingShape">
                    <wps:wsp>
                      <wps:cNvSpPr txBox="1"/>
                      <wps:spPr>
                        <a:xfrm rot="16200000">
                          <a:off x="2679548" y="149947"/>
                          <a:ext cx="412115" cy="269240"/>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7E3B66A7">
                            <w:pPr>
                              <w:spacing w:before="91"/>
                              <w:jc w:val="right"/>
                              <w:rPr>
                                <w:rFonts w:ascii="宋体" w:hAnsi="宋体" w:eastAsia="宋体" w:cs="宋体"/>
                                <w:sz w:val="24"/>
                                <w:szCs w:val="24"/>
                              </w:rPr>
                            </w:pPr>
                            <w:r>
                              <w:rPr>
                                <w:rFonts w:ascii="宋体" w:hAnsi="宋体" w:eastAsia="宋体" w:cs="宋体"/>
                                <w:spacing w:val="-30"/>
                                <w:w w:val="96"/>
                                <w:sz w:val="24"/>
                                <w:szCs w:val="24"/>
                              </w:rPr>
                              <w:t>2017</w:t>
                            </w:r>
                            <w:r>
                              <w:rPr>
                                <w:rFonts w:ascii="宋体" w:hAnsi="宋体" w:eastAsia="宋体" w:cs="宋体"/>
                                <w:spacing w:val="-29"/>
                                <w:w w:val="96"/>
                                <w:sz w:val="24"/>
                                <w:szCs w:val="24"/>
                              </w:rPr>
                              <w:t>-0</w:t>
                            </w:r>
                            <w:r>
                              <w:rPr>
                                <w:rFonts w:ascii="宋体" w:hAnsi="宋体" w:eastAsia="宋体" w:cs="宋体"/>
                                <w:spacing w:val="-25"/>
                                <w:w w:val="96"/>
                                <w:sz w:val="24"/>
                                <w:szCs w:val="24"/>
                              </w:rPr>
                              <w:t>1</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114" o:spid="_x0000_s1026" o:spt="202" type="#_x0000_t202" style="position:absolute;left:0pt;margin-left:210.95pt;margin-top:11.8pt;height:21.2pt;width:32.45pt;rotation:-5898240f;z-index:251697152;mso-width-relative:page;mso-height-relative:page;" filled="f" stroked="f" coordsize="21600,21600" o:gfxdata="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JE3eebYAAAACQEAAA8A&#10;AAAAAAAAAQAgAAAAIgAAAGRycy9kb3ducmV2LnhtbFBLAQIUABQAAAAIAIdO4kC5JiatUAIAAKQE&#10;AAAOAAAAAAAAAAEAIAAAACcBAABkcnMvZTJvRG9jLnhtbFBLBQYAAAAABgAGAFkBAADpBQAAAAA=&#10;">
                <v:fill on="f" focussize="0,0"/>
                <v:stroke on="f" weight="0pt" miterlimit="0" joinstyle="miter"/>
                <v:imagedata o:title=""/>
                <o:lock v:ext="edit" aspectratio="f"/>
                <v:textbox inset="0mm,0mm,0mm,0mm">
                  <w:txbxContent>
                    <w:p w14:paraId="7E3B66A7">
                      <w:pPr>
                        <w:spacing w:before="91"/>
                        <w:jc w:val="right"/>
                        <w:rPr>
                          <w:rFonts w:ascii="宋体" w:hAnsi="宋体" w:eastAsia="宋体" w:cs="宋体"/>
                          <w:sz w:val="24"/>
                          <w:szCs w:val="24"/>
                        </w:rPr>
                      </w:pPr>
                      <w:r>
                        <w:rPr>
                          <w:rFonts w:ascii="宋体" w:hAnsi="宋体" w:eastAsia="宋体" w:cs="宋体"/>
                          <w:spacing w:val="-30"/>
                          <w:w w:val="96"/>
                          <w:sz w:val="24"/>
                          <w:szCs w:val="24"/>
                        </w:rPr>
                        <w:t>2017</w:t>
                      </w:r>
                      <w:r>
                        <w:rPr>
                          <w:rFonts w:ascii="宋体" w:hAnsi="宋体" w:eastAsia="宋体" w:cs="宋体"/>
                          <w:spacing w:val="-29"/>
                          <w:w w:val="96"/>
                          <w:sz w:val="24"/>
                          <w:szCs w:val="24"/>
                        </w:rPr>
                        <w:t>-0</w:t>
                      </w:r>
                      <w:r>
                        <w:rPr>
                          <w:rFonts w:ascii="宋体" w:hAnsi="宋体" w:eastAsia="宋体" w:cs="宋体"/>
                          <w:spacing w:val="-25"/>
                          <w:w w:val="96"/>
                          <w:sz w:val="24"/>
                          <w:szCs w:val="24"/>
                        </w:rPr>
                        <w:t>1</w:t>
                      </w:r>
                    </w:p>
                  </w:txbxContent>
                </v:textbox>
              </v:shape>
            </w:pict>
          </mc:Fallback>
        </mc:AlternateContent>
      </w:r>
      <w:r>
        <mc:AlternateContent>
          <mc:Choice Requires="wps">
            <w:drawing>
              <wp:anchor distT="0" distB="0" distL="0" distR="0" simplePos="0" relativeHeight="251698176" behindDoc="0" locked="0" layoutInCell="1" allowOverlap="1">
                <wp:simplePos x="0" y="0"/>
                <wp:positionH relativeFrom="column">
                  <wp:posOffset>3396615</wp:posOffset>
                </wp:positionH>
                <wp:positionV relativeFrom="paragraph">
                  <wp:posOffset>149860</wp:posOffset>
                </wp:positionV>
                <wp:extent cx="412115" cy="269240"/>
                <wp:effectExtent l="0" t="0" r="0" b="0"/>
                <wp:wrapNone/>
                <wp:docPr id="116" name="TextBox 116"/>
                <wp:cNvGraphicFramePr/>
                <a:graphic xmlns:a="http://schemas.openxmlformats.org/drawingml/2006/main">
                  <a:graphicData uri="http://schemas.microsoft.com/office/word/2010/wordprocessingShape">
                    <wps:wsp>
                      <wps:cNvSpPr txBox="1"/>
                      <wps:spPr>
                        <a:xfrm rot="16200000">
                          <a:off x="3397112" y="149947"/>
                          <a:ext cx="412115" cy="269240"/>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1DA67AEA">
                            <w:pPr>
                              <w:spacing w:before="91"/>
                              <w:jc w:val="right"/>
                              <w:rPr>
                                <w:rFonts w:ascii="宋体" w:hAnsi="宋体" w:eastAsia="宋体" w:cs="宋体"/>
                                <w:sz w:val="24"/>
                                <w:szCs w:val="24"/>
                              </w:rPr>
                            </w:pPr>
                            <w:r>
                              <w:rPr>
                                <w:rFonts w:ascii="宋体" w:hAnsi="宋体" w:eastAsia="宋体" w:cs="宋体"/>
                                <w:spacing w:val="-28"/>
                                <w:w w:val="94"/>
                                <w:sz w:val="24"/>
                                <w:szCs w:val="24"/>
                              </w:rPr>
                              <w:t>20</w:t>
                            </w:r>
                            <w:r>
                              <w:rPr>
                                <w:rFonts w:ascii="宋体" w:hAnsi="宋体" w:eastAsia="宋体" w:cs="宋体"/>
                                <w:spacing w:val="-27"/>
                                <w:w w:val="94"/>
                                <w:sz w:val="24"/>
                                <w:szCs w:val="24"/>
                              </w:rPr>
                              <w:t>18-0</w:t>
                            </w:r>
                            <w:r>
                              <w:rPr>
                                <w:rFonts w:ascii="宋体" w:hAnsi="宋体" w:eastAsia="宋体" w:cs="宋体"/>
                                <w:spacing w:val="-25"/>
                                <w:w w:val="94"/>
                                <w:sz w:val="24"/>
                                <w:szCs w:val="24"/>
                              </w:rPr>
                              <w:t>1</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116" o:spid="_x0000_s1026" o:spt="202" type="#_x0000_t202" style="position:absolute;left:0pt;margin-left:267.45pt;margin-top:11.8pt;height:21.2pt;width:32.45pt;rotation:-5898240f;z-index:251698176;mso-width-relative:page;mso-height-relative:page;" filled="f" stroked="f" coordsize="21600,21600" o:gfxdata="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E8FVebYAAAACQEAAA8A&#10;AAAAAAAAAQAgAAAAIgAAAGRycy9kb3ducmV2LnhtbFBLAQIUABQAAAAIAIdO4kBNONxHUAIAAKQE&#10;AAAOAAAAAAAAAAEAIAAAACcBAABkcnMvZTJvRG9jLnhtbFBLBQYAAAAABgAGAFkBAADpBQAAAAA=&#10;">
                <v:fill on="f" focussize="0,0"/>
                <v:stroke on="f" weight="0pt" miterlimit="0" joinstyle="miter"/>
                <v:imagedata o:title=""/>
                <o:lock v:ext="edit" aspectratio="f"/>
                <v:textbox inset="0mm,0mm,0mm,0mm">
                  <w:txbxContent>
                    <w:p w14:paraId="1DA67AEA">
                      <w:pPr>
                        <w:spacing w:before="91"/>
                        <w:jc w:val="right"/>
                        <w:rPr>
                          <w:rFonts w:ascii="宋体" w:hAnsi="宋体" w:eastAsia="宋体" w:cs="宋体"/>
                          <w:sz w:val="24"/>
                          <w:szCs w:val="24"/>
                        </w:rPr>
                      </w:pPr>
                      <w:r>
                        <w:rPr>
                          <w:rFonts w:ascii="宋体" w:hAnsi="宋体" w:eastAsia="宋体" w:cs="宋体"/>
                          <w:spacing w:val="-28"/>
                          <w:w w:val="94"/>
                          <w:sz w:val="24"/>
                          <w:szCs w:val="24"/>
                        </w:rPr>
                        <w:t>20</w:t>
                      </w:r>
                      <w:r>
                        <w:rPr>
                          <w:rFonts w:ascii="宋体" w:hAnsi="宋体" w:eastAsia="宋体" w:cs="宋体"/>
                          <w:spacing w:val="-27"/>
                          <w:w w:val="94"/>
                          <w:sz w:val="24"/>
                          <w:szCs w:val="24"/>
                        </w:rPr>
                        <w:t>18-0</w:t>
                      </w:r>
                      <w:r>
                        <w:rPr>
                          <w:rFonts w:ascii="宋体" w:hAnsi="宋体" w:eastAsia="宋体" w:cs="宋体"/>
                          <w:spacing w:val="-25"/>
                          <w:w w:val="94"/>
                          <w:sz w:val="24"/>
                          <w:szCs w:val="24"/>
                        </w:rPr>
                        <w:t>1</w:t>
                      </w:r>
                    </w:p>
                  </w:txbxContent>
                </v:textbox>
              </v:shape>
            </w:pict>
          </mc:Fallback>
        </mc:AlternateContent>
      </w:r>
      <w:r>
        <w:rPr>
          <w:rFonts w:ascii="Times New Roman" w:hAnsi="Times New Roman" w:eastAsia="Times New Roman" w:cs="Times New Roman"/>
          <w:spacing w:val="-2"/>
          <w:sz w:val="16"/>
          <w:szCs w:val="16"/>
        </w:rPr>
        <w:t>0L</w:t>
      </w:r>
    </w:p>
    <w:p w14:paraId="0F4772A6">
      <w:pPr>
        <w:spacing w:line="307" w:lineRule="auto"/>
        <w:rPr>
          <w:rFonts w:ascii="Arial"/>
          <w:sz w:val="21"/>
        </w:rPr>
      </w:pPr>
      <w:r>
        <mc:AlternateContent>
          <mc:Choice Requires="wps">
            <w:drawing>
              <wp:anchor distT="0" distB="0" distL="0" distR="0" simplePos="0" relativeHeight="251704320" behindDoc="0" locked="0" layoutInCell="1" allowOverlap="1">
                <wp:simplePos x="0" y="0"/>
                <wp:positionH relativeFrom="column">
                  <wp:posOffset>1527175</wp:posOffset>
                </wp:positionH>
                <wp:positionV relativeFrom="paragraph">
                  <wp:posOffset>113030</wp:posOffset>
                </wp:positionV>
                <wp:extent cx="398145" cy="198120"/>
                <wp:effectExtent l="0" t="0" r="0" b="0"/>
                <wp:wrapNone/>
                <wp:docPr id="118" name="TextBox 118"/>
                <wp:cNvGraphicFramePr/>
                <a:graphic xmlns:a="http://schemas.openxmlformats.org/drawingml/2006/main">
                  <a:graphicData uri="http://schemas.microsoft.com/office/word/2010/wordprocessingShape">
                    <wps:wsp>
                      <wps:cNvSpPr txBox="1"/>
                      <wps:spPr>
                        <a:xfrm rot="16200000">
                          <a:off x="1527681" y="113568"/>
                          <a:ext cx="398145" cy="198120"/>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1286DF08">
                            <w:pPr>
                              <w:spacing w:before="70"/>
                              <w:ind w:left="20"/>
                              <w:rPr>
                                <w:rFonts w:ascii="宋体" w:hAnsi="宋体" w:eastAsia="宋体" w:cs="宋体"/>
                                <w:sz w:val="17"/>
                                <w:szCs w:val="17"/>
                              </w:rPr>
                            </w:pPr>
                            <w:r>
                              <w:rPr>
                                <w:rFonts w:ascii="宋体" w:hAnsi="宋体" w:eastAsia="宋体" w:cs="宋体"/>
                                <w:spacing w:val="-2"/>
                                <w:sz w:val="17"/>
                                <w:szCs w:val="17"/>
                              </w:rPr>
                              <w:t>2015-05</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118" o:spid="_x0000_s1026" o:spt="202" type="#_x0000_t202" style="position:absolute;left:0pt;margin-left:120.25pt;margin-top:8.9pt;height:15.6pt;width:31.35pt;rotation:-5898240f;z-index:251704320;mso-width-relative:page;mso-height-relative:page;" filled="f" stroked="f" coordsize="21600,21600" o:gfxdata="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CdvVoR2AAAAAkBAAAPAAAA&#10;AAAAAAEAIAAAACIAAABkcnMvZG93bnJldi54bWxQSwECFAAUAAAACACHTuJAvouRR04CAACkBAAA&#10;DgAAAAAAAAABACAAAAAnAQAAZHJzL2Uyb0RvYy54bWxQSwUGAAAAAAYABgBZAQAA5wUAAAAA&#10;">
                <v:fill on="f" focussize="0,0"/>
                <v:stroke on="f" weight="0pt" miterlimit="0" joinstyle="miter"/>
                <v:imagedata o:title=""/>
                <o:lock v:ext="edit" aspectratio="f"/>
                <v:textbox inset="0mm,0mm,0mm,0mm">
                  <w:txbxContent>
                    <w:p w14:paraId="1286DF08">
                      <w:pPr>
                        <w:spacing w:before="70"/>
                        <w:ind w:left="20"/>
                        <w:rPr>
                          <w:rFonts w:ascii="宋体" w:hAnsi="宋体" w:eastAsia="宋体" w:cs="宋体"/>
                          <w:sz w:val="17"/>
                          <w:szCs w:val="17"/>
                        </w:rPr>
                      </w:pPr>
                      <w:r>
                        <w:rPr>
                          <w:rFonts w:ascii="宋体" w:hAnsi="宋体" w:eastAsia="宋体" w:cs="宋体"/>
                          <w:spacing w:val="-2"/>
                          <w:sz w:val="17"/>
                          <w:szCs w:val="17"/>
                        </w:rPr>
                        <w:t>2015-05</w:t>
                      </w:r>
                    </w:p>
                  </w:txbxContent>
                </v:textbox>
              </v:shape>
            </w:pict>
          </mc:Fallback>
        </mc:AlternateContent>
      </w:r>
      <w:r>
        <mc:AlternateContent>
          <mc:Choice Requires="wps">
            <w:drawing>
              <wp:anchor distT="0" distB="0" distL="0" distR="0" simplePos="0" relativeHeight="251701248" behindDoc="0" locked="0" layoutInCell="1" allowOverlap="1">
                <wp:simplePos x="0" y="0"/>
                <wp:positionH relativeFrom="column">
                  <wp:posOffset>1725295</wp:posOffset>
                </wp:positionH>
                <wp:positionV relativeFrom="paragraph">
                  <wp:posOffset>104775</wp:posOffset>
                </wp:positionV>
                <wp:extent cx="398780" cy="198120"/>
                <wp:effectExtent l="0" t="0" r="0" b="0"/>
                <wp:wrapNone/>
                <wp:docPr id="120" name="TextBox 120"/>
                <wp:cNvGraphicFramePr/>
                <a:graphic xmlns:a="http://schemas.openxmlformats.org/drawingml/2006/main">
                  <a:graphicData uri="http://schemas.microsoft.com/office/word/2010/wordprocessingShape">
                    <wps:wsp>
                      <wps:cNvSpPr txBox="1"/>
                      <wps:spPr>
                        <a:xfrm rot="5400000">
                          <a:off x="1725683" y="105122"/>
                          <a:ext cx="398779" cy="198120"/>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02DFA95A">
                            <w:pPr>
                              <w:spacing w:before="70"/>
                              <w:ind w:left="20"/>
                              <w:rPr>
                                <w:rFonts w:ascii="宋体" w:hAnsi="宋体" w:eastAsia="宋体" w:cs="宋体"/>
                                <w:sz w:val="17"/>
                                <w:szCs w:val="17"/>
                              </w:rPr>
                            </w:pPr>
                            <w:r>
                              <w:rPr>
                                <w:rFonts w:ascii="宋体" w:hAnsi="宋体" w:eastAsia="宋体" w:cs="宋体"/>
                                <w:spacing w:val="-2"/>
                                <w:sz w:val="17"/>
                                <w:szCs w:val="17"/>
                              </w:rPr>
                              <w:t>60-SIOZ</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120" o:spid="_x0000_s1026" o:spt="202" type="#_x0000_t202" style="position:absolute;left:0pt;margin-left:135.85pt;margin-top:8.25pt;height:15.6pt;width:31.4pt;rotation:5898240f;z-index:251701248;mso-width-relative:page;mso-height-relative:page;" filled="f" stroked="f" coordsize="21600,21600" o:gfxdata="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">
                <v:fill on="f" focussize="0,0"/>
                <v:stroke on="f" weight="0pt" miterlimit="0" joinstyle="miter"/>
                <v:imagedata o:title=""/>
                <o:lock v:ext="edit" aspectratio="f"/>
                <v:textbox inset="0mm,0mm,0mm,0mm">
                  <w:txbxContent>
                    <w:p w14:paraId="02DFA95A">
                      <w:pPr>
                        <w:spacing w:before="70"/>
                        <w:ind w:left="20"/>
                        <w:rPr>
                          <w:rFonts w:ascii="宋体" w:hAnsi="宋体" w:eastAsia="宋体" w:cs="宋体"/>
                          <w:sz w:val="17"/>
                          <w:szCs w:val="17"/>
                        </w:rPr>
                      </w:pPr>
                      <w:r>
                        <w:rPr>
                          <w:rFonts w:ascii="宋体" w:hAnsi="宋体" w:eastAsia="宋体" w:cs="宋体"/>
                          <w:spacing w:val="-2"/>
                          <w:sz w:val="17"/>
                          <w:szCs w:val="17"/>
                        </w:rPr>
                        <w:t>60-SIOZ</w:t>
                      </w:r>
                    </w:p>
                  </w:txbxContent>
                </v:textbox>
              </v:shape>
            </w:pict>
          </mc:Fallback>
        </mc:AlternateContent>
      </w:r>
      <w:r>
        <mc:AlternateContent>
          <mc:Choice Requires="wps">
            <w:drawing>
              <wp:anchor distT="0" distB="0" distL="0" distR="0" simplePos="0" relativeHeight="251695104" behindDoc="0" locked="0" layoutInCell="1" allowOverlap="1">
                <wp:simplePos x="0" y="0"/>
                <wp:positionH relativeFrom="column">
                  <wp:posOffset>2208530</wp:posOffset>
                </wp:positionH>
                <wp:positionV relativeFrom="paragraph">
                  <wp:posOffset>69850</wp:posOffset>
                </wp:positionV>
                <wp:extent cx="413385" cy="269240"/>
                <wp:effectExtent l="0" t="0" r="0" b="0"/>
                <wp:wrapNone/>
                <wp:docPr id="122" name="TextBox 122"/>
                <wp:cNvGraphicFramePr/>
                <a:graphic xmlns:a="http://schemas.openxmlformats.org/drawingml/2006/main">
                  <a:graphicData uri="http://schemas.microsoft.com/office/word/2010/wordprocessingShape">
                    <wps:wsp>
                      <wps:cNvSpPr txBox="1"/>
                      <wps:spPr>
                        <a:xfrm rot="16200000">
                          <a:off x="2208678" y="70282"/>
                          <a:ext cx="413384" cy="269240"/>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3EA7ADB2">
                            <w:pPr>
                              <w:spacing w:before="91"/>
                              <w:jc w:val="right"/>
                              <w:rPr>
                                <w:rFonts w:ascii="宋体" w:hAnsi="宋体" w:eastAsia="宋体" w:cs="宋体"/>
                                <w:sz w:val="24"/>
                                <w:szCs w:val="24"/>
                              </w:rPr>
                            </w:pPr>
                            <w:r>
                              <w:rPr>
                                <w:rFonts w:ascii="宋体" w:hAnsi="宋体" w:eastAsia="宋体" w:cs="宋体"/>
                                <w:spacing w:val="-26"/>
                                <w:w w:val="92"/>
                                <w:sz w:val="24"/>
                                <w:szCs w:val="24"/>
                              </w:rPr>
                              <w:t>201</w:t>
                            </w:r>
                            <w:r>
                              <w:rPr>
                                <w:rFonts w:ascii="宋体" w:hAnsi="宋体" w:eastAsia="宋体" w:cs="宋体"/>
                                <w:spacing w:val="-25"/>
                                <w:w w:val="92"/>
                                <w:sz w:val="24"/>
                                <w:szCs w:val="24"/>
                              </w:rPr>
                              <w:t>6-0</w:t>
                            </w:r>
                            <w:r>
                              <w:rPr>
                                <w:rFonts w:ascii="宋体" w:hAnsi="宋体" w:eastAsia="宋体" w:cs="宋体"/>
                                <w:spacing w:val="-15"/>
                                <w:w w:val="92"/>
                                <w:sz w:val="24"/>
                                <w:szCs w:val="24"/>
                              </w:rPr>
                              <w:t>5</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122" o:spid="_x0000_s1026" o:spt="202" type="#_x0000_t202" style="position:absolute;left:0pt;margin-left:173.9pt;margin-top:5.5pt;height:21.2pt;width:32.55pt;rotation:-5898240f;z-index:251695104;mso-width-relative:page;mso-height-relative:page;" filled="f" stroked="f" coordsize="21600,21600" o:gfxdata="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Ho2O/YAAAACQEAAA8A&#10;AAAAAAAAAQAgAAAAIgAAAGRycy9kb3ducmV2LnhtbFBLAQIUABQAAAAIAIdO4kBWDOBLUAIAAKME&#10;AAAOAAAAAAAAAAEAIAAAACcBAABkcnMvZTJvRG9jLnhtbFBLBQYAAAAABgAGAFkBAADpBQAAAAA=&#10;">
                <v:fill on="f" focussize="0,0"/>
                <v:stroke on="f" weight="0pt" miterlimit="0" joinstyle="miter"/>
                <v:imagedata o:title=""/>
                <o:lock v:ext="edit" aspectratio="f"/>
                <v:textbox inset="0mm,0mm,0mm,0mm">
                  <w:txbxContent>
                    <w:p w14:paraId="3EA7ADB2">
                      <w:pPr>
                        <w:spacing w:before="91"/>
                        <w:jc w:val="right"/>
                        <w:rPr>
                          <w:rFonts w:ascii="宋体" w:hAnsi="宋体" w:eastAsia="宋体" w:cs="宋体"/>
                          <w:sz w:val="24"/>
                          <w:szCs w:val="24"/>
                        </w:rPr>
                      </w:pPr>
                      <w:r>
                        <w:rPr>
                          <w:rFonts w:ascii="宋体" w:hAnsi="宋体" w:eastAsia="宋体" w:cs="宋体"/>
                          <w:spacing w:val="-26"/>
                          <w:w w:val="92"/>
                          <w:sz w:val="24"/>
                          <w:szCs w:val="24"/>
                        </w:rPr>
                        <w:t>201</w:t>
                      </w:r>
                      <w:r>
                        <w:rPr>
                          <w:rFonts w:ascii="宋体" w:hAnsi="宋体" w:eastAsia="宋体" w:cs="宋体"/>
                          <w:spacing w:val="-25"/>
                          <w:w w:val="92"/>
                          <w:sz w:val="24"/>
                          <w:szCs w:val="24"/>
                        </w:rPr>
                        <w:t>6-0</w:t>
                      </w:r>
                      <w:r>
                        <w:rPr>
                          <w:rFonts w:ascii="宋体" w:hAnsi="宋体" w:eastAsia="宋体" w:cs="宋体"/>
                          <w:spacing w:val="-15"/>
                          <w:w w:val="92"/>
                          <w:sz w:val="24"/>
                          <w:szCs w:val="24"/>
                        </w:rPr>
                        <w:t>5</w:t>
                      </w:r>
                    </w:p>
                  </w:txbxContent>
                </v:textbox>
              </v:shape>
            </w:pict>
          </mc:Fallback>
        </mc:AlternateContent>
      </w:r>
      <w:r>
        <mc:AlternateContent>
          <mc:Choice Requires="wps">
            <w:drawing>
              <wp:anchor distT="0" distB="0" distL="0" distR="0" simplePos="0" relativeHeight="251703296" behindDoc="0" locked="0" layoutInCell="1" allowOverlap="1">
                <wp:simplePos x="0" y="0"/>
                <wp:positionH relativeFrom="column">
                  <wp:posOffset>2473325</wp:posOffset>
                </wp:positionH>
                <wp:positionV relativeFrom="paragraph">
                  <wp:posOffset>113030</wp:posOffset>
                </wp:positionV>
                <wp:extent cx="398145" cy="198120"/>
                <wp:effectExtent l="0" t="0" r="0" b="0"/>
                <wp:wrapNone/>
                <wp:docPr id="124" name="TextBox 124"/>
                <wp:cNvGraphicFramePr/>
                <a:graphic xmlns:a="http://schemas.openxmlformats.org/drawingml/2006/main">
                  <a:graphicData uri="http://schemas.microsoft.com/office/word/2010/wordprocessingShape">
                    <wps:wsp>
                      <wps:cNvSpPr txBox="1"/>
                      <wps:spPr>
                        <a:xfrm rot="16200000">
                          <a:off x="2473831" y="113568"/>
                          <a:ext cx="398145" cy="198120"/>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13C971D0">
                            <w:pPr>
                              <w:spacing w:before="70"/>
                              <w:ind w:left="20"/>
                              <w:rPr>
                                <w:rFonts w:ascii="宋体" w:hAnsi="宋体" w:eastAsia="宋体" w:cs="宋体"/>
                                <w:sz w:val="17"/>
                                <w:szCs w:val="17"/>
                              </w:rPr>
                            </w:pPr>
                            <w:r>
                              <w:rPr>
                                <w:rFonts w:ascii="宋体" w:hAnsi="宋体" w:eastAsia="宋体" w:cs="宋体"/>
                                <w:spacing w:val="-2"/>
                                <w:sz w:val="17"/>
                                <w:szCs w:val="17"/>
                              </w:rPr>
                              <w:t>2016-06</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124" o:spid="_x0000_s1026" o:spt="202" type="#_x0000_t202" style="position:absolute;left:0pt;margin-left:194.75pt;margin-top:8.9pt;height:15.6pt;width:31.35pt;rotation:-5898240f;z-index:251703296;mso-width-relative:page;mso-height-relative:page;" filled="f" stroked="f" coordsize="21600,21600" o:gfxdata="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1JhUK9gAAAAJAQAADwAA&#10;AAAAAAABACAAAAAiAAAAZHJzL2Rvd25yZXYueG1sUEsBAhQAFAAAAAgAh07iQO/FcB9PAgAApAQA&#10;AA4AAAAAAAAAAQAgAAAAJwEAAGRycy9lMm9Eb2MueG1sUEsFBgAAAAAGAAYAWQEAAOgFAAAAAA==&#10;">
                <v:fill on="f" focussize="0,0"/>
                <v:stroke on="f" weight="0pt" miterlimit="0" joinstyle="miter"/>
                <v:imagedata o:title=""/>
                <o:lock v:ext="edit" aspectratio="f"/>
                <v:textbox inset="0mm,0mm,0mm,0mm">
                  <w:txbxContent>
                    <w:p w14:paraId="13C971D0">
                      <w:pPr>
                        <w:spacing w:before="70"/>
                        <w:ind w:left="20"/>
                        <w:rPr>
                          <w:rFonts w:ascii="宋体" w:hAnsi="宋体" w:eastAsia="宋体" w:cs="宋体"/>
                          <w:sz w:val="17"/>
                          <w:szCs w:val="17"/>
                        </w:rPr>
                      </w:pPr>
                      <w:r>
                        <w:rPr>
                          <w:rFonts w:ascii="宋体" w:hAnsi="宋体" w:eastAsia="宋体" w:cs="宋体"/>
                          <w:spacing w:val="-2"/>
                          <w:sz w:val="17"/>
                          <w:szCs w:val="17"/>
                        </w:rPr>
                        <w:t>2016-06</w:t>
                      </w:r>
                    </w:p>
                  </w:txbxContent>
                </v:textbox>
              </v:shape>
            </w:pict>
          </mc:Fallback>
        </mc:AlternateContent>
      </w:r>
      <w:r>
        <mc:AlternateContent>
          <mc:Choice Requires="wps">
            <w:drawing>
              <wp:anchor distT="0" distB="0" distL="0" distR="0" simplePos="0" relativeHeight="251694080" behindDoc="0" locked="0" layoutInCell="1" allowOverlap="1">
                <wp:simplePos x="0" y="0"/>
                <wp:positionH relativeFrom="column">
                  <wp:posOffset>2926080</wp:posOffset>
                </wp:positionH>
                <wp:positionV relativeFrom="paragraph">
                  <wp:posOffset>69850</wp:posOffset>
                </wp:positionV>
                <wp:extent cx="413385" cy="269240"/>
                <wp:effectExtent l="0" t="0" r="0" b="0"/>
                <wp:wrapNone/>
                <wp:docPr id="126" name="TextBox 126"/>
                <wp:cNvGraphicFramePr/>
                <a:graphic xmlns:a="http://schemas.openxmlformats.org/drawingml/2006/main">
                  <a:graphicData uri="http://schemas.microsoft.com/office/word/2010/wordprocessingShape">
                    <wps:wsp>
                      <wps:cNvSpPr txBox="1"/>
                      <wps:spPr>
                        <a:xfrm rot="16200000">
                          <a:off x="2926244" y="70282"/>
                          <a:ext cx="413384" cy="269240"/>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0924E5F6">
                            <w:pPr>
                              <w:spacing w:before="91"/>
                              <w:jc w:val="right"/>
                              <w:rPr>
                                <w:rFonts w:ascii="宋体" w:hAnsi="宋体" w:eastAsia="宋体" w:cs="宋体"/>
                                <w:sz w:val="24"/>
                                <w:szCs w:val="24"/>
                              </w:rPr>
                            </w:pPr>
                            <w:r>
                              <w:rPr>
                                <w:rFonts w:ascii="宋体" w:hAnsi="宋体" w:eastAsia="宋体" w:cs="宋体"/>
                                <w:spacing w:val="-27"/>
                                <w:w w:val="93"/>
                                <w:sz w:val="24"/>
                                <w:szCs w:val="24"/>
                              </w:rPr>
                              <w:t>201</w:t>
                            </w:r>
                            <w:r>
                              <w:rPr>
                                <w:rFonts w:ascii="宋体" w:hAnsi="宋体" w:eastAsia="宋体" w:cs="宋体"/>
                                <w:spacing w:val="-26"/>
                                <w:w w:val="93"/>
                                <w:sz w:val="24"/>
                                <w:szCs w:val="24"/>
                              </w:rPr>
                              <w:t>7-0</w:t>
                            </w:r>
                            <w:r>
                              <w:rPr>
                                <w:rFonts w:ascii="宋体" w:hAnsi="宋体" w:eastAsia="宋体" w:cs="宋体"/>
                                <w:spacing w:val="-16"/>
                                <w:w w:val="93"/>
                                <w:sz w:val="24"/>
                                <w:szCs w:val="24"/>
                              </w:rPr>
                              <w:t>5</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126" o:spid="_x0000_s1026" o:spt="202" type="#_x0000_t202" style="position:absolute;left:0pt;margin-left:230.4pt;margin-top:5.5pt;height:21.2pt;width:32.55pt;rotation:-5898240f;z-index:251694080;mso-width-relative:page;mso-height-relative:page;" filled="f" stroked="f" coordsize="21600,21600" o:gfxdata="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zEc0lNgAAAAJAQAADwAA&#10;AAAAAAABACAAAAAiAAAAZHJzL2Rvd25yZXYueG1sUEsBAhQAFAAAAAgAh07iQHRbTONPAgAAowQA&#10;AA4AAAAAAAAAAQAgAAAAJwEAAGRycy9lMm9Eb2MueG1sUEsFBgAAAAAGAAYAWQEAAOgFAAAAAA==&#10;">
                <v:fill on="f" focussize="0,0"/>
                <v:stroke on="f" weight="0pt" miterlimit="0" joinstyle="miter"/>
                <v:imagedata o:title=""/>
                <o:lock v:ext="edit" aspectratio="f"/>
                <v:textbox inset="0mm,0mm,0mm,0mm">
                  <w:txbxContent>
                    <w:p w14:paraId="0924E5F6">
                      <w:pPr>
                        <w:spacing w:before="91"/>
                        <w:jc w:val="right"/>
                        <w:rPr>
                          <w:rFonts w:ascii="宋体" w:hAnsi="宋体" w:eastAsia="宋体" w:cs="宋体"/>
                          <w:sz w:val="24"/>
                          <w:szCs w:val="24"/>
                        </w:rPr>
                      </w:pPr>
                      <w:r>
                        <w:rPr>
                          <w:rFonts w:ascii="宋体" w:hAnsi="宋体" w:eastAsia="宋体" w:cs="宋体"/>
                          <w:spacing w:val="-27"/>
                          <w:w w:val="93"/>
                          <w:sz w:val="24"/>
                          <w:szCs w:val="24"/>
                        </w:rPr>
                        <w:t>201</w:t>
                      </w:r>
                      <w:r>
                        <w:rPr>
                          <w:rFonts w:ascii="宋体" w:hAnsi="宋体" w:eastAsia="宋体" w:cs="宋体"/>
                          <w:spacing w:val="-26"/>
                          <w:w w:val="93"/>
                          <w:sz w:val="24"/>
                          <w:szCs w:val="24"/>
                        </w:rPr>
                        <w:t>7-0</w:t>
                      </w:r>
                      <w:r>
                        <w:rPr>
                          <w:rFonts w:ascii="宋体" w:hAnsi="宋体" w:eastAsia="宋体" w:cs="宋体"/>
                          <w:spacing w:val="-16"/>
                          <w:w w:val="93"/>
                          <w:sz w:val="24"/>
                          <w:szCs w:val="24"/>
                        </w:rPr>
                        <w:t>5</w:t>
                      </w:r>
                    </w:p>
                  </w:txbxContent>
                </v:textbox>
              </v:shape>
            </w:pict>
          </mc:Fallback>
        </mc:AlternateContent>
      </w:r>
      <w:r>
        <mc:AlternateContent>
          <mc:Choice Requires="wps">
            <w:drawing>
              <wp:anchor distT="0" distB="0" distL="0" distR="0" simplePos="0" relativeHeight="251702272" behindDoc="0" locked="0" layoutInCell="1" allowOverlap="1">
                <wp:simplePos x="0" y="0"/>
                <wp:positionH relativeFrom="column">
                  <wp:posOffset>3190875</wp:posOffset>
                </wp:positionH>
                <wp:positionV relativeFrom="paragraph">
                  <wp:posOffset>113030</wp:posOffset>
                </wp:positionV>
                <wp:extent cx="398145" cy="198120"/>
                <wp:effectExtent l="0" t="0" r="0" b="0"/>
                <wp:wrapNone/>
                <wp:docPr id="128" name="TextBox 128"/>
                <wp:cNvGraphicFramePr/>
                <a:graphic xmlns:a="http://schemas.openxmlformats.org/drawingml/2006/main">
                  <a:graphicData uri="http://schemas.microsoft.com/office/word/2010/wordprocessingShape">
                    <wps:wsp>
                      <wps:cNvSpPr txBox="1"/>
                      <wps:spPr>
                        <a:xfrm rot="16200000">
                          <a:off x="3191397" y="113568"/>
                          <a:ext cx="398145" cy="198120"/>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09E0FAFE">
                            <w:pPr>
                              <w:spacing w:before="70"/>
                              <w:ind w:left="20"/>
                              <w:rPr>
                                <w:rFonts w:ascii="宋体" w:hAnsi="宋体" w:eastAsia="宋体" w:cs="宋体"/>
                                <w:sz w:val="17"/>
                                <w:szCs w:val="17"/>
                              </w:rPr>
                            </w:pPr>
                            <w:r>
                              <w:rPr>
                                <w:rFonts w:ascii="宋体" w:hAnsi="宋体" w:eastAsia="宋体" w:cs="宋体"/>
                                <w:spacing w:val="-2"/>
                                <w:sz w:val="17"/>
                                <w:szCs w:val="17"/>
                              </w:rPr>
                              <w:t>2017-06</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128" o:spid="_x0000_s1026" o:spt="202" type="#_x0000_t202" style="position:absolute;left:0pt;margin-left:251.25pt;margin-top:8.9pt;height:15.6pt;width:31.35pt;rotation:-5898240f;z-index:251702272;mso-width-relative:page;mso-height-relative:page;" filled="f" stroked="f" coordsize="21600,21600" o:gfxdata="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">
                <v:fill on="f" focussize="0,0"/>
                <v:stroke on="f" weight="0pt" miterlimit="0" joinstyle="miter"/>
                <v:imagedata o:title=""/>
                <o:lock v:ext="edit" aspectratio="f"/>
                <v:textbox inset="0mm,0mm,0mm,0mm">
                  <w:txbxContent>
                    <w:p w14:paraId="09E0FAFE">
                      <w:pPr>
                        <w:spacing w:before="70"/>
                        <w:ind w:left="20"/>
                        <w:rPr>
                          <w:rFonts w:ascii="宋体" w:hAnsi="宋体" w:eastAsia="宋体" w:cs="宋体"/>
                          <w:sz w:val="17"/>
                          <w:szCs w:val="17"/>
                        </w:rPr>
                      </w:pPr>
                      <w:r>
                        <w:rPr>
                          <w:rFonts w:ascii="宋体" w:hAnsi="宋体" w:eastAsia="宋体" w:cs="宋体"/>
                          <w:spacing w:val="-2"/>
                          <w:sz w:val="17"/>
                          <w:szCs w:val="17"/>
                        </w:rPr>
                        <w:t>2017-06</w:t>
                      </w:r>
                    </w:p>
                  </w:txbxContent>
                </v:textbox>
              </v:shape>
            </w:pict>
          </mc:Fallback>
        </mc:AlternateContent>
      </w:r>
      <w:r>
        <mc:AlternateContent>
          <mc:Choice Requires="wps">
            <w:drawing>
              <wp:anchor distT="0" distB="0" distL="0" distR="0" simplePos="0" relativeHeight="251705344" behindDoc="0" locked="0" layoutInCell="1" allowOverlap="1">
                <wp:simplePos x="0" y="0"/>
                <wp:positionH relativeFrom="column">
                  <wp:posOffset>3700145</wp:posOffset>
                </wp:positionH>
                <wp:positionV relativeFrom="paragraph">
                  <wp:posOffset>140335</wp:posOffset>
                </wp:positionV>
                <wp:extent cx="344805" cy="198120"/>
                <wp:effectExtent l="0" t="0" r="0" b="0"/>
                <wp:wrapNone/>
                <wp:docPr id="130" name="TextBox 130"/>
                <wp:cNvGraphicFramePr/>
                <a:graphic xmlns:a="http://schemas.openxmlformats.org/drawingml/2006/main">
                  <a:graphicData uri="http://schemas.microsoft.com/office/word/2010/wordprocessingShape">
                    <wps:wsp>
                      <wps:cNvSpPr txBox="1"/>
                      <wps:spPr>
                        <a:xfrm rot="16200000">
                          <a:off x="3700726" y="140339"/>
                          <a:ext cx="344804" cy="198120"/>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3190CABA">
                            <w:pPr>
                              <w:spacing w:before="70"/>
                              <w:ind w:left="20"/>
                              <w:rPr>
                                <w:rFonts w:ascii="宋体" w:hAnsi="宋体" w:eastAsia="宋体" w:cs="宋体"/>
                                <w:sz w:val="17"/>
                                <w:szCs w:val="17"/>
                              </w:rPr>
                            </w:pPr>
                            <w:r>
                              <w:rPr>
                                <w:rFonts w:ascii="宋体" w:hAnsi="宋体" w:eastAsia="宋体" w:cs="宋体"/>
                                <w:spacing w:val="-2"/>
                                <w:sz w:val="17"/>
                                <w:szCs w:val="17"/>
                              </w:rPr>
                              <w:t>018-05</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130" o:spid="_x0000_s1026" o:spt="202" type="#_x0000_t202" style="position:absolute;left:0pt;margin-left:291.35pt;margin-top:11.05pt;height:15.6pt;width:27.15pt;rotation:-5898240f;z-index:251705344;mso-width-relative:page;mso-height-relative:page;" filled="f" stroked="f" coordsize="21600,21600" o:gfxdata="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">
                <v:fill on="f" focussize="0,0"/>
                <v:stroke on="f" weight="0pt" miterlimit="0" joinstyle="miter"/>
                <v:imagedata o:title=""/>
                <o:lock v:ext="edit" aspectratio="f"/>
                <v:textbox inset="0mm,0mm,0mm,0mm">
                  <w:txbxContent>
                    <w:p w14:paraId="3190CABA">
                      <w:pPr>
                        <w:spacing w:before="70"/>
                        <w:ind w:left="20"/>
                        <w:rPr>
                          <w:rFonts w:ascii="宋体" w:hAnsi="宋体" w:eastAsia="宋体" w:cs="宋体"/>
                          <w:sz w:val="17"/>
                          <w:szCs w:val="17"/>
                        </w:rPr>
                      </w:pPr>
                      <w:r>
                        <w:rPr>
                          <w:rFonts w:ascii="宋体" w:hAnsi="宋体" w:eastAsia="宋体" w:cs="宋体"/>
                          <w:spacing w:val="-2"/>
                          <w:sz w:val="17"/>
                          <w:szCs w:val="17"/>
                        </w:rPr>
                        <w:t>018-05</w:t>
                      </w:r>
                    </w:p>
                  </w:txbxContent>
                </v:textbox>
              </v:shape>
            </w:pict>
          </mc:Fallback>
        </mc:AlternateContent>
      </w:r>
      <w:r>
        <mc:AlternateContent>
          <mc:Choice Requires="wps">
            <w:drawing>
              <wp:anchor distT="0" distB="0" distL="0" distR="0" simplePos="0" relativeHeight="251693056" behindDoc="0" locked="0" layoutInCell="1" allowOverlap="1">
                <wp:simplePos x="0" y="0"/>
                <wp:positionH relativeFrom="column">
                  <wp:posOffset>3876040</wp:posOffset>
                </wp:positionH>
                <wp:positionV relativeFrom="paragraph">
                  <wp:posOffset>67310</wp:posOffset>
                </wp:positionV>
                <wp:extent cx="419100" cy="269240"/>
                <wp:effectExtent l="0" t="0" r="0" b="0"/>
                <wp:wrapNone/>
                <wp:docPr id="132" name="TextBox 132"/>
                <wp:cNvGraphicFramePr/>
                <a:graphic xmlns:a="http://schemas.openxmlformats.org/drawingml/2006/main">
                  <a:graphicData uri="http://schemas.microsoft.com/office/word/2010/wordprocessingShape">
                    <wps:wsp>
                      <wps:cNvSpPr txBox="1"/>
                      <wps:spPr>
                        <a:xfrm rot="16200000">
                          <a:off x="3876118" y="67659"/>
                          <a:ext cx="419100" cy="269240"/>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67652F8B">
                            <w:pPr>
                              <w:spacing w:before="91"/>
                              <w:jc w:val="right"/>
                              <w:rPr>
                                <w:rFonts w:ascii="宋体" w:hAnsi="宋体" w:eastAsia="宋体" w:cs="宋体"/>
                                <w:sz w:val="24"/>
                                <w:szCs w:val="24"/>
                              </w:rPr>
                            </w:pPr>
                            <w:r>
                              <w:rPr>
                                <w:rFonts w:ascii="宋体" w:hAnsi="宋体" w:eastAsia="宋体" w:cs="宋体"/>
                                <w:spacing w:val="-25"/>
                                <w:w w:val="92"/>
                                <w:sz w:val="24"/>
                                <w:szCs w:val="24"/>
                              </w:rPr>
                              <w:t>2018</w:t>
                            </w:r>
                            <w:r>
                              <w:rPr>
                                <w:rFonts w:ascii="宋体" w:hAnsi="宋体" w:eastAsia="宋体" w:cs="宋体"/>
                                <w:spacing w:val="-24"/>
                                <w:w w:val="92"/>
                                <w:sz w:val="24"/>
                                <w:szCs w:val="24"/>
                              </w:rPr>
                              <w:t>-0</w:t>
                            </w:r>
                            <w:r>
                              <w:rPr>
                                <w:rFonts w:ascii="宋体" w:hAnsi="宋体" w:eastAsia="宋体" w:cs="宋体"/>
                                <w:spacing w:val="-13"/>
                                <w:w w:val="92"/>
                                <w:sz w:val="24"/>
                                <w:szCs w:val="24"/>
                              </w:rPr>
                              <w:t>6</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132" o:spid="_x0000_s1026" o:spt="202" type="#_x0000_t202" style="position:absolute;left:0pt;margin-left:305.2pt;margin-top:5.3pt;height:21.2pt;width:33pt;rotation:-5898240f;z-index:251693056;mso-width-relative:page;mso-height-relative:page;" filled="f" stroked="f" coordsize="21600,21600" o:gfxdata="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AiY1rf1gAAAAkBAAAPAAAA&#10;AAAAAAEAIAAAACIAAABkcnMvZG93bnJldi54bWxQSwECFAAUAAAACACHTuJAotvg3VACAACjBAAA&#10;DgAAAAAAAAABACAAAAAlAQAAZHJzL2Uyb0RvYy54bWxQSwUGAAAAAAYABgBZAQAA5wUAAAAA&#10;">
                <v:fill on="f" focussize="0,0"/>
                <v:stroke on="f" weight="0pt" miterlimit="0" joinstyle="miter"/>
                <v:imagedata o:title=""/>
                <o:lock v:ext="edit" aspectratio="f"/>
                <v:textbox inset="0mm,0mm,0mm,0mm">
                  <w:txbxContent>
                    <w:p w14:paraId="67652F8B">
                      <w:pPr>
                        <w:spacing w:before="91"/>
                        <w:jc w:val="right"/>
                        <w:rPr>
                          <w:rFonts w:ascii="宋体" w:hAnsi="宋体" w:eastAsia="宋体" w:cs="宋体"/>
                          <w:sz w:val="24"/>
                          <w:szCs w:val="24"/>
                        </w:rPr>
                      </w:pPr>
                      <w:r>
                        <w:rPr>
                          <w:rFonts w:ascii="宋体" w:hAnsi="宋体" w:eastAsia="宋体" w:cs="宋体"/>
                          <w:spacing w:val="-25"/>
                          <w:w w:val="92"/>
                          <w:sz w:val="24"/>
                          <w:szCs w:val="24"/>
                        </w:rPr>
                        <w:t>2018</w:t>
                      </w:r>
                      <w:r>
                        <w:rPr>
                          <w:rFonts w:ascii="宋体" w:hAnsi="宋体" w:eastAsia="宋体" w:cs="宋体"/>
                          <w:spacing w:val="-24"/>
                          <w:w w:val="92"/>
                          <w:sz w:val="24"/>
                          <w:szCs w:val="24"/>
                        </w:rPr>
                        <w:t>-0</w:t>
                      </w:r>
                      <w:r>
                        <w:rPr>
                          <w:rFonts w:ascii="宋体" w:hAnsi="宋体" w:eastAsia="宋体" w:cs="宋体"/>
                          <w:spacing w:val="-13"/>
                          <w:w w:val="92"/>
                          <w:sz w:val="24"/>
                          <w:szCs w:val="24"/>
                        </w:rPr>
                        <w:t>6</w:t>
                      </w:r>
                    </w:p>
                  </w:txbxContent>
                </v:textbox>
              </v:shape>
            </w:pict>
          </mc:Fallback>
        </mc:AlternateContent>
      </w:r>
      <w:r>
        <mc:AlternateContent>
          <mc:Choice Requires="wps">
            <w:drawing>
              <wp:anchor distT="0" distB="0" distL="0" distR="0" simplePos="0" relativeHeight="251696128" behindDoc="0" locked="0" layoutInCell="1" allowOverlap="1">
                <wp:simplePos x="0" y="0"/>
                <wp:positionH relativeFrom="column">
                  <wp:posOffset>4107815</wp:posOffset>
                </wp:positionH>
                <wp:positionV relativeFrom="paragraph">
                  <wp:posOffset>64770</wp:posOffset>
                </wp:positionV>
                <wp:extent cx="412115" cy="269240"/>
                <wp:effectExtent l="0" t="0" r="0" b="0"/>
                <wp:wrapNone/>
                <wp:docPr id="134" name="TextBox 134"/>
                <wp:cNvGraphicFramePr/>
                <a:graphic xmlns:a="http://schemas.openxmlformats.org/drawingml/2006/main">
                  <a:graphicData uri="http://schemas.microsoft.com/office/word/2010/wordprocessingShape">
                    <wps:wsp>
                      <wps:cNvSpPr txBox="1"/>
                      <wps:spPr>
                        <a:xfrm rot="16200000">
                          <a:off x="4108328" y="64908"/>
                          <a:ext cx="412115" cy="269240"/>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4F77C360">
                            <w:pPr>
                              <w:spacing w:before="91"/>
                              <w:jc w:val="right"/>
                              <w:rPr>
                                <w:rFonts w:ascii="宋体" w:hAnsi="宋体" w:eastAsia="宋体" w:cs="宋体"/>
                                <w:sz w:val="24"/>
                                <w:szCs w:val="24"/>
                              </w:rPr>
                            </w:pPr>
                            <w:r>
                              <w:rPr>
                                <w:rFonts w:ascii="宋体" w:hAnsi="宋体" w:eastAsia="宋体" w:cs="宋体"/>
                                <w:spacing w:val="-28"/>
                                <w:w w:val="94"/>
                                <w:sz w:val="24"/>
                                <w:szCs w:val="24"/>
                              </w:rPr>
                              <w:t>20</w:t>
                            </w:r>
                            <w:r>
                              <w:rPr>
                                <w:rFonts w:ascii="宋体" w:hAnsi="宋体" w:eastAsia="宋体" w:cs="宋体"/>
                                <w:spacing w:val="-27"/>
                                <w:w w:val="94"/>
                                <w:sz w:val="24"/>
                                <w:szCs w:val="24"/>
                              </w:rPr>
                              <w:t>19-0</w:t>
                            </w:r>
                            <w:r>
                              <w:rPr>
                                <w:rFonts w:ascii="宋体" w:hAnsi="宋体" w:eastAsia="宋体" w:cs="宋体"/>
                                <w:spacing w:val="-25"/>
                                <w:w w:val="94"/>
                                <w:sz w:val="24"/>
                                <w:szCs w:val="24"/>
                              </w:rPr>
                              <w:t>1</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134" o:spid="_x0000_s1026" o:spt="202" type="#_x0000_t202" style="position:absolute;left:0pt;margin-left:323.45pt;margin-top:5.1pt;height:21.2pt;width:32.45pt;rotation:-5898240f;z-index:251696128;mso-width-relative:page;mso-height-relative:page;" filled="f" stroked="f" coordsize="21600,21600" o:gfxdata="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DiZMo51wAAAAkBAAAPAAAA&#10;AAAAAAEAIAAAACIAAABkcnMvZG93bnJldi54bWxQSwECFAAUAAAACACHTuJAtnj6nE8CAACjBAAA&#10;DgAAAAAAAAABACAAAAAmAQAAZHJzL2Uyb0RvYy54bWxQSwUGAAAAAAYABgBZAQAA5wUAAAAA&#10;">
                <v:fill on="f" focussize="0,0"/>
                <v:stroke on="f" weight="0pt" miterlimit="0" joinstyle="miter"/>
                <v:imagedata o:title=""/>
                <o:lock v:ext="edit" aspectratio="f"/>
                <v:textbox inset="0mm,0mm,0mm,0mm">
                  <w:txbxContent>
                    <w:p w14:paraId="4F77C360">
                      <w:pPr>
                        <w:spacing w:before="91"/>
                        <w:jc w:val="right"/>
                        <w:rPr>
                          <w:rFonts w:ascii="宋体" w:hAnsi="宋体" w:eastAsia="宋体" w:cs="宋体"/>
                          <w:sz w:val="24"/>
                          <w:szCs w:val="24"/>
                        </w:rPr>
                      </w:pPr>
                      <w:r>
                        <w:rPr>
                          <w:rFonts w:ascii="宋体" w:hAnsi="宋体" w:eastAsia="宋体" w:cs="宋体"/>
                          <w:spacing w:val="-28"/>
                          <w:w w:val="94"/>
                          <w:sz w:val="24"/>
                          <w:szCs w:val="24"/>
                        </w:rPr>
                        <w:t>20</w:t>
                      </w:r>
                      <w:r>
                        <w:rPr>
                          <w:rFonts w:ascii="宋体" w:hAnsi="宋体" w:eastAsia="宋体" w:cs="宋体"/>
                          <w:spacing w:val="-27"/>
                          <w:w w:val="94"/>
                          <w:sz w:val="24"/>
                          <w:szCs w:val="24"/>
                        </w:rPr>
                        <w:t>19-0</w:t>
                      </w:r>
                      <w:r>
                        <w:rPr>
                          <w:rFonts w:ascii="宋体" w:hAnsi="宋体" w:eastAsia="宋体" w:cs="宋体"/>
                          <w:spacing w:val="-25"/>
                          <w:w w:val="94"/>
                          <w:sz w:val="24"/>
                          <w:szCs w:val="24"/>
                        </w:rPr>
                        <w:t>1</w:t>
                      </w:r>
                    </w:p>
                  </w:txbxContent>
                </v:textbox>
              </v:shape>
            </w:pict>
          </mc:Fallback>
        </mc:AlternateContent>
      </w:r>
      <w:r>
        <mc:AlternateContent>
          <mc:Choice Requires="wps">
            <w:drawing>
              <wp:anchor distT="0" distB="0" distL="0" distR="0" simplePos="0" relativeHeight="251691008" behindDoc="0" locked="0" layoutInCell="1" allowOverlap="1">
                <wp:simplePos x="0" y="0"/>
                <wp:positionH relativeFrom="column">
                  <wp:posOffset>4466590</wp:posOffset>
                </wp:positionH>
                <wp:positionV relativeFrom="paragraph">
                  <wp:posOffset>-52705</wp:posOffset>
                </wp:positionV>
                <wp:extent cx="425450" cy="516255"/>
                <wp:effectExtent l="0" t="0" r="0" b="0"/>
                <wp:wrapNone/>
                <wp:docPr id="136" name="TextBox 136"/>
                <wp:cNvGraphicFramePr/>
                <a:graphic xmlns:a="http://schemas.openxmlformats.org/drawingml/2006/main">
                  <a:graphicData uri="http://schemas.microsoft.com/office/word/2010/wordprocessingShape">
                    <wps:wsp>
                      <wps:cNvSpPr txBox="1"/>
                      <wps:spPr>
                        <a:xfrm rot="16200000">
                          <a:off x="4466719" y="-53002"/>
                          <a:ext cx="425450" cy="516255"/>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67D29E85">
                            <w:pPr>
                              <w:spacing w:before="19"/>
                              <w:ind w:left="20"/>
                              <w:rPr>
                                <w:rFonts w:ascii="宋体" w:hAnsi="宋体" w:eastAsia="宋体" w:cs="宋体"/>
                                <w:sz w:val="24"/>
                                <w:szCs w:val="24"/>
                              </w:rPr>
                            </w:pPr>
                            <w:r>
                              <w:rPr>
                                <w:rFonts w:ascii="宋体" w:hAnsi="宋体" w:eastAsia="宋体" w:cs="宋体"/>
                                <w:spacing w:val="-26"/>
                                <w:w w:val="97"/>
                                <w:sz w:val="24"/>
                                <w:szCs w:val="24"/>
                              </w:rPr>
                              <w:t>201</w:t>
                            </w:r>
                            <w:r>
                              <w:rPr>
                                <w:rFonts w:ascii="宋体" w:hAnsi="宋体" w:eastAsia="宋体" w:cs="宋体"/>
                                <w:spacing w:val="-25"/>
                                <w:w w:val="97"/>
                                <w:sz w:val="24"/>
                                <w:szCs w:val="24"/>
                              </w:rPr>
                              <w:t>9-0</w:t>
                            </w:r>
                            <w:r>
                              <w:rPr>
                                <w:rFonts w:ascii="宋体" w:hAnsi="宋体" w:eastAsia="宋体" w:cs="宋体"/>
                                <w:spacing w:val="-22"/>
                                <w:w w:val="97"/>
                                <w:sz w:val="24"/>
                                <w:szCs w:val="24"/>
                              </w:rPr>
                              <w:t>5</w:t>
                            </w:r>
                          </w:p>
                          <w:p w14:paraId="07166F7E">
                            <w:pPr>
                              <w:spacing w:before="149"/>
                              <w:jc w:val="right"/>
                              <w:rPr>
                                <w:rFonts w:ascii="宋体" w:hAnsi="宋体" w:eastAsia="宋体" w:cs="宋体"/>
                                <w:sz w:val="24"/>
                                <w:szCs w:val="24"/>
                              </w:rPr>
                            </w:pPr>
                            <w:r>
                              <w:rPr>
                                <w:rFonts w:ascii="宋体" w:hAnsi="宋体" w:eastAsia="宋体" w:cs="宋体"/>
                                <w:spacing w:val="-25"/>
                                <w:w w:val="92"/>
                                <w:sz w:val="24"/>
                                <w:szCs w:val="24"/>
                              </w:rPr>
                              <w:t>2019</w:t>
                            </w:r>
                            <w:r>
                              <w:rPr>
                                <w:rFonts w:ascii="宋体" w:hAnsi="宋体" w:eastAsia="宋体" w:cs="宋体"/>
                                <w:spacing w:val="-24"/>
                                <w:w w:val="92"/>
                                <w:sz w:val="24"/>
                                <w:szCs w:val="24"/>
                              </w:rPr>
                              <w:t>-0</w:t>
                            </w:r>
                            <w:r>
                              <w:rPr>
                                <w:rFonts w:ascii="宋体" w:hAnsi="宋体" w:eastAsia="宋体" w:cs="宋体"/>
                                <w:spacing w:val="-13"/>
                                <w:w w:val="92"/>
                                <w:sz w:val="24"/>
                                <w:szCs w:val="24"/>
                              </w:rPr>
                              <w:t>6</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136" o:spid="_x0000_s1026" o:spt="202" type="#_x0000_t202" style="position:absolute;left:0pt;margin-left:351.7pt;margin-top:-4.15pt;height:40.65pt;width:33.5pt;rotation:-5898240f;z-index:251691008;mso-width-relative:page;mso-height-relative:page;" filled="f" stroked="f" coordsize="21600,21600" o:gfxdata="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C2tNwD1wAAAAkBAAAPAAAA&#10;AAAAAAEAIAAAACIAAABkcnMvZG93bnJldi54bWxQSwECFAAUAAAACACHTuJAccVnXk8CAACkBAAA&#10;DgAAAAAAAAABACAAAAAmAQAAZHJzL2Uyb0RvYy54bWxQSwUGAAAAAAYABgBZAQAA5wUAAAAA&#10;">
                <v:fill on="f" focussize="0,0"/>
                <v:stroke on="f" weight="0pt" miterlimit="0" joinstyle="miter"/>
                <v:imagedata o:title=""/>
                <o:lock v:ext="edit" aspectratio="f"/>
                <v:textbox inset="0mm,0mm,0mm,0mm">
                  <w:txbxContent>
                    <w:p w14:paraId="67D29E85">
                      <w:pPr>
                        <w:spacing w:before="19"/>
                        <w:ind w:left="20"/>
                        <w:rPr>
                          <w:rFonts w:ascii="宋体" w:hAnsi="宋体" w:eastAsia="宋体" w:cs="宋体"/>
                          <w:sz w:val="24"/>
                          <w:szCs w:val="24"/>
                        </w:rPr>
                      </w:pPr>
                      <w:r>
                        <w:rPr>
                          <w:rFonts w:ascii="宋体" w:hAnsi="宋体" w:eastAsia="宋体" w:cs="宋体"/>
                          <w:spacing w:val="-26"/>
                          <w:w w:val="97"/>
                          <w:sz w:val="24"/>
                          <w:szCs w:val="24"/>
                        </w:rPr>
                        <w:t>201</w:t>
                      </w:r>
                      <w:r>
                        <w:rPr>
                          <w:rFonts w:ascii="宋体" w:hAnsi="宋体" w:eastAsia="宋体" w:cs="宋体"/>
                          <w:spacing w:val="-25"/>
                          <w:w w:val="97"/>
                          <w:sz w:val="24"/>
                          <w:szCs w:val="24"/>
                        </w:rPr>
                        <w:t>9-0</w:t>
                      </w:r>
                      <w:r>
                        <w:rPr>
                          <w:rFonts w:ascii="宋体" w:hAnsi="宋体" w:eastAsia="宋体" w:cs="宋体"/>
                          <w:spacing w:val="-22"/>
                          <w:w w:val="97"/>
                          <w:sz w:val="24"/>
                          <w:szCs w:val="24"/>
                        </w:rPr>
                        <w:t>5</w:t>
                      </w:r>
                    </w:p>
                    <w:p w14:paraId="07166F7E">
                      <w:pPr>
                        <w:spacing w:before="149"/>
                        <w:jc w:val="right"/>
                        <w:rPr>
                          <w:rFonts w:ascii="宋体" w:hAnsi="宋体" w:eastAsia="宋体" w:cs="宋体"/>
                          <w:sz w:val="24"/>
                          <w:szCs w:val="24"/>
                        </w:rPr>
                      </w:pPr>
                      <w:r>
                        <w:rPr>
                          <w:rFonts w:ascii="宋体" w:hAnsi="宋体" w:eastAsia="宋体" w:cs="宋体"/>
                          <w:spacing w:val="-25"/>
                          <w:w w:val="92"/>
                          <w:sz w:val="24"/>
                          <w:szCs w:val="24"/>
                        </w:rPr>
                        <w:t>2019</w:t>
                      </w:r>
                      <w:r>
                        <w:rPr>
                          <w:rFonts w:ascii="宋体" w:hAnsi="宋体" w:eastAsia="宋体" w:cs="宋体"/>
                          <w:spacing w:val="-24"/>
                          <w:w w:val="92"/>
                          <w:sz w:val="24"/>
                          <w:szCs w:val="24"/>
                        </w:rPr>
                        <w:t>-0</w:t>
                      </w:r>
                      <w:r>
                        <w:rPr>
                          <w:rFonts w:ascii="宋体" w:hAnsi="宋体" w:eastAsia="宋体" w:cs="宋体"/>
                          <w:spacing w:val="-13"/>
                          <w:w w:val="92"/>
                          <w:sz w:val="24"/>
                          <w:szCs w:val="24"/>
                        </w:rPr>
                        <w:t>6</w:t>
                      </w:r>
                    </w:p>
                  </w:txbxContent>
                </v:textbox>
              </v:shape>
            </w:pict>
          </mc:Fallback>
        </mc:AlternateContent>
      </w:r>
    </w:p>
    <w:p w14:paraId="259AAC4C">
      <w:pPr>
        <w:spacing w:line="307" w:lineRule="auto"/>
        <w:rPr>
          <w:rFonts w:ascii="Arial"/>
          <w:sz w:val="21"/>
        </w:rPr>
      </w:pPr>
    </w:p>
    <w:p w14:paraId="2C0FCF14">
      <w:pPr>
        <w:spacing w:before="68" w:line="219" w:lineRule="auto"/>
        <w:ind w:left="4350"/>
        <w:rPr>
          <w:rFonts w:ascii="宋体" w:hAnsi="宋体" w:eastAsia="宋体" w:cs="宋体"/>
          <w:sz w:val="21"/>
          <w:szCs w:val="21"/>
        </w:rPr>
      </w:pPr>
      <w:r>
        <w:rPr>
          <w:rFonts w:ascii="宋体" w:hAnsi="宋体" w:eastAsia="宋体" w:cs="宋体"/>
          <w:spacing w:val="-11"/>
          <w:sz w:val="21"/>
          <w:szCs w:val="21"/>
        </w:rPr>
        <w:t>时间(年份-月份)</w:t>
      </w:r>
    </w:p>
    <w:p w14:paraId="3B6D8441">
      <w:pPr>
        <w:spacing w:before="129" w:line="219" w:lineRule="auto"/>
        <w:ind w:left="1590"/>
        <w:rPr>
          <w:rFonts w:ascii="宋体" w:hAnsi="宋体" w:eastAsia="宋体" w:cs="宋体"/>
          <w:sz w:val="21"/>
          <w:szCs w:val="21"/>
        </w:rPr>
      </w:pPr>
      <w:r>
        <w:rPr>
          <w:rFonts w:ascii="宋体" w:hAnsi="宋体" w:eastAsia="宋体" w:cs="宋体"/>
          <w:spacing w:val="-4"/>
          <w:sz w:val="21"/>
          <w:szCs w:val="21"/>
        </w:rPr>
        <w:t>图2-62015—2019年我国细菌性和阿米巴性痢疾新发病例的时间分布</w:t>
      </w:r>
    </w:p>
    <w:p w14:paraId="480F1D7C">
      <w:pPr>
        <w:spacing w:before="39" w:line="216" w:lineRule="auto"/>
        <w:ind w:left="3600"/>
        <w:rPr>
          <w:rFonts w:ascii="宋体" w:hAnsi="宋体" w:eastAsia="宋体" w:cs="宋体"/>
          <w:sz w:val="21"/>
          <w:szCs w:val="21"/>
        </w:rPr>
      </w:pPr>
      <w:r>
        <w:rPr>
          <w:rFonts w:ascii="宋体" w:hAnsi="宋体" w:eastAsia="宋体" w:cs="宋体"/>
          <w:spacing w:val="-5"/>
          <w:sz w:val="21"/>
          <w:szCs w:val="21"/>
        </w:rPr>
        <w:t>(改编自中国CDC,2020)</w:t>
      </w:r>
    </w:p>
    <w:p w14:paraId="48A5A40B">
      <w:pPr>
        <w:spacing w:line="328" w:lineRule="auto"/>
        <w:rPr>
          <w:rFonts w:ascii="Arial"/>
          <w:sz w:val="21"/>
        </w:rPr>
      </w:pPr>
    </w:p>
    <w:p w14:paraId="2F42BE2B">
      <w:pPr>
        <w:spacing w:before="69" w:line="317" w:lineRule="auto"/>
        <w:ind w:right="639" w:firstLine="440"/>
        <w:jc w:val="both"/>
        <w:rPr>
          <w:rFonts w:ascii="宋体" w:hAnsi="宋体" w:eastAsia="宋体" w:cs="宋体"/>
          <w:sz w:val="21"/>
          <w:szCs w:val="21"/>
        </w:rPr>
      </w:pPr>
      <w:r>
        <w:rPr>
          <w:rFonts w:ascii="宋体" w:hAnsi="宋体" w:eastAsia="宋体" w:cs="宋体"/>
          <w:spacing w:val="3"/>
          <w:sz w:val="21"/>
          <w:szCs w:val="21"/>
        </w:rPr>
        <w:t>非传染病的发病率也有季节性升高的现象。如克山病在东北、西北发病区，各型克山病病人多</w:t>
      </w:r>
      <w:r>
        <w:rPr>
          <w:rFonts w:ascii="宋体" w:hAnsi="宋体" w:eastAsia="宋体" w:cs="宋体"/>
          <w:spacing w:val="7"/>
          <w:sz w:val="21"/>
          <w:szCs w:val="21"/>
        </w:rPr>
        <w:t xml:space="preserve">  </w:t>
      </w:r>
      <w:r>
        <w:rPr>
          <w:rFonts w:ascii="宋体" w:hAnsi="宋体" w:eastAsia="宋体" w:cs="宋体"/>
          <w:spacing w:val="14"/>
          <w:sz w:val="21"/>
          <w:szCs w:val="21"/>
        </w:rPr>
        <w:t>集中出现在11月至次年2月，占全年总发病人数的80%～90%,而西南发病区却以6—8月为高峰，</w:t>
      </w:r>
      <w:r>
        <w:rPr>
          <w:rFonts w:ascii="宋体" w:hAnsi="宋体" w:eastAsia="宋体" w:cs="宋体"/>
          <w:spacing w:val="6"/>
          <w:sz w:val="21"/>
          <w:szCs w:val="21"/>
        </w:rPr>
        <w:t xml:space="preserve"> </w:t>
      </w:r>
      <w:r>
        <w:rPr>
          <w:rFonts w:ascii="宋体" w:hAnsi="宋体" w:eastAsia="宋体" w:cs="宋体"/>
          <w:spacing w:val="9"/>
          <w:sz w:val="21"/>
          <w:szCs w:val="21"/>
        </w:rPr>
        <w:t>表现出明显的季节性。冠心病的发病和死亡均有季</w:t>
      </w:r>
      <w:r>
        <w:rPr>
          <w:rFonts w:ascii="宋体" w:hAnsi="宋体" w:eastAsia="宋体" w:cs="宋体"/>
          <w:spacing w:val="8"/>
          <w:sz w:val="21"/>
          <w:szCs w:val="21"/>
        </w:rPr>
        <w:t>节性升高倾向，北京地区的急性心肌梗死死亡</w:t>
      </w:r>
      <w:r>
        <w:rPr>
          <w:rFonts w:ascii="宋体" w:hAnsi="宋体" w:eastAsia="宋体" w:cs="宋体"/>
          <w:sz w:val="21"/>
          <w:szCs w:val="21"/>
        </w:rPr>
        <w:t xml:space="preserve">  </w:t>
      </w:r>
      <w:r>
        <w:rPr>
          <w:rFonts w:ascii="宋体" w:hAnsi="宋体" w:eastAsia="宋体" w:cs="宋体"/>
          <w:spacing w:val="-1"/>
          <w:sz w:val="21"/>
          <w:szCs w:val="21"/>
        </w:rPr>
        <w:t>多发生于冬春季。出生缺陷也表现出季节性波动：国外有</w:t>
      </w:r>
      <w:r>
        <w:rPr>
          <w:rFonts w:ascii="宋体" w:hAnsi="宋体" w:eastAsia="宋体" w:cs="宋体"/>
          <w:spacing w:val="-2"/>
          <w:sz w:val="21"/>
          <w:szCs w:val="21"/>
        </w:rPr>
        <w:t>报道，英国、美国、德国、以色列的无脑畸</w:t>
      </w:r>
      <w:r>
        <w:rPr>
          <w:rFonts w:ascii="宋体" w:hAnsi="宋体" w:eastAsia="宋体" w:cs="宋体"/>
          <w:sz w:val="21"/>
          <w:szCs w:val="21"/>
        </w:rPr>
        <w:t xml:space="preserve">  </w:t>
      </w:r>
      <w:r>
        <w:rPr>
          <w:rFonts w:ascii="宋体" w:hAnsi="宋体" w:eastAsia="宋体" w:cs="宋体"/>
          <w:spacing w:val="1"/>
          <w:sz w:val="21"/>
          <w:szCs w:val="21"/>
        </w:rPr>
        <w:t>形发生在冬季多见；而在国内，北京、天津地区有研究报告显示，中枢神经系统出生缺陷在9—10月</w:t>
      </w:r>
      <w:r>
        <w:rPr>
          <w:rFonts w:ascii="宋体" w:hAnsi="宋体" w:eastAsia="宋体" w:cs="宋体"/>
          <w:spacing w:val="11"/>
          <w:sz w:val="21"/>
          <w:szCs w:val="21"/>
        </w:rPr>
        <w:t xml:space="preserve"> </w:t>
      </w:r>
      <w:r>
        <w:rPr>
          <w:rFonts w:ascii="宋体" w:hAnsi="宋体" w:eastAsia="宋体" w:cs="宋体"/>
          <w:spacing w:val="6"/>
          <w:sz w:val="21"/>
          <w:szCs w:val="21"/>
        </w:rPr>
        <w:t>出现明显的高峰。</w:t>
      </w:r>
    </w:p>
    <w:p w14:paraId="2F7DBDAB">
      <w:pPr>
        <w:spacing w:before="33" w:line="311" w:lineRule="auto"/>
        <w:ind w:right="619" w:firstLine="440"/>
        <w:jc w:val="both"/>
        <w:rPr>
          <w:rFonts w:ascii="宋体" w:hAnsi="宋体" w:eastAsia="宋体" w:cs="宋体"/>
          <w:sz w:val="21"/>
          <w:szCs w:val="21"/>
        </w:rPr>
      </w:pPr>
      <w:r>
        <w:rPr>
          <w:rFonts w:ascii="宋体" w:hAnsi="宋体" w:eastAsia="宋体" w:cs="宋体"/>
          <w:spacing w:val="-1"/>
          <w:sz w:val="21"/>
          <w:szCs w:val="21"/>
        </w:rPr>
        <w:t>疾病发病率季节性升高的原因较为复杂，不仅受自</w:t>
      </w:r>
      <w:r>
        <w:rPr>
          <w:rFonts w:ascii="宋体" w:hAnsi="宋体" w:eastAsia="宋体" w:cs="宋体"/>
          <w:spacing w:val="-2"/>
          <w:sz w:val="21"/>
          <w:szCs w:val="21"/>
        </w:rPr>
        <w:t>然环境、气候条件、媒介昆虫、野生动物的生</w:t>
      </w:r>
      <w:r>
        <w:rPr>
          <w:rFonts w:ascii="宋体" w:hAnsi="宋体" w:eastAsia="宋体" w:cs="宋体"/>
          <w:sz w:val="21"/>
          <w:szCs w:val="21"/>
        </w:rPr>
        <w:t xml:space="preserve">  </w:t>
      </w:r>
      <w:r>
        <w:rPr>
          <w:rFonts w:ascii="宋体" w:hAnsi="宋体" w:eastAsia="宋体" w:cs="宋体"/>
          <w:spacing w:val="1"/>
          <w:sz w:val="21"/>
          <w:szCs w:val="21"/>
        </w:rPr>
        <w:t>活习性和家畜的生长繁殖等因素的影响，也受人们的生活方式、生产、劳动条件、营养、风俗习惯、</w:t>
      </w:r>
      <w:r>
        <w:rPr>
          <w:rFonts w:ascii="宋体" w:hAnsi="宋体" w:eastAsia="宋体" w:cs="宋体"/>
          <w:spacing w:val="10"/>
          <w:sz w:val="21"/>
          <w:szCs w:val="21"/>
        </w:rPr>
        <w:t xml:space="preserve"> </w:t>
      </w:r>
      <w:r>
        <w:rPr>
          <w:rFonts w:ascii="宋体" w:hAnsi="宋体" w:eastAsia="宋体" w:cs="宋体"/>
          <w:spacing w:val="3"/>
          <w:sz w:val="21"/>
          <w:szCs w:val="21"/>
        </w:rPr>
        <w:t>医疗卫生水平、暴露于致病因素的机会和人群易感性的影响。</w:t>
      </w:r>
    </w:p>
    <w:p w14:paraId="583064D1">
      <w:pPr>
        <w:pStyle w:val="2"/>
        <w:spacing w:line="223" w:lineRule="auto"/>
        <w:ind w:left="443"/>
        <w:rPr>
          <w:sz w:val="25"/>
          <w:szCs w:val="25"/>
        </w:rPr>
      </w:pPr>
      <w:r>
        <w:rPr>
          <w:b/>
          <w:bCs/>
          <w:spacing w:val="1"/>
          <w:sz w:val="25"/>
          <w:szCs w:val="25"/>
        </w:rPr>
        <w:t>(三)周期性</w:t>
      </w:r>
    </w:p>
    <w:p w14:paraId="167C505B">
      <w:pPr>
        <w:spacing w:before="56" w:line="329" w:lineRule="auto"/>
        <w:ind w:right="714" w:firstLine="440"/>
        <w:jc w:val="both"/>
        <w:rPr>
          <w:rFonts w:ascii="宋体" w:hAnsi="宋体" w:eastAsia="宋体" w:cs="宋体"/>
          <w:sz w:val="21"/>
          <w:szCs w:val="21"/>
        </w:rPr>
      </w:pPr>
      <w:r>
        <w:rPr>
          <w:rFonts w:ascii="宋体" w:hAnsi="宋体" w:eastAsia="宋体" w:cs="宋体"/>
          <w:spacing w:val="6"/>
          <w:sz w:val="21"/>
          <w:szCs w:val="21"/>
        </w:rPr>
        <w:t>疾病的周期性</w:t>
      </w:r>
      <w:r>
        <w:rPr>
          <w:rFonts w:ascii="Times New Roman" w:hAnsi="Times New Roman" w:eastAsia="Times New Roman" w:cs="Times New Roman"/>
          <w:spacing w:val="6"/>
          <w:sz w:val="21"/>
          <w:szCs w:val="21"/>
        </w:rPr>
        <w:t>(</w:t>
      </w:r>
      <w:r>
        <w:rPr>
          <w:rFonts w:ascii="Times New Roman" w:hAnsi="Times New Roman" w:eastAsia="Times New Roman" w:cs="Times New Roman"/>
          <w:sz w:val="21"/>
          <w:szCs w:val="21"/>
        </w:rPr>
        <w:t>periodicity</w:t>
      </w:r>
      <w:r>
        <w:rPr>
          <w:rFonts w:ascii="Times New Roman" w:hAnsi="Times New Roman" w:eastAsia="Times New Roman" w:cs="Times New Roman"/>
          <w:spacing w:val="6"/>
          <w:sz w:val="21"/>
          <w:szCs w:val="21"/>
        </w:rPr>
        <w:t>,</w:t>
      </w:r>
      <w:r>
        <w:rPr>
          <w:rFonts w:ascii="Times New Roman" w:hAnsi="Times New Roman" w:eastAsia="Times New Roman" w:cs="Times New Roman"/>
          <w:sz w:val="21"/>
          <w:szCs w:val="21"/>
        </w:rPr>
        <w:t>cyclic</w:t>
      </w:r>
      <w:r>
        <w:rPr>
          <w:rFonts w:ascii="Times New Roman" w:hAnsi="Times New Roman" w:eastAsia="Times New Roman" w:cs="Times New Roman"/>
          <w:spacing w:val="6"/>
          <w:sz w:val="21"/>
          <w:szCs w:val="21"/>
        </w:rPr>
        <w:t xml:space="preserve">      </w:t>
      </w:r>
      <w:r>
        <w:rPr>
          <w:rFonts w:ascii="Times New Roman" w:hAnsi="Times New Roman" w:eastAsia="Times New Roman" w:cs="Times New Roman"/>
          <w:sz w:val="21"/>
          <w:szCs w:val="21"/>
        </w:rPr>
        <w:t>variation</w:t>
      </w:r>
      <w:r>
        <w:rPr>
          <w:rFonts w:ascii="Times New Roman" w:hAnsi="Times New Roman" w:eastAsia="Times New Roman" w:cs="Times New Roman"/>
          <w:spacing w:val="6"/>
          <w:sz w:val="21"/>
          <w:szCs w:val="21"/>
        </w:rPr>
        <w:t>)</w:t>
      </w:r>
      <w:r>
        <w:rPr>
          <w:rFonts w:ascii="宋体" w:hAnsi="宋体" w:eastAsia="宋体" w:cs="宋体"/>
          <w:spacing w:val="6"/>
          <w:sz w:val="21"/>
          <w:szCs w:val="21"/>
        </w:rPr>
        <w:t>是指疾病频率按照一定的时间间隔</w:t>
      </w:r>
      <w:r>
        <w:rPr>
          <w:rFonts w:ascii="宋体" w:hAnsi="宋体" w:eastAsia="宋体" w:cs="宋体"/>
          <w:spacing w:val="5"/>
          <w:sz w:val="21"/>
          <w:szCs w:val="21"/>
        </w:rPr>
        <w:t>，有规律地起伏</w:t>
      </w:r>
      <w:r>
        <w:rPr>
          <w:rFonts w:ascii="宋体" w:hAnsi="宋体" w:eastAsia="宋体" w:cs="宋体"/>
          <w:sz w:val="21"/>
          <w:szCs w:val="21"/>
        </w:rPr>
        <w:t xml:space="preserve"> </w:t>
      </w:r>
      <w:r>
        <w:rPr>
          <w:rFonts w:ascii="宋体" w:hAnsi="宋体" w:eastAsia="宋体" w:cs="宋体"/>
          <w:spacing w:val="9"/>
          <w:sz w:val="21"/>
          <w:szCs w:val="21"/>
        </w:rPr>
        <w:t>波动，每隔若干年出现一个流行高峰的现象。周期性</w:t>
      </w:r>
      <w:r>
        <w:rPr>
          <w:rFonts w:ascii="宋体" w:hAnsi="宋体" w:eastAsia="宋体" w:cs="宋体"/>
          <w:spacing w:val="8"/>
          <w:sz w:val="21"/>
          <w:szCs w:val="21"/>
        </w:rPr>
        <w:t>的形成主要与易感者积累及病原体的变异有</w:t>
      </w:r>
      <w:r>
        <w:rPr>
          <w:rFonts w:ascii="宋体" w:hAnsi="宋体" w:eastAsia="宋体" w:cs="宋体"/>
          <w:sz w:val="21"/>
          <w:szCs w:val="21"/>
        </w:rPr>
        <w:t xml:space="preserve"> </w:t>
      </w:r>
      <w:r>
        <w:rPr>
          <w:rFonts w:ascii="宋体" w:hAnsi="宋体" w:eastAsia="宋体" w:cs="宋体"/>
          <w:spacing w:val="3"/>
          <w:sz w:val="21"/>
          <w:szCs w:val="21"/>
        </w:rPr>
        <w:t>关，普遍的预防接种实施可改变一些传染病的周期性规律。</w:t>
      </w:r>
    </w:p>
    <w:p w14:paraId="1352677F">
      <w:pPr>
        <w:spacing w:before="6" w:line="325" w:lineRule="auto"/>
        <w:ind w:right="716" w:firstLine="440"/>
        <w:jc w:val="both"/>
        <w:rPr>
          <w:rFonts w:ascii="宋体" w:hAnsi="宋体" w:eastAsia="宋体" w:cs="宋体"/>
          <w:sz w:val="21"/>
          <w:szCs w:val="21"/>
        </w:rPr>
      </w:pPr>
      <w:r>
        <w:rPr>
          <w:rFonts w:ascii="宋体" w:hAnsi="宋体" w:eastAsia="宋体" w:cs="宋体"/>
          <w:spacing w:val="12"/>
          <w:sz w:val="21"/>
          <w:szCs w:val="21"/>
        </w:rPr>
        <w:t>图2-7描述了2008—2018年我国乙脑新发病例数的周期性变化特点，每年5—10月为乙脑的</w:t>
      </w:r>
      <w:r>
        <w:rPr>
          <w:rFonts w:ascii="宋体" w:hAnsi="宋体" w:eastAsia="宋体" w:cs="宋体"/>
          <w:spacing w:val="3"/>
          <w:sz w:val="21"/>
          <w:szCs w:val="21"/>
        </w:rPr>
        <w:t xml:space="preserve"> </w:t>
      </w:r>
      <w:r>
        <w:rPr>
          <w:rFonts w:ascii="宋体" w:hAnsi="宋体" w:eastAsia="宋体" w:cs="宋体"/>
          <w:spacing w:val="4"/>
          <w:sz w:val="21"/>
          <w:szCs w:val="21"/>
        </w:rPr>
        <w:t>发病高峰，长江以南地区每年出现一次发病高峰，但高峰呈现由</w:t>
      </w:r>
      <w:r>
        <w:rPr>
          <w:rFonts w:ascii="宋体" w:hAnsi="宋体" w:eastAsia="宋体" w:cs="宋体"/>
          <w:spacing w:val="3"/>
          <w:sz w:val="21"/>
          <w:szCs w:val="21"/>
        </w:rPr>
        <w:t>大转小的明显趋势；长江以北地区</w:t>
      </w:r>
      <w:r>
        <w:rPr>
          <w:rFonts w:ascii="宋体" w:hAnsi="宋体" w:eastAsia="宋体" w:cs="宋体"/>
          <w:sz w:val="21"/>
          <w:szCs w:val="21"/>
        </w:rPr>
        <w:t xml:space="preserve"> </w:t>
      </w:r>
      <w:r>
        <w:rPr>
          <w:rFonts w:ascii="宋体" w:hAnsi="宋体" w:eastAsia="宋体" w:cs="宋体"/>
          <w:spacing w:val="11"/>
          <w:sz w:val="21"/>
          <w:szCs w:val="21"/>
        </w:rPr>
        <w:t>的发病高峰较长江以南地区滞后1～2个月，在较大的发病高峰阶段过后，每隔2年会再次出现较</w:t>
      </w:r>
      <w:r>
        <w:rPr>
          <w:rFonts w:ascii="宋体" w:hAnsi="宋体" w:eastAsia="宋体" w:cs="宋体"/>
          <w:spacing w:val="9"/>
          <w:sz w:val="21"/>
          <w:szCs w:val="21"/>
        </w:rPr>
        <w:t xml:space="preserve"> </w:t>
      </w:r>
      <w:r>
        <w:rPr>
          <w:rFonts w:ascii="宋体" w:hAnsi="宋体" w:eastAsia="宋体" w:cs="宋体"/>
          <w:spacing w:val="8"/>
          <w:sz w:val="21"/>
          <w:szCs w:val="21"/>
        </w:rPr>
        <w:t>大的发病高峰。上述表现与2008年我国实施纳人乙脑疫苗的扩大国家免疫规划，以及既往长江以</w:t>
      </w:r>
      <w:r>
        <w:rPr>
          <w:rFonts w:ascii="宋体" w:hAnsi="宋体" w:eastAsia="宋体" w:cs="宋体"/>
          <w:spacing w:val="15"/>
          <w:sz w:val="21"/>
          <w:szCs w:val="21"/>
        </w:rPr>
        <w:t xml:space="preserve"> </w:t>
      </w:r>
      <w:r>
        <w:rPr>
          <w:rFonts w:ascii="宋体" w:hAnsi="宋体" w:eastAsia="宋体" w:cs="宋体"/>
          <w:spacing w:val="4"/>
          <w:sz w:val="21"/>
          <w:szCs w:val="21"/>
        </w:rPr>
        <w:t>北人群乙脑流行强度、积累保护性抗体普遍较长江以南低有</w:t>
      </w:r>
      <w:r>
        <w:rPr>
          <w:rFonts w:ascii="宋体" w:hAnsi="宋体" w:eastAsia="宋体" w:cs="宋体"/>
          <w:spacing w:val="3"/>
          <w:sz w:val="21"/>
          <w:szCs w:val="21"/>
        </w:rPr>
        <w:t>关，长江以北地区人群的乙脑易感性尚</w:t>
      </w:r>
      <w:r>
        <w:rPr>
          <w:rFonts w:ascii="宋体" w:hAnsi="宋体" w:eastAsia="宋体" w:cs="宋体"/>
          <w:sz w:val="21"/>
          <w:szCs w:val="21"/>
        </w:rPr>
        <w:t xml:space="preserve"> </w:t>
      </w:r>
      <w:r>
        <w:rPr>
          <w:rFonts w:ascii="宋体" w:hAnsi="宋体" w:eastAsia="宋体" w:cs="宋体"/>
          <w:spacing w:val="6"/>
          <w:sz w:val="21"/>
          <w:szCs w:val="21"/>
        </w:rPr>
        <w:t>普遍高于长江以南地区。</w:t>
      </w:r>
    </w:p>
    <w:p w14:paraId="786018E6">
      <w:pPr>
        <w:spacing w:line="325" w:lineRule="auto"/>
        <w:rPr>
          <w:rFonts w:ascii="宋体" w:hAnsi="宋体" w:eastAsia="宋体" w:cs="宋体"/>
          <w:sz w:val="21"/>
          <w:szCs w:val="21"/>
        </w:rPr>
        <w:sectPr>
          <w:footerReference r:id="rId57" w:type="default"/>
          <w:pgSz w:w="11900" w:h="16820"/>
          <w:pgMar w:top="400" w:right="675" w:bottom="846" w:left="1309" w:header="0" w:footer="657" w:gutter="0"/>
          <w:cols w:space="720" w:num="1"/>
        </w:sectPr>
      </w:pPr>
    </w:p>
    <w:p w14:paraId="5D56B682">
      <w:pPr>
        <w:pStyle w:val="2"/>
        <w:spacing w:before="56" w:line="221" w:lineRule="auto"/>
        <w:ind w:left="729"/>
        <w:rPr>
          <w:sz w:val="20"/>
          <w:szCs w:val="20"/>
        </w:rPr>
      </w:pPr>
      <w:bookmarkStart w:id="53" w:name="bookmark419"/>
      <w:bookmarkEnd w:id="53"/>
      <w:r>
        <w:rPr>
          <w:spacing w:val="-10"/>
          <w:sz w:val="20"/>
          <w:szCs w:val="20"/>
        </w:rPr>
        <w:t>第二章疾病的分布</w:t>
      </w:r>
    </w:p>
    <w:p w14:paraId="584A7C85">
      <w:pPr>
        <w:spacing w:line="300" w:lineRule="auto"/>
        <w:rPr>
          <w:rFonts w:ascii="Arial"/>
          <w:sz w:val="21"/>
        </w:rPr>
      </w:pPr>
    </w:p>
    <w:p w14:paraId="054F5589">
      <w:pPr>
        <w:spacing w:line="300" w:lineRule="auto"/>
        <w:rPr>
          <w:rFonts w:ascii="Arial"/>
          <w:sz w:val="21"/>
        </w:rPr>
      </w:pPr>
    </w:p>
    <w:p w14:paraId="6D63444D">
      <w:pPr>
        <w:spacing w:line="3500" w:lineRule="exact"/>
        <w:ind w:firstLine="2619"/>
      </w:pPr>
      <w:r>
        <mc:AlternateContent>
          <mc:Choice Requires="wps">
            <w:drawing>
              <wp:anchor distT="0" distB="0" distL="0" distR="0" simplePos="0" relativeHeight="251706368" behindDoc="0" locked="0" layoutInCell="1" allowOverlap="1">
                <wp:simplePos x="0" y="0"/>
                <wp:positionH relativeFrom="column">
                  <wp:posOffset>1306830</wp:posOffset>
                </wp:positionH>
                <wp:positionV relativeFrom="paragraph">
                  <wp:posOffset>948055</wp:posOffset>
                </wp:positionV>
                <wp:extent cx="595630" cy="200660"/>
                <wp:effectExtent l="0" t="0" r="0" b="0"/>
                <wp:wrapNone/>
                <wp:docPr id="138" name="TextBox 138"/>
                <wp:cNvGraphicFramePr/>
                <a:graphic xmlns:a="http://schemas.openxmlformats.org/drawingml/2006/main">
                  <a:graphicData uri="http://schemas.microsoft.com/office/word/2010/wordprocessingShape">
                    <wps:wsp>
                      <wps:cNvSpPr txBox="1"/>
                      <wps:spPr>
                        <a:xfrm rot="16200000">
                          <a:off x="1307425" y="948653"/>
                          <a:ext cx="595630" cy="200660"/>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36C383A0">
                            <w:pPr>
                              <w:spacing w:before="58" w:line="219" w:lineRule="auto"/>
                              <w:jc w:val="right"/>
                              <w:rPr>
                                <w:rFonts w:ascii="宋体" w:hAnsi="宋体" w:eastAsia="宋体" w:cs="宋体"/>
                                <w:sz w:val="20"/>
                                <w:szCs w:val="20"/>
                              </w:rPr>
                            </w:pPr>
                            <w:r>
                              <w:rPr>
                                <w:rFonts w:ascii="宋体" w:hAnsi="宋体" w:eastAsia="宋体" w:cs="宋体"/>
                                <w:spacing w:val="-17"/>
                                <w:w w:val="97"/>
                                <w:sz w:val="20"/>
                                <w:szCs w:val="20"/>
                              </w:rPr>
                              <w:t>新发</w:t>
                            </w:r>
                            <w:r>
                              <w:rPr>
                                <w:rFonts w:ascii="宋体" w:hAnsi="宋体" w:eastAsia="宋体" w:cs="宋体"/>
                                <w:spacing w:val="-16"/>
                                <w:w w:val="97"/>
                                <w:sz w:val="20"/>
                                <w:szCs w:val="20"/>
                              </w:rPr>
                              <w:t>病例</w:t>
                            </w:r>
                            <w:r>
                              <w:rPr>
                                <w:rFonts w:ascii="宋体" w:hAnsi="宋体" w:eastAsia="宋体" w:cs="宋体"/>
                                <w:spacing w:val="-9"/>
                                <w:w w:val="97"/>
                                <w:sz w:val="20"/>
                                <w:szCs w:val="20"/>
                              </w:rPr>
                              <w:t>数</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138" o:spid="_x0000_s1026" o:spt="202" type="#_x0000_t202" style="position:absolute;left:0pt;margin-left:102.9pt;margin-top:74.65pt;height:15.8pt;width:46.9pt;rotation:-5898240f;z-index:251706368;mso-width-relative:page;mso-height-relative:page;" filled="f" stroked="f" coordsize="21600,21600" o:gfxdata="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NuWCAHZAAAACwEAAA8A&#10;AAAAAAAAAQAgAAAAIgAAAGRycy9kb3ducmV2LnhtbFBLAQIUABQAAAAIAIdO4kBYTeylTwIAAKQE&#10;AAAOAAAAAAAAAAEAIAAAACgBAABkcnMvZTJvRG9jLnhtbFBLBQYAAAAABgAGAFkBAADpBQAAAAA=&#10;">
                <v:fill on="f" focussize="0,0"/>
                <v:stroke on="f" weight="0pt" miterlimit="0" joinstyle="miter"/>
                <v:imagedata o:title=""/>
                <o:lock v:ext="edit" aspectratio="f"/>
                <v:textbox inset="0mm,0mm,0mm,0mm">
                  <w:txbxContent>
                    <w:p w14:paraId="36C383A0">
                      <w:pPr>
                        <w:spacing w:before="58" w:line="219" w:lineRule="auto"/>
                        <w:jc w:val="right"/>
                        <w:rPr>
                          <w:rFonts w:ascii="宋体" w:hAnsi="宋体" w:eastAsia="宋体" w:cs="宋体"/>
                          <w:sz w:val="20"/>
                          <w:szCs w:val="20"/>
                        </w:rPr>
                      </w:pPr>
                      <w:r>
                        <w:rPr>
                          <w:rFonts w:ascii="宋体" w:hAnsi="宋体" w:eastAsia="宋体" w:cs="宋体"/>
                          <w:spacing w:val="-17"/>
                          <w:w w:val="97"/>
                          <w:sz w:val="20"/>
                          <w:szCs w:val="20"/>
                        </w:rPr>
                        <w:t>新发</w:t>
                      </w:r>
                      <w:r>
                        <w:rPr>
                          <w:rFonts w:ascii="宋体" w:hAnsi="宋体" w:eastAsia="宋体" w:cs="宋体"/>
                          <w:spacing w:val="-16"/>
                          <w:w w:val="97"/>
                          <w:sz w:val="20"/>
                          <w:szCs w:val="20"/>
                        </w:rPr>
                        <w:t>病例</w:t>
                      </w:r>
                      <w:r>
                        <w:rPr>
                          <w:rFonts w:ascii="宋体" w:hAnsi="宋体" w:eastAsia="宋体" w:cs="宋体"/>
                          <w:spacing w:val="-9"/>
                          <w:w w:val="97"/>
                          <w:sz w:val="20"/>
                          <w:szCs w:val="20"/>
                        </w:rPr>
                        <w:t>数</w:t>
                      </w:r>
                    </w:p>
                  </w:txbxContent>
                </v:textbox>
              </v:shape>
            </w:pict>
          </mc:Fallback>
        </mc:AlternateContent>
      </w:r>
      <w:r>
        <w:rPr>
          <w:position w:val="-69"/>
        </w:rPr>
        <w:pict>
          <v:group id="_x0000_s1041" o:spid="_x0000_s1041" o:spt="203" style="height:175pt;width:263.55pt;" coordsize="5270,3500">
            <o:lock v:ext="edit"/>
            <v:shape id="_x0000_s1042" o:spid="_x0000_s1042" o:spt="75" type="#_x0000_t75" style="position:absolute;left:0;top:0;height:3500;width:5270;" filled="f" stroked="f" coordsize="21600,21600">
              <v:path/>
              <v:fill on="f" focussize="0,0"/>
              <v:stroke on="f"/>
              <v:imagedata r:id="rId447" o:title=""/>
              <o:lock v:ext="edit" aspectratio="t"/>
            </v:shape>
            <v:shape id="_x0000_s1043" o:spid="_x0000_s1043" o:spt="202" type="#_x0000_t202" style="position:absolute;left:60;top:32;height:3467;width:5092;" filled="f" stroked="f" coordsize="21600,21600">
              <v:path/>
              <v:fill on="f" focussize="0,0"/>
              <v:stroke on="f"/>
              <v:imagedata o:title=""/>
              <o:lock v:ext="edit" aspectratio="f"/>
              <v:textbox inset="0mm,0mm,0mm,0mm">
                <w:txbxContent>
                  <w:p w14:paraId="1F8E54C3">
                    <w:pPr>
                      <w:spacing w:before="20" w:line="188" w:lineRule="auto"/>
                      <w:ind w:left="20"/>
                      <w:rPr>
                        <w:rFonts w:ascii="Times New Roman" w:hAnsi="Times New Roman" w:eastAsia="Times New Roman" w:cs="Times New Roman"/>
                        <w:sz w:val="14"/>
                        <w:szCs w:val="14"/>
                      </w:rPr>
                    </w:pPr>
                    <w:r>
                      <w:rPr>
                        <w:rFonts w:ascii="Times New Roman" w:hAnsi="Times New Roman" w:eastAsia="Times New Roman" w:cs="Times New Roman"/>
                        <w:spacing w:val="-4"/>
                        <w:sz w:val="14"/>
                        <w:szCs w:val="14"/>
                      </w:rPr>
                      <w:t>1200</w:t>
                    </w:r>
                  </w:p>
                  <w:p w14:paraId="4F07B412">
                    <w:pPr>
                      <w:spacing w:before="38" w:line="218" w:lineRule="auto"/>
                      <w:ind w:left="4052" w:right="20"/>
                      <w:rPr>
                        <w:rFonts w:ascii="宋体" w:hAnsi="宋体" w:eastAsia="宋体" w:cs="宋体"/>
                        <w:sz w:val="20"/>
                        <w:szCs w:val="20"/>
                      </w:rPr>
                    </w:pPr>
                    <w:r>
                      <w:rPr>
                        <w:rFonts w:ascii="宋体" w:hAnsi="宋体" w:eastAsia="宋体" w:cs="宋体"/>
                        <w:b/>
                        <w:bCs/>
                        <w:spacing w:val="-21"/>
                        <w:w w:val="94"/>
                        <w:sz w:val="20"/>
                        <w:szCs w:val="20"/>
                      </w:rPr>
                      <w:t>长江以南地区</w:t>
                    </w:r>
                    <w:r>
                      <w:rPr>
                        <w:rFonts w:ascii="宋体" w:hAnsi="宋体" w:eastAsia="宋体" w:cs="宋体"/>
                        <w:spacing w:val="4"/>
                        <w:sz w:val="20"/>
                        <w:szCs w:val="20"/>
                      </w:rPr>
                      <w:t xml:space="preserve"> </w:t>
                    </w:r>
                    <w:r>
                      <w:rPr>
                        <w:rFonts w:ascii="宋体" w:hAnsi="宋体" w:eastAsia="宋体" w:cs="宋体"/>
                        <w:b/>
                        <w:bCs/>
                        <w:spacing w:val="-21"/>
                        <w:w w:val="94"/>
                        <w:sz w:val="20"/>
                        <w:szCs w:val="20"/>
                      </w:rPr>
                      <w:t>长江以北地区</w:t>
                    </w:r>
                  </w:p>
                  <w:p w14:paraId="1C22F047">
                    <w:pPr>
                      <w:spacing w:line="361" w:lineRule="auto"/>
                      <w:rPr>
                        <w:rFonts w:ascii="Arial"/>
                        <w:sz w:val="21"/>
                      </w:rPr>
                    </w:pPr>
                  </w:p>
                  <w:p w14:paraId="5E972D23">
                    <w:pPr>
                      <w:spacing w:before="40" w:line="188" w:lineRule="auto"/>
                      <w:ind w:left="119"/>
                      <w:rPr>
                        <w:rFonts w:ascii="Times New Roman" w:hAnsi="Times New Roman" w:eastAsia="Times New Roman" w:cs="Times New Roman"/>
                        <w:sz w:val="14"/>
                        <w:szCs w:val="14"/>
                      </w:rPr>
                    </w:pPr>
                    <w:r>
                      <w:rPr>
                        <w:rFonts w:ascii="Times New Roman" w:hAnsi="Times New Roman" w:eastAsia="Times New Roman" w:cs="Times New Roman"/>
                        <w:spacing w:val="-2"/>
                        <w:sz w:val="14"/>
                        <w:szCs w:val="14"/>
                      </w:rPr>
                      <w:t>800</w:t>
                    </w:r>
                  </w:p>
                  <w:p w14:paraId="1A1EA846">
                    <w:pPr>
                      <w:spacing w:line="341" w:lineRule="auto"/>
                      <w:rPr>
                        <w:rFonts w:ascii="Arial"/>
                        <w:sz w:val="21"/>
                      </w:rPr>
                    </w:pPr>
                  </w:p>
                  <w:p w14:paraId="102E28FE">
                    <w:pPr>
                      <w:spacing w:before="40" w:line="188" w:lineRule="auto"/>
                      <w:ind w:left="119"/>
                      <w:rPr>
                        <w:rFonts w:ascii="Times New Roman" w:hAnsi="Times New Roman" w:eastAsia="Times New Roman" w:cs="Times New Roman"/>
                        <w:sz w:val="14"/>
                        <w:szCs w:val="14"/>
                      </w:rPr>
                    </w:pPr>
                    <w:r>
                      <w:rPr>
                        <w:rFonts w:ascii="Times New Roman" w:hAnsi="Times New Roman" w:eastAsia="Times New Roman" w:cs="Times New Roman"/>
                        <w:spacing w:val="-2"/>
                        <w:sz w:val="14"/>
                        <w:szCs w:val="14"/>
                      </w:rPr>
                      <w:t>600</w:t>
                    </w:r>
                  </w:p>
                  <w:p w14:paraId="26001FE3">
                    <w:pPr>
                      <w:spacing w:line="361" w:lineRule="auto"/>
                      <w:rPr>
                        <w:rFonts w:ascii="Arial"/>
                        <w:sz w:val="21"/>
                      </w:rPr>
                    </w:pPr>
                  </w:p>
                  <w:p w14:paraId="0EBABF56">
                    <w:pPr>
                      <w:spacing w:before="40" w:line="188" w:lineRule="auto"/>
                      <w:ind w:left="119"/>
                      <w:rPr>
                        <w:rFonts w:ascii="Times New Roman" w:hAnsi="Times New Roman" w:eastAsia="Times New Roman" w:cs="Times New Roman"/>
                        <w:sz w:val="14"/>
                        <w:szCs w:val="14"/>
                      </w:rPr>
                    </w:pPr>
                    <w:r>
                      <w:rPr>
                        <w:rFonts w:ascii="Times New Roman" w:hAnsi="Times New Roman" w:eastAsia="Times New Roman" w:cs="Times New Roman"/>
                        <w:spacing w:val="-1"/>
                        <w:sz w:val="14"/>
                        <w:szCs w:val="14"/>
                      </w:rPr>
                      <w:t>400</w:t>
                    </w:r>
                  </w:p>
                  <w:p w14:paraId="348215EC">
                    <w:pPr>
                      <w:spacing w:line="351" w:lineRule="auto"/>
                      <w:rPr>
                        <w:rFonts w:ascii="Arial"/>
                        <w:sz w:val="21"/>
                      </w:rPr>
                    </w:pPr>
                  </w:p>
                  <w:p w14:paraId="232A8BA7">
                    <w:pPr>
                      <w:spacing w:before="40" w:line="188" w:lineRule="auto"/>
                      <w:ind w:left="119"/>
                      <w:rPr>
                        <w:rFonts w:ascii="Times New Roman" w:hAnsi="Times New Roman" w:eastAsia="Times New Roman" w:cs="Times New Roman"/>
                        <w:sz w:val="14"/>
                        <w:szCs w:val="14"/>
                      </w:rPr>
                    </w:pPr>
                    <w:r>
                      <w:rPr>
                        <w:rFonts w:ascii="Times New Roman" w:hAnsi="Times New Roman" w:eastAsia="Times New Roman" w:cs="Times New Roman"/>
                        <w:spacing w:val="-1"/>
                        <w:sz w:val="14"/>
                        <w:szCs w:val="14"/>
                      </w:rPr>
                      <w:t>200</w:t>
                    </w:r>
                  </w:p>
                  <w:p w14:paraId="700FBD8E">
                    <w:pPr>
                      <w:spacing w:line="351" w:lineRule="auto"/>
                      <w:rPr>
                        <w:rFonts w:ascii="Arial"/>
                        <w:sz w:val="21"/>
                      </w:rPr>
                    </w:pPr>
                  </w:p>
                  <w:p w14:paraId="7E752021">
                    <w:pPr>
                      <w:spacing w:before="41" w:line="188" w:lineRule="auto"/>
                      <w:ind w:left="290"/>
                      <w:rPr>
                        <w:rFonts w:ascii="Times New Roman" w:hAnsi="Times New Roman" w:eastAsia="Times New Roman" w:cs="Times New Roman"/>
                        <w:sz w:val="14"/>
                        <w:szCs w:val="14"/>
                      </w:rPr>
                    </w:pPr>
                    <w:r>
                      <w:rPr>
                        <w:rFonts w:ascii="Times New Roman" w:hAnsi="Times New Roman" w:eastAsia="Times New Roman" w:cs="Times New Roman"/>
                        <w:sz w:val="14"/>
                        <w:szCs w:val="14"/>
                      </w:rPr>
                      <w:t>0</w:t>
                    </w:r>
                  </w:p>
                  <w:p w14:paraId="4F63E3B6">
                    <w:pPr>
                      <w:spacing w:before="84" w:line="188" w:lineRule="auto"/>
                      <w:ind w:left="499"/>
                      <w:rPr>
                        <w:rFonts w:ascii="Times New Roman" w:hAnsi="Times New Roman" w:eastAsia="Times New Roman" w:cs="Times New Roman"/>
                        <w:sz w:val="14"/>
                        <w:szCs w:val="14"/>
                      </w:rPr>
                    </w:pPr>
                    <w:r>
                      <w:rPr>
                        <w:rFonts w:ascii="Times New Roman" w:hAnsi="Times New Roman" w:eastAsia="Times New Roman" w:cs="Times New Roman"/>
                        <w:sz w:val="14"/>
                        <w:szCs w:val="14"/>
                      </w:rPr>
                      <w:t>2008200920102011201220132014201520162017</w:t>
                    </w:r>
                    <w:r>
                      <w:rPr>
                        <w:rFonts w:ascii="Times New Roman" w:hAnsi="Times New Roman" w:eastAsia="Times New Roman" w:cs="Times New Roman"/>
                        <w:spacing w:val="-1"/>
                        <w:sz w:val="14"/>
                        <w:szCs w:val="14"/>
                      </w:rPr>
                      <w:t>2018</w:t>
                    </w:r>
                  </w:p>
                </w:txbxContent>
              </v:textbox>
            </v:shape>
            <v:shape id="_x0000_s1044" o:spid="_x0000_s1044" o:spt="202" type="#_x0000_t202" style="position:absolute;left:50;top:552;height:138;width:311;" filled="f" stroked="f" coordsize="21600,21600">
              <v:path/>
              <v:fill on="f" focussize="0,0"/>
              <v:stroke on="f"/>
              <v:imagedata o:title=""/>
              <o:lock v:ext="edit" aspectratio="f"/>
              <v:textbox inset="0mm,0mm,0mm,0mm">
                <w:txbxContent>
                  <w:p w14:paraId="70B66533">
                    <w:pPr>
                      <w:spacing w:before="20" w:line="188" w:lineRule="auto"/>
                      <w:ind w:left="20"/>
                      <w:rPr>
                        <w:rFonts w:ascii="Times New Roman" w:hAnsi="Times New Roman" w:eastAsia="Times New Roman" w:cs="Times New Roman"/>
                        <w:sz w:val="14"/>
                        <w:szCs w:val="14"/>
                      </w:rPr>
                    </w:pPr>
                    <w:r>
                      <w:rPr>
                        <w:rFonts w:ascii="Times New Roman" w:hAnsi="Times New Roman" w:eastAsia="Times New Roman" w:cs="Times New Roman"/>
                        <w:b/>
                        <w:bCs/>
                        <w:spacing w:val="-2"/>
                        <w:sz w:val="14"/>
                        <w:szCs w:val="14"/>
                      </w:rPr>
                      <w:t>1000</w:t>
                    </w:r>
                  </w:p>
                </w:txbxContent>
              </v:textbox>
            </v:shape>
            <v:shape id="_x0000_s1045" o:spid="_x0000_s1045" o:spt="202" type="#_x0000_t202" style="position:absolute;left:3570;top:522;height:49;width:534;" filled="f" stroked="f" coordsize="21600,21600">
              <v:path/>
              <v:fill on="f" focussize="0,0"/>
              <v:stroke on="f"/>
              <v:imagedata o:title=""/>
              <o:lock v:ext="edit" aspectratio="f"/>
              <v:textbox inset="0mm,0mm,0mm,0mm">
                <w:txbxContent>
                  <w:p w14:paraId="14C9E668">
                    <w:pPr>
                      <w:spacing w:before="20" w:line="135" w:lineRule="exact"/>
                      <w:ind w:left="20"/>
                      <w:rPr>
                        <w:rFonts w:ascii="宋体" w:hAnsi="宋体" w:eastAsia="宋体" w:cs="宋体"/>
                        <w:sz w:val="20"/>
                        <w:szCs w:val="20"/>
                      </w:rPr>
                    </w:pPr>
                    <w:r>
                      <w:rPr>
                        <w:rFonts w:ascii="宋体" w:hAnsi="宋体" w:eastAsia="宋体" w:cs="宋体"/>
                        <w:spacing w:val="-1"/>
                        <w:position w:val="-3"/>
                        <w:sz w:val="20"/>
                        <w:szCs w:val="20"/>
                      </w:rPr>
                      <w:t>-----</w:t>
                    </w:r>
                  </w:p>
                </w:txbxContent>
              </v:textbox>
            </v:shape>
            <v:shape id="_x0000_s1046" o:spid="_x0000_s1046" o:spt="202" type="#_x0000_t202" style="position:absolute;left:3580;top:291;height:49;width:434;" filled="f" stroked="f" coordsize="21600,21600">
              <v:path/>
              <v:fill on="f" focussize="0,0"/>
              <v:stroke on="f"/>
              <v:imagedata o:title=""/>
              <o:lock v:ext="edit" aspectratio="f"/>
              <v:textbox inset="0mm,0mm,0mm,0mm">
                <w:txbxContent>
                  <w:p w14:paraId="6C5FE50F">
                    <w:pPr>
                      <w:spacing w:before="20" w:line="135" w:lineRule="exact"/>
                      <w:ind w:left="20"/>
                      <w:rPr>
                        <w:rFonts w:ascii="宋体" w:hAnsi="宋体" w:eastAsia="宋体" w:cs="宋体"/>
                        <w:sz w:val="20"/>
                        <w:szCs w:val="20"/>
                      </w:rPr>
                    </w:pPr>
                    <w:r>
                      <w:rPr>
                        <w:rFonts w:ascii="宋体" w:hAnsi="宋体" w:eastAsia="宋体" w:cs="宋体"/>
                        <w:spacing w:val="-2"/>
                        <w:position w:val="-3"/>
                        <w:sz w:val="20"/>
                        <w:szCs w:val="20"/>
                      </w:rPr>
                      <w:t>——</w:t>
                    </w:r>
                  </w:p>
                </w:txbxContent>
              </v:textbox>
            </v:shape>
            <w10:wrap type="none"/>
            <w10:anchorlock/>
          </v:group>
        </w:pict>
      </w:r>
    </w:p>
    <w:p w14:paraId="00009C2E">
      <w:pPr>
        <w:spacing w:before="48" w:line="219" w:lineRule="auto"/>
        <w:ind w:left="5340"/>
        <w:rPr>
          <w:rFonts w:ascii="宋体" w:hAnsi="宋体" w:eastAsia="宋体" w:cs="宋体"/>
          <w:sz w:val="20"/>
          <w:szCs w:val="20"/>
        </w:rPr>
      </w:pPr>
      <w:r>
        <w:rPr>
          <w:rFonts w:ascii="宋体" w:hAnsi="宋体" w:eastAsia="宋体" w:cs="宋体"/>
          <w:spacing w:val="-14"/>
          <w:sz w:val="20"/>
          <w:szCs w:val="20"/>
        </w:rPr>
        <w:t>年份</w:t>
      </w:r>
    </w:p>
    <w:p w14:paraId="2B3079F0">
      <w:pPr>
        <w:spacing w:before="202" w:line="219" w:lineRule="auto"/>
        <w:ind w:left="3329"/>
        <w:rPr>
          <w:rFonts w:ascii="宋体" w:hAnsi="宋体" w:eastAsia="宋体" w:cs="宋体"/>
          <w:sz w:val="20"/>
          <w:szCs w:val="20"/>
        </w:rPr>
      </w:pPr>
      <w:r>
        <w:rPr>
          <w:rFonts w:ascii="宋体" w:hAnsi="宋体" w:eastAsia="宋体" w:cs="宋体"/>
          <w:spacing w:val="5"/>
          <w:sz w:val="20"/>
          <w:szCs w:val="20"/>
        </w:rPr>
        <w:t>图2-72008—2018年我国乙脑新发病例数</w:t>
      </w:r>
    </w:p>
    <w:p w14:paraId="57DE409F">
      <w:pPr>
        <w:spacing w:before="29" w:line="216" w:lineRule="auto"/>
        <w:ind w:left="4140"/>
        <w:rPr>
          <w:rFonts w:ascii="宋体" w:hAnsi="宋体" w:eastAsia="宋体" w:cs="宋体"/>
          <w:sz w:val="20"/>
          <w:szCs w:val="20"/>
        </w:rPr>
      </w:pPr>
      <w:r>
        <w:rPr>
          <w:rFonts w:ascii="宋体" w:hAnsi="宋体" w:eastAsia="宋体" w:cs="宋体"/>
          <w:spacing w:val="-4"/>
          <w:sz w:val="20"/>
          <w:szCs w:val="20"/>
        </w:rPr>
        <w:t>(改编自中国CDC,2020)</w:t>
      </w:r>
    </w:p>
    <w:p w14:paraId="2304345E">
      <w:pPr>
        <w:spacing w:line="352" w:lineRule="auto"/>
        <w:rPr>
          <w:rFonts w:ascii="Arial"/>
          <w:sz w:val="21"/>
        </w:rPr>
      </w:pPr>
    </w:p>
    <w:p w14:paraId="2E2580E9">
      <w:pPr>
        <w:spacing w:before="66" w:line="350" w:lineRule="auto"/>
        <w:ind w:left="729" w:right="14" w:firstLine="420"/>
        <w:rPr>
          <w:rFonts w:ascii="宋体" w:hAnsi="宋体" w:eastAsia="宋体" w:cs="宋体"/>
          <w:sz w:val="20"/>
          <w:szCs w:val="20"/>
        </w:rPr>
      </w:pPr>
      <w:r>
        <w:rPr>
          <w:rFonts w:ascii="宋体" w:hAnsi="宋体" w:eastAsia="宋体" w:cs="宋体"/>
          <w:spacing w:val="5"/>
          <w:sz w:val="20"/>
          <w:szCs w:val="20"/>
        </w:rPr>
        <w:t>了解并分析疾病的周期性变化规律，对探讨致病因素、预测流行趋势、制定防制对策具有重要</w:t>
      </w:r>
      <w:r>
        <w:rPr>
          <w:rFonts w:ascii="宋体" w:hAnsi="宋体" w:eastAsia="宋体" w:cs="宋体"/>
          <w:spacing w:val="13"/>
          <w:sz w:val="20"/>
          <w:szCs w:val="20"/>
        </w:rPr>
        <w:t xml:space="preserve"> </w:t>
      </w:r>
      <w:r>
        <w:rPr>
          <w:rFonts w:ascii="宋体" w:hAnsi="宋体" w:eastAsia="宋体" w:cs="宋体"/>
          <w:spacing w:val="6"/>
          <w:sz w:val="20"/>
          <w:szCs w:val="20"/>
        </w:rPr>
        <w:t>的意义。影响疾病周期性及间隔时间的常见</w:t>
      </w:r>
      <w:r>
        <w:rPr>
          <w:rFonts w:ascii="宋体" w:hAnsi="宋体" w:eastAsia="宋体" w:cs="宋体"/>
          <w:spacing w:val="5"/>
          <w:sz w:val="20"/>
          <w:szCs w:val="20"/>
        </w:rPr>
        <w:t>原因包括：</w:t>
      </w:r>
    </w:p>
    <w:p w14:paraId="15E08BED">
      <w:pPr>
        <w:spacing w:before="2" w:line="289" w:lineRule="auto"/>
        <w:ind w:left="729" w:right="14" w:firstLine="420"/>
        <w:rPr>
          <w:rFonts w:ascii="宋体" w:hAnsi="宋体" w:eastAsia="宋体" w:cs="宋体"/>
          <w:sz w:val="20"/>
          <w:szCs w:val="20"/>
        </w:rPr>
      </w:pPr>
      <w:r>
        <w:rPr>
          <w:rFonts w:ascii="宋体" w:hAnsi="宋体" w:eastAsia="宋体" w:cs="宋体"/>
          <w:spacing w:val="9"/>
          <w:sz w:val="20"/>
          <w:szCs w:val="20"/>
        </w:rPr>
        <w:t>1.</w:t>
      </w:r>
      <w:r>
        <w:rPr>
          <w:rFonts w:ascii="宋体" w:hAnsi="宋体" w:eastAsia="宋体" w:cs="宋体"/>
          <w:spacing w:val="-47"/>
          <w:sz w:val="20"/>
          <w:szCs w:val="20"/>
        </w:rPr>
        <w:t xml:space="preserve"> </w:t>
      </w:r>
      <w:r>
        <w:rPr>
          <w:rFonts w:ascii="宋体" w:hAnsi="宋体" w:eastAsia="宋体" w:cs="宋体"/>
          <w:spacing w:val="9"/>
          <w:sz w:val="20"/>
          <w:szCs w:val="20"/>
        </w:rPr>
        <w:t>人口密集、交通拥挤和卫生条件差等因素利于疾病的传播。当有传染源和足够数</w:t>
      </w:r>
      <w:r>
        <w:rPr>
          <w:rFonts w:ascii="宋体" w:hAnsi="宋体" w:eastAsia="宋体" w:cs="宋体"/>
          <w:spacing w:val="8"/>
          <w:sz w:val="20"/>
          <w:szCs w:val="20"/>
        </w:rPr>
        <w:t>量的易感</w:t>
      </w:r>
      <w:r>
        <w:rPr>
          <w:rFonts w:ascii="宋体" w:hAnsi="宋体" w:eastAsia="宋体" w:cs="宋体"/>
          <w:sz w:val="20"/>
          <w:szCs w:val="20"/>
        </w:rPr>
        <w:t xml:space="preserve"> </w:t>
      </w:r>
      <w:r>
        <w:rPr>
          <w:rFonts w:ascii="宋体" w:hAnsi="宋体" w:eastAsia="宋体" w:cs="宋体"/>
          <w:spacing w:val="1"/>
          <w:sz w:val="20"/>
          <w:szCs w:val="20"/>
        </w:rPr>
        <w:t>者存在，又无有效的预防措施时，其流行特征呈</w:t>
      </w:r>
      <w:r>
        <w:rPr>
          <w:rFonts w:ascii="宋体" w:hAnsi="宋体" w:eastAsia="宋体" w:cs="宋体"/>
          <w:sz w:val="20"/>
          <w:szCs w:val="20"/>
        </w:rPr>
        <w:t>现一定的周期性。</w:t>
      </w:r>
    </w:p>
    <w:p w14:paraId="2B2938B3">
      <w:pPr>
        <w:spacing w:before="121" w:line="294" w:lineRule="auto"/>
        <w:ind w:left="729" w:right="8" w:firstLine="420"/>
        <w:rPr>
          <w:rFonts w:ascii="宋体" w:hAnsi="宋体" w:eastAsia="宋体" w:cs="宋体"/>
          <w:sz w:val="20"/>
          <w:szCs w:val="20"/>
        </w:rPr>
      </w:pPr>
      <w:r>
        <w:rPr>
          <w:rFonts w:ascii="宋体" w:hAnsi="宋体" w:eastAsia="宋体" w:cs="宋体"/>
          <w:spacing w:val="4"/>
          <w:sz w:val="20"/>
          <w:szCs w:val="20"/>
        </w:rPr>
        <w:t>2.</w:t>
      </w:r>
      <w:r>
        <w:rPr>
          <w:rFonts w:ascii="宋体" w:hAnsi="宋体" w:eastAsia="宋体" w:cs="宋体"/>
          <w:spacing w:val="-44"/>
          <w:sz w:val="20"/>
          <w:szCs w:val="20"/>
        </w:rPr>
        <w:t xml:space="preserve"> </w:t>
      </w:r>
      <w:r>
        <w:rPr>
          <w:rFonts w:ascii="宋体" w:hAnsi="宋体" w:eastAsia="宋体" w:cs="宋体"/>
          <w:spacing w:val="4"/>
          <w:sz w:val="20"/>
          <w:szCs w:val="20"/>
        </w:rPr>
        <w:t>传播机制容易实现的疾病，当易感者积累到足够数量时便可迅速传播。而疾病流行后，新的</w:t>
      </w:r>
      <w:r>
        <w:rPr>
          <w:rFonts w:ascii="宋体" w:hAnsi="宋体" w:eastAsia="宋体" w:cs="宋体"/>
          <w:sz w:val="20"/>
          <w:szCs w:val="20"/>
        </w:rPr>
        <w:t xml:space="preserve"> 易感者积累的速度，特别是新生儿的增加，会影响疾病周期间隔的时间，累积速度越快，间隔越短。</w:t>
      </w:r>
    </w:p>
    <w:p w14:paraId="223B78E8">
      <w:pPr>
        <w:spacing w:before="124" w:line="286" w:lineRule="auto"/>
        <w:ind w:left="729" w:right="4" w:firstLine="420"/>
        <w:rPr>
          <w:rFonts w:ascii="宋体" w:hAnsi="宋体" w:eastAsia="宋体" w:cs="宋体"/>
          <w:sz w:val="20"/>
          <w:szCs w:val="20"/>
        </w:rPr>
      </w:pPr>
      <w:r>
        <w:rPr>
          <w:rFonts w:ascii="宋体" w:hAnsi="宋体" w:eastAsia="宋体" w:cs="宋体"/>
          <w:spacing w:val="3"/>
          <w:sz w:val="20"/>
          <w:szCs w:val="20"/>
        </w:rPr>
        <w:t>3.</w:t>
      </w:r>
      <w:r>
        <w:rPr>
          <w:rFonts w:ascii="宋体" w:hAnsi="宋体" w:eastAsia="宋体" w:cs="宋体"/>
          <w:spacing w:val="-49"/>
          <w:sz w:val="20"/>
          <w:szCs w:val="20"/>
        </w:rPr>
        <w:t xml:space="preserve"> </w:t>
      </w:r>
      <w:r>
        <w:rPr>
          <w:rFonts w:ascii="宋体" w:hAnsi="宋体" w:eastAsia="宋体" w:cs="宋体"/>
          <w:spacing w:val="3"/>
          <w:sz w:val="20"/>
          <w:szCs w:val="20"/>
        </w:rPr>
        <w:t>病后可形成稳固免疫的疾病，</w:t>
      </w:r>
      <w:r>
        <w:rPr>
          <w:rFonts w:ascii="宋体" w:hAnsi="宋体" w:eastAsia="宋体" w:cs="宋体"/>
          <w:spacing w:val="-30"/>
          <w:sz w:val="20"/>
          <w:szCs w:val="20"/>
        </w:rPr>
        <w:t xml:space="preserve"> </w:t>
      </w:r>
      <w:r>
        <w:rPr>
          <w:rFonts w:ascii="宋体" w:hAnsi="宋体" w:eastAsia="宋体" w:cs="宋体"/>
          <w:spacing w:val="3"/>
          <w:sz w:val="20"/>
          <w:szCs w:val="20"/>
        </w:rPr>
        <w:t>一度流行后发病率</w:t>
      </w:r>
      <w:r>
        <w:rPr>
          <w:rFonts w:ascii="宋体" w:hAnsi="宋体" w:eastAsia="宋体" w:cs="宋体"/>
          <w:spacing w:val="2"/>
          <w:sz w:val="20"/>
          <w:szCs w:val="20"/>
        </w:rPr>
        <w:t>可迅速下降，流行后人群免疫水平持续时间</w:t>
      </w:r>
      <w:r>
        <w:rPr>
          <w:rFonts w:ascii="宋体" w:hAnsi="宋体" w:eastAsia="宋体" w:cs="宋体"/>
          <w:sz w:val="20"/>
          <w:szCs w:val="20"/>
        </w:rPr>
        <w:t xml:space="preserve"> </w:t>
      </w:r>
      <w:r>
        <w:rPr>
          <w:rFonts w:ascii="宋体" w:hAnsi="宋体" w:eastAsia="宋体" w:cs="宋体"/>
          <w:spacing w:val="-1"/>
          <w:sz w:val="20"/>
          <w:szCs w:val="20"/>
        </w:rPr>
        <w:t>越久，周期间隔越长。</w:t>
      </w:r>
    </w:p>
    <w:p w14:paraId="6E08CA38">
      <w:pPr>
        <w:spacing w:before="111" w:line="294" w:lineRule="auto"/>
        <w:ind w:left="729" w:right="14" w:firstLine="420"/>
        <w:rPr>
          <w:rFonts w:ascii="宋体" w:hAnsi="宋体" w:eastAsia="宋体" w:cs="宋体"/>
          <w:sz w:val="20"/>
          <w:szCs w:val="20"/>
        </w:rPr>
      </w:pPr>
      <w:r>
        <w:rPr>
          <w:rFonts w:ascii="宋体" w:hAnsi="宋体" w:eastAsia="宋体" w:cs="宋体"/>
          <w:spacing w:val="14"/>
          <w:sz w:val="20"/>
          <w:szCs w:val="20"/>
        </w:rPr>
        <w:t>4.</w:t>
      </w:r>
      <w:r>
        <w:rPr>
          <w:rFonts w:ascii="宋体" w:hAnsi="宋体" w:eastAsia="宋体" w:cs="宋体"/>
          <w:spacing w:val="-24"/>
          <w:sz w:val="20"/>
          <w:szCs w:val="20"/>
        </w:rPr>
        <w:t xml:space="preserve"> </w:t>
      </w:r>
      <w:r>
        <w:rPr>
          <w:rFonts w:ascii="宋体" w:hAnsi="宋体" w:eastAsia="宋体" w:cs="宋体"/>
          <w:spacing w:val="14"/>
          <w:sz w:val="20"/>
          <w:szCs w:val="20"/>
        </w:rPr>
        <w:t>周期性的发生还取决于病原体变异及其变异的</w:t>
      </w:r>
      <w:r>
        <w:rPr>
          <w:rFonts w:ascii="宋体" w:hAnsi="宋体" w:eastAsia="宋体" w:cs="宋体"/>
          <w:spacing w:val="13"/>
          <w:sz w:val="20"/>
          <w:szCs w:val="20"/>
        </w:rPr>
        <w:t>速度，这是影响疾病周期间隔时间的重要</w:t>
      </w:r>
      <w:r>
        <w:rPr>
          <w:rFonts w:ascii="宋体" w:hAnsi="宋体" w:eastAsia="宋体" w:cs="宋体"/>
          <w:sz w:val="20"/>
          <w:szCs w:val="20"/>
        </w:rPr>
        <w:t xml:space="preserve"> </w:t>
      </w:r>
      <w:r>
        <w:rPr>
          <w:rFonts w:ascii="宋体" w:hAnsi="宋体" w:eastAsia="宋体" w:cs="宋体"/>
          <w:spacing w:val="6"/>
          <w:sz w:val="20"/>
          <w:szCs w:val="20"/>
        </w:rPr>
        <w:t>因素。</w:t>
      </w:r>
    </w:p>
    <w:p w14:paraId="676B97A4">
      <w:pPr>
        <w:pStyle w:val="2"/>
        <w:spacing w:before="174" w:line="224" w:lineRule="auto"/>
        <w:ind w:left="1150"/>
        <w:rPr>
          <w:sz w:val="20"/>
          <w:szCs w:val="20"/>
        </w:rPr>
      </w:pPr>
      <w:r>
        <w:rPr>
          <w:spacing w:val="31"/>
          <w:sz w:val="20"/>
          <w:szCs w:val="20"/>
        </w:rPr>
        <w:t>(四)长期趋势</w:t>
      </w:r>
    </w:p>
    <w:p w14:paraId="75C2B3EF">
      <w:pPr>
        <w:spacing w:before="42" w:line="355" w:lineRule="auto"/>
        <w:ind w:left="729" w:firstLine="420"/>
        <w:jc w:val="both"/>
        <w:rPr>
          <w:rFonts w:ascii="宋体" w:hAnsi="宋体" w:eastAsia="宋体" w:cs="宋体"/>
          <w:sz w:val="20"/>
          <w:szCs w:val="20"/>
        </w:rPr>
      </w:pPr>
      <w:r>
        <w:rPr>
          <w:rFonts w:ascii="宋体" w:hAnsi="宋体" w:eastAsia="宋体" w:cs="宋体"/>
          <w:spacing w:val="7"/>
          <w:sz w:val="20"/>
          <w:szCs w:val="20"/>
        </w:rPr>
        <w:t>长期趋势</w:t>
      </w:r>
      <w:r>
        <w:rPr>
          <w:rFonts w:ascii="Times New Roman" w:hAnsi="Times New Roman" w:eastAsia="Times New Roman" w:cs="Times New Roman"/>
          <w:spacing w:val="7"/>
          <w:sz w:val="20"/>
          <w:szCs w:val="20"/>
        </w:rPr>
        <w:t>(</w:t>
      </w:r>
      <w:r>
        <w:rPr>
          <w:rFonts w:ascii="Times New Roman" w:hAnsi="Times New Roman" w:eastAsia="Times New Roman" w:cs="Times New Roman"/>
          <w:sz w:val="20"/>
          <w:szCs w:val="20"/>
        </w:rPr>
        <w:t>secular</w:t>
      </w:r>
      <w:r>
        <w:rPr>
          <w:rFonts w:ascii="Times New Roman" w:hAnsi="Times New Roman" w:eastAsia="Times New Roman" w:cs="Times New Roman"/>
          <w:spacing w:val="7"/>
          <w:sz w:val="20"/>
          <w:szCs w:val="20"/>
        </w:rPr>
        <w:t xml:space="preserve">    </w:t>
      </w:r>
      <w:r>
        <w:rPr>
          <w:rFonts w:ascii="Times New Roman" w:hAnsi="Times New Roman" w:eastAsia="Times New Roman" w:cs="Times New Roman"/>
          <w:sz w:val="20"/>
          <w:szCs w:val="20"/>
        </w:rPr>
        <w:t>trend</w:t>
      </w:r>
      <w:r>
        <w:rPr>
          <w:rFonts w:ascii="Times New Roman" w:hAnsi="Times New Roman" w:eastAsia="Times New Roman" w:cs="Times New Roman"/>
          <w:spacing w:val="7"/>
          <w:sz w:val="20"/>
          <w:szCs w:val="20"/>
        </w:rPr>
        <w:t>)</w:t>
      </w:r>
      <w:r>
        <w:rPr>
          <w:rFonts w:ascii="宋体" w:hAnsi="宋体" w:eastAsia="宋体" w:cs="宋体"/>
          <w:spacing w:val="7"/>
          <w:sz w:val="20"/>
          <w:szCs w:val="20"/>
        </w:rPr>
        <w:t>也称长期变动</w:t>
      </w:r>
      <w:r>
        <w:rPr>
          <w:rFonts w:ascii="Times New Roman" w:hAnsi="Times New Roman" w:eastAsia="Times New Roman" w:cs="Times New Roman"/>
          <w:spacing w:val="7"/>
          <w:sz w:val="20"/>
          <w:szCs w:val="20"/>
        </w:rPr>
        <w:t>(</w:t>
      </w:r>
      <w:r>
        <w:rPr>
          <w:rFonts w:ascii="Times New Roman" w:hAnsi="Times New Roman" w:eastAsia="Times New Roman" w:cs="Times New Roman"/>
          <w:sz w:val="20"/>
          <w:szCs w:val="20"/>
        </w:rPr>
        <w:t>secular</w:t>
      </w:r>
      <w:r>
        <w:rPr>
          <w:rFonts w:ascii="Times New Roman" w:hAnsi="Times New Roman" w:eastAsia="Times New Roman" w:cs="Times New Roman"/>
          <w:spacing w:val="7"/>
          <w:sz w:val="20"/>
          <w:szCs w:val="20"/>
        </w:rPr>
        <w:t xml:space="preserve">      </w:t>
      </w:r>
      <w:r>
        <w:rPr>
          <w:rFonts w:ascii="Times New Roman" w:hAnsi="Times New Roman" w:eastAsia="Times New Roman" w:cs="Times New Roman"/>
          <w:sz w:val="20"/>
          <w:szCs w:val="20"/>
        </w:rPr>
        <w:t>change</w:t>
      </w:r>
      <w:r>
        <w:rPr>
          <w:rFonts w:ascii="Times New Roman" w:hAnsi="Times New Roman" w:eastAsia="Times New Roman" w:cs="Times New Roman"/>
          <w:spacing w:val="7"/>
          <w:sz w:val="20"/>
          <w:szCs w:val="20"/>
        </w:rPr>
        <w:t>),</w:t>
      </w:r>
      <w:r>
        <w:rPr>
          <w:rFonts w:ascii="宋体" w:hAnsi="宋体" w:eastAsia="宋体" w:cs="宋体"/>
          <w:spacing w:val="7"/>
          <w:sz w:val="20"/>
          <w:szCs w:val="20"/>
        </w:rPr>
        <w:t>是指在一个比较长的时间内，通常为</w:t>
      </w:r>
      <w:r>
        <w:rPr>
          <w:rFonts w:ascii="宋体" w:hAnsi="宋体" w:eastAsia="宋体" w:cs="宋体"/>
          <w:spacing w:val="6"/>
          <w:sz w:val="20"/>
          <w:szCs w:val="20"/>
        </w:rPr>
        <w:t xml:space="preserve"> 几年或几十年，疾病的临床表现、分布特征和流行强度等方面发生变化的现象。有些疾</w:t>
      </w:r>
      <w:r>
        <w:rPr>
          <w:rFonts w:ascii="宋体" w:hAnsi="宋体" w:eastAsia="宋体" w:cs="宋体"/>
          <w:spacing w:val="5"/>
          <w:sz w:val="20"/>
          <w:szCs w:val="20"/>
        </w:rPr>
        <w:t>病可表现出</w:t>
      </w:r>
      <w:r>
        <w:rPr>
          <w:rFonts w:ascii="宋体" w:hAnsi="宋体" w:eastAsia="宋体" w:cs="宋体"/>
          <w:sz w:val="20"/>
          <w:szCs w:val="20"/>
        </w:rPr>
        <w:t xml:space="preserve"> </w:t>
      </w:r>
      <w:r>
        <w:rPr>
          <w:rFonts w:ascii="宋体" w:hAnsi="宋体" w:eastAsia="宋体" w:cs="宋体"/>
          <w:spacing w:val="11"/>
          <w:sz w:val="20"/>
          <w:szCs w:val="20"/>
        </w:rPr>
        <w:t>经过几年或几十年发病率或死亡率持续上升或下降的趋势。长期趋</w:t>
      </w:r>
      <w:r>
        <w:rPr>
          <w:rFonts w:ascii="宋体" w:hAnsi="宋体" w:eastAsia="宋体" w:cs="宋体"/>
          <w:spacing w:val="10"/>
          <w:sz w:val="20"/>
          <w:szCs w:val="20"/>
        </w:rPr>
        <w:t>势的主要原因有病因或致病因</w:t>
      </w:r>
      <w:r>
        <w:rPr>
          <w:rFonts w:ascii="宋体" w:hAnsi="宋体" w:eastAsia="宋体" w:cs="宋体"/>
          <w:sz w:val="20"/>
          <w:szCs w:val="20"/>
        </w:rPr>
        <w:t xml:space="preserve"> </w:t>
      </w:r>
      <w:r>
        <w:rPr>
          <w:rFonts w:ascii="宋体" w:hAnsi="宋体" w:eastAsia="宋体" w:cs="宋体"/>
          <w:spacing w:val="6"/>
          <w:sz w:val="20"/>
          <w:szCs w:val="20"/>
        </w:rPr>
        <w:t>素的变化、病原体的变异、机体免疫状况的改</w:t>
      </w:r>
      <w:r>
        <w:rPr>
          <w:rFonts w:ascii="宋体" w:hAnsi="宋体" w:eastAsia="宋体" w:cs="宋体"/>
          <w:spacing w:val="5"/>
          <w:sz w:val="20"/>
          <w:szCs w:val="20"/>
        </w:rPr>
        <w:t>变、医疗和防制水平的提高、报告及登记制度完善程</w:t>
      </w:r>
      <w:r>
        <w:rPr>
          <w:rFonts w:ascii="宋体" w:hAnsi="宋体" w:eastAsia="宋体" w:cs="宋体"/>
          <w:sz w:val="20"/>
          <w:szCs w:val="20"/>
        </w:rPr>
        <w:t xml:space="preserve"> </w:t>
      </w:r>
      <w:r>
        <w:rPr>
          <w:rFonts w:ascii="宋体" w:hAnsi="宋体" w:eastAsia="宋体" w:cs="宋体"/>
          <w:spacing w:val="13"/>
          <w:sz w:val="20"/>
          <w:szCs w:val="20"/>
        </w:rPr>
        <w:t>度等。</w:t>
      </w:r>
    </w:p>
    <w:p w14:paraId="29FB8859">
      <w:pPr>
        <w:spacing w:before="2" w:line="339" w:lineRule="auto"/>
        <w:ind w:left="729" w:right="9" w:firstLine="420"/>
        <w:jc w:val="both"/>
        <w:rPr>
          <w:rFonts w:ascii="宋体" w:hAnsi="宋体" w:eastAsia="宋体" w:cs="宋体"/>
          <w:sz w:val="20"/>
          <w:szCs w:val="20"/>
        </w:rPr>
      </w:pPr>
      <w:r>
        <w:rPr>
          <w:rFonts w:ascii="宋体" w:hAnsi="宋体" w:eastAsia="宋体" w:cs="宋体"/>
          <w:spacing w:val="5"/>
          <w:sz w:val="20"/>
          <w:szCs w:val="20"/>
        </w:rPr>
        <w:t>近百年来，猩红热的发病率与死亡率均有明显下降，重症病人减少</w:t>
      </w:r>
      <w:r>
        <w:rPr>
          <w:rFonts w:ascii="宋体" w:hAnsi="宋体" w:eastAsia="宋体" w:cs="宋体"/>
          <w:spacing w:val="4"/>
          <w:sz w:val="20"/>
          <w:szCs w:val="20"/>
        </w:rPr>
        <w:t>，近20多年来几乎未见死亡</w:t>
      </w:r>
      <w:r>
        <w:rPr>
          <w:rFonts w:ascii="宋体" w:hAnsi="宋体" w:eastAsia="宋体" w:cs="宋体"/>
          <w:sz w:val="20"/>
          <w:szCs w:val="20"/>
        </w:rPr>
        <w:t xml:space="preserve"> </w:t>
      </w:r>
      <w:r>
        <w:rPr>
          <w:rFonts w:ascii="宋体" w:hAnsi="宋体" w:eastAsia="宋体" w:cs="宋体"/>
          <w:spacing w:val="1"/>
          <w:sz w:val="20"/>
          <w:szCs w:val="20"/>
        </w:rPr>
        <w:t>病例。这种变化既与病原体的菌种、毒力、致病力的变异、机体免疫状况有关，也与防制工作采取的</w:t>
      </w:r>
      <w:r>
        <w:rPr>
          <w:rFonts w:ascii="宋体" w:hAnsi="宋体" w:eastAsia="宋体" w:cs="宋体"/>
          <w:sz w:val="20"/>
          <w:szCs w:val="20"/>
        </w:rPr>
        <w:t xml:space="preserve"> </w:t>
      </w:r>
      <w:r>
        <w:rPr>
          <w:rFonts w:ascii="宋体" w:hAnsi="宋体" w:eastAsia="宋体" w:cs="宋体"/>
          <w:spacing w:val="6"/>
          <w:sz w:val="20"/>
          <w:szCs w:val="20"/>
        </w:rPr>
        <w:t>有效预防措施及新治疗方法的应用有关。半个世纪以来</w:t>
      </w:r>
      <w:r>
        <w:rPr>
          <w:rFonts w:ascii="宋体" w:hAnsi="宋体" w:eastAsia="宋体" w:cs="宋体"/>
          <w:spacing w:val="5"/>
          <w:sz w:val="20"/>
          <w:szCs w:val="20"/>
        </w:rPr>
        <w:t>，我国疾病的死因顺位发生了巨大变化，传</w:t>
      </w:r>
      <w:r>
        <w:rPr>
          <w:rFonts w:ascii="宋体" w:hAnsi="宋体" w:eastAsia="宋体" w:cs="宋体"/>
          <w:sz w:val="20"/>
          <w:szCs w:val="20"/>
        </w:rPr>
        <w:t xml:space="preserve"> </w:t>
      </w:r>
      <w:r>
        <w:rPr>
          <w:rFonts w:ascii="宋体" w:hAnsi="宋体" w:eastAsia="宋体" w:cs="宋体"/>
          <w:spacing w:val="11"/>
          <w:sz w:val="20"/>
          <w:szCs w:val="20"/>
        </w:rPr>
        <w:t>染病的死因顺位下降，慢性非传染性疾病占据了前三</w:t>
      </w:r>
      <w:r>
        <w:rPr>
          <w:rFonts w:ascii="宋体" w:hAnsi="宋体" w:eastAsia="宋体" w:cs="宋体"/>
          <w:spacing w:val="10"/>
          <w:sz w:val="20"/>
          <w:szCs w:val="20"/>
        </w:rPr>
        <w:t>位。疾病死亡谱的长期变化趋势反映了疾病</w:t>
      </w:r>
      <w:r>
        <w:rPr>
          <w:rFonts w:ascii="宋体" w:hAnsi="宋体" w:eastAsia="宋体" w:cs="宋体"/>
          <w:sz w:val="20"/>
          <w:szCs w:val="20"/>
        </w:rPr>
        <w:t xml:space="preserve"> </w:t>
      </w:r>
      <w:r>
        <w:rPr>
          <w:rFonts w:ascii="宋体" w:hAnsi="宋体" w:eastAsia="宋体" w:cs="宋体"/>
          <w:spacing w:val="8"/>
          <w:sz w:val="20"/>
          <w:szCs w:val="20"/>
        </w:rPr>
        <w:t>致病因素和防制对策综合作用的结果。</w:t>
      </w:r>
    </w:p>
    <w:p w14:paraId="0CE67DCF">
      <w:pPr>
        <w:spacing w:before="1" w:line="356" w:lineRule="auto"/>
        <w:ind w:left="729" w:right="12" w:firstLine="420"/>
        <w:jc w:val="both"/>
        <w:rPr>
          <w:rFonts w:ascii="宋体" w:hAnsi="宋体" w:eastAsia="宋体" w:cs="宋体"/>
          <w:sz w:val="20"/>
          <w:szCs w:val="20"/>
        </w:rPr>
      </w:pPr>
      <w:r>
        <w:rPr>
          <w:rFonts w:ascii="宋体" w:hAnsi="宋体" w:eastAsia="宋体" w:cs="宋体"/>
          <w:spacing w:val="5"/>
          <w:sz w:val="20"/>
          <w:szCs w:val="20"/>
        </w:rPr>
        <w:t>感染乙型肝炎病毒</w:t>
      </w:r>
      <w:r>
        <w:rPr>
          <w:rFonts w:ascii="Times New Roman" w:hAnsi="Times New Roman" w:eastAsia="Times New Roman" w:cs="Times New Roman"/>
          <w:spacing w:val="5"/>
          <w:sz w:val="20"/>
          <w:szCs w:val="20"/>
        </w:rPr>
        <w:t>(</w:t>
      </w:r>
      <w:r>
        <w:rPr>
          <w:rFonts w:ascii="Times New Roman" w:hAnsi="Times New Roman" w:eastAsia="Times New Roman" w:cs="Times New Roman"/>
          <w:sz w:val="20"/>
          <w:szCs w:val="20"/>
        </w:rPr>
        <w:t>hepatitis</w:t>
      </w:r>
      <w:r>
        <w:rPr>
          <w:rFonts w:ascii="Times New Roman" w:hAnsi="Times New Roman" w:eastAsia="Times New Roman" w:cs="Times New Roman"/>
          <w:spacing w:val="5"/>
          <w:sz w:val="20"/>
          <w:szCs w:val="20"/>
        </w:rPr>
        <w:t xml:space="preserve">   </w:t>
      </w:r>
      <w:r>
        <w:rPr>
          <w:rFonts w:ascii="Times New Roman" w:hAnsi="Times New Roman" w:eastAsia="Times New Roman" w:cs="Times New Roman"/>
          <w:sz w:val="20"/>
          <w:szCs w:val="20"/>
        </w:rPr>
        <w:t>B</w:t>
      </w:r>
      <w:r>
        <w:rPr>
          <w:rFonts w:ascii="Times New Roman" w:hAnsi="Times New Roman" w:eastAsia="Times New Roman" w:cs="Times New Roman"/>
          <w:spacing w:val="4"/>
          <w:sz w:val="20"/>
          <w:szCs w:val="20"/>
        </w:rPr>
        <w:t xml:space="preserve">   </w:t>
      </w:r>
      <w:r>
        <w:rPr>
          <w:rFonts w:ascii="Times New Roman" w:hAnsi="Times New Roman" w:eastAsia="Times New Roman" w:cs="Times New Roman"/>
          <w:sz w:val="20"/>
          <w:szCs w:val="20"/>
        </w:rPr>
        <w:t>virus</w:t>
      </w:r>
      <w:r>
        <w:rPr>
          <w:rFonts w:ascii="Times New Roman" w:hAnsi="Times New Roman" w:eastAsia="Times New Roman" w:cs="Times New Roman"/>
          <w:spacing w:val="5"/>
          <w:sz w:val="20"/>
          <w:szCs w:val="20"/>
        </w:rPr>
        <w:t>,</w:t>
      </w:r>
      <w:r>
        <w:rPr>
          <w:rFonts w:ascii="Times New Roman" w:hAnsi="Times New Roman" w:eastAsia="Times New Roman" w:cs="Times New Roman"/>
          <w:sz w:val="20"/>
          <w:szCs w:val="20"/>
        </w:rPr>
        <w:t>HBV</w:t>
      </w:r>
      <w:r>
        <w:rPr>
          <w:rFonts w:ascii="Times New Roman" w:hAnsi="Times New Roman" w:eastAsia="Times New Roman" w:cs="Times New Roman"/>
          <w:spacing w:val="5"/>
          <w:sz w:val="20"/>
          <w:szCs w:val="20"/>
        </w:rPr>
        <w:t>)</w:t>
      </w:r>
      <w:r>
        <w:rPr>
          <w:rFonts w:ascii="宋体" w:hAnsi="宋体" w:eastAsia="宋体" w:cs="宋体"/>
          <w:spacing w:val="5"/>
          <w:sz w:val="20"/>
          <w:szCs w:val="20"/>
        </w:rPr>
        <w:t>或丙型肝炎病毒</w:t>
      </w:r>
      <w:r>
        <w:rPr>
          <w:rFonts w:ascii="Times New Roman" w:hAnsi="Times New Roman" w:eastAsia="Times New Roman" w:cs="Times New Roman"/>
          <w:spacing w:val="5"/>
          <w:sz w:val="20"/>
          <w:szCs w:val="20"/>
        </w:rPr>
        <w:t>(</w:t>
      </w:r>
      <w:r>
        <w:rPr>
          <w:rFonts w:ascii="Times New Roman" w:hAnsi="Times New Roman" w:eastAsia="Times New Roman" w:cs="Times New Roman"/>
          <w:sz w:val="20"/>
          <w:szCs w:val="20"/>
        </w:rPr>
        <w:t>hepatitis</w:t>
      </w:r>
      <w:r>
        <w:rPr>
          <w:rFonts w:ascii="Times New Roman" w:hAnsi="Times New Roman" w:eastAsia="Times New Roman" w:cs="Times New Roman"/>
          <w:spacing w:val="5"/>
          <w:sz w:val="20"/>
          <w:szCs w:val="20"/>
        </w:rPr>
        <w:t xml:space="preserve">   </w:t>
      </w:r>
      <w:r>
        <w:rPr>
          <w:rFonts w:ascii="Times New Roman" w:hAnsi="Times New Roman" w:eastAsia="Times New Roman" w:cs="Times New Roman"/>
          <w:sz w:val="20"/>
          <w:szCs w:val="20"/>
        </w:rPr>
        <w:t>C</w:t>
      </w:r>
      <w:r>
        <w:rPr>
          <w:rFonts w:ascii="Times New Roman" w:hAnsi="Times New Roman" w:eastAsia="Times New Roman" w:cs="Times New Roman"/>
          <w:spacing w:val="5"/>
          <w:sz w:val="20"/>
          <w:szCs w:val="20"/>
        </w:rPr>
        <w:t xml:space="preserve">   </w:t>
      </w:r>
      <w:r>
        <w:rPr>
          <w:rFonts w:ascii="Times New Roman" w:hAnsi="Times New Roman" w:eastAsia="Times New Roman" w:cs="Times New Roman"/>
          <w:sz w:val="20"/>
          <w:szCs w:val="20"/>
        </w:rPr>
        <w:t>virus</w:t>
      </w:r>
      <w:r>
        <w:rPr>
          <w:rFonts w:ascii="Times New Roman" w:hAnsi="Times New Roman" w:eastAsia="Times New Roman" w:cs="Times New Roman"/>
          <w:spacing w:val="5"/>
          <w:sz w:val="20"/>
          <w:szCs w:val="20"/>
        </w:rPr>
        <w:t>,</w:t>
      </w:r>
      <w:r>
        <w:rPr>
          <w:rFonts w:ascii="Times New Roman" w:hAnsi="Times New Roman" w:eastAsia="Times New Roman" w:cs="Times New Roman"/>
          <w:sz w:val="20"/>
          <w:szCs w:val="20"/>
        </w:rPr>
        <w:t>HCV</w:t>
      </w:r>
      <w:r>
        <w:rPr>
          <w:rFonts w:ascii="Times New Roman" w:hAnsi="Times New Roman" w:eastAsia="Times New Roman" w:cs="Times New Roman"/>
          <w:spacing w:val="5"/>
          <w:sz w:val="20"/>
          <w:szCs w:val="20"/>
        </w:rPr>
        <w:t>)</w:t>
      </w:r>
      <w:r>
        <w:rPr>
          <w:rFonts w:ascii="宋体" w:hAnsi="宋体" w:eastAsia="宋体" w:cs="宋体"/>
          <w:spacing w:val="5"/>
          <w:sz w:val="20"/>
          <w:szCs w:val="20"/>
        </w:rPr>
        <w:t>是我国肝癌</w:t>
      </w:r>
      <w:r>
        <w:rPr>
          <w:rFonts w:ascii="宋体" w:hAnsi="宋体" w:eastAsia="宋体" w:cs="宋体"/>
          <w:spacing w:val="1"/>
          <w:sz w:val="20"/>
          <w:szCs w:val="20"/>
        </w:rPr>
        <w:t xml:space="preserve"> </w:t>
      </w:r>
      <w:r>
        <w:rPr>
          <w:rFonts w:ascii="宋体" w:hAnsi="宋体" w:eastAsia="宋体" w:cs="宋体"/>
          <w:spacing w:val="12"/>
          <w:sz w:val="20"/>
          <w:szCs w:val="20"/>
        </w:rPr>
        <w:t>发病的主要原因，图2-8显示1990—2019年我国</w:t>
      </w:r>
      <w:r>
        <w:rPr>
          <w:rFonts w:ascii="Times New Roman" w:hAnsi="Times New Roman" w:eastAsia="Times New Roman" w:cs="Times New Roman"/>
          <w:sz w:val="20"/>
          <w:szCs w:val="20"/>
        </w:rPr>
        <w:t>HBV</w:t>
      </w:r>
      <w:r>
        <w:rPr>
          <w:rFonts w:ascii="Times New Roman" w:hAnsi="Times New Roman" w:eastAsia="Times New Roman" w:cs="Times New Roman"/>
          <w:spacing w:val="22"/>
          <w:sz w:val="20"/>
          <w:szCs w:val="20"/>
        </w:rPr>
        <w:t xml:space="preserve"> </w:t>
      </w:r>
      <w:r>
        <w:rPr>
          <w:rFonts w:ascii="宋体" w:hAnsi="宋体" w:eastAsia="宋体" w:cs="宋体"/>
          <w:spacing w:val="12"/>
          <w:sz w:val="20"/>
          <w:szCs w:val="20"/>
        </w:rPr>
        <w:t>和</w:t>
      </w:r>
      <w:r>
        <w:rPr>
          <w:rFonts w:ascii="宋体" w:hAnsi="宋体" w:eastAsia="宋体" w:cs="宋体"/>
          <w:spacing w:val="-42"/>
          <w:sz w:val="20"/>
          <w:szCs w:val="20"/>
        </w:rPr>
        <w:t xml:space="preserve"> </w:t>
      </w:r>
      <w:r>
        <w:rPr>
          <w:rFonts w:ascii="Times New Roman" w:hAnsi="Times New Roman" w:eastAsia="Times New Roman" w:cs="Times New Roman"/>
          <w:sz w:val="20"/>
          <w:szCs w:val="20"/>
        </w:rPr>
        <w:t>HCV</w:t>
      </w:r>
      <w:r>
        <w:rPr>
          <w:rFonts w:ascii="Times New Roman" w:hAnsi="Times New Roman" w:eastAsia="Times New Roman" w:cs="Times New Roman"/>
          <w:spacing w:val="12"/>
          <w:sz w:val="20"/>
          <w:szCs w:val="20"/>
        </w:rPr>
        <w:t xml:space="preserve"> </w:t>
      </w:r>
      <w:r>
        <w:rPr>
          <w:rFonts w:ascii="宋体" w:hAnsi="宋体" w:eastAsia="宋体" w:cs="宋体"/>
          <w:spacing w:val="12"/>
          <w:sz w:val="20"/>
          <w:szCs w:val="20"/>
        </w:rPr>
        <w:t>相关肝癌的标化发病率呈整体</w:t>
      </w:r>
      <w:r>
        <w:rPr>
          <w:rFonts w:ascii="宋体" w:hAnsi="宋体" w:eastAsia="宋体" w:cs="宋体"/>
          <w:spacing w:val="11"/>
          <w:sz w:val="20"/>
          <w:szCs w:val="20"/>
        </w:rPr>
        <w:t>下降</w:t>
      </w:r>
      <w:r>
        <w:rPr>
          <w:rFonts w:ascii="宋体" w:hAnsi="宋体" w:eastAsia="宋体" w:cs="宋体"/>
          <w:sz w:val="20"/>
          <w:szCs w:val="20"/>
        </w:rPr>
        <w:t xml:space="preserve"> </w:t>
      </w:r>
      <w:r>
        <w:rPr>
          <w:rFonts w:ascii="宋体" w:hAnsi="宋体" w:eastAsia="宋体" w:cs="宋体"/>
          <w:spacing w:val="9"/>
          <w:sz w:val="20"/>
          <w:szCs w:val="20"/>
        </w:rPr>
        <w:t xml:space="preserve">的趋势。得益于1992年我国将乙肝疫苗纳入计划免疫管理，2002年正式纳人国家免疫规划，2005 </w:t>
      </w:r>
      <w:r>
        <w:rPr>
          <w:rFonts w:ascii="宋体" w:hAnsi="宋体" w:eastAsia="宋体" w:cs="宋体"/>
          <w:spacing w:val="5"/>
          <w:sz w:val="20"/>
          <w:szCs w:val="20"/>
        </w:rPr>
        <w:t>年开始新生儿免费接种，1998年《中华人民共和国献血法》开始实施，普及使用一次性注射器材等</w:t>
      </w:r>
      <w:r>
        <w:rPr>
          <w:rFonts w:ascii="宋体" w:hAnsi="宋体" w:eastAsia="宋体" w:cs="宋体"/>
          <w:spacing w:val="13"/>
          <w:sz w:val="20"/>
          <w:szCs w:val="20"/>
        </w:rPr>
        <w:t xml:space="preserve"> </w:t>
      </w:r>
      <w:r>
        <w:rPr>
          <w:rFonts w:ascii="宋体" w:hAnsi="宋体" w:eastAsia="宋体" w:cs="宋体"/>
          <w:spacing w:val="7"/>
          <w:sz w:val="20"/>
          <w:szCs w:val="20"/>
        </w:rPr>
        <w:t>防制对策的综合作用，近30多年来肝癌的疾</w:t>
      </w:r>
      <w:r>
        <w:rPr>
          <w:rFonts w:ascii="宋体" w:hAnsi="宋体" w:eastAsia="宋体" w:cs="宋体"/>
          <w:spacing w:val="6"/>
          <w:sz w:val="20"/>
          <w:szCs w:val="20"/>
        </w:rPr>
        <w:t>病负担显著降低。</w:t>
      </w:r>
    </w:p>
    <w:p w14:paraId="09CF80C4">
      <w:pPr>
        <w:spacing w:line="356" w:lineRule="auto"/>
        <w:rPr>
          <w:rFonts w:ascii="宋体" w:hAnsi="宋体" w:eastAsia="宋体" w:cs="宋体"/>
          <w:sz w:val="20"/>
          <w:szCs w:val="20"/>
        </w:rPr>
        <w:sectPr>
          <w:footerReference r:id="rId58" w:type="default"/>
          <w:pgSz w:w="11900" w:h="16820"/>
          <w:pgMar w:top="400" w:right="1525" w:bottom="789" w:left="790" w:header="0" w:footer="609" w:gutter="0"/>
          <w:cols w:space="720" w:num="1"/>
        </w:sectPr>
      </w:pPr>
    </w:p>
    <w:p w14:paraId="00614B85">
      <w:pPr>
        <w:spacing w:line="244" w:lineRule="auto"/>
        <w:rPr>
          <w:rFonts w:ascii="Arial"/>
          <w:sz w:val="21"/>
        </w:rPr>
      </w:pPr>
    </w:p>
    <w:p w14:paraId="24E00BB9">
      <w:pPr>
        <w:pStyle w:val="2"/>
        <w:spacing w:before="68" w:line="221" w:lineRule="auto"/>
        <w:ind w:left="7592"/>
        <w:rPr>
          <w:sz w:val="21"/>
          <w:szCs w:val="21"/>
        </w:rPr>
      </w:pPr>
      <w:bookmarkStart w:id="54" w:name="bookmark420"/>
      <w:bookmarkEnd w:id="54"/>
      <w:r>
        <w:rPr>
          <w:b/>
          <w:bCs/>
          <w:spacing w:val="-22"/>
          <w:sz w:val="21"/>
          <w:szCs w:val="21"/>
        </w:rPr>
        <w:t>第二章</w:t>
      </w:r>
      <w:r>
        <w:rPr>
          <w:spacing w:val="-22"/>
          <w:sz w:val="21"/>
          <w:szCs w:val="21"/>
        </w:rPr>
        <w:t xml:space="preserve"> </w:t>
      </w:r>
      <w:r>
        <w:rPr>
          <w:b/>
          <w:bCs/>
          <w:spacing w:val="-22"/>
          <w:sz w:val="21"/>
          <w:szCs w:val="21"/>
        </w:rPr>
        <w:t>疾病的分布</w:t>
      </w:r>
    </w:p>
    <w:p w14:paraId="72D8E5F1">
      <w:pPr>
        <w:spacing w:line="285" w:lineRule="auto"/>
        <w:rPr>
          <w:rFonts w:ascii="Arial"/>
          <w:sz w:val="21"/>
        </w:rPr>
      </w:pPr>
    </w:p>
    <w:p w14:paraId="0345FCBE">
      <w:pPr>
        <w:spacing w:line="286" w:lineRule="auto"/>
        <w:rPr>
          <w:rFonts w:ascii="Arial"/>
          <w:sz w:val="21"/>
        </w:rPr>
      </w:pPr>
    </w:p>
    <w:p w14:paraId="4B9ACA6B">
      <w:pPr>
        <w:spacing w:line="3520" w:lineRule="exact"/>
        <w:ind w:firstLine="2050"/>
      </w:pPr>
      <w:r>
        <mc:AlternateContent>
          <mc:Choice Requires="wps">
            <w:drawing>
              <wp:anchor distT="0" distB="0" distL="0" distR="0" simplePos="0" relativeHeight="251707392" behindDoc="0" locked="0" layoutInCell="1" allowOverlap="1">
                <wp:simplePos x="0" y="0"/>
                <wp:positionH relativeFrom="column">
                  <wp:posOffset>716280</wp:posOffset>
                </wp:positionH>
                <wp:positionV relativeFrom="paragraph">
                  <wp:posOffset>1057275</wp:posOffset>
                </wp:positionV>
                <wp:extent cx="1087120" cy="113030"/>
                <wp:effectExtent l="0" t="0" r="0" b="0"/>
                <wp:wrapNone/>
                <wp:docPr id="140" name="TextBox 140"/>
                <wp:cNvGraphicFramePr/>
                <a:graphic xmlns:a="http://schemas.openxmlformats.org/drawingml/2006/main">
                  <a:graphicData uri="http://schemas.microsoft.com/office/word/2010/wordprocessingShape">
                    <wps:wsp>
                      <wps:cNvSpPr txBox="1"/>
                      <wps:spPr>
                        <a:xfrm rot="16200000">
                          <a:off x="716280" y="1057557"/>
                          <a:ext cx="1087119" cy="113029"/>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2C68EFD8">
                            <w:pPr>
                              <w:spacing w:before="39" w:line="219" w:lineRule="auto"/>
                              <w:ind w:left="20"/>
                              <w:rPr>
                                <w:rFonts w:ascii="宋体" w:hAnsi="宋体" w:eastAsia="宋体" w:cs="宋体"/>
                                <w:sz w:val="10"/>
                                <w:szCs w:val="10"/>
                              </w:rPr>
                            </w:pPr>
                            <w:r>
                              <w:rPr>
                                <w:rFonts w:ascii="宋体" w:hAnsi="宋体" w:eastAsia="宋体" w:cs="宋体"/>
                                <w:spacing w:val="-7"/>
                                <w:sz w:val="10"/>
                                <w:szCs w:val="10"/>
                              </w:rPr>
                              <w:t>标</w:t>
                            </w:r>
                            <w:r>
                              <w:rPr>
                                <w:rFonts w:ascii="宋体" w:hAnsi="宋体" w:eastAsia="宋体" w:cs="宋体"/>
                                <w:spacing w:val="20"/>
                                <w:sz w:val="10"/>
                                <w:szCs w:val="10"/>
                              </w:rPr>
                              <w:t xml:space="preserve"> </w:t>
                            </w:r>
                            <w:r>
                              <w:rPr>
                                <w:rFonts w:ascii="宋体" w:hAnsi="宋体" w:eastAsia="宋体" w:cs="宋体"/>
                                <w:spacing w:val="-7"/>
                                <w:sz w:val="10"/>
                                <w:szCs w:val="10"/>
                              </w:rPr>
                              <w:t>化</w:t>
                            </w:r>
                            <w:r>
                              <w:rPr>
                                <w:rFonts w:ascii="宋体" w:hAnsi="宋体" w:eastAsia="宋体" w:cs="宋体"/>
                                <w:spacing w:val="16"/>
                                <w:sz w:val="10"/>
                                <w:szCs w:val="10"/>
                              </w:rPr>
                              <w:t xml:space="preserve"> </w:t>
                            </w:r>
                            <w:r>
                              <w:rPr>
                                <w:rFonts w:ascii="宋体" w:hAnsi="宋体" w:eastAsia="宋体" w:cs="宋体"/>
                                <w:spacing w:val="-7"/>
                                <w:sz w:val="10"/>
                                <w:szCs w:val="10"/>
                              </w:rPr>
                              <w:t>发</w:t>
                            </w:r>
                            <w:r>
                              <w:rPr>
                                <w:rFonts w:ascii="宋体" w:hAnsi="宋体" w:eastAsia="宋体" w:cs="宋体"/>
                                <w:spacing w:val="14"/>
                                <w:sz w:val="10"/>
                                <w:szCs w:val="10"/>
                              </w:rPr>
                              <w:t xml:space="preserve"> </w:t>
                            </w:r>
                            <w:r>
                              <w:rPr>
                                <w:rFonts w:ascii="宋体" w:hAnsi="宋体" w:eastAsia="宋体" w:cs="宋体"/>
                                <w:spacing w:val="-7"/>
                                <w:sz w:val="10"/>
                                <w:szCs w:val="10"/>
                              </w:rPr>
                              <w:t>病</w:t>
                            </w:r>
                            <w:r>
                              <w:rPr>
                                <w:rFonts w:ascii="宋体" w:hAnsi="宋体" w:eastAsia="宋体" w:cs="宋体"/>
                                <w:spacing w:val="15"/>
                                <w:w w:val="101"/>
                                <w:sz w:val="10"/>
                                <w:szCs w:val="10"/>
                              </w:rPr>
                              <w:t xml:space="preserve"> </w:t>
                            </w:r>
                            <w:r>
                              <w:rPr>
                                <w:rFonts w:ascii="宋体" w:hAnsi="宋体" w:eastAsia="宋体" w:cs="宋体"/>
                                <w:spacing w:val="-7"/>
                                <w:sz w:val="10"/>
                                <w:szCs w:val="10"/>
                              </w:rPr>
                              <w:t>率</w:t>
                            </w:r>
                            <w:r>
                              <w:rPr>
                                <w:rFonts w:ascii="宋体" w:hAnsi="宋体" w:eastAsia="宋体" w:cs="宋体"/>
                                <w:spacing w:val="14"/>
                                <w:sz w:val="10"/>
                                <w:szCs w:val="10"/>
                              </w:rPr>
                              <w:t xml:space="preserve"> </w:t>
                            </w:r>
                            <w:r>
                              <w:rPr>
                                <w:rFonts w:ascii="宋体" w:hAnsi="宋体" w:eastAsia="宋体" w:cs="宋体"/>
                                <w:spacing w:val="-7"/>
                                <w:sz w:val="10"/>
                                <w:szCs w:val="10"/>
                              </w:rPr>
                              <w:t>/</w:t>
                            </w:r>
                            <w:r>
                              <w:rPr>
                                <w:rFonts w:ascii="宋体" w:hAnsi="宋体" w:eastAsia="宋体" w:cs="宋体"/>
                                <w:spacing w:val="32"/>
                                <w:sz w:val="10"/>
                                <w:szCs w:val="10"/>
                              </w:rPr>
                              <w:t xml:space="preserve"> </w:t>
                            </w:r>
                            <w:r>
                              <w:rPr>
                                <w:rFonts w:ascii="宋体" w:hAnsi="宋体" w:eastAsia="宋体" w:cs="宋体"/>
                                <w:spacing w:val="-7"/>
                                <w:sz w:val="10"/>
                                <w:szCs w:val="10"/>
                              </w:rPr>
                              <w:t>(</w:t>
                            </w:r>
                            <w:r>
                              <w:rPr>
                                <w:rFonts w:ascii="宋体" w:hAnsi="宋体" w:eastAsia="宋体" w:cs="宋体"/>
                                <w:spacing w:val="22"/>
                                <w:sz w:val="10"/>
                                <w:szCs w:val="10"/>
                              </w:rPr>
                              <w:t xml:space="preserve"> </w:t>
                            </w:r>
                            <w:r>
                              <w:rPr>
                                <w:rFonts w:ascii="宋体" w:hAnsi="宋体" w:eastAsia="宋体" w:cs="宋体"/>
                                <w:spacing w:val="-7"/>
                                <w:sz w:val="10"/>
                                <w:szCs w:val="10"/>
                              </w:rPr>
                              <w:t>1</w:t>
                            </w:r>
                            <w:r>
                              <w:rPr>
                                <w:rFonts w:ascii="宋体" w:hAnsi="宋体" w:eastAsia="宋体" w:cs="宋体"/>
                                <w:spacing w:val="14"/>
                                <w:sz w:val="10"/>
                                <w:szCs w:val="10"/>
                              </w:rPr>
                              <w:t xml:space="preserve"> </w:t>
                            </w:r>
                            <w:r>
                              <w:rPr>
                                <w:rFonts w:ascii="宋体" w:hAnsi="宋体" w:eastAsia="宋体" w:cs="宋体"/>
                                <w:spacing w:val="-7"/>
                                <w:sz w:val="10"/>
                                <w:szCs w:val="10"/>
                              </w:rPr>
                              <w:t>/</w:t>
                            </w:r>
                            <w:r>
                              <w:rPr>
                                <w:rFonts w:ascii="宋体" w:hAnsi="宋体" w:eastAsia="宋体" w:cs="宋体"/>
                                <w:spacing w:val="21"/>
                                <w:w w:val="101"/>
                                <w:sz w:val="10"/>
                                <w:szCs w:val="10"/>
                              </w:rPr>
                              <w:t xml:space="preserve"> </w:t>
                            </w:r>
                            <w:r>
                              <w:rPr>
                                <w:rFonts w:ascii="宋体" w:hAnsi="宋体" w:eastAsia="宋体" w:cs="宋体"/>
                                <w:spacing w:val="-7"/>
                                <w:sz w:val="10"/>
                                <w:szCs w:val="10"/>
                              </w:rPr>
                              <w:t>1</w:t>
                            </w:r>
                            <w:r>
                              <w:rPr>
                                <w:rFonts w:ascii="宋体" w:hAnsi="宋体" w:eastAsia="宋体" w:cs="宋体"/>
                                <w:spacing w:val="15"/>
                                <w:w w:val="101"/>
                                <w:sz w:val="10"/>
                                <w:szCs w:val="10"/>
                              </w:rPr>
                              <w:t xml:space="preserve"> </w:t>
                            </w:r>
                            <w:r>
                              <w:rPr>
                                <w:rFonts w:ascii="宋体" w:hAnsi="宋体" w:eastAsia="宋体" w:cs="宋体"/>
                                <w:spacing w:val="-7"/>
                                <w:sz w:val="10"/>
                                <w:szCs w:val="10"/>
                              </w:rPr>
                              <w:t>0</w:t>
                            </w:r>
                            <w:r>
                              <w:rPr>
                                <w:rFonts w:ascii="宋体" w:hAnsi="宋体" w:eastAsia="宋体" w:cs="宋体"/>
                                <w:spacing w:val="16"/>
                                <w:w w:val="101"/>
                                <w:sz w:val="10"/>
                                <w:szCs w:val="10"/>
                              </w:rPr>
                              <w:t xml:space="preserve"> </w:t>
                            </w:r>
                            <w:r>
                              <w:rPr>
                                <w:rFonts w:ascii="宋体" w:hAnsi="宋体" w:eastAsia="宋体" w:cs="宋体"/>
                                <w:spacing w:val="-7"/>
                                <w:sz w:val="10"/>
                                <w:szCs w:val="10"/>
                              </w:rPr>
                              <w:t>万</w:t>
                            </w:r>
                            <w:r>
                              <w:rPr>
                                <w:rFonts w:ascii="宋体" w:hAnsi="宋体" w:eastAsia="宋体" w:cs="宋体"/>
                                <w:spacing w:val="15"/>
                                <w:sz w:val="10"/>
                                <w:szCs w:val="10"/>
                              </w:rPr>
                              <w:t xml:space="preserve"> </w:t>
                            </w:r>
                            <w:r>
                              <w:rPr>
                                <w:rFonts w:ascii="宋体" w:hAnsi="宋体" w:eastAsia="宋体" w:cs="宋体"/>
                                <w:spacing w:val="-7"/>
                                <w:sz w:val="10"/>
                                <w:szCs w:val="10"/>
                              </w:rPr>
                              <w:t>)</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140" o:spid="_x0000_s1026" o:spt="202" type="#_x0000_t202" style="position:absolute;left:0pt;margin-left:56.4pt;margin-top:83.25pt;height:8.9pt;width:85.6pt;rotation:-5898240f;z-index:251707392;mso-width-relative:page;mso-height-relative:page;" filled="f" stroked="f" coordsize="21600,21600" o:gfxdata="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AdNkar2QAAAAsBAAAPAAAA&#10;AAAAAAEAIAAAACIAAABkcnMvZG93bnJldi54bWxQSwECFAAUAAAACACHTuJAtToVUU0CAAClBAAA&#10;DgAAAAAAAAABACAAAAAoAQAAZHJzL2Uyb0RvYy54bWxQSwUGAAAAAAYABgBZAQAA5wUAAAAA&#10;">
                <v:fill on="f" focussize="0,0"/>
                <v:stroke on="f" weight="0pt" miterlimit="0" joinstyle="miter"/>
                <v:imagedata o:title=""/>
                <o:lock v:ext="edit" aspectratio="f"/>
                <v:textbox inset="0mm,0mm,0mm,0mm">
                  <w:txbxContent>
                    <w:p w14:paraId="2C68EFD8">
                      <w:pPr>
                        <w:spacing w:before="39" w:line="219" w:lineRule="auto"/>
                        <w:ind w:left="20"/>
                        <w:rPr>
                          <w:rFonts w:ascii="宋体" w:hAnsi="宋体" w:eastAsia="宋体" w:cs="宋体"/>
                          <w:sz w:val="10"/>
                          <w:szCs w:val="10"/>
                        </w:rPr>
                      </w:pPr>
                      <w:r>
                        <w:rPr>
                          <w:rFonts w:ascii="宋体" w:hAnsi="宋体" w:eastAsia="宋体" w:cs="宋体"/>
                          <w:spacing w:val="-7"/>
                          <w:sz w:val="10"/>
                          <w:szCs w:val="10"/>
                        </w:rPr>
                        <w:t>标</w:t>
                      </w:r>
                      <w:r>
                        <w:rPr>
                          <w:rFonts w:ascii="宋体" w:hAnsi="宋体" w:eastAsia="宋体" w:cs="宋体"/>
                          <w:spacing w:val="20"/>
                          <w:sz w:val="10"/>
                          <w:szCs w:val="10"/>
                        </w:rPr>
                        <w:t xml:space="preserve"> </w:t>
                      </w:r>
                      <w:r>
                        <w:rPr>
                          <w:rFonts w:ascii="宋体" w:hAnsi="宋体" w:eastAsia="宋体" w:cs="宋体"/>
                          <w:spacing w:val="-7"/>
                          <w:sz w:val="10"/>
                          <w:szCs w:val="10"/>
                        </w:rPr>
                        <w:t>化</w:t>
                      </w:r>
                      <w:r>
                        <w:rPr>
                          <w:rFonts w:ascii="宋体" w:hAnsi="宋体" w:eastAsia="宋体" w:cs="宋体"/>
                          <w:spacing w:val="16"/>
                          <w:sz w:val="10"/>
                          <w:szCs w:val="10"/>
                        </w:rPr>
                        <w:t xml:space="preserve"> </w:t>
                      </w:r>
                      <w:r>
                        <w:rPr>
                          <w:rFonts w:ascii="宋体" w:hAnsi="宋体" w:eastAsia="宋体" w:cs="宋体"/>
                          <w:spacing w:val="-7"/>
                          <w:sz w:val="10"/>
                          <w:szCs w:val="10"/>
                        </w:rPr>
                        <w:t>发</w:t>
                      </w:r>
                      <w:r>
                        <w:rPr>
                          <w:rFonts w:ascii="宋体" w:hAnsi="宋体" w:eastAsia="宋体" w:cs="宋体"/>
                          <w:spacing w:val="14"/>
                          <w:sz w:val="10"/>
                          <w:szCs w:val="10"/>
                        </w:rPr>
                        <w:t xml:space="preserve"> </w:t>
                      </w:r>
                      <w:r>
                        <w:rPr>
                          <w:rFonts w:ascii="宋体" w:hAnsi="宋体" w:eastAsia="宋体" w:cs="宋体"/>
                          <w:spacing w:val="-7"/>
                          <w:sz w:val="10"/>
                          <w:szCs w:val="10"/>
                        </w:rPr>
                        <w:t>病</w:t>
                      </w:r>
                      <w:r>
                        <w:rPr>
                          <w:rFonts w:ascii="宋体" w:hAnsi="宋体" w:eastAsia="宋体" w:cs="宋体"/>
                          <w:spacing w:val="15"/>
                          <w:w w:val="101"/>
                          <w:sz w:val="10"/>
                          <w:szCs w:val="10"/>
                        </w:rPr>
                        <w:t xml:space="preserve"> </w:t>
                      </w:r>
                      <w:r>
                        <w:rPr>
                          <w:rFonts w:ascii="宋体" w:hAnsi="宋体" w:eastAsia="宋体" w:cs="宋体"/>
                          <w:spacing w:val="-7"/>
                          <w:sz w:val="10"/>
                          <w:szCs w:val="10"/>
                        </w:rPr>
                        <w:t>率</w:t>
                      </w:r>
                      <w:r>
                        <w:rPr>
                          <w:rFonts w:ascii="宋体" w:hAnsi="宋体" w:eastAsia="宋体" w:cs="宋体"/>
                          <w:spacing w:val="14"/>
                          <w:sz w:val="10"/>
                          <w:szCs w:val="10"/>
                        </w:rPr>
                        <w:t xml:space="preserve"> </w:t>
                      </w:r>
                      <w:r>
                        <w:rPr>
                          <w:rFonts w:ascii="宋体" w:hAnsi="宋体" w:eastAsia="宋体" w:cs="宋体"/>
                          <w:spacing w:val="-7"/>
                          <w:sz w:val="10"/>
                          <w:szCs w:val="10"/>
                        </w:rPr>
                        <w:t>/</w:t>
                      </w:r>
                      <w:r>
                        <w:rPr>
                          <w:rFonts w:ascii="宋体" w:hAnsi="宋体" w:eastAsia="宋体" w:cs="宋体"/>
                          <w:spacing w:val="32"/>
                          <w:sz w:val="10"/>
                          <w:szCs w:val="10"/>
                        </w:rPr>
                        <w:t xml:space="preserve"> </w:t>
                      </w:r>
                      <w:r>
                        <w:rPr>
                          <w:rFonts w:ascii="宋体" w:hAnsi="宋体" w:eastAsia="宋体" w:cs="宋体"/>
                          <w:spacing w:val="-7"/>
                          <w:sz w:val="10"/>
                          <w:szCs w:val="10"/>
                        </w:rPr>
                        <w:t>(</w:t>
                      </w:r>
                      <w:r>
                        <w:rPr>
                          <w:rFonts w:ascii="宋体" w:hAnsi="宋体" w:eastAsia="宋体" w:cs="宋体"/>
                          <w:spacing w:val="22"/>
                          <w:sz w:val="10"/>
                          <w:szCs w:val="10"/>
                        </w:rPr>
                        <w:t xml:space="preserve"> </w:t>
                      </w:r>
                      <w:r>
                        <w:rPr>
                          <w:rFonts w:ascii="宋体" w:hAnsi="宋体" w:eastAsia="宋体" w:cs="宋体"/>
                          <w:spacing w:val="-7"/>
                          <w:sz w:val="10"/>
                          <w:szCs w:val="10"/>
                        </w:rPr>
                        <w:t>1</w:t>
                      </w:r>
                      <w:r>
                        <w:rPr>
                          <w:rFonts w:ascii="宋体" w:hAnsi="宋体" w:eastAsia="宋体" w:cs="宋体"/>
                          <w:spacing w:val="14"/>
                          <w:sz w:val="10"/>
                          <w:szCs w:val="10"/>
                        </w:rPr>
                        <w:t xml:space="preserve"> </w:t>
                      </w:r>
                      <w:r>
                        <w:rPr>
                          <w:rFonts w:ascii="宋体" w:hAnsi="宋体" w:eastAsia="宋体" w:cs="宋体"/>
                          <w:spacing w:val="-7"/>
                          <w:sz w:val="10"/>
                          <w:szCs w:val="10"/>
                        </w:rPr>
                        <w:t>/</w:t>
                      </w:r>
                      <w:r>
                        <w:rPr>
                          <w:rFonts w:ascii="宋体" w:hAnsi="宋体" w:eastAsia="宋体" w:cs="宋体"/>
                          <w:spacing w:val="21"/>
                          <w:w w:val="101"/>
                          <w:sz w:val="10"/>
                          <w:szCs w:val="10"/>
                        </w:rPr>
                        <w:t xml:space="preserve"> </w:t>
                      </w:r>
                      <w:r>
                        <w:rPr>
                          <w:rFonts w:ascii="宋体" w:hAnsi="宋体" w:eastAsia="宋体" w:cs="宋体"/>
                          <w:spacing w:val="-7"/>
                          <w:sz w:val="10"/>
                          <w:szCs w:val="10"/>
                        </w:rPr>
                        <w:t>1</w:t>
                      </w:r>
                      <w:r>
                        <w:rPr>
                          <w:rFonts w:ascii="宋体" w:hAnsi="宋体" w:eastAsia="宋体" w:cs="宋体"/>
                          <w:spacing w:val="15"/>
                          <w:w w:val="101"/>
                          <w:sz w:val="10"/>
                          <w:szCs w:val="10"/>
                        </w:rPr>
                        <w:t xml:space="preserve"> </w:t>
                      </w:r>
                      <w:r>
                        <w:rPr>
                          <w:rFonts w:ascii="宋体" w:hAnsi="宋体" w:eastAsia="宋体" w:cs="宋体"/>
                          <w:spacing w:val="-7"/>
                          <w:sz w:val="10"/>
                          <w:szCs w:val="10"/>
                        </w:rPr>
                        <w:t>0</w:t>
                      </w:r>
                      <w:r>
                        <w:rPr>
                          <w:rFonts w:ascii="宋体" w:hAnsi="宋体" w:eastAsia="宋体" w:cs="宋体"/>
                          <w:spacing w:val="16"/>
                          <w:w w:val="101"/>
                          <w:sz w:val="10"/>
                          <w:szCs w:val="10"/>
                        </w:rPr>
                        <w:t xml:space="preserve"> </w:t>
                      </w:r>
                      <w:r>
                        <w:rPr>
                          <w:rFonts w:ascii="宋体" w:hAnsi="宋体" w:eastAsia="宋体" w:cs="宋体"/>
                          <w:spacing w:val="-7"/>
                          <w:sz w:val="10"/>
                          <w:szCs w:val="10"/>
                        </w:rPr>
                        <w:t>万</w:t>
                      </w:r>
                      <w:r>
                        <w:rPr>
                          <w:rFonts w:ascii="宋体" w:hAnsi="宋体" w:eastAsia="宋体" w:cs="宋体"/>
                          <w:spacing w:val="15"/>
                          <w:sz w:val="10"/>
                          <w:szCs w:val="10"/>
                        </w:rPr>
                        <w:t xml:space="preserve"> </w:t>
                      </w:r>
                      <w:r>
                        <w:rPr>
                          <w:rFonts w:ascii="宋体" w:hAnsi="宋体" w:eastAsia="宋体" w:cs="宋体"/>
                          <w:spacing w:val="-7"/>
                          <w:sz w:val="10"/>
                          <w:szCs w:val="10"/>
                        </w:rPr>
                        <w:t>)</w:t>
                      </w:r>
                    </w:p>
                  </w:txbxContent>
                </v:textbox>
              </v:shape>
            </w:pict>
          </mc:Fallback>
        </mc:AlternateContent>
      </w:r>
      <w:r>
        <w:rPr>
          <w:position w:val="-70"/>
        </w:rPr>
        <w:drawing>
          <wp:inline distT="0" distB="0" distL="0" distR="0">
            <wp:extent cx="3390900" cy="2234565"/>
            <wp:effectExtent l="0" t="0" r="0" b="0"/>
            <wp:docPr id="142" name="IM 142"/>
            <wp:cNvGraphicFramePr/>
            <a:graphic xmlns:a="http://schemas.openxmlformats.org/drawingml/2006/main">
              <a:graphicData uri="http://schemas.openxmlformats.org/drawingml/2006/picture">
                <pic:pic xmlns:pic="http://schemas.openxmlformats.org/drawingml/2006/picture">
                  <pic:nvPicPr>
                    <pic:cNvPr id="142" name="IM 142"/>
                    <pic:cNvPicPr/>
                  </pic:nvPicPr>
                  <pic:blipFill>
                    <a:blip r:embed="rId448"/>
                    <a:stretch>
                      <a:fillRect/>
                    </a:stretch>
                  </pic:blipFill>
                  <pic:spPr>
                    <a:xfrm>
                      <a:off x="0" y="0"/>
                      <a:ext cx="3390903" cy="2235150"/>
                    </a:xfrm>
                    <a:prstGeom prst="rect">
                      <a:avLst/>
                    </a:prstGeom>
                  </pic:spPr>
                </pic:pic>
              </a:graphicData>
            </a:graphic>
          </wp:inline>
        </w:drawing>
      </w:r>
    </w:p>
    <w:p w14:paraId="73162BD8">
      <w:pPr>
        <w:pStyle w:val="2"/>
        <w:spacing w:before="39" w:line="223" w:lineRule="auto"/>
        <w:ind w:left="4580"/>
        <w:rPr>
          <w:sz w:val="21"/>
          <w:szCs w:val="21"/>
        </w:rPr>
      </w:pPr>
      <w:r>
        <w:rPr>
          <w:spacing w:val="-14"/>
          <w:sz w:val="21"/>
          <w:szCs w:val="21"/>
        </w:rPr>
        <w:t>年份</w:t>
      </w:r>
    </w:p>
    <w:p w14:paraId="262B6FD1">
      <w:pPr>
        <w:spacing w:before="165" w:line="219" w:lineRule="auto"/>
        <w:ind w:left="1870"/>
        <w:rPr>
          <w:rFonts w:ascii="宋体" w:hAnsi="宋体" w:eastAsia="宋体" w:cs="宋体"/>
          <w:sz w:val="21"/>
          <w:szCs w:val="21"/>
        </w:rPr>
      </w:pPr>
      <w:r>
        <w:rPr>
          <w:rFonts w:ascii="宋体" w:hAnsi="宋体" w:eastAsia="宋体" w:cs="宋体"/>
          <w:spacing w:val="2"/>
          <w:sz w:val="21"/>
          <w:szCs w:val="21"/>
        </w:rPr>
        <w:t>图2-81990—2019年我国</w:t>
      </w:r>
      <w:r>
        <w:rPr>
          <w:rFonts w:ascii="宋体" w:hAnsi="宋体" w:eastAsia="宋体" w:cs="宋体"/>
          <w:sz w:val="21"/>
          <w:szCs w:val="21"/>
        </w:rPr>
        <w:t>HBV</w:t>
      </w:r>
      <w:r>
        <w:rPr>
          <w:rFonts w:ascii="宋体" w:hAnsi="宋体" w:eastAsia="宋体" w:cs="宋体"/>
          <w:spacing w:val="39"/>
          <w:sz w:val="21"/>
          <w:szCs w:val="21"/>
        </w:rPr>
        <w:t xml:space="preserve"> </w:t>
      </w:r>
      <w:r>
        <w:rPr>
          <w:rFonts w:ascii="宋体" w:hAnsi="宋体" w:eastAsia="宋体" w:cs="宋体"/>
          <w:spacing w:val="2"/>
          <w:sz w:val="21"/>
          <w:szCs w:val="21"/>
        </w:rPr>
        <w:t>和</w:t>
      </w:r>
      <w:r>
        <w:rPr>
          <w:rFonts w:ascii="宋体" w:hAnsi="宋体" w:eastAsia="宋体" w:cs="宋体"/>
          <w:sz w:val="21"/>
          <w:szCs w:val="21"/>
        </w:rPr>
        <w:t>HCV</w:t>
      </w:r>
      <w:r>
        <w:rPr>
          <w:rFonts w:ascii="宋体" w:hAnsi="宋体" w:eastAsia="宋体" w:cs="宋体"/>
          <w:spacing w:val="33"/>
          <w:sz w:val="21"/>
          <w:szCs w:val="21"/>
        </w:rPr>
        <w:t xml:space="preserve"> </w:t>
      </w:r>
      <w:r>
        <w:rPr>
          <w:rFonts w:ascii="宋体" w:hAnsi="宋体" w:eastAsia="宋体" w:cs="宋体"/>
          <w:spacing w:val="2"/>
          <w:sz w:val="21"/>
          <w:szCs w:val="21"/>
        </w:rPr>
        <w:t>相关肝癌的标化发病率</w:t>
      </w:r>
    </w:p>
    <w:p w14:paraId="58859709">
      <w:pPr>
        <w:spacing w:before="36" w:line="212" w:lineRule="auto"/>
        <w:ind w:left="3500"/>
        <w:rPr>
          <w:rFonts w:ascii="Times New Roman" w:hAnsi="Times New Roman" w:eastAsia="Times New Roman" w:cs="Times New Roman"/>
          <w:sz w:val="21"/>
          <w:szCs w:val="21"/>
        </w:rPr>
      </w:pPr>
      <w:r>
        <w:rPr>
          <w:rFonts w:ascii="宋体" w:hAnsi="宋体" w:eastAsia="宋体" w:cs="宋体"/>
          <w:spacing w:val="-2"/>
          <w:sz w:val="21"/>
          <w:szCs w:val="21"/>
        </w:rPr>
        <w:t>(改编自</w:t>
      </w:r>
      <w:r>
        <w:rPr>
          <w:rFonts w:ascii="Times New Roman" w:hAnsi="Times New Roman" w:eastAsia="Times New Roman" w:cs="Times New Roman"/>
          <w:spacing w:val="-2"/>
          <w:sz w:val="21"/>
          <w:szCs w:val="21"/>
        </w:rPr>
        <w:t>Li Guangdi,2022)</w:t>
      </w:r>
    </w:p>
    <w:p w14:paraId="58FD5933">
      <w:pPr>
        <w:spacing w:line="435" w:lineRule="auto"/>
        <w:rPr>
          <w:rFonts w:ascii="Arial"/>
          <w:sz w:val="21"/>
        </w:rPr>
      </w:pPr>
    </w:p>
    <w:p w14:paraId="1BEB1000">
      <w:pPr>
        <w:pStyle w:val="2"/>
        <w:spacing w:before="85" w:line="221" w:lineRule="auto"/>
        <w:ind w:left="500"/>
        <w:outlineLvl w:val="2"/>
        <w:rPr>
          <w:sz w:val="26"/>
          <w:szCs w:val="26"/>
        </w:rPr>
      </w:pPr>
      <w:bookmarkStart w:id="55" w:name="bookmark31"/>
      <w:bookmarkEnd w:id="55"/>
      <w:r>
        <w:rPr>
          <w:spacing w:val="-9"/>
          <w:sz w:val="26"/>
          <w:szCs w:val="26"/>
        </w:rPr>
        <w:t>四</w:t>
      </w:r>
      <w:r>
        <w:rPr>
          <w:spacing w:val="-59"/>
          <w:sz w:val="26"/>
          <w:szCs w:val="26"/>
        </w:rPr>
        <w:t xml:space="preserve"> </w:t>
      </w:r>
      <w:r>
        <w:rPr>
          <w:spacing w:val="-9"/>
          <w:sz w:val="26"/>
          <w:szCs w:val="26"/>
        </w:rPr>
        <w:t>、疾病分布的综合描述</w:t>
      </w:r>
    </w:p>
    <w:p w14:paraId="0C4014DB">
      <w:pPr>
        <w:pStyle w:val="2"/>
        <w:spacing w:before="257" w:line="221" w:lineRule="auto"/>
        <w:ind w:left="440"/>
        <w:rPr>
          <w:sz w:val="21"/>
          <w:szCs w:val="21"/>
        </w:rPr>
      </w:pPr>
      <w:r>
        <w:rPr>
          <w:spacing w:val="13"/>
          <w:sz w:val="21"/>
          <w:szCs w:val="21"/>
        </w:rPr>
        <w:t>(一)疾病的人群、地区、时间分布的综合描述</w:t>
      </w:r>
    </w:p>
    <w:p w14:paraId="3DC57DA2">
      <w:pPr>
        <w:spacing w:before="80" w:line="317" w:lineRule="auto"/>
        <w:ind w:right="570" w:firstLine="440"/>
        <w:jc w:val="both"/>
        <w:rPr>
          <w:rFonts w:ascii="宋体" w:hAnsi="宋体" w:eastAsia="宋体" w:cs="宋体"/>
          <w:sz w:val="21"/>
          <w:szCs w:val="21"/>
        </w:rPr>
      </w:pPr>
      <w:r>
        <w:rPr>
          <w:rFonts w:ascii="宋体" w:hAnsi="宋体" w:eastAsia="宋体" w:cs="宋体"/>
          <w:spacing w:val="6"/>
          <w:sz w:val="21"/>
          <w:szCs w:val="21"/>
        </w:rPr>
        <w:t>在流行病学研究和疾病防制实践中，仅就疾病人群、地区及时间分布的某一个方面进行分</w:t>
      </w:r>
      <w:r>
        <w:rPr>
          <w:rFonts w:ascii="宋体" w:hAnsi="宋体" w:eastAsia="宋体" w:cs="宋体"/>
          <w:spacing w:val="5"/>
          <w:sz w:val="21"/>
          <w:szCs w:val="21"/>
        </w:rPr>
        <w:t>析，</w:t>
      </w:r>
      <w:r>
        <w:rPr>
          <w:rFonts w:ascii="宋体" w:hAnsi="宋体" w:eastAsia="宋体" w:cs="宋体"/>
          <w:sz w:val="21"/>
          <w:szCs w:val="21"/>
        </w:rPr>
        <w:t xml:space="preserve"> </w:t>
      </w:r>
      <w:r>
        <w:rPr>
          <w:rFonts w:ascii="宋体" w:hAnsi="宋体" w:eastAsia="宋体" w:cs="宋体"/>
          <w:spacing w:val="4"/>
          <w:sz w:val="21"/>
          <w:szCs w:val="21"/>
        </w:rPr>
        <w:t>尽管所述问题明确具体，但难以得出疾病流行状况的全貌，从而影响防制对策的制定。应对疾病的</w:t>
      </w:r>
      <w:r>
        <w:rPr>
          <w:rFonts w:ascii="宋体" w:hAnsi="宋体" w:eastAsia="宋体" w:cs="宋体"/>
          <w:spacing w:val="1"/>
          <w:sz w:val="21"/>
          <w:szCs w:val="21"/>
        </w:rPr>
        <w:t xml:space="preserve">  </w:t>
      </w:r>
      <w:r>
        <w:rPr>
          <w:rFonts w:ascii="宋体" w:hAnsi="宋体" w:eastAsia="宋体" w:cs="宋体"/>
          <w:spacing w:val="4"/>
          <w:sz w:val="21"/>
          <w:szCs w:val="21"/>
        </w:rPr>
        <w:t>人群、地区和时间分布特征进行综合描述，为全面获取有关病因线索、确定流行因素及制</w:t>
      </w:r>
      <w:r>
        <w:rPr>
          <w:rFonts w:ascii="宋体" w:hAnsi="宋体" w:eastAsia="宋体" w:cs="宋体"/>
          <w:spacing w:val="3"/>
          <w:sz w:val="21"/>
          <w:szCs w:val="21"/>
        </w:rPr>
        <w:t>定防制对</w:t>
      </w:r>
      <w:r>
        <w:rPr>
          <w:rFonts w:ascii="宋体" w:hAnsi="宋体" w:eastAsia="宋体" w:cs="宋体"/>
          <w:sz w:val="21"/>
          <w:szCs w:val="21"/>
        </w:rPr>
        <w:t xml:space="preserve">  </w:t>
      </w:r>
      <w:r>
        <w:rPr>
          <w:rFonts w:ascii="宋体" w:hAnsi="宋体" w:eastAsia="宋体" w:cs="宋体"/>
          <w:spacing w:val="4"/>
          <w:sz w:val="21"/>
          <w:szCs w:val="21"/>
        </w:rPr>
        <w:t>策提供依据。譬如在疫情的暴发调查过程中，为了判断暴露时间和危险因素，需将人群、地区和时</w:t>
      </w:r>
      <w:r>
        <w:rPr>
          <w:rFonts w:ascii="宋体" w:hAnsi="宋体" w:eastAsia="宋体" w:cs="宋体"/>
          <w:sz w:val="21"/>
          <w:szCs w:val="21"/>
        </w:rPr>
        <w:t xml:space="preserve">  </w:t>
      </w:r>
      <w:r>
        <w:rPr>
          <w:rFonts w:ascii="宋体" w:hAnsi="宋体" w:eastAsia="宋体" w:cs="宋体"/>
          <w:spacing w:val="-1"/>
          <w:sz w:val="21"/>
          <w:szCs w:val="21"/>
        </w:rPr>
        <w:t>间的分布资料综合起来进行分析，从而掌握疫情流行特征全貌，为确定感染时间、危险因素、传播途</w:t>
      </w:r>
      <w:r>
        <w:rPr>
          <w:rFonts w:ascii="宋体" w:hAnsi="宋体" w:eastAsia="宋体" w:cs="宋体"/>
          <w:spacing w:val="18"/>
          <w:sz w:val="21"/>
          <w:szCs w:val="21"/>
        </w:rPr>
        <w:t xml:space="preserve"> </w:t>
      </w:r>
      <w:r>
        <w:rPr>
          <w:rFonts w:ascii="宋体" w:hAnsi="宋体" w:eastAsia="宋体" w:cs="宋体"/>
          <w:spacing w:val="-2"/>
          <w:sz w:val="21"/>
          <w:szCs w:val="21"/>
        </w:rPr>
        <w:t>径、播散范围等提供依据。</w:t>
      </w:r>
    </w:p>
    <w:p w14:paraId="39FADC43">
      <w:pPr>
        <w:spacing w:before="37" w:line="317" w:lineRule="auto"/>
        <w:ind w:right="647" w:firstLine="440"/>
        <w:jc w:val="both"/>
        <w:rPr>
          <w:rFonts w:ascii="宋体" w:hAnsi="宋体" w:eastAsia="宋体" w:cs="宋体"/>
          <w:sz w:val="21"/>
          <w:szCs w:val="21"/>
        </w:rPr>
      </w:pPr>
      <w:r>
        <w:rPr>
          <w:rFonts w:ascii="宋体" w:hAnsi="宋体" w:eastAsia="宋体" w:cs="宋体"/>
          <w:spacing w:val="15"/>
          <w:sz w:val="21"/>
          <w:szCs w:val="21"/>
        </w:rPr>
        <w:t>表2-4展示了1990年与2019年我国部分省(自治区)不同性别恶性肿瘤死亡率及性别</w:t>
      </w:r>
      <w:r>
        <w:rPr>
          <w:rFonts w:ascii="宋体" w:hAnsi="宋体" w:eastAsia="宋体" w:cs="宋体"/>
          <w:spacing w:val="14"/>
          <w:sz w:val="21"/>
          <w:szCs w:val="21"/>
        </w:rPr>
        <w:t>比。无</w:t>
      </w:r>
      <w:r>
        <w:rPr>
          <w:rFonts w:ascii="宋体" w:hAnsi="宋体" w:eastAsia="宋体" w:cs="宋体"/>
          <w:sz w:val="21"/>
          <w:szCs w:val="21"/>
        </w:rPr>
        <w:t xml:space="preserve"> </w:t>
      </w:r>
      <w:r>
        <w:rPr>
          <w:rFonts w:ascii="宋体" w:hAnsi="宋体" w:eastAsia="宋体" w:cs="宋体"/>
          <w:spacing w:val="13"/>
          <w:sz w:val="21"/>
          <w:szCs w:val="21"/>
        </w:rPr>
        <w:t>论是1990年还是2019年，表中所列省份(自治区)的</w:t>
      </w:r>
      <w:r>
        <w:rPr>
          <w:rFonts w:ascii="宋体" w:hAnsi="宋体" w:eastAsia="宋体" w:cs="宋体"/>
          <w:spacing w:val="12"/>
          <w:sz w:val="21"/>
          <w:szCs w:val="21"/>
        </w:rPr>
        <w:t>恶性肿瘤死亡率均是男性高于女性。从时间</w:t>
      </w:r>
      <w:r>
        <w:rPr>
          <w:rFonts w:ascii="宋体" w:hAnsi="宋体" w:eastAsia="宋体" w:cs="宋体"/>
          <w:sz w:val="21"/>
          <w:szCs w:val="21"/>
        </w:rPr>
        <w:t xml:space="preserve"> </w:t>
      </w:r>
      <w:r>
        <w:rPr>
          <w:rFonts w:ascii="宋体" w:hAnsi="宋体" w:eastAsia="宋体" w:cs="宋体"/>
          <w:spacing w:val="8"/>
          <w:sz w:val="21"/>
          <w:szCs w:val="21"/>
        </w:rPr>
        <w:t>分布来看，与1990年相比，2019年除广东和西藏外，其他省(自治区)男性和女性的恶性肿瘤死亡</w:t>
      </w:r>
      <w:r>
        <w:rPr>
          <w:rFonts w:ascii="宋体" w:hAnsi="宋体" w:eastAsia="宋体" w:cs="宋体"/>
          <w:spacing w:val="2"/>
          <w:sz w:val="21"/>
          <w:szCs w:val="21"/>
        </w:rPr>
        <w:t xml:space="preserve"> </w:t>
      </w:r>
      <w:r>
        <w:rPr>
          <w:rFonts w:ascii="宋体" w:hAnsi="宋体" w:eastAsia="宋体" w:cs="宋体"/>
          <w:spacing w:val="8"/>
          <w:sz w:val="21"/>
          <w:szCs w:val="21"/>
        </w:rPr>
        <w:t>率均上升。从地区分布来看，2019年多个省份死亡率呈现出比1990年更大的性别差异，安徽、广</w:t>
      </w:r>
      <w:r>
        <w:rPr>
          <w:rFonts w:ascii="宋体" w:hAnsi="宋体" w:eastAsia="宋体" w:cs="宋体"/>
          <w:spacing w:val="14"/>
          <w:sz w:val="21"/>
          <w:szCs w:val="21"/>
        </w:rPr>
        <w:t xml:space="preserve"> </w:t>
      </w:r>
      <w:r>
        <w:rPr>
          <w:rFonts w:ascii="宋体" w:hAnsi="宋体" w:eastAsia="宋体" w:cs="宋体"/>
          <w:spacing w:val="1"/>
          <w:sz w:val="21"/>
          <w:szCs w:val="21"/>
        </w:rPr>
        <w:t>东、四川、湖南、福建和浙江6个省份的性别比均超过2,差异明显增大，而吉林、黑龙江、宁夏、新</w:t>
      </w:r>
      <w:r>
        <w:rPr>
          <w:rFonts w:ascii="宋体" w:hAnsi="宋体" w:eastAsia="宋体" w:cs="宋体"/>
          <w:spacing w:val="17"/>
          <w:sz w:val="21"/>
          <w:szCs w:val="21"/>
        </w:rPr>
        <w:t xml:space="preserve"> </w:t>
      </w:r>
      <w:r>
        <w:rPr>
          <w:rFonts w:ascii="宋体" w:hAnsi="宋体" w:eastAsia="宋体" w:cs="宋体"/>
          <w:spacing w:val="4"/>
          <w:sz w:val="21"/>
          <w:szCs w:val="21"/>
        </w:rPr>
        <w:t>疆和西藏的性别差异有所减小。以上综合分析可见，我国恶性肿瘤死亡水平整体仍呈上升</w:t>
      </w:r>
      <w:r>
        <w:rPr>
          <w:rFonts w:ascii="宋体" w:hAnsi="宋体" w:eastAsia="宋体" w:cs="宋体"/>
          <w:spacing w:val="3"/>
          <w:sz w:val="21"/>
          <w:szCs w:val="21"/>
        </w:rPr>
        <w:t>，男性高</w:t>
      </w:r>
      <w:r>
        <w:rPr>
          <w:rFonts w:ascii="宋体" w:hAnsi="宋体" w:eastAsia="宋体" w:cs="宋体"/>
          <w:sz w:val="21"/>
          <w:szCs w:val="21"/>
        </w:rPr>
        <w:t xml:space="preserve"> </w:t>
      </w:r>
      <w:r>
        <w:rPr>
          <w:rFonts w:ascii="宋体" w:hAnsi="宋体" w:eastAsia="宋体" w:cs="宋体"/>
          <w:spacing w:val="10"/>
          <w:sz w:val="21"/>
          <w:szCs w:val="21"/>
        </w:rPr>
        <w:t>于女性的性别差异在经济发展水平较高的地</w:t>
      </w:r>
      <w:r>
        <w:rPr>
          <w:rFonts w:ascii="宋体" w:hAnsi="宋体" w:eastAsia="宋体" w:cs="宋体"/>
          <w:spacing w:val="9"/>
          <w:sz w:val="21"/>
          <w:szCs w:val="21"/>
        </w:rPr>
        <w:t>区有扩大的趋势。这需要探讨该现象的影响因素，根</w:t>
      </w:r>
      <w:r>
        <w:rPr>
          <w:rFonts w:ascii="宋体" w:hAnsi="宋体" w:eastAsia="宋体" w:cs="宋体"/>
          <w:sz w:val="21"/>
          <w:szCs w:val="21"/>
        </w:rPr>
        <w:t xml:space="preserve"> </w:t>
      </w:r>
      <w:r>
        <w:rPr>
          <w:rFonts w:ascii="宋体" w:hAnsi="宋体" w:eastAsia="宋体" w:cs="宋体"/>
          <w:spacing w:val="2"/>
          <w:sz w:val="21"/>
          <w:szCs w:val="21"/>
        </w:rPr>
        <w:t>据性别差异特征，针对不同地区和人群制定综合防制策略与措施，降低恶性肿瘤带来的疾病负担。</w:t>
      </w:r>
    </w:p>
    <w:p w14:paraId="7675D0E7">
      <w:pPr>
        <w:pStyle w:val="2"/>
        <w:spacing w:before="50" w:line="221" w:lineRule="auto"/>
        <w:ind w:left="443"/>
        <w:rPr>
          <w:sz w:val="21"/>
          <w:szCs w:val="21"/>
        </w:rPr>
      </w:pPr>
      <w:r>
        <w:rPr>
          <w:b/>
          <w:bCs/>
          <w:spacing w:val="25"/>
          <w:sz w:val="21"/>
          <w:szCs w:val="21"/>
        </w:rPr>
        <w:t>(二)移民流行病学</w:t>
      </w:r>
    </w:p>
    <w:p w14:paraId="55604319">
      <w:pPr>
        <w:spacing w:before="82" w:line="321" w:lineRule="auto"/>
        <w:ind w:right="590" w:firstLine="440"/>
        <w:jc w:val="both"/>
        <w:rPr>
          <w:rFonts w:ascii="宋体" w:hAnsi="宋体" w:eastAsia="宋体" w:cs="宋体"/>
          <w:sz w:val="21"/>
          <w:szCs w:val="21"/>
        </w:rPr>
      </w:pPr>
      <w:r>
        <w:rPr>
          <w:rFonts w:ascii="宋体" w:hAnsi="宋体" w:eastAsia="宋体" w:cs="宋体"/>
          <w:spacing w:val="8"/>
          <w:sz w:val="21"/>
          <w:szCs w:val="21"/>
        </w:rPr>
        <w:t>移民流行病学</w:t>
      </w:r>
      <w:r>
        <w:rPr>
          <w:rFonts w:ascii="Times New Roman" w:hAnsi="Times New Roman" w:eastAsia="Times New Roman" w:cs="Times New Roman"/>
          <w:spacing w:val="8"/>
          <w:sz w:val="21"/>
          <w:szCs w:val="21"/>
        </w:rPr>
        <w:t>(</w:t>
      </w:r>
      <w:r>
        <w:rPr>
          <w:rFonts w:ascii="Times New Roman" w:hAnsi="Times New Roman" w:eastAsia="Times New Roman" w:cs="Times New Roman"/>
          <w:sz w:val="21"/>
          <w:szCs w:val="21"/>
        </w:rPr>
        <w:t>migrant</w:t>
      </w:r>
      <w:r>
        <w:rPr>
          <w:rFonts w:ascii="Times New Roman" w:hAnsi="Times New Roman" w:eastAsia="Times New Roman" w:cs="Times New Roman"/>
          <w:spacing w:val="8"/>
          <w:sz w:val="21"/>
          <w:szCs w:val="21"/>
        </w:rPr>
        <w:t xml:space="preserve">    </w:t>
      </w:r>
      <w:r>
        <w:rPr>
          <w:rFonts w:ascii="Times New Roman" w:hAnsi="Times New Roman" w:eastAsia="Times New Roman" w:cs="Times New Roman"/>
          <w:sz w:val="21"/>
          <w:szCs w:val="21"/>
        </w:rPr>
        <w:t>epidemiology</w:t>
      </w:r>
      <w:r>
        <w:rPr>
          <w:rFonts w:ascii="Times New Roman" w:hAnsi="Times New Roman" w:eastAsia="Times New Roman" w:cs="Times New Roman"/>
          <w:spacing w:val="8"/>
          <w:sz w:val="21"/>
          <w:szCs w:val="21"/>
        </w:rPr>
        <w:t>)</w:t>
      </w:r>
      <w:r>
        <w:rPr>
          <w:rFonts w:ascii="宋体" w:hAnsi="宋体" w:eastAsia="宋体" w:cs="宋体"/>
          <w:spacing w:val="8"/>
          <w:sz w:val="21"/>
          <w:szCs w:val="21"/>
        </w:rPr>
        <w:t>是通过观察疾病在移民、移居地当地居民及原居地人群</w:t>
      </w:r>
      <w:r>
        <w:rPr>
          <w:rFonts w:ascii="宋体" w:hAnsi="宋体" w:eastAsia="宋体" w:cs="宋体"/>
          <w:spacing w:val="12"/>
          <w:sz w:val="21"/>
          <w:szCs w:val="21"/>
        </w:rPr>
        <w:t xml:space="preserve"> </w:t>
      </w:r>
      <w:r>
        <w:rPr>
          <w:rFonts w:ascii="宋体" w:hAnsi="宋体" w:eastAsia="宋体" w:cs="宋体"/>
          <w:spacing w:val="6"/>
          <w:sz w:val="21"/>
          <w:szCs w:val="21"/>
        </w:rPr>
        <w:t>间的发病率或死亡率的差异，探讨疾病的发生与遗传因素或环境</w:t>
      </w:r>
      <w:r>
        <w:rPr>
          <w:rFonts w:ascii="宋体" w:hAnsi="宋体" w:eastAsia="宋体" w:cs="宋体"/>
          <w:spacing w:val="5"/>
          <w:sz w:val="21"/>
          <w:szCs w:val="21"/>
        </w:rPr>
        <w:t>因素关系的一种观察性研究方法。</w:t>
      </w:r>
      <w:r>
        <w:rPr>
          <w:rFonts w:ascii="宋体" w:hAnsi="宋体" w:eastAsia="宋体" w:cs="宋体"/>
          <w:sz w:val="21"/>
          <w:szCs w:val="21"/>
        </w:rPr>
        <w:t xml:space="preserve"> </w:t>
      </w:r>
      <w:r>
        <w:rPr>
          <w:rFonts w:ascii="宋体" w:hAnsi="宋体" w:eastAsia="宋体" w:cs="宋体"/>
          <w:spacing w:val="9"/>
          <w:sz w:val="21"/>
          <w:szCs w:val="21"/>
        </w:rPr>
        <w:t>移民流行病学是进行疾病人群、地区和时间分布综合描述的一个典型。移民是指居民由原来居住</w:t>
      </w:r>
      <w:r>
        <w:rPr>
          <w:rFonts w:ascii="宋体" w:hAnsi="宋体" w:eastAsia="宋体" w:cs="宋体"/>
          <w:spacing w:val="3"/>
          <w:sz w:val="21"/>
          <w:szCs w:val="21"/>
        </w:rPr>
        <w:t xml:space="preserve"> </w:t>
      </w:r>
      <w:r>
        <w:rPr>
          <w:rFonts w:ascii="宋体" w:hAnsi="宋体" w:eastAsia="宋体" w:cs="宋体"/>
          <w:spacing w:val="4"/>
          <w:sz w:val="21"/>
          <w:szCs w:val="21"/>
        </w:rPr>
        <w:t>地区迁移到其他地区，包括国外或国内不同省、自治区、直辖市的现象。由于居住地变迁</w:t>
      </w:r>
      <w:r>
        <w:rPr>
          <w:rFonts w:ascii="宋体" w:hAnsi="宋体" w:eastAsia="宋体" w:cs="宋体"/>
          <w:spacing w:val="3"/>
          <w:sz w:val="21"/>
          <w:szCs w:val="21"/>
        </w:rPr>
        <w:t>，气候条</w:t>
      </w:r>
      <w:r>
        <w:rPr>
          <w:rFonts w:ascii="宋体" w:hAnsi="宋体" w:eastAsia="宋体" w:cs="宋体"/>
          <w:sz w:val="21"/>
          <w:szCs w:val="21"/>
        </w:rPr>
        <w:t xml:space="preserve"> </w:t>
      </w:r>
      <w:r>
        <w:rPr>
          <w:rFonts w:ascii="宋体" w:hAnsi="宋体" w:eastAsia="宋体" w:cs="宋体"/>
          <w:spacing w:val="-1"/>
          <w:sz w:val="21"/>
          <w:szCs w:val="21"/>
        </w:rPr>
        <w:t>件、地理环境等自然因素的变化，生活方式、风俗习惯等社会因素的差异，移民人群疾病频率会发生</w:t>
      </w:r>
      <w:r>
        <w:rPr>
          <w:rFonts w:ascii="宋体" w:hAnsi="宋体" w:eastAsia="宋体" w:cs="宋体"/>
          <w:spacing w:val="2"/>
          <w:sz w:val="21"/>
          <w:szCs w:val="21"/>
        </w:rPr>
        <w:t xml:space="preserve"> </w:t>
      </w:r>
      <w:r>
        <w:rPr>
          <w:rFonts w:ascii="宋体" w:hAnsi="宋体" w:eastAsia="宋体" w:cs="宋体"/>
          <w:spacing w:val="6"/>
          <w:sz w:val="21"/>
          <w:szCs w:val="21"/>
        </w:rPr>
        <w:t>不同程度的变化。</w:t>
      </w:r>
    </w:p>
    <w:p w14:paraId="6F1D3F16">
      <w:pPr>
        <w:spacing w:before="10" w:line="327" w:lineRule="auto"/>
        <w:ind w:right="660" w:firstLine="440"/>
        <w:rPr>
          <w:rFonts w:ascii="宋体" w:hAnsi="宋体" w:eastAsia="宋体" w:cs="宋体"/>
          <w:sz w:val="21"/>
          <w:szCs w:val="21"/>
        </w:rPr>
      </w:pPr>
      <w:r>
        <w:rPr>
          <w:rFonts w:ascii="宋体" w:hAnsi="宋体" w:eastAsia="宋体" w:cs="宋体"/>
          <w:spacing w:val="9"/>
          <w:sz w:val="21"/>
          <w:szCs w:val="21"/>
        </w:rPr>
        <w:t>移民流行病学常用于慢性非传染性疾病及某些遗传病的病因和流行因素的探讨。移民流行病</w:t>
      </w:r>
      <w:r>
        <w:rPr>
          <w:rFonts w:ascii="宋体" w:hAnsi="宋体" w:eastAsia="宋体" w:cs="宋体"/>
          <w:spacing w:val="3"/>
          <w:sz w:val="21"/>
          <w:szCs w:val="21"/>
        </w:rPr>
        <w:t xml:space="preserve"> </w:t>
      </w:r>
      <w:r>
        <w:rPr>
          <w:rFonts w:ascii="宋体" w:hAnsi="宋体" w:eastAsia="宋体" w:cs="宋体"/>
          <w:spacing w:val="4"/>
          <w:sz w:val="21"/>
          <w:szCs w:val="21"/>
        </w:rPr>
        <w:t>学研究应遵循的原则如下：</w:t>
      </w:r>
    </w:p>
    <w:p w14:paraId="4F0969F8">
      <w:pPr>
        <w:spacing w:line="327" w:lineRule="auto"/>
        <w:rPr>
          <w:rFonts w:ascii="宋体" w:hAnsi="宋体" w:eastAsia="宋体" w:cs="宋体"/>
          <w:sz w:val="21"/>
          <w:szCs w:val="21"/>
        </w:rPr>
        <w:sectPr>
          <w:footerReference r:id="rId59" w:type="default"/>
          <w:pgSz w:w="11900" w:h="16820"/>
          <w:pgMar w:top="400" w:right="714" w:bottom="866" w:left="1319" w:header="0" w:footer="677" w:gutter="0"/>
          <w:cols w:space="720" w:num="1"/>
        </w:sectPr>
      </w:pPr>
    </w:p>
    <w:p w14:paraId="56226649">
      <w:pPr>
        <w:pStyle w:val="2"/>
        <w:spacing w:before="116" w:line="221" w:lineRule="auto"/>
        <w:ind w:left="739"/>
        <w:rPr>
          <w:sz w:val="20"/>
          <w:szCs w:val="20"/>
        </w:rPr>
      </w:pPr>
      <w:r>
        <w:rPr>
          <w:spacing w:val="-8"/>
          <w:sz w:val="20"/>
          <w:szCs w:val="20"/>
        </w:rPr>
        <w:t>第二章疾病的分布</w:t>
      </w:r>
    </w:p>
    <w:p w14:paraId="68EA1296">
      <w:pPr>
        <w:spacing w:line="259" w:lineRule="auto"/>
        <w:rPr>
          <w:rFonts w:ascii="Arial"/>
          <w:sz w:val="21"/>
        </w:rPr>
      </w:pPr>
    </w:p>
    <w:p w14:paraId="3716C13C">
      <w:pPr>
        <w:spacing w:line="260" w:lineRule="auto"/>
        <w:rPr>
          <w:rFonts w:ascii="Arial"/>
          <w:sz w:val="21"/>
        </w:rPr>
      </w:pPr>
    </w:p>
    <w:p w14:paraId="60731F9A">
      <w:pPr>
        <w:pStyle w:val="2"/>
        <w:spacing w:before="65" w:line="221" w:lineRule="auto"/>
        <w:ind w:left="1782"/>
        <w:rPr>
          <w:sz w:val="20"/>
          <w:szCs w:val="20"/>
        </w:rPr>
      </w:pPr>
      <w:bookmarkStart w:id="56" w:name="bookmark421"/>
      <w:bookmarkEnd w:id="56"/>
      <w:r>
        <w:rPr>
          <w:b/>
          <w:bCs/>
          <w:spacing w:val="-1"/>
          <w:sz w:val="20"/>
          <w:szCs w:val="20"/>
        </w:rPr>
        <w:t>表2-41990年和2019年我国部分省(自治区)不同性别恶</w:t>
      </w:r>
      <w:r>
        <w:rPr>
          <w:b/>
          <w:bCs/>
          <w:spacing w:val="-2"/>
          <w:sz w:val="20"/>
          <w:szCs w:val="20"/>
        </w:rPr>
        <w:t>性肿瘤死亡率及性别比</w:t>
      </w:r>
    </w:p>
    <w:p w14:paraId="4E7A505E">
      <w:pPr>
        <w:spacing w:line="51" w:lineRule="exact"/>
      </w:pPr>
    </w:p>
    <w:tbl>
      <w:tblPr>
        <w:tblStyle w:val="5"/>
        <w:tblW w:w="8810" w:type="dxa"/>
        <w:tblInd w:w="769"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0" w:type="dxa"/>
          <w:left w:w="0" w:type="dxa"/>
          <w:bottom w:w="0" w:type="dxa"/>
          <w:right w:w="0" w:type="dxa"/>
        </w:tblCellMar>
      </w:tblPr>
      <w:tblGrid>
        <w:gridCol w:w="1230"/>
        <w:gridCol w:w="1290"/>
        <w:gridCol w:w="1310"/>
        <w:gridCol w:w="1140"/>
        <w:gridCol w:w="1370"/>
        <w:gridCol w:w="1320"/>
        <w:gridCol w:w="1150"/>
      </w:tblGrid>
      <w:tr w14:paraId="22FB4BBD">
        <w:trPr>
          <w:trHeight w:val="384" w:hRule="atLeast"/>
        </w:trPr>
        <w:tc>
          <w:tcPr>
            <w:tcW w:w="1230" w:type="dxa"/>
            <w:vMerge w:val="restart"/>
            <w:tcBorders>
              <w:top w:val="single" w:color="000000" w:sz="4" w:space="0"/>
              <w:bottom w:val="nil"/>
            </w:tcBorders>
            <w:shd w:val="clear" w:color="auto" w:fill="C4CFCC"/>
            <w:vAlign w:val="top"/>
          </w:tcPr>
          <w:p w14:paraId="1B8E9AE5">
            <w:pPr>
              <w:spacing w:line="359" w:lineRule="auto"/>
              <w:rPr>
                <w:rFonts w:ascii="Arial"/>
                <w:sz w:val="21"/>
              </w:rPr>
            </w:pPr>
          </w:p>
          <w:p w14:paraId="2F020CDC">
            <w:pPr>
              <w:pStyle w:val="6"/>
              <w:spacing w:before="61" w:line="219" w:lineRule="auto"/>
              <w:ind w:left="140"/>
              <w:rPr>
                <w:sz w:val="19"/>
                <w:szCs w:val="19"/>
              </w:rPr>
            </w:pPr>
            <w:r>
              <w:rPr>
                <w:spacing w:val="6"/>
                <w:sz w:val="19"/>
                <w:szCs w:val="19"/>
              </w:rPr>
              <w:t>省(自治区)</w:t>
            </w:r>
          </w:p>
        </w:tc>
        <w:tc>
          <w:tcPr>
            <w:tcW w:w="3740" w:type="dxa"/>
            <w:gridSpan w:val="3"/>
            <w:tcBorders>
              <w:top w:val="single" w:color="000000" w:sz="4" w:space="0"/>
              <w:bottom w:val="single" w:color="000000" w:sz="4" w:space="0"/>
            </w:tcBorders>
            <w:shd w:val="clear" w:color="auto" w:fill="C7CAC6"/>
            <w:vAlign w:val="top"/>
          </w:tcPr>
          <w:p w14:paraId="2CD7CB59">
            <w:pPr>
              <w:pStyle w:val="6"/>
              <w:spacing w:before="102" w:line="219" w:lineRule="auto"/>
              <w:ind w:left="1580"/>
              <w:rPr>
                <w:sz w:val="19"/>
                <w:szCs w:val="19"/>
              </w:rPr>
            </w:pPr>
            <w:r>
              <w:rPr>
                <w:spacing w:val="1"/>
                <w:sz w:val="19"/>
                <w:szCs w:val="19"/>
              </w:rPr>
              <w:t>1990年</w:t>
            </w:r>
          </w:p>
        </w:tc>
        <w:tc>
          <w:tcPr>
            <w:tcW w:w="3840" w:type="dxa"/>
            <w:gridSpan w:val="3"/>
            <w:tcBorders>
              <w:top w:val="single" w:color="000000" w:sz="4" w:space="0"/>
              <w:bottom w:val="single" w:color="000000" w:sz="4" w:space="0"/>
            </w:tcBorders>
            <w:shd w:val="clear" w:color="auto" w:fill="C6CAC2"/>
            <w:vAlign w:val="top"/>
          </w:tcPr>
          <w:p w14:paraId="4036B622">
            <w:pPr>
              <w:pStyle w:val="6"/>
              <w:spacing w:before="102" w:line="219" w:lineRule="auto"/>
              <w:ind w:left="1629"/>
              <w:rPr>
                <w:sz w:val="19"/>
                <w:szCs w:val="19"/>
              </w:rPr>
            </w:pPr>
            <w:r>
              <w:rPr>
                <w:spacing w:val="-2"/>
                <w:sz w:val="19"/>
                <w:szCs w:val="19"/>
              </w:rPr>
              <w:t>2019年</w:t>
            </w:r>
          </w:p>
        </w:tc>
      </w:tr>
      <w:tr w14:paraId="7FBAD089">
        <w:trPr>
          <w:trHeight w:val="639" w:hRule="atLeast"/>
        </w:trPr>
        <w:tc>
          <w:tcPr>
            <w:tcW w:w="1230" w:type="dxa"/>
            <w:vMerge w:val="continue"/>
            <w:tcBorders>
              <w:top w:val="nil"/>
              <w:bottom w:val="single" w:color="000000" w:sz="4" w:space="0"/>
            </w:tcBorders>
            <w:vAlign w:val="top"/>
          </w:tcPr>
          <w:p w14:paraId="7178AB5D">
            <w:pPr>
              <w:rPr>
                <w:rFonts w:ascii="Arial"/>
                <w:sz w:val="21"/>
              </w:rPr>
            </w:pPr>
          </w:p>
        </w:tc>
        <w:tc>
          <w:tcPr>
            <w:tcW w:w="1290" w:type="dxa"/>
            <w:tcBorders>
              <w:top w:val="single" w:color="000000" w:sz="4" w:space="0"/>
              <w:bottom w:val="single" w:color="000000" w:sz="4" w:space="0"/>
            </w:tcBorders>
            <w:shd w:val="clear" w:color="auto" w:fill="C2C6C5"/>
            <w:vAlign w:val="top"/>
          </w:tcPr>
          <w:p w14:paraId="3703BD01">
            <w:pPr>
              <w:pStyle w:val="6"/>
              <w:spacing w:before="99" w:line="220" w:lineRule="auto"/>
              <w:ind w:left="410"/>
              <w:rPr>
                <w:sz w:val="19"/>
                <w:szCs w:val="19"/>
              </w:rPr>
            </w:pPr>
            <w:r>
              <w:rPr>
                <w:spacing w:val="3"/>
                <w:sz w:val="19"/>
                <w:szCs w:val="19"/>
              </w:rPr>
              <w:t>男性</w:t>
            </w:r>
          </w:p>
          <w:p w14:paraId="1DAEEC1A">
            <w:pPr>
              <w:pStyle w:val="6"/>
              <w:spacing w:before="43" w:line="220" w:lineRule="auto"/>
              <w:ind w:left="200"/>
              <w:rPr>
                <w:sz w:val="19"/>
                <w:szCs w:val="19"/>
              </w:rPr>
            </w:pPr>
            <w:r>
              <w:rPr>
                <w:spacing w:val="5"/>
                <w:sz w:val="19"/>
                <w:szCs w:val="19"/>
              </w:rPr>
              <w:t>(1/10万)</w:t>
            </w:r>
          </w:p>
        </w:tc>
        <w:tc>
          <w:tcPr>
            <w:tcW w:w="1310" w:type="dxa"/>
            <w:tcBorders>
              <w:top w:val="single" w:color="000000" w:sz="4" w:space="0"/>
              <w:bottom w:val="single" w:color="000000" w:sz="4" w:space="0"/>
            </w:tcBorders>
            <w:shd w:val="clear" w:color="auto" w:fill="C4C6C4"/>
            <w:vAlign w:val="top"/>
          </w:tcPr>
          <w:p w14:paraId="030E7132">
            <w:pPr>
              <w:pStyle w:val="6"/>
              <w:spacing w:before="89" w:line="219" w:lineRule="auto"/>
              <w:ind w:left="459"/>
              <w:rPr>
                <w:sz w:val="19"/>
                <w:szCs w:val="19"/>
              </w:rPr>
            </w:pPr>
            <w:r>
              <w:rPr>
                <w:spacing w:val="3"/>
                <w:sz w:val="19"/>
                <w:szCs w:val="19"/>
              </w:rPr>
              <w:t>女性</w:t>
            </w:r>
          </w:p>
          <w:p w14:paraId="617DCC94">
            <w:pPr>
              <w:pStyle w:val="6"/>
              <w:spacing w:before="54" w:line="220" w:lineRule="auto"/>
              <w:ind w:left="230"/>
              <w:rPr>
                <w:sz w:val="19"/>
                <w:szCs w:val="19"/>
              </w:rPr>
            </w:pPr>
            <w:r>
              <w:rPr>
                <w:spacing w:val="5"/>
                <w:sz w:val="19"/>
                <w:szCs w:val="19"/>
              </w:rPr>
              <w:t>(1/10万)</w:t>
            </w:r>
          </w:p>
        </w:tc>
        <w:tc>
          <w:tcPr>
            <w:tcW w:w="1140" w:type="dxa"/>
            <w:tcBorders>
              <w:top w:val="single" w:color="000000" w:sz="4" w:space="0"/>
              <w:bottom w:val="single" w:color="000000" w:sz="4" w:space="0"/>
            </w:tcBorders>
            <w:shd w:val="clear" w:color="auto" w:fill="C7C9C3"/>
            <w:vAlign w:val="top"/>
          </w:tcPr>
          <w:p w14:paraId="1C4B3383">
            <w:pPr>
              <w:pStyle w:val="6"/>
              <w:spacing w:before="229" w:line="220" w:lineRule="auto"/>
              <w:ind w:left="280"/>
              <w:rPr>
                <w:sz w:val="19"/>
                <w:szCs w:val="19"/>
              </w:rPr>
            </w:pPr>
            <w:r>
              <w:rPr>
                <w:spacing w:val="3"/>
                <w:sz w:val="19"/>
                <w:szCs w:val="19"/>
              </w:rPr>
              <w:t>性别比</w:t>
            </w:r>
          </w:p>
        </w:tc>
        <w:tc>
          <w:tcPr>
            <w:tcW w:w="1370" w:type="dxa"/>
            <w:tcBorders>
              <w:top w:val="single" w:color="000000" w:sz="4" w:space="0"/>
              <w:bottom w:val="single" w:color="000000" w:sz="4" w:space="0"/>
            </w:tcBorders>
            <w:shd w:val="clear" w:color="auto" w:fill="C8CAC4"/>
            <w:vAlign w:val="top"/>
          </w:tcPr>
          <w:p w14:paraId="42C14B9C">
            <w:pPr>
              <w:pStyle w:val="6"/>
              <w:spacing w:before="79" w:line="220" w:lineRule="auto"/>
              <w:ind w:left="510"/>
              <w:rPr>
                <w:sz w:val="19"/>
                <w:szCs w:val="19"/>
              </w:rPr>
            </w:pPr>
            <w:r>
              <w:rPr>
                <w:spacing w:val="3"/>
                <w:sz w:val="19"/>
                <w:szCs w:val="19"/>
              </w:rPr>
              <w:t>男性</w:t>
            </w:r>
          </w:p>
          <w:p w14:paraId="240EC795">
            <w:pPr>
              <w:pStyle w:val="6"/>
              <w:spacing w:before="53" w:line="220" w:lineRule="auto"/>
              <w:ind w:left="290"/>
              <w:rPr>
                <w:sz w:val="19"/>
                <w:szCs w:val="19"/>
              </w:rPr>
            </w:pPr>
            <w:r>
              <w:rPr>
                <w:spacing w:val="5"/>
                <w:sz w:val="19"/>
                <w:szCs w:val="19"/>
              </w:rPr>
              <w:t>(1/10万)</w:t>
            </w:r>
          </w:p>
        </w:tc>
        <w:tc>
          <w:tcPr>
            <w:tcW w:w="1320" w:type="dxa"/>
            <w:tcBorders>
              <w:top w:val="single" w:color="000000" w:sz="4" w:space="0"/>
              <w:bottom w:val="single" w:color="000000" w:sz="4" w:space="0"/>
            </w:tcBorders>
            <w:shd w:val="clear" w:color="auto" w:fill="CBCDC7"/>
            <w:vAlign w:val="top"/>
          </w:tcPr>
          <w:p w14:paraId="30060B35">
            <w:pPr>
              <w:pStyle w:val="6"/>
              <w:spacing w:before="78" w:line="219" w:lineRule="auto"/>
              <w:ind w:left="480"/>
              <w:rPr>
                <w:sz w:val="19"/>
                <w:szCs w:val="19"/>
              </w:rPr>
            </w:pPr>
            <w:r>
              <w:rPr>
                <w:spacing w:val="-4"/>
                <w:sz w:val="19"/>
                <w:szCs w:val="19"/>
              </w:rPr>
              <w:t>女性</w:t>
            </w:r>
          </w:p>
          <w:p w14:paraId="5A45EC13">
            <w:pPr>
              <w:pStyle w:val="6"/>
              <w:spacing w:before="55" w:line="220" w:lineRule="auto"/>
              <w:ind w:left="259"/>
              <w:rPr>
                <w:sz w:val="19"/>
                <w:szCs w:val="19"/>
              </w:rPr>
            </w:pPr>
            <w:r>
              <w:rPr>
                <w:spacing w:val="5"/>
                <w:sz w:val="19"/>
                <w:szCs w:val="19"/>
              </w:rPr>
              <w:t>(1/10万)</w:t>
            </w:r>
          </w:p>
        </w:tc>
        <w:tc>
          <w:tcPr>
            <w:tcW w:w="1150" w:type="dxa"/>
            <w:tcBorders>
              <w:top w:val="single" w:color="000000" w:sz="4" w:space="0"/>
              <w:bottom w:val="single" w:color="000000" w:sz="4" w:space="0"/>
            </w:tcBorders>
            <w:shd w:val="clear" w:color="auto" w:fill="B4B1A1"/>
            <w:vAlign w:val="top"/>
          </w:tcPr>
          <w:p w14:paraId="5A97378B">
            <w:pPr>
              <w:pStyle w:val="6"/>
              <w:spacing w:before="229" w:line="220" w:lineRule="auto"/>
              <w:ind w:left="290"/>
              <w:rPr>
                <w:sz w:val="19"/>
                <w:szCs w:val="19"/>
              </w:rPr>
            </w:pPr>
            <w:r>
              <w:rPr>
                <w:spacing w:val="3"/>
                <w:sz w:val="19"/>
                <w:szCs w:val="19"/>
              </w:rPr>
              <w:t>性别比</w:t>
            </w:r>
          </w:p>
        </w:tc>
      </w:tr>
      <w:tr w14:paraId="73BF7610">
        <w:trPr>
          <w:trHeight w:val="380" w:hRule="atLeast"/>
        </w:trPr>
        <w:tc>
          <w:tcPr>
            <w:tcW w:w="1230" w:type="dxa"/>
            <w:tcBorders>
              <w:top w:val="single" w:color="000000" w:sz="4" w:space="0"/>
              <w:bottom w:val="single" w:color="000000" w:sz="4" w:space="0"/>
            </w:tcBorders>
            <w:vAlign w:val="top"/>
          </w:tcPr>
          <w:p w14:paraId="4C8BC41E">
            <w:pPr>
              <w:pStyle w:val="6"/>
              <w:spacing w:before="100" w:line="220" w:lineRule="auto"/>
              <w:ind w:left="420"/>
              <w:rPr>
                <w:sz w:val="19"/>
                <w:szCs w:val="19"/>
              </w:rPr>
            </w:pPr>
            <w:r>
              <w:rPr>
                <w:spacing w:val="4"/>
                <w:sz w:val="19"/>
                <w:szCs w:val="19"/>
              </w:rPr>
              <w:t>安徽</w:t>
            </w:r>
          </w:p>
        </w:tc>
        <w:tc>
          <w:tcPr>
            <w:tcW w:w="1290" w:type="dxa"/>
            <w:tcBorders>
              <w:top w:val="single" w:color="000000" w:sz="4" w:space="0"/>
              <w:bottom w:val="single" w:color="000000" w:sz="4" w:space="0"/>
            </w:tcBorders>
            <w:vAlign w:val="top"/>
          </w:tcPr>
          <w:p w14:paraId="46AD061D">
            <w:pPr>
              <w:pStyle w:val="6"/>
              <w:spacing w:before="118" w:line="239" w:lineRule="auto"/>
              <w:ind w:left="360"/>
              <w:rPr>
                <w:sz w:val="19"/>
                <w:szCs w:val="19"/>
              </w:rPr>
            </w:pPr>
            <w:r>
              <w:rPr>
                <w:spacing w:val="-3"/>
                <w:sz w:val="19"/>
                <w:szCs w:val="19"/>
              </w:rPr>
              <w:t>159.83</w:t>
            </w:r>
          </w:p>
        </w:tc>
        <w:tc>
          <w:tcPr>
            <w:tcW w:w="1310" w:type="dxa"/>
            <w:tcBorders>
              <w:top w:val="single" w:color="000000" w:sz="4" w:space="0"/>
              <w:bottom w:val="single" w:color="000000" w:sz="4" w:space="0"/>
            </w:tcBorders>
            <w:vAlign w:val="top"/>
          </w:tcPr>
          <w:p w14:paraId="4E45B579">
            <w:pPr>
              <w:pStyle w:val="6"/>
              <w:spacing w:before="118" w:line="239" w:lineRule="auto"/>
              <w:ind w:left="370"/>
              <w:rPr>
                <w:sz w:val="19"/>
                <w:szCs w:val="19"/>
              </w:rPr>
            </w:pPr>
            <w:r>
              <w:rPr>
                <w:spacing w:val="-3"/>
                <w:sz w:val="19"/>
                <w:szCs w:val="19"/>
              </w:rPr>
              <w:t>116.49</w:t>
            </w:r>
          </w:p>
        </w:tc>
        <w:tc>
          <w:tcPr>
            <w:tcW w:w="1140" w:type="dxa"/>
            <w:tcBorders>
              <w:top w:val="single" w:color="000000" w:sz="4" w:space="0"/>
              <w:bottom w:val="single" w:color="000000" w:sz="4" w:space="0"/>
            </w:tcBorders>
            <w:vAlign w:val="top"/>
          </w:tcPr>
          <w:p w14:paraId="721690BC">
            <w:pPr>
              <w:pStyle w:val="6"/>
              <w:spacing w:before="118" w:line="239" w:lineRule="auto"/>
              <w:ind w:left="379"/>
              <w:rPr>
                <w:sz w:val="19"/>
                <w:szCs w:val="19"/>
              </w:rPr>
            </w:pPr>
            <w:r>
              <w:rPr>
                <w:spacing w:val="-5"/>
                <w:sz w:val="19"/>
                <w:szCs w:val="19"/>
              </w:rPr>
              <w:t>1.37</w:t>
            </w:r>
          </w:p>
        </w:tc>
        <w:tc>
          <w:tcPr>
            <w:tcW w:w="1370" w:type="dxa"/>
            <w:tcBorders>
              <w:top w:val="single" w:color="000000" w:sz="4" w:space="0"/>
              <w:bottom w:val="single" w:color="000000" w:sz="4" w:space="0"/>
            </w:tcBorders>
            <w:vAlign w:val="top"/>
          </w:tcPr>
          <w:p w14:paraId="350BE9AD">
            <w:pPr>
              <w:pStyle w:val="6"/>
              <w:spacing w:before="118" w:line="239" w:lineRule="auto"/>
              <w:ind w:left="399"/>
              <w:rPr>
                <w:sz w:val="19"/>
                <w:szCs w:val="19"/>
              </w:rPr>
            </w:pPr>
            <w:r>
              <w:rPr>
                <w:spacing w:val="-2"/>
                <w:sz w:val="19"/>
                <w:szCs w:val="19"/>
              </w:rPr>
              <w:t>283.88</w:t>
            </w:r>
          </w:p>
        </w:tc>
        <w:tc>
          <w:tcPr>
            <w:tcW w:w="1320" w:type="dxa"/>
            <w:tcBorders>
              <w:top w:val="single" w:color="000000" w:sz="4" w:space="0"/>
              <w:bottom w:val="single" w:color="000000" w:sz="4" w:space="0"/>
            </w:tcBorders>
            <w:vAlign w:val="top"/>
          </w:tcPr>
          <w:p w14:paraId="1640AC33">
            <w:pPr>
              <w:pStyle w:val="6"/>
              <w:spacing w:before="118" w:line="239" w:lineRule="auto"/>
              <w:ind w:left="370"/>
              <w:rPr>
                <w:sz w:val="19"/>
                <w:szCs w:val="19"/>
              </w:rPr>
            </w:pPr>
            <w:r>
              <w:rPr>
                <w:spacing w:val="-3"/>
                <w:sz w:val="19"/>
                <w:szCs w:val="19"/>
              </w:rPr>
              <w:t>135.79</w:t>
            </w:r>
          </w:p>
        </w:tc>
        <w:tc>
          <w:tcPr>
            <w:tcW w:w="1150" w:type="dxa"/>
            <w:tcBorders>
              <w:top w:val="single" w:color="000000" w:sz="4" w:space="0"/>
              <w:bottom w:val="single" w:color="000000" w:sz="4" w:space="0"/>
            </w:tcBorders>
            <w:vAlign w:val="top"/>
          </w:tcPr>
          <w:p w14:paraId="59F6AABB">
            <w:pPr>
              <w:pStyle w:val="6"/>
              <w:spacing w:before="118" w:line="239" w:lineRule="auto"/>
              <w:ind w:left="379"/>
              <w:rPr>
                <w:sz w:val="19"/>
                <w:szCs w:val="19"/>
              </w:rPr>
            </w:pPr>
            <w:r>
              <w:rPr>
                <w:spacing w:val="-2"/>
                <w:sz w:val="19"/>
                <w:szCs w:val="19"/>
              </w:rPr>
              <w:t>2.09</w:t>
            </w:r>
          </w:p>
        </w:tc>
      </w:tr>
      <w:tr w14:paraId="13025421">
        <w:trPr>
          <w:trHeight w:val="399" w:hRule="atLeast"/>
        </w:trPr>
        <w:tc>
          <w:tcPr>
            <w:tcW w:w="1230" w:type="dxa"/>
            <w:tcBorders>
              <w:top w:val="single" w:color="000000" w:sz="4" w:space="0"/>
              <w:bottom w:val="single" w:color="000000" w:sz="4" w:space="0"/>
            </w:tcBorders>
            <w:shd w:val="clear" w:color="auto" w:fill="DFDFE3"/>
            <w:vAlign w:val="top"/>
          </w:tcPr>
          <w:p w14:paraId="7C34161F">
            <w:pPr>
              <w:pStyle w:val="6"/>
              <w:spacing w:before="110" w:line="219" w:lineRule="auto"/>
              <w:ind w:left="420"/>
              <w:rPr>
                <w:sz w:val="19"/>
                <w:szCs w:val="19"/>
              </w:rPr>
            </w:pPr>
            <w:r>
              <w:rPr>
                <w:spacing w:val="8"/>
                <w:sz w:val="19"/>
                <w:szCs w:val="19"/>
              </w:rPr>
              <w:t>广东</w:t>
            </w:r>
          </w:p>
        </w:tc>
        <w:tc>
          <w:tcPr>
            <w:tcW w:w="1290" w:type="dxa"/>
            <w:tcBorders>
              <w:top w:val="single" w:color="000000" w:sz="4" w:space="0"/>
              <w:bottom w:val="single" w:color="000000" w:sz="4" w:space="0"/>
            </w:tcBorders>
            <w:shd w:val="clear" w:color="auto" w:fill="E4E3E5"/>
            <w:vAlign w:val="top"/>
          </w:tcPr>
          <w:p w14:paraId="7D55EFBA">
            <w:pPr>
              <w:pStyle w:val="6"/>
              <w:spacing w:before="128" w:line="239" w:lineRule="auto"/>
              <w:ind w:left="360"/>
              <w:rPr>
                <w:sz w:val="19"/>
                <w:szCs w:val="19"/>
              </w:rPr>
            </w:pPr>
            <w:r>
              <w:rPr>
                <w:spacing w:val="-3"/>
                <w:sz w:val="19"/>
                <w:szCs w:val="19"/>
              </w:rPr>
              <w:t>146.76</w:t>
            </w:r>
          </w:p>
        </w:tc>
        <w:tc>
          <w:tcPr>
            <w:tcW w:w="1310" w:type="dxa"/>
            <w:tcBorders>
              <w:top w:val="single" w:color="000000" w:sz="4" w:space="0"/>
              <w:bottom w:val="single" w:color="000000" w:sz="4" w:space="0"/>
            </w:tcBorders>
            <w:shd w:val="clear" w:color="auto" w:fill="E5E3E4"/>
            <w:vAlign w:val="top"/>
          </w:tcPr>
          <w:p w14:paraId="108C481B">
            <w:pPr>
              <w:pStyle w:val="6"/>
              <w:spacing w:before="128" w:line="239" w:lineRule="auto"/>
              <w:ind w:left="410"/>
              <w:rPr>
                <w:sz w:val="19"/>
                <w:szCs w:val="19"/>
              </w:rPr>
            </w:pPr>
            <w:r>
              <w:rPr>
                <w:spacing w:val="-2"/>
                <w:sz w:val="19"/>
                <w:szCs w:val="19"/>
              </w:rPr>
              <w:t>84.72</w:t>
            </w:r>
          </w:p>
        </w:tc>
        <w:tc>
          <w:tcPr>
            <w:tcW w:w="1140" w:type="dxa"/>
            <w:tcBorders>
              <w:top w:val="single" w:color="000000" w:sz="4" w:space="0"/>
              <w:bottom w:val="single" w:color="000000" w:sz="4" w:space="0"/>
            </w:tcBorders>
            <w:shd w:val="clear" w:color="auto" w:fill="E5E3E4"/>
            <w:vAlign w:val="top"/>
          </w:tcPr>
          <w:p w14:paraId="38853765">
            <w:pPr>
              <w:pStyle w:val="6"/>
              <w:spacing w:before="128" w:line="239" w:lineRule="auto"/>
              <w:ind w:left="379"/>
              <w:rPr>
                <w:sz w:val="19"/>
                <w:szCs w:val="19"/>
              </w:rPr>
            </w:pPr>
            <w:r>
              <w:rPr>
                <w:spacing w:val="-5"/>
                <w:sz w:val="19"/>
                <w:szCs w:val="19"/>
              </w:rPr>
              <w:t>1.73</w:t>
            </w:r>
          </w:p>
        </w:tc>
        <w:tc>
          <w:tcPr>
            <w:tcW w:w="1370" w:type="dxa"/>
            <w:tcBorders>
              <w:top w:val="single" w:color="000000" w:sz="4" w:space="0"/>
              <w:bottom w:val="single" w:color="000000" w:sz="4" w:space="0"/>
            </w:tcBorders>
            <w:shd w:val="clear" w:color="auto" w:fill="E3E1DF"/>
            <w:vAlign w:val="top"/>
          </w:tcPr>
          <w:p w14:paraId="48AE4A50">
            <w:pPr>
              <w:pStyle w:val="6"/>
              <w:spacing w:before="128" w:line="239" w:lineRule="auto"/>
              <w:ind w:left="399"/>
              <w:rPr>
                <w:sz w:val="19"/>
                <w:szCs w:val="19"/>
              </w:rPr>
            </w:pPr>
            <w:r>
              <w:rPr>
                <w:spacing w:val="-3"/>
                <w:sz w:val="19"/>
                <w:szCs w:val="19"/>
              </w:rPr>
              <w:t>143.44</w:t>
            </w:r>
          </w:p>
        </w:tc>
        <w:tc>
          <w:tcPr>
            <w:tcW w:w="1320" w:type="dxa"/>
            <w:tcBorders>
              <w:top w:val="single" w:color="000000" w:sz="4" w:space="0"/>
              <w:bottom w:val="single" w:color="000000" w:sz="4" w:space="0"/>
            </w:tcBorders>
            <w:shd w:val="clear" w:color="auto" w:fill="E2E1DF"/>
            <w:vAlign w:val="top"/>
          </w:tcPr>
          <w:p w14:paraId="4EB34D6E">
            <w:pPr>
              <w:pStyle w:val="6"/>
              <w:spacing w:before="128" w:line="239" w:lineRule="auto"/>
              <w:ind w:left="420"/>
              <w:rPr>
                <w:sz w:val="19"/>
                <w:szCs w:val="19"/>
              </w:rPr>
            </w:pPr>
            <w:r>
              <w:rPr>
                <w:spacing w:val="-2"/>
                <w:sz w:val="19"/>
                <w:szCs w:val="19"/>
              </w:rPr>
              <w:t>71.14</w:t>
            </w:r>
          </w:p>
        </w:tc>
        <w:tc>
          <w:tcPr>
            <w:tcW w:w="1150" w:type="dxa"/>
            <w:tcBorders>
              <w:top w:val="single" w:color="000000" w:sz="4" w:space="0"/>
              <w:bottom w:val="single" w:color="000000" w:sz="4" w:space="0"/>
            </w:tcBorders>
            <w:shd w:val="clear" w:color="auto" w:fill="E2E0DE"/>
            <w:vAlign w:val="top"/>
          </w:tcPr>
          <w:p w14:paraId="388F6E75">
            <w:pPr>
              <w:pStyle w:val="6"/>
              <w:spacing w:before="128" w:line="239" w:lineRule="auto"/>
              <w:ind w:left="379"/>
              <w:rPr>
                <w:sz w:val="19"/>
                <w:szCs w:val="19"/>
              </w:rPr>
            </w:pPr>
            <w:r>
              <w:rPr>
                <w:spacing w:val="-2"/>
                <w:sz w:val="19"/>
                <w:szCs w:val="19"/>
              </w:rPr>
              <w:t>2.02</w:t>
            </w:r>
          </w:p>
        </w:tc>
      </w:tr>
      <w:tr w14:paraId="2EFD7152">
        <w:trPr>
          <w:trHeight w:val="379" w:hRule="atLeast"/>
        </w:trPr>
        <w:tc>
          <w:tcPr>
            <w:tcW w:w="1230" w:type="dxa"/>
            <w:tcBorders>
              <w:top w:val="single" w:color="000000" w:sz="4" w:space="0"/>
              <w:bottom w:val="single" w:color="000000" w:sz="4" w:space="0"/>
            </w:tcBorders>
            <w:vAlign w:val="top"/>
          </w:tcPr>
          <w:p w14:paraId="6E2AC8E2">
            <w:pPr>
              <w:pStyle w:val="6"/>
              <w:spacing w:before="101" w:line="219" w:lineRule="auto"/>
              <w:ind w:left="420"/>
              <w:rPr>
                <w:sz w:val="19"/>
                <w:szCs w:val="19"/>
              </w:rPr>
            </w:pPr>
            <w:r>
              <w:rPr>
                <w:spacing w:val="17"/>
                <w:sz w:val="19"/>
                <w:szCs w:val="19"/>
              </w:rPr>
              <w:t>四川</w:t>
            </w:r>
          </w:p>
        </w:tc>
        <w:tc>
          <w:tcPr>
            <w:tcW w:w="1290" w:type="dxa"/>
            <w:tcBorders>
              <w:top w:val="single" w:color="000000" w:sz="4" w:space="0"/>
              <w:bottom w:val="single" w:color="000000" w:sz="4" w:space="0"/>
            </w:tcBorders>
            <w:vAlign w:val="top"/>
          </w:tcPr>
          <w:p w14:paraId="72DE1A89">
            <w:pPr>
              <w:pStyle w:val="6"/>
              <w:spacing w:before="119" w:line="239" w:lineRule="auto"/>
              <w:ind w:left="360"/>
              <w:rPr>
                <w:sz w:val="19"/>
                <w:szCs w:val="19"/>
              </w:rPr>
            </w:pPr>
            <w:r>
              <w:rPr>
                <w:spacing w:val="-3"/>
                <w:sz w:val="19"/>
                <w:szCs w:val="19"/>
              </w:rPr>
              <w:t>144.52</w:t>
            </w:r>
          </w:p>
        </w:tc>
        <w:tc>
          <w:tcPr>
            <w:tcW w:w="1310" w:type="dxa"/>
            <w:tcBorders>
              <w:top w:val="single" w:color="000000" w:sz="4" w:space="0"/>
              <w:bottom w:val="single" w:color="000000" w:sz="4" w:space="0"/>
            </w:tcBorders>
            <w:vAlign w:val="top"/>
          </w:tcPr>
          <w:p w14:paraId="598EC166">
            <w:pPr>
              <w:pStyle w:val="6"/>
              <w:spacing w:before="119" w:line="239" w:lineRule="auto"/>
              <w:ind w:left="410"/>
              <w:rPr>
                <w:sz w:val="19"/>
                <w:szCs w:val="19"/>
              </w:rPr>
            </w:pPr>
            <w:r>
              <w:rPr>
                <w:spacing w:val="-2"/>
                <w:sz w:val="19"/>
                <w:szCs w:val="19"/>
              </w:rPr>
              <w:t>97.10</w:t>
            </w:r>
          </w:p>
        </w:tc>
        <w:tc>
          <w:tcPr>
            <w:tcW w:w="1140" w:type="dxa"/>
            <w:tcBorders>
              <w:top w:val="single" w:color="000000" w:sz="4" w:space="0"/>
              <w:bottom w:val="single" w:color="000000" w:sz="4" w:space="0"/>
            </w:tcBorders>
            <w:vAlign w:val="top"/>
          </w:tcPr>
          <w:p w14:paraId="5BDB93C3">
            <w:pPr>
              <w:pStyle w:val="6"/>
              <w:spacing w:before="119" w:line="239" w:lineRule="auto"/>
              <w:ind w:left="379"/>
              <w:rPr>
                <w:sz w:val="19"/>
                <w:szCs w:val="19"/>
              </w:rPr>
            </w:pPr>
            <w:r>
              <w:rPr>
                <w:spacing w:val="-5"/>
                <w:sz w:val="19"/>
                <w:szCs w:val="19"/>
              </w:rPr>
              <w:t>1.49</w:t>
            </w:r>
          </w:p>
        </w:tc>
        <w:tc>
          <w:tcPr>
            <w:tcW w:w="1370" w:type="dxa"/>
            <w:tcBorders>
              <w:top w:val="single" w:color="000000" w:sz="4" w:space="0"/>
              <w:bottom w:val="single" w:color="000000" w:sz="4" w:space="0"/>
            </w:tcBorders>
            <w:vAlign w:val="top"/>
          </w:tcPr>
          <w:p w14:paraId="448E4F03">
            <w:pPr>
              <w:pStyle w:val="6"/>
              <w:spacing w:before="119" w:line="239" w:lineRule="auto"/>
              <w:ind w:left="399"/>
              <w:rPr>
                <w:sz w:val="19"/>
                <w:szCs w:val="19"/>
              </w:rPr>
            </w:pPr>
            <w:r>
              <w:rPr>
                <w:spacing w:val="-2"/>
                <w:sz w:val="19"/>
                <w:szCs w:val="19"/>
              </w:rPr>
              <w:t>342.00</w:t>
            </w:r>
          </w:p>
        </w:tc>
        <w:tc>
          <w:tcPr>
            <w:tcW w:w="1320" w:type="dxa"/>
            <w:tcBorders>
              <w:top w:val="single" w:color="000000" w:sz="4" w:space="0"/>
              <w:bottom w:val="single" w:color="000000" w:sz="4" w:space="0"/>
            </w:tcBorders>
            <w:vAlign w:val="top"/>
          </w:tcPr>
          <w:p w14:paraId="46445C7B">
            <w:pPr>
              <w:pStyle w:val="6"/>
              <w:spacing w:before="119" w:line="239" w:lineRule="auto"/>
              <w:ind w:left="370"/>
              <w:rPr>
                <w:sz w:val="19"/>
                <w:szCs w:val="19"/>
              </w:rPr>
            </w:pPr>
            <w:r>
              <w:rPr>
                <w:spacing w:val="-3"/>
                <w:sz w:val="19"/>
                <w:szCs w:val="19"/>
              </w:rPr>
              <w:t>161.69</w:t>
            </w:r>
          </w:p>
        </w:tc>
        <w:tc>
          <w:tcPr>
            <w:tcW w:w="1150" w:type="dxa"/>
            <w:tcBorders>
              <w:top w:val="single" w:color="000000" w:sz="4" w:space="0"/>
              <w:bottom w:val="single" w:color="000000" w:sz="4" w:space="0"/>
            </w:tcBorders>
            <w:vAlign w:val="top"/>
          </w:tcPr>
          <w:p w14:paraId="66F8E765">
            <w:pPr>
              <w:pStyle w:val="6"/>
              <w:spacing w:before="119" w:line="239" w:lineRule="auto"/>
              <w:ind w:left="379"/>
              <w:rPr>
                <w:sz w:val="19"/>
                <w:szCs w:val="19"/>
              </w:rPr>
            </w:pPr>
            <w:r>
              <w:rPr>
                <w:spacing w:val="-2"/>
                <w:sz w:val="19"/>
                <w:szCs w:val="19"/>
              </w:rPr>
              <w:t>2.12</w:t>
            </w:r>
          </w:p>
        </w:tc>
      </w:tr>
      <w:tr w14:paraId="69EF582D">
        <w:trPr>
          <w:trHeight w:val="389" w:hRule="atLeast"/>
        </w:trPr>
        <w:tc>
          <w:tcPr>
            <w:tcW w:w="1230" w:type="dxa"/>
            <w:tcBorders>
              <w:top w:val="single" w:color="000000" w:sz="4" w:space="0"/>
              <w:bottom w:val="single" w:color="000000" w:sz="4" w:space="0"/>
            </w:tcBorders>
            <w:shd w:val="clear" w:color="auto" w:fill="E4E3E7"/>
            <w:vAlign w:val="top"/>
          </w:tcPr>
          <w:p w14:paraId="6A33B63F">
            <w:pPr>
              <w:pStyle w:val="6"/>
              <w:spacing w:before="104" w:line="221" w:lineRule="auto"/>
              <w:ind w:left="420"/>
              <w:rPr>
                <w:sz w:val="19"/>
                <w:szCs w:val="19"/>
              </w:rPr>
            </w:pPr>
            <w:r>
              <w:rPr>
                <w:spacing w:val="-2"/>
                <w:sz w:val="19"/>
                <w:szCs w:val="19"/>
              </w:rPr>
              <w:t>湖南</w:t>
            </w:r>
          </w:p>
        </w:tc>
        <w:tc>
          <w:tcPr>
            <w:tcW w:w="1290" w:type="dxa"/>
            <w:tcBorders>
              <w:top w:val="single" w:color="000000" w:sz="4" w:space="0"/>
              <w:bottom w:val="single" w:color="000000" w:sz="4" w:space="0"/>
            </w:tcBorders>
            <w:shd w:val="clear" w:color="auto" w:fill="E5E3E6"/>
            <w:vAlign w:val="top"/>
          </w:tcPr>
          <w:p w14:paraId="4AE6D96E">
            <w:pPr>
              <w:pStyle w:val="6"/>
              <w:spacing w:before="120" w:line="239" w:lineRule="auto"/>
              <w:ind w:left="400"/>
              <w:rPr>
                <w:sz w:val="19"/>
                <w:szCs w:val="19"/>
              </w:rPr>
            </w:pPr>
            <w:r>
              <w:rPr>
                <w:spacing w:val="-2"/>
                <w:sz w:val="19"/>
                <w:szCs w:val="19"/>
              </w:rPr>
              <w:t>96.02</w:t>
            </w:r>
          </w:p>
        </w:tc>
        <w:tc>
          <w:tcPr>
            <w:tcW w:w="1310" w:type="dxa"/>
            <w:tcBorders>
              <w:top w:val="single" w:color="000000" w:sz="4" w:space="0"/>
              <w:bottom w:val="single" w:color="000000" w:sz="4" w:space="0"/>
            </w:tcBorders>
            <w:shd w:val="clear" w:color="auto" w:fill="E5E3E4"/>
            <w:vAlign w:val="top"/>
          </w:tcPr>
          <w:p w14:paraId="6A5EEC5F">
            <w:pPr>
              <w:pStyle w:val="6"/>
              <w:spacing w:before="120" w:line="239" w:lineRule="auto"/>
              <w:ind w:left="410"/>
              <w:rPr>
                <w:sz w:val="19"/>
                <w:szCs w:val="19"/>
              </w:rPr>
            </w:pPr>
            <w:r>
              <w:rPr>
                <w:spacing w:val="-2"/>
                <w:sz w:val="19"/>
                <w:szCs w:val="19"/>
              </w:rPr>
              <w:t>88.57</w:t>
            </w:r>
          </w:p>
        </w:tc>
        <w:tc>
          <w:tcPr>
            <w:tcW w:w="1140" w:type="dxa"/>
            <w:tcBorders>
              <w:top w:val="single" w:color="000000" w:sz="4" w:space="0"/>
              <w:bottom w:val="single" w:color="000000" w:sz="4" w:space="0"/>
            </w:tcBorders>
            <w:shd w:val="clear" w:color="auto" w:fill="E2E0E1"/>
            <w:vAlign w:val="top"/>
          </w:tcPr>
          <w:p w14:paraId="2618301C">
            <w:pPr>
              <w:pStyle w:val="6"/>
              <w:spacing w:before="120" w:line="239" w:lineRule="auto"/>
              <w:ind w:left="379"/>
              <w:rPr>
                <w:sz w:val="19"/>
                <w:szCs w:val="19"/>
              </w:rPr>
            </w:pPr>
            <w:r>
              <w:rPr>
                <w:spacing w:val="-5"/>
                <w:sz w:val="19"/>
                <w:szCs w:val="19"/>
              </w:rPr>
              <w:t>1.08</w:t>
            </w:r>
          </w:p>
        </w:tc>
        <w:tc>
          <w:tcPr>
            <w:tcW w:w="1370" w:type="dxa"/>
            <w:tcBorders>
              <w:top w:val="single" w:color="000000" w:sz="4" w:space="0"/>
              <w:bottom w:val="single" w:color="000000" w:sz="4" w:space="0"/>
            </w:tcBorders>
            <w:shd w:val="clear" w:color="auto" w:fill="E1DFDD"/>
            <w:vAlign w:val="top"/>
          </w:tcPr>
          <w:p w14:paraId="640B9943">
            <w:pPr>
              <w:pStyle w:val="6"/>
              <w:spacing w:before="120" w:line="239" w:lineRule="auto"/>
              <w:ind w:left="399"/>
              <w:rPr>
                <w:sz w:val="19"/>
                <w:szCs w:val="19"/>
              </w:rPr>
            </w:pPr>
            <w:r>
              <w:rPr>
                <w:spacing w:val="-2"/>
                <w:sz w:val="19"/>
                <w:szCs w:val="19"/>
              </w:rPr>
              <w:t>228.11</w:t>
            </w:r>
          </w:p>
        </w:tc>
        <w:tc>
          <w:tcPr>
            <w:tcW w:w="1320" w:type="dxa"/>
            <w:tcBorders>
              <w:top w:val="single" w:color="000000" w:sz="4" w:space="0"/>
              <w:bottom w:val="single" w:color="000000" w:sz="4" w:space="0"/>
            </w:tcBorders>
            <w:shd w:val="clear" w:color="auto" w:fill="E1E1DD"/>
            <w:vAlign w:val="top"/>
          </w:tcPr>
          <w:p w14:paraId="3D01141A">
            <w:pPr>
              <w:pStyle w:val="6"/>
              <w:spacing w:before="120" w:line="239" w:lineRule="auto"/>
              <w:ind w:left="370"/>
              <w:rPr>
                <w:sz w:val="19"/>
                <w:szCs w:val="19"/>
              </w:rPr>
            </w:pPr>
            <w:r>
              <w:rPr>
                <w:spacing w:val="-3"/>
                <w:sz w:val="19"/>
                <w:szCs w:val="19"/>
              </w:rPr>
              <w:t>110.30</w:t>
            </w:r>
          </w:p>
        </w:tc>
        <w:tc>
          <w:tcPr>
            <w:tcW w:w="1150" w:type="dxa"/>
            <w:tcBorders>
              <w:top w:val="single" w:color="000000" w:sz="4" w:space="0"/>
              <w:bottom w:val="single" w:color="000000" w:sz="4" w:space="0"/>
            </w:tcBorders>
            <w:shd w:val="clear" w:color="auto" w:fill="DEDDD9"/>
            <w:vAlign w:val="top"/>
          </w:tcPr>
          <w:p w14:paraId="31235499">
            <w:pPr>
              <w:pStyle w:val="6"/>
              <w:spacing w:before="120" w:line="239" w:lineRule="auto"/>
              <w:ind w:left="379"/>
              <w:rPr>
                <w:sz w:val="19"/>
                <w:szCs w:val="19"/>
              </w:rPr>
            </w:pPr>
            <w:r>
              <w:rPr>
                <w:spacing w:val="-2"/>
                <w:sz w:val="19"/>
                <w:szCs w:val="19"/>
              </w:rPr>
              <w:t>2.07</w:t>
            </w:r>
          </w:p>
        </w:tc>
      </w:tr>
      <w:tr w14:paraId="2D75698D">
        <w:trPr>
          <w:trHeight w:val="390" w:hRule="atLeast"/>
        </w:trPr>
        <w:tc>
          <w:tcPr>
            <w:tcW w:w="1230" w:type="dxa"/>
            <w:tcBorders>
              <w:top w:val="single" w:color="000000" w:sz="4" w:space="0"/>
              <w:bottom w:val="single" w:color="000000" w:sz="4" w:space="0"/>
            </w:tcBorders>
            <w:vAlign w:val="top"/>
          </w:tcPr>
          <w:p w14:paraId="6E8E2467">
            <w:pPr>
              <w:pStyle w:val="6"/>
              <w:spacing w:before="104" w:line="221" w:lineRule="auto"/>
              <w:ind w:left="420"/>
              <w:rPr>
                <w:sz w:val="19"/>
                <w:szCs w:val="19"/>
              </w:rPr>
            </w:pPr>
            <w:r>
              <w:rPr>
                <w:spacing w:val="-2"/>
                <w:sz w:val="19"/>
                <w:szCs w:val="19"/>
              </w:rPr>
              <w:t>福建</w:t>
            </w:r>
          </w:p>
        </w:tc>
        <w:tc>
          <w:tcPr>
            <w:tcW w:w="1290" w:type="dxa"/>
            <w:tcBorders>
              <w:top w:val="single" w:color="000000" w:sz="4" w:space="0"/>
              <w:bottom w:val="single" w:color="000000" w:sz="4" w:space="0"/>
            </w:tcBorders>
            <w:vAlign w:val="top"/>
          </w:tcPr>
          <w:p w14:paraId="38BEAB91">
            <w:pPr>
              <w:pStyle w:val="6"/>
              <w:spacing w:before="121" w:line="239" w:lineRule="auto"/>
              <w:ind w:left="360"/>
              <w:rPr>
                <w:sz w:val="19"/>
                <w:szCs w:val="19"/>
              </w:rPr>
            </w:pPr>
            <w:r>
              <w:rPr>
                <w:spacing w:val="-3"/>
                <w:sz w:val="19"/>
                <w:szCs w:val="19"/>
              </w:rPr>
              <w:t>155.74</w:t>
            </w:r>
          </w:p>
        </w:tc>
        <w:tc>
          <w:tcPr>
            <w:tcW w:w="1310" w:type="dxa"/>
            <w:tcBorders>
              <w:top w:val="single" w:color="000000" w:sz="4" w:space="0"/>
              <w:bottom w:val="single" w:color="000000" w:sz="4" w:space="0"/>
            </w:tcBorders>
            <w:vAlign w:val="top"/>
          </w:tcPr>
          <w:p w14:paraId="5B466B24">
            <w:pPr>
              <w:pStyle w:val="6"/>
              <w:spacing w:before="121" w:line="239" w:lineRule="auto"/>
              <w:ind w:left="410"/>
              <w:rPr>
                <w:sz w:val="19"/>
                <w:szCs w:val="19"/>
              </w:rPr>
            </w:pPr>
            <w:r>
              <w:rPr>
                <w:spacing w:val="-2"/>
                <w:sz w:val="19"/>
                <w:szCs w:val="19"/>
              </w:rPr>
              <w:t>86.73</w:t>
            </w:r>
          </w:p>
        </w:tc>
        <w:tc>
          <w:tcPr>
            <w:tcW w:w="1140" w:type="dxa"/>
            <w:tcBorders>
              <w:top w:val="single" w:color="000000" w:sz="4" w:space="0"/>
              <w:bottom w:val="single" w:color="000000" w:sz="4" w:space="0"/>
            </w:tcBorders>
            <w:vAlign w:val="top"/>
          </w:tcPr>
          <w:p w14:paraId="79FC4E5B">
            <w:pPr>
              <w:pStyle w:val="6"/>
              <w:spacing w:before="121" w:line="239" w:lineRule="auto"/>
              <w:ind w:left="379"/>
              <w:rPr>
                <w:sz w:val="19"/>
                <w:szCs w:val="19"/>
              </w:rPr>
            </w:pPr>
            <w:r>
              <w:rPr>
                <w:spacing w:val="-5"/>
                <w:sz w:val="19"/>
                <w:szCs w:val="19"/>
              </w:rPr>
              <w:t>1.80</w:t>
            </w:r>
          </w:p>
        </w:tc>
        <w:tc>
          <w:tcPr>
            <w:tcW w:w="1370" w:type="dxa"/>
            <w:tcBorders>
              <w:top w:val="single" w:color="000000" w:sz="4" w:space="0"/>
              <w:bottom w:val="single" w:color="000000" w:sz="4" w:space="0"/>
            </w:tcBorders>
            <w:vAlign w:val="top"/>
          </w:tcPr>
          <w:p w14:paraId="5C2FC278">
            <w:pPr>
              <w:pStyle w:val="6"/>
              <w:spacing w:before="121" w:line="239" w:lineRule="auto"/>
              <w:ind w:left="399"/>
              <w:rPr>
                <w:sz w:val="19"/>
                <w:szCs w:val="19"/>
              </w:rPr>
            </w:pPr>
            <w:r>
              <w:rPr>
                <w:spacing w:val="-2"/>
                <w:sz w:val="19"/>
                <w:szCs w:val="19"/>
              </w:rPr>
              <w:t>229.95</w:t>
            </w:r>
          </w:p>
        </w:tc>
        <w:tc>
          <w:tcPr>
            <w:tcW w:w="1320" w:type="dxa"/>
            <w:tcBorders>
              <w:top w:val="single" w:color="000000" w:sz="4" w:space="0"/>
              <w:bottom w:val="single" w:color="000000" w:sz="4" w:space="0"/>
            </w:tcBorders>
            <w:vAlign w:val="top"/>
          </w:tcPr>
          <w:p w14:paraId="24677A18">
            <w:pPr>
              <w:pStyle w:val="6"/>
              <w:spacing w:before="121" w:line="239" w:lineRule="auto"/>
              <w:ind w:left="370"/>
              <w:rPr>
                <w:sz w:val="19"/>
                <w:szCs w:val="19"/>
              </w:rPr>
            </w:pPr>
            <w:r>
              <w:rPr>
                <w:spacing w:val="-3"/>
                <w:sz w:val="19"/>
                <w:szCs w:val="19"/>
              </w:rPr>
              <w:t>104.01</w:t>
            </w:r>
          </w:p>
        </w:tc>
        <w:tc>
          <w:tcPr>
            <w:tcW w:w="1150" w:type="dxa"/>
            <w:tcBorders>
              <w:top w:val="single" w:color="000000" w:sz="4" w:space="0"/>
              <w:bottom w:val="single" w:color="000000" w:sz="4" w:space="0"/>
            </w:tcBorders>
            <w:vAlign w:val="top"/>
          </w:tcPr>
          <w:p w14:paraId="6D007A2C">
            <w:pPr>
              <w:pStyle w:val="6"/>
              <w:spacing w:before="121" w:line="239" w:lineRule="auto"/>
              <w:ind w:left="379"/>
              <w:rPr>
                <w:sz w:val="19"/>
                <w:szCs w:val="19"/>
              </w:rPr>
            </w:pPr>
            <w:r>
              <w:rPr>
                <w:spacing w:val="-2"/>
                <w:sz w:val="19"/>
                <w:szCs w:val="19"/>
              </w:rPr>
              <w:t>2.21</w:t>
            </w:r>
          </w:p>
        </w:tc>
      </w:tr>
      <w:tr w14:paraId="618258C4">
        <w:trPr>
          <w:trHeight w:val="389" w:hRule="atLeast"/>
        </w:trPr>
        <w:tc>
          <w:tcPr>
            <w:tcW w:w="1230" w:type="dxa"/>
            <w:tcBorders>
              <w:top w:val="single" w:color="000000" w:sz="4" w:space="0"/>
              <w:bottom w:val="single" w:color="000000" w:sz="4" w:space="0"/>
            </w:tcBorders>
            <w:shd w:val="clear" w:color="auto" w:fill="E0E0E4"/>
            <w:vAlign w:val="top"/>
          </w:tcPr>
          <w:p w14:paraId="3DEF6683">
            <w:pPr>
              <w:pStyle w:val="6"/>
              <w:spacing w:before="105" w:line="222" w:lineRule="auto"/>
              <w:ind w:left="420"/>
              <w:rPr>
                <w:sz w:val="19"/>
                <w:szCs w:val="19"/>
              </w:rPr>
            </w:pPr>
            <w:r>
              <w:rPr>
                <w:spacing w:val="-3"/>
                <w:sz w:val="19"/>
                <w:szCs w:val="19"/>
              </w:rPr>
              <w:t>浙江</w:t>
            </w:r>
          </w:p>
        </w:tc>
        <w:tc>
          <w:tcPr>
            <w:tcW w:w="1290" w:type="dxa"/>
            <w:tcBorders>
              <w:top w:val="single" w:color="000000" w:sz="4" w:space="0"/>
              <w:bottom w:val="single" w:color="000000" w:sz="4" w:space="0"/>
            </w:tcBorders>
            <w:shd w:val="clear" w:color="auto" w:fill="E4E2E6"/>
            <w:vAlign w:val="top"/>
          </w:tcPr>
          <w:p w14:paraId="09982395">
            <w:pPr>
              <w:pStyle w:val="6"/>
              <w:spacing w:before="121" w:line="239" w:lineRule="auto"/>
              <w:ind w:left="360"/>
              <w:rPr>
                <w:sz w:val="19"/>
                <w:szCs w:val="19"/>
              </w:rPr>
            </w:pPr>
            <w:r>
              <w:rPr>
                <w:spacing w:val="-3"/>
                <w:sz w:val="19"/>
                <w:szCs w:val="19"/>
              </w:rPr>
              <w:t>149.65</w:t>
            </w:r>
          </w:p>
        </w:tc>
        <w:tc>
          <w:tcPr>
            <w:tcW w:w="1310" w:type="dxa"/>
            <w:tcBorders>
              <w:top w:val="single" w:color="000000" w:sz="4" w:space="0"/>
              <w:bottom w:val="single" w:color="000000" w:sz="4" w:space="0"/>
            </w:tcBorders>
            <w:shd w:val="clear" w:color="auto" w:fill="E3E0E1"/>
            <w:vAlign w:val="top"/>
          </w:tcPr>
          <w:p w14:paraId="794EC925">
            <w:pPr>
              <w:pStyle w:val="6"/>
              <w:spacing w:before="121" w:line="239" w:lineRule="auto"/>
              <w:ind w:left="410"/>
              <w:rPr>
                <w:sz w:val="19"/>
                <w:szCs w:val="19"/>
              </w:rPr>
            </w:pPr>
            <w:r>
              <w:rPr>
                <w:spacing w:val="-2"/>
                <w:sz w:val="19"/>
                <w:szCs w:val="19"/>
              </w:rPr>
              <w:t>82.32</w:t>
            </w:r>
          </w:p>
        </w:tc>
        <w:tc>
          <w:tcPr>
            <w:tcW w:w="1140" w:type="dxa"/>
            <w:tcBorders>
              <w:top w:val="single" w:color="000000" w:sz="4" w:space="0"/>
              <w:bottom w:val="single" w:color="000000" w:sz="4" w:space="0"/>
            </w:tcBorders>
            <w:shd w:val="clear" w:color="auto" w:fill="E0DEDF"/>
            <w:vAlign w:val="top"/>
          </w:tcPr>
          <w:p w14:paraId="3719F99F">
            <w:pPr>
              <w:pStyle w:val="6"/>
              <w:spacing w:before="121" w:line="239" w:lineRule="auto"/>
              <w:ind w:left="379"/>
              <w:rPr>
                <w:sz w:val="19"/>
                <w:szCs w:val="19"/>
              </w:rPr>
            </w:pPr>
            <w:r>
              <w:rPr>
                <w:spacing w:val="-5"/>
                <w:sz w:val="19"/>
                <w:szCs w:val="19"/>
              </w:rPr>
              <w:t>1.82</w:t>
            </w:r>
          </w:p>
        </w:tc>
        <w:tc>
          <w:tcPr>
            <w:tcW w:w="1370" w:type="dxa"/>
            <w:tcBorders>
              <w:top w:val="single" w:color="000000" w:sz="4" w:space="0"/>
              <w:bottom w:val="single" w:color="000000" w:sz="4" w:space="0"/>
            </w:tcBorders>
            <w:shd w:val="clear" w:color="auto" w:fill="E2DFDE"/>
            <w:vAlign w:val="top"/>
          </w:tcPr>
          <w:p w14:paraId="3A4B2376">
            <w:pPr>
              <w:pStyle w:val="6"/>
              <w:spacing w:before="121" w:line="239" w:lineRule="auto"/>
              <w:ind w:left="399"/>
              <w:rPr>
                <w:sz w:val="19"/>
                <w:szCs w:val="19"/>
              </w:rPr>
            </w:pPr>
            <w:r>
              <w:rPr>
                <w:spacing w:val="-2"/>
                <w:sz w:val="19"/>
                <w:szCs w:val="19"/>
              </w:rPr>
              <w:t>221.98</w:t>
            </w:r>
          </w:p>
        </w:tc>
        <w:tc>
          <w:tcPr>
            <w:tcW w:w="1320" w:type="dxa"/>
            <w:tcBorders>
              <w:top w:val="single" w:color="000000" w:sz="4" w:space="0"/>
              <w:bottom w:val="single" w:color="000000" w:sz="4" w:space="0"/>
            </w:tcBorders>
            <w:shd w:val="clear" w:color="auto" w:fill="E2E1DD"/>
            <w:vAlign w:val="top"/>
          </w:tcPr>
          <w:p w14:paraId="152A962D">
            <w:pPr>
              <w:pStyle w:val="6"/>
              <w:spacing w:before="121" w:line="239" w:lineRule="auto"/>
              <w:ind w:left="370"/>
              <w:rPr>
                <w:sz w:val="19"/>
                <w:szCs w:val="19"/>
              </w:rPr>
            </w:pPr>
            <w:r>
              <w:rPr>
                <w:spacing w:val="-3"/>
                <w:sz w:val="19"/>
                <w:szCs w:val="19"/>
              </w:rPr>
              <w:t>106.79</w:t>
            </w:r>
          </w:p>
        </w:tc>
        <w:tc>
          <w:tcPr>
            <w:tcW w:w="1150" w:type="dxa"/>
            <w:tcBorders>
              <w:top w:val="single" w:color="000000" w:sz="4" w:space="0"/>
              <w:bottom w:val="single" w:color="000000" w:sz="4" w:space="0"/>
            </w:tcBorders>
            <w:shd w:val="clear" w:color="auto" w:fill="D4D2C6"/>
            <w:vAlign w:val="top"/>
          </w:tcPr>
          <w:p w14:paraId="37714064">
            <w:pPr>
              <w:pStyle w:val="6"/>
              <w:spacing w:before="121" w:line="239" w:lineRule="auto"/>
              <w:ind w:left="379"/>
              <w:rPr>
                <w:sz w:val="19"/>
                <w:szCs w:val="19"/>
              </w:rPr>
            </w:pPr>
            <w:r>
              <w:rPr>
                <w:spacing w:val="-2"/>
                <w:sz w:val="19"/>
                <w:szCs w:val="19"/>
              </w:rPr>
              <w:t>2.08</w:t>
            </w:r>
          </w:p>
        </w:tc>
      </w:tr>
      <w:tr w14:paraId="0E3B3956">
        <w:trPr>
          <w:trHeight w:val="399" w:hRule="atLeast"/>
        </w:trPr>
        <w:tc>
          <w:tcPr>
            <w:tcW w:w="1230" w:type="dxa"/>
            <w:tcBorders>
              <w:top w:val="single" w:color="000000" w:sz="4" w:space="0"/>
              <w:bottom w:val="single" w:color="000000" w:sz="4" w:space="0"/>
            </w:tcBorders>
            <w:vAlign w:val="top"/>
          </w:tcPr>
          <w:p w14:paraId="7FBEF7EC">
            <w:pPr>
              <w:pStyle w:val="6"/>
              <w:spacing w:before="113" w:line="219" w:lineRule="auto"/>
              <w:ind w:left="420"/>
              <w:rPr>
                <w:sz w:val="19"/>
                <w:szCs w:val="19"/>
              </w:rPr>
            </w:pPr>
            <w:r>
              <w:rPr>
                <w:spacing w:val="3"/>
                <w:sz w:val="19"/>
                <w:szCs w:val="19"/>
              </w:rPr>
              <w:t>吉林</w:t>
            </w:r>
          </w:p>
        </w:tc>
        <w:tc>
          <w:tcPr>
            <w:tcW w:w="1290" w:type="dxa"/>
            <w:tcBorders>
              <w:top w:val="single" w:color="000000" w:sz="4" w:space="0"/>
              <w:bottom w:val="single" w:color="000000" w:sz="4" w:space="0"/>
            </w:tcBorders>
            <w:vAlign w:val="top"/>
          </w:tcPr>
          <w:p w14:paraId="548A70A4">
            <w:pPr>
              <w:pStyle w:val="6"/>
              <w:spacing w:before="132" w:line="239" w:lineRule="auto"/>
              <w:ind w:left="360"/>
              <w:rPr>
                <w:sz w:val="19"/>
                <w:szCs w:val="19"/>
              </w:rPr>
            </w:pPr>
            <w:r>
              <w:rPr>
                <w:spacing w:val="-3"/>
                <w:sz w:val="19"/>
                <w:szCs w:val="19"/>
              </w:rPr>
              <w:t>158.36</w:t>
            </w:r>
          </w:p>
        </w:tc>
        <w:tc>
          <w:tcPr>
            <w:tcW w:w="1310" w:type="dxa"/>
            <w:tcBorders>
              <w:top w:val="single" w:color="000000" w:sz="4" w:space="0"/>
              <w:bottom w:val="single" w:color="000000" w:sz="4" w:space="0"/>
            </w:tcBorders>
            <w:vAlign w:val="top"/>
          </w:tcPr>
          <w:p w14:paraId="55DFABF9">
            <w:pPr>
              <w:pStyle w:val="6"/>
              <w:spacing w:before="132" w:line="239" w:lineRule="auto"/>
              <w:ind w:left="410"/>
              <w:rPr>
                <w:sz w:val="19"/>
                <w:szCs w:val="19"/>
              </w:rPr>
            </w:pPr>
            <w:r>
              <w:rPr>
                <w:spacing w:val="-2"/>
                <w:sz w:val="19"/>
                <w:szCs w:val="19"/>
              </w:rPr>
              <w:t>87.04</w:t>
            </w:r>
          </w:p>
        </w:tc>
        <w:tc>
          <w:tcPr>
            <w:tcW w:w="1140" w:type="dxa"/>
            <w:tcBorders>
              <w:top w:val="single" w:color="000000" w:sz="4" w:space="0"/>
              <w:bottom w:val="single" w:color="000000" w:sz="4" w:space="0"/>
            </w:tcBorders>
            <w:vAlign w:val="top"/>
          </w:tcPr>
          <w:p w14:paraId="05D872E6">
            <w:pPr>
              <w:pStyle w:val="6"/>
              <w:spacing w:before="132" w:line="239" w:lineRule="auto"/>
              <w:ind w:left="379"/>
              <w:rPr>
                <w:sz w:val="19"/>
                <w:szCs w:val="19"/>
              </w:rPr>
            </w:pPr>
            <w:r>
              <w:rPr>
                <w:spacing w:val="-5"/>
                <w:sz w:val="19"/>
                <w:szCs w:val="19"/>
              </w:rPr>
              <w:t>1.82</w:t>
            </w:r>
          </w:p>
        </w:tc>
        <w:tc>
          <w:tcPr>
            <w:tcW w:w="1370" w:type="dxa"/>
            <w:tcBorders>
              <w:top w:val="single" w:color="000000" w:sz="4" w:space="0"/>
              <w:bottom w:val="single" w:color="000000" w:sz="4" w:space="0"/>
            </w:tcBorders>
            <w:vAlign w:val="top"/>
          </w:tcPr>
          <w:p w14:paraId="0B47490C">
            <w:pPr>
              <w:pStyle w:val="6"/>
              <w:spacing w:before="132" w:line="239" w:lineRule="auto"/>
              <w:ind w:left="399"/>
              <w:rPr>
                <w:sz w:val="19"/>
                <w:szCs w:val="19"/>
              </w:rPr>
            </w:pPr>
            <w:r>
              <w:rPr>
                <w:spacing w:val="-2"/>
                <w:sz w:val="19"/>
                <w:szCs w:val="19"/>
              </w:rPr>
              <w:t>214.04</w:t>
            </w:r>
          </w:p>
        </w:tc>
        <w:tc>
          <w:tcPr>
            <w:tcW w:w="1320" w:type="dxa"/>
            <w:tcBorders>
              <w:top w:val="single" w:color="000000" w:sz="4" w:space="0"/>
              <w:bottom w:val="single" w:color="000000" w:sz="4" w:space="0"/>
            </w:tcBorders>
            <w:vAlign w:val="top"/>
          </w:tcPr>
          <w:p w14:paraId="293C7258">
            <w:pPr>
              <w:pStyle w:val="6"/>
              <w:spacing w:before="132" w:line="239" w:lineRule="auto"/>
              <w:ind w:left="370"/>
              <w:rPr>
                <w:sz w:val="19"/>
                <w:szCs w:val="19"/>
              </w:rPr>
            </w:pPr>
            <w:r>
              <w:rPr>
                <w:spacing w:val="-3"/>
                <w:sz w:val="19"/>
                <w:szCs w:val="19"/>
              </w:rPr>
              <w:t>181.63</w:t>
            </w:r>
          </w:p>
        </w:tc>
        <w:tc>
          <w:tcPr>
            <w:tcW w:w="1150" w:type="dxa"/>
            <w:tcBorders>
              <w:top w:val="single" w:color="000000" w:sz="4" w:space="0"/>
              <w:bottom w:val="single" w:color="000000" w:sz="4" w:space="0"/>
            </w:tcBorders>
            <w:vAlign w:val="top"/>
          </w:tcPr>
          <w:p w14:paraId="354544D9">
            <w:pPr>
              <w:pStyle w:val="6"/>
              <w:spacing w:before="132" w:line="239" w:lineRule="auto"/>
              <w:ind w:left="379"/>
              <w:rPr>
                <w:sz w:val="19"/>
                <w:szCs w:val="19"/>
              </w:rPr>
            </w:pPr>
            <w:r>
              <w:rPr>
                <w:spacing w:val="-5"/>
                <w:sz w:val="19"/>
                <w:szCs w:val="19"/>
              </w:rPr>
              <w:t>1.18</w:t>
            </w:r>
          </w:p>
        </w:tc>
      </w:tr>
      <w:tr w14:paraId="42FF10E1">
        <w:trPr>
          <w:trHeight w:val="369" w:hRule="atLeast"/>
        </w:trPr>
        <w:tc>
          <w:tcPr>
            <w:tcW w:w="1230" w:type="dxa"/>
            <w:tcBorders>
              <w:top w:val="single" w:color="000000" w:sz="4" w:space="0"/>
              <w:bottom w:val="single" w:color="000000" w:sz="4" w:space="0"/>
            </w:tcBorders>
            <w:shd w:val="clear" w:color="auto" w:fill="DFE1E4"/>
            <w:vAlign w:val="top"/>
          </w:tcPr>
          <w:p w14:paraId="2BF00F37">
            <w:pPr>
              <w:pStyle w:val="6"/>
              <w:spacing w:before="95" w:line="219" w:lineRule="auto"/>
              <w:ind w:left="329"/>
              <w:rPr>
                <w:sz w:val="19"/>
                <w:szCs w:val="19"/>
              </w:rPr>
            </w:pPr>
            <w:r>
              <w:rPr>
                <w:spacing w:val="-3"/>
                <w:sz w:val="19"/>
                <w:szCs w:val="19"/>
              </w:rPr>
              <w:t>黑龙江</w:t>
            </w:r>
          </w:p>
        </w:tc>
        <w:tc>
          <w:tcPr>
            <w:tcW w:w="1290" w:type="dxa"/>
            <w:tcBorders>
              <w:top w:val="single" w:color="000000" w:sz="4" w:space="0"/>
              <w:bottom w:val="single" w:color="000000" w:sz="4" w:space="0"/>
            </w:tcBorders>
            <w:shd w:val="clear" w:color="auto" w:fill="E1E1E3"/>
            <w:vAlign w:val="top"/>
          </w:tcPr>
          <w:p w14:paraId="4A73E8E6">
            <w:pPr>
              <w:pStyle w:val="6"/>
              <w:spacing w:before="114" w:line="238" w:lineRule="auto"/>
              <w:ind w:left="360"/>
              <w:rPr>
                <w:sz w:val="19"/>
                <w:szCs w:val="19"/>
              </w:rPr>
            </w:pPr>
            <w:r>
              <w:rPr>
                <w:spacing w:val="-3"/>
                <w:sz w:val="19"/>
                <w:szCs w:val="19"/>
              </w:rPr>
              <w:t>134.44</w:t>
            </w:r>
          </w:p>
        </w:tc>
        <w:tc>
          <w:tcPr>
            <w:tcW w:w="1310" w:type="dxa"/>
            <w:tcBorders>
              <w:top w:val="single" w:color="000000" w:sz="4" w:space="0"/>
              <w:bottom w:val="single" w:color="000000" w:sz="4" w:space="0"/>
            </w:tcBorders>
            <w:shd w:val="clear" w:color="auto" w:fill="E1E0E2"/>
            <w:vAlign w:val="top"/>
          </w:tcPr>
          <w:p w14:paraId="73B30B12">
            <w:pPr>
              <w:pStyle w:val="6"/>
              <w:spacing w:before="114" w:line="238" w:lineRule="auto"/>
              <w:ind w:left="410"/>
              <w:rPr>
                <w:sz w:val="19"/>
                <w:szCs w:val="19"/>
              </w:rPr>
            </w:pPr>
            <w:r>
              <w:rPr>
                <w:spacing w:val="-2"/>
                <w:sz w:val="19"/>
                <w:szCs w:val="19"/>
              </w:rPr>
              <w:t>75.68</w:t>
            </w:r>
          </w:p>
        </w:tc>
        <w:tc>
          <w:tcPr>
            <w:tcW w:w="1140" w:type="dxa"/>
            <w:tcBorders>
              <w:top w:val="single" w:color="000000" w:sz="4" w:space="0"/>
              <w:bottom w:val="single" w:color="000000" w:sz="4" w:space="0"/>
            </w:tcBorders>
            <w:shd w:val="clear" w:color="auto" w:fill="E0DEE1"/>
            <w:vAlign w:val="top"/>
          </w:tcPr>
          <w:p w14:paraId="585A9CA7">
            <w:pPr>
              <w:pStyle w:val="6"/>
              <w:spacing w:before="114" w:line="238" w:lineRule="auto"/>
              <w:ind w:left="379"/>
              <w:rPr>
                <w:sz w:val="19"/>
                <w:szCs w:val="19"/>
              </w:rPr>
            </w:pPr>
            <w:r>
              <w:rPr>
                <w:spacing w:val="-5"/>
                <w:sz w:val="19"/>
                <w:szCs w:val="19"/>
              </w:rPr>
              <w:t>1.78</w:t>
            </w:r>
          </w:p>
        </w:tc>
        <w:tc>
          <w:tcPr>
            <w:tcW w:w="1370" w:type="dxa"/>
            <w:tcBorders>
              <w:top w:val="single" w:color="000000" w:sz="4" w:space="0"/>
              <w:bottom w:val="single" w:color="000000" w:sz="4" w:space="0"/>
            </w:tcBorders>
            <w:shd w:val="clear" w:color="auto" w:fill="E1DFDF"/>
            <w:vAlign w:val="top"/>
          </w:tcPr>
          <w:p w14:paraId="24EB1A71">
            <w:pPr>
              <w:pStyle w:val="6"/>
              <w:spacing w:before="114" w:line="238" w:lineRule="auto"/>
              <w:ind w:left="399"/>
              <w:rPr>
                <w:sz w:val="19"/>
                <w:szCs w:val="19"/>
              </w:rPr>
            </w:pPr>
            <w:r>
              <w:rPr>
                <w:spacing w:val="-2"/>
                <w:sz w:val="19"/>
                <w:szCs w:val="19"/>
              </w:rPr>
              <w:t>299.33</w:t>
            </w:r>
          </w:p>
        </w:tc>
        <w:tc>
          <w:tcPr>
            <w:tcW w:w="1320" w:type="dxa"/>
            <w:tcBorders>
              <w:top w:val="single" w:color="000000" w:sz="4" w:space="0"/>
              <w:bottom w:val="single" w:color="000000" w:sz="4" w:space="0"/>
            </w:tcBorders>
            <w:shd w:val="clear" w:color="auto" w:fill="E2E1DF"/>
            <w:vAlign w:val="top"/>
          </w:tcPr>
          <w:p w14:paraId="28426CF8">
            <w:pPr>
              <w:pStyle w:val="6"/>
              <w:spacing w:before="114" w:line="238" w:lineRule="auto"/>
              <w:ind w:left="370"/>
              <w:rPr>
                <w:sz w:val="19"/>
                <w:szCs w:val="19"/>
              </w:rPr>
            </w:pPr>
            <w:r>
              <w:rPr>
                <w:spacing w:val="-3"/>
                <w:sz w:val="19"/>
                <w:szCs w:val="19"/>
              </w:rPr>
              <w:t>168.69</w:t>
            </w:r>
          </w:p>
        </w:tc>
        <w:tc>
          <w:tcPr>
            <w:tcW w:w="1150" w:type="dxa"/>
            <w:tcBorders>
              <w:top w:val="single" w:color="000000" w:sz="4" w:space="0"/>
              <w:bottom w:val="single" w:color="000000" w:sz="4" w:space="0"/>
            </w:tcBorders>
            <w:shd w:val="clear" w:color="auto" w:fill="D4D1CA"/>
            <w:vAlign w:val="top"/>
          </w:tcPr>
          <w:p w14:paraId="64A992C7">
            <w:pPr>
              <w:pStyle w:val="6"/>
              <w:spacing w:before="114" w:line="238" w:lineRule="auto"/>
              <w:ind w:left="379"/>
              <w:rPr>
                <w:sz w:val="19"/>
                <w:szCs w:val="19"/>
              </w:rPr>
            </w:pPr>
            <w:r>
              <w:rPr>
                <w:spacing w:val="-5"/>
                <w:sz w:val="19"/>
                <w:szCs w:val="19"/>
              </w:rPr>
              <w:t>1.77</w:t>
            </w:r>
          </w:p>
        </w:tc>
      </w:tr>
      <w:tr w14:paraId="1BF18772">
        <w:trPr>
          <w:trHeight w:val="380" w:hRule="atLeast"/>
        </w:trPr>
        <w:tc>
          <w:tcPr>
            <w:tcW w:w="1230" w:type="dxa"/>
            <w:tcBorders>
              <w:top w:val="single" w:color="000000" w:sz="4" w:space="0"/>
              <w:bottom w:val="single" w:color="000000" w:sz="4" w:space="0"/>
            </w:tcBorders>
            <w:vAlign w:val="top"/>
          </w:tcPr>
          <w:p w14:paraId="171D83EC">
            <w:pPr>
              <w:pStyle w:val="6"/>
              <w:spacing w:before="107" w:line="221" w:lineRule="auto"/>
              <w:ind w:left="420"/>
              <w:rPr>
                <w:sz w:val="19"/>
                <w:szCs w:val="19"/>
              </w:rPr>
            </w:pPr>
            <w:r>
              <w:rPr>
                <w:spacing w:val="4"/>
                <w:sz w:val="19"/>
                <w:szCs w:val="19"/>
              </w:rPr>
              <w:t>宁夏</w:t>
            </w:r>
          </w:p>
        </w:tc>
        <w:tc>
          <w:tcPr>
            <w:tcW w:w="1290" w:type="dxa"/>
            <w:tcBorders>
              <w:top w:val="single" w:color="000000" w:sz="4" w:space="0"/>
              <w:bottom w:val="single" w:color="000000" w:sz="4" w:space="0"/>
            </w:tcBorders>
            <w:vAlign w:val="top"/>
          </w:tcPr>
          <w:p w14:paraId="2DADF492">
            <w:pPr>
              <w:pStyle w:val="6"/>
              <w:spacing w:before="125" w:line="238" w:lineRule="auto"/>
              <w:ind w:left="360"/>
              <w:rPr>
                <w:sz w:val="19"/>
                <w:szCs w:val="19"/>
              </w:rPr>
            </w:pPr>
            <w:r>
              <w:rPr>
                <w:spacing w:val="-3"/>
                <w:sz w:val="19"/>
                <w:szCs w:val="19"/>
              </w:rPr>
              <w:t>107.83</w:t>
            </w:r>
          </w:p>
        </w:tc>
        <w:tc>
          <w:tcPr>
            <w:tcW w:w="1310" w:type="dxa"/>
            <w:tcBorders>
              <w:top w:val="single" w:color="000000" w:sz="4" w:space="0"/>
              <w:bottom w:val="single" w:color="000000" w:sz="4" w:space="0"/>
            </w:tcBorders>
            <w:vAlign w:val="top"/>
          </w:tcPr>
          <w:p w14:paraId="0242E648">
            <w:pPr>
              <w:pStyle w:val="6"/>
              <w:spacing w:before="125" w:line="238" w:lineRule="auto"/>
              <w:ind w:left="410"/>
              <w:rPr>
                <w:sz w:val="19"/>
                <w:szCs w:val="19"/>
              </w:rPr>
            </w:pPr>
            <w:r>
              <w:rPr>
                <w:spacing w:val="-2"/>
                <w:sz w:val="19"/>
                <w:szCs w:val="19"/>
              </w:rPr>
              <w:t>59.22</w:t>
            </w:r>
          </w:p>
        </w:tc>
        <w:tc>
          <w:tcPr>
            <w:tcW w:w="1140" w:type="dxa"/>
            <w:tcBorders>
              <w:top w:val="single" w:color="000000" w:sz="4" w:space="0"/>
              <w:bottom w:val="single" w:color="000000" w:sz="4" w:space="0"/>
            </w:tcBorders>
            <w:vAlign w:val="top"/>
          </w:tcPr>
          <w:p w14:paraId="33E3B5E9">
            <w:pPr>
              <w:pStyle w:val="6"/>
              <w:spacing w:before="125" w:line="238" w:lineRule="auto"/>
              <w:ind w:left="379"/>
              <w:rPr>
                <w:sz w:val="19"/>
                <w:szCs w:val="19"/>
              </w:rPr>
            </w:pPr>
            <w:r>
              <w:rPr>
                <w:spacing w:val="-5"/>
                <w:sz w:val="19"/>
                <w:szCs w:val="19"/>
              </w:rPr>
              <w:t>1.82</w:t>
            </w:r>
          </w:p>
        </w:tc>
        <w:tc>
          <w:tcPr>
            <w:tcW w:w="1370" w:type="dxa"/>
            <w:tcBorders>
              <w:top w:val="single" w:color="000000" w:sz="4" w:space="0"/>
              <w:bottom w:val="single" w:color="000000" w:sz="4" w:space="0"/>
            </w:tcBorders>
            <w:vAlign w:val="top"/>
          </w:tcPr>
          <w:p w14:paraId="3BE054C5">
            <w:pPr>
              <w:pStyle w:val="6"/>
              <w:spacing w:before="125" w:line="238" w:lineRule="auto"/>
              <w:ind w:left="399"/>
              <w:rPr>
                <w:sz w:val="19"/>
                <w:szCs w:val="19"/>
              </w:rPr>
            </w:pPr>
            <w:r>
              <w:rPr>
                <w:spacing w:val="-3"/>
                <w:sz w:val="19"/>
                <w:szCs w:val="19"/>
              </w:rPr>
              <w:t>178.63</w:t>
            </w:r>
          </w:p>
        </w:tc>
        <w:tc>
          <w:tcPr>
            <w:tcW w:w="1320" w:type="dxa"/>
            <w:tcBorders>
              <w:top w:val="single" w:color="000000" w:sz="4" w:space="0"/>
              <w:bottom w:val="single" w:color="000000" w:sz="4" w:space="0"/>
            </w:tcBorders>
            <w:vAlign w:val="top"/>
          </w:tcPr>
          <w:p w14:paraId="36C7ABC3">
            <w:pPr>
              <w:pStyle w:val="6"/>
              <w:spacing w:before="125" w:line="238" w:lineRule="auto"/>
              <w:ind w:left="370"/>
              <w:rPr>
                <w:sz w:val="19"/>
                <w:szCs w:val="19"/>
              </w:rPr>
            </w:pPr>
            <w:r>
              <w:rPr>
                <w:spacing w:val="-3"/>
                <w:sz w:val="19"/>
                <w:szCs w:val="19"/>
              </w:rPr>
              <w:t>101.17</w:t>
            </w:r>
          </w:p>
        </w:tc>
        <w:tc>
          <w:tcPr>
            <w:tcW w:w="1150" w:type="dxa"/>
            <w:tcBorders>
              <w:top w:val="single" w:color="000000" w:sz="4" w:space="0"/>
              <w:bottom w:val="single" w:color="000000" w:sz="4" w:space="0"/>
            </w:tcBorders>
            <w:vAlign w:val="top"/>
          </w:tcPr>
          <w:p w14:paraId="105FD6DB">
            <w:pPr>
              <w:pStyle w:val="6"/>
              <w:spacing w:before="125" w:line="238" w:lineRule="auto"/>
              <w:ind w:left="379"/>
              <w:rPr>
                <w:sz w:val="19"/>
                <w:szCs w:val="19"/>
              </w:rPr>
            </w:pPr>
            <w:r>
              <w:rPr>
                <w:spacing w:val="-5"/>
                <w:sz w:val="19"/>
                <w:szCs w:val="19"/>
              </w:rPr>
              <w:t>1.77</w:t>
            </w:r>
          </w:p>
        </w:tc>
      </w:tr>
      <w:tr w14:paraId="4589E2A5">
        <w:trPr>
          <w:trHeight w:val="389" w:hRule="atLeast"/>
        </w:trPr>
        <w:tc>
          <w:tcPr>
            <w:tcW w:w="1230" w:type="dxa"/>
            <w:tcBorders>
              <w:top w:val="single" w:color="000000" w:sz="4" w:space="0"/>
              <w:bottom w:val="single" w:color="000000" w:sz="4" w:space="0"/>
            </w:tcBorders>
            <w:shd w:val="clear" w:color="auto" w:fill="DDE1E2"/>
            <w:vAlign w:val="top"/>
          </w:tcPr>
          <w:p w14:paraId="2D7B5E4F">
            <w:pPr>
              <w:pStyle w:val="6"/>
              <w:spacing w:before="106" w:line="220" w:lineRule="auto"/>
              <w:ind w:left="420"/>
              <w:rPr>
                <w:sz w:val="19"/>
                <w:szCs w:val="19"/>
              </w:rPr>
            </w:pPr>
            <w:r>
              <w:rPr>
                <w:spacing w:val="-3"/>
                <w:sz w:val="19"/>
                <w:szCs w:val="19"/>
              </w:rPr>
              <w:t>新疆</w:t>
            </w:r>
          </w:p>
        </w:tc>
        <w:tc>
          <w:tcPr>
            <w:tcW w:w="1290" w:type="dxa"/>
            <w:tcBorders>
              <w:top w:val="single" w:color="000000" w:sz="4" w:space="0"/>
              <w:bottom w:val="single" w:color="000000" w:sz="4" w:space="0"/>
            </w:tcBorders>
            <w:shd w:val="clear" w:color="auto" w:fill="DCDCDE"/>
            <w:vAlign w:val="top"/>
          </w:tcPr>
          <w:p w14:paraId="7D93DBD3">
            <w:pPr>
              <w:pStyle w:val="6"/>
              <w:spacing w:before="124" w:line="239" w:lineRule="auto"/>
              <w:ind w:left="360"/>
              <w:rPr>
                <w:sz w:val="19"/>
                <w:szCs w:val="19"/>
              </w:rPr>
            </w:pPr>
            <w:r>
              <w:rPr>
                <w:spacing w:val="-3"/>
                <w:sz w:val="19"/>
                <w:szCs w:val="19"/>
              </w:rPr>
              <w:t>100.12</w:t>
            </w:r>
          </w:p>
        </w:tc>
        <w:tc>
          <w:tcPr>
            <w:tcW w:w="1310" w:type="dxa"/>
            <w:tcBorders>
              <w:top w:val="single" w:color="000000" w:sz="4" w:space="0"/>
              <w:bottom w:val="single" w:color="000000" w:sz="4" w:space="0"/>
            </w:tcBorders>
            <w:shd w:val="clear" w:color="auto" w:fill="DDDDDF"/>
            <w:vAlign w:val="top"/>
          </w:tcPr>
          <w:p w14:paraId="3723D082">
            <w:pPr>
              <w:pStyle w:val="6"/>
              <w:spacing w:before="124" w:line="239" w:lineRule="auto"/>
              <w:ind w:left="410"/>
              <w:rPr>
                <w:sz w:val="19"/>
                <w:szCs w:val="19"/>
              </w:rPr>
            </w:pPr>
            <w:r>
              <w:rPr>
                <w:spacing w:val="-2"/>
                <w:sz w:val="19"/>
                <w:szCs w:val="19"/>
              </w:rPr>
              <w:t>59.68</w:t>
            </w:r>
          </w:p>
        </w:tc>
        <w:tc>
          <w:tcPr>
            <w:tcW w:w="1140" w:type="dxa"/>
            <w:tcBorders>
              <w:top w:val="single" w:color="000000" w:sz="4" w:space="0"/>
              <w:bottom w:val="single" w:color="000000" w:sz="4" w:space="0"/>
            </w:tcBorders>
            <w:shd w:val="clear" w:color="auto" w:fill="DDDDDD"/>
            <w:vAlign w:val="top"/>
          </w:tcPr>
          <w:p w14:paraId="12FFF4B3">
            <w:pPr>
              <w:pStyle w:val="6"/>
              <w:spacing w:before="124" w:line="239" w:lineRule="auto"/>
              <w:ind w:left="379"/>
              <w:rPr>
                <w:sz w:val="19"/>
                <w:szCs w:val="19"/>
              </w:rPr>
            </w:pPr>
            <w:r>
              <w:rPr>
                <w:spacing w:val="-5"/>
                <w:sz w:val="19"/>
                <w:szCs w:val="19"/>
              </w:rPr>
              <w:t>1.68</w:t>
            </w:r>
          </w:p>
        </w:tc>
        <w:tc>
          <w:tcPr>
            <w:tcW w:w="1370" w:type="dxa"/>
            <w:tcBorders>
              <w:top w:val="single" w:color="000000" w:sz="4" w:space="0"/>
              <w:bottom w:val="single" w:color="000000" w:sz="4" w:space="0"/>
            </w:tcBorders>
            <w:shd w:val="clear" w:color="auto" w:fill="DCDCDC"/>
            <w:vAlign w:val="top"/>
          </w:tcPr>
          <w:p w14:paraId="64179248">
            <w:pPr>
              <w:pStyle w:val="6"/>
              <w:spacing w:before="124" w:line="239" w:lineRule="auto"/>
              <w:ind w:left="399"/>
              <w:rPr>
                <w:sz w:val="19"/>
                <w:szCs w:val="19"/>
              </w:rPr>
            </w:pPr>
            <w:r>
              <w:rPr>
                <w:spacing w:val="-3"/>
                <w:sz w:val="19"/>
                <w:szCs w:val="19"/>
              </w:rPr>
              <w:t>153.07</w:t>
            </w:r>
          </w:p>
        </w:tc>
        <w:tc>
          <w:tcPr>
            <w:tcW w:w="1320" w:type="dxa"/>
            <w:tcBorders>
              <w:top w:val="single" w:color="000000" w:sz="4" w:space="0"/>
              <w:bottom w:val="single" w:color="000000" w:sz="4" w:space="0"/>
            </w:tcBorders>
            <w:shd w:val="clear" w:color="auto" w:fill="D8D8D8"/>
            <w:vAlign w:val="top"/>
          </w:tcPr>
          <w:p w14:paraId="2E4B71ED">
            <w:pPr>
              <w:pStyle w:val="6"/>
              <w:spacing w:before="124" w:line="239" w:lineRule="auto"/>
              <w:ind w:left="420"/>
              <w:rPr>
                <w:sz w:val="19"/>
                <w:szCs w:val="19"/>
              </w:rPr>
            </w:pPr>
            <w:r>
              <w:rPr>
                <w:spacing w:val="-2"/>
                <w:sz w:val="19"/>
                <w:szCs w:val="19"/>
              </w:rPr>
              <w:t>99.27</w:t>
            </w:r>
          </w:p>
        </w:tc>
        <w:tc>
          <w:tcPr>
            <w:tcW w:w="1150" w:type="dxa"/>
            <w:tcBorders>
              <w:top w:val="single" w:color="000000" w:sz="4" w:space="0"/>
              <w:bottom w:val="single" w:color="000000" w:sz="4" w:space="0"/>
            </w:tcBorders>
            <w:shd w:val="clear" w:color="auto" w:fill="CDCCC7"/>
            <w:vAlign w:val="top"/>
          </w:tcPr>
          <w:p w14:paraId="2EC97F54">
            <w:pPr>
              <w:pStyle w:val="6"/>
              <w:spacing w:before="124" w:line="239" w:lineRule="auto"/>
              <w:ind w:left="379"/>
              <w:rPr>
                <w:sz w:val="19"/>
                <w:szCs w:val="19"/>
              </w:rPr>
            </w:pPr>
            <w:r>
              <w:rPr>
                <w:spacing w:val="-5"/>
                <w:sz w:val="19"/>
                <w:szCs w:val="19"/>
              </w:rPr>
              <w:t>1.54</w:t>
            </w:r>
          </w:p>
        </w:tc>
      </w:tr>
      <w:tr w14:paraId="52F5AD93">
        <w:trPr>
          <w:trHeight w:val="384" w:hRule="atLeast"/>
        </w:trPr>
        <w:tc>
          <w:tcPr>
            <w:tcW w:w="1230" w:type="dxa"/>
            <w:tcBorders>
              <w:top w:val="single" w:color="000000" w:sz="4" w:space="0"/>
              <w:bottom w:val="single" w:color="000000" w:sz="4" w:space="0"/>
            </w:tcBorders>
            <w:vAlign w:val="top"/>
          </w:tcPr>
          <w:p w14:paraId="0F0C1493">
            <w:pPr>
              <w:pStyle w:val="6"/>
              <w:spacing w:before="106" w:line="219" w:lineRule="auto"/>
              <w:ind w:left="420"/>
              <w:rPr>
                <w:sz w:val="19"/>
                <w:szCs w:val="19"/>
              </w:rPr>
            </w:pPr>
            <w:r>
              <w:rPr>
                <w:spacing w:val="4"/>
                <w:sz w:val="19"/>
                <w:szCs w:val="19"/>
              </w:rPr>
              <w:t>西藏</w:t>
            </w:r>
          </w:p>
        </w:tc>
        <w:tc>
          <w:tcPr>
            <w:tcW w:w="1290" w:type="dxa"/>
            <w:tcBorders>
              <w:top w:val="single" w:color="000000" w:sz="4" w:space="0"/>
              <w:bottom w:val="single" w:color="000000" w:sz="4" w:space="0"/>
            </w:tcBorders>
            <w:vAlign w:val="top"/>
          </w:tcPr>
          <w:p w14:paraId="5BEC14D9">
            <w:pPr>
              <w:pStyle w:val="6"/>
              <w:spacing w:before="125" w:line="239" w:lineRule="auto"/>
              <w:ind w:left="360"/>
              <w:rPr>
                <w:sz w:val="19"/>
                <w:szCs w:val="19"/>
              </w:rPr>
            </w:pPr>
            <w:r>
              <w:rPr>
                <w:spacing w:val="-3"/>
                <w:sz w:val="19"/>
                <w:szCs w:val="19"/>
              </w:rPr>
              <w:t>120.24</w:t>
            </w:r>
          </w:p>
        </w:tc>
        <w:tc>
          <w:tcPr>
            <w:tcW w:w="1310" w:type="dxa"/>
            <w:tcBorders>
              <w:top w:val="single" w:color="000000" w:sz="4" w:space="0"/>
              <w:bottom w:val="single" w:color="000000" w:sz="4" w:space="0"/>
            </w:tcBorders>
            <w:vAlign w:val="top"/>
          </w:tcPr>
          <w:p w14:paraId="4211320B">
            <w:pPr>
              <w:pStyle w:val="6"/>
              <w:spacing w:before="125" w:line="239" w:lineRule="auto"/>
              <w:ind w:left="410"/>
              <w:rPr>
                <w:sz w:val="19"/>
                <w:szCs w:val="19"/>
              </w:rPr>
            </w:pPr>
            <w:r>
              <w:rPr>
                <w:spacing w:val="-2"/>
                <w:sz w:val="19"/>
                <w:szCs w:val="19"/>
              </w:rPr>
              <w:t>70.97</w:t>
            </w:r>
          </w:p>
        </w:tc>
        <w:tc>
          <w:tcPr>
            <w:tcW w:w="1140" w:type="dxa"/>
            <w:tcBorders>
              <w:top w:val="single" w:color="000000" w:sz="4" w:space="0"/>
              <w:bottom w:val="single" w:color="000000" w:sz="4" w:space="0"/>
            </w:tcBorders>
            <w:vAlign w:val="top"/>
          </w:tcPr>
          <w:p w14:paraId="5CF7B741">
            <w:pPr>
              <w:pStyle w:val="6"/>
              <w:spacing w:before="125" w:line="239" w:lineRule="auto"/>
              <w:ind w:left="379"/>
              <w:rPr>
                <w:sz w:val="19"/>
                <w:szCs w:val="19"/>
              </w:rPr>
            </w:pPr>
            <w:r>
              <w:rPr>
                <w:spacing w:val="-5"/>
                <w:sz w:val="19"/>
                <w:szCs w:val="19"/>
              </w:rPr>
              <w:t>1.69</w:t>
            </w:r>
          </w:p>
        </w:tc>
        <w:tc>
          <w:tcPr>
            <w:tcW w:w="1370" w:type="dxa"/>
            <w:tcBorders>
              <w:top w:val="single" w:color="000000" w:sz="4" w:space="0"/>
              <w:bottom w:val="single" w:color="000000" w:sz="4" w:space="0"/>
            </w:tcBorders>
            <w:vAlign w:val="top"/>
          </w:tcPr>
          <w:p w14:paraId="1F268D51">
            <w:pPr>
              <w:pStyle w:val="6"/>
              <w:spacing w:before="125" w:line="239" w:lineRule="auto"/>
              <w:ind w:left="439"/>
              <w:rPr>
                <w:sz w:val="19"/>
                <w:szCs w:val="19"/>
              </w:rPr>
            </w:pPr>
            <w:r>
              <w:rPr>
                <w:spacing w:val="-2"/>
                <w:sz w:val="19"/>
                <w:szCs w:val="19"/>
              </w:rPr>
              <w:t>92.23</w:t>
            </w:r>
          </w:p>
        </w:tc>
        <w:tc>
          <w:tcPr>
            <w:tcW w:w="1320" w:type="dxa"/>
            <w:tcBorders>
              <w:top w:val="single" w:color="000000" w:sz="4" w:space="0"/>
              <w:bottom w:val="single" w:color="000000" w:sz="4" w:space="0"/>
            </w:tcBorders>
            <w:vAlign w:val="top"/>
          </w:tcPr>
          <w:p w14:paraId="783A554C">
            <w:pPr>
              <w:pStyle w:val="6"/>
              <w:spacing w:before="125" w:line="239" w:lineRule="auto"/>
              <w:ind w:left="420"/>
              <w:rPr>
                <w:sz w:val="19"/>
                <w:szCs w:val="19"/>
              </w:rPr>
            </w:pPr>
            <w:r>
              <w:rPr>
                <w:spacing w:val="-2"/>
                <w:sz w:val="19"/>
                <w:szCs w:val="19"/>
              </w:rPr>
              <w:t>56.17</w:t>
            </w:r>
          </w:p>
        </w:tc>
        <w:tc>
          <w:tcPr>
            <w:tcW w:w="1150" w:type="dxa"/>
            <w:tcBorders>
              <w:top w:val="single" w:color="000000" w:sz="4" w:space="0"/>
              <w:bottom w:val="single" w:color="000000" w:sz="4" w:space="0"/>
            </w:tcBorders>
            <w:vAlign w:val="top"/>
          </w:tcPr>
          <w:p w14:paraId="5D0EDE57">
            <w:pPr>
              <w:pStyle w:val="6"/>
              <w:spacing w:before="125" w:line="239" w:lineRule="auto"/>
              <w:ind w:left="379"/>
              <w:rPr>
                <w:sz w:val="19"/>
                <w:szCs w:val="19"/>
              </w:rPr>
            </w:pPr>
            <w:r>
              <w:rPr>
                <w:spacing w:val="-5"/>
                <w:sz w:val="19"/>
                <w:szCs w:val="19"/>
              </w:rPr>
              <w:t>1.64</w:t>
            </w:r>
          </w:p>
        </w:tc>
      </w:tr>
    </w:tbl>
    <w:p w14:paraId="3167AECB">
      <w:pPr>
        <w:spacing w:before="62" w:line="219" w:lineRule="auto"/>
        <w:ind w:left="6709"/>
        <w:rPr>
          <w:rFonts w:ascii="宋体" w:hAnsi="宋体" w:eastAsia="宋体" w:cs="宋体"/>
          <w:sz w:val="19"/>
          <w:szCs w:val="19"/>
        </w:rPr>
      </w:pPr>
      <w:r>
        <w:rPr>
          <w:rFonts w:ascii="宋体" w:hAnsi="宋体" w:eastAsia="宋体" w:cs="宋体"/>
          <w:spacing w:val="3"/>
          <w:sz w:val="19"/>
          <w:szCs w:val="19"/>
        </w:rPr>
        <w:t>(改编自齐金蕾，2024)</w:t>
      </w:r>
    </w:p>
    <w:p w14:paraId="385B9E0E">
      <w:pPr>
        <w:spacing w:line="328" w:lineRule="auto"/>
        <w:rPr>
          <w:rFonts w:ascii="Arial"/>
          <w:sz w:val="21"/>
        </w:rPr>
      </w:pPr>
    </w:p>
    <w:p w14:paraId="441C75A0">
      <w:pPr>
        <w:spacing w:before="66" w:line="280" w:lineRule="auto"/>
        <w:ind w:left="739" w:right="90" w:firstLine="420"/>
        <w:rPr>
          <w:rFonts w:ascii="宋体" w:hAnsi="宋体" w:eastAsia="宋体" w:cs="宋体"/>
          <w:sz w:val="20"/>
          <w:szCs w:val="20"/>
        </w:rPr>
      </w:pPr>
      <w:r>
        <w:rPr>
          <w:rFonts w:ascii="宋体" w:hAnsi="宋体" w:eastAsia="宋体" w:cs="宋体"/>
          <w:spacing w:val="7"/>
          <w:sz w:val="20"/>
          <w:szCs w:val="20"/>
        </w:rPr>
        <w:t>1.</w:t>
      </w:r>
      <w:r>
        <w:rPr>
          <w:rFonts w:ascii="宋体" w:hAnsi="宋体" w:eastAsia="宋体" w:cs="宋体"/>
          <w:spacing w:val="-27"/>
          <w:sz w:val="20"/>
          <w:szCs w:val="20"/>
        </w:rPr>
        <w:t xml:space="preserve"> </w:t>
      </w:r>
      <w:r>
        <w:rPr>
          <w:rFonts w:ascii="宋体" w:hAnsi="宋体" w:eastAsia="宋体" w:cs="宋体"/>
          <w:spacing w:val="7"/>
          <w:sz w:val="20"/>
          <w:szCs w:val="20"/>
        </w:rPr>
        <w:t>若某病发病率或死亡率的差别主要是环</w:t>
      </w:r>
      <w:r>
        <w:rPr>
          <w:rFonts w:ascii="宋体" w:hAnsi="宋体" w:eastAsia="宋体" w:cs="宋体"/>
          <w:spacing w:val="6"/>
          <w:sz w:val="20"/>
          <w:szCs w:val="20"/>
        </w:rPr>
        <w:t>境因素作用的结果，则该病在移民人群中的发病率</w:t>
      </w:r>
      <w:r>
        <w:rPr>
          <w:rFonts w:ascii="宋体" w:hAnsi="宋体" w:eastAsia="宋体" w:cs="宋体"/>
          <w:sz w:val="20"/>
          <w:szCs w:val="20"/>
        </w:rPr>
        <w:t xml:space="preserve"> </w:t>
      </w:r>
      <w:r>
        <w:rPr>
          <w:rFonts w:ascii="宋体" w:hAnsi="宋体" w:eastAsia="宋体" w:cs="宋体"/>
          <w:spacing w:val="5"/>
          <w:sz w:val="20"/>
          <w:szCs w:val="20"/>
        </w:rPr>
        <w:t>或死亡率与原居国(地区)人群不同，而接近移居国(地区)当地</w:t>
      </w:r>
      <w:r>
        <w:rPr>
          <w:rFonts w:ascii="宋体" w:hAnsi="宋体" w:eastAsia="宋体" w:cs="宋体"/>
          <w:spacing w:val="4"/>
          <w:sz w:val="20"/>
          <w:szCs w:val="20"/>
        </w:rPr>
        <w:t>人群的发病率或死亡率。</w:t>
      </w:r>
    </w:p>
    <w:p w14:paraId="5F1A9959">
      <w:pPr>
        <w:spacing w:before="141" w:line="281" w:lineRule="auto"/>
        <w:ind w:left="739" w:right="91" w:firstLine="420"/>
        <w:rPr>
          <w:rFonts w:ascii="宋体" w:hAnsi="宋体" w:eastAsia="宋体" w:cs="宋体"/>
          <w:sz w:val="20"/>
          <w:szCs w:val="20"/>
        </w:rPr>
      </w:pPr>
      <w:r>
        <w:rPr>
          <w:rFonts w:ascii="宋体" w:hAnsi="宋体" w:eastAsia="宋体" w:cs="宋体"/>
          <w:spacing w:val="6"/>
          <w:sz w:val="20"/>
          <w:szCs w:val="20"/>
        </w:rPr>
        <w:t>2.</w:t>
      </w:r>
      <w:r>
        <w:rPr>
          <w:rFonts w:ascii="宋体" w:hAnsi="宋体" w:eastAsia="宋体" w:cs="宋体"/>
          <w:spacing w:val="-15"/>
          <w:sz w:val="20"/>
          <w:szCs w:val="20"/>
        </w:rPr>
        <w:t xml:space="preserve"> </w:t>
      </w:r>
      <w:r>
        <w:rPr>
          <w:rFonts w:ascii="宋体" w:hAnsi="宋体" w:eastAsia="宋体" w:cs="宋体"/>
          <w:spacing w:val="6"/>
          <w:sz w:val="20"/>
          <w:szCs w:val="20"/>
        </w:rPr>
        <w:t>若该病发病率或死亡率的差别主要与遗传因素有关，则移民人群与原居国(地区)人群的发</w:t>
      </w:r>
      <w:r>
        <w:rPr>
          <w:rFonts w:ascii="宋体" w:hAnsi="宋体" w:eastAsia="宋体" w:cs="宋体"/>
          <w:sz w:val="20"/>
          <w:szCs w:val="20"/>
        </w:rPr>
        <w:t xml:space="preserve"> </w:t>
      </w:r>
      <w:r>
        <w:rPr>
          <w:rFonts w:ascii="宋体" w:hAnsi="宋体" w:eastAsia="宋体" w:cs="宋体"/>
          <w:spacing w:val="3"/>
          <w:sz w:val="20"/>
          <w:szCs w:val="20"/>
        </w:rPr>
        <w:t>病率或死亡率近似，而不同于移居国(地区)当地人群。</w:t>
      </w:r>
    </w:p>
    <w:p w14:paraId="6366BC8A">
      <w:pPr>
        <w:spacing w:before="134" w:line="342" w:lineRule="auto"/>
        <w:ind w:left="739" w:right="79" w:firstLine="420"/>
        <w:jc w:val="both"/>
        <w:rPr>
          <w:rFonts w:ascii="宋体" w:hAnsi="宋体" w:eastAsia="宋体" w:cs="宋体"/>
          <w:sz w:val="20"/>
          <w:szCs w:val="20"/>
        </w:rPr>
      </w:pPr>
      <w:r>
        <w:rPr>
          <w:rFonts w:ascii="宋体" w:hAnsi="宋体" w:eastAsia="宋体" w:cs="宋体"/>
          <w:spacing w:val="7"/>
          <w:sz w:val="20"/>
          <w:szCs w:val="20"/>
        </w:rPr>
        <w:t>例如，研究者通过收集1990—2003年居住在以色列的589388例苏联移民的胃癌死亡数据，在</w:t>
      </w:r>
      <w:r>
        <w:rPr>
          <w:rFonts w:ascii="宋体" w:hAnsi="宋体" w:eastAsia="宋体" w:cs="宋体"/>
          <w:spacing w:val="10"/>
          <w:sz w:val="20"/>
          <w:szCs w:val="20"/>
        </w:rPr>
        <w:t xml:space="preserve"> </w:t>
      </w:r>
      <w:r>
        <w:rPr>
          <w:rFonts w:ascii="宋体" w:hAnsi="宋体" w:eastAsia="宋体" w:cs="宋体"/>
          <w:spacing w:val="11"/>
          <w:sz w:val="20"/>
          <w:szCs w:val="20"/>
        </w:rPr>
        <w:t>图2-9中展示了不同性别的苏联本地居民、苏联移民和以色</w:t>
      </w:r>
      <w:r>
        <w:rPr>
          <w:rFonts w:ascii="宋体" w:hAnsi="宋体" w:eastAsia="宋体" w:cs="宋体"/>
          <w:spacing w:val="10"/>
          <w:sz w:val="20"/>
          <w:szCs w:val="20"/>
        </w:rPr>
        <w:t>列居民胃癌死亡率变化情况。分析发</w:t>
      </w:r>
      <w:r>
        <w:rPr>
          <w:rFonts w:ascii="宋体" w:hAnsi="宋体" w:eastAsia="宋体" w:cs="宋体"/>
          <w:sz w:val="20"/>
          <w:szCs w:val="20"/>
        </w:rPr>
        <w:t xml:space="preserve"> </w:t>
      </w:r>
      <w:r>
        <w:rPr>
          <w:rFonts w:ascii="宋体" w:hAnsi="宋体" w:eastAsia="宋体" w:cs="宋体"/>
          <w:spacing w:val="4"/>
          <w:sz w:val="20"/>
          <w:szCs w:val="20"/>
        </w:rPr>
        <w:t>现，男女移民群体的胃癌死亡率均显著低于苏联本地居民，且呈长期下降趋势，而更接近于</w:t>
      </w:r>
      <w:r>
        <w:rPr>
          <w:rFonts w:ascii="宋体" w:hAnsi="宋体" w:eastAsia="宋体" w:cs="宋体"/>
          <w:spacing w:val="3"/>
          <w:sz w:val="20"/>
          <w:szCs w:val="20"/>
        </w:rPr>
        <w:t>移居国</w:t>
      </w:r>
      <w:r>
        <w:rPr>
          <w:rFonts w:ascii="宋体" w:hAnsi="宋体" w:eastAsia="宋体" w:cs="宋体"/>
          <w:sz w:val="20"/>
          <w:szCs w:val="20"/>
        </w:rPr>
        <w:t xml:space="preserve"> </w:t>
      </w:r>
      <w:r>
        <w:rPr>
          <w:rFonts w:ascii="宋体" w:hAnsi="宋体" w:eastAsia="宋体" w:cs="宋体"/>
          <w:spacing w:val="3"/>
          <w:sz w:val="20"/>
          <w:szCs w:val="20"/>
        </w:rPr>
        <w:t>以色列居民的死亡率水平。由此推测，环境因素在胃癌发病与死亡的过程中发挥着重要作用。</w:t>
      </w:r>
    </w:p>
    <w:p w14:paraId="5344ACD4">
      <w:pPr>
        <w:spacing w:before="7" w:line="352" w:lineRule="auto"/>
        <w:ind w:left="739" w:firstLine="420"/>
        <w:rPr>
          <w:rFonts w:ascii="宋体" w:hAnsi="宋体" w:eastAsia="宋体" w:cs="宋体"/>
          <w:sz w:val="20"/>
          <w:szCs w:val="20"/>
        </w:rPr>
      </w:pPr>
      <w:r>
        <w:rPr>
          <w:rFonts w:ascii="宋体" w:hAnsi="宋体" w:eastAsia="宋体" w:cs="宋体"/>
          <w:spacing w:val="8"/>
          <w:sz w:val="20"/>
          <w:szCs w:val="20"/>
        </w:rPr>
        <w:t xml:space="preserve">在进行移民流行病学分析与结果解释时应考虑移民生活条件和生活环境的改变程度、原居地  </w:t>
      </w:r>
      <w:r>
        <w:rPr>
          <w:rFonts w:ascii="宋体" w:hAnsi="宋体" w:eastAsia="宋体" w:cs="宋体"/>
          <w:spacing w:val="1"/>
          <w:sz w:val="20"/>
          <w:szCs w:val="20"/>
        </w:rPr>
        <w:t>及移居地的医疗卫生水平及移民移居的原因，还应考虑移民的人口学特征如年龄、职业、文化水平、</w:t>
      </w:r>
    </w:p>
    <w:p w14:paraId="7113E16E">
      <w:pPr>
        <w:spacing w:line="307" w:lineRule="auto"/>
        <w:rPr>
          <w:rFonts w:ascii="Arial"/>
          <w:sz w:val="21"/>
        </w:rPr>
      </w:pPr>
    </w:p>
    <w:p w14:paraId="1FD09DA0">
      <w:pPr>
        <w:spacing w:line="3750" w:lineRule="exact"/>
        <w:ind w:firstLine="2729"/>
      </w:pPr>
      <w:r>
        <mc:AlternateContent>
          <mc:Choice Requires="wps">
            <w:drawing>
              <wp:anchor distT="0" distB="0" distL="0" distR="0" simplePos="0" relativeHeight="251708416" behindDoc="0" locked="0" layoutInCell="1" allowOverlap="1">
                <wp:simplePos x="0" y="0"/>
                <wp:positionH relativeFrom="column">
                  <wp:posOffset>1097280</wp:posOffset>
                </wp:positionH>
                <wp:positionV relativeFrom="paragraph">
                  <wp:posOffset>971550</wp:posOffset>
                </wp:positionV>
                <wp:extent cx="1124585" cy="209550"/>
                <wp:effectExtent l="0" t="0" r="0" b="0"/>
                <wp:wrapNone/>
                <wp:docPr id="144" name="TextBox 144"/>
                <wp:cNvGraphicFramePr/>
                <a:graphic xmlns:a="http://schemas.openxmlformats.org/drawingml/2006/main">
                  <a:graphicData uri="http://schemas.microsoft.com/office/word/2010/wordprocessingShape">
                    <wps:wsp>
                      <wps:cNvSpPr txBox="1"/>
                      <wps:spPr>
                        <a:xfrm rot="16200000">
                          <a:off x="1097415" y="971809"/>
                          <a:ext cx="1124585" cy="209550"/>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346A09AA">
                            <w:pPr>
                              <w:spacing w:before="60" w:line="219" w:lineRule="auto"/>
                              <w:ind w:left="20"/>
                              <w:rPr>
                                <w:rFonts w:ascii="宋体" w:hAnsi="宋体" w:eastAsia="宋体" w:cs="宋体"/>
                                <w:sz w:val="21"/>
                                <w:szCs w:val="21"/>
                              </w:rPr>
                            </w:pPr>
                            <w:r>
                              <w:rPr>
                                <w:rFonts w:ascii="宋体" w:hAnsi="宋体" w:eastAsia="宋体" w:cs="宋体"/>
                                <w:spacing w:val="-20"/>
                                <w:sz w:val="21"/>
                                <w:szCs w:val="21"/>
                              </w:rPr>
                              <w:t>标化死亡率/(1/10万)</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144" o:spid="_x0000_s1026" o:spt="202" type="#_x0000_t202" style="position:absolute;left:0pt;margin-left:86.4pt;margin-top:76.5pt;height:16.5pt;width:88.55pt;rotation:-5898240f;z-index:251708416;mso-width-relative:page;mso-height-relative:page;" filled="f" stroked="f" coordsize="21600,21600" o:gfxdata="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UODH9dkAAAALAQAA&#10;DwAAAAAAAAABACAAAAAiAAAAZHJzL2Rvd25yZXYueG1sUEsBAhQAFAAAAAgAh07iQEP5M/NRAgAA&#10;pQQAAA4AAAAAAAAAAQAgAAAAKAEAAGRycy9lMm9Eb2MueG1sUEsFBgAAAAAGAAYAWQEAAOsFAAAA&#10;AA==&#10;">
                <v:fill on="f" focussize="0,0"/>
                <v:stroke on="f" weight="0pt" miterlimit="0" joinstyle="miter"/>
                <v:imagedata o:title=""/>
                <o:lock v:ext="edit" aspectratio="f"/>
                <v:textbox inset="0mm,0mm,0mm,0mm">
                  <w:txbxContent>
                    <w:p w14:paraId="346A09AA">
                      <w:pPr>
                        <w:spacing w:before="60" w:line="219" w:lineRule="auto"/>
                        <w:ind w:left="20"/>
                        <w:rPr>
                          <w:rFonts w:ascii="宋体" w:hAnsi="宋体" w:eastAsia="宋体" w:cs="宋体"/>
                          <w:sz w:val="21"/>
                          <w:szCs w:val="21"/>
                        </w:rPr>
                      </w:pPr>
                      <w:r>
                        <w:rPr>
                          <w:rFonts w:ascii="宋体" w:hAnsi="宋体" w:eastAsia="宋体" w:cs="宋体"/>
                          <w:spacing w:val="-20"/>
                          <w:sz w:val="21"/>
                          <w:szCs w:val="21"/>
                        </w:rPr>
                        <w:t>标化死亡率/(1/10万)</w:t>
                      </w:r>
                    </w:p>
                  </w:txbxContent>
                </v:textbox>
              </v:shape>
            </w:pict>
          </mc:Fallback>
        </mc:AlternateContent>
      </w:r>
      <w:r>
        <w:rPr>
          <w:position w:val="-75"/>
        </w:rPr>
        <w:drawing>
          <wp:inline distT="0" distB="0" distL="0" distR="0">
            <wp:extent cx="3187700" cy="2381250"/>
            <wp:effectExtent l="0" t="0" r="0" b="0"/>
            <wp:docPr id="146" name="IM 146"/>
            <wp:cNvGraphicFramePr/>
            <a:graphic xmlns:a="http://schemas.openxmlformats.org/drawingml/2006/main">
              <a:graphicData uri="http://schemas.openxmlformats.org/drawingml/2006/picture">
                <pic:pic xmlns:pic="http://schemas.openxmlformats.org/drawingml/2006/picture">
                  <pic:nvPicPr>
                    <pic:cNvPr id="146" name="IM 146"/>
                    <pic:cNvPicPr/>
                  </pic:nvPicPr>
                  <pic:blipFill>
                    <a:blip r:embed="rId449"/>
                    <a:stretch>
                      <a:fillRect/>
                    </a:stretch>
                  </pic:blipFill>
                  <pic:spPr>
                    <a:xfrm>
                      <a:off x="0" y="0"/>
                      <a:ext cx="3187709" cy="2381262"/>
                    </a:xfrm>
                    <a:prstGeom prst="rect">
                      <a:avLst/>
                    </a:prstGeom>
                  </pic:spPr>
                </pic:pic>
              </a:graphicData>
            </a:graphic>
          </wp:inline>
        </w:drawing>
      </w:r>
    </w:p>
    <w:p w14:paraId="21DFE3D0">
      <w:pPr>
        <w:pStyle w:val="2"/>
        <w:spacing w:before="69" w:line="223" w:lineRule="auto"/>
        <w:ind w:left="5179"/>
        <w:rPr>
          <w:sz w:val="20"/>
          <w:szCs w:val="20"/>
        </w:rPr>
      </w:pPr>
      <w:r>
        <w:rPr>
          <w:spacing w:val="-14"/>
          <w:w w:val="98"/>
          <w:sz w:val="20"/>
          <w:szCs w:val="20"/>
        </w:rPr>
        <w:t>年份</w:t>
      </w:r>
    </w:p>
    <w:p w14:paraId="676B4947">
      <w:pPr>
        <w:spacing w:line="223" w:lineRule="auto"/>
        <w:rPr>
          <w:sz w:val="20"/>
          <w:szCs w:val="20"/>
        </w:rPr>
        <w:sectPr>
          <w:footerReference r:id="rId60" w:type="default"/>
          <w:pgSz w:w="11900" w:h="16820"/>
          <w:pgMar w:top="400" w:right="1510" w:bottom="759" w:left="800" w:header="0" w:footer="579" w:gutter="0"/>
          <w:cols w:space="720" w:num="1"/>
        </w:sectPr>
      </w:pPr>
    </w:p>
    <w:p w14:paraId="7F651506">
      <w:pPr>
        <w:spacing w:line="428" w:lineRule="auto"/>
        <w:rPr>
          <w:rFonts w:ascii="Arial"/>
          <w:sz w:val="21"/>
        </w:rPr>
      </w:pPr>
    </w:p>
    <w:p w14:paraId="15F446C5">
      <w:pPr>
        <w:pStyle w:val="2"/>
        <w:spacing w:before="65" w:line="221" w:lineRule="auto"/>
        <w:ind w:left="7689"/>
        <w:rPr>
          <w:sz w:val="20"/>
          <w:szCs w:val="20"/>
        </w:rPr>
      </w:pPr>
      <w:r>
        <w:drawing>
          <wp:anchor distT="0" distB="0" distL="0" distR="0" simplePos="0" relativeHeight="251709440" behindDoc="1" locked="0" layoutInCell="1" allowOverlap="1">
            <wp:simplePos x="0" y="0"/>
            <wp:positionH relativeFrom="column">
              <wp:posOffset>1377315</wp:posOffset>
            </wp:positionH>
            <wp:positionV relativeFrom="paragraph">
              <wp:posOffset>462915</wp:posOffset>
            </wp:positionV>
            <wp:extent cx="3352800" cy="2381250"/>
            <wp:effectExtent l="0" t="0" r="0" b="0"/>
            <wp:wrapNone/>
            <wp:docPr id="148" name="IM 148"/>
            <wp:cNvGraphicFramePr/>
            <a:graphic xmlns:a="http://schemas.openxmlformats.org/drawingml/2006/main">
              <a:graphicData uri="http://schemas.openxmlformats.org/drawingml/2006/picture">
                <pic:pic xmlns:pic="http://schemas.openxmlformats.org/drawingml/2006/picture">
                  <pic:nvPicPr>
                    <pic:cNvPr id="148" name="IM 148"/>
                    <pic:cNvPicPr/>
                  </pic:nvPicPr>
                  <pic:blipFill>
                    <a:blip r:embed="rId450"/>
                    <a:stretch>
                      <a:fillRect/>
                    </a:stretch>
                  </pic:blipFill>
                  <pic:spPr>
                    <a:xfrm>
                      <a:off x="0" y="0"/>
                      <a:ext cx="3352810" cy="2381245"/>
                    </a:xfrm>
                    <a:prstGeom prst="rect">
                      <a:avLst/>
                    </a:prstGeom>
                  </pic:spPr>
                </pic:pic>
              </a:graphicData>
            </a:graphic>
          </wp:anchor>
        </w:drawing>
      </w:r>
      <w:bookmarkStart w:id="57" w:name="bookmark422"/>
      <w:bookmarkEnd w:id="57"/>
      <w:r>
        <w:rPr>
          <w:spacing w:val="-12"/>
          <w:sz w:val="20"/>
          <w:szCs w:val="20"/>
        </w:rPr>
        <w:t>第二章 疾病的分布</w:t>
      </w:r>
    </w:p>
    <w:p w14:paraId="290CAFFE">
      <w:pPr>
        <w:spacing w:before="1"/>
      </w:pPr>
    </w:p>
    <w:p w14:paraId="38DC632E">
      <w:pPr>
        <w:spacing w:before="1"/>
      </w:pPr>
    </w:p>
    <w:p w14:paraId="398B9049">
      <w:pPr>
        <w:spacing w:before="1"/>
      </w:pPr>
    </w:p>
    <w:p w14:paraId="76FE337A">
      <w:pPr>
        <w:spacing w:before="1"/>
      </w:pPr>
    </w:p>
    <w:p w14:paraId="128CA2F1"/>
    <w:tbl>
      <w:tblPr>
        <w:tblStyle w:val="5"/>
        <w:tblW w:w="5405" w:type="dxa"/>
        <w:tblInd w:w="2043"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0" w:type="dxa"/>
          <w:left w:w="0" w:type="dxa"/>
          <w:bottom w:w="0" w:type="dxa"/>
          <w:right w:w="0" w:type="dxa"/>
        </w:tblCellMar>
      </w:tblPr>
      <w:tblGrid>
        <w:gridCol w:w="112"/>
        <w:gridCol w:w="5293"/>
      </w:tblGrid>
      <w:tr w14:paraId="1F0EF9AC">
        <w:trPr>
          <w:trHeight w:val="2316" w:hRule="atLeast"/>
        </w:trPr>
        <w:tc>
          <w:tcPr>
            <w:tcW w:w="112" w:type="dxa"/>
            <w:vAlign w:val="top"/>
          </w:tcPr>
          <w:p w14:paraId="5199559E">
            <w:pPr>
              <w:pStyle w:val="6"/>
              <w:spacing w:before="6" w:line="219" w:lineRule="auto"/>
              <w:jc w:val="right"/>
              <w:rPr>
                <w:sz w:val="167"/>
                <w:szCs w:val="167"/>
              </w:rPr>
            </w:pPr>
            <w:r>
              <w:rPr>
                <w:spacing w:val="-5"/>
                <w:w w:val="1"/>
                <w:sz w:val="167"/>
                <w:szCs w:val="167"/>
              </w:rPr>
              <w:t>标化死亡率(1/10万)</w:t>
            </w:r>
          </w:p>
        </w:tc>
        <w:tc>
          <w:tcPr>
            <w:tcW w:w="5293" w:type="dxa"/>
            <w:vAlign w:val="top"/>
          </w:tcPr>
          <w:p w14:paraId="3A1E427F">
            <w:pPr>
              <w:rPr>
                <w:rFonts w:ascii="Arial"/>
                <w:sz w:val="21"/>
              </w:rPr>
            </w:pPr>
          </w:p>
        </w:tc>
      </w:tr>
      <w:tr w14:paraId="21BDF92F">
        <w:trPr>
          <w:trHeight w:val="843" w:hRule="atLeast"/>
        </w:trPr>
        <w:tc>
          <w:tcPr>
            <w:tcW w:w="112" w:type="dxa"/>
            <w:vAlign w:val="top"/>
          </w:tcPr>
          <w:p w14:paraId="12CF8842">
            <w:pPr>
              <w:rPr>
                <w:rFonts w:ascii="Arial"/>
                <w:sz w:val="21"/>
              </w:rPr>
            </w:pPr>
          </w:p>
        </w:tc>
        <w:tc>
          <w:tcPr>
            <w:tcW w:w="5293" w:type="dxa"/>
            <w:vAlign w:val="top"/>
          </w:tcPr>
          <w:p w14:paraId="36DD13F2">
            <w:pPr>
              <w:spacing w:line="287" w:lineRule="auto"/>
              <w:rPr>
                <w:rFonts w:ascii="Arial"/>
                <w:sz w:val="21"/>
              </w:rPr>
            </w:pPr>
          </w:p>
          <w:p w14:paraId="1E1E41ED">
            <w:pPr>
              <w:spacing w:line="288" w:lineRule="auto"/>
              <w:rPr>
                <w:rFonts w:ascii="Arial"/>
                <w:sz w:val="21"/>
              </w:rPr>
            </w:pPr>
          </w:p>
          <w:p w14:paraId="00F96B80">
            <w:pPr>
              <w:pStyle w:val="6"/>
              <w:spacing w:before="65" w:line="174" w:lineRule="auto"/>
              <w:ind w:left="2583"/>
            </w:pPr>
            <w:r>
              <w:rPr>
                <w:spacing w:val="-11"/>
              </w:rPr>
              <w:t>年份</w:t>
            </w:r>
          </w:p>
        </w:tc>
      </w:tr>
    </w:tbl>
    <w:p w14:paraId="25913776">
      <w:pPr>
        <w:spacing w:before="219" w:line="219" w:lineRule="auto"/>
        <w:ind w:left="2169"/>
        <w:rPr>
          <w:rFonts w:ascii="宋体" w:hAnsi="宋体" w:eastAsia="宋体" w:cs="宋体"/>
          <w:sz w:val="20"/>
          <w:szCs w:val="20"/>
        </w:rPr>
      </w:pPr>
      <w:r>
        <w:rPr>
          <w:rFonts w:ascii="宋体" w:hAnsi="宋体" w:eastAsia="宋体" w:cs="宋体"/>
          <w:spacing w:val="-5"/>
          <w:sz w:val="20"/>
          <w:szCs w:val="20"/>
        </w:rPr>
        <w:t>图2-9</w:t>
      </w:r>
      <w:r>
        <w:rPr>
          <w:rFonts w:ascii="宋体" w:hAnsi="宋体" w:eastAsia="宋体" w:cs="宋体"/>
          <w:spacing w:val="84"/>
          <w:sz w:val="20"/>
          <w:szCs w:val="20"/>
        </w:rPr>
        <w:t xml:space="preserve"> </w:t>
      </w:r>
      <w:r>
        <w:rPr>
          <w:rFonts w:ascii="宋体" w:hAnsi="宋体" w:eastAsia="宋体" w:cs="宋体"/>
          <w:spacing w:val="-5"/>
          <w:sz w:val="20"/>
          <w:szCs w:val="20"/>
        </w:rPr>
        <w:t>居住在以色列的苏联移民胃癌标化死亡率变化情况</w:t>
      </w:r>
    </w:p>
    <w:p w14:paraId="61BCF4EB">
      <w:pPr>
        <w:spacing w:before="31" w:line="212" w:lineRule="auto"/>
        <w:ind w:left="3149"/>
        <w:rPr>
          <w:rFonts w:ascii="Times New Roman" w:hAnsi="Times New Roman" w:eastAsia="Times New Roman" w:cs="Times New Roman"/>
          <w:sz w:val="20"/>
          <w:szCs w:val="20"/>
        </w:rPr>
      </w:pPr>
      <w:r>
        <w:rPr>
          <w:rFonts w:ascii="宋体" w:hAnsi="宋体" w:eastAsia="宋体" w:cs="宋体"/>
          <w:spacing w:val="1"/>
          <w:sz w:val="20"/>
          <w:szCs w:val="20"/>
        </w:rPr>
        <w:t>(改编自</w:t>
      </w:r>
      <w:r>
        <w:rPr>
          <w:rFonts w:ascii="Times New Roman" w:hAnsi="Times New Roman" w:eastAsia="Times New Roman" w:cs="Times New Roman"/>
          <w:sz w:val="20"/>
          <w:szCs w:val="20"/>
        </w:rPr>
        <w:t>Ulrich</w:t>
      </w:r>
      <w:r>
        <w:rPr>
          <w:rFonts w:ascii="Times New Roman" w:hAnsi="Times New Roman" w:eastAsia="Times New Roman" w:cs="Times New Roman"/>
          <w:spacing w:val="1"/>
          <w:sz w:val="20"/>
          <w:szCs w:val="20"/>
        </w:rPr>
        <w:t xml:space="preserve"> </w:t>
      </w:r>
      <w:r>
        <w:rPr>
          <w:rFonts w:ascii="Times New Roman" w:hAnsi="Times New Roman" w:eastAsia="Times New Roman" w:cs="Times New Roman"/>
          <w:sz w:val="20"/>
          <w:szCs w:val="20"/>
        </w:rPr>
        <w:t>Ronellenfitsch</w:t>
      </w:r>
      <w:r>
        <w:rPr>
          <w:rFonts w:ascii="Times New Roman" w:hAnsi="Times New Roman" w:eastAsia="Times New Roman" w:cs="Times New Roman"/>
          <w:spacing w:val="1"/>
          <w:sz w:val="20"/>
          <w:szCs w:val="20"/>
        </w:rPr>
        <w:t>,2009)</w:t>
      </w:r>
    </w:p>
    <w:p w14:paraId="7C9D73F1">
      <w:pPr>
        <w:spacing w:line="443" w:lineRule="auto"/>
        <w:rPr>
          <w:rFonts w:ascii="Arial"/>
          <w:sz w:val="21"/>
        </w:rPr>
      </w:pPr>
    </w:p>
    <w:p w14:paraId="5C911D9C">
      <w:pPr>
        <w:spacing w:before="65" w:line="325" w:lineRule="auto"/>
        <w:ind w:left="9" w:right="553"/>
        <w:jc w:val="both"/>
        <w:rPr>
          <w:rFonts w:ascii="宋体" w:hAnsi="宋体" w:eastAsia="宋体" w:cs="宋体"/>
          <w:sz w:val="20"/>
          <w:szCs w:val="20"/>
        </w:rPr>
      </w:pPr>
      <w:r>
        <w:rPr>
          <w:rFonts w:ascii="宋体" w:hAnsi="宋体" w:eastAsia="宋体" w:cs="宋体"/>
          <w:spacing w:val="14"/>
          <w:sz w:val="20"/>
          <w:szCs w:val="20"/>
        </w:rPr>
        <w:t>社会经济状况、种族和其他人口学因素。若环境因素与某病发</w:t>
      </w:r>
      <w:r>
        <w:rPr>
          <w:rFonts w:ascii="宋体" w:hAnsi="宋体" w:eastAsia="宋体" w:cs="宋体"/>
          <w:spacing w:val="13"/>
          <w:sz w:val="20"/>
          <w:szCs w:val="20"/>
        </w:rPr>
        <w:t>生的关系较大，幼年迁移到新移居地</w:t>
      </w:r>
      <w:r>
        <w:rPr>
          <w:rFonts w:ascii="宋体" w:hAnsi="宋体" w:eastAsia="宋体" w:cs="宋体"/>
          <w:sz w:val="20"/>
          <w:szCs w:val="20"/>
        </w:rPr>
        <w:t xml:space="preserve"> </w:t>
      </w:r>
      <w:r>
        <w:rPr>
          <w:rFonts w:ascii="宋体" w:hAnsi="宋体" w:eastAsia="宋体" w:cs="宋体"/>
          <w:spacing w:val="14"/>
          <w:sz w:val="20"/>
          <w:szCs w:val="20"/>
        </w:rPr>
        <w:t>后，一般更容易受新移居地环境的影响。移民的世代数与疾病的发病率也</w:t>
      </w:r>
      <w:r>
        <w:rPr>
          <w:rFonts w:ascii="宋体" w:hAnsi="宋体" w:eastAsia="宋体" w:cs="宋体"/>
          <w:spacing w:val="13"/>
          <w:sz w:val="20"/>
          <w:szCs w:val="20"/>
        </w:rPr>
        <w:t>有关，移民在新环境居住</w:t>
      </w:r>
      <w:r>
        <w:rPr>
          <w:rFonts w:ascii="宋体" w:hAnsi="宋体" w:eastAsia="宋体" w:cs="宋体"/>
          <w:sz w:val="20"/>
          <w:szCs w:val="20"/>
        </w:rPr>
        <w:t xml:space="preserve"> </w:t>
      </w:r>
      <w:r>
        <w:rPr>
          <w:rFonts w:ascii="宋体" w:hAnsi="宋体" w:eastAsia="宋体" w:cs="宋体"/>
          <w:spacing w:val="11"/>
          <w:sz w:val="20"/>
          <w:szCs w:val="20"/>
        </w:rPr>
        <w:t>的世代数越多，越接近移居地居民的发病</w:t>
      </w:r>
      <w:r>
        <w:rPr>
          <w:rFonts w:ascii="宋体" w:hAnsi="宋体" w:eastAsia="宋体" w:cs="宋体"/>
          <w:spacing w:val="10"/>
          <w:sz w:val="20"/>
          <w:szCs w:val="20"/>
        </w:rPr>
        <w:t>水平。</w:t>
      </w:r>
    </w:p>
    <w:p w14:paraId="105754F4">
      <w:pPr>
        <w:spacing w:before="156" w:line="220" w:lineRule="auto"/>
        <w:ind w:left="8349"/>
        <w:rPr>
          <w:rFonts w:ascii="宋体" w:hAnsi="宋体" w:eastAsia="宋体" w:cs="宋体"/>
          <w:sz w:val="20"/>
          <w:szCs w:val="20"/>
        </w:rPr>
      </w:pPr>
      <w:r>
        <w:rPr>
          <w:rFonts w:ascii="宋体" w:hAnsi="宋体" w:eastAsia="宋体" w:cs="宋体"/>
          <w:spacing w:val="26"/>
          <w:sz w:val="20"/>
          <w:szCs w:val="20"/>
        </w:rPr>
        <w:t>(钟秋安)</w:t>
      </w:r>
    </w:p>
    <w:p w14:paraId="78377312">
      <w:pPr>
        <w:spacing w:line="279" w:lineRule="auto"/>
        <w:rPr>
          <w:rFonts w:ascii="Arial"/>
          <w:sz w:val="21"/>
        </w:rPr>
      </w:pPr>
    </w:p>
    <w:p w14:paraId="0E253EAA">
      <w:pPr>
        <w:spacing w:line="280" w:lineRule="auto"/>
        <w:rPr>
          <w:rFonts w:ascii="Arial"/>
          <w:sz w:val="21"/>
        </w:rPr>
      </w:pPr>
      <w:r>
        <w:drawing>
          <wp:anchor distT="0" distB="0" distL="0" distR="0" simplePos="0" relativeHeight="251711488" behindDoc="0" locked="0" layoutInCell="1" allowOverlap="1">
            <wp:simplePos x="0" y="0"/>
            <wp:positionH relativeFrom="column">
              <wp:posOffset>0</wp:posOffset>
            </wp:positionH>
            <wp:positionV relativeFrom="paragraph">
              <wp:posOffset>140970</wp:posOffset>
            </wp:positionV>
            <wp:extent cx="6350" cy="323850"/>
            <wp:effectExtent l="0" t="0" r="0" b="0"/>
            <wp:wrapNone/>
            <wp:docPr id="150" name="IM 150"/>
            <wp:cNvGraphicFramePr/>
            <a:graphic xmlns:a="http://schemas.openxmlformats.org/drawingml/2006/main">
              <a:graphicData uri="http://schemas.openxmlformats.org/drawingml/2006/picture">
                <pic:pic xmlns:pic="http://schemas.openxmlformats.org/drawingml/2006/picture">
                  <pic:nvPicPr>
                    <pic:cNvPr id="150" name="IM 150"/>
                    <pic:cNvPicPr/>
                  </pic:nvPicPr>
                  <pic:blipFill>
                    <a:blip r:embed="rId451"/>
                    <a:stretch>
                      <a:fillRect/>
                    </a:stretch>
                  </pic:blipFill>
                  <pic:spPr>
                    <a:xfrm>
                      <a:off x="0" y="0"/>
                      <a:ext cx="6350" cy="323855"/>
                    </a:xfrm>
                    <a:prstGeom prst="rect">
                      <a:avLst/>
                    </a:prstGeom>
                  </pic:spPr>
                </pic:pic>
              </a:graphicData>
            </a:graphic>
          </wp:anchor>
        </w:drawing>
      </w:r>
      <w:r>
        <w:drawing>
          <wp:anchor distT="0" distB="0" distL="0" distR="0" simplePos="0" relativeHeight="251710464" behindDoc="0" locked="0" layoutInCell="1" allowOverlap="1">
            <wp:simplePos x="0" y="0"/>
            <wp:positionH relativeFrom="column">
              <wp:posOffset>5663565</wp:posOffset>
            </wp:positionH>
            <wp:positionV relativeFrom="paragraph">
              <wp:posOffset>1270</wp:posOffset>
            </wp:positionV>
            <wp:extent cx="349250" cy="298450"/>
            <wp:effectExtent l="0" t="0" r="0" b="0"/>
            <wp:wrapNone/>
            <wp:docPr id="152" name="IM 152"/>
            <wp:cNvGraphicFramePr/>
            <a:graphic xmlns:a="http://schemas.openxmlformats.org/drawingml/2006/main">
              <a:graphicData uri="http://schemas.openxmlformats.org/drawingml/2006/picture">
                <pic:pic xmlns:pic="http://schemas.openxmlformats.org/drawingml/2006/picture">
                  <pic:nvPicPr>
                    <pic:cNvPr id="152" name="IM 152"/>
                    <pic:cNvPicPr/>
                  </pic:nvPicPr>
                  <pic:blipFill>
                    <a:blip r:embed="rId452"/>
                    <a:stretch>
                      <a:fillRect/>
                    </a:stretch>
                  </pic:blipFill>
                  <pic:spPr>
                    <a:xfrm>
                      <a:off x="0" y="0"/>
                      <a:ext cx="349264" cy="298426"/>
                    </a:xfrm>
                    <a:prstGeom prst="rect">
                      <a:avLst/>
                    </a:prstGeom>
                  </pic:spPr>
                </pic:pic>
              </a:graphicData>
            </a:graphic>
          </wp:anchor>
        </w:drawing>
      </w:r>
    </w:p>
    <w:p w14:paraId="6CD39D94">
      <w:pPr>
        <w:pStyle w:val="2"/>
        <w:spacing w:before="88" w:line="222" w:lineRule="auto"/>
        <w:ind w:left="443"/>
        <w:rPr>
          <w:sz w:val="27"/>
          <w:szCs w:val="27"/>
        </w:rPr>
      </w:pPr>
      <w:r>
        <w:rPr>
          <w:b/>
          <w:bCs/>
          <w:spacing w:val="-6"/>
          <w:sz w:val="27"/>
          <w:szCs w:val="27"/>
        </w:rPr>
        <w:t>思考题</w:t>
      </w:r>
    </w:p>
    <w:p w14:paraId="656EAB82">
      <w:pPr>
        <w:spacing w:before="156" w:line="219" w:lineRule="auto"/>
        <w:ind w:left="1249"/>
        <w:rPr>
          <w:rFonts w:ascii="宋体" w:hAnsi="宋体" w:eastAsia="宋体" w:cs="宋体"/>
          <w:sz w:val="20"/>
          <w:szCs w:val="20"/>
        </w:rPr>
      </w:pPr>
      <w:r>
        <w:rPr>
          <w:rFonts w:ascii="宋体" w:hAnsi="宋体" w:eastAsia="宋体" w:cs="宋体"/>
          <w:spacing w:val="10"/>
          <w:sz w:val="20"/>
          <w:szCs w:val="20"/>
        </w:rPr>
        <w:t>1.</w:t>
      </w:r>
      <w:r>
        <w:rPr>
          <w:rFonts w:ascii="宋体" w:hAnsi="宋体" w:eastAsia="宋体" w:cs="宋体"/>
          <w:spacing w:val="-11"/>
          <w:sz w:val="20"/>
          <w:szCs w:val="20"/>
        </w:rPr>
        <w:t xml:space="preserve"> </w:t>
      </w:r>
      <w:r>
        <w:rPr>
          <w:rFonts w:ascii="宋体" w:hAnsi="宋体" w:eastAsia="宋体" w:cs="宋体"/>
          <w:spacing w:val="10"/>
          <w:sz w:val="20"/>
          <w:szCs w:val="20"/>
        </w:rPr>
        <w:t>发病率与患病率、死亡率与病死率有哪些异同点?</w:t>
      </w:r>
    </w:p>
    <w:p w14:paraId="2F4EF172">
      <w:pPr>
        <w:spacing w:before="112" w:line="219" w:lineRule="auto"/>
        <w:ind w:left="1249"/>
        <w:rPr>
          <w:rFonts w:ascii="宋体" w:hAnsi="宋体" w:eastAsia="宋体" w:cs="宋体"/>
          <w:sz w:val="20"/>
          <w:szCs w:val="20"/>
        </w:rPr>
      </w:pPr>
      <w:r>
        <w:rPr>
          <w:rFonts w:ascii="Times New Roman" w:hAnsi="Times New Roman" w:eastAsia="Times New Roman" w:cs="Times New Roman"/>
          <w:spacing w:val="2"/>
          <w:sz w:val="20"/>
          <w:szCs w:val="20"/>
        </w:rPr>
        <w:t xml:space="preserve">2.  </w:t>
      </w:r>
      <w:r>
        <w:rPr>
          <w:rFonts w:ascii="宋体" w:hAnsi="宋体" w:eastAsia="宋体" w:cs="宋体"/>
          <w:spacing w:val="2"/>
          <w:sz w:val="20"/>
          <w:szCs w:val="20"/>
        </w:rPr>
        <w:t>简 述</w:t>
      </w:r>
      <w:r>
        <w:rPr>
          <w:rFonts w:ascii="Times New Roman" w:hAnsi="Times New Roman" w:eastAsia="Times New Roman" w:cs="Times New Roman"/>
          <w:sz w:val="20"/>
          <w:szCs w:val="20"/>
        </w:rPr>
        <w:t>PYLL</w:t>
      </w:r>
      <w:r>
        <w:rPr>
          <w:rFonts w:ascii="Times New Roman" w:hAnsi="Times New Roman" w:eastAsia="Times New Roman" w:cs="Times New Roman"/>
          <w:spacing w:val="-14"/>
          <w:sz w:val="20"/>
          <w:szCs w:val="20"/>
        </w:rPr>
        <w:t xml:space="preserve"> </w:t>
      </w:r>
      <w:r>
        <w:rPr>
          <w:rFonts w:ascii="宋体" w:hAnsi="宋体" w:eastAsia="宋体" w:cs="宋体"/>
          <w:spacing w:val="2"/>
          <w:sz w:val="20"/>
          <w:szCs w:val="20"/>
        </w:rPr>
        <w:t>、</w:t>
      </w:r>
      <w:r>
        <w:rPr>
          <w:rFonts w:ascii="Times New Roman" w:hAnsi="Times New Roman" w:eastAsia="Times New Roman" w:cs="Times New Roman"/>
          <w:sz w:val="20"/>
          <w:szCs w:val="20"/>
        </w:rPr>
        <w:t>YLD</w:t>
      </w:r>
      <w:r>
        <w:rPr>
          <w:rFonts w:ascii="Times New Roman" w:hAnsi="Times New Roman" w:eastAsia="Times New Roman" w:cs="Times New Roman"/>
          <w:spacing w:val="-17"/>
          <w:sz w:val="20"/>
          <w:szCs w:val="20"/>
        </w:rPr>
        <w:t xml:space="preserve"> </w:t>
      </w:r>
      <w:r>
        <w:rPr>
          <w:rFonts w:ascii="宋体" w:hAnsi="宋体" w:eastAsia="宋体" w:cs="宋体"/>
          <w:spacing w:val="2"/>
          <w:sz w:val="20"/>
          <w:szCs w:val="20"/>
        </w:rPr>
        <w:t>和</w:t>
      </w:r>
      <w:r>
        <w:rPr>
          <w:rFonts w:ascii="宋体" w:hAnsi="宋体" w:eastAsia="宋体" w:cs="宋体"/>
          <w:spacing w:val="-31"/>
          <w:sz w:val="20"/>
          <w:szCs w:val="20"/>
        </w:rPr>
        <w:t xml:space="preserve"> </w:t>
      </w:r>
      <w:r>
        <w:rPr>
          <w:rFonts w:ascii="Times New Roman" w:hAnsi="Times New Roman" w:eastAsia="Times New Roman" w:cs="Times New Roman"/>
          <w:sz w:val="20"/>
          <w:szCs w:val="20"/>
        </w:rPr>
        <w:t>DALY</w:t>
      </w:r>
      <w:r>
        <w:rPr>
          <w:rFonts w:ascii="Times New Roman" w:hAnsi="Times New Roman" w:eastAsia="Times New Roman" w:cs="Times New Roman"/>
          <w:spacing w:val="2"/>
          <w:sz w:val="20"/>
          <w:szCs w:val="20"/>
        </w:rPr>
        <w:t xml:space="preserve">  </w:t>
      </w:r>
      <w:r>
        <w:rPr>
          <w:rFonts w:ascii="宋体" w:hAnsi="宋体" w:eastAsia="宋体" w:cs="宋体"/>
          <w:spacing w:val="2"/>
          <w:sz w:val="20"/>
          <w:szCs w:val="20"/>
        </w:rPr>
        <w:t>之间的关系。</w:t>
      </w:r>
    </w:p>
    <w:p w14:paraId="4CF5B0E0">
      <w:pPr>
        <w:spacing w:before="132" w:line="219" w:lineRule="auto"/>
        <w:ind w:left="1249"/>
        <w:rPr>
          <w:rFonts w:ascii="宋体" w:hAnsi="宋体" w:eastAsia="宋体" w:cs="宋体"/>
          <w:sz w:val="20"/>
          <w:szCs w:val="20"/>
        </w:rPr>
      </w:pPr>
      <w:r>
        <w:rPr>
          <w:rFonts w:ascii="宋体" w:hAnsi="宋体" w:eastAsia="宋体" w:cs="宋体"/>
          <w:spacing w:val="13"/>
          <w:sz w:val="20"/>
          <w:szCs w:val="20"/>
        </w:rPr>
        <w:t>3.</w:t>
      </w:r>
      <w:r>
        <w:rPr>
          <w:rFonts w:ascii="宋体" w:hAnsi="宋体" w:eastAsia="宋体" w:cs="宋体"/>
          <w:spacing w:val="-14"/>
          <w:sz w:val="20"/>
          <w:szCs w:val="20"/>
        </w:rPr>
        <w:t xml:space="preserve"> </w:t>
      </w:r>
      <w:r>
        <w:rPr>
          <w:rFonts w:ascii="宋体" w:hAnsi="宋体" w:eastAsia="宋体" w:cs="宋体"/>
          <w:spacing w:val="13"/>
          <w:sz w:val="20"/>
          <w:szCs w:val="20"/>
        </w:rPr>
        <w:t>举例说明疾病流行强度的常用指标有哪些。</w:t>
      </w:r>
    </w:p>
    <w:p w14:paraId="45AF3906">
      <w:pPr>
        <w:spacing w:before="163" w:line="219" w:lineRule="auto"/>
        <w:ind w:left="1249"/>
        <w:rPr>
          <w:rFonts w:ascii="宋体" w:hAnsi="宋体" w:eastAsia="宋体" w:cs="宋体"/>
          <w:sz w:val="20"/>
          <w:szCs w:val="20"/>
        </w:rPr>
      </w:pPr>
      <w:r>
        <w:rPr>
          <w:rFonts w:ascii="宋体" w:hAnsi="宋体" w:eastAsia="宋体" w:cs="宋体"/>
          <w:spacing w:val="16"/>
          <w:sz w:val="20"/>
          <w:szCs w:val="20"/>
        </w:rPr>
        <w:t>4.</w:t>
      </w:r>
      <w:r>
        <w:rPr>
          <w:rFonts w:ascii="宋体" w:hAnsi="宋体" w:eastAsia="宋体" w:cs="宋体"/>
          <w:spacing w:val="-13"/>
          <w:sz w:val="20"/>
          <w:szCs w:val="20"/>
        </w:rPr>
        <w:t xml:space="preserve"> </w:t>
      </w:r>
      <w:r>
        <w:rPr>
          <w:rFonts w:ascii="宋体" w:hAnsi="宋体" w:eastAsia="宋体" w:cs="宋体"/>
          <w:spacing w:val="16"/>
          <w:sz w:val="20"/>
          <w:szCs w:val="20"/>
        </w:rPr>
        <w:t>疾病时间分布的特征与变化规律一般从哪几个方面进行归纳与描述?</w:t>
      </w:r>
    </w:p>
    <w:p w14:paraId="55525924">
      <w:pPr>
        <w:spacing w:before="153" w:line="219" w:lineRule="auto"/>
        <w:ind w:left="1249"/>
        <w:rPr>
          <w:rFonts w:ascii="宋体" w:hAnsi="宋体" w:eastAsia="宋体" w:cs="宋体"/>
          <w:sz w:val="20"/>
          <w:szCs w:val="20"/>
        </w:rPr>
      </w:pPr>
      <w:r>
        <w:rPr>
          <w:rFonts w:ascii="宋体" w:hAnsi="宋体" w:eastAsia="宋体" w:cs="宋体"/>
          <w:spacing w:val="13"/>
          <w:sz w:val="20"/>
          <w:szCs w:val="20"/>
        </w:rPr>
        <w:t>5.</w:t>
      </w:r>
      <w:r>
        <w:rPr>
          <w:rFonts w:ascii="宋体" w:hAnsi="宋体" w:eastAsia="宋体" w:cs="宋体"/>
          <w:spacing w:val="-20"/>
          <w:sz w:val="20"/>
          <w:szCs w:val="20"/>
        </w:rPr>
        <w:t xml:space="preserve"> </w:t>
      </w:r>
      <w:r>
        <w:rPr>
          <w:rFonts w:ascii="宋体" w:hAnsi="宋体" w:eastAsia="宋体" w:cs="宋体"/>
          <w:spacing w:val="13"/>
          <w:sz w:val="20"/>
          <w:szCs w:val="20"/>
        </w:rPr>
        <w:t>举例说明什么是疾病分布的综合描述，并解释其在流行病学研究中的重要性。</w:t>
      </w:r>
    </w:p>
    <w:p w14:paraId="6B197413">
      <w:pPr>
        <w:spacing w:line="219" w:lineRule="auto"/>
        <w:rPr>
          <w:rFonts w:ascii="宋体" w:hAnsi="宋体" w:eastAsia="宋体" w:cs="宋体"/>
          <w:sz w:val="20"/>
          <w:szCs w:val="20"/>
        </w:rPr>
        <w:sectPr>
          <w:footerReference r:id="rId61" w:type="default"/>
          <w:pgSz w:w="12220" w:h="17040"/>
          <w:pgMar w:top="400" w:right="1004" w:bottom="909" w:left="1460" w:header="0" w:footer="729" w:gutter="0"/>
          <w:cols w:space="720" w:num="1"/>
        </w:sectPr>
      </w:pPr>
    </w:p>
    <w:p w14:paraId="54B301E1">
      <w:pPr>
        <w:spacing w:line="292" w:lineRule="auto"/>
        <w:rPr>
          <w:rFonts w:ascii="Arial"/>
          <w:sz w:val="21"/>
        </w:rPr>
      </w:pPr>
    </w:p>
    <w:p w14:paraId="03DC045E">
      <w:pPr>
        <w:spacing w:line="292" w:lineRule="auto"/>
        <w:rPr>
          <w:rFonts w:ascii="Arial"/>
          <w:sz w:val="21"/>
        </w:rPr>
      </w:pPr>
    </w:p>
    <w:p w14:paraId="77DB183F">
      <w:pPr>
        <w:spacing w:line="292" w:lineRule="auto"/>
        <w:rPr>
          <w:rFonts w:ascii="Arial"/>
          <w:sz w:val="21"/>
        </w:rPr>
      </w:pPr>
      <w:r>
        <w:drawing>
          <wp:anchor distT="0" distB="0" distL="0" distR="0" simplePos="0" relativeHeight="251712512" behindDoc="0" locked="0" layoutInCell="1" allowOverlap="1">
            <wp:simplePos x="0" y="0"/>
            <wp:positionH relativeFrom="column">
              <wp:posOffset>418465</wp:posOffset>
            </wp:positionH>
            <wp:positionV relativeFrom="paragraph">
              <wp:posOffset>235585</wp:posOffset>
            </wp:positionV>
            <wp:extent cx="565150" cy="622300"/>
            <wp:effectExtent l="0" t="0" r="0" b="0"/>
            <wp:wrapNone/>
            <wp:docPr id="154" name="IM 154"/>
            <wp:cNvGraphicFramePr/>
            <a:graphic xmlns:a="http://schemas.openxmlformats.org/drawingml/2006/main">
              <a:graphicData uri="http://schemas.openxmlformats.org/drawingml/2006/picture">
                <pic:pic xmlns:pic="http://schemas.openxmlformats.org/drawingml/2006/picture">
                  <pic:nvPicPr>
                    <pic:cNvPr id="154" name="IM 154"/>
                    <pic:cNvPicPr/>
                  </pic:nvPicPr>
                  <pic:blipFill>
                    <a:blip r:embed="rId453"/>
                    <a:stretch>
                      <a:fillRect/>
                    </a:stretch>
                  </pic:blipFill>
                  <pic:spPr>
                    <a:xfrm>
                      <a:off x="0" y="0"/>
                      <a:ext cx="565150" cy="622258"/>
                    </a:xfrm>
                    <a:prstGeom prst="rect">
                      <a:avLst/>
                    </a:prstGeom>
                  </pic:spPr>
                </pic:pic>
              </a:graphicData>
            </a:graphic>
          </wp:anchor>
        </w:drawing>
      </w:r>
    </w:p>
    <w:p w14:paraId="20750ECF">
      <w:pPr>
        <w:pStyle w:val="2"/>
        <w:spacing w:before="94" w:line="222" w:lineRule="auto"/>
        <w:ind w:left="4634"/>
        <w:outlineLvl w:val="0"/>
        <w:rPr>
          <w:sz w:val="29"/>
          <w:szCs w:val="29"/>
        </w:rPr>
      </w:pPr>
      <w:bookmarkStart w:id="58" w:name="bookmark33"/>
      <w:bookmarkEnd w:id="58"/>
      <w:r>
        <w:rPr>
          <w:b/>
          <w:bCs/>
          <w:spacing w:val="1"/>
          <w:sz w:val="29"/>
          <w:szCs w:val="29"/>
        </w:rPr>
        <w:t>第三章</w:t>
      </w:r>
    </w:p>
    <w:p w14:paraId="0F9453E9">
      <w:pPr>
        <w:pStyle w:val="2"/>
        <w:spacing w:before="134" w:line="222" w:lineRule="auto"/>
        <w:ind w:left="3986"/>
        <w:outlineLvl w:val="0"/>
        <w:rPr>
          <w:sz w:val="44"/>
          <w:szCs w:val="44"/>
        </w:rPr>
      </w:pPr>
      <w:bookmarkStart w:id="59" w:name="bookmark33"/>
      <w:bookmarkEnd w:id="59"/>
      <w:bookmarkStart w:id="60" w:name="bookmark423"/>
      <w:bookmarkEnd w:id="60"/>
      <w:r>
        <w:rPr>
          <w:b/>
          <w:bCs/>
          <w:spacing w:val="-3"/>
          <w:sz w:val="44"/>
          <w:szCs w:val="44"/>
        </w:rPr>
        <w:t>描述性研究</w:t>
      </w:r>
    </w:p>
    <w:p w14:paraId="50AC78F3">
      <w:pPr>
        <w:spacing w:before="121" w:line="450" w:lineRule="exact"/>
        <w:ind w:firstLine="210"/>
      </w:pPr>
      <w:r>
        <w:rPr>
          <w:position w:val="-8"/>
        </w:rPr>
        <w:drawing>
          <wp:inline distT="0" distB="0" distL="0" distR="0">
            <wp:extent cx="323215" cy="285115"/>
            <wp:effectExtent l="0" t="0" r="0" b="0"/>
            <wp:docPr id="156" name="IM 156"/>
            <wp:cNvGraphicFramePr/>
            <a:graphic xmlns:a="http://schemas.openxmlformats.org/drawingml/2006/main">
              <a:graphicData uri="http://schemas.openxmlformats.org/drawingml/2006/picture">
                <pic:pic xmlns:pic="http://schemas.openxmlformats.org/drawingml/2006/picture">
                  <pic:nvPicPr>
                    <pic:cNvPr id="156" name="IM 156"/>
                    <pic:cNvPicPr/>
                  </pic:nvPicPr>
                  <pic:blipFill>
                    <a:blip r:embed="rId454"/>
                    <a:stretch>
                      <a:fillRect/>
                    </a:stretch>
                  </pic:blipFill>
                  <pic:spPr>
                    <a:xfrm>
                      <a:off x="0" y="0"/>
                      <a:ext cx="323796" cy="285708"/>
                    </a:xfrm>
                    <a:prstGeom prst="rect">
                      <a:avLst/>
                    </a:prstGeom>
                  </pic:spPr>
                </pic:pic>
              </a:graphicData>
            </a:graphic>
          </wp:inline>
        </w:drawing>
      </w:r>
    </w:p>
    <w:p w14:paraId="23CBCAF8">
      <w:pPr>
        <w:spacing w:before="315" w:line="198" w:lineRule="auto"/>
        <w:ind w:left="3200"/>
        <w:rPr>
          <w:rFonts w:ascii="Arial" w:hAnsi="Arial" w:eastAsia="Arial" w:cs="Arial"/>
          <w:sz w:val="29"/>
          <w:szCs w:val="29"/>
        </w:rPr>
      </w:pPr>
      <w:r>
        <w:rPr>
          <w:rFonts w:ascii="Arial" w:hAnsi="Arial" w:eastAsia="Arial" w:cs="Arial"/>
          <w:b/>
          <w:bCs/>
          <w:spacing w:val="-5"/>
          <w:sz w:val="29"/>
          <w:szCs w:val="29"/>
        </w:rPr>
        <w:t>Chapter 3</w:t>
      </w:r>
      <w:r>
        <w:rPr>
          <w:rFonts w:ascii="Arial" w:hAnsi="Arial" w:eastAsia="Arial" w:cs="Arial"/>
          <w:b/>
          <w:bCs/>
          <w:spacing w:val="21"/>
          <w:w w:val="101"/>
          <w:sz w:val="29"/>
          <w:szCs w:val="29"/>
        </w:rPr>
        <w:t xml:space="preserve"> </w:t>
      </w:r>
      <w:r>
        <w:rPr>
          <w:rFonts w:ascii="Arial" w:hAnsi="Arial" w:eastAsia="Arial" w:cs="Arial"/>
          <w:b/>
          <w:bCs/>
          <w:spacing w:val="-5"/>
          <w:sz w:val="29"/>
          <w:szCs w:val="29"/>
        </w:rPr>
        <w:t>Descriptive Study</w:t>
      </w:r>
    </w:p>
    <w:p w14:paraId="35FEDB68">
      <w:pPr>
        <w:spacing w:line="423" w:lineRule="auto"/>
        <w:rPr>
          <w:rFonts w:ascii="Arial"/>
          <w:sz w:val="21"/>
        </w:rPr>
      </w:pPr>
    </w:p>
    <w:p w14:paraId="6DADB37D">
      <w:pPr>
        <w:spacing w:before="58" w:line="384" w:lineRule="auto"/>
        <w:ind w:left="699" w:right="73" w:firstLine="410"/>
        <w:jc w:val="both"/>
        <w:rPr>
          <w:rFonts w:ascii="Times New Roman" w:hAnsi="Times New Roman" w:eastAsia="Times New Roman" w:cs="Times New Roman"/>
          <w:sz w:val="20"/>
          <w:szCs w:val="20"/>
        </w:rPr>
      </w:pPr>
      <w:r>
        <w:rPr>
          <w:rFonts w:ascii="Times New Roman" w:hAnsi="Times New Roman" w:eastAsia="Times New Roman" w:cs="Times New Roman"/>
          <w:sz w:val="20"/>
          <w:szCs w:val="20"/>
        </w:rPr>
        <w:t>Descriptive  epidemiologic  studies</w:t>
      </w:r>
      <w:r>
        <w:rPr>
          <w:rFonts w:ascii="Times New Roman" w:hAnsi="Times New Roman" w:eastAsia="Times New Roman" w:cs="Times New Roman"/>
          <w:spacing w:val="9"/>
          <w:sz w:val="20"/>
          <w:szCs w:val="20"/>
        </w:rPr>
        <w:t xml:space="preserve">  </w:t>
      </w:r>
      <w:r>
        <w:rPr>
          <w:rFonts w:ascii="Times New Roman" w:hAnsi="Times New Roman" w:eastAsia="Times New Roman" w:cs="Times New Roman"/>
          <w:sz w:val="20"/>
          <w:szCs w:val="20"/>
        </w:rPr>
        <w:t>describe</w:t>
      </w:r>
      <w:r>
        <w:rPr>
          <w:rFonts w:ascii="Times New Roman" w:hAnsi="Times New Roman" w:eastAsia="Times New Roman" w:cs="Times New Roman"/>
          <w:spacing w:val="8"/>
          <w:sz w:val="20"/>
          <w:szCs w:val="20"/>
        </w:rPr>
        <w:t xml:space="preserve">  </w:t>
      </w:r>
      <w:r>
        <w:rPr>
          <w:rFonts w:ascii="Times New Roman" w:hAnsi="Times New Roman" w:eastAsia="Times New Roman" w:cs="Times New Roman"/>
          <w:sz w:val="20"/>
          <w:szCs w:val="20"/>
        </w:rPr>
        <w:t>the</w:t>
      </w:r>
      <w:r>
        <w:rPr>
          <w:rFonts w:ascii="Times New Roman" w:hAnsi="Times New Roman" w:eastAsia="Times New Roman" w:cs="Times New Roman"/>
          <w:spacing w:val="9"/>
          <w:sz w:val="20"/>
          <w:szCs w:val="20"/>
        </w:rPr>
        <w:t xml:space="preserve">  </w:t>
      </w:r>
      <w:r>
        <w:rPr>
          <w:rFonts w:ascii="Times New Roman" w:hAnsi="Times New Roman" w:eastAsia="Times New Roman" w:cs="Times New Roman"/>
          <w:sz w:val="20"/>
          <w:szCs w:val="20"/>
        </w:rPr>
        <w:t>distribution</w:t>
      </w:r>
      <w:r>
        <w:rPr>
          <w:rFonts w:ascii="Times New Roman" w:hAnsi="Times New Roman" w:eastAsia="Times New Roman" w:cs="Times New Roman"/>
          <w:spacing w:val="10"/>
          <w:sz w:val="20"/>
          <w:szCs w:val="20"/>
        </w:rPr>
        <w:t xml:space="preserve">  </w:t>
      </w:r>
      <w:r>
        <w:rPr>
          <w:rFonts w:ascii="Times New Roman" w:hAnsi="Times New Roman" w:eastAsia="Times New Roman" w:cs="Times New Roman"/>
          <w:sz w:val="20"/>
          <w:szCs w:val="20"/>
        </w:rPr>
        <w:t>of  disease,h</w:t>
      </w:r>
      <w:r>
        <w:rPr>
          <w:rFonts w:ascii="Times New Roman" w:hAnsi="Times New Roman" w:eastAsia="Times New Roman" w:cs="Times New Roman"/>
          <w:spacing w:val="-1"/>
          <w:sz w:val="20"/>
          <w:szCs w:val="20"/>
        </w:rPr>
        <w:t>ealth</w:t>
      </w:r>
      <w:r>
        <w:rPr>
          <w:rFonts w:ascii="Times New Roman" w:hAnsi="Times New Roman" w:eastAsia="Times New Roman" w:cs="Times New Roman"/>
          <w:spacing w:val="11"/>
          <w:sz w:val="20"/>
          <w:szCs w:val="20"/>
        </w:rPr>
        <w:t xml:space="preserve">  </w:t>
      </w:r>
      <w:r>
        <w:rPr>
          <w:rFonts w:ascii="Times New Roman" w:hAnsi="Times New Roman" w:eastAsia="Times New Roman" w:cs="Times New Roman"/>
          <w:spacing w:val="-1"/>
          <w:sz w:val="20"/>
          <w:szCs w:val="20"/>
        </w:rPr>
        <w:t>status</w:t>
      </w:r>
      <w:r>
        <w:rPr>
          <w:rFonts w:ascii="Times New Roman" w:hAnsi="Times New Roman" w:eastAsia="Times New Roman" w:cs="Times New Roman"/>
          <w:spacing w:val="9"/>
          <w:sz w:val="20"/>
          <w:szCs w:val="20"/>
        </w:rPr>
        <w:t xml:space="preserve">  </w:t>
      </w:r>
      <w:r>
        <w:rPr>
          <w:rFonts w:ascii="Times New Roman" w:hAnsi="Times New Roman" w:eastAsia="Times New Roman" w:cs="Times New Roman"/>
          <w:spacing w:val="-1"/>
          <w:sz w:val="20"/>
          <w:szCs w:val="20"/>
        </w:rPr>
        <w:t>and</w:t>
      </w:r>
      <w:r>
        <w:rPr>
          <w:rFonts w:ascii="Times New Roman" w:hAnsi="Times New Roman" w:eastAsia="Times New Roman" w:cs="Times New Roman"/>
          <w:spacing w:val="10"/>
          <w:sz w:val="20"/>
          <w:szCs w:val="20"/>
        </w:rPr>
        <w:t xml:space="preserve">  </w:t>
      </w:r>
      <w:r>
        <w:rPr>
          <w:rFonts w:ascii="Times New Roman" w:hAnsi="Times New Roman" w:eastAsia="Times New Roman" w:cs="Times New Roman"/>
          <w:spacing w:val="-1"/>
          <w:sz w:val="20"/>
          <w:szCs w:val="20"/>
        </w:rPr>
        <w:t>exposure</w:t>
      </w:r>
      <w:r>
        <w:rPr>
          <w:rFonts w:ascii="Times New Roman" w:hAnsi="Times New Roman" w:eastAsia="Times New Roman" w:cs="Times New Roman"/>
          <w:sz w:val="20"/>
          <w:szCs w:val="20"/>
        </w:rPr>
        <w:t xml:space="preserve"> </w:t>
      </w:r>
      <w:r>
        <w:rPr>
          <w:rFonts w:ascii="Times New Roman" w:hAnsi="Times New Roman" w:eastAsia="Times New Roman" w:cs="Times New Roman"/>
          <w:spacing w:val="-1"/>
          <w:sz w:val="20"/>
          <w:szCs w:val="20"/>
        </w:rPr>
        <w:t>in</w:t>
      </w:r>
      <w:r>
        <w:rPr>
          <w:rFonts w:ascii="Times New Roman" w:hAnsi="Times New Roman" w:eastAsia="Times New Roman" w:cs="Times New Roman"/>
          <w:spacing w:val="49"/>
          <w:w w:val="101"/>
          <w:sz w:val="20"/>
          <w:szCs w:val="20"/>
        </w:rPr>
        <w:t xml:space="preserve"> </w:t>
      </w:r>
      <w:r>
        <w:rPr>
          <w:rFonts w:ascii="Times New Roman" w:hAnsi="Times New Roman" w:eastAsia="Times New Roman" w:cs="Times New Roman"/>
          <w:spacing w:val="-1"/>
          <w:sz w:val="20"/>
          <w:szCs w:val="20"/>
        </w:rPr>
        <w:t>different</w:t>
      </w:r>
      <w:r>
        <w:rPr>
          <w:rFonts w:ascii="Times New Roman" w:hAnsi="Times New Roman" w:eastAsia="Times New Roman" w:cs="Times New Roman"/>
          <w:spacing w:val="35"/>
          <w:sz w:val="20"/>
          <w:szCs w:val="20"/>
        </w:rPr>
        <w:t xml:space="preserve"> </w:t>
      </w:r>
      <w:r>
        <w:rPr>
          <w:rFonts w:ascii="Times New Roman" w:hAnsi="Times New Roman" w:eastAsia="Times New Roman" w:cs="Times New Roman"/>
          <w:spacing w:val="-1"/>
          <w:sz w:val="20"/>
          <w:szCs w:val="20"/>
        </w:rPr>
        <w:t>groups</w:t>
      </w:r>
      <w:r>
        <w:rPr>
          <w:rFonts w:ascii="Times New Roman" w:hAnsi="Times New Roman" w:eastAsia="Times New Roman" w:cs="Times New Roman"/>
          <w:spacing w:val="36"/>
          <w:sz w:val="20"/>
          <w:szCs w:val="20"/>
        </w:rPr>
        <w:t xml:space="preserve"> </w:t>
      </w:r>
      <w:r>
        <w:rPr>
          <w:rFonts w:ascii="Times New Roman" w:hAnsi="Times New Roman" w:eastAsia="Times New Roman" w:cs="Times New Roman"/>
          <w:spacing w:val="-1"/>
          <w:sz w:val="20"/>
          <w:szCs w:val="20"/>
        </w:rPr>
        <w:t>defined</w:t>
      </w:r>
      <w:r>
        <w:rPr>
          <w:rFonts w:ascii="Times New Roman" w:hAnsi="Times New Roman" w:eastAsia="Times New Roman" w:cs="Times New Roman"/>
          <w:spacing w:val="28"/>
          <w:w w:val="101"/>
          <w:sz w:val="20"/>
          <w:szCs w:val="20"/>
        </w:rPr>
        <w:t xml:space="preserve"> </w:t>
      </w:r>
      <w:r>
        <w:rPr>
          <w:rFonts w:ascii="Times New Roman" w:hAnsi="Times New Roman" w:eastAsia="Times New Roman" w:cs="Times New Roman"/>
          <w:spacing w:val="-1"/>
          <w:sz w:val="20"/>
          <w:szCs w:val="20"/>
        </w:rPr>
        <w:t>by</w:t>
      </w:r>
      <w:r>
        <w:rPr>
          <w:rFonts w:ascii="Times New Roman" w:hAnsi="Times New Roman" w:eastAsia="Times New Roman" w:cs="Times New Roman"/>
          <w:spacing w:val="37"/>
          <w:w w:val="101"/>
          <w:sz w:val="20"/>
          <w:szCs w:val="20"/>
        </w:rPr>
        <w:t xml:space="preserve"> </w:t>
      </w:r>
      <w:r>
        <w:rPr>
          <w:rFonts w:ascii="Times New Roman" w:hAnsi="Times New Roman" w:eastAsia="Times New Roman" w:cs="Times New Roman"/>
          <w:spacing w:val="-1"/>
          <w:sz w:val="20"/>
          <w:szCs w:val="20"/>
        </w:rPr>
        <w:t>factors</w:t>
      </w:r>
      <w:r>
        <w:rPr>
          <w:rFonts w:ascii="Times New Roman" w:hAnsi="Times New Roman" w:eastAsia="Times New Roman" w:cs="Times New Roman"/>
          <w:spacing w:val="39"/>
          <w:sz w:val="20"/>
          <w:szCs w:val="20"/>
        </w:rPr>
        <w:t xml:space="preserve"> </w:t>
      </w:r>
      <w:r>
        <w:rPr>
          <w:rFonts w:ascii="Times New Roman" w:hAnsi="Times New Roman" w:eastAsia="Times New Roman" w:cs="Times New Roman"/>
          <w:spacing w:val="-1"/>
          <w:sz w:val="20"/>
          <w:szCs w:val="20"/>
        </w:rPr>
        <w:t>such</w:t>
      </w:r>
      <w:r>
        <w:rPr>
          <w:rFonts w:ascii="Times New Roman" w:hAnsi="Times New Roman" w:eastAsia="Times New Roman" w:cs="Times New Roman"/>
          <w:spacing w:val="37"/>
          <w:sz w:val="20"/>
          <w:szCs w:val="20"/>
        </w:rPr>
        <w:t xml:space="preserve"> </w:t>
      </w:r>
      <w:r>
        <w:rPr>
          <w:rFonts w:ascii="Times New Roman" w:hAnsi="Times New Roman" w:eastAsia="Times New Roman" w:cs="Times New Roman"/>
          <w:spacing w:val="-1"/>
          <w:sz w:val="20"/>
          <w:szCs w:val="20"/>
        </w:rPr>
        <w:t>as</w:t>
      </w:r>
      <w:r>
        <w:rPr>
          <w:rFonts w:ascii="Times New Roman" w:hAnsi="Times New Roman" w:eastAsia="Times New Roman" w:cs="Times New Roman"/>
          <w:spacing w:val="36"/>
          <w:w w:val="101"/>
          <w:sz w:val="20"/>
          <w:szCs w:val="20"/>
        </w:rPr>
        <w:t xml:space="preserve"> </w:t>
      </w:r>
      <w:r>
        <w:rPr>
          <w:rFonts w:ascii="Times New Roman" w:hAnsi="Times New Roman" w:eastAsia="Times New Roman" w:cs="Times New Roman"/>
          <w:spacing w:val="-1"/>
          <w:sz w:val="20"/>
          <w:szCs w:val="20"/>
        </w:rPr>
        <w:t>age,gender</w:t>
      </w:r>
      <w:r>
        <w:rPr>
          <w:rFonts w:ascii="Times New Roman" w:hAnsi="Times New Roman" w:eastAsia="Times New Roman" w:cs="Times New Roman"/>
          <w:spacing w:val="35"/>
          <w:w w:val="101"/>
          <w:sz w:val="20"/>
          <w:szCs w:val="20"/>
        </w:rPr>
        <w:t xml:space="preserve"> </w:t>
      </w:r>
      <w:r>
        <w:rPr>
          <w:rFonts w:ascii="Times New Roman" w:hAnsi="Times New Roman" w:eastAsia="Times New Roman" w:cs="Times New Roman"/>
          <w:spacing w:val="-1"/>
          <w:sz w:val="20"/>
          <w:szCs w:val="20"/>
        </w:rPr>
        <w:t>and</w:t>
      </w:r>
      <w:r>
        <w:rPr>
          <w:rFonts w:ascii="Times New Roman" w:hAnsi="Times New Roman" w:eastAsia="Times New Roman" w:cs="Times New Roman"/>
          <w:spacing w:val="30"/>
          <w:sz w:val="20"/>
          <w:szCs w:val="20"/>
        </w:rPr>
        <w:t xml:space="preserve"> </w:t>
      </w:r>
      <w:r>
        <w:rPr>
          <w:rFonts w:ascii="Times New Roman" w:hAnsi="Times New Roman" w:eastAsia="Times New Roman" w:cs="Times New Roman"/>
          <w:spacing w:val="-1"/>
          <w:sz w:val="20"/>
          <w:szCs w:val="20"/>
        </w:rPr>
        <w:t>race,and</w:t>
      </w:r>
      <w:r>
        <w:rPr>
          <w:rFonts w:ascii="Times New Roman" w:hAnsi="Times New Roman" w:eastAsia="Times New Roman" w:cs="Times New Roman"/>
          <w:spacing w:val="36"/>
          <w:w w:val="101"/>
          <w:sz w:val="20"/>
          <w:szCs w:val="20"/>
        </w:rPr>
        <w:t xml:space="preserve"> </w:t>
      </w:r>
      <w:r>
        <w:rPr>
          <w:rFonts w:ascii="Times New Roman" w:hAnsi="Times New Roman" w:eastAsia="Times New Roman" w:cs="Times New Roman"/>
          <w:spacing w:val="-1"/>
          <w:sz w:val="20"/>
          <w:szCs w:val="20"/>
        </w:rPr>
        <w:t>examine</w:t>
      </w:r>
      <w:r>
        <w:rPr>
          <w:rFonts w:ascii="Times New Roman" w:hAnsi="Times New Roman" w:eastAsia="Times New Roman" w:cs="Times New Roman"/>
          <w:spacing w:val="31"/>
          <w:w w:val="101"/>
          <w:sz w:val="20"/>
          <w:szCs w:val="20"/>
        </w:rPr>
        <w:t xml:space="preserve"> </w:t>
      </w:r>
      <w:r>
        <w:rPr>
          <w:rFonts w:ascii="Times New Roman" w:hAnsi="Times New Roman" w:eastAsia="Times New Roman" w:cs="Times New Roman"/>
          <w:spacing w:val="-1"/>
          <w:sz w:val="20"/>
          <w:szCs w:val="20"/>
        </w:rPr>
        <w:t>the</w:t>
      </w:r>
      <w:r>
        <w:rPr>
          <w:rFonts w:ascii="Times New Roman" w:hAnsi="Times New Roman" w:eastAsia="Times New Roman" w:cs="Times New Roman"/>
          <w:spacing w:val="29"/>
          <w:sz w:val="20"/>
          <w:szCs w:val="20"/>
        </w:rPr>
        <w:t xml:space="preserve"> </w:t>
      </w:r>
      <w:r>
        <w:rPr>
          <w:rFonts w:ascii="Times New Roman" w:hAnsi="Times New Roman" w:eastAsia="Times New Roman" w:cs="Times New Roman"/>
          <w:spacing w:val="-1"/>
          <w:sz w:val="20"/>
          <w:szCs w:val="20"/>
        </w:rPr>
        <w:t>pattern</w:t>
      </w:r>
      <w:r>
        <w:rPr>
          <w:rFonts w:ascii="Times New Roman" w:hAnsi="Times New Roman" w:eastAsia="Times New Roman" w:cs="Times New Roman"/>
          <w:spacing w:val="36"/>
          <w:w w:val="101"/>
          <w:sz w:val="20"/>
          <w:szCs w:val="20"/>
        </w:rPr>
        <w:t xml:space="preserve"> </w:t>
      </w:r>
      <w:r>
        <w:rPr>
          <w:rFonts w:ascii="Times New Roman" w:hAnsi="Times New Roman" w:eastAsia="Times New Roman" w:cs="Times New Roman"/>
          <w:spacing w:val="-1"/>
          <w:sz w:val="20"/>
          <w:szCs w:val="20"/>
        </w:rPr>
        <w:t>and</w:t>
      </w:r>
      <w:r>
        <w:rPr>
          <w:rFonts w:ascii="Times New Roman" w:hAnsi="Times New Roman" w:eastAsia="Times New Roman" w:cs="Times New Roman"/>
          <w:spacing w:val="31"/>
          <w:sz w:val="20"/>
          <w:szCs w:val="20"/>
        </w:rPr>
        <w:t xml:space="preserve"> </w:t>
      </w:r>
      <w:r>
        <w:rPr>
          <w:rFonts w:ascii="Times New Roman" w:hAnsi="Times New Roman" w:eastAsia="Times New Roman" w:cs="Times New Roman"/>
          <w:spacing w:val="-1"/>
          <w:sz w:val="20"/>
          <w:szCs w:val="20"/>
        </w:rPr>
        <w:t>trend</w:t>
      </w:r>
      <w:r>
        <w:rPr>
          <w:rFonts w:ascii="Times New Roman" w:hAnsi="Times New Roman" w:eastAsia="Times New Roman" w:cs="Times New Roman"/>
          <w:spacing w:val="36"/>
          <w:sz w:val="20"/>
          <w:szCs w:val="20"/>
        </w:rPr>
        <w:t xml:space="preserve"> </w:t>
      </w:r>
      <w:r>
        <w:rPr>
          <w:rFonts w:ascii="Times New Roman" w:hAnsi="Times New Roman" w:eastAsia="Times New Roman" w:cs="Times New Roman"/>
          <w:spacing w:val="-1"/>
          <w:sz w:val="20"/>
          <w:szCs w:val="20"/>
        </w:rPr>
        <w:t>of</w:t>
      </w:r>
      <w:r>
        <w:rPr>
          <w:rFonts w:ascii="Times New Roman" w:hAnsi="Times New Roman" w:eastAsia="Times New Roman" w:cs="Times New Roman"/>
          <w:sz w:val="20"/>
          <w:szCs w:val="20"/>
        </w:rPr>
        <w:t xml:space="preserve"> </w:t>
      </w:r>
      <w:r>
        <w:rPr>
          <w:rFonts w:ascii="Times New Roman" w:hAnsi="Times New Roman" w:eastAsia="Times New Roman" w:cs="Times New Roman"/>
          <w:spacing w:val="-1"/>
          <w:sz w:val="20"/>
          <w:szCs w:val="20"/>
        </w:rPr>
        <w:t>disease</w:t>
      </w:r>
      <w:r>
        <w:rPr>
          <w:rFonts w:ascii="Times New Roman" w:hAnsi="Times New Roman" w:eastAsia="Times New Roman" w:cs="Times New Roman"/>
          <w:spacing w:val="42"/>
          <w:w w:val="101"/>
          <w:sz w:val="20"/>
          <w:szCs w:val="20"/>
        </w:rPr>
        <w:t xml:space="preserve"> </w:t>
      </w:r>
      <w:r>
        <w:rPr>
          <w:rFonts w:ascii="Times New Roman" w:hAnsi="Times New Roman" w:eastAsia="Times New Roman" w:cs="Times New Roman"/>
          <w:spacing w:val="-1"/>
          <w:sz w:val="20"/>
          <w:szCs w:val="20"/>
        </w:rPr>
        <w:t>occurrence</w:t>
      </w:r>
      <w:r>
        <w:rPr>
          <w:rFonts w:ascii="Times New Roman" w:hAnsi="Times New Roman" w:eastAsia="Times New Roman" w:cs="Times New Roman"/>
          <w:spacing w:val="29"/>
          <w:w w:val="101"/>
          <w:sz w:val="20"/>
          <w:szCs w:val="20"/>
        </w:rPr>
        <w:t xml:space="preserve"> </w:t>
      </w:r>
      <w:r>
        <w:rPr>
          <w:rFonts w:ascii="Times New Roman" w:hAnsi="Times New Roman" w:eastAsia="Times New Roman" w:cs="Times New Roman"/>
          <w:spacing w:val="-1"/>
          <w:sz w:val="20"/>
          <w:szCs w:val="20"/>
        </w:rPr>
        <w:t>over</w:t>
      </w:r>
      <w:r>
        <w:rPr>
          <w:rFonts w:ascii="Times New Roman" w:hAnsi="Times New Roman" w:eastAsia="Times New Roman" w:cs="Times New Roman"/>
          <w:spacing w:val="23"/>
          <w:w w:val="101"/>
          <w:sz w:val="20"/>
          <w:szCs w:val="20"/>
        </w:rPr>
        <w:t xml:space="preserve"> </w:t>
      </w:r>
      <w:r>
        <w:rPr>
          <w:rFonts w:ascii="Times New Roman" w:hAnsi="Times New Roman" w:eastAsia="Times New Roman" w:cs="Times New Roman"/>
          <w:spacing w:val="-1"/>
          <w:sz w:val="20"/>
          <w:szCs w:val="20"/>
        </w:rPr>
        <w:t>time</w:t>
      </w:r>
      <w:r>
        <w:rPr>
          <w:rFonts w:ascii="Times New Roman" w:hAnsi="Times New Roman" w:eastAsia="Times New Roman" w:cs="Times New Roman"/>
          <w:spacing w:val="29"/>
          <w:w w:val="101"/>
          <w:sz w:val="20"/>
          <w:szCs w:val="20"/>
        </w:rPr>
        <w:t xml:space="preserve"> </w:t>
      </w:r>
      <w:r>
        <w:rPr>
          <w:rFonts w:ascii="Times New Roman" w:hAnsi="Times New Roman" w:eastAsia="Times New Roman" w:cs="Times New Roman"/>
          <w:spacing w:val="-1"/>
          <w:sz w:val="20"/>
          <w:szCs w:val="20"/>
        </w:rPr>
        <w:t>or</w:t>
      </w:r>
      <w:r>
        <w:rPr>
          <w:rFonts w:ascii="Times New Roman" w:hAnsi="Times New Roman" w:eastAsia="Times New Roman" w:cs="Times New Roman"/>
          <w:spacing w:val="21"/>
          <w:sz w:val="20"/>
          <w:szCs w:val="20"/>
        </w:rPr>
        <w:t xml:space="preserve"> </w:t>
      </w:r>
      <w:r>
        <w:rPr>
          <w:rFonts w:ascii="Times New Roman" w:hAnsi="Times New Roman" w:eastAsia="Times New Roman" w:cs="Times New Roman"/>
          <w:spacing w:val="-1"/>
          <w:sz w:val="20"/>
          <w:szCs w:val="20"/>
        </w:rPr>
        <w:t>by</w:t>
      </w:r>
      <w:r>
        <w:rPr>
          <w:rFonts w:ascii="Times New Roman" w:hAnsi="Times New Roman" w:eastAsia="Times New Roman" w:cs="Times New Roman"/>
          <w:spacing w:val="28"/>
          <w:w w:val="101"/>
          <w:sz w:val="20"/>
          <w:szCs w:val="20"/>
        </w:rPr>
        <w:t xml:space="preserve"> </w:t>
      </w:r>
      <w:r>
        <w:rPr>
          <w:rFonts w:ascii="Times New Roman" w:hAnsi="Times New Roman" w:eastAsia="Times New Roman" w:cs="Times New Roman"/>
          <w:spacing w:val="-1"/>
          <w:sz w:val="20"/>
          <w:szCs w:val="20"/>
        </w:rPr>
        <w:t>geographic</w:t>
      </w:r>
      <w:r>
        <w:rPr>
          <w:rFonts w:ascii="Times New Roman" w:hAnsi="Times New Roman" w:eastAsia="Times New Roman" w:cs="Times New Roman"/>
          <w:spacing w:val="30"/>
          <w:sz w:val="20"/>
          <w:szCs w:val="20"/>
        </w:rPr>
        <w:t xml:space="preserve"> </w:t>
      </w:r>
      <w:r>
        <w:rPr>
          <w:rFonts w:ascii="Times New Roman" w:hAnsi="Times New Roman" w:eastAsia="Times New Roman" w:cs="Times New Roman"/>
          <w:spacing w:val="-1"/>
          <w:sz w:val="20"/>
          <w:szCs w:val="20"/>
        </w:rPr>
        <w:t>area.These</w:t>
      </w:r>
      <w:r>
        <w:rPr>
          <w:rFonts w:ascii="Times New Roman" w:hAnsi="Times New Roman" w:eastAsia="Times New Roman" w:cs="Times New Roman"/>
          <w:spacing w:val="32"/>
          <w:w w:val="101"/>
          <w:sz w:val="20"/>
          <w:szCs w:val="20"/>
        </w:rPr>
        <w:t xml:space="preserve"> </w:t>
      </w:r>
      <w:r>
        <w:rPr>
          <w:rFonts w:ascii="Times New Roman" w:hAnsi="Times New Roman" w:eastAsia="Times New Roman" w:cs="Times New Roman"/>
          <w:spacing w:val="-1"/>
          <w:sz w:val="20"/>
          <w:szCs w:val="20"/>
        </w:rPr>
        <w:t>studies</w:t>
      </w:r>
      <w:r>
        <w:rPr>
          <w:rFonts w:ascii="Times New Roman" w:hAnsi="Times New Roman" w:eastAsia="Times New Roman" w:cs="Times New Roman"/>
          <w:spacing w:val="29"/>
          <w:w w:val="101"/>
          <w:sz w:val="20"/>
          <w:szCs w:val="20"/>
        </w:rPr>
        <w:t xml:space="preserve"> </w:t>
      </w:r>
      <w:r>
        <w:rPr>
          <w:rFonts w:ascii="Times New Roman" w:hAnsi="Times New Roman" w:eastAsia="Times New Roman" w:cs="Times New Roman"/>
          <w:spacing w:val="-1"/>
          <w:sz w:val="20"/>
          <w:szCs w:val="20"/>
        </w:rPr>
        <w:t>are</w:t>
      </w:r>
      <w:r>
        <w:rPr>
          <w:rFonts w:ascii="Times New Roman" w:hAnsi="Times New Roman" w:eastAsia="Times New Roman" w:cs="Times New Roman"/>
          <w:spacing w:val="24"/>
          <w:w w:val="101"/>
          <w:sz w:val="20"/>
          <w:szCs w:val="20"/>
        </w:rPr>
        <w:t xml:space="preserve"> </w:t>
      </w:r>
      <w:r>
        <w:rPr>
          <w:rFonts w:ascii="Times New Roman" w:hAnsi="Times New Roman" w:eastAsia="Times New Roman" w:cs="Times New Roman"/>
          <w:spacing w:val="-1"/>
          <w:sz w:val="20"/>
          <w:szCs w:val="20"/>
        </w:rPr>
        <w:t>mainly</w:t>
      </w:r>
      <w:r>
        <w:rPr>
          <w:rFonts w:ascii="Times New Roman" w:hAnsi="Times New Roman" w:eastAsia="Times New Roman" w:cs="Times New Roman"/>
          <w:spacing w:val="23"/>
          <w:sz w:val="20"/>
          <w:szCs w:val="20"/>
        </w:rPr>
        <w:t xml:space="preserve"> </w:t>
      </w:r>
      <w:r>
        <w:rPr>
          <w:rFonts w:ascii="Times New Roman" w:hAnsi="Times New Roman" w:eastAsia="Times New Roman" w:cs="Times New Roman"/>
          <w:spacing w:val="-1"/>
          <w:sz w:val="20"/>
          <w:szCs w:val="20"/>
        </w:rPr>
        <w:t>used</w:t>
      </w:r>
      <w:r>
        <w:rPr>
          <w:rFonts w:ascii="Times New Roman" w:hAnsi="Times New Roman" w:eastAsia="Times New Roman" w:cs="Times New Roman"/>
          <w:spacing w:val="24"/>
          <w:sz w:val="20"/>
          <w:szCs w:val="20"/>
        </w:rPr>
        <w:t xml:space="preserve"> </w:t>
      </w:r>
      <w:r>
        <w:rPr>
          <w:rFonts w:ascii="Times New Roman" w:hAnsi="Times New Roman" w:eastAsia="Times New Roman" w:cs="Times New Roman"/>
          <w:spacing w:val="-1"/>
          <w:sz w:val="20"/>
          <w:szCs w:val="20"/>
        </w:rPr>
        <w:t>to</w:t>
      </w:r>
      <w:r>
        <w:rPr>
          <w:rFonts w:ascii="Times New Roman" w:hAnsi="Times New Roman" w:eastAsia="Times New Roman" w:cs="Times New Roman"/>
          <w:spacing w:val="28"/>
          <w:w w:val="101"/>
          <w:sz w:val="20"/>
          <w:szCs w:val="20"/>
        </w:rPr>
        <w:t xml:space="preserve"> </w:t>
      </w:r>
      <w:r>
        <w:rPr>
          <w:rFonts w:ascii="Times New Roman" w:hAnsi="Times New Roman" w:eastAsia="Times New Roman" w:cs="Times New Roman"/>
          <w:spacing w:val="-1"/>
          <w:sz w:val="20"/>
          <w:szCs w:val="20"/>
        </w:rPr>
        <w:t>generate</w:t>
      </w:r>
      <w:r>
        <w:rPr>
          <w:rFonts w:ascii="Times New Roman" w:hAnsi="Times New Roman" w:eastAsia="Times New Roman" w:cs="Times New Roman"/>
          <w:spacing w:val="24"/>
          <w:sz w:val="20"/>
          <w:szCs w:val="20"/>
        </w:rPr>
        <w:t xml:space="preserve"> </w:t>
      </w:r>
      <w:r>
        <w:rPr>
          <w:rFonts w:ascii="Times New Roman" w:hAnsi="Times New Roman" w:eastAsia="Times New Roman" w:cs="Times New Roman"/>
          <w:spacing w:val="-1"/>
          <w:sz w:val="20"/>
          <w:szCs w:val="20"/>
        </w:rPr>
        <w:t>hypotheses</w:t>
      </w:r>
      <w:r>
        <w:rPr>
          <w:rFonts w:ascii="Times New Roman" w:hAnsi="Times New Roman" w:eastAsia="Times New Roman" w:cs="Times New Roman"/>
          <w:sz w:val="20"/>
          <w:szCs w:val="20"/>
        </w:rPr>
        <w:t xml:space="preserve"> for  further  investigations  but  cannot  test  causal  relations  between </w:t>
      </w:r>
      <w:r>
        <w:rPr>
          <w:rFonts w:ascii="Times New Roman" w:hAnsi="Times New Roman" w:eastAsia="Times New Roman" w:cs="Times New Roman"/>
          <w:spacing w:val="-1"/>
          <w:sz w:val="20"/>
          <w:szCs w:val="20"/>
        </w:rPr>
        <w:t xml:space="preserve"> disease</w:t>
      </w:r>
      <w:r>
        <w:rPr>
          <w:rFonts w:ascii="Times New Roman" w:hAnsi="Times New Roman" w:eastAsia="Times New Roman" w:cs="Times New Roman"/>
          <w:spacing w:val="3"/>
          <w:sz w:val="20"/>
          <w:szCs w:val="20"/>
        </w:rPr>
        <w:t xml:space="preserve">  </w:t>
      </w:r>
      <w:r>
        <w:rPr>
          <w:rFonts w:ascii="Times New Roman" w:hAnsi="Times New Roman" w:eastAsia="Times New Roman" w:cs="Times New Roman"/>
          <w:spacing w:val="-1"/>
          <w:sz w:val="20"/>
          <w:szCs w:val="20"/>
        </w:rPr>
        <w:t>and</w:t>
      </w:r>
      <w:r>
        <w:rPr>
          <w:rFonts w:ascii="Times New Roman" w:hAnsi="Times New Roman" w:eastAsia="Times New Roman" w:cs="Times New Roman"/>
          <w:spacing w:val="4"/>
          <w:sz w:val="20"/>
          <w:szCs w:val="20"/>
        </w:rPr>
        <w:t xml:space="preserve">  </w:t>
      </w:r>
      <w:r>
        <w:rPr>
          <w:rFonts w:ascii="Times New Roman" w:hAnsi="Times New Roman" w:eastAsia="Times New Roman" w:cs="Times New Roman"/>
          <w:spacing w:val="-1"/>
          <w:sz w:val="20"/>
          <w:szCs w:val="20"/>
        </w:rPr>
        <w:t>exposure.They</w:t>
      </w:r>
      <w:r>
        <w:rPr>
          <w:rFonts w:ascii="Times New Roman" w:hAnsi="Times New Roman" w:eastAsia="Times New Roman" w:cs="Times New Roman"/>
          <w:spacing w:val="4"/>
          <w:sz w:val="20"/>
          <w:szCs w:val="20"/>
        </w:rPr>
        <w:t xml:space="preserve">  </w:t>
      </w:r>
      <w:r>
        <w:rPr>
          <w:rFonts w:ascii="Times New Roman" w:hAnsi="Times New Roman" w:eastAsia="Times New Roman" w:cs="Times New Roman"/>
          <w:spacing w:val="-1"/>
          <w:sz w:val="20"/>
          <w:szCs w:val="20"/>
        </w:rPr>
        <w:t>are  thus</w:t>
      </w:r>
      <w:r>
        <w:rPr>
          <w:rFonts w:ascii="Times New Roman" w:hAnsi="Times New Roman" w:eastAsia="Times New Roman" w:cs="Times New Roman"/>
          <w:sz w:val="20"/>
          <w:szCs w:val="20"/>
        </w:rPr>
        <w:t xml:space="preserve"> commonly</w:t>
      </w:r>
      <w:r>
        <w:rPr>
          <w:rFonts w:ascii="Times New Roman" w:hAnsi="Times New Roman" w:eastAsia="Times New Roman" w:cs="Times New Roman"/>
          <w:spacing w:val="24"/>
          <w:w w:val="101"/>
          <w:sz w:val="20"/>
          <w:szCs w:val="20"/>
        </w:rPr>
        <w:t xml:space="preserve"> </w:t>
      </w:r>
      <w:r>
        <w:rPr>
          <w:rFonts w:ascii="Times New Roman" w:hAnsi="Times New Roman" w:eastAsia="Times New Roman" w:cs="Times New Roman"/>
          <w:sz w:val="20"/>
          <w:szCs w:val="20"/>
        </w:rPr>
        <w:t>known</w:t>
      </w:r>
      <w:r>
        <w:rPr>
          <w:rFonts w:ascii="Times New Roman" w:hAnsi="Times New Roman" w:eastAsia="Times New Roman" w:cs="Times New Roman"/>
          <w:spacing w:val="30"/>
          <w:sz w:val="20"/>
          <w:szCs w:val="20"/>
        </w:rPr>
        <w:t xml:space="preserve"> </w:t>
      </w:r>
      <w:r>
        <w:rPr>
          <w:rFonts w:ascii="Times New Roman" w:hAnsi="Times New Roman" w:eastAsia="Times New Roman" w:cs="Times New Roman"/>
          <w:sz w:val="20"/>
          <w:szCs w:val="20"/>
        </w:rPr>
        <w:t>as</w:t>
      </w:r>
      <w:r>
        <w:rPr>
          <w:rFonts w:ascii="Times New Roman" w:hAnsi="Times New Roman" w:eastAsia="Times New Roman" w:cs="Times New Roman"/>
          <w:spacing w:val="23"/>
          <w:w w:val="101"/>
          <w:sz w:val="20"/>
          <w:szCs w:val="20"/>
        </w:rPr>
        <w:t xml:space="preserve"> </w:t>
      </w:r>
      <w:r>
        <w:rPr>
          <w:rFonts w:ascii="Times New Roman" w:hAnsi="Times New Roman" w:eastAsia="Times New Roman" w:cs="Times New Roman"/>
          <w:sz w:val="20"/>
          <w:szCs w:val="20"/>
        </w:rPr>
        <w:t>hypothesis-generat</w:t>
      </w:r>
      <w:r>
        <w:rPr>
          <w:rFonts w:ascii="Times New Roman" w:hAnsi="Times New Roman" w:eastAsia="Times New Roman" w:cs="Times New Roman"/>
          <w:spacing w:val="-1"/>
          <w:sz w:val="20"/>
          <w:szCs w:val="20"/>
        </w:rPr>
        <w:t>ing</w:t>
      </w:r>
      <w:r>
        <w:rPr>
          <w:rFonts w:ascii="Times New Roman" w:hAnsi="Times New Roman" w:eastAsia="Times New Roman" w:cs="Times New Roman"/>
          <w:spacing w:val="32"/>
          <w:w w:val="101"/>
          <w:sz w:val="20"/>
          <w:szCs w:val="20"/>
        </w:rPr>
        <w:t xml:space="preserve"> </w:t>
      </w:r>
      <w:r>
        <w:rPr>
          <w:rFonts w:ascii="Times New Roman" w:hAnsi="Times New Roman" w:eastAsia="Times New Roman" w:cs="Times New Roman"/>
          <w:spacing w:val="-1"/>
          <w:sz w:val="20"/>
          <w:szCs w:val="20"/>
        </w:rPr>
        <w:t>studies.Descriptive</w:t>
      </w:r>
      <w:r>
        <w:rPr>
          <w:rFonts w:ascii="Times New Roman" w:hAnsi="Times New Roman" w:eastAsia="Times New Roman" w:cs="Times New Roman"/>
          <w:spacing w:val="32"/>
          <w:sz w:val="20"/>
          <w:szCs w:val="20"/>
        </w:rPr>
        <w:t xml:space="preserve"> </w:t>
      </w:r>
      <w:r>
        <w:rPr>
          <w:rFonts w:ascii="Times New Roman" w:hAnsi="Times New Roman" w:eastAsia="Times New Roman" w:cs="Times New Roman"/>
          <w:spacing w:val="-1"/>
          <w:sz w:val="20"/>
          <w:szCs w:val="20"/>
        </w:rPr>
        <w:t>studies</w:t>
      </w:r>
      <w:r>
        <w:rPr>
          <w:rFonts w:ascii="Times New Roman" w:hAnsi="Times New Roman" w:eastAsia="Times New Roman" w:cs="Times New Roman"/>
          <w:spacing w:val="24"/>
          <w:w w:val="101"/>
          <w:sz w:val="20"/>
          <w:szCs w:val="20"/>
        </w:rPr>
        <w:t xml:space="preserve"> </w:t>
      </w:r>
      <w:r>
        <w:rPr>
          <w:rFonts w:ascii="Times New Roman" w:hAnsi="Times New Roman" w:eastAsia="Times New Roman" w:cs="Times New Roman"/>
          <w:spacing w:val="-1"/>
          <w:sz w:val="20"/>
          <w:szCs w:val="20"/>
        </w:rPr>
        <w:t>mainly</w:t>
      </w:r>
      <w:r>
        <w:rPr>
          <w:rFonts w:ascii="Times New Roman" w:hAnsi="Times New Roman" w:eastAsia="Times New Roman" w:cs="Times New Roman"/>
          <w:spacing w:val="28"/>
          <w:sz w:val="20"/>
          <w:szCs w:val="20"/>
        </w:rPr>
        <w:t xml:space="preserve"> </w:t>
      </w:r>
      <w:r>
        <w:rPr>
          <w:rFonts w:ascii="Times New Roman" w:hAnsi="Times New Roman" w:eastAsia="Times New Roman" w:cs="Times New Roman"/>
          <w:spacing w:val="-1"/>
          <w:sz w:val="20"/>
          <w:szCs w:val="20"/>
        </w:rPr>
        <w:t>include</w:t>
      </w:r>
      <w:r>
        <w:rPr>
          <w:rFonts w:ascii="Times New Roman" w:hAnsi="Times New Roman" w:eastAsia="Times New Roman" w:cs="Times New Roman"/>
          <w:spacing w:val="29"/>
          <w:w w:val="101"/>
          <w:sz w:val="20"/>
          <w:szCs w:val="20"/>
        </w:rPr>
        <w:t xml:space="preserve"> </w:t>
      </w:r>
      <w:r>
        <w:rPr>
          <w:rFonts w:ascii="Times New Roman" w:hAnsi="Times New Roman" w:eastAsia="Times New Roman" w:cs="Times New Roman"/>
          <w:spacing w:val="-1"/>
          <w:sz w:val="20"/>
          <w:szCs w:val="20"/>
        </w:rPr>
        <w:t>case</w:t>
      </w:r>
      <w:r>
        <w:rPr>
          <w:rFonts w:ascii="Times New Roman" w:hAnsi="Times New Roman" w:eastAsia="Times New Roman" w:cs="Times New Roman"/>
          <w:spacing w:val="24"/>
          <w:sz w:val="20"/>
          <w:szCs w:val="20"/>
        </w:rPr>
        <w:t xml:space="preserve"> </w:t>
      </w:r>
      <w:r>
        <w:rPr>
          <w:rFonts w:ascii="Times New Roman" w:hAnsi="Times New Roman" w:eastAsia="Times New Roman" w:cs="Times New Roman"/>
          <w:spacing w:val="-1"/>
          <w:sz w:val="20"/>
          <w:szCs w:val="20"/>
        </w:rPr>
        <w:t>reports,disease</w:t>
      </w:r>
      <w:r>
        <w:rPr>
          <w:rFonts w:ascii="Times New Roman" w:hAnsi="Times New Roman" w:eastAsia="Times New Roman" w:cs="Times New Roman"/>
          <w:sz w:val="20"/>
          <w:szCs w:val="20"/>
        </w:rPr>
        <w:t xml:space="preserve"> surveillance,cross-secti</w:t>
      </w:r>
      <w:r>
        <w:rPr>
          <w:rFonts w:ascii="Times New Roman" w:hAnsi="Times New Roman" w:eastAsia="Times New Roman" w:cs="Times New Roman"/>
          <w:spacing w:val="-1"/>
          <w:sz w:val="20"/>
          <w:szCs w:val="20"/>
        </w:rPr>
        <w:t>onal</w:t>
      </w:r>
      <w:r>
        <w:rPr>
          <w:rFonts w:ascii="Times New Roman" w:hAnsi="Times New Roman" w:eastAsia="Times New Roman" w:cs="Times New Roman"/>
          <w:spacing w:val="23"/>
          <w:w w:val="101"/>
          <w:sz w:val="20"/>
          <w:szCs w:val="20"/>
        </w:rPr>
        <w:t xml:space="preserve">  </w:t>
      </w:r>
      <w:r>
        <w:rPr>
          <w:rFonts w:ascii="Times New Roman" w:hAnsi="Times New Roman" w:eastAsia="Times New Roman" w:cs="Times New Roman"/>
          <w:spacing w:val="-1"/>
          <w:sz w:val="20"/>
          <w:szCs w:val="20"/>
        </w:rPr>
        <w:t>studies,and</w:t>
      </w:r>
      <w:r>
        <w:rPr>
          <w:rFonts w:ascii="Times New Roman" w:hAnsi="Times New Roman" w:eastAsia="Times New Roman" w:cs="Times New Roman"/>
          <w:spacing w:val="22"/>
          <w:w w:val="101"/>
          <w:sz w:val="20"/>
          <w:szCs w:val="20"/>
        </w:rPr>
        <w:t xml:space="preserve">  </w:t>
      </w:r>
      <w:r>
        <w:rPr>
          <w:rFonts w:ascii="Times New Roman" w:hAnsi="Times New Roman" w:eastAsia="Times New Roman" w:cs="Times New Roman"/>
          <w:spacing w:val="-1"/>
          <w:sz w:val="20"/>
          <w:szCs w:val="20"/>
        </w:rPr>
        <w:t>ecological</w:t>
      </w:r>
      <w:r>
        <w:rPr>
          <w:rFonts w:ascii="Times New Roman" w:hAnsi="Times New Roman" w:eastAsia="Times New Roman" w:cs="Times New Roman"/>
          <w:spacing w:val="23"/>
          <w:w w:val="101"/>
          <w:sz w:val="20"/>
          <w:szCs w:val="20"/>
        </w:rPr>
        <w:t xml:space="preserve">  </w:t>
      </w:r>
      <w:r>
        <w:rPr>
          <w:rFonts w:ascii="Times New Roman" w:hAnsi="Times New Roman" w:eastAsia="Times New Roman" w:cs="Times New Roman"/>
          <w:spacing w:val="-1"/>
          <w:sz w:val="20"/>
          <w:szCs w:val="20"/>
        </w:rPr>
        <w:t>studies.The</w:t>
      </w:r>
      <w:r>
        <w:rPr>
          <w:rFonts w:ascii="Times New Roman" w:hAnsi="Times New Roman" w:eastAsia="Times New Roman" w:cs="Times New Roman"/>
          <w:spacing w:val="22"/>
          <w:w w:val="101"/>
          <w:sz w:val="20"/>
          <w:szCs w:val="20"/>
        </w:rPr>
        <w:t xml:space="preserve">  </w:t>
      </w:r>
      <w:r>
        <w:rPr>
          <w:rFonts w:ascii="Times New Roman" w:hAnsi="Times New Roman" w:eastAsia="Times New Roman" w:cs="Times New Roman"/>
          <w:spacing w:val="-1"/>
          <w:sz w:val="20"/>
          <w:szCs w:val="20"/>
        </w:rPr>
        <w:t>cross-sectional</w:t>
      </w:r>
      <w:r>
        <w:rPr>
          <w:rFonts w:ascii="Times New Roman" w:hAnsi="Times New Roman" w:eastAsia="Times New Roman" w:cs="Times New Roman"/>
          <w:spacing w:val="23"/>
          <w:w w:val="101"/>
          <w:sz w:val="20"/>
          <w:szCs w:val="20"/>
        </w:rPr>
        <w:t xml:space="preserve">  </w:t>
      </w:r>
      <w:r>
        <w:rPr>
          <w:rFonts w:ascii="Times New Roman" w:hAnsi="Times New Roman" w:eastAsia="Times New Roman" w:cs="Times New Roman"/>
          <w:spacing w:val="-1"/>
          <w:sz w:val="20"/>
          <w:szCs w:val="20"/>
        </w:rPr>
        <w:t>study</w:t>
      </w:r>
      <w:r>
        <w:rPr>
          <w:rFonts w:ascii="Times New Roman" w:hAnsi="Times New Roman" w:eastAsia="Times New Roman" w:cs="Times New Roman"/>
          <w:spacing w:val="19"/>
          <w:w w:val="101"/>
          <w:sz w:val="20"/>
          <w:szCs w:val="20"/>
        </w:rPr>
        <w:t xml:space="preserve">  </w:t>
      </w:r>
      <w:r>
        <w:rPr>
          <w:rFonts w:ascii="Times New Roman" w:hAnsi="Times New Roman" w:eastAsia="Times New Roman" w:cs="Times New Roman"/>
          <w:spacing w:val="-1"/>
          <w:sz w:val="20"/>
          <w:szCs w:val="20"/>
        </w:rPr>
        <w:t>measures</w:t>
      </w:r>
      <w:r>
        <w:rPr>
          <w:rFonts w:ascii="Times New Roman" w:hAnsi="Times New Roman" w:eastAsia="Times New Roman" w:cs="Times New Roman"/>
          <w:spacing w:val="22"/>
          <w:sz w:val="20"/>
          <w:szCs w:val="20"/>
        </w:rPr>
        <w:t xml:space="preserve">  </w:t>
      </w:r>
      <w:r>
        <w:rPr>
          <w:rFonts w:ascii="Times New Roman" w:hAnsi="Times New Roman" w:eastAsia="Times New Roman" w:cs="Times New Roman"/>
          <w:spacing w:val="-1"/>
          <w:sz w:val="20"/>
          <w:szCs w:val="20"/>
        </w:rPr>
        <w:t>disease</w:t>
      </w:r>
      <w:r>
        <w:rPr>
          <w:rFonts w:ascii="Times New Roman" w:hAnsi="Times New Roman" w:eastAsia="Times New Roman" w:cs="Times New Roman"/>
          <w:sz w:val="20"/>
          <w:szCs w:val="20"/>
        </w:rPr>
        <w:t xml:space="preserve"> </w:t>
      </w:r>
      <w:r>
        <w:rPr>
          <w:rFonts w:ascii="Times New Roman" w:hAnsi="Times New Roman" w:eastAsia="Times New Roman" w:cs="Times New Roman"/>
          <w:spacing w:val="-1"/>
          <w:sz w:val="20"/>
          <w:szCs w:val="20"/>
        </w:rPr>
        <w:t>and</w:t>
      </w:r>
      <w:r>
        <w:rPr>
          <w:rFonts w:ascii="Times New Roman" w:hAnsi="Times New Roman" w:eastAsia="Times New Roman" w:cs="Times New Roman"/>
          <w:spacing w:val="44"/>
          <w:sz w:val="20"/>
          <w:szCs w:val="20"/>
        </w:rPr>
        <w:t xml:space="preserve"> </w:t>
      </w:r>
      <w:r>
        <w:rPr>
          <w:rFonts w:ascii="Times New Roman" w:hAnsi="Times New Roman" w:eastAsia="Times New Roman" w:cs="Times New Roman"/>
          <w:spacing w:val="-1"/>
          <w:sz w:val="20"/>
          <w:szCs w:val="20"/>
        </w:rPr>
        <w:t>exposure</w:t>
      </w:r>
      <w:r>
        <w:rPr>
          <w:rFonts w:ascii="Times New Roman" w:hAnsi="Times New Roman" w:eastAsia="Times New Roman" w:cs="Times New Roman"/>
          <w:spacing w:val="28"/>
          <w:sz w:val="20"/>
          <w:szCs w:val="20"/>
        </w:rPr>
        <w:t xml:space="preserve"> </w:t>
      </w:r>
      <w:r>
        <w:rPr>
          <w:rFonts w:ascii="Times New Roman" w:hAnsi="Times New Roman" w:eastAsia="Times New Roman" w:cs="Times New Roman"/>
          <w:spacing w:val="-1"/>
          <w:sz w:val="20"/>
          <w:szCs w:val="20"/>
        </w:rPr>
        <w:t>status</w:t>
      </w:r>
      <w:r>
        <w:rPr>
          <w:rFonts w:ascii="Times New Roman" w:hAnsi="Times New Roman" w:eastAsia="Times New Roman" w:cs="Times New Roman"/>
          <w:spacing w:val="28"/>
          <w:w w:val="101"/>
          <w:sz w:val="20"/>
          <w:szCs w:val="20"/>
        </w:rPr>
        <w:t xml:space="preserve"> </w:t>
      </w:r>
      <w:r>
        <w:rPr>
          <w:rFonts w:ascii="Times New Roman" w:hAnsi="Times New Roman" w:eastAsia="Times New Roman" w:cs="Times New Roman"/>
          <w:spacing w:val="-1"/>
          <w:sz w:val="20"/>
          <w:szCs w:val="20"/>
        </w:rPr>
        <w:t>simultaneously</w:t>
      </w:r>
      <w:r>
        <w:rPr>
          <w:rFonts w:ascii="Times New Roman" w:hAnsi="Times New Roman" w:eastAsia="Times New Roman" w:cs="Times New Roman"/>
          <w:spacing w:val="24"/>
          <w:w w:val="101"/>
          <w:sz w:val="20"/>
          <w:szCs w:val="20"/>
        </w:rPr>
        <w:t xml:space="preserve"> </w:t>
      </w:r>
      <w:r>
        <w:rPr>
          <w:rFonts w:ascii="Times New Roman" w:hAnsi="Times New Roman" w:eastAsia="Times New Roman" w:cs="Times New Roman"/>
          <w:spacing w:val="-1"/>
          <w:sz w:val="20"/>
          <w:szCs w:val="20"/>
        </w:rPr>
        <w:t>in</w:t>
      </w:r>
      <w:r>
        <w:rPr>
          <w:rFonts w:ascii="Times New Roman" w:hAnsi="Times New Roman" w:eastAsia="Times New Roman" w:cs="Times New Roman"/>
          <w:spacing w:val="25"/>
          <w:w w:val="101"/>
          <w:sz w:val="20"/>
          <w:szCs w:val="20"/>
        </w:rPr>
        <w:t xml:space="preserve"> </w:t>
      </w:r>
      <w:r>
        <w:rPr>
          <w:rFonts w:ascii="Times New Roman" w:hAnsi="Times New Roman" w:eastAsia="Times New Roman" w:cs="Times New Roman"/>
          <w:spacing w:val="-1"/>
          <w:sz w:val="20"/>
          <w:szCs w:val="20"/>
        </w:rPr>
        <w:t>a</w:t>
      </w:r>
      <w:r>
        <w:rPr>
          <w:rFonts w:ascii="Times New Roman" w:hAnsi="Times New Roman" w:eastAsia="Times New Roman" w:cs="Times New Roman"/>
          <w:spacing w:val="18"/>
          <w:sz w:val="20"/>
          <w:szCs w:val="20"/>
        </w:rPr>
        <w:t xml:space="preserve"> </w:t>
      </w:r>
      <w:r>
        <w:rPr>
          <w:rFonts w:ascii="Times New Roman" w:hAnsi="Times New Roman" w:eastAsia="Times New Roman" w:cs="Times New Roman"/>
          <w:spacing w:val="-1"/>
          <w:sz w:val="20"/>
          <w:szCs w:val="20"/>
        </w:rPr>
        <w:t>population,in</w:t>
      </w:r>
      <w:r>
        <w:rPr>
          <w:rFonts w:ascii="Times New Roman" w:hAnsi="Times New Roman" w:eastAsia="Times New Roman" w:cs="Times New Roman"/>
          <w:spacing w:val="20"/>
          <w:sz w:val="20"/>
          <w:szCs w:val="20"/>
        </w:rPr>
        <w:t xml:space="preserve"> </w:t>
      </w:r>
      <w:r>
        <w:rPr>
          <w:rFonts w:ascii="Times New Roman" w:hAnsi="Times New Roman" w:eastAsia="Times New Roman" w:cs="Times New Roman"/>
          <w:spacing w:val="-1"/>
          <w:sz w:val="20"/>
          <w:szCs w:val="20"/>
        </w:rPr>
        <w:t>which</w:t>
      </w:r>
      <w:r>
        <w:rPr>
          <w:rFonts w:ascii="Times New Roman" w:hAnsi="Times New Roman" w:eastAsia="Times New Roman" w:cs="Times New Roman"/>
          <w:spacing w:val="20"/>
          <w:w w:val="101"/>
          <w:sz w:val="20"/>
          <w:szCs w:val="20"/>
        </w:rPr>
        <w:t xml:space="preserve"> </w:t>
      </w:r>
      <w:r>
        <w:rPr>
          <w:rFonts w:ascii="Times New Roman" w:hAnsi="Times New Roman" w:eastAsia="Times New Roman" w:cs="Times New Roman"/>
          <w:spacing w:val="-1"/>
          <w:sz w:val="20"/>
          <w:szCs w:val="20"/>
        </w:rPr>
        <w:t>the</w:t>
      </w:r>
      <w:r>
        <w:rPr>
          <w:rFonts w:ascii="Times New Roman" w:hAnsi="Times New Roman" w:eastAsia="Times New Roman" w:cs="Times New Roman"/>
          <w:spacing w:val="26"/>
          <w:w w:val="101"/>
          <w:sz w:val="20"/>
          <w:szCs w:val="20"/>
        </w:rPr>
        <w:t xml:space="preserve"> </w:t>
      </w:r>
      <w:r>
        <w:rPr>
          <w:rFonts w:ascii="Times New Roman" w:hAnsi="Times New Roman" w:eastAsia="Times New Roman" w:cs="Times New Roman"/>
          <w:spacing w:val="-1"/>
          <w:sz w:val="20"/>
          <w:szCs w:val="20"/>
        </w:rPr>
        <w:t>frequency</w:t>
      </w:r>
      <w:r>
        <w:rPr>
          <w:rFonts w:ascii="Times New Roman" w:hAnsi="Times New Roman" w:eastAsia="Times New Roman" w:cs="Times New Roman"/>
          <w:spacing w:val="25"/>
          <w:w w:val="101"/>
          <w:sz w:val="20"/>
          <w:szCs w:val="20"/>
        </w:rPr>
        <w:t xml:space="preserve"> </w:t>
      </w:r>
      <w:r>
        <w:rPr>
          <w:rFonts w:ascii="Times New Roman" w:hAnsi="Times New Roman" w:eastAsia="Times New Roman" w:cs="Times New Roman"/>
          <w:spacing w:val="-1"/>
          <w:sz w:val="20"/>
          <w:szCs w:val="20"/>
        </w:rPr>
        <w:t>and</w:t>
      </w:r>
      <w:r>
        <w:rPr>
          <w:rFonts w:ascii="Times New Roman" w:hAnsi="Times New Roman" w:eastAsia="Times New Roman" w:cs="Times New Roman"/>
          <w:spacing w:val="25"/>
          <w:sz w:val="20"/>
          <w:szCs w:val="20"/>
        </w:rPr>
        <w:t xml:space="preserve"> </w:t>
      </w:r>
      <w:r>
        <w:rPr>
          <w:rFonts w:ascii="Times New Roman" w:hAnsi="Times New Roman" w:eastAsia="Times New Roman" w:cs="Times New Roman"/>
          <w:spacing w:val="-1"/>
          <w:sz w:val="20"/>
          <w:szCs w:val="20"/>
        </w:rPr>
        <w:t>characteristics</w:t>
      </w:r>
      <w:r>
        <w:rPr>
          <w:rFonts w:ascii="Times New Roman" w:hAnsi="Times New Roman" w:eastAsia="Times New Roman" w:cs="Times New Roman"/>
          <w:spacing w:val="25"/>
          <w:w w:val="101"/>
          <w:sz w:val="20"/>
          <w:szCs w:val="20"/>
        </w:rPr>
        <w:t xml:space="preserve"> </w:t>
      </w:r>
      <w:r>
        <w:rPr>
          <w:rFonts w:ascii="Times New Roman" w:hAnsi="Times New Roman" w:eastAsia="Times New Roman" w:cs="Times New Roman"/>
          <w:spacing w:val="-1"/>
          <w:sz w:val="20"/>
          <w:szCs w:val="20"/>
        </w:rPr>
        <w:t>of a</w:t>
      </w:r>
      <w:r>
        <w:rPr>
          <w:rFonts w:ascii="Times New Roman" w:hAnsi="Times New Roman" w:eastAsia="Times New Roman" w:cs="Times New Roman"/>
          <w:spacing w:val="25"/>
          <w:sz w:val="20"/>
          <w:szCs w:val="20"/>
        </w:rPr>
        <w:t xml:space="preserve"> </w:t>
      </w:r>
      <w:r>
        <w:rPr>
          <w:rFonts w:ascii="Times New Roman" w:hAnsi="Times New Roman" w:eastAsia="Times New Roman" w:cs="Times New Roman"/>
          <w:spacing w:val="-1"/>
          <w:sz w:val="20"/>
          <w:szCs w:val="20"/>
        </w:rPr>
        <w:t>disease</w:t>
      </w:r>
      <w:r>
        <w:rPr>
          <w:rFonts w:ascii="Times New Roman" w:hAnsi="Times New Roman" w:eastAsia="Times New Roman" w:cs="Times New Roman"/>
          <w:sz w:val="20"/>
          <w:szCs w:val="20"/>
        </w:rPr>
        <w:t xml:space="preserve"> in the population</w:t>
      </w:r>
      <w:r>
        <w:rPr>
          <w:rFonts w:ascii="Times New Roman" w:hAnsi="Times New Roman" w:eastAsia="Times New Roman" w:cs="Times New Roman"/>
          <w:spacing w:val="14"/>
          <w:w w:val="101"/>
          <w:sz w:val="20"/>
          <w:szCs w:val="20"/>
        </w:rPr>
        <w:t xml:space="preserve"> </w:t>
      </w:r>
      <w:r>
        <w:rPr>
          <w:rFonts w:ascii="Times New Roman" w:hAnsi="Times New Roman" w:eastAsia="Times New Roman" w:cs="Times New Roman"/>
          <w:sz w:val="20"/>
          <w:szCs w:val="20"/>
        </w:rPr>
        <w:t>at</w:t>
      </w:r>
      <w:r>
        <w:rPr>
          <w:rFonts w:ascii="Times New Roman" w:hAnsi="Times New Roman" w:eastAsia="Times New Roman" w:cs="Times New Roman"/>
          <w:spacing w:val="13"/>
          <w:w w:val="101"/>
          <w:sz w:val="20"/>
          <w:szCs w:val="20"/>
        </w:rPr>
        <w:t xml:space="preserve"> </w:t>
      </w:r>
      <w:r>
        <w:rPr>
          <w:rFonts w:ascii="Times New Roman" w:hAnsi="Times New Roman" w:eastAsia="Times New Roman" w:cs="Times New Roman"/>
          <w:sz w:val="20"/>
          <w:szCs w:val="20"/>
        </w:rPr>
        <w:t>a particular point in</w:t>
      </w:r>
      <w:r>
        <w:rPr>
          <w:rFonts w:ascii="Times New Roman" w:hAnsi="Times New Roman" w:eastAsia="Times New Roman" w:cs="Times New Roman"/>
          <w:spacing w:val="9"/>
          <w:sz w:val="20"/>
          <w:szCs w:val="20"/>
        </w:rPr>
        <w:t xml:space="preserve"> </w:t>
      </w:r>
      <w:r>
        <w:rPr>
          <w:rFonts w:ascii="Times New Roman" w:hAnsi="Times New Roman" w:eastAsia="Times New Roman" w:cs="Times New Roman"/>
          <w:sz w:val="20"/>
          <w:szCs w:val="20"/>
        </w:rPr>
        <w:t>time</w:t>
      </w:r>
      <w:r>
        <w:rPr>
          <w:rFonts w:ascii="Times New Roman" w:hAnsi="Times New Roman" w:eastAsia="Times New Roman" w:cs="Times New Roman"/>
          <w:spacing w:val="13"/>
          <w:w w:val="101"/>
          <w:sz w:val="20"/>
          <w:szCs w:val="20"/>
        </w:rPr>
        <w:t xml:space="preserve"> </w:t>
      </w:r>
      <w:r>
        <w:rPr>
          <w:rFonts w:ascii="Times New Roman" w:hAnsi="Times New Roman" w:eastAsia="Times New Roman" w:cs="Times New Roman"/>
          <w:sz w:val="20"/>
          <w:szCs w:val="20"/>
        </w:rPr>
        <w:t>can be</w:t>
      </w:r>
      <w:r>
        <w:rPr>
          <w:rFonts w:ascii="Times New Roman" w:hAnsi="Times New Roman" w:eastAsia="Times New Roman" w:cs="Times New Roman"/>
          <w:spacing w:val="13"/>
          <w:w w:val="101"/>
          <w:sz w:val="20"/>
          <w:szCs w:val="20"/>
        </w:rPr>
        <w:t xml:space="preserve"> </w:t>
      </w:r>
      <w:r>
        <w:rPr>
          <w:rFonts w:ascii="Times New Roman" w:hAnsi="Times New Roman" w:eastAsia="Times New Roman" w:cs="Times New Roman"/>
          <w:sz w:val="20"/>
          <w:szCs w:val="20"/>
        </w:rPr>
        <w:t>described.This</w:t>
      </w:r>
      <w:r>
        <w:rPr>
          <w:rFonts w:ascii="Times New Roman" w:hAnsi="Times New Roman" w:eastAsia="Times New Roman" w:cs="Times New Roman"/>
          <w:spacing w:val="8"/>
          <w:sz w:val="20"/>
          <w:szCs w:val="20"/>
        </w:rPr>
        <w:t xml:space="preserve"> </w:t>
      </w:r>
      <w:r>
        <w:rPr>
          <w:rFonts w:ascii="Times New Roman" w:hAnsi="Times New Roman" w:eastAsia="Times New Roman" w:cs="Times New Roman"/>
          <w:sz w:val="20"/>
          <w:szCs w:val="20"/>
        </w:rPr>
        <w:t>type</w:t>
      </w:r>
      <w:r>
        <w:rPr>
          <w:rFonts w:ascii="Times New Roman" w:hAnsi="Times New Roman" w:eastAsia="Times New Roman" w:cs="Times New Roman"/>
          <w:spacing w:val="14"/>
          <w:sz w:val="20"/>
          <w:szCs w:val="20"/>
        </w:rPr>
        <w:t xml:space="preserve"> </w:t>
      </w:r>
      <w:r>
        <w:rPr>
          <w:rFonts w:ascii="Times New Roman" w:hAnsi="Times New Roman" w:eastAsia="Times New Roman" w:cs="Times New Roman"/>
          <w:sz w:val="20"/>
          <w:szCs w:val="20"/>
        </w:rPr>
        <w:t>of data</w:t>
      </w:r>
      <w:r>
        <w:rPr>
          <w:rFonts w:ascii="Times New Roman" w:hAnsi="Times New Roman" w:eastAsia="Times New Roman" w:cs="Times New Roman"/>
          <w:spacing w:val="8"/>
          <w:sz w:val="20"/>
          <w:szCs w:val="20"/>
        </w:rPr>
        <w:t xml:space="preserve"> </w:t>
      </w:r>
      <w:r>
        <w:rPr>
          <w:rFonts w:ascii="Times New Roman" w:hAnsi="Times New Roman" w:eastAsia="Times New Roman" w:cs="Times New Roman"/>
          <w:sz w:val="20"/>
          <w:szCs w:val="20"/>
        </w:rPr>
        <w:t>may be</w:t>
      </w:r>
      <w:r>
        <w:rPr>
          <w:rFonts w:ascii="Times New Roman" w:hAnsi="Times New Roman" w:eastAsia="Times New Roman" w:cs="Times New Roman"/>
          <w:spacing w:val="7"/>
          <w:sz w:val="20"/>
          <w:szCs w:val="20"/>
        </w:rPr>
        <w:t xml:space="preserve"> </w:t>
      </w:r>
      <w:r>
        <w:rPr>
          <w:rFonts w:ascii="Times New Roman" w:hAnsi="Times New Roman" w:eastAsia="Times New Roman" w:cs="Times New Roman"/>
          <w:sz w:val="20"/>
          <w:szCs w:val="20"/>
        </w:rPr>
        <w:t>use</w:t>
      </w:r>
      <w:r>
        <w:rPr>
          <w:rFonts w:ascii="Times New Roman" w:hAnsi="Times New Roman" w:eastAsia="Times New Roman" w:cs="Times New Roman"/>
          <w:spacing w:val="-1"/>
          <w:sz w:val="20"/>
          <w:szCs w:val="20"/>
        </w:rPr>
        <w:t>ful</w:t>
      </w:r>
      <w:r>
        <w:rPr>
          <w:rFonts w:ascii="Times New Roman" w:hAnsi="Times New Roman" w:eastAsia="Times New Roman" w:cs="Times New Roman"/>
          <w:spacing w:val="15"/>
          <w:sz w:val="20"/>
          <w:szCs w:val="20"/>
        </w:rPr>
        <w:t xml:space="preserve"> </w:t>
      </w:r>
      <w:r>
        <w:rPr>
          <w:rFonts w:ascii="Times New Roman" w:hAnsi="Times New Roman" w:eastAsia="Times New Roman" w:cs="Times New Roman"/>
          <w:spacing w:val="-1"/>
          <w:sz w:val="20"/>
          <w:szCs w:val="20"/>
        </w:rPr>
        <w:t>for</w:t>
      </w:r>
      <w:r>
        <w:rPr>
          <w:rFonts w:ascii="Times New Roman" w:hAnsi="Times New Roman" w:eastAsia="Times New Roman" w:cs="Times New Roman"/>
          <w:spacing w:val="13"/>
          <w:sz w:val="20"/>
          <w:szCs w:val="20"/>
        </w:rPr>
        <w:t xml:space="preserve"> </w:t>
      </w:r>
      <w:r>
        <w:rPr>
          <w:rFonts w:ascii="Times New Roman" w:hAnsi="Times New Roman" w:eastAsia="Times New Roman" w:cs="Times New Roman"/>
          <w:spacing w:val="-1"/>
          <w:sz w:val="20"/>
          <w:szCs w:val="20"/>
        </w:rPr>
        <w:t>assessing</w:t>
      </w:r>
      <w:r>
        <w:rPr>
          <w:rFonts w:ascii="Times New Roman" w:hAnsi="Times New Roman" w:eastAsia="Times New Roman" w:cs="Times New Roman"/>
          <w:sz w:val="20"/>
          <w:szCs w:val="20"/>
        </w:rPr>
        <w:t xml:space="preserve"> the</w:t>
      </w:r>
      <w:r>
        <w:rPr>
          <w:rFonts w:ascii="Times New Roman" w:hAnsi="Times New Roman" w:eastAsia="Times New Roman" w:cs="Times New Roman"/>
          <w:spacing w:val="16"/>
          <w:sz w:val="20"/>
          <w:szCs w:val="20"/>
        </w:rPr>
        <w:t xml:space="preserve"> </w:t>
      </w:r>
      <w:r>
        <w:rPr>
          <w:rFonts w:ascii="Times New Roman" w:hAnsi="Times New Roman" w:eastAsia="Times New Roman" w:cs="Times New Roman"/>
          <w:sz w:val="20"/>
          <w:szCs w:val="20"/>
        </w:rPr>
        <w:t>prevalence</w:t>
      </w:r>
      <w:r>
        <w:rPr>
          <w:rFonts w:ascii="Times New Roman" w:hAnsi="Times New Roman" w:eastAsia="Times New Roman" w:cs="Times New Roman"/>
          <w:spacing w:val="23"/>
          <w:sz w:val="20"/>
          <w:szCs w:val="20"/>
        </w:rPr>
        <w:t xml:space="preserve"> </w:t>
      </w:r>
      <w:r>
        <w:rPr>
          <w:rFonts w:ascii="Times New Roman" w:hAnsi="Times New Roman" w:eastAsia="Times New Roman" w:cs="Times New Roman"/>
          <w:sz w:val="20"/>
          <w:szCs w:val="20"/>
        </w:rPr>
        <w:t>of acute</w:t>
      </w:r>
      <w:r>
        <w:rPr>
          <w:rFonts w:ascii="Times New Roman" w:hAnsi="Times New Roman" w:eastAsia="Times New Roman" w:cs="Times New Roman"/>
          <w:spacing w:val="23"/>
          <w:sz w:val="20"/>
          <w:szCs w:val="20"/>
        </w:rPr>
        <w:t xml:space="preserve"> </w:t>
      </w:r>
      <w:r>
        <w:rPr>
          <w:rFonts w:ascii="Times New Roman" w:hAnsi="Times New Roman" w:eastAsia="Times New Roman" w:cs="Times New Roman"/>
          <w:sz w:val="20"/>
          <w:szCs w:val="20"/>
        </w:rPr>
        <w:t>or</w:t>
      </w:r>
      <w:r>
        <w:rPr>
          <w:rFonts w:ascii="Times New Roman" w:hAnsi="Times New Roman" w:eastAsia="Times New Roman" w:cs="Times New Roman"/>
          <w:spacing w:val="22"/>
          <w:sz w:val="20"/>
          <w:szCs w:val="20"/>
        </w:rPr>
        <w:t xml:space="preserve"> </w:t>
      </w:r>
      <w:r>
        <w:rPr>
          <w:rFonts w:ascii="Times New Roman" w:hAnsi="Times New Roman" w:eastAsia="Times New Roman" w:cs="Times New Roman"/>
          <w:sz w:val="20"/>
          <w:szCs w:val="20"/>
        </w:rPr>
        <w:t>chronic</w:t>
      </w:r>
      <w:r>
        <w:rPr>
          <w:rFonts w:ascii="Times New Roman" w:hAnsi="Times New Roman" w:eastAsia="Times New Roman" w:cs="Times New Roman"/>
          <w:spacing w:val="23"/>
          <w:sz w:val="20"/>
          <w:szCs w:val="20"/>
        </w:rPr>
        <w:t xml:space="preserve"> </w:t>
      </w:r>
      <w:r>
        <w:rPr>
          <w:rFonts w:ascii="Times New Roman" w:hAnsi="Times New Roman" w:eastAsia="Times New Roman" w:cs="Times New Roman"/>
          <w:sz w:val="20"/>
          <w:szCs w:val="20"/>
        </w:rPr>
        <w:t>condition</w:t>
      </w:r>
      <w:r>
        <w:rPr>
          <w:rFonts w:ascii="Times New Roman" w:hAnsi="Times New Roman" w:eastAsia="Times New Roman" w:cs="Times New Roman"/>
          <w:spacing w:val="-1"/>
          <w:sz w:val="20"/>
          <w:szCs w:val="20"/>
        </w:rPr>
        <w:t>s</w:t>
      </w:r>
      <w:r>
        <w:rPr>
          <w:rFonts w:ascii="Times New Roman" w:hAnsi="Times New Roman" w:eastAsia="Times New Roman" w:cs="Times New Roman"/>
          <w:spacing w:val="16"/>
          <w:sz w:val="20"/>
          <w:szCs w:val="20"/>
        </w:rPr>
        <w:t xml:space="preserve"> </w:t>
      </w:r>
      <w:r>
        <w:rPr>
          <w:rFonts w:ascii="Times New Roman" w:hAnsi="Times New Roman" w:eastAsia="Times New Roman" w:cs="Times New Roman"/>
          <w:spacing w:val="-1"/>
          <w:sz w:val="20"/>
          <w:szCs w:val="20"/>
        </w:rPr>
        <w:t>but</w:t>
      </w:r>
      <w:r>
        <w:rPr>
          <w:rFonts w:ascii="Times New Roman" w:hAnsi="Times New Roman" w:eastAsia="Times New Roman" w:cs="Times New Roman"/>
          <w:spacing w:val="22"/>
          <w:w w:val="101"/>
          <w:sz w:val="20"/>
          <w:szCs w:val="20"/>
        </w:rPr>
        <w:t xml:space="preserve"> </w:t>
      </w:r>
      <w:r>
        <w:rPr>
          <w:rFonts w:ascii="Times New Roman" w:hAnsi="Times New Roman" w:eastAsia="Times New Roman" w:cs="Times New Roman"/>
          <w:spacing w:val="-1"/>
          <w:sz w:val="20"/>
          <w:szCs w:val="20"/>
        </w:rPr>
        <w:t>cannot</w:t>
      </w:r>
      <w:r>
        <w:rPr>
          <w:rFonts w:ascii="Times New Roman" w:hAnsi="Times New Roman" w:eastAsia="Times New Roman" w:cs="Times New Roman"/>
          <w:spacing w:val="18"/>
          <w:sz w:val="20"/>
          <w:szCs w:val="20"/>
        </w:rPr>
        <w:t xml:space="preserve"> </w:t>
      </w:r>
      <w:r>
        <w:rPr>
          <w:rFonts w:ascii="Times New Roman" w:hAnsi="Times New Roman" w:eastAsia="Times New Roman" w:cs="Times New Roman"/>
          <w:spacing w:val="-1"/>
          <w:sz w:val="20"/>
          <w:szCs w:val="20"/>
        </w:rPr>
        <w:t>tell</w:t>
      </w:r>
      <w:r>
        <w:rPr>
          <w:rFonts w:ascii="Times New Roman" w:hAnsi="Times New Roman" w:eastAsia="Times New Roman" w:cs="Times New Roman"/>
          <w:spacing w:val="17"/>
          <w:w w:val="101"/>
          <w:sz w:val="20"/>
          <w:szCs w:val="20"/>
        </w:rPr>
        <w:t xml:space="preserve"> </w:t>
      </w:r>
      <w:r>
        <w:rPr>
          <w:rFonts w:ascii="Times New Roman" w:hAnsi="Times New Roman" w:eastAsia="Times New Roman" w:cs="Times New Roman"/>
          <w:spacing w:val="-1"/>
          <w:sz w:val="20"/>
          <w:szCs w:val="20"/>
        </w:rPr>
        <w:t>whether</w:t>
      </w:r>
      <w:r>
        <w:rPr>
          <w:rFonts w:ascii="Times New Roman" w:hAnsi="Times New Roman" w:eastAsia="Times New Roman" w:cs="Times New Roman"/>
          <w:spacing w:val="17"/>
          <w:sz w:val="20"/>
          <w:szCs w:val="20"/>
        </w:rPr>
        <w:t xml:space="preserve"> </w:t>
      </w:r>
      <w:r>
        <w:rPr>
          <w:rFonts w:ascii="Times New Roman" w:hAnsi="Times New Roman" w:eastAsia="Times New Roman" w:cs="Times New Roman"/>
          <w:spacing w:val="-1"/>
          <w:sz w:val="20"/>
          <w:szCs w:val="20"/>
        </w:rPr>
        <w:t>the</w:t>
      </w:r>
      <w:r>
        <w:rPr>
          <w:rFonts w:ascii="Times New Roman" w:hAnsi="Times New Roman" w:eastAsia="Times New Roman" w:cs="Times New Roman"/>
          <w:spacing w:val="23"/>
          <w:w w:val="101"/>
          <w:sz w:val="20"/>
          <w:szCs w:val="20"/>
        </w:rPr>
        <w:t xml:space="preserve"> </w:t>
      </w:r>
      <w:r>
        <w:rPr>
          <w:rFonts w:ascii="Times New Roman" w:hAnsi="Times New Roman" w:eastAsia="Times New Roman" w:cs="Times New Roman"/>
          <w:spacing w:val="-1"/>
          <w:sz w:val="20"/>
          <w:szCs w:val="20"/>
        </w:rPr>
        <w:t>exposure</w:t>
      </w:r>
      <w:r>
        <w:rPr>
          <w:rFonts w:ascii="Times New Roman" w:hAnsi="Times New Roman" w:eastAsia="Times New Roman" w:cs="Times New Roman"/>
          <w:spacing w:val="16"/>
          <w:sz w:val="20"/>
          <w:szCs w:val="20"/>
        </w:rPr>
        <w:t xml:space="preserve"> </w:t>
      </w:r>
      <w:r>
        <w:rPr>
          <w:rFonts w:ascii="Times New Roman" w:hAnsi="Times New Roman" w:eastAsia="Times New Roman" w:cs="Times New Roman"/>
          <w:spacing w:val="-1"/>
          <w:sz w:val="20"/>
          <w:szCs w:val="20"/>
        </w:rPr>
        <w:t>proceeds</w:t>
      </w:r>
      <w:r>
        <w:rPr>
          <w:rFonts w:ascii="Times New Roman" w:hAnsi="Times New Roman" w:eastAsia="Times New Roman" w:cs="Times New Roman"/>
          <w:spacing w:val="23"/>
          <w:sz w:val="20"/>
          <w:szCs w:val="20"/>
        </w:rPr>
        <w:t xml:space="preserve"> </w:t>
      </w:r>
      <w:r>
        <w:rPr>
          <w:rFonts w:ascii="Times New Roman" w:hAnsi="Times New Roman" w:eastAsia="Times New Roman" w:cs="Times New Roman"/>
          <w:spacing w:val="-1"/>
          <w:sz w:val="20"/>
          <w:szCs w:val="20"/>
        </w:rPr>
        <w:t>or</w:t>
      </w:r>
      <w:r>
        <w:rPr>
          <w:rFonts w:ascii="Times New Roman" w:hAnsi="Times New Roman" w:eastAsia="Times New Roman" w:cs="Times New Roman"/>
          <w:spacing w:val="23"/>
          <w:sz w:val="20"/>
          <w:szCs w:val="20"/>
        </w:rPr>
        <w:t xml:space="preserve"> </w:t>
      </w:r>
      <w:r>
        <w:rPr>
          <w:rFonts w:ascii="Times New Roman" w:hAnsi="Times New Roman" w:eastAsia="Times New Roman" w:cs="Times New Roman"/>
          <w:spacing w:val="-1"/>
          <w:sz w:val="20"/>
          <w:szCs w:val="20"/>
        </w:rPr>
        <w:t>follows</w:t>
      </w:r>
      <w:r>
        <w:rPr>
          <w:rFonts w:ascii="Times New Roman" w:hAnsi="Times New Roman" w:eastAsia="Times New Roman" w:cs="Times New Roman"/>
          <w:spacing w:val="18"/>
          <w:sz w:val="20"/>
          <w:szCs w:val="20"/>
        </w:rPr>
        <w:t xml:space="preserve"> </w:t>
      </w:r>
      <w:r>
        <w:rPr>
          <w:rFonts w:ascii="Times New Roman" w:hAnsi="Times New Roman" w:eastAsia="Times New Roman" w:cs="Times New Roman"/>
          <w:spacing w:val="-1"/>
          <w:sz w:val="20"/>
          <w:szCs w:val="20"/>
        </w:rPr>
        <w:t>the</w:t>
      </w:r>
      <w:r>
        <w:rPr>
          <w:rFonts w:ascii="Times New Roman" w:hAnsi="Times New Roman" w:eastAsia="Times New Roman" w:cs="Times New Roman"/>
          <w:sz w:val="20"/>
          <w:szCs w:val="20"/>
        </w:rPr>
        <w:t xml:space="preserve"> disease.Ecologic</w:t>
      </w:r>
      <w:r>
        <w:rPr>
          <w:rFonts w:ascii="Times New Roman" w:hAnsi="Times New Roman" w:eastAsia="Times New Roman" w:cs="Times New Roman"/>
          <w:spacing w:val="29"/>
          <w:w w:val="101"/>
          <w:sz w:val="20"/>
          <w:szCs w:val="20"/>
        </w:rPr>
        <w:t xml:space="preserve"> </w:t>
      </w:r>
      <w:r>
        <w:rPr>
          <w:rFonts w:ascii="Times New Roman" w:hAnsi="Times New Roman" w:eastAsia="Times New Roman" w:cs="Times New Roman"/>
          <w:sz w:val="20"/>
          <w:szCs w:val="20"/>
        </w:rPr>
        <w:t>studies,</w:t>
      </w:r>
      <w:r>
        <w:rPr>
          <w:rFonts w:ascii="Times New Roman" w:hAnsi="Times New Roman" w:eastAsia="Times New Roman" w:cs="Times New Roman"/>
          <w:spacing w:val="-1"/>
          <w:sz w:val="20"/>
          <w:szCs w:val="20"/>
        </w:rPr>
        <w:t>also</w:t>
      </w:r>
      <w:r>
        <w:rPr>
          <w:rFonts w:ascii="Times New Roman" w:hAnsi="Times New Roman" w:eastAsia="Times New Roman" w:cs="Times New Roman"/>
          <w:spacing w:val="21"/>
          <w:sz w:val="20"/>
          <w:szCs w:val="20"/>
        </w:rPr>
        <w:t xml:space="preserve"> </w:t>
      </w:r>
      <w:r>
        <w:rPr>
          <w:rFonts w:ascii="Times New Roman" w:hAnsi="Times New Roman" w:eastAsia="Times New Roman" w:cs="Times New Roman"/>
          <w:spacing w:val="-1"/>
          <w:sz w:val="20"/>
          <w:szCs w:val="20"/>
        </w:rPr>
        <w:t>known</w:t>
      </w:r>
      <w:r>
        <w:rPr>
          <w:rFonts w:ascii="Times New Roman" w:hAnsi="Times New Roman" w:eastAsia="Times New Roman" w:cs="Times New Roman"/>
          <w:spacing w:val="26"/>
          <w:w w:val="101"/>
          <w:sz w:val="20"/>
          <w:szCs w:val="20"/>
        </w:rPr>
        <w:t xml:space="preserve"> </w:t>
      </w:r>
      <w:r>
        <w:rPr>
          <w:rFonts w:ascii="Times New Roman" w:hAnsi="Times New Roman" w:eastAsia="Times New Roman" w:cs="Times New Roman"/>
          <w:spacing w:val="-1"/>
          <w:sz w:val="20"/>
          <w:szCs w:val="20"/>
        </w:rPr>
        <w:t>as</w:t>
      </w:r>
      <w:r>
        <w:rPr>
          <w:rFonts w:ascii="Times New Roman" w:hAnsi="Times New Roman" w:eastAsia="Times New Roman" w:cs="Times New Roman"/>
          <w:spacing w:val="26"/>
          <w:w w:val="101"/>
          <w:sz w:val="20"/>
          <w:szCs w:val="20"/>
        </w:rPr>
        <w:t xml:space="preserve"> </w:t>
      </w:r>
      <w:r>
        <w:rPr>
          <w:rFonts w:ascii="Times New Roman" w:hAnsi="Times New Roman" w:eastAsia="Times New Roman" w:cs="Times New Roman"/>
          <w:spacing w:val="-1"/>
          <w:sz w:val="20"/>
          <w:szCs w:val="20"/>
        </w:rPr>
        <w:t>correlation</w:t>
      </w:r>
      <w:r>
        <w:rPr>
          <w:rFonts w:ascii="Times New Roman" w:hAnsi="Times New Roman" w:eastAsia="Times New Roman" w:cs="Times New Roman"/>
          <w:spacing w:val="29"/>
          <w:w w:val="101"/>
          <w:sz w:val="20"/>
          <w:szCs w:val="20"/>
        </w:rPr>
        <w:t xml:space="preserve"> </w:t>
      </w:r>
      <w:r>
        <w:rPr>
          <w:rFonts w:ascii="Times New Roman" w:hAnsi="Times New Roman" w:eastAsia="Times New Roman" w:cs="Times New Roman"/>
          <w:spacing w:val="-1"/>
          <w:sz w:val="20"/>
          <w:szCs w:val="20"/>
        </w:rPr>
        <w:t>studies,relate</w:t>
      </w:r>
      <w:r>
        <w:rPr>
          <w:rFonts w:ascii="Times New Roman" w:hAnsi="Times New Roman" w:eastAsia="Times New Roman" w:cs="Times New Roman"/>
          <w:spacing w:val="21"/>
          <w:w w:val="101"/>
          <w:sz w:val="20"/>
          <w:szCs w:val="20"/>
        </w:rPr>
        <w:t xml:space="preserve"> </w:t>
      </w:r>
      <w:r>
        <w:rPr>
          <w:rFonts w:ascii="Times New Roman" w:hAnsi="Times New Roman" w:eastAsia="Times New Roman" w:cs="Times New Roman"/>
          <w:spacing w:val="-1"/>
          <w:sz w:val="20"/>
          <w:szCs w:val="20"/>
        </w:rPr>
        <w:t>the</w:t>
      </w:r>
      <w:r>
        <w:rPr>
          <w:rFonts w:ascii="Times New Roman" w:hAnsi="Times New Roman" w:eastAsia="Times New Roman" w:cs="Times New Roman"/>
          <w:spacing w:val="27"/>
          <w:sz w:val="20"/>
          <w:szCs w:val="20"/>
        </w:rPr>
        <w:t xml:space="preserve"> </w:t>
      </w:r>
      <w:r>
        <w:rPr>
          <w:rFonts w:ascii="Times New Roman" w:hAnsi="Times New Roman" w:eastAsia="Times New Roman" w:cs="Times New Roman"/>
          <w:spacing w:val="-1"/>
          <w:sz w:val="20"/>
          <w:szCs w:val="20"/>
        </w:rPr>
        <w:t>frequency</w:t>
      </w:r>
      <w:r>
        <w:rPr>
          <w:rFonts w:ascii="Times New Roman" w:hAnsi="Times New Roman" w:eastAsia="Times New Roman" w:cs="Times New Roman"/>
          <w:spacing w:val="26"/>
          <w:w w:val="101"/>
          <w:sz w:val="20"/>
          <w:szCs w:val="20"/>
        </w:rPr>
        <w:t xml:space="preserve"> </w:t>
      </w:r>
      <w:r>
        <w:rPr>
          <w:rFonts w:ascii="Times New Roman" w:hAnsi="Times New Roman" w:eastAsia="Times New Roman" w:cs="Times New Roman"/>
          <w:spacing w:val="-1"/>
          <w:sz w:val="20"/>
          <w:szCs w:val="20"/>
        </w:rPr>
        <w:t>of a</w:t>
      </w:r>
      <w:r>
        <w:rPr>
          <w:rFonts w:ascii="Times New Roman" w:hAnsi="Times New Roman" w:eastAsia="Times New Roman" w:cs="Times New Roman"/>
          <w:spacing w:val="26"/>
          <w:sz w:val="20"/>
          <w:szCs w:val="20"/>
        </w:rPr>
        <w:t xml:space="preserve"> </w:t>
      </w:r>
      <w:r>
        <w:rPr>
          <w:rFonts w:ascii="Times New Roman" w:hAnsi="Times New Roman" w:eastAsia="Times New Roman" w:cs="Times New Roman"/>
          <w:spacing w:val="-1"/>
          <w:sz w:val="20"/>
          <w:szCs w:val="20"/>
        </w:rPr>
        <w:t>disease</w:t>
      </w:r>
      <w:r>
        <w:rPr>
          <w:rFonts w:ascii="Times New Roman" w:hAnsi="Times New Roman" w:eastAsia="Times New Roman" w:cs="Times New Roman"/>
          <w:spacing w:val="21"/>
          <w:w w:val="101"/>
          <w:sz w:val="20"/>
          <w:szCs w:val="20"/>
        </w:rPr>
        <w:t xml:space="preserve"> </w:t>
      </w:r>
      <w:r>
        <w:rPr>
          <w:rFonts w:ascii="Times New Roman" w:hAnsi="Times New Roman" w:eastAsia="Times New Roman" w:cs="Times New Roman"/>
          <w:spacing w:val="-1"/>
          <w:sz w:val="20"/>
          <w:szCs w:val="20"/>
        </w:rPr>
        <w:t>to</w:t>
      </w:r>
      <w:r>
        <w:rPr>
          <w:rFonts w:ascii="Times New Roman" w:hAnsi="Times New Roman" w:eastAsia="Times New Roman" w:cs="Times New Roman"/>
          <w:spacing w:val="27"/>
          <w:sz w:val="20"/>
          <w:szCs w:val="20"/>
        </w:rPr>
        <w:t xml:space="preserve"> </w:t>
      </w:r>
      <w:r>
        <w:rPr>
          <w:rFonts w:ascii="Times New Roman" w:hAnsi="Times New Roman" w:eastAsia="Times New Roman" w:cs="Times New Roman"/>
          <w:spacing w:val="-1"/>
          <w:sz w:val="20"/>
          <w:szCs w:val="20"/>
        </w:rPr>
        <w:t>an</w:t>
      </w:r>
      <w:r>
        <w:rPr>
          <w:rFonts w:ascii="Times New Roman" w:hAnsi="Times New Roman" w:eastAsia="Times New Roman" w:cs="Times New Roman"/>
          <w:spacing w:val="26"/>
          <w:w w:val="101"/>
          <w:sz w:val="20"/>
          <w:szCs w:val="20"/>
        </w:rPr>
        <w:t xml:space="preserve"> </w:t>
      </w:r>
      <w:r>
        <w:rPr>
          <w:rFonts w:ascii="Times New Roman" w:hAnsi="Times New Roman" w:eastAsia="Times New Roman" w:cs="Times New Roman"/>
          <w:spacing w:val="-1"/>
          <w:sz w:val="20"/>
          <w:szCs w:val="20"/>
        </w:rPr>
        <w:t>exposure</w:t>
      </w:r>
      <w:r>
        <w:rPr>
          <w:rFonts w:ascii="Times New Roman" w:hAnsi="Times New Roman" w:eastAsia="Times New Roman" w:cs="Times New Roman"/>
          <w:sz w:val="20"/>
          <w:szCs w:val="20"/>
        </w:rPr>
        <w:t xml:space="preserve"> </w:t>
      </w:r>
      <w:r>
        <w:rPr>
          <w:rFonts w:ascii="Times New Roman" w:hAnsi="Times New Roman" w:eastAsia="Times New Roman" w:cs="Times New Roman"/>
          <w:spacing w:val="-1"/>
          <w:sz w:val="20"/>
          <w:szCs w:val="20"/>
        </w:rPr>
        <w:t>at</w:t>
      </w:r>
      <w:r>
        <w:rPr>
          <w:rFonts w:ascii="Times New Roman" w:hAnsi="Times New Roman" w:eastAsia="Times New Roman" w:cs="Times New Roman"/>
          <w:spacing w:val="37"/>
          <w:w w:val="101"/>
          <w:sz w:val="20"/>
          <w:szCs w:val="20"/>
        </w:rPr>
        <w:t xml:space="preserve"> </w:t>
      </w:r>
      <w:r>
        <w:rPr>
          <w:rFonts w:ascii="Times New Roman" w:hAnsi="Times New Roman" w:eastAsia="Times New Roman" w:cs="Times New Roman"/>
          <w:spacing w:val="-1"/>
          <w:sz w:val="20"/>
          <w:szCs w:val="20"/>
        </w:rPr>
        <w:t>the</w:t>
      </w:r>
      <w:r>
        <w:rPr>
          <w:rFonts w:ascii="Times New Roman" w:hAnsi="Times New Roman" w:eastAsia="Times New Roman" w:cs="Times New Roman"/>
          <w:spacing w:val="23"/>
          <w:w w:val="101"/>
          <w:sz w:val="20"/>
          <w:szCs w:val="20"/>
        </w:rPr>
        <w:t xml:space="preserve"> </w:t>
      </w:r>
      <w:r>
        <w:rPr>
          <w:rFonts w:ascii="Times New Roman" w:hAnsi="Times New Roman" w:eastAsia="Times New Roman" w:cs="Times New Roman"/>
          <w:spacing w:val="-1"/>
          <w:sz w:val="20"/>
          <w:szCs w:val="20"/>
        </w:rPr>
        <w:t>population</w:t>
      </w:r>
      <w:r>
        <w:rPr>
          <w:rFonts w:ascii="Times New Roman" w:hAnsi="Times New Roman" w:eastAsia="Times New Roman" w:cs="Times New Roman"/>
          <w:spacing w:val="30"/>
          <w:w w:val="101"/>
          <w:sz w:val="20"/>
          <w:szCs w:val="20"/>
        </w:rPr>
        <w:t xml:space="preserve"> </w:t>
      </w:r>
      <w:r>
        <w:rPr>
          <w:rFonts w:ascii="Times New Roman" w:hAnsi="Times New Roman" w:eastAsia="Times New Roman" w:cs="Times New Roman"/>
          <w:spacing w:val="-1"/>
          <w:sz w:val="20"/>
          <w:szCs w:val="20"/>
        </w:rPr>
        <w:t>or</w:t>
      </w:r>
      <w:r>
        <w:rPr>
          <w:rFonts w:ascii="Times New Roman" w:hAnsi="Times New Roman" w:eastAsia="Times New Roman" w:cs="Times New Roman"/>
          <w:spacing w:val="28"/>
          <w:w w:val="101"/>
          <w:sz w:val="20"/>
          <w:szCs w:val="20"/>
        </w:rPr>
        <w:t xml:space="preserve"> </w:t>
      </w:r>
      <w:r>
        <w:rPr>
          <w:rFonts w:ascii="Times New Roman" w:hAnsi="Times New Roman" w:eastAsia="Times New Roman" w:cs="Times New Roman"/>
          <w:spacing w:val="-1"/>
          <w:sz w:val="20"/>
          <w:szCs w:val="20"/>
        </w:rPr>
        <w:t>group</w:t>
      </w:r>
      <w:r>
        <w:rPr>
          <w:rFonts w:ascii="Times New Roman" w:hAnsi="Times New Roman" w:eastAsia="Times New Roman" w:cs="Times New Roman"/>
          <w:spacing w:val="29"/>
          <w:w w:val="101"/>
          <w:sz w:val="20"/>
          <w:szCs w:val="20"/>
        </w:rPr>
        <w:t xml:space="preserve"> </w:t>
      </w:r>
      <w:r>
        <w:rPr>
          <w:rFonts w:ascii="Times New Roman" w:hAnsi="Times New Roman" w:eastAsia="Times New Roman" w:cs="Times New Roman"/>
          <w:spacing w:val="-1"/>
          <w:sz w:val="20"/>
          <w:szCs w:val="20"/>
        </w:rPr>
        <w:t>level.Thus,the</w:t>
      </w:r>
      <w:r>
        <w:rPr>
          <w:rFonts w:ascii="Times New Roman" w:hAnsi="Times New Roman" w:eastAsia="Times New Roman" w:cs="Times New Roman"/>
          <w:spacing w:val="30"/>
          <w:w w:val="101"/>
          <w:sz w:val="20"/>
          <w:szCs w:val="20"/>
        </w:rPr>
        <w:t xml:space="preserve"> </w:t>
      </w:r>
      <w:r>
        <w:rPr>
          <w:rFonts w:ascii="Times New Roman" w:hAnsi="Times New Roman" w:eastAsia="Times New Roman" w:cs="Times New Roman"/>
          <w:spacing w:val="-1"/>
          <w:sz w:val="20"/>
          <w:szCs w:val="20"/>
        </w:rPr>
        <w:t>observational</w:t>
      </w:r>
      <w:r>
        <w:rPr>
          <w:rFonts w:ascii="Times New Roman" w:hAnsi="Times New Roman" w:eastAsia="Times New Roman" w:cs="Times New Roman"/>
          <w:spacing w:val="24"/>
          <w:sz w:val="20"/>
          <w:szCs w:val="20"/>
        </w:rPr>
        <w:t xml:space="preserve"> </w:t>
      </w:r>
      <w:r>
        <w:rPr>
          <w:rFonts w:ascii="Times New Roman" w:hAnsi="Times New Roman" w:eastAsia="Times New Roman" w:cs="Times New Roman"/>
          <w:spacing w:val="-1"/>
          <w:sz w:val="20"/>
          <w:szCs w:val="20"/>
        </w:rPr>
        <w:t>unit</w:t>
      </w:r>
      <w:r>
        <w:rPr>
          <w:rFonts w:ascii="Times New Roman" w:hAnsi="Times New Roman" w:eastAsia="Times New Roman" w:cs="Times New Roman"/>
          <w:spacing w:val="29"/>
          <w:sz w:val="20"/>
          <w:szCs w:val="20"/>
        </w:rPr>
        <w:t xml:space="preserve"> </w:t>
      </w:r>
      <w:r>
        <w:rPr>
          <w:rFonts w:ascii="Times New Roman" w:hAnsi="Times New Roman" w:eastAsia="Times New Roman" w:cs="Times New Roman"/>
          <w:spacing w:val="-1"/>
          <w:sz w:val="20"/>
          <w:szCs w:val="20"/>
        </w:rPr>
        <w:t>in</w:t>
      </w:r>
      <w:r>
        <w:rPr>
          <w:rFonts w:ascii="Times New Roman" w:hAnsi="Times New Roman" w:eastAsia="Times New Roman" w:cs="Times New Roman"/>
          <w:spacing w:val="31"/>
          <w:sz w:val="20"/>
          <w:szCs w:val="20"/>
        </w:rPr>
        <w:t xml:space="preserve"> </w:t>
      </w:r>
      <w:r>
        <w:rPr>
          <w:rFonts w:ascii="Times New Roman" w:hAnsi="Times New Roman" w:eastAsia="Times New Roman" w:cs="Times New Roman"/>
          <w:spacing w:val="-1"/>
          <w:sz w:val="20"/>
          <w:szCs w:val="20"/>
        </w:rPr>
        <w:t>ecological</w:t>
      </w:r>
      <w:r>
        <w:rPr>
          <w:rFonts w:ascii="Times New Roman" w:hAnsi="Times New Roman" w:eastAsia="Times New Roman" w:cs="Times New Roman"/>
          <w:spacing w:val="33"/>
          <w:w w:val="101"/>
          <w:sz w:val="20"/>
          <w:szCs w:val="20"/>
        </w:rPr>
        <w:t xml:space="preserve"> </w:t>
      </w:r>
      <w:r>
        <w:rPr>
          <w:rFonts w:ascii="Times New Roman" w:hAnsi="Times New Roman" w:eastAsia="Times New Roman" w:cs="Times New Roman"/>
          <w:spacing w:val="-1"/>
          <w:sz w:val="20"/>
          <w:szCs w:val="20"/>
        </w:rPr>
        <w:t>studies</w:t>
      </w:r>
      <w:r>
        <w:rPr>
          <w:rFonts w:ascii="Times New Roman" w:hAnsi="Times New Roman" w:eastAsia="Times New Roman" w:cs="Times New Roman"/>
          <w:spacing w:val="29"/>
          <w:w w:val="101"/>
          <w:sz w:val="20"/>
          <w:szCs w:val="20"/>
        </w:rPr>
        <w:t xml:space="preserve"> </w:t>
      </w:r>
      <w:r>
        <w:rPr>
          <w:rFonts w:ascii="Times New Roman" w:hAnsi="Times New Roman" w:eastAsia="Times New Roman" w:cs="Times New Roman"/>
          <w:spacing w:val="-1"/>
          <w:sz w:val="20"/>
          <w:szCs w:val="20"/>
        </w:rPr>
        <w:t>is</w:t>
      </w:r>
      <w:r>
        <w:rPr>
          <w:rFonts w:ascii="Times New Roman" w:hAnsi="Times New Roman" w:eastAsia="Times New Roman" w:cs="Times New Roman"/>
          <w:spacing w:val="29"/>
          <w:w w:val="101"/>
          <w:sz w:val="20"/>
          <w:szCs w:val="20"/>
        </w:rPr>
        <w:t xml:space="preserve"> </w:t>
      </w:r>
      <w:r>
        <w:rPr>
          <w:rFonts w:ascii="Times New Roman" w:hAnsi="Times New Roman" w:eastAsia="Times New Roman" w:cs="Times New Roman"/>
          <w:spacing w:val="-1"/>
          <w:sz w:val="20"/>
          <w:szCs w:val="20"/>
        </w:rPr>
        <w:t>groups</w:t>
      </w:r>
      <w:r>
        <w:rPr>
          <w:rFonts w:ascii="Times New Roman" w:hAnsi="Times New Roman" w:eastAsia="Times New Roman" w:cs="Times New Roman"/>
          <w:spacing w:val="30"/>
          <w:w w:val="101"/>
          <w:sz w:val="20"/>
          <w:szCs w:val="20"/>
        </w:rPr>
        <w:t xml:space="preserve"> </w:t>
      </w:r>
      <w:r>
        <w:rPr>
          <w:rFonts w:ascii="Times New Roman" w:hAnsi="Times New Roman" w:eastAsia="Times New Roman" w:cs="Times New Roman"/>
          <w:spacing w:val="-1"/>
          <w:sz w:val="20"/>
          <w:szCs w:val="20"/>
        </w:rPr>
        <w:t>or</w:t>
      </w:r>
      <w:r>
        <w:rPr>
          <w:rFonts w:ascii="Times New Roman" w:hAnsi="Times New Roman" w:eastAsia="Times New Roman" w:cs="Times New Roman"/>
          <w:spacing w:val="22"/>
          <w:w w:val="101"/>
          <w:sz w:val="20"/>
          <w:szCs w:val="20"/>
        </w:rPr>
        <w:t xml:space="preserve"> </w:t>
      </w:r>
      <w:r>
        <w:rPr>
          <w:rFonts w:ascii="Times New Roman" w:hAnsi="Times New Roman" w:eastAsia="Times New Roman" w:cs="Times New Roman"/>
          <w:spacing w:val="-1"/>
          <w:sz w:val="20"/>
          <w:szCs w:val="20"/>
        </w:rPr>
        <w:t>populations</w:t>
      </w:r>
      <w:r>
        <w:rPr>
          <w:rFonts w:ascii="Times New Roman" w:hAnsi="Times New Roman" w:eastAsia="Times New Roman" w:cs="Times New Roman"/>
          <w:sz w:val="20"/>
          <w:szCs w:val="20"/>
        </w:rPr>
        <w:t xml:space="preserve"> rather</w:t>
      </w:r>
      <w:r>
        <w:rPr>
          <w:rFonts w:ascii="Times New Roman" w:hAnsi="Times New Roman" w:eastAsia="Times New Roman" w:cs="Times New Roman"/>
          <w:spacing w:val="47"/>
          <w:sz w:val="20"/>
          <w:szCs w:val="20"/>
        </w:rPr>
        <w:t xml:space="preserve"> </w:t>
      </w:r>
      <w:r>
        <w:rPr>
          <w:rFonts w:ascii="Times New Roman" w:hAnsi="Times New Roman" w:eastAsia="Times New Roman" w:cs="Times New Roman"/>
          <w:sz w:val="20"/>
          <w:szCs w:val="20"/>
        </w:rPr>
        <w:t>than  individuals.Descriptive  studies  are  mainly  used  for  e</w:t>
      </w:r>
      <w:r>
        <w:rPr>
          <w:rFonts w:ascii="Times New Roman" w:hAnsi="Times New Roman" w:eastAsia="Times New Roman" w:cs="Times New Roman"/>
          <w:spacing w:val="-1"/>
          <w:sz w:val="20"/>
          <w:szCs w:val="20"/>
        </w:rPr>
        <w:t>stimating  the  prevalence  of</w:t>
      </w:r>
      <w:r>
        <w:rPr>
          <w:rFonts w:ascii="Times New Roman" w:hAnsi="Times New Roman" w:eastAsia="Times New Roman" w:cs="Times New Roman"/>
          <w:spacing w:val="32"/>
          <w:sz w:val="20"/>
          <w:szCs w:val="20"/>
        </w:rPr>
        <w:t xml:space="preserve"> </w:t>
      </w:r>
      <w:r>
        <w:rPr>
          <w:rFonts w:ascii="Times New Roman" w:hAnsi="Times New Roman" w:eastAsia="Times New Roman" w:cs="Times New Roman"/>
          <w:spacing w:val="-1"/>
          <w:sz w:val="20"/>
          <w:szCs w:val="20"/>
        </w:rPr>
        <w:t>disease  or</w:t>
      </w:r>
      <w:r>
        <w:rPr>
          <w:rFonts w:ascii="Times New Roman" w:hAnsi="Times New Roman" w:eastAsia="Times New Roman" w:cs="Times New Roman"/>
          <w:sz w:val="20"/>
          <w:szCs w:val="20"/>
        </w:rPr>
        <w:t xml:space="preserve"> health</w:t>
      </w:r>
      <w:r>
        <w:rPr>
          <w:rFonts w:ascii="Times New Roman" w:hAnsi="Times New Roman" w:eastAsia="Times New Roman" w:cs="Times New Roman"/>
          <w:spacing w:val="46"/>
          <w:w w:val="101"/>
          <w:sz w:val="20"/>
          <w:szCs w:val="20"/>
        </w:rPr>
        <w:t xml:space="preserve"> </w:t>
      </w:r>
      <w:r>
        <w:rPr>
          <w:rFonts w:ascii="Times New Roman" w:hAnsi="Times New Roman" w:eastAsia="Times New Roman" w:cs="Times New Roman"/>
          <w:sz w:val="20"/>
          <w:szCs w:val="20"/>
        </w:rPr>
        <w:t>status,probing</w:t>
      </w:r>
      <w:r>
        <w:rPr>
          <w:rFonts w:ascii="Times New Roman" w:hAnsi="Times New Roman" w:eastAsia="Times New Roman" w:cs="Times New Roman"/>
          <w:spacing w:val="41"/>
          <w:w w:val="101"/>
          <w:sz w:val="20"/>
          <w:szCs w:val="20"/>
        </w:rPr>
        <w:t xml:space="preserve"> </w:t>
      </w:r>
      <w:r>
        <w:rPr>
          <w:rFonts w:ascii="Times New Roman" w:hAnsi="Times New Roman" w:eastAsia="Times New Roman" w:cs="Times New Roman"/>
          <w:sz w:val="20"/>
          <w:szCs w:val="20"/>
        </w:rPr>
        <w:t>into</w:t>
      </w:r>
      <w:r>
        <w:rPr>
          <w:rFonts w:ascii="Times New Roman" w:hAnsi="Times New Roman" w:eastAsia="Times New Roman" w:cs="Times New Roman"/>
          <w:spacing w:val="38"/>
          <w:sz w:val="20"/>
          <w:szCs w:val="20"/>
        </w:rPr>
        <w:t xml:space="preserve"> </w:t>
      </w:r>
      <w:r>
        <w:rPr>
          <w:rFonts w:ascii="Times New Roman" w:hAnsi="Times New Roman" w:eastAsia="Times New Roman" w:cs="Times New Roman"/>
          <w:sz w:val="20"/>
          <w:szCs w:val="20"/>
        </w:rPr>
        <w:t>the</w:t>
      </w:r>
      <w:r>
        <w:rPr>
          <w:rFonts w:ascii="Times New Roman" w:hAnsi="Times New Roman" w:eastAsia="Times New Roman" w:cs="Times New Roman"/>
          <w:spacing w:val="37"/>
          <w:sz w:val="20"/>
          <w:szCs w:val="20"/>
        </w:rPr>
        <w:t xml:space="preserve"> </w:t>
      </w:r>
      <w:r>
        <w:rPr>
          <w:rFonts w:ascii="Times New Roman" w:hAnsi="Times New Roman" w:eastAsia="Times New Roman" w:cs="Times New Roman"/>
          <w:sz w:val="20"/>
          <w:szCs w:val="20"/>
        </w:rPr>
        <w:t>natural</w:t>
      </w:r>
      <w:r>
        <w:rPr>
          <w:rFonts w:ascii="Times New Roman" w:hAnsi="Times New Roman" w:eastAsia="Times New Roman" w:cs="Times New Roman"/>
          <w:spacing w:val="37"/>
          <w:w w:val="101"/>
          <w:sz w:val="20"/>
          <w:szCs w:val="20"/>
        </w:rPr>
        <w:t xml:space="preserve"> </w:t>
      </w:r>
      <w:r>
        <w:rPr>
          <w:rFonts w:ascii="Times New Roman" w:hAnsi="Times New Roman" w:eastAsia="Times New Roman" w:cs="Times New Roman"/>
          <w:sz w:val="20"/>
          <w:szCs w:val="20"/>
        </w:rPr>
        <w:t>history</w:t>
      </w:r>
      <w:r>
        <w:rPr>
          <w:rFonts w:ascii="Times New Roman" w:hAnsi="Times New Roman" w:eastAsia="Times New Roman" w:cs="Times New Roman"/>
          <w:spacing w:val="42"/>
          <w:w w:val="101"/>
          <w:sz w:val="20"/>
          <w:szCs w:val="20"/>
        </w:rPr>
        <w:t xml:space="preserve"> </w:t>
      </w:r>
      <w:r>
        <w:rPr>
          <w:rFonts w:ascii="Times New Roman" w:hAnsi="Times New Roman" w:eastAsia="Times New Roman" w:cs="Times New Roman"/>
          <w:sz w:val="20"/>
          <w:szCs w:val="20"/>
        </w:rPr>
        <w:t>of</w:t>
      </w:r>
      <w:r>
        <w:rPr>
          <w:rFonts w:ascii="Times New Roman" w:hAnsi="Times New Roman" w:eastAsia="Times New Roman" w:cs="Times New Roman"/>
          <w:spacing w:val="22"/>
          <w:sz w:val="20"/>
          <w:szCs w:val="20"/>
        </w:rPr>
        <w:t xml:space="preserve"> </w:t>
      </w:r>
      <w:r>
        <w:rPr>
          <w:rFonts w:ascii="Times New Roman" w:hAnsi="Times New Roman" w:eastAsia="Times New Roman" w:cs="Times New Roman"/>
          <w:sz w:val="20"/>
          <w:szCs w:val="20"/>
        </w:rPr>
        <w:t>disease,asc</w:t>
      </w:r>
      <w:r>
        <w:rPr>
          <w:rFonts w:ascii="Times New Roman" w:hAnsi="Times New Roman" w:eastAsia="Times New Roman" w:cs="Times New Roman"/>
          <w:spacing w:val="-1"/>
          <w:sz w:val="20"/>
          <w:szCs w:val="20"/>
        </w:rPr>
        <w:t>ertaining</w:t>
      </w:r>
      <w:r>
        <w:rPr>
          <w:rFonts w:ascii="Times New Roman" w:hAnsi="Times New Roman" w:eastAsia="Times New Roman" w:cs="Times New Roman"/>
          <w:spacing w:val="37"/>
          <w:w w:val="101"/>
          <w:sz w:val="20"/>
          <w:szCs w:val="20"/>
        </w:rPr>
        <w:t xml:space="preserve"> </w:t>
      </w:r>
      <w:r>
        <w:rPr>
          <w:rFonts w:ascii="Times New Roman" w:hAnsi="Times New Roman" w:eastAsia="Times New Roman" w:cs="Times New Roman"/>
          <w:spacing w:val="-1"/>
          <w:sz w:val="20"/>
          <w:szCs w:val="20"/>
        </w:rPr>
        <w:t>high-risk</w:t>
      </w:r>
      <w:r>
        <w:rPr>
          <w:rFonts w:ascii="Times New Roman" w:hAnsi="Times New Roman" w:eastAsia="Times New Roman" w:cs="Times New Roman"/>
          <w:spacing w:val="40"/>
          <w:w w:val="101"/>
          <w:sz w:val="20"/>
          <w:szCs w:val="20"/>
        </w:rPr>
        <w:t xml:space="preserve"> </w:t>
      </w:r>
      <w:r>
        <w:rPr>
          <w:rFonts w:ascii="Times New Roman" w:hAnsi="Times New Roman" w:eastAsia="Times New Roman" w:cs="Times New Roman"/>
          <w:spacing w:val="-1"/>
          <w:sz w:val="20"/>
          <w:szCs w:val="20"/>
        </w:rPr>
        <w:t>individuals</w:t>
      </w:r>
      <w:r>
        <w:rPr>
          <w:rFonts w:ascii="Times New Roman" w:hAnsi="Times New Roman" w:eastAsia="Times New Roman" w:cs="Times New Roman"/>
          <w:spacing w:val="43"/>
          <w:sz w:val="20"/>
          <w:szCs w:val="20"/>
        </w:rPr>
        <w:t xml:space="preserve"> </w:t>
      </w:r>
      <w:r>
        <w:rPr>
          <w:rFonts w:ascii="Times New Roman" w:hAnsi="Times New Roman" w:eastAsia="Times New Roman" w:cs="Times New Roman"/>
          <w:spacing w:val="-1"/>
          <w:sz w:val="20"/>
          <w:szCs w:val="20"/>
        </w:rPr>
        <w:t>and</w:t>
      </w:r>
      <w:r>
        <w:rPr>
          <w:rFonts w:ascii="Times New Roman" w:hAnsi="Times New Roman" w:eastAsia="Times New Roman" w:cs="Times New Roman"/>
          <w:spacing w:val="41"/>
          <w:w w:val="101"/>
          <w:sz w:val="20"/>
          <w:szCs w:val="20"/>
        </w:rPr>
        <w:t xml:space="preserve"> </w:t>
      </w:r>
      <w:r>
        <w:rPr>
          <w:rFonts w:ascii="Times New Roman" w:hAnsi="Times New Roman" w:eastAsia="Times New Roman" w:cs="Times New Roman"/>
          <w:spacing w:val="-1"/>
          <w:sz w:val="20"/>
          <w:szCs w:val="20"/>
        </w:rPr>
        <w:t>generating</w:t>
      </w:r>
      <w:r>
        <w:rPr>
          <w:rFonts w:ascii="Times New Roman" w:hAnsi="Times New Roman" w:eastAsia="Times New Roman" w:cs="Times New Roman"/>
          <w:sz w:val="20"/>
          <w:szCs w:val="20"/>
        </w:rPr>
        <w:t xml:space="preserve"> </w:t>
      </w:r>
      <w:r>
        <w:rPr>
          <w:rFonts w:ascii="Times New Roman" w:hAnsi="Times New Roman" w:eastAsia="Times New Roman" w:cs="Times New Roman"/>
          <w:spacing w:val="-1"/>
          <w:sz w:val="20"/>
          <w:szCs w:val="20"/>
        </w:rPr>
        <w:t>hypotheses for further</w:t>
      </w:r>
      <w:r>
        <w:rPr>
          <w:rFonts w:ascii="Times New Roman" w:hAnsi="Times New Roman" w:eastAsia="Times New Roman" w:cs="Times New Roman"/>
          <w:spacing w:val="26"/>
          <w:sz w:val="20"/>
          <w:szCs w:val="20"/>
        </w:rPr>
        <w:t xml:space="preserve"> </w:t>
      </w:r>
      <w:r>
        <w:rPr>
          <w:rFonts w:ascii="Times New Roman" w:hAnsi="Times New Roman" w:eastAsia="Times New Roman" w:cs="Times New Roman"/>
          <w:spacing w:val="-1"/>
          <w:sz w:val="20"/>
          <w:szCs w:val="20"/>
        </w:rPr>
        <w:t>studies.</w:t>
      </w:r>
    </w:p>
    <w:p w14:paraId="5BDB6A75">
      <w:pPr>
        <w:spacing w:line="330" w:lineRule="auto"/>
        <w:rPr>
          <w:rFonts w:ascii="Arial"/>
          <w:sz w:val="21"/>
        </w:rPr>
      </w:pPr>
    </w:p>
    <w:p w14:paraId="3A031997">
      <w:pPr>
        <w:spacing w:before="65" w:line="347" w:lineRule="auto"/>
        <w:ind w:left="699" w:firstLine="410"/>
        <w:jc w:val="both"/>
        <w:rPr>
          <w:rFonts w:ascii="宋体" w:hAnsi="宋体" w:eastAsia="宋体" w:cs="宋体"/>
          <w:sz w:val="20"/>
          <w:szCs w:val="20"/>
        </w:rPr>
      </w:pPr>
      <w:r>
        <w:rPr>
          <w:rFonts w:ascii="宋体" w:hAnsi="宋体" w:eastAsia="宋体" w:cs="宋体"/>
          <w:spacing w:val="6"/>
          <w:sz w:val="20"/>
          <w:szCs w:val="20"/>
        </w:rPr>
        <w:t>描述性研究</w:t>
      </w:r>
      <w:r>
        <w:rPr>
          <w:rFonts w:ascii="Times New Roman" w:hAnsi="Times New Roman" w:eastAsia="Times New Roman" w:cs="Times New Roman"/>
          <w:spacing w:val="6"/>
          <w:sz w:val="20"/>
          <w:szCs w:val="20"/>
        </w:rPr>
        <w:t>(</w:t>
      </w:r>
      <w:r>
        <w:rPr>
          <w:rFonts w:ascii="Times New Roman" w:hAnsi="Times New Roman" w:eastAsia="Times New Roman" w:cs="Times New Roman"/>
          <w:sz w:val="20"/>
          <w:szCs w:val="20"/>
        </w:rPr>
        <w:t>descriptive</w:t>
      </w:r>
      <w:r>
        <w:rPr>
          <w:rFonts w:ascii="Times New Roman" w:hAnsi="Times New Roman" w:eastAsia="Times New Roman" w:cs="Times New Roman"/>
          <w:spacing w:val="6"/>
          <w:sz w:val="20"/>
          <w:szCs w:val="20"/>
        </w:rPr>
        <w:t xml:space="preserve">    </w:t>
      </w:r>
      <w:r>
        <w:rPr>
          <w:rFonts w:ascii="Times New Roman" w:hAnsi="Times New Roman" w:eastAsia="Times New Roman" w:cs="Times New Roman"/>
          <w:sz w:val="20"/>
          <w:szCs w:val="20"/>
        </w:rPr>
        <w:t>study</w:t>
      </w:r>
      <w:r>
        <w:rPr>
          <w:rFonts w:ascii="Times New Roman" w:hAnsi="Times New Roman" w:eastAsia="Times New Roman" w:cs="Times New Roman"/>
          <w:spacing w:val="6"/>
          <w:sz w:val="20"/>
          <w:szCs w:val="20"/>
        </w:rPr>
        <w:t>),</w:t>
      </w:r>
      <w:r>
        <w:rPr>
          <w:rFonts w:ascii="宋体" w:hAnsi="宋体" w:eastAsia="宋体" w:cs="宋体"/>
          <w:spacing w:val="6"/>
          <w:sz w:val="20"/>
          <w:szCs w:val="20"/>
        </w:rPr>
        <w:t>又称为描述流行病学</w:t>
      </w:r>
      <w:r>
        <w:rPr>
          <w:rFonts w:ascii="Times New Roman" w:hAnsi="Times New Roman" w:eastAsia="Times New Roman" w:cs="Times New Roman"/>
          <w:spacing w:val="6"/>
          <w:sz w:val="20"/>
          <w:szCs w:val="20"/>
        </w:rPr>
        <w:t>(</w:t>
      </w:r>
      <w:r>
        <w:rPr>
          <w:rFonts w:ascii="Times New Roman" w:hAnsi="Times New Roman" w:eastAsia="Times New Roman" w:cs="Times New Roman"/>
          <w:sz w:val="20"/>
          <w:szCs w:val="20"/>
        </w:rPr>
        <w:t>descriptive</w:t>
      </w:r>
      <w:r>
        <w:rPr>
          <w:rFonts w:ascii="Times New Roman" w:hAnsi="Times New Roman" w:eastAsia="Times New Roman" w:cs="Times New Roman"/>
          <w:spacing w:val="6"/>
          <w:sz w:val="20"/>
          <w:szCs w:val="20"/>
        </w:rPr>
        <w:t xml:space="preserve">     </w:t>
      </w:r>
      <w:r>
        <w:rPr>
          <w:rFonts w:ascii="Times New Roman" w:hAnsi="Times New Roman" w:eastAsia="Times New Roman" w:cs="Times New Roman"/>
          <w:sz w:val="20"/>
          <w:szCs w:val="20"/>
        </w:rPr>
        <w:t>epidemiology</w:t>
      </w:r>
      <w:r>
        <w:rPr>
          <w:rFonts w:ascii="Times New Roman" w:hAnsi="Times New Roman" w:eastAsia="Times New Roman" w:cs="Times New Roman"/>
          <w:spacing w:val="6"/>
          <w:sz w:val="20"/>
          <w:szCs w:val="20"/>
        </w:rPr>
        <w:t>),</w:t>
      </w:r>
      <w:r>
        <w:rPr>
          <w:rFonts w:ascii="宋体" w:hAnsi="宋体" w:eastAsia="宋体" w:cs="宋体"/>
          <w:spacing w:val="6"/>
          <w:sz w:val="20"/>
          <w:szCs w:val="20"/>
        </w:rPr>
        <w:t>是流行病学研</w:t>
      </w:r>
      <w:r>
        <w:rPr>
          <w:rFonts w:ascii="宋体" w:hAnsi="宋体" w:eastAsia="宋体" w:cs="宋体"/>
          <w:spacing w:val="3"/>
          <w:sz w:val="20"/>
          <w:szCs w:val="20"/>
        </w:rPr>
        <w:t xml:space="preserve"> 究方法中最基本的类型，主要用来描述人群中疾病或健康状况及暴露因素的分布情</w:t>
      </w:r>
      <w:r>
        <w:rPr>
          <w:rFonts w:ascii="宋体" w:hAnsi="宋体" w:eastAsia="宋体" w:cs="宋体"/>
          <w:spacing w:val="2"/>
          <w:sz w:val="20"/>
          <w:szCs w:val="20"/>
        </w:rPr>
        <w:t>况，目的是提出</w:t>
      </w:r>
      <w:r>
        <w:rPr>
          <w:rFonts w:ascii="宋体" w:hAnsi="宋体" w:eastAsia="宋体" w:cs="宋体"/>
          <w:sz w:val="20"/>
          <w:szCs w:val="20"/>
        </w:rPr>
        <w:t xml:space="preserve"> </w:t>
      </w:r>
      <w:r>
        <w:rPr>
          <w:rFonts w:ascii="宋体" w:hAnsi="宋体" w:eastAsia="宋体" w:cs="宋体"/>
          <w:spacing w:val="3"/>
          <w:sz w:val="20"/>
          <w:szCs w:val="20"/>
        </w:rPr>
        <w:t>病因假设，为进一步调查研究提供线索。该类研究还可用来确定高危人群，评价公共卫生措施的效</w:t>
      </w:r>
      <w:r>
        <w:rPr>
          <w:rFonts w:ascii="宋体" w:hAnsi="宋体" w:eastAsia="宋体" w:cs="宋体"/>
          <w:sz w:val="20"/>
          <w:szCs w:val="20"/>
        </w:rPr>
        <w:t xml:space="preserve"> 果等，是分析性研究的基础。描述性研究常见的类型主要有：现况研究、病例报告、病例系列分析、 </w:t>
      </w:r>
      <w:r>
        <w:rPr>
          <w:rFonts w:ascii="宋体" w:hAnsi="宋体" w:eastAsia="宋体" w:cs="宋体"/>
          <w:spacing w:val="-1"/>
          <w:sz w:val="20"/>
          <w:szCs w:val="20"/>
        </w:rPr>
        <w:t>个案研究、历史资料分析、随访研究、生态学研究等。本章主要介绍现况研究与生态学研究。</w:t>
      </w:r>
    </w:p>
    <w:p w14:paraId="454CC47C">
      <w:pPr>
        <w:spacing w:line="355" w:lineRule="auto"/>
        <w:rPr>
          <w:rFonts w:ascii="Arial"/>
          <w:sz w:val="21"/>
        </w:rPr>
      </w:pPr>
    </w:p>
    <w:p w14:paraId="63D3553B">
      <w:pPr>
        <w:pStyle w:val="2"/>
        <w:spacing w:before="95" w:line="221" w:lineRule="auto"/>
        <w:ind w:left="4064"/>
        <w:outlineLvl w:val="1"/>
        <w:rPr>
          <w:sz w:val="29"/>
          <w:szCs w:val="29"/>
        </w:rPr>
      </w:pPr>
      <w:bookmarkStart w:id="61" w:name="bookmark34"/>
      <w:bookmarkEnd w:id="61"/>
      <w:r>
        <w:rPr>
          <w:b/>
          <w:bCs/>
          <w:spacing w:val="-6"/>
          <w:sz w:val="29"/>
          <w:szCs w:val="29"/>
        </w:rPr>
        <w:t>第一节</w:t>
      </w:r>
      <w:r>
        <w:rPr>
          <w:spacing w:val="140"/>
          <w:sz w:val="29"/>
          <w:szCs w:val="29"/>
        </w:rPr>
        <w:t xml:space="preserve"> </w:t>
      </w:r>
      <w:r>
        <w:rPr>
          <w:b/>
          <w:bCs/>
          <w:spacing w:val="-6"/>
          <w:sz w:val="29"/>
          <w:szCs w:val="29"/>
        </w:rPr>
        <w:t>概</w:t>
      </w:r>
      <w:r>
        <w:rPr>
          <w:spacing w:val="-6"/>
          <w:sz w:val="29"/>
          <w:szCs w:val="29"/>
        </w:rPr>
        <w:t xml:space="preserve">  </w:t>
      </w:r>
      <w:r>
        <w:rPr>
          <w:b/>
          <w:bCs/>
          <w:spacing w:val="-6"/>
          <w:sz w:val="29"/>
          <w:szCs w:val="29"/>
        </w:rPr>
        <w:t>述</w:t>
      </w:r>
    </w:p>
    <w:p w14:paraId="552A0EEE">
      <w:pPr>
        <w:spacing w:line="378" w:lineRule="auto"/>
        <w:rPr>
          <w:rFonts w:ascii="Arial"/>
          <w:sz w:val="21"/>
        </w:rPr>
      </w:pPr>
    </w:p>
    <w:p w14:paraId="4236841A">
      <w:pPr>
        <w:pStyle w:val="2"/>
        <w:spacing w:before="82" w:line="221" w:lineRule="auto"/>
        <w:ind w:left="1113"/>
        <w:outlineLvl w:val="2"/>
        <w:rPr>
          <w:sz w:val="25"/>
          <w:szCs w:val="25"/>
        </w:rPr>
      </w:pPr>
      <w:bookmarkStart w:id="62" w:name="bookmark35"/>
      <w:bookmarkEnd w:id="62"/>
      <w:r>
        <w:rPr>
          <w:b/>
          <w:bCs/>
          <w:spacing w:val="-20"/>
          <w:sz w:val="25"/>
          <w:szCs w:val="25"/>
        </w:rPr>
        <w:t>一</w:t>
      </w:r>
      <w:r>
        <w:rPr>
          <w:spacing w:val="-70"/>
          <w:sz w:val="25"/>
          <w:szCs w:val="25"/>
        </w:rPr>
        <w:t xml:space="preserve"> </w:t>
      </w:r>
      <w:r>
        <w:rPr>
          <w:b/>
          <w:bCs/>
          <w:spacing w:val="-20"/>
          <w:sz w:val="25"/>
          <w:szCs w:val="25"/>
        </w:rPr>
        <w:t>、概念</w:t>
      </w:r>
    </w:p>
    <w:p w14:paraId="172DDBBB">
      <w:pPr>
        <w:spacing w:before="301" w:line="334" w:lineRule="auto"/>
        <w:ind w:left="699" w:right="38" w:firstLine="410"/>
        <w:jc w:val="both"/>
        <w:rPr>
          <w:rFonts w:ascii="宋体" w:hAnsi="宋体" w:eastAsia="宋体" w:cs="宋体"/>
          <w:sz w:val="20"/>
          <w:szCs w:val="20"/>
        </w:rPr>
      </w:pPr>
      <w:r>
        <w:rPr>
          <w:rFonts w:ascii="宋体" w:hAnsi="宋体" w:eastAsia="宋体" w:cs="宋体"/>
          <w:spacing w:val="11"/>
          <w:sz w:val="20"/>
          <w:szCs w:val="20"/>
        </w:rPr>
        <w:t>描述性研究是指利用常规监测记录或通过专门调查获得的数据资料(包括实验室检查结果),</w:t>
      </w:r>
      <w:r>
        <w:rPr>
          <w:rFonts w:ascii="宋体" w:hAnsi="宋体" w:eastAsia="宋体" w:cs="宋体"/>
          <w:sz w:val="20"/>
          <w:szCs w:val="20"/>
        </w:rPr>
        <w:t xml:space="preserve"> </w:t>
      </w:r>
      <w:r>
        <w:rPr>
          <w:rFonts w:ascii="宋体" w:hAnsi="宋体" w:eastAsia="宋体" w:cs="宋体"/>
          <w:spacing w:val="3"/>
          <w:sz w:val="20"/>
          <w:szCs w:val="20"/>
        </w:rPr>
        <w:t>按照不同地区、不同时间及不同人群特征进行分组，描述人群中疾病或健康状况和暴露因素的分布</w:t>
      </w:r>
      <w:r>
        <w:rPr>
          <w:rFonts w:ascii="宋体" w:hAnsi="宋体" w:eastAsia="宋体" w:cs="宋体"/>
          <w:sz w:val="20"/>
          <w:szCs w:val="20"/>
        </w:rPr>
        <w:t xml:space="preserve"> </w:t>
      </w:r>
      <w:r>
        <w:rPr>
          <w:rFonts w:ascii="宋体" w:hAnsi="宋体" w:eastAsia="宋体" w:cs="宋体"/>
          <w:spacing w:val="3"/>
          <w:sz w:val="20"/>
          <w:szCs w:val="20"/>
        </w:rPr>
        <w:t>情况及其相关关系，获得疾病三间(人群、地区和时间)分布的特征，通过比较分析导致疾</w:t>
      </w:r>
      <w:r>
        <w:rPr>
          <w:rFonts w:ascii="宋体" w:hAnsi="宋体" w:eastAsia="宋体" w:cs="宋体"/>
          <w:spacing w:val="2"/>
          <w:sz w:val="20"/>
          <w:szCs w:val="20"/>
        </w:rPr>
        <w:t>病或健康</w:t>
      </w:r>
      <w:r>
        <w:rPr>
          <w:rFonts w:ascii="宋体" w:hAnsi="宋体" w:eastAsia="宋体" w:cs="宋体"/>
          <w:sz w:val="20"/>
          <w:szCs w:val="20"/>
        </w:rPr>
        <w:t xml:space="preserve"> </w:t>
      </w:r>
      <w:r>
        <w:rPr>
          <w:rFonts w:ascii="宋体" w:hAnsi="宋体" w:eastAsia="宋体" w:cs="宋体"/>
          <w:spacing w:val="-1"/>
          <w:sz w:val="20"/>
          <w:szCs w:val="20"/>
        </w:rPr>
        <w:t>状况分布差异的可能原因，找出病因线索，</w:t>
      </w:r>
      <w:r>
        <w:rPr>
          <w:rFonts w:ascii="宋体" w:hAnsi="宋体" w:eastAsia="宋体" w:cs="宋体"/>
          <w:spacing w:val="-2"/>
          <w:sz w:val="20"/>
          <w:szCs w:val="20"/>
        </w:rPr>
        <w:t>进而提出病因假设。</w:t>
      </w:r>
    </w:p>
    <w:p w14:paraId="2418B229">
      <w:pPr>
        <w:pStyle w:val="2"/>
        <w:spacing w:before="183" w:line="221" w:lineRule="auto"/>
        <w:ind w:left="1113"/>
        <w:outlineLvl w:val="2"/>
        <w:rPr>
          <w:sz w:val="25"/>
          <w:szCs w:val="25"/>
        </w:rPr>
      </w:pPr>
      <w:bookmarkStart w:id="63" w:name="bookmark36"/>
      <w:bookmarkEnd w:id="63"/>
      <w:r>
        <w:rPr>
          <w:b/>
          <w:bCs/>
          <w:spacing w:val="-1"/>
          <w:sz w:val="25"/>
          <w:szCs w:val="25"/>
        </w:rPr>
        <w:t>二、种类</w:t>
      </w:r>
    </w:p>
    <w:p w14:paraId="2EEE6D9E">
      <w:pPr>
        <w:pStyle w:val="2"/>
        <w:spacing w:before="303" w:line="222" w:lineRule="auto"/>
        <w:ind w:left="1110"/>
        <w:rPr>
          <w:rFonts w:ascii="宋体" w:hAnsi="宋体" w:eastAsia="宋体" w:cs="宋体"/>
          <w:sz w:val="20"/>
          <w:szCs w:val="20"/>
        </w:rPr>
      </w:pPr>
      <w:r>
        <w:rPr>
          <w:rFonts w:ascii="宋体" w:hAnsi="宋体" w:eastAsia="宋体" w:cs="宋体"/>
          <w:spacing w:val="5"/>
          <w:sz w:val="20"/>
          <w:szCs w:val="20"/>
        </w:rPr>
        <w:t xml:space="preserve">1. </w:t>
      </w:r>
      <w:r>
        <w:rPr>
          <w:spacing w:val="5"/>
          <w:sz w:val="20"/>
          <w:szCs w:val="20"/>
        </w:rPr>
        <w:t>现况研究</w:t>
      </w:r>
      <w:r>
        <w:rPr>
          <w:spacing w:val="93"/>
          <w:sz w:val="20"/>
          <w:szCs w:val="20"/>
        </w:rPr>
        <w:t xml:space="preserve"> </w:t>
      </w:r>
      <w:r>
        <w:rPr>
          <w:rFonts w:ascii="宋体" w:hAnsi="宋体" w:eastAsia="宋体" w:cs="宋体"/>
          <w:spacing w:val="5"/>
          <w:sz w:val="20"/>
          <w:szCs w:val="20"/>
        </w:rPr>
        <w:t>现况研究是在一个特定时点或时期内，在特定范围内的人群中，对</w:t>
      </w:r>
      <w:r>
        <w:rPr>
          <w:rFonts w:ascii="宋体" w:hAnsi="宋体" w:eastAsia="宋体" w:cs="宋体"/>
          <w:spacing w:val="4"/>
          <w:sz w:val="20"/>
          <w:szCs w:val="20"/>
        </w:rPr>
        <w:t>某种(些)疾</w:t>
      </w:r>
    </w:p>
    <w:p w14:paraId="017F206E">
      <w:pPr>
        <w:spacing w:line="222" w:lineRule="auto"/>
        <w:rPr>
          <w:rFonts w:ascii="宋体" w:hAnsi="宋体" w:eastAsia="宋体" w:cs="宋体"/>
          <w:sz w:val="20"/>
          <w:szCs w:val="20"/>
        </w:rPr>
        <w:sectPr>
          <w:footerReference r:id="rId62" w:type="default"/>
          <w:pgSz w:w="11900" w:h="16820"/>
          <w:pgMar w:top="400" w:right="1519" w:bottom="829" w:left="880" w:header="0" w:footer="649" w:gutter="0"/>
          <w:cols w:space="720" w:num="1"/>
        </w:sectPr>
      </w:pPr>
    </w:p>
    <w:p w14:paraId="28C9B66F">
      <w:pPr>
        <w:spacing w:line="247" w:lineRule="auto"/>
        <w:rPr>
          <w:rFonts w:ascii="Arial"/>
          <w:sz w:val="21"/>
        </w:rPr>
      </w:pPr>
    </w:p>
    <w:p w14:paraId="22B4F668">
      <w:pPr>
        <w:pStyle w:val="2"/>
        <w:spacing w:before="68" w:line="222" w:lineRule="auto"/>
        <w:ind w:left="7640"/>
        <w:rPr>
          <w:sz w:val="21"/>
          <w:szCs w:val="21"/>
        </w:rPr>
      </w:pPr>
      <w:r>
        <w:rPr>
          <w:spacing w:val="-20"/>
          <w:sz w:val="21"/>
          <w:szCs w:val="21"/>
        </w:rPr>
        <w:t>第三章 描述性研究</w:t>
      </w:r>
    </w:p>
    <w:p w14:paraId="0B207E12">
      <w:pPr>
        <w:spacing w:line="253" w:lineRule="auto"/>
        <w:rPr>
          <w:rFonts w:ascii="Arial"/>
          <w:sz w:val="21"/>
        </w:rPr>
      </w:pPr>
    </w:p>
    <w:p w14:paraId="00E13CDC">
      <w:pPr>
        <w:spacing w:line="254" w:lineRule="auto"/>
        <w:rPr>
          <w:rFonts w:ascii="Arial"/>
          <w:sz w:val="21"/>
        </w:rPr>
      </w:pPr>
    </w:p>
    <w:p w14:paraId="3DC7821E">
      <w:pPr>
        <w:spacing w:before="68" w:line="326" w:lineRule="auto"/>
        <w:ind w:right="648"/>
        <w:jc w:val="both"/>
        <w:rPr>
          <w:rFonts w:ascii="宋体" w:hAnsi="宋体" w:eastAsia="宋体" w:cs="宋体"/>
          <w:sz w:val="21"/>
          <w:szCs w:val="21"/>
        </w:rPr>
      </w:pPr>
      <w:r>
        <w:rPr>
          <w:rFonts w:ascii="宋体" w:hAnsi="宋体" w:eastAsia="宋体" w:cs="宋体"/>
          <w:spacing w:val="10"/>
          <w:sz w:val="21"/>
          <w:szCs w:val="21"/>
        </w:rPr>
        <w:t>病或健康状况以及相关因素进行调查的一种方法。它通过描述疾病或健康状况在不同特征人群中</w:t>
      </w:r>
      <w:r>
        <w:rPr>
          <w:rFonts w:ascii="宋体" w:hAnsi="宋体" w:eastAsia="宋体" w:cs="宋体"/>
          <w:spacing w:val="2"/>
          <w:sz w:val="21"/>
          <w:szCs w:val="21"/>
        </w:rPr>
        <w:t xml:space="preserve"> </w:t>
      </w:r>
      <w:r>
        <w:rPr>
          <w:rFonts w:ascii="宋体" w:hAnsi="宋体" w:eastAsia="宋体" w:cs="宋体"/>
          <w:spacing w:val="5"/>
          <w:sz w:val="21"/>
          <w:szCs w:val="21"/>
        </w:rPr>
        <w:t>的分布，以及观察某些因素与疾病之间的关联，为建立病因假设提供证据。有关现况研究</w:t>
      </w:r>
      <w:r>
        <w:rPr>
          <w:rFonts w:ascii="宋体" w:hAnsi="宋体" w:eastAsia="宋体" w:cs="宋体"/>
          <w:spacing w:val="4"/>
          <w:sz w:val="21"/>
          <w:szCs w:val="21"/>
        </w:rPr>
        <w:t>的系统阐</w:t>
      </w:r>
      <w:r>
        <w:rPr>
          <w:rFonts w:ascii="宋体" w:hAnsi="宋体" w:eastAsia="宋体" w:cs="宋体"/>
          <w:sz w:val="21"/>
          <w:szCs w:val="21"/>
        </w:rPr>
        <w:t xml:space="preserve"> </w:t>
      </w:r>
      <w:r>
        <w:rPr>
          <w:rFonts w:ascii="宋体" w:hAnsi="宋体" w:eastAsia="宋体" w:cs="宋体"/>
          <w:spacing w:val="8"/>
          <w:sz w:val="21"/>
          <w:szCs w:val="21"/>
        </w:rPr>
        <w:t>述详见本章第二节。</w:t>
      </w:r>
    </w:p>
    <w:p w14:paraId="3DC08074">
      <w:pPr>
        <w:pStyle w:val="2"/>
        <w:spacing w:before="21" w:line="296" w:lineRule="auto"/>
        <w:ind w:right="643" w:firstLine="450"/>
        <w:rPr>
          <w:rFonts w:ascii="宋体" w:hAnsi="宋体" w:eastAsia="宋体" w:cs="宋体"/>
          <w:sz w:val="21"/>
          <w:szCs w:val="21"/>
        </w:rPr>
      </w:pPr>
      <w:r>
        <w:rPr>
          <w:rFonts w:ascii="宋体" w:hAnsi="宋体" w:eastAsia="宋体" w:cs="宋体"/>
          <w:spacing w:val="10"/>
          <w:sz w:val="21"/>
          <w:szCs w:val="21"/>
        </w:rPr>
        <w:t>2. 病例报告</w:t>
      </w:r>
      <w:r>
        <w:rPr>
          <w:spacing w:val="10"/>
          <w:sz w:val="21"/>
          <w:szCs w:val="21"/>
        </w:rPr>
        <w:t>(</w:t>
      </w:r>
      <w:r>
        <w:rPr>
          <w:sz w:val="21"/>
          <w:szCs w:val="21"/>
        </w:rPr>
        <w:t>ca</w:t>
      </w:r>
      <w:r>
        <w:rPr>
          <w:rFonts w:ascii="宋体" w:hAnsi="宋体" w:eastAsia="宋体" w:cs="宋体"/>
          <w:sz w:val="21"/>
          <w:szCs w:val="21"/>
        </w:rPr>
        <w:t>se</w:t>
      </w:r>
      <w:r>
        <w:rPr>
          <w:rFonts w:ascii="宋体" w:hAnsi="宋体" w:eastAsia="宋体" w:cs="宋体"/>
          <w:spacing w:val="10"/>
          <w:sz w:val="21"/>
          <w:szCs w:val="21"/>
        </w:rPr>
        <w:t xml:space="preserve"> </w:t>
      </w:r>
      <w:r>
        <w:rPr>
          <w:rFonts w:ascii="宋体" w:hAnsi="宋体" w:eastAsia="宋体" w:cs="宋体"/>
          <w:sz w:val="21"/>
          <w:szCs w:val="21"/>
        </w:rPr>
        <w:t>report</w:t>
      </w:r>
      <w:r>
        <w:rPr>
          <w:rFonts w:ascii="宋体" w:hAnsi="宋体" w:eastAsia="宋体" w:cs="宋体"/>
          <w:spacing w:val="10"/>
          <w:sz w:val="21"/>
          <w:szCs w:val="21"/>
        </w:rPr>
        <w:t>) 病例报告是对临床上某种罕见病的单个</w:t>
      </w:r>
      <w:r>
        <w:rPr>
          <w:rFonts w:ascii="宋体" w:hAnsi="宋体" w:eastAsia="宋体" w:cs="宋体"/>
          <w:spacing w:val="9"/>
          <w:sz w:val="21"/>
          <w:szCs w:val="21"/>
        </w:rPr>
        <w:t>病例或少数病例(10个以</w:t>
      </w:r>
      <w:r>
        <w:rPr>
          <w:rFonts w:ascii="宋体" w:hAnsi="宋体" w:eastAsia="宋体" w:cs="宋体"/>
          <w:sz w:val="21"/>
          <w:szCs w:val="21"/>
        </w:rPr>
        <w:t xml:space="preserve"> </w:t>
      </w:r>
      <w:r>
        <w:rPr>
          <w:rFonts w:ascii="宋体" w:hAnsi="宋体" w:eastAsia="宋体" w:cs="宋体"/>
          <w:spacing w:val="3"/>
          <w:sz w:val="21"/>
          <w:szCs w:val="21"/>
        </w:rPr>
        <w:t>下)的详细介绍，包括临床表现、治疗情况与结局，以</w:t>
      </w:r>
      <w:r>
        <w:rPr>
          <w:rFonts w:ascii="宋体" w:hAnsi="宋体" w:eastAsia="宋体" w:cs="宋体"/>
          <w:spacing w:val="2"/>
          <w:sz w:val="21"/>
          <w:szCs w:val="21"/>
        </w:rPr>
        <w:t>及对病因、发病和治疗及其效果评价的经验性</w:t>
      </w:r>
      <w:r>
        <w:rPr>
          <w:rFonts w:ascii="宋体" w:hAnsi="宋体" w:eastAsia="宋体" w:cs="宋体"/>
          <w:sz w:val="21"/>
          <w:szCs w:val="21"/>
        </w:rPr>
        <w:t xml:space="preserve"> </w:t>
      </w:r>
      <w:r>
        <w:rPr>
          <w:rFonts w:ascii="宋体" w:hAnsi="宋体" w:eastAsia="宋体" w:cs="宋体"/>
          <w:spacing w:val="5"/>
          <w:sz w:val="21"/>
          <w:szCs w:val="21"/>
        </w:rPr>
        <w:t>分析，属于定性研究的范畴。病例报告是发现和研究新发病例、罕见病例</w:t>
      </w:r>
      <w:r>
        <w:rPr>
          <w:rFonts w:ascii="宋体" w:hAnsi="宋体" w:eastAsia="宋体" w:cs="宋体"/>
          <w:spacing w:val="4"/>
          <w:sz w:val="21"/>
          <w:szCs w:val="21"/>
        </w:rPr>
        <w:t>及药物不良反应等的一种</w:t>
      </w:r>
      <w:r>
        <w:rPr>
          <w:rFonts w:ascii="宋体" w:hAnsi="宋体" w:eastAsia="宋体" w:cs="宋体"/>
          <w:sz w:val="21"/>
          <w:szCs w:val="21"/>
        </w:rPr>
        <w:t xml:space="preserve"> </w:t>
      </w:r>
      <w:r>
        <w:rPr>
          <w:rFonts w:ascii="宋体" w:hAnsi="宋体" w:eastAsia="宋体" w:cs="宋体"/>
          <w:spacing w:val="5"/>
          <w:sz w:val="21"/>
          <w:szCs w:val="21"/>
        </w:rPr>
        <w:t>重要方式。由于此类研究仅针对特殊病例或个别现象进行探讨，特别容易产</w:t>
      </w:r>
      <w:r>
        <w:rPr>
          <w:rFonts w:ascii="宋体" w:hAnsi="宋体" w:eastAsia="宋体" w:cs="宋体"/>
          <w:spacing w:val="4"/>
          <w:sz w:val="21"/>
          <w:szCs w:val="21"/>
        </w:rPr>
        <w:t>生偏倚，因此只能为临</w:t>
      </w:r>
      <w:r>
        <w:rPr>
          <w:rFonts w:ascii="宋体" w:hAnsi="宋体" w:eastAsia="宋体" w:cs="宋体"/>
          <w:sz w:val="21"/>
          <w:szCs w:val="21"/>
        </w:rPr>
        <w:t xml:space="preserve"> </w:t>
      </w:r>
      <w:r>
        <w:rPr>
          <w:rFonts w:ascii="宋体" w:hAnsi="宋体" w:eastAsia="宋体" w:cs="宋体"/>
          <w:spacing w:val="9"/>
          <w:sz w:val="21"/>
          <w:szCs w:val="21"/>
        </w:rPr>
        <w:t>床研究提供线索。</w:t>
      </w:r>
    </w:p>
    <w:p w14:paraId="1B248170">
      <w:pPr>
        <w:pStyle w:val="2"/>
        <w:spacing w:before="125" w:line="305" w:lineRule="auto"/>
        <w:ind w:right="566" w:firstLine="450"/>
        <w:rPr>
          <w:rFonts w:ascii="宋体" w:hAnsi="宋体" w:eastAsia="宋体" w:cs="宋体"/>
          <w:sz w:val="21"/>
          <w:szCs w:val="21"/>
        </w:rPr>
      </w:pPr>
      <w:r>
        <w:rPr>
          <w:rFonts w:ascii="宋体" w:hAnsi="宋体" w:eastAsia="宋体" w:cs="宋体"/>
          <w:spacing w:val="-1"/>
          <w:sz w:val="21"/>
          <w:szCs w:val="21"/>
        </w:rPr>
        <w:t>3. 病例系列分析</w:t>
      </w:r>
      <w:r>
        <w:rPr>
          <w:spacing w:val="-1"/>
          <w:sz w:val="21"/>
          <w:szCs w:val="21"/>
        </w:rPr>
        <w:t>(</w:t>
      </w:r>
      <w:r>
        <w:rPr>
          <w:rFonts w:ascii="宋体" w:hAnsi="宋体" w:eastAsia="宋体" w:cs="宋体"/>
          <w:spacing w:val="-1"/>
          <w:sz w:val="21"/>
          <w:szCs w:val="21"/>
        </w:rPr>
        <w:t>case series analysis) 病例系列分析与病例报告相似。它是对一组(十几例、</w:t>
      </w:r>
      <w:r>
        <w:rPr>
          <w:rFonts w:ascii="宋体" w:hAnsi="宋体" w:eastAsia="宋体" w:cs="宋体"/>
          <w:spacing w:val="4"/>
          <w:sz w:val="21"/>
          <w:szCs w:val="21"/>
        </w:rPr>
        <w:t xml:space="preserve"> </w:t>
      </w:r>
      <w:r>
        <w:rPr>
          <w:rFonts w:ascii="宋体" w:hAnsi="宋体" w:eastAsia="宋体" w:cs="宋体"/>
          <w:spacing w:val="2"/>
          <w:sz w:val="21"/>
          <w:szCs w:val="21"/>
        </w:rPr>
        <w:t xml:space="preserve">几十例、几百例或几千例等)相同疾病的病人临床资料进行整理、分析、总结，对疾病的诊断和治疗  </w:t>
      </w:r>
      <w:r>
        <w:rPr>
          <w:rFonts w:ascii="宋体" w:hAnsi="宋体" w:eastAsia="宋体" w:cs="宋体"/>
          <w:sz w:val="21"/>
          <w:szCs w:val="21"/>
        </w:rPr>
        <w:t>有重要的参考价值。病例报告和病例系列分析都是从新发现的“异常”(即具</w:t>
      </w:r>
      <w:r>
        <w:rPr>
          <w:rFonts w:ascii="宋体" w:hAnsi="宋体" w:eastAsia="宋体" w:cs="宋体"/>
          <w:spacing w:val="-1"/>
          <w:sz w:val="21"/>
          <w:szCs w:val="21"/>
        </w:rPr>
        <w:t>有不同的特征)病例中提</w:t>
      </w:r>
      <w:r>
        <w:rPr>
          <w:rFonts w:ascii="宋体" w:hAnsi="宋体" w:eastAsia="宋体" w:cs="宋体"/>
          <w:sz w:val="21"/>
          <w:szCs w:val="21"/>
        </w:rPr>
        <w:t xml:space="preserve">  </w:t>
      </w:r>
      <w:r>
        <w:rPr>
          <w:rFonts w:ascii="宋体" w:hAnsi="宋体" w:eastAsia="宋体" w:cs="宋体"/>
          <w:spacing w:val="-1"/>
          <w:sz w:val="21"/>
          <w:szCs w:val="21"/>
        </w:rPr>
        <w:t>出某种可疑假设。虽然病例系列分析的样本增加了，但由于没有严密的设计、缺乏对照，研究结果比</w:t>
      </w:r>
      <w:r>
        <w:rPr>
          <w:rFonts w:ascii="宋体" w:hAnsi="宋体" w:eastAsia="宋体" w:cs="宋体"/>
          <w:spacing w:val="8"/>
          <w:sz w:val="21"/>
          <w:szCs w:val="21"/>
        </w:rPr>
        <w:t xml:space="preserve">  </w:t>
      </w:r>
      <w:r>
        <w:rPr>
          <w:rFonts w:ascii="宋体" w:hAnsi="宋体" w:eastAsia="宋体" w:cs="宋体"/>
          <w:spacing w:val="-5"/>
          <w:sz w:val="21"/>
          <w:szCs w:val="21"/>
        </w:rPr>
        <w:t>较粗糙，所获得的结论仍具有局限性，仅能代表所报道的病例，对病因研究而言，依然只能提供线索。</w:t>
      </w:r>
    </w:p>
    <w:p w14:paraId="1920F64C">
      <w:pPr>
        <w:pStyle w:val="2"/>
        <w:spacing w:before="107" w:line="303" w:lineRule="auto"/>
        <w:ind w:right="651" w:firstLine="453"/>
        <w:rPr>
          <w:rFonts w:ascii="宋体" w:hAnsi="宋体" w:eastAsia="宋体" w:cs="宋体"/>
          <w:sz w:val="21"/>
          <w:szCs w:val="21"/>
        </w:rPr>
      </w:pPr>
      <w:r>
        <w:rPr>
          <w:rFonts w:ascii="宋体" w:hAnsi="宋体" w:eastAsia="宋体" w:cs="宋体"/>
          <w:b/>
          <w:bCs/>
          <w:spacing w:val="4"/>
          <w:sz w:val="21"/>
          <w:szCs w:val="21"/>
        </w:rPr>
        <w:t>4.</w:t>
      </w:r>
      <w:r>
        <w:rPr>
          <w:rFonts w:ascii="宋体" w:hAnsi="宋体" w:eastAsia="宋体" w:cs="宋体"/>
          <w:spacing w:val="4"/>
          <w:sz w:val="21"/>
          <w:szCs w:val="21"/>
        </w:rPr>
        <w:t xml:space="preserve"> </w:t>
      </w:r>
      <w:r>
        <w:rPr>
          <w:rFonts w:ascii="宋体" w:hAnsi="宋体" w:eastAsia="宋体" w:cs="宋体"/>
          <w:b/>
          <w:bCs/>
          <w:spacing w:val="4"/>
          <w:sz w:val="21"/>
          <w:szCs w:val="21"/>
        </w:rPr>
        <w:t>个案研究(</w:t>
      </w:r>
      <w:r>
        <w:rPr>
          <w:sz w:val="21"/>
          <w:szCs w:val="21"/>
        </w:rPr>
        <w:t>c</w:t>
      </w:r>
      <w:r>
        <w:rPr>
          <w:rFonts w:ascii="Arial" w:hAnsi="Arial" w:eastAsia="Arial" w:cs="Arial"/>
          <w:sz w:val="21"/>
          <w:szCs w:val="21"/>
        </w:rPr>
        <w:t>a</w:t>
      </w:r>
      <w:r>
        <w:rPr>
          <w:rFonts w:ascii="宋体" w:hAnsi="宋体" w:eastAsia="宋体" w:cs="宋体"/>
          <w:sz w:val="21"/>
          <w:szCs w:val="21"/>
        </w:rPr>
        <w:t>se</w:t>
      </w:r>
      <w:r>
        <w:rPr>
          <w:rFonts w:ascii="宋体" w:hAnsi="宋体" w:eastAsia="宋体" w:cs="宋体"/>
          <w:spacing w:val="4"/>
          <w:sz w:val="21"/>
          <w:szCs w:val="21"/>
        </w:rPr>
        <w:t xml:space="preserve"> </w:t>
      </w:r>
      <w:r>
        <w:rPr>
          <w:rFonts w:ascii="宋体" w:hAnsi="宋体" w:eastAsia="宋体" w:cs="宋体"/>
          <w:sz w:val="21"/>
          <w:szCs w:val="21"/>
        </w:rPr>
        <w:t>study</w:t>
      </w:r>
      <w:r>
        <w:rPr>
          <w:rFonts w:ascii="宋体" w:hAnsi="宋体" w:eastAsia="宋体" w:cs="宋体"/>
          <w:spacing w:val="4"/>
          <w:sz w:val="21"/>
          <w:szCs w:val="21"/>
        </w:rPr>
        <w:t>) 又称个案调查，是指到发病现场对新发</w:t>
      </w:r>
      <w:r>
        <w:rPr>
          <w:rFonts w:ascii="宋体" w:hAnsi="宋体" w:eastAsia="宋体" w:cs="宋体"/>
          <w:spacing w:val="3"/>
          <w:sz w:val="21"/>
          <w:szCs w:val="21"/>
        </w:rPr>
        <w:t>病例的接触史、家属及周围</w:t>
      </w:r>
      <w:r>
        <w:rPr>
          <w:rFonts w:ascii="宋体" w:hAnsi="宋体" w:eastAsia="宋体" w:cs="宋体"/>
          <w:sz w:val="21"/>
          <w:szCs w:val="21"/>
        </w:rPr>
        <w:t xml:space="preserve"> </w:t>
      </w:r>
      <w:r>
        <w:rPr>
          <w:rFonts w:ascii="宋体" w:hAnsi="宋体" w:eastAsia="宋体" w:cs="宋体"/>
          <w:spacing w:val="10"/>
          <w:sz w:val="21"/>
          <w:szCs w:val="21"/>
        </w:rPr>
        <w:t>人群的发病或健康状况以及可能与发病有关的环境因素进行调查，以达到查明所</w:t>
      </w:r>
      <w:r>
        <w:rPr>
          <w:rFonts w:ascii="宋体" w:hAnsi="宋体" w:eastAsia="宋体" w:cs="宋体"/>
          <w:spacing w:val="9"/>
          <w:sz w:val="21"/>
          <w:szCs w:val="21"/>
        </w:rPr>
        <w:t>研究病例的发病</w:t>
      </w:r>
      <w:r>
        <w:rPr>
          <w:rFonts w:ascii="宋体" w:hAnsi="宋体" w:eastAsia="宋体" w:cs="宋体"/>
          <w:sz w:val="21"/>
          <w:szCs w:val="21"/>
        </w:rPr>
        <w:t xml:space="preserve"> </w:t>
      </w:r>
      <w:r>
        <w:rPr>
          <w:rFonts w:ascii="宋体" w:hAnsi="宋体" w:eastAsia="宋体" w:cs="宋体"/>
          <w:spacing w:val="5"/>
          <w:sz w:val="21"/>
          <w:szCs w:val="21"/>
        </w:rPr>
        <w:t>原因和条件、预防续发病例发生及控制疫情蔓延的目的。个案研究</w:t>
      </w:r>
      <w:r>
        <w:rPr>
          <w:rFonts w:ascii="宋体" w:hAnsi="宋体" w:eastAsia="宋体" w:cs="宋体"/>
          <w:spacing w:val="4"/>
          <w:sz w:val="21"/>
          <w:szCs w:val="21"/>
        </w:rPr>
        <w:t>的对象一般为传染病病人，但也</w:t>
      </w:r>
      <w:r>
        <w:rPr>
          <w:rFonts w:ascii="宋体" w:hAnsi="宋体" w:eastAsia="宋体" w:cs="宋体"/>
          <w:sz w:val="21"/>
          <w:szCs w:val="21"/>
        </w:rPr>
        <w:t xml:space="preserve"> </w:t>
      </w:r>
      <w:r>
        <w:rPr>
          <w:rFonts w:ascii="宋体" w:hAnsi="宋体" w:eastAsia="宋体" w:cs="宋体"/>
          <w:spacing w:val="10"/>
          <w:sz w:val="21"/>
          <w:szCs w:val="21"/>
        </w:rPr>
        <w:t>可以是非传染病病人或病因未明的病例等。个案研究是医疗卫生及疾病</w:t>
      </w:r>
      <w:r>
        <w:rPr>
          <w:rFonts w:ascii="宋体" w:hAnsi="宋体" w:eastAsia="宋体" w:cs="宋体"/>
          <w:spacing w:val="9"/>
          <w:sz w:val="21"/>
          <w:szCs w:val="21"/>
        </w:rPr>
        <w:t>预防部门日常疾病报告登</w:t>
      </w:r>
      <w:r>
        <w:rPr>
          <w:rFonts w:ascii="宋体" w:hAnsi="宋体" w:eastAsia="宋体" w:cs="宋体"/>
          <w:sz w:val="21"/>
          <w:szCs w:val="21"/>
        </w:rPr>
        <w:t xml:space="preserve"> </w:t>
      </w:r>
      <w:r>
        <w:rPr>
          <w:rFonts w:ascii="宋体" w:hAnsi="宋体" w:eastAsia="宋体" w:cs="宋体"/>
          <w:spacing w:val="5"/>
          <w:sz w:val="21"/>
          <w:szCs w:val="21"/>
        </w:rPr>
        <w:t>记工作的组成部分，调查内容通常包括个人资料、临床资</w:t>
      </w:r>
      <w:r>
        <w:rPr>
          <w:rFonts w:ascii="宋体" w:hAnsi="宋体" w:eastAsia="宋体" w:cs="宋体"/>
          <w:spacing w:val="4"/>
          <w:sz w:val="21"/>
          <w:szCs w:val="21"/>
        </w:rPr>
        <w:t>料、流行病学资料和实验室资料等。通过</w:t>
      </w:r>
      <w:r>
        <w:rPr>
          <w:rFonts w:ascii="宋体" w:hAnsi="宋体" w:eastAsia="宋体" w:cs="宋体"/>
          <w:sz w:val="21"/>
          <w:szCs w:val="21"/>
        </w:rPr>
        <w:t xml:space="preserve"> </w:t>
      </w:r>
      <w:r>
        <w:rPr>
          <w:rFonts w:ascii="宋体" w:hAnsi="宋体" w:eastAsia="宋体" w:cs="宋体"/>
          <w:spacing w:val="5"/>
          <w:sz w:val="21"/>
          <w:szCs w:val="21"/>
        </w:rPr>
        <w:t>个案调查，可以获得有关疾病发病的第一手资料，既为地区疾病控制提</w:t>
      </w:r>
      <w:r>
        <w:rPr>
          <w:rFonts w:ascii="宋体" w:hAnsi="宋体" w:eastAsia="宋体" w:cs="宋体"/>
          <w:spacing w:val="4"/>
          <w:sz w:val="21"/>
          <w:szCs w:val="21"/>
        </w:rPr>
        <w:t>供了分析基础，也为探索病</w:t>
      </w:r>
      <w:r>
        <w:rPr>
          <w:rFonts w:ascii="宋体" w:hAnsi="宋体" w:eastAsia="宋体" w:cs="宋体"/>
          <w:sz w:val="21"/>
          <w:szCs w:val="21"/>
        </w:rPr>
        <w:t xml:space="preserve"> </w:t>
      </w:r>
      <w:r>
        <w:rPr>
          <w:rFonts w:ascii="宋体" w:hAnsi="宋体" w:eastAsia="宋体" w:cs="宋体"/>
          <w:spacing w:val="5"/>
          <w:sz w:val="21"/>
          <w:szCs w:val="21"/>
        </w:rPr>
        <w:t>因提供线索。</w:t>
      </w:r>
    </w:p>
    <w:p w14:paraId="6A819DB9">
      <w:pPr>
        <w:pStyle w:val="2"/>
        <w:spacing w:before="161" w:line="297" w:lineRule="auto"/>
        <w:ind w:right="658" w:firstLine="453"/>
        <w:rPr>
          <w:rFonts w:ascii="宋体" w:hAnsi="宋体" w:eastAsia="宋体" w:cs="宋体"/>
          <w:sz w:val="21"/>
          <w:szCs w:val="21"/>
        </w:rPr>
      </w:pPr>
      <w:r>
        <w:rPr>
          <w:rFonts w:ascii="宋体" w:hAnsi="宋体" w:eastAsia="宋体" w:cs="宋体"/>
          <w:b/>
          <w:bCs/>
          <w:spacing w:val="7"/>
          <w:sz w:val="21"/>
          <w:szCs w:val="21"/>
        </w:rPr>
        <w:t>5.</w:t>
      </w:r>
      <w:r>
        <w:rPr>
          <w:rFonts w:ascii="宋体" w:hAnsi="宋体" w:eastAsia="宋体" w:cs="宋体"/>
          <w:spacing w:val="7"/>
          <w:sz w:val="21"/>
          <w:szCs w:val="21"/>
        </w:rPr>
        <w:t xml:space="preserve"> </w:t>
      </w:r>
      <w:r>
        <w:rPr>
          <w:b/>
          <w:bCs/>
          <w:spacing w:val="7"/>
          <w:sz w:val="21"/>
          <w:szCs w:val="21"/>
        </w:rPr>
        <w:t>历史资料分析</w:t>
      </w:r>
      <w:r>
        <w:rPr>
          <w:spacing w:val="90"/>
          <w:sz w:val="21"/>
          <w:szCs w:val="21"/>
        </w:rPr>
        <w:t xml:space="preserve"> </w:t>
      </w:r>
      <w:r>
        <w:rPr>
          <w:rFonts w:ascii="宋体" w:hAnsi="宋体" w:eastAsia="宋体" w:cs="宋体"/>
          <w:spacing w:val="7"/>
          <w:sz w:val="21"/>
          <w:szCs w:val="21"/>
        </w:rPr>
        <w:t>历史资料即既有资料，是研</w:t>
      </w:r>
      <w:r>
        <w:rPr>
          <w:rFonts w:ascii="宋体" w:hAnsi="宋体" w:eastAsia="宋体" w:cs="宋体"/>
          <w:spacing w:val="6"/>
          <w:sz w:val="21"/>
          <w:szCs w:val="21"/>
        </w:rPr>
        <w:t>究疾病的三间分布特征、疾病危险因素和评价</w:t>
      </w:r>
      <w:r>
        <w:rPr>
          <w:rFonts w:ascii="宋体" w:hAnsi="宋体" w:eastAsia="宋体" w:cs="宋体"/>
          <w:sz w:val="21"/>
          <w:szCs w:val="21"/>
        </w:rPr>
        <w:t xml:space="preserve"> </w:t>
      </w:r>
      <w:r>
        <w:rPr>
          <w:rFonts w:ascii="宋体" w:hAnsi="宋体" w:eastAsia="宋体" w:cs="宋体"/>
          <w:spacing w:val="10"/>
          <w:sz w:val="21"/>
          <w:szCs w:val="21"/>
        </w:rPr>
        <w:t>疾病防制措施效果的重要资料和信息来源。它在研究者开展研究前便已客</w:t>
      </w:r>
      <w:r>
        <w:rPr>
          <w:rFonts w:ascii="宋体" w:hAnsi="宋体" w:eastAsia="宋体" w:cs="宋体"/>
          <w:spacing w:val="9"/>
          <w:sz w:val="21"/>
          <w:szCs w:val="21"/>
        </w:rPr>
        <w:t>观存在，属于流行病学</w:t>
      </w:r>
      <w:r>
        <w:rPr>
          <w:rFonts w:ascii="宋体" w:hAnsi="宋体" w:eastAsia="宋体" w:cs="宋体"/>
          <w:sz w:val="21"/>
          <w:szCs w:val="21"/>
        </w:rPr>
        <w:t xml:space="preserve"> </w:t>
      </w:r>
      <w:r>
        <w:rPr>
          <w:rFonts w:ascii="宋体" w:hAnsi="宋体" w:eastAsia="宋体" w:cs="宋体"/>
          <w:spacing w:val="10"/>
          <w:sz w:val="21"/>
          <w:szCs w:val="21"/>
        </w:rPr>
        <w:t>研究中的基础资料范畴。研究者需通过回顾性调查，提取和利用相关机</w:t>
      </w:r>
      <w:r>
        <w:rPr>
          <w:rFonts w:ascii="宋体" w:hAnsi="宋体" w:eastAsia="宋体" w:cs="宋体"/>
          <w:spacing w:val="9"/>
          <w:sz w:val="21"/>
          <w:szCs w:val="21"/>
        </w:rPr>
        <w:t>构的日常工作的记录、登</w:t>
      </w:r>
      <w:r>
        <w:rPr>
          <w:rFonts w:ascii="宋体" w:hAnsi="宋体" w:eastAsia="宋体" w:cs="宋体"/>
          <w:sz w:val="21"/>
          <w:szCs w:val="21"/>
        </w:rPr>
        <w:t xml:space="preserve"> </w:t>
      </w:r>
      <w:r>
        <w:rPr>
          <w:rFonts w:ascii="宋体" w:hAnsi="宋体" w:eastAsia="宋体" w:cs="宋体"/>
          <w:spacing w:val="5"/>
          <w:sz w:val="21"/>
          <w:szCs w:val="21"/>
        </w:rPr>
        <w:t>记、各类日常报告、统计表格、疾病记录档案等历史资料，进一步</w:t>
      </w:r>
      <w:r>
        <w:rPr>
          <w:rFonts w:ascii="宋体" w:hAnsi="宋体" w:eastAsia="宋体" w:cs="宋体"/>
          <w:spacing w:val="4"/>
          <w:sz w:val="21"/>
          <w:szCs w:val="21"/>
        </w:rPr>
        <w:t>开展统计分析，最终获得研究结</w:t>
      </w:r>
      <w:r>
        <w:rPr>
          <w:rFonts w:ascii="宋体" w:hAnsi="宋体" w:eastAsia="宋体" w:cs="宋体"/>
          <w:sz w:val="21"/>
          <w:szCs w:val="21"/>
        </w:rPr>
        <w:t xml:space="preserve"> </w:t>
      </w:r>
      <w:r>
        <w:rPr>
          <w:rFonts w:ascii="宋体" w:hAnsi="宋体" w:eastAsia="宋体" w:cs="宋体"/>
          <w:spacing w:val="1"/>
          <w:sz w:val="21"/>
          <w:szCs w:val="21"/>
        </w:rPr>
        <w:t>果，属于描述流行病学研究的常规方法。</w:t>
      </w:r>
    </w:p>
    <w:p w14:paraId="66A80A79">
      <w:pPr>
        <w:pStyle w:val="2"/>
        <w:spacing w:before="117" w:line="307" w:lineRule="auto"/>
        <w:ind w:right="566" w:firstLine="450"/>
        <w:rPr>
          <w:rFonts w:ascii="宋体" w:hAnsi="宋体" w:eastAsia="宋体" w:cs="宋体"/>
          <w:sz w:val="21"/>
          <w:szCs w:val="21"/>
        </w:rPr>
      </w:pPr>
      <w:r>
        <w:rPr>
          <w:rFonts w:ascii="Times New Roman" w:hAnsi="Times New Roman" w:eastAsia="Times New Roman" w:cs="Times New Roman"/>
          <w:spacing w:val="3"/>
          <w:sz w:val="21"/>
          <w:szCs w:val="21"/>
        </w:rPr>
        <w:t xml:space="preserve">6.   </w:t>
      </w:r>
      <w:r>
        <w:rPr>
          <w:spacing w:val="3"/>
          <w:sz w:val="21"/>
          <w:szCs w:val="21"/>
        </w:rPr>
        <w:t>随访研究</w:t>
      </w:r>
      <w:r>
        <w:rPr>
          <w:rFonts w:ascii="Times New Roman" w:hAnsi="Times New Roman" w:eastAsia="Times New Roman" w:cs="Times New Roman"/>
          <w:spacing w:val="3"/>
          <w:sz w:val="21"/>
          <w:szCs w:val="21"/>
        </w:rPr>
        <w:t>(</w:t>
      </w:r>
      <w:r>
        <w:rPr>
          <w:rFonts w:ascii="Times New Roman" w:hAnsi="Times New Roman" w:eastAsia="Times New Roman" w:cs="Times New Roman"/>
          <w:sz w:val="21"/>
          <w:szCs w:val="21"/>
        </w:rPr>
        <w:t>follow</w:t>
      </w:r>
      <w:r>
        <w:rPr>
          <w:rFonts w:ascii="Times New Roman" w:hAnsi="Times New Roman" w:eastAsia="Times New Roman" w:cs="Times New Roman"/>
          <w:spacing w:val="3"/>
          <w:sz w:val="21"/>
          <w:szCs w:val="21"/>
        </w:rPr>
        <w:t>-</w:t>
      </w:r>
      <w:r>
        <w:rPr>
          <w:rFonts w:ascii="Times New Roman" w:hAnsi="Times New Roman" w:eastAsia="Times New Roman" w:cs="Times New Roman"/>
          <w:sz w:val="21"/>
          <w:szCs w:val="21"/>
        </w:rPr>
        <w:t>up</w:t>
      </w:r>
      <w:r>
        <w:rPr>
          <w:rFonts w:ascii="Times New Roman" w:hAnsi="Times New Roman" w:eastAsia="Times New Roman" w:cs="Times New Roman"/>
          <w:spacing w:val="3"/>
          <w:sz w:val="21"/>
          <w:szCs w:val="21"/>
        </w:rPr>
        <w:t xml:space="preserve">   </w:t>
      </w:r>
      <w:r>
        <w:rPr>
          <w:rFonts w:ascii="Times New Roman" w:hAnsi="Times New Roman" w:eastAsia="Times New Roman" w:cs="Times New Roman"/>
          <w:sz w:val="21"/>
          <w:szCs w:val="21"/>
        </w:rPr>
        <w:t>study</w:t>
      </w:r>
      <w:r>
        <w:rPr>
          <w:rFonts w:ascii="Times New Roman" w:hAnsi="Times New Roman" w:eastAsia="Times New Roman" w:cs="Times New Roman"/>
          <w:spacing w:val="3"/>
          <w:sz w:val="21"/>
          <w:szCs w:val="21"/>
        </w:rPr>
        <w:t xml:space="preserve">)   </w:t>
      </w:r>
      <w:r>
        <w:rPr>
          <w:rFonts w:ascii="宋体" w:hAnsi="宋体" w:eastAsia="宋体" w:cs="宋体"/>
          <w:spacing w:val="3"/>
          <w:sz w:val="21"/>
          <w:szCs w:val="21"/>
        </w:rPr>
        <w:t>也称纵向研究</w:t>
      </w:r>
      <w:r>
        <w:rPr>
          <w:rFonts w:ascii="Times New Roman" w:hAnsi="Times New Roman" w:eastAsia="Times New Roman" w:cs="Times New Roman"/>
          <w:spacing w:val="3"/>
          <w:sz w:val="21"/>
          <w:szCs w:val="21"/>
        </w:rPr>
        <w:t>(</w:t>
      </w:r>
      <w:r>
        <w:rPr>
          <w:rFonts w:ascii="Times New Roman" w:hAnsi="Times New Roman" w:eastAsia="Times New Roman" w:cs="Times New Roman"/>
          <w:sz w:val="21"/>
          <w:szCs w:val="21"/>
        </w:rPr>
        <w:t>longitudinal</w:t>
      </w:r>
      <w:r>
        <w:rPr>
          <w:rFonts w:ascii="Times New Roman" w:hAnsi="Times New Roman" w:eastAsia="Times New Roman" w:cs="Times New Roman"/>
          <w:spacing w:val="3"/>
          <w:sz w:val="21"/>
          <w:szCs w:val="21"/>
        </w:rPr>
        <w:t xml:space="preserve">    </w:t>
      </w:r>
      <w:r>
        <w:rPr>
          <w:rFonts w:ascii="Times New Roman" w:hAnsi="Times New Roman" w:eastAsia="Times New Roman" w:cs="Times New Roman"/>
          <w:sz w:val="21"/>
          <w:szCs w:val="21"/>
        </w:rPr>
        <w:t>study</w:t>
      </w:r>
      <w:r>
        <w:rPr>
          <w:rFonts w:ascii="Times New Roman" w:hAnsi="Times New Roman" w:eastAsia="Times New Roman" w:cs="Times New Roman"/>
          <w:spacing w:val="3"/>
          <w:sz w:val="21"/>
          <w:szCs w:val="21"/>
        </w:rPr>
        <w:t>)</w:t>
      </w:r>
      <w:r>
        <w:rPr>
          <w:rFonts w:ascii="Times New Roman" w:hAnsi="Times New Roman" w:eastAsia="Times New Roman" w:cs="Times New Roman"/>
          <w:spacing w:val="2"/>
          <w:sz w:val="21"/>
          <w:szCs w:val="21"/>
        </w:rPr>
        <w:t>,</w:t>
      </w:r>
      <w:r>
        <w:rPr>
          <w:rFonts w:ascii="宋体" w:hAnsi="宋体" w:eastAsia="宋体" w:cs="宋体"/>
          <w:spacing w:val="2"/>
          <w:sz w:val="21"/>
          <w:szCs w:val="21"/>
        </w:rPr>
        <w:t>是通过定期随访，观察疾病、</w:t>
      </w:r>
      <w:r>
        <w:rPr>
          <w:rFonts w:ascii="宋体" w:hAnsi="宋体" w:eastAsia="宋体" w:cs="宋体"/>
          <w:sz w:val="21"/>
          <w:szCs w:val="21"/>
        </w:rPr>
        <w:t xml:space="preserve"> </w:t>
      </w:r>
      <w:r>
        <w:rPr>
          <w:rFonts w:ascii="宋体" w:hAnsi="宋体" w:eastAsia="宋体" w:cs="宋体"/>
          <w:spacing w:val="10"/>
          <w:sz w:val="21"/>
          <w:szCs w:val="21"/>
        </w:rPr>
        <w:t>健康状况或卫生事件在一个固定人群中随着时间推移的动态变化情况。与现况研</w:t>
      </w:r>
      <w:r>
        <w:rPr>
          <w:rFonts w:ascii="宋体" w:hAnsi="宋体" w:eastAsia="宋体" w:cs="宋体"/>
          <w:spacing w:val="9"/>
          <w:sz w:val="21"/>
          <w:szCs w:val="21"/>
        </w:rPr>
        <w:t>究只在一个特定</w:t>
      </w:r>
      <w:r>
        <w:rPr>
          <w:rFonts w:ascii="宋体" w:hAnsi="宋体" w:eastAsia="宋体" w:cs="宋体"/>
          <w:sz w:val="21"/>
          <w:szCs w:val="21"/>
        </w:rPr>
        <w:t xml:space="preserve">  </w:t>
      </w:r>
      <w:r>
        <w:rPr>
          <w:rFonts w:ascii="宋体" w:hAnsi="宋体" w:eastAsia="宋体" w:cs="宋体"/>
          <w:spacing w:val="10"/>
          <w:sz w:val="21"/>
          <w:szCs w:val="21"/>
        </w:rPr>
        <w:t>时点或特定时期内完成不同，随访研究可以对研究对象在不同时点进</w:t>
      </w:r>
      <w:r>
        <w:rPr>
          <w:rFonts w:ascii="宋体" w:hAnsi="宋体" w:eastAsia="宋体" w:cs="宋体"/>
          <w:spacing w:val="9"/>
          <w:sz w:val="21"/>
          <w:szCs w:val="21"/>
        </w:rPr>
        <w:t>行连续观察。研究在时间上</w:t>
      </w:r>
      <w:r>
        <w:rPr>
          <w:rFonts w:ascii="宋体" w:hAnsi="宋体" w:eastAsia="宋体" w:cs="宋体"/>
          <w:sz w:val="21"/>
          <w:szCs w:val="21"/>
        </w:rPr>
        <w:t xml:space="preserve">  </w:t>
      </w:r>
      <w:r>
        <w:rPr>
          <w:rFonts w:ascii="宋体" w:hAnsi="宋体" w:eastAsia="宋体" w:cs="宋体"/>
          <w:spacing w:val="10"/>
          <w:sz w:val="21"/>
          <w:szCs w:val="21"/>
        </w:rPr>
        <w:t>是前瞻性的，在性质上属于描述性研究。随访研究的随访间隔和方式根</w:t>
      </w:r>
      <w:r>
        <w:rPr>
          <w:rFonts w:ascii="宋体" w:hAnsi="宋体" w:eastAsia="宋体" w:cs="宋体"/>
          <w:spacing w:val="9"/>
          <w:sz w:val="21"/>
          <w:szCs w:val="21"/>
        </w:rPr>
        <w:t>据具体研究内容的不同而</w:t>
      </w:r>
      <w:r>
        <w:rPr>
          <w:rFonts w:ascii="宋体" w:hAnsi="宋体" w:eastAsia="宋体" w:cs="宋体"/>
          <w:sz w:val="21"/>
          <w:szCs w:val="21"/>
        </w:rPr>
        <w:t xml:space="preserve">  </w:t>
      </w:r>
      <w:r>
        <w:rPr>
          <w:rFonts w:ascii="宋体" w:hAnsi="宋体" w:eastAsia="宋体" w:cs="宋体"/>
          <w:spacing w:val="5"/>
          <w:sz w:val="21"/>
          <w:szCs w:val="21"/>
        </w:rPr>
        <w:t>有所不同，可以是预定时间段内执行的纵向调查，也可以是</w:t>
      </w:r>
      <w:r>
        <w:rPr>
          <w:rFonts w:ascii="宋体" w:hAnsi="宋体" w:eastAsia="宋体" w:cs="宋体"/>
          <w:spacing w:val="4"/>
          <w:sz w:val="21"/>
          <w:szCs w:val="21"/>
        </w:rPr>
        <w:t>若干次现况研究结果的分析。在调查对</w:t>
      </w:r>
      <w:r>
        <w:rPr>
          <w:rFonts w:ascii="宋体" w:hAnsi="宋体" w:eastAsia="宋体" w:cs="宋体"/>
          <w:sz w:val="21"/>
          <w:szCs w:val="21"/>
        </w:rPr>
        <w:t xml:space="preserve">  </w:t>
      </w:r>
      <w:r>
        <w:rPr>
          <w:rFonts w:ascii="宋体" w:hAnsi="宋体" w:eastAsia="宋体" w:cs="宋体"/>
          <w:spacing w:val="4"/>
          <w:sz w:val="21"/>
          <w:szCs w:val="21"/>
        </w:rPr>
        <w:t>象的文化程度允许的条件下，还可要求随访对象以日记的形式，记录急性疾病的发生与慢性非传染</w:t>
      </w:r>
      <w:r>
        <w:rPr>
          <w:rFonts w:ascii="宋体" w:hAnsi="宋体" w:eastAsia="宋体" w:cs="宋体"/>
          <w:spacing w:val="3"/>
          <w:sz w:val="21"/>
          <w:szCs w:val="21"/>
        </w:rPr>
        <w:t xml:space="preserve">  </w:t>
      </w:r>
      <w:r>
        <w:rPr>
          <w:rFonts w:ascii="宋体" w:hAnsi="宋体" w:eastAsia="宋体" w:cs="宋体"/>
          <w:spacing w:val="5"/>
          <w:sz w:val="21"/>
          <w:szCs w:val="21"/>
        </w:rPr>
        <w:t>性疾病的变化情况，以提供更全面而准确的资料，避免可能</w:t>
      </w:r>
      <w:r>
        <w:rPr>
          <w:rFonts w:ascii="宋体" w:hAnsi="宋体" w:eastAsia="宋体" w:cs="宋体"/>
          <w:spacing w:val="4"/>
          <w:sz w:val="21"/>
          <w:szCs w:val="21"/>
        </w:rPr>
        <w:t>存在的回忆偏倚。随访研究也可用于疾</w:t>
      </w:r>
      <w:r>
        <w:rPr>
          <w:rFonts w:ascii="宋体" w:hAnsi="宋体" w:eastAsia="宋体" w:cs="宋体"/>
          <w:sz w:val="21"/>
          <w:szCs w:val="21"/>
        </w:rPr>
        <w:t xml:space="preserve">  </w:t>
      </w:r>
      <w:r>
        <w:rPr>
          <w:rFonts w:ascii="宋体" w:hAnsi="宋体" w:eastAsia="宋体" w:cs="宋体"/>
          <w:spacing w:val="2"/>
          <w:sz w:val="21"/>
          <w:szCs w:val="21"/>
        </w:rPr>
        <w:t>病自然史的研究，为该疾病的病因研究提供线索，或用于提出或检验某些病因假设。</w:t>
      </w:r>
    </w:p>
    <w:p w14:paraId="3B76D88E">
      <w:pPr>
        <w:pStyle w:val="2"/>
        <w:spacing w:before="157" w:line="288" w:lineRule="auto"/>
        <w:ind w:right="663" w:firstLine="453"/>
        <w:rPr>
          <w:rFonts w:ascii="宋体" w:hAnsi="宋体" w:eastAsia="宋体" w:cs="宋体"/>
          <w:sz w:val="21"/>
          <w:szCs w:val="21"/>
        </w:rPr>
      </w:pPr>
      <w:r>
        <w:rPr>
          <w:rFonts w:ascii="宋体" w:hAnsi="宋体" w:eastAsia="宋体" w:cs="宋体"/>
          <w:b/>
          <w:bCs/>
          <w:spacing w:val="6"/>
          <w:sz w:val="21"/>
          <w:szCs w:val="21"/>
        </w:rPr>
        <w:t>7.</w:t>
      </w:r>
      <w:r>
        <w:rPr>
          <w:rFonts w:ascii="宋体" w:hAnsi="宋体" w:eastAsia="宋体" w:cs="宋体"/>
          <w:spacing w:val="6"/>
          <w:sz w:val="21"/>
          <w:szCs w:val="21"/>
        </w:rPr>
        <w:t xml:space="preserve"> </w:t>
      </w:r>
      <w:r>
        <w:rPr>
          <w:b/>
          <w:bCs/>
          <w:spacing w:val="6"/>
          <w:sz w:val="21"/>
          <w:szCs w:val="21"/>
        </w:rPr>
        <w:t>生态学研究</w:t>
      </w:r>
      <w:r>
        <w:rPr>
          <w:spacing w:val="112"/>
          <w:sz w:val="21"/>
          <w:szCs w:val="21"/>
        </w:rPr>
        <w:t xml:space="preserve"> </w:t>
      </w:r>
      <w:r>
        <w:rPr>
          <w:rFonts w:ascii="宋体" w:hAnsi="宋体" w:eastAsia="宋体" w:cs="宋体"/>
          <w:spacing w:val="6"/>
          <w:sz w:val="21"/>
          <w:szCs w:val="21"/>
        </w:rPr>
        <w:t>统计学上常称为相关性研究。生态学研究在群体的水平上研究暴露与疾病之</w:t>
      </w:r>
      <w:r>
        <w:rPr>
          <w:rFonts w:ascii="宋体" w:hAnsi="宋体" w:eastAsia="宋体" w:cs="宋体"/>
          <w:sz w:val="21"/>
          <w:szCs w:val="21"/>
        </w:rPr>
        <w:t xml:space="preserve"> </w:t>
      </w:r>
      <w:r>
        <w:rPr>
          <w:rFonts w:ascii="宋体" w:hAnsi="宋体" w:eastAsia="宋体" w:cs="宋体"/>
          <w:spacing w:val="4"/>
          <w:sz w:val="21"/>
          <w:szCs w:val="21"/>
        </w:rPr>
        <w:t>间的关系，观察和分析的单位是群体，因此是一种粗线条的研究，仅能提供一定的病因线索。有关</w:t>
      </w:r>
      <w:r>
        <w:rPr>
          <w:rFonts w:ascii="宋体" w:hAnsi="宋体" w:eastAsia="宋体" w:cs="宋体"/>
          <w:spacing w:val="6"/>
          <w:sz w:val="21"/>
          <w:szCs w:val="21"/>
        </w:rPr>
        <w:t xml:space="preserve"> </w:t>
      </w:r>
      <w:r>
        <w:rPr>
          <w:rFonts w:ascii="宋体" w:hAnsi="宋体" w:eastAsia="宋体" w:cs="宋体"/>
          <w:spacing w:val="7"/>
          <w:sz w:val="21"/>
          <w:szCs w:val="21"/>
        </w:rPr>
        <w:t>生态学研究的介绍详见本章第三节。</w:t>
      </w:r>
    </w:p>
    <w:p w14:paraId="59455621">
      <w:pPr>
        <w:pStyle w:val="2"/>
        <w:spacing w:before="249" w:line="222" w:lineRule="auto"/>
        <w:ind w:left="503"/>
        <w:outlineLvl w:val="2"/>
        <w:rPr>
          <w:sz w:val="27"/>
          <w:szCs w:val="27"/>
        </w:rPr>
      </w:pPr>
      <w:bookmarkStart w:id="64" w:name="bookmark37"/>
      <w:bookmarkEnd w:id="64"/>
      <w:r>
        <w:rPr>
          <w:b/>
          <w:bCs/>
          <w:spacing w:val="-12"/>
          <w:sz w:val="27"/>
          <w:szCs w:val="27"/>
        </w:rPr>
        <w:t>三、特点</w:t>
      </w:r>
    </w:p>
    <w:p w14:paraId="2FF2F302">
      <w:pPr>
        <w:spacing w:before="267" w:line="219" w:lineRule="auto"/>
        <w:ind w:left="450"/>
        <w:rPr>
          <w:rFonts w:ascii="宋体" w:hAnsi="宋体" w:eastAsia="宋体" w:cs="宋体"/>
          <w:sz w:val="21"/>
          <w:szCs w:val="21"/>
        </w:rPr>
      </w:pPr>
      <w:r>
        <w:rPr>
          <w:rFonts w:ascii="宋体" w:hAnsi="宋体" w:eastAsia="宋体" w:cs="宋体"/>
          <w:spacing w:val="9"/>
          <w:sz w:val="21"/>
          <w:szCs w:val="21"/>
        </w:rPr>
        <w:t>描述性研究在揭示暴露和疾病因果关系的探索过程中是最基础的步骤。相对于其他类型的流</w:t>
      </w:r>
    </w:p>
    <w:p w14:paraId="78FA5837">
      <w:pPr>
        <w:spacing w:line="219" w:lineRule="auto"/>
        <w:rPr>
          <w:rFonts w:ascii="宋体" w:hAnsi="宋体" w:eastAsia="宋体" w:cs="宋体"/>
          <w:sz w:val="21"/>
          <w:szCs w:val="21"/>
        </w:rPr>
        <w:sectPr>
          <w:footerReference r:id="rId63" w:type="default"/>
          <w:pgSz w:w="11900" w:h="16820"/>
          <w:pgMar w:top="400" w:right="708" w:bottom="886" w:left="1299" w:header="0" w:footer="697" w:gutter="0"/>
          <w:cols w:space="720" w:num="1"/>
        </w:sectPr>
      </w:pPr>
    </w:p>
    <w:p w14:paraId="2014C360">
      <w:pPr>
        <w:pStyle w:val="2"/>
        <w:spacing w:before="37" w:line="222" w:lineRule="auto"/>
        <w:ind w:left="699"/>
        <w:rPr>
          <w:sz w:val="20"/>
          <w:szCs w:val="20"/>
        </w:rPr>
      </w:pPr>
      <w:bookmarkStart w:id="65" w:name="bookmark424"/>
      <w:bookmarkEnd w:id="65"/>
      <w:r>
        <w:rPr>
          <w:spacing w:val="-12"/>
          <w:sz w:val="20"/>
          <w:szCs w:val="20"/>
        </w:rPr>
        <w:t>第三章描述性研究</w:t>
      </w:r>
    </w:p>
    <w:p w14:paraId="4B2036EF">
      <w:pPr>
        <w:spacing w:line="280" w:lineRule="auto"/>
        <w:rPr>
          <w:rFonts w:ascii="Arial"/>
          <w:sz w:val="21"/>
        </w:rPr>
      </w:pPr>
    </w:p>
    <w:p w14:paraId="6F0DAFF4">
      <w:pPr>
        <w:spacing w:line="281" w:lineRule="auto"/>
        <w:rPr>
          <w:rFonts w:ascii="Arial"/>
          <w:sz w:val="21"/>
        </w:rPr>
      </w:pPr>
    </w:p>
    <w:p w14:paraId="28F6C60D">
      <w:pPr>
        <w:spacing w:before="65" w:line="219" w:lineRule="auto"/>
        <w:ind w:left="699"/>
        <w:rPr>
          <w:rFonts w:ascii="宋体" w:hAnsi="宋体" w:eastAsia="宋体" w:cs="宋体"/>
          <w:sz w:val="20"/>
          <w:szCs w:val="20"/>
        </w:rPr>
      </w:pPr>
      <w:r>
        <w:rPr>
          <w:rFonts w:ascii="宋体" w:hAnsi="宋体" w:eastAsia="宋体" w:cs="宋体"/>
          <w:spacing w:val="-4"/>
          <w:sz w:val="20"/>
          <w:szCs w:val="20"/>
        </w:rPr>
        <w:t>行病学研究，它的主要特点包括：</w:t>
      </w:r>
    </w:p>
    <w:p w14:paraId="47FAC23B">
      <w:pPr>
        <w:spacing w:before="113" w:line="294" w:lineRule="auto"/>
        <w:ind w:left="699" w:right="83" w:firstLine="410"/>
        <w:rPr>
          <w:rFonts w:ascii="宋体" w:hAnsi="宋体" w:eastAsia="宋体" w:cs="宋体"/>
          <w:sz w:val="20"/>
          <w:szCs w:val="20"/>
        </w:rPr>
      </w:pPr>
      <w:r>
        <w:rPr>
          <w:rFonts w:ascii="宋体" w:hAnsi="宋体" w:eastAsia="宋体" w:cs="宋体"/>
          <w:spacing w:val="1"/>
          <w:sz w:val="20"/>
          <w:szCs w:val="20"/>
        </w:rPr>
        <w:t>1.</w:t>
      </w:r>
      <w:r>
        <w:rPr>
          <w:rFonts w:ascii="宋体" w:hAnsi="宋体" w:eastAsia="宋体" w:cs="宋体"/>
          <w:spacing w:val="-37"/>
          <w:sz w:val="20"/>
          <w:szCs w:val="20"/>
        </w:rPr>
        <w:t xml:space="preserve"> </w:t>
      </w:r>
      <w:r>
        <w:rPr>
          <w:rFonts w:ascii="宋体" w:hAnsi="宋体" w:eastAsia="宋体" w:cs="宋体"/>
          <w:spacing w:val="1"/>
          <w:sz w:val="20"/>
          <w:szCs w:val="20"/>
        </w:rPr>
        <w:t>描述性研究以观察为主要研究手段，不对研究对象采取任何干预措施，仅通过观察和收集相</w:t>
      </w:r>
      <w:r>
        <w:rPr>
          <w:rFonts w:ascii="宋体" w:hAnsi="宋体" w:eastAsia="宋体" w:cs="宋体"/>
          <w:sz w:val="20"/>
          <w:szCs w:val="20"/>
        </w:rPr>
        <w:t xml:space="preserve"> </w:t>
      </w:r>
      <w:r>
        <w:rPr>
          <w:rFonts w:ascii="宋体" w:hAnsi="宋体" w:eastAsia="宋体" w:cs="宋体"/>
          <w:spacing w:val="-1"/>
          <w:sz w:val="20"/>
          <w:szCs w:val="20"/>
        </w:rPr>
        <w:t>关资料，分析和总结研究对象或事件的特点。</w:t>
      </w:r>
    </w:p>
    <w:p w14:paraId="3D12DADD">
      <w:pPr>
        <w:spacing w:before="142" w:line="219" w:lineRule="auto"/>
        <w:ind w:left="1110"/>
        <w:rPr>
          <w:rFonts w:ascii="宋体" w:hAnsi="宋体" w:eastAsia="宋体" w:cs="宋体"/>
          <w:sz w:val="20"/>
          <w:szCs w:val="20"/>
        </w:rPr>
      </w:pPr>
      <w:r>
        <w:rPr>
          <w:rFonts w:ascii="宋体" w:hAnsi="宋体" w:eastAsia="宋体" w:cs="宋体"/>
          <w:sz w:val="20"/>
          <w:szCs w:val="20"/>
        </w:rPr>
        <w:t>2.</w:t>
      </w:r>
      <w:r>
        <w:rPr>
          <w:rFonts w:ascii="宋体" w:hAnsi="宋体" w:eastAsia="宋体" w:cs="宋体"/>
          <w:spacing w:val="-39"/>
          <w:sz w:val="20"/>
          <w:szCs w:val="20"/>
        </w:rPr>
        <w:t xml:space="preserve"> </w:t>
      </w:r>
      <w:r>
        <w:rPr>
          <w:rFonts w:ascii="宋体" w:hAnsi="宋体" w:eastAsia="宋体" w:cs="宋体"/>
          <w:sz w:val="20"/>
          <w:szCs w:val="20"/>
        </w:rPr>
        <w:t>描述性研究中，其暴露因素的分配不是随机的，且在研究开始时一般不设立对照组。</w:t>
      </w:r>
    </w:p>
    <w:p w14:paraId="4FC23995">
      <w:pPr>
        <w:spacing w:before="104" w:line="298" w:lineRule="auto"/>
        <w:ind w:left="699" w:right="67" w:firstLine="410"/>
        <w:rPr>
          <w:rFonts w:ascii="宋体" w:hAnsi="宋体" w:eastAsia="宋体" w:cs="宋体"/>
          <w:sz w:val="20"/>
          <w:szCs w:val="20"/>
        </w:rPr>
      </w:pPr>
      <w:r>
        <w:rPr>
          <w:rFonts w:ascii="宋体" w:hAnsi="宋体" w:eastAsia="宋体" w:cs="宋体"/>
          <w:spacing w:val="2"/>
          <w:sz w:val="20"/>
          <w:szCs w:val="20"/>
        </w:rPr>
        <w:t>3.</w:t>
      </w:r>
      <w:r>
        <w:rPr>
          <w:rFonts w:ascii="宋体" w:hAnsi="宋体" w:eastAsia="宋体" w:cs="宋体"/>
          <w:spacing w:val="-49"/>
          <w:sz w:val="20"/>
          <w:szCs w:val="20"/>
        </w:rPr>
        <w:t xml:space="preserve"> </w:t>
      </w:r>
      <w:r>
        <w:rPr>
          <w:rFonts w:ascii="宋体" w:hAnsi="宋体" w:eastAsia="宋体" w:cs="宋体"/>
          <w:spacing w:val="2"/>
          <w:sz w:val="20"/>
          <w:szCs w:val="20"/>
        </w:rPr>
        <w:t>暴露与结局的时序关系无法确定，对于暴露与结局间关系</w:t>
      </w:r>
      <w:r>
        <w:rPr>
          <w:rFonts w:ascii="宋体" w:hAnsi="宋体" w:eastAsia="宋体" w:cs="宋体"/>
          <w:spacing w:val="1"/>
          <w:sz w:val="20"/>
          <w:szCs w:val="20"/>
        </w:rPr>
        <w:t>的因果推断存在一定的局限性，仅</w:t>
      </w:r>
      <w:r>
        <w:rPr>
          <w:rFonts w:ascii="宋体" w:hAnsi="宋体" w:eastAsia="宋体" w:cs="宋体"/>
          <w:sz w:val="20"/>
          <w:szCs w:val="20"/>
        </w:rPr>
        <w:t xml:space="preserve"> </w:t>
      </w:r>
      <w:r>
        <w:rPr>
          <w:rFonts w:ascii="宋体" w:hAnsi="宋体" w:eastAsia="宋体" w:cs="宋体"/>
          <w:spacing w:val="1"/>
          <w:sz w:val="20"/>
          <w:szCs w:val="20"/>
        </w:rPr>
        <w:t>可做一些初步的比较性分析，但可为后续的分析性或实验研究提</w:t>
      </w:r>
      <w:r>
        <w:rPr>
          <w:rFonts w:ascii="宋体" w:hAnsi="宋体" w:eastAsia="宋体" w:cs="宋体"/>
          <w:sz w:val="20"/>
          <w:szCs w:val="20"/>
        </w:rPr>
        <w:t>供线索。</w:t>
      </w:r>
    </w:p>
    <w:p w14:paraId="168AF785">
      <w:pPr>
        <w:spacing w:line="256" w:lineRule="auto"/>
        <w:rPr>
          <w:rFonts w:ascii="Arial"/>
          <w:sz w:val="21"/>
        </w:rPr>
      </w:pPr>
    </w:p>
    <w:p w14:paraId="5A426D6E">
      <w:pPr>
        <w:pStyle w:val="2"/>
        <w:spacing w:before="78" w:line="225" w:lineRule="auto"/>
        <w:ind w:left="1113"/>
        <w:outlineLvl w:val="2"/>
        <w:rPr>
          <w:sz w:val="24"/>
          <w:szCs w:val="24"/>
        </w:rPr>
      </w:pPr>
      <w:bookmarkStart w:id="66" w:name="bookmark38"/>
      <w:bookmarkEnd w:id="66"/>
      <w:r>
        <w:rPr>
          <w:b/>
          <w:bCs/>
          <w:spacing w:val="-15"/>
          <w:sz w:val="24"/>
          <w:szCs w:val="24"/>
        </w:rPr>
        <w:t>四</w:t>
      </w:r>
      <w:r>
        <w:rPr>
          <w:spacing w:val="-61"/>
          <w:sz w:val="24"/>
          <w:szCs w:val="24"/>
        </w:rPr>
        <w:t xml:space="preserve"> </w:t>
      </w:r>
      <w:r>
        <w:rPr>
          <w:b/>
          <w:bCs/>
          <w:spacing w:val="-15"/>
          <w:sz w:val="24"/>
          <w:szCs w:val="24"/>
        </w:rPr>
        <w:t>、用途</w:t>
      </w:r>
    </w:p>
    <w:p w14:paraId="52C6D810">
      <w:pPr>
        <w:spacing w:before="245" w:line="350" w:lineRule="auto"/>
        <w:ind w:left="699" w:right="65" w:firstLine="410"/>
        <w:rPr>
          <w:rFonts w:ascii="宋体" w:hAnsi="宋体" w:eastAsia="宋体" w:cs="宋体"/>
          <w:sz w:val="20"/>
          <w:szCs w:val="20"/>
        </w:rPr>
      </w:pPr>
      <w:r>
        <w:rPr>
          <w:rFonts w:ascii="宋体" w:hAnsi="宋体" w:eastAsia="宋体" w:cs="宋体"/>
          <w:spacing w:val="3"/>
          <w:sz w:val="20"/>
          <w:szCs w:val="20"/>
        </w:rPr>
        <w:t>通过开展描述性研究，一方面可以确定高危人群的特征，另一方面可以获得病因线索、提出病</w:t>
      </w:r>
      <w:r>
        <w:rPr>
          <w:rFonts w:ascii="宋体" w:hAnsi="宋体" w:eastAsia="宋体" w:cs="宋体"/>
          <w:sz w:val="20"/>
          <w:szCs w:val="20"/>
        </w:rPr>
        <w:t xml:space="preserve"> </w:t>
      </w:r>
      <w:r>
        <w:rPr>
          <w:rFonts w:ascii="宋体" w:hAnsi="宋体" w:eastAsia="宋体" w:cs="宋体"/>
          <w:spacing w:val="1"/>
          <w:sz w:val="20"/>
          <w:szCs w:val="20"/>
        </w:rPr>
        <w:t>因假设。在此基础上，还可提出初步的防制</w:t>
      </w:r>
      <w:r>
        <w:rPr>
          <w:rFonts w:ascii="宋体" w:hAnsi="宋体" w:eastAsia="宋体" w:cs="宋体"/>
          <w:sz w:val="20"/>
          <w:szCs w:val="20"/>
        </w:rPr>
        <w:t>对策及后续研究的方向。</w:t>
      </w:r>
    </w:p>
    <w:p w14:paraId="091BE3D8">
      <w:pPr>
        <w:pStyle w:val="2"/>
        <w:spacing w:before="4" w:line="310" w:lineRule="auto"/>
        <w:ind w:left="699" w:right="89" w:firstLine="410"/>
        <w:rPr>
          <w:rFonts w:ascii="宋体" w:hAnsi="宋体" w:eastAsia="宋体" w:cs="宋体"/>
          <w:sz w:val="20"/>
          <w:szCs w:val="20"/>
        </w:rPr>
      </w:pPr>
      <w:r>
        <w:rPr>
          <w:rFonts w:ascii="宋体" w:hAnsi="宋体" w:eastAsia="宋体" w:cs="宋体"/>
          <w:spacing w:val="5"/>
          <w:sz w:val="20"/>
          <w:szCs w:val="20"/>
        </w:rPr>
        <w:t>1.</w:t>
      </w:r>
      <w:r>
        <w:rPr>
          <w:rFonts w:ascii="宋体" w:hAnsi="宋体" w:eastAsia="宋体" w:cs="宋体"/>
          <w:spacing w:val="-9"/>
          <w:sz w:val="20"/>
          <w:szCs w:val="20"/>
        </w:rPr>
        <w:t xml:space="preserve"> </w:t>
      </w:r>
      <w:r>
        <w:rPr>
          <w:spacing w:val="5"/>
          <w:sz w:val="20"/>
          <w:szCs w:val="20"/>
        </w:rPr>
        <w:t>描述疾病或者健康状况的分布及发生发展的规律</w:t>
      </w:r>
      <w:r>
        <w:rPr>
          <w:spacing w:val="81"/>
          <w:sz w:val="20"/>
          <w:szCs w:val="20"/>
        </w:rPr>
        <w:t xml:space="preserve"> </w:t>
      </w:r>
      <w:r>
        <w:rPr>
          <w:rFonts w:ascii="宋体" w:hAnsi="宋体" w:eastAsia="宋体" w:cs="宋体"/>
          <w:spacing w:val="5"/>
          <w:sz w:val="20"/>
          <w:szCs w:val="20"/>
        </w:rPr>
        <w:t>描述流行病学从时间、空间(地区)和人</w:t>
      </w:r>
      <w:r>
        <w:rPr>
          <w:rFonts w:ascii="宋体" w:hAnsi="宋体" w:eastAsia="宋体" w:cs="宋体"/>
          <w:sz w:val="20"/>
          <w:szCs w:val="20"/>
        </w:rPr>
        <w:t xml:space="preserve"> </w:t>
      </w:r>
      <w:r>
        <w:rPr>
          <w:rFonts w:ascii="宋体" w:hAnsi="宋体" w:eastAsia="宋体" w:cs="宋体"/>
          <w:spacing w:val="3"/>
          <w:sz w:val="20"/>
          <w:szCs w:val="20"/>
        </w:rPr>
        <w:t>间(人群)分布三个方面，对正在调查的或已</w:t>
      </w:r>
      <w:r>
        <w:rPr>
          <w:rFonts w:ascii="宋体" w:hAnsi="宋体" w:eastAsia="宋体" w:cs="宋体"/>
          <w:spacing w:val="2"/>
          <w:sz w:val="20"/>
          <w:szCs w:val="20"/>
        </w:rPr>
        <w:t>有的资料进行描述，有助于揭示疾病或健康状况的分布</w:t>
      </w:r>
      <w:r>
        <w:rPr>
          <w:rFonts w:ascii="宋体" w:hAnsi="宋体" w:eastAsia="宋体" w:cs="宋体"/>
          <w:sz w:val="20"/>
          <w:szCs w:val="20"/>
        </w:rPr>
        <w:t xml:space="preserve"> </w:t>
      </w:r>
      <w:r>
        <w:rPr>
          <w:rFonts w:ascii="宋体" w:hAnsi="宋体" w:eastAsia="宋体" w:cs="宋体"/>
          <w:spacing w:val="3"/>
          <w:sz w:val="20"/>
          <w:szCs w:val="20"/>
        </w:rPr>
        <w:t>特征及发生发展的规律，为发现疾病的危险因素</w:t>
      </w:r>
      <w:r>
        <w:rPr>
          <w:rFonts w:ascii="宋体" w:hAnsi="宋体" w:eastAsia="宋体" w:cs="宋体"/>
          <w:spacing w:val="2"/>
          <w:sz w:val="20"/>
          <w:szCs w:val="20"/>
        </w:rPr>
        <w:t>、确定高危人群提供依据，同时为提出疾病防制策</w:t>
      </w:r>
      <w:r>
        <w:rPr>
          <w:rFonts w:ascii="宋体" w:hAnsi="宋体" w:eastAsia="宋体" w:cs="宋体"/>
          <w:sz w:val="20"/>
          <w:szCs w:val="20"/>
        </w:rPr>
        <w:t xml:space="preserve"> </w:t>
      </w:r>
      <w:r>
        <w:rPr>
          <w:rFonts w:ascii="宋体" w:hAnsi="宋体" w:eastAsia="宋体" w:cs="宋体"/>
          <w:spacing w:val="-1"/>
          <w:sz w:val="20"/>
          <w:szCs w:val="20"/>
        </w:rPr>
        <w:t>略措施、制订卫生政策和医疗卫生计划提供基础资料。</w:t>
      </w:r>
    </w:p>
    <w:p w14:paraId="043DE973">
      <w:pPr>
        <w:pStyle w:val="2"/>
        <w:spacing w:before="155" w:line="297" w:lineRule="auto"/>
        <w:ind w:left="699" w:firstLine="410"/>
        <w:rPr>
          <w:rFonts w:ascii="宋体" w:hAnsi="宋体" w:eastAsia="宋体" w:cs="宋体"/>
          <w:sz w:val="20"/>
          <w:szCs w:val="20"/>
        </w:rPr>
      </w:pPr>
      <w:r>
        <w:rPr>
          <w:rFonts w:ascii="宋体" w:hAnsi="宋体" w:eastAsia="宋体" w:cs="宋体"/>
          <w:spacing w:val="6"/>
          <w:sz w:val="20"/>
          <w:szCs w:val="20"/>
        </w:rPr>
        <w:t xml:space="preserve">2. </w:t>
      </w:r>
      <w:r>
        <w:rPr>
          <w:spacing w:val="6"/>
          <w:sz w:val="20"/>
          <w:szCs w:val="20"/>
        </w:rPr>
        <w:t>获得病因线索，提出病因假设</w:t>
      </w:r>
      <w:r>
        <w:rPr>
          <w:spacing w:val="73"/>
          <w:sz w:val="20"/>
          <w:szCs w:val="20"/>
        </w:rPr>
        <w:t xml:space="preserve"> </w:t>
      </w:r>
      <w:r>
        <w:rPr>
          <w:rFonts w:ascii="宋体" w:hAnsi="宋体" w:eastAsia="宋体" w:cs="宋体"/>
          <w:spacing w:val="6"/>
          <w:sz w:val="20"/>
          <w:szCs w:val="20"/>
        </w:rPr>
        <w:t>疾病或健康</w:t>
      </w:r>
      <w:r>
        <w:rPr>
          <w:rFonts w:ascii="宋体" w:hAnsi="宋体" w:eastAsia="宋体" w:cs="宋体"/>
          <w:spacing w:val="5"/>
          <w:sz w:val="20"/>
          <w:szCs w:val="20"/>
        </w:rPr>
        <w:t>状况在不同人群、时间和地区的分布差异可能</w:t>
      </w:r>
      <w:r>
        <w:rPr>
          <w:rFonts w:ascii="宋体" w:hAnsi="宋体" w:eastAsia="宋体" w:cs="宋体"/>
          <w:sz w:val="20"/>
          <w:szCs w:val="20"/>
        </w:rPr>
        <w:t xml:space="preserve">  </w:t>
      </w:r>
      <w:r>
        <w:rPr>
          <w:rFonts w:ascii="宋体" w:hAnsi="宋体" w:eastAsia="宋体" w:cs="宋体"/>
          <w:spacing w:val="5"/>
          <w:sz w:val="20"/>
          <w:szCs w:val="20"/>
        </w:rPr>
        <w:t>是由某些原因造成的。因此，比较疾病或健康状况在三间分</w:t>
      </w:r>
      <w:r>
        <w:rPr>
          <w:rFonts w:ascii="宋体" w:hAnsi="宋体" w:eastAsia="宋体" w:cs="宋体"/>
          <w:spacing w:val="4"/>
          <w:sz w:val="20"/>
          <w:szCs w:val="20"/>
        </w:rPr>
        <w:t>布的差异，可以为后续研究提供线索，</w:t>
      </w:r>
      <w:r>
        <w:rPr>
          <w:rFonts w:ascii="宋体" w:hAnsi="宋体" w:eastAsia="宋体" w:cs="宋体"/>
          <w:sz w:val="20"/>
          <w:szCs w:val="20"/>
        </w:rPr>
        <w:t xml:space="preserve"> </w:t>
      </w:r>
      <w:r>
        <w:rPr>
          <w:rFonts w:ascii="宋体" w:hAnsi="宋体" w:eastAsia="宋体" w:cs="宋体"/>
          <w:spacing w:val="1"/>
          <w:sz w:val="20"/>
          <w:szCs w:val="20"/>
        </w:rPr>
        <w:t>提出病因假设。</w:t>
      </w:r>
    </w:p>
    <w:p w14:paraId="25F697D6">
      <w:pPr>
        <w:spacing w:line="260" w:lineRule="auto"/>
        <w:rPr>
          <w:rFonts w:ascii="Arial"/>
          <w:sz w:val="21"/>
        </w:rPr>
      </w:pPr>
    </w:p>
    <w:p w14:paraId="3AE7B355">
      <w:pPr>
        <w:spacing w:line="261" w:lineRule="auto"/>
        <w:rPr>
          <w:rFonts w:ascii="Arial"/>
          <w:sz w:val="21"/>
        </w:rPr>
      </w:pPr>
    </w:p>
    <w:p w14:paraId="031C7648">
      <w:pPr>
        <w:pStyle w:val="2"/>
        <w:spacing w:before="97" w:line="222" w:lineRule="auto"/>
        <w:ind w:left="3924"/>
        <w:outlineLvl w:val="1"/>
      </w:pPr>
      <w:bookmarkStart w:id="67" w:name="bookmark39"/>
      <w:bookmarkEnd w:id="67"/>
      <w:r>
        <w:rPr>
          <w:b/>
          <w:bCs/>
          <w:spacing w:val="24"/>
        </w:rPr>
        <w:t>第二节现况研究</w:t>
      </w:r>
    </w:p>
    <w:p w14:paraId="7B539297">
      <w:pPr>
        <w:spacing w:line="387" w:lineRule="auto"/>
        <w:rPr>
          <w:rFonts w:ascii="Arial"/>
          <w:sz w:val="21"/>
        </w:rPr>
      </w:pPr>
    </w:p>
    <w:p w14:paraId="51D7916D">
      <w:pPr>
        <w:pStyle w:val="2"/>
        <w:spacing w:before="78" w:line="221" w:lineRule="auto"/>
        <w:ind w:left="1113"/>
        <w:outlineLvl w:val="2"/>
        <w:rPr>
          <w:sz w:val="24"/>
          <w:szCs w:val="24"/>
        </w:rPr>
      </w:pPr>
      <w:bookmarkStart w:id="68" w:name="bookmark40"/>
      <w:bookmarkEnd w:id="68"/>
      <w:r>
        <w:rPr>
          <w:b/>
          <w:bCs/>
          <w:spacing w:val="-12"/>
          <w:sz w:val="24"/>
          <w:szCs w:val="24"/>
        </w:rPr>
        <w:t>一</w:t>
      </w:r>
      <w:r>
        <w:rPr>
          <w:spacing w:val="-41"/>
          <w:sz w:val="24"/>
          <w:szCs w:val="24"/>
        </w:rPr>
        <w:t xml:space="preserve"> </w:t>
      </w:r>
      <w:r>
        <w:rPr>
          <w:b/>
          <w:bCs/>
          <w:spacing w:val="-12"/>
          <w:sz w:val="24"/>
          <w:szCs w:val="24"/>
        </w:rPr>
        <w:t>、概述</w:t>
      </w:r>
    </w:p>
    <w:p w14:paraId="7A27EA3B">
      <w:pPr>
        <w:pStyle w:val="2"/>
        <w:spacing w:before="266" w:line="221" w:lineRule="auto"/>
        <w:ind w:left="1110"/>
        <w:rPr>
          <w:sz w:val="24"/>
          <w:szCs w:val="24"/>
        </w:rPr>
      </w:pPr>
      <w:r>
        <w:rPr>
          <w:spacing w:val="3"/>
          <w:sz w:val="24"/>
          <w:szCs w:val="24"/>
        </w:rPr>
        <w:t>(一)概念</w:t>
      </w:r>
    </w:p>
    <w:p w14:paraId="2FDA7DAF">
      <w:pPr>
        <w:spacing w:before="104" w:line="341" w:lineRule="auto"/>
        <w:ind w:left="699" w:right="91" w:firstLine="410"/>
        <w:jc w:val="both"/>
        <w:rPr>
          <w:rFonts w:ascii="宋体" w:hAnsi="宋体" w:eastAsia="宋体" w:cs="宋体"/>
          <w:sz w:val="20"/>
          <w:szCs w:val="20"/>
        </w:rPr>
      </w:pPr>
      <w:r>
        <w:rPr>
          <w:rFonts w:ascii="宋体" w:hAnsi="宋体" w:eastAsia="宋体" w:cs="宋体"/>
          <w:spacing w:val="7"/>
          <w:sz w:val="20"/>
          <w:szCs w:val="20"/>
        </w:rPr>
        <w:t>现况研究是通过收集特定时点(或期间)和特定范围内人群中疾病或健康状况和相关因</w:t>
      </w:r>
      <w:r>
        <w:rPr>
          <w:rFonts w:ascii="宋体" w:hAnsi="宋体" w:eastAsia="宋体" w:cs="宋体"/>
          <w:spacing w:val="6"/>
          <w:sz w:val="20"/>
          <w:szCs w:val="20"/>
        </w:rPr>
        <w:t>素的资</w:t>
      </w:r>
      <w:r>
        <w:rPr>
          <w:rFonts w:ascii="宋体" w:hAnsi="宋体" w:eastAsia="宋体" w:cs="宋体"/>
          <w:sz w:val="20"/>
          <w:szCs w:val="20"/>
        </w:rPr>
        <w:t xml:space="preserve"> </w:t>
      </w:r>
      <w:r>
        <w:rPr>
          <w:rFonts w:ascii="宋体" w:hAnsi="宋体" w:eastAsia="宋体" w:cs="宋体"/>
          <w:spacing w:val="2"/>
          <w:sz w:val="20"/>
          <w:szCs w:val="20"/>
        </w:rPr>
        <w:t>料，描述疾病或健康状况在不同特征人群中的分布，以及观察某些因素与疾病之间的关联。由于暴</w:t>
      </w:r>
      <w:r>
        <w:rPr>
          <w:rFonts w:ascii="宋体" w:hAnsi="宋体" w:eastAsia="宋体" w:cs="宋体"/>
          <w:sz w:val="20"/>
          <w:szCs w:val="20"/>
        </w:rPr>
        <w:t xml:space="preserve"> </w:t>
      </w:r>
      <w:r>
        <w:rPr>
          <w:rFonts w:ascii="宋体" w:hAnsi="宋体" w:eastAsia="宋体" w:cs="宋体"/>
          <w:spacing w:val="2"/>
          <w:sz w:val="20"/>
          <w:szCs w:val="20"/>
        </w:rPr>
        <w:t>露(特征)和疾病状态的资料都是调查当时获得的，故称为现况研究。从时间上来说，这类研究工作</w:t>
      </w:r>
      <w:r>
        <w:rPr>
          <w:rFonts w:ascii="宋体" w:hAnsi="宋体" w:eastAsia="宋体" w:cs="宋体"/>
          <w:spacing w:val="4"/>
          <w:sz w:val="20"/>
          <w:szCs w:val="20"/>
        </w:rPr>
        <w:t xml:space="preserve"> </w:t>
      </w:r>
      <w:r>
        <w:rPr>
          <w:rFonts w:ascii="宋体" w:hAnsi="宋体" w:eastAsia="宋体" w:cs="宋体"/>
          <w:spacing w:val="3"/>
          <w:sz w:val="20"/>
          <w:szCs w:val="20"/>
        </w:rPr>
        <w:t>是在某一时点或在短时间内完成的，故又称</w:t>
      </w:r>
      <w:r>
        <w:rPr>
          <w:rFonts w:ascii="宋体" w:hAnsi="宋体" w:eastAsia="宋体" w:cs="宋体"/>
          <w:spacing w:val="2"/>
          <w:sz w:val="20"/>
          <w:szCs w:val="20"/>
        </w:rPr>
        <w:t>为横断面研究</w:t>
      </w:r>
      <w:r>
        <w:rPr>
          <w:rFonts w:ascii="Times New Roman" w:hAnsi="Times New Roman" w:eastAsia="Times New Roman" w:cs="Times New Roman"/>
          <w:spacing w:val="2"/>
          <w:sz w:val="20"/>
          <w:szCs w:val="20"/>
        </w:rPr>
        <w:t>(</w:t>
      </w:r>
      <w:r>
        <w:rPr>
          <w:rFonts w:ascii="Times New Roman" w:hAnsi="Times New Roman" w:eastAsia="Times New Roman" w:cs="Times New Roman"/>
          <w:sz w:val="20"/>
          <w:szCs w:val="20"/>
        </w:rPr>
        <w:t>cross</w:t>
      </w:r>
      <w:r>
        <w:rPr>
          <w:rFonts w:ascii="Times New Roman" w:hAnsi="Times New Roman" w:eastAsia="Times New Roman" w:cs="Times New Roman"/>
          <w:spacing w:val="2"/>
          <w:sz w:val="20"/>
          <w:szCs w:val="20"/>
        </w:rPr>
        <w:t>-</w:t>
      </w:r>
      <w:r>
        <w:rPr>
          <w:rFonts w:ascii="Times New Roman" w:hAnsi="Times New Roman" w:eastAsia="Times New Roman" w:cs="Times New Roman"/>
          <w:sz w:val="20"/>
          <w:szCs w:val="20"/>
        </w:rPr>
        <w:t>sectional</w:t>
      </w:r>
      <w:r>
        <w:rPr>
          <w:rFonts w:ascii="Times New Roman" w:hAnsi="Times New Roman" w:eastAsia="Times New Roman" w:cs="Times New Roman"/>
          <w:spacing w:val="2"/>
          <w:sz w:val="20"/>
          <w:szCs w:val="20"/>
        </w:rPr>
        <w:t xml:space="preserve">     </w:t>
      </w:r>
      <w:r>
        <w:rPr>
          <w:rFonts w:ascii="Times New Roman" w:hAnsi="Times New Roman" w:eastAsia="Times New Roman" w:cs="Times New Roman"/>
          <w:sz w:val="20"/>
          <w:szCs w:val="20"/>
        </w:rPr>
        <w:t>study</w:t>
      </w:r>
      <w:r>
        <w:rPr>
          <w:rFonts w:ascii="Times New Roman" w:hAnsi="Times New Roman" w:eastAsia="Times New Roman" w:cs="Times New Roman"/>
          <w:spacing w:val="2"/>
          <w:sz w:val="20"/>
          <w:szCs w:val="20"/>
        </w:rPr>
        <w:t>)</w:t>
      </w:r>
      <w:r>
        <w:rPr>
          <w:rFonts w:ascii="宋体" w:hAnsi="宋体" w:eastAsia="宋体" w:cs="宋体"/>
          <w:spacing w:val="2"/>
          <w:sz w:val="20"/>
          <w:szCs w:val="20"/>
        </w:rPr>
        <w:t>。从观察分析指标</w:t>
      </w:r>
      <w:r>
        <w:rPr>
          <w:rFonts w:ascii="宋体" w:hAnsi="宋体" w:eastAsia="宋体" w:cs="宋体"/>
          <w:sz w:val="20"/>
          <w:szCs w:val="20"/>
        </w:rPr>
        <w:t xml:space="preserve"> 来说，由于这类研究所得到的频率指标一般为患病率，故也称之为患病率研究</w:t>
      </w:r>
      <w:r>
        <w:rPr>
          <w:rFonts w:ascii="Times New Roman" w:hAnsi="Times New Roman" w:eastAsia="Times New Roman" w:cs="Times New Roman"/>
          <w:sz w:val="20"/>
          <w:szCs w:val="20"/>
        </w:rPr>
        <w:t>(prevalence   study)</w:t>
      </w:r>
      <w:r>
        <w:rPr>
          <w:rFonts w:ascii="宋体" w:hAnsi="宋体" w:eastAsia="宋体" w:cs="宋体"/>
          <w:sz w:val="20"/>
          <w:szCs w:val="20"/>
        </w:rPr>
        <w:t>。</w:t>
      </w:r>
    </w:p>
    <w:p w14:paraId="33AADBEE">
      <w:pPr>
        <w:pStyle w:val="2"/>
        <w:spacing w:before="1" w:line="221" w:lineRule="auto"/>
        <w:ind w:left="1113"/>
        <w:rPr>
          <w:sz w:val="24"/>
          <w:szCs w:val="24"/>
        </w:rPr>
      </w:pPr>
      <w:r>
        <w:rPr>
          <w:b/>
          <w:bCs/>
          <w:sz w:val="24"/>
          <w:szCs w:val="24"/>
        </w:rPr>
        <w:t>(二)特点</w:t>
      </w:r>
    </w:p>
    <w:p w14:paraId="547B5A71">
      <w:pPr>
        <w:spacing w:before="114" w:line="343" w:lineRule="auto"/>
        <w:ind w:left="699" w:right="101" w:firstLine="410"/>
        <w:rPr>
          <w:rFonts w:ascii="宋体" w:hAnsi="宋体" w:eastAsia="宋体" w:cs="宋体"/>
          <w:sz w:val="20"/>
          <w:szCs w:val="20"/>
        </w:rPr>
      </w:pPr>
      <w:r>
        <w:rPr>
          <w:rFonts w:ascii="宋体" w:hAnsi="宋体" w:eastAsia="宋体" w:cs="宋体"/>
          <w:spacing w:val="7"/>
          <w:sz w:val="20"/>
          <w:szCs w:val="20"/>
        </w:rPr>
        <w:t>一项设计良好的现况研究不仅可以准确描述疾病或健康状况在某一人群中的分布，还可以同</w:t>
      </w:r>
      <w:r>
        <w:rPr>
          <w:rFonts w:ascii="宋体" w:hAnsi="宋体" w:eastAsia="宋体" w:cs="宋体"/>
          <w:spacing w:val="6"/>
          <w:sz w:val="20"/>
          <w:szCs w:val="20"/>
        </w:rPr>
        <w:t xml:space="preserve"> </w:t>
      </w:r>
      <w:r>
        <w:rPr>
          <w:rFonts w:ascii="宋体" w:hAnsi="宋体" w:eastAsia="宋体" w:cs="宋体"/>
          <w:spacing w:val="2"/>
          <w:sz w:val="20"/>
          <w:szCs w:val="20"/>
        </w:rPr>
        <w:t>时探讨多个暴露因素与多种疾病之间的关系。</w:t>
      </w:r>
    </w:p>
    <w:p w14:paraId="1480C8E5">
      <w:pPr>
        <w:pStyle w:val="2"/>
        <w:spacing w:before="5" w:line="311" w:lineRule="auto"/>
        <w:ind w:left="699" w:right="49" w:firstLine="410"/>
        <w:rPr>
          <w:rFonts w:ascii="宋体" w:hAnsi="宋体" w:eastAsia="宋体" w:cs="宋体"/>
          <w:sz w:val="20"/>
          <w:szCs w:val="20"/>
        </w:rPr>
      </w:pPr>
      <w:r>
        <w:rPr>
          <w:rFonts w:ascii="宋体" w:hAnsi="宋体" w:eastAsia="宋体" w:cs="宋体"/>
          <w:spacing w:val="7"/>
          <w:sz w:val="20"/>
          <w:szCs w:val="20"/>
        </w:rPr>
        <w:t xml:space="preserve">1. </w:t>
      </w:r>
      <w:r>
        <w:rPr>
          <w:spacing w:val="7"/>
          <w:sz w:val="20"/>
          <w:szCs w:val="20"/>
        </w:rPr>
        <w:t>现况研究一般在设计阶段不设对照组</w:t>
      </w:r>
      <w:r>
        <w:rPr>
          <w:spacing w:val="72"/>
          <w:sz w:val="20"/>
          <w:szCs w:val="20"/>
        </w:rPr>
        <w:t xml:space="preserve"> </w:t>
      </w:r>
      <w:r>
        <w:rPr>
          <w:rFonts w:ascii="宋体" w:hAnsi="宋体" w:eastAsia="宋体" w:cs="宋体"/>
          <w:spacing w:val="7"/>
          <w:sz w:val="20"/>
          <w:szCs w:val="20"/>
        </w:rPr>
        <w:t>现况</w:t>
      </w:r>
      <w:r>
        <w:rPr>
          <w:rFonts w:ascii="宋体" w:hAnsi="宋体" w:eastAsia="宋体" w:cs="宋体"/>
          <w:spacing w:val="6"/>
          <w:sz w:val="20"/>
          <w:szCs w:val="20"/>
        </w:rPr>
        <w:t>研究在开始时，根据研究目的确定研究对象，</w:t>
      </w:r>
      <w:r>
        <w:rPr>
          <w:rFonts w:ascii="宋体" w:hAnsi="宋体" w:eastAsia="宋体" w:cs="宋体"/>
          <w:sz w:val="20"/>
          <w:szCs w:val="20"/>
        </w:rPr>
        <w:t xml:space="preserve"> </w:t>
      </w:r>
      <w:r>
        <w:rPr>
          <w:rFonts w:ascii="宋体" w:hAnsi="宋体" w:eastAsia="宋体" w:cs="宋体"/>
          <w:spacing w:val="8"/>
          <w:sz w:val="20"/>
          <w:szCs w:val="20"/>
        </w:rPr>
        <w:t>然后调查研究对象中每个个体在某一特定时点上的暴露(特征)和疾病的状态</w:t>
      </w:r>
      <w:r>
        <w:rPr>
          <w:rFonts w:ascii="宋体" w:hAnsi="宋体" w:eastAsia="宋体" w:cs="宋体"/>
          <w:spacing w:val="7"/>
          <w:sz w:val="20"/>
          <w:szCs w:val="20"/>
        </w:rPr>
        <w:t>，而没有特别的对照</w:t>
      </w:r>
      <w:r>
        <w:rPr>
          <w:rFonts w:ascii="宋体" w:hAnsi="宋体" w:eastAsia="宋体" w:cs="宋体"/>
          <w:sz w:val="20"/>
          <w:szCs w:val="20"/>
        </w:rPr>
        <w:t xml:space="preserve"> </w:t>
      </w:r>
      <w:r>
        <w:rPr>
          <w:rFonts w:ascii="宋体" w:hAnsi="宋体" w:eastAsia="宋体" w:cs="宋体"/>
          <w:spacing w:val="7"/>
          <w:sz w:val="20"/>
          <w:szCs w:val="20"/>
        </w:rPr>
        <w:t>组。但是在资料处理与分析时，可以根据暴露(特征)的状态或是否患病的状态进行组间比较。在</w:t>
      </w:r>
      <w:r>
        <w:rPr>
          <w:rFonts w:ascii="宋体" w:hAnsi="宋体" w:eastAsia="宋体" w:cs="宋体"/>
          <w:spacing w:val="8"/>
          <w:sz w:val="20"/>
          <w:szCs w:val="20"/>
        </w:rPr>
        <w:t xml:space="preserve"> </w:t>
      </w:r>
      <w:r>
        <w:rPr>
          <w:rFonts w:ascii="宋体" w:hAnsi="宋体" w:eastAsia="宋体" w:cs="宋体"/>
          <w:sz w:val="20"/>
          <w:szCs w:val="20"/>
        </w:rPr>
        <w:t>考虑病因线索时，往往将其中某一组视为对照组。</w:t>
      </w:r>
    </w:p>
    <w:p w14:paraId="0A200791">
      <w:pPr>
        <w:pStyle w:val="2"/>
        <w:spacing w:before="164" w:line="311" w:lineRule="auto"/>
        <w:ind w:left="699" w:right="85" w:firstLine="410"/>
        <w:rPr>
          <w:rFonts w:ascii="宋体" w:hAnsi="宋体" w:eastAsia="宋体" w:cs="宋体"/>
          <w:sz w:val="20"/>
          <w:szCs w:val="20"/>
        </w:rPr>
      </w:pPr>
      <w:r>
        <w:rPr>
          <w:rFonts w:ascii="宋体" w:hAnsi="宋体" w:eastAsia="宋体" w:cs="宋体"/>
          <w:spacing w:val="5"/>
          <w:sz w:val="20"/>
          <w:szCs w:val="20"/>
        </w:rPr>
        <w:t xml:space="preserve">2. </w:t>
      </w:r>
      <w:r>
        <w:rPr>
          <w:spacing w:val="5"/>
          <w:sz w:val="20"/>
          <w:szCs w:val="20"/>
        </w:rPr>
        <w:t>现况研究一般在短时间内完成</w:t>
      </w:r>
      <w:r>
        <w:rPr>
          <w:spacing w:val="74"/>
          <w:sz w:val="20"/>
          <w:szCs w:val="20"/>
        </w:rPr>
        <w:t xml:space="preserve"> </w:t>
      </w:r>
      <w:r>
        <w:rPr>
          <w:rFonts w:ascii="宋体" w:hAnsi="宋体" w:eastAsia="宋体" w:cs="宋体"/>
          <w:spacing w:val="5"/>
          <w:sz w:val="20"/>
          <w:szCs w:val="20"/>
        </w:rPr>
        <w:t>现况研究关注的是某一特定时点上或某一特定时期内某一</w:t>
      </w:r>
      <w:r>
        <w:rPr>
          <w:rFonts w:ascii="宋体" w:hAnsi="宋体" w:eastAsia="宋体" w:cs="宋体"/>
          <w:sz w:val="20"/>
          <w:szCs w:val="20"/>
        </w:rPr>
        <w:t xml:space="preserve"> </w:t>
      </w:r>
      <w:r>
        <w:rPr>
          <w:rFonts w:ascii="宋体" w:hAnsi="宋体" w:eastAsia="宋体" w:cs="宋体"/>
          <w:spacing w:val="3"/>
          <w:sz w:val="20"/>
          <w:szCs w:val="20"/>
        </w:rPr>
        <w:t>群体中暴露与疾病的状况或联系。所谓特定时点，并不</w:t>
      </w:r>
      <w:r>
        <w:rPr>
          <w:rFonts w:ascii="宋体" w:hAnsi="宋体" w:eastAsia="宋体" w:cs="宋体"/>
          <w:spacing w:val="2"/>
          <w:sz w:val="20"/>
          <w:szCs w:val="20"/>
        </w:rPr>
        <w:t>强调必须是某年某月的某一特定时间，对于</w:t>
      </w:r>
      <w:r>
        <w:rPr>
          <w:rFonts w:ascii="宋体" w:hAnsi="宋体" w:eastAsia="宋体" w:cs="宋体"/>
          <w:sz w:val="20"/>
          <w:szCs w:val="20"/>
        </w:rPr>
        <w:t xml:space="preserve"> </w:t>
      </w:r>
      <w:r>
        <w:rPr>
          <w:rFonts w:ascii="宋体" w:hAnsi="宋体" w:eastAsia="宋体" w:cs="宋体"/>
          <w:spacing w:val="3"/>
          <w:sz w:val="20"/>
          <w:szCs w:val="20"/>
        </w:rPr>
        <w:t>该群体中的每一个个体，时点所指的具体时间可能不同。例如</w:t>
      </w:r>
      <w:r>
        <w:rPr>
          <w:rFonts w:ascii="宋体" w:hAnsi="宋体" w:eastAsia="宋体" w:cs="宋体"/>
          <w:spacing w:val="2"/>
          <w:sz w:val="20"/>
          <w:szCs w:val="20"/>
        </w:rPr>
        <w:t>，在某地区人群中调查高血压的患病</w:t>
      </w:r>
      <w:r>
        <w:rPr>
          <w:rFonts w:ascii="宋体" w:hAnsi="宋体" w:eastAsia="宋体" w:cs="宋体"/>
          <w:sz w:val="20"/>
          <w:szCs w:val="20"/>
        </w:rPr>
        <w:t xml:space="preserve"> </w:t>
      </w:r>
      <w:r>
        <w:rPr>
          <w:rFonts w:ascii="宋体" w:hAnsi="宋体" w:eastAsia="宋体" w:cs="宋体"/>
          <w:spacing w:val="3"/>
          <w:sz w:val="20"/>
          <w:szCs w:val="20"/>
        </w:rPr>
        <w:t>情况，对每个个体来说，特定时点是指测量血压</w:t>
      </w:r>
      <w:r>
        <w:rPr>
          <w:rFonts w:ascii="宋体" w:hAnsi="宋体" w:eastAsia="宋体" w:cs="宋体"/>
          <w:spacing w:val="2"/>
          <w:sz w:val="20"/>
          <w:szCs w:val="20"/>
        </w:rPr>
        <w:t>、诊断是否为高血压的时间。如果这些不同的具体</w:t>
      </w:r>
    </w:p>
    <w:p w14:paraId="36BDEFE4">
      <w:pPr>
        <w:spacing w:line="311" w:lineRule="auto"/>
        <w:rPr>
          <w:rFonts w:ascii="宋体" w:hAnsi="宋体" w:eastAsia="宋体" w:cs="宋体"/>
          <w:sz w:val="20"/>
          <w:szCs w:val="20"/>
        </w:rPr>
        <w:sectPr>
          <w:footerReference r:id="rId64" w:type="default"/>
          <w:pgSz w:w="11900" w:h="16820"/>
          <w:pgMar w:top="400" w:right="1540" w:bottom="849" w:left="860" w:header="0" w:footer="669" w:gutter="0"/>
          <w:cols w:space="720" w:num="1"/>
        </w:sectPr>
      </w:pPr>
    </w:p>
    <w:p w14:paraId="62A66222">
      <w:pPr>
        <w:pStyle w:val="2"/>
        <w:spacing w:before="307" w:line="222" w:lineRule="auto"/>
        <w:ind w:left="7660"/>
        <w:rPr>
          <w:sz w:val="21"/>
          <w:szCs w:val="21"/>
        </w:rPr>
      </w:pPr>
      <w:r>
        <w:rPr>
          <w:spacing w:val="-22"/>
          <w:sz w:val="21"/>
          <w:szCs w:val="21"/>
        </w:rPr>
        <w:t>第三章 描述性研究</w:t>
      </w:r>
    </w:p>
    <w:p w14:paraId="73E02C2C">
      <w:pPr>
        <w:spacing w:line="268" w:lineRule="auto"/>
        <w:rPr>
          <w:rFonts w:ascii="Arial"/>
          <w:sz w:val="21"/>
        </w:rPr>
      </w:pPr>
    </w:p>
    <w:p w14:paraId="267DD5BB">
      <w:pPr>
        <w:spacing w:line="269" w:lineRule="auto"/>
        <w:rPr>
          <w:rFonts w:ascii="Arial"/>
          <w:sz w:val="21"/>
        </w:rPr>
      </w:pPr>
    </w:p>
    <w:p w14:paraId="63A4B8AD">
      <w:pPr>
        <w:spacing w:before="68" w:line="318" w:lineRule="auto"/>
        <w:ind w:right="649"/>
        <w:jc w:val="both"/>
        <w:rPr>
          <w:rFonts w:ascii="宋体" w:hAnsi="宋体" w:eastAsia="宋体" w:cs="宋体"/>
          <w:sz w:val="21"/>
          <w:szCs w:val="21"/>
        </w:rPr>
      </w:pPr>
      <w:r>
        <w:rPr>
          <w:rFonts w:ascii="宋体" w:hAnsi="宋体" w:eastAsia="宋体" w:cs="宋体"/>
          <w:spacing w:val="4"/>
          <w:sz w:val="21"/>
          <w:szCs w:val="21"/>
        </w:rPr>
        <w:t>时间持续得太久，就会对调查结果产生影响；或者所调查的疾病是急性的，随着时间的变化其发病</w:t>
      </w:r>
      <w:r>
        <w:rPr>
          <w:rFonts w:ascii="宋体" w:hAnsi="宋体" w:eastAsia="宋体" w:cs="宋体"/>
          <w:spacing w:val="11"/>
          <w:sz w:val="21"/>
          <w:szCs w:val="21"/>
        </w:rPr>
        <w:t xml:space="preserve"> </w:t>
      </w:r>
      <w:r>
        <w:rPr>
          <w:rFonts w:ascii="宋体" w:hAnsi="宋体" w:eastAsia="宋体" w:cs="宋体"/>
          <w:spacing w:val="5"/>
          <w:sz w:val="21"/>
          <w:szCs w:val="21"/>
        </w:rPr>
        <w:t>率会有不同，此时结果就很难解释。理论上，调查时间应该越集</w:t>
      </w:r>
      <w:r>
        <w:rPr>
          <w:rFonts w:ascii="宋体" w:hAnsi="宋体" w:eastAsia="宋体" w:cs="宋体"/>
          <w:spacing w:val="4"/>
          <w:sz w:val="21"/>
          <w:szCs w:val="21"/>
        </w:rPr>
        <w:t>中越好，如人口普查的时间点定在</w:t>
      </w:r>
      <w:r>
        <w:rPr>
          <w:rFonts w:ascii="宋体" w:hAnsi="宋体" w:eastAsia="宋体" w:cs="宋体"/>
          <w:sz w:val="21"/>
          <w:szCs w:val="21"/>
        </w:rPr>
        <w:t xml:space="preserve"> </w:t>
      </w:r>
      <w:r>
        <w:rPr>
          <w:rFonts w:ascii="宋体" w:hAnsi="宋体" w:eastAsia="宋体" w:cs="宋体"/>
          <w:spacing w:val="22"/>
          <w:sz w:val="21"/>
          <w:szCs w:val="21"/>
        </w:rPr>
        <w:t>11月1日零点。</w:t>
      </w:r>
    </w:p>
    <w:p w14:paraId="6589E685">
      <w:pPr>
        <w:pStyle w:val="2"/>
        <w:spacing w:before="31" w:line="306" w:lineRule="auto"/>
        <w:ind w:right="576" w:firstLine="450"/>
        <w:rPr>
          <w:rFonts w:ascii="宋体" w:hAnsi="宋体" w:eastAsia="宋体" w:cs="宋体"/>
          <w:sz w:val="21"/>
          <w:szCs w:val="21"/>
        </w:rPr>
      </w:pPr>
      <w:r>
        <w:rPr>
          <w:rFonts w:ascii="宋体" w:hAnsi="宋体" w:eastAsia="宋体" w:cs="宋体"/>
          <w:spacing w:val="7"/>
          <w:sz w:val="21"/>
          <w:szCs w:val="21"/>
        </w:rPr>
        <w:t xml:space="preserve">3. </w:t>
      </w:r>
      <w:r>
        <w:rPr>
          <w:spacing w:val="7"/>
          <w:sz w:val="21"/>
          <w:szCs w:val="21"/>
        </w:rPr>
        <w:t>所调查的疾病状态和暴露(特征)是同时存在的</w:t>
      </w:r>
      <w:r>
        <w:rPr>
          <w:spacing w:val="77"/>
          <w:sz w:val="21"/>
          <w:szCs w:val="21"/>
        </w:rPr>
        <w:t xml:space="preserve"> </w:t>
      </w:r>
      <w:r>
        <w:rPr>
          <w:rFonts w:ascii="宋体" w:hAnsi="宋体" w:eastAsia="宋体" w:cs="宋体"/>
          <w:spacing w:val="7"/>
          <w:sz w:val="21"/>
          <w:szCs w:val="21"/>
        </w:rPr>
        <w:t>进行现况研究时，由于疾病</w:t>
      </w:r>
      <w:r>
        <w:rPr>
          <w:rFonts w:ascii="宋体" w:hAnsi="宋体" w:eastAsia="宋体" w:cs="宋体"/>
          <w:spacing w:val="6"/>
          <w:sz w:val="21"/>
          <w:szCs w:val="21"/>
        </w:rPr>
        <w:t>状态与发现的</w:t>
      </w:r>
      <w:r>
        <w:rPr>
          <w:rFonts w:ascii="宋体" w:hAnsi="宋体" w:eastAsia="宋体" w:cs="宋体"/>
          <w:sz w:val="21"/>
          <w:szCs w:val="21"/>
        </w:rPr>
        <w:t xml:space="preserve">  </w:t>
      </w:r>
      <w:r>
        <w:rPr>
          <w:rFonts w:ascii="宋体" w:hAnsi="宋体" w:eastAsia="宋体" w:cs="宋体"/>
          <w:spacing w:val="2"/>
          <w:sz w:val="21"/>
          <w:szCs w:val="21"/>
        </w:rPr>
        <w:t>某些因素是在调查中同时得到的，因果并存， 一般不能确定二者之间的时间顺序关系，所揭示的暴</w:t>
      </w:r>
      <w:r>
        <w:rPr>
          <w:rFonts w:ascii="宋体" w:hAnsi="宋体" w:eastAsia="宋体" w:cs="宋体"/>
          <w:spacing w:val="4"/>
          <w:sz w:val="21"/>
          <w:szCs w:val="21"/>
        </w:rPr>
        <w:t xml:space="preserve"> </w:t>
      </w:r>
      <w:r>
        <w:rPr>
          <w:rFonts w:ascii="宋体" w:hAnsi="宋体" w:eastAsia="宋体" w:cs="宋体"/>
          <w:sz w:val="21"/>
          <w:szCs w:val="21"/>
        </w:rPr>
        <w:t>露与疾病之间的统计学关联仅为建立因果联系提供线索，而不能据此作出因果推断。例如，</w:t>
      </w:r>
      <w:r>
        <w:rPr>
          <w:rFonts w:ascii="宋体" w:hAnsi="宋体" w:eastAsia="宋体" w:cs="宋体"/>
          <w:spacing w:val="72"/>
          <w:sz w:val="21"/>
          <w:szCs w:val="21"/>
        </w:rPr>
        <w:t xml:space="preserve"> </w:t>
      </w:r>
      <w:r>
        <w:rPr>
          <w:rFonts w:ascii="宋体" w:hAnsi="宋体" w:eastAsia="宋体" w:cs="宋体"/>
          <w:sz w:val="21"/>
          <w:szCs w:val="21"/>
        </w:rPr>
        <w:t xml:space="preserve">一项现  </w:t>
      </w:r>
      <w:r>
        <w:rPr>
          <w:rFonts w:ascii="宋体" w:hAnsi="宋体" w:eastAsia="宋体" w:cs="宋体"/>
          <w:spacing w:val="7"/>
          <w:sz w:val="21"/>
          <w:szCs w:val="21"/>
        </w:rPr>
        <w:t>况研究发现，炎症性肠病病人比非病人的血</w:t>
      </w:r>
      <w:r>
        <w:rPr>
          <w:rFonts w:ascii="宋体" w:hAnsi="宋体" w:eastAsia="宋体" w:cs="宋体"/>
          <w:spacing w:val="6"/>
          <w:sz w:val="21"/>
          <w:szCs w:val="21"/>
        </w:rPr>
        <w:t>清25-羟基维生素</w:t>
      </w:r>
      <w:r>
        <w:rPr>
          <w:rFonts w:ascii="Times New Roman" w:hAnsi="Times New Roman" w:eastAsia="Times New Roman" w:cs="Times New Roman"/>
          <w:spacing w:val="6"/>
          <w:sz w:val="21"/>
          <w:szCs w:val="21"/>
        </w:rPr>
        <w:t xml:space="preserve">D </w:t>
      </w:r>
      <w:r>
        <w:rPr>
          <w:rFonts w:ascii="宋体" w:hAnsi="宋体" w:eastAsia="宋体" w:cs="宋体"/>
          <w:spacing w:val="6"/>
          <w:sz w:val="21"/>
          <w:szCs w:val="21"/>
        </w:rPr>
        <w:t>水平要低，且有统计学意义，提示</w:t>
      </w:r>
      <w:r>
        <w:rPr>
          <w:rFonts w:ascii="宋体" w:hAnsi="宋体" w:eastAsia="宋体" w:cs="宋体"/>
          <w:sz w:val="21"/>
          <w:szCs w:val="21"/>
        </w:rPr>
        <w:t xml:space="preserve">  </w:t>
      </w:r>
      <w:r>
        <w:rPr>
          <w:rFonts w:ascii="宋体" w:hAnsi="宋体" w:eastAsia="宋体" w:cs="宋体"/>
          <w:spacing w:val="10"/>
          <w:sz w:val="21"/>
          <w:szCs w:val="21"/>
        </w:rPr>
        <w:t>低血清维生素</w:t>
      </w:r>
      <w:r>
        <w:rPr>
          <w:rFonts w:ascii="Times New Roman" w:hAnsi="Times New Roman" w:eastAsia="Times New Roman" w:cs="Times New Roman"/>
          <w:spacing w:val="10"/>
          <w:sz w:val="21"/>
          <w:szCs w:val="21"/>
        </w:rPr>
        <w:t xml:space="preserve">D </w:t>
      </w:r>
      <w:r>
        <w:rPr>
          <w:rFonts w:ascii="宋体" w:hAnsi="宋体" w:eastAsia="宋体" w:cs="宋体"/>
          <w:spacing w:val="10"/>
          <w:sz w:val="21"/>
          <w:szCs w:val="21"/>
        </w:rPr>
        <w:t>水平与炎症性肠病存在关联，但是很难</w:t>
      </w:r>
      <w:r>
        <w:rPr>
          <w:rFonts w:ascii="宋体" w:hAnsi="宋体" w:eastAsia="宋体" w:cs="宋体"/>
          <w:spacing w:val="9"/>
          <w:sz w:val="21"/>
          <w:szCs w:val="21"/>
        </w:rPr>
        <w:t>确定是低血清维生素</w:t>
      </w:r>
      <w:r>
        <w:rPr>
          <w:rFonts w:ascii="Times New Roman" w:hAnsi="Times New Roman" w:eastAsia="Times New Roman" w:cs="Times New Roman"/>
          <w:spacing w:val="9"/>
          <w:sz w:val="21"/>
          <w:szCs w:val="21"/>
        </w:rPr>
        <w:t xml:space="preserve">D </w:t>
      </w:r>
      <w:r>
        <w:rPr>
          <w:rFonts w:ascii="宋体" w:hAnsi="宋体" w:eastAsia="宋体" w:cs="宋体"/>
          <w:spacing w:val="9"/>
          <w:sz w:val="21"/>
          <w:szCs w:val="21"/>
        </w:rPr>
        <w:t>水平增加了患炎症</w:t>
      </w:r>
      <w:r>
        <w:rPr>
          <w:rFonts w:ascii="宋体" w:hAnsi="宋体" w:eastAsia="宋体" w:cs="宋体"/>
          <w:sz w:val="21"/>
          <w:szCs w:val="21"/>
        </w:rPr>
        <w:t xml:space="preserve"> </w:t>
      </w:r>
      <w:r>
        <w:rPr>
          <w:rFonts w:ascii="宋体" w:hAnsi="宋体" w:eastAsia="宋体" w:cs="宋体"/>
          <w:spacing w:val="5"/>
          <w:sz w:val="21"/>
          <w:szCs w:val="21"/>
        </w:rPr>
        <w:t>性肠病的风险，还是炎症性肠病降低了血清维生素</w:t>
      </w:r>
      <w:r>
        <w:rPr>
          <w:rFonts w:ascii="Times New Roman" w:hAnsi="Times New Roman" w:eastAsia="Times New Roman" w:cs="Times New Roman"/>
          <w:spacing w:val="5"/>
          <w:sz w:val="21"/>
          <w:szCs w:val="21"/>
        </w:rPr>
        <w:t xml:space="preserve">D </w:t>
      </w:r>
      <w:r>
        <w:rPr>
          <w:rFonts w:ascii="宋体" w:hAnsi="宋体" w:eastAsia="宋体" w:cs="宋体"/>
          <w:spacing w:val="5"/>
          <w:sz w:val="21"/>
          <w:szCs w:val="21"/>
        </w:rPr>
        <w:t>水平。此</w:t>
      </w:r>
      <w:r>
        <w:rPr>
          <w:rFonts w:ascii="宋体" w:hAnsi="宋体" w:eastAsia="宋体" w:cs="宋体"/>
          <w:spacing w:val="4"/>
          <w:sz w:val="21"/>
          <w:szCs w:val="21"/>
        </w:rPr>
        <w:t>外，在现况研究中，研究对象一般都</w:t>
      </w:r>
      <w:r>
        <w:rPr>
          <w:rFonts w:ascii="宋体" w:hAnsi="宋体" w:eastAsia="宋体" w:cs="宋体"/>
          <w:sz w:val="21"/>
          <w:szCs w:val="21"/>
        </w:rPr>
        <w:t xml:space="preserve"> </w:t>
      </w:r>
      <w:r>
        <w:rPr>
          <w:rFonts w:ascii="宋体" w:hAnsi="宋体" w:eastAsia="宋体" w:cs="宋体"/>
          <w:spacing w:val="12"/>
          <w:sz w:val="21"/>
          <w:szCs w:val="21"/>
        </w:rPr>
        <w:t>是存活期较长的病人。而某些病程较短的疾病病人(如迅速痊愈或很快死亡的病人),则</w:t>
      </w:r>
      <w:r>
        <w:rPr>
          <w:rFonts w:ascii="宋体" w:hAnsi="宋体" w:eastAsia="宋体" w:cs="宋体"/>
          <w:spacing w:val="11"/>
          <w:sz w:val="21"/>
          <w:szCs w:val="21"/>
        </w:rPr>
        <w:t>很难包括</w:t>
      </w:r>
      <w:r>
        <w:rPr>
          <w:rFonts w:ascii="宋体" w:hAnsi="宋体" w:eastAsia="宋体" w:cs="宋体"/>
          <w:sz w:val="21"/>
          <w:szCs w:val="21"/>
        </w:rPr>
        <w:t xml:space="preserve"> </w:t>
      </w:r>
      <w:r>
        <w:rPr>
          <w:rFonts w:ascii="宋体" w:hAnsi="宋体" w:eastAsia="宋体" w:cs="宋体"/>
          <w:spacing w:val="12"/>
          <w:sz w:val="21"/>
          <w:szCs w:val="21"/>
        </w:rPr>
        <w:t>在一个时点或一个短时期的研究中。由于存活期长</w:t>
      </w:r>
      <w:r>
        <w:rPr>
          <w:rFonts w:ascii="宋体" w:hAnsi="宋体" w:eastAsia="宋体" w:cs="宋体"/>
          <w:spacing w:val="11"/>
          <w:sz w:val="21"/>
          <w:szCs w:val="21"/>
        </w:rPr>
        <w:t>与存活期短的病人在一些特征上会存在差异，</w:t>
      </w:r>
      <w:r>
        <w:rPr>
          <w:rFonts w:ascii="宋体" w:hAnsi="宋体" w:eastAsia="宋体" w:cs="宋体"/>
          <w:sz w:val="21"/>
          <w:szCs w:val="21"/>
        </w:rPr>
        <w:t xml:space="preserve"> </w:t>
      </w:r>
      <w:r>
        <w:rPr>
          <w:rFonts w:ascii="宋体" w:hAnsi="宋体" w:eastAsia="宋体" w:cs="宋体"/>
          <w:spacing w:val="6"/>
          <w:sz w:val="21"/>
          <w:szCs w:val="21"/>
        </w:rPr>
        <w:t>因而很可能将影响存活的因素当作影响发病</w:t>
      </w:r>
      <w:r>
        <w:rPr>
          <w:rFonts w:ascii="宋体" w:hAnsi="宋体" w:eastAsia="宋体" w:cs="宋体"/>
          <w:spacing w:val="5"/>
          <w:sz w:val="21"/>
          <w:szCs w:val="21"/>
        </w:rPr>
        <w:t>的因素。</w:t>
      </w:r>
    </w:p>
    <w:p w14:paraId="0B6456ED">
      <w:pPr>
        <w:pStyle w:val="2"/>
        <w:spacing w:before="190" w:line="286" w:lineRule="auto"/>
        <w:ind w:right="648" w:firstLine="450"/>
        <w:rPr>
          <w:rFonts w:ascii="宋体" w:hAnsi="宋体" w:eastAsia="宋体" w:cs="宋体"/>
          <w:sz w:val="21"/>
          <w:szCs w:val="21"/>
        </w:rPr>
      </w:pPr>
      <w:r>
        <w:rPr>
          <w:rFonts w:ascii="宋体" w:hAnsi="宋体" w:eastAsia="宋体" w:cs="宋体"/>
          <w:spacing w:val="2"/>
          <w:sz w:val="21"/>
          <w:szCs w:val="21"/>
        </w:rPr>
        <w:t xml:space="preserve">4. </w:t>
      </w:r>
      <w:r>
        <w:rPr>
          <w:spacing w:val="2"/>
          <w:sz w:val="21"/>
          <w:szCs w:val="21"/>
        </w:rPr>
        <w:t>对研究对象固有的暴露因素可以作因果推</w:t>
      </w:r>
      <w:r>
        <w:rPr>
          <w:spacing w:val="1"/>
          <w:sz w:val="21"/>
          <w:szCs w:val="21"/>
        </w:rPr>
        <w:t>断</w:t>
      </w:r>
      <w:r>
        <w:rPr>
          <w:spacing w:val="84"/>
          <w:sz w:val="21"/>
          <w:szCs w:val="21"/>
        </w:rPr>
        <w:t xml:space="preserve"> </w:t>
      </w:r>
      <w:r>
        <w:rPr>
          <w:rFonts w:ascii="宋体" w:hAnsi="宋体" w:eastAsia="宋体" w:cs="宋体"/>
          <w:spacing w:val="1"/>
          <w:sz w:val="21"/>
          <w:szCs w:val="21"/>
        </w:rPr>
        <w:t>诸如性别、种族、血型、基因型等因素，在疾</w:t>
      </w:r>
      <w:r>
        <w:rPr>
          <w:rFonts w:ascii="宋体" w:hAnsi="宋体" w:eastAsia="宋体" w:cs="宋体"/>
          <w:sz w:val="21"/>
          <w:szCs w:val="21"/>
        </w:rPr>
        <w:t xml:space="preserve"> </w:t>
      </w:r>
      <w:r>
        <w:rPr>
          <w:rFonts w:ascii="宋体" w:hAnsi="宋体" w:eastAsia="宋体" w:cs="宋体"/>
          <w:spacing w:val="4"/>
          <w:sz w:val="21"/>
          <w:szCs w:val="21"/>
        </w:rPr>
        <w:t>病发生之前就存在，且不会因是否患病而发生改变，因而易于明确因素和疾病的时间先后顺序，在</w:t>
      </w:r>
      <w:r>
        <w:rPr>
          <w:rFonts w:ascii="宋体" w:hAnsi="宋体" w:eastAsia="宋体" w:cs="宋体"/>
          <w:spacing w:val="8"/>
          <w:sz w:val="21"/>
          <w:szCs w:val="21"/>
        </w:rPr>
        <w:t xml:space="preserve"> </w:t>
      </w:r>
      <w:r>
        <w:rPr>
          <w:rFonts w:ascii="宋体" w:hAnsi="宋体" w:eastAsia="宋体" w:cs="宋体"/>
          <w:spacing w:val="10"/>
          <w:sz w:val="21"/>
          <w:szCs w:val="21"/>
        </w:rPr>
        <w:t>排除和控制了可能存在的偏倚的情况下，现况研究可以</w:t>
      </w:r>
      <w:r>
        <w:rPr>
          <w:rFonts w:ascii="宋体" w:hAnsi="宋体" w:eastAsia="宋体" w:cs="宋体"/>
          <w:spacing w:val="9"/>
          <w:sz w:val="21"/>
          <w:szCs w:val="21"/>
        </w:rPr>
        <w:t>揭示相对真实的暴露(特征)与疾病的因果</w:t>
      </w:r>
      <w:r>
        <w:rPr>
          <w:rFonts w:ascii="宋体" w:hAnsi="宋体" w:eastAsia="宋体" w:cs="宋体"/>
          <w:sz w:val="21"/>
          <w:szCs w:val="21"/>
        </w:rPr>
        <w:t xml:space="preserve"> </w:t>
      </w:r>
      <w:r>
        <w:rPr>
          <w:rFonts w:ascii="宋体" w:hAnsi="宋体" w:eastAsia="宋体" w:cs="宋体"/>
          <w:spacing w:val="11"/>
          <w:sz w:val="21"/>
          <w:szCs w:val="21"/>
        </w:rPr>
        <w:t>关系。</w:t>
      </w:r>
    </w:p>
    <w:p w14:paraId="1E58FE38">
      <w:pPr>
        <w:pStyle w:val="2"/>
        <w:spacing w:before="160" w:line="302" w:lineRule="auto"/>
        <w:ind w:right="644" w:firstLine="450"/>
        <w:rPr>
          <w:rFonts w:ascii="宋体" w:hAnsi="宋体" w:eastAsia="宋体" w:cs="宋体"/>
          <w:sz w:val="21"/>
          <w:szCs w:val="21"/>
        </w:rPr>
      </w:pPr>
      <w:r>
        <w:rPr>
          <w:rFonts w:ascii="宋体" w:hAnsi="宋体" w:eastAsia="宋体" w:cs="宋体"/>
          <w:spacing w:val="7"/>
          <w:sz w:val="21"/>
          <w:szCs w:val="21"/>
        </w:rPr>
        <w:t xml:space="preserve">5. </w:t>
      </w:r>
      <w:r>
        <w:rPr>
          <w:spacing w:val="7"/>
          <w:sz w:val="21"/>
          <w:szCs w:val="21"/>
        </w:rPr>
        <w:t>现况研究用现在的暴露(特征)来替代或估计过去的状况</w:t>
      </w:r>
      <w:r>
        <w:rPr>
          <w:spacing w:val="86"/>
          <w:sz w:val="21"/>
          <w:szCs w:val="21"/>
        </w:rPr>
        <w:t xml:space="preserve"> </w:t>
      </w:r>
      <w:r>
        <w:rPr>
          <w:rFonts w:ascii="宋体" w:hAnsi="宋体" w:eastAsia="宋体" w:cs="宋体"/>
          <w:spacing w:val="7"/>
          <w:sz w:val="21"/>
          <w:szCs w:val="21"/>
        </w:rPr>
        <w:t>在现况研究的结果解释时，常常</w:t>
      </w:r>
      <w:r>
        <w:rPr>
          <w:rFonts w:ascii="宋体" w:hAnsi="宋体" w:eastAsia="宋体" w:cs="宋体"/>
          <w:sz w:val="21"/>
          <w:szCs w:val="21"/>
        </w:rPr>
        <w:t xml:space="preserve"> </w:t>
      </w:r>
      <w:r>
        <w:rPr>
          <w:rFonts w:ascii="宋体" w:hAnsi="宋体" w:eastAsia="宋体" w:cs="宋体"/>
          <w:spacing w:val="10"/>
          <w:sz w:val="21"/>
          <w:szCs w:val="21"/>
        </w:rPr>
        <w:t>会以研究对象目前的暴露状况或特征来替代或估计其过去的暴露</w:t>
      </w:r>
      <w:r>
        <w:rPr>
          <w:rFonts w:ascii="宋体" w:hAnsi="宋体" w:eastAsia="宋体" w:cs="宋体"/>
          <w:spacing w:val="9"/>
          <w:sz w:val="21"/>
          <w:szCs w:val="21"/>
        </w:rPr>
        <w:t>状况，以便对研究结果作出专业</w:t>
      </w:r>
      <w:r>
        <w:rPr>
          <w:rFonts w:ascii="宋体" w:hAnsi="宋体" w:eastAsia="宋体" w:cs="宋体"/>
          <w:sz w:val="21"/>
          <w:szCs w:val="21"/>
        </w:rPr>
        <w:t xml:space="preserve"> </w:t>
      </w:r>
      <w:r>
        <w:rPr>
          <w:rFonts w:ascii="宋体" w:hAnsi="宋体" w:eastAsia="宋体" w:cs="宋体"/>
          <w:spacing w:val="4"/>
          <w:sz w:val="21"/>
          <w:szCs w:val="21"/>
        </w:rPr>
        <w:t>上更有意义的推论。对此，需符合如下前提条件：①当前的暴露或暴露水平与有关的既往暴露密切</w:t>
      </w:r>
      <w:r>
        <w:rPr>
          <w:rFonts w:ascii="宋体" w:hAnsi="宋体" w:eastAsia="宋体" w:cs="宋体"/>
          <w:spacing w:val="12"/>
          <w:sz w:val="21"/>
          <w:szCs w:val="21"/>
        </w:rPr>
        <w:t xml:space="preserve"> </w:t>
      </w:r>
      <w:r>
        <w:rPr>
          <w:rFonts w:ascii="宋体" w:hAnsi="宋体" w:eastAsia="宋体" w:cs="宋体"/>
          <w:sz w:val="21"/>
          <w:szCs w:val="21"/>
        </w:rPr>
        <w:t>一致，或已被证明变化不大。例如，在某职业病研究中，如果工厂的设</w:t>
      </w:r>
      <w:r>
        <w:rPr>
          <w:rFonts w:ascii="宋体" w:hAnsi="宋体" w:eastAsia="宋体" w:cs="宋体"/>
          <w:spacing w:val="-1"/>
          <w:sz w:val="21"/>
          <w:szCs w:val="21"/>
        </w:rPr>
        <w:t>备、原料、工艺流程及车间环</w:t>
      </w:r>
      <w:r>
        <w:rPr>
          <w:rFonts w:ascii="宋体" w:hAnsi="宋体" w:eastAsia="宋体" w:cs="宋体"/>
          <w:sz w:val="21"/>
          <w:szCs w:val="21"/>
        </w:rPr>
        <w:t xml:space="preserve"> </w:t>
      </w:r>
      <w:r>
        <w:rPr>
          <w:rFonts w:ascii="宋体" w:hAnsi="宋体" w:eastAsia="宋体" w:cs="宋体"/>
          <w:spacing w:val="10"/>
          <w:sz w:val="21"/>
          <w:szCs w:val="21"/>
        </w:rPr>
        <w:t>境等都没有变化，则可认为现在的暴露水平与既往相同。②已知研究因素的暴露水平</w:t>
      </w:r>
      <w:r>
        <w:rPr>
          <w:rFonts w:ascii="宋体" w:hAnsi="宋体" w:eastAsia="宋体" w:cs="宋体"/>
          <w:spacing w:val="9"/>
          <w:sz w:val="21"/>
          <w:szCs w:val="21"/>
        </w:rPr>
        <w:t>的变化趋势</w:t>
      </w:r>
      <w:r>
        <w:rPr>
          <w:rFonts w:ascii="宋体" w:hAnsi="宋体" w:eastAsia="宋体" w:cs="宋体"/>
          <w:sz w:val="21"/>
          <w:szCs w:val="21"/>
        </w:rPr>
        <w:t xml:space="preserve"> </w:t>
      </w:r>
      <w:r>
        <w:rPr>
          <w:rFonts w:ascii="宋体" w:hAnsi="宋体" w:eastAsia="宋体" w:cs="宋体"/>
          <w:spacing w:val="5"/>
          <w:sz w:val="21"/>
          <w:szCs w:val="21"/>
        </w:rPr>
        <w:t>或规律，以此趋势或规律来估计过去的暴露水平。③回忆过去的</w:t>
      </w:r>
      <w:r>
        <w:rPr>
          <w:rFonts w:ascii="宋体" w:hAnsi="宋体" w:eastAsia="宋体" w:cs="宋体"/>
          <w:spacing w:val="4"/>
          <w:sz w:val="21"/>
          <w:szCs w:val="21"/>
        </w:rPr>
        <w:t>暴露或暴露水平极不可靠，而现在</w:t>
      </w:r>
      <w:r>
        <w:rPr>
          <w:rFonts w:ascii="宋体" w:hAnsi="宋体" w:eastAsia="宋体" w:cs="宋体"/>
          <w:sz w:val="21"/>
          <w:szCs w:val="21"/>
        </w:rPr>
        <w:t xml:space="preserve"> </w:t>
      </w:r>
      <w:r>
        <w:rPr>
          <w:rFonts w:ascii="宋体" w:hAnsi="宋体" w:eastAsia="宋体" w:cs="宋体"/>
          <w:spacing w:val="4"/>
          <w:sz w:val="21"/>
          <w:szCs w:val="21"/>
        </w:rPr>
        <w:t>的暴露资料可以用来估计过去的暴露情况。</w:t>
      </w:r>
    </w:p>
    <w:p w14:paraId="23FCEFDD">
      <w:pPr>
        <w:pStyle w:val="2"/>
        <w:spacing w:before="89" w:line="221" w:lineRule="auto"/>
        <w:ind w:left="453"/>
        <w:rPr>
          <w:sz w:val="26"/>
          <w:szCs w:val="26"/>
        </w:rPr>
      </w:pPr>
      <w:r>
        <w:rPr>
          <w:b/>
          <w:bCs/>
          <w:spacing w:val="-6"/>
          <w:sz w:val="26"/>
          <w:szCs w:val="26"/>
        </w:rPr>
        <w:t>(三)类型</w:t>
      </w:r>
    </w:p>
    <w:p w14:paraId="0A3DFADF">
      <w:pPr>
        <w:spacing w:before="92" w:line="219" w:lineRule="auto"/>
        <w:ind w:left="450"/>
        <w:rPr>
          <w:rFonts w:ascii="宋体" w:hAnsi="宋体" w:eastAsia="宋体" w:cs="宋体"/>
          <w:sz w:val="21"/>
          <w:szCs w:val="21"/>
        </w:rPr>
      </w:pPr>
      <w:r>
        <w:rPr>
          <w:rFonts w:ascii="宋体" w:hAnsi="宋体" w:eastAsia="宋体" w:cs="宋体"/>
          <w:spacing w:val="5"/>
          <w:sz w:val="21"/>
          <w:szCs w:val="21"/>
        </w:rPr>
        <w:t>现况研究根据涉及研究对象的范围可分为普查和抽样调查。</w:t>
      </w:r>
    </w:p>
    <w:p w14:paraId="2724A12C">
      <w:pPr>
        <w:pStyle w:val="2"/>
        <w:spacing w:before="121" w:line="322" w:lineRule="auto"/>
        <w:ind w:right="650" w:firstLine="450"/>
        <w:jc w:val="both"/>
        <w:rPr>
          <w:rFonts w:ascii="宋体" w:hAnsi="宋体" w:eastAsia="宋体" w:cs="宋体"/>
          <w:sz w:val="21"/>
          <w:szCs w:val="21"/>
        </w:rPr>
      </w:pPr>
      <w:r>
        <w:rPr>
          <w:rFonts w:ascii="宋体" w:hAnsi="宋体" w:eastAsia="宋体" w:cs="宋体"/>
          <w:sz w:val="21"/>
          <w:szCs w:val="21"/>
        </w:rPr>
        <w:t>1.</w:t>
      </w:r>
      <w:r>
        <w:rPr>
          <w:rFonts w:ascii="宋体" w:hAnsi="宋体" w:eastAsia="宋体" w:cs="宋体"/>
          <w:spacing w:val="-21"/>
          <w:sz w:val="21"/>
          <w:szCs w:val="21"/>
        </w:rPr>
        <w:t xml:space="preserve"> </w:t>
      </w:r>
      <w:r>
        <w:rPr>
          <w:sz w:val="21"/>
          <w:szCs w:val="21"/>
        </w:rPr>
        <w:t>普 查</w:t>
      </w:r>
      <w:r>
        <w:rPr>
          <w:rFonts w:ascii="宋体" w:hAnsi="宋体" w:eastAsia="宋体" w:cs="宋体"/>
          <w:sz w:val="21"/>
          <w:szCs w:val="21"/>
        </w:rPr>
        <w:t>(census)</w:t>
      </w:r>
      <w:r>
        <w:rPr>
          <w:rFonts w:ascii="宋体" w:hAnsi="宋体" w:eastAsia="宋体" w:cs="宋体"/>
          <w:spacing w:val="90"/>
          <w:sz w:val="21"/>
          <w:szCs w:val="21"/>
        </w:rPr>
        <w:t xml:space="preserve"> </w:t>
      </w:r>
      <w:r>
        <w:rPr>
          <w:rFonts w:ascii="宋体" w:hAnsi="宋体" w:eastAsia="宋体" w:cs="宋体"/>
          <w:sz w:val="21"/>
          <w:szCs w:val="21"/>
        </w:rPr>
        <w:t>即全面调查，是指将特定时点或时期内、特定范围内的全部人群(</w:t>
      </w:r>
      <w:r>
        <w:rPr>
          <w:rFonts w:ascii="宋体" w:hAnsi="宋体" w:eastAsia="宋体" w:cs="宋体"/>
          <w:spacing w:val="-1"/>
          <w:sz w:val="21"/>
          <w:szCs w:val="21"/>
        </w:rPr>
        <w:t>总体)作为</w:t>
      </w:r>
      <w:r>
        <w:rPr>
          <w:rFonts w:ascii="宋体" w:hAnsi="宋体" w:eastAsia="宋体" w:cs="宋体"/>
          <w:sz w:val="21"/>
          <w:szCs w:val="21"/>
        </w:rPr>
        <w:t xml:space="preserve"> </w:t>
      </w:r>
      <w:r>
        <w:rPr>
          <w:rFonts w:ascii="宋体" w:hAnsi="宋体" w:eastAsia="宋体" w:cs="宋体"/>
          <w:spacing w:val="10"/>
          <w:sz w:val="21"/>
          <w:szCs w:val="21"/>
        </w:rPr>
        <w:t>研究对象的调查。这个特定时点应该较短。特定范围是指某个地区或</w:t>
      </w:r>
      <w:r>
        <w:rPr>
          <w:rFonts w:ascii="宋体" w:hAnsi="宋体" w:eastAsia="宋体" w:cs="宋体"/>
          <w:spacing w:val="9"/>
          <w:sz w:val="21"/>
          <w:szCs w:val="21"/>
        </w:rPr>
        <w:t>具有某种特征的人群，如对</w:t>
      </w:r>
      <w:r>
        <w:rPr>
          <w:rFonts w:ascii="宋体" w:hAnsi="宋体" w:eastAsia="宋体" w:cs="宋体"/>
          <w:sz w:val="21"/>
          <w:szCs w:val="21"/>
        </w:rPr>
        <w:t xml:space="preserve"> </w:t>
      </w:r>
      <w:r>
        <w:rPr>
          <w:rFonts w:ascii="宋体" w:hAnsi="宋体" w:eastAsia="宋体" w:cs="宋体"/>
          <w:spacing w:val="11"/>
          <w:sz w:val="21"/>
          <w:szCs w:val="21"/>
        </w:rPr>
        <w:t>某地全部儿童(≤14岁)进行体格检查。</w:t>
      </w:r>
    </w:p>
    <w:p w14:paraId="3E3FF52D">
      <w:pPr>
        <w:spacing w:line="323" w:lineRule="auto"/>
        <w:ind w:right="556" w:firstLine="450"/>
        <w:jc w:val="both"/>
        <w:rPr>
          <w:rFonts w:ascii="宋体" w:hAnsi="宋体" w:eastAsia="宋体" w:cs="宋体"/>
          <w:sz w:val="21"/>
          <w:szCs w:val="21"/>
        </w:rPr>
      </w:pPr>
      <w:r>
        <w:rPr>
          <w:rFonts w:ascii="宋体" w:hAnsi="宋体" w:eastAsia="宋体" w:cs="宋体"/>
          <w:spacing w:val="12"/>
          <w:sz w:val="21"/>
          <w:szCs w:val="21"/>
        </w:rPr>
        <w:t>普查的目的主要包括：①早期发现、早期诊断和早期治疗病人，如女性职工</w:t>
      </w:r>
      <w:r>
        <w:rPr>
          <w:rFonts w:ascii="宋体" w:hAnsi="宋体" w:eastAsia="宋体" w:cs="宋体"/>
          <w:spacing w:val="11"/>
          <w:sz w:val="21"/>
          <w:szCs w:val="21"/>
        </w:rPr>
        <w:t>的宫颈癌普查；</w:t>
      </w:r>
      <w:r>
        <w:rPr>
          <w:rFonts w:ascii="宋体" w:hAnsi="宋体" w:eastAsia="宋体" w:cs="宋体"/>
          <w:sz w:val="21"/>
          <w:szCs w:val="21"/>
        </w:rPr>
        <w:t xml:space="preserve"> </w:t>
      </w:r>
      <w:r>
        <w:rPr>
          <w:rFonts w:ascii="宋体" w:hAnsi="宋体" w:eastAsia="宋体" w:cs="宋体"/>
          <w:spacing w:val="12"/>
          <w:sz w:val="21"/>
          <w:szCs w:val="21"/>
        </w:rPr>
        <w:t>②了解慢性病的患病情况及急性传染性疾病的疫情分布，如高血压普查和针对疫区开展的普查；</w:t>
      </w:r>
      <w:r>
        <w:rPr>
          <w:rFonts w:ascii="宋体" w:hAnsi="宋体" w:eastAsia="宋体" w:cs="宋体"/>
          <w:sz w:val="21"/>
          <w:szCs w:val="21"/>
        </w:rPr>
        <w:t xml:space="preserve"> </w:t>
      </w:r>
      <w:r>
        <w:rPr>
          <w:rFonts w:ascii="宋体" w:hAnsi="宋体" w:eastAsia="宋体" w:cs="宋体"/>
          <w:spacing w:val="5"/>
          <w:sz w:val="21"/>
          <w:szCs w:val="21"/>
        </w:rPr>
        <w:t>③了解人群健康水平，如居民营养状况调查、儿童发育状况普查等</w:t>
      </w:r>
      <w:r>
        <w:rPr>
          <w:rFonts w:ascii="宋体" w:hAnsi="宋体" w:eastAsia="宋体" w:cs="宋体"/>
          <w:spacing w:val="4"/>
          <w:sz w:val="21"/>
          <w:szCs w:val="21"/>
        </w:rPr>
        <w:t>；④建立某些生理生化指标的正</w:t>
      </w:r>
      <w:r>
        <w:rPr>
          <w:rFonts w:ascii="宋体" w:hAnsi="宋体" w:eastAsia="宋体" w:cs="宋体"/>
          <w:sz w:val="21"/>
          <w:szCs w:val="21"/>
        </w:rPr>
        <w:t xml:space="preserve">  </w:t>
      </w:r>
      <w:r>
        <w:rPr>
          <w:rFonts w:ascii="宋体" w:hAnsi="宋体" w:eastAsia="宋体" w:cs="宋体"/>
          <w:spacing w:val="-6"/>
          <w:sz w:val="21"/>
          <w:szCs w:val="21"/>
        </w:rPr>
        <w:t>常值范围，如血脂、血铅、青少年身高等。</w:t>
      </w:r>
    </w:p>
    <w:p w14:paraId="05BFBA93">
      <w:pPr>
        <w:spacing w:before="2" w:line="316" w:lineRule="auto"/>
        <w:ind w:right="576" w:firstLine="450"/>
        <w:jc w:val="both"/>
        <w:rPr>
          <w:rFonts w:ascii="宋体" w:hAnsi="宋体" w:eastAsia="宋体" w:cs="宋体"/>
          <w:sz w:val="21"/>
          <w:szCs w:val="21"/>
        </w:rPr>
      </w:pPr>
      <w:r>
        <w:rPr>
          <w:rFonts w:ascii="宋体" w:hAnsi="宋体" w:eastAsia="宋体" w:cs="宋体"/>
          <w:spacing w:val="4"/>
          <w:sz w:val="21"/>
          <w:szCs w:val="21"/>
        </w:rPr>
        <w:t>普查的优点有：①调查对象为全体目标人群，不存在抽样误差；②可以同时调查目标人群中多</w:t>
      </w:r>
      <w:r>
        <w:rPr>
          <w:rFonts w:ascii="宋体" w:hAnsi="宋体" w:eastAsia="宋体" w:cs="宋体"/>
          <w:spacing w:val="14"/>
          <w:sz w:val="21"/>
          <w:szCs w:val="21"/>
        </w:rPr>
        <w:t xml:space="preserve"> </w:t>
      </w:r>
      <w:r>
        <w:rPr>
          <w:rFonts w:ascii="宋体" w:hAnsi="宋体" w:eastAsia="宋体" w:cs="宋体"/>
          <w:spacing w:val="-2"/>
          <w:sz w:val="21"/>
          <w:szCs w:val="21"/>
        </w:rPr>
        <w:t>种疾病或健康状况的分布情况；③能发现目</w:t>
      </w:r>
      <w:r>
        <w:rPr>
          <w:rFonts w:ascii="宋体" w:hAnsi="宋体" w:eastAsia="宋体" w:cs="宋体"/>
          <w:spacing w:val="-3"/>
          <w:sz w:val="21"/>
          <w:szCs w:val="21"/>
        </w:rPr>
        <w:t>标人群中的全部病例，在实现“三早”(早期发现、早期诊</w:t>
      </w:r>
      <w:r>
        <w:rPr>
          <w:rFonts w:ascii="宋体" w:hAnsi="宋体" w:eastAsia="宋体" w:cs="宋体"/>
          <w:sz w:val="21"/>
          <w:szCs w:val="21"/>
        </w:rPr>
        <w:t xml:space="preserve"> </w:t>
      </w:r>
      <w:r>
        <w:rPr>
          <w:rFonts w:ascii="宋体" w:hAnsi="宋体" w:eastAsia="宋体" w:cs="宋体"/>
          <w:spacing w:val="2"/>
          <w:sz w:val="21"/>
          <w:szCs w:val="21"/>
        </w:rPr>
        <w:t>断、早期治疗)预防的同时，全面地描述疾病的分布与特征，为病因分析研究提供线索。普查的局限</w:t>
      </w:r>
      <w:r>
        <w:rPr>
          <w:rFonts w:ascii="宋体" w:hAnsi="宋体" w:eastAsia="宋体" w:cs="宋体"/>
          <w:spacing w:val="7"/>
          <w:sz w:val="21"/>
          <w:szCs w:val="21"/>
        </w:rPr>
        <w:t xml:space="preserve"> </w:t>
      </w:r>
      <w:r>
        <w:rPr>
          <w:rFonts w:ascii="宋体" w:hAnsi="宋体" w:eastAsia="宋体" w:cs="宋体"/>
          <w:spacing w:val="2"/>
          <w:sz w:val="21"/>
          <w:szCs w:val="21"/>
        </w:rPr>
        <w:t>性包括：①不适用于患病率低且诊断技术复</w:t>
      </w:r>
      <w:r>
        <w:rPr>
          <w:rFonts w:ascii="宋体" w:hAnsi="宋体" w:eastAsia="宋体" w:cs="宋体"/>
          <w:spacing w:val="1"/>
          <w:sz w:val="21"/>
          <w:szCs w:val="21"/>
        </w:rPr>
        <w:t>杂的疾病；②工作量大，因此不易细致，难免存在漏查；</w:t>
      </w:r>
    </w:p>
    <w:p w14:paraId="1F9D5A81">
      <w:pPr>
        <w:spacing w:before="2" w:line="268" w:lineRule="auto"/>
        <w:ind w:right="648"/>
        <w:rPr>
          <w:rFonts w:ascii="宋体" w:hAnsi="宋体" w:eastAsia="宋体" w:cs="宋体"/>
          <w:sz w:val="21"/>
          <w:szCs w:val="21"/>
        </w:rPr>
      </w:pPr>
      <w:r>
        <w:rPr>
          <w:rFonts w:ascii="宋体" w:hAnsi="宋体" w:eastAsia="宋体" w:cs="宋体"/>
          <w:spacing w:val="5"/>
          <w:sz w:val="21"/>
          <w:szCs w:val="21"/>
        </w:rPr>
        <w:t>③调查工作人员涉及面广，掌握调查技术和检查方法的熟练程度不</w:t>
      </w:r>
      <w:r>
        <w:rPr>
          <w:rFonts w:ascii="宋体" w:hAnsi="宋体" w:eastAsia="宋体" w:cs="宋体"/>
          <w:spacing w:val="4"/>
          <w:sz w:val="21"/>
          <w:szCs w:val="21"/>
        </w:rPr>
        <w:t>等，调查质量不易控制；④耗费</w:t>
      </w:r>
      <w:r>
        <w:rPr>
          <w:rFonts w:ascii="宋体" w:hAnsi="宋体" w:eastAsia="宋体" w:cs="宋体"/>
          <w:sz w:val="21"/>
          <w:szCs w:val="21"/>
        </w:rPr>
        <w:t xml:space="preserve"> </w:t>
      </w:r>
      <w:r>
        <w:rPr>
          <w:rFonts w:ascii="宋体" w:hAnsi="宋体" w:eastAsia="宋体" w:cs="宋体"/>
          <w:spacing w:val="-2"/>
          <w:sz w:val="21"/>
          <w:szCs w:val="21"/>
        </w:rPr>
        <w:t>的人力、物力资源一般较大，费用往往较高。</w:t>
      </w:r>
    </w:p>
    <w:p w14:paraId="1C7A75B3">
      <w:pPr>
        <w:pStyle w:val="2"/>
        <w:spacing w:before="147" w:line="212" w:lineRule="auto"/>
        <w:ind w:left="450"/>
        <w:rPr>
          <w:rFonts w:ascii="宋体" w:hAnsi="宋体" w:eastAsia="宋体" w:cs="宋体"/>
          <w:sz w:val="21"/>
          <w:szCs w:val="21"/>
        </w:rPr>
      </w:pPr>
      <w:r>
        <w:rPr>
          <w:rFonts w:ascii="Times New Roman" w:hAnsi="Times New Roman" w:eastAsia="Times New Roman" w:cs="Times New Roman"/>
          <w:spacing w:val="2"/>
          <w:sz w:val="21"/>
          <w:szCs w:val="21"/>
        </w:rPr>
        <w:t>2.</w:t>
      </w:r>
      <w:r>
        <w:rPr>
          <w:rFonts w:ascii="Times New Roman" w:hAnsi="Times New Roman" w:eastAsia="Times New Roman" w:cs="Times New Roman"/>
          <w:spacing w:val="34"/>
          <w:sz w:val="21"/>
          <w:szCs w:val="21"/>
        </w:rPr>
        <w:t xml:space="preserve">  </w:t>
      </w:r>
      <w:r>
        <w:rPr>
          <w:rFonts w:ascii="宋体" w:hAnsi="宋体" w:eastAsia="宋体" w:cs="宋体"/>
          <w:spacing w:val="2"/>
          <w:sz w:val="21"/>
          <w:szCs w:val="21"/>
        </w:rPr>
        <w:t>抽样调查</w:t>
      </w:r>
      <w:r>
        <w:rPr>
          <w:spacing w:val="2"/>
          <w:sz w:val="21"/>
          <w:szCs w:val="21"/>
        </w:rPr>
        <w:t>(</w:t>
      </w:r>
      <w:r>
        <w:rPr>
          <w:spacing w:val="-63"/>
          <w:sz w:val="21"/>
          <w:szCs w:val="21"/>
        </w:rPr>
        <w:t xml:space="preserve"> </w:t>
      </w:r>
      <w:r>
        <w:rPr>
          <w:rFonts w:ascii="Times New Roman" w:hAnsi="Times New Roman" w:eastAsia="Times New Roman" w:cs="Times New Roman"/>
          <w:sz w:val="21"/>
          <w:szCs w:val="21"/>
        </w:rPr>
        <w:t>sampling</w:t>
      </w:r>
      <w:r>
        <w:rPr>
          <w:rFonts w:ascii="Times New Roman" w:hAnsi="Times New Roman" w:eastAsia="Times New Roman" w:cs="Times New Roman"/>
          <w:spacing w:val="2"/>
          <w:sz w:val="21"/>
          <w:szCs w:val="21"/>
        </w:rPr>
        <w:t xml:space="preserve">   </w:t>
      </w:r>
      <w:r>
        <w:rPr>
          <w:rFonts w:ascii="Times New Roman" w:hAnsi="Times New Roman" w:eastAsia="Times New Roman" w:cs="Times New Roman"/>
          <w:sz w:val="21"/>
          <w:szCs w:val="21"/>
        </w:rPr>
        <w:t>survey</w:t>
      </w:r>
      <w:r>
        <w:rPr>
          <w:rFonts w:ascii="Times New Roman" w:hAnsi="Times New Roman" w:eastAsia="Times New Roman" w:cs="Times New Roman"/>
          <w:spacing w:val="2"/>
          <w:sz w:val="21"/>
          <w:szCs w:val="21"/>
        </w:rPr>
        <w:t xml:space="preserve">)   </w:t>
      </w:r>
      <w:r>
        <w:rPr>
          <w:rFonts w:ascii="宋体" w:hAnsi="宋体" w:eastAsia="宋体" w:cs="宋体"/>
          <w:spacing w:val="2"/>
          <w:sz w:val="21"/>
          <w:szCs w:val="21"/>
        </w:rPr>
        <w:t>是相对于普查的一种比较常用的现况研究方法，指通过随机抽</w:t>
      </w:r>
    </w:p>
    <w:p w14:paraId="217FBB20">
      <w:pPr>
        <w:spacing w:line="212" w:lineRule="auto"/>
        <w:rPr>
          <w:rFonts w:ascii="宋体" w:hAnsi="宋体" w:eastAsia="宋体" w:cs="宋体"/>
          <w:sz w:val="21"/>
          <w:szCs w:val="21"/>
        </w:rPr>
        <w:sectPr>
          <w:footerReference r:id="rId65" w:type="default"/>
          <w:pgSz w:w="11900" w:h="16820"/>
          <w:pgMar w:top="400" w:right="698" w:bottom="856" w:left="1319" w:header="0" w:footer="667" w:gutter="0"/>
          <w:cols w:space="720" w:num="1"/>
        </w:sectPr>
      </w:pPr>
    </w:p>
    <w:p w14:paraId="545DE670">
      <w:pPr>
        <w:pStyle w:val="2"/>
        <w:spacing w:before="26" w:line="222" w:lineRule="auto"/>
        <w:ind w:left="729"/>
        <w:rPr>
          <w:sz w:val="20"/>
          <w:szCs w:val="20"/>
        </w:rPr>
      </w:pPr>
      <w:bookmarkStart w:id="69" w:name="bookmark425"/>
      <w:bookmarkEnd w:id="69"/>
      <w:r>
        <w:rPr>
          <w:spacing w:val="-17"/>
          <w:sz w:val="20"/>
          <w:szCs w:val="20"/>
        </w:rPr>
        <w:t>第三章 描述性研究</w:t>
      </w:r>
    </w:p>
    <w:p w14:paraId="3282EDB4">
      <w:pPr>
        <w:spacing w:line="270" w:lineRule="auto"/>
        <w:rPr>
          <w:rFonts w:ascii="Arial"/>
          <w:sz w:val="21"/>
        </w:rPr>
      </w:pPr>
    </w:p>
    <w:p w14:paraId="26F790D9">
      <w:pPr>
        <w:spacing w:line="270" w:lineRule="auto"/>
        <w:rPr>
          <w:rFonts w:ascii="Arial"/>
          <w:sz w:val="21"/>
        </w:rPr>
      </w:pPr>
    </w:p>
    <w:p w14:paraId="605C4B29">
      <w:pPr>
        <w:spacing w:before="65" w:line="356" w:lineRule="auto"/>
        <w:ind w:left="729" w:right="91"/>
        <w:rPr>
          <w:rFonts w:ascii="宋体" w:hAnsi="宋体" w:eastAsia="宋体" w:cs="宋体"/>
          <w:sz w:val="20"/>
          <w:szCs w:val="20"/>
        </w:rPr>
      </w:pPr>
      <w:r>
        <w:rPr>
          <w:rFonts w:ascii="宋体" w:hAnsi="宋体" w:eastAsia="宋体" w:cs="宋体"/>
          <w:spacing w:val="4"/>
          <w:sz w:val="20"/>
          <w:szCs w:val="20"/>
        </w:rPr>
        <w:t>样的方法，对特定时点、特定范围内人群的一个代表性样本进行调查，以样本的统计量来估计总体</w:t>
      </w:r>
      <w:r>
        <w:rPr>
          <w:rFonts w:ascii="宋体" w:hAnsi="宋体" w:eastAsia="宋体" w:cs="宋体"/>
          <w:spacing w:val="5"/>
          <w:sz w:val="20"/>
          <w:szCs w:val="20"/>
        </w:rPr>
        <w:t xml:space="preserve"> </w:t>
      </w:r>
      <w:r>
        <w:rPr>
          <w:rFonts w:ascii="宋体" w:hAnsi="宋体" w:eastAsia="宋体" w:cs="宋体"/>
          <w:spacing w:val="4"/>
          <w:sz w:val="20"/>
          <w:szCs w:val="20"/>
        </w:rPr>
        <w:t>参数所在范围，即通过对样本中研究对象的调查结果来</w:t>
      </w:r>
      <w:r>
        <w:rPr>
          <w:rFonts w:ascii="宋体" w:hAnsi="宋体" w:eastAsia="宋体" w:cs="宋体"/>
          <w:spacing w:val="3"/>
          <w:sz w:val="20"/>
          <w:szCs w:val="20"/>
        </w:rPr>
        <w:t>推论其所在总体的情况。</w:t>
      </w:r>
    </w:p>
    <w:p w14:paraId="5EB1BEBD">
      <w:pPr>
        <w:spacing w:before="5" w:line="341" w:lineRule="auto"/>
        <w:ind w:left="729" w:right="86" w:firstLine="430"/>
        <w:jc w:val="both"/>
        <w:rPr>
          <w:rFonts w:ascii="宋体" w:hAnsi="宋体" w:eastAsia="宋体" w:cs="宋体"/>
          <w:sz w:val="20"/>
          <w:szCs w:val="20"/>
        </w:rPr>
      </w:pPr>
      <w:r>
        <w:rPr>
          <w:rFonts w:ascii="宋体" w:hAnsi="宋体" w:eastAsia="宋体" w:cs="宋体"/>
          <w:spacing w:val="4"/>
          <w:sz w:val="20"/>
          <w:szCs w:val="20"/>
        </w:rPr>
        <w:t>与普查相比，抽样调查具有节省时间、人力和物力资源等优</w:t>
      </w:r>
      <w:r>
        <w:rPr>
          <w:rFonts w:ascii="宋体" w:hAnsi="宋体" w:eastAsia="宋体" w:cs="宋体"/>
          <w:spacing w:val="3"/>
          <w:sz w:val="20"/>
          <w:szCs w:val="20"/>
        </w:rPr>
        <w:t>点，同时由于调查范围小，调查工</w:t>
      </w:r>
      <w:r>
        <w:rPr>
          <w:rFonts w:ascii="宋体" w:hAnsi="宋体" w:eastAsia="宋体" w:cs="宋体"/>
          <w:sz w:val="20"/>
          <w:szCs w:val="20"/>
        </w:rPr>
        <w:t xml:space="preserve"> </w:t>
      </w:r>
      <w:r>
        <w:rPr>
          <w:rFonts w:ascii="宋体" w:hAnsi="宋体" w:eastAsia="宋体" w:cs="宋体"/>
          <w:spacing w:val="4"/>
          <w:sz w:val="20"/>
          <w:szCs w:val="20"/>
        </w:rPr>
        <w:t>作易于做得细致。但是抽样调查的设计、实施与资料分析均比普查要复杂；同时资料的重复或遗漏</w:t>
      </w:r>
      <w:r>
        <w:rPr>
          <w:rFonts w:ascii="宋体" w:hAnsi="宋体" w:eastAsia="宋体" w:cs="宋体"/>
          <w:spacing w:val="9"/>
          <w:sz w:val="20"/>
          <w:szCs w:val="20"/>
        </w:rPr>
        <w:t xml:space="preserve"> </w:t>
      </w:r>
      <w:r>
        <w:rPr>
          <w:rFonts w:ascii="宋体" w:hAnsi="宋体" w:eastAsia="宋体" w:cs="宋体"/>
          <w:spacing w:val="4"/>
          <w:sz w:val="20"/>
          <w:szCs w:val="20"/>
        </w:rPr>
        <w:t>不易被发现；对于变异过大的研究对象或因素以及需要普查普治的疾病则不适合用抽样调查；患病</w:t>
      </w:r>
      <w:r>
        <w:rPr>
          <w:rFonts w:ascii="宋体" w:hAnsi="宋体" w:eastAsia="宋体" w:cs="宋体"/>
          <w:spacing w:val="10"/>
          <w:sz w:val="20"/>
          <w:szCs w:val="20"/>
        </w:rPr>
        <w:t xml:space="preserve"> </w:t>
      </w:r>
      <w:r>
        <w:rPr>
          <w:rFonts w:ascii="宋体" w:hAnsi="宋体" w:eastAsia="宋体" w:cs="宋体"/>
          <w:spacing w:val="9"/>
          <w:sz w:val="20"/>
          <w:szCs w:val="20"/>
        </w:rPr>
        <w:t>率太低的疾病同样不适合用抽样调查，因为需要很大的样本量</w:t>
      </w:r>
      <w:r>
        <w:rPr>
          <w:rFonts w:ascii="宋体" w:hAnsi="宋体" w:eastAsia="宋体" w:cs="宋体"/>
          <w:spacing w:val="8"/>
          <w:sz w:val="20"/>
          <w:szCs w:val="20"/>
        </w:rPr>
        <w:t>，如果抽样比大于75%,则不如进行</w:t>
      </w:r>
      <w:r>
        <w:rPr>
          <w:rFonts w:ascii="宋体" w:hAnsi="宋体" w:eastAsia="宋体" w:cs="宋体"/>
          <w:sz w:val="20"/>
          <w:szCs w:val="20"/>
        </w:rPr>
        <w:t xml:space="preserve"> </w:t>
      </w:r>
      <w:r>
        <w:rPr>
          <w:rFonts w:ascii="宋体" w:hAnsi="宋体" w:eastAsia="宋体" w:cs="宋体"/>
          <w:spacing w:val="6"/>
          <w:sz w:val="20"/>
          <w:szCs w:val="20"/>
        </w:rPr>
        <w:t>普查。抽样调查的基本要求是能将从样本获得的结果推论到整个群体(总体),为此，抽样必须随机</w:t>
      </w:r>
      <w:r>
        <w:rPr>
          <w:rFonts w:ascii="宋体" w:hAnsi="宋体" w:eastAsia="宋体" w:cs="宋体"/>
          <w:spacing w:val="12"/>
          <w:sz w:val="20"/>
          <w:szCs w:val="20"/>
        </w:rPr>
        <w:t xml:space="preserve"> </w:t>
      </w:r>
      <w:r>
        <w:rPr>
          <w:rFonts w:ascii="宋体" w:hAnsi="宋体" w:eastAsia="宋体" w:cs="宋体"/>
          <w:spacing w:val="-1"/>
          <w:sz w:val="20"/>
          <w:szCs w:val="20"/>
        </w:rPr>
        <w:t>化，样本量要足够。</w:t>
      </w:r>
    </w:p>
    <w:p w14:paraId="7B2EA918">
      <w:pPr>
        <w:pStyle w:val="2"/>
        <w:spacing w:line="225" w:lineRule="auto"/>
        <w:ind w:left="1163"/>
        <w:rPr>
          <w:sz w:val="23"/>
          <w:szCs w:val="23"/>
        </w:rPr>
      </w:pPr>
      <w:r>
        <w:rPr>
          <w:b/>
          <w:bCs/>
          <w:spacing w:val="9"/>
          <w:sz w:val="23"/>
          <w:szCs w:val="23"/>
        </w:rPr>
        <w:t>(四)用途</w:t>
      </w:r>
    </w:p>
    <w:p w14:paraId="1D1FF541">
      <w:pPr>
        <w:spacing w:before="107" w:line="341" w:lineRule="auto"/>
        <w:ind w:left="729" w:firstLine="430"/>
        <w:rPr>
          <w:rFonts w:ascii="宋体" w:hAnsi="宋体" w:eastAsia="宋体" w:cs="宋体"/>
          <w:sz w:val="20"/>
          <w:szCs w:val="20"/>
        </w:rPr>
      </w:pPr>
      <w:r>
        <w:rPr>
          <w:rFonts w:ascii="宋体" w:hAnsi="宋体" w:eastAsia="宋体" w:cs="宋体"/>
          <w:spacing w:val="6"/>
          <w:sz w:val="20"/>
          <w:szCs w:val="20"/>
        </w:rPr>
        <w:t>现况研究的用途与描述性研究的用途相似，除可用于掌握当前人群中疾病或</w:t>
      </w:r>
      <w:r>
        <w:rPr>
          <w:rFonts w:ascii="宋体" w:hAnsi="宋体" w:eastAsia="宋体" w:cs="宋体"/>
          <w:spacing w:val="5"/>
          <w:sz w:val="20"/>
          <w:szCs w:val="20"/>
        </w:rPr>
        <w:t>健康状况的分布，</w:t>
      </w:r>
      <w:r>
        <w:rPr>
          <w:rFonts w:ascii="宋体" w:hAnsi="宋体" w:eastAsia="宋体" w:cs="宋体"/>
          <w:sz w:val="20"/>
          <w:szCs w:val="20"/>
        </w:rPr>
        <w:t xml:space="preserve"> </w:t>
      </w:r>
      <w:r>
        <w:rPr>
          <w:rFonts w:ascii="宋体" w:hAnsi="宋体" w:eastAsia="宋体" w:cs="宋体"/>
          <w:spacing w:val="2"/>
          <w:sz w:val="20"/>
          <w:szCs w:val="20"/>
        </w:rPr>
        <w:t>提供疾病病因研究的线索外，现况研究的主要用途还包括：</w:t>
      </w:r>
    </w:p>
    <w:p w14:paraId="2BB152A1">
      <w:pPr>
        <w:pStyle w:val="2"/>
        <w:spacing w:before="4" w:line="317" w:lineRule="auto"/>
        <w:ind w:left="729" w:right="90" w:firstLine="430"/>
        <w:rPr>
          <w:rFonts w:ascii="宋体" w:hAnsi="宋体" w:eastAsia="宋体" w:cs="宋体"/>
          <w:sz w:val="20"/>
          <w:szCs w:val="20"/>
        </w:rPr>
      </w:pPr>
      <w:r>
        <w:rPr>
          <w:rFonts w:ascii="宋体" w:hAnsi="宋体" w:eastAsia="宋体" w:cs="宋体"/>
          <w:spacing w:val="8"/>
          <w:sz w:val="20"/>
          <w:szCs w:val="20"/>
        </w:rPr>
        <w:t xml:space="preserve">1. </w:t>
      </w:r>
      <w:r>
        <w:rPr>
          <w:spacing w:val="8"/>
          <w:sz w:val="20"/>
          <w:szCs w:val="20"/>
        </w:rPr>
        <w:t xml:space="preserve">确定高危人群 </w:t>
      </w:r>
      <w:r>
        <w:rPr>
          <w:rFonts w:ascii="宋体" w:hAnsi="宋体" w:eastAsia="宋体" w:cs="宋体"/>
          <w:spacing w:val="8"/>
          <w:sz w:val="20"/>
          <w:szCs w:val="20"/>
        </w:rPr>
        <w:t>确定高危人群是疾病预防控制中一项极其重要的措施，特别是慢性病的预</w:t>
      </w:r>
      <w:r>
        <w:rPr>
          <w:rFonts w:ascii="宋体" w:hAnsi="宋体" w:eastAsia="宋体" w:cs="宋体"/>
          <w:spacing w:val="11"/>
          <w:sz w:val="20"/>
          <w:szCs w:val="20"/>
        </w:rPr>
        <w:t xml:space="preserve"> </w:t>
      </w:r>
      <w:r>
        <w:rPr>
          <w:rFonts w:ascii="宋体" w:hAnsi="宋体" w:eastAsia="宋体" w:cs="宋体"/>
          <w:sz w:val="20"/>
          <w:szCs w:val="20"/>
        </w:rPr>
        <w:t>防与控制，确定高危人群是早发现、早诊断、早治</w:t>
      </w:r>
      <w:r>
        <w:rPr>
          <w:rFonts w:ascii="宋体" w:hAnsi="宋体" w:eastAsia="宋体" w:cs="宋体"/>
          <w:spacing w:val="-1"/>
          <w:sz w:val="20"/>
          <w:szCs w:val="20"/>
        </w:rPr>
        <w:t>疗的首要步骤。例如，为了预防与控制脑卒中的发</w:t>
      </w:r>
      <w:r>
        <w:rPr>
          <w:rFonts w:ascii="宋体" w:hAnsi="宋体" w:eastAsia="宋体" w:cs="宋体"/>
          <w:sz w:val="20"/>
          <w:szCs w:val="20"/>
        </w:rPr>
        <w:t xml:space="preserve"> </w:t>
      </w:r>
      <w:r>
        <w:rPr>
          <w:rFonts w:ascii="宋体" w:hAnsi="宋体" w:eastAsia="宋体" w:cs="宋体"/>
          <w:spacing w:val="4"/>
          <w:sz w:val="20"/>
          <w:szCs w:val="20"/>
        </w:rPr>
        <w:t>生，需要将目标人群中该病的高危人群鉴别出来。由于高血压是脑卒中一个重要危险因素，因此可</w:t>
      </w:r>
      <w:r>
        <w:rPr>
          <w:rFonts w:ascii="宋体" w:hAnsi="宋体" w:eastAsia="宋体" w:cs="宋体"/>
          <w:spacing w:val="5"/>
          <w:sz w:val="20"/>
          <w:szCs w:val="20"/>
        </w:rPr>
        <w:t xml:space="preserve"> </w:t>
      </w:r>
      <w:r>
        <w:rPr>
          <w:rFonts w:ascii="宋体" w:hAnsi="宋体" w:eastAsia="宋体" w:cs="宋体"/>
          <w:spacing w:val="3"/>
          <w:sz w:val="20"/>
          <w:szCs w:val="20"/>
        </w:rPr>
        <w:t>以通过现况研究找出目标人群中的全部高血压病人</w:t>
      </w:r>
      <w:r>
        <w:rPr>
          <w:rFonts w:ascii="宋体" w:hAnsi="宋体" w:eastAsia="宋体" w:cs="宋体"/>
          <w:spacing w:val="2"/>
          <w:sz w:val="20"/>
          <w:szCs w:val="20"/>
        </w:rPr>
        <w:t>，将其确定为高危人群。</w:t>
      </w:r>
    </w:p>
    <w:p w14:paraId="39902EEC">
      <w:pPr>
        <w:pStyle w:val="2"/>
        <w:spacing w:before="134" w:line="306" w:lineRule="auto"/>
        <w:ind w:left="729" w:right="67" w:firstLine="430"/>
        <w:rPr>
          <w:rFonts w:ascii="宋体" w:hAnsi="宋体" w:eastAsia="宋体" w:cs="宋体"/>
          <w:sz w:val="20"/>
          <w:szCs w:val="20"/>
        </w:rPr>
      </w:pPr>
      <w:r>
        <w:rPr>
          <w:rFonts w:ascii="宋体" w:hAnsi="宋体" w:eastAsia="宋体" w:cs="宋体"/>
          <w:spacing w:val="2"/>
          <w:sz w:val="20"/>
          <w:szCs w:val="20"/>
        </w:rPr>
        <w:t xml:space="preserve">2. </w:t>
      </w:r>
      <w:r>
        <w:rPr>
          <w:spacing w:val="2"/>
          <w:sz w:val="20"/>
          <w:szCs w:val="20"/>
        </w:rPr>
        <w:t>评价疾病监测、预防接种等防制措施的效果</w:t>
      </w:r>
      <w:r>
        <w:rPr>
          <w:spacing w:val="85"/>
          <w:sz w:val="20"/>
          <w:szCs w:val="20"/>
        </w:rPr>
        <w:t xml:space="preserve"> </w:t>
      </w:r>
      <w:r>
        <w:rPr>
          <w:rFonts w:ascii="宋体" w:hAnsi="宋体" w:eastAsia="宋体" w:cs="宋体"/>
          <w:spacing w:val="2"/>
          <w:sz w:val="20"/>
          <w:szCs w:val="20"/>
        </w:rPr>
        <w:t>在疾病监测、预防接种的实施过程中，通过在</w:t>
      </w:r>
      <w:r>
        <w:rPr>
          <w:rFonts w:ascii="宋体" w:hAnsi="宋体" w:eastAsia="宋体" w:cs="宋体"/>
          <w:sz w:val="20"/>
          <w:szCs w:val="20"/>
        </w:rPr>
        <w:t xml:space="preserve"> </w:t>
      </w:r>
      <w:r>
        <w:rPr>
          <w:rFonts w:ascii="宋体" w:hAnsi="宋体" w:eastAsia="宋体" w:cs="宋体"/>
          <w:spacing w:val="5"/>
          <w:sz w:val="20"/>
          <w:szCs w:val="20"/>
        </w:rPr>
        <w:t>不同阶段重复开展现况调查，既可以获得开展其他类型流</w:t>
      </w:r>
      <w:r>
        <w:rPr>
          <w:rFonts w:ascii="宋体" w:hAnsi="宋体" w:eastAsia="宋体" w:cs="宋体"/>
          <w:spacing w:val="4"/>
          <w:sz w:val="20"/>
          <w:szCs w:val="20"/>
        </w:rPr>
        <w:t>行病学研究(如队列研究)的基线资料，也</w:t>
      </w:r>
      <w:r>
        <w:rPr>
          <w:rFonts w:ascii="宋体" w:hAnsi="宋体" w:eastAsia="宋体" w:cs="宋体"/>
          <w:sz w:val="20"/>
          <w:szCs w:val="20"/>
        </w:rPr>
        <w:t xml:space="preserve"> </w:t>
      </w:r>
      <w:r>
        <w:rPr>
          <w:rFonts w:ascii="宋体" w:hAnsi="宋体" w:eastAsia="宋体" w:cs="宋体"/>
          <w:spacing w:val="1"/>
          <w:sz w:val="20"/>
          <w:szCs w:val="20"/>
        </w:rPr>
        <w:t>可以通过对不同阶段患病率差异的比较，对防制策略、措施的效果</w:t>
      </w:r>
      <w:r>
        <w:rPr>
          <w:rFonts w:ascii="宋体" w:hAnsi="宋体" w:eastAsia="宋体" w:cs="宋体"/>
          <w:sz w:val="20"/>
          <w:szCs w:val="20"/>
        </w:rPr>
        <w:t>等进行评价。</w:t>
      </w:r>
    </w:p>
    <w:p w14:paraId="5BEA3BFB">
      <w:pPr>
        <w:pStyle w:val="2"/>
        <w:spacing w:before="312" w:line="222" w:lineRule="auto"/>
        <w:ind w:left="1163"/>
        <w:outlineLvl w:val="2"/>
        <w:rPr>
          <w:sz w:val="23"/>
          <w:szCs w:val="23"/>
        </w:rPr>
      </w:pPr>
      <w:bookmarkStart w:id="70" w:name="bookmark41"/>
      <w:bookmarkEnd w:id="70"/>
      <w:r>
        <w:rPr>
          <w:b/>
          <w:bCs/>
          <w:spacing w:val="7"/>
          <w:sz w:val="23"/>
          <w:szCs w:val="23"/>
        </w:rPr>
        <w:t>二</w:t>
      </w:r>
      <w:r>
        <w:rPr>
          <w:spacing w:val="-27"/>
          <w:sz w:val="23"/>
          <w:szCs w:val="23"/>
        </w:rPr>
        <w:t xml:space="preserve"> </w:t>
      </w:r>
      <w:r>
        <w:rPr>
          <w:b/>
          <w:bCs/>
          <w:spacing w:val="7"/>
          <w:sz w:val="23"/>
          <w:szCs w:val="23"/>
        </w:rPr>
        <w:t>、研究设计与实施</w:t>
      </w:r>
    </w:p>
    <w:p w14:paraId="2825A888">
      <w:pPr>
        <w:spacing w:before="276" w:line="341" w:lineRule="auto"/>
        <w:ind w:left="729" w:right="89" w:firstLine="430"/>
        <w:jc w:val="both"/>
        <w:rPr>
          <w:rFonts w:ascii="宋体" w:hAnsi="宋体" w:eastAsia="宋体" w:cs="宋体"/>
          <w:sz w:val="20"/>
          <w:szCs w:val="20"/>
        </w:rPr>
      </w:pPr>
      <w:r>
        <w:rPr>
          <w:rFonts w:ascii="宋体" w:hAnsi="宋体" w:eastAsia="宋体" w:cs="宋体"/>
          <w:spacing w:val="4"/>
          <w:sz w:val="20"/>
          <w:szCs w:val="20"/>
        </w:rPr>
        <w:t>由于现况研究的规模一般都较大，涉及的工作人员和调查对</w:t>
      </w:r>
      <w:r>
        <w:rPr>
          <w:rFonts w:ascii="宋体" w:hAnsi="宋体" w:eastAsia="宋体" w:cs="宋体"/>
          <w:spacing w:val="3"/>
          <w:sz w:val="20"/>
          <w:szCs w:val="20"/>
        </w:rPr>
        <w:t>象也很多，因此，科学的设计方案</w:t>
      </w:r>
      <w:r>
        <w:rPr>
          <w:rFonts w:ascii="宋体" w:hAnsi="宋体" w:eastAsia="宋体" w:cs="宋体"/>
          <w:sz w:val="20"/>
          <w:szCs w:val="20"/>
        </w:rPr>
        <w:t xml:space="preserve"> </w:t>
      </w:r>
      <w:r>
        <w:rPr>
          <w:rFonts w:ascii="宋体" w:hAnsi="宋体" w:eastAsia="宋体" w:cs="宋体"/>
          <w:spacing w:val="9"/>
          <w:sz w:val="20"/>
          <w:szCs w:val="20"/>
        </w:rPr>
        <w:t>是获得准确可靠研究结果的前提和保障。在现况研究设计中需要特别引起重视的是抽样调查中研</w:t>
      </w:r>
      <w:r>
        <w:rPr>
          <w:rFonts w:ascii="宋体" w:hAnsi="宋体" w:eastAsia="宋体" w:cs="宋体"/>
          <w:sz w:val="20"/>
          <w:szCs w:val="20"/>
        </w:rPr>
        <w:t xml:space="preserve"> </w:t>
      </w:r>
      <w:r>
        <w:rPr>
          <w:rFonts w:ascii="宋体" w:hAnsi="宋体" w:eastAsia="宋体" w:cs="宋体"/>
          <w:spacing w:val="9"/>
          <w:sz w:val="20"/>
          <w:szCs w:val="20"/>
        </w:rPr>
        <w:t>究对象的代表性，这是将研究结果向总体推论时</w:t>
      </w:r>
      <w:r>
        <w:rPr>
          <w:rFonts w:ascii="宋体" w:hAnsi="宋体" w:eastAsia="宋体" w:cs="宋体"/>
          <w:spacing w:val="8"/>
          <w:sz w:val="20"/>
          <w:szCs w:val="20"/>
        </w:rPr>
        <w:t>的必要前提，应随机抽取足够的样本并避免选择</w:t>
      </w:r>
      <w:r>
        <w:rPr>
          <w:rFonts w:ascii="宋体" w:hAnsi="宋体" w:eastAsia="宋体" w:cs="宋体"/>
          <w:sz w:val="20"/>
          <w:szCs w:val="20"/>
        </w:rPr>
        <w:t xml:space="preserve"> </w:t>
      </w:r>
      <w:r>
        <w:rPr>
          <w:rFonts w:ascii="宋体" w:hAnsi="宋体" w:eastAsia="宋体" w:cs="宋体"/>
          <w:spacing w:val="13"/>
          <w:sz w:val="20"/>
          <w:szCs w:val="20"/>
        </w:rPr>
        <w:t>偏倚。</w:t>
      </w:r>
    </w:p>
    <w:p w14:paraId="1F99DAE0">
      <w:pPr>
        <w:pStyle w:val="2"/>
        <w:spacing w:before="1" w:line="220" w:lineRule="auto"/>
        <w:ind w:left="1163"/>
        <w:rPr>
          <w:sz w:val="23"/>
          <w:szCs w:val="23"/>
        </w:rPr>
      </w:pPr>
      <w:r>
        <w:rPr>
          <w:b/>
          <w:bCs/>
          <w:spacing w:val="-7"/>
          <w:sz w:val="23"/>
          <w:szCs w:val="23"/>
        </w:rPr>
        <w:t>(一)确定研究目的与类型</w:t>
      </w:r>
    </w:p>
    <w:p w14:paraId="1CD92731">
      <w:pPr>
        <w:spacing w:before="127" w:line="352" w:lineRule="auto"/>
        <w:ind w:left="729" w:right="89" w:firstLine="430"/>
        <w:jc w:val="both"/>
        <w:rPr>
          <w:rFonts w:ascii="宋体" w:hAnsi="宋体" w:eastAsia="宋体" w:cs="宋体"/>
          <w:sz w:val="20"/>
          <w:szCs w:val="20"/>
        </w:rPr>
      </w:pPr>
      <w:r>
        <w:rPr>
          <w:rFonts w:ascii="宋体" w:hAnsi="宋体" w:eastAsia="宋体" w:cs="宋体"/>
          <w:spacing w:val="-1"/>
          <w:sz w:val="20"/>
          <w:szCs w:val="20"/>
        </w:rPr>
        <w:t>研究目的是设计的核心依据，应根据研究所期望解决的问题，明确该次调查</w:t>
      </w:r>
      <w:r>
        <w:rPr>
          <w:rFonts w:ascii="宋体" w:hAnsi="宋体" w:eastAsia="宋体" w:cs="宋体"/>
          <w:spacing w:val="-2"/>
          <w:sz w:val="20"/>
          <w:szCs w:val="20"/>
        </w:rPr>
        <w:t>的目的，例如：是为</w:t>
      </w:r>
      <w:r>
        <w:rPr>
          <w:rFonts w:ascii="宋体" w:hAnsi="宋体" w:eastAsia="宋体" w:cs="宋体"/>
          <w:sz w:val="20"/>
          <w:szCs w:val="20"/>
        </w:rPr>
        <w:t xml:space="preserve"> </w:t>
      </w:r>
      <w:r>
        <w:rPr>
          <w:rFonts w:ascii="宋体" w:hAnsi="宋体" w:eastAsia="宋体" w:cs="宋体"/>
          <w:spacing w:val="4"/>
          <w:sz w:val="20"/>
          <w:szCs w:val="20"/>
        </w:rPr>
        <w:t>了了解某疾病或健康状况的人群分布情况，还是为了发现某疾病的全部病例；是考核防制措施的效</w:t>
      </w:r>
      <w:r>
        <w:rPr>
          <w:rFonts w:ascii="宋体" w:hAnsi="宋体" w:eastAsia="宋体" w:cs="宋体"/>
          <w:spacing w:val="5"/>
          <w:sz w:val="20"/>
          <w:szCs w:val="20"/>
        </w:rPr>
        <w:t xml:space="preserve"> </w:t>
      </w:r>
      <w:r>
        <w:rPr>
          <w:rFonts w:ascii="宋体" w:hAnsi="宋体" w:eastAsia="宋体" w:cs="宋体"/>
          <w:sz w:val="20"/>
          <w:szCs w:val="20"/>
        </w:rPr>
        <w:t>果，还是探索病因或危险因素；是为社区诊断提供基线资料，还是为卫生决策提供科学参考。</w:t>
      </w:r>
    </w:p>
    <w:p w14:paraId="44CFD936">
      <w:pPr>
        <w:spacing w:before="6" w:line="327" w:lineRule="auto"/>
        <w:ind w:left="729" w:right="91" w:firstLine="430"/>
        <w:rPr>
          <w:rFonts w:ascii="宋体" w:hAnsi="宋体" w:eastAsia="宋体" w:cs="宋体"/>
          <w:sz w:val="20"/>
          <w:szCs w:val="20"/>
        </w:rPr>
      </w:pPr>
      <w:r>
        <w:rPr>
          <w:rFonts w:ascii="宋体" w:hAnsi="宋体" w:eastAsia="宋体" w:cs="宋体"/>
          <w:spacing w:val="9"/>
          <w:sz w:val="20"/>
          <w:szCs w:val="20"/>
        </w:rPr>
        <w:t>根据具体的研究目的来确定是采用普查还是抽样调查，此时需</w:t>
      </w:r>
      <w:r>
        <w:rPr>
          <w:rFonts w:ascii="宋体" w:hAnsi="宋体" w:eastAsia="宋体" w:cs="宋体"/>
          <w:spacing w:val="8"/>
          <w:sz w:val="20"/>
          <w:szCs w:val="20"/>
        </w:rPr>
        <w:t>要充分考虑两种研究类型的优</w:t>
      </w:r>
      <w:r>
        <w:rPr>
          <w:rFonts w:ascii="宋体" w:hAnsi="宋体" w:eastAsia="宋体" w:cs="宋体"/>
          <w:sz w:val="20"/>
          <w:szCs w:val="20"/>
        </w:rPr>
        <w:t xml:space="preserve"> </w:t>
      </w:r>
      <w:r>
        <w:rPr>
          <w:rFonts w:ascii="宋体" w:hAnsi="宋体" w:eastAsia="宋体" w:cs="宋体"/>
          <w:spacing w:val="2"/>
          <w:sz w:val="20"/>
          <w:szCs w:val="20"/>
        </w:rPr>
        <w:t>缺点，以便在有限的资源下取得预期的研究结果。</w:t>
      </w:r>
    </w:p>
    <w:p w14:paraId="650414B4">
      <w:pPr>
        <w:pStyle w:val="2"/>
        <w:spacing w:before="1" w:line="221" w:lineRule="auto"/>
        <w:ind w:left="1163"/>
        <w:rPr>
          <w:sz w:val="23"/>
          <w:szCs w:val="23"/>
        </w:rPr>
      </w:pPr>
      <w:r>
        <w:rPr>
          <w:b/>
          <w:bCs/>
          <w:sz w:val="23"/>
          <w:szCs w:val="23"/>
        </w:rPr>
        <w:t>(二)确定研究对象</w:t>
      </w:r>
    </w:p>
    <w:p w14:paraId="2180E03E">
      <w:pPr>
        <w:spacing w:before="136" w:line="339" w:lineRule="auto"/>
        <w:ind w:left="729" w:right="68" w:firstLine="430"/>
        <w:jc w:val="both"/>
        <w:rPr>
          <w:rFonts w:ascii="宋体" w:hAnsi="宋体" w:eastAsia="宋体" w:cs="宋体"/>
          <w:sz w:val="20"/>
          <w:szCs w:val="20"/>
        </w:rPr>
      </w:pPr>
      <w:r>
        <w:rPr>
          <w:rFonts w:ascii="宋体" w:hAnsi="宋体" w:eastAsia="宋体" w:cs="宋体"/>
          <w:spacing w:val="4"/>
          <w:sz w:val="20"/>
          <w:szCs w:val="20"/>
        </w:rPr>
        <w:t>根据研究目的和研究类型选择合适的研究对象。在设计时，应对调查对象的人群特征、地域范</w:t>
      </w:r>
      <w:r>
        <w:rPr>
          <w:rFonts w:ascii="宋体" w:hAnsi="宋体" w:eastAsia="宋体" w:cs="宋体"/>
          <w:spacing w:val="6"/>
          <w:sz w:val="20"/>
          <w:szCs w:val="20"/>
        </w:rPr>
        <w:t xml:space="preserve"> </w:t>
      </w:r>
      <w:r>
        <w:rPr>
          <w:rFonts w:ascii="宋体" w:hAnsi="宋体" w:eastAsia="宋体" w:cs="宋体"/>
          <w:spacing w:val="9"/>
          <w:sz w:val="20"/>
          <w:szCs w:val="20"/>
        </w:rPr>
        <w:t>围以及调查时间点有一个明确的规定，并结合实际情况明确在目标人群中开展调查的可行性。研</w:t>
      </w:r>
      <w:r>
        <w:rPr>
          <w:rFonts w:ascii="宋体" w:hAnsi="宋体" w:eastAsia="宋体" w:cs="宋体"/>
          <w:sz w:val="20"/>
          <w:szCs w:val="20"/>
        </w:rPr>
        <w:t xml:space="preserve"> </w:t>
      </w:r>
      <w:r>
        <w:rPr>
          <w:rFonts w:ascii="宋体" w:hAnsi="宋体" w:eastAsia="宋体" w:cs="宋体"/>
          <w:spacing w:val="4"/>
          <w:sz w:val="20"/>
          <w:szCs w:val="20"/>
        </w:rPr>
        <w:t xml:space="preserve">究对象可以是某个区域内的全部居民或其中的一部分，如调查老年人，则选择区域内≥60岁者；也 </w:t>
      </w:r>
      <w:r>
        <w:rPr>
          <w:rFonts w:ascii="宋体" w:hAnsi="宋体" w:eastAsia="宋体" w:cs="宋体"/>
          <w:spacing w:val="5"/>
          <w:sz w:val="20"/>
          <w:szCs w:val="20"/>
        </w:rPr>
        <w:t>可以由某一时点上的流动人员所组成，如某年、月、日某</w:t>
      </w:r>
      <w:r>
        <w:rPr>
          <w:rFonts w:ascii="宋体" w:hAnsi="宋体" w:eastAsia="宋体" w:cs="宋体"/>
          <w:spacing w:val="4"/>
          <w:sz w:val="20"/>
          <w:szCs w:val="20"/>
        </w:rPr>
        <w:t>医院的就诊个体；还可以采用某些特殊群</w:t>
      </w:r>
      <w:r>
        <w:rPr>
          <w:rFonts w:ascii="宋体" w:hAnsi="宋体" w:eastAsia="宋体" w:cs="宋体"/>
          <w:sz w:val="20"/>
          <w:szCs w:val="20"/>
        </w:rPr>
        <w:t xml:space="preserve"> </w:t>
      </w:r>
      <w:r>
        <w:rPr>
          <w:rFonts w:ascii="宋体" w:hAnsi="宋体" w:eastAsia="宋体" w:cs="宋体"/>
          <w:spacing w:val="3"/>
          <w:sz w:val="20"/>
          <w:szCs w:val="20"/>
        </w:rPr>
        <w:t>体作为研究对象，如选择某种职业工作者来研究</w:t>
      </w:r>
      <w:r>
        <w:rPr>
          <w:rFonts w:ascii="宋体" w:hAnsi="宋体" w:eastAsia="宋体" w:cs="宋体"/>
          <w:spacing w:val="2"/>
          <w:sz w:val="20"/>
          <w:szCs w:val="20"/>
        </w:rPr>
        <w:t>相应的职业病等。</w:t>
      </w:r>
    </w:p>
    <w:p w14:paraId="398BA0B1">
      <w:pPr>
        <w:pStyle w:val="2"/>
        <w:spacing w:before="2" w:line="220" w:lineRule="auto"/>
        <w:ind w:left="1163"/>
        <w:rPr>
          <w:sz w:val="23"/>
          <w:szCs w:val="23"/>
        </w:rPr>
      </w:pPr>
      <w:r>
        <w:rPr>
          <w:b/>
          <w:bCs/>
          <w:spacing w:val="-7"/>
          <w:sz w:val="23"/>
          <w:szCs w:val="23"/>
        </w:rPr>
        <w:t>(三)确定样本量和抽样方法</w:t>
      </w:r>
    </w:p>
    <w:p w14:paraId="72D5D7C1">
      <w:pPr>
        <w:pStyle w:val="2"/>
        <w:spacing w:before="136" w:line="369" w:lineRule="auto"/>
        <w:ind w:left="729" w:firstLine="430"/>
        <w:rPr>
          <w:rFonts w:ascii="宋体" w:hAnsi="宋体" w:eastAsia="宋体" w:cs="宋体"/>
          <w:sz w:val="20"/>
          <w:szCs w:val="20"/>
        </w:rPr>
      </w:pPr>
      <w:r>
        <w:rPr>
          <w:rFonts w:ascii="宋体" w:hAnsi="宋体" w:eastAsia="宋体" w:cs="宋体"/>
          <w:spacing w:val="6"/>
          <w:sz w:val="20"/>
          <w:szCs w:val="20"/>
        </w:rPr>
        <w:t xml:space="preserve">1. </w:t>
      </w:r>
      <w:r>
        <w:rPr>
          <w:spacing w:val="6"/>
          <w:sz w:val="20"/>
          <w:szCs w:val="20"/>
        </w:rPr>
        <w:t xml:space="preserve">样本量 </w:t>
      </w:r>
      <w:r>
        <w:rPr>
          <w:rFonts w:ascii="宋体" w:hAnsi="宋体" w:eastAsia="宋体" w:cs="宋体"/>
          <w:spacing w:val="6"/>
          <w:sz w:val="20"/>
          <w:szCs w:val="20"/>
        </w:rPr>
        <w:t>一般来说，由于抽样调查较普查有很多</w:t>
      </w:r>
      <w:r>
        <w:rPr>
          <w:rFonts w:ascii="宋体" w:hAnsi="宋体" w:eastAsia="宋体" w:cs="宋体"/>
          <w:spacing w:val="5"/>
          <w:sz w:val="20"/>
          <w:szCs w:val="20"/>
        </w:rPr>
        <w:t>优越性，所以现况研究通常采用抽样调查。</w:t>
      </w:r>
      <w:r>
        <w:rPr>
          <w:rFonts w:ascii="宋体" w:hAnsi="宋体" w:eastAsia="宋体" w:cs="宋体"/>
          <w:sz w:val="20"/>
          <w:szCs w:val="20"/>
        </w:rPr>
        <w:t xml:space="preserve"> </w:t>
      </w:r>
      <w:r>
        <w:rPr>
          <w:rFonts w:ascii="宋体" w:hAnsi="宋体" w:eastAsia="宋体" w:cs="宋体"/>
          <w:spacing w:val="8"/>
          <w:sz w:val="20"/>
          <w:szCs w:val="20"/>
        </w:rPr>
        <w:t>当然，也可以采用抽样调查与普查相结合的方法。例如，1989年我国进行了以县(区)为抽样单位</w:t>
      </w:r>
    </w:p>
    <w:p w14:paraId="7D8C4574">
      <w:pPr>
        <w:spacing w:line="369" w:lineRule="auto"/>
        <w:rPr>
          <w:rFonts w:ascii="宋体" w:hAnsi="宋体" w:eastAsia="宋体" w:cs="宋体"/>
          <w:sz w:val="20"/>
          <w:szCs w:val="20"/>
        </w:rPr>
        <w:sectPr>
          <w:footerReference r:id="rId66" w:type="default"/>
          <w:pgSz w:w="11900" w:h="16820"/>
          <w:pgMar w:top="400" w:right="1519" w:bottom="819" w:left="780" w:header="0" w:footer="639" w:gutter="0"/>
          <w:cols w:space="720" w:num="1"/>
        </w:sectPr>
      </w:pPr>
    </w:p>
    <w:p w14:paraId="1E988B03">
      <w:pPr>
        <w:spacing w:line="277" w:lineRule="auto"/>
        <w:rPr>
          <w:rFonts w:ascii="Arial"/>
          <w:sz w:val="21"/>
        </w:rPr>
      </w:pPr>
    </w:p>
    <w:p w14:paraId="6E290395">
      <w:pPr>
        <w:pStyle w:val="2"/>
        <w:spacing w:before="68" w:line="222" w:lineRule="auto"/>
        <w:ind w:left="7670"/>
        <w:rPr>
          <w:sz w:val="21"/>
          <w:szCs w:val="21"/>
        </w:rPr>
      </w:pPr>
      <w:bookmarkStart w:id="71" w:name="bookmark426"/>
      <w:bookmarkEnd w:id="71"/>
      <w:r>
        <w:rPr>
          <w:spacing w:val="-10"/>
          <w:sz w:val="21"/>
          <w:szCs w:val="21"/>
        </w:rPr>
        <w:t>第三章描述性研究</w:t>
      </w:r>
    </w:p>
    <w:p w14:paraId="45D9CE77">
      <w:pPr>
        <w:spacing w:line="272" w:lineRule="auto"/>
        <w:rPr>
          <w:rFonts w:ascii="Arial"/>
          <w:sz w:val="21"/>
        </w:rPr>
      </w:pPr>
    </w:p>
    <w:p w14:paraId="56127DE5">
      <w:pPr>
        <w:spacing w:line="272" w:lineRule="auto"/>
        <w:rPr>
          <w:rFonts w:ascii="Arial"/>
          <w:sz w:val="21"/>
        </w:rPr>
      </w:pPr>
    </w:p>
    <w:p w14:paraId="44F4AAEC">
      <w:pPr>
        <w:spacing w:before="68" w:line="322" w:lineRule="auto"/>
        <w:ind w:left="9" w:right="634" w:firstLine="19"/>
        <w:jc w:val="both"/>
        <w:rPr>
          <w:rFonts w:ascii="宋体" w:hAnsi="宋体" w:eastAsia="宋体" w:cs="宋体"/>
          <w:sz w:val="21"/>
          <w:szCs w:val="21"/>
        </w:rPr>
      </w:pPr>
      <w:r>
        <w:rPr>
          <w:rFonts w:ascii="宋体" w:hAnsi="宋体" w:eastAsia="宋体" w:cs="宋体"/>
          <w:spacing w:val="10"/>
          <w:sz w:val="21"/>
          <w:szCs w:val="21"/>
        </w:rPr>
        <w:t>的1/10人口的居民全死因调查。此项研究中，采</w:t>
      </w:r>
      <w:r>
        <w:rPr>
          <w:rFonts w:ascii="宋体" w:hAnsi="宋体" w:eastAsia="宋体" w:cs="宋体"/>
          <w:spacing w:val="9"/>
          <w:sz w:val="21"/>
          <w:szCs w:val="21"/>
        </w:rPr>
        <w:t>用整群抽样技术，被抽到的县(区)则进行居民全</w:t>
      </w:r>
      <w:r>
        <w:rPr>
          <w:rFonts w:ascii="宋体" w:hAnsi="宋体" w:eastAsia="宋体" w:cs="宋体"/>
          <w:sz w:val="21"/>
          <w:szCs w:val="21"/>
        </w:rPr>
        <w:t xml:space="preserve"> </w:t>
      </w:r>
      <w:r>
        <w:rPr>
          <w:rFonts w:ascii="宋体" w:hAnsi="宋体" w:eastAsia="宋体" w:cs="宋体"/>
          <w:spacing w:val="11"/>
          <w:sz w:val="21"/>
          <w:szCs w:val="21"/>
        </w:rPr>
        <w:t>死因的普查，而所有被抽取的县(区)则构成了一个全国居民的代表性</w:t>
      </w:r>
      <w:r>
        <w:rPr>
          <w:rFonts w:ascii="宋体" w:hAnsi="宋体" w:eastAsia="宋体" w:cs="宋体"/>
          <w:spacing w:val="10"/>
          <w:sz w:val="21"/>
          <w:szCs w:val="21"/>
        </w:rPr>
        <w:t>样本。该抽样调查的抽样比</w:t>
      </w:r>
      <w:r>
        <w:rPr>
          <w:rFonts w:ascii="宋体" w:hAnsi="宋体" w:eastAsia="宋体" w:cs="宋体"/>
          <w:sz w:val="21"/>
          <w:szCs w:val="21"/>
        </w:rPr>
        <w:t xml:space="preserve"> </w:t>
      </w:r>
      <w:r>
        <w:rPr>
          <w:rFonts w:ascii="宋体" w:hAnsi="宋体" w:eastAsia="宋体" w:cs="宋体"/>
          <w:spacing w:val="11"/>
          <w:sz w:val="21"/>
          <w:szCs w:val="21"/>
        </w:rPr>
        <w:t>为1/10常住人口数。</w:t>
      </w:r>
    </w:p>
    <w:p w14:paraId="2DF4297C">
      <w:pPr>
        <w:spacing w:before="2" w:line="313" w:lineRule="auto"/>
        <w:ind w:left="9" w:right="562" w:firstLine="440"/>
        <w:jc w:val="both"/>
        <w:rPr>
          <w:rFonts w:ascii="宋体" w:hAnsi="宋体" w:eastAsia="宋体" w:cs="宋体"/>
          <w:sz w:val="21"/>
          <w:szCs w:val="21"/>
        </w:rPr>
      </w:pPr>
      <w:r>
        <w:rPr>
          <w:rFonts w:ascii="宋体" w:hAnsi="宋体" w:eastAsia="宋体" w:cs="宋体"/>
          <w:spacing w:val="9"/>
          <w:sz w:val="21"/>
          <w:szCs w:val="21"/>
        </w:rPr>
        <w:t>决定现况研究的样本量大小的因素主要包括：①</w:t>
      </w:r>
      <w:r>
        <w:rPr>
          <w:rFonts w:ascii="宋体" w:hAnsi="宋体" w:eastAsia="宋体" w:cs="宋体"/>
          <w:spacing w:val="8"/>
          <w:sz w:val="21"/>
          <w:szCs w:val="21"/>
        </w:rPr>
        <w:t>预期现患率</w:t>
      </w:r>
      <w:r>
        <w:rPr>
          <w:rFonts w:ascii="Times New Roman" w:hAnsi="Times New Roman" w:eastAsia="Times New Roman" w:cs="Times New Roman"/>
          <w:spacing w:val="8"/>
          <w:sz w:val="21"/>
          <w:szCs w:val="21"/>
        </w:rPr>
        <w:t>(p);</w:t>
      </w:r>
      <w:r>
        <w:rPr>
          <w:rFonts w:ascii="宋体" w:hAnsi="宋体" w:eastAsia="宋体" w:cs="宋体"/>
          <w:spacing w:val="8"/>
          <w:sz w:val="21"/>
          <w:szCs w:val="21"/>
        </w:rPr>
        <w:t>②</w:t>
      </w:r>
      <w:r>
        <w:rPr>
          <w:rFonts w:ascii="宋体" w:hAnsi="宋体" w:eastAsia="宋体" w:cs="宋体"/>
          <w:spacing w:val="-50"/>
          <w:sz w:val="21"/>
          <w:szCs w:val="21"/>
        </w:rPr>
        <w:t xml:space="preserve"> </w:t>
      </w:r>
      <w:r>
        <w:rPr>
          <w:rFonts w:ascii="宋体" w:hAnsi="宋体" w:eastAsia="宋体" w:cs="宋体"/>
          <w:spacing w:val="8"/>
          <w:sz w:val="21"/>
          <w:szCs w:val="21"/>
        </w:rPr>
        <w:t>对调查结果精确性的要求：</w:t>
      </w:r>
      <w:r>
        <w:rPr>
          <w:rFonts w:ascii="宋体" w:hAnsi="宋体" w:eastAsia="宋体" w:cs="宋体"/>
          <w:sz w:val="21"/>
          <w:szCs w:val="21"/>
        </w:rPr>
        <w:t xml:space="preserve"> </w:t>
      </w:r>
      <w:r>
        <w:rPr>
          <w:rFonts w:ascii="宋体" w:hAnsi="宋体" w:eastAsia="宋体" w:cs="宋体"/>
          <w:spacing w:val="3"/>
          <w:sz w:val="21"/>
          <w:szCs w:val="21"/>
        </w:rPr>
        <w:t>即容许误差(d) 越大，所需样本量就越小；③要求的显著性水平(α):α值越小，</w:t>
      </w:r>
      <w:r>
        <w:rPr>
          <w:rFonts w:ascii="宋体" w:hAnsi="宋体" w:eastAsia="宋体" w:cs="宋体"/>
          <w:spacing w:val="2"/>
          <w:sz w:val="21"/>
          <w:szCs w:val="21"/>
        </w:rPr>
        <w:t>即显著性水平要求</w:t>
      </w:r>
      <w:r>
        <w:rPr>
          <w:rFonts w:ascii="宋体" w:hAnsi="宋体" w:eastAsia="宋体" w:cs="宋体"/>
          <w:sz w:val="21"/>
          <w:szCs w:val="21"/>
        </w:rPr>
        <w:t xml:space="preserve">  </w:t>
      </w:r>
      <w:r>
        <w:rPr>
          <w:rFonts w:ascii="宋体" w:hAnsi="宋体" w:eastAsia="宋体" w:cs="宋体"/>
          <w:spacing w:val="2"/>
          <w:sz w:val="21"/>
          <w:szCs w:val="21"/>
        </w:rPr>
        <w:t>越高，样本量要求越大。一般地，对某病的现患</w:t>
      </w:r>
      <w:r>
        <w:rPr>
          <w:rFonts w:ascii="宋体" w:hAnsi="宋体" w:eastAsia="宋体" w:cs="宋体"/>
          <w:spacing w:val="1"/>
          <w:sz w:val="21"/>
          <w:szCs w:val="21"/>
        </w:rPr>
        <w:t>率进行调查时，样本量</w:t>
      </w:r>
      <w:r>
        <w:rPr>
          <w:rFonts w:ascii="Times New Roman" w:hAnsi="Times New Roman" w:eastAsia="Times New Roman" w:cs="Times New Roman"/>
          <w:spacing w:val="1"/>
          <w:sz w:val="21"/>
          <w:szCs w:val="21"/>
        </w:rPr>
        <w:t xml:space="preserve">(n)  </w:t>
      </w:r>
      <w:r>
        <w:rPr>
          <w:rFonts w:ascii="宋体" w:hAnsi="宋体" w:eastAsia="宋体" w:cs="宋体"/>
          <w:spacing w:val="1"/>
          <w:sz w:val="21"/>
          <w:szCs w:val="21"/>
        </w:rPr>
        <w:t>可用下式估计。</w:t>
      </w:r>
    </w:p>
    <w:p w14:paraId="12189D32">
      <w:pPr>
        <w:spacing w:line="131" w:lineRule="exact"/>
      </w:pPr>
    </w:p>
    <w:p w14:paraId="5F24768A">
      <w:pPr>
        <w:spacing w:line="131" w:lineRule="exact"/>
        <w:sectPr>
          <w:footerReference r:id="rId67" w:type="default"/>
          <w:pgSz w:w="11900" w:h="16820"/>
          <w:pgMar w:top="400" w:right="692" w:bottom="950" w:left="1279" w:header="0" w:footer="677" w:gutter="0"/>
          <w:cols w:equalWidth="0" w:num="1">
            <w:col w:w="9928"/>
          </w:cols>
        </w:sectPr>
      </w:pPr>
    </w:p>
    <w:p w14:paraId="7F06A7EC">
      <w:pPr>
        <w:spacing w:before="43" w:line="550" w:lineRule="exact"/>
        <w:ind w:firstLine="4370"/>
      </w:pPr>
      <w:r>
        <w:rPr>
          <w:position w:val="-11"/>
        </w:rPr>
        <w:drawing>
          <wp:inline distT="0" distB="0" distL="0" distR="0">
            <wp:extent cx="380365" cy="349250"/>
            <wp:effectExtent l="0" t="0" r="0" b="0"/>
            <wp:docPr id="158" name="IM 158"/>
            <wp:cNvGraphicFramePr/>
            <a:graphic xmlns:a="http://schemas.openxmlformats.org/drawingml/2006/main">
              <a:graphicData uri="http://schemas.openxmlformats.org/drawingml/2006/picture">
                <pic:pic xmlns:pic="http://schemas.openxmlformats.org/drawingml/2006/picture">
                  <pic:nvPicPr>
                    <pic:cNvPr id="158" name="IM 158"/>
                    <pic:cNvPicPr/>
                  </pic:nvPicPr>
                  <pic:blipFill>
                    <a:blip r:embed="rId455"/>
                    <a:stretch>
                      <a:fillRect/>
                    </a:stretch>
                  </pic:blipFill>
                  <pic:spPr>
                    <a:xfrm>
                      <a:off x="0" y="0"/>
                      <a:ext cx="380998" cy="349258"/>
                    </a:xfrm>
                    <a:prstGeom prst="rect">
                      <a:avLst/>
                    </a:prstGeom>
                  </pic:spPr>
                </pic:pic>
              </a:graphicData>
            </a:graphic>
          </wp:inline>
        </w:drawing>
      </w:r>
    </w:p>
    <w:p w14:paraId="73494222">
      <w:pPr>
        <w:spacing w:before="240"/>
        <w:ind w:left="19"/>
        <w:rPr>
          <w:rFonts w:ascii="宋体" w:hAnsi="宋体" w:eastAsia="宋体" w:cs="宋体"/>
          <w:sz w:val="21"/>
          <w:szCs w:val="21"/>
        </w:rPr>
      </w:pPr>
      <w:r>
        <w:rPr>
          <w:rFonts w:ascii="宋体" w:hAnsi="宋体" w:eastAsia="宋体" w:cs="宋体"/>
          <w:spacing w:val="-11"/>
          <w:sz w:val="21"/>
          <w:szCs w:val="21"/>
        </w:rPr>
        <w:t>式中，s,为</w:t>
      </w:r>
      <w:r>
        <w:rPr>
          <w:rFonts w:ascii="宋体" w:hAnsi="宋体" w:eastAsia="宋体" w:cs="宋体"/>
          <w:spacing w:val="-42"/>
          <w:sz w:val="21"/>
          <w:szCs w:val="21"/>
        </w:rPr>
        <w:t xml:space="preserve"> </w:t>
      </w:r>
      <w:r>
        <w:rPr>
          <w:rFonts w:ascii="宋体" w:hAnsi="宋体" w:eastAsia="宋体" w:cs="宋体"/>
          <w:spacing w:val="-11"/>
          <w:sz w:val="21"/>
          <w:szCs w:val="21"/>
        </w:rPr>
        <w:t>p</w:t>
      </w:r>
      <w:r>
        <w:rPr>
          <w:rFonts w:ascii="宋体" w:hAnsi="宋体" w:eastAsia="宋体" w:cs="宋体"/>
          <w:spacing w:val="-54"/>
          <w:sz w:val="21"/>
          <w:szCs w:val="21"/>
        </w:rPr>
        <w:t xml:space="preserve"> </w:t>
      </w:r>
      <w:r>
        <w:rPr>
          <w:rFonts w:ascii="宋体" w:hAnsi="宋体" w:eastAsia="宋体" w:cs="宋体"/>
          <w:spacing w:val="-11"/>
          <w:sz w:val="21"/>
          <w:szCs w:val="21"/>
        </w:rPr>
        <w:t>的标准误。令：</w:t>
      </w:r>
      <w:r>
        <w:rPr>
          <w:position w:val="-21"/>
          <w:sz w:val="21"/>
          <w:szCs w:val="21"/>
        </w:rPr>
        <w:drawing>
          <wp:inline distT="0" distB="0" distL="0" distR="0">
            <wp:extent cx="577215" cy="361950"/>
            <wp:effectExtent l="0" t="0" r="0" b="0"/>
            <wp:docPr id="160" name="IM 160"/>
            <wp:cNvGraphicFramePr/>
            <a:graphic xmlns:a="http://schemas.openxmlformats.org/drawingml/2006/main">
              <a:graphicData uri="http://schemas.openxmlformats.org/drawingml/2006/picture">
                <pic:pic xmlns:pic="http://schemas.openxmlformats.org/drawingml/2006/picture">
                  <pic:nvPicPr>
                    <pic:cNvPr id="160" name="IM 160"/>
                    <pic:cNvPicPr/>
                  </pic:nvPicPr>
                  <pic:blipFill>
                    <a:blip r:embed="rId456"/>
                    <a:stretch>
                      <a:fillRect/>
                    </a:stretch>
                  </pic:blipFill>
                  <pic:spPr>
                    <a:xfrm>
                      <a:off x="0" y="0"/>
                      <a:ext cx="577845" cy="361968"/>
                    </a:xfrm>
                    <a:prstGeom prst="rect">
                      <a:avLst/>
                    </a:prstGeom>
                  </pic:spPr>
                </pic:pic>
              </a:graphicData>
            </a:graphic>
          </wp:inline>
        </w:drawing>
      </w:r>
      <w:r>
        <w:rPr>
          <w:rFonts w:ascii="宋体" w:hAnsi="宋体" w:eastAsia="宋体" w:cs="宋体"/>
          <w:spacing w:val="-11"/>
          <w:position w:val="3"/>
          <w:sz w:val="21"/>
          <w:szCs w:val="21"/>
        </w:rPr>
        <w:t>,则有</w:t>
      </w:r>
    </w:p>
    <w:p w14:paraId="206F8627">
      <w:pPr>
        <w:spacing w:before="239" w:line="872" w:lineRule="exact"/>
        <w:ind w:firstLine="3599"/>
      </w:pPr>
      <w:r>
        <w:rPr>
          <w:position w:val="-17"/>
        </w:rPr>
        <w:drawing>
          <wp:inline distT="0" distB="0" distL="0" distR="0">
            <wp:extent cx="1365250" cy="553720"/>
            <wp:effectExtent l="0" t="0" r="0" b="0"/>
            <wp:docPr id="162" name="IM 162"/>
            <wp:cNvGraphicFramePr/>
            <a:graphic xmlns:a="http://schemas.openxmlformats.org/drawingml/2006/main">
              <a:graphicData uri="http://schemas.openxmlformats.org/drawingml/2006/picture">
                <pic:pic xmlns:pic="http://schemas.openxmlformats.org/drawingml/2006/picture">
                  <pic:nvPicPr>
                    <pic:cNvPr id="162" name="IM 162"/>
                    <pic:cNvPicPr/>
                  </pic:nvPicPr>
                  <pic:blipFill>
                    <a:blip r:embed="rId457"/>
                    <a:stretch>
                      <a:fillRect/>
                    </a:stretch>
                  </pic:blipFill>
                  <pic:spPr>
                    <a:xfrm>
                      <a:off x="0" y="0"/>
                      <a:ext cx="1365640" cy="554001"/>
                    </a:xfrm>
                    <a:prstGeom prst="rect">
                      <a:avLst/>
                    </a:prstGeom>
                  </pic:spPr>
                </pic:pic>
              </a:graphicData>
            </a:graphic>
          </wp:inline>
        </w:drawing>
      </w:r>
    </w:p>
    <w:p w14:paraId="1F29E2A6">
      <w:pPr>
        <w:spacing w:line="42" w:lineRule="exact"/>
      </w:pPr>
    </w:p>
    <w:p w14:paraId="1F70C08E">
      <w:pPr>
        <w:spacing w:line="14" w:lineRule="auto"/>
        <w:rPr>
          <w:rFonts w:ascii="Arial"/>
          <w:sz w:val="2"/>
        </w:rPr>
      </w:pPr>
      <w:r>
        <w:rPr>
          <w:rFonts w:ascii="Arial" w:hAnsi="Arial" w:eastAsia="Arial" w:cs="Arial"/>
          <w:sz w:val="2"/>
          <w:szCs w:val="2"/>
        </w:rPr>
        <w:br w:type="column"/>
      </w:r>
    </w:p>
    <w:p w14:paraId="064F63C5">
      <w:pPr>
        <w:spacing w:before="199" w:line="223" w:lineRule="auto"/>
        <w:rPr>
          <w:rFonts w:ascii="FangSong" w:hAnsi="FangSong" w:eastAsia="FangSong" w:cs="FangSong"/>
          <w:sz w:val="21"/>
          <w:szCs w:val="21"/>
        </w:rPr>
      </w:pPr>
      <w:r>
        <w:rPr>
          <w:rFonts w:ascii="FangSong" w:hAnsi="FangSong" w:eastAsia="FangSong" w:cs="FangSong"/>
          <w:spacing w:val="13"/>
          <w:sz w:val="21"/>
          <w:szCs w:val="21"/>
        </w:rPr>
        <w:t>式(3-1)</w:t>
      </w:r>
    </w:p>
    <w:p w14:paraId="1133B489">
      <w:pPr>
        <w:rPr>
          <w:rFonts w:ascii="Arial"/>
          <w:sz w:val="21"/>
        </w:rPr>
      </w:pPr>
    </w:p>
    <w:p w14:paraId="3C82C240">
      <w:pPr>
        <w:rPr>
          <w:rFonts w:ascii="Arial"/>
          <w:sz w:val="21"/>
        </w:rPr>
      </w:pPr>
    </w:p>
    <w:p w14:paraId="7E29BA6C">
      <w:pPr>
        <w:rPr>
          <w:rFonts w:ascii="Arial"/>
          <w:sz w:val="21"/>
        </w:rPr>
      </w:pPr>
    </w:p>
    <w:p w14:paraId="525A72BB">
      <w:pPr>
        <w:rPr>
          <w:rFonts w:ascii="Arial"/>
          <w:sz w:val="21"/>
        </w:rPr>
      </w:pPr>
    </w:p>
    <w:p w14:paraId="1B19B3BA">
      <w:pPr>
        <w:rPr>
          <w:rFonts w:ascii="Arial"/>
          <w:sz w:val="21"/>
        </w:rPr>
      </w:pPr>
    </w:p>
    <w:p w14:paraId="6C0E6E22">
      <w:pPr>
        <w:spacing w:line="241" w:lineRule="auto"/>
        <w:rPr>
          <w:rFonts w:ascii="Arial"/>
          <w:sz w:val="21"/>
        </w:rPr>
      </w:pPr>
    </w:p>
    <w:p w14:paraId="561C14BB">
      <w:pPr>
        <w:spacing w:before="69" w:line="221" w:lineRule="auto"/>
        <w:rPr>
          <w:rFonts w:ascii="宋体" w:hAnsi="宋体" w:eastAsia="宋体" w:cs="宋体"/>
          <w:sz w:val="21"/>
          <w:szCs w:val="21"/>
        </w:rPr>
      </w:pPr>
      <w:r>
        <w:rPr>
          <w:rFonts w:ascii="宋体" w:hAnsi="宋体" w:eastAsia="宋体" w:cs="宋体"/>
          <w:spacing w:val="13"/>
          <w:sz w:val="21"/>
          <w:szCs w:val="21"/>
        </w:rPr>
        <w:t>式(3-2)</w:t>
      </w:r>
    </w:p>
    <w:p w14:paraId="09AB5C57">
      <w:pPr>
        <w:spacing w:line="221" w:lineRule="auto"/>
        <w:rPr>
          <w:rFonts w:ascii="宋体" w:hAnsi="宋体" w:eastAsia="宋体" w:cs="宋体"/>
          <w:sz w:val="21"/>
          <w:szCs w:val="21"/>
        </w:rPr>
        <w:sectPr>
          <w:type w:val="continuous"/>
          <w:pgSz w:w="11900" w:h="16820"/>
          <w:pgMar w:top="400" w:right="692" w:bottom="950" w:left="1279" w:header="0" w:footer="677" w:gutter="0"/>
          <w:cols w:equalWidth="0" w:num="2">
            <w:col w:w="8421" w:space="100"/>
            <w:col w:w="1408"/>
          </w:cols>
        </w:sectPr>
      </w:pPr>
    </w:p>
    <w:p w14:paraId="41077459">
      <w:pPr>
        <w:spacing w:before="242" w:line="315" w:lineRule="auto"/>
        <w:ind w:left="18" w:right="643" w:hanging="9"/>
        <w:rPr>
          <w:rFonts w:ascii="宋体" w:hAnsi="宋体" w:eastAsia="宋体" w:cs="宋体"/>
          <w:sz w:val="21"/>
          <w:szCs w:val="21"/>
        </w:rPr>
      </w:pPr>
      <w:r>
        <w:rPr>
          <w:rFonts w:ascii="宋体" w:hAnsi="宋体" w:eastAsia="宋体" w:cs="宋体"/>
          <w:spacing w:val="-1"/>
          <w:sz w:val="21"/>
          <w:szCs w:val="21"/>
        </w:rPr>
        <w:t>式中，</w:t>
      </w:r>
      <w:r>
        <w:rPr>
          <w:rFonts w:ascii="Times New Roman" w:hAnsi="Times New Roman" w:eastAsia="Times New Roman" w:cs="Times New Roman"/>
          <w:spacing w:val="-1"/>
          <w:sz w:val="21"/>
          <w:szCs w:val="21"/>
        </w:rPr>
        <w:t xml:space="preserve">p </w:t>
      </w:r>
      <w:r>
        <w:rPr>
          <w:rFonts w:ascii="宋体" w:hAnsi="宋体" w:eastAsia="宋体" w:cs="宋体"/>
          <w:spacing w:val="-1"/>
          <w:sz w:val="21"/>
          <w:szCs w:val="21"/>
        </w:rPr>
        <w:t>为预期的现患率，</w:t>
      </w:r>
      <w:r>
        <w:rPr>
          <w:rFonts w:ascii="Times New Roman" w:hAnsi="Times New Roman" w:eastAsia="Times New Roman" w:cs="Times New Roman"/>
          <w:spacing w:val="-1"/>
          <w:sz w:val="21"/>
          <w:szCs w:val="21"/>
        </w:rPr>
        <w:t xml:space="preserve">q=1-p,d    </w:t>
      </w:r>
      <w:r>
        <w:rPr>
          <w:rFonts w:ascii="宋体" w:hAnsi="宋体" w:eastAsia="宋体" w:cs="宋体"/>
          <w:spacing w:val="-1"/>
          <w:sz w:val="21"/>
          <w:szCs w:val="21"/>
        </w:rPr>
        <w:t>为容许误差，</w:t>
      </w:r>
      <w:r>
        <w:rPr>
          <w:rFonts w:ascii="Times New Roman" w:hAnsi="Times New Roman" w:eastAsia="Times New Roman" w:cs="Times New Roman"/>
          <w:spacing w:val="-1"/>
          <w:sz w:val="21"/>
          <w:szCs w:val="21"/>
        </w:rPr>
        <w:t>Z1-a₂</w:t>
      </w:r>
      <w:r>
        <w:rPr>
          <w:rFonts w:ascii="宋体" w:hAnsi="宋体" w:eastAsia="宋体" w:cs="宋体"/>
          <w:spacing w:val="-1"/>
          <w:sz w:val="21"/>
          <w:szCs w:val="21"/>
        </w:rPr>
        <w:t>为显著性检验的统计量，</w:t>
      </w:r>
      <w:r>
        <w:rPr>
          <w:rFonts w:ascii="Times New Roman" w:hAnsi="Times New Roman" w:eastAsia="Times New Roman" w:cs="Times New Roman"/>
          <w:spacing w:val="-1"/>
          <w:sz w:val="21"/>
          <w:szCs w:val="21"/>
        </w:rPr>
        <w:t>n</w:t>
      </w:r>
      <w:r>
        <w:rPr>
          <w:rFonts w:ascii="Times New Roman" w:hAnsi="Times New Roman" w:eastAsia="Times New Roman" w:cs="Times New Roman"/>
          <w:spacing w:val="24"/>
          <w:sz w:val="21"/>
          <w:szCs w:val="21"/>
        </w:rPr>
        <w:t xml:space="preserve"> </w:t>
      </w:r>
      <w:r>
        <w:rPr>
          <w:rFonts w:ascii="宋体" w:hAnsi="宋体" w:eastAsia="宋体" w:cs="宋体"/>
          <w:spacing w:val="-1"/>
          <w:sz w:val="21"/>
          <w:szCs w:val="21"/>
        </w:rPr>
        <w:t>为样本量。α=0</w:t>
      </w:r>
      <w:r>
        <w:rPr>
          <w:rFonts w:ascii="宋体" w:hAnsi="宋体" w:eastAsia="宋体" w:cs="宋体"/>
          <w:spacing w:val="-2"/>
          <w:sz w:val="21"/>
          <w:szCs w:val="21"/>
        </w:rPr>
        <w:t>.05</w:t>
      </w:r>
      <w:r>
        <w:rPr>
          <w:rFonts w:ascii="宋体" w:hAnsi="宋体" w:eastAsia="宋体" w:cs="宋体"/>
          <w:sz w:val="21"/>
          <w:szCs w:val="21"/>
        </w:rPr>
        <w:t xml:space="preserve"> </w:t>
      </w:r>
      <w:r>
        <w:rPr>
          <w:rFonts w:ascii="宋体" w:hAnsi="宋体" w:eastAsia="宋体" w:cs="宋体"/>
          <w:spacing w:val="-12"/>
          <w:sz w:val="21"/>
          <w:szCs w:val="21"/>
        </w:rPr>
        <w:t>时</w:t>
      </w:r>
      <w:r>
        <w:rPr>
          <w:rFonts w:ascii="宋体" w:hAnsi="宋体" w:eastAsia="宋体" w:cs="宋体"/>
          <w:spacing w:val="-35"/>
          <w:sz w:val="21"/>
          <w:szCs w:val="21"/>
        </w:rPr>
        <w:t xml:space="preserve"> </w:t>
      </w:r>
      <w:r>
        <w:rPr>
          <w:rFonts w:ascii="宋体" w:hAnsi="宋体" w:eastAsia="宋体" w:cs="宋体"/>
          <w:spacing w:val="-12"/>
          <w:sz w:val="21"/>
          <w:szCs w:val="21"/>
        </w:rPr>
        <w:t>，</w:t>
      </w:r>
      <w:r>
        <w:rPr>
          <w:rFonts w:ascii="Times New Roman" w:hAnsi="Times New Roman" w:eastAsia="Times New Roman" w:cs="Times New Roman"/>
          <w:spacing w:val="-12"/>
          <w:sz w:val="21"/>
          <w:szCs w:val="21"/>
        </w:rPr>
        <w:t>Z1-az=1.96;α=0.01</w:t>
      </w:r>
      <w:r>
        <w:rPr>
          <w:rFonts w:ascii="Times New Roman" w:hAnsi="Times New Roman" w:eastAsia="Times New Roman" w:cs="Times New Roman"/>
          <w:spacing w:val="9"/>
          <w:sz w:val="21"/>
          <w:szCs w:val="21"/>
        </w:rPr>
        <w:t xml:space="preserve">   </w:t>
      </w:r>
      <w:r>
        <w:rPr>
          <w:rFonts w:ascii="宋体" w:hAnsi="宋体" w:eastAsia="宋体" w:cs="宋体"/>
          <w:spacing w:val="-12"/>
          <w:sz w:val="21"/>
          <w:szCs w:val="21"/>
        </w:rPr>
        <w:t>时</w:t>
      </w:r>
      <w:r>
        <w:rPr>
          <w:rFonts w:ascii="宋体" w:hAnsi="宋体" w:eastAsia="宋体" w:cs="宋体"/>
          <w:spacing w:val="-36"/>
          <w:sz w:val="21"/>
          <w:szCs w:val="21"/>
        </w:rPr>
        <w:t xml:space="preserve"> </w:t>
      </w:r>
      <w:r>
        <w:rPr>
          <w:rFonts w:ascii="宋体" w:hAnsi="宋体" w:eastAsia="宋体" w:cs="宋体"/>
          <w:spacing w:val="-12"/>
          <w:sz w:val="21"/>
          <w:szCs w:val="21"/>
        </w:rPr>
        <w:t>，</w:t>
      </w:r>
      <w:r>
        <w:rPr>
          <w:rFonts w:ascii="Times New Roman" w:hAnsi="Times New Roman" w:eastAsia="Times New Roman" w:cs="Times New Roman"/>
          <w:spacing w:val="-12"/>
          <w:sz w:val="21"/>
          <w:szCs w:val="21"/>
        </w:rPr>
        <w:t>Z1-a₁2=2.58</w:t>
      </w:r>
      <w:r>
        <w:rPr>
          <w:rFonts w:ascii="宋体" w:hAnsi="宋体" w:eastAsia="宋体" w:cs="宋体"/>
          <w:spacing w:val="-12"/>
          <w:sz w:val="21"/>
          <w:szCs w:val="21"/>
        </w:rPr>
        <w:t>。</w:t>
      </w:r>
    </w:p>
    <w:p w14:paraId="6DACEAD1">
      <w:pPr>
        <w:spacing w:before="41" w:line="214" w:lineRule="auto"/>
        <w:ind w:left="440"/>
        <w:rPr>
          <w:rFonts w:ascii="宋体" w:hAnsi="宋体" w:eastAsia="宋体" w:cs="宋体"/>
          <w:sz w:val="21"/>
          <w:szCs w:val="21"/>
        </w:rPr>
      </w:pPr>
      <w:r>
        <w:rPr>
          <w:rFonts w:ascii="宋体" w:hAnsi="宋体" w:eastAsia="宋体" w:cs="宋体"/>
          <w:spacing w:val="-9"/>
          <w:sz w:val="21"/>
          <w:szCs w:val="21"/>
        </w:rPr>
        <w:t>设 ：d</w:t>
      </w:r>
      <w:r>
        <w:rPr>
          <w:rFonts w:ascii="宋体" w:hAnsi="宋体" w:eastAsia="宋体" w:cs="宋体"/>
          <w:spacing w:val="-33"/>
          <w:sz w:val="21"/>
          <w:szCs w:val="21"/>
        </w:rPr>
        <w:t xml:space="preserve"> </w:t>
      </w:r>
      <w:r>
        <w:rPr>
          <w:rFonts w:ascii="宋体" w:hAnsi="宋体" w:eastAsia="宋体" w:cs="宋体"/>
          <w:spacing w:val="-9"/>
          <w:sz w:val="21"/>
          <w:szCs w:val="21"/>
        </w:rPr>
        <w:t>为</w:t>
      </w:r>
      <w:r>
        <w:rPr>
          <w:rFonts w:ascii="宋体" w:hAnsi="宋体" w:eastAsia="宋体" w:cs="宋体"/>
          <w:spacing w:val="-44"/>
          <w:sz w:val="21"/>
          <w:szCs w:val="21"/>
        </w:rPr>
        <w:t xml:space="preserve"> </w:t>
      </w:r>
      <w:r>
        <w:rPr>
          <w:rFonts w:ascii="宋体" w:hAnsi="宋体" w:eastAsia="宋体" w:cs="宋体"/>
          <w:spacing w:val="-9"/>
          <w:sz w:val="21"/>
          <w:szCs w:val="21"/>
        </w:rPr>
        <w:t>p</w:t>
      </w:r>
      <w:r>
        <w:rPr>
          <w:rFonts w:ascii="宋体" w:hAnsi="宋体" w:eastAsia="宋体" w:cs="宋体"/>
          <w:spacing w:val="-45"/>
          <w:sz w:val="21"/>
          <w:szCs w:val="21"/>
        </w:rPr>
        <w:t xml:space="preserve"> </w:t>
      </w:r>
      <w:r>
        <w:rPr>
          <w:rFonts w:ascii="宋体" w:hAnsi="宋体" w:eastAsia="宋体" w:cs="宋体"/>
          <w:spacing w:val="-9"/>
          <w:sz w:val="21"/>
          <w:szCs w:val="21"/>
        </w:rPr>
        <w:t>的一个分数。当d=0.1×p,并且α=0.05时，Z1-a/2=1.96≈2</w:t>
      </w:r>
    </w:p>
    <w:p w14:paraId="41121E8B">
      <w:pPr>
        <w:spacing w:before="93" w:line="220" w:lineRule="auto"/>
        <w:ind w:left="440"/>
        <w:rPr>
          <w:rFonts w:ascii="宋体" w:hAnsi="宋体" w:eastAsia="宋体" w:cs="宋体"/>
          <w:sz w:val="21"/>
          <w:szCs w:val="21"/>
        </w:rPr>
      </w:pPr>
      <w:r>
        <w:rPr>
          <w:rFonts w:ascii="宋体" w:hAnsi="宋体" w:eastAsia="宋体" w:cs="宋体"/>
          <w:spacing w:val="5"/>
          <w:sz w:val="21"/>
          <w:szCs w:val="21"/>
        </w:rPr>
        <w:t>则式(3-2)写成：</w:t>
      </w:r>
    </w:p>
    <w:p w14:paraId="146539FE">
      <w:pPr>
        <w:pStyle w:val="2"/>
        <w:spacing w:before="251"/>
        <w:ind w:left="4150"/>
        <w:rPr>
          <w:sz w:val="21"/>
          <w:szCs w:val="21"/>
        </w:rPr>
      </w:pPr>
      <w:r>
        <w:rPr>
          <w:position w:val="-17"/>
          <w:sz w:val="21"/>
          <w:szCs w:val="21"/>
        </w:rPr>
        <w:drawing>
          <wp:inline distT="0" distB="0" distL="0" distR="0">
            <wp:extent cx="660400" cy="304800"/>
            <wp:effectExtent l="0" t="0" r="0" b="0"/>
            <wp:docPr id="164" name="IM 164"/>
            <wp:cNvGraphicFramePr/>
            <a:graphic xmlns:a="http://schemas.openxmlformats.org/drawingml/2006/main">
              <a:graphicData uri="http://schemas.openxmlformats.org/drawingml/2006/picture">
                <pic:pic xmlns:pic="http://schemas.openxmlformats.org/drawingml/2006/picture">
                  <pic:nvPicPr>
                    <pic:cNvPr id="164" name="IM 164"/>
                    <pic:cNvPicPr/>
                  </pic:nvPicPr>
                  <pic:blipFill>
                    <a:blip r:embed="rId458"/>
                    <a:stretch>
                      <a:fillRect/>
                    </a:stretch>
                  </pic:blipFill>
                  <pic:spPr>
                    <a:xfrm>
                      <a:off x="0" y="0"/>
                      <a:ext cx="660437" cy="304827"/>
                    </a:xfrm>
                    <a:prstGeom prst="rect">
                      <a:avLst/>
                    </a:prstGeom>
                  </pic:spPr>
                </pic:pic>
              </a:graphicData>
            </a:graphic>
          </wp:inline>
        </w:drawing>
      </w:r>
      <w:r>
        <w:rPr>
          <w:spacing w:val="3"/>
          <w:sz w:val="21"/>
          <w:szCs w:val="21"/>
        </w:rPr>
        <w:t xml:space="preserve">                          </w:t>
      </w:r>
      <w:r>
        <w:rPr>
          <w:spacing w:val="2"/>
          <w:sz w:val="21"/>
          <w:szCs w:val="21"/>
        </w:rPr>
        <w:t xml:space="preserve">     </w:t>
      </w:r>
      <w:r>
        <w:rPr>
          <w:spacing w:val="15"/>
          <w:sz w:val="21"/>
          <w:szCs w:val="21"/>
        </w:rPr>
        <w:t>式(3-3)</w:t>
      </w:r>
    </w:p>
    <w:p w14:paraId="537AFF62">
      <w:pPr>
        <w:spacing w:before="255" w:line="299" w:lineRule="auto"/>
        <w:ind w:left="9" w:right="643" w:firstLine="440"/>
        <w:rPr>
          <w:rFonts w:ascii="宋体" w:hAnsi="宋体" w:eastAsia="宋体" w:cs="宋体"/>
          <w:sz w:val="21"/>
          <w:szCs w:val="21"/>
        </w:rPr>
      </w:pPr>
      <w:r>
        <w:rPr>
          <w:rFonts w:ascii="宋体" w:hAnsi="宋体" w:eastAsia="宋体" w:cs="宋体"/>
          <w:spacing w:val="-1"/>
          <w:sz w:val="21"/>
          <w:szCs w:val="21"/>
        </w:rPr>
        <w:t>若允许误差</w:t>
      </w:r>
      <w:r>
        <w:rPr>
          <w:rFonts w:ascii="Times New Roman" w:hAnsi="Times New Roman" w:eastAsia="Times New Roman" w:cs="Times New Roman"/>
          <w:spacing w:val="-1"/>
          <w:sz w:val="21"/>
          <w:szCs w:val="21"/>
        </w:rPr>
        <w:t xml:space="preserve">d=0.15p,  </w:t>
      </w:r>
      <w:r>
        <w:rPr>
          <w:rFonts w:ascii="宋体" w:hAnsi="宋体" w:eastAsia="宋体" w:cs="宋体"/>
          <w:spacing w:val="-1"/>
          <w:sz w:val="21"/>
          <w:szCs w:val="21"/>
        </w:rPr>
        <w:t>则</w:t>
      </w:r>
      <w:r>
        <w:rPr>
          <w:rFonts w:ascii="宋体" w:hAnsi="宋体" w:eastAsia="宋体" w:cs="宋体"/>
          <w:spacing w:val="-43"/>
          <w:sz w:val="21"/>
          <w:szCs w:val="21"/>
        </w:rPr>
        <w:t xml:space="preserve"> </w:t>
      </w:r>
      <w:r>
        <w:rPr>
          <w:rFonts w:ascii="Times New Roman" w:hAnsi="Times New Roman" w:eastAsia="Times New Roman" w:cs="Times New Roman"/>
          <w:spacing w:val="-1"/>
          <w:sz w:val="21"/>
          <w:szCs w:val="21"/>
        </w:rPr>
        <w:t xml:space="preserve">n=178×q/p;   </w:t>
      </w:r>
      <w:r>
        <w:rPr>
          <w:rFonts w:ascii="宋体" w:hAnsi="宋体" w:eastAsia="宋体" w:cs="宋体"/>
          <w:spacing w:val="-1"/>
          <w:sz w:val="21"/>
          <w:szCs w:val="21"/>
        </w:rPr>
        <w:t>同理</w:t>
      </w:r>
      <w:r>
        <w:rPr>
          <w:rFonts w:ascii="宋体" w:hAnsi="宋体" w:eastAsia="宋体" w:cs="宋体"/>
          <w:spacing w:val="-2"/>
          <w:sz w:val="21"/>
          <w:szCs w:val="21"/>
        </w:rPr>
        <w:t>，</w:t>
      </w:r>
      <w:r>
        <w:rPr>
          <w:rFonts w:ascii="Times New Roman" w:hAnsi="Times New Roman" w:eastAsia="Times New Roman" w:cs="Times New Roman"/>
          <w:spacing w:val="-2"/>
          <w:sz w:val="21"/>
          <w:szCs w:val="21"/>
        </w:rPr>
        <w:t xml:space="preserve">d=0.2p  </w:t>
      </w:r>
      <w:r>
        <w:rPr>
          <w:rFonts w:ascii="宋体" w:hAnsi="宋体" w:eastAsia="宋体" w:cs="宋体"/>
          <w:spacing w:val="-2"/>
          <w:sz w:val="21"/>
          <w:szCs w:val="21"/>
        </w:rPr>
        <w:t>时</w:t>
      </w:r>
      <w:r>
        <w:rPr>
          <w:rFonts w:ascii="宋体" w:hAnsi="宋体" w:eastAsia="宋体" w:cs="宋体"/>
          <w:spacing w:val="-25"/>
          <w:sz w:val="21"/>
          <w:szCs w:val="21"/>
        </w:rPr>
        <w:t xml:space="preserve"> </w:t>
      </w:r>
      <w:r>
        <w:rPr>
          <w:rFonts w:ascii="宋体" w:hAnsi="宋体" w:eastAsia="宋体" w:cs="宋体"/>
          <w:spacing w:val="-2"/>
          <w:sz w:val="21"/>
          <w:szCs w:val="21"/>
        </w:rPr>
        <w:t>，</w:t>
      </w:r>
      <w:r>
        <w:rPr>
          <w:rFonts w:ascii="Times New Roman" w:hAnsi="Times New Roman" w:eastAsia="Times New Roman" w:cs="Times New Roman"/>
          <w:spacing w:val="-2"/>
          <w:sz w:val="21"/>
          <w:szCs w:val="21"/>
        </w:rPr>
        <w:t>n=100×qlp</w:t>
      </w:r>
      <w:r>
        <w:rPr>
          <w:rFonts w:ascii="Times New Roman" w:hAnsi="Times New Roman" w:eastAsia="Times New Roman" w:cs="Times New Roman"/>
          <w:spacing w:val="-24"/>
          <w:sz w:val="21"/>
          <w:szCs w:val="21"/>
        </w:rPr>
        <w:t xml:space="preserve"> </w:t>
      </w:r>
      <w:r>
        <w:rPr>
          <w:rFonts w:ascii="宋体" w:hAnsi="宋体" w:eastAsia="宋体" w:cs="宋体"/>
          <w:spacing w:val="-2"/>
          <w:sz w:val="21"/>
          <w:szCs w:val="21"/>
        </w:rPr>
        <w:t>。 以上计算，显著性水平α均</w:t>
      </w:r>
      <w:r>
        <w:rPr>
          <w:rFonts w:ascii="宋体" w:hAnsi="宋体" w:eastAsia="宋体" w:cs="宋体"/>
          <w:sz w:val="21"/>
          <w:szCs w:val="21"/>
        </w:rPr>
        <w:t xml:space="preserve"> </w:t>
      </w:r>
      <w:r>
        <w:rPr>
          <w:rFonts w:ascii="宋体" w:hAnsi="宋体" w:eastAsia="宋体" w:cs="宋体"/>
          <w:spacing w:val="5"/>
          <w:sz w:val="21"/>
          <w:szCs w:val="21"/>
        </w:rPr>
        <w:t>取0.05。</w:t>
      </w:r>
    </w:p>
    <w:p w14:paraId="375C6294">
      <w:pPr>
        <w:spacing w:before="29" w:line="320" w:lineRule="auto"/>
        <w:ind w:right="647" w:firstLine="460"/>
        <w:jc w:val="both"/>
        <w:rPr>
          <w:rFonts w:ascii="宋体" w:hAnsi="宋体" w:eastAsia="宋体" w:cs="宋体"/>
          <w:sz w:val="21"/>
          <w:szCs w:val="21"/>
        </w:rPr>
      </w:pPr>
      <w:r>
        <w:rPr>
          <w:rFonts w:ascii="宋体" w:hAnsi="宋体" w:eastAsia="宋体" w:cs="宋体"/>
          <w:spacing w:val="8"/>
          <w:sz w:val="21"/>
          <w:szCs w:val="21"/>
        </w:rPr>
        <w:t>以上样本量估计公式仅适用于</w:t>
      </w:r>
      <w:r>
        <w:rPr>
          <w:rFonts w:ascii="Times New Roman" w:hAnsi="Times New Roman" w:eastAsia="Times New Roman" w:cs="Times New Roman"/>
          <w:spacing w:val="8"/>
          <w:sz w:val="21"/>
          <w:szCs w:val="21"/>
        </w:rPr>
        <w:t xml:space="preserve">n×p&gt;5   </w:t>
      </w:r>
      <w:r>
        <w:rPr>
          <w:rFonts w:ascii="宋体" w:hAnsi="宋体" w:eastAsia="宋体" w:cs="宋体"/>
          <w:spacing w:val="8"/>
          <w:sz w:val="21"/>
          <w:szCs w:val="21"/>
        </w:rPr>
        <w:t>的</w:t>
      </w:r>
      <w:r>
        <w:rPr>
          <w:rFonts w:ascii="宋体" w:hAnsi="宋体" w:eastAsia="宋体" w:cs="宋体"/>
          <w:spacing w:val="7"/>
          <w:sz w:val="21"/>
          <w:szCs w:val="21"/>
        </w:rPr>
        <w:t>情况，如果</w:t>
      </w:r>
      <w:r>
        <w:rPr>
          <w:rFonts w:ascii="Times New Roman" w:hAnsi="Times New Roman" w:eastAsia="Times New Roman" w:cs="Times New Roman"/>
          <w:sz w:val="21"/>
          <w:szCs w:val="21"/>
        </w:rPr>
        <w:t>nxp</w:t>
      </w:r>
      <w:r>
        <w:rPr>
          <w:rFonts w:ascii="Times New Roman" w:hAnsi="Times New Roman" w:eastAsia="Times New Roman" w:cs="Times New Roman"/>
          <w:spacing w:val="7"/>
          <w:sz w:val="21"/>
          <w:szCs w:val="21"/>
        </w:rPr>
        <w:t xml:space="preserve">≤5    </w:t>
      </w:r>
      <w:r>
        <w:rPr>
          <w:rFonts w:ascii="宋体" w:hAnsi="宋体" w:eastAsia="宋体" w:cs="宋体"/>
          <w:spacing w:val="7"/>
          <w:sz w:val="21"/>
          <w:szCs w:val="21"/>
        </w:rPr>
        <w:t>则宜用</w:t>
      </w:r>
      <w:r>
        <w:rPr>
          <w:rFonts w:ascii="Times New Roman" w:hAnsi="Times New Roman" w:eastAsia="Times New Roman" w:cs="Times New Roman"/>
          <w:sz w:val="21"/>
          <w:szCs w:val="21"/>
        </w:rPr>
        <w:t>Poisson</w:t>
      </w:r>
      <w:r>
        <w:rPr>
          <w:rFonts w:ascii="Times New Roman" w:hAnsi="Times New Roman" w:eastAsia="Times New Roman" w:cs="Times New Roman"/>
          <w:spacing w:val="18"/>
          <w:sz w:val="21"/>
          <w:szCs w:val="21"/>
        </w:rPr>
        <w:t xml:space="preserve"> </w:t>
      </w:r>
      <w:r>
        <w:rPr>
          <w:rFonts w:ascii="宋体" w:hAnsi="宋体" w:eastAsia="宋体" w:cs="宋体"/>
          <w:spacing w:val="7"/>
          <w:sz w:val="21"/>
          <w:szCs w:val="21"/>
        </w:rPr>
        <w:t>分布的办法来估算</w:t>
      </w:r>
      <w:r>
        <w:rPr>
          <w:rFonts w:ascii="宋体" w:hAnsi="宋体" w:eastAsia="宋体" w:cs="宋体"/>
          <w:sz w:val="21"/>
          <w:szCs w:val="21"/>
        </w:rPr>
        <w:t xml:space="preserve"> </w:t>
      </w:r>
      <w:r>
        <w:rPr>
          <w:rFonts w:ascii="宋体" w:hAnsi="宋体" w:eastAsia="宋体" w:cs="宋体"/>
          <w:spacing w:val="13"/>
          <w:sz w:val="21"/>
          <w:szCs w:val="21"/>
        </w:rPr>
        <w:t>样本量。表3-1为</w:t>
      </w:r>
      <w:r>
        <w:rPr>
          <w:rFonts w:ascii="Times New Roman" w:hAnsi="Times New Roman" w:eastAsia="Times New Roman" w:cs="Times New Roman"/>
          <w:sz w:val="21"/>
          <w:szCs w:val="21"/>
        </w:rPr>
        <w:t>Poisson</w:t>
      </w:r>
      <w:r>
        <w:rPr>
          <w:rFonts w:ascii="Times New Roman" w:hAnsi="Times New Roman" w:eastAsia="Times New Roman" w:cs="Times New Roman"/>
          <w:spacing w:val="13"/>
          <w:sz w:val="21"/>
          <w:szCs w:val="21"/>
        </w:rPr>
        <w:t xml:space="preserve"> </w:t>
      </w:r>
      <w:r>
        <w:rPr>
          <w:rFonts w:ascii="宋体" w:hAnsi="宋体" w:eastAsia="宋体" w:cs="宋体"/>
          <w:spacing w:val="13"/>
          <w:sz w:val="21"/>
          <w:szCs w:val="21"/>
        </w:rPr>
        <w:t>分布期望值的0.90和0.95可信限简表(部分),可用此表来估</w:t>
      </w:r>
      <w:r>
        <w:rPr>
          <w:rFonts w:ascii="宋体" w:hAnsi="宋体" w:eastAsia="宋体" w:cs="宋体"/>
          <w:spacing w:val="12"/>
          <w:sz w:val="21"/>
          <w:szCs w:val="21"/>
        </w:rPr>
        <w:t>计调查的样</w:t>
      </w:r>
      <w:r>
        <w:rPr>
          <w:rFonts w:ascii="宋体" w:hAnsi="宋体" w:eastAsia="宋体" w:cs="宋体"/>
          <w:sz w:val="21"/>
          <w:szCs w:val="21"/>
        </w:rPr>
        <w:t xml:space="preserve"> </w:t>
      </w:r>
      <w:r>
        <w:rPr>
          <w:rFonts w:ascii="宋体" w:hAnsi="宋体" w:eastAsia="宋体" w:cs="宋体"/>
          <w:spacing w:val="4"/>
          <w:sz w:val="21"/>
          <w:szCs w:val="21"/>
        </w:rPr>
        <w:t>本量。例：某地区估计肝癌现患率为20/10万，应抽样调查多少人?</w:t>
      </w:r>
    </w:p>
    <w:p w14:paraId="03B4CDF9">
      <w:pPr>
        <w:spacing w:before="160" w:line="219" w:lineRule="auto"/>
        <w:ind w:left="1900"/>
        <w:rPr>
          <w:rFonts w:ascii="宋体" w:hAnsi="宋体" w:eastAsia="宋体" w:cs="宋体"/>
          <w:sz w:val="20"/>
          <w:szCs w:val="20"/>
        </w:rPr>
      </w:pPr>
      <w:r>
        <w:rPr>
          <w:rFonts w:ascii="宋体" w:hAnsi="宋体" w:eastAsia="宋体" w:cs="宋体"/>
          <w:spacing w:val="2"/>
          <w:sz w:val="20"/>
          <w:szCs w:val="20"/>
        </w:rPr>
        <w:t xml:space="preserve">表3-1 </w:t>
      </w:r>
      <w:r>
        <w:rPr>
          <w:rFonts w:ascii="宋体" w:hAnsi="宋体" w:eastAsia="宋体" w:cs="宋体"/>
          <w:sz w:val="20"/>
          <w:szCs w:val="20"/>
        </w:rPr>
        <w:t>Poisson</w:t>
      </w:r>
      <w:r>
        <w:rPr>
          <w:rFonts w:ascii="宋体" w:hAnsi="宋体" w:eastAsia="宋体" w:cs="宋体"/>
          <w:spacing w:val="2"/>
          <w:sz w:val="20"/>
          <w:szCs w:val="20"/>
        </w:rPr>
        <w:t>分布期望值的可信限简表(部分)</w:t>
      </w:r>
    </w:p>
    <w:p w14:paraId="361216B8">
      <w:pPr>
        <w:spacing w:line="21" w:lineRule="exact"/>
      </w:pPr>
    </w:p>
    <w:tbl>
      <w:tblPr>
        <w:tblStyle w:val="5"/>
        <w:tblW w:w="9280" w:type="dxa"/>
        <w:tblInd w:w="19"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0" w:type="dxa"/>
          <w:left w:w="0" w:type="dxa"/>
          <w:bottom w:w="0" w:type="dxa"/>
          <w:right w:w="0" w:type="dxa"/>
        </w:tblCellMar>
      </w:tblPr>
      <w:tblGrid>
        <w:gridCol w:w="1860"/>
        <w:gridCol w:w="1860"/>
        <w:gridCol w:w="1780"/>
        <w:gridCol w:w="1990"/>
        <w:gridCol w:w="1790"/>
      </w:tblGrid>
      <w:tr w14:paraId="3F088A01">
        <w:trPr>
          <w:trHeight w:val="369" w:hRule="atLeast"/>
        </w:trPr>
        <w:tc>
          <w:tcPr>
            <w:tcW w:w="1860" w:type="dxa"/>
            <w:vMerge w:val="restart"/>
            <w:tcBorders>
              <w:top w:val="single" w:color="000000" w:sz="2" w:space="0"/>
              <w:bottom w:val="nil"/>
            </w:tcBorders>
            <w:shd w:val="clear" w:color="auto" w:fill="BBBDB8"/>
            <w:vAlign w:val="top"/>
          </w:tcPr>
          <w:p w14:paraId="23B25D69">
            <w:pPr>
              <w:pStyle w:val="6"/>
              <w:spacing w:before="288" w:line="219" w:lineRule="auto"/>
              <w:ind w:left="430"/>
            </w:pPr>
            <w:r>
              <w:rPr>
                <w:spacing w:val="-2"/>
              </w:rPr>
              <w:t>期望病例数</w:t>
            </w:r>
          </w:p>
        </w:tc>
        <w:tc>
          <w:tcPr>
            <w:tcW w:w="3640" w:type="dxa"/>
            <w:gridSpan w:val="2"/>
            <w:tcBorders>
              <w:top w:val="single" w:color="000000" w:sz="2" w:space="0"/>
              <w:bottom w:val="single" w:color="000000" w:sz="2" w:space="0"/>
            </w:tcBorders>
            <w:shd w:val="clear" w:color="auto" w:fill="BFC1BB"/>
            <w:vAlign w:val="top"/>
          </w:tcPr>
          <w:p w14:paraId="63268AA9">
            <w:pPr>
              <w:pStyle w:val="6"/>
              <w:spacing w:before="107" w:line="232" w:lineRule="auto"/>
              <w:ind w:left="1620"/>
            </w:pPr>
            <w:r>
              <w:rPr>
                <w:spacing w:val="-2"/>
              </w:rPr>
              <w:t>0.95</w:t>
            </w:r>
          </w:p>
        </w:tc>
        <w:tc>
          <w:tcPr>
            <w:tcW w:w="3780" w:type="dxa"/>
            <w:gridSpan w:val="2"/>
            <w:tcBorders>
              <w:top w:val="single" w:color="000000" w:sz="2" w:space="0"/>
              <w:bottom w:val="single" w:color="000000" w:sz="2" w:space="0"/>
            </w:tcBorders>
            <w:shd w:val="clear" w:color="auto" w:fill="C4C5BD"/>
            <w:vAlign w:val="top"/>
          </w:tcPr>
          <w:p w14:paraId="197EEABD">
            <w:pPr>
              <w:pStyle w:val="6"/>
              <w:spacing w:before="107" w:line="232" w:lineRule="auto"/>
              <w:ind w:left="1690"/>
            </w:pPr>
            <w:r>
              <w:rPr>
                <w:spacing w:val="-2"/>
              </w:rPr>
              <w:t>0.90</w:t>
            </w:r>
          </w:p>
        </w:tc>
      </w:tr>
      <w:tr w14:paraId="46C43412">
        <w:trPr>
          <w:trHeight w:val="384" w:hRule="atLeast"/>
        </w:trPr>
        <w:tc>
          <w:tcPr>
            <w:tcW w:w="1860" w:type="dxa"/>
            <w:vMerge w:val="continue"/>
            <w:tcBorders>
              <w:top w:val="nil"/>
              <w:bottom w:val="single" w:color="000000" w:sz="2" w:space="0"/>
            </w:tcBorders>
            <w:vAlign w:val="top"/>
          </w:tcPr>
          <w:p w14:paraId="7EA8967E">
            <w:pPr>
              <w:rPr>
                <w:rFonts w:ascii="Arial"/>
                <w:sz w:val="21"/>
              </w:rPr>
            </w:pPr>
          </w:p>
        </w:tc>
        <w:tc>
          <w:tcPr>
            <w:tcW w:w="1860" w:type="dxa"/>
            <w:tcBorders>
              <w:top w:val="single" w:color="000000" w:sz="2" w:space="0"/>
              <w:bottom w:val="single" w:color="000000" w:sz="2" w:space="0"/>
            </w:tcBorders>
            <w:shd w:val="clear" w:color="auto" w:fill="B7B9B3"/>
            <w:vAlign w:val="top"/>
          </w:tcPr>
          <w:p w14:paraId="139F27E0">
            <w:pPr>
              <w:pStyle w:val="6"/>
              <w:spacing w:before="94" w:line="220" w:lineRule="auto"/>
              <w:ind w:left="730"/>
            </w:pPr>
            <w:r>
              <w:rPr>
                <w:spacing w:val="5"/>
              </w:rPr>
              <w:t>下限</w:t>
            </w:r>
          </w:p>
        </w:tc>
        <w:tc>
          <w:tcPr>
            <w:tcW w:w="1780" w:type="dxa"/>
            <w:tcBorders>
              <w:top w:val="single" w:color="000000" w:sz="2" w:space="0"/>
              <w:bottom w:val="single" w:color="000000" w:sz="2" w:space="0"/>
            </w:tcBorders>
            <w:shd w:val="clear" w:color="auto" w:fill="BCBDB7"/>
            <w:vAlign w:val="top"/>
          </w:tcPr>
          <w:p w14:paraId="5CA3E362">
            <w:pPr>
              <w:pStyle w:val="6"/>
              <w:spacing w:before="94" w:line="220" w:lineRule="auto"/>
              <w:ind w:left="690"/>
            </w:pPr>
            <w:r>
              <w:rPr>
                <w:spacing w:val="5"/>
              </w:rPr>
              <w:t>上限</w:t>
            </w:r>
          </w:p>
        </w:tc>
        <w:tc>
          <w:tcPr>
            <w:tcW w:w="1990" w:type="dxa"/>
            <w:tcBorders>
              <w:top w:val="single" w:color="000000" w:sz="2" w:space="0"/>
              <w:bottom w:val="single" w:color="000000" w:sz="2" w:space="0"/>
            </w:tcBorders>
            <w:shd w:val="clear" w:color="auto" w:fill="C0C1B9"/>
            <w:vAlign w:val="top"/>
          </w:tcPr>
          <w:p w14:paraId="386C1E82">
            <w:pPr>
              <w:pStyle w:val="6"/>
              <w:spacing w:before="94" w:line="220" w:lineRule="auto"/>
              <w:ind w:left="790"/>
            </w:pPr>
            <w:r>
              <w:rPr>
                <w:spacing w:val="5"/>
              </w:rPr>
              <w:t>下限</w:t>
            </w:r>
          </w:p>
        </w:tc>
        <w:tc>
          <w:tcPr>
            <w:tcW w:w="1790" w:type="dxa"/>
            <w:tcBorders>
              <w:top w:val="single" w:color="000000" w:sz="2" w:space="0"/>
              <w:bottom w:val="single" w:color="000000" w:sz="2" w:space="0"/>
            </w:tcBorders>
            <w:shd w:val="clear" w:color="auto" w:fill="B9B9B1"/>
            <w:vAlign w:val="top"/>
          </w:tcPr>
          <w:p w14:paraId="2E7C48D2">
            <w:pPr>
              <w:pStyle w:val="6"/>
              <w:spacing w:before="94" w:line="220" w:lineRule="auto"/>
              <w:ind w:left="690"/>
            </w:pPr>
            <w:r>
              <w:rPr>
                <w:spacing w:val="5"/>
              </w:rPr>
              <w:t>上限</w:t>
            </w:r>
          </w:p>
        </w:tc>
      </w:tr>
      <w:tr w14:paraId="4CFF0320">
        <w:trPr>
          <w:trHeight w:val="345" w:hRule="atLeast"/>
        </w:trPr>
        <w:tc>
          <w:tcPr>
            <w:tcW w:w="1860" w:type="dxa"/>
            <w:tcBorders>
              <w:top w:val="single" w:color="000000" w:sz="2" w:space="0"/>
              <w:bottom w:val="single" w:color="000000" w:sz="2" w:space="0"/>
            </w:tcBorders>
            <w:vAlign w:val="top"/>
          </w:tcPr>
          <w:p w14:paraId="178C92F1">
            <w:pPr>
              <w:pStyle w:val="6"/>
              <w:spacing w:before="94" w:line="222" w:lineRule="auto"/>
              <w:ind w:left="880"/>
            </w:pPr>
            <w:r>
              <w:t>0</w:t>
            </w:r>
          </w:p>
        </w:tc>
        <w:tc>
          <w:tcPr>
            <w:tcW w:w="1860" w:type="dxa"/>
            <w:tcBorders>
              <w:top w:val="single" w:color="000000" w:sz="2" w:space="0"/>
              <w:bottom w:val="single" w:color="000000" w:sz="2" w:space="0"/>
            </w:tcBorders>
            <w:vAlign w:val="top"/>
          </w:tcPr>
          <w:p w14:paraId="641AD32F">
            <w:pPr>
              <w:pStyle w:val="6"/>
              <w:spacing w:before="94" w:line="222" w:lineRule="auto"/>
              <w:ind w:left="730"/>
            </w:pPr>
            <w:r>
              <w:rPr>
                <w:spacing w:val="-2"/>
              </w:rPr>
              <w:t>0.00</w:t>
            </w:r>
          </w:p>
        </w:tc>
        <w:tc>
          <w:tcPr>
            <w:tcW w:w="1780" w:type="dxa"/>
            <w:tcBorders>
              <w:top w:val="single" w:color="000000" w:sz="2" w:space="0"/>
              <w:bottom w:val="single" w:color="000000" w:sz="2" w:space="0"/>
            </w:tcBorders>
            <w:vAlign w:val="top"/>
          </w:tcPr>
          <w:p w14:paraId="2B5FD80C">
            <w:pPr>
              <w:pStyle w:val="6"/>
              <w:spacing w:before="94" w:line="222" w:lineRule="auto"/>
              <w:ind w:left="690"/>
            </w:pPr>
            <w:r>
              <w:rPr>
                <w:spacing w:val="-3"/>
              </w:rPr>
              <w:t>3.69</w:t>
            </w:r>
          </w:p>
        </w:tc>
        <w:tc>
          <w:tcPr>
            <w:tcW w:w="1990" w:type="dxa"/>
            <w:tcBorders>
              <w:top w:val="single" w:color="000000" w:sz="2" w:space="0"/>
              <w:bottom w:val="single" w:color="000000" w:sz="2" w:space="0"/>
            </w:tcBorders>
            <w:vAlign w:val="top"/>
          </w:tcPr>
          <w:p w14:paraId="038227AE">
            <w:pPr>
              <w:pStyle w:val="6"/>
              <w:spacing w:before="94" w:line="222" w:lineRule="auto"/>
              <w:ind w:left="790"/>
            </w:pPr>
            <w:r>
              <w:rPr>
                <w:spacing w:val="-2"/>
              </w:rPr>
              <w:t>0.00</w:t>
            </w:r>
          </w:p>
        </w:tc>
        <w:tc>
          <w:tcPr>
            <w:tcW w:w="1790" w:type="dxa"/>
            <w:tcBorders>
              <w:top w:val="single" w:color="000000" w:sz="2" w:space="0"/>
              <w:bottom w:val="single" w:color="000000" w:sz="2" w:space="0"/>
            </w:tcBorders>
            <w:vAlign w:val="top"/>
          </w:tcPr>
          <w:p w14:paraId="29F552C5">
            <w:pPr>
              <w:pStyle w:val="6"/>
              <w:spacing w:before="94" w:line="222" w:lineRule="auto"/>
              <w:ind w:left="690"/>
            </w:pPr>
            <w:r>
              <w:rPr>
                <w:spacing w:val="-3"/>
              </w:rPr>
              <w:t>3.00</w:t>
            </w:r>
          </w:p>
        </w:tc>
      </w:tr>
      <w:tr w14:paraId="3AF7BFDB">
        <w:trPr>
          <w:trHeight w:val="354" w:hRule="atLeast"/>
        </w:trPr>
        <w:tc>
          <w:tcPr>
            <w:tcW w:w="1860" w:type="dxa"/>
            <w:tcBorders>
              <w:top w:val="single" w:color="000000" w:sz="2" w:space="0"/>
              <w:bottom w:val="single" w:color="000000" w:sz="2" w:space="0"/>
            </w:tcBorders>
            <w:shd w:val="clear" w:color="auto" w:fill="E0E0E2"/>
            <w:vAlign w:val="top"/>
          </w:tcPr>
          <w:p w14:paraId="7B34130F">
            <w:pPr>
              <w:pStyle w:val="6"/>
              <w:spacing w:before="104" w:line="221" w:lineRule="auto"/>
              <w:ind w:left="880"/>
            </w:pPr>
            <w:r>
              <w:t>1</w:t>
            </w:r>
          </w:p>
        </w:tc>
        <w:tc>
          <w:tcPr>
            <w:tcW w:w="1860" w:type="dxa"/>
            <w:tcBorders>
              <w:top w:val="single" w:color="000000" w:sz="2" w:space="0"/>
              <w:bottom w:val="single" w:color="000000" w:sz="2" w:space="0"/>
            </w:tcBorders>
            <w:shd w:val="clear" w:color="auto" w:fill="DCDCDB"/>
            <w:vAlign w:val="top"/>
          </w:tcPr>
          <w:p w14:paraId="253983EE">
            <w:pPr>
              <w:pStyle w:val="6"/>
              <w:spacing w:before="104" w:line="221" w:lineRule="auto"/>
              <w:ind w:left="630"/>
            </w:pPr>
            <w:r>
              <w:rPr>
                <w:spacing w:val="-2"/>
              </w:rPr>
              <w:t>0.0253</w:t>
            </w:r>
          </w:p>
        </w:tc>
        <w:tc>
          <w:tcPr>
            <w:tcW w:w="1780" w:type="dxa"/>
            <w:tcBorders>
              <w:top w:val="single" w:color="000000" w:sz="2" w:space="0"/>
              <w:bottom w:val="single" w:color="000000" w:sz="2" w:space="0"/>
            </w:tcBorders>
            <w:shd w:val="clear" w:color="auto" w:fill="E1DFE0"/>
            <w:vAlign w:val="top"/>
          </w:tcPr>
          <w:p w14:paraId="62436AF3">
            <w:pPr>
              <w:pStyle w:val="6"/>
              <w:spacing w:before="104" w:line="221" w:lineRule="auto"/>
              <w:ind w:left="690"/>
            </w:pPr>
            <w:r>
              <w:rPr>
                <w:spacing w:val="-3"/>
              </w:rPr>
              <w:t>5.57</w:t>
            </w:r>
          </w:p>
        </w:tc>
        <w:tc>
          <w:tcPr>
            <w:tcW w:w="1990" w:type="dxa"/>
            <w:tcBorders>
              <w:top w:val="single" w:color="000000" w:sz="2" w:space="0"/>
              <w:bottom w:val="single" w:color="000000" w:sz="2" w:space="0"/>
            </w:tcBorders>
            <w:shd w:val="clear" w:color="auto" w:fill="D9D8D5"/>
            <w:vAlign w:val="top"/>
          </w:tcPr>
          <w:p w14:paraId="505CE1B3">
            <w:pPr>
              <w:pStyle w:val="6"/>
              <w:spacing w:before="104" w:line="221" w:lineRule="auto"/>
              <w:ind w:left="690"/>
            </w:pPr>
            <w:r>
              <w:rPr>
                <w:spacing w:val="-2"/>
              </w:rPr>
              <w:t>0.0513</w:t>
            </w:r>
          </w:p>
        </w:tc>
        <w:tc>
          <w:tcPr>
            <w:tcW w:w="1790" w:type="dxa"/>
            <w:tcBorders>
              <w:top w:val="single" w:color="000000" w:sz="2" w:space="0"/>
              <w:bottom w:val="single" w:color="000000" w:sz="2" w:space="0"/>
            </w:tcBorders>
            <w:shd w:val="clear" w:color="auto" w:fill="D9D8D5"/>
            <w:vAlign w:val="top"/>
          </w:tcPr>
          <w:p w14:paraId="51613428">
            <w:pPr>
              <w:pStyle w:val="6"/>
              <w:spacing w:before="104" w:line="221" w:lineRule="auto"/>
              <w:ind w:left="690"/>
            </w:pPr>
            <w:r>
              <w:rPr>
                <w:spacing w:val="-2"/>
              </w:rPr>
              <w:t>4.74</w:t>
            </w:r>
          </w:p>
        </w:tc>
      </w:tr>
      <w:tr w14:paraId="17513593">
        <w:trPr>
          <w:trHeight w:val="384" w:hRule="atLeast"/>
        </w:trPr>
        <w:tc>
          <w:tcPr>
            <w:tcW w:w="1860" w:type="dxa"/>
            <w:tcBorders>
              <w:top w:val="single" w:color="000000" w:sz="2" w:space="0"/>
              <w:bottom w:val="single" w:color="000000" w:sz="2" w:space="0"/>
            </w:tcBorders>
            <w:vAlign w:val="top"/>
          </w:tcPr>
          <w:p w14:paraId="063E702C">
            <w:pPr>
              <w:pStyle w:val="6"/>
              <w:spacing w:before="115" w:line="239" w:lineRule="auto"/>
              <w:ind w:left="880"/>
            </w:pPr>
            <w:r>
              <w:t>2</w:t>
            </w:r>
          </w:p>
        </w:tc>
        <w:tc>
          <w:tcPr>
            <w:tcW w:w="1860" w:type="dxa"/>
            <w:tcBorders>
              <w:top w:val="single" w:color="000000" w:sz="2" w:space="0"/>
              <w:bottom w:val="single" w:color="000000" w:sz="2" w:space="0"/>
            </w:tcBorders>
            <w:vAlign w:val="top"/>
          </w:tcPr>
          <w:p w14:paraId="03337FFA">
            <w:pPr>
              <w:pStyle w:val="6"/>
              <w:spacing w:before="115" w:line="239" w:lineRule="auto"/>
              <w:ind w:left="680"/>
            </w:pPr>
            <w:r>
              <w:rPr>
                <w:spacing w:val="-2"/>
              </w:rPr>
              <w:t>0.242</w:t>
            </w:r>
          </w:p>
        </w:tc>
        <w:tc>
          <w:tcPr>
            <w:tcW w:w="1780" w:type="dxa"/>
            <w:tcBorders>
              <w:top w:val="single" w:color="000000" w:sz="2" w:space="0"/>
              <w:bottom w:val="single" w:color="000000" w:sz="2" w:space="0"/>
            </w:tcBorders>
            <w:vAlign w:val="top"/>
          </w:tcPr>
          <w:p w14:paraId="47E0924E">
            <w:pPr>
              <w:pStyle w:val="6"/>
              <w:spacing w:before="115" w:line="239" w:lineRule="auto"/>
              <w:ind w:left="690"/>
            </w:pPr>
            <w:r>
              <w:rPr>
                <w:spacing w:val="-3"/>
              </w:rPr>
              <w:t>7.22</w:t>
            </w:r>
          </w:p>
        </w:tc>
        <w:tc>
          <w:tcPr>
            <w:tcW w:w="1990" w:type="dxa"/>
            <w:tcBorders>
              <w:top w:val="single" w:color="000000" w:sz="2" w:space="0"/>
              <w:bottom w:val="single" w:color="000000" w:sz="2" w:space="0"/>
            </w:tcBorders>
            <w:vAlign w:val="top"/>
          </w:tcPr>
          <w:p w14:paraId="0387B58C">
            <w:pPr>
              <w:pStyle w:val="6"/>
              <w:spacing w:before="115" w:line="239" w:lineRule="auto"/>
              <w:ind w:left="740"/>
            </w:pPr>
            <w:r>
              <w:rPr>
                <w:spacing w:val="-2"/>
              </w:rPr>
              <w:t>0.355</w:t>
            </w:r>
          </w:p>
        </w:tc>
        <w:tc>
          <w:tcPr>
            <w:tcW w:w="1790" w:type="dxa"/>
            <w:tcBorders>
              <w:top w:val="single" w:color="000000" w:sz="2" w:space="0"/>
              <w:bottom w:val="single" w:color="000000" w:sz="2" w:space="0"/>
            </w:tcBorders>
            <w:vAlign w:val="top"/>
          </w:tcPr>
          <w:p w14:paraId="74AF8B02">
            <w:pPr>
              <w:pStyle w:val="6"/>
              <w:spacing w:before="115" w:line="239" w:lineRule="auto"/>
              <w:ind w:left="690"/>
            </w:pPr>
            <w:r>
              <w:rPr>
                <w:spacing w:val="-2"/>
              </w:rPr>
              <w:t>6.30</w:t>
            </w:r>
          </w:p>
        </w:tc>
      </w:tr>
      <w:tr w14:paraId="00774F99">
        <w:trPr>
          <w:trHeight w:val="354" w:hRule="atLeast"/>
        </w:trPr>
        <w:tc>
          <w:tcPr>
            <w:tcW w:w="1860" w:type="dxa"/>
            <w:tcBorders>
              <w:top w:val="single" w:color="000000" w:sz="2" w:space="0"/>
              <w:bottom w:val="single" w:color="000000" w:sz="2" w:space="0"/>
            </w:tcBorders>
            <w:shd w:val="clear" w:color="auto" w:fill="DBDCDE"/>
            <w:vAlign w:val="top"/>
          </w:tcPr>
          <w:p w14:paraId="374811B9">
            <w:pPr>
              <w:pStyle w:val="6"/>
              <w:spacing w:before="106" w:line="219" w:lineRule="auto"/>
              <w:ind w:left="880"/>
            </w:pPr>
            <w:r>
              <w:t>3</w:t>
            </w:r>
          </w:p>
        </w:tc>
        <w:tc>
          <w:tcPr>
            <w:tcW w:w="1860" w:type="dxa"/>
            <w:tcBorders>
              <w:top w:val="single" w:color="000000" w:sz="2" w:space="0"/>
              <w:bottom w:val="single" w:color="000000" w:sz="2" w:space="0"/>
            </w:tcBorders>
            <w:shd w:val="clear" w:color="auto" w:fill="D9D9D9"/>
            <w:vAlign w:val="top"/>
          </w:tcPr>
          <w:p w14:paraId="1C5F1D5B">
            <w:pPr>
              <w:pStyle w:val="6"/>
              <w:spacing w:before="106" w:line="219" w:lineRule="auto"/>
              <w:ind w:left="680"/>
            </w:pPr>
            <w:r>
              <w:rPr>
                <w:spacing w:val="-2"/>
              </w:rPr>
              <w:t>0.619</w:t>
            </w:r>
          </w:p>
        </w:tc>
        <w:tc>
          <w:tcPr>
            <w:tcW w:w="1780" w:type="dxa"/>
            <w:tcBorders>
              <w:top w:val="single" w:color="000000" w:sz="2" w:space="0"/>
              <w:bottom w:val="single" w:color="000000" w:sz="2" w:space="0"/>
            </w:tcBorders>
            <w:shd w:val="clear" w:color="auto" w:fill="DDDCDC"/>
            <w:vAlign w:val="top"/>
          </w:tcPr>
          <w:p w14:paraId="0A11A46C">
            <w:pPr>
              <w:pStyle w:val="6"/>
              <w:spacing w:before="106" w:line="219" w:lineRule="auto"/>
              <w:ind w:left="690"/>
            </w:pPr>
            <w:r>
              <w:rPr>
                <w:spacing w:val="-2"/>
              </w:rPr>
              <w:t>8.77</w:t>
            </w:r>
          </w:p>
        </w:tc>
        <w:tc>
          <w:tcPr>
            <w:tcW w:w="1990" w:type="dxa"/>
            <w:tcBorders>
              <w:top w:val="single" w:color="000000" w:sz="2" w:space="0"/>
              <w:bottom w:val="single" w:color="000000" w:sz="2" w:space="0"/>
            </w:tcBorders>
            <w:shd w:val="clear" w:color="auto" w:fill="DBD9D7"/>
            <w:vAlign w:val="top"/>
          </w:tcPr>
          <w:p w14:paraId="2AA4AE0F">
            <w:pPr>
              <w:pStyle w:val="6"/>
              <w:spacing w:before="106" w:line="219" w:lineRule="auto"/>
              <w:ind w:left="740"/>
            </w:pPr>
            <w:r>
              <w:rPr>
                <w:spacing w:val="-2"/>
              </w:rPr>
              <w:t>0.818</w:t>
            </w:r>
          </w:p>
        </w:tc>
        <w:tc>
          <w:tcPr>
            <w:tcW w:w="1790" w:type="dxa"/>
            <w:tcBorders>
              <w:top w:val="single" w:color="000000" w:sz="2" w:space="0"/>
              <w:bottom w:val="single" w:color="000000" w:sz="2" w:space="0"/>
            </w:tcBorders>
            <w:shd w:val="clear" w:color="auto" w:fill="DDDBDA"/>
            <w:vAlign w:val="top"/>
          </w:tcPr>
          <w:p w14:paraId="0F5AA71B">
            <w:pPr>
              <w:pStyle w:val="6"/>
              <w:spacing w:before="106" w:line="219" w:lineRule="auto"/>
              <w:ind w:left="690"/>
            </w:pPr>
            <w:r>
              <w:rPr>
                <w:spacing w:val="-3"/>
              </w:rPr>
              <w:t>7.75</w:t>
            </w:r>
          </w:p>
        </w:tc>
      </w:tr>
      <w:tr w14:paraId="6D2C41DD">
        <w:trPr>
          <w:trHeight w:val="365" w:hRule="atLeast"/>
        </w:trPr>
        <w:tc>
          <w:tcPr>
            <w:tcW w:w="1860" w:type="dxa"/>
            <w:tcBorders>
              <w:top w:val="single" w:color="000000" w:sz="2" w:space="0"/>
              <w:bottom w:val="single" w:color="000000" w:sz="2" w:space="0"/>
            </w:tcBorders>
            <w:vAlign w:val="top"/>
          </w:tcPr>
          <w:p w14:paraId="2CCE18E6">
            <w:pPr>
              <w:pStyle w:val="6"/>
              <w:spacing w:before="106" w:line="229" w:lineRule="auto"/>
              <w:ind w:left="880"/>
            </w:pPr>
            <w:r>
              <w:t>4</w:t>
            </w:r>
          </w:p>
        </w:tc>
        <w:tc>
          <w:tcPr>
            <w:tcW w:w="1860" w:type="dxa"/>
            <w:tcBorders>
              <w:top w:val="single" w:color="000000" w:sz="2" w:space="0"/>
              <w:bottom w:val="single" w:color="000000" w:sz="2" w:space="0"/>
            </w:tcBorders>
            <w:vAlign w:val="top"/>
          </w:tcPr>
          <w:p w14:paraId="1641FD57">
            <w:pPr>
              <w:pStyle w:val="6"/>
              <w:spacing w:before="106" w:line="229" w:lineRule="auto"/>
              <w:ind w:left="730"/>
            </w:pPr>
            <w:r>
              <w:rPr>
                <w:spacing w:val="-5"/>
              </w:rPr>
              <w:t>1.09</w:t>
            </w:r>
          </w:p>
        </w:tc>
        <w:tc>
          <w:tcPr>
            <w:tcW w:w="1780" w:type="dxa"/>
            <w:tcBorders>
              <w:top w:val="single" w:color="000000" w:sz="2" w:space="0"/>
              <w:bottom w:val="single" w:color="000000" w:sz="2" w:space="0"/>
            </w:tcBorders>
            <w:vAlign w:val="top"/>
          </w:tcPr>
          <w:p w14:paraId="0479086E">
            <w:pPr>
              <w:pStyle w:val="6"/>
              <w:spacing w:before="106" w:line="229" w:lineRule="auto"/>
              <w:ind w:left="640"/>
            </w:pPr>
            <w:r>
              <w:rPr>
                <w:spacing w:val="-4"/>
              </w:rPr>
              <w:t>10.24</w:t>
            </w:r>
          </w:p>
        </w:tc>
        <w:tc>
          <w:tcPr>
            <w:tcW w:w="1990" w:type="dxa"/>
            <w:tcBorders>
              <w:top w:val="single" w:color="000000" w:sz="2" w:space="0"/>
              <w:bottom w:val="single" w:color="000000" w:sz="2" w:space="0"/>
            </w:tcBorders>
            <w:vAlign w:val="top"/>
          </w:tcPr>
          <w:p w14:paraId="5E352781">
            <w:pPr>
              <w:pStyle w:val="6"/>
              <w:spacing w:before="106" w:line="229" w:lineRule="auto"/>
              <w:ind w:left="790"/>
            </w:pPr>
            <w:r>
              <w:rPr>
                <w:spacing w:val="-5"/>
              </w:rPr>
              <w:t>1.37</w:t>
            </w:r>
          </w:p>
        </w:tc>
        <w:tc>
          <w:tcPr>
            <w:tcW w:w="1790" w:type="dxa"/>
            <w:tcBorders>
              <w:top w:val="single" w:color="000000" w:sz="2" w:space="0"/>
              <w:bottom w:val="single" w:color="000000" w:sz="2" w:space="0"/>
            </w:tcBorders>
            <w:vAlign w:val="top"/>
          </w:tcPr>
          <w:p w14:paraId="13B16EFB">
            <w:pPr>
              <w:pStyle w:val="6"/>
              <w:spacing w:before="106" w:line="229" w:lineRule="auto"/>
              <w:ind w:left="690"/>
            </w:pPr>
            <w:r>
              <w:rPr>
                <w:spacing w:val="-2"/>
              </w:rPr>
              <w:t>9.15</w:t>
            </w:r>
          </w:p>
        </w:tc>
      </w:tr>
      <w:tr w14:paraId="01AFBE16">
        <w:trPr>
          <w:trHeight w:val="354" w:hRule="atLeast"/>
        </w:trPr>
        <w:tc>
          <w:tcPr>
            <w:tcW w:w="1860" w:type="dxa"/>
            <w:tcBorders>
              <w:top w:val="single" w:color="000000" w:sz="2" w:space="0"/>
              <w:bottom w:val="single" w:color="000000" w:sz="2" w:space="0"/>
            </w:tcBorders>
            <w:shd w:val="clear" w:color="auto" w:fill="DBDCDF"/>
            <w:vAlign w:val="top"/>
          </w:tcPr>
          <w:p w14:paraId="12425121">
            <w:pPr>
              <w:pStyle w:val="6"/>
              <w:spacing w:before="107" w:line="218" w:lineRule="auto"/>
              <w:ind w:left="880"/>
            </w:pPr>
            <w:r>
              <w:t>5</w:t>
            </w:r>
          </w:p>
        </w:tc>
        <w:tc>
          <w:tcPr>
            <w:tcW w:w="1860" w:type="dxa"/>
            <w:tcBorders>
              <w:top w:val="single" w:color="000000" w:sz="2" w:space="0"/>
              <w:bottom w:val="single" w:color="000000" w:sz="2" w:space="0"/>
            </w:tcBorders>
            <w:shd w:val="clear" w:color="auto" w:fill="DCDCDB"/>
            <w:vAlign w:val="top"/>
          </w:tcPr>
          <w:p w14:paraId="220D877D">
            <w:pPr>
              <w:pStyle w:val="6"/>
              <w:spacing w:before="107" w:line="218" w:lineRule="auto"/>
              <w:ind w:left="730"/>
            </w:pPr>
            <w:r>
              <w:rPr>
                <w:spacing w:val="-5"/>
              </w:rPr>
              <w:t>1.62</w:t>
            </w:r>
          </w:p>
        </w:tc>
        <w:tc>
          <w:tcPr>
            <w:tcW w:w="1780" w:type="dxa"/>
            <w:tcBorders>
              <w:top w:val="single" w:color="000000" w:sz="2" w:space="0"/>
              <w:bottom w:val="single" w:color="000000" w:sz="2" w:space="0"/>
            </w:tcBorders>
            <w:shd w:val="clear" w:color="auto" w:fill="DBDBDB"/>
            <w:vAlign w:val="top"/>
          </w:tcPr>
          <w:p w14:paraId="679E9A44">
            <w:pPr>
              <w:pStyle w:val="6"/>
              <w:spacing w:before="107" w:line="218" w:lineRule="auto"/>
              <w:ind w:left="640"/>
            </w:pPr>
            <w:r>
              <w:rPr>
                <w:spacing w:val="-4"/>
              </w:rPr>
              <w:t>11.67</w:t>
            </w:r>
          </w:p>
        </w:tc>
        <w:tc>
          <w:tcPr>
            <w:tcW w:w="1990" w:type="dxa"/>
            <w:tcBorders>
              <w:top w:val="single" w:color="000000" w:sz="2" w:space="0"/>
              <w:bottom w:val="single" w:color="000000" w:sz="2" w:space="0"/>
            </w:tcBorders>
            <w:shd w:val="clear" w:color="auto" w:fill="D9D8D6"/>
            <w:vAlign w:val="top"/>
          </w:tcPr>
          <w:p w14:paraId="5B798216">
            <w:pPr>
              <w:pStyle w:val="6"/>
              <w:spacing w:before="107" w:line="218" w:lineRule="auto"/>
              <w:ind w:left="790"/>
            </w:pPr>
            <w:r>
              <w:rPr>
                <w:spacing w:val="-5"/>
              </w:rPr>
              <w:t>1.97</w:t>
            </w:r>
          </w:p>
        </w:tc>
        <w:tc>
          <w:tcPr>
            <w:tcW w:w="1790" w:type="dxa"/>
            <w:tcBorders>
              <w:top w:val="single" w:color="000000" w:sz="2" w:space="0"/>
              <w:bottom w:val="single" w:color="000000" w:sz="2" w:space="0"/>
            </w:tcBorders>
            <w:shd w:val="clear" w:color="auto" w:fill="D9D8D7"/>
            <w:vAlign w:val="top"/>
          </w:tcPr>
          <w:p w14:paraId="0B7BEE50">
            <w:pPr>
              <w:pStyle w:val="6"/>
              <w:spacing w:before="107" w:line="218" w:lineRule="auto"/>
              <w:ind w:left="640"/>
            </w:pPr>
            <w:r>
              <w:rPr>
                <w:spacing w:val="-4"/>
              </w:rPr>
              <w:t>10.51</w:t>
            </w:r>
          </w:p>
        </w:tc>
      </w:tr>
      <w:tr w14:paraId="29E38C36">
        <w:trPr>
          <w:trHeight w:val="365" w:hRule="atLeast"/>
        </w:trPr>
        <w:tc>
          <w:tcPr>
            <w:tcW w:w="1860" w:type="dxa"/>
            <w:tcBorders>
              <w:top w:val="single" w:color="000000" w:sz="2" w:space="0"/>
              <w:bottom w:val="single" w:color="000000" w:sz="2" w:space="0"/>
            </w:tcBorders>
            <w:vAlign w:val="top"/>
          </w:tcPr>
          <w:p w14:paraId="654729CD">
            <w:pPr>
              <w:pStyle w:val="6"/>
              <w:spacing w:before="108" w:line="228" w:lineRule="auto"/>
              <w:ind w:left="880"/>
            </w:pPr>
            <w:r>
              <w:t>6</w:t>
            </w:r>
          </w:p>
        </w:tc>
        <w:tc>
          <w:tcPr>
            <w:tcW w:w="1860" w:type="dxa"/>
            <w:tcBorders>
              <w:top w:val="single" w:color="000000" w:sz="2" w:space="0"/>
              <w:bottom w:val="single" w:color="000000" w:sz="2" w:space="0"/>
            </w:tcBorders>
            <w:vAlign w:val="top"/>
          </w:tcPr>
          <w:p w14:paraId="776B8608">
            <w:pPr>
              <w:pStyle w:val="6"/>
              <w:spacing w:before="108" w:line="228" w:lineRule="auto"/>
              <w:ind w:left="730"/>
            </w:pPr>
            <w:r>
              <w:rPr>
                <w:spacing w:val="-2"/>
              </w:rPr>
              <w:t>2.20</w:t>
            </w:r>
          </w:p>
        </w:tc>
        <w:tc>
          <w:tcPr>
            <w:tcW w:w="1780" w:type="dxa"/>
            <w:tcBorders>
              <w:top w:val="single" w:color="000000" w:sz="2" w:space="0"/>
              <w:bottom w:val="single" w:color="000000" w:sz="2" w:space="0"/>
            </w:tcBorders>
            <w:vAlign w:val="top"/>
          </w:tcPr>
          <w:p w14:paraId="2D54CC5B">
            <w:pPr>
              <w:pStyle w:val="6"/>
              <w:spacing w:before="108" w:line="228" w:lineRule="auto"/>
              <w:ind w:left="640"/>
            </w:pPr>
            <w:r>
              <w:rPr>
                <w:spacing w:val="-4"/>
              </w:rPr>
              <w:t>13.06</w:t>
            </w:r>
          </w:p>
        </w:tc>
        <w:tc>
          <w:tcPr>
            <w:tcW w:w="1990" w:type="dxa"/>
            <w:tcBorders>
              <w:top w:val="single" w:color="000000" w:sz="2" w:space="0"/>
              <w:bottom w:val="single" w:color="000000" w:sz="2" w:space="0"/>
            </w:tcBorders>
            <w:vAlign w:val="top"/>
          </w:tcPr>
          <w:p w14:paraId="4F1C1F71">
            <w:pPr>
              <w:pStyle w:val="6"/>
              <w:spacing w:before="108" w:line="228" w:lineRule="auto"/>
              <w:ind w:left="790"/>
            </w:pPr>
            <w:r>
              <w:rPr>
                <w:spacing w:val="-2"/>
              </w:rPr>
              <w:t>2.61</w:t>
            </w:r>
          </w:p>
        </w:tc>
        <w:tc>
          <w:tcPr>
            <w:tcW w:w="1790" w:type="dxa"/>
            <w:tcBorders>
              <w:top w:val="single" w:color="000000" w:sz="2" w:space="0"/>
              <w:bottom w:val="single" w:color="000000" w:sz="2" w:space="0"/>
            </w:tcBorders>
            <w:vAlign w:val="top"/>
          </w:tcPr>
          <w:p w14:paraId="1D1E30E7">
            <w:pPr>
              <w:pStyle w:val="6"/>
              <w:spacing w:before="108" w:line="228" w:lineRule="auto"/>
              <w:ind w:left="640"/>
            </w:pPr>
            <w:r>
              <w:rPr>
                <w:spacing w:val="-4"/>
              </w:rPr>
              <w:t>11.84</w:t>
            </w:r>
          </w:p>
        </w:tc>
      </w:tr>
      <w:tr w14:paraId="0683B1BC">
        <w:trPr>
          <w:trHeight w:val="365" w:hRule="atLeast"/>
        </w:trPr>
        <w:tc>
          <w:tcPr>
            <w:tcW w:w="1860" w:type="dxa"/>
            <w:tcBorders>
              <w:top w:val="single" w:color="000000" w:sz="2" w:space="0"/>
              <w:bottom w:val="single" w:color="000000" w:sz="2" w:space="0"/>
            </w:tcBorders>
            <w:shd w:val="clear" w:color="auto" w:fill="DBDCDD"/>
            <w:vAlign w:val="top"/>
          </w:tcPr>
          <w:p w14:paraId="6292953A">
            <w:pPr>
              <w:pStyle w:val="6"/>
              <w:spacing w:before="108" w:line="228" w:lineRule="auto"/>
              <w:ind w:left="880"/>
            </w:pPr>
            <w:r>
              <w:t>7</w:t>
            </w:r>
          </w:p>
        </w:tc>
        <w:tc>
          <w:tcPr>
            <w:tcW w:w="1860" w:type="dxa"/>
            <w:tcBorders>
              <w:top w:val="single" w:color="000000" w:sz="2" w:space="0"/>
              <w:bottom w:val="single" w:color="000000" w:sz="2" w:space="0"/>
            </w:tcBorders>
            <w:shd w:val="clear" w:color="auto" w:fill="DCDCDC"/>
            <w:vAlign w:val="top"/>
          </w:tcPr>
          <w:p w14:paraId="23E07BF7">
            <w:pPr>
              <w:pStyle w:val="6"/>
              <w:spacing w:before="108" w:line="228" w:lineRule="auto"/>
              <w:ind w:left="730"/>
            </w:pPr>
            <w:r>
              <w:rPr>
                <w:spacing w:val="-2"/>
              </w:rPr>
              <w:t>2.81</w:t>
            </w:r>
          </w:p>
        </w:tc>
        <w:tc>
          <w:tcPr>
            <w:tcW w:w="1780" w:type="dxa"/>
            <w:tcBorders>
              <w:top w:val="single" w:color="000000" w:sz="2" w:space="0"/>
              <w:bottom w:val="single" w:color="000000" w:sz="2" w:space="0"/>
            </w:tcBorders>
            <w:shd w:val="clear" w:color="auto" w:fill="DCDCDC"/>
            <w:vAlign w:val="top"/>
          </w:tcPr>
          <w:p w14:paraId="36125F9D">
            <w:pPr>
              <w:pStyle w:val="6"/>
              <w:spacing w:before="108" w:line="228" w:lineRule="auto"/>
              <w:ind w:left="640"/>
            </w:pPr>
            <w:r>
              <w:rPr>
                <w:spacing w:val="-4"/>
              </w:rPr>
              <w:t>14.42</w:t>
            </w:r>
          </w:p>
        </w:tc>
        <w:tc>
          <w:tcPr>
            <w:tcW w:w="1990" w:type="dxa"/>
            <w:tcBorders>
              <w:top w:val="single" w:color="000000" w:sz="2" w:space="0"/>
              <w:bottom w:val="single" w:color="000000" w:sz="2" w:space="0"/>
            </w:tcBorders>
            <w:shd w:val="clear" w:color="auto" w:fill="DDDCDB"/>
            <w:vAlign w:val="top"/>
          </w:tcPr>
          <w:p w14:paraId="1FC13CB3">
            <w:pPr>
              <w:pStyle w:val="6"/>
              <w:spacing w:before="108" w:line="228" w:lineRule="auto"/>
              <w:ind w:left="790"/>
            </w:pPr>
            <w:r>
              <w:rPr>
                <w:spacing w:val="-3"/>
              </w:rPr>
              <w:t>3.29</w:t>
            </w:r>
          </w:p>
        </w:tc>
        <w:tc>
          <w:tcPr>
            <w:tcW w:w="1790" w:type="dxa"/>
            <w:tcBorders>
              <w:top w:val="single" w:color="000000" w:sz="2" w:space="0"/>
              <w:bottom w:val="single" w:color="000000" w:sz="2" w:space="0"/>
            </w:tcBorders>
            <w:shd w:val="clear" w:color="auto" w:fill="D9D8D7"/>
            <w:vAlign w:val="top"/>
          </w:tcPr>
          <w:p w14:paraId="5C26521D">
            <w:pPr>
              <w:pStyle w:val="6"/>
              <w:spacing w:before="108" w:line="228" w:lineRule="auto"/>
              <w:ind w:left="640"/>
            </w:pPr>
            <w:r>
              <w:rPr>
                <w:spacing w:val="-4"/>
              </w:rPr>
              <w:t>13.15</w:t>
            </w:r>
          </w:p>
        </w:tc>
      </w:tr>
      <w:tr w14:paraId="4F5CB8CE">
        <w:trPr>
          <w:trHeight w:val="364" w:hRule="atLeast"/>
        </w:trPr>
        <w:tc>
          <w:tcPr>
            <w:tcW w:w="1860" w:type="dxa"/>
            <w:tcBorders>
              <w:top w:val="single" w:color="000000" w:sz="2" w:space="0"/>
              <w:bottom w:val="single" w:color="000000" w:sz="2" w:space="0"/>
            </w:tcBorders>
            <w:vAlign w:val="top"/>
          </w:tcPr>
          <w:p w14:paraId="54B9F45B">
            <w:pPr>
              <w:pStyle w:val="6"/>
              <w:spacing w:before="108" w:line="227" w:lineRule="auto"/>
              <w:ind w:left="880"/>
            </w:pPr>
            <w:r>
              <w:t>8</w:t>
            </w:r>
          </w:p>
        </w:tc>
        <w:tc>
          <w:tcPr>
            <w:tcW w:w="1860" w:type="dxa"/>
            <w:tcBorders>
              <w:top w:val="single" w:color="000000" w:sz="2" w:space="0"/>
              <w:bottom w:val="single" w:color="000000" w:sz="2" w:space="0"/>
            </w:tcBorders>
            <w:vAlign w:val="top"/>
          </w:tcPr>
          <w:p w14:paraId="3DB56333">
            <w:pPr>
              <w:pStyle w:val="6"/>
              <w:spacing w:before="108" w:line="227" w:lineRule="auto"/>
              <w:ind w:left="730"/>
            </w:pPr>
            <w:r>
              <w:rPr>
                <w:spacing w:val="-3"/>
              </w:rPr>
              <w:t>3.45</w:t>
            </w:r>
          </w:p>
        </w:tc>
        <w:tc>
          <w:tcPr>
            <w:tcW w:w="1780" w:type="dxa"/>
            <w:tcBorders>
              <w:top w:val="single" w:color="000000" w:sz="2" w:space="0"/>
              <w:bottom w:val="single" w:color="000000" w:sz="2" w:space="0"/>
            </w:tcBorders>
            <w:vAlign w:val="top"/>
          </w:tcPr>
          <w:p w14:paraId="22641CD8">
            <w:pPr>
              <w:pStyle w:val="6"/>
              <w:spacing w:before="108" w:line="227" w:lineRule="auto"/>
              <w:ind w:left="640"/>
            </w:pPr>
            <w:r>
              <w:rPr>
                <w:spacing w:val="-4"/>
              </w:rPr>
              <w:t>15.76</w:t>
            </w:r>
          </w:p>
        </w:tc>
        <w:tc>
          <w:tcPr>
            <w:tcW w:w="1990" w:type="dxa"/>
            <w:tcBorders>
              <w:top w:val="single" w:color="000000" w:sz="2" w:space="0"/>
              <w:bottom w:val="single" w:color="000000" w:sz="2" w:space="0"/>
            </w:tcBorders>
            <w:vAlign w:val="top"/>
          </w:tcPr>
          <w:p w14:paraId="589AFDC2">
            <w:pPr>
              <w:pStyle w:val="6"/>
              <w:spacing w:before="108" w:line="227" w:lineRule="auto"/>
              <w:ind w:left="790"/>
            </w:pPr>
            <w:r>
              <w:rPr>
                <w:spacing w:val="-3"/>
              </w:rPr>
              <w:t>3.93</w:t>
            </w:r>
          </w:p>
        </w:tc>
        <w:tc>
          <w:tcPr>
            <w:tcW w:w="1790" w:type="dxa"/>
            <w:tcBorders>
              <w:top w:val="single" w:color="000000" w:sz="2" w:space="0"/>
              <w:bottom w:val="single" w:color="000000" w:sz="2" w:space="0"/>
            </w:tcBorders>
            <w:vAlign w:val="top"/>
          </w:tcPr>
          <w:p w14:paraId="6068AEEB">
            <w:pPr>
              <w:pStyle w:val="6"/>
              <w:spacing w:before="108" w:line="227" w:lineRule="auto"/>
              <w:ind w:left="640"/>
            </w:pPr>
            <w:r>
              <w:rPr>
                <w:spacing w:val="-4"/>
              </w:rPr>
              <w:t>14.43</w:t>
            </w:r>
          </w:p>
        </w:tc>
      </w:tr>
      <w:tr w14:paraId="59C220C0">
        <w:trPr>
          <w:trHeight w:val="340" w:hRule="atLeast"/>
        </w:trPr>
        <w:tc>
          <w:tcPr>
            <w:tcW w:w="1860" w:type="dxa"/>
            <w:tcBorders>
              <w:top w:val="single" w:color="000000" w:sz="2" w:space="0"/>
              <w:bottom w:val="single" w:color="000000" w:sz="2" w:space="0"/>
            </w:tcBorders>
            <w:shd w:val="clear" w:color="auto" w:fill="DBDCDE"/>
            <w:vAlign w:val="top"/>
          </w:tcPr>
          <w:p w14:paraId="212B7952">
            <w:pPr>
              <w:pStyle w:val="6"/>
              <w:spacing w:before="99" w:line="213" w:lineRule="auto"/>
              <w:ind w:left="880"/>
            </w:pPr>
            <w:r>
              <w:t>9</w:t>
            </w:r>
          </w:p>
        </w:tc>
        <w:tc>
          <w:tcPr>
            <w:tcW w:w="1860" w:type="dxa"/>
            <w:tcBorders>
              <w:top w:val="single" w:color="000000" w:sz="2" w:space="0"/>
              <w:bottom w:val="single" w:color="000000" w:sz="2" w:space="0"/>
            </w:tcBorders>
            <w:shd w:val="clear" w:color="auto" w:fill="DCDCDC"/>
            <w:vAlign w:val="top"/>
          </w:tcPr>
          <w:p w14:paraId="24F5470A">
            <w:pPr>
              <w:pStyle w:val="6"/>
              <w:spacing w:before="99" w:line="213" w:lineRule="auto"/>
              <w:ind w:left="730"/>
            </w:pPr>
            <w:r>
              <w:rPr>
                <w:spacing w:val="-2"/>
              </w:rPr>
              <w:t>4.12</w:t>
            </w:r>
          </w:p>
        </w:tc>
        <w:tc>
          <w:tcPr>
            <w:tcW w:w="1780" w:type="dxa"/>
            <w:tcBorders>
              <w:top w:val="single" w:color="000000" w:sz="2" w:space="0"/>
              <w:bottom w:val="single" w:color="000000" w:sz="2" w:space="0"/>
            </w:tcBorders>
            <w:shd w:val="clear" w:color="auto" w:fill="DFDFDF"/>
            <w:vAlign w:val="top"/>
          </w:tcPr>
          <w:p w14:paraId="0DC2F175">
            <w:pPr>
              <w:pStyle w:val="6"/>
              <w:spacing w:before="99" w:line="213" w:lineRule="auto"/>
              <w:ind w:left="640"/>
            </w:pPr>
            <w:r>
              <w:rPr>
                <w:spacing w:val="-4"/>
              </w:rPr>
              <w:t>17.08</w:t>
            </w:r>
          </w:p>
        </w:tc>
        <w:tc>
          <w:tcPr>
            <w:tcW w:w="1990" w:type="dxa"/>
            <w:tcBorders>
              <w:top w:val="single" w:color="000000" w:sz="2" w:space="0"/>
              <w:bottom w:val="single" w:color="000000" w:sz="2" w:space="0"/>
            </w:tcBorders>
            <w:shd w:val="clear" w:color="auto" w:fill="DCDCDC"/>
            <w:vAlign w:val="top"/>
          </w:tcPr>
          <w:p w14:paraId="09548BA3">
            <w:pPr>
              <w:pStyle w:val="6"/>
              <w:spacing w:before="99" w:line="213" w:lineRule="auto"/>
              <w:ind w:left="790"/>
            </w:pPr>
            <w:r>
              <w:rPr>
                <w:spacing w:val="-2"/>
              </w:rPr>
              <w:t>4.70</w:t>
            </w:r>
          </w:p>
        </w:tc>
        <w:tc>
          <w:tcPr>
            <w:tcW w:w="1790" w:type="dxa"/>
            <w:tcBorders>
              <w:top w:val="single" w:color="000000" w:sz="2" w:space="0"/>
              <w:bottom w:val="single" w:color="000000" w:sz="2" w:space="0"/>
            </w:tcBorders>
            <w:shd w:val="clear" w:color="auto" w:fill="D8D8D8"/>
            <w:vAlign w:val="top"/>
          </w:tcPr>
          <w:p w14:paraId="3BE4921C">
            <w:pPr>
              <w:pStyle w:val="6"/>
              <w:spacing w:before="99" w:line="213" w:lineRule="auto"/>
              <w:ind w:left="640"/>
            </w:pPr>
            <w:r>
              <w:rPr>
                <w:spacing w:val="-4"/>
              </w:rPr>
              <w:t>15.71</w:t>
            </w:r>
          </w:p>
        </w:tc>
      </w:tr>
    </w:tbl>
    <w:p w14:paraId="20973616">
      <w:pPr>
        <w:spacing w:line="14" w:lineRule="auto"/>
        <w:rPr>
          <w:rFonts w:ascii="Arial"/>
          <w:sz w:val="2"/>
        </w:rPr>
      </w:pPr>
    </w:p>
    <w:p w14:paraId="2746E4A1">
      <w:pPr>
        <w:spacing w:line="14" w:lineRule="auto"/>
        <w:rPr>
          <w:rFonts w:ascii="Arial" w:hAnsi="Arial" w:eastAsia="Arial" w:cs="Arial"/>
          <w:sz w:val="2"/>
          <w:szCs w:val="2"/>
        </w:rPr>
        <w:sectPr>
          <w:type w:val="continuous"/>
          <w:pgSz w:w="11900" w:h="16820"/>
          <w:pgMar w:top="400" w:right="692" w:bottom="950" w:left="1279" w:header="0" w:footer="677" w:gutter="0"/>
          <w:cols w:equalWidth="0" w:num="1">
            <w:col w:w="9928"/>
          </w:cols>
        </w:sectPr>
      </w:pPr>
    </w:p>
    <w:p w14:paraId="729F91EF">
      <w:pPr>
        <w:spacing w:line="299" w:lineRule="auto"/>
        <w:rPr>
          <w:rFonts w:ascii="Arial"/>
          <w:sz w:val="21"/>
        </w:rPr>
      </w:pPr>
    </w:p>
    <w:p w14:paraId="19A28A72">
      <w:pPr>
        <w:pStyle w:val="2"/>
        <w:spacing w:before="66" w:line="222" w:lineRule="auto"/>
        <w:ind w:left="639"/>
        <w:rPr>
          <w:sz w:val="20"/>
          <w:szCs w:val="20"/>
        </w:rPr>
      </w:pPr>
      <w:bookmarkStart w:id="72" w:name="bookmark427"/>
      <w:bookmarkEnd w:id="72"/>
      <w:r>
        <w:rPr>
          <w:spacing w:val="-14"/>
          <w:w w:val="97"/>
          <w:sz w:val="20"/>
          <w:szCs w:val="20"/>
        </w:rPr>
        <w:t>第三章描述性研究</w:t>
      </w:r>
    </w:p>
    <w:p w14:paraId="5FA9DCCF">
      <w:pPr>
        <w:spacing w:line="269" w:lineRule="auto"/>
        <w:rPr>
          <w:rFonts w:ascii="Arial"/>
          <w:sz w:val="21"/>
        </w:rPr>
      </w:pPr>
    </w:p>
    <w:p w14:paraId="246037D5">
      <w:pPr>
        <w:spacing w:line="269" w:lineRule="auto"/>
        <w:rPr>
          <w:rFonts w:ascii="Arial"/>
          <w:sz w:val="21"/>
        </w:rPr>
      </w:pPr>
    </w:p>
    <w:p w14:paraId="109D9FA6">
      <w:pPr>
        <w:spacing w:before="59" w:line="220" w:lineRule="auto"/>
        <w:ind w:left="8010"/>
        <w:rPr>
          <w:rFonts w:ascii="宋体" w:hAnsi="宋体" w:eastAsia="宋体" w:cs="宋体"/>
          <w:sz w:val="18"/>
          <w:szCs w:val="18"/>
        </w:rPr>
      </w:pPr>
      <w:r>
        <w:rPr>
          <w:rFonts w:ascii="宋体" w:hAnsi="宋体" w:eastAsia="宋体" w:cs="宋体"/>
          <w:spacing w:val="-3"/>
          <w:sz w:val="18"/>
          <w:szCs w:val="18"/>
        </w:rPr>
        <w:t>续表</w:t>
      </w:r>
    </w:p>
    <w:p w14:paraId="3985A757">
      <w:pPr>
        <w:spacing w:line="32" w:lineRule="exact"/>
      </w:pPr>
    </w:p>
    <w:tbl>
      <w:tblPr>
        <w:tblStyle w:val="5"/>
        <w:tblW w:w="8270" w:type="dxa"/>
        <w:tblInd w:w="749"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0" w:type="dxa"/>
          <w:left w:w="0" w:type="dxa"/>
          <w:bottom w:w="0" w:type="dxa"/>
          <w:right w:w="0" w:type="dxa"/>
        </w:tblCellMar>
      </w:tblPr>
      <w:tblGrid>
        <w:gridCol w:w="1640"/>
        <w:gridCol w:w="1560"/>
        <w:gridCol w:w="1680"/>
        <w:gridCol w:w="1740"/>
        <w:gridCol w:w="1650"/>
      </w:tblGrid>
      <w:tr w14:paraId="60144C8D">
        <w:trPr>
          <w:trHeight w:val="365" w:hRule="atLeast"/>
        </w:trPr>
        <w:tc>
          <w:tcPr>
            <w:tcW w:w="1640" w:type="dxa"/>
            <w:vMerge w:val="restart"/>
            <w:tcBorders>
              <w:top w:val="single" w:color="000000" w:sz="4" w:space="0"/>
              <w:bottom w:val="nil"/>
            </w:tcBorders>
            <w:shd w:val="clear" w:color="auto" w:fill="C2CBC9"/>
            <w:vAlign w:val="top"/>
          </w:tcPr>
          <w:p w14:paraId="3FE72DB5">
            <w:pPr>
              <w:pStyle w:val="6"/>
              <w:spacing w:before="290" w:line="219" w:lineRule="auto"/>
              <w:ind w:left="372"/>
              <w:rPr>
                <w:sz w:val="18"/>
                <w:szCs w:val="18"/>
              </w:rPr>
            </w:pPr>
            <w:r>
              <w:rPr>
                <w:b/>
                <w:bCs/>
                <w:spacing w:val="-4"/>
                <w:sz w:val="18"/>
                <w:szCs w:val="18"/>
              </w:rPr>
              <w:t>期望病例数</w:t>
            </w:r>
          </w:p>
        </w:tc>
        <w:tc>
          <w:tcPr>
            <w:tcW w:w="3240" w:type="dxa"/>
            <w:gridSpan w:val="2"/>
            <w:tcBorders>
              <w:top w:val="single" w:color="000000" w:sz="4" w:space="0"/>
              <w:bottom w:val="single" w:color="000000" w:sz="4" w:space="0"/>
            </w:tcBorders>
            <w:shd w:val="clear" w:color="auto" w:fill="C9CDCD"/>
            <w:vAlign w:val="top"/>
          </w:tcPr>
          <w:p w14:paraId="1AF92920">
            <w:pPr>
              <w:pStyle w:val="6"/>
              <w:spacing w:before="110" w:line="239" w:lineRule="auto"/>
              <w:ind w:left="1440"/>
              <w:rPr>
                <w:sz w:val="18"/>
                <w:szCs w:val="18"/>
              </w:rPr>
            </w:pPr>
            <w:r>
              <w:rPr>
                <w:spacing w:val="-2"/>
                <w:sz w:val="18"/>
                <w:szCs w:val="18"/>
              </w:rPr>
              <w:t>0.95</w:t>
            </w:r>
          </w:p>
        </w:tc>
        <w:tc>
          <w:tcPr>
            <w:tcW w:w="3390" w:type="dxa"/>
            <w:gridSpan w:val="2"/>
            <w:tcBorders>
              <w:top w:val="single" w:color="000000" w:sz="4" w:space="0"/>
              <w:bottom w:val="single" w:color="000000" w:sz="4" w:space="0"/>
            </w:tcBorders>
            <w:shd w:val="clear" w:color="auto" w:fill="C7C8C8"/>
            <w:vAlign w:val="top"/>
          </w:tcPr>
          <w:p w14:paraId="3B76CEDD">
            <w:pPr>
              <w:pStyle w:val="6"/>
              <w:spacing w:before="110" w:line="239" w:lineRule="auto"/>
              <w:ind w:left="1510"/>
              <w:rPr>
                <w:sz w:val="18"/>
                <w:szCs w:val="18"/>
              </w:rPr>
            </w:pPr>
            <w:r>
              <w:rPr>
                <w:spacing w:val="-2"/>
                <w:sz w:val="18"/>
                <w:szCs w:val="18"/>
              </w:rPr>
              <w:t>0.90</w:t>
            </w:r>
          </w:p>
        </w:tc>
      </w:tr>
      <w:tr w14:paraId="15478FA2">
        <w:trPr>
          <w:trHeight w:val="380" w:hRule="atLeast"/>
        </w:trPr>
        <w:tc>
          <w:tcPr>
            <w:tcW w:w="1640" w:type="dxa"/>
            <w:vMerge w:val="continue"/>
            <w:tcBorders>
              <w:top w:val="nil"/>
              <w:bottom w:val="single" w:color="000000" w:sz="4" w:space="0"/>
            </w:tcBorders>
            <w:vAlign w:val="top"/>
          </w:tcPr>
          <w:p w14:paraId="70F0371B">
            <w:pPr>
              <w:rPr>
                <w:rFonts w:ascii="Arial"/>
                <w:sz w:val="21"/>
              </w:rPr>
            </w:pPr>
          </w:p>
        </w:tc>
        <w:tc>
          <w:tcPr>
            <w:tcW w:w="1560" w:type="dxa"/>
            <w:tcBorders>
              <w:top w:val="single" w:color="000000" w:sz="4" w:space="0"/>
              <w:bottom w:val="single" w:color="000000" w:sz="4" w:space="0"/>
            </w:tcBorders>
            <w:shd w:val="clear" w:color="auto" w:fill="C0C5C5"/>
            <w:vAlign w:val="top"/>
          </w:tcPr>
          <w:p w14:paraId="0E953FD2">
            <w:pPr>
              <w:pStyle w:val="6"/>
              <w:spacing w:before="98" w:line="220" w:lineRule="auto"/>
              <w:ind w:left="600"/>
              <w:rPr>
                <w:sz w:val="18"/>
                <w:szCs w:val="18"/>
              </w:rPr>
            </w:pPr>
            <w:r>
              <w:rPr>
                <w:spacing w:val="4"/>
                <w:sz w:val="18"/>
                <w:szCs w:val="18"/>
              </w:rPr>
              <w:t>下限</w:t>
            </w:r>
          </w:p>
        </w:tc>
        <w:tc>
          <w:tcPr>
            <w:tcW w:w="1680" w:type="dxa"/>
            <w:tcBorders>
              <w:top w:val="single" w:color="000000" w:sz="4" w:space="0"/>
              <w:bottom w:val="single" w:color="000000" w:sz="4" w:space="0"/>
            </w:tcBorders>
            <w:shd w:val="clear" w:color="auto" w:fill="CBCCCE"/>
            <w:vAlign w:val="top"/>
          </w:tcPr>
          <w:p w14:paraId="3FA617D6">
            <w:pPr>
              <w:pStyle w:val="6"/>
              <w:spacing w:before="98" w:line="220" w:lineRule="auto"/>
              <w:ind w:left="660"/>
              <w:rPr>
                <w:sz w:val="18"/>
                <w:szCs w:val="18"/>
              </w:rPr>
            </w:pPr>
            <w:r>
              <w:rPr>
                <w:spacing w:val="-3"/>
                <w:sz w:val="18"/>
                <w:szCs w:val="18"/>
              </w:rPr>
              <w:t>上限</w:t>
            </w:r>
          </w:p>
        </w:tc>
        <w:tc>
          <w:tcPr>
            <w:tcW w:w="1740" w:type="dxa"/>
            <w:tcBorders>
              <w:top w:val="single" w:color="000000" w:sz="4" w:space="0"/>
              <w:bottom w:val="single" w:color="000000" w:sz="4" w:space="0"/>
            </w:tcBorders>
            <w:shd w:val="clear" w:color="auto" w:fill="CACCCD"/>
            <w:vAlign w:val="top"/>
          </w:tcPr>
          <w:p w14:paraId="5A0E7161">
            <w:pPr>
              <w:pStyle w:val="6"/>
              <w:spacing w:before="98" w:line="220" w:lineRule="auto"/>
              <w:ind w:left="690"/>
              <w:rPr>
                <w:sz w:val="18"/>
                <w:szCs w:val="18"/>
              </w:rPr>
            </w:pPr>
            <w:r>
              <w:rPr>
                <w:spacing w:val="4"/>
                <w:sz w:val="18"/>
                <w:szCs w:val="18"/>
              </w:rPr>
              <w:t>下限</w:t>
            </w:r>
          </w:p>
        </w:tc>
        <w:tc>
          <w:tcPr>
            <w:tcW w:w="1650" w:type="dxa"/>
            <w:tcBorders>
              <w:top w:val="single" w:color="000000" w:sz="4" w:space="0"/>
              <w:bottom w:val="single" w:color="000000" w:sz="4" w:space="0"/>
            </w:tcBorders>
            <w:shd w:val="clear" w:color="auto" w:fill="B4B5AF"/>
            <w:vAlign w:val="top"/>
          </w:tcPr>
          <w:p w14:paraId="24C307E6">
            <w:pPr>
              <w:pStyle w:val="6"/>
              <w:spacing w:before="98" w:line="220" w:lineRule="auto"/>
              <w:ind w:left="640"/>
              <w:rPr>
                <w:sz w:val="18"/>
                <w:szCs w:val="18"/>
              </w:rPr>
            </w:pPr>
            <w:r>
              <w:rPr>
                <w:spacing w:val="-3"/>
                <w:sz w:val="18"/>
                <w:szCs w:val="18"/>
              </w:rPr>
              <w:t>上限</w:t>
            </w:r>
          </w:p>
        </w:tc>
      </w:tr>
      <w:tr w14:paraId="787DE8E7">
        <w:trPr>
          <w:trHeight w:val="349" w:hRule="atLeast"/>
        </w:trPr>
        <w:tc>
          <w:tcPr>
            <w:tcW w:w="1640" w:type="dxa"/>
            <w:tcBorders>
              <w:top w:val="single" w:color="000000" w:sz="4" w:space="0"/>
              <w:bottom w:val="single" w:color="000000" w:sz="4" w:space="0"/>
            </w:tcBorders>
            <w:vAlign w:val="top"/>
          </w:tcPr>
          <w:p w14:paraId="6606551F">
            <w:pPr>
              <w:pStyle w:val="6"/>
              <w:spacing w:before="104"/>
              <w:ind w:left="730"/>
              <w:rPr>
                <w:sz w:val="18"/>
                <w:szCs w:val="18"/>
              </w:rPr>
            </w:pPr>
            <w:r>
              <w:rPr>
                <w:spacing w:val="-6"/>
                <w:sz w:val="18"/>
                <w:szCs w:val="18"/>
              </w:rPr>
              <w:t>10</w:t>
            </w:r>
          </w:p>
        </w:tc>
        <w:tc>
          <w:tcPr>
            <w:tcW w:w="1560" w:type="dxa"/>
            <w:tcBorders>
              <w:top w:val="single" w:color="000000" w:sz="4" w:space="0"/>
              <w:bottom w:val="single" w:color="000000" w:sz="4" w:space="0"/>
            </w:tcBorders>
            <w:vAlign w:val="top"/>
          </w:tcPr>
          <w:p w14:paraId="48B53E9E">
            <w:pPr>
              <w:pStyle w:val="6"/>
              <w:spacing w:before="105" w:line="239" w:lineRule="auto"/>
              <w:ind w:left="600"/>
              <w:rPr>
                <w:sz w:val="18"/>
                <w:szCs w:val="18"/>
              </w:rPr>
            </w:pPr>
            <w:r>
              <w:rPr>
                <w:spacing w:val="-2"/>
                <w:sz w:val="18"/>
                <w:szCs w:val="18"/>
              </w:rPr>
              <w:t>4.30</w:t>
            </w:r>
          </w:p>
        </w:tc>
        <w:tc>
          <w:tcPr>
            <w:tcW w:w="1680" w:type="dxa"/>
            <w:tcBorders>
              <w:top w:val="single" w:color="000000" w:sz="4" w:space="0"/>
              <w:bottom w:val="single" w:color="000000" w:sz="4" w:space="0"/>
            </w:tcBorders>
            <w:vAlign w:val="top"/>
          </w:tcPr>
          <w:p w14:paraId="10D77B9B">
            <w:pPr>
              <w:pStyle w:val="6"/>
              <w:spacing w:before="105" w:line="239" w:lineRule="auto"/>
              <w:ind w:left="610"/>
              <w:rPr>
                <w:sz w:val="18"/>
                <w:szCs w:val="18"/>
              </w:rPr>
            </w:pPr>
            <w:r>
              <w:rPr>
                <w:spacing w:val="-4"/>
                <w:sz w:val="18"/>
                <w:szCs w:val="18"/>
              </w:rPr>
              <w:t>18.29</w:t>
            </w:r>
          </w:p>
        </w:tc>
        <w:tc>
          <w:tcPr>
            <w:tcW w:w="1740" w:type="dxa"/>
            <w:tcBorders>
              <w:top w:val="single" w:color="000000" w:sz="4" w:space="0"/>
              <w:bottom w:val="single" w:color="000000" w:sz="4" w:space="0"/>
            </w:tcBorders>
            <w:vAlign w:val="top"/>
          </w:tcPr>
          <w:p w14:paraId="74290DB8">
            <w:pPr>
              <w:pStyle w:val="6"/>
              <w:spacing w:before="105" w:line="239" w:lineRule="auto"/>
              <w:ind w:left="690"/>
              <w:rPr>
                <w:sz w:val="18"/>
                <w:szCs w:val="18"/>
              </w:rPr>
            </w:pPr>
            <w:r>
              <w:rPr>
                <w:spacing w:val="-2"/>
                <w:sz w:val="18"/>
                <w:szCs w:val="18"/>
              </w:rPr>
              <w:t>5.43</w:t>
            </w:r>
          </w:p>
        </w:tc>
        <w:tc>
          <w:tcPr>
            <w:tcW w:w="1650" w:type="dxa"/>
            <w:tcBorders>
              <w:top w:val="single" w:color="000000" w:sz="4" w:space="0"/>
              <w:bottom w:val="single" w:color="000000" w:sz="4" w:space="0"/>
            </w:tcBorders>
            <w:vAlign w:val="top"/>
          </w:tcPr>
          <w:p w14:paraId="7F60693B">
            <w:pPr>
              <w:pStyle w:val="6"/>
              <w:spacing w:before="105" w:line="239" w:lineRule="auto"/>
              <w:ind w:left="599"/>
              <w:rPr>
                <w:sz w:val="18"/>
                <w:szCs w:val="18"/>
              </w:rPr>
            </w:pPr>
            <w:r>
              <w:rPr>
                <w:spacing w:val="-4"/>
                <w:sz w:val="18"/>
                <w:szCs w:val="18"/>
              </w:rPr>
              <w:t>16.96</w:t>
            </w:r>
          </w:p>
        </w:tc>
      </w:tr>
      <w:tr w14:paraId="2F1230D6">
        <w:trPr>
          <w:trHeight w:val="380" w:hRule="atLeast"/>
        </w:trPr>
        <w:tc>
          <w:tcPr>
            <w:tcW w:w="1640" w:type="dxa"/>
            <w:tcBorders>
              <w:top w:val="single" w:color="000000" w:sz="4" w:space="0"/>
              <w:bottom w:val="single" w:color="000000" w:sz="4" w:space="0"/>
            </w:tcBorders>
            <w:shd w:val="clear" w:color="auto" w:fill="E0DFE4"/>
            <w:vAlign w:val="top"/>
          </w:tcPr>
          <w:p w14:paraId="5374D4E6">
            <w:pPr>
              <w:pStyle w:val="6"/>
              <w:spacing w:before="116" w:line="241" w:lineRule="auto"/>
              <w:ind w:left="730"/>
              <w:rPr>
                <w:sz w:val="18"/>
                <w:szCs w:val="18"/>
              </w:rPr>
            </w:pPr>
            <w:r>
              <w:rPr>
                <w:spacing w:val="-6"/>
                <w:sz w:val="18"/>
                <w:szCs w:val="18"/>
              </w:rPr>
              <w:t>11</w:t>
            </w:r>
          </w:p>
        </w:tc>
        <w:tc>
          <w:tcPr>
            <w:tcW w:w="1560" w:type="dxa"/>
            <w:tcBorders>
              <w:top w:val="single" w:color="000000" w:sz="4" w:space="0"/>
              <w:bottom w:val="single" w:color="000000" w:sz="4" w:space="0"/>
            </w:tcBorders>
            <w:shd w:val="clear" w:color="auto" w:fill="E1E0E4"/>
            <w:vAlign w:val="top"/>
          </w:tcPr>
          <w:p w14:paraId="7E401FDB">
            <w:pPr>
              <w:pStyle w:val="6"/>
              <w:spacing w:before="116" w:line="239" w:lineRule="auto"/>
              <w:ind w:left="600"/>
              <w:rPr>
                <w:sz w:val="18"/>
                <w:szCs w:val="18"/>
              </w:rPr>
            </w:pPr>
            <w:r>
              <w:rPr>
                <w:spacing w:val="-2"/>
                <w:sz w:val="18"/>
                <w:szCs w:val="18"/>
              </w:rPr>
              <w:t>5.49</w:t>
            </w:r>
          </w:p>
        </w:tc>
        <w:tc>
          <w:tcPr>
            <w:tcW w:w="1680" w:type="dxa"/>
            <w:tcBorders>
              <w:top w:val="single" w:color="000000" w:sz="4" w:space="0"/>
              <w:bottom w:val="single" w:color="000000" w:sz="4" w:space="0"/>
            </w:tcBorders>
            <w:shd w:val="clear" w:color="auto" w:fill="E1E0E4"/>
            <w:vAlign w:val="top"/>
          </w:tcPr>
          <w:p w14:paraId="21DB5FCC">
            <w:pPr>
              <w:pStyle w:val="6"/>
              <w:spacing w:before="116" w:line="239" w:lineRule="auto"/>
              <w:ind w:left="610"/>
              <w:rPr>
                <w:sz w:val="18"/>
                <w:szCs w:val="18"/>
              </w:rPr>
            </w:pPr>
            <w:r>
              <w:rPr>
                <w:spacing w:val="-4"/>
                <w:sz w:val="18"/>
                <w:szCs w:val="18"/>
              </w:rPr>
              <w:t>19.68</w:t>
            </w:r>
          </w:p>
        </w:tc>
        <w:tc>
          <w:tcPr>
            <w:tcW w:w="1740" w:type="dxa"/>
            <w:tcBorders>
              <w:top w:val="single" w:color="000000" w:sz="4" w:space="0"/>
              <w:bottom w:val="single" w:color="000000" w:sz="4" w:space="0"/>
            </w:tcBorders>
            <w:shd w:val="clear" w:color="auto" w:fill="E0DFE2"/>
            <w:vAlign w:val="top"/>
          </w:tcPr>
          <w:p w14:paraId="4006A3D4">
            <w:pPr>
              <w:pStyle w:val="6"/>
              <w:spacing w:before="116" w:line="239" w:lineRule="auto"/>
              <w:ind w:left="690"/>
              <w:rPr>
                <w:sz w:val="18"/>
                <w:szCs w:val="18"/>
              </w:rPr>
            </w:pPr>
            <w:r>
              <w:rPr>
                <w:spacing w:val="-2"/>
                <w:sz w:val="18"/>
                <w:szCs w:val="18"/>
              </w:rPr>
              <w:t>6.17</w:t>
            </w:r>
          </w:p>
        </w:tc>
        <w:tc>
          <w:tcPr>
            <w:tcW w:w="1650" w:type="dxa"/>
            <w:tcBorders>
              <w:top w:val="single" w:color="000000" w:sz="4" w:space="0"/>
              <w:bottom w:val="single" w:color="000000" w:sz="4" w:space="0"/>
            </w:tcBorders>
            <w:shd w:val="clear" w:color="auto" w:fill="DCDBDD"/>
            <w:vAlign w:val="top"/>
          </w:tcPr>
          <w:p w14:paraId="1A85A348">
            <w:pPr>
              <w:pStyle w:val="6"/>
              <w:spacing w:before="116" w:line="239" w:lineRule="auto"/>
              <w:ind w:left="599"/>
              <w:rPr>
                <w:sz w:val="18"/>
                <w:szCs w:val="18"/>
              </w:rPr>
            </w:pPr>
            <w:r>
              <w:rPr>
                <w:spacing w:val="-4"/>
                <w:sz w:val="18"/>
                <w:szCs w:val="18"/>
              </w:rPr>
              <w:t>18.21</w:t>
            </w:r>
          </w:p>
        </w:tc>
      </w:tr>
      <w:tr w14:paraId="1AEEB440">
        <w:trPr>
          <w:trHeight w:val="369" w:hRule="atLeast"/>
        </w:trPr>
        <w:tc>
          <w:tcPr>
            <w:tcW w:w="1640" w:type="dxa"/>
            <w:tcBorders>
              <w:top w:val="single" w:color="000000" w:sz="4" w:space="0"/>
              <w:bottom w:val="single" w:color="000000" w:sz="4" w:space="0"/>
            </w:tcBorders>
            <w:vAlign w:val="top"/>
          </w:tcPr>
          <w:p w14:paraId="734D616D">
            <w:pPr>
              <w:pStyle w:val="6"/>
              <w:spacing w:before="116" w:line="241" w:lineRule="auto"/>
              <w:ind w:left="730"/>
              <w:rPr>
                <w:sz w:val="18"/>
                <w:szCs w:val="18"/>
              </w:rPr>
            </w:pPr>
            <w:r>
              <w:rPr>
                <w:spacing w:val="-6"/>
                <w:sz w:val="18"/>
                <w:szCs w:val="18"/>
              </w:rPr>
              <w:t>12</w:t>
            </w:r>
          </w:p>
        </w:tc>
        <w:tc>
          <w:tcPr>
            <w:tcW w:w="1560" w:type="dxa"/>
            <w:tcBorders>
              <w:top w:val="single" w:color="000000" w:sz="4" w:space="0"/>
              <w:bottom w:val="single" w:color="000000" w:sz="4" w:space="0"/>
            </w:tcBorders>
            <w:vAlign w:val="top"/>
          </w:tcPr>
          <w:p w14:paraId="29D2B294">
            <w:pPr>
              <w:pStyle w:val="6"/>
              <w:spacing w:before="116" w:line="239" w:lineRule="auto"/>
              <w:ind w:left="600"/>
              <w:rPr>
                <w:sz w:val="18"/>
                <w:szCs w:val="18"/>
              </w:rPr>
            </w:pPr>
            <w:r>
              <w:rPr>
                <w:spacing w:val="-2"/>
                <w:sz w:val="18"/>
                <w:szCs w:val="18"/>
              </w:rPr>
              <w:t>6.20</w:t>
            </w:r>
          </w:p>
        </w:tc>
        <w:tc>
          <w:tcPr>
            <w:tcW w:w="1680" w:type="dxa"/>
            <w:tcBorders>
              <w:top w:val="single" w:color="000000" w:sz="4" w:space="0"/>
              <w:bottom w:val="single" w:color="000000" w:sz="4" w:space="0"/>
            </w:tcBorders>
            <w:vAlign w:val="top"/>
          </w:tcPr>
          <w:p w14:paraId="47CBCB32">
            <w:pPr>
              <w:pStyle w:val="6"/>
              <w:spacing w:before="116" w:line="239" w:lineRule="auto"/>
              <w:ind w:left="610"/>
              <w:rPr>
                <w:sz w:val="18"/>
                <w:szCs w:val="18"/>
              </w:rPr>
            </w:pPr>
            <w:r>
              <w:rPr>
                <w:spacing w:val="-2"/>
                <w:sz w:val="18"/>
                <w:szCs w:val="18"/>
              </w:rPr>
              <w:t>20.96</w:t>
            </w:r>
          </w:p>
        </w:tc>
        <w:tc>
          <w:tcPr>
            <w:tcW w:w="1740" w:type="dxa"/>
            <w:tcBorders>
              <w:top w:val="single" w:color="000000" w:sz="4" w:space="0"/>
              <w:bottom w:val="single" w:color="000000" w:sz="4" w:space="0"/>
            </w:tcBorders>
            <w:vAlign w:val="top"/>
          </w:tcPr>
          <w:p w14:paraId="7F978793">
            <w:pPr>
              <w:pStyle w:val="6"/>
              <w:spacing w:before="116" w:line="239" w:lineRule="auto"/>
              <w:ind w:left="690"/>
              <w:rPr>
                <w:sz w:val="18"/>
                <w:szCs w:val="18"/>
              </w:rPr>
            </w:pPr>
            <w:r>
              <w:rPr>
                <w:spacing w:val="-2"/>
                <w:sz w:val="18"/>
                <w:szCs w:val="18"/>
              </w:rPr>
              <w:t>6.92</w:t>
            </w:r>
          </w:p>
        </w:tc>
        <w:tc>
          <w:tcPr>
            <w:tcW w:w="1650" w:type="dxa"/>
            <w:tcBorders>
              <w:top w:val="single" w:color="000000" w:sz="4" w:space="0"/>
              <w:bottom w:val="single" w:color="000000" w:sz="4" w:space="0"/>
            </w:tcBorders>
            <w:vAlign w:val="top"/>
          </w:tcPr>
          <w:p w14:paraId="36275FF4">
            <w:pPr>
              <w:pStyle w:val="6"/>
              <w:spacing w:before="116" w:line="239" w:lineRule="auto"/>
              <w:ind w:left="599"/>
              <w:rPr>
                <w:sz w:val="18"/>
                <w:szCs w:val="18"/>
              </w:rPr>
            </w:pPr>
            <w:r>
              <w:rPr>
                <w:spacing w:val="-4"/>
                <w:sz w:val="18"/>
                <w:szCs w:val="18"/>
              </w:rPr>
              <w:t>19.44</w:t>
            </w:r>
          </w:p>
        </w:tc>
      </w:tr>
      <w:tr w14:paraId="6F92B8AC">
        <w:trPr>
          <w:trHeight w:val="380" w:hRule="atLeast"/>
        </w:trPr>
        <w:tc>
          <w:tcPr>
            <w:tcW w:w="1640" w:type="dxa"/>
            <w:tcBorders>
              <w:top w:val="single" w:color="000000" w:sz="4" w:space="0"/>
              <w:bottom w:val="single" w:color="000000" w:sz="4" w:space="0"/>
            </w:tcBorders>
            <w:shd w:val="clear" w:color="auto" w:fill="E0E0E4"/>
            <w:vAlign w:val="top"/>
          </w:tcPr>
          <w:p w14:paraId="32175A89">
            <w:pPr>
              <w:pStyle w:val="6"/>
              <w:spacing w:before="117"/>
              <w:ind w:left="730"/>
              <w:rPr>
                <w:sz w:val="18"/>
                <w:szCs w:val="18"/>
              </w:rPr>
            </w:pPr>
            <w:r>
              <w:rPr>
                <w:spacing w:val="-6"/>
                <w:sz w:val="18"/>
                <w:szCs w:val="18"/>
              </w:rPr>
              <w:t>13</w:t>
            </w:r>
          </w:p>
        </w:tc>
        <w:tc>
          <w:tcPr>
            <w:tcW w:w="1560" w:type="dxa"/>
            <w:tcBorders>
              <w:top w:val="single" w:color="000000" w:sz="4" w:space="0"/>
              <w:bottom w:val="single" w:color="000000" w:sz="4" w:space="0"/>
            </w:tcBorders>
            <w:shd w:val="clear" w:color="auto" w:fill="E5E3E7"/>
            <w:vAlign w:val="top"/>
          </w:tcPr>
          <w:p w14:paraId="26490E56">
            <w:pPr>
              <w:pStyle w:val="6"/>
              <w:spacing w:before="117" w:line="239" w:lineRule="auto"/>
              <w:ind w:left="600"/>
              <w:rPr>
                <w:sz w:val="18"/>
                <w:szCs w:val="18"/>
              </w:rPr>
            </w:pPr>
            <w:r>
              <w:rPr>
                <w:spacing w:val="-2"/>
                <w:sz w:val="18"/>
                <w:szCs w:val="18"/>
              </w:rPr>
              <w:t>6.92</w:t>
            </w:r>
          </w:p>
        </w:tc>
        <w:tc>
          <w:tcPr>
            <w:tcW w:w="1680" w:type="dxa"/>
            <w:tcBorders>
              <w:top w:val="single" w:color="000000" w:sz="4" w:space="0"/>
              <w:bottom w:val="single" w:color="000000" w:sz="4" w:space="0"/>
            </w:tcBorders>
            <w:shd w:val="clear" w:color="auto" w:fill="E2E1E4"/>
            <w:vAlign w:val="top"/>
          </w:tcPr>
          <w:p w14:paraId="5823ABBE">
            <w:pPr>
              <w:pStyle w:val="6"/>
              <w:spacing w:before="117" w:line="239" w:lineRule="auto"/>
              <w:ind w:left="610"/>
              <w:rPr>
                <w:sz w:val="18"/>
                <w:szCs w:val="18"/>
              </w:rPr>
            </w:pPr>
            <w:r>
              <w:rPr>
                <w:spacing w:val="-2"/>
                <w:sz w:val="18"/>
                <w:szCs w:val="18"/>
              </w:rPr>
              <w:t>22.23</w:t>
            </w:r>
          </w:p>
        </w:tc>
        <w:tc>
          <w:tcPr>
            <w:tcW w:w="1740" w:type="dxa"/>
            <w:tcBorders>
              <w:top w:val="single" w:color="000000" w:sz="4" w:space="0"/>
              <w:bottom w:val="single" w:color="000000" w:sz="4" w:space="0"/>
            </w:tcBorders>
            <w:shd w:val="clear" w:color="auto" w:fill="E1E0E3"/>
            <w:vAlign w:val="top"/>
          </w:tcPr>
          <w:p w14:paraId="1E726D04">
            <w:pPr>
              <w:pStyle w:val="6"/>
              <w:spacing w:before="117" w:line="239" w:lineRule="auto"/>
              <w:ind w:left="690"/>
              <w:rPr>
                <w:sz w:val="18"/>
                <w:szCs w:val="18"/>
              </w:rPr>
            </w:pPr>
            <w:r>
              <w:rPr>
                <w:spacing w:val="-3"/>
                <w:sz w:val="18"/>
                <w:szCs w:val="18"/>
              </w:rPr>
              <w:t>7.69</w:t>
            </w:r>
          </w:p>
        </w:tc>
        <w:tc>
          <w:tcPr>
            <w:tcW w:w="1650" w:type="dxa"/>
            <w:tcBorders>
              <w:top w:val="single" w:color="000000" w:sz="4" w:space="0"/>
              <w:bottom w:val="single" w:color="000000" w:sz="4" w:space="0"/>
            </w:tcBorders>
            <w:shd w:val="clear" w:color="auto" w:fill="DDDBDC"/>
            <w:vAlign w:val="top"/>
          </w:tcPr>
          <w:p w14:paraId="0E01BE7C">
            <w:pPr>
              <w:pStyle w:val="6"/>
              <w:spacing w:before="117" w:line="239" w:lineRule="auto"/>
              <w:ind w:left="599"/>
              <w:rPr>
                <w:sz w:val="18"/>
                <w:szCs w:val="18"/>
              </w:rPr>
            </w:pPr>
            <w:r>
              <w:rPr>
                <w:spacing w:val="-2"/>
                <w:sz w:val="18"/>
                <w:szCs w:val="18"/>
              </w:rPr>
              <w:t>20.67</w:t>
            </w:r>
          </w:p>
        </w:tc>
      </w:tr>
      <w:tr w14:paraId="3CB0617C">
        <w:trPr>
          <w:trHeight w:val="369" w:hRule="atLeast"/>
        </w:trPr>
        <w:tc>
          <w:tcPr>
            <w:tcW w:w="1640" w:type="dxa"/>
            <w:tcBorders>
              <w:top w:val="single" w:color="000000" w:sz="4" w:space="0"/>
              <w:bottom w:val="single" w:color="000000" w:sz="4" w:space="0"/>
            </w:tcBorders>
            <w:vAlign w:val="top"/>
          </w:tcPr>
          <w:p w14:paraId="6FD480AB">
            <w:pPr>
              <w:pStyle w:val="6"/>
              <w:spacing w:before="117" w:line="241" w:lineRule="auto"/>
              <w:ind w:left="730"/>
              <w:rPr>
                <w:sz w:val="18"/>
                <w:szCs w:val="18"/>
              </w:rPr>
            </w:pPr>
            <w:r>
              <w:rPr>
                <w:spacing w:val="-6"/>
                <w:sz w:val="18"/>
                <w:szCs w:val="18"/>
              </w:rPr>
              <w:t>14</w:t>
            </w:r>
          </w:p>
        </w:tc>
        <w:tc>
          <w:tcPr>
            <w:tcW w:w="1560" w:type="dxa"/>
            <w:tcBorders>
              <w:top w:val="single" w:color="000000" w:sz="4" w:space="0"/>
              <w:bottom w:val="single" w:color="000000" w:sz="4" w:space="0"/>
            </w:tcBorders>
            <w:vAlign w:val="top"/>
          </w:tcPr>
          <w:p w14:paraId="12AD8303">
            <w:pPr>
              <w:pStyle w:val="6"/>
              <w:spacing w:before="117" w:line="239" w:lineRule="auto"/>
              <w:ind w:left="600"/>
              <w:rPr>
                <w:sz w:val="18"/>
                <w:szCs w:val="18"/>
              </w:rPr>
            </w:pPr>
            <w:r>
              <w:rPr>
                <w:spacing w:val="-3"/>
                <w:sz w:val="18"/>
                <w:szCs w:val="18"/>
              </w:rPr>
              <w:t>7.65</w:t>
            </w:r>
          </w:p>
        </w:tc>
        <w:tc>
          <w:tcPr>
            <w:tcW w:w="1680" w:type="dxa"/>
            <w:tcBorders>
              <w:top w:val="single" w:color="000000" w:sz="4" w:space="0"/>
              <w:bottom w:val="single" w:color="000000" w:sz="4" w:space="0"/>
            </w:tcBorders>
            <w:vAlign w:val="top"/>
          </w:tcPr>
          <w:p w14:paraId="1C6100AC">
            <w:pPr>
              <w:pStyle w:val="6"/>
              <w:spacing w:before="117" w:line="239" w:lineRule="auto"/>
              <w:ind w:left="610"/>
              <w:rPr>
                <w:sz w:val="18"/>
                <w:szCs w:val="18"/>
              </w:rPr>
            </w:pPr>
            <w:r>
              <w:rPr>
                <w:spacing w:val="-2"/>
                <w:sz w:val="18"/>
                <w:szCs w:val="18"/>
              </w:rPr>
              <w:t>23.49</w:t>
            </w:r>
          </w:p>
        </w:tc>
        <w:tc>
          <w:tcPr>
            <w:tcW w:w="1740" w:type="dxa"/>
            <w:tcBorders>
              <w:top w:val="single" w:color="000000" w:sz="4" w:space="0"/>
              <w:bottom w:val="single" w:color="000000" w:sz="4" w:space="0"/>
            </w:tcBorders>
            <w:vAlign w:val="top"/>
          </w:tcPr>
          <w:p w14:paraId="4E81FCAB">
            <w:pPr>
              <w:pStyle w:val="6"/>
              <w:spacing w:before="117" w:line="239" w:lineRule="auto"/>
              <w:ind w:left="690"/>
              <w:rPr>
                <w:sz w:val="18"/>
                <w:szCs w:val="18"/>
              </w:rPr>
            </w:pPr>
            <w:r>
              <w:rPr>
                <w:spacing w:val="-2"/>
                <w:sz w:val="18"/>
                <w:szCs w:val="18"/>
              </w:rPr>
              <w:t>8.46</w:t>
            </w:r>
          </w:p>
        </w:tc>
        <w:tc>
          <w:tcPr>
            <w:tcW w:w="1650" w:type="dxa"/>
            <w:tcBorders>
              <w:top w:val="single" w:color="000000" w:sz="4" w:space="0"/>
              <w:bottom w:val="single" w:color="000000" w:sz="4" w:space="0"/>
            </w:tcBorders>
            <w:vAlign w:val="top"/>
          </w:tcPr>
          <w:p w14:paraId="3084FA77">
            <w:pPr>
              <w:pStyle w:val="6"/>
              <w:spacing w:before="117" w:line="239" w:lineRule="auto"/>
              <w:ind w:left="599"/>
              <w:rPr>
                <w:sz w:val="18"/>
                <w:szCs w:val="18"/>
              </w:rPr>
            </w:pPr>
            <w:r>
              <w:rPr>
                <w:spacing w:val="-2"/>
                <w:sz w:val="18"/>
                <w:szCs w:val="18"/>
              </w:rPr>
              <w:t>21.89</w:t>
            </w:r>
          </w:p>
        </w:tc>
      </w:tr>
      <w:tr w14:paraId="4C1C311A">
        <w:trPr>
          <w:trHeight w:val="360" w:hRule="atLeast"/>
        </w:trPr>
        <w:tc>
          <w:tcPr>
            <w:tcW w:w="1640" w:type="dxa"/>
            <w:tcBorders>
              <w:top w:val="single" w:color="000000" w:sz="4" w:space="0"/>
              <w:bottom w:val="single" w:color="000000" w:sz="4" w:space="0"/>
            </w:tcBorders>
            <w:shd w:val="clear" w:color="auto" w:fill="E1E0E5"/>
            <w:vAlign w:val="top"/>
          </w:tcPr>
          <w:p w14:paraId="7901C347">
            <w:pPr>
              <w:pStyle w:val="6"/>
              <w:spacing w:before="107"/>
              <w:ind w:left="730"/>
              <w:rPr>
                <w:sz w:val="18"/>
                <w:szCs w:val="18"/>
              </w:rPr>
            </w:pPr>
            <w:r>
              <w:rPr>
                <w:spacing w:val="-6"/>
                <w:sz w:val="18"/>
                <w:szCs w:val="18"/>
              </w:rPr>
              <w:t>15</w:t>
            </w:r>
          </w:p>
        </w:tc>
        <w:tc>
          <w:tcPr>
            <w:tcW w:w="1560" w:type="dxa"/>
            <w:tcBorders>
              <w:top w:val="single" w:color="000000" w:sz="4" w:space="0"/>
              <w:bottom w:val="single" w:color="000000" w:sz="4" w:space="0"/>
            </w:tcBorders>
            <w:shd w:val="clear" w:color="auto" w:fill="E4E3E7"/>
            <w:vAlign w:val="top"/>
          </w:tcPr>
          <w:p w14:paraId="02996C37">
            <w:pPr>
              <w:pStyle w:val="6"/>
              <w:spacing w:before="108" w:line="239" w:lineRule="auto"/>
              <w:ind w:left="600"/>
              <w:rPr>
                <w:sz w:val="18"/>
                <w:szCs w:val="18"/>
              </w:rPr>
            </w:pPr>
            <w:r>
              <w:rPr>
                <w:spacing w:val="-2"/>
                <w:sz w:val="18"/>
                <w:szCs w:val="18"/>
              </w:rPr>
              <w:t>8.40</w:t>
            </w:r>
          </w:p>
        </w:tc>
        <w:tc>
          <w:tcPr>
            <w:tcW w:w="1680" w:type="dxa"/>
            <w:tcBorders>
              <w:top w:val="single" w:color="000000" w:sz="4" w:space="0"/>
              <w:bottom w:val="single" w:color="000000" w:sz="4" w:space="0"/>
            </w:tcBorders>
            <w:shd w:val="clear" w:color="auto" w:fill="E4E3E5"/>
            <w:vAlign w:val="top"/>
          </w:tcPr>
          <w:p w14:paraId="2035FA5B">
            <w:pPr>
              <w:pStyle w:val="6"/>
              <w:spacing w:before="108" w:line="239" w:lineRule="auto"/>
              <w:ind w:left="610"/>
              <w:rPr>
                <w:sz w:val="18"/>
                <w:szCs w:val="18"/>
              </w:rPr>
            </w:pPr>
            <w:r>
              <w:rPr>
                <w:spacing w:val="-2"/>
                <w:sz w:val="18"/>
                <w:szCs w:val="18"/>
              </w:rPr>
              <w:t>24.74</w:t>
            </w:r>
          </w:p>
        </w:tc>
        <w:tc>
          <w:tcPr>
            <w:tcW w:w="1740" w:type="dxa"/>
            <w:tcBorders>
              <w:top w:val="single" w:color="000000" w:sz="4" w:space="0"/>
              <w:bottom w:val="single" w:color="000000" w:sz="4" w:space="0"/>
            </w:tcBorders>
            <w:shd w:val="clear" w:color="auto" w:fill="E1E0E3"/>
            <w:vAlign w:val="top"/>
          </w:tcPr>
          <w:p w14:paraId="1738EAF1">
            <w:pPr>
              <w:pStyle w:val="6"/>
              <w:spacing w:before="108" w:line="239" w:lineRule="auto"/>
              <w:ind w:left="690"/>
              <w:rPr>
                <w:sz w:val="18"/>
                <w:szCs w:val="18"/>
              </w:rPr>
            </w:pPr>
            <w:r>
              <w:rPr>
                <w:spacing w:val="-2"/>
                <w:sz w:val="18"/>
                <w:szCs w:val="18"/>
              </w:rPr>
              <w:t>9.25</w:t>
            </w:r>
          </w:p>
        </w:tc>
        <w:tc>
          <w:tcPr>
            <w:tcW w:w="1650" w:type="dxa"/>
            <w:tcBorders>
              <w:top w:val="single" w:color="000000" w:sz="4" w:space="0"/>
              <w:bottom w:val="single" w:color="000000" w:sz="4" w:space="0"/>
            </w:tcBorders>
            <w:shd w:val="clear" w:color="auto" w:fill="E4E4E2"/>
            <w:vAlign w:val="top"/>
          </w:tcPr>
          <w:p w14:paraId="2256161B">
            <w:pPr>
              <w:pStyle w:val="6"/>
              <w:spacing w:before="108" w:line="239" w:lineRule="auto"/>
              <w:ind w:left="599"/>
              <w:rPr>
                <w:sz w:val="18"/>
                <w:szCs w:val="18"/>
              </w:rPr>
            </w:pPr>
            <w:r>
              <w:rPr>
                <w:spacing w:val="-2"/>
                <w:sz w:val="18"/>
                <w:szCs w:val="18"/>
              </w:rPr>
              <w:t>23.10</w:t>
            </w:r>
          </w:p>
        </w:tc>
      </w:tr>
      <w:tr w14:paraId="6D2FD0F1">
        <w:trPr>
          <w:trHeight w:val="369" w:hRule="atLeast"/>
        </w:trPr>
        <w:tc>
          <w:tcPr>
            <w:tcW w:w="1640" w:type="dxa"/>
            <w:tcBorders>
              <w:top w:val="single" w:color="000000" w:sz="4" w:space="0"/>
              <w:bottom w:val="single" w:color="000000" w:sz="4" w:space="0"/>
            </w:tcBorders>
            <w:vAlign w:val="top"/>
          </w:tcPr>
          <w:p w14:paraId="56E668B9">
            <w:pPr>
              <w:pStyle w:val="6"/>
              <w:spacing w:before="117"/>
              <w:ind w:left="730"/>
              <w:rPr>
                <w:sz w:val="18"/>
                <w:szCs w:val="18"/>
              </w:rPr>
            </w:pPr>
            <w:r>
              <w:rPr>
                <w:spacing w:val="-6"/>
                <w:sz w:val="18"/>
                <w:szCs w:val="18"/>
              </w:rPr>
              <w:t>16</w:t>
            </w:r>
          </w:p>
        </w:tc>
        <w:tc>
          <w:tcPr>
            <w:tcW w:w="1560" w:type="dxa"/>
            <w:tcBorders>
              <w:top w:val="single" w:color="000000" w:sz="4" w:space="0"/>
              <w:bottom w:val="single" w:color="000000" w:sz="4" w:space="0"/>
            </w:tcBorders>
            <w:vAlign w:val="top"/>
          </w:tcPr>
          <w:p w14:paraId="3A74AD18">
            <w:pPr>
              <w:pStyle w:val="6"/>
              <w:spacing w:before="118" w:line="239" w:lineRule="auto"/>
              <w:ind w:left="600"/>
              <w:rPr>
                <w:sz w:val="18"/>
                <w:szCs w:val="18"/>
              </w:rPr>
            </w:pPr>
            <w:r>
              <w:rPr>
                <w:spacing w:val="-2"/>
                <w:sz w:val="18"/>
                <w:szCs w:val="18"/>
              </w:rPr>
              <w:t>9.15</w:t>
            </w:r>
          </w:p>
        </w:tc>
        <w:tc>
          <w:tcPr>
            <w:tcW w:w="1680" w:type="dxa"/>
            <w:tcBorders>
              <w:top w:val="single" w:color="000000" w:sz="4" w:space="0"/>
              <w:bottom w:val="single" w:color="000000" w:sz="4" w:space="0"/>
            </w:tcBorders>
            <w:vAlign w:val="top"/>
          </w:tcPr>
          <w:p w14:paraId="719E432F">
            <w:pPr>
              <w:pStyle w:val="6"/>
              <w:spacing w:before="118" w:line="239" w:lineRule="auto"/>
              <w:ind w:left="610"/>
              <w:rPr>
                <w:sz w:val="18"/>
                <w:szCs w:val="18"/>
              </w:rPr>
            </w:pPr>
            <w:r>
              <w:rPr>
                <w:spacing w:val="-2"/>
                <w:sz w:val="18"/>
                <w:szCs w:val="18"/>
              </w:rPr>
              <w:t>25.98</w:t>
            </w:r>
          </w:p>
        </w:tc>
        <w:tc>
          <w:tcPr>
            <w:tcW w:w="1740" w:type="dxa"/>
            <w:tcBorders>
              <w:top w:val="single" w:color="000000" w:sz="4" w:space="0"/>
              <w:bottom w:val="single" w:color="000000" w:sz="4" w:space="0"/>
            </w:tcBorders>
            <w:vAlign w:val="top"/>
          </w:tcPr>
          <w:p w14:paraId="6491992F">
            <w:pPr>
              <w:pStyle w:val="6"/>
              <w:spacing w:before="118" w:line="239" w:lineRule="auto"/>
              <w:ind w:left="640"/>
              <w:rPr>
                <w:sz w:val="18"/>
                <w:szCs w:val="18"/>
              </w:rPr>
            </w:pPr>
            <w:r>
              <w:rPr>
                <w:spacing w:val="-4"/>
                <w:sz w:val="18"/>
                <w:szCs w:val="18"/>
              </w:rPr>
              <w:t>10.04</w:t>
            </w:r>
          </w:p>
        </w:tc>
        <w:tc>
          <w:tcPr>
            <w:tcW w:w="1650" w:type="dxa"/>
            <w:tcBorders>
              <w:top w:val="single" w:color="000000" w:sz="4" w:space="0"/>
              <w:bottom w:val="single" w:color="000000" w:sz="4" w:space="0"/>
            </w:tcBorders>
            <w:vAlign w:val="top"/>
          </w:tcPr>
          <w:p w14:paraId="3044FE6C">
            <w:pPr>
              <w:pStyle w:val="6"/>
              <w:spacing w:before="118" w:line="239" w:lineRule="auto"/>
              <w:ind w:left="599"/>
              <w:rPr>
                <w:sz w:val="18"/>
                <w:szCs w:val="18"/>
              </w:rPr>
            </w:pPr>
            <w:r>
              <w:rPr>
                <w:spacing w:val="-2"/>
                <w:sz w:val="18"/>
                <w:szCs w:val="18"/>
              </w:rPr>
              <w:t>24.30</w:t>
            </w:r>
          </w:p>
        </w:tc>
      </w:tr>
      <w:tr w14:paraId="678AA0B6">
        <w:trPr>
          <w:trHeight w:val="369" w:hRule="atLeast"/>
        </w:trPr>
        <w:tc>
          <w:tcPr>
            <w:tcW w:w="1640" w:type="dxa"/>
            <w:tcBorders>
              <w:top w:val="single" w:color="000000" w:sz="4" w:space="0"/>
              <w:bottom w:val="single" w:color="000000" w:sz="4" w:space="0"/>
            </w:tcBorders>
            <w:shd w:val="clear" w:color="auto" w:fill="E1E0E5"/>
            <w:vAlign w:val="top"/>
          </w:tcPr>
          <w:p w14:paraId="0B2D2BDF">
            <w:pPr>
              <w:pStyle w:val="6"/>
              <w:spacing w:before="118"/>
              <w:ind w:left="730"/>
              <w:rPr>
                <w:sz w:val="18"/>
                <w:szCs w:val="18"/>
              </w:rPr>
            </w:pPr>
            <w:r>
              <w:rPr>
                <w:spacing w:val="-6"/>
                <w:sz w:val="18"/>
                <w:szCs w:val="18"/>
              </w:rPr>
              <w:t>17</w:t>
            </w:r>
          </w:p>
        </w:tc>
        <w:tc>
          <w:tcPr>
            <w:tcW w:w="1560" w:type="dxa"/>
            <w:tcBorders>
              <w:top w:val="single" w:color="000000" w:sz="4" w:space="0"/>
              <w:bottom w:val="single" w:color="000000" w:sz="4" w:space="0"/>
            </w:tcBorders>
            <w:shd w:val="clear" w:color="auto" w:fill="E1E0E4"/>
            <w:vAlign w:val="top"/>
          </w:tcPr>
          <w:p w14:paraId="4EEF5058">
            <w:pPr>
              <w:pStyle w:val="6"/>
              <w:spacing w:before="119" w:line="239" w:lineRule="auto"/>
              <w:ind w:left="600"/>
              <w:rPr>
                <w:sz w:val="18"/>
                <w:szCs w:val="18"/>
              </w:rPr>
            </w:pPr>
            <w:r>
              <w:rPr>
                <w:spacing w:val="-2"/>
                <w:sz w:val="18"/>
                <w:szCs w:val="18"/>
              </w:rPr>
              <w:t>9.90</w:t>
            </w:r>
          </w:p>
        </w:tc>
        <w:tc>
          <w:tcPr>
            <w:tcW w:w="1680" w:type="dxa"/>
            <w:tcBorders>
              <w:top w:val="single" w:color="000000" w:sz="4" w:space="0"/>
              <w:bottom w:val="single" w:color="000000" w:sz="4" w:space="0"/>
            </w:tcBorders>
            <w:shd w:val="clear" w:color="auto" w:fill="E1DFE4"/>
            <w:vAlign w:val="top"/>
          </w:tcPr>
          <w:p w14:paraId="292C4E06">
            <w:pPr>
              <w:pStyle w:val="6"/>
              <w:spacing w:before="119" w:line="239" w:lineRule="auto"/>
              <w:ind w:left="610"/>
              <w:rPr>
                <w:sz w:val="18"/>
                <w:szCs w:val="18"/>
              </w:rPr>
            </w:pPr>
            <w:r>
              <w:rPr>
                <w:spacing w:val="-2"/>
                <w:sz w:val="18"/>
                <w:szCs w:val="18"/>
              </w:rPr>
              <w:t>27.22</w:t>
            </w:r>
          </w:p>
        </w:tc>
        <w:tc>
          <w:tcPr>
            <w:tcW w:w="1740" w:type="dxa"/>
            <w:tcBorders>
              <w:top w:val="single" w:color="000000" w:sz="4" w:space="0"/>
              <w:bottom w:val="single" w:color="000000" w:sz="4" w:space="0"/>
            </w:tcBorders>
            <w:shd w:val="clear" w:color="auto" w:fill="E4E3E5"/>
            <w:vAlign w:val="top"/>
          </w:tcPr>
          <w:p w14:paraId="6FA89AF9">
            <w:pPr>
              <w:pStyle w:val="6"/>
              <w:spacing w:before="119" w:line="239" w:lineRule="auto"/>
              <w:ind w:left="640"/>
              <w:rPr>
                <w:sz w:val="18"/>
                <w:szCs w:val="18"/>
              </w:rPr>
            </w:pPr>
            <w:r>
              <w:rPr>
                <w:spacing w:val="-4"/>
                <w:sz w:val="18"/>
                <w:szCs w:val="18"/>
              </w:rPr>
              <w:t>10.83</w:t>
            </w:r>
          </w:p>
        </w:tc>
        <w:tc>
          <w:tcPr>
            <w:tcW w:w="1650" w:type="dxa"/>
            <w:tcBorders>
              <w:top w:val="single" w:color="000000" w:sz="4" w:space="0"/>
              <w:bottom w:val="single" w:color="000000" w:sz="4" w:space="0"/>
            </w:tcBorders>
            <w:shd w:val="clear" w:color="auto" w:fill="E5E4E2"/>
            <w:vAlign w:val="top"/>
          </w:tcPr>
          <w:p w14:paraId="433776A7">
            <w:pPr>
              <w:pStyle w:val="6"/>
              <w:spacing w:before="119" w:line="239" w:lineRule="auto"/>
              <w:ind w:left="599"/>
              <w:rPr>
                <w:sz w:val="18"/>
                <w:szCs w:val="18"/>
              </w:rPr>
            </w:pPr>
            <w:r>
              <w:rPr>
                <w:spacing w:val="-2"/>
                <w:sz w:val="18"/>
                <w:szCs w:val="18"/>
              </w:rPr>
              <w:t>25.50</w:t>
            </w:r>
          </w:p>
        </w:tc>
      </w:tr>
      <w:tr w14:paraId="45BAC155">
        <w:trPr>
          <w:trHeight w:val="369" w:hRule="atLeast"/>
        </w:trPr>
        <w:tc>
          <w:tcPr>
            <w:tcW w:w="1640" w:type="dxa"/>
            <w:tcBorders>
              <w:top w:val="single" w:color="000000" w:sz="4" w:space="0"/>
              <w:bottom w:val="single" w:color="000000" w:sz="4" w:space="0"/>
            </w:tcBorders>
            <w:vAlign w:val="top"/>
          </w:tcPr>
          <w:p w14:paraId="086D7398">
            <w:pPr>
              <w:pStyle w:val="6"/>
              <w:spacing w:before="120"/>
              <w:ind w:left="730"/>
              <w:rPr>
                <w:sz w:val="18"/>
                <w:szCs w:val="18"/>
              </w:rPr>
            </w:pPr>
            <w:r>
              <w:rPr>
                <w:spacing w:val="-6"/>
                <w:sz w:val="18"/>
                <w:szCs w:val="18"/>
              </w:rPr>
              <w:t>18</w:t>
            </w:r>
          </w:p>
        </w:tc>
        <w:tc>
          <w:tcPr>
            <w:tcW w:w="1560" w:type="dxa"/>
            <w:tcBorders>
              <w:top w:val="single" w:color="000000" w:sz="4" w:space="0"/>
              <w:bottom w:val="single" w:color="000000" w:sz="4" w:space="0"/>
            </w:tcBorders>
            <w:vAlign w:val="top"/>
          </w:tcPr>
          <w:p w14:paraId="756994A1">
            <w:pPr>
              <w:pStyle w:val="6"/>
              <w:spacing w:before="120" w:line="239" w:lineRule="auto"/>
              <w:ind w:left="550"/>
              <w:rPr>
                <w:sz w:val="18"/>
                <w:szCs w:val="18"/>
              </w:rPr>
            </w:pPr>
            <w:r>
              <w:rPr>
                <w:spacing w:val="-4"/>
                <w:sz w:val="18"/>
                <w:szCs w:val="18"/>
              </w:rPr>
              <w:t>10.67</w:t>
            </w:r>
          </w:p>
        </w:tc>
        <w:tc>
          <w:tcPr>
            <w:tcW w:w="1680" w:type="dxa"/>
            <w:tcBorders>
              <w:top w:val="single" w:color="000000" w:sz="4" w:space="0"/>
              <w:bottom w:val="single" w:color="000000" w:sz="4" w:space="0"/>
            </w:tcBorders>
            <w:vAlign w:val="top"/>
          </w:tcPr>
          <w:p w14:paraId="2D0BBCF0">
            <w:pPr>
              <w:pStyle w:val="6"/>
              <w:spacing w:before="120" w:line="239" w:lineRule="auto"/>
              <w:ind w:left="610"/>
              <w:rPr>
                <w:sz w:val="18"/>
                <w:szCs w:val="18"/>
              </w:rPr>
            </w:pPr>
            <w:r>
              <w:rPr>
                <w:spacing w:val="-2"/>
                <w:sz w:val="18"/>
                <w:szCs w:val="18"/>
              </w:rPr>
              <w:t>28.45</w:t>
            </w:r>
          </w:p>
        </w:tc>
        <w:tc>
          <w:tcPr>
            <w:tcW w:w="1740" w:type="dxa"/>
            <w:tcBorders>
              <w:top w:val="single" w:color="000000" w:sz="4" w:space="0"/>
              <w:bottom w:val="single" w:color="000000" w:sz="4" w:space="0"/>
            </w:tcBorders>
            <w:vAlign w:val="top"/>
          </w:tcPr>
          <w:p w14:paraId="7B34C7F8">
            <w:pPr>
              <w:pStyle w:val="6"/>
              <w:spacing w:before="120" w:line="239" w:lineRule="auto"/>
              <w:ind w:left="640"/>
              <w:rPr>
                <w:sz w:val="18"/>
                <w:szCs w:val="18"/>
              </w:rPr>
            </w:pPr>
            <w:r>
              <w:rPr>
                <w:spacing w:val="-4"/>
                <w:sz w:val="18"/>
                <w:szCs w:val="18"/>
              </w:rPr>
              <w:t>11.63</w:t>
            </w:r>
          </w:p>
        </w:tc>
        <w:tc>
          <w:tcPr>
            <w:tcW w:w="1650" w:type="dxa"/>
            <w:tcBorders>
              <w:top w:val="single" w:color="000000" w:sz="4" w:space="0"/>
              <w:bottom w:val="single" w:color="000000" w:sz="4" w:space="0"/>
            </w:tcBorders>
            <w:vAlign w:val="top"/>
          </w:tcPr>
          <w:p w14:paraId="0286A951">
            <w:pPr>
              <w:pStyle w:val="6"/>
              <w:spacing w:before="120" w:line="239" w:lineRule="auto"/>
              <w:ind w:left="599"/>
              <w:rPr>
                <w:sz w:val="18"/>
                <w:szCs w:val="18"/>
              </w:rPr>
            </w:pPr>
            <w:r>
              <w:rPr>
                <w:spacing w:val="-2"/>
                <w:sz w:val="18"/>
                <w:szCs w:val="18"/>
              </w:rPr>
              <w:t>26.69</w:t>
            </w:r>
          </w:p>
        </w:tc>
      </w:tr>
      <w:tr w14:paraId="156A8506">
        <w:trPr>
          <w:trHeight w:val="360" w:hRule="atLeast"/>
        </w:trPr>
        <w:tc>
          <w:tcPr>
            <w:tcW w:w="1640" w:type="dxa"/>
            <w:tcBorders>
              <w:top w:val="single" w:color="000000" w:sz="4" w:space="0"/>
              <w:bottom w:val="single" w:color="000000" w:sz="4" w:space="0"/>
            </w:tcBorders>
            <w:shd w:val="clear" w:color="auto" w:fill="E0E0E5"/>
            <w:vAlign w:val="top"/>
          </w:tcPr>
          <w:p w14:paraId="49265DCA">
            <w:pPr>
              <w:pStyle w:val="6"/>
              <w:spacing w:before="110"/>
              <w:ind w:left="730"/>
              <w:rPr>
                <w:sz w:val="18"/>
                <w:szCs w:val="18"/>
              </w:rPr>
            </w:pPr>
            <w:r>
              <w:rPr>
                <w:spacing w:val="-6"/>
                <w:sz w:val="18"/>
                <w:szCs w:val="18"/>
              </w:rPr>
              <w:t>19</w:t>
            </w:r>
          </w:p>
        </w:tc>
        <w:tc>
          <w:tcPr>
            <w:tcW w:w="1560" w:type="dxa"/>
            <w:tcBorders>
              <w:top w:val="single" w:color="000000" w:sz="4" w:space="0"/>
              <w:bottom w:val="single" w:color="000000" w:sz="4" w:space="0"/>
            </w:tcBorders>
            <w:shd w:val="clear" w:color="auto" w:fill="E1E0E5"/>
            <w:vAlign w:val="top"/>
          </w:tcPr>
          <w:p w14:paraId="7B150209">
            <w:pPr>
              <w:pStyle w:val="6"/>
              <w:spacing w:before="111" w:line="239" w:lineRule="auto"/>
              <w:ind w:left="550"/>
              <w:rPr>
                <w:sz w:val="18"/>
                <w:szCs w:val="18"/>
              </w:rPr>
            </w:pPr>
            <w:r>
              <w:rPr>
                <w:spacing w:val="-4"/>
                <w:sz w:val="18"/>
                <w:szCs w:val="18"/>
              </w:rPr>
              <w:t>11.44</w:t>
            </w:r>
          </w:p>
        </w:tc>
        <w:tc>
          <w:tcPr>
            <w:tcW w:w="1680" w:type="dxa"/>
            <w:tcBorders>
              <w:top w:val="single" w:color="000000" w:sz="4" w:space="0"/>
              <w:bottom w:val="single" w:color="000000" w:sz="4" w:space="0"/>
            </w:tcBorders>
            <w:shd w:val="clear" w:color="auto" w:fill="E1DFE4"/>
            <w:vAlign w:val="top"/>
          </w:tcPr>
          <w:p w14:paraId="6B2DDC7D">
            <w:pPr>
              <w:pStyle w:val="6"/>
              <w:spacing w:before="111" w:line="239" w:lineRule="auto"/>
              <w:ind w:left="610"/>
              <w:rPr>
                <w:sz w:val="18"/>
                <w:szCs w:val="18"/>
              </w:rPr>
            </w:pPr>
            <w:r>
              <w:rPr>
                <w:spacing w:val="-2"/>
                <w:sz w:val="18"/>
                <w:szCs w:val="18"/>
              </w:rPr>
              <w:t>29.67</w:t>
            </w:r>
          </w:p>
        </w:tc>
        <w:tc>
          <w:tcPr>
            <w:tcW w:w="1740" w:type="dxa"/>
            <w:tcBorders>
              <w:top w:val="single" w:color="000000" w:sz="4" w:space="0"/>
              <w:bottom w:val="single" w:color="000000" w:sz="4" w:space="0"/>
            </w:tcBorders>
            <w:shd w:val="clear" w:color="auto" w:fill="E1E0E4"/>
            <w:vAlign w:val="top"/>
          </w:tcPr>
          <w:p w14:paraId="0B445139">
            <w:pPr>
              <w:pStyle w:val="6"/>
              <w:spacing w:before="111" w:line="239" w:lineRule="auto"/>
              <w:ind w:left="640"/>
              <w:rPr>
                <w:sz w:val="18"/>
                <w:szCs w:val="18"/>
              </w:rPr>
            </w:pPr>
            <w:r>
              <w:rPr>
                <w:spacing w:val="-4"/>
                <w:sz w:val="18"/>
                <w:szCs w:val="18"/>
              </w:rPr>
              <w:t>12.44</w:t>
            </w:r>
          </w:p>
        </w:tc>
        <w:tc>
          <w:tcPr>
            <w:tcW w:w="1650" w:type="dxa"/>
            <w:tcBorders>
              <w:top w:val="single" w:color="000000" w:sz="4" w:space="0"/>
              <w:bottom w:val="single" w:color="000000" w:sz="4" w:space="0"/>
            </w:tcBorders>
            <w:shd w:val="clear" w:color="auto" w:fill="DDDCDB"/>
            <w:vAlign w:val="top"/>
          </w:tcPr>
          <w:p w14:paraId="22BE15CE">
            <w:pPr>
              <w:pStyle w:val="6"/>
              <w:spacing w:before="111" w:line="239" w:lineRule="auto"/>
              <w:ind w:left="599"/>
              <w:rPr>
                <w:sz w:val="18"/>
                <w:szCs w:val="18"/>
              </w:rPr>
            </w:pPr>
            <w:r>
              <w:rPr>
                <w:spacing w:val="-2"/>
                <w:sz w:val="18"/>
                <w:szCs w:val="18"/>
              </w:rPr>
              <w:t>27.88</w:t>
            </w:r>
          </w:p>
        </w:tc>
      </w:tr>
      <w:tr w14:paraId="70292C95">
        <w:trPr>
          <w:trHeight w:val="380" w:hRule="atLeast"/>
        </w:trPr>
        <w:tc>
          <w:tcPr>
            <w:tcW w:w="1640" w:type="dxa"/>
            <w:tcBorders>
              <w:top w:val="single" w:color="000000" w:sz="4" w:space="0"/>
              <w:bottom w:val="single" w:color="000000" w:sz="4" w:space="0"/>
            </w:tcBorders>
            <w:vAlign w:val="top"/>
          </w:tcPr>
          <w:p w14:paraId="1D8C1A65">
            <w:pPr>
              <w:pStyle w:val="6"/>
              <w:spacing w:before="121"/>
              <w:ind w:left="730"/>
              <w:rPr>
                <w:sz w:val="18"/>
                <w:szCs w:val="18"/>
              </w:rPr>
            </w:pPr>
            <w:r>
              <w:rPr>
                <w:spacing w:val="-3"/>
                <w:sz w:val="18"/>
                <w:szCs w:val="18"/>
              </w:rPr>
              <w:t>20</w:t>
            </w:r>
          </w:p>
        </w:tc>
        <w:tc>
          <w:tcPr>
            <w:tcW w:w="1560" w:type="dxa"/>
            <w:tcBorders>
              <w:top w:val="single" w:color="000000" w:sz="4" w:space="0"/>
              <w:bottom w:val="single" w:color="000000" w:sz="4" w:space="0"/>
            </w:tcBorders>
            <w:vAlign w:val="top"/>
          </w:tcPr>
          <w:p w14:paraId="2DD860CE">
            <w:pPr>
              <w:pStyle w:val="6"/>
              <w:spacing w:before="121" w:line="239" w:lineRule="auto"/>
              <w:ind w:left="550"/>
              <w:rPr>
                <w:sz w:val="18"/>
                <w:szCs w:val="18"/>
              </w:rPr>
            </w:pPr>
            <w:r>
              <w:rPr>
                <w:spacing w:val="-4"/>
                <w:sz w:val="18"/>
                <w:szCs w:val="18"/>
              </w:rPr>
              <w:t>12.22</w:t>
            </w:r>
          </w:p>
        </w:tc>
        <w:tc>
          <w:tcPr>
            <w:tcW w:w="1680" w:type="dxa"/>
            <w:tcBorders>
              <w:top w:val="single" w:color="000000" w:sz="4" w:space="0"/>
              <w:bottom w:val="single" w:color="000000" w:sz="4" w:space="0"/>
            </w:tcBorders>
            <w:vAlign w:val="top"/>
          </w:tcPr>
          <w:p w14:paraId="22081DC0">
            <w:pPr>
              <w:pStyle w:val="6"/>
              <w:spacing w:before="121" w:line="239" w:lineRule="auto"/>
              <w:ind w:left="610"/>
              <w:rPr>
                <w:sz w:val="18"/>
                <w:szCs w:val="18"/>
              </w:rPr>
            </w:pPr>
            <w:r>
              <w:rPr>
                <w:spacing w:val="-2"/>
                <w:sz w:val="18"/>
                <w:szCs w:val="18"/>
              </w:rPr>
              <w:t>30.89</w:t>
            </w:r>
          </w:p>
        </w:tc>
        <w:tc>
          <w:tcPr>
            <w:tcW w:w="1740" w:type="dxa"/>
            <w:tcBorders>
              <w:top w:val="single" w:color="000000" w:sz="4" w:space="0"/>
              <w:bottom w:val="single" w:color="000000" w:sz="4" w:space="0"/>
            </w:tcBorders>
            <w:vAlign w:val="top"/>
          </w:tcPr>
          <w:p w14:paraId="26013575">
            <w:pPr>
              <w:pStyle w:val="6"/>
              <w:spacing w:before="121" w:line="239" w:lineRule="auto"/>
              <w:ind w:left="640"/>
              <w:rPr>
                <w:sz w:val="18"/>
                <w:szCs w:val="18"/>
              </w:rPr>
            </w:pPr>
            <w:r>
              <w:rPr>
                <w:spacing w:val="-4"/>
                <w:sz w:val="18"/>
                <w:szCs w:val="18"/>
              </w:rPr>
              <w:t>13.25</w:t>
            </w:r>
          </w:p>
        </w:tc>
        <w:tc>
          <w:tcPr>
            <w:tcW w:w="1650" w:type="dxa"/>
            <w:tcBorders>
              <w:top w:val="single" w:color="000000" w:sz="4" w:space="0"/>
              <w:bottom w:val="single" w:color="000000" w:sz="4" w:space="0"/>
            </w:tcBorders>
            <w:vAlign w:val="top"/>
          </w:tcPr>
          <w:p w14:paraId="437FD603">
            <w:pPr>
              <w:pStyle w:val="6"/>
              <w:spacing w:before="121" w:line="239" w:lineRule="auto"/>
              <w:ind w:left="599"/>
              <w:rPr>
                <w:sz w:val="18"/>
                <w:szCs w:val="18"/>
              </w:rPr>
            </w:pPr>
            <w:r>
              <w:rPr>
                <w:spacing w:val="-2"/>
                <w:sz w:val="18"/>
                <w:szCs w:val="18"/>
              </w:rPr>
              <w:t>29.06</w:t>
            </w:r>
          </w:p>
        </w:tc>
      </w:tr>
      <w:tr w14:paraId="3AFCF62D">
        <w:trPr>
          <w:trHeight w:val="369" w:hRule="atLeast"/>
        </w:trPr>
        <w:tc>
          <w:tcPr>
            <w:tcW w:w="1640" w:type="dxa"/>
            <w:tcBorders>
              <w:top w:val="single" w:color="000000" w:sz="4" w:space="0"/>
              <w:bottom w:val="single" w:color="000000" w:sz="4" w:space="0"/>
            </w:tcBorders>
            <w:shd w:val="clear" w:color="auto" w:fill="E0DFE4"/>
            <w:vAlign w:val="top"/>
          </w:tcPr>
          <w:p w14:paraId="1294A69D">
            <w:pPr>
              <w:pStyle w:val="6"/>
              <w:spacing w:before="120"/>
              <w:ind w:left="730"/>
              <w:rPr>
                <w:sz w:val="18"/>
                <w:szCs w:val="18"/>
              </w:rPr>
            </w:pPr>
            <w:r>
              <w:rPr>
                <w:spacing w:val="-3"/>
                <w:sz w:val="18"/>
                <w:szCs w:val="18"/>
              </w:rPr>
              <w:t>25</w:t>
            </w:r>
          </w:p>
        </w:tc>
        <w:tc>
          <w:tcPr>
            <w:tcW w:w="1560" w:type="dxa"/>
            <w:tcBorders>
              <w:top w:val="single" w:color="000000" w:sz="4" w:space="0"/>
              <w:bottom w:val="single" w:color="000000" w:sz="4" w:space="0"/>
            </w:tcBorders>
            <w:shd w:val="clear" w:color="auto" w:fill="E0DEE4"/>
            <w:vAlign w:val="top"/>
          </w:tcPr>
          <w:p w14:paraId="205225AB">
            <w:pPr>
              <w:pStyle w:val="6"/>
              <w:spacing w:before="121" w:line="239" w:lineRule="auto"/>
              <w:ind w:left="550"/>
              <w:rPr>
                <w:sz w:val="18"/>
                <w:szCs w:val="18"/>
              </w:rPr>
            </w:pPr>
            <w:r>
              <w:rPr>
                <w:spacing w:val="-4"/>
                <w:sz w:val="18"/>
                <w:szCs w:val="18"/>
              </w:rPr>
              <w:t>16.18</w:t>
            </w:r>
          </w:p>
        </w:tc>
        <w:tc>
          <w:tcPr>
            <w:tcW w:w="1680" w:type="dxa"/>
            <w:tcBorders>
              <w:top w:val="single" w:color="000000" w:sz="4" w:space="0"/>
              <w:bottom w:val="single" w:color="000000" w:sz="4" w:space="0"/>
            </w:tcBorders>
            <w:shd w:val="clear" w:color="auto" w:fill="E0DEE3"/>
            <w:vAlign w:val="top"/>
          </w:tcPr>
          <w:p w14:paraId="23CC8EBA">
            <w:pPr>
              <w:pStyle w:val="6"/>
              <w:spacing w:before="121" w:line="239" w:lineRule="auto"/>
              <w:ind w:left="610"/>
              <w:rPr>
                <w:sz w:val="18"/>
                <w:szCs w:val="18"/>
              </w:rPr>
            </w:pPr>
            <w:r>
              <w:rPr>
                <w:spacing w:val="-2"/>
                <w:sz w:val="18"/>
                <w:szCs w:val="18"/>
              </w:rPr>
              <w:t>36.90</w:t>
            </w:r>
          </w:p>
        </w:tc>
        <w:tc>
          <w:tcPr>
            <w:tcW w:w="1740" w:type="dxa"/>
            <w:tcBorders>
              <w:top w:val="single" w:color="000000" w:sz="4" w:space="0"/>
              <w:bottom w:val="single" w:color="000000" w:sz="4" w:space="0"/>
            </w:tcBorders>
            <w:shd w:val="clear" w:color="auto" w:fill="DFDFE2"/>
            <w:vAlign w:val="top"/>
          </w:tcPr>
          <w:p w14:paraId="612784F9">
            <w:pPr>
              <w:pStyle w:val="6"/>
              <w:spacing w:before="121" w:line="239" w:lineRule="auto"/>
              <w:ind w:left="640"/>
              <w:rPr>
                <w:sz w:val="18"/>
                <w:szCs w:val="18"/>
              </w:rPr>
            </w:pPr>
            <w:r>
              <w:rPr>
                <w:spacing w:val="-4"/>
                <w:sz w:val="18"/>
                <w:szCs w:val="18"/>
              </w:rPr>
              <w:t>17.38</w:t>
            </w:r>
          </w:p>
        </w:tc>
        <w:tc>
          <w:tcPr>
            <w:tcW w:w="1650" w:type="dxa"/>
            <w:tcBorders>
              <w:top w:val="single" w:color="000000" w:sz="4" w:space="0"/>
              <w:bottom w:val="single" w:color="000000" w:sz="4" w:space="0"/>
            </w:tcBorders>
            <w:shd w:val="clear" w:color="auto" w:fill="E0E0E1"/>
            <w:vAlign w:val="top"/>
          </w:tcPr>
          <w:p w14:paraId="2D1B0D7D">
            <w:pPr>
              <w:pStyle w:val="6"/>
              <w:spacing w:before="121" w:line="239" w:lineRule="auto"/>
              <w:ind w:left="599"/>
              <w:rPr>
                <w:sz w:val="18"/>
                <w:szCs w:val="18"/>
              </w:rPr>
            </w:pPr>
            <w:r>
              <w:rPr>
                <w:spacing w:val="-2"/>
                <w:sz w:val="18"/>
                <w:szCs w:val="18"/>
              </w:rPr>
              <w:t>34.92</w:t>
            </w:r>
          </w:p>
        </w:tc>
      </w:tr>
      <w:tr w14:paraId="32C3D7C3">
        <w:trPr>
          <w:trHeight w:val="369" w:hRule="atLeast"/>
        </w:trPr>
        <w:tc>
          <w:tcPr>
            <w:tcW w:w="1640" w:type="dxa"/>
            <w:tcBorders>
              <w:top w:val="single" w:color="000000" w:sz="4" w:space="0"/>
              <w:bottom w:val="single" w:color="000000" w:sz="4" w:space="0"/>
            </w:tcBorders>
            <w:vAlign w:val="top"/>
          </w:tcPr>
          <w:p w14:paraId="65D46708">
            <w:pPr>
              <w:pStyle w:val="6"/>
              <w:spacing w:before="122"/>
              <w:ind w:left="730"/>
              <w:rPr>
                <w:sz w:val="18"/>
                <w:szCs w:val="18"/>
              </w:rPr>
            </w:pPr>
            <w:r>
              <w:rPr>
                <w:spacing w:val="-3"/>
                <w:sz w:val="18"/>
                <w:szCs w:val="18"/>
              </w:rPr>
              <w:t>30</w:t>
            </w:r>
          </w:p>
        </w:tc>
        <w:tc>
          <w:tcPr>
            <w:tcW w:w="1560" w:type="dxa"/>
            <w:tcBorders>
              <w:top w:val="single" w:color="000000" w:sz="4" w:space="0"/>
              <w:bottom w:val="single" w:color="000000" w:sz="4" w:space="0"/>
            </w:tcBorders>
            <w:vAlign w:val="top"/>
          </w:tcPr>
          <w:p w14:paraId="1A504BBE">
            <w:pPr>
              <w:pStyle w:val="6"/>
              <w:spacing w:before="122" w:line="239" w:lineRule="auto"/>
              <w:ind w:left="550"/>
              <w:rPr>
                <w:sz w:val="18"/>
                <w:szCs w:val="18"/>
              </w:rPr>
            </w:pPr>
            <w:r>
              <w:rPr>
                <w:spacing w:val="-2"/>
                <w:sz w:val="18"/>
                <w:szCs w:val="18"/>
              </w:rPr>
              <w:t>20.24</w:t>
            </w:r>
          </w:p>
        </w:tc>
        <w:tc>
          <w:tcPr>
            <w:tcW w:w="1680" w:type="dxa"/>
            <w:tcBorders>
              <w:top w:val="single" w:color="000000" w:sz="4" w:space="0"/>
              <w:bottom w:val="single" w:color="000000" w:sz="4" w:space="0"/>
            </w:tcBorders>
            <w:vAlign w:val="top"/>
          </w:tcPr>
          <w:p w14:paraId="46C5D995">
            <w:pPr>
              <w:pStyle w:val="6"/>
              <w:spacing w:before="122" w:line="239" w:lineRule="auto"/>
              <w:ind w:left="610"/>
              <w:rPr>
                <w:sz w:val="18"/>
                <w:szCs w:val="18"/>
              </w:rPr>
            </w:pPr>
            <w:r>
              <w:rPr>
                <w:spacing w:val="-2"/>
                <w:sz w:val="18"/>
                <w:szCs w:val="18"/>
              </w:rPr>
              <w:t>42.83</w:t>
            </w:r>
          </w:p>
        </w:tc>
        <w:tc>
          <w:tcPr>
            <w:tcW w:w="1740" w:type="dxa"/>
            <w:tcBorders>
              <w:top w:val="single" w:color="000000" w:sz="4" w:space="0"/>
              <w:bottom w:val="single" w:color="000000" w:sz="4" w:space="0"/>
            </w:tcBorders>
            <w:vAlign w:val="top"/>
          </w:tcPr>
          <w:p w14:paraId="10061B43">
            <w:pPr>
              <w:pStyle w:val="6"/>
              <w:spacing w:before="122" w:line="239" w:lineRule="auto"/>
              <w:ind w:left="640"/>
              <w:rPr>
                <w:sz w:val="18"/>
                <w:szCs w:val="18"/>
              </w:rPr>
            </w:pPr>
            <w:r>
              <w:rPr>
                <w:spacing w:val="-2"/>
                <w:sz w:val="18"/>
                <w:szCs w:val="18"/>
              </w:rPr>
              <w:t>21.59</w:t>
            </w:r>
          </w:p>
        </w:tc>
        <w:tc>
          <w:tcPr>
            <w:tcW w:w="1650" w:type="dxa"/>
            <w:tcBorders>
              <w:top w:val="single" w:color="000000" w:sz="4" w:space="0"/>
              <w:bottom w:val="single" w:color="000000" w:sz="4" w:space="0"/>
            </w:tcBorders>
            <w:vAlign w:val="top"/>
          </w:tcPr>
          <w:p w14:paraId="67E73F8E">
            <w:pPr>
              <w:pStyle w:val="6"/>
              <w:spacing w:before="122" w:line="239" w:lineRule="auto"/>
              <w:ind w:left="599"/>
              <w:rPr>
                <w:sz w:val="18"/>
                <w:szCs w:val="18"/>
              </w:rPr>
            </w:pPr>
            <w:r>
              <w:rPr>
                <w:spacing w:val="-2"/>
                <w:sz w:val="18"/>
                <w:szCs w:val="18"/>
              </w:rPr>
              <w:t>40.69</w:t>
            </w:r>
          </w:p>
        </w:tc>
      </w:tr>
      <w:tr w14:paraId="07501BBB">
        <w:trPr>
          <w:trHeight w:val="369" w:hRule="atLeast"/>
        </w:trPr>
        <w:tc>
          <w:tcPr>
            <w:tcW w:w="1640" w:type="dxa"/>
            <w:tcBorders>
              <w:top w:val="single" w:color="000000" w:sz="4" w:space="0"/>
              <w:bottom w:val="single" w:color="000000" w:sz="4" w:space="0"/>
            </w:tcBorders>
            <w:shd w:val="clear" w:color="auto" w:fill="DFDFE3"/>
            <w:vAlign w:val="top"/>
          </w:tcPr>
          <w:p w14:paraId="2E16AE9F">
            <w:pPr>
              <w:pStyle w:val="6"/>
              <w:spacing w:before="123"/>
              <w:ind w:left="730"/>
              <w:rPr>
                <w:sz w:val="18"/>
                <w:szCs w:val="18"/>
              </w:rPr>
            </w:pPr>
            <w:r>
              <w:rPr>
                <w:spacing w:val="-3"/>
                <w:sz w:val="18"/>
                <w:szCs w:val="18"/>
              </w:rPr>
              <w:t>35</w:t>
            </w:r>
          </w:p>
        </w:tc>
        <w:tc>
          <w:tcPr>
            <w:tcW w:w="1560" w:type="dxa"/>
            <w:tcBorders>
              <w:top w:val="single" w:color="000000" w:sz="4" w:space="0"/>
              <w:bottom w:val="single" w:color="000000" w:sz="4" w:space="0"/>
            </w:tcBorders>
            <w:shd w:val="clear" w:color="auto" w:fill="DDDCE0"/>
            <w:vAlign w:val="top"/>
          </w:tcPr>
          <w:p w14:paraId="205A7907">
            <w:pPr>
              <w:pStyle w:val="6"/>
              <w:spacing w:before="123" w:line="239" w:lineRule="auto"/>
              <w:ind w:left="550"/>
              <w:rPr>
                <w:sz w:val="18"/>
                <w:szCs w:val="18"/>
              </w:rPr>
            </w:pPr>
            <w:r>
              <w:rPr>
                <w:spacing w:val="-2"/>
                <w:sz w:val="18"/>
                <w:szCs w:val="18"/>
              </w:rPr>
              <w:t>24.38</w:t>
            </w:r>
          </w:p>
        </w:tc>
        <w:tc>
          <w:tcPr>
            <w:tcW w:w="1680" w:type="dxa"/>
            <w:tcBorders>
              <w:top w:val="single" w:color="000000" w:sz="4" w:space="0"/>
              <w:bottom w:val="single" w:color="000000" w:sz="4" w:space="0"/>
            </w:tcBorders>
            <w:shd w:val="clear" w:color="auto" w:fill="DDDCE1"/>
            <w:vAlign w:val="top"/>
          </w:tcPr>
          <w:p w14:paraId="7AF69EEC">
            <w:pPr>
              <w:pStyle w:val="6"/>
              <w:spacing w:before="123" w:line="239" w:lineRule="auto"/>
              <w:ind w:left="610"/>
              <w:rPr>
                <w:sz w:val="18"/>
                <w:szCs w:val="18"/>
              </w:rPr>
            </w:pPr>
            <w:r>
              <w:rPr>
                <w:spacing w:val="-2"/>
                <w:sz w:val="18"/>
                <w:szCs w:val="18"/>
              </w:rPr>
              <w:t>48.68</w:t>
            </w:r>
          </w:p>
        </w:tc>
        <w:tc>
          <w:tcPr>
            <w:tcW w:w="1740" w:type="dxa"/>
            <w:tcBorders>
              <w:top w:val="single" w:color="000000" w:sz="4" w:space="0"/>
              <w:bottom w:val="single" w:color="000000" w:sz="4" w:space="0"/>
            </w:tcBorders>
            <w:shd w:val="clear" w:color="auto" w:fill="DDDCDF"/>
            <w:vAlign w:val="top"/>
          </w:tcPr>
          <w:p w14:paraId="69988AB2">
            <w:pPr>
              <w:pStyle w:val="6"/>
              <w:spacing w:before="123" w:line="239" w:lineRule="auto"/>
              <w:ind w:left="640"/>
              <w:rPr>
                <w:sz w:val="18"/>
                <w:szCs w:val="18"/>
              </w:rPr>
            </w:pPr>
            <w:r>
              <w:rPr>
                <w:spacing w:val="-2"/>
                <w:sz w:val="18"/>
                <w:szCs w:val="18"/>
              </w:rPr>
              <w:t>25.87</w:t>
            </w:r>
          </w:p>
        </w:tc>
        <w:tc>
          <w:tcPr>
            <w:tcW w:w="1650" w:type="dxa"/>
            <w:tcBorders>
              <w:top w:val="single" w:color="000000" w:sz="4" w:space="0"/>
              <w:bottom w:val="single" w:color="000000" w:sz="4" w:space="0"/>
            </w:tcBorders>
            <w:shd w:val="clear" w:color="auto" w:fill="D8D8D9"/>
            <w:vAlign w:val="top"/>
          </w:tcPr>
          <w:p w14:paraId="36D0504A">
            <w:pPr>
              <w:pStyle w:val="6"/>
              <w:spacing w:before="123" w:line="239" w:lineRule="auto"/>
              <w:ind w:left="599"/>
              <w:rPr>
                <w:sz w:val="18"/>
                <w:szCs w:val="18"/>
              </w:rPr>
            </w:pPr>
            <w:r>
              <w:rPr>
                <w:spacing w:val="-2"/>
                <w:sz w:val="18"/>
                <w:szCs w:val="18"/>
              </w:rPr>
              <w:t>46.40</w:t>
            </w:r>
          </w:p>
        </w:tc>
      </w:tr>
      <w:tr w14:paraId="4F364706">
        <w:trPr>
          <w:trHeight w:val="369" w:hRule="atLeast"/>
        </w:trPr>
        <w:tc>
          <w:tcPr>
            <w:tcW w:w="1640" w:type="dxa"/>
            <w:tcBorders>
              <w:top w:val="single" w:color="000000" w:sz="4" w:space="0"/>
              <w:bottom w:val="single" w:color="000000" w:sz="4" w:space="0"/>
            </w:tcBorders>
            <w:vAlign w:val="top"/>
          </w:tcPr>
          <w:p w14:paraId="0C4B8F21">
            <w:pPr>
              <w:pStyle w:val="6"/>
              <w:spacing w:before="123"/>
              <w:ind w:left="730"/>
              <w:rPr>
                <w:sz w:val="18"/>
                <w:szCs w:val="18"/>
              </w:rPr>
            </w:pPr>
            <w:r>
              <w:rPr>
                <w:spacing w:val="-2"/>
                <w:sz w:val="18"/>
                <w:szCs w:val="18"/>
              </w:rPr>
              <w:t>40</w:t>
            </w:r>
          </w:p>
        </w:tc>
        <w:tc>
          <w:tcPr>
            <w:tcW w:w="1560" w:type="dxa"/>
            <w:tcBorders>
              <w:top w:val="single" w:color="000000" w:sz="4" w:space="0"/>
              <w:bottom w:val="single" w:color="000000" w:sz="4" w:space="0"/>
            </w:tcBorders>
            <w:vAlign w:val="top"/>
          </w:tcPr>
          <w:p w14:paraId="1BF9E33B">
            <w:pPr>
              <w:pStyle w:val="6"/>
              <w:spacing w:before="124" w:line="239" w:lineRule="auto"/>
              <w:ind w:left="550"/>
              <w:rPr>
                <w:sz w:val="18"/>
                <w:szCs w:val="18"/>
              </w:rPr>
            </w:pPr>
            <w:r>
              <w:rPr>
                <w:spacing w:val="-2"/>
                <w:sz w:val="18"/>
                <w:szCs w:val="18"/>
              </w:rPr>
              <w:t>28.58</w:t>
            </w:r>
          </w:p>
        </w:tc>
        <w:tc>
          <w:tcPr>
            <w:tcW w:w="1680" w:type="dxa"/>
            <w:tcBorders>
              <w:top w:val="single" w:color="000000" w:sz="4" w:space="0"/>
              <w:bottom w:val="single" w:color="000000" w:sz="4" w:space="0"/>
            </w:tcBorders>
            <w:vAlign w:val="top"/>
          </w:tcPr>
          <w:p w14:paraId="48BBB59C">
            <w:pPr>
              <w:pStyle w:val="6"/>
              <w:spacing w:before="124" w:line="239" w:lineRule="auto"/>
              <w:ind w:left="610"/>
              <w:rPr>
                <w:sz w:val="18"/>
                <w:szCs w:val="18"/>
              </w:rPr>
            </w:pPr>
            <w:r>
              <w:rPr>
                <w:spacing w:val="-2"/>
                <w:sz w:val="18"/>
                <w:szCs w:val="18"/>
              </w:rPr>
              <w:t>54.47</w:t>
            </w:r>
          </w:p>
        </w:tc>
        <w:tc>
          <w:tcPr>
            <w:tcW w:w="1740" w:type="dxa"/>
            <w:tcBorders>
              <w:top w:val="single" w:color="000000" w:sz="4" w:space="0"/>
              <w:bottom w:val="single" w:color="000000" w:sz="4" w:space="0"/>
            </w:tcBorders>
            <w:vAlign w:val="top"/>
          </w:tcPr>
          <w:p w14:paraId="34927DEB">
            <w:pPr>
              <w:pStyle w:val="6"/>
              <w:spacing w:before="124" w:line="239" w:lineRule="auto"/>
              <w:ind w:left="640"/>
              <w:rPr>
                <w:sz w:val="18"/>
                <w:szCs w:val="18"/>
              </w:rPr>
            </w:pPr>
            <w:r>
              <w:rPr>
                <w:spacing w:val="-2"/>
                <w:sz w:val="18"/>
                <w:szCs w:val="18"/>
              </w:rPr>
              <w:t>30.20</w:t>
            </w:r>
          </w:p>
        </w:tc>
        <w:tc>
          <w:tcPr>
            <w:tcW w:w="1650" w:type="dxa"/>
            <w:tcBorders>
              <w:top w:val="single" w:color="000000" w:sz="4" w:space="0"/>
              <w:bottom w:val="single" w:color="000000" w:sz="4" w:space="0"/>
            </w:tcBorders>
            <w:vAlign w:val="top"/>
          </w:tcPr>
          <w:p w14:paraId="42065E3F">
            <w:pPr>
              <w:pStyle w:val="6"/>
              <w:spacing w:before="124" w:line="239" w:lineRule="auto"/>
              <w:ind w:left="599"/>
              <w:rPr>
                <w:sz w:val="18"/>
                <w:szCs w:val="18"/>
              </w:rPr>
            </w:pPr>
            <w:r>
              <w:rPr>
                <w:spacing w:val="-2"/>
                <w:sz w:val="18"/>
                <w:szCs w:val="18"/>
              </w:rPr>
              <w:t>54.07</w:t>
            </w:r>
          </w:p>
        </w:tc>
      </w:tr>
      <w:tr w14:paraId="4B827B74">
        <w:trPr>
          <w:trHeight w:val="380" w:hRule="atLeast"/>
        </w:trPr>
        <w:tc>
          <w:tcPr>
            <w:tcW w:w="1640" w:type="dxa"/>
            <w:tcBorders>
              <w:top w:val="single" w:color="000000" w:sz="4" w:space="0"/>
              <w:bottom w:val="single" w:color="000000" w:sz="4" w:space="0"/>
            </w:tcBorders>
            <w:shd w:val="clear" w:color="auto" w:fill="D6D9DC"/>
            <w:vAlign w:val="top"/>
          </w:tcPr>
          <w:p w14:paraId="725C9410">
            <w:pPr>
              <w:pStyle w:val="6"/>
              <w:spacing w:before="124"/>
              <w:ind w:left="730"/>
              <w:rPr>
                <w:sz w:val="18"/>
                <w:szCs w:val="18"/>
              </w:rPr>
            </w:pPr>
            <w:r>
              <w:rPr>
                <w:spacing w:val="-2"/>
                <w:sz w:val="18"/>
                <w:szCs w:val="18"/>
              </w:rPr>
              <w:t>45</w:t>
            </w:r>
          </w:p>
        </w:tc>
        <w:tc>
          <w:tcPr>
            <w:tcW w:w="1560" w:type="dxa"/>
            <w:tcBorders>
              <w:top w:val="single" w:color="000000" w:sz="4" w:space="0"/>
              <w:bottom w:val="single" w:color="000000" w:sz="4" w:space="0"/>
            </w:tcBorders>
            <w:shd w:val="clear" w:color="auto" w:fill="DCDBDF"/>
            <w:vAlign w:val="top"/>
          </w:tcPr>
          <w:p w14:paraId="4EC18FF9">
            <w:pPr>
              <w:pStyle w:val="6"/>
              <w:spacing w:before="125" w:line="239" w:lineRule="auto"/>
              <w:ind w:left="550"/>
              <w:rPr>
                <w:sz w:val="18"/>
                <w:szCs w:val="18"/>
              </w:rPr>
            </w:pPr>
            <w:r>
              <w:rPr>
                <w:spacing w:val="-2"/>
                <w:sz w:val="18"/>
                <w:szCs w:val="18"/>
              </w:rPr>
              <w:t>32.82</w:t>
            </w:r>
          </w:p>
        </w:tc>
        <w:tc>
          <w:tcPr>
            <w:tcW w:w="1680" w:type="dxa"/>
            <w:tcBorders>
              <w:top w:val="single" w:color="000000" w:sz="4" w:space="0"/>
              <w:bottom w:val="single" w:color="000000" w:sz="4" w:space="0"/>
            </w:tcBorders>
            <w:shd w:val="clear" w:color="auto" w:fill="DCDCDE"/>
            <w:vAlign w:val="top"/>
          </w:tcPr>
          <w:p w14:paraId="4882C800">
            <w:pPr>
              <w:pStyle w:val="6"/>
              <w:spacing w:before="125" w:line="239" w:lineRule="auto"/>
              <w:ind w:left="610"/>
              <w:rPr>
                <w:sz w:val="18"/>
                <w:szCs w:val="18"/>
              </w:rPr>
            </w:pPr>
            <w:r>
              <w:rPr>
                <w:spacing w:val="-2"/>
                <w:sz w:val="18"/>
                <w:szCs w:val="18"/>
              </w:rPr>
              <w:t>60.21</w:t>
            </w:r>
          </w:p>
        </w:tc>
        <w:tc>
          <w:tcPr>
            <w:tcW w:w="1740" w:type="dxa"/>
            <w:tcBorders>
              <w:top w:val="single" w:color="000000" w:sz="4" w:space="0"/>
              <w:bottom w:val="single" w:color="000000" w:sz="4" w:space="0"/>
            </w:tcBorders>
            <w:shd w:val="clear" w:color="auto" w:fill="DBDCDC"/>
            <w:vAlign w:val="top"/>
          </w:tcPr>
          <w:p w14:paraId="03F1D12E">
            <w:pPr>
              <w:pStyle w:val="6"/>
              <w:spacing w:before="125" w:line="239" w:lineRule="auto"/>
              <w:ind w:left="640"/>
              <w:rPr>
                <w:sz w:val="18"/>
                <w:szCs w:val="18"/>
              </w:rPr>
            </w:pPr>
            <w:r>
              <w:rPr>
                <w:spacing w:val="-2"/>
                <w:sz w:val="18"/>
                <w:szCs w:val="18"/>
              </w:rPr>
              <w:t>34.56</w:t>
            </w:r>
          </w:p>
        </w:tc>
        <w:tc>
          <w:tcPr>
            <w:tcW w:w="1650" w:type="dxa"/>
            <w:tcBorders>
              <w:top w:val="single" w:color="000000" w:sz="4" w:space="0"/>
              <w:bottom w:val="single" w:color="000000" w:sz="4" w:space="0"/>
            </w:tcBorders>
            <w:shd w:val="clear" w:color="auto" w:fill="D8D9D7"/>
            <w:vAlign w:val="top"/>
          </w:tcPr>
          <w:p w14:paraId="0474B582">
            <w:pPr>
              <w:pStyle w:val="6"/>
              <w:spacing w:before="125" w:line="239" w:lineRule="auto"/>
              <w:ind w:left="599"/>
              <w:rPr>
                <w:sz w:val="18"/>
                <w:szCs w:val="18"/>
              </w:rPr>
            </w:pPr>
            <w:r>
              <w:rPr>
                <w:spacing w:val="-2"/>
                <w:sz w:val="18"/>
                <w:szCs w:val="18"/>
              </w:rPr>
              <w:t>57.69</w:t>
            </w:r>
          </w:p>
        </w:tc>
      </w:tr>
      <w:tr w14:paraId="5692F88E">
        <w:trPr>
          <w:trHeight w:val="354" w:hRule="atLeast"/>
        </w:trPr>
        <w:tc>
          <w:tcPr>
            <w:tcW w:w="1640" w:type="dxa"/>
            <w:tcBorders>
              <w:top w:val="single" w:color="000000" w:sz="4" w:space="0"/>
              <w:bottom w:val="single" w:color="000000" w:sz="4" w:space="0"/>
            </w:tcBorders>
            <w:vAlign w:val="top"/>
          </w:tcPr>
          <w:p w14:paraId="7CA7BB24">
            <w:pPr>
              <w:pStyle w:val="6"/>
              <w:spacing w:before="114" w:line="235" w:lineRule="auto"/>
              <w:ind w:left="730"/>
              <w:rPr>
                <w:sz w:val="18"/>
                <w:szCs w:val="18"/>
              </w:rPr>
            </w:pPr>
            <w:r>
              <w:rPr>
                <w:spacing w:val="-3"/>
                <w:sz w:val="18"/>
                <w:szCs w:val="18"/>
              </w:rPr>
              <w:t>50</w:t>
            </w:r>
          </w:p>
        </w:tc>
        <w:tc>
          <w:tcPr>
            <w:tcW w:w="1560" w:type="dxa"/>
            <w:tcBorders>
              <w:top w:val="single" w:color="000000" w:sz="4" w:space="0"/>
              <w:bottom w:val="single" w:color="000000" w:sz="4" w:space="0"/>
            </w:tcBorders>
            <w:vAlign w:val="top"/>
          </w:tcPr>
          <w:p w14:paraId="3B81B70E">
            <w:pPr>
              <w:pStyle w:val="6"/>
              <w:spacing w:before="114" w:line="235" w:lineRule="auto"/>
              <w:ind w:left="550"/>
              <w:rPr>
                <w:sz w:val="18"/>
                <w:szCs w:val="18"/>
              </w:rPr>
            </w:pPr>
            <w:r>
              <w:rPr>
                <w:spacing w:val="-2"/>
                <w:sz w:val="18"/>
                <w:szCs w:val="18"/>
              </w:rPr>
              <w:t>37.11</w:t>
            </w:r>
          </w:p>
        </w:tc>
        <w:tc>
          <w:tcPr>
            <w:tcW w:w="1680" w:type="dxa"/>
            <w:tcBorders>
              <w:top w:val="single" w:color="000000" w:sz="4" w:space="0"/>
              <w:bottom w:val="single" w:color="000000" w:sz="4" w:space="0"/>
            </w:tcBorders>
            <w:vAlign w:val="top"/>
          </w:tcPr>
          <w:p w14:paraId="4CA62C26">
            <w:pPr>
              <w:pStyle w:val="6"/>
              <w:spacing w:before="114" w:line="235" w:lineRule="auto"/>
              <w:ind w:left="610"/>
              <w:rPr>
                <w:sz w:val="18"/>
                <w:szCs w:val="18"/>
              </w:rPr>
            </w:pPr>
            <w:r>
              <w:rPr>
                <w:spacing w:val="-2"/>
                <w:sz w:val="18"/>
                <w:szCs w:val="18"/>
              </w:rPr>
              <w:t>65.92</w:t>
            </w:r>
          </w:p>
        </w:tc>
        <w:tc>
          <w:tcPr>
            <w:tcW w:w="1740" w:type="dxa"/>
            <w:tcBorders>
              <w:top w:val="single" w:color="000000" w:sz="4" w:space="0"/>
              <w:bottom w:val="single" w:color="000000" w:sz="4" w:space="0"/>
            </w:tcBorders>
            <w:vAlign w:val="top"/>
          </w:tcPr>
          <w:p w14:paraId="2869EDA9">
            <w:pPr>
              <w:pStyle w:val="6"/>
              <w:spacing w:before="114" w:line="235" w:lineRule="auto"/>
              <w:ind w:left="640"/>
              <w:rPr>
                <w:sz w:val="18"/>
                <w:szCs w:val="18"/>
              </w:rPr>
            </w:pPr>
            <w:r>
              <w:rPr>
                <w:spacing w:val="-2"/>
                <w:sz w:val="18"/>
                <w:szCs w:val="18"/>
              </w:rPr>
              <w:t>38.96</w:t>
            </w:r>
          </w:p>
        </w:tc>
        <w:tc>
          <w:tcPr>
            <w:tcW w:w="1650" w:type="dxa"/>
            <w:tcBorders>
              <w:top w:val="single" w:color="000000" w:sz="4" w:space="0"/>
              <w:bottom w:val="single" w:color="000000" w:sz="4" w:space="0"/>
            </w:tcBorders>
            <w:vAlign w:val="top"/>
          </w:tcPr>
          <w:p w14:paraId="3DAA712E">
            <w:pPr>
              <w:pStyle w:val="6"/>
              <w:spacing w:before="114" w:line="235" w:lineRule="auto"/>
              <w:ind w:left="599"/>
              <w:rPr>
                <w:sz w:val="18"/>
                <w:szCs w:val="18"/>
              </w:rPr>
            </w:pPr>
            <w:r>
              <w:rPr>
                <w:spacing w:val="-2"/>
                <w:sz w:val="18"/>
                <w:szCs w:val="18"/>
              </w:rPr>
              <w:t>63.29</w:t>
            </w:r>
          </w:p>
        </w:tc>
      </w:tr>
    </w:tbl>
    <w:p w14:paraId="54C23C02">
      <w:pPr>
        <w:spacing w:line="276" w:lineRule="auto"/>
        <w:rPr>
          <w:rFonts w:ascii="Arial"/>
          <w:sz w:val="21"/>
        </w:rPr>
      </w:pPr>
    </w:p>
    <w:p w14:paraId="0BF30AC9">
      <w:pPr>
        <w:spacing w:before="65" w:line="339" w:lineRule="auto"/>
        <w:ind w:left="629" w:right="50" w:firstLine="379"/>
        <w:rPr>
          <w:rFonts w:ascii="Times New Roman" w:hAnsi="Times New Roman" w:eastAsia="Times New Roman" w:cs="Times New Roman"/>
          <w:sz w:val="20"/>
          <w:szCs w:val="20"/>
        </w:rPr>
      </w:pPr>
      <w:r>
        <w:rPr>
          <w:rFonts w:ascii="宋体" w:hAnsi="宋体" w:eastAsia="宋体" w:cs="宋体"/>
          <w:spacing w:val="-5"/>
          <w:sz w:val="20"/>
          <w:szCs w:val="20"/>
        </w:rPr>
        <w:t>该例中，如果随机抽取1万人作为调查对象，按照20/1</w:t>
      </w:r>
      <w:r>
        <w:rPr>
          <w:rFonts w:ascii="宋体" w:hAnsi="宋体" w:eastAsia="宋体" w:cs="宋体"/>
          <w:spacing w:val="-6"/>
          <w:sz w:val="20"/>
          <w:szCs w:val="20"/>
        </w:rPr>
        <w:t>0万的现患率估算，则调查期望得到的病</w:t>
      </w:r>
      <w:r>
        <w:rPr>
          <w:rFonts w:ascii="宋体" w:hAnsi="宋体" w:eastAsia="宋体" w:cs="宋体"/>
          <w:sz w:val="20"/>
          <w:szCs w:val="20"/>
        </w:rPr>
        <w:t xml:space="preserve"> </w:t>
      </w:r>
      <w:r>
        <w:rPr>
          <w:rFonts w:ascii="宋体" w:hAnsi="宋体" w:eastAsia="宋体" w:cs="宋体"/>
          <w:spacing w:val="5"/>
          <w:sz w:val="20"/>
          <w:szCs w:val="20"/>
        </w:rPr>
        <w:t>例数为2例。查表3-1可知，当期望病例数为2时，其95%可信限下限为0.242,上限为7.22;</w:t>
      </w:r>
      <w:r>
        <w:rPr>
          <w:rFonts w:ascii="宋体" w:hAnsi="宋体" w:eastAsia="宋体" w:cs="宋体"/>
          <w:spacing w:val="4"/>
          <w:sz w:val="20"/>
          <w:szCs w:val="20"/>
        </w:rPr>
        <w:t>也就</w:t>
      </w:r>
      <w:r>
        <w:rPr>
          <w:rFonts w:ascii="宋体" w:hAnsi="宋体" w:eastAsia="宋体" w:cs="宋体"/>
          <w:sz w:val="20"/>
          <w:szCs w:val="20"/>
        </w:rPr>
        <w:t xml:space="preserve"> </w:t>
      </w:r>
      <w:r>
        <w:rPr>
          <w:rFonts w:ascii="宋体" w:hAnsi="宋体" w:eastAsia="宋体" w:cs="宋体"/>
          <w:spacing w:val="1"/>
          <w:sz w:val="20"/>
          <w:szCs w:val="20"/>
        </w:rPr>
        <w:t>是说，若样本数为1万人，调查结果中可能一个病例也没有。若调查结果中至少有1例或1例以上</w:t>
      </w:r>
      <w:r>
        <w:rPr>
          <w:rFonts w:ascii="宋体" w:hAnsi="宋体" w:eastAsia="宋体" w:cs="宋体"/>
          <w:spacing w:val="4"/>
          <w:sz w:val="20"/>
          <w:szCs w:val="20"/>
        </w:rPr>
        <w:t xml:space="preserve"> </w:t>
      </w:r>
      <w:r>
        <w:rPr>
          <w:rFonts w:ascii="宋体" w:hAnsi="宋体" w:eastAsia="宋体" w:cs="宋体"/>
          <w:spacing w:val="1"/>
          <w:sz w:val="20"/>
          <w:szCs w:val="20"/>
        </w:rPr>
        <w:t>的病例，根据表3-1,95%可信限下限为1.09时，期望病例</w:t>
      </w:r>
      <w:r>
        <w:rPr>
          <w:rFonts w:ascii="宋体" w:hAnsi="宋体" w:eastAsia="宋体" w:cs="宋体"/>
          <w:sz w:val="20"/>
          <w:szCs w:val="20"/>
        </w:rPr>
        <w:t>数为4例。可以按等式4:</w:t>
      </w:r>
      <w:r>
        <w:rPr>
          <w:rFonts w:ascii="Times New Roman" w:hAnsi="Times New Roman" w:eastAsia="Times New Roman" w:cs="Times New Roman"/>
          <w:sz w:val="20"/>
          <w:szCs w:val="20"/>
        </w:rPr>
        <w:t>X=20:100000</w:t>
      </w:r>
    </w:p>
    <w:p w14:paraId="37268DAA">
      <w:pPr>
        <w:spacing w:before="2" w:line="337" w:lineRule="auto"/>
        <w:ind w:left="609" w:right="49"/>
        <w:rPr>
          <w:rFonts w:ascii="宋体" w:hAnsi="宋体" w:eastAsia="宋体" w:cs="宋体"/>
          <w:sz w:val="20"/>
          <w:szCs w:val="20"/>
        </w:rPr>
      </w:pPr>
      <w:r>
        <w:rPr>
          <w:rFonts w:ascii="宋体" w:hAnsi="宋体" w:eastAsia="宋体" w:cs="宋体"/>
          <w:sz w:val="20"/>
          <w:szCs w:val="20"/>
        </w:rPr>
        <w:t>计算出相应样本量，即</w:t>
      </w:r>
      <w:r>
        <w:rPr>
          <w:rFonts w:ascii="Times New Roman" w:hAnsi="Times New Roman" w:eastAsia="Times New Roman" w:cs="Times New Roman"/>
          <w:sz w:val="20"/>
          <w:szCs w:val="20"/>
        </w:rPr>
        <w:t>X=4/20×100000=20000</w:t>
      </w:r>
      <w:r>
        <w:rPr>
          <w:rFonts w:ascii="Times New Roman" w:hAnsi="Times New Roman" w:eastAsia="Times New Roman" w:cs="Times New Roman"/>
          <w:spacing w:val="17"/>
          <w:sz w:val="20"/>
          <w:szCs w:val="20"/>
        </w:rPr>
        <w:t xml:space="preserve">  </w:t>
      </w:r>
      <w:r>
        <w:rPr>
          <w:rFonts w:ascii="宋体" w:hAnsi="宋体" w:eastAsia="宋体" w:cs="宋体"/>
          <w:sz w:val="20"/>
          <w:szCs w:val="20"/>
        </w:rPr>
        <w:t>人。换言之，若按95%可信限估算该地区肝</w:t>
      </w:r>
      <w:r>
        <w:rPr>
          <w:rFonts w:ascii="宋体" w:hAnsi="宋体" w:eastAsia="宋体" w:cs="宋体"/>
          <w:spacing w:val="-1"/>
          <w:sz w:val="20"/>
          <w:szCs w:val="20"/>
        </w:rPr>
        <w:t>癌现患</w:t>
      </w:r>
      <w:r>
        <w:rPr>
          <w:rFonts w:ascii="宋体" w:hAnsi="宋体" w:eastAsia="宋体" w:cs="宋体"/>
          <w:sz w:val="20"/>
          <w:szCs w:val="20"/>
        </w:rPr>
        <w:t xml:space="preserve"> </w:t>
      </w:r>
      <w:r>
        <w:rPr>
          <w:rFonts w:ascii="宋体" w:hAnsi="宋体" w:eastAsia="宋体" w:cs="宋体"/>
          <w:spacing w:val="-3"/>
          <w:sz w:val="20"/>
          <w:szCs w:val="20"/>
        </w:rPr>
        <w:t>率的样本量，则至少应抽样调查20000人。在实际操作时，可适当扩大一些样</w:t>
      </w:r>
      <w:r>
        <w:rPr>
          <w:rFonts w:ascii="宋体" w:hAnsi="宋体" w:eastAsia="宋体" w:cs="宋体"/>
          <w:spacing w:val="-4"/>
          <w:sz w:val="20"/>
          <w:szCs w:val="20"/>
        </w:rPr>
        <w:t>本量，以免估计的现</w:t>
      </w:r>
      <w:r>
        <w:rPr>
          <w:rFonts w:ascii="宋体" w:hAnsi="宋体" w:eastAsia="宋体" w:cs="宋体"/>
          <w:sz w:val="20"/>
          <w:szCs w:val="20"/>
        </w:rPr>
        <w:t xml:space="preserve"> </w:t>
      </w:r>
      <w:r>
        <w:rPr>
          <w:rFonts w:ascii="宋体" w:hAnsi="宋体" w:eastAsia="宋体" w:cs="宋体"/>
          <w:spacing w:val="-3"/>
          <w:sz w:val="20"/>
          <w:szCs w:val="20"/>
        </w:rPr>
        <w:t>患率(本例中为20/10万)与目标人群的现患率有误差而造成样本量不足。此</w:t>
      </w:r>
      <w:r>
        <w:rPr>
          <w:rFonts w:ascii="宋体" w:hAnsi="宋体" w:eastAsia="宋体" w:cs="宋体"/>
          <w:spacing w:val="-4"/>
          <w:sz w:val="20"/>
          <w:szCs w:val="20"/>
        </w:rPr>
        <w:t>外，上述方法一般适用</w:t>
      </w:r>
      <w:r>
        <w:rPr>
          <w:rFonts w:ascii="宋体" w:hAnsi="宋体" w:eastAsia="宋体" w:cs="宋体"/>
          <w:sz w:val="20"/>
          <w:szCs w:val="20"/>
        </w:rPr>
        <w:t xml:space="preserve"> </w:t>
      </w:r>
      <w:r>
        <w:rPr>
          <w:rFonts w:ascii="宋体" w:hAnsi="宋体" w:eastAsia="宋体" w:cs="宋体"/>
          <w:spacing w:val="-6"/>
          <w:sz w:val="20"/>
          <w:szCs w:val="20"/>
        </w:rPr>
        <w:t>于单纯随机抽样的方法，而实际工作中，诸如恶性肿瘤现患率调查等常采用整群抽样的方法，可在</w:t>
      </w:r>
      <w:r>
        <w:rPr>
          <w:rFonts w:ascii="宋体" w:hAnsi="宋体" w:eastAsia="宋体" w:cs="宋体"/>
          <w:spacing w:val="7"/>
          <w:sz w:val="20"/>
          <w:szCs w:val="20"/>
        </w:rPr>
        <w:t xml:space="preserve"> </w:t>
      </w:r>
      <w:r>
        <w:rPr>
          <w:rFonts w:ascii="宋体" w:hAnsi="宋体" w:eastAsia="宋体" w:cs="宋体"/>
          <w:spacing w:val="-3"/>
          <w:sz w:val="20"/>
          <w:szCs w:val="20"/>
        </w:rPr>
        <w:t>上述方法估算的样本量基础上再增加1/2。</w:t>
      </w:r>
    </w:p>
    <w:p w14:paraId="2D943B4C">
      <w:pPr>
        <w:spacing w:before="11" w:line="218" w:lineRule="auto"/>
        <w:ind w:left="1019"/>
        <w:rPr>
          <w:rFonts w:ascii="宋体" w:hAnsi="宋体" w:eastAsia="宋体" w:cs="宋体"/>
          <w:sz w:val="20"/>
          <w:szCs w:val="20"/>
        </w:rPr>
      </w:pPr>
      <w:r>
        <w:rPr>
          <w:rFonts w:ascii="宋体" w:hAnsi="宋体" w:eastAsia="宋体" w:cs="宋体"/>
          <w:spacing w:val="-9"/>
          <w:sz w:val="20"/>
          <w:szCs w:val="20"/>
        </w:rPr>
        <w:t>若抽样调查的分析指标为计量资料，则应按计量资料的样本量估计公式来计算，公式如</w:t>
      </w:r>
      <w:r>
        <w:rPr>
          <w:rFonts w:ascii="宋体" w:hAnsi="宋体" w:eastAsia="宋体" w:cs="宋体"/>
          <w:spacing w:val="-10"/>
          <w:sz w:val="20"/>
          <w:szCs w:val="20"/>
        </w:rPr>
        <w:t>下：</w:t>
      </w:r>
    </w:p>
    <w:p w14:paraId="6B627216">
      <w:pPr>
        <w:spacing w:line="369" w:lineRule="auto"/>
        <w:rPr>
          <w:rFonts w:ascii="Arial"/>
          <w:sz w:val="21"/>
        </w:rPr>
      </w:pPr>
      <w:r>
        <w:drawing>
          <wp:anchor distT="0" distB="0" distL="0" distR="0" simplePos="0" relativeHeight="251713536" behindDoc="0" locked="0" layoutInCell="1" allowOverlap="1">
            <wp:simplePos x="0" y="0"/>
            <wp:positionH relativeFrom="column">
              <wp:posOffset>2869565</wp:posOffset>
            </wp:positionH>
            <wp:positionV relativeFrom="paragraph">
              <wp:posOffset>156845</wp:posOffset>
            </wp:positionV>
            <wp:extent cx="374650" cy="361950"/>
            <wp:effectExtent l="0" t="0" r="0" b="0"/>
            <wp:wrapNone/>
            <wp:docPr id="166" name="IM 166"/>
            <wp:cNvGraphicFramePr/>
            <a:graphic xmlns:a="http://schemas.openxmlformats.org/drawingml/2006/main">
              <a:graphicData uri="http://schemas.openxmlformats.org/drawingml/2006/picture">
                <pic:pic xmlns:pic="http://schemas.openxmlformats.org/drawingml/2006/picture">
                  <pic:nvPicPr>
                    <pic:cNvPr id="166" name="IM 166"/>
                    <pic:cNvPicPr/>
                  </pic:nvPicPr>
                  <pic:blipFill>
                    <a:blip r:embed="rId459"/>
                    <a:stretch>
                      <a:fillRect/>
                    </a:stretch>
                  </pic:blipFill>
                  <pic:spPr>
                    <a:xfrm>
                      <a:off x="0" y="0"/>
                      <a:ext cx="374651" cy="361968"/>
                    </a:xfrm>
                    <a:prstGeom prst="rect">
                      <a:avLst/>
                    </a:prstGeom>
                  </pic:spPr>
                </pic:pic>
              </a:graphicData>
            </a:graphic>
          </wp:anchor>
        </w:drawing>
      </w:r>
    </w:p>
    <w:p w14:paraId="7AA30F74">
      <w:pPr>
        <w:pStyle w:val="2"/>
        <w:spacing w:before="65" w:line="224" w:lineRule="auto"/>
        <w:ind w:right="12"/>
        <w:jc w:val="right"/>
        <w:rPr>
          <w:sz w:val="20"/>
          <w:szCs w:val="20"/>
        </w:rPr>
      </w:pPr>
      <w:r>
        <w:rPr>
          <w:spacing w:val="11"/>
          <w:sz w:val="20"/>
          <w:szCs w:val="20"/>
        </w:rPr>
        <w:t>式(3-4)</w:t>
      </w:r>
    </w:p>
    <w:p w14:paraId="0B43CD60">
      <w:pPr>
        <w:spacing w:line="328" w:lineRule="auto"/>
        <w:rPr>
          <w:rFonts w:ascii="Arial"/>
          <w:sz w:val="21"/>
        </w:rPr>
      </w:pPr>
    </w:p>
    <w:p w14:paraId="258250F1">
      <w:pPr>
        <w:spacing w:before="66" w:line="318" w:lineRule="auto"/>
        <w:ind w:left="639" w:right="9"/>
        <w:jc w:val="both"/>
        <w:rPr>
          <w:rFonts w:ascii="宋体" w:hAnsi="宋体" w:eastAsia="宋体" w:cs="宋体"/>
          <w:sz w:val="20"/>
          <w:szCs w:val="20"/>
        </w:rPr>
      </w:pPr>
      <w:r>
        <w:rPr>
          <w:rFonts w:ascii="宋体" w:hAnsi="宋体" w:eastAsia="宋体" w:cs="宋体"/>
          <w:spacing w:val="-10"/>
          <w:sz w:val="20"/>
          <w:szCs w:val="20"/>
        </w:rPr>
        <w:t>式中，</w:t>
      </w:r>
      <w:r>
        <w:rPr>
          <w:rFonts w:ascii="Times New Roman" w:hAnsi="Times New Roman" w:eastAsia="Times New Roman" w:cs="Times New Roman"/>
          <w:spacing w:val="-10"/>
          <w:sz w:val="20"/>
          <w:szCs w:val="20"/>
        </w:rPr>
        <w:t>n</w:t>
      </w:r>
      <w:r>
        <w:rPr>
          <w:rFonts w:ascii="Times New Roman" w:hAnsi="Times New Roman" w:eastAsia="Times New Roman" w:cs="Times New Roman"/>
          <w:spacing w:val="30"/>
          <w:w w:val="101"/>
          <w:sz w:val="20"/>
          <w:szCs w:val="20"/>
        </w:rPr>
        <w:t xml:space="preserve"> </w:t>
      </w:r>
      <w:r>
        <w:rPr>
          <w:rFonts w:ascii="宋体" w:hAnsi="宋体" w:eastAsia="宋体" w:cs="宋体"/>
          <w:spacing w:val="-10"/>
          <w:sz w:val="20"/>
          <w:szCs w:val="20"/>
        </w:rPr>
        <w:t>为样本量，</w:t>
      </w:r>
      <w:r>
        <w:rPr>
          <w:rFonts w:ascii="Times New Roman" w:hAnsi="Times New Roman" w:eastAsia="Times New Roman" w:cs="Times New Roman"/>
          <w:spacing w:val="-10"/>
          <w:sz w:val="20"/>
          <w:szCs w:val="20"/>
        </w:rPr>
        <w:t>d</w:t>
      </w:r>
      <w:r>
        <w:rPr>
          <w:rFonts w:ascii="Times New Roman" w:hAnsi="Times New Roman" w:eastAsia="Times New Roman" w:cs="Times New Roman"/>
          <w:spacing w:val="16"/>
          <w:w w:val="101"/>
          <w:sz w:val="20"/>
          <w:szCs w:val="20"/>
        </w:rPr>
        <w:t xml:space="preserve"> </w:t>
      </w:r>
      <w:r>
        <w:rPr>
          <w:rFonts w:ascii="宋体" w:hAnsi="宋体" w:eastAsia="宋体" w:cs="宋体"/>
          <w:spacing w:val="-10"/>
          <w:sz w:val="20"/>
          <w:szCs w:val="20"/>
        </w:rPr>
        <w:t>为容许误差，</w:t>
      </w:r>
      <w:r>
        <w:rPr>
          <w:rFonts w:ascii="Times New Roman" w:hAnsi="Times New Roman" w:eastAsia="Times New Roman" w:cs="Times New Roman"/>
          <w:spacing w:val="-10"/>
          <w:sz w:val="20"/>
          <w:szCs w:val="20"/>
        </w:rPr>
        <w:t xml:space="preserve">s </w:t>
      </w:r>
      <w:r>
        <w:rPr>
          <w:rFonts w:ascii="宋体" w:hAnsi="宋体" w:eastAsia="宋体" w:cs="宋体"/>
          <w:spacing w:val="-10"/>
          <w:sz w:val="20"/>
          <w:szCs w:val="20"/>
        </w:rPr>
        <w:t>为总体标准差的估计值。从式(3-4)可看出，样本量大小与</w:t>
      </w:r>
      <w:r>
        <w:rPr>
          <w:rFonts w:ascii="Times New Roman" w:hAnsi="Times New Roman" w:eastAsia="Times New Roman" w:cs="Times New Roman"/>
          <w:spacing w:val="-10"/>
          <w:sz w:val="20"/>
          <w:szCs w:val="20"/>
        </w:rPr>
        <w:t>s</w:t>
      </w:r>
      <w:r>
        <w:rPr>
          <w:rFonts w:ascii="Times New Roman" w:hAnsi="Times New Roman" w:eastAsia="Times New Roman" w:cs="Times New Roman"/>
          <w:spacing w:val="32"/>
          <w:sz w:val="20"/>
          <w:szCs w:val="20"/>
        </w:rPr>
        <w:t xml:space="preserve"> </w:t>
      </w:r>
      <w:r>
        <w:rPr>
          <w:rFonts w:ascii="宋体" w:hAnsi="宋体" w:eastAsia="宋体" w:cs="宋体"/>
          <w:spacing w:val="-10"/>
          <w:sz w:val="20"/>
          <w:szCs w:val="20"/>
        </w:rPr>
        <w:t>的</w:t>
      </w:r>
      <w:r>
        <w:rPr>
          <w:rFonts w:ascii="宋体" w:hAnsi="宋体" w:eastAsia="宋体" w:cs="宋体"/>
          <w:sz w:val="20"/>
          <w:szCs w:val="20"/>
        </w:rPr>
        <w:t xml:space="preserve">  </w:t>
      </w:r>
      <w:r>
        <w:rPr>
          <w:rFonts w:ascii="宋体" w:hAnsi="宋体" w:eastAsia="宋体" w:cs="宋体"/>
          <w:spacing w:val="-8"/>
          <w:sz w:val="20"/>
          <w:szCs w:val="20"/>
        </w:rPr>
        <w:t>平方成正比，与</w:t>
      </w:r>
      <w:r>
        <w:rPr>
          <w:rFonts w:ascii="Times New Roman" w:hAnsi="Times New Roman" w:eastAsia="Times New Roman" w:cs="Times New Roman"/>
          <w:spacing w:val="-8"/>
          <w:sz w:val="20"/>
          <w:szCs w:val="20"/>
        </w:rPr>
        <w:t>d</w:t>
      </w:r>
      <w:r>
        <w:rPr>
          <w:rFonts w:ascii="Times New Roman" w:hAnsi="Times New Roman" w:eastAsia="Times New Roman" w:cs="Times New Roman"/>
          <w:spacing w:val="36"/>
          <w:sz w:val="20"/>
          <w:szCs w:val="20"/>
        </w:rPr>
        <w:t xml:space="preserve"> </w:t>
      </w:r>
      <w:r>
        <w:rPr>
          <w:rFonts w:ascii="宋体" w:hAnsi="宋体" w:eastAsia="宋体" w:cs="宋体"/>
          <w:spacing w:val="-8"/>
          <w:sz w:val="20"/>
          <w:szCs w:val="20"/>
        </w:rPr>
        <w:t>的平方成反比，故在实际应用中，若同时有几个</w:t>
      </w:r>
      <w:r>
        <w:rPr>
          <w:rFonts w:ascii="宋体" w:hAnsi="宋体" w:eastAsia="宋体" w:cs="宋体"/>
          <w:spacing w:val="-9"/>
          <w:sz w:val="20"/>
          <w:szCs w:val="20"/>
        </w:rPr>
        <w:t>数据可供参考，</w:t>
      </w:r>
      <w:r>
        <w:rPr>
          <w:rFonts w:ascii="Times New Roman" w:hAnsi="Times New Roman" w:eastAsia="Times New Roman" w:cs="Times New Roman"/>
          <w:spacing w:val="-9"/>
          <w:sz w:val="20"/>
          <w:szCs w:val="20"/>
        </w:rPr>
        <w:t>s</w:t>
      </w:r>
      <w:r>
        <w:rPr>
          <w:rFonts w:ascii="Times New Roman" w:hAnsi="Times New Roman" w:eastAsia="Times New Roman" w:cs="Times New Roman"/>
          <w:spacing w:val="32"/>
          <w:sz w:val="20"/>
          <w:szCs w:val="20"/>
        </w:rPr>
        <w:t xml:space="preserve"> </w:t>
      </w:r>
      <w:r>
        <w:rPr>
          <w:rFonts w:ascii="宋体" w:hAnsi="宋体" w:eastAsia="宋体" w:cs="宋体"/>
          <w:spacing w:val="-9"/>
          <w:sz w:val="20"/>
          <w:szCs w:val="20"/>
        </w:rPr>
        <w:t>宜取较大的值，</w:t>
      </w:r>
      <w:r>
        <w:rPr>
          <w:rFonts w:ascii="宋体" w:hAnsi="宋体" w:eastAsia="宋体" w:cs="宋体"/>
          <w:sz w:val="20"/>
          <w:szCs w:val="20"/>
        </w:rPr>
        <w:t xml:space="preserve"> </w:t>
      </w:r>
      <w:r>
        <w:rPr>
          <w:rFonts w:ascii="宋体" w:hAnsi="宋体" w:eastAsia="宋体" w:cs="宋体"/>
          <w:spacing w:val="-4"/>
          <w:sz w:val="20"/>
          <w:szCs w:val="20"/>
        </w:rPr>
        <w:t>这样不至于使估计的样本量</w:t>
      </w:r>
      <w:r>
        <w:rPr>
          <w:rFonts w:ascii="Times New Roman" w:hAnsi="Times New Roman" w:eastAsia="Times New Roman" w:cs="Times New Roman"/>
          <w:spacing w:val="-4"/>
          <w:sz w:val="20"/>
          <w:szCs w:val="20"/>
        </w:rPr>
        <w:t>(n)</w:t>
      </w:r>
      <w:r>
        <w:rPr>
          <w:rFonts w:ascii="Times New Roman" w:hAnsi="Times New Roman" w:eastAsia="Times New Roman" w:cs="Times New Roman"/>
          <w:spacing w:val="61"/>
          <w:sz w:val="20"/>
          <w:szCs w:val="20"/>
        </w:rPr>
        <w:t xml:space="preserve"> </w:t>
      </w:r>
      <w:r>
        <w:rPr>
          <w:rFonts w:ascii="宋体" w:hAnsi="宋体" w:eastAsia="宋体" w:cs="宋体"/>
          <w:spacing w:val="-4"/>
          <w:sz w:val="20"/>
          <w:szCs w:val="20"/>
        </w:rPr>
        <w:t>偏小。</w:t>
      </w:r>
    </w:p>
    <w:p w14:paraId="04788CF7">
      <w:pPr>
        <w:pStyle w:val="2"/>
        <w:spacing w:before="45" w:line="351" w:lineRule="auto"/>
        <w:ind w:left="639" w:firstLine="389"/>
        <w:rPr>
          <w:rFonts w:ascii="宋体" w:hAnsi="宋体" w:eastAsia="宋体" w:cs="宋体"/>
          <w:sz w:val="20"/>
          <w:szCs w:val="20"/>
        </w:rPr>
      </w:pPr>
      <w:r>
        <w:rPr>
          <w:rFonts w:ascii="宋体" w:hAnsi="宋体" w:eastAsia="宋体" w:cs="宋体"/>
          <w:spacing w:val="-3"/>
          <w:sz w:val="20"/>
          <w:szCs w:val="20"/>
        </w:rPr>
        <w:t xml:space="preserve">2. </w:t>
      </w:r>
      <w:r>
        <w:rPr>
          <w:spacing w:val="-3"/>
          <w:sz w:val="20"/>
          <w:szCs w:val="20"/>
        </w:rPr>
        <w:t>抽样方法</w:t>
      </w:r>
      <w:r>
        <w:rPr>
          <w:spacing w:val="40"/>
          <w:sz w:val="20"/>
          <w:szCs w:val="20"/>
        </w:rPr>
        <w:t xml:space="preserve"> </w:t>
      </w:r>
      <w:r>
        <w:rPr>
          <w:rFonts w:ascii="宋体" w:hAnsi="宋体" w:eastAsia="宋体" w:cs="宋体"/>
          <w:spacing w:val="-3"/>
          <w:sz w:val="20"/>
          <w:szCs w:val="20"/>
        </w:rPr>
        <w:t>抽样可分为非随机抽样和随机抽样，前者如典型调查。</w:t>
      </w:r>
      <w:r>
        <w:rPr>
          <w:rFonts w:ascii="宋体" w:hAnsi="宋体" w:eastAsia="宋体" w:cs="宋体"/>
          <w:spacing w:val="-4"/>
          <w:sz w:val="20"/>
          <w:szCs w:val="20"/>
        </w:rPr>
        <w:t>随机抽样须遵循随机化</w:t>
      </w:r>
      <w:r>
        <w:rPr>
          <w:rFonts w:ascii="宋体" w:hAnsi="宋体" w:eastAsia="宋体" w:cs="宋体"/>
          <w:sz w:val="20"/>
          <w:szCs w:val="20"/>
        </w:rPr>
        <w:t xml:space="preserve">  </w:t>
      </w:r>
      <w:r>
        <w:rPr>
          <w:rFonts w:ascii="宋体" w:hAnsi="宋体" w:eastAsia="宋体" w:cs="宋体"/>
          <w:spacing w:val="-9"/>
          <w:sz w:val="20"/>
          <w:szCs w:val="20"/>
        </w:rPr>
        <w:t>原则，即保证总体中的每一个个体都有已知的、非零的概率被选</w:t>
      </w:r>
      <w:r>
        <w:rPr>
          <w:rFonts w:ascii="宋体" w:hAnsi="宋体" w:eastAsia="宋体" w:cs="宋体"/>
          <w:spacing w:val="-10"/>
          <w:sz w:val="20"/>
          <w:szCs w:val="20"/>
        </w:rPr>
        <w:t>为研究对象，以保证样本的代表性。</w:t>
      </w:r>
    </w:p>
    <w:p w14:paraId="4F3210C8">
      <w:pPr>
        <w:spacing w:line="351" w:lineRule="auto"/>
        <w:rPr>
          <w:rFonts w:ascii="宋体" w:hAnsi="宋体" w:eastAsia="宋体" w:cs="宋体"/>
          <w:sz w:val="20"/>
          <w:szCs w:val="20"/>
        </w:rPr>
        <w:sectPr>
          <w:footerReference r:id="rId68" w:type="default"/>
          <w:pgSz w:w="11900" w:h="16820"/>
          <w:pgMar w:top="400" w:right="1769" w:bottom="921" w:left="1100" w:header="0" w:footer="662" w:gutter="0"/>
          <w:cols w:space="720" w:num="1"/>
        </w:sectPr>
      </w:pPr>
    </w:p>
    <w:p w14:paraId="2AB29C5B">
      <w:pPr>
        <w:pStyle w:val="2"/>
        <w:spacing w:before="247" w:line="222" w:lineRule="auto"/>
        <w:ind w:left="7690"/>
        <w:rPr>
          <w:sz w:val="22"/>
          <w:szCs w:val="22"/>
        </w:rPr>
      </w:pPr>
      <w:bookmarkStart w:id="73" w:name="bookmark428"/>
      <w:bookmarkEnd w:id="73"/>
      <w:r>
        <w:rPr>
          <w:spacing w:val="-15"/>
          <w:w w:val="98"/>
          <w:sz w:val="22"/>
          <w:szCs w:val="22"/>
        </w:rPr>
        <w:t>第三章描述性研究</w:t>
      </w:r>
    </w:p>
    <w:p w14:paraId="7D165A8D">
      <w:pPr>
        <w:spacing w:line="275" w:lineRule="auto"/>
        <w:rPr>
          <w:rFonts w:ascii="Arial"/>
          <w:sz w:val="21"/>
        </w:rPr>
      </w:pPr>
    </w:p>
    <w:p w14:paraId="33234E74">
      <w:pPr>
        <w:spacing w:line="275" w:lineRule="auto"/>
        <w:rPr>
          <w:rFonts w:ascii="Arial"/>
          <w:sz w:val="21"/>
        </w:rPr>
      </w:pPr>
    </w:p>
    <w:p w14:paraId="2FD9814B">
      <w:pPr>
        <w:spacing w:before="72" w:line="304" w:lineRule="auto"/>
        <w:ind w:left="9" w:right="727"/>
        <w:rPr>
          <w:rFonts w:ascii="宋体" w:hAnsi="宋体" w:eastAsia="宋体" w:cs="宋体"/>
          <w:sz w:val="22"/>
          <w:szCs w:val="22"/>
        </w:rPr>
      </w:pPr>
      <w:r>
        <w:rPr>
          <w:rFonts w:ascii="宋体" w:hAnsi="宋体" w:eastAsia="宋体" w:cs="宋体"/>
          <w:spacing w:val="-5"/>
          <w:sz w:val="22"/>
          <w:szCs w:val="22"/>
        </w:rPr>
        <w:t>若样本量足够大、调查数据可靠、分析正确，则可以把调查结果推论到总体。下面主要介绍四种基</w:t>
      </w:r>
      <w:r>
        <w:rPr>
          <w:rFonts w:ascii="宋体" w:hAnsi="宋体" w:eastAsia="宋体" w:cs="宋体"/>
          <w:spacing w:val="13"/>
          <w:sz w:val="22"/>
          <w:szCs w:val="22"/>
        </w:rPr>
        <w:t xml:space="preserve"> </w:t>
      </w:r>
      <w:r>
        <w:rPr>
          <w:rFonts w:ascii="宋体" w:hAnsi="宋体" w:eastAsia="宋体" w:cs="宋体"/>
          <w:spacing w:val="-2"/>
          <w:sz w:val="22"/>
          <w:szCs w:val="22"/>
        </w:rPr>
        <w:t>本的随机抽样方法和多阶段抽样。</w:t>
      </w:r>
    </w:p>
    <w:p w14:paraId="3D565AA3">
      <w:pPr>
        <w:spacing w:before="4" w:line="314" w:lineRule="auto"/>
        <w:ind w:left="9" w:right="716" w:firstLine="410"/>
        <w:jc w:val="both"/>
        <w:rPr>
          <w:rFonts w:ascii="宋体" w:hAnsi="宋体" w:eastAsia="宋体" w:cs="宋体"/>
          <w:sz w:val="22"/>
          <w:szCs w:val="22"/>
        </w:rPr>
      </w:pPr>
      <w:r>
        <w:rPr>
          <w:rFonts w:ascii="宋体" w:hAnsi="宋体" w:eastAsia="宋体" w:cs="宋体"/>
          <w:spacing w:val="2"/>
          <w:sz w:val="22"/>
          <w:szCs w:val="22"/>
        </w:rPr>
        <w:t>(1)单纯随机抽样</w:t>
      </w:r>
      <w:r>
        <w:rPr>
          <w:rFonts w:ascii="Times New Roman" w:hAnsi="Times New Roman" w:eastAsia="Times New Roman" w:cs="Times New Roman"/>
          <w:spacing w:val="2"/>
          <w:sz w:val="22"/>
          <w:szCs w:val="22"/>
        </w:rPr>
        <w:t>(</w:t>
      </w:r>
      <w:r>
        <w:rPr>
          <w:rFonts w:ascii="Times New Roman" w:hAnsi="Times New Roman" w:eastAsia="Times New Roman" w:cs="Times New Roman"/>
          <w:sz w:val="22"/>
          <w:szCs w:val="22"/>
        </w:rPr>
        <w:t>simple</w:t>
      </w:r>
      <w:r>
        <w:rPr>
          <w:rFonts w:ascii="Times New Roman" w:hAnsi="Times New Roman" w:eastAsia="Times New Roman" w:cs="Times New Roman"/>
          <w:spacing w:val="2"/>
          <w:sz w:val="22"/>
          <w:szCs w:val="22"/>
        </w:rPr>
        <w:t xml:space="preserve">  </w:t>
      </w:r>
      <w:r>
        <w:rPr>
          <w:rFonts w:ascii="Times New Roman" w:hAnsi="Times New Roman" w:eastAsia="Times New Roman" w:cs="Times New Roman"/>
          <w:sz w:val="22"/>
          <w:szCs w:val="22"/>
        </w:rPr>
        <w:t>random</w:t>
      </w:r>
      <w:r>
        <w:rPr>
          <w:rFonts w:ascii="Times New Roman" w:hAnsi="Times New Roman" w:eastAsia="Times New Roman" w:cs="Times New Roman"/>
          <w:spacing w:val="2"/>
          <w:sz w:val="22"/>
          <w:szCs w:val="22"/>
        </w:rPr>
        <w:t xml:space="preserve">  </w:t>
      </w:r>
      <w:r>
        <w:rPr>
          <w:rFonts w:ascii="Times New Roman" w:hAnsi="Times New Roman" w:eastAsia="Times New Roman" w:cs="Times New Roman"/>
          <w:sz w:val="22"/>
          <w:szCs w:val="22"/>
        </w:rPr>
        <w:t>sampling</w:t>
      </w:r>
      <w:r>
        <w:rPr>
          <w:rFonts w:ascii="Times New Roman" w:hAnsi="Times New Roman" w:eastAsia="Times New Roman" w:cs="Times New Roman"/>
          <w:spacing w:val="2"/>
          <w:sz w:val="22"/>
          <w:szCs w:val="22"/>
        </w:rPr>
        <w:t>):</w:t>
      </w:r>
      <w:r>
        <w:rPr>
          <w:rFonts w:ascii="宋体" w:hAnsi="宋体" w:eastAsia="宋体" w:cs="宋体"/>
          <w:spacing w:val="2"/>
          <w:sz w:val="22"/>
          <w:szCs w:val="22"/>
        </w:rPr>
        <w:t>又称简单随机抽样，</w:t>
      </w:r>
      <w:r>
        <w:rPr>
          <w:rFonts w:ascii="宋体" w:hAnsi="宋体" w:eastAsia="宋体" w:cs="宋体"/>
          <w:spacing w:val="1"/>
          <w:sz w:val="22"/>
          <w:szCs w:val="22"/>
        </w:rPr>
        <w:t>是按等概率原则从含有</w:t>
      </w:r>
      <w:r>
        <w:rPr>
          <w:rFonts w:ascii="Times New Roman" w:hAnsi="Times New Roman" w:eastAsia="Times New Roman" w:cs="Times New Roman"/>
          <w:spacing w:val="1"/>
          <w:sz w:val="22"/>
          <w:szCs w:val="22"/>
        </w:rPr>
        <w:t xml:space="preserve">N </w:t>
      </w:r>
      <w:r>
        <w:rPr>
          <w:rFonts w:ascii="宋体" w:hAnsi="宋体" w:eastAsia="宋体" w:cs="宋体"/>
          <w:spacing w:val="1"/>
          <w:sz w:val="22"/>
          <w:szCs w:val="22"/>
        </w:rPr>
        <w:t>个</w:t>
      </w:r>
      <w:r>
        <w:rPr>
          <w:rFonts w:ascii="宋体" w:hAnsi="宋体" w:eastAsia="宋体" w:cs="宋体"/>
          <w:sz w:val="22"/>
          <w:szCs w:val="22"/>
        </w:rPr>
        <w:t xml:space="preserve"> </w:t>
      </w:r>
      <w:r>
        <w:rPr>
          <w:rFonts w:ascii="宋体" w:hAnsi="宋体" w:eastAsia="宋体" w:cs="宋体"/>
          <w:spacing w:val="2"/>
          <w:sz w:val="22"/>
          <w:szCs w:val="22"/>
        </w:rPr>
        <w:t>观察单位(个体)的总体中抽取</w:t>
      </w:r>
      <w:r>
        <w:rPr>
          <w:rFonts w:ascii="Times New Roman" w:hAnsi="Times New Roman" w:eastAsia="Times New Roman" w:cs="Times New Roman"/>
          <w:spacing w:val="2"/>
          <w:sz w:val="22"/>
          <w:szCs w:val="22"/>
        </w:rPr>
        <w:t xml:space="preserve">n </w:t>
      </w:r>
      <w:r>
        <w:rPr>
          <w:rFonts w:ascii="宋体" w:hAnsi="宋体" w:eastAsia="宋体" w:cs="宋体"/>
          <w:spacing w:val="2"/>
          <w:sz w:val="22"/>
          <w:szCs w:val="22"/>
        </w:rPr>
        <w:t>个组成样本。具体方法是将调查总体的全部观察单位编</w:t>
      </w:r>
      <w:r>
        <w:rPr>
          <w:rFonts w:ascii="宋体" w:hAnsi="宋体" w:eastAsia="宋体" w:cs="宋体"/>
          <w:spacing w:val="1"/>
          <w:sz w:val="22"/>
          <w:szCs w:val="22"/>
        </w:rPr>
        <w:t>号，形成</w:t>
      </w:r>
      <w:r>
        <w:rPr>
          <w:rFonts w:ascii="宋体" w:hAnsi="宋体" w:eastAsia="宋体" w:cs="宋体"/>
          <w:sz w:val="22"/>
          <w:szCs w:val="22"/>
        </w:rPr>
        <w:t xml:space="preserve"> </w:t>
      </w:r>
      <w:r>
        <w:rPr>
          <w:rFonts w:ascii="宋体" w:hAnsi="宋体" w:eastAsia="宋体" w:cs="宋体"/>
          <w:spacing w:val="1"/>
          <w:sz w:val="22"/>
          <w:szCs w:val="22"/>
        </w:rPr>
        <w:t>抽样框，然后用抽签法或随机数字表等方法从抽样框中随机抽取部</w:t>
      </w:r>
      <w:r>
        <w:rPr>
          <w:rFonts w:ascii="宋体" w:hAnsi="宋体" w:eastAsia="宋体" w:cs="宋体"/>
          <w:sz w:val="22"/>
          <w:szCs w:val="22"/>
        </w:rPr>
        <w:t xml:space="preserve">分个体组成样本。其重要原则 </w:t>
      </w:r>
      <w:r>
        <w:rPr>
          <w:rFonts w:ascii="宋体" w:hAnsi="宋体" w:eastAsia="宋体" w:cs="宋体"/>
          <w:spacing w:val="-1"/>
          <w:sz w:val="22"/>
          <w:szCs w:val="22"/>
        </w:rPr>
        <w:t>是总体中每个观察单位被抽到的概率相等(均为n/N)。</w:t>
      </w:r>
    </w:p>
    <w:p w14:paraId="48BA06A5">
      <w:pPr>
        <w:spacing w:before="3" w:line="310" w:lineRule="auto"/>
        <w:ind w:left="9" w:right="730" w:firstLine="430"/>
        <w:rPr>
          <w:rFonts w:ascii="宋体" w:hAnsi="宋体" w:eastAsia="宋体" w:cs="宋体"/>
          <w:sz w:val="22"/>
          <w:szCs w:val="22"/>
        </w:rPr>
      </w:pPr>
      <w:r>
        <w:rPr>
          <w:rFonts w:ascii="宋体" w:hAnsi="宋体" w:eastAsia="宋体" w:cs="宋体"/>
          <w:spacing w:val="-5"/>
          <w:sz w:val="22"/>
          <w:szCs w:val="22"/>
        </w:rPr>
        <w:t>在估算样本量时，该抽样方法既可根据总体率进行估算，也可根据总体均数进行估算。若已知</w:t>
      </w:r>
      <w:r>
        <w:rPr>
          <w:rFonts w:ascii="宋体" w:hAnsi="宋体" w:eastAsia="宋体" w:cs="宋体"/>
          <w:spacing w:val="10"/>
          <w:sz w:val="22"/>
          <w:szCs w:val="22"/>
        </w:rPr>
        <w:t xml:space="preserve"> </w:t>
      </w:r>
      <w:r>
        <w:rPr>
          <w:rFonts w:ascii="宋体" w:hAnsi="宋体" w:eastAsia="宋体" w:cs="宋体"/>
          <w:spacing w:val="-6"/>
          <w:sz w:val="22"/>
          <w:szCs w:val="22"/>
        </w:rPr>
        <w:t>总体率，则无限总体抽样公式见式(3-5),有限总体须在其基础上进行校正，见</w:t>
      </w:r>
      <w:r>
        <w:rPr>
          <w:rFonts w:ascii="宋体" w:hAnsi="宋体" w:eastAsia="宋体" w:cs="宋体"/>
          <w:spacing w:val="-7"/>
          <w:sz w:val="22"/>
          <w:szCs w:val="22"/>
        </w:rPr>
        <w:t>式(3-6)。</w:t>
      </w:r>
    </w:p>
    <w:p w14:paraId="51439BAF">
      <w:pPr>
        <w:pStyle w:val="2"/>
        <w:spacing w:before="134"/>
        <w:ind w:left="3869"/>
        <w:rPr>
          <w:sz w:val="22"/>
          <w:szCs w:val="22"/>
        </w:rPr>
      </w:pPr>
      <w:r>
        <w:rPr>
          <w:position w:val="-20"/>
          <w:sz w:val="22"/>
          <w:szCs w:val="22"/>
        </w:rPr>
        <w:drawing>
          <wp:inline distT="0" distB="0" distL="0" distR="0">
            <wp:extent cx="1035050" cy="367665"/>
            <wp:effectExtent l="0" t="0" r="0" b="0"/>
            <wp:docPr id="168" name="IM 168"/>
            <wp:cNvGraphicFramePr/>
            <a:graphic xmlns:a="http://schemas.openxmlformats.org/drawingml/2006/main">
              <a:graphicData uri="http://schemas.openxmlformats.org/drawingml/2006/picture">
                <pic:pic xmlns:pic="http://schemas.openxmlformats.org/drawingml/2006/picture">
                  <pic:nvPicPr>
                    <pic:cNvPr id="168" name="IM 168"/>
                    <pic:cNvPicPr/>
                  </pic:nvPicPr>
                  <pic:blipFill>
                    <a:blip r:embed="rId460"/>
                    <a:stretch>
                      <a:fillRect/>
                    </a:stretch>
                  </pic:blipFill>
                  <pic:spPr>
                    <a:xfrm>
                      <a:off x="0" y="0"/>
                      <a:ext cx="1035089" cy="368270"/>
                    </a:xfrm>
                    <a:prstGeom prst="rect">
                      <a:avLst/>
                    </a:prstGeom>
                  </pic:spPr>
                </pic:pic>
              </a:graphicData>
            </a:graphic>
          </wp:inline>
        </w:drawing>
      </w:r>
      <w:r>
        <w:rPr>
          <w:spacing w:val="2"/>
          <w:sz w:val="22"/>
          <w:szCs w:val="22"/>
        </w:rPr>
        <w:t xml:space="preserve">                           </w:t>
      </w:r>
      <w:r>
        <w:rPr>
          <w:spacing w:val="7"/>
          <w:sz w:val="22"/>
          <w:szCs w:val="22"/>
        </w:rPr>
        <w:t>式(3-5)</w:t>
      </w:r>
    </w:p>
    <w:p w14:paraId="50B6FD70">
      <w:pPr>
        <w:pStyle w:val="2"/>
        <w:spacing w:before="141" w:line="323" w:lineRule="auto"/>
        <w:ind w:right="654" w:firstLine="4169"/>
        <w:rPr>
          <w:rFonts w:ascii="宋体" w:hAnsi="宋体" w:eastAsia="宋体" w:cs="宋体"/>
          <w:sz w:val="22"/>
          <w:szCs w:val="22"/>
        </w:rPr>
      </w:pPr>
      <w:r>
        <w:rPr>
          <w:position w:val="-13"/>
          <w:sz w:val="22"/>
          <w:szCs w:val="22"/>
        </w:rPr>
        <w:drawing>
          <wp:inline distT="0" distB="0" distL="0" distR="0">
            <wp:extent cx="660400" cy="285115"/>
            <wp:effectExtent l="0" t="0" r="0" b="0"/>
            <wp:docPr id="170" name="IM 170"/>
            <wp:cNvGraphicFramePr/>
            <a:graphic xmlns:a="http://schemas.openxmlformats.org/drawingml/2006/main">
              <a:graphicData uri="http://schemas.openxmlformats.org/drawingml/2006/picture">
                <pic:pic xmlns:pic="http://schemas.openxmlformats.org/drawingml/2006/picture">
                  <pic:nvPicPr>
                    <pic:cNvPr id="170" name="IM 170"/>
                    <pic:cNvPicPr/>
                  </pic:nvPicPr>
                  <pic:blipFill>
                    <a:blip r:embed="rId461"/>
                    <a:stretch>
                      <a:fillRect/>
                    </a:stretch>
                  </pic:blipFill>
                  <pic:spPr>
                    <a:xfrm>
                      <a:off x="0" y="0"/>
                      <a:ext cx="660437" cy="285708"/>
                    </a:xfrm>
                    <a:prstGeom prst="rect">
                      <a:avLst/>
                    </a:prstGeom>
                  </pic:spPr>
                </pic:pic>
              </a:graphicData>
            </a:graphic>
          </wp:inline>
        </w:drawing>
      </w:r>
      <w:r>
        <w:rPr>
          <w:sz w:val="22"/>
          <w:szCs w:val="22"/>
        </w:rPr>
        <w:t xml:space="preserve">                              </w:t>
      </w:r>
      <w:r>
        <w:rPr>
          <w:spacing w:val="8"/>
          <w:sz w:val="22"/>
          <w:szCs w:val="22"/>
        </w:rPr>
        <w:t>式(3-6)</w:t>
      </w:r>
      <w:r>
        <w:rPr>
          <w:spacing w:val="13"/>
          <w:sz w:val="22"/>
          <w:szCs w:val="22"/>
        </w:rPr>
        <w:t xml:space="preserve"> </w:t>
      </w:r>
      <w:r>
        <w:rPr>
          <w:rFonts w:ascii="宋体" w:hAnsi="宋体" w:eastAsia="宋体" w:cs="宋体"/>
          <w:spacing w:val="-4"/>
          <w:sz w:val="22"/>
          <w:szCs w:val="22"/>
        </w:rPr>
        <w:t>式(3-5)中，π为总体率，8为容许误差。式(3-6)中，n。为校正后样本量，N 为有限总体包含的单</w:t>
      </w:r>
      <w:r>
        <w:rPr>
          <w:rFonts w:ascii="宋体" w:hAnsi="宋体" w:eastAsia="宋体" w:cs="宋体"/>
          <w:spacing w:val="18"/>
          <w:sz w:val="22"/>
          <w:szCs w:val="22"/>
        </w:rPr>
        <w:t xml:space="preserve"> </w:t>
      </w:r>
      <w:r>
        <w:rPr>
          <w:rFonts w:ascii="宋体" w:hAnsi="宋体" w:eastAsia="宋体" w:cs="宋体"/>
          <w:sz w:val="22"/>
          <w:szCs w:val="22"/>
        </w:rPr>
        <w:t>位数。</w:t>
      </w:r>
    </w:p>
    <w:p w14:paraId="0F54ACD7">
      <w:pPr>
        <w:spacing w:before="119" w:line="297" w:lineRule="auto"/>
        <w:ind w:left="9" w:right="706" w:firstLine="420"/>
        <w:rPr>
          <w:rFonts w:ascii="宋体" w:hAnsi="宋体" w:eastAsia="宋体" w:cs="宋体"/>
          <w:sz w:val="22"/>
          <w:szCs w:val="22"/>
        </w:rPr>
      </w:pPr>
      <w:r>
        <w:rPr>
          <w:rFonts w:ascii="宋体" w:hAnsi="宋体" w:eastAsia="宋体" w:cs="宋体"/>
          <w:spacing w:val="4"/>
          <w:sz w:val="22"/>
          <w:szCs w:val="22"/>
        </w:rPr>
        <w:t>若总体均数已知，则无限总体的样本量计算公式如下，而有限总体依旧需要用式(3-6)进行</w:t>
      </w:r>
      <w:r>
        <w:rPr>
          <w:rFonts w:ascii="宋体" w:hAnsi="宋体" w:eastAsia="宋体" w:cs="宋体"/>
          <w:spacing w:val="1"/>
          <w:sz w:val="22"/>
          <w:szCs w:val="22"/>
        </w:rPr>
        <w:t xml:space="preserve"> </w:t>
      </w:r>
      <w:r>
        <w:rPr>
          <w:rFonts w:ascii="宋体" w:hAnsi="宋体" w:eastAsia="宋体" w:cs="宋体"/>
          <w:sz w:val="22"/>
          <w:szCs w:val="22"/>
        </w:rPr>
        <w:t>校正。</w:t>
      </w:r>
    </w:p>
    <w:p w14:paraId="0963BDE3">
      <w:pPr>
        <w:spacing w:line="260" w:lineRule="auto"/>
        <w:rPr>
          <w:rFonts w:ascii="Arial"/>
          <w:sz w:val="21"/>
        </w:rPr>
      </w:pPr>
      <w:r>
        <w:drawing>
          <wp:anchor distT="0" distB="0" distL="0" distR="0" simplePos="0" relativeHeight="251714560" behindDoc="0" locked="0" layoutInCell="1" allowOverlap="1">
            <wp:simplePos x="0" y="0"/>
            <wp:positionH relativeFrom="column">
              <wp:posOffset>2578100</wp:posOffset>
            </wp:positionH>
            <wp:positionV relativeFrom="paragraph">
              <wp:posOffset>90170</wp:posOffset>
            </wp:positionV>
            <wp:extent cx="819150" cy="387350"/>
            <wp:effectExtent l="0" t="0" r="0" b="0"/>
            <wp:wrapNone/>
            <wp:docPr id="172" name="IM 172"/>
            <wp:cNvGraphicFramePr/>
            <a:graphic xmlns:a="http://schemas.openxmlformats.org/drawingml/2006/main">
              <a:graphicData uri="http://schemas.openxmlformats.org/drawingml/2006/picture">
                <pic:pic xmlns:pic="http://schemas.openxmlformats.org/drawingml/2006/picture">
                  <pic:nvPicPr>
                    <pic:cNvPr id="172" name="IM 172"/>
                    <pic:cNvPicPr/>
                  </pic:nvPicPr>
                  <pic:blipFill>
                    <a:blip r:embed="rId462"/>
                    <a:stretch>
                      <a:fillRect/>
                    </a:stretch>
                  </pic:blipFill>
                  <pic:spPr>
                    <a:xfrm>
                      <a:off x="0" y="0"/>
                      <a:ext cx="819124" cy="387282"/>
                    </a:xfrm>
                    <a:prstGeom prst="rect">
                      <a:avLst/>
                    </a:prstGeom>
                  </pic:spPr>
                </pic:pic>
              </a:graphicData>
            </a:graphic>
          </wp:anchor>
        </w:drawing>
      </w:r>
    </w:p>
    <w:p w14:paraId="33E2461B">
      <w:pPr>
        <w:pStyle w:val="2"/>
        <w:spacing w:before="72" w:line="224" w:lineRule="auto"/>
        <w:ind w:left="8530"/>
        <w:rPr>
          <w:sz w:val="22"/>
          <w:szCs w:val="22"/>
        </w:rPr>
      </w:pPr>
      <w:r>
        <w:rPr>
          <w:spacing w:val="10"/>
          <w:sz w:val="22"/>
          <w:szCs w:val="22"/>
        </w:rPr>
        <w:t>式(3-7)</w:t>
      </w:r>
    </w:p>
    <w:p w14:paraId="3A0EF3AC">
      <w:pPr>
        <w:spacing w:line="309" w:lineRule="auto"/>
        <w:rPr>
          <w:rFonts w:ascii="Arial"/>
          <w:sz w:val="21"/>
        </w:rPr>
      </w:pPr>
    </w:p>
    <w:p w14:paraId="69376777">
      <w:pPr>
        <w:spacing w:before="71" w:line="220" w:lineRule="auto"/>
        <w:ind w:left="29"/>
        <w:rPr>
          <w:rFonts w:ascii="宋体" w:hAnsi="宋体" w:eastAsia="宋体" w:cs="宋体"/>
          <w:sz w:val="22"/>
          <w:szCs w:val="22"/>
        </w:rPr>
      </w:pPr>
      <w:r>
        <w:rPr>
          <w:rFonts w:ascii="宋体" w:hAnsi="宋体" w:eastAsia="宋体" w:cs="宋体"/>
          <w:spacing w:val="-9"/>
          <w:sz w:val="22"/>
          <w:szCs w:val="22"/>
        </w:rPr>
        <w:t>式中，σ为总体标准差，8为容许误差。</w:t>
      </w:r>
    </w:p>
    <w:p w14:paraId="300A1DC7">
      <w:pPr>
        <w:spacing w:before="116" w:line="219" w:lineRule="auto"/>
        <w:ind w:left="440"/>
        <w:rPr>
          <w:rFonts w:ascii="宋体" w:hAnsi="宋体" w:eastAsia="宋体" w:cs="宋体"/>
          <w:sz w:val="22"/>
          <w:szCs w:val="22"/>
        </w:rPr>
      </w:pPr>
      <w:r>
        <w:rPr>
          <w:rFonts w:ascii="宋体" w:hAnsi="宋体" w:eastAsia="宋体" w:cs="宋体"/>
          <w:spacing w:val="-3"/>
          <w:sz w:val="22"/>
          <w:szCs w:val="22"/>
        </w:rPr>
        <w:t>单纯随机抽样的标准误按资料性质，根据式(3-8)和</w:t>
      </w:r>
      <w:r>
        <w:rPr>
          <w:rFonts w:ascii="宋体" w:hAnsi="宋体" w:eastAsia="宋体" w:cs="宋体"/>
          <w:spacing w:val="-4"/>
          <w:sz w:val="22"/>
          <w:szCs w:val="22"/>
        </w:rPr>
        <w:t>式(3-9)计算。</w:t>
      </w:r>
    </w:p>
    <w:p w14:paraId="08C48849">
      <w:pPr>
        <w:spacing w:line="46" w:lineRule="exact"/>
      </w:pPr>
    </w:p>
    <w:p w14:paraId="39AB0C29">
      <w:pPr>
        <w:spacing w:line="46" w:lineRule="exact"/>
        <w:sectPr>
          <w:footerReference r:id="rId69" w:type="default"/>
          <w:pgSz w:w="11900" w:h="16820"/>
          <w:pgMar w:top="400" w:right="623" w:bottom="938" w:left="1279" w:header="0" w:footer="653" w:gutter="0"/>
          <w:cols w:equalWidth="0" w:num="1">
            <w:col w:w="9998"/>
          </w:cols>
        </w:sectPr>
      </w:pPr>
    </w:p>
    <w:p w14:paraId="0579D318">
      <w:pPr>
        <w:spacing w:before="45" w:line="219" w:lineRule="auto"/>
        <w:ind w:left="470"/>
        <w:rPr>
          <w:rFonts w:ascii="宋体" w:hAnsi="宋体" w:eastAsia="宋体" w:cs="宋体"/>
          <w:sz w:val="22"/>
          <w:szCs w:val="22"/>
        </w:rPr>
      </w:pPr>
      <w:r>
        <w:rPr>
          <w:rFonts w:ascii="宋体" w:hAnsi="宋体" w:eastAsia="宋体" w:cs="宋体"/>
          <w:spacing w:val="-4"/>
          <w:sz w:val="22"/>
          <w:szCs w:val="22"/>
        </w:rPr>
        <w:t>均数的标准误：</w:t>
      </w:r>
    </w:p>
    <w:p w14:paraId="07B1A43E">
      <w:pPr>
        <w:spacing w:line="242" w:lineRule="auto"/>
        <w:rPr>
          <w:rFonts w:ascii="Arial"/>
          <w:sz w:val="21"/>
        </w:rPr>
      </w:pPr>
    </w:p>
    <w:p w14:paraId="60A58DDA">
      <w:pPr>
        <w:spacing w:line="243" w:lineRule="auto"/>
        <w:rPr>
          <w:rFonts w:ascii="Arial"/>
          <w:sz w:val="21"/>
        </w:rPr>
      </w:pPr>
    </w:p>
    <w:p w14:paraId="739F28A7">
      <w:pPr>
        <w:spacing w:line="243" w:lineRule="auto"/>
        <w:rPr>
          <w:rFonts w:ascii="Arial"/>
          <w:sz w:val="21"/>
        </w:rPr>
      </w:pPr>
    </w:p>
    <w:p w14:paraId="3E1C83BC">
      <w:pPr>
        <w:spacing w:line="243" w:lineRule="auto"/>
        <w:rPr>
          <w:rFonts w:ascii="Arial"/>
          <w:sz w:val="21"/>
        </w:rPr>
      </w:pPr>
    </w:p>
    <w:p w14:paraId="73BF2EB5">
      <w:pPr>
        <w:spacing w:before="72" w:line="219" w:lineRule="auto"/>
        <w:ind w:left="470"/>
        <w:rPr>
          <w:rFonts w:ascii="宋体" w:hAnsi="宋体" w:eastAsia="宋体" w:cs="宋体"/>
          <w:sz w:val="22"/>
          <w:szCs w:val="22"/>
        </w:rPr>
      </w:pPr>
      <w:r>
        <w:rPr>
          <w:rFonts w:ascii="宋体" w:hAnsi="宋体" w:eastAsia="宋体" w:cs="宋体"/>
          <w:spacing w:val="-5"/>
          <w:sz w:val="22"/>
          <w:szCs w:val="22"/>
        </w:rPr>
        <w:t>率的标准误：</w:t>
      </w:r>
    </w:p>
    <w:p w14:paraId="0F8FA88A">
      <w:pPr>
        <w:spacing w:before="47"/>
      </w:pPr>
    </w:p>
    <w:p w14:paraId="48FF5A70">
      <w:pPr>
        <w:spacing w:before="46"/>
      </w:pPr>
    </w:p>
    <w:p w14:paraId="434DF5AC">
      <w:pPr>
        <w:spacing w:before="46"/>
      </w:pPr>
    </w:p>
    <w:p w14:paraId="4368DCB9">
      <w:pPr>
        <w:spacing w:line="14" w:lineRule="auto"/>
        <w:rPr>
          <w:rFonts w:ascii="Arial"/>
          <w:sz w:val="2"/>
        </w:rPr>
      </w:pPr>
      <w:r>
        <w:rPr>
          <w:rFonts w:ascii="Arial" w:hAnsi="Arial" w:eastAsia="Arial" w:cs="Arial"/>
          <w:sz w:val="2"/>
          <w:szCs w:val="2"/>
        </w:rPr>
        <w:br w:type="column"/>
      </w:r>
    </w:p>
    <w:p w14:paraId="1F74D124">
      <w:pPr>
        <w:spacing w:line="280" w:lineRule="auto"/>
        <w:rPr>
          <w:rFonts w:ascii="Arial"/>
          <w:sz w:val="21"/>
        </w:rPr>
      </w:pPr>
    </w:p>
    <w:p w14:paraId="19B30E22">
      <w:pPr>
        <w:spacing w:line="280" w:lineRule="auto"/>
        <w:rPr>
          <w:rFonts w:ascii="Arial"/>
          <w:sz w:val="21"/>
        </w:rPr>
      </w:pPr>
    </w:p>
    <w:p w14:paraId="51BE74BA">
      <w:pPr>
        <w:spacing w:before="1" w:line="580" w:lineRule="exact"/>
        <w:ind w:firstLine="229"/>
      </w:pPr>
      <w:r>
        <w:rPr>
          <w:position w:val="-11"/>
        </w:rPr>
        <w:drawing>
          <wp:inline distT="0" distB="0" distL="0" distR="0">
            <wp:extent cx="1016000" cy="368300"/>
            <wp:effectExtent l="0" t="0" r="0" b="0"/>
            <wp:docPr id="174" name="IM 174"/>
            <wp:cNvGraphicFramePr/>
            <a:graphic xmlns:a="http://schemas.openxmlformats.org/drawingml/2006/main">
              <a:graphicData uri="http://schemas.openxmlformats.org/drawingml/2006/picture">
                <pic:pic xmlns:pic="http://schemas.openxmlformats.org/drawingml/2006/picture">
                  <pic:nvPicPr>
                    <pic:cNvPr id="174" name="IM 174"/>
                    <pic:cNvPicPr/>
                  </pic:nvPicPr>
                  <pic:blipFill>
                    <a:blip r:embed="rId463"/>
                    <a:stretch>
                      <a:fillRect/>
                    </a:stretch>
                  </pic:blipFill>
                  <pic:spPr>
                    <a:xfrm>
                      <a:off x="0" y="0"/>
                      <a:ext cx="1016046" cy="368377"/>
                    </a:xfrm>
                    <a:prstGeom prst="rect">
                      <a:avLst/>
                    </a:prstGeom>
                  </pic:spPr>
                </pic:pic>
              </a:graphicData>
            </a:graphic>
          </wp:inline>
        </w:drawing>
      </w:r>
    </w:p>
    <w:p w14:paraId="20CF1F5A">
      <w:pPr>
        <w:spacing w:line="245" w:lineRule="auto"/>
        <w:rPr>
          <w:rFonts w:ascii="Arial"/>
          <w:sz w:val="21"/>
        </w:rPr>
      </w:pPr>
    </w:p>
    <w:p w14:paraId="2CA35917">
      <w:pPr>
        <w:spacing w:line="245" w:lineRule="auto"/>
        <w:rPr>
          <w:rFonts w:ascii="Arial"/>
          <w:sz w:val="21"/>
        </w:rPr>
      </w:pPr>
    </w:p>
    <w:p w14:paraId="184190C8">
      <w:pPr>
        <w:spacing w:line="245" w:lineRule="auto"/>
        <w:rPr>
          <w:rFonts w:ascii="Arial"/>
          <w:sz w:val="21"/>
        </w:rPr>
      </w:pPr>
    </w:p>
    <w:p w14:paraId="64A08498">
      <w:pPr>
        <w:spacing w:line="550" w:lineRule="exact"/>
      </w:pPr>
      <w:r>
        <w:rPr>
          <w:position w:val="-11"/>
        </w:rPr>
        <w:drawing>
          <wp:inline distT="0" distB="0" distL="0" distR="0">
            <wp:extent cx="1295400" cy="349250"/>
            <wp:effectExtent l="0" t="0" r="0" b="0"/>
            <wp:docPr id="176" name="IM 176"/>
            <wp:cNvGraphicFramePr/>
            <a:graphic xmlns:a="http://schemas.openxmlformats.org/drawingml/2006/main">
              <a:graphicData uri="http://schemas.openxmlformats.org/drawingml/2006/picture">
                <pic:pic xmlns:pic="http://schemas.openxmlformats.org/drawingml/2006/picture">
                  <pic:nvPicPr>
                    <pic:cNvPr id="176" name="IM 176"/>
                    <pic:cNvPicPr/>
                  </pic:nvPicPr>
                  <pic:blipFill>
                    <a:blip r:embed="rId464"/>
                    <a:stretch>
                      <a:fillRect/>
                    </a:stretch>
                  </pic:blipFill>
                  <pic:spPr>
                    <a:xfrm>
                      <a:off x="0" y="0"/>
                      <a:ext cx="1295410" cy="349259"/>
                    </a:xfrm>
                    <a:prstGeom prst="rect">
                      <a:avLst/>
                    </a:prstGeom>
                  </pic:spPr>
                </pic:pic>
              </a:graphicData>
            </a:graphic>
          </wp:inline>
        </w:drawing>
      </w:r>
    </w:p>
    <w:p w14:paraId="6C252989">
      <w:pPr>
        <w:spacing w:line="14" w:lineRule="auto"/>
        <w:rPr>
          <w:rFonts w:ascii="Arial"/>
          <w:sz w:val="2"/>
        </w:rPr>
      </w:pPr>
      <w:r>
        <w:rPr>
          <w:rFonts w:ascii="Arial" w:hAnsi="Arial" w:eastAsia="Arial" w:cs="Arial"/>
          <w:sz w:val="2"/>
          <w:szCs w:val="2"/>
        </w:rPr>
        <w:br w:type="column"/>
      </w:r>
    </w:p>
    <w:p w14:paraId="51C443E4">
      <w:pPr>
        <w:spacing w:line="329" w:lineRule="auto"/>
        <w:rPr>
          <w:rFonts w:ascii="Arial"/>
          <w:sz w:val="21"/>
        </w:rPr>
      </w:pPr>
    </w:p>
    <w:p w14:paraId="6D651DE1">
      <w:pPr>
        <w:spacing w:line="329" w:lineRule="auto"/>
        <w:rPr>
          <w:rFonts w:ascii="Arial"/>
          <w:sz w:val="21"/>
        </w:rPr>
      </w:pPr>
    </w:p>
    <w:p w14:paraId="293B2C7A">
      <w:pPr>
        <w:spacing w:before="72" w:line="221" w:lineRule="auto"/>
        <w:rPr>
          <w:rFonts w:ascii="宋体" w:hAnsi="宋体" w:eastAsia="宋体" w:cs="宋体"/>
          <w:sz w:val="22"/>
          <w:szCs w:val="22"/>
        </w:rPr>
      </w:pPr>
      <w:r>
        <w:rPr>
          <w:rFonts w:ascii="宋体" w:hAnsi="宋体" w:eastAsia="宋体" w:cs="宋体"/>
          <w:spacing w:val="8"/>
          <w:sz w:val="22"/>
          <w:szCs w:val="22"/>
        </w:rPr>
        <w:t>式(3-8)</w:t>
      </w:r>
    </w:p>
    <w:p w14:paraId="42EFF002">
      <w:pPr>
        <w:spacing w:line="319" w:lineRule="auto"/>
        <w:rPr>
          <w:rFonts w:ascii="Arial"/>
          <w:sz w:val="21"/>
        </w:rPr>
      </w:pPr>
    </w:p>
    <w:p w14:paraId="5730D90B">
      <w:pPr>
        <w:spacing w:line="320" w:lineRule="auto"/>
        <w:rPr>
          <w:rFonts w:ascii="Arial"/>
          <w:sz w:val="21"/>
        </w:rPr>
      </w:pPr>
    </w:p>
    <w:p w14:paraId="4A3D6451">
      <w:pPr>
        <w:spacing w:line="320" w:lineRule="auto"/>
        <w:rPr>
          <w:rFonts w:ascii="Arial"/>
          <w:sz w:val="21"/>
        </w:rPr>
      </w:pPr>
    </w:p>
    <w:p w14:paraId="024B21C4">
      <w:pPr>
        <w:spacing w:before="72" w:line="221" w:lineRule="auto"/>
        <w:ind w:left="9"/>
        <w:rPr>
          <w:rFonts w:ascii="宋体" w:hAnsi="宋体" w:eastAsia="宋体" w:cs="宋体"/>
          <w:sz w:val="22"/>
          <w:szCs w:val="22"/>
        </w:rPr>
      </w:pPr>
      <w:r>
        <w:rPr>
          <w:rFonts w:ascii="宋体" w:hAnsi="宋体" w:eastAsia="宋体" w:cs="宋体"/>
          <w:spacing w:val="8"/>
          <w:sz w:val="22"/>
          <w:szCs w:val="22"/>
        </w:rPr>
        <w:t>式(3-9)</w:t>
      </w:r>
    </w:p>
    <w:p w14:paraId="401F238F">
      <w:pPr>
        <w:spacing w:line="221" w:lineRule="auto"/>
        <w:rPr>
          <w:rFonts w:ascii="宋体" w:hAnsi="宋体" w:eastAsia="宋体" w:cs="宋体"/>
          <w:sz w:val="22"/>
          <w:szCs w:val="22"/>
        </w:rPr>
        <w:sectPr>
          <w:type w:val="continuous"/>
          <w:pgSz w:w="11900" w:h="16820"/>
          <w:pgMar w:top="400" w:right="623" w:bottom="938" w:left="1279" w:header="0" w:footer="653" w:gutter="0"/>
          <w:cols w:equalWidth="0" w:num="3">
            <w:col w:w="3581" w:space="100"/>
            <w:col w:w="4750" w:space="100"/>
            <w:col w:w="1467"/>
          </w:cols>
        </w:sectPr>
      </w:pPr>
    </w:p>
    <w:p w14:paraId="06F9B9AD">
      <w:pPr>
        <w:spacing w:before="199" w:line="286" w:lineRule="auto"/>
        <w:ind w:left="9" w:right="667" w:firstLine="9"/>
        <w:rPr>
          <w:rFonts w:ascii="宋体" w:hAnsi="宋体" w:eastAsia="宋体" w:cs="宋体"/>
          <w:sz w:val="22"/>
          <w:szCs w:val="22"/>
        </w:rPr>
      </w:pPr>
      <w:r>
        <w:rPr>
          <w:rFonts w:ascii="宋体" w:hAnsi="宋体" w:eastAsia="宋体" w:cs="宋体"/>
          <w:spacing w:val="-7"/>
          <w:sz w:val="22"/>
          <w:szCs w:val="22"/>
        </w:rPr>
        <w:t>式中，s为样本标准差；p</w:t>
      </w:r>
      <w:r>
        <w:rPr>
          <w:rFonts w:ascii="宋体" w:hAnsi="宋体" w:eastAsia="宋体" w:cs="宋体"/>
          <w:spacing w:val="-50"/>
          <w:sz w:val="22"/>
          <w:szCs w:val="22"/>
        </w:rPr>
        <w:t xml:space="preserve"> </w:t>
      </w:r>
      <w:r>
        <w:rPr>
          <w:rFonts w:ascii="宋体" w:hAnsi="宋体" w:eastAsia="宋体" w:cs="宋体"/>
          <w:spacing w:val="-7"/>
          <w:sz w:val="22"/>
          <w:szCs w:val="22"/>
        </w:rPr>
        <w:t>为样本率；N 为总体含量；n</w:t>
      </w:r>
      <w:r>
        <w:rPr>
          <w:rFonts w:ascii="宋体" w:hAnsi="宋体" w:eastAsia="宋体" w:cs="宋体"/>
          <w:spacing w:val="-43"/>
          <w:sz w:val="22"/>
          <w:szCs w:val="22"/>
        </w:rPr>
        <w:t xml:space="preserve"> </w:t>
      </w:r>
      <w:r>
        <w:rPr>
          <w:rFonts w:ascii="宋体" w:hAnsi="宋体" w:eastAsia="宋体" w:cs="宋体"/>
          <w:spacing w:val="-7"/>
          <w:sz w:val="22"/>
          <w:szCs w:val="22"/>
        </w:rPr>
        <w:t>为样本量；n/N</w:t>
      </w:r>
      <w:r>
        <w:rPr>
          <w:rFonts w:ascii="宋体" w:hAnsi="宋体" w:eastAsia="宋体" w:cs="宋体"/>
          <w:spacing w:val="-53"/>
          <w:sz w:val="22"/>
          <w:szCs w:val="22"/>
        </w:rPr>
        <w:t xml:space="preserve"> </w:t>
      </w:r>
      <w:r>
        <w:rPr>
          <w:rFonts w:ascii="宋体" w:hAnsi="宋体" w:eastAsia="宋体" w:cs="宋体"/>
          <w:spacing w:val="-7"/>
          <w:sz w:val="22"/>
          <w:szCs w:val="22"/>
        </w:rPr>
        <w:t>为抽样比，若小于5%可以忽略</w:t>
      </w:r>
      <w:r>
        <w:rPr>
          <w:rFonts w:ascii="宋体" w:hAnsi="宋体" w:eastAsia="宋体" w:cs="宋体"/>
          <w:sz w:val="22"/>
          <w:szCs w:val="22"/>
        </w:rPr>
        <w:t xml:space="preserve"> 不计。</w:t>
      </w:r>
    </w:p>
    <w:p w14:paraId="523A7EDB">
      <w:pPr>
        <w:spacing w:before="25" w:line="307" w:lineRule="auto"/>
        <w:ind w:left="9" w:right="586" w:firstLine="440"/>
        <w:jc w:val="both"/>
        <w:rPr>
          <w:rFonts w:ascii="宋体" w:hAnsi="宋体" w:eastAsia="宋体" w:cs="宋体"/>
          <w:sz w:val="22"/>
          <w:szCs w:val="22"/>
        </w:rPr>
      </w:pPr>
      <w:r>
        <w:rPr>
          <w:rFonts w:ascii="宋体" w:hAnsi="宋体" w:eastAsia="宋体" w:cs="宋体"/>
          <w:spacing w:val="-1"/>
          <w:sz w:val="22"/>
          <w:szCs w:val="22"/>
        </w:rPr>
        <w:t>单纯随机抽样是最基本的抽样方法，也是其他抽</w:t>
      </w:r>
      <w:r>
        <w:rPr>
          <w:rFonts w:ascii="宋体" w:hAnsi="宋体" w:eastAsia="宋体" w:cs="宋体"/>
          <w:spacing w:val="-2"/>
          <w:sz w:val="22"/>
          <w:szCs w:val="22"/>
        </w:rPr>
        <w:t>样方法的基础，主要用于总体不太大的情形，</w:t>
      </w:r>
      <w:r>
        <w:rPr>
          <w:rFonts w:ascii="宋体" w:hAnsi="宋体" w:eastAsia="宋体" w:cs="宋体"/>
          <w:sz w:val="22"/>
          <w:szCs w:val="22"/>
        </w:rPr>
        <w:t xml:space="preserve"> </w:t>
      </w:r>
      <w:r>
        <w:rPr>
          <w:rFonts w:ascii="宋体" w:hAnsi="宋体" w:eastAsia="宋体" w:cs="宋体"/>
          <w:spacing w:val="-4"/>
          <w:sz w:val="22"/>
          <w:szCs w:val="22"/>
        </w:rPr>
        <w:t>其优点是简单直观，均数(或率)及标准误计算简便；缺点是总体较大时，难以对总体中的个体一一</w:t>
      </w:r>
      <w:r>
        <w:rPr>
          <w:rFonts w:ascii="宋体" w:hAnsi="宋体" w:eastAsia="宋体" w:cs="宋体"/>
          <w:spacing w:val="8"/>
          <w:sz w:val="22"/>
          <w:szCs w:val="22"/>
        </w:rPr>
        <w:t xml:space="preserve">  </w:t>
      </w:r>
      <w:r>
        <w:rPr>
          <w:rFonts w:ascii="宋体" w:hAnsi="宋体" w:eastAsia="宋体" w:cs="宋体"/>
          <w:spacing w:val="-9"/>
          <w:sz w:val="22"/>
          <w:szCs w:val="22"/>
        </w:rPr>
        <w:t>编号，且样本分散，不易组织调查。</w:t>
      </w:r>
    </w:p>
    <w:p w14:paraId="55B4855D">
      <w:pPr>
        <w:spacing w:before="7" w:line="299" w:lineRule="auto"/>
        <w:ind w:left="29" w:right="696" w:firstLine="400"/>
        <w:rPr>
          <w:rFonts w:ascii="宋体" w:hAnsi="宋体" w:eastAsia="宋体" w:cs="宋体"/>
          <w:sz w:val="22"/>
          <w:szCs w:val="22"/>
        </w:rPr>
      </w:pPr>
      <w:r>
        <w:rPr>
          <w:rFonts w:ascii="宋体" w:hAnsi="宋体" w:eastAsia="宋体" w:cs="宋体"/>
          <w:sz w:val="22"/>
          <w:szCs w:val="22"/>
        </w:rPr>
        <w:t>(2)系统抽样</w:t>
      </w:r>
      <w:r>
        <w:rPr>
          <w:rFonts w:ascii="Times New Roman" w:hAnsi="Times New Roman" w:eastAsia="Times New Roman" w:cs="Times New Roman"/>
          <w:sz w:val="22"/>
          <w:szCs w:val="22"/>
        </w:rPr>
        <w:t>(systematic    sampling):</w:t>
      </w:r>
      <w:r>
        <w:rPr>
          <w:rFonts w:ascii="宋体" w:hAnsi="宋体" w:eastAsia="宋体" w:cs="宋体"/>
          <w:sz w:val="22"/>
          <w:szCs w:val="22"/>
        </w:rPr>
        <w:t>又称机械抽样，是按照某种顺序给总体中的个体</w:t>
      </w:r>
      <w:r>
        <w:rPr>
          <w:rFonts w:ascii="宋体" w:hAnsi="宋体" w:eastAsia="宋体" w:cs="宋体"/>
          <w:spacing w:val="-1"/>
          <w:sz w:val="22"/>
          <w:szCs w:val="22"/>
        </w:rPr>
        <w:t>编号，然</w:t>
      </w:r>
      <w:r>
        <w:rPr>
          <w:rFonts w:ascii="宋体" w:hAnsi="宋体" w:eastAsia="宋体" w:cs="宋体"/>
          <w:sz w:val="22"/>
          <w:szCs w:val="22"/>
        </w:rPr>
        <w:t xml:space="preserve"> </w:t>
      </w:r>
      <w:r>
        <w:rPr>
          <w:rFonts w:ascii="宋体" w:hAnsi="宋体" w:eastAsia="宋体" w:cs="宋体"/>
          <w:spacing w:val="-1"/>
          <w:sz w:val="22"/>
          <w:szCs w:val="22"/>
        </w:rPr>
        <w:t>后机械地每隔若干单位抽取一个单位的抽样方法。</w:t>
      </w:r>
    </w:p>
    <w:p w14:paraId="65297F04">
      <w:pPr>
        <w:spacing w:before="9" w:line="305" w:lineRule="auto"/>
        <w:ind w:left="29" w:right="685" w:firstLine="410"/>
        <w:jc w:val="both"/>
        <w:rPr>
          <w:rFonts w:ascii="宋体" w:hAnsi="宋体" w:eastAsia="宋体" w:cs="宋体"/>
          <w:sz w:val="22"/>
          <w:szCs w:val="22"/>
        </w:rPr>
      </w:pPr>
      <w:r>
        <w:rPr>
          <w:rFonts w:ascii="宋体" w:hAnsi="宋体" w:eastAsia="宋体" w:cs="宋体"/>
          <w:spacing w:val="5"/>
          <w:sz w:val="22"/>
          <w:szCs w:val="22"/>
        </w:rPr>
        <w:t>具体抽样方法如下：设总体单位数为N,</w:t>
      </w:r>
      <w:r>
        <w:rPr>
          <w:rFonts w:ascii="宋体" w:hAnsi="宋体" w:eastAsia="宋体" w:cs="宋体"/>
          <w:spacing w:val="-18"/>
          <w:sz w:val="22"/>
          <w:szCs w:val="22"/>
        </w:rPr>
        <w:t xml:space="preserve"> </w:t>
      </w:r>
      <w:r>
        <w:rPr>
          <w:rFonts w:ascii="宋体" w:hAnsi="宋体" w:eastAsia="宋体" w:cs="宋体"/>
          <w:spacing w:val="5"/>
          <w:sz w:val="22"/>
          <w:szCs w:val="22"/>
        </w:rPr>
        <w:t>需要调查的样本数</w:t>
      </w:r>
      <w:r>
        <w:rPr>
          <w:rFonts w:ascii="宋体" w:hAnsi="宋体" w:eastAsia="宋体" w:cs="宋体"/>
          <w:spacing w:val="4"/>
          <w:sz w:val="22"/>
          <w:szCs w:val="22"/>
        </w:rPr>
        <w:t>为n,则抽样比为n/N,抽样间隔为</w:t>
      </w:r>
      <w:r>
        <w:rPr>
          <w:rFonts w:ascii="宋体" w:hAnsi="宋体" w:eastAsia="宋体" w:cs="宋体"/>
          <w:sz w:val="22"/>
          <w:szCs w:val="22"/>
        </w:rPr>
        <w:t xml:space="preserve"> </w:t>
      </w:r>
      <w:r>
        <w:rPr>
          <w:rFonts w:ascii="Times New Roman" w:hAnsi="Times New Roman" w:eastAsia="Times New Roman" w:cs="Times New Roman"/>
          <w:spacing w:val="-4"/>
          <w:sz w:val="22"/>
          <w:szCs w:val="22"/>
        </w:rPr>
        <w:t>K,K=N/n</w:t>
      </w:r>
      <w:r>
        <w:rPr>
          <w:rFonts w:ascii="Times New Roman" w:hAnsi="Times New Roman" w:eastAsia="Times New Roman" w:cs="Times New Roman"/>
          <w:spacing w:val="-17"/>
          <w:sz w:val="22"/>
          <w:szCs w:val="22"/>
        </w:rPr>
        <w:t xml:space="preserve"> </w:t>
      </w:r>
      <w:r>
        <w:rPr>
          <w:rFonts w:ascii="宋体" w:hAnsi="宋体" w:eastAsia="宋体" w:cs="宋体"/>
          <w:spacing w:val="-4"/>
          <w:sz w:val="22"/>
          <w:szCs w:val="22"/>
        </w:rPr>
        <w:t>。每</w:t>
      </w:r>
      <w:r>
        <w:rPr>
          <w:rFonts w:ascii="宋体" w:hAnsi="宋体" w:eastAsia="宋体" w:cs="宋体"/>
          <w:spacing w:val="-42"/>
          <w:sz w:val="22"/>
          <w:szCs w:val="22"/>
        </w:rPr>
        <w:t xml:space="preserve"> </w:t>
      </w:r>
      <w:r>
        <w:rPr>
          <w:rFonts w:ascii="Times New Roman" w:hAnsi="Times New Roman" w:eastAsia="Times New Roman" w:cs="Times New Roman"/>
          <w:spacing w:val="-4"/>
          <w:sz w:val="22"/>
          <w:szCs w:val="22"/>
        </w:rPr>
        <w:t>K</w:t>
      </w:r>
      <w:r>
        <w:rPr>
          <w:rFonts w:ascii="宋体" w:hAnsi="宋体" w:eastAsia="宋体" w:cs="宋体"/>
          <w:spacing w:val="-4"/>
          <w:sz w:val="22"/>
          <w:szCs w:val="22"/>
        </w:rPr>
        <w:t>个单位为一组，然后用单纯随机方法在第一组中抽取一个编号，作为第一个调查个</w:t>
      </w:r>
      <w:r>
        <w:rPr>
          <w:rFonts w:ascii="宋体" w:hAnsi="宋体" w:eastAsia="宋体" w:cs="宋体"/>
          <w:sz w:val="22"/>
          <w:szCs w:val="22"/>
        </w:rPr>
        <w:t xml:space="preserve"> </w:t>
      </w:r>
      <w:r>
        <w:rPr>
          <w:rFonts w:ascii="宋体" w:hAnsi="宋体" w:eastAsia="宋体" w:cs="宋体"/>
          <w:spacing w:val="-4"/>
          <w:sz w:val="22"/>
          <w:szCs w:val="22"/>
        </w:rPr>
        <w:t>体，然后每隔</w:t>
      </w:r>
      <w:r>
        <w:rPr>
          <w:rFonts w:ascii="Times New Roman" w:hAnsi="Times New Roman" w:eastAsia="Times New Roman" w:cs="Times New Roman"/>
          <w:spacing w:val="-4"/>
          <w:sz w:val="22"/>
          <w:szCs w:val="22"/>
        </w:rPr>
        <w:t xml:space="preserve">K </w:t>
      </w:r>
      <w:r>
        <w:rPr>
          <w:rFonts w:ascii="宋体" w:hAnsi="宋体" w:eastAsia="宋体" w:cs="宋体"/>
          <w:spacing w:val="-4"/>
          <w:sz w:val="22"/>
          <w:szCs w:val="22"/>
        </w:rPr>
        <w:t>个单位抽取一个个体组成样本。</w:t>
      </w:r>
    </w:p>
    <w:p w14:paraId="7FF2F3A3">
      <w:pPr>
        <w:spacing w:before="1" w:line="184" w:lineRule="auto"/>
        <w:ind w:left="450"/>
        <w:rPr>
          <w:rFonts w:ascii="宋体" w:hAnsi="宋体" w:eastAsia="宋体" w:cs="宋体"/>
          <w:sz w:val="22"/>
          <w:szCs w:val="22"/>
        </w:rPr>
      </w:pPr>
      <w:r>
        <w:rPr>
          <w:rFonts w:ascii="宋体" w:hAnsi="宋体" w:eastAsia="宋体" w:cs="宋体"/>
          <w:spacing w:val="-4"/>
          <w:sz w:val="22"/>
          <w:szCs w:val="22"/>
        </w:rPr>
        <w:t>系统抽样的优点有：①可以在不知道总体单位数的情况下进行抽样。例如，想抽取一年</w:t>
      </w:r>
      <w:r>
        <w:rPr>
          <w:rFonts w:ascii="宋体" w:hAnsi="宋体" w:eastAsia="宋体" w:cs="宋体"/>
          <w:spacing w:val="-5"/>
          <w:sz w:val="22"/>
          <w:szCs w:val="22"/>
        </w:rPr>
        <w:t>中所有</w:t>
      </w:r>
    </w:p>
    <w:p w14:paraId="5976EBCE">
      <w:pPr>
        <w:spacing w:line="184" w:lineRule="auto"/>
        <w:rPr>
          <w:rFonts w:ascii="宋体" w:hAnsi="宋体" w:eastAsia="宋体" w:cs="宋体"/>
          <w:sz w:val="22"/>
          <w:szCs w:val="22"/>
        </w:rPr>
        <w:sectPr>
          <w:type w:val="continuous"/>
          <w:pgSz w:w="11900" w:h="16820"/>
          <w:pgMar w:top="400" w:right="623" w:bottom="938" w:left="1279" w:header="0" w:footer="653" w:gutter="0"/>
          <w:cols w:equalWidth="0" w:num="1">
            <w:col w:w="9998"/>
          </w:cols>
        </w:sectPr>
      </w:pPr>
    </w:p>
    <w:p w14:paraId="34B00934">
      <w:pPr>
        <w:pStyle w:val="2"/>
        <w:spacing w:before="107" w:line="222" w:lineRule="auto"/>
        <w:ind w:left="739"/>
        <w:rPr>
          <w:sz w:val="21"/>
          <w:szCs w:val="21"/>
        </w:rPr>
      </w:pPr>
      <w:bookmarkStart w:id="74" w:name="bookmark429"/>
      <w:bookmarkEnd w:id="74"/>
      <w:r>
        <w:rPr>
          <w:spacing w:val="-21"/>
          <w:w w:val="97"/>
          <w:sz w:val="21"/>
          <w:szCs w:val="21"/>
        </w:rPr>
        <w:t>第三章 描述性研究</w:t>
      </w:r>
    </w:p>
    <w:p w14:paraId="0B6359B9">
      <w:pPr>
        <w:spacing w:line="278" w:lineRule="auto"/>
        <w:rPr>
          <w:rFonts w:ascii="Arial"/>
          <w:sz w:val="21"/>
        </w:rPr>
      </w:pPr>
    </w:p>
    <w:p w14:paraId="706A0199">
      <w:pPr>
        <w:spacing w:line="278" w:lineRule="auto"/>
        <w:rPr>
          <w:rFonts w:ascii="Arial"/>
          <w:sz w:val="21"/>
        </w:rPr>
      </w:pPr>
    </w:p>
    <w:p w14:paraId="79B88A35">
      <w:pPr>
        <w:spacing w:before="68" w:line="337" w:lineRule="auto"/>
        <w:ind w:left="739" w:right="96"/>
        <w:jc w:val="both"/>
        <w:rPr>
          <w:rFonts w:ascii="宋体" w:hAnsi="宋体" w:eastAsia="宋体" w:cs="宋体"/>
          <w:sz w:val="21"/>
          <w:szCs w:val="21"/>
        </w:rPr>
      </w:pPr>
      <w:r>
        <w:rPr>
          <w:rFonts w:ascii="宋体" w:hAnsi="宋体" w:eastAsia="宋体" w:cs="宋体"/>
          <w:spacing w:val="-5"/>
          <w:sz w:val="21"/>
          <w:szCs w:val="21"/>
        </w:rPr>
        <w:t>新生儿的一个样本，不必准确了解一年中新生儿数量，可以根</w:t>
      </w:r>
      <w:r>
        <w:rPr>
          <w:rFonts w:ascii="宋体" w:hAnsi="宋体" w:eastAsia="宋体" w:cs="宋体"/>
          <w:spacing w:val="-6"/>
          <w:sz w:val="21"/>
          <w:szCs w:val="21"/>
        </w:rPr>
        <w:t>据估计来确定抽样间隔(K)。②在 现</w:t>
      </w:r>
      <w:r>
        <w:rPr>
          <w:rFonts w:ascii="宋体" w:hAnsi="宋体" w:eastAsia="宋体" w:cs="宋体"/>
          <w:sz w:val="21"/>
          <w:szCs w:val="21"/>
        </w:rPr>
        <w:t xml:space="preserve"> </w:t>
      </w:r>
      <w:r>
        <w:rPr>
          <w:rFonts w:ascii="宋体" w:hAnsi="宋体" w:eastAsia="宋体" w:cs="宋体"/>
          <w:spacing w:val="-5"/>
          <w:sz w:val="21"/>
          <w:szCs w:val="21"/>
        </w:rPr>
        <w:t>场调查中较易进行。例如，调查员可按户或按门牌号，每</w:t>
      </w:r>
      <w:r>
        <w:rPr>
          <w:rFonts w:ascii="宋体" w:hAnsi="宋体" w:eastAsia="宋体" w:cs="宋体"/>
          <w:spacing w:val="-6"/>
          <w:sz w:val="21"/>
          <w:szCs w:val="21"/>
        </w:rPr>
        <w:t>间隔</w:t>
      </w:r>
      <w:r>
        <w:rPr>
          <w:rFonts w:ascii="Times New Roman" w:hAnsi="Times New Roman" w:eastAsia="Times New Roman" w:cs="Times New Roman"/>
          <w:spacing w:val="-6"/>
          <w:sz w:val="21"/>
          <w:szCs w:val="21"/>
        </w:rPr>
        <w:t>K</w:t>
      </w:r>
      <w:r>
        <w:rPr>
          <w:rFonts w:ascii="Times New Roman" w:hAnsi="Times New Roman" w:eastAsia="Times New Roman" w:cs="Times New Roman"/>
          <w:spacing w:val="-12"/>
          <w:sz w:val="21"/>
          <w:szCs w:val="21"/>
        </w:rPr>
        <w:t xml:space="preserve"> </w:t>
      </w:r>
      <w:r>
        <w:rPr>
          <w:rFonts w:ascii="宋体" w:hAnsi="宋体" w:eastAsia="宋体" w:cs="宋体"/>
          <w:spacing w:val="-6"/>
          <w:sz w:val="21"/>
          <w:szCs w:val="21"/>
        </w:rPr>
        <w:t>户调查一户，这比单纯随机抽样要</w:t>
      </w:r>
      <w:r>
        <w:rPr>
          <w:rFonts w:ascii="宋体" w:hAnsi="宋体" w:eastAsia="宋体" w:cs="宋体"/>
          <w:sz w:val="21"/>
          <w:szCs w:val="21"/>
        </w:rPr>
        <w:t xml:space="preserve"> </w:t>
      </w:r>
      <w:r>
        <w:rPr>
          <w:rFonts w:ascii="宋体" w:hAnsi="宋体" w:eastAsia="宋体" w:cs="宋体"/>
          <w:spacing w:val="-8"/>
          <w:sz w:val="21"/>
          <w:szCs w:val="21"/>
        </w:rPr>
        <w:t>容易操作。③样本是从总体内各部分的单元中抽取的，分</w:t>
      </w:r>
      <w:r>
        <w:rPr>
          <w:rFonts w:ascii="宋体" w:hAnsi="宋体" w:eastAsia="宋体" w:cs="宋体"/>
          <w:spacing w:val="-9"/>
          <w:sz w:val="21"/>
          <w:szCs w:val="21"/>
        </w:rPr>
        <w:t>布比较均匀，代表性较好。</w:t>
      </w:r>
    </w:p>
    <w:p w14:paraId="432BB57E">
      <w:pPr>
        <w:spacing w:before="2" w:line="330" w:lineRule="auto"/>
        <w:ind w:left="739" w:right="76" w:firstLine="420"/>
        <w:jc w:val="both"/>
        <w:rPr>
          <w:rFonts w:ascii="宋体" w:hAnsi="宋体" w:eastAsia="宋体" w:cs="宋体"/>
          <w:sz w:val="21"/>
          <w:szCs w:val="21"/>
        </w:rPr>
      </w:pPr>
      <w:r>
        <w:rPr>
          <w:rFonts w:ascii="宋体" w:hAnsi="宋体" w:eastAsia="宋体" w:cs="宋体"/>
          <w:spacing w:val="-5"/>
          <w:sz w:val="21"/>
          <w:szCs w:val="21"/>
        </w:rPr>
        <w:t>系统抽样的缺点主要是：如果总体各单位的分布有周</w:t>
      </w:r>
      <w:r>
        <w:rPr>
          <w:rFonts w:ascii="宋体" w:hAnsi="宋体" w:eastAsia="宋体" w:cs="宋体"/>
          <w:spacing w:val="-6"/>
          <w:sz w:val="21"/>
          <w:szCs w:val="21"/>
        </w:rPr>
        <w:t>期性趋势，而抽取的间隔恰好与此周期性</w:t>
      </w:r>
      <w:r>
        <w:rPr>
          <w:rFonts w:ascii="宋体" w:hAnsi="宋体" w:eastAsia="宋体" w:cs="宋体"/>
          <w:sz w:val="21"/>
          <w:szCs w:val="21"/>
        </w:rPr>
        <w:t xml:space="preserve"> </w:t>
      </w:r>
      <w:r>
        <w:rPr>
          <w:rFonts w:ascii="宋体" w:hAnsi="宋体" w:eastAsia="宋体" w:cs="宋体"/>
          <w:spacing w:val="-6"/>
          <w:sz w:val="21"/>
          <w:szCs w:val="21"/>
        </w:rPr>
        <w:t>分布一致，则可能使样本产生偏性。例如疾病的时间分布有季节性，调查因素的周期性变化等，如</w:t>
      </w:r>
      <w:r>
        <w:rPr>
          <w:rFonts w:ascii="宋体" w:hAnsi="宋体" w:eastAsia="宋体" w:cs="宋体"/>
          <w:spacing w:val="12"/>
          <w:sz w:val="21"/>
          <w:szCs w:val="21"/>
        </w:rPr>
        <w:t xml:space="preserve"> </w:t>
      </w:r>
      <w:r>
        <w:rPr>
          <w:rFonts w:ascii="宋体" w:hAnsi="宋体" w:eastAsia="宋体" w:cs="宋体"/>
          <w:spacing w:val="-7"/>
          <w:sz w:val="21"/>
          <w:szCs w:val="21"/>
        </w:rPr>
        <w:t>果不能注意到这种规律，就会使结果产生偏</w:t>
      </w:r>
      <w:r>
        <w:rPr>
          <w:rFonts w:ascii="宋体" w:hAnsi="宋体" w:eastAsia="宋体" w:cs="宋体"/>
          <w:spacing w:val="-8"/>
          <w:sz w:val="21"/>
          <w:szCs w:val="21"/>
        </w:rPr>
        <w:t>倚。</w:t>
      </w:r>
    </w:p>
    <w:p w14:paraId="46F3FC10">
      <w:pPr>
        <w:spacing w:line="219" w:lineRule="auto"/>
        <w:ind w:left="1160"/>
        <w:rPr>
          <w:rFonts w:ascii="宋体" w:hAnsi="宋体" w:eastAsia="宋体" w:cs="宋体"/>
          <w:sz w:val="21"/>
          <w:szCs w:val="21"/>
        </w:rPr>
      </w:pPr>
      <w:r>
        <w:rPr>
          <w:rFonts w:ascii="宋体" w:hAnsi="宋体" w:eastAsia="宋体" w:cs="宋体"/>
          <w:spacing w:val="-5"/>
          <w:sz w:val="21"/>
          <w:szCs w:val="21"/>
        </w:rPr>
        <w:t>系统抽样标准误的计算可用单纯随机抽样的公式代替。</w:t>
      </w:r>
    </w:p>
    <w:p w14:paraId="68F3DC89">
      <w:pPr>
        <w:spacing w:before="128" w:line="333" w:lineRule="auto"/>
        <w:ind w:left="729" w:firstLine="389"/>
        <w:jc w:val="both"/>
        <w:rPr>
          <w:rFonts w:ascii="宋体" w:hAnsi="宋体" w:eastAsia="宋体" w:cs="宋体"/>
          <w:sz w:val="21"/>
          <w:szCs w:val="21"/>
        </w:rPr>
      </w:pPr>
      <w:r>
        <w:rPr>
          <w:rFonts w:ascii="宋体" w:hAnsi="宋体" w:eastAsia="宋体" w:cs="宋体"/>
          <w:spacing w:val="3"/>
          <w:sz w:val="21"/>
          <w:szCs w:val="21"/>
        </w:rPr>
        <w:t>(3)分层抽样</w:t>
      </w:r>
      <w:r>
        <w:rPr>
          <w:rFonts w:ascii="Times New Roman" w:hAnsi="Times New Roman" w:eastAsia="Times New Roman" w:cs="Times New Roman"/>
          <w:spacing w:val="3"/>
          <w:sz w:val="21"/>
          <w:szCs w:val="21"/>
        </w:rPr>
        <w:t>(</w:t>
      </w:r>
      <w:r>
        <w:rPr>
          <w:rFonts w:ascii="Times New Roman" w:hAnsi="Times New Roman" w:eastAsia="Times New Roman" w:cs="Times New Roman"/>
          <w:sz w:val="21"/>
          <w:szCs w:val="21"/>
        </w:rPr>
        <w:t>stratified</w:t>
      </w:r>
      <w:r>
        <w:rPr>
          <w:rFonts w:ascii="Times New Roman" w:hAnsi="Times New Roman" w:eastAsia="Times New Roman" w:cs="Times New Roman"/>
          <w:spacing w:val="3"/>
          <w:sz w:val="21"/>
          <w:szCs w:val="21"/>
        </w:rPr>
        <w:t xml:space="preserve">  </w:t>
      </w:r>
      <w:r>
        <w:rPr>
          <w:rFonts w:ascii="Times New Roman" w:hAnsi="Times New Roman" w:eastAsia="Times New Roman" w:cs="Times New Roman"/>
          <w:sz w:val="21"/>
          <w:szCs w:val="21"/>
        </w:rPr>
        <w:t>sampling</w:t>
      </w:r>
      <w:r>
        <w:rPr>
          <w:rFonts w:ascii="Times New Roman" w:hAnsi="Times New Roman" w:eastAsia="Times New Roman" w:cs="Times New Roman"/>
          <w:spacing w:val="3"/>
          <w:sz w:val="21"/>
          <w:szCs w:val="21"/>
        </w:rPr>
        <w:t>):</w:t>
      </w:r>
      <w:r>
        <w:rPr>
          <w:rFonts w:ascii="宋体" w:hAnsi="宋体" w:eastAsia="宋体" w:cs="宋体"/>
          <w:spacing w:val="3"/>
          <w:sz w:val="21"/>
          <w:szCs w:val="21"/>
        </w:rPr>
        <w:t>是指先将总体按某种特征分</w:t>
      </w:r>
      <w:r>
        <w:rPr>
          <w:rFonts w:ascii="宋体" w:hAnsi="宋体" w:eastAsia="宋体" w:cs="宋体"/>
          <w:spacing w:val="2"/>
          <w:sz w:val="21"/>
          <w:szCs w:val="21"/>
        </w:rPr>
        <w:t>为若干次级总体(层),然后再从</w:t>
      </w:r>
      <w:r>
        <w:rPr>
          <w:rFonts w:ascii="宋体" w:hAnsi="宋体" w:eastAsia="宋体" w:cs="宋体"/>
          <w:sz w:val="21"/>
          <w:szCs w:val="21"/>
        </w:rPr>
        <w:t xml:space="preserve"> </w:t>
      </w:r>
      <w:r>
        <w:rPr>
          <w:rFonts w:ascii="宋体" w:hAnsi="宋体" w:eastAsia="宋体" w:cs="宋体"/>
          <w:spacing w:val="-5"/>
          <w:sz w:val="21"/>
          <w:szCs w:val="21"/>
        </w:rPr>
        <w:t>每一层内进行单纯随机抽样，组成一个样本。分层的</w:t>
      </w:r>
      <w:r>
        <w:rPr>
          <w:rFonts w:ascii="宋体" w:hAnsi="宋体" w:eastAsia="宋体" w:cs="宋体"/>
          <w:spacing w:val="-6"/>
          <w:sz w:val="21"/>
          <w:szCs w:val="21"/>
        </w:rPr>
        <w:t>因素一般采取地理分区(如华东、华南、华北、</w:t>
      </w:r>
      <w:r>
        <w:rPr>
          <w:rFonts w:ascii="宋体" w:hAnsi="宋体" w:eastAsia="宋体" w:cs="宋体"/>
          <w:sz w:val="21"/>
          <w:szCs w:val="21"/>
        </w:rPr>
        <w:t xml:space="preserve"> </w:t>
      </w:r>
      <w:r>
        <w:rPr>
          <w:rFonts w:ascii="宋体" w:hAnsi="宋体" w:eastAsia="宋体" w:cs="宋体"/>
          <w:spacing w:val="-19"/>
          <w:sz w:val="21"/>
          <w:szCs w:val="21"/>
        </w:rPr>
        <w:t>华中、西南、西北、东北)、行政区划(如省、地、县、乡各级)、城</w:t>
      </w:r>
      <w:r>
        <w:rPr>
          <w:rFonts w:ascii="宋体" w:hAnsi="宋体" w:eastAsia="宋体" w:cs="宋体"/>
          <w:spacing w:val="-20"/>
          <w:sz w:val="21"/>
          <w:szCs w:val="21"/>
        </w:rPr>
        <w:t>市和农村、经济状况(好、中、差)、性</w:t>
      </w:r>
      <w:r>
        <w:rPr>
          <w:rFonts w:ascii="宋体" w:hAnsi="宋体" w:eastAsia="宋体" w:cs="宋体"/>
          <w:sz w:val="21"/>
          <w:szCs w:val="21"/>
        </w:rPr>
        <w:t xml:space="preserve"> </w:t>
      </w:r>
      <w:r>
        <w:rPr>
          <w:rFonts w:ascii="宋体" w:hAnsi="宋体" w:eastAsia="宋体" w:cs="宋体"/>
          <w:spacing w:val="-5"/>
          <w:sz w:val="21"/>
          <w:szCs w:val="21"/>
        </w:rPr>
        <w:t>别(男、女)等。分层可以提高总体指标估计值的精确度，它可以将一个内部</w:t>
      </w:r>
      <w:r>
        <w:rPr>
          <w:rFonts w:ascii="宋体" w:hAnsi="宋体" w:eastAsia="宋体" w:cs="宋体"/>
          <w:spacing w:val="-6"/>
          <w:sz w:val="21"/>
          <w:szCs w:val="21"/>
        </w:rPr>
        <w:t>变异很大的总体分成一</w:t>
      </w:r>
      <w:r>
        <w:rPr>
          <w:rFonts w:ascii="宋体" w:hAnsi="宋体" w:eastAsia="宋体" w:cs="宋体"/>
          <w:sz w:val="21"/>
          <w:szCs w:val="21"/>
        </w:rPr>
        <w:t xml:space="preserve">  些内部变异较小的层(次级总体)。每一层内个体变异越小越好，层</w:t>
      </w:r>
      <w:r>
        <w:rPr>
          <w:rFonts w:ascii="宋体" w:hAnsi="宋体" w:eastAsia="宋体" w:cs="宋体"/>
          <w:spacing w:val="-1"/>
          <w:sz w:val="21"/>
          <w:szCs w:val="21"/>
        </w:rPr>
        <w:t>间变异则越大越好。分层抽样</w:t>
      </w:r>
      <w:r>
        <w:rPr>
          <w:rFonts w:ascii="宋体" w:hAnsi="宋体" w:eastAsia="宋体" w:cs="宋体"/>
          <w:sz w:val="21"/>
          <w:szCs w:val="21"/>
        </w:rPr>
        <w:t xml:space="preserve">  </w:t>
      </w:r>
      <w:r>
        <w:rPr>
          <w:rFonts w:ascii="宋体" w:hAnsi="宋体" w:eastAsia="宋体" w:cs="宋体"/>
          <w:spacing w:val="-5"/>
          <w:sz w:val="21"/>
          <w:szCs w:val="21"/>
        </w:rPr>
        <w:t>比单纯随机抽样所得到的结果精确度更高，组织管理更方</w:t>
      </w:r>
      <w:r>
        <w:rPr>
          <w:rFonts w:ascii="宋体" w:hAnsi="宋体" w:eastAsia="宋体" w:cs="宋体"/>
          <w:spacing w:val="-6"/>
          <w:sz w:val="21"/>
          <w:szCs w:val="21"/>
        </w:rPr>
        <w:t>便，而且它能保证总体中每一层都有个体</w:t>
      </w:r>
      <w:r>
        <w:rPr>
          <w:rFonts w:ascii="宋体" w:hAnsi="宋体" w:eastAsia="宋体" w:cs="宋体"/>
          <w:sz w:val="21"/>
          <w:szCs w:val="21"/>
        </w:rPr>
        <w:t xml:space="preserve">  </w:t>
      </w:r>
      <w:r>
        <w:rPr>
          <w:rFonts w:ascii="宋体" w:hAnsi="宋体" w:eastAsia="宋体" w:cs="宋体"/>
          <w:spacing w:val="-5"/>
          <w:sz w:val="21"/>
          <w:szCs w:val="21"/>
        </w:rPr>
        <w:t>被抽到。这样除了能估计总体的参数值，还可以分别估计</w:t>
      </w:r>
      <w:r>
        <w:rPr>
          <w:rFonts w:ascii="宋体" w:hAnsi="宋体" w:eastAsia="宋体" w:cs="宋体"/>
          <w:spacing w:val="-6"/>
          <w:sz w:val="21"/>
          <w:szCs w:val="21"/>
        </w:rPr>
        <w:t>各个层内的情况，因此分层抽样技术常被</w:t>
      </w:r>
      <w:r>
        <w:rPr>
          <w:rFonts w:ascii="宋体" w:hAnsi="宋体" w:eastAsia="宋体" w:cs="宋体"/>
          <w:sz w:val="21"/>
          <w:szCs w:val="21"/>
        </w:rPr>
        <w:t xml:space="preserve">  </w:t>
      </w:r>
      <w:r>
        <w:rPr>
          <w:rFonts w:ascii="宋体" w:hAnsi="宋体" w:eastAsia="宋体" w:cs="宋体"/>
          <w:spacing w:val="1"/>
          <w:sz w:val="21"/>
          <w:szCs w:val="21"/>
        </w:rPr>
        <w:t>采用。</w:t>
      </w:r>
    </w:p>
    <w:p w14:paraId="45C06AC9">
      <w:pPr>
        <w:spacing w:before="2" w:line="333" w:lineRule="auto"/>
        <w:ind w:left="749" w:right="78" w:firstLine="410"/>
        <w:jc w:val="both"/>
        <w:rPr>
          <w:rFonts w:ascii="宋体" w:hAnsi="宋体" w:eastAsia="宋体" w:cs="宋体"/>
          <w:sz w:val="21"/>
          <w:szCs w:val="21"/>
        </w:rPr>
      </w:pPr>
      <w:r>
        <w:rPr>
          <w:rFonts w:ascii="宋体" w:hAnsi="宋体" w:eastAsia="宋体" w:cs="宋体"/>
          <w:spacing w:val="-4"/>
          <w:sz w:val="21"/>
          <w:szCs w:val="21"/>
        </w:rPr>
        <w:t>分层抽样又分为两类：一类是按比例分配</w:t>
      </w:r>
      <w:r>
        <w:rPr>
          <w:rFonts w:ascii="Times New Roman" w:hAnsi="Times New Roman" w:eastAsia="Times New Roman" w:cs="Times New Roman"/>
          <w:spacing w:val="-4"/>
          <w:sz w:val="21"/>
          <w:szCs w:val="21"/>
        </w:rPr>
        <w:t>(proportional allocation)</w:t>
      </w:r>
      <w:r>
        <w:rPr>
          <w:rFonts w:ascii="宋体" w:hAnsi="宋体" w:eastAsia="宋体" w:cs="宋体"/>
          <w:spacing w:val="-4"/>
          <w:sz w:val="21"/>
          <w:szCs w:val="21"/>
        </w:rPr>
        <w:t>分层随机抽样，即各层内抽样</w:t>
      </w:r>
      <w:r>
        <w:rPr>
          <w:rFonts w:ascii="宋体" w:hAnsi="宋体" w:eastAsia="宋体" w:cs="宋体"/>
          <w:spacing w:val="15"/>
          <w:sz w:val="21"/>
          <w:szCs w:val="21"/>
        </w:rPr>
        <w:t xml:space="preserve"> </w:t>
      </w:r>
      <w:r>
        <w:rPr>
          <w:rFonts w:ascii="宋体" w:hAnsi="宋体" w:eastAsia="宋体" w:cs="宋体"/>
          <w:spacing w:val="-12"/>
          <w:sz w:val="21"/>
          <w:szCs w:val="21"/>
        </w:rPr>
        <w:t>比例相同；另一类是最优分配(optimum allocation)分层随机抽样，即各层抽样比例不同，内部变异小</w:t>
      </w:r>
      <w:r>
        <w:rPr>
          <w:rFonts w:ascii="宋体" w:hAnsi="宋体" w:eastAsia="宋体" w:cs="宋体"/>
          <w:spacing w:val="5"/>
          <w:sz w:val="21"/>
          <w:szCs w:val="21"/>
        </w:rPr>
        <w:t xml:space="preserve"> </w:t>
      </w:r>
      <w:r>
        <w:rPr>
          <w:rFonts w:ascii="宋体" w:hAnsi="宋体" w:eastAsia="宋体" w:cs="宋体"/>
          <w:spacing w:val="-8"/>
          <w:sz w:val="21"/>
          <w:szCs w:val="21"/>
        </w:rPr>
        <w:t>的层抽样比例小，内部变异大的层抽样比例大，此时获得的样本均数或样本率的方差最小。</w:t>
      </w:r>
    </w:p>
    <w:p w14:paraId="76F06103">
      <w:pPr>
        <w:spacing w:before="3" w:line="218" w:lineRule="auto"/>
        <w:ind w:left="1160"/>
        <w:rPr>
          <w:rFonts w:ascii="宋体" w:hAnsi="宋体" w:eastAsia="宋体" w:cs="宋体"/>
          <w:sz w:val="21"/>
          <w:szCs w:val="21"/>
        </w:rPr>
      </w:pPr>
      <w:r>
        <w:rPr>
          <w:rFonts w:ascii="宋体" w:hAnsi="宋体" w:eastAsia="宋体" w:cs="宋体"/>
          <w:spacing w:val="-10"/>
          <w:sz w:val="21"/>
          <w:szCs w:val="21"/>
        </w:rPr>
        <w:t>若要估算总体率所需样本量，则计算公式如下：</w:t>
      </w:r>
    </w:p>
    <w:p w14:paraId="6BA5BF25">
      <w:pPr>
        <w:spacing w:line="424" w:lineRule="auto"/>
        <w:rPr>
          <w:rFonts w:ascii="Arial"/>
          <w:sz w:val="21"/>
        </w:rPr>
      </w:pPr>
      <w:r>
        <w:drawing>
          <wp:anchor distT="0" distB="0" distL="0" distR="0" simplePos="0" relativeHeight="251715584" behindDoc="0" locked="0" layoutInCell="1" allowOverlap="1">
            <wp:simplePos x="0" y="0"/>
            <wp:positionH relativeFrom="column">
              <wp:posOffset>2755265</wp:posOffset>
            </wp:positionH>
            <wp:positionV relativeFrom="paragraph">
              <wp:posOffset>161925</wp:posOffset>
            </wp:positionV>
            <wp:extent cx="1009650" cy="444500"/>
            <wp:effectExtent l="0" t="0" r="0" b="0"/>
            <wp:wrapNone/>
            <wp:docPr id="178" name="IM 178"/>
            <wp:cNvGraphicFramePr/>
            <a:graphic xmlns:a="http://schemas.openxmlformats.org/drawingml/2006/main">
              <a:graphicData uri="http://schemas.openxmlformats.org/drawingml/2006/picture">
                <pic:pic xmlns:pic="http://schemas.openxmlformats.org/drawingml/2006/picture">
                  <pic:nvPicPr>
                    <pic:cNvPr id="178" name="IM 178"/>
                    <pic:cNvPicPr/>
                  </pic:nvPicPr>
                  <pic:blipFill>
                    <a:blip r:embed="rId465"/>
                    <a:stretch>
                      <a:fillRect/>
                    </a:stretch>
                  </pic:blipFill>
                  <pic:spPr>
                    <a:xfrm>
                      <a:off x="0" y="0"/>
                      <a:ext cx="1009699" cy="444530"/>
                    </a:xfrm>
                    <a:prstGeom prst="rect">
                      <a:avLst/>
                    </a:prstGeom>
                  </pic:spPr>
                </pic:pic>
              </a:graphicData>
            </a:graphic>
          </wp:anchor>
        </w:drawing>
      </w:r>
    </w:p>
    <w:p w14:paraId="4A2F4CC3">
      <w:pPr>
        <w:spacing w:before="69" w:line="221" w:lineRule="auto"/>
        <w:ind w:right="28"/>
        <w:jc w:val="right"/>
        <w:rPr>
          <w:rFonts w:ascii="宋体" w:hAnsi="宋体" w:eastAsia="宋体" w:cs="宋体"/>
          <w:sz w:val="21"/>
          <w:szCs w:val="21"/>
        </w:rPr>
      </w:pPr>
      <w:r>
        <w:rPr>
          <w:rFonts w:ascii="宋体" w:hAnsi="宋体" w:eastAsia="宋体" w:cs="宋体"/>
          <w:spacing w:val="6"/>
          <w:sz w:val="21"/>
          <w:szCs w:val="21"/>
        </w:rPr>
        <w:t>式(3-10)</w:t>
      </w:r>
    </w:p>
    <w:p w14:paraId="3A3A3045">
      <w:pPr>
        <w:spacing w:line="393" w:lineRule="auto"/>
        <w:rPr>
          <w:rFonts w:ascii="Arial"/>
          <w:sz w:val="21"/>
        </w:rPr>
      </w:pPr>
    </w:p>
    <w:p w14:paraId="55181B2F">
      <w:pPr>
        <w:spacing w:before="68" w:line="212" w:lineRule="auto"/>
        <w:ind w:left="739"/>
        <w:rPr>
          <w:rFonts w:ascii="宋体" w:hAnsi="宋体" w:eastAsia="宋体" w:cs="宋体"/>
          <w:sz w:val="21"/>
          <w:szCs w:val="21"/>
        </w:rPr>
      </w:pPr>
      <w:r>
        <w:rPr>
          <w:rFonts w:ascii="宋体" w:hAnsi="宋体" w:eastAsia="宋体" w:cs="宋体"/>
          <w:spacing w:val="-8"/>
          <w:sz w:val="21"/>
          <w:szCs w:val="21"/>
        </w:rPr>
        <w:t>式中，</w:t>
      </w:r>
      <w:r>
        <w:rPr>
          <w:rFonts w:ascii="Times New Roman" w:hAnsi="Times New Roman" w:eastAsia="Times New Roman" w:cs="Times New Roman"/>
          <w:spacing w:val="-8"/>
          <w:sz w:val="21"/>
          <w:szCs w:val="21"/>
        </w:rPr>
        <w:t>W=N/IN;N</w:t>
      </w:r>
      <w:r>
        <w:rPr>
          <w:rFonts w:ascii="Times New Roman" w:hAnsi="Times New Roman" w:eastAsia="Times New Roman" w:cs="Times New Roman"/>
          <w:spacing w:val="-30"/>
          <w:sz w:val="21"/>
          <w:szCs w:val="21"/>
        </w:rPr>
        <w:t xml:space="preserve"> </w:t>
      </w:r>
      <w:r>
        <w:rPr>
          <w:rFonts w:ascii="宋体" w:hAnsi="宋体" w:eastAsia="宋体" w:cs="宋体"/>
          <w:spacing w:val="-8"/>
          <w:sz w:val="21"/>
          <w:szCs w:val="21"/>
        </w:rPr>
        <w:t>、</w:t>
      </w:r>
      <w:r>
        <w:rPr>
          <w:rFonts w:ascii="Times New Roman" w:hAnsi="Times New Roman" w:eastAsia="Times New Roman" w:cs="Times New Roman"/>
          <w:spacing w:val="-8"/>
          <w:sz w:val="21"/>
          <w:szCs w:val="21"/>
        </w:rPr>
        <w:t>p;</w:t>
      </w:r>
      <w:r>
        <w:rPr>
          <w:rFonts w:ascii="宋体" w:hAnsi="宋体" w:eastAsia="宋体" w:cs="宋体"/>
          <w:spacing w:val="-8"/>
          <w:sz w:val="21"/>
          <w:szCs w:val="21"/>
        </w:rPr>
        <w:t>及</w:t>
      </w:r>
      <w:r>
        <w:rPr>
          <w:rFonts w:ascii="宋体" w:hAnsi="宋体" w:eastAsia="宋体" w:cs="宋体"/>
          <w:spacing w:val="-48"/>
          <w:sz w:val="21"/>
          <w:szCs w:val="21"/>
        </w:rPr>
        <w:t xml:space="preserve"> </w:t>
      </w:r>
      <w:r>
        <w:rPr>
          <w:rFonts w:ascii="Times New Roman" w:hAnsi="Times New Roman" w:eastAsia="Times New Roman" w:cs="Times New Roman"/>
          <w:spacing w:val="-8"/>
          <w:sz w:val="21"/>
          <w:szCs w:val="21"/>
        </w:rPr>
        <w:t>q.</w:t>
      </w:r>
      <w:r>
        <w:rPr>
          <w:rFonts w:ascii="宋体" w:hAnsi="宋体" w:eastAsia="宋体" w:cs="宋体"/>
          <w:spacing w:val="-8"/>
          <w:sz w:val="21"/>
          <w:szCs w:val="21"/>
        </w:rPr>
        <w:t>分别为第</w:t>
      </w:r>
      <w:r>
        <w:rPr>
          <w:rFonts w:ascii="Times New Roman" w:hAnsi="Times New Roman" w:eastAsia="Times New Roman" w:cs="Times New Roman"/>
          <w:spacing w:val="-8"/>
          <w:sz w:val="21"/>
          <w:szCs w:val="21"/>
        </w:rPr>
        <w:t>i</w:t>
      </w:r>
      <w:r>
        <w:rPr>
          <w:rFonts w:ascii="Times New Roman" w:hAnsi="Times New Roman" w:eastAsia="Times New Roman" w:cs="Times New Roman"/>
          <w:spacing w:val="26"/>
          <w:sz w:val="21"/>
          <w:szCs w:val="21"/>
        </w:rPr>
        <w:t xml:space="preserve"> </w:t>
      </w:r>
      <w:r>
        <w:rPr>
          <w:rFonts w:ascii="宋体" w:hAnsi="宋体" w:eastAsia="宋体" w:cs="宋体"/>
          <w:spacing w:val="-8"/>
          <w:sz w:val="21"/>
          <w:szCs w:val="21"/>
        </w:rPr>
        <w:t>层的例数、阳性率及阴性率；</w:t>
      </w:r>
      <w:r>
        <w:rPr>
          <w:rFonts w:ascii="Times New Roman" w:hAnsi="Times New Roman" w:eastAsia="Times New Roman" w:cs="Times New Roman"/>
          <w:spacing w:val="-8"/>
          <w:sz w:val="21"/>
          <w:szCs w:val="21"/>
        </w:rPr>
        <w:t xml:space="preserve">N </w:t>
      </w:r>
      <w:r>
        <w:rPr>
          <w:rFonts w:ascii="宋体" w:hAnsi="宋体" w:eastAsia="宋体" w:cs="宋体"/>
          <w:spacing w:val="-8"/>
          <w:sz w:val="21"/>
          <w:szCs w:val="21"/>
        </w:rPr>
        <w:t>为总例数；</w:t>
      </w:r>
      <w:r>
        <w:rPr>
          <w:rFonts w:ascii="Times New Roman" w:hAnsi="Times New Roman" w:eastAsia="Times New Roman" w:cs="Times New Roman"/>
          <w:spacing w:val="-8"/>
          <w:sz w:val="21"/>
          <w:szCs w:val="21"/>
        </w:rPr>
        <w:t xml:space="preserve">v </w:t>
      </w:r>
      <w:r>
        <w:rPr>
          <w:rFonts w:ascii="宋体" w:hAnsi="宋体" w:eastAsia="宋体" w:cs="宋体"/>
          <w:spacing w:val="-8"/>
          <w:sz w:val="21"/>
          <w:szCs w:val="21"/>
        </w:rPr>
        <w:t>为估计总</w:t>
      </w:r>
      <w:r>
        <w:rPr>
          <w:rFonts w:ascii="宋体" w:hAnsi="宋体" w:eastAsia="宋体" w:cs="宋体"/>
          <w:spacing w:val="-9"/>
          <w:sz w:val="21"/>
          <w:szCs w:val="21"/>
        </w:rPr>
        <w:t>体率的方</w:t>
      </w:r>
    </w:p>
    <w:p w14:paraId="0502BB08">
      <w:pPr>
        <w:spacing w:line="68" w:lineRule="auto"/>
        <w:rPr>
          <w:rFonts w:ascii="Arial"/>
          <w:sz w:val="2"/>
        </w:rPr>
      </w:pPr>
    </w:p>
    <w:p w14:paraId="76F64DE6">
      <w:pPr>
        <w:spacing w:line="68" w:lineRule="auto"/>
        <w:rPr>
          <w:rFonts w:ascii="Arial" w:hAnsi="Arial" w:eastAsia="Arial" w:cs="Arial"/>
          <w:sz w:val="2"/>
          <w:szCs w:val="2"/>
        </w:rPr>
        <w:sectPr>
          <w:footerReference r:id="rId70" w:type="default"/>
          <w:pgSz w:w="11900" w:h="16820"/>
          <w:pgMar w:top="400" w:right="1494" w:bottom="850" w:left="780" w:header="0" w:footer="577" w:gutter="0"/>
          <w:cols w:equalWidth="0" w:num="1">
            <w:col w:w="9626"/>
          </w:cols>
        </w:sectPr>
      </w:pPr>
    </w:p>
    <w:p w14:paraId="71E20AA0">
      <w:pPr>
        <w:spacing w:before="117" w:line="328" w:lineRule="auto"/>
        <w:ind w:left="1159" w:right="4077" w:hanging="420"/>
        <w:rPr>
          <w:rFonts w:ascii="宋体" w:hAnsi="宋体" w:eastAsia="宋体" w:cs="宋体"/>
          <w:sz w:val="21"/>
          <w:szCs w:val="21"/>
        </w:rPr>
      </w:pPr>
      <w:r>
        <w:rPr>
          <w:rFonts w:ascii="宋体" w:hAnsi="宋体" w:eastAsia="宋体" w:cs="宋体"/>
          <w:spacing w:val="-9"/>
          <w:sz w:val="21"/>
          <w:szCs w:val="21"/>
        </w:rPr>
        <w:t>差，一般</w:t>
      </w:r>
      <w:r>
        <w:rPr>
          <w:position w:val="-23"/>
          <w:sz w:val="21"/>
          <w:szCs w:val="21"/>
        </w:rPr>
        <w:drawing>
          <wp:inline distT="0" distB="0" distL="0" distR="0">
            <wp:extent cx="673735" cy="374650"/>
            <wp:effectExtent l="0" t="0" r="0" b="0"/>
            <wp:docPr id="180" name="IM 180"/>
            <wp:cNvGraphicFramePr/>
            <a:graphic xmlns:a="http://schemas.openxmlformats.org/drawingml/2006/main">
              <a:graphicData uri="http://schemas.openxmlformats.org/drawingml/2006/picture">
                <pic:pic xmlns:pic="http://schemas.openxmlformats.org/drawingml/2006/picture">
                  <pic:nvPicPr>
                    <pic:cNvPr id="180" name="IM 180"/>
                    <pic:cNvPicPr/>
                  </pic:nvPicPr>
                  <pic:blipFill>
                    <a:blip r:embed="rId466"/>
                    <a:stretch>
                      <a:fillRect/>
                    </a:stretch>
                  </pic:blipFill>
                  <pic:spPr>
                    <a:xfrm>
                      <a:off x="0" y="0"/>
                      <a:ext cx="674091" cy="374679"/>
                    </a:xfrm>
                    <a:prstGeom prst="rect">
                      <a:avLst/>
                    </a:prstGeom>
                  </pic:spPr>
                </pic:pic>
              </a:graphicData>
            </a:graphic>
          </wp:inline>
        </w:drawing>
      </w:r>
      <w:r>
        <w:rPr>
          <w:rFonts w:ascii="宋体" w:hAnsi="宋体" w:eastAsia="宋体" w:cs="宋体"/>
          <w:spacing w:val="-9"/>
          <w:sz w:val="21"/>
          <w:szCs w:val="21"/>
        </w:rPr>
        <w:t>,其中δ为容许误差。</w:t>
      </w:r>
      <w:r>
        <w:rPr>
          <w:rFonts w:ascii="宋体" w:hAnsi="宋体" w:eastAsia="宋体" w:cs="宋体"/>
          <w:spacing w:val="1"/>
          <w:sz w:val="21"/>
          <w:szCs w:val="21"/>
        </w:rPr>
        <w:t xml:space="preserve"> </w:t>
      </w:r>
      <w:r>
        <w:rPr>
          <w:rFonts w:ascii="宋体" w:hAnsi="宋体" w:eastAsia="宋体" w:cs="宋体"/>
          <w:sz w:val="21"/>
          <w:szCs w:val="21"/>
        </w:rPr>
        <w:t>第i层的样本量为</w:t>
      </w:r>
    </w:p>
    <w:p w14:paraId="7E0151D9">
      <w:pPr>
        <w:spacing w:before="167" w:line="700" w:lineRule="exact"/>
        <w:ind w:firstLine="4489"/>
      </w:pPr>
      <w:r>
        <w:rPr>
          <w:position w:val="-13"/>
        </w:rPr>
        <w:drawing>
          <wp:inline distT="0" distB="0" distL="0" distR="0">
            <wp:extent cx="837565" cy="443865"/>
            <wp:effectExtent l="0" t="0" r="0" b="0"/>
            <wp:docPr id="182" name="IM 182"/>
            <wp:cNvGraphicFramePr/>
            <a:graphic xmlns:a="http://schemas.openxmlformats.org/drawingml/2006/main">
              <a:graphicData uri="http://schemas.openxmlformats.org/drawingml/2006/picture">
                <pic:pic xmlns:pic="http://schemas.openxmlformats.org/drawingml/2006/picture">
                  <pic:nvPicPr>
                    <pic:cNvPr id="182" name="IM 182"/>
                    <pic:cNvPicPr/>
                  </pic:nvPicPr>
                  <pic:blipFill>
                    <a:blip r:embed="rId467"/>
                    <a:stretch>
                      <a:fillRect/>
                    </a:stretch>
                  </pic:blipFill>
                  <pic:spPr>
                    <a:xfrm>
                      <a:off x="0" y="0"/>
                      <a:ext cx="838167" cy="444424"/>
                    </a:xfrm>
                    <a:prstGeom prst="rect">
                      <a:avLst/>
                    </a:prstGeom>
                  </pic:spPr>
                </pic:pic>
              </a:graphicData>
            </a:graphic>
          </wp:inline>
        </w:drawing>
      </w:r>
    </w:p>
    <w:p w14:paraId="36E2DE55">
      <w:pPr>
        <w:spacing w:before="257" w:line="218" w:lineRule="auto"/>
        <w:ind w:left="1149"/>
        <w:rPr>
          <w:rFonts w:ascii="宋体" w:hAnsi="宋体" w:eastAsia="宋体" w:cs="宋体"/>
          <w:sz w:val="21"/>
          <w:szCs w:val="21"/>
        </w:rPr>
      </w:pPr>
      <w:r>
        <w:rPr>
          <w:rFonts w:ascii="宋体" w:hAnsi="宋体" w:eastAsia="宋体" w:cs="宋体"/>
          <w:spacing w:val="-8"/>
          <w:sz w:val="21"/>
          <w:szCs w:val="21"/>
        </w:rPr>
        <w:t>若要估算总体均数所需样本量，则计算公式如</w:t>
      </w:r>
      <w:r>
        <w:rPr>
          <w:rFonts w:ascii="宋体" w:hAnsi="宋体" w:eastAsia="宋体" w:cs="宋体"/>
          <w:spacing w:val="-9"/>
          <w:sz w:val="21"/>
          <w:szCs w:val="21"/>
        </w:rPr>
        <w:t>下：</w:t>
      </w:r>
    </w:p>
    <w:p w14:paraId="7C4177A3">
      <w:pPr>
        <w:spacing w:line="263" w:lineRule="auto"/>
        <w:rPr>
          <w:rFonts w:ascii="Arial"/>
          <w:sz w:val="21"/>
        </w:rPr>
      </w:pPr>
    </w:p>
    <w:p w14:paraId="25FA99E4">
      <w:pPr>
        <w:spacing w:before="1" w:line="650" w:lineRule="exact"/>
        <w:ind w:firstLine="4450"/>
      </w:pPr>
      <w:r>
        <w:rPr>
          <w:position w:val="-13"/>
        </w:rPr>
        <w:drawing>
          <wp:inline distT="0" distB="0" distL="0" distR="0">
            <wp:extent cx="888365" cy="412750"/>
            <wp:effectExtent l="0" t="0" r="0" b="0"/>
            <wp:docPr id="184" name="IM 184"/>
            <wp:cNvGraphicFramePr/>
            <a:graphic xmlns:a="http://schemas.openxmlformats.org/drawingml/2006/main">
              <a:graphicData uri="http://schemas.openxmlformats.org/drawingml/2006/picture">
                <pic:pic xmlns:pic="http://schemas.openxmlformats.org/drawingml/2006/picture">
                  <pic:nvPicPr>
                    <pic:cNvPr id="184" name="IM 184"/>
                    <pic:cNvPicPr/>
                  </pic:nvPicPr>
                  <pic:blipFill>
                    <a:blip r:embed="rId468"/>
                    <a:stretch>
                      <a:fillRect/>
                    </a:stretch>
                  </pic:blipFill>
                  <pic:spPr>
                    <a:xfrm>
                      <a:off x="0" y="0"/>
                      <a:ext cx="888946" cy="412809"/>
                    </a:xfrm>
                    <a:prstGeom prst="rect">
                      <a:avLst/>
                    </a:prstGeom>
                  </pic:spPr>
                </pic:pic>
              </a:graphicData>
            </a:graphic>
          </wp:inline>
        </w:drawing>
      </w:r>
    </w:p>
    <w:p w14:paraId="7CC34721">
      <w:pPr>
        <w:spacing w:line="42" w:lineRule="exact"/>
      </w:pPr>
    </w:p>
    <w:p w14:paraId="4B075FED">
      <w:pPr>
        <w:spacing w:line="14" w:lineRule="auto"/>
        <w:rPr>
          <w:rFonts w:ascii="Arial"/>
          <w:sz w:val="2"/>
        </w:rPr>
      </w:pPr>
      <w:r>
        <w:rPr>
          <w:rFonts w:ascii="Arial" w:hAnsi="Arial" w:eastAsia="Arial" w:cs="Arial"/>
          <w:sz w:val="2"/>
          <w:szCs w:val="2"/>
        </w:rPr>
        <w:br w:type="column"/>
      </w:r>
    </w:p>
    <w:p w14:paraId="6393CE6B">
      <w:pPr>
        <w:spacing w:line="249" w:lineRule="auto"/>
        <w:rPr>
          <w:rFonts w:ascii="Arial"/>
          <w:sz w:val="21"/>
        </w:rPr>
      </w:pPr>
    </w:p>
    <w:p w14:paraId="6D52AFF1">
      <w:pPr>
        <w:spacing w:line="249" w:lineRule="auto"/>
        <w:rPr>
          <w:rFonts w:ascii="Arial"/>
          <w:sz w:val="21"/>
        </w:rPr>
      </w:pPr>
    </w:p>
    <w:p w14:paraId="0E77D957">
      <w:pPr>
        <w:spacing w:line="250" w:lineRule="auto"/>
        <w:rPr>
          <w:rFonts w:ascii="Arial"/>
          <w:sz w:val="21"/>
        </w:rPr>
      </w:pPr>
    </w:p>
    <w:p w14:paraId="2700EECB">
      <w:pPr>
        <w:spacing w:line="250" w:lineRule="auto"/>
        <w:rPr>
          <w:rFonts w:ascii="Arial"/>
          <w:sz w:val="21"/>
        </w:rPr>
      </w:pPr>
    </w:p>
    <w:p w14:paraId="48BDCF02">
      <w:pPr>
        <w:spacing w:line="250" w:lineRule="auto"/>
        <w:rPr>
          <w:rFonts w:ascii="Arial"/>
          <w:sz w:val="21"/>
        </w:rPr>
      </w:pPr>
    </w:p>
    <w:p w14:paraId="55E2AF2C">
      <w:pPr>
        <w:spacing w:line="250" w:lineRule="auto"/>
        <w:rPr>
          <w:rFonts w:ascii="Arial"/>
          <w:sz w:val="21"/>
        </w:rPr>
      </w:pPr>
    </w:p>
    <w:p w14:paraId="43817570">
      <w:pPr>
        <w:spacing w:before="69" w:line="221" w:lineRule="auto"/>
        <w:ind w:left="29"/>
        <w:rPr>
          <w:rFonts w:ascii="宋体" w:hAnsi="宋体" w:eastAsia="宋体" w:cs="宋体"/>
          <w:sz w:val="21"/>
          <w:szCs w:val="21"/>
        </w:rPr>
      </w:pPr>
      <w:r>
        <w:rPr>
          <w:rFonts w:ascii="宋体" w:hAnsi="宋体" w:eastAsia="宋体" w:cs="宋体"/>
          <w:spacing w:val="6"/>
          <w:sz w:val="21"/>
          <w:szCs w:val="21"/>
        </w:rPr>
        <w:t>式(3-11)</w:t>
      </w:r>
    </w:p>
    <w:p w14:paraId="07F3CCD6">
      <w:pPr>
        <w:spacing w:line="278" w:lineRule="auto"/>
        <w:rPr>
          <w:rFonts w:ascii="Arial"/>
          <w:sz w:val="21"/>
        </w:rPr>
      </w:pPr>
    </w:p>
    <w:p w14:paraId="7DFDA2B9">
      <w:pPr>
        <w:spacing w:line="278" w:lineRule="auto"/>
        <w:rPr>
          <w:rFonts w:ascii="Arial"/>
          <w:sz w:val="21"/>
        </w:rPr>
      </w:pPr>
    </w:p>
    <w:p w14:paraId="5B3A0E32">
      <w:pPr>
        <w:spacing w:line="278" w:lineRule="auto"/>
        <w:rPr>
          <w:rFonts w:ascii="Arial"/>
          <w:sz w:val="21"/>
        </w:rPr>
      </w:pPr>
    </w:p>
    <w:p w14:paraId="3443638A">
      <w:pPr>
        <w:spacing w:line="279" w:lineRule="auto"/>
        <w:rPr>
          <w:rFonts w:ascii="Arial"/>
          <w:sz w:val="21"/>
        </w:rPr>
      </w:pPr>
    </w:p>
    <w:p w14:paraId="74213A27">
      <w:pPr>
        <w:spacing w:before="68" w:line="221" w:lineRule="auto"/>
        <w:rPr>
          <w:rFonts w:ascii="宋体" w:hAnsi="宋体" w:eastAsia="宋体" w:cs="宋体"/>
          <w:sz w:val="21"/>
          <w:szCs w:val="21"/>
        </w:rPr>
      </w:pPr>
      <w:r>
        <w:rPr>
          <w:rFonts w:ascii="宋体" w:hAnsi="宋体" w:eastAsia="宋体" w:cs="宋体"/>
          <w:spacing w:val="8"/>
          <w:sz w:val="21"/>
          <w:szCs w:val="21"/>
        </w:rPr>
        <w:t>式(3-12)</w:t>
      </w:r>
    </w:p>
    <w:p w14:paraId="1CFF8475">
      <w:pPr>
        <w:spacing w:line="221" w:lineRule="auto"/>
        <w:rPr>
          <w:rFonts w:ascii="宋体" w:hAnsi="宋体" w:eastAsia="宋体" w:cs="宋体"/>
          <w:sz w:val="21"/>
          <w:szCs w:val="21"/>
        </w:rPr>
        <w:sectPr>
          <w:type w:val="continuous"/>
          <w:pgSz w:w="11900" w:h="16820"/>
          <w:pgMar w:top="400" w:right="1494" w:bottom="850" w:left="780" w:header="0" w:footer="577" w:gutter="0"/>
          <w:cols w:equalWidth="0" w:num="2">
            <w:col w:w="8590" w:space="100"/>
            <w:col w:w="936"/>
          </w:cols>
        </w:sectPr>
      </w:pPr>
    </w:p>
    <w:p w14:paraId="690ECA95">
      <w:pPr>
        <w:spacing w:before="192" w:line="217" w:lineRule="auto"/>
        <w:ind w:left="729"/>
        <w:rPr>
          <w:rFonts w:ascii="宋体" w:hAnsi="宋体" w:eastAsia="宋体" w:cs="宋体"/>
          <w:sz w:val="21"/>
          <w:szCs w:val="21"/>
        </w:rPr>
      </w:pPr>
      <w:r>
        <w:rPr>
          <w:rFonts w:ascii="宋体" w:hAnsi="宋体" w:eastAsia="宋体" w:cs="宋体"/>
          <w:position w:val="-4"/>
          <w:sz w:val="21"/>
          <w:szCs w:val="21"/>
        </w:rPr>
        <w:drawing>
          <wp:inline distT="0" distB="0" distL="0" distR="0">
            <wp:extent cx="1492885" cy="142875"/>
            <wp:effectExtent l="0" t="0" r="0" b="0"/>
            <wp:docPr id="186" name="IM 186"/>
            <wp:cNvGraphicFramePr/>
            <a:graphic xmlns:a="http://schemas.openxmlformats.org/drawingml/2006/main">
              <a:graphicData uri="http://schemas.openxmlformats.org/drawingml/2006/picture">
                <pic:pic xmlns:pic="http://schemas.openxmlformats.org/drawingml/2006/picture">
                  <pic:nvPicPr>
                    <pic:cNvPr id="186" name="IM 186"/>
                    <pic:cNvPicPr/>
                  </pic:nvPicPr>
                  <pic:blipFill>
                    <a:blip r:embed="rId469"/>
                    <a:stretch>
                      <a:fillRect/>
                    </a:stretch>
                  </pic:blipFill>
                  <pic:spPr>
                    <a:xfrm>
                      <a:off x="0" y="0"/>
                      <a:ext cx="1493324" cy="143218"/>
                    </a:xfrm>
                    <a:prstGeom prst="rect">
                      <a:avLst/>
                    </a:prstGeom>
                  </pic:spPr>
                </pic:pic>
              </a:graphicData>
            </a:graphic>
          </wp:inline>
        </w:drawing>
      </w:r>
      <w:r>
        <w:rPr>
          <w:rFonts w:ascii="宋体" w:hAnsi="宋体" w:eastAsia="宋体" w:cs="宋体"/>
          <w:spacing w:val="2"/>
          <w:sz w:val="21"/>
          <w:szCs w:val="21"/>
        </w:rPr>
        <w:t xml:space="preserve">    </w:t>
      </w:r>
      <w:r>
        <w:rPr>
          <w:rFonts w:ascii="宋体" w:hAnsi="宋体" w:eastAsia="宋体" w:cs="宋体"/>
          <w:spacing w:val="-10"/>
          <w:sz w:val="21"/>
          <w:szCs w:val="21"/>
        </w:rPr>
        <w:t>其</w:t>
      </w:r>
      <w:r>
        <w:rPr>
          <w:rFonts w:ascii="宋体" w:hAnsi="宋体" w:eastAsia="宋体" w:cs="宋体"/>
          <w:spacing w:val="-25"/>
          <w:sz w:val="21"/>
          <w:szCs w:val="21"/>
        </w:rPr>
        <w:t xml:space="preserve"> </w:t>
      </w:r>
      <w:r>
        <w:rPr>
          <w:rFonts w:ascii="宋体" w:hAnsi="宋体" w:eastAsia="宋体" w:cs="宋体"/>
          <w:spacing w:val="-10"/>
          <w:sz w:val="21"/>
          <w:szCs w:val="21"/>
        </w:rPr>
        <w:t>中</w:t>
      </w:r>
      <w:r>
        <w:rPr>
          <w:rFonts w:ascii="Times New Roman" w:hAnsi="Times New Roman" w:eastAsia="Times New Roman" w:cs="Times New Roman"/>
          <w:spacing w:val="-10"/>
          <w:sz w:val="21"/>
          <w:szCs w:val="21"/>
        </w:rPr>
        <w:t>N;</w:t>
      </w:r>
      <w:r>
        <w:rPr>
          <w:rFonts w:ascii="宋体" w:hAnsi="宋体" w:eastAsia="宋体" w:cs="宋体"/>
          <w:spacing w:val="-10"/>
          <w:sz w:val="21"/>
          <w:szCs w:val="21"/>
        </w:rPr>
        <w:t>、</w:t>
      </w:r>
      <w:r>
        <w:rPr>
          <w:rFonts w:ascii="Times New Roman" w:hAnsi="Times New Roman" w:eastAsia="Times New Roman" w:cs="Times New Roman"/>
          <w:spacing w:val="-10"/>
          <w:sz w:val="21"/>
          <w:szCs w:val="21"/>
        </w:rPr>
        <w:t>S;</w:t>
      </w:r>
      <w:r>
        <w:rPr>
          <w:rFonts w:ascii="宋体" w:hAnsi="宋体" w:eastAsia="宋体" w:cs="宋体"/>
          <w:spacing w:val="-10"/>
          <w:sz w:val="21"/>
          <w:szCs w:val="21"/>
        </w:rPr>
        <w:t>分别为第</w:t>
      </w:r>
      <w:r>
        <w:rPr>
          <w:rFonts w:ascii="Times New Roman" w:hAnsi="Times New Roman" w:eastAsia="Times New Roman" w:cs="Times New Roman"/>
          <w:spacing w:val="-10"/>
          <w:sz w:val="21"/>
          <w:szCs w:val="21"/>
        </w:rPr>
        <w:t xml:space="preserve">i </w:t>
      </w:r>
      <w:r>
        <w:rPr>
          <w:rFonts w:ascii="宋体" w:hAnsi="宋体" w:eastAsia="宋体" w:cs="宋体"/>
          <w:spacing w:val="-10"/>
          <w:sz w:val="21"/>
          <w:szCs w:val="21"/>
        </w:rPr>
        <w:t>层的例数、标准差；</w:t>
      </w:r>
      <w:r>
        <w:rPr>
          <w:rFonts w:ascii="Times New Roman" w:hAnsi="Times New Roman" w:eastAsia="Times New Roman" w:cs="Times New Roman"/>
          <w:spacing w:val="-10"/>
          <w:sz w:val="21"/>
          <w:szCs w:val="21"/>
        </w:rPr>
        <w:t xml:space="preserve">N </w:t>
      </w:r>
      <w:r>
        <w:rPr>
          <w:rFonts w:ascii="宋体" w:hAnsi="宋体" w:eastAsia="宋体" w:cs="宋体"/>
          <w:spacing w:val="-10"/>
          <w:sz w:val="21"/>
          <w:szCs w:val="21"/>
        </w:rPr>
        <w:t>为总例数；</w:t>
      </w:r>
      <w:r>
        <w:rPr>
          <w:rFonts w:ascii="Times New Roman" w:hAnsi="Times New Roman" w:eastAsia="Times New Roman" w:cs="Times New Roman"/>
          <w:spacing w:val="-10"/>
          <w:sz w:val="21"/>
          <w:szCs w:val="21"/>
        </w:rPr>
        <w:t>w</w:t>
      </w:r>
      <w:r>
        <w:rPr>
          <w:rFonts w:ascii="宋体" w:hAnsi="宋体" w:eastAsia="宋体" w:cs="宋体"/>
          <w:spacing w:val="-10"/>
          <w:sz w:val="21"/>
          <w:szCs w:val="21"/>
        </w:rPr>
        <w:t>为</w:t>
      </w:r>
      <w:r>
        <w:rPr>
          <w:rFonts w:ascii="宋体" w:hAnsi="宋体" w:eastAsia="宋体" w:cs="宋体"/>
          <w:spacing w:val="-11"/>
          <w:sz w:val="21"/>
          <w:szCs w:val="21"/>
        </w:rPr>
        <w:t>估计总体</w:t>
      </w:r>
    </w:p>
    <w:p w14:paraId="5576D1BD">
      <w:pPr>
        <w:spacing w:before="109"/>
        <w:ind w:left="719"/>
        <w:rPr>
          <w:rFonts w:ascii="宋体" w:hAnsi="宋体" w:eastAsia="宋体" w:cs="宋体"/>
          <w:sz w:val="21"/>
          <w:szCs w:val="21"/>
        </w:rPr>
      </w:pPr>
      <w:r>
        <w:rPr>
          <w:rFonts w:ascii="宋体" w:hAnsi="宋体" w:eastAsia="宋体" w:cs="宋体"/>
          <w:spacing w:val="-6"/>
          <w:sz w:val="21"/>
          <w:szCs w:val="21"/>
        </w:rPr>
        <w:t>均数的方差，一般</w:t>
      </w:r>
      <w:r>
        <w:rPr>
          <w:position w:val="-24"/>
          <w:sz w:val="21"/>
          <w:szCs w:val="21"/>
        </w:rPr>
        <w:drawing>
          <wp:inline distT="0" distB="0" distL="0" distR="0">
            <wp:extent cx="667385" cy="387350"/>
            <wp:effectExtent l="0" t="0" r="0" b="0"/>
            <wp:docPr id="188" name="IM 188"/>
            <wp:cNvGraphicFramePr/>
            <a:graphic xmlns:a="http://schemas.openxmlformats.org/drawingml/2006/main">
              <a:graphicData uri="http://schemas.openxmlformats.org/drawingml/2006/picture">
                <pic:pic xmlns:pic="http://schemas.openxmlformats.org/drawingml/2006/picture">
                  <pic:nvPicPr>
                    <pic:cNvPr id="188" name="IM 188"/>
                    <pic:cNvPicPr/>
                  </pic:nvPicPr>
                  <pic:blipFill>
                    <a:blip r:embed="rId470"/>
                    <a:stretch>
                      <a:fillRect/>
                    </a:stretch>
                  </pic:blipFill>
                  <pic:spPr>
                    <a:xfrm>
                      <a:off x="0" y="0"/>
                      <a:ext cx="667402" cy="387389"/>
                    </a:xfrm>
                    <a:prstGeom prst="rect">
                      <a:avLst/>
                    </a:prstGeom>
                  </pic:spPr>
                </pic:pic>
              </a:graphicData>
            </a:graphic>
          </wp:inline>
        </w:drawing>
      </w:r>
      <w:r>
        <w:rPr>
          <w:rFonts w:ascii="宋体" w:hAnsi="宋体" w:eastAsia="宋体" w:cs="宋体"/>
          <w:spacing w:val="-6"/>
          <w:sz w:val="21"/>
          <w:szCs w:val="21"/>
        </w:rPr>
        <w:t>,其中δ为容许误差。</w:t>
      </w:r>
    </w:p>
    <w:p w14:paraId="047B7B08">
      <w:pPr>
        <w:spacing w:before="127" w:line="219" w:lineRule="auto"/>
        <w:ind w:left="1149"/>
        <w:rPr>
          <w:rFonts w:ascii="宋体" w:hAnsi="宋体" w:eastAsia="宋体" w:cs="宋体"/>
          <w:sz w:val="21"/>
          <w:szCs w:val="21"/>
        </w:rPr>
      </w:pPr>
      <w:r>
        <w:rPr>
          <w:rFonts w:ascii="宋体" w:hAnsi="宋体" w:eastAsia="宋体" w:cs="宋体"/>
          <w:spacing w:val="5"/>
          <w:sz w:val="21"/>
          <w:szCs w:val="21"/>
        </w:rPr>
        <w:t>第</w:t>
      </w:r>
      <w:r>
        <w:rPr>
          <w:rFonts w:ascii="Arial" w:hAnsi="Arial" w:eastAsia="Arial" w:cs="Arial"/>
          <w:spacing w:val="5"/>
          <w:sz w:val="21"/>
          <w:szCs w:val="21"/>
        </w:rPr>
        <w:t>i</w:t>
      </w:r>
      <w:r>
        <w:rPr>
          <w:rFonts w:ascii="Arial" w:hAnsi="Arial" w:eastAsia="Arial" w:cs="Arial"/>
          <w:spacing w:val="24"/>
          <w:w w:val="101"/>
          <w:sz w:val="21"/>
          <w:szCs w:val="21"/>
        </w:rPr>
        <w:t xml:space="preserve"> </w:t>
      </w:r>
      <w:r>
        <w:rPr>
          <w:rFonts w:ascii="宋体" w:hAnsi="宋体" w:eastAsia="宋体" w:cs="宋体"/>
          <w:spacing w:val="5"/>
          <w:sz w:val="21"/>
          <w:szCs w:val="21"/>
        </w:rPr>
        <w:t>层的样本量为</w:t>
      </w:r>
    </w:p>
    <w:p w14:paraId="33605F94">
      <w:pPr>
        <w:spacing w:line="403" w:lineRule="auto"/>
        <w:rPr>
          <w:rFonts w:ascii="Arial"/>
          <w:sz w:val="21"/>
        </w:rPr>
      </w:pPr>
      <w:r>
        <w:drawing>
          <wp:anchor distT="0" distB="0" distL="0" distR="0" simplePos="0" relativeHeight="251716608" behindDoc="0" locked="0" layoutInCell="1" allowOverlap="1">
            <wp:simplePos x="0" y="0"/>
            <wp:positionH relativeFrom="column">
              <wp:posOffset>2977515</wp:posOffset>
            </wp:positionH>
            <wp:positionV relativeFrom="paragraph">
              <wp:posOffset>173355</wp:posOffset>
            </wp:positionV>
            <wp:extent cx="603250" cy="381000"/>
            <wp:effectExtent l="0" t="0" r="0" b="0"/>
            <wp:wrapNone/>
            <wp:docPr id="190" name="IM 190"/>
            <wp:cNvGraphicFramePr/>
            <a:graphic xmlns:a="http://schemas.openxmlformats.org/drawingml/2006/main">
              <a:graphicData uri="http://schemas.openxmlformats.org/drawingml/2006/picture">
                <pic:pic xmlns:pic="http://schemas.openxmlformats.org/drawingml/2006/picture">
                  <pic:nvPicPr>
                    <pic:cNvPr id="190" name="IM 190"/>
                    <pic:cNvPicPr/>
                  </pic:nvPicPr>
                  <pic:blipFill>
                    <a:blip r:embed="rId471"/>
                    <a:stretch>
                      <a:fillRect/>
                    </a:stretch>
                  </pic:blipFill>
                  <pic:spPr>
                    <a:xfrm>
                      <a:off x="0" y="0"/>
                      <a:ext cx="603310" cy="381087"/>
                    </a:xfrm>
                    <a:prstGeom prst="rect">
                      <a:avLst/>
                    </a:prstGeom>
                  </pic:spPr>
                </pic:pic>
              </a:graphicData>
            </a:graphic>
          </wp:anchor>
        </w:drawing>
      </w:r>
    </w:p>
    <w:p w14:paraId="68BEA468">
      <w:pPr>
        <w:spacing w:before="69" w:line="184" w:lineRule="auto"/>
        <w:ind w:left="8689"/>
        <w:rPr>
          <w:rFonts w:ascii="宋体" w:hAnsi="宋体" w:eastAsia="宋体" w:cs="宋体"/>
          <w:sz w:val="21"/>
          <w:szCs w:val="21"/>
        </w:rPr>
      </w:pPr>
      <w:r>
        <w:rPr>
          <w:rFonts w:ascii="宋体" w:hAnsi="宋体" w:eastAsia="宋体" w:cs="宋体"/>
          <w:spacing w:val="8"/>
          <w:sz w:val="21"/>
          <w:szCs w:val="21"/>
        </w:rPr>
        <w:t>式(3-13)</w:t>
      </w:r>
    </w:p>
    <w:p w14:paraId="47862DB3">
      <w:pPr>
        <w:spacing w:line="184" w:lineRule="auto"/>
        <w:rPr>
          <w:rFonts w:ascii="宋体" w:hAnsi="宋体" w:eastAsia="宋体" w:cs="宋体"/>
          <w:sz w:val="21"/>
          <w:szCs w:val="21"/>
        </w:rPr>
        <w:sectPr>
          <w:type w:val="continuous"/>
          <w:pgSz w:w="11900" w:h="16820"/>
          <w:pgMar w:top="400" w:right="1494" w:bottom="850" w:left="780" w:header="0" w:footer="577" w:gutter="0"/>
          <w:cols w:equalWidth="0" w:num="1">
            <w:col w:w="9626"/>
          </w:cols>
        </w:sectPr>
      </w:pPr>
    </w:p>
    <w:p w14:paraId="68150BF7">
      <w:pPr>
        <w:spacing w:line="267" w:lineRule="auto"/>
        <w:rPr>
          <w:rFonts w:ascii="Arial"/>
          <w:sz w:val="21"/>
        </w:rPr>
      </w:pPr>
    </w:p>
    <w:p w14:paraId="456F1B66">
      <w:pPr>
        <w:pStyle w:val="2"/>
        <w:spacing w:before="68" w:line="222" w:lineRule="auto"/>
        <w:ind w:left="7670"/>
        <w:rPr>
          <w:sz w:val="21"/>
          <w:szCs w:val="21"/>
        </w:rPr>
      </w:pPr>
      <w:bookmarkStart w:id="75" w:name="bookmark430"/>
      <w:bookmarkEnd w:id="75"/>
      <w:r>
        <w:rPr>
          <w:spacing w:val="-20"/>
          <w:sz w:val="21"/>
          <w:szCs w:val="21"/>
        </w:rPr>
        <w:t>第三章 描述性研究</w:t>
      </w:r>
    </w:p>
    <w:p w14:paraId="227F044B">
      <w:pPr>
        <w:spacing w:line="247" w:lineRule="auto"/>
        <w:rPr>
          <w:rFonts w:ascii="Arial"/>
          <w:sz w:val="21"/>
        </w:rPr>
      </w:pPr>
    </w:p>
    <w:p w14:paraId="2C85ECF1">
      <w:pPr>
        <w:spacing w:line="247" w:lineRule="auto"/>
        <w:rPr>
          <w:rFonts w:ascii="Arial"/>
          <w:sz w:val="21"/>
        </w:rPr>
      </w:pPr>
    </w:p>
    <w:p w14:paraId="5075C73B">
      <w:pPr>
        <w:spacing w:before="69" w:line="323" w:lineRule="auto"/>
        <w:ind w:right="690" w:firstLine="430"/>
        <w:jc w:val="both"/>
        <w:rPr>
          <w:rFonts w:ascii="宋体" w:hAnsi="宋体" w:eastAsia="宋体" w:cs="宋体"/>
          <w:sz w:val="21"/>
          <w:szCs w:val="21"/>
        </w:rPr>
      </w:pPr>
      <w:r>
        <w:rPr>
          <w:rFonts w:ascii="宋体" w:hAnsi="宋体" w:eastAsia="宋体" w:cs="宋体"/>
          <w:spacing w:val="7"/>
          <w:sz w:val="21"/>
          <w:szCs w:val="21"/>
        </w:rPr>
        <w:t>(4)整群抽样</w:t>
      </w:r>
      <w:r>
        <w:rPr>
          <w:rFonts w:ascii="Times New Roman" w:hAnsi="Times New Roman" w:eastAsia="Times New Roman" w:cs="Times New Roman"/>
          <w:spacing w:val="7"/>
          <w:sz w:val="21"/>
          <w:szCs w:val="21"/>
        </w:rPr>
        <w:t>(</w:t>
      </w:r>
      <w:r>
        <w:rPr>
          <w:rFonts w:ascii="Times New Roman" w:hAnsi="Times New Roman" w:eastAsia="Times New Roman" w:cs="Times New Roman"/>
          <w:sz w:val="21"/>
          <w:szCs w:val="21"/>
        </w:rPr>
        <w:t>cluster</w:t>
      </w:r>
      <w:r>
        <w:rPr>
          <w:rFonts w:ascii="Times New Roman" w:hAnsi="Times New Roman" w:eastAsia="Times New Roman" w:cs="Times New Roman"/>
          <w:spacing w:val="7"/>
          <w:sz w:val="21"/>
          <w:szCs w:val="21"/>
        </w:rPr>
        <w:t xml:space="preserve">    </w:t>
      </w:r>
      <w:r>
        <w:rPr>
          <w:rFonts w:ascii="Times New Roman" w:hAnsi="Times New Roman" w:eastAsia="Times New Roman" w:cs="Times New Roman"/>
          <w:sz w:val="21"/>
          <w:szCs w:val="21"/>
        </w:rPr>
        <w:t>sampling</w:t>
      </w:r>
      <w:r>
        <w:rPr>
          <w:rFonts w:ascii="Times New Roman" w:hAnsi="Times New Roman" w:eastAsia="Times New Roman" w:cs="Times New Roman"/>
          <w:spacing w:val="7"/>
          <w:sz w:val="21"/>
          <w:szCs w:val="21"/>
        </w:rPr>
        <w:t>):</w:t>
      </w:r>
      <w:r>
        <w:rPr>
          <w:rFonts w:ascii="宋体" w:hAnsi="宋体" w:eastAsia="宋体" w:cs="宋体"/>
          <w:spacing w:val="7"/>
          <w:sz w:val="21"/>
          <w:szCs w:val="21"/>
        </w:rPr>
        <w:t>是将总体分</w:t>
      </w:r>
      <w:r>
        <w:rPr>
          <w:rFonts w:ascii="宋体" w:hAnsi="宋体" w:eastAsia="宋体" w:cs="宋体"/>
          <w:spacing w:val="6"/>
          <w:sz w:val="21"/>
          <w:szCs w:val="21"/>
        </w:rPr>
        <w:t>成若干群组，然后以群组为抽样单位抽取样本，对</w:t>
      </w:r>
      <w:r>
        <w:rPr>
          <w:rFonts w:ascii="宋体" w:hAnsi="宋体" w:eastAsia="宋体" w:cs="宋体"/>
          <w:sz w:val="21"/>
          <w:szCs w:val="21"/>
        </w:rPr>
        <w:t xml:space="preserve"> </w:t>
      </w:r>
      <w:r>
        <w:rPr>
          <w:rFonts w:ascii="宋体" w:hAnsi="宋体" w:eastAsia="宋体" w:cs="宋体"/>
          <w:spacing w:val="1"/>
          <w:sz w:val="21"/>
          <w:szCs w:val="21"/>
        </w:rPr>
        <w:t>抽中群组的全部个体进行调查，这种抽样方法</w:t>
      </w:r>
      <w:r>
        <w:rPr>
          <w:rFonts w:ascii="宋体" w:hAnsi="宋体" w:eastAsia="宋体" w:cs="宋体"/>
          <w:sz w:val="21"/>
          <w:szCs w:val="21"/>
        </w:rPr>
        <w:t>称为整群抽样。“群”的大小有一定的相对性，可以是 社区、村、乡(镇)、区(县)等自然区划，也可以是人为划分的一定人群，如某一工厂、学校、连队等</w:t>
      </w:r>
      <w:r>
        <w:rPr>
          <w:rFonts w:ascii="宋体" w:hAnsi="宋体" w:eastAsia="宋体" w:cs="宋体"/>
          <w:spacing w:val="18"/>
          <w:sz w:val="21"/>
          <w:szCs w:val="21"/>
        </w:rPr>
        <w:t xml:space="preserve"> </w:t>
      </w:r>
      <w:r>
        <w:rPr>
          <w:rFonts w:ascii="宋体" w:hAnsi="宋体" w:eastAsia="宋体" w:cs="宋体"/>
          <w:spacing w:val="2"/>
          <w:sz w:val="21"/>
          <w:szCs w:val="21"/>
        </w:rPr>
        <w:t>的人群。划分群时每群的单位数可以相等，也可以不等，但不要相差太</w:t>
      </w:r>
      <w:r>
        <w:rPr>
          <w:rFonts w:ascii="宋体" w:hAnsi="宋体" w:eastAsia="宋体" w:cs="宋体"/>
          <w:spacing w:val="1"/>
          <w:sz w:val="21"/>
          <w:szCs w:val="21"/>
        </w:rPr>
        <w:t>大。</w:t>
      </w:r>
    </w:p>
    <w:p w14:paraId="4A223475">
      <w:pPr>
        <w:spacing w:before="21" w:line="311" w:lineRule="auto"/>
        <w:ind w:right="710" w:firstLine="430"/>
        <w:rPr>
          <w:rFonts w:ascii="宋体" w:hAnsi="宋体" w:eastAsia="宋体" w:cs="宋体"/>
          <w:sz w:val="21"/>
          <w:szCs w:val="21"/>
        </w:rPr>
      </w:pPr>
      <w:r>
        <w:rPr>
          <w:rFonts w:ascii="宋体" w:hAnsi="宋体" w:eastAsia="宋体" w:cs="宋体"/>
          <w:sz w:val="21"/>
          <w:szCs w:val="21"/>
        </w:rPr>
        <w:t>整群抽样的特点有：①易于组织、实施方便，可以节省人力、物力；②</w:t>
      </w:r>
      <w:r>
        <w:rPr>
          <w:rFonts w:ascii="宋体" w:hAnsi="宋体" w:eastAsia="宋体" w:cs="宋体"/>
          <w:spacing w:val="-1"/>
          <w:sz w:val="21"/>
          <w:szCs w:val="21"/>
        </w:rPr>
        <w:t>群间差异越小，抽取的群</w:t>
      </w:r>
      <w:r>
        <w:rPr>
          <w:rFonts w:ascii="宋体" w:hAnsi="宋体" w:eastAsia="宋体" w:cs="宋体"/>
          <w:sz w:val="21"/>
          <w:szCs w:val="21"/>
        </w:rPr>
        <w:t xml:space="preserve"> </w:t>
      </w:r>
      <w:r>
        <w:rPr>
          <w:rFonts w:ascii="宋体" w:hAnsi="宋体" w:eastAsia="宋体" w:cs="宋体"/>
          <w:spacing w:val="1"/>
          <w:sz w:val="21"/>
          <w:szCs w:val="21"/>
        </w:rPr>
        <w:t>越多，则精确度越高；③抽样误差较大，故通常在单纯随机抽样样本量估算的基础上再增加1/2。</w:t>
      </w:r>
    </w:p>
    <w:p w14:paraId="09566936">
      <w:pPr>
        <w:spacing w:before="3" w:line="327" w:lineRule="auto"/>
        <w:ind w:right="596" w:firstLine="430"/>
        <w:jc w:val="both"/>
        <w:rPr>
          <w:rFonts w:ascii="宋体" w:hAnsi="宋体" w:eastAsia="宋体" w:cs="宋体"/>
          <w:sz w:val="21"/>
          <w:szCs w:val="21"/>
        </w:rPr>
      </w:pPr>
      <w:r>
        <w:rPr>
          <w:rFonts w:ascii="宋体" w:hAnsi="宋体" w:eastAsia="宋体" w:cs="宋体"/>
          <w:spacing w:val="10"/>
          <w:sz w:val="21"/>
          <w:szCs w:val="21"/>
        </w:rPr>
        <w:t>(5)多阶段抽样</w:t>
      </w:r>
      <w:r>
        <w:rPr>
          <w:rFonts w:ascii="Times New Roman" w:hAnsi="Times New Roman" w:eastAsia="Times New Roman" w:cs="Times New Roman"/>
          <w:spacing w:val="10"/>
          <w:sz w:val="21"/>
          <w:szCs w:val="21"/>
        </w:rPr>
        <w:t>(</w:t>
      </w:r>
      <w:r>
        <w:rPr>
          <w:rFonts w:ascii="Times New Roman" w:hAnsi="Times New Roman" w:eastAsia="Times New Roman" w:cs="Times New Roman"/>
          <w:sz w:val="21"/>
          <w:szCs w:val="21"/>
        </w:rPr>
        <w:t>multistage</w:t>
      </w:r>
      <w:r>
        <w:rPr>
          <w:rFonts w:ascii="Times New Roman" w:hAnsi="Times New Roman" w:eastAsia="Times New Roman" w:cs="Times New Roman"/>
          <w:spacing w:val="10"/>
          <w:sz w:val="21"/>
          <w:szCs w:val="21"/>
        </w:rPr>
        <w:t xml:space="preserve">    </w:t>
      </w:r>
      <w:r>
        <w:rPr>
          <w:rFonts w:ascii="Times New Roman" w:hAnsi="Times New Roman" w:eastAsia="Times New Roman" w:cs="Times New Roman"/>
          <w:sz w:val="21"/>
          <w:szCs w:val="21"/>
        </w:rPr>
        <w:t>sampling</w:t>
      </w:r>
      <w:r>
        <w:rPr>
          <w:rFonts w:ascii="Times New Roman" w:hAnsi="Times New Roman" w:eastAsia="Times New Roman" w:cs="Times New Roman"/>
          <w:spacing w:val="10"/>
          <w:sz w:val="21"/>
          <w:szCs w:val="21"/>
        </w:rPr>
        <w:t>):</w:t>
      </w:r>
      <w:r>
        <w:rPr>
          <w:rFonts w:ascii="宋体" w:hAnsi="宋体" w:eastAsia="宋体" w:cs="宋体"/>
          <w:spacing w:val="10"/>
          <w:sz w:val="21"/>
          <w:szCs w:val="21"/>
        </w:rPr>
        <w:t>是指将抽样过程分为几个阶段，每个阶段使用的抽样方</w:t>
      </w:r>
      <w:r>
        <w:rPr>
          <w:rFonts w:ascii="宋体" w:hAnsi="宋体" w:eastAsia="宋体" w:cs="宋体"/>
          <w:sz w:val="21"/>
          <w:szCs w:val="21"/>
        </w:rPr>
        <w:t xml:space="preserve"> </w:t>
      </w:r>
      <w:r>
        <w:rPr>
          <w:rFonts w:ascii="宋体" w:hAnsi="宋体" w:eastAsia="宋体" w:cs="宋体"/>
          <w:spacing w:val="8"/>
          <w:sz w:val="21"/>
          <w:szCs w:val="21"/>
        </w:rPr>
        <w:t>法往往不同，即将以上抽样方法结合使用，是大型</w:t>
      </w:r>
      <w:r>
        <w:rPr>
          <w:rFonts w:ascii="宋体" w:hAnsi="宋体" w:eastAsia="宋体" w:cs="宋体"/>
          <w:spacing w:val="7"/>
          <w:sz w:val="21"/>
          <w:szCs w:val="21"/>
        </w:rPr>
        <w:t>流行病学调查常用的抽样方法。其实施过程为：</w:t>
      </w:r>
      <w:r>
        <w:rPr>
          <w:rFonts w:ascii="宋体" w:hAnsi="宋体" w:eastAsia="宋体" w:cs="宋体"/>
          <w:sz w:val="21"/>
          <w:szCs w:val="21"/>
        </w:rPr>
        <w:t xml:space="preserve"> </w:t>
      </w:r>
      <w:r>
        <w:rPr>
          <w:rFonts w:ascii="宋体" w:hAnsi="宋体" w:eastAsia="宋体" w:cs="宋体"/>
          <w:spacing w:val="5"/>
          <w:sz w:val="21"/>
          <w:szCs w:val="21"/>
        </w:rPr>
        <w:t>先从总体中抽取范围较大的单元，称为一级抽样</w:t>
      </w:r>
      <w:r>
        <w:rPr>
          <w:rFonts w:ascii="宋体" w:hAnsi="宋体" w:eastAsia="宋体" w:cs="宋体"/>
          <w:spacing w:val="4"/>
          <w:sz w:val="21"/>
          <w:szCs w:val="21"/>
        </w:rPr>
        <w:t>单位</w:t>
      </w:r>
      <w:r>
        <w:rPr>
          <w:rFonts w:ascii="Times New Roman" w:hAnsi="Times New Roman" w:eastAsia="Times New Roman" w:cs="Times New Roman"/>
          <w:spacing w:val="4"/>
          <w:sz w:val="21"/>
          <w:szCs w:val="21"/>
        </w:rPr>
        <w:t>(</w:t>
      </w:r>
      <w:r>
        <w:rPr>
          <w:rFonts w:ascii="Times New Roman" w:hAnsi="Times New Roman" w:eastAsia="Times New Roman" w:cs="Times New Roman"/>
          <w:sz w:val="21"/>
          <w:szCs w:val="21"/>
        </w:rPr>
        <w:t>primary</w:t>
      </w:r>
      <w:r>
        <w:rPr>
          <w:rFonts w:ascii="Times New Roman" w:hAnsi="Times New Roman" w:eastAsia="Times New Roman" w:cs="Times New Roman"/>
          <w:spacing w:val="4"/>
          <w:sz w:val="21"/>
          <w:szCs w:val="21"/>
        </w:rPr>
        <w:t xml:space="preserve">    </w:t>
      </w:r>
      <w:r>
        <w:rPr>
          <w:rFonts w:ascii="Times New Roman" w:hAnsi="Times New Roman" w:eastAsia="Times New Roman" w:cs="Times New Roman"/>
          <w:sz w:val="21"/>
          <w:szCs w:val="21"/>
        </w:rPr>
        <w:t>sampling</w:t>
      </w:r>
      <w:r>
        <w:rPr>
          <w:rFonts w:ascii="Times New Roman" w:hAnsi="Times New Roman" w:eastAsia="Times New Roman" w:cs="Times New Roman"/>
          <w:spacing w:val="4"/>
          <w:sz w:val="21"/>
          <w:szCs w:val="21"/>
        </w:rPr>
        <w:t xml:space="preserve">    </w:t>
      </w:r>
      <w:r>
        <w:rPr>
          <w:rFonts w:ascii="Times New Roman" w:hAnsi="Times New Roman" w:eastAsia="Times New Roman" w:cs="Times New Roman"/>
          <w:sz w:val="21"/>
          <w:szCs w:val="21"/>
        </w:rPr>
        <w:t>unit</w:t>
      </w:r>
      <w:r>
        <w:rPr>
          <w:rFonts w:ascii="Times New Roman" w:hAnsi="Times New Roman" w:eastAsia="Times New Roman" w:cs="Times New Roman"/>
          <w:spacing w:val="4"/>
          <w:sz w:val="21"/>
          <w:szCs w:val="21"/>
        </w:rPr>
        <w:t>,</w:t>
      </w:r>
      <w:r>
        <w:rPr>
          <w:rFonts w:ascii="Times New Roman" w:hAnsi="Times New Roman" w:eastAsia="Times New Roman" w:cs="Times New Roman"/>
          <w:sz w:val="21"/>
          <w:szCs w:val="21"/>
        </w:rPr>
        <w:t>PSU</w:t>
      </w:r>
      <w:r>
        <w:rPr>
          <w:rFonts w:ascii="Times New Roman" w:hAnsi="Times New Roman" w:eastAsia="Times New Roman" w:cs="Times New Roman"/>
          <w:spacing w:val="4"/>
          <w:sz w:val="21"/>
          <w:szCs w:val="21"/>
        </w:rPr>
        <w:t>)</w:t>
      </w:r>
      <w:r>
        <w:rPr>
          <w:rFonts w:ascii="宋体" w:hAnsi="宋体" w:eastAsia="宋体" w:cs="宋体"/>
          <w:spacing w:val="4"/>
          <w:sz w:val="21"/>
          <w:szCs w:val="21"/>
        </w:rPr>
        <w:t>(如省、自治区、</w:t>
      </w:r>
      <w:r>
        <w:rPr>
          <w:rFonts w:ascii="宋体" w:hAnsi="宋体" w:eastAsia="宋体" w:cs="宋体"/>
          <w:sz w:val="21"/>
          <w:szCs w:val="21"/>
        </w:rPr>
        <w:t xml:space="preserve"> </w:t>
      </w:r>
      <w:r>
        <w:rPr>
          <w:rFonts w:ascii="宋体" w:hAnsi="宋体" w:eastAsia="宋体" w:cs="宋体"/>
          <w:spacing w:val="5"/>
          <w:sz w:val="21"/>
          <w:szCs w:val="21"/>
        </w:rPr>
        <w:t>直辖市),再从每个抽中的一级单元中抽取范围较小的二级单元(如地级市、区、县)。以此类推，最</w:t>
      </w:r>
      <w:r>
        <w:rPr>
          <w:rFonts w:ascii="宋体" w:hAnsi="宋体" w:eastAsia="宋体" w:cs="宋体"/>
          <w:spacing w:val="2"/>
          <w:sz w:val="21"/>
          <w:szCs w:val="21"/>
        </w:rPr>
        <w:t xml:space="preserve">  </w:t>
      </w:r>
      <w:r>
        <w:rPr>
          <w:rFonts w:ascii="宋体" w:hAnsi="宋体" w:eastAsia="宋体" w:cs="宋体"/>
          <w:spacing w:val="5"/>
          <w:sz w:val="21"/>
          <w:szCs w:val="21"/>
        </w:rPr>
        <w:t>后抽取其中范围更小的单元(如社区、村)作为调查单位。</w:t>
      </w:r>
    </w:p>
    <w:p w14:paraId="2C59E549">
      <w:pPr>
        <w:spacing w:line="323" w:lineRule="auto"/>
        <w:ind w:right="616" w:firstLine="430"/>
        <w:jc w:val="both"/>
        <w:rPr>
          <w:rFonts w:ascii="宋体" w:hAnsi="宋体" w:eastAsia="宋体" w:cs="宋体"/>
          <w:sz w:val="21"/>
          <w:szCs w:val="21"/>
        </w:rPr>
      </w:pPr>
      <w:r>
        <w:rPr>
          <w:rFonts w:ascii="宋体" w:hAnsi="宋体" w:eastAsia="宋体" w:cs="宋体"/>
          <w:spacing w:val="10"/>
          <w:sz w:val="21"/>
          <w:szCs w:val="21"/>
        </w:rPr>
        <w:t>每个阶段的抽样可以采用单纯随机抽样、系统抽样或其他抽样方法。多阶段抽样可以充分利</w:t>
      </w:r>
      <w:r>
        <w:rPr>
          <w:rFonts w:ascii="宋体" w:hAnsi="宋体" w:eastAsia="宋体" w:cs="宋体"/>
          <w:spacing w:val="7"/>
          <w:sz w:val="21"/>
          <w:szCs w:val="21"/>
        </w:rPr>
        <w:t xml:space="preserve">  </w:t>
      </w:r>
      <w:r>
        <w:rPr>
          <w:rFonts w:ascii="宋体" w:hAnsi="宋体" w:eastAsia="宋体" w:cs="宋体"/>
          <w:spacing w:val="2"/>
          <w:sz w:val="21"/>
          <w:szCs w:val="21"/>
        </w:rPr>
        <w:t>用各种抽样方法的优势，克服各自的不足，并能节省人力、物力。但由于每阶段抽样都会产生误差，</w:t>
      </w:r>
      <w:r>
        <w:rPr>
          <w:rFonts w:ascii="宋体" w:hAnsi="宋体" w:eastAsia="宋体" w:cs="宋体"/>
          <w:spacing w:val="5"/>
          <w:sz w:val="21"/>
          <w:szCs w:val="21"/>
        </w:rPr>
        <w:t xml:space="preserve"> </w:t>
      </w:r>
      <w:r>
        <w:rPr>
          <w:rFonts w:ascii="宋体" w:hAnsi="宋体" w:eastAsia="宋体" w:cs="宋体"/>
          <w:spacing w:val="10"/>
          <w:sz w:val="21"/>
          <w:szCs w:val="21"/>
        </w:rPr>
        <w:t>多阶段抽样产生的样本误差也相应增大，在抽样之前应掌握各级调查单位的人口资料及特点。我</w:t>
      </w:r>
      <w:r>
        <w:rPr>
          <w:rFonts w:ascii="宋体" w:hAnsi="宋体" w:eastAsia="宋体" w:cs="宋体"/>
          <w:spacing w:val="16"/>
          <w:sz w:val="21"/>
          <w:szCs w:val="21"/>
        </w:rPr>
        <w:t xml:space="preserve"> </w:t>
      </w:r>
      <w:r>
        <w:rPr>
          <w:rFonts w:ascii="宋体" w:hAnsi="宋体" w:eastAsia="宋体" w:cs="宋体"/>
          <w:spacing w:val="6"/>
          <w:sz w:val="21"/>
          <w:szCs w:val="21"/>
        </w:rPr>
        <w:t>国慢性病大规模调查就是采用此方法。</w:t>
      </w:r>
    </w:p>
    <w:p w14:paraId="29440BC8">
      <w:pPr>
        <w:spacing w:before="7" w:line="316" w:lineRule="auto"/>
        <w:ind w:right="687" w:firstLine="430"/>
        <w:jc w:val="both"/>
        <w:rPr>
          <w:rFonts w:ascii="宋体" w:hAnsi="宋体" w:eastAsia="宋体" w:cs="宋体"/>
          <w:sz w:val="21"/>
          <w:szCs w:val="21"/>
        </w:rPr>
      </w:pPr>
      <w:r>
        <w:rPr>
          <w:rFonts w:ascii="宋体" w:hAnsi="宋体" w:eastAsia="宋体" w:cs="宋体"/>
          <w:spacing w:val="5"/>
          <w:sz w:val="21"/>
          <w:szCs w:val="21"/>
        </w:rPr>
        <w:t>例如，在一项我国成人哮喘患病情况调查的现况研究中，采用多阶段分层整群抽样方法抽取样</w:t>
      </w:r>
      <w:r>
        <w:rPr>
          <w:rFonts w:ascii="宋体" w:hAnsi="宋体" w:eastAsia="宋体" w:cs="宋体"/>
          <w:spacing w:val="14"/>
          <w:sz w:val="21"/>
          <w:szCs w:val="21"/>
        </w:rPr>
        <w:t xml:space="preserve"> </w:t>
      </w:r>
      <w:r>
        <w:rPr>
          <w:rFonts w:ascii="宋体" w:hAnsi="宋体" w:eastAsia="宋体" w:cs="宋体"/>
          <w:spacing w:val="5"/>
          <w:sz w:val="21"/>
          <w:szCs w:val="21"/>
        </w:rPr>
        <w:t>本，具体抽样过程如下。第一阶段，根据地理区域在全国范围内选取10个省(自治区、直辖市)。第</w:t>
      </w:r>
      <w:r>
        <w:rPr>
          <w:rFonts w:ascii="宋体" w:hAnsi="宋体" w:eastAsia="宋体" w:cs="宋体"/>
          <w:spacing w:val="7"/>
          <w:sz w:val="21"/>
          <w:szCs w:val="21"/>
        </w:rPr>
        <w:t xml:space="preserve"> </w:t>
      </w:r>
      <w:r>
        <w:rPr>
          <w:rFonts w:ascii="宋体" w:hAnsi="宋体" w:eastAsia="宋体" w:cs="宋体"/>
          <w:spacing w:val="3"/>
          <w:sz w:val="21"/>
          <w:szCs w:val="21"/>
        </w:rPr>
        <w:t>二阶段，从其中每个省(自治区)中随机抽取一个大城市、</w:t>
      </w:r>
      <w:r>
        <w:rPr>
          <w:rFonts w:ascii="宋体" w:hAnsi="宋体" w:eastAsia="宋体" w:cs="宋体"/>
          <w:spacing w:val="-60"/>
          <w:sz w:val="21"/>
          <w:szCs w:val="21"/>
        </w:rPr>
        <w:t xml:space="preserve"> </w:t>
      </w:r>
      <w:r>
        <w:rPr>
          <w:rFonts w:ascii="宋体" w:hAnsi="宋体" w:eastAsia="宋体" w:cs="宋体"/>
          <w:spacing w:val="3"/>
          <w:sz w:val="21"/>
          <w:szCs w:val="21"/>
        </w:rPr>
        <w:t>一个中等城市、</w:t>
      </w:r>
      <w:r>
        <w:rPr>
          <w:rFonts w:ascii="宋体" w:hAnsi="宋体" w:eastAsia="宋体" w:cs="宋体"/>
          <w:spacing w:val="-54"/>
          <w:sz w:val="21"/>
          <w:szCs w:val="21"/>
        </w:rPr>
        <w:t xml:space="preserve"> </w:t>
      </w:r>
      <w:r>
        <w:rPr>
          <w:rFonts w:ascii="宋体" w:hAnsi="宋体" w:eastAsia="宋体" w:cs="宋体"/>
          <w:spacing w:val="3"/>
          <w:sz w:val="21"/>
          <w:szCs w:val="21"/>
        </w:rPr>
        <w:t>一个经济发达县和一个欠</w:t>
      </w:r>
      <w:r>
        <w:rPr>
          <w:rFonts w:ascii="宋体" w:hAnsi="宋体" w:eastAsia="宋体" w:cs="宋体"/>
          <w:sz w:val="21"/>
          <w:szCs w:val="21"/>
        </w:rPr>
        <w:t xml:space="preserve"> </w:t>
      </w:r>
      <w:r>
        <w:rPr>
          <w:rFonts w:ascii="宋体" w:hAnsi="宋体" w:eastAsia="宋体" w:cs="宋体"/>
          <w:spacing w:val="7"/>
          <w:sz w:val="21"/>
          <w:szCs w:val="21"/>
        </w:rPr>
        <w:t>发达县。第三阶段，从每个城市(县)随机抽取2个区(乡镇)。对于直辖市，第二、三阶段合并，每</w:t>
      </w:r>
      <w:r>
        <w:rPr>
          <w:rFonts w:ascii="宋体" w:hAnsi="宋体" w:eastAsia="宋体" w:cs="宋体"/>
          <w:spacing w:val="18"/>
          <w:sz w:val="21"/>
          <w:szCs w:val="21"/>
        </w:rPr>
        <w:t xml:space="preserve"> </w:t>
      </w:r>
      <w:r>
        <w:rPr>
          <w:rFonts w:ascii="宋体" w:hAnsi="宋体" w:eastAsia="宋体" w:cs="宋体"/>
          <w:spacing w:val="12"/>
          <w:sz w:val="21"/>
          <w:szCs w:val="21"/>
        </w:rPr>
        <w:t>个直辖市各抽取4个区和4个乡镇。第四阶段，从每个区(乡镇)随机抽取2个社区(村)。最后，从</w:t>
      </w:r>
      <w:r>
        <w:rPr>
          <w:rFonts w:ascii="宋体" w:hAnsi="宋体" w:eastAsia="宋体" w:cs="宋体"/>
          <w:spacing w:val="2"/>
          <w:sz w:val="21"/>
          <w:szCs w:val="21"/>
        </w:rPr>
        <w:t xml:space="preserve"> </w:t>
      </w:r>
      <w:r>
        <w:rPr>
          <w:rFonts w:ascii="宋体" w:hAnsi="宋体" w:eastAsia="宋体" w:cs="宋体"/>
          <w:spacing w:val="10"/>
          <w:sz w:val="21"/>
          <w:szCs w:val="21"/>
        </w:rPr>
        <w:t>选定的社区(村)中每户随机抽取20岁及以上居民一人进行调查，社区(村)内</w:t>
      </w:r>
      <w:r>
        <w:rPr>
          <w:rFonts w:ascii="宋体" w:hAnsi="宋体" w:eastAsia="宋体" w:cs="宋体"/>
          <w:spacing w:val="9"/>
          <w:sz w:val="21"/>
          <w:szCs w:val="21"/>
        </w:rPr>
        <w:t>性别和年龄构成根据</w:t>
      </w:r>
      <w:r>
        <w:rPr>
          <w:rFonts w:ascii="宋体" w:hAnsi="宋体" w:eastAsia="宋体" w:cs="宋体"/>
          <w:sz w:val="21"/>
          <w:szCs w:val="21"/>
        </w:rPr>
        <w:t xml:space="preserve"> </w:t>
      </w:r>
      <w:r>
        <w:rPr>
          <w:rFonts w:ascii="宋体" w:hAnsi="宋体" w:eastAsia="宋体" w:cs="宋体"/>
          <w:spacing w:val="12"/>
          <w:sz w:val="21"/>
          <w:szCs w:val="21"/>
        </w:rPr>
        <w:t>2010年全国人口普查数据确定。本次调查共抽取57779名成人。</w:t>
      </w:r>
    </w:p>
    <w:p w14:paraId="0906DFC3">
      <w:pPr>
        <w:pStyle w:val="2"/>
        <w:spacing w:before="73" w:line="222" w:lineRule="auto"/>
        <w:ind w:left="433"/>
        <w:rPr>
          <w:sz w:val="21"/>
          <w:szCs w:val="21"/>
        </w:rPr>
      </w:pPr>
      <w:r>
        <w:rPr>
          <w:b/>
          <w:bCs/>
          <w:spacing w:val="-17"/>
          <w:sz w:val="21"/>
          <w:szCs w:val="21"/>
        </w:rPr>
        <w:t>(</w:t>
      </w:r>
      <w:r>
        <w:rPr>
          <w:spacing w:val="-35"/>
          <w:sz w:val="21"/>
          <w:szCs w:val="21"/>
        </w:rPr>
        <w:t xml:space="preserve"> </w:t>
      </w:r>
      <w:r>
        <w:rPr>
          <w:b/>
          <w:bCs/>
          <w:spacing w:val="-17"/>
          <w:sz w:val="21"/>
          <w:szCs w:val="21"/>
        </w:rPr>
        <w:t>四</w:t>
      </w:r>
      <w:r>
        <w:rPr>
          <w:spacing w:val="-50"/>
          <w:sz w:val="21"/>
          <w:szCs w:val="21"/>
        </w:rPr>
        <w:t xml:space="preserve"> </w:t>
      </w:r>
      <w:r>
        <w:rPr>
          <w:b/>
          <w:bCs/>
          <w:spacing w:val="-17"/>
          <w:sz w:val="21"/>
          <w:szCs w:val="21"/>
        </w:rPr>
        <w:t>)</w:t>
      </w:r>
      <w:r>
        <w:rPr>
          <w:spacing w:val="-40"/>
          <w:sz w:val="21"/>
          <w:szCs w:val="21"/>
        </w:rPr>
        <w:t xml:space="preserve"> </w:t>
      </w:r>
      <w:r>
        <w:rPr>
          <w:b/>
          <w:bCs/>
          <w:spacing w:val="-17"/>
          <w:sz w:val="21"/>
          <w:szCs w:val="21"/>
        </w:rPr>
        <w:t>资</w:t>
      </w:r>
      <w:r>
        <w:rPr>
          <w:spacing w:val="-47"/>
          <w:sz w:val="21"/>
          <w:szCs w:val="21"/>
        </w:rPr>
        <w:t xml:space="preserve"> </w:t>
      </w:r>
      <w:r>
        <w:rPr>
          <w:b/>
          <w:bCs/>
          <w:spacing w:val="-17"/>
          <w:sz w:val="21"/>
          <w:szCs w:val="21"/>
        </w:rPr>
        <w:t>料</w:t>
      </w:r>
      <w:r>
        <w:rPr>
          <w:spacing w:val="-47"/>
          <w:sz w:val="21"/>
          <w:szCs w:val="21"/>
        </w:rPr>
        <w:t xml:space="preserve"> </w:t>
      </w:r>
      <w:r>
        <w:rPr>
          <w:b/>
          <w:bCs/>
          <w:spacing w:val="-17"/>
          <w:sz w:val="21"/>
          <w:szCs w:val="21"/>
        </w:rPr>
        <w:t>收</w:t>
      </w:r>
      <w:r>
        <w:rPr>
          <w:spacing w:val="-45"/>
          <w:sz w:val="21"/>
          <w:szCs w:val="21"/>
        </w:rPr>
        <w:t xml:space="preserve"> </w:t>
      </w:r>
      <w:r>
        <w:rPr>
          <w:b/>
          <w:bCs/>
          <w:spacing w:val="-17"/>
          <w:sz w:val="21"/>
          <w:szCs w:val="21"/>
        </w:rPr>
        <w:t>集</w:t>
      </w:r>
    </w:p>
    <w:p w14:paraId="6F6576DE">
      <w:pPr>
        <w:spacing w:before="101" w:line="318" w:lineRule="auto"/>
        <w:ind w:right="596" w:firstLine="430"/>
        <w:jc w:val="both"/>
        <w:rPr>
          <w:rFonts w:ascii="宋体" w:hAnsi="宋体" w:eastAsia="宋体" w:cs="宋体"/>
          <w:sz w:val="21"/>
          <w:szCs w:val="21"/>
        </w:rPr>
      </w:pPr>
      <w:r>
        <w:rPr>
          <w:rFonts w:ascii="宋体" w:hAnsi="宋体" w:eastAsia="宋体" w:cs="宋体"/>
          <w:sz w:val="21"/>
          <w:szCs w:val="21"/>
        </w:rPr>
        <w:t>在现况研究中，收集资料的方法一经确定，就不能变更，在整个研究过程中</w:t>
      </w:r>
      <w:r>
        <w:rPr>
          <w:rFonts w:ascii="宋体" w:hAnsi="宋体" w:eastAsia="宋体" w:cs="宋体"/>
          <w:spacing w:val="-1"/>
          <w:sz w:val="21"/>
          <w:szCs w:val="21"/>
        </w:rPr>
        <w:t>必须保持一致，以保</w:t>
      </w:r>
      <w:r>
        <w:rPr>
          <w:rFonts w:ascii="宋体" w:hAnsi="宋体" w:eastAsia="宋体" w:cs="宋体"/>
          <w:sz w:val="21"/>
          <w:szCs w:val="21"/>
        </w:rPr>
        <w:t xml:space="preserve">  </w:t>
      </w:r>
      <w:r>
        <w:rPr>
          <w:rFonts w:ascii="宋体" w:hAnsi="宋体" w:eastAsia="宋体" w:cs="宋体"/>
          <w:spacing w:val="7"/>
          <w:sz w:val="21"/>
          <w:szCs w:val="21"/>
        </w:rPr>
        <w:t>证调查资料的同质性。资料收集过程中要注意，暴露(特征)的定义和疾病的标准均要明确和统一。</w:t>
      </w:r>
      <w:r>
        <w:rPr>
          <w:rFonts w:ascii="宋体" w:hAnsi="宋体" w:eastAsia="宋体" w:cs="宋体"/>
          <w:spacing w:val="16"/>
          <w:sz w:val="21"/>
          <w:szCs w:val="21"/>
        </w:rPr>
        <w:t xml:space="preserve"> </w:t>
      </w:r>
      <w:r>
        <w:rPr>
          <w:rFonts w:ascii="宋体" w:hAnsi="宋体" w:eastAsia="宋体" w:cs="宋体"/>
          <w:spacing w:val="4"/>
          <w:sz w:val="21"/>
          <w:szCs w:val="21"/>
        </w:rPr>
        <w:t>所有参与检验或检测人员以及调查员都须经过培训，以统一调查和检测标准，</w:t>
      </w:r>
      <w:r>
        <w:rPr>
          <w:rFonts w:ascii="宋体" w:hAnsi="宋体" w:eastAsia="宋体" w:cs="宋体"/>
          <w:spacing w:val="3"/>
          <w:sz w:val="21"/>
          <w:szCs w:val="21"/>
        </w:rPr>
        <w:t>避免产生测量偏倚。</w:t>
      </w:r>
    </w:p>
    <w:p w14:paraId="1ACF632D">
      <w:pPr>
        <w:pStyle w:val="2"/>
        <w:spacing w:before="10" w:line="310" w:lineRule="auto"/>
        <w:ind w:right="700" w:firstLine="433"/>
        <w:jc w:val="both"/>
        <w:rPr>
          <w:rFonts w:ascii="宋体" w:hAnsi="宋体" w:eastAsia="宋体" w:cs="宋体"/>
          <w:sz w:val="21"/>
          <w:szCs w:val="21"/>
        </w:rPr>
      </w:pPr>
      <w:r>
        <w:rPr>
          <w:rFonts w:ascii="宋体" w:hAnsi="宋体" w:eastAsia="宋体" w:cs="宋体"/>
          <w:b/>
          <w:bCs/>
          <w:spacing w:val="6"/>
          <w:sz w:val="21"/>
          <w:szCs w:val="21"/>
        </w:rPr>
        <w:t>1.</w:t>
      </w:r>
      <w:r>
        <w:rPr>
          <w:rFonts w:ascii="宋体" w:hAnsi="宋体" w:eastAsia="宋体" w:cs="宋体"/>
          <w:spacing w:val="6"/>
          <w:sz w:val="21"/>
          <w:szCs w:val="21"/>
        </w:rPr>
        <w:t xml:space="preserve"> </w:t>
      </w:r>
      <w:r>
        <w:rPr>
          <w:b/>
          <w:bCs/>
          <w:spacing w:val="6"/>
          <w:sz w:val="21"/>
          <w:szCs w:val="21"/>
        </w:rPr>
        <w:t>确定拟收集资料的内容</w:t>
      </w:r>
      <w:r>
        <w:rPr>
          <w:spacing w:val="6"/>
          <w:sz w:val="21"/>
          <w:szCs w:val="21"/>
        </w:rPr>
        <w:t xml:space="preserve">  </w:t>
      </w:r>
      <w:r>
        <w:rPr>
          <w:rFonts w:ascii="宋体" w:hAnsi="宋体" w:eastAsia="宋体" w:cs="宋体"/>
          <w:spacing w:val="6"/>
          <w:sz w:val="21"/>
          <w:szCs w:val="21"/>
        </w:rPr>
        <w:t>现况研究最基本的内容是调查对象有无某种疾病或特征，并尽可</w:t>
      </w:r>
      <w:r>
        <w:rPr>
          <w:rFonts w:ascii="宋体" w:hAnsi="宋体" w:eastAsia="宋体" w:cs="宋体"/>
          <w:spacing w:val="15"/>
          <w:sz w:val="21"/>
          <w:szCs w:val="21"/>
        </w:rPr>
        <w:t xml:space="preserve"> </w:t>
      </w:r>
      <w:r>
        <w:rPr>
          <w:rFonts w:ascii="宋体" w:hAnsi="宋体" w:eastAsia="宋体" w:cs="宋体"/>
          <w:spacing w:val="5"/>
          <w:sz w:val="21"/>
          <w:szCs w:val="21"/>
        </w:rPr>
        <w:t xml:space="preserve">能以分级或定量方法进行调查。此外，为了说明分布状况和相关因素的作用，需收集社会、环境因 </w:t>
      </w:r>
      <w:r>
        <w:rPr>
          <w:rFonts w:ascii="宋体" w:hAnsi="宋体" w:eastAsia="宋体" w:cs="宋体"/>
          <w:spacing w:val="-1"/>
          <w:sz w:val="21"/>
          <w:szCs w:val="21"/>
        </w:rPr>
        <w:t>素等其他资料，</w:t>
      </w:r>
      <w:r>
        <w:rPr>
          <w:rFonts w:ascii="宋体" w:hAnsi="宋体" w:eastAsia="宋体" w:cs="宋体"/>
          <w:spacing w:val="-45"/>
          <w:sz w:val="21"/>
          <w:szCs w:val="21"/>
        </w:rPr>
        <w:t xml:space="preserve"> </w:t>
      </w:r>
      <w:r>
        <w:rPr>
          <w:rFonts w:ascii="宋体" w:hAnsi="宋体" w:eastAsia="宋体" w:cs="宋体"/>
          <w:spacing w:val="-1"/>
          <w:sz w:val="21"/>
          <w:szCs w:val="21"/>
        </w:rPr>
        <w:t>一般包括以下几方面：</w:t>
      </w:r>
    </w:p>
    <w:p w14:paraId="723FCC45">
      <w:pPr>
        <w:spacing w:before="26" w:line="264" w:lineRule="auto"/>
        <w:ind w:right="694" w:firstLine="430"/>
        <w:rPr>
          <w:rFonts w:ascii="宋体" w:hAnsi="宋体" w:eastAsia="宋体" w:cs="宋体"/>
          <w:sz w:val="21"/>
          <w:szCs w:val="21"/>
        </w:rPr>
      </w:pPr>
      <w:r>
        <w:rPr>
          <w:rFonts w:ascii="宋体" w:hAnsi="宋体" w:eastAsia="宋体" w:cs="宋体"/>
          <w:spacing w:val="-2"/>
          <w:sz w:val="21"/>
          <w:szCs w:val="21"/>
        </w:rPr>
        <w:t>(1)个人的基本情况：年龄、出生日期、性别、民族、文化程度、婚姻状</w:t>
      </w:r>
      <w:r>
        <w:rPr>
          <w:rFonts w:ascii="宋体" w:hAnsi="宋体" w:eastAsia="宋体" w:cs="宋体"/>
          <w:spacing w:val="-3"/>
          <w:sz w:val="21"/>
          <w:szCs w:val="21"/>
        </w:rPr>
        <w:t>况、家庭人口数及结构组</w:t>
      </w:r>
      <w:r>
        <w:rPr>
          <w:rFonts w:ascii="宋体" w:hAnsi="宋体" w:eastAsia="宋体" w:cs="宋体"/>
          <w:sz w:val="21"/>
          <w:szCs w:val="21"/>
        </w:rPr>
        <w:t xml:space="preserve"> </w:t>
      </w:r>
      <w:r>
        <w:rPr>
          <w:rFonts w:ascii="宋体" w:hAnsi="宋体" w:eastAsia="宋体" w:cs="宋体"/>
          <w:spacing w:val="1"/>
          <w:sz w:val="21"/>
          <w:szCs w:val="21"/>
        </w:rPr>
        <w:t>成、家庭经济状况等。</w:t>
      </w:r>
    </w:p>
    <w:p w14:paraId="2CF0B76B">
      <w:pPr>
        <w:spacing w:before="141" w:line="219" w:lineRule="auto"/>
        <w:ind w:left="430"/>
        <w:rPr>
          <w:rFonts w:ascii="宋体" w:hAnsi="宋体" w:eastAsia="宋体" w:cs="宋体"/>
          <w:sz w:val="21"/>
          <w:szCs w:val="21"/>
        </w:rPr>
      </w:pPr>
      <w:r>
        <w:rPr>
          <w:rFonts w:ascii="宋体" w:hAnsi="宋体" w:eastAsia="宋体" w:cs="宋体"/>
          <w:sz w:val="21"/>
          <w:szCs w:val="21"/>
        </w:rPr>
        <w:t>(2)职业情况：具体工作性质、种类、职务</w:t>
      </w:r>
      <w:r>
        <w:rPr>
          <w:rFonts w:ascii="宋体" w:hAnsi="宋体" w:eastAsia="宋体" w:cs="宋体"/>
          <w:spacing w:val="-1"/>
          <w:sz w:val="21"/>
          <w:szCs w:val="21"/>
        </w:rPr>
        <w:t>、从事该工作年限、与职业有关的特殊情况等。</w:t>
      </w:r>
    </w:p>
    <w:p w14:paraId="17CA4F71">
      <w:pPr>
        <w:spacing w:before="110" w:line="268" w:lineRule="auto"/>
        <w:ind w:right="690" w:firstLine="430"/>
        <w:rPr>
          <w:rFonts w:ascii="宋体" w:hAnsi="宋体" w:eastAsia="宋体" w:cs="宋体"/>
          <w:sz w:val="21"/>
          <w:szCs w:val="21"/>
        </w:rPr>
      </w:pPr>
      <w:r>
        <w:rPr>
          <w:rFonts w:ascii="宋体" w:hAnsi="宋体" w:eastAsia="宋体" w:cs="宋体"/>
          <w:spacing w:val="3"/>
          <w:sz w:val="21"/>
          <w:szCs w:val="21"/>
        </w:rPr>
        <w:t>(3)生活习惯及保健情况：饮食情况、吸烟史及量、饮酒史及量</w:t>
      </w:r>
      <w:r>
        <w:rPr>
          <w:rFonts w:ascii="宋体" w:hAnsi="宋体" w:eastAsia="宋体" w:cs="宋体"/>
          <w:spacing w:val="2"/>
          <w:sz w:val="21"/>
          <w:szCs w:val="21"/>
        </w:rPr>
        <w:t>、个人对自我保健的重视程度及</w:t>
      </w:r>
      <w:r>
        <w:rPr>
          <w:rFonts w:ascii="宋体" w:hAnsi="宋体" w:eastAsia="宋体" w:cs="宋体"/>
          <w:sz w:val="21"/>
          <w:szCs w:val="21"/>
        </w:rPr>
        <w:t xml:space="preserve"> 开展情况、医疗保健条件、体育锻炼情况等。</w:t>
      </w:r>
    </w:p>
    <w:p w14:paraId="14909E6A">
      <w:pPr>
        <w:spacing w:before="111" w:line="219" w:lineRule="auto"/>
        <w:ind w:left="430"/>
        <w:rPr>
          <w:rFonts w:ascii="宋体" w:hAnsi="宋体" w:eastAsia="宋体" w:cs="宋体"/>
          <w:sz w:val="21"/>
          <w:szCs w:val="21"/>
        </w:rPr>
      </w:pPr>
      <w:r>
        <w:rPr>
          <w:rFonts w:ascii="宋体" w:hAnsi="宋体" w:eastAsia="宋体" w:cs="宋体"/>
          <w:spacing w:val="3"/>
          <w:sz w:val="21"/>
          <w:szCs w:val="21"/>
        </w:rPr>
        <w:t>(4)妇女生育情况：月经史、生育史、使用避孕药物及其他激素类药物的情况等。</w:t>
      </w:r>
    </w:p>
    <w:p w14:paraId="31EE8A30">
      <w:pPr>
        <w:spacing w:before="131" w:line="268" w:lineRule="auto"/>
        <w:ind w:right="691" w:firstLine="430"/>
        <w:rPr>
          <w:rFonts w:ascii="宋体" w:hAnsi="宋体" w:eastAsia="宋体" w:cs="宋体"/>
          <w:sz w:val="21"/>
          <w:szCs w:val="21"/>
        </w:rPr>
      </w:pPr>
      <w:r>
        <w:rPr>
          <w:rFonts w:ascii="宋体" w:hAnsi="宋体" w:eastAsia="宋体" w:cs="宋体"/>
          <w:spacing w:val="14"/>
          <w:sz w:val="21"/>
          <w:szCs w:val="21"/>
        </w:rPr>
        <w:t>(5)病史及家族史：是否患有与调查疾病相关的其他疾病、</w:t>
      </w:r>
      <w:r>
        <w:rPr>
          <w:rFonts w:ascii="宋体" w:hAnsi="宋体" w:eastAsia="宋体" w:cs="宋体"/>
          <w:spacing w:val="78"/>
          <w:sz w:val="21"/>
          <w:szCs w:val="21"/>
        </w:rPr>
        <w:t xml:space="preserve"> </w:t>
      </w:r>
      <w:r>
        <w:rPr>
          <w:rFonts w:ascii="宋体" w:hAnsi="宋体" w:eastAsia="宋体" w:cs="宋体"/>
          <w:spacing w:val="14"/>
          <w:sz w:val="21"/>
          <w:szCs w:val="21"/>
        </w:rPr>
        <w:t>一级亲属中相关疾病的患病情</w:t>
      </w:r>
      <w:r>
        <w:rPr>
          <w:rFonts w:ascii="宋体" w:hAnsi="宋体" w:eastAsia="宋体" w:cs="宋体"/>
          <w:sz w:val="21"/>
          <w:szCs w:val="21"/>
        </w:rPr>
        <w:t xml:space="preserve"> </w:t>
      </w:r>
      <w:r>
        <w:rPr>
          <w:rFonts w:ascii="宋体" w:hAnsi="宋体" w:eastAsia="宋体" w:cs="宋体"/>
          <w:spacing w:val="11"/>
          <w:sz w:val="21"/>
          <w:szCs w:val="21"/>
        </w:rPr>
        <w:t>况等。</w:t>
      </w:r>
    </w:p>
    <w:p w14:paraId="2B4623F9">
      <w:pPr>
        <w:spacing w:before="119" w:line="219" w:lineRule="auto"/>
        <w:ind w:left="430"/>
        <w:rPr>
          <w:rFonts w:ascii="宋体" w:hAnsi="宋体" w:eastAsia="宋体" w:cs="宋体"/>
          <w:sz w:val="21"/>
          <w:szCs w:val="21"/>
        </w:rPr>
      </w:pPr>
      <w:r>
        <w:rPr>
          <w:rFonts w:ascii="宋体" w:hAnsi="宋体" w:eastAsia="宋体" w:cs="宋体"/>
          <w:spacing w:val="4"/>
          <w:sz w:val="21"/>
          <w:szCs w:val="21"/>
        </w:rPr>
        <w:t>(6)环境资料：生活环境和工作环境中的某些暴</w:t>
      </w:r>
      <w:r>
        <w:rPr>
          <w:rFonts w:ascii="宋体" w:hAnsi="宋体" w:eastAsia="宋体" w:cs="宋体"/>
          <w:spacing w:val="3"/>
          <w:sz w:val="21"/>
          <w:szCs w:val="21"/>
        </w:rPr>
        <w:t>露信息，最好用客观的、数量化的指标表示。</w:t>
      </w:r>
    </w:p>
    <w:p w14:paraId="70E1BBAA">
      <w:pPr>
        <w:spacing w:before="122" w:line="219" w:lineRule="auto"/>
        <w:ind w:left="430"/>
        <w:rPr>
          <w:rFonts w:ascii="宋体" w:hAnsi="宋体" w:eastAsia="宋体" w:cs="宋体"/>
          <w:sz w:val="21"/>
          <w:szCs w:val="21"/>
        </w:rPr>
      </w:pPr>
      <w:r>
        <w:rPr>
          <w:rFonts w:ascii="宋体" w:hAnsi="宋体" w:eastAsia="宋体" w:cs="宋体"/>
          <w:spacing w:val="3"/>
          <w:sz w:val="21"/>
          <w:szCs w:val="21"/>
        </w:rPr>
        <w:t>(7)人口学资料：抽样总体的人口数、按不同人口学特征分组的人口数，以便计算各种</w:t>
      </w:r>
      <w:r>
        <w:rPr>
          <w:rFonts w:ascii="宋体" w:hAnsi="宋体" w:eastAsia="宋体" w:cs="宋体"/>
          <w:spacing w:val="2"/>
          <w:sz w:val="21"/>
          <w:szCs w:val="21"/>
        </w:rPr>
        <w:t>率，如患</w:t>
      </w:r>
    </w:p>
    <w:p w14:paraId="340FD1A7">
      <w:pPr>
        <w:spacing w:line="219" w:lineRule="auto"/>
        <w:rPr>
          <w:rFonts w:ascii="宋体" w:hAnsi="宋体" w:eastAsia="宋体" w:cs="宋体"/>
          <w:sz w:val="21"/>
          <w:szCs w:val="21"/>
        </w:rPr>
        <w:sectPr>
          <w:footerReference r:id="rId71" w:type="default"/>
          <w:pgSz w:w="11900" w:h="16820"/>
          <w:pgMar w:top="400" w:right="648" w:bottom="866" w:left="1299" w:header="0" w:footer="677" w:gutter="0"/>
          <w:cols w:space="720" w:num="1"/>
        </w:sectPr>
      </w:pPr>
    </w:p>
    <w:p w14:paraId="0080325C">
      <w:pPr>
        <w:pStyle w:val="2"/>
        <w:spacing w:before="116" w:line="222" w:lineRule="auto"/>
        <w:ind w:left="719"/>
        <w:rPr>
          <w:sz w:val="20"/>
          <w:szCs w:val="20"/>
        </w:rPr>
      </w:pPr>
      <w:r>
        <w:rPr>
          <w:spacing w:val="-11"/>
          <w:sz w:val="20"/>
          <w:szCs w:val="20"/>
        </w:rPr>
        <w:t>第三章描述性研究</w:t>
      </w:r>
    </w:p>
    <w:p w14:paraId="6A63CEA6">
      <w:pPr>
        <w:spacing w:line="281" w:lineRule="auto"/>
        <w:rPr>
          <w:rFonts w:ascii="Arial"/>
          <w:sz w:val="21"/>
        </w:rPr>
      </w:pPr>
    </w:p>
    <w:p w14:paraId="7C8D598C">
      <w:pPr>
        <w:spacing w:line="281" w:lineRule="auto"/>
        <w:rPr>
          <w:rFonts w:ascii="Arial"/>
          <w:sz w:val="21"/>
        </w:rPr>
      </w:pPr>
    </w:p>
    <w:p w14:paraId="10F05DC5">
      <w:pPr>
        <w:spacing w:before="65" w:line="219" w:lineRule="auto"/>
        <w:ind w:left="719"/>
        <w:rPr>
          <w:rFonts w:ascii="宋体" w:hAnsi="宋体" w:eastAsia="宋体" w:cs="宋体"/>
          <w:sz w:val="20"/>
          <w:szCs w:val="20"/>
        </w:rPr>
      </w:pPr>
      <w:r>
        <w:rPr>
          <w:rFonts w:ascii="宋体" w:hAnsi="宋体" w:eastAsia="宋体" w:cs="宋体"/>
          <w:spacing w:val="-4"/>
          <w:sz w:val="20"/>
          <w:szCs w:val="20"/>
        </w:rPr>
        <w:t>病率、感染率等。</w:t>
      </w:r>
    </w:p>
    <w:p w14:paraId="5535CCFA">
      <w:pPr>
        <w:pStyle w:val="2"/>
        <w:spacing w:before="120" w:line="290" w:lineRule="auto"/>
        <w:ind w:left="719" w:right="63" w:firstLine="410"/>
        <w:rPr>
          <w:rFonts w:ascii="宋体" w:hAnsi="宋体" w:eastAsia="宋体" w:cs="宋体"/>
          <w:sz w:val="20"/>
          <w:szCs w:val="20"/>
        </w:rPr>
      </w:pPr>
      <w:r>
        <w:rPr>
          <w:rFonts w:ascii="宋体" w:hAnsi="宋体" w:eastAsia="宋体" w:cs="宋体"/>
          <w:spacing w:val="6"/>
          <w:sz w:val="20"/>
          <w:szCs w:val="20"/>
        </w:rPr>
        <w:t xml:space="preserve">2. </w:t>
      </w:r>
      <w:r>
        <w:rPr>
          <w:spacing w:val="6"/>
          <w:sz w:val="20"/>
          <w:szCs w:val="20"/>
        </w:rPr>
        <w:t>调查员培训</w:t>
      </w:r>
      <w:r>
        <w:rPr>
          <w:spacing w:val="64"/>
          <w:sz w:val="20"/>
          <w:szCs w:val="20"/>
        </w:rPr>
        <w:t xml:space="preserve"> </w:t>
      </w:r>
      <w:r>
        <w:rPr>
          <w:rFonts w:ascii="宋体" w:hAnsi="宋体" w:eastAsia="宋体" w:cs="宋体"/>
          <w:spacing w:val="6"/>
          <w:sz w:val="20"/>
          <w:szCs w:val="20"/>
        </w:rPr>
        <w:t>在调查之前应对参加调查的人员按照标准的方法进行统一培训，</w:t>
      </w:r>
      <w:r>
        <w:rPr>
          <w:rFonts w:ascii="宋体" w:hAnsi="宋体" w:eastAsia="宋体" w:cs="宋体"/>
          <w:spacing w:val="5"/>
          <w:sz w:val="20"/>
          <w:szCs w:val="20"/>
        </w:rPr>
        <w:t>使其掌握调</w:t>
      </w:r>
      <w:r>
        <w:rPr>
          <w:rFonts w:ascii="宋体" w:hAnsi="宋体" w:eastAsia="宋体" w:cs="宋体"/>
          <w:sz w:val="20"/>
          <w:szCs w:val="20"/>
        </w:rPr>
        <w:t xml:space="preserve"> </w:t>
      </w:r>
      <w:r>
        <w:rPr>
          <w:rFonts w:ascii="宋体" w:hAnsi="宋体" w:eastAsia="宋体" w:cs="宋体"/>
          <w:spacing w:val="3"/>
          <w:sz w:val="20"/>
          <w:szCs w:val="20"/>
        </w:rPr>
        <w:t>查的方法，保证收集资料方法和标准的一致性。这是保证收集</w:t>
      </w:r>
      <w:r>
        <w:rPr>
          <w:rFonts w:ascii="宋体" w:hAnsi="宋体" w:eastAsia="宋体" w:cs="宋体"/>
          <w:spacing w:val="2"/>
          <w:sz w:val="20"/>
          <w:szCs w:val="20"/>
        </w:rPr>
        <w:t>的研究资料准确性的重要环节。</w:t>
      </w:r>
    </w:p>
    <w:p w14:paraId="780345C1">
      <w:pPr>
        <w:pStyle w:val="2"/>
        <w:spacing w:before="106" w:line="334" w:lineRule="auto"/>
        <w:ind w:left="719" w:firstLine="410"/>
        <w:rPr>
          <w:rFonts w:ascii="宋体" w:hAnsi="宋体" w:eastAsia="宋体" w:cs="宋体"/>
          <w:sz w:val="20"/>
          <w:szCs w:val="20"/>
        </w:rPr>
      </w:pPr>
      <w:r>
        <w:rPr>
          <w:rFonts w:ascii="宋体" w:hAnsi="宋体" w:eastAsia="宋体" w:cs="宋体"/>
          <w:spacing w:val="5"/>
          <w:sz w:val="20"/>
          <w:szCs w:val="20"/>
        </w:rPr>
        <w:t xml:space="preserve">3. </w:t>
      </w:r>
      <w:r>
        <w:rPr>
          <w:spacing w:val="5"/>
          <w:sz w:val="20"/>
          <w:szCs w:val="20"/>
        </w:rPr>
        <w:t>资料的收集方法</w:t>
      </w:r>
      <w:r>
        <w:rPr>
          <w:spacing w:val="90"/>
          <w:sz w:val="20"/>
          <w:szCs w:val="20"/>
        </w:rPr>
        <w:t xml:space="preserve"> </w:t>
      </w:r>
      <w:r>
        <w:rPr>
          <w:rFonts w:ascii="宋体" w:hAnsi="宋体" w:eastAsia="宋体" w:cs="宋体"/>
          <w:spacing w:val="5"/>
          <w:sz w:val="20"/>
          <w:szCs w:val="20"/>
        </w:rPr>
        <w:t>在现况研究中，资料的收集一般有三种方法：第</w:t>
      </w:r>
      <w:r>
        <w:rPr>
          <w:rFonts w:ascii="宋体" w:hAnsi="宋体" w:eastAsia="宋体" w:cs="宋体"/>
          <w:spacing w:val="4"/>
          <w:sz w:val="20"/>
          <w:szCs w:val="20"/>
        </w:rPr>
        <w:t>一种是通过实验室检测</w:t>
      </w:r>
      <w:r>
        <w:rPr>
          <w:rFonts w:ascii="宋体" w:hAnsi="宋体" w:eastAsia="宋体" w:cs="宋体"/>
          <w:sz w:val="20"/>
          <w:szCs w:val="20"/>
        </w:rPr>
        <w:t xml:space="preserve">  或检查的方法来获得，如生化指标检测、HBV</w:t>
      </w:r>
      <w:r>
        <w:rPr>
          <w:rFonts w:ascii="宋体" w:hAnsi="宋体" w:eastAsia="宋体" w:cs="宋体"/>
          <w:spacing w:val="64"/>
          <w:sz w:val="20"/>
          <w:szCs w:val="20"/>
        </w:rPr>
        <w:t xml:space="preserve"> </w:t>
      </w:r>
      <w:r>
        <w:rPr>
          <w:rFonts w:ascii="宋体" w:hAnsi="宋体" w:eastAsia="宋体" w:cs="宋体"/>
          <w:sz w:val="20"/>
          <w:szCs w:val="20"/>
        </w:rPr>
        <w:t>表面抗原(HBsAg)</w:t>
      </w:r>
      <w:r>
        <w:rPr>
          <w:rFonts w:ascii="宋体" w:hAnsi="宋体" w:eastAsia="宋体" w:cs="宋体"/>
          <w:spacing w:val="43"/>
          <w:sz w:val="20"/>
          <w:szCs w:val="20"/>
        </w:rPr>
        <w:t xml:space="preserve"> </w:t>
      </w:r>
      <w:r>
        <w:rPr>
          <w:rFonts w:ascii="宋体" w:hAnsi="宋体" w:eastAsia="宋体" w:cs="宋体"/>
          <w:sz w:val="20"/>
          <w:szCs w:val="20"/>
        </w:rPr>
        <w:t xml:space="preserve">检查等。第二种是编制调查表后对 </w:t>
      </w:r>
      <w:r>
        <w:rPr>
          <w:rFonts w:ascii="宋体" w:hAnsi="宋体" w:eastAsia="宋体" w:cs="宋体"/>
          <w:spacing w:val="3"/>
          <w:sz w:val="20"/>
          <w:szCs w:val="20"/>
        </w:rPr>
        <w:t>研究对象进行调查，进而获得暴露或疾病的资料</w:t>
      </w:r>
      <w:r>
        <w:rPr>
          <w:rFonts w:ascii="宋体" w:hAnsi="宋体" w:eastAsia="宋体" w:cs="宋体"/>
          <w:spacing w:val="2"/>
          <w:sz w:val="20"/>
          <w:szCs w:val="20"/>
        </w:rPr>
        <w:t>。第三种是利用常规资料。具体可以采用：①常规</w:t>
      </w:r>
      <w:r>
        <w:rPr>
          <w:rFonts w:ascii="宋体" w:hAnsi="宋体" w:eastAsia="宋体" w:cs="宋体"/>
          <w:sz w:val="20"/>
          <w:szCs w:val="20"/>
        </w:rPr>
        <w:t xml:space="preserve"> </w:t>
      </w:r>
      <w:r>
        <w:rPr>
          <w:rFonts w:ascii="宋体" w:hAnsi="宋体" w:eastAsia="宋体" w:cs="宋体"/>
          <w:spacing w:val="3"/>
          <w:sz w:val="20"/>
          <w:szCs w:val="20"/>
        </w:rPr>
        <w:t>登记和报告：利用疾病报告登记、体检记录、医疗记录或其他现有</w:t>
      </w:r>
      <w:r>
        <w:rPr>
          <w:rFonts w:ascii="宋体" w:hAnsi="宋体" w:eastAsia="宋体" w:cs="宋体"/>
          <w:spacing w:val="2"/>
          <w:sz w:val="20"/>
          <w:szCs w:val="20"/>
        </w:rPr>
        <w:t>有关记录的资料。②专题询问调</w:t>
      </w:r>
      <w:r>
        <w:rPr>
          <w:rFonts w:ascii="宋体" w:hAnsi="宋体" w:eastAsia="宋体" w:cs="宋体"/>
          <w:sz w:val="20"/>
          <w:szCs w:val="20"/>
        </w:rPr>
        <w:t xml:space="preserve"> </w:t>
      </w:r>
      <w:r>
        <w:rPr>
          <w:rFonts w:ascii="宋体" w:hAnsi="宋体" w:eastAsia="宋体" w:cs="宋体"/>
          <w:spacing w:val="-2"/>
          <w:sz w:val="20"/>
          <w:szCs w:val="20"/>
        </w:rPr>
        <w:t>查与信函调查：根据调查目的和疾病种类制订调查表。调查中应注意调查对象的“无应答”率</w:t>
      </w:r>
      <w:r>
        <w:rPr>
          <w:rFonts w:ascii="宋体" w:hAnsi="宋体" w:eastAsia="宋体" w:cs="宋体"/>
          <w:spacing w:val="-3"/>
          <w:sz w:val="20"/>
          <w:szCs w:val="20"/>
        </w:rPr>
        <w:t>，因为</w:t>
      </w:r>
      <w:r>
        <w:rPr>
          <w:rFonts w:ascii="宋体" w:hAnsi="宋体" w:eastAsia="宋体" w:cs="宋体"/>
          <w:sz w:val="20"/>
          <w:szCs w:val="20"/>
        </w:rPr>
        <w:t xml:space="preserve"> </w:t>
      </w:r>
      <w:r>
        <w:rPr>
          <w:rFonts w:ascii="宋体" w:hAnsi="宋体" w:eastAsia="宋体" w:cs="宋体"/>
          <w:spacing w:val="2"/>
          <w:sz w:val="20"/>
          <w:szCs w:val="20"/>
        </w:rPr>
        <w:t>它是影响数据收集的重要因素。</w:t>
      </w:r>
      <w:r>
        <w:rPr>
          <w:rFonts w:ascii="宋体" w:hAnsi="宋体" w:eastAsia="宋体" w:cs="宋体"/>
          <w:spacing w:val="-11"/>
          <w:sz w:val="20"/>
          <w:szCs w:val="20"/>
        </w:rPr>
        <w:t xml:space="preserve"> </w:t>
      </w:r>
      <w:r>
        <w:rPr>
          <w:rFonts w:ascii="宋体" w:hAnsi="宋体" w:eastAsia="宋体" w:cs="宋体"/>
          <w:spacing w:val="2"/>
          <w:sz w:val="20"/>
          <w:szCs w:val="20"/>
        </w:rPr>
        <w:t>一般认为调查的“无应答”率不得超过30%,否则样本的代表性差，</w:t>
      </w:r>
      <w:r>
        <w:rPr>
          <w:rFonts w:ascii="宋体" w:hAnsi="宋体" w:eastAsia="宋体" w:cs="宋体"/>
          <w:sz w:val="20"/>
          <w:szCs w:val="20"/>
        </w:rPr>
        <w:t xml:space="preserve"> </w:t>
      </w:r>
      <w:r>
        <w:rPr>
          <w:rFonts w:ascii="宋体" w:hAnsi="宋体" w:eastAsia="宋体" w:cs="宋体"/>
          <w:spacing w:val="7"/>
          <w:sz w:val="20"/>
          <w:szCs w:val="20"/>
        </w:rPr>
        <w:t>可能会影响结果的真实性。③临床检查及其他特殊检查的有关资料：收集各种医学检查数据和为</w:t>
      </w:r>
      <w:r>
        <w:rPr>
          <w:rFonts w:ascii="宋体" w:hAnsi="宋体" w:eastAsia="宋体" w:cs="宋体"/>
          <w:spacing w:val="15"/>
          <w:sz w:val="20"/>
          <w:szCs w:val="20"/>
        </w:rPr>
        <w:t xml:space="preserve"> </w:t>
      </w:r>
      <w:r>
        <w:rPr>
          <w:rFonts w:ascii="宋体" w:hAnsi="宋体" w:eastAsia="宋体" w:cs="宋体"/>
          <w:spacing w:val="-4"/>
          <w:sz w:val="20"/>
          <w:szCs w:val="20"/>
        </w:rPr>
        <w:t>特殊目的进行的检查数据，例如就业、人学、入伍前体格检查等的数据。</w:t>
      </w:r>
    </w:p>
    <w:p w14:paraId="4A98C34C">
      <w:pPr>
        <w:spacing w:line="301" w:lineRule="auto"/>
        <w:rPr>
          <w:rFonts w:ascii="Arial"/>
          <w:sz w:val="21"/>
        </w:rPr>
      </w:pPr>
    </w:p>
    <w:p w14:paraId="1F728C02">
      <w:pPr>
        <w:pStyle w:val="2"/>
        <w:spacing w:before="65" w:line="222" w:lineRule="auto"/>
        <w:ind w:left="1132"/>
        <w:outlineLvl w:val="2"/>
        <w:rPr>
          <w:sz w:val="20"/>
          <w:szCs w:val="20"/>
        </w:rPr>
      </w:pPr>
      <w:bookmarkStart w:id="76" w:name="bookmark42"/>
      <w:bookmarkEnd w:id="76"/>
      <w:r>
        <w:rPr>
          <w:b/>
          <w:bCs/>
          <w:spacing w:val="29"/>
          <w:sz w:val="20"/>
          <w:szCs w:val="20"/>
        </w:rPr>
        <w:t>三</w:t>
      </w:r>
      <w:r>
        <w:rPr>
          <w:spacing w:val="29"/>
          <w:sz w:val="20"/>
          <w:szCs w:val="20"/>
        </w:rPr>
        <w:t xml:space="preserve"> </w:t>
      </w:r>
      <w:r>
        <w:rPr>
          <w:b/>
          <w:bCs/>
          <w:spacing w:val="29"/>
          <w:sz w:val="20"/>
          <w:szCs w:val="20"/>
        </w:rPr>
        <w:t>、资料的整理与分析</w:t>
      </w:r>
    </w:p>
    <w:p w14:paraId="47AF9F45">
      <w:pPr>
        <w:spacing w:before="274" w:line="353" w:lineRule="auto"/>
        <w:ind w:left="719" w:right="64" w:firstLine="400"/>
        <w:rPr>
          <w:rFonts w:ascii="宋体" w:hAnsi="宋体" w:eastAsia="宋体" w:cs="宋体"/>
          <w:sz w:val="20"/>
          <w:szCs w:val="20"/>
        </w:rPr>
      </w:pPr>
      <w:r>
        <w:rPr>
          <w:rFonts w:ascii="宋体" w:hAnsi="宋体" w:eastAsia="宋体" w:cs="宋体"/>
          <w:spacing w:val="8"/>
          <w:sz w:val="20"/>
          <w:szCs w:val="20"/>
        </w:rPr>
        <w:t>对现况研究所获得的资料，分析的核心是疾病或健康状况的分布特征以及疾病</w:t>
      </w:r>
      <w:r>
        <w:rPr>
          <w:rFonts w:ascii="宋体" w:hAnsi="宋体" w:eastAsia="宋体" w:cs="宋体"/>
          <w:spacing w:val="7"/>
          <w:sz w:val="20"/>
          <w:szCs w:val="20"/>
        </w:rPr>
        <w:t>或健康状况与</w:t>
      </w:r>
      <w:r>
        <w:rPr>
          <w:rFonts w:ascii="宋体" w:hAnsi="宋体" w:eastAsia="宋体" w:cs="宋体"/>
          <w:sz w:val="20"/>
          <w:szCs w:val="20"/>
        </w:rPr>
        <w:t xml:space="preserve"> 因素的关联。首先应对调查资料进行核对、整理，然后进行</w:t>
      </w:r>
      <w:r>
        <w:rPr>
          <w:rFonts w:ascii="宋体" w:hAnsi="宋体" w:eastAsia="宋体" w:cs="宋体"/>
          <w:spacing w:val="-1"/>
          <w:sz w:val="20"/>
          <w:szCs w:val="20"/>
        </w:rPr>
        <w:t>统计学描述和统计推断。</w:t>
      </w:r>
    </w:p>
    <w:p w14:paraId="0CA2BB57">
      <w:pPr>
        <w:pStyle w:val="2"/>
        <w:spacing w:before="11" w:line="222" w:lineRule="auto"/>
        <w:ind w:left="1132"/>
        <w:rPr>
          <w:sz w:val="20"/>
          <w:szCs w:val="20"/>
        </w:rPr>
      </w:pPr>
      <w:r>
        <w:rPr>
          <w:b/>
          <w:bCs/>
          <w:spacing w:val="17"/>
          <w:sz w:val="20"/>
          <w:szCs w:val="20"/>
        </w:rPr>
        <w:t>(</w:t>
      </w:r>
      <w:r>
        <w:rPr>
          <w:spacing w:val="-52"/>
          <w:sz w:val="20"/>
          <w:szCs w:val="20"/>
        </w:rPr>
        <w:t xml:space="preserve"> </w:t>
      </w:r>
      <w:r>
        <w:rPr>
          <w:b/>
          <w:bCs/>
          <w:spacing w:val="17"/>
          <w:sz w:val="20"/>
          <w:szCs w:val="20"/>
        </w:rPr>
        <w:t>一)资料的整理</w:t>
      </w:r>
    </w:p>
    <w:p w14:paraId="79F7FAF4">
      <w:pPr>
        <w:spacing w:before="124" w:line="220" w:lineRule="auto"/>
        <w:ind w:left="1130"/>
        <w:rPr>
          <w:rFonts w:ascii="宋体" w:hAnsi="宋体" w:eastAsia="宋体" w:cs="宋体"/>
          <w:sz w:val="20"/>
          <w:szCs w:val="20"/>
        </w:rPr>
      </w:pPr>
      <w:r>
        <w:rPr>
          <w:rFonts w:ascii="宋体" w:hAnsi="宋体" w:eastAsia="宋体" w:cs="宋体"/>
          <w:spacing w:val="-1"/>
          <w:sz w:val="20"/>
          <w:szCs w:val="20"/>
        </w:rPr>
        <w:t>在统计分析前，对原始资料的整理主要包括：</w:t>
      </w:r>
    </w:p>
    <w:p w14:paraId="6447C77F">
      <w:pPr>
        <w:pStyle w:val="2"/>
        <w:spacing w:before="121" w:line="285" w:lineRule="auto"/>
        <w:ind w:left="719" w:right="78" w:firstLine="410"/>
        <w:rPr>
          <w:rFonts w:ascii="宋体" w:hAnsi="宋体" w:eastAsia="宋体" w:cs="宋体"/>
          <w:sz w:val="20"/>
          <w:szCs w:val="20"/>
        </w:rPr>
      </w:pPr>
      <w:r>
        <w:rPr>
          <w:rFonts w:ascii="宋体" w:hAnsi="宋体" w:eastAsia="宋体" w:cs="宋体"/>
          <w:spacing w:val="1"/>
          <w:sz w:val="20"/>
          <w:szCs w:val="20"/>
        </w:rPr>
        <w:t xml:space="preserve">1. </w:t>
      </w:r>
      <w:r>
        <w:rPr>
          <w:spacing w:val="1"/>
          <w:sz w:val="20"/>
          <w:szCs w:val="20"/>
        </w:rPr>
        <w:t>原始资料的核查</w:t>
      </w:r>
      <w:r>
        <w:rPr>
          <w:spacing w:val="52"/>
          <w:sz w:val="20"/>
          <w:szCs w:val="20"/>
        </w:rPr>
        <w:t xml:space="preserve"> </w:t>
      </w:r>
      <w:r>
        <w:rPr>
          <w:rFonts w:ascii="宋体" w:hAnsi="宋体" w:eastAsia="宋体" w:cs="宋体"/>
          <w:spacing w:val="1"/>
          <w:sz w:val="20"/>
          <w:szCs w:val="20"/>
        </w:rPr>
        <w:t>应先仔细检查原始资料的完整性和准确性，填补缺、漏项，对重复</w:t>
      </w:r>
      <w:r>
        <w:rPr>
          <w:rFonts w:ascii="宋体" w:hAnsi="宋体" w:eastAsia="宋体" w:cs="宋体"/>
          <w:sz w:val="20"/>
          <w:szCs w:val="20"/>
        </w:rPr>
        <w:t xml:space="preserve">的记录 </w:t>
      </w:r>
      <w:r>
        <w:rPr>
          <w:rFonts w:ascii="宋体" w:hAnsi="宋体" w:eastAsia="宋体" w:cs="宋体"/>
          <w:spacing w:val="-3"/>
          <w:sz w:val="20"/>
          <w:szCs w:val="20"/>
        </w:rPr>
        <w:t>予以删除，对错误信息予以纠正；并进行逻辑检错，以提高原始资料的正确性。</w:t>
      </w:r>
    </w:p>
    <w:p w14:paraId="1E98B0B8">
      <w:pPr>
        <w:pStyle w:val="2"/>
        <w:spacing w:before="131" w:line="307" w:lineRule="auto"/>
        <w:ind w:left="719" w:right="66" w:firstLine="410"/>
        <w:rPr>
          <w:rFonts w:ascii="宋体" w:hAnsi="宋体" w:eastAsia="宋体" w:cs="宋体"/>
          <w:sz w:val="20"/>
          <w:szCs w:val="20"/>
        </w:rPr>
      </w:pPr>
      <w:r>
        <w:rPr>
          <w:rFonts w:ascii="宋体" w:hAnsi="宋体" w:eastAsia="宋体" w:cs="宋体"/>
          <w:spacing w:val="6"/>
          <w:sz w:val="20"/>
          <w:szCs w:val="20"/>
        </w:rPr>
        <w:t xml:space="preserve">2. </w:t>
      </w:r>
      <w:r>
        <w:rPr>
          <w:spacing w:val="6"/>
          <w:sz w:val="20"/>
          <w:szCs w:val="20"/>
        </w:rPr>
        <w:t>原始资料的归类</w:t>
      </w:r>
      <w:r>
        <w:rPr>
          <w:spacing w:val="69"/>
          <w:sz w:val="20"/>
          <w:szCs w:val="20"/>
        </w:rPr>
        <w:t xml:space="preserve"> </w:t>
      </w:r>
      <w:r>
        <w:rPr>
          <w:rFonts w:ascii="宋体" w:hAnsi="宋体" w:eastAsia="宋体" w:cs="宋体"/>
          <w:spacing w:val="6"/>
          <w:sz w:val="20"/>
          <w:szCs w:val="20"/>
        </w:rPr>
        <w:t>按照流行病学和卫生统计学的专</w:t>
      </w:r>
      <w:r>
        <w:rPr>
          <w:rFonts w:ascii="宋体" w:hAnsi="宋体" w:eastAsia="宋体" w:cs="宋体"/>
          <w:spacing w:val="5"/>
          <w:sz w:val="20"/>
          <w:szCs w:val="20"/>
        </w:rPr>
        <w:t>业需要对原始资料进行整理，将疾病或</w:t>
      </w:r>
      <w:r>
        <w:rPr>
          <w:rFonts w:ascii="宋体" w:hAnsi="宋体" w:eastAsia="宋体" w:cs="宋体"/>
          <w:sz w:val="20"/>
          <w:szCs w:val="20"/>
        </w:rPr>
        <w:t xml:space="preserve"> </w:t>
      </w:r>
      <w:r>
        <w:rPr>
          <w:rFonts w:ascii="宋体" w:hAnsi="宋体" w:eastAsia="宋体" w:cs="宋体"/>
          <w:spacing w:val="7"/>
          <w:sz w:val="20"/>
          <w:szCs w:val="20"/>
        </w:rPr>
        <w:t>健康状况以及有关因素按已明确规定好的标准进行归类或划分组别，如将全部调查对象分为患病</w:t>
      </w:r>
      <w:r>
        <w:rPr>
          <w:rFonts w:ascii="宋体" w:hAnsi="宋体" w:eastAsia="宋体" w:cs="宋体"/>
          <w:spacing w:val="18"/>
          <w:sz w:val="20"/>
          <w:szCs w:val="20"/>
        </w:rPr>
        <w:t xml:space="preserve"> </w:t>
      </w:r>
      <w:r>
        <w:rPr>
          <w:rFonts w:ascii="宋体" w:hAnsi="宋体" w:eastAsia="宋体" w:cs="宋体"/>
          <w:spacing w:val="1"/>
          <w:sz w:val="20"/>
          <w:szCs w:val="20"/>
        </w:rPr>
        <w:t>组和非患病组，或分为暴露组和非暴露组或</w:t>
      </w:r>
      <w:r>
        <w:rPr>
          <w:rFonts w:ascii="宋体" w:hAnsi="宋体" w:eastAsia="宋体" w:cs="宋体"/>
          <w:sz w:val="20"/>
          <w:szCs w:val="20"/>
        </w:rPr>
        <w:t>不同暴露水平组。</w:t>
      </w:r>
    </w:p>
    <w:p w14:paraId="28B50718">
      <w:pPr>
        <w:spacing w:before="124" w:line="307" w:lineRule="auto"/>
        <w:ind w:left="719" w:right="66" w:firstLine="410"/>
        <w:rPr>
          <w:rFonts w:ascii="宋体" w:hAnsi="宋体" w:eastAsia="宋体" w:cs="宋体"/>
          <w:sz w:val="20"/>
          <w:szCs w:val="20"/>
        </w:rPr>
      </w:pPr>
      <w:r>
        <w:rPr>
          <w:rFonts w:ascii="宋体" w:hAnsi="宋体" w:eastAsia="宋体" w:cs="宋体"/>
          <w:spacing w:val="10"/>
          <w:sz w:val="20"/>
          <w:szCs w:val="20"/>
        </w:rPr>
        <w:t>3. 原始资料的转化对于连续型变量资料，了解数据的分布类型。</w:t>
      </w:r>
      <w:r>
        <w:rPr>
          <w:rFonts w:ascii="宋体" w:hAnsi="宋体" w:eastAsia="宋体" w:cs="宋体"/>
          <w:spacing w:val="9"/>
          <w:sz w:val="20"/>
          <w:szCs w:val="20"/>
        </w:rPr>
        <w:t>非正态分布的数据，进行</w:t>
      </w:r>
      <w:r>
        <w:rPr>
          <w:rFonts w:ascii="宋体" w:hAnsi="宋体" w:eastAsia="宋体" w:cs="宋体"/>
          <w:sz w:val="20"/>
          <w:szCs w:val="20"/>
        </w:rPr>
        <w:t xml:space="preserve"> </w:t>
      </w:r>
      <w:r>
        <w:rPr>
          <w:rFonts w:ascii="宋体" w:hAnsi="宋体" w:eastAsia="宋体" w:cs="宋体"/>
          <w:spacing w:val="7"/>
          <w:sz w:val="20"/>
          <w:szCs w:val="20"/>
        </w:rPr>
        <w:t>适当的数据转换以求转换后的数据呈正态或近似正态分布。如果数据仍呈非正态分布，可以考虑</w:t>
      </w:r>
      <w:r>
        <w:rPr>
          <w:rFonts w:ascii="宋体" w:hAnsi="宋体" w:eastAsia="宋体" w:cs="宋体"/>
          <w:spacing w:val="18"/>
          <w:sz w:val="20"/>
          <w:szCs w:val="20"/>
        </w:rPr>
        <w:t xml:space="preserve"> </w:t>
      </w:r>
      <w:r>
        <w:rPr>
          <w:rFonts w:ascii="宋体" w:hAnsi="宋体" w:eastAsia="宋体" w:cs="宋体"/>
          <w:spacing w:val="1"/>
          <w:sz w:val="20"/>
          <w:szCs w:val="20"/>
        </w:rPr>
        <w:t>将数据转换成分类变量进行统计分析，或者用非参数统计分析方法。</w:t>
      </w:r>
    </w:p>
    <w:p w14:paraId="6BFCA16F">
      <w:pPr>
        <w:pStyle w:val="2"/>
        <w:spacing w:before="151" w:line="222" w:lineRule="auto"/>
        <w:ind w:left="1130"/>
        <w:rPr>
          <w:sz w:val="20"/>
          <w:szCs w:val="20"/>
        </w:rPr>
      </w:pPr>
      <w:r>
        <w:rPr>
          <w:spacing w:val="25"/>
          <w:sz w:val="20"/>
          <w:szCs w:val="20"/>
        </w:rPr>
        <w:t>(二)资料的分析</w:t>
      </w:r>
    </w:p>
    <w:p w14:paraId="1248D7CC">
      <w:pPr>
        <w:spacing w:before="122" w:line="221" w:lineRule="auto"/>
        <w:ind w:left="1130"/>
        <w:rPr>
          <w:rFonts w:ascii="宋体" w:hAnsi="宋体" w:eastAsia="宋体" w:cs="宋体"/>
          <w:sz w:val="20"/>
          <w:szCs w:val="20"/>
        </w:rPr>
      </w:pPr>
      <w:r>
        <w:rPr>
          <w:rFonts w:ascii="宋体" w:hAnsi="宋体" w:eastAsia="宋体" w:cs="宋体"/>
          <w:spacing w:val="4"/>
          <w:sz w:val="20"/>
          <w:szCs w:val="20"/>
        </w:rPr>
        <w:t>1.</w:t>
      </w:r>
      <w:r>
        <w:rPr>
          <w:rFonts w:ascii="宋体" w:hAnsi="宋体" w:eastAsia="宋体" w:cs="宋体"/>
          <w:spacing w:val="-8"/>
          <w:sz w:val="20"/>
          <w:szCs w:val="20"/>
        </w:rPr>
        <w:t xml:space="preserve"> </w:t>
      </w:r>
      <w:r>
        <w:rPr>
          <w:rFonts w:ascii="宋体" w:hAnsi="宋体" w:eastAsia="宋体" w:cs="宋体"/>
          <w:spacing w:val="4"/>
          <w:sz w:val="20"/>
          <w:szCs w:val="20"/>
        </w:rPr>
        <w:t>统计描述</w:t>
      </w:r>
    </w:p>
    <w:p w14:paraId="058E3FE7">
      <w:pPr>
        <w:spacing w:before="128" w:line="219" w:lineRule="auto"/>
        <w:ind w:left="1130"/>
        <w:rPr>
          <w:rFonts w:ascii="宋体" w:hAnsi="宋体" w:eastAsia="宋体" w:cs="宋体"/>
          <w:sz w:val="20"/>
          <w:szCs w:val="20"/>
        </w:rPr>
      </w:pPr>
      <w:r>
        <w:rPr>
          <w:rFonts w:ascii="宋体" w:hAnsi="宋体" w:eastAsia="宋体" w:cs="宋体"/>
          <w:spacing w:val="-3"/>
          <w:sz w:val="20"/>
          <w:szCs w:val="20"/>
        </w:rPr>
        <w:t>(1)描述人口学基本特征：包括年龄、性别、民族、职业等构成，以介绍该资料所代表的总体。</w:t>
      </w:r>
    </w:p>
    <w:p w14:paraId="623E12D4">
      <w:pPr>
        <w:spacing w:before="113" w:line="294" w:lineRule="auto"/>
        <w:ind w:left="719" w:right="51" w:firstLine="410"/>
        <w:rPr>
          <w:rFonts w:ascii="宋体" w:hAnsi="宋体" w:eastAsia="宋体" w:cs="宋体"/>
          <w:sz w:val="20"/>
          <w:szCs w:val="20"/>
        </w:rPr>
      </w:pPr>
      <w:r>
        <w:rPr>
          <w:rFonts w:ascii="宋体" w:hAnsi="宋体" w:eastAsia="宋体" w:cs="宋体"/>
          <w:spacing w:val="5"/>
          <w:sz w:val="20"/>
          <w:szCs w:val="20"/>
        </w:rPr>
        <w:t>(2)计算相关统计指标：常用现患率、阳性率、检出率等频率指标；定量资料还可计算平均数</w:t>
      </w:r>
      <w:r>
        <w:rPr>
          <w:rFonts w:ascii="宋体" w:hAnsi="宋体" w:eastAsia="宋体" w:cs="宋体"/>
          <w:spacing w:val="7"/>
          <w:sz w:val="20"/>
          <w:szCs w:val="20"/>
        </w:rPr>
        <w:t xml:space="preserve"> </w:t>
      </w:r>
      <w:r>
        <w:rPr>
          <w:rFonts w:ascii="宋体" w:hAnsi="宋体" w:eastAsia="宋体" w:cs="宋体"/>
          <w:spacing w:val="-1"/>
          <w:sz w:val="20"/>
          <w:szCs w:val="20"/>
        </w:rPr>
        <w:t>等。并按不同的人口学特征和时间、地区、暴露水平等描述疾病的</w:t>
      </w:r>
      <w:r>
        <w:rPr>
          <w:rFonts w:ascii="宋体" w:hAnsi="宋体" w:eastAsia="宋体" w:cs="宋体"/>
          <w:spacing w:val="-2"/>
          <w:sz w:val="20"/>
          <w:szCs w:val="20"/>
        </w:rPr>
        <w:t>分布特征。</w:t>
      </w:r>
    </w:p>
    <w:p w14:paraId="2BDC5E43">
      <w:pPr>
        <w:spacing w:before="143" w:line="219" w:lineRule="auto"/>
        <w:ind w:left="1130"/>
        <w:rPr>
          <w:rFonts w:ascii="宋体" w:hAnsi="宋体" w:eastAsia="宋体" w:cs="宋体"/>
          <w:sz w:val="20"/>
          <w:szCs w:val="20"/>
        </w:rPr>
      </w:pPr>
      <w:r>
        <w:rPr>
          <w:rFonts w:ascii="宋体" w:hAnsi="宋体" w:eastAsia="宋体" w:cs="宋体"/>
          <w:spacing w:val="2"/>
          <w:sz w:val="20"/>
          <w:szCs w:val="20"/>
        </w:rPr>
        <w:t>(3)计算标化率：为了便于不同地区的比较，常采用标准人口构成对率进行标准化。</w:t>
      </w:r>
    </w:p>
    <w:p w14:paraId="6D088CDD">
      <w:pPr>
        <w:pStyle w:val="2"/>
        <w:spacing w:before="122" w:line="343" w:lineRule="auto"/>
        <w:ind w:left="719" w:right="64" w:firstLine="410"/>
        <w:jc w:val="both"/>
        <w:rPr>
          <w:rFonts w:ascii="宋体" w:hAnsi="宋体" w:eastAsia="宋体" w:cs="宋体"/>
          <w:sz w:val="20"/>
          <w:szCs w:val="20"/>
        </w:rPr>
      </w:pPr>
      <w:r>
        <w:rPr>
          <w:rFonts w:ascii="宋体" w:hAnsi="宋体" w:eastAsia="宋体" w:cs="宋体"/>
          <w:spacing w:val="10"/>
          <w:sz w:val="20"/>
          <w:szCs w:val="20"/>
        </w:rPr>
        <w:t xml:space="preserve">2. </w:t>
      </w:r>
      <w:r>
        <w:rPr>
          <w:spacing w:val="10"/>
          <w:sz w:val="20"/>
          <w:szCs w:val="20"/>
        </w:rPr>
        <w:t xml:space="preserve">统计推断  </w:t>
      </w:r>
      <w:r>
        <w:rPr>
          <w:rFonts w:ascii="宋体" w:hAnsi="宋体" w:eastAsia="宋体" w:cs="宋体"/>
          <w:spacing w:val="10"/>
          <w:sz w:val="20"/>
          <w:szCs w:val="20"/>
        </w:rPr>
        <w:t>应用流行病学的原理与</w:t>
      </w:r>
      <w:r>
        <w:rPr>
          <w:rFonts w:ascii="宋体" w:hAnsi="宋体" w:eastAsia="宋体" w:cs="宋体"/>
          <w:spacing w:val="9"/>
          <w:sz w:val="20"/>
          <w:szCs w:val="20"/>
        </w:rPr>
        <w:t>方法，采用分类、比较和各种归纳推理方法，通过单</w:t>
      </w:r>
      <w:r>
        <w:rPr>
          <w:rFonts w:ascii="宋体" w:hAnsi="宋体" w:eastAsia="宋体" w:cs="宋体"/>
          <w:sz w:val="20"/>
          <w:szCs w:val="20"/>
        </w:rPr>
        <w:t xml:space="preserve"> </w:t>
      </w:r>
      <w:r>
        <w:rPr>
          <w:rFonts w:ascii="宋体" w:hAnsi="宋体" w:eastAsia="宋体" w:cs="宋体"/>
          <w:spacing w:val="13"/>
          <w:sz w:val="20"/>
          <w:szCs w:val="20"/>
        </w:rPr>
        <w:t>因素分析和多因素分析的技术来研究分析疾病或健</w:t>
      </w:r>
      <w:r>
        <w:rPr>
          <w:rFonts w:ascii="宋体" w:hAnsi="宋体" w:eastAsia="宋体" w:cs="宋体"/>
          <w:spacing w:val="12"/>
          <w:sz w:val="20"/>
          <w:szCs w:val="20"/>
        </w:rPr>
        <w:t>康状况的规律性。分析时可采用两种不同的</w:t>
      </w:r>
      <w:r>
        <w:rPr>
          <w:rFonts w:ascii="宋体" w:hAnsi="宋体" w:eastAsia="宋体" w:cs="宋体"/>
          <w:sz w:val="20"/>
          <w:szCs w:val="20"/>
        </w:rPr>
        <w:t xml:space="preserve"> </w:t>
      </w:r>
      <w:r>
        <w:rPr>
          <w:rFonts w:ascii="宋体" w:hAnsi="宋体" w:eastAsia="宋体" w:cs="宋体"/>
          <w:spacing w:val="10"/>
          <w:sz w:val="20"/>
          <w:szCs w:val="20"/>
        </w:rPr>
        <w:t>思路：</w:t>
      </w:r>
    </w:p>
    <w:p w14:paraId="099EC7AE">
      <w:pPr>
        <w:spacing w:before="14" w:line="343" w:lineRule="auto"/>
        <w:ind w:left="719" w:right="63" w:firstLine="410"/>
        <w:jc w:val="both"/>
        <w:rPr>
          <w:rFonts w:ascii="宋体" w:hAnsi="宋体" w:eastAsia="宋体" w:cs="宋体"/>
          <w:sz w:val="20"/>
          <w:szCs w:val="20"/>
        </w:rPr>
      </w:pPr>
      <w:r>
        <w:rPr>
          <w:rFonts w:ascii="宋体" w:hAnsi="宋体" w:eastAsia="宋体" w:cs="宋体"/>
          <w:spacing w:val="5"/>
          <w:sz w:val="20"/>
          <w:szCs w:val="20"/>
        </w:rPr>
        <w:t>(1)按暴露分组进行比较：将研究对象分为暴露和非暴露人群或</w:t>
      </w:r>
      <w:r>
        <w:rPr>
          <w:rFonts w:ascii="宋体" w:hAnsi="宋体" w:eastAsia="宋体" w:cs="宋体"/>
          <w:spacing w:val="4"/>
          <w:sz w:val="20"/>
          <w:szCs w:val="20"/>
        </w:rPr>
        <w:t>不同暴露水平的人群，比较分</w:t>
      </w:r>
      <w:r>
        <w:rPr>
          <w:rFonts w:ascii="宋体" w:hAnsi="宋体" w:eastAsia="宋体" w:cs="宋体"/>
          <w:sz w:val="20"/>
          <w:szCs w:val="20"/>
        </w:rPr>
        <w:t xml:space="preserve"> </w:t>
      </w:r>
      <w:r>
        <w:rPr>
          <w:rFonts w:ascii="宋体" w:hAnsi="宋体" w:eastAsia="宋体" w:cs="宋体"/>
          <w:spacing w:val="9"/>
          <w:sz w:val="20"/>
          <w:szCs w:val="20"/>
        </w:rPr>
        <w:t>析各组间疾病率或健康状况的差异是否有统计学意义。如表3-2所示，全国40岁及以上成人慢性</w:t>
      </w:r>
      <w:r>
        <w:rPr>
          <w:rFonts w:ascii="宋体" w:hAnsi="宋体" w:eastAsia="宋体" w:cs="宋体"/>
          <w:spacing w:val="10"/>
          <w:sz w:val="20"/>
          <w:szCs w:val="20"/>
        </w:rPr>
        <w:t xml:space="preserve"> </w:t>
      </w:r>
      <w:r>
        <w:rPr>
          <w:rFonts w:ascii="宋体" w:hAnsi="宋体" w:eastAsia="宋体" w:cs="宋体"/>
          <w:spacing w:val="3"/>
          <w:sz w:val="20"/>
          <w:szCs w:val="20"/>
        </w:rPr>
        <w:t>阻塞性肺疾病(简称慢阻肺)的调查资料分析</w:t>
      </w:r>
      <w:r>
        <w:rPr>
          <w:rFonts w:ascii="宋体" w:hAnsi="宋体" w:eastAsia="宋体" w:cs="宋体"/>
          <w:spacing w:val="2"/>
          <w:sz w:val="20"/>
          <w:szCs w:val="20"/>
        </w:rPr>
        <w:t>结果显示，男性、农村地区、文化程度低、既往吸烟或</w:t>
      </w:r>
      <w:r>
        <w:rPr>
          <w:rFonts w:ascii="宋体" w:hAnsi="宋体" w:eastAsia="宋体" w:cs="宋体"/>
          <w:sz w:val="20"/>
          <w:szCs w:val="20"/>
        </w:rPr>
        <w:t xml:space="preserve"> </w:t>
      </w:r>
      <w:r>
        <w:rPr>
          <w:rFonts w:ascii="宋体" w:hAnsi="宋体" w:eastAsia="宋体" w:cs="宋体"/>
          <w:spacing w:val="3"/>
          <w:sz w:val="20"/>
          <w:szCs w:val="20"/>
        </w:rPr>
        <w:t>现在吸烟、接触职业粉尘或化学物质以及体重指数较低的人群，慢</w:t>
      </w:r>
      <w:r>
        <w:rPr>
          <w:rFonts w:ascii="宋体" w:hAnsi="宋体" w:eastAsia="宋体" w:cs="宋体"/>
          <w:spacing w:val="2"/>
          <w:sz w:val="20"/>
          <w:szCs w:val="20"/>
        </w:rPr>
        <w:t>阻肺的患病率较高；随着年龄增</w:t>
      </w:r>
      <w:r>
        <w:rPr>
          <w:rFonts w:ascii="宋体" w:hAnsi="宋体" w:eastAsia="宋体" w:cs="宋体"/>
          <w:sz w:val="20"/>
          <w:szCs w:val="20"/>
        </w:rPr>
        <w:t xml:space="preserve"> 长，慢阻肺患病率呈上升趋势。</w:t>
      </w:r>
    </w:p>
    <w:p w14:paraId="01D43608">
      <w:pPr>
        <w:spacing w:line="343" w:lineRule="auto"/>
        <w:rPr>
          <w:rFonts w:ascii="宋体" w:hAnsi="宋体" w:eastAsia="宋体" w:cs="宋体"/>
          <w:sz w:val="20"/>
          <w:szCs w:val="20"/>
        </w:rPr>
        <w:sectPr>
          <w:footerReference r:id="rId72" w:type="default"/>
          <w:pgSz w:w="11900" w:h="16820"/>
          <w:pgMar w:top="400" w:right="1569" w:bottom="769" w:left="830" w:header="0" w:footer="589" w:gutter="0"/>
          <w:cols w:space="720" w:num="1"/>
        </w:sectPr>
      </w:pPr>
    </w:p>
    <w:p w14:paraId="6FAB1A7D">
      <w:pPr>
        <w:spacing w:line="425" w:lineRule="auto"/>
        <w:rPr>
          <w:rFonts w:ascii="Arial"/>
          <w:sz w:val="21"/>
        </w:rPr>
      </w:pPr>
    </w:p>
    <w:p w14:paraId="5F9A303A">
      <w:pPr>
        <w:pStyle w:val="2"/>
        <w:spacing w:before="55" w:line="222" w:lineRule="auto"/>
        <w:ind w:left="7632"/>
        <w:rPr>
          <w:sz w:val="17"/>
          <w:szCs w:val="17"/>
        </w:rPr>
      </w:pPr>
      <w:bookmarkStart w:id="77" w:name="bookmark431"/>
      <w:bookmarkEnd w:id="77"/>
      <w:r>
        <w:rPr>
          <w:b/>
          <w:bCs/>
          <w:spacing w:val="11"/>
          <w:sz w:val="17"/>
          <w:szCs w:val="17"/>
        </w:rPr>
        <w:t>第三章</w:t>
      </w:r>
      <w:r>
        <w:rPr>
          <w:spacing w:val="52"/>
          <w:sz w:val="17"/>
          <w:szCs w:val="17"/>
        </w:rPr>
        <w:t xml:space="preserve"> </w:t>
      </w:r>
      <w:r>
        <w:rPr>
          <w:b/>
          <w:bCs/>
          <w:spacing w:val="11"/>
          <w:sz w:val="17"/>
          <w:szCs w:val="17"/>
        </w:rPr>
        <w:t>描述性研究</w:t>
      </w:r>
    </w:p>
    <w:p w14:paraId="76F5F7A6">
      <w:pPr>
        <w:spacing w:line="274" w:lineRule="auto"/>
        <w:rPr>
          <w:rFonts w:ascii="Arial"/>
          <w:sz w:val="21"/>
        </w:rPr>
      </w:pPr>
    </w:p>
    <w:p w14:paraId="072A217E">
      <w:pPr>
        <w:spacing w:line="274" w:lineRule="auto"/>
        <w:rPr>
          <w:rFonts w:ascii="Arial"/>
          <w:sz w:val="21"/>
        </w:rPr>
      </w:pPr>
    </w:p>
    <w:p w14:paraId="25182A79">
      <w:pPr>
        <w:spacing w:before="65" w:line="221" w:lineRule="auto"/>
        <w:ind w:left="452"/>
        <w:rPr>
          <w:rFonts w:ascii="宋体" w:hAnsi="宋体" w:eastAsia="宋体" w:cs="宋体"/>
          <w:sz w:val="20"/>
          <w:szCs w:val="20"/>
        </w:rPr>
      </w:pPr>
      <w:r>
        <w:rPr>
          <w:rFonts w:ascii="宋体" w:hAnsi="宋体" w:eastAsia="宋体" w:cs="宋体"/>
          <w:b/>
          <w:bCs/>
          <w:sz w:val="20"/>
          <w:szCs w:val="20"/>
        </w:rPr>
        <w:t>表3-2</w:t>
      </w:r>
      <w:r>
        <w:rPr>
          <w:rFonts w:ascii="宋体" w:hAnsi="宋体" w:eastAsia="宋体" w:cs="宋体"/>
          <w:sz w:val="20"/>
          <w:szCs w:val="20"/>
        </w:rPr>
        <w:t xml:space="preserve">                 </w:t>
      </w:r>
      <w:r>
        <w:rPr>
          <w:rFonts w:ascii="宋体" w:hAnsi="宋体" w:eastAsia="宋体" w:cs="宋体"/>
          <w:b/>
          <w:bCs/>
          <w:sz w:val="20"/>
          <w:szCs w:val="20"/>
        </w:rPr>
        <w:t>中国40岁及</w:t>
      </w:r>
      <w:r>
        <w:rPr>
          <w:rFonts w:ascii="宋体" w:hAnsi="宋体" w:eastAsia="宋体" w:cs="宋体"/>
          <w:b/>
          <w:bCs/>
          <w:spacing w:val="-1"/>
          <w:sz w:val="20"/>
          <w:szCs w:val="20"/>
        </w:rPr>
        <w:t>以上成人慢性阻塞性肺疾病的标准化患病率</w:t>
      </w:r>
    </w:p>
    <w:p w14:paraId="7F13805B">
      <w:pPr>
        <w:spacing w:line="111" w:lineRule="auto"/>
        <w:rPr>
          <w:rFonts w:ascii="Arial"/>
          <w:sz w:val="2"/>
        </w:rPr>
      </w:pPr>
    </w:p>
    <w:tbl>
      <w:tblPr>
        <w:tblStyle w:val="5"/>
        <w:tblW w:w="9229"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0" w:type="dxa"/>
          <w:left w:w="0" w:type="dxa"/>
          <w:bottom w:w="0" w:type="dxa"/>
          <w:right w:w="0" w:type="dxa"/>
        </w:tblCellMar>
      </w:tblPr>
      <w:tblGrid>
        <w:gridCol w:w="2650"/>
        <w:gridCol w:w="2220"/>
        <w:gridCol w:w="2620"/>
        <w:gridCol w:w="1739"/>
      </w:tblGrid>
      <w:tr w14:paraId="46433AF4">
        <w:trPr>
          <w:trHeight w:val="624" w:hRule="atLeast"/>
        </w:trPr>
        <w:tc>
          <w:tcPr>
            <w:tcW w:w="2650" w:type="dxa"/>
            <w:tcBorders>
              <w:top w:val="single" w:color="000000" w:sz="4" w:space="0"/>
              <w:bottom w:val="single" w:color="000000" w:sz="4" w:space="0"/>
            </w:tcBorders>
            <w:shd w:val="clear" w:color="auto" w:fill="B6BFBB"/>
            <w:vAlign w:val="top"/>
          </w:tcPr>
          <w:p w14:paraId="25D2B211">
            <w:pPr>
              <w:pStyle w:val="6"/>
              <w:spacing w:before="210" w:line="219" w:lineRule="auto"/>
              <w:ind w:left="452"/>
            </w:pPr>
            <w:r>
              <w:rPr>
                <w:b/>
                <w:bCs/>
                <w:spacing w:val="-1"/>
              </w:rPr>
              <w:t>因素</w:t>
            </w:r>
          </w:p>
        </w:tc>
        <w:tc>
          <w:tcPr>
            <w:tcW w:w="2220" w:type="dxa"/>
            <w:tcBorders>
              <w:top w:val="single" w:color="000000" w:sz="4" w:space="0"/>
              <w:bottom w:val="single" w:color="000000" w:sz="4" w:space="0"/>
            </w:tcBorders>
            <w:shd w:val="clear" w:color="auto" w:fill="B9BDB8"/>
            <w:vAlign w:val="top"/>
          </w:tcPr>
          <w:p w14:paraId="4A70BD32">
            <w:pPr>
              <w:pStyle w:val="6"/>
              <w:spacing w:before="210" w:line="219" w:lineRule="auto"/>
              <w:ind w:left="712"/>
            </w:pPr>
            <w:r>
              <w:rPr>
                <w:b/>
                <w:bCs/>
                <w:spacing w:val="-4"/>
              </w:rPr>
              <w:t>调查人数</w:t>
            </w:r>
          </w:p>
        </w:tc>
        <w:tc>
          <w:tcPr>
            <w:tcW w:w="2620" w:type="dxa"/>
            <w:tcBorders>
              <w:top w:val="single" w:color="000000" w:sz="4" w:space="0"/>
              <w:bottom w:val="single" w:color="000000" w:sz="4" w:space="0"/>
            </w:tcBorders>
            <w:shd w:val="clear" w:color="auto" w:fill="C3C5BF"/>
            <w:vAlign w:val="top"/>
          </w:tcPr>
          <w:p w14:paraId="3657670D">
            <w:pPr>
              <w:pStyle w:val="6"/>
              <w:spacing w:before="90" w:line="219" w:lineRule="auto"/>
              <w:ind w:left="1002"/>
            </w:pPr>
            <w:r>
              <w:rPr>
                <w:b/>
                <w:bCs/>
                <w:spacing w:val="-1"/>
              </w:rPr>
              <w:t>患病率</w:t>
            </w:r>
          </w:p>
          <w:p w14:paraId="478CC8D0">
            <w:pPr>
              <w:pStyle w:val="6"/>
              <w:spacing w:before="38" w:line="222" w:lineRule="auto"/>
              <w:ind w:left="710"/>
            </w:pPr>
            <w:r>
              <w:rPr>
                <w:spacing w:val="-4"/>
              </w:rPr>
              <w:t>(95%Cl*)1%</w:t>
            </w:r>
          </w:p>
        </w:tc>
        <w:tc>
          <w:tcPr>
            <w:tcW w:w="1739" w:type="dxa"/>
            <w:tcBorders>
              <w:top w:val="single" w:color="000000" w:sz="4" w:space="0"/>
              <w:bottom w:val="single" w:color="000000" w:sz="4" w:space="0"/>
            </w:tcBorders>
            <w:shd w:val="clear" w:color="auto" w:fill="C0C1BA"/>
            <w:vAlign w:val="top"/>
          </w:tcPr>
          <w:p w14:paraId="227BB0E9">
            <w:pPr>
              <w:pStyle w:val="6"/>
              <w:spacing w:before="210" w:line="219" w:lineRule="auto"/>
              <w:ind w:left="722"/>
            </w:pPr>
            <w:r>
              <w:rPr>
                <w:b/>
                <w:bCs/>
                <w:spacing w:val="-3"/>
              </w:rPr>
              <w:t>P值</w:t>
            </w:r>
          </w:p>
        </w:tc>
      </w:tr>
      <w:tr w14:paraId="33E63AD4">
        <w:trPr>
          <w:trHeight w:val="1159" w:hRule="atLeast"/>
        </w:trPr>
        <w:tc>
          <w:tcPr>
            <w:tcW w:w="2650" w:type="dxa"/>
            <w:tcBorders>
              <w:top w:val="single" w:color="000000" w:sz="4" w:space="0"/>
              <w:bottom w:val="single" w:color="000000" w:sz="4" w:space="0"/>
            </w:tcBorders>
            <w:textDirection w:val="tbRlV"/>
            <w:vAlign w:val="top"/>
          </w:tcPr>
          <w:p w14:paraId="643951A7">
            <w:pPr>
              <w:spacing w:line="269" w:lineRule="auto"/>
              <w:rPr>
                <w:rFonts w:ascii="Arial"/>
                <w:sz w:val="21"/>
              </w:rPr>
            </w:pPr>
            <w:r>
              <w:pict>
                <v:shape id="_x0000_s1047" o:spid="_x0000_s1047" o:spt="202" type="#_x0000_t202" style="position:absolute;left:0pt;margin-left:21.65pt;margin-top:3.8pt;height:13.95pt;width:22.55pt;mso-position-horizontal-relative:page;mso-position-vertical-relative:page;z-index:251718656;mso-width-relative:page;mso-height-relative:page;" filled="f" stroked="f" coordsize="21600,21600">
                  <v:path/>
                  <v:fill on="f" focussize="0,0"/>
                  <v:stroke on="f"/>
                  <v:imagedata o:title=""/>
                  <o:lock v:ext="edit" aspectratio="f"/>
                  <v:textbox inset="0mm,0mm,0mm,0mm">
                    <w:txbxContent>
                      <w:p w14:paraId="7B163676">
                        <w:pPr>
                          <w:pStyle w:val="6"/>
                          <w:spacing w:before="20" w:line="220" w:lineRule="auto"/>
                          <w:ind w:left="20"/>
                        </w:pPr>
                        <w:r>
                          <w:rPr>
                            <w:b/>
                            <w:bCs/>
                            <w:spacing w:val="3"/>
                          </w:rPr>
                          <w:t>性别</w:t>
                        </w:r>
                      </w:p>
                    </w:txbxContent>
                  </v:textbox>
                </v:shape>
              </w:pict>
            </w:r>
          </w:p>
          <w:p w14:paraId="6546D329">
            <w:pPr>
              <w:spacing w:line="269" w:lineRule="auto"/>
              <w:rPr>
                <w:rFonts w:ascii="Arial"/>
                <w:sz w:val="21"/>
              </w:rPr>
            </w:pPr>
          </w:p>
          <w:p w14:paraId="79B903BA">
            <w:pPr>
              <w:spacing w:line="269" w:lineRule="auto"/>
              <w:rPr>
                <w:rFonts w:ascii="Arial"/>
                <w:sz w:val="21"/>
              </w:rPr>
            </w:pPr>
          </w:p>
          <w:p w14:paraId="5D61385B">
            <w:pPr>
              <w:spacing w:line="270" w:lineRule="auto"/>
              <w:rPr>
                <w:rFonts w:ascii="Arial"/>
                <w:sz w:val="21"/>
              </w:rPr>
            </w:pPr>
          </w:p>
          <w:p w14:paraId="04937D85">
            <w:pPr>
              <w:spacing w:line="270" w:lineRule="auto"/>
              <w:rPr>
                <w:rFonts w:ascii="Arial"/>
                <w:sz w:val="21"/>
              </w:rPr>
            </w:pPr>
          </w:p>
          <w:p w14:paraId="4201B6E0">
            <w:pPr>
              <w:spacing w:line="270" w:lineRule="auto"/>
              <w:rPr>
                <w:rFonts w:ascii="Arial"/>
                <w:sz w:val="21"/>
              </w:rPr>
            </w:pPr>
          </w:p>
          <w:p w14:paraId="657613FD">
            <w:pPr>
              <w:spacing w:line="270" w:lineRule="auto"/>
              <w:rPr>
                <w:rFonts w:ascii="Arial"/>
                <w:sz w:val="21"/>
              </w:rPr>
            </w:pPr>
          </w:p>
          <w:p w14:paraId="2EE72E61">
            <w:pPr>
              <w:pStyle w:val="6"/>
              <w:spacing w:before="67" w:line="203" w:lineRule="auto"/>
              <w:ind w:left="469"/>
            </w:pPr>
            <w:r>
              <w:rPr>
                <w:spacing w:val="-1"/>
              </w:rPr>
              <w:t>男</w:t>
            </w:r>
            <w:r>
              <w:rPr>
                <w:spacing w:val="100"/>
              </w:rPr>
              <w:t xml:space="preserve"> </w:t>
            </w:r>
            <w:r>
              <w:rPr>
                <w:spacing w:val="-1"/>
              </w:rPr>
              <w:t>女</w:t>
            </w:r>
          </w:p>
        </w:tc>
        <w:tc>
          <w:tcPr>
            <w:tcW w:w="2220" w:type="dxa"/>
            <w:tcBorders>
              <w:top w:val="single" w:color="000000" w:sz="4" w:space="0"/>
              <w:bottom w:val="single" w:color="000000" w:sz="4" w:space="0"/>
            </w:tcBorders>
            <w:vAlign w:val="top"/>
          </w:tcPr>
          <w:p w14:paraId="6CBE2028">
            <w:pPr>
              <w:spacing w:line="421" w:lineRule="auto"/>
              <w:rPr>
                <w:rFonts w:ascii="Arial"/>
                <w:sz w:val="21"/>
              </w:rPr>
            </w:pPr>
          </w:p>
          <w:p w14:paraId="6865F0C3">
            <w:pPr>
              <w:pStyle w:val="6"/>
              <w:spacing w:before="65"/>
              <w:ind w:left="860"/>
            </w:pPr>
            <w:r>
              <w:rPr>
                <w:spacing w:val="-2"/>
              </w:rPr>
              <w:t>33137</w:t>
            </w:r>
          </w:p>
          <w:p w14:paraId="569ED5CB">
            <w:pPr>
              <w:pStyle w:val="6"/>
              <w:spacing w:before="139"/>
              <w:ind w:left="860"/>
            </w:pPr>
            <w:r>
              <w:rPr>
                <w:spacing w:val="-2"/>
              </w:rPr>
              <w:t>33615</w:t>
            </w:r>
          </w:p>
        </w:tc>
        <w:tc>
          <w:tcPr>
            <w:tcW w:w="2620" w:type="dxa"/>
            <w:tcBorders>
              <w:top w:val="single" w:color="000000" w:sz="4" w:space="0"/>
              <w:bottom w:val="single" w:color="000000" w:sz="4" w:space="0"/>
            </w:tcBorders>
            <w:vAlign w:val="top"/>
          </w:tcPr>
          <w:p w14:paraId="130A4F8F">
            <w:pPr>
              <w:spacing w:line="404" w:lineRule="auto"/>
              <w:rPr>
                <w:rFonts w:ascii="Arial"/>
                <w:sz w:val="21"/>
              </w:rPr>
            </w:pPr>
          </w:p>
          <w:p w14:paraId="73F7E5E9">
            <w:pPr>
              <w:pStyle w:val="6"/>
              <w:spacing w:before="65" w:line="222" w:lineRule="auto"/>
              <w:ind w:left="510"/>
            </w:pPr>
            <w:r>
              <w:rPr>
                <w:spacing w:val="-2"/>
              </w:rPr>
              <w:t>19.0(16.9～21.2)</w:t>
            </w:r>
          </w:p>
          <w:p w14:paraId="02BB16DC">
            <w:pPr>
              <w:pStyle w:val="6"/>
              <w:spacing w:before="159" w:line="222" w:lineRule="auto"/>
              <w:ind w:left="660"/>
            </w:pPr>
            <w:r>
              <w:rPr>
                <w:spacing w:val="-1"/>
              </w:rPr>
              <w:t>8.1(6.1～9.3)</w:t>
            </w:r>
          </w:p>
        </w:tc>
        <w:tc>
          <w:tcPr>
            <w:tcW w:w="1739" w:type="dxa"/>
            <w:tcBorders>
              <w:top w:val="single" w:color="000000" w:sz="4" w:space="0"/>
              <w:bottom w:val="single" w:color="000000" w:sz="4" w:space="0"/>
            </w:tcBorders>
            <w:vAlign w:val="top"/>
          </w:tcPr>
          <w:p w14:paraId="41BBC805">
            <w:pPr>
              <w:spacing w:line="421" w:lineRule="auto"/>
              <w:rPr>
                <w:rFonts w:ascii="Arial"/>
                <w:sz w:val="21"/>
              </w:rPr>
            </w:pPr>
          </w:p>
          <w:p w14:paraId="41D97268">
            <w:pPr>
              <w:pStyle w:val="6"/>
              <w:spacing w:before="65" w:line="239" w:lineRule="auto"/>
              <w:ind w:left="470"/>
            </w:pPr>
            <w:r>
              <w:rPr>
                <w:spacing w:val="-2"/>
              </w:rPr>
              <w:t>&lt;0.001°</w:t>
            </w:r>
          </w:p>
        </w:tc>
      </w:tr>
      <w:tr w14:paraId="010BE123">
        <w:trPr>
          <w:trHeight w:val="380" w:hRule="atLeast"/>
        </w:trPr>
        <w:tc>
          <w:tcPr>
            <w:tcW w:w="9229" w:type="dxa"/>
            <w:gridSpan w:val="4"/>
            <w:tcBorders>
              <w:top w:val="single" w:color="000000" w:sz="4" w:space="0"/>
            </w:tcBorders>
            <w:shd w:val="clear" w:color="auto" w:fill="DCDCDE"/>
            <w:vAlign w:val="top"/>
          </w:tcPr>
          <w:p w14:paraId="1159F768">
            <w:pPr>
              <w:pStyle w:val="6"/>
              <w:spacing w:before="87" w:line="219" w:lineRule="auto"/>
              <w:ind w:left="452"/>
            </w:pPr>
            <w:r>
              <w:rPr>
                <w:b/>
                <w:bCs/>
                <w:spacing w:val="3"/>
              </w:rPr>
              <w:t>年龄/岁</w:t>
            </w:r>
          </w:p>
        </w:tc>
      </w:tr>
      <w:tr w14:paraId="257A6B4F">
        <w:trPr>
          <w:trHeight w:val="399" w:hRule="atLeast"/>
        </w:trPr>
        <w:tc>
          <w:tcPr>
            <w:tcW w:w="2650" w:type="dxa"/>
            <w:tcBorders>
              <w:bottom w:val="single" w:color="000000" w:sz="4" w:space="0"/>
            </w:tcBorders>
            <w:shd w:val="clear" w:color="auto" w:fill="DDE0E3"/>
            <w:vAlign w:val="top"/>
          </w:tcPr>
          <w:p w14:paraId="43E23B75">
            <w:pPr>
              <w:pStyle w:val="6"/>
              <w:spacing w:before="130" w:line="239" w:lineRule="auto"/>
              <w:ind w:left="450"/>
            </w:pPr>
            <w:r>
              <w:rPr>
                <w:spacing w:val="-2"/>
              </w:rPr>
              <w:t>40～49</w:t>
            </w:r>
          </w:p>
        </w:tc>
        <w:tc>
          <w:tcPr>
            <w:tcW w:w="2220" w:type="dxa"/>
            <w:tcBorders>
              <w:bottom w:val="single" w:color="000000" w:sz="4" w:space="0"/>
            </w:tcBorders>
            <w:shd w:val="clear" w:color="auto" w:fill="D5D4D3"/>
            <w:vAlign w:val="top"/>
          </w:tcPr>
          <w:p w14:paraId="4B22460E">
            <w:pPr>
              <w:pStyle w:val="6"/>
              <w:spacing w:before="130" w:line="239" w:lineRule="auto"/>
              <w:ind w:left="860"/>
            </w:pPr>
            <w:r>
              <w:rPr>
                <w:spacing w:val="-2"/>
              </w:rPr>
              <w:t>21620</w:t>
            </w:r>
          </w:p>
        </w:tc>
        <w:tc>
          <w:tcPr>
            <w:tcW w:w="2620" w:type="dxa"/>
            <w:tcBorders>
              <w:bottom w:val="single" w:color="000000" w:sz="4" w:space="0"/>
            </w:tcBorders>
            <w:shd w:val="clear" w:color="auto" w:fill="DAD7D5"/>
            <w:vAlign w:val="top"/>
          </w:tcPr>
          <w:p w14:paraId="256B1C5F">
            <w:pPr>
              <w:pStyle w:val="6"/>
              <w:spacing w:before="113" w:line="222" w:lineRule="auto"/>
              <w:ind w:left="660"/>
            </w:pPr>
            <w:r>
              <w:rPr>
                <w:spacing w:val="-1"/>
              </w:rPr>
              <w:t>6.5(5.3～7.7)</w:t>
            </w:r>
          </w:p>
        </w:tc>
        <w:tc>
          <w:tcPr>
            <w:tcW w:w="1739" w:type="dxa"/>
            <w:tcBorders>
              <w:bottom w:val="single" w:color="000000" w:sz="4" w:space="0"/>
            </w:tcBorders>
            <w:shd w:val="clear" w:color="auto" w:fill="DBD8D3"/>
            <w:vAlign w:val="top"/>
          </w:tcPr>
          <w:p w14:paraId="52A35057">
            <w:pPr>
              <w:pStyle w:val="6"/>
              <w:spacing w:before="130" w:line="239" w:lineRule="auto"/>
              <w:ind w:left="570"/>
            </w:pPr>
            <w:r>
              <w:rPr>
                <w:spacing w:val="-3"/>
              </w:rPr>
              <w:t>&lt;0.001</w:t>
            </w:r>
          </w:p>
        </w:tc>
      </w:tr>
      <w:tr w14:paraId="5D2EBFA9">
        <w:trPr>
          <w:trHeight w:val="360" w:hRule="atLeast"/>
        </w:trPr>
        <w:tc>
          <w:tcPr>
            <w:tcW w:w="2650" w:type="dxa"/>
            <w:tcBorders>
              <w:top w:val="single" w:color="000000" w:sz="4" w:space="0"/>
            </w:tcBorders>
            <w:shd w:val="clear" w:color="auto" w:fill="D3D4D5"/>
            <w:vAlign w:val="top"/>
          </w:tcPr>
          <w:p w14:paraId="5D883E7B">
            <w:pPr>
              <w:pStyle w:val="6"/>
              <w:spacing w:before="100" w:line="230" w:lineRule="auto"/>
              <w:ind w:left="450"/>
            </w:pPr>
            <w:r>
              <w:rPr>
                <w:spacing w:val="-2"/>
              </w:rPr>
              <w:t>50～59</w:t>
            </w:r>
          </w:p>
        </w:tc>
        <w:tc>
          <w:tcPr>
            <w:tcW w:w="2220" w:type="dxa"/>
            <w:tcBorders>
              <w:top w:val="single" w:color="000000" w:sz="4" w:space="0"/>
            </w:tcBorders>
            <w:shd w:val="clear" w:color="auto" w:fill="D4D4D3"/>
            <w:vAlign w:val="top"/>
          </w:tcPr>
          <w:p w14:paraId="7E0D17DE">
            <w:pPr>
              <w:pStyle w:val="6"/>
              <w:spacing w:before="100" w:line="230" w:lineRule="auto"/>
              <w:ind w:left="860"/>
            </w:pPr>
            <w:r>
              <w:rPr>
                <w:spacing w:val="-2"/>
              </w:rPr>
              <w:t>22134</w:t>
            </w:r>
          </w:p>
        </w:tc>
        <w:tc>
          <w:tcPr>
            <w:tcW w:w="2620" w:type="dxa"/>
            <w:tcBorders>
              <w:top w:val="single" w:color="000000" w:sz="4" w:space="0"/>
            </w:tcBorders>
            <w:shd w:val="clear" w:color="auto" w:fill="DAD8D5"/>
            <w:vAlign w:val="top"/>
          </w:tcPr>
          <w:p w14:paraId="40D36F28">
            <w:pPr>
              <w:pStyle w:val="6"/>
              <w:spacing w:before="84" w:line="222" w:lineRule="auto"/>
              <w:ind w:left="510"/>
            </w:pPr>
            <w:r>
              <w:rPr>
                <w:spacing w:val="-2"/>
              </w:rPr>
              <w:t>12.7(11.1～14.3)</w:t>
            </w:r>
          </w:p>
        </w:tc>
        <w:tc>
          <w:tcPr>
            <w:tcW w:w="1739" w:type="dxa"/>
            <w:tcBorders>
              <w:top w:val="single" w:color="000000" w:sz="4" w:space="0"/>
            </w:tcBorders>
            <w:shd w:val="clear" w:color="auto" w:fill="E3DFDA"/>
            <w:vAlign w:val="top"/>
          </w:tcPr>
          <w:p w14:paraId="6CE8368E">
            <w:pPr>
              <w:rPr>
                <w:rFonts w:ascii="Arial"/>
                <w:sz w:val="21"/>
              </w:rPr>
            </w:pPr>
          </w:p>
        </w:tc>
      </w:tr>
      <w:tr w14:paraId="6270C14F">
        <w:trPr>
          <w:trHeight w:val="390" w:hRule="atLeast"/>
        </w:trPr>
        <w:tc>
          <w:tcPr>
            <w:tcW w:w="2650" w:type="dxa"/>
            <w:shd w:val="clear" w:color="auto" w:fill="DADDDE"/>
            <w:vAlign w:val="top"/>
          </w:tcPr>
          <w:p w14:paraId="18876481">
            <w:pPr>
              <w:pStyle w:val="6"/>
              <w:spacing w:before="121" w:line="239" w:lineRule="auto"/>
              <w:ind w:left="450"/>
            </w:pPr>
            <w:r>
              <w:rPr>
                <w:spacing w:val="-2"/>
              </w:rPr>
              <w:t>60～69</w:t>
            </w:r>
          </w:p>
        </w:tc>
        <w:tc>
          <w:tcPr>
            <w:tcW w:w="2220" w:type="dxa"/>
            <w:shd w:val="clear" w:color="auto" w:fill="D8D8D7"/>
            <w:vAlign w:val="top"/>
          </w:tcPr>
          <w:p w14:paraId="23F475ED">
            <w:pPr>
              <w:pStyle w:val="6"/>
              <w:spacing w:before="121" w:line="239" w:lineRule="auto"/>
              <w:ind w:left="860"/>
            </w:pPr>
            <w:r>
              <w:rPr>
                <w:spacing w:val="-4"/>
              </w:rPr>
              <w:t>17321</w:t>
            </w:r>
          </w:p>
        </w:tc>
        <w:tc>
          <w:tcPr>
            <w:tcW w:w="2620" w:type="dxa"/>
            <w:shd w:val="clear" w:color="auto" w:fill="DAD8D5"/>
            <w:vAlign w:val="top"/>
          </w:tcPr>
          <w:p w14:paraId="6499F6DF">
            <w:pPr>
              <w:pStyle w:val="6"/>
              <w:spacing w:before="104" w:line="222" w:lineRule="auto"/>
              <w:ind w:left="510"/>
            </w:pPr>
            <w:r>
              <w:rPr>
                <w:spacing w:val="-1"/>
              </w:rPr>
              <w:t>21.2(18.7～23.8)</w:t>
            </w:r>
          </w:p>
        </w:tc>
        <w:tc>
          <w:tcPr>
            <w:tcW w:w="1739" w:type="dxa"/>
            <w:shd w:val="clear" w:color="auto" w:fill="DBD8D3"/>
            <w:vAlign w:val="top"/>
          </w:tcPr>
          <w:p w14:paraId="78A5899F">
            <w:pPr>
              <w:rPr>
                <w:rFonts w:ascii="Arial"/>
                <w:sz w:val="21"/>
              </w:rPr>
            </w:pPr>
          </w:p>
        </w:tc>
      </w:tr>
      <w:tr w14:paraId="5B851BE6">
        <w:trPr>
          <w:trHeight w:val="359" w:hRule="atLeast"/>
        </w:trPr>
        <w:tc>
          <w:tcPr>
            <w:tcW w:w="2650" w:type="dxa"/>
            <w:tcBorders>
              <w:bottom w:val="single" w:color="000000" w:sz="4" w:space="0"/>
            </w:tcBorders>
            <w:shd w:val="clear" w:color="auto" w:fill="D3D4D4"/>
            <w:vAlign w:val="top"/>
          </w:tcPr>
          <w:p w14:paraId="7B4488DD">
            <w:pPr>
              <w:pStyle w:val="6"/>
              <w:spacing w:before="110" w:line="220" w:lineRule="auto"/>
              <w:ind w:left="450"/>
            </w:pPr>
            <w:r>
              <w:rPr>
                <w:spacing w:val="-7"/>
              </w:rPr>
              <w:t>≥70</w:t>
            </w:r>
          </w:p>
        </w:tc>
        <w:tc>
          <w:tcPr>
            <w:tcW w:w="2220" w:type="dxa"/>
            <w:tcBorders>
              <w:bottom w:val="single" w:color="000000" w:sz="4" w:space="0"/>
            </w:tcBorders>
            <w:shd w:val="clear" w:color="auto" w:fill="D5D5D3"/>
            <w:vAlign w:val="top"/>
          </w:tcPr>
          <w:p w14:paraId="216A04B6">
            <w:pPr>
              <w:pStyle w:val="6"/>
              <w:spacing w:before="110" w:line="220" w:lineRule="auto"/>
              <w:ind w:left="910"/>
            </w:pPr>
            <w:r>
              <w:rPr>
                <w:spacing w:val="-3"/>
              </w:rPr>
              <w:t>5677</w:t>
            </w:r>
          </w:p>
        </w:tc>
        <w:tc>
          <w:tcPr>
            <w:tcW w:w="2620" w:type="dxa"/>
            <w:tcBorders>
              <w:bottom w:val="single" w:color="000000" w:sz="4" w:space="0"/>
            </w:tcBorders>
            <w:shd w:val="clear" w:color="auto" w:fill="D6D4D2"/>
            <w:vAlign w:val="top"/>
          </w:tcPr>
          <w:p w14:paraId="60E3C293">
            <w:pPr>
              <w:pStyle w:val="6"/>
              <w:spacing w:before="94" w:line="222" w:lineRule="auto"/>
              <w:ind w:left="510"/>
            </w:pPr>
            <w:r>
              <w:t>29.9(25.8～34.1)</w:t>
            </w:r>
          </w:p>
        </w:tc>
        <w:tc>
          <w:tcPr>
            <w:tcW w:w="1739" w:type="dxa"/>
            <w:tcBorders>
              <w:bottom w:val="single" w:color="000000" w:sz="4" w:space="0"/>
            </w:tcBorders>
            <w:shd w:val="clear" w:color="auto" w:fill="DFDBD6"/>
            <w:vAlign w:val="top"/>
          </w:tcPr>
          <w:p w14:paraId="134A737E">
            <w:pPr>
              <w:rPr>
                <w:rFonts w:ascii="Arial"/>
                <w:sz w:val="21"/>
              </w:rPr>
            </w:pPr>
          </w:p>
        </w:tc>
      </w:tr>
      <w:tr w14:paraId="2D3C7A6A">
        <w:trPr>
          <w:trHeight w:val="1129" w:hRule="atLeast"/>
        </w:trPr>
        <w:tc>
          <w:tcPr>
            <w:tcW w:w="2650" w:type="dxa"/>
            <w:tcBorders>
              <w:top w:val="single" w:color="000000" w:sz="4" w:space="0"/>
              <w:bottom w:val="single" w:color="000000" w:sz="4" w:space="0"/>
            </w:tcBorders>
            <w:vAlign w:val="top"/>
          </w:tcPr>
          <w:p w14:paraId="5591B167">
            <w:pPr>
              <w:pStyle w:val="6"/>
              <w:spacing w:before="82" w:line="355" w:lineRule="auto"/>
              <w:ind w:left="450" w:right="1609"/>
            </w:pPr>
            <w:r>
              <w:rPr>
                <w:spacing w:val="-4"/>
              </w:rPr>
              <w:t>居住地</w:t>
            </w:r>
            <w:r>
              <w:rPr>
                <w:spacing w:val="1"/>
              </w:rPr>
              <w:t xml:space="preserve"> </w:t>
            </w:r>
            <w:r>
              <w:rPr>
                <w:spacing w:val="-2"/>
              </w:rPr>
              <w:t>城市</w:t>
            </w:r>
          </w:p>
          <w:p w14:paraId="0C56948A">
            <w:pPr>
              <w:pStyle w:val="6"/>
              <w:spacing w:line="218" w:lineRule="auto"/>
              <w:ind w:left="450"/>
            </w:pPr>
            <w:r>
              <w:rPr>
                <w:spacing w:val="-2"/>
              </w:rPr>
              <w:t>农村</w:t>
            </w:r>
          </w:p>
        </w:tc>
        <w:tc>
          <w:tcPr>
            <w:tcW w:w="2220" w:type="dxa"/>
            <w:tcBorders>
              <w:top w:val="single" w:color="000000" w:sz="4" w:space="0"/>
              <w:bottom w:val="single" w:color="000000" w:sz="4" w:space="0"/>
            </w:tcBorders>
            <w:vAlign w:val="top"/>
          </w:tcPr>
          <w:p w14:paraId="22AC0A43">
            <w:pPr>
              <w:spacing w:line="424" w:lineRule="auto"/>
              <w:rPr>
                <w:rFonts w:ascii="Arial"/>
                <w:sz w:val="21"/>
              </w:rPr>
            </w:pPr>
          </w:p>
          <w:p w14:paraId="165F75C4">
            <w:pPr>
              <w:pStyle w:val="6"/>
              <w:spacing w:before="65"/>
              <w:ind w:left="860"/>
            </w:pPr>
            <w:r>
              <w:rPr>
                <w:spacing w:val="-2"/>
              </w:rPr>
              <w:t>32009</w:t>
            </w:r>
          </w:p>
          <w:p w14:paraId="0CA13F40">
            <w:pPr>
              <w:pStyle w:val="6"/>
              <w:spacing w:before="120" w:line="228" w:lineRule="auto"/>
              <w:ind w:left="860"/>
            </w:pPr>
            <w:r>
              <w:rPr>
                <w:spacing w:val="-2"/>
              </w:rPr>
              <w:t>34743</w:t>
            </w:r>
          </w:p>
        </w:tc>
        <w:tc>
          <w:tcPr>
            <w:tcW w:w="2620" w:type="dxa"/>
            <w:tcBorders>
              <w:top w:val="single" w:color="000000" w:sz="4" w:space="0"/>
              <w:bottom w:val="single" w:color="000000" w:sz="4" w:space="0"/>
            </w:tcBorders>
            <w:vAlign w:val="top"/>
          </w:tcPr>
          <w:p w14:paraId="52E4CAFC">
            <w:pPr>
              <w:spacing w:line="407" w:lineRule="auto"/>
              <w:rPr>
                <w:rFonts w:ascii="Arial"/>
                <w:sz w:val="21"/>
              </w:rPr>
            </w:pPr>
          </w:p>
          <w:p w14:paraId="3DC2C129">
            <w:pPr>
              <w:pStyle w:val="6"/>
              <w:spacing w:before="65" w:line="222" w:lineRule="auto"/>
              <w:ind w:left="510"/>
            </w:pPr>
            <w:r>
              <w:rPr>
                <w:spacing w:val="-2"/>
              </w:rPr>
              <w:t>12.2(11.0～13.4)</w:t>
            </w:r>
          </w:p>
          <w:p w14:paraId="46FF94AC">
            <w:pPr>
              <w:pStyle w:val="6"/>
              <w:spacing w:before="139" w:line="222" w:lineRule="auto"/>
              <w:ind w:left="510"/>
            </w:pPr>
            <w:r>
              <w:rPr>
                <w:spacing w:val="-2"/>
              </w:rPr>
              <w:t>14.9(12.7～17.2)</w:t>
            </w:r>
          </w:p>
        </w:tc>
        <w:tc>
          <w:tcPr>
            <w:tcW w:w="1739" w:type="dxa"/>
            <w:tcBorders>
              <w:top w:val="single" w:color="000000" w:sz="4" w:space="0"/>
              <w:bottom w:val="single" w:color="000000" w:sz="4" w:space="0"/>
            </w:tcBorders>
            <w:vAlign w:val="top"/>
          </w:tcPr>
          <w:p w14:paraId="4CB582EC">
            <w:pPr>
              <w:spacing w:line="424" w:lineRule="auto"/>
              <w:rPr>
                <w:rFonts w:ascii="Arial"/>
                <w:sz w:val="21"/>
              </w:rPr>
            </w:pPr>
          </w:p>
          <w:p w14:paraId="20BF060E">
            <w:pPr>
              <w:pStyle w:val="6"/>
              <w:spacing w:before="65" w:line="239" w:lineRule="auto"/>
              <w:ind w:left="470"/>
            </w:pPr>
            <w:r>
              <w:rPr>
                <w:spacing w:val="-2"/>
              </w:rPr>
              <w:t>&lt;0.001°</w:t>
            </w:r>
          </w:p>
        </w:tc>
      </w:tr>
      <w:tr w14:paraId="6D3F8BFC">
        <w:trPr>
          <w:trHeight w:val="399" w:hRule="atLeast"/>
        </w:trPr>
        <w:tc>
          <w:tcPr>
            <w:tcW w:w="9229" w:type="dxa"/>
            <w:gridSpan w:val="4"/>
            <w:tcBorders>
              <w:top w:val="single" w:color="000000" w:sz="4" w:space="0"/>
            </w:tcBorders>
            <w:shd w:val="clear" w:color="auto" w:fill="D7D8D8"/>
            <w:vAlign w:val="top"/>
          </w:tcPr>
          <w:p w14:paraId="62243FDD">
            <w:pPr>
              <w:pStyle w:val="6"/>
              <w:spacing w:before="103" w:line="220" w:lineRule="auto"/>
              <w:ind w:left="450"/>
            </w:pPr>
            <w:r>
              <w:rPr>
                <w:spacing w:val="2"/>
              </w:rPr>
              <w:t>文化程度</w:t>
            </w:r>
          </w:p>
        </w:tc>
      </w:tr>
      <w:tr w14:paraId="22672462">
        <w:trPr>
          <w:trHeight w:val="360" w:hRule="atLeast"/>
        </w:trPr>
        <w:tc>
          <w:tcPr>
            <w:tcW w:w="2650" w:type="dxa"/>
            <w:shd w:val="clear" w:color="auto" w:fill="DCDDDD"/>
            <w:vAlign w:val="top"/>
          </w:tcPr>
          <w:p w14:paraId="654A1E0F">
            <w:pPr>
              <w:pStyle w:val="6"/>
              <w:spacing w:before="95" w:line="221" w:lineRule="auto"/>
              <w:ind w:left="450"/>
            </w:pPr>
            <w:r>
              <w:rPr>
                <w:spacing w:val="2"/>
              </w:rPr>
              <w:t>小学及以下</w:t>
            </w:r>
          </w:p>
        </w:tc>
        <w:tc>
          <w:tcPr>
            <w:tcW w:w="2220" w:type="dxa"/>
            <w:shd w:val="clear" w:color="auto" w:fill="DDDCDB"/>
            <w:vAlign w:val="top"/>
          </w:tcPr>
          <w:p w14:paraId="23D1F170">
            <w:pPr>
              <w:pStyle w:val="6"/>
              <w:spacing w:before="113" w:line="218" w:lineRule="auto"/>
              <w:ind w:left="860"/>
            </w:pPr>
            <w:r>
              <w:rPr>
                <w:spacing w:val="-2"/>
              </w:rPr>
              <w:t>33693</w:t>
            </w:r>
          </w:p>
        </w:tc>
        <w:tc>
          <w:tcPr>
            <w:tcW w:w="2620" w:type="dxa"/>
            <w:shd w:val="clear" w:color="auto" w:fill="E0E0DC"/>
            <w:vAlign w:val="top"/>
          </w:tcPr>
          <w:p w14:paraId="08AD4310">
            <w:pPr>
              <w:pStyle w:val="6"/>
              <w:spacing w:before="97" w:line="222" w:lineRule="auto"/>
              <w:ind w:left="510"/>
            </w:pPr>
            <w:r>
              <w:rPr>
                <w:spacing w:val="-2"/>
              </w:rPr>
              <w:t>16.0(14.1～18.0)</w:t>
            </w:r>
          </w:p>
        </w:tc>
        <w:tc>
          <w:tcPr>
            <w:tcW w:w="1739" w:type="dxa"/>
            <w:shd w:val="clear" w:color="auto" w:fill="DFDCD5"/>
            <w:vAlign w:val="top"/>
          </w:tcPr>
          <w:p w14:paraId="66B52B72">
            <w:pPr>
              <w:pStyle w:val="6"/>
              <w:spacing w:before="113" w:line="218" w:lineRule="auto"/>
              <w:ind w:left="570"/>
            </w:pPr>
            <w:r>
              <w:rPr>
                <w:spacing w:val="-3"/>
              </w:rPr>
              <w:t>&lt;0.001</w:t>
            </w:r>
          </w:p>
        </w:tc>
      </w:tr>
      <w:tr w14:paraId="6783599C">
        <w:trPr>
          <w:trHeight w:val="370" w:hRule="atLeast"/>
        </w:trPr>
        <w:tc>
          <w:tcPr>
            <w:tcW w:w="2650" w:type="dxa"/>
            <w:shd w:val="clear" w:color="auto" w:fill="DBDDDD"/>
            <w:vAlign w:val="top"/>
          </w:tcPr>
          <w:p w14:paraId="4F1507C6">
            <w:pPr>
              <w:pStyle w:val="6"/>
              <w:spacing w:before="94" w:line="220" w:lineRule="auto"/>
              <w:ind w:left="450"/>
            </w:pPr>
            <w:r>
              <w:rPr>
                <w:spacing w:val="5"/>
              </w:rPr>
              <w:t>中学</w:t>
            </w:r>
          </w:p>
        </w:tc>
        <w:tc>
          <w:tcPr>
            <w:tcW w:w="2220" w:type="dxa"/>
            <w:shd w:val="clear" w:color="auto" w:fill="DCDCDA"/>
            <w:vAlign w:val="top"/>
          </w:tcPr>
          <w:p w14:paraId="75A32541">
            <w:pPr>
              <w:pStyle w:val="6"/>
              <w:spacing w:before="114" w:line="227" w:lineRule="auto"/>
              <w:ind w:left="860"/>
            </w:pPr>
            <w:r>
              <w:rPr>
                <w:spacing w:val="-2"/>
              </w:rPr>
              <w:t>30213</w:t>
            </w:r>
          </w:p>
        </w:tc>
        <w:tc>
          <w:tcPr>
            <w:tcW w:w="2620" w:type="dxa"/>
            <w:shd w:val="clear" w:color="auto" w:fill="E1E0DC"/>
            <w:vAlign w:val="top"/>
          </w:tcPr>
          <w:p w14:paraId="44D2D20B">
            <w:pPr>
              <w:pStyle w:val="6"/>
              <w:spacing w:before="97" w:line="222" w:lineRule="auto"/>
              <w:ind w:left="510"/>
            </w:pPr>
            <w:r>
              <w:rPr>
                <w:spacing w:val="-2"/>
              </w:rPr>
              <w:t>11.7(10.1～13.3)</w:t>
            </w:r>
          </w:p>
        </w:tc>
        <w:tc>
          <w:tcPr>
            <w:tcW w:w="1739" w:type="dxa"/>
            <w:shd w:val="clear" w:color="auto" w:fill="DAD8D1"/>
            <w:vAlign w:val="top"/>
          </w:tcPr>
          <w:p w14:paraId="66240675">
            <w:pPr>
              <w:rPr>
                <w:rFonts w:ascii="Arial"/>
                <w:sz w:val="21"/>
              </w:rPr>
            </w:pPr>
          </w:p>
        </w:tc>
      </w:tr>
      <w:tr w14:paraId="591FD219">
        <w:trPr>
          <w:trHeight w:val="390" w:hRule="atLeast"/>
        </w:trPr>
        <w:tc>
          <w:tcPr>
            <w:tcW w:w="2650" w:type="dxa"/>
            <w:tcBorders>
              <w:bottom w:val="single" w:color="000000" w:sz="4" w:space="0"/>
            </w:tcBorders>
            <w:shd w:val="clear" w:color="auto" w:fill="DBDDDC"/>
            <w:vAlign w:val="top"/>
          </w:tcPr>
          <w:p w14:paraId="53B38C15">
            <w:pPr>
              <w:pStyle w:val="6"/>
              <w:spacing w:before="104" w:line="220" w:lineRule="auto"/>
              <w:ind w:left="450"/>
            </w:pPr>
            <w:r>
              <w:rPr>
                <w:spacing w:val="-2"/>
              </w:rPr>
              <w:t>大学及以上</w:t>
            </w:r>
          </w:p>
        </w:tc>
        <w:tc>
          <w:tcPr>
            <w:tcW w:w="2220" w:type="dxa"/>
            <w:tcBorders>
              <w:bottom w:val="single" w:color="000000" w:sz="4" w:space="0"/>
            </w:tcBorders>
            <w:shd w:val="clear" w:color="auto" w:fill="DBDBD9"/>
            <w:vAlign w:val="top"/>
          </w:tcPr>
          <w:p w14:paraId="47DCB7C5">
            <w:pPr>
              <w:pStyle w:val="6"/>
              <w:spacing w:before="124" w:line="236" w:lineRule="auto"/>
              <w:ind w:left="910"/>
            </w:pPr>
            <w:r>
              <w:rPr>
                <w:spacing w:val="-2"/>
              </w:rPr>
              <w:t>2827</w:t>
            </w:r>
          </w:p>
        </w:tc>
        <w:tc>
          <w:tcPr>
            <w:tcW w:w="2620" w:type="dxa"/>
            <w:tcBorders>
              <w:bottom w:val="single" w:color="000000" w:sz="4" w:space="0"/>
            </w:tcBorders>
            <w:shd w:val="clear" w:color="auto" w:fill="DDDCD8"/>
            <w:vAlign w:val="top"/>
          </w:tcPr>
          <w:p w14:paraId="654DDC69">
            <w:pPr>
              <w:pStyle w:val="6"/>
              <w:spacing w:before="107" w:line="222" w:lineRule="auto"/>
              <w:ind w:left="610"/>
            </w:pPr>
            <w:r>
              <w:rPr>
                <w:spacing w:val="-1"/>
              </w:rPr>
              <w:t>8.7(6.6～10.9)</w:t>
            </w:r>
          </w:p>
        </w:tc>
        <w:tc>
          <w:tcPr>
            <w:tcW w:w="1739" w:type="dxa"/>
            <w:tcBorders>
              <w:bottom w:val="single" w:color="000000" w:sz="4" w:space="0"/>
            </w:tcBorders>
            <w:shd w:val="clear" w:color="auto" w:fill="D5D4CE"/>
            <w:vAlign w:val="top"/>
          </w:tcPr>
          <w:p w14:paraId="32EA8DBD">
            <w:pPr>
              <w:rPr>
                <w:rFonts w:ascii="Arial"/>
                <w:sz w:val="21"/>
              </w:rPr>
            </w:pPr>
          </w:p>
        </w:tc>
      </w:tr>
      <w:tr w14:paraId="3A74396E">
        <w:trPr>
          <w:trHeight w:val="1509" w:hRule="atLeast"/>
        </w:trPr>
        <w:tc>
          <w:tcPr>
            <w:tcW w:w="2650" w:type="dxa"/>
            <w:tcBorders>
              <w:top w:val="single" w:color="000000" w:sz="4" w:space="0"/>
              <w:bottom w:val="single" w:color="000000" w:sz="4" w:space="0"/>
            </w:tcBorders>
            <w:vAlign w:val="top"/>
          </w:tcPr>
          <w:p w14:paraId="42B2E38A">
            <w:pPr>
              <w:pStyle w:val="6"/>
              <w:spacing w:before="91" w:line="220" w:lineRule="auto"/>
              <w:ind w:left="452"/>
            </w:pPr>
            <w:r>
              <w:rPr>
                <w:b/>
                <w:bCs/>
                <w:spacing w:val="-6"/>
              </w:rPr>
              <w:t>吸烟情况</w:t>
            </w:r>
          </w:p>
          <w:p w14:paraId="6E8EC96E">
            <w:pPr>
              <w:pStyle w:val="6"/>
              <w:spacing w:before="144" w:line="220" w:lineRule="auto"/>
              <w:ind w:left="450"/>
            </w:pPr>
            <w:r>
              <w:rPr>
                <w:spacing w:val="4"/>
              </w:rPr>
              <w:t>不吸烟</w:t>
            </w:r>
          </w:p>
          <w:p w14:paraId="3D2E422D">
            <w:pPr>
              <w:pStyle w:val="6"/>
              <w:spacing w:before="141" w:line="219" w:lineRule="auto"/>
              <w:ind w:left="450"/>
            </w:pPr>
            <w:r>
              <w:rPr>
                <w:spacing w:val="3"/>
              </w:rPr>
              <w:t>既往吸烟</w:t>
            </w:r>
          </w:p>
          <w:p w14:paraId="3DEF228C">
            <w:pPr>
              <w:pStyle w:val="6"/>
              <w:spacing w:before="143" w:line="220" w:lineRule="auto"/>
              <w:ind w:left="450"/>
            </w:pPr>
            <w:r>
              <w:rPr>
                <w:spacing w:val="3"/>
              </w:rPr>
              <w:t>现在吸烟</w:t>
            </w:r>
          </w:p>
        </w:tc>
        <w:tc>
          <w:tcPr>
            <w:tcW w:w="2220" w:type="dxa"/>
            <w:tcBorders>
              <w:top w:val="single" w:color="000000" w:sz="4" w:space="0"/>
              <w:bottom w:val="single" w:color="000000" w:sz="4" w:space="0"/>
            </w:tcBorders>
            <w:vAlign w:val="top"/>
          </w:tcPr>
          <w:p w14:paraId="45AAD63C">
            <w:pPr>
              <w:spacing w:line="425" w:lineRule="auto"/>
              <w:rPr>
                <w:rFonts w:ascii="Arial"/>
                <w:sz w:val="21"/>
              </w:rPr>
            </w:pPr>
          </w:p>
          <w:p w14:paraId="32440DE6">
            <w:pPr>
              <w:pStyle w:val="6"/>
              <w:spacing w:before="66"/>
              <w:ind w:left="860"/>
            </w:pPr>
            <w:r>
              <w:rPr>
                <w:spacing w:val="-2"/>
              </w:rPr>
              <w:t>40070</w:t>
            </w:r>
          </w:p>
          <w:p w14:paraId="7BB0961C">
            <w:pPr>
              <w:pStyle w:val="6"/>
              <w:spacing w:before="119"/>
              <w:ind w:left="910"/>
            </w:pPr>
            <w:r>
              <w:rPr>
                <w:spacing w:val="-2"/>
              </w:rPr>
              <w:t>6438</w:t>
            </w:r>
          </w:p>
          <w:p w14:paraId="2B3E1F27">
            <w:pPr>
              <w:pStyle w:val="6"/>
              <w:spacing w:before="120" w:line="226" w:lineRule="auto"/>
              <w:ind w:left="860"/>
            </w:pPr>
            <w:r>
              <w:rPr>
                <w:spacing w:val="-2"/>
              </w:rPr>
              <w:t>20059</w:t>
            </w:r>
          </w:p>
        </w:tc>
        <w:tc>
          <w:tcPr>
            <w:tcW w:w="2620" w:type="dxa"/>
            <w:tcBorders>
              <w:top w:val="single" w:color="000000" w:sz="4" w:space="0"/>
              <w:bottom w:val="single" w:color="000000" w:sz="4" w:space="0"/>
            </w:tcBorders>
            <w:vAlign w:val="top"/>
          </w:tcPr>
          <w:p w14:paraId="41771B49">
            <w:pPr>
              <w:spacing w:line="409" w:lineRule="auto"/>
              <w:rPr>
                <w:rFonts w:ascii="Arial"/>
                <w:sz w:val="21"/>
              </w:rPr>
            </w:pPr>
          </w:p>
          <w:p w14:paraId="2033020A">
            <w:pPr>
              <w:pStyle w:val="6"/>
              <w:spacing w:before="65" w:line="222" w:lineRule="auto"/>
              <w:ind w:left="610"/>
            </w:pPr>
            <w:r>
              <w:t>8.7(7.3～10.1)</w:t>
            </w:r>
          </w:p>
          <w:p w14:paraId="557580AF">
            <w:pPr>
              <w:pStyle w:val="6"/>
              <w:spacing w:before="139" w:line="222" w:lineRule="auto"/>
              <w:ind w:left="510"/>
            </w:pPr>
            <w:r>
              <w:rPr>
                <w:spacing w:val="-1"/>
              </w:rPr>
              <w:t>22.6(19.6～25.5)</w:t>
            </w:r>
          </w:p>
          <w:p w14:paraId="4750717C">
            <w:pPr>
              <w:pStyle w:val="6"/>
              <w:spacing w:before="139" w:line="222" w:lineRule="auto"/>
              <w:ind w:left="510"/>
            </w:pPr>
            <w:r>
              <w:rPr>
                <w:spacing w:val="-1"/>
              </w:rPr>
              <w:t>20.4(18.1～22.6)</w:t>
            </w:r>
          </w:p>
        </w:tc>
        <w:tc>
          <w:tcPr>
            <w:tcW w:w="1739" w:type="dxa"/>
            <w:tcBorders>
              <w:top w:val="single" w:color="000000" w:sz="4" w:space="0"/>
              <w:bottom w:val="single" w:color="000000" w:sz="4" w:space="0"/>
            </w:tcBorders>
            <w:vAlign w:val="top"/>
          </w:tcPr>
          <w:p w14:paraId="41E2E859">
            <w:pPr>
              <w:spacing w:line="426" w:lineRule="auto"/>
              <w:rPr>
                <w:rFonts w:ascii="Arial"/>
                <w:sz w:val="21"/>
              </w:rPr>
            </w:pPr>
          </w:p>
          <w:p w14:paraId="21261EBF">
            <w:pPr>
              <w:pStyle w:val="6"/>
              <w:spacing w:before="65" w:line="239" w:lineRule="auto"/>
              <w:ind w:left="470"/>
            </w:pPr>
            <w:r>
              <w:rPr>
                <w:spacing w:val="-2"/>
              </w:rPr>
              <w:t>&lt;0.001°</w:t>
            </w:r>
          </w:p>
        </w:tc>
      </w:tr>
      <w:tr w14:paraId="0619A343">
        <w:trPr>
          <w:trHeight w:val="385" w:hRule="atLeast"/>
        </w:trPr>
        <w:tc>
          <w:tcPr>
            <w:tcW w:w="9229" w:type="dxa"/>
            <w:gridSpan w:val="4"/>
            <w:tcBorders>
              <w:top w:val="single" w:color="000000" w:sz="4" w:space="0"/>
            </w:tcBorders>
            <w:vAlign w:val="top"/>
          </w:tcPr>
          <w:p w14:paraId="1CD39353">
            <w:pPr>
              <w:pStyle w:val="6"/>
              <w:spacing w:before="93" w:line="219" w:lineRule="auto"/>
              <w:ind w:left="450"/>
            </w:pPr>
            <w:r>
              <w:drawing>
                <wp:anchor distT="0" distB="0" distL="0" distR="0" simplePos="0" relativeHeight="251717632" behindDoc="1" locked="0" layoutInCell="1" allowOverlap="1">
                  <wp:simplePos x="0" y="0"/>
                  <wp:positionH relativeFrom="column">
                    <wp:posOffset>0</wp:posOffset>
                  </wp:positionH>
                  <wp:positionV relativeFrom="paragraph">
                    <wp:posOffset>-1905</wp:posOffset>
                  </wp:positionV>
                  <wp:extent cx="5861050" cy="247650"/>
                  <wp:effectExtent l="0" t="0" r="0" b="0"/>
                  <wp:wrapNone/>
                  <wp:docPr id="192" name="IM 192"/>
                  <wp:cNvGraphicFramePr/>
                  <a:graphic xmlns:a="http://schemas.openxmlformats.org/drawingml/2006/main">
                    <a:graphicData uri="http://schemas.openxmlformats.org/drawingml/2006/picture">
                      <pic:pic xmlns:pic="http://schemas.openxmlformats.org/drawingml/2006/picture">
                        <pic:nvPicPr>
                          <pic:cNvPr id="192" name="IM 192"/>
                          <pic:cNvPicPr/>
                        </pic:nvPicPr>
                        <pic:blipFill>
                          <a:blip r:embed="rId472"/>
                          <a:stretch>
                            <a:fillRect/>
                          </a:stretch>
                        </pic:blipFill>
                        <pic:spPr>
                          <a:xfrm>
                            <a:off x="0" y="0"/>
                            <a:ext cx="5861048" cy="247578"/>
                          </a:xfrm>
                          <a:prstGeom prst="rect">
                            <a:avLst/>
                          </a:prstGeom>
                        </pic:spPr>
                      </pic:pic>
                    </a:graphicData>
                  </a:graphic>
                </wp:anchor>
              </w:drawing>
            </w:r>
            <w:r>
              <w:rPr>
                <w:spacing w:val="-1"/>
              </w:rPr>
              <w:t>采用燃煤烹饪或取暖</w:t>
            </w:r>
          </w:p>
        </w:tc>
      </w:tr>
      <w:tr w14:paraId="41B6A048">
        <w:trPr>
          <w:trHeight w:val="400" w:hRule="atLeast"/>
        </w:trPr>
        <w:tc>
          <w:tcPr>
            <w:tcW w:w="2650" w:type="dxa"/>
            <w:shd w:val="clear" w:color="auto" w:fill="DCE1E1"/>
            <w:vAlign w:val="top"/>
          </w:tcPr>
          <w:p w14:paraId="626580D1">
            <w:pPr>
              <w:pStyle w:val="6"/>
              <w:spacing w:before="93" w:line="223" w:lineRule="auto"/>
              <w:ind w:left="450"/>
            </w:pPr>
            <w:r>
              <w:t>是</w:t>
            </w:r>
          </w:p>
        </w:tc>
        <w:tc>
          <w:tcPr>
            <w:tcW w:w="2220" w:type="dxa"/>
            <w:shd w:val="clear" w:color="auto" w:fill="DCDCDB"/>
            <w:vAlign w:val="top"/>
          </w:tcPr>
          <w:p w14:paraId="48486186">
            <w:pPr>
              <w:pStyle w:val="6"/>
              <w:spacing w:before="109"/>
              <w:ind w:left="860"/>
            </w:pPr>
            <w:r>
              <w:rPr>
                <w:spacing w:val="-2"/>
              </w:rPr>
              <w:t>22881</w:t>
            </w:r>
          </w:p>
        </w:tc>
        <w:tc>
          <w:tcPr>
            <w:tcW w:w="2620" w:type="dxa"/>
            <w:shd w:val="clear" w:color="auto" w:fill="E0E0DC"/>
            <w:vAlign w:val="top"/>
          </w:tcPr>
          <w:p w14:paraId="79A1029C">
            <w:pPr>
              <w:pStyle w:val="6"/>
              <w:spacing w:before="93" w:line="222" w:lineRule="auto"/>
              <w:ind w:left="510"/>
            </w:pPr>
            <w:r>
              <w:rPr>
                <w:spacing w:val="-2"/>
              </w:rPr>
              <w:t>12.8(10.9～14.7)</w:t>
            </w:r>
          </w:p>
        </w:tc>
        <w:tc>
          <w:tcPr>
            <w:tcW w:w="1739" w:type="dxa"/>
            <w:shd w:val="clear" w:color="auto" w:fill="D9D9D2"/>
            <w:vAlign w:val="top"/>
          </w:tcPr>
          <w:p w14:paraId="02D840A9">
            <w:pPr>
              <w:pStyle w:val="6"/>
              <w:spacing w:before="109" w:line="239" w:lineRule="auto"/>
              <w:ind w:left="570"/>
            </w:pPr>
            <w:r>
              <w:rPr>
                <w:spacing w:val="-1"/>
              </w:rPr>
              <w:t>0.27°</w:t>
            </w:r>
          </w:p>
        </w:tc>
      </w:tr>
      <w:tr w14:paraId="3553625F">
        <w:trPr>
          <w:trHeight w:val="355" w:hRule="atLeast"/>
        </w:trPr>
        <w:tc>
          <w:tcPr>
            <w:tcW w:w="2650" w:type="dxa"/>
            <w:tcBorders>
              <w:bottom w:val="single" w:color="000000" w:sz="4" w:space="0"/>
            </w:tcBorders>
            <w:shd w:val="clear" w:color="auto" w:fill="D9DDDD"/>
            <w:vAlign w:val="top"/>
          </w:tcPr>
          <w:p w14:paraId="3A104849">
            <w:pPr>
              <w:pStyle w:val="6"/>
              <w:spacing w:before="70" w:line="220" w:lineRule="auto"/>
              <w:ind w:left="450"/>
            </w:pPr>
            <w:r>
              <w:t>否</w:t>
            </w:r>
          </w:p>
        </w:tc>
        <w:tc>
          <w:tcPr>
            <w:tcW w:w="2220" w:type="dxa"/>
            <w:tcBorders>
              <w:bottom w:val="single" w:color="000000" w:sz="4" w:space="0"/>
            </w:tcBorders>
            <w:shd w:val="clear" w:color="auto" w:fill="C8C9C6"/>
            <w:vAlign w:val="top"/>
          </w:tcPr>
          <w:p w14:paraId="2A6BA358">
            <w:pPr>
              <w:pStyle w:val="6"/>
              <w:spacing w:before="90" w:line="235" w:lineRule="auto"/>
              <w:ind w:left="860"/>
            </w:pPr>
            <w:r>
              <w:rPr>
                <w:spacing w:val="-2"/>
              </w:rPr>
              <w:t>43795</w:t>
            </w:r>
          </w:p>
        </w:tc>
        <w:tc>
          <w:tcPr>
            <w:tcW w:w="2620" w:type="dxa"/>
            <w:tcBorders>
              <w:bottom w:val="single" w:color="000000" w:sz="4" w:space="0"/>
            </w:tcBorders>
            <w:shd w:val="clear" w:color="auto" w:fill="DCDDD8"/>
            <w:vAlign w:val="top"/>
          </w:tcPr>
          <w:p w14:paraId="19A40EDD">
            <w:pPr>
              <w:pStyle w:val="6"/>
              <w:spacing w:before="73" w:line="222" w:lineRule="auto"/>
              <w:ind w:left="510"/>
            </w:pPr>
            <w:r>
              <w:rPr>
                <w:spacing w:val="-2"/>
              </w:rPr>
              <w:t>14.0(12.1～15.9)</w:t>
            </w:r>
          </w:p>
        </w:tc>
        <w:tc>
          <w:tcPr>
            <w:tcW w:w="1739" w:type="dxa"/>
            <w:tcBorders>
              <w:bottom w:val="single" w:color="000000" w:sz="4" w:space="0"/>
            </w:tcBorders>
            <w:shd w:val="clear" w:color="auto" w:fill="C4C5BF"/>
            <w:vAlign w:val="top"/>
          </w:tcPr>
          <w:p w14:paraId="2287DF57">
            <w:pPr>
              <w:rPr>
                <w:rFonts w:ascii="Arial"/>
                <w:sz w:val="21"/>
              </w:rPr>
            </w:pPr>
          </w:p>
        </w:tc>
      </w:tr>
      <w:tr w14:paraId="4EEF136F">
        <w:trPr>
          <w:trHeight w:val="1139" w:hRule="atLeast"/>
        </w:trPr>
        <w:tc>
          <w:tcPr>
            <w:tcW w:w="2650" w:type="dxa"/>
            <w:tcBorders>
              <w:top w:val="single" w:color="000000" w:sz="4" w:space="0"/>
              <w:bottom w:val="single" w:color="000000" w:sz="4" w:space="0"/>
            </w:tcBorders>
            <w:vAlign w:val="top"/>
          </w:tcPr>
          <w:p w14:paraId="526F712A">
            <w:pPr>
              <w:pStyle w:val="6"/>
              <w:spacing w:before="95" w:line="219" w:lineRule="auto"/>
              <w:ind w:left="20"/>
            </w:pPr>
            <w:r>
              <w:pict>
                <v:shape id="_x0000_s1048" o:spid="_x0000_s1048" o:spt="202" type="#_x0000_t202" style="position:absolute;left:0pt;margin-left:19.5pt;margin-top:23.4pt;height:30.85pt;width:13.5pt;mso-position-horizontal-relative:page;mso-position-vertical-relative:page;z-index:251719680;mso-width-relative:page;mso-height-relative:page;" filled="f" stroked="f" coordsize="21600,21600">
                  <v:path/>
                  <v:fill on="f" focussize="0,0"/>
                  <v:stroke on="f"/>
                  <v:imagedata o:title=""/>
                  <o:lock v:ext="edit" aspectratio="f"/>
                  <v:textbox inset="0mm,0mm,0mm,0mm" style="layout-flow:vertical-ideographic;">
                    <w:txbxContent>
                      <w:p w14:paraId="629320C4">
                        <w:pPr>
                          <w:pStyle w:val="6"/>
                          <w:spacing w:before="19" w:line="206" w:lineRule="auto"/>
                          <w:ind w:left="20"/>
                        </w:pPr>
                        <w:r>
                          <w:rPr>
                            <w:spacing w:val="-1"/>
                          </w:rPr>
                          <w:t>是</w:t>
                        </w:r>
                        <w:r>
                          <w:rPr>
                            <w:spacing w:val="77"/>
                          </w:rPr>
                          <w:t xml:space="preserve"> </w:t>
                        </w:r>
                        <w:r>
                          <w:rPr>
                            <w:spacing w:val="-1"/>
                          </w:rPr>
                          <w:t>否</w:t>
                        </w:r>
                      </w:p>
                    </w:txbxContent>
                  </v:textbox>
                </v:shape>
              </w:pict>
            </w:r>
            <w:r>
              <w:rPr>
                <w:spacing w:val="2"/>
              </w:rPr>
              <w:t>接触职业粉尘或化学物质</w:t>
            </w:r>
          </w:p>
        </w:tc>
        <w:tc>
          <w:tcPr>
            <w:tcW w:w="2220" w:type="dxa"/>
            <w:tcBorders>
              <w:top w:val="single" w:color="000000" w:sz="4" w:space="0"/>
              <w:bottom w:val="single" w:color="000000" w:sz="4" w:space="0"/>
            </w:tcBorders>
            <w:vAlign w:val="top"/>
          </w:tcPr>
          <w:p w14:paraId="044195C9">
            <w:pPr>
              <w:spacing w:line="426" w:lineRule="auto"/>
              <w:rPr>
                <w:rFonts w:ascii="Arial"/>
                <w:sz w:val="21"/>
              </w:rPr>
            </w:pPr>
          </w:p>
          <w:p w14:paraId="04F8B997">
            <w:pPr>
              <w:pStyle w:val="6"/>
              <w:spacing w:before="66"/>
              <w:ind w:left="860"/>
            </w:pPr>
            <w:r>
              <w:rPr>
                <w:spacing w:val="-2"/>
              </w:rPr>
              <w:t>29808</w:t>
            </w:r>
          </w:p>
          <w:p w14:paraId="60AED0F5">
            <w:pPr>
              <w:pStyle w:val="6"/>
              <w:spacing w:before="120" w:line="234" w:lineRule="auto"/>
              <w:ind w:left="860"/>
            </w:pPr>
            <w:r>
              <w:rPr>
                <w:spacing w:val="-2"/>
              </w:rPr>
              <w:t>36914</w:t>
            </w:r>
          </w:p>
        </w:tc>
        <w:tc>
          <w:tcPr>
            <w:tcW w:w="2620" w:type="dxa"/>
            <w:tcBorders>
              <w:top w:val="single" w:color="000000" w:sz="4" w:space="0"/>
              <w:bottom w:val="single" w:color="000000" w:sz="4" w:space="0"/>
            </w:tcBorders>
            <w:vAlign w:val="top"/>
          </w:tcPr>
          <w:p w14:paraId="626620E0">
            <w:pPr>
              <w:spacing w:line="410" w:lineRule="auto"/>
              <w:rPr>
                <w:rFonts w:ascii="Arial"/>
                <w:sz w:val="21"/>
              </w:rPr>
            </w:pPr>
          </w:p>
          <w:p w14:paraId="65A74269">
            <w:pPr>
              <w:pStyle w:val="6"/>
              <w:spacing w:before="65" w:line="222" w:lineRule="auto"/>
              <w:ind w:left="510"/>
            </w:pPr>
            <w:r>
              <w:rPr>
                <w:spacing w:val="-2"/>
              </w:rPr>
              <w:t>15.4(13.5～17.4)</w:t>
            </w:r>
          </w:p>
          <w:p w14:paraId="1376761D">
            <w:pPr>
              <w:pStyle w:val="6"/>
              <w:spacing w:before="139" w:line="222" w:lineRule="auto"/>
              <w:ind w:left="510"/>
            </w:pPr>
            <w:r>
              <w:rPr>
                <w:spacing w:val="-2"/>
              </w:rPr>
              <w:t>12.1(10.6～13.6)</w:t>
            </w:r>
          </w:p>
        </w:tc>
        <w:tc>
          <w:tcPr>
            <w:tcW w:w="1739" w:type="dxa"/>
            <w:tcBorders>
              <w:top w:val="single" w:color="000000" w:sz="4" w:space="0"/>
              <w:bottom w:val="single" w:color="000000" w:sz="4" w:space="0"/>
            </w:tcBorders>
            <w:vAlign w:val="top"/>
          </w:tcPr>
          <w:p w14:paraId="59C9E145">
            <w:pPr>
              <w:spacing w:line="427" w:lineRule="auto"/>
              <w:rPr>
                <w:rFonts w:ascii="Arial"/>
                <w:sz w:val="21"/>
              </w:rPr>
            </w:pPr>
          </w:p>
          <w:p w14:paraId="54CBFB1E">
            <w:pPr>
              <w:pStyle w:val="6"/>
              <w:spacing w:before="65" w:line="239" w:lineRule="auto"/>
              <w:ind w:left="570"/>
            </w:pPr>
            <w:r>
              <w:rPr>
                <w:spacing w:val="-3"/>
              </w:rPr>
              <w:t>&lt;0.001</w:t>
            </w:r>
          </w:p>
        </w:tc>
      </w:tr>
      <w:tr w14:paraId="0472BE5C">
        <w:trPr>
          <w:trHeight w:val="389" w:hRule="atLeast"/>
        </w:trPr>
        <w:tc>
          <w:tcPr>
            <w:tcW w:w="9229" w:type="dxa"/>
            <w:gridSpan w:val="4"/>
            <w:tcBorders>
              <w:top w:val="single" w:color="000000" w:sz="4" w:space="0"/>
            </w:tcBorders>
            <w:shd w:val="clear" w:color="auto" w:fill="D7D9D8"/>
            <w:vAlign w:val="top"/>
          </w:tcPr>
          <w:p w14:paraId="74997E61">
            <w:pPr>
              <w:pStyle w:val="6"/>
              <w:spacing w:before="99" w:line="214" w:lineRule="auto"/>
              <w:ind w:left="450"/>
            </w:pPr>
            <w:r>
              <w:rPr>
                <w:spacing w:val="14"/>
              </w:rPr>
              <w:t>体重指数/(</w:t>
            </w:r>
            <w:r>
              <w:t>kg</w:t>
            </w:r>
            <w:r>
              <w:rPr>
                <w:spacing w:val="14"/>
              </w:rPr>
              <w:t>/m²)</w:t>
            </w:r>
          </w:p>
        </w:tc>
      </w:tr>
      <w:tr w14:paraId="6145C9CF">
        <w:trPr>
          <w:trHeight w:val="350" w:hRule="atLeast"/>
        </w:trPr>
        <w:tc>
          <w:tcPr>
            <w:tcW w:w="2650" w:type="dxa"/>
            <w:shd w:val="clear" w:color="auto" w:fill="D6D9D8"/>
            <w:vAlign w:val="top"/>
          </w:tcPr>
          <w:p w14:paraId="09018FEB">
            <w:pPr>
              <w:pStyle w:val="6"/>
              <w:spacing w:before="107" w:line="215" w:lineRule="auto"/>
              <w:ind w:left="450"/>
            </w:pPr>
            <w:r>
              <w:rPr>
                <w:spacing w:val="-3"/>
              </w:rPr>
              <w:t>&lt;18.5</w:t>
            </w:r>
          </w:p>
        </w:tc>
        <w:tc>
          <w:tcPr>
            <w:tcW w:w="2220" w:type="dxa"/>
            <w:shd w:val="clear" w:color="auto" w:fill="DBDCDA"/>
            <w:vAlign w:val="top"/>
          </w:tcPr>
          <w:p w14:paraId="6D55753A">
            <w:pPr>
              <w:pStyle w:val="6"/>
              <w:spacing w:before="107" w:line="215" w:lineRule="auto"/>
              <w:ind w:left="910"/>
            </w:pPr>
            <w:r>
              <w:rPr>
                <w:spacing w:val="-5"/>
              </w:rPr>
              <w:t>1515</w:t>
            </w:r>
          </w:p>
        </w:tc>
        <w:tc>
          <w:tcPr>
            <w:tcW w:w="2620" w:type="dxa"/>
            <w:shd w:val="clear" w:color="auto" w:fill="DCDCD9"/>
            <w:vAlign w:val="top"/>
          </w:tcPr>
          <w:p w14:paraId="739F9F9D">
            <w:pPr>
              <w:pStyle w:val="6"/>
              <w:spacing w:before="90" w:line="222" w:lineRule="auto"/>
              <w:ind w:left="510"/>
            </w:pPr>
            <w:r>
              <w:rPr>
                <w:spacing w:val="-1"/>
              </w:rPr>
              <w:t>22.3(18.9～25.8)</w:t>
            </w:r>
          </w:p>
        </w:tc>
        <w:tc>
          <w:tcPr>
            <w:tcW w:w="1739" w:type="dxa"/>
            <w:shd w:val="clear" w:color="auto" w:fill="D4D5D1"/>
            <w:vAlign w:val="top"/>
          </w:tcPr>
          <w:p w14:paraId="7794D715">
            <w:pPr>
              <w:pStyle w:val="6"/>
              <w:spacing w:before="107" w:line="215" w:lineRule="auto"/>
              <w:ind w:left="570"/>
            </w:pPr>
            <w:r>
              <w:rPr>
                <w:spacing w:val="-3"/>
              </w:rPr>
              <w:t>&lt;0.001</w:t>
            </w:r>
          </w:p>
        </w:tc>
      </w:tr>
      <w:tr w14:paraId="275C1E19">
        <w:trPr>
          <w:trHeight w:val="390" w:hRule="atLeast"/>
        </w:trPr>
        <w:tc>
          <w:tcPr>
            <w:tcW w:w="2650" w:type="dxa"/>
            <w:shd w:val="clear" w:color="auto" w:fill="D6D9D9"/>
            <w:vAlign w:val="top"/>
          </w:tcPr>
          <w:p w14:paraId="77E8C441">
            <w:pPr>
              <w:pStyle w:val="6"/>
              <w:spacing w:before="127" w:line="233" w:lineRule="auto"/>
              <w:ind w:left="450"/>
            </w:pPr>
            <w:r>
              <w:rPr>
                <w:spacing w:val="-3"/>
              </w:rPr>
              <w:t>18.5～23.9</w:t>
            </w:r>
          </w:p>
        </w:tc>
        <w:tc>
          <w:tcPr>
            <w:tcW w:w="2220" w:type="dxa"/>
            <w:shd w:val="clear" w:color="auto" w:fill="DBDCDA"/>
            <w:vAlign w:val="top"/>
          </w:tcPr>
          <w:p w14:paraId="23FD1988">
            <w:pPr>
              <w:pStyle w:val="6"/>
              <w:spacing w:before="127" w:line="233" w:lineRule="auto"/>
              <w:ind w:left="860"/>
            </w:pPr>
            <w:r>
              <w:rPr>
                <w:spacing w:val="-2"/>
              </w:rPr>
              <w:t>28588</w:t>
            </w:r>
          </w:p>
        </w:tc>
        <w:tc>
          <w:tcPr>
            <w:tcW w:w="2620" w:type="dxa"/>
            <w:shd w:val="clear" w:color="auto" w:fill="D8D8D5"/>
            <w:vAlign w:val="top"/>
          </w:tcPr>
          <w:p w14:paraId="33235C48">
            <w:pPr>
              <w:pStyle w:val="6"/>
              <w:spacing w:before="110" w:line="222" w:lineRule="auto"/>
              <w:ind w:left="510"/>
            </w:pPr>
            <w:r>
              <w:rPr>
                <w:spacing w:val="-2"/>
              </w:rPr>
              <w:t>16.0(14.1～17.8)</w:t>
            </w:r>
          </w:p>
        </w:tc>
        <w:tc>
          <w:tcPr>
            <w:tcW w:w="1739" w:type="dxa"/>
            <w:shd w:val="clear" w:color="auto" w:fill="D0D0CC"/>
            <w:vAlign w:val="top"/>
          </w:tcPr>
          <w:p w14:paraId="3A9380AB">
            <w:pPr>
              <w:rPr>
                <w:rFonts w:ascii="Arial"/>
                <w:sz w:val="21"/>
              </w:rPr>
            </w:pPr>
          </w:p>
        </w:tc>
      </w:tr>
      <w:tr w14:paraId="47BEE3A5">
        <w:trPr>
          <w:trHeight w:val="379" w:hRule="atLeast"/>
        </w:trPr>
        <w:tc>
          <w:tcPr>
            <w:tcW w:w="2650" w:type="dxa"/>
            <w:shd w:val="clear" w:color="auto" w:fill="D6D9D7"/>
            <w:vAlign w:val="top"/>
          </w:tcPr>
          <w:p w14:paraId="66AD1FB9">
            <w:pPr>
              <w:pStyle w:val="6"/>
              <w:spacing w:before="127" w:line="223" w:lineRule="auto"/>
              <w:ind w:left="450"/>
            </w:pPr>
            <w:r>
              <w:rPr>
                <w:spacing w:val="-2"/>
              </w:rPr>
              <w:t>24.0～27.9</w:t>
            </w:r>
          </w:p>
        </w:tc>
        <w:tc>
          <w:tcPr>
            <w:tcW w:w="2220" w:type="dxa"/>
            <w:shd w:val="clear" w:color="auto" w:fill="DBDCDA"/>
            <w:vAlign w:val="top"/>
          </w:tcPr>
          <w:p w14:paraId="767328CE">
            <w:pPr>
              <w:pStyle w:val="6"/>
              <w:spacing w:before="127" w:line="223" w:lineRule="auto"/>
              <w:ind w:left="860"/>
            </w:pPr>
            <w:r>
              <w:rPr>
                <w:spacing w:val="-2"/>
              </w:rPr>
              <w:t>25830</w:t>
            </w:r>
          </w:p>
        </w:tc>
        <w:tc>
          <w:tcPr>
            <w:tcW w:w="2620" w:type="dxa"/>
            <w:shd w:val="clear" w:color="auto" w:fill="DCDCD9"/>
            <w:vAlign w:val="top"/>
          </w:tcPr>
          <w:p w14:paraId="1517ED47">
            <w:pPr>
              <w:pStyle w:val="6"/>
              <w:spacing w:before="110" w:line="222" w:lineRule="auto"/>
              <w:ind w:left="510"/>
            </w:pPr>
            <w:r>
              <w:rPr>
                <w:spacing w:val="-2"/>
              </w:rPr>
              <w:t>11.7(10.3～13.0)</w:t>
            </w:r>
          </w:p>
        </w:tc>
        <w:tc>
          <w:tcPr>
            <w:tcW w:w="1739" w:type="dxa"/>
            <w:shd w:val="clear" w:color="auto" w:fill="DFDFDD"/>
            <w:vAlign w:val="top"/>
          </w:tcPr>
          <w:p w14:paraId="37400FE2">
            <w:pPr>
              <w:rPr>
                <w:rFonts w:ascii="Arial"/>
                <w:sz w:val="21"/>
              </w:rPr>
            </w:pPr>
          </w:p>
        </w:tc>
      </w:tr>
      <w:tr w14:paraId="1241DCC1">
        <w:trPr>
          <w:trHeight w:val="404" w:hRule="atLeast"/>
        </w:trPr>
        <w:tc>
          <w:tcPr>
            <w:tcW w:w="2650" w:type="dxa"/>
            <w:tcBorders>
              <w:bottom w:val="single" w:color="000000" w:sz="4" w:space="0"/>
            </w:tcBorders>
            <w:shd w:val="clear" w:color="auto" w:fill="D9DDDA"/>
            <w:vAlign w:val="top"/>
          </w:tcPr>
          <w:p w14:paraId="17F67ED0">
            <w:pPr>
              <w:pStyle w:val="6"/>
              <w:spacing w:before="137" w:line="237" w:lineRule="auto"/>
              <w:ind w:left="450"/>
            </w:pPr>
            <w:r>
              <w:rPr>
                <w:spacing w:val="-7"/>
              </w:rPr>
              <w:t>≥28</w:t>
            </w:r>
          </w:p>
        </w:tc>
        <w:tc>
          <w:tcPr>
            <w:tcW w:w="2220" w:type="dxa"/>
            <w:tcBorders>
              <w:bottom w:val="single" w:color="000000" w:sz="4" w:space="0"/>
            </w:tcBorders>
            <w:shd w:val="clear" w:color="auto" w:fill="DBDCD9"/>
            <w:vAlign w:val="top"/>
          </w:tcPr>
          <w:p w14:paraId="143AF568">
            <w:pPr>
              <w:pStyle w:val="6"/>
              <w:spacing w:before="138" w:line="236" w:lineRule="auto"/>
              <w:ind w:left="860"/>
            </w:pPr>
            <w:r>
              <w:rPr>
                <w:spacing w:val="-4"/>
              </w:rPr>
              <w:t>10819</w:t>
            </w:r>
          </w:p>
        </w:tc>
        <w:tc>
          <w:tcPr>
            <w:tcW w:w="2620" w:type="dxa"/>
            <w:tcBorders>
              <w:bottom w:val="single" w:color="000000" w:sz="4" w:space="0"/>
            </w:tcBorders>
            <w:shd w:val="clear" w:color="auto" w:fill="D8D9D5"/>
            <w:vAlign w:val="top"/>
          </w:tcPr>
          <w:p w14:paraId="6757FEE7">
            <w:pPr>
              <w:pStyle w:val="6"/>
              <w:spacing w:before="121" w:line="222" w:lineRule="auto"/>
              <w:ind w:left="560"/>
            </w:pPr>
            <w:r>
              <w:rPr>
                <w:spacing w:val="-2"/>
              </w:rPr>
              <w:t>10.9(8.2～13.5)</w:t>
            </w:r>
          </w:p>
        </w:tc>
        <w:tc>
          <w:tcPr>
            <w:tcW w:w="1739" w:type="dxa"/>
            <w:tcBorders>
              <w:bottom w:val="single" w:color="000000" w:sz="4" w:space="0"/>
            </w:tcBorders>
            <w:shd w:val="clear" w:color="auto" w:fill="CFD1CC"/>
            <w:vAlign w:val="top"/>
          </w:tcPr>
          <w:p w14:paraId="0C5C4F72">
            <w:pPr>
              <w:rPr>
                <w:rFonts w:ascii="Arial"/>
                <w:sz w:val="21"/>
              </w:rPr>
            </w:pPr>
          </w:p>
        </w:tc>
      </w:tr>
    </w:tbl>
    <w:p w14:paraId="2FC197D8">
      <w:pPr>
        <w:spacing w:before="54" w:line="238" w:lineRule="auto"/>
        <w:ind w:left="450"/>
        <w:rPr>
          <w:rFonts w:ascii="宋体" w:hAnsi="宋体" w:eastAsia="宋体" w:cs="宋体"/>
          <w:sz w:val="20"/>
          <w:szCs w:val="20"/>
        </w:rPr>
      </w:pPr>
      <w:r>
        <w:rPr>
          <w:rFonts w:ascii="宋体" w:hAnsi="宋体" w:eastAsia="宋体" w:cs="宋体"/>
          <w:spacing w:val="-1"/>
          <w:sz w:val="20"/>
          <w:szCs w:val="20"/>
        </w:rPr>
        <w:t xml:space="preserve">合计                           </w:t>
      </w:r>
      <w:r>
        <w:rPr>
          <w:rFonts w:ascii="宋体" w:hAnsi="宋体" w:eastAsia="宋体" w:cs="宋体"/>
          <w:spacing w:val="-1"/>
          <w:position w:val="-1"/>
          <w:sz w:val="20"/>
          <w:szCs w:val="20"/>
        </w:rPr>
        <w:t xml:space="preserve">66752   </w:t>
      </w:r>
      <w:r>
        <w:rPr>
          <w:rFonts w:ascii="宋体" w:hAnsi="宋体" w:eastAsia="宋体" w:cs="宋体"/>
          <w:spacing w:val="-2"/>
          <w:position w:val="-1"/>
          <w:sz w:val="20"/>
          <w:szCs w:val="20"/>
        </w:rPr>
        <w:t xml:space="preserve">           </w:t>
      </w:r>
      <w:r>
        <w:rPr>
          <w:rFonts w:ascii="宋体" w:hAnsi="宋体" w:eastAsia="宋体" w:cs="宋体"/>
          <w:spacing w:val="-2"/>
          <w:sz w:val="20"/>
          <w:szCs w:val="20"/>
        </w:rPr>
        <w:t>13.6(12.0～15.2)</w:t>
      </w:r>
    </w:p>
    <w:p w14:paraId="1547969B">
      <w:pPr>
        <w:spacing w:before="109" w:line="219" w:lineRule="auto"/>
        <w:ind w:left="360"/>
        <w:rPr>
          <w:rFonts w:ascii="宋体" w:hAnsi="宋体" w:eastAsia="宋体" w:cs="宋体"/>
          <w:sz w:val="17"/>
          <w:szCs w:val="17"/>
        </w:rPr>
      </w:pPr>
      <w:r>
        <w:rPr>
          <w:rFonts w:ascii="宋体" w:hAnsi="宋体" w:eastAsia="宋体" w:cs="宋体"/>
          <w:sz w:val="17"/>
          <w:szCs w:val="17"/>
        </w:rPr>
        <w:t>注：部分调查因素的信息存在缺失或被剔除。</w:t>
      </w:r>
    </w:p>
    <w:p w14:paraId="080A7EAC">
      <w:pPr>
        <w:spacing w:before="59" w:line="219" w:lineRule="auto"/>
        <w:ind w:left="360"/>
        <w:rPr>
          <w:rFonts w:ascii="宋体" w:hAnsi="宋体" w:eastAsia="宋体" w:cs="宋体"/>
          <w:sz w:val="17"/>
          <w:szCs w:val="17"/>
        </w:rPr>
      </w:pPr>
      <w:r>
        <w:rPr>
          <w:rFonts w:ascii="Times New Roman" w:hAnsi="Times New Roman" w:eastAsia="Times New Roman" w:cs="Times New Roman"/>
          <w:sz w:val="17"/>
          <w:szCs w:val="17"/>
        </w:rPr>
        <w:t>*95%CI:95%</w:t>
      </w:r>
      <w:r>
        <w:rPr>
          <w:rFonts w:ascii="Times New Roman" w:hAnsi="Times New Roman" w:eastAsia="Times New Roman" w:cs="Times New Roman"/>
          <w:spacing w:val="26"/>
          <w:w w:val="101"/>
          <w:sz w:val="17"/>
          <w:szCs w:val="17"/>
        </w:rPr>
        <w:t xml:space="preserve">  </w:t>
      </w:r>
      <w:r>
        <w:rPr>
          <w:rFonts w:ascii="宋体" w:hAnsi="宋体" w:eastAsia="宋体" w:cs="宋体"/>
          <w:sz w:val="17"/>
          <w:szCs w:val="17"/>
        </w:rPr>
        <w:t>可信区间。</w:t>
      </w:r>
    </w:p>
    <w:p w14:paraId="2B91E30A">
      <w:pPr>
        <w:spacing w:before="58" w:line="219" w:lineRule="auto"/>
        <w:ind w:left="360"/>
        <w:rPr>
          <w:rFonts w:ascii="宋体" w:hAnsi="宋体" w:eastAsia="宋体" w:cs="宋体"/>
          <w:sz w:val="17"/>
          <w:szCs w:val="17"/>
        </w:rPr>
      </w:pPr>
      <w:r>
        <w:rPr>
          <w:rFonts w:ascii="Times New Roman" w:hAnsi="Times New Roman" w:eastAsia="Times New Roman" w:cs="Times New Roman"/>
          <w:sz w:val="17"/>
          <w:szCs w:val="17"/>
        </w:rPr>
        <w:t>"x²</w:t>
      </w:r>
      <w:r>
        <w:rPr>
          <w:rFonts w:ascii="Times New Roman" w:hAnsi="Times New Roman" w:eastAsia="Times New Roman" w:cs="Times New Roman"/>
          <w:spacing w:val="6"/>
          <w:sz w:val="17"/>
          <w:szCs w:val="17"/>
        </w:rPr>
        <w:t xml:space="preserve">  </w:t>
      </w:r>
      <w:r>
        <w:rPr>
          <w:rFonts w:ascii="宋体" w:hAnsi="宋体" w:eastAsia="宋体" w:cs="宋体"/>
          <w:sz w:val="17"/>
          <w:szCs w:val="17"/>
        </w:rPr>
        <w:t>检验。</w:t>
      </w:r>
    </w:p>
    <w:p w14:paraId="4225252D">
      <w:pPr>
        <w:spacing w:before="39" w:line="212" w:lineRule="auto"/>
        <w:ind w:left="460"/>
        <w:rPr>
          <w:rFonts w:ascii="宋体" w:hAnsi="宋体" w:eastAsia="宋体" w:cs="宋体"/>
          <w:sz w:val="17"/>
          <w:szCs w:val="17"/>
        </w:rPr>
      </w:pPr>
      <w:r>
        <w:rPr>
          <w:rFonts w:ascii="Times New Roman" w:hAnsi="Times New Roman" w:eastAsia="Times New Roman" w:cs="Times New Roman"/>
          <w:sz w:val="17"/>
          <w:szCs w:val="17"/>
        </w:rPr>
        <w:t>Cochran</w:t>
      </w:r>
      <w:r>
        <w:rPr>
          <w:rFonts w:ascii="Times New Roman" w:hAnsi="Times New Roman" w:eastAsia="Times New Roman" w:cs="Times New Roman"/>
          <w:spacing w:val="4"/>
          <w:sz w:val="17"/>
          <w:szCs w:val="17"/>
        </w:rPr>
        <w:t xml:space="preserve"> </w:t>
      </w:r>
      <w:r>
        <w:rPr>
          <w:rFonts w:ascii="Times New Roman" w:hAnsi="Times New Roman" w:eastAsia="Times New Roman" w:cs="Times New Roman"/>
          <w:sz w:val="17"/>
          <w:szCs w:val="17"/>
        </w:rPr>
        <w:t>Armitage</w:t>
      </w:r>
      <w:r>
        <w:rPr>
          <w:rFonts w:ascii="宋体" w:hAnsi="宋体" w:eastAsia="宋体" w:cs="宋体"/>
          <w:spacing w:val="4"/>
          <w:sz w:val="17"/>
          <w:szCs w:val="17"/>
        </w:rPr>
        <w:t>趋势检验。</w:t>
      </w:r>
    </w:p>
    <w:p w14:paraId="263D88AD">
      <w:pPr>
        <w:spacing w:before="35" w:line="212" w:lineRule="auto"/>
        <w:ind w:left="7050"/>
        <w:rPr>
          <w:rFonts w:ascii="宋体" w:hAnsi="宋体" w:eastAsia="宋体" w:cs="宋体"/>
          <w:sz w:val="17"/>
          <w:szCs w:val="17"/>
        </w:rPr>
      </w:pPr>
      <w:r>
        <w:rPr>
          <w:rFonts w:ascii="宋体" w:hAnsi="宋体" w:eastAsia="宋体" w:cs="宋体"/>
          <w:spacing w:val="3"/>
          <w:sz w:val="17"/>
          <w:szCs w:val="17"/>
        </w:rPr>
        <w:t>(改编自</w:t>
      </w:r>
      <w:r>
        <w:rPr>
          <w:rFonts w:ascii="Times New Roman" w:hAnsi="Times New Roman" w:eastAsia="Times New Roman" w:cs="Times New Roman"/>
          <w:sz w:val="17"/>
          <w:szCs w:val="17"/>
        </w:rPr>
        <w:t>Fang</w:t>
      </w:r>
      <w:r>
        <w:rPr>
          <w:rFonts w:ascii="Times New Roman" w:hAnsi="Times New Roman" w:eastAsia="Times New Roman" w:cs="Times New Roman"/>
          <w:spacing w:val="3"/>
          <w:sz w:val="17"/>
          <w:szCs w:val="17"/>
        </w:rPr>
        <w:t xml:space="preserve"> </w:t>
      </w:r>
      <w:r>
        <w:rPr>
          <w:rFonts w:ascii="Times New Roman" w:hAnsi="Times New Roman" w:eastAsia="Times New Roman" w:cs="Times New Roman"/>
          <w:sz w:val="17"/>
          <w:szCs w:val="17"/>
        </w:rPr>
        <w:t>Liwen</w:t>
      </w:r>
      <w:r>
        <w:rPr>
          <w:rFonts w:ascii="宋体" w:hAnsi="宋体" w:eastAsia="宋体" w:cs="宋体"/>
          <w:spacing w:val="3"/>
          <w:sz w:val="17"/>
          <w:szCs w:val="17"/>
        </w:rPr>
        <w:t>等，2018)</w:t>
      </w:r>
    </w:p>
    <w:p w14:paraId="67B591BF">
      <w:pPr>
        <w:spacing w:line="212" w:lineRule="auto"/>
        <w:rPr>
          <w:rFonts w:ascii="宋体" w:hAnsi="宋体" w:eastAsia="宋体" w:cs="宋体"/>
          <w:sz w:val="17"/>
          <w:szCs w:val="17"/>
        </w:rPr>
        <w:sectPr>
          <w:footerReference r:id="rId73" w:type="default"/>
          <w:pgSz w:w="11900" w:h="16820"/>
          <w:pgMar w:top="400" w:right="702" w:bottom="866" w:left="1329" w:header="0" w:footer="713" w:gutter="0"/>
          <w:cols w:space="720" w:num="1"/>
        </w:sectPr>
      </w:pPr>
    </w:p>
    <w:p w14:paraId="34E6ED60">
      <w:pPr>
        <w:pStyle w:val="2"/>
        <w:spacing w:before="66" w:line="222" w:lineRule="auto"/>
        <w:ind w:left="719"/>
        <w:rPr>
          <w:sz w:val="20"/>
          <w:szCs w:val="20"/>
        </w:rPr>
      </w:pPr>
      <w:r>
        <w:rPr>
          <w:spacing w:val="-16"/>
          <w:sz w:val="20"/>
          <w:szCs w:val="20"/>
        </w:rPr>
        <w:t>第三章 描述性研究</w:t>
      </w:r>
    </w:p>
    <w:p w14:paraId="0ADAF958">
      <w:pPr>
        <w:spacing w:line="299" w:lineRule="auto"/>
        <w:rPr>
          <w:rFonts w:ascii="Arial"/>
          <w:sz w:val="21"/>
        </w:rPr>
      </w:pPr>
    </w:p>
    <w:p w14:paraId="59E29D13">
      <w:pPr>
        <w:spacing w:line="300" w:lineRule="auto"/>
        <w:rPr>
          <w:rFonts w:ascii="Arial"/>
          <w:sz w:val="21"/>
        </w:rPr>
      </w:pPr>
    </w:p>
    <w:p w14:paraId="3AC355D7">
      <w:pPr>
        <w:spacing w:before="65" w:line="334" w:lineRule="auto"/>
        <w:ind w:left="719" w:firstLine="409"/>
        <w:jc w:val="both"/>
        <w:rPr>
          <w:rFonts w:ascii="宋体" w:hAnsi="宋体" w:eastAsia="宋体" w:cs="宋体"/>
          <w:sz w:val="20"/>
          <w:szCs w:val="20"/>
        </w:rPr>
      </w:pPr>
      <w:r>
        <w:rPr>
          <w:rFonts w:ascii="宋体" w:hAnsi="宋体" w:eastAsia="宋体" w:cs="宋体"/>
          <w:spacing w:val="8"/>
          <w:sz w:val="20"/>
          <w:szCs w:val="20"/>
        </w:rPr>
        <w:t>(2)按是否患病分组进行比较分析：将调查对象分为患病组和非患病组，评</w:t>
      </w:r>
      <w:r>
        <w:rPr>
          <w:rFonts w:ascii="宋体" w:hAnsi="宋体" w:eastAsia="宋体" w:cs="宋体"/>
          <w:spacing w:val="7"/>
          <w:sz w:val="20"/>
          <w:szCs w:val="20"/>
        </w:rPr>
        <w:t>价单个或多个暴露</w:t>
      </w:r>
      <w:r>
        <w:rPr>
          <w:rFonts w:ascii="宋体" w:hAnsi="宋体" w:eastAsia="宋体" w:cs="宋体"/>
          <w:sz w:val="20"/>
          <w:szCs w:val="20"/>
        </w:rPr>
        <w:t xml:space="preserve"> </w:t>
      </w:r>
      <w:r>
        <w:rPr>
          <w:rFonts w:ascii="宋体" w:hAnsi="宋体" w:eastAsia="宋体" w:cs="宋体"/>
          <w:spacing w:val="6"/>
          <w:sz w:val="20"/>
          <w:szCs w:val="20"/>
        </w:rPr>
        <w:t>(因素)与疾病之间的统计学关联。例如，以是否患有慢阻肺为因变量，采用多因素</w:t>
      </w:r>
      <w:r>
        <w:rPr>
          <w:rFonts w:ascii="宋体" w:hAnsi="宋体" w:eastAsia="宋体" w:cs="宋体"/>
          <w:sz w:val="20"/>
          <w:szCs w:val="20"/>
        </w:rPr>
        <w:t>Logistic</w:t>
      </w:r>
      <w:r>
        <w:rPr>
          <w:rFonts w:ascii="宋体" w:hAnsi="宋体" w:eastAsia="宋体" w:cs="宋体"/>
          <w:spacing w:val="5"/>
          <w:sz w:val="20"/>
          <w:szCs w:val="20"/>
        </w:rPr>
        <w:t>回归模</w:t>
      </w:r>
      <w:r>
        <w:rPr>
          <w:rFonts w:ascii="宋体" w:hAnsi="宋体" w:eastAsia="宋体" w:cs="宋体"/>
          <w:sz w:val="20"/>
          <w:szCs w:val="20"/>
        </w:rPr>
        <w:t xml:space="preserve"> </w:t>
      </w:r>
      <w:r>
        <w:rPr>
          <w:rFonts w:ascii="宋体" w:hAnsi="宋体" w:eastAsia="宋体" w:cs="宋体"/>
          <w:spacing w:val="7"/>
          <w:sz w:val="20"/>
          <w:szCs w:val="20"/>
        </w:rPr>
        <w:t xml:space="preserve">型分析哪些特征人群更有可能患有慢阻肺。结果显示，有统计学意义的特征为男性、更高的年龄、 </w:t>
      </w:r>
      <w:r>
        <w:rPr>
          <w:rFonts w:ascii="宋体" w:hAnsi="宋体" w:eastAsia="宋体" w:cs="宋体"/>
          <w:spacing w:val="1"/>
          <w:sz w:val="20"/>
          <w:szCs w:val="20"/>
        </w:rPr>
        <w:t>既往吸烟或现在吸烟、接触职业粉尘或化学物质、有肺部疾病家</w:t>
      </w:r>
      <w:r>
        <w:rPr>
          <w:rFonts w:ascii="宋体" w:hAnsi="宋体" w:eastAsia="宋体" w:cs="宋体"/>
          <w:sz w:val="20"/>
          <w:szCs w:val="20"/>
        </w:rPr>
        <w:t>族史、有肺结核病史等。</w:t>
      </w:r>
    </w:p>
    <w:p w14:paraId="27D967A4">
      <w:pPr>
        <w:pStyle w:val="2"/>
        <w:spacing w:before="251" w:line="221" w:lineRule="auto"/>
        <w:ind w:left="1133"/>
        <w:outlineLvl w:val="2"/>
        <w:rPr>
          <w:sz w:val="24"/>
          <w:szCs w:val="24"/>
        </w:rPr>
      </w:pPr>
      <w:bookmarkStart w:id="78" w:name="bookmark43"/>
      <w:bookmarkEnd w:id="78"/>
      <w:r>
        <w:rPr>
          <w:b/>
          <w:bCs/>
          <w:spacing w:val="-2"/>
          <w:sz w:val="24"/>
          <w:szCs w:val="24"/>
        </w:rPr>
        <w:t>四</w:t>
      </w:r>
      <w:r>
        <w:rPr>
          <w:spacing w:val="-34"/>
          <w:sz w:val="24"/>
          <w:szCs w:val="24"/>
        </w:rPr>
        <w:t xml:space="preserve"> </w:t>
      </w:r>
      <w:r>
        <w:rPr>
          <w:b/>
          <w:bCs/>
          <w:spacing w:val="-2"/>
          <w:sz w:val="24"/>
          <w:szCs w:val="24"/>
        </w:rPr>
        <w:t>、常见偏倚及其控制</w:t>
      </w:r>
    </w:p>
    <w:p w14:paraId="37883421">
      <w:pPr>
        <w:pStyle w:val="2"/>
        <w:spacing w:before="281" w:line="221" w:lineRule="auto"/>
        <w:ind w:left="1132"/>
        <w:rPr>
          <w:sz w:val="20"/>
          <w:szCs w:val="20"/>
        </w:rPr>
      </w:pPr>
      <w:r>
        <w:rPr>
          <w:b/>
          <w:bCs/>
          <w:spacing w:val="14"/>
          <w:sz w:val="20"/>
          <w:szCs w:val="20"/>
        </w:rPr>
        <w:t>(</w:t>
      </w:r>
      <w:r>
        <w:rPr>
          <w:spacing w:val="-43"/>
          <w:sz w:val="20"/>
          <w:szCs w:val="20"/>
        </w:rPr>
        <w:t xml:space="preserve"> </w:t>
      </w:r>
      <w:r>
        <w:rPr>
          <w:b/>
          <w:bCs/>
          <w:spacing w:val="14"/>
          <w:sz w:val="20"/>
          <w:szCs w:val="20"/>
        </w:rPr>
        <w:t>一</w:t>
      </w:r>
      <w:r>
        <w:rPr>
          <w:spacing w:val="-56"/>
          <w:sz w:val="20"/>
          <w:szCs w:val="20"/>
        </w:rPr>
        <w:t xml:space="preserve"> </w:t>
      </w:r>
      <w:r>
        <w:rPr>
          <w:b/>
          <w:bCs/>
          <w:spacing w:val="14"/>
          <w:sz w:val="20"/>
          <w:szCs w:val="20"/>
        </w:rPr>
        <w:t>)常见的偏倚</w:t>
      </w:r>
    </w:p>
    <w:p w14:paraId="3D04D13A">
      <w:pPr>
        <w:spacing w:before="77" w:line="343" w:lineRule="auto"/>
        <w:ind w:left="619" w:right="64" w:firstLine="509"/>
        <w:jc w:val="both"/>
        <w:rPr>
          <w:rFonts w:ascii="宋体" w:hAnsi="宋体" w:eastAsia="宋体" w:cs="宋体"/>
          <w:sz w:val="20"/>
          <w:szCs w:val="20"/>
        </w:rPr>
      </w:pPr>
      <w:r>
        <w:rPr>
          <w:rFonts w:ascii="宋体" w:hAnsi="宋体" w:eastAsia="宋体" w:cs="宋体"/>
          <w:spacing w:val="9"/>
          <w:sz w:val="20"/>
          <w:szCs w:val="20"/>
        </w:rPr>
        <w:t>偏</w:t>
      </w:r>
      <w:r>
        <w:rPr>
          <w:rFonts w:ascii="宋体" w:hAnsi="宋体" w:eastAsia="宋体" w:cs="宋体"/>
          <w:spacing w:val="-29"/>
          <w:sz w:val="20"/>
          <w:szCs w:val="20"/>
        </w:rPr>
        <w:t xml:space="preserve"> </w:t>
      </w:r>
      <w:r>
        <w:rPr>
          <w:rFonts w:ascii="宋体" w:hAnsi="宋体" w:eastAsia="宋体" w:cs="宋体"/>
          <w:spacing w:val="9"/>
          <w:sz w:val="20"/>
          <w:szCs w:val="20"/>
        </w:rPr>
        <w:t>倚</w:t>
      </w:r>
      <w:r>
        <w:rPr>
          <w:rFonts w:ascii="Times New Roman" w:hAnsi="Times New Roman" w:eastAsia="Times New Roman" w:cs="Times New Roman"/>
          <w:spacing w:val="9"/>
          <w:sz w:val="20"/>
          <w:szCs w:val="20"/>
        </w:rPr>
        <w:t>(</w:t>
      </w:r>
      <w:r>
        <w:rPr>
          <w:rFonts w:ascii="Times New Roman" w:hAnsi="Times New Roman" w:eastAsia="Times New Roman" w:cs="Times New Roman"/>
          <w:sz w:val="20"/>
          <w:szCs w:val="20"/>
        </w:rPr>
        <w:t>bias</w:t>
      </w:r>
      <w:r>
        <w:rPr>
          <w:rFonts w:ascii="Times New Roman" w:hAnsi="Times New Roman" w:eastAsia="Times New Roman" w:cs="Times New Roman"/>
          <w:spacing w:val="9"/>
          <w:sz w:val="20"/>
          <w:szCs w:val="20"/>
        </w:rPr>
        <w:t>)</w:t>
      </w:r>
      <w:r>
        <w:rPr>
          <w:rFonts w:ascii="Times New Roman" w:hAnsi="Times New Roman" w:eastAsia="Times New Roman" w:cs="Times New Roman"/>
          <w:spacing w:val="1"/>
          <w:sz w:val="20"/>
          <w:szCs w:val="20"/>
        </w:rPr>
        <w:t xml:space="preserve">   </w:t>
      </w:r>
      <w:r>
        <w:rPr>
          <w:rFonts w:ascii="宋体" w:hAnsi="宋体" w:eastAsia="宋体" w:cs="宋体"/>
          <w:spacing w:val="9"/>
          <w:sz w:val="20"/>
          <w:szCs w:val="20"/>
        </w:rPr>
        <w:t>是指从研究设计与实施到数据处理和分析的各个环节中产生的系统误差，以及结</w:t>
      </w:r>
      <w:r>
        <w:rPr>
          <w:rFonts w:ascii="宋体" w:hAnsi="宋体" w:eastAsia="宋体" w:cs="宋体"/>
          <w:sz w:val="20"/>
          <w:szCs w:val="20"/>
        </w:rPr>
        <w:t xml:space="preserve"> </w:t>
      </w:r>
      <w:r>
        <w:rPr>
          <w:rFonts w:ascii="宋体" w:hAnsi="宋体" w:eastAsia="宋体" w:cs="宋体"/>
          <w:spacing w:val="7"/>
          <w:sz w:val="20"/>
          <w:szCs w:val="20"/>
        </w:rPr>
        <w:t>果解释、推论中的片面性导致的研究结果与真实情况之间出现的倾向性差异，进而导致对暴露与疾</w:t>
      </w:r>
      <w:r>
        <w:rPr>
          <w:rFonts w:ascii="宋体" w:hAnsi="宋体" w:eastAsia="宋体" w:cs="宋体"/>
          <w:spacing w:val="16"/>
          <w:sz w:val="20"/>
          <w:szCs w:val="20"/>
        </w:rPr>
        <w:t xml:space="preserve"> </w:t>
      </w:r>
      <w:r>
        <w:rPr>
          <w:rFonts w:ascii="宋体" w:hAnsi="宋体" w:eastAsia="宋体" w:cs="宋体"/>
          <w:spacing w:val="8"/>
          <w:sz w:val="20"/>
          <w:szCs w:val="20"/>
        </w:rPr>
        <w:t>病之间联系的错误描述。现况研究中，偏倚产生的原因主要有：①主观选择研究对象，</w:t>
      </w:r>
      <w:r>
        <w:rPr>
          <w:rFonts w:ascii="宋体" w:hAnsi="宋体" w:eastAsia="宋体" w:cs="宋体"/>
          <w:spacing w:val="7"/>
          <w:sz w:val="20"/>
          <w:szCs w:val="20"/>
        </w:rPr>
        <w:t>即选择研究</w:t>
      </w:r>
      <w:r>
        <w:rPr>
          <w:rFonts w:ascii="宋体" w:hAnsi="宋体" w:eastAsia="宋体" w:cs="宋体"/>
          <w:sz w:val="20"/>
          <w:szCs w:val="20"/>
        </w:rPr>
        <w:t xml:space="preserve"> </w:t>
      </w:r>
      <w:r>
        <w:rPr>
          <w:rFonts w:ascii="宋体" w:hAnsi="宋体" w:eastAsia="宋体" w:cs="宋体"/>
          <w:spacing w:val="12"/>
          <w:sz w:val="20"/>
          <w:szCs w:val="20"/>
        </w:rPr>
        <w:t>对象具有随意性，将随意抽样当作随机抽样。②调查对象因不愿合作或其他种种原因没有对调查</w:t>
      </w:r>
      <w:r>
        <w:rPr>
          <w:rFonts w:ascii="宋体" w:hAnsi="宋体" w:eastAsia="宋体" w:cs="宋体"/>
          <w:spacing w:val="15"/>
          <w:sz w:val="20"/>
          <w:szCs w:val="20"/>
        </w:rPr>
        <w:t xml:space="preserve"> </w:t>
      </w:r>
      <w:r>
        <w:rPr>
          <w:rFonts w:ascii="宋体" w:hAnsi="宋体" w:eastAsia="宋体" w:cs="宋体"/>
          <w:spacing w:val="10"/>
          <w:sz w:val="20"/>
          <w:szCs w:val="20"/>
        </w:rPr>
        <w:t>信息予以应答，无应答者的患病状况与暴露情况与应答者可能不尽相同，</w:t>
      </w:r>
      <w:r>
        <w:rPr>
          <w:rFonts w:ascii="宋体" w:hAnsi="宋体" w:eastAsia="宋体" w:cs="宋体"/>
          <w:spacing w:val="9"/>
          <w:sz w:val="20"/>
          <w:szCs w:val="20"/>
        </w:rPr>
        <w:t>从而导致系统误差(称为</w:t>
      </w:r>
      <w:r>
        <w:rPr>
          <w:rFonts w:ascii="宋体" w:hAnsi="宋体" w:eastAsia="宋体" w:cs="宋体"/>
          <w:sz w:val="20"/>
          <w:szCs w:val="20"/>
        </w:rPr>
        <w:t xml:space="preserve"> </w:t>
      </w:r>
      <w:r>
        <w:rPr>
          <w:rFonts w:ascii="宋体" w:hAnsi="宋体" w:eastAsia="宋体" w:cs="宋体"/>
          <w:spacing w:val="17"/>
          <w:sz w:val="20"/>
          <w:szCs w:val="20"/>
        </w:rPr>
        <w:t>无应答偏倚)。若应答率低于70%就难以用调查结果来估计整个研究总体的状况</w:t>
      </w:r>
      <w:r>
        <w:rPr>
          <w:rFonts w:ascii="宋体" w:hAnsi="宋体" w:eastAsia="宋体" w:cs="宋体"/>
          <w:spacing w:val="16"/>
          <w:sz w:val="20"/>
          <w:szCs w:val="20"/>
        </w:rPr>
        <w:t>。③所调查到的</w:t>
      </w:r>
      <w:r>
        <w:rPr>
          <w:rFonts w:ascii="宋体" w:hAnsi="宋体" w:eastAsia="宋体" w:cs="宋体"/>
          <w:sz w:val="20"/>
          <w:szCs w:val="20"/>
        </w:rPr>
        <w:t xml:space="preserve"> </w:t>
      </w:r>
      <w:r>
        <w:rPr>
          <w:rFonts w:ascii="宋体" w:hAnsi="宋体" w:eastAsia="宋体" w:cs="宋体"/>
          <w:spacing w:val="10"/>
          <w:sz w:val="20"/>
          <w:szCs w:val="20"/>
        </w:rPr>
        <w:t>对象均为幸存者，使得调查结果有一定的局限性和片面性，不能全面反映实</w:t>
      </w:r>
      <w:r>
        <w:rPr>
          <w:rFonts w:ascii="宋体" w:hAnsi="宋体" w:eastAsia="宋体" w:cs="宋体"/>
          <w:spacing w:val="9"/>
          <w:sz w:val="20"/>
          <w:szCs w:val="20"/>
        </w:rPr>
        <w:t>际情况(称为幸存者偏</w:t>
      </w:r>
      <w:r>
        <w:rPr>
          <w:rFonts w:ascii="宋体" w:hAnsi="宋体" w:eastAsia="宋体" w:cs="宋体"/>
          <w:sz w:val="20"/>
          <w:szCs w:val="20"/>
        </w:rPr>
        <w:t xml:space="preserve"> </w:t>
      </w:r>
      <w:r>
        <w:rPr>
          <w:rFonts w:ascii="宋体" w:hAnsi="宋体" w:eastAsia="宋体" w:cs="宋体"/>
          <w:spacing w:val="10"/>
          <w:sz w:val="20"/>
          <w:szCs w:val="20"/>
        </w:rPr>
        <w:t>倚)。④询问调查对象有关问题时，由于种种原因回答不准确(</w:t>
      </w:r>
      <w:r>
        <w:rPr>
          <w:rFonts w:ascii="宋体" w:hAnsi="宋体" w:eastAsia="宋体" w:cs="宋体"/>
          <w:spacing w:val="9"/>
          <w:sz w:val="20"/>
          <w:szCs w:val="20"/>
        </w:rPr>
        <w:t>称为报告偏倚)或调查对象对过去的</w:t>
      </w:r>
      <w:r>
        <w:rPr>
          <w:rFonts w:ascii="宋体" w:hAnsi="宋体" w:eastAsia="宋体" w:cs="宋体"/>
          <w:sz w:val="20"/>
          <w:szCs w:val="20"/>
        </w:rPr>
        <w:t xml:space="preserve"> </w:t>
      </w:r>
      <w:r>
        <w:rPr>
          <w:rFonts w:ascii="宋体" w:hAnsi="宋体" w:eastAsia="宋体" w:cs="宋体"/>
          <w:spacing w:val="7"/>
          <w:sz w:val="20"/>
          <w:szCs w:val="20"/>
        </w:rPr>
        <w:t>暴露史或疾病史等回忆不清，特别是健康的调查对象由于没有疾病的经历，而容易将过去的</w:t>
      </w:r>
      <w:r>
        <w:rPr>
          <w:rFonts w:ascii="宋体" w:hAnsi="宋体" w:eastAsia="宋体" w:cs="宋体"/>
          <w:spacing w:val="6"/>
          <w:sz w:val="20"/>
          <w:szCs w:val="20"/>
        </w:rPr>
        <w:t>暴露情</w:t>
      </w:r>
      <w:r>
        <w:rPr>
          <w:rFonts w:ascii="宋体" w:hAnsi="宋体" w:eastAsia="宋体" w:cs="宋体"/>
          <w:sz w:val="20"/>
          <w:szCs w:val="20"/>
        </w:rPr>
        <w:t xml:space="preserve"> </w:t>
      </w:r>
      <w:r>
        <w:rPr>
          <w:rFonts w:ascii="宋体" w:hAnsi="宋体" w:eastAsia="宋体" w:cs="宋体"/>
          <w:spacing w:val="12"/>
          <w:sz w:val="20"/>
          <w:szCs w:val="20"/>
        </w:rPr>
        <w:t>况等遗忘(称为回忆偏倚)。⑤调查员有意识地深入调查某些人的某些特征，而不重视或马虎对待</w:t>
      </w:r>
      <w:r>
        <w:rPr>
          <w:rFonts w:ascii="宋体" w:hAnsi="宋体" w:eastAsia="宋体" w:cs="宋体"/>
          <w:spacing w:val="3"/>
          <w:sz w:val="20"/>
          <w:szCs w:val="20"/>
        </w:rPr>
        <w:t xml:space="preserve"> </w:t>
      </w:r>
      <w:r>
        <w:rPr>
          <w:rFonts w:ascii="宋体" w:hAnsi="宋体" w:eastAsia="宋体" w:cs="宋体"/>
          <w:spacing w:val="7"/>
          <w:sz w:val="20"/>
          <w:szCs w:val="20"/>
        </w:rPr>
        <w:t>其他人的这些特征(称为调查偏倚)。⑥在资料收集过程中测量工具、检验方法不正确，化验操作不</w:t>
      </w:r>
      <w:r>
        <w:rPr>
          <w:rFonts w:ascii="宋体" w:hAnsi="宋体" w:eastAsia="宋体" w:cs="宋体"/>
          <w:spacing w:val="12"/>
          <w:sz w:val="20"/>
          <w:szCs w:val="20"/>
        </w:rPr>
        <w:t xml:space="preserve"> 规范等(称为测量偏倚)。前三种情况最终导致研究样本缺乏代表性而使研</w:t>
      </w:r>
      <w:r>
        <w:rPr>
          <w:rFonts w:ascii="宋体" w:hAnsi="宋体" w:eastAsia="宋体" w:cs="宋体"/>
          <w:spacing w:val="11"/>
          <w:sz w:val="20"/>
          <w:szCs w:val="20"/>
        </w:rPr>
        <w:t>究结果不能外推，均属</w:t>
      </w:r>
      <w:r>
        <w:rPr>
          <w:rFonts w:ascii="宋体" w:hAnsi="宋体" w:eastAsia="宋体" w:cs="宋体"/>
          <w:sz w:val="20"/>
          <w:szCs w:val="20"/>
        </w:rPr>
        <w:t xml:space="preserve"> </w:t>
      </w:r>
      <w:r>
        <w:rPr>
          <w:rFonts w:ascii="宋体" w:hAnsi="宋体" w:eastAsia="宋体" w:cs="宋体"/>
          <w:spacing w:val="7"/>
          <w:sz w:val="20"/>
          <w:szCs w:val="20"/>
        </w:rPr>
        <w:t>于选择偏倚；后三种情况会导致收集到的信息不准确，属于信息偏倚；此外，在分析暴露和</w:t>
      </w:r>
      <w:r>
        <w:rPr>
          <w:rFonts w:ascii="宋体" w:hAnsi="宋体" w:eastAsia="宋体" w:cs="宋体"/>
          <w:spacing w:val="6"/>
          <w:sz w:val="20"/>
          <w:szCs w:val="20"/>
        </w:rPr>
        <w:t>疾病关</w:t>
      </w:r>
      <w:r>
        <w:rPr>
          <w:rFonts w:ascii="宋体" w:hAnsi="宋体" w:eastAsia="宋体" w:cs="宋体"/>
          <w:sz w:val="20"/>
          <w:szCs w:val="20"/>
        </w:rPr>
        <w:t xml:space="preserve"> </w:t>
      </w:r>
      <w:r>
        <w:rPr>
          <w:rFonts w:ascii="宋体" w:hAnsi="宋体" w:eastAsia="宋体" w:cs="宋体"/>
          <w:spacing w:val="8"/>
          <w:sz w:val="20"/>
          <w:szCs w:val="20"/>
        </w:rPr>
        <w:t>联时，混杂因素的存在也可以导致偏倚的发生，即混杂偏倚。有关三种偏倚的更多解释详见第四章</w:t>
      </w:r>
      <w:r>
        <w:rPr>
          <w:rFonts w:ascii="宋体" w:hAnsi="宋体" w:eastAsia="宋体" w:cs="宋体"/>
          <w:sz w:val="20"/>
          <w:szCs w:val="20"/>
        </w:rPr>
        <w:t xml:space="preserve"> </w:t>
      </w:r>
      <w:r>
        <w:rPr>
          <w:rFonts w:ascii="宋体" w:hAnsi="宋体" w:eastAsia="宋体" w:cs="宋体"/>
          <w:spacing w:val="-10"/>
          <w:sz w:val="20"/>
          <w:szCs w:val="20"/>
        </w:rPr>
        <w:t>“队列研究”。</w:t>
      </w:r>
    </w:p>
    <w:p w14:paraId="64039369">
      <w:pPr>
        <w:pStyle w:val="2"/>
        <w:spacing w:before="46" w:line="222" w:lineRule="auto"/>
        <w:ind w:left="1129"/>
        <w:rPr>
          <w:sz w:val="24"/>
          <w:szCs w:val="24"/>
        </w:rPr>
      </w:pPr>
      <w:r>
        <w:rPr>
          <w:spacing w:val="-4"/>
          <w:sz w:val="24"/>
          <w:szCs w:val="24"/>
        </w:rPr>
        <w:t>(二)偏倚的控制</w:t>
      </w:r>
    </w:p>
    <w:p w14:paraId="7465301E">
      <w:pPr>
        <w:spacing w:before="111" w:line="333" w:lineRule="auto"/>
        <w:ind w:left="719" w:right="19" w:firstLine="409"/>
        <w:jc w:val="both"/>
        <w:rPr>
          <w:rFonts w:ascii="宋体" w:hAnsi="宋体" w:eastAsia="宋体" w:cs="宋体"/>
          <w:sz w:val="20"/>
          <w:szCs w:val="20"/>
        </w:rPr>
      </w:pPr>
      <w:r>
        <w:rPr>
          <w:rFonts w:ascii="宋体" w:hAnsi="宋体" w:eastAsia="宋体" w:cs="宋体"/>
          <w:spacing w:val="10"/>
          <w:sz w:val="20"/>
          <w:szCs w:val="20"/>
        </w:rPr>
        <w:t>偏倚是可以避免或减小的，因而在现况研究或其他类型的研究中需要对调查资料进行质量控</w:t>
      </w:r>
      <w:r>
        <w:rPr>
          <w:rFonts w:ascii="宋体" w:hAnsi="宋体" w:eastAsia="宋体" w:cs="宋体"/>
          <w:spacing w:val="7"/>
          <w:sz w:val="20"/>
          <w:szCs w:val="20"/>
        </w:rPr>
        <w:t xml:space="preserve"> </w:t>
      </w:r>
      <w:r>
        <w:rPr>
          <w:rFonts w:ascii="宋体" w:hAnsi="宋体" w:eastAsia="宋体" w:cs="宋体"/>
          <w:spacing w:val="5"/>
          <w:sz w:val="20"/>
          <w:szCs w:val="20"/>
        </w:rPr>
        <w:t>制，以便尽量减少偏倚的产生，从而能描述事物或事件的真实情况。有效的质量控制的前提是研究</w:t>
      </w:r>
      <w:r>
        <w:rPr>
          <w:rFonts w:ascii="宋体" w:hAnsi="宋体" w:eastAsia="宋体" w:cs="宋体"/>
          <w:spacing w:val="4"/>
          <w:sz w:val="20"/>
          <w:szCs w:val="20"/>
        </w:rPr>
        <w:t xml:space="preserve"> </w:t>
      </w:r>
      <w:r>
        <w:rPr>
          <w:rFonts w:ascii="宋体" w:hAnsi="宋体" w:eastAsia="宋体" w:cs="宋体"/>
          <w:spacing w:val="5"/>
          <w:sz w:val="20"/>
          <w:szCs w:val="20"/>
        </w:rPr>
        <w:t>设计时要反复论证，尽量设计严密，并应考虑到调查中或调查结束时对资料进行质量评价的方法和</w:t>
      </w:r>
      <w:r>
        <w:rPr>
          <w:rFonts w:ascii="宋体" w:hAnsi="宋体" w:eastAsia="宋体" w:cs="宋体"/>
          <w:spacing w:val="10"/>
          <w:sz w:val="20"/>
          <w:szCs w:val="20"/>
        </w:rPr>
        <w:t xml:space="preserve"> </w:t>
      </w:r>
      <w:r>
        <w:rPr>
          <w:rFonts w:ascii="宋体" w:hAnsi="宋体" w:eastAsia="宋体" w:cs="宋体"/>
          <w:spacing w:val="7"/>
          <w:sz w:val="20"/>
          <w:szCs w:val="20"/>
        </w:rPr>
        <w:t>指标。例如调查结束时，随机抽取一定数量的调查表进行重复调查，比</w:t>
      </w:r>
      <w:r>
        <w:rPr>
          <w:rFonts w:ascii="宋体" w:hAnsi="宋体" w:eastAsia="宋体" w:cs="宋体"/>
          <w:spacing w:val="6"/>
          <w:sz w:val="20"/>
          <w:szCs w:val="20"/>
        </w:rPr>
        <w:t>较两次调查资料的一致性，</w:t>
      </w:r>
      <w:r>
        <w:rPr>
          <w:rFonts w:ascii="宋体" w:hAnsi="宋体" w:eastAsia="宋体" w:cs="宋体"/>
          <w:sz w:val="20"/>
          <w:szCs w:val="20"/>
        </w:rPr>
        <w:t xml:space="preserve"> </w:t>
      </w:r>
      <w:r>
        <w:rPr>
          <w:rFonts w:ascii="宋体" w:hAnsi="宋体" w:eastAsia="宋体" w:cs="宋体"/>
          <w:spacing w:val="5"/>
          <w:sz w:val="20"/>
          <w:szCs w:val="20"/>
        </w:rPr>
        <w:t>或在调查过程中，对调查表中若干问题进行电话回访复查，均是非常有效的评价调查资料质量好坏</w:t>
      </w:r>
      <w:r>
        <w:rPr>
          <w:rFonts w:ascii="宋体" w:hAnsi="宋体" w:eastAsia="宋体" w:cs="宋体"/>
          <w:spacing w:val="4"/>
          <w:sz w:val="20"/>
          <w:szCs w:val="20"/>
        </w:rPr>
        <w:t xml:space="preserve"> </w:t>
      </w:r>
      <w:r>
        <w:rPr>
          <w:rFonts w:ascii="宋体" w:hAnsi="宋体" w:eastAsia="宋体" w:cs="宋体"/>
          <w:spacing w:val="5"/>
          <w:sz w:val="20"/>
          <w:szCs w:val="20"/>
        </w:rPr>
        <w:t>的方法。在现况研究中，针对各种偏倚可能的来源，做好预防与控制，也是一个调查成功与否的重</w:t>
      </w:r>
      <w:r>
        <w:rPr>
          <w:rFonts w:ascii="宋体" w:hAnsi="宋体" w:eastAsia="宋体" w:cs="宋体"/>
          <w:spacing w:val="3"/>
          <w:sz w:val="20"/>
          <w:szCs w:val="20"/>
        </w:rPr>
        <w:t xml:space="preserve"> </w:t>
      </w:r>
      <w:r>
        <w:rPr>
          <w:rFonts w:ascii="宋体" w:hAnsi="宋体" w:eastAsia="宋体" w:cs="宋体"/>
          <w:spacing w:val="12"/>
          <w:sz w:val="20"/>
          <w:szCs w:val="20"/>
        </w:rPr>
        <w:t>要环节。</w:t>
      </w:r>
    </w:p>
    <w:p w14:paraId="5599F01E">
      <w:pPr>
        <w:spacing w:before="72" w:line="342" w:lineRule="auto"/>
        <w:ind w:left="719" w:right="90" w:firstLine="409"/>
        <w:jc w:val="both"/>
        <w:rPr>
          <w:rFonts w:ascii="宋体" w:hAnsi="宋体" w:eastAsia="宋体" w:cs="宋体"/>
          <w:sz w:val="20"/>
          <w:szCs w:val="20"/>
        </w:rPr>
      </w:pPr>
      <w:r>
        <w:rPr>
          <w:rFonts w:ascii="宋体" w:hAnsi="宋体" w:eastAsia="宋体" w:cs="宋体"/>
          <w:spacing w:val="5"/>
          <w:sz w:val="20"/>
          <w:szCs w:val="20"/>
        </w:rPr>
        <w:t>具体而言，现况研究中应着重强调以下几个方面：</w:t>
      </w:r>
      <w:r>
        <w:rPr>
          <w:rFonts w:ascii="宋体" w:hAnsi="宋体" w:eastAsia="宋体" w:cs="宋体"/>
          <w:spacing w:val="4"/>
          <w:sz w:val="20"/>
          <w:szCs w:val="20"/>
        </w:rPr>
        <w:t>①严格遵照抽样方法的要求，确保抽样过程</w:t>
      </w:r>
      <w:r>
        <w:rPr>
          <w:rFonts w:ascii="宋体" w:hAnsi="宋体" w:eastAsia="宋体" w:cs="宋体"/>
          <w:sz w:val="20"/>
          <w:szCs w:val="20"/>
        </w:rPr>
        <w:t xml:space="preserve"> </w:t>
      </w:r>
      <w:r>
        <w:rPr>
          <w:rFonts w:ascii="宋体" w:hAnsi="宋体" w:eastAsia="宋体" w:cs="宋体"/>
          <w:spacing w:val="5"/>
          <w:sz w:val="20"/>
          <w:szCs w:val="20"/>
        </w:rPr>
        <w:t>中随机化原则的实施；②提高研究对象的依从性和应答率；③正确选择测量工具和检测方法，包括</w:t>
      </w:r>
      <w:r>
        <w:rPr>
          <w:rFonts w:ascii="宋体" w:hAnsi="宋体" w:eastAsia="宋体" w:cs="宋体"/>
          <w:spacing w:val="1"/>
          <w:sz w:val="20"/>
          <w:szCs w:val="20"/>
        </w:rPr>
        <w:t xml:space="preserve"> </w:t>
      </w:r>
      <w:r>
        <w:rPr>
          <w:rFonts w:ascii="宋体" w:hAnsi="宋体" w:eastAsia="宋体" w:cs="宋体"/>
          <w:spacing w:val="5"/>
          <w:sz w:val="20"/>
          <w:szCs w:val="20"/>
        </w:rPr>
        <w:t>调查表的编制等；④组织好研究工作，调查员一定要经过培训，统一标准和认识；⑤做好资料的复</w:t>
      </w:r>
      <w:r>
        <w:rPr>
          <w:rFonts w:ascii="宋体" w:hAnsi="宋体" w:eastAsia="宋体" w:cs="宋体"/>
          <w:spacing w:val="3"/>
          <w:sz w:val="20"/>
          <w:szCs w:val="20"/>
        </w:rPr>
        <w:t xml:space="preserve"> </w:t>
      </w:r>
      <w:r>
        <w:rPr>
          <w:rFonts w:ascii="宋体" w:hAnsi="宋体" w:eastAsia="宋体" w:cs="宋体"/>
          <w:sz w:val="20"/>
          <w:szCs w:val="20"/>
        </w:rPr>
        <w:t>查、复核等工作；⑥选择正确的统计分析方法，注意辨析混杂因素及其影响。</w:t>
      </w:r>
    </w:p>
    <w:p w14:paraId="3C06CF1D">
      <w:pPr>
        <w:pStyle w:val="2"/>
        <w:spacing w:before="229" w:line="223" w:lineRule="auto"/>
        <w:ind w:left="1133"/>
        <w:outlineLvl w:val="2"/>
        <w:rPr>
          <w:sz w:val="24"/>
          <w:szCs w:val="24"/>
        </w:rPr>
      </w:pPr>
      <w:bookmarkStart w:id="79" w:name="bookmark44"/>
      <w:bookmarkEnd w:id="79"/>
      <w:r>
        <w:rPr>
          <w:b/>
          <w:bCs/>
          <w:spacing w:val="1"/>
          <w:sz w:val="24"/>
          <w:szCs w:val="24"/>
        </w:rPr>
        <w:t>五</w:t>
      </w:r>
      <w:r>
        <w:rPr>
          <w:spacing w:val="-42"/>
          <w:sz w:val="24"/>
          <w:szCs w:val="24"/>
        </w:rPr>
        <w:t xml:space="preserve"> </w:t>
      </w:r>
      <w:r>
        <w:rPr>
          <w:b/>
          <w:bCs/>
          <w:spacing w:val="1"/>
          <w:sz w:val="24"/>
          <w:szCs w:val="24"/>
        </w:rPr>
        <w:t>、优点和局限性</w:t>
      </w:r>
    </w:p>
    <w:p w14:paraId="1CA678A8">
      <w:pPr>
        <w:pStyle w:val="2"/>
        <w:spacing w:before="243" w:line="223" w:lineRule="auto"/>
        <w:ind w:left="1129"/>
        <w:rPr>
          <w:sz w:val="24"/>
          <w:szCs w:val="24"/>
        </w:rPr>
      </w:pPr>
      <w:r>
        <w:rPr>
          <w:spacing w:val="8"/>
          <w:sz w:val="24"/>
          <w:szCs w:val="24"/>
        </w:rPr>
        <w:t>(一)优点</w:t>
      </w:r>
    </w:p>
    <w:p w14:paraId="0A3E96DA">
      <w:pPr>
        <w:spacing w:before="88" w:line="351" w:lineRule="auto"/>
        <w:ind w:left="719" w:right="109" w:firstLine="409"/>
        <w:rPr>
          <w:rFonts w:ascii="宋体" w:hAnsi="宋体" w:eastAsia="宋体" w:cs="宋体"/>
          <w:sz w:val="20"/>
          <w:szCs w:val="20"/>
        </w:rPr>
      </w:pPr>
      <w:r>
        <w:rPr>
          <w:rFonts w:ascii="宋体" w:hAnsi="宋体" w:eastAsia="宋体" w:cs="宋体"/>
          <w:spacing w:val="8"/>
          <w:sz w:val="20"/>
          <w:szCs w:val="20"/>
        </w:rPr>
        <w:t>1.</w:t>
      </w:r>
      <w:r>
        <w:rPr>
          <w:rFonts w:ascii="宋体" w:hAnsi="宋体" w:eastAsia="宋体" w:cs="宋体"/>
          <w:spacing w:val="-27"/>
          <w:sz w:val="20"/>
          <w:szCs w:val="20"/>
        </w:rPr>
        <w:t xml:space="preserve"> </w:t>
      </w:r>
      <w:r>
        <w:rPr>
          <w:rFonts w:ascii="宋体" w:hAnsi="宋体" w:eastAsia="宋体" w:cs="宋体"/>
          <w:spacing w:val="8"/>
          <w:sz w:val="20"/>
          <w:szCs w:val="20"/>
        </w:rPr>
        <w:t>现况研究中常开展的是抽样调查，即从一个目标群体中随机地</w:t>
      </w:r>
      <w:r>
        <w:rPr>
          <w:rFonts w:ascii="宋体" w:hAnsi="宋体" w:eastAsia="宋体" w:cs="宋体"/>
          <w:spacing w:val="7"/>
          <w:sz w:val="20"/>
          <w:szCs w:val="20"/>
        </w:rPr>
        <w:t>选择一个代表性样本来进行</w:t>
      </w:r>
      <w:r>
        <w:rPr>
          <w:rFonts w:ascii="宋体" w:hAnsi="宋体" w:eastAsia="宋体" w:cs="宋体"/>
          <w:sz w:val="20"/>
          <w:szCs w:val="20"/>
        </w:rPr>
        <w:t xml:space="preserve"> </w:t>
      </w:r>
      <w:r>
        <w:rPr>
          <w:rFonts w:ascii="宋体" w:hAnsi="宋体" w:eastAsia="宋体" w:cs="宋体"/>
          <w:spacing w:val="4"/>
          <w:sz w:val="20"/>
          <w:szCs w:val="20"/>
        </w:rPr>
        <w:t>暴露与患病状况的描述性研究，故其研究结果有较强的推广意义，</w:t>
      </w:r>
      <w:r>
        <w:rPr>
          <w:rFonts w:ascii="宋体" w:hAnsi="宋体" w:eastAsia="宋体" w:cs="宋体"/>
          <w:spacing w:val="3"/>
          <w:sz w:val="20"/>
          <w:szCs w:val="20"/>
        </w:rPr>
        <w:t>以样本估计总体的可信度较高。</w:t>
      </w:r>
    </w:p>
    <w:p w14:paraId="0F16D6C6">
      <w:pPr>
        <w:spacing w:line="351" w:lineRule="auto"/>
        <w:rPr>
          <w:rFonts w:ascii="宋体" w:hAnsi="宋体" w:eastAsia="宋体" w:cs="宋体"/>
          <w:sz w:val="20"/>
          <w:szCs w:val="20"/>
        </w:rPr>
        <w:sectPr>
          <w:footerReference r:id="rId74" w:type="default"/>
          <w:pgSz w:w="11900" w:h="16820"/>
          <w:pgMar w:top="400" w:right="1500" w:bottom="817" w:left="770" w:header="0" w:footer="636" w:gutter="0"/>
          <w:cols w:space="720" w:num="1"/>
        </w:sectPr>
      </w:pPr>
    </w:p>
    <w:p w14:paraId="6B215219">
      <w:pPr>
        <w:pStyle w:val="2"/>
        <w:spacing w:before="287" w:line="222" w:lineRule="auto"/>
        <w:ind w:left="7710"/>
        <w:rPr>
          <w:sz w:val="21"/>
          <w:szCs w:val="21"/>
        </w:rPr>
      </w:pPr>
      <w:bookmarkStart w:id="80" w:name="bookmark432"/>
      <w:bookmarkEnd w:id="80"/>
      <w:r>
        <w:rPr>
          <w:spacing w:val="-20"/>
          <w:sz w:val="21"/>
          <w:szCs w:val="21"/>
        </w:rPr>
        <w:t>第三章 描述性研究</w:t>
      </w:r>
    </w:p>
    <w:p w14:paraId="53677C63">
      <w:pPr>
        <w:spacing w:line="253" w:lineRule="auto"/>
        <w:rPr>
          <w:rFonts w:ascii="Arial"/>
          <w:sz w:val="21"/>
        </w:rPr>
      </w:pPr>
    </w:p>
    <w:p w14:paraId="424E1EAB">
      <w:pPr>
        <w:spacing w:line="253" w:lineRule="auto"/>
        <w:rPr>
          <w:rFonts w:ascii="Arial"/>
          <w:sz w:val="21"/>
        </w:rPr>
      </w:pPr>
    </w:p>
    <w:p w14:paraId="18561C27">
      <w:pPr>
        <w:spacing w:before="68" w:line="277" w:lineRule="auto"/>
        <w:ind w:right="705" w:firstLine="440"/>
        <w:rPr>
          <w:rFonts w:ascii="宋体" w:hAnsi="宋体" w:eastAsia="宋体" w:cs="宋体"/>
          <w:sz w:val="21"/>
          <w:szCs w:val="21"/>
        </w:rPr>
      </w:pPr>
      <w:r>
        <w:rPr>
          <w:rFonts w:ascii="宋体" w:hAnsi="宋体" w:eastAsia="宋体" w:cs="宋体"/>
          <w:spacing w:val="4"/>
          <w:sz w:val="21"/>
          <w:szCs w:val="21"/>
        </w:rPr>
        <w:t>2.</w:t>
      </w:r>
      <w:r>
        <w:rPr>
          <w:rFonts w:ascii="宋体" w:hAnsi="宋体" w:eastAsia="宋体" w:cs="宋体"/>
          <w:spacing w:val="-35"/>
          <w:sz w:val="21"/>
          <w:szCs w:val="21"/>
        </w:rPr>
        <w:t xml:space="preserve"> </w:t>
      </w:r>
      <w:r>
        <w:rPr>
          <w:rFonts w:ascii="宋体" w:hAnsi="宋体" w:eastAsia="宋体" w:cs="宋体"/>
          <w:spacing w:val="4"/>
          <w:sz w:val="21"/>
          <w:szCs w:val="21"/>
        </w:rPr>
        <w:t>现况研究是在资料收集完成之后，将样本按是否患病或是否暴露来分组比较的，即有来自同</w:t>
      </w:r>
      <w:r>
        <w:rPr>
          <w:rFonts w:ascii="宋体" w:hAnsi="宋体" w:eastAsia="宋体" w:cs="宋体"/>
          <w:sz w:val="21"/>
          <w:szCs w:val="21"/>
        </w:rPr>
        <w:t xml:space="preserve"> </w:t>
      </w:r>
      <w:r>
        <w:rPr>
          <w:rFonts w:ascii="宋体" w:hAnsi="宋体" w:eastAsia="宋体" w:cs="宋体"/>
          <w:spacing w:val="4"/>
          <w:sz w:val="21"/>
          <w:szCs w:val="21"/>
        </w:rPr>
        <w:t>一群体自然形成的同期对照组，使结果具有可比性。</w:t>
      </w:r>
    </w:p>
    <w:p w14:paraId="1822C33E">
      <w:pPr>
        <w:spacing w:before="119" w:line="273" w:lineRule="auto"/>
        <w:ind w:right="684" w:firstLine="440"/>
        <w:rPr>
          <w:rFonts w:ascii="宋体" w:hAnsi="宋体" w:eastAsia="宋体" w:cs="宋体"/>
          <w:sz w:val="21"/>
          <w:szCs w:val="21"/>
        </w:rPr>
      </w:pPr>
      <w:r>
        <w:rPr>
          <w:rFonts w:ascii="宋体" w:hAnsi="宋体" w:eastAsia="宋体" w:cs="宋体"/>
          <w:spacing w:val="9"/>
          <w:sz w:val="21"/>
          <w:szCs w:val="21"/>
        </w:rPr>
        <w:t>3.</w:t>
      </w:r>
      <w:r>
        <w:rPr>
          <w:rFonts w:ascii="宋体" w:hAnsi="宋体" w:eastAsia="宋体" w:cs="宋体"/>
          <w:spacing w:val="-6"/>
          <w:sz w:val="21"/>
          <w:szCs w:val="21"/>
        </w:rPr>
        <w:t xml:space="preserve"> </w:t>
      </w:r>
      <w:r>
        <w:rPr>
          <w:rFonts w:ascii="宋体" w:hAnsi="宋体" w:eastAsia="宋体" w:cs="宋体"/>
          <w:spacing w:val="9"/>
          <w:sz w:val="21"/>
          <w:szCs w:val="21"/>
        </w:rPr>
        <w:t>现况研究往往采用问卷调查或实验室检测等手段收集研究资料，故一次调查可同时观察多</w:t>
      </w:r>
      <w:r>
        <w:rPr>
          <w:rFonts w:ascii="宋体" w:hAnsi="宋体" w:eastAsia="宋体" w:cs="宋体"/>
          <w:sz w:val="21"/>
          <w:szCs w:val="21"/>
        </w:rPr>
        <w:t xml:space="preserve"> </w:t>
      </w:r>
      <w:r>
        <w:rPr>
          <w:rFonts w:ascii="宋体" w:hAnsi="宋体" w:eastAsia="宋体" w:cs="宋体"/>
          <w:spacing w:val="6"/>
          <w:sz w:val="21"/>
          <w:szCs w:val="21"/>
        </w:rPr>
        <w:t>种因素与疾病的关系，在疾病病因探索过程中是不可或缺的基础工作之一。</w:t>
      </w:r>
    </w:p>
    <w:p w14:paraId="09EF4561">
      <w:pPr>
        <w:pStyle w:val="2"/>
        <w:spacing w:before="103" w:line="223" w:lineRule="auto"/>
        <w:ind w:left="440"/>
        <w:rPr>
          <w:sz w:val="26"/>
          <w:szCs w:val="26"/>
        </w:rPr>
      </w:pPr>
      <w:r>
        <w:rPr>
          <w:sz w:val="26"/>
          <w:szCs w:val="26"/>
        </w:rPr>
        <w:t>(二)局限性</w:t>
      </w:r>
    </w:p>
    <w:p w14:paraId="064BE0EA">
      <w:pPr>
        <w:spacing w:before="81" w:line="219" w:lineRule="auto"/>
        <w:ind w:left="440"/>
        <w:rPr>
          <w:rFonts w:ascii="宋体" w:hAnsi="宋体" w:eastAsia="宋体" w:cs="宋体"/>
          <w:sz w:val="21"/>
          <w:szCs w:val="21"/>
        </w:rPr>
      </w:pPr>
      <w:r>
        <w:rPr>
          <w:rFonts w:ascii="宋体" w:hAnsi="宋体" w:eastAsia="宋体" w:cs="宋体"/>
          <w:spacing w:val="5"/>
          <w:sz w:val="21"/>
          <w:szCs w:val="21"/>
        </w:rPr>
        <w:t>1.</w:t>
      </w:r>
      <w:r>
        <w:rPr>
          <w:rFonts w:ascii="宋体" w:hAnsi="宋体" w:eastAsia="宋体" w:cs="宋体"/>
          <w:spacing w:val="-37"/>
          <w:sz w:val="21"/>
          <w:szCs w:val="21"/>
        </w:rPr>
        <w:t xml:space="preserve"> </w:t>
      </w:r>
      <w:r>
        <w:rPr>
          <w:rFonts w:ascii="宋体" w:hAnsi="宋体" w:eastAsia="宋体" w:cs="宋体"/>
          <w:spacing w:val="5"/>
          <w:sz w:val="21"/>
          <w:szCs w:val="21"/>
        </w:rPr>
        <w:t>现况研究通常只能反映调查当时个体的疾病与暴露状况，难以确定先因后果的时序关系。</w:t>
      </w:r>
    </w:p>
    <w:p w14:paraId="6D7A2F4E">
      <w:pPr>
        <w:spacing w:before="121" w:line="219" w:lineRule="auto"/>
        <w:ind w:left="440"/>
        <w:rPr>
          <w:rFonts w:ascii="宋体" w:hAnsi="宋体" w:eastAsia="宋体" w:cs="宋体"/>
          <w:sz w:val="21"/>
          <w:szCs w:val="21"/>
        </w:rPr>
      </w:pPr>
      <w:r>
        <w:rPr>
          <w:rFonts w:ascii="宋体" w:hAnsi="宋体" w:eastAsia="宋体" w:cs="宋体"/>
          <w:spacing w:val="4"/>
          <w:sz w:val="21"/>
          <w:szCs w:val="21"/>
        </w:rPr>
        <w:t>2.</w:t>
      </w:r>
      <w:r>
        <w:rPr>
          <w:rFonts w:ascii="宋体" w:hAnsi="宋体" w:eastAsia="宋体" w:cs="宋体"/>
          <w:spacing w:val="-21"/>
          <w:sz w:val="21"/>
          <w:szCs w:val="21"/>
        </w:rPr>
        <w:t xml:space="preserve"> </w:t>
      </w:r>
      <w:r>
        <w:rPr>
          <w:rFonts w:ascii="宋体" w:hAnsi="宋体" w:eastAsia="宋体" w:cs="宋体"/>
          <w:spacing w:val="4"/>
          <w:sz w:val="21"/>
          <w:szCs w:val="21"/>
        </w:rPr>
        <w:t>现况研究调查得到的是某一时点是否患病的情况，故不能获得发病率资料。</w:t>
      </w:r>
    </w:p>
    <w:p w14:paraId="5609804F">
      <w:pPr>
        <w:spacing w:before="110" w:line="276" w:lineRule="auto"/>
        <w:ind w:right="695" w:firstLine="440"/>
        <w:rPr>
          <w:rFonts w:ascii="宋体" w:hAnsi="宋体" w:eastAsia="宋体" w:cs="宋体"/>
          <w:sz w:val="21"/>
          <w:szCs w:val="21"/>
        </w:rPr>
      </w:pPr>
      <w:r>
        <w:rPr>
          <w:rFonts w:ascii="宋体" w:hAnsi="宋体" w:eastAsia="宋体" w:cs="宋体"/>
          <w:spacing w:val="4"/>
          <w:sz w:val="21"/>
          <w:szCs w:val="21"/>
        </w:rPr>
        <w:t>3.</w:t>
      </w:r>
      <w:r>
        <w:rPr>
          <w:rFonts w:ascii="宋体" w:hAnsi="宋体" w:eastAsia="宋体" w:cs="宋体"/>
          <w:spacing w:val="-25"/>
          <w:sz w:val="21"/>
          <w:szCs w:val="21"/>
        </w:rPr>
        <w:t xml:space="preserve"> </w:t>
      </w:r>
      <w:r>
        <w:rPr>
          <w:rFonts w:ascii="宋体" w:hAnsi="宋体" w:eastAsia="宋体" w:cs="宋体"/>
          <w:spacing w:val="4"/>
          <w:sz w:val="21"/>
          <w:szCs w:val="21"/>
        </w:rPr>
        <w:t>在一次现况研究中，如果研究对象中一些人正处在所研究疾病的潜伏期或者临床前期，则其</w:t>
      </w:r>
      <w:r>
        <w:rPr>
          <w:rFonts w:ascii="宋体" w:hAnsi="宋体" w:eastAsia="宋体" w:cs="宋体"/>
          <w:sz w:val="21"/>
          <w:szCs w:val="21"/>
        </w:rPr>
        <w:t xml:space="preserve"> </w:t>
      </w:r>
      <w:r>
        <w:rPr>
          <w:rFonts w:ascii="宋体" w:hAnsi="宋体" w:eastAsia="宋体" w:cs="宋体"/>
          <w:spacing w:val="3"/>
          <w:sz w:val="21"/>
          <w:szCs w:val="21"/>
        </w:rPr>
        <w:t>极有可能会被误判定为正常人，使研究结果发生偏倚，低估该研究群体的患病水平。</w:t>
      </w:r>
    </w:p>
    <w:p w14:paraId="48B889F1">
      <w:pPr>
        <w:spacing w:line="248" w:lineRule="auto"/>
        <w:rPr>
          <w:rFonts w:ascii="Arial"/>
          <w:sz w:val="21"/>
        </w:rPr>
      </w:pPr>
    </w:p>
    <w:p w14:paraId="432CD979">
      <w:pPr>
        <w:spacing w:line="248" w:lineRule="auto"/>
        <w:rPr>
          <w:rFonts w:ascii="Arial"/>
          <w:sz w:val="21"/>
        </w:rPr>
      </w:pPr>
    </w:p>
    <w:p w14:paraId="13F1D593">
      <w:pPr>
        <w:pStyle w:val="2"/>
        <w:spacing w:before="102" w:line="221" w:lineRule="auto"/>
        <w:ind w:left="3324"/>
        <w:outlineLvl w:val="1"/>
        <w:rPr>
          <w:sz w:val="31"/>
          <w:szCs w:val="31"/>
        </w:rPr>
      </w:pPr>
      <w:bookmarkStart w:id="81" w:name="bookmark45"/>
      <w:bookmarkEnd w:id="81"/>
      <w:r>
        <w:rPr>
          <w:b/>
          <w:bCs/>
          <w:spacing w:val="-6"/>
          <w:sz w:val="31"/>
          <w:szCs w:val="31"/>
        </w:rPr>
        <w:t>第三节</w:t>
      </w:r>
      <w:r>
        <w:rPr>
          <w:spacing w:val="118"/>
          <w:sz w:val="31"/>
          <w:szCs w:val="31"/>
        </w:rPr>
        <w:t xml:space="preserve"> </w:t>
      </w:r>
      <w:r>
        <w:rPr>
          <w:b/>
          <w:bCs/>
          <w:spacing w:val="-6"/>
          <w:sz w:val="31"/>
          <w:szCs w:val="31"/>
        </w:rPr>
        <w:t>生态学研究</w:t>
      </w:r>
    </w:p>
    <w:p w14:paraId="4188445B">
      <w:pPr>
        <w:spacing w:line="351" w:lineRule="auto"/>
        <w:rPr>
          <w:rFonts w:ascii="Arial"/>
          <w:sz w:val="21"/>
        </w:rPr>
      </w:pPr>
    </w:p>
    <w:p w14:paraId="6C8F6CF5">
      <w:pPr>
        <w:pStyle w:val="2"/>
        <w:spacing w:before="85" w:line="221" w:lineRule="auto"/>
        <w:ind w:left="513"/>
        <w:outlineLvl w:val="2"/>
        <w:rPr>
          <w:sz w:val="26"/>
          <w:szCs w:val="26"/>
        </w:rPr>
      </w:pPr>
      <w:bookmarkStart w:id="82" w:name="bookmark46"/>
      <w:bookmarkEnd w:id="82"/>
      <w:r>
        <w:rPr>
          <w:b/>
          <w:bCs/>
          <w:spacing w:val="-13"/>
          <w:sz w:val="26"/>
          <w:szCs w:val="26"/>
        </w:rPr>
        <w:t>一</w:t>
      </w:r>
      <w:r>
        <w:rPr>
          <w:spacing w:val="-58"/>
          <w:sz w:val="26"/>
          <w:szCs w:val="26"/>
        </w:rPr>
        <w:t xml:space="preserve"> </w:t>
      </w:r>
      <w:r>
        <w:rPr>
          <w:b/>
          <w:bCs/>
          <w:spacing w:val="-13"/>
          <w:sz w:val="26"/>
          <w:szCs w:val="26"/>
        </w:rPr>
        <w:t>、概述</w:t>
      </w:r>
    </w:p>
    <w:p w14:paraId="7B3AE07F">
      <w:pPr>
        <w:pStyle w:val="2"/>
        <w:spacing w:before="212" w:line="221" w:lineRule="auto"/>
        <w:ind w:left="440"/>
        <w:rPr>
          <w:sz w:val="26"/>
          <w:szCs w:val="26"/>
        </w:rPr>
      </w:pPr>
      <w:r>
        <w:rPr>
          <w:spacing w:val="4"/>
          <w:sz w:val="26"/>
          <w:szCs w:val="26"/>
        </w:rPr>
        <w:t>(一)概念</w:t>
      </w:r>
    </w:p>
    <w:p w14:paraId="76111F76">
      <w:pPr>
        <w:spacing w:before="84" w:line="322" w:lineRule="auto"/>
        <w:ind w:right="599" w:firstLine="440"/>
        <w:jc w:val="both"/>
        <w:rPr>
          <w:rFonts w:ascii="宋体" w:hAnsi="宋体" w:eastAsia="宋体" w:cs="宋体"/>
          <w:sz w:val="21"/>
          <w:szCs w:val="21"/>
        </w:rPr>
      </w:pPr>
      <w:r>
        <w:rPr>
          <w:rFonts w:ascii="宋体" w:hAnsi="宋体" w:eastAsia="宋体" w:cs="宋体"/>
          <w:spacing w:val="8"/>
          <w:sz w:val="21"/>
          <w:szCs w:val="21"/>
        </w:rPr>
        <w:t>生态学研究</w:t>
      </w:r>
      <w:r>
        <w:rPr>
          <w:rFonts w:ascii="Times New Roman" w:hAnsi="Times New Roman" w:eastAsia="Times New Roman" w:cs="Times New Roman"/>
          <w:spacing w:val="8"/>
          <w:sz w:val="21"/>
          <w:szCs w:val="21"/>
        </w:rPr>
        <w:t>(</w:t>
      </w:r>
      <w:r>
        <w:rPr>
          <w:rFonts w:ascii="Times New Roman" w:hAnsi="Times New Roman" w:eastAsia="Times New Roman" w:cs="Times New Roman"/>
          <w:sz w:val="21"/>
          <w:szCs w:val="21"/>
        </w:rPr>
        <w:t>ecological    study</w:t>
      </w:r>
      <w:r>
        <w:rPr>
          <w:rFonts w:ascii="Times New Roman" w:hAnsi="Times New Roman" w:eastAsia="Times New Roman" w:cs="Times New Roman"/>
          <w:spacing w:val="8"/>
          <w:sz w:val="21"/>
          <w:szCs w:val="21"/>
        </w:rPr>
        <w:t>)</w:t>
      </w:r>
      <w:r>
        <w:rPr>
          <w:rFonts w:ascii="宋体" w:hAnsi="宋体" w:eastAsia="宋体" w:cs="宋体"/>
          <w:spacing w:val="8"/>
          <w:sz w:val="21"/>
          <w:szCs w:val="21"/>
        </w:rPr>
        <w:t>是描述性研究的一种类型，它是在群体的水</w:t>
      </w:r>
      <w:r>
        <w:rPr>
          <w:rFonts w:ascii="宋体" w:hAnsi="宋体" w:eastAsia="宋体" w:cs="宋体"/>
          <w:spacing w:val="7"/>
          <w:sz w:val="21"/>
          <w:szCs w:val="21"/>
        </w:rPr>
        <w:t>平上研究某种暴露因</w:t>
      </w:r>
      <w:r>
        <w:rPr>
          <w:rFonts w:ascii="宋体" w:hAnsi="宋体" w:eastAsia="宋体" w:cs="宋体"/>
          <w:spacing w:val="1"/>
          <w:sz w:val="21"/>
          <w:szCs w:val="21"/>
        </w:rPr>
        <w:t xml:space="preserve"> </w:t>
      </w:r>
      <w:r>
        <w:rPr>
          <w:rFonts w:ascii="宋体" w:hAnsi="宋体" w:eastAsia="宋体" w:cs="宋体"/>
          <w:spacing w:val="6"/>
          <w:sz w:val="21"/>
          <w:szCs w:val="21"/>
        </w:rPr>
        <w:t>素与疾病之间的关系，以群体为观察和分析的单位，通过描述不同人群中某因素的暴露情况与疾病</w:t>
      </w:r>
      <w:r>
        <w:rPr>
          <w:rFonts w:ascii="宋体" w:hAnsi="宋体" w:eastAsia="宋体" w:cs="宋体"/>
          <w:spacing w:val="7"/>
          <w:sz w:val="21"/>
          <w:szCs w:val="21"/>
        </w:rPr>
        <w:t xml:space="preserve">  </w:t>
      </w:r>
      <w:r>
        <w:rPr>
          <w:rFonts w:ascii="宋体" w:hAnsi="宋体" w:eastAsia="宋体" w:cs="宋体"/>
          <w:spacing w:val="9"/>
          <w:sz w:val="21"/>
          <w:szCs w:val="21"/>
        </w:rPr>
        <w:t>的频率，分析该暴露因素与疾病之间的关系</w:t>
      </w:r>
      <w:r>
        <w:rPr>
          <w:rFonts w:ascii="宋体" w:hAnsi="宋体" w:eastAsia="宋体" w:cs="宋体"/>
          <w:spacing w:val="8"/>
          <w:sz w:val="21"/>
          <w:szCs w:val="21"/>
        </w:rPr>
        <w:t>。疾病测量的指标可以是发病率、患病率、死亡率等；</w:t>
      </w:r>
      <w:r>
        <w:rPr>
          <w:rFonts w:ascii="宋体" w:hAnsi="宋体" w:eastAsia="宋体" w:cs="宋体"/>
          <w:sz w:val="21"/>
          <w:szCs w:val="21"/>
        </w:rPr>
        <w:t xml:space="preserve"> </w:t>
      </w:r>
      <w:r>
        <w:rPr>
          <w:rFonts w:ascii="宋体" w:hAnsi="宋体" w:eastAsia="宋体" w:cs="宋体"/>
          <w:spacing w:val="7"/>
          <w:sz w:val="21"/>
          <w:szCs w:val="21"/>
        </w:rPr>
        <w:t>暴露也可以用一定的指标来测量，如各地区的大气污染物浓度可以从环境监测部门获得，</w:t>
      </w:r>
      <w:r>
        <w:rPr>
          <w:rFonts w:ascii="宋体" w:hAnsi="宋体" w:eastAsia="宋体" w:cs="宋体"/>
          <w:spacing w:val="6"/>
          <w:sz w:val="21"/>
          <w:szCs w:val="21"/>
        </w:rPr>
        <w:t>不同地区</w:t>
      </w:r>
      <w:r>
        <w:rPr>
          <w:rFonts w:ascii="宋体" w:hAnsi="宋体" w:eastAsia="宋体" w:cs="宋体"/>
          <w:sz w:val="21"/>
          <w:szCs w:val="21"/>
        </w:rPr>
        <w:t xml:space="preserve"> </w:t>
      </w:r>
      <w:r>
        <w:rPr>
          <w:rFonts w:ascii="宋体" w:hAnsi="宋体" w:eastAsia="宋体" w:cs="宋体"/>
          <w:spacing w:val="7"/>
          <w:sz w:val="21"/>
          <w:szCs w:val="21"/>
        </w:rPr>
        <w:t>人群的烟草消耗量可以从烟草局等有关部门获得。</w:t>
      </w:r>
    </w:p>
    <w:p w14:paraId="77CF5F24">
      <w:pPr>
        <w:spacing w:before="4" w:line="318" w:lineRule="auto"/>
        <w:ind w:right="670" w:firstLine="440"/>
        <w:jc w:val="both"/>
        <w:rPr>
          <w:rFonts w:ascii="宋体" w:hAnsi="宋体" w:eastAsia="宋体" w:cs="宋体"/>
          <w:sz w:val="21"/>
          <w:szCs w:val="21"/>
        </w:rPr>
      </w:pPr>
      <w:r>
        <w:rPr>
          <w:rFonts w:ascii="宋体" w:hAnsi="宋体" w:eastAsia="宋体" w:cs="宋体"/>
          <w:spacing w:val="13"/>
          <w:sz w:val="21"/>
          <w:szCs w:val="21"/>
        </w:rPr>
        <w:t>图3-</w:t>
      </w:r>
      <w:r>
        <w:rPr>
          <w:rFonts w:ascii="宋体" w:hAnsi="宋体" w:eastAsia="宋体" w:cs="宋体"/>
          <w:spacing w:val="-54"/>
          <w:sz w:val="21"/>
          <w:szCs w:val="21"/>
        </w:rPr>
        <w:t xml:space="preserve"> </w:t>
      </w:r>
      <w:r>
        <w:rPr>
          <w:rFonts w:ascii="宋体" w:hAnsi="宋体" w:eastAsia="宋体" w:cs="宋体"/>
          <w:spacing w:val="13"/>
          <w:sz w:val="21"/>
          <w:szCs w:val="21"/>
        </w:rPr>
        <w:t>1显示了某省17个地区2015年空气中二氧化硫</w:t>
      </w:r>
      <w:r>
        <w:rPr>
          <w:rFonts w:ascii="Times New Roman" w:hAnsi="Times New Roman" w:eastAsia="Times New Roman" w:cs="Times New Roman"/>
          <w:spacing w:val="13"/>
          <w:sz w:val="21"/>
          <w:szCs w:val="21"/>
        </w:rPr>
        <w:t>(</w:t>
      </w:r>
      <w:r>
        <w:rPr>
          <w:rFonts w:ascii="Times New Roman" w:hAnsi="Times New Roman" w:eastAsia="Times New Roman" w:cs="Times New Roman"/>
          <w:sz w:val="21"/>
          <w:szCs w:val="21"/>
        </w:rPr>
        <w:t>SO</w:t>
      </w:r>
      <w:r>
        <w:rPr>
          <w:rFonts w:ascii="Times New Roman" w:hAnsi="Times New Roman" w:eastAsia="Times New Roman" w:cs="Times New Roman"/>
          <w:spacing w:val="13"/>
          <w:sz w:val="21"/>
          <w:szCs w:val="21"/>
        </w:rPr>
        <w:t>₂)</w:t>
      </w:r>
      <w:r>
        <w:rPr>
          <w:rFonts w:ascii="Times New Roman" w:hAnsi="Times New Roman" w:eastAsia="Times New Roman" w:cs="Times New Roman"/>
          <w:spacing w:val="45"/>
          <w:sz w:val="21"/>
          <w:szCs w:val="21"/>
        </w:rPr>
        <w:t xml:space="preserve"> </w:t>
      </w:r>
      <w:r>
        <w:rPr>
          <w:rFonts w:ascii="宋体" w:hAnsi="宋体" w:eastAsia="宋体" w:cs="宋体"/>
          <w:spacing w:val="13"/>
          <w:sz w:val="21"/>
          <w:szCs w:val="21"/>
        </w:rPr>
        <w:t>平均浓度与肺癌发病率的关系，从</w:t>
      </w:r>
      <w:r>
        <w:rPr>
          <w:rFonts w:ascii="宋体" w:hAnsi="宋体" w:eastAsia="宋体" w:cs="宋体"/>
          <w:sz w:val="21"/>
          <w:szCs w:val="21"/>
        </w:rPr>
        <w:t xml:space="preserve"> </w:t>
      </w:r>
      <w:r>
        <w:rPr>
          <w:rFonts w:ascii="宋体" w:hAnsi="宋体" w:eastAsia="宋体" w:cs="宋体"/>
          <w:spacing w:val="10"/>
          <w:sz w:val="21"/>
          <w:szCs w:val="21"/>
        </w:rPr>
        <w:t>图中散点分布来看，肺癌发病率升高似乎与二氧化硫大气污染有关。对二者进行</w:t>
      </w:r>
      <w:r>
        <w:rPr>
          <w:rFonts w:ascii="Times New Roman" w:hAnsi="Times New Roman" w:eastAsia="Times New Roman" w:cs="Times New Roman"/>
          <w:sz w:val="21"/>
          <w:szCs w:val="21"/>
        </w:rPr>
        <w:t>Spearman</w:t>
      </w:r>
      <w:r>
        <w:rPr>
          <w:rFonts w:ascii="Times New Roman" w:hAnsi="Times New Roman" w:eastAsia="Times New Roman" w:cs="Times New Roman"/>
          <w:spacing w:val="53"/>
          <w:w w:val="101"/>
          <w:sz w:val="21"/>
          <w:szCs w:val="21"/>
        </w:rPr>
        <w:t xml:space="preserve"> </w:t>
      </w:r>
      <w:r>
        <w:rPr>
          <w:rFonts w:ascii="宋体" w:hAnsi="宋体" w:eastAsia="宋体" w:cs="宋体"/>
          <w:spacing w:val="10"/>
          <w:sz w:val="21"/>
          <w:szCs w:val="21"/>
        </w:rPr>
        <w:t>等级相</w:t>
      </w:r>
      <w:r>
        <w:rPr>
          <w:rFonts w:ascii="宋体" w:hAnsi="宋体" w:eastAsia="宋体" w:cs="宋体"/>
          <w:sz w:val="21"/>
          <w:szCs w:val="21"/>
        </w:rPr>
        <w:t xml:space="preserve"> </w:t>
      </w:r>
      <w:r>
        <w:rPr>
          <w:rFonts w:ascii="宋体" w:hAnsi="宋体" w:eastAsia="宋体" w:cs="宋体"/>
          <w:spacing w:val="6"/>
          <w:sz w:val="21"/>
          <w:szCs w:val="21"/>
        </w:rPr>
        <w:t>关分析，结果显示肺癌发病率与二氧化硫平均浓度呈正相关</w:t>
      </w:r>
      <w:r>
        <w:rPr>
          <w:rFonts w:ascii="Times New Roman" w:hAnsi="Times New Roman" w:eastAsia="Times New Roman" w:cs="Times New Roman"/>
          <w:spacing w:val="6"/>
          <w:sz w:val="21"/>
          <w:szCs w:val="21"/>
        </w:rPr>
        <w:t>(r,=0.603,P=0.001)</w:t>
      </w:r>
      <w:r>
        <w:rPr>
          <w:rFonts w:ascii="Times New Roman" w:hAnsi="Times New Roman" w:eastAsia="Times New Roman" w:cs="Times New Roman"/>
          <w:spacing w:val="-17"/>
          <w:sz w:val="21"/>
          <w:szCs w:val="21"/>
        </w:rPr>
        <w:t xml:space="preserve"> </w:t>
      </w:r>
      <w:r>
        <w:rPr>
          <w:rFonts w:ascii="宋体" w:hAnsi="宋体" w:eastAsia="宋体" w:cs="宋体"/>
          <w:spacing w:val="6"/>
          <w:sz w:val="21"/>
          <w:szCs w:val="21"/>
        </w:rPr>
        <w:t>。  研究结果为探索</w:t>
      </w:r>
      <w:r>
        <w:rPr>
          <w:rFonts w:ascii="宋体" w:hAnsi="宋体" w:eastAsia="宋体" w:cs="宋体"/>
          <w:sz w:val="21"/>
          <w:szCs w:val="21"/>
        </w:rPr>
        <w:t xml:space="preserve"> </w:t>
      </w:r>
      <w:r>
        <w:rPr>
          <w:rFonts w:ascii="宋体" w:hAnsi="宋体" w:eastAsia="宋体" w:cs="宋体"/>
          <w:spacing w:val="10"/>
          <w:sz w:val="21"/>
          <w:szCs w:val="21"/>
        </w:rPr>
        <w:t>肺癌的病因提供了新线索。</w:t>
      </w:r>
    </w:p>
    <w:p w14:paraId="5D1895B0">
      <w:pPr>
        <w:pStyle w:val="2"/>
        <w:spacing w:before="1" w:line="221" w:lineRule="auto"/>
        <w:ind w:left="443"/>
        <w:rPr>
          <w:sz w:val="26"/>
          <w:szCs w:val="26"/>
        </w:rPr>
      </w:pPr>
      <w:r>
        <w:rPr>
          <w:b/>
          <w:bCs/>
          <w:sz w:val="26"/>
          <w:szCs w:val="26"/>
        </w:rPr>
        <w:t>(二)特点</w:t>
      </w:r>
    </w:p>
    <w:p w14:paraId="406B8B1E">
      <w:pPr>
        <w:spacing w:before="90" w:line="219" w:lineRule="auto"/>
        <w:ind w:left="440"/>
        <w:rPr>
          <w:rFonts w:ascii="宋体" w:hAnsi="宋体" w:eastAsia="宋体" w:cs="宋体"/>
          <w:sz w:val="21"/>
          <w:szCs w:val="21"/>
        </w:rPr>
      </w:pPr>
      <w:r>
        <w:rPr>
          <w:rFonts w:ascii="宋体" w:hAnsi="宋体" w:eastAsia="宋体" w:cs="宋体"/>
          <w:spacing w:val="12"/>
          <w:sz w:val="21"/>
          <w:szCs w:val="21"/>
        </w:rPr>
        <w:t>生态学研究在收集疾病和健康状况以及某暴露因素的资料时，不是以个体为观察和分析</w:t>
      </w:r>
      <w:r>
        <w:rPr>
          <w:rFonts w:ascii="宋体" w:hAnsi="宋体" w:eastAsia="宋体" w:cs="宋体"/>
          <w:spacing w:val="11"/>
          <w:sz w:val="21"/>
          <w:szCs w:val="21"/>
        </w:rPr>
        <w:t>的单</w:t>
      </w:r>
    </w:p>
    <w:p w14:paraId="1D4ED92E">
      <w:pPr>
        <w:spacing w:line="390" w:lineRule="auto"/>
        <w:rPr>
          <w:rFonts w:ascii="Arial"/>
          <w:sz w:val="21"/>
        </w:rPr>
      </w:pPr>
    </w:p>
    <w:p w14:paraId="707F77FF">
      <w:pPr>
        <w:spacing w:before="1" w:line="3590" w:lineRule="exact"/>
        <w:ind w:firstLine="2250"/>
      </w:pPr>
      <w:r>
        <mc:AlternateContent>
          <mc:Choice Requires="wps">
            <w:drawing>
              <wp:anchor distT="0" distB="0" distL="0" distR="0" simplePos="0" relativeHeight="251720704" behindDoc="0" locked="0" layoutInCell="1" allowOverlap="1">
                <wp:simplePos x="0" y="0"/>
                <wp:positionH relativeFrom="column">
                  <wp:posOffset>925830</wp:posOffset>
                </wp:positionH>
                <wp:positionV relativeFrom="paragraph">
                  <wp:posOffset>983615</wp:posOffset>
                </wp:positionV>
                <wp:extent cx="762635" cy="217805"/>
                <wp:effectExtent l="0" t="0" r="0" b="0"/>
                <wp:wrapNone/>
                <wp:docPr id="194" name="TextBox 194"/>
                <wp:cNvGraphicFramePr/>
                <a:graphic xmlns:a="http://schemas.openxmlformats.org/drawingml/2006/main">
                  <a:graphicData uri="http://schemas.microsoft.com/office/word/2010/wordprocessingShape">
                    <wps:wsp>
                      <wps:cNvSpPr txBox="1"/>
                      <wps:spPr>
                        <a:xfrm rot="16200000">
                          <a:off x="926065" y="983843"/>
                          <a:ext cx="762634" cy="217804"/>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5078D836">
                            <w:pPr>
                              <w:spacing w:before="61" w:line="219" w:lineRule="auto"/>
                              <w:jc w:val="right"/>
                              <w:rPr>
                                <w:rFonts w:ascii="宋体" w:hAnsi="宋体" w:eastAsia="宋体" w:cs="宋体"/>
                                <w:sz w:val="22"/>
                                <w:szCs w:val="22"/>
                              </w:rPr>
                            </w:pPr>
                            <w:r>
                              <w:rPr>
                                <w:rFonts w:ascii="宋体" w:hAnsi="宋体" w:eastAsia="宋体" w:cs="宋体"/>
                                <w:spacing w:val="-17"/>
                                <w:w w:val="88"/>
                                <w:sz w:val="22"/>
                                <w:szCs w:val="22"/>
                              </w:rPr>
                              <w:t>肺癌发</w:t>
                            </w:r>
                            <w:r>
                              <w:rPr>
                                <w:rFonts w:ascii="宋体" w:hAnsi="宋体" w:eastAsia="宋体" w:cs="宋体"/>
                                <w:spacing w:val="-16"/>
                                <w:w w:val="88"/>
                                <w:sz w:val="22"/>
                                <w:szCs w:val="22"/>
                              </w:rPr>
                              <w:t>病率/</w:t>
                            </w:r>
                            <w:r>
                              <w:rPr>
                                <w:rFonts w:ascii="宋体" w:hAnsi="宋体" w:eastAsia="宋体" w:cs="宋体"/>
                                <w:spacing w:val="-13"/>
                                <w:w w:val="88"/>
                                <w:sz w:val="22"/>
                                <w:szCs w:val="22"/>
                              </w:rPr>
                              <w:t>‰</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194" o:spid="_x0000_s1026" o:spt="202" type="#_x0000_t202" style="position:absolute;left:0pt;margin-left:72.9pt;margin-top:77.45pt;height:17.15pt;width:60.05pt;rotation:-5898240f;z-index:251720704;mso-width-relative:page;mso-height-relative:page;" filled="f" stroked="f" coordsize="21600,21600" o:gfxdata="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GFburvZAAAACwEAAA8A&#10;AAAAAAAAAQAgAAAAIgAAAGRycy9kb3ducmV2LnhtbFBLAQIUABQAAAAIAIdO4kB72c0wTwIAAKME&#10;AAAOAAAAAAAAAAEAIAAAACgBAABkcnMvZTJvRG9jLnhtbFBLBQYAAAAABgAGAFkBAADpBQAAAAA=&#10;">
                <v:fill on="f" focussize="0,0"/>
                <v:stroke on="f" weight="0pt" miterlimit="0" joinstyle="miter"/>
                <v:imagedata o:title=""/>
                <o:lock v:ext="edit" aspectratio="f"/>
                <v:textbox inset="0mm,0mm,0mm,0mm">
                  <w:txbxContent>
                    <w:p w14:paraId="5078D836">
                      <w:pPr>
                        <w:spacing w:before="61" w:line="219" w:lineRule="auto"/>
                        <w:jc w:val="right"/>
                        <w:rPr>
                          <w:rFonts w:ascii="宋体" w:hAnsi="宋体" w:eastAsia="宋体" w:cs="宋体"/>
                          <w:sz w:val="22"/>
                          <w:szCs w:val="22"/>
                        </w:rPr>
                      </w:pPr>
                      <w:r>
                        <w:rPr>
                          <w:rFonts w:ascii="宋体" w:hAnsi="宋体" w:eastAsia="宋体" w:cs="宋体"/>
                          <w:spacing w:val="-17"/>
                          <w:w w:val="88"/>
                          <w:sz w:val="22"/>
                          <w:szCs w:val="22"/>
                        </w:rPr>
                        <w:t>肺癌发</w:t>
                      </w:r>
                      <w:r>
                        <w:rPr>
                          <w:rFonts w:ascii="宋体" w:hAnsi="宋体" w:eastAsia="宋体" w:cs="宋体"/>
                          <w:spacing w:val="-16"/>
                          <w:w w:val="88"/>
                          <w:sz w:val="22"/>
                          <w:szCs w:val="22"/>
                        </w:rPr>
                        <w:t>病率/</w:t>
                      </w:r>
                      <w:r>
                        <w:rPr>
                          <w:rFonts w:ascii="宋体" w:hAnsi="宋体" w:eastAsia="宋体" w:cs="宋体"/>
                          <w:spacing w:val="-13"/>
                          <w:w w:val="88"/>
                          <w:sz w:val="22"/>
                          <w:szCs w:val="22"/>
                        </w:rPr>
                        <w:t>‰</w:t>
                      </w:r>
                    </w:p>
                  </w:txbxContent>
                </v:textbox>
              </v:shape>
            </w:pict>
          </mc:Fallback>
        </mc:AlternateContent>
      </w:r>
      <w:r>
        <w:rPr>
          <w:position w:val="-71"/>
        </w:rPr>
        <w:drawing>
          <wp:inline distT="0" distB="0" distL="0" distR="0">
            <wp:extent cx="3345815" cy="2279650"/>
            <wp:effectExtent l="0" t="0" r="0" b="0"/>
            <wp:docPr id="196" name="IM 196"/>
            <wp:cNvGraphicFramePr/>
            <a:graphic xmlns:a="http://schemas.openxmlformats.org/drawingml/2006/main">
              <a:graphicData uri="http://schemas.openxmlformats.org/drawingml/2006/picture">
                <pic:pic xmlns:pic="http://schemas.openxmlformats.org/drawingml/2006/picture">
                  <pic:nvPicPr>
                    <pic:cNvPr id="196" name="IM 196"/>
                    <pic:cNvPicPr/>
                  </pic:nvPicPr>
                  <pic:blipFill>
                    <a:blip r:embed="rId473"/>
                    <a:stretch>
                      <a:fillRect/>
                    </a:stretch>
                  </pic:blipFill>
                  <pic:spPr>
                    <a:xfrm>
                      <a:off x="0" y="0"/>
                      <a:ext cx="3346396" cy="2279688"/>
                    </a:xfrm>
                    <a:prstGeom prst="rect">
                      <a:avLst/>
                    </a:prstGeom>
                  </pic:spPr>
                </pic:pic>
              </a:graphicData>
            </a:graphic>
          </wp:inline>
        </w:drawing>
      </w:r>
    </w:p>
    <w:p w14:paraId="40EA9607">
      <w:pPr>
        <w:spacing w:before="144" w:line="212" w:lineRule="auto"/>
        <w:ind w:left="3909"/>
        <w:rPr>
          <w:rFonts w:ascii="Times New Roman" w:hAnsi="Times New Roman" w:eastAsia="Times New Roman" w:cs="Times New Roman"/>
          <w:sz w:val="21"/>
          <w:szCs w:val="21"/>
        </w:rPr>
      </w:pPr>
      <w:r>
        <w:rPr>
          <w:rFonts w:ascii="宋体" w:hAnsi="宋体" w:eastAsia="宋体" w:cs="宋体"/>
          <w:spacing w:val="-18"/>
          <w:w w:val="95"/>
          <w:sz w:val="21"/>
          <w:szCs w:val="21"/>
        </w:rPr>
        <w:t>二氧化硫平均浓度/(μ</w:t>
      </w:r>
      <w:r>
        <w:rPr>
          <w:rFonts w:ascii="Times New Roman" w:hAnsi="Times New Roman" w:eastAsia="Times New Roman" w:cs="Times New Roman"/>
          <w:spacing w:val="-18"/>
          <w:w w:val="95"/>
          <w:sz w:val="21"/>
          <w:szCs w:val="21"/>
        </w:rPr>
        <w:t>g/m³)</w:t>
      </w:r>
    </w:p>
    <w:p w14:paraId="235F8656">
      <w:pPr>
        <w:pStyle w:val="2"/>
        <w:spacing w:before="191" w:line="220" w:lineRule="auto"/>
        <w:ind w:left="1750"/>
        <w:rPr>
          <w:sz w:val="21"/>
          <w:szCs w:val="21"/>
        </w:rPr>
      </w:pPr>
      <w:r>
        <w:rPr>
          <w:spacing w:val="-8"/>
          <w:sz w:val="21"/>
          <w:szCs w:val="21"/>
        </w:rPr>
        <w:t>图3-1</w:t>
      </w:r>
      <w:r>
        <w:rPr>
          <w:spacing w:val="76"/>
          <w:sz w:val="21"/>
          <w:szCs w:val="21"/>
        </w:rPr>
        <w:t xml:space="preserve"> </w:t>
      </w:r>
      <w:r>
        <w:rPr>
          <w:spacing w:val="-8"/>
          <w:sz w:val="21"/>
          <w:szCs w:val="21"/>
        </w:rPr>
        <w:t>某省17个地区空气中二氧化硫平均浓度与肺癌发病率的关系</w:t>
      </w:r>
    </w:p>
    <w:p w14:paraId="37D09956">
      <w:pPr>
        <w:spacing w:line="220" w:lineRule="auto"/>
        <w:rPr>
          <w:sz w:val="21"/>
          <w:szCs w:val="21"/>
        </w:rPr>
        <w:sectPr>
          <w:footerReference r:id="rId75" w:type="default"/>
          <w:pgSz w:w="11900" w:h="16820"/>
          <w:pgMar w:top="400" w:right="655" w:bottom="846" w:left="1249" w:header="0" w:footer="657" w:gutter="0"/>
          <w:cols w:space="720" w:num="1"/>
        </w:sectPr>
      </w:pPr>
    </w:p>
    <w:p w14:paraId="262ACE81">
      <w:pPr>
        <w:pStyle w:val="2"/>
        <w:spacing w:before="156" w:line="222" w:lineRule="auto"/>
        <w:ind w:left="739"/>
        <w:rPr>
          <w:sz w:val="20"/>
          <w:szCs w:val="20"/>
        </w:rPr>
      </w:pPr>
      <w:bookmarkStart w:id="83" w:name="bookmark433"/>
      <w:bookmarkEnd w:id="83"/>
      <w:r>
        <w:rPr>
          <w:spacing w:val="-10"/>
          <w:sz w:val="20"/>
          <w:szCs w:val="20"/>
        </w:rPr>
        <w:t>第三章描述性研究</w:t>
      </w:r>
    </w:p>
    <w:p w14:paraId="4E8DE346">
      <w:pPr>
        <w:spacing w:line="270" w:lineRule="auto"/>
        <w:rPr>
          <w:rFonts w:ascii="Arial"/>
          <w:sz w:val="21"/>
        </w:rPr>
      </w:pPr>
    </w:p>
    <w:p w14:paraId="7A7C4CC6">
      <w:pPr>
        <w:spacing w:line="271" w:lineRule="auto"/>
        <w:rPr>
          <w:rFonts w:ascii="Arial"/>
          <w:sz w:val="21"/>
        </w:rPr>
      </w:pPr>
    </w:p>
    <w:p w14:paraId="32BD6AE0">
      <w:pPr>
        <w:spacing w:before="65" w:line="342" w:lineRule="auto"/>
        <w:ind w:left="739" w:right="70"/>
        <w:jc w:val="both"/>
        <w:rPr>
          <w:rFonts w:ascii="宋体" w:hAnsi="宋体" w:eastAsia="宋体" w:cs="宋体"/>
          <w:sz w:val="20"/>
          <w:szCs w:val="20"/>
        </w:rPr>
      </w:pPr>
      <w:r>
        <w:rPr>
          <w:rFonts w:ascii="宋体" w:hAnsi="宋体" w:eastAsia="宋体" w:cs="宋体"/>
          <w:spacing w:val="2"/>
          <w:sz w:val="20"/>
          <w:szCs w:val="20"/>
        </w:rPr>
        <w:t>位，而是以群体为单位(如国家、城市、工厂、学校等),这是生态学研究的最基</w:t>
      </w:r>
      <w:r>
        <w:rPr>
          <w:rFonts w:ascii="宋体" w:hAnsi="宋体" w:eastAsia="宋体" w:cs="宋体"/>
          <w:spacing w:val="1"/>
          <w:sz w:val="20"/>
          <w:szCs w:val="20"/>
        </w:rPr>
        <w:t>本特征。该类研究虽</w:t>
      </w:r>
      <w:r>
        <w:rPr>
          <w:rFonts w:ascii="宋体" w:hAnsi="宋体" w:eastAsia="宋体" w:cs="宋体"/>
          <w:sz w:val="20"/>
          <w:szCs w:val="20"/>
        </w:rPr>
        <w:t xml:space="preserve"> </w:t>
      </w:r>
      <w:r>
        <w:rPr>
          <w:rFonts w:ascii="宋体" w:hAnsi="宋体" w:eastAsia="宋体" w:cs="宋体"/>
          <w:spacing w:val="9"/>
          <w:sz w:val="20"/>
          <w:szCs w:val="20"/>
        </w:rPr>
        <w:t>然能通过描述不同人群中某因素的暴露情况与疾病频率来分析该因素与疾病的关系，但无法得知</w:t>
      </w:r>
      <w:r>
        <w:rPr>
          <w:rFonts w:ascii="宋体" w:hAnsi="宋体" w:eastAsia="宋体" w:cs="宋体"/>
          <w:spacing w:val="6"/>
          <w:sz w:val="20"/>
          <w:szCs w:val="20"/>
        </w:rPr>
        <w:t xml:space="preserve"> </w:t>
      </w:r>
      <w:r>
        <w:rPr>
          <w:rFonts w:ascii="宋体" w:hAnsi="宋体" w:eastAsia="宋体" w:cs="宋体"/>
          <w:spacing w:val="9"/>
          <w:sz w:val="20"/>
          <w:szCs w:val="20"/>
        </w:rPr>
        <w:t>个体的暴露与效应(疾病)间的因果关系，如城市机动车数量的增长与居民肺癌发病率之间的相关</w:t>
      </w:r>
      <w:r>
        <w:rPr>
          <w:rFonts w:ascii="宋体" w:hAnsi="宋体" w:eastAsia="宋体" w:cs="宋体"/>
          <w:spacing w:val="11"/>
          <w:sz w:val="20"/>
          <w:szCs w:val="20"/>
        </w:rPr>
        <w:t xml:space="preserve"> </w:t>
      </w:r>
      <w:r>
        <w:rPr>
          <w:rFonts w:ascii="宋体" w:hAnsi="宋体" w:eastAsia="宋体" w:cs="宋体"/>
          <w:spacing w:val="9"/>
          <w:sz w:val="20"/>
          <w:szCs w:val="20"/>
        </w:rPr>
        <w:t>性分析。生态学研究是从许多因素中探索病因线索的一种常用方法，然而其提供的信息是不完全</w:t>
      </w:r>
      <w:r>
        <w:rPr>
          <w:rFonts w:ascii="宋体" w:hAnsi="宋体" w:eastAsia="宋体" w:cs="宋体"/>
          <w:sz w:val="20"/>
          <w:szCs w:val="20"/>
        </w:rPr>
        <w:t xml:space="preserve"> </w:t>
      </w:r>
      <w:r>
        <w:rPr>
          <w:rFonts w:ascii="宋体" w:hAnsi="宋体" w:eastAsia="宋体" w:cs="宋体"/>
          <w:spacing w:val="-1"/>
          <w:sz w:val="20"/>
          <w:szCs w:val="20"/>
        </w:rPr>
        <w:t>的，它只是一种粗线条的描述性研究。</w:t>
      </w:r>
    </w:p>
    <w:p w14:paraId="35B9673E">
      <w:pPr>
        <w:pStyle w:val="2"/>
        <w:spacing w:line="225" w:lineRule="auto"/>
        <w:ind w:left="1163"/>
        <w:rPr>
          <w:sz w:val="24"/>
          <w:szCs w:val="24"/>
        </w:rPr>
      </w:pPr>
      <w:r>
        <w:rPr>
          <w:b/>
          <w:bCs/>
          <w:spacing w:val="-3"/>
          <w:sz w:val="24"/>
          <w:szCs w:val="24"/>
        </w:rPr>
        <w:t>(三)用途</w:t>
      </w:r>
    </w:p>
    <w:p w14:paraId="3997D24A">
      <w:pPr>
        <w:pStyle w:val="2"/>
        <w:spacing w:before="85" w:line="345" w:lineRule="auto"/>
        <w:ind w:left="739" w:right="79" w:firstLine="420"/>
        <w:jc w:val="both"/>
        <w:rPr>
          <w:rFonts w:ascii="宋体" w:hAnsi="宋体" w:eastAsia="宋体" w:cs="宋体"/>
          <w:sz w:val="20"/>
          <w:szCs w:val="20"/>
        </w:rPr>
      </w:pPr>
      <w:r>
        <w:rPr>
          <w:rFonts w:ascii="宋体" w:hAnsi="宋体" w:eastAsia="宋体" w:cs="宋体"/>
          <w:spacing w:val="7"/>
          <w:sz w:val="20"/>
          <w:szCs w:val="20"/>
        </w:rPr>
        <w:t xml:space="preserve">1. </w:t>
      </w:r>
      <w:r>
        <w:rPr>
          <w:spacing w:val="7"/>
          <w:sz w:val="20"/>
          <w:szCs w:val="20"/>
        </w:rPr>
        <w:t>提供病因线索，产生病因假设</w:t>
      </w:r>
      <w:r>
        <w:rPr>
          <w:spacing w:val="72"/>
          <w:sz w:val="20"/>
          <w:szCs w:val="20"/>
        </w:rPr>
        <w:t xml:space="preserve"> </w:t>
      </w:r>
      <w:r>
        <w:rPr>
          <w:rFonts w:ascii="宋体" w:hAnsi="宋体" w:eastAsia="宋体" w:cs="宋体"/>
          <w:spacing w:val="7"/>
          <w:sz w:val="20"/>
          <w:szCs w:val="20"/>
        </w:rPr>
        <w:t>生态学研究通过收集人群中某疾病的频率与某因素的暴露</w:t>
      </w:r>
      <w:r>
        <w:rPr>
          <w:rFonts w:ascii="宋体" w:hAnsi="宋体" w:eastAsia="宋体" w:cs="宋体"/>
          <w:sz w:val="20"/>
          <w:szCs w:val="20"/>
        </w:rPr>
        <w:t xml:space="preserve"> </w:t>
      </w:r>
      <w:r>
        <w:rPr>
          <w:rFonts w:ascii="宋体" w:hAnsi="宋体" w:eastAsia="宋体" w:cs="宋体"/>
          <w:spacing w:val="4"/>
          <w:sz w:val="20"/>
          <w:szCs w:val="20"/>
        </w:rPr>
        <w:t>状态资料，分析该暴露因素与疾病之间分布上的关联，探索与疾病发生有关的线索，从而产生病因</w:t>
      </w:r>
      <w:r>
        <w:rPr>
          <w:rFonts w:ascii="宋体" w:hAnsi="宋体" w:eastAsia="宋体" w:cs="宋体"/>
          <w:spacing w:val="17"/>
          <w:sz w:val="20"/>
          <w:szCs w:val="20"/>
        </w:rPr>
        <w:t xml:space="preserve"> </w:t>
      </w:r>
      <w:r>
        <w:rPr>
          <w:rFonts w:ascii="宋体" w:hAnsi="宋体" w:eastAsia="宋体" w:cs="宋体"/>
          <w:spacing w:val="9"/>
          <w:sz w:val="20"/>
          <w:szCs w:val="20"/>
        </w:rPr>
        <w:t>假设。故生态学研究常常被广泛应用于慢性病的病因学研究，或环境变量与人群</w:t>
      </w:r>
      <w:r>
        <w:rPr>
          <w:rFonts w:ascii="宋体" w:hAnsi="宋体" w:eastAsia="宋体" w:cs="宋体"/>
          <w:spacing w:val="8"/>
          <w:sz w:val="20"/>
          <w:szCs w:val="20"/>
        </w:rPr>
        <w:t>疾病(健康)状态</w:t>
      </w:r>
      <w:r>
        <w:rPr>
          <w:rFonts w:ascii="宋体" w:hAnsi="宋体" w:eastAsia="宋体" w:cs="宋体"/>
          <w:sz w:val="20"/>
          <w:szCs w:val="20"/>
        </w:rPr>
        <w:t xml:space="preserve"> 关系的研究，为研究假设的建立提供依据。</w:t>
      </w:r>
    </w:p>
    <w:p w14:paraId="36922656">
      <w:pPr>
        <w:pStyle w:val="2"/>
        <w:spacing w:before="21" w:line="342" w:lineRule="auto"/>
        <w:ind w:left="739" w:right="83" w:firstLine="420"/>
        <w:jc w:val="both"/>
        <w:rPr>
          <w:rFonts w:ascii="宋体" w:hAnsi="宋体" w:eastAsia="宋体" w:cs="宋体"/>
          <w:sz w:val="20"/>
          <w:szCs w:val="20"/>
        </w:rPr>
      </w:pPr>
      <w:r>
        <w:rPr>
          <w:rFonts w:ascii="宋体" w:hAnsi="宋体" w:eastAsia="宋体" w:cs="宋体"/>
          <w:spacing w:val="14"/>
          <w:sz w:val="20"/>
          <w:szCs w:val="20"/>
        </w:rPr>
        <w:t>2.</w:t>
      </w:r>
      <w:r>
        <w:rPr>
          <w:rFonts w:ascii="宋体" w:hAnsi="宋体" w:eastAsia="宋体" w:cs="宋体"/>
          <w:spacing w:val="-30"/>
          <w:sz w:val="20"/>
          <w:szCs w:val="20"/>
        </w:rPr>
        <w:t xml:space="preserve"> </w:t>
      </w:r>
      <w:r>
        <w:rPr>
          <w:spacing w:val="14"/>
          <w:sz w:val="20"/>
          <w:szCs w:val="20"/>
        </w:rPr>
        <w:t xml:space="preserve">评估人群干预措施的效果 </w:t>
      </w:r>
      <w:r>
        <w:rPr>
          <w:rFonts w:ascii="宋体" w:hAnsi="宋体" w:eastAsia="宋体" w:cs="宋体"/>
          <w:spacing w:val="14"/>
          <w:sz w:val="20"/>
          <w:szCs w:val="20"/>
        </w:rPr>
        <w:t>通过描述人群中某种(些)干预措施的实施状况及某种(些)疾</w:t>
      </w:r>
      <w:r>
        <w:rPr>
          <w:rFonts w:ascii="宋体" w:hAnsi="宋体" w:eastAsia="宋体" w:cs="宋体"/>
          <w:sz w:val="20"/>
          <w:szCs w:val="20"/>
        </w:rPr>
        <w:t xml:space="preserve"> </w:t>
      </w:r>
      <w:r>
        <w:rPr>
          <w:rFonts w:ascii="宋体" w:hAnsi="宋体" w:eastAsia="宋体" w:cs="宋体"/>
          <w:spacing w:val="4"/>
          <w:sz w:val="20"/>
          <w:szCs w:val="20"/>
        </w:rPr>
        <w:t>病的发病率或死亡率的变化，经比较和分析，对干预措施进行评价。例如，2009年我国启动了“增</w:t>
      </w:r>
      <w:r>
        <w:rPr>
          <w:rFonts w:ascii="宋体" w:hAnsi="宋体" w:eastAsia="宋体" w:cs="宋体"/>
          <w:spacing w:val="5"/>
          <w:sz w:val="20"/>
          <w:szCs w:val="20"/>
        </w:rPr>
        <w:t xml:space="preserve"> </w:t>
      </w:r>
      <w:r>
        <w:rPr>
          <w:rFonts w:ascii="宋体" w:hAnsi="宋体" w:eastAsia="宋体" w:cs="宋体"/>
          <w:spacing w:val="9"/>
          <w:sz w:val="20"/>
          <w:szCs w:val="20"/>
        </w:rPr>
        <w:t>补叶酸预防神经管缺陷”重大公共卫生项目，为农村孕前和孕早期妇女免费提供叶酸增补剂，对</w:t>
      </w:r>
      <w:r>
        <w:rPr>
          <w:rFonts w:ascii="宋体" w:hAnsi="宋体" w:eastAsia="宋体" w:cs="宋体"/>
          <w:sz w:val="20"/>
          <w:szCs w:val="20"/>
        </w:rPr>
        <w:t xml:space="preserve"> </w:t>
      </w:r>
      <w:r>
        <w:rPr>
          <w:rFonts w:ascii="宋体" w:hAnsi="宋体" w:eastAsia="宋体" w:cs="宋体"/>
          <w:spacing w:val="10"/>
          <w:sz w:val="20"/>
          <w:szCs w:val="20"/>
        </w:rPr>
        <w:t>项目实施前后全国围产儿神经管缺陷发生率进行分析，显示从1996年的13.6/万下降到2011年的</w:t>
      </w:r>
      <w:r>
        <w:rPr>
          <w:rFonts w:ascii="宋体" w:hAnsi="宋体" w:eastAsia="宋体" w:cs="宋体"/>
          <w:spacing w:val="4"/>
          <w:sz w:val="20"/>
          <w:szCs w:val="20"/>
        </w:rPr>
        <w:t xml:space="preserve"> </w:t>
      </w:r>
      <w:r>
        <w:rPr>
          <w:rFonts w:ascii="宋体" w:hAnsi="宋体" w:eastAsia="宋体" w:cs="宋体"/>
          <w:spacing w:val="-2"/>
          <w:sz w:val="20"/>
          <w:szCs w:val="20"/>
        </w:rPr>
        <w:t>4.5/万，提示增补叶酸可以预防神经管缺陷。</w:t>
      </w:r>
    </w:p>
    <w:p w14:paraId="00EF3E08">
      <w:pPr>
        <w:pStyle w:val="2"/>
        <w:spacing w:before="1" w:line="342" w:lineRule="auto"/>
        <w:ind w:left="739" w:right="29" w:firstLine="420"/>
        <w:jc w:val="both"/>
        <w:rPr>
          <w:rFonts w:ascii="宋体" w:hAnsi="宋体" w:eastAsia="宋体" w:cs="宋体"/>
          <w:sz w:val="20"/>
          <w:szCs w:val="20"/>
        </w:rPr>
      </w:pPr>
      <w:r>
        <w:rPr>
          <w:rFonts w:ascii="宋体" w:hAnsi="宋体" w:eastAsia="宋体" w:cs="宋体"/>
          <w:spacing w:val="8"/>
          <w:sz w:val="20"/>
          <w:szCs w:val="20"/>
        </w:rPr>
        <w:t xml:space="preserve">3. </w:t>
      </w:r>
      <w:r>
        <w:rPr>
          <w:spacing w:val="8"/>
          <w:sz w:val="20"/>
          <w:szCs w:val="20"/>
        </w:rPr>
        <w:t>预测疾病发展趋势</w:t>
      </w:r>
      <w:r>
        <w:rPr>
          <w:spacing w:val="90"/>
          <w:sz w:val="20"/>
          <w:szCs w:val="20"/>
        </w:rPr>
        <w:t xml:space="preserve"> </w:t>
      </w:r>
      <w:r>
        <w:rPr>
          <w:rFonts w:ascii="宋体" w:hAnsi="宋体" w:eastAsia="宋体" w:cs="宋体"/>
          <w:spacing w:val="8"/>
          <w:sz w:val="20"/>
          <w:szCs w:val="20"/>
        </w:rPr>
        <w:t>在疾病监测工作中，可应用生态学研究来估计监测疾病的发展趋势，</w:t>
      </w:r>
      <w:r>
        <w:rPr>
          <w:rFonts w:ascii="宋体" w:hAnsi="宋体" w:eastAsia="宋体" w:cs="宋体"/>
          <w:sz w:val="20"/>
          <w:szCs w:val="20"/>
        </w:rPr>
        <w:t xml:space="preserve"> </w:t>
      </w:r>
      <w:r>
        <w:rPr>
          <w:rFonts w:ascii="宋体" w:hAnsi="宋体" w:eastAsia="宋体" w:cs="宋体"/>
          <w:spacing w:val="14"/>
          <w:sz w:val="20"/>
          <w:szCs w:val="20"/>
        </w:rPr>
        <w:t>为制定疾病预防与控制的策略和措施提供依据。例如疟疾的发生和流行是由有关的生态学因素</w:t>
      </w:r>
      <w:r>
        <w:rPr>
          <w:rFonts w:ascii="宋体" w:hAnsi="宋体" w:eastAsia="宋体" w:cs="宋体"/>
          <w:spacing w:val="4"/>
          <w:sz w:val="20"/>
          <w:szCs w:val="20"/>
        </w:rPr>
        <w:t xml:space="preserve"> </w:t>
      </w:r>
      <w:r>
        <w:rPr>
          <w:rFonts w:ascii="宋体" w:hAnsi="宋体" w:eastAsia="宋体" w:cs="宋体"/>
          <w:sz w:val="20"/>
          <w:szCs w:val="20"/>
        </w:rPr>
        <w:t>(温度、湿度、雨量、海拔等)决定的，按蚊是疟疾传播的主要媒介</w:t>
      </w:r>
      <w:r>
        <w:rPr>
          <w:rFonts w:ascii="宋体" w:hAnsi="宋体" w:eastAsia="宋体" w:cs="宋体"/>
          <w:spacing w:val="-1"/>
          <w:sz w:val="20"/>
          <w:szCs w:val="20"/>
        </w:rPr>
        <w:t>，其种群数量和活动情况直接影响</w:t>
      </w:r>
      <w:r>
        <w:rPr>
          <w:rFonts w:ascii="宋体" w:hAnsi="宋体" w:eastAsia="宋体" w:cs="宋体"/>
          <w:sz w:val="20"/>
          <w:szCs w:val="20"/>
        </w:rPr>
        <w:t xml:space="preserve"> </w:t>
      </w:r>
      <w:r>
        <w:rPr>
          <w:rFonts w:ascii="宋体" w:hAnsi="宋体" w:eastAsia="宋体" w:cs="宋体"/>
          <w:spacing w:val="3"/>
          <w:sz w:val="20"/>
          <w:szCs w:val="20"/>
        </w:rPr>
        <w:t>到疟疾的传播范围和速度，通过监测按蚊的密度可以预测疟疾的流行动态。</w:t>
      </w:r>
    </w:p>
    <w:p w14:paraId="1A1E4B67">
      <w:pPr>
        <w:pStyle w:val="2"/>
        <w:spacing w:before="174" w:line="221" w:lineRule="auto"/>
        <w:ind w:left="1163"/>
        <w:outlineLvl w:val="2"/>
        <w:rPr>
          <w:sz w:val="24"/>
          <w:szCs w:val="24"/>
        </w:rPr>
      </w:pPr>
      <w:bookmarkStart w:id="84" w:name="bookmark47"/>
      <w:bookmarkEnd w:id="84"/>
      <w:r>
        <w:rPr>
          <w:b/>
          <w:bCs/>
          <w:spacing w:val="-27"/>
          <w:sz w:val="24"/>
          <w:szCs w:val="24"/>
        </w:rPr>
        <w:t>二</w:t>
      </w:r>
      <w:r>
        <w:rPr>
          <w:spacing w:val="-51"/>
          <w:sz w:val="24"/>
          <w:szCs w:val="24"/>
        </w:rPr>
        <w:t xml:space="preserve"> </w:t>
      </w:r>
      <w:r>
        <w:rPr>
          <w:b/>
          <w:bCs/>
          <w:spacing w:val="-27"/>
          <w:sz w:val="24"/>
          <w:szCs w:val="24"/>
        </w:rPr>
        <w:t>、类</w:t>
      </w:r>
      <w:r>
        <w:rPr>
          <w:spacing w:val="-24"/>
          <w:sz w:val="24"/>
          <w:szCs w:val="24"/>
        </w:rPr>
        <w:t xml:space="preserve"> </w:t>
      </w:r>
      <w:r>
        <w:rPr>
          <w:b/>
          <w:bCs/>
          <w:spacing w:val="-27"/>
          <w:sz w:val="24"/>
          <w:szCs w:val="24"/>
        </w:rPr>
        <w:t>型</w:t>
      </w:r>
    </w:p>
    <w:p w14:paraId="677D8BB4">
      <w:pPr>
        <w:pStyle w:val="2"/>
        <w:spacing w:before="254" w:line="222" w:lineRule="auto"/>
        <w:ind w:left="1163"/>
        <w:rPr>
          <w:sz w:val="24"/>
          <w:szCs w:val="24"/>
        </w:rPr>
      </w:pPr>
      <w:r>
        <w:rPr>
          <w:b/>
          <w:bCs/>
          <w:spacing w:val="-9"/>
          <w:sz w:val="24"/>
          <w:szCs w:val="24"/>
        </w:rPr>
        <w:t>(一)生态比较研究</w:t>
      </w:r>
    </w:p>
    <w:p w14:paraId="4A678905">
      <w:pPr>
        <w:spacing w:before="100" w:line="347" w:lineRule="auto"/>
        <w:ind w:left="739" w:right="79" w:firstLine="420"/>
        <w:jc w:val="both"/>
        <w:rPr>
          <w:rFonts w:ascii="宋体" w:hAnsi="宋体" w:eastAsia="宋体" w:cs="宋体"/>
          <w:sz w:val="20"/>
          <w:szCs w:val="20"/>
        </w:rPr>
      </w:pPr>
      <w:r>
        <w:rPr>
          <w:rFonts w:ascii="宋体" w:hAnsi="宋体" w:eastAsia="宋体" w:cs="宋体"/>
          <w:spacing w:val="7"/>
          <w:sz w:val="20"/>
          <w:szCs w:val="20"/>
        </w:rPr>
        <w:t>生态比较研究</w:t>
      </w:r>
      <w:r>
        <w:rPr>
          <w:rFonts w:ascii="Times New Roman" w:hAnsi="Times New Roman" w:eastAsia="Times New Roman" w:cs="Times New Roman"/>
          <w:spacing w:val="7"/>
          <w:sz w:val="20"/>
          <w:szCs w:val="20"/>
        </w:rPr>
        <w:t>(</w:t>
      </w:r>
      <w:r>
        <w:rPr>
          <w:rFonts w:ascii="Times New Roman" w:hAnsi="Times New Roman" w:eastAsia="Times New Roman" w:cs="Times New Roman"/>
          <w:sz w:val="20"/>
          <w:szCs w:val="20"/>
        </w:rPr>
        <w:t>ecological</w:t>
      </w:r>
      <w:r>
        <w:rPr>
          <w:rFonts w:ascii="Times New Roman" w:hAnsi="Times New Roman" w:eastAsia="Times New Roman" w:cs="Times New Roman"/>
          <w:spacing w:val="7"/>
          <w:sz w:val="20"/>
          <w:szCs w:val="20"/>
        </w:rPr>
        <w:t xml:space="preserve">  </w:t>
      </w:r>
      <w:r>
        <w:rPr>
          <w:rFonts w:ascii="Times New Roman" w:hAnsi="Times New Roman" w:eastAsia="Times New Roman" w:cs="Times New Roman"/>
          <w:sz w:val="20"/>
          <w:szCs w:val="20"/>
        </w:rPr>
        <w:t>comparison</w:t>
      </w:r>
      <w:r>
        <w:rPr>
          <w:rFonts w:ascii="Times New Roman" w:hAnsi="Times New Roman" w:eastAsia="Times New Roman" w:cs="Times New Roman"/>
          <w:spacing w:val="7"/>
          <w:sz w:val="20"/>
          <w:szCs w:val="20"/>
        </w:rPr>
        <w:t xml:space="preserve">  </w:t>
      </w:r>
      <w:r>
        <w:rPr>
          <w:rFonts w:ascii="Times New Roman" w:hAnsi="Times New Roman" w:eastAsia="Times New Roman" w:cs="Times New Roman"/>
          <w:sz w:val="20"/>
          <w:szCs w:val="20"/>
        </w:rPr>
        <w:t>study</w:t>
      </w:r>
      <w:r>
        <w:rPr>
          <w:rFonts w:ascii="Times New Roman" w:hAnsi="Times New Roman" w:eastAsia="Times New Roman" w:cs="Times New Roman"/>
          <w:spacing w:val="7"/>
          <w:sz w:val="20"/>
          <w:szCs w:val="20"/>
        </w:rPr>
        <w:t>)</w:t>
      </w:r>
      <w:r>
        <w:rPr>
          <w:rFonts w:ascii="宋体" w:hAnsi="宋体" w:eastAsia="宋体" w:cs="宋体"/>
          <w:spacing w:val="7"/>
          <w:sz w:val="20"/>
          <w:szCs w:val="20"/>
        </w:rPr>
        <w:t>是生态学研究中应用较多的一种方法。生态比</w:t>
      </w:r>
      <w:r>
        <w:rPr>
          <w:rFonts w:ascii="宋体" w:hAnsi="宋体" w:eastAsia="宋体" w:cs="宋体"/>
          <w:spacing w:val="6"/>
          <w:sz w:val="20"/>
          <w:szCs w:val="20"/>
        </w:rPr>
        <w:t>较研</w:t>
      </w:r>
      <w:r>
        <w:rPr>
          <w:rFonts w:ascii="宋体" w:hAnsi="宋体" w:eastAsia="宋体" w:cs="宋体"/>
          <w:sz w:val="20"/>
          <w:szCs w:val="20"/>
        </w:rPr>
        <w:t xml:space="preserve"> </w:t>
      </w:r>
      <w:r>
        <w:rPr>
          <w:rFonts w:ascii="宋体" w:hAnsi="宋体" w:eastAsia="宋体" w:cs="宋体"/>
          <w:spacing w:val="4"/>
          <w:sz w:val="20"/>
          <w:szCs w:val="20"/>
        </w:rPr>
        <w:t>究中最为简单的方法是观察不同人群或地区某种疾病的分布，然后根据疾病分布的差异，提出病因</w:t>
      </w:r>
      <w:r>
        <w:rPr>
          <w:rFonts w:ascii="宋体" w:hAnsi="宋体" w:eastAsia="宋体" w:cs="宋体"/>
          <w:spacing w:val="17"/>
          <w:sz w:val="20"/>
          <w:szCs w:val="20"/>
        </w:rPr>
        <w:t xml:space="preserve"> </w:t>
      </w:r>
      <w:r>
        <w:rPr>
          <w:rFonts w:ascii="宋体" w:hAnsi="宋体" w:eastAsia="宋体" w:cs="宋体"/>
          <w:spacing w:val="4"/>
          <w:sz w:val="20"/>
          <w:szCs w:val="20"/>
        </w:rPr>
        <w:t>假设。一般情况下，这种研究不需要暴露情况的资料，也不需要复杂的资料分析方法。如描述胃癌</w:t>
      </w:r>
      <w:r>
        <w:rPr>
          <w:rFonts w:ascii="宋体" w:hAnsi="宋体" w:eastAsia="宋体" w:cs="宋体"/>
          <w:spacing w:val="9"/>
          <w:sz w:val="20"/>
          <w:szCs w:val="20"/>
        </w:rPr>
        <w:t xml:space="preserve"> </w:t>
      </w:r>
      <w:r>
        <w:rPr>
          <w:rFonts w:ascii="宋体" w:hAnsi="宋体" w:eastAsia="宋体" w:cs="宋体"/>
          <w:spacing w:val="4"/>
          <w:sz w:val="20"/>
          <w:szCs w:val="20"/>
        </w:rPr>
        <w:t>在全国各地区的分布，发现沿海地区的胃癌死亡率较其他地区高，从而提出沿海地区环境或饮食结</w:t>
      </w:r>
      <w:r>
        <w:rPr>
          <w:rFonts w:ascii="宋体" w:hAnsi="宋体" w:eastAsia="宋体" w:cs="宋体"/>
          <w:spacing w:val="9"/>
          <w:sz w:val="20"/>
          <w:szCs w:val="20"/>
        </w:rPr>
        <w:t xml:space="preserve"> </w:t>
      </w:r>
      <w:r>
        <w:rPr>
          <w:rFonts w:ascii="宋体" w:hAnsi="宋体" w:eastAsia="宋体" w:cs="宋体"/>
          <w:spacing w:val="5"/>
          <w:sz w:val="20"/>
          <w:szCs w:val="20"/>
        </w:rPr>
        <w:t>构等可能是胃癌的危险因素之一。</w:t>
      </w:r>
    </w:p>
    <w:p w14:paraId="753677F4">
      <w:pPr>
        <w:spacing w:before="6" w:line="342" w:lineRule="auto"/>
        <w:ind w:left="739" w:firstLine="420"/>
        <w:jc w:val="both"/>
        <w:rPr>
          <w:rFonts w:ascii="宋体" w:hAnsi="宋体" w:eastAsia="宋体" w:cs="宋体"/>
          <w:sz w:val="20"/>
          <w:szCs w:val="20"/>
        </w:rPr>
      </w:pPr>
      <w:r>
        <w:rPr>
          <w:rFonts w:ascii="宋体" w:hAnsi="宋体" w:eastAsia="宋体" w:cs="宋体"/>
          <w:spacing w:val="11"/>
          <w:sz w:val="20"/>
          <w:szCs w:val="20"/>
        </w:rPr>
        <w:t>生态比较研究更常用来比较在不同人群中某因素的平均暴露水平和某疾病频率之间的关系，</w:t>
      </w:r>
      <w:r>
        <w:rPr>
          <w:rFonts w:ascii="宋体" w:hAnsi="宋体" w:eastAsia="宋体" w:cs="宋体"/>
          <w:spacing w:val="8"/>
          <w:sz w:val="20"/>
          <w:szCs w:val="20"/>
        </w:rPr>
        <w:t xml:space="preserve"> </w:t>
      </w:r>
      <w:r>
        <w:rPr>
          <w:rFonts w:ascii="宋体" w:hAnsi="宋体" w:eastAsia="宋体" w:cs="宋体"/>
          <w:spacing w:val="9"/>
          <w:sz w:val="20"/>
          <w:szCs w:val="20"/>
        </w:rPr>
        <w:t>即比较不同暴露水平的人群中疾病的发病率或死亡率的差别，了解这些人群中暴露因素的频率或</w:t>
      </w:r>
      <w:r>
        <w:rPr>
          <w:rFonts w:ascii="宋体" w:hAnsi="宋体" w:eastAsia="宋体" w:cs="宋体"/>
          <w:sz w:val="20"/>
          <w:szCs w:val="20"/>
        </w:rPr>
        <w:t xml:space="preserve">  </w:t>
      </w:r>
      <w:r>
        <w:rPr>
          <w:rFonts w:ascii="宋体" w:hAnsi="宋体" w:eastAsia="宋体" w:cs="宋体"/>
          <w:spacing w:val="5"/>
          <w:sz w:val="20"/>
          <w:szCs w:val="20"/>
        </w:rPr>
        <w:t>水平，并与疾病的发病率或死亡率作对比分析，从而为病</w:t>
      </w:r>
      <w:r>
        <w:rPr>
          <w:rFonts w:ascii="宋体" w:hAnsi="宋体" w:eastAsia="宋体" w:cs="宋体"/>
          <w:spacing w:val="4"/>
          <w:sz w:val="20"/>
          <w:szCs w:val="20"/>
        </w:rPr>
        <w:t>因探索提供线索。例如，有研究者根据联</w:t>
      </w:r>
      <w:r>
        <w:rPr>
          <w:rFonts w:ascii="宋体" w:hAnsi="宋体" w:eastAsia="宋体" w:cs="宋体"/>
          <w:sz w:val="20"/>
          <w:szCs w:val="20"/>
        </w:rPr>
        <w:t xml:space="preserve"> </w:t>
      </w:r>
      <w:r>
        <w:rPr>
          <w:rFonts w:ascii="宋体" w:hAnsi="宋体" w:eastAsia="宋体" w:cs="宋体"/>
          <w:spacing w:val="15"/>
          <w:sz w:val="20"/>
          <w:szCs w:val="20"/>
        </w:rPr>
        <w:t>合国粮食及农业组织提供的129个国家(地区)的食物消耗种类及数量和由</w:t>
      </w:r>
      <w:r>
        <w:rPr>
          <w:rFonts w:ascii="宋体" w:hAnsi="宋体" w:eastAsia="宋体" w:cs="宋体"/>
          <w:sz w:val="20"/>
          <w:szCs w:val="20"/>
        </w:rPr>
        <w:t>WHO</w:t>
      </w:r>
      <w:r>
        <w:rPr>
          <w:rFonts w:ascii="宋体" w:hAnsi="宋体" w:eastAsia="宋体" w:cs="宋体"/>
          <w:spacing w:val="15"/>
          <w:sz w:val="20"/>
          <w:szCs w:val="20"/>
        </w:rPr>
        <w:t xml:space="preserve">  提供的该129个</w:t>
      </w:r>
      <w:r>
        <w:rPr>
          <w:rFonts w:ascii="宋体" w:hAnsi="宋体" w:eastAsia="宋体" w:cs="宋体"/>
          <w:spacing w:val="8"/>
          <w:sz w:val="20"/>
          <w:szCs w:val="20"/>
        </w:rPr>
        <w:t xml:space="preserve">  </w:t>
      </w:r>
      <w:r>
        <w:rPr>
          <w:rFonts w:ascii="宋体" w:hAnsi="宋体" w:eastAsia="宋体" w:cs="宋体"/>
          <w:spacing w:val="4"/>
          <w:sz w:val="20"/>
          <w:szCs w:val="20"/>
        </w:rPr>
        <w:t>国家(地区)的胃癌和乳腺癌死亡率的资料，以人均食物种类的消耗量为暴露变量，分别与胃癌和乳</w:t>
      </w:r>
      <w:r>
        <w:rPr>
          <w:rFonts w:ascii="宋体" w:hAnsi="宋体" w:eastAsia="宋体" w:cs="宋体"/>
          <w:spacing w:val="1"/>
          <w:sz w:val="20"/>
          <w:szCs w:val="20"/>
        </w:rPr>
        <w:t xml:space="preserve">  </w:t>
      </w:r>
      <w:r>
        <w:rPr>
          <w:rFonts w:ascii="宋体" w:hAnsi="宋体" w:eastAsia="宋体" w:cs="宋体"/>
          <w:spacing w:val="4"/>
          <w:sz w:val="20"/>
          <w:szCs w:val="20"/>
        </w:rPr>
        <w:t xml:space="preserve">腺癌的死亡率作了比较分析，发现以淀粉类食物为主的国家胃癌高发，而平均脂肪消耗量高的国家  </w:t>
      </w:r>
      <w:r>
        <w:rPr>
          <w:rFonts w:ascii="宋体" w:hAnsi="宋体" w:eastAsia="宋体" w:cs="宋体"/>
          <w:spacing w:val="10"/>
          <w:sz w:val="20"/>
          <w:szCs w:val="20"/>
        </w:rPr>
        <w:t>则乳腺癌高发，从而提出了这两种癌症与饮食因</w:t>
      </w:r>
      <w:r>
        <w:rPr>
          <w:rFonts w:ascii="宋体" w:hAnsi="宋体" w:eastAsia="宋体" w:cs="宋体"/>
          <w:spacing w:val="9"/>
          <w:sz w:val="20"/>
          <w:szCs w:val="20"/>
        </w:rPr>
        <w:t>素之间病因假设的线索。环境流行病学研究中常</w:t>
      </w:r>
      <w:r>
        <w:rPr>
          <w:rFonts w:ascii="宋体" w:hAnsi="宋体" w:eastAsia="宋体" w:cs="宋体"/>
          <w:sz w:val="20"/>
          <w:szCs w:val="20"/>
        </w:rPr>
        <w:t xml:space="preserve"> </w:t>
      </w:r>
      <w:r>
        <w:rPr>
          <w:rFonts w:ascii="宋体" w:hAnsi="宋体" w:eastAsia="宋体" w:cs="宋体"/>
          <w:spacing w:val="4"/>
          <w:sz w:val="20"/>
          <w:szCs w:val="20"/>
        </w:rPr>
        <w:t>采用生态比较研究的方法。此法也可应用于评价社会设施、人群干预以及在政策、法令的实施等方</w:t>
      </w:r>
      <w:r>
        <w:rPr>
          <w:rFonts w:ascii="宋体" w:hAnsi="宋体" w:eastAsia="宋体" w:cs="宋体"/>
          <w:spacing w:val="2"/>
          <w:sz w:val="20"/>
          <w:szCs w:val="20"/>
        </w:rPr>
        <w:t xml:space="preserve">  </w:t>
      </w:r>
      <w:r>
        <w:rPr>
          <w:rFonts w:ascii="宋体" w:hAnsi="宋体" w:eastAsia="宋体" w:cs="宋体"/>
          <w:spacing w:val="6"/>
          <w:sz w:val="20"/>
          <w:szCs w:val="20"/>
        </w:rPr>
        <w:t>面的效果。</w:t>
      </w:r>
    </w:p>
    <w:p w14:paraId="7452FF4F">
      <w:pPr>
        <w:pStyle w:val="2"/>
        <w:spacing w:before="1" w:line="221" w:lineRule="auto"/>
        <w:ind w:left="1162"/>
        <w:rPr>
          <w:sz w:val="20"/>
          <w:szCs w:val="20"/>
        </w:rPr>
      </w:pPr>
      <w:r>
        <w:rPr>
          <w:b/>
          <w:bCs/>
          <w:spacing w:val="25"/>
          <w:sz w:val="20"/>
          <w:szCs w:val="20"/>
        </w:rPr>
        <w:t>(二)生态趋势研究</w:t>
      </w:r>
    </w:p>
    <w:p w14:paraId="510134E5">
      <w:pPr>
        <w:spacing w:before="130" w:line="336" w:lineRule="auto"/>
        <w:ind w:left="739" w:right="70" w:firstLine="420"/>
        <w:rPr>
          <w:rFonts w:ascii="宋体" w:hAnsi="宋体" w:eastAsia="宋体" w:cs="宋体"/>
          <w:sz w:val="20"/>
          <w:szCs w:val="20"/>
        </w:rPr>
      </w:pPr>
      <w:r>
        <w:rPr>
          <w:rFonts w:ascii="宋体" w:hAnsi="宋体" w:eastAsia="宋体" w:cs="宋体"/>
          <w:spacing w:val="9"/>
          <w:sz w:val="20"/>
          <w:szCs w:val="20"/>
        </w:rPr>
        <w:t>生态趋势研究</w:t>
      </w:r>
      <w:r>
        <w:rPr>
          <w:rFonts w:ascii="Times New Roman" w:hAnsi="Times New Roman" w:eastAsia="Times New Roman" w:cs="Times New Roman"/>
          <w:spacing w:val="9"/>
          <w:sz w:val="20"/>
          <w:szCs w:val="20"/>
        </w:rPr>
        <w:t>(</w:t>
      </w:r>
      <w:r>
        <w:rPr>
          <w:rFonts w:ascii="Times New Roman" w:hAnsi="Times New Roman" w:eastAsia="Times New Roman" w:cs="Times New Roman"/>
          <w:sz w:val="20"/>
          <w:szCs w:val="20"/>
        </w:rPr>
        <w:t>ecological</w:t>
      </w:r>
      <w:r>
        <w:rPr>
          <w:rFonts w:ascii="Times New Roman" w:hAnsi="Times New Roman" w:eastAsia="Times New Roman" w:cs="Times New Roman"/>
          <w:spacing w:val="18"/>
          <w:sz w:val="20"/>
          <w:szCs w:val="20"/>
        </w:rPr>
        <w:t xml:space="preserve">  </w:t>
      </w:r>
      <w:r>
        <w:rPr>
          <w:rFonts w:ascii="Times New Roman" w:hAnsi="Times New Roman" w:eastAsia="Times New Roman" w:cs="Times New Roman"/>
          <w:sz w:val="20"/>
          <w:szCs w:val="20"/>
        </w:rPr>
        <w:t>trend</w:t>
      </w:r>
      <w:r>
        <w:rPr>
          <w:rFonts w:ascii="Times New Roman" w:hAnsi="Times New Roman" w:eastAsia="Times New Roman" w:cs="Times New Roman"/>
          <w:spacing w:val="22"/>
          <w:sz w:val="20"/>
          <w:szCs w:val="20"/>
        </w:rPr>
        <w:t xml:space="preserve">  </w:t>
      </w:r>
      <w:r>
        <w:rPr>
          <w:rFonts w:ascii="Times New Roman" w:hAnsi="Times New Roman" w:eastAsia="Times New Roman" w:cs="Times New Roman"/>
          <w:sz w:val="20"/>
          <w:szCs w:val="20"/>
        </w:rPr>
        <w:t>study</w:t>
      </w:r>
      <w:r>
        <w:rPr>
          <w:rFonts w:ascii="Times New Roman" w:hAnsi="Times New Roman" w:eastAsia="Times New Roman" w:cs="Times New Roman"/>
          <w:spacing w:val="9"/>
          <w:sz w:val="20"/>
          <w:szCs w:val="20"/>
        </w:rPr>
        <w:t>)</w:t>
      </w:r>
      <w:r>
        <w:rPr>
          <w:rFonts w:ascii="宋体" w:hAnsi="宋体" w:eastAsia="宋体" w:cs="宋体"/>
          <w:spacing w:val="9"/>
          <w:sz w:val="20"/>
          <w:szCs w:val="20"/>
        </w:rPr>
        <w:t>是连续观察人群中某因素平均暴</w:t>
      </w:r>
      <w:r>
        <w:rPr>
          <w:rFonts w:ascii="宋体" w:hAnsi="宋体" w:eastAsia="宋体" w:cs="宋体"/>
          <w:spacing w:val="8"/>
          <w:sz w:val="20"/>
          <w:szCs w:val="20"/>
        </w:rPr>
        <w:t>露水平的改变与某种疾</w:t>
      </w:r>
      <w:r>
        <w:rPr>
          <w:rFonts w:ascii="宋体" w:hAnsi="宋体" w:eastAsia="宋体" w:cs="宋体"/>
          <w:sz w:val="20"/>
          <w:szCs w:val="20"/>
        </w:rPr>
        <w:t xml:space="preserve"> </w:t>
      </w:r>
      <w:r>
        <w:rPr>
          <w:rFonts w:ascii="宋体" w:hAnsi="宋体" w:eastAsia="宋体" w:cs="宋体"/>
          <w:spacing w:val="5"/>
          <w:sz w:val="20"/>
          <w:szCs w:val="20"/>
        </w:rPr>
        <w:t>病的发病率、死亡率变化的关系，了解其变动趋势；通过比</w:t>
      </w:r>
      <w:r>
        <w:rPr>
          <w:rFonts w:ascii="宋体" w:hAnsi="宋体" w:eastAsia="宋体" w:cs="宋体"/>
          <w:spacing w:val="4"/>
          <w:sz w:val="20"/>
          <w:szCs w:val="20"/>
        </w:rPr>
        <w:t>较暴露水平变化前后疾病频率的变化情</w:t>
      </w:r>
    </w:p>
    <w:p w14:paraId="13E37549">
      <w:pPr>
        <w:spacing w:line="336" w:lineRule="auto"/>
        <w:rPr>
          <w:rFonts w:ascii="宋体" w:hAnsi="宋体" w:eastAsia="宋体" w:cs="宋体"/>
          <w:sz w:val="20"/>
          <w:szCs w:val="20"/>
        </w:rPr>
        <w:sectPr>
          <w:footerReference r:id="rId76" w:type="default"/>
          <w:pgSz w:w="11900" w:h="16820"/>
          <w:pgMar w:top="400" w:right="1510" w:bottom="837" w:left="780" w:header="0" w:footer="656" w:gutter="0"/>
          <w:cols w:space="720" w:num="1"/>
        </w:sectPr>
      </w:pPr>
    </w:p>
    <w:p w14:paraId="02085D15">
      <w:pPr>
        <w:pStyle w:val="2"/>
        <w:spacing w:before="287" w:line="222" w:lineRule="auto"/>
        <w:ind w:left="7600"/>
        <w:rPr>
          <w:sz w:val="21"/>
          <w:szCs w:val="21"/>
        </w:rPr>
      </w:pPr>
      <w:r>
        <w:rPr>
          <w:spacing w:val="-21"/>
          <w:sz w:val="21"/>
          <w:szCs w:val="21"/>
        </w:rPr>
        <w:t>第三章 描述性研究</w:t>
      </w:r>
    </w:p>
    <w:p w14:paraId="2E12424B">
      <w:pPr>
        <w:spacing w:line="263" w:lineRule="auto"/>
        <w:rPr>
          <w:rFonts w:ascii="Arial"/>
          <w:sz w:val="21"/>
        </w:rPr>
      </w:pPr>
    </w:p>
    <w:p w14:paraId="251E7FB8">
      <w:pPr>
        <w:spacing w:line="264" w:lineRule="auto"/>
        <w:rPr>
          <w:rFonts w:ascii="Arial"/>
          <w:sz w:val="21"/>
        </w:rPr>
      </w:pPr>
    </w:p>
    <w:p w14:paraId="486AA40F">
      <w:pPr>
        <w:spacing w:before="68" w:line="317" w:lineRule="auto"/>
        <w:ind w:right="671"/>
        <w:jc w:val="both"/>
        <w:rPr>
          <w:rFonts w:ascii="宋体" w:hAnsi="宋体" w:eastAsia="宋体" w:cs="宋体"/>
          <w:sz w:val="21"/>
          <w:szCs w:val="21"/>
        </w:rPr>
      </w:pPr>
      <w:r>
        <w:rPr>
          <w:rFonts w:ascii="宋体" w:hAnsi="宋体" w:eastAsia="宋体" w:cs="宋体"/>
          <w:spacing w:val="1"/>
          <w:sz w:val="21"/>
          <w:szCs w:val="21"/>
        </w:rPr>
        <w:t>况，判断某因素与某疾病的联系。例如，</w:t>
      </w:r>
      <w:r>
        <w:rPr>
          <w:rFonts w:ascii="Times New Roman" w:hAnsi="Times New Roman" w:eastAsia="Times New Roman" w:cs="Times New Roman"/>
          <w:sz w:val="21"/>
          <w:szCs w:val="21"/>
        </w:rPr>
        <w:t>WHO</w:t>
      </w:r>
      <w:r>
        <w:rPr>
          <w:rFonts w:ascii="Times New Roman" w:hAnsi="Times New Roman" w:eastAsia="Times New Roman" w:cs="Times New Roman"/>
          <w:spacing w:val="1"/>
          <w:sz w:val="21"/>
          <w:szCs w:val="21"/>
        </w:rPr>
        <w:t xml:space="preserve"> </w:t>
      </w:r>
      <w:r>
        <w:rPr>
          <w:rFonts w:ascii="宋体" w:hAnsi="宋体" w:eastAsia="宋体" w:cs="宋体"/>
          <w:spacing w:val="1"/>
          <w:sz w:val="21"/>
          <w:szCs w:val="21"/>
        </w:rPr>
        <w:t>的</w:t>
      </w:r>
      <w:r>
        <w:rPr>
          <w:rFonts w:ascii="宋体" w:hAnsi="宋体" w:eastAsia="宋体" w:cs="宋体"/>
          <w:spacing w:val="-29"/>
          <w:sz w:val="21"/>
          <w:szCs w:val="21"/>
        </w:rPr>
        <w:t xml:space="preserve"> </w:t>
      </w:r>
      <w:r>
        <w:rPr>
          <w:rFonts w:ascii="Times New Roman" w:hAnsi="Times New Roman" w:eastAsia="Times New Roman" w:cs="Times New Roman"/>
          <w:sz w:val="21"/>
          <w:szCs w:val="21"/>
        </w:rPr>
        <w:t>MONICA</w:t>
      </w:r>
      <w:r>
        <w:rPr>
          <w:rFonts w:ascii="宋体" w:hAnsi="宋体" w:eastAsia="宋体" w:cs="宋体"/>
          <w:spacing w:val="1"/>
          <w:sz w:val="21"/>
          <w:szCs w:val="21"/>
        </w:rPr>
        <w:t>方案(多国心血管疾病危险因素及其趋势</w:t>
      </w:r>
      <w:r>
        <w:rPr>
          <w:rFonts w:ascii="宋体" w:hAnsi="宋体" w:eastAsia="宋体" w:cs="宋体"/>
          <w:sz w:val="21"/>
          <w:szCs w:val="21"/>
        </w:rPr>
        <w:t xml:space="preserve"> </w:t>
      </w:r>
      <w:r>
        <w:rPr>
          <w:rFonts w:ascii="宋体" w:hAnsi="宋体" w:eastAsia="宋体" w:cs="宋体"/>
          <w:spacing w:val="1"/>
          <w:sz w:val="21"/>
          <w:szCs w:val="21"/>
        </w:rPr>
        <w:t>监测)实施结果发现，人群的吸烟率、血压平均水平、血清胆固醇水平等的变化与心血管疾病的发病</w:t>
      </w:r>
      <w:r>
        <w:rPr>
          <w:rFonts w:ascii="宋体" w:hAnsi="宋体" w:eastAsia="宋体" w:cs="宋体"/>
          <w:spacing w:val="4"/>
          <w:sz w:val="21"/>
          <w:szCs w:val="21"/>
        </w:rPr>
        <w:t xml:space="preserve"> </w:t>
      </w:r>
      <w:r>
        <w:rPr>
          <w:rFonts w:ascii="宋体" w:hAnsi="宋体" w:eastAsia="宋体" w:cs="宋体"/>
          <w:spacing w:val="9"/>
          <w:sz w:val="21"/>
          <w:szCs w:val="21"/>
        </w:rPr>
        <w:t>率和死亡率的变化有显著的相关关系。又如，我国</w:t>
      </w:r>
      <w:r>
        <w:rPr>
          <w:rFonts w:ascii="宋体" w:hAnsi="宋体" w:eastAsia="宋体" w:cs="宋体"/>
          <w:spacing w:val="8"/>
          <w:sz w:val="21"/>
          <w:szCs w:val="21"/>
        </w:rPr>
        <w:t>某胃癌高发区在实施了清除幽门螺杆菌治疗等</w:t>
      </w:r>
      <w:r>
        <w:rPr>
          <w:rFonts w:ascii="宋体" w:hAnsi="宋体" w:eastAsia="宋体" w:cs="宋体"/>
          <w:sz w:val="21"/>
          <w:szCs w:val="21"/>
        </w:rPr>
        <w:t xml:space="preserve"> </w:t>
      </w:r>
      <w:r>
        <w:rPr>
          <w:rFonts w:ascii="宋体" w:hAnsi="宋体" w:eastAsia="宋体" w:cs="宋体"/>
          <w:spacing w:val="3"/>
          <w:sz w:val="21"/>
          <w:szCs w:val="21"/>
        </w:rPr>
        <w:t>综合防治措施后，10余年的胃癌发病率和死亡率曲线均有明显的下降趋势，提示这一综合措施在降</w:t>
      </w:r>
      <w:r>
        <w:rPr>
          <w:rFonts w:ascii="宋体" w:hAnsi="宋体" w:eastAsia="宋体" w:cs="宋体"/>
          <w:spacing w:val="17"/>
          <w:sz w:val="21"/>
          <w:szCs w:val="21"/>
        </w:rPr>
        <w:t xml:space="preserve"> </w:t>
      </w:r>
      <w:r>
        <w:rPr>
          <w:rFonts w:ascii="宋体" w:hAnsi="宋体" w:eastAsia="宋体" w:cs="宋体"/>
          <w:spacing w:val="5"/>
          <w:sz w:val="21"/>
          <w:szCs w:val="21"/>
        </w:rPr>
        <w:t>低胃癌发病率和死亡率方面是有效的。</w:t>
      </w:r>
    </w:p>
    <w:p w14:paraId="215BC81A">
      <w:pPr>
        <w:spacing w:before="55" w:line="317" w:lineRule="auto"/>
        <w:ind w:right="676" w:firstLine="430"/>
        <w:jc w:val="both"/>
        <w:rPr>
          <w:rFonts w:ascii="宋体" w:hAnsi="宋体" w:eastAsia="宋体" w:cs="宋体"/>
          <w:sz w:val="21"/>
          <w:szCs w:val="21"/>
        </w:rPr>
      </w:pPr>
      <w:r>
        <w:rPr>
          <w:rFonts w:ascii="宋体" w:hAnsi="宋体" w:eastAsia="宋体" w:cs="宋体"/>
          <w:spacing w:val="9"/>
          <w:sz w:val="21"/>
          <w:szCs w:val="21"/>
        </w:rPr>
        <w:t>生态学研究在实施中也常常将上述比较研究与趋势研究混合</w:t>
      </w:r>
      <w:r>
        <w:rPr>
          <w:rFonts w:ascii="宋体" w:hAnsi="宋体" w:eastAsia="宋体" w:cs="宋体"/>
          <w:spacing w:val="8"/>
          <w:sz w:val="21"/>
          <w:szCs w:val="21"/>
        </w:rPr>
        <w:t>使用。生态学研究资料不需要特</w:t>
      </w:r>
      <w:r>
        <w:rPr>
          <w:rFonts w:ascii="宋体" w:hAnsi="宋体" w:eastAsia="宋体" w:cs="宋体"/>
          <w:sz w:val="21"/>
          <w:szCs w:val="21"/>
        </w:rPr>
        <w:t xml:space="preserve"> </w:t>
      </w:r>
      <w:r>
        <w:rPr>
          <w:rFonts w:ascii="宋体" w:hAnsi="宋体" w:eastAsia="宋体" w:cs="宋体"/>
          <w:spacing w:val="8"/>
          <w:sz w:val="21"/>
          <w:szCs w:val="21"/>
        </w:rPr>
        <w:t>别的分析方法，可以将各群体(组)的研究因素的平均暴露水平与疾病频率之间作相关分析；也可</w:t>
      </w:r>
      <w:r>
        <w:rPr>
          <w:rFonts w:ascii="宋体" w:hAnsi="宋体" w:eastAsia="宋体" w:cs="宋体"/>
          <w:spacing w:val="13"/>
          <w:sz w:val="21"/>
          <w:szCs w:val="21"/>
        </w:rPr>
        <w:t xml:space="preserve"> </w:t>
      </w:r>
      <w:r>
        <w:rPr>
          <w:rFonts w:ascii="宋体" w:hAnsi="宋体" w:eastAsia="宋体" w:cs="宋体"/>
          <w:spacing w:val="3"/>
          <w:sz w:val="21"/>
          <w:szCs w:val="21"/>
        </w:rPr>
        <w:t>以以各群体(组)的暴露作为自变量，以疾病的频率作为因变量，进行回归分析。由于在生态学研究</w:t>
      </w:r>
      <w:r>
        <w:rPr>
          <w:rFonts w:ascii="宋体" w:hAnsi="宋体" w:eastAsia="宋体" w:cs="宋体"/>
          <w:spacing w:val="18"/>
          <w:sz w:val="21"/>
          <w:szCs w:val="21"/>
        </w:rPr>
        <w:t xml:space="preserve"> </w:t>
      </w:r>
      <w:r>
        <w:rPr>
          <w:rFonts w:ascii="宋体" w:hAnsi="宋体" w:eastAsia="宋体" w:cs="宋体"/>
          <w:spacing w:val="3"/>
          <w:sz w:val="21"/>
          <w:szCs w:val="21"/>
        </w:rPr>
        <w:t>中，一般可获得疾病的发病率，故在生态学研究资料分析中也可引人相对危险度、人群归因危险度</w:t>
      </w:r>
      <w:r>
        <w:rPr>
          <w:rFonts w:ascii="宋体" w:hAnsi="宋体" w:eastAsia="宋体" w:cs="宋体"/>
          <w:spacing w:val="2"/>
          <w:sz w:val="21"/>
          <w:szCs w:val="21"/>
        </w:rPr>
        <w:t xml:space="preserve"> </w:t>
      </w:r>
      <w:r>
        <w:rPr>
          <w:rFonts w:ascii="宋体" w:hAnsi="宋体" w:eastAsia="宋体" w:cs="宋体"/>
          <w:spacing w:val="-1"/>
          <w:sz w:val="21"/>
          <w:szCs w:val="21"/>
        </w:rPr>
        <w:t>等评价指标来进行分析(指标含义和计算方法详见第四章“队列研究”)。</w:t>
      </w:r>
    </w:p>
    <w:p w14:paraId="026BBC98">
      <w:pPr>
        <w:pStyle w:val="2"/>
        <w:spacing w:before="217" w:line="223" w:lineRule="auto"/>
        <w:ind w:left="433"/>
        <w:outlineLvl w:val="2"/>
        <w:rPr>
          <w:sz w:val="25"/>
          <w:szCs w:val="25"/>
        </w:rPr>
      </w:pPr>
      <w:bookmarkStart w:id="85" w:name="bookmark48"/>
      <w:bookmarkEnd w:id="85"/>
      <w:r>
        <w:rPr>
          <w:b/>
          <w:bCs/>
          <w:spacing w:val="-2"/>
          <w:sz w:val="25"/>
          <w:szCs w:val="25"/>
        </w:rPr>
        <w:t>三</w:t>
      </w:r>
      <w:r>
        <w:rPr>
          <w:spacing w:val="-34"/>
          <w:sz w:val="25"/>
          <w:szCs w:val="25"/>
        </w:rPr>
        <w:t xml:space="preserve"> </w:t>
      </w:r>
      <w:r>
        <w:rPr>
          <w:b/>
          <w:bCs/>
          <w:spacing w:val="-2"/>
          <w:sz w:val="25"/>
          <w:szCs w:val="25"/>
        </w:rPr>
        <w:t>、优点和局限性</w:t>
      </w:r>
    </w:p>
    <w:p w14:paraId="48BA6569">
      <w:pPr>
        <w:pStyle w:val="2"/>
        <w:spacing w:before="218" w:line="223" w:lineRule="auto"/>
        <w:ind w:left="433"/>
        <w:rPr>
          <w:sz w:val="25"/>
          <w:szCs w:val="25"/>
        </w:rPr>
      </w:pPr>
      <w:r>
        <w:rPr>
          <w:b/>
          <w:bCs/>
          <w:spacing w:val="6"/>
          <w:sz w:val="25"/>
          <w:szCs w:val="25"/>
        </w:rPr>
        <w:t>(一)优点</w:t>
      </w:r>
    </w:p>
    <w:p w14:paraId="5F37E713">
      <w:pPr>
        <w:spacing w:before="107" w:line="264" w:lineRule="auto"/>
        <w:ind w:right="676" w:firstLine="430"/>
        <w:rPr>
          <w:rFonts w:ascii="宋体" w:hAnsi="宋体" w:eastAsia="宋体" w:cs="宋体"/>
          <w:sz w:val="21"/>
          <w:szCs w:val="21"/>
        </w:rPr>
      </w:pPr>
      <w:r>
        <w:rPr>
          <w:rFonts w:ascii="宋体" w:hAnsi="宋体" w:eastAsia="宋体" w:cs="宋体"/>
          <w:spacing w:val="7"/>
          <w:sz w:val="21"/>
          <w:szCs w:val="21"/>
        </w:rPr>
        <w:t>1.</w:t>
      </w:r>
      <w:r>
        <w:rPr>
          <w:rFonts w:ascii="宋体" w:hAnsi="宋体" w:eastAsia="宋体" w:cs="宋体"/>
          <w:spacing w:val="-31"/>
          <w:sz w:val="21"/>
          <w:szCs w:val="21"/>
        </w:rPr>
        <w:t xml:space="preserve"> </w:t>
      </w:r>
      <w:r>
        <w:rPr>
          <w:rFonts w:ascii="宋体" w:hAnsi="宋体" w:eastAsia="宋体" w:cs="宋体"/>
          <w:spacing w:val="7"/>
          <w:sz w:val="21"/>
          <w:szCs w:val="21"/>
        </w:rPr>
        <w:t>生态学研究常可应用常规资料或现成资料(如数</w:t>
      </w:r>
      <w:r>
        <w:rPr>
          <w:rFonts w:ascii="宋体" w:hAnsi="宋体" w:eastAsia="宋体" w:cs="宋体"/>
          <w:spacing w:val="6"/>
          <w:sz w:val="21"/>
          <w:szCs w:val="21"/>
        </w:rPr>
        <w:t>据库)进行研究，因而节省时间、人力和物</w:t>
      </w:r>
      <w:r>
        <w:rPr>
          <w:rFonts w:ascii="宋体" w:hAnsi="宋体" w:eastAsia="宋体" w:cs="宋体"/>
          <w:sz w:val="21"/>
          <w:szCs w:val="21"/>
        </w:rPr>
        <w:t xml:space="preserve"> </w:t>
      </w:r>
      <w:r>
        <w:rPr>
          <w:rFonts w:ascii="宋体" w:hAnsi="宋体" w:eastAsia="宋体" w:cs="宋体"/>
          <w:spacing w:val="-2"/>
          <w:sz w:val="21"/>
          <w:szCs w:val="21"/>
        </w:rPr>
        <w:t>力，可以较快得到结果。</w:t>
      </w:r>
    </w:p>
    <w:p w14:paraId="37A8875A">
      <w:pPr>
        <w:spacing w:before="110" w:line="219" w:lineRule="auto"/>
        <w:ind w:left="430"/>
        <w:rPr>
          <w:rFonts w:ascii="宋体" w:hAnsi="宋体" w:eastAsia="宋体" w:cs="宋体"/>
          <w:sz w:val="21"/>
          <w:szCs w:val="21"/>
        </w:rPr>
      </w:pPr>
      <w:r>
        <w:rPr>
          <w:rFonts w:ascii="宋体" w:hAnsi="宋体" w:eastAsia="宋体" w:cs="宋体"/>
          <w:spacing w:val="4"/>
          <w:sz w:val="21"/>
          <w:szCs w:val="21"/>
        </w:rPr>
        <w:t>2.</w:t>
      </w:r>
      <w:r>
        <w:rPr>
          <w:rFonts w:ascii="宋体" w:hAnsi="宋体" w:eastAsia="宋体" w:cs="宋体"/>
          <w:spacing w:val="-39"/>
          <w:sz w:val="21"/>
          <w:szCs w:val="21"/>
        </w:rPr>
        <w:t xml:space="preserve"> </w:t>
      </w:r>
      <w:r>
        <w:rPr>
          <w:rFonts w:ascii="宋体" w:hAnsi="宋体" w:eastAsia="宋体" w:cs="宋体"/>
          <w:spacing w:val="4"/>
          <w:sz w:val="21"/>
          <w:szCs w:val="21"/>
        </w:rPr>
        <w:t>生态学研究对病因未明的疾病可提供病因线索供深入研究，这是生态学研究最显著的特点。</w:t>
      </w:r>
    </w:p>
    <w:p w14:paraId="0FACD571">
      <w:pPr>
        <w:spacing w:before="141" w:line="278" w:lineRule="auto"/>
        <w:ind w:right="655" w:firstLine="430"/>
        <w:rPr>
          <w:rFonts w:ascii="宋体" w:hAnsi="宋体" w:eastAsia="宋体" w:cs="宋体"/>
          <w:sz w:val="21"/>
          <w:szCs w:val="21"/>
        </w:rPr>
      </w:pPr>
      <w:r>
        <w:rPr>
          <w:rFonts w:ascii="宋体" w:hAnsi="宋体" w:eastAsia="宋体" w:cs="宋体"/>
          <w:spacing w:val="3"/>
          <w:sz w:val="21"/>
          <w:szCs w:val="21"/>
        </w:rPr>
        <w:t>3.</w:t>
      </w:r>
      <w:r>
        <w:rPr>
          <w:rFonts w:ascii="宋体" w:hAnsi="宋体" w:eastAsia="宋体" w:cs="宋体"/>
          <w:spacing w:val="-52"/>
          <w:sz w:val="21"/>
          <w:szCs w:val="21"/>
        </w:rPr>
        <w:t xml:space="preserve"> </w:t>
      </w:r>
      <w:r>
        <w:rPr>
          <w:rFonts w:ascii="宋体" w:hAnsi="宋体" w:eastAsia="宋体" w:cs="宋体"/>
          <w:spacing w:val="3"/>
          <w:sz w:val="21"/>
          <w:szCs w:val="21"/>
        </w:rPr>
        <w:t>对于个体的暴露剂量无法测量的情况，生态学研究</w:t>
      </w:r>
      <w:r>
        <w:rPr>
          <w:rFonts w:ascii="宋体" w:hAnsi="宋体" w:eastAsia="宋体" w:cs="宋体"/>
          <w:spacing w:val="2"/>
          <w:sz w:val="21"/>
          <w:szCs w:val="21"/>
        </w:rPr>
        <w:t>是唯一可供选择的研究方法。例如，关于</w:t>
      </w:r>
      <w:r>
        <w:rPr>
          <w:rFonts w:ascii="宋体" w:hAnsi="宋体" w:eastAsia="宋体" w:cs="宋体"/>
          <w:sz w:val="21"/>
          <w:szCs w:val="21"/>
        </w:rPr>
        <w:t xml:space="preserve"> </w:t>
      </w:r>
      <w:r>
        <w:rPr>
          <w:rFonts w:ascii="宋体" w:hAnsi="宋体" w:eastAsia="宋体" w:cs="宋体"/>
          <w:spacing w:val="4"/>
          <w:sz w:val="21"/>
          <w:szCs w:val="21"/>
        </w:rPr>
        <w:t>空气污染与肺癌的关系，由于个体的暴露剂量目前尚无有效的方法测量，故一般只能采用</w:t>
      </w:r>
      <w:r>
        <w:rPr>
          <w:rFonts w:ascii="宋体" w:hAnsi="宋体" w:eastAsia="宋体" w:cs="宋体"/>
          <w:spacing w:val="3"/>
          <w:sz w:val="21"/>
          <w:szCs w:val="21"/>
        </w:rPr>
        <w:t>生态学研</w:t>
      </w:r>
      <w:r>
        <w:rPr>
          <w:rFonts w:ascii="宋体" w:hAnsi="宋体" w:eastAsia="宋体" w:cs="宋体"/>
          <w:sz w:val="21"/>
          <w:szCs w:val="21"/>
        </w:rPr>
        <w:t xml:space="preserve"> </w:t>
      </w:r>
      <w:r>
        <w:rPr>
          <w:rFonts w:ascii="宋体" w:hAnsi="宋体" w:eastAsia="宋体" w:cs="宋体"/>
          <w:spacing w:val="8"/>
          <w:sz w:val="21"/>
          <w:szCs w:val="21"/>
        </w:rPr>
        <w:t>究方法。</w:t>
      </w:r>
    </w:p>
    <w:p w14:paraId="6B43261A">
      <w:pPr>
        <w:spacing w:before="150" w:line="268" w:lineRule="auto"/>
        <w:ind w:right="657" w:firstLine="430"/>
        <w:rPr>
          <w:rFonts w:ascii="宋体" w:hAnsi="宋体" w:eastAsia="宋体" w:cs="宋体"/>
          <w:sz w:val="21"/>
          <w:szCs w:val="21"/>
        </w:rPr>
      </w:pPr>
      <w:r>
        <w:rPr>
          <w:rFonts w:ascii="宋体" w:hAnsi="宋体" w:eastAsia="宋体" w:cs="宋体"/>
          <w:spacing w:val="7"/>
          <w:sz w:val="21"/>
          <w:szCs w:val="21"/>
        </w:rPr>
        <w:t>4.</w:t>
      </w:r>
      <w:r>
        <w:rPr>
          <w:rFonts w:ascii="宋体" w:hAnsi="宋体" w:eastAsia="宋体" w:cs="宋体"/>
          <w:spacing w:val="-24"/>
          <w:sz w:val="21"/>
          <w:szCs w:val="21"/>
        </w:rPr>
        <w:t xml:space="preserve"> </w:t>
      </w:r>
      <w:r>
        <w:rPr>
          <w:rFonts w:ascii="宋体" w:hAnsi="宋体" w:eastAsia="宋体" w:cs="宋体"/>
          <w:spacing w:val="7"/>
          <w:sz w:val="21"/>
          <w:szCs w:val="21"/>
        </w:rPr>
        <w:t>当研究的暴露因素在一个人群中变异范围很小时，很难测量其与疾病的关系。在这种情况</w:t>
      </w:r>
      <w:r>
        <w:rPr>
          <w:rFonts w:ascii="宋体" w:hAnsi="宋体" w:eastAsia="宋体" w:cs="宋体"/>
          <w:sz w:val="21"/>
          <w:szCs w:val="21"/>
        </w:rPr>
        <w:t xml:space="preserve"> </w:t>
      </w:r>
      <w:r>
        <w:rPr>
          <w:rFonts w:ascii="宋体" w:hAnsi="宋体" w:eastAsia="宋体" w:cs="宋体"/>
          <w:spacing w:val="1"/>
          <w:sz w:val="21"/>
          <w:szCs w:val="21"/>
        </w:rPr>
        <w:t>下，更适合采用多个人群比较的生态学研究，如饮食结构与若干癌症的关系研究等。</w:t>
      </w:r>
    </w:p>
    <w:p w14:paraId="5BCDF470">
      <w:pPr>
        <w:pStyle w:val="2"/>
        <w:spacing w:before="91" w:line="223" w:lineRule="auto"/>
        <w:ind w:left="433"/>
        <w:rPr>
          <w:sz w:val="25"/>
          <w:szCs w:val="25"/>
        </w:rPr>
      </w:pPr>
      <w:r>
        <w:rPr>
          <w:b/>
          <w:bCs/>
          <w:spacing w:val="-2"/>
          <w:sz w:val="25"/>
          <w:szCs w:val="25"/>
        </w:rPr>
        <w:t>(二)局限性</w:t>
      </w:r>
    </w:p>
    <w:p w14:paraId="4F506B21">
      <w:pPr>
        <w:pStyle w:val="2"/>
        <w:spacing w:before="89" w:line="319" w:lineRule="auto"/>
        <w:ind w:right="582" w:firstLine="430"/>
        <w:jc w:val="both"/>
        <w:rPr>
          <w:rFonts w:ascii="宋体" w:hAnsi="宋体" w:eastAsia="宋体" w:cs="宋体"/>
          <w:sz w:val="21"/>
          <w:szCs w:val="21"/>
        </w:rPr>
      </w:pPr>
      <w:r>
        <w:rPr>
          <w:rFonts w:ascii="Times New Roman" w:hAnsi="Times New Roman" w:eastAsia="Times New Roman" w:cs="Times New Roman"/>
          <w:spacing w:val="7"/>
          <w:sz w:val="21"/>
          <w:szCs w:val="21"/>
        </w:rPr>
        <w:t>1.</w:t>
      </w:r>
      <w:r>
        <w:rPr>
          <w:rFonts w:ascii="Times New Roman" w:hAnsi="Times New Roman" w:eastAsia="Times New Roman" w:cs="Times New Roman"/>
          <w:spacing w:val="21"/>
          <w:sz w:val="21"/>
          <w:szCs w:val="21"/>
        </w:rPr>
        <w:t xml:space="preserve">  </w:t>
      </w:r>
      <w:r>
        <w:rPr>
          <w:rFonts w:ascii="宋体" w:hAnsi="宋体" w:eastAsia="宋体" w:cs="宋体"/>
          <w:spacing w:val="7"/>
          <w:sz w:val="21"/>
          <w:szCs w:val="21"/>
        </w:rPr>
        <w:t>生态学谬误</w:t>
      </w:r>
      <w:r>
        <w:rPr>
          <w:spacing w:val="7"/>
          <w:sz w:val="21"/>
          <w:szCs w:val="21"/>
        </w:rPr>
        <w:t>(</w:t>
      </w:r>
      <w:r>
        <w:rPr>
          <w:sz w:val="21"/>
          <w:szCs w:val="21"/>
        </w:rPr>
        <w:t>e</w:t>
      </w:r>
      <w:r>
        <w:rPr>
          <w:rFonts w:ascii="Times New Roman" w:hAnsi="Times New Roman" w:eastAsia="Times New Roman" w:cs="Times New Roman"/>
          <w:sz w:val="21"/>
          <w:szCs w:val="21"/>
        </w:rPr>
        <w:t>cological</w:t>
      </w:r>
      <w:r>
        <w:rPr>
          <w:rFonts w:ascii="Times New Roman" w:hAnsi="Times New Roman" w:eastAsia="Times New Roman" w:cs="Times New Roman"/>
          <w:spacing w:val="16"/>
          <w:w w:val="101"/>
          <w:sz w:val="21"/>
          <w:szCs w:val="21"/>
        </w:rPr>
        <w:t xml:space="preserve">  </w:t>
      </w:r>
      <w:r>
        <w:rPr>
          <w:rFonts w:ascii="Times New Roman" w:hAnsi="Times New Roman" w:eastAsia="Times New Roman" w:cs="Times New Roman"/>
          <w:sz w:val="21"/>
          <w:szCs w:val="21"/>
        </w:rPr>
        <w:t>fallacy</w:t>
      </w:r>
      <w:r>
        <w:rPr>
          <w:rFonts w:ascii="Times New Roman" w:hAnsi="Times New Roman" w:eastAsia="Times New Roman" w:cs="Times New Roman"/>
          <w:spacing w:val="7"/>
          <w:sz w:val="21"/>
          <w:szCs w:val="21"/>
        </w:rPr>
        <w:t>)</w:t>
      </w:r>
      <w:r>
        <w:rPr>
          <w:rFonts w:ascii="Times New Roman" w:hAnsi="Times New Roman" w:eastAsia="Times New Roman" w:cs="Times New Roman"/>
          <w:spacing w:val="23"/>
          <w:sz w:val="21"/>
          <w:szCs w:val="21"/>
        </w:rPr>
        <w:t xml:space="preserve">  </w:t>
      </w:r>
      <w:r>
        <w:rPr>
          <w:rFonts w:ascii="宋体" w:hAnsi="宋体" w:eastAsia="宋体" w:cs="宋体"/>
          <w:spacing w:val="7"/>
          <w:sz w:val="21"/>
          <w:szCs w:val="21"/>
        </w:rPr>
        <w:t>生态学谬误是生态学研究中最主要的局限性。它</w:t>
      </w:r>
      <w:r>
        <w:rPr>
          <w:rFonts w:ascii="宋体" w:hAnsi="宋体" w:eastAsia="宋体" w:cs="宋体"/>
          <w:spacing w:val="6"/>
          <w:sz w:val="21"/>
          <w:szCs w:val="21"/>
        </w:rPr>
        <w:t>是由于生</w:t>
      </w:r>
      <w:r>
        <w:rPr>
          <w:rFonts w:ascii="宋体" w:hAnsi="宋体" w:eastAsia="宋体" w:cs="宋体"/>
          <w:sz w:val="21"/>
          <w:szCs w:val="21"/>
        </w:rPr>
        <w:t xml:space="preserve">  </w:t>
      </w:r>
      <w:r>
        <w:rPr>
          <w:rFonts w:ascii="宋体" w:hAnsi="宋体" w:eastAsia="宋体" w:cs="宋体"/>
          <w:spacing w:val="4"/>
          <w:sz w:val="21"/>
          <w:szCs w:val="21"/>
        </w:rPr>
        <w:t>态学研究以各个不同情况的个体“集合”而成的群体(组)为观</w:t>
      </w:r>
      <w:r>
        <w:rPr>
          <w:rFonts w:ascii="宋体" w:hAnsi="宋体" w:eastAsia="宋体" w:cs="宋体"/>
          <w:spacing w:val="3"/>
          <w:sz w:val="21"/>
          <w:szCs w:val="21"/>
        </w:rPr>
        <w:t>察和分析的单位，以及存在的混杂因</w:t>
      </w:r>
      <w:r>
        <w:rPr>
          <w:rFonts w:ascii="宋体" w:hAnsi="宋体" w:eastAsia="宋体" w:cs="宋体"/>
          <w:sz w:val="21"/>
          <w:szCs w:val="21"/>
        </w:rPr>
        <w:t xml:space="preserve"> </w:t>
      </w:r>
      <w:r>
        <w:rPr>
          <w:rFonts w:ascii="宋体" w:hAnsi="宋体" w:eastAsia="宋体" w:cs="宋体"/>
          <w:spacing w:val="9"/>
          <w:sz w:val="21"/>
          <w:szCs w:val="21"/>
        </w:rPr>
        <w:t>素等原因而造成研究结果与真实情况不符。例如，前述关于食物消耗种类和数量与胃癌和乳腺癌</w:t>
      </w:r>
      <w:r>
        <w:rPr>
          <w:rFonts w:ascii="宋体" w:hAnsi="宋体" w:eastAsia="宋体" w:cs="宋体"/>
          <w:spacing w:val="3"/>
          <w:sz w:val="21"/>
          <w:szCs w:val="21"/>
        </w:rPr>
        <w:t xml:space="preserve"> 死亡率的生态学研究中，各个国家的淀粉类、脂肪类食物的消耗量并不等于实际摄入量，如果在群</w:t>
      </w:r>
      <w:r>
        <w:rPr>
          <w:rFonts w:ascii="宋体" w:hAnsi="宋体" w:eastAsia="宋体" w:cs="宋体"/>
          <w:spacing w:val="9"/>
          <w:sz w:val="21"/>
          <w:szCs w:val="21"/>
        </w:rPr>
        <w:t xml:space="preserve">  </w:t>
      </w:r>
      <w:r>
        <w:rPr>
          <w:rFonts w:ascii="宋体" w:hAnsi="宋体" w:eastAsia="宋体" w:cs="宋体"/>
          <w:spacing w:val="4"/>
          <w:sz w:val="21"/>
          <w:szCs w:val="21"/>
        </w:rPr>
        <w:t>体水平上分析食物种类消耗量与乳腺癌、胃癌的关系，由此推论为“不同种类食物的消耗</w:t>
      </w:r>
      <w:r>
        <w:rPr>
          <w:rFonts w:ascii="宋体" w:hAnsi="宋体" w:eastAsia="宋体" w:cs="宋体"/>
          <w:spacing w:val="3"/>
          <w:sz w:val="21"/>
          <w:szCs w:val="21"/>
        </w:rPr>
        <w:t>量不同会</w:t>
      </w:r>
      <w:r>
        <w:rPr>
          <w:rFonts w:ascii="宋体" w:hAnsi="宋体" w:eastAsia="宋体" w:cs="宋体"/>
          <w:sz w:val="21"/>
          <w:szCs w:val="21"/>
        </w:rPr>
        <w:t xml:space="preserve"> </w:t>
      </w:r>
      <w:r>
        <w:rPr>
          <w:rFonts w:ascii="宋体" w:hAnsi="宋体" w:eastAsia="宋体" w:cs="宋体"/>
          <w:spacing w:val="6"/>
          <w:sz w:val="21"/>
          <w:szCs w:val="21"/>
        </w:rPr>
        <w:t>影响个体发生这两类恶性肿瘤的发病或死亡的概率”,就可能会出现生态学谬误。生</w:t>
      </w:r>
      <w:r>
        <w:rPr>
          <w:rFonts w:ascii="宋体" w:hAnsi="宋体" w:eastAsia="宋体" w:cs="宋体"/>
          <w:spacing w:val="5"/>
          <w:sz w:val="21"/>
          <w:szCs w:val="21"/>
        </w:rPr>
        <w:t>态学研究提示</w:t>
      </w:r>
      <w:r>
        <w:rPr>
          <w:rFonts w:ascii="宋体" w:hAnsi="宋体" w:eastAsia="宋体" w:cs="宋体"/>
          <w:sz w:val="21"/>
          <w:szCs w:val="21"/>
        </w:rPr>
        <w:t xml:space="preserve">  </w:t>
      </w:r>
      <w:r>
        <w:rPr>
          <w:rFonts w:ascii="宋体" w:hAnsi="宋体" w:eastAsia="宋体" w:cs="宋体"/>
          <w:spacing w:val="6"/>
          <w:sz w:val="21"/>
          <w:szCs w:val="21"/>
        </w:rPr>
        <w:t>的病因线索既可能是疾病(或其他卫生事件)与某因素</w:t>
      </w:r>
      <w:r>
        <w:rPr>
          <w:rFonts w:ascii="宋体" w:hAnsi="宋体" w:eastAsia="宋体" w:cs="宋体"/>
          <w:spacing w:val="5"/>
          <w:sz w:val="21"/>
          <w:szCs w:val="21"/>
        </w:rPr>
        <w:t>之间真实的因果联系，也可能两者毫无关系，</w:t>
      </w:r>
      <w:r>
        <w:rPr>
          <w:rFonts w:ascii="宋体" w:hAnsi="宋体" w:eastAsia="宋体" w:cs="宋体"/>
          <w:sz w:val="21"/>
          <w:szCs w:val="21"/>
        </w:rPr>
        <w:t xml:space="preserve"> </w:t>
      </w:r>
      <w:r>
        <w:rPr>
          <w:rFonts w:ascii="宋体" w:hAnsi="宋体" w:eastAsia="宋体" w:cs="宋体"/>
          <w:spacing w:val="9"/>
          <w:sz w:val="21"/>
          <w:szCs w:val="21"/>
        </w:rPr>
        <w:t>是一种虚假关联。在群体水平上发现的某因素与某</w:t>
      </w:r>
      <w:r>
        <w:rPr>
          <w:rFonts w:ascii="宋体" w:hAnsi="宋体" w:eastAsia="宋体" w:cs="宋体"/>
          <w:spacing w:val="8"/>
          <w:sz w:val="21"/>
          <w:szCs w:val="21"/>
        </w:rPr>
        <w:t>疾病分布上的一致性与该人群中个体的真实情</w:t>
      </w:r>
      <w:r>
        <w:rPr>
          <w:rFonts w:ascii="宋体" w:hAnsi="宋体" w:eastAsia="宋体" w:cs="宋体"/>
          <w:sz w:val="21"/>
          <w:szCs w:val="21"/>
        </w:rPr>
        <w:t xml:space="preserve">  </w:t>
      </w:r>
      <w:r>
        <w:rPr>
          <w:rFonts w:ascii="宋体" w:hAnsi="宋体" w:eastAsia="宋体" w:cs="宋体"/>
          <w:spacing w:val="-5"/>
          <w:sz w:val="21"/>
          <w:szCs w:val="21"/>
        </w:rPr>
        <w:t>况不符时，就发生了“生态学谬误”。因而，对生态学研究的结果作结论时应慎重。</w:t>
      </w:r>
    </w:p>
    <w:p w14:paraId="3F1A520A">
      <w:pPr>
        <w:spacing w:before="31" w:line="318" w:lineRule="auto"/>
        <w:ind w:right="582" w:firstLine="430"/>
        <w:jc w:val="both"/>
        <w:rPr>
          <w:rFonts w:ascii="宋体" w:hAnsi="宋体" w:eastAsia="宋体" w:cs="宋体"/>
          <w:sz w:val="21"/>
          <w:szCs w:val="21"/>
        </w:rPr>
      </w:pPr>
      <w:r>
        <w:rPr>
          <w:rFonts w:ascii="宋体" w:hAnsi="宋体" w:eastAsia="宋体" w:cs="宋体"/>
          <w:spacing w:val="8"/>
          <w:sz w:val="21"/>
          <w:szCs w:val="21"/>
        </w:rPr>
        <w:t>生态学谬误的产生主要有以下两方面原因：①缺乏暴露与结局联合分布的资料。研究者只知</w:t>
      </w:r>
      <w:r>
        <w:rPr>
          <w:rFonts w:ascii="宋体" w:hAnsi="宋体" w:eastAsia="宋体" w:cs="宋体"/>
          <w:spacing w:val="7"/>
          <w:sz w:val="21"/>
          <w:szCs w:val="21"/>
        </w:rPr>
        <w:t xml:space="preserve">  </w:t>
      </w:r>
      <w:r>
        <w:rPr>
          <w:rFonts w:ascii="宋体" w:hAnsi="宋体" w:eastAsia="宋体" w:cs="宋体"/>
          <w:spacing w:val="4"/>
          <w:sz w:val="21"/>
          <w:szCs w:val="21"/>
        </w:rPr>
        <w:t>道每个研究人群内的暴露和非暴露人群量，发生研究结局和未发生数，但不</w:t>
      </w:r>
      <w:r>
        <w:rPr>
          <w:rFonts w:ascii="宋体" w:hAnsi="宋体" w:eastAsia="宋体" w:cs="宋体"/>
          <w:spacing w:val="3"/>
          <w:sz w:val="21"/>
          <w:szCs w:val="21"/>
        </w:rPr>
        <w:t>知暴露、非暴露人群中</w:t>
      </w:r>
      <w:r>
        <w:rPr>
          <w:rFonts w:ascii="宋体" w:hAnsi="宋体" w:eastAsia="宋体" w:cs="宋体"/>
          <w:sz w:val="21"/>
          <w:szCs w:val="21"/>
        </w:rPr>
        <w:t xml:space="preserve"> </w:t>
      </w:r>
      <w:r>
        <w:rPr>
          <w:rFonts w:ascii="宋体" w:hAnsi="宋体" w:eastAsia="宋体" w:cs="宋体"/>
          <w:spacing w:val="4"/>
          <w:sz w:val="21"/>
          <w:szCs w:val="21"/>
        </w:rPr>
        <w:t>各有多少个体发生了研究结局，即无法在个体水平确定暴露与研究结局联合分布的信</w:t>
      </w:r>
      <w:r>
        <w:rPr>
          <w:rFonts w:ascii="宋体" w:hAnsi="宋体" w:eastAsia="宋体" w:cs="宋体"/>
          <w:spacing w:val="3"/>
          <w:sz w:val="21"/>
          <w:szCs w:val="21"/>
        </w:rPr>
        <w:t>息，同时无法</w:t>
      </w:r>
      <w:r>
        <w:rPr>
          <w:rFonts w:ascii="宋体" w:hAnsi="宋体" w:eastAsia="宋体" w:cs="宋体"/>
          <w:sz w:val="21"/>
          <w:szCs w:val="21"/>
        </w:rPr>
        <w:t xml:space="preserve"> </w:t>
      </w:r>
      <w:r>
        <w:rPr>
          <w:rFonts w:ascii="宋体" w:hAnsi="宋体" w:eastAsia="宋体" w:cs="宋体"/>
          <w:spacing w:val="11"/>
          <w:sz w:val="21"/>
          <w:szCs w:val="21"/>
        </w:rPr>
        <w:t>对个体水平上混杂因素的分布不均进行控制。②相关资料中的暴露水平只是近</w:t>
      </w:r>
      <w:r>
        <w:rPr>
          <w:rFonts w:ascii="宋体" w:hAnsi="宋体" w:eastAsia="宋体" w:cs="宋体"/>
          <w:spacing w:val="10"/>
          <w:sz w:val="21"/>
          <w:szCs w:val="21"/>
        </w:rPr>
        <w:t>似值或平均水平，</w:t>
      </w:r>
      <w:r>
        <w:rPr>
          <w:rFonts w:ascii="宋体" w:hAnsi="宋体" w:eastAsia="宋体" w:cs="宋体"/>
          <w:sz w:val="21"/>
          <w:szCs w:val="21"/>
        </w:rPr>
        <w:t xml:space="preserve"> </w:t>
      </w:r>
      <w:r>
        <w:rPr>
          <w:rFonts w:ascii="宋体" w:hAnsi="宋体" w:eastAsia="宋体" w:cs="宋体"/>
          <w:spacing w:val="4"/>
          <w:sz w:val="21"/>
          <w:szCs w:val="21"/>
        </w:rPr>
        <w:t>并不是个体的真实暴露情况，无法精确评价暴露与疾病的关</w:t>
      </w:r>
      <w:r>
        <w:rPr>
          <w:rFonts w:ascii="宋体" w:hAnsi="宋体" w:eastAsia="宋体" w:cs="宋体"/>
          <w:spacing w:val="3"/>
          <w:sz w:val="21"/>
          <w:szCs w:val="21"/>
        </w:rPr>
        <w:t>系，造成对暴露与研究结局之间联系的</w:t>
      </w:r>
      <w:r>
        <w:rPr>
          <w:rFonts w:ascii="宋体" w:hAnsi="宋体" w:eastAsia="宋体" w:cs="宋体"/>
          <w:sz w:val="21"/>
          <w:szCs w:val="21"/>
        </w:rPr>
        <w:t xml:space="preserve">  </w:t>
      </w:r>
      <w:r>
        <w:rPr>
          <w:rFonts w:ascii="宋体" w:hAnsi="宋体" w:eastAsia="宋体" w:cs="宋体"/>
          <w:spacing w:val="9"/>
          <w:sz w:val="21"/>
          <w:szCs w:val="21"/>
        </w:rPr>
        <w:t>一种曲解。</w:t>
      </w:r>
    </w:p>
    <w:p w14:paraId="0DF8C822">
      <w:pPr>
        <w:pStyle w:val="2"/>
        <w:spacing w:before="22" w:line="317" w:lineRule="auto"/>
        <w:ind w:right="678" w:firstLine="430"/>
        <w:rPr>
          <w:rFonts w:ascii="宋体" w:hAnsi="宋体" w:eastAsia="宋体" w:cs="宋体"/>
          <w:sz w:val="21"/>
          <w:szCs w:val="21"/>
        </w:rPr>
      </w:pPr>
      <w:r>
        <w:rPr>
          <w:rFonts w:ascii="宋体" w:hAnsi="宋体" w:eastAsia="宋体" w:cs="宋体"/>
          <w:spacing w:val="6"/>
          <w:sz w:val="21"/>
          <w:szCs w:val="21"/>
        </w:rPr>
        <w:t xml:space="preserve">2. </w:t>
      </w:r>
      <w:r>
        <w:rPr>
          <w:spacing w:val="6"/>
          <w:sz w:val="21"/>
          <w:szCs w:val="21"/>
        </w:rPr>
        <w:t>混杂因素往往难以控制</w:t>
      </w:r>
      <w:r>
        <w:rPr>
          <w:spacing w:val="100"/>
          <w:sz w:val="21"/>
          <w:szCs w:val="21"/>
        </w:rPr>
        <w:t xml:space="preserve"> </w:t>
      </w:r>
      <w:r>
        <w:rPr>
          <w:rFonts w:ascii="宋体" w:hAnsi="宋体" w:eastAsia="宋体" w:cs="宋体"/>
          <w:spacing w:val="6"/>
          <w:sz w:val="21"/>
          <w:szCs w:val="21"/>
        </w:rPr>
        <w:t>生态学研究主要是利用暴露资料和疾病资料之间的相关分析来解</w:t>
      </w:r>
      <w:r>
        <w:rPr>
          <w:rFonts w:ascii="宋体" w:hAnsi="宋体" w:eastAsia="宋体" w:cs="宋体"/>
          <w:sz w:val="21"/>
          <w:szCs w:val="21"/>
        </w:rPr>
        <w:t xml:space="preserve"> </w:t>
      </w:r>
      <w:r>
        <w:rPr>
          <w:rFonts w:ascii="宋体" w:hAnsi="宋体" w:eastAsia="宋体" w:cs="宋体"/>
          <w:spacing w:val="9"/>
          <w:sz w:val="21"/>
          <w:szCs w:val="21"/>
        </w:rPr>
        <w:t>释两者之间的关联性，因此不可能在这样的研究方</w:t>
      </w:r>
      <w:r>
        <w:rPr>
          <w:rFonts w:ascii="宋体" w:hAnsi="宋体" w:eastAsia="宋体" w:cs="宋体"/>
          <w:spacing w:val="8"/>
          <w:sz w:val="21"/>
          <w:szCs w:val="21"/>
        </w:rPr>
        <w:t>法中将潜在的混杂因素的影响分离出来。人群</w:t>
      </w:r>
    </w:p>
    <w:p w14:paraId="50F7A9C2">
      <w:pPr>
        <w:spacing w:line="317" w:lineRule="auto"/>
        <w:rPr>
          <w:rFonts w:ascii="宋体" w:hAnsi="宋体" w:eastAsia="宋体" w:cs="宋体"/>
          <w:sz w:val="21"/>
          <w:szCs w:val="21"/>
        </w:rPr>
        <w:sectPr>
          <w:footerReference r:id="rId77" w:type="default"/>
          <w:pgSz w:w="11900" w:h="16820"/>
          <w:pgMar w:top="400" w:right="712" w:bottom="868" w:left="1329" w:header="0" w:footer="715" w:gutter="0"/>
          <w:cols w:space="720" w:num="1"/>
        </w:sectPr>
      </w:pPr>
    </w:p>
    <w:p w14:paraId="7D859840">
      <w:pPr>
        <w:pStyle w:val="2"/>
        <w:spacing w:before="264" w:line="222" w:lineRule="auto"/>
        <w:ind w:left="612"/>
        <w:rPr>
          <w:sz w:val="21"/>
          <w:szCs w:val="21"/>
        </w:rPr>
      </w:pPr>
      <w:r>
        <w:rPr>
          <w:b/>
          <w:bCs/>
          <w:spacing w:val="-14"/>
          <w:sz w:val="21"/>
          <w:szCs w:val="21"/>
        </w:rPr>
        <w:t>第三章描述性研究</w:t>
      </w:r>
    </w:p>
    <w:p w14:paraId="0DFD335E">
      <w:pPr>
        <w:spacing w:line="274" w:lineRule="auto"/>
        <w:rPr>
          <w:rFonts w:ascii="Arial"/>
          <w:sz w:val="21"/>
        </w:rPr>
      </w:pPr>
    </w:p>
    <w:p w14:paraId="63B9683C">
      <w:pPr>
        <w:spacing w:line="274" w:lineRule="auto"/>
        <w:rPr>
          <w:rFonts w:ascii="Arial"/>
          <w:sz w:val="21"/>
        </w:rPr>
      </w:pPr>
    </w:p>
    <w:p w14:paraId="7E7E6D90">
      <w:pPr>
        <w:spacing w:before="68" w:line="334" w:lineRule="auto"/>
        <w:ind w:left="610" w:right="4"/>
        <w:rPr>
          <w:rFonts w:ascii="宋体" w:hAnsi="宋体" w:eastAsia="宋体" w:cs="宋体"/>
          <w:sz w:val="21"/>
          <w:szCs w:val="21"/>
        </w:rPr>
      </w:pPr>
      <w:r>
        <w:rPr>
          <w:rFonts w:ascii="宋体" w:hAnsi="宋体" w:eastAsia="宋体" w:cs="宋体"/>
          <w:spacing w:val="5"/>
          <w:sz w:val="21"/>
          <w:szCs w:val="21"/>
        </w:rPr>
        <w:t>中某些变量，特别是有关社会人口学及环境方面的一些变量，易于彼此相关，即存在多重共线性问</w:t>
      </w:r>
      <w:r>
        <w:rPr>
          <w:rFonts w:ascii="宋体" w:hAnsi="宋体" w:eastAsia="宋体" w:cs="宋体"/>
          <w:spacing w:val="8"/>
          <w:sz w:val="21"/>
          <w:szCs w:val="21"/>
        </w:rPr>
        <w:t xml:space="preserve"> </w:t>
      </w:r>
      <w:r>
        <w:rPr>
          <w:rFonts w:ascii="宋体" w:hAnsi="宋体" w:eastAsia="宋体" w:cs="宋体"/>
          <w:spacing w:val="2"/>
          <w:sz w:val="21"/>
          <w:szCs w:val="21"/>
        </w:rPr>
        <w:t>题，这将影响对暴露因素与疾病之间关系的正确分析。</w:t>
      </w:r>
    </w:p>
    <w:p w14:paraId="3CEF2624">
      <w:pPr>
        <w:pStyle w:val="2"/>
        <w:spacing w:before="3" w:line="334" w:lineRule="auto"/>
        <w:ind w:left="610" w:firstLine="449"/>
        <w:jc w:val="both"/>
        <w:rPr>
          <w:rFonts w:ascii="宋体" w:hAnsi="宋体" w:eastAsia="宋体" w:cs="宋体"/>
          <w:sz w:val="21"/>
          <w:szCs w:val="21"/>
        </w:rPr>
      </w:pPr>
      <w:r>
        <w:rPr>
          <w:rFonts w:ascii="宋体" w:hAnsi="宋体" w:eastAsia="宋体" w:cs="宋体"/>
          <w:spacing w:val="8"/>
          <w:sz w:val="21"/>
          <w:szCs w:val="21"/>
        </w:rPr>
        <w:t xml:space="preserve">3. </w:t>
      </w:r>
      <w:r>
        <w:rPr>
          <w:spacing w:val="8"/>
          <w:sz w:val="21"/>
          <w:szCs w:val="21"/>
        </w:rPr>
        <w:t>难以确定两变量之间的因果联系</w:t>
      </w:r>
      <w:r>
        <w:rPr>
          <w:spacing w:val="80"/>
          <w:sz w:val="21"/>
          <w:szCs w:val="21"/>
        </w:rPr>
        <w:t xml:space="preserve"> </w:t>
      </w:r>
      <w:r>
        <w:rPr>
          <w:rFonts w:ascii="宋体" w:hAnsi="宋体" w:eastAsia="宋体" w:cs="宋体"/>
          <w:spacing w:val="8"/>
          <w:sz w:val="21"/>
          <w:szCs w:val="21"/>
        </w:rPr>
        <w:t>生态学研究在进行两变量之间的相关或回归分析时，采</w:t>
      </w:r>
      <w:r>
        <w:rPr>
          <w:rFonts w:ascii="宋体" w:hAnsi="宋体" w:eastAsia="宋体" w:cs="宋体"/>
          <w:sz w:val="21"/>
          <w:szCs w:val="21"/>
        </w:rPr>
        <w:t xml:space="preserve"> </w:t>
      </w:r>
      <w:r>
        <w:rPr>
          <w:rFonts w:ascii="宋体" w:hAnsi="宋体" w:eastAsia="宋体" w:cs="宋体"/>
          <w:spacing w:val="7"/>
          <w:sz w:val="21"/>
          <w:szCs w:val="21"/>
        </w:rPr>
        <w:t>用的观察单位为群体(组),暴露水平或疾病的测量准确性相</w:t>
      </w:r>
      <w:r>
        <w:rPr>
          <w:rFonts w:ascii="宋体" w:hAnsi="宋体" w:eastAsia="宋体" w:cs="宋体"/>
          <w:spacing w:val="6"/>
          <w:sz w:val="21"/>
          <w:szCs w:val="21"/>
        </w:rPr>
        <w:t>对较低，且暴露或疾病因素是非时间趋</w:t>
      </w:r>
      <w:r>
        <w:rPr>
          <w:rFonts w:ascii="宋体" w:hAnsi="宋体" w:eastAsia="宋体" w:cs="宋体"/>
          <w:sz w:val="21"/>
          <w:szCs w:val="21"/>
        </w:rPr>
        <w:t xml:space="preserve"> </w:t>
      </w:r>
      <w:r>
        <w:rPr>
          <w:rFonts w:ascii="宋体" w:hAnsi="宋体" w:eastAsia="宋体" w:cs="宋体"/>
          <w:spacing w:val="1"/>
          <w:sz w:val="21"/>
          <w:szCs w:val="21"/>
        </w:rPr>
        <w:t>势设计的，其时序关系不易确定，故其研究结果不可</w:t>
      </w:r>
      <w:r>
        <w:rPr>
          <w:rFonts w:ascii="宋体" w:hAnsi="宋体" w:eastAsia="宋体" w:cs="宋体"/>
          <w:sz w:val="21"/>
          <w:szCs w:val="21"/>
        </w:rPr>
        <w:t>作为因果关系的有力证据。</w:t>
      </w:r>
    </w:p>
    <w:p w14:paraId="05AF572C">
      <w:pPr>
        <w:spacing w:before="5" w:line="331" w:lineRule="auto"/>
        <w:ind w:left="610" w:right="39" w:firstLine="449"/>
        <w:jc w:val="both"/>
        <w:rPr>
          <w:rFonts w:ascii="宋体" w:hAnsi="宋体" w:eastAsia="宋体" w:cs="宋体"/>
          <w:sz w:val="21"/>
          <w:szCs w:val="21"/>
        </w:rPr>
      </w:pPr>
      <w:r>
        <w:rPr>
          <w:rFonts w:ascii="宋体" w:hAnsi="宋体" w:eastAsia="宋体" w:cs="宋体"/>
          <w:spacing w:val="4"/>
          <w:sz w:val="21"/>
          <w:szCs w:val="21"/>
        </w:rPr>
        <w:t>鉴于生态学研究的特点及其局限性，应用时应注意尽可能集中研究目的，不要在</w:t>
      </w:r>
      <w:r>
        <w:rPr>
          <w:rFonts w:ascii="宋体" w:hAnsi="宋体" w:eastAsia="宋体" w:cs="宋体"/>
          <w:spacing w:val="3"/>
          <w:sz w:val="21"/>
          <w:szCs w:val="21"/>
        </w:rPr>
        <w:t>一个研究中设</w:t>
      </w:r>
      <w:r>
        <w:rPr>
          <w:rFonts w:ascii="宋体" w:hAnsi="宋体" w:eastAsia="宋体" w:cs="宋体"/>
          <w:sz w:val="21"/>
          <w:szCs w:val="21"/>
        </w:rPr>
        <w:t xml:space="preserve"> </w:t>
      </w:r>
      <w:r>
        <w:rPr>
          <w:rFonts w:ascii="宋体" w:hAnsi="宋体" w:eastAsia="宋体" w:cs="宋体"/>
          <w:spacing w:val="3"/>
          <w:sz w:val="21"/>
          <w:szCs w:val="21"/>
        </w:rPr>
        <w:t>置过多的研究问题；选择研究人群时，应尽可能使组间可比；观察分析的单位尽可能地多，每单位</w:t>
      </w:r>
      <w:r>
        <w:rPr>
          <w:rFonts w:ascii="宋体" w:hAnsi="宋体" w:eastAsia="宋体" w:cs="宋体"/>
          <w:spacing w:val="18"/>
          <w:sz w:val="21"/>
          <w:szCs w:val="21"/>
        </w:rPr>
        <w:t xml:space="preserve"> </w:t>
      </w:r>
      <w:r>
        <w:rPr>
          <w:rFonts w:ascii="宋体" w:hAnsi="宋体" w:eastAsia="宋体" w:cs="宋体"/>
          <w:spacing w:val="6"/>
          <w:sz w:val="21"/>
          <w:szCs w:val="21"/>
        </w:rPr>
        <w:t>内人数尽可能少；资料分析时尽可能用生态学回归分析(不只用相关分析);分析模</w:t>
      </w:r>
      <w:r>
        <w:rPr>
          <w:rFonts w:ascii="宋体" w:hAnsi="宋体" w:eastAsia="宋体" w:cs="宋体"/>
          <w:spacing w:val="5"/>
          <w:sz w:val="21"/>
          <w:szCs w:val="21"/>
        </w:rPr>
        <w:t>型中尽可能多纳</w:t>
      </w:r>
      <w:r>
        <w:rPr>
          <w:rFonts w:ascii="宋体" w:hAnsi="宋体" w:eastAsia="宋体" w:cs="宋体"/>
          <w:sz w:val="21"/>
          <w:szCs w:val="21"/>
        </w:rPr>
        <w:t xml:space="preserve"> </w:t>
      </w:r>
      <w:r>
        <w:rPr>
          <w:rFonts w:ascii="宋体" w:hAnsi="宋体" w:eastAsia="宋体" w:cs="宋体"/>
          <w:spacing w:val="4"/>
          <w:sz w:val="21"/>
          <w:szCs w:val="21"/>
        </w:rPr>
        <w:t>人一些对研究的因素和结局有影响的变量；在对研究结果进行解释时，应尽量与其他非生态学</w:t>
      </w:r>
      <w:r>
        <w:rPr>
          <w:rFonts w:ascii="宋体" w:hAnsi="宋体" w:eastAsia="宋体" w:cs="宋体"/>
          <w:spacing w:val="3"/>
          <w:sz w:val="21"/>
          <w:szCs w:val="21"/>
        </w:rPr>
        <w:t>研究</w:t>
      </w:r>
      <w:r>
        <w:rPr>
          <w:rFonts w:ascii="宋体" w:hAnsi="宋体" w:eastAsia="宋体" w:cs="宋体"/>
          <w:sz w:val="21"/>
          <w:szCs w:val="21"/>
        </w:rPr>
        <w:t xml:space="preserve"> </w:t>
      </w:r>
      <w:r>
        <w:rPr>
          <w:rFonts w:ascii="宋体" w:hAnsi="宋体" w:eastAsia="宋体" w:cs="宋体"/>
          <w:spacing w:val="3"/>
          <w:sz w:val="21"/>
          <w:szCs w:val="21"/>
        </w:rPr>
        <w:t>结果相比较，并结合与研究问题有关的专业知识进行综合的分析和判断。</w:t>
      </w:r>
    </w:p>
    <w:p w14:paraId="02E15F71">
      <w:pPr>
        <w:spacing w:line="219" w:lineRule="auto"/>
        <w:ind w:right="3"/>
        <w:jc w:val="right"/>
        <w:rPr>
          <w:rFonts w:ascii="宋体" w:hAnsi="宋体" w:eastAsia="宋体" w:cs="宋体"/>
          <w:sz w:val="21"/>
          <w:szCs w:val="21"/>
        </w:rPr>
      </w:pPr>
      <w:r>
        <w:rPr>
          <w:rFonts w:ascii="宋体" w:hAnsi="宋体" w:eastAsia="宋体" w:cs="宋体"/>
          <w:spacing w:val="19"/>
          <w:sz w:val="21"/>
          <w:szCs w:val="21"/>
        </w:rPr>
        <w:t>(闫宇翔)</w:t>
      </w:r>
    </w:p>
    <w:p w14:paraId="728BE432">
      <w:pPr>
        <w:spacing w:line="277" w:lineRule="auto"/>
        <w:rPr>
          <w:rFonts w:ascii="Arial"/>
          <w:sz w:val="21"/>
        </w:rPr>
      </w:pPr>
    </w:p>
    <w:p w14:paraId="411A4CF2">
      <w:pPr>
        <w:spacing w:line="278" w:lineRule="auto"/>
        <w:rPr>
          <w:rFonts w:ascii="Arial"/>
          <w:sz w:val="21"/>
        </w:rPr>
      </w:pPr>
    </w:p>
    <w:p w14:paraId="0C484D0A">
      <w:pPr>
        <w:spacing w:line="278" w:lineRule="auto"/>
        <w:rPr>
          <w:rFonts w:ascii="Arial"/>
          <w:sz w:val="21"/>
        </w:rPr>
      </w:pPr>
    </w:p>
    <w:p w14:paraId="72E21700">
      <w:pPr>
        <w:pStyle w:val="2"/>
        <w:spacing w:before="85" w:line="222" w:lineRule="auto"/>
        <w:ind w:left="1060"/>
        <w:rPr>
          <w:sz w:val="26"/>
          <w:szCs w:val="26"/>
        </w:rPr>
      </w:pPr>
      <w:r>
        <w:rPr>
          <w:spacing w:val="7"/>
          <w:sz w:val="26"/>
          <w:szCs w:val="26"/>
        </w:rPr>
        <w:t>思考题</w:t>
      </w:r>
    </w:p>
    <w:p w14:paraId="76A3E4A4">
      <w:pPr>
        <w:spacing w:before="64" w:line="219" w:lineRule="auto"/>
        <w:ind w:left="1960"/>
        <w:rPr>
          <w:rFonts w:ascii="宋体" w:hAnsi="宋体" w:eastAsia="宋体" w:cs="宋体"/>
          <w:sz w:val="21"/>
          <w:szCs w:val="21"/>
        </w:rPr>
      </w:pPr>
      <w:r>
        <w:rPr>
          <w:rFonts w:ascii="宋体" w:hAnsi="宋体" w:eastAsia="宋体" w:cs="宋体"/>
          <w:spacing w:val="6"/>
          <w:sz w:val="21"/>
          <w:szCs w:val="21"/>
        </w:rPr>
        <w:t>1.现况研究的实施主要有哪些步骤?</w:t>
      </w:r>
    </w:p>
    <w:p w14:paraId="5F6E1D54">
      <w:pPr>
        <w:spacing w:before="141" w:line="219" w:lineRule="auto"/>
        <w:ind w:left="1960"/>
        <w:rPr>
          <w:rFonts w:ascii="宋体" w:hAnsi="宋体" w:eastAsia="宋体" w:cs="宋体"/>
          <w:sz w:val="21"/>
          <w:szCs w:val="21"/>
        </w:rPr>
      </w:pPr>
      <w:r>
        <w:rPr>
          <w:rFonts w:ascii="宋体" w:hAnsi="宋体" w:eastAsia="宋体" w:cs="宋体"/>
          <w:spacing w:val="3"/>
          <w:sz w:val="21"/>
          <w:szCs w:val="21"/>
        </w:rPr>
        <w:t>2.</w:t>
      </w:r>
      <w:r>
        <w:rPr>
          <w:rFonts w:ascii="宋体" w:hAnsi="宋体" w:eastAsia="宋体" w:cs="宋体"/>
          <w:spacing w:val="-49"/>
          <w:sz w:val="21"/>
          <w:szCs w:val="21"/>
        </w:rPr>
        <w:t xml:space="preserve"> </w:t>
      </w:r>
      <w:r>
        <w:rPr>
          <w:rFonts w:ascii="宋体" w:hAnsi="宋体" w:eastAsia="宋体" w:cs="宋体"/>
          <w:spacing w:val="3"/>
          <w:sz w:val="21"/>
          <w:szCs w:val="21"/>
        </w:rPr>
        <w:t>简述普查与抽样调查的优缺点的比较。</w:t>
      </w:r>
    </w:p>
    <w:p w14:paraId="1A67D987">
      <w:pPr>
        <w:spacing w:before="131" w:line="219" w:lineRule="auto"/>
        <w:ind w:left="1960"/>
        <w:rPr>
          <w:rFonts w:ascii="宋体" w:hAnsi="宋体" w:eastAsia="宋体" w:cs="宋体"/>
          <w:sz w:val="21"/>
          <w:szCs w:val="21"/>
        </w:rPr>
      </w:pPr>
      <w:r>
        <w:rPr>
          <w:rFonts w:ascii="宋体" w:hAnsi="宋体" w:eastAsia="宋体" w:cs="宋体"/>
          <w:spacing w:val="5"/>
          <w:sz w:val="21"/>
          <w:szCs w:val="21"/>
        </w:rPr>
        <w:t>3.简述现况研究与生态学研究的异同点及优缺点比较。</w:t>
      </w:r>
    </w:p>
    <w:p w14:paraId="0AA98ADD">
      <w:pPr>
        <w:spacing w:line="219" w:lineRule="auto"/>
        <w:rPr>
          <w:rFonts w:ascii="宋体" w:hAnsi="宋体" w:eastAsia="宋体" w:cs="宋体"/>
          <w:sz w:val="21"/>
          <w:szCs w:val="21"/>
        </w:rPr>
        <w:sectPr>
          <w:footerReference r:id="rId78" w:type="default"/>
          <w:pgSz w:w="11900" w:h="16820"/>
          <w:pgMar w:top="400" w:right="1300" w:bottom="798" w:left="729" w:header="0" w:footer="645" w:gutter="0"/>
          <w:cols w:space="720" w:num="1"/>
        </w:sectPr>
      </w:pPr>
    </w:p>
    <w:p w14:paraId="0AA30CED">
      <w:pPr>
        <w:spacing w:line="253" w:lineRule="auto"/>
        <w:rPr>
          <w:rFonts w:ascii="Arial"/>
          <w:sz w:val="21"/>
        </w:rPr>
      </w:pPr>
    </w:p>
    <w:p w14:paraId="2C9AE8D7">
      <w:pPr>
        <w:spacing w:line="253" w:lineRule="auto"/>
        <w:rPr>
          <w:rFonts w:ascii="Arial"/>
          <w:sz w:val="21"/>
        </w:rPr>
      </w:pPr>
    </w:p>
    <w:p w14:paraId="78B6FBC3">
      <w:pPr>
        <w:spacing w:line="253" w:lineRule="auto"/>
        <w:rPr>
          <w:rFonts w:ascii="Arial"/>
          <w:sz w:val="21"/>
        </w:rPr>
      </w:pPr>
    </w:p>
    <w:p w14:paraId="5CE04635">
      <w:pPr>
        <w:spacing w:line="253" w:lineRule="auto"/>
        <w:rPr>
          <w:rFonts w:ascii="Arial"/>
          <w:sz w:val="21"/>
        </w:rPr>
      </w:pPr>
    </w:p>
    <w:p w14:paraId="0A214A97">
      <w:pPr>
        <w:pStyle w:val="2"/>
        <w:spacing w:before="97" w:line="222" w:lineRule="auto"/>
        <w:ind w:left="4154"/>
        <w:outlineLvl w:val="0"/>
      </w:pPr>
      <w:r>
        <w:drawing>
          <wp:anchor distT="0" distB="0" distL="0" distR="0" simplePos="0" relativeHeight="251721728" behindDoc="0" locked="0" layoutInCell="1" allowOverlap="1">
            <wp:simplePos x="0" y="0"/>
            <wp:positionH relativeFrom="column">
              <wp:posOffset>5301615</wp:posOffset>
            </wp:positionH>
            <wp:positionV relativeFrom="paragraph">
              <wp:posOffset>64135</wp:posOffset>
            </wp:positionV>
            <wp:extent cx="596900" cy="596900"/>
            <wp:effectExtent l="0" t="0" r="0" b="0"/>
            <wp:wrapNone/>
            <wp:docPr id="198" name="IM 198"/>
            <wp:cNvGraphicFramePr/>
            <a:graphic xmlns:a="http://schemas.openxmlformats.org/drawingml/2006/main">
              <a:graphicData uri="http://schemas.openxmlformats.org/drawingml/2006/picture">
                <pic:pic xmlns:pic="http://schemas.openxmlformats.org/drawingml/2006/picture">
                  <pic:nvPicPr>
                    <pic:cNvPr id="198" name="IM 198"/>
                    <pic:cNvPicPr/>
                  </pic:nvPicPr>
                  <pic:blipFill>
                    <a:blip r:embed="rId474"/>
                    <a:stretch>
                      <a:fillRect/>
                    </a:stretch>
                  </pic:blipFill>
                  <pic:spPr>
                    <a:xfrm>
                      <a:off x="0" y="0"/>
                      <a:ext cx="596963" cy="596837"/>
                    </a:xfrm>
                    <a:prstGeom prst="rect">
                      <a:avLst/>
                    </a:prstGeom>
                  </pic:spPr>
                </pic:pic>
              </a:graphicData>
            </a:graphic>
          </wp:anchor>
        </w:drawing>
      </w:r>
      <w:bookmarkStart w:id="86" w:name="bookmark49"/>
      <w:bookmarkEnd w:id="86"/>
      <w:r>
        <w:rPr>
          <w:b/>
          <w:bCs/>
          <w:spacing w:val="1"/>
        </w:rPr>
        <w:t>第四章</w:t>
      </w:r>
    </w:p>
    <w:p w14:paraId="24FCD9C4">
      <w:pPr>
        <w:pStyle w:val="2"/>
        <w:spacing w:before="72" w:line="222" w:lineRule="auto"/>
        <w:ind w:left="3706"/>
        <w:outlineLvl w:val="0"/>
        <w:rPr>
          <w:sz w:val="46"/>
          <w:szCs w:val="46"/>
        </w:rPr>
      </w:pPr>
      <w:bookmarkStart w:id="87" w:name="bookmark49"/>
      <w:bookmarkEnd w:id="87"/>
      <w:r>
        <w:rPr>
          <w:b/>
          <w:bCs/>
          <w:spacing w:val="-2"/>
          <w:sz w:val="46"/>
          <w:szCs w:val="46"/>
        </w:rPr>
        <w:t>队列研究</w:t>
      </w:r>
    </w:p>
    <w:p w14:paraId="50ABB8AC">
      <w:pPr>
        <w:spacing w:before="117" w:line="450" w:lineRule="exact"/>
        <w:ind w:firstLine="9229"/>
      </w:pPr>
      <w:r>
        <w:rPr>
          <w:position w:val="-8"/>
        </w:rPr>
        <w:drawing>
          <wp:inline distT="0" distB="0" distL="0" distR="0">
            <wp:extent cx="336550" cy="285115"/>
            <wp:effectExtent l="0" t="0" r="0" b="0"/>
            <wp:docPr id="200" name="IM 200"/>
            <wp:cNvGraphicFramePr/>
            <a:graphic xmlns:a="http://schemas.openxmlformats.org/drawingml/2006/main">
              <a:graphicData uri="http://schemas.openxmlformats.org/drawingml/2006/picture">
                <pic:pic xmlns:pic="http://schemas.openxmlformats.org/drawingml/2006/picture">
                  <pic:nvPicPr>
                    <pic:cNvPr id="200" name="IM 200"/>
                    <pic:cNvPicPr/>
                  </pic:nvPicPr>
                  <pic:blipFill>
                    <a:blip r:embed="rId475"/>
                    <a:stretch>
                      <a:fillRect/>
                    </a:stretch>
                  </pic:blipFill>
                  <pic:spPr>
                    <a:xfrm>
                      <a:off x="0" y="0"/>
                      <a:ext cx="336566" cy="285708"/>
                    </a:xfrm>
                    <a:prstGeom prst="rect">
                      <a:avLst/>
                    </a:prstGeom>
                  </pic:spPr>
                </pic:pic>
              </a:graphicData>
            </a:graphic>
          </wp:inline>
        </w:drawing>
      </w:r>
    </w:p>
    <w:p w14:paraId="57328561">
      <w:pPr>
        <w:spacing w:before="285" w:line="198" w:lineRule="auto"/>
        <w:ind w:left="2940"/>
        <w:rPr>
          <w:rFonts w:ascii="Arial" w:hAnsi="Arial" w:eastAsia="Arial" w:cs="Arial"/>
          <w:sz w:val="30"/>
          <w:szCs w:val="30"/>
        </w:rPr>
      </w:pPr>
      <w:r>
        <w:rPr>
          <w:rFonts w:ascii="Arial" w:hAnsi="Arial" w:eastAsia="Arial" w:cs="Arial"/>
          <w:b/>
          <w:bCs/>
          <w:spacing w:val="-2"/>
          <w:sz w:val="30"/>
          <w:szCs w:val="30"/>
        </w:rPr>
        <w:t>Chapter 4</w:t>
      </w:r>
      <w:r>
        <w:rPr>
          <w:rFonts w:ascii="Arial" w:hAnsi="Arial" w:eastAsia="Arial" w:cs="Arial"/>
          <w:b/>
          <w:bCs/>
          <w:spacing w:val="37"/>
          <w:sz w:val="30"/>
          <w:szCs w:val="30"/>
        </w:rPr>
        <w:t xml:space="preserve"> </w:t>
      </w:r>
      <w:r>
        <w:rPr>
          <w:rFonts w:ascii="Arial" w:hAnsi="Arial" w:eastAsia="Arial" w:cs="Arial"/>
          <w:b/>
          <w:bCs/>
          <w:spacing w:val="-2"/>
          <w:sz w:val="30"/>
          <w:szCs w:val="30"/>
        </w:rPr>
        <w:t>Cohort</w:t>
      </w:r>
      <w:r>
        <w:rPr>
          <w:rFonts w:ascii="Arial" w:hAnsi="Arial" w:eastAsia="Arial" w:cs="Arial"/>
          <w:b/>
          <w:bCs/>
          <w:spacing w:val="22"/>
          <w:sz w:val="30"/>
          <w:szCs w:val="30"/>
        </w:rPr>
        <w:t xml:space="preserve"> </w:t>
      </w:r>
      <w:r>
        <w:rPr>
          <w:rFonts w:ascii="Arial" w:hAnsi="Arial" w:eastAsia="Arial" w:cs="Arial"/>
          <w:b/>
          <w:bCs/>
          <w:spacing w:val="-2"/>
          <w:sz w:val="30"/>
          <w:szCs w:val="30"/>
        </w:rPr>
        <w:t>Study</w:t>
      </w:r>
    </w:p>
    <w:p w14:paraId="289C1C46">
      <w:pPr>
        <w:spacing w:line="392" w:lineRule="auto"/>
        <w:rPr>
          <w:rFonts w:ascii="Arial"/>
          <w:sz w:val="21"/>
        </w:rPr>
      </w:pPr>
    </w:p>
    <w:p w14:paraId="0F321400">
      <w:pPr>
        <w:spacing w:before="61" w:line="355" w:lineRule="auto"/>
        <w:ind w:right="655" w:firstLine="450"/>
        <w:jc w:val="both"/>
        <w:rPr>
          <w:rFonts w:ascii="Times New Roman" w:hAnsi="Times New Roman" w:eastAsia="Times New Roman" w:cs="Times New Roman"/>
          <w:sz w:val="21"/>
          <w:szCs w:val="21"/>
        </w:rPr>
      </w:pPr>
      <w:r>
        <w:rPr>
          <w:rFonts w:ascii="Times New Roman" w:hAnsi="Times New Roman" w:eastAsia="Times New Roman" w:cs="Times New Roman"/>
          <w:sz w:val="21"/>
          <w:szCs w:val="21"/>
        </w:rPr>
        <w:t>Cohort</w:t>
      </w:r>
      <w:r>
        <w:rPr>
          <w:rFonts w:ascii="Times New Roman" w:hAnsi="Times New Roman" w:eastAsia="Times New Roman" w:cs="Times New Roman"/>
          <w:spacing w:val="14"/>
          <w:sz w:val="21"/>
          <w:szCs w:val="21"/>
        </w:rPr>
        <w:t xml:space="preserve"> </w:t>
      </w:r>
      <w:r>
        <w:rPr>
          <w:rFonts w:ascii="Times New Roman" w:hAnsi="Times New Roman" w:eastAsia="Times New Roman" w:cs="Times New Roman"/>
          <w:sz w:val="21"/>
          <w:szCs w:val="21"/>
        </w:rPr>
        <w:t>study is one of</w:t>
      </w:r>
      <w:r>
        <w:rPr>
          <w:rFonts w:ascii="Times New Roman" w:hAnsi="Times New Roman" w:eastAsia="Times New Roman" w:cs="Times New Roman"/>
          <w:spacing w:val="-16"/>
          <w:sz w:val="21"/>
          <w:szCs w:val="21"/>
        </w:rPr>
        <w:t xml:space="preserve"> </w:t>
      </w:r>
      <w:r>
        <w:rPr>
          <w:rFonts w:ascii="Times New Roman" w:hAnsi="Times New Roman" w:eastAsia="Times New Roman" w:cs="Times New Roman"/>
          <w:sz w:val="21"/>
          <w:szCs w:val="21"/>
        </w:rPr>
        <w:t>the most important</w:t>
      </w:r>
      <w:r>
        <w:rPr>
          <w:rFonts w:ascii="Times New Roman" w:hAnsi="Times New Roman" w:eastAsia="Times New Roman" w:cs="Times New Roman"/>
          <w:spacing w:val="11"/>
          <w:sz w:val="21"/>
          <w:szCs w:val="21"/>
        </w:rPr>
        <w:t xml:space="preserve"> </w:t>
      </w:r>
      <w:r>
        <w:rPr>
          <w:rFonts w:ascii="Times New Roman" w:hAnsi="Times New Roman" w:eastAsia="Times New Roman" w:cs="Times New Roman"/>
          <w:sz w:val="21"/>
          <w:szCs w:val="21"/>
        </w:rPr>
        <w:t>analytical</w:t>
      </w:r>
      <w:r>
        <w:rPr>
          <w:rFonts w:ascii="Times New Roman" w:hAnsi="Times New Roman" w:eastAsia="Times New Roman" w:cs="Times New Roman"/>
          <w:spacing w:val="12"/>
          <w:sz w:val="21"/>
          <w:szCs w:val="21"/>
        </w:rPr>
        <w:t xml:space="preserve"> </w:t>
      </w:r>
      <w:r>
        <w:rPr>
          <w:rFonts w:ascii="Times New Roman" w:hAnsi="Times New Roman" w:eastAsia="Times New Roman" w:cs="Times New Roman"/>
          <w:sz w:val="21"/>
          <w:szCs w:val="21"/>
        </w:rPr>
        <w:t>epidemiologic</w:t>
      </w:r>
      <w:r>
        <w:rPr>
          <w:rFonts w:ascii="Times New Roman" w:hAnsi="Times New Roman" w:eastAsia="Times New Roman" w:cs="Times New Roman"/>
          <w:spacing w:val="5"/>
          <w:sz w:val="21"/>
          <w:szCs w:val="21"/>
        </w:rPr>
        <w:t xml:space="preserve"> </w:t>
      </w:r>
      <w:r>
        <w:rPr>
          <w:rFonts w:ascii="Times New Roman" w:hAnsi="Times New Roman" w:eastAsia="Times New Roman" w:cs="Times New Roman"/>
          <w:sz w:val="21"/>
          <w:szCs w:val="21"/>
        </w:rPr>
        <w:t>meth</w:t>
      </w:r>
      <w:r>
        <w:rPr>
          <w:rFonts w:ascii="Times New Roman" w:hAnsi="Times New Roman" w:eastAsia="Times New Roman" w:cs="Times New Roman"/>
          <w:spacing w:val="-1"/>
          <w:sz w:val="21"/>
          <w:szCs w:val="21"/>
        </w:rPr>
        <w:t>ods,which</w:t>
      </w:r>
      <w:r>
        <w:rPr>
          <w:rFonts w:ascii="Times New Roman" w:hAnsi="Times New Roman" w:eastAsia="Times New Roman" w:cs="Times New Roman"/>
          <w:spacing w:val="10"/>
          <w:sz w:val="21"/>
          <w:szCs w:val="21"/>
        </w:rPr>
        <w:t xml:space="preserve"> </w:t>
      </w:r>
      <w:r>
        <w:rPr>
          <w:rFonts w:ascii="Times New Roman" w:hAnsi="Times New Roman" w:eastAsia="Times New Roman" w:cs="Times New Roman"/>
          <w:spacing w:val="-1"/>
          <w:sz w:val="21"/>
          <w:szCs w:val="21"/>
        </w:rPr>
        <w:t>identifies</w:t>
      </w:r>
      <w:r>
        <w:rPr>
          <w:rFonts w:ascii="Times New Roman" w:hAnsi="Times New Roman" w:eastAsia="Times New Roman" w:cs="Times New Roman"/>
          <w:spacing w:val="12"/>
          <w:sz w:val="21"/>
          <w:szCs w:val="21"/>
        </w:rPr>
        <w:t xml:space="preserve"> </w:t>
      </w:r>
      <w:r>
        <w:rPr>
          <w:rFonts w:ascii="Times New Roman" w:hAnsi="Times New Roman" w:eastAsia="Times New Roman" w:cs="Times New Roman"/>
          <w:spacing w:val="-1"/>
          <w:sz w:val="21"/>
          <w:szCs w:val="21"/>
        </w:rPr>
        <w:t>and</w:t>
      </w:r>
      <w:r>
        <w:rPr>
          <w:rFonts w:ascii="Times New Roman" w:hAnsi="Times New Roman" w:eastAsia="Times New Roman" w:cs="Times New Roman"/>
          <w:spacing w:val="13"/>
          <w:w w:val="101"/>
          <w:sz w:val="21"/>
          <w:szCs w:val="21"/>
        </w:rPr>
        <w:t xml:space="preserve"> </w:t>
      </w:r>
      <w:r>
        <w:rPr>
          <w:rFonts w:ascii="Times New Roman" w:hAnsi="Times New Roman" w:eastAsia="Times New Roman" w:cs="Times New Roman"/>
          <w:spacing w:val="-1"/>
          <w:sz w:val="21"/>
          <w:szCs w:val="21"/>
        </w:rPr>
        <w:t>studies</w:t>
      </w:r>
      <w:r>
        <w:rPr>
          <w:rFonts w:ascii="Times New Roman" w:hAnsi="Times New Roman" w:eastAsia="Times New Roman" w:cs="Times New Roman"/>
          <w:sz w:val="21"/>
          <w:szCs w:val="21"/>
        </w:rPr>
        <w:t xml:space="preserve"> a</w:t>
      </w:r>
      <w:r>
        <w:rPr>
          <w:rFonts w:ascii="Times New Roman" w:hAnsi="Times New Roman" w:eastAsia="Times New Roman" w:cs="Times New Roman"/>
          <w:spacing w:val="36"/>
          <w:sz w:val="21"/>
          <w:szCs w:val="21"/>
        </w:rPr>
        <w:t xml:space="preserve"> </w:t>
      </w:r>
      <w:r>
        <w:rPr>
          <w:rFonts w:ascii="Times New Roman" w:hAnsi="Times New Roman" w:eastAsia="Times New Roman" w:cs="Times New Roman"/>
          <w:sz w:val="21"/>
          <w:szCs w:val="21"/>
        </w:rPr>
        <w:t>subset</w:t>
      </w:r>
      <w:r>
        <w:rPr>
          <w:rFonts w:ascii="Times New Roman" w:hAnsi="Times New Roman" w:eastAsia="Times New Roman" w:cs="Times New Roman"/>
          <w:spacing w:val="32"/>
          <w:sz w:val="21"/>
          <w:szCs w:val="21"/>
        </w:rPr>
        <w:t xml:space="preserve"> </w:t>
      </w:r>
      <w:r>
        <w:rPr>
          <w:rFonts w:ascii="Times New Roman" w:hAnsi="Times New Roman" w:eastAsia="Times New Roman" w:cs="Times New Roman"/>
          <w:sz w:val="21"/>
          <w:szCs w:val="21"/>
        </w:rPr>
        <w:t>of human</w:t>
      </w:r>
      <w:r>
        <w:rPr>
          <w:rFonts w:ascii="Times New Roman" w:hAnsi="Times New Roman" w:eastAsia="Times New Roman" w:cs="Times New Roman"/>
          <w:spacing w:val="25"/>
          <w:sz w:val="21"/>
          <w:szCs w:val="21"/>
        </w:rPr>
        <w:t xml:space="preserve"> </w:t>
      </w:r>
      <w:r>
        <w:rPr>
          <w:rFonts w:ascii="Times New Roman" w:hAnsi="Times New Roman" w:eastAsia="Times New Roman" w:cs="Times New Roman"/>
          <w:sz w:val="21"/>
          <w:szCs w:val="21"/>
        </w:rPr>
        <w:t>participants</w:t>
      </w:r>
      <w:r>
        <w:rPr>
          <w:rFonts w:ascii="Times New Roman" w:hAnsi="Times New Roman" w:eastAsia="Times New Roman" w:cs="Times New Roman"/>
          <w:spacing w:val="33"/>
          <w:w w:val="101"/>
          <w:sz w:val="21"/>
          <w:szCs w:val="21"/>
        </w:rPr>
        <w:t xml:space="preserve"> </w:t>
      </w:r>
      <w:r>
        <w:rPr>
          <w:rFonts w:ascii="Times New Roman" w:hAnsi="Times New Roman" w:eastAsia="Times New Roman" w:cs="Times New Roman"/>
          <w:sz w:val="21"/>
          <w:szCs w:val="21"/>
        </w:rPr>
        <w:t>from</w:t>
      </w:r>
      <w:r>
        <w:rPr>
          <w:rFonts w:ascii="Times New Roman" w:hAnsi="Times New Roman" w:eastAsia="Times New Roman" w:cs="Times New Roman"/>
          <w:spacing w:val="32"/>
          <w:w w:val="101"/>
          <w:sz w:val="21"/>
          <w:szCs w:val="21"/>
        </w:rPr>
        <w:t xml:space="preserve"> </w:t>
      </w:r>
      <w:r>
        <w:rPr>
          <w:rFonts w:ascii="Times New Roman" w:hAnsi="Times New Roman" w:eastAsia="Times New Roman" w:cs="Times New Roman"/>
          <w:sz w:val="21"/>
          <w:szCs w:val="21"/>
        </w:rPr>
        <w:t>a</w:t>
      </w:r>
      <w:r>
        <w:rPr>
          <w:rFonts w:ascii="Times New Roman" w:hAnsi="Times New Roman" w:eastAsia="Times New Roman" w:cs="Times New Roman"/>
          <w:spacing w:val="32"/>
          <w:sz w:val="21"/>
          <w:szCs w:val="21"/>
        </w:rPr>
        <w:t xml:space="preserve"> </w:t>
      </w:r>
      <w:r>
        <w:rPr>
          <w:rFonts w:ascii="Times New Roman" w:hAnsi="Times New Roman" w:eastAsia="Times New Roman" w:cs="Times New Roman"/>
          <w:sz w:val="21"/>
          <w:szCs w:val="21"/>
        </w:rPr>
        <w:t>defined</w:t>
      </w:r>
      <w:r>
        <w:rPr>
          <w:rFonts w:ascii="Times New Roman" w:hAnsi="Times New Roman" w:eastAsia="Times New Roman" w:cs="Times New Roman"/>
          <w:spacing w:val="24"/>
          <w:w w:val="101"/>
          <w:sz w:val="21"/>
          <w:szCs w:val="21"/>
        </w:rPr>
        <w:t xml:space="preserve"> </w:t>
      </w:r>
      <w:r>
        <w:rPr>
          <w:rFonts w:ascii="Times New Roman" w:hAnsi="Times New Roman" w:eastAsia="Times New Roman" w:cs="Times New Roman"/>
          <w:sz w:val="21"/>
          <w:szCs w:val="21"/>
        </w:rPr>
        <w:t>population.</w:t>
      </w:r>
      <w:r>
        <w:rPr>
          <w:rFonts w:ascii="Times New Roman" w:hAnsi="Times New Roman" w:eastAsia="Times New Roman" w:cs="Times New Roman"/>
          <w:spacing w:val="-1"/>
          <w:sz w:val="21"/>
          <w:szCs w:val="21"/>
        </w:rPr>
        <w:t>These</w:t>
      </w:r>
      <w:r>
        <w:rPr>
          <w:rFonts w:ascii="Times New Roman" w:hAnsi="Times New Roman" w:eastAsia="Times New Roman" w:cs="Times New Roman"/>
          <w:spacing w:val="25"/>
          <w:sz w:val="21"/>
          <w:szCs w:val="21"/>
        </w:rPr>
        <w:t xml:space="preserve"> </w:t>
      </w:r>
      <w:r>
        <w:rPr>
          <w:rFonts w:ascii="Times New Roman" w:hAnsi="Times New Roman" w:eastAsia="Times New Roman" w:cs="Times New Roman"/>
          <w:spacing w:val="-1"/>
          <w:sz w:val="21"/>
          <w:szCs w:val="21"/>
        </w:rPr>
        <w:t>participants</w:t>
      </w:r>
      <w:r>
        <w:rPr>
          <w:rFonts w:ascii="Times New Roman" w:hAnsi="Times New Roman" w:eastAsia="Times New Roman" w:cs="Times New Roman"/>
          <w:spacing w:val="33"/>
          <w:sz w:val="21"/>
          <w:szCs w:val="21"/>
        </w:rPr>
        <w:t xml:space="preserve"> </w:t>
      </w:r>
      <w:r>
        <w:rPr>
          <w:rFonts w:ascii="Times New Roman" w:hAnsi="Times New Roman" w:eastAsia="Times New Roman" w:cs="Times New Roman"/>
          <w:spacing w:val="-1"/>
          <w:sz w:val="21"/>
          <w:szCs w:val="21"/>
        </w:rPr>
        <w:t>are</w:t>
      </w:r>
      <w:r>
        <w:rPr>
          <w:rFonts w:ascii="Times New Roman" w:hAnsi="Times New Roman" w:eastAsia="Times New Roman" w:cs="Times New Roman"/>
          <w:spacing w:val="33"/>
          <w:sz w:val="21"/>
          <w:szCs w:val="21"/>
        </w:rPr>
        <w:t xml:space="preserve"> </w:t>
      </w:r>
      <w:r>
        <w:rPr>
          <w:rFonts w:ascii="Times New Roman" w:hAnsi="Times New Roman" w:eastAsia="Times New Roman" w:cs="Times New Roman"/>
          <w:spacing w:val="-1"/>
          <w:sz w:val="21"/>
          <w:szCs w:val="21"/>
        </w:rPr>
        <w:t>either</w:t>
      </w:r>
      <w:r>
        <w:rPr>
          <w:rFonts w:ascii="Times New Roman" w:hAnsi="Times New Roman" w:eastAsia="Times New Roman" w:cs="Times New Roman"/>
          <w:spacing w:val="24"/>
          <w:sz w:val="21"/>
          <w:szCs w:val="21"/>
        </w:rPr>
        <w:t xml:space="preserve"> </w:t>
      </w:r>
      <w:r>
        <w:rPr>
          <w:rFonts w:ascii="Times New Roman" w:hAnsi="Times New Roman" w:eastAsia="Times New Roman" w:cs="Times New Roman"/>
          <w:spacing w:val="-1"/>
          <w:sz w:val="21"/>
          <w:szCs w:val="21"/>
        </w:rPr>
        <w:t>unexposed,exposed,</w:t>
      </w:r>
      <w:r>
        <w:rPr>
          <w:rFonts w:ascii="Times New Roman" w:hAnsi="Times New Roman" w:eastAsia="Times New Roman" w:cs="Times New Roman"/>
          <w:sz w:val="21"/>
          <w:szCs w:val="21"/>
        </w:rPr>
        <w:t xml:space="preserve"> or</w:t>
      </w:r>
      <w:r>
        <w:rPr>
          <w:rFonts w:ascii="Times New Roman" w:hAnsi="Times New Roman" w:eastAsia="Times New Roman" w:cs="Times New Roman"/>
          <w:spacing w:val="23"/>
          <w:sz w:val="21"/>
          <w:szCs w:val="21"/>
        </w:rPr>
        <w:t xml:space="preserve"> </w:t>
      </w:r>
      <w:r>
        <w:rPr>
          <w:rFonts w:ascii="Times New Roman" w:hAnsi="Times New Roman" w:eastAsia="Times New Roman" w:cs="Times New Roman"/>
          <w:sz w:val="21"/>
          <w:szCs w:val="21"/>
        </w:rPr>
        <w:t>exposed</w:t>
      </w:r>
      <w:r>
        <w:rPr>
          <w:rFonts w:ascii="Times New Roman" w:hAnsi="Times New Roman" w:eastAsia="Times New Roman" w:cs="Times New Roman"/>
          <w:spacing w:val="18"/>
          <w:w w:val="101"/>
          <w:sz w:val="21"/>
          <w:szCs w:val="21"/>
        </w:rPr>
        <w:t xml:space="preserve"> </w:t>
      </w:r>
      <w:r>
        <w:rPr>
          <w:rFonts w:ascii="Times New Roman" w:hAnsi="Times New Roman" w:eastAsia="Times New Roman" w:cs="Times New Roman"/>
          <w:sz w:val="21"/>
          <w:szCs w:val="21"/>
        </w:rPr>
        <w:t>to</w:t>
      </w:r>
      <w:r>
        <w:rPr>
          <w:rFonts w:ascii="Times New Roman" w:hAnsi="Times New Roman" w:eastAsia="Times New Roman" w:cs="Times New Roman"/>
          <w:spacing w:val="18"/>
          <w:sz w:val="21"/>
          <w:szCs w:val="21"/>
        </w:rPr>
        <w:t xml:space="preserve"> </w:t>
      </w:r>
      <w:r>
        <w:rPr>
          <w:rFonts w:ascii="Times New Roman" w:hAnsi="Times New Roman" w:eastAsia="Times New Roman" w:cs="Times New Roman"/>
          <w:sz w:val="21"/>
          <w:szCs w:val="21"/>
        </w:rPr>
        <w:t>varying</w:t>
      </w:r>
      <w:r>
        <w:rPr>
          <w:rFonts w:ascii="Times New Roman" w:hAnsi="Times New Roman" w:eastAsia="Times New Roman" w:cs="Times New Roman"/>
          <w:spacing w:val="22"/>
          <w:w w:val="101"/>
          <w:sz w:val="21"/>
          <w:szCs w:val="21"/>
        </w:rPr>
        <w:t xml:space="preserve"> </w:t>
      </w:r>
      <w:r>
        <w:rPr>
          <w:rFonts w:ascii="Times New Roman" w:hAnsi="Times New Roman" w:eastAsia="Times New Roman" w:cs="Times New Roman"/>
          <w:sz w:val="21"/>
          <w:szCs w:val="21"/>
        </w:rPr>
        <w:t>intensities</w:t>
      </w:r>
      <w:r>
        <w:rPr>
          <w:rFonts w:ascii="Times New Roman" w:hAnsi="Times New Roman" w:eastAsia="Times New Roman" w:cs="Times New Roman"/>
          <w:spacing w:val="24"/>
          <w:sz w:val="21"/>
          <w:szCs w:val="21"/>
        </w:rPr>
        <w:t xml:space="preserve"> </w:t>
      </w:r>
      <w:r>
        <w:rPr>
          <w:rFonts w:ascii="Times New Roman" w:hAnsi="Times New Roman" w:eastAsia="Times New Roman" w:cs="Times New Roman"/>
          <w:sz w:val="21"/>
          <w:szCs w:val="21"/>
        </w:rPr>
        <w:t>of a</w:t>
      </w:r>
      <w:r>
        <w:rPr>
          <w:rFonts w:ascii="Times New Roman" w:hAnsi="Times New Roman" w:eastAsia="Times New Roman" w:cs="Times New Roman"/>
          <w:spacing w:val="24"/>
          <w:w w:val="101"/>
          <w:sz w:val="21"/>
          <w:szCs w:val="21"/>
        </w:rPr>
        <w:t xml:space="preserve"> </w:t>
      </w:r>
      <w:r>
        <w:rPr>
          <w:rFonts w:ascii="Times New Roman" w:hAnsi="Times New Roman" w:eastAsia="Times New Roman" w:cs="Times New Roman"/>
          <w:sz w:val="21"/>
          <w:szCs w:val="21"/>
        </w:rPr>
        <w:t>factor</w:t>
      </w:r>
      <w:r>
        <w:rPr>
          <w:rFonts w:ascii="Times New Roman" w:hAnsi="Times New Roman" w:eastAsia="Times New Roman" w:cs="Times New Roman"/>
          <w:spacing w:val="22"/>
          <w:w w:val="101"/>
          <w:sz w:val="21"/>
          <w:szCs w:val="21"/>
        </w:rPr>
        <w:t xml:space="preserve"> </w:t>
      </w:r>
      <w:r>
        <w:rPr>
          <w:rFonts w:ascii="Times New Roman" w:hAnsi="Times New Roman" w:eastAsia="Times New Roman" w:cs="Times New Roman"/>
          <w:sz w:val="21"/>
          <w:szCs w:val="21"/>
        </w:rPr>
        <w:t>or</w:t>
      </w:r>
      <w:r>
        <w:rPr>
          <w:rFonts w:ascii="Times New Roman" w:hAnsi="Times New Roman" w:eastAsia="Times New Roman" w:cs="Times New Roman"/>
          <w:spacing w:val="23"/>
          <w:w w:val="101"/>
          <w:sz w:val="21"/>
          <w:szCs w:val="21"/>
        </w:rPr>
        <w:t xml:space="preserve"> </w:t>
      </w:r>
      <w:r>
        <w:rPr>
          <w:rFonts w:ascii="Times New Roman" w:hAnsi="Times New Roman" w:eastAsia="Times New Roman" w:cs="Times New Roman"/>
          <w:sz w:val="21"/>
          <w:szCs w:val="21"/>
        </w:rPr>
        <w:t>factors</w:t>
      </w:r>
      <w:r>
        <w:rPr>
          <w:rFonts w:ascii="Times New Roman" w:hAnsi="Times New Roman" w:eastAsia="Times New Roman" w:cs="Times New Roman"/>
          <w:spacing w:val="27"/>
          <w:sz w:val="21"/>
          <w:szCs w:val="21"/>
        </w:rPr>
        <w:t xml:space="preserve"> </w:t>
      </w:r>
      <w:r>
        <w:rPr>
          <w:rFonts w:ascii="Times New Roman" w:hAnsi="Times New Roman" w:eastAsia="Times New Roman" w:cs="Times New Roman"/>
          <w:sz w:val="21"/>
          <w:szCs w:val="21"/>
        </w:rPr>
        <w:t>suspected</w:t>
      </w:r>
      <w:r>
        <w:rPr>
          <w:rFonts w:ascii="Times New Roman" w:hAnsi="Times New Roman" w:eastAsia="Times New Roman" w:cs="Times New Roman"/>
          <w:spacing w:val="23"/>
          <w:sz w:val="21"/>
          <w:szCs w:val="21"/>
        </w:rPr>
        <w:t xml:space="preserve"> </w:t>
      </w:r>
      <w:r>
        <w:rPr>
          <w:rFonts w:ascii="Times New Roman" w:hAnsi="Times New Roman" w:eastAsia="Times New Roman" w:cs="Times New Roman"/>
          <w:sz w:val="21"/>
          <w:szCs w:val="21"/>
        </w:rPr>
        <w:t>of i</w:t>
      </w:r>
      <w:r>
        <w:rPr>
          <w:rFonts w:ascii="Times New Roman" w:hAnsi="Times New Roman" w:eastAsia="Times New Roman" w:cs="Times New Roman"/>
          <w:spacing w:val="-1"/>
          <w:sz w:val="21"/>
          <w:szCs w:val="21"/>
        </w:rPr>
        <w:t>nfluencing</w:t>
      </w:r>
      <w:r>
        <w:rPr>
          <w:rFonts w:ascii="Times New Roman" w:hAnsi="Times New Roman" w:eastAsia="Times New Roman" w:cs="Times New Roman"/>
          <w:spacing w:val="18"/>
          <w:w w:val="101"/>
          <w:sz w:val="21"/>
          <w:szCs w:val="21"/>
        </w:rPr>
        <w:t xml:space="preserve"> </w:t>
      </w:r>
      <w:r>
        <w:rPr>
          <w:rFonts w:ascii="Times New Roman" w:hAnsi="Times New Roman" w:eastAsia="Times New Roman" w:cs="Times New Roman"/>
          <w:spacing w:val="-1"/>
          <w:sz w:val="21"/>
          <w:szCs w:val="21"/>
        </w:rPr>
        <w:t>the</w:t>
      </w:r>
      <w:r>
        <w:rPr>
          <w:rFonts w:ascii="Times New Roman" w:hAnsi="Times New Roman" w:eastAsia="Times New Roman" w:cs="Times New Roman"/>
          <w:spacing w:val="16"/>
          <w:w w:val="101"/>
          <w:sz w:val="21"/>
          <w:szCs w:val="21"/>
        </w:rPr>
        <w:t xml:space="preserve"> </w:t>
      </w:r>
      <w:r>
        <w:rPr>
          <w:rFonts w:ascii="Times New Roman" w:hAnsi="Times New Roman" w:eastAsia="Times New Roman" w:cs="Times New Roman"/>
          <w:spacing w:val="-1"/>
          <w:sz w:val="21"/>
          <w:szCs w:val="21"/>
        </w:rPr>
        <w:t>probability</w:t>
      </w:r>
      <w:r>
        <w:rPr>
          <w:rFonts w:ascii="Times New Roman" w:hAnsi="Times New Roman" w:eastAsia="Times New Roman" w:cs="Times New Roman"/>
          <w:spacing w:val="23"/>
          <w:w w:val="101"/>
          <w:sz w:val="21"/>
          <w:szCs w:val="21"/>
        </w:rPr>
        <w:t xml:space="preserve"> </w:t>
      </w:r>
      <w:r>
        <w:rPr>
          <w:rFonts w:ascii="Times New Roman" w:hAnsi="Times New Roman" w:eastAsia="Times New Roman" w:cs="Times New Roman"/>
          <w:spacing w:val="-1"/>
          <w:sz w:val="21"/>
          <w:szCs w:val="21"/>
        </w:rPr>
        <w:t>of occurence</w:t>
      </w:r>
      <w:r>
        <w:rPr>
          <w:rFonts w:ascii="Times New Roman" w:hAnsi="Times New Roman" w:eastAsia="Times New Roman" w:cs="Times New Roman"/>
          <w:sz w:val="21"/>
          <w:szCs w:val="21"/>
        </w:rPr>
        <w:t xml:space="preserve"> </w:t>
      </w:r>
      <w:r>
        <w:rPr>
          <w:rFonts w:ascii="Times New Roman" w:hAnsi="Times New Roman" w:eastAsia="Times New Roman" w:cs="Times New Roman"/>
          <w:spacing w:val="-1"/>
          <w:sz w:val="21"/>
          <w:szCs w:val="21"/>
        </w:rPr>
        <w:t>of a</w:t>
      </w:r>
      <w:r>
        <w:rPr>
          <w:rFonts w:ascii="Times New Roman" w:hAnsi="Times New Roman" w:eastAsia="Times New Roman" w:cs="Times New Roman"/>
          <w:spacing w:val="45"/>
          <w:w w:val="101"/>
          <w:sz w:val="21"/>
          <w:szCs w:val="21"/>
        </w:rPr>
        <w:t xml:space="preserve"> </w:t>
      </w:r>
      <w:r>
        <w:rPr>
          <w:rFonts w:ascii="Times New Roman" w:hAnsi="Times New Roman" w:eastAsia="Times New Roman" w:cs="Times New Roman"/>
          <w:spacing w:val="-1"/>
          <w:sz w:val="21"/>
          <w:szCs w:val="21"/>
        </w:rPr>
        <w:t>disease</w:t>
      </w:r>
      <w:r>
        <w:rPr>
          <w:rFonts w:ascii="Times New Roman" w:hAnsi="Times New Roman" w:eastAsia="Times New Roman" w:cs="Times New Roman"/>
          <w:spacing w:val="29"/>
          <w:w w:val="101"/>
          <w:sz w:val="21"/>
          <w:szCs w:val="21"/>
        </w:rPr>
        <w:t xml:space="preserve"> </w:t>
      </w:r>
      <w:r>
        <w:rPr>
          <w:rFonts w:ascii="Times New Roman" w:hAnsi="Times New Roman" w:eastAsia="Times New Roman" w:cs="Times New Roman"/>
          <w:spacing w:val="-1"/>
          <w:sz w:val="21"/>
          <w:szCs w:val="21"/>
        </w:rPr>
        <w:t>or</w:t>
      </w:r>
      <w:r>
        <w:rPr>
          <w:rFonts w:ascii="Times New Roman" w:hAnsi="Times New Roman" w:eastAsia="Times New Roman" w:cs="Times New Roman"/>
          <w:spacing w:val="28"/>
          <w:w w:val="101"/>
          <w:sz w:val="21"/>
          <w:szCs w:val="21"/>
        </w:rPr>
        <w:t xml:space="preserve"> </w:t>
      </w:r>
      <w:r>
        <w:rPr>
          <w:rFonts w:ascii="Times New Roman" w:hAnsi="Times New Roman" w:eastAsia="Times New Roman" w:cs="Times New Roman"/>
          <w:spacing w:val="-1"/>
          <w:sz w:val="21"/>
          <w:szCs w:val="21"/>
        </w:rPr>
        <w:t>other</w:t>
      </w:r>
      <w:r>
        <w:rPr>
          <w:rFonts w:ascii="Times New Roman" w:hAnsi="Times New Roman" w:eastAsia="Times New Roman" w:cs="Times New Roman"/>
          <w:spacing w:val="23"/>
          <w:sz w:val="21"/>
          <w:szCs w:val="21"/>
        </w:rPr>
        <w:t xml:space="preserve"> </w:t>
      </w:r>
      <w:r>
        <w:rPr>
          <w:rFonts w:ascii="Times New Roman" w:hAnsi="Times New Roman" w:eastAsia="Times New Roman" w:cs="Times New Roman"/>
          <w:spacing w:val="-1"/>
          <w:sz w:val="21"/>
          <w:szCs w:val="21"/>
        </w:rPr>
        <w:t>health</w:t>
      </w:r>
      <w:r>
        <w:rPr>
          <w:rFonts w:ascii="Times New Roman" w:hAnsi="Times New Roman" w:eastAsia="Times New Roman" w:cs="Times New Roman"/>
          <w:spacing w:val="29"/>
          <w:w w:val="101"/>
          <w:sz w:val="21"/>
          <w:szCs w:val="21"/>
        </w:rPr>
        <w:t xml:space="preserve"> </w:t>
      </w:r>
      <w:r>
        <w:rPr>
          <w:rFonts w:ascii="Times New Roman" w:hAnsi="Times New Roman" w:eastAsia="Times New Roman" w:cs="Times New Roman"/>
          <w:spacing w:val="-1"/>
          <w:sz w:val="21"/>
          <w:szCs w:val="21"/>
        </w:rPr>
        <w:t>outcomes,such</w:t>
      </w:r>
      <w:r>
        <w:rPr>
          <w:rFonts w:ascii="Times New Roman" w:hAnsi="Times New Roman" w:eastAsia="Times New Roman" w:cs="Times New Roman"/>
          <w:spacing w:val="30"/>
          <w:w w:val="101"/>
          <w:sz w:val="21"/>
          <w:szCs w:val="21"/>
        </w:rPr>
        <w:t xml:space="preserve"> </w:t>
      </w:r>
      <w:r>
        <w:rPr>
          <w:rFonts w:ascii="Times New Roman" w:hAnsi="Times New Roman" w:eastAsia="Times New Roman" w:cs="Times New Roman"/>
          <w:spacing w:val="-1"/>
          <w:sz w:val="21"/>
          <w:szCs w:val="21"/>
        </w:rPr>
        <w:t>as</w:t>
      </w:r>
      <w:r>
        <w:rPr>
          <w:rFonts w:ascii="Times New Roman" w:hAnsi="Times New Roman" w:eastAsia="Times New Roman" w:cs="Times New Roman"/>
          <w:spacing w:val="29"/>
          <w:w w:val="101"/>
          <w:sz w:val="21"/>
          <w:szCs w:val="21"/>
        </w:rPr>
        <w:t xml:space="preserve"> </w:t>
      </w:r>
      <w:r>
        <w:rPr>
          <w:rFonts w:ascii="Times New Roman" w:hAnsi="Times New Roman" w:eastAsia="Times New Roman" w:cs="Times New Roman"/>
          <w:spacing w:val="-1"/>
          <w:sz w:val="21"/>
          <w:szCs w:val="21"/>
        </w:rPr>
        <w:t>death.The</w:t>
      </w:r>
      <w:r>
        <w:rPr>
          <w:rFonts w:ascii="Times New Roman" w:hAnsi="Times New Roman" w:eastAsia="Times New Roman" w:cs="Times New Roman"/>
          <w:spacing w:val="22"/>
          <w:sz w:val="21"/>
          <w:szCs w:val="21"/>
        </w:rPr>
        <w:t xml:space="preserve"> </w:t>
      </w:r>
      <w:r>
        <w:rPr>
          <w:rFonts w:ascii="Times New Roman" w:hAnsi="Times New Roman" w:eastAsia="Times New Roman" w:cs="Times New Roman"/>
          <w:spacing w:val="-1"/>
          <w:sz w:val="21"/>
          <w:szCs w:val="21"/>
        </w:rPr>
        <w:t>participants</w:t>
      </w:r>
      <w:r>
        <w:rPr>
          <w:rFonts w:ascii="Times New Roman" w:hAnsi="Times New Roman" w:eastAsia="Times New Roman" w:cs="Times New Roman"/>
          <w:spacing w:val="30"/>
          <w:w w:val="101"/>
          <w:sz w:val="21"/>
          <w:szCs w:val="21"/>
        </w:rPr>
        <w:t xml:space="preserve"> </w:t>
      </w:r>
      <w:r>
        <w:rPr>
          <w:rFonts w:ascii="Times New Roman" w:hAnsi="Times New Roman" w:eastAsia="Times New Roman" w:cs="Times New Roman"/>
          <w:spacing w:val="-1"/>
          <w:sz w:val="21"/>
          <w:szCs w:val="21"/>
        </w:rPr>
        <w:t>are</w:t>
      </w:r>
      <w:r>
        <w:rPr>
          <w:rFonts w:ascii="Times New Roman" w:hAnsi="Times New Roman" w:eastAsia="Times New Roman" w:cs="Times New Roman"/>
          <w:spacing w:val="24"/>
          <w:w w:val="101"/>
          <w:sz w:val="21"/>
          <w:szCs w:val="21"/>
        </w:rPr>
        <w:t xml:space="preserve"> </w:t>
      </w:r>
      <w:r>
        <w:rPr>
          <w:rFonts w:ascii="Times New Roman" w:hAnsi="Times New Roman" w:eastAsia="Times New Roman" w:cs="Times New Roman"/>
          <w:spacing w:val="-1"/>
          <w:sz w:val="21"/>
          <w:szCs w:val="21"/>
        </w:rPr>
        <w:t>then</w:t>
      </w:r>
      <w:r>
        <w:rPr>
          <w:rFonts w:ascii="Times New Roman" w:hAnsi="Times New Roman" w:eastAsia="Times New Roman" w:cs="Times New Roman"/>
          <w:spacing w:val="31"/>
          <w:sz w:val="21"/>
          <w:szCs w:val="21"/>
        </w:rPr>
        <w:t xml:space="preserve"> </w:t>
      </w:r>
      <w:r>
        <w:rPr>
          <w:rFonts w:ascii="Times New Roman" w:hAnsi="Times New Roman" w:eastAsia="Times New Roman" w:cs="Times New Roman"/>
          <w:spacing w:val="-1"/>
          <w:sz w:val="21"/>
          <w:szCs w:val="21"/>
        </w:rPr>
        <w:t>followed</w:t>
      </w:r>
      <w:r>
        <w:rPr>
          <w:rFonts w:ascii="Times New Roman" w:hAnsi="Times New Roman" w:eastAsia="Times New Roman" w:cs="Times New Roman"/>
          <w:spacing w:val="22"/>
          <w:w w:val="101"/>
          <w:sz w:val="21"/>
          <w:szCs w:val="21"/>
        </w:rPr>
        <w:t xml:space="preserve"> </w:t>
      </w:r>
      <w:r>
        <w:rPr>
          <w:rFonts w:ascii="Times New Roman" w:hAnsi="Times New Roman" w:eastAsia="Times New Roman" w:cs="Times New Roman"/>
          <w:spacing w:val="-1"/>
          <w:sz w:val="21"/>
          <w:szCs w:val="21"/>
        </w:rPr>
        <w:t>up</w:t>
      </w:r>
      <w:r>
        <w:rPr>
          <w:rFonts w:ascii="Times New Roman" w:hAnsi="Times New Roman" w:eastAsia="Times New Roman" w:cs="Times New Roman"/>
          <w:spacing w:val="31"/>
          <w:sz w:val="21"/>
          <w:szCs w:val="21"/>
        </w:rPr>
        <w:t xml:space="preserve"> </w:t>
      </w:r>
      <w:r>
        <w:rPr>
          <w:rFonts w:ascii="Times New Roman" w:hAnsi="Times New Roman" w:eastAsia="Times New Roman" w:cs="Times New Roman"/>
          <w:spacing w:val="-1"/>
          <w:sz w:val="21"/>
          <w:szCs w:val="21"/>
        </w:rPr>
        <w:t>for</w:t>
      </w:r>
      <w:r>
        <w:rPr>
          <w:rFonts w:ascii="Times New Roman" w:hAnsi="Times New Roman" w:eastAsia="Times New Roman" w:cs="Times New Roman"/>
          <w:spacing w:val="29"/>
          <w:sz w:val="21"/>
          <w:szCs w:val="21"/>
        </w:rPr>
        <w:t xml:space="preserve"> </w:t>
      </w:r>
      <w:r>
        <w:rPr>
          <w:rFonts w:ascii="Times New Roman" w:hAnsi="Times New Roman" w:eastAsia="Times New Roman" w:cs="Times New Roman"/>
          <w:spacing w:val="-1"/>
          <w:sz w:val="21"/>
          <w:szCs w:val="21"/>
        </w:rPr>
        <w:t>a</w:t>
      </w:r>
      <w:r>
        <w:rPr>
          <w:rFonts w:ascii="Times New Roman" w:hAnsi="Times New Roman" w:eastAsia="Times New Roman" w:cs="Times New Roman"/>
          <w:spacing w:val="33"/>
          <w:sz w:val="21"/>
          <w:szCs w:val="21"/>
        </w:rPr>
        <w:t xml:space="preserve"> </w:t>
      </w:r>
      <w:r>
        <w:rPr>
          <w:rFonts w:ascii="Times New Roman" w:hAnsi="Times New Roman" w:eastAsia="Times New Roman" w:cs="Times New Roman"/>
          <w:spacing w:val="-1"/>
          <w:sz w:val="21"/>
          <w:szCs w:val="21"/>
        </w:rPr>
        <w:t>sufficiently</w:t>
      </w:r>
      <w:r>
        <w:rPr>
          <w:rFonts w:ascii="Times New Roman" w:hAnsi="Times New Roman" w:eastAsia="Times New Roman" w:cs="Times New Roman"/>
          <w:sz w:val="21"/>
          <w:szCs w:val="21"/>
        </w:rPr>
        <w:t xml:space="preserve"> </w:t>
      </w:r>
      <w:r>
        <w:rPr>
          <w:rFonts w:ascii="Times New Roman" w:hAnsi="Times New Roman" w:eastAsia="Times New Roman" w:cs="Times New Roman"/>
          <w:spacing w:val="-1"/>
          <w:sz w:val="21"/>
          <w:szCs w:val="21"/>
        </w:rPr>
        <w:t>long</w:t>
      </w:r>
      <w:r>
        <w:rPr>
          <w:rFonts w:ascii="Times New Roman" w:hAnsi="Times New Roman" w:eastAsia="Times New Roman" w:cs="Times New Roman"/>
          <w:spacing w:val="53"/>
          <w:sz w:val="21"/>
          <w:szCs w:val="21"/>
        </w:rPr>
        <w:t xml:space="preserve"> </w:t>
      </w:r>
      <w:r>
        <w:rPr>
          <w:rFonts w:ascii="Times New Roman" w:hAnsi="Times New Roman" w:eastAsia="Times New Roman" w:cs="Times New Roman"/>
          <w:spacing w:val="-1"/>
          <w:sz w:val="21"/>
          <w:szCs w:val="21"/>
        </w:rPr>
        <w:t>period</w:t>
      </w:r>
      <w:r>
        <w:rPr>
          <w:rFonts w:ascii="Times New Roman" w:hAnsi="Times New Roman" w:eastAsia="Times New Roman" w:cs="Times New Roman"/>
          <w:spacing w:val="46"/>
          <w:sz w:val="21"/>
          <w:szCs w:val="21"/>
        </w:rPr>
        <w:t xml:space="preserve"> </w:t>
      </w:r>
      <w:r>
        <w:rPr>
          <w:rFonts w:ascii="Times New Roman" w:hAnsi="Times New Roman" w:eastAsia="Times New Roman" w:cs="Times New Roman"/>
          <w:spacing w:val="-1"/>
          <w:sz w:val="21"/>
          <w:szCs w:val="21"/>
        </w:rPr>
        <w:t>of</w:t>
      </w:r>
      <w:r>
        <w:rPr>
          <w:rFonts w:ascii="Times New Roman" w:hAnsi="Times New Roman" w:eastAsia="Times New Roman" w:cs="Times New Roman"/>
          <w:spacing w:val="19"/>
          <w:w w:val="101"/>
          <w:sz w:val="21"/>
          <w:szCs w:val="21"/>
        </w:rPr>
        <w:t xml:space="preserve"> </w:t>
      </w:r>
      <w:r>
        <w:rPr>
          <w:rFonts w:ascii="Times New Roman" w:hAnsi="Times New Roman" w:eastAsia="Times New Roman" w:cs="Times New Roman"/>
          <w:spacing w:val="-1"/>
          <w:sz w:val="21"/>
          <w:szCs w:val="21"/>
        </w:rPr>
        <w:t>time</w:t>
      </w:r>
      <w:r>
        <w:rPr>
          <w:rFonts w:ascii="Times New Roman" w:hAnsi="Times New Roman" w:eastAsia="Times New Roman" w:cs="Times New Roman"/>
          <w:spacing w:val="41"/>
          <w:w w:val="101"/>
          <w:sz w:val="21"/>
          <w:szCs w:val="21"/>
        </w:rPr>
        <w:t xml:space="preserve"> </w:t>
      </w:r>
      <w:r>
        <w:rPr>
          <w:rFonts w:ascii="Times New Roman" w:hAnsi="Times New Roman" w:eastAsia="Times New Roman" w:cs="Times New Roman"/>
          <w:spacing w:val="-1"/>
          <w:sz w:val="21"/>
          <w:szCs w:val="21"/>
        </w:rPr>
        <w:t>to</w:t>
      </w:r>
      <w:r>
        <w:rPr>
          <w:rFonts w:ascii="Times New Roman" w:hAnsi="Times New Roman" w:eastAsia="Times New Roman" w:cs="Times New Roman"/>
          <w:spacing w:val="46"/>
          <w:sz w:val="21"/>
          <w:szCs w:val="21"/>
        </w:rPr>
        <w:t xml:space="preserve"> </w:t>
      </w:r>
      <w:r>
        <w:rPr>
          <w:rFonts w:ascii="Times New Roman" w:hAnsi="Times New Roman" w:eastAsia="Times New Roman" w:cs="Times New Roman"/>
          <w:spacing w:val="-1"/>
          <w:sz w:val="21"/>
          <w:szCs w:val="21"/>
        </w:rPr>
        <w:t>collect</w:t>
      </w:r>
      <w:r>
        <w:rPr>
          <w:rFonts w:ascii="Times New Roman" w:hAnsi="Times New Roman" w:eastAsia="Times New Roman" w:cs="Times New Roman"/>
          <w:spacing w:val="46"/>
          <w:sz w:val="21"/>
          <w:szCs w:val="21"/>
        </w:rPr>
        <w:t xml:space="preserve"> </w:t>
      </w:r>
      <w:r>
        <w:rPr>
          <w:rFonts w:ascii="Times New Roman" w:hAnsi="Times New Roman" w:eastAsia="Times New Roman" w:cs="Times New Roman"/>
          <w:spacing w:val="-1"/>
          <w:sz w:val="21"/>
          <w:szCs w:val="21"/>
        </w:rPr>
        <w:t>data</w:t>
      </w:r>
      <w:r>
        <w:rPr>
          <w:rFonts w:ascii="Times New Roman" w:hAnsi="Times New Roman" w:eastAsia="Times New Roman" w:cs="Times New Roman"/>
          <w:spacing w:val="46"/>
          <w:sz w:val="21"/>
          <w:szCs w:val="21"/>
        </w:rPr>
        <w:t xml:space="preserve"> </w:t>
      </w:r>
      <w:r>
        <w:rPr>
          <w:rFonts w:ascii="Times New Roman" w:hAnsi="Times New Roman" w:eastAsia="Times New Roman" w:cs="Times New Roman"/>
          <w:spacing w:val="-1"/>
          <w:sz w:val="21"/>
          <w:szCs w:val="21"/>
        </w:rPr>
        <w:t>on</w:t>
      </w:r>
      <w:r>
        <w:rPr>
          <w:rFonts w:ascii="Times New Roman" w:hAnsi="Times New Roman" w:eastAsia="Times New Roman" w:cs="Times New Roman"/>
          <w:spacing w:val="41"/>
          <w:w w:val="101"/>
          <w:sz w:val="21"/>
          <w:szCs w:val="21"/>
        </w:rPr>
        <w:t xml:space="preserve"> </w:t>
      </w:r>
      <w:r>
        <w:rPr>
          <w:rFonts w:ascii="Times New Roman" w:hAnsi="Times New Roman" w:eastAsia="Times New Roman" w:cs="Times New Roman"/>
          <w:spacing w:val="-1"/>
          <w:sz w:val="21"/>
          <w:szCs w:val="21"/>
        </w:rPr>
        <w:t>the</w:t>
      </w:r>
      <w:r>
        <w:rPr>
          <w:rFonts w:ascii="Times New Roman" w:hAnsi="Times New Roman" w:eastAsia="Times New Roman" w:cs="Times New Roman"/>
          <w:spacing w:val="46"/>
          <w:w w:val="101"/>
          <w:sz w:val="21"/>
          <w:szCs w:val="21"/>
        </w:rPr>
        <w:t xml:space="preserve"> </w:t>
      </w:r>
      <w:r>
        <w:rPr>
          <w:rFonts w:ascii="Times New Roman" w:hAnsi="Times New Roman" w:eastAsia="Times New Roman" w:cs="Times New Roman"/>
          <w:spacing w:val="-1"/>
          <w:sz w:val="21"/>
          <w:szCs w:val="21"/>
        </w:rPr>
        <w:t>outcomes.The</w:t>
      </w:r>
      <w:r>
        <w:rPr>
          <w:rFonts w:ascii="Times New Roman" w:hAnsi="Times New Roman" w:eastAsia="Times New Roman" w:cs="Times New Roman"/>
          <w:spacing w:val="45"/>
          <w:sz w:val="21"/>
          <w:szCs w:val="21"/>
        </w:rPr>
        <w:t xml:space="preserve"> </w:t>
      </w:r>
      <w:r>
        <w:rPr>
          <w:rFonts w:ascii="Times New Roman" w:hAnsi="Times New Roman" w:eastAsia="Times New Roman" w:cs="Times New Roman"/>
          <w:spacing w:val="-1"/>
          <w:sz w:val="21"/>
          <w:szCs w:val="21"/>
        </w:rPr>
        <w:t>incidence</w:t>
      </w:r>
      <w:r>
        <w:rPr>
          <w:rFonts w:ascii="Times New Roman" w:hAnsi="Times New Roman" w:eastAsia="Times New Roman" w:cs="Times New Roman"/>
          <w:spacing w:val="40"/>
          <w:w w:val="101"/>
          <w:sz w:val="21"/>
          <w:szCs w:val="21"/>
        </w:rPr>
        <w:t xml:space="preserve"> </w:t>
      </w:r>
      <w:r>
        <w:rPr>
          <w:rFonts w:ascii="Times New Roman" w:hAnsi="Times New Roman" w:eastAsia="Times New Roman" w:cs="Times New Roman"/>
          <w:spacing w:val="-1"/>
          <w:sz w:val="21"/>
          <w:szCs w:val="21"/>
        </w:rPr>
        <w:t>rates</w:t>
      </w:r>
      <w:r>
        <w:rPr>
          <w:rFonts w:ascii="Times New Roman" w:hAnsi="Times New Roman" w:eastAsia="Times New Roman" w:cs="Times New Roman"/>
          <w:spacing w:val="46"/>
          <w:w w:val="101"/>
          <w:sz w:val="21"/>
          <w:szCs w:val="21"/>
        </w:rPr>
        <w:t xml:space="preserve"> </w:t>
      </w:r>
      <w:r>
        <w:rPr>
          <w:rFonts w:ascii="Times New Roman" w:hAnsi="Times New Roman" w:eastAsia="Times New Roman" w:cs="Times New Roman"/>
          <w:spacing w:val="-1"/>
          <w:sz w:val="21"/>
          <w:szCs w:val="21"/>
        </w:rPr>
        <w:t>can</w:t>
      </w:r>
      <w:r>
        <w:rPr>
          <w:rFonts w:ascii="Times New Roman" w:hAnsi="Times New Roman" w:eastAsia="Times New Roman" w:cs="Times New Roman"/>
          <w:spacing w:val="39"/>
          <w:sz w:val="21"/>
          <w:szCs w:val="21"/>
        </w:rPr>
        <w:t xml:space="preserve"> </w:t>
      </w:r>
      <w:r>
        <w:rPr>
          <w:rFonts w:ascii="Times New Roman" w:hAnsi="Times New Roman" w:eastAsia="Times New Roman" w:cs="Times New Roman"/>
          <w:spacing w:val="-1"/>
          <w:sz w:val="21"/>
          <w:szCs w:val="21"/>
        </w:rPr>
        <w:t>be</w:t>
      </w:r>
      <w:r>
        <w:rPr>
          <w:rFonts w:ascii="Times New Roman" w:hAnsi="Times New Roman" w:eastAsia="Times New Roman" w:cs="Times New Roman"/>
          <w:spacing w:val="47"/>
          <w:sz w:val="21"/>
          <w:szCs w:val="21"/>
        </w:rPr>
        <w:t xml:space="preserve"> </w:t>
      </w:r>
      <w:r>
        <w:rPr>
          <w:rFonts w:ascii="Times New Roman" w:hAnsi="Times New Roman" w:eastAsia="Times New Roman" w:cs="Times New Roman"/>
          <w:spacing w:val="-1"/>
          <w:sz w:val="21"/>
          <w:szCs w:val="21"/>
        </w:rPr>
        <w:t>estimated</w:t>
      </w:r>
      <w:r>
        <w:rPr>
          <w:rFonts w:ascii="Times New Roman" w:hAnsi="Times New Roman" w:eastAsia="Times New Roman" w:cs="Times New Roman"/>
          <w:spacing w:val="46"/>
          <w:sz w:val="21"/>
          <w:szCs w:val="21"/>
        </w:rPr>
        <w:t xml:space="preserve"> </w:t>
      </w:r>
      <w:r>
        <w:rPr>
          <w:rFonts w:ascii="Times New Roman" w:hAnsi="Times New Roman" w:eastAsia="Times New Roman" w:cs="Times New Roman"/>
          <w:spacing w:val="-1"/>
          <w:sz w:val="21"/>
          <w:szCs w:val="21"/>
        </w:rPr>
        <w:t>and</w:t>
      </w:r>
      <w:r>
        <w:rPr>
          <w:rFonts w:ascii="Times New Roman" w:hAnsi="Times New Roman" w:eastAsia="Times New Roman" w:cs="Times New Roman"/>
          <w:spacing w:val="46"/>
          <w:sz w:val="21"/>
          <w:szCs w:val="21"/>
        </w:rPr>
        <w:t xml:space="preserve"> </w:t>
      </w:r>
      <w:r>
        <w:rPr>
          <w:rFonts w:ascii="Times New Roman" w:hAnsi="Times New Roman" w:eastAsia="Times New Roman" w:cs="Times New Roman"/>
          <w:spacing w:val="-1"/>
          <w:sz w:val="21"/>
          <w:szCs w:val="21"/>
        </w:rPr>
        <w:t>compared</w:t>
      </w:r>
      <w:r>
        <w:rPr>
          <w:rFonts w:ascii="Times New Roman" w:hAnsi="Times New Roman" w:eastAsia="Times New Roman" w:cs="Times New Roman"/>
          <w:sz w:val="21"/>
          <w:szCs w:val="21"/>
        </w:rPr>
        <w:t xml:space="preserve"> in</w:t>
      </w:r>
      <w:r>
        <w:rPr>
          <w:rFonts w:ascii="Times New Roman" w:hAnsi="Times New Roman" w:eastAsia="Times New Roman" w:cs="Times New Roman"/>
          <w:spacing w:val="42"/>
          <w:w w:val="101"/>
          <w:sz w:val="21"/>
          <w:szCs w:val="21"/>
        </w:rPr>
        <w:t xml:space="preserve"> </w:t>
      </w:r>
      <w:r>
        <w:rPr>
          <w:rFonts w:ascii="Times New Roman" w:hAnsi="Times New Roman" w:eastAsia="Times New Roman" w:cs="Times New Roman"/>
          <w:sz w:val="21"/>
          <w:szCs w:val="21"/>
        </w:rPr>
        <w:t>groups</w:t>
      </w:r>
      <w:r>
        <w:rPr>
          <w:rFonts w:ascii="Times New Roman" w:hAnsi="Times New Roman" w:eastAsia="Times New Roman" w:cs="Times New Roman"/>
          <w:spacing w:val="37"/>
          <w:w w:val="101"/>
          <w:sz w:val="21"/>
          <w:szCs w:val="21"/>
        </w:rPr>
        <w:t xml:space="preserve"> </w:t>
      </w:r>
      <w:r>
        <w:rPr>
          <w:rFonts w:ascii="Times New Roman" w:hAnsi="Times New Roman" w:eastAsia="Times New Roman" w:cs="Times New Roman"/>
          <w:sz w:val="21"/>
          <w:szCs w:val="21"/>
        </w:rPr>
        <w:t>with</w:t>
      </w:r>
      <w:r>
        <w:rPr>
          <w:rFonts w:ascii="Times New Roman" w:hAnsi="Times New Roman" w:eastAsia="Times New Roman" w:cs="Times New Roman"/>
          <w:spacing w:val="43"/>
          <w:sz w:val="21"/>
          <w:szCs w:val="21"/>
        </w:rPr>
        <w:t xml:space="preserve"> </w:t>
      </w:r>
      <w:r>
        <w:rPr>
          <w:rFonts w:ascii="Times New Roman" w:hAnsi="Times New Roman" w:eastAsia="Times New Roman" w:cs="Times New Roman"/>
          <w:sz w:val="21"/>
          <w:szCs w:val="21"/>
        </w:rPr>
        <w:t>differe</w:t>
      </w:r>
      <w:r>
        <w:rPr>
          <w:rFonts w:ascii="Times New Roman" w:hAnsi="Times New Roman" w:eastAsia="Times New Roman" w:cs="Times New Roman"/>
          <w:spacing w:val="-1"/>
          <w:sz w:val="21"/>
          <w:szCs w:val="21"/>
        </w:rPr>
        <w:t>nt</w:t>
      </w:r>
      <w:r>
        <w:rPr>
          <w:rFonts w:ascii="Times New Roman" w:hAnsi="Times New Roman" w:eastAsia="Times New Roman" w:cs="Times New Roman"/>
          <w:spacing w:val="43"/>
          <w:w w:val="101"/>
          <w:sz w:val="21"/>
          <w:szCs w:val="21"/>
        </w:rPr>
        <w:t xml:space="preserve"> </w:t>
      </w:r>
      <w:r>
        <w:rPr>
          <w:rFonts w:ascii="Times New Roman" w:hAnsi="Times New Roman" w:eastAsia="Times New Roman" w:cs="Times New Roman"/>
          <w:spacing w:val="-1"/>
          <w:sz w:val="21"/>
          <w:szCs w:val="21"/>
        </w:rPr>
        <w:t>exposure</w:t>
      </w:r>
      <w:r>
        <w:rPr>
          <w:rFonts w:ascii="Times New Roman" w:hAnsi="Times New Roman" w:eastAsia="Times New Roman" w:cs="Times New Roman"/>
          <w:spacing w:val="46"/>
          <w:sz w:val="21"/>
          <w:szCs w:val="21"/>
        </w:rPr>
        <w:t xml:space="preserve"> </w:t>
      </w:r>
      <w:r>
        <w:rPr>
          <w:rFonts w:ascii="Times New Roman" w:hAnsi="Times New Roman" w:eastAsia="Times New Roman" w:cs="Times New Roman"/>
          <w:spacing w:val="-1"/>
          <w:sz w:val="21"/>
          <w:szCs w:val="21"/>
        </w:rPr>
        <w:t>statuses,and</w:t>
      </w:r>
      <w:r>
        <w:rPr>
          <w:rFonts w:ascii="Times New Roman" w:hAnsi="Times New Roman" w:eastAsia="Times New Roman" w:cs="Times New Roman"/>
          <w:spacing w:val="38"/>
          <w:sz w:val="21"/>
          <w:szCs w:val="21"/>
        </w:rPr>
        <w:t xml:space="preserve"> </w:t>
      </w:r>
      <w:r>
        <w:rPr>
          <w:rFonts w:ascii="Times New Roman" w:hAnsi="Times New Roman" w:eastAsia="Times New Roman" w:cs="Times New Roman"/>
          <w:spacing w:val="-1"/>
          <w:sz w:val="21"/>
          <w:szCs w:val="21"/>
        </w:rPr>
        <w:t>the</w:t>
      </w:r>
      <w:r>
        <w:rPr>
          <w:rFonts w:ascii="Times New Roman" w:hAnsi="Times New Roman" w:eastAsia="Times New Roman" w:cs="Times New Roman"/>
          <w:spacing w:val="37"/>
          <w:sz w:val="21"/>
          <w:szCs w:val="21"/>
        </w:rPr>
        <w:t xml:space="preserve"> </w:t>
      </w:r>
      <w:r>
        <w:rPr>
          <w:rFonts w:ascii="Times New Roman" w:hAnsi="Times New Roman" w:eastAsia="Times New Roman" w:cs="Times New Roman"/>
          <w:spacing w:val="-1"/>
          <w:sz w:val="21"/>
          <w:szCs w:val="21"/>
        </w:rPr>
        <w:t>results</w:t>
      </w:r>
      <w:r>
        <w:rPr>
          <w:rFonts w:ascii="Times New Roman" w:hAnsi="Times New Roman" w:eastAsia="Times New Roman" w:cs="Times New Roman"/>
          <w:spacing w:val="44"/>
          <w:sz w:val="21"/>
          <w:szCs w:val="21"/>
        </w:rPr>
        <w:t xml:space="preserve"> </w:t>
      </w:r>
      <w:r>
        <w:rPr>
          <w:rFonts w:ascii="Times New Roman" w:hAnsi="Times New Roman" w:eastAsia="Times New Roman" w:cs="Times New Roman"/>
          <w:spacing w:val="-1"/>
          <w:sz w:val="21"/>
          <w:szCs w:val="21"/>
        </w:rPr>
        <w:t>are</w:t>
      </w:r>
      <w:r>
        <w:rPr>
          <w:rFonts w:ascii="Times New Roman" w:hAnsi="Times New Roman" w:eastAsia="Times New Roman" w:cs="Times New Roman"/>
          <w:spacing w:val="36"/>
          <w:sz w:val="21"/>
          <w:szCs w:val="21"/>
        </w:rPr>
        <w:t xml:space="preserve"> </w:t>
      </w:r>
      <w:r>
        <w:rPr>
          <w:rFonts w:ascii="Times New Roman" w:hAnsi="Times New Roman" w:eastAsia="Times New Roman" w:cs="Times New Roman"/>
          <w:spacing w:val="-1"/>
          <w:sz w:val="21"/>
          <w:szCs w:val="21"/>
        </w:rPr>
        <w:t>used</w:t>
      </w:r>
      <w:r>
        <w:rPr>
          <w:rFonts w:ascii="Times New Roman" w:hAnsi="Times New Roman" w:eastAsia="Times New Roman" w:cs="Times New Roman"/>
          <w:spacing w:val="38"/>
          <w:sz w:val="21"/>
          <w:szCs w:val="21"/>
        </w:rPr>
        <w:t xml:space="preserve"> </w:t>
      </w:r>
      <w:r>
        <w:rPr>
          <w:rFonts w:ascii="Times New Roman" w:hAnsi="Times New Roman" w:eastAsia="Times New Roman" w:cs="Times New Roman"/>
          <w:spacing w:val="-1"/>
          <w:sz w:val="21"/>
          <w:szCs w:val="21"/>
        </w:rPr>
        <w:t>to</w:t>
      </w:r>
      <w:r>
        <w:rPr>
          <w:rFonts w:ascii="Times New Roman" w:hAnsi="Times New Roman" w:eastAsia="Times New Roman" w:cs="Times New Roman"/>
          <w:spacing w:val="38"/>
          <w:sz w:val="21"/>
          <w:szCs w:val="21"/>
        </w:rPr>
        <w:t xml:space="preserve"> </w:t>
      </w:r>
      <w:r>
        <w:rPr>
          <w:rFonts w:ascii="Times New Roman" w:hAnsi="Times New Roman" w:eastAsia="Times New Roman" w:cs="Times New Roman"/>
          <w:spacing w:val="-1"/>
          <w:sz w:val="21"/>
          <w:szCs w:val="21"/>
        </w:rPr>
        <w:t>test</w:t>
      </w:r>
      <w:r>
        <w:rPr>
          <w:rFonts w:ascii="Times New Roman" w:hAnsi="Times New Roman" w:eastAsia="Times New Roman" w:cs="Times New Roman"/>
          <w:spacing w:val="38"/>
          <w:sz w:val="21"/>
          <w:szCs w:val="21"/>
        </w:rPr>
        <w:t xml:space="preserve"> </w:t>
      </w:r>
      <w:r>
        <w:rPr>
          <w:rFonts w:ascii="Times New Roman" w:hAnsi="Times New Roman" w:eastAsia="Times New Roman" w:cs="Times New Roman"/>
          <w:spacing w:val="-1"/>
          <w:sz w:val="21"/>
          <w:szCs w:val="21"/>
        </w:rPr>
        <w:t>the</w:t>
      </w:r>
      <w:r>
        <w:rPr>
          <w:rFonts w:ascii="Times New Roman" w:hAnsi="Times New Roman" w:eastAsia="Times New Roman" w:cs="Times New Roman"/>
          <w:spacing w:val="37"/>
          <w:sz w:val="21"/>
          <w:szCs w:val="21"/>
        </w:rPr>
        <w:t xml:space="preserve"> </w:t>
      </w:r>
      <w:r>
        <w:rPr>
          <w:rFonts w:ascii="Times New Roman" w:hAnsi="Times New Roman" w:eastAsia="Times New Roman" w:cs="Times New Roman"/>
          <w:spacing w:val="-1"/>
          <w:sz w:val="21"/>
          <w:szCs w:val="21"/>
        </w:rPr>
        <w:t>relationship</w:t>
      </w:r>
      <w:r>
        <w:rPr>
          <w:rFonts w:ascii="Times New Roman" w:hAnsi="Times New Roman" w:eastAsia="Times New Roman" w:cs="Times New Roman"/>
          <w:spacing w:val="36"/>
          <w:sz w:val="21"/>
          <w:szCs w:val="21"/>
        </w:rPr>
        <w:t xml:space="preserve"> </w:t>
      </w:r>
      <w:r>
        <w:rPr>
          <w:rFonts w:ascii="Times New Roman" w:hAnsi="Times New Roman" w:eastAsia="Times New Roman" w:cs="Times New Roman"/>
          <w:spacing w:val="-1"/>
          <w:sz w:val="21"/>
          <w:szCs w:val="21"/>
        </w:rPr>
        <w:t>between</w:t>
      </w:r>
      <w:r>
        <w:rPr>
          <w:rFonts w:ascii="Times New Roman" w:hAnsi="Times New Roman" w:eastAsia="Times New Roman" w:cs="Times New Roman"/>
          <w:spacing w:val="43"/>
          <w:w w:val="101"/>
          <w:sz w:val="21"/>
          <w:szCs w:val="21"/>
        </w:rPr>
        <w:t xml:space="preserve"> </w:t>
      </w:r>
      <w:r>
        <w:rPr>
          <w:rFonts w:ascii="Times New Roman" w:hAnsi="Times New Roman" w:eastAsia="Times New Roman" w:cs="Times New Roman"/>
          <w:spacing w:val="-1"/>
          <w:sz w:val="21"/>
          <w:szCs w:val="21"/>
        </w:rPr>
        <w:t>a</w:t>
      </w:r>
      <w:r>
        <w:rPr>
          <w:rFonts w:ascii="Times New Roman" w:hAnsi="Times New Roman" w:eastAsia="Times New Roman" w:cs="Times New Roman"/>
          <w:spacing w:val="37"/>
          <w:w w:val="101"/>
          <w:sz w:val="21"/>
          <w:szCs w:val="21"/>
        </w:rPr>
        <w:t xml:space="preserve"> </w:t>
      </w:r>
      <w:r>
        <w:rPr>
          <w:rFonts w:ascii="Times New Roman" w:hAnsi="Times New Roman" w:eastAsia="Times New Roman" w:cs="Times New Roman"/>
          <w:spacing w:val="-1"/>
          <w:sz w:val="21"/>
          <w:szCs w:val="21"/>
        </w:rPr>
        <w:t>risk</w:t>
      </w:r>
      <w:r>
        <w:rPr>
          <w:rFonts w:ascii="Times New Roman" w:hAnsi="Times New Roman" w:eastAsia="Times New Roman" w:cs="Times New Roman"/>
          <w:sz w:val="21"/>
          <w:szCs w:val="21"/>
        </w:rPr>
        <w:t xml:space="preserve"> </w:t>
      </w:r>
      <w:r>
        <w:rPr>
          <w:rFonts w:ascii="Times New Roman" w:hAnsi="Times New Roman" w:eastAsia="Times New Roman" w:cs="Times New Roman"/>
          <w:spacing w:val="-1"/>
          <w:sz w:val="21"/>
          <w:szCs w:val="21"/>
        </w:rPr>
        <w:t>factor</w:t>
      </w:r>
      <w:r>
        <w:rPr>
          <w:rFonts w:ascii="Times New Roman" w:hAnsi="Times New Roman" w:eastAsia="Times New Roman" w:cs="Times New Roman"/>
          <w:spacing w:val="36"/>
          <w:sz w:val="21"/>
          <w:szCs w:val="21"/>
        </w:rPr>
        <w:t xml:space="preserve"> </w:t>
      </w:r>
      <w:r>
        <w:rPr>
          <w:rFonts w:ascii="Times New Roman" w:hAnsi="Times New Roman" w:eastAsia="Times New Roman" w:cs="Times New Roman"/>
          <w:spacing w:val="-1"/>
          <w:sz w:val="21"/>
          <w:szCs w:val="21"/>
        </w:rPr>
        <w:t>and</w:t>
      </w:r>
      <w:r>
        <w:rPr>
          <w:rFonts w:ascii="Times New Roman" w:hAnsi="Times New Roman" w:eastAsia="Times New Roman" w:cs="Times New Roman"/>
          <w:spacing w:val="37"/>
          <w:sz w:val="21"/>
          <w:szCs w:val="21"/>
        </w:rPr>
        <w:t xml:space="preserve"> </w:t>
      </w:r>
      <w:r>
        <w:rPr>
          <w:rFonts w:ascii="Times New Roman" w:hAnsi="Times New Roman" w:eastAsia="Times New Roman" w:cs="Times New Roman"/>
          <w:spacing w:val="-1"/>
          <w:sz w:val="21"/>
          <w:szCs w:val="21"/>
        </w:rPr>
        <w:t>an</w:t>
      </w:r>
      <w:r>
        <w:rPr>
          <w:rFonts w:ascii="Times New Roman" w:hAnsi="Times New Roman" w:eastAsia="Times New Roman" w:cs="Times New Roman"/>
          <w:spacing w:val="37"/>
          <w:sz w:val="21"/>
          <w:szCs w:val="21"/>
        </w:rPr>
        <w:t xml:space="preserve"> </w:t>
      </w:r>
      <w:r>
        <w:rPr>
          <w:rFonts w:ascii="Times New Roman" w:hAnsi="Times New Roman" w:eastAsia="Times New Roman" w:cs="Times New Roman"/>
          <w:spacing w:val="-1"/>
          <w:sz w:val="21"/>
          <w:szCs w:val="21"/>
        </w:rPr>
        <w:t>outcome.Unlike</w:t>
      </w:r>
      <w:r>
        <w:rPr>
          <w:rFonts w:ascii="Times New Roman" w:hAnsi="Times New Roman" w:eastAsia="Times New Roman" w:cs="Times New Roman"/>
          <w:spacing w:val="37"/>
          <w:w w:val="101"/>
          <w:sz w:val="21"/>
          <w:szCs w:val="21"/>
        </w:rPr>
        <w:t xml:space="preserve"> </w:t>
      </w:r>
      <w:r>
        <w:rPr>
          <w:rFonts w:ascii="Times New Roman" w:hAnsi="Times New Roman" w:eastAsia="Times New Roman" w:cs="Times New Roman"/>
          <w:spacing w:val="-1"/>
          <w:sz w:val="21"/>
          <w:szCs w:val="21"/>
        </w:rPr>
        <w:t>case-control</w:t>
      </w:r>
      <w:r>
        <w:rPr>
          <w:rFonts w:ascii="Times New Roman" w:hAnsi="Times New Roman" w:eastAsia="Times New Roman" w:cs="Times New Roman"/>
          <w:spacing w:val="37"/>
          <w:sz w:val="21"/>
          <w:szCs w:val="21"/>
        </w:rPr>
        <w:t xml:space="preserve"> </w:t>
      </w:r>
      <w:r>
        <w:rPr>
          <w:rFonts w:ascii="Times New Roman" w:hAnsi="Times New Roman" w:eastAsia="Times New Roman" w:cs="Times New Roman"/>
          <w:spacing w:val="-1"/>
          <w:sz w:val="21"/>
          <w:szCs w:val="21"/>
        </w:rPr>
        <w:t>or</w:t>
      </w:r>
      <w:r>
        <w:rPr>
          <w:rFonts w:ascii="Times New Roman" w:hAnsi="Times New Roman" w:eastAsia="Times New Roman" w:cs="Times New Roman"/>
          <w:spacing w:val="35"/>
          <w:w w:val="101"/>
          <w:sz w:val="21"/>
          <w:szCs w:val="21"/>
        </w:rPr>
        <w:t xml:space="preserve"> </w:t>
      </w:r>
      <w:r>
        <w:rPr>
          <w:rFonts w:ascii="Times New Roman" w:hAnsi="Times New Roman" w:eastAsia="Times New Roman" w:cs="Times New Roman"/>
          <w:spacing w:val="-1"/>
          <w:sz w:val="21"/>
          <w:szCs w:val="21"/>
        </w:rPr>
        <w:t>cross-sectional</w:t>
      </w:r>
      <w:r>
        <w:rPr>
          <w:rFonts w:ascii="Times New Roman" w:hAnsi="Times New Roman" w:eastAsia="Times New Roman" w:cs="Times New Roman"/>
          <w:spacing w:val="40"/>
          <w:w w:val="101"/>
          <w:sz w:val="21"/>
          <w:szCs w:val="21"/>
        </w:rPr>
        <w:t xml:space="preserve"> </w:t>
      </w:r>
      <w:r>
        <w:rPr>
          <w:rFonts w:ascii="Times New Roman" w:hAnsi="Times New Roman" w:eastAsia="Times New Roman" w:cs="Times New Roman"/>
          <w:spacing w:val="-1"/>
          <w:sz w:val="21"/>
          <w:szCs w:val="21"/>
        </w:rPr>
        <w:t>studies,cohort</w:t>
      </w:r>
      <w:r>
        <w:rPr>
          <w:rFonts w:ascii="Times New Roman" w:hAnsi="Times New Roman" w:eastAsia="Times New Roman" w:cs="Times New Roman"/>
          <w:spacing w:val="39"/>
          <w:w w:val="101"/>
          <w:sz w:val="21"/>
          <w:szCs w:val="21"/>
        </w:rPr>
        <w:t xml:space="preserve"> </w:t>
      </w:r>
      <w:r>
        <w:rPr>
          <w:rFonts w:ascii="Times New Roman" w:hAnsi="Times New Roman" w:eastAsia="Times New Roman" w:cs="Times New Roman"/>
          <w:spacing w:val="-1"/>
          <w:sz w:val="21"/>
          <w:szCs w:val="21"/>
        </w:rPr>
        <w:t>studies</w:t>
      </w:r>
      <w:r>
        <w:rPr>
          <w:rFonts w:ascii="Times New Roman" w:hAnsi="Times New Roman" w:eastAsia="Times New Roman" w:cs="Times New Roman"/>
          <w:spacing w:val="40"/>
          <w:w w:val="101"/>
          <w:sz w:val="21"/>
          <w:szCs w:val="21"/>
        </w:rPr>
        <w:t xml:space="preserve"> </w:t>
      </w:r>
      <w:r>
        <w:rPr>
          <w:rFonts w:ascii="Times New Roman" w:hAnsi="Times New Roman" w:eastAsia="Times New Roman" w:cs="Times New Roman"/>
          <w:spacing w:val="-1"/>
          <w:sz w:val="21"/>
          <w:szCs w:val="21"/>
        </w:rPr>
        <w:t>start</w:t>
      </w:r>
      <w:r>
        <w:rPr>
          <w:rFonts w:ascii="Times New Roman" w:hAnsi="Times New Roman" w:eastAsia="Times New Roman" w:cs="Times New Roman"/>
          <w:spacing w:val="30"/>
          <w:w w:val="101"/>
          <w:sz w:val="21"/>
          <w:szCs w:val="21"/>
        </w:rPr>
        <w:t xml:space="preserve"> </w:t>
      </w:r>
      <w:r>
        <w:rPr>
          <w:rFonts w:ascii="Times New Roman" w:hAnsi="Times New Roman" w:eastAsia="Times New Roman" w:cs="Times New Roman"/>
          <w:spacing w:val="-1"/>
          <w:sz w:val="21"/>
          <w:szCs w:val="21"/>
        </w:rPr>
        <w:t>with</w:t>
      </w:r>
      <w:r>
        <w:rPr>
          <w:rFonts w:ascii="Times New Roman" w:hAnsi="Times New Roman" w:eastAsia="Times New Roman" w:cs="Times New Roman"/>
          <w:spacing w:val="32"/>
          <w:sz w:val="21"/>
          <w:szCs w:val="21"/>
        </w:rPr>
        <w:t xml:space="preserve"> </w:t>
      </w:r>
      <w:r>
        <w:rPr>
          <w:rFonts w:ascii="Times New Roman" w:hAnsi="Times New Roman" w:eastAsia="Times New Roman" w:cs="Times New Roman"/>
          <w:spacing w:val="-1"/>
          <w:sz w:val="21"/>
          <w:szCs w:val="21"/>
        </w:rPr>
        <w:t>the</w:t>
      </w:r>
      <w:r>
        <w:rPr>
          <w:rFonts w:ascii="Times New Roman" w:hAnsi="Times New Roman" w:eastAsia="Times New Roman" w:cs="Times New Roman"/>
          <w:spacing w:val="38"/>
          <w:sz w:val="21"/>
          <w:szCs w:val="21"/>
        </w:rPr>
        <w:t xml:space="preserve"> </w:t>
      </w:r>
      <w:r>
        <w:rPr>
          <w:rFonts w:ascii="Times New Roman" w:hAnsi="Times New Roman" w:eastAsia="Times New Roman" w:cs="Times New Roman"/>
          <w:spacing w:val="-1"/>
          <w:sz w:val="21"/>
          <w:szCs w:val="21"/>
        </w:rPr>
        <w:t>expo</w:t>
      </w:r>
      <w:r>
        <w:rPr>
          <w:rFonts w:ascii="Times New Roman" w:hAnsi="Times New Roman" w:eastAsia="Times New Roman" w:cs="Times New Roman"/>
          <w:spacing w:val="-2"/>
          <w:sz w:val="21"/>
          <w:szCs w:val="21"/>
        </w:rPr>
        <w:t>sure</w:t>
      </w:r>
      <w:r>
        <w:rPr>
          <w:rFonts w:ascii="Times New Roman" w:hAnsi="Times New Roman" w:eastAsia="Times New Roman" w:cs="Times New Roman"/>
          <w:sz w:val="21"/>
          <w:szCs w:val="21"/>
        </w:rPr>
        <w:t xml:space="preserve"> and</w:t>
      </w:r>
      <w:r>
        <w:rPr>
          <w:rFonts w:ascii="Times New Roman" w:hAnsi="Times New Roman" w:eastAsia="Times New Roman" w:cs="Times New Roman"/>
          <w:spacing w:val="48"/>
          <w:w w:val="101"/>
          <w:sz w:val="21"/>
          <w:szCs w:val="21"/>
        </w:rPr>
        <w:t xml:space="preserve"> </w:t>
      </w:r>
      <w:r>
        <w:rPr>
          <w:rFonts w:ascii="Times New Roman" w:hAnsi="Times New Roman" w:eastAsia="Times New Roman" w:cs="Times New Roman"/>
          <w:sz w:val="21"/>
          <w:szCs w:val="21"/>
        </w:rPr>
        <w:t>observe</w:t>
      </w:r>
      <w:r>
        <w:rPr>
          <w:rFonts w:ascii="Times New Roman" w:hAnsi="Times New Roman" w:eastAsia="Times New Roman" w:cs="Times New Roman"/>
          <w:spacing w:val="44"/>
          <w:sz w:val="21"/>
          <w:szCs w:val="21"/>
        </w:rPr>
        <w:t xml:space="preserve"> </w:t>
      </w:r>
      <w:r>
        <w:rPr>
          <w:rFonts w:ascii="Times New Roman" w:hAnsi="Times New Roman" w:eastAsia="Times New Roman" w:cs="Times New Roman"/>
          <w:sz w:val="21"/>
          <w:szCs w:val="21"/>
        </w:rPr>
        <w:t>the</w:t>
      </w:r>
      <w:r>
        <w:rPr>
          <w:rFonts w:ascii="Times New Roman" w:hAnsi="Times New Roman" w:eastAsia="Times New Roman" w:cs="Times New Roman"/>
          <w:spacing w:val="49"/>
          <w:sz w:val="21"/>
          <w:szCs w:val="21"/>
        </w:rPr>
        <w:t xml:space="preserve"> </w:t>
      </w:r>
      <w:r>
        <w:rPr>
          <w:rFonts w:ascii="Times New Roman" w:hAnsi="Times New Roman" w:eastAsia="Times New Roman" w:cs="Times New Roman"/>
          <w:sz w:val="21"/>
          <w:szCs w:val="21"/>
        </w:rPr>
        <w:t>occurrence</w:t>
      </w:r>
      <w:r>
        <w:rPr>
          <w:rFonts w:ascii="Times New Roman" w:hAnsi="Times New Roman" w:eastAsia="Times New Roman" w:cs="Times New Roman"/>
          <w:spacing w:val="49"/>
          <w:sz w:val="21"/>
          <w:szCs w:val="21"/>
        </w:rPr>
        <w:t xml:space="preserve"> </w:t>
      </w:r>
      <w:r>
        <w:rPr>
          <w:rFonts w:ascii="Times New Roman" w:hAnsi="Times New Roman" w:eastAsia="Times New Roman" w:cs="Times New Roman"/>
          <w:sz w:val="21"/>
          <w:szCs w:val="21"/>
        </w:rPr>
        <w:t>of</w:t>
      </w:r>
      <w:r>
        <w:rPr>
          <w:rFonts w:ascii="Times New Roman" w:hAnsi="Times New Roman" w:eastAsia="Times New Roman" w:cs="Times New Roman"/>
          <w:spacing w:val="23"/>
          <w:sz w:val="21"/>
          <w:szCs w:val="21"/>
        </w:rPr>
        <w:t xml:space="preserve"> </w:t>
      </w:r>
      <w:r>
        <w:rPr>
          <w:rFonts w:ascii="Times New Roman" w:hAnsi="Times New Roman" w:eastAsia="Times New Roman" w:cs="Times New Roman"/>
          <w:sz w:val="21"/>
          <w:szCs w:val="21"/>
        </w:rPr>
        <w:t>the</w:t>
      </w:r>
      <w:r>
        <w:rPr>
          <w:rFonts w:ascii="Times New Roman" w:hAnsi="Times New Roman" w:eastAsia="Times New Roman" w:cs="Times New Roman"/>
          <w:spacing w:val="49"/>
          <w:sz w:val="21"/>
          <w:szCs w:val="21"/>
        </w:rPr>
        <w:t xml:space="preserve"> </w:t>
      </w:r>
      <w:r>
        <w:rPr>
          <w:rFonts w:ascii="Times New Roman" w:hAnsi="Times New Roman" w:eastAsia="Times New Roman" w:cs="Times New Roman"/>
          <w:sz w:val="21"/>
          <w:szCs w:val="21"/>
        </w:rPr>
        <w:t>outcome</w:t>
      </w:r>
      <w:r>
        <w:rPr>
          <w:rFonts w:ascii="Times New Roman" w:hAnsi="Times New Roman" w:eastAsia="Times New Roman" w:cs="Times New Roman"/>
          <w:spacing w:val="41"/>
          <w:w w:val="101"/>
          <w:sz w:val="21"/>
          <w:szCs w:val="21"/>
        </w:rPr>
        <w:t xml:space="preserve"> </w:t>
      </w:r>
      <w:r>
        <w:rPr>
          <w:rFonts w:ascii="Times New Roman" w:hAnsi="Times New Roman" w:eastAsia="Times New Roman" w:cs="Times New Roman"/>
          <w:sz w:val="21"/>
          <w:szCs w:val="21"/>
        </w:rPr>
        <w:t>pros</w:t>
      </w:r>
      <w:r>
        <w:rPr>
          <w:rFonts w:ascii="Times New Roman" w:hAnsi="Times New Roman" w:eastAsia="Times New Roman" w:cs="Times New Roman"/>
          <w:spacing w:val="-1"/>
          <w:sz w:val="21"/>
          <w:szCs w:val="21"/>
        </w:rPr>
        <w:t>pectively</w:t>
      </w:r>
      <w:r>
        <w:rPr>
          <w:rFonts w:ascii="Times New Roman" w:hAnsi="Times New Roman" w:eastAsia="Times New Roman" w:cs="Times New Roman"/>
          <w:spacing w:val="49"/>
          <w:sz w:val="21"/>
          <w:szCs w:val="21"/>
        </w:rPr>
        <w:t xml:space="preserve"> </w:t>
      </w:r>
      <w:r>
        <w:rPr>
          <w:rFonts w:ascii="Times New Roman" w:hAnsi="Times New Roman" w:eastAsia="Times New Roman" w:cs="Times New Roman"/>
          <w:spacing w:val="-1"/>
          <w:sz w:val="21"/>
          <w:szCs w:val="21"/>
        </w:rPr>
        <w:t>over</w:t>
      </w:r>
      <w:r>
        <w:rPr>
          <w:rFonts w:ascii="Times New Roman" w:hAnsi="Times New Roman" w:eastAsia="Times New Roman" w:cs="Times New Roman"/>
          <w:spacing w:val="42"/>
          <w:w w:val="101"/>
          <w:sz w:val="21"/>
          <w:szCs w:val="21"/>
        </w:rPr>
        <w:t xml:space="preserve"> </w:t>
      </w:r>
      <w:r>
        <w:rPr>
          <w:rFonts w:ascii="Times New Roman" w:hAnsi="Times New Roman" w:eastAsia="Times New Roman" w:cs="Times New Roman"/>
          <w:spacing w:val="-1"/>
          <w:sz w:val="21"/>
          <w:szCs w:val="21"/>
        </w:rPr>
        <w:t>time.Thus,cohort</w:t>
      </w:r>
      <w:r>
        <w:rPr>
          <w:rFonts w:ascii="Times New Roman" w:hAnsi="Times New Roman" w:eastAsia="Times New Roman" w:cs="Times New Roman"/>
          <w:spacing w:val="51"/>
          <w:w w:val="101"/>
          <w:sz w:val="21"/>
          <w:szCs w:val="21"/>
        </w:rPr>
        <w:t xml:space="preserve"> </w:t>
      </w:r>
      <w:r>
        <w:rPr>
          <w:rFonts w:ascii="Times New Roman" w:hAnsi="Times New Roman" w:eastAsia="Times New Roman" w:cs="Times New Roman"/>
          <w:spacing w:val="-1"/>
          <w:sz w:val="21"/>
          <w:szCs w:val="21"/>
        </w:rPr>
        <w:t>studies</w:t>
      </w:r>
      <w:r>
        <w:rPr>
          <w:rFonts w:ascii="Times New Roman" w:hAnsi="Times New Roman" w:eastAsia="Times New Roman" w:cs="Times New Roman"/>
          <w:spacing w:val="41"/>
          <w:w w:val="101"/>
          <w:sz w:val="21"/>
          <w:szCs w:val="21"/>
        </w:rPr>
        <w:t xml:space="preserve"> </w:t>
      </w:r>
      <w:r>
        <w:rPr>
          <w:rFonts w:ascii="Times New Roman" w:hAnsi="Times New Roman" w:eastAsia="Times New Roman" w:cs="Times New Roman"/>
          <w:spacing w:val="-1"/>
          <w:sz w:val="21"/>
          <w:szCs w:val="21"/>
        </w:rPr>
        <w:t>provide  stronger</w:t>
      </w:r>
      <w:r>
        <w:rPr>
          <w:rFonts w:ascii="Times New Roman" w:hAnsi="Times New Roman" w:eastAsia="Times New Roman" w:cs="Times New Roman"/>
          <w:sz w:val="21"/>
          <w:szCs w:val="21"/>
        </w:rPr>
        <w:t xml:space="preserve"> evidence</w:t>
      </w:r>
      <w:r>
        <w:rPr>
          <w:rFonts w:ascii="Times New Roman" w:hAnsi="Times New Roman" w:eastAsia="Times New Roman" w:cs="Times New Roman"/>
          <w:spacing w:val="19"/>
          <w:sz w:val="21"/>
          <w:szCs w:val="21"/>
        </w:rPr>
        <w:t xml:space="preserve"> </w:t>
      </w:r>
      <w:r>
        <w:rPr>
          <w:rFonts w:ascii="Times New Roman" w:hAnsi="Times New Roman" w:eastAsia="Times New Roman" w:cs="Times New Roman"/>
          <w:sz w:val="21"/>
          <w:szCs w:val="21"/>
        </w:rPr>
        <w:t>than</w:t>
      </w:r>
      <w:r>
        <w:rPr>
          <w:rFonts w:ascii="Times New Roman" w:hAnsi="Times New Roman" w:eastAsia="Times New Roman" w:cs="Times New Roman"/>
          <w:spacing w:val="24"/>
          <w:w w:val="101"/>
          <w:sz w:val="21"/>
          <w:szCs w:val="21"/>
        </w:rPr>
        <w:t xml:space="preserve"> </w:t>
      </w:r>
      <w:r>
        <w:rPr>
          <w:rFonts w:ascii="Times New Roman" w:hAnsi="Times New Roman" w:eastAsia="Times New Roman" w:cs="Times New Roman"/>
          <w:sz w:val="21"/>
          <w:szCs w:val="21"/>
        </w:rPr>
        <w:t>other</w:t>
      </w:r>
      <w:r>
        <w:rPr>
          <w:rFonts w:ascii="Times New Roman" w:hAnsi="Times New Roman" w:eastAsia="Times New Roman" w:cs="Times New Roman"/>
          <w:spacing w:val="23"/>
          <w:sz w:val="21"/>
          <w:szCs w:val="21"/>
        </w:rPr>
        <w:t xml:space="preserve"> </w:t>
      </w:r>
      <w:r>
        <w:rPr>
          <w:rFonts w:ascii="Times New Roman" w:hAnsi="Times New Roman" w:eastAsia="Times New Roman" w:cs="Times New Roman"/>
          <w:sz w:val="21"/>
          <w:szCs w:val="21"/>
        </w:rPr>
        <w:t>observ</w:t>
      </w:r>
      <w:r>
        <w:rPr>
          <w:rFonts w:ascii="Times New Roman" w:hAnsi="Times New Roman" w:eastAsia="Times New Roman" w:cs="Times New Roman"/>
          <w:spacing w:val="-1"/>
          <w:sz w:val="21"/>
          <w:szCs w:val="21"/>
        </w:rPr>
        <w:t>ational</w:t>
      </w:r>
      <w:r>
        <w:rPr>
          <w:rFonts w:ascii="Times New Roman" w:hAnsi="Times New Roman" w:eastAsia="Times New Roman" w:cs="Times New Roman"/>
          <w:spacing w:val="27"/>
          <w:sz w:val="21"/>
          <w:szCs w:val="21"/>
        </w:rPr>
        <w:t xml:space="preserve"> </w:t>
      </w:r>
      <w:r>
        <w:rPr>
          <w:rFonts w:ascii="Times New Roman" w:hAnsi="Times New Roman" w:eastAsia="Times New Roman" w:cs="Times New Roman"/>
          <w:spacing w:val="-1"/>
          <w:sz w:val="21"/>
          <w:szCs w:val="21"/>
        </w:rPr>
        <w:t>studies</w:t>
      </w:r>
      <w:r>
        <w:rPr>
          <w:rFonts w:ascii="Times New Roman" w:hAnsi="Times New Roman" w:eastAsia="Times New Roman" w:cs="Times New Roman"/>
          <w:spacing w:val="25"/>
          <w:w w:val="101"/>
          <w:sz w:val="21"/>
          <w:szCs w:val="21"/>
        </w:rPr>
        <w:t xml:space="preserve"> </w:t>
      </w:r>
      <w:r>
        <w:rPr>
          <w:rFonts w:ascii="Times New Roman" w:hAnsi="Times New Roman" w:eastAsia="Times New Roman" w:cs="Times New Roman"/>
          <w:spacing w:val="-1"/>
          <w:sz w:val="21"/>
          <w:szCs w:val="21"/>
        </w:rPr>
        <w:t>for</w:t>
      </w:r>
      <w:r>
        <w:rPr>
          <w:rFonts w:ascii="Times New Roman" w:hAnsi="Times New Roman" w:eastAsia="Times New Roman" w:cs="Times New Roman"/>
          <w:spacing w:val="17"/>
          <w:w w:val="101"/>
          <w:sz w:val="21"/>
          <w:szCs w:val="21"/>
        </w:rPr>
        <w:t xml:space="preserve"> </w:t>
      </w:r>
      <w:r>
        <w:rPr>
          <w:rFonts w:ascii="Times New Roman" w:hAnsi="Times New Roman" w:eastAsia="Times New Roman" w:cs="Times New Roman"/>
          <w:spacing w:val="-1"/>
          <w:sz w:val="21"/>
          <w:szCs w:val="21"/>
        </w:rPr>
        <w:t>the</w:t>
      </w:r>
      <w:r>
        <w:rPr>
          <w:rFonts w:ascii="Times New Roman" w:hAnsi="Times New Roman" w:eastAsia="Times New Roman" w:cs="Times New Roman"/>
          <w:spacing w:val="19"/>
          <w:w w:val="101"/>
          <w:sz w:val="21"/>
          <w:szCs w:val="21"/>
        </w:rPr>
        <w:t xml:space="preserve"> </w:t>
      </w:r>
      <w:r>
        <w:rPr>
          <w:rFonts w:ascii="Times New Roman" w:hAnsi="Times New Roman" w:eastAsia="Times New Roman" w:cs="Times New Roman"/>
          <w:spacing w:val="-1"/>
          <w:sz w:val="21"/>
          <w:szCs w:val="21"/>
        </w:rPr>
        <w:t>temporal</w:t>
      </w:r>
      <w:r>
        <w:rPr>
          <w:rFonts w:ascii="Times New Roman" w:hAnsi="Times New Roman" w:eastAsia="Times New Roman" w:cs="Times New Roman"/>
          <w:spacing w:val="24"/>
          <w:sz w:val="21"/>
          <w:szCs w:val="21"/>
        </w:rPr>
        <w:t xml:space="preserve"> </w:t>
      </w:r>
      <w:r>
        <w:rPr>
          <w:rFonts w:ascii="Times New Roman" w:hAnsi="Times New Roman" w:eastAsia="Times New Roman" w:cs="Times New Roman"/>
          <w:spacing w:val="-1"/>
          <w:sz w:val="21"/>
          <w:szCs w:val="21"/>
        </w:rPr>
        <w:t>order</w:t>
      </w:r>
      <w:r>
        <w:rPr>
          <w:rFonts w:ascii="Times New Roman" w:hAnsi="Times New Roman" w:eastAsia="Times New Roman" w:cs="Times New Roman"/>
          <w:spacing w:val="23"/>
          <w:sz w:val="21"/>
          <w:szCs w:val="21"/>
        </w:rPr>
        <w:t xml:space="preserve"> </w:t>
      </w:r>
      <w:r>
        <w:rPr>
          <w:rFonts w:ascii="Times New Roman" w:hAnsi="Times New Roman" w:eastAsia="Times New Roman" w:cs="Times New Roman"/>
          <w:spacing w:val="-1"/>
          <w:sz w:val="21"/>
          <w:szCs w:val="21"/>
        </w:rPr>
        <w:t>of a</w:t>
      </w:r>
      <w:r>
        <w:rPr>
          <w:rFonts w:ascii="Times New Roman" w:hAnsi="Times New Roman" w:eastAsia="Times New Roman" w:cs="Times New Roman"/>
          <w:spacing w:val="24"/>
          <w:sz w:val="21"/>
          <w:szCs w:val="21"/>
        </w:rPr>
        <w:t xml:space="preserve"> </w:t>
      </w:r>
      <w:r>
        <w:rPr>
          <w:rFonts w:ascii="Times New Roman" w:hAnsi="Times New Roman" w:eastAsia="Times New Roman" w:cs="Times New Roman"/>
          <w:spacing w:val="-1"/>
          <w:sz w:val="21"/>
          <w:szCs w:val="21"/>
        </w:rPr>
        <w:t>cause-effect</w:t>
      </w:r>
      <w:r>
        <w:rPr>
          <w:rFonts w:ascii="Times New Roman" w:hAnsi="Times New Roman" w:eastAsia="Times New Roman" w:cs="Times New Roman"/>
          <w:spacing w:val="24"/>
          <w:w w:val="101"/>
          <w:sz w:val="21"/>
          <w:szCs w:val="21"/>
        </w:rPr>
        <w:t xml:space="preserve"> </w:t>
      </w:r>
      <w:r>
        <w:rPr>
          <w:rFonts w:ascii="Times New Roman" w:hAnsi="Times New Roman" w:eastAsia="Times New Roman" w:cs="Times New Roman"/>
          <w:spacing w:val="-1"/>
          <w:sz w:val="21"/>
          <w:szCs w:val="21"/>
        </w:rPr>
        <w:t>association.Cohort</w:t>
      </w:r>
      <w:r>
        <w:rPr>
          <w:rFonts w:ascii="Times New Roman" w:hAnsi="Times New Roman" w:eastAsia="Times New Roman" w:cs="Times New Roman"/>
          <w:spacing w:val="26"/>
          <w:w w:val="101"/>
          <w:sz w:val="21"/>
          <w:szCs w:val="21"/>
        </w:rPr>
        <w:t xml:space="preserve"> </w:t>
      </w:r>
      <w:r>
        <w:rPr>
          <w:rFonts w:ascii="Times New Roman" w:hAnsi="Times New Roman" w:eastAsia="Times New Roman" w:cs="Times New Roman"/>
          <w:spacing w:val="-1"/>
          <w:sz w:val="21"/>
          <w:szCs w:val="21"/>
        </w:rPr>
        <w:t>studies</w:t>
      </w:r>
      <w:r>
        <w:rPr>
          <w:rFonts w:ascii="Times New Roman" w:hAnsi="Times New Roman" w:eastAsia="Times New Roman" w:cs="Times New Roman"/>
          <w:sz w:val="21"/>
          <w:szCs w:val="21"/>
        </w:rPr>
        <w:t xml:space="preserve"> are</w:t>
      </w:r>
      <w:r>
        <w:rPr>
          <w:rFonts w:ascii="Times New Roman" w:hAnsi="Times New Roman" w:eastAsia="Times New Roman" w:cs="Times New Roman"/>
          <w:spacing w:val="29"/>
          <w:w w:val="101"/>
          <w:sz w:val="21"/>
          <w:szCs w:val="21"/>
        </w:rPr>
        <w:t xml:space="preserve"> </w:t>
      </w:r>
      <w:r>
        <w:rPr>
          <w:rFonts w:ascii="Times New Roman" w:hAnsi="Times New Roman" w:eastAsia="Times New Roman" w:cs="Times New Roman"/>
          <w:sz w:val="21"/>
          <w:szCs w:val="21"/>
        </w:rPr>
        <w:t>also</w:t>
      </w:r>
      <w:r>
        <w:rPr>
          <w:rFonts w:ascii="Times New Roman" w:hAnsi="Times New Roman" w:eastAsia="Times New Roman" w:cs="Times New Roman"/>
          <w:spacing w:val="22"/>
          <w:sz w:val="21"/>
          <w:szCs w:val="21"/>
        </w:rPr>
        <w:t xml:space="preserve"> </w:t>
      </w:r>
      <w:r>
        <w:rPr>
          <w:rFonts w:ascii="Times New Roman" w:hAnsi="Times New Roman" w:eastAsia="Times New Roman" w:cs="Times New Roman"/>
          <w:sz w:val="21"/>
          <w:szCs w:val="21"/>
        </w:rPr>
        <w:t>used</w:t>
      </w:r>
      <w:r>
        <w:rPr>
          <w:rFonts w:ascii="Times New Roman" w:hAnsi="Times New Roman" w:eastAsia="Times New Roman" w:cs="Times New Roman"/>
          <w:spacing w:val="23"/>
          <w:w w:val="101"/>
          <w:sz w:val="21"/>
          <w:szCs w:val="21"/>
        </w:rPr>
        <w:t xml:space="preserve"> </w:t>
      </w:r>
      <w:r>
        <w:rPr>
          <w:rFonts w:ascii="Times New Roman" w:hAnsi="Times New Roman" w:eastAsia="Times New Roman" w:cs="Times New Roman"/>
          <w:sz w:val="21"/>
          <w:szCs w:val="21"/>
        </w:rPr>
        <w:t>to</w:t>
      </w:r>
      <w:r>
        <w:rPr>
          <w:rFonts w:ascii="Times New Roman" w:hAnsi="Times New Roman" w:eastAsia="Times New Roman" w:cs="Times New Roman"/>
          <w:spacing w:val="28"/>
          <w:sz w:val="21"/>
          <w:szCs w:val="21"/>
        </w:rPr>
        <w:t xml:space="preserve"> </w:t>
      </w:r>
      <w:r>
        <w:rPr>
          <w:rFonts w:ascii="Times New Roman" w:hAnsi="Times New Roman" w:eastAsia="Times New Roman" w:cs="Times New Roman"/>
          <w:sz w:val="21"/>
          <w:szCs w:val="21"/>
        </w:rPr>
        <w:t>investigate</w:t>
      </w:r>
      <w:r>
        <w:rPr>
          <w:rFonts w:ascii="Times New Roman" w:hAnsi="Times New Roman" w:eastAsia="Times New Roman" w:cs="Times New Roman"/>
          <w:spacing w:val="24"/>
          <w:sz w:val="21"/>
          <w:szCs w:val="21"/>
        </w:rPr>
        <w:t xml:space="preserve"> </w:t>
      </w:r>
      <w:r>
        <w:rPr>
          <w:rFonts w:ascii="Times New Roman" w:hAnsi="Times New Roman" w:eastAsia="Times New Roman" w:cs="Times New Roman"/>
          <w:sz w:val="21"/>
          <w:szCs w:val="21"/>
        </w:rPr>
        <w:t>the</w:t>
      </w:r>
      <w:r>
        <w:rPr>
          <w:rFonts w:ascii="Times New Roman" w:hAnsi="Times New Roman" w:eastAsia="Times New Roman" w:cs="Times New Roman"/>
          <w:spacing w:val="23"/>
          <w:w w:val="101"/>
          <w:sz w:val="21"/>
          <w:szCs w:val="21"/>
        </w:rPr>
        <w:t xml:space="preserve"> </w:t>
      </w:r>
      <w:r>
        <w:rPr>
          <w:rFonts w:ascii="Times New Roman" w:hAnsi="Times New Roman" w:eastAsia="Times New Roman" w:cs="Times New Roman"/>
          <w:sz w:val="21"/>
          <w:szCs w:val="21"/>
        </w:rPr>
        <w:t>natural</w:t>
      </w:r>
      <w:r>
        <w:rPr>
          <w:rFonts w:ascii="Times New Roman" w:hAnsi="Times New Roman" w:eastAsia="Times New Roman" w:cs="Times New Roman"/>
          <w:spacing w:val="23"/>
          <w:sz w:val="21"/>
          <w:szCs w:val="21"/>
        </w:rPr>
        <w:t xml:space="preserve"> </w:t>
      </w:r>
      <w:r>
        <w:rPr>
          <w:rFonts w:ascii="Times New Roman" w:hAnsi="Times New Roman" w:eastAsia="Times New Roman" w:cs="Times New Roman"/>
          <w:sz w:val="21"/>
          <w:szCs w:val="21"/>
        </w:rPr>
        <w:t>history</w:t>
      </w:r>
      <w:r>
        <w:rPr>
          <w:rFonts w:ascii="Times New Roman" w:hAnsi="Times New Roman" w:eastAsia="Times New Roman" w:cs="Times New Roman"/>
          <w:spacing w:val="29"/>
          <w:sz w:val="21"/>
          <w:szCs w:val="21"/>
        </w:rPr>
        <w:t xml:space="preserve"> </w:t>
      </w:r>
      <w:r>
        <w:rPr>
          <w:rFonts w:ascii="Times New Roman" w:hAnsi="Times New Roman" w:eastAsia="Times New Roman" w:cs="Times New Roman"/>
          <w:sz w:val="21"/>
          <w:szCs w:val="21"/>
        </w:rPr>
        <w:t>of disease,the</w:t>
      </w:r>
      <w:r>
        <w:rPr>
          <w:rFonts w:ascii="Times New Roman" w:hAnsi="Times New Roman" w:eastAsia="Times New Roman" w:cs="Times New Roman"/>
          <w:spacing w:val="21"/>
          <w:w w:val="101"/>
          <w:sz w:val="21"/>
          <w:szCs w:val="21"/>
        </w:rPr>
        <w:t xml:space="preserve"> </w:t>
      </w:r>
      <w:r>
        <w:rPr>
          <w:rFonts w:ascii="Times New Roman" w:hAnsi="Times New Roman" w:eastAsia="Times New Roman" w:cs="Times New Roman"/>
          <w:sz w:val="21"/>
          <w:szCs w:val="21"/>
        </w:rPr>
        <w:t>predictive</w:t>
      </w:r>
      <w:r>
        <w:rPr>
          <w:rFonts w:ascii="Times New Roman" w:hAnsi="Times New Roman" w:eastAsia="Times New Roman" w:cs="Times New Roman"/>
          <w:spacing w:val="29"/>
          <w:w w:val="101"/>
          <w:sz w:val="21"/>
          <w:szCs w:val="21"/>
        </w:rPr>
        <w:t xml:space="preserve"> </w:t>
      </w:r>
      <w:r>
        <w:rPr>
          <w:rFonts w:ascii="Times New Roman" w:hAnsi="Times New Roman" w:eastAsia="Times New Roman" w:cs="Times New Roman"/>
          <w:sz w:val="21"/>
          <w:szCs w:val="21"/>
        </w:rPr>
        <w:t>ability</w:t>
      </w:r>
      <w:r>
        <w:rPr>
          <w:rFonts w:ascii="Times New Roman" w:hAnsi="Times New Roman" w:eastAsia="Times New Roman" w:cs="Times New Roman"/>
          <w:spacing w:val="29"/>
          <w:sz w:val="21"/>
          <w:szCs w:val="21"/>
        </w:rPr>
        <w:t xml:space="preserve"> </w:t>
      </w:r>
      <w:r>
        <w:rPr>
          <w:rFonts w:ascii="Times New Roman" w:hAnsi="Times New Roman" w:eastAsia="Times New Roman" w:cs="Times New Roman"/>
          <w:sz w:val="21"/>
          <w:szCs w:val="21"/>
        </w:rPr>
        <w:t>of diagnos</w:t>
      </w:r>
      <w:r>
        <w:rPr>
          <w:rFonts w:ascii="Times New Roman" w:hAnsi="Times New Roman" w:eastAsia="Times New Roman" w:cs="Times New Roman"/>
          <w:spacing w:val="-1"/>
          <w:sz w:val="21"/>
          <w:szCs w:val="21"/>
        </w:rPr>
        <w:t>tic</w:t>
      </w:r>
      <w:r>
        <w:rPr>
          <w:rFonts w:ascii="Times New Roman" w:hAnsi="Times New Roman" w:eastAsia="Times New Roman" w:cs="Times New Roman"/>
          <w:spacing w:val="24"/>
          <w:sz w:val="21"/>
          <w:szCs w:val="21"/>
        </w:rPr>
        <w:t xml:space="preserve"> </w:t>
      </w:r>
      <w:r>
        <w:rPr>
          <w:rFonts w:ascii="Times New Roman" w:hAnsi="Times New Roman" w:eastAsia="Times New Roman" w:cs="Times New Roman"/>
          <w:spacing w:val="-1"/>
          <w:sz w:val="21"/>
          <w:szCs w:val="21"/>
        </w:rPr>
        <w:t>techniques,and</w:t>
      </w:r>
      <w:r>
        <w:rPr>
          <w:rFonts w:ascii="Times New Roman" w:hAnsi="Times New Roman" w:eastAsia="Times New Roman" w:cs="Times New Roman"/>
          <w:sz w:val="21"/>
          <w:szCs w:val="21"/>
        </w:rPr>
        <w:t xml:space="preserve"> long-term rare adverse effects of</w:t>
      </w:r>
      <w:r>
        <w:rPr>
          <w:rFonts w:ascii="Times New Roman" w:hAnsi="Times New Roman" w:eastAsia="Times New Roman" w:cs="Times New Roman"/>
          <w:spacing w:val="-10"/>
          <w:sz w:val="21"/>
          <w:szCs w:val="21"/>
        </w:rPr>
        <w:t xml:space="preserve"> </w:t>
      </w:r>
      <w:r>
        <w:rPr>
          <w:rFonts w:ascii="Times New Roman" w:hAnsi="Times New Roman" w:eastAsia="Times New Roman" w:cs="Times New Roman"/>
          <w:sz w:val="21"/>
          <w:szCs w:val="21"/>
        </w:rPr>
        <w:t>drugs.</w:t>
      </w:r>
    </w:p>
    <w:p w14:paraId="7EDD9216">
      <w:pPr>
        <w:spacing w:line="318" w:lineRule="auto"/>
        <w:rPr>
          <w:rFonts w:ascii="Arial"/>
          <w:sz w:val="21"/>
        </w:rPr>
      </w:pPr>
    </w:p>
    <w:p w14:paraId="5FE1B91B">
      <w:pPr>
        <w:spacing w:before="69" w:line="321" w:lineRule="auto"/>
        <w:ind w:right="666" w:firstLine="450"/>
        <w:jc w:val="both"/>
        <w:rPr>
          <w:rFonts w:ascii="宋体" w:hAnsi="宋体" w:eastAsia="宋体" w:cs="宋体"/>
          <w:sz w:val="21"/>
          <w:szCs w:val="21"/>
        </w:rPr>
      </w:pPr>
      <w:r>
        <w:rPr>
          <w:rFonts w:ascii="宋体" w:hAnsi="宋体" w:eastAsia="宋体" w:cs="宋体"/>
          <w:spacing w:val="5"/>
          <w:sz w:val="21"/>
          <w:szCs w:val="21"/>
        </w:rPr>
        <w:t>队</w:t>
      </w:r>
      <w:r>
        <w:rPr>
          <w:rFonts w:ascii="宋体" w:hAnsi="宋体" w:eastAsia="宋体" w:cs="宋体"/>
          <w:spacing w:val="-31"/>
          <w:sz w:val="21"/>
          <w:szCs w:val="21"/>
        </w:rPr>
        <w:t xml:space="preserve"> </w:t>
      </w:r>
      <w:r>
        <w:rPr>
          <w:rFonts w:ascii="宋体" w:hAnsi="宋体" w:eastAsia="宋体" w:cs="宋体"/>
          <w:spacing w:val="5"/>
          <w:sz w:val="21"/>
          <w:szCs w:val="21"/>
        </w:rPr>
        <w:t>列</w:t>
      </w:r>
      <w:r>
        <w:rPr>
          <w:rFonts w:ascii="Times New Roman" w:hAnsi="Times New Roman" w:eastAsia="Times New Roman" w:cs="Times New Roman"/>
          <w:spacing w:val="5"/>
          <w:sz w:val="21"/>
          <w:szCs w:val="21"/>
        </w:rPr>
        <w:t>(</w:t>
      </w:r>
      <w:r>
        <w:rPr>
          <w:rFonts w:ascii="Times New Roman" w:hAnsi="Times New Roman" w:eastAsia="Times New Roman" w:cs="Times New Roman"/>
          <w:sz w:val="21"/>
          <w:szCs w:val="21"/>
        </w:rPr>
        <w:t>cohort</w:t>
      </w:r>
      <w:r>
        <w:rPr>
          <w:rFonts w:ascii="Times New Roman" w:hAnsi="Times New Roman" w:eastAsia="Times New Roman" w:cs="Times New Roman"/>
          <w:spacing w:val="5"/>
          <w:sz w:val="21"/>
          <w:szCs w:val="21"/>
        </w:rPr>
        <w:t xml:space="preserve">)  </w:t>
      </w:r>
      <w:r>
        <w:rPr>
          <w:rFonts w:ascii="宋体" w:hAnsi="宋体" w:eastAsia="宋体" w:cs="宋体"/>
          <w:spacing w:val="5"/>
          <w:sz w:val="21"/>
          <w:szCs w:val="21"/>
        </w:rPr>
        <w:t>原意是指古罗马军团中的一个分队，流行病学家加以</w:t>
      </w:r>
      <w:r>
        <w:rPr>
          <w:rFonts w:ascii="宋体" w:hAnsi="宋体" w:eastAsia="宋体" w:cs="宋体"/>
          <w:spacing w:val="4"/>
          <w:sz w:val="21"/>
          <w:szCs w:val="21"/>
        </w:rPr>
        <w:t>借用，表示具有某共同特征</w:t>
      </w:r>
      <w:r>
        <w:rPr>
          <w:rFonts w:ascii="宋体" w:hAnsi="宋体" w:eastAsia="宋体" w:cs="宋体"/>
          <w:sz w:val="21"/>
          <w:szCs w:val="21"/>
        </w:rPr>
        <w:t xml:space="preserve"> </w:t>
      </w:r>
      <w:r>
        <w:rPr>
          <w:rFonts w:ascii="宋体" w:hAnsi="宋体" w:eastAsia="宋体" w:cs="宋体"/>
          <w:spacing w:val="8"/>
          <w:sz w:val="21"/>
          <w:szCs w:val="21"/>
        </w:rPr>
        <w:t>的一群人。这个共同特征可以是暴露于某种特定因素(如某种环境污染物、药物、</w:t>
      </w:r>
      <w:r>
        <w:rPr>
          <w:rFonts w:ascii="宋体" w:hAnsi="宋体" w:eastAsia="宋体" w:cs="宋体"/>
          <w:spacing w:val="7"/>
          <w:sz w:val="21"/>
          <w:szCs w:val="21"/>
        </w:rPr>
        <w:t>生活习惯等),或</w:t>
      </w:r>
      <w:r>
        <w:rPr>
          <w:rFonts w:ascii="宋体" w:hAnsi="宋体" w:eastAsia="宋体" w:cs="宋体"/>
          <w:sz w:val="21"/>
          <w:szCs w:val="21"/>
        </w:rPr>
        <w:t xml:space="preserve"> </w:t>
      </w:r>
      <w:r>
        <w:rPr>
          <w:rFonts w:ascii="宋体" w:hAnsi="宋体" w:eastAsia="宋体" w:cs="宋体"/>
          <w:spacing w:val="5"/>
          <w:sz w:val="21"/>
          <w:szCs w:val="21"/>
        </w:rPr>
        <w:t>者是某种特定状态(如年龄、性别、疾病状态等)。队列可以是自然形成的，也可以是研究者为了研</w:t>
      </w:r>
      <w:r>
        <w:rPr>
          <w:rFonts w:ascii="宋体" w:hAnsi="宋体" w:eastAsia="宋体" w:cs="宋体"/>
          <w:spacing w:val="17"/>
          <w:sz w:val="21"/>
          <w:szCs w:val="21"/>
        </w:rPr>
        <w:t xml:space="preserve"> </w:t>
      </w:r>
      <w:r>
        <w:rPr>
          <w:rFonts w:ascii="宋体" w:hAnsi="宋体" w:eastAsia="宋体" w:cs="宋体"/>
          <w:spacing w:val="6"/>
          <w:sz w:val="21"/>
          <w:szCs w:val="21"/>
        </w:rPr>
        <w:t>究目的而特别选定的。</w:t>
      </w:r>
    </w:p>
    <w:p w14:paraId="78A3E69F">
      <w:pPr>
        <w:spacing w:line="330" w:lineRule="auto"/>
        <w:ind w:right="665" w:firstLine="450"/>
        <w:jc w:val="both"/>
        <w:rPr>
          <w:rFonts w:ascii="宋体" w:hAnsi="宋体" w:eastAsia="宋体" w:cs="宋体"/>
          <w:sz w:val="21"/>
          <w:szCs w:val="21"/>
        </w:rPr>
      </w:pPr>
      <w:r>
        <w:rPr>
          <w:rFonts w:ascii="宋体" w:hAnsi="宋体" w:eastAsia="宋体" w:cs="宋体"/>
          <w:spacing w:val="6"/>
          <w:sz w:val="21"/>
          <w:szCs w:val="21"/>
        </w:rPr>
        <w:t>队列研究</w:t>
      </w:r>
      <w:r>
        <w:rPr>
          <w:rFonts w:ascii="Times New Roman" w:hAnsi="Times New Roman" w:eastAsia="Times New Roman" w:cs="Times New Roman"/>
          <w:spacing w:val="6"/>
          <w:sz w:val="21"/>
          <w:szCs w:val="21"/>
        </w:rPr>
        <w:t>(</w:t>
      </w:r>
      <w:r>
        <w:rPr>
          <w:rFonts w:ascii="Times New Roman" w:hAnsi="Times New Roman" w:eastAsia="Times New Roman" w:cs="Times New Roman"/>
          <w:sz w:val="21"/>
          <w:szCs w:val="21"/>
        </w:rPr>
        <w:t>cohort</w:t>
      </w:r>
      <w:r>
        <w:rPr>
          <w:rFonts w:ascii="Times New Roman" w:hAnsi="Times New Roman" w:eastAsia="Times New Roman" w:cs="Times New Roman"/>
          <w:spacing w:val="6"/>
          <w:sz w:val="21"/>
          <w:szCs w:val="21"/>
        </w:rPr>
        <w:t xml:space="preserve">    </w:t>
      </w:r>
      <w:r>
        <w:rPr>
          <w:rFonts w:ascii="Times New Roman" w:hAnsi="Times New Roman" w:eastAsia="Times New Roman" w:cs="Times New Roman"/>
          <w:sz w:val="21"/>
          <w:szCs w:val="21"/>
        </w:rPr>
        <w:t>study</w:t>
      </w:r>
      <w:r>
        <w:rPr>
          <w:rFonts w:ascii="Times New Roman" w:hAnsi="Times New Roman" w:eastAsia="Times New Roman" w:cs="Times New Roman"/>
          <w:spacing w:val="6"/>
          <w:sz w:val="21"/>
          <w:szCs w:val="21"/>
        </w:rPr>
        <w:t>)</w:t>
      </w:r>
      <w:r>
        <w:rPr>
          <w:rFonts w:ascii="宋体" w:hAnsi="宋体" w:eastAsia="宋体" w:cs="宋体"/>
          <w:spacing w:val="6"/>
          <w:sz w:val="21"/>
          <w:szCs w:val="21"/>
        </w:rPr>
        <w:t>是分析流行病学</w:t>
      </w:r>
      <w:r>
        <w:rPr>
          <w:rFonts w:ascii="Times New Roman" w:hAnsi="Times New Roman" w:eastAsia="Times New Roman" w:cs="Times New Roman"/>
          <w:spacing w:val="6"/>
          <w:sz w:val="21"/>
          <w:szCs w:val="21"/>
        </w:rPr>
        <w:t>(</w:t>
      </w:r>
      <w:r>
        <w:rPr>
          <w:rFonts w:ascii="Times New Roman" w:hAnsi="Times New Roman" w:eastAsia="Times New Roman" w:cs="Times New Roman"/>
          <w:sz w:val="21"/>
          <w:szCs w:val="21"/>
        </w:rPr>
        <w:t>analytical</w:t>
      </w:r>
      <w:r>
        <w:rPr>
          <w:rFonts w:ascii="Times New Roman" w:hAnsi="Times New Roman" w:eastAsia="Times New Roman" w:cs="Times New Roman"/>
          <w:spacing w:val="6"/>
          <w:sz w:val="21"/>
          <w:szCs w:val="21"/>
        </w:rPr>
        <w:t xml:space="preserve">      </w:t>
      </w:r>
      <w:r>
        <w:rPr>
          <w:rFonts w:ascii="Times New Roman" w:hAnsi="Times New Roman" w:eastAsia="Times New Roman" w:cs="Times New Roman"/>
          <w:sz w:val="21"/>
          <w:szCs w:val="21"/>
        </w:rPr>
        <w:t>epidemiology</w:t>
      </w:r>
      <w:r>
        <w:rPr>
          <w:rFonts w:ascii="Times New Roman" w:hAnsi="Times New Roman" w:eastAsia="Times New Roman" w:cs="Times New Roman"/>
          <w:spacing w:val="6"/>
          <w:sz w:val="21"/>
          <w:szCs w:val="21"/>
        </w:rPr>
        <w:t>)</w:t>
      </w:r>
      <w:r>
        <w:rPr>
          <w:rFonts w:ascii="宋体" w:hAnsi="宋体" w:eastAsia="宋体" w:cs="宋体"/>
          <w:spacing w:val="6"/>
          <w:sz w:val="21"/>
          <w:szCs w:val="21"/>
        </w:rPr>
        <w:t>的重要研究方法，通过随访</w:t>
      </w:r>
      <w:r>
        <w:rPr>
          <w:rFonts w:ascii="宋体" w:hAnsi="宋体" w:eastAsia="宋体" w:cs="宋体"/>
          <w:sz w:val="21"/>
          <w:szCs w:val="21"/>
        </w:rPr>
        <w:t xml:space="preserve"> </w:t>
      </w:r>
      <w:r>
        <w:rPr>
          <w:rFonts w:ascii="宋体" w:hAnsi="宋体" w:eastAsia="宋体" w:cs="宋体"/>
          <w:spacing w:val="11"/>
          <w:sz w:val="21"/>
          <w:szCs w:val="21"/>
        </w:rPr>
        <w:t>观察某因素不同暴露状况人群的疾病等结局的发生情况来探讨该因素</w:t>
      </w:r>
      <w:r>
        <w:rPr>
          <w:rFonts w:ascii="宋体" w:hAnsi="宋体" w:eastAsia="宋体" w:cs="宋体"/>
          <w:spacing w:val="10"/>
          <w:sz w:val="21"/>
          <w:szCs w:val="21"/>
        </w:rPr>
        <w:t>与所观察结局的关系，也称</w:t>
      </w:r>
      <w:r>
        <w:rPr>
          <w:rFonts w:ascii="宋体" w:hAnsi="宋体" w:eastAsia="宋体" w:cs="宋体"/>
          <w:sz w:val="21"/>
          <w:szCs w:val="21"/>
        </w:rPr>
        <w:t xml:space="preserve"> </w:t>
      </w:r>
      <w:r>
        <w:rPr>
          <w:rFonts w:ascii="宋体" w:hAnsi="宋体" w:eastAsia="宋体" w:cs="宋体"/>
          <w:spacing w:val="6"/>
          <w:sz w:val="21"/>
          <w:szCs w:val="21"/>
        </w:rPr>
        <w:t>发生率研究</w:t>
      </w:r>
      <w:r>
        <w:rPr>
          <w:rFonts w:ascii="Times New Roman" w:hAnsi="Times New Roman" w:eastAsia="Times New Roman" w:cs="Times New Roman"/>
          <w:spacing w:val="6"/>
          <w:sz w:val="21"/>
          <w:szCs w:val="21"/>
        </w:rPr>
        <w:t>(</w:t>
      </w:r>
      <w:r>
        <w:rPr>
          <w:rFonts w:ascii="Times New Roman" w:hAnsi="Times New Roman" w:eastAsia="Times New Roman" w:cs="Times New Roman"/>
          <w:sz w:val="21"/>
          <w:szCs w:val="21"/>
        </w:rPr>
        <w:t>incidence</w:t>
      </w:r>
      <w:r>
        <w:rPr>
          <w:rFonts w:ascii="Times New Roman" w:hAnsi="Times New Roman" w:eastAsia="Times New Roman" w:cs="Times New Roman"/>
          <w:spacing w:val="6"/>
          <w:sz w:val="21"/>
          <w:szCs w:val="21"/>
        </w:rPr>
        <w:t xml:space="preserve">   </w:t>
      </w:r>
      <w:r>
        <w:rPr>
          <w:rFonts w:ascii="Times New Roman" w:hAnsi="Times New Roman" w:eastAsia="Times New Roman" w:cs="Times New Roman"/>
          <w:sz w:val="21"/>
          <w:szCs w:val="21"/>
        </w:rPr>
        <w:t>rate</w:t>
      </w:r>
      <w:r>
        <w:rPr>
          <w:rFonts w:ascii="Times New Roman" w:hAnsi="Times New Roman" w:eastAsia="Times New Roman" w:cs="Times New Roman"/>
          <w:spacing w:val="6"/>
          <w:sz w:val="21"/>
          <w:szCs w:val="21"/>
        </w:rPr>
        <w:t xml:space="preserve">    </w:t>
      </w:r>
      <w:r>
        <w:rPr>
          <w:rFonts w:ascii="Times New Roman" w:hAnsi="Times New Roman" w:eastAsia="Times New Roman" w:cs="Times New Roman"/>
          <w:sz w:val="21"/>
          <w:szCs w:val="21"/>
        </w:rPr>
        <w:t>study</w:t>
      </w:r>
      <w:r>
        <w:rPr>
          <w:rFonts w:ascii="Times New Roman" w:hAnsi="Times New Roman" w:eastAsia="Times New Roman" w:cs="Times New Roman"/>
          <w:spacing w:val="6"/>
          <w:sz w:val="21"/>
          <w:szCs w:val="21"/>
        </w:rPr>
        <w:t>)</w:t>
      </w:r>
      <w:r>
        <w:rPr>
          <w:rFonts w:ascii="宋体" w:hAnsi="宋体" w:eastAsia="宋体" w:cs="宋体"/>
          <w:spacing w:val="6"/>
          <w:sz w:val="21"/>
          <w:szCs w:val="21"/>
        </w:rPr>
        <w:t>。因其检验病因假设的能力较强，在流行病学病因研究中被广泛</w:t>
      </w:r>
      <w:r>
        <w:rPr>
          <w:rFonts w:ascii="宋体" w:hAnsi="宋体" w:eastAsia="宋体" w:cs="宋体"/>
          <w:spacing w:val="5"/>
          <w:sz w:val="21"/>
          <w:szCs w:val="21"/>
        </w:rPr>
        <w:t xml:space="preserve"> </w:t>
      </w:r>
      <w:r>
        <w:rPr>
          <w:rFonts w:ascii="宋体" w:hAnsi="宋体" w:eastAsia="宋体" w:cs="宋体"/>
          <w:spacing w:val="11"/>
          <w:sz w:val="21"/>
          <w:szCs w:val="21"/>
        </w:rPr>
        <w:t>使用。</w:t>
      </w:r>
    </w:p>
    <w:p w14:paraId="19DB0754">
      <w:pPr>
        <w:spacing w:line="339" w:lineRule="auto"/>
        <w:rPr>
          <w:rFonts w:ascii="Arial"/>
          <w:sz w:val="21"/>
        </w:rPr>
      </w:pPr>
    </w:p>
    <w:p w14:paraId="661348FB">
      <w:pPr>
        <w:pStyle w:val="2"/>
        <w:spacing w:before="99" w:line="221" w:lineRule="auto"/>
        <w:ind w:left="3604"/>
        <w:outlineLvl w:val="1"/>
      </w:pPr>
      <w:bookmarkStart w:id="88" w:name="bookmark50"/>
      <w:bookmarkEnd w:id="88"/>
      <w:r>
        <w:rPr>
          <w:b/>
          <w:bCs/>
          <w:spacing w:val="-3"/>
        </w:rPr>
        <w:t>第一节</w:t>
      </w:r>
      <w:r>
        <w:rPr>
          <w:spacing w:val="140"/>
        </w:rPr>
        <w:t xml:space="preserve"> </w:t>
      </w:r>
      <w:r>
        <w:rPr>
          <w:b/>
          <w:bCs/>
          <w:spacing w:val="-3"/>
        </w:rPr>
        <w:t>概</w:t>
      </w:r>
      <w:r>
        <w:rPr>
          <w:spacing w:val="9"/>
        </w:rPr>
        <w:t xml:space="preserve">  </w:t>
      </w:r>
      <w:r>
        <w:rPr>
          <w:b/>
          <w:bCs/>
          <w:spacing w:val="-3"/>
        </w:rPr>
        <w:t>述</w:t>
      </w:r>
    </w:p>
    <w:p w14:paraId="65F68BA2">
      <w:pPr>
        <w:spacing w:line="360" w:lineRule="auto"/>
        <w:rPr>
          <w:rFonts w:ascii="Arial"/>
          <w:sz w:val="21"/>
        </w:rPr>
      </w:pPr>
    </w:p>
    <w:p w14:paraId="0A688A04">
      <w:pPr>
        <w:pStyle w:val="2"/>
        <w:spacing w:before="88" w:line="221" w:lineRule="auto"/>
        <w:ind w:left="453"/>
        <w:outlineLvl w:val="2"/>
        <w:rPr>
          <w:sz w:val="27"/>
          <w:szCs w:val="27"/>
        </w:rPr>
      </w:pPr>
      <w:bookmarkStart w:id="89" w:name="bookmark51"/>
      <w:bookmarkEnd w:id="89"/>
      <w:r>
        <w:rPr>
          <w:b/>
          <w:bCs/>
          <w:spacing w:val="-27"/>
          <w:sz w:val="27"/>
          <w:szCs w:val="27"/>
        </w:rPr>
        <w:t>一</w:t>
      </w:r>
      <w:r>
        <w:rPr>
          <w:spacing w:val="-73"/>
          <w:sz w:val="27"/>
          <w:szCs w:val="27"/>
        </w:rPr>
        <w:t xml:space="preserve"> </w:t>
      </w:r>
      <w:r>
        <w:rPr>
          <w:b/>
          <w:bCs/>
          <w:spacing w:val="-27"/>
          <w:sz w:val="27"/>
          <w:szCs w:val="27"/>
        </w:rPr>
        <w:t>、概念</w:t>
      </w:r>
    </w:p>
    <w:p w14:paraId="3C4E3E2D">
      <w:pPr>
        <w:spacing w:before="268" w:line="319" w:lineRule="auto"/>
        <w:ind w:right="686" w:firstLine="450"/>
        <w:jc w:val="both"/>
        <w:rPr>
          <w:rFonts w:ascii="宋体" w:hAnsi="宋体" w:eastAsia="宋体" w:cs="宋体"/>
          <w:sz w:val="21"/>
          <w:szCs w:val="21"/>
        </w:rPr>
      </w:pPr>
      <w:r>
        <w:rPr>
          <w:rFonts w:ascii="宋体" w:hAnsi="宋体" w:eastAsia="宋体" w:cs="宋体"/>
          <w:spacing w:val="10"/>
          <w:sz w:val="21"/>
          <w:szCs w:val="21"/>
        </w:rPr>
        <w:t>队列研究是通过将研究人群按是否暴露于某因素或暴露程度分为不同亚组，追踪观察各</w:t>
      </w:r>
      <w:r>
        <w:rPr>
          <w:rFonts w:ascii="宋体" w:hAnsi="宋体" w:eastAsia="宋体" w:cs="宋体"/>
          <w:spacing w:val="9"/>
          <w:sz w:val="21"/>
          <w:szCs w:val="21"/>
        </w:rPr>
        <w:t>组成</w:t>
      </w:r>
      <w:r>
        <w:rPr>
          <w:rFonts w:ascii="宋体" w:hAnsi="宋体" w:eastAsia="宋体" w:cs="宋体"/>
          <w:sz w:val="21"/>
          <w:szCs w:val="21"/>
        </w:rPr>
        <w:t xml:space="preserve"> </w:t>
      </w:r>
      <w:r>
        <w:rPr>
          <w:rFonts w:ascii="宋体" w:hAnsi="宋体" w:eastAsia="宋体" w:cs="宋体"/>
          <w:spacing w:val="5"/>
          <w:sz w:val="21"/>
          <w:szCs w:val="21"/>
        </w:rPr>
        <w:t>员结局发生情况，比较不同组间结局发生率的差异，从而判定暴</w:t>
      </w:r>
      <w:r>
        <w:rPr>
          <w:rFonts w:ascii="宋体" w:hAnsi="宋体" w:eastAsia="宋体" w:cs="宋体"/>
          <w:spacing w:val="4"/>
          <w:sz w:val="21"/>
          <w:szCs w:val="21"/>
        </w:rPr>
        <w:t>露因素与结局之间有无因果关联及</w:t>
      </w:r>
      <w:r>
        <w:rPr>
          <w:rFonts w:ascii="宋体" w:hAnsi="宋体" w:eastAsia="宋体" w:cs="宋体"/>
          <w:sz w:val="21"/>
          <w:szCs w:val="21"/>
        </w:rPr>
        <w:t xml:space="preserve"> </w:t>
      </w:r>
      <w:r>
        <w:rPr>
          <w:rFonts w:ascii="宋体" w:hAnsi="宋体" w:eastAsia="宋体" w:cs="宋体"/>
          <w:spacing w:val="7"/>
          <w:sz w:val="21"/>
          <w:szCs w:val="21"/>
        </w:rPr>
        <w:t>关联强度的一种观察性研究方法。</w:t>
      </w:r>
    </w:p>
    <w:p w14:paraId="6880CA9D">
      <w:pPr>
        <w:spacing w:line="326" w:lineRule="auto"/>
        <w:ind w:right="666" w:firstLine="450"/>
        <w:jc w:val="both"/>
        <w:rPr>
          <w:rFonts w:ascii="宋体" w:hAnsi="宋体" w:eastAsia="宋体" w:cs="宋体"/>
          <w:sz w:val="21"/>
          <w:szCs w:val="21"/>
        </w:rPr>
      </w:pPr>
      <w:r>
        <w:rPr>
          <w:rFonts w:ascii="宋体" w:hAnsi="宋体" w:eastAsia="宋体" w:cs="宋体"/>
          <w:spacing w:val="3"/>
          <w:sz w:val="21"/>
          <w:szCs w:val="21"/>
        </w:rPr>
        <w:t>暴露</w:t>
      </w:r>
      <w:r>
        <w:rPr>
          <w:rFonts w:ascii="Times New Roman" w:hAnsi="Times New Roman" w:eastAsia="Times New Roman" w:cs="Times New Roman"/>
          <w:spacing w:val="3"/>
          <w:sz w:val="21"/>
          <w:szCs w:val="21"/>
        </w:rPr>
        <w:t>(</w:t>
      </w:r>
      <w:r>
        <w:rPr>
          <w:rFonts w:ascii="Times New Roman" w:hAnsi="Times New Roman" w:eastAsia="Times New Roman" w:cs="Times New Roman"/>
          <w:sz w:val="21"/>
          <w:szCs w:val="21"/>
        </w:rPr>
        <w:t>exposure</w:t>
      </w:r>
      <w:r>
        <w:rPr>
          <w:rFonts w:ascii="Times New Roman" w:hAnsi="Times New Roman" w:eastAsia="Times New Roman" w:cs="Times New Roman"/>
          <w:spacing w:val="3"/>
          <w:sz w:val="21"/>
          <w:szCs w:val="21"/>
        </w:rPr>
        <w:t>)</w:t>
      </w:r>
      <w:r>
        <w:rPr>
          <w:rFonts w:ascii="Times New Roman" w:hAnsi="Times New Roman" w:eastAsia="Times New Roman" w:cs="Times New Roman"/>
          <w:spacing w:val="61"/>
          <w:w w:val="101"/>
          <w:sz w:val="21"/>
          <w:szCs w:val="21"/>
        </w:rPr>
        <w:t xml:space="preserve"> </w:t>
      </w:r>
      <w:r>
        <w:rPr>
          <w:rFonts w:ascii="宋体" w:hAnsi="宋体" w:eastAsia="宋体" w:cs="宋体"/>
          <w:spacing w:val="3"/>
          <w:sz w:val="21"/>
          <w:szCs w:val="21"/>
        </w:rPr>
        <w:t>是指研究对象曾接触过某些因素(如重金属)、具有某些特征(如年龄、性别及遗</w:t>
      </w:r>
      <w:r>
        <w:rPr>
          <w:rFonts w:ascii="宋体" w:hAnsi="宋体" w:eastAsia="宋体" w:cs="宋体"/>
          <w:sz w:val="21"/>
          <w:szCs w:val="21"/>
        </w:rPr>
        <w:t xml:space="preserve"> </w:t>
      </w:r>
      <w:r>
        <w:rPr>
          <w:rFonts w:ascii="宋体" w:hAnsi="宋体" w:eastAsia="宋体" w:cs="宋体"/>
          <w:spacing w:val="8"/>
          <w:sz w:val="21"/>
          <w:szCs w:val="21"/>
        </w:rPr>
        <w:t>传性状等)或处于某种状态。这些因素、特征或状态即为暴露因素。暴露可以是有害的，也可以是</w:t>
      </w:r>
      <w:r>
        <w:rPr>
          <w:rFonts w:ascii="宋体" w:hAnsi="宋体" w:eastAsia="宋体" w:cs="宋体"/>
          <w:sz w:val="21"/>
          <w:szCs w:val="21"/>
        </w:rPr>
        <w:t xml:space="preserve"> </w:t>
      </w:r>
      <w:r>
        <w:rPr>
          <w:rFonts w:ascii="宋体" w:hAnsi="宋体" w:eastAsia="宋体" w:cs="宋体"/>
          <w:spacing w:val="8"/>
          <w:sz w:val="21"/>
          <w:szCs w:val="21"/>
        </w:rPr>
        <w:t>有益的。</w:t>
      </w:r>
    </w:p>
    <w:p w14:paraId="5819B678">
      <w:pPr>
        <w:spacing w:before="8" w:line="212" w:lineRule="auto"/>
        <w:ind w:left="450"/>
        <w:rPr>
          <w:rFonts w:ascii="宋体" w:hAnsi="宋体" w:eastAsia="宋体" w:cs="宋体"/>
          <w:sz w:val="21"/>
          <w:szCs w:val="21"/>
        </w:rPr>
      </w:pPr>
      <w:r>
        <w:rPr>
          <w:rFonts w:ascii="宋体" w:hAnsi="宋体" w:eastAsia="宋体" w:cs="宋体"/>
          <w:spacing w:val="5"/>
          <w:sz w:val="21"/>
          <w:szCs w:val="21"/>
        </w:rPr>
        <w:t>固定队列</w:t>
      </w:r>
      <w:r>
        <w:rPr>
          <w:rFonts w:ascii="Times New Roman" w:hAnsi="Times New Roman" w:eastAsia="Times New Roman" w:cs="Times New Roman"/>
          <w:spacing w:val="5"/>
          <w:sz w:val="21"/>
          <w:szCs w:val="21"/>
        </w:rPr>
        <w:t>(</w:t>
      </w:r>
      <w:r>
        <w:rPr>
          <w:rFonts w:ascii="Times New Roman" w:hAnsi="Times New Roman" w:eastAsia="Times New Roman" w:cs="Times New Roman"/>
          <w:sz w:val="21"/>
          <w:szCs w:val="21"/>
        </w:rPr>
        <w:t>fixed</w:t>
      </w:r>
      <w:r>
        <w:rPr>
          <w:rFonts w:ascii="Times New Roman" w:hAnsi="Times New Roman" w:eastAsia="Times New Roman" w:cs="Times New Roman"/>
          <w:spacing w:val="5"/>
          <w:sz w:val="21"/>
          <w:szCs w:val="21"/>
        </w:rPr>
        <w:t xml:space="preserve">   </w:t>
      </w:r>
      <w:r>
        <w:rPr>
          <w:rFonts w:ascii="Times New Roman" w:hAnsi="Times New Roman" w:eastAsia="Times New Roman" w:cs="Times New Roman"/>
          <w:sz w:val="21"/>
          <w:szCs w:val="21"/>
        </w:rPr>
        <w:t>cohort</w:t>
      </w:r>
      <w:r>
        <w:rPr>
          <w:rFonts w:ascii="Times New Roman" w:hAnsi="Times New Roman" w:eastAsia="Times New Roman" w:cs="Times New Roman"/>
          <w:spacing w:val="5"/>
          <w:sz w:val="21"/>
          <w:szCs w:val="21"/>
        </w:rPr>
        <w:t>)</w:t>
      </w:r>
      <w:r>
        <w:rPr>
          <w:rFonts w:ascii="宋体" w:hAnsi="宋体" w:eastAsia="宋体" w:cs="宋体"/>
          <w:spacing w:val="5"/>
          <w:sz w:val="21"/>
          <w:szCs w:val="21"/>
        </w:rPr>
        <w:t>是指研究对象都是在某一固定时间</w:t>
      </w:r>
      <w:r>
        <w:rPr>
          <w:rFonts w:ascii="宋体" w:hAnsi="宋体" w:eastAsia="宋体" w:cs="宋体"/>
          <w:spacing w:val="4"/>
          <w:sz w:val="21"/>
          <w:szCs w:val="21"/>
        </w:rPr>
        <w:t>或一个短时期之内进入队列的，随访</w:t>
      </w:r>
    </w:p>
    <w:p w14:paraId="43B8E608">
      <w:pPr>
        <w:spacing w:line="212" w:lineRule="auto"/>
        <w:rPr>
          <w:rFonts w:ascii="宋体" w:hAnsi="宋体" w:eastAsia="宋体" w:cs="宋体"/>
          <w:sz w:val="21"/>
          <w:szCs w:val="21"/>
        </w:rPr>
        <w:sectPr>
          <w:footerReference r:id="rId79" w:type="default"/>
          <w:pgSz w:w="11900" w:h="16820"/>
          <w:pgMar w:top="400" w:right="683" w:bottom="936" w:left="1279" w:header="0" w:footer="747" w:gutter="0"/>
          <w:cols w:space="720" w:num="1"/>
        </w:sectPr>
      </w:pPr>
    </w:p>
    <w:p w14:paraId="04DB7258">
      <w:pPr>
        <w:pStyle w:val="2"/>
        <w:spacing w:before="86" w:line="222" w:lineRule="auto"/>
        <w:ind w:left="730"/>
        <w:rPr>
          <w:sz w:val="19"/>
          <w:szCs w:val="19"/>
        </w:rPr>
      </w:pPr>
      <w:r>
        <w:rPr>
          <w:spacing w:val="-11"/>
          <w:sz w:val="19"/>
          <w:szCs w:val="19"/>
        </w:rPr>
        <w:t>第四章</w:t>
      </w:r>
      <w:r>
        <w:rPr>
          <w:spacing w:val="10"/>
          <w:sz w:val="19"/>
          <w:szCs w:val="19"/>
        </w:rPr>
        <w:t xml:space="preserve"> </w:t>
      </w:r>
      <w:r>
        <w:rPr>
          <w:spacing w:val="-11"/>
          <w:sz w:val="19"/>
          <w:szCs w:val="19"/>
        </w:rPr>
        <w:t>队列研究</w:t>
      </w:r>
    </w:p>
    <w:p w14:paraId="00B9F12F">
      <w:pPr>
        <w:spacing w:line="278" w:lineRule="auto"/>
        <w:rPr>
          <w:rFonts w:ascii="Arial"/>
          <w:sz w:val="21"/>
        </w:rPr>
      </w:pPr>
    </w:p>
    <w:p w14:paraId="4E4C008A">
      <w:pPr>
        <w:spacing w:line="278" w:lineRule="auto"/>
        <w:rPr>
          <w:rFonts w:ascii="Arial"/>
          <w:sz w:val="21"/>
        </w:rPr>
      </w:pPr>
    </w:p>
    <w:p w14:paraId="6B3994F1">
      <w:pPr>
        <w:spacing w:before="62" w:line="219" w:lineRule="auto"/>
        <w:ind w:left="730"/>
        <w:rPr>
          <w:rFonts w:ascii="宋体" w:hAnsi="宋体" w:eastAsia="宋体" w:cs="宋体"/>
          <w:sz w:val="19"/>
          <w:szCs w:val="19"/>
        </w:rPr>
      </w:pPr>
      <w:r>
        <w:rPr>
          <w:rFonts w:ascii="宋体" w:hAnsi="宋体" w:eastAsia="宋体" w:cs="宋体"/>
          <w:spacing w:val="14"/>
          <w:sz w:val="19"/>
          <w:szCs w:val="19"/>
        </w:rPr>
        <w:t>观察期间不再纳人新的研究对象，直至观察期终止，整个观察期内保持队列成员的相对固定。</w:t>
      </w:r>
    </w:p>
    <w:p w14:paraId="1C4AA252">
      <w:pPr>
        <w:spacing w:before="103" w:line="365" w:lineRule="auto"/>
        <w:ind w:left="730" w:right="106" w:firstLine="419"/>
        <w:rPr>
          <w:rFonts w:ascii="宋体" w:hAnsi="宋体" w:eastAsia="宋体" w:cs="宋体"/>
          <w:sz w:val="19"/>
          <w:szCs w:val="19"/>
        </w:rPr>
      </w:pPr>
      <w:r>
        <w:rPr>
          <w:rFonts w:ascii="宋体" w:hAnsi="宋体" w:eastAsia="宋体" w:cs="宋体"/>
          <w:spacing w:val="14"/>
          <w:sz w:val="19"/>
          <w:szCs w:val="19"/>
        </w:rPr>
        <w:t>动态队列</w:t>
      </w:r>
      <w:r>
        <w:rPr>
          <w:rFonts w:ascii="Times New Roman" w:hAnsi="Times New Roman" w:eastAsia="Times New Roman" w:cs="Times New Roman"/>
          <w:spacing w:val="14"/>
          <w:sz w:val="19"/>
          <w:szCs w:val="19"/>
        </w:rPr>
        <w:t>(</w:t>
      </w:r>
      <w:r>
        <w:rPr>
          <w:rFonts w:ascii="Times New Roman" w:hAnsi="Times New Roman" w:eastAsia="Times New Roman" w:cs="Times New Roman"/>
          <w:sz w:val="19"/>
          <w:szCs w:val="19"/>
        </w:rPr>
        <w:t>dynamic</w:t>
      </w:r>
      <w:r>
        <w:rPr>
          <w:rFonts w:ascii="Times New Roman" w:hAnsi="Times New Roman" w:eastAsia="Times New Roman" w:cs="Times New Roman"/>
          <w:spacing w:val="14"/>
          <w:sz w:val="19"/>
          <w:szCs w:val="19"/>
        </w:rPr>
        <w:t xml:space="preserve">    </w:t>
      </w:r>
      <w:r>
        <w:rPr>
          <w:rFonts w:ascii="Times New Roman" w:hAnsi="Times New Roman" w:eastAsia="Times New Roman" w:cs="Times New Roman"/>
          <w:sz w:val="19"/>
          <w:szCs w:val="19"/>
        </w:rPr>
        <w:t>cohort</w:t>
      </w:r>
      <w:r>
        <w:rPr>
          <w:rFonts w:ascii="Times New Roman" w:hAnsi="Times New Roman" w:eastAsia="Times New Roman" w:cs="Times New Roman"/>
          <w:spacing w:val="14"/>
          <w:sz w:val="19"/>
          <w:szCs w:val="19"/>
        </w:rPr>
        <w:t>)</w:t>
      </w:r>
      <w:r>
        <w:rPr>
          <w:rFonts w:ascii="宋体" w:hAnsi="宋体" w:eastAsia="宋体" w:cs="宋体"/>
          <w:spacing w:val="14"/>
          <w:sz w:val="19"/>
          <w:szCs w:val="19"/>
        </w:rPr>
        <w:t>是指在研究期内，新的观察对象可以随时加入，</w:t>
      </w:r>
      <w:r>
        <w:rPr>
          <w:rFonts w:ascii="宋体" w:hAnsi="宋体" w:eastAsia="宋体" w:cs="宋体"/>
          <w:spacing w:val="13"/>
          <w:sz w:val="19"/>
          <w:szCs w:val="19"/>
        </w:rPr>
        <w:t>队列中原有的研究对</w:t>
      </w:r>
      <w:r>
        <w:rPr>
          <w:rFonts w:ascii="宋体" w:hAnsi="宋体" w:eastAsia="宋体" w:cs="宋体"/>
          <w:sz w:val="19"/>
          <w:szCs w:val="19"/>
        </w:rPr>
        <w:t xml:space="preserve"> </w:t>
      </w:r>
      <w:r>
        <w:rPr>
          <w:rFonts w:ascii="宋体" w:hAnsi="宋体" w:eastAsia="宋体" w:cs="宋体"/>
          <w:spacing w:val="9"/>
          <w:sz w:val="19"/>
          <w:szCs w:val="19"/>
        </w:rPr>
        <w:t>象可以随时退出，队列成员是动态变化的。</w:t>
      </w:r>
    </w:p>
    <w:p w14:paraId="11D09D4A">
      <w:pPr>
        <w:spacing w:line="212" w:lineRule="auto"/>
        <w:ind w:right="19"/>
        <w:jc w:val="right"/>
        <w:rPr>
          <w:rFonts w:ascii="宋体" w:hAnsi="宋体" w:eastAsia="宋体" w:cs="宋体"/>
          <w:sz w:val="19"/>
          <w:szCs w:val="19"/>
        </w:rPr>
      </w:pPr>
      <w:r>
        <w:rPr>
          <w:rFonts w:ascii="宋体" w:hAnsi="宋体" w:eastAsia="宋体" w:cs="宋体"/>
          <w:spacing w:val="19"/>
          <w:sz w:val="19"/>
          <w:szCs w:val="19"/>
        </w:rPr>
        <w:t>危险因素</w:t>
      </w:r>
      <w:r>
        <w:rPr>
          <w:rFonts w:ascii="Times New Roman" w:hAnsi="Times New Roman" w:eastAsia="Times New Roman" w:cs="Times New Roman"/>
          <w:spacing w:val="19"/>
          <w:sz w:val="19"/>
          <w:szCs w:val="19"/>
        </w:rPr>
        <w:t>(</w:t>
      </w:r>
      <w:r>
        <w:rPr>
          <w:rFonts w:ascii="Times New Roman" w:hAnsi="Times New Roman" w:eastAsia="Times New Roman" w:cs="Times New Roman"/>
          <w:sz w:val="19"/>
          <w:szCs w:val="19"/>
        </w:rPr>
        <w:t>risk</w:t>
      </w:r>
      <w:r>
        <w:rPr>
          <w:rFonts w:ascii="Times New Roman" w:hAnsi="Times New Roman" w:eastAsia="Times New Roman" w:cs="Times New Roman"/>
          <w:spacing w:val="19"/>
          <w:sz w:val="19"/>
          <w:szCs w:val="19"/>
        </w:rPr>
        <w:t xml:space="preserve">     </w:t>
      </w:r>
      <w:r>
        <w:rPr>
          <w:rFonts w:ascii="Times New Roman" w:hAnsi="Times New Roman" w:eastAsia="Times New Roman" w:cs="Times New Roman"/>
          <w:sz w:val="19"/>
          <w:szCs w:val="19"/>
        </w:rPr>
        <w:t>factor</w:t>
      </w:r>
      <w:r>
        <w:rPr>
          <w:rFonts w:ascii="Times New Roman" w:hAnsi="Times New Roman" w:eastAsia="Times New Roman" w:cs="Times New Roman"/>
          <w:spacing w:val="19"/>
          <w:sz w:val="19"/>
          <w:szCs w:val="19"/>
        </w:rPr>
        <w:t>)</w:t>
      </w:r>
      <w:r>
        <w:rPr>
          <w:rFonts w:ascii="宋体" w:hAnsi="宋体" w:eastAsia="宋体" w:cs="宋体"/>
          <w:spacing w:val="19"/>
          <w:sz w:val="19"/>
          <w:szCs w:val="19"/>
        </w:rPr>
        <w:t>泛指能引起某特定不良结局发生概率增加的因素，反之称为保护因素。</w:t>
      </w:r>
    </w:p>
    <w:p w14:paraId="7E5DAD8F">
      <w:pPr>
        <w:spacing w:before="182" w:line="219" w:lineRule="auto"/>
        <w:ind w:left="730"/>
        <w:rPr>
          <w:rFonts w:ascii="宋体" w:hAnsi="宋体" w:eastAsia="宋体" w:cs="宋体"/>
          <w:sz w:val="19"/>
          <w:szCs w:val="19"/>
        </w:rPr>
      </w:pPr>
      <w:r>
        <w:rPr>
          <w:rFonts w:ascii="宋体" w:hAnsi="宋体" w:eastAsia="宋体" w:cs="宋体"/>
          <w:spacing w:val="11"/>
          <w:sz w:val="19"/>
          <w:szCs w:val="19"/>
        </w:rPr>
        <w:t>两者均可作为研究因素，统称为决定因素或影响因素。</w:t>
      </w:r>
    </w:p>
    <w:p w14:paraId="6543E5DF">
      <w:pPr>
        <w:spacing w:line="262" w:lineRule="auto"/>
        <w:rPr>
          <w:rFonts w:ascii="Arial"/>
          <w:sz w:val="21"/>
        </w:rPr>
      </w:pPr>
    </w:p>
    <w:p w14:paraId="0B16CA12">
      <w:pPr>
        <w:pStyle w:val="2"/>
        <w:spacing w:before="81" w:line="223" w:lineRule="auto"/>
        <w:ind w:left="1153"/>
        <w:outlineLvl w:val="2"/>
        <w:rPr>
          <w:sz w:val="25"/>
          <w:szCs w:val="25"/>
        </w:rPr>
      </w:pPr>
      <w:bookmarkStart w:id="90" w:name="bookmark52"/>
      <w:bookmarkEnd w:id="90"/>
      <w:r>
        <w:rPr>
          <w:b/>
          <w:bCs/>
          <w:spacing w:val="-4"/>
          <w:sz w:val="25"/>
          <w:szCs w:val="25"/>
        </w:rPr>
        <w:t>二、基本原理</w:t>
      </w:r>
    </w:p>
    <w:p w14:paraId="7F0122C4">
      <w:pPr>
        <w:spacing w:before="259" w:line="360" w:lineRule="auto"/>
        <w:ind w:left="730" w:right="39" w:firstLine="419"/>
        <w:jc w:val="both"/>
        <w:rPr>
          <w:rFonts w:ascii="宋体" w:hAnsi="宋体" w:eastAsia="宋体" w:cs="宋体"/>
          <w:sz w:val="19"/>
          <w:szCs w:val="19"/>
        </w:rPr>
      </w:pPr>
      <w:r>
        <w:rPr>
          <w:rFonts w:ascii="宋体" w:hAnsi="宋体" w:eastAsia="宋体" w:cs="宋体"/>
          <w:spacing w:val="22"/>
          <w:sz w:val="19"/>
          <w:szCs w:val="19"/>
        </w:rPr>
        <w:t>队列研究的基本原理是在某一个特定人群中根据目前或过去某个时</w:t>
      </w:r>
      <w:r>
        <w:rPr>
          <w:rFonts w:ascii="宋体" w:hAnsi="宋体" w:eastAsia="宋体" w:cs="宋体"/>
          <w:spacing w:val="21"/>
          <w:sz w:val="19"/>
          <w:szCs w:val="19"/>
        </w:rPr>
        <w:t>期是否暴露于某个待研究</w:t>
      </w:r>
      <w:r>
        <w:rPr>
          <w:rFonts w:ascii="宋体" w:hAnsi="宋体" w:eastAsia="宋体" w:cs="宋体"/>
          <w:sz w:val="19"/>
          <w:szCs w:val="19"/>
        </w:rPr>
        <w:t xml:space="preserve"> </w:t>
      </w:r>
      <w:r>
        <w:rPr>
          <w:rFonts w:ascii="宋体" w:hAnsi="宋体" w:eastAsia="宋体" w:cs="宋体"/>
          <w:spacing w:val="19"/>
          <w:sz w:val="19"/>
          <w:szCs w:val="19"/>
        </w:rPr>
        <w:t>因素(危险因素或保护因素),或依据其不</w:t>
      </w:r>
      <w:r>
        <w:rPr>
          <w:rFonts w:ascii="宋体" w:hAnsi="宋体" w:eastAsia="宋体" w:cs="宋体"/>
          <w:spacing w:val="18"/>
          <w:sz w:val="19"/>
          <w:szCs w:val="19"/>
        </w:rPr>
        <w:t>同的暴露水平而将研究对象分成不同的组，如暴露组和非</w:t>
      </w:r>
      <w:r>
        <w:rPr>
          <w:rFonts w:ascii="宋体" w:hAnsi="宋体" w:eastAsia="宋体" w:cs="宋体"/>
          <w:sz w:val="19"/>
          <w:szCs w:val="19"/>
        </w:rPr>
        <w:t xml:space="preserve"> </w:t>
      </w:r>
      <w:r>
        <w:rPr>
          <w:rFonts w:ascii="宋体" w:hAnsi="宋体" w:eastAsia="宋体" w:cs="宋体"/>
          <w:spacing w:val="14"/>
          <w:sz w:val="19"/>
          <w:szCs w:val="19"/>
        </w:rPr>
        <w:t>暴露组、高剂量组和低剂量组等，随访观察各组人</w:t>
      </w:r>
      <w:r>
        <w:rPr>
          <w:rFonts w:ascii="宋体" w:hAnsi="宋体" w:eastAsia="宋体" w:cs="宋体"/>
          <w:spacing w:val="13"/>
          <w:sz w:val="19"/>
          <w:szCs w:val="19"/>
        </w:rPr>
        <w:t>群预期结局的发生情况，比较各组结局的发生率，</w:t>
      </w:r>
      <w:r>
        <w:rPr>
          <w:rFonts w:ascii="宋体" w:hAnsi="宋体" w:eastAsia="宋体" w:cs="宋体"/>
          <w:sz w:val="19"/>
          <w:szCs w:val="19"/>
        </w:rPr>
        <w:t xml:space="preserve"> </w:t>
      </w:r>
      <w:r>
        <w:rPr>
          <w:rFonts w:ascii="宋体" w:hAnsi="宋体" w:eastAsia="宋体" w:cs="宋体"/>
          <w:spacing w:val="22"/>
          <w:sz w:val="19"/>
          <w:szCs w:val="19"/>
        </w:rPr>
        <w:t>评价和判断暴露因素与结局的关系。在排除偏倚的情况下，</w:t>
      </w:r>
      <w:r>
        <w:rPr>
          <w:rFonts w:ascii="宋体" w:hAnsi="宋体" w:eastAsia="宋体" w:cs="宋体"/>
          <w:spacing w:val="21"/>
          <w:sz w:val="19"/>
          <w:szCs w:val="19"/>
        </w:rPr>
        <w:t>如果暴露组与非暴露组某结局的发生</w:t>
      </w:r>
      <w:r>
        <w:rPr>
          <w:rFonts w:ascii="宋体" w:hAnsi="宋体" w:eastAsia="宋体" w:cs="宋体"/>
          <w:sz w:val="19"/>
          <w:szCs w:val="19"/>
        </w:rPr>
        <w:t xml:space="preserve"> </w:t>
      </w:r>
      <w:r>
        <w:rPr>
          <w:rFonts w:ascii="宋体" w:hAnsi="宋体" w:eastAsia="宋体" w:cs="宋体"/>
          <w:spacing w:val="17"/>
          <w:sz w:val="19"/>
          <w:szCs w:val="19"/>
        </w:rPr>
        <w:t>率差异有统计学意义，则可推测暴露与结局之间可能存在因果关系，该暴露可能是该结局发生的决</w:t>
      </w:r>
      <w:r>
        <w:rPr>
          <w:rFonts w:ascii="宋体" w:hAnsi="宋体" w:eastAsia="宋体" w:cs="宋体"/>
          <w:spacing w:val="5"/>
          <w:sz w:val="19"/>
          <w:szCs w:val="19"/>
        </w:rPr>
        <w:t xml:space="preserve"> </w:t>
      </w:r>
      <w:r>
        <w:rPr>
          <w:rFonts w:ascii="宋体" w:hAnsi="宋体" w:eastAsia="宋体" w:cs="宋体"/>
          <w:spacing w:val="13"/>
          <w:sz w:val="19"/>
          <w:szCs w:val="19"/>
        </w:rPr>
        <w:t>定因素。其结构模式见图4-1。</w:t>
      </w:r>
    </w:p>
    <w:p w14:paraId="0ED28609">
      <w:pPr>
        <w:spacing w:line="148" w:lineRule="exact"/>
      </w:pPr>
    </w:p>
    <w:p w14:paraId="514062E6">
      <w:pPr>
        <w:spacing w:line="148" w:lineRule="exact"/>
        <w:sectPr>
          <w:footerReference r:id="rId80" w:type="default"/>
          <w:pgSz w:w="11900" w:h="16820"/>
          <w:pgMar w:top="400" w:right="1445" w:bottom="872" w:left="729" w:header="0" w:footer="701" w:gutter="0"/>
          <w:cols w:equalWidth="0" w:num="1">
            <w:col w:w="9726"/>
          </w:cols>
        </w:sectPr>
      </w:pPr>
    </w:p>
    <w:p w14:paraId="63E46068">
      <w:pPr>
        <w:spacing w:line="284" w:lineRule="auto"/>
        <w:rPr>
          <w:rFonts w:ascii="Arial"/>
          <w:sz w:val="21"/>
        </w:rPr>
      </w:pPr>
    </w:p>
    <w:p w14:paraId="519AFA67">
      <w:pPr>
        <w:spacing w:line="285" w:lineRule="auto"/>
        <w:rPr>
          <w:rFonts w:ascii="Arial"/>
          <w:sz w:val="21"/>
        </w:rPr>
      </w:pPr>
    </w:p>
    <w:p w14:paraId="5AC7D471">
      <w:pPr>
        <w:spacing w:line="285" w:lineRule="auto"/>
        <w:rPr>
          <w:rFonts w:ascii="Arial"/>
          <w:sz w:val="21"/>
        </w:rPr>
      </w:pPr>
    </w:p>
    <w:p w14:paraId="7CB345BE">
      <w:pPr>
        <w:spacing w:line="285" w:lineRule="auto"/>
        <w:rPr>
          <w:rFonts w:ascii="Arial"/>
          <w:sz w:val="21"/>
        </w:rPr>
      </w:pPr>
    </w:p>
    <w:p w14:paraId="7E432B93">
      <w:pPr>
        <w:spacing w:before="62" w:line="189" w:lineRule="auto"/>
        <w:ind w:left="2360" w:right="346"/>
        <w:rPr>
          <w:rFonts w:ascii="宋体" w:hAnsi="宋体" w:eastAsia="宋体" w:cs="宋体"/>
          <w:sz w:val="19"/>
          <w:szCs w:val="19"/>
        </w:rPr>
      </w:pPr>
      <w:r>
        <w:drawing>
          <wp:anchor distT="0" distB="0" distL="0" distR="0" simplePos="0" relativeHeight="251722752" behindDoc="1" locked="0" layoutInCell="1" allowOverlap="1">
            <wp:simplePos x="0" y="0"/>
            <wp:positionH relativeFrom="column">
              <wp:posOffset>1326515</wp:posOffset>
            </wp:positionH>
            <wp:positionV relativeFrom="paragraph">
              <wp:posOffset>-720725</wp:posOffset>
            </wp:positionV>
            <wp:extent cx="3911600" cy="2235200"/>
            <wp:effectExtent l="0" t="0" r="0" b="0"/>
            <wp:wrapNone/>
            <wp:docPr id="202" name="IM 202"/>
            <wp:cNvGraphicFramePr/>
            <a:graphic xmlns:a="http://schemas.openxmlformats.org/drawingml/2006/main">
              <a:graphicData uri="http://schemas.openxmlformats.org/drawingml/2006/picture">
                <pic:pic xmlns:pic="http://schemas.openxmlformats.org/drawingml/2006/picture">
                  <pic:nvPicPr>
                    <pic:cNvPr id="202" name="IM 202"/>
                    <pic:cNvPicPr/>
                  </pic:nvPicPr>
                  <pic:blipFill>
                    <a:blip r:embed="rId476"/>
                    <a:stretch>
                      <a:fillRect/>
                    </a:stretch>
                  </pic:blipFill>
                  <pic:spPr>
                    <a:xfrm>
                      <a:off x="0" y="0"/>
                      <a:ext cx="3911622" cy="2235150"/>
                    </a:xfrm>
                    <a:prstGeom prst="rect">
                      <a:avLst/>
                    </a:prstGeom>
                  </pic:spPr>
                </pic:pic>
              </a:graphicData>
            </a:graphic>
          </wp:anchor>
        </w:drawing>
      </w:r>
      <w:r>
        <w:rPr>
          <w:rFonts w:ascii="宋体" w:hAnsi="宋体" w:eastAsia="宋体" w:cs="宋体"/>
          <w:spacing w:val="-16"/>
          <w:w w:val="97"/>
          <w:sz w:val="19"/>
          <w:szCs w:val="19"/>
        </w:rPr>
        <w:t>特定人群</w:t>
      </w:r>
      <w:r>
        <w:rPr>
          <w:rFonts w:ascii="宋体" w:hAnsi="宋体" w:eastAsia="宋体" w:cs="宋体"/>
          <w:spacing w:val="3"/>
          <w:sz w:val="19"/>
          <w:szCs w:val="19"/>
        </w:rPr>
        <w:t xml:space="preserve"> </w:t>
      </w:r>
      <w:r>
        <w:rPr>
          <w:rFonts w:ascii="宋体" w:hAnsi="宋体" w:eastAsia="宋体" w:cs="宋体"/>
          <w:spacing w:val="-20"/>
          <w:sz w:val="19"/>
          <w:szCs w:val="19"/>
        </w:rPr>
        <w:t>范围内的</w:t>
      </w:r>
    </w:p>
    <w:p w14:paraId="67A42630">
      <w:pPr>
        <w:spacing w:line="218" w:lineRule="auto"/>
        <w:ind w:left="2360"/>
        <w:rPr>
          <w:rFonts w:ascii="宋体" w:hAnsi="宋体" w:eastAsia="宋体" w:cs="宋体"/>
          <w:sz w:val="19"/>
          <w:szCs w:val="19"/>
        </w:rPr>
      </w:pPr>
      <w:r>
        <w:rPr>
          <w:rFonts w:ascii="宋体" w:hAnsi="宋体" w:eastAsia="宋体" w:cs="宋体"/>
          <w:spacing w:val="-12"/>
          <w:sz w:val="19"/>
          <w:szCs w:val="19"/>
        </w:rPr>
        <w:t>研究对象</w:t>
      </w:r>
    </w:p>
    <w:p w14:paraId="4980F8DA">
      <w:pPr>
        <w:spacing w:line="282" w:lineRule="auto"/>
        <w:rPr>
          <w:rFonts w:ascii="Arial"/>
          <w:sz w:val="21"/>
        </w:rPr>
      </w:pPr>
    </w:p>
    <w:p w14:paraId="67CF6F68">
      <w:pPr>
        <w:spacing w:line="283" w:lineRule="auto"/>
        <w:rPr>
          <w:rFonts w:ascii="Arial"/>
          <w:sz w:val="21"/>
        </w:rPr>
      </w:pPr>
    </w:p>
    <w:p w14:paraId="74E42DA5">
      <w:pPr>
        <w:spacing w:line="283" w:lineRule="auto"/>
        <w:rPr>
          <w:rFonts w:ascii="Arial"/>
          <w:sz w:val="21"/>
        </w:rPr>
      </w:pPr>
    </w:p>
    <w:p w14:paraId="7861263E">
      <w:pPr>
        <w:spacing w:line="283" w:lineRule="auto"/>
        <w:rPr>
          <w:rFonts w:ascii="Arial"/>
          <w:sz w:val="21"/>
        </w:rPr>
      </w:pPr>
    </w:p>
    <w:p w14:paraId="037ED0C2">
      <w:pPr>
        <w:spacing w:line="283" w:lineRule="auto"/>
        <w:rPr>
          <w:rFonts w:ascii="Arial"/>
          <w:sz w:val="21"/>
        </w:rPr>
      </w:pPr>
    </w:p>
    <w:p w14:paraId="6C6B55D5">
      <w:pPr>
        <w:spacing w:before="62" w:line="219" w:lineRule="auto"/>
        <w:ind w:left="2270"/>
        <w:rPr>
          <w:rFonts w:ascii="宋体" w:hAnsi="宋体" w:eastAsia="宋体" w:cs="宋体"/>
          <w:sz w:val="19"/>
          <w:szCs w:val="19"/>
        </w:rPr>
      </w:pPr>
      <w:r>
        <w:rPr>
          <w:rFonts w:ascii="宋体" w:hAnsi="宋体" w:eastAsia="宋体" w:cs="宋体"/>
          <w:spacing w:val="-15"/>
          <w:sz w:val="19"/>
          <w:szCs w:val="19"/>
        </w:rPr>
        <w:t>研究开始-</w:t>
      </w:r>
    </w:p>
    <w:p w14:paraId="312FC269">
      <w:pPr>
        <w:spacing w:before="125"/>
      </w:pPr>
    </w:p>
    <w:p w14:paraId="71811E02">
      <w:pPr>
        <w:spacing w:line="14" w:lineRule="auto"/>
        <w:rPr>
          <w:rFonts w:ascii="Arial"/>
          <w:sz w:val="2"/>
        </w:rPr>
      </w:pPr>
      <w:r>
        <w:rPr>
          <w:rFonts w:ascii="Arial" w:hAnsi="Arial" w:eastAsia="Arial" w:cs="Arial"/>
          <w:sz w:val="2"/>
          <w:szCs w:val="2"/>
        </w:rPr>
        <w:br w:type="column"/>
      </w:r>
    </w:p>
    <w:p w14:paraId="4D24CCA3">
      <w:pPr>
        <w:spacing w:before="37" w:line="220" w:lineRule="auto"/>
        <w:ind w:left="2590"/>
        <w:rPr>
          <w:rFonts w:ascii="宋体" w:hAnsi="宋体" w:eastAsia="宋体" w:cs="宋体"/>
          <w:sz w:val="19"/>
          <w:szCs w:val="19"/>
        </w:rPr>
      </w:pPr>
      <w:r>
        <w:rPr>
          <w:rFonts w:ascii="宋体" w:hAnsi="宋体" w:eastAsia="宋体" w:cs="宋体"/>
          <w:spacing w:val="-14"/>
          <w:sz w:val="19"/>
          <w:szCs w:val="19"/>
        </w:rPr>
        <w:t>出现某种结局</w:t>
      </w:r>
    </w:p>
    <w:p w14:paraId="3858D199">
      <w:pPr>
        <w:spacing w:line="278" w:lineRule="auto"/>
        <w:rPr>
          <w:rFonts w:ascii="Arial"/>
          <w:sz w:val="21"/>
        </w:rPr>
      </w:pPr>
    </w:p>
    <w:p w14:paraId="6C5B9CB7">
      <w:pPr>
        <w:spacing w:before="62" w:line="219" w:lineRule="auto"/>
        <w:ind w:left="820"/>
        <w:rPr>
          <w:rFonts w:ascii="宋体" w:hAnsi="宋体" w:eastAsia="宋体" w:cs="宋体"/>
          <w:sz w:val="19"/>
          <w:szCs w:val="19"/>
        </w:rPr>
      </w:pPr>
      <w:r>
        <w:rPr>
          <w:rFonts w:ascii="宋体" w:hAnsi="宋体" w:eastAsia="宋体" w:cs="宋体"/>
          <w:spacing w:val="-2"/>
          <w:sz w:val="19"/>
          <w:szCs w:val="19"/>
        </w:rPr>
        <w:t>暴露组</w:t>
      </w:r>
    </w:p>
    <w:p w14:paraId="23661C4E">
      <w:pPr>
        <w:spacing w:before="226" w:line="220" w:lineRule="auto"/>
        <w:ind w:left="2590"/>
        <w:rPr>
          <w:rFonts w:ascii="宋体" w:hAnsi="宋体" w:eastAsia="宋体" w:cs="宋体"/>
          <w:sz w:val="19"/>
          <w:szCs w:val="19"/>
        </w:rPr>
      </w:pPr>
      <w:r>
        <w:rPr>
          <w:rFonts w:ascii="宋体" w:hAnsi="宋体" w:eastAsia="宋体" w:cs="宋体"/>
          <w:spacing w:val="-12"/>
          <w:sz w:val="19"/>
          <w:szCs w:val="19"/>
        </w:rPr>
        <w:t>不出现某种结局</w:t>
      </w:r>
    </w:p>
    <w:p w14:paraId="0BEE4C70">
      <w:pPr>
        <w:spacing w:before="172" w:line="219" w:lineRule="auto"/>
        <w:rPr>
          <w:rFonts w:ascii="宋体" w:hAnsi="宋体" w:eastAsia="宋体" w:cs="宋体"/>
          <w:sz w:val="19"/>
          <w:szCs w:val="19"/>
        </w:rPr>
      </w:pPr>
      <w:r>
        <w:rPr>
          <w:rFonts w:ascii="宋体" w:hAnsi="宋体" w:eastAsia="宋体" w:cs="宋体"/>
          <w:spacing w:val="-12"/>
          <w:sz w:val="19"/>
          <w:szCs w:val="19"/>
        </w:rPr>
        <w:t>暴露状况</w:t>
      </w:r>
    </w:p>
    <w:p w14:paraId="19374E91">
      <w:pPr>
        <w:spacing w:before="76" w:line="220" w:lineRule="auto"/>
        <w:ind w:left="2590"/>
        <w:rPr>
          <w:rFonts w:ascii="宋体" w:hAnsi="宋体" w:eastAsia="宋体" w:cs="宋体"/>
          <w:sz w:val="19"/>
          <w:szCs w:val="19"/>
        </w:rPr>
      </w:pPr>
      <w:r>
        <w:rPr>
          <w:rFonts w:ascii="宋体" w:hAnsi="宋体" w:eastAsia="宋体" w:cs="宋体"/>
          <w:spacing w:val="-14"/>
          <w:sz w:val="19"/>
          <w:szCs w:val="19"/>
        </w:rPr>
        <w:t>出现某种结局</w:t>
      </w:r>
    </w:p>
    <w:p w14:paraId="2AC30CD4">
      <w:pPr>
        <w:spacing w:line="409" w:lineRule="auto"/>
        <w:rPr>
          <w:rFonts w:ascii="Arial"/>
          <w:sz w:val="21"/>
        </w:rPr>
      </w:pPr>
    </w:p>
    <w:p w14:paraId="664E2A6B">
      <w:pPr>
        <w:spacing w:before="63" w:line="221" w:lineRule="auto"/>
        <w:ind w:left="740"/>
        <w:rPr>
          <w:rFonts w:ascii="宋体" w:hAnsi="宋体" w:eastAsia="宋体" w:cs="宋体"/>
          <w:sz w:val="19"/>
          <w:szCs w:val="19"/>
        </w:rPr>
      </w:pPr>
      <w:r>
        <w:rPr>
          <w:rFonts w:ascii="宋体" w:hAnsi="宋体" w:eastAsia="宋体" w:cs="宋体"/>
          <w:spacing w:val="-2"/>
          <w:sz w:val="19"/>
          <w:szCs w:val="19"/>
        </w:rPr>
        <w:t>对照组</w:t>
      </w:r>
    </w:p>
    <w:p w14:paraId="55DCD207">
      <w:pPr>
        <w:spacing w:before="92" w:line="220" w:lineRule="auto"/>
        <w:ind w:left="2590"/>
        <w:rPr>
          <w:rFonts w:ascii="宋体" w:hAnsi="宋体" w:eastAsia="宋体" w:cs="宋体"/>
          <w:sz w:val="19"/>
          <w:szCs w:val="19"/>
        </w:rPr>
      </w:pPr>
      <w:r>
        <w:rPr>
          <w:rFonts w:ascii="宋体" w:hAnsi="宋体" w:eastAsia="宋体" w:cs="宋体"/>
          <w:spacing w:val="-12"/>
          <w:sz w:val="19"/>
          <w:szCs w:val="19"/>
        </w:rPr>
        <w:t>不出现某种结局</w:t>
      </w:r>
    </w:p>
    <w:p w14:paraId="30127D9E">
      <w:pPr>
        <w:spacing w:before="293" w:line="219" w:lineRule="auto"/>
        <w:ind w:left="1650"/>
        <w:rPr>
          <w:rFonts w:ascii="宋体" w:hAnsi="宋体" w:eastAsia="宋体" w:cs="宋体"/>
          <w:sz w:val="19"/>
          <w:szCs w:val="19"/>
        </w:rPr>
      </w:pPr>
      <w:r>
        <w:rPr>
          <w:rFonts w:ascii="宋体" w:hAnsi="宋体" w:eastAsia="宋体" w:cs="宋体"/>
          <w:spacing w:val="2"/>
          <w:sz w:val="19"/>
          <w:szCs w:val="19"/>
        </w:rPr>
        <w:t>→前瞻性地收集结局事件发生的资料</w:t>
      </w:r>
    </w:p>
    <w:p w14:paraId="4793176F">
      <w:pPr>
        <w:pStyle w:val="2"/>
        <w:spacing w:before="143" w:line="221" w:lineRule="auto"/>
        <w:ind w:left="210"/>
        <w:rPr>
          <w:sz w:val="19"/>
          <w:szCs w:val="19"/>
        </w:rPr>
      </w:pPr>
      <w:r>
        <w:rPr>
          <w:spacing w:val="1"/>
          <w:sz w:val="19"/>
          <w:szCs w:val="19"/>
        </w:rPr>
        <w:t>图4-1</w:t>
      </w:r>
      <w:r>
        <w:rPr>
          <w:spacing w:val="66"/>
          <w:sz w:val="19"/>
          <w:szCs w:val="19"/>
        </w:rPr>
        <w:t xml:space="preserve"> </w:t>
      </w:r>
      <w:r>
        <w:rPr>
          <w:spacing w:val="1"/>
          <w:sz w:val="19"/>
          <w:szCs w:val="19"/>
        </w:rPr>
        <w:t>前瞻性队列研究结构模式图</w:t>
      </w:r>
    </w:p>
    <w:p w14:paraId="3B67EFA8">
      <w:pPr>
        <w:spacing w:line="221" w:lineRule="auto"/>
        <w:rPr>
          <w:sz w:val="19"/>
          <w:szCs w:val="19"/>
        </w:rPr>
        <w:sectPr>
          <w:type w:val="continuous"/>
          <w:pgSz w:w="11900" w:h="16820"/>
          <w:pgMar w:top="400" w:right="1445" w:bottom="872" w:left="729" w:header="0" w:footer="701" w:gutter="0"/>
          <w:cols w:equalWidth="0" w:num="2">
            <w:col w:w="3391" w:space="100"/>
            <w:col w:w="6236"/>
          </w:cols>
        </w:sectPr>
      </w:pPr>
    </w:p>
    <w:p w14:paraId="3FBA2A27">
      <w:pPr>
        <w:spacing w:line="375" w:lineRule="auto"/>
        <w:rPr>
          <w:rFonts w:ascii="Arial"/>
          <w:sz w:val="21"/>
        </w:rPr>
      </w:pPr>
    </w:p>
    <w:p w14:paraId="395C63E5">
      <w:pPr>
        <w:spacing w:before="62" w:line="353" w:lineRule="auto"/>
        <w:ind w:left="730" w:right="106" w:firstLine="419"/>
        <w:jc w:val="both"/>
        <w:rPr>
          <w:rFonts w:ascii="宋体" w:hAnsi="宋体" w:eastAsia="宋体" w:cs="宋体"/>
          <w:sz w:val="19"/>
          <w:szCs w:val="19"/>
        </w:rPr>
      </w:pPr>
      <w:r>
        <w:rPr>
          <w:rFonts w:ascii="宋体" w:hAnsi="宋体" w:eastAsia="宋体" w:cs="宋体"/>
          <w:spacing w:val="21"/>
          <w:sz w:val="19"/>
          <w:szCs w:val="19"/>
        </w:rPr>
        <w:t>队列研究要求所选研究对象是在随访开始(基线时)没有出现待研究结局，但在随访期内有可</w:t>
      </w:r>
      <w:r>
        <w:rPr>
          <w:rFonts w:ascii="宋体" w:hAnsi="宋体" w:eastAsia="宋体" w:cs="宋体"/>
          <w:spacing w:val="6"/>
          <w:sz w:val="19"/>
          <w:szCs w:val="19"/>
        </w:rPr>
        <w:t xml:space="preserve"> </w:t>
      </w:r>
      <w:r>
        <w:rPr>
          <w:rFonts w:ascii="宋体" w:hAnsi="宋体" w:eastAsia="宋体" w:cs="宋体"/>
          <w:spacing w:val="17"/>
          <w:sz w:val="19"/>
          <w:szCs w:val="19"/>
        </w:rPr>
        <w:t>能出现该结局的人群。暴露组与非暴露组要有可比性，即非暴露</w:t>
      </w:r>
      <w:r>
        <w:rPr>
          <w:rFonts w:ascii="宋体" w:hAnsi="宋体" w:eastAsia="宋体" w:cs="宋体"/>
          <w:spacing w:val="16"/>
          <w:sz w:val="19"/>
          <w:szCs w:val="19"/>
        </w:rPr>
        <w:t>组除了未暴露于某因素之外，其他</w:t>
      </w:r>
      <w:r>
        <w:rPr>
          <w:rFonts w:ascii="宋体" w:hAnsi="宋体" w:eastAsia="宋体" w:cs="宋体"/>
          <w:sz w:val="19"/>
          <w:szCs w:val="19"/>
        </w:rPr>
        <w:t xml:space="preserve"> </w:t>
      </w:r>
      <w:r>
        <w:rPr>
          <w:rFonts w:ascii="宋体" w:hAnsi="宋体" w:eastAsia="宋体" w:cs="宋体"/>
          <w:spacing w:val="18"/>
          <w:sz w:val="19"/>
          <w:szCs w:val="19"/>
        </w:rPr>
        <w:t>各方面尽可能地与暴露组相同。根据队列研究的基本</w:t>
      </w:r>
      <w:r>
        <w:rPr>
          <w:rFonts w:ascii="宋体" w:hAnsi="宋体" w:eastAsia="宋体" w:cs="宋体"/>
          <w:spacing w:val="17"/>
          <w:sz w:val="19"/>
          <w:szCs w:val="19"/>
        </w:rPr>
        <w:t>原理可以归纳队列研究的基本特点为：</w:t>
      </w:r>
    </w:p>
    <w:p w14:paraId="42A5368F">
      <w:pPr>
        <w:pStyle w:val="2"/>
        <w:spacing w:before="1" w:line="359" w:lineRule="auto"/>
        <w:ind w:left="730" w:right="102" w:firstLine="419"/>
        <w:rPr>
          <w:rFonts w:ascii="宋体" w:hAnsi="宋体" w:eastAsia="宋体" w:cs="宋体"/>
          <w:sz w:val="19"/>
          <w:szCs w:val="19"/>
        </w:rPr>
      </w:pPr>
      <w:r>
        <w:rPr>
          <w:rFonts w:ascii="宋体" w:hAnsi="宋体" w:eastAsia="宋体" w:cs="宋体"/>
          <w:spacing w:val="20"/>
          <w:sz w:val="19"/>
          <w:szCs w:val="19"/>
        </w:rPr>
        <w:t xml:space="preserve">1. </w:t>
      </w:r>
      <w:r>
        <w:rPr>
          <w:spacing w:val="20"/>
          <w:sz w:val="19"/>
          <w:szCs w:val="19"/>
        </w:rPr>
        <w:t>属于观察法</w:t>
      </w:r>
      <w:r>
        <w:rPr>
          <w:spacing w:val="51"/>
          <w:sz w:val="19"/>
          <w:szCs w:val="19"/>
        </w:rPr>
        <w:t xml:space="preserve"> </w:t>
      </w:r>
      <w:r>
        <w:rPr>
          <w:rFonts w:ascii="宋体" w:hAnsi="宋体" w:eastAsia="宋体" w:cs="宋体"/>
          <w:spacing w:val="20"/>
          <w:sz w:val="19"/>
          <w:szCs w:val="19"/>
        </w:rPr>
        <w:t>队列研究中的暴露不是人为给予的，不是随机分配的，而是在研究之前就已</w:t>
      </w:r>
      <w:r>
        <w:rPr>
          <w:rFonts w:ascii="宋体" w:hAnsi="宋体" w:eastAsia="宋体" w:cs="宋体"/>
          <w:sz w:val="19"/>
          <w:szCs w:val="19"/>
        </w:rPr>
        <w:t xml:space="preserve"> </w:t>
      </w:r>
      <w:r>
        <w:rPr>
          <w:rFonts w:ascii="宋体" w:hAnsi="宋体" w:eastAsia="宋体" w:cs="宋体"/>
          <w:spacing w:val="14"/>
          <w:sz w:val="19"/>
          <w:szCs w:val="19"/>
        </w:rPr>
        <w:t>客观存在的，不受研究者意志决定的，这是队列研究区别于实验研究</w:t>
      </w:r>
      <w:r>
        <w:rPr>
          <w:rFonts w:ascii="宋体" w:hAnsi="宋体" w:eastAsia="宋体" w:cs="宋体"/>
          <w:spacing w:val="13"/>
          <w:sz w:val="19"/>
          <w:szCs w:val="19"/>
        </w:rPr>
        <w:t>的一个重要方面。</w:t>
      </w:r>
    </w:p>
    <w:p w14:paraId="3CFD92DF">
      <w:pPr>
        <w:pStyle w:val="2"/>
        <w:spacing w:line="374" w:lineRule="auto"/>
        <w:ind w:left="730" w:firstLine="419"/>
        <w:rPr>
          <w:rFonts w:ascii="宋体" w:hAnsi="宋体" w:eastAsia="宋体" w:cs="宋体"/>
          <w:sz w:val="19"/>
          <w:szCs w:val="19"/>
        </w:rPr>
      </w:pPr>
      <w:r>
        <w:rPr>
          <w:rFonts w:ascii="宋体" w:hAnsi="宋体" w:eastAsia="宋体" w:cs="宋体"/>
          <w:spacing w:val="17"/>
          <w:sz w:val="19"/>
          <w:szCs w:val="19"/>
        </w:rPr>
        <w:t xml:space="preserve">2. </w:t>
      </w:r>
      <w:r>
        <w:rPr>
          <w:spacing w:val="17"/>
          <w:sz w:val="19"/>
          <w:szCs w:val="19"/>
        </w:rPr>
        <w:t>设立对照组</w:t>
      </w:r>
      <w:r>
        <w:rPr>
          <w:spacing w:val="70"/>
          <w:sz w:val="19"/>
          <w:szCs w:val="19"/>
        </w:rPr>
        <w:t xml:space="preserve"> </w:t>
      </w:r>
      <w:r>
        <w:rPr>
          <w:rFonts w:ascii="宋体" w:hAnsi="宋体" w:eastAsia="宋体" w:cs="宋体"/>
          <w:spacing w:val="17"/>
          <w:sz w:val="19"/>
          <w:szCs w:val="19"/>
        </w:rPr>
        <w:t>队列研究通常在研究设计阶段设立对照组，常以非暴露组或低暴露组为对照。</w:t>
      </w:r>
      <w:r>
        <w:rPr>
          <w:rFonts w:ascii="宋体" w:hAnsi="宋体" w:eastAsia="宋体" w:cs="宋体"/>
          <w:sz w:val="19"/>
          <w:szCs w:val="19"/>
        </w:rPr>
        <w:t xml:space="preserve"> </w:t>
      </w:r>
      <w:r>
        <w:rPr>
          <w:rFonts w:ascii="宋体" w:hAnsi="宋体" w:eastAsia="宋体" w:cs="宋体"/>
          <w:spacing w:val="13"/>
          <w:sz w:val="19"/>
          <w:szCs w:val="19"/>
        </w:rPr>
        <w:t>对照组可与暴露组来自同一人群，也可以来自不同</w:t>
      </w:r>
      <w:r>
        <w:rPr>
          <w:rFonts w:ascii="宋体" w:hAnsi="宋体" w:eastAsia="宋体" w:cs="宋体"/>
          <w:spacing w:val="12"/>
          <w:sz w:val="19"/>
          <w:szCs w:val="19"/>
        </w:rPr>
        <w:t>人群，但要注意两组的可比性。</w:t>
      </w:r>
    </w:p>
    <w:p w14:paraId="6F10F6D2">
      <w:pPr>
        <w:pStyle w:val="2"/>
        <w:spacing w:before="1" w:line="377" w:lineRule="auto"/>
        <w:ind w:left="730" w:right="101" w:firstLine="419"/>
        <w:jc w:val="both"/>
        <w:rPr>
          <w:rFonts w:ascii="宋体" w:hAnsi="宋体" w:eastAsia="宋体" w:cs="宋体"/>
          <w:sz w:val="19"/>
          <w:szCs w:val="19"/>
        </w:rPr>
      </w:pPr>
      <w:r>
        <w:rPr>
          <w:rFonts w:ascii="宋体" w:hAnsi="宋体" w:eastAsia="宋体" w:cs="宋体"/>
          <w:spacing w:val="12"/>
          <w:sz w:val="19"/>
          <w:szCs w:val="19"/>
        </w:rPr>
        <w:t xml:space="preserve">3. </w:t>
      </w:r>
      <w:r>
        <w:rPr>
          <w:spacing w:val="12"/>
          <w:sz w:val="19"/>
          <w:szCs w:val="19"/>
        </w:rPr>
        <w:t>由“因”及“果”,论证因果关系能力较强</w:t>
      </w:r>
      <w:r>
        <w:rPr>
          <w:spacing w:val="67"/>
          <w:sz w:val="19"/>
          <w:szCs w:val="19"/>
        </w:rPr>
        <w:t xml:space="preserve"> </w:t>
      </w:r>
      <w:r>
        <w:rPr>
          <w:rFonts w:ascii="宋体" w:hAnsi="宋体" w:eastAsia="宋体" w:cs="宋体"/>
          <w:spacing w:val="12"/>
          <w:sz w:val="19"/>
          <w:szCs w:val="19"/>
        </w:rPr>
        <w:t>队列研究依据研究对象的暴露情况分组，随访观</w:t>
      </w:r>
      <w:r>
        <w:rPr>
          <w:rFonts w:ascii="宋体" w:hAnsi="宋体" w:eastAsia="宋体" w:cs="宋体"/>
          <w:sz w:val="19"/>
          <w:szCs w:val="19"/>
        </w:rPr>
        <w:t xml:space="preserve"> </w:t>
      </w:r>
      <w:r>
        <w:rPr>
          <w:rFonts w:ascii="宋体" w:hAnsi="宋体" w:eastAsia="宋体" w:cs="宋体"/>
          <w:spacing w:val="12"/>
          <w:sz w:val="19"/>
          <w:szCs w:val="19"/>
        </w:rPr>
        <w:t>察其结局，能够准确计算结局发生强度，估计暴露发生结局的危险程度，时间顺序上是先有暴露、后</w:t>
      </w:r>
      <w:r>
        <w:rPr>
          <w:rFonts w:ascii="宋体" w:hAnsi="宋体" w:eastAsia="宋体" w:cs="宋体"/>
          <w:spacing w:val="4"/>
          <w:sz w:val="19"/>
          <w:szCs w:val="19"/>
        </w:rPr>
        <w:t xml:space="preserve"> </w:t>
      </w:r>
      <w:r>
        <w:rPr>
          <w:rFonts w:ascii="宋体" w:hAnsi="宋体" w:eastAsia="宋体" w:cs="宋体"/>
          <w:spacing w:val="-1"/>
          <w:sz w:val="19"/>
          <w:szCs w:val="19"/>
        </w:rPr>
        <w:t>有结局，即先有“因”、后有“果”,因此因果关系的论证</w:t>
      </w:r>
      <w:r>
        <w:rPr>
          <w:rFonts w:ascii="宋体" w:hAnsi="宋体" w:eastAsia="宋体" w:cs="宋体"/>
          <w:spacing w:val="-2"/>
          <w:sz w:val="19"/>
          <w:szCs w:val="19"/>
        </w:rPr>
        <w:t>能力较强。</w:t>
      </w:r>
    </w:p>
    <w:p w14:paraId="3FDEF14F">
      <w:pPr>
        <w:pStyle w:val="2"/>
        <w:spacing w:before="143" w:line="222" w:lineRule="auto"/>
        <w:ind w:left="1153"/>
        <w:outlineLvl w:val="2"/>
        <w:rPr>
          <w:sz w:val="25"/>
          <w:szCs w:val="25"/>
        </w:rPr>
      </w:pPr>
      <w:bookmarkStart w:id="91" w:name="bookmark53"/>
      <w:bookmarkEnd w:id="91"/>
      <w:r>
        <w:rPr>
          <w:b/>
          <w:bCs/>
          <w:spacing w:val="1"/>
          <w:sz w:val="25"/>
          <w:szCs w:val="25"/>
        </w:rPr>
        <w:t>三、研究目的</w:t>
      </w:r>
    </w:p>
    <w:p w14:paraId="58C90CCE">
      <w:pPr>
        <w:pStyle w:val="2"/>
        <w:spacing w:before="242" w:line="290" w:lineRule="auto"/>
        <w:ind w:left="730" w:right="79" w:firstLine="419"/>
        <w:rPr>
          <w:rFonts w:ascii="宋体" w:hAnsi="宋体" w:eastAsia="宋体" w:cs="宋体"/>
          <w:sz w:val="19"/>
          <w:szCs w:val="19"/>
        </w:rPr>
      </w:pPr>
      <w:r>
        <w:rPr>
          <w:rFonts w:ascii="宋体" w:hAnsi="宋体" w:eastAsia="宋体" w:cs="宋体"/>
          <w:spacing w:val="15"/>
          <w:sz w:val="19"/>
          <w:szCs w:val="19"/>
        </w:rPr>
        <w:t xml:space="preserve">1. </w:t>
      </w:r>
      <w:r>
        <w:rPr>
          <w:spacing w:val="15"/>
          <w:sz w:val="19"/>
          <w:szCs w:val="19"/>
        </w:rPr>
        <w:t>检验病因假设</w:t>
      </w:r>
      <w:r>
        <w:rPr>
          <w:spacing w:val="104"/>
          <w:w w:val="101"/>
          <w:sz w:val="19"/>
          <w:szCs w:val="19"/>
        </w:rPr>
        <w:t xml:space="preserve"> </w:t>
      </w:r>
      <w:r>
        <w:rPr>
          <w:rFonts w:ascii="宋体" w:hAnsi="宋体" w:eastAsia="宋体" w:cs="宋体"/>
          <w:spacing w:val="15"/>
          <w:sz w:val="19"/>
          <w:szCs w:val="19"/>
        </w:rPr>
        <w:t>队列研究是由因及果的分析性研究，检验病因假设的能力较强。</w:t>
      </w:r>
      <w:r>
        <w:rPr>
          <w:rFonts w:ascii="宋体" w:hAnsi="宋体" w:eastAsia="宋体" w:cs="宋体"/>
          <w:spacing w:val="59"/>
          <w:sz w:val="19"/>
          <w:szCs w:val="19"/>
        </w:rPr>
        <w:t xml:space="preserve"> </w:t>
      </w:r>
      <w:r>
        <w:rPr>
          <w:rFonts w:ascii="宋体" w:hAnsi="宋体" w:eastAsia="宋体" w:cs="宋体"/>
          <w:spacing w:val="15"/>
          <w:sz w:val="19"/>
          <w:szCs w:val="19"/>
        </w:rPr>
        <w:t>一次队列</w:t>
      </w:r>
      <w:r>
        <w:rPr>
          <w:rFonts w:ascii="宋体" w:hAnsi="宋体" w:eastAsia="宋体" w:cs="宋体"/>
          <w:sz w:val="19"/>
          <w:szCs w:val="19"/>
        </w:rPr>
        <w:t xml:space="preserve"> </w:t>
      </w:r>
      <w:r>
        <w:rPr>
          <w:rFonts w:ascii="宋体" w:hAnsi="宋体" w:eastAsia="宋体" w:cs="宋体"/>
          <w:spacing w:val="24"/>
          <w:sz w:val="19"/>
          <w:szCs w:val="19"/>
        </w:rPr>
        <w:t>研究可以检验一种暴露与一种结局之间的因果关联(如吸烟与肺癌),也可以同时检验一种</w:t>
      </w:r>
      <w:r>
        <w:rPr>
          <w:rFonts w:ascii="宋体" w:hAnsi="宋体" w:eastAsia="宋体" w:cs="宋体"/>
          <w:spacing w:val="23"/>
          <w:sz w:val="19"/>
          <w:szCs w:val="19"/>
        </w:rPr>
        <w:t>暴露与</w:t>
      </w:r>
    </w:p>
    <w:p w14:paraId="415310AB">
      <w:pPr>
        <w:spacing w:line="290" w:lineRule="auto"/>
        <w:rPr>
          <w:rFonts w:ascii="宋体" w:hAnsi="宋体" w:eastAsia="宋体" w:cs="宋体"/>
          <w:sz w:val="19"/>
          <w:szCs w:val="19"/>
        </w:rPr>
        <w:sectPr>
          <w:type w:val="continuous"/>
          <w:pgSz w:w="11900" w:h="16820"/>
          <w:pgMar w:top="400" w:right="1445" w:bottom="872" w:left="729" w:header="0" w:footer="701" w:gutter="0"/>
          <w:cols w:equalWidth="0" w:num="1">
            <w:col w:w="9726"/>
          </w:cols>
        </w:sectPr>
      </w:pPr>
    </w:p>
    <w:p w14:paraId="330F39E4">
      <w:pPr>
        <w:spacing w:line="366" w:lineRule="auto"/>
        <w:rPr>
          <w:rFonts w:ascii="Arial"/>
          <w:sz w:val="21"/>
        </w:rPr>
      </w:pPr>
    </w:p>
    <w:p w14:paraId="16130E14">
      <w:pPr>
        <w:pStyle w:val="2"/>
        <w:spacing w:before="65" w:line="222" w:lineRule="auto"/>
        <w:ind w:left="7842"/>
        <w:rPr>
          <w:sz w:val="20"/>
          <w:szCs w:val="20"/>
        </w:rPr>
      </w:pPr>
      <w:r>
        <w:rPr>
          <w:b/>
          <w:bCs/>
          <w:spacing w:val="-15"/>
          <w:sz w:val="20"/>
          <w:szCs w:val="20"/>
        </w:rPr>
        <w:t>第四章</w:t>
      </w:r>
      <w:r>
        <w:rPr>
          <w:spacing w:val="15"/>
          <w:sz w:val="20"/>
          <w:szCs w:val="20"/>
        </w:rPr>
        <w:t xml:space="preserve"> </w:t>
      </w:r>
      <w:r>
        <w:rPr>
          <w:b/>
          <w:bCs/>
          <w:spacing w:val="-15"/>
          <w:sz w:val="20"/>
          <w:szCs w:val="20"/>
        </w:rPr>
        <w:t>队列研究</w:t>
      </w:r>
    </w:p>
    <w:p w14:paraId="664BA36D">
      <w:pPr>
        <w:spacing w:line="257" w:lineRule="auto"/>
        <w:rPr>
          <w:rFonts w:ascii="Arial"/>
          <w:sz w:val="21"/>
        </w:rPr>
      </w:pPr>
    </w:p>
    <w:p w14:paraId="13AFF198">
      <w:pPr>
        <w:spacing w:line="258" w:lineRule="auto"/>
        <w:rPr>
          <w:rFonts w:ascii="Arial"/>
          <w:sz w:val="21"/>
        </w:rPr>
      </w:pPr>
    </w:p>
    <w:p w14:paraId="36D816DA">
      <w:pPr>
        <w:spacing w:before="65" w:line="219" w:lineRule="auto"/>
        <w:rPr>
          <w:rFonts w:ascii="宋体" w:hAnsi="宋体" w:eastAsia="宋体" w:cs="宋体"/>
          <w:sz w:val="20"/>
          <w:szCs w:val="20"/>
        </w:rPr>
      </w:pPr>
      <w:r>
        <w:rPr>
          <w:rFonts w:ascii="宋体" w:hAnsi="宋体" w:eastAsia="宋体" w:cs="宋体"/>
          <w:spacing w:val="12"/>
          <w:sz w:val="20"/>
          <w:szCs w:val="20"/>
        </w:rPr>
        <w:t>多种结局之间的因果关联(如同时检验吸烟与肺癌、心脏病、慢性支气管炎等的关联)。</w:t>
      </w:r>
    </w:p>
    <w:p w14:paraId="5F126C0D">
      <w:pPr>
        <w:pStyle w:val="2"/>
        <w:spacing w:before="141" w:line="304" w:lineRule="auto"/>
        <w:ind w:right="707" w:firstLine="440"/>
        <w:rPr>
          <w:rFonts w:ascii="宋体" w:hAnsi="宋体" w:eastAsia="宋体" w:cs="宋体"/>
          <w:sz w:val="20"/>
          <w:szCs w:val="20"/>
        </w:rPr>
      </w:pPr>
      <w:r>
        <w:rPr>
          <w:rFonts w:ascii="宋体" w:hAnsi="宋体" w:eastAsia="宋体" w:cs="宋体"/>
          <w:spacing w:val="17"/>
          <w:sz w:val="20"/>
          <w:szCs w:val="20"/>
        </w:rPr>
        <w:t xml:space="preserve">2. </w:t>
      </w:r>
      <w:r>
        <w:rPr>
          <w:spacing w:val="17"/>
          <w:sz w:val="20"/>
          <w:szCs w:val="20"/>
        </w:rPr>
        <w:t>评价预防措施效果</w:t>
      </w:r>
      <w:r>
        <w:rPr>
          <w:spacing w:val="4"/>
          <w:sz w:val="20"/>
          <w:szCs w:val="20"/>
        </w:rPr>
        <w:t xml:space="preserve">  </w:t>
      </w:r>
      <w:r>
        <w:rPr>
          <w:rFonts w:ascii="宋体" w:hAnsi="宋体" w:eastAsia="宋体" w:cs="宋体"/>
          <w:spacing w:val="17"/>
          <w:sz w:val="20"/>
          <w:szCs w:val="20"/>
        </w:rPr>
        <w:t>当某些预防措施不是人为</w:t>
      </w:r>
      <w:r>
        <w:rPr>
          <w:rFonts w:ascii="宋体" w:hAnsi="宋体" w:eastAsia="宋体" w:cs="宋体"/>
          <w:spacing w:val="16"/>
          <w:sz w:val="20"/>
          <w:szCs w:val="20"/>
        </w:rPr>
        <w:t>给予的，而是研究对象的自发行为时，对这</w:t>
      </w:r>
      <w:r>
        <w:rPr>
          <w:rFonts w:ascii="宋体" w:hAnsi="宋体" w:eastAsia="宋体" w:cs="宋体"/>
          <w:spacing w:val="1"/>
          <w:sz w:val="20"/>
          <w:szCs w:val="20"/>
        </w:rPr>
        <w:t xml:space="preserve"> </w:t>
      </w:r>
      <w:r>
        <w:rPr>
          <w:rFonts w:ascii="宋体" w:hAnsi="宋体" w:eastAsia="宋体" w:cs="宋体"/>
          <w:spacing w:val="20"/>
          <w:sz w:val="20"/>
          <w:szCs w:val="20"/>
        </w:rPr>
        <w:t>些预防措施的效果评价可采用队列研究。如新鲜蔬菜摄入可预防肠癌</w:t>
      </w:r>
      <w:r>
        <w:rPr>
          <w:rFonts w:ascii="宋体" w:hAnsi="宋体" w:eastAsia="宋体" w:cs="宋体"/>
          <w:spacing w:val="19"/>
          <w:sz w:val="20"/>
          <w:szCs w:val="20"/>
        </w:rPr>
        <w:t>的发生，戒烟可减少吸烟者</w:t>
      </w:r>
      <w:r>
        <w:rPr>
          <w:rFonts w:ascii="宋体" w:hAnsi="宋体" w:eastAsia="宋体" w:cs="宋体"/>
          <w:sz w:val="20"/>
          <w:szCs w:val="20"/>
        </w:rPr>
        <w:t xml:space="preserve"> </w:t>
      </w:r>
      <w:r>
        <w:rPr>
          <w:rFonts w:ascii="宋体" w:hAnsi="宋体" w:eastAsia="宋体" w:cs="宋体"/>
          <w:spacing w:val="15"/>
          <w:sz w:val="20"/>
          <w:szCs w:val="20"/>
        </w:rPr>
        <w:t>发生肺癌的危险等，即可对蔬菜摄入多者和少者、戒烟</w:t>
      </w:r>
      <w:r>
        <w:rPr>
          <w:rFonts w:ascii="宋体" w:hAnsi="宋体" w:eastAsia="宋体" w:cs="宋体"/>
          <w:spacing w:val="14"/>
          <w:sz w:val="20"/>
          <w:szCs w:val="20"/>
        </w:rPr>
        <w:t>者和未戒烟者进行随访观察，评价这些“暴</w:t>
      </w:r>
      <w:r>
        <w:rPr>
          <w:rFonts w:ascii="宋体" w:hAnsi="宋体" w:eastAsia="宋体" w:cs="宋体"/>
          <w:sz w:val="20"/>
          <w:szCs w:val="20"/>
        </w:rPr>
        <w:t xml:space="preserve"> </w:t>
      </w:r>
      <w:r>
        <w:rPr>
          <w:rFonts w:ascii="宋体" w:hAnsi="宋体" w:eastAsia="宋体" w:cs="宋体"/>
          <w:spacing w:val="2"/>
          <w:sz w:val="20"/>
          <w:szCs w:val="20"/>
        </w:rPr>
        <w:t>露”的预防效果，这种研究也被称为“人群自然实验”。</w:t>
      </w:r>
    </w:p>
    <w:p w14:paraId="1BFE8274">
      <w:pPr>
        <w:pStyle w:val="2"/>
        <w:spacing w:before="153" w:line="288" w:lineRule="auto"/>
        <w:ind w:right="636" w:firstLine="440"/>
        <w:rPr>
          <w:rFonts w:ascii="宋体" w:hAnsi="宋体" w:eastAsia="宋体" w:cs="宋体"/>
          <w:sz w:val="20"/>
          <w:szCs w:val="20"/>
        </w:rPr>
      </w:pPr>
      <w:r>
        <w:rPr>
          <w:rFonts w:ascii="宋体" w:hAnsi="宋体" w:eastAsia="宋体" w:cs="宋体"/>
          <w:spacing w:val="17"/>
          <w:sz w:val="20"/>
          <w:szCs w:val="20"/>
        </w:rPr>
        <w:t xml:space="preserve">3. </w:t>
      </w:r>
      <w:r>
        <w:rPr>
          <w:spacing w:val="17"/>
          <w:sz w:val="20"/>
          <w:szCs w:val="20"/>
        </w:rPr>
        <w:t>研究疾病的自然史</w:t>
      </w:r>
      <w:r>
        <w:rPr>
          <w:spacing w:val="10"/>
          <w:sz w:val="20"/>
          <w:szCs w:val="20"/>
        </w:rPr>
        <w:t xml:space="preserve">  </w:t>
      </w:r>
      <w:r>
        <w:rPr>
          <w:rFonts w:ascii="宋体" w:hAnsi="宋体" w:eastAsia="宋体" w:cs="宋体"/>
          <w:spacing w:val="17"/>
          <w:sz w:val="20"/>
          <w:szCs w:val="20"/>
        </w:rPr>
        <w:t>临床上观察疾病的自然史常是观察单个病人从起病到痊愈、复发或死</w:t>
      </w:r>
      <w:r>
        <w:rPr>
          <w:rFonts w:ascii="宋体" w:hAnsi="宋体" w:eastAsia="宋体" w:cs="宋体"/>
          <w:sz w:val="20"/>
          <w:szCs w:val="20"/>
        </w:rPr>
        <w:t xml:space="preserve"> </w:t>
      </w:r>
      <w:r>
        <w:rPr>
          <w:rFonts w:ascii="宋体" w:hAnsi="宋体" w:eastAsia="宋体" w:cs="宋体"/>
          <w:spacing w:val="11"/>
          <w:sz w:val="20"/>
          <w:szCs w:val="20"/>
        </w:rPr>
        <w:t>亡的过程；而队列研究可以观察人群从暴露于某因素后，疾病逐渐发生、发展，直至结局的全过程，</w:t>
      </w:r>
      <w:r>
        <w:rPr>
          <w:rFonts w:ascii="宋体" w:hAnsi="宋体" w:eastAsia="宋体" w:cs="宋体"/>
          <w:spacing w:val="14"/>
          <w:sz w:val="20"/>
          <w:szCs w:val="20"/>
        </w:rPr>
        <w:t xml:space="preserve"> 包括亚临床阶段的变化与表现，从人群的角度研究疾病发生和发展的自然规律。</w:t>
      </w:r>
    </w:p>
    <w:p w14:paraId="1EC40F93">
      <w:pPr>
        <w:pStyle w:val="2"/>
        <w:spacing w:before="153" w:line="297" w:lineRule="auto"/>
        <w:ind w:right="698" w:firstLine="440"/>
        <w:rPr>
          <w:rFonts w:ascii="宋体" w:hAnsi="宋体" w:eastAsia="宋体" w:cs="宋体"/>
          <w:sz w:val="20"/>
          <w:szCs w:val="20"/>
        </w:rPr>
      </w:pPr>
      <w:r>
        <w:rPr>
          <w:rFonts w:ascii="宋体" w:hAnsi="宋体" w:eastAsia="宋体" w:cs="宋体"/>
          <w:spacing w:val="17"/>
          <w:sz w:val="20"/>
          <w:szCs w:val="20"/>
        </w:rPr>
        <w:t xml:space="preserve">4. </w:t>
      </w:r>
      <w:r>
        <w:rPr>
          <w:spacing w:val="17"/>
          <w:sz w:val="20"/>
          <w:szCs w:val="20"/>
        </w:rPr>
        <w:t>新药上市后监测</w:t>
      </w:r>
      <w:r>
        <w:rPr>
          <w:spacing w:val="98"/>
          <w:sz w:val="20"/>
          <w:szCs w:val="20"/>
        </w:rPr>
        <w:t xml:space="preserve"> </w:t>
      </w:r>
      <w:r>
        <w:rPr>
          <w:rFonts w:ascii="宋体" w:hAnsi="宋体" w:eastAsia="宋体" w:cs="宋体"/>
          <w:spacing w:val="17"/>
          <w:sz w:val="20"/>
          <w:szCs w:val="20"/>
        </w:rPr>
        <w:t>新药上市前虽然经过了三期临床试验，但由于三期临床试验的样本量和</w:t>
      </w:r>
      <w:r>
        <w:rPr>
          <w:rFonts w:ascii="宋体" w:hAnsi="宋体" w:eastAsia="宋体" w:cs="宋体"/>
          <w:sz w:val="20"/>
          <w:szCs w:val="20"/>
        </w:rPr>
        <w:t xml:space="preserve"> </w:t>
      </w:r>
      <w:r>
        <w:rPr>
          <w:rFonts w:ascii="宋体" w:hAnsi="宋体" w:eastAsia="宋体" w:cs="宋体"/>
          <w:spacing w:val="20"/>
          <w:sz w:val="20"/>
          <w:szCs w:val="20"/>
        </w:rPr>
        <w:t>观察时间均是有限的，有些药物的不良反应可能在小样本人群及较短的观察期内无法被发</w:t>
      </w:r>
      <w:r>
        <w:rPr>
          <w:rFonts w:ascii="宋体" w:hAnsi="宋体" w:eastAsia="宋体" w:cs="宋体"/>
          <w:spacing w:val="19"/>
          <w:sz w:val="20"/>
          <w:szCs w:val="20"/>
        </w:rPr>
        <w:t>现。当</w:t>
      </w:r>
      <w:r>
        <w:rPr>
          <w:rFonts w:ascii="宋体" w:hAnsi="宋体" w:eastAsia="宋体" w:cs="宋体"/>
          <w:sz w:val="20"/>
          <w:szCs w:val="20"/>
        </w:rPr>
        <w:t xml:space="preserve"> </w:t>
      </w:r>
      <w:r>
        <w:rPr>
          <w:rFonts w:ascii="宋体" w:hAnsi="宋体" w:eastAsia="宋体" w:cs="宋体"/>
          <w:spacing w:val="20"/>
          <w:sz w:val="20"/>
          <w:szCs w:val="20"/>
        </w:rPr>
        <w:t>药物上市被广泛地应用于临床后，新药上市后监测可认为是较三期临床试</w:t>
      </w:r>
      <w:r>
        <w:rPr>
          <w:rFonts w:ascii="宋体" w:hAnsi="宋体" w:eastAsia="宋体" w:cs="宋体"/>
          <w:spacing w:val="19"/>
          <w:sz w:val="20"/>
          <w:szCs w:val="20"/>
        </w:rPr>
        <w:t>验样本量更大和观察时</w:t>
      </w:r>
      <w:r>
        <w:rPr>
          <w:rFonts w:ascii="宋体" w:hAnsi="宋体" w:eastAsia="宋体" w:cs="宋体"/>
          <w:sz w:val="20"/>
          <w:szCs w:val="20"/>
        </w:rPr>
        <w:t xml:space="preserve"> </w:t>
      </w:r>
      <w:r>
        <w:rPr>
          <w:rFonts w:ascii="宋体" w:hAnsi="宋体" w:eastAsia="宋体" w:cs="宋体"/>
          <w:spacing w:val="13"/>
          <w:sz w:val="20"/>
          <w:szCs w:val="20"/>
        </w:rPr>
        <w:t>间更长的队列研究，常被用来进行新药上市后不良反应监测。</w:t>
      </w:r>
    </w:p>
    <w:p w14:paraId="4A162920">
      <w:pPr>
        <w:pStyle w:val="2"/>
        <w:spacing w:before="310" w:line="221" w:lineRule="auto"/>
        <w:ind w:left="513"/>
        <w:outlineLvl w:val="2"/>
        <w:rPr>
          <w:sz w:val="25"/>
          <w:szCs w:val="25"/>
        </w:rPr>
      </w:pPr>
      <w:bookmarkStart w:id="92" w:name="bookmark54"/>
      <w:bookmarkEnd w:id="92"/>
      <w:r>
        <w:rPr>
          <w:b/>
          <w:bCs/>
          <w:spacing w:val="-3"/>
          <w:sz w:val="25"/>
          <w:szCs w:val="25"/>
        </w:rPr>
        <w:t>四</w:t>
      </w:r>
      <w:r>
        <w:rPr>
          <w:spacing w:val="-59"/>
          <w:sz w:val="25"/>
          <w:szCs w:val="25"/>
        </w:rPr>
        <w:t xml:space="preserve"> </w:t>
      </w:r>
      <w:r>
        <w:rPr>
          <w:b/>
          <w:bCs/>
          <w:spacing w:val="-3"/>
          <w:sz w:val="25"/>
          <w:szCs w:val="25"/>
        </w:rPr>
        <w:t>、研究类型</w:t>
      </w:r>
    </w:p>
    <w:p w14:paraId="18620A9E">
      <w:pPr>
        <w:spacing w:before="216" w:line="315" w:lineRule="auto"/>
        <w:ind w:right="703" w:firstLine="440"/>
        <w:rPr>
          <w:rFonts w:ascii="宋体" w:hAnsi="宋体" w:eastAsia="宋体" w:cs="宋体"/>
          <w:sz w:val="20"/>
          <w:szCs w:val="20"/>
        </w:rPr>
      </w:pPr>
      <w:r>
        <w:rPr>
          <w:rFonts w:ascii="宋体" w:hAnsi="宋体" w:eastAsia="宋体" w:cs="宋体"/>
          <w:spacing w:val="-12"/>
          <w:sz w:val="25"/>
          <w:szCs w:val="25"/>
        </w:rPr>
        <w:t>队列研究依据研究对象进入队列的时间及终止观察的</w:t>
      </w:r>
      <w:r>
        <w:rPr>
          <w:rFonts w:ascii="宋体" w:hAnsi="宋体" w:eastAsia="宋体" w:cs="宋体"/>
          <w:spacing w:val="-13"/>
          <w:sz w:val="25"/>
          <w:szCs w:val="25"/>
        </w:rPr>
        <w:t>时间不同，分为前瞻性队列研究</w:t>
      </w:r>
      <w:r>
        <w:rPr>
          <w:rFonts w:ascii="宋体" w:hAnsi="宋体" w:eastAsia="宋体" w:cs="宋体"/>
          <w:sz w:val="25"/>
          <w:szCs w:val="25"/>
        </w:rPr>
        <w:t xml:space="preserve"> </w:t>
      </w:r>
      <w:r>
        <w:rPr>
          <w:rFonts w:ascii="Times New Roman" w:hAnsi="Times New Roman" w:eastAsia="Times New Roman" w:cs="Times New Roman"/>
          <w:spacing w:val="4"/>
          <w:sz w:val="20"/>
          <w:szCs w:val="20"/>
        </w:rPr>
        <w:t>(</w:t>
      </w:r>
      <w:r>
        <w:rPr>
          <w:rFonts w:ascii="Times New Roman" w:hAnsi="Times New Roman" w:eastAsia="Times New Roman" w:cs="Times New Roman"/>
          <w:sz w:val="20"/>
          <w:szCs w:val="20"/>
        </w:rPr>
        <w:t>prospective</w:t>
      </w:r>
      <w:r>
        <w:rPr>
          <w:rFonts w:ascii="Times New Roman" w:hAnsi="Times New Roman" w:eastAsia="Times New Roman" w:cs="Times New Roman"/>
          <w:spacing w:val="4"/>
          <w:sz w:val="20"/>
          <w:szCs w:val="20"/>
        </w:rPr>
        <w:t xml:space="preserve">    </w:t>
      </w:r>
      <w:r>
        <w:rPr>
          <w:rFonts w:ascii="Times New Roman" w:hAnsi="Times New Roman" w:eastAsia="Times New Roman" w:cs="Times New Roman"/>
          <w:sz w:val="20"/>
          <w:szCs w:val="20"/>
        </w:rPr>
        <w:t>cohort</w:t>
      </w:r>
      <w:r>
        <w:rPr>
          <w:rFonts w:ascii="Times New Roman" w:hAnsi="Times New Roman" w:eastAsia="Times New Roman" w:cs="Times New Roman"/>
          <w:spacing w:val="4"/>
          <w:sz w:val="20"/>
          <w:szCs w:val="20"/>
        </w:rPr>
        <w:t xml:space="preserve">    </w:t>
      </w:r>
      <w:r>
        <w:rPr>
          <w:rFonts w:ascii="Times New Roman" w:hAnsi="Times New Roman" w:eastAsia="Times New Roman" w:cs="Times New Roman"/>
          <w:sz w:val="20"/>
          <w:szCs w:val="20"/>
        </w:rPr>
        <w:t>study</w:t>
      </w:r>
      <w:r>
        <w:rPr>
          <w:rFonts w:ascii="Times New Roman" w:hAnsi="Times New Roman" w:eastAsia="Times New Roman" w:cs="Times New Roman"/>
          <w:spacing w:val="4"/>
          <w:sz w:val="20"/>
          <w:szCs w:val="20"/>
        </w:rPr>
        <w:t>)</w:t>
      </w:r>
      <w:r>
        <w:rPr>
          <w:rFonts w:ascii="宋体" w:hAnsi="宋体" w:eastAsia="宋体" w:cs="宋体"/>
          <w:spacing w:val="4"/>
          <w:sz w:val="20"/>
          <w:szCs w:val="20"/>
        </w:rPr>
        <w:t>、历史性队列研究</w:t>
      </w:r>
      <w:r>
        <w:rPr>
          <w:rFonts w:ascii="Times New Roman" w:hAnsi="Times New Roman" w:eastAsia="Times New Roman" w:cs="Times New Roman"/>
          <w:spacing w:val="4"/>
          <w:sz w:val="20"/>
          <w:szCs w:val="20"/>
        </w:rPr>
        <w:t>(</w:t>
      </w:r>
      <w:r>
        <w:rPr>
          <w:rFonts w:ascii="Times New Roman" w:hAnsi="Times New Roman" w:eastAsia="Times New Roman" w:cs="Times New Roman"/>
          <w:sz w:val="20"/>
          <w:szCs w:val="20"/>
        </w:rPr>
        <w:t>historical</w:t>
      </w:r>
      <w:r>
        <w:rPr>
          <w:rFonts w:ascii="Times New Roman" w:hAnsi="Times New Roman" w:eastAsia="Times New Roman" w:cs="Times New Roman"/>
          <w:spacing w:val="4"/>
          <w:sz w:val="20"/>
          <w:szCs w:val="20"/>
        </w:rPr>
        <w:t xml:space="preserve">    </w:t>
      </w:r>
      <w:r>
        <w:rPr>
          <w:rFonts w:ascii="Times New Roman" w:hAnsi="Times New Roman" w:eastAsia="Times New Roman" w:cs="Times New Roman"/>
          <w:sz w:val="20"/>
          <w:szCs w:val="20"/>
        </w:rPr>
        <w:t>cohort</w:t>
      </w:r>
      <w:r>
        <w:rPr>
          <w:rFonts w:ascii="Times New Roman" w:hAnsi="Times New Roman" w:eastAsia="Times New Roman" w:cs="Times New Roman"/>
          <w:spacing w:val="4"/>
          <w:sz w:val="20"/>
          <w:szCs w:val="20"/>
        </w:rPr>
        <w:t xml:space="preserve">    </w:t>
      </w:r>
      <w:r>
        <w:rPr>
          <w:rFonts w:ascii="Times New Roman" w:hAnsi="Times New Roman" w:eastAsia="Times New Roman" w:cs="Times New Roman"/>
          <w:sz w:val="20"/>
          <w:szCs w:val="20"/>
        </w:rPr>
        <w:t>study</w:t>
      </w:r>
      <w:r>
        <w:rPr>
          <w:rFonts w:ascii="Times New Roman" w:hAnsi="Times New Roman" w:eastAsia="Times New Roman" w:cs="Times New Roman"/>
          <w:spacing w:val="3"/>
          <w:sz w:val="20"/>
          <w:szCs w:val="20"/>
        </w:rPr>
        <w:t>)</w:t>
      </w:r>
      <w:r>
        <w:rPr>
          <w:rFonts w:ascii="宋体" w:hAnsi="宋体" w:eastAsia="宋体" w:cs="宋体"/>
          <w:spacing w:val="3"/>
          <w:sz w:val="20"/>
          <w:szCs w:val="20"/>
        </w:rPr>
        <w:t>和双向性队列研究</w:t>
      </w:r>
      <w:r>
        <w:rPr>
          <w:rFonts w:ascii="Times New Roman" w:hAnsi="Times New Roman" w:eastAsia="Times New Roman" w:cs="Times New Roman"/>
          <w:spacing w:val="3"/>
          <w:sz w:val="20"/>
          <w:szCs w:val="20"/>
        </w:rPr>
        <w:t>(</w:t>
      </w:r>
      <w:r>
        <w:rPr>
          <w:rFonts w:ascii="Times New Roman" w:hAnsi="Times New Roman" w:eastAsia="Times New Roman" w:cs="Times New Roman"/>
          <w:sz w:val="20"/>
          <w:szCs w:val="20"/>
        </w:rPr>
        <w:t>ambispective    cohort</w:t>
      </w:r>
      <w:r>
        <w:rPr>
          <w:rFonts w:ascii="Times New Roman" w:hAnsi="Times New Roman" w:eastAsia="Times New Roman" w:cs="Times New Roman"/>
          <w:spacing w:val="14"/>
          <w:sz w:val="20"/>
          <w:szCs w:val="20"/>
        </w:rPr>
        <w:t xml:space="preserve">   </w:t>
      </w:r>
      <w:r>
        <w:rPr>
          <w:rFonts w:ascii="Times New Roman" w:hAnsi="Times New Roman" w:eastAsia="Times New Roman" w:cs="Times New Roman"/>
          <w:sz w:val="20"/>
          <w:szCs w:val="20"/>
        </w:rPr>
        <w:t>study</w:t>
      </w:r>
      <w:r>
        <w:rPr>
          <w:rFonts w:ascii="Times New Roman" w:hAnsi="Times New Roman" w:eastAsia="Times New Roman" w:cs="Times New Roman"/>
          <w:spacing w:val="14"/>
          <w:sz w:val="20"/>
          <w:szCs w:val="20"/>
        </w:rPr>
        <w:t>)</w:t>
      </w:r>
      <w:r>
        <w:rPr>
          <w:rFonts w:ascii="宋体" w:hAnsi="宋体" w:eastAsia="宋体" w:cs="宋体"/>
          <w:spacing w:val="14"/>
          <w:sz w:val="20"/>
          <w:szCs w:val="20"/>
        </w:rPr>
        <w:t>三种。三种队列研究方法示意见图</w:t>
      </w:r>
      <w:r>
        <w:rPr>
          <w:rFonts w:ascii="宋体" w:hAnsi="宋体" w:eastAsia="宋体" w:cs="宋体"/>
          <w:spacing w:val="13"/>
          <w:sz w:val="20"/>
          <w:szCs w:val="20"/>
        </w:rPr>
        <w:t>4-2。</w:t>
      </w:r>
    </w:p>
    <w:p w14:paraId="6D062EC7">
      <w:pPr>
        <w:pStyle w:val="2"/>
        <w:spacing w:before="142" w:line="3120" w:lineRule="exact"/>
        <w:ind w:firstLine="1660"/>
      </w:pPr>
      <w:r>
        <w:rPr>
          <w:position w:val="-62"/>
        </w:rPr>
        <w:pict>
          <v:group id="_x0000_s1049" o:spid="_x0000_s1049" o:spt="203" style="height:156pt;width:297.55pt;" coordsize="5950,3120">
            <o:lock v:ext="edit"/>
            <v:shape id="_x0000_s1050" o:spid="_x0000_s1050" o:spt="75" type="#_x0000_t75" style="position:absolute;left:0;top:0;height:3120;width:5950;" filled="f" stroked="f" coordsize="21600,21600">
              <v:path/>
              <v:fill on="f" focussize="0,0"/>
              <v:stroke on="f"/>
              <v:imagedata r:id="rId477" o:title=""/>
              <o:lock v:ext="edit" aspectratio="t"/>
            </v:shape>
            <v:shape id="_x0000_s1051" o:spid="_x0000_s1051" o:spt="202" type="#_x0000_t202" style="position:absolute;left:339;top:107;height:3001;width:5630;" filled="f" stroked="f" coordsize="21600,21600">
              <v:path/>
              <v:fill on="f" focussize="0,0"/>
              <v:stroke on="f"/>
              <v:imagedata o:title=""/>
              <o:lock v:ext="edit" aspectratio="f"/>
              <v:textbox inset="0mm,0mm,0mm,0mm">
                <w:txbxContent>
                  <w:p w14:paraId="525CE5FE">
                    <w:pPr>
                      <w:spacing w:before="20" w:line="180" w:lineRule="auto"/>
                      <w:ind w:left="1030"/>
                      <w:rPr>
                        <w:rFonts w:ascii="宋体" w:hAnsi="宋体" w:eastAsia="宋体" w:cs="宋体"/>
                        <w:sz w:val="19"/>
                        <w:szCs w:val="19"/>
                      </w:rPr>
                    </w:pPr>
                    <w:r>
                      <w:rPr>
                        <w:rFonts w:ascii="宋体" w:hAnsi="宋体" w:eastAsia="宋体" w:cs="宋体"/>
                        <w:spacing w:val="-11"/>
                        <w:sz w:val="19"/>
                        <w:szCs w:val="19"/>
                      </w:rPr>
                      <w:t>回顾性地收集</w:t>
                    </w:r>
                  </w:p>
                  <w:p w14:paraId="150D449E">
                    <w:pPr>
                      <w:spacing w:line="215" w:lineRule="auto"/>
                      <w:ind w:left="1030"/>
                      <w:rPr>
                        <w:rFonts w:ascii="宋体" w:hAnsi="宋体" w:eastAsia="宋体" w:cs="宋体"/>
                        <w:sz w:val="19"/>
                        <w:szCs w:val="19"/>
                      </w:rPr>
                    </w:pPr>
                    <w:r>
                      <w:rPr>
                        <w:rFonts w:ascii="宋体" w:hAnsi="宋体" w:eastAsia="宋体" w:cs="宋体"/>
                        <w:spacing w:val="-11"/>
                        <w:sz w:val="19"/>
                        <w:szCs w:val="19"/>
                      </w:rPr>
                      <w:t>已有的历史资料</w:t>
                    </w:r>
                  </w:p>
                  <w:p w14:paraId="20959C35">
                    <w:pPr>
                      <w:spacing w:line="243" w:lineRule="auto"/>
                      <w:rPr>
                        <w:rFonts w:ascii="Arial"/>
                        <w:sz w:val="21"/>
                      </w:rPr>
                    </w:pPr>
                  </w:p>
                  <w:p w14:paraId="12E2605B">
                    <w:pPr>
                      <w:spacing w:line="243" w:lineRule="auto"/>
                      <w:rPr>
                        <w:rFonts w:ascii="Arial"/>
                        <w:sz w:val="21"/>
                      </w:rPr>
                    </w:pPr>
                  </w:p>
                  <w:p w14:paraId="355006DC">
                    <w:pPr>
                      <w:spacing w:before="65" w:line="170" w:lineRule="auto"/>
                      <w:ind w:left="2850"/>
                      <w:rPr>
                        <w:rFonts w:ascii="宋体" w:hAnsi="宋体" w:eastAsia="宋体" w:cs="宋体"/>
                        <w:sz w:val="20"/>
                        <w:szCs w:val="20"/>
                      </w:rPr>
                    </w:pPr>
                    <w:r>
                      <w:rPr>
                        <w:rFonts w:ascii="宋体" w:hAnsi="宋体" w:eastAsia="宋体" w:cs="宋体"/>
                        <w:spacing w:val="-7"/>
                        <w:sz w:val="20"/>
                        <w:szCs w:val="20"/>
                      </w:rPr>
                      <w:t>继续前瞻性</w:t>
                    </w:r>
                  </w:p>
                  <w:p w14:paraId="15FFE6E4">
                    <w:pPr>
                      <w:spacing w:line="190" w:lineRule="auto"/>
                      <w:ind w:left="3889" w:right="1002" w:hanging="1019"/>
                      <w:rPr>
                        <w:rFonts w:ascii="宋体" w:hAnsi="宋体" w:eastAsia="宋体" w:cs="宋体"/>
                        <w:sz w:val="19"/>
                        <w:szCs w:val="19"/>
                      </w:rPr>
                    </w:pPr>
                    <w:r>
                      <w:rPr>
                        <w:rFonts w:ascii="宋体" w:hAnsi="宋体" w:eastAsia="宋体" w:cs="宋体"/>
                        <w:spacing w:val="-17"/>
                        <w:position w:val="2"/>
                        <w:sz w:val="20"/>
                        <w:szCs w:val="20"/>
                      </w:rPr>
                      <w:t>收集资料</w:t>
                    </w:r>
                    <w:r>
                      <w:rPr>
                        <w:rFonts w:ascii="宋体" w:hAnsi="宋体" w:eastAsia="宋体" w:cs="宋体"/>
                        <w:spacing w:val="47"/>
                        <w:position w:val="2"/>
                        <w:sz w:val="20"/>
                        <w:szCs w:val="20"/>
                      </w:rPr>
                      <w:t xml:space="preserve">  </w:t>
                    </w:r>
                    <w:r>
                      <w:rPr>
                        <w:rFonts w:ascii="宋体" w:hAnsi="宋体" w:eastAsia="宋体" w:cs="宋体"/>
                        <w:spacing w:val="-17"/>
                        <w:position w:val="-3"/>
                        <w:sz w:val="19"/>
                        <w:szCs w:val="19"/>
                      </w:rPr>
                      <w:t>双向性</w:t>
                    </w:r>
                    <w:r>
                      <w:rPr>
                        <w:rFonts w:ascii="宋体" w:hAnsi="宋体" w:eastAsia="宋体" w:cs="宋体"/>
                        <w:position w:val="-3"/>
                        <w:sz w:val="19"/>
                        <w:szCs w:val="19"/>
                      </w:rPr>
                      <w:t xml:space="preserve">   </w:t>
                    </w:r>
                    <w:r>
                      <w:rPr>
                        <w:rFonts w:ascii="宋体" w:hAnsi="宋体" w:eastAsia="宋体" w:cs="宋体"/>
                        <w:spacing w:val="-6"/>
                        <w:sz w:val="19"/>
                        <w:szCs w:val="19"/>
                      </w:rPr>
                      <w:t>队列研究</w:t>
                    </w:r>
                  </w:p>
                  <w:p w14:paraId="19AA1B38">
                    <w:pPr>
                      <w:spacing w:before="166" w:line="184" w:lineRule="auto"/>
                      <w:ind w:left="3290"/>
                      <w:rPr>
                        <w:rFonts w:ascii="宋体" w:hAnsi="宋体" w:eastAsia="宋体" w:cs="宋体"/>
                        <w:sz w:val="20"/>
                        <w:szCs w:val="20"/>
                      </w:rPr>
                    </w:pPr>
                    <w:r>
                      <w:rPr>
                        <w:rFonts w:ascii="宋体" w:hAnsi="宋体" w:eastAsia="宋体" w:cs="宋体"/>
                        <w:spacing w:val="-18"/>
                        <w:w w:val="99"/>
                        <w:sz w:val="20"/>
                        <w:szCs w:val="20"/>
                      </w:rPr>
                      <w:t>前瞻性收集资料</w:t>
                    </w:r>
                  </w:p>
                  <w:p w14:paraId="619EEAC0">
                    <w:pPr>
                      <w:spacing w:before="109" w:line="219" w:lineRule="auto"/>
                      <w:ind w:right="5"/>
                      <w:jc w:val="right"/>
                      <w:rPr>
                        <w:rFonts w:ascii="宋体" w:hAnsi="宋体" w:eastAsia="宋体" w:cs="宋体"/>
                        <w:sz w:val="20"/>
                        <w:szCs w:val="20"/>
                      </w:rPr>
                    </w:pPr>
                    <w:r>
                      <w:rPr>
                        <w:rFonts w:ascii="宋体" w:hAnsi="宋体" w:eastAsia="宋体" w:cs="宋体"/>
                        <w:spacing w:val="-12"/>
                        <w:sz w:val="20"/>
                        <w:szCs w:val="20"/>
                      </w:rPr>
                      <w:t>队列研究</w:t>
                    </w:r>
                  </w:p>
                  <w:p w14:paraId="1E5C3CEA">
                    <w:pPr>
                      <w:spacing w:line="366" w:lineRule="auto"/>
                      <w:rPr>
                        <w:rFonts w:ascii="Arial"/>
                        <w:sz w:val="21"/>
                      </w:rPr>
                    </w:pPr>
                  </w:p>
                  <w:p w14:paraId="24FF05A9">
                    <w:pPr>
                      <w:spacing w:before="65" w:line="230" w:lineRule="auto"/>
                      <w:ind w:left="20"/>
                      <w:rPr>
                        <w:rFonts w:ascii="宋体" w:hAnsi="宋体" w:eastAsia="宋体" w:cs="宋体"/>
                        <w:sz w:val="20"/>
                        <w:szCs w:val="20"/>
                      </w:rPr>
                    </w:pPr>
                    <w:r>
                      <w:rPr>
                        <w:rFonts w:ascii="宋体" w:hAnsi="宋体" w:eastAsia="宋体" w:cs="宋体"/>
                        <w:spacing w:val="-6"/>
                        <w:position w:val="-1"/>
                        <w:sz w:val="20"/>
                        <w:szCs w:val="20"/>
                      </w:rPr>
                      <w:t xml:space="preserve">过去某时点              </w:t>
                    </w:r>
                    <w:r>
                      <w:rPr>
                        <w:rFonts w:ascii="宋体" w:hAnsi="宋体" w:eastAsia="宋体" w:cs="宋体"/>
                        <w:spacing w:val="-7"/>
                        <w:position w:val="-1"/>
                        <w:sz w:val="20"/>
                        <w:szCs w:val="20"/>
                      </w:rPr>
                      <w:t xml:space="preserve">   </w:t>
                    </w:r>
                    <w:r>
                      <w:rPr>
                        <w:rFonts w:ascii="宋体" w:hAnsi="宋体" w:eastAsia="宋体" w:cs="宋体"/>
                        <w:spacing w:val="-7"/>
                        <w:sz w:val="20"/>
                        <w:szCs w:val="20"/>
                      </w:rPr>
                      <w:t>现在              将来某时点</w:t>
                    </w:r>
                  </w:p>
                </w:txbxContent>
              </v:textbox>
            </v:shape>
            <v:shape id="_x0000_s1052" o:spid="_x0000_s1052" o:spt="202" type="#_x0000_t202" style="position:absolute;left:19;top:227;height:1663;width:609;" filled="f" stroked="f" coordsize="21600,21600">
              <v:path/>
              <v:fill on="f" focussize="0,0"/>
              <v:stroke on="f"/>
              <v:imagedata o:title=""/>
              <o:lock v:ext="edit" aspectratio="f"/>
              <v:textbox inset="0mm,0mm,0mm,0mm">
                <w:txbxContent>
                  <w:p w14:paraId="07EA1D30">
                    <w:pPr>
                      <w:spacing w:before="20" w:line="420" w:lineRule="auto"/>
                      <w:ind w:left="20" w:right="21"/>
                      <w:rPr>
                        <w:rFonts w:ascii="宋体" w:hAnsi="宋体" w:eastAsia="宋体" w:cs="宋体"/>
                        <w:sz w:val="20"/>
                        <w:szCs w:val="20"/>
                      </w:rPr>
                    </w:pPr>
                    <w:r>
                      <w:rPr>
                        <w:rFonts w:ascii="宋体" w:hAnsi="宋体" w:eastAsia="宋体" w:cs="宋体"/>
                        <w:spacing w:val="-12"/>
                        <w:sz w:val="20"/>
                        <w:szCs w:val="20"/>
                      </w:rPr>
                      <w:t>暴露组</w:t>
                    </w:r>
                    <w:r>
                      <w:rPr>
                        <w:rFonts w:ascii="宋体" w:hAnsi="宋体" w:eastAsia="宋体" w:cs="宋体"/>
                        <w:spacing w:val="1"/>
                        <w:sz w:val="20"/>
                        <w:szCs w:val="20"/>
                      </w:rPr>
                      <w:t xml:space="preserve"> </w:t>
                    </w:r>
                    <w:r>
                      <w:rPr>
                        <w:rFonts w:ascii="宋体" w:hAnsi="宋体" w:eastAsia="宋体" w:cs="宋体"/>
                        <w:spacing w:val="-12"/>
                        <w:sz w:val="20"/>
                        <w:szCs w:val="20"/>
                      </w:rPr>
                      <w:t>对照组</w:t>
                    </w:r>
                  </w:p>
                  <w:p w14:paraId="0AFE4EE8">
                    <w:pPr>
                      <w:spacing w:before="99" w:line="310" w:lineRule="auto"/>
                      <w:ind w:left="20" w:right="20"/>
                      <w:rPr>
                        <w:rFonts w:ascii="黑体" w:hAnsi="黑体" w:eastAsia="黑体" w:cs="黑体"/>
                        <w:sz w:val="20"/>
                        <w:szCs w:val="20"/>
                      </w:rPr>
                    </w:pPr>
                    <w:r>
                      <w:rPr>
                        <w:rFonts w:ascii="宋体" w:hAnsi="宋体" w:eastAsia="宋体" w:cs="宋体"/>
                        <w:spacing w:val="-12"/>
                        <w:sz w:val="20"/>
                        <w:szCs w:val="20"/>
                      </w:rPr>
                      <w:t>暴露组</w:t>
                    </w:r>
                    <w:r>
                      <w:rPr>
                        <w:rFonts w:ascii="宋体" w:hAnsi="宋体" w:eastAsia="宋体" w:cs="宋体"/>
                        <w:spacing w:val="1"/>
                        <w:sz w:val="20"/>
                        <w:szCs w:val="20"/>
                      </w:rPr>
                      <w:t xml:space="preserve"> </w:t>
                    </w:r>
                    <w:r>
                      <w:rPr>
                        <w:rFonts w:ascii="黑体" w:hAnsi="黑体" w:eastAsia="黑体" w:cs="黑体"/>
                        <w:spacing w:val="-11"/>
                        <w:sz w:val="20"/>
                        <w:szCs w:val="20"/>
                      </w:rPr>
                      <w:t>对照组</w:t>
                    </w:r>
                  </w:p>
                </w:txbxContent>
              </v:textbox>
            </v:shape>
            <v:shape id="_x0000_s1053" o:spid="_x0000_s1053" o:spt="202" type="#_x0000_t202" style="position:absolute;left:1350;top:1047;height:440;width:1286;" filled="f" stroked="f" coordsize="21600,21600">
              <v:path/>
              <v:fill on="f" focussize="0,0"/>
              <v:stroke on="f"/>
              <v:imagedata o:title=""/>
              <o:lock v:ext="edit" aspectratio="f"/>
              <v:textbox inset="0mm,0mm,0mm,0mm">
                <w:txbxContent>
                  <w:p w14:paraId="1138D3EC">
                    <w:pPr>
                      <w:spacing w:before="19" w:line="203" w:lineRule="auto"/>
                      <w:ind w:left="20" w:right="20"/>
                      <w:rPr>
                        <w:rFonts w:ascii="宋体" w:hAnsi="宋体" w:eastAsia="宋体" w:cs="宋体"/>
                        <w:sz w:val="20"/>
                        <w:szCs w:val="20"/>
                      </w:rPr>
                    </w:pPr>
                    <w:r>
                      <w:rPr>
                        <w:rFonts w:ascii="宋体" w:hAnsi="宋体" w:eastAsia="宋体" w:cs="宋体"/>
                        <w:spacing w:val="-19"/>
                        <w:w w:val="98"/>
                        <w:sz w:val="20"/>
                        <w:szCs w:val="20"/>
                      </w:rPr>
                      <w:t>回顾性地收集</w:t>
                    </w:r>
                    <w:r>
                      <w:rPr>
                        <w:rFonts w:ascii="宋体" w:hAnsi="宋体" w:eastAsia="宋体" w:cs="宋体"/>
                        <w:spacing w:val="2"/>
                        <w:sz w:val="20"/>
                        <w:szCs w:val="20"/>
                      </w:rPr>
                      <w:t xml:space="preserve">  </w:t>
                    </w:r>
                    <w:r>
                      <w:rPr>
                        <w:rFonts w:ascii="宋体" w:hAnsi="宋体" w:eastAsia="宋体" w:cs="宋体"/>
                        <w:spacing w:val="-22"/>
                        <w:sz w:val="20"/>
                        <w:szCs w:val="20"/>
                      </w:rPr>
                      <w:t>已有的历史资料</w:t>
                    </w:r>
                  </w:p>
                </w:txbxContent>
              </v:textbox>
            </v:shape>
            <v:shape id="_x0000_s1054" o:spid="_x0000_s1054" o:spt="202" type="#_x0000_t202" style="position:absolute;left:2469;top:1867;height:683;width:597;" filled="f" stroked="f" coordsize="21600,21600">
              <v:path/>
              <v:fill on="f" focussize="0,0"/>
              <v:stroke on="f"/>
              <v:imagedata o:title=""/>
              <o:lock v:ext="edit" aspectratio="f"/>
              <v:textbox inset="0mm,0mm,0mm,0mm">
                <w:txbxContent>
                  <w:p w14:paraId="09EF6B6B">
                    <w:pPr>
                      <w:spacing w:before="19" w:line="219" w:lineRule="auto"/>
                      <w:ind w:left="20"/>
                      <w:rPr>
                        <w:rFonts w:ascii="宋体" w:hAnsi="宋体" w:eastAsia="宋体" w:cs="宋体"/>
                        <w:sz w:val="20"/>
                        <w:szCs w:val="20"/>
                      </w:rPr>
                    </w:pPr>
                    <w:r>
                      <w:rPr>
                        <w:rFonts w:ascii="宋体" w:hAnsi="宋体" w:eastAsia="宋体" w:cs="宋体"/>
                        <w:spacing w:val="-10"/>
                        <w:sz w:val="20"/>
                        <w:szCs w:val="20"/>
                      </w:rPr>
                      <w:t>暴露组</w:t>
                    </w:r>
                  </w:p>
                  <w:p w14:paraId="0509D7D5">
                    <w:pPr>
                      <w:spacing w:before="205" w:line="221" w:lineRule="auto"/>
                      <w:ind w:left="20"/>
                      <w:rPr>
                        <w:rFonts w:ascii="宋体" w:hAnsi="宋体" w:eastAsia="宋体" w:cs="宋体"/>
                        <w:sz w:val="20"/>
                        <w:szCs w:val="20"/>
                      </w:rPr>
                    </w:pPr>
                    <w:r>
                      <w:rPr>
                        <w:rFonts w:ascii="宋体" w:hAnsi="宋体" w:eastAsia="宋体" w:cs="宋体"/>
                        <w:spacing w:val="-10"/>
                        <w:sz w:val="20"/>
                        <w:szCs w:val="20"/>
                      </w:rPr>
                      <w:t>对照组</w:t>
                    </w:r>
                  </w:p>
                </w:txbxContent>
              </v:textbox>
            </v:shape>
            <v:shape id="_x0000_s1055" o:spid="_x0000_s1055" o:spt="202" type="#_x0000_t202" style="position:absolute;left:3240;top:388;height:419;width:760;" filled="f" stroked="f" coordsize="21600,21600">
              <v:path/>
              <v:fill on="f" focussize="0,0"/>
              <v:stroke on="f"/>
              <v:imagedata o:title=""/>
              <o:lock v:ext="edit" aspectratio="f"/>
              <v:textbox inset="0mm,0mm,0mm,0mm">
                <w:txbxContent>
                  <w:p w14:paraId="29DC8A90">
                    <w:pPr>
                      <w:spacing w:before="19" w:line="192" w:lineRule="auto"/>
                      <w:ind w:left="20" w:right="20" w:firstLine="9"/>
                      <w:rPr>
                        <w:rFonts w:ascii="宋体" w:hAnsi="宋体" w:eastAsia="宋体" w:cs="宋体"/>
                        <w:sz w:val="20"/>
                        <w:szCs w:val="20"/>
                      </w:rPr>
                    </w:pPr>
                    <w:r>
                      <w:rPr>
                        <w:rFonts w:ascii="宋体" w:hAnsi="宋体" w:eastAsia="宋体" w:cs="宋体"/>
                        <w:spacing w:val="-15"/>
                        <w:sz w:val="20"/>
                        <w:szCs w:val="20"/>
                      </w:rPr>
                      <w:t>历史性</w:t>
                    </w:r>
                    <w:r>
                      <w:rPr>
                        <w:rFonts w:ascii="宋体" w:hAnsi="宋体" w:eastAsia="宋体" w:cs="宋体"/>
                        <w:sz w:val="20"/>
                        <w:szCs w:val="20"/>
                      </w:rPr>
                      <w:t xml:space="preserve">  </w:t>
                    </w:r>
                    <w:r>
                      <w:rPr>
                        <w:rFonts w:ascii="宋体" w:hAnsi="宋体" w:eastAsia="宋体" w:cs="宋体"/>
                        <w:spacing w:val="-20"/>
                        <w:sz w:val="20"/>
                        <w:szCs w:val="20"/>
                      </w:rPr>
                      <w:t>队列研究</w:t>
                    </w:r>
                  </w:p>
                </w:txbxContent>
              </v:textbox>
            </v:shape>
            <v:shape id="_x0000_s1056" o:spid="_x0000_s1056" o:spt="202" type="#_x0000_t202" style="position:absolute;left:5169;top:1978;height:240;width:607;" filled="f" stroked="f" coordsize="21600,21600">
              <v:path/>
              <v:fill on="f" focussize="0,0"/>
              <v:stroke on="f"/>
              <v:imagedata o:title=""/>
              <o:lock v:ext="edit" aspectratio="f"/>
              <v:textbox inset="0mm,0mm,0mm,0mm">
                <w:txbxContent>
                  <w:p w14:paraId="7AEAB69A">
                    <w:pPr>
                      <w:spacing w:before="20" w:line="184" w:lineRule="auto"/>
                      <w:ind w:left="20"/>
                      <w:rPr>
                        <w:rFonts w:ascii="宋体" w:hAnsi="宋体" w:eastAsia="宋体" w:cs="宋体"/>
                        <w:sz w:val="20"/>
                        <w:szCs w:val="20"/>
                      </w:rPr>
                    </w:pPr>
                    <w:r>
                      <w:rPr>
                        <w:rFonts w:ascii="宋体" w:hAnsi="宋体" w:eastAsia="宋体" w:cs="宋体"/>
                        <w:spacing w:val="-8"/>
                        <w:sz w:val="20"/>
                        <w:szCs w:val="20"/>
                      </w:rPr>
                      <w:t>前瞻性</w:t>
                    </w:r>
                  </w:p>
                </w:txbxContent>
              </v:textbox>
            </v:shape>
            <w10:wrap type="none"/>
            <w10:anchorlock/>
          </v:group>
        </w:pict>
      </w:r>
    </w:p>
    <w:p w14:paraId="3E6019B4">
      <w:pPr>
        <w:pStyle w:val="2"/>
        <w:spacing w:before="106" w:line="221" w:lineRule="auto"/>
        <w:ind w:left="3440"/>
        <w:rPr>
          <w:sz w:val="20"/>
          <w:szCs w:val="20"/>
        </w:rPr>
      </w:pPr>
      <w:r>
        <w:rPr>
          <w:spacing w:val="-1"/>
          <w:sz w:val="20"/>
          <w:szCs w:val="20"/>
        </w:rPr>
        <w:t>图4-2</w:t>
      </w:r>
      <w:r>
        <w:rPr>
          <w:spacing w:val="75"/>
          <w:sz w:val="20"/>
          <w:szCs w:val="20"/>
        </w:rPr>
        <w:t xml:space="preserve"> </w:t>
      </w:r>
      <w:r>
        <w:rPr>
          <w:spacing w:val="-1"/>
          <w:sz w:val="20"/>
          <w:szCs w:val="20"/>
        </w:rPr>
        <w:t>队列研究类型示意图</w:t>
      </w:r>
    </w:p>
    <w:p w14:paraId="6C1C32B1">
      <w:pPr>
        <w:spacing w:line="340" w:lineRule="auto"/>
        <w:rPr>
          <w:rFonts w:ascii="Arial"/>
          <w:sz w:val="21"/>
        </w:rPr>
      </w:pPr>
    </w:p>
    <w:p w14:paraId="69329CCD">
      <w:pPr>
        <w:pStyle w:val="2"/>
        <w:spacing w:before="66" w:line="221" w:lineRule="auto"/>
        <w:ind w:left="442"/>
        <w:rPr>
          <w:sz w:val="20"/>
          <w:szCs w:val="20"/>
        </w:rPr>
      </w:pPr>
      <w:r>
        <w:rPr>
          <w:b/>
          <w:bCs/>
          <w:spacing w:val="-15"/>
          <w:sz w:val="20"/>
          <w:szCs w:val="20"/>
        </w:rPr>
        <w:t>(</w:t>
      </w:r>
      <w:r>
        <w:rPr>
          <w:spacing w:val="-31"/>
          <w:sz w:val="20"/>
          <w:szCs w:val="20"/>
        </w:rPr>
        <w:t xml:space="preserve"> </w:t>
      </w:r>
      <w:r>
        <w:rPr>
          <w:b/>
          <w:bCs/>
          <w:spacing w:val="-15"/>
          <w:sz w:val="20"/>
          <w:szCs w:val="20"/>
        </w:rPr>
        <w:t>一</w:t>
      </w:r>
      <w:r>
        <w:rPr>
          <w:spacing w:val="-46"/>
          <w:sz w:val="20"/>
          <w:szCs w:val="20"/>
        </w:rPr>
        <w:t xml:space="preserve"> </w:t>
      </w:r>
      <w:r>
        <w:rPr>
          <w:b/>
          <w:bCs/>
          <w:spacing w:val="-15"/>
          <w:sz w:val="20"/>
          <w:szCs w:val="20"/>
        </w:rPr>
        <w:t>)</w:t>
      </w:r>
      <w:r>
        <w:rPr>
          <w:spacing w:val="-43"/>
          <w:sz w:val="20"/>
          <w:szCs w:val="20"/>
        </w:rPr>
        <w:t xml:space="preserve"> </w:t>
      </w:r>
      <w:r>
        <w:rPr>
          <w:b/>
          <w:bCs/>
          <w:spacing w:val="-15"/>
          <w:sz w:val="20"/>
          <w:szCs w:val="20"/>
        </w:rPr>
        <w:t>前</w:t>
      </w:r>
      <w:r>
        <w:rPr>
          <w:spacing w:val="-40"/>
          <w:sz w:val="20"/>
          <w:szCs w:val="20"/>
        </w:rPr>
        <w:t xml:space="preserve"> </w:t>
      </w:r>
      <w:r>
        <w:rPr>
          <w:b/>
          <w:bCs/>
          <w:spacing w:val="-15"/>
          <w:sz w:val="20"/>
          <w:szCs w:val="20"/>
        </w:rPr>
        <w:t>瞻</w:t>
      </w:r>
      <w:r>
        <w:rPr>
          <w:spacing w:val="-43"/>
          <w:sz w:val="20"/>
          <w:szCs w:val="20"/>
        </w:rPr>
        <w:t xml:space="preserve"> </w:t>
      </w:r>
      <w:r>
        <w:rPr>
          <w:b/>
          <w:bCs/>
          <w:spacing w:val="-15"/>
          <w:sz w:val="20"/>
          <w:szCs w:val="20"/>
        </w:rPr>
        <w:t>性</w:t>
      </w:r>
      <w:r>
        <w:rPr>
          <w:spacing w:val="-33"/>
          <w:sz w:val="20"/>
          <w:szCs w:val="20"/>
        </w:rPr>
        <w:t xml:space="preserve"> </w:t>
      </w:r>
      <w:r>
        <w:rPr>
          <w:b/>
          <w:bCs/>
          <w:spacing w:val="-15"/>
          <w:sz w:val="20"/>
          <w:szCs w:val="20"/>
        </w:rPr>
        <w:t>队</w:t>
      </w:r>
      <w:r>
        <w:rPr>
          <w:spacing w:val="-40"/>
          <w:sz w:val="20"/>
          <w:szCs w:val="20"/>
        </w:rPr>
        <w:t xml:space="preserve"> </w:t>
      </w:r>
      <w:r>
        <w:rPr>
          <w:b/>
          <w:bCs/>
          <w:spacing w:val="-15"/>
          <w:sz w:val="20"/>
          <w:szCs w:val="20"/>
        </w:rPr>
        <w:t>列</w:t>
      </w:r>
      <w:r>
        <w:rPr>
          <w:spacing w:val="-45"/>
          <w:sz w:val="20"/>
          <w:szCs w:val="20"/>
        </w:rPr>
        <w:t xml:space="preserve"> </w:t>
      </w:r>
      <w:r>
        <w:rPr>
          <w:b/>
          <w:bCs/>
          <w:spacing w:val="-15"/>
          <w:sz w:val="20"/>
          <w:szCs w:val="20"/>
        </w:rPr>
        <w:t>研</w:t>
      </w:r>
      <w:r>
        <w:rPr>
          <w:spacing w:val="-43"/>
          <w:sz w:val="20"/>
          <w:szCs w:val="20"/>
        </w:rPr>
        <w:t xml:space="preserve"> </w:t>
      </w:r>
      <w:r>
        <w:rPr>
          <w:b/>
          <w:bCs/>
          <w:spacing w:val="-15"/>
          <w:sz w:val="20"/>
          <w:szCs w:val="20"/>
        </w:rPr>
        <w:t>究</w:t>
      </w:r>
    </w:p>
    <w:p w14:paraId="13FAAAD4">
      <w:pPr>
        <w:spacing w:before="107" w:line="326" w:lineRule="auto"/>
        <w:ind w:right="638" w:firstLine="440"/>
        <w:jc w:val="both"/>
        <w:rPr>
          <w:rFonts w:ascii="宋体" w:hAnsi="宋体" w:eastAsia="宋体" w:cs="宋体"/>
          <w:sz w:val="20"/>
          <w:szCs w:val="20"/>
        </w:rPr>
      </w:pPr>
      <w:r>
        <w:rPr>
          <w:rFonts w:ascii="宋体" w:hAnsi="宋体" w:eastAsia="宋体" w:cs="宋体"/>
          <w:spacing w:val="21"/>
          <w:sz w:val="20"/>
          <w:szCs w:val="20"/>
        </w:rPr>
        <w:t>前瞻性队列研究是队列研究的基本形式，即在研究开始时，根据每个研究对象的暴露情况分</w:t>
      </w:r>
      <w:r>
        <w:rPr>
          <w:rFonts w:ascii="宋体" w:hAnsi="宋体" w:eastAsia="宋体" w:cs="宋体"/>
          <w:spacing w:val="17"/>
          <w:sz w:val="20"/>
          <w:szCs w:val="20"/>
        </w:rPr>
        <w:t xml:space="preserve"> </w:t>
      </w:r>
      <w:r>
        <w:rPr>
          <w:rFonts w:ascii="宋体" w:hAnsi="宋体" w:eastAsia="宋体" w:cs="宋体"/>
          <w:spacing w:val="15"/>
          <w:sz w:val="20"/>
          <w:szCs w:val="20"/>
        </w:rPr>
        <w:t>组，此时研究的结局还没有出现，需要前瞻性地观察一段时间，收集每个研究对象研究结局的发生</w:t>
      </w:r>
      <w:r>
        <w:rPr>
          <w:rFonts w:ascii="宋体" w:hAnsi="宋体" w:eastAsia="宋体" w:cs="宋体"/>
          <w:spacing w:val="13"/>
          <w:sz w:val="20"/>
          <w:szCs w:val="20"/>
        </w:rPr>
        <w:t xml:space="preserve"> </w:t>
      </w:r>
      <w:r>
        <w:rPr>
          <w:rFonts w:ascii="宋体" w:hAnsi="宋体" w:eastAsia="宋体" w:cs="宋体"/>
          <w:spacing w:val="16"/>
          <w:sz w:val="20"/>
          <w:szCs w:val="20"/>
        </w:rPr>
        <w:t>情况。前瞻性队列研究中，研究者可以按设计要求直接获取关于暴露、结局以及可能的混杂</w:t>
      </w:r>
      <w:r>
        <w:rPr>
          <w:rFonts w:ascii="宋体" w:hAnsi="宋体" w:eastAsia="宋体" w:cs="宋体"/>
          <w:spacing w:val="15"/>
          <w:sz w:val="20"/>
          <w:szCs w:val="20"/>
        </w:rPr>
        <w:t>因素的</w:t>
      </w:r>
      <w:r>
        <w:rPr>
          <w:rFonts w:ascii="宋体" w:hAnsi="宋体" w:eastAsia="宋体" w:cs="宋体"/>
          <w:sz w:val="20"/>
          <w:szCs w:val="20"/>
        </w:rPr>
        <w:t xml:space="preserve"> </w:t>
      </w:r>
      <w:r>
        <w:rPr>
          <w:rFonts w:ascii="宋体" w:hAnsi="宋体" w:eastAsia="宋体" w:cs="宋体"/>
          <w:spacing w:val="11"/>
          <w:sz w:val="20"/>
          <w:szCs w:val="20"/>
        </w:rPr>
        <w:t>资料，偏倚较小，结果可信。但如果出现结局的潜伏期长、结局发生率较低，则需要随访观察的时间</w:t>
      </w:r>
      <w:r>
        <w:rPr>
          <w:rFonts w:ascii="宋体" w:hAnsi="宋体" w:eastAsia="宋体" w:cs="宋体"/>
          <w:spacing w:val="4"/>
          <w:sz w:val="20"/>
          <w:szCs w:val="20"/>
        </w:rPr>
        <w:t xml:space="preserve"> </w:t>
      </w:r>
      <w:r>
        <w:rPr>
          <w:rFonts w:ascii="宋体" w:hAnsi="宋体" w:eastAsia="宋体" w:cs="宋体"/>
          <w:spacing w:val="8"/>
          <w:sz w:val="20"/>
          <w:szCs w:val="20"/>
        </w:rPr>
        <w:t>长，观察的样本量大，易出现研究对象的脱失，影响可行性。</w:t>
      </w:r>
    </w:p>
    <w:p w14:paraId="62882F59">
      <w:pPr>
        <w:pStyle w:val="2"/>
        <w:spacing w:line="221" w:lineRule="auto"/>
        <w:ind w:left="443"/>
        <w:rPr>
          <w:sz w:val="25"/>
          <w:szCs w:val="25"/>
        </w:rPr>
      </w:pPr>
      <w:r>
        <w:rPr>
          <w:b/>
          <w:bCs/>
          <w:spacing w:val="-8"/>
          <w:sz w:val="25"/>
          <w:szCs w:val="25"/>
        </w:rPr>
        <w:t>(二)历史性队列研究</w:t>
      </w:r>
    </w:p>
    <w:p w14:paraId="32AEBEBB">
      <w:pPr>
        <w:spacing w:before="68" w:line="339" w:lineRule="auto"/>
        <w:ind w:right="586" w:firstLine="440"/>
        <w:jc w:val="both"/>
        <w:rPr>
          <w:rFonts w:ascii="宋体" w:hAnsi="宋体" w:eastAsia="宋体" w:cs="宋体"/>
          <w:sz w:val="20"/>
          <w:szCs w:val="20"/>
        </w:rPr>
      </w:pPr>
      <w:r>
        <w:rPr>
          <w:rFonts w:ascii="宋体" w:hAnsi="宋体" w:eastAsia="宋体" w:cs="宋体"/>
          <w:spacing w:val="16"/>
          <w:sz w:val="20"/>
          <w:szCs w:val="20"/>
        </w:rPr>
        <w:t>历史性队列研究也称回顾性队列研究</w:t>
      </w:r>
      <w:r>
        <w:rPr>
          <w:rFonts w:ascii="Times New Roman" w:hAnsi="Times New Roman" w:eastAsia="Times New Roman" w:cs="Times New Roman"/>
          <w:spacing w:val="16"/>
          <w:sz w:val="20"/>
          <w:szCs w:val="20"/>
        </w:rPr>
        <w:t>(</w:t>
      </w:r>
      <w:r>
        <w:rPr>
          <w:rFonts w:ascii="Times New Roman" w:hAnsi="Times New Roman" w:eastAsia="Times New Roman" w:cs="Times New Roman"/>
          <w:sz w:val="20"/>
          <w:szCs w:val="20"/>
        </w:rPr>
        <w:t>retrospective</w:t>
      </w:r>
      <w:r>
        <w:rPr>
          <w:rFonts w:ascii="Times New Roman" w:hAnsi="Times New Roman" w:eastAsia="Times New Roman" w:cs="Times New Roman"/>
          <w:spacing w:val="16"/>
          <w:sz w:val="20"/>
          <w:szCs w:val="20"/>
        </w:rPr>
        <w:t xml:space="preserve">    </w:t>
      </w:r>
      <w:r>
        <w:rPr>
          <w:rFonts w:ascii="Times New Roman" w:hAnsi="Times New Roman" w:eastAsia="Times New Roman" w:cs="Times New Roman"/>
          <w:sz w:val="20"/>
          <w:szCs w:val="20"/>
        </w:rPr>
        <w:t>cohort</w:t>
      </w:r>
      <w:r>
        <w:rPr>
          <w:rFonts w:ascii="Times New Roman" w:hAnsi="Times New Roman" w:eastAsia="Times New Roman" w:cs="Times New Roman"/>
          <w:spacing w:val="16"/>
          <w:sz w:val="20"/>
          <w:szCs w:val="20"/>
        </w:rPr>
        <w:t xml:space="preserve">    </w:t>
      </w:r>
      <w:r>
        <w:rPr>
          <w:rFonts w:ascii="Times New Roman" w:hAnsi="Times New Roman" w:eastAsia="Times New Roman" w:cs="Times New Roman"/>
          <w:sz w:val="20"/>
          <w:szCs w:val="20"/>
        </w:rPr>
        <w:t>study</w:t>
      </w:r>
      <w:r>
        <w:rPr>
          <w:rFonts w:ascii="Times New Roman" w:hAnsi="Times New Roman" w:eastAsia="Times New Roman" w:cs="Times New Roman"/>
          <w:spacing w:val="16"/>
          <w:sz w:val="20"/>
          <w:szCs w:val="20"/>
        </w:rPr>
        <w:t>),</w:t>
      </w:r>
      <w:r>
        <w:rPr>
          <w:rFonts w:ascii="宋体" w:hAnsi="宋体" w:eastAsia="宋体" w:cs="宋体"/>
          <w:spacing w:val="16"/>
          <w:sz w:val="20"/>
          <w:szCs w:val="20"/>
        </w:rPr>
        <w:t>是依据研究开始时研究者已</w:t>
      </w:r>
      <w:r>
        <w:rPr>
          <w:rFonts w:ascii="宋体" w:hAnsi="宋体" w:eastAsia="宋体" w:cs="宋体"/>
          <w:spacing w:val="3"/>
          <w:sz w:val="20"/>
          <w:szCs w:val="20"/>
        </w:rPr>
        <w:t xml:space="preserve">  </w:t>
      </w:r>
      <w:r>
        <w:rPr>
          <w:rFonts w:ascii="宋体" w:hAnsi="宋体" w:eastAsia="宋体" w:cs="宋体"/>
          <w:spacing w:val="20"/>
          <w:sz w:val="20"/>
          <w:szCs w:val="20"/>
        </w:rPr>
        <w:t>掌握的有关研究对象过去某个时点暴露状况的历史材料进行分组，研究结局在研究开始时已经发</w:t>
      </w:r>
      <w:r>
        <w:rPr>
          <w:rFonts w:ascii="宋体" w:hAnsi="宋体" w:eastAsia="宋体" w:cs="宋体"/>
          <w:spacing w:val="8"/>
          <w:sz w:val="20"/>
          <w:szCs w:val="20"/>
        </w:rPr>
        <w:t xml:space="preserve">  </w:t>
      </w:r>
      <w:r>
        <w:rPr>
          <w:rFonts w:ascii="宋体" w:hAnsi="宋体" w:eastAsia="宋体" w:cs="宋体"/>
          <w:spacing w:val="15"/>
          <w:sz w:val="20"/>
          <w:szCs w:val="20"/>
        </w:rPr>
        <w:t>生，不需要前瞻性观察。在历史性队列研究中，虽然研究是现在开始的，但研究对象是在过去某个</w:t>
      </w:r>
      <w:r>
        <w:rPr>
          <w:rFonts w:ascii="宋体" w:hAnsi="宋体" w:eastAsia="宋体" w:cs="宋体"/>
          <w:spacing w:val="6"/>
          <w:sz w:val="20"/>
          <w:szCs w:val="20"/>
        </w:rPr>
        <w:t xml:space="preserve">  </w:t>
      </w:r>
      <w:r>
        <w:rPr>
          <w:rFonts w:ascii="宋体" w:hAnsi="宋体" w:eastAsia="宋体" w:cs="宋体"/>
          <w:spacing w:val="17"/>
          <w:sz w:val="20"/>
          <w:szCs w:val="20"/>
        </w:rPr>
        <w:t>时点进入队列的，暴露与结局的资料是过去累积的，尽管收集暴露与结局资料的方法是回顾性的，</w:t>
      </w:r>
    </w:p>
    <w:p w14:paraId="6FCB4F3C">
      <w:pPr>
        <w:spacing w:line="339" w:lineRule="auto"/>
        <w:rPr>
          <w:rFonts w:ascii="宋体" w:hAnsi="宋体" w:eastAsia="宋体" w:cs="宋体"/>
          <w:sz w:val="20"/>
          <w:szCs w:val="20"/>
        </w:rPr>
        <w:sectPr>
          <w:footerReference r:id="rId81" w:type="default"/>
          <w:pgSz w:w="11900" w:h="16820"/>
          <w:pgMar w:top="400" w:right="633" w:bottom="969" w:left="1329" w:header="0" w:footer="789" w:gutter="0"/>
          <w:cols w:space="720" w:num="1"/>
        </w:sectPr>
      </w:pPr>
    </w:p>
    <w:p w14:paraId="3917E955">
      <w:pPr>
        <w:pStyle w:val="2"/>
        <w:spacing w:before="216" w:line="222" w:lineRule="auto"/>
        <w:ind w:left="619"/>
        <w:rPr>
          <w:sz w:val="19"/>
          <w:szCs w:val="19"/>
        </w:rPr>
      </w:pPr>
      <w:r>
        <w:rPr>
          <w:spacing w:val="-16"/>
          <w:w w:val="97"/>
          <w:sz w:val="19"/>
          <w:szCs w:val="19"/>
        </w:rPr>
        <w:t>第四章</w:t>
      </w:r>
      <w:r>
        <w:rPr>
          <w:spacing w:val="15"/>
          <w:sz w:val="19"/>
          <w:szCs w:val="19"/>
        </w:rPr>
        <w:t xml:space="preserve"> </w:t>
      </w:r>
      <w:r>
        <w:rPr>
          <w:spacing w:val="-16"/>
          <w:w w:val="97"/>
          <w:sz w:val="19"/>
          <w:szCs w:val="19"/>
        </w:rPr>
        <w:t>队列研究</w:t>
      </w:r>
    </w:p>
    <w:p w14:paraId="23FD3078">
      <w:pPr>
        <w:spacing w:line="277" w:lineRule="auto"/>
        <w:rPr>
          <w:rFonts w:ascii="Arial"/>
          <w:sz w:val="21"/>
        </w:rPr>
      </w:pPr>
    </w:p>
    <w:p w14:paraId="1B5B68C4">
      <w:pPr>
        <w:spacing w:line="278" w:lineRule="auto"/>
        <w:rPr>
          <w:rFonts w:ascii="Arial"/>
          <w:sz w:val="21"/>
        </w:rPr>
      </w:pPr>
    </w:p>
    <w:p w14:paraId="1735FE48">
      <w:pPr>
        <w:spacing w:before="62" w:line="361" w:lineRule="auto"/>
        <w:ind w:left="619" w:right="98"/>
        <w:jc w:val="both"/>
        <w:rPr>
          <w:rFonts w:ascii="宋体" w:hAnsi="宋体" w:eastAsia="宋体" w:cs="宋体"/>
          <w:sz w:val="19"/>
          <w:szCs w:val="19"/>
        </w:rPr>
      </w:pPr>
      <w:r>
        <w:rPr>
          <w:rFonts w:ascii="宋体" w:hAnsi="宋体" w:eastAsia="宋体" w:cs="宋体"/>
          <w:spacing w:val="2"/>
          <w:sz w:val="19"/>
          <w:szCs w:val="19"/>
        </w:rPr>
        <w:t>但究其本质仍然是先有暴露后有结局，研究方向依然是从因到果。该类研究具有省时、省力、出结</w:t>
      </w:r>
      <w:r>
        <w:rPr>
          <w:rFonts w:ascii="宋体" w:hAnsi="宋体" w:eastAsia="宋体" w:cs="宋体"/>
          <w:spacing w:val="14"/>
          <w:sz w:val="19"/>
          <w:szCs w:val="19"/>
        </w:rPr>
        <w:t xml:space="preserve"> </w:t>
      </w:r>
      <w:r>
        <w:rPr>
          <w:rFonts w:ascii="宋体" w:hAnsi="宋体" w:eastAsia="宋体" w:cs="宋体"/>
          <w:spacing w:val="3"/>
          <w:sz w:val="19"/>
          <w:szCs w:val="19"/>
        </w:rPr>
        <w:t>果快的特点。历史性队列研究仅在具备详细、</w:t>
      </w:r>
      <w:r>
        <w:rPr>
          <w:rFonts w:ascii="宋体" w:hAnsi="宋体" w:eastAsia="宋体" w:cs="宋体"/>
          <w:spacing w:val="2"/>
          <w:sz w:val="19"/>
          <w:szCs w:val="19"/>
        </w:rPr>
        <w:t>准确的历史资料的条件下适用，要求过去暴露和结局</w:t>
      </w:r>
      <w:r>
        <w:rPr>
          <w:rFonts w:ascii="宋体" w:hAnsi="宋体" w:eastAsia="宋体" w:cs="宋体"/>
          <w:sz w:val="19"/>
          <w:szCs w:val="19"/>
        </w:rPr>
        <w:t xml:space="preserve"> </w:t>
      </w:r>
      <w:r>
        <w:rPr>
          <w:rFonts w:ascii="宋体" w:hAnsi="宋体" w:eastAsia="宋体" w:cs="宋体"/>
          <w:spacing w:val="-6"/>
          <w:sz w:val="19"/>
          <w:szCs w:val="19"/>
        </w:rPr>
        <w:t>的信息完整、可靠，能满足研究需要。</w:t>
      </w:r>
    </w:p>
    <w:p w14:paraId="55AA8F16">
      <w:pPr>
        <w:pStyle w:val="2"/>
        <w:spacing w:before="26" w:line="222" w:lineRule="auto"/>
        <w:ind w:left="1009"/>
        <w:rPr>
          <w:sz w:val="19"/>
          <w:szCs w:val="19"/>
        </w:rPr>
      </w:pPr>
      <w:r>
        <w:rPr>
          <w:spacing w:val="22"/>
          <w:sz w:val="19"/>
          <w:szCs w:val="19"/>
        </w:rPr>
        <w:t>(三)双向性队列研究</w:t>
      </w:r>
    </w:p>
    <w:p w14:paraId="4F247AFF">
      <w:pPr>
        <w:spacing w:before="132" w:line="361" w:lineRule="auto"/>
        <w:ind w:left="619" w:right="105" w:firstLine="389"/>
        <w:jc w:val="both"/>
        <w:rPr>
          <w:rFonts w:ascii="宋体" w:hAnsi="宋体" w:eastAsia="宋体" w:cs="宋体"/>
          <w:sz w:val="19"/>
          <w:szCs w:val="19"/>
        </w:rPr>
      </w:pPr>
      <w:r>
        <w:rPr>
          <w:rFonts w:ascii="宋体" w:hAnsi="宋体" w:eastAsia="宋体" w:cs="宋体"/>
          <w:spacing w:val="7"/>
          <w:sz w:val="19"/>
          <w:szCs w:val="19"/>
        </w:rPr>
        <w:t>双向性队列研究也称混合型队列研究，是将前瞻性队列研究与历史性队列研究结合起来的一</w:t>
      </w:r>
      <w:r>
        <w:rPr>
          <w:rFonts w:ascii="宋体" w:hAnsi="宋体" w:eastAsia="宋体" w:cs="宋体"/>
          <w:sz w:val="19"/>
          <w:szCs w:val="19"/>
        </w:rPr>
        <w:t xml:space="preserve"> </w:t>
      </w:r>
      <w:r>
        <w:rPr>
          <w:rFonts w:ascii="宋体" w:hAnsi="宋体" w:eastAsia="宋体" w:cs="宋体"/>
          <w:spacing w:val="2"/>
          <w:sz w:val="19"/>
          <w:szCs w:val="19"/>
        </w:rPr>
        <w:t>种设计模式，即在历史性队列研究的基础上，继续前瞻性观察一段时间。常是因为历史性队列研究</w:t>
      </w:r>
      <w:r>
        <w:rPr>
          <w:rFonts w:ascii="宋体" w:hAnsi="宋体" w:eastAsia="宋体" w:cs="宋体"/>
          <w:spacing w:val="13"/>
          <w:sz w:val="19"/>
          <w:szCs w:val="19"/>
        </w:rPr>
        <w:t xml:space="preserve"> </w:t>
      </w:r>
      <w:r>
        <w:rPr>
          <w:rFonts w:ascii="宋体" w:hAnsi="宋体" w:eastAsia="宋体" w:cs="宋体"/>
          <w:spacing w:val="-1"/>
          <w:sz w:val="19"/>
          <w:szCs w:val="19"/>
        </w:rPr>
        <w:t>追踪时间太短，结局还没有充分显现，需要</w:t>
      </w:r>
      <w:r>
        <w:rPr>
          <w:rFonts w:ascii="宋体" w:hAnsi="宋体" w:eastAsia="宋体" w:cs="宋体"/>
          <w:spacing w:val="-2"/>
          <w:sz w:val="19"/>
          <w:szCs w:val="19"/>
        </w:rPr>
        <w:t>继续前瞻性观察。</w:t>
      </w:r>
    </w:p>
    <w:p w14:paraId="0E44D056">
      <w:pPr>
        <w:pStyle w:val="2"/>
        <w:spacing w:before="223" w:line="221" w:lineRule="auto"/>
        <w:ind w:left="1009"/>
        <w:outlineLvl w:val="2"/>
        <w:rPr>
          <w:sz w:val="19"/>
          <w:szCs w:val="19"/>
        </w:rPr>
      </w:pPr>
      <w:bookmarkStart w:id="93" w:name="bookmark55"/>
      <w:bookmarkEnd w:id="93"/>
      <w:r>
        <w:rPr>
          <w:spacing w:val="-13"/>
          <w:sz w:val="19"/>
          <w:szCs w:val="19"/>
        </w:rPr>
        <w:t>五</w:t>
      </w:r>
      <w:r>
        <w:rPr>
          <w:spacing w:val="32"/>
          <w:sz w:val="19"/>
          <w:szCs w:val="19"/>
        </w:rPr>
        <w:t xml:space="preserve"> </w:t>
      </w:r>
      <w:r>
        <w:rPr>
          <w:spacing w:val="-13"/>
          <w:sz w:val="19"/>
          <w:szCs w:val="19"/>
        </w:rPr>
        <w:t>、不</w:t>
      </w:r>
      <w:r>
        <w:rPr>
          <w:spacing w:val="-26"/>
          <w:sz w:val="19"/>
          <w:szCs w:val="19"/>
        </w:rPr>
        <w:t xml:space="preserve"> </w:t>
      </w:r>
      <w:r>
        <w:rPr>
          <w:spacing w:val="-13"/>
          <w:sz w:val="19"/>
          <w:szCs w:val="19"/>
        </w:rPr>
        <w:t>同</w:t>
      </w:r>
      <w:r>
        <w:rPr>
          <w:spacing w:val="-38"/>
          <w:sz w:val="19"/>
          <w:szCs w:val="19"/>
        </w:rPr>
        <w:t xml:space="preserve"> </w:t>
      </w:r>
      <w:r>
        <w:rPr>
          <w:spacing w:val="-13"/>
          <w:sz w:val="19"/>
          <w:szCs w:val="19"/>
        </w:rPr>
        <w:t>研</w:t>
      </w:r>
      <w:r>
        <w:rPr>
          <w:spacing w:val="-37"/>
          <w:sz w:val="19"/>
          <w:szCs w:val="19"/>
        </w:rPr>
        <w:t xml:space="preserve"> </w:t>
      </w:r>
      <w:r>
        <w:rPr>
          <w:spacing w:val="-13"/>
          <w:sz w:val="19"/>
          <w:szCs w:val="19"/>
        </w:rPr>
        <w:t>究</w:t>
      </w:r>
      <w:r>
        <w:rPr>
          <w:spacing w:val="-29"/>
          <w:sz w:val="19"/>
          <w:szCs w:val="19"/>
        </w:rPr>
        <w:t xml:space="preserve"> </w:t>
      </w:r>
      <w:r>
        <w:rPr>
          <w:spacing w:val="-13"/>
          <w:sz w:val="19"/>
          <w:szCs w:val="19"/>
        </w:rPr>
        <w:t>类</w:t>
      </w:r>
      <w:r>
        <w:rPr>
          <w:spacing w:val="-32"/>
          <w:sz w:val="19"/>
          <w:szCs w:val="19"/>
        </w:rPr>
        <w:t xml:space="preserve"> </w:t>
      </w:r>
      <w:r>
        <w:rPr>
          <w:spacing w:val="-13"/>
          <w:sz w:val="19"/>
          <w:szCs w:val="19"/>
        </w:rPr>
        <w:t>型</w:t>
      </w:r>
      <w:r>
        <w:rPr>
          <w:spacing w:val="-25"/>
          <w:sz w:val="19"/>
          <w:szCs w:val="19"/>
        </w:rPr>
        <w:t xml:space="preserve"> </w:t>
      </w:r>
      <w:r>
        <w:rPr>
          <w:spacing w:val="-13"/>
          <w:sz w:val="19"/>
          <w:szCs w:val="19"/>
        </w:rPr>
        <w:t>的</w:t>
      </w:r>
      <w:r>
        <w:rPr>
          <w:spacing w:val="-33"/>
          <w:sz w:val="19"/>
          <w:szCs w:val="19"/>
        </w:rPr>
        <w:t xml:space="preserve"> </w:t>
      </w:r>
      <w:r>
        <w:rPr>
          <w:spacing w:val="-13"/>
          <w:sz w:val="19"/>
          <w:szCs w:val="19"/>
        </w:rPr>
        <w:t>选</w:t>
      </w:r>
      <w:r>
        <w:rPr>
          <w:spacing w:val="-33"/>
          <w:sz w:val="19"/>
          <w:szCs w:val="19"/>
        </w:rPr>
        <w:t xml:space="preserve"> </w:t>
      </w:r>
      <w:r>
        <w:rPr>
          <w:spacing w:val="-13"/>
          <w:sz w:val="19"/>
          <w:szCs w:val="19"/>
        </w:rPr>
        <w:t>用</w:t>
      </w:r>
      <w:r>
        <w:rPr>
          <w:spacing w:val="-35"/>
          <w:sz w:val="19"/>
          <w:szCs w:val="19"/>
        </w:rPr>
        <w:t xml:space="preserve"> </w:t>
      </w:r>
      <w:r>
        <w:rPr>
          <w:spacing w:val="-13"/>
          <w:sz w:val="19"/>
          <w:szCs w:val="19"/>
        </w:rPr>
        <w:t>原</w:t>
      </w:r>
      <w:r>
        <w:rPr>
          <w:spacing w:val="-36"/>
          <w:sz w:val="19"/>
          <w:szCs w:val="19"/>
        </w:rPr>
        <w:t xml:space="preserve"> </w:t>
      </w:r>
      <w:r>
        <w:rPr>
          <w:spacing w:val="-13"/>
          <w:sz w:val="19"/>
          <w:szCs w:val="19"/>
        </w:rPr>
        <w:t>则</w:t>
      </w:r>
    </w:p>
    <w:p w14:paraId="7548AA25">
      <w:pPr>
        <w:spacing w:before="303" w:line="219" w:lineRule="auto"/>
        <w:ind w:left="1009"/>
        <w:rPr>
          <w:rFonts w:ascii="宋体" w:hAnsi="宋体" w:eastAsia="宋体" w:cs="宋体"/>
          <w:sz w:val="19"/>
          <w:szCs w:val="19"/>
        </w:rPr>
      </w:pPr>
      <w:r>
        <w:rPr>
          <w:rFonts w:ascii="宋体" w:hAnsi="宋体" w:eastAsia="宋体" w:cs="宋体"/>
          <w:sz w:val="19"/>
          <w:szCs w:val="19"/>
        </w:rPr>
        <w:t>依据不同类型队列研究的优缺点，在实施队列</w:t>
      </w:r>
      <w:r>
        <w:rPr>
          <w:rFonts w:ascii="宋体" w:hAnsi="宋体" w:eastAsia="宋体" w:cs="宋体"/>
          <w:spacing w:val="-1"/>
          <w:sz w:val="19"/>
          <w:szCs w:val="19"/>
        </w:rPr>
        <w:t>研究时，应根据具体情况审慎选择。</w:t>
      </w:r>
    </w:p>
    <w:p w14:paraId="0311D8EE">
      <w:pPr>
        <w:pStyle w:val="2"/>
        <w:spacing w:before="134" w:line="331" w:lineRule="auto"/>
        <w:ind w:left="619" w:right="99" w:firstLine="389"/>
        <w:rPr>
          <w:rFonts w:ascii="宋体" w:hAnsi="宋体" w:eastAsia="宋体" w:cs="宋体"/>
          <w:sz w:val="19"/>
          <w:szCs w:val="19"/>
        </w:rPr>
      </w:pPr>
      <w:r>
        <w:rPr>
          <w:rFonts w:ascii="宋体" w:hAnsi="宋体" w:eastAsia="宋体" w:cs="宋体"/>
          <w:spacing w:val="2"/>
          <w:sz w:val="19"/>
          <w:szCs w:val="19"/>
        </w:rPr>
        <w:t xml:space="preserve">1. </w:t>
      </w:r>
      <w:r>
        <w:rPr>
          <w:spacing w:val="2"/>
          <w:sz w:val="19"/>
          <w:szCs w:val="19"/>
        </w:rPr>
        <w:t xml:space="preserve">前瞻性队列研究 </w:t>
      </w:r>
      <w:r>
        <w:rPr>
          <w:rFonts w:ascii="宋体" w:hAnsi="宋体" w:eastAsia="宋体" w:cs="宋体"/>
          <w:spacing w:val="2"/>
          <w:sz w:val="19"/>
          <w:szCs w:val="19"/>
        </w:rPr>
        <w:t>选择前瞻性队列研究时，应重点考虑：①有明确的检验假设，检验的暴露</w:t>
      </w:r>
      <w:r>
        <w:rPr>
          <w:rFonts w:ascii="宋体" w:hAnsi="宋体" w:eastAsia="宋体" w:cs="宋体"/>
          <w:spacing w:val="1"/>
          <w:sz w:val="19"/>
          <w:szCs w:val="19"/>
        </w:rPr>
        <w:t xml:space="preserve"> </w:t>
      </w:r>
      <w:r>
        <w:rPr>
          <w:rFonts w:ascii="宋体" w:hAnsi="宋体" w:eastAsia="宋体" w:cs="宋体"/>
          <w:spacing w:val="2"/>
          <w:sz w:val="19"/>
          <w:szCs w:val="19"/>
        </w:rPr>
        <w:t>因素必须找准；②研究结局的发生率较高，否则需要很大样本量和较长随访时间；③暴露因素的测</w:t>
      </w:r>
      <w:r>
        <w:rPr>
          <w:rFonts w:ascii="宋体" w:hAnsi="宋体" w:eastAsia="宋体" w:cs="宋体"/>
          <w:spacing w:val="18"/>
          <w:sz w:val="19"/>
          <w:szCs w:val="19"/>
        </w:rPr>
        <w:t xml:space="preserve"> </w:t>
      </w:r>
      <w:r>
        <w:rPr>
          <w:rFonts w:ascii="宋体" w:hAnsi="宋体" w:eastAsia="宋体" w:cs="宋体"/>
          <w:spacing w:val="2"/>
          <w:sz w:val="19"/>
          <w:szCs w:val="19"/>
        </w:rPr>
        <w:t>量应明确，并且有把握获得观察人群的暴露资料；④结局变量应明确，并且有确定结局的简便而可</w:t>
      </w:r>
      <w:r>
        <w:rPr>
          <w:rFonts w:ascii="宋体" w:hAnsi="宋体" w:eastAsia="宋体" w:cs="宋体"/>
          <w:spacing w:val="11"/>
          <w:sz w:val="19"/>
          <w:szCs w:val="19"/>
        </w:rPr>
        <w:t xml:space="preserve"> </w:t>
      </w:r>
      <w:r>
        <w:rPr>
          <w:rFonts w:ascii="宋体" w:hAnsi="宋体" w:eastAsia="宋体" w:cs="宋体"/>
          <w:spacing w:val="2"/>
          <w:sz w:val="19"/>
          <w:szCs w:val="19"/>
        </w:rPr>
        <w:t>靠的方法；⑤有足够的观察人群，并能清晰地分成暴露组与非暴露组；⑥大部分观察人群应能被随</w:t>
      </w:r>
      <w:r>
        <w:rPr>
          <w:rFonts w:ascii="宋体" w:hAnsi="宋体" w:eastAsia="宋体" w:cs="宋体"/>
          <w:spacing w:val="13"/>
          <w:sz w:val="19"/>
          <w:szCs w:val="19"/>
        </w:rPr>
        <w:t xml:space="preserve"> </w:t>
      </w:r>
      <w:r>
        <w:rPr>
          <w:rFonts w:ascii="宋体" w:hAnsi="宋体" w:eastAsia="宋体" w:cs="宋体"/>
          <w:spacing w:val="-4"/>
          <w:sz w:val="19"/>
          <w:szCs w:val="19"/>
        </w:rPr>
        <w:t>访到研究结束，并取得完整可靠的资料；⑦应有足够的人力、财力、物力支持该项工作。</w:t>
      </w:r>
    </w:p>
    <w:p w14:paraId="6827BD8E">
      <w:pPr>
        <w:pStyle w:val="2"/>
        <w:spacing w:before="168" w:line="317" w:lineRule="auto"/>
        <w:ind w:left="619" w:right="106" w:firstLine="389"/>
        <w:rPr>
          <w:rFonts w:ascii="宋体" w:hAnsi="宋体" w:eastAsia="宋体" w:cs="宋体"/>
          <w:sz w:val="19"/>
          <w:szCs w:val="19"/>
        </w:rPr>
      </w:pPr>
      <w:r>
        <w:rPr>
          <w:rFonts w:ascii="宋体" w:hAnsi="宋体" w:eastAsia="宋体" w:cs="宋体"/>
          <w:spacing w:val="4"/>
          <w:sz w:val="19"/>
          <w:szCs w:val="19"/>
        </w:rPr>
        <w:t xml:space="preserve">2. </w:t>
      </w:r>
      <w:r>
        <w:rPr>
          <w:spacing w:val="4"/>
          <w:sz w:val="19"/>
          <w:szCs w:val="19"/>
        </w:rPr>
        <w:t xml:space="preserve">历史性队列研究  </w:t>
      </w:r>
      <w:r>
        <w:rPr>
          <w:rFonts w:ascii="宋体" w:hAnsi="宋体" w:eastAsia="宋体" w:cs="宋体"/>
          <w:spacing w:val="4"/>
          <w:sz w:val="19"/>
          <w:szCs w:val="19"/>
        </w:rPr>
        <w:t>选择历史性队列研究时，除应考虑前瞻性队列研究中的①到⑤点外，还</w:t>
      </w:r>
      <w:r>
        <w:rPr>
          <w:rFonts w:ascii="宋体" w:hAnsi="宋体" w:eastAsia="宋体" w:cs="宋体"/>
          <w:spacing w:val="10"/>
          <w:sz w:val="19"/>
          <w:szCs w:val="19"/>
        </w:rPr>
        <w:t xml:space="preserve"> </w:t>
      </w:r>
      <w:r>
        <w:rPr>
          <w:rFonts w:ascii="宋体" w:hAnsi="宋体" w:eastAsia="宋体" w:cs="宋体"/>
          <w:spacing w:val="7"/>
          <w:sz w:val="19"/>
          <w:szCs w:val="19"/>
        </w:rPr>
        <w:t>应考虑在过去某段时间内是否有足够数量、完整可靠的有关研究对象的暴露和结</w:t>
      </w:r>
      <w:r>
        <w:rPr>
          <w:rFonts w:ascii="宋体" w:hAnsi="宋体" w:eastAsia="宋体" w:cs="宋体"/>
          <w:spacing w:val="6"/>
          <w:sz w:val="19"/>
          <w:szCs w:val="19"/>
        </w:rPr>
        <w:t>局的历史记录或</w:t>
      </w:r>
      <w:r>
        <w:rPr>
          <w:rFonts w:ascii="宋体" w:hAnsi="宋体" w:eastAsia="宋体" w:cs="宋体"/>
          <w:sz w:val="19"/>
          <w:szCs w:val="19"/>
        </w:rPr>
        <w:t xml:space="preserve"> 档案材料，如医院的病历、个人的医疗档案及企业/工厂的各种记录等。只有</w:t>
      </w:r>
      <w:r>
        <w:rPr>
          <w:rFonts w:ascii="宋体" w:hAnsi="宋体" w:eastAsia="宋体" w:cs="宋体"/>
          <w:spacing w:val="-1"/>
          <w:sz w:val="19"/>
          <w:szCs w:val="19"/>
        </w:rPr>
        <w:t>具备上述条件，历史性</w:t>
      </w:r>
      <w:r>
        <w:rPr>
          <w:rFonts w:ascii="宋体" w:hAnsi="宋体" w:eastAsia="宋体" w:cs="宋体"/>
          <w:sz w:val="19"/>
          <w:szCs w:val="19"/>
        </w:rPr>
        <w:t xml:space="preserve"> </w:t>
      </w:r>
      <w:r>
        <w:rPr>
          <w:rFonts w:ascii="宋体" w:hAnsi="宋体" w:eastAsia="宋体" w:cs="宋体"/>
          <w:spacing w:val="3"/>
          <w:sz w:val="19"/>
          <w:szCs w:val="19"/>
        </w:rPr>
        <w:t>队列研究才是可行的。</w:t>
      </w:r>
    </w:p>
    <w:p w14:paraId="1A3E7F11">
      <w:pPr>
        <w:pStyle w:val="2"/>
        <w:spacing w:before="145" w:line="319" w:lineRule="auto"/>
        <w:ind w:left="619" w:right="85" w:firstLine="389"/>
        <w:rPr>
          <w:rFonts w:ascii="宋体" w:hAnsi="宋体" w:eastAsia="宋体" w:cs="宋体"/>
          <w:sz w:val="19"/>
          <w:szCs w:val="19"/>
        </w:rPr>
      </w:pPr>
      <w:r>
        <w:rPr>
          <w:rFonts w:ascii="宋体" w:hAnsi="宋体" w:eastAsia="宋体" w:cs="宋体"/>
          <w:spacing w:val="5"/>
          <w:sz w:val="19"/>
          <w:szCs w:val="19"/>
        </w:rPr>
        <w:t>3.</w:t>
      </w:r>
      <w:r>
        <w:rPr>
          <w:rFonts w:ascii="宋体" w:hAnsi="宋体" w:eastAsia="宋体" w:cs="宋体"/>
          <w:sz w:val="19"/>
          <w:szCs w:val="19"/>
        </w:rPr>
        <w:t xml:space="preserve"> </w:t>
      </w:r>
      <w:r>
        <w:rPr>
          <w:spacing w:val="5"/>
          <w:sz w:val="19"/>
          <w:szCs w:val="19"/>
        </w:rPr>
        <w:t>双向性队列研究</w:t>
      </w:r>
      <w:r>
        <w:rPr>
          <w:spacing w:val="1"/>
          <w:sz w:val="19"/>
          <w:szCs w:val="19"/>
        </w:rPr>
        <w:t xml:space="preserve">  </w:t>
      </w:r>
      <w:r>
        <w:rPr>
          <w:rFonts w:ascii="宋体" w:hAnsi="宋体" w:eastAsia="宋体" w:cs="宋体"/>
          <w:spacing w:val="5"/>
          <w:sz w:val="19"/>
          <w:szCs w:val="19"/>
        </w:rPr>
        <w:t>当具备进行历史性队列研究的条件，但从暴露到现在的观察时间还不能</w:t>
      </w:r>
      <w:r>
        <w:rPr>
          <w:rFonts w:ascii="宋体" w:hAnsi="宋体" w:eastAsia="宋体" w:cs="宋体"/>
          <w:spacing w:val="1"/>
          <w:sz w:val="19"/>
          <w:szCs w:val="19"/>
        </w:rPr>
        <w:t xml:space="preserve"> </w:t>
      </w:r>
      <w:r>
        <w:rPr>
          <w:rFonts w:ascii="宋体" w:hAnsi="宋体" w:eastAsia="宋体" w:cs="宋体"/>
          <w:spacing w:val="3"/>
          <w:sz w:val="19"/>
          <w:szCs w:val="19"/>
        </w:rPr>
        <w:t>满足研究的需要时，如结局事件还没有发生或发生例数还不足够开展分析，</w:t>
      </w:r>
      <w:r>
        <w:rPr>
          <w:rFonts w:ascii="宋体" w:hAnsi="宋体" w:eastAsia="宋体" w:cs="宋体"/>
          <w:spacing w:val="2"/>
          <w:sz w:val="19"/>
          <w:szCs w:val="19"/>
        </w:rPr>
        <w:t>还需继续前瞻性观察一</w:t>
      </w:r>
      <w:r>
        <w:rPr>
          <w:rFonts w:ascii="宋体" w:hAnsi="宋体" w:eastAsia="宋体" w:cs="宋体"/>
          <w:sz w:val="19"/>
          <w:szCs w:val="19"/>
        </w:rPr>
        <w:t xml:space="preserve"> </w:t>
      </w:r>
      <w:r>
        <w:rPr>
          <w:rFonts w:ascii="宋体" w:hAnsi="宋体" w:eastAsia="宋体" w:cs="宋体"/>
          <w:spacing w:val="-1"/>
          <w:sz w:val="19"/>
          <w:szCs w:val="19"/>
        </w:rPr>
        <w:t>段时间，则选用双向性队列研究。</w:t>
      </w:r>
    </w:p>
    <w:p w14:paraId="21824B09">
      <w:pPr>
        <w:spacing w:line="259" w:lineRule="auto"/>
        <w:rPr>
          <w:rFonts w:ascii="Arial"/>
          <w:sz w:val="21"/>
        </w:rPr>
      </w:pPr>
    </w:p>
    <w:p w14:paraId="241654B2">
      <w:pPr>
        <w:spacing w:line="260" w:lineRule="auto"/>
        <w:rPr>
          <w:rFonts w:ascii="Arial"/>
          <w:sz w:val="21"/>
        </w:rPr>
      </w:pPr>
    </w:p>
    <w:p w14:paraId="2EF449AD">
      <w:pPr>
        <w:pStyle w:val="2"/>
        <w:spacing w:before="92" w:line="222" w:lineRule="auto"/>
        <w:ind w:left="3274"/>
        <w:outlineLvl w:val="1"/>
        <w:rPr>
          <w:sz w:val="28"/>
          <w:szCs w:val="28"/>
        </w:rPr>
      </w:pPr>
      <w:bookmarkStart w:id="94" w:name="bookmark56"/>
      <w:bookmarkEnd w:id="94"/>
      <w:r>
        <w:rPr>
          <w:b/>
          <w:bCs/>
          <w:spacing w:val="-8"/>
          <w:sz w:val="28"/>
          <w:szCs w:val="28"/>
        </w:rPr>
        <w:t>第二节</w:t>
      </w:r>
      <w:r>
        <w:rPr>
          <w:spacing w:val="101"/>
          <w:sz w:val="28"/>
          <w:szCs w:val="28"/>
        </w:rPr>
        <w:t xml:space="preserve"> </w:t>
      </w:r>
      <w:r>
        <w:rPr>
          <w:b/>
          <w:bCs/>
          <w:spacing w:val="-8"/>
          <w:sz w:val="28"/>
          <w:szCs w:val="28"/>
        </w:rPr>
        <w:t>研究设计与实施</w:t>
      </w:r>
    </w:p>
    <w:p w14:paraId="32BC047B">
      <w:pPr>
        <w:spacing w:line="392" w:lineRule="auto"/>
        <w:rPr>
          <w:rFonts w:ascii="Arial"/>
          <w:sz w:val="21"/>
        </w:rPr>
      </w:pPr>
    </w:p>
    <w:p w14:paraId="6E8668AF">
      <w:pPr>
        <w:pStyle w:val="2"/>
        <w:spacing w:before="78" w:line="222" w:lineRule="auto"/>
        <w:ind w:left="1013"/>
        <w:outlineLvl w:val="2"/>
        <w:rPr>
          <w:sz w:val="24"/>
          <w:szCs w:val="24"/>
        </w:rPr>
      </w:pPr>
      <w:bookmarkStart w:id="95" w:name="bookmark57"/>
      <w:bookmarkEnd w:id="95"/>
      <w:r>
        <w:rPr>
          <w:b/>
          <w:bCs/>
          <w:spacing w:val="-14"/>
          <w:sz w:val="24"/>
          <w:szCs w:val="24"/>
        </w:rPr>
        <w:t>一</w:t>
      </w:r>
      <w:r>
        <w:rPr>
          <w:spacing w:val="-66"/>
          <w:sz w:val="24"/>
          <w:szCs w:val="24"/>
        </w:rPr>
        <w:t xml:space="preserve"> </w:t>
      </w:r>
      <w:r>
        <w:rPr>
          <w:b/>
          <w:bCs/>
          <w:spacing w:val="-14"/>
          <w:sz w:val="24"/>
          <w:szCs w:val="24"/>
        </w:rPr>
        <w:t>、确定研究因素</w:t>
      </w:r>
    </w:p>
    <w:p w14:paraId="10ECF3F3">
      <w:pPr>
        <w:spacing w:before="281" w:line="360" w:lineRule="auto"/>
        <w:ind w:left="619" w:right="54" w:firstLine="389"/>
        <w:jc w:val="both"/>
        <w:rPr>
          <w:rFonts w:ascii="宋体" w:hAnsi="宋体" w:eastAsia="宋体" w:cs="宋体"/>
          <w:sz w:val="19"/>
          <w:szCs w:val="19"/>
        </w:rPr>
      </w:pPr>
      <w:r>
        <w:rPr>
          <w:rFonts w:ascii="宋体" w:hAnsi="宋体" w:eastAsia="宋体" w:cs="宋体"/>
          <w:spacing w:val="3"/>
          <w:sz w:val="19"/>
          <w:szCs w:val="19"/>
        </w:rPr>
        <w:t>队列研究是一项费时、费力、费钱的研究，研究因素确定</w:t>
      </w:r>
      <w:r>
        <w:rPr>
          <w:rFonts w:ascii="宋体" w:hAnsi="宋体" w:eastAsia="宋体" w:cs="宋体"/>
          <w:spacing w:val="2"/>
          <w:sz w:val="19"/>
          <w:szCs w:val="19"/>
        </w:rPr>
        <w:t>至关重要。研究因素(暴露因素)通常</w:t>
      </w:r>
      <w:r>
        <w:rPr>
          <w:rFonts w:ascii="宋体" w:hAnsi="宋体" w:eastAsia="宋体" w:cs="宋体"/>
          <w:sz w:val="19"/>
          <w:szCs w:val="19"/>
        </w:rPr>
        <w:t xml:space="preserve"> </w:t>
      </w:r>
      <w:r>
        <w:rPr>
          <w:rFonts w:ascii="宋体" w:hAnsi="宋体" w:eastAsia="宋体" w:cs="宋体"/>
          <w:spacing w:val="8"/>
          <w:sz w:val="19"/>
          <w:szCs w:val="19"/>
        </w:rPr>
        <w:t>是在前期描述性研究提供的病因线索和病例对照研究初步检验病因假设的基础上确定的。研究中</w:t>
      </w:r>
      <w:r>
        <w:rPr>
          <w:rFonts w:ascii="宋体" w:hAnsi="宋体" w:eastAsia="宋体" w:cs="宋体"/>
          <w:spacing w:val="3"/>
          <w:sz w:val="19"/>
          <w:szCs w:val="19"/>
        </w:rPr>
        <w:t xml:space="preserve"> </w:t>
      </w:r>
      <w:r>
        <w:rPr>
          <w:rFonts w:ascii="宋体" w:hAnsi="宋体" w:eastAsia="宋体" w:cs="宋体"/>
          <w:spacing w:val="2"/>
          <w:sz w:val="19"/>
          <w:szCs w:val="19"/>
        </w:rPr>
        <w:t>要考虑如何选择、定义和测量暴露因素。</w:t>
      </w:r>
      <w:r>
        <w:rPr>
          <w:rFonts w:ascii="宋体" w:hAnsi="宋体" w:eastAsia="宋体" w:cs="宋体"/>
          <w:spacing w:val="-27"/>
          <w:sz w:val="19"/>
          <w:szCs w:val="19"/>
        </w:rPr>
        <w:t xml:space="preserve"> </w:t>
      </w:r>
      <w:r>
        <w:rPr>
          <w:rFonts w:ascii="宋体" w:hAnsi="宋体" w:eastAsia="宋体" w:cs="宋体"/>
          <w:spacing w:val="2"/>
          <w:sz w:val="19"/>
          <w:szCs w:val="19"/>
        </w:rPr>
        <w:t>一般对暴露因素测量时，除应</w:t>
      </w:r>
      <w:r>
        <w:rPr>
          <w:rFonts w:ascii="宋体" w:hAnsi="宋体" w:eastAsia="宋体" w:cs="宋体"/>
          <w:spacing w:val="1"/>
          <w:sz w:val="19"/>
          <w:szCs w:val="19"/>
        </w:rPr>
        <w:t>考虑暴露水平外，还应考虑</w:t>
      </w:r>
      <w:r>
        <w:rPr>
          <w:rFonts w:ascii="宋体" w:hAnsi="宋体" w:eastAsia="宋体" w:cs="宋体"/>
          <w:sz w:val="19"/>
          <w:szCs w:val="19"/>
        </w:rPr>
        <w:t xml:space="preserve"> </w:t>
      </w:r>
      <w:r>
        <w:rPr>
          <w:rFonts w:ascii="宋体" w:hAnsi="宋体" w:eastAsia="宋体" w:cs="宋体"/>
          <w:spacing w:val="-8"/>
          <w:sz w:val="19"/>
          <w:szCs w:val="19"/>
        </w:rPr>
        <w:t>暴露时间、暴露方式，采用敏感、准确、可靠的测量方法。</w:t>
      </w:r>
    </w:p>
    <w:p w14:paraId="0A810BD0">
      <w:pPr>
        <w:spacing w:before="1" w:line="352" w:lineRule="auto"/>
        <w:ind w:left="619" w:right="100" w:firstLine="389"/>
        <w:rPr>
          <w:rFonts w:ascii="宋体" w:hAnsi="宋体" w:eastAsia="宋体" w:cs="宋体"/>
          <w:sz w:val="19"/>
          <w:szCs w:val="19"/>
        </w:rPr>
      </w:pPr>
      <w:r>
        <w:rPr>
          <w:rFonts w:ascii="宋体" w:hAnsi="宋体" w:eastAsia="宋体" w:cs="宋体"/>
          <w:spacing w:val="2"/>
          <w:sz w:val="19"/>
          <w:szCs w:val="19"/>
        </w:rPr>
        <w:t>此外，除要确定研究的暴露因素外，还应同时收集受试对象的社会人口学特征以及各种可疑的</w:t>
      </w:r>
      <w:r>
        <w:rPr>
          <w:rFonts w:ascii="宋体" w:hAnsi="宋体" w:eastAsia="宋体" w:cs="宋体"/>
          <w:spacing w:val="12"/>
          <w:sz w:val="19"/>
          <w:szCs w:val="19"/>
        </w:rPr>
        <w:t xml:space="preserve"> </w:t>
      </w:r>
      <w:r>
        <w:rPr>
          <w:rFonts w:ascii="宋体" w:hAnsi="宋体" w:eastAsia="宋体" w:cs="宋体"/>
          <w:spacing w:val="-1"/>
          <w:sz w:val="19"/>
          <w:szCs w:val="19"/>
        </w:rPr>
        <w:t>混杂因素，以便分析时排除混杂偏倚的影响。</w:t>
      </w:r>
    </w:p>
    <w:p w14:paraId="4CF4A2C6">
      <w:pPr>
        <w:pStyle w:val="2"/>
        <w:spacing w:before="162" w:line="222" w:lineRule="auto"/>
        <w:ind w:left="1013"/>
        <w:outlineLvl w:val="2"/>
        <w:rPr>
          <w:sz w:val="24"/>
          <w:szCs w:val="24"/>
        </w:rPr>
      </w:pPr>
      <w:bookmarkStart w:id="96" w:name="bookmark58"/>
      <w:bookmarkEnd w:id="96"/>
      <w:r>
        <w:rPr>
          <w:b/>
          <w:bCs/>
          <w:spacing w:val="-11"/>
          <w:sz w:val="24"/>
          <w:szCs w:val="24"/>
        </w:rPr>
        <w:t>二、确定研究结局</w:t>
      </w:r>
    </w:p>
    <w:p w14:paraId="6ED7C369">
      <w:pPr>
        <w:spacing w:before="304" w:line="342" w:lineRule="auto"/>
        <w:ind w:left="619" w:firstLine="389"/>
        <w:rPr>
          <w:rFonts w:ascii="宋体" w:hAnsi="宋体" w:eastAsia="宋体" w:cs="宋体"/>
          <w:sz w:val="19"/>
          <w:szCs w:val="19"/>
        </w:rPr>
      </w:pPr>
      <w:r>
        <w:rPr>
          <w:rFonts w:ascii="宋体" w:hAnsi="宋体" w:eastAsia="宋体" w:cs="宋体"/>
          <w:spacing w:val="5"/>
          <w:sz w:val="19"/>
          <w:szCs w:val="19"/>
        </w:rPr>
        <w:t>研究结局也称结局变量，是指随访观察中预期出现的结果，也是研究</w:t>
      </w:r>
      <w:r>
        <w:rPr>
          <w:rFonts w:ascii="宋体" w:hAnsi="宋体" w:eastAsia="宋体" w:cs="宋体"/>
          <w:spacing w:val="4"/>
          <w:sz w:val="19"/>
          <w:szCs w:val="19"/>
        </w:rPr>
        <w:t>者希望追踪观察的事件。</w:t>
      </w:r>
      <w:r>
        <w:rPr>
          <w:rFonts w:ascii="宋体" w:hAnsi="宋体" w:eastAsia="宋体" w:cs="宋体"/>
          <w:sz w:val="19"/>
          <w:szCs w:val="19"/>
        </w:rPr>
        <w:t xml:space="preserve"> </w:t>
      </w:r>
      <w:r>
        <w:rPr>
          <w:rFonts w:ascii="宋体" w:hAnsi="宋体" w:eastAsia="宋体" w:cs="宋体"/>
          <w:spacing w:val="3"/>
          <w:sz w:val="19"/>
          <w:szCs w:val="19"/>
        </w:rPr>
        <w:t>结局是队列研究观察的自然终点。</w:t>
      </w:r>
    </w:p>
    <w:p w14:paraId="5092F717">
      <w:pPr>
        <w:spacing w:before="16" w:line="358" w:lineRule="auto"/>
        <w:ind w:left="619" w:right="48" w:firstLine="389"/>
        <w:rPr>
          <w:rFonts w:ascii="宋体" w:hAnsi="宋体" w:eastAsia="宋体" w:cs="宋体"/>
          <w:sz w:val="19"/>
          <w:szCs w:val="19"/>
        </w:rPr>
      </w:pPr>
      <w:r>
        <w:rPr>
          <w:rFonts w:ascii="宋体" w:hAnsi="宋体" w:eastAsia="宋体" w:cs="宋体"/>
          <w:spacing w:val="-1"/>
          <w:sz w:val="19"/>
          <w:szCs w:val="19"/>
        </w:rPr>
        <w:t>研究结局的确定应全面、具体、客观，可以不仅限于发病、死亡，也可以是健康状况和生命</w:t>
      </w:r>
      <w:r>
        <w:rPr>
          <w:rFonts w:ascii="宋体" w:hAnsi="宋体" w:eastAsia="宋体" w:cs="宋体"/>
          <w:spacing w:val="-2"/>
          <w:sz w:val="19"/>
          <w:szCs w:val="19"/>
        </w:rPr>
        <w:t>质量</w:t>
      </w:r>
      <w:r>
        <w:rPr>
          <w:rFonts w:ascii="宋体" w:hAnsi="宋体" w:eastAsia="宋体" w:cs="宋体"/>
          <w:sz w:val="19"/>
          <w:szCs w:val="19"/>
        </w:rPr>
        <w:t xml:space="preserve"> </w:t>
      </w:r>
      <w:r>
        <w:rPr>
          <w:rFonts w:ascii="宋体" w:hAnsi="宋体" w:eastAsia="宋体" w:cs="宋体"/>
          <w:spacing w:val="5"/>
          <w:sz w:val="19"/>
          <w:szCs w:val="19"/>
        </w:rPr>
        <w:t>等的变化；既可以是最终的结果(如发病或死亡),也可以是中间结局</w:t>
      </w:r>
      <w:r>
        <w:rPr>
          <w:rFonts w:ascii="宋体" w:hAnsi="宋体" w:eastAsia="宋体" w:cs="宋体"/>
          <w:spacing w:val="4"/>
          <w:sz w:val="19"/>
          <w:szCs w:val="19"/>
        </w:rPr>
        <w:t>(如生物指标的变化)。结局变</w:t>
      </w:r>
    </w:p>
    <w:p w14:paraId="35FDD2DF">
      <w:pPr>
        <w:spacing w:line="358" w:lineRule="auto"/>
        <w:rPr>
          <w:rFonts w:ascii="宋体" w:hAnsi="宋体" w:eastAsia="宋体" w:cs="宋体"/>
          <w:sz w:val="19"/>
          <w:szCs w:val="19"/>
        </w:rPr>
        <w:sectPr>
          <w:footerReference r:id="rId82" w:type="default"/>
          <w:pgSz w:w="11900" w:h="16820"/>
          <w:pgMar w:top="400" w:right="1734" w:bottom="872" w:left="1170" w:header="0" w:footer="701" w:gutter="0"/>
          <w:cols w:space="720" w:num="1"/>
        </w:sectPr>
      </w:pPr>
    </w:p>
    <w:p w14:paraId="2A99CF3F">
      <w:pPr>
        <w:spacing w:line="307" w:lineRule="auto"/>
        <w:rPr>
          <w:rFonts w:ascii="Arial"/>
          <w:sz w:val="21"/>
        </w:rPr>
      </w:pPr>
    </w:p>
    <w:p w14:paraId="03E45B45">
      <w:pPr>
        <w:pStyle w:val="2"/>
        <w:spacing w:before="68" w:line="222" w:lineRule="auto"/>
        <w:ind w:left="7860"/>
        <w:rPr>
          <w:sz w:val="21"/>
          <w:szCs w:val="21"/>
        </w:rPr>
      </w:pPr>
      <w:r>
        <w:rPr>
          <w:spacing w:val="-19"/>
          <w:sz w:val="21"/>
          <w:szCs w:val="21"/>
        </w:rPr>
        <w:t>第四章</w:t>
      </w:r>
      <w:r>
        <w:rPr>
          <w:spacing w:val="7"/>
          <w:sz w:val="21"/>
          <w:szCs w:val="21"/>
        </w:rPr>
        <w:t xml:space="preserve"> </w:t>
      </w:r>
      <w:r>
        <w:rPr>
          <w:spacing w:val="-19"/>
          <w:sz w:val="21"/>
          <w:szCs w:val="21"/>
        </w:rPr>
        <w:t>队列研究</w:t>
      </w:r>
    </w:p>
    <w:p w14:paraId="0A8D6B2F">
      <w:pPr>
        <w:spacing w:line="256" w:lineRule="auto"/>
        <w:rPr>
          <w:rFonts w:ascii="Arial"/>
          <w:sz w:val="21"/>
        </w:rPr>
      </w:pPr>
    </w:p>
    <w:p w14:paraId="553A07C8">
      <w:pPr>
        <w:spacing w:line="257" w:lineRule="auto"/>
        <w:rPr>
          <w:rFonts w:ascii="Arial"/>
          <w:sz w:val="21"/>
        </w:rPr>
      </w:pPr>
    </w:p>
    <w:p w14:paraId="4C893E02">
      <w:pPr>
        <w:spacing w:before="68" w:line="318" w:lineRule="auto"/>
        <w:ind w:right="685"/>
        <w:rPr>
          <w:rFonts w:ascii="宋体" w:hAnsi="宋体" w:eastAsia="宋体" w:cs="宋体"/>
          <w:sz w:val="21"/>
          <w:szCs w:val="21"/>
        </w:rPr>
      </w:pPr>
      <w:r>
        <w:rPr>
          <w:rFonts w:ascii="宋体" w:hAnsi="宋体" w:eastAsia="宋体" w:cs="宋体"/>
          <w:spacing w:val="10"/>
          <w:sz w:val="21"/>
          <w:szCs w:val="21"/>
        </w:rPr>
        <w:t>量可以是定性的，也可以是定量的；结局既可以是负面的(如疾病发生),也可以是正面的(如疾病</w:t>
      </w:r>
      <w:r>
        <w:rPr>
          <w:rFonts w:ascii="宋体" w:hAnsi="宋体" w:eastAsia="宋体" w:cs="宋体"/>
          <w:spacing w:val="13"/>
          <w:sz w:val="21"/>
          <w:szCs w:val="21"/>
        </w:rPr>
        <w:t xml:space="preserve"> </w:t>
      </w:r>
      <w:r>
        <w:rPr>
          <w:rFonts w:ascii="宋体" w:hAnsi="宋体" w:eastAsia="宋体" w:cs="宋体"/>
          <w:spacing w:val="2"/>
          <w:sz w:val="21"/>
          <w:szCs w:val="21"/>
        </w:rPr>
        <w:t>康复)。</w:t>
      </w:r>
    </w:p>
    <w:p w14:paraId="5406A02A">
      <w:pPr>
        <w:spacing w:before="2" w:line="317" w:lineRule="auto"/>
        <w:ind w:right="683" w:firstLine="420"/>
        <w:jc w:val="both"/>
        <w:rPr>
          <w:rFonts w:ascii="宋体" w:hAnsi="宋体" w:eastAsia="宋体" w:cs="宋体"/>
          <w:sz w:val="21"/>
          <w:szCs w:val="21"/>
        </w:rPr>
      </w:pPr>
      <w:r>
        <w:rPr>
          <w:rFonts w:ascii="宋体" w:hAnsi="宋体" w:eastAsia="宋体" w:cs="宋体"/>
          <w:spacing w:val="6"/>
          <w:sz w:val="21"/>
          <w:szCs w:val="21"/>
        </w:rPr>
        <w:t>结局变量的测定，应给出明确统一的标准，并在研究的全过程中严格遵守。</w:t>
      </w:r>
      <w:r>
        <w:rPr>
          <w:rFonts w:ascii="宋体" w:hAnsi="宋体" w:eastAsia="宋体" w:cs="宋体"/>
          <w:spacing w:val="5"/>
          <w:sz w:val="21"/>
          <w:szCs w:val="21"/>
        </w:rPr>
        <w:t>考虑疾病诊断标准</w:t>
      </w:r>
      <w:r>
        <w:rPr>
          <w:rFonts w:ascii="宋体" w:hAnsi="宋体" w:eastAsia="宋体" w:cs="宋体"/>
          <w:sz w:val="21"/>
          <w:szCs w:val="21"/>
        </w:rPr>
        <w:t xml:space="preserve"> </w:t>
      </w:r>
      <w:r>
        <w:rPr>
          <w:rFonts w:ascii="宋体" w:hAnsi="宋体" w:eastAsia="宋体" w:cs="宋体"/>
          <w:spacing w:val="1"/>
          <w:sz w:val="21"/>
          <w:szCs w:val="21"/>
        </w:rPr>
        <w:t>时要注意一种疾病往往有多种表现，轻型和重型，不典型和典型，急性和慢性等</w:t>
      </w:r>
      <w:r>
        <w:rPr>
          <w:rFonts w:ascii="宋体" w:hAnsi="宋体" w:eastAsia="宋体" w:cs="宋体"/>
          <w:sz w:val="21"/>
          <w:szCs w:val="21"/>
        </w:rPr>
        <w:t xml:space="preserve">区别。因此，妥善的 </w:t>
      </w:r>
      <w:r>
        <w:rPr>
          <w:rFonts w:ascii="宋体" w:hAnsi="宋体" w:eastAsia="宋体" w:cs="宋体"/>
          <w:spacing w:val="3"/>
          <w:sz w:val="21"/>
          <w:szCs w:val="21"/>
        </w:rPr>
        <w:t>解决办法是，充分参照国际或国内统一的标准，并酌情结合自拟标</w:t>
      </w:r>
      <w:r>
        <w:rPr>
          <w:rFonts w:ascii="宋体" w:hAnsi="宋体" w:eastAsia="宋体" w:cs="宋体"/>
          <w:spacing w:val="2"/>
          <w:sz w:val="21"/>
          <w:szCs w:val="21"/>
        </w:rPr>
        <w:t>准进行综合判断。</w:t>
      </w:r>
    </w:p>
    <w:p w14:paraId="3901F6E9">
      <w:pPr>
        <w:spacing w:before="5" w:line="336" w:lineRule="auto"/>
        <w:ind w:right="688" w:firstLine="420"/>
        <w:rPr>
          <w:rFonts w:ascii="宋体" w:hAnsi="宋体" w:eastAsia="宋体" w:cs="宋体"/>
          <w:sz w:val="21"/>
          <w:szCs w:val="21"/>
        </w:rPr>
      </w:pPr>
      <w:r>
        <w:rPr>
          <w:rFonts w:ascii="宋体" w:hAnsi="宋体" w:eastAsia="宋体" w:cs="宋体"/>
          <w:spacing w:val="6"/>
          <w:sz w:val="21"/>
          <w:szCs w:val="21"/>
        </w:rPr>
        <w:t>在队列研究中除确定主要研究结局外，还可考虑同时收集多种可能与暴露有关的</w:t>
      </w:r>
      <w:r>
        <w:rPr>
          <w:rFonts w:ascii="宋体" w:hAnsi="宋体" w:eastAsia="宋体" w:cs="宋体"/>
          <w:spacing w:val="5"/>
          <w:sz w:val="21"/>
          <w:szCs w:val="21"/>
        </w:rPr>
        <w:t>结局，提高一</w:t>
      </w:r>
      <w:r>
        <w:rPr>
          <w:rFonts w:ascii="宋体" w:hAnsi="宋体" w:eastAsia="宋体" w:cs="宋体"/>
          <w:sz w:val="21"/>
          <w:szCs w:val="21"/>
        </w:rPr>
        <w:t xml:space="preserve"> </w:t>
      </w:r>
      <w:r>
        <w:rPr>
          <w:rFonts w:ascii="宋体" w:hAnsi="宋体" w:eastAsia="宋体" w:cs="宋体"/>
          <w:spacing w:val="6"/>
          <w:sz w:val="21"/>
          <w:szCs w:val="21"/>
        </w:rPr>
        <w:t>次研究的效率。</w:t>
      </w:r>
    </w:p>
    <w:p w14:paraId="76F1CB3E">
      <w:pPr>
        <w:pStyle w:val="2"/>
        <w:spacing w:before="152" w:line="221" w:lineRule="auto"/>
        <w:ind w:left="423"/>
        <w:outlineLvl w:val="2"/>
        <w:rPr>
          <w:sz w:val="25"/>
          <w:szCs w:val="25"/>
        </w:rPr>
      </w:pPr>
      <w:bookmarkStart w:id="97" w:name="bookmark59"/>
      <w:bookmarkEnd w:id="97"/>
      <w:r>
        <w:rPr>
          <w:b/>
          <w:bCs/>
          <w:spacing w:val="6"/>
          <w:sz w:val="25"/>
          <w:szCs w:val="25"/>
        </w:rPr>
        <w:t>三</w:t>
      </w:r>
      <w:r>
        <w:rPr>
          <w:spacing w:val="-43"/>
          <w:sz w:val="25"/>
          <w:szCs w:val="25"/>
        </w:rPr>
        <w:t xml:space="preserve"> </w:t>
      </w:r>
      <w:r>
        <w:rPr>
          <w:b/>
          <w:bCs/>
          <w:spacing w:val="6"/>
          <w:sz w:val="25"/>
          <w:szCs w:val="25"/>
        </w:rPr>
        <w:t>、确定研究现场与研究人群</w:t>
      </w:r>
    </w:p>
    <w:p w14:paraId="74CF2D47">
      <w:pPr>
        <w:pStyle w:val="2"/>
        <w:spacing w:before="221" w:line="222" w:lineRule="auto"/>
        <w:ind w:left="423"/>
        <w:rPr>
          <w:sz w:val="25"/>
          <w:szCs w:val="25"/>
        </w:rPr>
      </w:pPr>
      <w:r>
        <w:rPr>
          <w:b/>
          <w:bCs/>
          <w:spacing w:val="-2"/>
          <w:sz w:val="25"/>
          <w:szCs w:val="25"/>
        </w:rPr>
        <w:t>(一)研究现场</w:t>
      </w:r>
    </w:p>
    <w:p w14:paraId="6C32CF81">
      <w:pPr>
        <w:spacing w:before="81" w:line="313" w:lineRule="auto"/>
        <w:ind w:right="687" w:firstLine="420"/>
        <w:jc w:val="both"/>
        <w:rPr>
          <w:rFonts w:ascii="宋体" w:hAnsi="宋体" w:eastAsia="宋体" w:cs="宋体"/>
          <w:sz w:val="21"/>
          <w:szCs w:val="21"/>
        </w:rPr>
      </w:pPr>
      <w:r>
        <w:rPr>
          <w:rFonts w:ascii="宋体" w:hAnsi="宋体" w:eastAsia="宋体" w:cs="宋体"/>
          <w:spacing w:val="1"/>
          <w:sz w:val="21"/>
          <w:szCs w:val="21"/>
        </w:rPr>
        <w:t>根据研究目的，在考虑研究现场代表性的基础上，队列研究应选择人</w:t>
      </w:r>
      <w:r>
        <w:rPr>
          <w:rFonts w:ascii="宋体" w:hAnsi="宋体" w:eastAsia="宋体" w:cs="宋体"/>
          <w:sz w:val="21"/>
          <w:szCs w:val="21"/>
        </w:rPr>
        <w:t xml:space="preserve">口稳定、便于随访、预期结 </w:t>
      </w:r>
      <w:r>
        <w:rPr>
          <w:rFonts w:ascii="宋体" w:hAnsi="宋体" w:eastAsia="宋体" w:cs="宋体"/>
          <w:spacing w:val="1"/>
          <w:sz w:val="21"/>
          <w:szCs w:val="21"/>
        </w:rPr>
        <w:t>局发生率较高、医疗卫生条件较好、交通较便利、当地领导</w:t>
      </w:r>
      <w:r>
        <w:rPr>
          <w:rFonts w:ascii="宋体" w:hAnsi="宋体" w:eastAsia="宋体" w:cs="宋体"/>
          <w:sz w:val="21"/>
          <w:szCs w:val="21"/>
        </w:rPr>
        <w:t xml:space="preserve">重视、群众理解和支持的地区作为研究现 </w:t>
      </w:r>
      <w:r>
        <w:rPr>
          <w:rFonts w:ascii="宋体" w:hAnsi="宋体" w:eastAsia="宋体" w:cs="宋体"/>
          <w:spacing w:val="5"/>
          <w:sz w:val="21"/>
          <w:szCs w:val="21"/>
        </w:rPr>
        <w:t>场。这样后期的随访调查会更加顺利，所获资料将更加可</w:t>
      </w:r>
      <w:r>
        <w:rPr>
          <w:rFonts w:ascii="宋体" w:hAnsi="宋体" w:eastAsia="宋体" w:cs="宋体"/>
          <w:spacing w:val="4"/>
          <w:sz w:val="21"/>
          <w:szCs w:val="21"/>
        </w:rPr>
        <w:t>靠。</w:t>
      </w:r>
    </w:p>
    <w:p w14:paraId="15FEBB1F">
      <w:pPr>
        <w:pStyle w:val="2"/>
        <w:spacing w:before="1" w:line="220" w:lineRule="auto"/>
        <w:ind w:left="423"/>
        <w:rPr>
          <w:sz w:val="25"/>
          <w:szCs w:val="25"/>
        </w:rPr>
      </w:pPr>
      <w:r>
        <w:rPr>
          <w:b/>
          <w:bCs/>
          <w:spacing w:val="-2"/>
          <w:sz w:val="25"/>
          <w:szCs w:val="25"/>
        </w:rPr>
        <w:t>(二)研究人群</w:t>
      </w:r>
    </w:p>
    <w:p w14:paraId="0ECEA508">
      <w:pPr>
        <w:spacing w:before="105" w:line="309" w:lineRule="auto"/>
        <w:ind w:right="680" w:firstLine="420"/>
        <w:rPr>
          <w:rFonts w:ascii="宋体" w:hAnsi="宋体" w:eastAsia="宋体" w:cs="宋体"/>
          <w:sz w:val="21"/>
          <w:szCs w:val="21"/>
        </w:rPr>
      </w:pPr>
      <w:r>
        <w:rPr>
          <w:rFonts w:ascii="宋体" w:hAnsi="宋体" w:eastAsia="宋体" w:cs="宋体"/>
          <w:spacing w:val="11"/>
          <w:sz w:val="21"/>
          <w:szCs w:val="21"/>
        </w:rPr>
        <w:t>研究人群包括暴露组和对照组，暴露组也可以根据情况分为不同暴露水平亚组。根据研究目</w:t>
      </w:r>
      <w:r>
        <w:rPr>
          <w:rFonts w:ascii="宋体" w:hAnsi="宋体" w:eastAsia="宋体" w:cs="宋体"/>
          <w:spacing w:val="18"/>
          <w:sz w:val="21"/>
          <w:szCs w:val="21"/>
        </w:rPr>
        <w:t xml:space="preserve"> </w:t>
      </w:r>
      <w:r>
        <w:rPr>
          <w:rFonts w:ascii="宋体" w:hAnsi="宋体" w:eastAsia="宋体" w:cs="宋体"/>
          <w:spacing w:val="4"/>
          <w:sz w:val="21"/>
          <w:szCs w:val="21"/>
        </w:rPr>
        <w:t>的和研究条件的不同，研究人群的选择有不同的方法。</w:t>
      </w:r>
    </w:p>
    <w:p w14:paraId="21C68959">
      <w:pPr>
        <w:pStyle w:val="2"/>
        <w:spacing w:before="5" w:line="319" w:lineRule="auto"/>
        <w:ind w:right="698" w:firstLine="420"/>
        <w:rPr>
          <w:rFonts w:ascii="宋体" w:hAnsi="宋体" w:eastAsia="宋体" w:cs="宋体"/>
          <w:sz w:val="21"/>
          <w:szCs w:val="21"/>
        </w:rPr>
      </w:pPr>
      <w:r>
        <w:rPr>
          <w:rFonts w:ascii="宋体" w:hAnsi="宋体" w:eastAsia="宋体" w:cs="宋体"/>
          <w:spacing w:val="9"/>
          <w:sz w:val="21"/>
          <w:szCs w:val="21"/>
        </w:rPr>
        <w:t xml:space="preserve">1. </w:t>
      </w:r>
      <w:r>
        <w:rPr>
          <w:spacing w:val="9"/>
          <w:sz w:val="21"/>
          <w:szCs w:val="21"/>
        </w:rPr>
        <w:t>暴露人群的选择</w:t>
      </w:r>
      <w:r>
        <w:rPr>
          <w:spacing w:val="87"/>
          <w:sz w:val="21"/>
          <w:szCs w:val="21"/>
        </w:rPr>
        <w:t xml:space="preserve"> </w:t>
      </w:r>
      <w:r>
        <w:rPr>
          <w:rFonts w:ascii="宋体" w:hAnsi="宋体" w:eastAsia="宋体" w:cs="宋体"/>
          <w:spacing w:val="9"/>
          <w:sz w:val="21"/>
          <w:szCs w:val="21"/>
        </w:rPr>
        <w:t>暴露人群即暴露于待研究因素的人</w:t>
      </w:r>
      <w:r>
        <w:rPr>
          <w:rFonts w:ascii="宋体" w:hAnsi="宋体" w:eastAsia="宋体" w:cs="宋体"/>
          <w:spacing w:val="8"/>
          <w:sz w:val="21"/>
          <w:szCs w:val="21"/>
        </w:rPr>
        <w:t>群。根据研究的需要，通常有下列四</w:t>
      </w:r>
      <w:r>
        <w:rPr>
          <w:rFonts w:ascii="宋体" w:hAnsi="宋体" w:eastAsia="宋体" w:cs="宋体"/>
          <w:sz w:val="21"/>
          <w:szCs w:val="21"/>
        </w:rPr>
        <w:t xml:space="preserve"> </w:t>
      </w:r>
      <w:r>
        <w:rPr>
          <w:rFonts w:ascii="宋体" w:hAnsi="宋体" w:eastAsia="宋体" w:cs="宋体"/>
          <w:spacing w:val="3"/>
          <w:sz w:val="21"/>
          <w:szCs w:val="21"/>
        </w:rPr>
        <w:t>种选择：</w:t>
      </w:r>
    </w:p>
    <w:p w14:paraId="32F4E3F6">
      <w:pPr>
        <w:spacing w:before="6" w:line="292" w:lineRule="auto"/>
        <w:ind w:right="686" w:firstLine="420"/>
        <w:rPr>
          <w:rFonts w:ascii="宋体" w:hAnsi="宋体" w:eastAsia="宋体" w:cs="宋体"/>
          <w:sz w:val="21"/>
          <w:szCs w:val="21"/>
        </w:rPr>
      </w:pPr>
      <w:r>
        <w:rPr>
          <w:rFonts w:ascii="宋体" w:hAnsi="宋体" w:eastAsia="宋体" w:cs="宋体"/>
          <w:spacing w:val="8"/>
          <w:sz w:val="21"/>
          <w:szCs w:val="21"/>
        </w:rPr>
        <w:t>(1)职业人群：研究某种可疑的职业暴露因素与疾病或健康的关系时，常选择相关职业人群作</w:t>
      </w:r>
      <w:r>
        <w:rPr>
          <w:rFonts w:ascii="宋体" w:hAnsi="宋体" w:eastAsia="宋体" w:cs="宋体"/>
          <w:spacing w:val="11"/>
          <w:sz w:val="21"/>
          <w:szCs w:val="21"/>
        </w:rPr>
        <w:t xml:space="preserve"> 为暴露人群，如选择石棉作业工人来研究石棉与肺癌的关系。职业</w:t>
      </w:r>
      <w:r>
        <w:rPr>
          <w:rFonts w:ascii="宋体" w:hAnsi="宋体" w:eastAsia="宋体" w:cs="宋体"/>
          <w:spacing w:val="10"/>
          <w:sz w:val="21"/>
          <w:szCs w:val="21"/>
        </w:rPr>
        <w:t>人群有关暴露与疾病的历史记</w:t>
      </w:r>
      <w:r>
        <w:rPr>
          <w:rFonts w:ascii="宋体" w:hAnsi="宋体" w:eastAsia="宋体" w:cs="宋体"/>
          <w:sz w:val="21"/>
          <w:szCs w:val="21"/>
        </w:rPr>
        <w:t xml:space="preserve"> </w:t>
      </w:r>
      <w:r>
        <w:rPr>
          <w:rFonts w:ascii="宋体" w:hAnsi="宋体" w:eastAsia="宋体" w:cs="宋体"/>
          <w:spacing w:val="6"/>
          <w:sz w:val="21"/>
          <w:szCs w:val="21"/>
        </w:rPr>
        <w:t>录往往较为全面、真实和可靠，故可考虑采用历史性</w:t>
      </w:r>
      <w:r>
        <w:rPr>
          <w:rFonts w:ascii="宋体" w:hAnsi="宋体" w:eastAsia="宋体" w:cs="宋体"/>
          <w:spacing w:val="5"/>
          <w:sz w:val="21"/>
          <w:szCs w:val="21"/>
        </w:rPr>
        <w:t>队列研究或双向性队列研究进行职业暴露因素</w:t>
      </w:r>
      <w:r>
        <w:rPr>
          <w:rFonts w:ascii="宋体" w:hAnsi="宋体" w:eastAsia="宋体" w:cs="宋体"/>
          <w:sz w:val="21"/>
          <w:szCs w:val="21"/>
        </w:rPr>
        <w:t xml:space="preserve"> 与相关结局关系的研究，较为省时、省力。</w:t>
      </w:r>
    </w:p>
    <w:p w14:paraId="44DB8FD3">
      <w:pPr>
        <w:spacing w:before="120" w:line="297" w:lineRule="auto"/>
        <w:ind w:right="669" w:firstLine="420"/>
        <w:rPr>
          <w:rFonts w:ascii="宋体" w:hAnsi="宋体" w:eastAsia="宋体" w:cs="宋体"/>
          <w:sz w:val="21"/>
          <w:szCs w:val="21"/>
        </w:rPr>
      </w:pPr>
      <w:r>
        <w:rPr>
          <w:rFonts w:ascii="宋体" w:hAnsi="宋体" w:eastAsia="宋体" w:cs="宋体"/>
          <w:spacing w:val="9"/>
          <w:sz w:val="21"/>
          <w:szCs w:val="21"/>
        </w:rPr>
        <w:t>(2)特殊暴露人群：是指由于某种原因对某因素有较高暴露水</w:t>
      </w:r>
      <w:r>
        <w:rPr>
          <w:rFonts w:ascii="宋体" w:hAnsi="宋体" w:eastAsia="宋体" w:cs="宋体"/>
          <w:spacing w:val="8"/>
          <w:sz w:val="21"/>
          <w:szCs w:val="21"/>
        </w:rPr>
        <w:t>平的人群。特殊暴露人群有时是</w:t>
      </w:r>
      <w:r>
        <w:rPr>
          <w:rFonts w:ascii="宋体" w:hAnsi="宋体" w:eastAsia="宋体" w:cs="宋体"/>
          <w:sz w:val="21"/>
          <w:szCs w:val="21"/>
        </w:rPr>
        <w:t xml:space="preserve"> </w:t>
      </w:r>
      <w:r>
        <w:rPr>
          <w:rFonts w:ascii="宋体" w:hAnsi="宋体" w:eastAsia="宋体" w:cs="宋体"/>
          <w:spacing w:val="6"/>
          <w:sz w:val="21"/>
          <w:szCs w:val="21"/>
        </w:rPr>
        <w:t>研究某些罕见的特殊暴露的唯一选择，如选择原子</w:t>
      </w:r>
      <w:r>
        <w:rPr>
          <w:rFonts w:ascii="宋体" w:hAnsi="宋体" w:eastAsia="宋体" w:cs="宋体"/>
          <w:spacing w:val="5"/>
          <w:sz w:val="21"/>
          <w:szCs w:val="21"/>
        </w:rPr>
        <w:t>弹爆炸的受害者、接受过放射治疗的人为研究对</w:t>
      </w:r>
      <w:r>
        <w:rPr>
          <w:rFonts w:ascii="宋体" w:hAnsi="宋体" w:eastAsia="宋体" w:cs="宋体"/>
          <w:sz w:val="21"/>
          <w:szCs w:val="21"/>
        </w:rPr>
        <w:t xml:space="preserve"> </w:t>
      </w:r>
      <w:r>
        <w:rPr>
          <w:rFonts w:ascii="宋体" w:hAnsi="宋体" w:eastAsia="宋体" w:cs="宋体"/>
          <w:spacing w:val="11"/>
          <w:sz w:val="21"/>
          <w:szCs w:val="21"/>
        </w:rPr>
        <w:t>象，以研究射线与白血病的关系。由于对某些职业暴露和某些特殊</w:t>
      </w:r>
      <w:r>
        <w:rPr>
          <w:rFonts w:ascii="宋体" w:hAnsi="宋体" w:eastAsia="宋体" w:cs="宋体"/>
          <w:spacing w:val="10"/>
          <w:sz w:val="21"/>
          <w:szCs w:val="21"/>
        </w:rPr>
        <w:t>暴露的危险大多不是一开始就</w:t>
      </w:r>
      <w:r>
        <w:rPr>
          <w:rFonts w:ascii="宋体" w:hAnsi="宋体" w:eastAsia="宋体" w:cs="宋体"/>
          <w:sz w:val="21"/>
          <w:szCs w:val="21"/>
        </w:rPr>
        <w:t xml:space="preserve"> </w:t>
      </w:r>
      <w:r>
        <w:rPr>
          <w:rFonts w:ascii="宋体" w:hAnsi="宋体" w:eastAsia="宋体" w:cs="宋体"/>
          <w:spacing w:val="6"/>
          <w:sz w:val="21"/>
          <w:szCs w:val="21"/>
        </w:rPr>
        <w:t>认识到的，但一旦认识到了，就会采取防护措施以减少暴</w:t>
      </w:r>
      <w:r>
        <w:rPr>
          <w:rFonts w:ascii="宋体" w:hAnsi="宋体" w:eastAsia="宋体" w:cs="宋体"/>
          <w:spacing w:val="5"/>
          <w:sz w:val="21"/>
          <w:szCs w:val="21"/>
        </w:rPr>
        <w:t>露，所以一般不宜或不允许进行前瞻性队</w:t>
      </w:r>
      <w:r>
        <w:rPr>
          <w:rFonts w:ascii="宋体" w:hAnsi="宋体" w:eastAsia="宋体" w:cs="宋体"/>
          <w:sz w:val="21"/>
          <w:szCs w:val="21"/>
        </w:rPr>
        <w:t xml:space="preserve"> </w:t>
      </w:r>
      <w:r>
        <w:rPr>
          <w:rFonts w:ascii="宋体" w:hAnsi="宋体" w:eastAsia="宋体" w:cs="宋体"/>
          <w:spacing w:val="5"/>
          <w:sz w:val="21"/>
          <w:szCs w:val="21"/>
        </w:rPr>
        <w:t>列研究，而常采用历史性队列研究或双向性队列研究。</w:t>
      </w:r>
    </w:p>
    <w:p w14:paraId="32CC7613">
      <w:pPr>
        <w:spacing w:before="122" w:line="292" w:lineRule="auto"/>
        <w:ind w:right="575" w:firstLine="420"/>
        <w:rPr>
          <w:rFonts w:ascii="宋体" w:hAnsi="宋体" w:eastAsia="宋体" w:cs="宋体"/>
          <w:sz w:val="21"/>
          <w:szCs w:val="21"/>
        </w:rPr>
      </w:pPr>
      <w:r>
        <w:rPr>
          <w:rFonts w:ascii="宋体" w:hAnsi="宋体" w:eastAsia="宋体" w:cs="宋体"/>
          <w:spacing w:val="11"/>
          <w:sz w:val="21"/>
          <w:szCs w:val="21"/>
        </w:rPr>
        <w:t>(3)一般人群：即某一区域范围内的全体人群，选择其中暴露于欲研究因素的人作为</w:t>
      </w:r>
      <w:r>
        <w:rPr>
          <w:rFonts w:ascii="宋体" w:hAnsi="宋体" w:eastAsia="宋体" w:cs="宋体"/>
          <w:spacing w:val="10"/>
          <w:sz w:val="21"/>
          <w:szCs w:val="21"/>
        </w:rPr>
        <w:t>暴露组。</w:t>
      </w:r>
      <w:r>
        <w:rPr>
          <w:rFonts w:ascii="宋体" w:hAnsi="宋体" w:eastAsia="宋体" w:cs="宋体"/>
          <w:sz w:val="21"/>
          <w:szCs w:val="21"/>
        </w:rPr>
        <w:t xml:space="preserve"> </w:t>
      </w:r>
      <w:r>
        <w:rPr>
          <w:rFonts w:ascii="宋体" w:hAnsi="宋体" w:eastAsia="宋体" w:cs="宋体"/>
          <w:spacing w:val="8"/>
          <w:sz w:val="21"/>
          <w:szCs w:val="21"/>
        </w:rPr>
        <w:t>在一般人群中选择暴露组时，通常考虑两点：①着眼于一般人群及今后在</w:t>
      </w:r>
      <w:r>
        <w:rPr>
          <w:rFonts w:ascii="宋体" w:hAnsi="宋体" w:eastAsia="宋体" w:cs="宋体"/>
          <w:spacing w:val="7"/>
          <w:sz w:val="21"/>
          <w:szCs w:val="21"/>
        </w:rPr>
        <w:t>一般人群中疾病的防治，</w:t>
      </w:r>
      <w:r>
        <w:rPr>
          <w:rFonts w:ascii="宋体" w:hAnsi="宋体" w:eastAsia="宋体" w:cs="宋体"/>
          <w:sz w:val="21"/>
          <w:szCs w:val="21"/>
        </w:rPr>
        <w:t xml:space="preserve"> </w:t>
      </w:r>
      <w:r>
        <w:rPr>
          <w:rFonts w:ascii="宋体" w:hAnsi="宋体" w:eastAsia="宋体" w:cs="宋体"/>
          <w:spacing w:val="6"/>
          <w:sz w:val="21"/>
          <w:szCs w:val="21"/>
        </w:rPr>
        <w:t>使研究结果具有普遍意义；②所研究因素和疾病在一</w:t>
      </w:r>
      <w:r>
        <w:rPr>
          <w:rFonts w:ascii="宋体" w:hAnsi="宋体" w:eastAsia="宋体" w:cs="宋体"/>
          <w:spacing w:val="5"/>
          <w:sz w:val="21"/>
          <w:szCs w:val="21"/>
        </w:rPr>
        <w:t>般人群中常见，比如研究一般人群的生活习惯</w:t>
      </w:r>
      <w:r>
        <w:rPr>
          <w:rFonts w:ascii="宋体" w:hAnsi="宋体" w:eastAsia="宋体" w:cs="宋体"/>
          <w:sz w:val="21"/>
          <w:szCs w:val="21"/>
        </w:rPr>
        <w:t xml:space="preserve">  </w:t>
      </w:r>
      <w:r>
        <w:rPr>
          <w:rFonts w:ascii="宋体" w:hAnsi="宋体" w:eastAsia="宋体" w:cs="宋体"/>
          <w:spacing w:val="9"/>
          <w:sz w:val="21"/>
          <w:szCs w:val="21"/>
        </w:rPr>
        <w:t>或环境因素时。美国弗明汉心脏研究就是一个很好的例子。</w:t>
      </w:r>
    </w:p>
    <w:p w14:paraId="34578F1B">
      <w:pPr>
        <w:spacing w:before="140" w:line="297" w:lineRule="auto"/>
        <w:ind w:right="615" w:firstLine="420"/>
        <w:rPr>
          <w:rFonts w:ascii="宋体" w:hAnsi="宋体" w:eastAsia="宋体" w:cs="宋体"/>
          <w:sz w:val="21"/>
          <w:szCs w:val="21"/>
        </w:rPr>
      </w:pPr>
      <w:r>
        <w:rPr>
          <w:rFonts w:ascii="宋体" w:hAnsi="宋体" w:eastAsia="宋体" w:cs="宋体"/>
          <w:spacing w:val="10"/>
          <w:sz w:val="21"/>
          <w:szCs w:val="21"/>
        </w:rPr>
        <w:t>(4)有组织的人群团体：该类人群可看作是一般人群的特殊形式，如医学会会员，工会会</w:t>
      </w:r>
      <w:r>
        <w:rPr>
          <w:rFonts w:ascii="宋体" w:hAnsi="宋体" w:eastAsia="宋体" w:cs="宋体"/>
          <w:spacing w:val="9"/>
          <w:sz w:val="21"/>
          <w:szCs w:val="21"/>
        </w:rPr>
        <w:t>员，</w:t>
      </w:r>
      <w:r>
        <w:rPr>
          <w:rFonts w:ascii="宋体" w:hAnsi="宋体" w:eastAsia="宋体" w:cs="宋体"/>
          <w:sz w:val="21"/>
          <w:szCs w:val="21"/>
        </w:rPr>
        <w:t xml:space="preserve"> </w:t>
      </w:r>
      <w:r>
        <w:rPr>
          <w:rFonts w:ascii="宋体" w:hAnsi="宋体" w:eastAsia="宋体" w:cs="宋体"/>
          <w:spacing w:val="6"/>
          <w:sz w:val="21"/>
          <w:szCs w:val="21"/>
        </w:rPr>
        <w:t>机关、社会团体、学校或部队成员等。该类人群的</w:t>
      </w:r>
      <w:r>
        <w:rPr>
          <w:rFonts w:ascii="宋体" w:hAnsi="宋体" w:eastAsia="宋体" w:cs="宋体"/>
          <w:spacing w:val="5"/>
          <w:sz w:val="21"/>
          <w:szCs w:val="21"/>
        </w:rPr>
        <w:t>职业和经历往往是相同的，他们的组织系统也可</w:t>
      </w:r>
      <w:r>
        <w:rPr>
          <w:rFonts w:ascii="宋体" w:hAnsi="宋体" w:eastAsia="宋体" w:cs="宋体"/>
          <w:sz w:val="21"/>
          <w:szCs w:val="21"/>
        </w:rPr>
        <w:t xml:space="preserve"> </w:t>
      </w:r>
      <w:r>
        <w:rPr>
          <w:rFonts w:ascii="宋体" w:hAnsi="宋体" w:eastAsia="宋体" w:cs="宋体"/>
          <w:spacing w:val="10"/>
          <w:sz w:val="21"/>
          <w:szCs w:val="21"/>
        </w:rPr>
        <w:t>以为后期信息收集提供便利。如</w:t>
      </w:r>
      <w:r>
        <w:rPr>
          <w:rFonts w:ascii="宋体" w:hAnsi="宋体" w:eastAsia="宋体" w:cs="宋体"/>
          <w:sz w:val="21"/>
          <w:szCs w:val="21"/>
        </w:rPr>
        <w:t>Doll</w:t>
      </w:r>
      <w:r>
        <w:rPr>
          <w:rFonts w:ascii="宋体" w:hAnsi="宋体" w:eastAsia="宋体" w:cs="宋体"/>
          <w:spacing w:val="10"/>
          <w:sz w:val="21"/>
          <w:szCs w:val="21"/>
        </w:rPr>
        <w:t>和</w:t>
      </w:r>
      <w:r>
        <w:rPr>
          <w:rFonts w:ascii="宋体" w:hAnsi="宋体" w:eastAsia="宋体" w:cs="宋体"/>
          <w:spacing w:val="-10"/>
          <w:sz w:val="21"/>
          <w:szCs w:val="21"/>
        </w:rPr>
        <w:t xml:space="preserve"> </w:t>
      </w:r>
      <w:r>
        <w:rPr>
          <w:rFonts w:ascii="宋体" w:hAnsi="宋体" w:eastAsia="宋体" w:cs="宋体"/>
          <w:sz w:val="21"/>
          <w:szCs w:val="21"/>
        </w:rPr>
        <w:t>Hill</w:t>
      </w:r>
      <w:r>
        <w:rPr>
          <w:rFonts w:ascii="宋体" w:hAnsi="宋体" w:eastAsia="宋体" w:cs="宋体"/>
          <w:spacing w:val="10"/>
          <w:sz w:val="21"/>
          <w:szCs w:val="21"/>
        </w:rPr>
        <w:t>选择英国医师协会会员进行的英国医师研究(</w:t>
      </w:r>
      <w:r>
        <w:rPr>
          <w:rFonts w:ascii="宋体" w:hAnsi="宋体" w:eastAsia="宋体" w:cs="宋体"/>
          <w:sz w:val="21"/>
          <w:szCs w:val="21"/>
        </w:rPr>
        <w:t>British Doctors</w:t>
      </w:r>
      <w:r>
        <w:rPr>
          <w:rFonts w:ascii="宋体" w:hAnsi="宋体" w:eastAsia="宋体" w:cs="宋体"/>
          <w:spacing w:val="1"/>
          <w:sz w:val="21"/>
          <w:szCs w:val="21"/>
        </w:rPr>
        <w:t xml:space="preserve"> </w:t>
      </w:r>
      <w:r>
        <w:rPr>
          <w:rFonts w:ascii="宋体" w:hAnsi="宋体" w:eastAsia="宋体" w:cs="宋体"/>
          <w:sz w:val="21"/>
          <w:szCs w:val="21"/>
        </w:rPr>
        <w:t>Study</w:t>
      </w:r>
      <w:r>
        <w:rPr>
          <w:rFonts w:ascii="宋体" w:hAnsi="宋体" w:eastAsia="宋体" w:cs="宋体"/>
          <w:spacing w:val="1"/>
          <w:sz w:val="21"/>
          <w:szCs w:val="21"/>
        </w:rPr>
        <w:t>),用以探讨吸烟与肺癌的关系就是一个</w:t>
      </w:r>
      <w:r>
        <w:rPr>
          <w:rFonts w:ascii="宋体" w:hAnsi="宋体" w:eastAsia="宋体" w:cs="宋体"/>
          <w:sz w:val="21"/>
          <w:szCs w:val="21"/>
        </w:rPr>
        <w:t>例证。</w:t>
      </w:r>
    </w:p>
    <w:p w14:paraId="3759906A">
      <w:pPr>
        <w:pStyle w:val="2"/>
        <w:spacing w:before="77" w:line="324" w:lineRule="auto"/>
        <w:ind w:right="682" w:firstLine="420"/>
        <w:jc w:val="both"/>
        <w:rPr>
          <w:rFonts w:ascii="宋体" w:hAnsi="宋体" w:eastAsia="宋体" w:cs="宋体"/>
          <w:sz w:val="21"/>
          <w:szCs w:val="21"/>
        </w:rPr>
      </w:pPr>
      <w:r>
        <w:rPr>
          <w:rFonts w:ascii="宋体" w:hAnsi="宋体" w:eastAsia="宋体" w:cs="宋体"/>
          <w:spacing w:val="8"/>
          <w:sz w:val="21"/>
          <w:szCs w:val="21"/>
        </w:rPr>
        <w:t xml:space="preserve">2. </w:t>
      </w:r>
      <w:r>
        <w:rPr>
          <w:spacing w:val="8"/>
          <w:sz w:val="21"/>
          <w:szCs w:val="21"/>
        </w:rPr>
        <w:t>对照人群的选择</w:t>
      </w:r>
      <w:r>
        <w:rPr>
          <w:spacing w:val="2"/>
          <w:sz w:val="21"/>
          <w:szCs w:val="21"/>
        </w:rPr>
        <w:t xml:space="preserve">  </w:t>
      </w:r>
      <w:r>
        <w:rPr>
          <w:rFonts w:ascii="宋体" w:hAnsi="宋体" w:eastAsia="宋体" w:cs="宋体"/>
          <w:spacing w:val="8"/>
          <w:sz w:val="21"/>
          <w:szCs w:val="21"/>
        </w:rPr>
        <w:t>设立对照是分析流行病学的基本特征之一，目的是进行比较，以便更好</w:t>
      </w:r>
      <w:r>
        <w:rPr>
          <w:rFonts w:ascii="宋体" w:hAnsi="宋体" w:eastAsia="宋体" w:cs="宋体"/>
          <w:spacing w:val="1"/>
          <w:sz w:val="21"/>
          <w:szCs w:val="21"/>
        </w:rPr>
        <w:t xml:space="preserve"> </w:t>
      </w:r>
      <w:r>
        <w:rPr>
          <w:rFonts w:ascii="宋体" w:hAnsi="宋体" w:eastAsia="宋体" w:cs="宋体"/>
          <w:spacing w:val="6"/>
          <w:sz w:val="21"/>
          <w:szCs w:val="21"/>
        </w:rPr>
        <w:t>地分析暴露的作用。因此，选择对照组的基本要求</w:t>
      </w:r>
      <w:r>
        <w:rPr>
          <w:rFonts w:ascii="宋体" w:hAnsi="宋体" w:eastAsia="宋体" w:cs="宋体"/>
          <w:spacing w:val="5"/>
          <w:sz w:val="21"/>
          <w:szCs w:val="21"/>
        </w:rPr>
        <w:t>是尽可能保证其与暴露组的可比性，即对照人群</w:t>
      </w:r>
      <w:r>
        <w:rPr>
          <w:rFonts w:ascii="宋体" w:hAnsi="宋体" w:eastAsia="宋体" w:cs="宋体"/>
          <w:sz w:val="21"/>
          <w:szCs w:val="21"/>
        </w:rPr>
        <w:t xml:space="preserve"> </w:t>
      </w:r>
      <w:r>
        <w:rPr>
          <w:rFonts w:ascii="宋体" w:hAnsi="宋体" w:eastAsia="宋体" w:cs="宋体"/>
          <w:spacing w:val="11"/>
          <w:sz w:val="21"/>
          <w:szCs w:val="21"/>
        </w:rPr>
        <w:t>除未暴露于所研究的因素外，其他各种影响研究结局的因素或特征应尽可能地与暴</w:t>
      </w:r>
      <w:r>
        <w:rPr>
          <w:rFonts w:ascii="宋体" w:hAnsi="宋体" w:eastAsia="宋体" w:cs="宋体"/>
          <w:spacing w:val="10"/>
          <w:sz w:val="21"/>
          <w:szCs w:val="21"/>
        </w:rPr>
        <w:t>露组相同或相</w:t>
      </w:r>
      <w:r>
        <w:rPr>
          <w:rFonts w:ascii="宋体" w:hAnsi="宋体" w:eastAsia="宋体" w:cs="宋体"/>
          <w:sz w:val="21"/>
          <w:szCs w:val="21"/>
        </w:rPr>
        <w:t xml:space="preserve"> </w:t>
      </w:r>
      <w:r>
        <w:rPr>
          <w:rFonts w:ascii="宋体" w:hAnsi="宋体" w:eastAsia="宋体" w:cs="宋体"/>
          <w:spacing w:val="9"/>
          <w:sz w:val="21"/>
          <w:szCs w:val="21"/>
        </w:rPr>
        <w:t>近。对照人群的选择常见下列形式：</w:t>
      </w:r>
    </w:p>
    <w:p w14:paraId="0E77A0BD">
      <w:pPr>
        <w:spacing w:line="324" w:lineRule="auto"/>
        <w:rPr>
          <w:rFonts w:ascii="宋体" w:hAnsi="宋体" w:eastAsia="宋体" w:cs="宋体"/>
          <w:sz w:val="21"/>
          <w:szCs w:val="21"/>
        </w:rPr>
        <w:sectPr>
          <w:footerReference r:id="rId83" w:type="default"/>
          <w:pgSz w:w="11900" w:h="16820"/>
          <w:pgMar w:top="400" w:right="650" w:bottom="956" w:left="1289" w:header="0" w:footer="767" w:gutter="0"/>
          <w:cols w:space="720" w:num="1"/>
        </w:sectPr>
      </w:pPr>
    </w:p>
    <w:p w14:paraId="438A1ED9">
      <w:pPr>
        <w:pStyle w:val="2"/>
        <w:spacing w:before="37" w:line="222" w:lineRule="auto"/>
        <w:ind w:left="739"/>
        <w:rPr>
          <w:sz w:val="20"/>
          <w:szCs w:val="20"/>
        </w:rPr>
      </w:pPr>
      <w:r>
        <w:rPr>
          <w:spacing w:val="-5"/>
          <w:sz w:val="20"/>
          <w:szCs w:val="20"/>
        </w:rPr>
        <w:t>第四章队列研究</w:t>
      </w:r>
    </w:p>
    <w:p w14:paraId="7940DD13">
      <w:pPr>
        <w:spacing w:line="269" w:lineRule="auto"/>
        <w:rPr>
          <w:rFonts w:ascii="Arial"/>
          <w:sz w:val="21"/>
        </w:rPr>
      </w:pPr>
    </w:p>
    <w:p w14:paraId="5713DF7C">
      <w:pPr>
        <w:spacing w:line="270" w:lineRule="auto"/>
        <w:rPr>
          <w:rFonts w:ascii="Arial"/>
          <w:sz w:val="21"/>
        </w:rPr>
      </w:pPr>
    </w:p>
    <w:p w14:paraId="0F1CE33F">
      <w:pPr>
        <w:spacing w:before="65" w:line="321" w:lineRule="auto"/>
        <w:ind w:left="739" w:right="13" w:firstLine="430"/>
        <w:rPr>
          <w:rFonts w:ascii="宋体" w:hAnsi="宋体" w:eastAsia="宋体" w:cs="宋体"/>
          <w:sz w:val="20"/>
          <w:szCs w:val="20"/>
        </w:rPr>
      </w:pPr>
      <w:r>
        <w:rPr>
          <w:rFonts w:ascii="宋体" w:hAnsi="宋体" w:eastAsia="宋体" w:cs="宋体"/>
          <w:spacing w:val="9"/>
          <w:sz w:val="20"/>
          <w:szCs w:val="20"/>
        </w:rPr>
        <w:t>(1)内对照</w:t>
      </w:r>
      <w:r>
        <w:rPr>
          <w:rFonts w:ascii="Times New Roman" w:hAnsi="Times New Roman" w:eastAsia="Times New Roman" w:cs="Times New Roman"/>
          <w:spacing w:val="9"/>
          <w:sz w:val="20"/>
          <w:szCs w:val="20"/>
        </w:rPr>
        <w:t>(</w:t>
      </w:r>
      <w:r>
        <w:rPr>
          <w:rFonts w:ascii="Times New Roman" w:hAnsi="Times New Roman" w:eastAsia="Times New Roman" w:cs="Times New Roman"/>
          <w:sz w:val="20"/>
          <w:szCs w:val="20"/>
        </w:rPr>
        <w:t>internal</w:t>
      </w:r>
      <w:r>
        <w:rPr>
          <w:rFonts w:ascii="Times New Roman" w:hAnsi="Times New Roman" w:eastAsia="Times New Roman" w:cs="Times New Roman"/>
          <w:spacing w:val="9"/>
          <w:sz w:val="20"/>
          <w:szCs w:val="20"/>
        </w:rPr>
        <w:t xml:space="preserve">    </w:t>
      </w:r>
      <w:r>
        <w:rPr>
          <w:rFonts w:ascii="Times New Roman" w:hAnsi="Times New Roman" w:eastAsia="Times New Roman" w:cs="Times New Roman"/>
          <w:sz w:val="20"/>
          <w:szCs w:val="20"/>
        </w:rPr>
        <w:t>control</w:t>
      </w:r>
      <w:r>
        <w:rPr>
          <w:rFonts w:ascii="Times New Roman" w:hAnsi="Times New Roman" w:eastAsia="Times New Roman" w:cs="Times New Roman"/>
          <w:spacing w:val="9"/>
          <w:sz w:val="20"/>
          <w:szCs w:val="20"/>
        </w:rPr>
        <w:t>):</w:t>
      </w:r>
      <w:r>
        <w:rPr>
          <w:rFonts w:ascii="宋体" w:hAnsi="宋体" w:eastAsia="宋体" w:cs="宋体"/>
          <w:spacing w:val="9"/>
          <w:sz w:val="20"/>
          <w:szCs w:val="20"/>
        </w:rPr>
        <w:t xml:space="preserve">首先依据与暴露无关的因素(如居住社区)确定一个研究人群(如 </w:t>
      </w:r>
      <w:r>
        <w:rPr>
          <w:rFonts w:ascii="宋体" w:hAnsi="宋体" w:eastAsia="宋体" w:cs="宋体"/>
          <w:spacing w:val="3"/>
          <w:sz w:val="20"/>
          <w:szCs w:val="20"/>
        </w:rPr>
        <w:t>自然人群),对该人群进行随访观察，将其中暴露于所研究因素的对象作为暴露组，未暴露者为对照</w:t>
      </w:r>
      <w:r>
        <w:rPr>
          <w:rFonts w:ascii="宋体" w:hAnsi="宋体" w:eastAsia="宋体" w:cs="宋体"/>
          <w:spacing w:val="13"/>
          <w:sz w:val="20"/>
          <w:szCs w:val="20"/>
        </w:rPr>
        <w:t xml:space="preserve"> </w:t>
      </w:r>
      <w:r>
        <w:rPr>
          <w:rFonts w:ascii="宋体" w:hAnsi="宋体" w:eastAsia="宋体" w:cs="宋体"/>
          <w:spacing w:val="9"/>
          <w:sz w:val="20"/>
          <w:szCs w:val="20"/>
        </w:rPr>
        <w:t>组。也就是说在选定的一群研究对象内部既包</w:t>
      </w:r>
      <w:r>
        <w:rPr>
          <w:rFonts w:ascii="宋体" w:hAnsi="宋体" w:eastAsia="宋体" w:cs="宋体"/>
          <w:spacing w:val="8"/>
          <w:sz w:val="20"/>
          <w:szCs w:val="20"/>
        </w:rPr>
        <w:t>含了暴露组，又包含了对照组。这样做的好处是选</w:t>
      </w:r>
      <w:r>
        <w:rPr>
          <w:rFonts w:ascii="宋体" w:hAnsi="宋体" w:eastAsia="宋体" w:cs="宋体"/>
          <w:sz w:val="20"/>
          <w:szCs w:val="20"/>
        </w:rPr>
        <w:t xml:space="preserve"> </w:t>
      </w:r>
      <w:r>
        <w:rPr>
          <w:rFonts w:ascii="宋体" w:hAnsi="宋体" w:eastAsia="宋体" w:cs="宋体"/>
          <w:spacing w:val="4"/>
          <w:sz w:val="20"/>
          <w:szCs w:val="20"/>
        </w:rPr>
        <w:t>取对照比较容易，可比性较好。当研究的暴露变量是定量变量或等级</w:t>
      </w:r>
      <w:r>
        <w:rPr>
          <w:rFonts w:ascii="宋体" w:hAnsi="宋体" w:eastAsia="宋体" w:cs="宋体"/>
          <w:spacing w:val="3"/>
          <w:sz w:val="20"/>
          <w:szCs w:val="20"/>
        </w:rPr>
        <w:t>变量时，可按暴露剂量分成若</w:t>
      </w:r>
      <w:r>
        <w:rPr>
          <w:rFonts w:ascii="宋体" w:hAnsi="宋体" w:eastAsia="宋体" w:cs="宋体"/>
          <w:sz w:val="20"/>
          <w:szCs w:val="20"/>
        </w:rPr>
        <w:t xml:space="preserve"> </w:t>
      </w:r>
      <w:r>
        <w:rPr>
          <w:rFonts w:ascii="宋体" w:hAnsi="宋体" w:eastAsia="宋体" w:cs="宋体"/>
          <w:spacing w:val="1"/>
          <w:sz w:val="20"/>
          <w:szCs w:val="20"/>
        </w:rPr>
        <w:t>干组，如果高剂量暴露可增加疾病危险性，则以最低暴露水平的人群为对照组。</w:t>
      </w:r>
    </w:p>
    <w:p w14:paraId="71138071">
      <w:pPr>
        <w:spacing w:before="140" w:line="315" w:lineRule="auto"/>
        <w:ind w:left="739" w:firstLine="430"/>
        <w:rPr>
          <w:rFonts w:ascii="宋体" w:hAnsi="宋体" w:eastAsia="宋体" w:cs="宋体"/>
          <w:sz w:val="20"/>
          <w:szCs w:val="20"/>
        </w:rPr>
      </w:pPr>
      <w:r>
        <w:rPr>
          <w:rFonts w:ascii="宋体" w:hAnsi="宋体" w:eastAsia="宋体" w:cs="宋体"/>
          <w:spacing w:val="7"/>
          <w:sz w:val="20"/>
          <w:szCs w:val="20"/>
        </w:rPr>
        <w:t>(2)外对照</w:t>
      </w:r>
      <w:r>
        <w:rPr>
          <w:rFonts w:ascii="Times New Roman" w:hAnsi="Times New Roman" w:eastAsia="Times New Roman" w:cs="Times New Roman"/>
          <w:spacing w:val="7"/>
          <w:sz w:val="20"/>
          <w:szCs w:val="20"/>
        </w:rPr>
        <w:t>(</w:t>
      </w:r>
      <w:r>
        <w:rPr>
          <w:rFonts w:ascii="Times New Roman" w:hAnsi="Times New Roman" w:eastAsia="Times New Roman" w:cs="Times New Roman"/>
          <w:sz w:val="20"/>
          <w:szCs w:val="20"/>
        </w:rPr>
        <w:t>external</w:t>
      </w:r>
      <w:r>
        <w:rPr>
          <w:rFonts w:ascii="Times New Roman" w:hAnsi="Times New Roman" w:eastAsia="Times New Roman" w:cs="Times New Roman"/>
          <w:spacing w:val="7"/>
          <w:sz w:val="20"/>
          <w:szCs w:val="20"/>
        </w:rPr>
        <w:t xml:space="preserve">    </w:t>
      </w:r>
      <w:r>
        <w:rPr>
          <w:rFonts w:ascii="Times New Roman" w:hAnsi="Times New Roman" w:eastAsia="Times New Roman" w:cs="Times New Roman"/>
          <w:sz w:val="20"/>
          <w:szCs w:val="20"/>
        </w:rPr>
        <w:t>control</w:t>
      </w:r>
      <w:r>
        <w:rPr>
          <w:rFonts w:ascii="Times New Roman" w:hAnsi="Times New Roman" w:eastAsia="Times New Roman" w:cs="Times New Roman"/>
          <w:spacing w:val="7"/>
          <w:sz w:val="20"/>
          <w:szCs w:val="20"/>
        </w:rPr>
        <w:t>):</w:t>
      </w:r>
      <w:r>
        <w:rPr>
          <w:rFonts w:ascii="宋体" w:hAnsi="宋体" w:eastAsia="宋体" w:cs="宋体"/>
          <w:spacing w:val="7"/>
          <w:sz w:val="20"/>
          <w:szCs w:val="20"/>
        </w:rPr>
        <w:t>当选择职业人群或</w:t>
      </w:r>
      <w:r>
        <w:rPr>
          <w:rFonts w:ascii="宋体" w:hAnsi="宋体" w:eastAsia="宋体" w:cs="宋体"/>
          <w:spacing w:val="6"/>
          <w:sz w:val="20"/>
          <w:szCs w:val="20"/>
        </w:rPr>
        <w:t>特殊暴露人群作为暴露组时，常需在该人群之</w:t>
      </w:r>
      <w:r>
        <w:rPr>
          <w:rFonts w:ascii="宋体" w:hAnsi="宋体" w:eastAsia="宋体" w:cs="宋体"/>
          <w:sz w:val="20"/>
          <w:szCs w:val="20"/>
        </w:rPr>
        <w:t xml:space="preserve"> </w:t>
      </w:r>
      <w:r>
        <w:rPr>
          <w:rFonts w:ascii="宋体" w:hAnsi="宋体" w:eastAsia="宋体" w:cs="宋体"/>
          <w:spacing w:val="4"/>
          <w:sz w:val="20"/>
          <w:szCs w:val="20"/>
        </w:rPr>
        <w:t>外去寻找对照组，故名外对照。如以放射科医师为研究射线致</w:t>
      </w:r>
      <w:r>
        <w:rPr>
          <w:rFonts w:ascii="宋体" w:hAnsi="宋体" w:eastAsia="宋体" w:cs="宋体"/>
          <w:spacing w:val="3"/>
          <w:sz w:val="20"/>
          <w:szCs w:val="20"/>
        </w:rPr>
        <w:t>病作用的暴露对象时，可以选择不接</w:t>
      </w:r>
      <w:r>
        <w:rPr>
          <w:rFonts w:ascii="宋体" w:hAnsi="宋体" w:eastAsia="宋体" w:cs="宋体"/>
          <w:sz w:val="20"/>
          <w:szCs w:val="20"/>
        </w:rPr>
        <w:t xml:space="preserve"> </w:t>
      </w:r>
      <w:r>
        <w:rPr>
          <w:rFonts w:ascii="宋体" w:hAnsi="宋体" w:eastAsia="宋体" w:cs="宋体"/>
          <w:spacing w:val="9"/>
          <w:sz w:val="20"/>
          <w:szCs w:val="20"/>
        </w:rPr>
        <w:t>触射线或接触射线极少且与之可比的五官科医师</w:t>
      </w:r>
      <w:r>
        <w:rPr>
          <w:rFonts w:ascii="宋体" w:hAnsi="宋体" w:eastAsia="宋体" w:cs="宋体"/>
          <w:spacing w:val="8"/>
          <w:sz w:val="20"/>
          <w:szCs w:val="20"/>
        </w:rPr>
        <w:t>为外对照。选用外对照的优点是随访观察时可免</w:t>
      </w:r>
      <w:r>
        <w:rPr>
          <w:rFonts w:ascii="宋体" w:hAnsi="宋体" w:eastAsia="宋体" w:cs="宋体"/>
          <w:sz w:val="20"/>
          <w:szCs w:val="20"/>
        </w:rPr>
        <w:t xml:space="preserve"> </w:t>
      </w:r>
      <w:r>
        <w:rPr>
          <w:rFonts w:ascii="宋体" w:hAnsi="宋体" w:eastAsia="宋体" w:cs="宋体"/>
          <w:spacing w:val="-1"/>
          <w:sz w:val="20"/>
          <w:szCs w:val="20"/>
        </w:rPr>
        <w:t>受暴露组的影响，即暴露组的“沾染”,缺点是需要费力去另外组织一项人群工作。</w:t>
      </w:r>
    </w:p>
    <w:p w14:paraId="18BF24F7">
      <w:pPr>
        <w:spacing w:before="135" w:line="309" w:lineRule="auto"/>
        <w:ind w:left="739" w:right="39" w:firstLine="430"/>
        <w:rPr>
          <w:rFonts w:ascii="宋体" w:hAnsi="宋体" w:eastAsia="宋体" w:cs="宋体"/>
          <w:sz w:val="20"/>
          <w:szCs w:val="20"/>
        </w:rPr>
      </w:pPr>
      <w:r>
        <w:rPr>
          <w:rFonts w:ascii="宋体" w:hAnsi="宋体" w:eastAsia="宋体" w:cs="宋体"/>
          <w:spacing w:val="5"/>
          <w:sz w:val="20"/>
          <w:szCs w:val="20"/>
        </w:rPr>
        <w:t>(3)总人口对照</w:t>
      </w:r>
      <w:r>
        <w:rPr>
          <w:rFonts w:ascii="Times New Roman" w:hAnsi="Times New Roman" w:eastAsia="Times New Roman" w:cs="Times New Roman"/>
          <w:spacing w:val="5"/>
          <w:sz w:val="20"/>
          <w:szCs w:val="20"/>
        </w:rPr>
        <w:t>(</w:t>
      </w:r>
      <w:r>
        <w:rPr>
          <w:rFonts w:ascii="Times New Roman" w:hAnsi="Times New Roman" w:eastAsia="Times New Roman" w:cs="Times New Roman"/>
          <w:sz w:val="20"/>
          <w:szCs w:val="20"/>
        </w:rPr>
        <w:t>total</w:t>
      </w:r>
      <w:r>
        <w:rPr>
          <w:rFonts w:ascii="Times New Roman" w:hAnsi="Times New Roman" w:eastAsia="Times New Roman" w:cs="Times New Roman"/>
          <w:spacing w:val="21"/>
          <w:w w:val="101"/>
          <w:sz w:val="20"/>
          <w:szCs w:val="20"/>
        </w:rPr>
        <w:t xml:space="preserve">  </w:t>
      </w:r>
      <w:r>
        <w:rPr>
          <w:rFonts w:ascii="Times New Roman" w:hAnsi="Times New Roman" w:eastAsia="Times New Roman" w:cs="Times New Roman"/>
          <w:sz w:val="20"/>
          <w:szCs w:val="20"/>
        </w:rPr>
        <w:t>population</w:t>
      </w:r>
      <w:r>
        <w:rPr>
          <w:rFonts w:ascii="Times New Roman" w:hAnsi="Times New Roman" w:eastAsia="Times New Roman" w:cs="Times New Roman"/>
          <w:spacing w:val="23"/>
          <w:w w:val="101"/>
          <w:sz w:val="20"/>
          <w:szCs w:val="20"/>
        </w:rPr>
        <w:t xml:space="preserve">  </w:t>
      </w:r>
      <w:r>
        <w:rPr>
          <w:rFonts w:ascii="Times New Roman" w:hAnsi="Times New Roman" w:eastAsia="Times New Roman" w:cs="Times New Roman"/>
          <w:sz w:val="20"/>
          <w:szCs w:val="20"/>
        </w:rPr>
        <w:t>control</w:t>
      </w:r>
      <w:r>
        <w:rPr>
          <w:rFonts w:ascii="Times New Roman" w:hAnsi="Times New Roman" w:eastAsia="Times New Roman" w:cs="Times New Roman"/>
          <w:spacing w:val="5"/>
          <w:sz w:val="20"/>
          <w:szCs w:val="20"/>
        </w:rPr>
        <w:t>):</w:t>
      </w:r>
      <w:r>
        <w:rPr>
          <w:rFonts w:ascii="宋体" w:hAnsi="宋体" w:eastAsia="宋体" w:cs="宋体"/>
          <w:spacing w:val="5"/>
          <w:sz w:val="20"/>
          <w:szCs w:val="20"/>
        </w:rPr>
        <w:t>这种对照可认为是外对照的一种，常利用整个地区现</w:t>
      </w:r>
      <w:r>
        <w:rPr>
          <w:rFonts w:ascii="宋体" w:hAnsi="宋体" w:eastAsia="宋体" w:cs="宋体"/>
          <w:sz w:val="20"/>
          <w:szCs w:val="20"/>
        </w:rPr>
        <w:t xml:space="preserve"> </w:t>
      </w:r>
      <w:r>
        <w:rPr>
          <w:rFonts w:ascii="宋体" w:hAnsi="宋体" w:eastAsia="宋体" w:cs="宋体"/>
          <w:spacing w:val="8"/>
          <w:sz w:val="20"/>
          <w:szCs w:val="20"/>
        </w:rPr>
        <w:t>成的发病或死亡统计资料，即以全人群为对照，而不是与暴露组平行地设立一个外对照组进行调</w:t>
      </w:r>
      <w:r>
        <w:rPr>
          <w:rFonts w:ascii="宋体" w:hAnsi="宋体" w:eastAsia="宋体" w:cs="宋体"/>
          <w:spacing w:val="9"/>
          <w:sz w:val="20"/>
          <w:szCs w:val="20"/>
        </w:rPr>
        <w:t xml:space="preserve"> </w:t>
      </w:r>
      <w:r>
        <w:rPr>
          <w:rFonts w:ascii="宋体" w:hAnsi="宋体" w:eastAsia="宋体" w:cs="宋体"/>
          <w:spacing w:val="4"/>
          <w:sz w:val="20"/>
          <w:szCs w:val="20"/>
        </w:rPr>
        <w:t>查。它的优点是对比资料容易得到，缺点是资料比较粗糙，可比</w:t>
      </w:r>
      <w:r>
        <w:rPr>
          <w:rFonts w:ascii="宋体" w:hAnsi="宋体" w:eastAsia="宋体" w:cs="宋体"/>
          <w:spacing w:val="3"/>
          <w:sz w:val="20"/>
          <w:szCs w:val="20"/>
        </w:rPr>
        <w:t>性较差，总人口对照一般用于总人</w:t>
      </w:r>
      <w:r>
        <w:rPr>
          <w:rFonts w:ascii="宋体" w:hAnsi="宋体" w:eastAsia="宋体" w:cs="宋体"/>
          <w:sz w:val="20"/>
          <w:szCs w:val="20"/>
        </w:rPr>
        <w:t xml:space="preserve"> </w:t>
      </w:r>
      <w:r>
        <w:rPr>
          <w:rFonts w:ascii="宋体" w:hAnsi="宋体" w:eastAsia="宋体" w:cs="宋体"/>
          <w:spacing w:val="7"/>
          <w:sz w:val="20"/>
          <w:szCs w:val="20"/>
        </w:rPr>
        <w:t>群中暴露者的比例很小的情形。</w:t>
      </w:r>
    </w:p>
    <w:p w14:paraId="31615512">
      <w:pPr>
        <w:spacing w:before="164" w:line="352" w:lineRule="auto"/>
        <w:ind w:left="739" w:right="34" w:firstLine="430"/>
        <w:jc w:val="both"/>
        <w:rPr>
          <w:rFonts w:ascii="宋体" w:hAnsi="宋体" w:eastAsia="宋体" w:cs="宋体"/>
          <w:sz w:val="20"/>
          <w:szCs w:val="20"/>
        </w:rPr>
      </w:pPr>
      <w:r>
        <w:rPr>
          <w:rFonts w:ascii="宋体" w:hAnsi="宋体" w:eastAsia="宋体" w:cs="宋体"/>
          <w:spacing w:val="3"/>
          <w:sz w:val="20"/>
          <w:szCs w:val="20"/>
        </w:rPr>
        <w:t>当采用总人口作对照时，并不是将暴露组和总人口的发病率直接比较，而是通过计算标化比指</w:t>
      </w:r>
      <w:r>
        <w:rPr>
          <w:rFonts w:ascii="宋体" w:hAnsi="宋体" w:eastAsia="宋体" w:cs="宋体"/>
          <w:spacing w:val="9"/>
          <w:sz w:val="20"/>
          <w:szCs w:val="20"/>
        </w:rPr>
        <w:t xml:space="preserve"> </w:t>
      </w:r>
      <w:r>
        <w:rPr>
          <w:rFonts w:ascii="宋体" w:hAnsi="宋体" w:eastAsia="宋体" w:cs="宋体"/>
          <w:spacing w:val="4"/>
          <w:sz w:val="20"/>
          <w:szCs w:val="20"/>
        </w:rPr>
        <w:t>标(具体计算方法见本章第三节)。此外，在利用总人口</w:t>
      </w:r>
      <w:r>
        <w:rPr>
          <w:rFonts w:ascii="宋体" w:hAnsi="宋体" w:eastAsia="宋体" w:cs="宋体"/>
          <w:spacing w:val="3"/>
          <w:sz w:val="20"/>
          <w:szCs w:val="20"/>
        </w:rPr>
        <w:t>作对照时，尽量选择与暴露人群在时间、地</w:t>
      </w:r>
      <w:r>
        <w:rPr>
          <w:rFonts w:ascii="宋体" w:hAnsi="宋体" w:eastAsia="宋体" w:cs="宋体"/>
          <w:sz w:val="20"/>
          <w:szCs w:val="20"/>
        </w:rPr>
        <w:t xml:space="preserve"> </w:t>
      </w:r>
      <w:r>
        <w:rPr>
          <w:rFonts w:ascii="宋体" w:hAnsi="宋体" w:eastAsia="宋体" w:cs="宋体"/>
          <w:spacing w:val="2"/>
          <w:sz w:val="20"/>
          <w:szCs w:val="20"/>
        </w:rPr>
        <w:t>区及人群构成上相近的总人群为对照，以减少偏倚。</w:t>
      </w:r>
    </w:p>
    <w:p w14:paraId="4294688D">
      <w:pPr>
        <w:pStyle w:val="2"/>
        <w:spacing w:before="211" w:line="222" w:lineRule="auto"/>
        <w:ind w:left="1172"/>
        <w:outlineLvl w:val="2"/>
        <w:rPr>
          <w:sz w:val="20"/>
          <w:szCs w:val="20"/>
        </w:rPr>
      </w:pPr>
      <w:bookmarkStart w:id="98" w:name="bookmark60"/>
      <w:bookmarkEnd w:id="98"/>
      <w:r>
        <w:rPr>
          <w:b/>
          <w:bCs/>
          <w:spacing w:val="-15"/>
          <w:sz w:val="20"/>
          <w:szCs w:val="20"/>
        </w:rPr>
        <w:t>四</w:t>
      </w:r>
      <w:r>
        <w:rPr>
          <w:spacing w:val="32"/>
          <w:sz w:val="20"/>
          <w:szCs w:val="20"/>
        </w:rPr>
        <w:t xml:space="preserve"> </w:t>
      </w:r>
      <w:r>
        <w:rPr>
          <w:b/>
          <w:bCs/>
          <w:spacing w:val="-15"/>
          <w:sz w:val="20"/>
          <w:szCs w:val="20"/>
        </w:rPr>
        <w:t>、确</w:t>
      </w:r>
      <w:r>
        <w:rPr>
          <w:spacing w:val="-24"/>
          <w:sz w:val="20"/>
          <w:szCs w:val="20"/>
        </w:rPr>
        <w:t xml:space="preserve"> </w:t>
      </w:r>
      <w:r>
        <w:rPr>
          <w:b/>
          <w:bCs/>
          <w:spacing w:val="-15"/>
          <w:sz w:val="20"/>
          <w:szCs w:val="20"/>
        </w:rPr>
        <w:t>定</w:t>
      </w:r>
      <w:r>
        <w:rPr>
          <w:spacing w:val="-23"/>
          <w:sz w:val="20"/>
          <w:szCs w:val="20"/>
        </w:rPr>
        <w:t xml:space="preserve"> </w:t>
      </w:r>
      <w:r>
        <w:rPr>
          <w:b/>
          <w:bCs/>
          <w:spacing w:val="-15"/>
          <w:sz w:val="20"/>
          <w:szCs w:val="20"/>
        </w:rPr>
        <w:t>样</w:t>
      </w:r>
      <w:r>
        <w:rPr>
          <w:spacing w:val="-20"/>
          <w:sz w:val="20"/>
          <w:szCs w:val="20"/>
        </w:rPr>
        <w:t xml:space="preserve"> </w:t>
      </w:r>
      <w:r>
        <w:rPr>
          <w:b/>
          <w:bCs/>
          <w:spacing w:val="-15"/>
          <w:sz w:val="20"/>
          <w:szCs w:val="20"/>
        </w:rPr>
        <w:t>本</w:t>
      </w:r>
      <w:r>
        <w:rPr>
          <w:spacing w:val="-19"/>
          <w:sz w:val="20"/>
          <w:szCs w:val="20"/>
        </w:rPr>
        <w:t xml:space="preserve"> </w:t>
      </w:r>
      <w:r>
        <w:rPr>
          <w:b/>
          <w:bCs/>
          <w:spacing w:val="-15"/>
          <w:sz w:val="20"/>
          <w:szCs w:val="20"/>
        </w:rPr>
        <w:t>量</w:t>
      </w:r>
    </w:p>
    <w:p w14:paraId="220BD518">
      <w:pPr>
        <w:pStyle w:val="2"/>
        <w:spacing w:before="282" w:line="222" w:lineRule="auto"/>
        <w:ind w:left="1170"/>
        <w:rPr>
          <w:sz w:val="20"/>
          <w:szCs w:val="20"/>
        </w:rPr>
      </w:pPr>
      <w:r>
        <w:rPr>
          <w:spacing w:val="23"/>
          <w:sz w:val="20"/>
          <w:szCs w:val="20"/>
        </w:rPr>
        <w:t>(一)计算样本量时需考虑的问题</w:t>
      </w:r>
    </w:p>
    <w:p w14:paraId="2B61A06C">
      <w:pPr>
        <w:pStyle w:val="2"/>
        <w:spacing w:before="121" w:line="288" w:lineRule="auto"/>
        <w:ind w:left="739" w:right="38" w:firstLine="430"/>
        <w:rPr>
          <w:rFonts w:ascii="宋体" w:hAnsi="宋体" w:eastAsia="宋体" w:cs="宋体"/>
          <w:sz w:val="20"/>
          <w:szCs w:val="20"/>
        </w:rPr>
      </w:pPr>
      <w:r>
        <w:rPr>
          <w:rFonts w:ascii="宋体" w:hAnsi="宋体" w:eastAsia="宋体" w:cs="宋体"/>
          <w:spacing w:val="6"/>
          <w:sz w:val="20"/>
          <w:szCs w:val="20"/>
        </w:rPr>
        <w:t xml:space="preserve">1. </w:t>
      </w:r>
      <w:r>
        <w:rPr>
          <w:spacing w:val="6"/>
          <w:sz w:val="20"/>
          <w:szCs w:val="20"/>
        </w:rPr>
        <w:t>暴露组与对照组的比例</w:t>
      </w:r>
      <w:r>
        <w:rPr>
          <w:spacing w:val="86"/>
          <w:sz w:val="20"/>
          <w:szCs w:val="20"/>
        </w:rPr>
        <w:t xml:space="preserve"> </w:t>
      </w:r>
      <w:r>
        <w:rPr>
          <w:rFonts w:ascii="宋体" w:hAnsi="宋体" w:eastAsia="宋体" w:cs="宋体"/>
          <w:spacing w:val="6"/>
          <w:sz w:val="20"/>
          <w:szCs w:val="20"/>
        </w:rPr>
        <w:t>一般说来，对照组的样本量不宜少于暴露组的样本量，</w:t>
      </w:r>
      <w:r>
        <w:rPr>
          <w:rFonts w:ascii="宋体" w:hAnsi="宋体" w:eastAsia="宋体" w:cs="宋体"/>
          <w:spacing w:val="5"/>
          <w:sz w:val="20"/>
          <w:szCs w:val="20"/>
        </w:rPr>
        <w:t>通常是等</w:t>
      </w:r>
      <w:r>
        <w:rPr>
          <w:rFonts w:ascii="宋体" w:hAnsi="宋体" w:eastAsia="宋体" w:cs="宋体"/>
          <w:sz w:val="20"/>
          <w:szCs w:val="20"/>
        </w:rPr>
        <w:t xml:space="preserve"> </w:t>
      </w:r>
      <w:r>
        <w:rPr>
          <w:rFonts w:ascii="宋体" w:hAnsi="宋体" w:eastAsia="宋体" w:cs="宋体"/>
          <w:spacing w:val="13"/>
          <w:sz w:val="20"/>
          <w:szCs w:val="20"/>
        </w:rPr>
        <w:t>量的。</w:t>
      </w:r>
    </w:p>
    <w:p w14:paraId="343FB8C3">
      <w:pPr>
        <w:pStyle w:val="2"/>
        <w:spacing w:before="145" w:line="311" w:lineRule="auto"/>
        <w:ind w:left="739" w:right="9" w:firstLine="430"/>
        <w:rPr>
          <w:rFonts w:ascii="宋体" w:hAnsi="宋体" w:eastAsia="宋体" w:cs="宋体"/>
          <w:sz w:val="20"/>
          <w:szCs w:val="20"/>
        </w:rPr>
      </w:pPr>
      <w:r>
        <w:rPr>
          <w:rFonts w:ascii="宋体" w:hAnsi="宋体" w:eastAsia="宋体" w:cs="宋体"/>
          <w:spacing w:val="6"/>
          <w:sz w:val="20"/>
          <w:szCs w:val="20"/>
        </w:rPr>
        <w:t xml:space="preserve">2. </w:t>
      </w:r>
      <w:r>
        <w:rPr>
          <w:spacing w:val="6"/>
          <w:sz w:val="20"/>
          <w:szCs w:val="20"/>
        </w:rPr>
        <w:t xml:space="preserve">失访率  </w:t>
      </w:r>
      <w:r>
        <w:rPr>
          <w:rFonts w:ascii="宋体" w:hAnsi="宋体" w:eastAsia="宋体" w:cs="宋体"/>
          <w:spacing w:val="6"/>
          <w:sz w:val="20"/>
          <w:szCs w:val="20"/>
        </w:rPr>
        <w:t>队列研究通常要追踪观察相当长一段时间，这期间内研究对象的失访几乎是难以</w:t>
      </w:r>
      <w:r>
        <w:rPr>
          <w:rFonts w:ascii="宋体" w:hAnsi="宋体" w:eastAsia="宋体" w:cs="宋体"/>
          <w:sz w:val="20"/>
          <w:szCs w:val="20"/>
        </w:rPr>
        <w:t xml:space="preserve"> </w:t>
      </w:r>
      <w:r>
        <w:rPr>
          <w:rFonts w:ascii="宋体" w:hAnsi="宋体" w:eastAsia="宋体" w:cs="宋体"/>
          <w:spacing w:val="4"/>
          <w:sz w:val="20"/>
          <w:szCs w:val="20"/>
        </w:rPr>
        <w:t>避免的。因此在计算样本量时，需要预先估计一下失访率，适</w:t>
      </w:r>
      <w:r>
        <w:rPr>
          <w:rFonts w:ascii="宋体" w:hAnsi="宋体" w:eastAsia="宋体" w:cs="宋体"/>
          <w:spacing w:val="3"/>
          <w:sz w:val="20"/>
          <w:szCs w:val="20"/>
        </w:rPr>
        <w:t>当扩大样本量，防止研究的最后阶段</w:t>
      </w:r>
      <w:r>
        <w:rPr>
          <w:rFonts w:ascii="宋体" w:hAnsi="宋体" w:eastAsia="宋体" w:cs="宋体"/>
          <w:sz w:val="20"/>
          <w:szCs w:val="20"/>
        </w:rPr>
        <w:t xml:space="preserve"> </w:t>
      </w:r>
      <w:r>
        <w:rPr>
          <w:rFonts w:ascii="宋体" w:hAnsi="宋体" w:eastAsia="宋体" w:cs="宋体"/>
          <w:spacing w:val="15"/>
          <w:sz w:val="20"/>
          <w:szCs w:val="20"/>
        </w:rPr>
        <w:t>因失访导致样本量不足影响结果分析。假设失访率为10%,则可按计算出来的样本</w:t>
      </w:r>
      <w:r>
        <w:rPr>
          <w:rFonts w:ascii="宋体" w:hAnsi="宋体" w:eastAsia="宋体" w:cs="宋体"/>
          <w:spacing w:val="14"/>
          <w:sz w:val="20"/>
          <w:szCs w:val="20"/>
        </w:rPr>
        <w:t>量再增加10%</w:t>
      </w:r>
      <w:r>
        <w:rPr>
          <w:rFonts w:ascii="宋体" w:hAnsi="宋体" w:eastAsia="宋体" w:cs="宋体"/>
          <w:sz w:val="20"/>
          <w:szCs w:val="20"/>
        </w:rPr>
        <w:t xml:space="preserve"> </w:t>
      </w:r>
      <w:r>
        <w:rPr>
          <w:rFonts w:ascii="宋体" w:hAnsi="宋体" w:eastAsia="宋体" w:cs="宋体"/>
          <w:spacing w:val="7"/>
          <w:sz w:val="20"/>
          <w:szCs w:val="20"/>
        </w:rPr>
        <w:t>作为实际样本量。</w:t>
      </w:r>
    </w:p>
    <w:p w14:paraId="358B694B">
      <w:pPr>
        <w:pStyle w:val="2"/>
        <w:spacing w:before="151" w:line="280" w:lineRule="auto"/>
        <w:ind w:left="739" w:right="38" w:firstLine="430"/>
        <w:rPr>
          <w:rFonts w:ascii="宋体" w:hAnsi="宋体" w:eastAsia="宋体" w:cs="宋体"/>
          <w:sz w:val="20"/>
          <w:szCs w:val="20"/>
        </w:rPr>
      </w:pPr>
      <w:r>
        <w:rPr>
          <w:rFonts w:ascii="宋体" w:hAnsi="宋体" w:eastAsia="宋体" w:cs="宋体"/>
          <w:spacing w:val="9"/>
          <w:sz w:val="20"/>
          <w:szCs w:val="20"/>
        </w:rPr>
        <w:t xml:space="preserve">3. </w:t>
      </w:r>
      <w:r>
        <w:rPr>
          <w:spacing w:val="9"/>
          <w:sz w:val="20"/>
          <w:szCs w:val="20"/>
        </w:rPr>
        <w:t>结局指标的类型</w:t>
      </w:r>
      <w:r>
        <w:rPr>
          <w:spacing w:val="71"/>
          <w:sz w:val="20"/>
          <w:szCs w:val="20"/>
        </w:rPr>
        <w:t xml:space="preserve"> </w:t>
      </w:r>
      <w:r>
        <w:rPr>
          <w:rFonts w:ascii="宋体" w:hAnsi="宋体" w:eastAsia="宋体" w:cs="宋体"/>
          <w:spacing w:val="9"/>
          <w:sz w:val="20"/>
          <w:szCs w:val="20"/>
        </w:rPr>
        <w:t>这是影响样本量的重要因素，采用不同类型</w:t>
      </w:r>
      <w:r>
        <w:rPr>
          <w:rFonts w:ascii="宋体" w:hAnsi="宋体" w:eastAsia="宋体" w:cs="宋体"/>
          <w:spacing w:val="8"/>
          <w:sz w:val="20"/>
          <w:szCs w:val="20"/>
        </w:rPr>
        <w:t>的结局指标(连续性变量或</w:t>
      </w:r>
      <w:r>
        <w:rPr>
          <w:rFonts w:ascii="宋体" w:hAnsi="宋体" w:eastAsia="宋体" w:cs="宋体"/>
          <w:sz w:val="20"/>
          <w:szCs w:val="20"/>
        </w:rPr>
        <w:t xml:space="preserve"> </w:t>
      </w:r>
      <w:r>
        <w:rPr>
          <w:rFonts w:ascii="宋体" w:hAnsi="宋体" w:eastAsia="宋体" w:cs="宋体"/>
          <w:spacing w:val="2"/>
          <w:sz w:val="20"/>
          <w:szCs w:val="20"/>
        </w:rPr>
        <w:t>分类变量)时，样本量的估计方法不同。</w:t>
      </w:r>
    </w:p>
    <w:p w14:paraId="5373A636">
      <w:pPr>
        <w:pStyle w:val="2"/>
        <w:spacing w:before="146" w:line="222" w:lineRule="auto"/>
        <w:ind w:left="1170"/>
        <w:rPr>
          <w:sz w:val="20"/>
          <w:szCs w:val="20"/>
        </w:rPr>
      </w:pPr>
      <w:r>
        <w:rPr>
          <w:spacing w:val="26"/>
          <w:sz w:val="20"/>
          <w:szCs w:val="20"/>
        </w:rPr>
        <w:t>(二)影响样本量的因素</w:t>
      </w:r>
    </w:p>
    <w:p w14:paraId="6761E8C2">
      <w:pPr>
        <w:pStyle w:val="2"/>
        <w:spacing w:before="127" w:line="212" w:lineRule="auto"/>
        <w:ind w:left="1170"/>
        <w:rPr>
          <w:rFonts w:ascii="宋体" w:hAnsi="宋体" w:eastAsia="宋体" w:cs="宋体"/>
          <w:sz w:val="20"/>
          <w:szCs w:val="20"/>
        </w:rPr>
      </w:pPr>
      <w:r>
        <w:rPr>
          <w:rFonts w:ascii="Times New Roman" w:hAnsi="Times New Roman" w:eastAsia="Times New Roman" w:cs="Times New Roman"/>
          <w:spacing w:val="9"/>
          <w:sz w:val="20"/>
          <w:szCs w:val="20"/>
        </w:rPr>
        <w:t>1.</w:t>
      </w:r>
      <w:r>
        <w:rPr>
          <w:rFonts w:ascii="Times New Roman" w:hAnsi="Times New Roman" w:eastAsia="Times New Roman" w:cs="Times New Roman"/>
          <w:spacing w:val="1"/>
          <w:sz w:val="20"/>
          <w:szCs w:val="20"/>
        </w:rPr>
        <w:t xml:space="preserve">   </w:t>
      </w:r>
      <w:r>
        <w:rPr>
          <w:spacing w:val="9"/>
          <w:sz w:val="20"/>
          <w:szCs w:val="20"/>
        </w:rPr>
        <w:t>一般人群(对照人群)中所研究疾病的发病率</w:t>
      </w:r>
      <w:r>
        <w:rPr>
          <w:rFonts w:ascii="Times New Roman" w:hAnsi="Times New Roman" w:eastAsia="Times New Roman" w:cs="Times New Roman"/>
          <w:spacing w:val="9"/>
          <w:sz w:val="20"/>
          <w:szCs w:val="20"/>
        </w:rPr>
        <w:t>(</w:t>
      </w:r>
      <w:r>
        <w:rPr>
          <w:rFonts w:ascii="Times New Roman" w:hAnsi="Times New Roman" w:eastAsia="Times New Roman" w:cs="Times New Roman"/>
          <w:sz w:val="20"/>
          <w:szCs w:val="20"/>
        </w:rPr>
        <w:t>po</w:t>
      </w:r>
      <w:r>
        <w:rPr>
          <w:rFonts w:ascii="Times New Roman" w:hAnsi="Times New Roman" w:eastAsia="Times New Roman" w:cs="Times New Roman"/>
          <w:spacing w:val="9"/>
          <w:sz w:val="20"/>
          <w:szCs w:val="20"/>
        </w:rPr>
        <w:t>)</w:t>
      </w:r>
      <w:r>
        <w:rPr>
          <w:rFonts w:ascii="Times New Roman" w:hAnsi="Times New Roman" w:eastAsia="Times New Roman" w:cs="Times New Roman"/>
          <w:spacing w:val="22"/>
          <w:w w:val="101"/>
          <w:sz w:val="20"/>
          <w:szCs w:val="20"/>
        </w:rPr>
        <w:t xml:space="preserve">  </w:t>
      </w:r>
      <w:r>
        <w:rPr>
          <w:rFonts w:ascii="宋体" w:hAnsi="宋体" w:eastAsia="宋体" w:cs="宋体"/>
          <w:spacing w:val="9"/>
          <w:sz w:val="20"/>
          <w:szCs w:val="20"/>
        </w:rPr>
        <w:t>在暴露组发病率</w:t>
      </w:r>
      <w:r>
        <w:rPr>
          <w:rFonts w:ascii="Times New Roman" w:hAnsi="Times New Roman" w:eastAsia="Times New Roman" w:cs="Times New Roman"/>
          <w:spacing w:val="9"/>
          <w:sz w:val="20"/>
          <w:szCs w:val="20"/>
        </w:rPr>
        <w:t>p₁</w:t>
      </w:r>
      <w:r>
        <w:rPr>
          <w:rFonts w:ascii="Times New Roman" w:hAnsi="Times New Roman" w:eastAsia="Times New Roman" w:cs="Times New Roman"/>
          <w:spacing w:val="8"/>
          <w:sz w:val="20"/>
          <w:szCs w:val="20"/>
        </w:rPr>
        <w:t>&gt;</w:t>
      </w:r>
      <w:r>
        <w:rPr>
          <w:rFonts w:ascii="Times New Roman" w:hAnsi="Times New Roman" w:eastAsia="Times New Roman" w:cs="Times New Roman"/>
          <w:sz w:val="20"/>
          <w:szCs w:val="20"/>
        </w:rPr>
        <w:t>po</w:t>
      </w:r>
      <w:r>
        <w:rPr>
          <w:rFonts w:ascii="Times New Roman" w:hAnsi="Times New Roman" w:eastAsia="Times New Roman" w:cs="Times New Roman"/>
          <w:spacing w:val="8"/>
          <w:sz w:val="20"/>
          <w:szCs w:val="20"/>
        </w:rPr>
        <w:t>,</w:t>
      </w:r>
      <w:r>
        <w:rPr>
          <w:rFonts w:ascii="Times New Roman" w:hAnsi="Times New Roman" w:eastAsia="Times New Roman" w:cs="Times New Roman"/>
          <w:spacing w:val="18"/>
          <w:w w:val="101"/>
          <w:sz w:val="20"/>
          <w:szCs w:val="20"/>
        </w:rPr>
        <w:t xml:space="preserve">  </w:t>
      </w:r>
      <w:r>
        <w:rPr>
          <w:rFonts w:ascii="宋体" w:hAnsi="宋体" w:eastAsia="宋体" w:cs="宋体"/>
          <w:spacing w:val="8"/>
          <w:sz w:val="20"/>
          <w:szCs w:val="20"/>
        </w:rPr>
        <w:t>且</w:t>
      </w:r>
      <w:r>
        <w:rPr>
          <w:rFonts w:ascii="宋体" w:hAnsi="宋体" w:eastAsia="宋体" w:cs="宋体"/>
          <w:spacing w:val="-42"/>
          <w:sz w:val="20"/>
          <w:szCs w:val="20"/>
        </w:rPr>
        <w:t xml:space="preserve"> </w:t>
      </w:r>
      <w:r>
        <w:rPr>
          <w:rFonts w:ascii="Times New Roman" w:hAnsi="Times New Roman" w:eastAsia="Times New Roman" w:cs="Times New Roman"/>
          <w:spacing w:val="8"/>
          <w:sz w:val="20"/>
          <w:szCs w:val="20"/>
        </w:rPr>
        <w:t xml:space="preserve">p₁ </w:t>
      </w:r>
      <w:r>
        <w:rPr>
          <w:rFonts w:ascii="宋体" w:hAnsi="宋体" w:eastAsia="宋体" w:cs="宋体"/>
          <w:spacing w:val="8"/>
          <w:sz w:val="20"/>
          <w:szCs w:val="20"/>
        </w:rPr>
        <w:t>与</w:t>
      </w:r>
      <w:r>
        <w:rPr>
          <w:rFonts w:ascii="宋体" w:hAnsi="宋体" w:eastAsia="宋体" w:cs="宋体"/>
          <w:spacing w:val="-48"/>
          <w:sz w:val="20"/>
          <w:szCs w:val="20"/>
        </w:rPr>
        <w:t xml:space="preserve"> </w:t>
      </w:r>
      <w:r>
        <w:rPr>
          <w:rFonts w:ascii="Times New Roman" w:hAnsi="Times New Roman" w:eastAsia="Times New Roman" w:cs="Times New Roman"/>
          <w:sz w:val="20"/>
          <w:szCs w:val="20"/>
        </w:rPr>
        <w:t>po</w:t>
      </w:r>
      <w:r>
        <w:rPr>
          <w:rFonts w:ascii="宋体" w:hAnsi="宋体" w:eastAsia="宋体" w:cs="宋体"/>
          <w:spacing w:val="8"/>
          <w:sz w:val="20"/>
          <w:szCs w:val="20"/>
        </w:rPr>
        <w:t>之差</w:t>
      </w:r>
    </w:p>
    <w:p w14:paraId="17B5B346">
      <w:pPr>
        <w:spacing w:before="150" w:line="212" w:lineRule="auto"/>
        <w:ind w:left="739"/>
        <w:rPr>
          <w:rFonts w:ascii="宋体" w:hAnsi="宋体" w:eastAsia="宋体" w:cs="宋体"/>
          <w:sz w:val="20"/>
          <w:szCs w:val="20"/>
        </w:rPr>
      </w:pPr>
      <w:r>
        <w:rPr>
          <w:rFonts w:ascii="Times New Roman" w:hAnsi="Times New Roman" w:eastAsia="Times New Roman" w:cs="Times New Roman"/>
          <w:sz w:val="20"/>
          <w:szCs w:val="20"/>
        </w:rPr>
        <w:t xml:space="preserve">(d)  </w:t>
      </w:r>
      <w:r>
        <w:rPr>
          <w:rFonts w:ascii="宋体" w:hAnsi="宋体" w:eastAsia="宋体" w:cs="宋体"/>
          <w:sz w:val="20"/>
          <w:szCs w:val="20"/>
        </w:rPr>
        <w:t>一定的条件下，</w:t>
      </w:r>
      <w:r>
        <w:rPr>
          <w:rFonts w:ascii="Times New Roman" w:hAnsi="Times New Roman" w:eastAsia="Times New Roman" w:cs="Times New Roman"/>
          <w:sz w:val="20"/>
          <w:szCs w:val="20"/>
        </w:rPr>
        <w:t xml:space="preserve">(po+d/2)  </w:t>
      </w:r>
      <w:r>
        <w:rPr>
          <w:rFonts w:ascii="宋体" w:hAnsi="宋体" w:eastAsia="宋体" w:cs="宋体"/>
          <w:sz w:val="20"/>
          <w:szCs w:val="20"/>
        </w:rPr>
        <w:t>越接近0.5,则所需样本量就越大。</w:t>
      </w:r>
    </w:p>
    <w:p w14:paraId="367D1A1D">
      <w:pPr>
        <w:pStyle w:val="2"/>
        <w:spacing w:before="151" w:line="281" w:lineRule="auto"/>
        <w:ind w:left="739" w:right="38" w:firstLine="430"/>
        <w:rPr>
          <w:rFonts w:ascii="宋体" w:hAnsi="宋体" w:eastAsia="宋体" w:cs="宋体"/>
          <w:sz w:val="20"/>
          <w:szCs w:val="20"/>
        </w:rPr>
      </w:pPr>
      <w:r>
        <w:rPr>
          <w:rFonts w:ascii="宋体" w:hAnsi="宋体" w:eastAsia="宋体" w:cs="宋体"/>
          <w:spacing w:val="3"/>
          <w:sz w:val="20"/>
          <w:szCs w:val="20"/>
        </w:rPr>
        <w:t>2. 暴露组与对照组人群发病率之差</w:t>
      </w:r>
      <w:r>
        <w:rPr>
          <w:spacing w:val="3"/>
          <w:sz w:val="20"/>
          <w:szCs w:val="20"/>
        </w:rPr>
        <w:t xml:space="preserve">(d </w:t>
      </w:r>
      <w:r>
        <w:rPr>
          <w:rFonts w:ascii="宋体" w:hAnsi="宋体" w:eastAsia="宋体" w:cs="宋体"/>
          <w:spacing w:val="3"/>
          <w:sz w:val="20"/>
          <w:szCs w:val="20"/>
        </w:rPr>
        <w:t>)d  值越大，所需样本量越小。</w:t>
      </w:r>
      <w:r>
        <w:rPr>
          <w:rFonts w:ascii="宋体" w:hAnsi="宋体" w:eastAsia="宋体" w:cs="宋体"/>
          <w:spacing w:val="2"/>
          <w:sz w:val="20"/>
          <w:szCs w:val="20"/>
        </w:rPr>
        <w:t>如果暴露组人群发病率</w:t>
      </w:r>
      <w:r>
        <w:rPr>
          <w:rFonts w:ascii="宋体" w:hAnsi="宋体" w:eastAsia="宋体" w:cs="宋体"/>
          <w:sz w:val="20"/>
          <w:szCs w:val="20"/>
        </w:rPr>
        <w:t xml:space="preserve"> </w:t>
      </w:r>
      <w:r>
        <w:rPr>
          <w:rFonts w:ascii="Times New Roman" w:hAnsi="Times New Roman" w:eastAsia="Times New Roman" w:cs="Times New Roman"/>
          <w:spacing w:val="3"/>
          <w:sz w:val="20"/>
          <w:szCs w:val="20"/>
        </w:rPr>
        <w:t>p1</w:t>
      </w:r>
      <w:r>
        <w:rPr>
          <w:rFonts w:ascii="宋体" w:hAnsi="宋体" w:eastAsia="宋体" w:cs="宋体"/>
          <w:spacing w:val="3"/>
          <w:sz w:val="20"/>
          <w:szCs w:val="20"/>
        </w:rPr>
        <w:t>不能获得，可设法取得其相对危险度</w:t>
      </w:r>
      <w:r>
        <w:rPr>
          <w:rFonts w:ascii="Times New Roman" w:hAnsi="Times New Roman" w:eastAsia="Times New Roman" w:cs="Times New Roman"/>
          <w:spacing w:val="3"/>
          <w:sz w:val="20"/>
          <w:szCs w:val="20"/>
        </w:rPr>
        <w:t>(</w:t>
      </w:r>
      <w:r>
        <w:rPr>
          <w:rFonts w:ascii="Times New Roman" w:hAnsi="Times New Roman" w:eastAsia="Times New Roman" w:cs="Times New Roman"/>
          <w:sz w:val="20"/>
          <w:szCs w:val="20"/>
        </w:rPr>
        <w:t>RR</w:t>
      </w:r>
      <w:r>
        <w:rPr>
          <w:rFonts w:ascii="Times New Roman" w:hAnsi="Times New Roman" w:eastAsia="Times New Roman" w:cs="Times New Roman"/>
          <w:spacing w:val="3"/>
          <w:sz w:val="20"/>
          <w:szCs w:val="20"/>
        </w:rPr>
        <w:t xml:space="preserve">)  </w:t>
      </w:r>
      <w:r>
        <w:rPr>
          <w:rFonts w:ascii="宋体" w:hAnsi="宋体" w:eastAsia="宋体" w:cs="宋体"/>
          <w:spacing w:val="3"/>
          <w:sz w:val="20"/>
          <w:szCs w:val="20"/>
        </w:rPr>
        <w:t>的估计值，由公</w:t>
      </w:r>
      <w:r>
        <w:rPr>
          <w:rFonts w:ascii="宋体" w:hAnsi="宋体" w:eastAsia="宋体" w:cs="宋体"/>
          <w:spacing w:val="2"/>
          <w:sz w:val="20"/>
          <w:szCs w:val="20"/>
        </w:rPr>
        <w:t>式</w:t>
      </w:r>
      <w:r>
        <w:rPr>
          <w:rFonts w:ascii="Times New Roman" w:hAnsi="Times New Roman" w:eastAsia="Times New Roman" w:cs="Times New Roman"/>
          <w:spacing w:val="2"/>
          <w:sz w:val="20"/>
          <w:szCs w:val="20"/>
        </w:rPr>
        <w:t>p₁=</w:t>
      </w:r>
      <w:r>
        <w:rPr>
          <w:rFonts w:ascii="Times New Roman" w:hAnsi="Times New Roman" w:eastAsia="Times New Roman" w:cs="Times New Roman"/>
          <w:sz w:val="20"/>
          <w:szCs w:val="20"/>
        </w:rPr>
        <w:t>RRxpo</w:t>
      </w:r>
      <w:r>
        <w:rPr>
          <w:rFonts w:ascii="Times New Roman" w:hAnsi="Times New Roman" w:eastAsia="Times New Roman" w:cs="Times New Roman"/>
          <w:spacing w:val="2"/>
          <w:sz w:val="20"/>
          <w:szCs w:val="20"/>
        </w:rPr>
        <w:t xml:space="preserve"> </w:t>
      </w:r>
      <w:r>
        <w:rPr>
          <w:rFonts w:ascii="宋体" w:hAnsi="宋体" w:eastAsia="宋体" w:cs="宋体"/>
          <w:spacing w:val="2"/>
          <w:sz w:val="20"/>
          <w:szCs w:val="20"/>
        </w:rPr>
        <w:t>可求得</w:t>
      </w:r>
      <w:r>
        <w:rPr>
          <w:rFonts w:ascii="Times New Roman" w:hAnsi="Times New Roman" w:eastAsia="Times New Roman" w:cs="Times New Roman"/>
          <w:spacing w:val="2"/>
          <w:sz w:val="20"/>
          <w:szCs w:val="20"/>
        </w:rPr>
        <w:t>p₁</w:t>
      </w:r>
      <w:r>
        <w:rPr>
          <w:rFonts w:ascii="宋体" w:hAnsi="宋体" w:eastAsia="宋体" w:cs="宋体"/>
          <w:spacing w:val="2"/>
          <w:sz w:val="20"/>
          <w:szCs w:val="20"/>
        </w:rPr>
        <w:t>。</w:t>
      </w:r>
    </w:p>
    <w:p w14:paraId="4A2FB961">
      <w:pPr>
        <w:pStyle w:val="2"/>
        <w:spacing w:before="122" w:line="292" w:lineRule="auto"/>
        <w:ind w:left="739" w:right="40" w:firstLine="430"/>
        <w:rPr>
          <w:rFonts w:ascii="宋体" w:hAnsi="宋体" w:eastAsia="宋体" w:cs="宋体"/>
          <w:sz w:val="20"/>
          <w:szCs w:val="20"/>
        </w:rPr>
      </w:pPr>
      <w:r>
        <w:rPr>
          <w:rFonts w:ascii="Times New Roman" w:hAnsi="Times New Roman" w:eastAsia="Times New Roman" w:cs="Times New Roman"/>
          <w:spacing w:val="8"/>
          <w:sz w:val="20"/>
          <w:szCs w:val="20"/>
        </w:rPr>
        <w:t xml:space="preserve">3.   </w:t>
      </w:r>
      <w:r>
        <w:rPr>
          <w:spacing w:val="8"/>
          <w:sz w:val="20"/>
          <w:szCs w:val="20"/>
        </w:rPr>
        <w:t>显著性水平</w:t>
      </w:r>
      <w:r>
        <w:rPr>
          <w:spacing w:val="42"/>
          <w:sz w:val="20"/>
          <w:szCs w:val="20"/>
        </w:rPr>
        <w:t xml:space="preserve"> </w:t>
      </w:r>
      <w:r>
        <w:rPr>
          <w:rFonts w:ascii="宋体" w:hAnsi="宋体" w:eastAsia="宋体" w:cs="宋体"/>
          <w:spacing w:val="8"/>
          <w:sz w:val="20"/>
          <w:szCs w:val="20"/>
        </w:rPr>
        <w:t>即检验假设时第</w:t>
      </w:r>
      <w:r>
        <w:rPr>
          <w:rFonts w:ascii="Times New Roman" w:hAnsi="Times New Roman" w:eastAsia="Times New Roman" w:cs="Times New Roman"/>
          <w:spacing w:val="8"/>
          <w:sz w:val="20"/>
          <w:szCs w:val="20"/>
        </w:rPr>
        <w:t xml:space="preserve">I </w:t>
      </w:r>
      <w:r>
        <w:rPr>
          <w:rFonts w:ascii="宋体" w:hAnsi="宋体" w:eastAsia="宋体" w:cs="宋体"/>
          <w:spacing w:val="8"/>
          <w:sz w:val="20"/>
          <w:szCs w:val="20"/>
        </w:rPr>
        <w:t>类错误(假阳性错误)出现的概率(α)值。假阳性错误出现</w:t>
      </w:r>
      <w:r>
        <w:rPr>
          <w:rFonts w:ascii="宋体" w:hAnsi="宋体" w:eastAsia="宋体" w:cs="宋体"/>
          <w:sz w:val="20"/>
          <w:szCs w:val="20"/>
        </w:rPr>
        <w:t xml:space="preserve"> </w:t>
      </w:r>
      <w:r>
        <w:rPr>
          <w:rFonts w:ascii="宋体" w:hAnsi="宋体" w:eastAsia="宋体" w:cs="宋体"/>
          <w:spacing w:val="3"/>
          <w:sz w:val="20"/>
          <w:szCs w:val="20"/>
        </w:rPr>
        <w:t>的概率越小，所需样本量越大。通常取α=0.05或α=0.01,取0.01时所需样本量</w:t>
      </w:r>
      <w:r>
        <w:rPr>
          <w:rFonts w:ascii="宋体" w:hAnsi="宋体" w:eastAsia="宋体" w:cs="宋体"/>
          <w:spacing w:val="2"/>
          <w:sz w:val="20"/>
          <w:szCs w:val="20"/>
        </w:rPr>
        <w:t>较取0.05时大。</w:t>
      </w:r>
    </w:p>
    <w:p w14:paraId="4788E839">
      <w:pPr>
        <w:spacing w:before="115" w:line="306" w:lineRule="auto"/>
        <w:ind w:left="739" w:right="30" w:firstLine="430"/>
        <w:rPr>
          <w:rFonts w:ascii="宋体" w:hAnsi="宋体" w:eastAsia="宋体" w:cs="宋体"/>
          <w:sz w:val="20"/>
          <w:szCs w:val="20"/>
        </w:rPr>
      </w:pPr>
      <w:r>
        <w:rPr>
          <w:rFonts w:ascii="Times New Roman" w:hAnsi="Times New Roman" w:eastAsia="Times New Roman" w:cs="Times New Roman"/>
          <w:spacing w:val="2"/>
          <w:sz w:val="20"/>
          <w:szCs w:val="20"/>
        </w:rPr>
        <w:t>4.</w:t>
      </w:r>
      <w:r>
        <w:rPr>
          <w:rFonts w:ascii="Times New Roman" w:hAnsi="Times New Roman" w:eastAsia="Times New Roman" w:cs="Times New Roman"/>
          <w:spacing w:val="16"/>
          <w:w w:val="101"/>
          <w:sz w:val="20"/>
          <w:szCs w:val="20"/>
        </w:rPr>
        <w:t xml:space="preserve">  </w:t>
      </w:r>
      <w:r>
        <w:rPr>
          <w:rFonts w:ascii="宋体" w:hAnsi="宋体" w:eastAsia="宋体" w:cs="宋体"/>
          <w:spacing w:val="2"/>
          <w:sz w:val="20"/>
          <w:szCs w:val="20"/>
        </w:rPr>
        <w:t>效</w:t>
      </w:r>
      <w:r>
        <w:rPr>
          <w:rFonts w:ascii="宋体" w:hAnsi="宋体" w:eastAsia="宋体" w:cs="宋体"/>
          <w:spacing w:val="-39"/>
          <w:sz w:val="20"/>
          <w:szCs w:val="20"/>
        </w:rPr>
        <w:t xml:space="preserve"> </w:t>
      </w:r>
      <w:r>
        <w:rPr>
          <w:rFonts w:ascii="宋体" w:hAnsi="宋体" w:eastAsia="宋体" w:cs="宋体"/>
          <w:spacing w:val="2"/>
          <w:sz w:val="20"/>
          <w:szCs w:val="20"/>
        </w:rPr>
        <w:t>力  效</w:t>
      </w:r>
      <w:r>
        <w:rPr>
          <w:rFonts w:ascii="宋体" w:hAnsi="宋体" w:eastAsia="宋体" w:cs="宋体"/>
          <w:spacing w:val="-39"/>
          <w:sz w:val="20"/>
          <w:szCs w:val="20"/>
        </w:rPr>
        <w:t xml:space="preserve"> </w:t>
      </w:r>
      <w:r>
        <w:rPr>
          <w:rFonts w:ascii="宋体" w:hAnsi="宋体" w:eastAsia="宋体" w:cs="宋体"/>
          <w:spacing w:val="2"/>
          <w:sz w:val="20"/>
          <w:szCs w:val="20"/>
        </w:rPr>
        <w:t>力</w:t>
      </w:r>
      <w:r>
        <w:rPr>
          <w:rFonts w:ascii="Times New Roman" w:hAnsi="Times New Roman" w:eastAsia="Times New Roman" w:cs="Times New Roman"/>
          <w:spacing w:val="2"/>
          <w:sz w:val="20"/>
          <w:szCs w:val="20"/>
        </w:rPr>
        <w:t>(</w:t>
      </w:r>
      <w:r>
        <w:rPr>
          <w:rFonts w:ascii="Times New Roman" w:hAnsi="Times New Roman" w:eastAsia="Times New Roman" w:cs="Times New Roman"/>
          <w:sz w:val="20"/>
          <w:szCs w:val="20"/>
        </w:rPr>
        <w:t>power</w:t>
      </w:r>
      <w:r>
        <w:rPr>
          <w:rFonts w:ascii="Times New Roman" w:hAnsi="Times New Roman" w:eastAsia="Times New Roman" w:cs="Times New Roman"/>
          <w:spacing w:val="2"/>
          <w:sz w:val="20"/>
          <w:szCs w:val="20"/>
        </w:rPr>
        <w:t xml:space="preserve">)  </w:t>
      </w:r>
      <w:r>
        <w:rPr>
          <w:rFonts w:ascii="宋体" w:hAnsi="宋体" w:eastAsia="宋体" w:cs="宋体"/>
          <w:spacing w:val="2"/>
          <w:sz w:val="20"/>
          <w:szCs w:val="20"/>
        </w:rPr>
        <w:t>又称把握度(1-β),β为检验假设时出现第Ⅱ类错误(假阴性错</w:t>
      </w:r>
      <w:r>
        <w:rPr>
          <w:rFonts w:ascii="宋体" w:hAnsi="宋体" w:eastAsia="宋体" w:cs="宋体"/>
          <w:spacing w:val="1"/>
          <w:sz w:val="20"/>
          <w:szCs w:val="20"/>
        </w:rPr>
        <w:t>误)的概</w:t>
      </w:r>
      <w:r>
        <w:rPr>
          <w:rFonts w:ascii="宋体" w:hAnsi="宋体" w:eastAsia="宋体" w:cs="宋体"/>
          <w:sz w:val="20"/>
          <w:szCs w:val="20"/>
        </w:rPr>
        <w:t xml:space="preserve"> </w:t>
      </w:r>
      <w:r>
        <w:rPr>
          <w:rFonts w:ascii="宋体" w:hAnsi="宋体" w:eastAsia="宋体" w:cs="宋体"/>
          <w:spacing w:val="-1"/>
          <w:sz w:val="20"/>
          <w:szCs w:val="20"/>
        </w:rPr>
        <w:t>率，而1-β为检验假设时能够避免假阴性的能力，即效力。若要求效力(1-β)越大，即β值越小，则</w:t>
      </w:r>
      <w:r>
        <w:rPr>
          <w:rFonts w:ascii="宋体" w:hAnsi="宋体" w:eastAsia="宋体" w:cs="宋体"/>
          <w:spacing w:val="14"/>
          <w:sz w:val="20"/>
          <w:szCs w:val="20"/>
        </w:rPr>
        <w:t xml:space="preserve"> </w:t>
      </w:r>
      <w:r>
        <w:rPr>
          <w:rFonts w:ascii="宋体" w:hAnsi="宋体" w:eastAsia="宋体" w:cs="宋体"/>
          <w:spacing w:val="6"/>
          <w:sz w:val="20"/>
          <w:szCs w:val="20"/>
        </w:rPr>
        <w:t>所需样本量越大。通常取β为0.10,有时取0.20。</w:t>
      </w:r>
    </w:p>
    <w:p w14:paraId="0AA38DB0">
      <w:pPr>
        <w:pStyle w:val="2"/>
        <w:spacing w:before="155" w:line="222" w:lineRule="auto"/>
        <w:ind w:left="1172"/>
        <w:rPr>
          <w:sz w:val="20"/>
          <w:szCs w:val="20"/>
        </w:rPr>
      </w:pPr>
      <w:r>
        <w:rPr>
          <w:b/>
          <w:bCs/>
          <w:spacing w:val="25"/>
          <w:sz w:val="20"/>
          <w:szCs w:val="20"/>
        </w:rPr>
        <w:t>(三)样本量的计算</w:t>
      </w:r>
    </w:p>
    <w:p w14:paraId="500EA9E6">
      <w:pPr>
        <w:pStyle w:val="2"/>
        <w:spacing w:before="122" w:line="221" w:lineRule="auto"/>
        <w:ind w:left="1170"/>
        <w:rPr>
          <w:rFonts w:ascii="宋体" w:hAnsi="宋体" w:eastAsia="宋体" w:cs="宋体"/>
          <w:sz w:val="20"/>
          <w:szCs w:val="20"/>
        </w:rPr>
      </w:pPr>
      <w:r>
        <w:rPr>
          <w:rFonts w:ascii="宋体" w:hAnsi="宋体" w:eastAsia="宋体" w:cs="宋体"/>
          <w:spacing w:val="8"/>
          <w:sz w:val="20"/>
          <w:szCs w:val="20"/>
        </w:rPr>
        <w:t xml:space="preserve">1. </w:t>
      </w:r>
      <w:r>
        <w:rPr>
          <w:spacing w:val="8"/>
          <w:sz w:val="20"/>
          <w:szCs w:val="20"/>
        </w:rPr>
        <w:t xml:space="preserve">结局变量为分类变量 </w:t>
      </w:r>
      <w:r>
        <w:rPr>
          <w:rFonts w:ascii="宋体" w:hAnsi="宋体" w:eastAsia="宋体" w:cs="宋体"/>
          <w:spacing w:val="8"/>
          <w:sz w:val="20"/>
          <w:szCs w:val="20"/>
        </w:rPr>
        <w:t>队列研究当以比较暴露组与对照组结局事件</w:t>
      </w:r>
      <w:r>
        <w:rPr>
          <w:rFonts w:ascii="宋体" w:hAnsi="宋体" w:eastAsia="宋体" w:cs="宋体"/>
          <w:spacing w:val="7"/>
          <w:sz w:val="20"/>
          <w:szCs w:val="20"/>
        </w:rPr>
        <w:t>发生率的差异来判断暴</w:t>
      </w:r>
    </w:p>
    <w:p w14:paraId="1D4EEB71">
      <w:pPr>
        <w:spacing w:line="221" w:lineRule="auto"/>
        <w:rPr>
          <w:rFonts w:ascii="宋体" w:hAnsi="宋体" w:eastAsia="宋体" w:cs="宋体"/>
          <w:sz w:val="20"/>
          <w:szCs w:val="20"/>
        </w:rPr>
        <w:sectPr>
          <w:footerReference r:id="rId84" w:type="default"/>
          <w:pgSz w:w="11900" w:h="16820"/>
          <w:pgMar w:top="400" w:right="1581" w:bottom="829" w:left="780" w:header="0" w:footer="649" w:gutter="0"/>
          <w:cols w:space="720" w:num="1"/>
        </w:sectPr>
      </w:pPr>
    </w:p>
    <w:p w14:paraId="576BF203">
      <w:pPr>
        <w:spacing w:line="336" w:lineRule="auto"/>
        <w:rPr>
          <w:rFonts w:ascii="Arial"/>
          <w:sz w:val="21"/>
        </w:rPr>
      </w:pPr>
    </w:p>
    <w:p w14:paraId="3871377A">
      <w:pPr>
        <w:pStyle w:val="2"/>
        <w:spacing w:before="69" w:line="222" w:lineRule="auto"/>
        <w:ind w:left="7880"/>
        <w:rPr>
          <w:sz w:val="21"/>
          <w:szCs w:val="21"/>
        </w:rPr>
      </w:pPr>
      <w:bookmarkStart w:id="99" w:name="bookmark434"/>
      <w:bookmarkEnd w:id="99"/>
      <w:r>
        <w:rPr>
          <w:spacing w:val="-18"/>
          <w:w w:val="99"/>
          <w:sz w:val="21"/>
          <w:szCs w:val="21"/>
        </w:rPr>
        <w:t>第四章</w:t>
      </w:r>
      <w:r>
        <w:rPr>
          <w:spacing w:val="6"/>
          <w:sz w:val="21"/>
          <w:szCs w:val="21"/>
        </w:rPr>
        <w:t xml:space="preserve"> </w:t>
      </w:r>
      <w:r>
        <w:rPr>
          <w:spacing w:val="-18"/>
          <w:w w:val="99"/>
          <w:sz w:val="21"/>
          <w:szCs w:val="21"/>
        </w:rPr>
        <w:t>队列研究</w:t>
      </w:r>
    </w:p>
    <w:p w14:paraId="5662ACB7">
      <w:pPr>
        <w:spacing w:line="258" w:lineRule="auto"/>
        <w:rPr>
          <w:rFonts w:ascii="Arial"/>
          <w:sz w:val="21"/>
        </w:rPr>
      </w:pPr>
    </w:p>
    <w:p w14:paraId="06202D8C">
      <w:pPr>
        <w:spacing w:line="258" w:lineRule="auto"/>
        <w:rPr>
          <w:rFonts w:ascii="Arial"/>
          <w:sz w:val="21"/>
        </w:rPr>
      </w:pPr>
    </w:p>
    <w:p w14:paraId="195A7B20">
      <w:pPr>
        <w:spacing w:before="68" w:line="219" w:lineRule="auto"/>
        <w:ind w:left="9"/>
        <w:rPr>
          <w:rFonts w:ascii="宋体" w:hAnsi="宋体" w:eastAsia="宋体" w:cs="宋体"/>
          <w:sz w:val="21"/>
          <w:szCs w:val="21"/>
        </w:rPr>
      </w:pPr>
      <w:r>
        <w:rPr>
          <w:rFonts w:ascii="宋体" w:hAnsi="宋体" w:eastAsia="宋体" w:cs="宋体"/>
          <w:spacing w:val="3"/>
          <w:sz w:val="21"/>
          <w:szCs w:val="21"/>
        </w:rPr>
        <w:t>露与结局的关系，要求两组样本量相等时，可用下式计算出各组所需的样本量。</w:t>
      </w:r>
    </w:p>
    <w:p w14:paraId="34AF63AD">
      <w:pPr>
        <w:spacing w:line="442" w:lineRule="auto"/>
        <w:rPr>
          <w:rFonts w:ascii="Arial"/>
          <w:sz w:val="21"/>
        </w:rPr>
      </w:pPr>
      <w:r>
        <w:drawing>
          <wp:anchor distT="0" distB="0" distL="0" distR="0" simplePos="0" relativeHeight="251723776" behindDoc="0" locked="0" layoutInCell="1" allowOverlap="1">
            <wp:simplePos x="0" y="0"/>
            <wp:positionH relativeFrom="column">
              <wp:posOffset>1993900</wp:posOffset>
            </wp:positionH>
            <wp:positionV relativeFrom="paragraph">
              <wp:posOffset>160655</wp:posOffset>
            </wp:positionV>
            <wp:extent cx="1974850" cy="444500"/>
            <wp:effectExtent l="0" t="0" r="0" b="0"/>
            <wp:wrapNone/>
            <wp:docPr id="204" name="IM 204"/>
            <wp:cNvGraphicFramePr/>
            <a:graphic xmlns:a="http://schemas.openxmlformats.org/drawingml/2006/main">
              <a:graphicData uri="http://schemas.openxmlformats.org/drawingml/2006/picture">
                <pic:pic xmlns:pic="http://schemas.openxmlformats.org/drawingml/2006/picture">
                  <pic:nvPicPr>
                    <pic:cNvPr id="204" name="IM 204"/>
                    <pic:cNvPicPr/>
                  </pic:nvPicPr>
                  <pic:blipFill>
                    <a:blip r:embed="rId478"/>
                    <a:stretch>
                      <a:fillRect/>
                    </a:stretch>
                  </pic:blipFill>
                  <pic:spPr>
                    <a:xfrm>
                      <a:off x="0" y="0"/>
                      <a:ext cx="1974815" cy="444530"/>
                    </a:xfrm>
                    <a:prstGeom prst="rect">
                      <a:avLst/>
                    </a:prstGeom>
                  </pic:spPr>
                </pic:pic>
              </a:graphicData>
            </a:graphic>
          </wp:anchor>
        </w:drawing>
      </w:r>
    </w:p>
    <w:p w14:paraId="66CB53CE">
      <w:pPr>
        <w:spacing w:before="68" w:line="221" w:lineRule="auto"/>
        <w:ind w:left="8540"/>
        <w:rPr>
          <w:rFonts w:ascii="宋体" w:hAnsi="宋体" w:eastAsia="宋体" w:cs="宋体"/>
          <w:sz w:val="21"/>
          <w:szCs w:val="21"/>
        </w:rPr>
      </w:pPr>
      <w:r>
        <w:rPr>
          <w:rFonts w:ascii="宋体" w:hAnsi="宋体" w:eastAsia="宋体" w:cs="宋体"/>
          <w:spacing w:val="13"/>
          <w:sz w:val="21"/>
          <w:szCs w:val="21"/>
        </w:rPr>
        <w:t>式(4-1)</w:t>
      </w:r>
    </w:p>
    <w:p w14:paraId="53D1F6B4">
      <w:pPr>
        <w:spacing w:line="400" w:lineRule="auto"/>
        <w:rPr>
          <w:rFonts w:ascii="Arial"/>
          <w:sz w:val="21"/>
        </w:rPr>
      </w:pPr>
    </w:p>
    <w:p w14:paraId="647E0768">
      <w:pPr>
        <w:spacing w:before="69" w:line="323" w:lineRule="auto"/>
        <w:ind w:right="808" w:firstLine="9"/>
        <w:rPr>
          <w:rFonts w:ascii="宋体" w:hAnsi="宋体" w:eastAsia="宋体" w:cs="宋体"/>
          <w:sz w:val="21"/>
          <w:szCs w:val="21"/>
        </w:rPr>
      </w:pPr>
      <w:r>
        <w:rPr>
          <w:rFonts w:ascii="宋体" w:hAnsi="宋体" w:eastAsia="宋体" w:cs="宋体"/>
          <w:spacing w:val="2"/>
          <w:sz w:val="21"/>
          <w:szCs w:val="21"/>
        </w:rPr>
        <w:t>式中，p</w:t>
      </w:r>
      <w:r>
        <w:rPr>
          <w:rFonts w:ascii="Calibri" w:hAnsi="Calibri" w:eastAsia="Calibri" w:cs="Calibri"/>
          <w:spacing w:val="2"/>
          <w:sz w:val="21"/>
          <w:szCs w:val="21"/>
        </w:rPr>
        <w:t xml:space="preserve">₁  </w:t>
      </w:r>
      <w:r>
        <w:rPr>
          <w:rFonts w:ascii="宋体" w:hAnsi="宋体" w:eastAsia="宋体" w:cs="宋体"/>
          <w:spacing w:val="2"/>
          <w:sz w:val="21"/>
          <w:szCs w:val="21"/>
        </w:rPr>
        <w:t>与</w:t>
      </w:r>
      <w:r>
        <w:rPr>
          <w:rFonts w:ascii="宋体" w:hAnsi="宋体" w:eastAsia="宋体" w:cs="宋体"/>
          <w:spacing w:val="-31"/>
          <w:sz w:val="21"/>
          <w:szCs w:val="21"/>
        </w:rPr>
        <w:t xml:space="preserve"> </w:t>
      </w:r>
      <w:r>
        <w:rPr>
          <w:rFonts w:ascii="宋体" w:hAnsi="宋体" w:eastAsia="宋体" w:cs="宋体"/>
          <w:sz w:val="21"/>
          <w:szCs w:val="21"/>
        </w:rPr>
        <w:t>po</w:t>
      </w:r>
      <w:r>
        <w:rPr>
          <w:rFonts w:ascii="宋体" w:hAnsi="宋体" w:eastAsia="宋体" w:cs="宋体"/>
          <w:spacing w:val="2"/>
          <w:sz w:val="21"/>
          <w:szCs w:val="21"/>
        </w:rPr>
        <w:t>分别代表暴露组与对照组的预期结局发生率；p</w:t>
      </w:r>
      <w:r>
        <w:rPr>
          <w:rFonts w:ascii="宋体" w:hAnsi="宋体" w:eastAsia="宋体" w:cs="宋体"/>
          <w:spacing w:val="-44"/>
          <w:sz w:val="21"/>
          <w:szCs w:val="21"/>
        </w:rPr>
        <w:t xml:space="preserve"> </w:t>
      </w:r>
      <w:r>
        <w:rPr>
          <w:rFonts w:ascii="宋体" w:hAnsi="宋体" w:eastAsia="宋体" w:cs="宋体"/>
          <w:spacing w:val="2"/>
          <w:sz w:val="21"/>
          <w:szCs w:val="21"/>
        </w:rPr>
        <w:t>为两组结局发生率的平均值；q=1-p;</w:t>
      </w:r>
      <w:r>
        <w:rPr>
          <w:rFonts w:ascii="宋体" w:hAnsi="宋体" w:eastAsia="宋体" w:cs="宋体"/>
          <w:sz w:val="21"/>
          <w:szCs w:val="21"/>
        </w:rPr>
        <w:t xml:space="preserve"> </w:t>
      </w:r>
      <w:r>
        <w:rPr>
          <w:rFonts w:ascii="Times New Roman" w:hAnsi="Times New Roman" w:eastAsia="Times New Roman" w:cs="Times New Roman"/>
          <w:sz w:val="21"/>
          <w:szCs w:val="21"/>
        </w:rPr>
        <w:t>ZI</w:t>
      </w:r>
      <w:r>
        <w:rPr>
          <w:rFonts w:ascii="Times New Roman" w:hAnsi="Times New Roman" w:eastAsia="Times New Roman" w:cs="Times New Roman"/>
          <w:spacing w:val="2"/>
          <w:sz w:val="21"/>
          <w:szCs w:val="21"/>
        </w:rPr>
        <w:t>-a/2</w:t>
      </w:r>
      <w:r>
        <w:rPr>
          <w:rFonts w:ascii="宋体" w:hAnsi="宋体" w:eastAsia="宋体" w:cs="宋体"/>
          <w:spacing w:val="2"/>
          <w:sz w:val="21"/>
          <w:szCs w:val="21"/>
        </w:rPr>
        <w:t>和</w:t>
      </w:r>
      <w:r>
        <w:rPr>
          <w:rFonts w:ascii="宋体" w:hAnsi="宋体" w:eastAsia="宋体" w:cs="宋体"/>
          <w:spacing w:val="-49"/>
          <w:sz w:val="21"/>
          <w:szCs w:val="21"/>
        </w:rPr>
        <w:t xml:space="preserve"> </w:t>
      </w:r>
      <w:r>
        <w:rPr>
          <w:rFonts w:ascii="Times New Roman" w:hAnsi="Times New Roman" w:eastAsia="Times New Roman" w:cs="Times New Roman"/>
          <w:spacing w:val="2"/>
          <w:sz w:val="21"/>
          <w:szCs w:val="21"/>
        </w:rPr>
        <w:t>Zβ</w:t>
      </w:r>
      <w:r>
        <w:rPr>
          <w:rFonts w:ascii="Times New Roman" w:hAnsi="Times New Roman" w:eastAsia="Times New Roman" w:cs="Times New Roman"/>
          <w:spacing w:val="-15"/>
          <w:sz w:val="21"/>
          <w:szCs w:val="21"/>
        </w:rPr>
        <w:t xml:space="preserve"> </w:t>
      </w:r>
      <w:r>
        <w:rPr>
          <w:rFonts w:ascii="宋体" w:hAnsi="宋体" w:eastAsia="宋体" w:cs="宋体"/>
          <w:spacing w:val="2"/>
          <w:sz w:val="21"/>
          <w:szCs w:val="21"/>
        </w:rPr>
        <w:t>为α与β对应的标准正态分布临界值，可查表获得。</w:t>
      </w:r>
    </w:p>
    <w:p w14:paraId="21043DB0">
      <w:pPr>
        <w:pStyle w:val="2"/>
        <w:spacing w:before="1" w:line="333" w:lineRule="auto"/>
        <w:ind w:left="9" w:right="709" w:firstLine="420"/>
        <w:rPr>
          <w:rFonts w:ascii="宋体" w:hAnsi="宋体" w:eastAsia="宋体" w:cs="宋体"/>
          <w:sz w:val="21"/>
          <w:szCs w:val="21"/>
        </w:rPr>
      </w:pPr>
      <w:r>
        <w:drawing>
          <wp:anchor distT="0" distB="0" distL="0" distR="0" simplePos="0" relativeHeight="251724800" behindDoc="0" locked="0" layoutInCell="1" allowOverlap="1">
            <wp:simplePos x="0" y="0"/>
            <wp:positionH relativeFrom="column">
              <wp:posOffset>2254250</wp:posOffset>
            </wp:positionH>
            <wp:positionV relativeFrom="paragraph">
              <wp:posOffset>554990</wp:posOffset>
            </wp:positionV>
            <wp:extent cx="1460500" cy="374650"/>
            <wp:effectExtent l="0" t="0" r="0" b="0"/>
            <wp:wrapNone/>
            <wp:docPr id="206" name="IM 206"/>
            <wp:cNvGraphicFramePr/>
            <a:graphic xmlns:a="http://schemas.openxmlformats.org/drawingml/2006/main">
              <a:graphicData uri="http://schemas.openxmlformats.org/drawingml/2006/picture">
                <pic:pic xmlns:pic="http://schemas.openxmlformats.org/drawingml/2006/picture">
                  <pic:nvPicPr>
                    <pic:cNvPr id="206" name="IM 206"/>
                    <pic:cNvPicPr/>
                  </pic:nvPicPr>
                  <pic:blipFill>
                    <a:blip r:embed="rId479"/>
                    <a:stretch>
                      <a:fillRect/>
                    </a:stretch>
                  </pic:blipFill>
                  <pic:spPr>
                    <a:xfrm>
                      <a:off x="0" y="0"/>
                      <a:ext cx="1460520" cy="374572"/>
                    </a:xfrm>
                    <a:prstGeom prst="rect">
                      <a:avLst/>
                    </a:prstGeom>
                  </pic:spPr>
                </pic:pic>
              </a:graphicData>
            </a:graphic>
          </wp:anchor>
        </w:drawing>
      </w:r>
      <w:r>
        <w:rPr>
          <w:rFonts w:ascii="宋体" w:hAnsi="宋体" w:eastAsia="宋体" w:cs="宋体"/>
          <w:spacing w:val="14"/>
          <w:sz w:val="21"/>
          <w:szCs w:val="21"/>
        </w:rPr>
        <w:t>2.</w:t>
      </w:r>
      <w:r>
        <w:rPr>
          <w:rFonts w:ascii="宋体" w:hAnsi="宋体" w:eastAsia="宋体" w:cs="宋体"/>
          <w:spacing w:val="36"/>
          <w:sz w:val="21"/>
          <w:szCs w:val="21"/>
        </w:rPr>
        <w:t xml:space="preserve"> </w:t>
      </w:r>
      <w:r>
        <w:rPr>
          <w:spacing w:val="14"/>
          <w:sz w:val="21"/>
          <w:szCs w:val="21"/>
        </w:rPr>
        <w:t>结局变量为连续性变量</w:t>
      </w:r>
      <w:r>
        <w:rPr>
          <w:spacing w:val="3"/>
          <w:sz w:val="21"/>
          <w:szCs w:val="21"/>
        </w:rPr>
        <w:t xml:space="preserve">  </w:t>
      </w:r>
      <w:r>
        <w:rPr>
          <w:rFonts w:ascii="宋体" w:hAnsi="宋体" w:eastAsia="宋体" w:cs="宋体"/>
          <w:spacing w:val="14"/>
          <w:sz w:val="21"/>
          <w:szCs w:val="21"/>
        </w:rPr>
        <w:t>当结局指标为连续性变量，要求两组样本量相</w:t>
      </w:r>
      <w:r>
        <w:rPr>
          <w:rFonts w:ascii="宋体" w:hAnsi="宋体" w:eastAsia="宋体" w:cs="宋体"/>
          <w:spacing w:val="13"/>
          <w:sz w:val="21"/>
          <w:szCs w:val="21"/>
        </w:rPr>
        <w:t>等时，可按照式</w:t>
      </w:r>
      <w:r>
        <w:rPr>
          <w:rFonts w:ascii="宋体" w:hAnsi="宋体" w:eastAsia="宋体" w:cs="宋体"/>
          <w:spacing w:val="1"/>
          <w:sz w:val="21"/>
          <w:szCs w:val="21"/>
        </w:rPr>
        <w:t xml:space="preserve"> </w:t>
      </w:r>
      <w:r>
        <w:rPr>
          <w:rFonts w:ascii="宋体" w:hAnsi="宋体" w:eastAsia="宋体" w:cs="宋体"/>
          <w:spacing w:val="6"/>
          <w:sz w:val="21"/>
          <w:szCs w:val="21"/>
        </w:rPr>
        <w:t>(4-2)计算每组所需样本量。</w:t>
      </w:r>
    </w:p>
    <w:p w14:paraId="05696E8D">
      <w:pPr>
        <w:spacing w:before="302" w:line="221" w:lineRule="auto"/>
        <w:ind w:left="8570"/>
        <w:rPr>
          <w:rFonts w:ascii="宋体" w:hAnsi="宋体" w:eastAsia="宋体" w:cs="宋体"/>
          <w:sz w:val="21"/>
          <w:szCs w:val="21"/>
        </w:rPr>
      </w:pPr>
      <w:r>
        <w:rPr>
          <w:rFonts w:ascii="宋体" w:hAnsi="宋体" w:eastAsia="宋体" w:cs="宋体"/>
          <w:spacing w:val="11"/>
          <w:sz w:val="21"/>
          <w:szCs w:val="21"/>
        </w:rPr>
        <w:t>式(4-2)</w:t>
      </w:r>
    </w:p>
    <w:p w14:paraId="60F60171">
      <w:pPr>
        <w:spacing w:line="356" w:lineRule="auto"/>
        <w:rPr>
          <w:rFonts w:ascii="Arial"/>
          <w:sz w:val="21"/>
        </w:rPr>
      </w:pPr>
    </w:p>
    <w:p w14:paraId="6875EE28">
      <w:pPr>
        <w:spacing w:before="69" w:line="322" w:lineRule="auto"/>
        <w:ind w:right="632" w:firstLine="9"/>
        <w:jc w:val="both"/>
        <w:rPr>
          <w:rFonts w:ascii="宋体" w:hAnsi="宋体" w:eastAsia="宋体" w:cs="宋体"/>
          <w:sz w:val="21"/>
          <w:szCs w:val="21"/>
        </w:rPr>
      </w:pPr>
      <w:r>
        <w:rPr>
          <w:rFonts w:ascii="宋体" w:hAnsi="宋体" w:eastAsia="宋体" w:cs="宋体"/>
          <w:spacing w:val="1"/>
          <w:sz w:val="21"/>
          <w:szCs w:val="21"/>
        </w:rPr>
        <w:t>式中，</w:t>
      </w:r>
      <w:r>
        <w:rPr>
          <w:rFonts w:ascii="Times New Roman" w:hAnsi="Times New Roman" w:eastAsia="Times New Roman" w:cs="Times New Roman"/>
          <w:spacing w:val="1"/>
          <w:sz w:val="21"/>
          <w:szCs w:val="21"/>
        </w:rPr>
        <w:t>S</w:t>
      </w:r>
      <w:r>
        <w:rPr>
          <w:rFonts w:ascii="Times New Roman" w:hAnsi="Times New Roman" w:eastAsia="Times New Roman" w:cs="Times New Roman"/>
          <w:spacing w:val="14"/>
          <w:w w:val="101"/>
          <w:sz w:val="21"/>
          <w:szCs w:val="21"/>
        </w:rPr>
        <w:t xml:space="preserve"> </w:t>
      </w:r>
      <w:r>
        <w:rPr>
          <w:rFonts w:ascii="宋体" w:hAnsi="宋体" w:eastAsia="宋体" w:cs="宋体"/>
          <w:spacing w:val="1"/>
          <w:sz w:val="21"/>
          <w:szCs w:val="21"/>
        </w:rPr>
        <w:t>为暴露组与对照组总体标准差的估计值，</w:t>
      </w:r>
      <w:r>
        <w:rPr>
          <w:rFonts w:ascii="宋体" w:hAnsi="宋体" w:eastAsia="宋体" w:cs="宋体"/>
          <w:spacing w:val="32"/>
          <w:sz w:val="21"/>
          <w:szCs w:val="21"/>
        </w:rPr>
        <w:t xml:space="preserve"> </w:t>
      </w:r>
      <w:r>
        <w:rPr>
          <w:rFonts w:ascii="宋体" w:hAnsi="宋体" w:eastAsia="宋体" w:cs="宋体"/>
          <w:spacing w:val="1"/>
          <w:sz w:val="21"/>
          <w:szCs w:val="21"/>
        </w:rPr>
        <w:t>一</w:t>
      </w:r>
      <w:r>
        <w:rPr>
          <w:rFonts w:ascii="宋体" w:hAnsi="宋体" w:eastAsia="宋体" w:cs="宋体"/>
          <w:sz w:val="21"/>
          <w:szCs w:val="21"/>
        </w:rPr>
        <w:t xml:space="preserve">般假设其相等；δ为预期两组变化均数的差值； </w:t>
      </w:r>
      <w:r>
        <w:rPr>
          <w:rFonts w:ascii="宋体" w:hAnsi="宋体" w:eastAsia="宋体" w:cs="宋体"/>
          <w:spacing w:val="2"/>
          <w:sz w:val="21"/>
          <w:szCs w:val="21"/>
        </w:rPr>
        <w:t>Z1-a/2和</w:t>
      </w:r>
      <w:r>
        <w:rPr>
          <w:rFonts w:ascii="宋体" w:hAnsi="宋体" w:eastAsia="宋体" w:cs="宋体"/>
          <w:spacing w:val="-16"/>
          <w:sz w:val="21"/>
          <w:szCs w:val="21"/>
        </w:rPr>
        <w:t xml:space="preserve"> </w:t>
      </w:r>
      <w:r>
        <w:rPr>
          <w:rFonts w:ascii="宋体" w:hAnsi="宋体" w:eastAsia="宋体" w:cs="宋体"/>
          <w:spacing w:val="2"/>
          <w:sz w:val="21"/>
          <w:szCs w:val="21"/>
        </w:rPr>
        <w:t>Zβ意义同前。标准差越大，所需要的样本量越大；暴露组与对照组结局指标随访前后变化</w:t>
      </w:r>
      <w:r>
        <w:rPr>
          <w:rFonts w:ascii="宋体" w:hAnsi="宋体" w:eastAsia="宋体" w:cs="宋体"/>
          <w:sz w:val="21"/>
          <w:szCs w:val="21"/>
        </w:rPr>
        <w:t xml:space="preserve"> </w:t>
      </w:r>
      <w:r>
        <w:rPr>
          <w:rFonts w:ascii="宋体" w:hAnsi="宋体" w:eastAsia="宋体" w:cs="宋体"/>
          <w:spacing w:val="6"/>
          <w:sz w:val="21"/>
          <w:szCs w:val="21"/>
        </w:rPr>
        <w:t>值在两组的差异越小，需要的样本量越大。</w:t>
      </w:r>
    </w:p>
    <w:p w14:paraId="5C284744">
      <w:pPr>
        <w:pStyle w:val="2"/>
        <w:spacing w:before="211" w:line="222" w:lineRule="auto"/>
        <w:ind w:left="480"/>
        <w:outlineLvl w:val="2"/>
        <w:rPr>
          <w:sz w:val="21"/>
          <w:szCs w:val="21"/>
        </w:rPr>
      </w:pPr>
      <w:bookmarkStart w:id="100" w:name="bookmark61"/>
      <w:bookmarkEnd w:id="100"/>
      <w:r>
        <w:rPr>
          <w:spacing w:val="-14"/>
          <w:sz w:val="21"/>
          <w:szCs w:val="21"/>
        </w:rPr>
        <w:t>五</w:t>
      </w:r>
      <w:r>
        <w:rPr>
          <w:spacing w:val="41"/>
          <w:sz w:val="21"/>
          <w:szCs w:val="21"/>
        </w:rPr>
        <w:t xml:space="preserve"> </w:t>
      </w:r>
      <w:r>
        <w:rPr>
          <w:spacing w:val="-14"/>
          <w:sz w:val="21"/>
          <w:szCs w:val="21"/>
        </w:rPr>
        <w:t>、资</w:t>
      </w:r>
      <w:r>
        <w:rPr>
          <w:spacing w:val="-30"/>
          <w:sz w:val="21"/>
          <w:szCs w:val="21"/>
        </w:rPr>
        <w:t xml:space="preserve"> </w:t>
      </w:r>
      <w:r>
        <w:rPr>
          <w:spacing w:val="-14"/>
          <w:sz w:val="21"/>
          <w:szCs w:val="21"/>
        </w:rPr>
        <w:t>料 的</w:t>
      </w:r>
      <w:r>
        <w:rPr>
          <w:spacing w:val="-29"/>
          <w:sz w:val="21"/>
          <w:szCs w:val="21"/>
        </w:rPr>
        <w:t xml:space="preserve"> </w:t>
      </w:r>
      <w:r>
        <w:rPr>
          <w:spacing w:val="-14"/>
          <w:sz w:val="21"/>
          <w:szCs w:val="21"/>
        </w:rPr>
        <w:t>收</w:t>
      </w:r>
      <w:r>
        <w:rPr>
          <w:spacing w:val="-27"/>
          <w:sz w:val="21"/>
          <w:szCs w:val="21"/>
        </w:rPr>
        <w:t xml:space="preserve"> </w:t>
      </w:r>
      <w:r>
        <w:rPr>
          <w:spacing w:val="-14"/>
          <w:sz w:val="21"/>
          <w:szCs w:val="21"/>
        </w:rPr>
        <w:t>集</w:t>
      </w:r>
      <w:r>
        <w:rPr>
          <w:spacing w:val="-21"/>
          <w:sz w:val="21"/>
          <w:szCs w:val="21"/>
        </w:rPr>
        <w:t xml:space="preserve"> </w:t>
      </w:r>
      <w:r>
        <w:rPr>
          <w:spacing w:val="-14"/>
          <w:sz w:val="21"/>
          <w:szCs w:val="21"/>
        </w:rPr>
        <w:t>与</w:t>
      </w:r>
      <w:r>
        <w:rPr>
          <w:spacing w:val="-24"/>
          <w:sz w:val="21"/>
          <w:szCs w:val="21"/>
        </w:rPr>
        <w:t xml:space="preserve"> </w:t>
      </w:r>
      <w:r>
        <w:rPr>
          <w:spacing w:val="-14"/>
          <w:sz w:val="21"/>
          <w:szCs w:val="21"/>
        </w:rPr>
        <w:t>随</w:t>
      </w:r>
      <w:r>
        <w:rPr>
          <w:spacing w:val="-26"/>
          <w:sz w:val="21"/>
          <w:szCs w:val="21"/>
        </w:rPr>
        <w:t xml:space="preserve"> </w:t>
      </w:r>
      <w:r>
        <w:rPr>
          <w:spacing w:val="-14"/>
          <w:sz w:val="21"/>
          <w:szCs w:val="21"/>
        </w:rPr>
        <w:t>访</w:t>
      </w:r>
    </w:p>
    <w:p w14:paraId="573682D4">
      <w:pPr>
        <w:pStyle w:val="2"/>
        <w:spacing w:before="255" w:line="219" w:lineRule="auto"/>
        <w:ind w:left="450"/>
        <w:rPr>
          <w:sz w:val="21"/>
          <w:szCs w:val="21"/>
        </w:rPr>
      </w:pPr>
      <w:r>
        <w:rPr>
          <w:spacing w:val="22"/>
          <w:sz w:val="21"/>
          <w:szCs w:val="21"/>
        </w:rPr>
        <w:t>(</w:t>
      </w:r>
      <w:r>
        <w:rPr>
          <w:spacing w:val="-43"/>
          <w:sz w:val="21"/>
          <w:szCs w:val="21"/>
        </w:rPr>
        <w:t xml:space="preserve"> </w:t>
      </w:r>
      <w:r>
        <w:rPr>
          <w:spacing w:val="22"/>
          <w:sz w:val="21"/>
          <w:szCs w:val="21"/>
        </w:rPr>
        <w:t>一</w:t>
      </w:r>
      <w:r>
        <w:rPr>
          <w:spacing w:val="-59"/>
          <w:sz w:val="21"/>
          <w:szCs w:val="21"/>
        </w:rPr>
        <w:t xml:space="preserve"> </w:t>
      </w:r>
      <w:r>
        <w:rPr>
          <w:spacing w:val="22"/>
          <w:sz w:val="21"/>
          <w:szCs w:val="21"/>
        </w:rPr>
        <w:t>)基线资料的收集</w:t>
      </w:r>
    </w:p>
    <w:p w14:paraId="2EAC8BBE">
      <w:pPr>
        <w:spacing w:before="141" w:line="322" w:lineRule="auto"/>
        <w:ind w:right="618" w:firstLine="450"/>
        <w:jc w:val="both"/>
        <w:rPr>
          <w:rFonts w:ascii="宋体" w:hAnsi="宋体" w:eastAsia="宋体" w:cs="宋体"/>
          <w:sz w:val="21"/>
          <w:szCs w:val="21"/>
        </w:rPr>
      </w:pPr>
      <w:r>
        <w:rPr>
          <w:rFonts w:ascii="宋体" w:hAnsi="宋体" w:eastAsia="宋体" w:cs="宋体"/>
          <w:spacing w:val="7"/>
          <w:sz w:val="21"/>
          <w:szCs w:val="21"/>
        </w:rPr>
        <w:t>研究对象选定之后，详细收集每个研究对象在研究</w:t>
      </w:r>
      <w:r>
        <w:rPr>
          <w:rFonts w:ascii="宋体" w:hAnsi="宋体" w:eastAsia="宋体" w:cs="宋体"/>
          <w:spacing w:val="6"/>
          <w:sz w:val="21"/>
          <w:szCs w:val="21"/>
        </w:rPr>
        <w:t>开始时的基本情况，包括暴露信息及个体其</w:t>
      </w:r>
      <w:r>
        <w:rPr>
          <w:rFonts w:ascii="宋体" w:hAnsi="宋体" w:eastAsia="宋体" w:cs="宋体"/>
          <w:sz w:val="21"/>
          <w:szCs w:val="21"/>
        </w:rPr>
        <w:t xml:space="preserve"> </w:t>
      </w:r>
      <w:r>
        <w:rPr>
          <w:rFonts w:ascii="宋体" w:hAnsi="宋体" w:eastAsia="宋体" w:cs="宋体"/>
          <w:spacing w:val="3"/>
          <w:sz w:val="21"/>
          <w:szCs w:val="21"/>
        </w:rPr>
        <w:t>他信息，这些资料一般称为基线资料或基线信息(</w:t>
      </w:r>
      <w:r>
        <w:rPr>
          <w:rFonts w:ascii="宋体" w:hAnsi="宋体" w:eastAsia="宋体" w:cs="宋体"/>
          <w:sz w:val="21"/>
          <w:szCs w:val="21"/>
        </w:rPr>
        <w:t>baseline</w:t>
      </w:r>
      <w:r>
        <w:rPr>
          <w:rFonts w:ascii="宋体" w:hAnsi="宋体" w:eastAsia="宋体" w:cs="宋体"/>
          <w:spacing w:val="2"/>
          <w:sz w:val="21"/>
          <w:szCs w:val="21"/>
        </w:rPr>
        <w:t xml:space="preserve"> </w:t>
      </w:r>
      <w:r>
        <w:rPr>
          <w:rFonts w:ascii="宋体" w:hAnsi="宋体" w:eastAsia="宋体" w:cs="宋体"/>
          <w:sz w:val="21"/>
          <w:szCs w:val="21"/>
        </w:rPr>
        <w:t>information</w:t>
      </w:r>
      <w:r>
        <w:rPr>
          <w:rFonts w:ascii="宋体" w:hAnsi="宋体" w:eastAsia="宋体" w:cs="宋体"/>
          <w:spacing w:val="2"/>
          <w:sz w:val="21"/>
          <w:szCs w:val="21"/>
        </w:rPr>
        <w:t>)。这些信息一方面可作为判</w:t>
      </w:r>
      <w:r>
        <w:rPr>
          <w:rFonts w:ascii="宋体" w:hAnsi="宋体" w:eastAsia="宋体" w:cs="宋体"/>
          <w:sz w:val="21"/>
          <w:szCs w:val="21"/>
        </w:rPr>
        <w:t xml:space="preserve"> </w:t>
      </w:r>
      <w:r>
        <w:rPr>
          <w:rFonts w:ascii="宋体" w:hAnsi="宋体" w:eastAsia="宋体" w:cs="宋体"/>
          <w:spacing w:val="12"/>
          <w:sz w:val="21"/>
          <w:szCs w:val="21"/>
        </w:rPr>
        <w:t>定暴露组与非暴露组的依据，也为今后分析和调整其他影响研究结局的因素提供保证。基线资料</w:t>
      </w:r>
      <w:r>
        <w:rPr>
          <w:rFonts w:ascii="宋体" w:hAnsi="宋体" w:eastAsia="宋体" w:cs="宋体"/>
          <w:spacing w:val="2"/>
          <w:sz w:val="21"/>
          <w:szCs w:val="21"/>
        </w:rPr>
        <w:t xml:space="preserve"> </w:t>
      </w:r>
      <w:r>
        <w:rPr>
          <w:rFonts w:ascii="宋体" w:hAnsi="宋体" w:eastAsia="宋体" w:cs="宋体"/>
          <w:spacing w:val="-1"/>
          <w:sz w:val="21"/>
          <w:szCs w:val="21"/>
        </w:rPr>
        <w:t>一般包括研究对象的年龄、性别、职业、文化、婚姻等社会人口学特征；个人生活习惯</w:t>
      </w:r>
      <w:r>
        <w:rPr>
          <w:rFonts w:ascii="宋体" w:hAnsi="宋体" w:eastAsia="宋体" w:cs="宋体"/>
          <w:spacing w:val="-2"/>
          <w:sz w:val="21"/>
          <w:szCs w:val="21"/>
        </w:rPr>
        <w:t>、疾病家族史；</w:t>
      </w:r>
      <w:r>
        <w:rPr>
          <w:rFonts w:ascii="宋体" w:hAnsi="宋体" w:eastAsia="宋体" w:cs="宋体"/>
          <w:sz w:val="21"/>
          <w:szCs w:val="21"/>
        </w:rPr>
        <w:t xml:space="preserve"> </w:t>
      </w:r>
      <w:r>
        <w:rPr>
          <w:rFonts w:ascii="宋体" w:hAnsi="宋体" w:eastAsia="宋体" w:cs="宋体"/>
          <w:spacing w:val="7"/>
          <w:sz w:val="21"/>
          <w:szCs w:val="21"/>
        </w:rPr>
        <w:t>待研究的暴露因素的暴露状况；疾病与健康状况等。获取基线资料的方式一般有下列四种：①访问</w:t>
      </w:r>
      <w:r>
        <w:rPr>
          <w:rFonts w:ascii="宋体" w:hAnsi="宋体" w:eastAsia="宋体" w:cs="宋体"/>
          <w:spacing w:val="13"/>
          <w:sz w:val="21"/>
          <w:szCs w:val="21"/>
        </w:rPr>
        <w:t xml:space="preserve"> </w:t>
      </w:r>
      <w:r>
        <w:rPr>
          <w:rFonts w:ascii="宋体" w:hAnsi="宋体" w:eastAsia="宋体" w:cs="宋体"/>
          <w:spacing w:val="7"/>
          <w:sz w:val="21"/>
          <w:szCs w:val="21"/>
        </w:rPr>
        <w:t>研究对象或其他能够提供信息的人；②查阅医院、工厂、单位或个人</w:t>
      </w:r>
      <w:r>
        <w:rPr>
          <w:rFonts w:ascii="宋体" w:hAnsi="宋体" w:eastAsia="宋体" w:cs="宋体"/>
          <w:spacing w:val="6"/>
          <w:sz w:val="21"/>
          <w:szCs w:val="21"/>
        </w:rPr>
        <w:t>健康保险等记录或档案；③对</w:t>
      </w:r>
      <w:r>
        <w:rPr>
          <w:rFonts w:ascii="宋体" w:hAnsi="宋体" w:eastAsia="宋体" w:cs="宋体"/>
          <w:sz w:val="21"/>
          <w:szCs w:val="21"/>
        </w:rPr>
        <w:t xml:space="preserve"> </w:t>
      </w:r>
      <w:r>
        <w:rPr>
          <w:rFonts w:ascii="宋体" w:hAnsi="宋体" w:eastAsia="宋体" w:cs="宋体"/>
          <w:spacing w:val="7"/>
          <w:sz w:val="21"/>
          <w:szCs w:val="21"/>
        </w:rPr>
        <w:t>研究对象进行体格检查和/或实验室检查；④环境调查</w:t>
      </w:r>
      <w:r>
        <w:rPr>
          <w:rFonts w:ascii="宋体" w:hAnsi="宋体" w:eastAsia="宋体" w:cs="宋体"/>
          <w:spacing w:val="6"/>
          <w:sz w:val="21"/>
          <w:szCs w:val="21"/>
        </w:rPr>
        <w:t>与检测等。</w:t>
      </w:r>
    </w:p>
    <w:p w14:paraId="087D1E82">
      <w:pPr>
        <w:pStyle w:val="2"/>
        <w:spacing w:line="223" w:lineRule="auto"/>
        <w:ind w:left="460"/>
        <w:rPr>
          <w:sz w:val="21"/>
          <w:szCs w:val="21"/>
        </w:rPr>
      </w:pPr>
      <w:r>
        <w:rPr>
          <w:spacing w:val="-16"/>
          <w:sz w:val="21"/>
          <w:szCs w:val="21"/>
        </w:rPr>
        <w:t>(</w:t>
      </w:r>
      <w:r>
        <w:rPr>
          <w:spacing w:val="-23"/>
          <w:sz w:val="21"/>
          <w:szCs w:val="21"/>
        </w:rPr>
        <w:t xml:space="preserve"> </w:t>
      </w:r>
      <w:r>
        <w:rPr>
          <w:spacing w:val="-16"/>
          <w:sz w:val="21"/>
          <w:szCs w:val="21"/>
        </w:rPr>
        <w:t>二</w:t>
      </w:r>
      <w:r>
        <w:rPr>
          <w:spacing w:val="-30"/>
          <w:sz w:val="21"/>
          <w:szCs w:val="21"/>
        </w:rPr>
        <w:t xml:space="preserve"> </w:t>
      </w:r>
      <w:r>
        <w:rPr>
          <w:spacing w:val="-16"/>
          <w:sz w:val="21"/>
          <w:szCs w:val="21"/>
        </w:rPr>
        <w:t>)</w:t>
      </w:r>
      <w:r>
        <w:rPr>
          <w:spacing w:val="-22"/>
          <w:sz w:val="21"/>
          <w:szCs w:val="21"/>
        </w:rPr>
        <w:t xml:space="preserve"> </w:t>
      </w:r>
      <w:r>
        <w:rPr>
          <w:spacing w:val="-16"/>
          <w:sz w:val="21"/>
          <w:szCs w:val="21"/>
        </w:rPr>
        <w:t>随</w:t>
      </w:r>
      <w:r>
        <w:rPr>
          <w:spacing w:val="-25"/>
          <w:sz w:val="21"/>
          <w:szCs w:val="21"/>
        </w:rPr>
        <w:t xml:space="preserve"> </w:t>
      </w:r>
      <w:r>
        <w:rPr>
          <w:spacing w:val="-16"/>
          <w:sz w:val="21"/>
          <w:szCs w:val="21"/>
        </w:rPr>
        <w:t>访</w:t>
      </w:r>
    </w:p>
    <w:p w14:paraId="1FCD58C8">
      <w:pPr>
        <w:spacing w:before="125" w:line="322" w:lineRule="auto"/>
        <w:ind w:left="9" w:right="602" w:firstLine="440"/>
        <w:jc w:val="both"/>
        <w:rPr>
          <w:rFonts w:ascii="宋体" w:hAnsi="宋体" w:eastAsia="宋体" w:cs="宋体"/>
          <w:sz w:val="21"/>
          <w:szCs w:val="21"/>
        </w:rPr>
      </w:pPr>
      <w:r>
        <w:rPr>
          <w:rFonts w:ascii="宋体" w:hAnsi="宋体" w:eastAsia="宋体" w:cs="宋体"/>
          <w:spacing w:val="11"/>
          <w:sz w:val="21"/>
          <w:szCs w:val="21"/>
        </w:rPr>
        <w:t>队列研究通过定期的访问或检查获取研究对象预期结局事件发生的情况或观察指标的变化情</w:t>
      </w:r>
      <w:r>
        <w:rPr>
          <w:rFonts w:ascii="宋体" w:hAnsi="宋体" w:eastAsia="宋体" w:cs="宋体"/>
          <w:spacing w:val="9"/>
          <w:sz w:val="21"/>
          <w:szCs w:val="21"/>
        </w:rPr>
        <w:t xml:space="preserve">  况，同时也可以收集暴露和混杂因素变化的信息。随访是队列研究中</w:t>
      </w:r>
      <w:r>
        <w:rPr>
          <w:rFonts w:ascii="宋体" w:hAnsi="宋体" w:eastAsia="宋体" w:cs="宋体"/>
          <w:spacing w:val="8"/>
          <w:sz w:val="21"/>
          <w:szCs w:val="21"/>
        </w:rPr>
        <w:t>一项十分艰巨而重要的工作，</w:t>
      </w:r>
      <w:r>
        <w:rPr>
          <w:rFonts w:ascii="宋体" w:hAnsi="宋体" w:eastAsia="宋体" w:cs="宋体"/>
          <w:sz w:val="21"/>
          <w:szCs w:val="21"/>
        </w:rPr>
        <w:t xml:space="preserve"> </w:t>
      </w:r>
      <w:r>
        <w:rPr>
          <w:rFonts w:ascii="宋体" w:hAnsi="宋体" w:eastAsia="宋体" w:cs="宋体"/>
          <w:spacing w:val="-2"/>
          <w:sz w:val="21"/>
          <w:szCs w:val="21"/>
        </w:rPr>
        <w:t>随访内容、方法、时间、随访者等都直接与研究质量相关，应事先计划，严格实施。</w:t>
      </w:r>
    </w:p>
    <w:p w14:paraId="63D770FC">
      <w:pPr>
        <w:pStyle w:val="2"/>
        <w:spacing w:before="3" w:line="325" w:lineRule="auto"/>
        <w:ind w:right="602" w:firstLine="450"/>
        <w:jc w:val="both"/>
        <w:rPr>
          <w:rFonts w:ascii="宋体" w:hAnsi="宋体" w:eastAsia="宋体" w:cs="宋体"/>
          <w:sz w:val="21"/>
          <w:szCs w:val="21"/>
        </w:rPr>
      </w:pPr>
      <w:r>
        <w:rPr>
          <w:rFonts w:ascii="宋体" w:hAnsi="宋体" w:eastAsia="宋体" w:cs="宋体"/>
          <w:spacing w:val="11"/>
          <w:sz w:val="21"/>
          <w:szCs w:val="21"/>
        </w:rPr>
        <w:t xml:space="preserve">1. </w:t>
      </w:r>
      <w:r>
        <w:rPr>
          <w:spacing w:val="11"/>
          <w:sz w:val="21"/>
          <w:szCs w:val="21"/>
        </w:rPr>
        <w:t xml:space="preserve">随访对象与方法  </w:t>
      </w:r>
      <w:r>
        <w:rPr>
          <w:rFonts w:ascii="宋体" w:hAnsi="宋体" w:eastAsia="宋体" w:cs="宋体"/>
          <w:spacing w:val="11"/>
          <w:sz w:val="21"/>
          <w:szCs w:val="21"/>
        </w:rPr>
        <w:t>所有完成基线调查的合格的受试对象均</w:t>
      </w:r>
      <w:r>
        <w:rPr>
          <w:rFonts w:ascii="宋体" w:hAnsi="宋体" w:eastAsia="宋体" w:cs="宋体"/>
          <w:spacing w:val="10"/>
          <w:sz w:val="21"/>
          <w:szCs w:val="21"/>
        </w:rPr>
        <w:t>为随访对象。对所有随访对象，</w:t>
      </w:r>
      <w:r>
        <w:rPr>
          <w:rFonts w:ascii="宋体" w:hAnsi="宋体" w:eastAsia="宋体" w:cs="宋体"/>
          <w:sz w:val="21"/>
          <w:szCs w:val="21"/>
        </w:rPr>
        <w:t xml:space="preserve"> </w:t>
      </w:r>
      <w:r>
        <w:rPr>
          <w:rFonts w:ascii="宋体" w:hAnsi="宋体" w:eastAsia="宋体" w:cs="宋体"/>
          <w:spacing w:val="13"/>
          <w:sz w:val="21"/>
          <w:szCs w:val="21"/>
        </w:rPr>
        <w:t>不论是暴露组或对照组都应采用相同的方法同等地进行随访，并坚持追踪到观察</w:t>
      </w:r>
      <w:r>
        <w:rPr>
          <w:rFonts w:ascii="宋体" w:hAnsi="宋体" w:eastAsia="宋体" w:cs="宋体"/>
          <w:spacing w:val="12"/>
          <w:sz w:val="21"/>
          <w:szCs w:val="21"/>
        </w:rPr>
        <w:t>终止期。对失访</w:t>
      </w:r>
      <w:r>
        <w:rPr>
          <w:rFonts w:ascii="宋体" w:hAnsi="宋体" w:eastAsia="宋体" w:cs="宋体"/>
          <w:sz w:val="21"/>
          <w:szCs w:val="21"/>
        </w:rPr>
        <w:t xml:space="preserve"> </w:t>
      </w:r>
      <w:r>
        <w:rPr>
          <w:rFonts w:ascii="宋体" w:hAnsi="宋体" w:eastAsia="宋体" w:cs="宋体"/>
          <w:spacing w:val="2"/>
          <w:sz w:val="21"/>
          <w:szCs w:val="21"/>
        </w:rPr>
        <w:t>者需要进行补访，未能追访到的，应尽量了解其原因，以便进行失访原因分析。</w:t>
      </w:r>
    </w:p>
    <w:p w14:paraId="14D3BF9C">
      <w:pPr>
        <w:spacing w:before="2" w:line="321" w:lineRule="auto"/>
        <w:ind w:right="668" w:firstLine="460"/>
        <w:jc w:val="both"/>
        <w:rPr>
          <w:rFonts w:ascii="宋体" w:hAnsi="宋体" w:eastAsia="宋体" w:cs="宋体"/>
          <w:sz w:val="21"/>
          <w:szCs w:val="21"/>
        </w:rPr>
      </w:pPr>
      <w:r>
        <w:rPr>
          <w:rFonts w:ascii="宋体" w:hAnsi="宋体" w:eastAsia="宋体" w:cs="宋体"/>
          <w:spacing w:val="2"/>
          <w:sz w:val="21"/>
          <w:szCs w:val="21"/>
        </w:rPr>
        <w:t>随访方法包括直接面对面访问、电话访问、自填问卷、定</w:t>
      </w:r>
      <w:r>
        <w:rPr>
          <w:rFonts w:ascii="宋体" w:hAnsi="宋体" w:eastAsia="宋体" w:cs="宋体"/>
          <w:spacing w:val="1"/>
          <w:sz w:val="21"/>
          <w:szCs w:val="21"/>
        </w:rPr>
        <w:t>期体检、环境与疾病的监测、医院医疗</w:t>
      </w:r>
      <w:r>
        <w:rPr>
          <w:rFonts w:ascii="宋体" w:hAnsi="宋体" w:eastAsia="宋体" w:cs="宋体"/>
          <w:sz w:val="21"/>
          <w:szCs w:val="21"/>
        </w:rPr>
        <w:t xml:space="preserve"> </w:t>
      </w:r>
      <w:r>
        <w:rPr>
          <w:rFonts w:ascii="宋体" w:hAnsi="宋体" w:eastAsia="宋体" w:cs="宋体"/>
          <w:spacing w:val="7"/>
          <w:sz w:val="21"/>
          <w:szCs w:val="21"/>
        </w:rPr>
        <w:t>与工作单位出勤记录的收集等。随访方法的确定应根据随访内容、随访对象、投人研究的人力和物</w:t>
      </w:r>
      <w:r>
        <w:rPr>
          <w:rFonts w:ascii="宋体" w:hAnsi="宋体" w:eastAsia="宋体" w:cs="宋体"/>
          <w:spacing w:val="9"/>
          <w:sz w:val="21"/>
          <w:szCs w:val="21"/>
        </w:rPr>
        <w:t xml:space="preserve"> </w:t>
      </w:r>
      <w:r>
        <w:rPr>
          <w:rFonts w:ascii="宋体" w:hAnsi="宋体" w:eastAsia="宋体" w:cs="宋体"/>
          <w:spacing w:val="13"/>
          <w:sz w:val="21"/>
          <w:szCs w:val="21"/>
        </w:rPr>
        <w:t>力等条件来考虑。</w:t>
      </w:r>
    </w:p>
    <w:p w14:paraId="2505055B">
      <w:pPr>
        <w:spacing w:before="12" w:line="285" w:lineRule="auto"/>
        <w:ind w:right="668" w:firstLine="440"/>
        <w:rPr>
          <w:rFonts w:ascii="宋体" w:hAnsi="宋体" w:eastAsia="宋体" w:cs="宋体"/>
          <w:sz w:val="21"/>
          <w:szCs w:val="21"/>
        </w:rPr>
      </w:pPr>
      <w:r>
        <w:rPr>
          <w:rFonts w:ascii="宋体" w:hAnsi="宋体" w:eastAsia="宋体" w:cs="宋体"/>
          <w:spacing w:val="15"/>
          <w:sz w:val="21"/>
          <w:szCs w:val="21"/>
        </w:rPr>
        <w:t>2. 随访内容  一般与基线资料内容一致，随访收</w:t>
      </w:r>
      <w:r>
        <w:rPr>
          <w:rFonts w:ascii="宋体" w:hAnsi="宋体" w:eastAsia="宋体" w:cs="宋体"/>
          <w:spacing w:val="14"/>
          <w:sz w:val="21"/>
          <w:szCs w:val="21"/>
        </w:rPr>
        <w:t>集的重点是有关暴露因素的变化及结局变</w:t>
      </w:r>
      <w:r>
        <w:rPr>
          <w:rFonts w:ascii="宋体" w:hAnsi="宋体" w:eastAsia="宋体" w:cs="宋体"/>
          <w:sz w:val="21"/>
          <w:szCs w:val="21"/>
        </w:rPr>
        <w:t xml:space="preserve"> </w:t>
      </w:r>
      <w:r>
        <w:rPr>
          <w:rFonts w:ascii="宋体" w:hAnsi="宋体" w:eastAsia="宋体" w:cs="宋体"/>
          <w:spacing w:val="12"/>
          <w:sz w:val="21"/>
          <w:szCs w:val="21"/>
        </w:rPr>
        <w:t>量，具体项目视研究目的与研究设计而不同。将各种随访内容制成调查表在随访中使用，并贯彻</w:t>
      </w:r>
      <w:r>
        <w:rPr>
          <w:rFonts w:ascii="宋体" w:hAnsi="宋体" w:eastAsia="宋体" w:cs="宋体"/>
          <w:spacing w:val="15"/>
          <w:sz w:val="21"/>
          <w:szCs w:val="21"/>
        </w:rPr>
        <w:t xml:space="preserve"> </w:t>
      </w:r>
      <w:r>
        <w:rPr>
          <w:rFonts w:ascii="宋体" w:hAnsi="宋体" w:eastAsia="宋体" w:cs="宋体"/>
          <w:spacing w:val="14"/>
          <w:sz w:val="21"/>
          <w:szCs w:val="21"/>
        </w:rPr>
        <w:t>始终。</w:t>
      </w:r>
    </w:p>
    <w:p w14:paraId="3B89A7F3">
      <w:pPr>
        <w:spacing w:before="116" w:line="268" w:lineRule="auto"/>
        <w:ind w:left="19" w:right="658" w:firstLine="420"/>
        <w:rPr>
          <w:rFonts w:ascii="宋体" w:hAnsi="宋体" w:eastAsia="宋体" w:cs="宋体"/>
          <w:sz w:val="21"/>
          <w:szCs w:val="21"/>
        </w:rPr>
      </w:pPr>
      <w:r>
        <w:rPr>
          <w:rFonts w:ascii="宋体" w:hAnsi="宋体" w:eastAsia="宋体" w:cs="宋体"/>
          <w:spacing w:val="10"/>
          <w:sz w:val="21"/>
          <w:szCs w:val="21"/>
        </w:rPr>
        <w:t>3. 观察终点  是指研究对象出现了预期的研究结局。</w:t>
      </w:r>
      <w:r>
        <w:rPr>
          <w:rFonts w:ascii="宋体" w:hAnsi="宋体" w:eastAsia="宋体" w:cs="宋体"/>
          <w:spacing w:val="9"/>
          <w:sz w:val="21"/>
          <w:szCs w:val="21"/>
        </w:rPr>
        <w:t>关于观察终点的判定，如一项研究的预</w:t>
      </w:r>
      <w:r>
        <w:rPr>
          <w:rFonts w:ascii="宋体" w:hAnsi="宋体" w:eastAsia="宋体" w:cs="宋体"/>
          <w:sz w:val="21"/>
          <w:szCs w:val="21"/>
        </w:rPr>
        <w:t xml:space="preserve"> </w:t>
      </w:r>
      <w:r>
        <w:rPr>
          <w:rFonts w:ascii="宋体" w:hAnsi="宋体" w:eastAsia="宋体" w:cs="宋体"/>
          <w:spacing w:val="7"/>
          <w:sz w:val="21"/>
          <w:szCs w:val="21"/>
        </w:rPr>
        <w:t>期结局是冠心病发生，当某研究对象患了高血压，该研究对象不视为到达观察终点，而应继续</w:t>
      </w:r>
      <w:r>
        <w:rPr>
          <w:rFonts w:ascii="宋体" w:hAnsi="宋体" w:eastAsia="宋体" w:cs="宋体"/>
          <w:spacing w:val="6"/>
          <w:sz w:val="21"/>
          <w:szCs w:val="21"/>
        </w:rPr>
        <w:t>作为</w:t>
      </w:r>
    </w:p>
    <w:p w14:paraId="7808D10D">
      <w:pPr>
        <w:spacing w:line="268" w:lineRule="auto"/>
        <w:rPr>
          <w:rFonts w:ascii="宋体" w:hAnsi="宋体" w:eastAsia="宋体" w:cs="宋体"/>
          <w:sz w:val="21"/>
          <w:szCs w:val="21"/>
        </w:rPr>
        <w:sectPr>
          <w:footerReference r:id="rId85" w:type="default"/>
          <w:pgSz w:w="11900" w:h="16820"/>
          <w:pgMar w:top="400" w:right="602" w:bottom="880" w:left="1279" w:header="0" w:footer="607" w:gutter="0"/>
          <w:cols w:space="720" w:num="1"/>
        </w:sectPr>
      </w:pPr>
    </w:p>
    <w:p w14:paraId="7AE87F39">
      <w:pPr>
        <w:pStyle w:val="2"/>
        <w:spacing w:before="56" w:line="222" w:lineRule="auto"/>
        <w:ind w:left="719"/>
        <w:rPr>
          <w:sz w:val="20"/>
          <w:szCs w:val="20"/>
        </w:rPr>
      </w:pPr>
      <w:bookmarkStart w:id="101" w:name="bookmark435"/>
      <w:bookmarkEnd w:id="101"/>
      <w:r>
        <w:rPr>
          <w:spacing w:val="-17"/>
          <w:w w:val="98"/>
          <w:sz w:val="20"/>
          <w:szCs w:val="20"/>
        </w:rPr>
        <w:t>第四章</w:t>
      </w:r>
      <w:r>
        <w:rPr>
          <w:spacing w:val="7"/>
          <w:sz w:val="20"/>
          <w:szCs w:val="20"/>
        </w:rPr>
        <w:t xml:space="preserve"> </w:t>
      </w:r>
      <w:r>
        <w:rPr>
          <w:spacing w:val="-17"/>
          <w:w w:val="98"/>
          <w:sz w:val="20"/>
          <w:szCs w:val="20"/>
        </w:rPr>
        <w:t>队列研究</w:t>
      </w:r>
    </w:p>
    <w:p w14:paraId="0042F0ED">
      <w:pPr>
        <w:spacing w:line="280" w:lineRule="auto"/>
        <w:rPr>
          <w:rFonts w:ascii="Arial"/>
          <w:sz w:val="21"/>
        </w:rPr>
      </w:pPr>
    </w:p>
    <w:p w14:paraId="1D3A44C8">
      <w:pPr>
        <w:spacing w:line="281" w:lineRule="auto"/>
        <w:rPr>
          <w:rFonts w:ascii="Arial"/>
          <w:sz w:val="21"/>
        </w:rPr>
      </w:pPr>
    </w:p>
    <w:p w14:paraId="11B34234">
      <w:pPr>
        <w:spacing w:before="65" w:line="351" w:lineRule="auto"/>
        <w:ind w:left="719" w:right="109"/>
        <w:rPr>
          <w:rFonts w:ascii="宋体" w:hAnsi="宋体" w:eastAsia="宋体" w:cs="宋体"/>
          <w:sz w:val="20"/>
          <w:szCs w:val="20"/>
        </w:rPr>
      </w:pPr>
      <w:r>
        <w:rPr>
          <w:rFonts w:ascii="宋体" w:hAnsi="宋体" w:eastAsia="宋体" w:cs="宋体"/>
          <w:spacing w:val="8"/>
          <w:sz w:val="20"/>
          <w:szCs w:val="20"/>
        </w:rPr>
        <w:t>研究对象进行追踪随访。又如该研究对象在观察期间猝死于脑卒中，虽然该研究对象已不能继续</w:t>
      </w:r>
      <w:r>
        <w:rPr>
          <w:rFonts w:ascii="宋体" w:hAnsi="宋体" w:eastAsia="宋体" w:cs="宋体"/>
          <w:spacing w:val="2"/>
          <w:sz w:val="20"/>
          <w:szCs w:val="20"/>
        </w:rPr>
        <w:t xml:space="preserve"> </w:t>
      </w:r>
      <w:r>
        <w:rPr>
          <w:rFonts w:ascii="宋体" w:hAnsi="宋体" w:eastAsia="宋体" w:cs="宋体"/>
          <w:sz w:val="20"/>
          <w:szCs w:val="20"/>
        </w:rPr>
        <w:t>随访观察，但其仍不能视为到达观察终点，而应当看作是一种失访，在资</w:t>
      </w:r>
      <w:r>
        <w:rPr>
          <w:rFonts w:ascii="宋体" w:hAnsi="宋体" w:eastAsia="宋体" w:cs="宋体"/>
          <w:spacing w:val="-1"/>
          <w:sz w:val="20"/>
          <w:szCs w:val="20"/>
        </w:rPr>
        <w:t>料分析时作为失访处理。</w:t>
      </w:r>
    </w:p>
    <w:p w14:paraId="57D54AE7">
      <w:pPr>
        <w:spacing w:before="2" w:line="344" w:lineRule="auto"/>
        <w:ind w:left="719" w:right="19" w:firstLine="430"/>
        <w:jc w:val="both"/>
        <w:rPr>
          <w:rFonts w:ascii="宋体" w:hAnsi="宋体" w:eastAsia="宋体" w:cs="宋体"/>
          <w:sz w:val="20"/>
          <w:szCs w:val="20"/>
        </w:rPr>
      </w:pPr>
      <w:r>
        <w:rPr>
          <w:rFonts w:ascii="宋体" w:hAnsi="宋体" w:eastAsia="宋体" w:cs="宋体"/>
          <w:sz w:val="20"/>
          <w:szCs w:val="20"/>
        </w:rPr>
        <w:t xml:space="preserve">一般情况下，观察终点依据研究目的而定，可以是疾病发生或死亡，也可以是某些指标的变化， </w:t>
      </w:r>
      <w:r>
        <w:rPr>
          <w:rFonts w:ascii="宋体" w:hAnsi="宋体" w:eastAsia="宋体" w:cs="宋体"/>
          <w:spacing w:val="3"/>
          <w:sz w:val="20"/>
          <w:szCs w:val="20"/>
        </w:rPr>
        <w:t>如血清抗体的出现、血脂水平升高等。对观察终点的判断应在设计时明确判定标准和判断方法，并</w:t>
      </w:r>
      <w:r>
        <w:rPr>
          <w:rFonts w:ascii="宋体" w:hAnsi="宋体" w:eastAsia="宋体" w:cs="宋体"/>
          <w:spacing w:val="4"/>
          <w:sz w:val="20"/>
          <w:szCs w:val="20"/>
        </w:rPr>
        <w:t xml:space="preserve">  </w:t>
      </w:r>
      <w:r>
        <w:rPr>
          <w:rFonts w:ascii="宋体" w:hAnsi="宋体" w:eastAsia="宋体" w:cs="宋体"/>
          <w:spacing w:val="-2"/>
          <w:sz w:val="20"/>
          <w:szCs w:val="20"/>
        </w:rPr>
        <w:t>在研究期间保持不变。确定观察终点的方法要求敏感、可靠</w:t>
      </w:r>
      <w:r>
        <w:rPr>
          <w:rFonts w:ascii="宋体" w:hAnsi="宋体" w:eastAsia="宋体" w:cs="宋体"/>
          <w:spacing w:val="-3"/>
          <w:sz w:val="20"/>
          <w:szCs w:val="20"/>
        </w:rPr>
        <w:t>、简便、易于接受。</w:t>
      </w:r>
    </w:p>
    <w:p w14:paraId="7BEF456B">
      <w:pPr>
        <w:pStyle w:val="2"/>
        <w:spacing w:before="2" w:line="306" w:lineRule="auto"/>
        <w:ind w:left="719" w:right="100" w:firstLine="430"/>
        <w:rPr>
          <w:rFonts w:ascii="宋体" w:hAnsi="宋体" w:eastAsia="宋体" w:cs="宋体"/>
          <w:sz w:val="20"/>
          <w:szCs w:val="20"/>
        </w:rPr>
      </w:pPr>
      <w:r>
        <w:rPr>
          <w:rFonts w:ascii="宋体" w:hAnsi="宋体" w:eastAsia="宋体" w:cs="宋体"/>
          <w:spacing w:val="6"/>
          <w:sz w:val="20"/>
          <w:szCs w:val="20"/>
        </w:rPr>
        <w:t xml:space="preserve">4. </w:t>
      </w:r>
      <w:r>
        <w:rPr>
          <w:spacing w:val="6"/>
          <w:sz w:val="20"/>
          <w:szCs w:val="20"/>
        </w:rPr>
        <w:t>观察终止时间</w:t>
      </w:r>
      <w:r>
        <w:rPr>
          <w:spacing w:val="81"/>
          <w:sz w:val="20"/>
          <w:szCs w:val="20"/>
        </w:rPr>
        <w:t xml:space="preserve"> </w:t>
      </w:r>
      <w:r>
        <w:rPr>
          <w:rFonts w:ascii="宋体" w:hAnsi="宋体" w:eastAsia="宋体" w:cs="宋体"/>
          <w:spacing w:val="6"/>
          <w:sz w:val="20"/>
          <w:szCs w:val="20"/>
        </w:rPr>
        <w:t>是指整个研究工作截止的时间，也是预期可以得到结</w:t>
      </w:r>
      <w:r>
        <w:rPr>
          <w:rFonts w:ascii="宋体" w:hAnsi="宋体" w:eastAsia="宋体" w:cs="宋体"/>
          <w:spacing w:val="5"/>
          <w:sz w:val="20"/>
          <w:szCs w:val="20"/>
        </w:rPr>
        <w:t>局的时间。终止时间</w:t>
      </w:r>
      <w:r>
        <w:rPr>
          <w:rFonts w:ascii="宋体" w:hAnsi="宋体" w:eastAsia="宋体" w:cs="宋体"/>
          <w:sz w:val="20"/>
          <w:szCs w:val="20"/>
        </w:rPr>
        <w:t xml:space="preserve"> </w:t>
      </w:r>
      <w:r>
        <w:rPr>
          <w:rFonts w:ascii="宋体" w:hAnsi="宋体" w:eastAsia="宋体" w:cs="宋体"/>
          <w:spacing w:val="8"/>
          <w:sz w:val="20"/>
          <w:szCs w:val="20"/>
        </w:rPr>
        <w:t>直接决定了观察期的长短，而观察期长短是以暴露因素作用于人体至产生结局的时间。观察时间</w:t>
      </w:r>
      <w:r>
        <w:rPr>
          <w:rFonts w:ascii="宋体" w:hAnsi="宋体" w:eastAsia="宋体" w:cs="宋体"/>
          <w:spacing w:val="12"/>
          <w:sz w:val="20"/>
          <w:szCs w:val="20"/>
        </w:rPr>
        <w:t xml:space="preserve"> </w:t>
      </w:r>
      <w:r>
        <w:rPr>
          <w:rFonts w:ascii="宋体" w:hAnsi="宋体" w:eastAsia="宋体" w:cs="宋体"/>
          <w:spacing w:val="-3"/>
          <w:sz w:val="20"/>
          <w:szCs w:val="20"/>
        </w:rPr>
        <w:t>过短，可能得不出预期的结果；但随访时间越长，失访</w:t>
      </w:r>
      <w:r>
        <w:rPr>
          <w:rFonts w:ascii="宋体" w:hAnsi="宋体" w:eastAsia="宋体" w:cs="宋体"/>
          <w:spacing w:val="-4"/>
          <w:sz w:val="20"/>
          <w:szCs w:val="20"/>
        </w:rPr>
        <w:t>率越高，消耗越大，结果可能也会受影响。</w:t>
      </w:r>
    </w:p>
    <w:p w14:paraId="57329571">
      <w:pPr>
        <w:pStyle w:val="2"/>
        <w:spacing w:before="154" w:line="301" w:lineRule="auto"/>
        <w:ind w:left="719" w:right="108" w:firstLine="430"/>
        <w:rPr>
          <w:rFonts w:ascii="宋体" w:hAnsi="宋体" w:eastAsia="宋体" w:cs="宋体"/>
          <w:sz w:val="20"/>
          <w:szCs w:val="20"/>
        </w:rPr>
      </w:pPr>
      <w:r>
        <w:rPr>
          <w:rFonts w:ascii="宋体" w:hAnsi="宋体" w:eastAsia="宋体" w:cs="宋体"/>
          <w:spacing w:val="12"/>
          <w:sz w:val="20"/>
          <w:szCs w:val="20"/>
        </w:rPr>
        <w:t xml:space="preserve">5. </w:t>
      </w:r>
      <w:r>
        <w:rPr>
          <w:spacing w:val="12"/>
          <w:sz w:val="20"/>
          <w:szCs w:val="20"/>
        </w:rPr>
        <w:t xml:space="preserve">随访间隔 </w:t>
      </w:r>
      <w:r>
        <w:rPr>
          <w:rFonts w:ascii="宋体" w:hAnsi="宋体" w:eastAsia="宋体" w:cs="宋体"/>
          <w:spacing w:val="12"/>
          <w:sz w:val="20"/>
          <w:szCs w:val="20"/>
        </w:rPr>
        <w:t>如果随访观察时间较短，则在观察终止时一次搜集资料即可。但如果观察时</w:t>
      </w:r>
      <w:r>
        <w:rPr>
          <w:rFonts w:ascii="宋体" w:hAnsi="宋体" w:eastAsia="宋体" w:cs="宋体"/>
          <w:spacing w:val="18"/>
          <w:sz w:val="20"/>
          <w:szCs w:val="20"/>
        </w:rPr>
        <w:t xml:space="preserve"> </w:t>
      </w:r>
      <w:r>
        <w:rPr>
          <w:rFonts w:ascii="宋体" w:hAnsi="宋体" w:eastAsia="宋体" w:cs="宋体"/>
          <w:spacing w:val="8"/>
          <w:sz w:val="20"/>
          <w:szCs w:val="20"/>
        </w:rPr>
        <w:t>间较长，则需多次随访，其随访间隔和次数将视研究结局的变化速度、研究的人力和物力等条件</w:t>
      </w:r>
      <w:r>
        <w:rPr>
          <w:rFonts w:ascii="宋体" w:hAnsi="宋体" w:eastAsia="宋体" w:cs="宋体"/>
          <w:spacing w:val="2"/>
          <w:sz w:val="20"/>
          <w:szCs w:val="20"/>
        </w:rPr>
        <w:t xml:space="preserve"> </w:t>
      </w:r>
      <w:r>
        <w:rPr>
          <w:rFonts w:ascii="宋体" w:hAnsi="宋体" w:eastAsia="宋体" w:cs="宋体"/>
          <w:spacing w:val="6"/>
          <w:sz w:val="20"/>
          <w:szCs w:val="20"/>
        </w:rPr>
        <w:t>而定。</w:t>
      </w:r>
    </w:p>
    <w:p w14:paraId="254DACC0">
      <w:pPr>
        <w:pStyle w:val="2"/>
        <w:spacing w:before="161" w:line="280" w:lineRule="auto"/>
        <w:ind w:left="719" w:firstLine="430"/>
        <w:rPr>
          <w:rFonts w:ascii="宋体" w:hAnsi="宋体" w:eastAsia="宋体" w:cs="宋体"/>
          <w:sz w:val="20"/>
          <w:szCs w:val="20"/>
        </w:rPr>
      </w:pPr>
      <w:r>
        <w:rPr>
          <w:rFonts w:ascii="宋体" w:hAnsi="宋体" w:eastAsia="宋体" w:cs="宋体"/>
          <w:spacing w:val="4"/>
          <w:sz w:val="20"/>
          <w:szCs w:val="20"/>
        </w:rPr>
        <w:t xml:space="preserve">6. </w:t>
      </w:r>
      <w:r>
        <w:rPr>
          <w:spacing w:val="4"/>
          <w:sz w:val="20"/>
          <w:szCs w:val="20"/>
        </w:rPr>
        <w:t>随访者</w:t>
      </w:r>
      <w:r>
        <w:rPr>
          <w:spacing w:val="58"/>
          <w:sz w:val="20"/>
          <w:szCs w:val="20"/>
        </w:rPr>
        <w:t xml:space="preserve"> </w:t>
      </w:r>
      <w:r>
        <w:rPr>
          <w:rFonts w:ascii="宋体" w:hAnsi="宋体" w:eastAsia="宋体" w:cs="宋体"/>
          <w:spacing w:val="4"/>
          <w:sz w:val="20"/>
          <w:szCs w:val="20"/>
        </w:rPr>
        <w:t>根据随访内容的不同，调查员可以是普通的调查员，也可以是实</w:t>
      </w:r>
      <w:r>
        <w:rPr>
          <w:rFonts w:ascii="宋体" w:hAnsi="宋体" w:eastAsia="宋体" w:cs="宋体"/>
          <w:spacing w:val="3"/>
          <w:sz w:val="20"/>
          <w:szCs w:val="20"/>
        </w:rPr>
        <w:t>验室的技术人员、</w:t>
      </w:r>
      <w:r>
        <w:rPr>
          <w:rFonts w:ascii="宋体" w:hAnsi="宋体" w:eastAsia="宋体" w:cs="宋体"/>
          <w:sz w:val="20"/>
          <w:szCs w:val="20"/>
        </w:rPr>
        <w:t xml:space="preserve"> </w:t>
      </w:r>
      <w:r>
        <w:rPr>
          <w:rFonts w:ascii="宋体" w:hAnsi="宋体" w:eastAsia="宋体" w:cs="宋体"/>
          <w:spacing w:val="-3"/>
          <w:sz w:val="20"/>
          <w:szCs w:val="20"/>
        </w:rPr>
        <w:t>临床医师等，但随访调查员必须认真培训，统一调查口径，减少调查者偏倚。</w:t>
      </w:r>
    </w:p>
    <w:p w14:paraId="6698D968">
      <w:pPr>
        <w:pStyle w:val="2"/>
        <w:spacing w:before="321" w:line="222" w:lineRule="auto"/>
        <w:ind w:left="1153"/>
        <w:outlineLvl w:val="2"/>
        <w:rPr>
          <w:sz w:val="25"/>
          <w:szCs w:val="25"/>
        </w:rPr>
      </w:pPr>
      <w:bookmarkStart w:id="102" w:name="bookmark62"/>
      <w:bookmarkEnd w:id="102"/>
      <w:r>
        <w:rPr>
          <w:b/>
          <w:bCs/>
          <w:spacing w:val="-14"/>
          <w:sz w:val="25"/>
          <w:szCs w:val="25"/>
        </w:rPr>
        <w:t>六</w:t>
      </w:r>
      <w:r>
        <w:rPr>
          <w:spacing w:val="-65"/>
          <w:sz w:val="25"/>
          <w:szCs w:val="25"/>
        </w:rPr>
        <w:t xml:space="preserve"> </w:t>
      </w:r>
      <w:r>
        <w:rPr>
          <w:b/>
          <w:bCs/>
          <w:spacing w:val="-14"/>
          <w:sz w:val="25"/>
          <w:szCs w:val="25"/>
        </w:rPr>
        <w:t>、质量控制</w:t>
      </w:r>
    </w:p>
    <w:p w14:paraId="0B3A92E0">
      <w:pPr>
        <w:spacing w:before="261" w:line="343" w:lineRule="auto"/>
        <w:ind w:left="719" w:right="84" w:firstLine="430"/>
        <w:rPr>
          <w:rFonts w:ascii="宋体" w:hAnsi="宋体" w:eastAsia="宋体" w:cs="宋体"/>
          <w:sz w:val="20"/>
          <w:szCs w:val="20"/>
        </w:rPr>
      </w:pPr>
      <w:r>
        <w:rPr>
          <w:rFonts w:ascii="宋体" w:hAnsi="宋体" w:eastAsia="宋体" w:cs="宋体"/>
          <w:spacing w:val="-2"/>
          <w:sz w:val="20"/>
          <w:szCs w:val="20"/>
        </w:rPr>
        <w:t>队列研究费时、费力、费钱，实施过程特别是资料收集过程中的质量控制显得格外重要，常用的</w:t>
      </w:r>
      <w:r>
        <w:rPr>
          <w:rFonts w:ascii="宋体" w:hAnsi="宋体" w:eastAsia="宋体" w:cs="宋体"/>
          <w:spacing w:val="18"/>
          <w:sz w:val="20"/>
          <w:szCs w:val="20"/>
        </w:rPr>
        <w:t xml:space="preserve"> </w:t>
      </w:r>
      <w:r>
        <w:rPr>
          <w:rFonts w:ascii="宋体" w:hAnsi="宋体" w:eastAsia="宋体" w:cs="宋体"/>
          <w:spacing w:val="2"/>
          <w:sz w:val="20"/>
          <w:szCs w:val="20"/>
        </w:rPr>
        <w:t>质量控制措施包括下列几点：</w:t>
      </w:r>
    </w:p>
    <w:p w14:paraId="10736885">
      <w:pPr>
        <w:pStyle w:val="2"/>
        <w:spacing w:before="6" w:line="277" w:lineRule="auto"/>
        <w:ind w:left="719" w:right="110" w:firstLine="430"/>
        <w:rPr>
          <w:rFonts w:ascii="宋体" w:hAnsi="宋体" w:eastAsia="宋体" w:cs="宋体"/>
          <w:sz w:val="20"/>
          <w:szCs w:val="20"/>
        </w:rPr>
      </w:pPr>
      <w:r>
        <w:rPr>
          <w:rFonts w:ascii="宋体" w:hAnsi="宋体" w:eastAsia="宋体" w:cs="宋体"/>
          <w:spacing w:val="6"/>
          <w:sz w:val="20"/>
          <w:szCs w:val="20"/>
        </w:rPr>
        <w:t>1.</w:t>
      </w:r>
      <w:r>
        <w:rPr>
          <w:rFonts w:ascii="宋体" w:hAnsi="宋体" w:eastAsia="宋体" w:cs="宋体"/>
          <w:spacing w:val="-4"/>
          <w:sz w:val="20"/>
          <w:szCs w:val="20"/>
        </w:rPr>
        <w:t xml:space="preserve"> </w:t>
      </w:r>
      <w:r>
        <w:rPr>
          <w:spacing w:val="6"/>
          <w:sz w:val="20"/>
          <w:szCs w:val="20"/>
        </w:rPr>
        <w:t>调查员的选择</w:t>
      </w:r>
      <w:r>
        <w:rPr>
          <w:spacing w:val="72"/>
          <w:sz w:val="20"/>
          <w:szCs w:val="20"/>
        </w:rPr>
        <w:t xml:space="preserve"> </w:t>
      </w:r>
      <w:r>
        <w:rPr>
          <w:rFonts w:ascii="宋体" w:hAnsi="宋体" w:eastAsia="宋体" w:cs="宋体"/>
          <w:spacing w:val="6"/>
          <w:sz w:val="20"/>
          <w:szCs w:val="20"/>
        </w:rPr>
        <w:t>调查员应有严谨的工作作风和科学态度，诚实可靠是调查员应具备的基本</w:t>
      </w:r>
      <w:r>
        <w:rPr>
          <w:rFonts w:ascii="宋体" w:hAnsi="宋体" w:eastAsia="宋体" w:cs="宋体"/>
          <w:sz w:val="20"/>
          <w:szCs w:val="20"/>
        </w:rPr>
        <w:t xml:space="preserve"> </w:t>
      </w:r>
      <w:r>
        <w:rPr>
          <w:rFonts w:ascii="宋体" w:hAnsi="宋体" w:eastAsia="宋体" w:cs="宋体"/>
          <w:spacing w:val="6"/>
          <w:sz w:val="20"/>
          <w:szCs w:val="20"/>
        </w:rPr>
        <w:t>品质。</w:t>
      </w:r>
    </w:p>
    <w:p w14:paraId="48961D0B">
      <w:pPr>
        <w:pStyle w:val="2"/>
        <w:spacing w:before="150" w:line="295" w:lineRule="auto"/>
        <w:ind w:left="719" w:right="39" w:firstLine="430"/>
        <w:rPr>
          <w:rFonts w:ascii="宋体" w:hAnsi="宋体" w:eastAsia="宋体" w:cs="宋体"/>
          <w:sz w:val="20"/>
          <w:szCs w:val="20"/>
        </w:rPr>
      </w:pPr>
      <w:r>
        <w:rPr>
          <w:rFonts w:ascii="宋体" w:hAnsi="宋体" w:eastAsia="宋体" w:cs="宋体"/>
          <w:spacing w:val="1"/>
          <w:sz w:val="20"/>
          <w:szCs w:val="20"/>
        </w:rPr>
        <w:t>2.</w:t>
      </w:r>
      <w:r>
        <w:rPr>
          <w:rFonts w:ascii="宋体" w:hAnsi="宋体" w:eastAsia="宋体" w:cs="宋体"/>
          <w:spacing w:val="-20"/>
          <w:sz w:val="20"/>
          <w:szCs w:val="20"/>
        </w:rPr>
        <w:t xml:space="preserve"> </w:t>
      </w:r>
      <w:r>
        <w:rPr>
          <w:spacing w:val="1"/>
          <w:sz w:val="20"/>
          <w:szCs w:val="20"/>
        </w:rPr>
        <w:t>调查员培训</w:t>
      </w:r>
      <w:r>
        <w:rPr>
          <w:spacing w:val="84"/>
          <w:sz w:val="20"/>
          <w:szCs w:val="20"/>
        </w:rPr>
        <w:t xml:space="preserve"> </w:t>
      </w:r>
      <w:r>
        <w:rPr>
          <w:rFonts w:ascii="宋体" w:hAnsi="宋体" w:eastAsia="宋体" w:cs="宋体"/>
          <w:spacing w:val="1"/>
          <w:sz w:val="20"/>
          <w:szCs w:val="20"/>
        </w:rPr>
        <w:t>调查员的工作作风、科学态度、调查方法</w:t>
      </w:r>
      <w:r>
        <w:rPr>
          <w:rFonts w:ascii="宋体" w:hAnsi="宋体" w:eastAsia="宋体" w:cs="宋体"/>
          <w:sz w:val="20"/>
          <w:szCs w:val="20"/>
        </w:rPr>
        <w:t xml:space="preserve">和技巧、临床和实验室工作的经验等  </w:t>
      </w:r>
      <w:r>
        <w:rPr>
          <w:rFonts w:ascii="宋体" w:hAnsi="宋体" w:eastAsia="宋体" w:cs="宋体"/>
          <w:spacing w:val="5"/>
          <w:sz w:val="20"/>
          <w:szCs w:val="20"/>
        </w:rPr>
        <w:t>都将直接影响调查结果的真实性和可靠性。因此，在资料收集前，应对所有调查员</w:t>
      </w:r>
      <w:r>
        <w:rPr>
          <w:rFonts w:ascii="宋体" w:hAnsi="宋体" w:eastAsia="宋体" w:cs="宋体"/>
          <w:spacing w:val="4"/>
          <w:sz w:val="20"/>
          <w:szCs w:val="20"/>
        </w:rPr>
        <w:t>进行严格培训，</w:t>
      </w:r>
      <w:r>
        <w:rPr>
          <w:rFonts w:ascii="宋体" w:hAnsi="宋体" w:eastAsia="宋体" w:cs="宋体"/>
          <w:sz w:val="20"/>
          <w:szCs w:val="20"/>
        </w:rPr>
        <w:t xml:space="preserve"> </w:t>
      </w:r>
      <w:r>
        <w:rPr>
          <w:rFonts w:ascii="宋体" w:hAnsi="宋体" w:eastAsia="宋体" w:cs="宋体"/>
          <w:spacing w:val="-1"/>
          <w:sz w:val="20"/>
          <w:szCs w:val="20"/>
        </w:rPr>
        <w:t>统一调查口径，并在调查员考核合格后方能参与调查。</w:t>
      </w:r>
    </w:p>
    <w:p w14:paraId="1ED535F8">
      <w:pPr>
        <w:pStyle w:val="2"/>
        <w:spacing w:before="161" w:line="281" w:lineRule="auto"/>
        <w:ind w:left="719" w:right="39" w:firstLine="430"/>
        <w:rPr>
          <w:rFonts w:ascii="宋体" w:hAnsi="宋体" w:eastAsia="宋体" w:cs="宋体"/>
          <w:sz w:val="20"/>
          <w:szCs w:val="20"/>
        </w:rPr>
      </w:pPr>
      <w:r>
        <w:rPr>
          <w:rFonts w:ascii="宋体" w:hAnsi="宋体" w:eastAsia="宋体" w:cs="宋体"/>
          <w:spacing w:val="2"/>
          <w:sz w:val="20"/>
          <w:szCs w:val="20"/>
        </w:rPr>
        <w:t xml:space="preserve">3. </w:t>
      </w:r>
      <w:r>
        <w:rPr>
          <w:spacing w:val="2"/>
          <w:sz w:val="20"/>
          <w:szCs w:val="20"/>
        </w:rPr>
        <w:t xml:space="preserve">制定调查员手册  </w:t>
      </w:r>
      <w:r>
        <w:rPr>
          <w:rFonts w:ascii="宋体" w:hAnsi="宋体" w:eastAsia="宋体" w:cs="宋体"/>
          <w:spacing w:val="2"/>
          <w:sz w:val="20"/>
          <w:szCs w:val="20"/>
        </w:rPr>
        <w:t>由于队列研究所涉及的调查员较多、时间跨度长，</w:t>
      </w:r>
      <w:r>
        <w:rPr>
          <w:rFonts w:ascii="宋体" w:hAnsi="宋体" w:eastAsia="宋体" w:cs="宋体"/>
          <w:spacing w:val="1"/>
          <w:sz w:val="20"/>
          <w:szCs w:val="20"/>
        </w:rPr>
        <w:t>详细编写调查员手册，</w:t>
      </w:r>
      <w:r>
        <w:rPr>
          <w:rFonts w:ascii="宋体" w:hAnsi="宋体" w:eastAsia="宋体" w:cs="宋体"/>
          <w:sz w:val="20"/>
          <w:szCs w:val="20"/>
        </w:rPr>
        <w:t xml:space="preserve"> </w:t>
      </w:r>
      <w:r>
        <w:rPr>
          <w:rFonts w:ascii="宋体" w:hAnsi="宋体" w:eastAsia="宋体" w:cs="宋体"/>
          <w:spacing w:val="1"/>
          <w:sz w:val="20"/>
          <w:szCs w:val="20"/>
        </w:rPr>
        <w:t>列出包括操作程序、注意事项及调查问卷的完整说明等是十分必要的。</w:t>
      </w:r>
    </w:p>
    <w:p w14:paraId="0A9849CC">
      <w:pPr>
        <w:pStyle w:val="2"/>
        <w:spacing w:before="151" w:line="305" w:lineRule="auto"/>
        <w:ind w:left="719" w:right="91" w:firstLine="430"/>
        <w:rPr>
          <w:rFonts w:ascii="宋体" w:hAnsi="宋体" w:eastAsia="宋体" w:cs="宋体"/>
          <w:sz w:val="20"/>
          <w:szCs w:val="20"/>
        </w:rPr>
      </w:pPr>
      <w:r>
        <w:rPr>
          <w:rFonts w:ascii="宋体" w:hAnsi="宋体" w:eastAsia="宋体" w:cs="宋体"/>
          <w:spacing w:val="6"/>
          <w:sz w:val="20"/>
          <w:szCs w:val="20"/>
        </w:rPr>
        <w:t xml:space="preserve">4. </w:t>
      </w:r>
      <w:r>
        <w:rPr>
          <w:spacing w:val="6"/>
          <w:sz w:val="20"/>
          <w:szCs w:val="20"/>
        </w:rPr>
        <w:t>监督与检查</w:t>
      </w:r>
      <w:r>
        <w:rPr>
          <w:spacing w:val="81"/>
          <w:sz w:val="20"/>
          <w:szCs w:val="20"/>
        </w:rPr>
        <w:t xml:space="preserve"> </w:t>
      </w:r>
      <w:r>
        <w:rPr>
          <w:rFonts w:ascii="宋体" w:hAnsi="宋体" w:eastAsia="宋体" w:cs="宋体"/>
          <w:spacing w:val="6"/>
          <w:sz w:val="20"/>
          <w:szCs w:val="20"/>
        </w:rPr>
        <w:t>常规的监督与检查措施包括：①由另一名调查员做抽样重复调查；②采用人</w:t>
      </w:r>
      <w:r>
        <w:rPr>
          <w:rFonts w:ascii="宋体" w:hAnsi="宋体" w:eastAsia="宋体" w:cs="宋体"/>
          <w:sz w:val="20"/>
          <w:szCs w:val="20"/>
        </w:rPr>
        <w:t xml:space="preserve"> </w:t>
      </w:r>
      <w:r>
        <w:rPr>
          <w:rFonts w:ascii="宋体" w:hAnsi="宋体" w:eastAsia="宋体" w:cs="宋体"/>
          <w:spacing w:val="3"/>
          <w:sz w:val="20"/>
          <w:szCs w:val="20"/>
        </w:rPr>
        <w:t>工或计算机及时进行数值检查或逻辑检错；③定期督导评估每个调查员的工作；④对不同调查员所</w:t>
      </w:r>
      <w:r>
        <w:rPr>
          <w:rFonts w:ascii="宋体" w:hAnsi="宋体" w:eastAsia="宋体" w:cs="宋体"/>
          <w:spacing w:val="6"/>
          <w:sz w:val="20"/>
          <w:szCs w:val="20"/>
        </w:rPr>
        <w:t xml:space="preserve"> </w:t>
      </w:r>
      <w:r>
        <w:rPr>
          <w:rFonts w:ascii="宋体" w:hAnsi="宋体" w:eastAsia="宋体" w:cs="宋体"/>
          <w:spacing w:val="8"/>
          <w:sz w:val="20"/>
          <w:szCs w:val="20"/>
        </w:rPr>
        <w:t>收集的变量分布进行比较；⑤对变量的时间趋势进行分析。需注意的是监督结果应及时反馈给调</w:t>
      </w:r>
      <w:r>
        <w:rPr>
          <w:rFonts w:ascii="宋体" w:hAnsi="宋体" w:eastAsia="宋体" w:cs="宋体"/>
          <w:spacing w:val="9"/>
          <w:sz w:val="20"/>
          <w:szCs w:val="20"/>
        </w:rPr>
        <w:t xml:space="preserve"> </w:t>
      </w:r>
      <w:r>
        <w:rPr>
          <w:rFonts w:ascii="宋体" w:hAnsi="宋体" w:eastAsia="宋体" w:cs="宋体"/>
          <w:spacing w:val="6"/>
          <w:sz w:val="20"/>
          <w:szCs w:val="20"/>
        </w:rPr>
        <w:t>查员。</w:t>
      </w:r>
    </w:p>
    <w:p w14:paraId="2BDA72BC">
      <w:pPr>
        <w:spacing w:line="450" w:lineRule="auto"/>
        <w:rPr>
          <w:rFonts w:ascii="Arial"/>
          <w:sz w:val="21"/>
        </w:rPr>
      </w:pPr>
    </w:p>
    <w:p w14:paraId="544CEEC9">
      <w:pPr>
        <w:pStyle w:val="2"/>
        <w:spacing w:before="95" w:line="222" w:lineRule="auto"/>
        <w:ind w:left="3384"/>
        <w:outlineLvl w:val="1"/>
        <w:rPr>
          <w:sz w:val="29"/>
          <w:szCs w:val="29"/>
        </w:rPr>
      </w:pPr>
      <w:bookmarkStart w:id="103" w:name="bookmark63"/>
      <w:bookmarkEnd w:id="103"/>
      <w:r>
        <w:rPr>
          <w:b/>
          <w:bCs/>
          <w:spacing w:val="-4"/>
          <w:sz w:val="29"/>
          <w:szCs w:val="29"/>
        </w:rPr>
        <w:t>第三节</w:t>
      </w:r>
      <w:r>
        <w:rPr>
          <w:spacing w:val="127"/>
          <w:sz w:val="29"/>
          <w:szCs w:val="29"/>
        </w:rPr>
        <w:t xml:space="preserve"> </w:t>
      </w:r>
      <w:r>
        <w:rPr>
          <w:b/>
          <w:bCs/>
          <w:spacing w:val="-4"/>
          <w:sz w:val="29"/>
          <w:szCs w:val="29"/>
        </w:rPr>
        <w:t>资料的整理与分析</w:t>
      </w:r>
    </w:p>
    <w:p w14:paraId="0E815080">
      <w:pPr>
        <w:spacing w:line="336" w:lineRule="auto"/>
        <w:rPr>
          <w:rFonts w:ascii="Arial"/>
          <w:sz w:val="21"/>
        </w:rPr>
      </w:pPr>
    </w:p>
    <w:p w14:paraId="19C7079A">
      <w:pPr>
        <w:spacing w:before="65" w:line="333" w:lineRule="auto"/>
        <w:ind w:left="719" w:right="19" w:firstLine="430"/>
        <w:jc w:val="both"/>
        <w:rPr>
          <w:rFonts w:ascii="宋体" w:hAnsi="宋体" w:eastAsia="宋体" w:cs="宋体"/>
          <w:sz w:val="20"/>
          <w:szCs w:val="20"/>
        </w:rPr>
      </w:pPr>
      <w:r>
        <w:rPr>
          <w:rFonts w:ascii="宋体" w:hAnsi="宋体" w:eastAsia="宋体" w:cs="宋体"/>
          <w:spacing w:val="3"/>
          <w:sz w:val="20"/>
          <w:szCs w:val="20"/>
        </w:rPr>
        <w:t>资料分析前，首先对资料进行清理，了解资料的准确性与完整性；对有明显</w:t>
      </w:r>
      <w:r>
        <w:rPr>
          <w:rFonts w:ascii="宋体" w:hAnsi="宋体" w:eastAsia="宋体" w:cs="宋体"/>
          <w:spacing w:val="2"/>
          <w:sz w:val="20"/>
          <w:szCs w:val="20"/>
        </w:rPr>
        <w:t>错误的资料重新调</w:t>
      </w:r>
      <w:r>
        <w:rPr>
          <w:rFonts w:ascii="宋体" w:hAnsi="宋体" w:eastAsia="宋体" w:cs="宋体"/>
          <w:sz w:val="20"/>
          <w:szCs w:val="20"/>
        </w:rPr>
        <w:t xml:space="preserve">  </w:t>
      </w:r>
      <w:r>
        <w:rPr>
          <w:rFonts w:ascii="宋体" w:hAnsi="宋体" w:eastAsia="宋体" w:cs="宋体"/>
          <w:spacing w:val="3"/>
          <w:sz w:val="20"/>
          <w:szCs w:val="20"/>
        </w:rPr>
        <w:t>查、修正或剔除；对不完整的资料设法补齐。在此基础上，对资料做统计描述，如描述研究对象的</w:t>
      </w:r>
      <w:r>
        <w:rPr>
          <w:rFonts w:ascii="宋体" w:hAnsi="宋体" w:eastAsia="宋体" w:cs="宋体"/>
          <w:spacing w:val="8"/>
          <w:sz w:val="20"/>
          <w:szCs w:val="20"/>
        </w:rPr>
        <w:t xml:space="preserve">  </w:t>
      </w:r>
      <w:r>
        <w:rPr>
          <w:rFonts w:ascii="宋体" w:hAnsi="宋体" w:eastAsia="宋体" w:cs="宋体"/>
          <w:spacing w:val="1"/>
          <w:sz w:val="20"/>
          <w:szCs w:val="20"/>
        </w:rPr>
        <w:t>社会人口学特征、随访时间、失访情况、两组的可比性等；然后进</w:t>
      </w:r>
      <w:r>
        <w:rPr>
          <w:rFonts w:ascii="宋体" w:hAnsi="宋体" w:eastAsia="宋体" w:cs="宋体"/>
          <w:sz w:val="20"/>
          <w:szCs w:val="20"/>
        </w:rPr>
        <w:t xml:space="preserve">行统计推断，分析组间率的差异， </w:t>
      </w:r>
      <w:r>
        <w:rPr>
          <w:rFonts w:ascii="宋体" w:hAnsi="宋体" w:eastAsia="宋体" w:cs="宋体"/>
          <w:spacing w:val="6"/>
          <w:sz w:val="20"/>
          <w:szCs w:val="20"/>
        </w:rPr>
        <w:t>分析暴露的效应。</w:t>
      </w:r>
    </w:p>
    <w:p w14:paraId="528ECD79">
      <w:pPr>
        <w:pStyle w:val="2"/>
        <w:spacing w:before="204" w:line="222" w:lineRule="auto"/>
        <w:ind w:left="1153"/>
        <w:outlineLvl w:val="2"/>
        <w:rPr>
          <w:sz w:val="25"/>
          <w:szCs w:val="25"/>
        </w:rPr>
      </w:pPr>
      <w:bookmarkStart w:id="104" w:name="bookmark64"/>
      <w:bookmarkEnd w:id="104"/>
      <w:r>
        <w:rPr>
          <w:b/>
          <w:bCs/>
          <w:spacing w:val="-11"/>
          <w:sz w:val="25"/>
          <w:szCs w:val="25"/>
        </w:rPr>
        <w:t>一</w:t>
      </w:r>
      <w:r>
        <w:rPr>
          <w:spacing w:val="-67"/>
          <w:sz w:val="25"/>
          <w:szCs w:val="25"/>
        </w:rPr>
        <w:t xml:space="preserve"> </w:t>
      </w:r>
      <w:r>
        <w:rPr>
          <w:b/>
          <w:bCs/>
          <w:spacing w:val="-11"/>
          <w:sz w:val="25"/>
          <w:szCs w:val="25"/>
        </w:rPr>
        <w:t>、资料整理模式</w:t>
      </w:r>
    </w:p>
    <w:p w14:paraId="3F25D021">
      <w:pPr>
        <w:spacing w:before="271" w:line="326" w:lineRule="auto"/>
        <w:ind w:left="719" w:right="36" w:firstLine="430"/>
        <w:rPr>
          <w:rFonts w:ascii="宋体" w:hAnsi="宋体" w:eastAsia="宋体" w:cs="宋体"/>
          <w:sz w:val="20"/>
          <w:szCs w:val="20"/>
        </w:rPr>
      </w:pPr>
      <w:r>
        <w:rPr>
          <w:rFonts w:ascii="宋体" w:hAnsi="宋体" w:eastAsia="宋体" w:cs="宋体"/>
          <w:spacing w:val="7"/>
          <w:sz w:val="20"/>
          <w:szCs w:val="20"/>
        </w:rPr>
        <w:t>根据统计分析的要求和资料性质，队列研究的资料一般</w:t>
      </w:r>
      <w:r>
        <w:rPr>
          <w:rFonts w:ascii="宋体" w:hAnsi="宋体" w:eastAsia="宋体" w:cs="宋体"/>
          <w:spacing w:val="6"/>
          <w:sz w:val="20"/>
          <w:szCs w:val="20"/>
        </w:rPr>
        <w:t>整理成表4-1的模式(累积发病率资料)</w:t>
      </w:r>
      <w:r>
        <w:rPr>
          <w:rFonts w:ascii="宋体" w:hAnsi="宋体" w:eastAsia="宋体" w:cs="宋体"/>
          <w:sz w:val="20"/>
          <w:szCs w:val="20"/>
        </w:rPr>
        <w:t xml:space="preserve"> </w:t>
      </w:r>
      <w:r>
        <w:rPr>
          <w:rFonts w:ascii="宋体" w:hAnsi="宋体" w:eastAsia="宋体" w:cs="宋体"/>
          <w:spacing w:val="7"/>
          <w:sz w:val="20"/>
          <w:szCs w:val="20"/>
        </w:rPr>
        <w:t>或表4-2的模式(发病密度资料)。</w:t>
      </w:r>
    </w:p>
    <w:p w14:paraId="0B2403EF">
      <w:pPr>
        <w:spacing w:line="326" w:lineRule="auto"/>
        <w:rPr>
          <w:rFonts w:ascii="宋体" w:hAnsi="宋体" w:eastAsia="宋体" w:cs="宋体"/>
          <w:sz w:val="20"/>
          <w:szCs w:val="20"/>
        </w:rPr>
        <w:sectPr>
          <w:footerReference r:id="rId86" w:type="default"/>
          <w:pgSz w:w="11900" w:h="16820"/>
          <w:pgMar w:top="400" w:right="1500" w:bottom="829" w:left="830" w:header="0" w:footer="649" w:gutter="0"/>
          <w:cols w:space="720" w:num="1"/>
        </w:sectPr>
      </w:pPr>
    </w:p>
    <w:p w14:paraId="106607F2">
      <w:pPr>
        <w:spacing w:line="287" w:lineRule="auto"/>
        <w:rPr>
          <w:rFonts w:ascii="Arial"/>
          <w:sz w:val="21"/>
        </w:rPr>
      </w:pPr>
    </w:p>
    <w:p w14:paraId="66E800BB">
      <w:pPr>
        <w:pStyle w:val="2"/>
        <w:spacing w:before="68" w:line="222" w:lineRule="auto"/>
        <w:ind w:left="7800"/>
        <w:rPr>
          <w:sz w:val="21"/>
          <w:szCs w:val="21"/>
        </w:rPr>
      </w:pPr>
      <w:bookmarkStart w:id="105" w:name="bookmark436"/>
      <w:bookmarkEnd w:id="105"/>
      <w:r>
        <w:rPr>
          <w:spacing w:val="-18"/>
          <w:w w:val="98"/>
          <w:sz w:val="21"/>
          <w:szCs w:val="21"/>
        </w:rPr>
        <w:t>第四章</w:t>
      </w:r>
      <w:r>
        <w:rPr>
          <w:spacing w:val="11"/>
          <w:sz w:val="21"/>
          <w:szCs w:val="21"/>
        </w:rPr>
        <w:t xml:space="preserve"> </w:t>
      </w:r>
      <w:r>
        <w:rPr>
          <w:spacing w:val="-18"/>
          <w:w w:val="98"/>
          <w:sz w:val="21"/>
          <w:szCs w:val="21"/>
        </w:rPr>
        <w:t>队列研究</w:t>
      </w:r>
    </w:p>
    <w:p w14:paraId="79389D74">
      <w:pPr>
        <w:spacing w:line="253" w:lineRule="auto"/>
        <w:rPr>
          <w:rFonts w:ascii="Arial"/>
          <w:sz w:val="21"/>
        </w:rPr>
      </w:pPr>
    </w:p>
    <w:p w14:paraId="477FB509">
      <w:pPr>
        <w:spacing w:line="253" w:lineRule="auto"/>
        <w:rPr>
          <w:rFonts w:ascii="Arial"/>
          <w:sz w:val="21"/>
        </w:rPr>
      </w:pPr>
    </w:p>
    <w:p w14:paraId="327DEAD3">
      <w:pPr>
        <w:pStyle w:val="2"/>
        <w:spacing w:before="68" w:line="222" w:lineRule="auto"/>
        <w:ind w:left="3050"/>
        <w:rPr>
          <w:sz w:val="21"/>
          <w:szCs w:val="21"/>
        </w:rPr>
      </w:pPr>
      <w:r>
        <w:rPr>
          <w:spacing w:val="-10"/>
          <w:sz w:val="21"/>
          <w:szCs w:val="21"/>
        </w:rPr>
        <w:t>表4-1  队列研究资料归纳整理表(一)</w:t>
      </w:r>
    </w:p>
    <w:p w14:paraId="728D6154">
      <w:pPr>
        <w:spacing w:line="35" w:lineRule="exact"/>
      </w:pPr>
    </w:p>
    <w:tbl>
      <w:tblPr>
        <w:tblStyle w:val="5"/>
        <w:tblW w:w="8949" w:type="dxa"/>
        <w:tblInd w:w="26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0" w:type="dxa"/>
          <w:left w:w="0" w:type="dxa"/>
          <w:bottom w:w="0" w:type="dxa"/>
          <w:right w:w="0" w:type="dxa"/>
        </w:tblCellMar>
      </w:tblPr>
      <w:tblGrid>
        <w:gridCol w:w="1610"/>
        <w:gridCol w:w="1849"/>
        <w:gridCol w:w="1820"/>
        <w:gridCol w:w="1830"/>
        <w:gridCol w:w="1840"/>
      </w:tblGrid>
      <w:tr w14:paraId="7373C046">
        <w:trPr>
          <w:trHeight w:val="382" w:hRule="atLeast"/>
        </w:trPr>
        <w:tc>
          <w:tcPr>
            <w:tcW w:w="1610" w:type="dxa"/>
            <w:tcBorders>
              <w:top w:val="single" w:color="000000" w:sz="4" w:space="0"/>
              <w:bottom w:val="single" w:color="000000" w:sz="4" w:space="0"/>
            </w:tcBorders>
            <w:shd w:val="clear" w:color="auto" w:fill="CBD2D2"/>
            <w:vAlign w:val="top"/>
          </w:tcPr>
          <w:p w14:paraId="2EC511B3">
            <w:pPr>
              <w:rPr>
                <w:rFonts w:ascii="Arial"/>
                <w:sz w:val="21"/>
              </w:rPr>
            </w:pPr>
          </w:p>
        </w:tc>
        <w:tc>
          <w:tcPr>
            <w:tcW w:w="1849" w:type="dxa"/>
            <w:tcBorders>
              <w:top w:val="single" w:color="000000" w:sz="4" w:space="0"/>
              <w:bottom w:val="single" w:color="000000" w:sz="4" w:space="0"/>
            </w:tcBorders>
            <w:shd w:val="clear" w:color="auto" w:fill="BFC1BC"/>
            <w:vAlign w:val="top"/>
          </w:tcPr>
          <w:p w14:paraId="3BB05817">
            <w:pPr>
              <w:pStyle w:val="6"/>
              <w:spacing w:before="94" w:line="221" w:lineRule="auto"/>
              <w:ind w:left="720"/>
            </w:pPr>
            <w:r>
              <w:rPr>
                <w:spacing w:val="8"/>
              </w:rPr>
              <w:t>病例</w:t>
            </w:r>
          </w:p>
        </w:tc>
        <w:tc>
          <w:tcPr>
            <w:tcW w:w="1820" w:type="dxa"/>
            <w:tcBorders>
              <w:top w:val="single" w:color="000000" w:sz="4" w:space="0"/>
              <w:bottom w:val="single" w:color="000000" w:sz="4" w:space="0"/>
            </w:tcBorders>
            <w:shd w:val="clear" w:color="auto" w:fill="C0C1B9"/>
            <w:vAlign w:val="top"/>
          </w:tcPr>
          <w:p w14:paraId="68B7665B">
            <w:pPr>
              <w:pStyle w:val="6"/>
              <w:spacing w:before="93" w:line="220" w:lineRule="auto"/>
              <w:ind w:left="611"/>
            </w:pPr>
            <w:r>
              <w:rPr>
                <w:spacing w:val="5"/>
              </w:rPr>
              <w:t>非病例</w:t>
            </w:r>
          </w:p>
        </w:tc>
        <w:tc>
          <w:tcPr>
            <w:tcW w:w="1830" w:type="dxa"/>
            <w:tcBorders>
              <w:top w:val="single" w:color="000000" w:sz="4" w:space="0"/>
              <w:bottom w:val="single" w:color="000000" w:sz="4" w:space="0"/>
            </w:tcBorders>
            <w:shd w:val="clear" w:color="auto" w:fill="C1C1B8"/>
            <w:vAlign w:val="top"/>
          </w:tcPr>
          <w:p w14:paraId="05C4A555">
            <w:pPr>
              <w:pStyle w:val="6"/>
              <w:spacing w:before="94" w:line="221" w:lineRule="auto"/>
              <w:ind w:left="710"/>
            </w:pPr>
            <w:r>
              <w:rPr>
                <w:spacing w:val="-3"/>
              </w:rPr>
              <w:t>合计</w:t>
            </w:r>
          </w:p>
        </w:tc>
        <w:tc>
          <w:tcPr>
            <w:tcW w:w="1840" w:type="dxa"/>
            <w:tcBorders>
              <w:top w:val="single" w:color="000000" w:sz="4" w:space="0"/>
              <w:bottom w:val="single" w:color="000000" w:sz="4" w:space="0"/>
            </w:tcBorders>
            <w:shd w:val="clear" w:color="auto" w:fill="C1C1B7"/>
            <w:vAlign w:val="top"/>
          </w:tcPr>
          <w:p w14:paraId="323D4838">
            <w:pPr>
              <w:pStyle w:val="6"/>
              <w:spacing w:before="90" w:line="219" w:lineRule="auto"/>
              <w:ind w:left="423"/>
            </w:pPr>
            <w:r>
              <w:rPr>
                <w:b/>
                <w:bCs/>
                <w:spacing w:val="-5"/>
              </w:rPr>
              <w:t>累积发病率</w:t>
            </w:r>
          </w:p>
        </w:tc>
      </w:tr>
      <w:tr w14:paraId="415D45A9">
        <w:trPr>
          <w:trHeight w:val="437" w:hRule="atLeast"/>
        </w:trPr>
        <w:tc>
          <w:tcPr>
            <w:tcW w:w="1610" w:type="dxa"/>
            <w:tcBorders>
              <w:top w:val="single" w:color="000000" w:sz="4" w:space="0"/>
              <w:bottom w:val="single" w:color="000000" w:sz="4" w:space="0"/>
            </w:tcBorders>
            <w:vAlign w:val="top"/>
          </w:tcPr>
          <w:p w14:paraId="7F81D407">
            <w:pPr>
              <w:pStyle w:val="6"/>
              <w:spacing w:before="119" w:line="219" w:lineRule="auto"/>
              <w:ind w:left="500"/>
            </w:pPr>
            <w:r>
              <w:rPr>
                <w:spacing w:val="-2"/>
              </w:rPr>
              <w:t>暴露组</w:t>
            </w:r>
          </w:p>
        </w:tc>
        <w:tc>
          <w:tcPr>
            <w:tcW w:w="1849" w:type="dxa"/>
            <w:tcBorders>
              <w:top w:val="single" w:color="000000" w:sz="4" w:space="0"/>
              <w:bottom w:val="single" w:color="000000" w:sz="4" w:space="0"/>
            </w:tcBorders>
            <w:vAlign w:val="top"/>
          </w:tcPr>
          <w:p w14:paraId="2C08D4D4">
            <w:pPr>
              <w:pStyle w:val="6"/>
              <w:spacing w:before="141"/>
              <w:ind w:left="870"/>
            </w:pPr>
            <w:r>
              <w:t>a</w:t>
            </w:r>
          </w:p>
        </w:tc>
        <w:tc>
          <w:tcPr>
            <w:tcW w:w="1820" w:type="dxa"/>
            <w:tcBorders>
              <w:top w:val="single" w:color="000000" w:sz="4" w:space="0"/>
              <w:bottom w:val="single" w:color="000000" w:sz="4" w:space="0"/>
            </w:tcBorders>
            <w:vAlign w:val="top"/>
          </w:tcPr>
          <w:p w14:paraId="7E053F56">
            <w:pPr>
              <w:pStyle w:val="6"/>
              <w:spacing w:before="141"/>
              <w:ind w:left="861"/>
            </w:pPr>
            <w:r>
              <w:t>b</w:t>
            </w:r>
          </w:p>
        </w:tc>
        <w:tc>
          <w:tcPr>
            <w:tcW w:w="1830" w:type="dxa"/>
            <w:tcBorders>
              <w:top w:val="single" w:color="000000" w:sz="4" w:space="0"/>
              <w:bottom w:val="single" w:color="000000" w:sz="4" w:space="0"/>
            </w:tcBorders>
            <w:vAlign w:val="top"/>
          </w:tcPr>
          <w:p w14:paraId="688D31DE">
            <w:pPr>
              <w:pStyle w:val="6"/>
              <w:spacing w:before="141"/>
              <w:ind w:left="611"/>
            </w:pPr>
            <w:r>
              <w:rPr>
                <w:spacing w:val="-2"/>
              </w:rPr>
              <w:t>a+b=n1</w:t>
            </w:r>
          </w:p>
        </w:tc>
        <w:tc>
          <w:tcPr>
            <w:tcW w:w="1840" w:type="dxa"/>
            <w:tcBorders>
              <w:top w:val="single" w:color="000000" w:sz="4" w:space="0"/>
              <w:bottom w:val="single" w:color="000000" w:sz="4" w:space="0"/>
            </w:tcBorders>
            <w:vAlign w:val="top"/>
          </w:tcPr>
          <w:p w14:paraId="624734E7">
            <w:pPr>
              <w:pStyle w:val="6"/>
              <w:spacing w:before="118" w:line="216" w:lineRule="auto"/>
              <w:ind w:left="721"/>
            </w:pPr>
            <w:r>
              <w:rPr>
                <w:spacing w:val="-3"/>
              </w:rPr>
              <w:t>aln,</w:t>
            </w:r>
          </w:p>
        </w:tc>
      </w:tr>
      <w:tr w14:paraId="37E18834">
        <w:trPr>
          <w:trHeight w:val="358" w:hRule="atLeast"/>
        </w:trPr>
        <w:tc>
          <w:tcPr>
            <w:tcW w:w="1610" w:type="dxa"/>
            <w:tcBorders>
              <w:top w:val="single" w:color="000000" w:sz="4" w:space="0"/>
              <w:bottom w:val="single" w:color="000000" w:sz="4" w:space="0"/>
            </w:tcBorders>
            <w:shd w:val="clear" w:color="auto" w:fill="E5E5E5"/>
            <w:vAlign w:val="top"/>
          </w:tcPr>
          <w:p w14:paraId="032036B4">
            <w:pPr>
              <w:pStyle w:val="6"/>
              <w:spacing w:before="85" w:line="221" w:lineRule="auto"/>
              <w:ind w:left="500"/>
            </w:pPr>
            <w:r>
              <w:rPr>
                <w:spacing w:val="-2"/>
              </w:rPr>
              <w:t>对照组</w:t>
            </w:r>
          </w:p>
        </w:tc>
        <w:tc>
          <w:tcPr>
            <w:tcW w:w="1849" w:type="dxa"/>
            <w:tcBorders>
              <w:top w:val="single" w:color="000000" w:sz="4" w:space="0"/>
              <w:bottom w:val="single" w:color="000000" w:sz="4" w:space="0"/>
            </w:tcBorders>
            <w:shd w:val="clear" w:color="auto" w:fill="D9D8D6"/>
            <w:vAlign w:val="top"/>
          </w:tcPr>
          <w:p w14:paraId="05F50F7C">
            <w:pPr>
              <w:pStyle w:val="6"/>
              <w:spacing w:before="135" w:line="183" w:lineRule="auto"/>
              <w:ind w:left="870"/>
            </w:pPr>
            <w:r>
              <w:t>C</w:t>
            </w:r>
          </w:p>
        </w:tc>
        <w:tc>
          <w:tcPr>
            <w:tcW w:w="1820" w:type="dxa"/>
            <w:tcBorders>
              <w:top w:val="single" w:color="000000" w:sz="4" w:space="0"/>
              <w:bottom w:val="single" w:color="000000" w:sz="4" w:space="0"/>
            </w:tcBorders>
            <w:shd w:val="clear" w:color="auto" w:fill="DAD7D5"/>
            <w:vAlign w:val="top"/>
          </w:tcPr>
          <w:p w14:paraId="039DF148">
            <w:pPr>
              <w:pStyle w:val="6"/>
              <w:spacing w:before="104" w:line="225" w:lineRule="auto"/>
              <w:ind w:left="861"/>
            </w:pPr>
            <w:r>
              <w:t>d</w:t>
            </w:r>
          </w:p>
        </w:tc>
        <w:tc>
          <w:tcPr>
            <w:tcW w:w="1830" w:type="dxa"/>
            <w:tcBorders>
              <w:top w:val="single" w:color="000000" w:sz="4" w:space="0"/>
              <w:bottom w:val="single" w:color="000000" w:sz="4" w:space="0"/>
            </w:tcBorders>
            <w:shd w:val="clear" w:color="auto" w:fill="DFDBD9"/>
            <w:vAlign w:val="top"/>
          </w:tcPr>
          <w:p w14:paraId="343978AE">
            <w:pPr>
              <w:pStyle w:val="6"/>
              <w:spacing w:before="83" w:line="219" w:lineRule="auto"/>
              <w:ind w:left="561"/>
              <w:rPr>
                <w:rFonts w:ascii="Calibri" w:hAnsi="Calibri" w:eastAsia="Calibri" w:cs="Calibri"/>
              </w:rPr>
            </w:pPr>
            <w:r>
              <w:rPr>
                <w:spacing w:val="-2"/>
              </w:rPr>
              <w:t>c+d=n</w:t>
            </w:r>
            <w:r>
              <w:rPr>
                <w:rFonts w:ascii="Calibri" w:hAnsi="Calibri" w:eastAsia="Calibri" w:cs="Calibri"/>
                <w:spacing w:val="-2"/>
              </w:rPr>
              <w:t>₀</w:t>
            </w:r>
          </w:p>
        </w:tc>
        <w:tc>
          <w:tcPr>
            <w:tcW w:w="1840" w:type="dxa"/>
            <w:tcBorders>
              <w:top w:val="single" w:color="000000" w:sz="4" w:space="0"/>
              <w:bottom w:val="single" w:color="000000" w:sz="4" w:space="0"/>
            </w:tcBorders>
            <w:shd w:val="clear" w:color="auto" w:fill="E1E0DB"/>
            <w:vAlign w:val="top"/>
          </w:tcPr>
          <w:p w14:paraId="44DA69B4">
            <w:pPr>
              <w:pStyle w:val="6"/>
              <w:spacing w:before="83" w:line="219" w:lineRule="auto"/>
              <w:ind w:left="670"/>
              <w:rPr>
                <w:rFonts w:ascii="Calibri" w:hAnsi="Calibri" w:eastAsia="Calibri" w:cs="Calibri"/>
              </w:rPr>
            </w:pPr>
            <w:r>
              <w:rPr>
                <w:spacing w:val="-3"/>
              </w:rPr>
              <w:t>c/n</w:t>
            </w:r>
            <w:r>
              <w:rPr>
                <w:rFonts w:ascii="Calibri" w:hAnsi="Calibri" w:eastAsia="Calibri" w:cs="Calibri"/>
                <w:spacing w:val="-3"/>
              </w:rPr>
              <w:t>₀</w:t>
            </w:r>
          </w:p>
        </w:tc>
      </w:tr>
      <w:tr w14:paraId="2A881F09">
        <w:trPr>
          <w:trHeight w:val="422" w:hRule="atLeast"/>
        </w:trPr>
        <w:tc>
          <w:tcPr>
            <w:tcW w:w="1610" w:type="dxa"/>
            <w:tcBorders>
              <w:top w:val="single" w:color="000000" w:sz="4" w:space="0"/>
              <w:bottom w:val="single" w:color="000000" w:sz="4" w:space="0"/>
            </w:tcBorders>
            <w:vAlign w:val="top"/>
          </w:tcPr>
          <w:p w14:paraId="4C9F5A35">
            <w:pPr>
              <w:pStyle w:val="6"/>
              <w:spacing w:before="117" w:line="221" w:lineRule="auto"/>
              <w:ind w:left="599"/>
            </w:pPr>
            <w:r>
              <w:rPr>
                <w:spacing w:val="-3"/>
              </w:rPr>
              <w:t>合计</w:t>
            </w:r>
          </w:p>
        </w:tc>
        <w:tc>
          <w:tcPr>
            <w:tcW w:w="1849" w:type="dxa"/>
            <w:tcBorders>
              <w:top w:val="single" w:color="000000" w:sz="4" w:space="0"/>
              <w:bottom w:val="single" w:color="000000" w:sz="4" w:space="0"/>
            </w:tcBorders>
            <w:vAlign w:val="top"/>
          </w:tcPr>
          <w:p w14:paraId="197CF758">
            <w:pPr>
              <w:pStyle w:val="6"/>
              <w:spacing w:before="135"/>
              <w:ind w:left="620"/>
            </w:pPr>
            <w:r>
              <w:rPr>
                <w:spacing w:val="-2"/>
              </w:rPr>
              <w:t>a+c=m1</w:t>
            </w:r>
          </w:p>
        </w:tc>
        <w:tc>
          <w:tcPr>
            <w:tcW w:w="1820" w:type="dxa"/>
            <w:tcBorders>
              <w:top w:val="single" w:color="000000" w:sz="4" w:space="0"/>
              <w:bottom w:val="single" w:color="000000" w:sz="4" w:space="0"/>
            </w:tcBorders>
            <w:vAlign w:val="top"/>
          </w:tcPr>
          <w:p w14:paraId="5125B9E4">
            <w:pPr>
              <w:pStyle w:val="6"/>
              <w:spacing w:before="113" w:line="216" w:lineRule="auto"/>
              <w:ind w:left="611"/>
            </w:pPr>
            <w:r>
              <w:rPr>
                <w:spacing w:val="-1"/>
              </w:rPr>
              <w:t>b+d=m,</w:t>
            </w:r>
          </w:p>
        </w:tc>
        <w:tc>
          <w:tcPr>
            <w:tcW w:w="1830" w:type="dxa"/>
            <w:tcBorders>
              <w:top w:val="single" w:color="000000" w:sz="4" w:space="0"/>
              <w:bottom w:val="single" w:color="000000" w:sz="4" w:space="0"/>
            </w:tcBorders>
            <w:vAlign w:val="top"/>
          </w:tcPr>
          <w:p w14:paraId="6FB6BAC6">
            <w:pPr>
              <w:pStyle w:val="6"/>
              <w:spacing w:before="135"/>
              <w:ind w:left="461"/>
            </w:pPr>
            <w:r>
              <w:rPr>
                <w:spacing w:val="-1"/>
              </w:rPr>
              <w:t>a+b+c+d=t</w:t>
            </w:r>
          </w:p>
        </w:tc>
        <w:tc>
          <w:tcPr>
            <w:tcW w:w="1840" w:type="dxa"/>
            <w:tcBorders>
              <w:top w:val="single" w:color="000000" w:sz="4" w:space="0"/>
              <w:bottom w:val="single" w:color="000000" w:sz="4" w:space="0"/>
            </w:tcBorders>
            <w:vAlign w:val="top"/>
          </w:tcPr>
          <w:p w14:paraId="2B8BAD8F">
            <w:pPr>
              <w:rPr>
                <w:rFonts w:ascii="Arial"/>
                <w:sz w:val="21"/>
              </w:rPr>
            </w:pPr>
          </w:p>
        </w:tc>
      </w:tr>
    </w:tbl>
    <w:p w14:paraId="2C51B099">
      <w:pPr>
        <w:spacing w:line="303" w:lineRule="auto"/>
        <w:rPr>
          <w:rFonts w:ascii="Arial"/>
          <w:sz w:val="21"/>
        </w:rPr>
      </w:pPr>
    </w:p>
    <w:p w14:paraId="2A0D68C9">
      <w:pPr>
        <w:spacing w:before="56" w:line="219" w:lineRule="auto"/>
        <w:ind w:left="3309"/>
        <w:rPr>
          <w:rFonts w:ascii="宋体" w:hAnsi="宋体" w:eastAsia="宋体" w:cs="宋体"/>
          <w:sz w:val="17"/>
          <w:szCs w:val="17"/>
        </w:rPr>
      </w:pPr>
      <w:r>
        <w:rPr>
          <w:rFonts w:ascii="宋体" w:hAnsi="宋体" w:eastAsia="宋体" w:cs="宋体"/>
          <w:spacing w:val="1"/>
          <w:sz w:val="17"/>
          <w:szCs w:val="17"/>
        </w:rPr>
        <w:t>表4-2队列研究资料归纳整理表(二)</w:t>
      </w:r>
    </w:p>
    <w:p w14:paraId="7C90984A">
      <w:pPr>
        <w:spacing w:line="27" w:lineRule="exact"/>
      </w:pPr>
    </w:p>
    <w:tbl>
      <w:tblPr>
        <w:tblStyle w:val="5"/>
        <w:tblW w:w="9239" w:type="dxa"/>
        <w:tblInd w:w="9"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0" w:type="dxa"/>
          <w:left w:w="0" w:type="dxa"/>
          <w:bottom w:w="0" w:type="dxa"/>
          <w:right w:w="0" w:type="dxa"/>
        </w:tblCellMar>
      </w:tblPr>
      <w:tblGrid>
        <w:gridCol w:w="2340"/>
        <w:gridCol w:w="2300"/>
        <w:gridCol w:w="2260"/>
        <w:gridCol w:w="2339"/>
      </w:tblGrid>
      <w:tr w14:paraId="4C96D457">
        <w:trPr>
          <w:trHeight w:val="353" w:hRule="atLeast"/>
        </w:trPr>
        <w:tc>
          <w:tcPr>
            <w:tcW w:w="2340" w:type="dxa"/>
            <w:tcBorders>
              <w:top w:val="single" w:color="000000" w:sz="4" w:space="0"/>
              <w:bottom w:val="single" w:color="000000" w:sz="4" w:space="0"/>
            </w:tcBorders>
            <w:shd w:val="clear" w:color="auto" w:fill="C1C5C4"/>
            <w:vAlign w:val="top"/>
          </w:tcPr>
          <w:p w14:paraId="4F14D058">
            <w:pPr>
              <w:rPr>
                <w:rFonts w:ascii="Arial"/>
                <w:sz w:val="21"/>
              </w:rPr>
            </w:pPr>
          </w:p>
        </w:tc>
        <w:tc>
          <w:tcPr>
            <w:tcW w:w="2300" w:type="dxa"/>
            <w:tcBorders>
              <w:top w:val="single" w:color="000000" w:sz="4" w:space="0"/>
              <w:bottom w:val="single" w:color="000000" w:sz="4" w:space="0"/>
            </w:tcBorders>
            <w:shd w:val="clear" w:color="auto" w:fill="B7B9B1"/>
            <w:vAlign w:val="top"/>
          </w:tcPr>
          <w:p w14:paraId="033D9B08">
            <w:pPr>
              <w:pStyle w:val="6"/>
              <w:spacing w:before="91" w:line="219" w:lineRule="auto"/>
              <w:ind w:left="890"/>
              <w:rPr>
                <w:sz w:val="17"/>
                <w:szCs w:val="17"/>
              </w:rPr>
            </w:pPr>
            <w:r>
              <w:rPr>
                <w:spacing w:val="-2"/>
                <w:sz w:val="17"/>
                <w:szCs w:val="17"/>
              </w:rPr>
              <w:t>病例数</w:t>
            </w:r>
          </w:p>
        </w:tc>
        <w:tc>
          <w:tcPr>
            <w:tcW w:w="2260" w:type="dxa"/>
            <w:tcBorders>
              <w:top w:val="single" w:color="000000" w:sz="4" w:space="0"/>
              <w:bottom w:val="single" w:color="000000" w:sz="4" w:space="0"/>
            </w:tcBorders>
            <w:shd w:val="clear" w:color="auto" w:fill="B5B5AD"/>
            <w:vAlign w:val="top"/>
          </w:tcPr>
          <w:p w14:paraId="278ACAC7">
            <w:pPr>
              <w:pStyle w:val="6"/>
              <w:spacing w:before="91" w:line="219" w:lineRule="auto"/>
              <w:ind w:left="870"/>
              <w:rPr>
                <w:sz w:val="17"/>
                <w:szCs w:val="17"/>
              </w:rPr>
            </w:pPr>
            <w:r>
              <w:rPr>
                <w:spacing w:val="-2"/>
                <w:sz w:val="17"/>
                <w:szCs w:val="17"/>
              </w:rPr>
              <w:t>人时数</w:t>
            </w:r>
          </w:p>
        </w:tc>
        <w:tc>
          <w:tcPr>
            <w:tcW w:w="2339" w:type="dxa"/>
            <w:tcBorders>
              <w:top w:val="single" w:color="000000" w:sz="4" w:space="0"/>
              <w:bottom w:val="single" w:color="000000" w:sz="4" w:space="0"/>
            </w:tcBorders>
            <w:shd w:val="clear" w:color="auto" w:fill="B8B9AE"/>
            <w:vAlign w:val="top"/>
          </w:tcPr>
          <w:p w14:paraId="21231493">
            <w:pPr>
              <w:pStyle w:val="6"/>
              <w:spacing w:before="92" w:line="220" w:lineRule="auto"/>
              <w:ind w:left="830"/>
              <w:rPr>
                <w:sz w:val="17"/>
                <w:szCs w:val="17"/>
              </w:rPr>
            </w:pPr>
            <w:r>
              <w:rPr>
                <w:spacing w:val="-2"/>
                <w:sz w:val="17"/>
                <w:szCs w:val="17"/>
              </w:rPr>
              <w:t>发病密度</w:t>
            </w:r>
          </w:p>
        </w:tc>
      </w:tr>
      <w:tr w14:paraId="481067AF">
        <w:trPr>
          <w:trHeight w:val="427" w:hRule="atLeast"/>
        </w:trPr>
        <w:tc>
          <w:tcPr>
            <w:tcW w:w="2340" w:type="dxa"/>
            <w:tcBorders>
              <w:top w:val="single" w:color="000000" w:sz="4" w:space="0"/>
              <w:bottom w:val="single" w:color="000000" w:sz="4" w:space="0"/>
            </w:tcBorders>
            <w:vAlign w:val="top"/>
          </w:tcPr>
          <w:p w14:paraId="23CCF712">
            <w:pPr>
              <w:pStyle w:val="6"/>
              <w:spacing w:before="127" w:line="219" w:lineRule="auto"/>
              <w:ind w:left="909"/>
              <w:rPr>
                <w:sz w:val="17"/>
                <w:szCs w:val="17"/>
              </w:rPr>
            </w:pPr>
            <w:r>
              <w:rPr>
                <w:spacing w:val="-2"/>
                <w:sz w:val="17"/>
                <w:szCs w:val="17"/>
              </w:rPr>
              <w:t>暴露组</w:t>
            </w:r>
          </w:p>
        </w:tc>
        <w:tc>
          <w:tcPr>
            <w:tcW w:w="2300" w:type="dxa"/>
            <w:tcBorders>
              <w:top w:val="single" w:color="000000" w:sz="4" w:space="0"/>
              <w:bottom w:val="single" w:color="000000" w:sz="4" w:space="0"/>
            </w:tcBorders>
            <w:vAlign w:val="top"/>
          </w:tcPr>
          <w:p w14:paraId="777F75CE">
            <w:pPr>
              <w:pStyle w:val="6"/>
              <w:spacing w:before="154" w:line="184" w:lineRule="auto"/>
              <w:ind w:left="1020"/>
              <w:rPr>
                <w:rFonts w:ascii="Calibri" w:hAnsi="Calibri" w:eastAsia="Calibri" w:cs="Calibri"/>
                <w:sz w:val="17"/>
                <w:szCs w:val="17"/>
              </w:rPr>
            </w:pPr>
            <w:r>
              <w:rPr>
                <w:spacing w:val="-1"/>
                <w:sz w:val="17"/>
                <w:szCs w:val="17"/>
              </w:rPr>
              <w:t>A</w:t>
            </w:r>
            <w:r>
              <w:rPr>
                <w:rFonts w:ascii="Calibri" w:hAnsi="Calibri" w:eastAsia="Calibri" w:cs="Calibri"/>
                <w:spacing w:val="-1"/>
                <w:sz w:val="17"/>
                <w:szCs w:val="17"/>
              </w:rPr>
              <w:t>₁</w:t>
            </w:r>
          </w:p>
        </w:tc>
        <w:tc>
          <w:tcPr>
            <w:tcW w:w="2260" w:type="dxa"/>
            <w:tcBorders>
              <w:top w:val="single" w:color="000000" w:sz="4" w:space="0"/>
              <w:bottom w:val="single" w:color="000000" w:sz="4" w:space="0"/>
            </w:tcBorders>
            <w:vAlign w:val="top"/>
          </w:tcPr>
          <w:p w14:paraId="43265487">
            <w:pPr>
              <w:pStyle w:val="6"/>
              <w:spacing w:before="156" w:line="182" w:lineRule="auto"/>
              <w:ind w:left="1000"/>
              <w:rPr>
                <w:rFonts w:ascii="Calibri" w:hAnsi="Calibri" w:eastAsia="Calibri" w:cs="Calibri"/>
                <w:sz w:val="17"/>
                <w:szCs w:val="17"/>
              </w:rPr>
            </w:pPr>
            <w:r>
              <w:rPr>
                <w:spacing w:val="-3"/>
                <w:sz w:val="17"/>
                <w:szCs w:val="17"/>
              </w:rPr>
              <w:t>T</w:t>
            </w:r>
            <w:r>
              <w:rPr>
                <w:rFonts w:ascii="Calibri" w:hAnsi="Calibri" w:eastAsia="Calibri" w:cs="Calibri"/>
                <w:spacing w:val="-3"/>
                <w:sz w:val="17"/>
                <w:szCs w:val="17"/>
              </w:rPr>
              <w:t>₁</w:t>
            </w:r>
          </w:p>
        </w:tc>
        <w:tc>
          <w:tcPr>
            <w:tcW w:w="2339" w:type="dxa"/>
            <w:tcBorders>
              <w:top w:val="single" w:color="000000" w:sz="4" w:space="0"/>
              <w:bottom w:val="single" w:color="000000" w:sz="4" w:space="0"/>
            </w:tcBorders>
            <w:vAlign w:val="top"/>
          </w:tcPr>
          <w:p w14:paraId="47EE885D">
            <w:pPr>
              <w:pStyle w:val="6"/>
              <w:spacing w:before="129" w:line="219" w:lineRule="auto"/>
              <w:ind w:left="869"/>
              <w:rPr>
                <w:rFonts w:ascii="Calibri" w:hAnsi="Calibri" w:eastAsia="Calibri" w:cs="Calibri"/>
                <w:sz w:val="17"/>
                <w:szCs w:val="17"/>
              </w:rPr>
            </w:pPr>
            <w:r>
              <w:rPr>
                <w:spacing w:val="-1"/>
                <w:sz w:val="17"/>
                <w:szCs w:val="17"/>
              </w:rPr>
              <w:t>A</w:t>
            </w:r>
            <w:r>
              <w:rPr>
                <w:rFonts w:ascii="Calibri" w:hAnsi="Calibri" w:eastAsia="Calibri" w:cs="Calibri"/>
                <w:spacing w:val="-1"/>
                <w:sz w:val="17"/>
                <w:szCs w:val="17"/>
              </w:rPr>
              <w:t>₁</w:t>
            </w:r>
            <w:r>
              <w:rPr>
                <w:spacing w:val="-1"/>
                <w:sz w:val="17"/>
                <w:szCs w:val="17"/>
              </w:rPr>
              <w:t>/T</w:t>
            </w:r>
            <w:r>
              <w:rPr>
                <w:rFonts w:ascii="Calibri" w:hAnsi="Calibri" w:eastAsia="Calibri" w:cs="Calibri"/>
                <w:spacing w:val="-1"/>
                <w:sz w:val="17"/>
                <w:szCs w:val="17"/>
              </w:rPr>
              <w:t>₁</w:t>
            </w:r>
          </w:p>
        </w:tc>
      </w:tr>
      <w:tr w14:paraId="5C780B32">
        <w:trPr>
          <w:trHeight w:val="387" w:hRule="atLeast"/>
        </w:trPr>
        <w:tc>
          <w:tcPr>
            <w:tcW w:w="2340" w:type="dxa"/>
            <w:tcBorders>
              <w:top w:val="single" w:color="000000" w:sz="4" w:space="0"/>
              <w:bottom w:val="single" w:color="000000" w:sz="4" w:space="0"/>
            </w:tcBorders>
            <w:shd w:val="clear" w:color="auto" w:fill="D7D8D8"/>
            <w:vAlign w:val="top"/>
          </w:tcPr>
          <w:p w14:paraId="2AA8A6F8">
            <w:pPr>
              <w:pStyle w:val="6"/>
              <w:spacing w:before="112" w:line="221" w:lineRule="auto"/>
              <w:ind w:left="909"/>
              <w:rPr>
                <w:sz w:val="17"/>
                <w:szCs w:val="17"/>
              </w:rPr>
            </w:pPr>
            <w:r>
              <w:rPr>
                <w:spacing w:val="-2"/>
                <w:sz w:val="17"/>
                <w:szCs w:val="17"/>
              </w:rPr>
              <w:t>对照组</w:t>
            </w:r>
          </w:p>
        </w:tc>
        <w:tc>
          <w:tcPr>
            <w:tcW w:w="2300" w:type="dxa"/>
            <w:tcBorders>
              <w:top w:val="single" w:color="000000" w:sz="4" w:space="0"/>
              <w:bottom w:val="single" w:color="000000" w:sz="4" w:space="0"/>
            </w:tcBorders>
            <w:shd w:val="clear" w:color="auto" w:fill="D8D8D4"/>
            <w:vAlign w:val="top"/>
          </w:tcPr>
          <w:p w14:paraId="1A345F03">
            <w:pPr>
              <w:pStyle w:val="6"/>
              <w:spacing w:before="154" w:line="185" w:lineRule="auto"/>
              <w:ind w:left="1060"/>
              <w:rPr>
                <w:sz w:val="17"/>
                <w:szCs w:val="17"/>
              </w:rPr>
            </w:pPr>
            <w:r>
              <w:rPr>
                <w:spacing w:val="-1"/>
                <w:sz w:val="17"/>
                <w:szCs w:val="17"/>
              </w:rPr>
              <w:t>Ao</w:t>
            </w:r>
          </w:p>
        </w:tc>
        <w:tc>
          <w:tcPr>
            <w:tcW w:w="2260" w:type="dxa"/>
            <w:tcBorders>
              <w:top w:val="single" w:color="000000" w:sz="4" w:space="0"/>
              <w:bottom w:val="single" w:color="000000" w:sz="4" w:space="0"/>
            </w:tcBorders>
            <w:shd w:val="clear" w:color="auto" w:fill="DDDCD6"/>
            <w:vAlign w:val="top"/>
          </w:tcPr>
          <w:p w14:paraId="726FEB44">
            <w:pPr>
              <w:pStyle w:val="6"/>
              <w:spacing w:before="138" w:line="182" w:lineRule="auto"/>
              <w:ind w:left="1000"/>
              <w:rPr>
                <w:rFonts w:ascii="Calibri" w:hAnsi="Calibri" w:eastAsia="Calibri" w:cs="Calibri"/>
                <w:sz w:val="17"/>
                <w:szCs w:val="17"/>
              </w:rPr>
            </w:pPr>
            <w:r>
              <w:rPr>
                <w:spacing w:val="-3"/>
                <w:sz w:val="17"/>
                <w:szCs w:val="17"/>
              </w:rPr>
              <w:t>T</w:t>
            </w:r>
            <w:r>
              <w:rPr>
                <w:rFonts w:ascii="Calibri" w:hAnsi="Calibri" w:eastAsia="Calibri" w:cs="Calibri"/>
                <w:spacing w:val="-3"/>
                <w:sz w:val="17"/>
                <w:szCs w:val="17"/>
              </w:rPr>
              <w:t>₀</w:t>
            </w:r>
          </w:p>
        </w:tc>
        <w:tc>
          <w:tcPr>
            <w:tcW w:w="2339" w:type="dxa"/>
            <w:tcBorders>
              <w:top w:val="single" w:color="000000" w:sz="4" w:space="0"/>
              <w:bottom w:val="single" w:color="000000" w:sz="4" w:space="0"/>
            </w:tcBorders>
            <w:shd w:val="clear" w:color="auto" w:fill="DFDCD5"/>
            <w:vAlign w:val="top"/>
          </w:tcPr>
          <w:p w14:paraId="27F07E82">
            <w:pPr>
              <w:pStyle w:val="6"/>
              <w:spacing w:before="111" w:line="219" w:lineRule="auto"/>
              <w:ind w:left="910"/>
              <w:rPr>
                <w:sz w:val="17"/>
                <w:szCs w:val="17"/>
              </w:rPr>
            </w:pPr>
            <w:r>
              <w:rPr>
                <w:spacing w:val="-3"/>
                <w:sz w:val="17"/>
                <w:szCs w:val="17"/>
              </w:rPr>
              <w:t>A</w:t>
            </w:r>
            <w:r>
              <w:rPr>
                <w:rFonts w:ascii="Calibri" w:hAnsi="Calibri" w:eastAsia="Calibri" w:cs="Calibri"/>
                <w:spacing w:val="-3"/>
                <w:sz w:val="17"/>
                <w:szCs w:val="17"/>
              </w:rPr>
              <w:t>₀</w:t>
            </w:r>
            <w:r>
              <w:rPr>
                <w:spacing w:val="-3"/>
                <w:sz w:val="17"/>
                <w:szCs w:val="17"/>
              </w:rPr>
              <w:t>/T。</w:t>
            </w:r>
          </w:p>
        </w:tc>
      </w:tr>
      <w:tr w14:paraId="5C0BDCA1">
        <w:trPr>
          <w:trHeight w:val="432" w:hRule="atLeast"/>
        </w:trPr>
        <w:tc>
          <w:tcPr>
            <w:tcW w:w="2340" w:type="dxa"/>
            <w:tcBorders>
              <w:top w:val="single" w:color="000000" w:sz="4" w:space="0"/>
              <w:bottom w:val="single" w:color="000000" w:sz="4" w:space="0"/>
            </w:tcBorders>
            <w:vAlign w:val="top"/>
          </w:tcPr>
          <w:p w14:paraId="78A27780">
            <w:pPr>
              <w:pStyle w:val="6"/>
              <w:spacing w:before="135" w:line="221" w:lineRule="auto"/>
              <w:ind w:left="1000"/>
              <w:rPr>
                <w:sz w:val="17"/>
                <w:szCs w:val="17"/>
              </w:rPr>
            </w:pPr>
            <w:r>
              <w:rPr>
                <w:spacing w:val="-2"/>
                <w:sz w:val="17"/>
                <w:szCs w:val="17"/>
              </w:rPr>
              <w:t>合计</w:t>
            </w:r>
          </w:p>
        </w:tc>
        <w:tc>
          <w:tcPr>
            <w:tcW w:w="2300" w:type="dxa"/>
            <w:tcBorders>
              <w:top w:val="single" w:color="000000" w:sz="4" w:space="0"/>
              <w:bottom w:val="single" w:color="000000" w:sz="4" w:space="0"/>
            </w:tcBorders>
            <w:vAlign w:val="top"/>
          </w:tcPr>
          <w:p w14:paraId="3214D608">
            <w:pPr>
              <w:pStyle w:val="6"/>
              <w:spacing w:before="179" w:line="182" w:lineRule="auto"/>
              <w:ind w:left="1100"/>
              <w:rPr>
                <w:sz w:val="17"/>
                <w:szCs w:val="17"/>
              </w:rPr>
            </w:pPr>
            <w:r>
              <w:rPr>
                <w:sz w:val="17"/>
                <w:szCs w:val="17"/>
              </w:rPr>
              <w:t>M</w:t>
            </w:r>
          </w:p>
        </w:tc>
        <w:tc>
          <w:tcPr>
            <w:tcW w:w="2260" w:type="dxa"/>
            <w:tcBorders>
              <w:top w:val="single" w:color="000000" w:sz="4" w:space="0"/>
              <w:bottom w:val="single" w:color="000000" w:sz="4" w:space="0"/>
            </w:tcBorders>
            <w:vAlign w:val="top"/>
          </w:tcPr>
          <w:p w14:paraId="75704DDB">
            <w:pPr>
              <w:pStyle w:val="6"/>
              <w:spacing w:before="179" w:line="182" w:lineRule="auto"/>
              <w:ind w:left="1080"/>
              <w:rPr>
                <w:sz w:val="17"/>
                <w:szCs w:val="17"/>
              </w:rPr>
            </w:pPr>
            <w:r>
              <w:rPr>
                <w:sz w:val="17"/>
                <w:szCs w:val="17"/>
              </w:rPr>
              <w:t>T</w:t>
            </w:r>
          </w:p>
        </w:tc>
        <w:tc>
          <w:tcPr>
            <w:tcW w:w="2339" w:type="dxa"/>
            <w:tcBorders>
              <w:top w:val="single" w:color="000000" w:sz="4" w:space="0"/>
              <w:bottom w:val="single" w:color="000000" w:sz="4" w:space="0"/>
            </w:tcBorders>
            <w:vAlign w:val="top"/>
          </w:tcPr>
          <w:p w14:paraId="35581B9A">
            <w:pPr>
              <w:pStyle w:val="6"/>
              <w:spacing w:before="179" w:line="182" w:lineRule="auto"/>
              <w:ind w:left="1040"/>
              <w:rPr>
                <w:sz w:val="17"/>
                <w:szCs w:val="17"/>
              </w:rPr>
            </w:pPr>
            <w:r>
              <w:rPr>
                <w:spacing w:val="-1"/>
                <w:sz w:val="17"/>
                <w:szCs w:val="17"/>
              </w:rPr>
              <w:t>MIT</w:t>
            </w:r>
          </w:p>
        </w:tc>
      </w:tr>
    </w:tbl>
    <w:p w14:paraId="00E8E665">
      <w:pPr>
        <w:spacing w:line="340" w:lineRule="auto"/>
        <w:rPr>
          <w:rFonts w:ascii="Arial"/>
          <w:sz w:val="21"/>
        </w:rPr>
      </w:pPr>
    </w:p>
    <w:p w14:paraId="598C434A">
      <w:pPr>
        <w:pStyle w:val="2"/>
        <w:spacing w:before="88" w:line="222" w:lineRule="auto"/>
        <w:ind w:left="443"/>
        <w:outlineLvl w:val="2"/>
        <w:rPr>
          <w:sz w:val="27"/>
          <w:szCs w:val="27"/>
        </w:rPr>
      </w:pPr>
      <w:bookmarkStart w:id="106" w:name="bookmark65"/>
      <w:bookmarkEnd w:id="106"/>
      <w:r>
        <w:rPr>
          <w:b/>
          <w:bCs/>
          <w:spacing w:val="-6"/>
          <w:sz w:val="27"/>
          <w:szCs w:val="27"/>
        </w:rPr>
        <w:t>二、人时的计算</w:t>
      </w:r>
    </w:p>
    <w:p w14:paraId="4029A32B">
      <w:pPr>
        <w:spacing w:before="229" w:line="326" w:lineRule="auto"/>
        <w:ind w:right="634" w:firstLine="440"/>
        <w:jc w:val="both"/>
        <w:rPr>
          <w:rFonts w:ascii="宋体" w:hAnsi="宋体" w:eastAsia="宋体" w:cs="宋体"/>
          <w:sz w:val="21"/>
          <w:szCs w:val="21"/>
        </w:rPr>
      </w:pPr>
      <w:r>
        <w:rPr>
          <w:rFonts w:ascii="宋体" w:hAnsi="宋体" w:eastAsia="宋体" w:cs="宋体"/>
          <w:spacing w:val="6"/>
          <w:sz w:val="21"/>
          <w:szCs w:val="21"/>
        </w:rPr>
        <w:t>队列研究由于时间跨度一般较长，队列内研究对象进入队列的时间以及失访的时间可能不一，</w:t>
      </w:r>
      <w:r>
        <w:rPr>
          <w:rFonts w:ascii="宋体" w:hAnsi="宋体" w:eastAsia="宋体" w:cs="宋体"/>
          <w:spacing w:val="7"/>
          <w:sz w:val="21"/>
          <w:szCs w:val="21"/>
        </w:rPr>
        <w:t xml:space="preserve"> </w:t>
      </w:r>
      <w:r>
        <w:rPr>
          <w:rFonts w:ascii="宋体" w:hAnsi="宋体" w:eastAsia="宋体" w:cs="宋体"/>
          <w:spacing w:val="5"/>
          <w:sz w:val="21"/>
          <w:szCs w:val="21"/>
        </w:rPr>
        <w:t>观察人口不稳定。如果不论随访观察时间长短，均以人数为单位计算率则不太合理，较合理的办法</w:t>
      </w:r>
      <w:r>
        <w:rPr>
          <w:rFonts w:ascii="宋体" w:hAnsi="宋体" w:eastAsia="宋体" w:cs="宋体"/>
          <w:sz w:val="21"/>
          <w:szCs w:val="21"/>
        </w:rPr>
        <w:t xml:space="preserve"> </w:t>
      </w:r>
      <w:r>
        <w:rPr>
          <w:rFonts w:ascii="宋体" w:hAnsi="宋体" w:eastAsia="宋体" w:cs="宋体"/>
          <w:spacing w:val="3"/>
          <w:sz w:val="21"/>
          <w:szCs w:val="21"/>
        </w:rPr>
        <w:t>是考虑时间因素，引人人时(</w:t>
      </w:r>
      <w:r>
        <w:rPr>
          <w:rFonts w:ascii="宋体" w:hAnsi="宋体" w:eastAsia="宋体" w:cs="宋体"/>
          <w:sz w:val="21"/>
          <w:szCs w:val="21"/>
        </w:rPr>
        <w:t>person</w:t>
      </w:r>
      <w:r>
        <w:rPr>
          <w:rFonts w:ascii="宋体" w:hAnsi="宋体" w:eastAsia="宋体" w:cs="宋体"/>
          <w:spacing w:val="3"/>
          <w:sz w:val="21"/>
          <w:szCs w:val="21"/>
        </w:rPr>
        <w:t xml:space="preserve"> </w:t>
      </w:r>
      <w:r>
        <w:rPr>
          <w:rFonts w:ascii="宋体" w:hAnsi="宋体" w:eastAsia="宋体" w:cs="宋体"/>
          <w:sz w:val="21"/>
          <w:szCs w:val="21"/>
        </w:rPr>
        <w:t>time</w:t>
      </w:r>
      <w:r>
        <w:rPr>
          <w:rFonts w:ascii="宋体" w:hAnsi="宋体" w:eastAsia="宋体" w:cs="宋体"/>
          <w:spacing w:val="3"/>
          <w:sz w:val="21"/>
          <w:szCs w:val="21"/>
        </w:rPr>
        <w:t>)的概念来描述观察对象的暴露经历，人时即</w:t>
      </w:r>
      <w:r>
        <w:rPr>
          <w:rFonts w:ascii="宋体" w:hAnsi="宋体" w:eastAsia="宋体" w:cs="宋体"/>
          <w:spacing w:val="2"/>
          <w:sz w:val="21"/>
          <w:szCs w:val="21"/>
        </w:rPr>
        <w:t>观察人数与观</w:t>
      </w:r>
      <w:r>
        <w:rPr>
          <w:rFonts w:ascii="宋体" w:hAnsi="宋体" w:eastAsia="宋体" w:cs="宋体"/>
          <w:sz w:val="21"/>
          <w:szCs w:val="21"/>
        </w:rPr>
        <w:t xml:space="preserve"> </w:t>
      </w:r>
      <w:r>
        <w:rPr>
          <w:rFonts w:ascii="宋体" w:hAnsi="宋体" w:eastAsia="宋体" w:cs="宋体"/>
          <w:spacing w:val="7"/>
          <w:sz w:val="21"/>
          <w:szCs w:val="21"/>
        </w:rPr>
        <w:t>察时间的乘积。常用的人时计算方法有下列三种。</w:t>
      </w:r>
    </w:p>
    <w:p w14:paraId="6A9800FB">
      <w:pPr>
        <w:pStyle w:val="2"/>
        <w:spacing w:before="14" w:line="222" w:lineRule="auto"/>
        <w:ind w:left="440"/>
        <w:rPr>
          <w:rFonts w:ascii="宋体" w:hAnsi="宋体" w:eastAsia="宋体" w:cs="宋体"/>
          <w:sz w:val="21"/>
          <w:szCs w:val="21"/>
        </w:rPr>
      </w:pPr>
      <w:r>
        <w:rPr>
          <w:rFonts w:ascii="宋体" w:hAnsi="宋体" w:eastAsia="宋体" w:cs="宋体"/>
          <w:spacing w:val="4"/>
          <w:sz w:val="21"/>
          <w:szCs w:val="21"/>
        </w:rPr>
        <w:t xml:space="preserve">1. </w:t>
      </w:r>
      <w:r>
        <w:rPr>
          <w:spacing w:val="4"/>
          <w:sz w:val="21"/>
          <w:szCs w:val="21"/>
        </w:rPr>
        <w:t>精确法计算人时</w:t>
      </w:r>
      <w:r>
        <w:rPr>
          <w:spacing w:val="97"/>
          <w:sz w:val="21"/>
          <w:szCs w:val="21"/>
        </w:rPr>
        <w:t xml:space="preserve"> </w:t>
      </w:r>
      <w:r>
        <w:rPr>
          <w:rFonts w:ascii="宋体" w:hAnsi="宋体" w:eastAsia="宋体" w:cs="宋体"/>
          <w:spacing w:val="4"/>
          <w:sz w:val="21"/>
          <w:szCs w:val="21"/>
        </w:rPr>
        <w:t>将每个人的精确的观察时间相加。该法结果精确，但资料处</w:t>
      </w:r>
      <w:r>
        <w:rPr>
          <w:rFonts w:ascii="宋体" w:hAnsi="宋体" w:eastAsia="宋体" w:cs="宋体"/>
          <w:spacing w:val="3"/>
          <w:sz w:val="21"/>
          <w:szCs w:val="21"/>
        </w:rPr>
        <w:t>理麻烦。</w:t>
      </w:r>
    </w:p>
    <w:p w14:paraId="3C46E39B">
      <w:pPr>
        <w:pStyle w:val="2"/>
        <w:spacing w:before="98" w:line="292" w:lineRule="auto"/>
        <w:ind w:right="689" w:firstLine="440"/>
        <w:rPr>
          <w:rFonts w:ascii="宋体" w:hAnsi="宋体" w:eastAsia="宋体" w:cs="宋体"/>
          <w:sz w:val="21"/>
          <w:szCs w:val="21"/>
        </w:rPr>
      </w:pPr>
      <w:r>
        <w:rPr>
          <w:rFonts w:ascii="宋体" w:hAnsi="宋体" w:eastAsia="宋体" w:cs="宋体"/>
          <w:spacing w:val="7"/>
          <w:sz w:val="21"/>
          <w:szCs w:val="21"/>
        </w:rPr>
        <w:t xml:space="preserve">2. </w:t>
      </w:r>
      <w:r>
        <w:rPr>
          <w:spacing w:val="7"/>
          <w:sz w:val="21"/>
          <w:szCs w:val="21"/>
        </w:rPr>
        <w:t xml:space="preserve">近似法计算人时  </w:t>
      </w:r>
      <w:r>
        <w:rPr>
          <w:rFonts w:ascii="宋体" w:hAnsi="宋体" w:eastAsia="宋体" w:cs="宋体"/>
          <w:spacing w:val="7"/>
          <w:sz w:val="21"/>
          <w:szCs w:val="21"/>
        </w:rPr>
        <w:t>当研究样本量很大时，采用精确法计算人时非常烦琐时，可采用近似法</w:t>
      </w:r>
      <w:r>
        <w:rPr>
          <w:rFonts w:ascii="宋体" w:hAnsi="宋体" w:eastAsia="宋体" w:cs="宋体"/>
          <w:sz w:val="21"/>
          <w:szCs w:val="21"/>
        </w:rPr>
        <w:t xml:space="preserve"> </w:t>
      </w:r>
      <w:r>
        <w:rPr>
          <w:rFonts w:ascii="宋体" w:hAnsi="宋体" w:eastAsia="宋体" w:cs="宋体"/>
          <w:spacing w:val="8"/>
          <w:sz w:val="21"/>
          <w:szCs w:val="21"/>
        </w:rPr>
        <w:t>计算。例如用近似法计算人年时，可用每年观察</w:t>
      </w:r>
      <w:r>
        <w:rPr>
          <w:rFonts w:ascii="宋体" w:hAnsi="宋体" w:eastAsia="宋体" w:cs="宋体"/>
          <w:spacing w:val="7"/>
          <w:sz w:val="21"/>
          <w:szCs w:val="21"/>
        </w:rPr>
        <w:t>的平均人数(一般取相邻两年的年初人口的平均数</w:t>
      </w:r>
      <w:r>
        <w:rPr>
          <w:rFonts w:ascii="宋体" w:hAnsi="宋体" w:eastAsia="宋体" w:cs="宋体"/>
          <w:sz w:val="21"/>
          <w:szCs w:val="21"/>
        </w:rPr>
        <w:t xml:space="preserve"> </w:t>
      </w:r>
      <w:r>
        <w:rPr>
          <w:rFonts w:ascii="宋体" w:hAnsi="宋体" w:eastAsia="宋体" w:cs="宋体"/>
          <w:spacing w:val="8"/>
          <w:sz w:val="21"/>
          <w:szCs w:val="21"/>
        </w:rPr>
        <w:t>或年中人口数)作为该年的观察人年数，然后将各年</w:t>
      </w:r>
      <w:r>
        <w:rPr>
          <w:rFonts w:ascii="宋体" w:hAnsi="宋体" w:eastAsia="宋体" w:cs="宋体"/>
          <w:spacing w:val="7"/>
          <w:sz w:val="21"/>
          <w:szCs w:val="21"/>
        </w:rPr>
        <w:t>的观察人年数相加即得到观察的总人年数。该</w:t>
      </w:r>
      <w:r>
        <w:rPr>
          <w:rFonts w:ascii="宋体" w:hAnsi="宋体" w:eastAsia="宋体" w:cs="宋体"/>
          <w:sz w:val="21"/>
          <w:szCs w:val="21"/>
        </w:rPr>
        <w:t xml:space="preserve"> </w:t>
      </w:r>
      <w:r>
        <w:rPr>
          <w:rFonts w:ascii="宋体" w:hAnsi="宋体" w:eastAsia="宋体" w:cs="宋体"/>
          <w:spacing w:val="4"/>
          <w:sz w:val="21"/>
          <w:szCs w:val="21"/>
        </w:rPr>
        <w:t>法计算简单，精确性较精确法略差。</w:t>
      </w:r>
    </w:p>
    <w:p w14:paraId="6E87B068">
      <w:pPr>
        <w:pStyle w:val="2"/>
        <w:spacing w:before="152" w:line="278" w:lineRule="auto"/>
        <w:ind w:right="686" w:firstLine="440"/>
        <w:rPr>
          <w:rFonts w:ascii="宋体" w:hAnsi="宋体" w:eastAsia="宋体" w:cs="宋体"/>
          <w:sz w:val="21"/>
          <w:szCs w:val="21"/>
        </w:rPr>
      </w:pPr>
      <w:r>
        <w:rPr>
          <w:rFonts w:ascii="宋体" w:hAnsi="宋体" w:eastAsia="宋体" w:cs="宋体"/>
          <w:spacing w:val="12"/>
          <w:sz w:val="21"/>
          <w:szCs w:val="21"/>
        </w:rPr>
        <w:t xml:space="preserve">3. </w:t>
      </w:r>
      <w:r>
        <w:rPr>
          <w:spacing w:val="12"/>
          <w:sz w:val="21"/>
          <w:szCs w:val="21"/>
        </w:rPr>
        <w:t xml:space="preserve">寿命表法计算人时  </w:t>
      </w:r>
      <w:r>
        <w:rPr>
          <w:rFonts w:ascii="宋体" w:hAnsi="宋体" w:eastAsia="宋体" w:cs="宋体"/>
          <w:spacing w:val="12"/>
          <w:sz w:val="21"/>
          <w:szCs w:val="21"/>
        </w:rPr>
        <w:t>利用简易寿命表方法计算人时，常将观察当年内进人队列的个体作</w:t>
      </w:r>
      <w:r>
        <w:rPr>
          <w:rFonts w:ascii="宋体" w:hAnsi="宋体" w:eastAsia="宋体" w:cs="宋体"/>
          <w:spacing w:val="13"/>
          <w:sz w:val="21"/>
          <w:szCs w:val="21"/>
        </w:rPr>
        <w:t xml:space="preserve"> </w:t>
      </w:r>
      <w:r>
        <w:rPr>
          <w:rFonts w:ascii="宋体" w:hAnsi="宋体" w:eastAsia="宋体" w:cs="宋体"/>
          <w:spacing w:val="15"/>
          <w:sz w:val="21"/>
          <w:szCs w:val="21"/>
        </w:rPr>
        <w:t>1/2人年计算；失访或出现终点结局的个体也作1/</w:t>
      </w:r>
      <w:r>
        <w:rPr>
          <w:rFonts w:ascii="宋体" w:hAnsi="宋体" w:eastAsia="宋体" w:cs="宋体"/>
          <w:spacing w:val="14"/>
          <w:sz w:val="21"/>
          <w:szCs w:val="21"/>
        </w:rPr>
        <w:t>2人年计算，具体计算方法可参阅相关统计学</w:t>
      </w:r>
      <w:r>
        <w:rPr>
          <w:rFonts w:ascii="宋体" w:hAnsi="宋体" w:eastAsia="宋体" w:cs="宋体"/>
          <w:sz w:val="21"/>
          <w:szCs w:val="21"/>
        </w:rPr>
        <w:t xml:space="preserve"> </w:t>
      </w:r>
      <w:r>
        <w:rPr>
          <w:rFonts w:ascii="宋体" w:hAnsi="宋体" w:eastAsia="宋体" w:cs="宋体"/>
          <w:spacing w:val="8"/>
          <w:sz w:val="21"/>
          <w:szCs w:val="21"/>
        </w:rPr>
        <w:t>教材。</w:t>
      </w:r>
    </w:p>
    <w:p w14:paraId="1BEB8D84">
      <w:pPr>
        <w:pStyle w:val="2"/>
        <w:spacing w:before="329" w:line="222" w:lineRule="auto"/>
        <w:ind w:left="443"/>
        <w:outlineLvl w:val="2"/>
        <w:rPr>
          <w:sz w:val="27"/>
          <w:szCs w:val="27"/>
        </w:rPr>
      </w:pPr>
      <w:bookmarkStart w:id="107" w:name="bookmark66"/>
      <w:bookmarkEnd w:id="107"/>
      <w:r>
        <w:rPr>
          <w:b/>
          <w:bCs/>
          <w:spacing w:val="-5"/>
          <w:sz w:val="27"/>
          <w:szCs w:val="27"/>
        </w:rPr>
        <w:t>三、率的计算</w:t>
      </w:r>
    </w:p>
    <w:p w14:paraId="514DE899">
      <w:pPr>
        <w:spacing w:before="228" w:line="311" w:lineRule="auto"/>
        <w:ind w:right="683" w:firstLine="440"/>
        <w:rPr>
          <w:rFonts w:ascii="宋体" w:hAnsi="宋体" w:eastAsia="宋体" w:cs="宋体"/>
          <w:sz w:val="21"/>
          <w:szCs w:val="21"/>
        </w:rPr>
      </w:pPr>
      <w:r>
        <w:rPr>
          <w:rFonts w:ascii="宋体" w:hAnsi="宋体" w:eastAsia="宋体" w:cs="宋体"/>
          <w:spacing w:val="5"/>
          <w:sz w:val="21"/>
          <w:szCs w:val="21"/>
        </w:rPr>
        <w:t>结局事件发生率的计算是队列研究资料分析的关键，根据观察资料的特点，可选择计算不同的</w:t>
      </w:r>
      <w:r>
        <w:rPr>
          <w:rFonts w:ascii="宋体" w:hAnsi="宋体" w:eastAsia="宋体" w:cs="宋体"/>
          <w:sz w:val="21"/>
          <w:szCs w:val="21"/>
        </w:rPr>
        <w:t xml:space="preserve"> </w:t>
      </w:r>
      <w:r>
        <w:rPr>
          <w:rFonts w:ascii="宋体" w:hAnsi="宋体" w:eastAsia="宋体" w:cs="宋体"/>
          <w:spacing w:val="8"/>
          <w:sz w:val="21"/>
          <w:szCs w:val="21"/>
        </w:rPr>
        <w:t>指标。</w:t>
      </w:r>
    </w:p>
    <w:p w14:paraId="002C8BF7">
      <w:pPr>
        <w:pStyle w:val="2"/>
        <w:spacing w:before="43" w:line="222" w:lineRule="auto"/>
        <w:ind w:left="440"/>
        <w:rPr>
          <w:sz w:val="21"/>
          <w:szCs w:val="21"/>
        </w:rPr>
      </w:pPr>
      <w:r>
        <w:rPr>
          <w:spacing w:val="-15"/>
          <w:sz w:val="21"/>
          <w:szCs w:val="21"/>
        </w:rPr>
        <w:t>(</w:t>
      </w:r>
      <w:r>
        <w:rPr>
          <w:spacing w:val="-39"/>
          <w:sz w:val="21"/>
          <w:szCs w:val="21"/>
        </w:rPr>
        <w:t xml:space="preserve"> </w:t>
      </w:r>
      <w:r>
        <w:rPr>
          <w:spacing w:val="-15"/>
          <w:sz w:val="21"/>
          <w:szCs w:val="21"/>
        </w:rPr>
        <w:t>一</w:t>
      </w:r>
      <w:r>
        <w:rPr>
          <w:spacing w:val="-49"/>
          <w:sz w:val="21"/>
          <w:szCs w:val="21"/>
        </w:rPr>
        <w:t xml:space="preserve"> </w:t>
      </w:r>
      <w:r>
        <w:rPr>
          <w:spacing w:val="-15"/>
          <w:sz w:val="21"/>
          <w:szCs w:val="21"/>
        </w:rPr>
        <w:t>)</w:t>
      </w:r>
      <w:r>
        <w:rPr>
          <w:spacing w:val="-38"/>
          <w:sz w:val="21"/>
          <w:szCs w:val="21"/>
        </w:rPr>
        <w:t xml:space="preserve"> </w:t>
      </w:r>
      <w:r>
        <w:rPr>
          <w:spacing w:val="-15"/>
          <w:sz w:val="21"/>
          <w:szCs w:val="21"/>
        </w:rPr>
        <w:t>常</w:t>
      </w:r>
      <w:r>
        <w:rPr>
          <w:spacing w:val="-43"/>
          <w:sz w:val="21"/>
          <w:szCs w:val="21"/>
        </w:rPr>
        <w:t xml:space="preserve"> </w:t>
      </w:r>
      <w:r>
        <w:rPr>
          <w:spacing w:val="-15"/>
          <w:sz w:val="21"/>
          <w:szCs w:val="21"/>
        </w:rPr>
        <w:t>用</w:t>
      </w:r>
      <w:r>
        <w:rPr>
          <w:spacing w:val="-47"/>
          <w:sz w:val="21"/>
          <w:szCs w:val="21"/>
        </w:rPr>
        <w:t xml:space="preserve"> </w:t>
      </w:r>
      <w:r>
        <w:rPr>
          <w:spacing w:val="-15"/>
          <w:sz w:val="21"/>
          <w:szCs w:val="21"/>
        </w:rPr>
        <w:t>指</w:t>
      </w:r>
      <w:r>
        <w:rPr>
          <w:spacing w:val="-50"/>
          <w:sz w:val="21"/>
          <w:szCs w:val="21"/>
        </w:rPr>
        <w:t xml:space="preserve"> </w:t>
      </w:r>
      <w:r>
        <w:rPr>
          <w:spacing w:val="-15"/>
          <w:sz w:val="21"/>
          <w:szCs w:val="21"/>
        </w:rPr>
        <w:t>标</w:t>
      </w:r>
    </w:p>
    <w:p w14:paraId="6B1120D7">
      <w:pPr>
        <w:spacing w:before="94" w:line="323" w:lineRule="auto"/>
        <w:ind w:right="655" w:firstLine="440"/>
        <w:jc w:val="both"/>
        <w:rPr>
          <w:rFonts w:ascii="宋体" w:hAnsi="宋体" w:eastAsia="宋体" w:cs="宋体"/>
          <w:sz w:val="21"/>
          <w:szCs w:val="21"/>
        </w:rPr>
      </w:pPr>
      <w:r>
        <w:rPr>
          <w:rFonts w:ascii="Times New Roman" w:hAnsi="Times New Roman" w:eastAsia="Times New Roman" w:cs="Times New Roman"/>
          <w:spacing w:val="8"/>
          <w:sz w:val="21"/>
          <w:szCs w:val="21"/>
        </w:rPr>
        <w:t xml:space="preserve">1.   </w:t>
      </w:r>
      <w:r>
        <w:rPr>
          <w:rFonts w:ascii="宋体" w:hAnsi="宋体" w:eastAsia="宋体" w:cs="宋体"/>
          <w:spacing w:val="8"/>
          <w:sz w:val="21"/>
          <w:szCs w:val="21"/>
        </w:rPr>
        <w:t>累积发病率</w:t>
      </w:r>
      <w:r>
        <w:rPr>
          <w:rFonts w:ascii="Times New Roman" w:hAnsi="Times New Roman" w:eastAsia="Times New Roman" w:cs="Times New Roman"/>
          <w:spacing w:val="8"/>
          <w:sz w:val="21"/>
          <w:szCs w:val="21"/>
        </w:rPr>
        <w:t>(</w:t>
      </w:r>
      <w:r>
        <w:rPr>
          <w:rFonts w:ascii="Times New Roman" w:hAnsi="Times New Roman" w:eastAsia="Times New Roman" w:cs="Times New Roman"/>
          <w:sz w:val="21"/>
          <w:szCs w:val="21"/>
        </w:rPr>
        <w:t>cumulative</w:t>
      </w:r>
      <w:r>
        <w:rPr>
          <w:rFonts w:ascii="Times New Roman" w:hAnsi="Times New Roman" w:eastAsia="Times New Roman" w:cs="Times New Roman"/>
          <w:spacing w:val="8"/>
          <w:sz w:val="21"/>
          <w:szCs w:val="21"/>
        </w:rPr>
        <w:t xml:space="preserve">      </w:t>
      </w:r>
      <w:r>
        <w:rPr>
          <w:rFonts w:ascii="Times New Roman" w:hAnsi="Times New Roman" w:eastAsia="Times New Roman" w:cs="Times New Roman"/>
          <w:sz w:val="21"/>
          <w:szCs w:val="21"/>
        </w:rPr>
        <w:t>incidence</w:t>
      </w:r>
      <w:r>
        <w:rPr>
          <w:rFonts w:ascii="Times New Roman" w:hAnsi="Times New Roman" w:eastAsia="Times New Roman" w:cs="Times New Roman"/>
          <w:spacing w:val="8"/>
          <w:sz w:val="21"/>
          <w:szCs w:val="21"/>
        </w:rPr>
        <w:t>,</w:t>
      </w:r>
      <w:r>
        <w:rPr>
          <w:rFonts w:ascii="Times New Roman" w:hAnsi="Times New Roman" w:eastAsia="Times New Roman" w:cs="Times New Roman"/>
          <w:sz w:val="21"/>
          <w:szCs w:val="21"/>
        </w:rPr>
        <w:t>CI</w:t>
      </w:r>
      <w:r>
        <w:rPr>
          <w:rFonts w:ascii="Times New Roman" w:hAnsi="Times New Roman" w:eastAsia="Times New Roman" w:cs="Times New Roman"/>
          <w:spacing w:val="8"/>
          <w:sz w:val="21"/>
          <w:szCs w:val="21"/>
        </w:rPr>
        <w:t xml:space="preserve">)   </w:t>
      </w:r>
      <w:r>
        <w:rPr>
          <w:rFonts w:ascii="宋体" w:hAnsi="宋体" w:eastAsia="宋体" w:cs="宋体"/>
          <w:spacing w:val="8"/>
          <w:sz w:val="21"/>
          <w:szCs w:val="21"/>
        </w:rPr>
        <w:t>如果研究人群的数量较大且比较</w:t>
      </w:r>
      <w:r>
        <w:rPr>
          <w:rFonts w:ascii="宋体" w:hAnsi="宋体" w:eastAsia="宋体" w:cs="宋体"/>
          <w:spacing w:val="7"/>
          <w:sz w:val="21"/>
          <w:szCs w:val="21"/>
        </w:rPr>
        <w:t>稳定(固定队列),</w:t>
      </w:r>
      <w:r>
        <w:rPr>
          <w:rFonts w:ascii="宋体" w:hAnsi="宋体" w:eastAsia="宋体" w:cs="宋体"/>
          <w:sz w:val="21"/>
          <w:szCs w:val="21"/>
        </w:rPr>
        <w:t xml:space="preserve"> </w:t>
      </w:r>
      <w:r>
        <w:rPr>
          <w:rFonts w:ascii="宋体" w:hAnsi="宋体" w:eastAsia="宋体" w:cs="宋体"/>
          <w:spacing w:val="5"/>
          <w:sz w:val="21"/>
          <w:szCs w:val="21"/>
        </w:rPr>
        <w:t>则无论发病强度大小和观察时间长短，均可用观察开始时的人口数作分母，以整个观察期内的发病</w:t>
      </w:r>
      <w:r>
        <w:rPr>
          <w:rFonts w:ascii="宋体" w:hAnsi="宋体" w:eastAsia="宋体" w:cs="宋体"/>
          <w:spacing w:val="8"/>
          <w:sz w:val="21"/>
          <w:szCs w:val="21"/>
        </w:rPr>
        <w:t xml:space="preserve"> </w:t>
      </w:r>
      <w:r>
        <w:rPr>
          <w:rFonts w:ascii="宋体" w:hAnsi="宋体" w:eastAsia="宋体" w:cs="宋体"/>
          <w:spacing w:val="5"/>
          <w:sz w:val="21"/>
          <w:szCs w:val="21"/>
        </w:rPr>
        <w:t>人数为分子，计算该病的累积发病率。累积发病率反映的是特定时间内的发病风险，报告累积发病</w:t>
      </w:r>
      <w:r>
        <w:rPr>
          <w:rFonts w:ascii="宋体" w:hAnsi="宋体" w:eastAsia="宋体" w:cs="宋体"/>
          <w:spacing w:val="8"/>
          <w:sz w:val="21"/>
          <w:szCs w:val="21"/>
        </w:rPr>
        <w:t xml:space="preserve"> </w:t>
      </w:r>
      <w:r>
        <w:rPr>
          <w:rFonts w:ascii="宋体" w:hAnsi="宋体" w:eastAsia="宋体" w:cs="宋体"/>
          <w:spacing w:val="6"/>
          <w:sz w:val="21"/>
          <w:szCs w:val="21"/>
        </w:rPr>
        <w:t>率时必须说明累积时间的长短，否则其流行病学意义不</w:t>
      </w:r>
      <w:r>
        <w:rPr>
          <w:rFonts w:ascii="宋体" w:hAnsi="宋体" w:eastAsia="宋体" w:cs="宋体"/>
          <w:spacing w:val="5"/>
          <w:sz w:val="21"/>
          <w:szCs w:val="21"/>
        </w:rPr>
        <w:t>明。</w:t>
      </w:r>
    </w:p>
    <w:p w14:paraId="28A40C6A">
      <w:pPr>
        <w:pStyle w:val="2"/>
        <w:spacing w:before="170" w:line="237" w:lineRule="auto"/>
        <w:ind w:left="1940"/>
        <w:rPr>
          <w:sz w:val="21"/>
          <w:szCs w:val="21"/>
        </w:rPr>
      </w:pPr>
      <w:r>
        <w:rPr>
          <w:rFonts w:ascii="宋体" w:hAnsi="宋体" w:eastAsia="宋体" w:cs="宋体"/>
          <w:spacing w:val="7"/>
          <w:sz w:val="21"/>
          <w:szCs w:val="21"/>
        </w:rPr>
        <w:t>累积发病率</w:t>
      </w:r>
      <w:r>
        <w:rPr>
          <w:rFonts w:ascii="Times New Roman" w:hAnsi="Times New Roman" w:eastAsia="Times New Roman" w:cs="Times New Roman"/>
          <w:spacing w:val="7"/>
          <w:sz w:val="21"/>
          <w:szCs w:val="21"/>
        </w:rPr>
        <w:t>(</w:t>
      </w:r>
      <w:r>
        <w:rPr>
          <w:rFonts w:ascii="Times New Roman" w:hAnsi="Times New Roman" w:eastAsia="Times New Roman" w:cs="Times New Roman"/>
          <w:sz w:val="21"/>
          <w:szCs w:val="21"/>
        </w:rPr>
        <w:t>CI</w:t>
      </w:r>
      <w:r>
        <w:rPr>
          <w:rFonts w:ascii="Times New Roman" w:hAnsi="Times New Roman" w:eastAsia="Times New Roman" w:cs="Times New Roman"/>
          <w:spacing w:val="7"/>
          <w:sz w:val="21"/>
          <w:szCs w:val="21"/>
        </w:rPr>
        <w:t>)=</w:t>
      </w:r>
      <w:r>
        <w:rPr>
          <w:rFonts w:ascii="Times New Roman" w:hAnsi="Times New Roman" w:eastAsia="Times New Roman" w:cs="Times New Roman"/>
          <w:spacing w:val="25"/>
          <w:sz w:val="21"/>
          <w:szCs w:val="21"/>
        </w:rPr>
        <w:t xml:space="preserve">  </w:t>
      </w:r>
      <w:r>
        <w:rPr>
          <w:rFonts w:ascii="宋体" w:hAnsi="宋体" w:eastAsia="宋体" w:cs="宋体"/>
          <w:spacing w:val="7"/>
          <w:sz w:val="21"/>
          <w:szCs w:val="21"/>
        </w:rPr>
        <w:t>观察期内的发病人数/观察开始时的人数</w:t>
      </w:r>
      <w:r>
        <w:rPr>
          <w:rFonts w:ascii="宋体" w:hAnsi="宋体" w:eastAsia="宋体" w:cs="宋体"/>
          <w:spacing w:val="3"/>
          <w:sz w:val="21"/>
          <w:szCs w:val="21"/>
        </w:rPr>
        <w:t xml:space="preserve">          </w:t>
      </w:r>
      <w:r>
        <w:rPr>
          <w:spacing w:val="7"/>
          <w:position w:val="-3"/>
          <w:sz w:val="21"/>
          <w:szCs w:val="21"/>
        </w:rPr>
        <w:t>式(4-3)</w:t>
      </w:r>
    </w:p>
    <w:p w14:paraId="3D9E0FFC">
      <w:pPr>
        <w:spacing w:before="200" w:line="329" w:lineRule="auto"/>
        <w:ind w:right="595" w:firstLine="440"/>
        <w:rPr>
          <w:rFonts w:ascii="宋体" w:hAnsi="宋体" w:eastAsia="宋体" w:cs="宋体"/>
          <w:sz w:val="21"/>
          <w:szCs w:val="21"/>
        </w:rPr>
      </w:pPr>
      <w:r>
        <w:rPr>
          <w:rFonts w:ascii="Times New Roman" w:hAnsi="Times New Roman" w:eastAsia="Times New Roman" w:cs="Times New Roman"/>
          <w:spacing w:val="3"/>
          <w:sz w:val="21"/>
          <w:szCs w:val="21"/>
        </w:rPr>
        <w:t xml:space="preserve">2.   </w:t>
      </w:r>
      <w:r>
        <w:rPr>
          <w:rFonts w:ascii="宋体" w:hAnsi="宋体" w:eastAsia="宋体" w:cs="宋体"/>
          <w:spacing w:val="3"/>
          <w:sz w:val="21"/>
          <w:szCs w:val="21"/>
        </w:rPr>
        <w:t>发病密度</w:t>
      </w:r>
      <w:r>
        <w:rPr>
          <w:rFonts w:ascii="Times New Roman" w:hAnsi="Times New Roman" w:eastAsia="Times New Roman" w:cs="Times New Roman"/>
          <w:spacing w:val="3"/>
          <w:sz w:val="21"/>
          <w:szCs w:val="21"/>
        </w:rPr>
        <w:t>(</w:t>
      </w:r>
      <w:r>
        <w:rPr>
          <w:rFonts w:ascii="Times New Roman" w:hAnsi="Times New Roman" w:eastAsia="Times New Roman" w:cs="Times New Roman"/>
          <w:sz w:val="21"/>
          <w:szCs w:val="21"/>
        </w:rPr>
        <w:t>incidence</w:t>
      </w:r>
      <w:r>
        <w:rPr>
          <w:rFonts w:ascii="Times New Roman" w:hAnsi="Times New Roman" w:eastAsia="Times New Roman" w:cs="Times New Roman"/>
          <w:spacing w:val="3"/>
          <w:sz w:val="21"/>
          <w:szCs w:val="21"/>
        </w:rPr>
        <w:t xml:space="preserve">       </w:t>
      </w:r>
      <w:r>
        <w:rPr>
          <w:rFonts w:ascii="Times New Roman" w:hAnsi="Times New Roman" w:eastAsia="Times New Roman" w:cs="Times New Roman"/>
          <w:sz w:val="21"/>
          <w:szCs w:val="21"/>
        </w:rPr>
        <w:t>density</w:t>
      </w:r>
      <w:r>
        <w:rPr>
          <w:rFonts w:ascii="Times New Roman" w:hAnsi="Times New Roman" w:eastAsia="Times New Roman" w:cs="Times New Roman"/>
          <w:spacing w:val="3"/>
          <w:sz w:val="21"/>
          <w:szCs w:val="21"/>
        </w:rPr>
        <w:t>,</w:t>
      </w:r>
      <w:r>
        <w:rPr>
          <w:rFonts w:ascii="Times New Roman" w:hAnsi="Times New Roman" w:eastAsia="Times New Roman" w:cs="Times New Roman"/>
          <w:sz w:val="21"/>
          <w:szCs w:val="21"/>
        </w:rPr>
        <w:t>ID</w:t>
      </w:r>
      <w:r>
        <w:rPr>
          <w:rFonts w:ascii="Times New Roman" w:hAnsi="Times New Roman" w:eastAsia="Times New Roman" w:cs="Times New Roman"/>
          <w:spacing w:val="3"/>
          <w:sz w:val="21"/>
          <w:szCs w:val="21"/>
        </w:rPr>
        <w:t xml:space="preserve">)   </w:t>
      </w:r>
      <w:r>
        <w:rPr>
          <w:rFonts w:ascii="宋体" w:hAnsi="宋体" w:eastAsia="宋体" w:cs="宋体"/>
          <w:spacing w:val="3"/>
          <w:sz w:val="21"/>
          <w:szCs w:val="21"/>
        </w:rPr>
        <w:t>队列研究观察的时间比较长，很难做到研究人口的稳定。</w:t>
      </w:r>
      <w:r>
        <w:rPr>
          <w:rFonts w:ascii="宋体" w:hAnsi="宋体" w:eastAsia="宋体" w:cs="宋体"/>
          <w:spacing w:val="7"/>
          <w:sz w:val="21"/>
          <w:szCs w:val="21"/>
        </w:rPr>
        <w:t xml:space="preserve"> </w:t>
      </w:r>
      <w:r>
        <w:rPr>
          <w:rFonts w:ascii="宋体" w:hAnsi="宋体" w:eastAsia="宋体" w:cs="宋体"/>
          <w:spacing w:val="5"/>
          <w:sz w:val="21"/>
          <w:szCs w:val="21"/>
        </w:rPr>
        <w:t>如研究对象进入队列的时间可能先后不一；在观察截止前可能由于迁移、竞争性死亡或其他原因退</w:t>
      </w:r>
    </w:p>
    <w:p w14:paraId="4BE36A0D">
      <w:pPr>
        <w:spacing w:line="329" w:lineRule="auto"/>
        <w:rPr>
          <w:rFonts w:ascii="宋体" w:hAnsi="宋体" w:eastAsia="宋体" w:cs="宋体"/>
          <w:sz w:val="21"/>
          <w:szCs w:val="21"/>
        </w:rPr>
        <w:sectPr>
          <w:footerReference r:id="rId87" w:type="default"/>
          <w:pgSz w:w="11900" w:h="16820"/>
          <w:pgMar w:top="400" w:right="670" w:bottom="833" w:left="1289" w:header="0" w:footer="646" w:gutter="0"/>
          <w:cols w:space="720" w:num="1"/>
        </w:sectPr>
      </w:pPr>
    </w:p>
    <w:p w14:paraId="63BDD09B">
      <w:pPr>
        <w:pStyle w:val="2"/>
        <w:spacing w:before="187" w:line="222" w:lineRule="auto"/>
        <w:ind w:left="729"/>
        <w:rPr>
          <w:sz w:val="21"/>
          <w:szCs w:val="21"/>
        </w:rPr>
      </w:pPr>
      <w:r>
        <w:rPr>
          <w:spacing w:val="-18"/>
          <w:w w:val="95"/>
          <w:sz w:val="21"/>
          <w:szCs w:val="21"/>
        </w:rPr>
        <w:t>第四章</w:t>
      </w:r>
      <w:r>
        <w:rPr>
          <w:spacing w:val="3"/>
          <w:sz w:val="21"/>
          <w:szCs w:val="21"/>
        </w:rPr>
        <w:t xml:space="preserve"> </w:t>
      </w:r>
      <w:r>
        <w:rPr>
          <w:spacing w:val="-18"/>
          <w:w w:val="95"/>
          <w:sz w:val="21"/>
          <w:szCs w:val="21"/>
        </w:rPr>
        <w:t>队列研究</w:t>
      </w:r>
    </w:p>
    <w:p w14:paraId="0B6008F8">
      <w:pPr>
        <w:spacing w:line="268" w:lineRule="auto"/>
        <w:rPr>
          <w:rFonts w:ascii="Arial"/>
          <w:sz w:val="21"/>
        </w:rPr>
      </w:pPr>
    </w:p>
    <w:p w14:paraId="022E147A">
      <w:pPr>
        <w:spacing w:line="269" w:lineRule="auto"/>
        <w:rPr>
          <w:rFonts w:ascii="Arial"/>
          <w:sz w:val="21"/>
        </w:rPr>
      </w:pPr>
    </w:p>
    <w:p w14:paraId="21054ABF">
      <w:pPr>
        <w:spacing w:before="68" w:line="331" w:lineRule="auto"/>
        <w:ind w:left="739" w:right="104"/>
        <w:jc w:val="both"/>
        <w:rPr>
          <w:rFonts w:ascii="宋体" w:hAnsi="宋体" w:eastAsia="宋体" w:cs="宋体"/>
          <w:sz w:val="21"/>
          <w:szCs w:val="21"/>
        </w:rPr>
      </w:pPr>
      <w:r>
        <w:rPr>
          <w:rFonts w:ascii="宋体" w:hAnsi="宋体" w:eastAsia="宋体" w:cs="宋体"/>
          <w:spacing w:val="-5"/>
          <w:sz w:val="21"/>
          <w:szCs w:val="21"/>
        </w:rPr>
        <w:t>出，造成各种失访；研究对象出现终点结局的时间不同等。这些原</w:t>
      </w:r>
      <w:r>
        <w:rPr>
          <w:rFonts w:ascii="宋体" w:hAnsi="宋体" w:eastAsia="宋体" w:cs="宋体"/>
          <w:spacing w:val="-6"/>
          <w:sz w:val="21"/>
          <w:szCs w:val="21"/>
        </w:rPr>
        <w:t>因均可造成每个对象被观察的时</w:t>
      </w:r>
      <w:r>
        <w:rPr>
          <w:rFonts w:ascii="宋体" w:hAnsi="宋体" w:eastAsia="宋体" w:cs="宋体"/>
          <w:sz w:val="21"/>
          <w:szCs w:val="21"/>
        </w:rPr>
        <w:t xml:space="preserve"> </w:t>
      </w:r>
      <w:r>
        <w:rPr>
          <w:rFonts w:ascii="宋体" w:hAnsi="宋体" w:eastAsia="宋体" w:cs="宋体"/>
          <w:spacing w:val="-5"/>
          <w:sz w:val="21"/>
          <w:szCs w:val="21"/>
        </w:rPr>
        <w:t>间不一样，此时以总人数为单位计算发病(死亡)率是不合理的。因此，对于动态的队列，多以观察</w:t>
      </w:r>
      <w:r>
        <w:rPr>
          <w:rFonts w:ascii="宋体" w:hAnsi="宋体" w:eastAsia="宋体" w:cs="宋体"/>
          <w:sz w:val="21"/>
          <w:szCs w:val="21"/>
        </w:rPr>
        <w:t xml:space="preserve"> </w:t>
      </w:r>
      <w:r>
        <w:rPr>
          <w:rFonts w:ascii="宋体" w:hAnsi="宋体" w:eastAsia="宋体" w:cs="宋体"/>
          <w:spacing w:val="-6"/>
          <w:sz w:val="21"/>
          <w:szCs w:val="21"/>
        </w:rPr>
        <w:t>人时为分母计算发病率，称为发病密度。该指标带有</w:t>
      </w:r>
      <w:r>
        <w:rPr>
          <w:rFonts w:ascii="宋体" w:hAnsi="宋体" w:eastAsia="宋体" w:cs="宋体"/>
          <w:spacing w:val="-7"/>
          <w:sz w:val="21"/>
          <w:szCs w:val="21"/>
        </w:rPr>
        <w:t>瞬时频率性质，表示一定时间内发病的速率。</w:t>
      </w:r>
    </w:p>
    <w:p w14:paraId="16F122F8">
      <w:pPr>
        <w:spacing w:before="136" w:line="212" w:lineRule="auto"/>
        <w:ind w:left="2809"/>
        <w:rPr>
          <w:rFonts w:ascii="宋体" w:hAnsi="宋体" w:eastAsia="宋体" w:cs="宋体"/>
          <w:sz w:val="21"/>
          <w:szCs w:val="21"/>
        </w:rPr>
      </w:pPr>
      <w:r>
        <w:rPr>
          <w:rFonts w:ascii="宋体" w:hAnsi="宋体" w:eastAsia="宋体" w:cs="宋体"/>
          <w:spacing w:val="1"/>
          <w:sz w:val="21"/>
          <w:szCs w:val="21"/>
        </w:rPr>
        <w:t>发病密度</w:t>
      </w:r>
      <w:r>
        <w:rPr>
          <w:rFonts w:ascii="Times New Roman" w:hAnsi="Times New Roman" w:eastAsia="Times New Roman" w:cs="Times New Roman"/>
          <w:spacing w:val="1"/>
          <w:sz w:val="21"/>
          <w:szCs w:val="21"/>
        </w:rPr>
        <w:t>(</w:t>
      </w:r>
      <w:r>
        <w:rPr>
          <w:rFonts w:ascii="Times New Roman" w:hAnsi="Times New Roman" w:eastAsia="Times New Roman" w:cs="Times New Roman"/>
          <w:sz w:val="21"/>
          <w:szCs w:val="21"/>
        </w:rPr>
        <w:t>ID</w:t>
      </w:r>
      <w:r>
        <w:rPr>
          <w:rFonts w:ascii="Times New Roman" w:hAnsi="Times New Roman" w:eastAsia="Times New Roman" w:cs="Times New Roman"/>
          <w:spacing w:val="1"/>
          <w:sz w:val="21"/>
          <w:szCs w:val="21"/>
        </w:rPr>
        <w:t>)=</w:t>
      </w:r>
      <w:r>
        <w:rPr>
          <w:rFonts w:ascii="Times New Roman" w:hAnsi="Times New Roman" w:eastAsia="Times New Roman" w:cs="Times New Roman"/>
          <w:spacing w:val="36"/>
          <w:sz w:val="21"/>
          <w:szCs w:val="21"/>
        </w:rPr>
        <w:t xml:space="preserve"> </w:t>
      </w:r>
      <w:r>
        <w:rPr>
          <w:rFonts w:ascii="宋体" w:hAnsi="宋体" w:eastAsia="宋体" w:cs="宋体"/>
          <w:spacing w:val="1"/>
          <w:sz w:val="21"/>
          <w:szCs w:val="21"/>
        </w:rPr>
        <w:t xml:space="preserve">观察期内的发病人数/观察总人时数             </w:t>
      </w:r>
      <w:r>
        <w:rPr>
          <w:rFonts w:ascii="宋体" w:hAnsi="宋体" w:eastAsia="宋体" w:cs="宋体"/>
          <w:spacing w:val="1"/>
          <w:position w:val="-1"/>
          <w:sz w:val="21"/>
          <w:szCs w:val="21"/>
        </w:rPr>
        <w:t>式(4-4)</w:t>
      </w:r>
    </w:p>
    <w:p w14:paraId="0E95B58E">
      <w:pPr>
        <w:spacing w:before="292" w:line="334" w:lineRule="auto"/>
        <w:ind w:left="719" w:right="38" w:firstLine="420"/>
        <w:jc w:val="both"/>
        <w:rPr>
          <w:rFonts w:ascii="宋体" w:hAnsi="宋体" w:eastAsia="宋体" w:cs="宋体"/>
          <w:sz w:val="21"/>
          <w:szCs w:val="21"/>
        </w:rPr>
      </w:pPr>
      <w:r>
        <w:rPr>
          <w:rFonts w:ascii="宋体" w:hAnsi="宋体" w:eastAsia="宋体" w:cs="宋体"/>
          <w:spacing w:val="1"/>
          <w:sz w:val="21"/>
          <w:szCs w:val="21"/>
        </w:rPr>
        <w:t>3.</w:t>
      </w:r>
      <w:r>
        <w:rPr>
          <w:rFonts w:ascii="宋体" w:hAnsi="宋体" w:eastAsia="宋体" w:cs="宋体"/>
          <w:spacing w:val="-22"/>
          <w:sz w:val="21"/>
          <w:szCs w:val="21"/>
        </w:rPr>
        <w:t xml:space="preserve"> </w:t>
      </w:r>
      <w:r>
        <w:rPr>
          <w:rFonts w:ascii="宋体" w:hAnsi="宋体" w:eastAsia="宋体" w:cs="宋体"/>
          <w:spacing w:val="1"/>
          <w:sz w:val="21"/>
          <w:szCs w:val="21"/>
        </w:rPr>
        <w:t>标化比 当采用总人口作对照或研究对象数量较</w:t>
      </w:r>
      <w:r>
        <w:rPr>
          <w:rFonts w:ascii="宋体" w:hAnsi="宋体" w:eastAsia="宋体" w:cs="宋体"/>
          <w:sz w:val="21"/>
          <w:szCs w:val="21"/>
        </w:rPr>
        <w:t xml:space="preserve">少，结局事件发生率较低时，不论观察时 </w:t>
      </w:r>
      <w:r>
        <w:rPr>
          <w:rFonts w:ascii="宋体" w:hAnsi="宋体" w:eastAsia="宋体" w:cs="宋体"/>
          <w:spacing w:val="-5"/>
          <w:sz w:val="21"/>
          <w:szCs w:val="21"/>
        </w:rPr>
        <w:t>间长短，都不宜直接计算率。此时，常以全人口发病(死亡)率作为标准，计算该观察人群的预期发</w:t>
      </w:r>
      <w:r>
        <w:rPr>
          <w:rFonts w:ascii="宋体" w:hAnsi="宋体" w:eastAsia="宋体" w:cs="宋体"/>
          <w:spacing w:val="17"/>
          <w:sz w:val="21"/>
          <w:szCs w:val="21"/>
        </w:rPr>
        <w:t xml:space="preserve"> </w:t>
      </w:r>
      <w:r>
        <w:rPr>
          <w:rFonts w:ascii="宋体" w:hAnsi="宋体" w:eastAsia="宋体" w:cs="宋体"/>
          <w:spacing w:val="2"/>
          <w:sz w:val="21"/>
          <w:szCs w:val="21"/>
        </w:rPr>
        <w:t>病(死亡)人数，以观察人群实际发病(死亡)人数除以预期发病</w:t>
      </w:r>
      <w:r>
        <w:rPr>
          <w:rFonts w:ascii="宋体" w:hAnsi="宋体" w:eastAsia="宋体" w:cs="宋体"/>
          <w:spacing w:val="1"/>
          <w:sz w:val="21"/>
          <w:szCs w:val="21"/>
        </w:rPr>
        <w:t>(死亡)人数来计算标化发病(死亡)</w:t>
      </w:r>
      <w:r>
        <w:rPr>
          <w:rFonts w:ascii="宋体" w:hAnsi="宋体" w:eastAsia="宋体" w:cs="宋体"/>
          <w:sz w:val="21"/>
          <w:szCs w:val="21"/>
        </w:rPr>
        <w:t xml:space="preserve"> </w:t>
      </w:r>
      <w:r>
        <w:rPr>
          <w:rFonts w:ascii="宋体" w:hAnsi="宋体" w:eastAsia="宋体" w:cs="宋体"/>
          <w:spacing w:val="-1"/>
          <w:sz w:val="21"/>
          <w:szCs w:val="21"/>
        </w:rPr>
        <w:t>比</w:t>
      </w:r>
      <w:r>
        <w:rPr>
          <w:rFonts w:ascii="Times New Roman" w:hAnsi="Times New Roman" w:eastAsia="Times New Roman" w:cs="Times New Roman"/>
          <w:spacing w:val="-1"/>
          <w:sz w:val="21"/>
          <w:szCs w:val="21"/>
        </w:rPr>
        <w:t>(standardized morbidity/mortality ratio,SMR)</w:t>
      </w:r>
      <w:r>
        <w:rPr>
          <w:rFonts w:ascii="宋体" w:hAnsi="宋体" w:eastAsia="宋体" w:cs="宋体"/>
          <w:spacing w:val="-1"/>
          <w:sz w:val="21"/>
          <w:szCs w:val="21"/>
        </w:rPr>
        <w:t>。该指标在职业流行病学研究中常用。标化比虽然是</w:t>
      </w:r>
      <w:r>
        <w:rPr>
          <w:rFonts w:ascii="宋体" w:hAnsi="宋体" w:eastAsia="宋体" w:cs="宋体"/>
          <w:spacing w:val="14"/>
          <w:sz w:val="21"/>
          <w:szCs w:val="21"/>
        </w:rPr>
        <w:t xml:space="preserve"> </w:t>
      </w:r>
      <w:r>
        <w:rPr>
          <w:rFonts w:ascii="宋体" w:hAnsi="宋体" w:eastAsia="宋体" w:cs="宋体"/>
          <w:spacing w:val="-4"/>
          <w:sz w:val="21"/>
          <w:szCs w:val="21"/>
        </w:rPr>
        <w:t>在特殊情况下用来替代率的指标，但实际上不是率，</w:t>
      </w:r>
      <w:r>
        <w:rPr>
          <w:rFonts w:ascii="宋体" w:hAnsi="宋体" w:eastAsia="宋体" w:cs="宋体"/>
          <w:spacing w:val="-5"/>
          <w:sz w:val="21"/>
          <w:szCs w:val="21"/>
        </w:rPr>
        <w:t>而是以全人口的发病(死亡)率作为对照计算出</w:t>
      </w:r>
      <w:r>
        <w:rPr>
          <w:rFonts w:ascii="宋体" w:hAnsi="宋体" w:eastAsia="宋体" w:cs="宋体"/>
          <w:sz w:val="21"/>
          <w:szCs w:val="21"/>
        </w:rPr>
        <w:t xml:space="preserve"> </w:t>
      </w:r>
      <w:r>
        <w:rPr>
          <w:rFonts w:ascii="宋体" w:hAnsi="宋体" w:eastAsia="宋体" w:cs="宋体"/>
          <w:spacing w:val="-6"/>
          <w:sz w:val="21"/>
          <w:szCs w:val="21"/>
        </w:rPr>
        <w:t>来的比，其流行病学意义与效应指标RR 类似。</w:t>
      </w:r>
    </w:p>
    <w:p w14:paraId="0F573E7E">
      <w:pPr>
        <w:spacing w:before="10" w:line="323" w:lineRule="auto"/>
        <w:ind w:left="729" w:right="123" w:firstLine="410"/>
        <w:rPr>
          <w:rFonts w:ascii="宋体" w:hAnsi="宋体" w:eastAsia="宋体" w:cs="宋体"/>
          <w:sz w:val="21"/>
          <w:szCs w:val="21"/>
        </w:rPr>
      </w:pPr>
      <w:r>
        <w:rPr>
          <w:rFonts w:ascii="宋体" w:hAnsi="宋体" w:eastAsia="宋体" w:cs="宋体"/>
          <w:sz w:val="21"/>
          <w:szCs w:val="21"/>
        </w:rPr>
        <w:t>例如，某厂30～40岁组工人有500名，某年内有2人死于肺癌，已知该年全</w:t>
      </w:r>
      <w:r>
        <w:rPr>
          <w:rFonts w:ascii="宋体" w:hAnsi="宋体" w:eastAsia="宋体" w:cs="宋体"/>
          <w:spacing w:val="-1"/>
          <w:sz w:val="21"/>
          <w:szCs w:val="21"/>
        </w:rPr>
        <w:t>人口30～40岁组肺</w:t>
      </w:r>
      <w:r>
        <w:rPr>
          <w:rFonts w:ascii="宋体" w:hAnsi="宋体" w:eastAsia="宋体" w:cs="宋体"/>
          <w:sz w:val="21"/>
          <w:szCs w:val="21"/>
        </w:rPr>
        <w:t xml:space="preserve"> </w:t>
      </w:r>
      <w:r>
        <w:rPr>
          <w:rFonts w:ascii="宋体" w:hAnsi="宋体" w:eastAsia="宋体" w:cs="宋体"/>
          <w:spacing w:val="2"/>
          <w:sz w:val="21"/>
          <w:szCs w:val="21"/>
        </w:rPr>
        <w:t>癌的死亡率为2‰,求其</w:t>
      </w:r>
      <w:r>
        <w:rPr>
          <w:rFonts w:ascii="Times New Roman" w:hAnsi="Times New Roman" w:eastAsia="Times New Roman" w:cs="Times New Roman"/>
          <w:sz w:val="21"/>
          <w:szCs w:val="21"/>
        </w:rPr>
        <w:t>SMR</w:t>
      </w:r>
      <w:r>
        <w:rPr>
          <w:rFonts w:ascii="宋体" w:hAnsi="宋体" w:eastAsia="宋体" w:cs="宋体"/>
          <w:spacing w:val="2"/>
          <w:sz w:val="21"/>
          <w:szCs w:val="21"/>
        </w:rPr>
        <w:t>。</w:t>
      </w:r>
    </w:p>
    <w:p w14:paraId="00FA0CBB">
      <w:pPr>
        <w:spacing w:line="266" w:lineRule="auto"/>
        <w:rPr>
          <w:rFonts w:ascii="Arial"/>
          <w:sz w:val="21"/>
        </w:rPr>
      </w:pPr>
      <w:r>
        <w:drawing>
          <wp:anchor distT="0" distB="0" distL="0" distR="0" simplePos="0" relativeHeight="251725824" behindDoc="0" locked="0" layoutInCell="1" allowOverlap="1">
            <wp:simplePos x="0" y="0"/>
            <wp:positionH relativeFrom="column">
              <wp:posOffset>1898015</wp:posOffset>
            </wp:positionH>
            <wp:positionV relativeFrom="paragraph">
              <wp:posOffset>105410</wp:posOffset>
            </wp:positionV>
            <wp:extent cx="2717800" cy="336550"/>
            <wp:effectExtent l="0" t="0" r="0" b="0"/>
            <wp:wrapNone/>
            <wp:docPr id="208" name="IM 208"/>
            <wp:cNvGraphicFramePr/>
            <a:graphic xmlns:a="http://schemas.openxmlformats.org/drawingml/2006/main">
              <a:graphicData uri="http://schemas.openxmlformats.org/drawingml/2006/picture">
                <pic:pic xmlns:pic="http://schemas.openxmlformats.org/drawingml/2006/picture">
                  <pic:nvPicPr>
                    <pic:cNvPr id="208" name="IM 208"/>
                    <pic:cNvPicPr/>
                  </pic:nvPicPr>
                  <pic:blipFill>
                    <a:blip r:embed="rId480"/>
                    <a:stretch>
                      <a:fillRect/>
                    </a:stretch>
                  </pic:blipFill>
                  <pic:spPr>
                    <a:xfrm>
                      <a:off x="0" y="0"/>
                      <a:ext cx="2717982" cy="336548"/>
                    </a:xfrm>
                    <a:prstGeom prst="rect">
                      <a:avLst/>
                    </a:prstGeom>
                  </pic:spPr>
                </pic:pic>
              </a:graphicData>
            </a:graphic>
          </wp:anchor>
        </w:drawing>
      </w:r>
    </w:p>
    <w:p w14:paraId="302C1FCB">
      <w:pPr>
        <w:spacing w:before="69" w:line="221" w:lineRule="auto"/>
        <w:ind w:left="8829"/>
        <w:rPr>
          <w:rFonts w:ascii="宋体" w:hAnsi="宋体" w:eastAsia="宋体" w:cs="宋体"/>
          <w:sz w:val="21"/>
          <w:szCs w:val="21"/>
        </w:rPr>
      </w:pPr>
      <w:r>
        <w:rPr>
          <w:rFonts w:ascii="宋体" w:hAnsi="宋体" w:eastAsia="宋体" w:cs="宋体"/>
          <w:spacing w:val="6"/>
          <w:sz w:val="21"/>
          <w:szCs w:val="21"/>
        </w:rPr>
        <w:t>式(4-5)</w:t>
      </w:r>
    </w:p>
    <w:p w14:paraId="719B95A2">
      <w:pPr>
        <w:spacing w:line="334" w:lineRule="auto"/>
        <w:rPr>
          <w:rFonts w:ascii="Arial"/>
          <w:sz w:val="21"/>
        </w:rPr>
      </w:pPr>
    </w:p>
    <w:p w14:paraId="727A7355">
      <w:pPr>
        <w:spacing w:before="68" w:line="216" w:lineRule="auto"/>
        <w:ind w:left="1140"/>
        <w:rPr>
          <w:rFonts w:ascii="Times New Roman" w:hAnsi="Times New Roman" w:eastAsia="Times New Roman" w:cs="Times New Roman"/>
          <w:sz w:val="21"/>
          <w:szCs w:val="21"/>
        </w:rPr>
      </w:pPr>
      <w:r>
        <w:rPr>
          <w:rFonts w:ascii="宋体" w:hAnsi="宋体" w:eastAsia="宋体" w:cs="宋体"/>
          <w:spacing w:val="3"/>
          <w:sz w:val="21"/>
          <w:szCs w:val="21"/>
        </w:rPr>
        <w:t>已知0=2,</w:t>
      </w:r>
      <w:r>
        <w:rPr>
          <w:rFonts w:ascii="Times New Roman" w:hAnsi="Times New Roman" w:eastAsia="Times New Roman" w:cs="Times New Roman"/>
          <w:spacing w:val="3"/>
          <w:sz w:val="21"/>
          <w:szCs w:val="21"/>
        </w:rPr>
        <w:t>E=500×2‰=1</w:t>
      </w:r>
    </w:p>
    <w:p w14:paraId="2929DBB3">
      <w:pPr>
        <w:spacing w:line="286" w:lineRule="auto"/>
        <w:rPr>
          <w:rFonts w:ascii="Arial"/>
          <w:sz w:val="21"/>
        </w:rPr>
      </w:pPr>
    </w:p>
    <w:p w14:paraId="586AA024">
      <w:pPr>
        <w:spacing w:before="1" w:line="490" w:lineRule="exact"/>
        <w:ind w:firstLine="4539"/>
      </w:pPr>
      <w:r>
        <w:rPr>
          <w:position w:val="-9"/>
        </w:rPr>
        <w:drawing>
          <wp:inline distT="0" distB="0" distL="0" distR="0">
            <wp:extent cx="723900" cy="310515"/>
            <wp:effectExtent l="0" t="0" r="0" b="0"/>
            <wp:docPr id="210" name="IM 210"/>
            <wp:cNvGraphicFramePr/>
            <a:graphic xmlns:a="http://schemas.openxmlformats.org/drawingml/2006/main">
              <a:graphicData uri="http://schemas.openxmlformats.org/drawingml/2006/picture">
                <pic:pic xmlns:pic="http://schemas.openxmlformats.org/drawingml/2006/picture">
                  <pic:nvPicPr>
                    <pic:cNvPr id="210" name="IM 210"/>
                    <pic:cNvPicPr/>
                  </pic:nvPicPr>
                  <pic:blipFill>
                    <a:blip r:embed="rId481"/>
                    <a:stretch>
                      <a:fillRect/>
                    </a:stretch>
                  </pic:blipFill>
                  <pic:spPr>
                    <a:xfrm>
                      <a:off x="0" y="0"/>
                      <a:ext cx="723912" cy="311128"/>
                    </a:xfrm>
                    <a:prstGeom prst="rect">
                      <a:avLst/>
                    </a:prstGeom>
                  </pic:spPr>
                </pic:pic>
              </a:graphicData>
            </a:graphic>
          </wp:inline>
        </w:drawing>
      </w:r>
    </w:p>
    <w:p w14:paraId="6F666BC8">
      <w:pPr>
        <w:spacing w:before="259" w:line="219" w:lineRule="auto"/>
        <w:ind w:left="1150"/>
        <w:rPr>
          <w:rFonts w:ascii="宋体" w:hAnsi="宋体" w:eastAsia="宋体" w:cs="宋体"/>
          <w:sz w:val="21"/>
          <w:szCs w:val="21"/>
        </w:rPr>
      </w:pPr>
      <w:r>
        <w:rPr>
          <w:rFonts w:ascii="宋体" w:hAnsi="宋体" w:eastAsia="宋体" w:cs="宋体"/>
          <w:spacing w:val="2"/>
          <w:sz w:val="21"/>
          <w:szCs w:val="21"/>
        </w:rPr>
        <w:t>即某厂30～40岁年龄组工人死于肺癌的危</w:t>
      </w:r>
      <w:r>
        <w:rPr>
          <w:rFonts w:ascii="宋体" w:hAnsi="宋体" w:eastAsia="宋体" w:cs="宋体"/>
          <w:spacing w:val="1"/>
          <w:sz w:val="21"/>
          <w:szCs w:val="21"/>
        </w:rPr>
        <w:t>险是一般人群的2倍。</w:t>
      </w:r>
    </w:p>
    <w:p w14:paraId="6AB753CF">
      <w:pPr>
        <w:spacing w:before="151" w:line="330" w:lineRule="auto"/>
        <w:ind w:left="719" w:right="86" w:firstLine="420"/>
        <w:jc w:val="both"/>
        <w:rPr>
          <w:rFonts w:ascii="宋体" w:hAnsi="宋体" w:eastAsia="宋体" w:cs="宋体"/>
          <w:sz w:val="21"/>
          <w:szCs w:val="21"/>
        </w:rPr>
      </w:pPr>
      <w:r>
        <w:rPr>
          <w:rFonts w:ascii="宋体" w:hAnsi="宋体" w:eastAsia="宋体" w:cs="宋体"/>
          <w:spacing w:val="-9"/>
          <w:sz w:val="21"/>
          <w:szCs w:val="21"/>
        </w:rPr>
        <w:t>如果某单位历年人口资料不能获得，而仅有死亡</w:t>
      </w:r>
      <w:r>
        <w:rPr>
          <w:rFonts w:ascii="宋体" w:hAnsi="宋体" w:eastAsia="宋体" w:cs="宋体"/>
          <w:spacing w:val="-10"/>
          <w:sz w:val="21"/>
          <w:szCs w:val="21"/>
        </w:rPr>
        <w:t>人数、原因、日期和年龄，则可改为计算标化比</w:t>
      </w:r>
      <w:r>
        <w:rPr>
          <w:rFonts w:ascii="宋体" w:hAnsi="宋体" w:eastAsia="宋体" w:cs="宋体"/>
          <w:sz w:val="21"/>
          <w:szCs w:val="21"/>
        </w:rPr>
        <w:t xml:space="preserve"> 例死亡比</w:t>
      </w:r>
      <w:r>
        <w:rPr>
          <w:rFonts w:ascii="Times New Roman" w:hAnsi="Times New Roman" w:eastAsia="Times New Roman" w:cs="Times New Roman"/>
          <w:sz w:val="21"/>
          <w:szCs w:val="21"/>
        </w:rPr>
        <w:t>(standardized</w:t>
      </w:r>
      <w:r>
        <w:rPr>
          <w:rFonts w:ascii="Times New Roman" w:hAnsi="Times New Roman" w:eastAsia="Times New Roman" w:cs="Times New Roman"/>
          <w:spacing w:val="24"/>
          <w:sz w:val="21"/>
          <w:szCs w:val="21"/>
        </w:rPr>
        <w:t xml:space="preserve"> </w:t>
      </w:r>
      <w:r>
        <w:rPr>
          <w:rFonts w:ascii="Times New Roman" w:hAnsi="Times New Roman" w:eastAsia="Times New Roman" w:cs="Times New Roman"/>
          <w:sz w:val="21"/>
          <w:szCs w:val="21"/>
        </w:rPr>
        <w:t>proportional</w:t>
      </w:r>
      <w:r>
        <w:rPr>
          <w:rFonts w:ascii="Times New Roman" w:hAnsi="Times New Roman" w:eastAsia="Times New Roman" w:cs="Times New Roman"/>
          <w:spacing w:val="26"/>
          <w:sz w:val="21"/>
          <w:szCs w:val="21"/>
        </w:rPr>
        <w:t xml:space="preserve"> </w:t>
      </w:r>
      <w:r>
        <w:rPr>
          <w:rFonts w:ascii="Times New Roman" w:hAnsi="Times New Roman" w:eastAsia="Times New Roman" w:cs="Times New Roman"/>
          <w:sz w:val="21"/>
          <w:szCs w:val="21"/>
        </w:rPr>
        <w:t>mort</w:t>
      </w:r>
      <w:r>
        <w:rPr>
          <w:rFonts w:ascii="Times New Roman" w:hAnsi="Times New Roman" w:eastAsia="Times New Roman" w:cs="Times New Roman"/>
          <w:spacing w:val="-1"/>
          <w:sz w:val="21"/>
          <w:szCs w:val="21"/>
        </w:rPr>
        <w:t>ality</w:t>
      </w:r>
      <w:r>
        <w:rPr>
          <w:rFonts w:ascii="Times New Roman" w:hAnsi="Times New Roman" w:eastAsia="Times New Roman" w:cs="Times New Roman"/>
          <w:spacing w:val="26"/>
          <w:sz w:val="21"/>
          <w:szCs w:val="21"/>
        </w:rPr>
        <w:t xml:space="preserve"> </w:t>
      </w:r>
      <w:r>
        <w:rPr>
          <w:rFonts w:ascii="Times New Roman" w:hAnsi="Times New Roman" w:eastAsia="Times New Roman" w:cs="Times New Roman"/>
          <w:spacing w:val="-1"/>
          <w:sz w:val="21"/>
          <w:szCs w:val="21"/>
        </w:rPr>
        <w:t>ratio,SPMR)</w:t>
      </w:r>
      <w:r>
        <w:rPr>
          <w:rFonts w:ascii="宋体" w:hAnsi="宋体" w:eastAsia="宋体" w:cs="宋体"/>
          <w:spacing w:val="-1"/>
          <w:sz w:val="21"/>
          <w:szCs w:val="21"/>
        </w:rPr>
        <w:t>。其计算方法是以全人口中某病因死亡占</w:t>
      </w:r>
      <w:r>
        <w:rPr>
          <w:rFonts w:ascii="宋体" w:hAnsi="宋体" w:eastAsia="宋体" w:cs="宋体"/>
          <w:sz w:val="21"/>
          <w:szCs w:val="21"/>
        </w:rPr>
        <w:t xml:space="preserve"> </w:t>
      </w:r>
      <w:r>
        <w:rPr>
          <w:rFonts w:ascii="宋体" w:hAnsi="宋体" w:eastAsia="宋体" w:cs="宋体"/>
          <w:spacing w:val="1"/>
          <w:sz w:val="21"/>
          <w:szCs w:val="21"/>
        </w:rPr>
        <w:t>全部死亡的比例乘以该单位实际全部死亡数而得出该病因的预</w:t>
      </w:r>
      <w:r>
        <w:rPr>
          <w:rFonts w:ascii="宋体" w:hAnsi="宋体" w:eastAsia="宋体" w:cs="宋体"/>
          <w:sz w:val="21"/>
          <w:szCs w:val="21"/>
        </w:rPr>
        <w:t xml:space="preserve">期死亡数，再计算实际死亡数与预 </w:t>
      </w:r>
      <w:r>
        <w:rPr>
          <w:rFonts w:ascii="宋体" w:hAnsi="宋体" w:eastAsia="宋体" w:cs="宋体"/>
          <w:spacing w:val="-6"/>
          <w:sz w:val="21"/>
          <w:szCs w:val="21"/>
        </w:rPr>
        <w:t>期死亡数之比。</w:t>
      </w:r>
    </w:p>
    <w:p w14:paraId="7B51E4DA">
      <w:pPr>
        <w:spacing w:before="28" w:line="332" w:lineRule="auto"/>
        <w:ind w:left="729" w:right="123" w:firstLine="410"/>
        <w:rPr>
          <w:rFonts w:ascii="宋体" w:hAnsi="宋体" w:eastAsia="宋体" w:cs="宋体"/>
          <w:sz w:val="21"/>
          <w:szCs w:val="21"/>
        </w:rPr>
      </w:pPr>
      <w:r>
        <w:rPr>
          <w:rFonts w:ascii="宋体" w:hAnsi="宋体" w:eastAsia="宋体" w:cs="宋体"/>
          <w:sz w:val="21"/>
          <w:szCs w:val="21"/>
        </w:rPr>
        <w:t>例如，某厂某年50～60岁年龄组工人死亡总数为100人，其中因肺癌死</w:t>
      </w:r>
      <w:r>
        <w:rPr>
          <w:rFonts w:ascii="宋体" w:hAnsi="宋体" w:eastAsia="宋体" w:cs="宋体"/>
          <w:spacing w:val="-1"/>
          <w:sz w:val="21"/>
          <w:szCs w:val="21"/>
        </w:rPr>
        <w:t>亡5人，全人口中该年</w:t>
      </w:r>
      <w:r>
        <w:rPr>
          <w:rFonts w:ascii="宋体" w:hAnsi="宋体" w:eastAsia="宋体" w:cs="宋体"/>
          <w:sz w:val="21"/>
          <w:szCs w:val="21"/>
        </w:rPr>
        <w:t xml:space="preserve"> </w:t>
      </w:r>
      <w:r>
        <w:rPr>
          <w:rFonts w:ascii="宋体" w:hAnsi="宋体" w:eastAsia="宋体" w:cs="宋体"/>
          <w:spacing w:val="2"/>
          <w:sz w:val="21"/>
          <w:szCs w:val="21"/>
        </w:rPr>
        <w:t>50～60岁组肺癌死亡占全死因死亡的比例为2.2%,则</w:t>
      </w:r>
    </w:p>
    <w:p w14:paraId="65DDAB15">
      <w:pPr>
        <w:spacing w:before="146" w:line="500" w:lineRule="exact"/>
        <w:ind w:firstLine="3759"/>
      </w:pPr>
      <w:r>
        <w:rPr>
          <w:position w:val="-10"/>
        </w:rPr>
        <w:drawing>
          <wp:inline distT="0" distB="0" distL="0" distR="0">
            <wp:extent cx="1720215" cy="317500"/>
            <wp:effectExtent l="0" t="0" r="0" b="0"/>
            <wp:docPr id="212" name="IM 212"/>
            <wp:cNvGraphicFramePr/>
            <a:graphic xmlns:a="http://schemas.openxmlformats.org/drawingml/2006/main">
              <a:graphicData uri="http://schemas.openxmlformats.org/drawingml/2006/picture">
                <pic:pic xmlns:pic="http://schemas.openxmlformats.org/drawingml/2006/picture">
                  <pic:nvPicPr>
                    <pic:cNvPr id="212" name="IM 212"/>
                    <pic:cNvPicPr/>
                  </pic:nvPicPr>
                  <pic:blipFill>
                    <a:blip r:embed="rId482"/>
                    <a:stretch>
                      <a:fillRect/>
                    </a:stretch>
                  </pic:blipFill>
                  <pic:spPr>
                    <a:xfrm>
                      <a:off x="0" y="0"/>
                      <a:ext cx="1720841" cy="317537"/>
                    </a:xfrm>
                    <a:prstGeom prst="rect">
                      <a:avLst/>
                    </a:prstGeom>
                  </pic:spPr>
                </pic:pic>
              </a:graphicData>
            </a:graphic>
          </wp:inline>
        </w:drawing>
      </w:r>
    </w:p>
    <w:p w14:paraId="500ED1D2">
      <w:pPr>
        <w:spacing w:before="269" w:line="219" w:lineRule="auto"/>
        <w:ind w:left="1150"/>
        <w:rPr>
          <w:rFonts w:ascii="宋体" w:hAnsi="宋体" w:eastAsia="宋体" w:cs="宋体"/>
          <w:sz w:val="21"/>
          <w:szCs w:val="21"/>
        </w:rPr>
      </w:pPr>
      <w:r>
        <w:rPr>
          <w:rFonts w:ascii="宋体" w:hAnsi="宋体" w:eastAsia="宋体" w:cs="宋体"/>
          <w:spacing w:val="1"/>
          <w:sz w:val="21"/>
          <w:szCs w:val="21"/>
        </w:rPr>
        <w:t>即某厂50～60岁年龄组肺癌死亡的危险为一般人群的</w:t>
      </w:r>
      <w:r>
        <w:rPr>
          <w:rFonts w:ascii="宋体" w:hAnsi="宋体" w:eastAsia="宋体" w:cs="宋体"/>
          <w:sz w:val="21"/>
          <w:szCs w:val="21"/>
        </w:rPr>
        <w:t>2.27倍。</w:t>
      </w:r>
    </w:p>
    <w:p w14:paraId="34E9FEC3">
      <w:pPr>
        <w:pStyle w:val="2"/>
        <w:spacing w:before="139" w:line="222" w:lineRule="auto"/>
        <w:ind w:left="1140"/>
        <w:rPr>
          <w:sz w:val="21"/>
          <w:szCs w:val="21"/>
        </w:rPr>
      </w:pPr>
      <w:r>
        <w:rPr>
          <w:spacing w:val="22"/>
          <w:sz w:val="21"/>
          <w:szCs w:val="21"/>
        </w:rPr>
        <w:t>(二)显著性检验</w:t>
      </w:r>
    </w:p>
    <w:p w14:paraId="7F25F671">
      <w:pPr>
        <w:spacing w:before="130" w:line="330" w:lineRule="auto"/>
        <w:ind w:left="719" w:right="72" w:firstLine="409"/>
        <w:jc w:val="both"/>
        <w:rPr>
          <w:rFonts w:ascii="宋体" w:hAnsi="宋体" w:eastAsia="宋体" w:cs="宋体"/>
          <w:sz w:val="21"/>
          <w:szCs w:val="21"/>
        </w:rPr>
      </w:pPr>
      <w:r>
        <w:rPr>
          <w:rFonts w:ascii="宋体" w:hAnsi="宋体" w:eastAsia="宋体" w:cs="宋体"/>
          <w:sz w:val="21"/>
          <w:szCs w:val="21"/>
        </w:rPr>
        <w:t>队列研究中推断暴露组与对照组间率有无差别时，需要进行统计学显著性检验。当研究样本</w:t>
      </w:r>
      <w:r>
        <w:rPr>
          <w:rFonts w:ascii="宋体" w:hAnsi="宋体" w:eastAsia="宋体" w:cs="宋体"/>
          <w:spacing w:val="18"/>
          <w:sz w:val="21"/>
          <w:szCs w:val="21"/>
        </w:rPr>
        <w:t xml:space="preserve"> </w:t>
      </w:r>
      <w:r>
        <w:rPr>
          <w:rFonts w:ascii="宋体" w:hAnsi="宋体" w:eastAsia="宋体" w:cs="宋体"/>
          <w:spacing w:val="1"/>
          <w:sz w:val="21"/>
          <w:szCs w:val="21"/>
        </w:rPr>
        <w:t>量较大，</w:t>
      </w:r>
      <w:r>
        <w:rPr>
          <w:rFonts w:ascii="Times New Roman" w:hAnsi="Times New Roman" w:eastAsia="Times New Roman" w:cs="Times New Roman"/>
          <w:spacing w:val="1"/>
          <w:sz w:val="21"/>
          <w:szCs w:val="21"/>
        </w:rPr>
        <w:t xml:space="preserve">p </w:t>
      </w:r>
      <w:r>
        <w:rPr>
          <w:rFonts w:ascii="宋体" w:hAnsi="宋体" w:eastAsia="宋体" w:cs="宋体"/>
          <w:spacing w:val="1"/>
          <w:sz w:val="21"/>
          <w:szCs w:val="21"/>
        </w:rPr>
        <w:t>和1</w:t>
      </w:r>
      <w:r>
        <w:rPr>
          <w:rFonts w:ascii="宋体" w:hAnsi="宋体" w:eastAsia="宋体" w:cs="宋体"/>
          <w:spacing w:val="-50"/>
          <w:sz w:val="21"/>
          <w:szCs w:val="21"/>
        </w:rPr>
        <w:t xml:space="preserve"> </w:t>
      </w:r>
      <w:r>
        <w:rPr>
          <w:rFonts w:ascii="宋体" w:hAnsi="宋体" w:eastAsia="宋体" w:cs="宋体"/>
          <w:spacing w:val="1"/>
          <w:sz w:val="21"/>
          <w:szCs w:val="21"/>
        </w:rPr>
        <w:t>-</w:t>
      </w:r>
      <w:r>
        <w:rPr>
          <w:rFonts w:ascii="Times New Roman" w:hAnsi="Times New Roman" w:eastAsia="Times New Roman" w:cs="Times New Roman"/>
          <w:spacing w:val="1"/>
          <w:sz w:val="21"/>
          <w:szCs w:val="21"/>
        </w:rPr>
        <w:t>p</w:t>
      </w:r>
      <w:r>
        <w:rPr>
          <w:rFonts w:ascii="宋体" w:hAnsi="宋体" w:eastAsia="宋体" w:cs="宋体"/>
          <w:spacing w:val="1"/>
          <w:sz w:val="21"/>
          <w:szCs w:val="21"/>
        </w:rPr>
        <w:t>都不太小，如</w:t>
      </w:r>
      <w:r>
        <w:rPr>
          <w:rFonts w:ascii="Times New Roman" w:hAnsi="Times New Roman" w:eastAsia="Times New Roman" w:cs="Times New Roman"/>
          <w:sz w:val="21"/>
          <w:szCs w:val="21"/>
        </w:rPr>
        <w:t>np</w:t>
      </w:r>
      <w:r>
        <w:rPr>
          <w:rFonts w:ascii="Times New Roman" w:hAnsi="Times New Roman" w:eastAsia="Times New Roman" w:cs="Times New Roman"/>
          <w:spacing w:val="1"/>
          <w:sz w:val="21"/>
          <w:szCs w:val="21"/>
        </w:rPr>
        <w:t xml:space="preserve"> </w:t>
      </w:r>
      <w:r>
        <w:rPr>
          <w:rFonts w:ascii="宋体" w:hAnsi="宋体" w:eastAsia="宋体" w:cs="宋体"/>
          <w:spacing w:val="1"/>
          <w:sz w:val="21"/>
          <w:szCs w:val="21"/>
        </w:rPr>
        <w:t>和</w:t>
      </w:r>
      <w:r>
        <w:rPr>
          <w:rFonts w:ascii="宋体" w:hAnsi="宋体" w:eastAsia="宋体" w:cs="宋体"/>
          <w:spacing w:val="-46"/>
          <w:sz w:val="21"/>
          <w:szCs w:val="21"/>
        </w:rPr>
        <w:t xml:space="preserve"> </w:t>
      </w:r>
      <w:r>
        <w:rPr>
          <w:rFonts w:ascii="Times New Roman" w:hAnsi="Times New Roman" w:eastAsia="Times New Roman" w:cs="Times New Roman"/>
          <w:spacing w:val="1"/>
          <w:sz w:val="21"/>
          <w:szCs w:val="21"/>
        </w:rPr>
        <w:t xml:space="preserve">n(1-p)    </w:t>
      </w:r>
      <w:r>
        <w:rPr>
          <w:rFonts w:ascii="宋体" w:hAnsi="宋体" w:eastAsia="宋体" w:cs="宋体"/>
          <w:spacing w:val="1"/>
          <w:sz w:val="21"/>
          <w:szCs w:val="21"/>
        </w:rPr>
        <w:t>均大于5</w:t>
      </w:r>
      <w:r>
        <w:rPr>
          <w:rFonts w:ascii="宋体" w:hAnsi="宋体" w:eastAsia="宋体" w:cs="宋体"/>
          <w:sz w:val="21"/>
          <w:szCs w:val="21"/>
        </w:rPr>
        <w:t xml:space="preserve">时，样本率的频数分布近似正态分布，此时 </w:t>
      </w:r>
      <w:r>
        <w:rPr>
          <w:rFonts w:ascii="宋体" w:hAnsi="宋体" w:eastAsia="宋体" w:cs="宋体"/>
          <w:spacing w:val="1"/>
          <w:sz w:val="21"/>
          <w:szCs w:val="21"/>
        </w:rPr>
        <w:t>可应用正态分布的原理来检验率的差异是否有统计学意义</w:t>
      </w:r>
      <w:r>
        <w:rPr>
          <w:rFonts w:ascii="宋体" w:hAnsi="宋体" w:eastAsia="宋体" w:cs="宋体"/>
          <w:sz w:val="21"/>
          <w:szCs w:val="21"/>
        </w:rPr>
        <w:t>，可以采用</w:t>
      </w:r>
      <w:r>
        <w:rPr>
          <w:rFonts w:ascii="Times New Roman" w:hAnsi="Times New Roman" w:eastAsia="Times New Roman" w:cs="Times New Roman"/>
          <w:sz w:val="21"/>
          <w:szCs w:val="21"/>
        </w:rPr>
        <w:t>u</w:t>
      </w:r>
      <w:r>
        <w:rPr>
          <w:rFonts w:ascii="Times New Roman" w:hAnsi="Times New Roman" w:eastAsia="Times New Roman" w:cs="Times New Roman"/>
          <w:spacing w:val="33"/>
          <w:w w:val="101"/>
          <w:sz w:val="21"/>
          <w:szCs w:val="21"/>
        </w:rPr>
        <w:t xml:space="preserve"> </w:t>
      </w:r>
      <w:r>
        <w:rPr>
          <w:rFonts w:ascii="宋体" w:hAnsi="宋体" w:eastAsia="宋体" w:cs="宋体"/>
          <w:sz w:val="21"/>
          <w:szCs w:val="21"/>
        </w:rPr>
        <w:t>检验或者四格表资料的</w:t>
      </w:r>
      <w:r>
        <w:rPr>
          <w:rFonts w:ascii="Times New Roman" w:hAnsi="Times New Roman" w:eastAsia="Times New Roman" w:cs="Times New Roman"/>
          <w:sz w:val="21"/>
          <w:szCs w:val="21"/>
        </w:rPr>
        <w:t xml:space="preserve">x²  </w:t>
      </w:r>
      <w:r>
        <w:rPr>
          <w:rFonts w:ascii="宋体" w:hAnsi="宋体" w:eastAsia="宋体" w:cs="宋体"/>
          <w:spacing w:val="-2"/>
          <w:sz w:val="21"/>
          <w:szCs w:val="21"/>
        </w:rPr>
        <w:t>检验。</w:t>
      </w:r>
    </w:p>
    <w:p w14:paraId="53A9747A">
      <w:pPr>
        <w:spacing w:before="17" w:line="334" w:lineRule="auto"/>
        <w:ind w:left="709" w:right="104" w:firstLine="419"/>
        <w:rPr>
          <w:rFonts w:ascii="宋体" w:hAnsi="宋体" w:eastAsia="宋体" w:cs="宋体"/>
          <w:sz w:val="21"/>
          <w:szCs w:val="21"/>
        </w:rPr>
      </w:pPr>
      <w:r>
        <w:rPr>
          <w:rFonts w:ascii="宋体" w:hAnsi="宋体" w:eastAsia="宋体" w:cs="宋体"/>
          <w:spacing w:val="-6"/>
          <w:sz w:val="21"/>
          <w:szCs w:val="21"/>
        </w:rPr>
        <w:t>如果率比较低，样本量较小，则可采用确切概率法、二项分布检验或</w:t>
      </w:r>
      <w:r>
        <w:rPr>
          <w:rFonts w:ascii="Times New Roman" w:hAnsi="Times New Roman" w:eastAsia="Times New Roman" w:cs="Times New Roman"/>
          <w:spacing w:val="-6"/>
          <w:sz w:val="21"/>
          <w:szCs w:val="21"/>
        </w:rPr>
        <w:t>Poisson</w:t>
      </w:r>
      <w:r>
        <w:rPr>
          <w:rFonts w:ascii="Times New Roman" w:hAnsi="Times New Roman" w:eastAsia="Times New Roman" w:cs="Times New Roman"/>
          <w:spacing w:val="-12"/>
          <w:sz w:val="21"/>
          <w:szCs w:val="21"/>
        </w:rPr>
        <w:t xml:space="preserve"> </w:t>
      </w:r>
      <w:r>
        <w:rPr>
          <w:rFonts w:ascii="宋体" w:hAnsi="宋体" w:eastAsia="宋体" w:cs="宋体"/>
          <w:spacing w:val="-6"/>
          <w:sz w:val="21"/>
          <w:szCs w:val="21"/>
        </w:rPr>
        <w:t>分布检验；对</w:t>
      </w:r>
      <w:r>
        <w:rPr>
          <w:rFonts w:ascii="Times New Roman" w:hAnsi="Times New Roman" w:eastAsia="Times New Roman" w:cs="Times New Roman"/>
          <w:spacing w:val="-7"/>
          <w:sz w:val="21"/>
          <w:szCs w:val="21"/>
        </w:rPr>
        <w:t>SMR</w:t>
      </w:r>
      <w:r>
        <w:rPr>
          <w:rFonts w:ascii="Times New Roman" w:hAnsi="Times New Roman" w:eastAsia="Times New Roman" w:cs="Times New Roman"/>
          <w:sz w:val="21"/>
          <w:szCs w:val="21"/>
        </w:rPr>
        <w:t xml:space="preserve"> </w:t>
      </w:r>
      <w:r>
        <w:rPr>
          <w:rFonts w:ascii="宋体" w:hAnsi="宋体" w:eastAsia="宋体" w:cs="宋体"/>
          <w:spacing w:val="-2"/>
          <w:sz w:val="21"/>
          <w:szCs w:val="21"/>
        </w:rPr>
        <w:t>或SPMR</w:t>
      </w:r>
      <w:r>
        <w:rPr>
          <w:rFonts w:ascii="宋体" w:hAnsi="宋体" w:eastAsia="宋体" w:cs="宋体"/>
          <w:spacing w:val="79"/>
          <w:sz w:val="21"/>
          <w:szCs w:val="21"/>
        </w:rPr>
        <w:t xml:space="preserve"> </w:t>
      </w:r>
      <w:r>
        <w:rPr>
          <w:rFonts w:ascii="宋体" w:hAnsi="宋体" w:eastAsia="宋体" w:cs="宋体"/>
          <w:spacing w:val="-2"/>
          <w:sz w:val="21"/>
          <w:szCs w:val="21"/>
        </w:rPr>
        <w:t>的检验，实际是对所得结果值偏离1的检验，可采用x²检验或计分检验。</w:t>
      </w:r>
    </w:p>
    <w:p w14:paraId="7B6F4D7F">
      <w:pPr>
        <w:spacing w:line="327" w:lineRule="auto"/>
        <w:ind w:left="719" w:firstLine="399"/>
        <w:rPr>
          <w:rFonts w:ascii="宋体" w:hAnsi="宋体" w:eastAsia="宋体" w:cs="宋体"/>
          <w:sz w:val="21"/>
          <w:szCs w:val="21"/>
        </w:rPr>
      </w:pPr>
      <w:r>
        <w:rPr>
          <w:rFonts w:ascii="宋体" w:hAnsi="宋体" w:eastAsia="宋体" w:cs="宋体"/>
          <w:spacing w:val="1"/>
          <w:sz w:val="21"/>
          <w:szCs w:val="21"/>
        </w:rPr>
        <w:t>对暴露组和对照组均值进行比较时，可采用两组均数比较的</w:t>
      </w:r>
      <w:r>
        <w:rPr>
          <w:rFonts w:ascii="Times New Roman" w:hAnsi="Times New Roman" w:eastAsia="Times New Roman" w:cs="Times New Roman"/>
          <w:spacing w:val="1"/>
          <w:sz w:val="21"/>
          <w:szCs w:val="21"/>
        </w:rPr>
        <w:t>t</w:t>
      </w:r>
      <w:r>
        <w:rPr>
          <w:rFonts w:ascii="Times New Roman" w:hAnsi="Times New Roman" w:eastAsia="Times New Roman" w:cs="Times New Roman"/>
          <w:spacing w:val="21"/>
          <w:w w:val="101"/>
          <w:sz w:val="21"/>
          <w:szCs w:val="21"/>
        </w:rPr>
        <w:t xml:space="preserve"> </w:t>
      </w:r>
      <w:r>
        <w:rPr>
          <w:rFonts w:ascii="宋体" w:hAnsi="宋体" w:eastAsia="宋体" w:cs="宋体"/>
          <w:spacing w:val="1"/>
          <w:sz w:val="21"/>
          <w:szCs w:val="21"/>
        </w:rPr>
        <w:t>检</w:t>
      </w:r>
      <w:r>
        <w:rPr>
          <w:rFonts w:ascii="宋体" w:hAnsi="宋体" w:eastAsia="宋体" w:cs="宋体"/>
          <w:sz w:val="21"/>
          <w:szCs w:val="21"/>
        </w:rPr>
        <w:t>验或多组均数比较的</w:t>
      </w:r>
      <w:r>
        <w:rPr>
          <w:rFonts w:ascii="Times New Roman" w:hAnsi="Times New Roman" w:eastAsia="Times New Roman" w:cs="Times New Roman"/>
          <w:sz w:val="21"/>
          <w:szCs w:val="21"/>
        </w:rPr>
        <w:t>F</w:t>
      </w:r>
      <w:r>
        <w:rPr>
          <w:rFonts w:ascii="Times New Roman" w:hAnsi="Times New Roman" w:eastAsia="Times New Roman" w:cs="Times New Roman"/>
          <w:spacing w:val="14"/>
          <w:sz w:val="21"/>
          <w:szCs w:val="21"/>
        </w:rPr>
        <w:t xml:space="preserve"> </w:t>
      </w:r>
      <w:r>
        <w:rPr>
          <w:rFonts w:ascii="宋体" w:hAnsi="宋体" w:eastAsia="宋体" w:cs="宋体"/>
          <w:sz w:val="21"/>
          <w:szCs w:val="21"/>
        </w:rPr>
        <w:t xml:space="preserve">检验， </w:t>
      </w:r>
      <w:r>
        <w:rPr>
          <w:rFonts w:ascii="宋体" w:hAnsi="宋体" w:eastAsia="宋体" w:cs="宋体"/>
          <w:spacing w:val="-4"/>
          <w:sz w:val="21"/>
          <w:szCs w:val="21"/>
        </w:rPr>
        <w:t>具体可参阅有关统计学书籍。</w:t>
      </w:r>
    </w:p>
    <w:p w14:paraId="077305D6">
      <w:pPr>
        <w:spacing w:line="327" w:lineRule="auto"/>
        <w:rPr>
          <w:rFonts w:ascii="宋体" w:hAnsi="宋体" w:eastAsia="宋体" w:cs="宋体"/>
          <w:sz w:val="21"/>
          <w:szCs w:val="21"/>
        </w:rPr>
        <w:sectPr>
          <w:footerReference r:id="rId88" w:type="default"/>
          <w:pgSz w:w="11900" w:h="16820"/>
          <w:pgMar w:top="400" w:right="1444" w:bottom="850" w:left="800" w:header="0" w:footer="577" w:gutter="0"/>
          <w:cols w:space="720" w:num="1"/>
        </w:sectPr>
      </w:pPr>
    </w:p>
    <w:p w14:paraId="50B02B27">
      <w:pPr>
        <w:spacing w:line="267" w:lineRule="auto"/>
        <w:rPr>
          <w:rFonts w:ascii="Arial"/>
          <w:sz w:val="21"/>
        </w:rPr>
      </w:pPr>
    </w:p>
    <w:p w14:paraId="02887651">
      <w:pPr>
        <w:pStyle w:val="2"/>
        <w:spacing w:before="68" w:line="222" w:lineRule="auto"/>
        <w:ind w:left="7780"/>
        <w:rPr>
          <w:sz w:val="21"/>
          <w:szCs w:val="21"/>
        </w:rPr>
      </w:pPr>
      <w:bookmarkStart w:id="108" w:name="bookmark437"/>
      <w:bookmarkEnd w:id="108"/>
      <w:r>
        <w:rPr>
          <w:spacing w:val="-18"/>
          <w:w w:val="99"/>
          <w:sz w:val="21"/>
          <w:szCs w:val="21"/>
        </w:rPr>
        <w:t>第四章</w:t>
      </w:r>
      <w:r>
        <w:rPr>
          <w:spacing w:val="6"/>
          <w:sz w:val="21"/>
          <w:szCs w:val="21"/>
        </w:rPr>
        <w:t xml:space="preserve"> </w:t>
      </w:r>
      <w:r>
        <w:rPr>
          <w:spacing w:val="-18"/>
          <w:w w:val="99"/>
          <w:sz w:val="21"/>
          <w:szCs w:val="21"/>
        </w:rPr>
        <w:t>队列研究</w:t>
      </w:r>
    </w:p>
    <w:p w14:paraId="6D369722">
      <w:pPr>
        <w:spacing w:line="248" w:lineRule="auto"/>
        <w:rPr>
          <w:rFonts w:ascii="Arial"/>
          <w:sz w:val="21"/>
        </w:rPr>
      </w:pPr>
    </w:p>
    <w:p w14:paraId="6E869168">
      <w:pPr>
        <w:spacing w:line="248" w:lineRule="auto"/>
        <w:rPr>
          <w:rFonts w:ascii="Arial"/>
          <w:sz w:val="21"/>
        </w:rPr>
      </w:pPr>
    </w:p>
    <w:p w14:paraId="7FC62CE9">
      <w:pPr>
        <w:spacing w:line="248" w:lineRule="auto"/>
        <w:rPr>
          <w:rFonts w:ascii="Arial"/>
          <w:sz w:val="21"/>
        </w:rPr>
      </w:pPr>
    </w:p>
    <w:p w14:paraId="3F13A211">
      <w:pPr>
        <w:pStyle w:val="2"/>
        <w:spacing w:before="68" w:line="221" w:lineRule="auto"/>
        <w:ind w:left="500"/>
        <w:outlineLvl w:val="2"/>
        <w:rPr>
          <w:sz w:val="21"/>
          <w:szCs w:val="21"/>
        </w:rPr>
      </w:pPr>
      <w:bookmarkStart w:id="109" w:name="bookmark67"/>
      <w:bookmarkEnd w:id="109"/>
      <w:r>
        <w:rPr>
          <w:spacing w:val="-13"/>
          <w:sz w:val="21"/>
          <w:szCs w:val="21"/>
        </w:rPr>
        <w:t>四</w:t>
      </w:r>
      <w:r>
        <w:rPr>
          <w:spacing w:val="45"/>
          <w:sz w:val="21"/>
          <w:szCs w:val="21"/>
        </w:rPr>
        <w:t xml:space="preserve"> </w:t>
      </w:r>
      <w:r>
        <w:rPr>
          <w:spacing w:val="-13"/>
          <w:sz w:val="21"/>
          <w:szCs w:val="21"/>
        </w:rPr>
        <w:t>、效 应 估 计</w:t>
      </w:r>
    </w:p>
    <w:p w14:paraId="2E1D134C">
      <w:pPr>
        <w:spacing w:before="266" w:line="327" w:lineRule="auto"/>
        <w:ind w:left="9" w:right="658" w:firstLine="470"/>
        <w:jc w:val="both"/>
        <w:rPr>
          <w:rFonts w:ascii="宋体" w:hAnsi="宋体" w:eastAsia="宋体" w:cs="宋体"/>
          <w:sz w:val="21"/>
          <w:szCs w:val="21"/>
        </w:rPr>
      </w:pPr>
      <w:r>
        <w:rPr>
          <w:rFonts w:ascii="宋体" w:hAnsi="宋体" w:eastAsia="宋体" w:cs="宋体"/>
          <w:spacing w:val="5"/>
          <w:sz w:val="21"/>
          <w:szCs w:val="21"/>
        </w:rPr>
        <w:t>队列研究的主要效应测量指标是相对危险度</w:t>
      </w:r>
      <w:r>
        <w:rPr>
          <w:rFonts w:ascii="Times New Roman" w:hAnsi="Times New Roman" w:eastAsia="Times New Roman" w:cs="Times New Roman"/>
          <w:spacing w:val="5"/>
          <w:sz w:val="21"/>
          <w:szCs w:val="21"/>
        </w:rPr>
        <w:t>(</w:t>
      </w:r>
      <w:r>
        <w:rPr>
          <w:rFonts w:ascii="Times New Roman" w:hAnsi="Times New Roman" w:eastAsia="Times New Roman" w:cs="Times New Roman"/>
          <w:sz w:val="21"/>
          <w:szCs w:val="21"/>
        </w:rPr>
        <w:t>relative</w:t>
      </w:r>
      <w:r>
        <w:rPr>
          <w:rFonts w:ascii="Times New Roman" w:hAnsi="Times New Roman" w:eastAsia="Times New Roman" w:cs="Times New Roman"/>
          <w:spacing w:val="5"/>
          <w:sz w:val="21"/>
          <w:szCs w:val="21"/>
        </w:rPr>
        <w:t xml:space="preserve">     </w:t>
      </w:r>
      <w:r>
        <w:rPr>
          <w:rFonts w:ascii="Times New Roman" w:hAnsi="Times New Roman" w:eastAsia="Times New Roman" w:cs="Times New Roman"/>
          <w:sz w:val="21"/>
          <w:szCs w:val="21"/>
        </w:rPr>
        <w:t>risk</w:t>
      </w:r>
      <w:r>
        <w:rPr>
          <w:rFonts w:ascii="Times New Roman" w:hAnsi="Times New Roman" w:eastAsia="Times New Roman" w:cs="Times New Roman"/>
          <w:spacing w:val="5"/>
          <w:sz w:val="21"/>
          <w:szCs w:val="21"/>
        </w:rPr>
        <w:t>,</w:t>
      </w:r>
      <w:r>
        <w:rPr>
          <w:rFonts w:ascii="Times New Roman" w:hAnsi="Times New Roman" w:eastAsia="Times New Roman" w:cs="Times New Roman"/>
          <w:sz w:val="21"/>
          <w:szCs w:val="21"/>
        </w:rPr>
        <w:t>RR</w:t>
      </w:r>
      <w:r>
        <w:rPr>
          <w:rFonts w:ascii="Times New Roman" w:hAnsi="Times New Roman" w:eastAsia="Times New Roman" w:cs="Times New Roman"/>
          <w:spacing w:val="5"/>
          <w:sz w:val="21"/>
          <w:szCs w:val="21"/>
        </w:rPr>
        <w:t>)</w:t>
      </w:r>
      <w:r>
        <w:rPr>
          <w:rFonts w:ascii="宋体" w:hAnsi="宋体" w:eastAsia="宋体" w:cs="宋体"/>
          <w:spacing w:val="4"/>
          <w:sz w:val="21"/>
          <w:szCs w:val="21"/>
        </w:rPr>
        <w:t>与归因危险度</w:t>
      </w:r>
      <w:r>
        <w:rPr>
          <w:rFonts w:ascii="Times New Roman" w:hAnsi="Times New Roman" w:eastAsia="Times New Roman" w:cs="Times New Roman"/>
          <w:spacing w:val="4"/>
          <w:sz w:val="21"/>
          <w:szCs w:val="21"/>
        </w:rPr>
        <w:t>(</w:t>
      </w:r>
      <w:r>
        <w:rPr>
          <w:rFonts w:ascii="Times New Roman" w:hAnsi="Times New Roman" w:eastAsia="Times New Roman" w:cs="Times New Roman"/>
          <w:sz w:val="21"/>
          <w:szCs w:val="21"/>
        </w:rPr>
        <w:t>attributable</w:t>
      </w:r>
      <w:r>
        <w:rPr>
          <w:rFonts w:ascii="Times New Roman" w:hAnsi="Times New Roman" w:eastAsia="Times New Roman" w:cs="Times New Roman"/>
          <w:spacing w:val="17"/>
          <w:sz w:val="21"/>
          <w:szCs w:val="21"/>
        </w:rPr>
        <w:t xml:space="preserve">   </w:t>
      </w:r>
      <w:r>
        <w:rPr>
          <w:rFonts w:ascii="Times New Roman" w:hAnsi="Times New Roman" w:eastAsia="Times New Roman" w:cs="Times New Roman"/>
          <w:sz w:val="21"/>
          <w:szCs w:val="21"/>
        </w:rPr>
        <w:t>risk</w:t>
      </w:r>
      <w:r>
        <w:rPr>
          <w:rFonts w:ascii="Times New Roman" w:hAnsi="Times New Roman" w:eastAsia="Times New Roman" w:cs="Times New Roman"/>
          <w:spacing w:val="4"/>
          <w:sz w:val="21"/>
          <w:szCs w:val="21"/>
        </w:rPr>
        <w:t>,</w:t>
      </w:r>
      <w:r>
        <w:rPr>
          <w:rFonts w:ascii="Times New Roman" w:hAnsi="Times New Roman" w:eastAsia="Times New Roman" w:cs="Times New Roman"/>
          <w:sz w:val="21"/>
          <w:szCs w:val="21"/>
        </w:rPr>
        <w:t xml:space="preserve"> AR</w:t>
      </w:r>
      <w:r>
        <w:rPr>
          <w:rFonts w:ascii="Times New Roman" w:hAnsi="Times New Roman" w:eastAsia="Times New Roman" w:cs="Times New Roman"/>
          <w:spacing w:val="6"/>
          <w:sz w:val="21"/>
          <w:szCs w:val="21"/>
        </w:rPr>
        <w:t xml:space="preserve">),  </w:t>
      </w:r>
      <w:r>
        <w:rPr>
          <w:rFonts w:ascii="宋体" w:hAnsi="宋体" w:eastAsia="宋体" w:cs="宋体"/>
          <w:spacing w:val="6"/>
          <w:sz w:val="21"/>
          <w:szCs w:val="21"/>
        </w:rPr>
        <w:t>即暴露组与对照组之间的危险度比和危险度差。队列研究可以直接计算出研究对象结局的发</w:t>
      </w:r>
      <w:r>
        <w:rPr>
          <w:rFonts w:ascii="宋体" w:hAnsi="宋体" w:eastAsia="宋体" w:cs="宋体"/>
          <w:spacing w:val="15"/>
          <w:sz w:val="21"/>
          <w:szCs w:val="21"/>
        </w:rPr>
        <w:t xml:space="preserve"> </w:t>
      </w:r>
      <w:r>
        <w:rPr>
          <w:rFonts w:ascii="宋体" w:hAnsi="宋体" w:eastAsia="宋体" w:cs="宋体"/>
          <w:spacing w:val="3"/>
          <w:sz w:val="21"/>
          <w:szCs w:val="21"/>
        </w:rPr>
        <w:t>生率、</w:t>
      </w:r>
      <w:r>
        <w:rPr>
          <w:rFonts w:ascii="Times New Roman" w:hAnsi="Times New Roman" w:eastAsia="Times New Roman" w:cs="Times New Roman"/>
          <w:sz w:val="21"/>
          <w:szCs w:val="21"/>
        </w:rPr>
        <w:t>RR</w:t>
      </w:r>
      <w:r>
        <w:rPr>
          <w:rFonts w:ascii="Times New Roman" w:hAnsi="Times New Roman" w:eastAsia="Times New Roman" w:cs="Times New Roman"/>
          <w:spacing w:val="19"/>
          <w:sz w:val="21"/>
          <w:szCs w:val="21"/>
        </w:rPr>
        <w:t xml:space="preserve"> </w:t>
      </w:r>
      <w:r>
        <w:rPr>
          <w:rFonts w:ascii="宋体" w:hAnsi="宋体" w:eastAsia="宋体" w:cs="宋体"/>
          <w:spacing w:val="3"/>
          <w:sz w:val="21"/>
          <w:szCs w:val="21"/>
        </w:rPr>
        <w:t>和</w:t>
      </w:r>
      <w:r>
        <w:rPr>
          <w:rFonts w:ascii="Times New Roman" w:hAnsi="Times New Roman" w:eastAsia="Times New Roman" w:cs="Times New Roman"/>
          <w:sz w:val="21"/>
          <w:szCs w:val="21"/>
        </w:rPr>
        <w:t>AR</w:t>
      </w:r>
      <w:r>
        <w:rPr>
          <w:rFonts w:ascii="Times New Roman" w:hAnsi="Times New Roman" w:eastAsia="Times New Roman" w:cs="Times New Roman"/>
          <w:spacing w:val="3"/>
          <w:sz w:val="21"/>
          <w:szCs w:val="21"/>
        </w:rPr>
        <w:t>,</w:t>
      </w:r>
      <w:r>
        <w:rPr>
          <w:rFonts w:ascii="Times New Roman" w:hAnsi="Times New Roman" w:eastAsia="Times New Roman" w:cs="Times New Roman"/>
          <w:spacing w:val="15"/>
          <w:sz w:val="21"/>
          <w:szCs w:val="21"/>
        </w:rPr>
        <w:t xml:space="preserve"> </w:t>
      </w:r>
      <w:r>
        <w:rPr>
          <w:rFonts w:ascii="宋体" w:hAnsi="宋体" w:eastAsia="宋体" w:cs="宋体"/>
          <w:spacing w:val="3"/>
          <w:sz w:val="21"/>
          <w:szCs w:val="21"/>
        </w:rPr>
        <w:t>从而直接评价暴露的效应。</w:t>
      </w:r>
    </w:p>
    <w:p w14:paraId="529DB392">
      <w:pPr>
        <w:pStyle w:val="2"/>
        <w:spacing w:before="33" w:line="329" w:lineRule="auto"/>
        <w:ind w:right="649" w:firstLine="480"/>
        <w:jc w:val="both"/>
        <w:rPr>
          <w:rFonts w:ascii="宋体" w:hAnsi="宋体" w:eastAsia="宋体" w:cs="宋体"/>
          <w:sz w:val="21"/>
          <w:szCs w:val="21"/>
        </w:rPr>
      </w:pPr>
      <w:r>
        <w:rPr>
          <w:rFonts w:ascii="宋体" w:hAnsi="宋体" w:eastAsia="宋体" w:cs="宋体"/>
          <w:spacing w:val="4"/>
          <w:sz w:val="21"/>
          <w:szCs w:val="21"/>
        </w:rPr>
        <w:t>1. 相对危险度</w:t>
      </w:r>
      <w:r>
        <w:rPr>
          <w:spacing w:val="4"/>
          <w:sz w:val="21"/>
          <w:szCs w:val="21"/>
        </w:rPr>
        <w:t>(</w:t>
      </w:r>
      <w:r>
        <w:rPr>
          <w:spacing w:val="-48"/>
          <w:sz w:val="21"/>
          <w:szCs w:val="21"/>
        </w:rPr>
        <w:t xml:space="preserve"> </w:t>
      </w:r>
      <w:r>
        <w:rPr>
          <w:rFonts w:ascii="宋体" w:hAnsi="宋体" w:eastAsia="宋体" w:cs="宋体"/>
          <w:sz w:val="21"/>
          <w:szCs w:val="21"/>
        </w:rPr>
        <w:t>RR</w:t>
      </w:r>
      <w:r>
        <w:rPr>
          <w:rFonts w:ascii="宋体" w:hAnsi="宋体" w:eastAsia="宋体" w:cs="宋体"/>
          <w:spacing w:val="4"/>
          <w:sz w:val="21"/>
          <w:szCs w:val="21"/>
        </w:rPr>
        <w:t>)   这里的相对危险度通常包括了危险度比(</w:t>
      </w:r>
      <w:r>
        <w:rPr>
          <w:rFonts w:ascii="宋体" w:hAnsi="宋体" w:eastAsia="宋体" w:cs="宋体"/>
          <w:sz w:val="21"/>
          <w:szCs w:val="21"/>
        </w:rPr>
        <w:t>risk</w:t>
      </w:r>
      <w:r>
        <w:rPr>
          <w:rFonts w:ascii="宋体" w:hAnsi="宋体" w:eastAsia="宋体" w:cs="宋体"/>
          <w:spacing w:val="4"/>
          <w:sz w:val="21"/>
          <w:szCs w:val="21"/>
        </w:rPr>
        <w:t xml:space="preserve">  </w:t>
      </w:r>
      <w:r>
        <w:rPr>
          <w:rFonts w:ascii="宋体" w:hAnsi="宋体" w:eastAsia="宋体" w:cs="宋体"/>
          <w:sz w:val="21"/>
          <w:szCs w:val="21"/>
        </w:rPr>
        <w:t>ratio</w:t>
      </w:r>
      <w:r>
        <w:rPr>
          <w:rFonts w:ascii="宋体" w:hAnsi="宋体" w:eastAsia="宋体" w:cs="宋体"/>
          <w:spacing w:val="4"/>
          <w:sz w:val="21"/>
          <w:szCs w:val="21"/>
        </w:rPr>
        <w:t>,</w:t>
      </w:r>
      <w:r>
        <w:rPr>
          <w:rFonts w:ascii="宋体" w:hAnsi="宋体" w:eastAsia="宋体" w:cs="宋体"/>
          <w:sz w:val="21"/>
          <w:szCs w:val="21"/>
        </w:rPr>
        <w:t>RR</w:t>
      </w:r>
      <w:r>
        <w:rPr>
          <w:rFonts w:ascii="宋体" w:hAnsi="宋体" w:eastAsia="宋体" w:cs="宋体"/>
          <w:spacing w:val="4"/>
          <w:sz w:val="21"/>
          <w:szCs w:val="21"/>
        </w:rPr>
        <w:t>)和率比(</w:t>
      </w:r>
      <w:r>
        <w:rPr>
          <w:rFonts w:ascii="宋体" w:hAnsi="宋体" w:eastAsia="宋体" w:cs="宋体"/>
          <w:sz w:val="21"/>
          <w:szCs w:val="21"/>
        </w:rPr>
        <w:t>rate ratio</w:t>
      </w:r>
      <w:r>
        <w:rPr>
          <w:rFonts w:ascii="宋体" w:hAnsi="宋体" w:eastAsia="宋体" w:cs="宋体"/>
          <w:spacing w:val="7"/>
          <w:sz w:val="21"/>
          <w:szCs w:val="21"/>
        </w:rPr>
        <w:t>,</w:t>
      </w:r>
      <w:r>
        <w:rPr>
          <w:rFonts w:ascii="宋体" w:hAnsi="宋体" w:eastAsia="宋体" w:cs="宋体"/>
          <w:sz w:val="21"/>
          <w:szCs w:val="21"/>
        </w:rPr>
        <w:t>RR</w:t>
      </w:r>
      <w:r>
        <w:rPr>
          <w:rFonts w:ascii="宋体" w:hAnsi="宋体" w:eastAsia="宋体" w:cs="宋体"/>
          <w:spacing w:val="7"/>
          <w:sz w:val="21"/>
          <w:szCs w:val="21"/>
        </w:rPr>
        <w:t>)。危险度比是暴露组的危险度(累积发病率)与对照组的危险度之比。率比是暴</w:t>
      </w:r>
      <w:r>
        <w:rPr>
          <w:rFonts w:ascii="宋体" w:hAnsi="宋体" w:eastAsia="宋体" w:cs="宋体"/>
          <w:spacing w:val="6"/>
          <w:sz w:val="21"/>
          <w:szCs w:val="21"/>
        </w:rPr>
        <w:t>露组与对</w:t>
      </w:r>
      <w:r>
        <w:rPr>
          <w:rFonts w:ascii="宋体" w:hAnsi="宋体" w:eastAsia="宋体" w:cs="宋体"/>
          <w:sz w:val="21"/>
          <w:szCs w:val="21"/>
        </w:rPr>
        <w:t xml:space="preserve"> </w:t>
      </w:r>
      <w:r>
        <w:rPr>
          <w:rFonts w:ascii="宋体" w:hAnsi="宋体" w:eastAsia="宋体" w:cs="宋体"/>
          <w:spacing w:val="9"/>
          <w:sz w:val="21"/>
          <w:szCs w:val="21"/>
        </w:rPr>
        <w:t>照组的发病密度之比。危险度比和率比都是反映暴露与结局关联强度的指标，有相同的表达方式</w:t>
      </w:r>
      <w:r>
        <w:rPr>
          <w:rFonts w:ascii="宋体" w:hAnsi="宋体" w:eastAsia="宋体" w:cs="宋体"/>
          <w:spacing w:val="18"/>
          <w:sz w:val="21"/>
          <w:szCs w:val="21"/>
        </w:rPr>
        <w:t xml:space="preserve"> </w:t>
      </w:r>
      <w:r>
        <w:rPr>
          <w:rFonts w:ascii="宋体" w:hAnsi="宋体" w:eastAsia="宋体" w:cs="宋体"/>
          <w:spacing w:val="4"/>
          <w:sz w:val="21"/>
          <w:szCs w:val="21"/>
        </w:rPr>
        <w:t>和流行病学意义，但同一研究的危险度比和率比的数值是不同的，因为累积发病率和发病密度</w:t>
      </w:r>
      <w:r>
        <w:rPr>
          <w:rFonts w:ascii="宋体" w:hAnsi="宋体" w:eastAsia="宋体" w:cs="宋体"/>
          <w:spacing w:val="3"/>
          <w:sz w:val="21"/>
          <w:szCs w:val="21"/>
        </w:rPr>
        <w:t>是不</w:t>
      </w:r>
      <w:r>
        <w:rPr>
          <w:rFonts w:ascii="宋体" w:hAnsi="宋体" w:eastAsia="宋体" w:cs="宋体"/>
          <w:sz w:val="21"/>
          <w:szCs w:val="21"/>
        </w:rPr>
        <w:t xml:space="preserve"> </w:t>
      </w:r>
      <w:r>
        <w:rPr>
          <w:rFonts w:ascii="宋体" w:hAnsi="宋体" w:eastAsia="宋体" w:cs="宋体"/>
          <w:spacing w:val="13"/>
          <w:sz w:val="21"/>
          <w:szCs w:val="21"/>
        </w:rPr>
        <w:t>相等的。</w:t>
      </w:r>
    </w:p>
    <w:p w14:paraId="05FA8EED">
      <w:pPr>
        <w:spacing w:line="101" w:lineRule="exact"/>
      </w:pPr>
    </w:p>
    <w:p w14:paraId="2FF2900E">
      <w:pPr>
        <w:spacing w:line="101" w:lineRule="exact"/>
        <w:sectPr>
          <w:footerReference r:id="rId89" w:type="default"/>
          <w:pgSz w:w="11900" w:h="16820"/>
          <w:pgMar w:top="400" w:right="732" w:bottom="880" w:left="1299" w:header="0" w:footer="607" w:gutter="0"/>
          <w:cols w:equalWidth="0" w:num="1">
            <w:col w:w="9868"/>
          </w:cols>
        </w:sectPr>
      </w:pPr>
    </w:p>
    <w:p w14:paraId="1B28C202">
      <w:pPr>
        <w:spacing w:line="265" w:lineRule="auto"/>
        <w:rPr>
          <w:rFonts w:ascii="Arial"/>
          <w:sz w:val="21"/>
        </w:rPr>
      </w:pPr>
    </w:p>
    <w:p w14:paraId="52016901">
      <w:pPr>
        <w:spacing w:line="266" w:lineRule="auto"/>
        <w:rPr>
          <w:rFonts w:ascii="Arial"/>
          <w:sz w:val="21"/>
        </w:rPr>
      </w:pPr>
    </w:p>
    <w:p w14:paraId="28FCBDCA">
      <w:pPr>
        <w:spacing w:line="266" w:lineRule="auto"/>
        <w:rPr>
          <w:rFonts w:ascii="Arial"/>
          <w:sz w:val="21"/>
        </w:rPr>
      </w:pPr>
    </w:p>
    <w:p w14:paraId="62689E36">
      <w:pPr>
        <w:spacing w:before="69" w:line="219" w:lineRule="auto"/>
        <w:jc w:val="right"/>
        <w:rPr>
          <w:rFonts w:ascii="宋体" w:hAnsi="宋体" w:eastAsia="宋体" w:cs="宋体"/>
          <w:sz w:val="21"/>
          <w:szCs w:val="21"/>
        </w:rPr>
      </w:pPr>
      <w:r>
        <w:rPr>
          <w:rFonts w:ascii="宋体" w:hAnsi="宋体" w:eastAsia="宋体" w:cs="宋体"/>
          <w:spacing w:val="-1"/>
          <w:sz w:val="21"/>
          <w:szCs w:val="21"/>
        </w:rPr>
        <w:t>式中，</w:t>
      </w:r>
      <w:r>
        <w:rPr>
          <w:rFonts w:ascii="Times New Roman" w:hAnsi="Times New Roman" w:eastAsia="Times New Roman" w:cs="Times New Roman"/>
          <w:spacing w:val="-1"/>
          <w:sz w:val="21"/>
          <w:szCs w:val="21"/>
        </w:rPr>
        <w:t>I.</w:t>
      </w:r>
      <w:r>
        <w:rPr>
          <w:rFonts w:ascii="Times New Roman" w:hAnsi="Times New Roman" w:eastAsia="Times New Roman" w:cs="Times New Roman"/>
          <w:spacing w:val="37"/>
          <w:w w:val="101"/>
          <w:sz w:val="21"/>
          <w:szCs w:val="21"/>
        </w:rPr>
        <w:t xml:space="preserve"> </w:t>
      </w:r>
      <w:r>
        <w:rPr>
          <w:rFonts w:ascii="宋体" w:hAnsi="宋体" w:eastAsia="宋体" w:cs="宋体"/>
          <w:spacing w:val="-1"/>
          <w:sz w:val="21"/>
          <w:szCs w:val="21"/>
        </w:rPr>
        <w:t>和</w:t>
      </w:r>
      <w:r>
        <w:rPr>
          <w:rFonts w:ascii="宋体" w:hAnsi="宋体" w:eastAsia="宋体" w:cs="宋体"/>
          <w:spacing w:val="-56"/>
          <w:sz w:val="21"/>
          <w:szCs w:val="21"/>
        </w:rPr>
        <w:t xml:space="preserve"> </w:t>
      </w:r>
      <w:r>
        <w:rPr>
          <w:rFonts w:ascii="Times New Roman" w:hAnsi="Times New Roman" w:eastAsia="Times New Roman" w:cs="Times New Roman"/>
          <w:spacing w:val="-1"/>
          <w:sz w:val="21"/>
          <w:szCs w:val="21"/>
        </w:rPr>
        <w:t xml:space="preserve">I₀ </w:t>
      </w:r>
      <w:r>
        <w:rPr>
          <w:rFonts w:ascii="宋体" w:hAnsi="宋体" w:eastAsia="宋体" w:cs="宋体"/>
          <w:spacing w:val="-1"/>
          <w:sz w:val="21"/>
          <w:szCs w:val="21"/>
        </w:rPr>
        <w:t>分别代表暴露组和对照组的率。</w:t>
      </w:r>
    </w:p>
    <w:p w14:paraId="15B5B741">
      <w:pPr>
        <w:spacing w:line="33" w:lineRule="auto"/>
        <w:rPr>
          <w:rFonts w:ascii="Arial"/>
          <w:sz w:val="2"/>
        </w:rPr>
      </w:pPr>
    </w:p>
    <w:p w14:paraId="31A4FD74">
      <w:pPr>
        <w:spacing w:line="14" w:lineRule="auto"/>
        <w:rPr>
          <w:rFonts w:ascii="Arial"/>
          <w:sz w:val="2"/>
        </w:rPr>
      </w:pPr>
      <w:r>
        <w:rPr>
          <w:rFonts w:ascii="Arial" w:hAnsi="Arial" w:eastAsia="Arial" w:cs="Arial"/>
          <w:sz w:val="2"/>
          <w:szCs w:val="2"/>
        </w:rPr>
        <w:br w:type="column"/>
      </w:r>
    </w:p>
    <w:p w14:paraId="54B5A8D9">
      <w:pPr>
        <w:spacing w:before="41" w:line="542" w:lineRule="exact"/>
      </w:pPr>
      <w:r>
        <w:rPr>
          <w:position w:val="-10"/>
        </w:rPr>
        <w:drawing>
          <wp:inline distT="0" distB="0" distL="0" distR="0">
            <wp:extent cx="457200" cy="344170"/>
            <wp:effectExtent l="0" t="0" r="0" b="0"/>
            <wp:docPr id="214" name="IM 214"/>
            <wp:cNvGraphicFramePr/>
            <a:graphic xmlns:a="http://schemas.openxmlformats.org/drawingml/2006/main">
              <a:graphicData uri="http://schemas.openxmlformats.org/drawingml/2006/picture">
                <pic:pic xmlns:pic="http://schemas.openxmlformats.org/drawingml/2006/picture">
                  <pic:nvPicPr>
                    <pic:cNvPr id="214" name="IM 214"/>
                    <pic:cNvPicPr/>
                  </pic:nvPicPr>
                  <pic:blipFill>
                    <a:blip r:embed="rId483"/>
                    <a:stretch>
                      <a:fillRect/>
                    </a:stretch>
                  </pic:blipFill>
                  <pic:spPr>
                    <a:xfrm>
                      <a:off x="0" y="0"/>
                      <a:ext cx="457811" cy="344479"/>
                    </a:xfrm>
                    <a:prstGeom prst="rect">
                      <a:avLst/>
                    </a:prstGeom>
                  </pic:spPr>
                </pic:pic>
              </a:graphicData>
            </a:graphic>
          </wp:inline>
        </w:drawing>
      </w:r>
    </w:p>
    <w:p w14:paraId="02A8A20B">
      <w:pPr>
        <w:spacing w:line="14" w:lineRule="auto"/>
        <w:rPr>
          <w:rFonts w:ascii="Arial"/>
          <w:sz w:val="2"/>
        </w:rPr>
      </w:pPr>
      <w:r>
        <w:rPr>
          <w:rFonts w:ascii="Arial" w:hAnsi="Arial" w:eastAsia="Arial" w:cs="Arial"/>
          <w:sz w:val="2"/>
          <w:szCs w:val="2"/>
        </w:rPr>
        <w:br w:type="column"/>
      </w:r>
    </w:p>
    <w:p w14:paraId="2D3FBFDF">
      <w:pPr>
        <w:spacing w:before="192" w:line="221" w:lineRule="auto"/>
        <w:rPr>
          <w:rFonts w:ascii="宋体" w:hAnsi="宋体" w:eastAsia="宋体" w:cs="宋体"/>
          <w:sz w:val="21"/>
          <w:szCs w:val="21"/>
        </w:rPr>
      </w:pPr>
      <w:r>
        <w:rPr>
          <w:rFonts w:ascii="宋体" w:hAnsi="宋体" w:eastAsia="宋体" w:cs="宋体"/>
          <w:spacing w:val="11"/>
          <w:sz w:val="21"/>
          <w:szCs w:val="21"/>
        </w:rPr>
        <w:t>式(4-6)</w:t>
      </w:r>
    </w:p>
    <w:p w14:paraId="073044F0">
      <w:pPr>
        <w:spacing w:line="221" w:lineRule="auto"/>
        <w:rPr>
          <w:rFonts w:ascii="宋体" w:hAnsi="宋体" w:eastAsia="宋体" w:cs="宋体"/>
          <w:sz w:val="21"/>
          <w:szCs w:val="21"/>
        </w:rPr>
        <w:sectPr>
          <w:type w:val="continuous"/>
          <w:pgSz w:w="11900" w:h="16820"/>
          <w:pgMar w:top="400" w:right="732" w:bottom="880" w:left="1299" w:header="0" w:footer="607" w:gutter="0"/>
          <w:cols w:equalWidth="0" w:num="3">
            <w:col w:w="4216" w:space="54"/>
            <w:col w:w="4091" w:space="100"/>
            <w:col w:w="1408"/>
          </w:cols>
        </w:sectPr>
      </w:pPr>
    </w:p>
    <w:p w14:paraId="7AF76D16">
      <w:pPr>
        <w:spacing w:before="83" w:line="331" w:lineRule="auto"/>
        <w:ind w:right="647" w:firstLine="460"/>
        <w:jc w:val="both"/>
        <w:rPr>
          <w:rFonts w:ascii="宋体" w:hAnsi="宋体" w:eastAsia="宋体" w:cs="宋体"/>
          <w:sz w:val="21"/>
          <w:szCs w:val="21"/>
        </w:rPr>
      </w:pPr>
      <w:r>
        <w:rPr>
          <w:rFonts w:ascii="宋体" w:hAnsi="宋体" w:eastAsia="宋体" w:cs="宋体"/>
          <w:spacing w:val="9"/>
          <w:sz w:val="21"/>
          <w:szCs w:val="21"/>
        </w:rPr>
        <w:t>相对危险度</w:t>
      </w:r>
      <w:r>
        <w:rPr>
          <w:rFonts w:ascii="Times New Roman" w:hAnsi="Times New Roman" w:eastAsia="Times New Roman" w:cs="Times New Roman"/>
          <w:spacing w:val="9"/>
          <w:sz w:val="21"/>
          <w:szCs w:val="21"/>
        </w:rPr>
        <w:t>(</w:t>
      </w:r>
      <w:r>
        <w:rPr>
          <w:rFonts w:ascii="Times New Roman" w:hAnsi="Times New Roman" w:eastAsia="Times New Roman" w:cs="Times New Roman"/>
          <w:sz w:val="21"/>
          <w:szCs w:val="21"/>
        </w:rPr>
        <w:t>RR</w:t>
      </w:r>
      <w:r>
        <w:rPr>
          <w:rFonts w:ascii="Times New Roman" w:hAnsi="Times New Roman" w:eastAsia="Times New Roman" w:cs="Times New Roman"/>
          <w:spacing w:val="9"/>
          <w:sz w:val="21"/>
          <w:szCs w:val="21"/>
        </w:rPr>
        <w:t>)</w:t>
      </w:r>
      <w:r>
        <w:rPr>
          <w:rFonts w:ascii="Times New Roman" w:hAnsi="Times New Roman" w:eastAsia="Times New Roman" w:cs="Times New Roman"/>
          <w:sz w:val="21"/>
          <w:szCs w:val="21"/>
        </w:rPr>
        <w:t xml:space="preserve">   </w:t>
      </w:r>
      <w:r>
        <w:rPr>
          <w:rFonts w:ascii="宋体" w:hAnsi="宋体" w:eastAsia="宋体" w:cs="宋体"/>
          <w:spacing w:val="9"/>
          <w:sz w:val="21"/>
          <w:szCs w:val="21"/>
        </w:rPr>
        <w:t>表明暴露组发病或死亡的风险是对照组的多少倍。</w:t>
      </w:r>
      <w:r>
        <w:rPr>
          <w:rFonts w:ascii="宋体" w:hAnsi="宋体" w:eastAsia="宋体" w:cs="宋体"/>
          <w:spacing w:val="-33"/>
          <w:sz w:val="21"/>
          <w:szCs w:val="21"/>
        </w:rPr>
        <w:t xml:space="preserve"> </w:t>
      </w:r>
      <w:r>
        <w:rPr>
          <w:rFonts w:ascii="Times New Roman" w:hAnsi="Times New Roman" w:eastAsia="Times New Roman" w:cs="Times New Roman"/>
          <w:sz w:val="21"/>
          <w:szCs w:val="21"/>
        </w:rPr>
        <w:t>RR</w:t>
      </w:r>
      <w:r>
        <w:rPr>
          <w:rFonts w:ascii="Times New Roman" w:hAnsi="Times New Roman" w:eastAsia="Times New Roman" w:cs="Times New Roman"/>
          <w:spacing w:val="9"/>
          <w:sz w:val="21"/>
          <w:szCs w:val="21"/>
        </w:rPr>
        <w:t xml:space="preserve">=1  </w:t>
      </w:r>
      <w:r>
        <w:rPr>
          <w:rFonts w:ascii="宋体" w:hAnsi="宋体" w:eastAsia="宋体" w:cs="宋体"/>
          <w:spacing w:val="9"/>
          <w:sz w:val="21"/>
          <w:szCs w:val="21"/>
        </w:rPr>
        <w:t>表示两组发病率</w:t>
      </w:r>
      <w:r>
        <w:rPr>
          <w:rFonts w:ascii="宋体" w:hAnsi="宋体" w:eastAsia="宋体" w:cs="宋体"/>
          <w:sz w:val="21"/>
          <w:szCs w:val="21"/>
        </w:rPr>
        <w:t xml:space="preserve"> </w:t>
      </w:r>
      <w:r>
        <w:rPr>
          <w:rFonts w:ascii="宋体" w:hAnsi="宋体" w:eastAsia="宋体" w:cs="宋体"/>
          <w:spacing w:val="4"/>
          <w:sz w:val="21"/>
          <w:szCs w:val="21"/>
        </w:rPr>
        <w:t>(或死亡率)没有差别，暴露因素与疾病无</w:t>
      </w:r>
      <w:r>
        <w:rPr>
          <w:rFonts w:ascii="宋体" w:hAnsi="宋体" w:eastAsia="宋体" w:cs="宋体"/>
          <w:spacing w:val="3"/>
          <w:sz w:val="21"/>
          <w:szCs w:val="21"/>
        </w:rPr>
        <w:t>关；</w:t>
      </w:r>
      <w:r>
        <w:rPr>
          <w:rFonts w:ascii="Times New Roman" w:hAnsi="Times New Roman" w:eastAsia="Times New Roman" w:cs="Times New Roman"/>
          <w:sz w:val="21"/>
          <w:szCs w:val="21"/>
        </w:rPr>
        <w:t>RR</w:t>
      </w:r>
      <w:r>
        <w:rPr>
          <w:rFonts w:ascii="Times New Roman" w:hAnsi="Times New Roman" w:eastAsia="Times New Roman" w:cs="Times New Roman"/>
          <w:spacing w:val="3"/>
          <w:sz w:val="21"/>
          <w:szCs w:val="21"/>
        </w:rPr>
        <w:t xml:space="preserve">&gt;1   </w:t>
      </w:r>
      <w:r>
        <w:rPr>
          <w:rFonts w:ascii="宋体" w:hAnsi="宋体" w:eastAsia="宋体" w:cs="宋体"/>
          <w:spacing w:val="3"/>
          <w:sz w:val="21"/>
          <w:szCs w:val="21"/>
        </w:rPr>
        <w:t>表示暴露组发病率或死亡率高于对照组，暴露</w:t>
      </w:r>
      <w:r>
        <w:rPr>
          <w:rFonts w:ascii="宋体" w:hAnsi="宋体" w:eastAsia="宋体" w:cs="宋体"/>
          <w:sz w:val="21"/>
          <w:szCs w:val="21"/>
        </w:rPr>
        <w:t xml:space="preserve"> </w:t>
      </w:r>
      <w:r>
        <w:rPr>
          <w:rFonts w:ascii="宋体" w:hAnsi="宋体" w:eastAsia="宋体" w:cs="宋体"/>
          <w:spacing w:val="4"/>
          <w:sz w:val="21"/>
          <w:szCs w:val="21"/>
        </w:rPr>
        <w:t>是疾病的危险因素；</w:t>
      </w:r>
      <w:r>
        <w:rPr>
          <w:rFonts w:ascii="宋体" w:hAnsi="宋体" w:eastAsia="宋体" w:cs="宋体"/>
          <w:sz w:val="21"/>
          <w:szCs w:val="21"/>
        </w:rPr>
        <w:t>RR</w:t>
      </w:r>
      <w:r>
        <w:rPr>
          <w:rFonts w:ascii="宋体" w:hAnsi="宋体" w:eastAsia="宋体" w:cs="宋体"/>
          <w:spacing w:val="4"/>
          <w:sz w:val="21"/>
          <w:szCs w:val="21"/>
        </w:rPr>
        <w:t>&lt;1  表示暴露组的发病率或死亡率低于对照组，暴露可减少疾病发生或死亡</w:t>
      </w:r>
      <w:r>
        <w:rPr>
          <w:rFonts w:ascii="宋体" w:hAnsi="宋体" w:eastAsia="宋体" w:cs="宋体"/>
          <w:spacing w:val="12"/>
          <w:sz w:val="21"/>
          <w:szCs w:val="21"/>
        </w:rPr>
        <w:t xml:space="preserve"> </w:t>
      </w:r>
      <w:r>
        <w:rPr>
          <w:rFonts w:ascii="宋体" w:hAnsi="宋体" w:eastAsia="宋体" w:cs="宋体"/>
          <w:spacing w:val="4"/>
          <w:sz w:val="21"/>
          <w:szCs w:val="21"/>
        </w:rPr>
        <w:t>的风险，暴露是疾病的保护因素。</w:t>
      </w:r>
      <w:r>
        <w:rPr>
          <w:rFonts w:ascii="宋体" w:hAnsi="宋体" w:eastAsia="宋体" w:cs="宋体"/>
          <w:spacing w:val="-17"/>
          <w:sz w:val="21"/>
          <w:szCs w:val="21"/>
        </w:rPr>
        <w:t xml:space="preserve"> </w:t>
      </w:r>
      <w:r>
        <w:rPr>
          <w:rFonts w:ascii="Times New Roman" w:hAnsi="Times New Roman" w:eastAsia="Times New Roman" w:cs="Times New Roman"/>
          <w:sz w:val="21"/>
          <w:szCs w:val="21"/>
        </w:rPr>
        <w:t>RR</w:t>
      </w:r>
      <w:r>
        <w:rPr>
          <w:rFonts w:ascii="Times New Roman" w:hAnsi="Times New Roman" w:eastAsia="Times New Roman" w:cs="Times New Roman"/>
          <w:spacing w:val="19"/>
          <w:w w:val="101"/>
          <w:sz w:val="21"/>
          <w:szCs w:val="21"/>
        </w:rPr>
        <w:t xml:space="preserve"> </w:t>
      </w:r>
      <w:r>
        <w:rPr>
          <w:rFonts w:ascii="宋体" w:hAnsi="宋体" w:eastAsia="宋体" w:cs="宋体"/>
          <w:spacing w:val="4"/>
          <w:sz w:val="21"/>
          <w:szCs w:val="21"/>
        </w:rPr>
        <w:t>值越远离1,表明暴露的效应越大，暴露与结局关联的强度越</w:t>
      </w:r>
      <w:r>
        <w:rPr>
          <w:rFonts w:ascii="宋体" w:hAnsi="宋体" w:eastAsia="宋体" w:cs="宋体"/>
          <w:sz w:val="21"/>
          <w:szCs w:val="21"/>
        </w:rPr>
        <w:t xml:space="preserve"> </w:t>
      </w:r>
      <w:r>
        <w:rPr>
          <w:rFonts w:ascii="宋体" w:hAnsi="宋体" w:eastAsia="宋体" w:cs="宋体"/>
          <w:spacing w:val="8"/>
          <w:sz w:val="21"/>
          <w:szCs w:val="21"/>
        </w:rPr>
        <w:t>大。表4-3列出了一个常用的判断关联强度的标准。</w:t>
      </w:r>
    </w:p>
    <w:p w14:paraId="1DE3AE6B">
      <w:pPr>
        <w:spacing w:before="141" w:line="220" w:lineRule="auto"/>
        <w:ind w:left="3382"/>
        <w:rPr>
          <w:rFonts w:ascii="宋体" w:hAnsi="宋体" w:eastAsia="宋体" w:cs="宋体"/>
          <w:sz w:val="20"/>
          <w:szCs w:val="20"/>
        </w:rPr>
      </w:pPr>
      <w:r>
        <w:rPr>
          <w:rFonts w:ascii="宋体" w:hAnsi="宋体" w:eastAsia="宋体" w:cs="宋体"/>
          <w:b/>
          <w:bCs/>
          <w:spacing w:val="-3"/>
          <w:sz w:val="20"/>
          <w:szCs w:val="20"/>
        </w:rPr>
        <w:t>表4-3相对危险度与关联的强度</w:t>
      </w:r>
    </w:p>
    <w:p w14:paraId="28812B45">
      <w:pPr>
        <w:spacing w:line="20" w:lineRule="exact"/>
      </w:pPr>
    </w:p>
    <w:tbl>
      <w:tblPr>
        <w:tblStyle w:val="5"/>
        <w:tblW w:w="9150" w:type="dxa"/>
        <w:tblInd w:w="16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0" w:type="dxa"/>
          <w:left w:w="0" w:type="dxa"/>
          <w:bottom w:w="0" w:type="dxa"/>
          <w:right w:w="0" w:type="dxa"/>
        </w:tblCellMar>
      </w:tblPr>
      <w:tblGrid>
        <w:gridCol w:w="2126"/>
        <w:gridCol w:w="1614"/>
        <w:gridCol w:w="2160"/>
        <w:gridCol w:w="3250"/>
      </w:tblGrid>
      <w:tr w14:paraId="512FD0E9">
        <w:trPr>
          <w:trHeight w:val="384" w:hRule="atLeast"/>
        </w:trPr>
        <w:tc>
          <w:tcPr>
            <w:tcW w:w="2126" w:type="dxa"/>
            <w:tcBorders>
              <w:top w:val="single" w:color="000000" w:sz="4" w:space="0"/>
              <w:bottom w:val="single" w:color="000000" w:sz="4" w:space="0"/>
            </w:tcBorders>
            <w:shd w:val="clear" w:color="auto" w:fill="AAAFA6"/>
            <w:vAlign w:val="top"/>
          </w:tcPr>
          <w:p w14:paraId="36588F5D">
            <w:pPr>
              <w:pStyle w:val="6"/>
              <w:spacing w:before="145" w:line="182" w:lineRule="auto"/>
              <w:ind w:left="1770"/>
            </w:pPr>
            <w:r>
              <w:rPr>
                <w:spacing w:val="-2"/>
              </w:rPr>
              <w:t>RR</w:t>
            </w:r>
          </w:p>
        </w:tc>
        <w:tc>
          <w:tcPr>
            <w:tcW w:w="1614" w:type="dxa"/>
            <w:tcBorders>
              <w:top w:val="single" w:color="000000" w:sz="4" w:space="0"/>
              <w:bottom w:val="single" w:color="000000" w:sz="4" w:space="0"/>
            </w:tcBorders>
            <w:shd w:val="clear" w:color="auto" w:fill="AAAFA6"/>
            <w:vAlign w:val="top"/>
          </w:tcPr>
          <w:p w14:paraId="76AA8136">
            <w:pPr>
              <w:rPr>
                <w:rFonts w:ascii="Arial"/>
                <w:sz w:val="21"/>
              </w:rPr>
            </w:pPr>
          </w:p>
        </w:tc>
        <w:tc>
          <w:tcPr>
            <w:tcW w:w="2160" w:type="dxa"/>
            <w:tcBorders>
              <w:top w:val="single" w:color="000000" w:sz="4" w:space="0"/>
              <w:bottom w:val="single" w:color="000000" w:sz="4" w:space="0"/>
            </w:tcBorders>
            <w:shd w:val="clear" w:color="auto" w:fill="A7ACA0"/>
            <w:vAlign w:val="top"/>
          </w:tcPr>
          <w:p w14:paraId="2E5910A0">
            <w:pPr>
              <w:rPr>
                <w:rFonts w:ascii="Arial"/>
                <w:sz w:val="21"/>
              </w:rPr>
            </w:pPr>
          </w:p>
        </w:tc>
        <w:tc>
          <w:tcPr>
            <w:tcW w:w="3250" w:type="dxa"/>
            <w:tcBorders>
              <w:top w:val="single" w:color="000000" w:sz="4" w:space="0"/>
              <w:bottom w:val="single" w:color="000000" w:sz="4" w:space="0"/>
            </w:tcBorders>
            <w:shd w:val="clear" w:color="auto" w:fill="A4A79A"/>
            <w:vAlign w:val="top"/>
          </w:tcPr>
          <w:p w14:paraId="6650A860">
            <w:pPr>
              <w:pStyle w:val="6"/>
              <w:spacing w:before="93" w:line="220" w:lineRule="auto"/>
              <w:ind w:left="1120"/>
            </w:pPr>
            <w:r>
              <w:rPr>
                <w:spacing w:val="2"/>
              </w:rPr>
              <w:t>关联的强度</w:t>
            </w:r>
          </w:p>
        </w:tc>
      </w:tr>
      <w:tr w14:paraId="520E8813">
        <w:trPr>
          <w:trHeight w:val="398" w:hRule="atLeast"/>
        </w:trPr>
        <w:tc>
          <w:tcPr>
            <w:tcW w:w="2126" w:type="dxa"/>
            <w:tcBorders>
              <w:top w:val="single" w:color="000000" w:sz="4" w:space="0"/>
              <w:bottom w:val="single" w:color="000000" w:sz="4" w:space="0"/>
            </w:tcBorders>
            <w:vAlign w:val="top"/>
          </w:tcPr>
          <w:p w14:paraId="4A6269CA">
            <w:pPr>
              <w:pStyle w:val="6"/>
              <w:spacing w:before="118" w:line="239" w:lineRule="auto"/>
              <w:jc w:val="right"/>
            </w:pPr>
            <w:r>
              <w:rPr>
                <w:spacing w:val="-8"/>
              </w:rPr>
              <w:t>0.9～1.</w:t>
            </w:r>
          </w:p>
        </w:tc>
        <w:tc>
          <w:tcPr>
            <w:tcW w:w="1614" w:type="dxa"/>
            <w:tcBorders>
              <w:top w:val="single" w:color="000000" w:sz="4" w:space="0"/>
              <w:bottom w:val="single" w:color="000000" w:sz="4" w:space="0"/>
            </w:tcBorders>
            <w:vAlign w:val="top"/>
          </w:tcPr>
          <w:p w14:paraId="4828C07F">
            <w:pPr>
              <w:pStyle w:val="6"/>
              <w:spacing w:before="118"/>
              <w:ind w:left="44"/>
            </w:pPr>
            <w:r>
              <w:t>0</w:t>
            </w:r>
          </w:p>
        </w:tc>
        <w:tc>
          <w:tcPr>
            <w:tcW w:w="2160" w:type="dxa"/>
            <w:tcBorders>
              <w:top w:val="single" w:color="000000" w:sz="4" w:space="0"/>
              <w:bottom w:val="single" w:color="000000" w:sz="4" w:space="0"/>
            </w:tcBorders>
            <w:vAlign w:val="top"/>
          </w:tcPr>
          <w:p w14:paraId="2D1843C2">
            <w:pPr>
              <w:pStyle w:val="6"/>
              <w:spacing w:before="118" w:line="239" w:lineRule="auto"/>
              <w:ind w:left="499"/>
            </w:pPr>
            <w:r>
              <w:rPr>
                <w:spacing w:val="15"/>
              </w:rPr>
              <w:t>1.0~</w:t>
            </w:r>
          </w:p>
        </w:tc>
        <w:tc>
          <w:tcPr>
            <w:tcW w:w="3250" w:type="dxa"/>
            <w:tcBorders>
              <w:top w:val="single" w:color="000000" w:sz="4" w:space="0"/>
              <w:bottom w:val="single" w:color="000000" w:sz="4" w:space="0"/>
            </w:tcBorders>
            <w:vAlign w:val="top"/>
          </w:tcPr>
          <w:p w14:paraId="02E9ECE1">
            <w:pPr>
              <w:pStyle w:val="6"/>
              <w:spacing w:before="99" w:line="220" w:lineRule="auto"/>
              <w:ind w:left="1520"/>
            </w:pPr>
            <w:r>
              <w:t>无</w:t>
            </w:r>
          </w:p>
        </w:tc>
      </w:tr>
      <w:tr w14:paraId="186CE451">
        <w:trPr>
          <w:trHeight w:val="388" w:hRule="atLeast"/>
        </w:trPr>
        <w:tc>
          <w:tcPr>
            <w:tcW w:w="2126" w:type="dxa"/>
            <w:tcBorders>
              <w:top w:val="single" w:color="000000" w:sz="4" w:space="0"/>
              <w:bottom w:val="single" w:color="000000" w:sz="4" w:space="0"/>
            </w:tcBorders>
            <w:shd w:val="clear" w:color="auto" w:fill="D4D4D3"/>
            <w:vAlign w:val="top"/>
          </w:tcPr>
          <w:p w14:paraId="62CDD5B9">
            <w:pPr>
              <w:pStyle w:val="6"/>
              <w:spacing w:before="121" w:line="237" w:lineRule="auto"/>
              <w:ind w:right="31"/>
              <w:jc w:val="right"/>
            </w:pPr>
            <w:r>
              <w:rPr>
                <w:spacing w:val="18"/>
              </w:rPr>
              <w:t>0.7~</w:t>
            </w:r>
          </w:p>
        </w:tc>
        <w:tc>
          <w:tcPr>
            <w:tcW w:w="1614" w:type="dxa"/>
            <w:tcBorders>
              <w:top w:val="single" w:color="000000" w:sz="4" w:space="0"/>
              <w:bottom w:val="single" w:color="000000" w:sz="4" w:space="0"/>
            </w:tcBorders>
            <w:shd w:val="clear" w:color="auto" w:fill="D4D4D3"/>
            <w:vAlign w:val="top"/>
          </w:tcPr>
          <w:p w14:paraId="19F80196">
            <w:pPr>
              <w:rPr>
                <w:rFonts w:ascii="Arial"/>
                <w:sz w:val="21"/>
              </w:rPr>
            </w:pPr>
          </w:p>
        </w:tc>
        <w:tc>
          <w:tcPr>
            <w:tcW w:w="2160" w:type="dxa"/>
            <w:tcBorders>
              <w:top w:val="single" w:color="000000" w:sz="4" w:space="0"/>
              <w:bottom w:val="single" w:color="000000" w:sz="4" w:space="0"/>
            </w:tcBorders>
            <w:shd w:val="clear" w:color="auto" w:fill="D5D4D1"/>
            <w:vAlign w:val="top"/>
          </w:tcPr>
          <w:p w14:paraId="76331A3E">
            <w:pPr>
              <w:pStyle w:val="6"/>
              <w:spacing w:before="121" w:line="237" w:lineRule="auto"/>
              <w:ind w:left="509"/>
            </w:pPr>
            <w:r>
              <w:rPr>
                <w:spacing w:val="15"/>
              </w:rPr>
              <w:t>1.2~</w:t>
            </w:r>
          </w:p>
        </w:tc>
        <w:tc>
          <w:tcPr>
            <w:tcW w:w="3250" w:type="dxa"/>
            <w:tcBorders>
              <w:top w:val="single" w:color="000000" w:sz="4" w:space="0"/>
              <w:bottom w:val="single" w:color="000000" w:sz="4" w:space="0"/>
            </w:tcBorders>
            <w:shd w:val="clear" w:color="auto" w:fill="D5D3CF"/>
            <w:vAlign w:val="top"/>
          </w:tcPr>
          <w:p w14:paraId="1F46B416">
            <w:pPr>
              <w:pStyle w:val="6"/>
              <w:spacing w:before="102" w:line="221" w:lineRule="auto"/>
              <w:ind w:left="1520"/>
            </w:pPr>
            <w:r>
              <w:t>弱</w:t>
            </w:r>
          </w:p>
        </w:tc>
      </w:tr>
      <w:tr w14:paraId="4B266AE7">
        <w:trPr>
          <w:trHeight w:val="399" w:hRule="atLeast"/>
        </w:trPr>
        <w:tc>
          <w:tcPr>
            <w:tcW w:w="2126" w:type="dxa"/>
            <w:tcBorders>
              <w:top w:val="single" w:color="000000" w:sz="4" w:space="0"/>
              <w:bottom w:val="single" w:color="000000" w:sz="4" w:space="0"/>
            </w:tcBorders>
            <w:vAlign w:val="top"/>
          </w:tcPr>
          <w:p w14:paraId="46EB7DCD">
            <w:pPr>
              <w:pStyle w:val="6"/>
              <w:spacing w:before="122" w:line="239" w:lineRule="auto"/>
              <w:ind w:right="31"/>
              <w:jc w:val="right"/>
            </w:pPr>
            <w:r>
              <w:rPr>
                <w:spacing w:val="18"/>
              </w:rPr>
              <w:t>0.4~</w:t>
            </w:r>
          </w:p>
        </w:tc>
        <w:tc>
          <w:tcPr>
            <w:tcW w:w="1614" w:type="dxa"/>
            <w:tcBorders>
              <w:top w:val="single" w:color="000000" w:sz="4" w:space="0"/>
              <w:bottom w:val="single" w:color="000000" w:sz="4" w:space="0"/>
            </w:tcBorders>
            <w:vAlign w:val="top"/>
          </w:tcPr>
          <w:p w14:paraId="373EB873">
            <w:pPr>
              <w:rPr>
                <w:rFonts w:ascii="Arial"/>
                <w:sz w:val="21"/>
              </w:rPr>
            </w:pPr>
          </w:p>
        </w:tc>
        <w:tc>
          <w:tcPr>
            <w:tcW w:w="2160" w:type="dxa"/>
            <w:tcBorders>
              <w:top w:val="single" w:color="000000" w:sz="4" w:space="0"/>
              <w:bottom w:val="single" w:color="000000" w:sz="4" w:space="0"/>
            </w:tcBorders>
            <w:vAlign w:val="top"/>
          </w:tcPr>
          <w:p w14:paraId="305F2A9A">
            <w:pPr>
              <w:pStyle w:val="6"/>
              <w:spacing w:before="122" w:line="239" w:lineRule="auto"/>
              <w:ind w:left="509"/>
            </w:pPr>
            <w:r>
              <w:rPr>
                <w:spacing w:val="15"/>
              </w:rPr>
              <w:t>1.5~</w:t>
            </w:r>
          </w:p>
        </w:tc>
        <w:tc>
          <w:tcPr>
            <w:tcW w:w="3250" w:type="dxa"/>
            <w:tcBorders>
              <w:top w:val="single" w:color="000000" w:sz="4" w:space="0"/>
              <w:bottom w:val="single" w:color="000000" w:sz="4" w:space="0"/>
            </w:tcBorders>
            <w:vAlign w:val="top"/>
          </w:tcPr>
          <w:p w14:paraId="28CD036E">
            <w:pPr>
              <w:pStyle w:val="6"/>
              <w:spacing w:before="103" w:line="220" w:lineRule="auto"/>
              <w:ind w:left="1520"/>
            </w:pPr>
            <w:r>
              <w:t>中</w:t>
            </w:r>
          </w:p>
        </w:tc>
      </w:tr>
      <w:tr w14:paraId="343C4ED1">
        <w:trPr>
          <w:trHeight w:val="388" w:hRule="atLeast"/>
        </w:trPr>
        <w:tc>
          <w:tcPr>
            <w:tcW w:w="2126" w:type="dxa"/>
            <w:tcBorders>
              <w:top w:val="single" w:color="000000" w:sz="4" w:space="0"/>
              <w:bottom w:val="single" w:color="000000" w:sz="4" w:space="0"/>
            </w:tcBorders>
            <w:shd w:val="clear" w:color="auto" w:fill="D7D8D7"/>
            <w:vAlign w:val="top"/>
          </w:tcPr>
          <w:p w14:paraId="15D1F2C6">
            <w:pPr>
              <w:pStyle w:val="6"/>
              <w:spacing w:before="124" w:line="234" w:lineRule="auto"/>
              <w:ind w:right="31"/>
              <w:jc w:val="right"/>
            </w:pPr>
            <w:r>
              <w:rPr>
                <w:spacing w:val="18"/>
              </w:rPr>
              <w:t>0.1~</w:t>
            </w:r>
          </w:p>
        </w:tc>
        <w:tc>
          <w:tcPr>
            <w:tcW w:w="1614" w:type="dxa"/>
            <w:tcBorders>
              <w:top w:val="single" w:color="000000" w:sz="4" w:space="0"/>
              <w:bottom w:val="single" w:color="000000" w:sz="4" w:space="0"/>
            </w:tcBorders>
            <w:shd w:val="clear" w:color="auto" w:fill="D7D8D7"/>
            <w:vAlign w:val="top"/>
          </w:tcPr>
          <w:p w14:paraId="7663C1D6">
            <w:pPr>
              <w:rPr>
                <w:rFonts w:ascii="Arial"/>
                <w:sz w:val="21"/>
              </w:rPr>
            </w:pPr>
          </w:p>
        </w:tc>
        <w:tc>
          <w:tcPr>
            <w:tcW w:w="2160" w:type="dxa"/>
            <w:tcBorders>
              <w:top w:val="single" w:color="000000" w:sz="4" w:space="0"/>
              <w:bottom w:val="single" w:color="000000" w:sz="4" w:space="0"/>
            </w:tcBorders>
            <w:shd w:val="clear" w:color="auto" w:fill="D4D4D0"/>
            <w:vAlign w:val="top"/>
          </w:tcPr>
          <w:p w14:paraId="2BCFD049">
            <w:pPr>
              <w:pStyle w:val="6"/>
              <w:spacing w:before="124" w:line="234" w:lineRule="auto"/>
              <w:ind w:left="479"/>
            </w:pPr>
            <w:r>
              <w:rPr>
                <w:spacing w:val="-2"/>
              </w:rPr>
              <w:t>3.0~</w:t>
            </w:r>
          </w:p>
        </w:tc>
        <w:tc>
          <w:tcPr>
            <w:tcW w:w="3250" w:type="dxa"/>
            <w:tcBorders>
              <w:top w:val="single" w:color="000000" w:sz="4" w:space="0"/>
              <w:bottom w:val="single" w:color="000000" w:sz="4" w:space="0"/>
            </w:tcBorders>
            <w:shd w:val="clear" w:color="auto" w:fill="D5D4CE"/>
            <w:vAlign w:val="top"/>
          </w:tcPr>
          <w:p w14:paraId="496C7DE9">
            <w:pPr>
              <w:pStyle w:val="6"/>
              <w:spacing w:before="107" w:line="222" w:lineRule="auto"/>
              <w:ind w:left="1520"/>
            </w:pPr>
            <w:r>
              <w:t>强</w:t>
            </w:r>
          </w:p>
        </w:tc>
      </w:tr>
      <w:tr w14:paraId="37E92CDD">
        <w:trPr>
          <w:trHeight w:val="513" w:hRule="atLeast"/>
        </w:trPr>
        <w:tc>
          <w:tcPr>
            <w:tcW w:w="2126" w:type="dxa"/>
            <w:tcBorders>
              <w:top w:val="single" w:color="000000" w:sz="4" w:space="0"/>
              <w:bottom w:val="single" w:color="000000" w:sz="4" w:space="0"/>
            </w:tcBorders>
            <w:vAlign w:val="top"/>
          </w:tcPr>
          <w:p w14:paraId="3FBB8D65">
            <w:pPr>
              <w:pStyle w:val="6"/>
              <w:spacing w:before="185" w:line="239" w:lineRule="auto"/>
              <w:ind w:left="1670"/>
            </w:pPr>
            <w:r>
              <w:rPr>
                <w:spacing w:val="-4"/>
              </w:rPr>
              <w:t>&lt;0.1</w:t>
            </w:r>
          </w:p>
        </w:tc>
        <w:tc>
          <w:tcPr>
            <w:tcW w:w="1614" w:type="dxa"/>
            <w:tcBorders>
              <w:top w:val="single" w:color="000000" w:sz="4" w:space="0"/>
              <w:bottom w:val="single" w:color="000000" w:sz="4" w:space="0"/>
            </w:tcBorders>
            <w:vAlign w:val="top"/>
          </w:tcPr>
          <w:p w14:paraId="6631F1E3">
            <w:pPr>
              <w:rPr>
                <w:rFonts w:ascii="Arial"/>
                <w:sz w:val="21"/>
              </w:rPr>
            </w:pPr>
          </w:p>
        </w:tc>
        <w:tc>
          <w:tcPr>
            <w:tcW w:w="2160" w:type="dxa"/>
            <w:tcBorders>
              <w:top w:val="single" w:color="000000" w:sz="4" w:space="0"/>
              <w:bottom w:val="single" w:color="000000" w:sz="4" w:space="0"/>
            </w:tcBorders>
            <w:vAlign w:val="top"/>
          </w:tcPr>
          <w:p w14:paraId="4F830251">
            <w:pPr>
              <w:pStyle w:val="6"/>
              <w:spacing w:before="185" w:line="239" w:lineRule="auto"/>
              <w:ind w:left="459"/>
            </w:pPr>
            <w:r>
              <w:rPr>
                <w:spacing w:val="12"/>
              </w:rPr>
              <w:t>10.0~</w:t>
            </w:r>
          </w:p>
        </w:tc>
        <w:tc>
          <w:tcPr>
            <w:tcW w:w="3250" w:type="dxa"/>
            <w:tcBorders>
              <w:top w:val="single" w:color="000000" w:sz="4" w:space="0"/>
              <w:bottom w:val="single" w:color="000000" w:sz="4" w:space="0"/>
            </w:tcBorders>
            <w:vAlign w:val="top"/>
          </w:tcPr>
          <w:p w14:paraId="51139D8E">
            <w:pPr>
              <w:pStyle w:val="6"/>
              <w:spacing w:before="166" w:line="220" w:lineRule="auto"/>
              <w:ind w:left="1420"/>
            </w:pPr>
            <w:r>
              <w:rPr>
                <w:spacing w:val="-3"/>
              </w:rPr>
              <w:t>很强</w:t>
            </w:r>
          </w:p>
        </w:tc>
      </w:tr>
    </w:tbl>
    <w:p w14:paraId="372CA968">
      <w:pPr>
        <w:spacing w:before="10" w:line="216" w:lineRule="auto"/>
        <w:ind w:left="8059"/>
        <w:rPr>
          <w:rFonts w:ascii="宋体" w:hAnsi="宋体" w:eastAsia="宋体" w:cs="宋体"/>
          <w:sz w:val="19"/>
          <w:szCs w:val="19"/>
        </w:rPr>
      </w:pPr>
      <w:r>
        <w:rPr>
          <w:rFonts w:ascii="宋体" w:hAnsi="宋体" w:eastAsia="宋体" w:cs="宋体"/>
          <w:spacing w:val="-3"/>
          <w:sz w:val="19"/>
          <w:szCs w:val="19"/>
        </w:rPr>
        <w:t>(Monson,1980)</w:t>
      </w:r>
    </w:p>
    <w:p w14:paraId="17D196FA">
      <w:pPr>
        <w:spacing w:before="299" w:line="323" w:lineRule="auto"/>
        <w:ind w:left="40" w:right="616" w:firstLine="429"/>
        <w:jc w:val="both"/>
        <w:rPr>
          <w:rFonts w:ascii="宋体" w:hAnsi="宋体" w:eastAsia="宋体" w:cs="宋体"/>
          <w:sz w:val="21"/>
          <w:szCs w:val="21"/>
        </w:rPr>
      </w:pPr>
      <w:r>
        <w:drawing>
          <wp:anchor distT="0" distB="0" distL="0" distR="0" simplePos="0" relativeHeight="251726848" behindDoc="0" locked="0" layoutInCell="1" allowOverlap="1">
            <wp:simplePos x="0" y="0"/>
            <wp:positionH relativeFrom="column">
              <wp:posOffset>2114550</wp:posOffset>
            </wp:positionH>
            <wp:positionV relativeFrom="paragraph">
              <wp:posOffset>972820</wp:posOffset>
            </wp:positionV>
            <wp:extent cx="1651000" cy="355600"/>
            <wp:effectExtent l="0" t="0" r="0" b="0"/>
            <wp:wrapNone/>
            <wp:docPr id="216" name="IM 216"/>
            <wp:cNvGraphicFramePr/>
            <a:graphic xmlns:a="http://schemas.openxmlformats.org/drawingml/2006/main">
              <a:graphicData uri="http://schemas.openxmlformats.org/drawingml/2006/picture">
                <pic:pic xmlns:pic="http://schemas.openxmlformats.org/drawingml/2006/picture">
                  <pic:nvPicPr>
                    <pic:cNvPr id="216" name="IM 216"/>
                    <pic:cNvPicPr/>
                  </pic:nvPicPr>
                  <pic:blipFill>
                    <a:blip r:embed="rId484"/>
                    <a:stretch>
                      <a:fillRect/>
                    </a:stretch>
                  </pic:blipFill>
                  <pic:spPr>
                    <a:xfrm>
                      <a:off x="0" y="0"/>
                      <a:ext cx="1650943" cy="355560"/>
                    </a:xfrm>
                    <a:prstGeom prst="rect">
                      <a:avLst/>
                    </a:prstGeom>
                  </pic:spPr>
                </pic:pic>
              </a:graphicData>
            </a:graphic>
          </wp:anchor>
        </w:drawing>
      </w:r>
      <w:r>
        <w:rPr>
          <w:rFonts w:ascii="宋体" w:hAnsi="宋体" w:eastAsia="宋体" w:cs="宋体"/>
          <w:spacing w:val="3"/>
          <w:sz w:val="21"/>
          <w:szCs w:val="21"/>
        </w:rPr>
        <w:t>式(4-6)算出的相对危险度是</w:t>
      </w:r>
      <w:r>
        <w:rPr>
          <w:rFonts w:ascii="Times New Roman" w:hAnsi="Times New Roman" w:eastAsia="Times New Roman" w:cs="Times New Roman"/>
          <w:sz w:val="21"/>
          <w:szCs w:val="21"/>
        </w:rPr>
        <w:t>RR</w:t>
      </w:r>
      <w:r>
        <w:rPr>
          <w:rFonts w:ascii="Times New Roman" w:hAnsi="Times New Roman" w:eastAsia="Times New Roman" w:cs="Times New Roman"/>
          <w:spacing w:val="19"/>
          <w:w w:val="101"/>
          <w:sz w:val="21"/>
          <w:szCs w:val="21"/>
        </w:rPr>
        <w:t xml:space="preserve"> </w:t>
      </w:r>
      <w:r>
        <w:rPr>
          <w:rFonts w:ascii="宋体" w:hAnsi="宋体" w:eastAsia="宋体" w:cs="宋体"/>
          <w:spacing w:val="3"/>
          <w:sz w:val="21"/>
          <w:szCs w:val="21"/>
        </w:rPr>
        <w:t>的一个点估计值，若要估计其总体范围</w:t>
      </w:r>
      <w:r>
        <w:rPr>
          <w:rFonts w:ascii="宋体" w:hAnsi="宋体" w:eastAsia="宋体" w:cs="宋体"/>
          <w:spacing w:val="2"/>
          <w:sz w:val="21"/>
          <w:szCs w:val="21"/>
        </w:rPr>
        <w:t>，需计算可信区间，通</w:t>
      </w:r>
      <w:r>
        <w:rPr>
          <w:rFonts w:ascii="宋体" w:hAnsi="宋体" w:eastAsia="宋体" w:cs="宋体"/>
          <w:sz w:val="21"/>
          <w:szCs w:val="21"/>
        </w:rPr>
        <w:t xml:space="preserve"> </w:t>
      </w:r>
      <w:r>
        <w:rPr>
          <w:rFonts w:ascii="宋体" w:hAnsi="宋体" w:eastAsia="宋体" w:cs="宋体"/>
          <w:spacing w:val="9"/>
          <w:sz w:val="21"/>
          <w:szCs w:val="21"/>
        </w:rPr>
        <w:t>常计算95%可信区间。计算</w:t>
      </w:r>
      <w:r>
        <w:rPr>
          <w:rFonts w:ascii="宋体" w:hAnsi="宋体" w:eastAsia="宋体" w:cs="宋体"/>
          <w:sz w:val="21"/>
          <w:szCs w:val="21"/>
        </w:rPr>
        <w:t>RR</w:t>
      </w:r>
      <w:r>
        <w:rPr>
          <w:rFonts w:ascii="宋体" w:hAnsi="宋体" w:eastAsia="宋体" w:cs="宋体"/>
          <w:spacing w:val="9"/>
          <w:sz w:val="21"/>
          <w:szCs w:val="21"/>
        </w:rPr>
        <w:t xml:space="preserve">  95%可信</w:t>
      </w:r>
      <w:r>
        <w:rPr>
          <w:rFonts w:ascii="宋体" w:hAnsi="宋体" w:eastAsia="宋体" w:cs="宋体"/>
          <w:spacing w:val="8"/>
          <w:sz w:val="21"/>
          <w:szCs w:val="21"/>
        </w:rPr>
        <w:t>区间的方法很多，常用的有</w:t>
      </w:r>
      <w:r>
        <w:rPr>
          <w:rFonts w:ascii="宋体" w:hAnsi="宋体" w:eastAsia="宋体" w:cs="宋体"/>
          <w:sz w:val="21"/>
          <w:szCs w:val="21"/>
        </w:rPr>
        <w:t>Woolf</w:t>
      </w:r>
      <w:r>
        <w:rPr>
          <w:rFonts w:ascii="宋体" w:hAnsi="宋体" w:eastAsia="宋体" w:cs="宋体"/>
          <w:spacing w:val="8"/>
          <w:sz w:val="21"/>
          <w:szCs w:val="21"/>
        </w:rPr>
        <w:t>法</w:t>
      </w:r>
      <w:r>
        <w:rPr>
          <w:rFonts w:ascii="宋体" w:hAnsi="宋体" w:eastAsia="宋体" w:cs="宋体"/>
          <w:spacing w:val="-40"/>
          <w:sz w:val="21"/>
          <w:szCs w:val="21"/>
        </w:rPr>
        <w:t xml:space="preserve"> </w:t>
      </w:r>
      <w:r>
        <w:rPr>
          <w:rFonts w:ascii="宋体" w:hAnsi="宋体" w:eastAsia="宋体" w:cs="宋体"/>
          <w:spacing w:val="8"/>
          <w:sz w:val="21"/>
          <w:szCs w:val="21"/>
        </w:rPr>
        <w:t>和</w:t>
      </w:r>
      <w:r>
        <w:rPr>
          <w:rFonts w:ascii="宋体" w:hAnsi="宋体" w:eastAsia="宋体" w:cs="宋体"/>
          <w:sz w:val="21"/>
          <w:szCs w:val="21"/>
        </w:rPr>
        <w:t>Miettinen</w:t>
      </w:r>
      <w:r>
        <w:rPr>
          <w:rFonts w:ascii="宋体" w:hAnsi="宋体" w:eastAsia="宋体" w:cs="宋体"/>
          <w:spacing w:val="8"/>
          <w:sz w:val="21"/>
          <w:szCs w:val="21"/>
        </w:rPr>
        <w:t>法，此处</w:t>
      </w:r>
      <w:r>
        <w:rPr>
          <w:rFonts w:ascii="宋体" w:hAnsi="宋体" w:eastAsia="宋体" w:cs="宋体"/>
          <w:sz w:val="21"/>
          <w:szCs w:val="21"/>
        </w:rPr>
        <w:t xml:space="preserve"> </w:t>
      </w:r>
      <w:r>
        <w:rPr>
          <w:rFonts w:ascii="宋体" w:hAnsi="宋体" w:eastAsia="宋体" w:cs="宋体"/>
          <w:spacing w:val="6"/>
          <w:sz w:val="21"/>
          <w:szCs w:val="21"/>
        </w:rPr>
        <w:t>以</w:t>
      </w:r>
      <w:r>
        <w:rPr>
          <w:rFonts w:ascii="宋体" w:hAnsi="宋体" w:eastAsia="宋体" w:cs="宋体"/>
          <w:spacing w:val="-33"/>
          <w:sz w:val="21"/>
          <w:szCs w:val="21"/>
        </w:rPr>
        <w:t xml:space="preserve"> </w:t>
      </w:r>
      <w:r>
        <w:rPr>
          <w:rFonts w:ascii="Times New Roman" w:hAnsi="Times New Roman" w:eastAsia="Times New Roman" w:cs="Times New Roman"/>
          <w:sz w:val="21"/>
          <w:szCs w:val="21"/>
        </w:rPr>
        <w:t>Woolf</w:t>
      </w:r>
      <w:r>
        <w:rPr>
          <w:rFonts w:ascii="宋体" w:hAnsi="宋体" w:eastAsia="宋体" w:cs="宋体"/>
          <w:spacing w:val="6"/>
          <w:sz w:val="21"/>
          <w:szCs w:val="21"/>
        </w:rPr>
        <w:t>法为例展示累积发病率资料(表4-1)的</w:t>
      </w:r>
      <w:r>
        <w:rPr>
          <w:rFonts w:ascii="Times New Roman" w:hAnsi="Times New Roman" w:eastAsia="Times New Roman" w:cs="Times New Roman"/>
          <w:sz w:val="21"/>
          <w:szCs w:val="21"/>
        </w:rPr>
        <w:t>RR</w:t>
      </w:r>
      <w:r>
        <w:rPr>
          <w:rFonts w:ascii="Times New Roman" w:hAnsi="Times New Roman" w:eastAsia="Times New Roman" w:cs="Times New Roman"/>
          <w:spacing w:val="6"/>
          <w:sz w:val="21"/>
          <w:szCs w:val="21"/>
        </w:rPr>
        <w:t xml:space="preserve">  95%</w:t>
      </w:r>
      <w:r>
        <w:rPr>
          <w:rFonts w:ascii="宋体" w:hAnsi="宋体" w:eastAsia="宋体" w:cs="宋体"/>
          <w:spacing w:val="5"/>
          <w:sz w:val="21"/>
          <w:szCs w:val="21"/>
        </w:rPr>
        <w:t>可信区间的计算。</w:t>
      </w:r>
    </w:p>
    <w:p w14:paraId="1AAC4F78">
      <w:pPr>
        <w:spacing w:before="301" w:line="221" w:lineRule="auto"/>
        <w:ind w:left="8470"/>
        <w:rPr>
          <w:rFonts w:ascii="宋体" w:hAnsi="宋体" w:eastAsia="宋体" w:cs="宋体"/>
          <w:sz w:val="21"/>
          <w:szCs w:val="21"/>
        </w:rPr>
      </w:pPr>
      <w:r>
        <w:rPr>
          <w:rFonts w:ascii="宋体" w:hAnsi="宋体" w:eastAsia="宋体" w:cs="宋体"/>
          <w:spacing w:val="13"/>
          <w:sz w:val="21"/>
          <w:szCs w:val="21"/>
        </w:rPr>
        <w:t>式(4-7)</w:t>
      </w:r>
    </w:p>
    <w:p w14:paraId="389FD631">
      <w:pPr>
        <w:spacing w:line="305" w:lineRule="auto"/>
        <w:rPr>
          <w:rFonts w:ascii="Arial"/>
          <w:sz w:val="21"/>
        </w:rPr>
      </w:pPr>
    </w:p>
    <w:p w14:paraId="128197DF">
      <w:pPr>
        <w:spacing w:before="69" w:line="283" w:lineRule="exact"/>
        <w:ind w:left="470"/>
        <w:rPr>
          <w:rFonts w:ascii="Times New Roman" w:hAnsi="Times New Roman" w:eastAsia="Times New Roman" w:cs="Times New Roman"/>
          <w:sz w:val="21"/>
          <w:szCs w:val="21"/>
        </w:rPr>
      </w:pPr>
      <w:r>
        <w:rPr>
          <w:rFonts w:ascii="Times New Roman" w:hAnsi="Times New Roman" w:eastAsia="Times New Roman" w:cs="Times New Roman"/>
          <w:position w:val="1"/>
          <w:sz w:val="21"/>
          <w:szCs w:val="21"/>
        </w:rPr>
        <w:t>RR</w:t>
      </w:r>
      <w:r>
        <w:rPr>
          <w:rFonts w:ascii="Times New Roman" w:hAnsi="Times New Roman" w:eastAsia="Times New Roman" w:cs="Times New Roman"/>
          <w:spacing w:val="10"/>
          <w:position w:val="1"/>
          <w:sz w:val="21"/>
          <w:szCs w:val="21"/>
        </w:rPr>
        <w:t xml:space="preserve"> </w:t>
      </w:r>
      <w:r>
        <w:rPr>
          <w:rFonts w:ascii="宋体" w:hAnsi="宋体" w:eastAsia="宋体" w:cs="宋体"/>
          <w:spacing w:val="10"/>
          <w:position w:val="1"/>
          <w:sz w:val="21"/>
          <w:szCs w:val="21"/>
        </w:rPr>
        <w:t>的95%可信区间为</w:t>
      </w:r>
      <w:r>
        <w:rPr>
          <w:rFonts w:ascii="Times New Roman" w:hAnsi="Times New Roman" w:eastAsia="Times New Roman" w:cs="Times New Roman"/>
          <w:position w:val="1"/>
          <w:sz w:val="21"/>
          <w:szCs w:val="21"/>
        </w:rPr>
        <w:t>RR</w:t>
      </w:r>
      <w:r>
        <w:rPr>
          <w:rFonts w:ascii="Times New Roman" w:hAnsi="Times New Roman" w:eastAsia="Times New Roman" w:cs="Times New Roman"/>
          <w:spacing w:val="10"/>
          <w:position w:val="1"/>
          <w:sz w:val="21"/>
          <w:szCs w:val="21"/>
        </w:rPr>
        <w:t>₂,=</w:t>
      </w:r>
      <w:r>
        <w:rPr>
          <w:rFonts w:ascii="Times New Roman" w:hAnsi="Times New Roman" w:eastAsia="Times New Roman" w:cs="Times New Roman"/>
          <w:position w:val="1"/>
          <w:sz w:val="21"/>
          <w:szCs w:val="21"/>
        </w:rPr>
        <w:t>exp</w:t>
      </w:r>
      <w:r>
        <w:rPr>
          <w:rFonts w:ascii="Times New Roman" w:hAnsi="Times New Roman" w:eastAsia="Times New Roman" w:cs="Times New Roman"/>
          <w:spacing w:val="10"/>
          <w:position w:val="1"/>
          <w:sz w:val="21"/>
          <w:szCs w:val="21"/>
        </w:rPr>
        <w:t>(</w:t>
      </w:r>
      <w:r>
        <w:rPr>
          <w:rFonts w:ascii="Times New Roman" w:hAnsi="Times New Roman" w:eastAsia="Times New Roman" w:cs="Times New Roman"/>
          <w:position w:val="1"/>
          <w:sz w:val="21"/>
          <w:szCs w:val="21"/>
        </w:rPr>
        <w:t>InRR</w:t>
      </w:r>
      <w:r>
        <w:rPr>
          <w:rFonts w:ascii="Times New Roman" w:hAnsi="Times New Roman" w:eastAsia="Times New Roman" w:cs="Times New Roman"/>
          <w:spacing w:val="10"/>
          <w:position w:val="1"/>
          <w:sz w:val="21"/>
          <w:szCs w:val="21"/>
        </w:rPr>
        <w:t>±1.96√</w:t>
      </w:r>
      <w:r>
        <w:rPr>
          <w:rFonts w:ascii="Times New Roman" w:hAnsi="Times New Roman" w:eastAsia="Times New Roman" w:cs="Times New Roman"/>
          <w:position w:val="1"/>
          <w:sz w:val="21"/>
          <w:szCs w:val="21"/>
        </w:rPr>
        <w:t>Var</w:t>
      </w:r>
      <w:r>
        <w:rPr>
          <w:rFonts w:ascii="Times New Roman" w:hAnsi="Times New Roman" w:eastAsia="Times New Roman" w:cs="Times New Roman"/>
          <w:spacing w:val="10"/>
          <w:position w:val="1"/>
          <w:sz w:val="21"/>
          <w:szCs w:val="21"/>
        </w:rPr>
        <w:t>(</w:t>
      </w:r>
      <w:r>
        <w:rPr>
          <w:rFonts w:ascii="Times New Roman" w:hAnsi="Times New Roman" w:eastAsia="Times New Roman" w:cs="Times New Roman"/>
          <w:position w:val="1"/>
          <w:sz w:val="21"/>
          <w:szCs w:val="21"/>
        </w:rPr>
        <w:t>InRR</w:t>
      </w:r>
      <w:r>
        <w:rPr>
          <w:rFonts w:ascii="Times New Roman" w:hAnsi="Times New Roman" w:eastAsia="Times New Roman" w:cs="Times New Roman"/>
          <w:spacing w:val="10"/>
          <w:position w:val="1"/>
          <w:sz w:val="21"/>
          <w:szCs w:val="21"/>
        </w:rPr>
        <w:t>))</w:t>
      </w:r>
    </w:p>
    <w:p w14:paraId="64427DAC">
      <w:pPr>
        <w:pStyle w:val="2"/>
        <w:spacing w:before="85" w:line="307" w:lineRule="auto"/>
        <w:ind w:left="19" w:right="748" w:firstLine="450"/>
        <w:rPr>
          <w:rFonts w:ascii="宋体" w:hAnsi="宋体" w:eastAsia="宋体" w:cs="宋体"/>
          <w:sz w:val="21"/>
          <w:szCs w:val="21"/>
        </w:rPr>
      </w:pPr>
      <w:r>
        <w:rPr>
          <w:rFonts w:ascii="Times New Roman" w:hAnsi="Times New Roman" w:eastAsia="Times New Roman" w:cs="Times New Roman"/>
          <w:spacing w:val="5"/>
          <w:sz w:val="21"/>
          <w:szCs w:val="21"/>
        </w:rPr>
        <w:t xml:space="preserve">2.   </w:t>
      </w:r>
      <w:r>
        <w:rPr>
          <w:spacing w:val="5"/>
          <w:sz w:val="21"/>
          <w:szCs w:val="21"/>
        </w:rPr>
        <w:t>归因危险度</w:t>
      </w:r>
      <w:r>
        <w:rPr>
          <w:rFonts w:ascii="Times New Roman" w:hAnsi="Times New Roman" w:eastAsia="Times New Roman" w:cs="Times New Roman"/>
          <w:spacing w:val="5"/>
          <w:sz w:val="21"/>
          <w:szCs w:val="21"/>
        </w:rPr>
        <w:t>(</w:t>
      </w:r>
      <w:r>
        <w:rPr>
          <w:rFonts w:ascii="Times New Roman" w:hAnsi="Times New Roman" w:eastAsia="Times New Roman" w:cs="Times New Roman"/>
          <w:sz w:val="21"/>
          <w:szCs w:val="21"/>
        </w:rPr>
        <w:t>AR</w:t>
      </w:r>
      <w:r>
        <w:rPr>
          <w:rFonts w:ascii="Times New Roman" w:hAnsi="Times New Roman" w:eastAsia="Times New Roman" w:cs="Times New Roman"/>
          <w:spacing w:val="5"/>
          <w:sz w:val="21"/>
          <w:szCs w:val="21"/>
        </w:rPr>
        <w:t xml:space="preserve">)     </w:t>
      </w:r>
      <w:r>
        <w:rPr>
          <w:rFonts w:ascii="宋体" w:hAnsi="宋体" w:eastAsia="宋体" w:cs="宋体"/>
          <w:spacing w:val="5"/>
          <w:sz w:val="21"/>
          <w:szCs w:val="21"/>
        </w:rPr>
        <w:t>又称特异危险度、危险度差</w:t>
      </w:r>
      <w:r>
        <w:rPr>
          <w:rFonts w:ascii="Times New Roman" w:hAnsi="Times New Roman" w:eastAsia="Times New Roman" w:cs="Times New Roman"/>
          <w:spacing w:val="5"/>
          <w:sz w:val="21"/>
          <w:szCs w:val="21"/>
        </w:rPr>
        <w:t>(</w:t>
      </w:r>
      <w:r>
        <w:rPr>
          <w:rFonts w:ascii="Times New Roman" w:hAnsi="Times New Roman" w:eastAsia="Times New Roman" w:cs="Times New Roman"/>
          <w:sz w:val="21"/>
          <w:szCs w:val="21"/>
        </w:rPr>
        <w:t>risk</w:t>
      </w:r>
      <w:r>
        <w:rPr>
          <w:rFonts w:ascii="Times New Roman" w:hAnsi="Times New Roman" w:eastAsia="Times New Roman" w:cs="Times New Roman"/>
          <w:spacing w:val="5"/>
          <w:sz w:val="21"/>
          <w:szCs w:val="21"/>
        </w:rPr>
        <w:t xml:space="preserve">      </w:t>
      </w:r>
      <w:r>
        <w:rPr>
          <w:rFonts w:ascii="Times New Roman" w:hAnsi="Times New Roman" w:eastAsia="Times New Roman" w:cs="Times New Roman"/>
          <w:sz w:val="21"/>
          <w:szCs w:val="21"/>
        </w:rPr>
        <w:t>difference</w:t>
      </w:r>
      <w:r>
        <w:rPr>
          <w:rFonts w:ascii="Times New Roman" w:hAnsi="Times New Roman" w:eastAsia="Times New Roman" w:cs="Times New Roman"/>
          <w:spacing w:val="5"/>
          <w:sz w:val="21"/>
          <w:szCs w:val="21"/>
        </w:rPr>
        <w:t>,</w:t>
      </w:r>
      <w:r>
        <w:rPr>
          <w:rFonts w:ascii="Times New Roman" w:hAnsi="Times New Roman" w:eastAsia="Times New Roman" w:cs="Times New Roman"/>
          <w:sz w:val="21"/>
          <w:szCs w:val="21"/>
        </w:rPr>
        <w:t>RD</w:t>
      </w:r>
      <w:r>
        <w:rPr>
          <w:rFonts w:ascii="Times New Roman" w:hAnsi="Times New Roman" w:eastAsia="Times New Roman" w:cs="Times New Roman"/>
          <w:spacing w:val="5"/>
          <w:sz w:val="21"/>
          <w:szCs w:val="21"/>
        </w:rPr>
        <w:t>)</w:t>
      </w:r>
      <w:r>
        <w:rPr>
          <w:rFonts w:ascii="宋体" w:hAnsi="宋体" w:eastAsia="宋体" w:cs="宋体"/>
          <w:spacing w:val="5"/>
          <w:sz w:val="21"/>
          <w:szCs w:val="21"/>
        </w:rPr>
        <w:t>和超额危险度</w:t>
      </w:r>
      <w:r>
        <w:rPr>
          <w:rFonts w:ascii="Times New Roman" w:hAnsi="Times New Roman" w:eastAsia="Times New Roman" w:cs="Times New Roman"/>
          <w:spacing w:val="5"/>
          <w:sz w:val="21"/>
          <w:szCs w:val="21"/>
        </w:rPr>
        <w:t>(</w:t>
      </w:r>
      <w:r>
        <w:rPr>
          <w:rFonts w:ascii="Times New Roman" w:hAnsi="Times New Roman" w:eastAsia="Times New Roman" w:cs="Times New Roman"/>
          <w:sz w:val="21"/>
          <w:szCs w:val="21"/>
        </w:rPr>
        <w:t>excess risk</w:t>
      </w:r>
      <w:r>
        <w:rPr>
          <w:rFonts w:ascii="Times New Roman" w:hAnsi="Times New Roman" w:eastAsia="Times New Roman" w:cs="Times New Roman"/>
          <w:spacing w:val="4"/>
          <w:sz w:val="21"/>
          <w:szCs w:val="21"/>
        </w:rPr>
        <w:t xml:space="preserve">),  </w:t>
      </w:r>
      <w:r>
        <w:rPr>
          <w:rFonts w:ascii="宋体" w:hAnsi="宋体" w:eastAsia="宋体" w:cs="宋体"/>
          <w:spacing w:val="4"/>
          <w:sz w:val="21"/>
          <w:szCs w:val="21"/>
        </w:rPr>
        <w:t>是暴露组发病率与对照组发病率之差的绝对值，表示危险特异地</w:t>
      </w:r>
      <w:r>
        <w:rPr>
          <w:rFonts w:ascii="宋体" w:hAnsi="宋体" w:eastAsia="宋体" w:cs="宋体"/>
          <w:spacing w:val="3"/>
          <w:sz w:val="21"/>
          <w:szCs w:val="21"/>
        </w:rPr>
        <w:t>归因于暴露因素的程度。</w:t>
      </w:r>
    </w:p>
    <w:p w14:paraId="2F145B2F">
      <w:pPr>
        <w:spacing w:line="257" w:lineRule="auto"/>
        <w:rPr>
          <w:rFonts w:ascii="Arial"/>
          <w:sz w:val="21"/>
        </w:rPr>
      </w:pPr>
      <w:r>
        <w:drawing>
          <wp:anchor distT="0" distB="0" distL="0" distR="0" simplePos="0" relativeHeight="251727872" behindDoc="0" locked="0" layoutInCell="1" allowOverlap="1">
            <wp:simplePos x="0" y="0"/>
            <wp:positionH relativeFrom="column">
              <wp:posOffset>2413000</wp:posOffset>
            </wp:positionH>
            <wp:positionV relativeFrom="paragraph">
              <wp:posOffset>125095</wp:posOffset>
            </wp:positionV>
            <wp:extent cx="1104900" cy="311150"/>
            <wp:effectExtent l="0" t="0" r="0" b="0"/>
            <wp:wrapNone/>
            <wp:docPr id="218" name="IM 218"/>
            <wp:cNvGraphicFramePr/>
            <a:graphic xmlns:a="http://schemas.openxmlformats.org/drawingml/2006/main">
              <a:graphicData uri="http://schemas.openxmlformats.org/drawingml/2006/picture">
                <pic:pic xmlns:pic="http://schemas.openxmlformats.org/drawingml/2006/picture">
                  <pic:nvPicPr>
                    <pic:cNvPr id="218" name="IM 218"/>
                    <pic:cNvPicPr/>
                  </pic:nvPicPr>
                  <pic:blipFill>
                    <a:blip r:embed="rId485"/>
                    <a:stretch>
                      <a:fillRect/>
                    </a:stretch>
                  </pic:blipFill>
                  <pic:spPr>
                    <a:xfrm>
                      <a:off x="0" y="0"/>
                      <a:ext cx="1104911" cy="311128"/>
                    </a:xfrm>
                    <a:prstGeom prst="rect">
                      <a:avLst/>
                    </a:prstGeom>
                  </pic:spPr>
                </pic:pic>
              </a:graphicData>
            </a:graphic>
          </wp:anchor>
        </w:drawing>
      </w:r>
    </w:p>
    <w:p w14:paraId="51FEFAD7">
      <w:pPr>
        <w:spacing w:before="69" w:line="184" w:lineRule="auto"/>
        <w:ind w:left="8470"/>
        <w:rPr>
          <w:rFonts w:ascii="宋体" w:hAnsi="宋体" w:eastAsia="宋体" w:cs="宋体"/>
          <w:sz w:val="21"/>
          <w:szCs w:val="21"/>
        </w:rPr>
      </w:pPr>
      <w:r>
        <w:rPr>
          <w:rFonts w:ascii="宋体" w:hAnsi="宋体" w:eastAsia="宋体" w:cs="宋体"/>
          <w:spacing w:val="10"/>
          <w:sz w:val="21"/>
          <w:szCs w:val="21"/>
        </w:rPr>
        <w:t>式(4-8)</w:t>
      </w:r>
    </w:p>
    <w:p w14:paraId="344B97F1">
      <w:pPr>
        <w:spacing w:line="184" w:lineRule="auto"/>
        <w:rPr>
          <w:rFonts w:ascii="宋体" w:hAnsi="宋体" w:eastAsia="宋体" w:cs="宋体"/>
          <w:sz w:val="21"/>
          <w:szCs w:val="21"/>
        </w:rPr>
        <w:sectPr>
          <w:type w:val="continuous"/>
          <w:pgSz w:w="11900" w:h="16820"/>
          <w:pgMar w:top="400" w:right="732" w:bottom="880" w:left="1299" w:header="0" w:footer="607" w:gutter="0"/>
          <w:cols w:equalWidth="0" w:num="1">
            <w:col w:w="9868"/>
          </w:cols>
        </w:sectPr>
      </w:pPr>
    </w:p>
    <w:p w14:paraId="512BA81D">
      <w:pPr>
        <w:pStyle w:val="2"/>
        <w:spacing w:before="97" w:line="222" w:lineRule="auto"/>
        <w:ind w:left="749"/>
        <w:rPr>
          <w:sz w:val="21"/>
          <w:szCs w:val="21"/>
        </w:rPr>
      </w:pPr>
      <w:bookmarkStart w:id="110" w:name="bookmark438"/>
      <w:bookmarkEnd w:id="110"/>
      <w:r>
        <w:rPr>
          <w:spacing w:val="-13"/>
          <w:sz w:val="21"/>
          <w:szCs w:val="21"/>
        </w:rPr>
        <w:t>第四章队列研究</w:t>
      </w:r>
    </w:p>
    <w:p w14:paraId="42555E14">
      <w:pPr>
        <w:spacing w:line="283" w:lineRule="auto"/>
        <w:rPr>
          <w:rFonts w:ascii="Arial"/>
          <w:sz w:val="21"/>
        </w:rPr>
      </w:pPr>
    </w:p>
    <w:p w14:paraId="1C623D20">
      <w:pPr>
        <w:spacing w:line="283" w:lineRule="auto"/>
        <w:rPr>
          <w:rFonts w:ascii="Arial"/>
          <w:sz w:val="21"/>
        </w:rPr>
      </w:pPr>
    </w:p>
    <w:p w14:paraId="21538D60">
      <w:pPr>
        <w:spacing w:line="550" w:lineRule="exact"/>
        <w:ind w:firstLine="1180"/>
      </w:pPr>
      <w:r>
        <w:rPr>
          <w:position w:val="-11"/>
        </w:rPr>
        <w:drawing>
          <wp:inline distT="0" distB="0" distL="0" distR="0">
            <wp:extent cx="1314450" cy="349250"/>
            <wp:effectExtent l="0" t="0" r="0" b="0"/>
            <wp:docPr id="220" name="IM 220"/>
            <wp:cNvGraphicFramePr/>
            <a:graphic xmlns:a="http://schemas.openxmlformats.org/drawingml/2006/main">
              <a:graphicData uri="http://schemas.openxmlformats.org/drawingml/2006/picture">
                <pic:pic xmlns:pic="http://schemas.openxmlformats.org/drawingml/2006/picture">
                  <pic:nvPicPr>
                    <pic:cNvPr id="220" name="IM 220"/>
                    <pic:cNvPicPr/>
                  </pic:nvPicPr>
                  <pic:blipFill>
                    <a:blip r:embed="rId486"/>
                    <a:stretch>
                      <a:fillRect/>
                    </a:stretch>
                  </pic:blipFill>
                  <pic:spPr>
                    <a:xfrm>
                      <a:off x="0" y="0"/>
                      <a:ext cx="1314453" cy="349258"/>
                    </a:xfrm>
                    <a:prstGeom prst="rect">
                      <a:avLst/>
                    </a:prstGeom>
                  </pic:spPr>
                </pic:pic>
              </a:graphicData>
            </a:graphic>
          </wp:inline>
        </w:drawing>
      </w:r>
    </w:p>
    <w:p w14:paraId="43E6861A">
      <w:pPr>
        <w:spacing w:line="300" w:lineRule="auto"/>
        <w:rPr>
          <w:rFonts w:ascii="Arial"/>
          <w:sz w:val="21"/>
        </w:rPr>
      </w:pPr>
    </w:p>
    <w:p w14:paraId="3A1E9CB7">
      <w:pPr>
        <w:spacing w:before="68" w:line="216" w:lineRule="auto"/>
        <w:ind w:right="10"/>
        <w:jc w:val="right"/>
        <w:rPr>
          <w:rFonts w:ascii="宋体" w:hAnsi="宋体" w:eastAsia="宋体" w:cs="宋体"/>
          <w:sz w:val="21"/>
          <w:szCs w:val="21"/>
        </w:rPr>
      </w:pPr>
      <w:r>
        <w:rPr>
          <w:rFonts w:ascii="宋体" w:hAnsi="宋体" w:eastAsia="宋体" w:cs="宋体"/>
          <w:spacing w:val="3"/>
          <w:sz w:val="21"/>
          <w:szCs w:val="21"/>
        </w:rPr>
        <w:t>所以</w:t>
      </w:r>
      <w:r>
        <w:rPr>
          <w:rFonts w:ascii="Times New Roman" w:hAnsi="Times New Roman" w:eastAsia="Times New Roman" w:cs="Times New Roman"/>
          <w:sz w:val="21"/>
          <w:szCs w:val="21"/>
        </w:rPr>
        <w:t>AR</w:t>
      </w:r>
      <w:r>
        <w:rPr>
          <w:rFonts w:ascii="Times New Roman" w:hAnsi="Times New Roman" w:eastAsia="Times New Roman" w:cs="Times New Roman"/>
          <w:spacing w:val="3"/>
          <w:sz w:val="21"/>
          <w:szCs w:val="21"/>
        </w:rPr>
        <w:t>=</w:t>
      </w:r>
      <w:r>
        <w:rPr>
          <w:rFonts w:ascii="Times New Roman" w:hAnsi="Times New Roman" w:eastAsia="Times New Roman" w:cs="Times New Roman"/>
          <w:sz w:val="21"/>
          <w:szCs w:val="21"/>
        </w:rPr>
        <w:t>RR</w:t>
      </w:r>
      <w:r>
        <w:rPr>
          <w:rFonts w:ascii="Times New Roman" w:hAnsi="Times New Roman" w:eastAsia="Times New Roman" w:cs="Times New Roman"/>
          <w:spacing w:val="3"/>
          <w:sz w:val="21"/>
          <w:szCs w:val="21"/>
        </w:rPr>
        <w:t>×I₀-I₀=L₀(</w:t>
      </w:r>
      <w:r>
        <w:rPr>
          <w:rFonts w:ascii="Times New Roman" w:hAnsi="Times New Roman" w:eastAsia="Times New Roman" w:cs="Times New Roman"/>
          <w:sz w:val="21"/>
          <w:szCs w:val="21"/>
        </w:rPr>
        <w:t>RR</w:t>
      </w:r>
      <w:r>
        <w:rPr>
          <w:rFonts w:ascii="Times New Roman" w:hAnsi="Times New Roman" w:eastAsia="Times New Roman" w:cs="Times New Roman"/>
          <w:spacing w:val="3"/>
          <w:sz w:val="21"/>
          <w:szCs w:val="21"/>
        </w:rPr>
        <w:t xml:space="preserve">-1)                  </w:t>
      </w:r>
      <w:r>
        <w:rPr>
          <w:rFonts w:ascii="Times New Roman" w:hAnsi="Times New Roman" w:eastAsia="Times New Roman" w:cs="Times New Roman"/>
          <w:spacing w:val="2"/>
          <w:sz w:val="21"/>
          <w:szCs w:val="21"/>
        </w:rPr>
        <w:t xml:space="preserve">                           </w:t>
      </w:r>
      <w:r>
        <w:rPr>
          <w:rFonts w:ascii="宋体" w:hAnsi="宋体" w:eastAsia="宋体" w:cs="宋体"/>
          <w:spacing w:val="2"/>
          <w:sz w:val="21"/>
          <w:szCs w:val="21"/>
        </w:rPr>
        <w:t>式(4-9)</w:t>
      </w:r>
    </w:p>
    <w:p w14:paraId="4D8C95B4">
      <w:pPr>
        <w:spacing w:before="294" w:line="336" w:lineRule="auto"/>
        <w:ind w:left="739" w:right="57" w:firstLine="420"/>
        <w:jc w:val="both"/>
        <w:rPr>
          <w:rFonts w:ascii="宋体" w:hAnsi="宋体" w:eastAsia="宋体" w:cs="宋体"/>
          <w:sz w:val="21"/>
          <w:szCs w:val="21"/>
        </w:rPr>
      </w:pPr>
      <w:r>
        <w:rPr>
          <w:rFonts w:ascii="Times New Roman" w:hAnsi="Times New Roman" w:eastAsia="Times New Roman" w:cs="Times New Roman"/>
          <w:spacing w:val="-7"/>
          <w:sz w:val="21"/>
          <w:szCs w:val="21"/>
        </w:rPr>
        <w:t>RR</w:t>
      </w:r>
      <w:r>
        <w:rPr>
          <w:rFonts w:ascii="Times New Roman" w:hAnsi="Times New Roman" w:eastAsia="Times New Roman" w:cs="Times New Roman"/>
          <w:spacing w:val="1"/>
          <w:sz w:val="21"/>
          <w:szCs w:val="21"/>
        </w:rPr>
        <w:t xml:space="preserve"> </w:t>
      </w:r>
      <w:r>
        <w:rPr>
          <w:rFonts w:ascii="宋体" w:hAnsi="宋体" w:eastAsia="宋体" w:cs="宋体"/>
          <w:spacing w:val="-7"/>
          <w:sz w:val="21"/>
          <w:szCs w:val="21"/>
        </w:rPr>
        <w:t>与</w:t>
      </w:r>
      <w:r>
        <w:rPr>
          <w:rFonts w:ascii="宋体" w:hAnsi="宋体" w:eastAsia="宋体" w:cs="宋体"/>
          <w:spacing w:val="-52"/>
          <w:sz w:val="21"/>
          <w:szCs w:val="21"/>
        </w:rPr>
        <w:t xml:space="preserve"> </w:t>
      </w:r>
      <w:r>
        <w:rPr>
          <w:rFonts w:ascii="Times New Roman" w:hAnsi="Times New Roman" w:eastAsia="Times New Roman" w:cs="Times New Roman"/>
          <w:spacing w:val="-7"/>
          <w:sz w:val="21"/>
          <w:szCs w:val="21"/>
        </w:rPr>
        <w:t xml:space="preserve">AR </w:t>
      </w:r>
      <w:r>
        <w:rPr>
          <w:rFonts w:ascii="宋体" w:hAnsi="宋体" w:eastAsia="宋体" w:cs="宋体"/>
          <w:spacing w:val="-7"/>
          <w:sz w:val="21"/>
          <w:szCs w:val="21"/>
        </w:rPr>
        <w:t>都是表示关联强度的重要指标，彼此密切相关，但其流行病学意义却不同。</w:t>
      </w:r>
      <w:r>
        <w:rPr>
          <w:rFonts w:ascii="Times New Roman" w:hAnsi="Times New Roman" w:eastAsia="Times New Roman" w:cs="Times New Roman"/>
          <w:spacing w:val="-7"/>
          <w:sz w:val="21"/>
          <w:szCs w:val="21"/>
        </w:rPr>
        <w:t>RR</w:t>
      </w:r>
      <w:r>
        <w:rPr>
          <w:rFonts w:ascii="Times New Roman" w:hAnsi="Times New Roman" w:eastAsia="Times New Roman" w:cs="Times New Roman"/>
          <w:spacing w:val="29"/>
          <w:sz w:val="21"/>
          <w:szCs w:val="21"/>
        </w:rPr>
        <w:t xml:space="preserve"> </w:t>
      </w:r>
      <w:r>
        <w:rPr>
          <w:rFonts w:ascii="宋体" w:hAnsi="宋体" w:eastAsia="宋体" w:cs="宋体"/>
          <w:spacing w:val="-7"/>
          <w:sz w:val="21"/>
          <w:szCs w:val="21"/>
        </w:rPr>
        <w:t>说明</w:t>
      </w:r>
      <w:r>
        <w:rPr>
          <w:rFonts w:ascii="宋体" w:hAnsi="宋体" w:eastAsia="宋体" w:cs="宋体"/>
          <w:sz w:val="21"/>
          <w:szCs w:val="21"/>
        </w:rPr>
        <w:t xml:space="preserve"> </w:t>
      </w:r>
      <w:r>
        <w:rPr>
          <w:rFonts w:ascii="宋体" w:hAnsi="宋体" w:eastAsia="宋体" w:cs="宋体"/>
          <w:spacing w:val="-4"/>
          <w:sz w:val="21"/>
          <w:szCs w:val="21"/>
        </w:rPr>
        <w:t>暴露者发生疾病的危险是非暴露者的多少倍；AR</w:t>
      </w:r>
      <w:r>
        <w:rPr>
          <w:rFonts w:ascii="宋体" w:hAnsi="宋体" w:eastAsia="宋体" w:cs="宋体"/>
          <w:spacing w:val="36"/>
          <w:sz w:val="21"/>
          <w:szCs w:val="21"/>
        </w:rPr>
        <w:t xml:space="preserve"> </w:t>
      </w:r>
      <w:r>
        <w:rPr>
          <w:rFonts w:ascii="宋体" w:hAnsi="宋体" w:eastAsia="宋体" w:cs="宋体"/>
          <w:spacing w:val="-4"/>
          <w:sz w:val="21"/>
          <w:szCs w:val="21"/>
        </w:rPr>
        <w:t>则是指暴露人群与非</w:t>
      </w:r>
      <w:r>
        <w:rPr>
          <w:rFonts w:ascii="宋体" w:hAnsi="宋体" w:eastAsia="宋体" w:cs="宋体"/>
          <w:spacing w:val="-5"/>
          <w:sz w:val="21"/>
          <w:szCs w:val="21"/>
        </w:rPr>
        <w:t>暴露人群比较，所增加的疾</w:t>
      </w:r>
      <w:r>
        <w:rPr>
          <w:rFonts w:ascii="宋体" w:hAnsi="宋体" w:eastAsia="宋体" w:cs="宋体"/>
          <w:sz w:val="21"/>
          <w:szCs w:val="21"/>
        </w:rPr>
        <w:t xml:space="preserve"> </w:t>
      </w:r>
      <w:r>
        <w:rPr>
          <w:rFonts w:ascii="宋体" w:hAnsi="宋体" w:eastAsia="宋体" w:cs="宋体"/>
          <w:spacing w:val="-6"/>
          <w:sz w:val="21"/>
          <w:szCs w:val="21"/>
        </w:rPr>
        <w:t>病发生数量，如果暴露因素消除，可减少这个数量的疾病发生。前者侧重于病因学意义，</w:t>
      </w:r>
      <w:r>
        <w:rPr>
          <w:rFonts w:ascii="宋体" w:hAnsi="宋体" w:eastAsia="宋体" w:cs="宋体"/>
          <w:spacing w:val="-7"/>
          <w:sz w:val="21"/>
          <w:szCs w:val="21"/>
        </w:rPr>
        <w:t>后者侧重</w:t>
      </w:r>
      <w:r>
        <w:rPr>
          <w:rFonts w:ascii="宋体" w:hAnsi="宋体" w:eastAsia="宋体" w:cs="宋体"/>
          <w:sz w:val="21"/>
          <w:szCs w:val="21"/>
        </w:rPr>
        <w:t xml:space="preserve"> </w:t>
      </w:r>
      <w:r>
        <w:rPr>
          <w:rFonts w:ascii="宋体" w:hAnsi="宋体" w:eastAsia="宋体" w:cs="宋体"/>
          <w:spacing w:val="-6"/>
          <w:sz w:val="21"/>
          <w:szCs w:val="21"/>
        </w:rPr>
        <w:t>于公共卫生学意义。以表4-4为例说明两者的区别，从</w:t>
      </w:r>
      <w:r>
        <w:rPr>
          <w:rFonts w:ascii="Times New Roman" w:hAnsi="Times New Roman" w:eastAsia="Times New Roman" w:cs="Times New Roman"/>
          <w:spacing w:val="-6"/>
          <w:sz w:val="21"/>
          <w:szCs w:val="21"/>
        </w:rPr>
        <w:t xml:space="preserve">RR </w:t>
      </w:r>
      <w:r>
        <w:rPr>
          <w:rFonts w:ascii="宋体" w:hAnsi="宋体" w:eastAsia="宋体" w:cs="宋体"/>
          <w:spacing w:val="-6"/>
          <w:sz w:val="21"/>
          <w:szCs w:val="21"/>
        </w:rPr>
        <w:t>看，吸烟对肺癌的作用较大，病因联系较</w:t>
      </w:r>
      <w:r>
        <w:rPr>
          <w:rFonts w:ascii="宋体" w:hAnsi="宋体" w:eastAsia="宋体" w:cs="宋体"/>
          <w:spacing w:val="6"/>
          <w:sz w:val="21"/>
          <w:szCs w:val="21"/>
        </w:rPr>
        <w:t xml:space="preserve"> </w:t>
      </w:r>
      <w:r>
        <w:rPr>
          <w:rFonts w:ascii="宋体" w:hAnsi="宋体" w:eastAsia="宋体" w:cs="宋体"/>
          <w:spacing w:val="-8"/>
          <w:sz w:val="21"/>
          <w:szCs w:val="21"/>
        </w:rPr>
        <w:t>强；但从AR 看，吸烟对心血管疾病的作用较大，采取控烟行动的话，对预防和控制心血管疾病的社</w:t>
      </w:r>
      <w:r>
        <w:rPr>
          <w:rFonts w:ascii="宋体" w:hAnsi="宋体" w:eastAsia="宋体" w:cs="宋体"/>
          <w:spacing w:val="2"/>
          <w:sz w:val="21"/>
          <w:szCs w:val="21"/>
        </w:rPr>
        <w:t xml:space="preserve"> </w:t>
      </w:r>
      <w:r>
        <w:rPr>
          <w:rFonts w:ascii="宋体" w:hAnsi="宋体" w:eastAsia="宋体" w:cs="宋体"/>
          <w:spacing w:val="-5"/>
          <w:sz w:val="21"/>
          <w:szCs w:val="21"/>
        </w:rPr>
        <w:t>会收益可能更大。</w:t>
      </w:r>
    </w:p>
    <w:p w14:paraId="0C8A6008">
      <w:pPr>
        <w:spacing w:before="194" w:line="219" w:lineRule="auto"/>
        <w:ind w:left="3699"/>
        <w:rPr>
          <w:rFonts w:ascii="宋体" w:hAnsi="宋体" w:eastAsia="宋体" w:cs="宋体"/>
          <w:sz w:val="20"/>
          <w:szCs w:val="20"/>
        </w:rPr>
      </w:pPr>
      <w:r>
        <w:rPr>
          <w:rFonts w:ascii="宋体" w:hAnsi="宋体" w:eastAsia="宋体" w:cs="宋体"/>
          <w:spacing w:val="-1"/>
          <w:sz w:val="20"/>
          <w:szCs w:val="20"/>
        </w:rPr>
        <w:t>表4-4吸烟与肺癌和心血管疾病的RR与AR比较</w:t>
      </w:r>
    </w:p>
    <w:p w14:paraId="01F2466A">
      <w:pPr>
        <w:spacing w:line="20" w:lineRule="exact"/>
      </w:pPr>
    </w:p>
    <w:tbl>
      <w:tblPr>
        <w:tblStyle w:val="5"/>
        <w:tblW w:w="8670" w:type="dxa"/>
        <w:tblInd w:w="809"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0" w:type="dxa"/>
          <w:left w:w="0" w:type="dxa"/>
          <w:bottom w:w="0" w:type="dxa"/>
          <w:right w:w="0" w:type="dxa"/>
        </w:tblCellMar>
      </w:tblPr>
      <w:tblGrid>
        <w:gridCol w:w="1590"/>
        <w:gridCol w:w="2170"/>
        <w:gridCol w:w="2050"/>
        <w:gridCol w:w="980"/>
        <w:gridCol w:w="1880"/>
      </w:tblGrid>
      <w:tr w14:paraId="5611E5B4">
        <w:trPr>
          <w:trHeight w:val="680" w:hRule="atLeast"/>
        </w:trPr>
        <w:tc>
          <w:tcPr>
            <w:tcW w:w="1590" w:type="dxa"/>
            <w:tcBorders>
              <w:top w:val="single" w:color="000000" w:sz="4" w:space="0"/>
              <w:bottom w:val="single" w:color="000000" w:sz="4" w:space="0"/>
            </w:tcBorders>
            <w:shd w:val="clear" w:color="auto" w:fill="D3DADA"/>
            <w:vAlign w:val="top"/>
          </w:tcPr>
          <w:p w14:paraId="3F3F1FB4">
            <w:pPr>
              <w:pStyle w:val="6"/>
              <w:spacing w:before="243" w:line="220" w:lineRule="auto"/>
              <w:ind w:left="590"/>
            </w:pPr>
            <w:r>
              <w:rPr>
                <w:spacing w:val="7"/>
              </w:rPr>
              <w:t>疾病</w:t>
            </w:r>
          </w:p>
        </w:tc>
        <w:tc>
          <w:tcPr>
            <w:tcW w:w="2170" w:type="dxa"/>
            <w:tcBorders>
              <w:top w:val="single" w:color="000000" w:sz="4" w:space="0"/>
              <w:bottom w:val="single" w:color="000000" w:sz="4" w:space="0"/>
            </w:tcBorders>
            <w:shd w:val="clear" w:color="auto" w:fill="D1D5D4"/>
            <w:vAlign w:val="top"/>
          </w:tcPr>
          <w:p w14:paraId="096863DD">
            <w:pPr>
              <w:pStyle w:val="6"/>
              <w:spacing w:before="103" w:line="220" w:lineRule="auto"/>
              <w:ind w:left="400"/>
            </w:pPr>
            <w:r>
              <w:t>吸烟者发病密度/</w:t>
            </w:r>
          </w:p>
          <w:p w14:paraId="58883A59">
            <w:pPr>
              <w:pStyle w:val="6"/>
              <w:spacing w:before="41" w:line="219" w:lineRule="auto"/>
              <w:ind w:left="400"/>
            </w:pPr>
            <w:r>
              <w:rPr>
                <w:spacing w:val="-16"/>
              </w:rPr>
              <w:t>(</w:t>
            </w:r>
            <w:r>
              <w:rPr>
                <w:spacing w:val="-22"/>
              </w:rPr>
              <w:t xml:space="preserve"> </w:t>
            </w:r>
            <w:r>
              <w:rPr>
                <w:spacing w:val="-16"/>
              </w:rPr>
              <w:t>1</w:t>
            </w:r>
            <w:r>
              <w:rPr>
                <w:spacing w:val="-44"/>
              </w:rPr>
              <w:t xml:space="preserve"> </w:t>
            </w:r>
            <w:r>
              <w:rPr>
                <w:spacing w:val="-16"/>
              </w:rPr>
              <w:t>/</w:t>
            </w:r>
            <w:r>
              <w:rPr>
                <w:spacing w:val="-29"/>
              </w:rPr>
              <w:t xml:space="preserve"> </w:t>
            </w:r>
            <w:r>
              <w:rPr>
                <w:spacing w:val="-16"/>
              </w:rPr>
              <w:t>1</w:t>
            </w:r>
            <w:r>
              <w:rPr>
                <w:spacing w:val="-43"/>
              </w:rPr>
              <w:t xml:space="preserve"> </w:t>
            </w:r>
            <w:r>
              <w:rPr>
                <w:spacing w:val="-16"/>
              </w:rPr>
              <w:t>0</w:t>
            </w:r>
            <w:r>
              <w:rPr>
                <w:spacing w:val="-39"/>
              </w:rPr>
              <w:t xml:space="preserve"> </w:t>
            </w:r>
            <w:r>
              <w:rPr>
                <w:spacing w:val="-16"/>
              </w:rPr>
              <w:t>万</w:t>
            </w:r>
            <w:r>
              <w:rPr>
                <w:spacing w:val="-42"/>
              </w:rPr>
              <w:t xml:space="preserve"> </w:t>
            </w:r>
            <w:r>
              <w:rPr>
                <w:spacing w:val="-16"/>
              </w:rPr>
              <w:t>人</w:t>
            </w:r>
            <w:r>
              <w:rPr>
                <w:spacing w:val="-43"/>
              </w:rPr>
              <w:t xml:space="preserve"> </w:t>
            </w:r>
            <w:r>
              <w:rPr>
                <w:spacing w:val="-16"/>
              </w:rPr>
              <w:t>年</w:t>
            </w:r>
            <w:r>
              <w:rPr>
                <w:spacing w:val="-43"/>
              </w:rPr>
              <w:t xml:space="preserve"> </w:t>
            </w:r>
            <w:r>
              <w:rPr>
                <w:spacing w:val="-16"/>
              </w:rPr>
              <w:t>)</w:t>
            </w:r>
          </w:p>
        </w:tc>
        <w:tc>
          <w:tcPr>
            <w:tcW w:w="2050" w:type="dxa"/>
            <w:tcBorders>
              <w:top w:val="single" w:color="000000" w:sz="4" w:space="0"/>
              <w:bottom w:val="single" w:color="000000" w:sz="4" w:space="0"/>
            </w:tcBorders>
            <w:shd w:val="clear" w:color="auto" w:fill="D2D6D1"/>
            <w:vAlign w:val="top"/>
          </w:tcPr>
          <w:p w14:paraId="2C18B9CB">
            <w:pPr>
              <w:pStyle w:val="6"/>
              <w:spacing w:before="113" w:line="220" w:lineRule="auto"/>
              <w:ind w:left="270"/>
            </w:pPr>
            <w:r>
              <w:rPr>
                <w:spacing w:val="-2"/>
              </w:rPr>
              <w:t>非吸烟者发病密度/</w:t>
            </w:r>
          </w:p>
          <w:p w14:paraId="2DF2F0FD">
            <w:pPr>
              <w:pStyle w:val="6"/>
              <w:spacing w:before="41" w:line="219" w:lineRule="auto"/>
              <w:ind w:left="470"/>
            </w:pPr>
            <w:r>
              <w:rPr>
                <w:spacing w:val="4"/>
              </w:rPr>
              <w:t>(1/10万人年)</w:t>
            </w:r>
          </w:p>
        </w:tc>
        <w:tc>
          <w:tcPr>
            <w:tcW w:w="980" w:type="dxa"/>
            <w:tcBorders>
              <w:top w:val="single" w:color="000000" w:sz="4" w:space="0"/>
              <w:bottom w:val="single" w:color="000000" w:sz="4" w:space="0"/>
            </w:tcBorders>
            <w:shd w:val="clear" w:color="auto" w:fill="D3D4D2"/>
            <w:vAlign w:val="top"/>
          </w:tcPr>
          <w:p w14:paraId="3A8ACFCB">
            <w:pPr>
              <w:pStyle w:val="6"/>
              <w:spacing w:before="295" w:line="182" w:lineRule="auto"/>
              <w:ind w:left="390"/>
            </w:pPr>
            <w:r>
              <w:rPr>
                <w:spacing w:val="-2"/>
              </w:rPr>
              <w:t>RR</w:t>
            </w:r>
          </w:p>
        </w:tc>
        <w:tc>
          <w:tcPr>
            <w:tcW w:w="1880" w:type="dxa"/>
            <w:tcBorders>
              <w:top w:val="single" w:color="000000" w:sz="4" w:space="0"/>
              <w:bottom w:val="single" w:color="000000" w:sz="4" w:space="0"/>
            </w:tcBorders>
            <w:shd w:val="clear" w:color="auto" w:fill="C4C6BD"/>
            <w:vAlign w:val="top"/>
          </w:tcPr>
          <w:p w14:paraId="4A969D97">
            <w:pPr>
              <w:pStyle w:val="6"/>
              <w:spacing w:before="243" w:line="219" w:lineRule="auto"/>
              <w:ind w:left="190"/>
            </w:pPr>
            <w:r>
              <w:t>AR</w:t>
            </w:r>
            <w:r>
              <w:rPr>
                <w:spacing w:val="4"/>
              </w:rPr>
              <w:t>/(1/10万人年)</w:t>
            </w:r>
          </w:p>
        </w:tc>
      </w:tr>
      <w:tr w14:paraId="7C61E08C">
        <w:trPr>
          <w:trHeight w:val="327" w:hRule="atLeast"/>
        </w:trPr>
        <w:tc>
          <w:tcPr>
            <w:tcW w:w="1590" w:type="dxa"/>
            <w:tcBorders>
              <w:top w:val="single" w:color="000000" w:sz="4" w:space="0"/>
              <w:bottom w:val="single" w:color="000000" w:sz="4" w:space="0"/>
            </w:tcBorders>
            <w:vAlign w:val="top"/>
          </w:tcPr>
          <w:p w14:paraId="6F2E2CDE">
            <w:pPr>
              <w:pStyle w:val="6"/>
              <w:spacing w:before="73" w:line="220" w:lineRule="auto"/>
              <w:ind w:left="590"/>
            </w:pPr>
            <w:r>
              <w:rPr>
                <w:spacing w:val="-2"/>
              </w:rPr>
              <w:t>肺癌</w:t>
            </w:r>
          </w:p>
        </w:tc>
        <w:tc>
          <w:tcPr>
            <w:tcW w:w="2170" w:type="dxa"/>
            <w:tcBorders>
              <w:top w:val="single" w:color="000000" w:sz="4" w:space="0"/>
              <w:bottom w:val="single" w:color="000000" w:sz="4" w:space="0"/>
            </w:tcBorders>
            <w:vAlign w:val="top"/>
          </w:tcPr>
          <w:p w14:paraId="2755D1DD">
            <w:pPr>
              <w:pStyle w:val="6"/>
              <w:spacing w:before="92" w:line="207" w:lineRule="auto"/>
              <w:ind w:left="830"/>
            </w:pPr>
            <w:r>
              <w:rPr>
                <w:spacing w:val="-2"/>
              </w:rPr>
              <w:t>50.12</w:t>
            </w:r>
          </w:p>
        </w:tc>
        <w:tc>
          <w:tcPr>
            <w:tcW w:w="2050" w:type="dxa"/>
            <w:tcBorders>
              <w:top w:val="single" w:color="000000" w:sz="4" w:space="0"/>
              <w:bottom w:val="single" w:color="000000" w:sz="4" w:space="0"/>
            </w:tcBorders>
            <w:vAlign w:val="top"/>
          </w:tcPr>
          <w:p w14:paraId="60BBCD97">
            <w:pPr>
              <w:pStyle w:val="6"/>
              <w:spacing w:before="92" w:line="207" w:lineRule="auto"/>
              <w:ind w:left="820"/>
            </w:pPr>
            <w:r>
              <w:rPr>
                <w:spacing w:val="-2"/>
              </w:rPr>
              <w:t>4.69</w:t>
            </w:r>
          </w:p>
        </w:tc>
        <w:tc>
          <w:tcPr>
            <w:tcW w:w="980" w:type="dxa"/>
            <w:tcBorders>
              <w:top w:val="single" w:color="000000" w:sz="4" w:space="0"/>
              <w:bottom w:val="single" w:color="000000" w:sz="4" w:space="0"/>
            </w:tcBorders>
            <w:vAlign w:val="top"/>
          </w:tcPr>
          <w:p w14:paraId="42E3C8CC">
            <w:pPr>
              <w:pStyle w:val="6"/>
              <w:spacing w:before="92" w:line="207" w:lineRule="auto"/>
              <w:ind w:left="240"/>
            </w:pPr>
            <w:r>
              <w:rPr>
                <w:spacing w:val="-4"/>
              </w:rPr>
              <w:t>10.69</w:t>
            </w:r>
          </w:p>
        </w:tc>
        <w:tc>
          <w:tcPr>
            <w:tcW w:w="1880" w:type="dxa"/>
            <w:tcBorders>
              <w:top w:val="single" w:color="000000" w:sz="4" w:space="0"/>
              <w:bottom w:val="single" w:color="000000" w:sz="4" w:space="0"/>
            </w:tcBorders>
            <w:vAlign w:val="top"/>
          </w:tcPr>
          <w:p w14:paraId="6F30B36E">
            <w:pPr>
              <w:pStyle w:val="6"/>
              <w:spacing w:before="92" w:line="207" w:lineRule="auto"/>
              <w:ind w:left="690"/>
            </w:pPr>
            <w:r>
              <w:rPr>
                <w:spacing w:val="-2"/>
              </w:rPr>
              <w:t>45.43</w:t>
            </w:r>
          </w:p>
        </w:tc>
      </w:tr>
      <w:tr w14:paraId="4814B8BB">
        <w:trPr>
          <w:trHeight w:val="382" w:hRule="atLeast"/>
        </w:trPr>
        <w:tc>
          <w:tcPr>
            <w:tcW w:w="1590" w:type="dxa"/>
            <w:tcBorders>
              <w:top w:val="single" w:color="000000" w:sz="4" w:space="0"/>
              <w:bottom w:val="single" w:color="000000" w:sz="4" w:space="0"/>
            </w:tcBorders>
            <w:shd w:val="clear" w:color="auto" w:fill="E4E3E8"/>
            <w:vAlign w:val="top"/>
          </w:tcPr>
          <w:p w14:paraId="66B40883">
            <w:pPr>
              <w:pStyle w:val="6"/>
              <w:spacing w:before="96" w:line="219" w:lineRule="auto"/>
              <w:ind w:left="290"/>
            </w:pPr>
            <w:r>
              <w:rPr>
                <w:spacing w:val="2"/>
              </w:rPr>
              <w:t>心血管疾病</w:t>
            </w:r>
          </w:p>
        </w:tc>
        <w:tc>
          <w:tcPr>
            <w:tcW w:w="2170" w:type="dxa"/>
            <w:tcBorders>
              <w:top w:val="single" w:color="000000" w:sz="4" w:space="0"/>
              <w:bottom w:val="single" w:color="000000" w:sz="4" w:space="0"/>
            </w:tcBorders>
            <w:shd w:val="clear" w:color="auto" w:fill="E5E3E8"/>
            <w:vAlign w:val="top"/>
          </w:tcPr>
          <w:p w14:paraId="1B5D75DD">
            <w:pPr>
              <w:pStyle w:val="6"/>
              <w:spacing w:before="116" w:line="236" w:lineRule="auto"/>
              <w:ind w:left="780"/>
            </w:pPr>
            <w:r>
              <w:rPr>
                <w:spacing w:val="-2"/>
              </w:rPr>
              <w:t>296.75</w:t>
            </w:r>
          </w:p>
        </w:tc>
        <w:tc>
          <w:tcPr>
            <w:tcW w:w="2050" w:type="dxa"/>
            <w:tcBorders>
              <w:top w:val="single" w:color="000000" w:sz="4" w:space="0"/>
              <w:bottom w:val="single" w:color="000000" w:sz="4" w:space="0"/>
            </w:tcBorders>
            <w:shd w:val="clear" w:color="auto" w:fill="E2E0E3"/>
            <w:vAlign w:val="top"/>
          </w:tcPr>
          <w:p w14:paraId="66827947">
            <w:pPr>
              <w:pStyle w:val="6"/>
              <w:spacing w:before="116" w:line="236" w:lineRule="auto"/>
              <w:ind w:left="719"/>
            </w:pPr>
            <w:r>
              <w:rPr>
                <w:spacing w:val="-4"/>
              </w:rPr>
              <w:t>170.32</w:t>
            </w:r>
          </w:p>
        </w:tc>
        <w:tc>
          <w:tcPr>
            <w:tcW w:w="980" w:type="dxa"/>
            <w:tcBorders>
              <w:top w:val="single" w:color="000000" w:sz="4" w:space="0"/>
              <w:bottom w:val="single" w:color="000000" w:sz="4" w:space="0"/>
            </w:tcBorders>
            <w:shd w:val="clear" w:color="auto" w:fill="E4E4E5"/>
            <w:vAlign w:val="top"/>
          </w:tcPr>
          <w:p w14:paraId="4C841A54">
            <w:pPr>
              <w:pStyle w:val="6"/>
              <w:spacing w:before="116" w:line="236" w:lineRule="auto"/>
              <w:ind w:left="290"/>
            </w:pPr>
            <w:r>
              <w:rPr>
                <w:spacing w:val="-5"/>
              </w:rPr>
              <w:t>1.74</w:t>
            </w:r>
          </w:p>
        </w:tc>
        <w:tc>
          <w:tcPr>
            <w:tcW w:w="1880" w:type="dxa"/>
            <w:tcBorders>
              <w:top w:val="single" w:color="000000" w:sz="4" w:space="0"/>
              <w:bottom w:val="single" w:color="000000" w:sz="4" w:space="0"/>
            </w:tcBorders>
            <w:shd w:val="clear" w:color="auto" w:fill="E4E4E5"/>
            <w:vAlign w:val="top"/>
          </w:tcPr>
          <w:p w14:paraId="623EDEB0">
            <w:pPr>
              <w:pStyle w:val="6"/>
              <w:spacing w:before="116" w:line="236" w:lineRule="auto"/>
              <w:ind w:left="640"/>
            </w:pPr>
            <w:r>
              <w:rPr>
                <w:spacing w:val="-4"/>
              </w:rPr>
              <w:t>126.43</w:t>
            </w:r>
          </w:p>
        </w:tc>
      </w:tr>
    </w:tbl>
    <w:p w14:paraId="12685B84">
      <w:pPr>
        <w:spacing w:line="376" w:lineRule="auto"/>
        <w:rPr>
          <w:rFonts w:ascii="Arial"/>
          <w:sz w:val="21"/>
        </w:rPr>
      </w:pPr>
    </w:p>
    <w:p w14:paraId="582D325E">
      <w:pPr>
        <w:pStyle w:val="2"/>
        <w:spacing w:before="68" w:line="270" w:lineRule="auto"/>
        <w:ind w:left="749" w:right="56" w:firstLine="389"/>
        <w:rPr>
          <w:rFonts w:ascii="宋体" w:hAnsi="宋体" w:eastAsia="宋体" w:cs="宋体"/>
          <w:sz w:val="21"/>
          <w:szCs w:val="21"/>
        </w:rPr>
      </w:pPr>
      <w:r>
        <w:rPr>
          <w:rFonts w:ascii="宋体" w:hAnsi="宋体" w:eastAsia="宋体" w:cs="宋体"/>
          <w:spacing w:val="-6"/>
          <w:sz w:val="21"/>
          <w:szCs w:val="21"/>
        </w:rPr>
        <w:t>3. 归因危险度百分比</w:t>
      </w:r>
      <w:r>
        <w:rPr>
          <w:spacing w:val="-6"/>
          <w:sz w:val="21"/>
          <w:szCs w:val="21"/>
        </w:rPr>
        <w:t>(</w:t>
      </w:r>
      <w:r>
        <w:rPr>
          <w:spacing w:val="-62"/>
          <w:sz w:val="21"/>
          <w:szCs w:val="21"/>
        </w:rPr>
        <w:t xml:space="preserve"> </w:t>
      </w:r>
      <w:r>
        <w:rPr>
          <w:rFonts w:ascii="宋体" w:hAnsi="宋体" w:eastAsia="宋体" w:cs="宋体"/>
          <w:spacing w:val="-6"/>
          <w:sz w:val="21"/>
          <w:szCs w:val="21"/>
        </w:rPr>
        <w:t>AR%)   又称为病因分值(etiolo</w:t>
      </w:r>
      <w:r>
        <w:rPr>
          <w:rFonts w:ascii="宋体" w:hAnsi="宋体" w:eastAsia="宋体" w:cs="宋体"/>
          <w:spacing w:val="-7"/>
          <w:sz w:val="21"/>
          <w:szCs w:val="21"/>
        </w:rPr>
        <w:t>gic fraction,EF),是指暴露人群中的发</w:t>
      </w:r>
      <w:r>
        <w:rPr>
          <w:rFonts w:ascii="宋体" w:hAnsi="宋体" w:eastAsia="宋体" w:cs="宋体"/>
          <w:sz w:val="21"/>
          <w:szCs w:val="21"/>
        </w:rPr>
        <w:t xml:space="preserve"> </w:t>
      </w:r>
      <w:r>
        <w:rPr>
          <w:rFonts w:ascii="宋体" w:hAnsi="宋体" w:eastAsia="宋体" w:cs="宋体"/>
          <w:spacing w:val="-4"/>
          <w:sz w:val="21"/>
          <w:szCs w:val="21"/>
        </w:rPr>
        <w:t>病或死亡归因于暴露的部分占全部发病或死亡的百分</w:t>
      </w:r>
      <w:r>
        <w:rPr>
          <w:rFonts w:ascii="宋体" w:hAnsi="宋体" w:eastAsia="宋体" w:cs="宋体"/>
          <w:spacing w:val="-5"/>
          <w:sz w:val="21"/>
          <w:szCs w:val="21"/>
        </w:rPr>
        <w:t>比。</w:t>
      </w:r>
    </w:p>
    <w:p w14:paraId="53A86B73">
      <w:pPr>
        <w:spacing w:before="274"/>
        <w:jc w:val="right"/>
        <w:rPr>
          <w:rFonts w:ascii="宋体" w:hAnsi="宋体" w:eastAsia="宋体" w:cs="宋体"/>
          <w:sz w:val="21"/>
          <w:szCs w:val="21"/>
        </w:rPr>
      </w:pPr>
      <w:r>
        <w:rPr>
          <w:rFonts w:ascii="宋体" w:hAnsi="宋体" w:eastAsia="宋体" w:cs="宋体"/>
          <w:position w:val="-21"/>
          <w:sz w:val="21"/>
          <w:szCs w:val="21"/>
        </w:rPr>
        <w:drawing>
          <wp:inline distT="0" distB="0" distL="0" distR="0">
            <wp:extent cx="1117600" cy="374015"/>
            <wp:effectExtent l="0" t="0" r="0" b="0"/>
            <wp:docPr id="222" name="IM 222"/>
            <wp:cNvGraphicFramePr/>
            <a:graphic xmlns:a="http://schemas.openxmlformats.org/drawingml/2006/main">
              <a:graphicData uri="http://schemas.openxmlformats.org/drawingml/2006/picture">
                <pic:pic xmlns:pic="http://schemas.openxmlformats.org/drawingml/2006/picture">
                  <pic:nvPicPr>
                    <pic:cNvPr id="222" name="IM 222"/>
                    <pic:cNvPicPr/>
                  </pic:nvPicPr>
                  <pic:blipFill>
                    <a:blip r:embed="rId487"/>
                    <a:stretch>
                      <a:fillRect/>
                    </a:stretch>
                  </pic:blipFill>
                  <pic:spPr>
                    <a:xfrm>
                      <a:off x="0" y="0"/>
                      <a:ext cx="1117606" cy="374572"/>
                    </a:xfrm>
                    <a:prstGeom prst="rect">
                      <a:avLst/>
                    </a:prstGeom>
                  </pic:spPr>
                </pic:pic>
              </a:graphicData>
            </a:graphic>
          </wp:inline>
        </w:drawing>
      </w:r>
      <w:r>
        <w:rPr>
          <w:rFonts w:ascii="宋体" w:hAnsi="宋体" w:eastAsia="宋体" w:cs="宋体"/>
          <w:spacing w:val="2"/>
          <w:sz w:val="21"/>
          <w:szCs w:val="21"/>
        </w:rPr>
        <w:t xml:space="preserve">                         </w:t>
      </w:r>
      <w:r>
        <w:rPr>
          <w:rFonts w:ascii="宋体" w:hAnsi="宋体" w:eastAsia="宋体" w:cs="宋体"/>
          <w:spacing w:val="3"/>
          <w:sz w:val="21"/>
          <w:szCs w:val="21"/>
        </w:rPr>
        <w:t>式(4-10)</w:t>
      </w:r>
    </w:p>
    <w:p w14:paraId="0AA52ABD">
      <w:pPr>
        <w:spacing w:before="180"/>
        <w:ind w:right="28"/>
        <w:jc w:val="right"/>
        <w:rPr>
          <w:rFonts w:ascii="宋体" w:hAnsi="宋体" w:eastAsia="宋体" w:cs="宋体"/>
          <w:sz w:val="21"/>
          <w:szCs w:val="21"/>
        </w:rPr>
      </w:pPr>
      <w:r>
        <w:rPr>
          <w:rFonts w:ascii="宋体" w:hAnsi="宋体" w:eastAsia="宋体" w:cs="宋体"/>
          <w:position w:val="-16"/>
          <w:sz w:val="21"/>
          <w:szCs w:val="21"/>
        </w:rPr>
        <w:drawing>
          <wp:inline distT="0" distB="0" distL="0" distR="0">
            <wp:extent cx="1295400" cy="304165"/>
            <wp:effectExtent l="0" t="0" r="0" b="0"/>
            <wp:docPr id="224" name="IM 224"/>
            <wp:cNvGraphicFramePr/>
            <a:graphic xmlns:a="http://schemas.openxmlformats.org/drawingml/2006/main">
              <a:graphicData uri="http://schemas.openxmlformats.org/drawingml/2006/picture">
                <pic:pic xmlns:pic="http://schemas.openxmlformats.org/drawingml/2006/picture">
                  <pic:nvPicPr>
                    <pic:cNvPr id="224" name="IM 224"/>
                    <pic:cNvPicPr/>
                  </pic:nvPicPr>
                  <pic:blipFill>
                    <a:blip r:embed="rId488"/>
                    <a:stretch>
                      <a:fillRect/>
                    </a:stretch>
                  </pic:blipFill>
                  <pic:spPr>
                    <a:xfrm>
                      <a:off x="0" y="0"/>
                      <a:ext cx="1295865" cy="304745"/>
                    </a:xfrm>
                    <a:prstGeom prst="rect">
                      <a:avLst/>
                    </a:prstGeom>
                  </pic:spPr>
                </pic:pic>
              </a:graphicData>
            </a:graphic>
          </wp:inline>
        </w:drawing>
      </w:r>
      <w:r>
        <w:rPr>
          <w:rFonts w:ascii="宋体" w:hAnsi="宋体" w:eastAsia="宋体" w:cs="宋体"/>
          <w:spacing w:val="1"/>
          <w:sz w:val="21"/>
          <w:szCs w:val="21"/>
        </w:rPr>
        <w:t xml:space="preserve">                        </w:t>
      </w:r>
      <w:r>
        <w:rPr>
          <w:rFonts w:ascii="宋体" w:hAnsi="宋体" w:eastAsia="宋体" w:cs="宋体"/>
          <w:spacing w:val="-2"/>
          <w:sz w:val="21"/>
          <w:szCs w:val="21"/>
        </w:rPr>
        <w:t>式(4-11)</w:t>
      </w:r>
    </w:p>
    <w:p w14:paraId="1D604D22">
      <w:pPr>
        <w:spacing w:before="298" w:line="219" w:lineRule="auto"/>
        <w:ind w:left="1180"/>
        <w:rPr>
          <w:rFonts w:ascii="宋体" w:hAnsi="宋体" w:eastAsia="宋体" w:cs="宋体"/>
          <w:sz w:val="21"/>
          <w:szCs w:val="21"/>
        </w:rPr>
      </w:pPr>
      <w:r>
        <w:rPr>
          <w:rFonts w:ascii="宋体" w:hAnsi="宋体" w:eastAsia="宋体" w:cs="宋体"/>
          <w:spacing w:val="4"/>
          <w:sz w:val="21"/>
          <w:szCs w:val="21"/>
        </w:rPr>
        <w:t>例如，在关于乙肝病毒(</w:t>
      </w:r>
      <w:r>
        <w:rPr>
          <w:rFonts w:ascii="宋体" w:hAnsi="宋体" w:eastAsia="宋体" w:cs="宋体"/>
          <w:sz w:val="21"/>
          <w:szCs w:val="21"/>
        </w:rPr>
        <w:t>HBV</w:t>
      </w:r>
      <w:r>
        <w:rPr>
          <w:rFonts w:ascii="宋体" w:hAnsi="宋体" w:eastAsia="宋体" w:cs="宋体"/>
          <w:spacing w:val="4"/>
          <w:sz w:val="21"/>
          <w:szCs w:val="21"/>
        </w:rPr>
        <w:t>)  感染与原发性肝癌关系的</w:t>
      </w:r>
      <w:r>
        <w:rPr>
          <w:rFonts w:ascii="宋体" w:hAnsi="宋体" w:eastAsia="宋体" w:cs="宋体"/>
          <w:spacing w:val="3"/>
          <w:sz w:val="21"/>
          <w:szCs w:val="21"/>
        </w:rPr>
        <w:t>研究中，</w:t>
      </w:r>
      <w:r>
        <w:rPr>
          <w:rFonts w:ascii="宋体" w:hAnsi="宋体" w:eastAsia="宋体" w:cs="宋体"/>
          <w:sz w:val="21"/>
          <w:szCs w:val="21"/>
        </w:rPr>
        <w:t>HBV</w:t>
      </w:r>
      <w:r>
        <w:rPr>
          <w:rFonts w:ascii="宋体" w:hAnsi="宋体" w:eastAsia="宋体" w:cs="宋体"/>
          <w:spacing w:val="3"/>
          <w:sz w:val="21"/>
          <w:szCs w:val="21"/>
        </w:rPr>
        <w:t xml:space="preserve">  感染者原发性肝癌</w:t>
      </w:r>
    </w:p>
    <w:p w14:paraId="26714510">
      <w:pPr>
        <w:spacing w:before="129" w:line="216" w:lineRule="auto"/>
        <w:ind w:left="749"/>
        <w:rPr>
          <w:rFonts w:ascii="宋体" w:hAnsi="宋体" w:eastAsia="宋体" w:cs="宋体"/>
          <w:sz w:val="21"/>
          <w:szCs w:val="21"/>
        </w:rPr>
      </w:pPr>
      <w:r>
        <w:rPr>
          <w:rFonts w:ascii="宋体" w:hAnsi="宋体" w:eastAsia="宋体" w:cs="宋体"/>
          <w:spacing w:val="13"/>
          <w:sz w:val="21"/>
          <w:szCs w:val="21"/>
        </w:rPr>
        <w:t>的发病率为75.25‰,对照组原发性肝癌的发病率为5.10%,原发性肝癌的归因危险</w:t>
      </w:r>
      <w:r>
        <w:rPr>
          <w:rFonts w:ascii="宋体" w:hAnsi="宋体" w:eastAsia="宋体" w:cs="宋体"/>
          <w:spacing w:val="12"/>
          <w:sz w:val="21"/>
          <w:szCs w:val="21"/>
        </w:rPr>
        <w:t>度百分比</w:t>
      </w:r>
    </w:p>
    <w:p w14:paraId="5EC20A7A">
      <w:pPr>
        <w:spacing w:before="98" w:line="490" w:lineRule="exact"/>
        <w:ind w:firstLine="739"/>
      </w:pPr>
      <w:r>
        <w:rPr>
          <w:position w:val="-9"/>
        </w:rPr>
        <w:drawing>
          <wp:inline distT="0" distB="0" distL="0" distR="0">
            <wp:extent cx="5568950" cy="311150"/>
            <wp:effectExtent l="0" t="0" r="0" b="0"/>
            <wp:docPr id="226" name="IM 226"/>
            <wp:cNvGraphicFramePr/>
            <a:graphic xmlns:a="http://schemas.openxmlformats.org/drawingml/2006/main">
              <a:graphicData uri="http://schemas.openxmlformats.org/drawingml/2006/picture">
                <pic:pic xmlns:pic="http://schemas.openxmlformats.org/drawingml/2006/picture">
                  <pic:nvPicPr>
                    <pic:cNvPr id="226" name="IM 226"/>
                    <pic:cNvPicPr/>
                  </pic:nvPicPr>
                  <pic:blipFill>
                    <a:blip r:embed="rId489"/>
                    <a:stretch>
                      <a:fillRect/>
                    </a:stretch>
                  </pic:blipFill>
                  <pic:spPr>
                    <a:xfrm>
                      <a:off x="0" y="0"/>
                      <a:ext cx="5568989" cy="311235"/>
                    </a:xfrm>
                    <a:prstGeom prst="rect">
                      <a:avLst/>
                    </a:prstGeom>
                  </pic:spPr>
                </pic:pic>
              </a:graphicData>
            </a:graphic>
          </wp:inline>
        </w:drawing>
      </w:r>
    </w:p>
    <w:p w14:paraId="4A54D216">
      <w:pPr>
        <w:pStyle w:val="2"/>
        <w:spacing w:before="280" w:line="224" w:lineRule="auto"/>
        <w:ind w:left="739"/>
        <w:rPr>
          <w:sz w:val="21"/>
          <w:szCs w:val="21"/>
        </w:rPr>
      </w:pPr>
      <w:r>
        <w:rPr>
          <w:rFonts w:ascii="Times New Roman" w:hAnsi="Times New Roman" w:eastAsia="Times New Roman" w:cs="Times New Roman"/>
          <w:sz w:val="21"/>
          <w:szCs w:val="21"/>
        </w:rPr>
        <w:t>HBV</w:t>
      </w:r>
      <w:r>
        <w:rPr>
          <w:spacing w:val="10"/>
          <w:sz w:val="21"/>
          <w:szCs w:val="21"/>
        </w:rPr>
        <w:t>感染。</w:t>
      </w:r>
    </w:p>
    <w:p w14:paraId="43A6A030">
      <w:pPr>
        <w:pStyle w:val="2"/>
        <w:spacing w:before="169" w:line="218" w:lineRule="auto"/>
        <w:ind w:left="1160"/>
        <w:rPr>
          <w:rFonts w:ascii="宋体" w:hAnsi="宋体" w:eastAsia="宋体" w:cs="宋体"/>
          <w:sz w:val="21"/>
          <w:szCs w:val="21"/>
        </w:rPr>
      </w:pPr>
      <w:r>
        <w:rPr>
          <w:rFonts w:ascii="宋体" w:hAnsi="宋体" w:eastAsia="宋体" w:cs="宋体"/>
          <w:spacing w:val="-11"/>
          <w:sz w:val="21"/>
          <w:szCs w:val="21"/>
        </w:rPr>
        <w:t>4. 人群归因危险度</w:t>
      </w:r>
      <w:r>
        <w:rPr>
          <w:spacing w:val="-11"/>
          <w:sz w:val="21"/>
          <w:szCs w:val="21"/>
        </w:rPr>
        <w:t>(popul</w:t>
      </w:r>
      <w:r>
        <w:rPr>
          <w:rFonts w:ascii="宋体" w:hAnsi="宋体" w:eastAsia="宋体" w:cs="宋体"/>
          <w:spacing w:val="-11"/>
          <w:sz w:val="21"/>
          <w:szCs w:val="21"/>
        </w:rPr>
        <w:t>ation attributable risk,PAR)与人群归因危险度百</w:t>
      </w:r>
      <w:r>
        <w:rPr>
          <w:rFonts w:ascii="宋体" w:hAnsi="宋体" w:eastAsia="宋体" w:cs="宋体"/>
          <w:spacing w:val="-12"/>
          <w:sz w:val="21"/>
          <w:szCs w:val="21"/>
        </w:rPr>
        <w:t>分比(PAR%)PAR</w:t>
      </w:r>
    </w:p>
    <w:p w14:paraId="1BDE0721">
      <w:pPr>
        <w:spacing w:before="126" w:line="343" w:lineRule="auto"/>
        <w:ind w:left="719" w:right="53" w:firstLine="19"/>
        <w:rPr>
          <w:rFonts w:ascii="宋体" w:hAnsi="宋体" w:eastAsia="宋体" w:cs="宋体"/>
          <w:sz w:val="21"/>
          <w:szCs w:val="21"/>
        </w:rPr>
      </w:pPr>
      <w:r>
        <w:rPr>
          <w:rFonts w:ascii="宋体" w:hAnsi="宋体" w:eastAsia="宋体" w:cs="宋体"/>
          <w:spacing w:val="-1"/>
          <w:sz w:val="21"/>
          <w:szCs w:val="21"/>
        </w:rPr>
        <w:t>是指总人群发病(或死亡)率中归因于暴露的部分，而PAR%  是指总人群发病(或死亡)率中归因于</w:t>
      </w:r>
      <w:r>
        <w:rPr>
          <w:rFonts w:ascii="宋体" w:hAnsi="宋体" w:eastAsia="宋体" w:cs="宋体"/>
          <w:spacing w:val="8"/>
          <w:sz w:val="21"/>
          <w:szCs w:val="21"/>
        </w:rPr>
        <w:t xml:space="preserve"> </w:t>
      </w:r>
      <w:r>
        <w:rPr>
          <w:rFonts w:ascii="宋体" w:hAnsi="宋体" w:eastAsia="宋体" w:cs="宋体"/>
          <w:spacing w:val="-1"/>
          <w:sz w:val="21"/>
          <w:szCs w:val="21"/>
        </w:rPr>
        <w:t>暴露的部分占总人群全部发病(或死亡)率的百分比。</w:t>
      </w:r>
    </w:p>
    <w:p w14:paraId="36B89570">
      <w:pPr>
        <w:spacing w:before="1" w:line="331" w:lineRule="auto"/>
        <w:ind w:left="739" w:right="67" w:firstLine="420"/>
        <w:jc w:val="both"/>
        <w:rPr>
          <w:rFonts w:ascii="宋体" w:hAnsi="宋体" w:eastAsia="宋体" w:cs="宋体"/>
          <w:sz w:val="21"/>
          <w:szCs w:val="21"/>
        </w:rPr>
      </w:pPr>
      <w:r>
        <w:rPr>
          <w:rFonts w:ascii="Times New Roman" w:hAnsi="Times New Roman" w:eastAsia="Times New Roman" w:cs="Times New Roman"/>
          <w:spacing w:val="-7"/>
          <w:sz w:val="21"/>
          <w:szCs w:val="21"/>
        </w:rPr>
        <w:t xml:space="preserve">PAR </w:t>
      </w:r>
      <w:r>
        <w:rPr>
          <w:rFonts w:ascii="宋体" w:hAnsi="宋体" w:eastAsia="宋体" w:cs="宋体"/>
          <w:spacing w:val="-7"/>
          <w:sz w:val="21"/>
          <w:szCs w:val="21"/>
        </w:rPr>
        <w:t>和</w:t>
      </w:r>
      <w:r>
        <w:rPr>
          <w:rFonts w:ascii="Times New Roman" w:hAnsi="Times New Roman" w:eastAsia="Times New Roman" w:cs="Times New Roman"/>
          <w:spacing w:val="-7"/>
          <w:sz w:val="21"/>
          <w:szCs w:val="21"/>
        </w:rPr>
        <w:t xml:space="preserve">PAR% </w:t>
      </w:r>
      <w:r>
        <w:rPr>
          <w:rFonts w:ascii="宋体" w:hAnsi="宋体" w:eastAsia="宋体" w:cs="宋体"/>
          <w:spacing w:val="-7"/>
          <w:sz w:val="21"/>
          <w:szCs w:val="21"/>
        </w:rPr>
        <w:t>是通过比较全人群与对照组的率，说明暴露对全人群的危害程度，以及消除这个</w:t>
      </w:r>
      <w:r>
        <w:rPr>
          <w:rFonts w:ascii="宋体" w:hAnsi="宋体" w:eastAsia="宋体" w:cs="宋体"/>
          <w:spacing w:val="5"/>
          <w:sz w:val="21"/>
          <w:szCs w:val="21"/>
        </w:rPr>
        <w:t xml:space="preserve"> </w:t>
      </w:r>
      <w:r>
        <w:rPr>
          <w:rFonts w:ascii="宋体" w:hAnsi="宋体" w:eastAsia="宋体" w:cs="宋体"/>
          <w:spacing w:val="-2"/>
          <w:sz w:val="21"/>
          <w:szCs w:val="21"/>
        </w:rPr>
        <w:t>因素后该人群中的发病率或死亡率可能降低的程度。它们既与RR 和AR 有关，又与人群中暴露者</w:t>
      </w:r>
      <w:r>
        <w:rPr>
          <w:rFonts w:ascii="宋体" w:hAnsi="宋体" w:eastAsia="宋体" w:cs="宋体"/>
          <w:spacing w:val="18"/>
          <w:sz w:val="21"/>
          <w:szCs w:val="21"/>
        </w:rPr>
        <w:t xml:space="preserve"> </w:t>
      </w:r>
      <w:r>
        <w:rPr>
          <w:rFonts w:ascii="宋体" w:hAnsi="宋体" w:eastAsia="宋体" w:cs="宋体"/>
          <w:spacing w:val="-2"/>
          <w:sz w:val="21"/>
          <w:szCs w:val="21"/>
        </w:rPr>
        <w:t>的比例有关。</w:t>
      </w:r>
      <w:r>
        <w:rPr>
          <w:rFonts w:ascii="Times New Roman" w:hAnsi="Times New Roman" w:eastAsia="Times New Roman" w:cs="Times New Roman"/>
          <w:spacing w:val="-2"/>
          <w:sz w:val="21"/>
          <w:szCs w:val="21"/>
        </w:rPr>
        <w:t>PAR</w:t>
      </w:r>
      <w:r>
        <w:rPr>
          <w:rFonts w:ascii="Times New Roman" w:hAnsi="Times New Roman" w:eastAsia="Times New Roman" w:cs="Times New Roman"/>
          <w:spacing w:val="9"/>
          <w:sz w:val="21"/>
          <w:szCs w:val="21"/>
        </w:rPr>
        <w:t xml:space="preserve"> </w:t>
      </w:r>
      <w:r>
        <w:rPr>
          <w:rFonts w:ascii="宋体" w:hAnsi="宋体" w:eastAsia="宋体" w:cs="宋体"/>
          <w:spacing w:val="-2"/>
          <w:sz w:val="21"/>
          <w:szCs w:val="21"/>
        </w:rPr>
        <w:t>和</w:t>
      </w:r>
      <w:r>
        <w:rPr>
          <w:rFonts w:ascii="Times New Roman" w:hAnsi="Times New Roman" w:eastAsia="Times New Roman" w:cs="Times New Roman"/>
          <w:spacing w:val="-2"/>
          <w:sz w:val="21"/>
          <w:szCs w:val="21"/>
        </w:rPr>
        <w:t>PAR%</w:t>
      </w:r>
      <w:r>
        <w:rPr>
          <w:rFonts w:ascii="宋体" w:hAnsi="宋体" w:eastAsia="宋体" w:cs="宋体"/>
          <w:spacing w:val="-2"/>
          <w:sz w:val="21"/>
          <w:szCs w:val="21"/>
        </w:rPr>
        <w:t>的计算公式如下：</w:t>
      </w:r>
    </w:p>
    <w:p w14:paraId="23E4D90D">
      <w:pPr>
        <w:spacing w:before="202" w:line="221" w:lineRule="auto"/>
        <w:ind w:right="19"/>
        <w:jc w:val="right"/>
        <w:rPr>
          <w:rFonts w:ascii="宋体" w:hAnsi="宋体" w:eastAsia="宋体" w:cs="宋体"/>
          <w:sz w:val="21"/>
          <w:szCs w:val="21"/>
        </w:rPr>
      </w:pPr>
      <w:r>
        <w:rPr>
          <w:rFonts w:ascii="Times New Roman" w:hAnsi="Times New Roman" w:eastAsia="Times New Roman" w:cs="Times New Roman"/>
          <w:position w:val="-1"/>
          <w:sz w:val="21"/>
          <w:szCs w:val="21"/>
        </w:rPr>
        <w:t>PAR</w:t>
      </w:r>
      <w:r>
        <w:rPr>
          <w:rFonts w:ascii="Times New Roman" w:hAnsi="Times New Roman" w:eastAsia="Times New Roman" w:cs="Times New Roman"/>
          <w:spacing w:val="1"/>
          <w:position w:val="-1"/>
          <w:sz w:val="21"/>
          <w:szCs w:val="21"/>
        </w:rPr>
        <w:t xml:space="preserve">=I₁-I₀                                                          </w:t>
      </w:r>
      <w:r>
        <w:rPr>
          <w:rFonts w:ascii="Times New Roman" w:hAnsi="Times New Roman" w:eastAsia="Times New Roman" w:cs="Times New Roman"/>
          <w:position w:val="-1"/>
          <w:sz w:val="21"/>
          <w:szCs w:val="21"/>
        </w:rPr>
        <w:t xml:space="preserve"> </w:t>
      </w:r>
      <w:r>
        <w:rPr>
          <w:rFonts w:ascii="宋体" w:hAnsi="宋体" w:eastAsia="宋体" w:cs="宋体"/>
          <w:sz w:val="21"/>
          <w:szCs w:val="21"/>
        </w:rPr>
        <w:t>式(4-12)</w:t>
      </w:r>
    </w:p>
    <w:p w14:paraId="5E050AC5">
      <w:pPr>
        <w:spacing w:before="253" w:line="212" w:lineRule="auto"/>
        <w:ind w:left="739"/>
        <w:rPr>
          <w:rFonts w:ascii="宋体" w:hAnsi="宋体" w:eastAsia="宋体" w:cs="宋体"/>
          <w:sz w:val="21"/>
          <w:szCs w:val="21"/>
        </w:rPr>
      </w:pPr>
      <w:r>
        <w:rPr>
          <w:rFonts w:ascii="宋体" w:hAnsi="宋体" w:eastAsia="宋体" w:cs="宋体"/>
          <w:spacing w:val="-11"/>
          <w:sz w:val="21"/>
          <w:szCs w:val="21"/>
        </w:rPr>
        <w:t>式中，</w:t>
      </w:r>
      <w:r>
        <w:rPr>
          <w:rFonts w:ascii="Times New Roman" w:hAnsi="Times New Roman" w:eastAsia="Times New Roman" w:cs="Times New Roman"/>
          <w:spacing w:val="-11"/>
          <w:sz w:val="21"/>
          <w:szCs w:val="21"/>
        </w:rPr>
        <w:t xml:space="preserve">I, </w:t>
      </w:r>
      <w:r>
        <w:rPr>
          <w:rFonts w:ascii="宋体" w:hAnsi="宋体" w:eastAsia="宋体" w:cs="宋体"/>
          <w:spacing w:val="-11"/>
          <w:sz w:val="21"/>
          <w:szCs w:val="21"/>
        </w:rPr>
        <w:t>为全人群的率，</w:t>
      </w:r>
      <w:r>
        <w:rPr>
          <w:rFonts w:ascii="Times New Roman" w:hAnsi="Times New Roman" w:eastAsia="Times New Roman" w:cs="Times New Roman"/>
          <w:spacing w:val="-11"/>
          <w:sz w:val="21"/>
          <w:szCs w:val="21"/>
        </w:rPr>
        <w:t xml:space="preserve">I₀ </w:t>
      </w:r>
      <w:r>
        <w:rPr>
          <w:rFonts w:ascii="宋体" w:hAnsi="宋体" w:eastAsia="宋体" w:cs="宋体"/>
          <w:spacing w:val="-11"/>
          <w:sz w:val="21"/>
          <w:szCs w:val="21"/>
        </w:rPr>
        <w:t>为非暴露组的率。</w:t>
      </w:r>
    </w:p>
    <w:p w14:paraId="7FEA0FFA">
      <w:pPr>
        <w:spacing w:before="274"/>
        <w:ind w:right="19"/>
        <w:jc w:val="right"/>
        <w:rPr>
          <w:rFonts w:ascii="宋体" w:hAnsi="宋体" w:eastAsia="宋体" w:cs="宋体"/>
          <w:sz w:val="21"/>
          <w:szCs w:val="21"/>
        </w:rPr>
      </w:pPr>
      <w:r>
        <w:rPr>
          <w:rFonts w:ascii="宋体" w:hAnsi="宋体" w:eastAsia="宋体" w:cs="宋体"/>
          <w:position w:val="-21"/>
          <w:sz w:val="21"/>
          <w:szCs w:val="21"/>
        </w:rPr>
        <w:drawing>
          <wp:inline distT="0" distB="0" distL="0" distR="0">
            <wp:extent cx="1167765" cy="381000"/>
            <wp:effectExtent l="0" t="0" r="0" b="0"/>
            <wp:docPr id="228" name="IM 228"/>
            <wp:cNvGraphicFramePr/>
            <a:graphic xmlns:a="http://schemas.openxmlformats.org/drawingml/2006/main">
              <a:graphicData uri="http://schemas.openxmlformats.org/drawingml/2006/picture">
                <pic:pic xmlns:pic="http://schemas.openxmlformats.org/drawingml/2006/picture">
                  <pic:nvPicPr>
                    <pic:cNvPr id="228" name="IM 228"/>
                    <pic:cNvPicPr/>
                  </pic:nvPicPr>
                  <pic:blipFill>
                    <a:blip r:embed="rId490"/>
                    <a:stretch>
                      <a:fillRect/>
                    </a:stretch>
                  </pic:blipFill>
                  <pic:spPr>
                    <a:xfrm>
                      <a:off x="0" y="0"/>
                      <a:ext cx="1168385" cy="381087"/>
                    </a:xfrm>
                    <a:prstGeom prst="rect">
                      <a:avLst/>
                    </a:prstGeom>
                  </pic:spPr>
                </pic:pic>
              </a:graphicData>
            </a:graphic>
          </wp:inline>
        </w:drawing>
      </w:r>
      <w:r>
        <w:rPr>
          <w:rFonts w:ascii="宋体" w:hAnsi="宋体" w:eastAsia="宋体" w:cs="宋体"/>
          <w:spacing w:val="4"/>
          <w:sz w:val="21"/>
          <w:szCs w:val="21"/>
        </w:rPr>
        <w:t xml:space="preserve">                     </w:t>
      </w:r>
      <w:r>
        <w:rPr>
          <w:rFonts w:ascii="宋体" w:hAnsi="宋体" w:eastAsia="宋体" w:cs="宋体"/>
          <w:spacing w:val="3"/>
          <w:sz w:val="21"/>
          <w:szCs w:val="21"/>
        </w:rPr>
        <w:t xml:space="preserve">   式(4-13)</w:t>
      </w:r>
    </w:p>
    <w:p w14:paraId="69E54902">
      <w:pPr>
        <w:rPr>
          <w:rFonts w:ascii="宋体" w:hAnsi="宋体" w:eastAsia="宋体" w:cs="宋体"/>
          <w:sz w:val="21"/>
          <w:szCs w:val="21"/>
        </w:rPr>
        <w:sectPr>
          <w:footerReference r:id="rId90" w:type="default"/>
          <w:pgSz w:w="11900" w:h="16820"/>
          <w:pgMar w:top="400" w:right="1533" w:bottom="830" w:left="790" w:header="0" w:footer="557" w:gutter="0"/>
          <w:cols w:space="720" w:num="1"/>
        </w:sectPr>
      </w:pPr>
    </w:p>
    <w:p w14:paraId="3C47C008">
      <w:pPr>
        <w:spacing w:line="244" w:lineRule="auto"/>
        <w:rPr>
          <w:rFonts w:ascii="Arial"/>
          <w:sz w:val="21"/>
        </w:rPr>
      </w:pPr>
    </w:p>
    <w:p w14:paraId="7E4A3341">
      <w:pPr>
        <w:pStyle w:val="2"/>
        <w:spacing w:before="72" w:line="222" w:lineRule="auto"/>
        <w:ind w:left="7840"/>
        <w:rPr>
          <w:sz w:val="22"/>
          <w:szCs w:val="22"/>
        </w:rPr>
      </w:pPr>
      <w:bookmarkStart w:id="111" w:name="bookmark439"/>
      <w:bookmarkEnd w:id="111"/>
      <w:r>
        <w:rPr>
          <w:spacing w:val="-19"/>
          <w:w w:val="96"/>
          <w:sz w:val="22"/>
          <w:szCs w:val="22"/>
        </w:rPr>
        <w:t>第四章</w:t>
      </w:r>
      <w:r>
        <w:rPr>
          <w:spacing w:val="3"/>
          <w:sz w:val="22"/>
          <w:szCs w:val="22"/>
        </w:rPr>
        <w:t xml:space="preserve"> </w:t>
      </w:r>
      <w:r>
        <w:rPr>
          <w:spacing w:val="-19"/>
          <w:w w:val="96"/>
          <w:sz w:val="22"/>
          <w:szCs w:val="22"/>
        </w:rPr>
        <w:t>队列研究</w:t>
      </w:r>
    </w:p>
    <w:p w14:paraId="37E86FB6">
      <w:pPr>
        <w:spacing w:line="246" w:lineRule="auto"/>
        <w:rPr>
          <w:rFonts w:ascii="Arial"/>
          <w:sz w:val="21"/>
        </w:rPr>
      </w:pPr>
    </w:p>
    <w:p w14:paraId="1D3ACC9C">
      <w:pPr>
        <w:spacing w:line="246" w:lineRule="auto"/>
        <w:rPr>
          <w:rFonts w:ascii="Arial"/>
          <w:sz w:val="21"/>
        </w:rPr>
      </w:pPr>
    </w:p>
    <w:p w14:paraId="2966E28F">
      <w:pPr>
        <w:spacing w:before="72" w:line="219" w:lineRule="auto"/>
        <w:ind w:left="470"/>
        <w:rPr>
          <w:rFonts w:ascii="宋体" w:hAnsi="宋体" w:eastAsia="宋体" w:cs="宋体"/>
          <w:sz w:val="22"/>
          <w:szCs w:val="22"/>
        </w:rPr>
      </w:pPr>
      <w:r>
        <w:rPr>
          <w:rFonts w:ascii="宋体" w:hAnsi="宋体" w:eastAsia="宋体" w:cs="宋体"/>
          <w:spacing w:val="-8"/>
          <w:sz w:val="22"/>
          <w:szCs w:val="22"/>
        </w:rPr>
        <w:t>另外，</w:t>
      </w:r>
      <w:r>
        <w:rPr>
          <w:rFonts w:ascii="Times New Roman" w:hAnsi="Times New Roman" w:eastAsia="Times New Roman" w:cs="Times New Roman"/>
          <w:spacing w:val="-8"/>
          <w:sz w:val="22"/>
          <w:szCs w:val="22"/>
        </w:rPr>
        <w:t xml:space="preserve">PAR% </w:t>
      </w:r>
      <w:r>
        <w:rPr>
          <w:rFonts w:ascii="宋体" w:hAnsi="宋体" w:eastAsia="宋体" w:cs="宋体"/>
          <w:spacing w:val="-8"/>
          <w:sz w:val="22"/>
          <w:szCs w:val="22"/>
        </w:rPr>
        <w:t>亦可由下式计算：</w:t>
      </w:r>
    </w:p>
    <w:p w14:paraId="6EDFEE02">
      <w:pPr>
        <w:spacing w:line="376" w:lineRule="auto"/>
        <w:rPr>
          <w:rFonts w:ascii="Arial"/>
          <w:sz w:val="21"/>
        </w:rPr>
      </w:pPr>
      <w:r>
        <w:drawing>
          <wp:anchor distT="0" distB="0" distL="0" distR="0" simplePos="0" relativeHeight="251728896" behindDoc="0" locked="0" layoutInCell="1" allowOverlap="1">
            <wp:simplePos x="0" y="0"/>
            <wp:positionH relativeFrom="column">
              <wp:posOffset>2113915</wp:posOffset>
            </wp:positionH>
            <wp:positionV relativeFrom="paragraph">
              <wp:posOffset>164465</wp:posOffset>
            </wp:positionV>
            <wp:extent cx="1720850" cy="368300"/>
            <wp:effectExtent l="0" t="0" r="0" b="0"/>
            <wp:wrapNone/>
            <wp:docPr id="230" name="IM 230"/>
            <wp:cNvGraphicFramePr/>
            <a:graphic xmlns:a="http://schemas.openxmlformats.org/drawingml/2006/main">
              <a:graphicData uri="http://schemas.openxmlformats.org/drawingml/2006/picture">
                <pic:pic xmlns:pic="http://schemas.openxmlformats.org/drawingml/2006/picture">
                  <pic:nvPicPr>
                    <pic:cNvPr id="230" name="IM 230"/>
                    <pic:cNvPicPr/>
                  </pic:nvPicPr>
                  <pic:blipFill>
                    <a:blip r:embed="rId491"/>
                    <a:stretch>
                      <a:fillRect/>
                    </a:stretch>
                  </pic:blipFill>
                  <pic:spPr>
                    <a:xfrm>
                      <a:off x="0" y="0"/>
                      <a:ext cx="1720917" cy="368270"/>
                    </a:xfrm>
                    <a:prstGeom prst="rect">
                      <a:avLst/>
                    </a:prstGeom>
                  </pic:spPr>
                </pic:pic>
              </a:graphicData>
            </a:graphic>
          </wp:anchor>
        </w:drawing>
      </w:r>
    </w:p>
    <w:p w14:paraId="6D90388B">
      <w:pPr>
        <w:spacing w:before="71" w:line="221" w:lineRule="auto"/>
        <w:ind w:left="8410"/>
        <w:rPr>
          <w:rFonts w:ascii="宋体" w:hAnsi="宋体" w:eastAsia="宋体" w:cs="宋体"/>
          <w:sz w:val="22"/>
          <w:szCs w:val="22"/>
        </w:rPr>
      </w:pPr>
      <w:r>
        <w:rPr>
          <w:rFonts w:ascii="宋体" w:hAnsi="宋体" w:eastAsia="宋体" w:cs="宋体"/>
          <w:spacing w:val="6"/>
          <w:sz w:val="22"/>
          <w:szCs w:val="22"/>
        </w:rPr>
        <w:t>式(4-14)</w:t>
      </w:r>
    </w:p>
    <w:p w14:paraId="4DBFA67F">
      <w:pPr>
        <w:spacing w:line="330" w:lineRule="auto"/>
        <w:rPr>
          <w:rFonts w:ascii="Arial"/>
          <w:sz w:val="21"/>
        </w:rPr>
      </w:pPr>
    </w:p>
    <w:p w14:paraId="0A527A5B">
      <w:pPr>
        <w:spacing w:before="72" w:line="296" w:lineRule="auto"/>
        <w:ind w:left="28" w:right="719" w:hanging="9"/>
        <w:jc w:val="both"/>
        <w:rPr>
          <w:rFonts w:ascii="宋体" w:hAnsi="宋体" w:eastAsia="宋体" w:cs="宋体"/>
          <w:sz w:val="22"/>
          <w:szCs w:val="22"/>
        </w:rPr>
      </w:pPr>
      <w:r>
        <w:rPr>
          <w:rFonts w:ascii="宋体" w:hAnsi="宋体" w:eastAsia="宋体" w:cs="宋体"/>
          <w:spacing w:val="-2"/>
          <w:sz w:val="22"/>
          <w:szCs w:val="22"/>
        </w:rPr>
        <w:t>式中，</w:t>
      </w:r>
      <w:r>
        <w:rPr>
          <w:rFonts w:ascii="Times New Roman" w:hAnsi="Times New Roman" w:eastAsia="Times New Roman" w:cs="Times New Roman"/>
          <w:spacing w:val="-2"/>
          <w:sz w:val="22"/>
          <w:szCs w:val="22"/>
        </w:rPr>
        <w:t>P</w:t>
      </w:r>
      <w:r>
        <w:rPr>
          <w:rFonts w:ascii="宋体" w:hAnsi="宋体" w:eastAsia="宋体" w:cs="宋体"/>
          <w:spacing w:val="-2"/>
          <w:sz w:val="22"/>
          <w:szCs w:val="22"/>
        </w:rPr>
        <w:t>。表示人群中有某种暴露者的比例。从该式可看出</w:t>
      </w:r>
      <w:r>
        <w:rPr>
          <w:rFonts w:ascii="Times New Roman" w:hAnsi="Times New Roman" w:eastAsia="Times New Roman" w:cs="Times New Roman"/>
          <w:spacing w:val="-2"/>
          <w:sz w:val="22"/>
          <w:szCs w:val="22"/>
        </w:rPr>
        <w:t xml:space="preserve">PAR% </w:t>
      </w:r>
      <w:r>
        <w:rPr>
          <w:rFonts w:ascii="宋体" w:hAnsi="宋体" w:eastAsia="宋体" w:cs="宋体"/>
          <w:spacing w:val="-2"/>
          <w:sz w:val="22"/>
          <w:szCs w:val="22"/>
        </w:rPr>
        <w:t>与</w:t>
      </w:r>
      <w:r>
        <w:rPr>
          <w:rFonts w:ascii="宋体" w:hAnsi="宋体" w:eastAsia="宋体" w:cs="宋体"/>
          <w:spacing w:val="-3"/>
          <w:sz w:val="22"/>
          <w:szCs w:val="22"/>
        </w:rPr>
        <w:t>相对危险度及人群中暴露者的</w:t>
      </w:r>
      <w:r>
        <w:rPr>
          <w:rFonts w:ascii="宋体" w:hAnsi="宋体" w:eastAsia="宋体" w:cs="宋体"/>
          <w:sz w:val="22"/>
          <w:szCs w:val="22"/>
        </w:rPr>
        <w:t xml:space="preserve"> </w:t>
      </w:r>
      <w:r>
        <w:rPr>
          <w:rFonts w:ascii="宋体" w:hAnsi="宋体" w:eastAsia="宋体" w:cs="宋体"/>
          <w:spacing w:val="-1"/>
          <w:sz w:val="22"/>
          <w:szCs w:val="22"/>
        </w:rPr>
        <w:t>比例有关。例如，关于HBV</w:t>
      </w:r>
      <w:r>
        <w:rPr>
          <w:rFonts w:ascii="宋体" w:hAnsi="宋体" w:eastAsia="宋体" w:cs="宋体"/>
          <w:spacing w:val="64"/>
          <w:sz w:val="22"/>
          <w:szCs w:val="22"/>
        </w:rPr>
        <w:t xml:space="preserve"> </w:t>
      </w:r>
      <w:r>
        <w:rPr>
          <w:rFonts w:ascii="宋体" w:hAnsi="宋体" w:eastAsia="宋体" w:cs="宋体"/>
          <w:spacing w:val="-1"/>
          <w:sz w:val="22"/>
          <w:szCs w:val="22"/>
        </w:rPr>
        <w:t>感染与原发性肝癌关系的研究中，已知对照</w:t>
      </w:r>
      <w:r>
        <w:rPr>
          <w:rFonts w:ascii="宋体" w:hAnsi="宋体" w:eastAsia="宋体" w:cs="宋体"/>
          <w:spacing w:val="-2"/>
          <w:sz w:val="22"/>
          <w:szCs w:val="22"/>
        </w:rPr>
        <w:t>组原发性肝癌的发生率为</w:t>
      </w:r>
      <w:r>
        <w:rPr>
          <w:rFonts w:ascii="宋体" w:hAnsi="宋体" w:eastAsia="宋体" w:cs="宋体"/>
          <w:sz w:val="22"/>
          <w:szCs w:val="22"/>
        </w:rPr>
        <w:t xml:space="preserve"> </w:t>
      </w:r>
      <w:r>
        <w:rPr>
          <w:rFonts w:ascii="Times New Roman" w:hAnsi="Times New Roman" w:eastAsia="Times New Roman" w:cs="Times New Roman"/>
          <w:spacing w:val="-4"/>
          <w:sz w:val="22"/>
          <w:szCs w:val="22"/>
        </w:rPr>
        <w:t>5.10‰(I₀),</w:t>
      </w:r>
      <w:r>
        <w:rPr>
          <w:rFonts w:ascii="Times New Roman" w:hAnsi="Times New Roman" w:eastAsia="Times New Roman" w:cs="Times New Roman"/>
          <w:spacing w:val="30"/>
          <w:sz w:val="22"/>
          <w:szCs w:val="22"/>
        </w:rPr>
        <w:t xml:space="preserve">  </w:t>
      </w:r>
      <w:r>
        <w:rPr>
          <w:rFonts w:ascii="宋体" w:hAnsi="宋体" w:eastAsia="宋体" w:cs="宋体"/>
          <w:spacing w:val="-4"/>
          <w:sz w:val="22"/>
          <w:szCs w:val="22"/>
        </w:rPr>
        <w:t>全人群原发性肝癌的发生率为16.25‰</w:t>
      </w:r>
      <w:r>
        <w:rPr>
          <w:rFonts w:ascii="Times New Roman" w:hAnsi="Times New Roman" w:eastAsia="Times New Roman" w:cs="Times New Roman"/>
          <w:spacing w:val="-4"/>
          <w:sz w:val="22"/>
          <w:szCs w:val="22"/>
        </w:rPr>
        <w:t xml:space="preserve">(I₁),   </w:t>
      </w:r>
      <w:r>
        <w:rPr>
          <w:rFonts w:ascii="宋体" w:hAnsi="宋体" w:eastAsia="宋体" w:cs="宋体"/>
          <w:spacing w:val="-4"/>
          <w:sz w:val="22"/>
          <w:szCs w:val="22"/>
        </w:rPr>
        <w:t>则</w:t>
      </w:r>
      <w:r>
        <w:rPr>
          <w:rFonts w:ascii="宋体" w:hAnsi="宋体" w:eastAsia="宋体" w:cs="宋体"/>
          <w:spacing w:val="-46"/>
          <w:sz w:val="22"/>
          <w:szCs w:val="22"/>
        </w:rPr>
        <w:t xml:space="preserve"> </w:t>
      </w:r>
      <w:r>
        <w:rPr>
          <w:rFonts w:ascii="宋体" w:hAnsi="宋体" w:eastAsia="宋体" w:cs="宋体"/>
          <w:spacing w:val="-4"/>
          <w:sz w:val="22"/>
          <w:szCs w:val="22"/>
        </w:rPr>
        <w:t>：</w:t>
      </w:r>
    </w:p>
    <w:p w14:paraId="485FAA1F">
      <w:pPr>
        <w:spacing w:before="276" w:line="188" w:lineRule="auto"/>
        <w:ind w:left="3029"/>
        <w:rPr>
          <w:rFonts w:ascii="Times New Roman" w:hAnsi="Times New Roman" w:eastAsia="Times New Roman" w:cs="Times New Roman"/>
          <w:sz w:val="22"/>
          <w:szCs w:val="22"/>
        </w:rPr>
      </w:pPr>
      <w:r>
        <w:rPr>
          <w:rFonts w:ascii="Times New Roman" w:hAnsi="Times New Roman" w:eastAsia="Times New Roman" w:cs="Times New Roman"/>
          <w:spacing w:val="-3"/>
          <w:sz w:val="22"/>
          <w:szCs w:val="22"/>
        </w:rPr>
        <w:t>PAR=I-I₀=16.25%‰-5.1</w:t>
      </w:r>
      <w:r>
        <w:rPr>
          <w:rFonts w:ascii="Times New Roman" w:hAnsi="Times New Roman" w:eastAsia="Times New Roman" w:cs="Times New Roman"/>
          <w:spacing w:val="-4"/>
          <w:sz w:val="22"/>
          <w:szCs w:val="22"/>
        </w:rPr>
        <w:t>0‰=11.15‰</w:t>
      </w:r>
    </w:p>
    <w:p w14:paraId="7A1DBB9C">
      <w:pPr>
        <w:spacing w:before="118" w:line="570" w:lineRule="exact"/>
        <w:ind w:firstLine="2570"/>
      </w:pPr>
      <w:r>
        <w:rPr>
          <w:position w:val="-11"/>
        </w:rPr>
        <w:drawing>
          <wp:inline distT="0" distB="0" distL="0" distR="0">
            <wp:extent cx="2698115" cy="361950"/>
            <wp:effectExtent l="0" t="0" r="0" b="0"/>
            <wp:docPr id="232" name="IM 232"/>
            <wp:cNvGraphicFramePr/>
            <a:graphic xmlns:a="http://schemas.openxmlformats.org/drawingml/2006/main">
              <a:graphicData uri="http://schemas.openxmlformats.org/drawingml/2006/picture">
                <pic:pic xmlns:pic="http://schemas.openxmlformats.org/drawingml/2006/picture">
                  <pic:nvPicPr>
                    <pic:cNvPr id="232" name="IM 232"/>
                    <pic:cNvPicPr/>
                  </pic:nvPicPr>
                  <pic:blipFill>
                    <a:blip r:embed="rId492"/>
                    <a:stretch>
                      <a:fillRect/>
                    </a:stretch>
                  </pic:blipFill>
                  <pic:spPr>
                    <a:xfrm>
                      <a:off x="0" y="0"/>
                      <a:ext cx="2698728" cy="361968"/>
                    </a:xfrm>
                    <a:prstGeom prst="rect">
                      <a:avLst/>
                    </a:prstGeom>
                  </pic:spPr>
                </pic:pic>
              </a:graphicData>
            </a:graphic>
          </wp:inline>
        </w:drawing>
      </w:r>
    </w:p>
    <w:p w14:paraId="55BC3892">
      <w:pPr>
        <w:spacing w:before="270" w:line="297" w:lineRule="auto"/>
        <w:ind w:left="19" w:right="708" w:firstLine="420"/>
        <w:rPr>
          <w:rFonts w:ascii="宋体" w:hAnsi="宋体" w:eastAsia="宋体" w:cs="宋体"/>
          <w:sz w:val="22"/>
          <w:szCs w:val="22"/>
        </w:rPr>
      </w:pPr>
      <w:r>
        <w:rPr>
          <w:rFonts w:ascii="宋体" w:hAnsi="宋体" w:eastAsia="宋体" w:cs="宋体"/>
          <w:spacing w:val="-1"/>
          <w:sz w:val="22"/>
          <w:szCs w:val="22"/>
        </w:rPr>
        <w:t>结果提示，在全人群原发性肝癌的发生中，有68.62%归因于HBV</w:t>
      </w:r>
      <w:r>
        <w:rPr>
          <w:rFonts w:ascii="宋体" w:hAnsi="宋体" w:eastAsia="宋体" w:cs="宋体"/>
          <w:spacing w:val="48"/>
          <w:sz w:val="22"/>
          <w:szCs w:val="22"/>
        </w:rPr>
        <w:t xml:space="preserve"> </w:t>
      </w:r>
      <w:r>
        <w:rPr>
          <w:rFonts w:ascii="宋体" w:hAnsi="宋体" w:eastAsia="宋体" w:cs="宋体"/>
          <w:spacing w:val="-1"/>
          <w:sz w:val="22"/>
          <w:szCs w:val="22"/>
        </w:rPr>
        <w:t>感染。虽然HBV</w:t>
      </w:r>
      <w:r>
        <w:rPr>
          <w:rFonts w:ascii="宋体" w:hAnsi="宋体" w:eastAsia="宋体" w:cs="宋体"/>
          <w:spacing w:val="54"/>
          <w:sz w:val="22"/>
          <w:szCs w:val="22"/>
        </w:rPr>
        <w:t xml:space="preserve"> </w:t>
      </w:r>
      <w:r>
        <w:rPr>
          <w:rFonts w:ascii="宋体" w:hAnsi="宋体" w:eastAsia="宋体" w:cs="宋体"/>
          <w:spacing w:val="-1"/>
          <w:sz w:val="22"/>
          <w:szCs w:val="22"/>
        </w:rPr>
        <w:t>导致原发性</w:t>
      </w:r>
      <w:r>
        <w:rPr>
          <w:rFonts w:ascii="宋体" w:hAnsi="宋体" w:eastAsia="宋体" w:cs="宋体"/>
          <w:sz w:val="22"/>
          <w:szCs w:val="22"/>
        </w:rPr>
        <w:t xml:space="preserve"> </w:t>
      </w:r>
      <w:r>
        <w:rPr>
          <w:rFonts w:ascii="宋体" w:hAnsi="宋体" w:eastAsia="宋体" w:cs="宋体"/>
          <w:spacing w:val="3"/>
          <w:sz w:val="22"/>
          <w:szCs w:val="22"/>
        </w:rPr>
        <w:t>肝癌的</w:t>
      </w:r>
      <w:r>
        <w:rPr>
          <w:rFonts w:ascii="Times New Roman" w:hAnsi="Times New Roman" w:eastAsia="Times New Roman" w:cs="Times New Roman"/>
          <w:sz w:val="22"/>
          <w:szCs w:val="22"/>
        </w:rPr>
        <w:t>AR</w:t>
      </w:r>
      <w:r>
        <w:rPr>
          <w:rFonts w:ascii="Times New Roman" w:hAnsi="Times New Roman" w:eastAsia="Times New Roman" w:cs="Times New Roman"/>
          <w:spacing w:val="3"/>
          <w:sz w:val="22"/>
          <w:szCs w:val="22"/>
        </w:rPr>
        <w:t xml:space="preserve">% </w:t>
      </w:r>
      <w:r>
        <w:rPr>
          <w:rFonts w:ascii="宋体" w:hAnsi="宋体" w:eastAsia="宋体" w:cs="宋体"/>
          <w:spacing w:val="3"/>
          <w:sz w:val="22"/>
          <w:szCs w:val="22"/>
        </w:rPr>
        <w:t>达93.20%,但因全人群中只有部分人感染了</w:t>
      </w:r>
      <w:r>
        <w:rPr>
          <w:rFonts w:ascii="Times New Roman" w:hAnsi="Times New Roman" w:eastAsia="Times New Roman" w:cs="Times New Roman"/>
          <w:sz w:val="22"/>
          <w:szCs w:val="22"/>
        </w:rPr>
        <w:t>HBV</w:t>
      </w:r>
      <w:r>
        <w:rPr>
          <w:rFonts w:ascii="Times New Roman" w:hAnsi="Times New Roman" w:eastAsia="Times New Roman" w:cs="Times New Roman"/>
          <w:spacing w:val="3"/>
          <w:sz w:val="22"/>
          <w:szCs w:val="22"/>
        </w:rPr>
        <w:t>,</w:t>
      </w:r>
      <w:r>
        <w:rPr>
          <w:rFonts w:ascii="Times New Roman" w:hAnsi="Times New Roman" w:eastAsia="Times New Roman" w:cs="Times New Roman"/>
          <w:sz w:val="22"/>
          <w:szCs w:val="22"/>
        </w:rPr>
        <w:t xml:space="preserve"> </w:t>
      </w:r>
      <w:r>
        <w:rPr>
          <w:rFonts w:ascii="宋体" w:hAnsi="宋体" w:eastAsia="宋体" w:cs="宋体"/>
          <w:spacing w:val="3"/>
          <w:sz w:val="22"/>
          <w:szCs w:val="22"/>
        </w:rPr>
        <w:t>故</w:t>
      </w:r>
      <w:r>
        <w:rPr>
          <w:rFonts w:ascii="宋体" w:hAnsi="宋体" w:eastAsia="宋体" w:cs="宋体"/>
          <w:spacing w:val="-39"/>
          <w:sz w:val="22"/>
          <w:szCs w:val="22"/>
        </w:rPr>
        <w:t xml:space="preserve"> </w:t>
      </w:r>
      <w:r>
        <w:rPr>
          <w:rFonts w:ascii="宋体" w:hAnsi="宋体" w:eastAsia="宋体" w:cs="宋体"/>
          <w:spacing w:val="3"/>
          <w:sz w:val="22"/>
          <w:szCs w:val="22"/>
        </w:rPr>
        <w:t>其</w:t>
      </w:r>
      <w:r>
        <w:rPr>
          <w:rFonts w:ascii="Times New Roman" w:hAnsi="Times New Roman" w:eastAsia="Times New Roman" w:cs="Times New Roman"/>
          <w:sz w:val="22"/>
          <w:szCs w:val="22"/>
        </w:rPr>
        <w:t>PAR</w:t>
      </w:r>
      <w:r>
        <w:rPr>
          <w:rFonts w:ascii="Times New Roman" w:hAnsi="Times New Roman" w:eastAsia="Times New Roman" w:cs="Times New Roman"/>
          <w:spacing w:val="3"/>
          <w:sz w:val="22"/>
          <w:szCs w:val="22"/>
        </w:rPr>
        <w:t>%</w:t>
      </w:r>
      <w:r>
        <w:rPr>
          <w:rFonts w:ascii="宋体" w:hAnsi="宋体" w:eastAsia="宋体" w:cs="宋体"/>
          <w:spacing w:val="3"/>
          <w:sz w:val="22"/>
          <w:szCs w:val="22"/>
        </w:rPr>
        <w:t>仅为68.62%。</w:t>
      </w:r>
    </w:p>
    <w:p w14:paraId="5B8E9B60">
      <w:pPr>
        <w:pStyle w:val="2"/>
        <w:spacing w:before="28" w:line="308" w:lineRule="auto"/>
        <w:ind w:left="9" w:right="627" w:firstLine="450"/>
        <w:jc w:val="both"/>
        <w:rPr>
          <w:rFonts w:ascii="宋体" w:hAnsi="宋体" w:eastAsia="宋体" w:cs="宋体"/>
          <w:sz w:val="22"/>
          <w:szCs w:val="22"/>
        </w:rPr>
      </w:pPr>
      <w:r>
        <w:rPr>
          <w:rFonts w:ascii="宋体" w:hAnsi="宋体" w:eastAsia="宋体" w:cs="宋体"/>
          <w:spacing w:val="5"/>
          <w:sz w:val="22"/>
          <w:szCs w:val="22"/>
        </w:rPr>
        <w:t xml:space="preserve">5. </w:t>
      </w:r>
      <w:r>
        <w:rPr>
          <w:spacing w:val="5"/>
          <w:sz w:val="22"/>
          <w:szCs w:val="22"/>
        </w:rPr>
        <w:t>剂量-反应关系分析</w:t>
      </w:r>
      <w:r>
        <w:rPr>
          <w:spacing w:val="61"/>
          <w:sz w:val="22"/>
          <w:szCs w:val="22"/>
        </w:rPr>
        <w:t xml:space="preserve"> </w:t>
      </w:r>
      <w:r>
        <w:rPr>
          <w:rFonts w:ascii="宋体" w:hAnsi="宋体" w:eastAsia="宋体" w:cs="宋体"/>
          <w:spacing w:val="5"/>
          <w:sz w:val="22"/>
          <w:szCs w:val="22"/>
        </w:rPr>
        <w:t>如果队列研究的暴露因素是计量变量(</w:t>
      </w:r>
      <w:r>
        <w:rPr>
          <w:rFonts w:ascii="宋体" w:hAnsi="宋体" w:eastAsia="宋体" w:cs="宋体"/>
          <w:spacing w:val="4"/>
          <w:sz w:val="22"/>
          <w:szCs w:val="22"/>
        </w:rPr>
        <w:t>如每日吸烟量),研究者可以</w:t>
      </w:r>
      <w:r>
        <w:rPr>
          <w:rFonts w:ascii="宋体" w:hAnsi="宋体" w:eastAsia="宋体" w:cs="宋体"/>
          <w:sz w:val="22"/>
          <w:szCs w:val="22"/>
        </w:rPr>
        <w:t xml:space="preserve"> </w:t>
      </w:r>
      <w:r>
        <w:rPr>
          <w:rFonts w:ascii="宋体" w:hAnsi="宋体" w:eastAsia="宋体" w:cs="宋体"/>
          <w:spacing w:val="1"/>
          <w:sz w:val="22"/>
          <w:szCs w:val="22"/>
        </w:rPr>
        <w:t>依据实际暴露情况将研究对象分为不同暴露水平亚组，分别计算不同暴露水平亚组的</w:t>
      </w:r>
      <w:r>
        <w:rPr>
          <w:rFonts w:ascii="宋体" w:hAnsi="宋体" w:eastAsia="宋体" w:cs="宋体"/>
          <w:sz w:val="22"/>
          <w:szCs w:val="22"/>
        </w:rPr>
        <w:t xml:space="preserve">发病率或死  </w:t>
      </w:r>
      <w:r>
        <w:rPr>
          <w:rFonts w:ascii="宋体" w:hAnsi="宋体" w:eastAsia="宋体" w:cs="宋体"/>
          <w:spacing w:val="-9"/>
          <w:sz w:val="22"/>
          <w:szCs w:val="22"/>
        </w:rPr>
        <w:t>亡率，以非暴露或最低暴露水平组为对照，计算其他各暴露水平组的相对危险度和归因危险度。如果</w:t>
      </w:r>
      <w:r>
        <w:rPr>
          <w:rFonts w:ascii="宋体" w:hAnsi="宋体" w:eastAsia="宋体" w:cs="宋体"/>
          <w:spacing w:val="7"/>
          <w:sz w:val="22"/>
          <w:szCs w:val="22"/>
        </w:rPr>
        <w:t xml:space="preserve"> </w:t>
      </w:r>
      <w:r>
        <w:rPr>
          <w:rFonts w:ascii="宋体" w:hAnsi="宋体" w:eastAsia="宋体" w:cs="宋体"/>
          <w:spacing w:val="-6"/>
          <w:sz w:val="22"/>
          <w:szCs w:val="22"/>
        </w:rPr>
        <w:t>暴露的剂量越大，其效应越大，暴露与效应之间存在剂量-反应关系，则该暴露因素作</w:t>
      </w:r>
      <w:r>
        <w:rPr>
          <w:rFonts w:ascii="宋体" w:hAnsi="宋体" w:eastAsia="宋体" w:cs="宋体"/>
          <w:spacing w:val="-7"/>
          <w:sz w:val="22"/>
          <w:szCs w:val="22"/>
        </w:rPr>
        <w:t>为病因的可能</w:t>
      </w:r>
      <w:r>
        <w:rPr>
          <w:rFonts w:ascii="宋体" w:hAnsi="宋体" w:eastAsia="宋体" w:cs="宋体"/>
          <w:sz w:val="22"/>
          <w:szCs w:val="22"/>
        </w:rPr>
        <w:t xml:space="preserve"> </w:t>
      </w:r>
      <w:r>
        <w:rPr>
          <w:rFonts w:ascii="宋体" w:hAnsi="宋体" w:eastAsia="宋体" w:cs="宋体"/>
          <w:spacing w:val="-6"/>
          <w:sz w:val="22"/>
          <w:szCs w:val="22"/>
        </w:rPr>
        <w:t>性就越大。例如表4-5的结果显示，冠心病的年发病率、RR、AR</w:t>
      </w:r>
      <w:r>
        <w:rPr>
          <w:rFonts w:ascii="宋体" w:hAnsi="宋体" w:eastAsia="宋体" w:cs="宋体"/>
          <w:spacing w:val="-24"/>
          <w:sz w:val="22"/>
          <w:szCs w:val="22"/>
        </w:rPr>
        <w:t xml:space="preserve"> </w:t>
      </w:r>
      <w:r>
        <w:rPr>
          <w:rFonts w:ascii="宋体" w:hAnsi="宋体" w:eastAsia="宋体" w:cs="宋体"/>
          <w:spacing w:val="-6"/>
          <w:sz w:val="22"/>
          <w:szCs w:val="22"/>
        </w:rPr>
        <w:t>均随血清胆固醇水平的</w:t>
      </w:r>
      <w:r>
        <w:rPr>
          <w:rFonts w:ascii="宋体" w:hAnsi="宋体" w:eastAsia="宋体" w:cs="宋体"/>
          <w:spacing w:val="-7"/>
          <w:sz w:val="22"/>
          <w:szCs w:val="22"/>
        </w:rPr>
        <w:t>升高而增高，</w:t>
      </w:r>
      <w:r>
        <w:rPr>
          <w:rFonts w:ascii="宋体" w:hAnsi="宋体" w:eastAsia="宋体" w:cs="宋体"/>
          <w:sz w:val="22"/>
          <w:szCs w:val="22"/>
        </w:rPr>
        <w:t xml:space="preserve"> </w:t>
      </w:r>
      <w:r>
        <w:rPr>
          <w:rFonts w:ascii="宋体" w:hAnsi="宋体" w:eastAsia="宋体" w:cs="宋体"/>
          <w:spacing w:val="-3"/>
          <w:sz w:val="22"/>
          <w:szCs w:val="22"/>
        </w:rPr>
        <w:t>经趋势性卡方检验发现两者存在剂量-反应关系，说明高血清胆固醇水平很可</w:t>
      </w:r>
      <w:r>
        <w:rPr>
          <w:rFonts w:ascii="宋体" w:hAnsi="宋体" w:eastAsia="宋体" w:cs="宋体"/>
          <w:spacing w:val="-4"/>
          <w:sz w:val="22"/>
          <w:szCs w:val="22"/>
        </w:rPr>
        <w:t>能是冠心病的病因。</w:t>
      </w:r>
    </w:p>
    <w:p w14:paraId="292F7C62">
      <w:pPr>
        <w:spacing w:before="149" w:line="220" w:lineRule="auto"/>
        <w:ind w:left="1839"/>
        <w:rPr>
          <w:rFonts w:ascii="宋体" w:hAnsi="宋体" w:eastAsia="宋体" w:cs="宋体"/>
          <w:sz w:val="19"/>
          <w:szCs w:val="19"/>
        </w:rPr>
      </w:pPr>
      <w:r>
        <w:rPr>
          <w:rFonts w:ascii="宋体" w:hAnsi="宋体" w:eastAsia="宋体" w:cs="宋体"/>
          <w:spacing w:val="-1"/>
          <w:sz w:val="19"/>
          <w:szCs w:val="19"/>
        </w:rPr>
        <w:t>表4-540~59岁男性依基</w:t>
      </w:r>
      <w:r>
        <w:rPr>
          <w:rFonts w:ascii="宋体" w:hAnsi="宋体" w:eastAsia="宋体" w:cs="宋体"/>
          <w:spacing w:val="-1"/>
          <w:sz w:val="19"/>
          <w:szCs w:val="19"/>
          <w:shd w:val="clear" w:fill="4C4C4C"/>
        </w:rPr>
        <w:t xml:space="preserve"> 线血清胆固醇</w:t>
      </w:r>
      <w:r>
        <w:rPr>
          <w:rFonts w:ascii="宋体" w:hAnsi="宋体" w:eastAsia="宋体" w:cs="宋体"/>
          <w:spacing w:val="38"/>
          <w:sz w:val="19"/>
          <w:szCs w:val="19"/>
          <w:shd w:val="clear" w:fill="4C4C4C"/>
        </w:rPr>
        <w:t xml:space="preserve"> </w:t>
      </w:r>
      <w:r>
        <w:rPr>
          <w:rFonts w:ascii="宋体" w:hAnsi="宋体" w:eastAsia="宋体" w:cs="宋体"/>
          <w:spacing w:val="-1"/>
          <w:sz w:val="19"/>
          <w:szCs w:val="19"/>
        </w:rPr>
        <w:t>水平分组随访6年冠心病发病情况</w:t>
      </w:r>
    </w:p>
    <w:p w14:paraId="356A7941">
      <w:pPr>
        <w:spacing w:line="22" w:lineRule="exact"/>
      </w:pPr>
    </w:p>
    <w:tbl>
      <w:tblPr>
        <w:tblStyle w:val="5"/>
        <w:tblW w:w="9400"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0" w:type="dxa"/>
          <w:left w:w="0" w:type="dxa"/>
          <w:bottom w:w="0" w:type="dxa"/>
          <w:right w:w="0" w:type="dxa"/>
        </w:tblCellMar>
      </w:tblPr>
      <w:tblGrid>
        <w:gridCol w:w="2460"/>
        <w:gridCol w:w="1280"/>
        <w:gridCol w:w="1310"/>
        <w:gridCol w:w="1610"/>
        <w:gridCol w:w="1220"/>
        <w:gridCol w:w="1520"/>
      </w:tblGrid>
      <w:tr w14:paraId="5D2BCCFE">
        <w:trPr>
          <w:trHeight w:val="389" w:hRule="atLeast"/>
        </w:trPr>
        <w:tc>
          <w:tcPr>
            <w:tcW w:w="2460" w:type="dxa"/>
            <w:tcBorders>
              <w:top w:val="single" w:color="000000" w:sz="4" w:space="0"/>
              <w:bottom w:val="single" w:color="000000" w:sz="4" w:space="0"/>
            </w:tcBorders>
            <w:shd w:val="clear" w:color="auto" w:fill="C0C5C4"/>
            <w:vAlign w:val="top"/>
          </w:tcPr>
          <w:p w14:paraId="4F617DA1">
            <w:pPr>
              <w:pStyle w:val="6"/>
              <w:spacing w:before="96" w:line="214" w:lineRule="auto"/>
              <w:ind w:left="372"/>
              <w:rPr>
                <w:sz w:val="19"/>
                <w:szCs w:val="19"/>
              </w:rPr>
            </w:pPr>
            <w:r>
              <w:rPr>
                <w:b/>
                <w:bCs/>
                <w:spacing w:val="-5"/>
                <w:sz w:val="19"/>
                <w:szCs w:val="19"/>
              </w:rPr>
              <w:t>血清胆固醇/</w:t>
            </w:r>
            <w:r>
              <w:rPr>
                <w:spacing w:val="-5"/>
                <w:sz w:val="19"/>
                <w:szCs w:val="19"/>
              </w:rPr>
              <w:t>(mg/dl)</w:t>
            </w:r>
          </w:p>
        </w:tc>
        <w:tc>
          <w:tcPr>
            <w:tcW w:w="1280" w:type="dxa"/>
            <w:tcBorders>
              <w:top w:val="single" w:color="000000" w:sz="4" w:space="0"/>
              <w:bottom w:val="single" w:color="000000" w:sz="4" w:space="0"/>
            </w:tcBorders>
            <w:shd w:val="clear" w:color="auto" w:fill="B7B9B2"/>
            <w:vAlign w:val="top"/>
          </w:tcPr>
          <w:p w14:paraId="40F572A9">
            <w:pPr>
              <w:pStyle w:val="6"/>
              <w:spacing w:before="102" w:line="219" w:lineRule="auto"/>
              <w:ind w:left="450"/>
              <w:rPr>
                <w:sz w:val="19"/>
                <w:szCs w:val="19"/>
              </w:rPr>
            </w:pPr>
            <w:r>
              <w:rPr>
                <w:spacing w:val="-3"/>
                <w:sz w:val="19"/>
                <w:szCs w:val="19"/>
              </w:rPr>
              <w:t>人数</w:t>
            </w:r>
          </w:p>
        </w:tc>
        <w:tc>
          <w:tcPr>
            <w:tcW w:w="1310" w:type="dxa"/>
            <w:tcBorders>
              <w:top w:val="single" w:color="000000" w:sz="4" w:space="0"/>
              <w:bottom w:val="single" w:color="000000" w:sz="4" w:space="0"/>
            </w:tcBorders>
            <w:shd w:val="clear" w:color="auto" w:fill="AFB2AB"/>
            <w:vAlign w:val="top"/>
          </w:tcPr>
          <w:p w14:paraId="50B2C671">
            <w:pPr>
              <w:pStyle w:val="6"/>
              <w:spacing w:before="102" w:line="219" w:lineRule="auto"/>
              <w:ind w:left="370"/>
              <w:rPr>
                <w:sz w:val="19"/>
                <w:szCs w:val="19"/>
              </w:rPr>
            </w:pPr>
            <w:r>
              <w:rPr>
                <w:spacing w:val="-2"/>
                <w:sz w:val="19"/>
                <w:szCs w:val="19"/>
              </w:rPr>
              <w:t>病例数</w:t>
            </w:r>
          </w:p>
        </w:tc>
        <w:tc>
          <w:tcPr>
            <w:tcW w:w="1610" w:type="dxa"/>
            <w:tcBorders>
              <w:top w:val="single" w:color="000000" w:sz="4" w:space="0"/>
              <w:bottom w:val="single" w:color="000000" w:sz="4" w:space="0"/>
            </w:tcBorders>
            <w:shd w:val="clear" w:color="auto" w:fill="B8B9B0"/>
            <w:vAlign w:val="top"/>
          </w:tcPr>
          <w:p w14:paraId="7A97E7C5">
            <w:pPr>
              <w:pStyle w:val="6"/>
              <w:spacing w:before="102" w:line="219" w:lineRule="auto"/>
              <w:ind w:left="329"/>
              <w:rPr>
                <w:sz w:val="19"/>
                <w:szCs w:val="19"/>
              </w:rPr>
            </w:pPr>
            <w:r>
              <w:rPr>
                <w:spacing w:val="1"/>
                <w:sz w:val="19"/>
                <w:szCs w:val="19"/>
              </w:rPr>
              <w:t>累积发病率</w:t>
            </w:r>
          </w:p>
        </w:tc>
        <w:tc>
          <w:tcPr>
            <w:tcW w:w="1220" w:type="dxa"/>
            <w:tcBorders>
              <w:top w:val="single" w:color="000000" w:sz="4" w:space="0"/>
              <w:bottom w:val="single" w:color="000000" w:sz="4" w:space="0"/>
            </w:tcBorders>
            <w:shd w:val="clear" w:color="auto" w:fill="B0B2A6"/>
            <w:vAlign w:val="top"/>
          </w:tcPr>
          <w:p w14:paraId="141D17A4">
            <w:pPr>
              <w:pStyle w:val="6"/>
              <w:spacing w:before="152" w:line="182" w:lineRule="auto"/>
              <w:ind w:left="509"/>
              <w:rPr>
                <w:sz w:val="19"/>
                <w:szCs w:val="19"/>
              </w:rPr>
            </w:pPr>
            <w:r>
              <w:rPr>
                <w:spacing w:val="-2"/>
                <w:sz w:val="19"/>
                <w:szCs w:val="19"/>
              </w:rPr>
              <w:t>RR</w:t>
            </w:r>
          </w:p>
        </w:tc>
        <w:tc>
          <w:tcPr>
            <w:tcW w:w="1520" w:type="dxa"/>
            <w:tcBorders>
              <w:top w:val="single" w:color="000000" w:sz="4" w:space="0"/>
              <w:bottom w:val="single" w:color="000000" w:sz="4" w:space="0"/>
            </w:tcBorders>
            <w:shd w:val="clear" w:color="auto" w:fill="B8BAAC"/>
            <w:vAlign w:val="top"/>
          </w:tcPr>
          <w:p w14:paraId="354686E7">
            <w:pPr>
              <w:pStyle w:val="6"/>
              <w:spacing w:before="150" w:line="184" w:lineRule="auto"/>
              <w:ind w:left="660"/>
              <w:rPr>
                <w:sz w:val="19"/>
                <w:szCs w:val="19"/>
              </w:rPr>
            </w:pPr>
            <w:r>
              <w:rPr>
                <w:spacing w:val="-1"/>
                <w:sz w:val="19"/>
                <w:szCs w:val="19"/>
              </w:rPr>
              <w:t>AR</w:t>
            </w:r>
          </w:p>
        </w:tc>
      </w:tr>
    </w:tbl>
    <w:p w14:paraId="01D120F9">
      <w:pPr>
        <w:spacing w:line="64" w:lineRule="exact"/>
        <w:rPr>
          <w:rFonts w:ascii="Arial"/>
          <w:sz w:val="5"/>
        </w:rPr>
      </w:pPr>
    </w:p>
    <w:p w14:paraId="77E99CE3">
      <w:pPr>
        <w:spacing w:line="64" w:lineRule="exact"/>
        <w:rPr>
          <w:rFonts w:ascii="Arial" w:hAnsi="Arial" w:eastAsia="Arial" w:cs="Arial"/>
          <w:sz w:val="5"/>
          <w:szCs w:val="5"/>
        </w:rPr>
        <w:sectPr>
          <w:footerReference r:id="rId91" w:type="default"/>
          <w:pgSz w:w="11900" w:h="16820"/>
          <w:pgMar w:top="400" w:right="623" w:bottom="929" w:left="1269" w:header="0" w:footer="643" w:gutter="0"/>
          <w:cols w:equalWidth="0" w:num="1">
            <w:col w:w="10008"/>
          </w:cols>
        </w:sectPr>
      </w:pPr>
    </w:p>
    <w:p w14:paraId="2EEB8995">
      <w:pPr>
        <w:spacing w:before="38" w:line="221" w:lineRule="auto"/>
        <w:ind w:left="1040"/>
        <w:rPr>
          <w:rFonts w:ascii="宋体" w:hAnsi="宋体" w:eastAsia="宋体" w:cs="宋体"/>
          <w:sz w:val="19"/>
          <w:szCs w:val="19"/>
        </w:rPr>
      </w:pPr>
      <w:r>
        <w:rPr>
          <w:rFonts w:ascii="宋体" w:hAnsi="宋体" w:eastAsia="宋体" w:cs="宋体"/>
          <w:spacing w:val="-3"/>
          <w:sz w:val="19"/>
          <w:szCs w:val="19"/>
        </w:rPr>
        <w:t>&lt;210</w:t>
      </w:r>
    </w:p>
    <w:p w14:paraId="062245CF">
      <w:pPr>
        <w:spacing w:line="14" w:lineRule="auto"/>
        <w:rPr>
          <w:rFonts w:ascii="Arial"/>
          <w:sz w:val="2"/>
        </w:rPr>
      </w:pPr>
      <w:r>
        <w:rPr>
          <w:rFonts w:ascii="Arial" w:hAnsi="Arial" w:eastAsia="Arial" w:cs="Arial"/>
          <w:sz w:val="2"/>
          <w:szCs w:val="2"/>
        </w:rPr>
        <w:br w:type="column"/>
      </w:r>
    </w:p>
    <w:p w14:paraId="227ACBA4">
      <w:pPr>
        <w:spacing w:before="37" w:line="221" w:lineRule="auto"/>
        <w:rPr>
          <w:rFonts w:ascii="宋体" w:hAnsi="宋体" w:eastAsia="宋体" w:cs="宋体"/>
          <w:sz w:val="19"/>
          <w:szCs w:val="19"/>
        </w:rPr>
      </w:pPr>
      <w:r>
        <w:rPr>
          <w:rFonts w:ascii="宋体" w:hAnsi="宋体" w:eastAsia="宋体" w:cs="宋体"/>
          <w:spacing w:val="-2"/>
          <w:sz w:val="19"/>
          <w:szCs w:val="19"/>
        </w:rPr>
        <w:t>454</w:t>
      </w:r>
    </w:p>
    <w:p w14:paraId="4E6CF8A4">
      <w:pPr>
        <w:spacing w:line="14" w:lineRule="auto"/>
        <w:rPr>
          <w:rFonts w:ascii="Arial"/>
          <w:sz w:val="2"/>
        </w:rPr>
      </w:pPr>
      <w:r>
        <w:rPr>
          <w:rFonts w:ascii="Arial" w:hAnsi="Arial" w:eastAsia="Arial" w:cs="Arial"/>
          <w:sz w:val="2"/>
          <w:szCs w:val="2"/>
        </w:rPr>
        <w:br w:type="column"/>
      </w:r>
    </w:p>
    <w:p w14:paraId="21F23E0D">
      <w:pPr>
        <w:spacing w:before="37" w:line="221" w:lineRule="auto"/>
        <w:rPr>
          <w:rFonts w:ascii="宋体" w:hAnsi="宋体" w:eastAsia="宋体" w:cs="宋体"/>
          <w:sz w:val="19"/>
          <w:szCs w:val="19"/>
        </w:rPr>
      </w:pPr>
      <w:r>
        <w:rPr>
          <w:rFonts w:ascii="宋体" w:hAnsi="宋体" w:eastAsia="宋体" w:cs="宋体"/>
          <w:spacing w:val="-6"/>
          <w:sz w:val="19"/>
          <w:szCs w:val="19"/>
        </w:rPr>
        <w:t>16</w:t>
      </w:r>
    </w:p>
    <w:p w14:paraId="468C8A8F">
      <w:pPr>
        <w:spacing w:line="14" w:lineRule="auto"/>
        <w:rPr>
          <w:rFonts w:ascii="Arial"/>
          <w:sz w:val="2"/>
        </w:rPr>
      </w:pPr>
      <w:r>
        <w:rPr>
          <w:rFonts w:ascii="Arial" w:hAnsi="Arial" w:eastAsia="Arial" w:cs="Arial"/>
          <w:sz w:val="2"/>
          <w:szCs w:val="2"/>
        </w:rPr>
        <w:br w:type="column"/>
      </w:r>
    </w:p>
    <w:p w14:paraId="3B7C19AC">
      <w:pPr>
        <w:spacing w:before="37" w:line="221" w:lineRule="auto"/>
        <w:rPr>
          <w:rFonts w:ascii="宋体" w:hAnsi="宋体" w:eastAsia="宋体" w:cs="宋体"/>
          <w:sz w:val="19"/>
          <w:szCs w:val="19"/>
        </w:rPr>
      </w:pPr>
      <w:r>
        <w:rPr>
          <w:rFonts w:ascii="宋体" w:hAnsi="宋体" w:eastAsia="宋体" w:cs="宋体"/>
          <w:spacing w:val="-2"/>
          <w:sz w:val="19"/>
          <w:szCs w:val="19"/>
        </w:rPr>
        <w:t>0.04</w:t>
      </w:r>
    </w:p>
    <w:p w14:paraId="4769911D">
      <w:pPr>
        <w:spacing w:line="14" w:lineRule="auto"/>
        <w:rPr>
          <w:rFonts w:ascii="Arial"/>
          <w:sz w:val="2"/>
        </w:rPr>
      </w:pPr>
      <w:r>
        <w:rPr>
          <w:rFonts w:ascii="Arial" w:hAnsi="Arial" w:eastAsia="Arial" w:cs="Arial"/>
          <w:sz w:val="2"/>
          <w:szCs w:val="2"/>
        </w:rPr>
        <w:br w:type="column"/>
      </w:r>
    </w:p>
    <w:p w14:paraId="6FBE63BA">
      <w:pPr>
        <w:spacing w:before="37" w:line="221" w:lineRule="auto"/>
        <w:rPr>
          <w:rFonts w:ascii="宋体" w:hAnsi="宋体" w:eastAsia="宋体" w:cs="宋体"/>
          <w:sz w:val="19"/>
          <w:szCs w:val="19"/>
        </w:rPr>
      </w:pPr>
      <w:r>
        <w:rPr>
          <w:rFonts w:ascii="宋体" w:hAnsi="宋体" w:eastAsia="宋体" w:cs="宋体"/>
          <w:spacing w:val="-5"/>
          <w:sz w:val="19"/>
          <w:szCs w:val="19"/>
        </w:rPr>
        <w:t>1.00</w:t>
      </w:r>
    </w:p>
    <w:p w14:paraId="3A731510">
      <w:pPr>
        <w:spacing w:line="14" w:lineRule="auto"/>
        <w:rPr>
          <w:rFonts w:ascii="Arial"/>
          <w:sz w:val="2"/>
        </w:rPr>
      </w:pPr>
      <w:r>
        <w:rPr>
          <w:rFonts w:ascii="Arial" w:hAnsi="Arial" w:eastAsia="Arial" w:cs="Arial"/>
          <w:sz w:val="2"/>
          <w:szCs w:val="2"/>
        </w:rPr>
        <w:br w:type="column"/>
      </w:r>
    </w:p>
    <w:p w14:paraId="12EADF70">
      <w:pPr>
        <w:spacing w:before="37" w:line="221" w:lineRule="auto"/>
        <w:rPr>
          <w:rFonts w:ascii="宋体" w:hAnsi="宋体" w:eastAsia="宋体" w:cs="宋体"/>
          <w:sz w:val="19"/>
          <w:szCs w:val="19"/>
        </w:rPr>
      </w:pPr>
      <w:r>
        <w:rPr>
          <w:rFonts w:ascii="宋体" w:hAnsi="宋体" w:eastAsia="宋体" w:cs="宋体"/>
          <w:spacing w:val="-2"/>
          <w:sz w:val="19"/>
          <w:szCs w:val="19"/>
        </w:rPr>
        <w:t>0.00</w:t>
      </w:r>
    </w:p>
    <w:p w14:paraId="02DF9E13">
      <w:pPr>
        <w:spacing w:line="221" w:lineRule="auto"/>
        <w:rPr>
          <w:rFonts w:ascii="宋体" w:hAnsi="宋体" w:eastAsia="宋体" w:cs="宋体"/>
          <w:sz w:val="19"/>
          <w:szCs w:val="19"/>
        </w:rPr>
        <w:sectPr>
          <w:type w:val="continuous"/>
          <w:pgSz w:w="11900" w:h="16820"/>
          <w:pgMar w:top="400" w:right="623" w:bottom="929" w:left="1269" w:header="0" w:footer="643" w:gutter="0"/>
          <w:cols w:equalWidth="0" w:num="6">
            <w:col w:w="2851" w:space="100"/>
            <w:col w:w="1251" w:space="100"/>
            <w:col w:w="1260" w:space="100"/>
            <w:col w:w="1321" w:space="100"/>
            <w:col w:w="1271" w:space="100"/>
            <w:col w:w="1557"/>
          </w:cols>
        </w:sectPr>
      </w:pPr>
    </w:p>
    <w:p w14:paraId="2FC77C3E">
      <w:pPr>
        <w:spacing w:line="20" w:lineRule="exact"/>
      </w:pPr>
    </w:p>
    <w:tbl>
      <w:tblPr>
        <w:tblStyle w:val="5"/>
        <w:tblW w:w="9400"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0" w:type="dxa"/>
          <w:left w:w="0" w:type="dxa"/>
          <w:bottom w:w="0" w:type="dxa"/>
          <w:right w:w="0" w:type="dxa"/>
        </w:tblCellMar>
      </w:tblPr>
      <w:tblGrid>
        <w:gridCol w:w="2460"/>
        <w:gridCol w:w="1280"/>
        <w:gridCol w:w="1310"/>
        <w:gridCol w:w="1610"/>
        <w:gridCol w:w="1220"/>
        <w:gridCol w:w="1520"/>
      </w:tblGrid>
      <w:tr w14:paraId="33C10B45">
        <w:trPr>
          <w:trHeight w:val="372" w:hRule="atLeast"/>
        </w:trPr>
        <w:tc>
          <w:tcPr>
            <w:tcW w:w="2460" w:type="dxa"/>
            <w:tcBorders>
              <w:top w:val="single" w:color="000000" w:sz="4" w:space="0"/>
              <w:bottom w:val="single" w:color="000000" w:sz="4" w:space="0"/>
            </w:tcBorders>
            <w:shd w:val="clear" w:color="auto" w:fill="E0E0E0"/>
            <w:vAlign w:val="top"/>
          </w:tcPr>
          <w:p w14:paraId="7B192604">
            <w:pPr>
              <w:pStyle w:val="6"/>
              <w:spacing w:before="111"/>
              <w:ind w:left="850"/>
              <w:rPr>
                <w:sz w:val="19"/>
                <w:szCs w:val="19"/>
              </w:rPr>
            </w:pPr>
            <w:r>
              <w:rPr>
                <w:spacing w:val="-2"/>
                <w:sz w:val="19"/>
                <w:szCs w:val="19"/>
              </w:rPr>
              <w:t>210～245</w:t>
            </w:r>
          </w:p>
        </w:tc>
        <w:tc>
          <w:tcPr>
            <w:tcW w:w="1280" w:type="dxa"/>
            <w:tcBorders>
              <w:top w:val="single" w:color="000000" w:sz="4" w:space="0"/>
              <w:bottom w:val="single" w:color="000000" w:sz="4" w:space="0"/>
            </w:tcBorders>
            <w:shd w:val="clear" w:color="auto" w:fill="DFDEDE"/>
            <w:vAlign w:val="top"/>
          </w:tcPr>
          <w:p w14:paraId="2BE4BA64">
            <w:pPr>
              <w:pStyle w:val="6"/>
              <w:spacing w:before="111"/>
              <w:ind w:left="490"/>
              <w:rPr>
                <w:sz w:val="19"/>
                <w:szCs w:val="19"/>
              </w:rPr>
            </w:pPr>
            <w:r>
              <w:rPr>
                <w:spacing w:val="-2"/>
                <w:sz w:val="19"/>
                <w:szCs w:val="19"/>
              </w:rPr>
              <w:t>455</w:t>
            </w:r>
          </w:p>
        </w:tc>
        <w:tc>
          <w:tcPr>
            <w:tcW w:w="1310" w:type="dxa"/>
            <w:tcBorders>
              <w:top w:val="single" w:color="000000" w:sz="4" w:space="0"/>
              <w:bottom w:val="single" w:color="000000" w:sz="4" w:space="0"/>
            </w:tcBorders>
            <w:shd w:val="clear" w:color="auto" w:fill="DFDDDC"/>
            <w:vAlign w:val="top"/>
          </w:tcPr>
          <w:p w14:paraId="14FDC72B">
            <w:pPr>
              <w:pStyle w:val="6"/>
              <w:spacing w:before="111"/>
              <w:ind w:left="560"/>
              <w:rPr>
                <w:sz w:val="19"/>
                <w:szCs w:val="19"/>
              </w:rPr>
            </w:pPr>
            <w:r>
              <w:rPr>
                <w:spacing w:val="-3"/>
                <w:sz w:val="19"/>
                <w:szCs w:val="19"/>
              </w:rPr>
              <w:t>29</w:t>
            </w:r>
          </w:p>
        </w:tc>
        <w:tc>
          <w:tcPr>
            <w:tcW w:w="1610" w:type="dxa"/>
            <w:tcBorders>
              <w:top w:val="single" w:color="000000" w:sz="4" w:space="0"/>
              <w:bottom w:val="single" w:color="000000" w:sz="4" w:space="0"/>
            </w:tcBorders>
            <w:shd w:val="clear" w:color="auto" w:fill="DFDDDA"/>
            <w:vAlign w:val="top"/>
          </w:tcPr>
          <w:p w14:paraId="22A578AB">
            <w:pPr>
              <w:pStyle w:val="6"/>
              <w:spacing w:before="111" w:line="239" w:lineRule="auto"/>
              <w:ind w:left="609"/>
              <w:rPr>
                <w:sz w:val="19"/>
                <w:szCs w:val="19"/>
              </w:rPr>
            </w:pPr>
            <w:r>
              <w:rPr>
                <w:spacing w:val="-2"/>
                <w:sz w:val="19"/>
                <w:szCs w:val="19"/>
              </w:rPr>
              <w:t>0.06</w:t>
            </w:r>
          </w:p>
        </w:tc>
        <w:tc>
          <w:tcPr>
            <w:tcW w:w="1220" w:type="dxa"/>
            <w:tcBorders>
              <w:top w:val="single" w:color="000000" w:sz="4" w:space="0"/>
              <w:bottom w:val="single" w:color="000000" w:sz="4" w:space="0"/>
            </w:tcBorders>
            <w:shd w:val="clear" w:color="auto" w:fill="DFDCD9"/>
            <w:vAlign w:val="top"/>
          </w:tcPr>
          <w:p w14:paraId="06C12DB3">
            <w:pPr>
              <w:pStyle w:val="6"/>
              <w:spacing w:before="111" w:line="239" w:lineRule="auto"/>
              <w:ind w:left="420"/>
              <w:rPr>
                <w:sz w:val="19"/>
                <w:szCs w:val="19"/>
              </w:rPr>
            </w:pPr>
            <w:r>
              <w:rPr>
                <w:spacing w:val="-5"/>
                <w:sz w:val="19"/>
                <w:szCs w:val="19"/>
              </w:rPr>
              <w:t>1.50</w:t>
            </w:r>
          </w:p>
        </w:tc>
        <w:tc>
          <w:tcPr>
            <w:tcW w:w="1520" w:type="dxa"/>
            <w:tcBorders>
              <w:top w:val="single" w:color="000000" w:sz="4" w:space="0"/>
              <w:bottom w:val="single" w:color="000000" w:sz="4" w:space="0"/>
            </w:tcBorders>
            <w:shd w:val="clear" w:color="auto" w:fill="DEDBD5"/>
            <w:vAlign w:val="top"/>
          </w:tcPr>
          <w:p w14:paraId="27BD590C">
            <w:pPr>
              <w:pStyle w:val="6"/>
              <w:spacing w:before="111" w:line="239" w:lineRule="auto"/>
              <w:ind w:left="570"/>
              <w:rPr>
                <w:sz w:val="19"/>
                <w:szCs w:val="19"/>
              </w:rPr>
            </w:pPr>
            <w:r>
              <w:rPr>
                <w:spacing w:val="-2"/>
                <w:sz w:val="19"/>
                <w:szCs w:val="19"/>
              </w:rPr>
              <w:t>0.02</w:t>
            </w:r>
          </w:p>
        </w:tc>
      </w:tr>
      <w:tr w14:paraId="5D759B73">
        <w:trPr>
          <w:trHeight w:val="347" w:hRule="atLeast"/>
        </w:trPr>
        <w:tc>
          <w:tcPr>
            <w:tcW w:w="2460" w:type="dxa"/>
            <w:tcBorders>
              <w:top w:val="single" w:color="000000" w:sz="4" w:space="0"/>
              <w:bottom w:val="single" w:color="000000" w:sz="4" w:space="0"/>
            </w:tcBorders>
            <w:vAlign w:val="top"/>
          </w:tcPr>
          <w:p w14:paraId="0CCCB7E8">
            <w:pPr>
              <w:pStyle w:val="6"/>
              <w:spacing w:before="100" w:line="230" w:lineRule="auto"/>
              <w:ind w:left="1040"/>
              <w:rPr>
                <w:sz w:val="19"/>
                <w:szCs w:val="19"/>
              </w:rPr>
            </w:pPr>
            <w:r>
              <w:rPr>
                <w:spacing w:val="-3"/>
                <w:sz w:val="19"/>
                <w:szCs w:val="19"/>
              </w:rPr>
              <w:t>&gt;245</w:t>
            </w:r>
          </w:p>
        </w:tc>
        <w:tc>
          <w:tcPr>
            <w:tcW w:w="1280" w:type="dxa"/>
            <w:tcBorders>
              <w:top w:val="single" w:color="000000" w:sz="4" w:space="0"/>
              <w:bottom w:val="single" w:color="000000" w:sz="4" w:space="0"/>
            </w:tcBorders>
            <w:vAlign w:val="top"/>
          </w:tcPr>
          <w:p w14:paraId="0B88DBA5">
            <w:pPr>
              <w:pStyle w:val="6"/>
              <w:spacing w:before="100" w:line="230" w:lineRule="auto"/>
              <w:ind w:left="490"/>
              <w:rPr>
                <w:sz w:val="19"/>
                <w:szCs w:val="19"/>
              </w:rPr>
            </w:pPr>
            <w:r>
              <w:rPr>
                <w:spacing w:val="-2"/>
                <w:sz w:val="19"/>
                <w:szCs w:val="19"/>
              </w:rPr>
              <w:t>424</w:t>
            </w:r>
          </w:p>
        </w:tc>
        <w:tc>
          <w:tcPr>
            <w:tcW w:w="1310" w:type="dxa"/>
            <w:tcBorders>
              <w:top w:val="single" w:color="000000" w:sz="4" w:space="0"/>
              <w:bottom w:val="single" w:color="000000" w:sz="4" w:space="0"/>
            </w:tcBorders>
            <w:vAlign w:val="top"/>
          </w:tcPr>
          <w:p w14:paraId="16CF9AB1">
            <w:pPr>
              <w:pStyle w:val="6"/>
              <w:spacing w:before="100" w:line="230" w:lineRule="auto"/>
              <w:ind w:left="560"/>
              <w:rPr>
                <w:sz w:val="19"/>
                <w:szCs w:val="19"/>
              </w:rPr>
            </w:pPr>
            <w:r>
              <w:rPr>
                <w:spacing w:val="-3"/>
                <w:sz w:val="19"/>
                <w:szCs w:val="19"/>
              </w:rPr>
              <w:t>51</w:t>
            </w:r>
          </w:p>
        </w:tc>
        <w:tc>
          <w:tcPr>
            <w:tcW w:w="1610" w:type="dxa"/>
            <w:tcBorders>
              <w:top w:val="single" w:color="000000" w:sz="4" w:space="0"/>
              <w:bottom w:val="single" w:color="000000" w:sz="4" w:space="0"/>
            </w:tcBorders>
            <w:vAlign w:val="top"/>
          </w:tcPr>
          <w:p w14:paraId="20E9898B">
            <w:pPr>
              <w:pStyle w:val="6"/>
              <w:spacing w:before="100" w:line="230" w:lineRule="auto"/>
              <w:ind w:left="609"/>
              <w:rPr>
                <w:sz w:val="19"/>
                <w:szCs w:val="19"/>
              </w:rPr>
            </w:pPr>
            <w:r>
              <w:rPr>
                <w:spacing w:val="-2"/>
                <w:sz w:val="19"/>
                <w:szCs w:val="19"/>
              </w:rPr>
              <w:t>0.12</w:t>
            </w:r>
          </w:p>
        </w:tc>
        <w:tc>
          <w:tcPr>
            <w:tcW w:w="1220" w:type="dxa"/>
            <w:tcBorders>
              <w:top w:val="single" w:color="000000" w:sz="4" w:space="0"/>
              <w:bottom w:val="single" w:color="000000" w:sz="4" w:space="0"/>
            </w:tcBorders>
            <w:vAlign w:val="top"/>
          </w:tcPr>
          <w:p w14:paraId="4CABCA62">
            <w:pPr>
              <w:pStyle w:val="6"/>
              <w:spacing w:before="100" w:line="230" w:lineRule="auto"/>
              <w:ind w:left="420"/>
              <w:rPr>
                <w:sz w:val="19"/>
                <w:szCs w:val="19"/>
              </w:rPr>
            </w:pPr>
            <w:r>
              <w:rPr>
                <w:spacing w:val="-3"/>
                <w:sz w:val="19"/>
                <w:szCs w:val="19"/>
              </w:rPr>
              <w:t>3.00</w:t>
            </w:r>
          </w:p>
        </w:tc>
        <w:tc>
          <w:tcPr>
            <w:tcW w:w="1520" w:type="dxa"/>
            <w:tcBorders>
              <w:top w:val="single" w:color="000000" w:sz="4" w:space="0"/>
              <w:bottom w:val="single" w:color="000000" w:sz="4" w:space="0"/>
            </w:tcBorders>
            <w:vAlign w:val="top"/>
          </w:tcPr>
          <w:p w14:paraId="1577FB66">
            <w:pPr>
              <w:pStyle w:val="6"/>
              <w:spacing w:before="100" w:line="230" w:lineRule="auto"/>
              <w:ind w:left="570"/>
              <w:rPr>
                <w:sz w:val="19"/>
                <w:szCs w:val="19"/>
              </w:rPr>
            </w:pPr>
            <w:r>
              <w:rPr>
                <w:spacing w:val="-2"/>
                <w:sz w:val="19"/>
                <w:szCs w:val="19"/>
              </w:rPr>
              <w:t>0.08</w:t>
            </w:r>
          </w:p>
        </w:tc>
      </w:tr>
      <w:tr w14:paraId="111153A4">
        <w:trPr>
          <w:trHeight w:val="351" w:hRule="atLeast"/>
        </w:trPr>
        <w:tc>
          <w:tcPr>
            <w:tcW w:w="2460" w:type="dxa"/>
            <w:tcBorders>
              <w:top w:val="single" w:color="000000" w:sz="4" w:space="0"/>
              <w:bottom w:val="single" w:color="000000" w:sz="4" w:space="0"/>
            </w:tcBorders>
            <w:shd w:val="clear" w:color="auto" w:fill="E0E4E6"/>
            <w:vAlign w:val="top"/>
          </w:tcPr>
          <w:p w14:paraId="61D868C0">
            <w:pPr>
              <w:pStyle w:val="6"/>
              <w:spacing w:before="84" w:line="221" w:lineRule="auto"/>
              <w:ind w:left="1040"/>
              <w:rPr>
                <w:sz w:val="19"/>
                <w:szCs w:val="19"/>
              </w:rPr>
            </w:pPr>
            <w:r>
              <w:rPr>
                <w:spacing w:val="-3"/>
                <w:sz w:val="19"/>
                <w:szCs w:val="19"/>
              </w:rPr>
              <w:t>合计</w:t>
            </w:r>
          </w:p>
        </w:tc>
        <w:tc>
          <w:tcPr>
            <w:tcW w:w="1280" w:type="dxa"/>
            <w:tcBorders>
              <w:top w:val="single" w:color="000000" w:sz="4" w:space="0"/>
              <w:bottom w:val="single" w:color="000000" w:sz="4" w:space="0"/>
            </w:tcBorders>
            <w:shd w:val="clear" w:color="auto" w:fill="D4D4D4"/>
            <w:vAlign w:val="top"/>
          </w:tcPr>
          <w:p w14:paraId="1E64DB70">
            <w:pPr>
              <w:pStyle w:val="6"/>
              <w:spacing w:before="103" w:line="231" w:lineRule="auto"/>
              <w:ind w:left="450"/>
              <w:rPr>
                <w:sz w:val="19"/>
                <w:szCs w:val="19"/>
              </w:rPr>
            </w:pPr>
            <w:r>
              <w:rPr>
                <w:spacing w:val="-5"/>
                <w:sz w:val="19"/>
                <w:szCs w:val="19"/>
              </w:rPr>
              <w:t>1333</w:t>
            </w:r>
          </w:p>
        </w:tc>
        <w:tc>
          <w:tcPr>
            <w:tcW w:w="1310" w:type="dxa"/>
            <w:tcBorders>
              <w:top w:val="single" w:color="000000" w:sz="4" w:space="0"/>
              <w:bottom w:val="single" w:color="000000" w:sz="4" w:space="0"/>
            </w:tcBorders>
            <w:shd w:val="clear" w:color="auto" w:fill="D5D4D4"/>
            <w:vAlign w:val="top"/>
          </w:tcPr>
          <w:p w14:paraId="362585D2">
            <w:pPr>
              <w:pStyle w:val="6"/>
              <w:spacing w:before="103" w:line="231" w:lineRule="auto"/>
              <w:ind w:left="560"/>
              <w:rPr>
                <w:sz w:val="19"/>
                <w:szCs w:val="19"/>
              </w:rPr>
            </w:pPr>
            <w:r>
              <w:rPr>
                <w:spacing w:val="-3"/>
                <w:sz w:val="19"/>
                <w:szCs w:val="19"/>
              </w:rPr>
              <w:t>96</w:t>
            </w:r>
          </w:p>
        </w:tc>
        <w:tc>
          <w:tcPr>
            <w:tcW w:w="1610" w:type="dxa"/>
            <w:tcBorders>
              <w:top w:val="single" w:color="000000" w:sz="4" w:space="0"/>
              <w:bottom w:val="single" w:color="000000" w:sz="4" w:space="0"/>
            </w:tcBorders>
            <w:shd w:val="clear" w:color="auto" w:fill="DAD9D6"/>
            <w:vAlign w:val="top"/>
          </w:tcPr>
          <w:p w14:paraId="59763779">
            <w:pPr>
              <w:pStyle w:val="6"/>
              <w:spacing w:before="103" w:line="231" w:lineRule="auto"/>
              <w:ind w:left="609"/>
              <w:rPr>
                <w:sz w:val="19"/>
                <w:szCs w:val="19"/>
              </w:rPr>
            </w:pPr>
            <w:r>
              <w:rPr>
                <w:spacing w:val="-2"/>
                <w:sz w:val="19"/>
                <w:szCs w:val="19"/>
              </w:rPr>
              <w:t>0.07</w:t>
            </w:r>
          </w:p>
        </w:tc>
        <w:tc>
          <w:tcPr>
            <w:tcW w:w="1220" w:type="dxa"/>
            <w:tcBorders>
              <w:top w:val="single" w:color="000000" w:sz="4" w:space="0"/>
              <w:bottom w:val="single" w:color="000000" w:sz="4" w:space="0"/>
            </w:tcBorders>
            <w:shd w:val="clear" w:color="auto" w:fill="DAD8D3"/>
            <w:vAlign w:val="top"/>
          </w:tcPr>
          <w:p w14:paraId="64E4A748">
            <w:pPr>
              <w:rPr>
                <w:rFonts w:ascii="Arial"/>
                <w:sz w:val="21"/>
              </w:rPr>
            </w:pPr>
          </w:p>
        </w:tc>
        <w:tc>
          <w:tcPr>
            <w:tcW w:w="1520" w:type="dxa"/>
            <w:tcBorders>
              <w:top w:val="single" w:color="000000" w:sz="4" w:space="0"/>
              <w:bottom w:val="single" w:color="000000" w:sz="4" w:space="0"/>
            </w:tcBorders>
            <w:shd w:val="clear" w:color="auto" w:fill="D7D5CF"/>
            <w:vAlign w:val="top"/>
          </w:tcPr>
          <w:p w14:paraId="5AD39109">
            <w:pPr>
              <w:rPr>
                <w:rFonts w:ascii="Arial"/>
                <w:sz w:val="21"/>
              </w:rPr>
            </w:pPr>
          </w:p>
        </w:tc>
      </w:tr>
    </w:tbl>
    <w:p w14:paraId="7EDB4693">
      <w:pPr>
        <w:spacing w:before="60" w:line="216" w:lineRule="auto"/>
        <w:ind w:left="7210"/>
        <w:rPr>
          <w:rFonts w:ascii="宋体" w:hAnsi="宋体" w:eastAsia="宋体" w:cs="宋体"/>
          <w:sz w:val="19"/>
          <w:szCs w:val="19"/>
        </w:rPr>
      </w:pPr>
      <w:r>
        <w:rPr>
          <w:rFonts w:ascii="宋体" w:hAnsi="宋体" w:eastAsia="宋体" w:cs="宋体"/>
          <w:spacing w:val="5"/>
          <w:sz w:val="19"/>
          <w:szCs w:val="19"/>
        </w:rPr>
        <w:t>(</w:t>
      </w:r>
      <w:r>
        <w:rPr>
          <w:rFonts w:ascii="宋体" w:hAnsi="宋体" w:eastAsia="宋体" w:cs="宋体"/>
          <w:sz w:val="19"/>
          <w:szCs w:val="19"/>
        </w:rPr>
        <w:t>Feinleib</w:t>
      </w:r>
      <w:r>
        <w:rPr>
          <w:rFonts w:ascii="宋体" w:hAnsi="宋体" w:eastAsia="宋体" w:cs="宋体"/>
          <w:spacing w:val="5"/>
          <w:sz w:val="19"/>
          <w:szCs w:val="19"/>
        </w:rPr>
        <w:t>和</w:t>
      </w:r>
      <w:r>
        <w:rPr>
          <w:rFonts w:ascii="宋体" w:hAnsi="宋体" w:eastAsia="宋体" w:cs="宋体"/>
          <w:sz w:val="19"/>
          <w:szCs w:val="19"/>
        </w:rPr>
        <w:t>Detels</w:t>
      </w:r>
      <w:r>
        <w:rPr>
          <w:rFonts w:ascii="宋体" w:hAnsi="宋体" w:eastAsia="宋体" w:cs="宋体"/>
          <w:spacing w:val="5"/>
          <w:sz w:val="19"/>
          <w:szCs w:val="19"/>
        </w:rPr>
        <w:t>,1985)</w:t>
      </w:r>
    </w:p>
    <w:p w14:paraId="33A99ABE">
      <w:pPr>
        <w:spacing w:line="468" w:lineRule="auto"/>
        <w:rPr>
          <w:rFonts w:ascii="Arial"/>
          <w:sz w:val="21"/>
        </w:rPr>
      </w:pPr>
    </w:p>
    <w:p w14:paraId="35DD2915">
      <w:pPr>
        <w:pStyle w:val="2"/>
        <w:spacing w:before="102" w:line="221" w:lineRule="auto"/>
        <w:ind w:left="2860"/>
        <w:outlineLvl w:val="1"/>
        <w:rPr>
          <w:sz w:val="31"/>
          <w:szCs w:val="31"/>
        </w:rPr>
      </w:pPr>
      <w:bookmarkStart w:id="112" w:name="bookmark68"/>
      <w:bookmarkEnd w:id="112"/>
      <w:r>
        <w:rPr>
          <w:spacing w:val="-6"/>
          <w:sz w:val="22"/>
          <w:szCs w:val="22"/>
        </w:rPr>
        <w:t>第</w:t>
      </w:r>
      <w:r>
        <w:rPr>
          <w:spacing w:val="54"/>
          <w:sz w:val="22"/>
          <w:szCs w:val="22"/>
        </w:rPr>
        <w:t xml:space="preserve"> </w:t>
      </w:r>
      <w:r>
        <w:rPr>
          <w:spacing w:val="-6"/>
          <w:sz w:val="22"/>
          <w:szCs w:val="22"/>
        </w:rPr>
        <w:t>四</w:t>
      </w:r>
      <w:r>
        <w:rPr>
          <w:spacing w:val="43"/>
          <w:sz w:val="22"/>
          <w:szCs w:val="22"/>
        </w:rPr>
        <w:t xml:space="preserve"> </w:t>
      </w:r>
      <w:r>
        <w:rPr>
          <w:spacing w:val="-6"/>
          <w:sz w:val="22"/>
          <w:szCs w:val="22"/>
        </w:rPr>
        <w:t>节</w:t>
      </w:r>
      <w:r>
        <w:rPr>
          <w:spacing w:val="28"/>
          <w:sz w:val="22"/>
          <w:szCs w:val="22"/>
        </w:rPr>
        <w:t xml:space="preserve">  </w:t>
      </w:r>
      <w:r>
        <w:rPr>
          <w:spacing w:val="-6"/>
          <w:sz w:val="31"/>
          <w:szCs w:val="31"/>
        </w:rPr>
        <w:t>常见偏倚及其控制</w:t>
      </w:r>
    </w:p>
    <w:p w14:paraId="7187DE15">
      <w:pPr>
        <w:spacing w:line="283" w:lineRule="auto"/>
        <w:rPr>
          <w:rFonts w:ascii="Arial"/>
          <w:sz w:val="21"/>
        </w:rPr>
      </w:pPr>
    </w:p>
    <w:p w14:paraId="59439F87">
      <w:pPr>
        <w:spacing w:before="71" w:line="305" w:lineRule="auto"/>
        <w:ind w:left="49" w:right="581" w:firstLine="430"/>
        <w:rPr>
          <w:rFonts w:ascii="宋体" w:hAnsi="宋体" w:eastAsia="宋体" w:cs="宋体"/>
          <w:sz w:val="22"/>
          <w:szCs w:val="22"/>
        </w:rPr>
      </w:pPr>
      <w:r>
        <w:rPr>
          <w:rFonts w:ascii="宋体" w:hAnsi="宋体" w:eastAsia="宋体" w:cs="宋体"/>
          <w:spacing w:val="-2"/>
          <w:sz w:val="22"/>
          <w:szCs w:val="22"/>
        </w:rPr>
        <w:t>偏倚(bias)是一种系统误差。队列研究在设计、实施和资料分析等各个阶段都可能产生偏倚。</w:t>
      </w:r>
      <w:r>
        <w:rPr>
          <w:rFonts w:ascii="宋体" w:hAnsi="宋体" w:eastAsia="宋体" w:cs="宋体"/>
          <w:spacing w:val="12"/>
          <w:sz w:val="22"/>
          <w:szCs w:val="22"/>
        </w:rPr>
        <w:t xml:space="preserve"> </w:t>
      </w:r>
      <w:r>
        <w:rPr>
          <w:rFonts w:ascii="宋体" w:hAnsi="宋体" w:eastAsia="宋体" w:cs="宋体"/>
          <w:spacing w:val="-5"/>
          <w:sz w:val="22"/>
          <w:szCs w:val="22"/>
        </w:rPr>
        <w:t>常见的偏倚包括选择偏倚、信息偏倚和混杂偏倚。</w:t>
      </w:r>
    </w:p>
    <w:p w14:paraId="2196969B">
      <w:pPr>
        <w:pStyle w:val="2"/>
        <w:spacing w:before="224" w:line="222" w:lineRule="auto"/>
        <w:ind w:left="500"/>
        <w:outlineLvl w:val="2"/>
        <w:rPr>
          <w:sz w:val="22"/>
          <w:szCs w:val="22"/>
        </w:rPr>
      </w:pPr>
      <w:bookmarkStart w:id="113" w:name="bookmark70"/>
      <w:bookmarkEnd w:id="113"/>
      <w:r>
        <w:rPr>
          <w:spacing w:val="-12"/>
          <w:sz w:val="22"/>
          <w:szCs w:val="22"/>
        </w:rPr>
        <w:t>一</w:t>
      </w:r>
      <w:r>
        <w:rPr>
          <w:spacing w:val="14"/>
          <w:sz w:val="22"/>
          <w:szCs w:val="22"/>
        </w:rPr>
        <w:t xml:space="preserve"> </w:t>
      </w:r>
      <w:r>
        <w:rPr>
          <w:spacing w:val="-12"/>
          <w:sz w:val="22"/>
          <w:szCs w:val="22"/>
        </w:rPr>
        <w:t>、选</w:t>
      </w:r>
      <w:r>
        <w:rPr>
          <w:spacing w:val="-30"/>
          <w:sz w:val="22"/>
          <w:szCs w:val="22"/>
        </w:rPr>
        <w:t xml:space="preserve"> </w:t>
      </w:r>
      <w:r>
        <w:rPr>
          <w:spacing w:val="-12"/>
          <w:sz w:val="22"/>
          <w:szCs w:val="22"/>
        </w:rPr>
        <w:t>择</w:t>
      </w:r>
      <w:r>
        <w:rPr>
          <w:spacing w:val="-29"/>
          <w:sz w:val="22"/>
          <w:szCs w:val="22"/>
        </w:rPr>
        <w:t xml:space="preserve"> </w:t>
      </w:r>
      <w:r>
        <w:rPr>
          <w:spacing w:val="-12"/>
          <w:sz w:val="22"/>
          <w:szCs w:val="22"/>
        </w:rPr>
        <w:t>偏</w:t>
      </w:r>
      <w:r>
        <w:rPr>
          <w:spacing w:val="-30"/>
          <w:sz w:val="22"/>
          <w:szCs w:val="22"/>
        </w:rPr>
        <w:t xml:space="preserve"> </w:t>
      </w:r>
      <w:r>
        <w:rPr>
          <w:spacing w:val="-12"/>
          <w:sz w:val="22"/>
          <w:szCs w:val="22"/>
        </w:rPr>
        <w:t>倚</w:t>
      </w:r>
    </w:p>
    <w:p w14:paraId="2762782E">
      <w:pPr>
        <w:spacing w:before="232" w:line="315" w:lineRule="auto"/>
        <w:ind w:left="39" w:right="667" w:firstLine="440"/>
        <w:rPr>
          <w:rFonts w:ascii="宋体" w:hAnsi="宋体" w:eastAsia="宋体" w:cs="宋体"/>
          <w:sz w:val="22"/>
          <w:szCs w:val="22"/>
        </w:rPr>
      </w:pPr>
      <w:r>
        <w:rPr>
          <w:rFonts w:ascii="宋体" w:hAnsi="宋体" w:eastAsia="宋体" w:cs="宋体"/>
          <w:spacing w:val="-1"/>
          <w:sz w:val="22"/>
          <w:szCs w:val="22"/>
        </w:rPr>
        <w:t>选择偏倚</w:t>
      </w:r>
      <w:r>
        <w:rPr>
          <w:rFonts w:ascii="Times New Roman" w:hAnsi="Times New Roman" w:eastAsia="Times New Roman" w:cs="Times New Roman"/>
          <w:spacing w:val="-1"/>
          <w:sz w:val="22"/>
          <w:szCs w:val="22"/>
        </w:rPr>
        <w:t>(selection   bias)</w:t>
      </w:r>
      <w:r>
        <w:rPr>
          <w:rFonts w:ascii="宋体" w:hAnsi="宋体" w:eastAsia="宋体" w:cs="宋体"/>
          <w:spacing w:val="-1"/>
          <w:sz w:val="22"/>
          <w:szCs w:val="22"/>
        </w:rPr>
        <w:t>是由于研究对象的选择不当</w:t>
      </w:r>
      <w:r>
        <w:rPr>
          <w:rFonts w:ascii="宋体" w:hAnsi="宋体" w:eastAsia="宋体" w:cs="宋体"/>
          <w:spacing w:val="-2"/>
          <w:sz w:val="22"/>
          <w:szCs w:val="22"/>
        </w:rPr>
        <w:t>，即入选的研究对象与未人选的研究对象</w:t>
      </w:r>
      <w:r>
        <w:rPr>
          <w:rFonts w:ascii="宋体" w:hAnsi="宋体" w:eastAsia="宋体" w:cs="宋体"/>
          <w:sz w:val="22"/>
          <w:szCs w:val="22"/>
        </w:rPr>
        <w:t xml:space="preserve"> </w:t>
      </w:r>
      <w:r>
        <w:rPr>
          <w:rFonts w:ascii="宋体" w:hAnsi="宋体" w:eastAsia="宋体" w:cs="宋体"/>
          <w:spacing w:val="-4"/>
          <w:sz w:val="22"/>
          <w:szCs w:val="22"/>
        </w:rPr>
        <w:t>在某些特征上存在差异而引起的系统误差，常发生在研究的设计阶段。</w:t>
      </w:r>
    </w:p>
    <w:p w14:paraId="15EA1F9E">
      <w:pPr>
        <w:spacing w:before="2" w:line="277" w:lineRule="auto"/>
        <w:ind w:left="19" w:right="675" w:firstLine="480"/>
        <w:jc w:val="both"/>
        <w:rPr>
          <w:rFonts w:ascii="宋体" w:hAnsi="宋体" w:eastAsia="宋体" w:cs="宋体"/>
          <w:sz w:val="22"/>
          <w:szCs w:val="22"/>
        </w:rPr>
      </w:pPr>
      <w:r>
        <w:rPr>
          <w:rFonts w:ascii="宋体" w:hAnsi="宋体" w:eastAsia="宋体" w:cs="宋体"/>
          <w:spacing w:val="-5"/>
          <w:sz w:val="22"/>
          <w:szCs w:val="22"/>
        </w:rPr>
        <w:t>队列研究中选择偏倚常发生于：最初选定的研究对象有人拒绝参加、研究对象由志愿者组成或</w:t>
      </w:r>
      <w:r>
        <w:rPr>
          <w:rFonts w:ascii="宋体" w:hAnsi="宋体" w:eastAsia="宋体" w:cs="宋体"/>
          <w:spacing w:val="14"/>
          <w:sz w:val="22"/>
          <w:szCs w:val="22"/>
        </w:rPr>
        <w:t xml:space="preserve"> </w:t>
      </w:r>
      <w:r>
        <w:rPr>
          <w:rFonts w:ascii="宋体" w:hAnsi="宋体" w:eastAsia="宋体" w:cs="宋体"/>
          <w:spacing w:val="2"/>
          <w:sz w:val="22"/>
          <w:szCs w:val="22"/>
        </w:rPr>
        <w:t>者历史性队列研究中有些研究对象的档案丢失或记录不全等情况</w:t>
      </w:r>
      <w:r>
        <w:rPr>
          <w:rFonts w:ascii="宋体" w:hAnsi="宋体" w:eastAsia="宋体" w:cs="宋体"/>
          <w:spacing w:val="1"/>
          <w:sz w:val="22"/>
          <w:szCs w:val="22"/>
        </w:rPr>
        <w:t>。此外，由于队列研究随访时间</w:t>
      </w:r>
      <w:r>
        <w:rPr>
          <w:rFonts w:ascii="宋体" w:hAnsi="宋体" w:eastAsia="宋体" w:cs="宋体"/>
          <w:sz w:val="22"/>
          <w:szCs w:val="22"/>
        </w:rPr>
        <w:t xml:space="preserve"> </w:t>
      </w:r>
      <w:r>
        <w:rPr>
          <w:rFonts w:ascii="宋体" w:hAnsi="宋体" w:eastAsia="宋体" w:cs="宋体"/>
          <w:spacing w:val="-4"/>
          <w:sz w:val="22"/>
          <w:szCs w:val="22"/>
        </w:rPr>
        <w:t>一般较长，随访过程中研究对象迁移、拒答或其他原因退出研究而造成失访。当暴露组和对照组失</w:t>
      </w:r>
      <w:r>
        <w:rPr>
          <w:rFonts w:ascii="宋体" w:hAnsi="宋体" w:eastAsia="宋体" w:cs="宋体"/>
          <w:spacing w:val="12"/>
          <w:sz w:val="22"/>
          <w:szCs w:val="22"/>
        </w:rPr>
        <w:t xml:space="preserve"> </w:t>
      </w:r>
      <w:r>
        <w:rPr>
          <w:rFonts w:ascii="宋体" w:hAnsi="宋体" w:eastAsia="宋体" w:cs="宋体"/>
          <w:spacing w:val="-4"/>
          <w:sz w:val="22"/>
          <w:szCs w:val="22"/>
        </w:rPr>
        <w:t>访率相近，失访者和未失访者的基本特征和结局的发生率相似时，可以认为该失访对研究结果的影</w:t>
      </w:r>
    </w:p>
    <w:p w14:paraId="2C36A225">
      <w:pPr>
        <w:spacing w:line="277" w:lineRule="auto"/>
        <w:rPr>
          <w:rFonts w:ascii="宋体" w:hAnsi="宋体" w:eastAsia="宋体" w:cs="宋体"/>
          <w:sz w:val="22"/>
          <w:szCs w:val="22"/>
        </w:rPr>
        <w:sectPr>
          <w:type w:val="continuous"/>
          <w:pgSz w:w="11900" w:h="16820"/>
          <w:pgMar w:top="400" w:right="623" w:bottom="929" w:left="1269" w:header="0" w:footer="643" w:gutter="0"/>
          <w:cols w:equalWidth="0" w:num="1">
            <w:col w:w="10008"/>
          </w:cols>
        </w:sectPr>
      </w:pPr>
    </w:p>
    <w:p w14:paraId="7EC7ABD7">
      <w:pPr>
        <w:pStyle w:val="2"/>
        <w:spacing w:before="46" w:line="222" w:lineRule="auto"/>
        <w:ind w:left="709"/>
        <w:rPr>
          <w:sz w:val="20"/>
          <w:szCs w:val="20"/>
        </w:rPr>
      </w:pPr>
      <w:r>
        <w:rPr>
          <w:spacing w:val="-17"/>
          <w:sz w:val="20"/>
          <w:szCs w:val="20"/>
        </w:rPr>
        <w:t>第四章</w:t>
      </w:r>
      <w:r>
        <w:rPr>
          <w:spacing w:val="13"/>
          <w:sz w:val="20"/>
          <w:szCs w:val="20"/>
        </w:rPr>
        <w:t xml:space="preserve"> </w:t>
      </w:r>
      <w:r>
        <w:rPr>
          <w:spacing w:val="-17"/>
          <w:sz w:val="20"/>
          <w:szCs w:val="20"/>
        </w:rPr>
        <w:t>队列研究</w:t>
      </w:r>
    </w:p>
    <w:p w14:paraId="5918859C">
      <w:pPr>
        <w:spacing w:line="285" w:lineRule="auto"/>
        <w:rPr>
          <w:rFonts w:ascii="Arial"/>
          <w:sz w:val="21"/>
        </w:rPr>
      </w:pPr>
    </w:p>
    <w:p w14:paraId="01A3FA5B">
      <w:pPr>
        <w:spacing w:line="285" w:lineRule="auto"/>
        <w:rPr>
          <w:rFonts w:ascii="Arial"/>
          <w:sz w:val="21"/>
        </w:rPr>
      </w:pPr>
    </w:p>
    <w:p w14:paraId="37D3D80C">
      <w:pPr>
        <w:spacing w:before="65" w:line="341" w:lineRule="auto"/>
        <w:ind w:left="709" w:right="14"/>
        <w:rPr>
          <w:rFonts w:ascii="宋体" w:hAnsi="宋体" w:eastAsia="宋体" w:cs="宋体"/>
          <w:sz w:val="20"/>
          <w:szCs w:val="20"/>
        </w:rPr>
      </w:pPr>
      <w:r>
        <w:rPr>
          <w:rFonts w:ascii="宋体" w:hAnsi="宋体" w:eastAsia="宋体" w:cs="宋体"/>
          <w:spacing w:val="-3"/>
          <w:sz w:val="20"/>
          <w:szCs w:val="20"/>
        </w:rPr>
        <w:t xml:space="preserve">响不大；否则暴露与结局之间的关系可能因失访而被歪曲，这种歪曲被称为失访偏倚(lost to </w:t>
      </w:r>
      <w:r>
        <w:rPr>
          <w:rFonts w:ascii="宋体" w:hAnsi="宋体" w:eastAsia="宋体" w:cs="宋体"/>
          <w:spacing w:val="-4"/>
          <w:sz w:val="20"/>
          <w:szCs w:val="20"/>
        </w:rPr>
        <w:t>follow-</w:t>
      </w:r>
      <w:r>
        <w:rPr>
          <w:rFonts w:ascii="宋体" w:hAnsi="宋体" w:eastAsia="宋体" w:cs="宋体"/>
          <w:sz w:val="20"/>
          <w:szCs w:val="20"/>
        </w:rPr>
        <w:t xml:space="preserve"> </w:t>
      </w:r>
      <w:r>
        <w:rPr>
          <w:rFonts w:ascii="Times New Roman" w:hAnsi="Times New Roman" w:eastAsia="Times New Roman" w:cs="Times New Roman"/>
          <w:sz w:val="20"/>
          <w:szCs w:val="20"/>
        </w:rPr>
        <w:t>up</w:t>
      </w:r>
      <w:r>
        <w:rPr>
          <w:rFonts w:ascii="Times New Roman" w:hAnsi="Times New Roman" w:eastAsia="Times New Roman" w:cs="Times New Roman"/>
          <w:spacing w:val="6"/>
          <w:sz w:val="20"/>
          <w:szCs w:val="20"/>
        </w:rPr>
        <w:t xml:space="preserve">   </w:t>
      </w:r>
      <w:r>
        <w:rPr>
          <w:rFonts w:ascii="Times New Roman" w:hAnsi="Times New Roman" w:eastAsia="Times New Roman" w:cs="Times New Roman"/>
          <w:sz w:val="20"/>
          <w:szCs w:val="20"/>
        </w:rPr>
        <w:t>bias</w:t>
      </w:r>
      <w:r>
        <w:rPr>
          <w:rFonts w:ascii="Times New Roman" w:hAnsi="Times New Roman" w:eastAsia="Times New Roman" w:cs="Times New Roman"/>
          <w:spacing w:val="6"/>
          <w:sz w:val="20"/>
          <w:szCs w:val="20"/>
        </w:rPr>
        <w:t>),</w:t>
      </w:r>
      <w:r>
        <w:rPr>
          <w:rFonts w:ascii="宋体" w:hAnsi="宋体" w:eastAsia="宋体" w:cs="宋体"/>
          <w:spacing w:val="6"/>
          <w:sz w:val="20"/>
          <w:szCs w:val="20"/>
        </w:rPr>
        <w:t>失访偏倚本质上是一种选择偏倚。</w:t>
      </w:r>
    </w:p>
    <w:p w14:paraId="6F0B6A18">
      <w:pPr>
        <w:spacing w:before="21" w:line="353" w:lineRule="auto"/>
        <w:ind w:left="709" w:right="12" w:firstLine="430"/>
        <w:rPr>
          <w:rFonts w:ascii="宋体" w:hAnsi="宋体" w:eastAsia="宋体" w:cs="宋体"/>
          <w:sz w:val="20"/>
          <w:szCs w:val="20"/>
        </w:rPr>
      </w:pPr>
      <w:r>
        <w:rPr>
          <w:rFonts w:ascii="宋体" w:hAnsi="宋体" w:eastAsia="宋体" w:cs="宋体"/>
          <w:spacing w:val="5"/>
          <w:sz w:val="20"/>
          <w:szCs w:val="20"/>
        </w:rPr>
        <w:t>研究中选择偏倚一旦产生很难被精确估计和有效处理，因此，重在预防，尽量减少其产生。研</w:t>
      </w:r>
      <w:r>
        <w:rPr>
          <w:rFonts w:ascii="宋体" w:hAnsi="宋体" w:eastAsia="宋体" w:cs="宋体"/>
          <w:spacing w:val="2"/>
          <w:sz w:val="20"/>
          <w:szCs w:val="20"/>
        </w:rPr>
        <w:t xml:space="preserve"> </w:t>
      </w:r>
      <w:r>
        <w:rPr>
          <w:rFonts w:ascii="宋体" w:hAnsi="宋体" w:eastAsia="宋体" w:cs="宋体"/>
          <w:spacing w:val="5"/>
          <w:sz w:val="20"/>
          <w:szCs w:val="20"/>
        </w:rPr>
        <w:t>究过程中需严格按照标准选择研究对象，随访时尽量提高研究对象的应答率</w:t>
      </w:r>
      <w:r>
        <w:rPr>
          <w:rFonts w:ascii="宋体" w:hAnsi="宋体" w:eastAsia="宋体" w:cs="宋体"/>
          <w:spacing w:val="4"/>
          <w:sz w:val="20"/>
          <w:szCs w:val="20"/>
        </w:rPr>
        <w:t>和依从性等。</w:t>
      </w:r>
    </w:p>
    <w:p w14:paraId="7F2260CE">
      <w:pPr>
        <w:pStyle w:val="2"/>
        <w:spacing w:before="155" w:line="222" w:lineRule="auto"/>
        <w:ind w:left="1143"/>
        <w:outlineLvl w:val="2"/>
        <w:rPr>
          <w:sz w:val="25"/>
          <w:szCs w:val="25"/>
        </w:rPr>
      </w:pPr>
      <w:bookmarkStart w:id="114" w:name="bookmark71"/>
      <w:bookmarkEnd w:id="114"/>
      <w:r>
        <w:rPr>
          <w:b/>
          <w:bCs/>
          <w:spacing w:val="-5"/>
          <w:sz w:val="25"/>
          <w:szCs w:val="25"/>
        </w:rPr>
        <w:t>二、信息偏倚</w:t>
      </w:r>
    </w:p>
    <w:p w14:paraId="5CB6E88B">
      <w:pPr>
        <w:spacing w:before="275" w:line="347" w:lineRule="auto"/>
        <w:ind w:left="709" w:right="9" w:firstLine="430"/>
        <w:jc w:val="both"/>
        <w:rPr>
          <w:rFonts w:ascii="宋体" w:hAnsi="宋体" w:eastAsia="宋体" w:cs="宋体"/>
          <w:sz w:val="20"/>
          <w:szCs w:val="20"/>
        </w:rPr>
      </w:pPr>
      <w:r>
        <w:rPr>
          <w:rFonts w:ascii="宋体" w:hAnsi="宋体" w:eastAsia="宋体" w:cs="宋体"/>
          <w:spacing w:val="5"/>
          <w:sz w:val="20"/>
          <w:szCs w:val="20"/>
        </w:rPr>
        <w:t>信息偏倚</w:t>
      </w:r>
      <w:r>
        <w:rPr>
          <w:rFonts w:ascii="Times New Roman" w:hAnsi="Times New Roman" w:eastAsia="Times New Roman" w:cs="Times New Roman"/>
          <w:spacing w:val="5"/>
          <w:sz w:val="20"/>
          <w:szCs w:val="20"/>
        </w:rPr>
        <w:t>(</w:t>
      </w:r>
      <w:r>
        <w:rPr>
          <w:rFonts w:ascii="Times New Roman" w:hAnsi="Times New Roman" w:eastAsia="Times New Roman" w:cs="Times New Roman"/>
          <w:sz w:val="20"/>
          <w:szCs w:val="20"/>
        </w:rPr>
        <w:t>information</w:t>
      </w:r>
      <w:r>
        <w:rPr>
          <w:rFonts w:ascii="Times New Roman" w:hAnsi="Times New Roman" w:eastAsia="Times New Roman" w:cs="Times New Roman"/>
          <w:spacing w:val="5"/>
          <w:sz w:val="20"/>
          <w:szCs w:val="20"/>
        </w:rPr>
        <w:t xml:space="preserve">    </w:t>
      </w:r>
      <w:r>
        <w:rPr>
          <w:rFonts w:ascii="Times New Roman" w:hAnsi="Times New Roman" w:eastAsia="Times New Roman" w:cs="Times New Roman"/>
          <w:sz w:val="20"/>
          <w:szCs w:val="20"/>
        </w:rPr>
        <w:t>bias</w:t>
      </w:r>
      <w:r>
        <w:rPr>
          <w:rFonts w:ascii="Times New Roman" w:hAnsi="Times New Roman" w:eastAsia="Times New Roman" w:cs="Times New Roman"/>
          <w:spacing w:val="5"/>
          <w:sz w:val="20"/>
          <w:szCs w:val="20"/>
        </w:rPr>
        <w:t>)</w:t>
      </w:r>
      <w:r>
        <w:rPr>
          <w:rFonts w:ascii="宋体" w:hAnsi="宋体" w:eastAsia="宋体" w:cs="宋体"/>
          <w:spacing w:val="5"/>
          <w:sz w:val="20"/>
          <w:szCs w:val="20"/>
        </w:rPr>
        <w:t>又称观察偏倚</w:t>
      </w:r>
      <w:r>
        <w:rPr>
          <w:rFonts w:ascii="Times New Roman" w:hAnsi="Times New Roman" w:eastAsia="Times New Roman" w:cs="Times New Roman"/>
          <w:spacing w:val="5"/>
          <w:sz w:val="20"/>
          <w:szCs w:val="20"/>
        </w:rPr>
        <w:t>(</w:t>
      </w:r>
      <w:r>
        <w:rPr>
          <w:rFonts w:ascii="Times New Roman" w:hAnsi="Times New Roman" w:eastAsia="Times New Roman" w:cs="Times New Roman"/>
          <w:sz w:val="20"/>
          <w:szCs w:val="20"/>
        </w:rPr>
        <w:t>observation</w:t>
      </w:r>
      <w:r>
        <w:rPr>
          <w:rFonts w:ascii="Times New Roman" w:hAnsi="Times New Roman" w:eastAsia="Times New Roman" w:cs="Times New Roman"/>
          <w:spacing w:val="19"/>
          <w:sz w:val="20"/>
          <w:szCs w:val="20"/>
        </w:rPr>
        <w:t xml:space="preserve">   </w:t>
      </w:r>
      <w:r>
        <w:rPr>
          <w:rFonts w:ascii="Times New Roman" w:hAnsi="Times New Roman" w:eastAsia="Times New Roman" w:cs="Times New Roman"/>
          <w:sz w:val="20"/>
          <w:szCs w:val="20"/>
        </w:rPr>
        <w:t>bias</w:t>
      </w:r>
      <w:r>
        <w:rPr>
          <w:rFonts w:ascii="Times New Roman" w:hAnsi="Times New Roman" w:eastAsia="Times New Roman" w:cs="Times New Roman"/>
          <w:spacing w:val="5"/>
          <w:sz w:val="20"/>
          <w:szCs w:val="20"/>
        </w:rPr>
        <w:t>)</w:t>
      </w:r>
      <w:r>
        <w:rPr>
          <w:rFonts w:ascii="宋体" w:hAnsi="宋体" w:eastAsia="宋体" w:cs="宋体"/>
          <w:spacing w:val="5"/>
          <w:sz w:val="20"/>
          <w:szCs w:val="20"/>
        </w:rPr>
        <w:t>或测量偏倚</w:t>
      </w:r>
      <w:r>
        <w:rPr>
          <w:rFonts w:ascii="Times New Roman" w:hAnsi="Times New Roman" w:eastAsia="Times New Roman" w:cs="Times New Roman"/>
          <w:spacing w:val="5"/>
          <w:sz w:val="20"/>
          <w:szCs w:val="20"/>
        </w:rPr>
        <w:t>(</w:t>
      </w:r>
      <w:r>
        <w:rPr>
          <w:rFonts w:ascii="Times New Roman" w:hAnsi="Times New Roman" w:eastAsia="Times New Roman" w:cs="Times New Roman"/>
          <w:sz w:val="20"/>
          <w:szCs w:val="20"/>
        </w:rPr>
        <w:t>measurement</w:t>
      </w:r>
      <w:r>
        <w:rPr>
          <w:rFonts w:ascii="Times New Roman" w:hAnsi="Times New Roman" w:eastAsia="Times New Roman" w:cs="Times New Roman"/>
          <w:spacing w:val="5"/>
          <w:sz w:val="20"/>
          <w:szCs w:val="20"/>
        </w:rPr>
        <w:t xml:space="preserve">     </w:t>
      </w:r>
      <w:r>
        <w:rPr>
          <w:rFonts w:ascii="Times New Roman" w:hAnsi="Times New Roman" w:eastAsia="Times New Roman" w:cs="Times New Roman"/>
          <w:sz w:val="20"/>
          <w:szCs w:val="20"/>
        </w:rPr>
        <w:t>bias</w:t>
      </w:r>
      <w:r>
        <w:rPr>
          <w:rFonts w:ascii="Times New Roman" w:hAnsi="Times New Roman" w:eastAsia="Times New Roman" w:cs="Times New Roman"/>
          <w:spacing w:val="5"/>
          <w:sz w:val="20"/>
          <w:szCs w:val="20"/>
        </w:rPr>
        <w:t>),</w:t>
      </w:r>
      <w:r>
        <w:rPr>
          <w:rFonts w:ascii="宋体" w:hAnsi="宋体" w:eastAsia="宋体" w:cs="宋体"/>
          <w:spacing w:val="5"/>
          <w:sz w:val="20"/>
          <w:szCs w:val="20"/>
        </w:rPr>
        <w:t>是</w:t>
      </w:r>
      <w:r>
        <w:rPr>
          <w:rFonts w:ascii="宋体" w:hAnsi="宋体" w:eastAsia="宋体" w:cs="宋体"/>
          <w:spacing w:val="1"/>
          <w:sz w:val="20"/>
          <w:szCs w:val="20"/>
        </w:rPr>
        <w:t xml:space="preserve"> </w:t>
      </w:r>
      <w:r>
        <w:rPr>
          <w:rFonts w:ascii="宋体" w:hAnsi="宋体" w:eastAsia="宋体" w:cs="宋体"/>
          <w:spacing w:val="10"/>
          <w:sz w:val="20"/>
          <w:szCs w:val="20"/>
        </w:rPr>
        <w:t>在收集信息过程中由于测量暴露与结局的方法有缺陷造成的系统误差，主要发生在研究的实施阶</w:t>
      </w:r>
      <w:r>
        <w:rPr>
          <w:rFonts w:ascii="宋体" w:hAnsi="宋体" w:eastAsia="宋体" w:cs="宋体"/>
          <w:spacing w:val="17"/>
          <w:sz w:val="20"/>
          <w:szCs w:val="20"/>
        </w:rPr>
        <w:t xml:space="preserve"> </w:t>
      </w:r>
      <w:r>
        <w:rPr>
          <w:rFonts w:ascii="宋体" w:hAnsi="宋体" w:eastAsia="宋体" w:cs="宋体"/>
          <w:spacing w:val="6"/>
          <w:sz w:val="20"/>
          <w:szCs w:val="20"/>
        </w:rPr>
        <w:t>段。队列研究中信息偏倚常是由于使用的仪器不精确、</w:t>
      </w:r>
      <w:r>
        <w:rPr>
          <w:rFonts w:ascii="宋体" w:hAnsi="宋体" w:eastAsia="宋体" w:cs="宋体"/>
          <w:spacing w:val="5"/>
          <w:sz w:val="20"/>
          <w:szCs w:val="20"/>
        </w:rPr>
        <w:t>测量工具或方法不稳定、调查员询问技巧不</w:t>
      </w:r>
      <w:r>
        <w:rPr>
          <w:rFonts w:ascii="宋体" w:hAnsi="宋体" w:eastAsia="宋体" w:cs="宋体"/>
          <w:sz w:val="20"/>
          <w:szCs w:val="20"/>
        </w:rPr>
        <w:t xml:space="preserve"> </w:t>
      </w:r>
      <w:r>
        <w:rPr>
          <w:rFonts w:ascii="宋体" w:hAnsi="宋体" w:eastAsia="宋体" w:cs="宋体"/>
          <w:spacing w:val="6"/>
          <w:sz w:val="20"/>
          <w:szCs w:val="20"/>
        </w:rPr>
        <w:t>佳、检验技术不熟练、医师诊断水平不高或标准</w:t>
      </w:r>
      <w:r>
        <w:rPr>
          <w:rFonts w:ascii="宋体" w:hAnsi="宋体" w:eastAsia="宋体" w:cs="宋体"/>
          <w:spacing w:val="5"/>
          <w:sz w:val="20"/>
          <w:szCs w:val="20"/>
        </w:rPr>
        <w:t>不明确等产生。另外，信息偏倚也可来源于记录错</w:t>
      </w:r>
      <w:r>
        <w:rPr>
          <w:rFonts w:ascii="宋体" w:hAnsi="宋体" w:eastAsia="宋体" w:cs="宋体"/>
          <w:sz w:val="20"/>
          <w:szCs w:val="20"/>
        </w:rPr>
        <w:t xml:space="preserve"> </w:t>
      </w:r>
      <w:r>
        <w:rPr>
          <w:rFonts w:ascii="宋体" w:hAnsi="宋体" w:eastAsia="宋体" w:cs="宋体"/>
          <w:spacing w:val="-5"/>
          <w:sz w:val="20"/>
          <w:szCs w:val="20"/>
        </w:rPr>
        <w:t>误，甚至造假等。</w:t>
      </w:r>
    </w:p>
    <w:p w14:paraId="7A4A5A10">
      <w:pPr>
        <w:spacing w:before="16" w:line="361" w:lineRule="auto"/>
        <w:ind w:left="709" w:right="8" w:firstLine="430"/>
        <w:jc w:val="both"/>
        <w:rPr>
          <w:rFonts w:ascii="宋体" w:hAnsi="宋体" w:eastAsia="宋体" w:cs="宋体"/>
          <w:sz w:val="20"/>
          <w:szCs w:val="20"/>
        </w:rPr>
      </w:pPr>
      <w:r>
        <w:rPr>
          <w:rFonts w:ascii="宋体" w:hAnsi="宋体" w:eastAsia="宋体" w:cs="宋体"/>
          <w:sz w:val="20"/>
          <w:szCs w:val="20"/>
        </w:rPr>
        <w:t>信息偏倚一旦产生，常常难于发现、估计和处理，因此，重在预防。常用的</w:t>
      </w:r>
      <w:r>
        <w:rPr>
          <w:rFonts w:ascii="宋体" w:hAnsi="宋体" w:eastAsia="宋体" w:cs="宋体"/>
          <w:spacing w:val="-1"/>
          <w:sz w:val="20"/>
          <w:szCs w:val="20"/>
        </w:rPr>
        <w:t>减少信息偏倚的方法</w:t>
      </w:r>
      <w:r>
        <w:rPr>
          <w:rFonts w:ascii="宋体" w:hAnsi="宋体" w:eastAsia="宋体" w:cs="宋体"/>
          <w:sz w:val="20"/>
          <w:szCs w:val="20"/>
        </w:rPr>
        <w:t xml:space="preserve"> </w:t>
      </w:r>
      <w:r>
        <w:rPr>
          <w:rFonts w:ascii="宋体" w:hAnsi="宋体" w:eastAsia="宋体" w:cs="宋体"/>
          <w:spacing w:val="1"/>
          <w:sz w:val="20"/>
          <w:szCs w:val="20"/>
        </w:rPr>
        <w:t>如：选择精确稳定的测量方法，并在研究期内保持不变；校准仪器，严格遵守实验流程；同</w:t>
      </w:r>
      <w:r>
        <w:rPr>
          <w:rFonts w:ascii="宋体" w:hAnsi="宋体" w:eastAsia="宋体" w:cs="宋体"/>
          <w:sz w:val="20"/>
          <w:szCs w:val="20"/>
        </w:rPr>
        <w:t xml:space="preserve">等地对待 </w:t>
      </w:r>
      <w:r>
        <w:rPr>
          <w:rFonts w:ascii="宋体" w:hAnsi="宋体" w:eastAsia="宋体" w:cs="宋体"/>
          <w:spacing w:val="-1"/>
          <w:sz w:val="20"/>
          <w:szCs w:val="20"/>
        </w:rPr>
        <w:t>每个研究对象，认真做好调查员培训，提高调查技巧，统一调查口径等。</w:t>
      </w:r>
    </w:p>
    <w:p w14:paraId="0D993348">
      <w:pPr>
        <w:pStyle w:val="2"/>
        <w:spacing w:before="123" w:line="221" w:lineRule="auto"/>
        <w:ind w:left="1143"/>
        <w:outlineLvl w:val="2"/>
        <w:rPr>
          <w:sz w:val="25"/>
          <w:szCs w:val="25"/>
        </w:rPr>
      </w:pPr>
      <w:bookmarkStart w:id="115" w:name="bookmark72"/>
      <w:bookmarkEnd w:id="115"/>
      <w:r>
        <w:rPr>
          <w:b/>
          <w:bCs/>
          <w:spacing w:val="-6"/>
          <w:sz w:val="25"/>
          <w:szCs w:val="25"/>
        </w:rPr>
        <w:t>三、混杂偏倚</w:t>
      </w:r>
    </w:p>
    <w:p w14:paraId="51DDA820">
      <w:pPr>
        <w:spacing w:before="280" w:line="346" w:lineRule="auto"/>
        <w:ind w:left="709" w:firstLine="430"/>
        <w:jc w:val="both"/>
        <w:rPr>
          <w:rFonts w:ascii="宋体" w:hAnsi="宋体" w:eastAsia="宋体" w:cs="宋体"/>
          <w:sz w:val="20"/>
          <w:szCs w:val="20"/>
        </w:rPr>
      </w:pPr>
      <w:r>
        <w:rPr>
          <w:rFonts w:ascii="宋体" w:hAnsi="宋体" w:eastAsia="宋体" w:cs="宋体"/>
          <w:spacing w:val="4"/>
          <w:sz w:val="20"/>
          <w:szCs w:val="20"/>
        </w:rPr>
        <w:t>混杂偏倚</w:t>
      </w:r>
      <w:r>
        <w:rPr>
          <w:rFonts w:ascii="Times New Roman" w:hAnsi="Times New Roman" w:eastAsia="Times New Roman" w:cs="Times New Roman"/>
          <w:spacing w:val="4"/>
          <w:sz w:val="20"/>
          <w:szCs w:val="20"/>
        </w:rPr>
        <w:t>(</w:t>
      </w:r>
      <w:r>
        <w:rPr>
          <w:rFonts w:ascii="Times New Roman" w:hAnsi="Times New Roman" w:eastAsia="Times New Roman" w:cs="Times New Roman"/>
          <w:sz w:val="20"/>
          <w:szCs w:val="20"/>
        </w:rPr>
        <w:t>confounding    bias</w:t>
      </w:r>
      <w:r>
        <w:rPr>
          <w:rFonts w:ascii="Times New Roman" w:hAnsi="Times New Roman" w:eastAsia="Times New Roman" w:cs="Times New Roman"/>
          <w:spacing w:val="4"/>
          <w:sz w:val="20"/>
          <w:szCs w:val="20"/>
        </w:rPr>
        <w:t>)</w:t>
      </w:r>
      <w:r>
        <w:rPr>
          <w:rFonts w:ascii="宋体" w:hAnsi="宋体" w:eastAsia="宋体" w:cs="宋体"/>
          <w:spacing w:val="4"/>
          <w:sz w:val="20"/>
          <w:szCs w:val="20"/>
        </w:rPr>
        <w:t>是指当研究某个因素与某种疾病的关联时，某个既与疾病有关、又</w:t>
      </w:r>
      <w:r>
        <w:rPr>
          <w:rFonts w:ascii="宋体" w:hAnsi="宋体" w:eastAsia="宋体" w:cs="宋体"/>
          <w:spacing w:val="1"/>
          <w:sz w:val="20"/>
          <w:szCs w:val="20"/>
        </w:rPr>
        <w:t xml:space="preserve"> </w:t>
      </w:r>
      <w:r>
        <w:rPr>
          <w:rFonts w:ascii="宋体" w:hAnsi="宋体" w:eastAsia="宋体" w:cs="宋体"/>
          <w:spacing w:val="10"/>
          <w:sz w:val="20"/>
          <w:szCs w:val="20"/>
        </w:rPr>
        <w:t>与所研究的暴露因素有关的外来因素的影响，掩盖或夸大了所研究的暴露因素与疾病的联系所造</w:t>
      </w:r>
      <w:r>
        <w:rPr>
          <w:rFonts w:ascii="宋体" w:hAnsi="宋体" w:eastAsia="宋体" w:cs="宋体"/>
          <w:spacing w:val="16"/>
          <w:sz w:val="20"/>
          <w:szCs w:val="20"/>
        </w:rPr>
        <w:t xml:space="preserve"> </w:t>
      </w:r>
      <w:r>
        <w:rPr>
          <w:rFonts w:ascii="宋体" w:hAnsi="宋体" w:eastAsia="宋体" w:cs="宋体"/>
          <w:spacing w:val="7"/>
          <w:sz w:val="20"/>
          <w:szCs w:val="20"/>
        </w:rPr>
        <w:t>成的偏倚。该外来因素称为混杂因素</w:t>
      </w:r>
      <w:r>
        <w:rPr>
          <w:rFonts w:ascii="Times New Roman" w:hAnsi="Times New Roman" w:eastAsia="Times New Roman" w:cs="Times New Roman"/>
          <w:spacing w:val="7"/>
          <w:sz w:val="20"/>
          <w:szCs w:val="20"/>
        </w:rPr>
        <w:t>(</w:t>
      </w:r>
      <w:r>
        <w:rPr>
          <w:rFonts w:ascii="Times New Roman" w:hAnsi="Times New Roman" w:eastAsia="Times New Roman" w:cs="Times New Roman"/>
          <w:sz w:val="20"/>
          <w:szCs w:val="20"/>
        </w:rPr>
        <w:t>confounding</w:t>
      </w:r>
      <w:r>
        <w:rPr>
          <w:rFonts w:ascii="Times New Roman" w:hAnsi="Times New Roman" w:eastAsia="Times New Roman" w:cs="Times New Roman"/>
          <w:spacing w:val="7"/>
          <w:sz w:val="20"/>
          <w:szCs w:val="20"/>
        </w:rPr>
        <w:t xml:space="preserve">   </w:t>
      </w:r>
      <w:r>
        <w:rPr>
          <w:rFonts w:ascii="Times New Roman" w:hAnsi="Times New Roman" w:eastAsia="Times New Roman" w:cs="Times New Roman"/>
          <w:sz w:val="20"/>
          <w:szCs w:val="20"/>
        </w:rPr>
        <w:t>factor</w:t>
      </w:r>
      <w:r>
        <w:rPr>
          <w:rFonts w:ascii="Times New Roman" w:hAnsi="Times New Roman" w:eastAsia="Times New Roman" w:cs="Times New Roman"/>
          <w:spacing w:val="7"/>
          <w:sz w:val="20"/>
          <w:szCs w:val="20"/>
        </w:rPr>
        <w:t>)</w:t>
      </w:r>
      <w:r>
        <w:rPr>
          <w:rFonts w:ascii="宋体" w:hAnsi="宋体" w:eastAsia="宋体" w:cs="宋体"/>
          <w:spacing w:val="7"/>
          <w:sz w:val="20"/>
          <w:szCs w:val="20"/>
        </w:rPr>
        <w:t>。混杂因素不是研究因素与研究结局病因</w:t>
      </w:r>
      <w:r>
        <w:rPr>
          <w:rFonts w:ascii="宋体" w:hAnsi="宋体" w:eastAsia="宋体" w:cs="宋体"/>
          <w:spacing w:val="15"/>
          <w:sz w:val="20"/>
          <w:szCs w:val="20"/>
        </w:rPr>
        <w:t xml:space="preserve"> </w:t>
      </w:r>
      <w:r>
        <w:rPr>
          <w:rFonts w:ascii="宋体" w:hAnsi="宋体" w:eastAsia="宋体" w:cs="宋体"/>
          <w:spacing w:val="5"/>
          <w:sz w:val="20"/>
          <w:szCs w:val="20"/>
        </w:rPr>
        <w:t>通路上的中间环节，而且只有在暴露组与对照组中的分布不均衡时混杂才会产生。</w:t>
      </w:r>
    </w:p>
    <w:p w14:paraId="57365809">
      <w:pPr>
        <w:spacing w:before="24" w:line="335" w:lineRule="auto"/>
        <w:ind w:left="709" w:right="1" w:firstLine="430"/>
        <w:rPr>
          <w:rFonts w:ascii="宋体" w:hAnsi="宋体" w:eastAsia="宋体" w:cs="宋体"/>
          <w:sz w:val="20"/>
          <w:szCs w:val="20"/>
        </w:rPr>
      </w:pPr>
      <w:r>
        <w:rPr>
          <w:rFonts w:ascii="宋体" w:hAnsi="宋体" w:eastAsia="宋体" w:cs="宋体"/>
          <w:spacing w:val="5"/>
          <w:sz w:val="20"/>
          <w:szCs w:val="20"/>
        </w:rPr>
        <w:t>研究设计阶段可采取限制、匹配等方式控制混杂；资料分析阶段可采用分层分析、标准化或多</w:t>
      </w:r>
      <w:r>
        <w:rPr>
          <w:rFonts w:ascii="宋体" w:hAnsi="宋体" w:eastAsia="宋体" w:cs="宋体"/>
          <w:spacing w:val="12"/>
          <w:sz w:val="20"/>
          <w:szCs w:val="20"/>
        </w:rPr>
        <w:t xml:space="preserve"> </w:t>
      </w:r>
      <w:r>
        <w:rPr>
          <w:rFonts w:ascii="宋体" w:hAnsi="宋体" w:eastAsia="宋体" w:cs="宋体"/>
          <w:spacing w:val="6"/>
          <w:sz w:val="20"/>
          <w:szCs w:val="20"/>
        </w:rPr>
        <w:t>因素分析等方法控制混杂。</w:t>
      </w:r>
    </w:p>
    <w:p w14:paraId="375F0CC8">
      <w:pPr>
        <w:spacing w:line="367" w:lineRule="auto"/>
        <w:rPr>
          <w:rFonts w:ascii="Arial"/>
          <w:sz w:val="21"/>
        </w:rPr>
      </w:pPr>
    </w:p>
    <w:p w14:paraId="0AD89A2A">
      <w:pPr>
        <w:pStyle w:val="2"/>
        <w:spacing w:before="98" w:line="218" w:lineRule="auto"/>
        <w:ind w:left="3144"/>
        <w:outlineLvl w:val="1"/>
      </w:pPr>
      <w:bookmarkStart w:id="116" w:name="bookmark73"/>
      <w:bookmarkEnd w:id="116"/>
      <w:r>
        <w:rPr>
          <w:b/>
          <w:bCs/>
          <w:spacing w:val="-13"/>
        </w:rPr>
        <w:t>第五节</w:t>
      </w:r>
      <w:r>
        <w:rPr>
          <w:spacing w:val="130"/>
        </w:rPr>
        <w:t xml:space="preserve"> </w:t>
      </w:r>
      <w:r>
        <w:rPr>
          <w:b/>
          <w:bCs/>
          <w:spacing w:val="-13"/>
        </w:rPr>
        <w:t>优缺点及其他实践类型</w:t>
      </w:r>
    </w:p>
    <w:p w14:paraId="191C3687">
      <w:pPr>
        <w:spacing w:line="408" w:lineRule="auto"/>
        <w:rPr>
          <w:rFonts w:ascii="Arial"/>
          <w:sz w:val="21"/>
        </w:rPr>
      </w:pPr>
    </w:p>
    <w:p w14:paraId="12D9B2A6">
      <w:pPr>
        <w:pStyle w:val="2"/>
        <w:spacing w:before="82" w:line="223" w:lineRule="auto"/>
        <w:ind w:left="1143"/>
        <w:outlineLvl w:val="2"/>
        <w:rPr>
          <w:sz w:val="25"/>
          <w:szCs w:val="25"/>
        </w:rPr>
      </w:pPr>
      <w:bookmarkStart w:id="117" w:name="bookmark74"/>
      <w:bookmarkEnd w:id="117"/>
      <w:r>
        <w:rPr>
          <w:b/>
          <w:bCs/>
          <w:spacing w:val="-11"/>
          <w:sz w:val="25"/>
          <w:szCs w:val="25"/>
        </w:rPr>
        <w:t>一</w:t>
      </w:r>
      <w:r>
        <w:rPr>
          <w:spacing w:val="-67"/>
          <w:sz w:val="25"/>
          <w:szCs w:val="25"/>
        </w:rPr>
        <w:t xml:space="preserve"> </w:t>
      </w:r>
      <w:r>
        <w:rPr>
          <w:b/>
          <w:bCs/>
          <w:spacing w:val="-11"/>
          <w:sz w:val="25"/>
          <w:szCs w:val="25"/>
        </w:rPr>
        <w:t>、优点</w:t>
      </w:r>
    </w:p>
    <w:p w14:paraId="2DDA1750">
      <w:pPr>
        <w:spacing w:before="278" w:line="280" w:lineRule="auto"/>
        <w:ind w:left="709" w:right="16" w:firstLine="430"/>
        <w:rPr>
          <w:rFonts w:ascii="宋体" w:hAnsi="宋体" w:eastAsia="宋体" w:cs="宋体"/>
          <w:sz w:val="20"/>
          <w:szCs w:val="20"/>
        </w:rPr>
      </w:pPr>
      <w:r>
        <w:rPr>
          <w:rFonts w:ascii="宋体" w:hAnsi="宋体" w:eastAsia="宋体" w:cs="宋体"/>
          <w:spacing w:val="7"/>
          <w:sz w:val="20"/>
          <w:szCs w:val="20"/>
        </w:rPr>
        <w:t>1. 由于研究对象的暴露资料是在结局发生之前收集的，在前瞻性队列研究中又是按照设计由</w:t>
      </w:r>
      <w:r>
        <w:rPr>
          <w:rFonts w:ascii="宋体" w:hAnsi="宋体" w:eastAsia="宋体" w:cs="宋体"/>
          <w:spacing w:val="8"/>
          <w:sz w:val="20"/>
          <w:szCs w:val="20"/>
        </w:rPr>
        <w:t xml:space="preserve"> </w:t>
      </w:r>
      <w:r>
        <w:rPr>
          <w:rFonts w:ascii="宋体" w:hAnsi="宋体" w:eastAsia="宋体" w:cs="宋体"/>
          <w:spacing w:val="2"/>
          <w:sz w:val="20"/>
          <w:szCs w:val="20"/>
        </w:rPr>
        <w:t>研究者亲自观察得到的，所以资料完整可靠，回忆偏倚相对较小。</w:t>
      </w:r>
    </w:p>
    <w:p w14:paraId="6C5AFD68">
      <w:pPr>
        <w:spacing w:before="144" w:line="280" w:lineRule="auto"/>
        <w:ind w:left="709" w:right="10" w:firstLine="430"/>
        <w:rPr>
          <w:rFonts w:ascii="宋体" w:hAnsi="宋体" w:eastAsia="宋体" w:cs="宋体"/>
          <w:sz w:val="20"/>
          <w:szCs w:val="20"/>
        </w:rPr>
      </w:pPr>
      <w:r>
        <w:rPr>
          <w:rFonts w:ascii="Times New Roman" w:hAnsi="Times New Roman" w:eastAsia="Times New Roman" w:cs="Times New Roman"/>
          <w:spacing w:val="6"/>
          <w:sz w:val="20"/>
          <w:szCs w:val="20"/>
        </w:rPr>
        <w:t xml:space="preserve">2.  </w:t>
      </w:r>
      <w:r>
        <w:rPr>
          <w:rFonts w:ascii="宋体" w:hAnsi="宋体" w:eastAsia="宋体" w:cs="宋体"/>
          <w:spacing w:val="6"/>
          <w:sz w:val="20"/>
          <w:szCs w:val="20"/>
        </w:rPr>
        <w:t>可以直接获得暴露组和对照组人群的发病率或死亡率，</w:t>
      </w:r>
      <w:r>
        <w:rPr>
          <w:rFonts w:ascii="宋体" w:hAnsi="宋体" w:eastAsia="宋体" w:cs="宋体"/>
          <w:spacing w:val="5"/>
          <w:sz w:val="20"/>
          <w:szCs w:val="20"/>
        </w:rPr>
        <w:t>计算</w:t>
      </w:r>
      <w:r>
        <w:rPr>
          <w:rFonts w:ascii="Times New Roman" w:hAnsi="Times New Roman" w:eastAsia="Times New Roman" w:cs="Times New Roman"/>
          <w:sz w:val="20"/>
          <w:szCs w:val="20"/>
        </w:rPr>
        <w:t>RR</w:t>
      </w:r>
      <w:r>
        <w:rPr>
          <w:rFonts w:ascii="Times New Roman" w:hAnsi="Times New Roman" w:eastAsia="Times New Roman" w:cs="Times New Roman"/>
          <w:spacing w:val="25"/>
          <w:sz w:val="20"/>
          <w:szCs w:val="20"/>
        </w:rPr>
        <w:t xml:space="preserve"> </w:t>
      </w:r>
      <w:r>
        <w:rPr>
          <w:rFonts w:ascii="宋体" w:hAnsi="宋体" w:eastAsia="宋体" w:cs="宋体"/>
          <w:spacing w:val="5"/>
          <w:sz w:val="20"/>
          <w:szCs w:val="20"/>
        </w:rPr>
        <w:t>和</w:t>
      </w:r>
      <w:r>
        <w:rPr>
          <w:rFonts w:ascii="宋体" w:hAnsi="宋体" w:eastAsia="宋体" w:cs="宋体"/>
          <w:spacing w:val="-32"/>
          <w:sz w:val="20"/>
          <w:szCs w:val="20"/>
        </w:rPr>
        <w:t xml:space="preserve"> </w:t>
      </w:r>
      <w:r>
        <w:rPr>
          <w:rFonts w:ascii="Times New Roman" w:hAnsi="Times New Roman" w:eastAsia="Times New Roman" w:cs="Times New Roman"/>
          <w:sz w:val="20"/>
          <w:szCs w:val="20"/>
        </w:rPr>
        <w:t>AR</w:t>
      </w:r>
      <w:r>
        <w:rPr>
          <w:rFonts w:ascii="Times New Roman" w:hAnsi="Times New Roman" w:eastAsia="Times New Roman" w:cs="Times New Roman"/>
          <w:spacing w:val="-8"/>
          <w:sz w:val="20"/>
          <w:szCs w:val="20"/>
        </w:rPr>
        <w:t xml:space="preserve"> </w:t>
      </w:r>
      <w:r>
        <w:rPr>
          <w:rFonts w:ascii="宋体" w:hAnsi="宋体" w:eastAsia="宋体" w:cs="宋体"/>
          <w:spacing w:val="5"/>
          <w:sz w:val="20"/>
          <w:szCs w:val="20"/>
        </w:rPr>
        <w:t>等反映暴露与疾病关</w:t>
      </w:r>
      <w:r>
        <w:rPr>
          <w:rFonts w:ascii="宋体" w:hAnsi="宋体" w:eastAsia="宋体" w:cs="宋体"/>
          <w:sz w:val="20"/>
          <w:szCs w:val="20"/>
        </w:rPr>
        <w:t xml:space="preserve"> </w:t>
      </w:r>
      <w:r>
        <w:rPr>
          <w:rFonts w:ascii="宋体" w:hAnsi="宋体" w:eastAsia="宋体" w:cs="宋体"/>
          <w:spacing w:val="4"/>
          <w:sz w:val="20"/>
          <w:szCs w:val="20"/>
        </w:rPr>
        <w:t>联强度的指标，从而直接反映暴露的病因作用。</w:t>
      </w:r>
    </w:p>
    <w:p w14:paraId="614D41C7">
      <w:pPr>
        <w:spacing w:before="152" w:line="274" w:lineRule="auto"/>
        <w:ind w:left="709" w:right="23" w:firstLine="430"/>
        <w:rPr>
          <w:rFonts w:ascii="宋体" w:hAnsi="宋体" w:eastAsia="宋体" w:cs="宋体"/>
          <w:sz w:val="20"/>
          <w:szCs w:val="20"/>
        </w:rPr>
      </w:pPr>
      <w:r>
        <w:rPr>
          <w:rFonts w:ascii="宋体" w:hAnsi="宋体" w:eastAsia="宋体" w:cs="宋体"/>
          <w:spacing w:val="8"/>
          <w:sz w:val="20"/>
          <w:szCs w:val="20"/>
        </w:rPr>
        <w:t>3.</w:t>
      </w:r>
      <w:r>
        <w:rPr>
          <w:rFonts w:ascii="宋体" w:hAnsi="宋体" w:eastAsia="宋体" w:cs="宋体"/>
          <w:spacing w:val="-32"/>
          <w:sz w:val="20"/>
          <w:szCs w:val="20"/>
        </w:rPr>
        <w:t xml:space="preserve"> </w:t>
      </w:r>
      <w:r>
        <w:rPr>
          <w:rFonts w:ascii="宋体" w:hAnsi="宋体" w:eastAsia="宋体" w:cs="宋体"/>
          <w:spacing w:val="8"/>
          <w:sz w:val="20"/>
          <w:szCs w:val="20"/>
        </w:rPr>
        <w:t>由于暴露发生在前，结局发生在后，因果关系的时间顺序合理，故其检验病因假设的能力</w:t>
      </w:r>
      <w:r>
        <w:rPr>
          <w:rFonts w:ascii="宋体" w:hAnsi="宋体" w:eastAsia="宋体" w:cs="宋体"/>
          <w:sz w:val="20"/>
          <w:szCs w:val="20"/>
        </w:rPr>
        <w:t xml:space="preserve"> </w:t>
      </w:r>
      <w:r>
        <w:rPr>
          <w:rFonts w:ascii="宋体" w:hAnsi="宋体" w:eastAsia="宋体" w:cs="宋体"/>
          <w:spacing w:val="13"/>
          <w:sz w:val="20"/>
          <w:szCs w:val="20"/>
        </w:rPr>
        <w:t>较强。</w:t>
      </w:r>
    </w:p>
    <w:p w14:paraId="2F33BDCC">
      <w:pPr>
        <w:spacing w:before="129" w:line="220" w:lineRule="auto"/>
        <w:ind w:left="1140"/>
        <w:rPr>
          <w:rFonts w:ascii="宋体" w:hAnsi="宋体" w:eastAsia="宋体" w:cs="宋体"/>
          <w:sz w:val="20"/>
          <w:szCs w:val="20"/>
        </w:rPr>
      </w:pPr>
      <w:r>
        <w:rPr>
          <w:rFonts w:ascii="宋体" w:hAnsi="宋体" w:eastAsia="宋体" w:cs="宋体"/>
          <w:spacing w:val="5"/>
          <w:sz w:val="20"/>
          <w:szCs w:val="20"/>
        </w:rPr>
        <w:t>4.</w:t>
      </w:r>
      <w:r>
        <w:rPr>
          <w:rFonts w:ascii="宋体" w:hAnsi="宋体" w:eastAsia="宋体" w:cs="宋体"/>
          <w:spacing w:val="-22"/>
          <w:sz w:val="20"/>
          <w:szCs w:val="20"/>
        </w:rPr>
        <w:t xml:space="preserve"> </w:t>
      </w:r>
      <w:r>
        <w:rPr>
          <w:rFonts w:ascii="宋体" w:hAnsi="宋体" w:eastAsia="宋体" w:cs="宋体"/>
          <w:spacing w:val="5"/>
          <w:sz w:val="20"/>
          <w:szCs w:val="20"/>
        </w:rPr>
        <w:t>有助于了解疾病的自然史。</w:t>
      </w:r>
    </w:p>
    <w:p w14:paraId="340E471F">
      <w:pPr>
        <w:spacing w:before="140" w:line="277" w:lineRule="auto"/>
        <w:ind w:left="709" w:right="5" w:firstLine="430"/>
        <w:rPr>
          <w:rFonts w:ascii="宋体" w:hAnsi="宋体" w:eastAsia="宋体" w:cs="宋体"/>
          <w:sz w:val="20"/>
          <w:szCs w:val="20"/>
        </w:rPr>
      </w:pPr>
      <w:r>
        <w:rPr>
          <w:rFonts w:ascii="宋体" w:hAnsi="宋体" w:eastAsia="宋体" w:cs="宋体"/>
          <w:spacing w:val="13"/>
          <w:sz w:val="20"/>
          <w:szCs w:val="20"/>
        </w:rPr>
        <w:t>5. 能对一种暴露因素所致的多种结局同时进行</w:t>
      </w:r>
      <w:r>
        <w:rPr>
          <w:rFonts w:ascii="宋体" w:hAnsi="宋体" w:eastAsia="宋体" w:cs="宋体"/>
          <w:spacing w:val="12"/>
          <w:sz w:val="20"/>
          <w:szCs w:val="20"/>
        </w:rPr>
        <w:t>观察，分析一种暴露因素与多种结局之间的</w:t>
      </w:r>
      <w:r>
        <w:rPr>
          <w:rFonts w:ascii="宋体" w:hAnsi="宋体" w:eastAsia="宋体" w:cs="宋体"/>
          <w:sz w:val="20"/>
          <w:szCs w:val="20"/>
        </w:rPr>
        <w:t xml:space="preserve"> </w:t>
      </w:r>
      <w:r>
        <w:rPr>
          <w:rFonts w:ascii="宋体" w:hAnsi="宋体" w:eastAsia="宋体" w:cs="宋体"/>
          <w:spacing w:val="13"/>
          <w:sz w:val="20"/>
          <w:szCs w:val="20"/>
        </w:rPr>
        <w:t>关系。</w:t>
      </w:r>
    </w:p>
    <w:p w14:paraId="67B070C7">
      <w:pPr>
        <w:pStyle w:val="2"/>
        <w:spacing w:before="300" w:line="223" w:lineRule="auto"/>
        <w:ind w:left="1143"/>
        <w:outlineLvl w:val="2"/>
        <w:rPr>
          <w:sz w:val="25"/>
          <w:szCs w:val="25"/>
        </w:rPr>
      </w:pPr>
      <w:bookmarkStart w:id="118" w:name="bookmark75"/>
      <w:bookmarkEnd w:id="118"/>
      <w:r>
        <w:rPr>
          <w:b/>
          <w:bCs/>
          <w:spacing w:val="4"/>
          <w:sz w:val="25"/>
          <w:szCs w:val="25"/>
        </w:rPr>
        <w:t>二、局限性</w:t>
      </w:r>
    </w:p>
    <w:p w14:paraId="4399E354">
      <w:pPr>
        <w:spacing w:before="267" w:line="219" w:lineRule="auto"/>
        <w:ind w:left="1140"/>
        <w:rPr>
          <w:rFonts w:ascii="宋体" w:hAnsi="宋体" w:eastAsia="宋体" w:cs="宋体"/>
          <w:sz w:val="20"/>
          <w:szCs w:val="20"/>
        </w:rPr>
      </w:pPr>
      <w:r>
        <w:rPr>
          <w:rFonts w:ascii="宋体" w:hAnsi="宋体" w:eastAsia="宋体" w:cs="宋体"/>
          <w:spacing w:val="5"/>
          <w:sz w:val="20"/>
          <w:szCs w:val="20"/>
        </w:rPr>
        <w:t>1.</w:t>
      </w:r>
      <w:r>
        <w:rPr>
          <w:rFonts w:ascii="宋体" w:hAnsi="宋体" w:eastAsia="宋体" w:cs="宋体"/>
          <w:spacing w:val="-27"/>
          <w:sz w:val="20"/>
          <w:szCs w:val="20"/>
        </w:rPr>
        <w:t xml:space="preserve"> </w:t>
      </w:r>
      <w:r>
        <w:rPr>
          <w:rFonts w:ascii="宋体" w:hAnsi="宋体" w:eastAsia="宋体" w:cs="宋体"/>
          <w:spacing w:val="5"/>
          <w:sz w:val="20"/>
          <w:szCs w:val="20"/>
        </w:rPr>
        <w:t>不适于发病率很低的疾病的病因研究。</w:t>
      </w:r>
    </w:p>
    <w:p w14:paraId="4EEC7FB7">
      <w:pPr>
        <w:spacing w:line="219" w:lineRule="auto"/>
        <w:rPr>
          <w:rFonts w:ascii="宋体" w:hAnsi="宋体" w:eastAsia="宋体" w:cs="宋体"/>
          <w:sz w:val="20"/>
          <w:szCs w:val="20"/>
        </w:rPr>
        <w:sectPr>
          <w:footerReference r:id="rId92" w:type="default"/>
          <w:pgSz w:w="11900" w:h="16820"/>
          <w:pgMar w:top="400" w:right="1539" w:bottom="819" w:left="800" w:header="0" w:footer="639" w:gutter="0"/>
          <w:cols w:space="720" w:num="1"/>
        </w:sectPr>
      </w:pPr>
    </w:p>
    <w:p w14:paraId="582C7788">
      <w:pPr>
        <w:spacing w:line="264" w:lineRule="auto"/>
        <w:rPr>
          <w:rFonts w:ascii="Arial"/>
          <w:sz w:val="21"/>
        </w:rPr>
      </w:pPr>
    </w:p>
    <w:p w14:paraId="0C1A0E80">
      <w:pPr>
        <w:pStyle w:val="2"/>
        <w:spacing w:before="68" w:line="222" w:lineRule="auto"/>
        <w:ind w:left="7822"/>
        <w:rPr>
          <w:sz w:val="21"/>
          <w:szCs w:val="21"/>
        </w:rPr>
      </w:pPr>
      <w:bookmarkStart w:id="119" w:name="bookmark440"/>
      <w:bookmarkEnd w:id="119"/>
      <w:r>
        <w:rPr>
          <w:b/>
          <w:bCs/>
          <w:spacing w:val="-11"/>
          <w:sz w:val="21"/>
          <w:szCs w:val="21"/>
        </w:rPr>
        <w:t>第四章队列研究</w:t>
      </w:r>
    </w:p>
    <w:p w14:paraId="1AD59536">
      <w:pPr>
        <w:spacing w:line="255" w:lineRule="auto"/>
        <w:rPr>
          <w:rFonts w:ascii="Arial"/>
          <w:sz w:val="21"/>
        </w:rPr>
      </w:pPr>
    </w:p>
    <w:p w14:paraId="686DCB36">
      <w:pPr>
        <w:spacing w:line="255" w:lineRule="auto"/>
        <w:rPr>
          <w:rFonts w:ascii="Arial"/>
          <w:sz w:val="21"/>
        </w:rPr>
      </w:pPr>
    </w:p>
    <w:p w14:paraId="252AA05E">
      <w:pPr>
        <w:spacing w:before="68" w:line="219" w:lineRule="auto"/>
        <w:ind w:left="440"/>
        <w:rPr>
          <w:rFonts w:ascii="宋体" w:hAnsi="宋体" w:eastAsia="宋体" w:cs="宋体"/>
          <w:sz w:val="21"/>
          <w:szCs w:val="21"/>
        </w:rPr>
      </w:pPr>
      <w:r>
        <w:rPr>
          <w:rFonts w:ascii="宋体" w:hAnsi="宋体" w:eastAsia="宋体" w:cs="宋体"/>
          <w:spacing w:val="5"/>
          <w:sz w:val="21"/>
          <w:szCs w:val="21"/>
        </w:rPr>
        <w:t>2.由于随访时间较长，容易产生失访偏倚。</w:t>
      </w:r>
    </w:p>
    <w:p w14:paraId="4095517A">
      <w:pPr>
        <w:spacing w:before="109" w:line="219" w:lineRule="auto"/>
        <w:ind w:left="440"/>
        <w:rPr>
          <w:rFonts w:ascii="宋体" w:hAnsi="宋体" w:eastAsia="宋体" w:cs="宋体"/>
          <w:sz w:val="21"/>
          <w:szCs w:val="21"/>
        </w:rPr>
      </w:pPr>
      <w:r>
        <w:rPr>
          <w:rFonts w:ascii="宋体" w:hAnsi="宋体" w:eastAsia="宋体" w:cs="宋体"/>
          <w:spacing w:val="-3"/>
          <w:sz w:val="21"/>
          <w:szCs w:val="21"/>
        </w:rPr>
        <w:t>3.</w:t>
      </w:r>
      <w:r>
        <w:rPr>
          <w:rFonts w:ascii="宋体" w:hAnsi="宋体" w:eastAsia="宋体" w:cs="宋体"/>
          <w:spacing w:val="-16"/>
          <w:sz w:val="21"/>
          <w:szCs w:val="21"/>
        </w:rPr>
        <w:t xml:space="preserve"> </w:t>
      </w:r>
      <w:r>
        <w:rPr>
          <w:rFonts w:ascii="宋体" w:hAnsi="宋体" w:eastAsia="宋体" w:cs="宋体"/>
          <w:spacing w:val="-3"/>
          <w:sz w:val="21"/>
          <w:szCs w:val="21"/>
        </w:rPr>
        <w:t>前瞻性队列研究耗费的人力、物力、财力和时间较多，不易实施。</w:t>
      </w:r>
    </w:p>
    <w:p w14:paraId="34729556">
      <w:pPr>
        <w:pStyle w:val="2"/>
        <w:spacing w:before="284" w:line="218" w:lineRule="auto"/>
        <w:ind w:left="443"/>
        <w:outlineLvl w:val="2"/>
        <w:rPr>
          <w:sz w:val="27"/>
          <w:szCs w:val="27"/>
        </w:rPr>
      </w:pPr>
      <w:bookmarkStart w:id="120" w:name="bookmark76"/>
      <w:bookmarkEnd w:id="120"/>
      <w:r>
        <w:rPr>
          <w:b/>
          <w:bCs/>
          <w:spacing w:val="-7"/>
          <w:sz w:val="27"/>
          <w:szCs w:val="27"/>
        </w:rPr>
        <w:t>三、其他实践类型</w:t>
      </w:r>
    </w:p>
    <w:p w14:paraId="45D017EE">
      <w:pPr>
        <w:spacing w:before="279" w:line="308" w:lineRule="auto"/>
        <w:ind w:right="662" w:firstLine="440"/>
        <w:rPr>
          <w:rFonts w:ascii="宋体" w:hAnsi="宋体" w:eastAsia="宋体" w:cs="宋体"/>
          <w:sz w:val="21"/>
          <w:szCs w:val="21"/>
        </w:rPr>
      </w:pPr>
      <w:r>
        <w:rPr>
          <w:rFonts w:ascii="宋体" w:hAnsi="宋体" w:eastAsia="宋体" w:cs="宋体"/>
          <w:spacing w:val="4"/>
          <w:sz w:val="21"/>
          <w:szCs w:val="21"/>
        </w:rPr>
        <w:t>由于传统的队列研究显而易见的优点和局限性，在长期的流行病学研究实践中，为了提高研究</w:t>
      </w:r>
      <w:r>
        <w:rPr>
          <w:rFonts w:ascii="宋体" w:hAnsi="宋体" w:eastAsia="宋体" w:cs="宋体"/>
          <w:spacing w:val="16"/>
          <w:sz w:val="21"/>
          <w:szCs w:val="21"/>
        </w:rPr>
        <w:t xml:space="preserve"> </w:t>
      </w:r>
      <w:r>
        <w:rPr>
          <w:rFonts w:ascii="宋体" w:hAnsi="宋体" w:eastAsia="宋体" w:cs="宋体"/>
          <w:spacing w:val="4"/>
          <w:sz w:val="21"/>
          <w:szCs w:val="21"/>
        </w:rPr>
        <w:t>效率，逐渐发展出了一些创新且具有实用价值的设计模式。</w:t>
      </w:r>
    </w:p>
    <w:p w14:paraId="134BB645">
      <w:pPr>
        <w:pStyle w:val="2"/>
        <w:spacing w:before="20" w:line="304" w:lineRule="auto"/>
        <w:ind w:right="656" w:firstLine="440"/>
        <w:rPr>
          <w:rFonts w:ascii="宋体" w:hAnsi="宋体" w:eastAsia="宋体" w:cs="宋体"/>
          <w:sz w:val="21"/>
          <w:szCs w:val="21"/>
        </w:rPr>
      </w:pPr>
      <w:r>
        <w:rPr>
          <w:rFonts w:ascii="宋体" w:hAnsi="宋体" w:eastAsia="宋体" w:cs="宋体"/>
          <w:spacing w:val="7"/>
          <w:sz w:val="21"/>
          <w:szCs w:val="21"/>
        </w:rPr>
        <w:t xml:space="preserve">1. </w:t>
      </w:r>
      <w:r>
        <w:rPr>
          <w:spacing w:val="7"/>
          <w:sz w:val="21"/>
          <w:szCs w:val="21"/>
        </w:rPr>
        <w:t>综合队列研究</w:t>
      </w:r>
      <w:r>
        <w:rPr>
          <w:spacing w:val="1"/>
          <w:sz w:val="21"/>
          <w:szCs w:val="21"/>
        </w:rPr>
        <w:t xml:space="preserve">  </w:t>
      </w:r>
      <w:r>
        <w:rPr>
          <w:rFonts w:ascii="宋体" w:hAnsi="宋体" w:eastAsia="宋体" w:cs="宋体"/>
          <w:spacing w:val="7"/>
          <w:sz w:val="21"/>
          <w:szCs w:val="21"/>
        </w:rPr>
        <w:t>传统队列研究设计之初需要确定一个特定的暴露因素，并根</w:t>
      </w:r>
      <w:r>
        <w:rPr>
          <w:rFonts w:ascii="宋体" w:hAnsi="宋体" w:eastAsia="宋体" w:cs="宋体"/>
          <w:spacing w:val="6"/>
          <w:sz w:val="21"/>
          <w:szCs w:val="21"/>
        </w:rPr>
        <w:t>据暴露有无将</w:t>
      </w:r>
      <w:r>
        <w:rPr>
          <w:rFonts w:ascii="宋体" w:hAnsi="宋体" w:eastAsia="宋体" w:cs="宋体"/>
          <w:sz w:val="21"/>
          <w:szCs w:val="21"/>
        </w:rPr>
        <w:t xml:space="preserve"> </w:t>
      </w:r>
      <w:r>
        <w:rPr>
          <w:rFonts w:ascii="宋体" w:hAnsi="宋体" w:eastAsia="宋体" w:cs="宋体"/>
          <w:spacing w:val="10"/>
          <w:sz w:val="21"/>
          <w:szCs w:val="21"/>
        </w:rPr>
        <w:t>研究对象分为暴露组和对照组。这种设计每次只能研究一个因素，限制</w:t>
      </w:r>
      <w:r>
        <w:rPr>
          <w:rFonts w:ascii="宋体" w:hAnsi="宋体" w:eastAsia="宋体" w:cs="宋体"/>
          <w:spacing w:val="9"/>
          <w:sz w:val="21"/>
          <w:szCs w:val="21"/>
        </w:rPr>
        <w:t>了同时研究多个因素的能</w:t>
      </w:r>
      <w:r>
        <w:rPr>
          <w:rFonts w:ascii="宋体" w:hAnsi="宋体" w:eastAsia="宋体" w:cs="宋体"/>
          <w:sz w:val="21"/>
          <w:szCs w:val="21"/>
        </w:rPr>
        <w:t xml:space="preserve"> </w:t>
      </w:r>
      <w:r>
        <w:rPr>
          <w:rFonts w:ascii="宋体" w:hAnsi="宋体" w:eastAsia="宋体" w:cs="宋体"/>
          <w:spacing w:val="7"/>
          <w:sz w:val="21"/>
          <w:szCs w:val="21"/>
        </w:rPr>
        <w:t>力。而综合队列(如自然人群队列)在建立时不预设特定的暴露因素，而是选取满足特定</w:t>
      </w:r>
      <w:r>
        <w:rPr>
          <w:rFonts w:ascii="宋体" w:hAnsi="宋体" w:eastAsia="宋体" w:cs="宋体"/>
          <w:spacing w:val="6"/>
          <w:sz w:val="21"/>
          <w:szCs w:val="21"/>
        </w:rPr>
        <w:t>条件(如长</w:t>
      </w:r>
      <w:r>
        <w:rPr>
          <w:rFonts w:ascii="宋体" w:hAnsi="宋体" w:eastAsia="宋体" w:cs="宋体"/>
          <w:sz w:val="21"/>
          <w:szCs w:val="21"/>
        </w:rPr>
        <w:t xml:space="preserve"> </w:t>
      </w:r>
      <w:r>
        <w:rPr>
          <w:rFonts w:ascii="宋体" w:hAnsi="宋体" w:eastAsia="宋体" w:cs="宋体"/>
          <w:spacing w:val="2"/>
          <w:sz w:val="21"/>
          <w:szCs w:val="21"/>
        </w:rPr>
        <w:t>期居住在同一社区)的人群，收集包括遗传、环境、行为和生活方式等在内的多种暴露因素，并监测</w:t>
      </w:r>
      <w:r>
        <w:rPr>
          <w:rFonts w:ascii="宋体" w:hAnsi="宋体" w:eastAsia="宋体" w:cs="宋体"/>
          <w:spacing w:val="12"/>
          <w:sz w:val="21"/>
          <w:szCs w:val="21"/>
        </w:rPr>
        <w:t xml:space="preserve"> </w:t>
      </w:r>
      <w:r>
        <w:rPr>
          <w:rFonts w:ascii="宋体" w:hAnsi="宋体" w:eastAsia="宋体" w:cs="宋体"/>
          <w:spacing w:val="5"/>
          <w:sz w:val="21"/>
          <w:szCs w:val="21"/>
        </w:rPr>
        <w:t>受试对象的结局。研究结束时，根据研究者关注的某个或某些</w:t>
      </w:r>
      <w:r>
        <w:rPr>
          <w:rFonts w:ascii="宋体" w:hAnsi="宋体" w:eastAsia="宋体" w:cs="宋体"/>
          <w:spacing w:val="4"/>
          <w:sz w:val="21"/>
          <w:szCs w:val="21"/>
        </w:rPr>
        <w:t>因素的受试对象初始的暴露状况，将</w:t>
      </w:r>
      <w:r>
        <w:rPr>
          <w:rFonts w:ascii="宋体" w:hAnsi="宋体" w:eastAsia="宋体" w:cs="宋体"/>
          <w:sz w:val="21"/>
          <w:szCs w:val="21"/>
        </w:rPr>
        <w:t xml:space="preserve"> </w:t>
      </w:r>
      <w:r>
        <w:rPr>
          <w:rFonts w:ascii="宋体" w:hAnsi="宋体" w:eastAsia="宋体" w:cs="宋体"/>
          <w:spacing w:val="7"/>
          <w:sz w:val="21"/>
          <w:szCs w:val="21"/>
        </w:rPr>
        <w:t>他们分为不同的组别(如暴露组和非暴露组),分析暴露与结局的关系，这样可以降低</w:t>
      </w:r>
      <w:r>
        <w:rPr>
          <w:rFonts w:ascii="宋体" w:hAnsi="宋体" w:eastAsia="宋体" w:cs="宋体"/>
          <w:spacing w:val="6"/>
          <w:sz w:val="21"/>
          <w:szCs w:val="21"/>
        </w:rPr>
        <w:t>成本，提高研</w:t>
      </w:r>
      <w:r>
        <w:rPr>
          <w:rFonts w:ascii="宋体" w:hAnsi="宋体" w:eastAsia="宋体" w:cs="宋体"/>
          <w:sz w:val="21"/>
          <w:szCs w:val="21"/>
        </w:rPr>
        <w:t xml:space="preserve"> </w:t>
      </w:r>
      <w:r>
        <w:rPr>
          <w:rFonts w:ascii="宋体" w:hAnsi="宋体" w:eastAsia="宋体" w:cs="宋体"/>
          <w:spacing w:val="9"/>
          <w:sz w:val="21"/>
          <w:szCs w:val="21"/>
        </w:rPr>
        <w:t>究效率，克服了传统队列研究的一些局限。美国弗明汉心脏研究和中国慢性病前瞻性研究</w:t>
      </w:r>
      <w:r>
        <w:rPr>
          <w:rFonts w:ascii="Times New Roman" w:hAnsi="Times New Roman" w:eastAsia="Times New Roman" w:cs="Times New Roman"/>
          <w:spacing w:val="9"/>
          <w:sz w:val="21"/>
          <w:szCs w:val="21"/>
        </w:rPr>
        <w:t>(</w:t>
      </w:r>
      <w:r>
        <w:rPr>
          <w:rFonts w:ascii="Times New Roman" w:hAnsi="Times New Roman" w:eastAsia="Times New Roman" w:cs="Times New Roman"/>
          <w:sz w:val="21"/>
          <w:szCs w:val="21"/>
        </w:rPr>
        <w:t>CKB</w:t>
      </w:r>
      <w:r>
        <w:rPr>
          <w:rFonts w:ascii="Times New Roman" w:hAnsi="Times New Roman" w:eastAsia="Times New Roman" w:cs="Times New Roman"/>
          <w:spacing w:val="9"/>
          <w:sz w:val="21"/>
          <w:szCs w:val="21"/>
        </w:rPr>
        <w:t>)</w:t>
      </w:r>
      <w:r>
        <w:rPr>
          <w:rFonts w:ascii="Times New Roman" w:hAnsi="Times New Roman" w:eastAsia="Times New Roman" w:cs="Times New Roman"/>
          <w:spacing w:val="3"/>
          <w:sz w:val="21"/>
          <w:szCs w:val="21"/>
        </w:rPr>
        <w:t xml:space="preserve">   </w:t>
      </w:r>
      <w:r>
        <w:rPr>
          <w:rFonts w:ascii="宋体" w:hAnsi="宋体" w:eastAsia="宋体" w:cs="宋体"/>
          <w:spacing w:val="9"/>
          <w:sz w:val="21"/>
          <w:szCs w:val="21"/>
        </w:rPr>
        <w:t>便是此类研究的典范。</w:t>
      </w:r>
    </w:p>
    <w:p w14:paraId="0FD27522">
      <w:pPr>
        <w:pStyle w:val="2"/>
        <w:spacing w:before="193" w:line="304" w:lineRule="auto"/>
        <w:ind w:right="658" w:firstLine="440"/>
        <w:rPr>
          <w:rFonts w:ascii="宋体" w:hAnsi="宋体" w:eastAsia="宋体" w:cs="宋体"/>
          <w:sz w:val="21"/>
          <w:szCs w:val="21"/>
        </w:rPr>
      </w:pPr>
      <w:r>
        <w:rPr>
          <w:rFonts w:ascii="宋体" w:hAnsi="宋体" w:eastAsia="宋体" w:cs="宋体"/>
          <w:spacing w:val="7"/>
          <w:sz w:val="21"/>
          <w:szCs w:val="21"/>
        </w:rPr>
        <w:t xml:space="preserve">2. </w:t>
      </w:r>
      <w:r>
        <w:rPr>
          <w:spacing w:val="7"/>
          <w:sz w:val="21"/>
          <w:szCs w:val="21"/>
        </w:rPr>
        <w:t>大数据驱动的队列研究</w:t>
      </w:r>
      <w:r>
        <w:rPr>
          <w:spacing w:val="1"/>
          <w:sz w:val="21"/>
          <w:szCs w:val="21"/>
        </w:rPr>
        <w:t xml:space="preserve">  </w:t>
      </w:r>
      <w:r>
        <w:rPr>
          <w:rFonts w:ascii="宋体" w:hAnsi="宋体" w:eastAsia="宋体" w:cs="宋体"/>
          <w:spacing w:val="7"/>
          <w:sz w:val="21"/>
          <w:szCs w:val="21"/>
        </w:rPr>
        <w:t>随着大数据时代的到来，各国都在积极推进大数据</w:t>
      </w:r>
      <w:r>
        <w:rPr>
          <w:rFonts w:ascii="宋体" w:hAnsi="宋体" w:eastAsia="宋体" w:cs="宋体"/>
          <w:spacing w:val="6"/>
          <w:sz w:val="21"/>
          <w:szCs w:val="21"/>
        </w:rPr>
        <w:t>建设。在一些</w:t>
      </w:r>
      <w:r>
        <w:rPr>
          <w:rFonts w:ascii="宋体" w:hAnsi="宋体" w:eastAsia="宋体" w:cs="宋体"/>
          <w:spacing w:val="1"/>
          <w:sz w:val="21"/>
          <w:szCs w:val="21"/>
        </w:rPr>
        <w:t xml:space="preserve"> </w:t>
      </w:r>
      <w:r>
        <w:rPr>
          <w:rFonts w:ascii="宋体" w:hAnsi="宋体" w:eastAsia="宋体" w:cs="宋体"/>
          <w:spacing w:val="-1"/>
          <w:sz w:val="21"/>
          <w:szCs w:val="21"/>
        </w:rPr>
        <w:t>国家或地区，已经实现了居民健康信息的全程覆盖和全区域共享，这些数据与环境、气象、医保、药</w:t>
      </w:r>
      <w:r>
        <w:rPr>
          <w:rFonts w:ascii="宋体" w:hAnsi="宋体" w:eastAsia="宋体" w:cs="宋体"/>
          <w:spacing w:val="14"/>
          <w:sz w:val="21"/>
          <w:szCs w:val="21"/>
        </w:rPr>
        <w:t xml:space="preserve"> </w:t>
      </w:r>
      <w:r>
        <w:rPr>
          <w:rFonts w:ascii="宋体" w:hAnsi="宋体" w:eastAsia="宋体" w:cs="宋体"/>
          <w:spacing w:val="1"/>
          <w:sz w:val="21"/>
          <w:szCs w:val="21"/>
        </w:rPr>
        <w:t>品销售等数据互联互通，极大地方便了队列研究的开展。可以预见，</w:t>
      </w:r>
      <w:r>
        <w:rPr>
          <w:rFonts w:ascii="宋体" w:hAnsi="宋体" w:eastAsia="宋体" w:cs="宋体"/>
          <w:spacing w:val="64"/>
          <w:sz w:val="21"/>
          <w:szCs w:val="21"/>
        </w:rPr>
        <w:t xml:space="preserve"> </w:t>
      </w:r>
      <w:r>
        <w:rPr>
          <w:rFonts w:ascii="宋体" w:hAnsi="宋体" w:eastAsia="宋体" w:cs="宋体"/>
          <w:spacing w:val="1"/>
          <w:sz w:val="21"/>
          <w:szCs w:val="21"/>
        </w:rPr>
        <w:t>一个覆盖全</w:t>
      </w:r>
      <w:r>
        <w:rPr>
          <w:rFonts w:ascii="宋体" w:hAnsi="宋体" w:eastAsia="宋体" w:cs="宋体"/>
          <w:sz w:val="21"/>
          <w:szCs w:val="21"/>
        </w:rPr>
        <w:t>国的全民健康信息 平台的建立，将使得开展任何感兴趣的队列研究变得更加便捷和迅速，有望彻底</w:t>
      </w:r>
      <w:r>
        <w:rPr>
          <w:rFonts w:ascii="宋体" w:hAnsi="宋体" w:eastAsia="宋体" w:cs="宋体"/>
          <w:spacing w:val="-1"/>
          <w:sz w:val="21"/>
          <w:szCs w:val="21"/>
        </w:rPr>
        <w:t>突破人力、物力、财</w:t>
      </w:r>
      <w:r>
        <w:rPr>
          <w:rFonts w:ascii="宋体" w:hAnsi="宋体" w:eastAsia="宋体" w:cs="宋体"/>
          <w:sz w:val="21"/>
          <w:szCs w:val="21"/>
        </w:rPr>
        <w:t xml:space="preserve"> </w:t>
      </w:r>
      <w:r>
        <w:rPr>
          <w:rFonts w:ascii="宋体" w:hAnsi="宋体" w:eastAsia="宋体" w:cs="宋体"/>
          <w:spacing w:val="10"/>
          <w:sz w:val="21"/>
          <w:szCs w:val="21"/>
        </w:rPr>
        <w:t>力和时间的限制。</w:t>
      </w:r>
    </w:p>
    <w:p w14:paraId="52382C1D">
      <w:pPr>
        <w:spacing w:before="101" w:line="219" w:lineRule="auto"/>
        <w:ind w:left="8349"/>
        <w:rPr>
          <w:rFonts w:ascii="宋体" w:hAnsi="宋体" w:eastAsia="宋体" w:cs="宋体"/>
          <w:sz w:val="21"/>
          <w:szCs w:val="21"/>
        </w:rPr>
      </w:pPr>
      <w:r>
        <w:rPr>
          <w:rFonts w:ascii="宋体" w:hAnsi="宋体" w:eastAsia="宋体" w:cs="宋体"/>
          <w:spacing w:val="21"/>
          <w:sz w:val="21"/>
          <w:szCs w:val="21"/>
        </w:rPr>
        <w:t>(李杏莉)</w:t>
      </w:r>
    </w:p>
    <w:p w14:paraId="681CAE9A">
      <w:pPr>
        <w:spacing w:line="290" w:lineRule="auto"/>
        <w:rPr>
          <w:rFonts w:ascii="Arial"/>
          <w:sz w:val="21"/>
        </w:rPr>
      </w:pPr>
    </w:p>
    <w:p w14:paraId="56794860">
      <w:pPr>
        <w:spacing w:line="460" w:lineRule="exact"/>
        <w:ind w:firstLine="8939"/>
      </w:pPr>
      <w:r>
        <w:rPr>
          <w:position w:val="-9"/>
        </w:rPr>
        <w:drawing>
          <wp:inline distT="0" distB="0" distL="0" distR="0">
            <wp:extent cx="349250" cy="292100"/>
            <wp:effectExtent l="0" t="0" r="0" b="0"/>
            <wp:docPr id="234" name="IM 234"/>
            <wp:cNvGraphicFramePr/>
            <a:graphic xmlns:a="http://schemas.openxmlformats.org/drawingml/2006/main">
              <a:graphicData uri="http://schemas.openxmlformats.org/drawingml/2006/picture">
                <pic:pic xmlns:pic="http://schemas.openxmlformats.org/drawingml/2006/picture">
                  <pic:nvPicPr>
                    <pic:cNvPr id="234" name="IM 234"/>
                    <pic:cNvPicPr/>
                  </pic:nvPicPr>
                  <pic:blipFill>
                    <a:blip r:embed="rId493"/>
                    <a:stretch>
                      <a:fillRect/>
                    </a:stretch>
                  </pic:blipFill>
                  <pic:spPr>
                    <a:xfrm>
                      <a:off x="0" y="0"/>
                      <a:ext cx="349261" cy="292117"/>
                    </a:xfrm>
                    <a:prstGeom prst="rect">
                      <a:avLst/>
                    </a:prstGeom>
                  </pic:spPr>
                </pic:pic>
              </a:graphicData>
            </a:graphic>
          </wp:inline>
        </w:drawing>
      </w:r>
    </w:p>
    <w:p w14:paraId="6E9FED89">
      <w:pPr>
        <w:pStyle w:val="2"/>
        <w:spacing w:before="87" w:line="222" w:lineRule="auto"/>
        <w:ind w:left="443"/>
        <w:rPr>
          <w:sz w:val="27"/>
          <w:szCs w:val="27"/>
        </w:rPr>
      </w:pPr>
      <w:r>
        <w:rPr>
          <w:b/>
          <w:bCs/>
          <w:spacing w:val="-6"/>
          <w:sz w:val="27"/>
          <w:szCs w:val="27"/>
        </w:rPr>
        <w:t>思考题</w:t>
      </w:r>
    </w:p>
    <w:p w14:paraId="13A45493">
      <w:pPr>
        <w:spacing w:before="76" w:line="219" w:lineRule="auto"/>
        <w:ind w:left="1340"/>
        <w:rPr>
          <w:rFonts w:ascii="宋体" w:hAnsi="宋体" w:eastAsia="宋体" w:cs="宋体"/>
          <w:sz w:val="21"/>
          <w:szCs w:val="21"/>
        </w:rPr>
      </w:pPr>
      <w:r>
        <w:rPr>
          <w:rFonts w:ascii="宋体" w:hAnsi="宋体" w:eastAsia="宋体" w:cs="宋体"/>
          <w:spacing w:val="4"/>
          <w:sz w:val="21"/>
          <w:szCs w:val="21"/>
        </w:rPr>
        <w:t>1.</w:t>
      </w:r>
      <w:r>
        <w:rPr>
          <w:rFonts w:ascii="宋体" w:hAnsi="宋体" w:eastAsia="宋体" w:cs="宋体"/>
          <w:spacing w:val="-21"/>
          <w:sz w:val="21"/>
          <w:szCs w:val="21"/>
        </w:rPr>
        <w:t xml:space="preserve"> </w:t>
      </w:r>
      <w:r>
        <w:rPr>
          <w:rFonts w:ascii="宋体" w:hAnsi="宋体" w:eastAsia="宋体" w:cs="宋体"/>
          <w:spacing w:val="4"/>
          <w:sz w:val="21"/>
          <w:szCs w:val="21"/>
        </w:rPr>
        <w:t>队列研究的基本原理是什么?</w:t>
      </w:r>
    </w:p>
    <w:p w14:paraId="68829F06">
      <w:pPr>
        <w:spacing w:before="121" w:line="219" w:lineRule="auto"/>
        <w:ind w:left="1340"/>
        <w:rPr>
          <w:rFonts w:ascii="宋体" w:hAnsi="宋体" w:eastAsia="宋体" w:cs="宋体"/>
          <w:sz w:val="21"/>
          <w:szCs w:val="21"/>
        </w:rPr>
      </w:pPr>
      <w:r>
        <w:rPr>
          <w:rFonts w:ascii="宋体" w:hAnsi="宋体" w:eastAsia="宋体" w:cs="宋体"/>
          <w:spacing w:val="5"/>
          <w:sz w:val="21"/>
          <w:szCs w:val="21"/>
        </w:rPr>
        <w:t>2.</w:t>
      </w:r>
      <w:r>
        <w:rPr>
          <w:rFonts w:ascii="宋体" w:hAnsi="宋体" w:eastAsia="宋体" w:cs="宋体"/>
          <w:spacing w:val="-36"/>
          <w:sz w:val="21"/>
          <w:szCs w:val="21"/>
        </w:rPr>
        <w:t xml:space="preserve"> </w:t>
      </w:r>
      <w:r>
        <w:rPr>
          <w:rFonts w:ascii="宋体" w:hAnsi="宋体" w:eastAsia="宋体" w:cs="宋体"/>
          <w:spacing w:val="5"/>
          <w:sz w:val="21"/>
          <w:szCs w:val="21"/>
        </w:rPr>
        <w:t>队列研究的主要用途是什么?</w:t>
      </w:r>
    </w:p>
    <w:p w14:paraId="4C8FFBB7">
      <w:pPr>
        <w:spacing w:line="219" w:lineRule="auto"/>
        <w:rPr>
          <w:rFonts w:ascii="宋体" w:hAnsi="宋体" w:eastAsia="宋体" w:cs="宋体"/>
          <w:sz w:val="21"/>
          <w:szCs w:val="21"/>
        </w:rPr>
        <w:sectPr>
          <w:footerReference r:id="rId93" w:type="default"/>
          <w:pgSz w:w="11900" w:h="16820"/>
          <w:pgMar w:top="400" w:right="756" w:bottom="858" w:left="1249" w:header="0" w:footer="705" w:gutter="0"/>
          <w:cols w:space="720" w:num="1"/>
        </w:sectPr>
      </w:pPr>
    </w:p>
    <w:p w14:paraId="081FA6D5">
      <w:pPr>
        <w:rPr>
          <w:rFonts w:ascii="Arial"/>
          <w:sz w:val="21"/>
        </w:rPr>
      </w:pPr>
    </w:p>
    <w:p w14:paraId="27816AAD">
      <w:pPr>
        <w:rPr>
          <w:rFonts w:ascii="Arial"/>
          <w:sz w:val="21"/>
        </w:rPr>
      </w:pPr>
    </w:p>
    <w:p w14:paraId="5085C5C8">
      <w:pPr>
        <w:rPr>
          <w:rFonts w:ascii="Arial"/>
          <w:sz w:val="21"/>
        </w:rPr>
      </w:pPr>
    </w:p>
    <w:p w14:paraId="13FA0443">
      <w:pPr>
        <w:spacing w:line="241" w:lineRule="auto"/>
        <w:rPr>
          <w:rFonts w:ascii="Arial"/>
          <w:sz w:val="21"/>
        </w:rPr>
      </w:pPr>
      <w:r>
        <w:drawing>
          <wp:anchor distT="0" distB="0" distL="0" distR="0" simplePos="0" relativeHeight="251729920" behindDoc="0" locked="0" layoutInCell="1" allowOverlap="1">
            <wp:simplePos x="0" y="0"/>
            <wp:positionH relativeFrom="column">
              <wp:posOffset>412750</wp:posOffset>
            </wp:positionH>
            <wp:positionV relativeFrom="paragraph">
              <wp:posOffset>199390</wp:posOffset>
            </wp:positionV>
            <wp:extent cx="552450" cy="603250"/>
            <wp:effectExtent l="0" t="0" r="0" b="0"/>
            <wp:wrapNone/>
            <wp:docPr id="236" name="IM 236"/>
            <wp:cNvGraphicFramePr/>
            <a:graphic xmlns:a="http://schemas.openxmlformats.org/drawingml/2006/main">
              <a:graphicData uri="http://schemas.openxmlformats.org/drawingml/2006/picture">
                <pic:pic xmlns:pic="http://schemas.openxmlformats.org/drawingml/2006/picture">
                  <pic:nvPicPr>
                    <pic:cNvPr id="236" name="IM 236"/>
                    <pic:cNvPicPr/>
                  </pic:nvPicPr>
                  <pic:blipFill>
                    <a:blip r:embed="rId494"/>
                    <a:stretch>
                      <a:fillRect/>
                    </a:stretch>
                  </pic:blipFill>
                  <pic:spPr>
                    <a:xfrm>
                      <a:off x="0" y="0"/>
                      <a:ext cx="552380" cy="603246"/>
                    </a:xfrm>
                    <a:prstGeom prst="rect">
                      <a:avLst/>
                    </a:prstGeom>
                  </pic:spPr>
                </pic:pic>
              </a:graphicData>
            </a:graphic>
          </wp:anchor>
        </w:drawing>
      </w:r>
    </w:p>
    <w:p w14:paraId="4E0BBD3C">
      <w:pPr>
        <w:pStyle w:val="2"/>
        <w:spacing w:before="88" w:line="222" w:lineRule="auto"/>
        <w:ind w:left="4513"/>
        <w:outlineLvl w:val="0"/>
        <w:rPr>
          <w:sz w:val="27"/>
          <w:szCs w:val="27"/>
        </w:rPr>
      </w:pPr>
      <w:bookmarkStart w:id="121" w:name="bookmark77"/>
      <w:bookmarkEnd w:id="121"/>
      <w:r>
        <w:rPr>
          <w:b/>
          <w:bCs/>
          <w:spacing w:val="14"/>
          <w:sz w:val="27"/>
          <w:szCs w:val="27"/>
        </w:rPr>
        <w:t>第五章</w:t>
      </w:r>
    </w:p>
    <w:p w14:paraId="7279A9C6">
      <w:pPr>
        <w:pStyle w:val="2"/>
        <w:spacing w:before="138" w:line="222" w:lineRule="auto"/>
        <w:ind w:left="3636"/>
        <w:outlineLvl w:val="0"/>
        <w:rPr>
          <w:sz w:val="43"/>
          <w:szCs w:val="43"/>
        </w:rPr>
      </w:pPr>
      <w:bookmarkStart w:id="122" w:name="bookmark441"/>
      <w:bookmarkEnd w:id="122"/>
      <w:bookmarkStart w:id="123" w:name="bookmark77"/>
      <w:bookmarkEnd w:id="123"/>
      <w:r>
        <w:rPr>
          <w:b/>
          <w:bCs/>
          <w:spacing w:val="-7"/>
          <w:sz w:val="43"/>
          <w:szCs w:val="43"/>
        </w:rPr>
        <w:t>病例对照研究</w:t>
      </w:r>
    </w:p>
    <w:p w14:paraId="3F7F7F1A">
      <w:pPr>
        <w:spacing w:before="124" w:line="450" w:lineRule="exact"/>
        <w:ind w:firstLine="220"/>
      </w:pPr>
      <w:r>
        <w:rPr>
          <w:position w:val="-8"/>
        </w:rPr>
        <w:drawing>
          <wp:inline distT="0" distB="0" distL="0" distR="0">
            <wp:extent cx="298450" cy="285115"/>
            <wp:effectExtent l="0" t="0" r="0" b="0"/>
            <wp:docPr id="238" name="IM 238"/>
            <wp:cNvGraphicFramePr/>
            <a:graphic xmlns:a="http://schemas.openxmlformats.org/drawingml/2006/main">
              <a:graphicData uri="http://schemas.openxmlformats.org/drawingml/2006/picture">
                <pic:pic xmlns:pic="http://schemas.openxmlformats.org/drawingml/2006/picture">
                  <pic:nvPicPr>
                    <pic:cNvPr id="238" name="IM 238"/>
                    <pic:cNvPicPr/>
                  </pic:nvPicPr>
                  <pic:blipFill>
                    <a:blip r:embed="rId495"/>
                    <a:stretch>
                      <a:fillRect/>
                    </a:stretch>
                  </pic:blipFill>
                  <pic:spPr>
                    <a:xfrm>
                      <a:off x="0" y="0"/>
                      <a:ext cx="298481" cy="285708"/>
                    </a:xfrm>
                    <a:prstGeom prst="rect">
                      <a:avLst/>
                    </a:prstGeom>
                  </pic:spPr>
                </pic:pic>
              </a:graphicData>
            </a:graphic>
          </wp:inline>
        </w:drawing>
      </w:r>
    </w:p>
    <w:p w14:paraId="67B743BB">
      <w:pPr>
        <w:spacing w:before="263" w:line="368" w:lineRule="exact"/>
        <w:ind w:left="2970"/>
        <w:rPr>
          <w:rFonts w:ascii="Arial" w:hAnsi="Arial" w:eastAsia="Arial" w:cs="Arial"/>
          <w:sz w:val="27"/>
          <w:szCs w:val="27"/>
        </w:rPr>
      </w:pPr>
      <w:r>
        <w:rPr>
          <w:rFonts w:ascii="Arial" w:hAnsi="Arial" w:eastAsia="Arial" w:cs="Arial"/>
          <w:spacing w:val="-1"/>
          <w:position w:val="4"/>
          <w:sz w:val="27"/>
          <w:szCs w:val="27"/>
        </w:rPr>
        <w:t>Chapter  5</w:t>
      </w:r>
      <w:r>
        <w:rPr>
          <w:rFonts w:ascii="Arial" w:hAnsi="Arial" w:eastAsia="Arial" w:cs="Arial"/>
          <w:spacing w:val="22"/>
          <w:position w:val="4"/>
          <w:sz w:val="27"/>
          <w:szCs w:val="27"/>
        </w:rPr>
        <w:t xml:space="preserve">  </w:t>
      </w:r>
      <w:r>
        <w:rPr>
          <w:rFonts w:ascii="Arial" w:hAnsi="Arial" w:eastAsia="Arial" w:cs="Arial"/>
          <w:spacing w:val="-1"/>
          <w:position w:val="4"/>
          <w:sz w:val="27"/>
          <w:szCs w:val="27"/>
        </w:rPr>
        <w:t>Case-Control</w:t>
      </w:r>
      <w:r>
        <w:rPr>
          <w:rFonts w:ascii="Arial" w:hAnsi="Arial" w:eastAsia="Arial" w:cs="Arial"/>
          <w:spacing w:val="17"/>
          <w:position w:val="4"/>
          <w:sz w:val="27"/>
          <w:szCs w:val="27"/>
        </w:rPr>
        <w:t xml:space="preserve">  </w:t>
      </w:r>
      <w:r>
        <w:rPr>
          <w:rFonts w:ascii="Arial" w:hAnsi="Arial" w:eastAsia="Arial" w:cs="Arial"/>
          <w:spacing w:val="-1"/>
          <w:position w:val="4"/>
          <w:sz w:val="27"/>
          <w:szCs w:val="27"/>
        </w:rPr>
        <w:t>Study</w:t>
      </w:r>
    </w:p>
    <w:p w14:paraId="30C4FCDB">
      <w:pPr>
        <w:spacing w:line="404" w:lineRule="auto"/>
        <w:rPr>
          <w:rFonts w:ascii="Arial"/>
          <w:sz w:val="21"/>
        </w:rPr>
      </w:pPr>
    </w:p>
    <w:p w14:paraId="707F60BD">
      <w:pPr>
        <w:spacing w:before="55" w:line="404" w:lineRule="auto"/>
        <w:ind w:left="650" w:right="13" w:firstLine="399"/>
        <w:jc w:val="both"/>
        <w:rPr>
          <w:rFonts w:ascii="Times New Roman" w:hAnsi="Times New Roman" w:eastAsia="Times New Roman" w:cs="Times New Roman"/>
          <w:sz w:val="19"/>
          <w:szCs w:val="19"/>
        </w:rPr>
      </w:pPr>
      <w:r>
        <w:rPr>
          <w:rFonts w:ascii="Times New Roman" w:hAnsi="Times New Roman" w:eastAsia="Times New Roman" w:cs="Times New Roman"/>
          <w:sz w:val="19"/>
          <w:szCs w:val="19"/>
        </w:rPr>
        <w:t>A</w:t>
      </w:r>
      <w:r>
        <w:rPr>
          <w:rFonts w:ascii="Times New Roman" w:hAnsi="Times New Roman" w:eastAsia="Times New Roman" w:cs="Times New Roman"/>
          <w:spacing w:val="40"/>
          <w:sz w:val="19"/>
          <w:szCs w:val="19"/>
        </w:rPr>
        <w:t xml:space="preserve"> </w:t>
      </w:r>
      <w:r>
        <w:rPr>
          <w:rFonts w:ascii="Times New Roman" w:hAnsi="Times New Roman" w:eastAsia="Times New Roman" w:cs="Times New Roman"/>
          <w:sz w:val="19"/>
          <w:szCs w:val="19"/>
        </w:rPr>
        <w:t>case-control</w:t>
      </w:r>
      <w:r>
        <w:rPr>
          <w:rFonts w:ascii="Times New Roman" w:hAnsi="Times New Roman" w:eastAsia="Times New Roman" w:cs="Times New Roman"/>
          <w:spacing w:val="42"/>
          <w:w w:val="101"/>
          <w:sz w:val="19"/>
          <w:szCs w:val="19"/>
        </w:rPr>
        <w:t xml:space="preserve"> </w:t>
      </w:r>
      <w:r>
        <w:rPr>
          <w:rFonts w:ascii="Times New Roman" w:hAnsi="Times New Roman" w:eastAsia="Times New Roman" w:cs="Times New Roman"/>
          <w:sz w:val="19"/>
          <w:szCs w:val="19"/>
        </w:rPr>
        <w:t>study</w:t>
      </w:r>
      <w:r>
        <w:rPr>
          <w:rFonts w:ascii="Times New Roman" w:hAnsi="Times New Roman" w:eastAsia="Times New Roman" w:cs="Times New Roman"/>
          <w:spacing w:val="33"/>
          <w:sz w:val="19"/>
          <w:szCs w:val="19"/>
        </w:rPr>
        <w:t xml:space="preserve"> </w:t>
      </w:r>
      <w:r>
        <w:rPr>
          <w:rFonts w:ascii="Times New Roman" w:hAnsi="Times New Roman" w:eastAsia="Times New Roman" w:cs="Times New Roman"/>
          <w:sz w:val="19"/>
          <w:szCs w:val="19"/>
        </w:rPr>
        <w:t>begins</w:t>
      </w:r>
      <w:r>
        <w:rPr>
          <w:rFonts w:ascii="Times New Roman" w:hAnsi="Times New Roman" w:eastAsia="Times New Roman" w:cs="Times New Roman"/>
          <w:spacing w:val="34"/>
          <w:w w:val="101"/>
          <w:sz w:val="19"/>
          <w:szCs w:val="19"/>
        </w:rPr>
        <w:t xml:space="preserve"> </w:t>
      </w:r>
      <w:r>
        <w:rPr>
          <w:rFonts w:ascii="Times New Roman" w:hAnsi="Times New Roman" w:eastAsia="Times New Roman" w:cs="Times New Roman"/>
          <w:sz w:val="19"/>
          <w:szCs w:val="19"/>
        </w:rPr>
        <w:t>with</w:t>
      </w:r>
      <w:r>
        <w:rPr>
          <w:rFonts w:ascii="Times New Roman" w:hAnsi="Times New Roman" w:eastAsia="Times New Roman" w:cs="Times New Roman"/>
          <w:spacing w:val="35"/>
          <w:sz w:val="19"/>
          <w:szCs w:val="19"/>
        </w:rPr>
        <w:t xml:space="preserve"> </w:t>
      </w:r>
      <w:r>
        <w:rPr>
          <w:rFonts w:ascii="Times New Roman" w:hAnsi="Times New Roman" w:eastAsia="Times New Roman" w:cs="Times New Roman"/>
          <w:sz w:val="19"/>
          <w:szCs w:val="19"/>
        </w:rPr>
        <w:t>the</w:t>
      </w:r>
      <w:r>
        <w:rPr>
          <w:rFonts w:ascii="Times New Roman" w:hAnsi="Times New Roman" w:eastAsia="Times New Roman" w:cs="Times New Roman"/>
          <w:spacing w:val="39"/>
          <w:sz w:val="19"/>
          <w:szCs w:val="19"/>
        </w:rPr>
        <w:t xml:space="preserve"> </w:t>
      </w:r>
      <w:r>
        <w:rPr>
          <w:rFonts w:ascii="Times New Roman" w:hAnsi="Times New Roman" w:eastAsia="Times New Roman" w:cs="Times New Roman"/>
          <w:sz w:val="19"/>
          <w:szCs w:val="19"/>
        </w:rPr>
        <w:t>identification</w:t>
      </w:r>
      <w:r>
        <w:rPr>
          <w:rFonts w:ascii="Times New Roman" w:hAnsi="Times New Roman" w:eastAsia="Times New Roman" w:cs="Times New Roman"/>
          <w:spacing w:val="39"/>
          <w:w w:val="101"/>
          <w:sz w:val="19"/>
          <w:szCs w:val="19"/>
        </w:rPr>
        <w:t xml:space="preserve"> </w:t>
      </w:r>
      <w:r>
        <w:rPr>
          <w:rFonts w:ascii="Times New Roman" w:hAnsi="Times New Roman" w:eastAsia="Times New Roman" w:cs="Times New Roman"/>
          <w:spacing w:val="-1"/>
          <w:sz w:val="19"/>
          <w:szCs w:val="19"/>
        </w:rPr>
        <w:t>of</w:t>
      </w:r>
      <w:r>
        <w:rPr>
          <w:rFonts w:ascii="Times New Roman" w:hAnsi="Times New Roman" w:eastAsia="Times New Roman" w:cs="Times New Roman"/>
          <w:spacing w:val="21"/>
          <w:sz w:val="19"/>
          <w:szCs w:val="19"/>
        </w:rPr>
        <w:t xml:space="preserve"> </w:t>
      </w:r>
      <w:r>
        <w:rPr>
          <w:rFonts w:ascii="Times New Roman" w:hAnsi="Times New Roman" w:eastAsia="Times New Roman" w:cs="Times New Roman"/>
          <w:spacing w:val="-1"/>
          <w:sz w:val="19"/>
          <w:szCs w:val="19"/>
        </w:rPr>
        <w:t>a</w:t>
      </w:r>
      <w:r>
        <w:rPr>
          <w:rFonts w:ascii="Times New Roman" w:hAnsi="Times New Roman" w:eastAsia="Times New Roman" w:cs="Times New Roman"/>
          <w:spacing w:val="39"/>
          <w:w w:val="101"/>
          <w:sz w:val="19"/>
          <w:szCs w:val="19"/>
        </w:rPr>
        <w:t xml:space="preserve"> </w:t>
      </w:r>
      <w:r>
        <w:rPr>
          <w:rFonts w:ascii="Times New Roman" w:hAnsi="Times New Roman" w:eastAsia="Times New Roman" w:cs="Times New Roman"/>
          <w:spacing w:val="-1"/>
          <w:sz w:val="19"/>
          <w:szCs w:val="19"/>
        </w:rPr>
        <w:t>case</w:t>
      </w:r>
      <w:r>
        <w:rPr>
          <w:rFonts w:ascii="Times New Roman" w:hAnsi="Times New Roman" w:eastAsia="Times New Roman" w:cs="Times New Roman"/>
          <w:spacing w:val="39"/>
          <w:sz w:val="19"/>
          <w:szCs w:val="19"/>
        </w:rPr>
        <w:t xml:space="preserve"> </w:t>
      </w:r>
      <w:r>
        <w:rPr>
          <w:rFonts w:ascii="Times New Roman" w:hAnsi="Times New Roman" w:eastAsia="Times New Roman" w:cs="Times New Roman"/>
          <w:spacing w:val="-1"/>
          <w:sz w:val="19"/>
          <w:szCs w:val="19"/>
        </w:rPr>
        <w:t>group</w:t>
      </w:r>
      <w:r>
        <w:rPr>
          <w:rFonts w:ascii="Times New Roman" w:hAnsi="Times New Roman" w:eastAsia="Times New Roman" w:cs="Times New Roman"/>
          <w:spacing w:val="39"/>
          <w:w w:val="101"/>
          <w:sz w:val="19"/>
          <w:szCs w:val="19"/>
        </w:rPr>
        <w:t xml:space="preserve"> </w:t>
      </w:r>
      <w:r>
        <w:rPr>
          <w:rFonts w:ascii="Times New Roman" w:hAnsi="Times New Roman" w:eastAsia="Times New Roman" w:cs="Times New Roman"/>
          <w:spacing w:val="-1"/>
          <w:sz w:val="19"/>
          <w:szCs w:val="19"/>
        </w:rPr>
        <w:t>consisting</w:t>
      </w:r>
      <w:r>
        <w:rPr>
          <w:rFonts w:ascii="Times New Roman" w:hAnsi="Times New Roman" w:eastAsia="Times New Roman" w:cs="Times New Roman"/>
          <w:spacing w:val="40"/>
          <w:sz w:val="19"/>
          <w:szCs w:val="19"/>
        </w:rPr>
        <w:t xml:space="preserve"> </w:t>
      </w:r>
      <w:r>
        <w:rPr>
          <w:rFonts w:ascii="Times New Roman" w:hAnsi="Times New Roman" w:eastAsia="Times New Roman" w:cs="Times New Roman"/>
          <w:spacing w:val="-1"/>
          <w:sz w:val="19"/>
          <w:szCs w:val="19"/>
        </w:rPr>
        <w:t>of</w:t>
      </w:r>
      <w:r>
        <w:rPr>
          <w:rFonts w:ascii="Times New Roman" w:hAnsi="Times New Roman" w:eastAsia="Times New Roman" w:cs="Times New Roman"/>
          <w:spacing w:val="19"/>
          <w:sz w:val="19"/>
          <w:szCs w:val="19"/>
        </w:rPr>
        <w:t xml:space="preserve"> </w:t>
      </w:r>
      <w:r>
        <w:rPr>
          <w:rFonts w:ascii="Times New Roman" w:hAnsi="Times New Roman" w:eastAsia="Times New Roman" w:cs="Times New Roman"/>
          <w:spacing w:val="-1"/>
          <w:sz w:val="19"/>
          <w:szCs w:val="19"/>
        </w:rPr>
        <w:t>individuals</w:t>
      </w:r>
      <w:r>
        <w:rPr>
          <w:rFonts w:ascii="Times New Roman" w:hAnsi="Times New Roman" w:eastAsia="Times New Roman" w:cs="Times New Roman"/>
          <w:spacing w:val="34"/>
          <w:w w:val="101"/>
          <w:sz w:val="19"/>
          <w:szCs w:val="19"/>
        </w:rPr>
        <w:t xml:space="preserve"> </w:t>
      </w:r>
      <w:r>
        <w:rPr>
          <w:rFonts w:ascii="Times New Roman" w:hAnsi="Times New Roman" w:eastAsia="Times New Roman" w:cs="Times New Roman"/>
          <w:spacing w:val="-1"/>
          <w:sz w:val="19"/>
          <w:szCs w:val="19"/>
        </w:rPr>
        <w:t>with</w:t>
      </w:r>
      <w:r>
        <w:rPr>
          <w:rFonts w:ascii="Times New Roman" w:hAnsi="Times New Roman" w:eastAsia="Times New Roman" w:cs="Times New Roman"/>
          <w:spacing w:val="35"/>
          <w:w w:val="101"/>
          <w:sz w:val="19"/>
          <w:szCs w:val="19"/>
        </w:rPr>
        <w:t xml:space="preserve"> </w:t>
      </w:r>
      <w:r>
        <w:rPr>
          <w:rFonts w:ascii="Times New Roman" w:hAnsi="Times New Roman" w:eastAsia="Times New Roman" w:cs="Times New Roman"/>
          <w:spacing w:val="-1"/>
          <w:sz w:val="19"/>
          <w:szCs w:val="19"/>
        </w:rPr>
        <w:t>the</w:t>
      </w:r>
      <w:r>
        <w:rPr>
          <w:rFonts w:ascii="Times New Roman" w:hAnsi="Times New Roman" w:eastAsia="Times New Roman" w:cs="Times New Roman"/>
          <w:sz w:val="19"/>
          <w:szCs w:val="19"/>
        </w:rPr>
        <w:t xml:space="preserve"> disease</w:t>
      </w:r>
      <w:r>
        <w:rPr>
          <w:rFonts w:ascii="Times New Roman" w:hAnsi="Times New Roman" w:eastAsia="Times New Roman" w:cs="Times New Roman"/>
          <w:spacing w:val="35"/>
          <w:w w:val="101"/>
          <w:sz w:val="19"/>
          <w:szCs w:val="19"/>
        </w:rPr>
        <w:t xml:space="preserve"> </w:t>
      </w:r>
      <w:r>
        <w:rPr>
          <w:rFonts w:ascii="Times New Roman" w:hAnsi="Times New Roman" w:eastAsia="Times New Roman" w:cs="Times New Roman"/>
          <w:sz w:val="19"/>
          <w:szCs w:val="19"/>
        </w:rPr>
        <w:t>of</w:t>
      </w:r>
      <w:r>
        <w:rPr>
          <w:rFonts w:ascii="Times New Roman" w:hAnsi="Times New Roman" w:eastAsia="Times New Roman" w:cs="Times New Roman"/>
          <w:spacing w:val="15"/>
          <w:sz w:val="19"/>
          <w:szCs w:val="19"/>
        </w:rPr>
        <w:t xml:space="preserve"> </w:t>
      </w:r>
      <w:r>
        <w:rPr>
          <w:rFonts w:ascii="Times New Roman" w:hAnsi="Times New Roman" w:eastAsia="Times New Roman" w:cs="Times New Roman"/>
          <w:sz w:val="19"/>
          <w:szCs w:val="19"/>
        </w:rPr>
        <w:t>interest</w:t>
      </w:r>
      <w:r>
        <w:rPr>
          <w:rFonts w:ascii="Times New Roman" w:hAnsi="Times New Roman" w:eastAsia="Times New Roman" w:cs="Times New Roman"/>
          <w:spacing w:val="35"/>
          <w:sz w:val="19"/>
          <w:szCs w:val="19"/>
        </w:rPr>
        <w:t xml:space="preserve"> </w:t>
      </w:r>
      <w:r>
        <w:rPr>
          <w:rFonts w:ascii="Times New Roman" w:hAnsi="Times New Roman" w:eastAsia="Times New Roman" w:cs="Times New Roman"/>
          <w:sz w:val="19"/>
          <w:szCs w:val="19"/>
        </w:rPr>
        <w:t>and</w:t>
      </w:r>
      <w:r>
        <w:rPr>
          <w:rFonts w:ascii="Times New Roman" w:hAnsi="Times New Roman" w:eastAsia="Times New Roman" w:cs="Times New Roman"/>
          <w:spacing w:val="35"/>
          <w:sz w:val="19"/>
          <w:szCs w:val="19"/>
        </w:rPr>
        <w:t xml:space="preserve"> </w:t>
      </w:r>
      <w:r>
        <w:rPr>
          <w:rFonts w:ascii="Times New Roman" w:hAnsi="Times New Roman" w:eastAsia="Times New Roman" w:cs="Times New Roman"/>
          <w:sz w:val="19"/>
          <w:szCs w:val="19"/>
        </w:rPr>
        <w:t>a</w:t>
      </w:r>
      <w:r>
        <w:rPr>
          <w:rFonts w:ascii="Times New Roman" w:hAnsi="Times New Roman" w:eastAsia="Times New Roman" w:cs="Times New Roman"/>
          <w:spacing w:val="35"/>
          <w:sz w:val="19"/>
          <w:szCs w:val="19"/>
        </w:rPr>
        <w:t xml:space="preserve"> </w:t>
      </w:r>
      <w:r>
        <w:rPr>
          <w:rFonts w:ascii="Times New Roman" w:hAnsi="Times New Roman" w:eastAsia="Times New Roman" w:cs="Times New Roman"/>
          <w:sz w:val="19"/>
          <w:szCs w:val="19"/>
        </w:rPr>
        <w:t>control</w:t>
      </w:r>
      <w:r>
        <w:rPr>
          <w:rFonts w:ascii="Times New Roman" w:hAnsi="Times New Roman" w:eastAsia="Times New Roman" w:cs="Times New Roman"/>
          <w:spacing w:val="34"/>
          <w:w w:val="101"/>
          <w:sz w:val="19"/>
          <w:szCs w:val="19"/>
        </w:rPr>
        <w:t xml:space="preserve"> </w:t>
      </w:r>
      <w:r>
        <w:rPr>
          <w:rFonts w:ascii="Times New Roman" w:hAnsi="Times New Roman" w:eastAsia="Times New Roman" w:cs="Times New Roman"/>
          <w:sz w:val="19"/>
          <w:szCs w:val="19"/>
        </w:rPr>
        <w:t>group</w:t>
      </w:r>
      <w:r>
        <w:rPr>
          <w:rFonts w:ascii="Times New Roman" w:hAnsi="Times New Roman" w:eastAsia="Times New Roman" w:cs="Times New Roman"/>
          <w:spacing w:val="35"/>
          <w:w w:val="101"/>
          <w:sz w:val="19"/>
          <w:szCs w:val="19"/>
        </w:rPr>
        <w:t xml:space="preserve"> </w:t>
      </w:r>
      <w:r>
        <w:rPr>
          <w:rFonts w:ascii="Times New Roman" w:hAnsi="Times New Roman" w:eastAsia="Times New Roman" w:cs="Times New Roman"/>
          <w:sz w:val="19"/>
          <w:szCs w:val="19"/>
        </w:rPr>
        <w:t>of persons</w:t>
      </w:r>
      <w:r>
        <w:rPr>
          <w:rFonts w:ascii="Times New Roman" w:hAnsi="Times New Roman" w:eastAsia="Times New Roman" w:cs="Times New Roman"/>
          <w:spacing w:val="29"/>
          <w:w w:val="101"/>
          <w:sz w:val="19"/>
          <w:szCs w:val="19"/>
        </w:rPr>
        <w:t xml:space="preserve"> </w:t>
      </w:r>
      <w:r>
        <w:rPr>
          <w:rFonts w:ascii="Times New Roman" w:hAnsi="Times New Roman" w:eastAsia="Times New Roman" w:cs="Times New Roman"/>
          <w:sz w:val="19"/>
          <w:szCs w:val="19"/>
        </w:rPr>
        <w:t>without</w:t>
      </w:r>
      <w:r>
        <w:rPr>
          <w:rFonts w:ascii="Times New Roman" w:hAnsi="Times New Roman" w:eastAsia="Times New Roman" w:cs="Times New Roman"/>
          <w:spacing w:val="30"/>
          <w:w w:val="101"/>
          <w:sz w:val="19"/>
          <w:szCs w:val="19"/>
        </w:rPr>
        <w:t xml:space="preserve"> </w:t>
      </w:r>
      <w:r>
        <w:rPr>
          <w:rFonts w:ascii="Times New Roman" w:hAnsi="Times New Roman" w:eastAsia="Times New Roman" w:cs="Times New Roman"/>
          <w:sz w:val="19"/>
          <w:szCs w:val="19"/>
        </w:rPr>
        <w:t>this</w:t>
      </w:r>
      <w:r>
        <w:rPr>
          <w:rFonts w:ascii="Times New Roman" w:hAnsi="Times New Roman" w:eastAsia="Times New Roman" w:cs="Times New Roman"/>
          <w:spacing w:val="35"/>
          <w:sz w:val="19"/>
          <w:szCs w:val="19"/>
        </w:rPr>
        <w:t xml:space="preserve"> </w:t>
      </w:r>
      <w:r>
        <w:rPr>
          <w:rFonts w:ascii="Times New Roman" w:hAnsi="Times New Roman" w:eastAsia="Times New Roman" w:cs="Times New Roman"/>
          <w:sz w:val="19"/>
          <w:szCs w:val="19"/>
        </w:rPr>
        <w:t>di</w:t>
      </w:r>
      <w:r>
        <w:rPr>
          <w:rFonts w:ascii="Times New Roman" w:hAnsi="Times New Roman" w:eastAsia="Times New Roman" w:cs="Times New Roman"/>
          <w:spacing w:val="-1"/>
          <w:sz w:val="19"/>
          <w:szCs w:val="19"/>
        </w:rPr>
        <w:t>sease.It</w:t>
      </w:r>
      <w:r>
        <w:rPr>
          <w:rFonts w:ascii="Times New Roman" w:hAnsi="Times New Roman" w:eastAsia="Times New Roman" w:cs="Times New Roman"/>
          <w:spacing w:val="30"/>
          <w:sz w:val="19"/>
          <w:szCs w:val="19"/>
        </w:rPr>
        <w:t xml:space="preserve"> </w:t>
      </w:r>
      <w:r>
        <w:rPr>
          <w:rFonts w:ascii="Times New Roman" w:hAnsi="Times New Roman" w:eastAsia="Times New Roman" w:cs="Times New Roman"/>
          <w:spacing w:val="-1"/>
          <w:sz w:val="19"/>
          <w:szCs w:val="19"/>
        </w:rPr>
        <w:t>then</w:t>
      </w:r>
      <w:r>
        <w:rPr>
          <w:rFonts w:ascii="Times New Roman" w:hAnsi="Times New Roman" w:eastAsia="Times New Roman" w:cs="Times New Roman"/>
          <w:spacing w:val="35"/>
          <w:w w:val="101"/>
          <w:sz w:val="19"/>
          <w:szCs w:val="19"/>
        </w:rPr>
        <w:t xml:space="preserve"> </w:t>
      </w:r>
      <w:r>
        <w:rPr>
          <w:rFonts w:ascii="Times New Roman" w:hAnsi="Times New Roman" w:eastAsia="Times New Roman" w:cs="Times New Roman"/>
          <w:spacing w:val="-1"/>
          <w:sz w:val="19"/>
          <w:szCs w:val="19"/>
        </w:rPr>
        <w:t>assesses</w:t>
      </w:r>
      <w:r>
        <w:rPr>
          <w:rFonts w:ascii="Times New Roman" w:hAnsi="Times New Roman" w:eastAsia="Times New Roman" w:cs="Times New Roman"/>
          <w:spacing w:val="30"/>
          <w:w w:val="102"/>
          <w:sz w:val="19"/>
          <w:szCs w:val="19"/>
        </w:rPr>
        <w:t xml:space="preserve"> </w:t>
      </w:r>
      <w:r>
        <w:rPr>
          <w:rFonts w:ascii="Times New Roman" w:hAnsi="Times New Roman" w:eastAsia="Times New Roman" w:cs="Times New Roman"/>
          <w:spacing w:val="-1"/>
          <w:sz w:val="19"/>
          <w:szCs w:val="19"/>
        </w:rPr>
        <w:t>the</w:t>
      </w:r>
      <w:r>
        <w:rPr>
          <w:rFonts w:ascii="Times New Roman" w:hAnsi="Times New Roman" w:eastAsia="Times New Roman" w:cs="Times New Roman"/>
          <w:spacing w:val="28"/>
          <w:sz w:val="19"/>
          <w:szCs w:val="19"/>
        </w:rPr>
        <w:t xml:space="preserve"> </w:t>
      </w:r>
      <w:r>
        <w:rPr>
          <w:rFonts w:ascii="Times New Roman" w:hAnsi="Times New Roman" w:eastAsia="Times New Roman" w:cs="Times New Roman"/>
          <w:spacing w:val="-1"/>
          <w:sz w:val="19"/>
          <w:szCs w:val="19"/>
        </w:rPr>
        <w:t>past</w:t>
      </w:r>
      <w:r>
        <w:rPr>
          <w:rFonts w:ascii="Times New Roman" w:hAnsi="Times New Roman" w:eastAsia="Times New Roman" w:cs="Times New Roman"/>
          <w:spacing w:val="35"/>
          <w:w w:val="101"/>
          <w:sz w:val="19"/>
          <w:szCs w:val="19"/>
        </w:rPr>
        <w:t xml:space="preserve"> </w:t>
      </w:r>
      <w:r>
        <w:rPr>
          <w:rFonts w:ascii="Times New Roman" w:hAnsi="Times New Roman" w:eastAsia="Times New Roman" w:cs="Times New Roman"/>
          <w:spacing w:val="-1"/>
          <w:sz w:val="19"/>
          <w:szCs w:val="19"/>
        </w:rPr>
        <w:t>exposure</w:t>
      </w:r>
      <w:r>
        <w:rPr>
          <w:rFonts w:ascii="Times New Roman" w:hAnsi="Times New Roman" w:eastAsia="Times New Roman" w:cs="Times New Roman"/>
          <w:spacing w:val="30"/>
          <w:w w:val="101"/>
          <w:sz w:val="19"/>
          <w:szCs w:val="19"/>
        </w:rPr>
        <w:t xml:space="preserve"> </w:t>
      </w:r>
      <w:r>
        <w:rPr>
          <w:rFonts w:ascii="Times New Roman" w:hAnsi="Times New Roman" w:eastAsia="Times New Roman" w:cs="Times New Roman"/>
          <w:spacing w:val="-1"/>
          <w:sz w:val="19"/>
          <w:szCs w:val="19"/>
        </w:rPr>
        <w:t>to</w:t>
      </w:r>
      <w:r>
        <w:rPr>
          <w:rFonts w:ascii="Times New Roman" w:hAnsi="Times New Roman" w:eastAsia="Times New Roman" w:cs="Times New Roman"/>
          <w:sz w:val="19"/>
          <w:szCs w:val="19"/>
        </w:rPr>
        <w:t xml:space="preserve"> </w:t>
      </w:r>
      <w:r>
        <w:rPr>
          <w:rFonts w:ascii="Times New Roman" w:hAnsi="Times New Roman" w:eastAsia="Times New Roman" w:cs="Times New Roman"/>
          <w:spacing w:val="-1"/>
          <w:sz w:val="19"/>
          <w:szCs w:val="19"/>
        </w:rPr>
        <w:t>certain</w:t>
      </w:r>
      <w:r>
        <w:rPr>
          <w:rFonts w:ascii="Times New Roman" w:hAnsi="Times New Roman" w:eastAsia="Times New Roman" w:cs="Times New Roman"/>
          <w:spacing w:val="35"/>
          <w:sz w:val="19"/>
          <w:szCs w:val="19"/>
        </w:rPr>
        <w:t xml:space="preserve"> </w:t>
      </w:r>
      <w:r>
        <w:rPr>
          <w:rFonts w:ascii="Times New Roman" w:hAnsi="Times New Roman" w:eastAsia="Times New Roman" w:cs="Times New Roman"/>
          <w:spacing w:val="-1"/>
          <w:sz w:val="19"/>
          <w:szCs w:val="19"/>
        </w:rPr>
        <w:t>risk</w:t>
      </w:r>
      <w:r>
        <w:rPr>
          <w:rFonts w:ascii="Times New Roman" w:hAnsi="Times New Roman" w:eastAsia="Times New Roman" w:cs="Times New Roman"/>
          <w:spacing w:val="26"/>
          <w:w w:val="101"/>
          <w:sz w:val="19"/>
          <w:szCs w:val="19"/>
        </w:rPr>
        <w:t xml:space="preserve"> </w:t>
      </w:r>
      <w:r>
        <w:rPr>
          <w:rFonts w:ascii="Times New Roman" w:hAnsi="Times New Roman" w:eastAsia="Times New Roman" w:cs="Times New Roman"/>
          <w:spacing w:val="-1"/>
          <w:sz w:val="19"/>
          <w:szCs w:val="19"/>
        </w:rPr>
        <w:t>factors</w:t>
      </w:r>
      <w:r>
        <w:rPr>
          <w:rFonts w:ascii="Times New Roman" w:hAnsi="Times New Roman" w:eastAsia="Times New Roman" w:cs="Times New Roman"/>
          <w:spacing w:val="27"/>
          <w:sz w:val="19"/>
          <w:szCs w:val="19"/>
        </w:rPr>
        <w:t xml:space="preserve"> </w:t>
      </w:r>
      <w:r>
        <w:rPr>
          <w:rFonts w:ascii="Times New Roman" w:hAnsi="Times New Roman" w:eastAsia="Times New Roman" w:cs="Times New Roman"/>
          <w:spacing w:val="-1"/>
          <w:sz w:val="19"/>
          <w:szCs w:val="19"/>
        </w:rPr>
        <w:t>among</w:t>
      </w:r>
      <w:r>
        <w:rPr>
          <w:rFonts w:ascii="Times New Roman" w:hAnsi="Times New Roman" w:eastAsia="Times New Roman" w:cs="Times New Roman"/>
          <w:spacing w:val="19"/>
          <w:w w:val="101"/>
          <w:sz w:val="19"/>
          <w:szCs w:val="19"/>
        </w:rPr>
        <w:t xml:space="preserve"> </w:t>
      </w:r>
      <w:r>
        <w:rPr>
          <w:rFonts w:ascii="Times New Roman" w:hAnsi="Times New Roman" w:eastAsia="Times New Roman" w:cs="Times New Roman"/>
          <w:spacing w:val="-1"/>
          <w:sz w:val="19"/>
          <w:szCs w:val="19"/>
        </w:rPr>
        <w:t>both</w:t>
      </w:r>
      <w:r>
        <w:rPr>
          <w:rFonts w:ascii="Times New Roman" w:hAnsi="Times New Roman" w:eastAsia="Times New Roman" w:cs="Times New Roman"/>
          <w:spacing w:val="26"/>
          <w:w w:val="101"/>
          <w:sz w:val="19"/>
          <w:szCs w:val="19"/>
        </w:rPr>
        <w:t xml:space="preserve"> </w:t>
      </w:r>
      <w:r>
        <w:rPr>
          <w:rFonts w:ascii="Times New Roman" w:hAnsi="Times New Roman" w:eastAsia="Times New Roman" w:cs="Times New Roman"/>
          <w:spacing w:val="-1"/>
          <w:sz w:val="19"/>
          <w:szCs w:val="19"/>
        </w:rPr>
        <w:t>cases</w:t>
      </w:r>
      <w:r>
        <w:rPr>
          <w:rFonts w:ascii="Times New Roman" w:hAnsi="Times New Roman" w:eastAsia="Times New Roman" w:cs="Times New Roman"/>
          <w:spacing w:val="27"/>
          <w:sz w:val="19"/>
          <w:szCs w:val="19"/>
        </w:rPr>
        <w:t xml:space="preserve"> </w:t>
      </w:r>
      <w:r>
        <w:rPr>
          <w:rFonts w:ascii="Times New Roman" w:hAnsi="Times New Roman" w:eastAsia="Times New Roman" w:cs="Times New Roman"/>
          <w:spacing w:val="-1"/>
          <w:sz w:val="19"/>
          <w:szCs w:val="19"/>
        </w:rPr>
        <w:t>and</w:t>
      </w:r>
      <w:r>
        <w:rPr>
          <w:rFonts w:ascii="Times New Roman" w:hAnsi="Times New Roman" w:eastAsia="Times New Roman" w:cs="Times New Roman"/>
          <w:spacing w:val="26"/>
          <w:sz w:val="19"/>
          <w:szCs w:val="19"/>
        </w:rPr>
        <w:t xml:space="preserve"> </w:t>
      </w:r>
      <w:r>
        <w:rPr>
          <w:rFonts w:ascii="Times New Roman" w:hAnsi="Times New Roman" w:eastAsia="Times New Roman" w:cs="Times New Roman"/>
          <w:spacing w:val="-1"/>
          <w:sz w:val="19"/>
          <w:szCs w:val="19"/>
        </w:rPr>
        <w:t>controls</w:t>
      </w:r>
      <w:r>
        <w:rPr>
          <w:rFonts w:ascii="Times New Roman" w:hAnsi="Times New Roman" w:eastAsia="Times New Roman" w:cs="Times New Roman"/>
          <w:spacing w:val="26"/>
          <w:w w:val="101"/>
          <w:sz w:val="19"/>
          <w:szCs w:val="19"/>
        </w:rPr>
        <w:t xml:space="preserve"> </w:t>
      </w:r>
      <w:r>
        <w:rPr>
          <w:rFonts w:ascii="Times New Roman" w:hAnsi="Times New Roman" w:eastAsia="Times New Roman" w:cs="Times New Roman"/>
          <w:spacing w:val="-1"/>
          <w:sz w:val="19"/>
          <w:szCs w:val="19"/>
        </w:rPr>
        <w:t>and</w:t>
      </w:r>
      <w:r>
        <w:rPr>
          <w:rFonts w:ascii="Times New Roman" w:hAnsi="Times New Roman" w:eastAsia="Times New Roman" w:cs="Times New Roman"/>
          <w:spacing w:val="26"/>
          <w:sz w:val="19"/>
          <w:szCs w:val="19"/>
        </w:rPr>
        <w:t xml:space="preserve"> </w:t>
      </w:r>
      <w:r>
        <w:rPr>
          <w:rFonts w:ascii="Times New Roman" w:hAnsi="Times New Roman" w:eastAsia="Times New Roman" w:cs="Times New Roman"/>
          <w:spacing w:val="-1"/>
          <w:sz w:val="19"/>
          <w:szCs w:val="19"/>
        </w:rPr>
        <w:t>compares</w:t>
      </w:r>
      <w:r>
        <w:rPr>
          <w:rFonts w:ascii="Times New Roman" w:hAnsi="Times New Roman" w:eastAsia="Times New Roman" w:cs="Times New Roman"/>
          <w:spacing w:val="22"/>
          <w:sz w:val="19"/>
          <w:szCs w:val="19"/>
        </w:rPr>
        <w:t xml:space="preserve"> </w:t>
      </w:r>
      <w:r>
        <w:rPr>
          <w:rFonts w:ascii="Times New Roman" w:hAnsi="Times New Roman" w:eastAsia="Times New Roman" w:cs="Times New Roman"/>
          <w:spacing w:val="-1"/>
          <w:sz w:val="19"/>
          <w:szCs w:val="19"/>
        </w:rPr>
        <w:t>them</w:t>
      </w:r>
      <w:r>
        <w:rPr>
          <w:rFonts w:ascii="Times New Roman" w:hAnsi="Times New Roman" w:eastAsia="Times New Roman" w:cs="Times New Roman"/>
          <w:spacing w:val="22"/>
          <w:sz w:val="19"/>
          <w:szCs w:val="19"/>
        </w:rPr>
        <w:t xml:space="preserve"> </w:t>
      </w:r>
      <w:r>
        <w:rPr>
          <w:rFonts w:ascii="Times New Roman" w:hAnsi="Times New Roman" w:eastAsia="Times New Roman" w:cs="Times New Roman"/>
          <w:spacing w:val="-1"/>
          <w:sz w:val="19"/>
          <w:szCs w:val="19"/>
        </w:rPr>
        <w:t>to</w:t>
      </w:r>
      <w:r>
        <w:rPr>
          <w:rFonts w:ascii="Times New Roman" w:hAnsi="Times New Roman" w:eastAsia="Times New Roman" w:cs="Times New Roman"/>
          <w:spacing w:val="26"/>
          <w:w w:val="101"/>
          <w:sz w:val="19"/>
          <w:szCs w:val="19"/>
        </w:rPr>
        <w:t xml:space="preserve"> </w:t>
      </w:r>
      <w:r>
        <w:rPr>
          <w:rFonts w:ascii="Times New Roman" w:hAnsi="Times New Roman" w:eastAsia="Times New Roman" w:cs="Times New Roman"/>
          <w:spacing w:val="-1"/>
          <w:sz w:val="19"/>
          <w:szCs w:val="19"/>
        </w:rPr>
        <w:t>assess</w:t>
      </w:r>
      <w:r>
        <w:rPr>
          <w:rFonts w:ascii="Times New Roman" w:hAnsi="Times New Roman" w:eastAsia="Times New Roman" w:cs="Times New Roman"/>
          <w:spacing w:val="22"/>
          <w:sz w:val="19"/>
          <w:szCs w:val="19"/>
        </w:rPr>
        <w:t xml:space="preserve"> </w:t>
      </w:r>
      <w:r>
        <w:rPr>
          <w:rFonts w:ascii="Times New Roman" w:hAnsi="Times New Roman" w:eastAsia="Times New Roman" w:cs="Times New Roman"/>
          <w:spacing w:val="-1"/>
          <w:sz w:val="19"/>
          <w:szCs w:val="19"/>
        </w:rPr>
        <w:t>the</w:t>
      </w:r>
      <w:r>
        <w:rPr>
          <w:rFonts w:ascii="Times New Roman" w:hAnsi="Times New Roman" w:eastAsia="Times New Roman" w:cs="Times New Roman"/>
          <w:spacing w:val="21"/>
          <w:sz w:val="19"/>
          <w:szCs w:val="19"/>
        </w:rPr>
        <w:t xml:space="preserve"> </w:t>
      </w:r>
      <w:r>
        <w:rPr>
          <w:rFonts w:ascii="Times New Roman" w:hAnsi="Times New Roman" w:eastAsia="Times New Roman" w:cs="Times New Roman"/>
          <w:spacing w:val="-1"/>
          <w:sz w:val="19"/>
          <w:szCs w:val="19"/>
        </w:rPr>
        <w:t>relationship</w:t>
      </w:r>
      <w:r>
        <w:rPr>
          <w:rFonts w:ascii="Times New Roman" w:hAnsi="Times New Roman" w:eastAsia="Times New Roman" w:cs="Times New Roman"/>
          <w:spacing w:val="20"/>
          <w:sz w:val="19"/>
          <w:szCs w:val="19"/>
        </w:rPr>
        <w:t xml:space="preserve"> </w:t>
      </w:r>
      <w:r>
        <w:rPr>
          <w:rFonts w:ascii="Times New Roman" w:hAnsi="Times New Roman" w:eastAsia="Times New Roman" w:cs="Times New Roman"/>
          <w:spacing w:val="-1"/>
          <w:sz w:val="19"/>
          <w:szCs w:val="19"/>
        </w:rPr>
        <w:t>between</w:t>
      </w:r>
      <w:r>
        <w:rPr>
          <w:rFonts w:ascii="Times New Roman" w:hAnsi="Times New Roman" w:eastAsia="Times New Roman" w:cs="Times New Roman"/>
          <w:spacing w:val="21"/>
          <w:w w:val="102"/>
          <w:sz w:val="19"/>
          <w:szCs w:val="19"/>
        </w:rPr>
        <w:t xml:space="preserve"> </w:t>
      </w:r>
      <w:r>
        <w:rPr>
          <w:rFonts w:ascii="Times New Roman" w:hAnsi="Times New Roman" w:eastAsia="Times New Roman" w:cs="Times New Roman"/>
          <w:spacing w:val="-1"/>
          <w:sz w:val="19"/>
          <w:szCs w:val="19"/>
        </w:rPr>
        <w:t>the</w:t>
      </w:r>
      <w:r>
        <w:rPr>
          <w:rFonts w:ascii="Times New Roman" w:hAnsi="Times New Roman" w:eastAsia="Times New Roman" w:cs="Times New Roman"/>
          <w:sz w:val="19"/>
          <w:szCs w:val="19"/>
        </w:rPr>
        <w:t xml:space="preserve"> exposure  and  disease.If</w:t>
      </w:r>
      <w:r>
        <w:rPr>
          <w:rFonts w:ascii="Times New Roman" w:hAnsi="Times New Roman" w:eastAsia="Times New Roman" w:cs="Times New Roman"/>
          <w:spacing w:val="23"/>
          <w:w w:val="101"/>
          <w:sz w:val="19"/>
          <w:szCs w:val="19"/>
        </w:rPr>
        <w:t xml:space="preserve"> </w:t>
      </w:r>
      <w:r>
        <w:rPr>
          <w:rFonts w:ascii="Times New Roman" w:hAnsi="Times New Roman" w:eastAsia="Times New Roman" w:cs="Times New Roman"/>
          <w:sz w:val="19"/>
          <w:szCs w:val="19"/>
        </w:rPr>
        <w:t>the</w:t>
      </w:r>
      <w:r>
        <w:rPr>
          <w:rFonts w:ascii="Times New Roman" w:hAnsi="Times New Roman" w:eastAsia="Times New Roman" w:cs="Times New Roman"/>
          <w:spacing w:val="41"/>
          <w:sz w:val="19"/>
          <w:szCs w:val="19"/>
        </w:rPr>
        <w:t xml:space="preserve"> </w:t>
      </w:r>
      <w:r>
        <w:rPr>
          <w:rFonts w:ascii="Times New Roman" w:hAnsi="Times New Roman" w:eastAsia="Times New Roman" w:cs="Times New Roman"/>
          <w:sz w:val="19"/>
          <w:szCs w:val="19"/>
        </w:rPr>
        <w:t>proportion  of</w:t>
      </w:r>
      <w:r>
        <w:rPr>
          <w:rFonts w:ascii="Times New Roman" w:hAnsi="Times New Roman" w:eastAsia="Times New Roman" w:cs="Times New Roman"/>
          <w:spacing w:val="28"/>
          <w:sz w:val="19"/>
          <w:szCs w:val="19"/>
        </w:rPr>
        <w:t xml:space="preserve"> </w:t>
      </w:r>
      <w:r>
        <w:rPr>
          <w:rFonts w:ascii="Times New Roman" w:hAnsi="Times New Roman" w:eastAsia="Times New Roman" w:cs="Times New Roman"/>
          <w:sz w:val="19"/>
          <w:szCs w:val="19"/>
        </w:rPr>
        <w:t>cases</w:t>
      </w:r>
      <w:r>
        <w:rPr>
          <w:rFonts w:ascii="Times New Roman" w:hAnsi="Times New Roman" w:eastAsia="Times New Roman" w:cs="Times New Roman"/>
          <w:spacing w:val="42"/>
          <w:sz w:val="19"/>
          <w:szCs w:val="19"/>
        </w:rPr>
        <w:t xml:space="preserve"> </w:t>
      </w:r>
      <w:r>
        <w:rPr>
          <w:rFonts w:ascii="Times New Roman" w:hAnsi="Times New Roman" w:eastAsia="Times New Roman" w:cs="Times New Roman"/>
          <w:sz w:val="19"/>
          <w:szCs w:val="19"/>
        </w:rPr>
        <w:t>with</w:t>
      </w:r>
      <w:r>
        <w:rPr>
          <w:rFonts w:ascii="Times New Roman" w:hAnsi="Times New Roman" w:eastAsia="Times New Roman" w:cs="Times New Roman"/>
          <w:spacing w:val="42"/>
          <w:w w:val="102"/>
          <w:sz w:val="19"/>
          <w:szCs w:val="19"/>
        </w:rPr>
        <w:t xml:space="preserve"> </w:t>
      </w:r>
      <w:r>
        <w:rPr>
          <w:rFonts w:ascii="Times New Roman" w:hAnsi="Times New Roman" w:eastAsia="Times New Roman" w:cs="Times New Roman"/>
          <w:sz w:val="19"/>
          <w:szCs w:val="19"/>
        </w:rPr>
        <w:t xml:space="preserve">the  exposure  is </w:t>
      </w:r>
      <w:r>
        <w:rPr>
          <w:rFonts w:ascii="Times New Roman" w:hAnsi="Times New Roman" w:eastAsia="Times New Roman" w:cs="Times New Roman"/>
          <w:spacing w:val="-1"/>
          <w:sz w:val="19"/>
          <w:szCs w:val="19"/>
        </w:rPr>
        <w:t xml:space="preserve"> statistically  significantly  higher</w:t>
      </w:r>
      <w:r>
        <w:rPr>
          <w:rFonts w:ascii="Times New Roman" w:hAnsi="Times New Roman" w:eastAsia="Times New Roman" w:cs="Times New Roman"/>
          <w:spacing w:val="41"/>
          <w:w w:val="101"/>
          <w:sz w:val="19"/>
          <w:szCs w:val="19"/>
        </w:rPr>
        <w:t xml:space="preserve"> </w:t>
      </w:r>
      <w:r>
        <w:rPr>
          <w:rFonts w:ascii="Times New Roman" w:hAnsi="Times New Roman" w:eastAsia="Times New Roman" w:cs="Times New Roman"/>
          <w:spacing w:val="-1"/>
          <w:sz w:val="19"/>
          <w:szCs w:val="19"/>
        </w:rPr>
        <w:t>than</w:t>
      </w:r>
      <w:r>
        <w:rPr>
          <w:rFonts w:ascii="Times New Roman" w:hAnsi="Times New Roman" w:eastAsia="Times New Roman" w:cs="Times New Roman"/>
          <w:sz w:val="19"/>
          <w:szCs w:val="19"/>
        </w:rPr>
        <w:t xml:space="preserve">  that</w:t>
      </w:r>
      <w:r>
        <w:rPr>
          <w:rFonts w:ascii="Times New Roman" w:hAnsi="Times New Roman" w:eastAsia="Times New Roman" w:cs="Times New Roman"/>
          <w:spacing w:val="39"/>
          <w:sz w:val="19"/>
          <w:szCs w:val="19"/>
        </w:rPr>
        <w:t xml:space="preserve"> </w:t>
      </w:r>
      <w:r>
        <w:rPr>
          <w:rFonts w:ascii="Times New Roman" w:hAnsi="Times New Roman" w:eastAsia="Times New Roman" w:cs="Times New Roman"/>
          <w:sz w:val="19"/>
          <w:szCs w:val="19"/>
        </w:rPr>
        <w:t>of</w:t>
      </w:r>
      <w:r>
        <w:rPr>
          <w:rFonts w:ascii="Times New Roman" w:hAnsi="Times New Roman" w:eastAsia="Times New Roman" w:cs="Times New Roman"/>
          <w:spacing w:val="20"/>
          <w:sz w:val="19"/>
          <w:szCs w:val="19"/>
        </w:rPr>
        <w:t xml:space="preserve"> </w:t>
      </w:r>
      <w:r>
        <w:rPr>
          <w:rFonts w:ascii="Times New Roman" w:hAnsi="Times New Roman" w:eastAsia="Times New Roman" w:cs="Times New Roman"/>
          <w:sz w:val="19"/>
          <w:szCs w:val="19"/>
        </w:rPr>
        <w:t>controls</w:t>
      </w:r>
      <w:r>
        <w:rPr>
          <w:rFonts w:ascii="Times New Roman" w:hAnsi="Times New Roman" w:eastAsia="Times New Roman" w:cs="Times New Roman"/>
          <w:spacing w:val="34"/>
          <w:w w:val="101"/>
          <w:sz w:val="19"/>
          <w:szCs w:val="19"/>
        </w:rPr>
        <w:t xml:space="preserve"> </w:t>
      </w:r>
      <w:r>
        <w:rPr>
          <w:rFonts w:ascii="Times New Roman" w:hAnsi="Times New Roman" w:eastAsia="Times New Roman" w:cs="Times New Roman"/>
          <w:sz w:val="19"/>
          <w:szCs w:val="19"/>
        </w:rPr>
        <w:t>with</w:t>
      </w:r>
      <w:r>
        <w:rPr>
          <w:rFonts w:ascii="Times New Roman" w:hAnsi="Times New Roman" w:eastAsia="Times New Roman" w:cs="Times New Roman"/>
          <w:spacing w:val="35"/>
          <w:sz w:val="19"/>
          <w:szCs w:val="19"/>
        </w:rPr>
        <w:t xml:space="preserve"> </w:t>
      </w:r>
      <w:r>
        <w:rPr>
          <w:rFonts w:ascii="Times New Roman" w:hAnsi="Times New Roman" w:eastAsia="Times New Roman" w:cs="Times New Roman"/>
          <w:sz w:val="19"/>
          <w:szCs w:val="19"/>
        </w:rPr>
        <w:t>the</w:t>
      </w:r>
      <w:r>
        <w:rPr>
          <w:rFonts w:ascii="Times New Roman" w:hAnsi="Times New Roman" w:eastAsia="Times New Roman" w:cs="Times New Roman"/>
          <w:spacing w:val="40"/>
          <w:sz w:val="19"/>
          <w:szCs w:val="19"/>
        </w:rPr>
        <w:t xml:space="preserve"> </w:t>
      </w:r>
      <w:r>
        <w:rPr>
          <w:rFonts w:ascii="Times New Roman" w:hAnsi="Times New Roman" w:eastAsia="Times New Roman" w:cs="Times New Roman"/>
          <w:sz w:val="19"/>
          <w:szCs w:val="19"/>
        </w:rPr>
        <w:t>exposure,a</w:t>
      </w:r>
      <w:r>
        <w:rPr>
          <w:rFonts w:ascii="Times New Roman" w:hAnsi="Times New Roman" w:eastAsia="Times New Roman" w:cs="Times New Roman"/>
          <w:spacing w:val="-1"/>
          <w:sz w:val="19"/>
          <w:szCs w:val="19"/>
        </w:rPr>
        <w:t>nd</w:t>
      </w:r>
      <w:r>
        <w:rPr>
          <w:rFonts w:ascii="Times New Roman" w:hAnsi="Times New Roman" w:eastAsia="Times New Roman" w:cs="Times New Roman"/>
          <w:spacing w:val="39"/>
          <w:w w:val="101"/>
          <w:sz w:val="19"/>
          <w:szCs w:val="19"/>
        </w:rPr>
        <w:t xml:space="preserve"> </w:t>
      </w:r>
      <w:r>
        <w:rPr>
          <w:rFonts w:ascii="Times New Roman" w:hAnsi="Times New Roman" w:eastAsia="Times New Roman" w:cs="Times New Roman"/>
          <w:spacing w:val="-1"/>
          <w:sz w:val="19"/>
          <w:szCs w:val="19"/>
        </w:rPr>
        <w:t>all</w:t>
      </w:r>
      <w:r>
        <w:rPr>
          <w:rFonts w:ascii="Times New Roman" w:hAnsi="Times New Roman" w:eastAsia="Times New Roman" w:cs="Times New Roman"/>
          <w:spacing w:val="39"/>
          <w:w w:val="101"/>
          <w:sz w:val="19"/>
          <w:szCs w:val="19"/>
        </w:rPr>
        <w:t xml:space="preserve"> </w:t>
      </w:r>
      <w:r>
        <w:rPr>
          <w:rFonts w:ascii="Times New Roman" w:hAnsi="Times New Roman" w:eastAsia="Times New Roman" w:cs="Times New Roman"/>
          <w:spacing w:val="-1"/>
          <w:sz w:val="19"/>
          <w:szCs w:val="19"/>
        </w:rPr>
        <w:t>other</w:t>
      </w:r>
      <w:r>
        <w:rPr>
          <w:rFonts w:ascii="Times New Roman" w:hAnsi="Times New Roman" w:eastAsia="Times New Roman" w:cs="Times New Roman"/>
          <w:spacing w:val="39"/>
          <w:sz w:val="19"/>
          <w:szCs w:val="19"/>
        </w:rPr>
        <w:t xml:space="preserve"> </w:t>
      </w:r>
      <w:r>
        <w:rPr>
          <w:rFonts w:ascii="Times New Roman" w:hAnsi="Times New Roman" w:eastAsia="Times New Roman" w:cs="Times New Roman"/>
          <w:spacing w:val="-1"/>
          <w:sz w:val="19"/>
          <w:szCs w:val="19"/>
        </w:rPr>
        <w:t>factors</w:t>
      </w:r>
      <w:r>
        <w:rPr>
          <w:rFonts w:ascii="Times New Roman" w:hAnsi="Times New Roman" w:eastAsia="Times New Roman" w:cs="Times New Roman"/>
          <w:spacing w:val="40"/>
          <w:sz w:val="19"/>
          <w:szCs w:val="19"/>
        </w:rPr>
        <w:t xml:space="preserve"> </w:t>
      </w:r>
      <w:r>
        <w:rPr>
          <w:rFonts w:ascii="Times New Roman" w:hAnsi="Times New Roman" w:eastAsia="Times New Roman" w:cs="Times New Roman"/>
          <w:spacing w:val="-1"/>
          <w:sz w:val="19"/>
          <w:szCs w:val="19"/>
        </w:rPr>
        <w:t>are</w:t>
      </w:r>
      <w:r>
        <w:rPr>
          <w:rFonts w:ascii="Times New Roman" w:hAnsi="Times New Roman" w:eastAsia="Times New Roman" w:cs="Times New Roman"/>
          <w:spacing w:val="39"/>
          <w:w w:val="101"/>
          <w:sz w:val="19"/>
          <w:szCs w:val="19"/>
        </w:rPr>
        <w:t xml:space="preserve"> </w:t>
      </w:r>
      <w:r>
        <w:rPr>
          <w:rFonts w:ascii="Times New Roman" w:hAnsi="Times New Roman" w:eastAsia="Times New Roman" w:cs="Times New Roman"/>
          <w:spacing w:val="-1"/>
          <w:sz w:val="19"/>
          <w:szCs w:val="19"/>
        </w:rPr>
        <w:t>comparable,there</w:t>
      </w:r>
      <w:r>
        <w:rPr>
          <w:rFonts w:ascii="Times New Roman" w:hAnsi="Times New Roman" w:eastAsia="Times New Roman" w:cs="Times New Roman"/>
          <w:spacing w:val="34"/>
          <w:w w:val="101"/>
          <w:sz w:val="19"/>
          <w:szCs w:val="19"/>
        </w:rPr>
        <w:t xml:space="preserve"> </w:t>
      </w:r>
      <w:r>
        <w:rPr>
          <w:rFonts w:ascii="Times New Roman" w:hAnsi="Times New Roman" w:eastAsia="Times New Roman" w:cs="Times New Roman"/>
          <w:spacing w:val="-1"/>
          <w:sz w:val="19"/>
          <w:szCs w:val="19"/>
        </w:rPr>
        <w:t>may</w:t>
      </w:r>
      <w:r>
        <w:rPr>
          <w:rFonts w:ascii="Times New Roman" w:hAnsi="Times New Roman" w:eastAsia="Times New Roman" w:cs="Times New Roman"/>
          <w:spacing w:val="33"/>
          <w:sz w:val="19"/>
          <w:szCs w:val="19"/>
        </w:rPr>
        <w:t xml:space="preserve"> </w:t>
      </w:r>
      <w:r>
        <w:rPr>
          <w:rFonts w:ascii="Times New Roman" w:hAnsi="Times New Roman" w:eastAsia="Times New Roman" w:cs="Times New Roman"/>
          <w:spacing w:val="-1"/>
          <w:sz w:val="19"/>
          <w:szCs w:val="19"/>
        </w:rPr>
        <w:t>be</w:t>
      </w:r>
      <w:r>
        <w:rPr>
          <w:rFonts w:ascii="Times New Roman" w:hAnsi="Times New Roman" w:eastAsia="Times New Roman" w:cs="Times New Roman"/>
          <w:spacing w:val="40"/>
          <w:sz w:val="19"/>
          <w:szCs w:val="19"/>
        </w:rPr>
        <w:t xml:space="preserve"> </w:t>
      </w:r>
      <w:r>
        <w:rPr>
          <w:rFonts w:ascii="Times New Roman" w:hAnsi="Times New Roman" w:eastAsia="Times New Roman" w:cs="Times New Roman"/>
          <w:spacing w:val="-1"/>
          <w:sz w:val="19"/>
          <w:szCs w:val="19"/>
        </w:rPr>
        <w:t>a</w:t>
      </w:r>
      <w:r>
        <w:rPr>
          <w:rFonts w:ascii="Times New Roman" w:hAnsi="Times New Roman" w:eastAsia="Times New Roman" w:cs="Times New Roman"/>
          <w:spacing w:val="32"/>
          <w:w w:val="101"/>
          <w:sz w:val="19"/>
          <w:szCs w:val="19"/>
        </w:rPr>
        <w:t xml:space="preserve"> </w:t>
      </w:r>
      <w:r>
        <w:rPr>
          <w:rFonts w:ascii="Times New Roman" w:hAnsi="Times New Roman" w:eastAsia="Times New Roman" w:cs="Times New Roman"/>
          <w:spacing w:val="-1"/>
          <w:sz w:val="19"/>
          <w:szCs w:val="19"/>
        </w:rPr>
        <w:t>positive</w:t>
      </w:r>
      <w:r>
        <w:rPr>
          <w:rFonts w:ascii="Times New Roman" w:hAnsi="Times New Roman" w:eastAsia="Times New Roman" w:cs="Times New Roman"/>
          <w:spacing w:val="40"/>
          <w:sz w:val="19"/>
          <w:szCs w:val="19"/>
        </w:rPr>
        <w:t xml:space="preserve"> </w:t>
      </w:r>
      <w:r>
        <w:rPr>
          <w:rFonts w:ascii="Times New Roman" w:hAnsi="Times New Roman" w:eastAsia="Times New Roman" w:cs="Times New Roman"/>
          <w:spacing w:val="-1"/>
          <w:sz w:val="19"/>
          <w:szCs w:val="19"/>
        </w:rPr>
        <w:t>association</w:t>
      </w:r>
      <w:r>
        <w:rPr>
          <w:rFonts w:ascii="Times New Roman" w:hAnsi="Times New Roman" w:eastAsia="Times New Roman" w:cs="Times New Roman"/>
          <w:sz w:val="19"/>
          <w:szCs w:val="19"/>
        </w:rPr>
        <w:t xml:space="preserve">  between  the</w:t>
      </w:r>
      <w:r>
        <w:rPr>
          <w:rFonts w:ascii="Times New Roman" w:hAnsi="Times New Roman" w:eastAsia="Times New Roman" w:cs="Times New Roman"/>
          <w:spacing w:val="11"/>
          <w:w w:val="102"/>
          <w:sz w:val="19"/>
          <w:szCs w:val="19"/>
        </w:rPr>
        <w:t xml:space="preserve">  </w:t>
      </w:r>
      <w:r>
        <w:rPr>
          <w:rFonts w:ascii="Times New Roman" w:hAnsi="Times New Roman" w:eastAsia="Times New Roman" w:cs="Times New Roman"/>
          <w:sz w:val="19"/>
          <w:szCs w:val="19"/>
        </w:rPr>
        <w:t>exposure  and</w:t>
      </w:r>
      <w:r>
        <w:rPr>
          <w:rFonts w:ascii="Times New Roman" w:hAnsi="Times New Roman" w:eastAsia="Times New Roman" w:cs="Times New Roman"/>
          <w:spacing w:val="8"/>
          <w:sz w:val="19"/>
          <w:szCs w:val="19"/>
        </w:rPr>
        <w:t xml:space="preserve">  </w:t>
      </w:r>
      <w:r>
        <w:rPr>
          <w:rFonts w:ascii="Times New Roman" w:hAnsi="Times New Roman" w:eastAsia="Times New Roman" w:cs="Times New Roman"/>
          <w:sz w:val="19"/>
          <w:szCs w:val="19"/>
        </w:rPr>
        <w:t>the</w:t>
      </w:r>
      <w:r>
        <w:rPr>
          <w:rFonts w:ascii="Times New Roman" w:hAnsi="Times New Roman" w:eastAsia="Times New Roman" w:cs="Times New Roman"/>
          <w:spacing w:val="11"/>
          <w:w w:val="102"/>
          <w:sz w:val="19"/>
          <w:szCs w:val="19"/>
        </w:rPr>
        <w:t xml:space="preserve">  </w:t>
      </w:r>
      <w:r>
        <w:rPr>
          <w:rFonts w:ascii="Times New Roman" w:hAnsi="Times New Roman" w:eastAsia="Times New Roman" w:cs="Times New Roman"/>
          <w:sz w:val="19"/>
          <w:szCs w:val="19"/>
        </w:rPr>
        <w:t>disease.</w:t>
      </w:r>
      <w:r>
        <w:rPr>
          <w:rFonts w:ascii="Times New Roman" w:hAnsi="Times New Roman" w:eastAsia="Times New Roman" w:cs="Times New Roman"/>
          <w:spacing w:val="-1"/>
          <w:sz w:val="19"/>
          <w:szCs w:val="19"/>
        </w:rPr>
        <w:t>A</w:t>
      </w:r>
      <w:r>
        <w:rPr>
          <w:rFonts w:ascii="Times New Roman" w:hAnsi="Times New Roman" w:eastAsia="Times New Roman" w:cs="Times New Roman"/>
          <w:spacing w:val="8"/>
          <w:sz w:val="19"/>
          <w:szCs w:val="19"/>
        </w:rPr>
        <w:t xml:space="preserve">  </w:t>
      </w:r>
      <w:r>
        <w:rPr>
          <w:rFonts w:ascii="Times New Roman" w:hAnsi="Times New Roman" w:eastAsia="Times New Roman" w:cs="Times New Roman"/>
          <w:spacing w:val="-1"/>
          <w:sz w:val="19"/>
          <w:szCs w:val="19"/>
        </w:rPr>
        <w:t>well-designed</w:t>
      </w:r>
      <w:r>
        <w:rPr>
          <w:rFonts w:ascii="Times New Roman" w:hAnsi="Times New Roman" w:eastAsia="Times New Roman" w:cs="Times New Roman"/>
          <w:spacing w:val="11"/>
          <w:sz w:val="19"/>
          <w:szCs w:val="19"/>
        </w:rPr>
        <w:t xml:space="preserve">  </w:t>
      </w:r>
      <w:r>
        <w:rPr>
          <w:rFonts w:ascii="Times New Roman" w:hAnsi="Times New Roman" w:eastAsia="Times New Roman" w:cs="Times New Roman"/>
          <w:spacing w:val="-1"/>
          <w:sz w:val="19"/>
          <w:szCs w:val="19"/>
        </w:rPr>
        <w:t>case-control   study   selects  cases   from</w:t>
      </w:r>
      <w:r>
        <w:rPr>
          <w:rFonts w:ascii="Times New Roman" w:hAnsi="Times New Roman" w:eastAsia="Times New Roman" w:cs="Times New Roman"/>
          <w:spacing w:val="12"/>
          <w:sz w:val="19"/>
          <w:szCs w:val="19"/>
        </w:rPr>
        <w:t xml:space="preserve">  </w:t>
      </w:r>
      <w:r>
        <w:rPr>
          <w:rFonts w:ascii="Times New Roman" w:hAnsi="Times New Roman" w:eastAsia="Times New Roman" w:cs="Times New Roman"/>
          <w:spacing w:val="-1"/>
          <w:sz w:val="19"/>
          <w:szCs w:val="19"/>
        </w:rPr>
        <w:t>a  clearly</w:t>
      </w:r>
      <w:r>
        <w:rPr>
          <w:rFonts w:ascii="Times New Roman" w:hAnsi="Times New Roman" w:eastAsia="Times New Roman" w:cs="Times New Roman"/>
          <w:sz w:val="19"/>
          <w:szCs w:val="19"/>
        </w:rPr>
        <w:t xml:space="preserve">  defined  population,known   as</w:t>
      </w:r>
      <w:r>
        <w:rPr>
          <w:rFonts w:ascii="Times New Roman" w:hAnsi="Times New Roman" w:eastAsia="Times New Roman" w:cs="Times New Roman"/>
          <w:spacing w:val="12"/>
          <w:sz w:val="19"/>
          <w:szCs w:val="19"/>
        </w:rPr>
        <w:t xml:space="preserve">  </w:t>
      </w:r>
      <w:r>
        <w:rPr>
          <w:rFonts w:ascii="Times New Roman" w:hAnsi="Times New Roman" w:eastAsia="Times New Roman" w:cs="Times New Roman"/>
          <w:sz w:val="19"/>
          <w:szCs w:val="19"/>
        </w:rPr>
        <w:t>the</w:t>
      </w:r>
      <w:r>
        <w:rPr>
          <w:rFonts w:ascii="Times New Roman" w:hAnsi="Times New Roman" w:eastAsia="Times New Roman" w:cs="Times New Roman"/>
          <w:spacing w:val="15"/>
          <w:w w:val="101"/>
          <w:sz w:val="19"/>
          <w:szCs w:val="19"/>
        </w:rPr>
        <w:t xml:space="preserve">  </w:t>
      </w:r>
      <w:r>
        <w:rPr>
          <w:rFonts w:ascii="Times New Roman" w:hAnsi="Times New Roman" w:eastAsia="Times New Roman" w:cs="Times New Roman"/>
          <w:sz w:val="19"/>
          <w:szCs w:val="19"/>
        </w:rPr>
        <w:t>source  population,and   controls</w:t>
      </w:r>
      <w:r>
        <w:rPr>
          <w:rFonts w:ascii="Times New Roman" w:hAnsi="Times New Roman" w:eastAsia="Times New Roman" w:cs="Times New Roman"/>
          <w:spacing w:val="15"/>
          <w:sz w:val="19"/>
          <w:szCs w:val="19"/>
        </w:rPr>
        <w:t xml:space="preserve">  </w:t>
      </w:r>
      <w:r>
        <w:rPr>
          <w:rFonts w:ascii="Times New Roman" w:hAnsi="Times New Roman" w:eastAsia="Times New Roman" w:cs="Times New Roman"/>
          <w:sz w:val="19"/>
          <w:szCs w:val="19"/>
        </w:rPr>
        <w:t>from</w:t>
      </w:r>
      <w:r>
        <w:rPr>
          <w:rFonts w:ascii="Times New Roman" w:hAnsi="Times New Roman" w:eastAsia="Times New Roman" w:cs="Times New Roman"/>
          <w:spacing w:val="12"/>
          <w:sz w:val="19"/>
          <w:szCs w:val="19"/>
        </w:rPr>
        <w:t xml:space="preserve">  </w:t>
      </w:r>
      <w:r>
        <w:rPr>
          <w:rFonts w:ascii="Times New Roman" w:hAnsi="Times New Roman" w:eastAsia="Times New Roman" w:cs="Times New Roman"/>
          <w:sz w:val="19"/>
          <w:szCs w:val="19"/>
        </w:rPr>
        <w:t>the</w:t>
      </w:r>
      <w:r>
        <w:rPr>
          <w:rFonts w:ascii="Times New Roman" w:hAnsi="Times New Roman" w:eastAsia="Times New Roman" w:cs="Times New Roman"/>
          <w:spacing w:val="15"/>
          <w:w w:val="101"/>
          <w:sz w:val="19"/>
          <w:szCs w:val="19"/>
        </w:rPr>
        <w:t xml:space="preserve">  </w:t>
      </w:r>
      <w:r>
        <w:rPr>
          <w:rFonts w:ascii="Times New Roman" w:hAnsi="Times New Roman" w:eastAsia="Times New Roman" w:cs="Times New Roman"/>
          <w:spacing w:val="-1"/>
          <w:sz w:val="19"/>
          <w:szCs w:val="19"/>
        </w:rPr>
        <w:t>same  population   that  yields</w:t>
      </w:r>
      <w:r>
        <w:rPr>
          <w:rFonts w:ascii="Times New Roman" w:hAnsi="Times New Roman" w:eastAsia="Times New Roman" w:cs="Times New Roman"/>
          <w:sz w:val="19"/>
          <w:szCs w:val="19"/>
        </w:rPr>
        <w:t xml:space="preserve"> the  cases.Case-control  study  is  commonly  used  to  explore  the  pos</w:t>
      </w:r>
      <w:r>
        <w:rPr>
          <w:rFonts w:ascii="Times New Roman" w:hAnsi="Times New Roman" w:eastAsia="Times New Roman" w:cs="Times New Roman"/>
          <w:spacing w:val="-1"/>
          <w:sz w:val="19"/>
          <w:szCs w:val="19"/>
        </w:rPr>
        <w:t>sible  causes  or  risk  factors  of</w:t>
      </w:r>
      <w:r>
        <w:rPr>
          <w:rFonts w:ascii="Times New Roman" w:hAnsi="Times New Roman" w:eastAsia="Times New Roman" w:cs="Times New Roman"/>
          <w:spacing w:val="31"/>
          <w:w w:val="101"/>
          <w:sz w:val="19"/>
          <w:szCs w:val="19"/>
        </w:rPr>
        <w:t xml:space="preserve"> </w:t>
      </w:r>
      <w:r>
        <w:rPr>
          <w:rFonts w:ascii="Times New Roman" w:hAnsi="Times New Roman" w:eastAsia="Times New Roman" w:cs="Times New Roman"/>
          <w:spacing w:val="-1"/>
          <w:sz w:val="19"/>
          <w:szCs w:val="19"/>
        </w:rPr>
        <w:t>disease,</w:t>
      </w:r>
      <w:r>
        <w:rPr>
          <w:rFonts w:ascii="Times New Roman" w:hAnsi="Times New Roman" w:eastAsia="Times New Roman" w:cs="Times New Roman"/>
          <w:sz w:val="19"/>
          <w:szCs w:val="19"/>
        </w:rPr>
        <w:t xml:space="preserve">  </w:t>
      </w:r>
      <w:r>
        <w:rPr>
          <w:rFonts w:ascii="Times New Roman" w:hAnsi="Times New Roman" w:eastAsia="Times New Roman" w:cs="Times New Roman"/>
          <w:spacing w:val="-1"/>
          <w:sz w:val="19"/>
          <w:szCs w:val="19"/>
        </w:rPr>
        <w:t>includ</w:t>
      </w:r>
      <w:r>
        <w:rPr>
          <w:rFonts w:ascii="Times New Roman" w:hAnsi="Times New Roman" w:eastAsia="Times New Roman" w:cs="Times New Roman"/>
          <w:sz w:val="19"/>
          <w:szCs w:val="19"/>
        </w:rPr>
        <w:t>ing</w:t>
      </w:r>
      <w:r>
        <w:rPr>
          <w:rFonts w:ascii="Times New Roman" w:hAnsi="Times New Roman" w:eastAsia="Times New Roman" w:cs="Times New Roman"/>
          <w:spacing w:val="17"/>
          <w:sz w:val="19"/>
          <w:szCs w:val="19"/>
        </w:rPr>
        <w:t xml:space="preserve">  </w:t>
      </w:r>
      <w:r>
        <w:rPr>
          <w:rFonts w:ascii="Times New Roman" w:hAnsi="Times New Roman" w:eastAsia="Times New Roman" w:cs="Times New Roman"/>
          <w:sz w:val="19"/>
          <w:szCs w:val="19"/>
        </w:rPr>
        <w:t>environmental</w:t>
      </w:r>
      <w:r>
        <w:rPr>
          <w:rFonts w:ascii="Times New Roman" w:hAnsi="Times New Roman" w:eastAsia="Times New Roman" w:cs="Times New Roman"/>
          <w:spacing w:val="17"/>
          <w:sz w:val="19"/>
          <w:szCs w:val="19"/>
        </w:rPr>
        <w:t xml:space="preserve">  </w:t>
      </w:r>
      <w:r>
        <w:rPr>
          <w:rFonts w:ascii="Times New Roman" w:hAnsi="Times New Roman" w:eastAsia="Times New Roman" w:cs="Times New Roman"/>
          <w:sz w:val="19"/>
          <w:szCs w:val="19"/>
        </w:rPr>
        <w:t>and</w:t>
      </w:r>
      <w:r>
        <w:rPr>
          <w:rFonts w:ascii="Times New Roman" w:hAnsi="Times New Roman" w:eastAsia="Times New Roman" w:cs="Times New Roman"/>
          <w:spacing w:val="16"/>
          <w:sz w:val="19"/>
          <w:szCs w:val="19"/>
        </w:rPr>
        <w:t xml:space="preserve">  </w:t>
      </w:r>
      <w:r>
        <w:rPr>
          <w:rFonts w:ascii="Times New Roman" w:hAnsi="Times New Roman" w:eastAsia="Times New Roman" w:cs="Times New Roman"/>
          <w:sz w:val="19"/>
          <w:szCs w:val="19"/>
        </w:rPr>
        <w:t>genetic</w:t>
      </w:r>
      <w:r>
        <w:rPr>
          <w:rFonts w:ascii="Times New Roman" w:hAnsi="Times New Roman" w:eastAsia="Times New Roman" w:cs="Times New Roman"/>
          <w:spacing w:val="17"/>
          <w:sz w:val="19"/>
          <w:szCs w:val="19"/>
        </w:rPr>
        <w:t xml:space="preserve">  </w:t>
      </w:r>
      <w:r>
        <w:rPr>
          <w:rFonts w:ascii="Times New Roman" w:hAnsi="Times New Roman" w:eastAsia="Times New Roman" w:cs="Times New Roman"/>
          <w:sz w:val="19"/>
          <w:szCs w:val="19"/>
        </w:rPr>
        <w:t>facto</w:t>
      </w:r>
      <w:r>
        <w:rPr>
          <w:rFonts w:ascii="Times New Roman" w:hAnsi="Times New Roman" w:eastAsia="Times New Roman" w:cs="Times New Roman"/>
          <w:spacing w:val="-1"/>
          <w:sz w:val="19"/>
          <w:szCs w:val="19"/>
        </w:rPr>
        <w:t>rs,to</w:t>
      </w:r>
      <w:r>
        <w:rPr>
          <w:rFonts w:ascii="Times New Roman" w:hAnsi="Times New Roman" w:eastAsia="Times New Roman" w:cs="Times New Roman"/>
          <w:spacing w:val="14"/>
          <w:w w:val="101"/>
          <w:sz w:val="19"/>
          <w:szCs w:val="19"/>
        </w:rPr>
        <w:t xml:space="preserve">  </w:t>
      </w:r>
      <w:r>
        <w:rPr>
          <w:rFonts w:ascii="Times New Roman" w:hAnsi="Times New Roman" w:eastAsia="Times New Roman" w:cs="Times New Roman"/>
          <w:spacing w:val="-1"/>
          <w:sz w:val="19"/>
          <w:szCs w:val="19"/>
        </w:rPr>
        <w:t>test</w:t>
      </w:r>
      <w:r>
        <w:rPr>
          <w:rFonts w:ascii="Times New Roman" w:hAnsi="Times New Roman" w:eastAsia="Times New Roman" w:cs="Times New Roman"/>
          <w:spacing w:val="14"/>
          <w:w w:val="101"/>
          <w:sz w:val="19"/>
          <w:szCs w:val="19"/>
        </w:rPr>
        <w:t xml:space="preserve">  </w:t>
      </w:r>
      <w:r>
        <w:rPr>
          <w:rFonts w:ascii="Times New Roman" w:hAnsi="Times New Roman" w:eastAsia="Times New Roman" w:cs="Times New Roman"/>
          <w:spacing w:val="-1"/>
          <w:sz w:val="19"/>
          <w:szCs w:val="19"/>
        </w:rPr>
        <w:t>the</w:t>
      </w:r>
      <w:r>
        <w:rPr>
          <w:rFonts w:ascii="Times New Roman" w:hAnsi="Times New Roman" w:eastAsia="Times New Roman" w:cs="Times New Roman"/>
          <w:spacing w:val="16"/>
          <w:w w:val="101"/>
          <w:sz w:val="19"/>
          <w:szCs w:val="19"/>
        </w:rPr>
        <w:t xml:space="preserve">  </w:t>
      </w:r>
      <w:r>
        <w:rPr>
          <w:rFonts w:ascii="Times New Roman" w:hAnsi="Times New Roman" w:eastAsia="Times New Roman" w:cs="Times New Roman"/>
          <w:spacing w:val="-1"/>
          <w:sz w:val="19"/>
          <w:szCs w:val="19"/>
        </w:rPr>
        <w:t>causal</w:t>
      </w:r>
      <w:r>
        <w:rPr>
          <w:rFonts w:ascii="Times New Roman" w:hAnsi="Times New Roman" w:eastAsia="Times New Roman" w:cs="Times New Roman"/>
          <w:spacing w:val="14"/>
          <w:sz w:val="19"/>
          <w:szCs w:val="19"/>
        </w:rPr>
        <w:t xml:space="preserve">  </w:t>
      </w:r>
      <w:r>
        <w:rPr>
          <w:rFonts w:ascii="Times New Roman" w:hAnsi="Times New Roman" w:eastAsia="Times New Roman" w:cs="Times New Roman"/>
          <w:spacing w:val="-1"/>
          <w:sz w:val="19"/>
          <w:szCs w:val="19"/>
        </w:rPr>
        <w:t>hypotheses,to</w:t>
      </w:r>
      <w:r>
        <w:rPr>
          <w:rFonts w:ascii="Times New Roman" w:hAnsi="Times New Roman" w:eastAsia="Times New Roman" w:cs="Times New Roman"/>
          <w:spacing w:val="16"/>
          <w:w w:val="101"/>
          <w:sz w:val="19"/>
          <w:szCs w:val="19"/>
        </w:rPr>
        <w:t xml:space="preserve">  </w:t>
      </w:r>
      <w:r>
        <w:rPr>
          <w:rFonts w:ascii="Times New Roman" w:hAnsi="Times New Roman" w:eastAsia="Times New Roman" w:cs="Times New Roman"/>
          <w:spacing w:val="-1"/>
          <w:sz w:val="19"/>
          <w:szCs w:val="19"/>
        </w:rPr>
        <w:t>investigate</w:t>
      </w:r>
      <w:r>
        <w:rPr>
          <w:rFonts w:ascii="Times New Roman" w:hAnsi="Times New Roman" w:eastAsia="Times New Roman" w:cs="Times New Roman"/>
          <w:spacing w:val="14"/>
          <w:w w:val="101"/>
          <w:sz w:val="19"/>
          <w:szCs w:val="19"/>
        </w:rPr>
        <w:t xml:space="preserve">  </w:t>
      </w:r>
      <w:r>
        <w:rPr>
          <w:rFonts w:ascii="Times New Roman" w:hAnsi="Times New Roman" w:eastAsia="Times New Roman" w:cs="Times New Roman"/>
          <w:spacing w:val="-1"/>
          <w:sz w:val="19"/>
          <w:szCs w:val="19"/>
        </w:rPr>
        <w:t>the</w:t>
      </w:r>
      <w:r>
        <w:rPr>
          <w:rFonts w:ascii="Times New Roman" w:hAnsi="Times New Roman" w:eastAsia="Times New Roman" w:cs="Times New Roman"/>
          <w:spacing w:val="16"/>
          <w:w w:val="101"/>
          <w:sz w:val="19"/>
          <w:szCs w:val="19"/>
        </w:rPr>
        <w:t xml:space="preserve">  </w:t>
      </w:r>
      <w:r>
        <w:rPr>
          <w:rFonts w:ascii="Times New Roman" w:hAnsi="Times New Roman" w:eastAsia="Times New Roman" w:cs="Times New Roman"/>
          <w:spacing w:val="-1"/>
          <w:sz w:val="19"/>
          <w:szCs w:val="19"/>
        </w:rPr>
        <w:t>causes</w:t>
      </w:r>
      <w:r>
        <w:rPr>
          <w:rFonts w:ascii="Times New Roman" w:hAnsi="Times New Roman" w:eastAsia="Times New Roman" w:cs="Times New Roman"/>
          <w:spacing w:val="17"/>
          <w:sz w:val="19"/>
          <w:szCs w:val="19"/>
        </w:rPr>
        <w:t xml:space="preserve">  </w:t>
      </w:r>
      <w:r>
        <w:rPr>
          <w:rFonts w:ascii="Times New Roman" w:hAnsi="Times New Roman" w:eastAsia="Times New Roman" w:cs="Times New Roman"/>
          <w:spacing w:val="-1"/>
          <w:sz w:val="19"/>
          <w:szCs w:val="19"/>
        </w:rPr>
        <w:t>o</w:t>
      </w:r>
      <w:r>
        <w:rPr>
          <w:rFonts w:ascii="Times New Roman" w:hAnsi="Times New Roman" w:eastAsia="Times New Roman" w:cs="Times New Roman"/>
          <w:spacing w:val="5"/>
          <w:sz w:val="19"/>
          <w:szCs w:val="19"/>
        </w:rPr>
        <w:t>f</w:t>
      </w:r>
      <w:r>
        <w:rPr>
          <w:rFonts w:ascii="Times New Roman" w:hAnsi="Times New Roman" w:eastAsia="Times New Roman" w:cs="Times New Roman"/>
          <w:sz w:val="19"/>
          <w:szCs w:val="19"/>
        </w:rPr>
        <w:t xml:space="preserve"> adverse  effects  due</w:t>
      </w:r>
      <w:r>
        <w:rPr>
          <w:rFonts w:ascii="Times New Roman" w:hAnsi="Times New Roman" w:eastAsia="Times New Roman" w:cs="Times New Roman"/>
          <w:spacing w:val="7"/>
          <w:sz w:val="19"/>
          <w:szCs w:val="19"/>
        </w:rPr>
        <w:t xml:space="preserve">  </w:t>
      </w:r>
      <w:r>
        <w:rPr>
          <w:rFonts w:ascii="Times New Roman" w:hAnsi="Times New Roman" w:eastAsia="Times New Roman" w:cs="Times New Roman"/>
          <w:sz w:val="19"/>
          <w:szCs w:val="19"/>
        </w:rPr>
        <w:t>to</w:t>
      </w:r>
      <w:r>
        <w:rPr>
          <w:rFonts w:ascii="Times New Roman" w:hAnsi="Times New Roman" w:eastAsia="Times New Roman" w:cs="Times New Roman"/>
          <w:spacing w:val="10"/>
          <w:sz w:val="19"/>
          <w:szCs w:val="19"/>
        </w:rPr>
        <w:t xml:space="preserve">  </w:t>
      </w:r>
      <w:r>
        <w:rPr>
          <w:rFonts w:ascii="Times New Roman" w:hAnsi="Times New Roman" w:eastAsia="Times New Roman" w:cs="Times New Roman"/>
          <w:sz w:val="19"/>
          <w:szCs w:val="19"/>
        </w:rPr>
        <w:t>drugs,and</w:t>
      </w:r>
      <w:r>
        <w:rPr>
          <w:rFonts w:ascii="Times New Roman" w:hAnsi="Times New Roman" w:eastAsia="Times New Roman" w:cs="Times New Roman"/>
          <w:spacing w:val="7"/>
          <w:sz w:val="19"/>
          <w:szCs w:val="19"/>
        </w:rPr>
        <w:t xml:space="preserve">  </w:t>
      </w:r>
      <w:r>
        <w:rPr>
          <w:rFonts w:ascii="Times New Roman" w:hAnsi="Times New Roman" w:eastAsia="Times New Roman" w:cs="Times New Roman"/>
          <w:sz w:val="19"/>
          <w:szCs w:val="19"/>
        </w:rPr>
        <w:t>to</w:t>
      </w:r>
      <w:r>
        <w:rPr>
          <w:rFonts w:ascii="Times New Roman" w:hAnsi="Times New Roman" w:eastAsia="Times New Roman" w:cs="Times New Roman"/>
          <w:spacing w:val="11"/>
          <w:sz w:val="19"/>
          <w:szCs w:val="19"/>
        </w:rPr>
        <w:t xml:space="preserve">  </w:t>
      </w:r>
      <w:r>
        <w:rPr>
          <w:rFonts w:ascii="Times New Roman" w:hAnsi="Times New Roman" w:eastAsia="Times New Roman" w:cs="Times New Roman"/>
          <w:sz w:val="19"/>
          <w:szCs w:val="19"/>
        </w:rPr>
        <w:t>study</w:t>
      </w:r>
      <w:r>
        <w:rPr>
          <w:rFonts w:ascii="Times New Roman" w:hAnsi="Times New Roman" w:eastAsia="Times New Roman" w:cs="Times New Roman"/>
          <w:spacing w:val="7"/>
          <w:sz w:val="19"/>
          <w:szCs w:val="19"/>
        </w:rPr>
        <w:t xml:space="preserve">  </w:t>
      </w:r>
      <w:r>
        <w:rPr>
          <w:rFonts w:ascii="Times New Roman" w:hAnsi="Times New Roman" w:eastAsia="Times New Roman" w:cs="Times New Roman"/>
          <w:sz w:val="19"/>
          <w:szCs w:val="19"/>
        </w:rPr>
        <w:t>the</w:t>
      </w:r>
      <w:r>
        <w:rPr>
          <w:rFonts w:ascii="Times New Roman" w:hAnsi="Times New Roman" w:eastAsia="Times New Roman" w:cs="Times New Roman"/>
          <w:spacing w:val="9"/>
          <w:sz w:val="19"/>
          <w:szCs w:val="19"/>
        </w:rPr>
        <w:t xml:space="preserve">  </w:t>
      </w:r>
      <w:r>
        <w:rPr>
          <w:rFonts w:ascii="Times New Roman" w:hAnsi="Times New Roman" w:eastAsia="Times New Roman" w:cs="Times New Roman"/>
          <w:sz w:val="19"/>
          <w:szCs w:val="19"/>
        </w:rPr>
        <w:t>impact</w:t>
      </w:r>
      <w:r>
        <w:rPr>
          <w:rFonts w:ascii="Times New Roman" w:hAnsi="Times New Roman" w:eastAsia="Times New Roman" w:cs="Times New Roman"/>
          <w:spacing w:val="9"/>
          <w:sz w:val="19"/>
          <w:szCs w:val="19"/>
        </w:rPr>
        <w:t xml:space="preserve">  </w:t>
      </w:r>
      <w:r>
        <w:rPr>
          <w:rFonts w:ascii="Times New Roman" w:hAnsi="Times New Roman" w:eastAsia="Times New Roman" w:cs="Times New Roman"/>
          <w:sz w:val="19"/>
          <w:szCs w:val="19"/>
        </w:rPr>
        <w:t>of  a</w:t>
      </w:r>
      <w:r>
        <w:rPr>
          <w:rFonts w:ascii="Times New Roman" w:hAnsi="Times New Roman" w:eastAsia="Times New Roman" w:cs="Times New Roman"/>
          <w:spacing w:val="10"/>
          <w:sz w:val="19"/>
          <w:szCs w:val="19"/>
        </w:rPr>
        <w:t xml:space="preserve">  </w:t>
      </w:r>
      <w:r>
        <w:rPr>
          <w:rFonts w:ascii="Times New Roman" w:hAnsi="Times New Roman" w:eastAsia="Times New Roman" w:cs="Times New Roman"/>
          <w:sz w:val="19"/>
          <w:szCs w:val="19"/>
        </w:rPr>
        <w:t>diagnosis</w:t>
      </w:r>
      <w:r>
        <w:rPr>
          <w:rFonts w:ascii="Times New Roman" w:hAnsi="Times New Roman" w:eastAsia="Times New Roman" w:cs="Times New Roman"/>
          <w:spacing w:val="10"/>
          <w:sz w:val="19"/>
          <w:szCs w:val="19"/>
        </w:rPr>
        <w:t xml:space="preserve">  </w:t>
      </w:r>
      <w:r>
        <w:rPr>
          <w:rFonts w:ascii="Times New Roman" w:hAnsi="Times New Roman" w:eastAsia="Times New Roman" w:cs="Times New Roman"/>
          <w:spacing w:val="-1"/>
          <w:sz w:val="19"/>
          <w:szCs w:val="19"/>
        </w:rPr>
        <w:t>on</w:t>
      </w:r>
      <w:r>
        <w:rPr>
          <w:rFonts w:ascii="Times New Roman" w:hAnsi="Times New Roman" w:eastAsia="Times New Roman" w:cs="Times New Roman"/>
          <w:spacing w:val="9"/>
          <w:sz w:val="19"/>
          <w:szCs w:val="19"/>
        </w:rPr>
        <w:t xml:space="preserve">  </w:t>
      </w:r>
      <w:r>
        <w:rPr>
          <w:rFonts w:ascii="Times New Roman" w:hAnsi="Times New Roman" w:eastAsia="Times New Roman" w:cs="Times New Roman"/>
          <w:spacing w:val="-1"/>
          <w:sz w:val="19"/>
          <w:szCs w:val="19"/>
        </w:rPr>
        <w:t>disease</w:t>
      </w:r>
      <w:r>
        <w:rPr>
          <w:rFonts w:ascii="Times New Roman" w:hAnsi="Times New Roman" w:eastAsia="Times New Roman" w:cs="Times New Roman"/>
          <w:spacing w:val="6"/>
          <w:sz w:val="19"/>
          <w:szCs w:val="19"/>
        </w:rPr>
        <w:t xml:space="preserve">  </w:t>
      </w:r>
      <w:r>
        <w:rPr>
          <w:rFonts w:ascii="Times New Roman" w:hAnsi="Times New Roman" w:eastAsia="Times New Roman" w:cs="Times New Roman"/>
          <w:spacing w:val="-1"/>
          <w:sz w:val="19"/>
          <w:szCs w:val="19"/>
        </w:rPr>
        <w:t>prognosis.Because</w:t>
      </w:r>
      <w:r>
        <w:rPr>
          <w:rFonts w:ascii="Times New Roman" w:hAnsi="Times New Roman" w:eastAsia="Times New Roman" w:cs="Times New Roman"/>
          <w:spacing w:val="8"/>
          <w:sz w:val="19"/>
          <w:szCs w:val="19"/>
        </w:rPr>
        <w:t xml:space="preserve">  </w:t>
      </w:r>
      <w:r>
        <w:rPr>
          <w:rFonts w:ascii="Times New Roman" w:hAnsi="Times New Roman" w:eastAsia="Times New Roman" w:cs="Times New Roman"/>
          <w:spacing w:val="-1"/>
          <w:sz w:val="19"/>
          <w:szCs w:val="19"/>
        </w:rPr>
        <w:t>the</w:t>
      </w:r>
      <w:r>
        <w:rPr>
          <w:rFonts w:ascii="Times New Roman" w:hAnsi="Times New Roman" w:eastAsia="Times New Roman" w:cs="Times New Roman"/>
          <w:sz w:val="19"/>
          <w:szCs w:val="19"/>
        </w:rPr>
        <w:t xml:space="preserve"> assessment</w:t>
      </w:r>
      <w:r>
        <w:rPr>
          <w:rFonts w:ascii="Times New Roman" w:hAnsi="Times New Roman" w:eastAsia="Times New Roman" w:cs="Times New Roman"/>
          <w:spacing w:val="26"/>
          <w:sz w:val="19"/>
          <w:szCs w:val="19"/>
        </w:rPr>
        <w:t xml:space="preserve"> </w:t>
      </w:r>
      <w:r>
        <w:rPr>
          <w:rFonts w:ascii="Times New Roman" w:hAnsi="Times New Roman" w:eastAsia="Times New Roman" w:cs="Times New Roman"/>
          <w:sz w:val="19"/>
          <w:szCs w:val="19"/>
        </w:rPr>
        <w:t>of exposure</w:t>
      </w:r>
      <w:r>
        <w:rPr>
          <w:rFonts w:ascii="Times New Roman" w:hAnsi="Times New Roman" w:eastAsia="Times New Roman" w:cs="Times New Roman"/>
          <w:spacing w:val="25"/>
          <w:sz w:val="19"/>
          <w:szCs w:val="19"/>
        </w:rPr>
        <w:t xml:space="preserve"> </w:t>
      </w:r>
      <w:r>
        <w:rPr>
          <w:rFonts w:ascii="Times New Roman" w:hAnsi="Times New Roman" w:eastAsia="Times New Roman" w:cs="Times New Roman"/>
          <w:sz w:val="19"/>
          <w:szCs w:val="19"/>
        </w:rPr>
        <w:t>is</w:t>
      </w:r>
      <w:r>
        <w:rPr>
          <w:rFonts w:ascii="Times New Roman" w:hAnsi="Times New Roman" w:eastAsia="Times New Roman" w:cs="Times New Roman"/>
          <w:spacing w:val="20"/>
          <w:w w:val="102"/>
          <w:sz w:val="19"/>
          <w:szCs w:val="19"/>
        </w:rPr>
        <w:t xml:space="preserve"> </w:t>
      </w:r>
      <w:r>
        <w:rPr>
          <w:rFonts w:ascii="Times New Roman" w:hAnsi="Times New Roman" w:eastAsia="Times New Roman" w:cs="Times New Roman"/>
          <w:sz w:val="19"/>
          <w:szCs w:val="19"/>
        </w:rPr>
        <w:t>retrospective,case-con</w:t>
      </w:r>
      <w:r>
        <w:rPr>
          <w:rFonts w:ascii="Times New Roman" w:hAnsi="Times New Roman" w:eastAsia="Times New Roman" w:cs="Times New Roman"/>
          <w:spacing w:val="-1"/>
          <w:sz w:val="19"/>
          <w:szCs w:val="19"/>
        </w:rPr>
        <w:t>trol</w:t>
      </w:r>
      <w:r>
        <w:rPr>
          <w:rFonts w:ascii="Times New Roman" w:hAnsi="Times New Roman" w:eastAsia="Times New Roman" w:cs="Times New Roman"/>
          <w:spacing w:val="28"/>
          <w:w w:val="101"/>
          <w:sz w:val="19"/>
          <w:szCs w:val="19"/>
        </w:rPr>
        <w:t xml:space="preserve"> </w:t>
      </w:r>
      <w:r>
        <w:rPr>
          <w:rFonts w:ascii="Times New Roman" w:hAnsi="Times New Roman" w:eastAsia="Times New Roman" w:cs="Times New Roman"/>
          <w:spacing w:val="-1"/>
          <w:sz w:val="19"/>
          <w:szCs w:val="19"/>
        </w:rPr>
        <w:t>study</w:t>
      </w:r>
      <w:r>
        <w:rPr>
          <w:rFonts w:ascii="Times New Roman" w:hAnsi="Times New Roman" w:eastAsia="Times New Roman" w:cs="Times New Roman"/>
          <w:spacing w:val="21"/>
          <w:w w:val="101"/>
          <w:sz w:val="19"/>
          <w:szCs w:val="19"/>
        </w:rPr>
        <w:t xml:space="preserve"> </w:t>
      </w:r>
      <w:r>
        <w:rPr>
          <w:rFonts w:ascii="Times New Roman" w:hAnsi="Times New Roman" w:eastAsia="Times New Roman" w:cs="Times New Roman"/>
          <w:spacing w:val="-1"/>
          <w:sz w:val="19"/>
          <w:szCs w:val="19"/>
        </w:rPr>
        <w:t>may</w:t>
      </w:r>
      <w:r>
        <w:rPr>
          <w:rFonts w:ascii="Times New Roman" w:hAnsi="Times New Roman" w:eastAsia="Times New Roman" w:cs="Times New Roman"/>
          <w:spacing w:val="19"/>
          <w:sz w:val="19"/>
          <w:szCs w:val="19"/>
        </w:rPr>
        <w:t xml:space="preserve"> </w:t>
      </w:r>
      <w:r>
        <w:rPr>
          <w:rFonts w:ascii="Times New Roman" w:hAnsi="Times New Roman" w:eastAsia="Times New Roman" w:cs="Times New Roman"/>
          <w:spacing w:val="-1"/>
          <w:sz w:val="19"/>
          <w:szCs w:val="19"/>
        </w:rPr>
        <w:t>provide</w:t>
      </w:r>
      <w:r>
        <w:rPr>
          <w:rFonts w:ascii="Times New Roman" w:hAnsi="Times New Roman" w:eastAsia="Times New Roman" w:cs="Times New Roman"/>
          <w:spacing w:val="25"/>
          <w:w w:val="101"/>
          <w:sz w:val="19"/>
          <w:szCs w:val="19"/>
        </w:rPr>
        <w:t xml:space="preserve"> </w:t>
      </w:r>
      <w:r>
        <w:rPr>
          <w:rFonts w:ascii="Times New Roman" w:hAnsi="Times New Roman" w:eastAsia="Times New Roman" w:cs="Times New Roman"/>
          <w:spacing w:val="-1"/>
          <w:sz w:val="19"/>
          <w:szCs w:val="19"/>
        </w:rPr>
        <w:t>less</w:t>
      </w:r>
      <w:r>
        <w:rPr>
          <w:rFonts w:ascii="Times New Roman" w:hAnsi="Times New Roman" w:eastAsia="Times New Roman" w:cs="Times New Roman"/>
          <w:spacing w:val="28"/>
          <w:w w:val="101"/>
          <w:sz w:val="19"/>
          <w:szCs w:val="19"/>
        </w:rPr>
        <w:t xml:space="preserve"> </w:t>
      </w:r>
      <w:r>
        <w:rPr>
          <w:rFonts w:ascii="Times New Roman" w:hAnsi="Times New Roman" w:eastAsia="Times New Roman" w:cs="Times New Roman"/>
          <w:spacing w:val="-1"/>
          <w:sz w:val="19"/>
          <w:szCs w:val="19"/>
        </w:rPr>
        <w:t>strong</w:t>
      </w:r>
      <w:r>
        <w:rPr>
          <w:rFonts w:ascii="Times New Roman" w:hAnsi="Times New Roman" w:eastAsia="Times New Roman" w:cs="Times New Roman"/>
          <w:spacing w:val="27"/>
          <w:sz w:val="19"/>
          <w:szCs w:val="19"/>
        </w:rPr>
        <w:t xml:space="preserve"> </w:t>
      </w:r>
      <w:r>
        <w:rPr>
          <w:rFonts w:ascii="Times New Roman" w:hAnsi="Times New Roman" w:eastAsia="Times New Roman" w:cs="Times New Roman"/>
          <w:spacing w:val="-1"/>
          <w:sz w:val="19"/>
          <w:szCs w:val="19"/>
        </w:rPr>
        <w:t>evidence</w:t>
      </w:r>
      <w:r>
        <w:rPr>
          <w:rFonts w:ascii="Times New Roman" w:hAnsi="Times New Roman" w:eastAsia="Times New Roman" w:cs="Times New Roman"/>
          <w:spacing w:val="27"/>
          <w:sz w:val="19"/>
          <w:szCs w:val="19"/>
        </w:rPr>
        <w:t xml:space="preserve"> </w:t>
      </w:r>
      <w:r>
        <w:rPr>
          <w:rFonts w:ascii="Times New Roman" w:hAnsi="Times New Roman" w:eastAsia="Times New Roman" w:cs="Times New Roman"/>
          <w:spacing w:val="-1"/>
          <w:sz w:val="19"/>
          <w:szCs w:val="19"/>
        </w:rPr>
        <w:t>for</w:t>
      </w:r>
      <w:r>
        <w:rPr>
          <w:rFonts w:ascii="Times New Roman" w:hAnsi="Times New Roman" w:eastAsia="Times New Roman" w:cs="Times New Roman"/>
          <w:spacing w:val="20"/>
          <w:sz w:val="19"/>
          <w:szCs w:val="19"/>
        </w:rPr>
        <w:t xml:space="preserve"> </w:t>
      </w:r>
      <w:r>
        <w:rPr>
          <w:rFonts w:ascii="Times New Roman" w:hAnsi="Times New Roman" w:eastAsia="Times New Roman" w:cs="Times New Roman"/>
          <w:spacing w:val="-1"/>
          <w:sz w:val="19"/>
          <w:szCs w:val="19"/>
        </w:rPr>
        <w:t>the</w:t>
      </w:r>
      <w:r>
        <w:rPr>
          <w:rFonts w:ascii="Times New Roman" w:hAnsi="Times New Roman" w:eastAsia="Times New Roman" w:cs="Times New Roman"/>
          <w:spacing w:val="21"/>
          <w:w w:val="101"/>
          <w:sz w:val="19"/>
          <w:szCs w:val="19"/>
        </w:rPr>
        <w:t xml:space="preserve"> </w:t>
      </w:r>
      <w:r>
        <w:rPr>
          <w:rFonts w:ascii="Times New Roman" w:hAnsi="Times New Roman" w:eastAsia="Times New Roman" w:cs="Times New Roman"/>
          <w:spacing w:val="-1"/>
          <w:sz w:val="19"/>
          <w:szCs w:val="19"/>
        </w:rPr>
        <w:t>temporal</w:t>
      </w:r>
      <w:r>
        <w:rPr>
          <w:rFonts w:ascii="Times New Roman" w:hAnsi="Times New Roman" w:eastAsia="Times New Roman" w:cs="Times New Roman"/>
          <w:sz w:val="19"/>
          <w:szCs w:val="19"/>
        </w:rPr>
        <w:t xml:space="preserve"> order</w:t>
      </w:r>
      <w:r>
        <w:rPr>
          <w:rFonts w:ascii="Times New Roman" w:hAnsi="Times New Roman" w:eastAsia="Times New Roman" w:cs="Times New Roman"/>
          <w:spacing w:val="15"/>
          <w:sz w:val="19"/>
          <w:szCs w:val="19"/>
        </w:rPr>
        <w:t xml:space="preserve"> </w:t>
      </w:r>
      <w:r>
        <w:rPr>
          <w:rFonts w:ascii="Times New Roman" w:hAnsi="Times New Roman" w:eastAsia="Times New Roman" w:cs="Times New Roman"/>
          <w:sz w:val="19"/>
          <w:szCs w:val="19"/>
        </w:rPr>
        <w:t>of a</w:t>
      </w:r>
      <w:r>
        <w:rPr>
          <w:rFonts w:ascii="Times New Roman" w:hAnsi="Times New Roman" w:eastAsia="Times New Roman" w:cs="Times New Roman"/>
          <w:spacing w:val="15"/>
          <w:w w:val="101"/>
          <w:sz w:val="19"/>
          <w:szCs w:val="19"/>
        </w:rPr>
        <w:t xml:space="preserve"> </w:t>
      </w:r>
      <w:r>
        <w:rPr>
          <w:rFonts w:ascii="Times New Roman" w:hAnsi="Times New Roman" w:eastAsia="Times New Roman" w:cs="Times New Roman"/>
          <w:sz w:val="19"/>
          <w:szCs w:val="19"/>
        </w:rPr>
        <w:t>causal relationship than</w:t>
      </w:r>
      <w:r>
        <w:rPr>
          <w:rFonts w:ascii="Times New Roman" w:hAnsi="Times New Roman" w:eastAsia="Times New Roman" w:cs="Times New Roman"/>
          <w:spacing w:val="15"/>
          <w:w w:val="101"/>
          <w:sz w:val="19"/>
          <w:szCs w:val="19"/>
        </w:rPr>
        <w:t xml:space="preserve"> </w:t>
      </w:r>
      <w:r>
        <w:rPr>
          <w:rFonts w:ascii="Times New Roman" w:hAnsi="Times New Roman" w:eastAsia="Times New Roman" w:cs="Times New Roman"/>
          <w:sz w:val="19"/>
          <w:szCs w:val="19"/>
        </w:rPr>
        <w:t>c</w:t>
      </w:r>
      <w:r>
        <w:rPr>
          <w:rFonts w:ascii="Times New Roman" w:hAnsi="Times New Roman" w:eastAsia="Times New Roman" w:cs="Times New Roman"/>
          <w:spacing w:val="-1"/>
          <w:sz w:val="19"/>
          <w:szCs w:val="19"/>
        </w:rPr>
        <w:t>ohort</w:t>
      </w:r>
      <w:r>
        <w:rPr>
          <w:rFonts w:ascii="Times New Roman" w:hAnsi="Times New Roman" w:eastAsia="Times New Roman" w:cs="Times New Roman"/>
          <w:spacing w:val="18"/>
          <w:sz w:val="19"/>
          <w:szCs w:val="19"/>
        </w:rPr>
        <w:t xml:space="preserve"> </w:t>
      </w:r>
      <w:r>
        <w:rPr>
          <w:rFonts w:ascii="Times New Roman" w:hAnsi="Times New Roman" w:eastAsia="Times New Roman" w:cs="Times New Roman"/>
          <w:spacing w:val="-1"/>
          <w:sz w:val="19"/>
          <w:szCs w:val="19"/>
        </w:rPr>
        <w:t>study.</w:t>
      </w:r>
    </w:p>
    <w:p w14:paraId="4E2BE2EE">
      <w:pPr>
        <w:spacing w:line="314" w:lineRule="auto"/>
        <w:rPr>
          <w:rFonts w:ascii="Arial"/>
          <w:sz w:val="21"/>
        </w:rPr>
      </w:pPr>
    </w:p>
    <w:p w14:paraId="49E7679D">
      <w:pPr>
        <w:spacing w:before="62" w:line="368" w:lineRule="auto"/>
        <w:ind w:left="650" w:right="13" w:firstLine="399"/>
        <w:jc w:val="both"/>
        <w:rPr>
          <w:rFonts w:ascii="宋体" w:hAnsi="宋体" w:eastAsia="宋体" w:cs="宋体"/>
          <w:sz w:val="19"/>
          <w:szCs w:val="19"/>
        </w:rPr>
      </w:pPr>
      <w:r>
        <w:rPr>
          <w:rFonts w:ascii="宋体" w:hAnsi="宋体" w:eastAsia="宋体" w:cs="宋体"/>
          <w:spacing w:val="10"/>
          <w:sz w:val="19"/>
          <w:szCs w:val="19"/>
        </w:rPr>
        <w:t>病例对照研究</w:t>
      </w:r>
      <w:r>
        <w:rPr>
          <w:rFonts w:ascii="Times New Roman" w:hAnsi="Times New Roman" w:eastAsia="Times New Roman" w:cs="Times New Roman"/>
          <w:spacing w:val="10"/>
          <w:sz w:val="19"/>
          <w:szCs w:val="19"/>
        </w:rPr>
        <w:t>(</w:t>
      </w:r>
      <w:r>
        <w:rPr>
          <w:rFonts w:ascii="Times New Roman" w:hAnsi="Times New Roman" w:eastAsia="Times New Roman" w:cs="Times New Roman"/>
          <w:sz w:val="19"/>
          <w:szCs w:val="19"/>
        </w:rPr>
        <w:t>case</w:t>
      </w:r>
      <w:r>
        <w:rPr>
          <w:rFonts w:ascii="Times New Roman" w:hAnsi="Times New Roman" w:eastAsia="Times New Roman" w:cs="Times New Roman"/>
          <w:spacing w:val="10"/>
          <w:sz w:val="19"/>
          <w:szCs w:val="19"/>
        </w:rPr>
        <w:t>-</w:t>
      </w:r>
      <w:r>
        <w:rPr>
          <w:rFonts w:ascii="Times New Roman" w:hAnsi="Times New Roman" w:eastAsia="Times New Roman" w:cs="Times New Roman"/>
          <w:sz w:val="19"/>
          <w:szCs w:val="19"/>
        </w:rPr>
        <w:t>control</w:t>
      </w:r>
      <w:r>
        <w:rPr>
          <w:rFonts w:ascii="Times New Roman" w:hAnsi="Times New Roman" w:eastAsia="Times New Roman" w:cs="Times New Roman"/>
          <w:spacing w:val="10"/>
          <w:sz w:val="19"/>
          <w:szCs w:val="19"/>
        </w:rPr>
        <w:t xml:space="preserve">    </w:t>
      </w:r>
      <w:r>
        <w:rPr>
          <w:rFonts w:ascii="Times New Roman" w:hAnsi="Times New Roman" w:eastAsia="Times New Roman" w:cs="Times New Roman"/>
          <w:sz w:val="19"/>
          <w:szCs w:val="19"/>
        </w:rPr>
        <w:t>study</w:t>
      </w:r>
      <w:r>
        <w:rPr>
          <w:rFonts w:ascii="Times New Roman" w:hAnsi="Times New Roman" w:eastAsia="Times New Roman" w:cs="Times New Roman"/>
          <w:spacing w:val="10"/>
          <w:sz w:val="19"/>
          <w:szCs w:val="19"/>
        </w:rPr>
        <w:t>)</w:t>
      </w:r>
      <w:r>
        <w:rPr>
          <w:rFonts w:ascii="宋体" w:hAnsi="宋体" w:eastAsia="宋体" w:cs="宋体"/>
          <w:spacing w:val="10"/>
          <w:sz w:val="19"/>
          <w:szCs w:val="19"/>
        </w:rPr>
        <w:t>是最常用的分析流行病学研究方法之一，主要用于探索疾病</w:t>
      </w:r>
      <w:r>
        <w:rPr>
          <w:rFonts w:ascii="宋体" w:hAnsi="宋体" w:eastAsia="宋体" w:cs="宋体"/>
          <w:spacing w:val="12"/>
          <w:sz w:val="19"/>
          <w:szCs w:val="19"/>
        </w:rPr>
        <w:t xml:space="preserve"> </w:t>
      </w:r>
      <w:r>
        <w:rPr>
          <w:rFonts w:ascii="宋体" w:hAnsi="宋体" w:eastAsia="宋体" w:cs="宋体"/>
          <w:spacing w:val="8"/>
          <w:sz w:val="19"/>
          <w:szCs w:val="19"/>
        </w:rPr>
        <w:t>的病因或危险因素和检验病因假设。与队列研究相比，病例对照研究具有省时、省力、出结果快的</w:t>
      </w:r>
      <w:r>
        <w:rPr>
          <w:rFonts w:ascii="宋体" w:hAnsi="宋体" w:eastAsia="宋体" w:cs="宋体"/>
          <w:spacing w:val="10"/>
          <w:sz w:val="19"/>
          <w:szCs w:val="19"/>
        </w:rPr>
        <w:t xml:space="preserve"> </w:t>
      </w:r>
      <w:r>
        <w:rPr>
          <w:rFonts w:ascii="宋体" w:hAnsi="宋体" w:eastAsia="宋体" w:cs="宋体"/>
          <w:spacing w:val="5"/>
          <w:sz w:val="19"/>
          <w:szCs w:val="19"/>
        </w:rPr>
        <w:t>优点，特别适用于罕见病的病因或危险因素研究，在实际工作中应用更为广泛。</w:t>
      </w:r>
    </w:p>
    <w:p w14:paraId="3B48AC10">
      <w:pPr>
        <w:spacing w:line="393" w:lineRule="auto"/>
        <w:rPr>
          <w:rFonts w:ascii="Arial"/>
          <w:sz w:val="21"/>
        </w:rPr>
      </w:pPr>
    </w:p>
    <w:p w14:paraId="190456AB">
      <w:pPr>
        <w:pStyle w:val="2"/>
        <w:spacing w:before="88" w:line="221" w:lineRule="auto"/>
        <w:ind w:left="3913"/>
        <w:outlineLvl w:val="1"/>
        <w:rPr>
          <w:sz w:val="27"/>
          <w:szCs w:val="27"/>
        </w:rPr>
      </w:pPr>
      <w:bookmarkStart w:id="124" w:name="bookmark78"/>
      <w:bookmarkEnd w:id="124"/>
      <w:r>
        <w:rPr>
          <w:b/>
          <w:bCs/>
          <w:spacing w:val="1"/>
          <w:sz w:val="27"/>
          <w:szCs w:val="27"/>
        </w:rPr>
        <w:t>第一节</w:t>
      </w:r>
      <w:r>
        <w:rPr>
          <w:spacing w:val="127"/>
          <w:sz w:val="27"/>
          <w:szCs w:val="27"/>
        </w:rPr>
        <w:t xml:space="preserve"> </w:t>
      </w:r>
      <w:r>
        <w:rPr>
          <w:b/>
          <w:bCs/>
          <w:spacing w:val="1"/>
          <w:sz w:val="27"/>
          <w:szCs w:val="27"/>
        </w:rPr>
        <w:t>概</w:t>
      </w:r>
      <w:r>
        <w:rPr>
          <w:spacing w:val="13"/>
          <w:sz w:val="27"/>
          <w:szCs w:val="27"/>
        </w:rPr>
        <w:t xml:space="preserve">  </w:t>
      </w:r>
      <w:r>
        <w:rPr>
          <w:b/>
          <w:bCs/>
          <w:spacing w:val="1"/>
          <w:sz w:val="27"/>
          <w:szCs w:val="27"/>
        </w:rPr>
        <w:t>述</w:t>
      </w:r>
    </w:p>
    <w:p w14:paraId="493E52DA">
      <w:pPr>
        <w:spacing w:line="360" w:lineRule="auto"/>
        <w:rPr>
          <w:rFonts w:ascii="Arial"/>
          <w:sz w:val="21"/>
        </w:rPr>
      </w:pPr>
    </w:p>
    <w:p w14:paraId="68A81BB9">
      <w:pPr>
        <w:pStyle w:val="2"/>
        <w:spacing w:before="88" w:line="223" w:lineRule="auto"/>
        <w:ind w:left="1053"/>
        <w:outlineLvl w:val="2"/>
        <w:rPr>
          <w:sz w:val="27"/>
          <w:szCs w:val="27"/>
        </w:rPr>
      </w:pPr>
      <w:bookmarkStart w:id="125" w:name="bookmark79"/>
      <w:bookmarkEnd w:id="125"/>
      <w:r>
        <w:rPr>
          <w:b/>
          <w:bCs/>
          <w:spacing w:val="-27"/>
          <w:sz w:val="27"/>
          <w:szCs w:val="27"/>
        </w:rPr>
        <w:t>一、基本原理</w:t>
      </w:r>
    </w:p>
    <w:p w14:paraId="5A2EEFE4">
      <w:pPr>
        <w:spacing w:before="276" w:line="350" w:lineRule="auto"/>
        <w:ind w:left="650" w:firstLine="399"/>
        <w:jc w:val="both"/>
        <w:rPr>
          <w:rFonts w:ascii="宋体" w:hAnsi="宋体" w:eastAsia="宋体" w:cs="宋体"/>
          <w:sz w:val="19"/>
          <w:szCs w:val="19"/>
        </w:rPr>
      </w:pPr>
      <w:r>
        <w:rPr>
          <w:rFonts w:ascii="宋体" w:hAnsi="宋体" w:eastAsia="宋体" w:cs="宋体"/>
          <w:spacing w:val="14"/>
          <w:sz w:val="19"/>
          <w:szCs w:val="19"/>
        </w:rPr>
        <w:t>病例对照研究是以当前已确诊患有某特定疾病的一组病人作为病</w:t>
      </w:r>
      <w:r>
        <w:rPr>
          <w:rFonts w:ascii="宋体" w:hAnsi="宋体" w:eastAsia="宋体" w:cs="宋体"/>
          <w:spacing w:val="13"/>
          <w:sz w:val="19"/>
          <w:szCs w:val="19"/>
        </w:rPr>
        <w:t>例组，以不患有该病但具有</w:t>
      </w:r>
      <w:r>
        <w:rPr>
          <w:rFonts w:ascii="宋体" w:hAnsi="宋体" w:eastAsia="宋体" w:cs="宋体"/>
          <w:sz w:val="19"/>
          <w:szCs w:val="19"/>
        </w:rPr>
        <w:t xml:space="preserve"> </w:t>
      </w:r>
      <w:r>
        <w:rPr>
          <w:rFonts w:ascii="宋体" w:hAnsi="宋体" w:eastAsia="宋体" w:cs="宋体"/>
          <w:spacing w:val="9"/>
          <w:sz w:val="19"/>
          <w:szCs w:val="19"/>
        </w:rPr>
        <w:t>可比性的一组个体作为对照组，通过询问、实验室检查或复查病史，搜集研究</w:t>
      </w:r>
      <w:r>
        <w:rPr>
          <w:rFonts w:ascii="宋体" w:hAnsi="宋体" w:eastAsia="宋体" w:cs="宋体"/>
          <w:spacing w:val="8"/>
          <w:sz w:val="19"/>
          <w:szCs w:val="19"/>
        </w:rPr>
        <w:t>对象既往各种可能危</w:t>
      </w:r>
      <w:r>
        <w:rPr>
          <w:rFonts w:ascii="宋体" w:hAnsi="宋体" w:eastAsia="宋体" w:cs="宋体"/>
          <w:sz w:val="19"/>
          <w:szCs w:val="19"/>
        </w:rPr>
        <w:t xml:space="preserve"> </w:t>
      </w:r>
      <w:r>
        <w:rPr>
          <w:rFonts w:ascii="宋体" w:hAnsi="宋体" w:eastAsia="宋体" w:cs="宋体"/>
          <w:spacing w:val="14"/>
          <w:sz w:val="19"/>
          <w:szCs w:val="19"/>
        </w:rPr>
        <w:t>险因素的暴露史，采用统计学检验比较两组各因素暴露比例</w:t>
      </w:r>
      <w:r>
        <w:rPr>
          <w:rFonts w:ascii="宋体" w:hAnsi="宋体" w:eastAsia="宋体" w:cs="宋体"/>
          <w:spacing w:val="13"/>
          <w:sz w:val="19"/>
          <w:szCs w:val="19"/>
        </w:rPr>
        <w:t>的差异是否具有统计学意义。如果病</w:t>
      </w:r>
      <w:r>
        <w:rPr>
          <w:rFonts w:ascii="宋体" w:hAnsi="宋体" w:eastAsia="宋体" w:cs="宋体"/>
          <w:sz w:val="19"/>
          <w:szCs w:val="19"/>
        </w:rPr>
        <w:t xml:space="preserve"> </w:t>
      </w:r>
      <w:r>
        <w:rPr>
          <w:rFonts w:ascii="宋体" w:hAnsi="宋体" w:eastAsia="宋体" w:cs="宋体"/>
          <w:spacing w:val="9"/>
          <w:sz w:val="19"/>
          <w:szCs w:val="19"/>
        </w:rPr>
        <w:t>例组的暴露比例高于对照组，说明该暴露可能会增加疾病发生的危险；反之</w:t>
      </w:r>
      <w:r>
        <w:rPr>
          <w:rFonts w:ascii="宋体" w:hAnsi="宋体" w:eastAsia="宋体" w:cs="宋体"/>
          <w:spacing w:val="8"/>
          <w:sz w:val="19"/>
          <w:szCs w:val="19"/>
        </w:rPr>
        <w:t>，该暴露可能会降低疾</w:t>
      </w:r>
      <w:r>
        <w:rPr>
          <w:rFonts w:ascii="宋体" w:hAnsi="宋体" w:eastAsia="宋体" w:cs="宋体"/>
          <w:sz w:val="19"/>
          <w:szCs w:val="19"/>
        </w:rPr>
        <w:t xml:space="preserve"> </w:t>
      </w:r>
      <w:r>
        <w:rPr>
          <w:rFonts w:ascii="宋体" w:hAnsi="宋体" w:eastAsia="宋体" w:cs="宋体"/>
          <w:spacing w:val="9"/>
          <w:sz w:val="19"/>
          <w:szCs w:val="19"/>
        </w:rPr>
        <w:t>病发生的危险。然后评估各种偏倚对研究结果的影响，并借助病因推断技术</w:t>
      </w:r>
      <w:r>
        <w:rPr>
          <w:rFonts w:ascii="宋体" w:hAnsi="宋体" w:eastAsia="宋体" w:cs="宋体"/>
          <w:spacing w:val="8"/>
          <w:sz w:val="19"/>
          <w:szCs w:val="19"/>
        </w:rPr>
        <w:t>，判断某个或某些暴露</w:t>
      </w:r>
      <w:r>
        <w:rPr>
          <w:rFonts w:ascii="宋体" w:hAnsi="宋体" w:eastAsia="宋体" w:cs="宋体"/>
          <w:sz w:val="19"/>
          <w:szCs w:val="19"/>
        </w:rPr>
        <w:t xml:space="preserve"> </w:t>
      </w:r>
      <w:r>
        <w:rPr>
          <w:rFonts w:ascii="宋体" w:hAnsi="宋体" w:eastAsia="宋体" w:cs="宋体"/>
          <w:spacing w:val="14"/>
          <w:sz w:val="19"/>
          <w:szCs w:val="19"/>
        </w:rPr>
        <w:t>因素是否为疾病的危险因素，从而达到探索和检</w:t>
      </w:r>
      <w:r>
        <w:rPr>
          <w:rFonts w:ascii="宋体" w:hAnsi="宋体" w:eastAsia="宋体" w:cs="宋体"/>
          <w:spacing w:val="13"/>
          <w:sz w:val="19"/>
          <w:szCs w:val="19"/>
        </w:rPr>
        <w:t>验病因假说的目的。该方法是一种由果及因的分</w:t>
      </w:r>
      <w:r>
        <w:rPr>
          <w:rFonts w:ascii="宋体" w:hAnsi="宋体" w:eastAsia="宋体" w:cs="宋体"/>
          <w:sz w:val="19"/>
          <w:szCs w:val="19"/>
        </w:rPr>
        <w:t xml:space="preserve"> </w:t>
      </w:r>
      <w:r>
        <w:rPr>
          <w:rFonts w:ascii="宋体" w:hAnsi="宋体" w:eastAsia="宋体" w:cs="宋体"/>
          <w:spacing w:val="8"/>
          <w:sz w:val="19"/>
          <w:szCs w:val="19"/>
        </w:rPr>
        <w:t>析性研究，是在疾病发生之后追溯假定的病因因素的方法，可在一定程度上检验病因假设。其基本</w:t>
      </w:r>
      <w:r>
        <w:rPr>
          <w:rFonts w:ascii="宋体" w:hAnsi="宋体" w:eastAsia="宋体" w:cs="宋体"/>
          <w:spacing w:val="3"/>
          <w:sz w:val="19"/>
          <w:szCs w:val="19"/>
        </w:rPr>
        <w:t xml:space="preserve"> </w:t>
      </w:r>
      <w:r>
        <w:rPr>
          <w:rFonts w:ascii="宋体" w:hAnsi="宋体" w:eastAsia="宋体" w:cs="宋体"/>
          <w:spacing w:val="10"/>
          <w:sz w:val="19"/>
          <w:szCs w:val="19"/>
        </w:rPr>
        <w:t>原理见图5-1。</w:t>
      </w:r>
    </w:p>
    <w:p w14:paraId="0EE1FA62">
      <w:pPr>
        <w:pStyle w:val="2"/>
        <w:spacing w:before="194" w:line="222" w:lineRule="auto"/>
        <w:ind w:left="1053"/>
        <w:outlineLvl w:val="2"/>
        <w:rPr>
          <w:sz w:val="27"/>
          <w:szCs w:val="27"/>
        </w:rPr>
      </w:pPr>
      <w:bookmarkStart w:id="126" w:name="bookmark80"/>
      <w:bookmarkEnd w:id="126"/>
      <w:r>
        <w:rPr>
          <w:b/>
          <w:bCs/>
          <w:spacing w:val="-30"/>
          <w:sz w:val="27"/>
          <w:szCs w:val="27"/>
        </w:rPr>
        <w:t>二、基本特点</w:t>
      </w:r>
    </w:p>
    <w:p w14:paraId="541BFA27">
      <w:pPr>
        <w:spacing w:before="276" w:line="219" w:lineRule="auto"/>
        <w:ind w:left="1050"/>
        <w:rPr>
          <w:rFonts w:ascii="宋体" w:hAnsi="宋体" w:eastAsia="宋体" w:cs="宋体"/>
          <w:sz w:val="19"/>
          <w:szCs w:val="19"/>
        </w:rPr>
      </w:pPr>
      <w:r>
        <w:rPr>
          <w:rFonts w:ascii="宋体" w:hAnsi="宋体" w:eastAsia="宋体" w:cs="宋体"/>
          <w:spacing w:val="7"/>
          <w:sz w:val="19"/>
          <w:szCs w:val="19"/>
        </w:rPr>
        <w:t>病例对照研究的基本特点可概括如下：</w:t>
      </w:r>
    </w:p>
    <w:p w14:paraId="5F7CA458">
      <w:pPr>
        <w:spacing w:line="219" w:lineRule="auto"/>
        <w:rPr>
          <w:rFonts w:ascii="宋体" w:hAnsi="宋体" w:eastAsia="宋体" w:cs="宋体"/>
          <w:sz w:val="19"/>
          <w:szCs w:val="19"/>
        </w:rPr>
        <w:sectPr>
          <w:footerReference r:id="rId94" w:type="default"/>
          <w:pgSz w:w="11900" w:h="16820"/>
          <w:pgMar w:top="400" w:right="1706" w:bottom="818" w:left="989" w:header="0" w:footer="665" w:gutter="0"/>
          <w:cols w:space="720" w:num="1"/>
        </w:sectPr>
      </w:pPr>
    </w:p>
    <w:p w14:paraId="65251852">
      <w:pPr>
        <w:spacing w:line="287" w:lineRule="auto"/>
        <w:rPr>
          <w:rFonts w:ascii="Arial"/>
          <w:sz w:val="21"/>
        </w:rPr>
      </w:pPr>
    </w:p>
    <w:p w14:paraId="67E59B43">
      <w:pPr>
        <w:pStyle w:val="2"/>
        <w:spacing w:before="68" w:line="222" w:lineRule="auto"/>
        <w:ind w:left="7500"/>
        <w:rPr>
          <w:sz w:val="21"/>
          <w:szCs w:val="21"/>
        </w:rPr>
      </w:pPr>
      <w:r>
        <w:rPr>
          <w:spacing w:val="-20"/>
          <w:sz w:val="21"/>
          <w:szCs w:val="21"/>
        </w:rPr>
        <w:t>第五章 病例对照研究</w:t>
      </w:r>
    </w:p>
    <w:p w14:paraId="4D5F5389">
      <w:pPr>
        <w:spacing w:before="34"/>
      </w:pPr>
    </w:p>
    <w:p w14:paraId="0B9D4759">
      <w:pPr>
        <w:spacing w:before="33"/>
      </w:pPr>
    </w:p>
    <w:p w14:paraId="01D6283F">
      <w:pPr>
        <w:sectPr>
          <w:footerReference r:id="rId95" w:type="default"/>
          <w:pgSz w:w="11900" w:h="16820"/>
          <w:pgMar w:top="400" w:right="639" w:bottom="886" w:left="1299" w:header="0" w:footer="697" w:gutter="0"/>
          <w:cols w:equalWidth="0" w:num="1">
            <w:col w:w="9961"/>
          </w:cols>
        </w:sectPr>
      </w:pPr>
    </w:p>
    <w:p w14:paraId="15CB7C49">
      <w:pPr>
        <w:spacing w:line="375" w:lineRule="auto"/>
        <w:rPr>
          <w:rFonts w:ascii="Arial"/>
          <w:sz w:val="21"/>
        </w:rPr>
      </w:pPr>
    </w:p>
    <w:p w14:paraId="571226A1">
      <w:pPr>
        <w:spacing w:before="62" w:line="221" w:lineRule="auto"/>
        <w:ind w:left="1900"/>
        <w:rPr>
          <w:rFonts w:ascii="宋体" w:hAnsi="宋体" w:eastAsia="宋体" w:cs="宋体"/>
          <w:sz w:val="19"/>
          <w:szCs w:val="19"/>
        </w:rPr>
      </w:pPr>
      <w:r>
        <w:rPr>
          <w:rFonts w:ascii="宋体" w:hAnsi="宋体" w:eastAsia="宋体" w:cs="宋体"/>
          <w:spacing w:val="-1"/>
          <w:sz w:val="19"/>
          <w:szCs w:val="19"/>
        </w:rPr>
        <w:t>比较</w:t>
      </w:r>
    </w:p>
    <w:p w14:paraId="7DC6168D">
      <w:pPr>
        <w:spacing w:line="14" w:lineRule="auto"/>
        <w:rPr>
          <w:rFonts w:ascii="Arial"/>
          <w:sz w:val="2"/>
        </w:rPr>
      </w:pPr>
      <w:r>
        <w:rPr>
          <w:rFonts w:ascii="Arial" w:hAnsi="Arial" w:eastAsia="Arial" w:cs="Arial"/>
          <w:sz w:val="2"/>
          <w:szCs w:val="2"/>
        </w:rPr>
        <w:br w:type="column"/>
      </w:r>
    </w:p>
    <w:p w14:paraId="52983018">
      <w:pPr>
        <w:spacing w:before="41" w:line="385" w:lineRule="auto"/>
        <w:ind w:right="1078" w:firstLine="609"/>
        <w:rPr>
          <w:rFonts w:ascii="宋体" w:hAnsi="宋体" w:eastAsia="宋体" w:cs="宋体"/>
          <w:sz w:val="19"/>
          <w:szCs w:val="19"/>
        </w:rPr>
      </w:pPr>
      <w:r>
        <w:rPr>
          <w:rFonts w:ascii="宋体" w:hAnsi="宋体" w:eastAsia="宋体" w:cs="宋体"/>
          <w:spacing w:val="15"/>
          <w:sz w:val="19"/>
          <w:szCs w:val="19"/>
        </w:rPr>
        <w:t>过去</w:t>
      </w:r>
      <w:r>
        <w:rPr>
          <w:rFonts w:ascii="宋体" w:hAnsi="宋体" w:eastAsia="宋体" w:cs="宋体"/>
          <w:sz w:val="19"/>
          <w:szCs w:val="19"/>
        </w:rPr>
        <w:t xml:space="preserve"> </w:t>
      </w:r>
      <w:r>
        <w:rPr>
          <w:rFonts w:ascii="宋体" w:hAnsi="宋体" w:eastAsia="宋体" w:cs="宋体"/>
          <w:spacing w:val="15"/>
          <w:sz w:val="19"/>
          <w:szCs w:val="19"/>
        </w:rPr>
        <w:t>人数</w:t>
      </w:r>
      <w:r>
        <w:rPr>
          <w:rFonts w:ascii="宋体" w:hAnsi="宋体" w:eastAsia="宋体" w:cs="宋体"/>
          <w:spacing w:val="83"/>
          <w:sz w:val="19"/>
          <w:szCs w:val="19"/>
        </w:rPr>
        <w:t xml:space="preserve"> </w:t>
      </w:r>
      <w:r>
        <w:rPr>
          <w:rFonts w:ascii="宋体" w:hAnsi="宋体" w:eastAsia="宋体" w:cs="宋体"/>
          <w:spacing w:val="15"/>
          <w:sz w:val="19"/>
          <w:szCs w:val="19"/>
        </w:rPr>
        <w:t>暴露</w:t>
      </w:r>
    </w:p>
    <w:p w14:paraId="096FB074">
      <w:pPr>
        <w:spacing w:line="14" w:lineRule="auto"/>
        <w:rPr>
          <w:rFonts w:ascii="Arial"/>
          <w:sz w:val="2"/>
        </w:rPr>
      </w:pPr>
      <w:r>
        <w:rPr>
          <w:rFonts w:ascii="Arial" w:hAnsi="Arial" w:eastAsia="Arial" w:cs="Arial"/>
          <w:sz w:val="2"/>
          <w:szCs w:val="2"/>
        </w:rPr>
        <w:br w:type="column"/>
      </w:r>
    </w:p>
    <w:p w14:paraId="26228FDF">
      <w:pPr>
        <w:spacing w:before="35" w:line="428" w:lineRule="auto"/>
        <w:ind w:right="1389"/>
        <w:rPr>
          <w:rFonts w:ascii="宋体" w:hAnsi="宋体" w:eastAsia="宋体" w:cs="宋体"/>
          <w:sz w:val="19"/>
          <w:szCs w:val="19"/>
        </w:rPr>
      </w:pPr>
      <w:r>
        <w:rPr>
          <w:rFonts w:ascii="宋体" w:hAnsi="宋体" w:eastAsia="宋体" w:cs="宋体"/>
          <w:spacing w:val="15"/>
          <w:sz w:val="19"/>
          <w:szCs w:val="19"/>
        </w:rPr>
        <w:t>现在</w:t>
      </w:r>
      <w:r>
        <w:rPr>
          <w:rFonts w:ascii="宋体" w:hAnsi="宋体" w:eastAsia="宋体" w:cs="宋体"/>
          <w:sz w:val="19"/>
          <w:szCs w:val="19"/>
        </w:rPr>
        <w:t xml:space="preserve"> </w:t>
      </w:r>
      <w:r>
        <w:rPr>
          <w:rFonts w:ascii="宋体" w:hAnsi="宋体" w:eastAsia="宋体" w:cs="宋体"/>
          <w:spacing w:val="21"/>
          <w:sz w:val="19"/>
          <w:szCs w:val="19"/>
        </w:rPr>
        <w:t>疾病</w:t>
      </w:r>
    </w:p>
    <w:p w14:paraId="0CD966A5">
      <w:pPr>
        <w:spacing w:line="14" w:lineRule="auto"/>
        <w:rPr>
          <w:rFonts w:ascii="Arial"/>
          <w:sz w:val="2"/>
        </w:rPr>
      </w:pPr>
      <w:r>
        <w:rPr>
          <w:rFonts w:ascii="Arial" w:hAnsi="Arial" w:eastAsia="Arial" w:cs="Arial"/>
          <w:sz w:val="2"/>
          <w:szCs w:val="2"/>
        </w:rPr>
        <w:br w:type="column"/>
      </w:r>
    </w:p>
    <w:p w14:paraId="125B43FB">
      <w:pPr>
        <w:spacing w:before="64" w:line="221" w:lineRule="auto"/>
        <w:rPr>
          <w:rFonts w:ascii="宋体" w:hAnsi="宋体" w:eastAsia="宋体" w:cs="宋体"/>
          <w:sz w:val="19"/>
          <w:szCs w:val="19"/>
        </w:rPr>
      </w:pPr>
      <w:r>
        <w:rPr>
          <w:rFonts w:ascii="宋体" w:hAnsi="宋体" w:eastAsia="宋体" w:cs="宋体"/>
          <w:b/>
          <w:bCs/>
          <w:spacing w:val="-4"/>
          <w:sz w:val="19"/>
          <w:szCs w:val="19"/>
        </w:rPr>
        <w:t>调查方向</w:t>
      </w:r>
    </w:p>
    <w:p w14:paraId="2F4F590F">
      <w:pPr>
        <w:spacing w:line="221" w:lineRule="auto"/>
        <w:rPr>
          <w:rFonts w:ascii="宋体" w:hAnsi="宋体" w:eastAsia="宋体" w:cs="宋体"/>
          <w:sz w:val="19"/>
          <w:szCs w:val="19"/>
        </w:rPr>
        <w:sectPr>
          <w:type w:val="continuous"/>
          <w:pgSz w:w="11900" w:h="16820"/>
          <w:pgMar w:top="400" w:right="639" w:bottom="886" w:left="1299" w:header="0" w:footer="697" w:gutter="0"/>
          <w:cols w:equalWidth="0" w:num="4">
            <w:col w:w="2381" w:space="100"/>
            <w:col w:w="2100" w:space="100"/>
            <w:col w:w="1813" w:space="100"/>
            <w:col w:w="3369"/>
          </w:cols>
        </w:sectPr>
      </w:pPr>
    </w:p>
    <w:p w14:paraId="19AEE454">
      <w:pPr>
        <w:spacing w:line="69" w:lineRule="exact"/>
      </w:pPr>
    </w:p>
    <w:p w14:paraId="4F10D3CE">
      <w:pPr>
        <w:spacing w:line="69" w:lineRule="exact"/>
        <w:sectPr>
          <w:type w:val="continuous"/>
          <w:pgSz w:w="11900" w:h="16820"/>
          <w:pgMar w:top="400" w:right="639" w:bottom="886" w:left="1299" w:header="0" w:footer="697" w:gutter="0"/>
          <w:cols w:equalWidth="0" w:num="1">
            <w:col w:w="9961"/>
          </w:cols>
        </w:sectPr>
      </w:pPr>
    </w:p>
    <w:p w14:paraId="4EE0E26F">
      <w:pPr>
        <w:spacing w:before="248"/>
        <w:ind w:left="2650"/>
        <w:rPr>
          <w:rFonts w:ascii="宋体" w:hAnsi="宋体" w:eastAsia="宋体" w:cs="宋体"/>
          <w:sz w:val="11"/>
          <w:szCs w:val="11"/>
        </w:rPr>
      </w:pPr>
      <w:r>
        <w:rPr>
          <w:rFonts w:ascii="宋体" w:hAnsi="宋体" w:eastAsia="宋体" w:cs="宋体"/>
          <w:sz w:val="11"/>
          <w:szCs w:val="11"/>
        </w:rPr>
        <w:t>a</w:t>
      </w:r>
    </w:p>
    <w:p w14:paraId="7765D643">
      <w:pPr>
        <w:spacing w:line="258" w:lineRule="auto"/>
        <w:rPr>
          <w:rFonts w:ascii="Arial"/>
          <w:sz w:val="21"/>
        </w:rPr>
      </w:pPr>
    </w:p>
    <w:p w14:paraId="024FF867">
      <w:pPr>
        <w:spacing w:before="62" w:line="222" w:lineRule="auto"/>
        <w:ind w:left="1780"/>
        <w:rPr>
          <w:rFonts w:ascii="宋体" w:hAnsi="宋体" w:eastAsia="宋体" w:cs="宋体"/>
          <w:sz w:val="19"/>
          <w:szCs w:val="19"/>
        </w:rPr>
      </w:pPr>
      <w:r>
        <w:rPr>
          <w:rFonts w:ascii="宋体" w:hAnsi="宋体" w:eastAsia="宋体" w:cs="宋体"/>
          <w:spacing w:val="-6"/>
          <w:sz w:val="19"/>
          <w:szCs w:val="19"/>
        </w:rPr>
        <w:t>a/(a+c)</w:t>
      </w:r>
    </w:p>
    <w:p w14:paraId="5B29B690">
      <w:pPr>
        <w:spacing w:before="276"/>
        <w:ind w:left="2650"/>
        <w:rPr>
          <w:rFonts w:ascii="宋体" w:hAnsi="宋体" w:eastAsia="宋体" w:cs="宋体"/>
          <w:sz w:val="11"/>
          <w:szCs w:val="11"/>
        </w:rPr>
      </w:pPr>
      <w:r>
        <w:rPr>
          <w:rFonts w:ascii="宋体" w:hAnsi="宋体" w:eastAsia="宋体" w:cs="宋体"/>
          <w:sz w:val="11"/>
          <w:szCs w:val="11"/>
        </w:rPr>
        <w:t>c</w:t>
      </w:r>
    </w:p>
    <w:p w14:paraId="6F3976D9">
      <w:pPr>
        <w:spacing w:line="325" w:lineRule="auto"/>
        <w:rPr>
          <w:rFonts w:ascii="Arial"/>
          <w:sz w:val="21"/>
        </w:rPr>
      </w:pPr>
    </w:p>
    <w:p w14:paraId="1EAB21E5">
      <w:pPr>
        <w:spacing w:before="62"/>
        <w:ind w:left="2630"/>
        <w:rPr>
          <w:rFonts w:ascii="宋体" w:hAnsi="宋体" w:eastAsia="宋体" w:cs="宋体"/>
          <w:sz w:val="19"/>
          <w:szCs w:val="19"/>
        </w:rPr>
      </w:pPr>
      <w:r>
        <w:rPr>
          <w:rFonts w:ascii="宋体" w:hAnsi="宋体" w:eastAsia="宋体" w:cs="宋体"/>
          <w:sz w:val="19"/>
          <w:szCs w:val="19"/>
        </w:rPr>
        <w:t>b</w:t>
      </w:r>
    </w:p>
    <w:p w14:paraId="595E57F4">
      <w:pPr>
        <w:spacing w:before="217" w:line="222" w:lineRule="auto"/>
        <w:ind w:left="1750"/>
        <w:rPr>
          <w:rFonts w:ascii="宋体" w:hAnsi="宋体" w:eastAsia="宋体" w:cs="宋体"/>
          <w:sz w:val="19"/>
          <w:szCs w:val="19"/>
        </w:rPr>
      </w:pPr>
      <w:r>
        <w:rPr>
          <w:rFonts w:ascii="宋体" w:hAnsi="宋体" w:eastAsia="宋体" w:cs="宋体"/>
          <w:spacing w:val="-1"/>
          <w:sz w:val="19"/>
          <w:szCs w:val="19"/>
        </w:rPr>
        <w:t>b/(b+d)</w:t>
      </w:r>
    </w:p>
    <w:p w14:paraId="362E637C">
      <w:pPr>
        <w:spacing w:before="237"/>
        <w:ind w:left="2640"/>
        <w:rPr>
          <w:rFonts w:ascii="宋体" w:hAnsi="宋体" w:eastAsia="宋体" w:cs="宋体"/>
          <w:sz w:val="19"/>
          <w:szCs w:val="19"/>
        </w:rPr>
      </w:pPr>
      <w:r>
        <w:rPr>
          <w:rFonts w:ascii="宋体" w:hAnsi="宋体" w:eastAsia="宋体" w:cs="宋体"/>
          <w:sz w:val="19"/>
          <w:szCs w:val="19"/>
        </w:rPr>
        <w:t>d</w:t>
      </w:r>
    </w:p>
    <w:p w14:paraId="11261862">
      <w:pPr>
        <w:spacing w:before="19"/>
      </w:pPr>
    </w:p>
    <w:p w14:paraId="0F06A01F">
      <w:pPr>
        <w:spacing w:before="18"/>
      </w:pPr>
    </w:p>
    <w:p w14:paraId="5D58B7DC">
      <w:pPr>
        <w:spacing w:line="14" w:lineRule="auto"/>
        <w:rPr>
          <w:rFonts w:ascii="Arial"/>
          <w:sz w:val="2"/>
        </w:rPr>
      </w:pPr>
      <w:r>
        <w:rPr>
          <w:rFonts w:ascii="Arial" w:hAnsi="Arial" w:eastAsia="Arial" w:cs="Arial"/>
          <w:sz w:val="2"/>
          <w:szCs w:val="2"/>
        </w:rPr>
        <w:br w:type="column"/>
      </w:r>
    </w:p>
    <w:p w14:paraId="2C0441A8">
      <w:pPr>
        <w:spacing w:before="20" w:line="3000" w:lineRule="exact"/>
      </w:pPr>
      <w:r>
        <w:rPr>
          <w:position w:val="-60"/>
        </w:rPr>
        <w:pict>
          <v:group id="_x0000_s1057" o:spid="_x0000_s1057" o:spt="203" style="height:150.05pt;width:224pt;" coordsize="4480,3001">
            <o:lock v:ext="edit"/>
            <v:shape id="_x0000_s1058" o:spid="_x0000_s1058" o:spt="75" type="#_x0000_t75" style="position:absolute;left:0;top:0;height:3001;width:4480;" filled="f" stroked="f" coordsize="21600,21600">
              <v:path/>
              <v:fill on="f" focussize="0,0"/>
              <v:stroke on="f"/>
              <v:imagedata r:id="rId496" o:title=""/>
              <o:lock v:ext="edit" aspectratio="t"/>
            </v:shape>
            <v:shape id="_x0000_s1059" o:spid="_x0000_s1059" o:spt="202" type="#_x0000_t202" style="position:absolute;left:1679;top:569;height:230;width:435;" filled="f" stroked="f" coordsize="21600,21600">
              <v:path/>
              <v:fill on="f" focussize="0,0"/>
              <v:stroke on="f"/>
              <v:imagedata o:title=""/>
              <o:lock v:ext="edit" aspectratio="f"/>
              <v:textbox inset="0mm,0mm,0mm,0mm">
                <w:txbxContent>
                  <w:p w14:paraId="60435E88">
                    <w:pPr>
                      <w:spacing w:before="19" w:line="221" w:lineRule="auto"/>
                      <w:ind w:left="20"/>
                      <w:rPr>
                        <w:rFonts w:ascii="宋体" w:hAnsi="宋体" w:eastAsia="宋体" w:cs="宋体"/>
                        <w:sz w:val="19"/>
                        <w:szCs w:val="19"/>
                      </w:rPr>
                    </w:pPr>
                    <w:r>
                      <w:rPr>
                        <w:rFonts w:ascii="宋体" w:hAnsi="宋体" w:eastAsia="宋体" w:cs="宋体"/>
                        <w:spacing w:val="7"/>
                        <w:sz w:val="19"/>
                        <w:szCs w:val="19"/>
                      </w:rPr>
                      <w:t>病例</w:t>
                    </w:r>
                  </w:p>
                </w:txbxContent>
              </v:textbox>
            </v:shape>
            <v:shape id="_x0000_s1060" o:spid="_x0000_s1060" o:spt="202" type="#_x0000_t202" style="position:absolute;left:3589;top:1397;height:230;width:639;" filled="f" stroked="f" coordsize="21600,21600">
              <v:path/>
              <v:fill on="f" focussize="0,0"/>
              <v:stroke on="f"/>
              <v:imagedata o:title=""/>
              <o:lock v:ext="edit" aspectratio="f"/>
              <v:textbox inset="0mm,0mm,0mm,0mm">
                <w:txbxContent>
                  <w:p w14:paraId="265F495B">
                    <w:pPr>
                      <w:spacing w:before="20" w:line="219" w:lineRule="auto"/>
                      <w:ind w:left="20"/>
                      <w:rPr>
                        <w:rFonts w:ascii="宋体" w:hAnsi="宋体" w:eastAsia="宋体" w:cs="宋体"/>
                        <w:sz w:val="19"/>
                        <w:szCs w:val="19"/>
                      </w:rPr>
                    </w:pPr>
                    <w:r>
                      <w:rPr>
                        <w:rFonts w:ascii="宋体" w:hAnsi="宋体" w:eastAsia="宋体" w:cs="宋体"/>
                        <w:spacing w:val="9"/>
                        <w:sz w:val="19"/>
                        <w:szCs w:val="19"/>
                      </w:rPr>
                      <w:t>源人群</w:t>
                    </w:r>
                  </w:p>
                </w:txbxContent>
              </v:textbox>
            </v:shape>
            <v:shape id="_x0000_s1061" o:spid="_x0000_s1061" o:spt="202" type="#_x0000_t202" style="position:absolute;left:239;top:2728;height:60;width:220;" filled="f" stroked="f" coordsize="21600,21600">
              <v:path/>
              <v:fill on="f" focussize="0,0"/>
              <v:stroke on="f"/>
              <v:imagedata o:title=""/>
              <o:lock v:ext="edit" aspectratio="f"/>
              <v:textbox inset="0mm,0mm,0mm,0mm">
                <w:txbxContent>
                  <w:p w14:paraId="085E92A1">
                    <w:pPr>
                      <w:spacing w:before="20" w:line="147" w:lineRule="exact"/>
                      <w:ind w:left="20"/>
                      <w:rPr>
                        <w:rFonts w:ascii="宋体" w:hAnsi="宋体" w:eastAsia="宋体" w:cs="宋体"/>
                        <w:sz w:val="19"/>
                        <w:szCs w:val="19"/>
                      </w:rPr>
                    </w:pPr>
                    <w:r>
                      <w:rPr>
                        <w:rFonts w:ascii="宋体" w:hAnsi="宋体" w:eastAsia="宋体" w:cs="宋体"/>
                        <w:position w:val="-4"/>
                        <w:sz w:val="19"/>
                        <w:szCs w:val="19"/>
                      </w:rPr>
                      <w:t>一</w:t>
                    </w:r>
                  </w:p>
                </w:txbxContent>
              </v:textbox>
            </v:shape>
            <v:shape id="_x0000_s1062" o:spid="_x0000_s1062" o:spt="202" type="#_x0000_t202" style="position:absolute;left:1679;top:2039;height:230;width:455;" filled="f" stroked="f" coordsize="21600,21600">
              <v:path/>
              <v:fill on="f" focussize="0,0"/>
              <v:stroke on="f"/>
              <v:imagedata o:title=""/>
              <o:lock v:ext="edit" aspectratio="f"/>
              <v:textbox inset="0mm,0mm,0mm,0mm">
                <w:txbxContent>
                  <w:p w14:paraId="719A0773">
                    <w:pPr>
                      <w:spacing w:before="19" w:line="221" w:lineRule="auto"/>
                      <w:ind w:left="20"/>
                      <w:rPr>
                        <w:rFonts w:ascii="宋体" w:hAnsi="宋体" w:eastAsia="宋体" w:cs="宋体"/>
                        <w:sz w:val="19"/>
                        <w:szCs w:val="19"/>
                      </w:rPr>
                    </w:pPr>
                    <w:r>
                      <w:rPr>
                        <w:rFonts w:ascii="宋体" w:hAnsi="宋体" w:eastAsia="宋体" w:cs="宋体"/>
                        <w:spacing w:val="17"/>
                        <w:sz w:val="19"/>
                        <w:szCs w:val="19"/>
                      </w:rPr>
                      <w:t>对照</w:t>
                    </w:r>
                  </w:p>
                </w:txbxContent>
              </v:textbox>
            </v:shape>
            <v:shape id="_x0000_s1063" o:spid="_x0000_s1063" o:spt="202" type="#_x0000_t202" style="position:absolute;left:-20;top:-20;height:3041;width:4520;" filled="f" stroked="f" coordsize="21600,21600">
              <v:path/>
              <v:fill on="f" focussize="0,0"/>
              <v:stroke on="f"/>
              <v:imagedata o:title=""/>
              <o:lock v:ext="edit" aspectratio="f"/>
              <v:textbox inset="0mm,0mm,0mm,0mm">
                <w:txbxContent>
                  <w:p w14:paraId="119502AB">
                    <w:pPr>
                      <w:spacing w:before="20" w:line="3000" w:lineRule="exact"/>
                      <w:ind w:firstLine="20"/>
                    </w:pPr>
                    <w:r>
                      <w:rPr>
                        <w:position w:val="-60"/>
                      </w:rPr>
                      <w:drawing>
                        <wp:inline distT="0" distB="0" distL="0" distR="0">
                          <wp:extent cx="2844165" cy="1905000"/>
                          <wp:effectExtent l="0" t="0" r="0" b="0"/>
                          <wp:docPr id="240" name="IM 240"/>
                          <wp:cNvGraphicFramePr/>
                          <a:graphic xmlns:a="http://schemas.openxmlformats.org/drawingml/2006/main">
                            <a:graphicData uri="http://schemas.openxmlformats.org/drawingml/2006/picture">
                              <pic:pic xmlns:pic="http://schemas.openxmlformats.org/drawingml/2006/picture">
                                <pic:nvPicPr>
                                  <pic:cNvPr id="240" name="IM 240"/>
                                  <pic:cNvPicPr/>
                                </pic:nvPicPr>
                                <pic:blipFill>
                                  <a:blip r:embed="rId497"/>
                                  <a:stretch>
                                    <a:fillRect/>
                                  </a:stretch>
                                </pic:blipFill>
                                <pic:spPr>
                                  <a:xfrm>
                                    <a:off x="0" y="0"/>
                                    <a:ext cx="2844795" cy="1905009"/>
                                  </a:xfrm>
                                  <a:prstGeom prst="rect">
                                    <a:avLst/>
                                  </a:prstGeom>
                                </pic:spPr>
                              </pic:pic>
                            </a:graphicData>
                          </a:graphic>
                        </wp:inline>
                      </w:drawing>
                    </w:r>
                  </w:p>
                </w:txbxContent>
              </v:textbox>
            </v:shape>
            <w10:wrap type="none"/>
            <w10:anchorlock/>
          </v:group>
        </w:pict>
      </w:r>
    </w:p>
    <w:p w14:paraId="2323FC5F">
      <w:pPr>
        <w:pStyle w:val="2"/>
        <w:spacing w:before="168" w:line="222" w:lineRule="auto"/>
        <w:ind w:left="9"/>
        <w:rPr>
          <w:sz w:val="21"/>
          <w:szCs w:val="21"/>
        </w:rPr>
      </w:pPr>
      <w:r>
        <w:rPr>
          <w:spacing w:val="-10"/>
          <w:sz w:val="21"/>
          <w:szCs w:val="21"/>
        </w:rPr>
        <w:t>图5-1</w:t>
      </w:r>
      <w:r>
        <w:rPr>
          <w:spacing w:val="72"/>
          <w:sz w:val="21"/>
          <w:szCs w:val="21"/>
        </w:rPr>
        <w:t xml:space="preserve"> </w:t>
      </w:r>
      <w:r>
        <w:rPr>
          <w:spacing w:val="-10"/>
          <w:sz w:val="21"/>
          <w:szCs w:val="21"/>
        </w:rPr>
        <w:t>病例对照研究基本原理示意图</w:t>
      </w:r>
    </w:p>
    <w:p w14:paraId="4063C48A">
      <w:pPr>
        <w:spacing w:line="222" w:lineRule="auto"/>
        <w:rPr>
          <w:sz w:val="21"/>
          <w:szCs w:val="21"/>
        </w:rPr>
        <w:sectPr>
          <w:type w:val="continuous"/>
          <w:pgSz w:w="11900" w:h="16820"/>
          <w:pgMar w:top="400" w:right="639" w:bottom="886" w:left="1299" w:header="0" w:footer="697" w:gutter="0"/>
          <w:cols w:equalWidth="0" w:num="2">
            <w:col w:w="2921" w:space="100"/>
            <w:col w:w="6941"/>
          </w:cols>
        </w:sectPr>
      </w:pPr>
    </w:p>
    <w:p w14:paraId="18CAA178">
      <w:pPr>
        <w:spacing w:line="285" w:lineRule="auto"/>
        <w:rPr>
          <w:rFonts w:ascii="Arial"/>
          <w:sz w:val="21"/>
        </w:rPr>
      </w:pPr>
    </w:p>
    <w:p w14:paraId="0F1A1AF9">
      <w:pPr>
        <w:spacing w:before="68" w:line="276" w:lineRule="auto"/>
        <w:ind w:right="700" w:firstLine="430"/>
        <w:rPr>
          <w:rFonts w:ascii="宋体" w:hAnsi="宋体" w:eastAsia="宋体" w:cs="宋体"/>
          <w:sz w:val="21"/>
          <w:szCs w:val="21"/>
        </w:rPr>
      </w:pPr>
      <w:r>
        <w:rPr>
          <w:rFonts w:ascii="宋体" w:hAnsi="宋体" w:eastAsia="宋体" w:cs="宋体"/>
          <w:spacing w:val="10"/>
          <w:sz w:val="21"/>
          <w:szCs w:val="21"/>
        </w:rPr>
        <w:t>1. 观察性研究 研究对象的暴露情况是自然存在而非人为控制的，故病例对照研究属于观察</w:t>
      </w:r>
      <w:r>
        <w:rPr>
          <w:rFonts w:ascii="宋体" w:hAnsi="宋体" w:eastAsia="宋体" w:cs="宋体"/>
          <w:spacing w:val="9"/>
          <w:sz w:val="21"/>
          <w:szCs w:val="21"/>
        </w:rPr>
        <w:t xml:space="preserve"> </w:t>
      </w:r>
      <w:r>
        <w:rPr>
          <w:rFonts w:ascii="宋体" w:hAnsi="宋体" w:eastAsia="宋体" w:cs="宋体"/>
          <w:spacing w:val="8"/>
          <w:sz w:val="21"/>
          <w:szCs w:val="21"/>
        </w:rPr>
        <w:t>性研究。</w:t>
      </w:r>
    </w:p>
    <w:p w14:paraId="3F538C7F">
      <w:pPr>
        <w:spacing w:before="131" w:line="219" w:lineRule="auto"/>
        <w:ind w:left="430"/>
        <w:rPr>
          <w:rFonts w:ascii="宋体" w:hAnsi="宋体" w:eastAsia="宋体" w:cs="宋体"/>
          <w:sz w:val="21"/>
          <w:szCs w:val="21"/>
        </w:rPr>
      </w:pPr>
      <w:r>
        <w:rPr>
          <w:rFonts w:ascii="宋体" w:hAnsi="宋体" w:eastAsia="宋体" w:cs="宋体"/>
          <w:spacing w:val="9"/>
          <w:sz w:val="21"/>
          <w:szCs w:val="21"/>
        </w:rPr>
        <w:t>2. 分析性研究 在研究设计阶段按是否患所研究的疾病将研究对象分成病例组与对照组。</w:t>
      </w:r>
    </w:p>
    <w:p w14:paraId="36908143">
      <w:pPr>
        <w:pStyle w:val="2"/>
        <w:spacing w:before="111" w:line="222" w:lineRule="auto"/>
        <w:ind w:left="430"/>
        <w:rPr>
          <w:rFonts w:ascii="宋体" w:hAnsi="宋体" w:eastAsia="宋体" w:cs="宋体"/>
          <w:sz w:val="21"/>
          <w:szCs w:val="21"/>
        </w:rPr>
      </w:pPr>
      <w:r>
        <w:rPr>
          <w:rFonts w:ascii="宋体" w:hAnsi="宋体" w:eastAsia="宋体" w:cs="宋体"/>
          <w:spacing w:val="3"/>
          <w:sz w:val="21"/>
          <w:szCs w:val="21"/>
        </w:rPr>
        <w:t xml:space="preserve">3. </w:t>
      </w:r>
      <w:r>
        <w:rPr>
          <w:spacing w:val="3"/>
          <w:sz w:val="21"/>
          <w:szCs w:val="21"/>
        </w:rPr>
        <w:t>由“果”溯“因”</w:t>
      </w:r>
      <w:r>
        <w:rPr>
          <w:rFonts w:ascii="宋体" w:hAnsi="宋体" w:eastAsia="宋体" w:cs="宋体"/>
          <w:spacing w:val="3"/>
          <w:sz w:val="21"/>
          <w:szCs w:val="21"/>
        </w:rPr>
        <w:t>病例对照研究是在结局(疾病或事件)发生之后追溯可能原因的方法。</w:t>
      </w:r>
    </w:p>
    <w:p w14:paraId="59341576">
      <w:pPr>
        <w:pStyle w:val="2"/>
        <w:spacing w:before="98" w:line="272" w:lineRule="auto"/>
        <w:ind w:right="682" w:firstLine="430"/>
        <w:rPr>
          <w:rFonts w:ascii="宋体" w:hAnsi="宋体" w:eastAsia="宋体" w:cs="宋体"/>
          <w:sz w:val="21"/>
          <w:szCs w:val="21"/>
        </w:rPr>
      </w:pPr>
      <w:r>
        <w:rPr>
          <w:rFonts w:ascii="宋体" w:hAnsi="宋体" w:eastAsia="宋体" w:cs="宋体"/>
          <w:spacing w:val="9"/>
          <w:sz w:val="21"/>
          <w:szCs w:val="21"/>
        </w:rPr>
        <w:t xml:space="preserve">4. </w:t>
      </w:r>
      <w:r>
        <w:rPr>
          <w:spacing w:val="9"/>
          <w:sz w:val="21"/>
          <w:szCs w:val="21"/>
        </w:rPr>
        <w:t>因果联系的论证强度相对较弱</w:t>
      </w:r>
      <w:r>
        <w:rPr>
          <w:spacing w:val="78"/>
          <w:sz w:val="21"/>
          <w:szCs w:val="21"/>
        </w:rPr>
        <w:t xml:space="preserve"> </w:t>
      </w:r>
      <w:r>
        <w:rPr>
          <w:rFonts w:ascii="宋体" w:hAnsi="宋体" w:eastAsia="宋体" w:cs="宋体"/>
          <w:spacing w:val="9"/>
          <w:sz w:val="21"/>
          <w:szCs w:val="21"/>
        </w:rPr>
        <w:t>病例对照研究不能观察到由因到果的发展过程，故因果联</w:t>
      </w:r>
      <w:r>
        <w:rPr>
          <w:rFonts w:ascii="宋体" w:hAnsi="宋体" w:eastAsia="宋体" w:cs="宋体"/>
          <w:sz w:val="21"/>
          <w:szCs w:val="21"/>
        </w:rPr>
        <w:t xml:space="preserve"> </w:t>
      </w:r>
      <w:r>
        <w:rPr>
          <w:rFonts w:ascii="宋体" w:hAnsi="宋体" w:eastAsia="宋体" w:cs="宋体"/>
          <w:spacing w:val="7"/>
          <w:sz w:val="21"/>
          <w:szCs w:val="21"/>
        </w:rPr>
        <w:t>系的论证强度不及队列研究。</w:t>
      </w:r>
    </w:p>
    <w:p w14:paraId="569522C9">
      <w:pPr>
        <w:pStyle w:val="2"/>
        <w:spacing w:before="288" w:line="221" w:lineRule="auto"/>
        <w:ind w:left="433"/>
        <w:outlineLvl w:val="2"/>
        <w:rPr>
          <w:sz w:val="25"/>
          <w:szCs w:val="25"/>
        </w:rPr>
      </w:pPr>
      <w:bookmarkStart w:id="127" w:name="bookmark81"/>
      <w:bookmarkEnd w:id="127"/>
      <w:r>
        <w:rPr>
          <w:b/>
          <w:bCs/>
          <w:spacing w:val="-2"/>
          <w:sz w:val="25"/>
          <w:szCs w:val="25"/>
        </w:rPr>
        <w:t>三</w:t>
      </w:r>
      <w:r>
        <w:rPr>
          <w:spacing w:val="-56"/>
          <w:sz w:val="25"/>
          <w:szCs w:val="25"/>
        </w:rPr>
        <w:t xml:space="preserve"> </w:t>
      </w:r>
      <w:r>
        <w:rPr>
          <w:b/>
          <w:bCs/>
          <w:spacing w:val="-2"/>
          <w:sz w:val="25"/>
          <w:szCs w:val="25"/>
        </w:rPr>
        <w:t>、研究类型</w:t>
      </w:r>
    </w:p>
    <w:p w14:paraId="5F0AE349">
      <w:pPr>
        <w:spacing w:before="264" w:line="311" w:lineRule="auto"/>
        <w:ind w:right="693" w:firstLine="420"/>
        <w:jc w:val="both"/>
        <w:rPr>
          <w:rFonts w:ascii="宋体" w:hAnsi="宋体" w:eastAsia="宋体" w:cs="宋体"/>
          <w:sz w:val="21"/>
          <w:szCs w:val="21"/>
        </w:rPr>
      </w:pPr>
      <w:r>
        <w:rPr>
          <w:rFonts w:ascii="宋体" w:hAnsi="宋体" w:eastAsia="宋体" w:cs="宋体"/>
          <w:spacing w:val="11"/>
          <w:sz w:val="21"/>
          <w:szCs w:val="21"/>
        </w:rPr>
        <w:t>病例对照研究有多种分类方法。实际工作中通常根据选择对照是否有某些限制可将病例对照</w:t>
      </w:r>
      <w:r>
        <w:rPr>
          <w:rFonts w:ascii="宋体" w:hAnsi="宋体" w:eastAsia="宋体" w:cs="宋体"/>
          <w:spacing w:val="6"/>
          <w:sz w:val="21"/>
          <w:szCs w:val="21"/>
        </w:rPr>
        <w:t xml:space="preserve"> </w:t>
      </w:r>
      <w:r>
        <w:rPr>
          <w:rFonts w:ascii="宋体" w:hAnsi="宋体" w:eastAsia="宋体" w:cs="宋体"/>
          <w:spacing w:val="10"/>
          <w:sz w:val="21"/>
          <w:szCs w:val="21"/>
        </w:rPr>
        <w:t>研究分为非匹配病例对照研究和匹配病例对照研究两种基本类型。随着流行病学研究理论和方法</w:t>
      </w:r>
      <w:r>
        <w:rPr>
          <w:rFonts w:ascii="宋体" w:hAnsi="宋体" w:eastAsia="宋体" w:cs="宋体"/>
          <w:spacing w:val="16"/>
          <w:sz w:val="21"/>
          <w:szCs w:val="21"/>
        </w:rPr>
        <w:t xml:space="preserve"> </w:t>
      </w:r>
      <w:r>
        <w:rPr>
          <w:rFonts w:ascii="宋体" w:hAnsi="宋体" w:eastAsia="宋体" w:cs="宋体"/>
          <w:spacing w:val="3"/>
          <w:sz w:val="21"/>
          <w:szCs w:val="21"/>
        </w:rPr>
        <w:t>的发展，又产生了多种改进的衍生类型。</w:t>
      </w:r>
    </w:p>
    <w:p w14:paraId="397FD976">
      <w:pPr>
        <w:pStyle w:val="2"/>
        <w:spacing w:before="1" w:line="221" w:lineRule="auto"/>
        <w:ind w:left="430"/>
        <w:rPr>
          <w:sz w:val="25"/>
          <w:szCs w:val="25"/>
        </w:rPr>
      </w:pPr>
      <w:r>
        <w:rPr>
          <w:spacing w:val="-10"/>
          <w:sz w:val="25"/>
          <w:szCs w:val="25"/>
        </w:rPr>
        <w:t>(一)非匹配病例对照研究</w:t>
      </w:r>
    </w:p>
    <w:p w14:paraId="2BDE01A1">
      <w:pPr>
        <w:spacing w:before="110" w:line="322" w:lineRule="auto"/>
        <w:ind w:right="693" w:firstLine="430"/>
        <w:jc w:val="both"/>
        <w:rPr>
          <w:rFonts w:ascii="宋体" w:hAnsi="宋体" w:eastAsia="宋体" w:cs="宋体"/>
          <w:sz w:val="21"/>
          <w:szCs w:val="21"/>
        </w:rPr>
      </w:pPr>
      <w:r>
        <w:rPr>
          <w:rFonts w:ascii="宋体" w:hAnsi="宋体" w:eastAsia="宋体" w:cs="宋体"/>
          <w:spacing w:val="11"/>
          <w:sz w:val="21"/>
          <w:szCs w:val="21"/>
        </w:rPr>
        <w:t>非匹配病例对照研究是在设计所规定的病例和对照人群中，分</w:t>
      </w:r>
      <w:r>
        <w:rPr>
          <w:rFonts w:ascii="宋体" w:hAnsi="宋体" w:eastAsia="宋体" w:cs="宋体"/>
          <w:spacing w:val="10"/>
          <w:sz w:val="21"/>
          <w:szCs w:val="21"/>
        </w:rPr>
        <w:t>别抽取一定数量的研究对象进</w:t>
      </w:r>
      <w:r>
        <w:rPr>
          <w:rFonts w:ascii="宋体" w:hAnsi="宋体" w:eastAsia="宋体" w:cs="宋体"/>
          <w:sz w:val="21"/>
          <w:szCs w:val="21"/>
        </w:rPr>
        <w:t xml:space="preserve"> </w:t>
      </w:r>
      <w:r>
        <w:rPr>
          <w:rFonts w:ascii="宋体" w:hAnsi="宋体" w:eastAsia="宋体" w:cs="宋体"/>
          <w:spacing w:val="2"/>
          <w:sz w:val="21"/>
          <w:szCs w:val="21"/>
        </w:rPr>
        <w:t>行组间比较，对照的选择没有其他任何限制与规定。</w:t>
      </w:r>
      <w:r>
        <w:rPr>
          <w:rFonts w:ascii="宋体" w:hAnsi="宋体" w:eastAsia="宋体" w:cs="宋体"/>
          <w:spacing w:val="48"/>
          <w:sz w:val="21"/>
          <w:szCs w:val="21"/>
        </w:rPr>
        <w:t xml:space="preserve"> </w:t>
      </w:r>
      <w:r>
        <w:rPr>
          <w:rFonts w:ascii="宋体" w:hAnsi="宋体" w:eastAsia="宋体" w:cs="宋体"/>
          <w:spacing w:val="2"/>
          <w:sz w:val="21"/>
          <w:szCs w:val="21"/>
        </w:rPr>
        <w:t>一般对照的人数应等于或多于病</w:t>
      </w:r>
      <w:r>
        <w:rPr>
          <w:rFonts w:ascii="宋体" w:hAnsi="宋体" w:eastAsia="宋体" w:cs="宋体"/>
          <w:spacing w:val="1"/>
          <w:sz w:val="21"/>
          <w:szCs w:val="21"/>
        </w:rPr>
        <w:t>例人数，但病</w:t>
      </w:r>
      <w:r>
        <w:rPr>
          <w:rFonts w:ascii="宋体" w:hAnsi="宋体" w:eastAsia="宋体" w:cs="宋体"/>
          <w:sz w:val="21"/>
          <w:szCs w:val="21"/>
        </w:rPr>
        <w:t xml:space="preserve"> </w:t>
      </w:r>
      <w:r>
        <w:rPr>
          <w:rFonts w:ascii="宋体" w:hAnsi="宋体" w:eastAsia="宋体" w:cs="宋体"/>
          <w:spacing w:val="11"/>
          <w:sz w:val="21"/>
          <w:szCs w:val="21"/>
        </w:rPr>
        <w:t>例与对照的数量不需呈严格的比例关系。这种方法较匹配法</w:t>
      </w:r>
      <w:r>
        <w:rPr>
          <w:rFonts w:ascii="宋体" w:hAnsi="宋体" w:eastAsia="宋体" w:cs="宋体"/>
          <w:spacing w:val="10"/>
          <w:sz w:val="21"/>
          <w:szCs w:val="21"/>
        </w:rPr>
        <w:t>更容易实施，但控制混杂因素的能力</w:t>
      </w:r>
      <w:r>
        <w:rPr>
          <w:rFonts w:ascii="宋体" w:hAnsi="宋体" w:eastAsia="宋体" w:cs="宋体"/>
          <w:sz w:val="21"/>
          <w:szCs w:val="21"/>
        </w:rPr>
        <w:t xml:space="preserve"> </w:t>
      </w:r>
      <w:r>
        <w:rPr>
          <w:rFonts w:ascii="宋体" w:hAnsi="宋体" w:eastAsia="宋体" w:cs="宋体"/>
          <w:spacing w:val="1"/>
          <w:sz w:val="21"/>
          <w:szCs w:val="21"/>
        </w:rPr>
        <w:t>较弱，应在统计分析中予以弥补。</w:t>
      </w:r>
    </w:p>
    <w:p w14:paraId="45C639D4">
      <w:pPr>
        <w:pStyle w:val="2"/>
        <w:spacing w:before="1" w:line="221" w:lineRule="auto"/>
        <w:ind w:left="433"/>
        <w:rPr>
          <w:sz w:val="21"/>
          <w:szCs w:val="21"/>
        </w:rPr>
      </w:pPr>
      <w:r>
        <w:rPr>
          <w:b/>
          <w:bCs/>
          <w:spacing w:val="24"/>
          <w:sz w:val="21"/>
          <w:szCs w:val="21"/>
        </w:rPr>
        <w:t>(二)匹配病例对照研究</w:t>
      </w:r>
    </w:p>
    <w:p w14:paraId="17C7DB04">
      <w:pPr>
        <w:spacing w:before="121" w:line="318" w:lineRule="auto"/>
        <w:ind w:right="689" w:firstLine="430"/>
        <w:jc w:val="both"/>
        <w:rPr>
          <w:rFonts w:ascii="宋体" w:hAnsi="宋体" w:eastAsia="宋体" w:cs="宋体"/>
          <w:sz w:val="21"/>
          <w:szCs w:val="21"/>
        </w:rPr>
      </w:pPr>
      <w:r>
        <w:rPr>
          <w:rFonts w:ascii="宋体" w:hAnsi="宋体" w:eastAsia="宋体" w:cs="宋体"/>
          <w:spacing w:val="17"/>
          <w:sz w:val="21"/>
          <w:szCs w:val="21"/>
        </w:rPr>
        <w:t>匹配病例对照研究要求选择的对照在某些因素或特征上与病</w:t>
      </w:r>
      <w:r>
        <w:rPr>
          <w:rFonts w:ascii="宋体" w:hAnsi="宋体" w:eastAsia="宋体" w:cs="宋体"/>
          <w:spacing w:val="16"/>
          <w:sz w:val="21"/>
          <w:szCs w:val="21"/>
        </w:rPr>
        <w:t>例保持一致，目的是使匹配因</w:t>
      </w:r>
      <w:r>
        <w:rPr>
          <w:rFonts w:ascii="宋体" w:hAnsi="宋体" w:eastAsia="宋体" w:cs="宋体"/>
          <w:sz w:val="21"/>
          <w:szCs w:val="21"/>
        </w:rPr>
        <w:t xml:space="preserve"> </w:t>
      </w:r>
      <w:r>
        <w:rPr>
          <w:rFonts w:ascii="宋体" w:hAnsi="宋体" w:eastAsia="宋体" w:cs="宋体"/>
          <w:spacing w:val="16"/>
          <w:sz w:val="21"/>
          <w:szCs w:val="21"/>
        </w:rPr>
        <w:t>素在病例组与对照组之间保持均衡，从而控制这些因素对结果的干扰。这种方法可</w:t>
      </w:r>
      <w:r>
        <w:rPr>
          <w:rFonts w:ascii="宋体" w:hAnsi="宋体" w:eastAsia="宋体" w:cs="宋体"/>
          <w:spacing w:val="15"/>
          <w:sz w:val="21"/>
          <w:szCs w:val="21"/>
        </w:rPr>
        <w:t>增加分析时</w:t>
      </w:r>
      <w:r>
        <w:rPr>
          <w:rFonts w:ascii="宋体" w:hAnsi="宋体" w:eastAsia="宋体" w:cs="宋体"/>
          <w:sz w:val="21"/>
          <w:szCs w:val="21"/>
        </w:rPr>
        <w:t xml:space="preserve"> </w:t>
      </w:r>
      <w:r>
        <w:rPr>
          <w:rFonts w:ascii="宋体" w:hAnsi="宋体" w:eastAsia="宋体" w:cs="宋体"/>
          <w:spacing w:val="11"/>
          <w:sz w:val="21"/>
          <w:szCs w:val="21"/>
        </w:rPr>
        <w:t>的统计学检验能力，提高研究效率，但也增加</w:t>
      </w:r>
      <w:r>
        <w:rPr>
          <w:rFonts w:ascii="宋体" w:hAnsi="宋体" w:eastAsia="宋体" w:cs="宋体"/>
          <w:spacing w:val="10"/>
          <w:sz w:val="21"/>
          <w:szCs w:val="21"/>
        </w:rPr>
        <w:t>了选择对照的难度，并且在资料整理与统计分析时</w:t>
      </w:r>
      <w:r>
        <w:rPr>
          <w:rFonts w:ascii="宋体" w:hAnsi="宋体" w:eastAsia="宋体" w:cs="宋体"/>
          <w:sz w:val="21"/>
          <w:szCs w:val="21"/>
        </w:rPr>
        <w:t xml:space="preserve"> </w:t>
      </w:r>
      <w:r>
        <w:rPr>
          <w:rFonts w:ascii="宋体" w:hAnsi="宋体" w:eastAsia="宋体" w:cs="宋体"/>
          <w:spacing w:val="8"/>
          <w:sz w:val="21"/>
          <w:szCs w:val="21"/>
        </w:rPr>
        <w:t>较麻烦。</w:t>
      </w:r>
    </w:p>
    <w:p w14:paraId="0D2955CD">
      <w:pPr>
        <w:pStyle w:val="2"/>
        <w:spacing w:before="186" w:line="225" w:lineRule="auto"/>
        <w:ind w:left="433"/>
        <w:outlineLvl w:val="2"/>
        <w:rPr>
          <w:sz w:val="25"/>
          <w:szCs w:val="25"/>
        </w:rPr>
      </w:pPr>
      <w:bookmarkStart w:id="128" w:name="bookmark82"/>
      <w:bookmarkEnd w:id="128"/>
      <w:r>
        <w:rPr>
          <w:b/>
          <w:bCs/>
          <w:spacing w:val="-12"/>
          <w:sz w:val="25"/>
          <w:szCs w:val="25"/>
        </w:rPr>
        <w:t>四</w:t>
      </w:r>
      <w:r>
        <w:rPr>
          <w:spacing w:val="-48"/>
          <w:sz w:val="25"/>
          <w:szCs w:val="25"/>
        </w:rPr>
        <w:t xml:space="preserve"> </w:t>
      </w:r>
      <w:r>
        <w:rPr>
          <w:b/>
          <w:bCs/>
          <w:spacing w:val="-12"/>
          <w:sz w:val="25"/>
          <w:szCs w:val="25"/>
        </w:rPr>
        <w:t>、用途</w:t>
      </w:r>
    </w:p>
    <w:p w14:paraId="1835895D">
      <w:pPr>
        <w:spacing w:before="232" w:line="278" w:lineRule="auto"/>
        <w:ind w:right="681" w:firstLine="430"/>
        <w:jc w:val="both"/>
        <w:rPr>
          <w:rFonts w:ascii="宋体" w:hAnsi="宋体" w:eastAsia="宋体" w:cs="宋体"/>
          <w:sz w:val="21"/>
          <w:szCs w:val="21"/>
        </w:rPr>
      </w:pPr>
      <w:r>
        <w:rPr>
          <w:rFonts w:ascii="宋体" w:hAnsi="宋体" w:eastAsia="宋体" w:cs="宋体"/>
          <w:spacing w:val="6"/>
          <w:sz w:val="21"/>
          <w:szCs w:val="21"/>
        </w:rPr>
        <w:t>病例对照研究是一种应用颇为广泛的研究方法。“病例”可以是患有所研究</w:t>
      </w:r>
      <w:r>
        <w:rPr>
          <w:rFonts w:ascii="宋体" w:hAnsi="宋体" w:eastAsia="宋体" w:cs="宋体"/>
          <w:spacing w:val="5"/>
          <w:sz w:val="21"/>
          <w:szCs w:val="21"/>
        </w:rPr>
        <w:t>疾病的病人，也可</w:t>
      </w:r>
      <w:r>
        <w:rPr>
          <w:rFonts w:ascii="宋体" w:hAnsi="宋体" w:eastAsia="宋体" w:cs="宋体"/>
          <w:sz w:val="21"/>
          <w:szCs w:val="21"/>
        </w:rPr>
        <w:t xml:space="preserve"> </w:t>
      </w:r>
      <w:r>
        <w:rPr>
          <w:rFonts w:ascii="宋体" w:hAnsi="宋体" w:eastAsia="宋体" w:cs="宋体"/>
          <w:spacing w:val="10"/>
          <w:sz w:val="21"/>
          <w:szCs w:val="21"/>
        </w:rPr>
        <w:t>以是发生某事件(如车祸、自杀等)或具有某特征(如肥胖)的个体。病例对照研究现已广泛应用于</w:t>
      </w:r>
      <w:r>
        <w:rPr>
          <w:rFonts w:ascii="宋体" w:hAnsi="宋体" w:eastAsia="宋体" w:cs="宋体"/>
          <w:spacing w:val="1"/>
          <w:sz w:val="21"/>
          <w:szCs w:val="21"/>
        </w:rPr>
        <w:t xml:space="preserve"> </w:t>
      </w:r>
      <w:r>
        <w:rPr>
          <w:rFonts w:ascii="宋体" w:hAnsi="宋体" w:eastAsia="宋体" w:cs="宋体"/>
          <w:spacing w:val="3"/>
          <w:sz w:val="21"/>
          <w:szCs w:val="21"/>
        </w:rPr>
        <w:t>探索病因、公共卫生和医学实践中的暴发调查、干预措施的评价以及项目评价等。</w:t>
      </w:r>
    </w:p>
    <w:p w14:paraId="239D5387">
      <w:pPr>
        <w:spacing w:line="278" w:lineRule="auto"/>
        <w:rPr>
          <w:rFonts w:ascii="宋体" w:hAnsi="宋体" w:eastAsia="宋体" w:cs="宋体"/>
          <w:sz w:val="21"/>
          <w:szCs w:val="21"/>
        </w:rPr>
        <w:sectPr>
          <w:type w:val="continuous"/>
          <w:pgSz w:w="11900" w:h="16820"/>
          <w:pgMar w:top="400" w:right="639" w:bottom="886" w:left="1299" w:header="0" w:footer="697" w:gutter="0"/>
          <w:cols w:equalWidth="0" w:num="1">
            <w:col w:w="9961"/>
          </w:cols>
        </w:sectPr>
      </w:pPr>
    </w:p>
    <w:p w14:paraId="1D593440">
      <w:pPr>
        <w:pStyle w:val="2"/>
        <w:spacing w:line="221" w:lineRule="auto"/>
        <w:ind w:left="719"/>
        <w:rPr>
          <w:sz w:val="20"/>
          <w:szCs w:val="20"/>
        </w:rPr>
      </w:pPr>
      <w:bookmarkStart w:id="129" w:name="bookmark442"/>
      <w:bookmarkEnd w:id="129"/>
      <w:r>
        <w:rPr>
          <w:spacing w:val="-18"/>
          <w:sz w:val="20"/>
          <w:szCs w:val="20"/>
        </w:rPr>
        <w:t>第五章 病例对照研究</w:t>
      </w:r>
    </w:p>
    <w:p w14:paraId="5DB0FC52">
      <w:pPr>
        <w:spacing w:line="295" w:lineRule="auto"/>
        <w:rPr>
          <w:rFonts w:ascii="Arial"/>
          <w:sz w:val="21"/>
        </w:rPr>
      </w:pPr>
    </w:p>
    <w:p w14:paraId="7EDFD72C">
      <w:pPr>
        <w:spacing w:line="295" w:lineRule="auto"/>
        <w:rPr>
          <w:rFonts w:ascii="Arial"/>
          <w:sz w:val="21"/>
        </w:rPr>
      </w:pPr>
    </w:p>
    <w:p w14:paraId="0FE06999">
      <w:pPr>
        <w:pStyle w:val="2"/>
        <w:spacing w:before="65" w:line="221" w:lineRule="auto"/>
        <w:ind w:left="1139"/>
        <w:rPr>
          <w:sz w:val="20"/>
          <w:szCs w:val="20"/>
        </w:rPr>
      </w:pPr>
      <w:r>
        <w:rPr>
          <w:spacing w:val="21"/>
          <w:sz w:val="20"/>
          <w:szCs w:val="20"/>
        </w:rPr>
        <w:t>(一)用于疾病病因或危险因素的研究</w:t>
      </w:r>
    </w:p>
    <w:p w14:paraId="0E9F8593">
      <w:pPr>
        <w:spacing w:before="90" w:line="343" w:lineRule="auto"/>
        <w:ind w:left="719" w:right="86" w:firstLine="419"/>
        <w:jc w:val="both"/>
        <w:rPr>
          <w:rFonts w:ascii="宋体" w:hAnsi="宋体" w:eastAsia="宋体" w:cs="宋体"/>
          <w:sz w:val="20"/>
          <w:szCs w:val="20"/>
        </w:rPr>
      </w:pPr>
      <w:r>
        <w:rPr>
          <w:rFonts w:ascii="宋体" w:hAnsi="宋体" w:eastAsia="宋体" w:cs="宋体"/>
          <w:spacing w:val="11"/>
          <w:sz w:val="20"/>
          <w:szCs w:val="20"/>
        </w:rPr>
        <w:t>病例对照研究最常被用于疾病病因或危险因素的研究，特别适合于研究某些潜伏期长以</w:t>
      </w:r>
      <w:r>
        <w:rPr>
          <w:rFonts w:ascii="宋体" w:hAnsi="宋体" w:eastAsia="宋体" w:cs="宋体"/>
          <w:spacing w:val="10"/>
          <w:sz w:val="20"/>
          <w:szCs w:val="20"/>
        </w:rPr>
        <w:t>及罕</w:t>
      </w:r>
      <w:r>
        <w:rPr>
          <w:rFonts w:ascii="宋体" w:hAnsi="宋体" w:eastAsia="宋体" w:cs="宋体"/>
          <w:sz w:val="20"/>
          <w:szCs w:val="20"/>
        </w:rPr>
        <w:t xml:space="preserve"> </w:t>
      </w:r>
      <w:r>
        <w:rPr>
          <w:rFonts w:ascii="宋体" w:hAnsi="宋体" w:eastAsia="宋体" w:cs="宋体"/>
          <w:spacing w:val="11"/>
          <w:sz w:val="20"/>
          <w:szCs w:val="20"/>
        </w:rPr>
        <w:t>见的疾病。可以广泛探索病因或危险因素，也可在描述性研究或探索性病例对照研究初步形成病</w:t>
      </w:r>
      <w:r>
        <w:rPr>
          <w:rFonts w:ascii="宋体" w:hAnsi="宋体" w:eastAsia="宋体" w:cs="宋体"/>
          <w:sz w:val="20"/>
          <w:szCs w:val="20"/>
        </w:rPr>
        <w:t xml:space="preserve"> </w:t>
      </w:r>
      <w:r>
        <w:rPr>
          <w:rFonts w:ascii="宋体" w:hAnsi="宋体" w:eastAsia="宋体" w:cs="宋体"/>
          <w:spacing w:val="6"/>
          <w:sz w:val="20"/>
          <w:szCs w:val="20"/>
        </w:rPr>
        <w:t>因假说的基础上检验某个或某几个病因假说。</w:t>
      </w:r>
    </w:p>
    <w:p w14:paraId="45058352">
      <w:pPr>
        <w:pStyle w:val="2"/>
        <w:spacing w:before="55" w:line="222" w:lineRule="auto"/>
        <w:ind w:left="1139"/>
        <w:rPr>
          <w:sz w:val="20"/>
          <w:szCs w:val="20"/>
        </w:rPr>
      </w:pPr>
      <w:r>
        <w:rPr>
          <w:spacing w:val="21"/>
          <w:sz w:val="20"/>
          <w:szCs w:val="20"/>
        </w:rPr>
        <w:t>(二)用于健康相关事件影响因素的研究</w:t>
      </w:r>
    </w:p>
    <w:p w14:paraId="1672D73B">
      <w:pPr>
        <w:spacing w:before="89" w:line="343" w:lineRule="auto"/>
        <w:ind w:left="719" w:right="79" w:firstLine="419"/>
        <w:jc w:val="both"/>
        <w:rPr>
          <w:rFonts w:ascii="宋体" w:hAnsi="宋体" w:eastAsia="宋体" w:cs="宋体"/>
          <w:sz w:val="20"/>
          <w:szCs w:val="20"/>
        </w:rPr>
      </w:pPr>
      <w:r>
        <w:rPr>
          <w:rFonts w:ascii="宋体" w:hAnsi="宋体" w:eastAsia="宋体" w:cs="宋体"/>
          <w:spacing w:val="11"/>
          <w:sz w:val="20"/>
          <w:szCs w:val="20"/>
        </w:rPr>
        <w:t>可采用病例对照研究方法对与健康相关的医</w:t>
      </w:r>
      <w:r>
        <w:rPr>
          <w:rFonts w:ascii="宋体" w:hAnsi="宋体" w:eastAsia="宋体" w:cs="宋体"/>
          <w:spacing w:val="10"/>
          <w:sz w:val="20"/>
          <w:szCs w:val="20"/>
        </w:rPr>
        <w:t>学事件或公共卫生问题的影响因素进行研究，为</w:t>
      </w:r>
      <w:r>
        <w:rPr>
          <w:rFonts w:ascii="宋体" w:hAnsi="宋体" w:eastAsia="宋体" w:cs="宋体"/>
          <w:sz w:val="20"/>
          <w:szCs w:val="20"/>
        </w:rPr>
        <w:t xml:space="preserve"> </w:t>
      </w:r>
      <w:r>
        <w:rPr>
          <w:rFonts w:ascii="宋体" w:hAnsi="宋体" w:eastAsia="宋体" w:cs="宋体"/>
          <w:spacing w:val="5"/>
          <w:sz w:val="20"/>
          <w:szCs w:val="20"/>
        </w:rPr>
        <w:t>制</w:t>
      </w:r>
      <w:r>
        <w:rPr>
          <w:rFonts w:ascii="宋体" w:hAnsi="宋体" w:eastAsia="宋体" w:cs="宋体"/>
          <w:spacing w:val="-36"/>
          <w:sz w:val="20"/>
          <w:szCs w:val="20"/>
        </w:rPr>
        <w:t xml:space="preserve"> </w:t>
      </w:r>
      <w:r>
        <w:rPr>
          <w:rFonts w:ascii="宋体" w:hAnsi="宋体" w:eastAsia="宋体" w:cs="宋体"/>
          <w:spacing w:val="5"/>
          <w:sz w:val="20"/>
          <w:szCs w:val="20"/>
        </w:rPr>
        <w:t>定</w:t>
      </w:r>
      <w:r>
        <w:rPr>
          <w:rFonts w:ascii="宋体" w:hAnsi="宋体" w:eastAsia="宋体" w:cs="宋体"/>
          <w:spacing w:val="5"/>
          <w:sz w:val="20"/>
          <w:szCs w:val="20"/>
          <w:u w:val="single" w:color="auto"/>
        </w:rPr>
        <w:t>相应卫生</w:t>
      </w:r>
      <w:r>
        <w:rPr>
          <w:rFonts w:ascii="宋体" w:hAnsi="宋体" w:eastAsia="宋体" w:cs="宋体"/>
          <w:spacing w:val="5"/>
          <w:sz w:val="20"/>
          <w:szCs w:val="20"/>
        </w:rPr>
        <w:t>决策提供依据。如进行意外伤害、老年人生活质量、长寿、肥</w:t>
      </w:r>
      <w:r>
        <w:rPr>
          <w:rFonts w:ascii="宋体" w:hAnsi="宋体" w:eastAsia="宋体" w:cs="宋体"/>
          <w:spacing w:val="4"/>
          <w:sz w:val="20"/>
          <w:szCs w:val="20"/>
        </w:rPr>
        <w:t>胖与超重等事件相关因</w:t>
      </w:r>
      <w:r>
        <w:rPr>
          <w:rFonts w:ascii="宋体" w:hAnsi="宋体" w:eastAsia="宋体" w:cs="宋体"/>
          <w:sz w:val="20"/>
          <w:szCs w:val="20"/>
        </w:rPr>
        <w:t xml:space="preserve"> </w:t>
      </w:r>
      <w:r>
        <w:rPr>
          <w:rFonts w:ascii="宋体" w:hAnsi="宋体" w:eastAsia="宋体" w:cs="宋体"/>
          <w:spacing w:val="9"/>
          <w:sz w:val="20"/>
          <w:szCs w:val="20"/>
        </w:rPr>
        <w:t>素研究。</w:t>
      </w:r>
    </w:p>
    <w:p w14:paraId="24000B3B">
      <w:pPr>
        <w:pStyle w:val="2"/>
        <w:spacing w:before="45" w:line="221" w:lineRule="auto"/>
        <w:ind w:left="1139"/>
        <w:rPr>
          <w:sz w:val="20"/>
          <w:szCs w:val="20"/>
        </w:rPr>
      </w:pPr>
      <w:r>
        <w:rPr>
          <w:spacing w:val="23"/>
          <w:sz w:val="20"/>
          <w:szCs w:val="20"/>
        </w:rPr>
        <w:t>(三)用于疾病预后因素的研究</w:t>
      </w:r>
    </w:p>
    <w:p w14:paraId="0CFCD12D">
      <w:pPr>
        <w:spacing w:before="119" w:line="335" w:lineRule="auto"/>
        <w:ind w:left="719" w:right="90" w:firstLine="419"/>
        <w:jc w:val="both"/>
        <w:rPr>
          <w:rFonts w:ascii="宋体" w:hAnsi="宋体" w:eastAsia="宋体" w:cs="宋体"/>
          <w:sz w:val="20"/>
          <w:szCs w:val="20"/>
        </w:rPr>
      </w:pPr>
      <w:r>
        <w:rPr>
          <w:rFonts w:ascii="宋体" w:hAnsi="宋体" w:eastAsia="宋体" w:cs="宋体"/>
          <w:spacing w:val="-1"/>
          <w:sz w:val="20"/>
          <w:szCs w:val="20"/>
        </w:rPr>
        <w:t>以同一疾病的不同结局，如死亡与痊愈或并发症的有无</w:t>
      </w:r>
      <w:r>
        <w:rPr>
          <w:rFonts w:ascii="宋体" w:hAnsi="宋体" w:eastAsia="宋体" w:cs="宋体"/>
          <w:spacing w:val="-2"/>
          <w:sz w:val="20"/>
          <w:szCs w:val="20"/>
        </w:rPr>
        <w:t>，分为“病例组”和“对照组”,追溯产生</w:t>
      </w:r>
      <w:r>
        <w:rPr>
          <w:rFonts w:ascii="宋体" w:hAnsi="宋体" w:eastAsia="宋体" w:cs="宋体"/>
          <w:sz w:val="20"/>
          <w:szCs w:val="20"/>
        </w:rPr>
        <w:t xml:space="preserve"> </w:t>
      </w:r>
      <w:r>
        <w:rPr>
          <w:rFonts w:ascii="宋体" w:hAnsi="宋体" w:eastAsia="宋体" w:cs="宋体"/>
          <w:spacing w:val="6"/>
          <w:sz w:val="20"/>
          <w:szCs w:val="20"/>
        </w:rPr>
        <w:t>某种结局的有关因素，如曾经接受的各种治疗方法以及其他诸如病期、病情及年龄、社会经济水平</w:t>
      </w:r>
      <w:r>
        <w:rPr>
          <w:rFonts w:ascii="宋体" w:hAnsi="宋体" w:eastAsia="宋体" w:cs="宋体"/>
          <w:sz w:val="20"/>
          <w:szCs w:val="20"/>
        </w:rPr>
        <w:t xml:space="preserve"> </w:t>
      </w:r>
      <w:r>
        <w:rPr>
          <w:rFonts w:ascii="宋体" w:hAnsi="宋体" w:eastAsia="宋体" w:cs="宋体"/>
          <w:spacing w:val="2"/>
          <w:sz w:val="20"/>
          <w:szCs w:val="20"/>
        </w:rPr>
        <w:t>等因素，通过对比分析发现影响疾病预后的主要因素，指导临床实践。</w:t>
      </w:r>
    </w:p>
    <w:p w14:paraId="5F4F850F">
      <w:pPr>
        <w:pStyle w:val="2"/>
        <w:spacing w:before="33" w:line="221" w:lineRule="auto"/>
        <w:ind w:left="1139"/>
        <w:rPr>
          <w:sz w:val="20"/>
          <w:szCs w:val="20"/>
        </w:rPr>
      </w:pPr>
      <w:r>
        <w:rPr>
          <w:spacing w:val="23"/>
          <w:sz w:val="20"/>
          <w:szCs w:val="20"/>
        </w:rPr>
        <w:t>(四)用于临床疗效影响因素的研究</w:t>
      </w:r>
    </w:p>
    <w:p w14:paraId="56CBBEFD">
      <w:pPr>
        <w:spacing w:before="110" w:line="354" w:lineRule="auto"/>
        <w:ind w:left="719" w:right="61" w:firstLine="419"/>
        <w:rPr>
          <w:rFonts w:ascii="宋体" w:hAnsi="宋体" w:eastAsia="宋体" w:cs="宋体"/>
          <w:sz w:val="20"/>
          <w:szCs w:val="20"/>
        </w:rPr>
      </w:pPr>
      <w:r>
        <w:rPr>
          <w:rFonts w:ascii="宋体" w:hAnsi="宋体" w:eastAsia="宋体" w:cs="宋体"/>
          <w:spacing w:val="12"/>
          <w:sz w:val="20"/>
          <w:szCs w:val="20"/>
        </w:rPr>
        <w:t>将产生和未产生某种临床疗效者分别作为病例组和对照组进行</w:t>
      </w:r>
      <w:r>
        <w:rPr>
          <w:rFonts w:ascii="宋体" w:hAnsi="宋体" w:eastAsia="宋体" w:cs="宋体"/>
          <w:spacing w:val="11"/>
          <w:sz w:val="20"/>
          <w:szCs w:val="20"/>
        </w:rPr>
        <w:t>病例对照研究，可以分析不同</w:t>
      </w:r>
      <w:r>
        <w:rPr>
          <w:rFonts w:ascii="宋体" w:hAnsi="宋体" w:eastAsia="宋体" w:cs="宋体"/>
          <w:sz w:val="20"/>
          <w:szCs w:val="20"/>
        </w:rPr>
        <w:t xml:space="preserve"> </w:t>
      </w:r>
      <w:r>
        <w:rPr>
          <w:rFonts w:ascii="宋体" w:hAnsi="宋体" w:eastAsia="宋体" w:cs="宋体"/>
          <w:spacing w:val="8"/>
          <w:sz w:val="20"/>
          <w:szCs w:val="20"/>
        </w:rPr>
        <w:t>疗效的影响因素。</w:t>
      </w:r>
    </w:p>
    <w:p w14:paraId="6E751116">
      <w:pPr>
        <w:spacing w:line="273" w:lineRule="auto"/>
        <w:rPr>
          <w:rFonts w:ascii="Arial"/>
          <w:sz w:val="21"/>
        </w:rPr>
      </w:pPr>
    </w:p>
    <w:p w14:paraId="2566D60A">
      <w:pPr>
        <w:pStyle w:val="2"/>
        <w:spacing w:before="99" w:line="222" w:lineRule="auto"/>
        <w:ind w:left="3564"/>
        <w:outlineLvl w:val="1"/>
      </w:pPr>
      <w:bookmarkStart w:id="130" w:name="bookmark83"/>
      <w:bookmarkEnd w:id="130"/>
      <w:r>
        <w:rPr>
          <w:b/>
          <w:bCs/>
          <w:spacing w:val="-9"/>
        </w:rPr>
        <w:t>第二节</w:t>
      </w:r>
      <w:r>
        <w:rPr>
          <w:spacing w:val="129"/>
        </w:rPr>
        <w:t xml:space="preserve"> </w:t>
      </w:r>
      <w:r>
        <w:rPr>
          <w:b/>
          <w:bCs/>
          <w:spacing w:val="-9"/>
        </w:rPr>
        <w:t>研究设计与实施</w:t>
      </w:r>
    </w:p>
    <w:p w14:paraId="18628760">
      <w:pPr>
        <w:spacing w:line="332" w:lineRule="auto"/>
        <w:rPr>
          <w:rFonts w:ascii="Arial"/>
          <w:sz w:val="21"/>
        </w:rPr>
      </w:pPr>
    </w:p>
    <w:p w14:paraId="6616F493">
      <w:pPr>
        <w:spacing w:before="66" w:line="219" w:lineRule="auto"/>
        <w:ind w:left="1139"/>
        <w:rPr>
          <w:rFonts w:ascii="宋体" w:hAnsi="宋体" w:eastAsia="宋体" w:cs="宋体"/>
          <w:sz w:val="20"/>
          <w:szCs w:val="20"/>
        </w:rPr>
      </w:pPr>
      <w:r>
        <w:rPr>
          <w:rFonts w:ascii="宋体" w:hAnsi="宋体" w:eastAsia="宋体" w:cs="宋体"/>
          <w:spacing w:val="4"/>
          <w:sz w:val="20"/>
          <w:szCs w:val="20"/>
        </w:rPr>
        <w:t>在病例对照研究的设计与实施中，要特别关注以下内容。</w:t>
      </w:r>
    </w:p>
    <w:p w14:paraId="4DF49ED3">
      <w:pPr>
        <w:pStyle w:val="2"/>
        <w:spacing w:before="311" w:line="222" w:lineRule="auto"/>
        <w:ind w:left="1143"/>
        <w:outlineLvl w:val="2"/>
        <w:rPr>
          <w:sz w:val="25"/>
          <w:szCs w:val="25"/>
        </w:rPr>
      </w:pPr>
      <w:bookmarkStart w:id="131" w:name="bookmark84"/>
      <w:bookmarkEnd w:id="131"/>
      <w:r>
        <w:rPr>
          <w:b/>
          <w:bCs/>
          <w:spacing w:val="-8"/>
          <w:sz w:val="25"/>
          <w:szCs w:val="25"/>
        </w:rPr>
        <w:t>一</w:t>
      </w:r>
      <w:r>
        <w:rPr>
          <w:spacing w:val="-69"/>
          <w:sz w:val="25"/>
          <w:szCs w:val="25"/>
        </w:rPr>
        <w:t xml:space="preserve"> </w:t>
      </w:r>
      <w:r>
        <w:rPr>
          <w:b/>
          <w:bCs/>
          <w:spacing w:val="-8"/>
          <w:sz w:val="25"/>
          <w:szCs w:val="25"/>
        </w:rPr>
        <w:t>、确定研究目的</w:t>
      </w:r>
    </w:p>
    <w:p w14:paraId="58F90615">
      <w:pPr>
        <w:spacing w:before="251" w:line="352" w:lineRule="auto"/>
        <w:ind w:left="719" w:right="86" w:firstLine="419"/>
        <w:jc w:val="both"/>
        <w:rPr>
          <w:rFonts w:ascii="宋体" w:hAnsi="宋体" w:eastAsia="宋体" w:cs="宋体"/>
          <w:sz w:val="20"/>
          <w:szCs w:val="20"/>
        </w:rPr>
      </w:pPr>
      <w:r>
        <w:rPr>
          <w:rFonts w:ascii="宋体" w:hAnsi="宋体" w:eastAsia="宋体" w:cs="宋体"/>
          <w:spacing w:val="11"/>
          <w:sz w:val="20"/>
          <w:szCs w:val="20"/>
        </w:rPr>
        <w:t>确定研究目的是制订整个研究计划的核心。在开展研究之前必须查阅相关文献资料，了</w:t>
      </w:r>
      <w:r>
        <w:rPr>
          <w:rFonts w:ascii="宋体" w:hAnsi="宋体" w:eastAsia="宋体" w:cs="宋体"/>
          <w:spacing w:val="10"/>
          <w:sz w:val="20"/>
          <w:szCs w:val="20"/>
        </w:rPr>
        <w:t>解本</w:t>
      </w:r>
      <w:r>
        <w:rPr>
          <w:rFonts w:ascii="宋体" w:hAnsi="宋体" w:eastAsia="宋体" w:cs="宋体"/>
          <w:sz w:val="20"/>
          <w:szCs w:val="20"/>
        </w:rPr>
        <w:t xml:space="preserve"> </w:t>
      </w:r>
      <w:r>
        <w:rPr>
          <w:rFonts w:ascii="宋体" w:hAnsi="宋体" w:eastAsia="宋体" w:cs="宋体"/>
          <w:spacing w:val="6"/>
          <w:sz w:val="20"/>
          <w:szCs w:val="20"/>
        </w:rPr>
        <w:t>课题的研究现状，结合既往的研究结果和临床或卫生工作中需要解决的问题，提出病因假设，确定</w:t>
      </w:r>
      <w:r>
        <w:rPr>
          <w:rFonts w:ascii="宋体" w:hAnsi="宋体" w:eastAsia="宋体" w:cs="宋体"/>
          <w:spacing w:val="4"/>
          <w:sz w:val="20"/>
          <w:szCs w:val="20"/>
        </w:rPr>
        <w:t xml:space="preserve"> </w:t>
      </w:r>
      <w:r>
        <w:rPr>
          <w:rFonts w:ascii="宋体" w:hAnsi="宋体" w:eastAsia="宋体" w:cs="宋体"/>
          <w:spacing w:val="9"/>
          <w:sz w:val="20"/>
          <w:szCs w:val="20"/>
        </w:rPr>
        <w:t>研究目的。</w:t>
      </w:r>
    </w:p>
    <w:p w14:paraId="3947E4A8">
      <w:pPr>
        <w:pStyle w:val="2"/>
        <w:spacing w:before="183" w:line="221" w:lineRule="auto"/>
        <w:ind w:left="1143"/>
        <w:outlineLvl w:val="2"/>
        <w:rPr>
          <w:sz w:val="25"/>
          <w:szCs w:val="25"/>
        </w:rPr>
      </w:pPr>
      <w:bookmarkStart w:id="132" w:name="bookmark85"/>
      <w:bookmarkEnd w:id="132"/>
      <w:r>
        <w:rPr>
          <w:b/>
          <w:bCs/>
          <w:sz w:val="25"/>
          <w:szCs w:val="25"/>
        </w:rPr>
        <w:t>二、明确研究类型</w:t>
      </w:r>
    </w:p>
    <w:p w14:paraId="05D39C12">
      <w:pPr>
        <w:spacing w:before="286" w:line="342" w:lineRule="auto"/>
        <w:ind w:left="719" w:right="75" w:firstLine="419"/>
        <w:jc w:val="both"/>
        <w:rPr>
          <w:rFonts w:ascii="宋体" w:hAnsi="宋体" w:eastAsia="宋体" w:cs="宋体"/>
          <w:sz w:val="20"/>
          <w:szCs w:val="20"/>
        </w:rPr>
      </w:pPr>
      <w:r>
        <w:rPr>
          <w:rFonts w:ascii="宋体" w:hAnsi="宋体" w:eastAsia="宋体" w:cs="宋体"/>
          <w:spacing w:val="7"/>
          <w:sz w:val="20"/>
          <w:szCs w:val="20"/>
        </w:rPr>
        <w:t>根据研究目的确定适宜的研究类型。如果研究目的是广泛地探索疾病的危险因素，</w:t>
      </w:r>
      <w:r>
        <w:rPr>
          <w:rFonts w:ascii="宋体" w:hAnsi="宋体" w:eastAsia="宋体" w:cs="宋体"/>
          <w:spacing w:val="72"/>
          <w:sz w:val="20"/>
          <w:szCs w:val="20"/>
        </w:rPr>
        <w:t xml:space="preserve"> </w:t>
      </w:r>
      <w:r>
        <w:rPr>
          <w:rFonts w:ascii="宋体" w:hAnsi="宋体" w:eastAsia="宋体" w:cs="宋体"/>
          <w:spacing w:val="7"/>
          <w:sz w:val="20"/>
          <w:szCs w:val="20"/>
        </w:rPr>
        <w:t>一般采用</w:t>
      </w:r>
      <w:r>
        <w:rPr>
          <w:rFonts w:ascii="宋体" w:hAnsi="宋体" w:eastAsia="宋体" w:cs="宋体"/>
          <w:sz w:val="20"/>
          <w:szCs w:val="20"/>
        </w:rPr>
        <w:t xml:space="preserve"> </w:t>
      </w:r>
      <w:r>
        <w:rPr>
          <w:rFonts w:ascii="宋体" w:hAnsi="宋体" w:eastAsia="宋体" w:cs="宋体"/>
          <w:spacing w:val="6"/>
          <w:sz w:val="20"/>
          <w:szCs w:val="20"/>
        </w:rPr>
        <w:t>非匹配或频数匹配的病例对照研究；如果目的是检验病因假设，尤其对于小样本研究或因为病例的 年龄、性别等构成特殊，随机抽取的对照组很难与病例组均衡可比时，可采用个体匹配的病例对照</w:t>
      </w:r>
      <w:r>
        <w:rPr>
          <w:rFonts w:ascii="宋体" w:hAnsi="宋体" w:eastAsia="宋体" w:cs="宋体"/>
          <w:spacing w:val="7"/>
          <w:sz w:val="20"/>
          <w:szCs w:val="20"/>
        </w:rPr>
        <w:t xml:space="preserve"> </w:t>
      </w:r>
      <w:r>
        <w:rPr>
          <w:rFonts w:ascii="宋体" w:hAnsi="宋体" w:eastAsia="宋体" w:cs="宋体"/>
          <w:spacing w:val="13"/>
          <w:sz w:val="20"/>
          <w:szCs w:val="20"/>
        </w:rPr>
        <w:t>研究。</w:t>
      </w:r>
    </w:p>
    <w:p w14:paraId="1F036329">
      <w:pPr>
        <w:pStyle w:val="2"/>
        <w:spacing w:before="204" w:line="222" w:lineRule="auto"/>
        <w:ind w:left="1143"/>
        <w:outlineLvl w:val="2"/>
        <w:rPr>
          <w:sz w:val="25"/>
          <w:szCs w:val="25"/>
        </w:rPr>
      </w:pPr>
      <w:bookmarkStart w:id="133" w:name="bookmark86"/>
      <w:bookmarkEnd w:id="133"/>
      <w:r>
        <w:rPr>
          <w:b/>
          <w:bCs/>
          <w:sz w:val="25"/>
          <w:szCs w:val="25"/>
        </w:rPr>
        <w:t>三、确定研究对象</w:t>
      </w:r>
    </w:p>
    <w:p w14:paraId="1FD89973">
      <w:pPr>
        <w:spacing w:before="271" w:line="219" w:lineRule="auto"/>
        <w:ind w:left="1139"/>
        <w:rPr>
          <w:rFonts w:ascii="宋体" w:hAnsi="宋体" w:eastAsia="宋体" w:cs="宋体"/>
          <w:sz w:val="20"/>
          <w:szCs w:val="20"/>
        </w:rPr>
      </w:pPr>
      <w:r>
        <w:rPr>
          <w:rFonts w:ascii="宋体" w:hAnsi="宋体" w:eastAsia="宋体" w:cs="宋体"/>
          <w:spacing w:val="7"/>
          <w:sz w:val="20"/>
          <w:szCs w:val="20"/>
        </w:rPr>
        <w:t>病例与对照的选择，尤其是对照的选择是</w:t>
      </w:r>
      <w:r>
        <w:rPr>
          <w:rFonts w:ascii="宋体" w:hAnsi="宋体" w:eastAsia="宋体" w:cs="宋体"/>
          <w:spacing w:val="6"/>
          <w:sz w:val="20"/>
          <w:szCs w:val="20"/>
        </w:rPr>
        <w:t>病例对照研究成败的关键之一。</w:t>
      </w:r>
    </w:p>
    <w:p w14:paraId="3AA69A04">
      <w:pPr>
        <w:pStyle w:val="2"/>
        <w:spacing w:before="160" w:line="222" w:lineRule="auto"/>
        <w:ind w:left="1142"/>
        <w:rPr>
          <w:sz w:val="20"/>
          <w:szCs w:val="20"/>
        </w:rPr>
      </w:pPr>
      <w:r>
        <w:rPr>
          <w:b/>
          <w:bCs/>
          <w:spacing w:val="16"/>
          <w:sz w:val="20"/>
          <w:szCs w:val="20"/>
        </w:rPr>
        <w:t>(</w:t>
      </w:r>
      <w:r>
        <w:rPr>
          <w:spacing w:val="-41"/>
          <w:sz w:val="20"/>
          <w:szCs w:val="20"/>
        </w:rPr>
        <w:t xml:space="preserve"> </w:t>
      </w:r>
      <w:r>
        <w:rPr>
          <w:b/>
          <w:bCs/>
          <w:spacing w:val="16"/>
          <w:sz w:val="20"/>
          <w:szCs w:val="20"/>
        </w:rPr>
        <w:t>一</w:t>
      </w:r>
      <w:r>
        <w:rPr>
          <w:spacing w:val="-53"/>
          <w:sz w:val="20"/>
          <w:szCs w:val="20"/>
        </w:rPr>
        <w:t xml:space="preserve"> </w:t>
      </w:r>
      <w:r>
        <w:rPr>
          <w:b/>
          <w:bCs/>
          <w:spacing w:val="16"/>
          <w:sz w:val="20"/>
          <w:szCs w:val="20"/>
        </w:rPr>
        <w:t>)病例的选择</w:t>
      </w:r>
    </w:p>
    <w:p w14:paraId="1334E822">
      <w:pPr>
        <w:pStyle w:val="2"/>
        <w:spacing w:before="123" w:line="333" w:lineRule="auto"/>
        <w:ind w:left="719" w:firstLine="419"/>
        <w:jc w:val="both"/>
        <w:rPr>
          <w:rFonts w:ascii="宋体" w:hAnsi="宋体" w:eastAsia="宋体" w:cs="宋体"/>
          <w:sz w:val="20"/>
          <w:szCs w:val="20"/>
        </w:rPr>
      </w:pPr>
      <w:r>
        <w:rPr>
          <w:rFonts w:ascii="宋体" w:hAnsi="宋体" w:eastAsia="宋体" w:cs="宋体"/>
          <w:spacing w:val="10"/>
          <w:sz w:val="20"/>
          <w:szCs w:val="20"/>
        </w:rPr>
        <w:t xml:space="preserve">1. </w:t>
      </w:r>
      <w:r>
        <w:rPr>
          <w:spacing w:val="10"/>
          <w:sz w:val="20"/>
          <w:szCs w:val="20"/>
        </w:rPr>
        <w:t xml:space="preserve">病例的定义 </w:t>
      </w:r>
      <w:r>
        <w:rPr>
          <w:rFonts w:ascii="宋体" w:hAnsi="宋体" w:eastAsia="宋体" w:cs="宋体"/>
          <w:spacing w:val="10"/>
          <w:sz w:val="20"/>
          <w:szCs w:val="20"/>
        </w:rPr>
        <w:t>首先，病例应符合统一、明确的疾病诊断标准。</w:t>
      </w:r>
      <w:r>
        <w:rPr>
          <w:rFonts w:ascii="宋体" w:hAnsi="宋体" w:eastAsia="宋体" w:cs="宋体"/>
          <w:spacing w:val="9"/>
          <w:sz w:val="20"/>
          <w:szCs w:val="20"/>
        </w:rPr>
        <w:t>尽量使用国际通用或国内统</w:t>
      </w:r>
      <w:r>
        <w:rPr>
          <w:rFonts w:ascii="宋体" w:hAnsi="宋体" w:eastAsia="宋体" w:cs="宋体"/>
          <w:sz w:val="20"/>
          <w:szCs w:val="20"/>
        </w:rPr>
        <w:t xml:space="preserve">  </w:t>
      </w:r>
      <w:r>
        <w:rPr>
          <w:rFonts w:ascii="宋体" w:hAnsi="宋体" w:eastAsia="宋体" w:cs="宋体"/>
          <w:spacing w:val="6"/>
          <w:sz w:val="20"/>
          <w:szCs w:val="20"/>
        </w:rPr>
        <w:t>一的诊断标准，尽可能使用“金标准”。对于尚无明确诊断标准的疾病，可根据研究的需要自</w:t>
      </w:r>
      <w:r>
        <w:rPr>
          <w:rFonts w:ascii="宋体" w:hAnsi="宋体" w:eastAsia="宋体" w:cs="宋体"/>
          <w:spacing w:val="5"/>
          <w:sz w:val="20"/>
          <w:szCs w:val="20"/>
        </w:rPr>
        <w:t>定标</w:t>
      </w:r>
      <w:r>
        <w:rPr>
          <w:rFonts w:ascii="宋体" w:hAnsi="宋体" w:eastAsia="宋体" w:cs="宋体"/>
          <w:sz w:val="20"/>
          <w:szCs w:val="20"/>
        </w:rPr>
        <w:t xml:space="preserve">  </w:t>
      </w:r>
      <w:r>
        <w:rPr>
          <w:rFonts w:ascii="宋体" w:hAnsi="宋体" w:eastAsia="宋体" w:cs="宋体"/>
          <w:spacing w:val="6"/>
          <w:sz w:val="20"/>
          <w:szCs w:val="20"/>
        </w:rPr>
        <w:t>准，但要注意均衡诊断标准的假阳性率及假阴性率，使诊断标准宽严适度。其次，研究者出于某个</w:t>
      </w:r>
      <w:r>
        <w:rPr>
          <w:rFonts w:ascii="宋体" w:hAnsi="宋体" w:eastAsia="宋体" w:cs="宋体"/>
          <w:sz w:val="20"/>
          <w:szCs w:val="20"/>
        </w:rPr>
        <w:t xml:space="preserve">  </w:t>
      </w:r>
      <w:r>
        <w:rPr>
          <w:rFonts w:ascii="宋体" w:hAnsi="宋体" w:eastAsia="宋体" w:cs="宋体"/>
          <w:spacing w:val="3"/>
          <w:sz w:val="20"/>
          <w:szCs w:val="20"/>
        </w:rPr>
        <w:t>特殊的研究目的，可以对研究对象的某些特征作出规定或限制，如老年病例、女性病例、重症病例、</w:t>
      </w:r>
      <w:r>
        <w:rPr>
          <w:rFonts w:ascii="宋体" w:hAnsi="宋体" w:eastAsia="宋体" w:cs="宋体"/>
          <w:spacing w:val="16"/>
          <w:sz w:val="20"/>
          <w:szCs w:val="20"/>
        </w:rPr>
        <w:t xml:space="preserve"> </w:t>
      </w:r>
      <w:r>
        <w:rPr>
          <w:rFonts w:ascii="宋体" w:hAnsi="宋体" w:eastAsia="宋体" w:cs="宋体"/>
          <w:spacing w:val="11"/>
          <w:sz w:val="20"/>
          <w:szCs w:val="20"/>
        </w:rPr>
        <w:t>某城市的病例等。</w:t>
      </w:r>
    </w:p>
    <w:p w14:paraId="6A10A820">
      <w:pPr>
        <w:spacing w:line="333" w:lineRule="auto"/>
        <w:rPr>
          <w:rFonts w:ascii="宋体" w:hAnsi="宋体" w:eastAsia="宋体" w:cs="宋体"/>
          <w:sz w:val="20"/>
          <w:szCs w:val="20"/>
        </w:rPr>
        <w:sectPr>
          <w:footerReference r:id="rId96" w:type="default"/>
          <w:pgSz w:w="11900" w:h="16820"/>
          <w:pgMar w:top="387" w:right="1460" w:bottom="859" w:left="770" w:header="0" w:footer="679" w:gutter="0"/>
          <w:cols w:space="720" w:num="1"/>
        </w:sectPr>
      </w:pPr>
    </w:p>
    <w:p w14:paraId="6E30CE1D">
      <w:pPr>
        <w:pStyle w:val="2"/>
        <w:spacing w:before="247" w:line="222" w:lineRule="auto"/>
        <w:ind w:left="7540"/>
        <w:rPr>
          <w:sz w:val="21"/>
          <w:szCs w:val="21"/>
        </w:rPr>
      </w:pPr>
      <w:bookmarkStart w:id="134" w:name="bookmark443"/>
      <w:bookmarkEnd w:id="134"/>
      <w:r>
        <w:rPr>
          <w:spacing w:val="-21"/>
          <w:sz w:val="21"/>
          <w:szCs w:val="21"/>
        </w:rPr>
        <w:t>第五章 病例对照研究</w:t>
      </w:r>
    </w:p>
    <w:p w14:paraId="6160D1AF">
      <w:pPr>
        <w:spacing w:line="260" w:lineRule="auto"/>
        <w:rPr>
          <w:rFonts w:ascii="Arial"/>
          <w:sz w:val="21"/>
        </w:rPr>
      </w:pPr>
    </w:p>
    <w:p w14:paraId="0696219E">
      <w:pPr>
        <w:spacing w:line="260" w:lineRule="auto"/>
        <w:rPr>
          <w:rFonts w:ascii="Arial"/>
          <w:sz w:val="21"/>
        </w:rPr>
      </w:pPr>
    </w:p>
    <w:p w14:paraId="5B05ABC3">
      <w:pPr>
        <w:pStyle w:val="2"/>
        <w:spacing w:before="68" w:line="314" w:lineRule="auto"/>
        <w:ind w:right="645" w:firstLine="420"/>
        <w:rPr>
          <w:rFonts w:ascii="宋体" w:hAnsi="宋体" w:eastAsia="宋体" w:cs="宋体"/>
          <w:sz w:val="21"/>
          <w:szCs w:val="21"/>
        </w:rPr>
      </w:pPr>
      <w:r>
        <w:rPr>
          <w:rFonts w:ascii="宋体" w:hAnsi="宋体" w:eastAsia="宋体" w:cs="宋体"/>
          <w:spacing w:val="5"/>
          <w:sz w:val="21"/>
          <w:szCs w:val="21"/>
        </w:rPr>
        <w:t xml:space="preserve">2. </w:t>
      </w:r>
      <w:r>
        <w:rPr>
          <w:spacing w:val="5"/>
          <w:sz w:val="21"/>
          <w:szCs w:val="21"/>
        </w:rPr>
        <w:t xml:space="preserve">病例的类型  </w:t>
      </w:r>
      <w:r>
        <w:rPr>
          <w:rFonts w:ascii="宋体" w:hAnsi="宋体" w:eastAsia="宋体" w:cs="宋体"/>
          <w:spacing w:val="5"/>
          <w:sz w:val="21"/>
          <w:szCs w:val="21"/>
        </w:rPr>
        <w:t>通常有三种类型(即新发病例、现患病例和死亡病例)可供选择，各有优缺点。</w:t>
      </w:r>
      <w:r>
        <w:rPr>
          <w:rFonts w:ascii="宋体" w:hAnsi="宋体" w:eastAsia="宋体" w:cs="宋体"/>
          <w:spacing w:val="13"/>
          <w:sz w:val="21"/>
          <w:szCs w:val="21"/>
        </w:rPr>
        <w:t xml:space="preserve"> </w:t>
      </w:r>
      <w:r>
        <w:rPr>
          <w:rFonts w:ascii="宋体" w:hAnsi="宋体" w:eastAsia="宋体" w:cs="宋体"/>
          <w:spacing w:val="3"/>
          <w:sz w:val="21"/>
          <w:szCs w:val="21"/>
        </w:rPr>
        <w:t>在病例对照研究中，首选新发病例，其优点在于：新发病例包括不同病情和预后的病人，代表性好；</w:t>
      </w:r>
      <w:r>
        <w:rPr>
          <w:rFonts w:ascii="宋体" w:hAnsi="宋体" w:eastAsia="宋体" w:cs="宋体"/>
          <w:spacing w:val="2"/>
          <w:sz w:val="21"/>
          <w:szCs w:val="21"/>
        </w:rPr>
        <w:t xml:space="preserve"> </w:t>
      </w:r>
      <w:r>
        <w:rPr>
          <w:rFonts w:ascii="宋体" w:hAnsi="宋体" w:eastAsia="宋体" w:cs="宋体"/>
          <w:spacing w:val="6"/>
          <w:sz w:val="21"/>
          <w:szCs w:val="21"/>
        </w:rPr>
        <w:t>另外，病人确诊不久即被调查，对有关暴露的回忆较为准确可靠，不受各种预后因素的</w:t>
      </w:r>
      <w:r>
        <w:rPr>
          <w:rFonts w:ascii="宋体" w:hAnsi="宋体" w:eastAsia="宋体" w:cs="宋体"/>
          <w:spacing w:val="5"/>
          <w:sz w:val="21"/>
          <w:szCs w:val="21"/>
        </w:rPr>
        <w:t>影响，且病</w:t>
      </w:r>
      <w:r>
        <w:rPr>
          <w:rFonts w:ascii="宋体" w:hAnsi="宋体" w:eastAsia="宋体" w:cs="宋体"/>
          <w:sz w:val="21"/>
          <w:szCs w:val="21"/>
        </w:rPr>
        <w:t xml:space="preserve">  </w:t>
      </w:r>
      <w:r>
        <w:rPr>
          <w:rFonts w:ascii="宋体" w:hAnsi="宋体" w:eastAsia="宋体" w:cs="宋体"/>
          <w:spacing w:val="12"/>
          <w:sz w:val="21"/>
          <w:szCs w:val="21"/>
        </w:rPr>
        <w:t>历资料容易获得。其缺点是在一定范围或一定时间内较难得到预</w:t>
      </w:r>
      <w:r>
        <w:rPr>
          <w:rFonts w:ascii="宋体" w:hAnsi="宋体" w:eastAsia="宋体" w:cs="宋体"/>
          <w:spacing w:val="11"/>
          <w:sz w:val="21"/>
          <w:szCs w:val="21"/>
        </w:rPr>
        <w:t>期的病例数，对于罕见疾病更是</w:t>
      </w:r>
      <w:r>
        <w:rPr>
          <w:rFonts w:ascii="宋体" w:hAnsi="宋体" w:eastAsia="宋体" w:cs="宋体"/>
          <w:sz w:val="21"/>
          <w:szCs w:val="21"/>
        </w:rPr>
        <w:t xml:space="preserve"> </w:t>
      </w:r>
      <w:r>
        <w:rPr>
          <w:rFonts w:ascii="宋体" w:hAnsi="宋体" w:eastAsia="宋体" w:cs="宋体"/>
          <w:spacing w:val="12"/>
          <w:sz w:val="21"/>
          <w:szCs w:val="21"/>
        </w:rPr>
        <w:t>如此。应用现患病例则可能弥补上述缺陷，在较小范围或较短时间内得到足够的病例数</w:t>
      </w:r>
      <w:r>
        <w:rPr>
          <w:rFonts w:ascii="宋体" w:hAnsi="宋体" w:eastAsia="宋体" w:cs="宋体"/>
          <w:spacing w:val="11"/>
          <w:sz w:val="21"/>
          <w:szCs w:val="21"/>
        </w:rPr>
        <w:t>。但现患</w:t>
      </w:r>
      <w:r>
        <w:rPr>
          <w:rFonts w:ascii="宋体" w:hAnsi="宋体" w:eastAsia="宋体" w:cs="宋体"/>
          <w:sz w:val="21"/>
          <w:szCs w:val="21"/>
        </w:rPr>
        <w:t xml:space="preserve"> </w:t>
      </w:r>
      <w:r>
        <w:rPr>
          <w:rFonts w:ascii="宋体" w:hAnsi="宋体" w:eastAsia="宋体" w:cs="宋体"/>
          <w:spacing w:val="7"/>
          <w:sz w:val="21"/>
          <w:szCs w:val="21"/>
        </w:rPr>
        <w:t>病例患病时间较长，对暴露史回忆的可靠程度</w:t>
      </w:r>
      <w:r>
        <w:rPr>
          <w:rFonts w:ascii="宋体" w:hAnsi="宋体" w:eastAsia="宋体" w:cs="宋体"/>
          <w:spacing w:val="6"/>
          <w:sz w:val="21"/>
          <w:szCs w:val="21"/>
        </w:rPr>
        <w:t>要比新发病例差，难以区分暴露与疾病发生的时间顺</w:t>
      </w:r>
      <w:r>
        <w:rPr>
          <w:rFonts w:ascii="宋体" w:hAnsi="宋体" w:eastAsia="宋体" w:cs="宋体"/>
          <w:sz w:val="21"/>
          <w:szCs w:val="21"/>
        </w:rPr>
        <w:t xml:space="preserve"> </w:t>
      </w:r>
      <w:r>
        <w:rPr>
          <w:rFonts w:ascii="宋体" w:hAnsi="宋体" w:eastAsia="宋体" w:cs="宋体"/>
          <w:spacing w:val="7"/>
          <w:sz w:val="21"/>
          <w:szCs w:val="21"/>
        </w:rPr>
        <w:t>序。因此，在应用现患病例时，要尽量选择诊断时间距离</w:t>
      </w:r>
      <w:r>
        <w:rPr>
          <w:rFonts w:ascii="宋体" w:hAnsi="宋体" w:eastAsia="宋体" w:cs="宋体"/>
          <w:spacing w:val="6"/>
          <w:sz w:val="21"/>
          <w:szCs w:val="21"/>
        </w:rPr>
        <w:t>进行调查的时间间隔较短的病例。死亡病</w:t>
      </w:r>
      <w:r>
        <w:rPr>
          <w:rFonts w:ascii="宋体" w:hAnsi="宋体" w:eastAsia="宋体" w:cs="宋体"/>
          <w:sz w:val="21"/>
          <w:szCs w:val="21"/>
        </w:rPr>
        <w:t xml:space="preserve"> </w:t>
      </w:r>
      <w:r>
        <w:rPr>
          <w:rFonts w:ascii="宋体" w:hAnsi="宋体" w:eastAsia="宋体" w:cs="宋体"/>
          <w:spacing w:val="6"/>
          <w:sz w:val="21"/>
          <w:szCs w:val="21"/>
        </w:rPr>
        <w:t>例的暴露信息主要由其家属提供，准确性较差，但对那些主要靠亲友提供资料的疾病如</w:t>
      </w:r>
      <w:r>
        <w:rPr>
          <w:rFonts w:ascii="宋体" w:hAnsi="宋体" w:eastAsia="宋体" w:cs="宋体"/>
          <w:spacing w:val="5"/>
          <w:sz w:val="21"/>
          <w:szCs w:val="21"/>
        </w:rPr>
        <w:t>儿童白血病</w:t>
      </w:r>
      <w:r>
        <w:rPr>
          <w:rFonts w:ascii="宋体" w:hAnsi="宋体" w:eastAsia="宋体" w:cs="宋体"/>
          <w:sz w:val="21"/>
          <w:szCs w:val="21"/>
        </w:rPr>
        <w:t xml:space="preserve">  </w:t>
      </w:r>
      <w:r>
        <w:rPr>
          <w:rFonts w:ascii="宋体" w:hAnsi="宋体" w:eastAsia="宋体" w:cs="宋体"/>
          <w:spacing w:val="4"/>
          <w:sz w:val="21"/>
          <w:szCs w:val="21"/>
        </w:rPr>
        <w:t>的研究，也不排除应用死亡病例，只是在资料整理</w:t>
      </w:r>
      <w:r>
        <w:rPr>
          <w:rFonts w:ascii="宋体" w:hAnsi="宋体" w:eastAsia="宋体" w:cs="宋体"/>
          <w:spacing w:val="3"/>
          <w:sz w:val="21"/>
          <w:szCs w:val="21"/>
        </w:rPr>
        <w:t>和分析时要充分考虑可能的偏倚。</w:t>
      </w:r>
    </w:p>
    <w:p w14:paraId="7A01B534">
      <w:pPr>
        <w:pStyle w:val="2"/>
        <w:spacing w:before="108" w:line="303" w:lineRule="auto"/>
        <w:ind w:right="645" w:firstLine="420"/>
        <w:rPr>
          <w:rFonts w:ascii="宋体" w:hAnsi="宋体" w:eastAsia="宋体" w:cs="宋体"/>
          <w:sz w:val="21"/>
          <w:szCs w:val="21"/>
        </w:rPr>
      </w:pPr>
      <w:r>
        <w:rPr>
          <w:rFonts w:ascii="宋体" w:hAnsi="宋体" w:eastAsia="宋体" w:cs="宋体"/>
          <w:spacing w:val="8"/>
          <w:sz w:val="21"/>
          <w:szCs w:val="21"/>
        </w:rPr>
        <w:t xml:space="preserve">3. </w:t>
      </w:r>
      <w:r>
        <w:rPr>
          <w:spacing w:val="8"/>
          <w:sz w:val="21"/>
          <w:szCs w:val="21"/>
        </w:rPr>
        <w:t xml:space="preserve">病例的来源  </w:t>
      </w:r>
      <w:r>
        <w:rPr>
          <w:rFonts w:ascii="宋体" w:hAnsi="宋体" w:eastAsia="宋体" w:cs="宋体"/>
          <w:spacing w:val="8"/>
          <w:sz w:val="21"/>
          <w:szCs w:val="21"/>
        </w:rPr>
        <w:t>病例的来源主要有两种：一类是从医院选择病例，即从一所或几所医院选择</w:t>
      </w:r>
      <w:r>
        <w:rPr>
          <w:rFonts w:ascii="宋体" w:hAnsi="宋体" w:eastAsia="宋体" w:cs="宋体"/>
          <w:spacing w:val="4"/>
          <w:sz w:val="21"/>
          <w:szCs w:val="21"/>
        </w:rPr>
        <w:t xml:space="preserve">  </w:t>
      </w:r>
      <w:r>
        <w:rPr>
          <w:rFonts w:ascii="宋体" w:hAnsi="宋体" w:eastAsia="宋体" w:cs="宋体"/>
          <w:spacing w:val="3"/>
          <w:sz w:val="21"/>
          <w:szCs w:val="21"/>
        </w:rPr>
        <w:t>符合要求的病例。医院来源的病例可节省费用，合作性好，资料容易得到，而且信息较完整、准确。</w:t>
      </w:r>
      <w:r>
        <w:rPr>
          <w:rFonts w:ascii="宋体" w:hAnsi="宋体" w:eastAsia="宋体" w:cs="宋体"/>
          <w:spacing w:val="2"/>
          <w:sz w:val="21"/>
          <w:szCs w:val="21"/>
        </w:rPr>
        <w:t xml:space="preserve"> </w:t>
      </w:r>
      <w:r>
        <w:rPr>
          <w:rFonts w:ascii="宋体" w:hAnsi="宋体" w:eastAsia="宋体" w:cs="宋体"/>
          <w:spacing w:val="8"/>
          <w:sz w:val="21"/>
          <w:szCs w:val="21"/>
        </w:rPr>
        <w:t>但不同医院接收的病人具有不同的特征，如果仅从一所医院选择病例，代表性较差。为减少偏倚，</w:t>
      </w:r>
      <w:r>
        <w:rPr>
          <w:rFonts w:ascii="宋体" w:hAnsi="宋体" w:eastAsia="宋体" w:cs="宋体"/>
          <w:sz w:val="21"/>
          <w:szCs w:val="21"/>
        </w:rPr>
        <w:t xml:space="preserve"> </w:t>
      </w:r>
      <w:r>
        <w:rPr>
          <w:rFonts w:ascii="宋体" w:hAnsi="宋体" w:eastAsia="宋体" w:cs="宋体"/>
          <w:spacing w:val="12"/>
          <w:sz w:val="21"/>
          <w:szCs w:val="21"/>
        </w:rPr>
        <w:t>病例应尽量选自不同水平、不同种类的医院。另一类是从</w:t>
      </w:r>
      <w:r>
        <w:rPr>
          <w:rFonts w:ascii="宋体" w:hAnsi="宋体" w:eastAsia="宋体" w:cs="宋体"/>
          <w:spacing w:val="11"/>
          <w:sz w:val="21"/>
          <w:szCs w:val="21"/>
        </w:rPr>
        <w:t>社区人群中选择病例。可以利用疾病监</w:t>
      </w:r>
      <w:r>
        <w:rPr>
          <w:rFonts w:ascii="宋体" w:hAnsi="宋体" w:eastAsia="宋体" w:cs="宋体"/>
          <w:sz w:val="21"/>
          <w:szCs w:val="21"/>
        </w:rPr>
        <w:t xml:space="preserve"> </w:t>
      </w:r>
      <w:r>
        <w:rPr>
          <w:rFonts w:ascii="宋体" w:hAnsi="宋体" w:eastAsia="宋体" w:cs="宋体"/>
          <w:spacing w:val="11"/>
          <w:sz w:val="21"/>
          <w:szCs w:val="21"/>
        </w:rPr>
        <w:t>测资料或居民健康档案选择合格的病例或从现况调查资料中获得，也可以选自人群队列中</w:t>
      </w:r>
      <w:r>
        <w:rPr>
          <w:rFonts w:ascii="宋体" w:hAnsi="宋体" w:eastAsia="宋体" w:cs="宋体"/>
          <w:spacing w:val="10"/>
          <w:sz w:val="21"/>
          <w:szCs w:val="21"/>
        </w:rPr>
        <w:t>发生某</w:t>
      </w:r>
      <w:r>
        <w:rPr>
          <w:rFonts w:ascii="宋体" w:hAnsi="宋体" w:eastAsia="宋体" w:cs="宋体"/>
          <w:sz w:val="21"/>
          <w:szCs w:val="21"/>
        </w:rPr>
        <w:t xml:space="preserve">  </w:t>
      </w:r>
      <w:r>
        <w:rPr>
          <w:rFonts w:ascii="宋体" w:hAnsi="宋体" w:eastAsia="宋体" w:cs="宋体"/>
          <w:spacing w:val="8"/>
          <w:sz w:val="21"/>
          <w:szCs w:val="21"/>
        </w:rPr>
        <w:t>种疾病的病人。优点是病例的代表性好，结果推及该人群的可信程度较高。但调查工作比较困难，</w:t>
      </w:r>
      <w:r>
        <w:rPr>
          <w:rFonts w:ascii="宋体" w:hAnsi="宋体" w:eastAsia="宋体" w:cs="宋体"/>
          <w:sz w:val="21"/>
          <w:szCs w:val="21"/>
        </w:rPr>
        <w:t xml:space="preserve"> </w:t>
      </w:r>
      <w:r>
        <w:rPr>
          <w:rFonts w:ascii="宋体" w:hAnsi="宋体" w:eastAsia="宋体" w:cs="宋体"/>
          <w:spacing w:val="4"/>
          <w:sz w:val="21"/>
          <w:szCs w:val="21"/>
        </w:rPr>
        <w:t>且耗费人力、物力较多。</w:t>
      </w:r>
    </w:p>
    <w:p w14:paraId="22CD458F">
      <w:pPr>
        <w:pStyle w:val="2"/>
        <w:spacing w:before="186" w:line="222" w:lineRule="auto"/>
        <w:ind w:left="423"/>
        <w:rPr>
          <w:sz w:val="21"/>
          <w:szCs w:val="21"/>
        </w:rPr>
      </w:pPr>
      <w:r>
        <w:rPr>
          <w:b/>
          <w:bCs/>
          <w:spacing w:val="-17"/>
          <w:sz w:val="21"/>
          <w:szCs w:val="21"/>
        </w:rPr>
        <w:t>(</w:t>
      </w:r>
      <w:r>
        <w:rPr>
          <w:spacing w:val="-41"/>
          <w:sz w:val="21"/>
          <w:szCs w:val="21"/>
        </w:rPr>
        <w:t xml:space="preserve"> </w:t>
      </w:r>
      <w:r>
        <w:rPr>
          <w:b/>
          <w:bCs/>
          <w:spacing w:val="-17"/>
          <w:sz w:val="21"/>
          <w:szCs w:val="21"/>
        </w:rPr>
        <w:t>二</w:t>
      </w:r>
      <w:r>
        <w:rPr>
          <w:spacing w:val="-51"/>
          <w:sz w:val="21"/>
          <w:szCs w:val="21"/>
        </w:rPr>
        <w:t xml:space="preserve"> </w:t>
      </w:r>
      <w:r>
        <w:rPr>
          <w:b/>
          <w:bCs/>
          <w:spacing w:val="-17"/>
          <w:sz w:val="21"/>
          <w:szCs w:val="21"/>
        </w:rPr>
        <w:t>)</w:t>
      </w:r>
      <w:r>
        <w:rPr>
          <w:spacing w:val="-50"/>
          <w:sz w:val="21"/>
          <w:szCs w:val="21"/>
        </w:rPr>
        <w:t xml:space="preserve"> </w:t>
      </w:r>
      <w:r>
        <w:rPr>
          <w:b/>
          <w:bCs/>
          <w:spacing w:val="-17"/>
          <w:sz w:val="21"/>
          <w:szCs w:val="21"/>
        </w:rPr>
        <w:t>对</w:t>
      </w:r>
      <w:r>
        <w:rPr>
          <w:spacing w:val="-46"/>
          <w:sz w:val="21"/>
          <w:szCs w:val="21"/>
        </w:rPr>
        <w:t xml:space="preserve"> </w:t>
      </w:r>
      <w:r>
        <w:rPr>
          <w:b/>
          <w:bCs/>
          <w:spacing w:val="-17"/>
          <w:sz w:val="21"/>
          <w:szCs w:val="21"/>
        </w:rPr>
        <w:t>照</w:t>
      </w:r>
      <w:r>
        <w:rPr>
          <w:spacing w:val="-37"/>
          <w:sz w:val="21"/>
          <w:szCs w:val="21"/>
        </w:rPr>
        <w:t xml:space="preserve"> </w:t>
      </w:r>
      <w:r>
        <w:rPr>
          <w:b/>
          <w:bCs/>
          <w:spacing w:val="-17"/>
          <w:sz w:val="21"/>
          <w:szCs w:val="21"/>
        </w:rPr>
        <w:t>的</w:t>
      </w:r>
      <w:r>
        <w:rPr>
          <w:spacing w:val="-44"/>
          <w:sz w:val="21"/>
          <w:szCs w:val="21"/>
        </w:rPr>
        <w:t xml:space="preserve"> </w:t>
      </w:r>
      <w:r>
        <w:rPr>
          <w:b/>
          <w:bCs/>
          <w:spacing w:val="-17"/>
          <w:sz w:val="21"/>
          <w:szCs w:val="21"/>
        </w:rPr>
        <w:t>选</w:t>
      </w:r>
      <w:r>
        <w:rPr>
          <w:spacing w:val="-50"/>
          <w:sz w:val="21"/>
          <w:szCs w:val="21"/>
        </w:rPr>
        <w:t xml:space="preserve"> </w:t>
      </w:r>
      <w:r>
        <w:rPr>
          <w:b/>
          <w:bCs/>
          <w:spacing w:val="-17"/>
          <w:sz w:val="21"/>
          <w:szCs w:val="21"/>
        </w:rPr>
        <w:t>择</w:t>
      </w:r>
    </w:p>
    <w:p w14:paraId="09A3E844">
      <w:pPr>
        <w:spacing w:before="100" w:line="219" w:lineRule="auto"/>
        <w:ind w:left="420"/>
        <w:rPr>
          <w:rFonts w:ascii="宋体" w:hAnsi="宋体" w:eastAsia="宋体" w:cs="宋体"/>
          <w:sz w:val="21"/>
          <w:szCs w:val="21"/>
        </w:rPr>
      </w:pPr>
      <w:r>
        <w:rPr>
          <w:rFonts w:ascii="宋体" w:hAnsi="宋体" w:eastAsia="宋体" w:cs="宋体"/>
          <w:spacing w:val="3"/>
          <w:sz w:val="21"/>
          <w:szCs w:val="21"/>
        </w:rPr>
        <w:t>在病例对照研究中，对照的选择往往比病例的选择更复</w:t>
      </w:r>
      <w:r>
        <w:rPr>
          <w:rFonts w:ascii="宋体" w:hAnsi="宋体" w:eastAsia="宋体" w:cs="宋体"/>
          <w:spacing w:val="2"/>
          <w:sz w:val="21"/>
          <w:szCs w:val="21"/>
        </w:rPr>
        <w:t>杂、更困难。</w:t>
      </w:r>
    </w:p>
    <w:p w14:paraId="28075F59">
      <w:pPr>
        <w:pStyle w:val="2"/>
        <w:spacing w:before="131" w:line="264" w:lineRule="auto"/>
        <w:ind w:right="725" w:firstLine="420"/>
        <w:rPr>
          <w:rFonts w:ascii="宋体" w:hAnsi="宋体" w:eastAsia="宋体" w:cs="宋体"/>
          <w:sz w:val="21"/>
          <w:szCs w:val="21"/>
        </w:rPr>
      </w:pPr>
      <w:r>
        <w:rPr>
          <w:rFonts w:ascii="宋体" w:hAnsi="宋体" w:eastAsia="宋体" w:cs="宋体"/>
          <w:spacing w:val="15"/>
          <w:sz w:val="21"/>
          <w:szCs w:val="21"/>
        </w:rPr>
        <w:t xml:space="preserve">1. </w:t>
      </w:r>
      <w:r>
        <w:rPr>
          <w:spacing w:val="15"/>
          <w:sz w:val="21"/>
          <w:szCs w:val="21"/>
        </w:rPr>
        <w:t>选择对照的原则</w:t>
      </w:r>
      <w:r>
        <w:rPr>
          <w:spacing w:val="105"/>
          <w:sz w:val="21"/>
          <w:szCs w:val="21"/>
        </w:rPr>
        <w:t xml:space="preserve"> </w:t>
      </w:r>
      <w:r>
        <w:rPr>
          <w:rFonts w:ascii="宋体" w:hAnsi="宋体" w:eastAsia="宋体" w:cs="宋体"/>
          <w:spacing w:val="15"/>
          <w:sz w:val="21"/>
          <w:szCs w:val="21"/>
        </w:rPr>
        <w:t>对照必须是以与病例</w:t>
      </w:r>
      <w:r>
        <w:rPr>
          <w:rFonts w:ascii="宋体" w:hAnsi="宋体" w:eastAsia="宋体" w:cs="宋体"/>
          <w:spacing w:val="14"/>
          <w:sz w:val="21"/>
          <w:szCs w:val="21"/>
        </w:rPr>
        <w:t>相同的诊断标准确认为不患所研究疾病的人。另</w:t>
      </w:r>
      <w:r>
        <w:rPr>
          <w:rFonts w:ascii="宋体" w:hAnsi="宋体" w:eastAsia="宋体" w:cs="宋体"/>
          <w:sz w:val="21"/>
          <w:szCs w:val="21"/>
        </w:rPr>
        <w:t xml:space="preserve"> </w:t>
      </w:r>
      <w:r>
        <w:rPr>
          <w:rFonts w:ascii="宋体" w:hAnsi="宋体" w:eastAsia="宋体" w:cs="宋体"/>
          <w:spacing w:val="6"/>
          <w:sz w:val="21"/>
          <w:szCs w:val="21"/>
        </w:rPr>
        <w:t>外，对照应该能够代表产生病例的源人群。</w:t>
      </w:r>
    </w:p>
    <w:p w14:paraId="385D8EA1">
      <w:pPr>
        <w:pStyle w:val="2"/>
        <w:spacing w:before="138" w:line="264" w:lineRule="auto"/>
        <w:ind w:right="712" w:firstLine="420"/>
        <w:rPr>
          <w:rFonts w:ascii="宋体" w:hAnsi="宋体" w:eastAsia="宋体" w:cs="宋体"/>
          <w:sz w:val="21"/>
          <w:szCs w:val="21"/>
        </w:rPr>
      </w:pPr>
      <w:r>
        <w:rPr>
          <w:rFonts w:ascii="宋体" w:hAnsi="宋体" w:eastAsia="宋体" w:cs="宋体"/>
          <w:spacing w:val="9"/>
          <w:sz w:val="21"/>
          <w:szCs w:val="21"/>
        </w:rPr>
        <w:t xml:space="preserve">2. </w:t>
      </w:r>
      <w:r>
        <w:rPr>
          <w:spacing w:val="9"/>
          <w:sz w:val="21"/>
          <w:szCs w:val="21"/>
        </w:rPr>
        <w:t>对照的来源</w:t>
      </w:r>
      <w:r>
        <w:rPr>
          <w:spacing w:val="6"/>
          <w:sz w:val="21"/>
          <w:szCs w:val="21"/>
        </w:rPr>
        <w:t xml:space="preserve">  </w:t>
      </w:r>
      <w:r>
        <w:rPr>
          <w:rFonts w:ascii="宋体" w:hAnsi="宋体" w:eastAsia="宋体" w:cs="宋体"/>
          <w:spacing w:val="9"/>
          <w:sz w:val="21"/>
          <w:szCs w:val="21"/>
        </w:rPr>
        <w:t>从病例的源人群中抽取对照，或者获取对照的人群的暴露分布与病例源人群</w:t>
      </w:r>
      <w:r>
        <w:rPr>
          <w:rFonts w:ascii="宋体" w:hAnsi="宋体" w:eastAsia="宋体" w:cs="宋体"/>
          <w:spacing w:val="1"/>
          <w:sz w:val="21"/>
          <w:szCs w:val="21"/>
        </w:rPr>
        <w:t xml:space="preserve"> </w:t>
      </w:r>
      <w:r>
        <w:rPr>
          <w:rFonts w:ascii="宋体" w:hAnsi="宋体" w:eastAsia="宋体" w:cs="宋体"/>
          <w:spacing w:val="9"/>
          <w:sz w:val="21"/>
          <w:szCs w:val="21"/>
        </w:rPr>
        <w:t>的暴露分布一致。主要的对照来源及其优缺点</w:t>
      </w:r>
      <w:r>
        <w:rPr>
          <w:rFonts w:ascii="宋体" w:hAnsi="宋体" w:eastAsia="宋体" w:cs="宋体"/>
          <w:spacing w:val="8"/>
          <w:sz w:val="21"/>
          <w:szCs w:val="21"/>
        </w:rPr>
        <w:t>如下：</w:t>
      </w:r>
    </w:p>
    <w:p w14:paraId="4E46F960">
      <w:pPr>
        <w:spacing w:before="121" w:line="312" w:lineRule="auto"/>
        <w:ind w:right="703" w:firstLine="420"/>
        <w:rPr>
          <w:rFonts w:ascii="宋体" w:hAnsi="宋体" w:eastAsia="宋体" w:cs="宋体"/>
          <w:sz w:val="21"/>
          <w:szCs w:val="21"/>
        </w:rPr>
      </w:pPr>
      <w:r>
        <w:rPr>
          <w:rFonts w:ascii="宋体" w:hAnsi="宋体" w:eastAsia="宋体" w:cs="宋体"/>
          <w:spacing w:val="9"/>
          <w:sz w:val="21"/>
          <w:szCs w:val="21"/>
        </w:rPr>
        <w:t>(1)同一个或多个医疗机构中诊断为其他疾病的病人：其优点为易于选取，合作性好，且可利</w:t>
      </w:r>
      <w:r>
        <w:rPr>
          <w:rFonts w:ascii="宋体" w:hAnsi="宋体" w:eastAsia="宋体" w:cs="宋体"/>
          <w:spacing w:val="11"/>
          <w:sz w:val="21"/>
          <w:szCs w:val="21"/>
        </w:rPr>
        <w:t xml:space="preserve"> </w:t>
      </w:r>
      <w:r>
        <w:rPr>
          <w:rFonts w:ascii="宋体" w:hAnsi="宋体" w:eastAsia="宋体" w:cs="宋体"/>
          <w:spacing w:val="12"/>
          <w:sz w:val="21"/>
          <w:szCs w:val="21"/>
        </w:rPr>
        <w:t>用档案资料。但是这种来源的对照的暴露分布常常不同于病例的源人群。例</w:t>
      </w:r>
      <w:r>
        <w:rPr>
          <w:rFonts w:ascii="宋体" w:hAnsi="宋体" w:eastAsia="宋体" w:cs="宋体"/>
          <w:spacing w:val="11"/>
          <w:sz w:val="21"/>
          <w:szCs w:val="21"/>
        </w:rPr>
        <w:t>如，具有研究暴露的</w:t>
      </w:r>
      <w:r>
        <w:rPr>
          <w:rFonts w:ascii="宋体" w:hAnsi="宋体" w:eastAsia="宋体" w:cs="宋体"/>
          <w:sz w:val="21"/>
          <w:szCs w:val="21"/>
        </w:rPr>
        <w:t xml:space="preserve"> </w:t>
      </w:r>
      <w:r>
        <w:rPr>
          <w:rFonts w:ascii="宋体" w:hAnsi="宋体" w:eastAsia="宋体" w:cs="宋体"/>
          <w:spacing w:val="7"/>
          <w:sz w:val="21"/>
          <w:szCs w:val="21"/>
        </w:rPr>
        <w:t>个体更有可能生病而来医院就诊，进而成为对</w:t>
      </w:r>
      <w:r>
        <w:rPr>
          <w:rFonts w:ascii="宋体" w:hAnsi="宋体" w:eastAsia="宋体" w:cs="宋体"/>
          <w:spacing w:val="6"/>
          <w:sz w:val="21"/>
          <w:szCs w:val="21"/>
        </w:rPr>
        <w:t>照组，这就导致医院对照的暴露水平高于病例源人群</w:t>
      </w:r>
      <w:r>
        <w:rPr>
          <w:rFonts w:ascii="宋体" w:hAnsi="宋体" w:eastAsia="宋体" w:cs="宋体"/>
          <w:sz w:val="21"/>
          <w:szCs w:val="21"/>
        </w:rPr>
        <w:t xml:space="preserve"> </w:t>
      </w:r>
      <w:r>
        <w:rPr>
          <w:rFonts w:ascii="宋体" w:hAnsi="宋体" w:eastAsia="宋体" w:cs="宋体"/>
          <w:spacing w:val="7"/>
          <w:sz w:val="21"/>
          <w:szCs w:val="21"/>
        </w:rPr>
        <w:t>的暴露水平。为避免这种选择偏倚，选择医院对</w:t>
      </w:r>
      <w:r>
        <w:rPr>
          <w:rFonts w:ascii="宋体" w:hAnsi="宋体" w:eastAsia="宋体" w:cs="宋体"/>
          <w:spacing w:val="6"/>
          <w:sz w:val="21"/>
          <w:szCs w:val="21"/>
        </w:rPr>
        <w:t>照时应遵循以下原则：①因已知的与所研究的暴露</w:t>
      </w:r>
      <w:r>
        <w:rPr>
          <w:rFonts w:ascii="宋体" w:hAnsi="宋体" w:eastAsia="宋体" w:cs="宋体"/>
          <w:sz w:val="21"/>
          <w:szCs w:val="21"/>
        </w:rPr>
        <w:t xml:space="preserve"> </w:t>
      </w:r>
      <w:r>
        <w:rPr>
          <w:rFonts w:ascii="宋体" w:hAnsi="宋体" w:eastAsia="宋体" w:cs="宋体"/>
          <w:spacing w:val="7"/>
          <w:sz w:val="21"/>
          <w:szCs w:val="21"/>
        </w:rPr>
        <w:t>因素有关的病种人院的病人不能作为对照。例如，研究吸烟与白</w:t>
      </w:r>
      <w:r>
        <w:rPr>
          <w:rFonts w:ascii="宋体" w:hAnsi="宋体" w:eastAsia="宋体" w:cs="宋体"/>
          <w:spacing w:val="6"/>
          <w:sz w:val="21"/>
          <w:szCs w:val="21"/>
        </w:rPr>
        <w:t>血病之间的关联，当使用医院对照</w:t>
      </w:r>
      <w:r>
        <w:rPr>
          <w:rFonts w:ascii="宋体" w:hAnsi="宋体" w:eastAsia="宋体" w:cs="宋体"/>
          <w:sz w:val="21"/>
          <w:szCs w:val="21"/>
        </w:rPr>
        <w:t xml:space="preserve"> </w:t>
      </w:r>
      <w:r>
        <w:rPr>
          <w:rFonts w:ascii="宋体" w:hAnsi="宋体" w:eastAsia="宋体" w:cs="宋体"/>
          <w:spacing w:val="7"/>
          <w:sz w:val="21"/>
          <w:szCs w:val="21"/>
        </w:rPr>
        <w:t>时，因心血管疾病、呼吸系统疾病等与吸烟有</w:t>
      </w:r>
      <w:r>
        <w:rPr>
          <w:rFonts w:ascii="宋体" w:hAnsi="宋体" w:eastAsia="宋体" w:cs="宋体"/>
          <w:spacing w:val="6"/>
          <w:sz w:val="21"/>
          <w:szCs w:val="21"/>
        </w:rPr>
        <w:t>关的病种入院的病人不能作为对照。②对照应由尽可</w:t>
      </w:r>
      <w:r>
        <w:rPr>
          <w:rFonts w:ascii="宋体" w:hAnsi="宋体" w:eastAsia="宋体" w:cs="宋体"/>
          <w:sz w:val="21"/>
          <w:szCs w:val="21"/>
        </w:rPr>
        <w:t xml:space="preserve"> </w:t>
      </w:r>
      <w:r>
        <w:rPr>
          <w:rFonts w:ascii="宋体" w:hAnsi="宋体" w:eastAsia="宋体" w:cs="宋体"/>
          <w:spacing w:val="7"/>
          <w:sz w:val="21"/>
          <w:szCs w:val="21"/>
        </w:rPr>
        <w:t>能多的病种的病人组成，以避免因过多地代表某</w:t>
      </w:r>
      <w:r>
        <w:rPr>
          <w:rFonts w:ascii="宋体" w:hAnsi="宋体" w:eastAsia="宋体" w:cs="宋体"/>
          <w:spacing w:val="6"/>
          <w:sz w:val="21"/>
          <w:szCs w:val="21"/>
        </w:rPr>
        <w:t>一类病人，而该病种恰与所研究疾病具有共同的危</w:t>
      </w:r>
      <w:r>
        <w:rPr>
          <w:rFonts w:ascii="宋体" w:hAnsi="宋体" w:eastAsia="宋体" w:cs="宋体"/>
          <w:sz w:val="21"/>
          <w:szCs w:val="21"/>
        </w:rPr>
        <w:t xml:space="preserve"> </w:t>
      </w:r>
      <w:r>
        <w:rPr>
          <w:rFonts w:ascii="宋体" w:hAnsi="宋体" w:eastAsia="宋体" w:cs="宋体"/>
          <w:spacing w:val="5"/>
          <w:sz w:val="21"/>
          <w:szCs w:val="21"/>
        </w:rPr>
        <w:t>险因素，从而影响研究结果的真实性。</w:t>
      </w:r>
    </w:p>
    <w:p w14:paraId="67E1A21E">
      <w:pPr>
        <w:spacing w:before="91" w:line="277" w:lineRule="auto"/>
        <w:ind w:right="690" w:firstLine="420"/>
        <w:rPr>
          <w:rFonts w:ascii="宋体" w:hAnsi="宋体" w:eastAsia="宋体" w:cs="宋体"/>
          <w:sz w:val="21"/>
          <w:szCs w:val="21"/>
        </w:rPr>
      </w:pPr>
      <w:r>
        <w:rPr>
          <w:rFonts w:ascii="宋体" w:hAnsi="宋体" w:eastAsia="宋体" w:cs="宋体"/>
          <w:spacing w:val="10"/>
          <w:sz w:val="21"/>
          <w:szCs w:val="21"/>
        </w:rPr>
        <w:t>(2)社区人群或团体人群中非该病病例或健康人：不易出</w:t>
      </w:r>
      <w:r>
        <w:rPr>
          <w:rFonts w:ascii="宋体" w:hAnsi="宋体" w:eastAsia="宋体" w:cs="宋体"/>
          <w:spacing w:val="9"/>
          <w:sz w:val="21"/>
          <w:szCs w:val="21"/>
        </w:rPr>
        <w:t>现上述医院对照可能面临的选择偏倚</w:t>
      </w:r>
      <w:r>
        <w:rPr>
          <w:rFonts w:ascii="宋体" w:hAnsi="宋体" w:eastAsia="宋体" w:cs="宋体"/>
          <w:sz w:val="21"/>
          <w:szCs w:val="21"/>
        </w:rPr>
        <w:t xml:space="preserve"> </w:t>
      </w:r>
      <w:r>
        <w:rPr>
          <w:rFonts w:ascii="宋体" w:hAnsi="宋体" w:eastAsia="宋体" w:cs="宋体"/>
          <w:spacing w:val="-1"/>
          <w:sz w:val="21"/>
          <w:szCs w:val="21"/>
        </w:rPr>
        <w:t>问题，但实施难度大，费用高，所选对照不易配合。</w:t>
      </w:r>
    </w:p>
    <w:p w14:paraId="342AEBF7">
      <w:pPr>
        <w:spacing w:before="111" w:line="278" w:lineRule="auto"/>
        <w:ind w:right="687" w:firstLine="420"/>
        <w:rPr>
          <w:rFonts w:ascii="宋体" w:hAnsi="宋体" w:eastAsia="宋体" w:cs="宋体"/>
          <w:sz w:val="21"/>
          <w:szCs w:val="21"/>
        </w:rPr>
      </w:pPr>
      <w:r>
        <w:rPr>
          <w:rFonts w:ascii="宋体" w:hAnsi="宋体" w:eastAsia="宋体" w:cs="宋体"/>
          <w:spacing w:val="15"/>
          <w:sz w:val="21"/>
          <w:szCs w:val="21"/>
        </w:rPr>
        <w:t>(3)病例的邻居或同一住宅区内的健康人或非该病病例：有助于控制社会经济地位的混杂作</w:t>
      </w:r>
      <w:r>
        <w:rPr>
          <w:rFonts w:ascii="宋体" w:hAnsi="宋体" w:eastAsia="宋体" w:cs="宋体"/>
          <w:spacing w:val="2"/>
          <w:sz w:val="21"/>
          <w:szCs w:val="21"/>
        </w:rPr>
        <w:t xml:space="preserve"> </w:t>
      </w:r>
      <w:r>
        <w:rPr>
          <w:rFonts w:ascii="宋体" w:hAnsi="宋体" w:eastAsia="宋体" w:cs="宋体"/>
          <w:spacing w:val="4"/>
          <w:sz w:val="21"/>
          <w:szCs w:val="21"/>
        </w:rPr>
        <w:t>用，用于匹配设计。</w:t>
      </w:r>
    </w:p>
    <w:p w14:paraId="4826E438">
      <w:pPr>
        <w:spacing w:before="98" w:line="278" w:lineRule="auto"/>
        <w:ind w:right="615" w:firstLine="420"/>
        <w:rPr>
          <w:rFonts w:ascii="宋体" w:hAnsi="宋体" w:eastAsia="宋体" w:cs="宋体"/>
          <w:sz w:val="21"/>
          <w:szCs w:val="21"/>
        </w:rPr>
      </w:pPr>
      <w:r>
        <w:rPr>
          <w:rFonts w:ascii="宋体" w:hAnsi="宋体" w:eastAsia="宋体" w:cs="宋体"/>
          <w:spacing w:val="6"/>
          <w:sz w:val="21"/>
          <w:szCs w:val="21"/>
        </w:rPr>
        <w:t>(4)病例的配偶、同胞、亲戚、同学或同事等：有助于排除某些环境或遗传因素对结果的影响，</w:t>
      </w:r>
      <w:r>
        <w:rPr>
          <w:rFonts w:ascii="宋体" w:hAnsi="宋体" w:eastAsia="宋体" w:cs="宋体"/>
          <w:spacing w:val="11"/>
          <w:sz w:val="21"/>
          <w:szCs w:val="21"/>
        </w:rPr>
        <w:t xml:space="preserve"> </w:t>
      </w:r>
      <w:r>
        <w:rPr>
          <w:rFonts w:ascii="宋体" w:hAnsi="宋体" w:eastAsia="宋体" w:cs="宋体"/>
          <w:spacing w:val="13"/>
          <w:sz w:val="21"/>
          <w:szCs w:val="21"/>
        </w:rPr>
        <w:t>用于匹配设计。</w:t>
      </w:r>
    </w:p>
    <w:p w14:paraId="5973BAD4">
      <w:pPr>
        <w:spacing w:before="117" w:line="309" w:lineRule="auto"/>
        <w:ind w:right="692" w:firstLine="420"/>
        <w:rPr>
          <w:rFonts w:ascii="宋体" w:hAnsi="宋体" w:eastAsia="宋体" w:cs="宋体"/>
          <w:sz w:val="21"/>
          <w:szCs w:val="21"/>
        </w:rPr>
      </w:pPr>
      <w:r>
        <w:rPr>
          <w:rFonts w:ascii="宋体" w:hAnsi="宋体" w:eastAsia="宋体" w:cs="宋体"/>
          <w:spacing w:val="7"/>
          <w:sz w:val="21"/>
          <w:szCs w:val="21"/>
        </w:rPr>
        <w:t>在实际工作中，可以选择多个对照，以弥补各自的不足。也应注意各种不同来源的对照可解决</w:t>
      </w:r>
      <w:r>
        <w:rPr>
          <w:rFonts w:ascii="宋体" w:hAnsi="宋体" w:eastAsia="宋体" w:cs="宋体"/>
          <w:spacing w:val="10"/>
          <w:sz w:val="21"/>
          <w:szCs w:val="21"/>
        </w:rPr>
        <w:t xml:space="preserve"> </w:t>
      </w:r>
      <w:r>
        <w:rPr>
          <w:rFonts w:ascii="宋体" w:hAnsi="宋体" w:eastAsia="宋体" w:cs="宋体"/>
          <w:spacing w:val="6"/>
          <w:sz w:val="21"/>
          <w:szCs w:val="21"/>
        </w:rPr>
        <w:t>的问题不同，在下结论时一定要综合考虑。</w:t>
      </w:r>
    </w:p>
    <w:p w14:paraId="40B0293D">
      <w:pPr>
        <w:pStyle w:val="2"/>
        <w:spacing w:before="23" w:line="212" w:lineRule="auto"/>
        <w:ind w:left="420"/>
        <w:rPr>
          <w:rFonts w:ascii="宋体" w:hAnsi="宋体" w:eastAsia="宋体" w:cs="宋体"/>
          <w:sz w:val="21"/>
          <w:szCs w:val="21"/>
        </w:rPr>
      </w:pPr>
      <w:r>
        <w:rPr>
          <w:rFonts w:ascii="Times New Roman" w:hAnsi="Times New Roman" w:eastAsia="Times New Roman" w:cs="Times New Roman"/>
          <w:spacing w:val="8"/>
          <w:sz w:val="21"/>
          <w:szCs w:val="21"/>
        </w:rPr>
        <w:t xml:space="preserve">3.   </w:t>
      </w:r>
      <w:r>
        <w:rPr>
          <w:spacing w:val="8"/>
          <w:sz w:val="21"/>
          <w:szCs w:val="21"/>
        </w:rPr>
        <w:t xml:space="preserve">选择对照的方法  </w:t>
      </w:r>
      <w:r>
        <w:rPr>
          <w:rFonts w:ascii="宋体" w:hAnsi="宋体" w:eastAsia="宋体" w:cs="宋体"/>
          <w:spacing w:val="8"/>
          <w:sz w:val="21"/>
          <w:szCs w:val="21"/>
        </w:rPr>
        <w:t>可采取匹配</w:t>
      </w:r>
      <w:r>
        <w:rPr>
          <w:rFonts w:ascii="Times New Roman" w:hAnsi="Times New Roman" w:eastAsia="Times New Roman" w:cs="Times New Roman"/>
          <w:spacing w:val="8"/>
          <w:sz w:val="21"/>
          <w:szCs w:val="21"/>
        </w:rPr>
        <w:t>(</w:t>
      </w:r>
      <w:r>
        <w:rPr>
          <w:rFonts w:ascii="Times New Roman" w:hAnsi="Times New Roman" w:eastAsia="Times New Roman" w:cs="Times New Roman"/>
          <w:sz w:val="21"/>
          <w:szCs w:val="21"/>
        </w:rPr>
        <w:t>matching</w:t>
      </w:r>
      <w:r>
        <w:rPr>
          <w:rFonts w:ascii="Times New Roman" w:hAnsi="Times New Roman" w:eastAsia="Times New Roman" w:cs="Times New Roman"/>
          <w:spacing w:val="8"/>
          <w:sz w:val="21"/>
          <w:szCs w:val="21"/>
        </w:rPr>
        <w:t xml:space="preserve">)   </w:t>
      </w:r>
      <w:r>
        <w:rPr>
          <w:rFonts w:ascii="宋体" w:hAnsi="宋体" w:eastAsia="宋体" w:cs="宋体"/>
          <w:spacing w:val="8"/>
          <w:sz w:val="21"/>
          <w:szCs w:val="21"/>
        </w:rPr>
        <w:t>与非匹配两种方法。非匹配设计时，选择</w:t>
      </w:r>
      <w:r>
        <w:rPr>
          <w:rFonts w:ascii="宋体" w:hAnsi="宋体" w:eastAsia="宋体" w:cs="宋体"/>
          <w:spacing w:val="7"/>
          <w:sz w:val="21"/>
          <w:szCs w:val="21"/>
        </w:rPr>
        <w:t>对照时</w:t>
      </w:r>
    </w:p>
    <w:p w14:paraId="3D538199">
      <w:pPr>
        <w:spacing w:line="212" w:lineRule="auto"/>
        <w:rPr>
          <w:rFonts w:ascii="宋体" w:hAnsi="宋体" w:eastAsia="宋体" w:cs="宋体"/>
          <w:sz w:val="21"/>
          <w:szCs w:val="21"/>
        </w:rPr>
        <w:sectPr>
          <w:footerReference r:id="rId97" w:type="default"/>
          <w:pgSz w:w="11900" w:h="16820"/>
          <w:pgMar w:top="400" w:right="599" w:bottom="866" w:left="1279" w:header="0" w:footer="677" w:gutter="0"/>
          <w:cols w:space="720" w:num="1"/>
        </w:sectPr>
      </w:pPr>
    </w:p>
    <w:p w14:paraId="6E970970">
      <w:pPr>
        <w:pStyle w:val="2"/>
        <w:spacing w:before="116" w:line="222" w:lineRule="auto"/>
        <w:ind w:left="709"/>
        <w:rPr>
          <w:sz w:val="20"/>
          <w:szCs w:val="20"/>
        </w:rPr>
      </w:pPr>
      <w:r>
        <w:rPr>
          <w:spacing w:val="-15"/>
          <w:sz w:val="20"/>
          <w:szCs w:val="20"/>
        </w:rPr>
        <w:t>第五章病例对照研究</w:t>
      </w:r>
    </w:p>
    <w:p w14:paraId="0A50B0CC">
      <w:pPr>
        <w:spacing w:line="276" w:lineRule="auto"/>
        <w:rPr>
          <w:rFonts w:ascii="Arial"/>
          <w:sz w:val="21"/>
        </w:rPr>
      </w:pPr>
    </w:p>
    <w:p w14:paraId="5E11E3B9">
      <w:pPr>
        <w:spacing w:line="277" w:lineRule="auto"/>
        <w:rPr>
          <w:rFonts w:ascii="Arial"/>
          <w:sz w:val="21"/>
        </w:rPr>
      </w:pPr>
    </w:p>
    <w:p w14:paraId="708A33D0">
      <w:pPr>
        <w:spacing w:before="65" w:line="352" w:lineRule="auto"/>
        <w:ind w:left="699" w:right="90" w:firstLine="9"/>
        <w:jc w:val="both"/>
        <w:rPr>
          <w:rFonts w:ascii="宋体" w:hAnsi="宋体" w:eastAsia="宋体" w:cs="宋体"/>
          <w:sz w:val="20"/>
          <w:szCs w:val="20"/>
        </w:rPr>
      </w:pPr>
      <w:r>
        <w:rPr>
          <w:rFonts w:ascii="宋体" w:hAnsi="宋体" w:eastAsia="宋体" w:cs="宋体"/>
          <w:spacing w:val="3"/>
          <w:sz w:val="20"/>
          <w:szCs w:val="20"/>
        </w:rPr>
        <w:t>除尽可能代表产生病例的源人群之外，对于对照的特征没有严格的限制和要</w:t>
      </w:r>
      <w:r>
        <w:rPr>
          <w:rFonts w:ascii="宋体" w:hAnsi="宋体" w:eastAsia="宋体" w:cs="宋体"/>
          <w:spacing w:val="2"/>
          <w:sz w:val="20"/>
          <w:szCs w:val="20"/>
        </w:rPr>
        <w:t>求。匹配或称配比，是</w:t>
      </w:r>
      <w:r>
        <w:rPr>
          <w:rFonts w:ascii="宋体" w:hAnsi="宋体" w:eastAsia="宋体" w:cs="宋体"/>
          <w:sz w:val="20"/>
          <w:szCs w:val="20"/>
        </w:rPr>
        <w:t xml:space="preserve"> </w:t>
      </w:r>
      <w:r>
        <w:rPr>
          <w:rFonts w:ascii="宋体" w:hAnsi="宋体" w:eastAsia="宋体" w:cs="宋体"/>
          <w:spacing w:val="5"/>
          <w:sz w:val="20"/>
          <w:szCs w:val="20"/>
        </w:rPr>
        <w:t>要求对照在某些特征或因素上与病例保持一致，保证对照与病例</w:t>
      </w:r>
      <w:r>
        <w:rPr>
          <w:rFonts w:ascii="宋体" w:hAnsi="宋体" w:eastAsia="宋体" w:cs="宋体"/>
          <w:spacing w:val="4"/>
          <w:sz w:val="20"/>
          <w:szCs w:val="20"/>
        </w:rPr>
        <w:t>具有可比性</w:t>
      </w:r>
      <w:r>
        <w:rPr>
          <w:rFonts w:ascii="Times New Roman" w:hAnsi="Times New Roman" w:eastAsia="Times New Roman" w:cs="Times New Roman"/>
          <w:spacing w:val="4"/>
          <w:sz w:val="20"/>
          <w:szCs w:val="20"/>
        </w:rPr>
        <w:t>(</w:t>
      </w:r>
      <w:r>
        <w:rPr>
          <w:rFonts w:ascii="Times New Roman" w:hAnsi="Times New Roman" w:eastAsia="Times New Roman" w:cs="Times New Roman"/>
          <w:sz w:val="20"/>
          <w:szCs w:val="20"/>
        </w:rPr>
        <w:t>comparability</w:t>
      </w:r>
      <w:r>
        <w:rPr>
          <w:rFonts w:ascii="Times New Roman" w:hAnsi="Times New Roman" w:eastAsia="Times New Roman" w:cs="Times New Roman"/>
          <w:spacing w:val="4"/>
          <w:sz w:val="20"/>
          <w:szCs w:val="20"/>
        </w:rPr>
        <w:t xml:space="preserve">),    </w:t>
      </w:r>
      <w:r>
        <w:rPr>
          <w:rFonts w:ascii="宋体" w:hAnsi="宋体" w:eastAsia="宋体" w:cs="宋体"/>
          <w:spacing w:val="4"/>
          <w:sz w:val="20"/>
          <w:szCs w:val="20"/>
        </w:rPr>
        <w:t>以</w:t>
      </w:r>
      <w:r>
        <w:rPr>
          <w:rFonts w:ascii="宋体" w:hAnsi="宋体" w:eastAsia="宋体" w:cs="宋体"/>
          <w:spacing w:val="-42"/>
          <w:sz w:val="20"/>
          <w:szCs w:val="20"/>
        </w:rPr>
        <w:t xml:space="preserve"> </w:t>
      </w:r>
      <w:r>
        <w:rPr>
          <w:rFonts w:ascii="宋体" w:hAnsi="宋体" w:eastAsia="宋体" w:cs="宋体"/>
          <w:spacing w:val="4"/>
          <w:sz w:val="20"/>
          <w:szCs w:val="20"/>
        </w:rPr>
        <w:t>便</w:t>
      </w:r>
      <w:r>
        <w:rPr>
          <w:rFonts w:ascii="宋体" w:hAnsi="宋体" w:eastAsia="宋体" w:cs="宋体"/>
          <w:sz w:val="20"/>
          <w:szCs w:val="20"/>
        </w:rPr>
        <w:t xml:space="preserve"> </w:t>
      </w:r>
      <w:r>
        <w:rPr>
          <w:rFonts w:ascii="宋体" w:hAnsi="宋体" w:eastAsia="宋体" w:cs="宋体"/>
          <w:spacing w:val="8"/>
          <w:sz w:val="20"/>
          <w:szCs w:val="20"/>
        </w:rPr>
        <w:t>对两组进行比较时排除匹配因素的干扰。匹配的目的主</w:t>
      </w:r>
      <w:r>
        <w:rPr>
          <w:rFonts w:ascii="宋体" w:hAnsi="宋体" w:eastAsia="宋体" w:cs="宋体"/>
          <w:spacing w:val="7"/>
          <w:sz w:val="20"/>
          <w:szCs w:val="20"/>
        </w:rPr>
        <w:t>要是提高研究效率，其次是控制混杂因素</w:t>
      </w:r>
      <w:r>
        <w:rPr>
          <w:rFonts w:ascii="宋体" w:hAnsi="宋体" w:eastAsia="宋体" w:cs="宋体"/>
          <w:sz w:val="20"/>
          <w:szCs w:val="20"/>
        </w:rPr>
        <w:t xml:space="preserve"> </w:t>
      </w:r>
      <w:r>
        <w:rPr>
          <w:rFonts w:ascii="宋体" w:hAnsi="宋体" w:eastAsia="宋体" w:cs="宋体"/>
          <w:spacing w:val="5"/>
          <w:sz w:val="20"/>
          <w:szCs w:val="20"/>
        </w:rPr>
        <w:t>的干扰。</w:t>
      </w:r>
    </w:p>
    <w:p w14:paraId="768F8D94">
      <w:pPr>
        <w:spacing w:before="9" w:line="353" w:lineRule="auto"/>
        <w:ind w:left="699" w:firstLine="420"/>
        <w:jc w:val="both"/>
        <w:rPr>
          <w:rFonts w:ascii="宋体" w:hAnsi="宋体" w:eastAsia="宋体" w:cs="宋体"/>
          <w:sz w:val="20"/>
          <w:szCs w:val="20"/>
        </w:rPr>
      </w:pPr>
      <w:r>
        <w:rPr>
          <w:rFonts w:ascii="宋体" w:hAnsi="宋体" w:eastAsia="宋体" w:cs="宋体"/>
          <w:spacing w:val="3"/>
          <w:sz w:val="20"/>
          <w:szCs w:val="20"/>
        </w:rPr>
        <w:t>匹配变量必须是确定或有充分的理由怀疑为混杂因素，否则不应匹配。首先，疾病因果链上的</w:t>
      </w:r>
      <w:r>
        <w:rPr>
          <w:rFonts w:ascii="宋体" w:hAnsi="宋体" w:eastAsia="宋体" w:cs="宋体"/>
          <w:spacing w:val="5"/>
          <w:sz w:val="20"/>
          <w:szCs w:val="20"/>
        </w:rPr>
        <w:t xml:space="preserve">  </w:t>
      </w:r>
      <w:r>
        <w:rPr>
          <w:rFonts w:ascii="宋体" w:hAnsi="宋体" w:eastAsia="宋体" w:cs="宋体"/>
          <w:spacing w:val="8"/>
          <w:sz w:val="20"/>
          <w:szCs w:val="20"/>
        </w:rPr>
        <w:t>中间变量不应匹配。其次，只与可疑病因有关而与疾病无关的因素不应匹配。例如，炎热天气暴</w:t>
      </w:r>
      <w:r>
        <w:rPr>
          <w:rFonts w:ascii="宋体" w:hAnsi="宋体" w:eastAsia="宋体" w:cs="宋体"/>
          <w:spacing w:val="5"/>
          <w:sz w:val="20"/>
          <w:szCs w:val="20"/>
        </w:rPr>
        <w:t xml:space="preserve">  </w:t>
      </w:r>
      <w:r>
        <w:rPr>
          <w:rFonts w:ascii="宋体" w:hAnsi="宋体" w:eastAsia="宋体" w:cs="宋体"/>
          <w:spacing w:val="3"/>
          <w:sz w:val="20"/>
          <w:szCs w:val="20"/>
        </w:rPr>
        <w:t>露与溺水的关系研究中，冰淇淋的食用与炎热天气有关，但与溺水并无关联，因此不能将冰淇淋的</w:t>
      </w:r>
      <w:r>
        <w:rPr>
          <w:rFonts w:ascii="宋体" w:hAnsi="宋体" w:eastAsia="宋体" w:cs="宋体"/>
          <w:spacing w:val="8"/>
          <w:sz w:val="20"/>
          <w:szCs w:val="20"/>
        </w:rPr>
        <w:t xml:space="preserve">  </w:t>
      </w:r>
      <w:r>
        <w:rPr>
          <w:rFonts w:ascii="宋体" w:hAnsi="宋体" w:eastAsia="宋体" w:cs="宋体"/>
          <w:spacing w:val="6"/>
          <w:sz w:val="20"/>
          <w:szCs w:val="20"/>
        </w:rPr>
        <w:t>食用作为匹配因素。这两种情况下用来匹配的因素都不</w:t>
      </w:r>
      <w:r>
        <w:rPr>
          <w:rFonts w:ascii="宋体" w:hAnsi="宋体" w:eastAsia="宋体" w:cs="宋体"/>
          <w:spacing w:val="5"/>
          <w:sz w:val="20"/>
          <w:szCs w:val="20"/>
        </w:rPr>
        <w:t>符合混杂因素的特征，所以不应用来匹配。</w:t>
      </w:r>
      <w:r>
        <w:rPr>
          <w:rFonts w:ascii="宋体" w:hAnsi="宋体" w:eastAsia="宋体" w:cs="宋体"/>
          <w:sz w:val="20"/>
          <w:szCs w:val="20"/>
        </w:rPr>
        <w:t xml:space="preserve"> </w:t>
      </w:r>
      <w:r>
        <w:rPr>
          <w:rFonts w:ascii="宋体" w:hAnsi="宋体" w:eastAsia="宋体" w:cs="宋体"/>
          <w:spacing w:val="4"/>
          <w:sz w:val="20"/>
          <w:szCs w:val="20"/>
        </w:rPr>
        <w:t>在一个研究中，不应该选择过多的匹配因素</w:t>
      </w:r>
      <w:r>
        <w:rPr>
          <w:rFonts w:ascii="宋体" w:hAnsi="宋体" w:eastAsia="宋体" w:cs="宋体"/>
          <w:spacing w:val="3"/>
          <w:sz w:val="20"/>
          <w:szCs w:val="20"/>
        </w:rPr>
        <w:t>，因为匹配变量越多，选择合格的对照就越困难；而且</w:t>
      </w:r>
      <w:r>
        <w:rPr>
          <w:rFonts w:ascii="宋体" w:hAnsi="宋体" w:eastAsia="宋体" w:cs="宋体"/>
          <w:sz w:val="20"/>
          <w:szCs w:val="20"/>
        </w:rPr>
        <w:t xml:space="preserve">  </w:t>
      </w:r>
      <w:r>
        <w:rPr>
          <w:rFonts w:ascii="宋体" w:hAnsi="宋体" w:eastAsia="宋体" w:cs="宋体"/>
          <w:spacing w:val="3"/>
          <w:sz w:val="20"/>
          <w:szCs w:val="20"/>
        </w:rPr>
        <w:t xml:space="preserve">把不起混杂作用的因素作为匹配变量进行匹配，试图使对照组与病例组在多方面都一致，结果导致  </w:t>
      </w:r>
      <w:r>
        <w:rPr>
          <w:rFonts w:ascii="宋体" w:hAnsi="宋体" w:eastAsia="宋体" w:cs="宋体"/>
          <w:spacing w:val="-1"/>
          <w:sz w:val="20"/>
          <w:szCs w:val="20"/>
        </w:rPr>
        <w:t>所研究的因素也趋于一致，反而降低了研究效率，这种情况称为匹配过度(overm</w:t>
      </w:r>
      <w:r>
        <w:rPr>
          <w:rFonts w:ascii="宋体" w:hAnsi="宋体" w:eastAsia="宋体" w:cs="宋体"/>
          <w:spacing w:val="-2"/>
          <w:sz w:val="20"/>
          <w:szCs w:val="20"/>
        </w:rPr>
        <w:t>atching)。一般除性</w:t>
      </w:r>
      <w:r>
        <w:rPr>
          <w:rFonts w:ascii="宋体" w:hAnsi="宋体" w:eastAsia="宋体" w:cs="宋体"/>
          <w:sz w:val="20"/>
          <w:szCs w:val="20"/>
        </w:rPr>
        <w:t xml:space="preserve">  </w:t>
      </w:r>
      <w:r>
        <w:rPr>
          <w:rFonts w:ascii="宋体" w:hAnsi="宋体" w:eastAsia="宋体" w:cs="宋体"/>
          <w:spacing w:val="-4"/>
          <w:sz w:val="20"/>
          <w:szCs w:val="20"/>
        </w:rPr>
        <w:t>别、年龄之外，对其他因素是否进行匹配，须持慎重态度，以防止匹配过度。</w:t>
      </w:r>
    </w:p>
    <w:p w14:paraId="4FEBF7EA">
      <w:pPr>
        <w:spacing w:before="3" w:line="343" w:lineRule="auto"/>
        <w:ind w:left="709" w:right="91" w:firstLine="410"/>
        <w:rPr>
          <w:rFonts w:ascii="宋体" w:hAnsi="宋体" w:eastAsia="宋体" w:cs="宋体"/>
          <w:sz w:val="20"/>
          <w:szCs w:val="20"/>
        </w:rPr>
      </w:pPr>
      <w:r>
        <w:rPr>
          <w:rFonts w:ascii="宋体" w:hAnsi="宋体" w:eastAsia="宋体" w:cs="宋体"/>
          <w:spacing w:val="3"/>
          <w:sz w:val="20"/>
          <w:szCs w:val="20"/>
        </w:rPr>
        <w:t>匹配的变量应当一致到什么程度，取决于变量的性质、必要性与可操作性。离散变量可以完全</w:t>
      </w:r>
      <w:r>
        <w:rPr>
          <w:rFonts w:ascii="宋体" w:hAnsi="宋体" w:eastAsia="宋体" w:cs="宋体"/>
          <w:spacing w:val="5"/>
          <w:sz w:val="20"/>
          <w:szCs w:val="20"/>
        </w:rPr>
        <w:t xml:space="preserve"> </w:t>
      </w:r>
      <w:r>
        <w:rPr>
          <w:rFonts w:ascii="宋体" w:hAnsi="宋体" w:eastAsia="宋体" w:cs="宋体"/>
          <w:spacing w:val="1"/>
          <w:sz w:val="20"/>
          <w:szCs w:val="20"/>
        </w:rPr>
        <w:t>匹配；连续变量可以首先划分为若干组，再按组匹配，如按5岁一</w:t>
      </w:r>
      <w:r>
        <w:rPr>
          <w:rFonts w:ascii="宋体" w:hAnsi="宋体" w:eastAsia="宋体" w:cs="宋体"/>
          <w:sz w:val="20"/>
          <w:szCs w:val="20"/>
        </w:rPr>
        <w:t>个年龄组进行年龄匹配。</w:t>
      </w:r>
    </w:p>
    <w:p w14:paraId="60D2FD8A">
      <w:pPr>
        <w:spacing w:before="36" w:line="349" w:lineRule="auto"/>
        <w:ind w:left="709" w:firstLine="400"/>
        <w:jc w:val="both"/>
        <w:rPr>
          <w:rFonts w:ascii="宋体" w:hAnsi="宋体" w:eastAsia="宋体" w:cs="宋体"/>
          <w:sz w:val="20"/>
          <w:szCs w:val="20"/>
        </w:rPr>
      </w:pPr>
      <w:r>
        <w:rPr>
          <w:rFonts w:ascii="宋体" w:hAnsi="宋体" w:eastAsia="宋体" w:cs="宋体"/>
          <w:spacing w:val="-4"/>
          <w:sz w:val="20"/>
          <w:szCs w:val="20"/>
        </w:rPr>
        <w:t>根据匹配的方式不同，可分为频数匹配(frequency matching)和个体匹配(indivi</w:t>
      </w:r>
      <w:r>
        <w:rPr>
          <w:rFonts w:ascii="宋体" w:hAnsi="宋体" w:eastAsia="宋体" w:cs="宋体"/>
          <w:spacing w:val="-5"/>
          <w:sz w:val="20"/>
          <w:szCs w:val="20"/>
        </w:rPr>
        <w:t>dual matching)。</w:t>
      </w:r>
      <w:r>
        <w:rPr>
          <w:rFonts w:ascii="宋体" w:hAnsi="宋体" w:eastAsia="宋体" w:cs="宋体"/>
          <w:sz w:val="20"/>
          <w:szCs w:val="20"/>
        </w:rPr>
        <w:t xml:space="preserve"> </w:t>
      </w:r>
      <w:r>
        <w:rPr>
          <w:rFonts w:ascii="宋体" w:hAnsi="宋体" w:eastAsia="宋体" w:cs="宋体"/>
          <w:spacing w:val="8"/>
          <w:sz w:val="20"/>
          <w:szCs w:val="20"/>
        </w:rPr>
        <w:t>频数匹配是指对照组具有某种或某些因素或特征者所占的比例与病例组一致或相近。个体匹配是</w:t>
      </w:r>
      <w:r>
        <w:rPr>
          <w:rFonts w:ascii="宋体" w:hAnsi="宋体" w:eastAsia="宋体" w:cs="宋体"/>
          <w:spacing w:val="13"/>
          <w:sz w:val="20"/>
          <w:szCs w:val="20"/>
        </w:rPr>
        <w:t xml:space="preserve"> </w:t>
      </w:r>
      <w:r>
        <w:rPr>
          <w:rFonts w:ascii="宋体" w:hAnsi="宋体" w:eastAsia="宋体" w:cs="宋体"/>
          <w:spacing w:val="4"/>
          <w:sz w:val="20"/>
          <w:szCs w:val="20"/>
        </w:rPr>
        <w:t>以对照与病例个体为单位进行匹配。1个病例可以匹配1个对照</w:t>
      </w:r>
      <w:r>
        <w:rPr>
          <w:rFonts w:ascii="宋体" w:hAnsi="宋体" w:eastAsia="宋体" w:cs="宋体"/>
          <w:spacing w:val="3"/>
          <w:sz w:val="20"/>
          <w:szCs w:val="20"/>
        </w:rPr>
        <w:t>，这种情况叫配对(</w:t>
      </w:r>
      <w:r>
        <w:rPr>
          <w:rFonts w:ascii="宋体" w:hAnsi="宋体" w:eastAsia="宋体" w:cs="宋体"/>
          <w:sz w:val="20"/>
          <w:szCs w:val="20"/>
        </w:rPr>
        <w:t>pair</w:t>
      </w:r>
      <w:r>
        <w:rPr>
          <w:rFonts w:ascii="宋体" w:hAnsi="宋体" w:eastAsia="宋体" w:cs="宋体"/>
          <w:spacing w:val="3"/>
          <w:sz w:val="20"/>
          <w:szCs w:val="20"/>
        </w:rPr>
        <w:t xml:space="preserve"> </w:t>
      </w:r>
      <w:r>
        <w:rPr>
          <w:rFonts w:ascii="宋体" w:hAnsi="宋体" w:eastAsia="宋体" w:cs="宋体"/>
          <w:sz w:val="20"/>
          <w:szCs w:val="20"/>
        </w:rPr>
        <w:t>matching</w:t>
      </w:r>
      <w:r>
        <w:rPr>
          <w:rFonts w:ascii="宋体" w:hAnsi="宋体" w:eastAsia="宋体" w:cs="宋体"/>
          <w:spacing w:val="3"/>
          <w:sz w:val="20"/>
          <w:szCs w:val="20"/>
        </w:rPr>
        <w:t>);</w:t>
      </w:r>
      <w:r>
        <w:rPr>
          <w:rFonts w:ascii="宋体" w:hAnsi="宋体" w:eastAsia="宋体" w:cs="宋体"/>
          <w:sz w:val="20"/>
          <w:szCs w:val="20"/>
        </w:rPr>
        <w:t xml:space="preserve">  </w:t>
      </w:r>
      <w:r>
        <w:rPr>
          <w:rFonts w:ascii="宋体" w:hAnsi="宋体" w:eastAsia="宋体" w:cs="宋体"/>
          <w:spacing w:val="16"/>
          <w:sz w:val="20"/>
          <w:szCs w:val="20"/>
        </w:rPr>
        <w:t>也可以1个病例匹配多个对照，如1:2、1:3……1:r匹配。病例与对照的比例要根据研究的具</w:t>
      </w:r>
      <w:r>
        <w:rPr>
          <w:rFonts w:ascii="宋体" w:hAnsi="宋体" w:eastAsia="宋体" w:cs="宋体"/>
          <w:spacing w:val="5"/>
          <w:sz w:val="20"/>
          <w:szCs w:val="20"/>
        </w:rPr>
        <w:t xml:space="preserve">  </w:t>
      </w:r>
      <w:r>
        <w:rPr>
          <w:rFonts w:ascii="宋体" w:hAnsi="宋体" w:eastAsia="宋体" w:cs="宋体"/>
          <w:spacing w:val="3"/>
          <w:sz w:val="20"/>
          <w:szCs w:val="20"/>
        </w:rPr>
        <w:t>体情况而定。一般情况下，总样本量一定时，如果病例和对照的来源都较充足，病例与对照之比为</w:t>
      </w:r>
      <w:r>
        <w:rPr>
          <w:rFonts w:ascii="宋体" w:hAnsi="宋体" w:eastAsia="宋体" w:cs="宋体"/>
          <w:spacing w:val="4"/>
          <w:sz w:val="20"/>
          <w:szCs w:val="20"/>
        </w:rPr>
        <w:t xml:space="preserve">  </w:t>
      </w:r>
      <w:r>
        <w:rPr>
          <w:rFonts w:ascii="宋体" w:hAnsi="宋体" w:eastAsia="宋体" w:cs="宋体"/>
          <w:spacing w:val="10"/>
          <w:sz w:val="20"/>
          <w:szCs w:val="20"/>
        </w:rPr>
        <w:t>1:1时的统计学效率最高。但如果所研究的是罕见病或所能获得的合格病例数很少，可增加匹配</w:t>
      </w:r>
      <w:r>
        <w:rPr>
          <w:rFonts w:ascii="宋体" w:hAnsi="宋体" w:eastAsia="宋体" w:cs="宋体"/>
          <w:spacing w:val="8"/>
          <w:sz w:val="20"/>
          <w:szCs w:val="20"/>
        </w:rPr>
        <w:t xml:space="preserve">  </w:t>
      </w:r>
      <w:r>
        <w:rPr>
          <w:rFonts w:ascii="宋体" w:hAnsi="宋体" w:eastAsia="宋体" w:cs="宋体"/>
          <w:spacing w:val="2"/>
          <w:sz w:val="20"/>
          <w:szCs w:val="20"/>
        </w:rPr>
        <w:t>的对照数，即采用1:</w:t>
      </w:r>
      <w:r>
        <w:rPr>
          <w:rFonts w:ascii="Times New Roman" w:hAnsi="Times New Roman" w:eastAsia="Times New Roman" w:cs="Times New Roman"/>
          <w:spacing w:val="2"/>
          <w:sz w:val="20"/>
          <w:szCs w:val="20"/>
        </w:rPr>
        <w:t xml:space="preserve">r </w:t>
      </w:r>
      <w:r>
        <w:rPr>
          <w:rFonts w:ascii="宋体" w:hAnsi="宋体" w:eastAsia="宋体" w:cs="宋体"/>
          <w:spacing w:val="2"/>
          <w:sz w:val="20"/>
          <w:szCs w:val="20"/>
        </w:rPr>
        <w:t>匹配。随着</w:t>
      </w:r>
      <w:r>
        <w:rPr>
          <w:rFonts w:ascii="Times New Roman" w:hAnsi="Times New Roman" w:eastAsia="Times New Roman" w:cs="Times New Roman"/>
          <w:spacing w:val="2"/>
          <w:sz w:val="20"/>
          <w:szCs w:val="20"/>
        </w:rPr>
        <w:t>r</w:t>
      </w:r>
      <w:r>
        <w:rPr>
          <w:rFonts w:ascii="Times New Roman" w:hAnsi="Times New Roman" w:eastAsia="Times New Roman" w:cs="Times New Roman"/>
          <w:spacing w:val="23"/>
          <w:sz w:val="20"/>
          <w:szCs w:val="20"/>
        </w:rPr>
        <w:t xml:space="preserve"> </w:t>
      </w:r>
      <w:r>
        <w:rPr>
          <w:rFonts w:ascii="宋体" w:hAnsi="宋体" w:eastAsia="宋体" w:cs="宋体"/>
          <w:spacing w:val="2"/>
          <w:sz w:val="20"/>
          <w:szCs w:val="20"/>
        </w:rPr>
        <w:t>值的增加，效率逐渐增加，但增加的幅度越来越小，而工作量却</w:t>
      </w:r>
      <w:r>
        <w:rPr>
          <w:rFonts w:ascii="宋体" w:hAnsi="宋体" w:eastAsia="宋体" w:cs="宋体"/>
          <w:sz w:val="20"/>
          <w:szCs w:val="20"/>
        </w:rPr>
        <w:t xml:space="preserve">  </w:t>
      </w:r>
      <w:r>
        <w:rPr>
          <w:rFonts w:ascii="宋体" w:hAnsi="宋体" w:eastAsia="宋体" w:cs="宋体"/>
          <w:spacing w:val="5"/>
          <w:sz w:val="20"/>
          <w:szCs w:val="20"/>
        </w:rPr>
        <w:t>显著增大，尤其超过1:4时。因此，实际应用时要权衡利弊选择匹配的比例。</w:t>
      </w:r>
    </w:p>
    <w:p w14:paraId="7DF8C0B5">
      <w:pPr>
        <w:pStyle w:val="2"/>
        <w:spacing w:before="216" w:line="222" w:lineRule="auto"/>
        <w:ind w:left="1170"/>
        <w:outlineLvl w:val="2"/>
        <w:rPr>
          <w:sz w:val="20"/>
          <w:szCs w:val="20"/>
        </w:rPr>
      </w:pPr>
      <w:bookmarkStart w:id="135" w:name="bookmark87"/>
      <w:bookmarkEnd w:id="135"/>
      <w:r>
        <w:rPr>
          <w:spacing w:val="-13"/>
          <w:sz w:val="20"/>
          <w:szCs w:val="20"/>
        </w:rPr>
        <w:t>四</w:t>
      </w:r>
      <w:r>
        <w:rPr>
          <w:spacing w:val="22"/>
          <w:sz w:val="20"/>
          <w:szCs w:val="20"/>
        </w:rPr>
        <w:t xml:space="preserve"> </w:t>
      </w:r>
      <w:r>
        <w:rPr>
          <w:spacing w:val="-13"/>
          <w:sz w:val="20"/>
          <w:szCs w:val="20"/>
        </w:rPr>
        <w:t>、确</w:t>
      </w:r>
      <w:r>
        <w:rPr>
          <w:spacing w:val="-30"/>
          <w:sz w:val="20"/>
          <w:szCs w:val="20"/>
        </w:rPr>
        <w:t xml:space="preserve"> </w:t>
      </w:r>
      <w:r>
        <w:rPr>
          <w:spacing w:val="-13"/>
          <w:sz w:val="20"/>
          <w:szCs w:val="20"/>
        </w:rPr>
        <w:t>定</w:t>
      </w:r>
      <w:r>
        <w:rPr>
          <w:spacing w:val="-28"/>
          <w:sz w:val="20"/>
          <w:szCs w:val="20"/>
        </w:rPr>
        <w:t xml:space="preserve"> </w:t>
      </w:r>
      <w:r>
        <w:rPr>
          <w:spacing w:val="-13"/>
          <w:sz w:val="20"/>
          <w:szCs w:val="20"/>
        </w:rPr>
        <w:t>样</w:t>
      </w:r>
      <w:r>
        <w:rPr>
          <w:spacing w:val="-27"/>
          <w:sz w:val="20"/>
          <w:szCs w:val="20"/>
        </w:rPr>
        <w:t xml:space="preserve"> </w:t>
      </w:r>
      <w:r>
        <w:rPr>
          <w:spacing w:val="-13"/>
          <w:sz w:val="20"/>
          <w:szCs w:val="20"/>
        </w:rPr>
        <w:t>本</w:t>
      </w:r>
      <w:r>
        <w:rPr>
          <w:spacing w:val="-25"/>
          <w:sz w:val="20"/>
          <w:szCs w:val="20"/>
        </w:rPr>
        <w:t xml:space="preserve"> </w:t>
      </w:r>
      <w:r>
        <w:rPr>
          <w:spacing w:val="-13"/>
          <w:sz w:val="20"/>
          <w:szCs w:val="20"/>
        </w:rPr>
        <w:t>量</w:t>
      </w:r>
    </w:p>
    <w:p w14:paraId="1693A467">
      <w:pPr>
        <w:pStyle w:val="2"/>
        <w:spacing w:before="301" w:line="222" w:lineRule="auto"/>
        <w:ind w:left="1140"/>
        <w:rPr>
          <w:sz w:val="20"/>
          <w:szCs w:val="20"/>
        </w:rPr>
      </w:pPr>
      <w:r>
        <w:rPr>
          <w:spacing w:val="22"/>
          <w:sz w:val="20"/>
          <w:szCs w:val="20"/>
        </w:rPr>
        <w:t>(一)影响样本量的因素</w:t>
      </w:r>
    </w:p>
    <w:p w14:paraId="6FCE2B0E">
      <w:pPr>
        <w:spacing w:before="125" w:line="356" w:lineRule="auto"/>
        <w:ind w:left="679" w:right="92" w:firstLine="440"/>
        <w:jc w:val="both"/>
        <w:rPr>
          <w:rFonts w:ascii="宋体" w:hAnsi="宋体" w:eastAsia="宋体" w:cs="宋体"/>
          <w:sz w:val="20"/>
          <w:szCs w:val="20"/>
        </w:rPr>
      </w:pPr>
      <w:r>
        <w:rPr>
          <w:rFonts w:ascii="宋体" w:hAnsi="宋体" w:eastAsia="宋体" w:cs="宋体"/>
          <w:spacing w:val="4"/>
          <w:sz w:val="20"/>
          <w:szCs w:val="20"/>
        </w:rPr>
        <w:t>病例对照研究的样本含量与下列四个因素有关：①研究因素在对照组或人群中的暴露率(P</w:t>
      </w:r>
      <w:r>
        <w:rPr>
          <w:rFonts w:ascii="Calibri" w:hAnsi="Calibri" w:eastAsia="Calibri" w:cs="Calibri"/>
          <w:spacing w:val="4"/>
          <w:sz w:val="20"/>
          <w:szCs w:val="20"/>
        </w:rPr>
        <w:t>₀</w:t>
      </w:r>
      <w:r>
        <w:rPr>
          <w:rFonts w:ascii="宋体" w:hAnsi="宋体" w:eastAsia="宋体" w:cs="宋体"/>
          <w:spacing w:val="4"/>
          <w:sz w:val="20"/>
          <w:szCs w:val="20"/>
        </w:rPr>
        <w:t>);</w:t>
      </w:r>
      <w:r>
        <w:rPr>
          <w:rFonts w:ascii="宋体" w:hAnsi="宋体" w:eastAsia="宋体" w:cs="宋体"/>
          <w:spacing w:val="3"/>
          <w:sz w:val="20"/>
          <w:szCs w:val="20"/>
        </w:rPr>
        <w:t xml:space="preserve"> </w:t>
      </w:r>
      <w:r>
        <w:rPr>
          <w:rFonts w:ascii="宋体" w:hAnsi="宋体" w:eastAsia="宋体" w:cs="宋体"/>
          <w:spacing w:val="11"/>
          <w:sz w:val="20"/>
          <w:szCs w:val="20"/>
        </w:rPr>
        <w:t>②研究因素与疾病关联强度，即比值比</w:t>
      </w:r>
      <w:r>
        <w:rPr>
          <w:rFonts w:ascii="Times New Roman" w:hAnsi="Times New Roman" w:eastAsia="Times New Roman" w:cs="Times New Roman"/>
          <w:spacing w:val="11"/>
          <w:sz w:val="20"/>
          <w:szCs w:val="20"/>
        </w:rPr>
        <w:t>(</w:t>
      </w:r>
      <w:r>
        <w:rPr>
          <w:rFonts w:ascii="Times New Roman" w:hAnsi="Times New Roman" w:eastAsia="Times New Roman" w:cs="Times New Roman"/>
          <w:sz w:val="20"/>
          <w:szCs w:val="20"/>
        </w:rPr>
        <w:t>odds</w:t>
      </w:r>
      <w:r>
        <w:rPr>
          <w:rFonts w:ascii="Times New Roman" w:hAnsi="Times New Roman" w:eastAsia="Times New Roman" w:cs="Times New Roman"/>
          <w:spacing w:val="11"/>
          <w:sz w:val="20"/>
          <w:szCs w:val="20"/>
        </w:rPr>
        <w:t xml:space="preserve">     </w:t>
      </w:r>
      <w:r>
        <w:rPr>
          <w:rFonts w:ascii="Times New Roman" w:hAnsi="Times New Roman" w:eastAsia="Times New Roman" w:cs="Times New Roman"/>
          <w:sz w:val="20"/>
          <w:szCs w:val="20"/>
        </w:rPr>
        <w:t>ratio</w:t>
      </w:r>
      <w:r>
        <w:rPr>
          <w:rFonts w:ascii="Times New Roman" w:hAnsi="Times New Roman" w:eastAsia="Times New Roman" w:cs="Times New Roman"/>
          <w:spacing w:val="11"/>
          <w:sz w:val="20"/>
          <w:szCs w:val="20"/>
        </w:rPr>
        <w:t>,</w:t>
      </w:r>
      <w:r>
        <w:rPr>
          <w:rFonts w:ascii="Times New Roman" w:hAnsi="Times New Roman" w:eastAsia="Times New Roman" w:cs="Times New Roman"/>
          <w:sz w:val="20"/>
          <w:szCs w:val="20"/>
        </w:rPr>
        <w:t>OR</w:t>
      </w:r>
      <w:r>
        <w:rPr>
          <w:rFonts w:ascii="Times New Roman" w:hAnsi="Times New Roman" w:eastAsia="Times New Roman" w:cs="Times New Roman"/>
          <w:spacing w:val="11"/>
          <w:sz w:val="20"/>
          <w:szCs w:val="20"/>
        </w:rPr>
        <w:t>)</w:t>
      </w:r>
      <w:r>
        <w:rPr>
          <w:rFonts w:ascii="Times New Roman" w:hAnsi="Times New Roman" w:eastAsia="Times New Roman" w:cs="Times New Roman"/>
          <w:spacing w:val="10"/>
          <w:sz w:val="20"/>
          <w:szCs w:val="20"/>
        </w:rPr>
        <w:t>;</w:t>
      </w:r>
      <w:r>
        <w:rPr>
          <w:rFonts w:ascii="宋体" w:hAnsi="宋体" w:eastAsia="宋体" w:cs="宋体"/>
          <w:spacing w:val="10"/>
          <w:sz w:val="20"/>
          <w:szCs w:val="20"/>
        </w:rPr>
        <w:t>③希望达到的统计学检验假设的显著性</w:t>
      </w:r>
      <w:r>
        <w:rPr>
          <w:rFonts w:ascii="宋体" w:hAnsi="宋体" w:eastAsia="宋体" w:cs="宋体"/>
          <w:sz w:val="20"/>
          <w:szCs w:val="20"/>
        </w:rPr>
        <w:t xml:space="preserve"> </w:t>
      </w:r>
      <w:r>
        <w:rPr>
          <w:rFonts w:ascii="宋体" w:hAnsi="宋体" w:eastAsia="宋体" w:cs="宋体"/>
          <w:spacing w:val="7"/>
          <w:sz w:val="20"/>
          <w:szCs w:val="20"/>
        </w:rPr>
        <w:t>水平，即第</w:t>
      </w:r>
      <w:r>
        <w:rPr>
          <w:rFonts w:ascii="Times New Roman" w:hAnsi="Times New Roman" w:eastAsia="Times New Roman" w:cs="Times New Roman"/>
          <w:spacing w:val="7"/>
          <w:sz w:val="20"/>
          <w:szCs w:val="20"/>
        </w:rPr>
        <w:t>I</w:t>
      </w:r>
      <w:r>
        <w:rPr>
          <w:rFonts w:ascii="Times New Roman" w:hAnsi="Times New Roman" w:eastAsia="Times New Roman" w:cs="Times New Roman"/>
          <w:spacing w:val="18"/>
          <w:sz w:val="20"/>
          <w:szCs w:val="20"/>
        </w:rPr>
        <w:t xml:space="preserve"> </w:t>
      </w:r>
      <w:r>
        <w:rPr>
          <w:rFonts w:ascii="宋体" w:hAnsi="宋体" w:eastAsia="宋体" w:cs="宋体"/>
          <w:spacing w:val="7"/>
          <w:sz w:val="20"/>
          <w:szCs w:val="20"/>
        </w:rPr>
        <w:t>类错误(假阳性)概率(α),一般取α=0.05;④希望达到的统计</w:t>
      </w:r>
      <w:r>
        <w:rPr>
          <w:rFonts w:ascii="宋体" w:hAnsi="宋体" w:eastAsia="宋体" w:cs="宋体"/>
          <w:spacing w:val="6"/>
          <w:sz w:val="20"/>
          <w:szCs w:val="20"/>
        </w:rPr>
        <w:t>学检验效能或称把握度</w:t>
      </w:r>
      <w:r>
        <w:rPr>
          <w:rFonts w:ascii="宋体" w:hAnsi="宋体" w:eastAsia="宋体" w:cs="宋体"/>
          <w:sz w:val="20"/>
          <w:szCs w:val="20"/>
        </w:rPr>
        <w:t xml:space="preserve"> </w:t>
      </w:r>
      <w:r>
        <w:rPr>
          <w:rFonts w:ascii="宋体" w:hAnsi="宋体" w:eastAsia="宋体" w:cs="宋体"/>
          <w:spacing w:val="-1"/>
          <w:sz w:val="20"/>
          <w:szCs w:val="20"/>
        </w:rPr>
        <w:t>(1-β),β为第Ⅱ类错误(即假阴性)概率，一</w:t>
      </w:r>
      <w:r>
        <w:rPr>
          <w:rFonts w:ascii="宋体" w:hAnsi="宋体" w:eastAsia="宋体" w:cs="宋体"/>
          <w:spacing w:val="-2"/>
          <w:sz w:val="20"/>
          <w:szCs w:val="20"/>
        </w:rPr>
        <w:t>般取β=0.1。</w:t>
      </w:r>
    </w:p>
    <w:p w14:paraId="2B9F9D1F">
      <w:pPr>
        <w:spacing w:before="1" w:line="346" w:lineRule="auto"/>
        <w:ind w:left="719" w:right="96" w:firstLine="410"/>
        <w:rPr>
          <w:rFonts w:ascii="宋体" w:hAnsi="宋体" w:eastAsia="宋体" w:cs="宋体"/>
          <w:sz w:val="20"/>
          <w:szCs w:val="20"/>
        </w:rPr>
      </w:pPr>
      <w:r>
        <w:rPr>
          <w:rFonts w:ascii="宋体" w:hAnsi="宋体" w:eastAsia="宋体" w:cs="宋体"/>
          <w:spacing w:val="3"/>
          <w:sz w:val="20"/>
          <w:szCs w:val="20"/>
        </w:rPr>
        <w:t>非匹配和不同匹配方式的样本量计算方法不同，如果采取匹配设计，</w:t>
      </w:r>
      <w:r>
        <w:rPr>
          <w:rFonts w:ascii="宋体" w:hAnsi="宋体" w:eastAsia="宋体" w:cs="宋体"/>
          <w:spacing w:val="2"/>
          <w:sz w:val="20"/>
          <w:szCs w:val="20"/>
        </w:rPr>
        <w:t>估计样本量时还要考虑病</w:t>
      </w:r>
      <w:r>
        <w:rPr>
          <w:rFonts w:ascii="宋体" w:hAnsi="宋体" w:eastAsia="宋体" w:cs="宋体"/>
          <w:sz w:val="20"/>
          <w:szCs w:val="20"/>
        </w:rPr>
        <w:t xml:space="preserve"> </w:t>
      </w:r>
      <w:r>
        <w:rPr>
          <w:rFonts w:ascii="宋体" w:hAnsi="宋体" w:eastAsia="宋体" w:cs="宋体"/>
          <w:spacing w:val="2"/>
          <w:sz w:val="20"/>
          <w:szCs w:val="20"/>
        </w:rPr>
        <w:t>例和对照的比例。样本量可利用公式估计，也可通过专业软件(如</w:t>
      </w:r>
      <w:r>
        <w:rPr>
          <w:rFonts w:ascii="宋体" w:hAnsi="宋体" w:eastAsia="宋体" w:cs="宋体"/>
          <w:sz w:val="20"/>
          <w:szCs w:val="20"/>
        </w:rPr>
        <w:t>PASS</w:t>
      </w:r>
      <w:r>
        <w:rPr>
          <w:rFonts w:ascii="宋体" w:hAnsi="宋体" w:eastAsia="宋体" w:cs="宋体"/>
          <w:spacing w:val="2"/>
          <w:sz w:val="20"/>
          <w:szCs w:val="20"/>
        </w:rPr>
        <w:t>) 估计。</w:t>
      </w:r>
    </w:p>
    <w:p w14:paraId="2742CE87">
      <w:pPr>
        <w:pStyle w:val="2"/>
        <w:spacing w:before="1" w:line="221" w:lineRule="auto"/>
        <w:ind w:left="1140"/>
        <w:rPr>
          <w:sz w:val="20"/>
          <w:szCs w:val="20"/>
        </w:rPr>
      </w:pPr>
      <w:r>
        <w:rPr>
          <w:spacing w:val="20"/>
          <w:sz w:val="20"/>
          <w:szCs w:val="20"/>
        </w:rPr>
        <w:t>(二)非匹配病例对照研究样本量估计</w:t>
      </w:r>
    </w:p>
    <w:p w14:paraId="5118A293">
      <w:pPr>
        <w:spacing w:before="139" w:line="219" w:lineRule="auto"/>
        <w:ind w:left="1120"/>
        <w:rPr>
          <w:rFonts w:ascii="宋体" w:hAnsi="宋体" w:eastAsia="宋体" w:cs="宋体"/>
          <w:sz w:val="20"/>
          <w:szCs w:val="20"/>
        </w:rPr>
      </w:pPr>
      <w:r>
        <w:rPr>
          <w:rFonts w:ascii="宋体" w:hAnsi="宋体" w:eastAsia="宋体" w:cs="宋体"/>
          <w:spacing w:val="2"/>
          <w:sz w:val="20"/>
          <w:szCs w:val="20"/>
        </w:rPr>
        <w:t>非匹配病例对照研究的病例组样本含量(n)</w:t>
      </w:r>
      <w:r>
        <w:rPr>
          <w:rFonts w:ascii="宋体" w:hAnsi="宋体" w:eastAsia="宋体" w:cs="宋体"/>
          <w:spacing w:val="-15"/>
          <w:sz w:val="20"/>
          <w:szCs w:val="20"/>
        </w:rPr>
        <w:t xml:space="preserve"> </w:t>
      </w:r>
      <w:r>
        <w:rPr>
          <w:rFonts w:ascii="宋体" w:hAnsi="宋体" w:eastAsia="宋体" w:cs="宋体"/>
          <w:spacing w:val="2"/>
          <w:sz w:val="20"/>
          <w:szCs w:val="20"/>
        </w:rPr>
        <w:t>可按下式计算。</w:t>
      </w:r>
    </w:p>
    <w:p w14:paraId="2871A9BD">
      <w:pPr>
        <w:spacing w:line="268" w:lineRule="auto"/>
        <w:rPr>
          <w:rFonts w:ascii="Arial"/>
          <w:sz w:val="21"/>
        </w:rPr>
      </w:pPr>
    </w:p>
    <w:p w14:paraId="116523FD">
      <w:pPr>
        <w:spacing w:line="268" w:lineRule="auto"/>
        <w:rPr>
          <w:rFonts w:ascii="Arial"/>
          <w:sz w:val="21"/>
        </w:rPr>
      </w:pPr>
      <w:r>
        <w:drawing>
          <wp:anchor distT="0" distB="0" distL="0" distR="0" simplePos="0" relativeHeight="251730944" behindDoc="0" locked="0" layoutInCell="1" allowOverlap="1">
            <wp:simplePos x="0" y="0"/>
            <wp:positionH relativeFrom="column">
              <wp:posOffset>1764665</wp:posOffset>
            </wp:positionH>
            <wp:positionV relativeFrom="paragraph">
              <wp:posOffset>3175</wp:posOffset>
            </wp:positionV>
            <wp:extent cx="2908300" cy="514350"/>
            <wp:effectExtent l="0" t="0" r="0" b="0"/>
            <wp:wrapNone/>
            <wp:docPr id="242" name="IM 242"/>
            <wp:cNvGraphicFramePr/>
            <a:graphic xmlns:a="http://schemas.openxmlformats.org/drawingml/2006/main">
              <a:graphicData uri="http://schemas.openxmlformats.org/drawingml/2006/picture">
                <pic:pic xmlns:pic="http://schemas.openxmlformats.org/drawingml/2006/picture">
                  <pic:nvPicPr>
                    <pic:cNvPr id="242" name="IM 242"/>
                    <pic:cNvPicPr/>
                  </pic:nvPicPr>
                  <pic:blipFill>
                    <a:blip r:embed="rId498"/>
                    <a:stretch>
                      <a:fillRect/>
                    </a:stretch>
                  </pic:blipFill>
                  <pic:spPr>
                    <a:xfrm>
                      <a:off x="0" y="0"/>
                      <a:ext cx="2908345" cy="514382"/>
                    </a:xfrm>
                    <a:prstGeom prst="rect">
                      <a:avLst/>
                    </a:prstGeom>
                  </pic:spPr>
                </pic:pic>
              </a:graphicData>
            </a:graphic>
          </wp:anchor>
        </w:drawing>
      </w:r>
    </w:p>
    <w:p w14:paraId="3A6CE808">
      <w:pPr>
        <w:spacing w:before="66" w:line="221" w:lineRule="auto"/>
        <w:ind w:left="8729"/>
        <w:rPr>
          <w:rFonts w:ascii="宋体" w:hAnsi="宋体" w:eastAsia="宋体" w:cs="宋体"/>
          <w:sz w:val="20"/>
          <w:szCs w:val="20"/>
        </w:rPr>
      </w:pPr>
      <w:r>
        <w:rPr>
          <w:rFonts w:ascii="宋体" w:hAnsi="宋体" w:eastAsia="宋体" w:cs="宋体"/>
          <w:spacing w:val="10"/>
          <w:sz w:val="20"/>
          <w:szCs w:val="20"/>
        </w:rPr>
        <w:t>式(5-1)</w:t>
      </w:r>
    </w:p>
    <w:p w14:paraId="4FC295CB">
      <w:pPr>
        <w:spacing w:line="478" w:lineRule="auto"/>
        <w:rPr>
          <w:rFonts w:ascii="Arial"/>
          <w:sz w:val="21"/>
        </w:rPr>
      </w:pPr>
    </w:p>
    <w:p w14:paraId="36324432">
      <w:pPr>
        <w:spacing w:before="66" w:line="332" w:lineRule="auto"/>
        <w:ind w:left="679" w:right="130" w:firstLine="9"/>
        <w:rPr>
          <w:rFonts w:ascii="宋体" w:hAnsi="宋体" w:eastAsia="宋体" w:cs="宋体"/>
          <w:sz w:val="20"/>
          <w:szCs w:val="20"/>
        </w:rPr>
      </w:pPr>
      <w:r>
        <w:rPr>
          <w:rFonts w:ascii="宋体" w:hAnsi="宋体" w:eastAsia="宋体" w:cs="宋体"/>
          <w:spacing w:val="-2"/>
          <w:sz w:val="20"/>
          <w:szCs w:val="20"/>
        </w:rPr>
        <w:t>式中，</w:t>
      </w:r>
      <w:r>
        <w:rPr>
          <w:rFonts w:ascii="Times New Roman" w:hAnsi="Times New Roman" w:eastAsia="Times New Roman" w:cs="Times New Roman"/>
          <w:spacing w:val="-2"/>
          <w:sz w:val="20"/>
          <w:szCs w:val="20"/>
        </w:rPr>
        <w:t>Z1-a₂</w:t>
      </w:r>
      <w:r>
        <w:rPr>
          <w:rFonts w:ascii="宋体" w:hAnsi="宋体" w:eastAsia="宋体" w:cs="宋体"/>
          <w:spacing w:val="-2"/>
          <w:sz w:val="20"/>
          <w:szCs w:val="20"/>
        </w:rPr>
        <w:t>、</w:t>
      </w:r>
      <w:r>
        <w:rPr>
          <w:rFonts w:ascii="Times New Roman" w:hAnsi="Times New Roman" w:eastAsia="Times New Roman" w:cs="Times New Roman"/>
          <w:spacing w:val="-2"/>
          <w:sz w:val="20"/>
          <w:szCs w:val="20"/>
        </w:rPr>
        <w:t>Zβ</w:t>
      </w:r>
      <w:r>
        <w:rPr>
          <w:rFonts w:ascii="宋体" w:hAnsi="宋体" w:eastAsia="宋体" w:cs="宋体"/>
          <w:spacing w:val="-2"/>
          <w:sz w:val="20"/>
          <w:szCs w:val="20"/>
        </w:rPr>
        <w:t>分别为α与1-β对应的标准正态分布临界值，可查标准正态分布表得出；</w:t>
      </w:r>
      <w:r>
        <w:rPr>
          <w:rFonts w:ascii="Times New Roman" w:hAnsi="Times New Roman" w:eastAsia="Times New Roman" w:cs="Times New Roman"/>
          <w:spacing w:val="-2"/>
          <w:sz w:val="20"/>
          <w:szCs w:val="20"/>
        </w:rPr>
        <w:t>P₁</w:t>
      </w:r>
      <w:r>
        <w:rPr>
          <w:rFonts w:ascii="Times New Roman" w:hAnsi="Times New Roman" w:eastAsia="Times New Roman" w:cs="Times New Roman"/>
          <w:spacing w:val="33"/>
          <w:w w:val="101"/>
          <w:sz w:val="20"/>
          <w:szCs w:val="20"/>
        </w:rPr>
        <w:t xml:space="preserve"> </w:t>
      </w:r>
      <w:r>
        <w:rPr>
          <w:rFonts w:ascii="宋体" w:hAnsi="宋体" w:eastAsia="宋体" w:cs="宋体"/>
          <w:spacing w:val="-2"/>
          <w:sz w:val="20"/>
          <w:szCs w:val="20"/>
        </w:rPr>
        <w:t>和</w:t>
      </w:r>
      <w:r>
        <w:rPr>
          <w:rFonts w:ascii="宋体" w:hAnsi="宋体" w:eastAsia="宋体" w:cs="宋体"/>
          <w:spacing w:val="-31"/>
          <w:sz w:val="20"/>
          <w:szCs w:val="20"/>
        </w:rPr>
        <w:t xml:space="preserve"> </w:t>
      </w:r>
      <w:r>
        <w:rPr>
          <w:rFonts w:ascii="Times New Roman" w:hAnsi="Times New Roman" w:eastAsia="Times New Roman" w:cs="Times New Roman"/>
          <w:spacing w:val="-2"/>
          <w:sz w:val="20"/>
          <w:szCs w:val="20"/>
        </w:rPr>
        <w:t>P₀</w:t>
      </w:r>
      <w:r>
        <w:rPr>
          <w:rFonts w:ascii="Times New Roman" w:hAnsi="Times New Roman" w:eastAsia="Times New Roman" w:cs="Times New Roman"/>
          <w:spacing w:val="12"/>
          <w:w w:val="101"/>
          <w:sz w:val="20"/>
          <w:szCs w:val="20"/>
        </w:rPr>
        <w:t xml:space="preserve"> </w:t>
      </w:r>
      <w:r>
        <w:rPr>
          <w:rFonts w:ascii="宋体" w:hAnsi="宋体" w:eastAsia="宋体" w:cs="宋体"/>
          <w:spacing w:val="-2"/>
          <w:sz w:val="20"/>
          <w:szCs w:val="20"/>
        </w:rPr>
        <w:t>分</w:t>
      </w:r>
      <w:r>
        <w:rPr>
          <w:rFonts w:ascii="宋体" w:hAnsi="宋体" w:eastAsia="宋体" w:cs="宋体"/>
          <w:sz w:val="20"/>
          <w:szCs w:val="20"/>
        </w:rPr>
        <w:t xml:space="preserve"> </w:t>
      </w:r>
      <w:r>
        <w:rPr>
          <w:rFonts w:ascii="宋体" w:hAnsi="宋体" w:eastAsia="宋体" w:cs="宋体"/>
          <w:spacing w:val="-2"/>
          <w:sz w:val="20"/>
          <w:szCs w:val="20"/>
        </w:rPr>
        <w:t>别为病例组和对照组的暴露率；</w:t>
      </w:r>
      <w:r>
        <w:rPr>
          <w:rFonts w:ascii="Times New Roman" w:hAnsi="Times New Roman" w:eastAsia="Times New Roman" w:cs="Times New Roman"/>
          <w:spacing w:val="-2"/>
          <w:sz w:val="20"/>
          <w:szCs w:val="20"/>
        </w:rPr>
        <w:t>P=(P₁+P₀</w:t>
      </w:r>
      <w:r>
        <w:rPr>
          <w:rFonts w:ascii="Times New Roman" w:hAnsi="Times New Roman" w:eastAsia="Times New Roman" w:cs="Times New Roman"/>
          <w:spacing w:val="-3"/>
          <w:sz w:val="20"/>
          <w:szCs w:val="20"/>
        </w:rPr>
        <w:t>)/2</w:t>
      </w:r>
      <w:r>
        <w:rPr>
          <w:rFonts w:ascii="Times New Roman" w:hAnsi="Times New Roman" w:eastAsia="Times New Roman" w:cs="Times New Roman"/>
          <w:spacing w:val="-23"/>
          <w:sz w:val="20"/>
          <w:szCs w:val="20"/>
        </w:rPr>
        <w:t xml:space="preserve"> </w:t>
      </w:r>
      <w:r>
        <w:rPr>
          <w:rFonts w:ascii="宋体" w:hAnsi="宋体" w:eastAsia="宋体" w:cs="宋体"/>
          <w:spacing w:val="-3"/>
          <w:sz w:val="20"/>
          <w:szCs w:val="20"/>
        </w:rPr>
        <w:t>。</w:t>
      </w:r>
      <w:r>
        <w:rPr>
          <w:rFonts w:ascii="Times New Roman" w:hAnsi="Times New Roman" w:eastAsia="Times New Roman" w:cs="Times New Roman"/>
          <w:spacing w:val="-3"/>
          <w:sz w:val="20"/>
          <w:szCs w:val="20"/>
        </w:rPr>
        <w:t xml:space="preserve">P₁      </w:t>
      </w:r>
      <w:r>
        <w:rPr>
          <w:rFonts w:ascii="宋体" w:hAnsi="宋体" w:eastAsia="宋体" w:cs="宋体"/>
          <w:spacing w:val="-3"/>
          <w:sz w:val="20"/>
          <w:szCs w:val="20"/>
        </w:rPr>
        <w:t>可根据</w:t>
      </w:r>
      <w:r>
        <w:rPr>
          <w:rFonts w:ascii="Times New Roman" w:hAnsi="Times New Roman" w:eastAsia="Times New Roman" w:cs="Times New Roman"/>
          <w:spacing w:val="-3"/>
          <w:sz w:val="20"/>
          <w:szCs w:val="20"/>
        </w:rPr>
        <w:t>P</w:t>
      </w:r>
      <w:r>
        <w:rPr>
          <w:rFonts w:ascii="宋体" w:hAnsi="宋体" w:eastAsia="宋体" w:cs="宋体"/>
          <w:spacing w:val="-3"/>
          <w:sz w:val="20"/>
          <w:szCs w:val="20"/>
        </w:rPr>
        <w:t>。与</w:t>
      </w:r>
      <w:r>
        <w:rPr>
          <w:rFonts w:ascii="宋体" w:hAnsi="宋体" w:eastAsia="宋体" w:cs="宋体"/>
          <w:spacing w:val="-48"/>
          <w:sz w:val="20"/>
          <w:szCs w:val="20"/>
        </w:rPr>
        <w:t xml:space="preserve"> </w:t>
      </w:r>
      <w:r>
        <w:rPr>
          <w:rFonts w:ascii="Times New Roman" w:hAnsi="Times New Roman" w:eastAsia="Times New Roman" w:cs="Times New Roman"/>
          <w:spacing w:val="-3"/>
          <w:sz w:val="20"/>
          <w:szCs w:val="20"/>
        </w:rPr>
        <w:t>OR</w:t>
      </w:r>
      <w:r>
        <w:rPr>
          <w:rFonts w:ascii="Times New Roman" w:hAnsi="Times New Roman" w:eastAsia="Times New Roman" w:cs="Times New Roman"/>
          <w:spacing w:val="-13"/>
          <w:sz w:val="20"/>
          <w:szCs w:val="20"/>
        </w:rPr>
        <w:t xml:space="preserve"> </w:t>
      </w:r>
      <w:r>
        <w:rPr>
          <w:rFonts w:ascii="宋体" w:hAnsi="宋体" w:eastAsia="宋体" w:cs="宋体"/>
          <w:spacing w:val="-3"/>
          <w:sz w:val="20"/>
          <w:szCs w:val="20"/>
        </w:rPr>
        <w:t>推算，即</w:t>
      </w:r>
    </w:p>
    <w:p w14:paraId="7A6A2A9A">
      <w:pPr>
        <w:spacing w:line="332" w:lineRule="auto"/>
        <w:rPr>
          <w:rFonts w:ascii="宋体" w:hAnsi="宋体" w:eastAsia="宋体" w:cs="宋体"/>
          <w:sz w:val="20"/>
          <w:szCs w:val="20"/>
        </w:rPr>
        <w:sectPr>
          <w:footerReference r:id="rId98" w:type="default"/>
          <w:pgSz w:w="11900" w:h="16820"/>
          <w:pgMar w:top="400" w:right="1499" w:bottom="851" w:left="860" w:header="0" w:footer="592" w:gutter="0"/>
          <w:cols w:space="720" w:num="1"/>
        </w:sectPr>
      </w:pPr>
    </w:p>
    <w:p w14:paraId="70792A5B">
      <w:pPr>
        <w:spacing w:line="257" w:lineRule="auto"/>
        <w:rPr>
          <w:rFonts w:ascii="Arial"/>
          <w:sz w:val="21"/>
        </w:rPr>
      </w:pPr>
    </w:p>
    <w:p w14:paraId="2D5C1583">
      <w:pPr>
        <w:pStyle w:val="2"/>
        <w:spacing w:before="68" w:line="222" w:lineRule="auto"/>
        <w:ind w:left="7449"/>
        <w:rPr>
          <w:sz w:val="21"/>
          <w:szCs w:val="21"/>
        </w:rPr>
      </w:pPr>
      <w:bookmarkStart w:id="136" w:name="bookmark444"/>
      <w:bookmarkEnd w:id="136"/>
      <w:r>
        <w:rPr>
          <w:spacing w:val="-19"/>
          <w:sz w:val="21"/>
          <w:szCs w:val="21"/>
        </w:rPr>
        <w:t>第五章 病例对照研究</w:t>
      </w:r>
    </w:p>
    <w:p w14:paraId="529D0028">
      <w:pPr>
        <w:spacing w:line="264" w:lineRule="auto"/>
        <w:rPr>
          <w:rFonts w:ascii="Arial"/>
          <w:sz w:val="21"/>
        </w:rPr>
      </w:pPr>
    </w:p>
    <w:p w14:paraId="7A5314AB">
      <w:pPr>
        <w:spacing w:line="264" w:lineRule="auto"/>
        <w:rPr>
          <w:rFonts w:ascii="Arial"/>
          <w:sz w:val="21"/>
        </w:rPr>
      </w:pPr>
    </w:p>
    <w:p w14:paraId="215483F1">
      <w:pPr>
        <w:spacing w:before="68" w:line="208" w:lineRule="auto"/>
        <w:ind w:left="3299"/>
        <w:rPr>
          <w:rFonts w:ascii="宋体" w:hAnsi="宋体" w:eastAsia="宋体" w:cs="宋体"/>
          <w:sz w:val="21"/>
          <w:szCs w:val="21"/>
        </w:rPr>
      </w:pPr>
      <w:r>
        <w:rPr>
          <w:rFonts w:ascii="Times New Roman" w:hAnsi="Times New Roman" w:eastAsia="Times New Roman" w:cs="Times New Roman"/>
          <w:spacing w:val="3"/>
          <w:sz w:val="21"/>
          <w:szCs w:val="21"/>
        </w:rPr>
        <w:t>P₁=(</w:t>
      </w:r>
      <w:r>
        <w:rPr>
          <w:rFonts w:ascii="Times New Roman" w:hAnsi="Times New Roman" w:eastAsia="Times New Roman" w:cs="Times New Roman"/>
          <w:sz w:val="21"/>
          <w:szCs w:val="21"/>
        </w:rPr>
        <w:t>OR</w:t>
      </w:r>
      <w:r>
        <w:rPr>
          <w:rFonts w:ascii="Times New Roman" w:hAnsi="Times New Roman" w:eastAsia="Times New Roman" w:cs="Times New Roman"/>
          <w:spacing w:val="3"/>
          <w:sz w:val="21"/>
          <w:szCs w:val="21"/>
        </w:rPr>
        <w:t>×P₀)/(1-P₀+</w:t>
      </w:r>
      <w:r>
        <w:rPr>
          <w:rFonts w:ascii="Times New Roman" w:hAnsi="Times New Roman" w:eastAsia="Times New Roman" w:cs="Times New Roman"/>
          <w:sz w:val="21"/>
          <w:szCs w:val="21"/>
        </w:rPr>
        <w:t>OR</w:t>
      </w:r>
      <w:r>
        <w:rPr>
          <w:rFonts w:ascii="Times New Roman" w:hAnsi="Times New Roman" w:eastAsia="Times New Roman" w:cs="Times New Roman"/>
          <w:spacing w:val="3"/>
          <w:sz w:val="21"/>
          <w:szCs w:val="21"/>
        </w:rPr>
        <w:t xml:space="preserve">×P₀)   </w:t>
      </w:r>
      <w:r>
        <w:rPr>
          <w:rFonts w:ascii="Times New Roman" w:hAnsi="Times New Roman" w:eastAsia="Times New Roman" w:cs="Times New Roman"/>
          <w:spacing w:val="2"/>
          <w:sz w:val="21"/>
          <w:szCs w:val="21"/>
        </w:rPr>
        <w:t xml:space="preserve">                                                  </w:t>
      </w:r>
      <w:r>
        <w:rPr>
          <w:rFonts w:ascii="宋体" w:hAnsi="宋体" w:eastAsia="宋体" w:cs="宋体"/>
          <w:spacing w:val="2"/>
          <w:sz w:val="21"/>
          <w:szCs w:val="21"/>
        </w:rPr>
        <w:t>式(5-2)</w:t>
      </w:r>
    </w:p>
    <w:p w14:paraId="6AB6752D">
      <w:pPr>
        <w:spacing w:before="259" w:line="320" w:lineRule="auto"/>
        <w:ind w:right="680" w:firstLine="325"/>
        <w:jc w:val="both"/>
        <w:rPr>
          <w:rFonts w:ascii="宋体" w:hAnsi="宋体" w:eastAsia="宋体" w:cs="宋体"/>
          <w:sz w:val="21"/>
          <w:szCs w:val="21"/>
        </w:rPr>
      </w:pPr>
      <w:r>
        <w:rPr>
          <w:rFonts w:ascii="宋体" w:hAnsi="宋体" w:eastAsia="宋体" w:cs="宋体"/>
          <w:spacing w:val="14"/>
          <w:sz w:val="21"/>
          <w:szCs w:val="21"/>
        </w:rPr>
        <w:t>【例5-1】拟进行一项吸烟与肺癌关系的病例对照研究，查阅文献得到人群吸烟率为20%,即</w:t>
      </w:r>
      <w:r>
        <w:rPr>
          <w:rFonts w:ascii="宋体" w:hAnsi="宋体" w:eastAsia="宋体" w:cs="宋体"/>
          <w:sz w:val="21"/>
          <w:szCs w:val="21"/>
        </w:rPr>
        <w:t xml:space="preserve"> </w:t>
      </w:r>
      <w:r>
        <w:rPr>
          <w:rFonts w:ascii="Times New Roman" w:hAnsi="Times New Roman" w:eastAsia="Times New Roman" w:cs="Times New Roman"/>
          <w:spacing w:val="1"/>
          <w:sz w:val="21"/>
          <w:szCs w:val="21"/>
        </w:rPr>
        <w:t>P₀=0.20,</w:t>
      </w:r>
      <w:r>
        <w:rPr>
          <w:rFonts w:ascii="Times New Roman" w:hAnsi="Times New Roman" w:eastAsia="Times New Roman" w:cs="Times New Roman"/>
          <w:spacing w:val="25"/>
          <w:w w:val="101"/>
          <w:sz w:val="21"/>
          <w:szCs w:val="21"/>
        </w:rPr>
        <w:t xml:space="preserve">  </w:t>
      </w:r>
      <w:r>
        <w:rPr>
          <w:rFonts w:ascii="宋体" w:hAnsi="宋体" w:eastAsia="宋体" w:cs="宋体"/>
          <w:spacing w:val="1"/>
          <w:sz w:val="21"/>
          <w:szCs w:val="21"/>
        </w:rPr>
        <w:t>预期比值比</w:t>
      </w:r>
      <w:r>
        <w:rPr>
          <w:rFonts w:ascii="Times New Roman" w:hAnsi="Times New Roman" w:eastAsia="Times New Roman" w:cs="Times New Roman"/>
          <w:spacing w:val="1"/>
          <w:sz w:val="21"/>
          <w:szCs w:val="21"/>
        </w:rPr>
        <w:t>(</w:t>
      </w:r>
      <w:r>
        <w:rPr>
          <w:rFonts w:ascii="Times New Roman" w:hAnsi="Times New Roman" w:eastAsia="Times New Roman" w:cs="Times New Roman"/>
          <w:sz w:val="21"/>
          <w:szCs w:val="21"/>
        </w:rPr>
        <w:t>OR</w:t>
      </w:r>
      <w:r>
        <w:rPr>
          <w:rFonts w:ascii="Times New Roman" w:hAnsi="Times New Roman" w:eastAsia="Times New Roman" w:cs="Times New Roman"/>
          <w:spacing w:val="1"/>
          <w:sz w:val="21"/>
          <w:szCs w:val="21"/>
        </w:rPr>
        <w:t>)</w:t>
      </w:r>
      <w:r>
        <w:rPr>
          <w:rFonts w:ascii="Times New Roman" w:hAnsi="Times New Roman" w:eastAsia="Times New Roman" w:cs="Times New Roman"/>
          <w:spacing w:val="45"/>
          <w:sz w:val="21"/>
          <w:szCs w:val="21"/>
        </w:rPr>
        <w:t xml:space="preserve"> </w:t>
      </w:r>
      <w:r>
        <w:rPr>
          <w:rFonts w:ascii="宋体" w:hAnsi="宋体" w:eastAsia="宋体" w:cs="宋体"/>
          <w:spacing w:val="1"/>
          <w:sz w:val="21"/>
          <w:szCs w:val="21"/>
        </w:rPr>
        <w:t>为2,要求α=0.05(双侧检验),β=0.10,按病例和对照等数量设计，求样本</w:t>
      </w:r>
      <w:r>
        <w:rPr>
          <w:rFonts w:ascii="宋体" w:hAnsi="宋体" w:eastAsia="宋体" w:cs="宋体"/>
          <w:sz w:val="21"/>
          <w:szCs w:val="21"/>
        </w:rPr>
        <w:t xml:space="preserve"> </w:t>
      </w:r>
      <w:r>
        <w:rPr>
          <w:rFonts w:ascii="宋体" w:hAnsi="宋体" w:eastAsia="宋体" w:cs="宋体"/>
          <w:spacing w:val="8"/>
          <w:sz w:val="21"/>
          <w:szCs w:val="21"/>
        </w:rPr>
        <w:t>含量</w:t>
      </w:r>
      <w:r>
        <w:rPr>
          <w:rFonts w:ascii="Times New Roman" w:hAnsi="Times New Roman" w:eastAsia="Times New Roman" w:cs="Times New Roman"/>
          <w:spacing w:val="8"/>
          <w:sz w:val="21"/>
          <w:szCs w:val="21"/>
        </w:rPr>
        <w:t>n</w:t>
      </w:r>
      <w:r>
        <w:rPr>
          <w:rFonts w:ascii="Times New Roman" w:hAnsi="Times New Roman" w:eastAsia="Times New Roman" w:cs="Times New Roman"/>
          <w:spacing w:val="-10"/>
          <w:sz w:val="21"/>
          <w:szCs w:val="21"/>
        </w:rPr>
        <w:t xml:space="preserve"> </w:t>
      </w:r>
      <w:r>
        <w:rPr>
          <w:rFonts w:ascii="宋体" w:hAnsi="宋体" w:eastAsia="宋体" w:cs="宋体"/>
          <w:spacing w:val="8"/>
          <w:sz w:val="21"/>
          <w:szCs w:val="21"/>
        </w:rPr>
        <w:t>。利用上述公式计算结果如下：</w:t>
      </w:r>
    </w:p>
    <w:p w14:paraId="7D0BE0E2">
      <w:pPr>
        <w:spacing w:before="229" w:line="192" w:lineRule="auto"/>
        <w:ind w:left="2900"/>
        <w:rPr>
          <w:rFonts w:ascii="Times New Roman" w:hAnsi="Times New Roman" w:eastAsia="Times New Roman" w:cs="Times New Roman"/>
          <w:sz w:val="21"/>
          <w:szCs w:val="21"/>
        </w:rPr>
      </w:pPr>
      <w:r>
        <w:rPr>
          <w:rFonts w:ascii="Times New Roman" w:hAnsi="Times New Roman" w:eastAsia="Times New Roman" w:cs="Times New Roman"/>
          <w:sz w:val="21"/>
          <w:szCs w:val="21"/>
        </w:rPr>
        <w:t>P₁=(2×0.20)/(1-0.20+2×0.20)</w:t>
      </w:r>
      <w:r>
        <w:rPr>
          <w:rFonts w:ascii="Times New Roman" w:hAnsi="Times New Roman" w:eastAsia="Times New Roman" w:cs="Times New Roman"/>
          <w:spacing w:val="-1"/>
          <w:sz w:val="21"/>
          <w:szCs w:val="21"/>
        </w:rPr>
        <w:t>=0.333</w:t>
      </w:r>
    </w:p>
    <w:p w14:paraId="73728B81">
      <w:pPr>
        <w:spacing w:before="221" w:line="188" w:lineRule="auto"/>
        <w:ind w:left="3740"/>
        <w:rPr>
          <w:rFonts w:ascii="Times New Roman" w:hAnsi="Times New Roman" w:eastAsia="Times New Roman" w:cs="Times New Roman"/>
          <w:sz w:val="21"/>
          <w:szCs w:val="21"/>
        </w:rPr>
      </w:pPr>
      <w:r>
        <w:rPr>
          <w:rFonts w:ascii="Times New Roman" w:hAnsi="Times New Roman" w:eastAsia="Times New Roman" w:cs="Times New Roman"/>
          <w:spacing w:val="-2"/>
          <w:sz w:val="21"/>
          <w:szCs w:val="21"/>
        </w:rPr>
        <w:t>1-P₁=1-0.333=0.667</w:t>
      </w:r>
    </w:p>
    <w:p w14:paraId="6B8F42DD">
      <w:pPr>
        <w:spacing w:before="170" w:line="188" w:lineRule="auto"/>
        <w:ind w:left="3850"/>
        <w:rPr>
          <w:rFonts w:ascii="Times New Roman" w:hAnsi="Times New Roman" w:eastAsia="Times New Roman" w:cs="Times New Roman"/>
          <w:sz w:val="21"/>
          <w:szCs w:val="21"/>
        </w:rPr>
      </w:pPr>
      <w:r>
        <w:rPr>
          <w:rFonts w:ascii="Times New Roman" w:hAnsi="Times New Roman" w:eastAsia="Times New Roman" w:cs="Times New Roman"/>
          <w:spacing w:val="-2"/>
          <w:sz w:val="21"/>
          <w:szCs w:val="21"/>
        </w:rPr>
        <w:t>1-P₀=1-0.20=0.80</w:t>
      </w:r>
    </w:p>
    <w:p w14:paraId="5681CFF5">
      <w:pPr>
        <w:spacing w:before="127" w:line="192" w:lineRule="auto"/>
        <w:ind w:left="3480"/>
        <w:rPr>
          <w:rFonts w:ascii="Times New Roman" w:hAnsi="Times New Roman" w:eastAsia="Times New Roman" w:cs="Times New Roman"/>
          <w:sz w:val="21"/>
          <w:szCs w:val="21"/>
        </w:rPr>
      </w:pPr>
      <w:r>
        <w:rPr>
          <w:rFonts w:ascii="Times New Roman" w:hAnsi="Times New Roman" w:eastAsia="Times New Roman" w:cs="Times New Roman"/>
          <w:spacing w:val="-1"/>
          <w:sz w:val="21"/>
          <w:szCs w:val="21"/>
        </w:rPr>
        <w:t>P=(0.20+0.333)/2=0.267</w:t>
      </w:r>
    </w:p>
    <w:p w14:paraId="16E9F76B">
      <w:pPr>
        <w:spacing w:before="203" w:line="188" w:lineRule="auto"/>
        <w:ind w:left="3720"/>
        <w:rPr>
          <w:rFonts w:ascii="Times New Roman" w:hAnsi="Times New Roman" w:eastAsia="Times New Roman" w:cs="Times New Roman"/>
          <w:sz w:val="21"/>
          <w:szCs w:val="21"/>
        </w:rPr>
      </w:pPr>
      <w:r>
        <w:rPr>
          <w:rFonts w:ascii="Times New Roman" w:hAnsi="Times New Roman" w:eastAsia="Times New Roman" w:cs="Times New Roman"/>
          <w:spacing w:val="-2"/>
          <w:sz w:val="21"/>
          <w:szCs w:val="21"/>
        </w:rPr>
        <w:t>1-P=1-0.267=0.733</w:t>
      </w:r>
    </w:p>
    <w:p w14:paraId="6FADC5DB">
      <w:pPr>
        <w:spacing w:line="264" w:lineRule="auto"/>
        <w:rPr>
          <w:rFonts w:ascii="Arial"/>
          <w:sz w:val="21"/>
        </w:rPr>
      </w:pPr>
    </w:p>
    <w:p w14:paraId="738E4A58">
      <w:pPr>
        <w:spacing w:before="69" w:line="219" w:lineRule="auto"/>
        <w:ind w:left="460"/>
        <w:rPr>
          <w:rFonts w:ascii="宋体" w:hAnsi="宋体" w:eastAsia="宋体" w:cs="宋体"/>
          <w:sz w:val="21"/>
          <w:szCs w:val="21"/>
        </w:rPr>
      </w:pPr>
      <w:r>
        <w:rPr>
          <w:rFonts w:ascii="宋体" w:hAnsi="宋体" w:eastAsia="宋体" w:cs="宋体"/>
          <w:spacing w:val="-9"/>
          <w:sz w:val="21"/>
          <w:szCs w:val="21"/>
        </w:rPr>
        <w:t>查标准正态分布表得Z0.975=1.96;Z0.10=1.28。</w:t>
      </w:r>
    </w:p>
    <w:p w14:paraId="2650BED1">
      <w:pPr>
        <w:spacing w:before="120" w:line="216" w:lineRule="auto"/>
        <w:ind w:left="460"/>
        <w:rPr>
          <w:rFonts w:ascii="宋体" w:hAnsi="宋体" w:eastAsia="宋体" w:cs="宋体"/>
          <w:sz w:val="21"/>
          <w:szCs w:val="21"/>
        </w:rPr>
      </w:pPr>
      <w:r>
        <w:rPr>
          <w:rFonts w:ascii="宋体" w:hAnsi="宋体" w:eastAsia="宋体" w:cs="宋体"/>
          <w:spacing w:val="4"/>
          <w:sz w:val="21"/>
          <w:szCs w:val="21"/>
        </w:rPr>
        <w:t>将上述各项数值代入公式(5-1),求得：</w:t>
      </w:r>
    </w:p>
    <w:p w14:paraId="20A9BF7C">
      <w:pPr>
        <w:spacing w:line="276" w:lineRule="auto"/>
        <w:rPr>
          <w:rFonts w:ascii="Arial"/>
          <w:sz w:val="21"/>
        </w:rPr>
      </w:pPr>
    </w:p>
    <w:p w14:paraId="0644E3A1">
      <w:pPr>
        <w:spacing w:line="581" w:lineRule="exact"/>
        <w:ind w:firstLine="1189"/>
      </w:pPr>
      <w:r>
        <w:rPr>
          <w:position w:val="-11"/>
        </w:rPr>
        <w:drawing>
          <wp:inline distT="0" distB="0" distL="0" distR="0">
            <wp:extent cx="4375150" cy="368300"/>
            <wp:effectExtent l="0" t="0" r="0" b="0"/>
            <wp:docPr id="244" name="IM 244"/>
            <wp:cNvGraphicFramePr/>
            <a:graphic xmlns:a="http://schemas.openxmlformats.org/drawingml/2006/main">
              <a:graphicData uri="http://schemas.openxmlformats.org/drawingml/2006/picture">
                <pic:pic xmlns:pic="http://schemas.openxmlformats.org/drawingml/2006/picture">
                  <pic:nvPicPr>
                    <pic:cNvPr id="244" name="IM 244"/>
                    <pic:cNvPicPr/>
                  </pic:nvPicPr>
                  <pic:blipFill>
                    <a:blip r:embed="rId499"/>
                    <a:stretch>
                      <a:fillRect/>
                    </a:stretch>
                  </pic:blipFill>
                  <pic:spPr>
                    <a:xfrm>
                      <a:off x="0" y="0"/>
                      <a:ext cx="4375507" cy="368377"/>
                    </a:xfrm>
                    <a:prstGeom prst="rect">
                      <a:avLst/>
                    </a:prstGeom>
                  </pic:spPr>
                </pic:pic>
              </a:graphicData>
            </a:graphic>
          </wp:inline>
        </w:drawing>
      </w:r>
    </w:p>
    <w:p w14:paraId="4176FE58">
      <w:pPr>
        <w:spacing w:before="289" w:line="220" w:lineRule="auto"/>
        <w:ind w:left="470"/>
        <w:rPr>
          <w:rFonts w:ascii="宋体" w:hAnsi="宋体" w:eastAsia="宋体" w:cs="宋体"/>
          <w:sz w:val="21"/>
          <w:szCs w:val="21"/>
        </w:rPr>
      </w:pPr>
      <w:r>
        <w:rPr>
          <w:rFonts w:ascii="宋体" w:hAnsi="宋体" w:eastAsia="宋体" w:cs="宋体"/>
          <w:spacing w:val="8"/>
          <w:sz w:val="21"/>
          <w:szCs w:val="21"/>
        </w:rPr>
        <w:t>即病例组与对照组至少各需调查230人。</w:t>
      </w:r>
    </w:p>
    <w:p w14:paraId="35CEBED7">
      <w:pPr>
        <w:pStyle w:val="2"/>
        <w:spacing w:before="118" w:line="222" w:lineRule="auto"/>
        <w:ind w:left="490"/>
        <w:rPr>
          <w:sz w:val="21"/>
          <w:szCs w:val="21"/>
        </w:rPr>
      </w:pPr>
      <w:r>
        <w:rPr>
          <w:spacing w:val="31"/>
          <w:sz w:val="21"/>
          <w:szCs w:val="21"/>
        </w:rPr>
        <w:t>(三)1:1配对病例对照研究样本量估计</w:t>
      </w:r>
    </w:p>
    <w:p w14:paraId="27072D97">
      <w:pPr>
        <w:spacing w:before="116" w:line="318" w:lineRule="auto"/>
        <w:ind w:left="19" w:right="659" w:firstLine="430"/>
        <w:jc w:val="both"/>
        <w:rPr>
          <w:rFonts w:ascii="宋体" w:hAnsi="宋体" w:eastAsia="宋体" w:cs="宋体"/>
          <w:sz w:val="21"/>
          <w:szCs w:val="21"/>
        </w:rPr>
      </w:pPr>
      <w:r>
        <w:rPr>
          <w:rFonts w:ascii="宋体" w:hAnsi="宋体" w:eastAsia="宋体" w:cs="宋体"/>
          <w:spacing w:val="4"/>
          <w:sz w:val="21"/>
          <w:szCs w:val="21"/>
        </w:rPr>
        <w:t>个体匹配时，病例与对照暴露状态不一致的对子对于所研究的问题才有意义，故样本含量也建</w:t>
      </w:r>
      <w:r>
        <w:rPr>
          <w:rFonts w:ascii="宋体" w:hAnsi="宋体" w:eastAsia="宋体" w:cs="宋体"/>
          <w:spacing w:val="14"/>
          <w:sz w:val="21"/>
          <w:szCs w:val="21"/>
        </w:rPr>
        <w:t xml:space="preserve"> </w:t>
      </w:r>
      <w:r>
        <w:rPr>
          <w:rFonts w:ascii="宋体" w:hAnsi="宋体" w:eastAsia="宋体" w:cs="宋体"/>
          <w:spacing w:val="8"/>
          <w:sz w:val="21"/>
          <w:szCs w:val="21"/>
        </w:rPr>
        <w:t>立在这个基础之上。</w:t>
      </w:r>
      <w:r>
        <w:rPr>
          <w:rFonts w:ascii="宋体" w:hAnsi="宋体" w:eastAsia="宋体" w:cs="宋体"/>
          <w:spacing w:val="-45"/>
          <w:sz w:val="21"/>
          <w:szCs w:val="21"/>
        </w:rPr>
        <w:t xml:space="preserve"> </w:t>
      </w:r>
      <w:r>
        <w:rPr>
          <w:rFonts w:ascii="Times New Roman" w:hAnsi="Times New Roman" w:eastAsia="Times New Roman" w:cs="Times New Roman"/>
          <w:sz w:val="21"/>
          <w:szCs w:val="21"/>
        </w:rPr>
        <w:t>Schlesselman</w:t>
      </w:r>
      <w:r>
        <w:rPr>
          <w:rFonts w:ascii="Times New Roman" w:hAnsi="Times New Roman" w:eastAsia="Times New Roman" w:cs="Times New Roman"/>
          <w:spacing w:val="19"/>
          <w:w w:val="101"/>
          <w:sz w:val="21"/>
          <w:szCs w:val="21"/>
        </w:rPr>
        <w:t xml:space="preserve"> </w:t>
      </w:r>
      <w:r>
        <w:rPr>
          <w:rFonts w:ascii="宋体" w:hAnsi="宋体" w:eastAsia="宋体" w:cs="宋体"/>
          <w:spacing w:val="8"/>
          <w:sz w:val="21"/>
          <w:szCs w:val="21"/>
        </w:rPr>
        <w:t>曾提出1:1配对设计的病例对</w:t>
      </w:r>
      <w:r>
        <w:rPr>
          <w:rFonts w:ascii="宋体" w:hAnsi="宋体" w:eastAsia="宋体" w:cs="宋体"/>
          <w:spacing w:val="7"/>
          <w:sz w:val="21"/>
          <w:szCs w:val="21"/>
        </w:rPr>
        <w:t>照研究样本估计公式，具体做法是</w:t>
      </w:r>
      <w:r>
        <w:rPr>
          <w:rFonts w:ascii="宋体" w:hAnsi="宋体" w:eastAsia="宋体" w:cs="宋体"/>
          <w:sz w:val="21"/>
          <w:szCs w:val="21"/>
        </w:rPr>
        <w:t xml:space="preserve"> </w:t>
      </w:r>
      <w:r>
        <w:rPr>
          <w:rFonts w:ascii="宋体" w:hAnsi="宋体" w:eastAsia="宋体" w:cs="宋体"/>
          <w:spacing w:val="5"/>
          <w:sz w:val="21"/>
          <w:szCs w:val="21"/>
        </w:rPr>
        <w:t>先求病例与对照暴露状态不一致的对子数(</w:t>
      </w:r>
      <w:r>
        <w:rPr>
          <w:rFonts w:ascii="宋体" w:hAnsi="宋体" w:eastAsia="宋体" w:cs="宋体"/>
          <w:spacing w:val="4"/>
          <w:sz w:val="21"/>
          <w:szCs w:val="21"/>
        </w:rPr>
        <w:t>m):</w:t>
      </w:r>
    </w:p>
    <w:p w14:paraId="73532CF0">
      <w:pPr>
        <w:spacing w:line="347" w:lineRule="auto"/>
        <w:rPr>
          <w:rFonts w:ascii="Arial"/>
          <w:sz w:val="21"/>
        </w:rPr>
      </w:pPr>
      <w:r>
        <w:drawing>
          <wp:anchor distT="0" distB="0" distL="0" distR="0" simplePos="0" relativeHeight="251731968" behindDoc="0" locked="0" layoutInCell="1" allowOverlap="1">
            <wp:simplePos x="0" y="0"/>
            <wp:positionH relativeFrom="column">
              <wp:posOffset>2082165</wp:posOffset>
            </wp:positionH>
            <wp:positionV relativeFrom="paragraph">
              <wp:posOffset>93980</wp:posOffset>
            </wp:positionV>
            <wp:extent cx="1746250" cy="463550"/>
            <wp:effectExtent l="0" t="0" r="0" b="0"/>
            <wp:wrapNone/>
            <wp:docPr id="246" name="IM 246"/>
            <wp:cNvGraphicFramePr/>
            <a:graphic xmlns:a="http://schemas.openxmlformats.org/drawingml/2006/main">
              <a:graphicData uri="http://schemas.openxmlformats.org/drawingml/2006/picture">
                <pic:pic xmlns:pic="http://schemas.openxmlformats.org/drawingml/2006/picture">
                  <pic:nvPicPr>
                    <pic:cNvPr id="246" name="IM 246"/>
                    <pic:cNvPicPr/>
                  </pic:nvPicPr>
                  <pic:blipFill>
                    <a:blip r:embed="rId500"/>
                    <a:stretch>
                      <a:fillRect/>
                    </a:stretch>
                  </pic:blipFill>
                  <pic:spPr>
                    <a:xfrm>
                      <a:off x="0" y="0"/>
                      <a:ext cx="1746306" cy="463542"/>
                    </a:xfrm>
                    <a:prstGeom prst="rect">
                      <a:avLst/>
                    </a:prstGeom>
                  </pic:spPr>
                </pic:pic>
              </a:graphicData>
            </a:graphic>
          </wp:anchor>
        </w:drawing>
      </w:r>
    </w:p>
    <w:p w14:paraId="4971A06E">
      <w:pPr>
        <w:spacing w:before="69" w:line="221" w:lineRule="auto"/>
        <w:ind w:left="8460"/>
        <w:rPr>
          <w:rFonts w:ascii="宋体" w:hAnsi="宋体" w:eastAsia="宋体" w:cs="宋体"/>
          <w:sz w:val="21"/>
          <w:szCs w:val="21"/>
        </w:rPr>
      </w:pPr>
      <w:r>
        <w:rPr>
          <w:rFonts w:ascii="宋体" w:hAnsi="宋体" w:eastAsia="宋体" w:cs="宋体"/>
          <w:spacing w:val="13"/>
          <w:sz w:val="21"/>
          <w:szCs w:val="21"/>
        </w:rPr>
        <w:t>式(5-3)</w:t>
      </w:r>
    </w:p>
    <w:p w14:paraId="6F44812B">
      <w:pPr>
        <w:spacing w:line="347" w:lineRule="auto"/>
        <w:rPr>
          <w:rFonts w:ascii="Arial"/>
          <w:sz w:val="21"/>
        </w:rPr>
      </w:pPr>
    </w:p>
    <w:p w14:paraId="30BDF37A">
      <w:pPr>
        <w:spacing w:before="69" w:line="220" w:lineRule="auto"/>
        <w:rPr>
          <w:rFonts w:ascii="宋体" w:hAnsi="宋体" w:eastAsia="宋体" w:cs="宋体"/>
          <w:sz w:val="21"/>
          <w:szCs w:val="21"/>
        </w:rPr>
      </w:pPr>
      <w:r>
        <w:rPr>
          <w:rFonts w:ascii="宋体" w:hAnsi="宋体" w:eastAsia="宋体" w:cs="宋体"/>
          <w:spacing w:val="-7"/>
          <w:sz w:val="21"/>
          <w:szCs w:val="21"/>
        </w:rPr>
        <w:t>式</w:t>
      </w:r>
      <w:r>
        <w:rPr>
          <w:rFonts w:ascii="宋体" w:hAnsi="宋体" w:eastAsia="宋体" w:cs="宋体"/>
          <w:spacing w:val="-12"/>
          <w:sz w:val="21"/>
          <w:szCs w:val="21"/>
        </w:rPr>
        <w:t xml:space="preserve"> </w:t>
      </w:r>
      <w:r>
        <w:rPr>
          <w:rFonts w:ascii="宋体" w:hAnsi="宋体" w:eastAsia="宋体" w:cs="宋体"/>
          <w:spacing w:val="-7"/>
          <w:sz w:val="21"/>
          <w:szCs w:val="21"/>
        </w:rPr>
        <w:t>中</w:t>
      </w:r>
    </w:p>
    <w:p w14:paraId="274D5A67">
      <w:pPr>
        <w:spacing w:line="248" w:lineRule="auto"/>
        <w:rPr>
          <w:rFonts w:ascii="Arial"/>
          <w:sz w:val="21"/>
        </w:rPr>
      </w:pPr>
    </w:p>
    <w:p w14:paraId="1176C927">
      <w:pPr>
        <w:spacing w:before="69" w:line="215" w:lineRule="auto"/>
        <w:ind w:left="3299"/>
        <w:rPr>
          <w:rFonts w:ascii="宋体" w:hAnsi="宋体" w:eastAsia="宋体" w:cs="宋体"/>
          <w:sz w:val="21"/>
          <w:szCs w:val="21"/>
        </w:rPr>
      </w:pPr>
      <w:r>
        <w:rPr>
          <w:rFonts w:ascii="Times New Roman" w:hAnsi="Times New Roman" w:eastAsia="Times New Roman" w:cs="Times New Roman"/>
          <w:spacing w:val="3"/>
          <w:sz w:val="21"/>
          <w:szCs w:val="21"/>
        </w:rPr>
        <w:t>P=</w:t>
      </w:r>
      <w:r>
        <w:rPr>
          <w:rFonts w:ascii="Times New Roman" w:hAnsi="Times New Roman" w:eastAsia="Times New Roman" w:cs="Times New Roman"/>
          <w:sz w:val="21"/>
          <w:szCs w:val="21"/>
        </w:rPr>
        <w:t>OR</w:t>
      </w:r>
      <w:r>
        <w:rPr>
          <w:rFonts w:ascii="Times New Roman" w:hAnsi="Times New Roman" w:eastAsia="Times New Roman" w:cs="Times New Roman"/>
          <w:spacing w:val="3"/>
          <w:sz w:val="21"/>
          <w:szCs w:val="21"/>
        </w:rPr>
        <w:t>/(1+0R)≈</w:t>
      </w:r>
      <w:r>
        <w:rPr>
          <w:rFonts w:ascii="Times New Roman" w:hAnsi="Times New Roman" w:eastAsia="Times New Roman" w:cs="Times New Roman"/>
          <w:sz w:val="21"/>
          <w:szCs w:val="21"/>
        </w:rPr>
        <w:t>RR</w:t>
      </w:r>
      <w:r>
        <w:rPr>
          <w:rFonts w:ascii="Times New Roman" w:hAnsi="Times New Roman" w:eastAsia="Times New Roman" w:cs="Times New Roman"/>
          <w:spacing w:val="3"/>
          <w:sz w:val="21"/>
          <w:szCs w:val="21"/>
        </w:rPr>
        <w:t>/(1+</w:t>
      </w:r>
      <w:r>
        <w:rPr>
          <w:rFonts w:ascii="Times New Roman" w:hAnsi="Times New Roman" w:eastAsia="Times New Roman" w:cs="Times New Roman"/>
          <w:sz w:val="21"/>
          <w:szCs w:val="21"/>
        </w:rPr>
        <w:t>RR</w:t>
      </w:r>
      <w:r>
        <w:rPr>
          <w:rFonts w:ascii="Times New Roman" w:hAnsi="Times New Roman" w:eastAsia="Times New Roman" w:cs="Times New Roman"/>
          <w:spacing w:val="3"/>
          <w:sz w:val="21"/>
          <w:szCs w:val="21"/>
        </w:rPr>
        <w:t>)</w:t>
      </w:r>
      <w:r>
        <w:rPr>
          <w:rFonts w:ascii="Times New Roman" w:hAnsi="Times New Roman" w:eastAsia="Times New Roman" w:cs="Times New Roman"/>
          <w:sz w:val="21"/>
          <w:szCs w:val="21"/>
        </w:rPr>
        <w:t xml:space="preserve">                                                       </w:t>
      </w:r>
      <w:r>
        <w:rPr>
          <w:rFonts w:ascii="宋体" w:hAnsi="宋体" w:eastAsia="宋体" w:cs="宋体"/>
          <w:spacing w:val="3"/>
          <w:position w:val="-2"/>
          <w:sz w:val="21"/>
          <w:szCs w:val="21"/>
        </w:rPr>
        <w:t>式(5-4)</w:t>
      </w:r>
    </w:p>
    <w:p w14:paraId="1FAA49EA">
      <w:pPr>
        <w:spacing w:before="242" w:line="219" w:lineRule="auto"/>
        <w:rPr>
          <w:rFonts w:ascii="宋体" w:hAnsi="宋体" w:eastAsia="宋体" w:cs="宋体"/>
          <w:sz w:val="21"/>
          <w:szCs w:val="21"/>
        </w:rPr>
      </w:pPr>
      <w:r>
        <w:rPr>
          <w:rFonts w:ascii="宋体" w:hAnsi="宋体" w:eastAsia="宋体" w:cs="宋体"/>
          <w:spacing w:val="5"/>
          <w:sz w:val="21"/>
          <w:szCs w:val="21"/>
        </w:rPr>
        <w:t>再按式(5-5)求需要调查的总对子数(M):</w:t>
      </w:r>
    </w:p>
    <w:p w14:paraId="028F87E6">
      <w:pPr>
        <w:spacing w:line="321" w:lineRule="auto"/>
        <w:rPr>
          <w:rFonts w:ascii="Arial"/>
          <w:sz w:val="21"/>
        </w:rPr>
      </w:pPr>
      <w:r>
        <w:drawing>
          <wp:anchor distT="0" distB="0" distL="0" distR="0" simplePos="0" relativeHeight="251732992" behindDoc="0" locked="0" layoutInCell="1" allowOverlap="1">
            <wp:simplePos x="0" y="0"/>
            <wp:positionH relativeFrom="column">
              <wp:posOffset>2203450</wp:posOffset>
            </wp:positionH>
            <wp:positionV relativeFrom="paragraph">
              <wp:posOffset>153035</wp:posOffset>
            </wp:positionV>
            <wp:extent cx="1492250" cy="330200"/>
            <wp:effectExtent l="0" t="0" r="0" b="0"/>
            <wp:wrapNone/>
            <wp:docPr id="248" name="IM 248"/>
            <wp:cNvGraphicFramePr/>
            <a:graphic xmlns:a="http://schemas.openxmlformats.org/drawingml/2006/main">
              <a:graphicData uri="http://schemas.openxmlformats.org/drawingml/2006/picture">
                <pic:pic xmlns:pic="http://schemas.openxmlformats.org/drawingml/2006/picture">
                  <pic:nvPicPr>
                    <pic:cNvPr id="248" name="IM 248"/>
                    <pic:cNvPicPr/>
                  </pic:nvPicPr>
                  <pic:blipFill>
                    <a:blip r:embed="rId501"/>
                    <a:stretch>
                      <a:fillRect/>
                    </a:stretch>
                  </pic:blipFill>
                  <pic:spPr>
                    <a:xfrm>
                      <a:off x="0" y="0"/>
                      <a:ext cx="1492257" cy="330140"/>
                    </a:xfrm>
                    <a:prstGeom prst="rect">
                      <a:avLst/>
                    </a:prstGeom>
                  </pic:spPr>
                </pic:pic>
              </a:graphicData>
            </a:graphic>
          </wp:anchor>
        </w:drawing>
      </w:r>
    </w:p>
    <w:p w14:paraId="3401BAB6">
      <w:pPr>
        <w:spacing w:before="69" w:line="221" w:lineRule="auto"/>
        <w:ind w:left="8470"/>
        <w:rPr>
          <w:rFonts w:ascii="宋体" w:hAnsi="宋体" w:eastAsia="宋体" w:cs="宋体"/>
          <w:sz w:val="21"/>
          <w:szCs w:val="21"/>
        </w:rPr>
      </w:pPr>
      <w:r>
        <w:rPr>
          <w:rFonts w:ascii="宋体" w:hAnsi="宋体" w:eastAsia="宋体" w:cs="宋体"/>
          <w:spacing w:val="13"/>
          <w:sz w:val="21"/>
          <w:szCs w:val="21"/>
        </w:rPr>
        <w:t>式(5-5)</w:t>
      </w:r>
    </w:p>
    <w:p w14:paraId="3B33DB50">
      <w:pPr>
        <w:spacing w:line="285" w:lineRule="auto"/>
        <w:rPr>
          <w:rFonts w:ascii="Arial"/>
          <w:sz w:val="21"/>
        </w:rPr>
      </w:pPr>
    </w:p>
    <w:p w14:paraId="2FB7A47E">
      <w:pPr>
        <w:spacing w:before="69" w:line="218" w:lineRule="auto"/>
        <w:ind w:left="9"/>
        <w:rPr>
          <w:rFonts w:ascii="宋体" w:hAnsi="宋体" w:eastAsia="宋体" w:cs="宋体"/>
          <w:sz w:val="21"/>
          <w:szCs w:val="21"/>
        </w:rPr>
      </w:pPr>
      <w:r>
        <w:rPr>
          <w:rFonts w:ascii="宋体" w:hAnsi="宋体" w:eastAsia="宋体" w:cs="宋体"/>
          <w:spacing w:val="-1"/>
          <w:sz w:val="21"/>
          <w:szCs w:val="21"/>
        </w:rPr>
        <w:t>式中，</w:t>
      </w:r>
      <w:r>
        <w:rPr>
          <w:rFonts w:ascii="Times New Roman" w:hAnsi="Times New Roman" w:eastAsia="Times New Roman" w:cs="Times New Roman"/>
          <w:spacing w:val="-1"/>
          <w:sz w:val="21"/>
          <w:szCs w:val="21"/>
        </w:rPr>
        <w:t>P₀</w:t>
      </w:r>
      <w:r>
        <w:rPr>
          <w:rFonts w:ascii="Times New Roman" w:hAnsi="Times New Roman" w:eastAsia="Times New Roman" w:cs="Times New Roman"/>
          <w:spacing w:val="-14"/>
          <w:sz w:val="21"/>
          <w:szCs w:val="21"/>
        </w:rPr>
        <w:t xml:space="preserve"> </w:t>
      </w:r>
      <w:r>
        <w:rPr>
          <w:rFonts w:ascii="宋体" w:hAnsi="宋体" w:eastAsia="宋体" w:cs="宋体"/>
          <w:spacing w:val="-1"/>
          <w:sz w:val="21"/>
          <w:szCs w:val="21"/>
        </w:rPr>
        <w:t>、</w:t>
      </w:r>
      <w:r>
        <w:rPr>
          <w:rFonts w:ascii="Times New Roman" w:hAnsi="Times New Roman" w:eastAsia="Times New Roman" w:cs="Times New Roman"/>
          <w:spacing w:val="-1"/>
          <w:sz w:val="21"/>
          <w:szCs w:val="21"/>
        </w:rPr>
        <w:t>P₁</w:t>
      </w:r>
      <w:r>
        <w:rPr>
          <w:rFonts w:ascii="宋体" w:hAnsi="宋体" w:eastAsia="宋体" w:cs="宋体"/>
          <w:spacing w:val="-1"/>
          <w:sz w:val="21"/>
          <w:szCs w:val="21"/>
        </w:rPr>
        <w:t>分别代表源人群中对照组和病例组的估计暴露率，见式(5-2)。</w:t>
      </w:r>
    </w:p>
    <w:p w14:paraId="6154124A">
      <w:pPr>
        <w:spacing w:before="124" w:line="318" w:lineRule="auto"/>
        <w:ind w:right="675" w:firstLine="325"/>
        <w:jc w:val="both"/>
        <w:rPr>
          <w:rFonts w:ascii="宋体" w:hAnsi="宋体" w:eastAsia="宋体" w:cs="宋体"/>
          <w:sz w:val="21"/>
          <w:szCs w:val="21"/>
        </w:rPr>
      </w:pPr>
      <w:r>
        <w:rPr>
          <w:rFonts w:ascii="宋体" w:hAnsi="宋体" w:eastAsia="宋体" w:cs="宋体"/>
          <w:spacing w:val="21"/>
          <w:sz w:val="21"/>
          <w:szCs w:val="21"/>
        </w:rPr>
        <w:t>【例5-2】欲研究口服避孕药与先天性心</w:t>
      </w:r>
      <w:r>
        <w:rPr>
          <w:rFonts w:ascii="宋体" w:hAnsi="宋体" w:eastAsia="宋体" w:cs="宋体"/>
          <w:spacing w:val="20"/>
          <w:sz w:val="21"/>
          <w:szCs w:val="21"/>
        </w:rPr>
        <w:t>脏病的关系。已知人群中口服避孕药的暴露率为</w:t>
      </w:r>
      <w:r>
        <w:rPr>
          <w:rFonts w:ascii="宋体" w:hAnsi="宋体" w:eastAsia="宋体" w:cs="宋体"/>
          <w:sz w:val="21"/>
          <w:szCs w:val="21"/>
        </w:rPr>
        <w:t xml:space="preserve"> </w:t>
      </w:r>
      <w:r>
        <w:rPr>
          <w:rFonts w:ascii="宋体" w:hAnsi="宋体" w:eastAsia="宋体" w:cs="宋体"/>
          <w:spacing w:val="10"/>
          <w:sz w:val="21"/>
          <w:szCs w:val="21"/>
        </w:rPr>
        <w:t>30%,暴露对应的</w:t>
      </w:r>
      <w:r>
        <w:rPr>
          <w:rFonts w:ascii="Times New Roman" w:hAnsi="Times New Roman" w:eastAsia="Times New Roman" w:cs="Times New Roman"/>
          <w:sz w:val="21"/>
          <w:szCs w:val="21"/>
        </w:rPr>
        <w:t>OR</w:t>
      </w:r>
      <w:r>
        <w:rPr>
          <w:rFonts w:ascii="Times New Roman" w:hAnsi="Times New Roman" w:eastAsia="Times New Roman" w:cs="Times New Roman"/>
          <w:spacing w:val="10"/>
          <w:sz w:val="21"/>
          <w:szCs w:val="21"/>
        </w:rPr>
        <w:t xml:space="preserve"> </w:t>
      </w:r>
      <w:r>
        <w:rPr>
          <w:rFonts w:ascii="宋体" w:hAnsi="宋体" w:eastAsia="宋体" w:cs="宋体"/>
          <w:spacing w:val="10"/>
          <w:sz w:val="21"/>
          <w:szCs w:val="21"/>
        </w:rPr>
        <w:t>值为2。若进行1:1配对病例对照研究，α</w:t>
      </w:r>
      <w:r>
        <w:rPr>
          <w:rFonts w:ascii="宋体" w:hAnsi="宋体" w:eastAsia="宋体" w:cs="宋体"/>
          <w:spacing w:val="9"/>
          <w:sz w:val="21"/>
          <w:szCs w:val="21"/>
        </w:rPr>
        <w:t>=0.05,β=0.10,双侧检验，试问病</w:t>
      </w:r>
      <w:r>
        <w:rPr>
          <w:rFonts w:ascii="宋体" w:hAnsi="宋体" w:eastAsia="宋体" w:cs="宋体"/>
          <w:sz w:val="21"/>
          <w:szCs w:val="21"/>
        </w:rPr>
        <w:t xml:space="preserve"> </w:t>
      </w:r>
      <w:r>
        <w:rPr>
          <w:rFonts w:ascii="宋体" w:hAnsi="宋体" w:eastAsia="宋体" w:cs="宋体"/>
          <w:spacing w:val="11"/>
          <w:sz w:val="21"/>
          <w:szCs w:val="21"/>
        </w:rPr>
        <w:t>例和对照各需观察多少例?</w:t>
      </w:r>
    </w:p>
    <w:p w14:paraId="2D1175BF">
      <w:pPr>
        <w:spacing w:before="11" w:line="310" w:lineRule="auto"/>
        <w:ind w:right="604" w:firstLine="450"/>
        <w:rPr>
          <w:rFonts w:ascii="宋体" w:hAnsi="宋体" w:eastAsia="宋体" w:cs="宋体"/>
          <w:sz w:val="21"/>
          <w:szCs w:val="21"/>
        </w:rPr>
      </w:pPr>
      <w:r>
        <w:rPr>
          <w:rFonts w:ascii="宋体" w:hAnsi="宋体" w:eastAsia="宋体" w:cs="宋体"/>
          <w:spacing w:val="1"/>
          <w:sz w:val="21"/>
          <w:szCs w:val="21"/>
        </w:rPr>
        <w:t>本例为双侧检验，查表得</w:t>
      </w:r>
      <w:r>
        <w:rPr>
          <w:rFonts w:ascii="Times New Roman" w:hAnsi="Times New Roman" w:eastAsia="Times New Roman" w:cs="Times New Roman"/>
          <w:spacing w:val="1"/>
          <w:sz w:val="21"/>
          <w:szCs w:val="21"/>
        </w:rPr>
        <w:t>Z0.975=1.96;Z0.10=1.28</w:t>
      </w:r>
      <w:r>
        <w:rPr>
          <w:rFonts w:ascii="宋体" w:hAnsi="宋体" w:eastAsia="宋体" w:cs="宋体"/>
          <w:spacing w:val="1"/>
          <w:sz w:val="21"/>
          <w:szCs w:val="21"/>
        </w:rPr>
        <w:t>。又</w:t>
      </w:r>
      <w:r>
        <w:rPr>
          <w:rFonts w:ascii="宋体" w:hAnsi="宋体" w:eastAsia="宋体" w:cs="宋体"/>
          <w:spacing w:val="-31"/>
          <w:sz w:val="21"/>
          <w:szCs w:val="21"/>
        </w:rPr>
        <w:t xml:space="preserve"> </w:t>
      </w:r>
      <w:r>
        <w:rPr>
          <w:rFonts w:ascii="Times New Roman" w:hAnsi="Times New Roman" w:eastAsia="Times New Roman" w:cs="Times New Roman"/>
          <w:sz w:val="21"/>
          <w:szCs w:val="21"/>
        </w:rPr>
        <w:t>OR</w:t>
      </w:r>
      <w:r>
        <w:rPr>
          <w:rFonts w:ascii="Times New Roman" w:hAnsi="Times New Roman" w:eastAsia="Times New Roman" w:cs="Times New Roman"/>
          <w:spacing w:val="1"/>
          <w:sz w:val="21"/>
          <w:szCs w:val="21"/>
        </w:rPr>
        <w:t xml:space="preserve">=2,P₀=0.3,   </w:t>
      </w:r>
      <w:r>
        <w:rPr>
          <w:rFonts w:ascii="宋体" w:hAnsi="宋体" w:eastAsia="宋体" w:cs="宋体"/>
          <w:spacing w:val="1"/>
          <w:sz w:val="21"/>
          <w:szCs w:val="21"/>
        </w:rPr>
        <w:t>利用公式(5-4)及公式(5-3)</w:t>
      </w:r>
      <w:r>
        <w:rPr>
          <w:rFonts w:ascii="宋体" w:hAnsi="宋体" w:eastAsia="宋体" w:cs="宋体"/>
          <w:sz w:val="21"/>
          <w:szCs w:val="21"/>
        </w:rPr>
        <w:t xml:space="preserve"> </w:t>
      </w:r>
      <w:r>
        <w:rPr>
          <w:rFonts w:ascii="宋体" w:hAnsi="宋体" w:eastAsia="宋体" w:cs="宋体"/>
          <w:spacing w:val="9"/>
          <w:sz w:val="21"/>
          <w:szCs w:val="21"/>
        </w:rPr>
        <w:t>分别求得：</w:t>
      </w:r>
    </w:p>
    <w:p w14:paraId="6C6F13AE">
      <w:pPr>
        <w:spacing w:before="207" w:line="192" w:lineRule="auto"/>
        <w:ind w:left="3840"/>
        <w:rPr>
          <w:rFonts w:ascii="Times New Roman" w:hAnsi="Times New Roman" w:eastAsia="Times New Roman" w:cs="Times New Roman"/>
          <w:sz w:val="21"/>
          <w:szCs w:val="21"/>
        </w:rPr>
      </w:pPr>
      <w:r>
        <w:rPr>
          <w:rFonts w:ascii="Times New Roman" w:hAnsi="Times New Roman" w:eastAsia="Times New Roman" w:cs="Times New Roman"/>
          <w:spacing w:val="-1"/>
          <w:sz w:val="21"/>
          <w:szCs w:val="21"/>
        </w:rPr>
        <w:t>P=2/(1+2)=0.667</w:t>
      </w:r>
    </w:p>
    <w:p w14:paraId="3C826166">
      <w:pPr>
        <w:spacing w:before="210" w:line="610" w:lineRule="exact"/>
        <w:ind w:firstLine="2460"/>
      </w:pPr>
      <w:r>
        <w:rPr>
          <w:position w:val="-12"/>
        </w:rPr>
        <w:drawing>
          <wp:inline distT="0" distB="0" distL="0" distR="0">
            <wp:extent cx="2793365" cy="387350"/>
            <wp:effectExtent l="0" t="0" r="0" b="0"/>
            <wp:docPr id="250" name="IM 250"/>
            <wp:cNvGraphicFramePr/>
            <a:graphic xmlns:a="http://schemas.openxmlformats.org/drawingml/2006/main">
              <a:graphicData uri="http://schemas.openxmlformats.org/drawingml/2006/picture">
                <pic:pic xmlns:pic="http://schemas.openxmlformats.org/drawingml/2006/picture">
                  <pic:nvPicPr>
                    <pic:cNvPr id="250" name="IM 250"/>
                    <pic:cNvPicPr/>
                  </pic:nvPicPr>
                  <pic:blipFill>
                    <a:blip r:embed="rId502"/>
                    <a:stretch>
                      <a:fillRect/>
                    </a:stretch>
                  </pic:blipFill>
                  <pic:spPr>
                    <a:xfrm>
                      <a:off x="0" y="0"/>
                      <a:ext cx="2793940" cy="387388"/>
                    </a:xfrm>
                    <a:prstGeom prst="rect">
                      <a:avLst/>
                    </a:prstGeom>
                  </pic:spPr>
                </pic:pic>
              </a:graphicData>
            </a:graphic>
          </wp:inline>
        </w:drawing>
      </w:r>
    </w:p>
    <w:p w14:paraId="70AA30D1">
      <w:pPr>
        <w:spacing w:line="610" w:lineRule="exact"/>
        <w:sectPr>
          <w:footerReference r:id="rId99" w:type="default"/>
          <w:pgSz w:w="11900" w:h="16820"/>
          <w:pgMar w:top="400" w:right="689" w:bottom="890" w:left="1299" w:header="0" w:footer="617" w:gutter="0"/>
          <w:cols w:space="720" w:num="1"/>
        </w:sectPr>
      </w:pPr>
    </w:p>
    <w:p w14:paraId="46D81A3D">
      <w:pPr>
        <w:pStyle w:val="2"/>
        <w:spacing w:before="77" w:line="222" w:lineRule="auto"/>
        <w:ind w:left="699"/>
        <w:rPr>
          <w:sz w:val="21"/>
          <w:szCs w:val="21"/>
        </w:rPr>
      </w:pPr>
      <w:bookmarkStart w:id="137" w:name="bookmark445"/>
      <w:bookmarkEnd w:id="137"/>
      <w:r>
        <w:rPr>
          <w:spacing w:val="-21"/>
          <w:w w:val="96"/>
          <w:sz w:val="21"/>
          <w:szCs w:val="21"/>
        </w:rPr>
        <w:t>第五章 病例对照研究</w:t>
      </w:r>
    </w:p>
    <w:p w14:paraId="13F7967C">
      <w:pPr>
        <w:spacing w:line="272" w:lineRule="auto"/>
        <w:rPr>
          <w:rFonts w:ascii="Arial"/>
          <w:sz w:val="21"/>
        </w:rPr>
      </w:pPr>
    </w:p>
    <w:p w14:paraId="164471C3">
      <w:pPr>
        <w:spacing w:line="272" w:lineRule="auto"/>
        <w:rPr>
          <w:rFonts w:ascii="Arial"/>
          <w:sz w:val="21"/>
        </w:rPr>
      </w:pPr>
    </w:p>
    <w:p w14:paraId="0BDF510B">
      <w:pPr>
        <w:spacing w:before="68" w:line="216" w:lineRule="auto"/>
        <w:ind w:left="1140"/>
        <w:rPr>
          <w:rFonts w:ascii="宋体" w:hAnsi="宋体" w:eastAsia="宋体" w:cs="宋体"/>
          <w:sz w:val="21"/>
          <w:szCs w:val="21"/>
        </w:rPr>
      </w:pPr>
      <w:r>
        <w:rPr>
          <w:rFonts w:ascii="宋体" w:hAnsi="宋体" w:eastAsia="宋体" w:cs="宋体"/>
          <w:spacing w:val="-4"/>
          <w:sz w:val="21"/>
          <w:szCs w:val="21"/>
        </w:rPr>
        <w:t>利用公式(5-2),求得：</w:t>
      </w:r>
    </w:p>
    <w:p w14:paraId="77EE2855">
      <w:pPr>
        <w:spacing w:line="263" w:lineRule="auto"/>
        <w:rPr>
          <w:rFonts w:ascii="Arial"/>
          <w:sz w:val="21"/>
        </w:rPr>
      </w:pPr>
    </w:p>
    <w:p w14:paraId="1B5A3F6D">
      <w:pPr>
        <w:spacing w:before="61" w:line="192" w:lineRule="auto"/>
        <w:ind w:left="3609"/>
        <w:rPr>
          <w:rFonts w:ascii="Times New Roman" w:hAnsi="Times New Roman" w:eastAsia="Times New Roman" w:cs="Times New Roman"/>
          <w:sz w:val="21"/>
          <w:szCs w:val="21"/>
        </w:rPr>
      </w:pPr>
      <w:r>
        <w:rPr>
          <w:rFonts w:ascii="Times New Roman" w:hAnsi="Times New Roman" w:eastAsia="Times New Roman" w:cs="Times New Roman"/>
          <w:sz w:val="21"/>
          <w:szCs w:val="21"/>
        </w:rPr>
        <w:t>P=(2×0.3)/(1-0.3+2×0.3</w:t>
      </w:r>
      <w:r>
        <w:rPr>
          <w:rFonts w:ascii="Times New Roman" w:hAnsi="Times New Roman" w:eastAsia="Times New Roman" w:cs="Times New Roman"/>
          <w:spacing w:val="-1"/>
          <w:sz w:val="21"/>
          <w:szCs w:val="21"/>
        </w:rPr>
        <w:t>)=0.46</w:t>
      </w:r>
    </w:p>
    <w:p w14:paraId="40B4C948">
      <w:pPr>
        <w:spacing w:before="298" w:line="219" w:lineRule="auto"/>
        <w:ind w:left="1150"/>
        <w:rPr>
          <w:rFonts w:ascii="宋体" w:hAnsi="宋体" w:eastAsia="宋体" w:cs="宋体"/>
          <w:sz w:val="21"/>
          <w:szCs w:val="21"/>
        </w:rPr>
      </w:pPr>
      <w:r>
        <w:rPr>
          <w:rFonts w:ascii="宋体" w:hAnsi="宋体" w:eastAsia="宋体" w:cs="宋体"/>
          <w:spacing w:val="-4"/>
          <w:sz w:val="21"/>
          <w:szCs w:val="21"/>
        </w:rPr>
        <w:t>再按公式(5-5)求得：</w:t>
      </w:r>
    </w:p>
    <w:p w14:paraId="71F8ABEB">
      <w:pPr>
        <w:spacing w:line="270" w:lineRule="auto"/>
        <w:rPr>
          <w:rFonts w:ascii="Arial"/>
          <w:sz w:val="21"/>
        </w:rPr>
      </w:pPr>
    </w:p>
    <w:p w14:paraId="573D81F8">
      <w:pPr>
        <w:spacing w:line="560" w:lineRule="exact"/>
        <w:ind w:firstLine="2960"/>
      </w:pPr>
      <w:r>
        <w:rPr>
          <w:position w:val="-11"/>
        </w:rPr>
        <w:drawing>
          <wp:inline distT="0" distB="0" distL="0" distR="0">
            <wp:extent cx="2736215" cy="354965"/>
            <wp:effectExtent l="0" t="0" r="0" b="0"/>
            <wp:docPr id="252" name="IM 252"/>
            <wp:cNvGraphicFramePr/>
            <a:graphic xmlns:a="http://schemas.openxmlformats.org/drawingml/2006/main">
              <a:graphicData uri="http://schemas.openxmlformats.org/drawingml/2006/picture">
                <pic:pic xmlns:pic="http://schemas.openxmlformats.org/drawingml/2006/picture">
                  <pic:nvPicPr>
                    <pic:cNvPr id="252" name="IM 252"/>
                    <pic:cNvPicPr/>
                  </pic:nvPicPr>
                  <pic:blipFill>
                    <a:blip r:embed="rId503"/>
                    <a:stretch>
                      <a:fillRect/>
                    </a:stretch>
                  </pic:blipFill>
                  <pic:spPr>
                    <a:xfrm>
                      <a:off x="0" y="0"/>
                      <a:ext cx="2736812" cy="355560"/>
                    </a:xfrm>
                    <a:prstGeom prst="rect">
                      <a:avLst/>
                    </a:prstGeom>
                  </pic:spPr>
                </pic:pic>
              </a:graphicData>
            </a:graphic>
          </wp:inline>
        </w:drawing>
      </w:r>
    </w:p>
    <w:p w14:paraId="583F6307">
      <w:pPr>
        <w:spacing w:before="268" w:line="219" w:lineRule="auto"/>
        <w:ind w:left="1150"/>
        <w:rPr>
          <w:rFonts w:ascii="宋体" w:hAnsi="宋体" w:eastAsia="宋体" w:cs="宋体"/>
          <w:sz w:val="21"/>
          <w:szCs w:val="21"/>
        </w:rPr>
      </w:pPr>
      <w:r>
        <w:rPr>
          <w:rFonts w:ascii="宋体" w:hAnsi="宋体" w:eastAsia="宋体" w:cs="宋体"/>
          <w:spacing w:val="-2"/>
          <w:sz w:val="21"/>
          <w:szCs w:val="21"/>
        </w:rPr>
        <w:t>即需要调查的对子数至少为186对，即病例和对照至少各需调查186例。</w:t>
      </w:r>
    </w:p>
    <w:p w14:paraId="373DCB29">
      <w:pPr>
        <w:spacing w:before="169" w:line="218" w:lineRule="auto"/>
        <w:ind w:left="1160"/>
        <w:rPr>
          <w:rFonts w:ascii="宋体" w:hAnsi="宋体" w:eastAsia="宋体" w:cs="宋体"/>
          <w:sz w:val="21"/>
          <w:szCs w:val="21"/>
        </w:rPr>
      </w:pPr>
      <w:r>
        <w:rPr>
          <w:rFonts w:ascii="宋体" w:hAnsi="宋体" w:eastAsia="宋体" w:cs="宋体"/>
          <w:spacing w:val="-9"/>
          <w:sz w:val="21"/>
          <w:szCs w:val="21"/>
        </w:rPr>
        <w:t>( 四 ) 1 :r</w:t>
      </w:r>
      <w:r>
        <w:rPr>
          <w:rFonts w:ascii="宋体" w:hAnsi="宋体" w:eastAsia="宋体" w:cs="宋体"/>
          <w:spacing w:val="-16"/>
          <w:sz w:val="21"/>
          <w:szCs w:val="21"/>
        </w:rPr>
        <w:t xml:space="preserve"> </w:t>
      </w:r>
      <w:r>
        <w:rPr>
          <w:rFonts w:ascii="宋体" w:hAnsi="宋体" w:eastAsia="宋体" w:cs="宋体"/>
          <w:spacing w:val="-9"/>
          <w:sz w:val="21"/>
          <w:szCs w:val="21"/>
        </w:rPr>
        <w:t>匹配病例对照研究样本量估计</w:t>
      </w:r>
    </w:p>
    <w:p w14:paraId="4304C48B">
      <w:pPr>
        <w:spacing w:before="101" w:line="216" w:lineRule="auto"/>
        <w:ind w:left="1140"/>
        <w:rPr>
          <w:rFonts w:ascii="宋体" w:hAnsi="宋体" w:eastAsia="宋体" w:cs="宋体"/>
          <w:sz w:val="21"/>
          <w:szCs w:val="21"/>
        </w:rPr>
      </w:pPr>
      <w:r>
        <w:rPr>
          <w:rFonts w:ascii="宋体" w:hAnsi="宋体" w:eastAsia="宋体" w:cs="宋体"/>
          <w:spacing w:val="-2"/>
          <w:sz w:val="21"/>
          <w:szCs w:val="21"/>
        </w:rPr>
        <w:t>可用以下公式计算病例数与对照数不等时病例对照研究所需的病例数(n),对照数为rxn。</w:t>
      </w:r>
    </w:p>
    <w:p w14:paraId="7C2D449F">
      <w:pPr>
        <w:spacing w:line="207" w:lineRule="exact"/>
      </w:pPr>
    </w:p>
    <w:p w14:paraId="6272FA9C">
      <w:pPr>
        <w:spacing w:line="207" w:lineRule="exact"/>
        <w:sectPr>
          <w:footerReference r:id="rId100" w:type="default"/>
          <w:pgSz w:w="11900" w:h="16820"/>
          <w:pgMar w:top="400" w:right="1475" w:bottom="880" w:left="800" w:header="0" w:footer="607" w:gutter="0"/>
          <w:cols w:equalWidth="0" w:num="1">
            <w:col w:w="9625"/>
          </w:cols>
        </w:sectPr>
      </w:pPr>
    </w:p>
    <w:p w14:paraId="189D0A98">
      <w:pPr>
        <w:spacing w:before="41" w:line="711" w:lineRule="exact"/>
        <w:ind w:firstLine="2080"/>
      </w:pPr>
      <w:r>
        <w:rPr>
          <w:position w:val="-14"/>
        </w:rPr>
        <w:drawing>
          <wp:inline distT="0" distB="0" distL="0" distR="0">
            <wp:extent cx="3891915" cy="450850"/>
            <wp:effectExtent l="0" t="0" r="0" b="0"/>
            <wp:docPr id="254" name="IM 254"/>
            <wp:cNvGraphicFramePr/>
            <a:graphic xmlns:a="http://schemas.openxmlformats.org/drawingml/2006/main">
              <a:graphicData uri="http://schemas.openxmlformats.org/drawingml/2006/picture">
                <pic:pic xmlns:pic="http://schemas.openxmlformats.org/drawingml/2006/picture">
                  <pic:nvPicPr>
                    <pic:cNvPr id="254" name="IM 254"/>
                    <pic:cNvPicPr/>
                  </pic:nvPicPr>
                  <pic:blipFill>
                    <a:blip r:embed="rId504"/>
                    <a:stretch>
                      <a:fillRect/>
                    </a:stretch>
                  </pic:blipFill>
                  <pic:spPr>
                    <a:xfrm>
                      <a:off x="0" y="0"/>
                      <a:ext cx="3892504" cy="450939"/>
                    </a:xfrm>
                    <a:prstGeom prst="rect">
                      <a:avLst/>
                    </a:prstGeom>
                  </pic:spPr>
                </pic:pic>
              </a:graphicData>
            </a:graphic>
          </wp:inline>
        </w:drawing>
      </w:r>
    </w:p>
    <w:p w14:paraId="17C3EC76">
      <w:pPr>
        <w:spacing w:before="217" w:line="192" w:lineRule="auto"/>
        <w:ind w:left="3820"/>
        <w:rPr>
          <w:rFonts w:ascii="Times New Roman" w:hAnsi="Times New Roman" w:eastAsia="Times New Roman" w:cs="Times New Roman"/>
          <w:sz w:val="21"/>
          <w:szCs w:val="21"/>
        </w:rPr>
      </w:pPr>
      <w:r>
        <w:rPr>
          <w:rFonts w:ascii="Times New Roman" w:hAnsi="Times New Roman" w:eastAsia="Times New Roman" w:cs="Times New Roman"/>
          <w:spacing w:val="-1"/>
          <w:sz w:val="21"/>
          <w:szCs w:val="21"/>
        </w:rPr>
        <w:t>P₁=(OR×P₀)/(1-P₀+OR×P₀)</w:t>
      </w:r>
    </w:p>
    <w:p w14:paraId="7657BF16">
      <w:pPr>
        <w:spacing w:before="237" w:line="192" w:lineRule="auto"/>
        <w:ind w:left="4249"/>
        <w:rPr>
          <w:rFonts w:ascii="Times New Roman" w:hAnsi="Times New Roman" w:eastAsia="Times New Roman" w:cs="Times New Roman"/>
          <w:sz w:val="21"/>
          <w:szCs w:val="21"/>
        </w:rPr>
      </w:pPr>
      <w:r>
        <w:rPr>
          <w:rFonts w:ascii="Times New Roman" w:hAnsi="Times New Roman" w:eastAsia="Times New Roman" w:cs="Times New Roman"/>
          <w:spacing w:val="-1"/>
          <w:sz w:val="21"/>
          <w:szCs w:val="21"/>
        </w:rPr>
        <w:t>P=(P₁+rP₀)/(1+r)</w:t>
      </w:r>
    </w:p>
    <w:p w14:paraId="111F7183">
      <w:pPr>
        <w:spacing w:line="42" w:lineRule="exact"/>
      </w:pPr>
    </w:p>
    <w:p w14:paraId="442708CD">
      <w:pPr>
        <w:spacing w:line="14" w:lineRule="auto"/>
        <w:rPr>
          <w:rFonts w:ascii="Arial"/>
          <w:sz w:val="2"/>
        </w:rPr>
      </w:pPr>
      <w:r>
        <w:rPr>
          <w:rFonts w:ascii="Arial" w:hAnsi="Arial" w:eastAsia="Arial" w:cs="Arial"/>
          <w:sz w:val="2"/>
          <w:szCs w:val="2"/>
        </w:rPr>
        <w:br w:type="column"/>
      </w:r>
    </w:p>
    <w:p w14:paraId="22124EE3">
      <w:pPr>
        <w:spacing w:before="300" w:line="221" w:lineRule="auto"/>
        <w:rPr>
          <w:rFonts w:ascii="宋体" w:hAnsi="宋体" w:eastAsia="宋体" w:cs="宋体"/>
          <w:sz w:val="21"/>
          <w:szCs w:val="21"/>
        </w:rPr>
      </w:pPr>
      <w:r>
        <w:rPr>
          <w:rFonts w:ascii="宋体" w:hAnsi="宋体" w:eastAsia="宋体" w:cs="宋体"/>
          <w:spacing w:val="5"/>
          <w:sz w:val="21"/>
          <w:szCs w:val="21"/>
        </w:rPr>
        <w:t>式(5-6)</w:t>
      </w:r>
    </w:p>
    <w:p w14:paraId="06B67182">
      <w:pPr>
        <w:spacing w:line="245" w:lineRule="auto"/>
        <w:rPr>
          <w:rFonts w:ascii="Arial"/>
          <w:sz w:val="21"/>
        </w:rPr>
      </w:pPr>
    </w:p>
    <w:p w14:paraId="6F7D3DB6">
      <w:pPr>
        <w:spacing w:line="245" w:lineRule="auto"/>
        <w:rPr>
          <w:rFonts w:ascii="Arial"/>
          <w:sz w:val="21"/>
        </w:rPr>
      </w:pPr>
    </w:p>
    <w:p w14:paraId="0EDB0EE4">
      <w:pPr>
        <w:spacing w:line="245" w:lineRule="auto"/>
        <w:rPr>
          <w:rFonts w:ascii="Arial"/>
          <w:sz w:val="21"/>
        </w:rPr>
      </w:pPr>
    </w:p>
    <w:p w14:paraId="12F8ED77">
      <w:pPr>
        <w:pStyle w:val="2"/>
        <w:spacing w:before="69" w:line="224" w:lineRule="auto"/>
        <w:ind w:left="9"/>
        <w:rPr>
          <w:sz w:val="21"/>
          <w:szCs w:val="21"/>
        </w:rPr>
      </w:pPr>
      <w:r>
        <w:rPr>
          <w:spacing w:val="5"/>
          <w:sz w:val="21"/>
          <w:szCs w:val="21"/>
        </w:rPr>
        <w:t>式(5-7)</w:t>
      </w:r>
    </w:p>
    <w:p w14:paraId="3B44D119">
      <w:pPr>
        <w:spacing w:line="224" w:lineRule="auto"/>
        <w:rPr>
          <w:sz w:val="21"/>
          <w:szCs w:val="21"/>
        </w:rPr>
        <w:sectPr>
          <w:type w:val="continuous"/>
          <w:pgSz w:w="11900" w:h="16820"/>
          <w:pgMar w:top="400" w:right="1475" w:bottom="880" w:left="800" w:header="0" w:footer="607" w:gutter="0"/>
          <w:cols w:equalWidth="0" w:num="2">
            <w:col w:w="8730" w:space="100"/>
            <w:col w:w="795"/>
          </w:cols>
        </w:sectPr>
      </w:pPr>
    </w:p>
    <w:p w14:paraId="001BDC94">
      <w:pPr>
        <w:spacing w:before="253" w:line="333" w:lineRule="auto"/>
        <w:ind w:left="729" w:right="64" w:firstLine="284"/>
        <w:jc w:val="both"/>
        <w:rPr>
          <w:rFonts w:ascii="宋体" w:hAnsi="宋体" w:eastAsia="宋体" w:cs="宋体"/>
          <w:sz w:val="21"/>
          <w:szCs w:val="21"/>
        </w:rPr>
      </w:pPr>
      <w:r>
        <w:rPr>
          <w:rFonts w:ascii="宋体" w:hAnsi="宋体" w:eastAsia="宋体" w:cs="宋体"/>
          <w:spacing w:val="8"/>
          <w:sz w:val="21"/>
          <w:szCs w:val="21"/>
        </w:rPr>
        <w:t>【例5-3】某学者欲研究再生障碍性贫血的危险因素，以1:4匹配进行病例对照研究</w:t>
      </w:r>
      <w:r>
        <w:rPr>
          <w:rFonts w:ascii="宋体" w:hAnsi="宋体" w:eastAsia="宋体" w:cs="宋体"/>
          <w:spacing w:val="7"/>
          <w:sz w:val="21"/>
          <w:szCs w:val="21"/>
        </w:rPr>
        <w:t>，假设</w:t>
      </w:r>
      <w:r>
        <w:rPr>
          <w:rFonts w:ascii="宋体" w:hAnsi="宋体" w:eastAsia="宋体" w:cs="宋体"/>
          <w:sz w:val="21"/>
          <w:szCs w:val="21"/>
        </w:rPr>
        <w:t xml:space="preserve"> </w:t>
      </w:r>
      <w:r>
        <w:rPr>
          <w:rFonts w:ascii="宋体" w:hAnsi="宋体" w:eastAsia="宋体" w:cs="宋体"/>
          <w:spacing w:val="2"/>
          <w:sz w:val="21"/>
          <w:szCs w:val="21"/>
        </w:rPr>
        <w:t>对照组某种危险因素暴露率为20.1%,</w:t>
      </w:r>
      <w:r>
        <w:rPr>
          <w:rFonts w:ascii="宋体" w:hAnsi="宋体" w:eastAsia="宋体" w:cs="宋体"/>
          <w:sz w:val="21"/>
          <w:szCs w:val="21"/>
        </w:rPr>
        <w:t>OR</w:t>
      </w:r>
      <w:r>
        <w:rPr>
          <w:rFonts w:ascii="宋体" w:hAnsi="宋体" w:eastAsia="宋体" w:cs="宋体"/>
          <w:spacing w:val="2"/>
          <w:sz w:val="21"/>
          <w:szCs w:val="21"/>
        </w:rPr>
        <w:t>=5,α=0.05,β=0.10,单侧检验，试问病例与对照各需多</w:t>
      </w:r>
      <w:r>
        <w:rPr>
          <w:rFonts w:ascii="宋体" w:hAnsi="宋体" w:eastAsia="宋体" w:cs="宋体"/>
          <w:spacing w:val="11"/>
          <w:sz w:val="21"/>
          <w:szCs w:val="21"/>
        </w:rPr>
        <w:t xml:space="preserve"> </w:t>
      </w:r>
      <w:r>
        <w:rPr>
          <w:rFonts w:ascii="宋体" w:hAnsi="宋体" w:eastAsia="宋体" w:cs="宋体"/>
          <w:spacing w:val="8"/>
          <w:sz w:val="21"/>
          <w:szCs w:val="21"/>
        </w:rPr>
        <w:t>少例?</w:t>
      </w:r>
    </w:p>
    <w:p w14:paraId="139AE117">
      <w:pPr>
        <w:spacing w:before="14" w:line="216" w:lineRule="auto"/>
        <w:ind w:left="1140"/>
        <w:rPr>
          <w:rFonts w:ascii="宋体" w:hAnsi="宋体" w:eastAsia="宋体" w:cs="宋体"/>
          <w:sz w:val="21"/>
          <w:szCs w:val="21"/>
        </w:rPr>
      </w:pPr>
      <w:r>
        <w:rPr>
          <w:rFonts w:ascii="宋体" w:hAnsi="宋体" w:eastAsia="宋体" w:cs="宋体"/>
          <w:spacing w:val="-5"/>
          <w:sz w:val="21"/>
          <w:szCs w:val="21"/>
        </w:rPr>
        <w:t>本例：查表得单侧检验时Zo</w:t>
      </w:r>
      <w:r>
        <w:rPr>
          <w:rFonts w:ascii="Calibri" w:hAnsi="Calibri" w:eastAsia="Calibri" w:cs="Calibri"/>
          <w:spacing w:val="-5"/>
          <w:sz w:val="21"/>
          <w:szCs w:val="21"/>
        </w:rPr>
        <w:t>₉</w:t>
      </w:r>
      <w:r>
        <w:rPr>
          <w:rFonts w:ascii="宋体" w:hAnsi="宋体" w:eastAsia="宋体" w:cs="宋体"/>
          <w:spacing w:val="-5"/>
          <w:sz w:val="21"/>
          <w:szCs w:val="21"/>
        </w:rPr>
        <w:t>= 1.64,Z.10=1.28,r=4,OR=5,P</w:t>
      </w:r>
      <w:r>
        <w:rPr>
          <w:rFonts w:ascii="Calibri" w:hAnsi="Calibri" w:eastAsia="Calibri" w:cs="Calibri"/>
          <w:spacing w:val="-5"/>
          <w:sz w:val="21"/>
          <w:szCs w:val="21"/>
        </w:rPr>
        <w:t>₀</w:t>
      </w:r>
      <w:r>
        <w:rPr>
          <w:rFonts w:ascii="宋体" w:hAnsi="宋体" w:eastAsia="宋体" w:cs="宋体"/>
          <w:spacing w:val="-5"/>
          <w:sz w:val="21"/>
          <w:szCs w:val="21"/>
        </w:rPr>
        <w:t>=0.201,则</w:t>
      </w:r>
      <w:r>
        <w:rPr>
          <w:rFonts w:ascii="宋体" w:hAnsi="宋体" w:eastAsia="宋体" w:cs="宋体"/>
          <w:spacing w:val="-26"/>
          <w:sz w:val="21"/>
          <w:szCs w:val="21"/>
        </w:rPr>
        <w:t xml:space="preserve"> </w:t>
      </w:r>
      <w:r>
        <w:rPr>
          <w:rFonts w:ascii="宋体" w:hAnsi="宋体" w:eastAsia="宋体" w:cs="宋体"/>
          <w:spacing w:val="-5"/>
          <w:sz w:val="21"/>
          <w:szCs w:val="21"/>
        </w:rPr>
        <w:t>：</w:t>
      </w:r>
    </w:p>
    <w:p w14:paraId="326FA27C">
      <w:pPr>
        <w:spacing w:line="253" w:lineRule="auto"/>
        <w:rPr>
          <w:rFonts w:ascii="Arial"/>
          <w:sz w:val="21"/>
        </w:rPr>
      </w:pPr>
    </w:p>
    <w:p w14:paraId="07B5E2C1">
      <w:pPr>
        <w:spacing w:before="61" w:line="192" w:lineRule="auto"/>
        <w:ind w:left="3220"/>
        <w:rPr>
          <w:rFonts w:ascii="Times New Roman" w:hAnsi="Times New Roman" w:eastAsia="Times New Roman" w:cs="Times New Roman"/>
          <w:sz w:val="21"/>
          <w:szCs w:val="21"/>
        </w:rPr>
      </w:pPr>
      <w:r>
        <w:rPr>
          <w:rFonts w:ascii="Times New Roman" w:hAnsi="Times New Roman" w:eastAsia="Times New Roman" w:cs="Times New Roman"/>
          <w:sz w:val="21"/>
          <w:szCs w:val="21"/>
        </w:rPr>
        <w:t>P₁=(5×0.201)/(1-0.201+5×0.201)=</w:t>
      </w:r>
      <w:r>
        <w:rPr>
          <w:rFonts w:ascii="Times New Roman" w:hAnsi="Times New Roman" w:eastAsia="Times New Roman" w:cs="Times New Roman"/>
          <w:spacing w:val="-1"/>
          <w:sz w:val="21"/>
          <w:szCs w:val="21"/>
        </w:rPr>
        <w:t>0.5571</w:t>
      </w:r>
    </w:p>
    <w:p w14:paraId="5994AA27">
      <w:pPr>
        <w:spacing w:before="237" w:line="192" w:lineRule="auto"/>
        <w:ind w:left="3439"/>
        <w:rPr>
          <w:rFonts w:ascii="Times New Roman" w:hAnsi="Times New Roman" w:eastAsia="Times New Roman" w:cs="Times New Roman"/>
          <w:sz w:val="21"/>
          <w:szCs w:val="21"/>
        </w:rPr>
      </w:pPr>
      <w:r>
        <w:rPr>
          <w:rFonts w:ascii="Times New Roman" w:hAnsi="Times New Roman" w:eastAsia="Times New Roman" w:cs="Times New Roman"/>
          <w:sz w:val="21"/>
          <w:szCs w:val="21"/>
        </w:rPr>
        <w:t>P=(0.5571+4×0.201)(1+4)=</w:t>
      </w:r>
      <w:r>
        <w:rPr>
          <w:rFonts w:ascii="Times New Roman" w:hAnsi="Times New Roman" w:eastAsia="Times New Roman" w:cs="Times New Roman"/>
          <w:spacing w:val="-1"/>
          <w:sz w:val="21"/>
          <w:szCs w:val="21"/>
        </w:rPr>
        <w:t>0.2722</w:t>
      </w:r>
    </w:p>
    <w:p w14:paraId="34CFE13D">
      <w:pPr>
        <w:spacing w:before="298" w:line="219" w:lineRule="auto"/>
        <w:ind w:left="1150"/>
        <w:rPr>
          <w:rFonts w:ascii="宋体" w:hAnsi="宋体" w:eastAsia="宋体" w:cs="宋体"/>
          <w:sz w:val="21"/>
          <w:szCs w:val="21"/>
        </w:rPr>
      </w:pPr>
      <w:r>
        <w:rPr>
          <w:rFonts w:ascii="宋体" w:hAnsi="宋体" w:eastAsia="宋体" w:cs="宋体"/>
          <w:spacing w:val="-4"/>
          <w:sz w:val="21"/>
          <w:szCs w:val="21"/>
        </w:rPr>
        <w:t>代入公式(5-6)得：</w:t>
      </w:r>
    </w:p>
    <w:p w14:paraId="33408FD8">
      <w:pPr>
        <w:spacing w:line="317" w:lineRule="auto"/>
        <w:rPr>
          <w:rFonts w:ascii="Arial"/>
          <w:sz w:val="21"/>
        </w:rPr>
      </w:pPr>
    </w:p>
    <w:p w14:paraId="66C50011">
      <w:pPr>
        <w:spacing w:before="61" w:line="326" w:lineRule="auto"/>
        <w:ind w:left="1328" w:right="1856" w:hanging="299"/>
        <w:rPr>
          <w:rFonts w:ascii="宋体" w:hAnsi="宋体" w:eastAsia="宋体" w:cs="宋体"/>
          <w:sz w:val="21"/>
          <w:szCs w:val="21"/>
        </w:rPr>
      </w:pPr>
      <w:r>
        <w:rPr>
          <w:rFonts w:ascii="Times New Roman" w:hAnsi="Times New Roman" w:eastAsia="Times New Roman" w:cs="Times New Roman"/>
          <w:sz w:val="21"/>
          <w:szCs w:val="21"/>
        </w:rPr>
        <w:t>n=[1.64√(1+1/4)×0.2722(1-0.2722)+1.28√0.5571(1-0.5571)/4+0.201(1-0.2</w:t>
      </w:r>
      <w:r>
        <w:rPr>
          <w:rFonts w:ascii="Times New Roman" w:hAnsi="Times New Roman" w:eastAsia="Times New Roman" w:cs="Times New Roman"/>
          <w:spacing w:val="-1"/>
          <w:sz w:val="21"/>
          <w:szCs w:val="21"/>
        </w:rPr>
        <w:t>01)]²</w:t>
      </w:r>
      <w:r>
        <w:rPr>
          <w:rFonts w:ascii="Times New Roman" w:hAnsi="Times New Roman" w:eastAsia="Times New Roman" w:cs="Times New Roman"/>
          <w:sz w:val="21"/>
          <w:szCs w:val="21"/>
        </w:rPr>
        <w:t xml:space="preserve"> </w:t>
      </w:r>
      <w:r>
        <w:rPr>
          <w:rFonts w:ascii="宋体" w:hAnsi="宋体" w:eastAsia="宋体" w:cs="宋体"/>
          <w:spacing w:val="-2"/>
          <w:sz w:val="21"/>
          <w:szCs w:val="21"/>
        </w:rPr>
        <w:t>(0.5571-0.201)²=15.89≈16</w:t>
      </w:r>
    </w:p>
    <w:p w14:paraId="2544D786">
      <w:pPr>
        <w:spacing w:before="182" w:line="219" w:lineRule="auto"/>
        <w:ind w:left="1160"/>
        <w:rPr>
          <w:rFonts w:ascii="宋体" w:hAnsi="宋体" w:eastAsia="宋体" w:cs="宋体"/>
          <w:sz w:val="21"/>
          <w:szCs w:val="21"/>
        </w:rPr>
      </w:pPr>
      <w:r>
        <w:rPr>
          <w:rFonts w:ascii="宋体" w:hAnsi="宋体" w:eastAsia="宋体" w:cs="宋体"/>
          <w:sz w:val="21"/>
          <w:szCs w:val="21"/>
        </w:rPr>
        <w:t>即病例需16例，对照例数为64例。</w:t>
      </w:r>
    </w:p>
    <w:p w14:paraId="490EFE66">
      <w:pPr>
        <w:spacing w:before="131" w:line="333" w:lineRule="auto"/>
        <w:ind w:left="719" w:firstLine="440"/>
        <w:rPr>
          <w:rFonts w:ascii="宋体" w:hAnsi="宋体" w:eastAsia="宋体" w:cs="宋体"/>
          <w:sz w:val="21"/>
          <w:szCs w:val="21"/>
        </w:rPr>
      </w:pPr>
      <w:r>
        <w:rPr>
          <w:rFonts w:ascii="宋体" w:hAnsi="宋体" w:eastAsia="宋体" w:cs="宋体"/>
          <w:spacing w:val="7"/>
          <w:sz w:val="21"/>
          <w:szCs w:val="21"/>
        </w:rPr>
        <w:t>以上样本含量估计只有相对意义，并非绝对精确的数值。因为样本含量估计是有条件的，</w:t>
      </w:r>
      <w:r>
        <w:rPr>
          <w:rFonts w:ascii="宋体" w:hAnsi="宋体" w:eastAsia="宋体" w:cs="宋体"/>
          <w:sz w:val="21"/>
          <w:szCs w:val="21"/>
        </w:rPr>
        <w:t xml:space="preserve"> </w:t>
      </w:r>
      <w:r>
        <w:rPr>
          <w:rFonts w:ascii="宋体" w:hAnsi="宋体" w:eastAsia="宋体" w:cs="宋体"/>
          <w:spacing w:val="11"/>
          <w:sz w:val="21"/>
          <w:szCs w:val="21"/>
        </w:rPr>
        <w:t>而这种条件在重复研究中不是一成不变的。实际研究中往往需要同时</w:t>
      </w:r>
      <w:r>
        <w:rPr>
          <w:rFonts w:ascii="宋体" w:hAnsi="宋体" w:eastAsia="宋体" w:cs="宋体"/>
          <w:spacing w:val="10"/>
          <w:sz w:val="21"/>
          <w:szCs w:val="21"/>
        </w:rPr>
        <w:t>探索几个因素与所研究</w:t>
      </w:r>
      <w:r>
        <w:rPr>
          <w:rFonts w:ascii="宋体" w:hAnsi="宋体" w:eastAsia="宋体" w:cs="宋体"/>
          <w:sz w:val="21"/>
          <w:szCs w:val="21"/>
        </w:rPr>
        <w:t xml:space="preserve"> </w:t>
      </w:r>
      <w:r>
        <w:rPr>
          <w:rFonts w:ascii="宋体" w:hAnsi="宋体" w:eastAsia="宋体" w:cs="宋体"/>
          <w:spacing w:val="3"/>
          <w:sz w:val="21"/>
          <w:szCs w:val="21"/>
        </w:rPr>
        <w:t>疾病的关系，而每个因素都有其各自的</w:t>
      </w:r>
      <w:r>
        <w:rPr>
          <w:rFonts w:ascii="宋体" w:hAnsi="宋体" w:eastAsia="宋体" w:cs="宋体"/>
          <w:sz w:val="21"/>
          <w:szCs w:val="21"/>
        </w:rPr>
        <w:t>OR</w:t>
      </w:r>
      <w:r>
        <w:rPr>
          <w:rFonts w:ascii="宋体" w:hAnsi="宋体" w:eastAsia="宋体" w:cs="宋体"/>
          <w:spacing w:val="3"/>
          <w:sz w:val="21"/>
          <w:szCs w:val="21"/>
        </w:rPr>
        <w:t xml:space="preserve"> 值</w:t>
      </w:r>
      <w:r>
        <w:rPr>
          <w:rFonts w:ascii="宋体" w:hAnsi="宋体" w:eastAsia="宋体" w:cs="宋体"/>
          <w:spacing w:val="-41"/>
          <w:sz w:val="21"/>
          <w:szCs w:val="21"/>
        </w:rPr>
        <w:t xml:space="preserve"> </w:t>
      </w:r>
      <w:r>
        <w:rPr>
          <w:rFonts w:ascii="宋体" w:hAnsi="宋体" w:eastAsia="宋体" w:cs="宋体"/>
          <w:spacing w:val="3"/>
          <w:sz w:val="21"/>
          <w:szCs w:val="21"/>
        </w:rPr>
        <w:t>和P,</w:t>
      </w:r>
      <w:r>
        <w:rPr>
          <w:rFonts w:ascii="宋体" w:hAnsi="宋体" w:eastAsia="宋体" w:cs="宋体"/>
          <w:spacing w:val="40"/>
          <w:sz w:val="21"/>
          <w:szCs w:val="21"/>
        </w:rPr>
        <w:t xml:space="preserve"> </w:t>
      </w:r>
      <w:r>
        <w:rPr>
          <w:rFonts w:ascii="宋体" w:hAnsi="宋体" w:eastAsia="宋体" w:cs="宋体"/>
          <w:spacing w:val="3"/>
          <w:sz w:val="21"/>
          <w:szCs w:val="21"/>
        </w:rPr>
        <w:t>因此，需要根据每个因素</w:t>
      </w:r>
      <w:r>
        <w:rPr>
          <w:rFonts w:ascii="宋体" w:hAnsi="宋体" w:eastAsia="宋体" w:cs="宋体"/>
          <w:spacing w:val="2"/>
          <w:sz w:val="21"/>
          <w:szCs w:val="21"/>
        </w:rPr>
        <w:t>的参数估算所需样</w:t>
      </w:r>
      <w:r>
        <w:rPr>
          <w:rFonts w:ascii="宋体" w:hAnsi="宋体" w:eastAsia="宋体" w:cs="宋体"/>
          <w:sz w:val="21"/>
          <w:szCs w:val="21"/>
        </w:rPr>
        <w:t xml:space="preserve"> 本量，然后选择最大的样本量，以便使所有的因素都能获得较高的检验效率。样本量越大，结果 的精确度越好。但是样本量过大会影响调查工作的质量，</w:t>
      </w:r>
      <w:r>
        <w:rPr>
          <w:rFonts w:ascii="宋体" w:hAnsi="宋体" w:eastAsia="宋体" w:cs="宋体"/>
          <w:spacing w:val="-1"/>
          <w:sz w:val="21"/>
          <w:szCs w:val="21"/>
        </w:rPr>
        <w:t>增加负担和费用，实际工作中应当权衡</w:t>
      </w:r>
      <w:r>
        <w:rPr>
          <w:rFonts w:ascii="宋体" w:hAnsi="宋体" w:eastAsia="宋体" w:cs="宋体"/>
          <w:sz w:val="21"/>
          <w:szCs w:val="21"/>
        </w:rPr>
        <w:t xml:space="preserve">  </w:t>
      </w:r>
      <w:r>
        <w:rPr>
          <w:rFonts w:ascii="宋体" w:hAnsi="宋体" w:eastAsia="宋体" w:cs="宋体"/>
          <w:spacing w:val="5"/>
          <w:sz w:val="21"/>
          <w:szCs w:val="21"/>
        </w:rPr>
        <w:t>利弊。</w:t>
      </w:r>
    </w:p>
    <w:p w14:paraId="5C0D05AA">
      <w:pPr>
        <w:pStyle w:val="2"/>
        <w:spacing w:before="236" w:line="222" w:lineRule="auto"/>
        <w:ind w:left="1180"/>
        <w:outlineLvl w:val="2"/>
        <w:rPr>
          <w:sz w:val="21"/>
          <w:szCs w:val="21"/>
        </w:rPr>
      </w:pPr>
      <w:bookmarkStart w:id="138" w:name="bookmark88"/>
      <w:bookmarkEnd w:id="138"/>
      <w:r>
        <w:rPr>
          <w:spacing w:val="25"/>
          <w:sz w:val="21"/>
          <w:szCs w:val="21"/>
        </w:rPr>
        <w:t>五 、确定研究因素</w:t>
      </w:r>
    </w:p>
    <w:p w14:paraId="1607CE2C">
      <w:pPr>
        <w:spacing w:before="280" w:line="294" w:lineRule="auto"/>
        <w:ind w:left="709" w:right="9" w:firstLine="440"/>
        <w:jc w:val="both"/>
        <w:rPr>
          <w:rFonts w:ascii="宋体" w:hAnsi="宋体" w:eastAsia="宋体" w:cs="宋体"/>
          <w:sz w:val="21"/>
          <w:szCs w:val="21"/>
        </w:rPr>
      </w:pPr>
      <w:r>
        <w:rPr>
          <w:rFonts w:ascii="宋体" w:hAnsi="宋体" w:eastAsia="宋体" w:cs="宋体"/>
          <w:spacing w:val="7"/>
          <w:sz w:val="21"/>
          <w:szCs w:val="21"/>
        </w:rPr>
        <w:t>应根据研究目的，确定研究因素(或暴露)。暴露因素可以是宏观因素，如</w:t>
      </w:r>
      <w:r>
        <w:rPr>
          <w:rFonts w:ascii="宋体" w:hAnsi="宋体" w:eastAsia="宋体" w:cs="宋体"/>
          <w:spacing w:val="6"/>
          <w:sz w:val="21"/>
          <w:szCs w:val="21"/>
        </w:rPr>
        <w:t>社会经济地位、</w:t>
      </w:r>
      <w:r>
        <w:rPr>
          <w:rFonts w:ascii="宋体" w:hAnsi="宋体" w:eastAsia="宋体" w:cs="宋体"/>
          <w:sz w:val="21"/>
          <w:szCs w:val="21"/>
        </w:rPr>
        <w:t xml:space="preserve"> </w:t>
      </w:r>
      <w:r>
        <w:rPr>
          <w:rFonts w:ascii="宋体" w:hAnsi="宋体" w:eastAsia="宋体" w:cs="宋体"/>
          <w:spacing w:val="5"/>
          <w:sz w:val="21"/>
          <w:szCs w:val="21"/>
        </w:rPr>
        <w:t>生活方式等，也可以是微观的，如易感基因。可通过描述性研究、不同地区和人群中进行的病</w:t>
      </w:r>
      <w:r>
        <w:rPr>
          <w:rFonts w:ascii="宋体" w:hAnsi="宋体" w:eastAsia="宋体" w:cs="宋体"/>
          <w:spacing w:val="8"/>
          <w:sz w:val="21"/>
          <w:szCs w:val="21"/>
        </w:rPr>
        <w:t xml:space="preserve"> </w:t>
      </w:r>
      <w:r>
        <w:rPr>
          <w:rFonts w:ascii="宋体" w:hAnsi="宋体" w:eastAsia="宋体" w:cs="宋体"/>
          <w:spacing w:val="5"/>
          <w:sz w:val="21"/>
          <w:szCs w:val="21"/>
        </w:rPr>
        <w:t>例对照研究、临床观察或其他学科领域提出的研究线索帮助确定研究因素，并尽可能采取国际</w:t>
      </w:r>
      <w:r>
        <w:rPr>
          <w:rFonts w:ascii="宋体" w:hAnsi="宋体" w:eastAsia="宋体" w:cs="宋体"/>
          <w:spacing w:val="1"/>
          <w:sz w:val="21"/>
          <w:szCs w:val="21"/>
        </w:rPr>
        <w:t xml:space="preserve">  </w:t>
      </w:r>
      <w:r>
        <w:rPr>
          <w:rFonts w:ascii="宋体" w:hAnsi="宋体" w:eastAsia="宋体" w:cs="宋体"/>
          <w:spacing w:val="5"/>
          <w:sz w:val="21"/>
          <w:szCs w:val="21"/>
        </w:rPr>
        <w:t>或国内统一的标准对每项研究因素的暴露与否或暴露水平作出明确而具体的规定，以便交流和</w:t>
      </w:r>
    </w:p>
    <w:p w14:paraId="25113759">
      <w:pPr>
        <w:spacing w:line="294" w:lineRule="auto"/>
        <w:rPr>
          <w:rFonts w:ascii="宋体" w:hAnsi="宋体" w:eastAsia="宋体" w:cs="宋体"/>
          <w:sz w:val="21"/>
          <w:szCs w:val="21"/>
        </w:rPr>
        <w:sectPr>
          <w:type w:val="continuous"/>
          <w:pgSz w:w="11900" w:h="16820"/>
          <w:pgMar w:top="400" w:right="1475" w:bottom="880" w:left="800" w:header="0" w:footer="607" w:gutter="0"/>
          <w:cols w:equalWidth="0" w:num="1">
            <w:col w:w="9625"/>
          </w:cols>
        </w:sectPr>
      </w:pPr>
    </w:p>
    <w:p w14:paraId="04B2C080">
      <w:pPr>
        <w:pStyle w:val="2"/>
        <w:spacing w:before="267" w:line="222" w:lineRule="auto"/>
        <w:ind w:left="7520"/>
        <w:rPr>
          <w:sz w:val="21"/>
          <w:szCs w:val="21"/>
        </w:rPr>
      </w:pPr>
      <w:bookmarkStart w:id="139" w:name="bookmark446"/>
      <w:bookmarkEnd w:id="139"/>
      <w:r>
        <w:rPr>
          <w:spacing w:val="-14"/>
          <w:sz w:val="21"/>
          <w:szCs w:val="21"/>
        </w:rPr>
        <w:t>第五章病例对照研究</w:t>
      </w:r>
    </w:p>
    <w:p w14:paraId="01B3F81F">
      <w:pPr>
        <w:spacing w:line="270" w:lineRule="auto"/>
        <w:rPr>
          <w:rFonts w:ascii="Arial"/>
          <w:sz w:val="21"/>
        </w:rPr>
      </w:pPr>
    </w:p>
    <w:p w14:paraId="3F540381">
      <w:pPr>
        <w:spacing w:line="270" w:lineRule="auto"/>
        <w:rPr>
          <w:rFonts w:ascii="Arial"/>
          <w:sz w:val="21"/>
        </w:rPr>
      </w:pPr>
    </w:p>
    <w:p w14:paraId="12B1FCC7">
      <w:pPr>
        <w:spacing w:before="68" w:line="221" w:lineRule="auto"/>
        <w:rPr>
          <w:rFonts w:ascii="宋体" w:hAnsi="宋体" w:eastAsia="宋体" w:cs="宋体"/>
          <w:sz w:val="21"/>
          <w:szCs w:val="21"/>
        </w:rPr>
      </w:pPr>
      <w:r>
        <w:rPr>
          <w:rFonts w:ascii="宋体" w:hAnsi="宋体" w:eastAsia="宋体" w:cs="宋体"/>
          <w:spacing w:val="8"/>
          <w:sz w:val="21"/>
          <w:szCs w:val="21"/>
        </w:rPr>
        <w:t>比较。</w:t>
      </w:r>
    </w:p>
    <w:p w14:paraId="0EB9F662">
      <w:pPr>
        <w:spacing w:before="114" w:line="326" w:lineRule="auto"/>
        <w:ind w:right="636" w:firstLine="450"/>
        <w:jc w:val="both"/>
        <w:rPr>
          <w:rFonts w:ascii="宋体" w:hAnsi="宋体" w:eastAsia="宋体" w:cs="宋体"/>
          <w:sz w:val="21"/>
          <w:szCs w:val="21"/>
        </w:rPr>
      </w:pPr>
      <w:r>
        <w:rPr>
          <w:rFonts w:ascii="宋体" w:hAnsi="宋体" w:eastAsia="宋体" w:cs="宋体"/>
          <w:spacing w:val="8"/>
          <w:sz w:val="21"/>
          <w:szCs w:val="21"/>
        </w:rPr>
        <w:t>可以从暴露的数量和持续时间评价暴露水平。暴露持续时间长和/或暴露的剂量</w:t>
      </w:r>
      <w:r>
        <w:rPr>
          <w:rFonts w:ascii="宋体" w:hAnsi="宋体" w:eastAsia="宋体" w:cs="宋体"/>
          <w:spacing w:val="7"/>
          <w:sz w:val="21"/>
          <w:szCs w:val="21"/>
        </w:rPr>
        <w:t>大，发生某疾</w:t>
      </w:r>
      <w:r>
        <w:rPr>
          <w:rFonts w:ascii="宋体" w:hAnsi="宋体" w:eastAsia="宋体" w:cs="宋体"/>
          <w:sz w:val="21"/>
          <w:szCs w:val="21"/>
        </w:rPr>
        <w:t xml:space="preserve"> </w:t>
      </w:r>
      <w:r>
        <w:rPr>
          <w:rFonts w:ascii="宋体" w:hAnsi="宋体" w:eastAsia="宋体" w:cs="宋体"/>
          <w:spacing w:val="6"/>
          <w:sz w:val="21"/>
          <w:szCs w:val="21"/>
        </w:rPr>
        <w:t>病的危险会增高，因此累积的总暴露很重要，最好由适宜的变量加以评价</w:t>
      </w:r>
      <w:r>
        <w:rPr>
          <w:rFonts w:ascii="宋体" w:hAnsi="宋体" w:eastAsia="宋体" w:cs="宋体"/>
          <w:spacing w:val="5"/>
          <w:sz w:val="21"/>
          <w:szCs w:val="21"/>
        </w:rPr>
        <w:t>。对于隐匿期长的发病过</w:t>
      </w:r>
      <w:r>
        <w:rPr>
          <w:rFonts w:ascii="宋体" w:hAnsi="宋体" w:eastAsia="宋体" w:cs="宋体"/>
          <w:sz w:val="21"/>
          <w:szCs w:val="21"/>
        </w:rPr>
        <w:t xml:space="preserve"> </w:t>
      </w:r>
      <w:r>
        <w:rPr>
          <w:rFonts w:ascii="宋体" w:hAnsi="宋体" w:eastAsia="宋体" w:cs="宋体"/>
          <w:spacing w:val="8"/>
          <w:sz w:val="21"/>
          <w:szCs w:val="21"/>
        </w:rPr>
        <w:t>程，暴露的时间非常重要，因此，要明确规定测量</w:t>
      </w:r>
      <w:r>
        <w:rPr>
          <w:rFonts w:ascii="宋体" w:hAnsi="宋体" w:eastAsia="宋体" w:cs="宋体"/>
          <w:spacing w:val="7"/>
          <w:sz w:val="21"/>
          <w:szCs w:val="21"/>
        </w:rPr>
        <w:t>在疾病发生之前哪个时间窗的暴露情况。另外，</w:t>
      </w:r>
      <w:r>
        <w:rPr>
          <w:rFonts w:ascii="宋体" w:hAnsi="宋体" w:eastAsia="宋体" w:cs="宋体"/>
          <w:sz w:val="21"/>
          <w:szCs w:val="21"/>
        </w:rPr>
        <w:t xml:space="preserve"> </w:t>
      </w:r>
      <w:r>
        <w:rPr>
          <w:rFonts w:ascii="宋体" w:hAnsi="宋体" w:eastAsia="宋体" w:cs="宋体"/>
          <w:spacing w:val="6"/>
          <w:sz w:val="21"/>
          <w:szCs w:val="21"/>
        </w:rPr>
        <w:t>除了包括与病因假设有关的暴露外，还需包括可能的混杂因素，以便在资料分析时排除其对</w:t>
      </w:r>
      <w:r>
        <w:rPr>
          <w:rFonts w:ascii="宋体" w:hAnsi="宋体" w:eastAsia="宋体" w:cs="宋体"/>
          <w:spacing w:val="5"/>
          <w:sz w:val="21"/>
          <w:szCs w:val="21"/>
        </w:rPr>
        <w:t>结果的</w:t>
      </w:r>
      <w:r>
        <w:rPr>
          <w:rFonts w:ascii="宋体" w:hAnsi="宋体" w:eastAsia="宋体" w:cs="宋体"/>
          <w:sz w:val="21"/>
          <w:szCs w:val="21"/>
        </w:rPr>
        <w:t xml:space="preserve"> </w:t>
      </w:r>
      <w:r>
        <w:rPr>
          <w:rFonts w:ascii="宋体" w:hAnsi="宋体" w:eastAsia="宋体" w:cs="宋体"/>
          <w:spacing w:val="8"/>
          <w:sz w:val="21"/>
          <w:szCs w:val="21"/>
        </w:rPr>
        <w:t>干扰。</w:t>
      </w:r>
    </w:p>
    <w:p w14:paraId="5B2822F9">
      <w:pPr>
        <w:spacing w:before="15" w:line="318" w:lineRule="auto"/>
        <w:ind w:right="691" w:firstLine="450"/>
        <w:jc w:val="both"/>
        <w:rPr>
          <w:rFonts w:ascii="宋体" w:hAnsi="宋体" w:eastAsia="宋体" w:cs="宋体"/>
          <w:sz w:val="21"/>
          <w:szCs w:val="21"/>
        </w:rPr>
      </w:pPr>
      <w:r>
        <w:rPr>
          <w:rFonts w:ascii="宋体" w:hAnsi="宋体" w:eastAsia="宋体" w:cs="宋体"/>
          <w:spacing w:val="6"/>
          <w:sz w:val="21"/>
          <w:szCs w:val="21"/>
        </w:rPr>
        <w:t>测量指标尽量选用定量或半定量指标，也可按明确的标准进行定性测定，如</w:t>
      </w:r>
      <w:r>
        <w:rPr>
          <w:rFonts w:ascii="宋体" w:hAnsi="宋体" w:eastAsia="宋体" w:cs="宋体"/>
          <w:spacing w:val="5"/>
          <w:sz w:val="21"/>
          <w:szCs w:val="21"/>
        </w:rPr>
        <w:t>规定吸烟者为每天</w:t>
      </w:r>
      <w:r>
        <w:rPr>
          <w:rFonts w:ascii="宋体" w:hAnsi="宋体" w:eastAsia="宋体" w:cs="宋体"/>
          <w:sz w:val="21"/>
          <w:szCs w:val="21"/>
        </w:rPr>
        <w:t xml:space="preserve"> </w:t>
      </w:r>
      <w:r>
        <w:rPr>
          <w:rFonts w:ascii="宋体" w:hAnsi="宋体" w:eastAsia="宋体" w:cs="宋体"/>
          <w:spacing w:val="6"/>
          <w:sz w:val="21"/>
          <w:szCs w:val="21"/>
        </w:rPr>
        <w:t>吸烟至少一支而且持续一年以上者，否则即视为不吸烟；在此基础上最好结</w:t>
      </w:r>
      <w:r>
        <w:rPr>
          <w:rFonts w:ascii="宋体" w:hAnsi="宋体" w:eastAsia="宋体" w:cs="宋体"/>
          <w:spacing w:val="5"/>
          <w:sz w:val="21"/>
          <w:szCs w:val="21"/>
        </w:rPr>
        <w:t>合每日吸烟量和吸烟年</w:t>
      </w:r>
      <w:r>
        <w:rPr>
          <w:rFonts w:ascii="宋体" w:hAnsi="宋体" w:eastAsia="宋体" w:cs="宋体"/>
          <w:sz w:val="21"/>
          <w:szCs w:val="21"/>
        </w:rPr>
        <w:t xml:space="preserve"> </w:t>
      </w:r>
      <w:r>
        <w:rPr>
          <w:rFonts w:ascii="宋体" w:hAnsi="宋体" w:eastAsia="宋体" w:cs="宋体"/>
          <w:spacing w:val="8"/>
          <w:sz w:val="21"/>
          <w:szCs w:val="21"/>
        </w:rPr>
        <w:t>限进一步将吸烟者的吸烟程度半定量或定量。</w:t>
      </w:r>
    </w:p>
    <w:p w14:paraId="6370561E">
      <w:pPr>
        <w:spacing w:before="26" w:line="309" w:lineRule="auto"/>
        <w:ind w:right="692" w:firstLine="450"/>
        <w:rPr>
          <w:rFonts w:ascii="宋体" w:hAnsi="宋体" w:eastAsia="宋体" w:cs="宋体"/>
          <w:sz w:val="21"/>
          <w:szCs w:val="21"/>
        </w:rPr>
      </w:pPr>
      <w:r>
        <w:rPr>
          <w:rFonts w:ascii="宋体" w:hAnsi="宋体" w:eastAsia="宋体" w:cs="宋体"/>
          <w:spacing w:val="6"/>
          <w:sz w:val="21"/>
          <w:szCs w:val="21"/>
        </w:rPr>
        <w:t>研究因素并不是越多越好，应以满足研究目的的需要为原则，即与研究目</w:t>
      </w:r>
      <w:r>
        <w:rPr>
          <w:rFonts w:ascii="宋体" w:hAnsi="宋体" w:eastAsia="宋体" w:cs="宋体"/>
          <w:spacing w:val="5"/>
          <w:sz w:val="21"/>
          <w:szCs w:val="21"/>
        </w:rPr>
        <w:t>的有关的变量不可缺</w:t>
      </w:r>
      <w:r>
        <w:rPr>
          <w:rFonts w:ascii="宋体" w:hAnsi="宋体" w:eastAsia="宋体" w:cs="宋体"/>
          <w:sz w:val="21"/>
          <w:szCs w:val="21"/>
        </w:rPr>
        <w:t xml:space="preserve"> </w:t>
      </w:r>
      <w:r>
        <w:rPr>
          <w:rFonts w:ascii="宋体" w:hAnsi="宋体" w:eastAsia="宋体" w:cs="宋体"/>
          <w:spacing w:val="1"/>
          <w:sz w:val="21"/>
          <w:szCs w:val="21"/>
        </w:rPr>
        <w:t>少，而且应当尽量细致和深人；反之，与研究目的无关的内容则不要列人。</w:t>
      </w:r>
    </w:p>
    <w:p w14:paraId="002B1D75">
      <w:pPr>
        <w:pStyle w:val="2"/>
        <w:spacing w:before="163" w:line="221" w:lineRule="auto"/>
        <w:ind w:left="453"/>
        <w:outlineLvl w:val="2"/>
        <w:rPr>
          <w:sz w:val="26"/>
          <w:szCs w:val="26"/>
        </w:rPr>
      </w:pPr>
      <w:bookmarkStart w:id="140" w:name="bookmark89"/>
      <w:bookmarkEnd w:id="140"/>
      <w:r>
        <w:rPr>
          <w:b/>
          <w:bCs/>
          <w:spacing w:val="-5"/>
          <w:sz w:val="26"/>
          <w:szCs w:val="26"/>
        </w:rPr>
        <w:t>六</w:t>
      </w:r>
      <w:r>
        <w:rPr>
          <w:spacing w:val="-58"/>
          <w:sz w:val="26"/>
          <w:szCs w:val="26"/>
        </w:rPr>
        <w:t xml:space="preserve"> </w:t>
      </w:r>
      <w:r>
        <w:rPr>
          <w:b/>
          <w:bCs/>
          <w:spacing w:val="-5"/>
          <w:sz w:val="26"/>
          <w:szCs w:val="26"/>
        </w:rPr>
        <w:t>、资料收集方法</w:t>
      </w:r>
    </w:p>
    <w:p w14:paraId="77DC50FE">
      <w:pPr>
        <w:spacing w:before="273" w:line="317" w:lineRule="auto"/>
        <w:ind w:right="616" w:firstLine="450"/>
        <w:jc w:val="both"/>
        <w:rPr>
          <w:rFonts w:ascii="宋体" w:hAnsi="宋体" w:eastAsia="宋体" w:cs="宋体"/>
          <w:sz w:val="21"/>
          <w:szCs w:val="21"/>
        </w:rPr>
      </w:pPr>
      <w:r>
        <w:rPr>
          <w:rFonts w:ascii="宋体" w:hAnsi="宋体" w:eastAsia="宋体" w:cs="宋体"/>
          <w:sz w:val="21"/>
          <w:szCs w:val="21"/>
        </w:rPr>
        <w:t>对于病例对照研究来说，信息的收集主要靠询问调查对象并填写问卷，包括</w:t>
      </w:r>
      <w:r>
        <w:rPr>
          <w:rFonts w:ascii="宋体" w:hAnsi="宋体" w:eastAsia="宋体" w:cs="宋体"/>
          <w:spacing w:val="-1"/>
          <w:sz w:val="21"/>
          <w:szCs w:val="21"/>
        </w:rPr>
        <w:t>面访、信访、电话访</w:t>
      </w:r>
      <w:r>
        <w:rPr>
          <w:rFonts w:ascii="宋体" w:hAnsi="宋体" w:eastAsia="宋体" w:cs="宋体"/>
          <w:sz w:val="21"/>
          <w:szCs w:val="21"/>
        </w:rPr>
        <w:t xml:space="preserve">  </w:t>
      </w:r>
      <w:r>
        <w:rPr>
          <w:rFonts w:ascii="宋体" w:hAnsi="宋体" w:eastAsia="宋体" w:cs="宋体"/>
          <w:spacing w:val="1"/>
          <w:sz w:val="21"/>
          <w:szCs w:val="21"/>
        </w:rPr>
        <w:t>问、网络调查、自填问卷等方式；有时需辅以查阅档案；有时需要现场观察和实际测量某些指标，如</w:t>
      </w:r>
      <w:r>
        <w:rPr>
          <w:rFonts w:ascii="宋体" w:hAnsi="宋体" w:eastAsia="宋体" w:cs="宋体"/>
          <w:sz w:val="21"/>
          <w:szCs w:val="21"/>
        </w:rPr>
        <w:t xml:space="preserve">  </w:t>
      </w:r>
      <w:r>
        <w:rPr>
          <w:rFonts w:ascii="宋体" w:hAnsi="宋体" w:eastAsia="宋体" w:cs="宋体"/>
          <w:spacing w:val="8"/>
          <w:sz w:val="21"/>
          <w:szCs w:val="21"/>
        </w:rPr>
        <w:t>体格检查或环境因素的测量、血液或其他生物标本的实验室检查等。应根据研究目的和实际情况，</w:t>
      </w:r>
      <w:r>
        <w:rPr>
          <w:rFonts w:ascii="宋体" w:hAnsi="宋体" w:eastAsia="宋体" w:cs="宋体"/>
          <w:sz w:val="21"/>
          <w:szCs w:val="21"/>
        </w:rPr>
        <w:t xml:space="preserve"> </w:t>
      </w:r>
      <w:r>
        <w:rPr>
          <w:rFonts w:ascii="宋体" w:hAnsi="宋体" w:eastAsia="宋体" w:cs="宋体"/>
          <w:spacing w:val="6"/>
          <w:sz w:val="21"/>
          <w:szCs w:val="21"/>
        </w:rPr>
        <w:t>恰当选择资料收集方法。无论什么方法，都应实行质量控制，对调查员要进行</w:t>
      </w:r>
      <w:r>
        <w:rPr>
          <w:rFonts w:ascii="宋体" w:hAnsi="宋体" w:eastAsia="宋体" w:cs="宋体"/>
          <w:spacing w:val="5"/>
          <w:sz w:val="21"/>
          <w:szCs w:val="21"/>
        </w:rPr>
        <w:t>培训，对调查工作要</w:t>
      </w:r>
      <w:r>
        <w:rPr>
          <w:rFonts w:ascii="宋体" w:hAnsi="宋体" w:eastAsia="宋体" w:cs="宋体"/>
          <w:sz w:val="21"/>
          <w:szCs w:val="21"/>
        </w:rPr>
        <w:t xml:space="preserve">  </w:t>
      </w:r>
      <w:r>
        <w:rPr>
          <w:rFonts w:ascii="宋体" w:hAnsi="宋体" w:eastAsia="宋体" w:cs="宋体"/>
          <w:spacing w:val="11"/>
          <w:sz w:val="21"/>
          <w:szCs w:val="21"/>
        </w:rPr>
        <w:t>做好监督和检查，尽量减少调查和测量偏倚。特别要注意应采用可比的方法对病例和对照进行信</w:t>
      </w:r>
      <w:r>
        <w:rPr>
          <w:rFonts w:ascii="宋体" w:hAnsi="宋体" w:eastAsia="宋体" w:cs="宋体"/>
          <w:sz w:val="21"/>
          <w:szCs w:val="21"/>
        </w:rPr>
        <w:t xml:space="preserve">  </w:t>
      </w:r>
      <w:r>
        <w:rPr>
          <w:rFonts w:ascii="宋体" w:hAnsi="宋体" w:eastAsia="宋体" w:cs="宋体"/>
          <w:spacing w:val="8"/>
          <w:sz w:val="21"/>
          <w:szCs w:val="21"/>
        </w:rPr>
        <w:t>息收集。</w:t>
      </w:r>
    </w:p>
    <w:p w14:paraId="4EDE7B78">
      <w:pPr>
        <w:rPr>
          <w:rFonts w:ascii="Arial"/>
          <w:sz w:val="21"/>
        </w:rPr>
      </w:pPr>
    </w:p>
    <w:p w14:paraId="6B3303D5">
      <w:pPr>
        <w:pStyle w:val="2"/>
        <w:spacing w:before="102" w:line="222" w:lineRule="auto"/>
        <w:ind w:left="2844"/>
        <w:outlineLvl w:val="1"/>
        <w:rPr>
          <w:sz w:val="31"/>
          <w:szCs w:val="31"/>
        </w:rPr>
      </w:pPr>
      <w:bookmarkStart w:id="141" w:name="bookmark90"/>
      <w:bookmarkEnd w:id="141"/>
      <w:r>
        <w:rPr>
          <w:b/>
          <w:bCs/>
          <w:spacing w:val="-7"/>
          <w:sz w:val="31"/>
          <w:szCs w:val="31"/>
        </w:rPr>
        <w:t>第三节</w:t>
      </w:r>
      <w:r>
        <w:rPr>
          <w:spacing w:val="135"/>
          <w:sz w:val="31"/>
          <w:szCs w:val="31"/>
        </w:rPr>
        <w:t xml:space="preserve"> </w:t>
      </w:r>
      <w:r>
        <w:rPr>
          <w:b/>
          <w:bCs/>
          <w:spacing w:val="-7"/>
          <w:sz w:val="31"/>
          <w:szCs w:val="31"/>
        </w:rPr>
        <w:t>资料的整理与分析</w:t>
      </w:r>
    </w:p>
    <w:p w14:paraId="728512F8">
      <w:pPr>
        <w:spacing w:line="316" w:lineRule="auto"/>
        <w:rPr>
          <w:rFonts w:ascii="Arial"/>
          <w:sz w:val="21"/>
        </w:rPr>
      </w:pPr>
    </w:p>
    <w:p w14:paraId="3492F802">
      <w:pPr>
        <w:spacing w:before="69" w:line="327" w:lineRule="auto"/>
        <w:ind w:right="706" w:firstLine="450"/>
        <w:jc w:val="both"/>
        <w:rPr>
          <w:rFonts w:ascii="宋体" w:hAnsi="宋体" w:eastAsia="宋体" w:cs="宋体"/>
          <w:sz w:val="21"/>
          <w:szCs w:val="21"/>
        </w:rPr>
      </w:pPr>
      <w:r>
        <w:rPr>
          <w:rFonts w:ascii="宋体" w:hAnsi="宋体" w:eastAsia="宋体" w:cs="宋体"/>
          <w:spacing w:val="11"/>
          <w:sz w:val="21"/>
          <w:szCs w:val="21"/>
        </w:rPr>
        <w:t>病例对照研究资料分析的中心内容是比较病例与对照中暴露的比例，并由此</w:t>
      </w:r>
      <w:r>
        <w:rPr>
          <w:rFonts w:ascii="宋体" w:hAnsi="宋体" w:eastAsia="宋体" w:cs="宋体"/>
          <w:spacing w:val="10"/>
          <w:sz w:val="21"/>
          <w:szCs w:val="21"/>
        </w:rPr>
        <w:t>估计暴露与疾病</w:t>
      </w:r>
      <w:r>
        <w:rPr>
          <w:rFonts w:ascii="宋体" w:hAnsi="宋体" w:eastAsia="宋体" w:cs="宋体"/>
          <w:sz w:val="21"/>
          <w:szCs w:val="21"/>
        </w:rPr>
        <w:t xml:space="preserve"> </w:t>
      </w:r>
      <w:r>
        <w:rPr>
          <w:rFonts w:ascii="宋体" w:hAnsi="宋体" w:eastAsia="宋体" w:cs="宋体"/>
          <w:spacing w:val="3"/>
          <w:sz w:val="21"/>
          <w:szCs w:val="21"/>
        </w:rPr>
        <w:t>之间是否有关联及关联强度；也可进一步分析暴露与疾病的剂量-反应关系等；可通过分层分析、多</w:t>
      </w:r>
      <w:r>
        <w:rPr>
          <w:rFonts w:ascii="宋体" w:hAnsi="宋体" w:eastAsia="宋体" w:cs="宋体"/>
          <w:spacing w:val="1"/>
          <w:sz w:val="21"/>
          <w:szCs w:val="21"/>
        </w:rPr>
        <w:t xml:space="preserve"> </w:t>
      </w:r>
      <w:r>
        <w:rPr>
          <w:rFonts w:ascii="宋体" w:hAnsi="宋体" w:eastAsia="宋体" w:cs="宋体"/>
          <w:spacing w:val="7"/>
          <w:sz w:val="21"/>
          <w:szCs w:val="21"/>
        </w:rPr>
        <w:t>因素分析控制混杂偏倚对研究结果的影响。</w:t>
      </w:r>
    </w:p>
    <w:p w14:paraId="1266122D">
      <w:pPr>
        <w:pStyle w:val="2"/>
        <w:spacing w:before="143" w:line="222" w:lineRule="auto"/>
        <w:ind w:left="453"/>
        <w:outlineLvl w:val="2"/>
        <w:rPr>
          <w:sz w:val="26"/>
          <w:szCs w:val="26"/>
        </w:rPr>
      </w:pPr>
      <w:bookmarkStart w:id="142" w:name="bookmark91"/>
      <w:bookmarkEnd w:id="142"/>
      <w:r>
        <w:rPr>
          <w:b/>
          <w:bCs/>
          <w:spacing w:val="-6"/>
          <w:sz w:val="26"/>
          <w:szCs w:val="26"/>
        </w:rPr>
        <w:t>一</w:t>
      </w:r>
      <w:r>
        <w:rPr>
          <w:spacing w:val="-66"/>
          <w:sz w:val="26"/>
          <w:szCs w:val="26"/>
        </w:rPr>
        <w:t xml:space="preserve"> </w:t>
      </w:r>
      <w:r>
        <w:rPr>
          <w:b/>
          <w:bCs/>
          <w:spacing w:val="-6"/>
          <w:sz w:val="26"/>
          <w:szCs w:val="26"/>
        </w:rPr>
        <w:t>、资料的整理</w:t>
      </w:r>
    </w:p>
    <w:p w14:paraId="41973024">
      <w:pPr>
        <w:spacing w:before="251" w:line="326" w:lineRule="auto"/>
        <w:ind w:right="687" w:firstLine="450"/>
        <w:jc w:val="both"/>
        <w:rPr>
          <w:rFonts w:ascii="宋体" w:hAnsi="宋体" w:eastAsia="宋体" w:cs="宋体"/>
          <w:sz w:val="21"/>
          <w:szCs w:val="21"/>
        </w:rPr>
      </w:pPr>
      <w:r>
        <w:rPr>
          <w:rFonts w:ascii="宋体" w:hAnsi="宋体" w:eastAsia="宋体" w:cs="宋体"/>
          <w:spacing w:val="6"/>
          <w:sz w:val="21"/>
          <w:szCs w:val="21"/>
        </w:rPr>
        <w:t>首先要对所收集的原始资料进行全面检查与核实，确保资料尽可能完整和准确；然后</w:t>
      </w:r>
      <w:r>
        <w:rPr>
          <w:rFonts w:ascii="宋体" w:hAnsi="宋体" w:eastAsia="宋体" w:cs="宋体"/>
          <w:spacing w:val="5"/>
          <w:sz w:val="21"/>
          <w:szCs w:val="21"/>
        </w:rPr>
        <w:t>，对原始</w:t>
      </w:r>
      <w:r>
        <w:rPr>
          <w:rFonts w:ascii="宋体" w:hAnsi="宋体" w:eastAsia="宋体" w:cs="宋体"/>
          <w:sz w:val="21"/>
          <w:szCs w:val="21"/>
        </w:rPr>
        <w:t xml:space="preserve"> </w:t>
      </w:r>
      <w:r>
        <w:rPr>
          <w:rFonts w:ascii="宋体" w:hAnsi="宋体" w:eastAsia="宋体" w:cs="宋体"/>
          <w:spacing w:val="6"/>
          <w:sz w:val="21"/>
          <w:szCs w:val="21"/>
        </w:rPr>
        <w:t>资料进行分组、归纳或编码后建立数据库。目前大多采用双录人的方法和录</w:t>
      </w:r>
      <w:r>
        <w:rPr>
          <w:rFonts w:ascii="宋体" w:hAnsi="宋体" w:eastAsia="宋体" w:cs="宋体"/>
          <w:spacing w:val="5"/>
          <w:sz w:val="21"/>
          <w:szCs w:val="21"/>
        </w:rPr>
        <w:t>人后进行逻辑查错，并</w:t>
      </w:r>
      <w:r>
        <w:rPr>
          <w:rFonts w:ascii="宋体" w:hAnsi="宋体" w:eastAsia="宋体" w:cs="宋体"/>
          <w:sz w:val="21"/>
          <w:szCs w:val="21"/>
        </w:rPr>
        <w:t xml:space="preserve"> </w:t>
      </w:r>
      <w:r>
        <w:rPr>
          <w:rFonts w:ascii="宋体" w:hAnsi="宋体" w:eastAsia="宋体" w:cs="宋体"/>
          <w:spacing w:val="9"/>
          <w:sz w:val="21"/>
          <w:szCs w:val="21"/>
        </w:rPr>
        <w:t>进一步分析暴露与疾病的关联及其关联强度。</w:t>
      </w:r>
    </w:p>
    <w:p w14:paraId="1CDA82DB">
      <w:pPr>
        <w:pStyle w:val="2"/>
        <w:spacing w:before="164" w:line="222" w:lineRule="auto"/>
        <w:ind w:left="453"/>
        <w:outlineLvl w:val="2"/>
        <w:rPr>
          <w:sz w:val="26"/>
          <w:szCs w:val="26"/>
        </w:rPr>
      </w:pPr>
      <w:bookmarkStart w:id="143" w:name="bookmark92"/>
      <w:bookmarkEnd w:id="143"/>
      <w:r>
        <w:rPr>
          <w:b/>
          <w:bCs/>
          <w:spacing w:val="-6"/>
          <w:sz w:val="26"/>
          <w:szCs w:val="26"/>
        </w:rPr>
        <w:t>二</w:t>
      </w:r>
      <w:r>
        <w:rPr>
          <w:spacing w:val="-66"/>
          <w:sz w:val="26"/>
          <w:szCs w:val="26"/>
        </w:rPr>
        <w:t xml:space="preserve"> </w:t>
      </w:r>
      <w:r>
        <w:rPr>
          <w:b/>
          <w:bCs/>
          <w:spacing w:val="-6"/>
          <w:sz w:val="26"/>
          <w:szCs w:val="26"/>
        </w:rPr>
        <w:t>、资料的分析</w:t>
      </w:r>
    </w:p>
    <w:p w14:paraId="3EAC6A35">
      <w:pPr>
        <w:pStyle w:val="2"/>
        <w:spacing w:before="207" w:line="221" w:lineRule="auto"/>
        <w:ind w:left="453"/>
        <w:rPr>
          <w:sz w:val="26"/>
          <w:szCs w:val="26"/>
        </w:rPr>
      </w:pPr>
      <w:r>
        <w:rPr>
          <w:b/>
          <w:bCs/>
          <w:spacing w:val="-11"/>
          <w:sz w:val="26"/>
          <w:szCs w:val="26"/>
        </w:rPr>
        <w:t>(一)描述性统计</w:t>
      </w:r>
    </w:p>
    <w:p w14:paraId="452CE9C6">
      <w:pPr>
        <w:pStyle w:val="2"/>
        <w:spacing w:before="99" w:line="285" w:lineRule="auto"/>
        <w:ind w:right="703" w:firstLine="453"/>
        <w:rPr>
          <w:rFonts w:ascii="宋体" w:hAnsi="宋体" w:eastAsia="宋体" w:cs="宋体"/>
          <w:sz w:val="21"/>
          <w:szCs w:val="21"/>
        </w:rPr>
      </w:pPr>
      <w:r>
        <w:rPr>
          <w:rFonts w:ascii="宋体" w:hAnsi="宋体" w:eastAsia="宋体" w:cs="宋体"/>
          <w:b/>
          <w:bCs/>
          <w:spacing w:val="2"/>
          <w:sz w:val="21"/>
          <w:szCs w:val="21"/>
        </w:rPr>
        <w:t>1.</w:t>
      </w:r>
      <w:r>
        <w:rPr>
          <w:rFonts w:ascii="宋体" w:hAnsi="宋体" w:eastAsia="宋体" w:cs="宋体"/>
          <w:spacing w:val="2"/>
          <w:sz w:val="21"/>
          <w:szCs w:val="21"/>
        </w:rPr>
        <w:t xml:space="preserve"> </w:t>
      </w:r>
      <w:r>
        <w:rPr>
          <w:b/>
          <w:bCs/>
          <w:spacing w:val="2"/>
          <w:sz w:val="21"/>
          <w:szCs w:val="21"/>
        </w:rPr>
        <w:t>一般特征描述</w:t>
      </w:r>
      <w:r>
        <w:rPr>
          <w:spacing w:val="2"/>
          <w:sz w:val="21"/>
          <w:szCs w:val="21"/>
        </w:rPr>
        <w:t xml:space="preserve">  </w:t>
      </w:r>
      <w:r>
        <w:rPr>
          <w:rFonts w:ascii="宋体" w:hAnsi="宋体" w:eastAsia="宋体" w:cs="宋体"/>
          <w:spacing w:val="2"/>
          <w:sz w:val="21"/>
          <w:szCs w:val="21"/>
        </w:rPr>
        <w:t>即对研究对象的一般特征，如年龄、性别、职业、居住地等及病例的临床分</w:t>
      </w:r>
      <w:r>
        <w:rPr>
          <w:rFonts w:ascii="宋体" w:hAnsi="宋体" w:eastAsia="宋体" w:cs="宋体"/>
          <w:spacing w:val="4"/>
          <w:sz w:val="21"/>
          <w:szCs w:val="21"/>
        </w:rPr>
        <w:t xml:space="preserve"> </w:t>
      </w:r>
      <w:r>
        <w:rPr>
          <w:rFonts w:ascii="宋体" w:hAnsi="宋体" w:eastAsia="宋体" w:cs="宋体"/>
          <w:spacing w:val="11"/>
          <w:sz w:val="21"/>
          <w:szCs w:val="21"/>
        </w:rPr>
        <w:t>型等的分布频率进行描述。如果为某人群的随机抽样病例，则需要与相应时间和地区的全部病例</w:t>
      </w:r>
      <w:r>
        <w:rPr>
          <w:rFonts w:ascii="宋体" w:hAnsi="宋体" w:eastAsia="宋体" w:cs="宋体"/>
          <w:spacing w:val="4"/>
          <w:sz w:val="21"/>
          <w:szCs w:val="21"/>
        </w:rPr>
        <w:t xml:space="preserve"> </w:t>
      </w:r>
      <w:r>
        <w:rPr>
          <w:rFonts w:ascii="宋体" w:hAnsi="宋体" w:eastAsia="宋体" w:cs="宋体"/>
          <w:spacing w:val="12"/>
          <w:sz w:val="21"/>
          <w:szCs w:val="21"/>
        </w:rPr>
        <w:t>特征进行比较。</w:t>
      </w:r>
    </w:p>
    <w:p w14:paraId="15003676">
      <w:pPr>
        <w:spacing w:before="111" w:line="290" w:lineRule="auto"/>
        <w:ind w:right="712" w:firstLine="450"/>
        <w:rPr>
          <w:rFonts w:ascii="宋体" w:hAnsi="宋体" w:eastAsia="宋体" w:cs="宋体"/>
          <w:sz w:val="21"/>
          <w:szCs w:val="21"/>
        </w:rPr>
      </w:pPr>
      <w:r>
        <w:rPr>
          <w:rFonts w:ascii="宋体" w:hAnsi="宋体" w:eastAsia="宋体" w:cs="宋体"/>
          <w:spacing w:val="8"/>
          <w:sz w:val="21"/>
          <w:szCs w:val="21"/>
        </w:rPr>
        <w:t>2. 均衡性检验  即比较病例组与对照组某</w:t>
      </w:r>
      <w:r>
        <w:rPr>
          <w:rFonts w:ascii="宋体" w:hAnsi="宋体" w:eastAsia="宋体" w:cs="宋体"/>
          <w:spacing w:val="7"/>
          <w:sz w:val="21"/>
          <w:szCs w:val="21"/>
        </w:rPr>
        <w:t>些基本特征是否相似或齐同，目的是检验两组的可</w:t>
      </w:r>
      <w:r>
        <w:rPr>
          <w:rFonts w:ascii="宋体" w:hAnsi="宋体" w:eastAsia="宋体" w:cs="宋体"/>
          <w:sz w:val="21"/>
          <w:szCs w:val="21"/>
        </w:rPr>
        <w:t xml:space="preserve"> </w:t>
      </w:r>
      <w:r>
        <w:rPr>
          <w:rFonts w:ascii="宋体" w:hAnsi="宋体" w:eastAsia="宋体" w:cs="宋体"/>
          <w:spacing w:val="11"/>
          <w:sz w:val="21"/>
          <w:szCs w:val="21"/>
        </w:rPr>
        <w:t>比性。如果两组在某些基本特征方面的差异有</w:t>
      </w:r>
      <w:r>
        <w:rPr>
          <w:rFonts w:ascii="宋体" w:hAnsi="宋体" w:eastAsia="宋体" w:cs="宋体"/>
          <w:spacing w:val="10"/>
          <w:sz w:val="21"/>
          <w:szCs w:val="21"/>
        </w:rPr>
        <w:t>统计学意义，则在推断性分析时应考虑到其对研究</w:t>
      </w:r>
      <w:r>
        <w:rPr>
          <w:rFonts w:ascii="宋体" w:hAnsi="宋体" w:eastAsia="宋体" w:cs="宋体"/>
          <w:sz w:val="21"/>
          <w:szCs w:val="21"/>
        </w:rPr>
        <w:t xml:space="preserve"> </w:t>
      </w:r>
      <w:r>
        <w:rPr>
          <w:rFonts w:ascii="宋体" w:hAnsi="宋体" w:eastAsia="宋体" w:cs="宋体"/>
          <w:spacing w:val="10"/>
          <w:sz w:val="21"/>
          <w:szCs w:val="21"/>
        </w:rPr>
        <w:t>结果的可能影响并加以控制。</w:t>
      </w:r>
    </w:p>
    <w:p w14:paraId="19D962B9">
      <w:pPr>
        <w:spacing w:line="290" w:lineRule="auto"/>
        <w:rPr>
          <w:rFonts w:ascii="宋体" w:hAnsi="宋体" w:eastAsia="宋体" w:cs="宋体"/>
          <w:sz w:val="21"/>
          <w:szCs w:val="21"/>
        </w:rPr>
        <w:sectPr>
          <w:footerReference r:id="rId101" w:type="default"/>
          <w:pgSz w:w="11900" w:h="16820"/>
          <w:pgMar w:top="400" w:right="609" w:bottom="926" w:left="1299" w:header="0" w:footer="737" w:gutter="0"/>
          <w:cols w:space="720" w:num="1"/>
        </w:sectPr>
      </w:pPr>
    </w:p>
    <w:p w14:paraId="693DB8BC">
      <w:pPr>
        <w:pStyle w:val="2"/>
        <w:spacing w:before="37" w:line="222" w:lineRule="auto"/>
        <w:ind w:left="719"/>
        <w:rPr>
          <w:sz w:val="21"/>
          <w:szCs w:val="21"/>
        </w:rPr>
      </w:pPr>
      <w:r>
        <w:rPr>
          <w:spacing w:val="-15"/>
          <w:w w:val="98"/>
          <w:sz w:val="21"/>
          <w:szCs w:val="21"/>
        </w:rPr>
        <w:t>第五章病例对照研究</w:t>
      </w:r>
    </w:p>
    <w:p w14:paraId="5EE965FD">
      <w:pPr>
        <w:spacing w:line="283" w:lineRule="auto"/>
        <w:rPr>
          <w:rFonts w:ascii="Arial"/>
          <w:sz w:val="21"/>
        </w:rPr>
      </w:pPr>
    </w:p>
    <w:p w14:paraId="7E35F346">
      <w:pPr>
        <w:spacing w:line="284" w:lineRule="auto"/>
        <w:rPr>
          <w:rFonts w:ascii="Arial"/>
          <w:sz w:val="21"/>
        </w:rPr>
      </w:pPr>
    </w:p>
    <w:p w14:paraId="687A58E7">
      <w:pPr>
        <w:pStyle w:val="2"/>
        <w:spacing w:before="68" w:line="222" w:lineRule="auto"/>
        <w:ind w:left="1149"/>
        <w:rPr>
          <w:sz w:val="21"/>
          <w:szCs w:val="21"/>
        </w:rPr>
      </w:pPr>
      <w:r>
        <w:rPr>
          <w:spacing w:val="23"/>
          <w:sz w:val="21"/>
          <w:szCs w:val="21"/>
        </w:rPr>
        <w:t>(二)推断性分析</w:t>
      </w:r>
    </w:p>
    <w:p w14:paraId="3426497D">
      <w:pPr>
        <w:spacing w:before="115" w:line="337" w:lineRule="auto"/>
        <w:ind w:left="729" w:right="77" w:firstLine="429"/>
        <w:rPr>
          <w:rFonts w:ascii="宋体" w:hAnsi="宋体" w:eastAsia="宋体" w:cs="宋体"/>
          <w:sz w:val="21"/>
          <w:szCs w:val="21"/>
        </w:rPr>
      </w:pPr>
      <w:r>
        <w:rPr>
          <w:rFonts w:ascii="宋体" w:hAnsi="宋体" w:eastAsia="宋体" w:cs="宋体"/>
          <w:spacing w:val="-3"/>
          <w:sz w:val="21"/>
          <w:szCs w:val="21"/>
        </w:rPr>
        <w:t>即通过比较病例组与对照组对某些研究因素暴露</w:t>
      </w:r>
      <w:r>
        <w:rPr>
          <w:rFonts w:ascii="宋体" w:hAnsi="宋体" w:eastAsia="宋体" w:cs="宋体"/>
          <w:spacing w:val="-4"/>
          <w:sz w:val="21"/>
          <w:szCs w:val="21"/>
        </w:rPr>
        <w:t>率的差异，分析暴露与疾病有无关联，如果暴</w:t>
      </w:r>
      <w:r>
        <w:rPr>
          <w:rFonts w:ascii="宋体" w:hAnsi="宋体" w:eastAsia="宋体" w:cs="宋体"/>
          <w:sz w:val="21"/>
          <w:szCs w:val="21"/>
        </w:rPr>
        <w:t xml:space="preserve"> </w:t>
      </w:r>
      <w:r>
        <w:rPr>
          <w:rFonts w:ascii="宋体" w:hAnsi="宋体" w:eastAsia="宋体" w:cs="宋体"/>
          <w:spacing w:val="-6"/>
          <w:sz w:val="21"/>
          <w:szCs w:val="21"/>
        </w:rPr>
        <w:t>露与疾病有关联，则进一步分析关联的强度。</w:t>
      </w:r>
    </w:p>
    <w:p w14:paraId="2F75A524">
      <w:pPr>
        <w:pStyle w:val="2"/>
        <w:spacing w:before="3" w:line="327" w:lineRule="auto"/>
        <w:ind w:left="739" w:right="73" w:firstLine="429"/>
        <w:rPr>
          <w:rFonts w:ascii="宋体" w:hAnsi="宋体" w:eastAsia="宋体" w:cs="宋体"/>
          <w:sz w:val="21"/>
          <w:szCs w:val="21"/>
        </w:rPr>
      </w:pPr>
      <w:r>
        <w:rPr>
          <w:rFonts w:ascii="宋体" w:hAnsi="宋体" w:eastAsia="宋体" w:cs="宋体"/>
          <w:sz w:val="21"/>
          <w:szCs w:val="21"/>
        </w:rPr>
        <w:t>1.</w:t>
      </w:r>
      <w:r>
        <w:rPr>
          <w:rFonts w:ascii="宋体" w:hAnsi="宋体" w:eastAsia="宋体" w:cs="宋体"/>
          <w:spacing w:val="-22"/>
          <w:sz w:val="21"/>
          <w:szCs w:val="21"/>
        </w:rPr>
        <w:t xml:space="preserve"> </w:t>
      </w:r>
      <w:r>
        <w:rPr>
          <w:sz w:val="21"/>
          <w:szCs w:val="21"/>
        </w:rPr>
        <w:t>非匹配设计资料的分析</w:t>
      </w:r>
      <w:r>
        <w:rPr>
          <w:spacing w:val="97"/>
          <w:sz w:val="21"/>
          <w:szCs w:val="21"/>
        </w:rPr>
        <w:t xml:space="preserve"> </w:t>
      </w:r>
      <w:r>
        <w:rPr>
          <w:rFonts w:ascii="宋体" w:hAnsi="宋体" w:eastAsia="宋体" w:cs="宋体"/>
          <w:sz w:val="21"/>
          <w:szCs w:val="21"/>
        </w:rPr>
        <w:t>病例对照研究中，对每一个暴露</w:t>
      </w:r>
      <w:r>
        <w:rPr>
          <w:rFonts w:ascii="宋体" w:hAnsi="宋体" w:eastAsia="宋体" w:cs="宋体"/>
          <w:spacing w:val="-1"/>
          <w:sz w:val="21"/>
          <w:szCs w:val="21"/>
        </w:rPr>
        <w:t>因素的资料均可整理成如下四格</w:t>
      </w:r>
      <w:r>
        <w:rPr>
          <w:rFonts w:ascii="宋体" w:hAnsi="宋体" w:eastAsia="宋体" w:cs="宋体"/>
          <w:sz w:val="21"/>
          <w:szCs w:val="21"/>
        </w:rPr>
        <w:t xml:space="preserve"> </w:t>
      </w:r>
      <w:r>
        <w:rPr>
          <w:rFonts w:ascii="宋体" w:hAnsi="宋体" w:eastAsia="宋体" w:cs="宋体"/>
          <w:spacing w:val="3"/>
          <w:sz w:val="21"/>
          <w:szCs w:val="21"/>
        </w:rPr>
        <w:t>表(即2×2表)形式(表5-1)。</w:t>
      </w:r>
    </w:p>
    <w:p w14:paraId="640184DF">
      <w:pPr>
        <w:pStyle w:val="2"/>
        <w:spacing w:before="126" w:line="222" w:lineRule="auto"/>
        <w:ind w:left="3499"/>
        <w:rPr>
          <w:sz w:val="21"/>
          <w:szCs w:val="21"/>
        </w:rPr>
      </w:pPr>
      <w:r>
        <w:rPr>
          <w:spacing w:val="-14"/>
          <w:sz w:val="21"/>
          <w:szCs w:val="21"/>
        </w:rPr>
        <w:t>表5-1</w:t>
      </w:r>
      <w:r>
        <w:rPr>
          <w:spacing w:val="28"/>
          <w:sz w:val="21"/>
          <w:szCs w:val="21"/>
        </w:rPr>
        <w:t xml:space="preserve"> </w:t>
      </w:r>
      <w:r>
        <w:rPr>
          <w:spacing w:val="-14"/>
          <w:sz w:val="21"/>
          <w:szCs w:val="21"/>
        </w:rPr>
        <w:t>非匹配病例对照研究资料归纳表</w:t>
      </w:r>
    </w:p>
    <w:p w14:paraId="4B87872A">
      <w:pPr>
        <w:spacing w:line="55" w:lineRule="exact"/>
      </w:pPr>
    </w:p>
    <w:tbl>
      <w:tblPr>
        <w:tblStyle w:val="5"/>
        <w:tblW w:w="8989" w:type="dxa"/>
        <w:tblInd w:w="709"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0" w:type="dxa"/>
          <w:left w:w="0" w:type="dxa"/>
          <w:bottom w:w="0" w:type="dxa"/>
          <w:right w:w="0" w:type="dxa"/>
        </w:tblCellMar>
      </w:tblPr>
      <w:tblGrid>
        <w:gridCol w:w="2290"/>
        <w:gridCol w:w="2169"/>
        <w:gridCol w:w="2160"/>
        <w:gridCol w:w="2370"/>
      </w:tblGrid>
      <w:tr w14:paraId="668166DD">
        <w:trPr>
          <w:trHeight w:val="392" w:hRule="atLeast"/>
        </w:trPr>
        <w:tc>
          <w:tcPr>
            <w:tcW w:w="2290" w:type="dxa"/>
            <w:tcBorders>
              <w:top w:val="single" w:color="000000" w:sz="4" w:space="0"/>
              <w:bottom w:val="single" w:color="000000" w:sz="4" w:space="0"/>
            </w:tcBorders>
            <w:shd w:val="clear" w:color="auto" w:fill="BFC6C6"/>
            <w:vAlign w:val="top"/>
          </w:tcPr>
          <w:p w14:paraId="5ED4F388">
            <w:pPr>
              <w:pStyle w:val="6"/>
              <w:spacing w:before="102" w:line="219" w:lineRule="auto"/>
              <w:ind w:left="840"/>
            </w:pPr>
            <w:r>
              <w:rPr>
                <w:spacing w:val="-2"/>
              </w:rPr>
              <w:t>暴露史</w:t>
            </w:r>
          </w:p>
        </w:tc>
        <w:tc>
          <w:tcPr>
            <w:tcW w:w="2169" w:type="dxa"/>
            <w:tcBorders>
              <w:top w:val="single" w:color="000000" w:sz="4" w:space="0"/>
              <w:bottom w:val="single" w:color="000000" w:sz="4" w:space="0"/>
            </w:tcBorders>
            <w:shd w:val="clear" w:color="auto" w:fill="C5C9C9"/>
            <w:vAlign w:val="top"/>
          </w:tcPr>
          <w:p w14:paraId="77F7F42A">
            <w:pPr>
              <w:pStyle w:val="6"/>
              <w:spacing w:before="104" w:line="221" w:lineRule="auto"/>
              <w:ind w:left="880"/>
            </w:pPr>
            <w:r>
              <w:rPr>
                <w:spacing w:val="8"/>
              </w:rPr>
              <w:t>病例</w:t>
            </w:r>
          </w:p>
        </w:tc>
        <w:tc>
          <w:tcPr>
            <w:tcW w:w="2160" w:type="dxa"/>
            <w:tcBorders>
              <w:top w:val="single" w:color="000000" w:sz="4" w:space="0"/>
              <w:bottom w:val="single" w:color="000000" w:sz="4" w:space="0"/>
            </w:tcBorders>
            <w:shd w:val="clear" w:color="auto" w:fill="C6C9C8"/>
            <w:vAlign w:val="top"/>
          </w:tcPr>
          <w:p w14:paraId="2B079F49">
            <w:pPr>
              <w:pStyle w:val="6"/>
              <w:spacing w:before="104" w:line="221" w:lineRule="auto"/>
              <w:ind w:left="881"/>
            </w:pPr>
            <w:r>
              <w:rPr>
                <w:spacing w:val="8"/>
              </w:rPr>
              <w:t>对照</w:t>
            </w:r>
          </w:p>
        </w:tc>
        <w:tc>
          <w:tcPr>
            <w:tcW w:w="2370" w:type="dxa"/>
            <w:tcBorders>
              <w:top w:val="single" w:color="000000" w:sz="4" w:space="0"/>
              <w:bottom w:val="single" w:color="000000" w:sz="4" w:space="0"/>
            </w:tcBorders>
            <w:shd w:val="clear" w:color="auto" w:fill="C4C5BD"/>
            <w:vAlign w:val="top"/>
          </w:tcPr>
          <w:p w14:paraId="7CA7BA71">
            <w:pPr>
              <w:pStyle w:val="6"/>
              <w:spacing w:before="104" w:line="221" w:lineRule="auto"/>
              <w:ind w:left="980"/>
            </w:pPr>
            <w:r>
              <w:rPr>
                <w:spacing w:val="-3"/>
              </w:rPr>
              <w:t>合计</w:t>
            </w:r>
          </w:p>
        </w:tc>
      </w:tr>
      <w:tr w14:paraId="30257826">
        <w:trPr>
          <w:trHeight w:val="388" w:hRule="atLeast"/>
        </w:trPr>
        <w:tc>
          <w:tcPr>
            <w:tcW w:w="2290" w:type="dxa"/>
            <w:tcBorders>
              <w:top w:val="single" w:color="000000" w:sz="4" w:space="0"/>
              <w:bottom w:val="single" w:color="000000" w:sz="4" w:space="0"/>
            </w:tcBorders>
            <w:vAlign w:val="top"/>
          </w:tcPr>
          <w:p w14:paraId="248FA505">
            <w:pPr>
              <w:pStyle w:val="6"/>
              <w:spacing w:before="101" w:line="220" w:lineRule="auto"/>
              <w:ind w:left="1039"/>
            </w:pPr>
            <w:r>
              <w:t>有</w:t>
            </w:r>
          </w:p>
        </w:tc>
        <w:tc>
          <w:tcPr>
            <w:tcW w:w="2169" w:type="dxa"/>
            <w:tcBorders>
              <w:top w:val="single" w:color="000000" w:sz="4" w:space="0"/>
              <w:bottom w:val="single" w:color="000000" w:sz="4" w:space="0"/>
            </w:tcBorders>
            <w:vAlign w:val="top"/>
          </w:tcPr>
          <w:p w14:paraId="41C591F5">
            <w:pPr>
              <w:pStyle w:val="6"/>
              <w:spacing w:before="121" w:line="237" w:lineRule="auto"/>
              <w:ind w:left="1029"/>
            </w:pPr>
            <w:r>
              <w:t>a</w:t>
            </w:r>
          </w:p>
        </w:tc>
        <w:tc>
          <w:tcPr>
            <w:tcW w:w="2160" w:type="dxa"/>
            <w:tcBorders>
              <w:top w:val="single" w:color="000000" w:sz="4" w:space="0"/>
              <w:bottom w:val="single" w:color="000000" w:sz="4" w:space="0"/>
            </w:tcBorders>
            <w:vAlign w:val="top"/>
          </w:tcPr>
          <w:p w14:paraId="08A6962A">
            <w:pPr>
              <w:pStyle w:val="6"/>
              <w:spacing w:before="121" w:line="237" w:lineRule="auto"/>
              <w:ind w:left="1030"/>
            </w:pPr>
            <w:r>
              <w:t>b</w:t>
            </w:r>
          </w:p>
        </w:tc>
        <w:tc>
          <w:tcPr>
            <w:tcW w:w="2370" w:type="dxa"/>
            <w:tcBorders>
              <w:top w:val="single" w:color="000000" w:sz="4" w:space="0"/>
              <w:bottom w:val="single" w:color="000000" w:sz="4" w:space="0"/>
            </w:tcBorders>
            <w:vAlign w:val="top"/>
          </w:tcPr>
          <w:p w14:paraId="177C2106">
            <w:pPr>
              <w:pStyle w:val="6"/>
              <w:spacing w:before="121" w:line="237" w:lineRule="auto"/>
              <w:ind w:left="930"/>
            </w:pPr>
            <w:r>
              <w:rPr>
                <w:spacing w:val="-2"/>
              </w:rPr>
              <w:t>a+b=m</w:t>
            </w:r>
          </w:p>
        </w:tc>
      </w:tr>
      <w:tr w14:paraId="4122B0AD">
        <w:trPr>
          <w:trHeight w:val="397" w:hRule="atLeast"/>
        </w:trPr>
        <w:tc>
          <w:tcPr>
            <w:tcW w:w="2290" w:type="dxa"/>
            <w:tcBorders>
              <w:top w:val="single" w:color="000000" w:sz="4" w:space="0"/>
              <w:bottom w:val="single" w:color="000000" w:sz="4" w:space="0"/>
            </w:tcBorders>
            <w:shd w:val="clear" w:color="auto" w:fill="DFE0E4"/>
            <w:vAlign w:val="top"/>
          </w:tcPr>
          <w:p w14:paraId="3B19828F">
            <w:pPr>
              <w:pStyle w:val="6"/>
              <w:spacing w:before="103" w:line="220" w:lineRule="auto"/>
              <w:ind w:left="1039"/>
            </w:pPr>
            <w:r>
              <w:t>无</w:t>
            </w:r>
          </w:p>
        </w:tc>
        <w:tc>
          <w:tcPr>
            <w:tcW w:w="2169" w:type="dxa"/>
            <w:tcBorders>
              <w:top w:val="single" w:color="000000" w:sz="4" w:space="0"/>
              <w:bottom w:val="single" w:color="000000" w:sz="4" w:space="0"/>
            </w:tcBorders>
            <w:shd w:val="clear" w:color="auto" w:fill="E0DFE3"/>
            <w:vAlign w:val="top"/>
          </w:tcPr>
          <w:p w14:paraId="7B6B43AC">
            <w:pPr>
              <w:pStyle w:val="6"/>
              <w:spacing w:before="122"/>
              <w:ind w:left="1029"/>
            </w:pPr>
            <w:r>
              <w:t>c</w:t>
            </w:r>
          </w:p>
        </w:tc>
        <w:tc>
          <w:tcPr>
            <w:tcW w:w="2160" w:type="dxa"/>
            <w:tcBorders>
              <w:top w:val="single" w:color="000000" w:sz="4" w:space="0"/>
              <w:bottom w:val="single" w:color="000000" w:sz="4" w:space="0"/>
            </w:tcBorders>
            <w:shd w:val="clear" w:color="auto" w:fill="E0E0E3"/>
            <w:vAlign w:val="top"/>
          </w:tcPr>
          <w:p w14:paraId="40893D61">
            <w:pPr>
              <w:pStyle w:val="6"/>
              <w:spacing w:before="123"/>
              <w:ind w:left="1030"/>
            </w:pPr>
            <w:r>
              <w:t>d</w:t>
            </w:r>
          </w:p>
        </w:tc>
        <w:tc>
          <w:tcPr>
            <w:tcW w:w="2370" w:type="dxa"/>
            <w:tcBorders>
              <w:top w:val="single" w:color="000000" w:sz="4" w:space="0"/>
              <w:bottom w:val="single" w:color="000000" w:sz="4" w:space="0"/>
            </w:tcBorders>
            <w:shd w:val="clear" w:color="auto" w:fill="D9D8D5"/>
            <w:vAlign w:val="top"/>
          </w:tcPr>
          <w:p w14:paraId="56F4046E">
            <w:pPr>
              <w:pStyle w:val="6"/>
              <w:spacing w:before="102" w:line="219" w:lineRule="auto"/>
              <w:ind w:left="830"/>
              <w:rPr>
                <w:rFonts w:ascii="Calibri" w:hAnsi="Calibri" w:eastAsia="Calibri" w:cs="Calibri"/>
              </w:rPr>
            </w:pPr>
            <w:r>
              <w:rPr>
                <w:spacing w:val="-2"/>
              </w:rPr>
              <w:t>c+d=m</w:t>
            </w:r>
            <w:r>
              <w:rPr>
                <w:rFonts w:ascii="Calibri" w:hAnsi="Calibri" w:eastAsia="Calibri" w:cs="Calibri"/>
                <w:spacing w:val="-2"/>
              </w:rPr>
              <w:t>₀</w:t>
            </w:r>
          </w:p>
        </w:tc>
      </w:tr>
      <w:tr w14:paraId="4341432F">
        <w:trPr>
          <w:trHeight w:val="372" w:hRule="atLeast"/>
        </w:trPr>
        <w:tc>
          <w:tcPr>
            <w:tcW w:w="2290" w:type="dxa"/>
            <w:tcBorders>
              <w:top w:val="single" w:color="000000" w:sz="4" w:space="0"/>
              <w:bottom w:val="single" w:color="000000" w:sz="4" w:space="0"/>
            </w:tcBorders>
            <w:vAlign w:val="top"/>
          </w:tcPr>
          <w:p w14:paraId="05C532BB">
            <w:pPr>
              <w:pStyle w:val="6"/>
              <w:spacing w:before="97" w:line="221" w:lineRule="auto"/>
              <w:ind w:left="939"/>
            </w:pPr>
            <w:r>
              <w:rPr>
                <w:spacing w:val="-3"/>
              </w:rPr>
              <w:t>合计</w:t>
            </w:r>
          </w:p>
        </w:tc>
        <w:tc>
          <w:tcPr>
            <w:tcW w:w="2169" w:type="dxa"/>
            <w:tcBorders>
              <w:top w:val="single" w:color="000000" w:sz="4" w:space="0"/>
              <w:bottom w:val="single" w:color="000000" w:sz="4" w:space="0"/>
            </w:tcBorders>
            <w:vAlign w:val="top"/>
          </w:tcPr>
          <w:p w14:paraId="50CB148A">
            <w:pPr>
              <w:pStyle w:val="6"/>
              <w:spacing w:before="116" w:line="227" w:lineRule="auto"/>
              <w:ind w:left="779"/>
            </w:pPr>
            <w:r>
              <w:rPr>
                <w:spacing w:val="-2"/>
              </w:rPr>
              <w:t>a+c=n1</w:t>
            </w:r>
          </w:p>
        </w:tc>
        <w:tc>
          <w:tcPr>
            <w:tcW w:w="2160" w:type="dxa"/>
            <w:tcBorders>
              <w:top w:val="single" w:color="000000" w:sz="4" w:space="0"/>
              <w:bottom w:val="single" w:color="000000" w:sz="4" w:space="0"/>
            </w:tcBorders>
            <w:vAlign w:val="top"/>
          </w:tcPr>
          <w:p w14:paraId="4F8998F9">
            <w:pPr>
              <w:pStyle w:val="6"/>
              <w:spacing w:before="95" w:line="219" w:lineRule="auto"/>
              <w:ind w:left="730"/>
              <w:rPr>
                <w:rFonts w:ascii="Calibri" w:hAnsi="Calibri" w:eastAsia="Calibri" w:cs="Calibri"/>
              </w:rPr>
            </w:pPr>
            <w:r>
              <w:rPr>
                <w:spacing w:val="-1"/>
              </w:rPr>
              <w:t>b+d=n</w:t>
            </w:r>
            <w:r>
              <w:rPr>
                <w:rFonts w:ascii="Calibri" w:hAnsi="Calibri" w:eastAsia="Calibri" w:cs="Calibri"/>
                <w:spacing w:val="-1"/>
              </w:rPr>
              <w:t>₀</w:t>
            </w:r>
          </w:p>
        </w:tc>
        <w:tc>
          <w:tcPr>
            <w:tcW w:w="2370" w:type="dxa"/>
            <w:tcBorders>
              <w:top w:val="single" w:color="000000" w:sz="4" w:space="0"/>
              <w:bottom w:val="single" w:color="000000" w:sz="4" w:space="0"/>
            </w:tcBorders>
            <w:vAlign w:val="top"/>
          </w:tcPr>
          <w:p w14:paraId="7E3E48E3">
            <w:pPr>
              <w:pStyle w:val="6"/>
              <w:spacing w:before="116" w:line="227" w:lineRule="auto"/>
              <w:ind w:left="731"/>
            </w:pPr>
            <w:r>
              <w:rPr>
                <w:spacing w:val="-1"/>
              </w:rPr>
              <w:t>N=a+b+c+d</w:t>
            </w:r>
          </w:p>
        </w:tc>
      </w:tr>
    </w:tbl>
    <w:p w14:paraId="5A6789C3">
      <w:pPr>
        <w:spacing w:line="331" w:lineRule="auto"/>
        <w:rPr>
          <w:rFonts w:ascii="Arial"/>
          <w:sz w:val="21"/>
        </w:rPr>
      </w:pPr>
    </w:p>
    <w:p w14:paraId="05F65FED">
      <w:pPr>
        <w:spacing w:before="69" w:line="337" w:lineRule="auto"/>
        <w:ind w:left="739" w:right="63" w:firstLine="274"/>
        <w:rPr>
          <w:rFonts w:ascii="宋体" w:hAnsi="宋体" w:eastAsia="宋体" w:cs="宋体"/>
          <w:sz w:val="21"/>
          <w:szCs w:val="21"/>
        </w:rPr>
      </w:pPr>
      <w:r>
        <w:rPr>
          <w:rFonts w:ascii="宋体" w:hAnsi="宋体" w:eastAsia="宋体" w:cs="宋体"/>
          <w:spacing w:val="5"/>
          <w:sz w:val="21"/>
          <w:szCs w:val="21"/>
        </w:rPr>
        <w:t>【例5-4】一项关于口服避孕药与心肌梗死关系的病例对照研究资料见表5-2。以此为例，介</w:t>
      </w:r>
      <w:r>
        <w:rPr>
          <w:rFonts w:ascii="宋体" w:hAnsi="宋体" w:eastAsia="宋体" w:cs="宋体"/>
          <w:spacing w:val="11"/>
          <w:sz w:val="21"/>
          <w:szCs w:val="21"/>
        </w:rPr>
        <w:t xml:space="preserve"> </w:t>
      </w:r>
      <w:r>
        <w:rPr>
          <w:rFonts w:ascii="宋体" w:hAnsi="宋体" w:eastAsia="宋体" w:cs="宋体"/>
          <w:spacing w:val="-2"/>
          <w:sz w:val="21"/>
          <w:szCs w:val="21"/>
        </w:rPr>
        <w:t>绍具体分析步骤。</w:t>
      </w:r>
    </w:p>
    <w:p w14:paraId="5921FEC9">
      <w:pPr>
        <w:spacing w:before="165" w:line="219" w:lineRule="auto"/>
        <w:ind w:left="2979"/>
        <w:rPr>
          <w:rFonts w:ascii="宋体" w:hAnsi="宋体" w:eastAsia="宋体" w:cs="宋体"/>
          <w:sz w:val="20"/>
          <w:szCs w:val="20"/>
        </w:rPr>
      </w:pPr>
      <w:r>
        <w:rPr>
          <w:rFonts w:ascii="宋体" w:hAnsi="宋体" w:eastAsia="宋体" w:cs="宋体"/>
          <w:spacing w:val="-1"/>
          <w:sz w:val="20"/>
          <w:szCs w:val="20"/>
        </w:rPr>
        <w:t>表5-2心肌梗死病例与对照口服避孕药服用史的比较</w:t>
      </w:r>
    </w:p>
    <w:p w14:paraId="7698A2FE">
      <w:pPr>
        <w:spacing w:line="19" w:lineRule="exact"/>
      </w:pPr>
    </w:p>
    <w:tbl>
      <w:tblPr>
        <w:tblStyle w:val="5"/>
        <w:tblW w:w="8880" w:type="dxa"/>
        <w:tblInd w:w="789"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0" w:type="dxa"/>
          <w:left w:w="0" w:type="dxa"/>
          <w:bottom w:w="0" w:type="dxa"/>
          <w:right w:w="0" w:type="dxa"/>
        </w:tblCellMar>
      </w:tblPr>
      <w:tblGrid>
        <w:gridCol w:w="2450"/>
        <w:gridCol w:w="1950"/>
        <w:gridCol w:w="2170"/>
        <w:gridCol w:w="2310"/>
      </w:tblGrid>
      <w:tr w14:paraId="1F3A819E">
        <w:trPr>
          <w:trHeight w:val="363" w:hRule="atLeast"/>
        </w:trPr>
        <w:tc>
          <w:tcPr>
            <w:tcW w:w="2450" w:type="dxa"/>
            <w:tcBorders>
              <w:top w:val="single" w:color="000000" w:sz="4" w:space="0"/>
              <w:bottom w:val="single" w:color="000000" w:sz="4" w:space="0"/>
            </w:tcBorders>
            <w:shd w:val="clear" w:color="auto" w:fill="BFC6C6"/>
            <w:vAlign w:val="top"/>
          </w:tcPr>
          <w:p w14:paraId="75B266DD">
            <w:pPr>
              <w:pStyle w:val="6"/>
              <w:spacing w:before="83" w:line="220" w:lineRule="auto"/>
              <w:ind w:left="420"/>
            </w:pPr>
            <w:r>
              <w:rPr>
                <w:spacing w:val="1"/>
              </w:rPr>
              <w:t>口服避孕药服用史</w:t>
            </w:r>
          </w:p>
        </w:tc>
        <w:tc>
          <w:tcPr>
            <w:tcW w:w="1950" w:type="dxa"/>
            <w:tcBorders>
              <w:top w:val="single" w:color="000000" w:sz="4" w:space="0"/>
              <w:bottom w:val="single" w:color="000000" w:sz="4" w:space="0"/>
            </w:tcBorders>
            <w:shd w:val="clear" w:color="auto" w:fill="C0C5C6"/>
            <w:vAlign w:val="top"/>
          </w:tcPr>
          <w:p w14:paraId="72B4FF53">
            <w:pPr>
              <w:pStyle w:val="6"/>
              <w:spacing w:before="84" w:line="221" w:lineRule="auto"/>
              <w:ind w:left="770"/>
            </w:pPr>
            <w:r>
              <w:rPr>
                <w:spacing w:val="8"/>
              </w:rPr>
              <w:t>病例</w:t>
            </w:r>
          </w:p>
        </w:tc>
        <w:tc>
          <w:tcPr>
            <w:tcW w:w="2170" w:type="dxa"/>
            <w:tcBorders>
              <w:top w:val="single" w:color="000000" w:sz="4" w:space="0"/>
              <w:bottom w:val="single" w:color="000000" w:sz="4" w:space="0"/>
            </w:tcBorders>
            <w:shd w:val="clear" w:color="auto" w:fill="BDC2C1"/>
            <w:vAlign w:val="top"/>
          </w:tcPr>
          <w:p w14:paraId="0F3E8BB2">
            <w:pPr>
              <w:pStyle w:val="6"/>
              <w:spacing w:before="84" w:line="221" w:lineRule="auto"/>
              <w:ind w:left="880"/>
            </w:pPr>
            <w:r>
              <w:rPr>
                <w:spacing w:val="8"/>
              </w:rPr>
              <w:t>对照</w:t>
            </w:r>
          </w:p>
        </w:tc>
        <w:tc>
          <w:tcPr>
            <w:tcW w:w="2310" w:type="dxa"/>
            <w:tcBorders>
              <w:top w:val="single" w:color="000000" w:sz="4" w:space="0"/>
              <w:bottom w:val="single" w:color="000000" w:sz="4" w:space="0"/>
            </w:tcBorders>
            <w:shd w:val="clear" w:color="auto" w:fill="C2C5C2"/>
            <w:vAlign w:val="top"/>
          </w:tcPr>
          <w:p w14:paraId="5E668394">
            <w:pPr>
              <w:pStyle w:val="6"/>
              <w:spacing w:before="84" w:line="221" w:lineRule="auto"/>
              <w:ind w:left="949"/>
            </w:pPr>
            <w:r>
              <w:rPr>
                <w:spacing w:val="-3"/>
              </w:rPr>
              <w:t>合计</w:t>
            </w:r>
          </w:p>
        </w:tc>
      </w:tr>
      <w:tr w14:paraId="291C39A3">
        <w:trPr>
          <w:trHeight w:val="387" w:hRule="atLeast"/>
        </w:trPr>
        <w:tc>
          <w:tcPr>
            <w:tcW w:w="2450" w:type="dxa"/>
            <w:tcBorders>
              <w:top w:val="single" w:color="000000" w:sz="4" w:space="0"/>
              <w:bottom w:val="single" w:color="000000" w:sz="4" w:space="0"/>
            </w:tcBorders>
            <w:vAlign w:val="top"/>
          </w:tcPr>
          <w:p w14:paraId="40C1A570">
            <w:pPr>
              <w:pStyle w:val="6"/>
              <w:spacing w:before="100" w:line="220" w:lineRule="auto"/>
              <w:ind w:left="1120"/>
            </w:pPr>
            <w:r>
              <w:t>有</w:t>
            </w:r>
          </w:p>
        </w:tc>
        <w:tc>
          <w:tcPr>
            <w:tcW w:w="1950" w:type="dxa"/>
            <w:tcBorders>
              <w:top w:val="single" w:color="000000" w:sz="4" w:space="0"/>
              <w:bottom w:val="single" w:color="000000" w:sz="4" w:space="0"/>
            </w:tcBorders>
            <w:vAlign w:val="top"/>
          </w:tcPr>
          <w:p w14:paraId="116C2F7E">
            <w:pPr>
              <w:pStyle w:val="6"/>
              <w:spacing w:before="120" w:line="237" w:lineRule="auto"/>
              <w:ind w:left="869"/>
            </w:pPr>
            <w:r>
              <w:rPr>
                <w:spacing w:val="-3"/>
              </w:rPr>
              <w:t>39</w:t>
            </w:r>
          </w:p>
        </w:tc>
        <w:tc>
          <w:tcPr>
            <w:tcW w:w="2170" w:type="dxa"/>
            <w:tcBorders>
              <w:top w:val="single" w:color="000000" w:sz="4" w:space="0"/>
              <w:bottom w:val="single" w:color="000000" w:sz="4" w:space="0"/>
            </w:tcBorders>
            <w:vAlign w:val="top"/>
          </w:tcPr>
          <w:p w14:paraId="04C81B56">
            <w:pPr>
              <w:pStyle w:val="6"/>
              <w:spacing w:before="120" w:line="237" w:lineRule="auto"/>
              <w:ind w:left="979"/>
            </w:pPr>
            <w:r>
              <w:rPr>
                <w:spacing w:val="-3"/>
              </w:rPr>
              <w:t>24</w:t>
            </w:r>
          </w:p>
        </w:tc>
        <w:tc>
          <w:tcPr>
            <w:tcW w:w="2310" w:type="dxa"/>
            <w:tcBorders>
              <w:top w:val="single" w:color="000000" w:sz="4" w:space="0"/>
              <w:bottom w:val="single" w:color="000000" w:sz="4" w:space="0"/>
            </w:tcBorders>
            <w:vAlign w:val="top"/>
          </w:tcPr>
          <w:p w14:paraId="69EEB2BD">
            <w:pPr>
              <w:pStyle w:val="6"/>
              <w:spacing w:before="120" w:line="237" w:lineRule="auto"/>
              <w:ind w:left="1050"/>
            </w:pPr>
            <w:r>
              <w:rPr>
                <w:spacing w:val="-3"/>
              </w:rPr>
              <w:t>63</w:t>
            </w:r>
          </w:p>
        </w:tc>
      </w:tr>
      <w:tr w14:paraId="4C73AFD0">
        <w:trPr>
          <w:trHeight w:val="397" w:hRule="atLeast"/>
        </w:trPr>
        <w:tc>
          <w:tcPr>
            <w:tcW w:w="2450" w:type="dxa"/>
            <w:tcBorders>
              <w:top w:val="single" w:color="000000" w:sz="4" w:space="0"/>
              <w:bottom w:val="single" w:color="000000" w:sz="4" w:space="0"/>
            </w:tcBorders>
            <w:shd w:val="clear" w:color="auto" w:fill="DBDCE0"/>
            <w:vAlign w:val="top"/>
          </w:tcPr>
          <w:p w14:paraId="7BA066D8">
            <w:pPr>
              <w:pStyle w:val="6"/>
              <w:spacing w:before="103" w:line="220" w:lineRule="auto"/>
              <w:ind w:left="1120"/>
            </w:pPr>
            <w:r>
              <w:t>无</w:t>
            </w:r>
          </w:p>
        </w:tc>
        <w:tc>
          <w:tcPr>
            <w:tcW w:w="1950" w:type="dxa"/>
            <w:tcBorders>
              <w:top w:val="single" w:color="000000" w:sz="4" w:space="0"/>
              <w:bottom w:val="single" w:color="000000" w:sz="4" w:space="0"/>
            </w:tcBorders>
            <w:shd w:val="clear" w:color="auto" w:fill="DDDBDE"/>
            <w:vAlign w:val="top"/>
          </w:tcPr>
          <w:p w14:paraId="0D666808">
            <w:pPr>
              <w:pStyle w:val="6"/>
              <w:spacing w:before="123" w:line="241" w:lineRule="auto"/>
              <w:ind w:left="820"/>
            </w:pPr>
            <w:r>
              <w:rPr>
                <w:spacing w:val="-6"/>
              </w:rPr>
              <w:t>114</w:t>
            </w:r>
          </w:p>
        </w:tc>
        <w:tc>
          <w:tcPr>
            <w:tcW w:w="2170" w:type="dxa"/>
            <w:tcBorders>
              <w:top w:val="single" w:color="000000" w:sz="4" w:space="0"/>
              <w:bottom w:val="single" w:color="000000" w:sz="4" w:space="0"/>
            </w:tcBorders>
            <w:shd w:val="clear" w:color="auto" w:fill="E0E0E0"/>
            <w:vAlign w:val="top"/>
          </w:tcPr>
          <w:p w14:paraId="73634C6F">
            <w:pPr>
              <w:pStyle w:val="6"/>
              <w:spacing w:before="122"/>
              <w:ind w:left="930"/>
            </w:pPr>
            <w:r>
              <w:rPr>
                <w:spacing w:val="-6"/>
              </w:rPr>
              <w:t>154</w:t>
            </w:r>
          </w:p>
        </w:tc>
        <w:tc>
          <w:tcPr>
            <w:tcW w:w="2310" w:type="dxa"/>
            <w:tcBorders>
              <w:top w:val="single" w:color="000000" w:sz="4" w:space="0"/>
              <w:bottom w:val="single" w:color="000000" w:sz="4" w:space="0"/>
            </w:tcBorders>
            <w:shd w:val="clear" w:color="auto" w:fill="E0DFDF"/>
            <w:vAlign w:val="top"/>
          </w:tcPr>
          <w:p w14:paraId="7F382CE9">
            <w:pPr>
              <w:pStyle w:val="6"/>
              <w:spacing w:before="122"/>
              <w:ind w:left="1000"/>
            </w:pPr>
            <w:r>
              <w:rPr>
                <w:spacing w:val="-3"/>
              </w:rPr>
              <w:t>268</w:t>
            </w:r>
          </w:p>
        </w:tc>
      </w:tr>
      <w:tr w14:paraId="525302AB">
        <w:trPr>
          <w:trHeight w:val="392" w:hRule="atLeast"/>
        </w:trPr>
        <w:tc>
          <w:tcPr>
            <w:tcW w:w="2450" w:type="dxa"/>
            <w:tcBorders>
              <w:top w:val="single" w:color="000000" w:sz="4" w:space="0"/>
              <w:bottom w:val="single" w:color="000000" w:sz="4" w:space="0"/>
            </w:tcBorders>
            <w:vAlign w:val="top"/>
          </w:tcPr>
          <w:p w14:paraId="4A59E45C">
            <w:pPr>
              <w:pStyle w:val="6"/>
              <w:spacing w:before="107" w:line="221" w:lineRule="auto"/>
              <w:ind w:left="1020"/>
            </w:pPr>
            <w:r>
              <w:rPr>
                <w:spacing w:val="-3"/>
              </w:rPr>
              <w:t>合计</w:t>
            </w:r>
          </w:p>
        </w:tc>
        <w:tc>
          <w:tcPr>
            <w:tcW w:w="1950" w:type="dxa"/>
            <w:tcBorders>
              <w:top w:val="single" w:color="000000" w:sz="4" w:space="0"/>
              <w:bottom w:val="single" w:color="000000" w:sz="4" w:space="0"/>
            </w:tcBorders>
            <w:vAlign w:val="top"/>
          </w:tcPr>
          <w:p w14:paraId="15A850C5">
            <w:pPr>
              <w:pStyle w:val="6"/>
              <w:spacing w:before="126" w:line="236" w:lineRule="auto"/>
              <w:ind w:left="820"/>
            </w:pPr>
            <w:r>
              <w:rPr>
                <w:spacing w:val="-6"/>
              </w:rPr>
              <w:t>153</w:t>
            </w:r>
          </w:p>
        </w:tc>
        <w:tc>
          <w:tcPr>
            <w:tcW w:w="2170" w:type="dxa"/>
            <w:tcBorders>
              <w:top w:val="single" w:color="000000" w:sz="4" w:space="0"/>
              <w:bottom w:val="single" w:color="000000" w:sz="4" w:space="0"/>
            </w:tcBorders>
            <w:vAlign w:val="top"/>
          </w:tcPr>
          <w:p w14:paraId="1319FAC6">
            <w:pPr>
              <w:pStyle w:val="6"/>
              <w:spacing w:before="126" w:line="236" w:lineRule="auto"/>
              <w:ind w:left="930"/>
            </w:pPr>
            <w:r>
              <w:rPr>
                <w:spacing w:val="-6"/>
              </w:rPr>
              <w:t>178</w:t>
            </w:r>
          </w:p>
        </w:tc>
        <w:tc>
          <w:tcPr>
            <w:tcW w:w="2310" w:type="dxa"/>
            <w:tcBorders>
              <w:top w:val="single" w:color="000000" w:sz="4" w:space="0"/>
              <w:bottom w:val="single" w:color="000000" w:sz="4" w:space="0"/>
            </w:tcBorders>
            <w:vAlign w:val="top"/>
          </w:tcPr>
          <w:p w14:paraId="6D4BC67E">
            <w:pPr>
              <w:pStyle w:val="6"/>
              <w:spacing w:before="126" w:line="236" w:lineRule="auto"/>
              <w:ind w:left="1000"/>
            </w:pPr>
            <w:r>
              <w:rPr>
                <w:spacing w:val="-3"/>
              </w:rPr>
              <w:t>331</w:t>
            </w:r>
          </w:p>
        </w:tc>
      </w:tr>
    </w:tbl>
    <w:p w14:paraId="76B9B2CB">
      <w:pPr>
        <w:spacing w:line="320" w:lineRule="auto"/>
        <w:rPr>
          <w:rFonts w:ascii="Arial"/>
          <w:sz w:val="21"/>
        </w:rPr>
      </w:pPr>
    </w:p>
    <w:p w14:paraId="390D7C35">
      <w:pPr>
        <w:spacing w:before="69" w:line="342" w:lineRule="auto"/>
        <w:ind w:left="709" w:right="61" w:firstLine="419"/>
        <w:jc w:val="both"/>
        <w:rPr>
          <w:rFonts w:ascii="宋体" w:hAnsi="宋体" w:eastAsia="宋体" w:cs="宋体"/>
          <w:sz w:val="21"/>
          <w:szCs w:val="21"/>
        </w:rPr>
      </w:pPr>
      <w:r>
        <w:rPr>
          <w:rFonts w:ascii="宋体" w:hAnsi="宋体" w:eastAsia="宋体" w:cs="宋体"/>
          <w:spacing w:val="1"/>
          <w:sz w:val="21"/>
          <w:szCs w:val="21"/>
        </w:rPr>
        <w:t>(1)暴露与疾病关联性分析：检验病例组某因素的暴露率或暴露比例</w:t>
      </w:r>
      <w:r>
        <w:rPr>
          <w:rFonts w:ascii="Times New Roman" w:hAnsi="Times New Roman" w:eastAsia="Times New Roman" w:cs="Times New Roman"/>
          <w:spacing w:val="1"/>
          <w:sz w:val="21"/>
          <w:szCs w:val="21"/>
        </w:rPr>
        <w:t>a/(a+c)</w:t>
      </w:r>
      <w:r>
        <w:rPr>
          <w:rFonts w:ascii="Times New Roman" w:hAnsi="Times New Roman" w:eastAsia="Times New Roman" w:cs="Times New Roman"/>
          <w:spacing w:val="23"/>
          <w:w w:val="101"/>
          <w:sz w:val="21"/>
          <w:szCs w:val="21"/>
        </w:rPr>
        <w:t xml:space="preserve">  </w:t>
      </w:r>
      <w:r>
        <w:rPr>
          <w:rFonts w:ascii="宋体" w:hAnsi="宋体" w:eastAsia="宋体" w:cs="宋体"/>
          <w:spacing w:val="1"/>
          <w:sz w:val="21"/>
          <w:szCs w:val="21"/>
        </w:rPr>
        <w:t>与对照组</w:t>
      </w:r>
      <w:r>
        <w:rPr>
          <w:rFonts w:ascii="Times New Roman" w:hAnsi="Times New Roman" w:eastAsia="Times New Roman" w:cs="Times New Roman"/>
          <w:spacing w:val="1"/>
          <w:sz w:val="21"/>
          <w:szCs w:val="21"/>
        </w:rPr>
        <w:t>b/(</w:t>
      </w:r>
      <w:r>
        <w:rPr>
          <w:rFonts w:ascii="Times New Roman" w:hAnsi="Times New Roman" w:eastAsia="Times New Roman" w:cs="Times New Roman"/>
          <w:sz w:val="21"/>
          <w:szCs w:val="21"/>
        </w:rPr>
        <w:t xml:space="preserve">b+d)  </w:t>
      </w:r>
      <w:r>
        <w:rPr>
          <w:rFonts w:ascii="宋体" w:hAnsi="宋体" w:eastAsia="宋体" w:cs="宋体"/>
          <w:spacing w:val="3"/>
          <w:sz w:val="21"/>
          <w:szCs w:val="21"/>
        </w:rPr>
        <w:t>之间的差异是否具有统计学意义。如果两组某因素暴露率差异有统</w:t>
      </w:r>
      <w:r>
        <w:rPr>
          <w:rFonts w:ascii="宋体" w:hAnsi="宋体" w:eastAsia="宋体" w:cs="宋体"/>
          <w:spacing w:val="2"/>
          <w:sz w:val="21"/>
          <w:szCs w:val="21"/>
        </w:rPr>
        <w:t>计学意义，说明该暴露与疾病</w:t>
      </w:r>
      <w:r>
        <w:rPr>
          <w:rFonts w:ascii="宋体" w:hAnsi="宋体" w:eastAsia="宋体" w:cs="宋体"/>
          <w:sz w:val="21"/>
          <w:szCs w:val="21"/>
        </w:rPr>
        <w:t xml:space="preserve"> 存在统计学关联。两组暴露率差异的统计学检验可用四格表的</w:t>
      </w:r>
      <w:r>
        <w:rPr>
          <w:rFonts w:ascii="Times New Roman" w:hAnsi="Times New Roman" w:eastAsia="Times New Roman" w:cs="Times New Roman"/>
          <w:sz w:val="21"/>
          <w:szCs w:val="21"/>
        </w:rPr>
        <w:t>x²</w:t>
      </w:r>
      <w:r>
        <w:rPr>
          <w:rFonts w:ascii="Times New Roman" w:hAnsi="Times New Roman" w:eastAsia="Times New Roman" w:cs="Times New Roman"/>
          <w:spacing w:val="33"/>
          <w:w w:val="101"/>
          <w:sz w:val="21"/>
          <w:szCs w:val="21"/>
        </w:rPr>
        <w:t xml:space="preserve"> </w:t>
      </w:r>
      <w:r>
        <w:rPr>
          <w:rFonts w:ascii="宋体" w:hAnsi="宋体" w:eastAsia="宋体" w:cs="宋体"/>
          <w:sz w:val="21"/>
          <w:szCs w:val="21"/>
        </w:rPr>
        <w:t>检验：</w:t>
      </w:r>
    </w:p>
    <w:p w14:paraId="1B5BFC0A">
      <w:pPr>
        <w:spacing w:before="118" w:line="349" w:lineRule="auto"/>
        <w:ind w:left="1149" w:firstLine="2679"/>
        <w:rPr>
          <w:rFonts w:ascii="宋体" w:hAnsi="宋体" w:eastAsia="宋体" w:cs="宋体"/>
          <w:sz w:val="21"/>
          <w:szCs w:val="21"/>
        </w:rPr>
      </w:pPr>
      <w:r>
        <w:rPr>
          <w:rFonts w:ascii="宋体" w:hAnsi="宋体" w:eastAsia="宋体" w:cs="宋体"/>
          <w:position w:val="-21"/>
          <w:sz w:val="21"/>
          <w:szCs w:val="21"/>
        </w:rPr>
        <w:drawing>
          <wp:inline distT="0" distB="0" distL="0" distR="0">
            <wp:extent cx="1713865" cy="367665"/>
            <wp:effectExtent l="0" t="0" r="0" b="0"/>
            <wp:docPr id="256" name="IM 256"/>
            <wp:cNvGraphicFramePr/>
            <a:graphic xmlns:a="http://schemas.openxmlformats.org/drawingml/2006/main">
              <a:graphicData uri="http://schemas.openxmlformats.org/drawingml/2006/picture">
                <pic:pic xmlns:pic="http://schemas.openxmlformats.org/drawingml/2006/picture">
                  <pic:nvPicPr>
                    <pic:cNvPr id="256" name="IM 256"/>
                    <pic:cNvPicPr/>
                  </pic:nvPicPr>
                  <pic:blipFill>
                    <a:blip r:embed="rId505"/>
                    <a:stretch>
                      <a:fillRect/>
                    </a:stretch>
                  </pic:blipFill>
                  <pic:spPr>
                    <a:xfrm>
                      <a:off x="0" y="0"/>
                      <a:ext cx="1714494" cy="368270"/>
                    </a:xfrm>
                    <a:prstGeom prst="rect">
                      <a:avLst/>
                    </a:prstGeom>
                  </pic:spPr>
                </pic:pic>
              </a:graphicData>
            </a:graphic>
          </wp:inline>
        </w:drawing>
      </w:r>
      <w:r>
        <w:rPr>
          <w:rFonts w:ascii="宋体" w:hAnsi="宋体" w:eastAsia="宋体" w:cs="宋体"/>
          <w:spacing w:val="4"/>
          <w:sz w:val="21"/>
          <w:szCs w:val="21"/>
        </w:rPr>
        <w:t xml:space="preserve">                      </w:t>
      </w:r>
      <w:r>
        <w:rPr>
          <w:rFonts w:ascii="宋体" w:hAnsi="宋体" w:eastAsia="宋体" w:cs="宋体"/>
          <w:spacing w:val="5"/>
          <w:sz w:val="21"/>
          <w:szCs w:val="21"/>
        </w:rPr>
        <w:t>式(5-8)</w:t>
      </w:r>
      <w:r>
        <w:rPr>
          <w:rFonts w:ascii="宋体" w:hAnsi="宋体" w:eastAsia="宋体" w:cs="宋体"/>
          <w:spacing w:val="12"/>
          <w:sz w:val="21"/>
          <w:szCs w:val="21"/>
        </w:rPr>
        <w:t xml:space="preserve"> </w:t>
      </w:r>
      <w:r>
        <w:rPr>
          <w:rFonts w:ascii="宋体" w:hAnsi="宋体" w:eastAsia="宋体" w:cs="宋体"/>
          <w:spacing w:val="5"/>
          <w:sz w:val="21"/>
          <w:szCs w:val="21"/>
        </w:rPr>
        <w:t>当四格表中一个格子的理论数≥1但&lt;5,总例数&gt;40时，则使用x²</w:t>
      </w:r>
      <w:r>
        <w:rPr>
          <w:rFonts w:ascii="宋体" w:hAnsi="宋体" w:eastAsia="宋体" w:cs="宋体"/>
          <w:spacing w:val="-38"/>
          <w:sz w:val="21"/>
          <w:szCs w:val="21"/>
        </w:rPr>
        <w:t xml:space="preserve"> </w:t>
      </w:r>
      <w:r>
        <w:rPr>
          <w:rFonts w:ascii="宋体" w:hAnsi="宋体" w:eastAsia="宋体" w:cs="宋体"/>
          <w:spacing w:val="5"/>
          <w:sz w:val="21"/>
          <w:szCs w:val="21"/>
        </w:rPr>
        <w:t>检验的连续性校</w:t>
      </w:r>
      <w:r>
        <w:rPr>
          <w:rFonts w:ascii="宋体" w:hAnsi="宋体" w:eastAsia="宋体" w:cs="宋体"/>
          <w:spacing w:val="4"/>
          <w:sz w:val="21"/>
          <w:szCs w:val="21"/>
        </w:rPr>
        <w:t>正公式：</w:t>
      </w:r>
    </w:p>
    <w:p w14:paraId="18777866">
      <w:pPr>
        <w:spacing w:before="248"/>
        <w:jc w:val="right"/>
        <w:rPr>
          <w:rFonts w:ascii="宋体" w:hAnsi="宋体" w:eastAsia="宋体" w:cs="宋体"/>
          <w:sz w:val="21"/>
          <w:szCs w:val="21"/>
        </w:rPr>
      </w:pPr>
      <w:r>
        <w:rPr>
          <w:rFonts w:ascii="宋体" w:hAnsi="宋体" w:eastAsia="宋体" w:cs="宋体"/>
          <w:position w:val="-19"/>
          <w:sz w:val="21"/>
          <w:szCs w:val="21"/>
        </w:rPr>
        <w:drawing>
          <wp:inline distT="0" distB="0" distL="0" distR="0">
            <wp:extent cx="1828800" cy="361950"/>
            <wp:effectExtent l="0" t="0" r="0" b="0"/>
            <wp:docPr id="258" name="IM 258"/>
            <wp:cNvGraphicFramePr/>
            <a:graphic xmlns:a="http://schemas.openxmlformats.org/drawingml/2006/main">
              <a:graphicData uri="http://schemas.openxmlformats.org/drawingml/2006/picture">
                <pic:pic xmlns:pic="http://schemas.openxmlformats.org/drawingml/2006/picture">
                  <pic:nvPicPr>
                    <pic:cNvPr id="258" name="IM 258"/>
                    <pic:cNvPicPr/>
                  </pic:nvPicPr>
                  <pic:blipFill>
                    <a:blip r:embed="rId506"/>
                    <a:stretch>
                      <a:fillRect/>
                    </a:stretch>
                  </pic:blipFill>
                  <pic:spPr>
                    <a:xfrm>
                      <a:off x="0" y="0"/>
                      <a:ext cx="1828824" cy="361968"/>
                    </a:xfrm>
                    <a:prstGeom prst="rect">
                      <a:avLst/>
                    </a:prstGeom>
                  </pic:spPr>
                </pic:pic>
              </a:graphicData>
            </a:graphic>
          </wp:inline>
        </w:drawing>
      </w:r>
      <w:r>
        <w:rPr>
          <w:rFonts w:ascii="宋体" w:hAnsi="宋体" w:eastAsia="宋体" w:cs="宋体"/>
          <w:sz w:val="21"/>
          <w:szCs w:val="21"/>
        </w:rPr>
        <w:t xml:space="preserve">                      </w:t>
      </w:r>
      <w:r>
        <w:rPr>
          <w:rFonts w:ascii="宋体" w:hAnsi="宋体" w:eastAsia="宋体" w:cs="宋体"/>
          <w:spacing w:val="5"/>
          <w:sz w:val="21"/>
          <w:szCs w:val="21"/>
        </w:rPr>
        <w:t>式(5-9)</w:t>
      </w:r>
    </w:p>
    <w:p w14:paraId="7755F26A">
      <w:pPr>
        <w:spacing w:line="336" w:lineRule="auto"/>
        <w:rPr>
          <w:rFonts w:ascii="Arial"/>
          <w:sz w:val="21"/>
        </w:rPr>
      </w:pPr>
      <w:r>
        <w:drawing>
          <wp:anchor distT="0" distB="0" distL="0" distR="0" simplePos="0" relativeHeight="251735040" behindDoc="0" locked="0" layoutInCell="1" allowOverlap="1">
            <wp:simplePos x="0" y="0"/>
            <wp:positionH relativeFrom="column">
              <wp:posOffset>2920365</wp:posOffset>
            </wp:positionH>
            <wp:positionV relativeFrom="paragraph">
              <wp:posOffset>163830</wp:posOffset>
            </wp:positionV>
            <wp:extent cx="1308735" cy="294005"/>
            <wp:effectExtent l="0" t="0" r="0" b="0"/>
            <wp:wrapNone/>
            <wp:docPr id="260" name="IM 260"/>
            <wp:cNvGraphicFramePr/>
            <a:graphic xmlns:a="http://schemas.openxmlformats.org/drawingml/2006/main">
              <a:graphicData uri="http://schemas.openxmlformats.org/drawingml/2006/picture">
                <pic:pic xmlns:pic="http://schemas.openxmlformats.org/drawingml/2006/picture">
                  <pic:nvPicPr>
                    <pic:cNvPr id="260" name="IM 260"/>
                    <pic:cNvPicPr/>
                  </pic:nvPicPr>
                  <pic:blipFill>
                    <a:blip r:embed="rId507"/>
                    <a:stretch>
                      <a:fillRect/>
                    </a:stretch>
                  </pic:blipFill>
                  <pic:spPr>
                    <a:xfrm>
                      <a:off x="0" y="0"/>
                      <a:ext cx="1308556" cy="294257"/>
                    </a:xfrm>
                    <a:prstGeom prst="rect">
                      <a:avLst/>
                    </a:prstGeom>
                  </pic:spPr>
                </pic:pic>
              </a:graphicData>
            </a:graphic>
          </wp:anchor>
        </w:drawing>
      </w:r>
    </w:p>
    <w:p w14:paraId="3DD04019">
      <w:pPr>
        <w:spacing w:before="69" w:line="219" w:lineRule="auto"/>
        <w:ind w:left="1149"/>
        <w:rPr>
          <w:rFonts w:ascii="宋体" w:hAnsi="宋体" w:eastAsia="宋体" w:cs="宋体"/>
          <w:sz w:val="21"/>
          <w:szCs w:val="21"/>
        </w:rPr>
      </w:pPr>
      <w:r>
        <w:rPr>
          <w:rFonts w:ascii="宋体" w:hAnsi="宋体" w:eastAsia="宋体" w:cs="宋体"/>
          <w:spacing w:val="2"/>
          <w:sz w:val="21"/>
          <w:szCs w:val="21"/>
        </w:rPr>
        <w:t>例5-4:病例组口服避孕药的暴露率为</w:t>
      </w:r>
    </w:p>
    <w:p w14:paraId="3F3ED0F4">
      <w:pPr>
        <w:spacing w:line="310" w:lineRule="auto"/>
        <w:rPr>
          <w:rFonts w:ascii="Arial"/>
          <w:sz w:val="21"/>
        </w:rPr>
      </w:pPr>
      <w:r>
        <w:drawing>
          <wp:anchor distT="0" distB="0" distL="0" distR="0" simplePos="0" relativeHeight="251734016" behindDoc="0" locked="0" layoutInCell="1" allowOverlap="1">
            <wp:simplePos x="0" y="0"/>
            <wp:positionH relativeFrom="column">
              <wp:posOffset>2901315</wp:posOffset>
            </wp:positionH>
            <wp:positionV relativeFrom="paragraph">
              <wp:posOffset>154305</wp:posOffset>
            </wp:positionV>
            <wp:extent cx="1339850" cy="311150"/>
            <wp:effectExtent l="0" t="0" r="0" b="0"/>
            <wp:wrapNone/>
            <wp:docPr id="262" name="IM 262"/>
            <wp:cNvGraphicFramePr/>
            <a:graphic xmlns:a="http://schemas.openxmlformats.org/drawingml/2006/main">
              <a:graphicData uri="http://schemas.openxmlformats.org/drawingml/2006/picture">
                <pic:pic xmlns:pic="http://schemas.openxmlformats.org/drawingml/2006/picture">
                  <pic:nvPicPr>
                    <pic:cNvPr id="262" name="IM 262"/>
                    <pic:cNvPicPr/>
                  </pic:nvPicPr>
                  <pic:blipFill>
                    <a:blip r:embed="rId508"/>
                    <a:stretch>
                      <a:fillRect/>
                    </a:stretch>
                  </pic:blipFill>
                  <pic:spPr>
                    <a:xfrm>
                      <a:off x="0" y="0"/>
                      <a:ext cx="1339843" cy="311235"/>
                    </a:xfrm>
                    <a:prstGeom prst="rect">
                      <a:avLst/>
                    </a:prstGeom>
                  </pic:spPr>
                </pic:pic>
              </a:graphicData>
            </a:graphic>
          </wp:anchor>
        </w:drawing>
      </w:r>
    </w:p>
    <w:p w14:paraId="5620EA93">
      <w:pPr>
        <w:spacing w:before="69" w:line="219" w:lineRule="auto"/>
        <w:ind w:left="1839"/>
        <w:rPr>
          <w:rFonts w:ascii="宋体" w:hAnsi="宋体" w:eastAsia="宋体" w:cs="宋体"/>
          <w:sz w:val="21"/>
          <w:szCs w:val="21"/>
        </w:rPr>
      </w:pPr>
      <w:r>
        <w:rPr>
          <w:rFonts w:ascii="宋体" w:hAnsi="宋体" w:eastAsia="宋体" w:cs="宋体"/>
          <w:spacing w:val="-1"/>
          <w:sz w:val="21"/>
          <w:szCs w:val="21"/>
        </w:rPr>
        <w:t>对照组口服避孕药的暴露率为</w:t>
      </w:r>
    </w:p>
    <w:p w14:paraId="19DE5B67">
      <w:pPr>
        <w:spacing w:line="321" w:lineRule="auto"/>
        <w:rPr>
          <w:rFonts w:ascii="Arial"/>
          <w:sz w:val="21"/>
        </w:rPr>
      </w:pPr>
    </w:p>
    <w:p w14:paraId="3C70E992">
      <w:pPr>
        <w:spacing w:before="1" w:line="520" w:lineRule="exact"/>
        <w:ind w:firstLine="3609"/>
      </w:pPr>
      <w:r>
        <w:rPr>
          <w:position w:val="-10"/>
        </w:rPr>
        <w:drawing>
          <wp:inline distT="0" distB="0" distL="0" distR="0">
            <wp:extent cx="2031365" cy="330200"/>
            <wp:effectExtent l="0" t="0" r="0" b="0"/>
            <wp:docPr id="264" name="IM 264"/>
            <wp:cNvGraphicFramePr/>
            <a:graphic xmlns:a="http://schemas.openxmlformats.org/drawingml/2006/main">
              <a:graphicData uri="http://schemas.openxmlformats.org/drawingml/2006/picture">
                <pic:pic xmlns:pic="http://schemas.openxmlformats.org/drawingml/2006/picture">
                  <pic:nvPicPr>
                    <pic:cNvPr id="264" name="IM 264"/>
                    <pic:cNvPicPr/>
                  </pic:nvPicPr>
                  <pic:blipFill>
                    <a:blip r:embed="rId509"/>
                    <a:stretch>
                      <a:fillRect/>
                    </a:stretch>
                  </pic:blipFill>
                  <pic:spPr>
                    <a:xfrm>
                      <a:off x="0" y="0"/>
                      <a:ext cx="2031943" cy="330247"/>
                    </a:xfrm>
                    <a:prstGeom prst="rect">
                      <a:avLst/>
                    </a:prstGeom>
                  </pic:spPr>
                </pic:pic>
              </a:graphicData>
            </a:graphic>
          </wp:inline>
        </w:drawing>
      </w:r>
    </w:p>
    <w:p w14:paraId="64A834D7">
      <w:pPr>
        <w:spacing w:before="276" w:line="322" w:lineRule="auto"/>
        <w:ind w:left="719" w:right="25" w:firstLine="429"/>
        <w:jc w:val="both"/>
        <w:rPr>
          <w:rFonts w:ascii="宋体" w:hAnsi="宋体" w:eastAsia="宋体" w:cs="宋体"/>
          <w:sz w:val="21"/>
          <w:szCs w:val="21"/>
        </w:rPr>
      </w:pPr>
      <w:r>
        <w:rPr>
          <w:rFonts w:ascii="宋体" w:hAnsi="宋体" w:eastAsia="宋体" w:cs="宋体"/>
          <w:spacing w:val="-5"/>
          <w:sz w:val="21"/>
          <w:szCs w:val="21"/>
        </w:rPr>
        <w:t>根据计算出的</w:t>
      </w:r>
      <w:r>
        <w:rPr>
          <w:rFonts w:ascii="Times New Roman" w:hAnsi="Times New Roman" w:eastAsia="Times New Roman" w:cs="Times New Roman"/>
          <w:spacing w:val="-5"/>
          <w:sz w:val="21"/>
          <w:szCs w:val="21"/>
        </w:rPr>
        <w:t xml:space="preserve">x²  </w:t>
      </w:r>
      <w:r>
        <w:rPr>
          <w:rFonts w:ascii="宋体" w:hAnsi="宋体" w:eastAsia="宋体" w:cs="宋体"/>
          <w:spacing w:val="-5"/>
          <w:sz w:val="21"/>
          <w:szCs w:val="21"/>
        </w:rPr>
        <w:t>值，查</w:t>
      </w:r>
      <w:r>
        <w:rPr>
          <w:rFonts w:ascii="Times New Roman" w:hAnsi="Times New Roman" w:eastAsia="Times New Roman" w:cs="Times New Roman"/>
          <w:spacing w:val="-5"/>
          <w:sz w:val="21"/>
          <w:szCs w:val="21"/>
        </w:rPr>
        <w:t xml:space="preserve">x²  </w:t>
      </w:r>
      <w:r>
        <w:rPr>
          <w:rFonts w:ascii="宋体" w:hAnsi="宋体" w:eastAsia="宋体" w:cs="宋体"/>
          <w:spacing w:val="-5"/>
          <w:sz w:val="21"/>
          <w:szCs w:val="21"/>
        </w:rPr>
        <w:t>界值表，可获知</w:t>
      </w:r>
      <w:r>
        <w:rPr>
          <w:rFonts w:ascii="Times New Roman" w:hAnsi="Times New Roman" w:eastAsia="Times New Roman" w:cs="Times New Roman"/>
          <w:spacing w:val="-6"/>
          <w:sz w:val="21"/>
          <w:szCs w:val="21"/>
        </w:rPr>
        <w:t>P</w:t>
      </w:r>
      <w:r>
        <w:rPr>
          <w:rFonts w:ascii="Times New Roman" w:hAnsi="Times New Roman" w:eastAsia="Times New Roman" w:cs="Times New Roman"/>
          <w:spacing w:val="24"/>
          <w:sz w:val="21"/>
          <w:szCs w:val="21"/>
        </w:rPr>
        <w:t xml:space="preserve"> </w:t>
      </w:r>
      <w:r>
        <w:rPr>
          <w:rFonts w:ascii="宋体" w:hAnsi="宋体" w:eastAsia="宋体" w:cs="宋体"/>
          <w:spacing w:val="-6"/>
          <w:sz w:val="21"/>
          <w:szCs w:val="21"/>
        </w:rPr>
        <w:t>值</w:t>
      </w:r>
      <w:r>
        <w:rPr>
          <w:rFonts w:ascii="宋体" w:hAnsi="宋体" w:eastAsia="宋体" w:cs="宋体"/>
          <w:spacing w:val="-25"/>
          <w:sz w:val="21"/>
          <w:szCs w:val="21"/>
        </w:rPr>
        <w:t xml:space="preserve"> </w:t>
      </w:r>
      <w:r>
        <w:rPr>
          <w:rFonts w:ascii="宋体" w:hAnsi="宋体" w:eastAsia="宋体" w:cs="宋体"/>
          <w:spacing w:val="-6"/>
          <w:sz w:val="21"/>
          <w:szCs w:val="21"/>
        </w:rPr>
        <w:t>，</w:t>
      </w:r>
      <w:r>
        <w:rPr>
          <w:rFonts w:ascii="Times New Roman" w:hAnsi="Times New Roman" w:eastAsia="Times New Roman" w:cs="Times New Roman"/>
          <w:spacing w:val="-6"/>
          <w:sz w:val="21"/>
          <w:szCs w:val="21"/>
        </w:rPr>
        <w:t>v=(2-1)(2-1)=1</w:t>
      </w:r>
      <w:r>
        <w:rPr>
          <w:rFonts w:ascii="Times New Roman" w:hAnsi="Times New Roman" w:eastAsia="Times New Roman" w:cs="Times New Roman"/>
          <w:spacing w:val="-24"/>
          <w:sz w:val="21"/>
          <w:szCs w:val="21"/>
        </w:rPr>
        <w:t xml:space="preserve"> </w:t>
      </w:r>
      <w:r>
        <w:rPr>
          <w:rFonts w:ascii="宋体" w:hAnsi="宋体" w:eastAsia="宋体" w:cs="宋体"/>
          <w:spacing w:val="-6"/>
          <w:sz w:val="21"/>
          <w:szCs w:val="21"/>
        </w:rPr>
        <w:t>。    因为</w:t>
      </w:r>
      <w:r>
        <w:rPr>
          <w:rFonts w:ascii="Times New Roman" w:hAnsi="Times New Roman" w:eastAsia="Times New Roman" w:cs="Times New Roman"/>
          <w:spacing w:val="-6"/>
          <w:sz w:val="21"/>
          <w:szCs w:val="21"/>
        </w:rPr>
        <w:t xml:space="preserve">v=1 </w:t>
      </w:r>
      <w:r>
        <w:rPr>
          <w:rFonts w:ascii="宋体" w:hAnsi="宋体" w:eastAsia="宋体" w:cs="宋体"/>
          <w:spacing w:val="-6"/>
          <w:sz w:val="21"/>
          <w:szCs w:val="21"/>
        </w:rPr>
        <w:t>时</w:t>
      </w:r>
      <w:r>
        <w:rPr>
          <w:rFonts w:ascii="宋体" w:hAnsi="宋体" w:eastAsia="宋体" w:cs="宋体"/>
          <w:spacing w:val="-45"/>
          <w:sz w:val="21"/>
          <w:szCs w:val="21"/>
        </w:rPr>
        <w:t xml:space="preserve"> </w:t>
      </w:r>
      <w:r>
        <w:rPr>
          <w:rFonts w:ascii="宋体" w:hAnsi="宋体" w:eastAsia="宋体" w:cs="宋体"/>
          <w:spacing w:val="-6"/>
          <w:sz w:val="21"/>
          <w:szCs w:val="21"/>
        </w:rPr>
        <w:t>，</w:t>
      </w:r>
      <w:r>
        <w:rPr>
          <w:rFonts w:ascii="Times New Roman" w:hAnsi="Times New Roman" w:eastAsia="Times New Roman" w:cs="Times New Roman"/>
          <w:spacing w:val="-6"/>
          <w:sz w:val="21"/>
          <w:szCs w:val="21"/>
        </w:rPr>
        <w:t>x3.o=6.63</w:t>
      </w:r>
      <w:r>
        <w:rPr>
          <w:rFonts w:ascii="宋体" w:hAnsi="宋体" w:eastAsia="宋体" w:cs="宋体"/>
          <w:spacing w:val="-6"/>
          <w:sz w:val="21"/>
          <w:szCs w:val="21"/>
        </w:rPr>
        <w:t>。</w:t>
      </w:r>
      <w:r>
        <w:rPr>
          <w:rFonts w:ascii="宋体" w:hAnsi="宋体" w:eastAsia="宋体" w:cs="宋体"/>
          <w:sz w:val="21"/>
          <w:szCs w:val="21"/>
        </w:rPr>
        <w:t xml:space="preserve"> </w:t>
      </w:r>
      <w:r>
        <w:rPr>
          <w:rFonts w:ascii="宋体" w:hAnsi="宋体" w:eastAsia="宋体" w:cs="宋体"/>
          <w:spacing w:val="3"/>
          <w:sz w:val="21"/>
          <w:szCs w:val="21"/>
        </w:rPr>
        <w:t>本</w:t>
      </w:r>
      <w:r>
        <w:rPr>
          <w:rFonts w:ascii="宋体" w:hAnsi="宋体" w:eastAsia="宋体" w:cs="宋体"/>
          <w:spacing w:val="-42"/>
          <w:sz w:val="21"/>
          <w:szCs w:val="21"/>
        </w:rPr>
        <w:t xml:space="preserve"> </w:t>
      </w:r>
      <w:r>
        <w:rPr>
          <w:rFonts w:ascii="宋体" w:hAnsi="宋体" w:eastAsia="宋体" w:cs="宋体"/>
          <w:spacing w:val="3"/>
          <w:sz w:val="21"/>
          <w:szCs w:val="21"/>
        </w:rPr>
        <w:t>例</w:t>
      </w:r>
      <w:r>
        <w:rPr>
          <w:rFonts w:ascii="宋体" w:hAnsi="宋体" w:eastAsia="宋体" w:cs="宋体"/>
          <w:spacing w:val="-49"/>
          <w:sz w:val="21"/>
          <w:szCs w:val="21"/>
        </w:rPr>
        <w:t xml:space="preserve"> </w:t>
      </w:r>
      <w:r>
        <w:rPr>
          <w:rFonts w:ascii="宋体" w:hAnsi="宋体" w:eastAsia="宋体" w:cs="宋体"/>
          <w:spacing w:val="3"/>
          <w:sz w:val="21"/>
          <w:szCs w:val="21"/>
        </w:rPr>
        <w:t>，</w:t>
      </w:r>
      <w:r>
        <w:rPr>
          <w:rFonts w:ascii="Times New Roman" w:hAnsi="Times New Roman" w:eastAsia="Times New Roman" w:cs="Times New Roman"/>
          <w:spacing w:val="3"/>
          <w:sz w:val="21"/>
          <w:szCs w:val="21"/>
        </w:rPr>
        <w:t>x²</w:t>
      </w:r>
      <w:r>
        <w:rPr>
          <w:rFonts w:ascii="Times New Roman" w:hAnsi="Times New Roman" w:eastAsia="Times New Roman" w:cs="Times New Roman"/>
          <w:spacing w:val="42"/>
          <w:w w:val="101"/>
          <w:sz w:val="21"/>
          <w:szCs w:val="21"/>
        </w:rPr>
        <w:t xml:space="preserve"> </w:t>
      </w:r>
      <w:r>
        <w:rPr>
          <w:rFonts w:ascii="宋体" w:hAnsi="宋体" w:eastAsia="宋体" w:cs="宋体"/>
          <w:spacing w:val="3"/>
          <w:sz w:val="21"/>
          <w:szCs w:val="21"/>
        </w:rPr>
        <w:t>值为7.70&gt;6.63,则</w:t>
      </w:r>
      <w:r>
        <w:rPr>
          <w:rFonts w:ascii="Times New Roman" w:hAnsi="Times New Roman" w:eastAsia="Times New Roman" w:cs="Times New Roman"/>
          <w:spacing w:val="3"/>
          <w:sz w:val="21"/>
          <w:szCs w:val="21"/>
        </w:rPr>
        <w:t xml:space="preserve">P&lt;0.01,   </w:t>
      </w:r>
      <w:r>
        <w:rPr>
          <w:rFonts w:ascii="宋体" w:hAnsi="宋体" w:eastAsia="宋体" w:cs="宋体"/>
          <w:spacing w:val="3"/>
          <w:sz w:val="21"/>
          <w:szCs w:val="21"/>
        </w:rPr>
        <w:t>说明病例</w:t>
      </w:r>
      <w:r>
        <w:rPr>
          <w:rFonts w:ascii="宋体" w:hAnsi="宋体" w:eastAsia="宋体" w:cs="宋体"/>
          <w:spacing w:val="2"/>
          <w:sz w:val="21"/>
          <w:szCs w:val="21"/>
        </w:rPr>
        <w:t>组与对照组口服避孕药暴露率的差异有统计学意</w:t>
      </w:r>
      <w:r>
        <w:rPr>
          <w:rFonts w:ascii="宋体" w:hAnsi="宋体" w:eastAsia="宋体" w:cs="宋体"/>
          <w:sz w:val="21"/>
          <w:szCs w:val="21"/>
        </w:rPr>
        <w:t xml:space="preserve"> </w:t>
      </w:r>
      <w:r>
        <w:rPr>
          <w:rFonts w:ascii="宋体" w:hAnsi="宋体" w:eastAsia="宋体" w:cs="宋体"/>
          <w:spacing w:val="-3"/>
          <w:sz w:val="21"/>
          <w:szCs w:val="21"/>
        </w:rPr>
        <w:t>义，提示口服避孕药与心肌梗死有关联。</w:t>
      </w:r>
    </w:p>
    <w:p w14:paraId="26F4F769">
      <w:pPr>
        <w:spacing w:line="212" w:lineRule="auto"/>
        <w:ind w:left="1139"/>
        <w:rPr>
          <w:rFonts w:ascii="宋体" w:hAnsi="宋体" w:eastAsia="宋体" w:cs="宋体"/>
          <w:sz w:val="21"/>
          <w:szCs w:val="21"/>
        </w:rPr>
      </w:pPr>
      <w:r>
        <w:rPr>
          <w:rFonts w:ascii="宋体" w:hAnsi="宋体" w:eastAsia="宋体" w:cs="宋体"/>
          <w:spacing w:val="4"/>
          <w:sz w:val="21"/>
          <w:szCs w:val="21"/>
        </w:rPr>
        <w:t>(2)关联强度分析：描述暴露与疾病联系强度的指标是相对危险度</w:t>
      </w:r>
      <w:r>
        <w:rPr>
          <w:rFonts w:ascii="Times New Roman" w:hAnsi="Times New Roman" w:eastAsia="Times New Roman" w:cs="Times New Roman"/>
          <w:spacing w:val="4"/>
          <w:sz w:val="21"/>
          <w:szCs w:val="21"/>
        </w:rPr>
        <w:t>(</w:t>
      </w:r>
      <w:r>
        <w:rPr>
          <w:rFonts w:ascii="Times New Roman" w:hAnsi="Times New Roman" w:eastAsia="Times New Roman" w:cs="Times New Roman"/>
          <w:sz w:val="21"/>
          <w:szCs w:val="21"/>
        </w:rPr>
        <w:t>RR</w:t>
      </w:r>
      <w:r>
        <w:rPr>
          <w:rFonts w:ascii="Times New Roman" w:hAnsi="Times New Roman" w:eastAsia="Times New Roman" w:cs="Times New Roman"/>
          <w:spacing w:val="4"/>
          <w:sz w:val="21"/>
          <w:szCs w:val="21"/>
        </w:rPr>
        <w:t>),</w:t>
      </w:r>
      <w:r>
        <w:rPr>
          <w:rFonts w:ascii="Times New Roman" w:hAnsi="Times New Roman" w:eastAsia="Times New Roman" w:cs="Times New Roman"/>
          <w:spacing w:val="26"/>
          <w:sz w:val="21"/>
          <w:szCs w:val="21"/>
        </w:rPr>
        <w:t xml:space="preserve">  </w:t>
      </w:r>
      <w:r>
        <w:rPr>
          <w:rFonts w:ascii="宋体" w:hAnsi="宋体" w:eastAsia="宋体" w:cs="宋体"/>
          <w:spacing w:val="4"/>
          <w:sz w:val="21"/>
          <w:szCs w:val="21"/>
        </w:rPr>
        <w:t>在队</w:t>
      </w:r>
      <w:r>
        <w:rPr>
          <w:rFonts w:ascii="宋体" w:hAnsi="宋体" w:eastAsia="宋体" w:cs="宋体"/>
          <w:spacing w:val="3"/>
          <w:sz w:val="21"/>
          <w:szCs w:val="21"/>
        </w:rPr>
        <w:t>列研究中可求</w:t>
      </w:r>
    </w:p>
    <w:p w14:paraId="478BBAB9">
      <w:pPr>
        <w:spacing w:line="212" w:lineRule="auto"/>
        <w:rPr>
          <w:rFonts w:ascii="宋体" w:hAnsi="宋体" w:eastAsia="宋体" w:cs="宋体"/>
          <w:sz w:val="21"/>
          <w:szCs w:val="21"/>
        </w:rPr>
        <w:sectPr>
          <w:footerReference r:id="rId102" w:type="default"/>
          <w:pgSz w:w="11900" w:h="16820"/>
          <w:pgMar w:top="400" w:right="1444" w:bottom="860" w:left="750" w:header="0" w:footer="587" w:gutter="0"/>
          <w:cols w:space="720" w:num="1"/>
        </w:sectPr>
      </w:pPr>
    </w:p>
    <w:p w14:paraId="05F2F1E4">
      <w:pPr>
        <w:pStyle w:val="2"/>
        <w:spacing w:before="217" w:line="222" w:lineRule="auto"/>
        <w:ind w:left="7489"/>
        <w:rPr>
          <w:sz w:val="21"/>
          <w:szCs w:val="21"/>
        </w:rPr>
      </w:pPr>
      <w:bookmarkStart w:id="144" w:name="bookmark447"/>
      <w:bookmarkEnd w:id="144"/>
      <w:r>
        <w:rPr>
          <w:spacing w:val="-14"/>
          <w:sz w:val="21"/>
          <w:szCs w:val="21"/>
        </w:rPr>
        <w:t>第五章病例对照研究</w:t>
      </w:r>
    </w:p>
    <w:p w14:paraId="73CCEB77">
      <w:pPr>
        <w:spacing w:line="273" w:lineRule="auto"/>
        <w:rPr>
          <w:rFonts w:ascii="Arial"/>
          <w:sz w:val="21"/>
        </w:rPr>
      </w:pPr>
    </w:p>
    <w:p w14:paraId="0D71018A">
      <w:pPr>
        <w:spacing w:line="274" w:lineRule="auto"/>
        <w:rPr>
          <w:rFonts w:ascii="Arial"/>
          <w:sz w:val="21"/>
        </w:rPr>
      </w:pPr>
    </w:p>
    <w:p w14:paraId="6DE6894C">
      <w:pPr>
        <w:spacing w:before="68" w:line="321" w:lineRule="auto"/>
        <w:ind w:left="19" w:right="591" w:firstLine="9"/>
        <w:jc w:val="both"/>
        <w:rPr>
          <w:rFonts w:ascii="宋体" w:hAnsi="宋体" w:eastAsia="宋体" w:cs="宋体"/>
          <w:sz w:val="21"/>
          <w:szCs w:val="21"/>
        </w:rPr>
      </w:pPr>
      <w:r>
        <w:rPr>
          <w:rFonts w:ascii="宋体" w:hAnsi="宋体" w:eastAsia="宋体" w:cs="宋体"/>
          <w:sz w:val="21"/>
          <w:szCs w:val="21"/>
        </w:rPr>
        <w:t>得。但是，一般情况下，病例对照研究中没有暴露组和非暴露组的观察人数</w:t>
      </w:r>
      <w:r>
        <w:rPr>
          <w:rFonts w:ascii="宋体" w:hAnsi="宋体" w:eastAsia="宋体" w:cs="宋体"/>
          <w:spacing w:val="-1"/>
          <w:sz w:val="21"/>
          <w:szCs w:val="21"/>
        </w:rPr>
        <w:t>，不能计算发病率，因此</w:t>
      </w:r>
      <w:r>
        <w:rPr>
          <w:rFonts w:ascii="宋体" w:hAnsi="宋体" w:eastAsia="宋体" w:cs="宋体"/>
          <w:sz w:val="21"/>
          <w:szCs w:val="21"/>
        </w:rPr>
        <w:t xml:space="preserve">  </w:t>
      </w:r>
      <w:r>
        <w:rPr>
          <w:rFonts w:ascii="宋体" w:hAnsi="宋体" w:eastAsia="宋体" w:cs="宋体"/>
          <w:spacing w:val="6"/>
          <w:sz w:val="21"/>
          <w:szCs w:val="21"/>
        </w:rPr>
        <w:t>不能直接计算</w:t>
      </w:r>
      <w:r>
        <w:rPr>
          <w:rFonts w:ascii="宋体" w:hAnsi="宋体" w:eastAsia="宋体" w:cs="宋体"/>
          <w:sz w:val="21"/>
          <w:szCs w:val="21"/>
        </w:rPr>
        <w:t>RR</w:t>
      </w:r>
      <w:r>
        <w:rPr>
          <w:rFonts w:ascii="宋体" w:hAnsi="宋体" w:eastAsia="宋体" w:cs="宋体"/>
          <w:spacing w:val="64"/>
          <w:sz w:val="21"/>
          <w:szCs w:val="21"/>
        </w:rPr>
        <w:t xml:space="preserve"> </w:t>
      </w:r>
      <w:r>
        <w:rPr>
          <w:rFonts w:ascii="宋体" w:hAnsi="宋体" w:eastAsia="宋体" w:cs="宋体"/>
          <w:spacing w:val="6"/>
          <w:sz w:val="21"/>
          <w:szCs w:val="21"/>
        </w:rPr>
        <w:t>值，但可用</w:t>
      </w:r>
      <w:r>
        <w:rPr>
          <w:rFonts w:ascii="宋体" w:hAnsi="宋体" w:eastAsia="宋体" w:cs="宋体"/>
          <w:sz w:val="21"/>
          <w:szCs w:val="21"/>
        </w:rPr>
        <w:t>OR</w:t>
      </w:r>
      <w:r>
        <w:rPr>
          <w:rFonts w:ascii="宋体" w:hAnsi="宋体" w:eastAsia="宋体" w:cs="宋体"/>
          <w:spacing w:val="33"/>
          <w:sz w:val="21"/>
          <w:szCs w:val="21"/>
        </w:rPr>
        <w:t xml:space="preserve"> </w:t>
      </w:r>
      <w:r>
        <w:rPr>
          <w:rFonts w:ascii="宋体" w:hAnsi="宋体" w:eastAsia="宋体" w:cs="宋体"/>
          <w:spacing w:val="6"/>
          <w:sz w:val="21"/>
          <w:szCs w:val="21"/>
        </w:rPr>
        <w:t>来近似估计</w:t>
      </w:r>
      <w:r>
        <w:rPr>
          <w:rFonts w:ascii="宋体" w:hAnsi="宋体" w:eastAsia="宋体" w:cs="宋体"/>
          <w:sz w:val="21"/>
          <w:szCs w:val="21"/>
        </w:rPr>
        <w:t>RR</w:t>
      </w:r>
      <w:r>
        <w:rPr>
          <w:rFonts w:ascii="宋体" w:hAnsi="宋体" w:eastAsia="宋体" w:cs="宋体"/>
          <w:spacing w:val="6"/>
          <w:sz w:val="21"/>
          <w:szCs w:val="21"/>
        </w:rPr>
        <w:t xml:space="preserve"> 值。比值比又称比数比、优势比，为病例组与对照</w:t>
      </w:r>
      <w:r>
        <w:rPr>
          <w:rFonts w:ascii="宋体" w:hAnsi="宋体" w:eastAsia="宋体" w:cs="宋体"/>
          <w:sz w:val="21"/>
          <w:szCs w:val="21"/>
        </w:rPr>
        <w:t xml:space="preserve"> </w:t>
      </w:r>
      <w:r>
        <w:rPr>
          <w:rFonts w:ascii="宋体" w:hAnsi="宋体" w:eastAsia="宋体" w:cs="宋体"/>
          <w:spacing w:val="12"/>
          <w:sz w:val="21"/>
          <w:szCs w:val="21"/>
        </w:rPr>
        <w:t>组两组暴露比值之比。所谓比值或比数</w:t>
      </w:r>
      <w:r>
        <w:rPr>
          <w:rFonts w:ascii="Times New Roman" w:hAnsi="Times New Roman" w:eastAsia="Times New Roman" w:cs="Times New Roman"/>
          <w:spacing w:val="12"/>
          <w:sz w:val="21"/>
          <w:szCs w:val="21"/>
        </w:rPr>
        <w:t>(</w:t>
      </w:r>
      <w:r>
        <w:rPr>
          <w:rFonts w:ascii="Times New Roman" w:hAnsi="Times New Roman" w:eastAsia="Times New Roman" w:cs="Times New Roman"/>
          <w:sz w:val="21"/>
          <w:szCs w:val="21"/>
        </w:rPr>
        <w:t>odds</w:t>
      </w:r>
      <w:r>
        <w:rPr>
          <w:rFonts w:ascii="Times New Roman" w:hAnsi="Times New Roman" w:eastAsia="Times New Roman" w:cs="Times New Roman"/>
          <w:spacing w:val="12"/>
          <w:sz w:val="21"/>
          <w:szCs w:val="21"/>
        </w:rPr>
        <w:t xml:space="preserve">)  </w:t>
      </w:r>
      <w:r>
        <w:rPr>
          <w:rFonts w:ascii="宋体" w:hAnsi="宋体" w:eastAsia="宋体" w:cs="宋体"/>
          <w:spacing w:val="12"/>
          <w:sz w:val="21"/>
          <w:szCs w:val="21"/>
        </w:rPr>
        <w:t>是指某事物发生的</w:t>
      </w:r>
      <w:r>
        <w:rPr>
          <w:rFonts w:ascii="宋体" w:hAnsi="宋体" w:eastAsia="宋体" w:cs="宋体"/>
          <w:spacing w:val="11"/>
          <w:sz w:val="21"/>
          <w:szCs w:val="21"/>
        </w:rPr>
        <w:t>可能性与不发生的可能性之比。</w:t>
      </w:r>
      <w:r>
        <w:rPr>
          <w:rFonts w:ascii="宋体" w:hAnsi="宋体" w:eastAsia="宋体" w:cs="宋体"/>
          <w:sz w:val="21"/>
          <w:szCs w:val="21"/>
        </w:rPr>
        <w:t xml:space="preserve"> </w:t>
      </w:r>
      <w:r>
        <w:rPr>
          <w:rFonts w:ascii="宋体" w:hAnsi="宋体" w:eastAsia="宋体" w:cs="宋体"/>
          <w:spacing w:val="8"/>
          <w:sz w:val="21"/>
          <w:szCs w:val="21"/>
        </w:rPr>
        <w:t>病例组和对照组的暴露比值分别为：</w:t>
      </w:r>
    </w:p>
    <w:p w14:paraId="5833A036">
      <w:pPr>
        <w:spacing w:line="108" w:lineRule="exact"/>
      </w:pPr>
    </w:p>
    <w:p w14:paraId="032C75F0">
      <w:pPr>
        <w:spacing w:line="108" w:lineRule="exact"/>
        <w:sectPr>
          <w:footerReference r:id="rId103" w:type="default"/>
          <w:pgSz w:w="11900" w:h="16820"/>
          <w:pgMar w:top="400" w:right="673" w:bottom="910" w:left="1279" w:header="0" w:footer="637" w:gutter="0"/>
          <w:cols w:equalWidth="0" w:num="1">
            <w:col w:w="9947"/>
          </w:cols>
        </w:sectPr>
      </w:pPr>
    </w:p>
    <w:p w14:paraId="68176C27">
      <w:pPr>
        <w:spacing w:line="315" w:lineRule="auto"/>
        <w:rPr>
          <w:rFonts w:ascii="Arial"/>
          <w:sz w:val="21"/>
        </w:rPr>
      </w:pPr>
    </w:p>
    <w:p w14:paraId="00D61728">
      <w:pPr>
        <w:spacing w:line="315" w:lineRule="auto"/>
        <w:rPr>
          <w:rFonts w:ascii="Arial"/>
          <w:sz w:val="21"/>
        </w:rPr>
      </w:pPr>
    </w:p>
    <w:p w14:paraId="70926107">
      <w:pPr>
        <w:spacing w:line="316" w:lineRule="auto"/>
        <w:rPr>
          <w:rFonts w:ascii="Arial"/>
          <w:sz w:val="21"/>
        </w:rPr>
      </w:pPr>
    </w:p>
    <w:p w14:paraId="4FFC09B7">
      <w:pPr>
        <w:spacing w:before="68" w:line="219" w:lineRule="auto"/>
        <w:ind w:left="460"/>
        <w:rPr>
          <w:rFonts w:ascii="宋体" w:hAnsi="宋体" w:eastAsia="宋体" w:cs="宋体"/>
          <w:sz w:val="21"/>
          <w:szCs w:val="21"/>
        </w:rPr>
      </w:pPr>
      <w:r>
        <w:rPr>
          <w:rFonts w:ascii="宋体" w:hAnsi="宋体" w:eastAsia="宋体" w:cs="宋体"/>
          <w:spacing w:val="-4"/>
          <w:sz w:val="21"/>
          <w:szCs w:val="21"/>
        </w:rPr>
        <w:t>因此，比值比</w:t>
      </w:r>
    </w:p>
    <w:p w14:paraId="72922F90">
      <w:pPr>
        <w:spacing w:line="460" w:lineRule="auto"/>
        <w:rPr>
          <w:rFonts w:ascii="Arial"/>
          <w:sz w:val="21"/>
        </w:rPr>
      </w:pPr>
    </w:p>
    <w:p w14:paraId="175FA694">
      <w:pPr>
        <w:pStyle w:val="2"/>
        <w:spacing w:before="68" w:line="223" w:lineRule="auto"/>
        <w:ind w:left="460"/>
        <w:rPr>
          <w:sz w:val="21"/>
          <w:szCs w:val="21"/>
        </w:rPr>
      </w:pPr>
      <w:r>
        <w:rPr>
          <w:sz w:val="21"/>
          <w:szCs w:val="21"/>
        </w:rPr>
        <w:t>即</w:t>
      </w:r>
    </w:p>
    <w:p w14:paraId="25D0B17E">
      <w:pPr>
        <w:spacing w:line="150" w:lineRule="exact"/>
      </w:pPr>
    </w:p>
    <w:p w14:paraId="125B4EBB">
      <w:pPr>
        <w:spacing w:line="14" w:lineRule="auto"/>
        <w:rPr>
          <w:rFonts w:ascii="Arial"/>
          <w:sz w:val="2"/>
        </w:rPr>
      </w:pPr>
      <w:r>
        <w:rPr>
          <w:rFonts w:ascii="Arial" w:hAnsi="Arial" w:eastAsia="Arial" w:cs="Arial"/>
          <w:sz w:val="2"/>
          <w:szCs w:val="2"/>
        </w:rPr>
        <w:br w:type="column"/>
      </w:r>
    </w:p>
    <w:p w14:paraId="36F57D38">
      <w:pPr>
        <w:spacing w:before="40" w:line="590" w:lineRule="exact"/>
        <w:ind w:firstLine="649"/>
      </w:pPr>
      <w:r>
        <w:rPr>
          <w:position w:val="-11"/>
        </w:rPr>
        <w:drawing>
          <wp:inline distT="0" distB="0" distL="0" distR="0">
            <wp:extent cx="1167765" cy="374650"/>
            <wp:effectExtent l="0" t="0" r="0" b="0"/>
            <wp:docPr id="266" name="IM 266"/>
            <wp:cNvGraphicFramePr/>
            <a:graphic xmlns:a="http://schemas.openxmlformats.org/drawingml/2006/main">
              <a:graphicData uri="http://schemas.openxmlformats.org/drawingml/2006/picture">
                <pic:pic xmlns:pic="http://schemas.openxmlformats.org/drawingml/2006/picture">
                  <pic:nvPicPr>
                    <pic:cNvPr id="266" name="IM 266"/>
                    <pic:cNvPicPr/>
                  </pic:nvPicPr>
                  <pic:blipFill>
                    <a:blip r:embed="rId510"/>
                    <a:stretch>
                      <a:fillRect/>
                    </a:stretch>
                  </pic:blipFill>
                  <pic:spPr>
                    <a:xfrm>
                      <a:off x="0" y="0"/>
                      <a:ext cx="1168386" cy="374679"/>
                    </a:xfrm>
                    <a:prstGeom prst="rect">
                      <a:avLst/>
                    </a:prstGeom>
                  </pic:spPr>
                </pic:pic>
              </a:graphicData>
            </a:graphic>
          </wp:inline>
        </w:drawing>
      </w:r>
    </w:p>
    <w:p w14:paraId="147A0029">
      <w:pPr>
        <w:spacing w:before="220" w:line="570" w:lineRule="exact"/>
      </w:pPr>
      <w:r>
        <w:rPr>
          <w:position w:val="-11"/>
        </w:rPr>
        <w:drawing>
          <wp:inline distT="0" distB="0" distL="0" distR="0">
            <wp:extent cx="1974215" cy="361950"/>
            <wp:effectExtent l="0" t="0" r="0" b="0"/>
            <wp:docPr id="268" name="IM 268"/>
            <wp:cNvGraphicFramePr/>
            <a:graphic xmlns:a="http://schemas.openxmlformats.org/drawingml/2006/main">
              <a:graphicData uri="http://schemas.openxmlformats.org/drawingml/2006/picture">
                <pic:pic xmlns:pic="http://schemas.openxmlformats.org/drawingml/2006/picture">
                  <pic:nvPicPr>
                    <pic:cNvPr id="268" name="IM 268"/>
                    <pic:cNvPicPr/>
                  </pic:nvPicPr>
                  <pic:blipFill>
                    <a:blip r:embed="rId511"/>
                    <a:stretch>
                      <a:fillRect/>
                    </a:stretch>
                  </pic:blipFill>
                  <pic:spPr>
                    <a:xfrm>
                      <a:off x="0" y="0"/>
                      <a:ext cx="1974815" cy="361969"/>
                    </a:xfrm>
                    <a:prstGeom prst="rect">
                      <a:avLst/>
                    </a:prstGeom>
                  </pic:spPr>
                </pic:pic>
              </a:graphicData>
            </a:graphic>
          </wp:inline>
        </w:drawing>
      </w:r>
    </w:p>
    <w:p w14:paraId="1E026EB4">
      <w:pPr>
        <w:spacing w:before="220" w:line="520" w:lineRule="exact"/>
        <w:ind w:firstLine="1189"/>
      </w:pPr>
      <w:r>
        <w:drawing>
          <wp:anchor distT="0" distB="0" distL="0" distR="0" simplePos="0" relativeHeight="251737088" behindDoc="0" locked="0" layoutInCell="1" allowOverlap="1">
            <wp:simplePos x="0" y="0"/>
            <wp:positionH relativeFrom="column">
              <wp:posOffset>418465</wp:posOffset>
            </wp:positionH>
            <wp:positionV relativeFrom="paragraph">
              <wp:posOffset>1778000</wp:posOffset>
            </wp:positionV>
            <wp:extent cx="1155700" cy="323850"/>
            <wp:effectExtent l="0" t="0" r="0" b="0"/>
            <wp:wrapNone/>
            <wp:docPr id="270" name="IM 270"/>
            <wp:cNvGraphicFramePr/>
            <a:graphic xmlns:a="http://schemas.openxmlformats.org/drawingml/2006/main">
              <a:graphicData uri="http://schemas.openxmlformats.org/drawingml/2006/picture">
                <pic:pic xmlns:pic="http://schemas.openxmlformats.org/drawingml/2006/picture">
                  <pic:nvPicPr>
                    <pic:cNvPr id="270" name="IM 270"/>
                    <pic:cNvPicPr/>
                  </pic:nvPicPr>
                  <pic:blipFill>
                    <a:blip r:embed="rId512"/>
                    <a:stretch>
                      <a:fillRect/>
                    </a:stretch>
                  </pic:blipFill>
                  <pic:spPr>
                    <a:xfrm>
                      <a:off x="0" y="0"/>
                      <a:ext cx="1155690" cy="323838"/>
                    </a:xfrm>
                    <a:prstGeom prst="rect">
                      <a:avLst/>
                    </a:prstGeom>
                  </pic:spPr>
                </pic:pic>
              </a:graphicData>
            </a:graphic>
          </wp:anchor>
        </w:drawing>
      </w:r>
      <w:r>
        <w:rPr>
          <w:position w:val="-10"/>
        </w:rPr>
        <w:drawing>
          <wp:inline distT="0" distB="0" distL="0" distR="0">
            <wp:extent cx="488315" cy="329565"/>
            <wp:effectExtent l="0" t="0" r="0" b="0"/>
            <wp:docPr id="272" name="IM 272"/>
            <wp:cNvGraphicFramePr/>
            <a:graphic xmlns:a="http://schemas.openxmlformats.org/drawingml/2006/main">
              <a:graphicData uri="http://schemas.openxmlformats.org/drawingml/2006/picture">
                <pic:pic xmlns:pic="http://schemas.openxmlformats.org/drawingml/2006/picture">
                  <pic:nvPicPr>
                    <pic:cNvPr id="272" name="IM 272"/>
                    <pic:cNvPicPr/>
                  </pic:nvPicPr>
                  <pic:blipFill>
                    <a:blip r:embed="rId513"/>
                    <a:stretch>
                      <a:fillRect/>
                    </a:stretch>
                  </pic:blipFill>
                  <pic:spPr>
                    <a:xfrm>
                      <a:off x="0" y="0"/>
                      <a:ext cx="488905" cy="330140"/>
                    </a:xfrm>
                    <a:prstGeom prst="rect">
                      <a:avLst/>
                    </a:prstGeom>
                  </pic:spPr>
                </pic:pic>
              </a:graphicData>
            </a:graphic>
          </wp:inline>
        </w:drawing>
      </w:r>
    </w:p>
    <w:p w14:paraId="2FE96FC7">
      <w:pPr>
        <w:spacing w:line="14" w:lineRule="auto"/>
        <w:rPr>
          <w:rFonts w:ascii="Arial"/>
          <w:sz w:val="2"/>
        </w:rPr>
      </w:pPr>
      <w:r>
        <w:rPr>
          <w:rFonts w:ascii="Arial" w:hAnsi="Arial" w:eastAsia="Arial" w:cs="Arial"/>
          <w:sz w:val="2"/>
          <w:szCs w:val="2"/>
        </w:rPr>
        <w:br w:type="column"/>
      </w:r>
    </w:p>
    <w:p w14:paraId="18AED2F7">
      <w:pPr>
        <w:spacing w:line="245" w:lineRule="auto"/>
        <w:rPr>
          <w:rFonts w:ascii="Arial"/>
          <w:sz w:val="21"/>
        </w:rPr>
      </w:pPr>
    </w:p>
    <w:p w14:paraId="4F86094F">
      <w:pPr>
        <w:spacing w:line="246" w:lineRule="auto"/>
        <w:rPr>
          <w:rFonts w:ascii="Arial"/>
          <w:sz w:val="21"/>
        </w:rPr>
      </w:pPr>
    </w:p>
    <w:p w14:paraId="1392B2E3">
      <w:pPr>
        <w:spacing w:line="246" w:lineRule="auto"/>
        <w:rPr>
          <w:rFonts w:ascii="Arial"/>
          <w:sz w:val="21"/>
        </w:rPr>
      </w:pPr>
    </w:p>
    <w:p w14:paraId="7D94A953">
      <w:pPr>
        <w:spacing w:line="246" w:lineRule="auto"/>
        <w:rPr>
          <w:rFonts w:ascii="Arial"/>
          <w:sz w:val="21"/>
        </w:rPr>
      </w:pPr>
    </w:p>
    <w:p w14:paraId="6FF372D2">
      <w:pPr>
        <w:spacing w:line="246" w:lineRule="auto"/>
        <w:rPr>
          <w:rFonts w:ascii="Arial"/>
          <w:sz w:val="21"/>
        </w:rPr>
      </w:pPr>
    </w:p>
    <w:p w14:paraId="3FF0DC60">
      <w:pPr>
        <w:spacing w:line="246" w:lineRule="auto"/>
        <w:rPr>
          <w:rFonts w:ascii="Arial"/>
          <w:sz w:val="21"/>
        </w:rPr>
      </w:pPr>
    </w:p>
    <w:p w14:paraId="093D2883">
      <w:pPr>
        <w:spacing w:line="246" w:lineRule="auto"/>
        <w:rPr>
          <w:rFonts w:ascii="Arial"/>
          <w:sz w:val="21"/>
        </w:rPr>
      </w:pPr>
    </w:p>
    <w:p w14:paraId="75A3CB81">
      <w:pPr>
        <w:spacing w:before="68" w:line="221" w:lineRule="auto"/>
        <w:rPr>
          <w:rFonts w:ascii="宋体" w:hAnsi="宋体" w:eastAsia="宋体" w:cs="宋体"/>
          <w:sz w:val="21"/>
          <w:szCs w:val="21"/>
        </w:rPr>
      </w:pPr>
      <w:r>
        <w:rPr>
          <w:rFonts w:ascii="宋体" w:hAnsi="宋体" w:eastAsia="宋体" w:cs="宋体"/>
          <w:spacing w:val="12"/>
          <w:sz w:val="21"/>
          <w:szCs w:val="21"/>
        </w:rPr>
        <w:t>式(5-10)</w:t>
      </w:r>
    </w:p>
    <w:p w14:paraId="4EC89D8B">
      <w:pPr>
        <w:spacing w:line="221" w:lineRule="auto"/>
        <w:rPr>
          <w:rFonts w:ascii="宋体" w:hAnsi="宋体" w:eastAsia="宋体" w:cs="宋体"/>
          <w:sz w:val="21"/>
          <w:szCs w:val="21"/>
        </w:rPr>
        <w:sectPr>
          <w:type w:val="continuous"/>
          <w:pgSz w:w="11900" w:h="16820"/>
          <w:pgMar w:top="400" w:right="673" w:bottom="910" w:left="1279" w:header="0" w:footer="637" w:gutter="0"/>
          <w:cols w:equalWidth="0" w:num="3">
            <w:col w:w="3031" w:space="100"/>
            <w:col w:w="5191" w:space="100"/>
            <w:col w:w="1527"/>
          </w:cols>
        </w:sectPr>
      </w:pPr>
    </w:p>
    <w:p w14:paraId="29837A4E">
      <w:pPr>
        <w:spacing w:before="206" w:line="326" w:lineRule="auto"/>
        <w:ind w:right="648" w:firstLine="440"/>
        <w:jc w:val="both"/>
        <w:rPr>
          <w:rFonts w:ascii="宋体" w:hAnsi="宋体" w:eastAsia="宋体" w:cs="宋体"/>
          <w:sz w:val="21"/>
          <w:szCs w:val="21"/>
        </w:rPr>
      </w:pPr>
      <w:r>
        <w:rPr>
          <w:rFonts w:ascii="宋体" w:hAnsi="宋体" w:eastAsia="宋体" w:cs="宋体"/>
          <w:sz w:val="21"/>
          <w:szCs w:val="21"/>
        </w:rPr>
        <w:t>OR</w:t>
      </w:r>
      <w:r>
        <w:rPr>
          <w:rFonts w:ascii="宋体" w:hAnsi="宋体" w:eastAsia="宋体" w:cs="宋体"/>
          <w:spacing w:val="9"/>
          <w:sz w:val="21"/>
          <w:szCs w:val="21"/>
        </w:rPr>
        <w:t xml:space="preserve"> 值恰好是四格表中两条对角线上的四个数字的交叉乘积</w:t>
      </w:r>
      <w:r>
        <w:rPr>
          <w:rFonts w:ascii="宋体" w:hAnsi="宋体" w:eastAsia="宋体" w:cs="宋体"/>
          <w:sz w:val="21"/>
          <w:szCs w:val="21"/>
        </w:rPr>
        <w:t>ad</w:t>
      </w:r>
      <w:r>
        <w:rPr>
          <w:rFonts w:ascii="宋体" w:hAnsi="宋体" w:eastAsia="宋体" w:cs="宋体"/>
          <w:spacing w:val="-36"/>
          <w:sz w:val="21"/>
          <w:szCs w:val="21"/>
        </w:rPr>
        <w:t xml:space="preserve"> </w:t>
      </w:r>
      <w:r>
        <w:rPr>
          <w:rFonts w:ascii="宋体" w:hAnsi="宋体" w:eastAsia="宋体" w:cs="宋体"/>
          <w:spacing w:val="9"/>
          <w:sz w:val="21"/>
          <w:szCs w:val="21"/>
        </w:rPr>
        <w:t>与</w:t>
      </w:r>
      <w:r>
        <w:rPr>
          <w:rFonts w:ascii="宋体" w:hAnsi="宋体" w:eastAsia="宋体" w:cs="宋体"/>
          <w:sz w:val="21"/>
          <w:szCs w:val="21"/>
        </w:rPr>
        <w:t>bc</w:t>
      </w:r>
      <w:r>
        <w:rPr>
          <w:rFonts w:ascii="宋体" w:hAnsi="宋体" w:eastAsia="宋体" w:cs="宋体"/>
          <w:spacing w:val="-60"/>
          <w:sz w:val="21"/>
          <w:szCs w:val="21"/>
        </w:rPr>
        <w:t xml:space="preserve"> </w:t>
      </w:r>
      <w:r>
        <w:rPr>
          <w:rFonts w:ascii="宋体" w:hAnsi="宋体" w:eastAsia="宋体" w:cs="宋体"/>
          <w:spacing w:val="9"/>
          <w:sz w:val="21"/>
          <w:szCs w:val="21"/>
        </w:rPr>
        <w:t>之比，</w:t>
      </w:r>
      <w:r>
        <w:rPr>
          <w:rFonts w:ascii="宋体" w:hAnsi="宋体" w:eastAsia="宋体" w:cs="宋体"/>
          <w:spacing w:val="8"/>
          <w:sz w:val="21"/>
          <w:szCs w:val="21"/>
        </w:rPr>
        <w:t>故</w:t>
      </w:r>
      <w:r>
        <w:rPr>
          <w:rFonts w:ascii="宋体" w:hAnsi="宋体" w:eastAsia="宋体" w:cs="宋体"/>
          <w:sz w:val="21"/>
          <w:szCs w:val="21"/>
        </w:rPr>
        <w:t>OR</w:t>
      </w:r>
      <w:r>
        <w:rPr>
          <w:rFonts w:ascii="宋体" w:hAnsi="宋体" w:eastAsia="宋体" w:cs="宋体"/>
          <w:spacing w:val="8"/>
          <w:sz w:val="21"/>
          <w:szCs w:val="21"/>
        </w:rPr>
        <w:t xml:space="preserve"> 又称为交叉乘</w:t>
      </w:r>
      <w:r>
        <w:rPr>
          <w:rFonts w:ascii="宋体" w:hAnsi="宋体" w:eastAsia="宋体" w:cs="宋体"/>
          <w:sz w:val="21"/>
          <w:szCs w:val="21"/>
        </w:rPr>
        <w:t xml:space="preserve"> </w:t>
      </w:r>
      <w:r>
        <w:rPr>
          <w:rFonts w:ascii="宋体" w:hAnsi="宋体" w:eastAsia="宋体" w:cs="宋体"/>
          <w:spacing w:val="7"/>
          <w:sz w:val="21"/>
          <w:szCs w:val="21"/>
        </w:rPr>
        <w:t>积比。</w:t>
      </w:r>
      <w:r>
        <w:rPr>
          <w:rFonts w:ascii="Times New Roman" w:hAnsi="Times New Roman" w:eastAsia="Times New Roman" w:cs="Times New Roman"/>
          <w:sz w:val="21"/>
          <w:szCs w:val="21"/>
        </w:rPr>
        <w:t>OR</w:t>
      </w:r>
      <w:r>
        <w:rPr>
          <w:rFonts w:ascii="Times New Roman" w:hAnsi="Times New Roman" w:eastAsia="Times New Roman" w:cs="Times New Roman"/>
          <w:spacing w:val="22"/>
          <w:sz w:val="21"/>
          <w:szCs w:val="21"/>
        </w:rPr>
        <w:t xml:space="preserve"> </w:t>
      </w:r>
      <w:r>
        <w:rPr>
          <w:rFonts w:ascii="宋体" w:hAnsi="宋体" w:eastAsia="宋体" w:cs="宋体"/>
          <w:spacing w:val="7"/>
          <w:sz w:val="21"/>
          <w:szCs w:val="21"/>
        </w:rPr>
        <w:t>值的含义与</w:t>
      </w:r>
      <w:r>
        <w:rPr>
          <w:rFonts w:ascii="Times New Roman" w:hAnsi="Times New Roman" w:eastAsia="Times New Roman" w:cs="Times New Roman"/>
          <w:sz w:val="21"/>
          <w:szCs w:val="21"/>
        </w:rPr>
        <w:t>RR</w:t>
      </w:r>
      <w:r>
        <w:rPr>
          <w:rFonts w:ascii="Times New Roman" w:hAnsi="Times New Roman" w:eastAsia="Times New Roman" w:cs="Times New Roman"/>
          <w:spacing w:val="29"/>
          <w:w w:val="101"/>
          <w:sz w:val="21"/>
          <w:szCs w:val="21"/>
        </w:rPr>
        <w:t xml:space="preserve"> </w:t>
      </w:r>
      <w:r>
        <w:rPr>
          <w:rFonts w:ascii="宋体" w:hAnsi="宋体" w:eastAsia="宋体" w:cs="宋体"/>
          <w:spacing w:val="7"/>
          <w:sz w:val="21"/>
          <w:szCs w:val="21"/>
        </w:rPr>
        <w:t>值相同，均指暴露者疾病的</w:t>
      </w:r>
      <w:r>
        <w:rPr>
          <w:rFonts w:ascii="宋体" w:hAnsi="宋体" w:eastAsia="宋体" w:cs="宋体"/>
          <w:spacing w:val="6"/>
          <w:sz w:val="21"/>
          <w:szCs w:val="21"/>
        </w:rPr>
        <w:t>危险性是非暴露者的多少倍。</w:t>
      </w:r>
      <w:r>
        <w:rPr>
          <w:rFonts w:ascii="宋体" w:hAnsi="宋体" w:eastAsia="宋体" w:cs="宋体"/>
          <w:spacing w:val="-35"/>
          <w:sz w:val="21"/>
          <w:szCs w:val="21"/>
        </w:rPr>
        <w:t xml:space="preserve"> </w:t>
      </w:r>
      <w:r>
        <w:rPr>
          <w:rFonts w:ascii="Times New Roman" w:hAnsi="Times New Roman" w:eastAsia="Times New Roman" w:cs="Times New Roman"/>
          <w:sz w:val="21"/>
          <w:szCs w:val="21"/>
        </w:rPr>
        <w:t>OR</w:t>
      </w:r>
      <w:r>
        <w:rPr>
          <w:rFonts w:ascii="Times New Roman" w:hAnsi="Times New Roman" w:eastAsia="Times New Roman" w:cs="Times New Roman"/>
          <w:spacing w:val="6"/>
          <w:sz w:val="21"/>
          <w:szCs w:val="21"/>
        </w:rPr>
        <w:t xml:space="preserve">&gt;1   </w:t>
      </w:r>
      <w:r>
        <w:rPr>
          <w:rFonts w:ascii="宋体" w:hAnsi="宋体" w:eastAsia="宋体" w:cs="宋体"/>
          <w:spacing w:val="6"/>
          <w:sz w:val="21"/>
          <w:szCs w:val="21"/>
        </w:rPr>
        <w:t>说明暴</w:t>
      </w:r>
      <w:r>
        <w:rPr>
          <w:rFonts w:ascii="宋体" w:hAnsi="宋体" w:eastAsia="宋体" w:cs="宋体"/>
          <w:sz w:val="21"/>
          <w:szCs w:val="21"/>
        </w:rPr>
        <w:t xml:space="preserve"> 露与疾病呈“正”关联，即暴露可增加疾病的危险性，暴露因素是疾病的危险因素；</w:t>
      </w:r>
      <w:r>
        <w:rPr>
          <w:rFonts w:ascii="Times New Roman" w:hAnsi="Times New Roman" w:eastAsia="Times New Roman" w:cs="Times New Roman"/>
          <w:sz w:val="21"/>
          <w:szCs w:val="21"/>
        </w:rPr>
        <w:t xml:space="preserve">OR&lt;1   </w:t>
      </w:r>
      <w:r>
        <w:rPr>
          <w:rFonts w:ascii="宋体" w:hAnsi="宋体" w:eastAsia="宋体" w:cs="宋体"/>
          <w:sz w:val="21"/>
          <w:szCs w:val="21"/>
        </w:rPr>
        <w:t>说明暴露</w:t>
      </w:r>
      <w:r>
        <w:rPr>
          <w:rFonts w:ascii="宋体" w:hAnsi="宋体" w:eastAsia="宋体" w:cs="宋体"/>
          <w:spacing w:val="6"/>
          <w:sz w:val="21"/>
          <w:szCs w:val="21"/>
        </w:rPr>
        <w:t xml:space="preserve"> </w:t>
      </w:r>
      <w:r>
        <w:rPr>
          <w:rFonts w:ascii="宋体" w:hAnsi="宋体" w:eastAsia="宋体" w:cs="宋体"/>
          <w:sz w:val="21"/>
          <w:szCs w:val="21"/>
        </w:rPr>
        <w:t>与疾病呈“负”关联，即暴露可降低疾病的危险性，暴露因素是保护因素；</w:t>
      </w:r>
      <w:r>
        <w:rPr>
          <w:rFonts w:ascii="Times New Roman" w:hAnsi="Times New Roman" w:eastAsia="Times New Roman" w:cs="Times New Roman"/>
          <w:sz w:val="21"/>
          <w:szCs w:val="21"/>
        </w:rPr>
        <w:t>OR=1,</w:t>
      </w:r>
      <w:r>
        <w:rPr>
          <w:rFonts w:ascii="Times New Roman" w:hAnsi="Times New Roman" w:eastAsia="Times New Roman" w:cs="Times New Roman"/>
          <w:spacing w:val="56"/>
          <w:sz w:val="21"/>
          <w:szCs w:val="21"/>
        </w:rPr>
        <w:t xml:space="preserve"> </w:t>
      </w:r>
      <w:r>
        <w:rPr>
          <w:rFonts w:ascii="宋体" w:hAnsi="宋体" w:eastAsia="宋体" w:cs="宋体"/>
          <w:sz w:val="21"/>
          <w:szCs w:val="21"/>
        </w:rPr>
        <w:t xml:space="preserve">则表明暴露因素与 </w:t>
      </w:r>
      <w:r>
        <w:rPr>
          <w:rFonts w:ascii="宋体" w:hAnsi="宋体" w:eastAsia="宋体" w:cs="宋体"/>
          <w:spacing w:val="13"/>
          <w:sz w:val="21"/>
          <w:szCs w:val="21"/>
        </w:rPr>
        <w:t>疾病之间无统计学联系。</w:t>
      </w:r>
    </w:p>
    <w:p w14:paraId="00AD5041">
      <w:pPr>
        <w:spacing w:before="105" w:line="223" w:lineRule="auto"/>
        <w:ind w:left="440"/>
        <w:rPr>
          <w:rFonts w:ascii="FangSong" w:hAnsi="FangSong" w:eastAsia="FangSong" w:cs="FangSong"/>
          <w:sz w:val="21"/>
          <w:szCs w:val="21"/>
        </w:rPr>
      </w:pPr>
      <w:r>
        <w:rPr>
          <w:rFonts w:ascii="FangSong" w:hAnsi="FangSong" w:eastAsia="FangSong" w:cs="FangSong"/>
          <w:spacing w:val="16"/>
          <w:sz w:val="21"/>
          <w:szCs w:val="21"/>
        </w:rPr>
        <w:t>例5-4:</w:t>
      </w:r>
    </w:p>
    <w:p w14:paraId="2571B030">
      <w:pPr>
        <w:spacing w:before="256" w:line="319" w:lineRule="auto"/>
        <w:ind w:right="638" w:firstLine="440"/>
        <w:rPr>
          <w:rFonts w:ascii="宋体" w:hAnsi="宋体" w:eastAsia="宋体" w:cs="宋体"/>
          <w:sz w:val="21"/>
          <w:szCs w:val="21"/>
        </w:rPr>
      </w:pPr>
      <w:r>
        <w:rPr>
          <w:rFonts w:ascii="宋体" w:hAnsi="宋体" w:eastAsia="宋体" w:cs="宋体"/>
          <w:spacing w:val="11"/>
          <w:sz w:val="21"/>
          <w:szCs w:val="21"/>
        </w:rPr>
        <w:t>结果表明服用口服避孕药者发生心肌梗死的危险性为不服用口服避孕药者的2.20倍，提示服</w:t>
      </w:r>
      <w:r>
        <w:rPr>
          <w:rFonts w:ascii="宋体" w:hAnsi="宋体" w:eastAsia="宋体" w:cs="宋体"/>
          <w:spacing w:val="5"/>
          <w:sz w:val="21"/>
          <w:szCs w:val="21"/>
        </w:rPr>
        <w:t xml:space="preserve"> </w:t>
      </w:r>
      <w:r>
        <w:rPr>
          <w:rFonts w:ascii="宋体" w:hAnsi="宋体" w:eastAsia="宋体" w:cs="宋体"/>
          <w:spacing w:val="9"/>
          <w:sz w:val="21"/>
          <w:szCs w:val="21"/>
        </w:rPr>
        <w:t>用口服避孕药是心肌梗死的一个危险因素。</w:t>
      </w:r>
    </w:p>
    <w:p w14:paraId="0B14D01F">
      <w:pPr>
        <w:spacing w:before="26" w:line="315" w:lineRule="auto"/>
        <w:ind w:left="9" w:right="637" w:firstLine="410"/>
        <w:jc w:val="both"/>
        <w:rPr>
          <w:rFonts w:ascii="宋体" w:hAnsi="宋体" w:eastAsia="宋体" w:cs="宋体"/>
          <w:sz w:val="21"/>
          <w:szCs w:val="21"/>
        </w:rPr>
      </w:pPr>
      <w:r>
        <w:rPr>
          <w:rFonts w:ascii="宋体" w:hAnsi="宋体" w:eastAsia="宋体" w:cs="宋体"/>
          <w:spacing w:val="13"/>
          <w:sz w:val="21"/>
          <w:szCs w:val="21"/>
        </w:rPr>
        <w:t>(</w:t>
      </w:r>
      <w:r>
        <w:rPr>
          <w:rFonts w:ascii="宋体" w:hAnsi="宋体" w:eastAsia="宋体" w:cs="宋体"/>
          <w:spacing w:val="-28"/>
          <w:sz w:val="21"/>
          <w:szCs w:val="21"/>
        </w:rPr>
        <w:t xml:space="preserve"> </w:t>
      </w:r>
      <w:r>
        <w:rPr>
          <w:rFonts w:ascii="宋体" w:hAnsi="宋体" w:eastAsia="宋体" w:cs="宋体"/>
          <w:spacing w:val="13"/>
          <w:sz w:val="21"/>
          <w:szCs w:val="21"/>
        </w:rPr>
        <w:t>3</w:t>
      </w:r>
      <w:r>
        <w:rPr>
          <w:rFonts w:ascii="宋体" w:hAnsi="宋体" w:eastAsia="宋体" w:cs="宋体"/>
          <w:spacing w:val="-30"/>
          <w:sz w:val="21"/>
          <w:szCs w:val="21"/>
        </w:rPr>
        <w:t xml:space="preserve"> </w:t>
      </w:r>
      <w:r>
        <w:rPr>
          <w:rFonts w:ascii="宋体" w:hAnsi="宋体" w:eastAsia="宋体" w:cs="宋体"/>
          <w:spacing w:val="13"/>
          <w:sz w:val="21"/>
          <w:szCs w:val="21"/>
        </w:rPr>
        <w:t>)</w:t>
      </w:r>
      <w:r>
        <w:rPr>
          <w:rFonts w:ascii="宋体" w:hAnsi="宋体" w:eastAsia="宋体" w:cs="宋体"/>
          <w:spacing w:val="-32"/>
          <w:sz w:val="21"/>
          <w:szCs w:val="21"/>
        </w:rPr>
        <w:t xml:space="preserve"> </w:t>
      </w:r>
      <w:r>
        <w:rPr>
          <w:rFonts w:ascii="宋体" w:hAnsi="宋体" w:eastAsia="宋体" w:cs="宋体"/>
          <w:spacing w:val="13"/>
          <w:sz w:val="21"/>
          <w:szCs w:val="21"/>
        </w:rPr>
        <w:t>计</w:t>
      </w:r>
      <w:r>
        <w:rPr>
          <w:rFonts w:ascii="宋体" w:hAnsi="宋体" w:eastAsia="宋体" w:cs="宋体"/>
          <w:spacing w:val="-30"/>
          <w:sz w:val="21"/>
          <w:szCs w:val="21"/>
        </w:rPr>
        <w:t xml:space="preserve"> </w:t>
      </w:r>
      <w:r>
        <w:rPr>
          <w:rFonts w:ascii="宋体" w:hAnsi="宋体" w:eastAsia="宋体" w:cs="宋体"/>
          <w:spacing w:val="13"/>
          <w:sz w:val="21"/>
          <w:szCs w:val="21"/>
        </w:rPr>
        <w:t>算</w:t>
      </w:r>
      <w:r>
        <w:rPr>
          <w:rFonts w:ascii="Times New Roman" w:hAnsi="Times New Roman" w:eastAsia="Times New Roman" w:cs="Times New Roman"/>
          <w:sz w:val="21"/>
          <w:szCs w:val="21"/>
        </w:rPr>
        <w:t>OR</w:t>
      </w:r>
      <w:r>
        <w:rPr>
          <w:rFonts w:ascii="Times New Roman" w:hAnsi="Times New Roman" w:eastAsia="Times New Roman" w:cs="Times New Roman"/>
          <w:spacing w:val="31"/>
          <w:sz w:val="21"/>
          <w:szCs w:val="21"/>
        </w:rPr>
        <w:t xml:space="preserve"> </w:t>
      </w:r>
      <w:r>
        <w:rPr>
          <w:rFonts w:ascii="宋体" w:hAnsi="宋体" w:eastAsia="宋体" w:cs="宋体"/>
          <w:spacing w:val="13"/>
          <w:sz w:val="21"/>
          <w:szCs w:val="21"/>
        </w:rPr>
        <w:t>的95%可信区间：上述</w:t>
      </w:r>
      <w:r>
        <w:rPr>
          <w:rFonts w:ascii="Times New Roman" w:hAnsi="Times New Roman" w:eastAsia="Times New Roman" w:cs="Times New Roman"/>
          <w:sz w:val="21"/>
          <w:szCs w:val="21"/>
        </w:rPr>
        <w:t>OR</w:t>
      </w:r>
      <w:r>
        <w:rPr>
          <w:rFonts w:ascii="Times New Roman" w:hAnsi="Times New Roman" w:eastAsia="Times New Roman" w:cs="Times New Roman"/>
          <w:spacing w:val="21"/>
          <w:w w:val="101"/>
          <w:sz w:val="21"/>
          <w:szCs w:val="21"/>
        </w:rPr>
        <w:t xml:space="preserve"> </w:t>
      </w:r>
      <w:r>
        <w:rPr>
          <w:rFonts w:ascii="宋体" w:hAnsi="宋体" w:eastAsia="宋体" w:cs="宋体"/>
          <w:spacing w:val="13"/>
          <w:sz w:val="21"/>
          <w:szCs w:val="21"/>
        </w:rPr>
        <w:t>值是用一次病例对照研究资料</w:t>
      </w:r>
      <w:r>
        <w:rPr>
          <w:rFonts w:ascii="宋体" w:hAnsi="宋体" w:eastAsia="宋体" w:cs="宋体"/>
          <w:spacing w:val="12"/>
          <w:sz w:val="21"/>
          <w:szCs w:val="21"/>
        </w:rPr>
        <w:t>(样本人群)计算而来</w:t>
      </w:r>
      <w:r>
        <w:rPr>
          <w:rFonts w:ascii="宋体" w:hAnsi="宋体" w:eastAsia="宋体" w:cs="宋体"/>
          <w:sz w:val="21"/>
          <w:szCs w:val="21"/>
        </w:rPr>
        <w:t xml:space="preserve"> </w:t>
      </w:r>
      <w:r>
        <w:rPr>
          <w:rFonts w:ascii="宋体" w:hAnsi="宋体" w:eastAsia="宋体" w:cs="宋体"/>
          <w:spacing w:val="9"/>
          <w:sz w:val="21"/>
          <w:szCs w:val="21"/>
        </w:rPr>
        <w:t>的。由于存在抽样误差，应按一定概率(称为可信度)估计</w:t>
      </w:r>
      <w:r>
        <w:rPr>
          <w:rFonts w:ascii="宋体" w:hAnsi="宋体" w:eastAsia="宋体" w:cs="宋体"/>
          <w:spacing w:val="8"/>
          <w:sz w:val="21"/>
          <w:szCs w:val="21"/>
        </w:rPr>
        <w:t>总体人群或源人群的</w:t>
      </w:r>
      <w:r>
        <w:rPr>
          <w:rFonts w:ascii="宋体" w:hAnsi="宋体" w:eastAsia="宋体" w:cs="宋体"/>
          <w:spacing w:val="-62"/>
          <w:sz w:val="21"/>
          <w:szCs w:val="21"/>
        </w:rPr>
        <w:t xml:space="preserve"> </w:t>
      </w:r>
      <w:r>
        <w:rPr>
          <w:rFonts w:ascii="Times New Roman" w:hAnsi="Times New Roman" w:eastAsia="Times New Roman" w:cs="Times New Roman"/>
          <w:sz w:val="21"/>
          <w:szCs w:val="21"/>
        </w:rPr>
        <w:t>OR</w:t>
      </w:r>
      <w:r>
        <w:rPr>
          <w:rFonts w:ascii="Times New Roman" w:hAnsi="Times New Roman" w:eastAsia="Times New Roman" w:cs="Times New Roman"/>
          <w:spacing w:val="-8"/>
          <w:sz w:val="21"/>
          <w:szCs w:val="21"/>
        </w:rPr>
        <w:t xml:space="preserve"> </w:t>
      </w:r>
      <w:r>
        <w:rPr>
          <w:rFonts w:ascii="宋体" w:hAnsi="宋体" w:eastAsia="宋体" w:cs="宋体"/>
          <w:spacing w:val="8"/>
          <w:sz w:val="21"/>
          <w:szCs w:val="21"/>
        </w:rPr>
        <w:t>值范围，即</w:t>
      </w:r>
      <w:r>
        <w:rPr>
          <w:rFonts w:ascii="宋体" w:hAnsi="宋体" w:eastAsia="宋体" w:cs="宋体"/>
          <w:spacing w:val="-57"/>
          <w:sz w:val="21"/>
          <w:szCs w:val="21"/>
        </w:rPr>
        <w:t xml:space="preserve"> </w:t>
      </w:r>
      <w:r>
        <w:rPr>
          <w:rFonts w:ascii="Times New Roman" w:hAnsi="Times New Roman" w:eastAsia="Times New Roman" w:cs="Times New Roman"/>
          <w:sz w:val="21"/>
          <w:szCs w:val="21"/>
        </w:rPr>
        <w:t xml:space="preserve">OR  </w:t>
      </w:r>
      <w:r>
        <w:rPr>
          <w:rFonts w:ascii="宋体" w:hAnsi="宋体" w:eastAsia="宋体" w:cs="宋体"/>
          <w:spacing w:val="7"/>
          <w:sz w:val="21"/>
          <w:szCs w:val="21"/>
        </w:rPr>
        <w:t>的可信区间</w:t>
      </w:r>
      <w:r>
        <w:rPr>
          <w:rFonts w:ascii="Times New Roman" w:hAnsi="Times New Roman" w:eastAsia="Times New Roman" w:cs="Times New Roman"/>
          <w:spacing w:val="7"/>
          <w:sz w:val="21"/>
          <w:szCs w:val="21"/>
        </w:rPr>
        <w:t>(</w:t>
      </w:r>
      <w:r>
        <w:rPr>
          <w:rFonts w:ascii="Times New Roman" w:hAnsi="Times New Roman" w:eastAsia="Times New Roman" w:cs="Times New Roman"/>
          <w:sz w:val="21"/>
          <w:szCs w:val="21"/>
        </w:rPr>
        <w:t>confidence</w:t>
      </w:r>
      <w:r>
        <w:rPr>
          <w:rFonts w:ascii="Times New Roman" w:hAnsi="Times New Roman" w:eastAsia="Times New Roman" w:cs="Times New Roman"/>
          <w:spacing w:val="7"/>
          <w:sz w:val="21"/>
          <w:szCs w:val="21"/>
        </w:rPr>
        <w:t xml:space="preserve">     </w:t>
      </w:r>
      <w:r>
        <w:rPr>
          <w:rFonts w:ascii="Times New Roman" w:hAnsi="Times New Roman" w:eastAsia="Times New Roman" w:cs="Times New Roman"/>
          <w:sz w:val="21"/>
          <w:szCs w:val="21"/>
        </w:rPr>
        <w:t>interval</w:t>
      </w:r>
      <w:r>
        <w:rPr>
          <w:rFonts w:ascii="Times New Roman" w:hAnsi="Times New Roman" w:eastAsia="Times New Roman" w:cs="Times New Roman"/>
          <w:spacing w:val="7"/>
          <w:sz w:val="21"/>
          <w:szCs w:val="21"/>
        </w:rPr>
        <w:t>,</w:t>
      </w:r>
      <w:r>
        <w:rPr>
          <w:rFonts w:ascii="Times New Roman" w:hAnsi="Times New Roman" w:eastAsia="Times New Roman" w:cs="Times New Roman"/>
          <w:sz w:val="21"/>
          <w:szCs w:val="21"/>
        </w:rPr>
        <w:t>CI</w:t>
      </w:r>
      <w:r>
        <w:rPr>
          <w:rFonts w:ascii="Times New Roman" w:hAnsi="Times New Roman" w:eastAsia="Times New Roman" w:cs="Times New Roman"/>
          <w:spacing w:val="7"/>
          <w:sz w:val="21"/>
          <w:szCs w:val="21"/>
        </w:rPr>
        <w:t>)</w:t>
      </w:r>
      <w:r>
        <w:rPr>
          <w:rFonts w:ascii="Times New Roman" w:hAnsi="Times New Roman" w:eastAsia="Times New Roman" w:cs="Times New Roman"/>
          <w:spacing w:val="-9"/>
          <w:sz w:val="21"/>
          <w:szCs w:val="21"/>
        </w:rPr>
        <w:t xml:space="preserve"> </w:t>
      </w:r>
      <w:r>
        <w:rPr>
          <w:rFonts w:ascii="宋体" w:hAnsi="宋体" w:eastAsia="宋体" w:cs="宋体"/>
          <w:spacing w:val="7"/>
          <w:sz w:val="21"/>
          <w:szCs w:val="21"/>
        </w:rPr>
        <w:t>。</w:t>
      </w:r>
      <w:r>
        <w:rPr>
          <w:rFonts w:ascii="Times New Roman" w:hAnsi="Times New Roman" w:eastAsia="Times New Roman" w:cs="Times New Roman"/>
          <w:sz w:val="21"/>
          <w:szCs w:val="21"/>
        </w:rPr>
        <w:t>OR</w:t>
      </w:r>
      <w:r>
        <w:rPr>
          <w:rFonts w:ascii="宋体" w:hAnsi="宋体" w:eastAsia="宋体" w:cs="宋体"/>
          <w:spacing w:val="7"/>
          <w:sz w:val="21"/>
          <w:szCs w:val="21"/>
        </w:rPr>
        <w:t>值可信区间的估计方法有2种：</w:t>
      </w:r>
    </w:p>
    <w:p w14:paraId="1317A176">
      <w:pPr>
        <w:spacing w:before="43" w:line="218" w:lineRule="auto"/>
        <w:ind w:left="460"/>
        <w:rPr>
          <w:rFonts w:ascii="宋体" w:hAnsi="宋体" w:eastAsia="宋体" w:cs="宋体"/>
          <w:sz w:val="21"/>
          <w:szCs w:val="21"/>
        </w:rPr>
      </w:pPr>
      <w:r>
        <w:rPr>
          <w:rFonts w:ascii="宋体" w:hAnsi="宋体" w:eastAsia="宋体" w:cs="宋体"/>
          <w:spacing w:val="6"/>
          <w:sz w:val="21"/>
          <w:szCs w:val="21"/>
        </w:rPr>
        <w:t>1)</w:t>
      </w:r>
      <w:r>
        <w:rPr>
          <w:rFonts w:ascii="宋体" w:hAnsi="宋体" w:eastAsia="宋体" w:cs="宋体"/>
          <w:sz w:val="21"/>
          <w:szCs w:val="21"/>
        </w:rPr>
        <w:t>Miettinen</w:t>
      </w:r>
      <w:r>
        <w:rPr>
          <w:rFonts w:ascii="宋体" w:hAnsi="宋体" w:eastAsia="宋体" w:cs="宋体"/>
          <w:spacing w:val="-46"/>
          <w:sz w:val="21"/>
          <w:szCs w:val="21"/>
        </w:rPr>
        <w:t xml:space="preserve"> </w:t>
      </w:r>
      <w:r>
        <w:rPr>
          <w:rFonts w:ascii="宋体" w:hAnsi="宋体" w:eastAsia="宋体" w:cs="宋体"/>
          <w:spacing w:val="6"/>
          <w:sz w:val="21"/>
          <w:szCs w:val="21"/>
        </w:rPr>
        <w:t>法：主要利用计算的x²</w:t>
      </w:r>
      <w:r>
        <w:rPr>
          <w:rFonts w:ascii="宋体" w:hAnsi="宋体" w:eastAsia="宋体" w:cs="宋体"/>
          <w:spacing w:val="-38"/>
          <w:sz w:val="21"/>
          <w:szCs w:val="21"/>
        </w:rPr>
        <w:t xml:space="preserve"> </w:t>
      </w:r>
      <w:r>
        <w:rPr>
          <w:rFonts w:ascii="宋体" w:hAnsi="宋体" w:eastAsia="宋体" w:cs="宋体"/>
          <w:spacing w:val="6"/>
          <w:sz w:val="21"/>
          <w:szCs w:val="21"/>
        </w:rPr>
        <w:t>值来估计</w:t>
      </w:r>
      <w:r>
        <w:rPr>
          <w:rFonts w:ascii="宋体" w:hAnsi="宋体" w:eastAsia="宋体" w:cs="宋体"/>
          <w:sz w:val="21"/>
          <w:szCs w:val="21"/>
        </w:rPr>
        <w:t>OR</w:t>
      </w:r>
      <w:r>
        <w:rPr>
          <w:rFonts w:ascii="宋体" w:hAnsi="宋体" w:eastAsia="宋体" w:cs="宋体"/>
          <w:spacing w:val="42"/>
          <w:sz w:val="21"/>
          <w:szCs w:val="21"/>
        </w:rPr>
        <w:t xml:space="preserve"> </w:t>
      </w:r>
      <w:r>
        <w:rPr>
          <w:rFonts w:ascii="宋体" w:hAnsi="宋体" w:eastAsia="宋体" w:cs="宋体"/>
          <w:spacing w:val="6"/>
          <w:sz w:val="21"/>
          <w:szCs w:val="21"/>
        </w:rPr>
        <w:t>的95</w:t>
      </w:r>
      <w:r>
        <w:rPr>
          <w:rFonts w:ascii="宋体" w:hAnsi="宋体" w:eastAsia="宋体" w:cs="宋体"/>
          <w:spacing w:val="5"/>
          <w:sz w:val="21"/>
          <w:szCs w:val="21"/>
        </w:rPr>
        <w:t>%可信区间，其估算采用以下公式：</w:t>
      </w:r>
    </w:p>
    <w:p w14:paraId="2B9D7FBD">
      <w:pPr>
        <w:spacing w:before="262" w:line="283" w:lineRule="exact"/>
        <w:ind w:left="3440"/>
        <w:rPr>
          <w:rFonts w:ascii="宋体" w:hAnsi="宋体" w:eastAsia="宋体" w:cs="宋体"/>
          <w:sz w:val="21"/>
          <w:szCs w:val="21"/>
        </w:rPr>
      </w:pPr>
      <w:r>
        <w:rPr>
          <w:rFonts w:ascii="Times New Roman" w:hAnsi="Times New Roman" w:eastAsia="Times New Roman" w:cs="Times New Roman"/>
          <w:position w:val="1"/>
          <w:sz w:val="21"/>
          <w:szCs w:val="21"/>
        </w:rPr>
        <w:t xml:space="preserve">OR </w:t>
      </w:r>
      <w:r>
        <w:rPr>
          <w:rFonts w:ascii="宋体" w:hAnsi="宋体" w:eastAsia="宋体" w:cs="宋体"/>
          <w:position w:val="1"/>
          <w:sz w:val="21"/>
          <w:szCs w:val="21"/>
        </w:rPr>
        <w:t>的</w:t>
      </w:r>
      <w:r>
        <w:rPr>
          <w:rFonts w:ascii="宋体" w:hAnsi="宋体" w:eastAsia="宋体" w:cs="宋体"/>
          <w:spacing w:val="-35"/>
          <w:position w:val="1"/>
          <w:sz w:val="21"/>
          <w:szCs w:val="21"/>
        </w:rPr>
        <w:t xml:space="preserve"> </w:t>
      </w:r>
      <w:r>
        <w:rPr>
          <w:rFonts w:ascii="宋体" w:hAnsi="宋体" w:eastAsia="宋体" w:cs="宋体"/>
          <w:position w:val="1"/>
          <w:sz w:val="21"/>
          <w:szCs w:val="21"/>
        </w:rPr>
        <w:t>9</w:t>
      </w:r>
      <w:r>
        <w:rPr>
          <w:rFonts w:ascii="宋体" w:hAnsi="宋体" w:eastAsia="宋体" w:cs="宋体"/>
          <w:spacing w:val="-31"/>
          <w:position w:val="1"/>
          <w:sz w:val="21"/>
          <w:szCs w:val="21"/>
        </w:rPr>
        <w:t xml:space="preserve"> </w:t>
      </w:r>
      <w:r>
        <w:rPr>
          <w:rFonts w:ascii="宋体" w:hAnsi="宋体" w:eastAsia="宋体" w:cs="宋体"/>
          <w:position w:val="1"/>
          <w:sz w:val="21"/>
          <w:szCs w:val="21"/>
        </w:rPr>
        <w:t>5</w:t>
      </w:r>
      <w:r>
        <w:rPr>
          <w:rFonts w:ascii="宋体" w:hAnsi="宋体" w:eastAsia="宋体" w:cs="宋体"/>
          <w:spacing w:val="-40"/>
          <w:position w:val="1"/>
          <w:sz w:val="21"/>
          <w:szCs w:val="21"/>
        </w:rPr>
        <w:t xml:space="preserve"> </w:t>
      </w:r>
      <w:r>
        <w:rPr>
          <w:rFonts w:ascii="宋体" w:hAnsi="宋体" w:eastAsia="宋体" w:cs="宋体"/>
          <w:position w:val="1"/>
          <w:sz w:val="21"/>
          <w:szCs w:val="21"/>
        </w:rPr>
        <w:t>%</w:t>
      </w:r>
      <w:r>
        <w:rPr>
          <w:rFonts w:ascii="Times New Roman" w:hAnsi="Times New Roman" w:eastAsia="Times New Roman" w:cs="Times New Roman"/>
          <w:position w:val="1"/>
          <w:sz w:val="21"/>
          <w:szCs w:val="21"/>
        </w:rPr>
        <w:t xml:space="preserve">CI=OR(1±1.96 √)                          </w:t>
      </w:r>
      <w:r>
        <w:rPr>
          <w:rFonts w:ascii="Times New Roman" w:hAnsi="Times New Roman" w:eastAsia="Times New Roman" w:cs="Times New Roman"/>
          <w:spacing w:val="-1"/>
          <w:position w:val="1"/>
          <w:sz w:val="21"/>
          <w:szCs w:val="21"/>
        </w:rPr>
        <w:t xml:space="preserve">                      </w:t>
      </w:r>
      <w:r>
        <w:rPr>
          <w:rFonts w:ascii="宋体" w:hAnsi="宋体" w:eastAsia="宋体" w:cs="宋体"/>
          <w:spacing w:val="-1"/>
          <w:position w:val="1"/>
          <w:sz w:val="21"/>
          <w:szCs w:val="21"/>
        </w:rPr>
        <w:t>式(5-11)</w:t>
      </w:r>
    </w:p>
    <w:p w14:paraId="22FAD230">
      <w:pPr>
        <w:spacing w:before="289" w:line="219" w:lineRule="auto"/>
        <w:ind w:left="440"/>
        <w:rPr>
          <w:rFonts w:ascii="宋体" w:hAnsi="宋体" w:eastAsia="宋体" w:cs="宋体"/>
          <w:sz w:val="21"/>
          <w:szCs w:val="21"/>
        </w:rPr>
      </w:pPr>
      <w:r>
        <w:rPr>
          <w:rFonts w:ascii="宋体" w:hAnsi="宋体" w:eastAsia="宋体" w:cs="宋体"/>
          <w:spacing w:val="9"/>
          <w:sz w:val="21"/>
          <w:szCs w:val="21"/>
        </w:rPr>
        <w:t>式中一般用不校正的</w:t>
      </w:r>
      <w:r>
        <w:rPr>
          <w:rFonts w:ascii="Times New Roman" w:hAnsi="Times New Roman" w:eastAsia="Times New Roman" w:cs="Times New Roman"/>
          <w:spacing w:val="9"/>
          <w:sz w:val="21"/>
          <w:szCs w:val="21"/>
        </w:rPr>
        <w:t>x²</w:t>
      </w:r>
      <w:r>
        <w:rPr>
          <w:rFonts w:ascii="Times New Roman" w:hAnsi="Times New Roman" w:eastAsia="Times New Roman" w:cs="Times New Roman"/>
          <w:spacing w:val="53"/>
          <w:sz w:val="21"/>
          <w:szCs w:val="21"/>
        </w:rPr>
        <w:t xml:space="preserve"> </w:t>
      </w:r>
      <w:r>
        <w:rPr>
          <w:rFonts w:ascii="宋体" w:hAnsi="宋体" w:eastAsia="宋体" w:cs="宋体"/>
          <w:spacing w:val="9"/>
          <w:sz w:val="21"/>
          <w:szCs w:val="21"/>
        </w:rPr>
        <w:t>值</w:t>
      </w:r>
      <w:r>
        <w:rPr>
          <w:rFonts w:ascii="宋体" w:hAnsi="宋体" w:eastAsia="宋体" w:cs="宋体"/>
          <w:spacing w:val="-41"/>
          <w:sz w:val="21"/>
          <w:szCs w:val="21"/>
        </w:rPr>
        <w:t xml:space="preserve"> </w:t>
      </w:r>
      <w:r>
        <w:rPr>
          <w:rFonts w:ascii="宋体" w:hAnsi="宋体" w:eastAsia="宋体" w:cs="宋体"/>
          <w:spacing w:val="9"/>
          <w:sz w:val="21"/>
          <w:szCs w:val="21"/>
        </w:rPr>
        <w:t>。</w:t>
      </w:r>
    </w:p>
    <w:p w14:paraId="7DBE59BA">
      <w:pPr>
        <w:spacing w:before="88" w:line="321" w:lineRule="auto"/>
        <w:ind w:left="29" w:right="690" w:firstLine="420"/>
        <w:rPr>
          <w:rFonts w:ascii="宋体" w:hAnsi="宋体" w:eastAsia="宋体" w:cs="宋体"/>
          <w:sz w:val="21"/>
          <w:szCs w:val="21"/>
        </w:rPr>
      </w:pPr>
      <w:r>
        <w:rPr>
          <w:rFonts w:ascii="宋体" w:hAnsi="宋体" w:eastAsia="宋体" w:cs="宋体"/>
          <w:spacing w:val="5"/>
          <w:sz w:val="21"/>
          <w:szCs w:val="21"/>
        </w:rPr>
        <w:t>例5-4:</w:t>
      </w:r>
      <w:r>
        <w:rPr>
          <w:rFonts w:ascii="Times New Roman" w:hAnsi="Times New Roman" w:eastAsia="Times New Roman" w:cs="Times New Roman"/>
          <w:sz w:val="21"/>
          <w:szCs w:val="21"/>
        </w:rPr>
        <w:t>OR</w:t>
      </w:r>
      <w:r>
        <w:rPr>
          <w:rFonts w:ascii="Times New Roman" w:hAnsi="Times New Roman" w:eastAsia="Times New Roman" w:cs="Times New Roman"/>
          <w:spacing w:val="31"/>
          <w:sz w:val="21"/>
          <w:szCs w:val="21"/>
        </w:rPr>
        <w:t xml:space="preserve"> </w:t>
      </w:r>
      <w:r>
        <w:rPr>
          <w:rFonts w:ascii="宋体" w:hAnsi="宋体" w:eastAsia="宋体" w:cs="宋体"/>
          <w:spacing w:val="5"/>
          <w:sz w:val="21"/>
          <w:szCs w:val="21"/>
        </w:rPr>
        <w:t>的</w:t>
      </w:r>
      <w:r>
        <w:rPr>
          <w:rFonts w:ascii="宋体" w:hAnsi="宋体" w:eastAsia="宋体" w:cs="宋体"/>
          <w:spacing w:val="-28"/>
          <w:sz w:val="21"/>
          <w:szCs w:val="21"/>
        </w:rPr>
        <w:t xml:space="preserve"> </w:t>
      </w:r>
      <w:r>
        <w:rPr>
          <w:rFonts w:ascii="宋体" w:hAnsi="宋体" w:eastAsia="宋体" w:cs="宋体"/>
          <w:spacing w:val="5"/>
          <w:sz w:val="21"/>
          <w:szCs w:val="21"/>
        </w:rPr>
        <w:t>9</w:t>
      </w:r>
      <w:r>
        <w:rPr>
          <w:rFonts w:ascii="宋体" w:hAnsi="宋体" w:eastAsia="宋体" w:cs="宋体"/>
          <w:spacing w:val="-24"/>
          <w:sz w:val="21"/>
          <w:szCs w:val="21"/>
        </w:rPr>
        <w:t xml:space="preserve"> </w:t>
      </w:r>
      <w:r>
        <w:rPr>
          <w:rFonts w:ascii="宋体" w:hAnsi="宋体" w:eastAsia="宋体" w:cs="宋体"/>
          <w:spacing w:val="5"/>
          <w:sz w:val="21"/>
          <w:szCs w:val="21"/>
        </w:rPr>
        <w:t>5</w:t>
      </w:r>
      <w:r>
        <w:rPr>
          <w:rFonts w:ascii="宋体" w:hAnsi="宋体" w:eastAsia="宋体" w:cs="宋体"/>
          <w:spacing w:val="-34"/>
          <w:sz w:val="21"/>
          <w:szCs w:val="21"/>
        </w:rPr>
        <w:t xml:space="preserve"> </w:t>
      </w:r>
      <w:r>
        <w:rPr>
          <w:rFonts w:ascii="宋体" w:hAnsi="宋体" w:eastAsia="宋体" w:cs="宋体"/>
          <w:spacing w:val="5"/>
          <w:sz w:val="21"/>
          <w:szCs w:val="21"/>
        </w:rPr>
        <w:t>%</w:t>
      </w:r>
      <w:r>
        <w:rPr>
          <w:rFonts w:ascii="Times New Roman" w:hAnsi="Times New Roman" w:eastAsia="Times New Roman" w:cs="Times New Roman"/>
          <w:sz w:val="21"/>
          <w:szCs w:val="21"/>
        </w:rPr>
        <w:t>CI</w:t>
      </w:r>
      <w:r>
        <w:rPr>
          <w:rFonts w:ascii="Times New Roman" w:hAnsi="Times New Roman" w:eastAsia="Times New Roman" w:cs="Times New Roman"/>
          <w:spacing w:val="5"/>
          <w:sz w:val="21"/>
          <w:szCs w:val="21"/>
        </w:rPr>
        <w:t>=2.20(±1.96/</w:t>
      </w:r>
      <w:r>
        <w:rPr>
          <w:rFonts w:ascii="Times New Roman" w:hAnsi="Times New Roman" w:eastAsia="Times New Roman" w:cs="Times New Roman"/>
          <w:spacing w:val="4"/>
          <w:sz w:val="21"/>
          <w:szCs w:val="21"/>
        </w:rPr>
        <w:t>V7.70)=(1.26,3.84),</w:t>
      </w:r>
      <w:r>
        <w:rPr>
          <w:rFonts w:ascii="Times New Roman" w:hAnsi="Times New Roman" w:eastAsia="Times New Roman" w:cs="Times New Roman"/>
          <w:spacing w:val="24"/>
          <w:w w:val="101"/>
          <w:sz w:val="21"/>
          <w:szCs w:val="21"/>
        </w:rPr>
        <w:t xml:space="preserve">  </w:t>
      </w:r>
      <w:r>
        <w:rPr>
          <w:rFonts w:ascii="宋体" w:hAnsi="宋体" w:eastAsia="宋体" w:cs="宋体"/>
          <w:spacing w:val="4"/>
          <w:sz w:val="21"/>
          <w:szCs w:val="21"/>
        </w:rPr>
        <w:t>表明服用口服避孕药者发生心肌梗死</w:t>
      </w:r>
      <w:r>
        <w:rPr>
          <w:rFonts w:ascii="Times New Roman" w:hAnsi="Times New Roman" w:eastAsia="Times New Roman" w:cs="Times New Roman"/>
          <w:sz w:val="21"/>
          <w:szCs w:val="21"/>
        </w:rPr>
        <w:t xml:space="preserve">OR </w:t>
      </w:r>
      <w:r>
        <w:rPr>
          <w:rFonts w:ascii="宋体" w:hAnsi="宋体" w:eastAsia="宋体" w:cs="宋体"/>
          <w:spacing w:val="13"/>
          <w:sz w:val="21"/>
          <w:szCs w:val="21"/>
        </w:rPr>
        <w:t>的95%可信范围是在1.26～3.84之间。</w:t>
      </w:r>
    </w:p>
    <w:p w14:paraId="160BA7B9">
      <w:pPr>
        <w:spacing w:before="13" w:line="219" w:lineRule="auto"/>
        <w:ind w:left="430"/>
        <w:rPr>
          <w:rFonts w:ascii="宋体" w:hAnsi="宋体" w:eastAsia="宋体" w:cs="宋体"/>
          <w:sz w:val="21"/>
          <w:szCs w:val="21"/>
        </w:rPr>
      </w:pPr>
      <w:r>
        <w:rPr>
          <w:rFonts w:ascii="宋体" w:hAnsi="宋体" w:eastAsia="宋体" w:cs="宋体"/>
          <w:spacing w:val="1"/>
          <w:sz w:val="21"/>
          <w:szCs w:val="21"/>
        </w:rPr>
        <w:t>2)</w:t>
      </w:r>
      <w:r>
        <w:rPr>
          <w:rFonts w:ascii="宋体" w:hAnsi="宋体" w:eastAsia="宋体" w:cs="宋体"/>
          <w:sz w:val="21"/>
          <w:szCs w:val="21"/>
        </w:rPr>
        <w:t>Woolf</w:t>
      </w:r>
      <w:r>
        <w:rPr>
          <w:rFonts w:ascii="宋体" w:hAnsi="宋体" w:eastAsia="宋体" w:cs="宋体"/>
          <w:spacing w:val="60"/>
          <w:sz w:val="21"/>
          <w:szCs w:val="21"/>
        </w:rPr>
        <w:t xml:space="preserve"> </w:t>
      </w:r>
      <w:r>
        <w:rPr>
          <w:rFonts w:ascii="宋体" w:hAnsi="宋体" w:eastAsia="宋体" w:cs="宋体"/>
          <w:spacing w:val="1"/>
          <w:sz w:val="21"/>
          <w:szCs w:val="21"/>
        </w:rPr>
        <w:t>法：即自然对数转换法，是建立在方差基础上的。</w:t>
      </w:r>
    </w:p>
    <w:p w14:paraId="67DD9375">
      <w:pPr>
        <w:spacing w:before="121" w:line="221" w:lineRule="auto"/>
        <w:ind w:left="440"/>
        <w:rPr>
          <w:rFonts w:ascii="宋体" w:hAnsi="宋体" w:eastAsia="宋体" w:cs="宋体"/>
          <w:sz w:val="21"/>
          <w:szCs w:val="21"/>
        </w:rPr>
      </w:pPr>
      <w:r>
        <w:rPr>
          <w:rFonts w:ascii="Times New Roman" w:hAnsi="Times New Roman" w:eastAsia="Times New Roman" w:cs="Times New Roman"/>
          <w:sz w:val="21"/>
          <w:szCs w:val="21"/>
        </w:rPr>
        <w:t>lnOR</w:t>
      </w:r>
      <w:r>
        <w:rPr>
          <w:rFonts w:ascii="Times New Roman" w:hAnsi="Times New Roman" w:eastAsia="Times New Roman" w:cs="Times New Roman"/>
          <w:spacing w:val="27"/>
          <w:sz w:val="21"/>
          <w:szCs w:val="21"/>
        </w:rPr>
        <w:t xml:space="preserve"> </w:t>
      </w:r>
      <w:r>
        <w:rPr>
          <w:rFonts w:ascii="宋体" w:hAnsi="宋体" w:eastAsia="宋体" w:cs="宋体"/>
          <w:spacing w:val="10"/>
          <w:sz w:val="21"/>
          <w:szCs w:val="21"/>
        </w:rPr>
        <w:t>的方差为：</w:t>
      </w:r>
    </w:p>
    <w:p w14:paraId="515C857C">
      <w:pPr>
        <w:spacing w:line="328" w:lineRule="auto"/>
        <w:rPr>
          <w:rFonts w:ascii="Arial"/>
          <w:sz w:val="21"/>
        </w:rPr>
      </w:pPr>
      <w:r>
        <w:drawing>
          <wp:anchor distT="0" distB="0" distL="0" distR="0" simplePos="0" relativeHeight="251736064" behindDoc="0" locked="0" layoutInCell="1" allowOverlap="1">
            <wp:simplePos x="0" y="0"/>
            <wp:positionH relativeFrom="column">
              <wp:posOffset>2152650</wp:posOffset>
            </wp:positionH>
            <wp:positionV relativeFrom="paragraph">
              <wp:posOffset>170180</wp:posOffset>
            </wp:positionV>
            <wp:extent cx="1682750" cy="317500"/>
            <wp:effectExtent l="0" t="0" r="0" b="0"/>
            <wp:wrapNone/>
            <wp:docPr id="274" name="IM 274"/>
            <wp:cNvGraphicFramePr/>
            <a:graphic xmlns:a="http://schemas.openxmlformats.org/drawingml/2006/main">
              <a:graphicData uri="http://schemas.openxmlformats.org/drawingml/2006/picture">
                <pic:pic xmlns:pic="http://schemas.openxmlformats.org/drawingml/2006/picture">
                  <pic:nvPicPr>
                    <pic:cNvPr id="274" name="IM 274"/>
                    <pic:cNvPicPr/>
                  </pic:nvPicPr>
                  <pic:blipFill>
                    <a:blip r:embed="rId514"/>
                    <a:stretch>
                      <a:fillRect/>
                    </a:stretch>
                  </pic:blipFill>
                  <pic:spPr>
                    <a:xfrm>
                      <a:off x="0" y="0"/>
                      <a:ext cx="1682757" cy="317430"/>
                    </a:xfrm>
                    <a:prstGeom prst="rect">
                      <a:avLst/>
                    </a:prstGeom>
                  </pic:spPr>
                </pic:pic>
              </a:graphicData>
            </a:graphic>
          </wp:anchor>
        </w:drawing>
      </w:r>
    </w:p>
    <w:p w14:paraId="5CCF36DC">
      <w:pPr>
        <w:spacing w:before="69" w:line="221" w:lineRule="auto"/>
        <w:ind w:left="8470"/>
        <w:rPr>
          <w:rFonts w:ascii="宋体" w:hAnsi="宋体" w:eastAsia="宋体" w:cs="宋体"/>
          <w:sz w:val="21"/>
          <w:szCs w:val="21"/>
        </w:rPr>
      </w:pPr>
      <w:r>
        <w:rPr>
          <w:rFonts w:ascii="宋体" w:hAnsi="宋体" w:eastAsia="宋体" w:cs="宋体"/>
          <w:spacing w:val="9"/>
          <w:sz w:val="21"/>
          <w:szCs w:val="21"/>
        </w:rPr>
        <w:t>式(5-12)</w:t>
      </w:r>
    </w:p>
    <w:p w14:paraId="303169BE">
      <w:pPr>
        <w:spacing w:line="284" w:lineRule="auto"/>
        <w:rPr>
          <w:rFonts w:ascii="Arial"/>
          <w:sz w:val="21"/>
        </w:rPr>
      </w:pPr>
    </w:p>
    <w:p w14:paraId="7EAD36B1">
      <w:pPr>
        <w:spacing w:before="69" w:line="216" w:lineRule="auto"/>
        <w:ind w:left="460"/>
        <w:rPr>
          <w:rFonts w:ascii="宋体" w:hAnsi="宋体" w:eastAsia="宋体" w:cs="宋体"/>
          <w:sz w:val="21"/>
          <w:szCs w:val="21"/>
        </w:rPr>
      </w:pPr>
      <w:r>
        <w:rPr>
          <w:rFonts w:ascii="宋体" w:hAnsi="宋体" w:eastAsia="宋体" w:cs="宋体"/>
          <w:spacing w:val="8"/>
          <w:sz w:val="21"/>
          <w:szCs w:val="21"/>
        </w:rPr>
        <w:t>当四格表中某一格的数值为0时，可在每格的数值上各加0.5,再求出它的倒</w:t>
      </w:r>
      <w:r>
        <w:rPr>
          <w:rFonts w:ascii="宋体" w:hAnsi="宋体" w:eastAsia="宋体" w:cs="宋体"/>
          <w:spacing w:val="7"/>
          <w:sz w:val="21"/>
          <w:szCs w:val="21"/>
        </w:rPr>
        <w:t>数之和。</w:t>
      </w:r>
    </w:p>
    <w:p w14:paraId="0AC64846">
      <w:pPr>
        <w:spacing w:before="107" w:line="219" w:lineRule="auto"/>
        <w:ind w:left="450"/>
        <w:rPr>
          <w:rFonts w:ascii="宋体" w:hAnsi="宋体" w:eastAsia="宋体" w:cs="宋体"/>
          <w:sz w:val="21"/>
          <w:szCs w:val="21"/>
        </w:rPr>
      </w:pPr>
      <w:r>
        <w:rPr>
          <w:rFonts w:ascii="宋体" w:hAnsi="宋体" w:eastAsia="宋体" w:cs="宋体"/>
          <w:sz w:val="21"/>
          <w:szCs w:val="21"/>
        </w:rPr>
        <w:t>lnOR</w:t>
      </w:r>
      <w:r>
        <w:rPr>
          <w:rFonts w:ascii="宋体" w:hAnsi="宋体" w:eastAsia="宋体" w:cs="宋体"/>
          <w:spacing w:val="21"/>
          <w:sz w:val="21"/>
          <w:szCs w:val="21"/>
        </w:rPr>
        <w:t xml:space="preserve"> 的95%可信区间为：</w:t>
      </w:r>
    </w:p>
    <w:p w14:paraId="34F8B44F">
      <w:pPr>
        <w:spacing w:before="239" w:line="283" w:lineRule="exact"/>
        <w:ind w:left="2850"/>
        <w:rPr>
          <w:rFonts w:ascii="宋体" w:hAnsi="宋体" w:eastAsia="宋体" w:cs="宋体"/>
          <w:sz w:val="21"/>
          <w:szCs w:val="21"/>
        </w:rPr>
      </w:pPr>
      <w:r>
        <w:rPr>
          <w:rFonts w:ascii="Times New Roman" w:hAnsi="Times New Roman" w:eastAsia="Times New Roman" w:cs="Times New Roman"/>
          <w:position w:val="1"/>
          <w:sz w:val="21"/>
          <w:szCs w:val="21"/>
        </w:rPr>
        <w:t>InOR</w:t>
      </w:r>
      <w:r>
        <w:rPr>
          <w:rFonts w:ascii="Times New Roman" w:hAnsi="Times New Roman" w:eastAsia="Times New Roman" w:cs="Times New Roman"/>
          <w:spacing w:val="1"/>
          <w:position w:val="1"/>
          <w:sz w:val="21"/>
          <w:szCs w:val="21"/>
        </w:rPr>
        <w:t xml:space="preserve">        95%</w:t>
      </w:r>
      <w:r>
        <w:rPr>
          <w:rFonts w:ascii="Times New Roman" w:hAnsi="Times New Roman" w:eastAsia="Times New Roman" w:cs="Times New Roman"/>
          <w:position w:val="1"/>
          <w:sz w:val="21"/>
          <w:szCs w:val="21"/>
        </w:rPr>
        <w:t>CI</w:t>
      </w:r>
      <w:r>
        <w:rPr>
          <w:rFonts w:ascii="Times New Roman" w:hAnsi="Times New Roman" w:eastAsia="Times New Roman" w:cs="Times New Roman"/>
          <w:spacing w:val="1"/>
          <w:position w:val="1"/>
          <w:sz w:val="21"/>
          <w:szCs w:val="21"/>
        </w:rPr>
        <w:t>=</w:t>
      </w:r>
      <w:r>
        <w:rPr>
          <w:rFonts w:ascii="Times New Roman" w:hAnsi="Times New Roman" w:eastAsia="Times New Roman" w:cs="Times New Roman"/>
          <w:position w:val="1"/>
          <w:sz w:val="21"/>
          <w:szCs w:val="21"/>
        </w:rPr>
        <w:t>lnOR</w:t>
      </w:r>
      <w:r>
        <w:rPr>
          <w:rFonts w:ascii="Times New Roman" w:hAnsi="Times New Roman" w:eastAsia="Times New Roman" w:cs="Times New Roman"/>
          <w:spacing w:val="1"/>
          <w:position w:val="1"/>
          <w:sz w:val="21"/>
          <w:szCs w:val="21"/>
        </w:rPr>
        <w:t>±1.96×√</w:t>
      </w:r>
      <w:r>
        <w:rPr>
          <w:rFonts w:ascii="Times New Roman" w:hAnsi="Times New Roman" w:eastAsia="Times New Roman" w:cs="Times New Roman"/>
          <w:position w:val="1"/>
          <w:sz w:val="21"/>
          <w:szCs w:val="21"/>
        </w:rPr>
        <w:t>Var</w:t>
      </w:r>
      <w:r>
        <w:rPr>
          <w:rFonts w:ascii="Times New Roman" w:hAnsi="Times New Roman" w:eastAsia="Times New Roman" w:cs="Times New Roman"/>
          <w:spacing w:val="1"/>
          <w:position w:val="1"/>
          <w:sz w:val="21"/>
          <w:szCs w:val="21"/>
        </w:rPr>
        <w:t>(</w:t>
      </w:r>
      <w:r>
        <w:rPr>
          <w:rFonts w:ascii="Times New Roman" w:hAnsi="Times New Roman" w:eastAsia="Times New Roman" w:cs="Times New Roman"/>
          <w:position w:val="1"/>
          <w:sz w:val="21"/>
          <w:szCs w:val="21"/>
        </w:rPr>
        <w:t>InOR</w:t>
      </w:r>
      <w:r>
        <w:rPr>
          <w:rFonts w:ascii="Times New Roman" w:hAnsi="Times New Roman" w:eastAsia="Times New Roman" w:cs="Times New Roman"/>
          <w:spacing w:val="1"/>
          <w:position w:val="1"/>
          <w:sz w:val="21"/>
          <w:szCs w:val="21"/>
        </w:rPr>
        <w:t xml:space="preserve">)                                    </w:t>
      </w:r>
      <w:r>
        <w:rPr>
          <w:rFonts w:ascii="宋体" w:hAnsi="宋体" w:eastAsia="宋体" w:cs="宋体"/>
          <w:spacing w:val="1"/>
          <w:sz w:val="21"/>
          <w:szCs w:val="21"/>
        </w:rPr>
        <w:t>式(5-13)</w:t>
      </w:r>
    </w:p>
    <w:p w14:paraId="5B7E1906">
      <w:pPr>
        <w:spacing w:before="249" w:line="219" w:lineRule="auto"/>
        <w:ind w:left="470"/>
        <w:rPr>
          <w:rFonts w:ascii="宋体" w:hAnsi="宋体" w:eastAsia="宋体" w:cs="宋体"/>
          <w:sz w:val="21"/>
          <w:szCs w:val="21"/>
        </w:rPr>
      </w:pPr>
      <w:r>
        <w:rPr>
          <w:rFonts w:ascii="宋体" w:hAnsi="宋体" w:eastAsia="宋体" w:cs="宋体"/>
          <w:sz w:val="21"/>
          <w:szCs w:val="21"/>
        </w:rPr>
        <w:t>OR</w:t>
      </w:r>
      <w:r>
        <w:rPr>
          <w:rFonts w:ascii="宋体" w:hAnsi="宋体" w:eastAsia="宋体" w:cs="宋体"/>
          <w:spacing w:val="15"/>
          <w:sz w:val="21"/>
          <w:szCs w:val="21"/>
        </w:rPr>
        <w:t xml:space="preserve"> 值的95%可信区间是其反自然对数，即</w:t>
      </w:r>
    </w:p>
    <w:p w14:paraId="7693D6E2">
      <w:pPr>
        <w:spacing w:before="259" w:line="283" w:lineRule="exact"/>
        <w:ind w:left="3340"/>
        <w:rPr>
          <w:rFonts w:ascii="宋体" w:hAnsi="宋体" w:eastAsia="宋体" w:cs="宋体"/>
          <w:sz w:val="21"/>
          <w:szCs w:val="21"/>
        </w:rPr>
      </w:pPr>
      <w:r>
        <w:rPr>
          <w:rFonts w:ascii="Times New Roman" w:hAnsi="Times New Roman" w:eastAsia="Times New Roman" w:cs="Times New Roman"/>
          <w:position w:val="1"/>
          <w:sz w:val="21"/>
          <w:szCs w:val="21"/>
        </w:rPr>
        <w:t>exp</w:t>
      </w:r>
      <w:r>
        <w:rPr>
          <w:rFonts w:ascii="Times New Roman" w:hAnsi="Times New Roman" w:eastAsia="Times New Roman" w:cs="Times New Roman"/>
          <w:spacing w:val="1"/>
          <w:position w:val="1"/>
          <w:sz w:val="21"/>
          <w:szCs w:val="21"/>
        </w:rPr>
        <w:t>[</w:t>
      </w:r>
      <w:r>
        <w:rPr>
          <w:rFonts w:ascii="Times New Roman" w:hAnsi="Times New Roman" w:eastAsia="Times New Roman" w:cs="Times New Roman"/>
          <w:position w:val="1"/>
          <w:sz w:val="21"/>
          <w:szCs w:val="21"/>
        </w:rPr>
        <w:t>lnOR</w:t>
      </w:r>
      <w:r>
        <w:rPr>
          <w:rFonts w:ascii="Times New Roman" w:hAnsi="Times New Roman" w:eastAsia="Times New Roman" w:cs="Times New Roman"/>
          <w:spacing w:val="1"/>
          <w:position w:val="1"/>
          <w:sz w:val="21"/>
          <w:szCs w:val="21"/>
        </w:rPr>
        <w:t>±1.96√</w:t>
      </w:r>
      <w:r>
        <w:rPr>
          <w:rFonts w:ascii="Times New Roman" w:hAnsi="Times New Roman" w:eastAsia="Times New Roman" w:cs="Times New Roman"/>
          <w:position w:val="1"/>
          <w:sz w:val="21"/>
          <w:szCs w:val="21"/>
        </w:rPr>
        <w:t>Var</w:t>
      </w:r>
      <w:r>
        <w:rPr>
          <w:rFonts w:ascii="Times New Roman" w:hAnsi="Times New Roman" w:eastAsia="Times New Roman" w:cs="Times New Roman"/>
          <w:spacing w:val="1"/>
          <w:position w:val="1"/>
          <w:sz w:val="21"/>
          <w:szCs w:val="21"/>
        </w:rPr>
        <w:t>(</w:t>
      </w:r>
      <w:r>
        <w:rPr>
          <w:rFonts w:ascii="Times New Roman" w:hAnsi="Times New Roman" w:eastAsia="Times New Roman" w:cs="Times New Roman"/>
          <w:position w:val="1"/>
          <w:sz w:val="21"/>
          <w:szCs w:val="21"/>
        </w:rPr>
        <w:t>InOR</w:t>
      </w:r>
      <w:r>
        <w:rPr>
          <w:rFonts w:ascii="Times New Roman" w:hAnsi="Times New Roman" w:eastAsia="Times New Roman" w:cs="Times New Roman"/>
          <w:spacing w:val="1"/>
          <w:position w:val="1"/>
          <w:sz w:val="21"/>
          <w:szCs w:val="21"/>
        </w:rPr>
        <w:t xml:space="preserve">)]                                                   </w:t>
      </w:r>
      <w:r>
        <w:rPr>
          <w:rFonts w:ascii="宋体" w:hAnsi="宋体" w:eastAsia="宋体" w:cs="宋体"/>
          <w:spacing w:val="1"/>
          <w:position w:val="1"/>
          <w:sz w:val="21"/>
          <w:szCs w:val="21"/>
        </w:rPr>
        <w:t>式(5-14)</w:t>
      </w:r>
    </w:p>
    <w:p w14:paraId="0E43FEF3">
      <w:pPr>
        <w:spacing w:line="283" w:lineRule="exact"/>
        <w:rPr>
          <w:rFonts w:ascii="宋体" w:hAnsi="宋体" w:eastAsia="宋体" w:cs="宋体"/>
          <w:sz w:val="21"/>
          <w:szCs w:val="21"/>
        </w:rPr>
        <w:sectPr>
          <w:type w:val="continuous"/>
          <w:pgSz w:w="11900" w:h="16820"/>
          <w:pgMar w:top="400" w:right="673" w:bottom="910" w:left="1279" w:header="0" w:footer="637" w:gutter="0"/>
          <w:cols w:equalWidth="0" w:num="1">
            <w:col w:w="9947"/>
          </w:cols>
        </w:sectPr>
      </w:pPr>
    </w:p>
    <w:p w14:paraId="660AA916">
      <w:pPr>
        <w:pStyle w:val="2"/>
        <w:spacing w:before="187" w:line="222" w:lineRule="auto"/>
        <w:ind w:left="730"/>
        <w:rPr>
          <w:sz w:val="22"/>
          <w:szCs w:val="22"/>
        </w:rPr>
      </w:pPr>
      <w:r>
        <w:rPr>
          <w:spacing w:val="-15"/>
          <w:w w:val="93"/>
          <w:sz w:val="22"/>
          <w:szCs w:val="22"/>
        </w:rPr>
        <w:t>第五章病例对照研究</w:t>
      </w:r>
    </w:p>
    <w:p w14:paraId="2E467B12">
      <w:pPr>
        <w:spacing w:line="311" w:lineRule="auto"/>
        <w:rPr>
          <w:rFonts w:ascii="Arial"/>
          <w:sz w:val="21"/>
        </w:rPr>
      </w:pPr>
    </w:p>
    <w:p w14:paraId="7FA02609">
      <w:pPr>
        <w:spacing w:line="311" w:lineRule="auto"/>
        <w:rPr>
          <w:rFonts w:ascii="Arial"/>
          <w:sz w:val="21"/>
        </w:rPr>
      </w:pPr>
      <w:r>
        <w:drawing>
          <wp:anchor distT="0" distB="0" distL="0" distR="0" simplePos="0" relativeHeight="251741184" behindDoc="0" locked="0" layoutInCell="1" allowOverlap="1">
            <wp:simplePos x="0" y="0"/>
            <wp:positionH relativeFrom="column">
              <wp:posOffset>2139950</wp:posOffset>
            </wp:positionH>
            <wp:positionV relativeFrom="paragraph">
              <wp:posOffset>154940</wp:posOffset>
            </wp:positionV>
            <wp:extent cx="2247900" cy="311150"/>
            <wp:effectExtent l="0" t="0" r="0" b="0"/>
            <wp:wrapNone/>
            <wp:docPr id="276" name="IM 276"/>
            <wp:cNvGraphicFramePr/>
            <a:graphic xmlns:a="http://schemas.openxmlformats.org/drawingml/2006/main">
              <a:graphicData uri="http://schemas.openxmlformats.org/drawingml/2006/picture">
                <pic:pic xmlns:pic="http://schemas.openxmlformats.org/drawingml/2006/picture">
                  <pic:nvPicPr>
                    <pic:cNvPr id="276" name="IM 276"/>
                    <pic:cNvPicPr/>
                  </pic:nvPicPr>
                  <pic:blipFill>
                    <a:blip r:embed="rId515"/>
                    <a:stretch>
                      <a:fillRect/>
                    </a:stretch>
                  </pic:blipFill>
                  <pic:spPr>
                    <a:xfrm>
                      <a:off x="0" y="0"/>
                      <a:ext cx="2247907" cy="311129"/>
                    </a:xfrm>
                    <a:prstGeom prst="rect">
                      <a:avLst/>
                    </a:prstGeom>
                  </pic:spPr>
                </pic:pic>
              </a:graphicData>
            </a:graphic>
          </wp:anchor>
        </w:drawing>
      </w:r>
    </w:p>
    <w:p w14:paraId="6AF86B27">
      <w:pPr>
        <w:spacing w:before="72" w:line="221" w:lineRule="auto"/>
        <w:ind w:left="1150"/>
        <w:rPr>
          <w:rFonts w:ascii="宋体" w:hAnsi="宋体" w:eastAsia="宋体" w:cs="宋体"/>
          <w:sz w:val="22"/>
          <w:szCs w:val="22"/>
        </w:rPr>
      </w:pPr>
      <w:r>
        <w:rPr>
          <w:rFonts w:ascii="宋体" w:hAnsi="宋体" w:eastAsia="宋体" w:cs="宋体"/>
          <w:spacing w:val="-2"/>
          <w:sz w:val="22"/>
          <w:szCs w:val="22"/>
        </w:rPr>
        <w:t>例5-4:</w:t>
      </w:r>
    </w:p>
    <w:p w14:paraId="0B11A18A">
      <w:pPr>
        <w:spacing w:before="230" w:line="296" w:lineRule="exact"/>
        <w:ind w:left="2810"/>
        <w:rPr>
          <w:rFonts w:ascii="Times New Roman" w:hAnsi="Times New Roman" w:eastAsia="Times New Roman" w:cs="Times New Roman"/>
          <w:sz w:val="22"/>
          <w:szCs w:val="22"/>
        </w:rPr>
      </w:pPr>
      <w:r>
        <w:rPr>
          <w:rFonts w:ascii="Times New Roman" w:hAnsi="Times New Roman" w:eastAsia="Times New Roman" w:cs="Times New Roman"/>
          <w:position w:val="1"/>
          <w:sz w:val="22"/>
          <w:szCs w:val="22"/>
        </w:rPr>
        <w:t>InOR</w:t>
      </w:r>
      <w:r>
        <w:rPr>
          <w:rFonts w:ascii="Times New Roman" w:hAnsi="Times New Roman" w:eastAsia="Times New Roman" w:cs="Times New Roman"/>
          <w:spacing w:val="8"/>
          <w:position w:val="1"/>
          <w:sz w:val="22"/>
          <w:szCs w:val="22"/>
        </w:rPr>
        <w:t xml:space="preserve">      </w:t>
      </w:r>
      <w:r>
        <w:rPr>
          <w:rFonts w:ascii="Times New Roman" w:hAnsi="Times New Roman" w:eastAsia="Times New Roman" w:cs="Times New Roman"/>
          <w:position w:val="1"/>
          <w:sz w:val="22"/>
          <w:szCs w:val="22"/>
        </w:rPr>
        <w:t>95%CI=1n2.20±1.96×√0.0826=</w:t>
      </w:r>
      <w:r>
        <w:rPr>
          <w:rFonts w:ascii="Times New Roman" w:hAnsi="Times New Roman" w:eastAsia="Times New Roman" w:cs="Times New Roman"/>
          <w:spacing w:val="-1"/>
          <w:position w:val="1"/>
          <w:sz w:val="22"/>
          <w:szCs w:val="22"/>
        </w:rPr>
        <w:t>(0.2251,1.3518)</w:t>
      </w:r>
    </w:p>
    <w:p w14:paraId="79EE33E8">
      <w:pPr>
        <w:spacing w:before="157" w:line="192" w:lineRule="auto"/>
        <w:ind w:left="3810"/>
        <w:rPr>
          <w:rFonts w:ascii="Times New Roman" w:hAnsi="Times New Roman" w:eastAsia="Times New Roman" w:cs="Times New Roman"/>
          <w:sz w:val="22"/>
          <w:szCs w:val="22"/>
        </w:rPr>
      </w:pPr>
      <w:r>
        <w:rPr>
          <w:rFonts w:ascii="Times New Roman" w:hAnsi="Times New Roman" w:eastAsia="Times New Roman" w:cs="Times New Roman"/>
          <w:sz w:val="22"/>
          <w:szCs w:val="22"/>
        </w:rPr>
        <w:t>exp(0.2251,1.3518)=(</w:t>
      </w:r>
      <w:r>
        <w:rPr>
          <w:rFonts w:ascii="Times New Roman" w:hAnsi="Times New Roman" w:eastAsia="Times New Roman" w:cs="Times New Roman"/>
          <w:spacing w:val="-1"/>
          <w:sz w:val="22"/>
          <w:szCs w:val="22"/>
        </w:rPr>
        <w:t>1.25,3.86)</w:t>
      </w:r>
    </w:p>
    <w:p w14:paraId="191EEF41">
      <w:pPr>
        <w:spacing w:before="279" w:line="219" w:lineRule="auto"/>
        <w:ind w:left="1180"/>
        <w:rPr>
          <w:rFonts w:ascii="宋体" w:hAnsi="宋体" w:eastAsia="宋体" w:cs="宋体"/>
          <w:sz w:val="22"/>
          <w:szCs w:val="22"/>
        </w:rPr>
      </w:pPr>
      <w:r>
        <w:rPr>
          <w:rFonts w:ascii="宋体" w:hAnsi="宋体" w:eastAsia="宋体" w:cs="宋体"/>
          <w:spacing w:val="-4"/>
          <w:sz w:val="22"/>
          <w:szCs w:val="22"/>
        </w:rPr>
        <w:t>即</w:t>
      </w:r>
      <w:r>
        <w:rPr>
          <w:rFonts w:ascii="Times New Roman" w:hAnsi="Times New Roman" w:eastAsia="Times New Roman" w:cs="Times New Roman"/>
          <w:spacing w:val="-4"/>
          <w:sz w:val="22"/>
          <w:szCs w:val="22"/>
        </w:rPr>
        <w:t>OR</w:t>
      </w:r>
      <w:r>
        <w:rPr>
          <w:rFonts w:ascii="宋体" w:hAnsi="宋体" w:eastAsia="宋体" w:cs="宋体"/>
          <w:spacing w:val="-4"/>
          <w:sz w:val="22"/>
          <w:szCs w:val="22"/>
        </w:rPr>
        <w:t>的95%可信区间为1.25～3.86。</w:t>
      </w:r>
    </w:p>
    <w:p w14:paraId="06A133D1">
      <w:pPr>
        <w:spacing w:before="137" w:line="219" w:lineRule="auto"/>
        <w:ind w:left="1150"/>
        <w:rPr>
          <w:rFonts w:ascii="宋体" w:hAnsi="宋体" w:eastAsia="宋体" w:cs="宋体"/>
          <w:sz w:val="22"/>
          <w:szCs w:val="22"/>
        </w:rPr>
      </w:pPr>
      <w:r>
        <w:rPr>
          <w:rFonts w:ascii="宋体" w:hAnsi="宋体" w:eastAsia="宋体" w:cs="宋体"/>
          <w:spacing w:val="-14"/>
          <w:sz w:val="22"/>
          <w:szCs w:val="22"/>
        </w:rPr>
        <w:t>可见上述两种方法计算结果基本一致，</w:t>
      </w:r>
      <w:r>
        <w:rPr>
          <w:rFonts w:ascii="Times New Roman" w:hAnsi="Times New Roman" w:eastAsia="Times New Roman" w:cs="Times New Roman"/>
          <w:spacing w:val="-14"/>
          <w:sz w:val="22"/>
          <w:szCs w:val="22"/>
        </w:rPr>
        <w:t>Miettinen</w:t>
      </w:r>
      <w:r>
        <w:rPr>
          <w:rFonts w:ascii="宋体" w:hAnsi="宋体" w:eastAsia="宋体" w:cs="宋体"/>
          <w:spacing w:val="-14"/>
          <w:sz w:val="22"/>
          <w:szCs w:val="22"/>
        </w:rPr>
        <w:t>法计算方法简单，较常用。</w:t>
      </w:r>
    </w:p>
    <w:p w14:paraId="0ABF9EF9">
      <w:pPr>
        <w:spacing w:before="138" w:line="321" w:lineRule="auto"/>
        <w:ind w:left="730" w:right="48" w:firstLine="429"/>
        <w:rPr>
          <w:rFonts w:ascii="宋体" w:hAnsi="宋体" w:eastAsia="宋体" w:cs="宋体"/>
          <w:sz w:val="22"/>
          <w:szCs w:val="22"/>
        </w:rPr>
      </w:pPr>
      <w:r>
        <w:rPr>
          <w:rFonts w:ascii="宋体" w:hAnsi="宋体" w:eastAsia="宋体" w:cs="宋体"/>
          <w:spacing w:val="-6"/>
          <w:sz w:val="22"/>
          <w:szCs w:val="22"/>
        </w:rPr>
        <w:t>OR</w:t>
      </w:r>
      <w:r>
        <w:rPr>
          <w:rFonts w:ascii="宋体" w:hAnsi="宋体" w:eastAsia="宋体" w:cs="宋体"/>
          <w:spacing w:val="-22"/>
          <w:sz w:val="22"/>
          <w:szCs w:val="22"/>
        </w:rPr>
        <w:t xml:space="preserve"> </w:t>
      </w:r>
      <w:r>
        <w:rPr>
          <w:rFonts w:ascii="宋体" w:hAnsi="宋体" w:eastAsia="宋体" w:cs="宋体"/>
          <w:spacing w:val="-6"/>
          <w:sz w:val="22"/>
          <w:szCs w:val="22"/>
        </w:rPr>
        <w:t>值可信区间除了用于估计总体OR 值的范围外，也可根据OR 值的可信区间是</w:t>
      </w:r>
      <w:r>
        <w:rPr>
          <w:rFonts w:ascii="宋体" w:hAnsi="宋体" w:eastAsia="宋体" w:cs="宋体"/>
          <w:spacing w:val="-7"/>
          <w:sz w:val="22"/>
          <w:szCs w:val="22"/>
        </w:rPr>
        <w:t>否包括1来推</w:t>
      </w:r>
      <w:r>
        <w:rPr>
          <w:rFonts w:ascii="宋体" w:hAnsi="宋体" w:eastAsia="宋体" w:cs="宋体"/>
          <w:sz w:val="22"/>
          <w:szCs w:val="22"/>
        </w:rPr>
        <w:t xml:space="preserve"> </w:t>
      </w:r>
      <w:r>
        <w:rPr>
          <w:rFonts w:ascii="宋体" w:hAnsi="宋体" w:eastAsia="宋体" w:cs="宋体"/>
          <w:spacing w:val="-4"/>
          <w:sz w:val="22"/>
          <w:szCs w:val="22"/>
        </w:rPr>
        <w:t>断暴露因素与疾病间有无统计学关联。如果95%CI不</w:t>
      </w:r>
      <w:r>
        <w:rPr>
          <w:rFonts w:ascii="宋体" w:hAnsi="宋体" w:eastAsia="宋体" w:cs="宋体"/>
          <w:spacing w:val="-5"/>
          <w:sz w:val="22"/>
          <w:szCs w:val="22"/>
        </w:rPr>
        <w:t>包括1,说明如果进行多次病例对照研究，有</w:t>
      </w:r>
      <w:r>
        <w:rPr>
          <w:rFonts w:ascii="宋体" w:hAnsi="宋体" w:eastAsia="宋体" w:cs="宋体"/>
          <w:sz w:val="22"/>
          <w:szCs w:val="22"/>
        </w:rPr>
        <w:t xml:space="preserve"> </w:t>
      </w:r>
      <w:r>
        <w:rPr>
          <w:rFonts w:ascii="宋体" w:hAnsi="宋体" w:eastAsia="宋体" w:cs="宋体"/>
          <w:spacing w:val="-1"/>
          <w:sz w:val="22"/>
          <w:szCs w:val="22"/>
        </w:rPr>
        <w:t>95%的可能</w:t>
      </w:r>
      <w:r>
        <w:rPr>
          <w:rFonts w:ascii="Times New Roman" w:hAnsi="Times New Roman" w:eastAsia="Times New Roman" w:cs="Times New Roman"/>
          <w:spacing w:val="-1"/>
          <w:sz w:val="22"/>
          <w:szCs w:val="22"/>
        </w:rPr>
        <w:t>OR</w:t>
      </w:r>
      <w:r>
        <w:rPr>
          <w:rFonts w:ascii="宋体" w:hAnsi="宋体" w:eastAsia="宋体" w:cs="宋体"/>
          <w:spacing w:val="-1"/>
          <w:sz w:val="22"/>
          <w:szCs w:val="22"/>
        </w:rPr>
        <w:t>值不等于1,该项研究</w:t>
      </w:r>
      <w:r>
        <w:rPr>
          <w:rFonts w:ascii="Times New Roman" w:hAnsi="Times New Roman" w:eastAsia="Times New Roman" w:cs="Times New Roman"/>
          <w:spacing w:val="-1"/>
          <w:sz w:val="22"/>
          <w:szCs w:val="22"/>
        </w:rPr>
        <w:t>OR</w:t>
      </w:r>
      <w:r>
        <w:rPr>
          <w:rFonts w:ascii="宋体" w:hAnsi="宋体" w:eastAsia="宋体" w:cs="宋体"/>
          <w:spacing w:val="-1"/>
          <w:sz w:val="22"/>
          <w:szCs w:val="22"/>
        </w:rPr>
        <w:t>值不等于1并非抽样误差所致，可认为研究因素与研究疾</w:t>
      </w:r>
      <w:r>
        <w:rPr>
          <w:rFonts w:ascii="宋体" w:hAnsi="宋体" w:eastAsia="宋体" w:cs="宋体"/>
          <w:spacing w:val="1"/>
          <w:sz w:val="22"/>
          <w:szCs w:val="22"/>
        </w:rPr>
        <w:t xml:space="preserve"> </w:t>
      </w:r>
      <w:r>
        <w:rPr>
          <w:rFonts w:ascii="宋体" w:hAnsi="宋体" w:eastAsia="宋体" w:cs="宋体"/>
          <w:spacing w:val="-2"/>
          <w:sz w:val="22"/>
          <w:szCs w:val="22"/>
        </w:rPr>
        <w:t>病有关联；如果</w:t>
      </w:r>
      <w:r>
        <w:rPr>
          <w:rFonts w:ascii="Times New Roman" w:hAnsi="Times New Roman" w:eastAsia="Times New Roman" w:cs="Times New Roman"/>
          <w:spacing w:val="-2"/>
          <w:sz w:val="22"/>
          <w:szCs w:val="22"/>
        </w:rPr>
        <w:t>OR</w:t>
      </w:r>
      <w:r>
        <w:rPr>
          <w:rFonts w:ascii="宋体" w:hAnsi="宋体" w:eastAsia="宋体" w:cs="宋体"/>
          <w:spacing w:val="-2"/>
          <w:sz w:val="22"/>
          <w:szCs w:val="22"/>
        </w:rPr>
        <w:t>值95%</w:t>
      </w:r>
      <w:r>
        <w:rPr>
          <w:rFonts w:ascii="Times New Roman" w:hAnsi="Times New Roman" w:eastAsia="Times New Roman" w:cs="Times New Roman"/>
          <w:spacing w:val="-2"/>
          <w:sz w:val="22"/>
          <w:szCs w:val="22"/>
        </w:rPr>
        <w:t>CI</w:t>
      </w:r>
      <w:r>
        <w:rPr>
          <w:rFonts w:ascii="宋体" w:hAnsi="宋体" w:eastAsia="宋体" w:cs="宋体"/>
          <w:spacing w:val="-2"/>
          <w:sz w:val="22"/>
          <w:szCs w:val="22"/>
        </w:rPr>
        <w:t>包括1,说明如果进行多次病例对照研究，可能有95%的研究其</w:t>
      </w:r>
      <w:r>
        <w:rPr>
          <w:rFonts w:ascii="Times New Roman" w:hAnsi="Times New Roman" w:eastAsia="Times New Roman" w:cs="Times New Roman"/>
          <w:spacing w:val="-2"/>
          <w:sz w:val="22"/>
          <w:szCs w:val="22"/>
        </w:rPr>
        <w:t xml:space="preserve">OR </w:t>
      </w:r>
      <w:r>
        <w:rPr>
          <w:rFonts w:ascii="宋体" w:hAnsi="宋体" w:eastAsia="宋体" w:cs="宋体"/>
          <w:spacing w:val="-2"/>
          <w:sz w:val="22"/>
          <w:szCs w:val="22"/>
        </w:rPr>
        <w:t>值</w:t>
      </w:r>
      <w:r>
        <w:rPr>
          <w:rFonts w:ascii="宋体" w:hAnsi="宋体" w:eastAsia="宋体" w:cs="宋体"/>
          <w:sz w:val="22"/>
          <w:szCs w:val="22"/>
        </w:rPr>
        <w:t xml:space="preserve"> </w:t>
      </w:r>
      <w:r>
        <w:rPr>
          <w:rFonts w:ascii="宋体" w:hAnsi="宋体" w:eastAsia="宋体" w:cs="宋体"/>
          <w:spacing w:val="-6"/>
          <w:sz w:val="22"/>
          <w:szCs w:val="22"/>
        </w:rPr>
        <w:t>等于1或接近1,即研究因素与研究疾病无关联。</w:t>
      </w:r>
    </w:p>
    <w:p w14:paraId="278DA2CD">
      <w:pPr>
        <w:spacing w:before="48" w:line="296" w:lineRule="auto"/>
        <w:ind w:left="740" w:right="59" w:firstLine="399"/>
        <w:rPr>
          <w:rFonts w:ascii="宋体" w:hAnsi="宋体" w:eastAsia="宋体" w:cs="宋体"/>
          <w:sz w:val="22"/>
          <w:szCs w:val="22"/>
        </w:rPr>
      </w:pPr>
      <w:r>
        <w:rPr>
          <w:rFonts w:ascii="宋体" w:hAnsi="宋体" w:eastAsia="宋体" w:cs="宋体"/>
          <w:spacing w:val="-7"/>
          <w:sz w:val="22"/>
          <w:szCs w:val="22"/>
        </w:rPr>
        <w:t>(4)估计归因危险度百分比(AR%)</w:t>
      </w:r>
      <w:r>
        <w:rPr>
          <w:rFonts w:ascii="宋体" w:hAnsi="宋体" w:eastAsia="宋体" w:cs="宋体"/>
          <w:spacing w:val="67"/>
          <w:sz w:val="22"/>
          <w:szCs w:val="22"/>
        </w:rPr>
        <w:t xml:space="preserve"> </w:t>
      </w:r>
      <w:r>
        <w:rPr>
          <w:rFonts w:ascii="宋体" w:hAnsi="宋体" w:eastAsia="宋体" w:cs="宋体"/>
          <w:spacing w:val="-7"/>
          <w:sz w:val="22"/>
          <w:szCs w:val="22"/>
        </w:rPr>
        <w:t>和人群归因危险度百分比(PAR%):</w:t>
      </w:r>
      <w:r>
        <w:rPr>
          <w:rFonts w:ascii="宋体" w:hAnsi="宋体" w:eastAsia="宋体" w:cs="宋体"/>
          <w:spacing w:val="88"/>
          <w:sz w:val="22"/>
          <w:szCs w:val="22"/>
        </w:rPr>
        <w:t xml:space="preserve"> </w:t>
      </w:r>
      <w:r>
        <w:rPr>
          <w:rFonts w:ascii="宋体" w:hAnsi="宋体" w:eastAsia="宋体" w:cs="宋体"/>
          <w:spacing w:val="-7"/>
          <w:sz w:val="22"/>
          <w:szCs w:val="22"/>
        </w:rPr>
        <w:t>在一定条件</w:t>
      </w:r>
      <w:r>
        <w:rPr>
          <w:rFonts w:ascii="宋体" w:hAnsi="宋体" w:eastAsia="宋体" w:cs="宋体"/>
          <w:spacing w:val="-8"/>
          <w:sz w:val="22"/>
          <w:szCs w:val="22"/>
        </w:rPr>
        <w:t>下，病例对</w:t>
      </w:r>
      <w:r>
        <w:rPr>
          <w:rFonts w:ascii="宋体" w:hAnsi="宋体" w:eastAsia="宋体" w:cs="宋体"/>
          <w:sz w:val="22"/>
          <w:szCs w:val="22"/>
        </w:rPr>
        <w:t xml:space="preserve"> </w:t>
      </w:r>
      <w:r>
        <w:rPr>
          <w:rFonts w:ascii="宋体" w:hAnsi="宋体" w:eastAsia="宋体" w:cs="宋体"/>
          <w:spacing w:val="-12"/>
          <w:sz w:val="22"/>
          <w:szCs w:val="22"/>
        </w:rPr>
        <w:t>照研究也可计算出这两个指标。</w:t>
      </w:r>
    </w:p>
    <w:p w14:paraId="2A94BDC6">
      <w:pPr>
        <w:spacing w:before="76" w:line="306" w:lineRule="auto"/>
        <w:ind w:left="740" w:right="47" w:firstLine="409"/>
        <w:rPr>
          <w:rFonts w:ascii="宋体" w:hAnsi="宋体" w:eastAsia="宋体" w:cs="宋体"/>
          <w:sz w:val="22"/>
          <w:szCs w:val="22"/>
        </w:rPr>
      </w:pPr>
      <w:r>
        <w:rPr>
          <w:rFonts w:ascii="宋体" w:hAnsi="宋体" w:eastAsia="宋体" w:cs="宋体"/>
          <w:spacing w:val="-8"/>
          <w:sz w:val="22"/>
          <w:szCs w:val="22"/>
        </w:rPr>
        <w:t>在病例对照研究中一般不能获得发病率和RR 值，只能获得OR</w:t>
      </w:r>
      <w:r>
        <w:rPr>
          <w:rFonts w:ascii="宋体" w:hAnsi="宋体" w:eastAsia="宋体" w:cs="宋体"/>
          <w:spacing w:val="55"/>
          <w:sz w:val="22"/>
          <w:szCs w:val="22"/>
        </w:rPr>
        <w:t xml:space="preserve"> </w:t>
      </w:r>
      <w:r>
        <w:rPr>
          <w:rFonts w:ascii="宋体" w:hAnsi="宋体" w:eastAsia="宋体" w:cs="宋体"/>
          <w:spacing w:val="-8"/>
          <w:sz w:val="22"/>
          <w:szCs w:val="22"/>
        </w:rPr>
        <w:t>值，当所研究疾病的发病率很</w:t>
      </w:r>
      <w:r>
        <w:rPr>
          <w:rFonts w:ascii="宋体" w:hAnsi="宋体" w:eastAsia="宋体" w:cs="宋体"/>
          <w:sz w:val="22"/>
          <w:szCs w:val="22"/>
        </w:rPr>
        <w:t xml:space="preserve"> </w:t>
      </w:r>
      <w:r>
        <w:rPr>
          <w:rFonts w:ascii="宋体" w:hAnsi="宋体" w:eastAsia="宋体" w:cs="宋体"/>
          <w:spacing w:val="-1"/>
          <w:sz w:val="22"/>
          <w:szCs w:val="22"/>
        </w:rPr>
        <w:t>低(如小于5%)时，</w:t>
      </w:r>
      <w:r>
        <w:rPr>
          <w:rFonts w:ascii="Times New Roman" w:hAnsi="Times New Roman" w:eastAsia="Times New Roman" w:cs="Times New Roman"/>
          <w:spacing w:val="-1"/>
          <w:sz w:val="22"/>
          <w:szCs w:val="22"/>
        </w:rPr>
        <w:t xml:space="preserve">OR≈RR,  </w:t>
      </w:r>
      <w:r>
        <w:rPr>
          <w:rFonts w:ascii="宋体" w:hAnsi="宋体" w:eastAsia="宋体" w:cs="宋体"/>
          <w:spacing w:val="-1"/>
          <w:sz w:val="22"/>
          <w:szCs w:val="22"/>
        </w:rPr>
        <w:t>故可用</w:t>
      </w:r>
      <w:r>
        <w:rPr>
          <w:rFonts w:ascii="Times New Roman" w:hAnsi="Times New Roman" w:eastAsia="Times New Roman" w:cs="Times New Roman"/>
          <w:spacing w:val="-1"/>
          <w:sz w:val="22"/>
          <w:szCs w:val="22"/>
        </w:rPr>
        <w:t>OR</w:t>
      </w:r>
      <w:r>
        <w:rPr>
          <w:rFonts w:ascii="宋体" w:hAnsi="宋体" w:eastAsia="宋体" w:cs="宋体"/>
          <w:spacing w:val="-1"/>
          <w:sz w:val="22"/>
          <w:szCs w:val="22"/>
        </w:rPr>
        <w:t>来代替</w:t>
      </w:r>
      <w:r>
        <w:rPr>
          <w:rFonts w:ascii="Times New Roman" w:hAnsi="Times New Roman" w:eastAsia="Times New Roman" w:cs="Times New Roman"/>
          <w:spacing w:val="-1"/>
          <w:sz w:val="22"/>
          <w:szCs w:val="22"/>
        </w:rPr>
        <w:t>RR</w:t>
      </w:r>
      <w:r>
        <w:rPr>
          <w:rFonts w:ascii="宋体" w:hAnsi="宋体" w:eastAsia="宋体" w:cs="宋体"/>
          <w:spacing w:val="-1"/>
          <w:sz w:val="22"/>
          <w:szCs w:val="22"/>
        </w:rPr>
        <w:t>来估</w:t>
      </w:r>
      <w:r>
        <w:rPr>
          <w:rFonts w:ascii="宋体" w:hAnsi="宋体" w:eastAsia="宋体" w:cs="宋体"/>
          <w:spacing w:val="-2"/>
          <w:sz w:val="22"/>
          <w:szCs w:val="22"/>
        </w:rPr>
        <w:t>计</w:t>
      </w:r>
      <w:r>
        <w:rPr>
          <w:rFonts w:ascii="Times New Roman" w:hAnsi="Times New Roman" w:eastAsia="Times New Roman" w:cs="Times New Roman"/>
          <w:spacing w:val="-2"/>
          <w:sz w:val="22"/>
          <w:szCs w:val="22"/>
        </w:rPr>
        <w:t xml:space="preserve">AR%, </w:t>
      </w:r>
      <w:r>
        <w:rPr>
          <w:rFonts w:ascii="宋体" w:hAnsi="宋体" w:eastAsia="宋体" w:cs="宋体"/>
          <w:spacing w:val="-2"/>
          <w:sz w:val="22"/>
          <w:szCs w:val="22"/>
        </w:rPr>
        <w:t>其计算公式可写成：</w:t>
      </w:r>
    </w:p>
    <w:p w14:paraId="20FA366C">
      <w:pPr>
        <w:spacing w:line="259" w:lineRule="auto"/>
        <w:rPr>
          <w:rFonts w:ascii="Arial"/>
          <w:sz w:val="21"/>
        </w:rPr>
      </w:pPr>
      <w:r>
        <w:drawing>
          <wp:anchor distT="0" distB="0" distL="0" distR="0" simplePos="0" relativeHeight="251743232" behindDoc="0" locked="0" layoutInCell="1" allowOverlap="1">
            <wp:simplePos x="0" y="0"/>
            <wp:positionH relativeFrom="column">
              <wp:posOffset>2692400</wp:posOffset>
            </wp:positionH>
            <wp:positionV relativeFrom="paragraph">
              <wp:posOffset>95885</wp:posOffset>
            </wp:positionV>
            <wp:extent cx="1174750" cy="317500"/>
            <wp:effectExtent l="0" t="0" r="0" b="0"/>
            <wp:wrapNone/>
            <wp:docPr id="278" name="IM 278"/>
            <wp:cNvGraphicFramePr/>
            <a:graphic xmlns:a="http://schemas.openxmlformats.org/drawingml/2006/main">
              <a:graphicData uri="http://schemas.openxmlformats.org/drawingml/2006/picture">
                <pic:pic xmlns:pic="http://schemas.openxmlformats.org/drawingml/2006/picture">
                  <pic:nvPicPr>
                    <pic:cNvPr id="278" name="IM 278"/>
                    <pic:cNvPicPr/>
                  </pic:nvPicPr>
                  <pic:blipFill>
                    <a:blip r:embed="rId516"/>
                    <a:stretch>
                      <a:fillRect/>
                    </a:stretch>
                  </pic:blipFill>
                  <pic:spPr>
                    <a:xfrm>
                      <a:off x="0" y="0"/>
                      <a:ext cx="1174733" cy="317537"/>
                    </a:xfrm>
                    <a:prstGeom prst="rect">
                      <a:avLst/>
                    </a:prstGeom>
                  </pic:spPr>
                </pic:pic>
              </a:graphicData>
            </a:graphic>
          </wp:anchor>
        </w:drawing>
      </w:r>
    </w:p>
    <w:p w14:paraId="660D02CB">
      <w:pPr>
        <w:spacing w:before="72" w:line="221" w:lineRule="auto"/>
        <w:jc w:val="right"/>
        <w:rPr>
          <w:rFonts w:ascii="宋体" w:hAnsi="宋体" w:eastAsia="宋体" w:cs="宋体"/>
          <w:sz w:val="22"/>
          <w:szCs w:val="22"/>
        </w:rPr>
      </w:pPr>
      <w:r>
        <w:rPr>
          <w:rFonts w:ascii="宋体" w:hAnsi="宋体" w:eastAsia="宋体" w:cs="宋体"/>
          <w:spacing w:val="2"/>
          <w:sz w:val="22"/>
          <w:szCs w:val="22"/>
        </w:rPr>
        <w:t>式(5-15)</w:t>
      </w:r>
    </w:p>
    <w:p w14:paraId="0392C4CB">
      <w:pPr>
        <w:spacing w:line="292" w:lineRule="auto"/>
        <w:rPr>
          <w:rFonts w:ascii="Arial"/>
          <w:sz w:val="21"/>
        </w:rPr>
      </w:pPr>
    </w:p>
    <w:p w14:paraId="3EE2EE88">
      <w:pPr>
        <w:spacing w:before="71" w:line="306" w:lineRule="auto"/>
        <w:ind w:left="740" w:right="67" w:firstLine="409"/>
        <w:rPr>
          <w:rFonts w:ascii="宋体" w:hAnsi="宋体" w:eastAsia="宋体" w:cs="宋体"/>
          <w:sz w:val="22"/>
          <w:szCs w:val="22"/>
        </w:rPr>
      </w:pPr>
      <w:r>
        <w:rPr>
          <w:rFonts w:ascii="宋体" w:hAnsi="宋体" w:eastAsia="宋体" w:cs="宋体"/>
          <w:spacing w:val="-2"/>
          <w:sz w:val="22"/>
          <w:szCs w:val="22"/>
        </w:rPr>
        <w:t>如果对照组的暴露率可以代表病例源人群的状况，则可用对照组的暴露率代表人群</w:t>
      </w:r>
      <w:r>
        <w:rPr>
          <w:rFonts w:ascii="宋体" w:hAnsi="宋体" w:eastAsia="宋体" w:cs="宋体"/>
          <w:spacing w:val="-3"/>
          <w:sz w:val="22"/>
          <w:szCs w:val="22"/>
        </w:rPr>
        <w:t>暴露率</w:t>
      </w:r>
      <w:r>
        <w:rPr>
          <w:rFonts w:ascii="宋体" w:hAnsi="宋体" w:eastAsia="宋体" w:cs="宋体"/>
          <w:sz w:val="22"/>
          <w:szCs w:val="22"/>
        </w:rPr>
        <w:t xml:space="preserve"> </w:t>
      </w:r>
      <w:r>
        <w:rPr>
          <w:rFonts w:ascii="Times New Roman" w:hAnsi="Times New Roman" w:eastAsia="Times New Roman" w:cs="Times New Roman"/>
          <w:spacing w:val="-3"/>
          <w:sz w:val="22"/>
          <w:szCs w:val="22"/>
        </w:rPr>
        <w:t>P.,</w:t>
      </w:r>
      <w:r>
        <w:rPr>
          <w:rFonts w:ascii="Times New Roman" w:hAnsi="Times New Roman" w:eastAsia="Times New Roman" w:cs="Times New Roman"/>
          <w:spacing w:val="16"/>
          <w:w w:val="101"/>
          <w:sz w:val="22"/>
          <w:szCs w:val="22"/>
        </w:rPr>
        <w:t xml:space="preserve"> </w:t>
      </w:r>
      <w:r>
        <w:rPr>
          <w:rFonts w:ascii="宋体" w:hAnsi="宋体" w:eastAsia="宋体" w:cs="宋体"/>
          <w:spacing w:val="-3"/>
          <w:sz w:val="22"/>
          <w:szCs w:val="22"/>
        </w:rPr>
        <w:t>则：</w:t>
      </w:r>
    </w:p>
    <w:p w14:paraId="1738443B">
      <w:pPr>
        <w:spacing w:line="308" w:lineRule="auto"/>
        <w:rPr>
          <w:rFonts w:ascii="Arial"/>
          <w:sz w:val="21"/>
        </w:rPr>
      </w:pPr>
      <w:r>
        <w:drawing>
          <wp:anchor distT="0" distB="0" distL="0" distR="0" simplePos="0" relativeHeight="251742208" behindDoc="0" locked="0" layoutInCell="1" allowOverlap="1">
            <wp:simplePos x="0" y="0"/>
            <wp:positionH relativeFrom="column">
              <wp:posOffset>2444750</wp:posOffset>
            </wp:positionH>
            <wp:positionV relativeFrom="paragraph">
              <wp:posOffset>102235</wp:posOffset>
            </wp:positionV>
            <wp:extent cx="1695450" cy="381000"/>
            <wp:effectExtent l="0" t="0" r="0" b="0"/>
            <wp:wrapNone/>
            <wp:docPr id="280" name="IM 280"/>
            <wp:cNvGraphicFramePr/>
            <a:graphic xmlns:a="http://schemas.openxmlformats.org/drawingml/2006/main">
              <a:graphicData uri="http://schemas.openxmlformats.org/drawingml/2006/picture">
                <pic:pic xmlns:pic="http://schemas.openxmlformats.org/drawingml/2006/picture">
                  <pic:nvPicPr>
                    <pic:cNvPr id="280" name="IM 280"/>
                    <pic:cNvPicPr/>
                  </pic:nvPicPr>
                  <pic:blipFill>
                    <a:blip r:embed="rId517"/>
                    <a:stretch>
                      <a:fillRect/>
                    </a:stretch>
                  </pic:blipFill>
                  <pic:spPr>
                    <a:xfrm>
                      <a:off x="0" y="0"/>
                      <a:ext cx="1695451" cy="380980"/>
                    </a:xfrm>
                    <a:prstGeom prst="rect">
                      <a:avLst/>
                    </a:prstGeom>
                  </pic:spPr>
                </pic:pic>
              </a:graphicData>
            </a:graphic>
          </wp:anchor>
        </w:drawing>
      </w:r>
    </w:p>
    <w:p w14:paraId="442CDAE0">
      <w:pPr>
        <w:spacing w:before="72" w:line="221" w:lineRule="auto"/>
        <w:ind w:right="11"/>
        <w:jc w:val="right"/>
        <w:rPr>
          <w:rFonts w:ascii="宋体" w:hAnsi="宋体" w:eastAsia="宋体" w:cs="宋体"/>
          <w:sz w:val="22"/>
          <w:szCs w:val="22"/>
        </w:rPr>
      </w:pPr>
      <w:r>
        <w:rPr>
          <w:rFonts w:ascii="宋体" w:hAnsi="宋体" w:eastAsia="宋体" w:cs="宋体"/>
          <w:spacing w:val="-2"/>
          <w:sz w:val="22"/>
          <w:szCs w:val="22"/>
        </w:rPr>
        <w:t>式(5-16)</w:t>
      </w:r>
    </w:p>
    <w:p w14:paraId="3187B4EF">
      <w:pPr>
        <w:spacing w:line="322" w:lineRule="auto"/>
        <w:rPr>
          <w:rFonts w:ascii="Arial"/>
          <w:sz w:val="21"/>
        </w:rPr>
      </w:pPr>
    </w:p>
    <w:p w14:paraId="68F3DE03">
      <w:pPr>
        <w:spacing w:before="73"/>
        <w:ind w:right="31"/>
        <w:jc w:val="right"/>
        <w:rPr>
          <w:rFonts w:ascii="宋体" w:hAnsi="宋体" w:eastAsia="宋体" w:cs="宋体"/>
          <w:sz w:val="22"/>
          <w:szCs w:val="22"/>
        </w:rPr>
      </w:pPr>
      <w:r>
        <w:rPr>
          <w:rFonts w:ascii="宋体" w:hAnsi="宋体" w:eastAsia="宋体" w:cs="宋体"/>
          <w:position w:val="-13"/>
          <w:sz w:val="22"/>
          <w:szCs w:val="22"/>
        </w:rPr>
        <w:drawing>
          <wp:inline distT="0" distB="0" distL="0" distR="0">
            <wp:extent cx="2139950" cy="297815"/>
            <wp:effectExtent l="0" t="0" r="0" b="0"/>
            <wp:docPr id="282" name="IM 282"/>
            <wp:cNvGraphicFramePr/>
            <a:graphic xmlns:a="http://schemas.openxmlformats.org/drawingml/2006/main">
              <a:graphicData uri="http://schemas.openxmlformats.org/drawingml/2006/picture">
                <pic:pic xmlns:pic="http://schemas.openxmlformats.org/drawingml/2006/picture">
                  <pic:nvPicPr>
                    <pic:cNvPr id="282" name="IM 282"/>
                    <pic:cNvPicPr/>
                  </pic:nvPicPr>
                  <pic:blipFill>
                    <a:blip r:embed="rId518"/>
                    <a:stretch>
                      <a:fillRect/>
                    </a:stretch>
                  </pic:blipFill>
                  <pic:spPr>
                    <a:xfrm>
                      <a:off x="0" y="0"/>
                      <a:ext cx="2140001" cy="298418"/>
                    </a:xfrm>
                    <a:prstGeom prst="rect">
                      <a:avLst/>
                    </a:prstGeom>
                  </pic:spPr>
                </pic:pic>
              </a:graphicData>
            </a:graphic>
          </wp:inline>
        </w:drawing>
      </w:r>
      <w:r>
        <w:rPr>
          <w:rFonts w:ascii="宋体" w:hAnsi="宋体" w:eastAsia="宋体" w:cs="宋体"/>
          <w:spacing w:val="-10"/>
          <w:sz w:val="22"/>
          <w:szCs w:val="22"/>
        </w:rPr>
        <w:t>,表示在服用口服避孕药人群中由服用口服避孕药引起的</w:t>
      </w:r>
    </w:p>
    <w:p w14:paraId="78D66787">
      <w:pPr>
        <w:spacing w:before="8"/>
      </w:pPr>
    </w:p>
    <w:tbl>
      <w:tblPr>
        <w:tblStyle w:val="5"/>
        <w:tblW w:w="8949" w:type="dxa"/>
        <w:tblInd w:w="74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0" w:type="dxa"/>
          <w:left w:w="0" w:type="dxa"/>
          <w:bottom w:w="0" w:type="dxa"/>
          <w:right w:w="0" w:type="dxa"/>
        </w:tblCellMar>
      </w:tblPr>
      <w:tblGrid>
        <w:gridCol w:w="2260"/>
        <w:gridCol w:w="2656"/>
        <w:gridCol w:w="1763"/>
        <w:gridCol w:w="2270"/>
      </w:tblGrid>
      <w:tr w14:paraId="795DB4B5">
        <w:trPr>
          <w:trHeight w:val="509" w:hRule="atLeast"/>
        </w:trPr>
        <w:tc>
          <w:tcPr>
            <w:tcW w:w="8949" w:type="dxa"/>
            <w:gridSpan w:val="4"/>
            <w:vAlign w:val="top"/>
          </w:tcPr>
          <w:p w14:paraId="5A33662D">
            <w:pPr>
              <w:spacing w:line="499" w:lineRule="exact"/>
            </w:pPr>
            <w:r>
              <w:rPr>
                <w:position w:val="-9"/>
              </w:rPr>
              <w:drawing>
                <wp:inline distT="0" distB="0" distL="0" distR="0">
                  <wp:extent cx="5669915" cy="316865"/>
                  <wp:effectExtent l="0" t="0" r="0" b="0"/>
                  <wp:docPr id="284" name="IM 284"/>
                  <wp:cNvGraphicFramePr/>
                  <a:graphic xmlns:a="http://schemas.openxmlformats.org/drawingml/2006/main">
                    <a:graphicData uri="http://schemas.openxmlformats.org/drawingml/2006/picture">
                      <pic:pic xmlns:pic="http://schemas.openxmlformats.org/drawingml/2006/picture">
                        <pic:nvPicPr>
                          <pic:cNvPr id="284" name="IM 284"/>
                          <pic:cNvPicPr/>
                        </pic:nvPicPr>
                        <pic:blipFill>
                          <a:blip r:embed="rId519"/>
                          <a:stretch>
                            <a:fillRect/>
                          </a:stretch>
                        </pic:blipFill>
                        <pic:spPr>
                          <a:xfrm>
                            <a:off x="0" y="0"/>
                            <a:ext cx="5670549" cy="316865"/>
                          </a:xfrm>
                          <a:prstGeom prst="rect">
                            <a:avLst/>
                          </a:prstGeom>
                        </pic:spPr>
                      </pic:pic>
                    </a:graphicData>
                  </a:graphic>
                </wp:inline>
              </w:drawing>
            </w:r>
          </w:p>
        </w:tc>
      </w:tr>
      <w:tr w14:paraId="776723A8">
        <w:trPr>
          <w:trHeight w:val="729" w:hRule="atLeast"/>
        </w:trPr>
        <w:tc>
          <w:tcPr>
            <w:tcW w:w="8949" w:type="dxa"/>
            <w:gridSpan w:val="4"/>
            <w:vAlign w:val="top"/>
          </w:tcPr>
          <w:p w14:paraId="13FD803F">
            <w:pPr>
              <w:spacing w:before="190" w:line="528" w:lineRule="exact"/>
            </w:pPr>
            <w:r>
              <w:rPr>
                <w:position w:val="-10"/>
              </w:rPr>
              <w:drawing>
                <wp:inline distT="0" distB="0" distL="0" distR="0">
                  <wp:extent cx="5676265" cy="335280"/>
                  <wp:effectExtent l="0" t="0" r="0" b="0"/>
                  <wp:docPr id="286" name="IM 286"/>
                  <wp:cNvGraphicFramePr/>
                  <a:graphic xmlns:a="http://schemas.openxmlformats.org/drawingml/2006/main">
                    <a:graphicData uri="http://schemas.openxmlformats.org/drawingml/2006/picture">
                      <pic:pic xmlns:pic="http://schemas.openxmlformats.org/drawingml/2006/picture">
                        <pic:nvPicPr>
                          <pic:cNvPr id="286" name="IM 286"/>
                          <pic:cNvPicPr/>
                        </pic:nvPicPr>
                        <pic:blipFill>
                          <a:blip r:embed="rId520"/>
                          <a:stretch>
                            <a:fillRect/>
                          </a:stretch>
                        </pic:blipFill>
                        <pic:spPr>
                          <a:xfrm>
                            <a:off x="0" y="0"/>
                            <a:ext cx="5676896" cy="335356"/>
                          </a:xfrm>
                          <a:prstGeom prst="rect">
                            <a:avLst/>
                          </a:prstGeom>
                        </pic:spPr>
                      </pic:pic>
                    </a:graphicData>
                  </a:graphic>
                </wp:inline>
              </w:drawing>
            </w:r>
          </w:p>
        </w:tc>
      </w:tr>
      <w:tr w14:paraId="02F5548B">
        <w:trPr>
          <w:trHeight w:val="1876" w:hRule="atLeast"/>
        </w:trPr>
        <w:tc>
          <w:tcPr>
            <w:tcW w:w="8949" w:type="dxa"/>
            <w:gridSpan w:val="4"/>
            <w:tcBorders>
              <w:bottom w:val="single" w:color="000000" w:sz="4" w:space="0"/>
            </w:tcBorders>
            <w:vAlign w:val="top"/>
          </w:tcPr>
          <w:p w14:paraId="21589411">
            <w:pPr>
              <w:pStyle w:val="6"/>
              <w:spacing w:before="241" w:line="219" w:lineRule="auto"/>
              <w:ind w:left="9"/>
              <w:rPr>
                <w:sz w:val="22"/>
                <w:szCs w:val="22"/>
              </w:rPr>
            </w:pPr>
            <w:r>
              <w:rPr>
                <w:spacing w:val="-7"/>
                <w:sz w:val="22"/>
                <w:szCs w:val="22"/>
              </w:rPr>
              <w:t>肌梗死发病占全部心肌梗死发病的13.9%。</w:t>
            </w:r>
          </w:p>
          <w:p w14:paraId="29E7AFCE">
            <w:pPr>
              <w:pStyle w:val="6"/>
              <w:spacing w:before="137" w:line="328" w:lineRule="auto"/>
              <w:ind w:left="29" w:right="8" w:firstLine="389"/>
              <w:rPr>
                <w:sz w:val="22"/>
                <w:szCs w:val="22"/>
              </w:rPr>
            </w:pPr>
            <w:r>
              <w:rPr>
                <w:rFonts w:ascii="黑体" w:hAnsi="黑体" w:eastAsia="黑体" w:cs="黑体"/>
                <w:spacing w:val="4"/>
                <w:sz w:val="22"/>
                <w:szCs w:val="22"/>
              </w:rPr>
              <w:t xml:space="preserve">2.1:1配对资料的分析 </w:t>
            </w:r>
            <w:r>
              <w:rPr>
                <w:spacing w:val="4"/>
                <w:sz w:val="22"/>
                <w:szCs w:val="22"/>
              </w:rPr>
              <w:t>病例对照研究中，1:1配对资</w:t>
            </w:r>
            <w:r>
              <w:rPr>
                <w:spacing w:val="3"/>
                <w:sz w:val="22"/>
                <w:szCs w:val="22"/>
              </w:rPr>
              <w:t>料可整理成表5-3的形式。注意表内</w:t>
            </w:r>
            <w:r>
              <w:rPr>
                <w:sz w:val="22"/>
                <w:szCs w:val="22"/>
              </w:rPr>
              <w:t xml:space="preserve"> </w:t>
            </w:r>
            <w:r>
              <w:rPr>
                <w:spacing w:val="-20"/>
                <w:sz w:val="22"/>
                <w:szCs w:val="22"/>
              </w:rPr>
              <w:t>的数字</w:t>
            </w:r>
            <w:r>
              <w:rPr>
                <w:rFonts w:ascii="Times New Roman" w:hAnsi="Times New Roman" w:eastAsia="Times New Roman" w:cs="Times New Roman"/>
                <w:spacing w:val="-20"/>
                <w:sz w:val="22"/>
                <w:szCs w:val="22"/>
              </w:rPr>
              <w:t>a</w:t>
            </w:r>
            <w:r>
              <w:rPr>
                <w:spacing w:val="-20"/>
                <w:sz w:val="22"/>
                <w:szCs w:val="22"/>
              </w:rPr>
              <w:t>、</w:t>
            </w:r>
            <w:r>
              <w:rPr>
                <w:rFonts w:ascii="Times New Roman" w:hAnsi="Times New Roman" w:eastAsia="Times New Roman" w:cs="Times New Roman"/>
                <w:spacing w:val="-20"/>
                <w:sz w:val="22"/>
                <w:szCs w:val="22"/>
              </w:rPr>
              <w:t>b</w:t>
            </w:r>
            <w:r>
              <w:rPr>
                <w:spacing w:val="-20"/>
                <w:sz w:val="22"/>
                <w:szCs w:val="22"/>
              </w:rPr>
              <w:t>、</w:t>
            </w:r>
            <w:r>
              <w:rPr>
                <w:rFonts w:ascii="Times New Roman" w:hAnsi="Times New Roman" w:eastAsia="Times New Roman" w:cs="Times New Roman"/>
                <w:spacing w:val="-20"/>
                <w:sz w:val="22"/>
                <w:szCs w:val="22"/>
              </w:rPr>
              <w:t>c</w:t>
            </w:r>
            <w:r>
              <w:rPr>
                <w:spacing w:val="-20"/>
                <w:sz w:val="22"/>
                <w:szCs w:val="22"/>
              </w:rPr>
              <w:t>、</w:t>
            </w:r>
            <w:r>
              <w:rPr>
                <w:rFonts w:ascii="Times New Roman" w:hAnsi="Times New Roman" w:eastAsia="Times New Roman" w:cs="Times New Roman"/>
                <w:spacing w:val="-20"/>
                <w:sz w:val="22"/>
                <w:szCs w:val="22"/>
              </w:rPr>
              <w:t>d</w:t>
            </w:r>
            <w:r>
              <w:rPr>
                <w:spacing w:val="-20"/>
                <w:sz w:val="22"/>
                <w:szCs w:val="22"/>
              </w:rPr>
              <w:t>是病例与对照的对子数。</w:t>
            </w:r>
          </w:p>
          <w:p w14:paraId="665F98C1">
            <w:pPr>
              <w:spacing w:before="148" w:line="222" w:lineRule="auto"/>
              <w:ind w:left="2660"/>
              <w:rPr>
                <w:rFonts w:ascii="黑体" w:hAnsi="黑体" w:eastAsia="黑体" w:cs="黑体"/>
                <w:sz w:val="22"/>
                <w:szCs w:val="22"/>
              </w:rPr>
            </w:pPr>
            <w:r>
              <w:rPr>
                <w:rFonts w:ascii="黑体" w:hAnsi="黑体" w:eastAsia="黑体" w:cs="黑体"/>
                <w:spacing w:val="-7"/>
                <w:sz w:val="22"/>
                <w:szCs w:val="22"/>
              </w:rPr>
              <w:t>表5-31:1配对病例对照研究资料归纳表</w:t>
            </w:r>
          </w:p>
        </w:tc>
      </w:tr>
      <w:tr w14:paraId="5B405EBD">
        <w:trPr>
          <w:trHeight w:val="318" w:hRule="atLeast"/>
        </w:trPr>
        <w:tc>
          <w:tcPr>
            <w:tcW w:w="2260" w:type="dxa"/>
            <w:vMerge w:val="restart"/>
            <w:tcBorders>
              <w:top w:val="single" w:color="000000" w:sz="4" w:space="0"/>
              <w:bottom w:val="nil"/>
            </w:tcBorders>
            <w:shd w:val="clear" w:color="auto" w:fill="BAC4BA"/>
            <w:vAlign w:val="top"/>
          </w:tcPr>
          <w:p w14:paraId="2A2AC012">
            <w:pPr>
              <w:pStyle w:val="6"/>
              <w:spacing w:before="285" w:line="221" w:lineRule="auto"/>
              <w:ind w:left="929"/>
            </w:pPr>
            <w:r>
              <w:rPr>
                <w:spacing w:val="8"/>
              </w:rPr>
              <w:t>对照</w:t>
            </w:r>
          </w:p>
        </w:tc>
        <w:tc>
          <w:tcPr>
            <w:tcW w:w="2656" w:type="dxa"/>
            <w:tcBorders>
              <w:top w:val="single" w:color="000000" w:sz="4" w:space="0"/>
            </w:tcBorders>
            <w:vAlign w:val="top"/>
          </w:tcPr>
          <w:p w14:paraId="4833295A">
            <w:pPr>
              <w:pStyle w:val="6"/>
              <w:spacing w:before="82" w:line="208" w:lineRule="auto"/>
              <w:ind w:left="2012"/>
            </w:pPr>
            <w:r>
              <mc:AlternateContent>
                <mc:Choice Requires="wps">
                  <w:drawing>
                    <wp:anchor distT="0" distB="0" distL="0" distR="0" simplePos="0" relativeHeight="251740160" behindDoc="1" locked="0" layoutInCell="1" allowOverlap="1">
                      <wp:simplePos x="0" y="0"/>
                      <wp:positionH relativeFrom="column">
                        <wp:posOffset>0</wp:posOffset>
                      </wp:positionH>
                      <wp:positionV relativeFrom="paragraph">
                        <wp:posOffset>-2540</wp:posOffset>
                      </wp:positionV>
                      <wp:extent cx="2807335" cy="235585"/>
                      <wp:effectExtent l="0" t="0" r="0" b="0"/>
                      <wp:wrapNone/>
                      <wp:docPr id="288" name="Rect 288"/>
                      <wp:cNvGraphicFramePr/>
                      <a:graphic xmlns:a="http://schemas.openxmlformats.org/drawingml/2006/main">
                        <a:graphicData uri="http://schemas.microsoft.com/office/word/2010/wordprocessingShape">
                          <wps:wsp>
                            <wps:cNvSpPr/>
                            <wps:spPr>
                              <a:xfrm>
                                <a:off x="-44" y="-2620"/>
                                <a:ext cx="2807335" cy="235584"/>
                              </a:xfrm>
                              <a:prstGeom prst="rect">
                                <a:avLst/>
                              </a:prstGeom>
                              <a:solidFill>
                                <a:srgbClr val="B5BBAD"/>
                              </a:solidFill>
                              <a:ln w="0">
                                <a:noFill/>
                              </a:ln>
                            </wps:spPr>
                            <wps:style>
                              <a:lnRef idx="0">
                                <a:schemeClr val="accent1"/>
                              </a:lnRef>
                              <a:fillRef idx="0">
                                <a:schemeClr val="accent1"/>
                              </a:fillRef>
                              <a:effectRef idx="0">
                                <a:schemeClr val="accent1"/>
                              </a:effectRef>
                              <a:fontRef idx="minor">
                                <a:schemeClr val="dk1"/>
                              </a:fontRef>
                            </wps:style>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rect id="Rect 288" o:spid="_x0000_s1026" o:spt="1" style="position:absolute;left:0pt;margin-left:0pt;margin-top:-0.2pt;height:18.55pt;width:221.05pt;z-index:-251576320;mso-width-relative:page;mso-height-relative:page;" fillcolor="#B5BBAD" filled="t" stroked="f" coordsize="21600,21600" o:gfxdata="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">
                      <v:fill on="t" focussize="0,0"/>
                      <v:stroke on="f" weight="0pt"/>
                      <v:imagedata o:title=""/>
                      <o:lock v:ext="edit" aspectratio="f"/>
                      <v:textbox inset="0mm,0mm,0mm,0mm"/>
                    </v:rect>
                  </w:pict>
                </mc:Fallback>
              </mc:AlternateContent>
            </w:r>
            <w:r>
              <w:rPr>
                <w:b/>
                <w:bCs/>
                <w:spacing w:val="-4"/>
              </w:rPr>
              <w:t>病例</w:t>
            </w:r>
          </w:p>
        </w:tc>
        <w:tc>
          <w:tcPr>
            <w:tcW w:w="1763" w:type="dxa"/>
            <w:vMerge w:val="restart"/>
            <w:tcBorders>
              <w:top w:val="single" w:color="000000" w:sz="4" w:space="0"/>
              <w:bottom w:val="nil"/>
            </w:tcBorders>
            <w:vAlign w:val="top"/>
          </w:tcPr>
          <w:p w14:paraId="2305A8DD">
            <w:pPr>
              <w:spacing w:line="392" w:lineRule="auto"/>
              <w:rPr>
                <w:rFonts w:ascii="Arial"/>
                <w:sz w:val="21"/>
              </w:rPr>
            </w:pPr>
          </w:p>
          <w:p w14:paraId="4C30F516">
            <w:pPr>
              <w:pStyle w:val="6"/>
              <w:spacing w:before="65" w:line="219" w:lineRule="auto"/>
              <w:ind w:left="266"/>
            </w:pPr>
            <w:r>
              <mc:AlternateContent>
                <mc:Choice Requires="wps">
                  <w:drawing>
                    <wp:anchor distT="0" distB="0" distL="0" distR="0" simplePos="0" relativeHeight="251738112" behindDoc="1" locked="0" layoutInCell="1" allowOverlap="1">
                      <wp:simplePos x="0" y="0"/>
                      <wp:positionH relativeFrom="column">
                        <wp:posOffset>-270510</wp:posOffset>
                      </wp:positionH>
                      <wp:positionV relativeFrom="paragraph">
                        <wp:posOffset>-17780</wp:posOffset>
                      </wp:positionV>
                      <wp:extent cx="1390650" cy="248285"/>
                      <wp:effectExtent l="0" t="0" r="0" b="0"/>
                      <wp:wrapNone/>
                      <wp:docPr id="290" name="Rect 290"/>
                      <wp:cNvGraphicFramePr/>
                      <a:graphic xmlns:a="http://schemas.openxmlformats.org/drawingml/2006/main">
                        <a:graphicData uri="http://schemas.microsoft.com/office/word/2010/wordprocessingShape">
                          <wps:wsp>
                            <wps:cNvSpPr/>
                            <wps:spPr>
                              <a:xfrm>
                                <a:off x="-270516" y="-18322"/>
                                <a:ext cx="1390650" cy="248284"/>
                              </a:xfrm>
                              <a:prstGeom prst="rect">
                                <a:avLst/>
                              </a:prstGeom>
                              <a:solidFill>
                                <a:srgbClr val="BABEB1"/>
                              </a:solidFill>
                              <a:ln w="0">
                                <a:noFill/>
                              </a:ln>
                            </wps:spPr>
                            <wps:style>
                              <a:lnRef idx="0">
                                <a:schemeClr val="accent1"/>
                              </a:lnRef>
                              <a:fillRef idx="0">
                                <a:schemeClr val="accent1"/>
                              </a:fillRef>
                              <a:effectRef idx="0">
                                <a:schemeClr val="accent1"/>
                              </a:effectRef>
                              <a:fontRef idx="minor">
                                <a:schemeClr val="dk1"/>
                              </a:fontRef>
                            </wps:style>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rect id="Rect 290" o:spid="_x0000_s1026" o:spt="1" style="position:absolute;left:0pt;margin-left:-21.3pt;margin-top:-1.4pt;height:19.55pt;width:109.5pt;z-index:-251578368;mso-width-relative:page;mso-height-relative:page;" fillcolor="#BABEB1" filled="t" stroked="f" coordsize="21600,21600" o:gfxdata="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">
                      <v:fill on="t" focussize="0,0"/>
                      <v:stroke on="f" weight="0pt"/>
                      <v:imagedata o:title=""/>
                      <o:lock v:ext="edit" aspectratio="f"/>
                      <v:textbox inset="0mm,0mm,0mm,0mm"/>
                    </v:rect>
                  </w:pict>
                </mc:Fallback>
              </mc:AlternateContent>
            </w:r>
            <w:r>
              <w:rPr>
                <w:b/>
                <w:bCs/>
                <w:spacing w:val="-4"/>
              </w:rPr>
              <w:t>无暴露史</w:t>
            </w:r>
          </w:p>
        </w:tc>
        <w:tc>
          <w:tcPr>
            <w:tcW w:w="2270" w:type="dxa"/>
            <w:vMerge w:val="restart"/>
            <w:tcBorders>
              <w:top w:val="single" w:color="000000" w:sz="4" w:space="0"/>
              <w:bottom w:val="nil"/>
            </w:tcBorders>
            <w:shd w:val="clear" w:color="auto" w:fill="ACAE9F"/>
            <w:vAlign w:val="top"/>
          </w:tcPr>
          <w:p w14:paraId="434ACC50">
            <w:pPr>
              <w:pStyle w:val="6"/>
              <w:spacing w:before="285" w:line="221" w:lineRule="auto"/>
              <w:ind w:left="930"/>
            </w:pPr>
            <w:r>
              <w:rPr>
                <w:spacing w:val="-3"/>
              </w:rPr>
              <w:t>合计</w:t>
            </w:r>
          </w:p>
        </w:tc>
      </w:tr>
      <w:tr w14:paraId="19ABC3C6">
        <w:trPr>
          <w:trHeight w:val="431" w:hRule="atLeast"/>
        </w:trPr>
        <w:tc>
          <w:tcPr>
            <w:tcW w:w="2260" w:type="dxa"/>
            <w:vMerge w:val="continue"/>
            <w:tcBorders>
              <w:top w:val="nil"/>
              <w:bottom w:val="single" w:color="000000" w:sz="4" w:space="0"/>
            </w:tcBorders>
            <w:vAlign w:val="top"/>
          </w:tcPr>
          <w:p w14:paraId="0B52B55E">
            <w:pPr>
              <w:rPr>
                <w:rFonts w:ascii="Arial"/>
                <w:sz w:val="21"/>
              </w:rPr>
            </w:pPr>
          </w:p>
        </w:tc>
        <w:tc>
          <w:tcPr>
            <w:tcW w:w="2656" w:type="dxa"/>
            <w:tcBorders>
              <w:bottom w:val="single" w:color="000000" w:sz="4" w:space="0"/>
            </w:tcBorders>
            <w:vAlign w:val="top"/>
          </w:tcPr>
          <w:p w14:paraId="7E4ED55A">
            <w:pPr>
              <w:pStyle w:val="6"/>
              <w:spacing w:before="47" w:line="374" w:lineRule="exact"/>
            </w:pPr>
            <w:r>
              <w:rPr>
                <w:position w:val="-9"/>
              </w:rPr>
              <w:pict>
                <v:shape id="_x0000_s1064" o:spid="_x0000_s1064" o:spt="202" type="#_x0000_t202" style="height:19.55pt;width:111.55pt;" fillcolor="#B8BFB4" filled="t" stroked="f" coordsize="21600,21600">
                  <v:path/>
                  <v:fill on="t" focussize="0,0"/>
                  <v:stroke on="f"/>
                  <v:imagedata o:title=""/>
                  <o:lock v:ext="edit" aspectratio="f"/>
                  <v:textbox inset="0mm,0mm,0mm,0mm">
                    <w:txbxContent>
                      <w:p w14:paraId="436984D7">
                        <w:pPr>
                          <w:spacing w:before="94" w:line="219" w:lineRule="auto"/>
                          <w:ind w:left="712"/>
                          <w:rPr>
                            <w:rFonts w:ascii="宋体" w:hAnsi="宋体" w:eastAsia="宋体" w:cs="宋体"/>
                            <w:sz w:val="20"/>
                            <w:szCs w:val="20"/>
                          </w:rPr>
                        </w:pPr>
                        <w:r>
                          <w:rPr>
                            <w:rFonts w:ascii="宋体" w:hAnsi="宋体" w:eastAsia="宋体" w:cs="宋体"/>
                            <w:b/>
                            <w:bCs/>
                            <w:spacing w:val="-4"/>
                            <w:sz w:val="20"/>
                            <w:szCs w:val="20"/>
                          </w:rPr>
                          <w:t>有暴露史</w:t>
                        </w:r>
                      </w:p>
                    </w:txbxContent>
                  </v:textbox>
                  <w10:wrap type="none"/>
                  <w10:anchorlock/>
                </v:shape>
              </w:pict>
            </w:r>
          </w:p>
        </w:tc>
        <w:tc>
          <w:tcPr>
            <w:tcW w:w="1763" w:type="dxa"/>
            <w:vMerge w:val="continue"/>
            <w:tcBorders>
              <w:top w:val="nil"/>
              <w:bottom w:val="single" w:color="000000" w:sz="4" w:space="0"/>
            </w:tcBorders>
            <w:vAlign w:val="top"/>
          </w:tcPr>
          <w:p w14:paraId="69BD9335">
            <w:pPr>
              <w:rPr>
                <w:rFonts w:ascii="Arial"/>
                <w:sz w:val="21"/>
              </w:rPr>
            </w:pPr>
          </w:p>
        </w:tc>
        <w:tc>
          <w:tcPr>
            <w:tcW w:w="2270" w:type="dxa"/>
            <w:vMerge w:val="continue"/>
            <w:tcBorders>
              <w:top w:val="nil"/>
              <w:bottom w:val="single" w:color="000000" w:sz="4" w:space="0"/>
            </w:tcBorders>
            <w:vAlign w:val="top"/>
          </w:tcPr>
          <w:p w14:paraId="346F3475">
            <w:pPr>
              <w:rPr>
                <w:rFonts w:ascii="Arial"/>
                <w:sz w:val="21"/>
              </w:rPr>
            </w:pPr>
          </w:p>
        </w:tc>
      </w:tr>
      <w:tr w14:paraId="3C8D2306">
        <w:trPr>
          <w:trHeight w:val="389" w:hRule="atLeast"/>
        </w:trPr>
        <w:tc>
          <w:tcPr>
            <w:tcW w:w="2260" w:type="dxa"/>
            <w:tcBorders>
              <w:top w:val="single" w:color="000000" w:sz="4" w:space="0"/>
              <w:bottom w:val="single" w:color="000000" w:sz="4" w:space="0"/>
            </w:tcBorders>
            <w:vAlign w:val="top"/>
          </w:tcPr>
          <w:p w14:paraId="030515B6">
            <w:pPr>
              <w:pStyle w:val="6"/>
              <w:spacing w:before="103" w:line="219" w:lineRule="auto"/>
              <w:ind w:left="729"/>
            </w:pPr>
            <w:r>
              <w:rPr>
                <w:spacing w:val="-2"/>
              </w:rPr>
              <w:t>有暴露史</w:t>
            </w:r>
          </w:p>
        </w:tc>
        <w:tc>
          <w:tcPr>
            <w:tcW w:w="2656" w:type="dxa"/>
            <w:tcBorders>
              <w:top w:val="single" w:color="000000" w:sz="4" w:space="0"/>
              <w:bottom w:val="single" w:color="000000" w:sz="4" w:space="0"/>
            </w:tcBorders>
            <w:vAlign w:val="top"/>
          </w:tcPr>
          <w:p w14:paraId="152C91B4">
            <w:pPr>
              <w:pStyle w:val="6"/>
              <w:spacing w:before="125" w:line="234" w:lineRule="auto"/>
              <w:ind w:left="1059"/>
            </w:pPr>
            <w:r>
              <w:t>a</w:t>
            </w:r>
          </w:p>
        </w:tc>
        <w:tc>
          <w:tcPr>
            <w:tcW w:w="1763" w:type="dxa"/>
            <w:tcBorders>
              <w:top w:val="single" w:color="000000" w:sz="4" w:space="0"/>
              <w:bottom w:val="single" w:color="000000" w:sz="4" w:space="0"/>
            </w:tcBorders>
            <w:vAlign w:val="top"/>
          </w:tcPr>
          <w:p w14:paraId="7E17C92F">
            <w:pPr>
              <w:pStyle w:val="6"/>
              <w:spacing w:before="125" w:line="234" w:lineRule="auto"/>
              <w:ind w:left="613"/>
            </w:pPr>
            <w:r>
              <w:t>b</w:t>
            </w:r>
          </w:p>
        </w:tc>
        <w:tc>
          <w:tcPr>
            <w:tcW w:w="2270" w:type="dxa"/>
            <w:tcBorders>
              <w:top w:val="single" w:color="000000" w:sz="4" w:space="0"/>
              <w:bottom w:val="single" w:color="000000" w:sz="4" w:space="0"/>
            </w:tcBorders>
            <w:vAlign w:val="top"/>
          </w:tcPr>
          <w:p w14:paraId="533CB102">
            <w:pPr>
              <w:pStyle w:val="6"/>
              <w:spacing w:before="125" w:line="234" w:lineRule="auto"/>
              <w:ind w:left="981"/>
            </w:pPr>
            <w:r>
              <w:rPr>
                <w:spacing w:val="-2"/>
              </w:rPr>
              <w:t>a+b</w:t>
            </w:r>
          </w:p>
        </w:tc>
      </w:tr>
      <w:tr w14:paraId="0D4F3EBC">
        <w:trPr>
          <w:trHeight w:val="339" w:hRule="atLeast"/>
        </w:trPr>
        <w:tc>
          <w:tcPr>
            <w:tcW w:w="2260" w:type="dxa"/>
            <w:tcBorders>
              <w:top w:val="single" w:color="000000" w:sz="4" w:space="0"/>
              <w:bottom w:val="single" w:color="000000" w:sz="4" w:space="0"/>
            </w:tcBorders>
            <w:shd w:val="clear" w:color="auto" w:fill="D8D7DA"/>
            <w:vAlign w:val="top"/>
          </w:tcPr>
          <w:p w14:paraId="1367E405">
            <w:pPr>
              <w:pStyle w:val="6"/>
              <w:spacing w:before="74" w:line="219" w:lineRule="auto"/>
              <w:ind w:left="729"/>
            </w:pPr>
            <w:r>
              <w:rPr>
                <w:spacing w:val="-2"/>
              </w:rPr>
              <w:t>无暴露史</w:t>
            </w:r>
          </w:p>
        </w:tc>
        <w:tc>
          <w:tcPr>
            <w:tcW w:w="2656" w:type="dxa"/>
            <w:tcBorders>
              <w:top w:val="single" w:color="000000" w:sz="4" w:space="0"/>
              <w:bottom w:val="single" w:color="000000" w:sz="4" w:space="0"/>
            </w:tcBorders>
            <w:vAlign w:val="top"/>
          </w:tcPr>
          <w:p w14:paraId="3A333121">
            <w:pPr>
              <w:pStyle w:val="6"/>
              <w:spacing w:line="328" w:lineRule="exact"/>
            </w:pPr>
            <w:r>
              <w:rPr>
                <w:position w:val="-8"/>
              </w:rPr>
              <w:pict>
                <v:shape id="_x0000_s1065" o:spid="_x0000_s1065" o:spt="202" type="#_x0000_t202" style="height:17.5pt;width:111.55pt;" fillcolor="#D9D7D6" filled="t" stroked="f" coordsize="21600,21600">
                  <v:path/>
                  <v:fill on="t" focussize="0,0"/>
                  <v:stroke on="f"/>
                  <v:imagedata o:title=""/>
                  <o:lock v:ext="edit" aspectratio="f"/>
                  <v:textbox inset="0mm,0mm,0mm,0mm">
                    <w:txbxContent>
                      <w:p w14:paraId="345FE81C">
                        <w:pPr>
                          <w:spacing w:before="97"/>
                          <w:ind w:left="1060"/>
                          <w:rPr>
                            <w:rFonts w:ascii="宋体" w:hAnsi="宋体" w:eastAsia="宋体" w:cs="宋体"/>
                            <w:sz w:val="20"/>
                            <w:szCs w:val="20"/>
                          </w:rPr>
                        </w:pPr>
                        <w:r>
                          <w:rPr>
                            <w:rFonts w:ascii="宋体" w:hAnsi="宋体" w:eastAsia="宋体" w:cs="宋体"/>
                            <w:sz w:val="20"/>
                            <w:szCs w:val="20"/>
                          </w:rPr>
                          <w:t>c</w:t>
                        </w:r>
                      </w:p>
                    </w:txbxContent>
                  </v:textbox>
                  <w10:wrap type="none"/>
                  <w10:anchorlock/>
                </v:shape>
              </w:pict>
            </w:r>
          </w:p>
        </w:tc>
        <w:tc>
          <w:tcPr>
            <w:tcW w:w="1763" w:type="dxa"/>
            <w:tcBorders>
              <w:top w:val="single" w:color="000000" w:sz="4" w:space="0"/>
              <w:bottom w:val="single" w:color="000000" w:sz="4" w:space="0"/>
            </w:tcBorders>
            <w:vAlign w:val="top"/>
          </w:tcPr>
          <w:p w14:paraId="2B8543E6">
            <w:pPr>
              <w:pStyle w:val="6"/>
              <w:spacing w:before="96" w:line="215" w:lineRule="auto"/>
              <w:ind w:left="613"/>
            </w:pPr>
            <w:r>
              <mc:AlternateContent>
                <mc:Choice Requires="wps">
                  <w:drawing>
                    <wp:anchor distT="0" distB="0" distL="0" distR="0" simplePos="0" relativeHeight="251739136" behindDoc="1" locked="0" layoutInCell="1" allowOverlap="1">
                      <wp:simplePos x="0" y="0"/>
                      <wp:positionH relativeFrom="column">
                        <wp:posOffset>-270510</wp:posOffset>
                      </wp:positionH>
                      <wp:positionV relativeFrom="paragraph">
                        <wp:posOffset>-1270</wp:posOffset>
                      </wp:positionV>
                      <wp:extent cx="1390650" cy="222250"/>
                      <wp:effectExtent l="0" t="0" r="0" b="0"/>
                      <wp:wrapNone/>
                      <wp:docPr id="292" name="Rect 292"/>
                      <wp:cNvGraphicFramePr/>
                      <a:graphic xmlns:a="http://schemas.openxmlformats.org/drawingml/2006/main">
                        <a:graphicData uri="http://schemas.microsoft.com/office/word/2010/wordprocessingShape">
                          <wps:wsp>
                            <wps:cNvSpPr/>
                            <wps:spPr>
                              <a:xfrm>
                                <a:off x="-270516" y="-1319"/>
                                <a:ext cx="1390650" cy="222250"/>
                              </a:xfrm>
                              <a:prstGeom prst="rect">
                                <a:avLst/>
                              </a:prstGeom>
                              <a:solidFill>
                                <a:srgbClr val="D5D4D1"/>
                              </a:solidFill>
                              <a:ln w="0">
                                <a:noFill/>
                              </a:ln>
                            </wps:spPr>
                            <wps:style>
                              <a:lnRef idx="0">
                                <a:schemeClr val="accent1"/>
                              </a:lnRef>
                              <a:fillRef idx="0">
                                <a:schemeClr val="accent1"/>
                              </a:fillRef>
                              <a:effectRef idx="0">
                                <a:schemeClr val="accent1"/>
                              </a:effectRef>
                              <a:fontRef idx="minor">
                                <a:schemeClr val="dk1"/>
                              </a:fontRef>
                            </wps:style>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rect id="Rect 292" o:spid="_x0000_s1026" o:spt="1" style="position:absolute;left:0pt;margin-left:-21.3pt;margin-top:-0.1pt;height:17.5pt;width:109.5pt;z-index:-251577344;mso-width-relative:page;mso-height-relative:page;" fillcolor="#D5D4D1" filled="t" stroked="f" coordsize="21600,21600" o:gfxdata="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">
                      <v:fill on="t" focussize="0,0"/>
                      <v:stroke on="f" weight="0pt"/>
                      <v:imagedata o:title=""/>
                      <o:lock v:ext="edit" aspectratio="f"/>
                      <v:textbox inset="0mm,0mm,0mm,0mm"/>
                    </v:rect>
                  </w:pict>
                </mc:Fallback>
              </mc:AlternateContent>
            </w:r>
            <w:r>
              <w:t>d</w:t>
            </w:r>
          </w:p>
        </w:tc>
        <w:tc>
          <w:tcPr>
            <w:tcW w:w="2270" w:type="dxa"/>
            <w:tcBorders>
              <w:top w:val="single" w:color="000000" w:sz="4" w:space="0"/>
              <w:bottom w:val="single" w:color="000000" w:sz="4" w:space="0"/>
            </w:tcBorders>
            <w:shd w:val="clear" w:color="auto" w:fill="D5D3D0"/>
            <w:vAlign w:val="top"/>
          </w:tcPr>
          <w:p w14:paraId="56420E61">
            <w:pPr>
              <w:pStyle w:val="6"/>
              <w:spacing w:before="96" w:line="215" w:lineRule="auto"/>
              <w:ind w:left="981"/>
            </w:pPr>
            <w:r>
              <w:rPr>
                <w:spacing w:val="-3"/>
              </w:rPr>
              <w:t>c+d</w:t>
            </w:r>
          </w:p>
        </w:tc>
      </w:tr>
      <w:tr w14:paraId="3A324FDF">
        <w:trPr>
          <w:trHeight w:val="374" w:hRule="atLeast"/>
        </w:trPr>
        <w:tc>
          <w:tcPr>
            <w:tcW w:w="2260" w:type="dxa"/>
            <w:tcBorders>
              <w:top w:val="single" w:color="000000" w:sz="4" w:space="0"/>
              <w:bottom w:val="single" w:color="000000" w:sz="4" w:space="0"/>
            </w:tcBorders>
            <w:vAlign w:val="top"/>
          </w:tcPr>
          <w:p w14:paraId="5EA07A42">
            <w:pPr>
              <w:pStyle w:val="6"/>
              <w:spacing w:before="98" w:line="221" w:lineRule="auto"/>
              <w:ind w:left="929"/>
            </w:pPr>
            <w:r>
              <w:rPr>
                <w:spacing w:val="-3"/>
              </w:rPr>
              <w:t>合计</w:t>
            </w:r>
          </w:p>
        </w:tc>
        <w:tc>
          <w:tcPr>
            <w:tcW w:w="2656" w:type="dxa"/>
            <w:tcBorders>
              <w:top w:val="single" w:color="000000" w:sz="4" w:space="0"/>
              <w:bottom w:val="single" w:color="000000" w:sz="4" w:space="0"/>
            </w:tcBorders>
            <w:vAlign w:val="top"/>
          </w:tcPr>
          <w:p w14:paraId="7039DEAF">
            <w:pPr>
              <w:pStyle w:val="6"/>
              <w:spacing w:before="117" w:line="228" w:lineRule="auto"/>
              <w:ind w:left="960"/>
            </w:pPr>
            <w:r>
              <w:rPr>
                <w:spacing w:val="-2"/>
              </w:rPr>
              <w:t>a+c</w:t>
            </w:r>
          </w:p>
        </w:tc>
        <w:tc>
          <w:tcPr>
            <w:tcW w:w="1763" w:type="dxa"/>
            <w:tcBorders>
              <w:top w:val="single" w:color="000000" w:sz="4" w:space="0"/>
              <w:bottom w:val="single" w:color="000000" w:sz="4" w:space="0"/>
            </w:tcBorders>
            <w:vAlign w:val="top"/>
          </w:tcPr>
          <w:p w14:paraId="40945C97">
            <w:pPr>
              <w:pStyle w:val="6"/>
              <w:spacing w:before="117" w:line="228" w:lineRule="auto"/>
              <w:ind w:left="513"/>
            </w:pPr>
            <w:r>
              <w:rPr>
                <w:spacing w:val="-2"/>
              </w:rPr>
              <w:t>b+d</w:t>
            </w:r>
          </w:p>
        </w:tc>
        <w:tc>
          <w:tcPr>
            <w:tcW w:w="2270" w:type="dxa"/>
            <w:tcBorders>
              <w:top w:val="single" w:color="000000" w:sz="4" w:space="0"/>
              <w:bottom w:val="single" w:color="000000" w:sz="4" w:space="0"/>
            </w:tcBorders>
            <w:vAlign w:val="top"/>
          </w:tcPr>
          <w:p w14:paraId="59CE7BAF">
            <w:pPr>
              <w:pStyle w:val="6"/>
              <w:spacing w:before="117" w:line="228" w:lineRule="auto"/>
              <w:ind w:left="681"/>
            </w:pPr>
            <w:r>
              <w:rPr>
                <w:spacing w:val="-1"/>
              </w:rPr>
              <w:t>N=a+b+c+d</w:t>
            </w:r>
          </w:p>
        </w:tc>
      </w:tr>
    </w:tbl>
    <w:p w14:paraId="27ABABDC">
      <w:pPr>
        <w:spacing w:line="206" w:lineRule="exact"/>
        <w:rPr>
          <w:rFonts w:ascii="Arial"/>
          <w:sz w:val="17"/>
        </w:rPr>
      </w:pPr>
    </w:p>
    <w:p w14:paraId="0722480D">
      <w:pPr>
        <w:spacing w:line="206" w:lineRule="exact"/>
        <w:rPr>
          <w:rFonts w:ascii="Arial" w:hAnsi="Arial" w:eastAsia="Arial" w:cs="Arial"/>
          <w:sz w:val="17"/>
          <w:szCs w:val="17"/>
        </w:rPr>
        <w:sectPr>
          <w:footerReference r:id="rId104" w:type="default"/>
          <w:pgSz w:w="11900" w:h="16820"/>
          <w:pgMar w:top="400" w:right="1471" w:bottom="889" w:left="709" w:header="0" w:footer="603" w:gutter="0"/>
          <w:cols w:space="720" w:num="1"/>
        </w:sectPr>
      </w:pPr>
    </w:p>
    <w:p w14:paraId="5EBBC450">
      <w:pPr>
        <w:pStyle w:val="2"/>
        <w:spacing w:before="67" w:line="222" w:lineRule="auto"/>
        <w:ind w:left="7479"/>
        <w:rPr>
          <w:sz w:val="22"/>
          <w:szCs w:val="22"/>
        </w:rPr>
      </w:pPr>
      <w:bookmarkStart w:id="145" w:name="bookmark448"/>
      <w:bookmarkEnd w:id="145"/>
      <w:r>
        <w:rPr>
          <w:spacing w:val="-22"/>
          <w:w w:val="96"/>
          <w:sz w:val="22"/>
          <w:szCs w:val="22"/>
        </w:rPr>
        <w:t>第五章 病例对照研究</w:t>
      </w:r>
    </w:p>
    <w:p w14:paraId="784F80A2">
      <w:pPr>
        <w:spacing w:line="275" w:lineRule="auto"/>
        <w:rPr>
          <w:rFonts w:ascii="Arial"/>
          <w:sz w:val="21"/>
        </w:rPr>
      </w:pPr>
    </w:p>
    <w:p w14:paraId="76D0E688">
      <w:pPr>
        <w:spacing w:line="275" w:lineRule="auto"/>
        <w:rPr>
          <w:rFonts w:ascii="Arial"/>
          <w:sz w:val="21"/>
        </w:rPr>
      </w:pPr>
    </w:p>
    <w:p w14:paraId="14142552">
      <w:pPr>
        <w:spacing w:before="71" w:line="338" w:lineRule="auto"/>
        <w:ind w:right="726" w:firstLine="290"/>
        <w:rPr>
          <w:rFonts w:ascii="宋体" w:hAnsi="宋体" w:eastAsia="宋体" w:cs="宋体"/>
          <w:sz w:val="22"/>
          <w:szCs w:val="22"/>
        </w:rPr>
      </w:pPr>
      <w:r>
        <w:rPr>
          <w:rFonts w:ascii="宋体" w:hAnsi="宋体" w:eastAsia="宋体" w:cs="宋体"/>
          <w:spacing w:val="4"/>
          <w:sz w:val="22"/>
          <w:szCs w:val="22"/>
        </w:rPr>
        <w:t>【例5-5】</w:t>
      </w:r>
      <w:r>
        <w:rPr>
          <w:rFonts w:ascii="宋体" w:hAnsi="宋体" w:eastAsia="宋体" w:cs="宋体"/>
          <w:spacing w:val="104"/>
          <w:sz w:val="22"/>
          <w:szCs w:val="22"/>
        </w:rPr>
        <w:t xml:space="preserve"> </w:t>
      </w:r>
      <w:r>
        <w:rPr>
          <w:rFonts w:ascii="宋体" w:hAnsi="宋体" w:eastAsia="宋体" w:cs="宋体"/>
          <w:spacing w:val="4"/>
          <w:sz w:val="22"/>
          <w:szCs w:val="22"/>
        </w:rPr>
        <w:t>1976年</w:t>
      </w:r>
      <w:r>
        <w:rPr>
          <w:rFonts w:ascii="Times New Roman" w:hAnsi="Times New Roman" w:eastAsia="Times New Roman" w:cs="Times New Roman"/>
          <w:sz w:val="22"/>
          <w:szCs w:val="22"/>
        </w:rPr>
        <w:t>Mack</w:t>
      </w:r>
      <w:r>
        <w:rPr>
          <w:rFonts w:ascii="Times New Roman" w:hAnsi="Times New Roman" w:eastAsia="Times New Roman" w:cs="Times New Roman"/>
          <w:spacing w:val="4"/>
          <w:sz w:val="22"/>
          <w:szCs w:val="22"/>
        </w:rPr>
        <w:t xml:space="preserve"> </w:t>
      </w:r>
      <w:r>
        <w:rPr>
          <w:rFonts w:ascii="宋体" w:hAnsi="宋体" w:eastAsia="宋体" w:cs="宋体"/>
          <w:spacing w:val="4"/>
          <w:sz w:val="22"/>
          <w:szCs w:val="22"/>
        </w:rPr>
        <w:t>等报告的外源性雌激素与子宫内膜癌关系的病例对照研</w:t>
      </w:r>
      <w:r>
        <w:rPr>
          <w:rFonts w:ascii="宋体" w:hAnsi="宋体" w:eastAsia="宋体" w:cs="宋体"/>
          <w:spacing w:val="3"/>
          <w:sz w:val="22"/>
          <w:szCs w:val="22"/>
        </w:rPr>
        <w:t>究资料见表</w:t>
      </w:r>
      <w:r>
        <w:rPr>
          <w:rFonts w:ascii="宋体" w:hAnsi="宋体" w:eastAsia="宋体" w:cs="宋体"/>
          <w:sz w:val="22"/>
          <w:szCs w:val="22"/>
        </w:rPr>
        <w:t xml:space="preserve"> </w:t>
      </w:r>
      <w:r>
        <w:rPr>
          <w:rFonts w:ascii="宋体" w:hAnsi="宋体" w:eastAsia="宋体" w:cs="宋体"/>
          <w:spacing w:val="-7"/>
          <w:sz w:val="22"/>
          <w:szCs w:val="22"/>
        </w:rPr>
        <w:t>5-4。以此为例，介绍配对病例对照研究资料分析步骤。</w:t>
      </w:r>
    </w:p>
    <w:p w14:paraId="0CF776FC">
      <w:pPr>
        <w:pStyle w:val="2"/>
        <w:spacing w:before="83" w:line="221" w:lineRule="auto"/>
        <w:ind w:left="1840"/>
        <w:rPr>
          <w:sz w:val="22"/>
          <w:szCs w:val="22"/>
        </w:rPr>
      </w:pPr>
      <w:r>
        <w:rPr>
          <w:spacing w:val="-21"/>
          <w:sz w:val="22"/>
          <w:szCs w:val="22"/>
        </w:rPr>
        <w:t>表5-4  外源性雌激素与子宫内膜癌关系的配对病例对照研究资料</w:t>
      </w:r>
    </w:p>
    <w:p w14:paraId="3FEA8AD3">
      <w:pPr>
        <w:spacing w:line="45" w:lineRule="exact"/>
      </w:pPr>
    </w:p>
    <w:tbl>
      <w:tblPr>
        <w:tblStyle w:val="5"/>
        <w:tblW w:w="9220" w:type="dxa"/>
        <w:tblInd w:w="6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0" w:type="dxa"/>
          <w:left w:w="0" w:type="dxa"/>
          <w:bottom w:w="0" w:type="dxa"/>
          <w:right w:w="0" w:type="dxa"/>
        </w:tblCellMar>
      </w:tblPr>
      <w:tblGrid>
        <w:gridCol w:w="2290"/>
        <w:gridCol w:w="2360"/>
        <w:gridCol w:w="2340"/>
        <w:gridCol w:w="2230"/>
      </w:tblGrid>
      <w:tr w14:paraId="5C0168C2">
        <w:trPr>
          <w:trHeight w:val="281" w:hRule="atLeast"/>
        </w:trPr>
        <w:tc>
          <w:tcPr>
            <w:tcW w:w="9220" w:type="dxa"/>
            <w:gridSpan w:val="4"/>
            <w:tcBorders>
              <w:top w:val="single" w:color="000000" w:sz="4" w:space="0"/>
            </w:tcBorders>
            <w:vAlign w:val="top"/>
          </w:tcPr>
          <w:p w14:paraId="7F947E9F">
            <w:pPr>
              <w:pStyle w:val="6"/>
              <w:spacing w:line="270" w:lineRule="exact"/>
              <w:ind w:firstLine="2289"/>
            </w:pPr>
            <w:r>
              <w:rPr>
                <w:position w:val="-6"/>
              </w:rPr>
              <w:pict>
                <v:shape id="_x0000_s1066" o:spid="_x0000_s1066" o:spt="202" type="#_x0000_t202" style="height:14.4pt;width:235.05pt;" fillcolor="#BFC1BD" filled="t" stroked="f" coordsize="21600,21600">
                  <v:path/>
                  <v:fill on="t" focussize="0,0"/>
                  <v:stroke on="f"/>
                  <v:imagedata o:title=""/>
                  <o:lock v:ext="edit" aspectratio="f"/>
                  <v:textbox inset="0mm,0mm,0mm,0mm">
                    <w:txbxContent>
                      <w:p w14:paraId="29FE7244">
                        <w:pPr>
                          <w:spacing w:before="90" w:line="219" w:lineRule="auto"/>
                          <w:ind w:left="2149"/>
                          <w:rPr>
                            <w:rFonts w:ascii="宋体" w:hAnsi="宋体" w:eastAsia="宋体" w:cs="宋体"/>
                            <w:sz w:val="20"/>
                            <w:szCs w:val="20"/>
                          </w:rPr>
                        </w:pPr>
                        <w:r>
                          <w:rPr>
                            <w:rFonts w:ascii="宋体" w:hAnsi="宋体" w:eastAsia="宋体" w:cs="宋体"/>
                            <w:spacing w:val="8"/>
                            <w:sz w:val="20"/>
                            <w:szCs w:val="20"/>
                          </w:rPr>
                          <w:t>病例</w:t>
                        </w:r>
                      </w:p>
                    </w:txbxContent>
                  </v:textbox>
                  <w10:wrap type="none"/>
                  <w10:anchorlock/>
                </v:shape>
              </w:pict>
            </w:r>
          </w:p>
        </w:tc>
      </w:tr>
      <w:tr w14:paraId="5534843C">
        <w:trPr>
          <w:trHeight w:val="470" w:hRule="atLeast"/>
        </w:trPr>
        <w:tc>
          <w:tcPr>
            <w:tcW w:w="2290" w:type="dxa"/>
            <w:tcBorders>
              <w:bottom w:val="single" w:color="000000" w:sz="4" w:space="0"/>
            </w:tcBorders>
            <w:vAlign w:val="top"/>
          </w:tcPr>
          <w:p w14:paraId="1C1B487B">
            <w:pPr>
              <w:pStyle w:val="6"/>
              <w:spacing w:before="3" w:line="221" w:lineRule="auto"/>
              <w:ind w:left="939"/>
            </w:pPr>
            <w:r>
              <mc:AlternateContent>
                <mc:Choice Requires="wps">
                  <w:drawing>
                    <wp:anchor distT="0" distB="0" distL="0" distR="0" simplePos="0" relativeHeight="251744256" behindDoc="1" locked="0" layoutInCell="1" allowOverlap="1">
                      <wp:simplePos x="0" y="0"/>
                      <wp:positionH relativeFrom="column">
                        <wp:posOffset>0</wp:posOffset>
                      </wp:positionH>
                      <wp:positionV relativeFrom="paragraph">
                        <wp:posOffset>-181610</wp:posOffset>
                      </wp:positionV>
                      <wp:extent cx="1454150" cy="482600"/>
                      <wp:effectExtent l="0" t="0" r="0" b="0"/>
                      <wp:wrapNone/>
                      <wp:docPr id="294" name="Rect 294"/>
                      <wp:cNvGraphicFramePr/>
                      <a:graphic xmlns:a="http://schemas.openxmlformats.org/drawingml/2006/main">
                        <a:graphicData uri="http://schemas.microsoft.com/office/word/2010/wordprocessingShape">
                          <wps:wsp>
                            <wps:cNvSpPr/>
                            <wps:spPr>
                              <a:xfrm>
                                <a:off x="0" y="-181762"/>
                                <a:ext cx="1454150" cy="482600"/>
                              </a:xfrm>
                              <a:prstGeom prst="rect">
                                <a:avLst/>
                              </a:prstGeom>
                              <a:solidFill>
                                <a:srgbClr val="C6CECF"/>
                              </a:solidFill>
                              <a:ln w="0">
                                <a:noFill/>
                              </a:ln>
                            </wps:spPr>
                            <wps:style>
                              <a:lnRef idx="0">
                                <a:schemeClr val="accent1"/>
                              </a:lnRef>
                              <a:fillRef idx="0">
                                <a:schemeClr val="accent1"/>
                              </a:fillRef>
                              <a:effectRef idx="0">
                                <a:schemeClr val="accent1"/>
                              </a:effectRef>
                              <a:fontRef idx="minor">
                                <a:schemeClr val="dk1"/>
                              </a:fontRef>
                            </wps:style>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rect id="Rect 294" o:spid="_x0000_s1026" o:spt="1" style="position:absolute;left:0pt;margin-left:0pt;margin-top:-14.3pt;height:38pt;width:114.5pt;z-index:-251572224;mso-width-relative:page;mso-height-relative:page;" fillcolor="#C6CECF" filled="t" stroked="f" coordsize="21600,21600" o:gfxdata="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AAAAABkcnMvUEsBAhQAFAAA&#10;AAgAh07iQMxIt3HUAAAABwEAAA8AAAAAAAAAAQAgAAAAIgAAAGRycy9kb3ducmV2LnhtbFBLAQIU&#10;ABQAAAAIAIdO4kBboGvtMAIAAGwEAAAOAAAAAAAAAAEAIAAAACMBAABkcnMvZTJvRG9jLnhtbFBL&#10;BQYAAAAABgAGAFkBAADFBQAAAAA=&#10;">
                      <v:fill on="t" focussize="0,0"/>
                      <v:stroke on="f" weight="0pt"/>
                      <v:imagedata o:title=""/>
                      <o:lock v:ext="edit" aspectratio="f"/>
                      <v:textbox inset="0mm,0mm,0mm,0mm"/>
                    </v:rect>
                  </w:pict>
                </mc:Fallback>
              </mc:AlternateContent>
            </w:r>
            <w:r>
              <w:rPr>
                <w:spacing w:val="8"/>
              </w:rPr>
              <w:t>对照</w:t>
            </w:r>
          </w:p>
        </w:tc>
        <w:tc>
          <w:tcPr>
            <w:tcW w:w="2360" w:type="dxa"/>
            <w:tcBorders>
              <w:bottom w:val="single" w:color="000000" w:sz="4" w:space="0"/>
            </w:tcBorders>
            <w:vAlign w:val="top"/>
          </w:tcPr>
          <w:p w14:paraId="49EAA2B5">
            <w:pPr>
              <w:pStyle w:val="6"/>
              <w:spacing w:before="73" w:line="387" w:lineRule="exact"/>
            </w:pPr>
            <w:r>
              <w:rPr>
                <w:position w:val="-9"/>
              </w:rPr>
              <w:pict>
                <v:shape id="_x0000_s1067" o:spid="_x0000_s1067" o:spt="202" type="#_x0000_t202" style="height:20pt;width:118.05pt;" fillcolor="#C2C5C1" filled="t" stroked="f" coordsize="21600,21600">
                  <v:path/>
                  <v:fill on="t" focussize="0,0"/>
                  <v:stroke on="f"/>
                  <v:imagedata o:title=""/>
                  <o:lock v:ext="edit" aspectratio="f"/>
                  <v:textbox inset="0mm,0mm,0mm,0mm">
                    <w:txbxContent>
                      <w:p w14:paraId="7984EF5B">
                        <w:pPr>
                          <w:spacing w:before="104" w:line="219" w:lineRule="auto"/>
                          <w:ind w:left="782"/>
                          <w:rPr>
                            <w:rFonts w:ascii="宋体" w:hAnsi="宋体" w:eastAsia="宋体" w:cs="宋体"/>
                            <w:sz w:val="20"/>
                            <w:szCs w:val="20"/>
                          </w:rPr>
                        </w:pPr>
                        <w:r>
                          <w:rPr>
                            <w:rFonts w:ascii="宋体" w:hAnsi="宋体" w:eastAsia="宋体" w:cs="宋体"/>
                            <w:b/>
                            <w:bCs/>
                            <w:spacing w:val="-4"/>
                            <w:sz w:val="20"/>
                            <w:szCs w:val="20"/>
                          </w:rPr>
                          <w:t>有暴露史</w:t>
                        </w:r>
                      </w:p>
                    </w:txbxContent>
                  </v:textbox>
                  <w10:wrap type="none"/>
                  <w10:anchorlock/>
                </v:shape>
              </w:pict>
            </w:r>
          </w:p>
        </w:tc>
        <w:tc>
          <w:tcPr>
            <w:tcW w:w="2340" w:type="dxa"/>
            <w:tcBorders>
              <w:bottom w:val="single" w:color="000000" w:sz="4" w:space="0"/>
            </w:tcBorders>
            <w:vAlign w:val="top"/>
          </w:tcPr>
          <w:p w14:paraId="5695B94D">
            <w:pPr>
              <w:pStyle w:val="6"/>
              <w:spacing w:before="73" w:line="387" w:lineRule="exact"/>
            </w:pPr>
            <w:r>
              <w:rPr>
                <w:position w:val="-9"/>
              </w:rPr>
              <w:pict>
                <v:shape id="_x0000_s1068" o:spid="_x0000_s1068" o:spt="202" type="#_x0000_t202" style="height:20pt;width:117.05pt;" fillcolor="#C3C5BF" filled="t" stroked="f" coordsize="21600,21600">
                  <v:path/>
                  <v:fill on="t" focussize="0,0"/>
                  <v:stroke on="f"/>
                  <v:imagedata o:title=""/>
                  <o:lock v:ext="edit" aspectratio="f"/>
                  <v:textbox inset="0mm,0mm,0mm,0mm">
                    <w:txbxContent>
                      <w:p w14:paraId="159A675A">
                        <w:pPr>
                          <w:spacing w:before="104" w:line="219" w:lineRule="auto"/>
                          <w:ind w:left="772"/>
                          <w:rPr>
                            <w:rFonts w:ascii="宋体" w:hAnsi="宋体" w:eastAsia="宋体" w:cs="宋体"/>
                            <w:sz w:val="20"/>
                            <w:szCs w:val="20"/>
                          </w:rPr>
                        </w:pPr>
                        <w:r>
                          <w:rPr>
                            <w:rFonts w:ascii="宋体" w:hAnsi="宋体" w:eastAsia="宋体" w:cs="宋体"/>
                            <w:b/>
                            <w:bCs/>
                            <w:spacing w:val="-4"/>
                            <w:sz w:val="20"/>
                            <w:szCs w:val="20"/>
                          </w:rPr>
                          <w:t>无暴露史</w:t>
                        </w:r>
                      </w:p>
                    </w:txbxContent>
                  </v:textbox>
                  <w10:wrap type="none"/>
                  <w10:anchorlock/>
                </v:shape>
              </w:pict>
            </w:r>
          </w:p>
        </w:tc>
        <w:tc>
          <w:tcPr>
            <w:tcW w:w="2230" w:type="dxa"/>
            <w:tcBorders>
              <w:bottom w:val="single" w:color="000000" w:sz="4" w:space="0"/>
            </w:tcBorders>
            <w:vAlign w:val="top"/>
          </w:tcPr>
          <w:p w14:paraId="3EB34AB8">
            <w:pPr>
              <w:pStyle w:val="6"/>
              <w:spacing w:before="3" w:line="221" w:lineRule="auto"/>
              <w:ind w:left="909"/>
            </w:pPr>
            <w:r>
              <mc:AlternateContent>
                <mc:Choice Requires="wps">
                  <w:drawing>
                    <wp:anchor distT="0" distB="0" distL="0" distR="0" simplePos="0" relativeHeight="251745280" behindDoc="1" locked="0" layoutInCell="1" allowOverlap="1">
                      <wp:simplePos x="0" y="0"/>
                      <wp:positionH relativeFrom="column">
                        <wp:posOffset>0</wp:posOffset>
                      </wp:positionH>
                      <wp:positionV relativeFrom="paragraph">
                        <wp:posOffset>-181610</wp:posOffset>
                      </wp:positionV>
                      <wp:extent cx="1416685" cy="482600"/>
                      <wp:effectExtent l="0" t="0" r="0" b="0"/>
                      <wp:wrapNone/>
                      <wp:docPr id="296" name="Rect 296"/>
                      <wp:cNvGraphicFramePr/>
                      <a:graphic xmlns:a="http://schemas.openxmlformats.org/drawingml/2006/main">
                        <a:graphicData uri="http://schemas.microsoft.com/office/word/2010/wordprocessingShape">
                          <wps:wsp>
                            <wps:cNvSpPr/>
                            <wps:spPr>
                              <a:xfrm>
                                <a:off x="-36" y="-181762"/>
                                <a:ext cx="1416685" cy="482600"/>
                              </a:xfrm>
                              <a:prstGeom prst="rect">
                                <a:avLst/>
                              </a:prstGeom>
                              <a:solidFill>
                                <a:srgbClr val="C4C5BD"/>
                              </a:solidFill>
                              <a:ln w="0">
                                <a:noFill/>
                              </a:ln>
                            </wps:spPr>
                            <wps:style>
                              <a:lnRef idx="0">
                                <a:schemeClr val="accent1"/>
                              </a:lnRef>
                              <a:fillRef idx="0">
                                <a:schemeClr val="accent1"/>
                              </a:fillRef>
                              <a:effectRef idx="0">
                                <a:schemeClr val="accent1"/>
                              </a:effectRef>
                              <a:fontRef idx="minor">
                                <a:schemeClr val="dk1"/>
                              </a:fontRef>
                            </wps:style>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rect id="Rect 296" o:spid="_x0000_s1026" o:spt="1" style="position:absolute;left:0pt;margin-left:0pt;margin-top:-14.3pt;height:38pt;width:111.55pt;z-index:-251571200;mso-width-relative:page;mso-height-relative:page;" fillcolor="#C4C5BD" filled="t" stroked="f" coordsize="21600,21600" o:gfxdata="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">
                      <v:fill on="t" focussize="0,0"/>
                      <v:stroke on="f" weight="0pt"/>
                      <v:imagedata o:title=""/>
                      <o:lock v:ext="edit" aspectratio="f"/>
                      <v:textbox inset="0mm,0mm,0mm,0mm"/>
                    </v:rect>
                  </w:pict>
                </mc:Fallback>
              </mc:AlternateContent>
            </w:r>
            <w:r>
              <w:rPr>
                <w:spacing w:val="-3"/>
              </w:rPr>
              <w:t>合计</w:t>
            </w:r>
          </w:p>
        </w:tc>
      </w:tr>
      <w:tr w14:paraId="54222B39">
        <w:trPr>
          <w:trHeight w:val="428" w:hRule="atLeast"/>
        </w:trPr>
        <w:tc>
          <w:tcPr>
            <w:tcW w:w="2290" w:type="dxa"/>
            <w:tcBorders>
              <w:top w:val="single" w:color="000000" w:sz="4" w:space="0"/>
              <w:bottom w:val="single" w:color="000000" w:sz="4" w:space="0"/>
            </w:tcBorders>
            <w:vAlign w:val="top"/>
          </w:tcPr>
          <w:p w14:paraId="29E12762">
            <w:pPr>
              <w:pStyle w:val="6"/>
              <w:spacing w:before="120" w:line="219" w:lineRule="auto"/>
              <w:ind w:left="739"/>
            </w:pPr>
            <w:r>
              <w:rPr>
                <w:spacing w:val="-2"/>
              </w:rPr>
              <w:t>有暴露史</w:t>
            </w:r>
          </w:p>
        </w:tc>
        <w:tc>
          <w:tcPr>
            <w:tcW w:w="2360" w:type="dxa"/>
            <w:tcBorders>
              <w:top w:val="single" w:color="000000" w:sz="4" w:space="0"/>
              <w:bottom w:val="single" w:color="000000" w:sz="4" w:space="0"/>
            </w:tcBorders>
            <w:vAlign w:val="top"/>
          </w:tcPr>
          <w:p w14:paraId="11DBA65C">
            <w:pPr>
              <w:pStyle w:val="6"/>
              <w:spacing w:before="141"/>
              <w:ind w:left="1079"/>
            </w:pPr>
            <w:r>
              <w:rPr>
                <w:spacing w:val="-3"/>
              </w:rPr>
              <w:t>27</w:t>
            </w:r>
          </w:p>
        </w:tc>
        <w:tc>
          <w:tcPr>
            <w:tcW w:w="2340" w:type="dxa"/>
            <w:tcBorders>
              <w:top w:val="single" w:color="000000" w:sz="4" w:space="0"/>
              <w:bottom w:val="single" w:color="000000" w:sz="4" w:space="0"/>
            </w:tcBorders>
            <w:vAlign w:val="top"/>
          </w:tcPr>
          <w:p w14:paraId="23D7AC44">
            <w:pPr>
              <w:pStyle w:val="6"/>
              <w:spacing w:before="141"/>
              <w:ind w:left="1119"/>
            </w:pPr>
            <w:r>
              <w:t>3</w:t>
            </w:r>
          </w:p>
        </w:tc>
        <w:tc>
          <w:tcPr>
            <w:tcW w:w="2230" w:type="dxa"/>
            <w:tcBorders>
              <w:top w:val="single" w:color="000000" w:sz="4" w:space="0"/>
              <w:bottom w:val="single" w:color="000000" w:sz="4" w:space="0"/>
            </w:tcBorders>
            <w:vAlign w:val="top"/>
          </w:tcPr>
          <w:p w14:paraId="6E874F66">
            <w:pPr>
              <w:pStyle w:val="6"/>
              <w:spacing w:before="141"/>
              <w:ind w:left="1009"/>
            </w:pPr>
            <w:r>
              <w:rPr>
                <w:spacing w:val="-3"/>
              </w:rPr>
              <w:t>30</w:t>
            </w:r>
          </w:p>
        </w:tc>
      </w:tr>
      <w:tr w14:paraId="1873746C">
        <w:trPr>
          <w:trHeight w:val="388" w:hRule="atLeast"/>
        </w:trPr>
        <w:tc>
          <w:tcPr>
            <w:tcW w:w="2290" w:type="dxa"/>
            <w:tcBorders>
              <w:top w:val="single" w:color="000000" w:sz="4" w:space="0"/>
              <w:bottom w:val="single" w:color="000000" w:sz="4" w:space="0"/>
            </w:tcBorders>
            <w:shd w:val="clear" w:color="auto" w:fill="DCDCDD"/>
            <w:vAlign w:val="top"/>
          </w:tcPr>
          <w:p w14:paraId="4A120185">
            <w:pPr>
              <w:pStyle w:val="6"/>
              <w:spacing w:before="102" w:line="219" w:lineRule="auto"/>
              <w:ind w:left="739"/>
            </w:pPr>
            <w:r>
              <w:rPr>
                <w:spacing w:val="-2"/>
              </w:rPr>
              <w:t>无暴露史</w:t>
            </w:r>
          </w:p>
        </w:tc>
        <w:tc>
          <w:tcPr>
            <w:tcW w:w="2360" w:type="dxa"/>
            <w:tcBorders>
              <w:top w:val="single" w:color="000000" w:sz="4" w:space="0"/>
              <w:bottom w:val="single" w:color="000000" w:sz="4" w:space="0"/>
            </w:tcBorders>
            <w:shd w:val="clear" w:color="auto" w:fill="DCDCDA"/>
            <w:vAlign w:val="top"/>
          </w:tcPr>
          <w:p w14:paraId="130B8D9E">
            <w:pPr>
              <w:pStyle w:val="6"/>
              <w:spacing w:before="124" w:line="234" w:lineRule="auto"/>
              <w:ind w:left="1079"/>
            </w:pPr>
            <w:r>
              <w:rPr>
                <w:spacing w:val="-3"/>
              </w:rPr>
              <w:t>29</w:t>
            </w:r>
          </w:p>
        </w:tc>
        <w:tc>
          <w:tcPr>
            <w:tcW w:w="2340" w:type="dxa"/>
            <w:tcBorders>
              <w:top w:val="single" w:color="000000" w:sz="4" w:space="0"/>
              <w:bottom w:val="single" w:color="000000" w:sz="4" w:space="0"/>
            </w:tcBorders>
            <w:shd w:val="clear" w:color="auto" w:fill="DDDCD9"/>
            <w:vAlign w:val="top"/>
          </w:tcPr>
          <w:p w14:paraId="093B85E3">
            <w:pPr>
              <w:pStyle w:val="6"/>
              <w:spacing w:before="124" w:line="234" w:lineRule="auto"/>
              <w:ind w:left="1119"/>
            </w:pPr>
            <w:r>
              <w:t>4</w:t>
            </w:r>
          </w:p>
        </w:tc>
        <w:tc>
          <w:tcPr>
            <w:tcW w:w="2230" w:type="dxa"/>
            <w:tcBorders>
              <w:top w:val="single" w:color="000000" w:sz="4" w:space="0"/>
              <w:bottom w:val="single" w:color="000000" w:sz="4" w:space="0"/>
            </w:tcBorders>
            <w:shd w:val="clear" w:color="auto" w:fill="DDDCD6"/>
            <w:vAlign w:val="top"/>
          </w:tcPr>
          <w:p w14:paraId="2177FC4F">
            <w:pPr>
              <w:pStyle w:val="6"/>
              <w:spacing w:before="124" w:line="234" w:lineRule="auto"/>
              <w:ind w:left="1009"/>
            </w:pPr>
            <w:r>
              <w:rPr>
                <w:spacing w:val="-3"/>
              </w:rPr>
              <w:t>33</w:t>
            </w:r>
          </w:p>
        </w:tc>
      </w:tr>
      <w:tr w14:paraId="5A88986D">
        <w:trPr>
          <w:trHeight w:val="393" w:hRule="atLeast"/>
        </w:trPr>
        <w:tc>
          <w:tcPr>
            <w:tcW w:w="2290" w:type="dxa"/>
            <w:tcBorders>
              <w:top w:val="single" w:color="000000" w:sz="4" w:space="0"/>
              <w:bottom w:val="single" w:color="000000" w:sz="4" w:space="0"/>
            </w:tcBorders>
            <w:vAlign w:val="top"/>
          </w:tcPr>
          <w:p w14:paraId="5AF2D988">
            <w:pPr>
              <w:pStyle w:val="6"/>
              <w:spacing w:before="107" w:line="221" w:lineRule="auto"/>
              <w:ind w:left="939"/>
            </w:pPr>
            <w:r>
              <w:rPr>
                <w:spacing w:val="-3"/>
              </w:rPr>
              <w:t>合计</w:t>
            </w:r>
          </w:p>
        </w:tc>
        <w:tc>
          <w:tcPr>
            <w:tcW w:w="2360" w:type="dxa"/>
            <w:tcBorders>
              <w:top w:val="single" w:color="000000" w:sz="4" w:space="0"/>
              <w:bottom w:val="single" w:color="000000" w:sz="4" w:space="0"/>
            </w:tcBorders>
            <w:vAlign w:val="top"/>
          </w:tcPr>
          <w:p w14:paraId="6D1712E2">
            <w:pPr>
              <w:pStyle w:val="6"/>
              <w:spacing w:before="126" w:line="237" w:lineRule="auto"/>
              <w:ind w:left="1079"/>
            </w:pPr>
            <w:r>
              <w:rPr>
                <w:spacing w:val="-3"/>
              </w:rPr>
              <w:t>56</w:t>
            </w:r>
          </w:p>
        </w:tc>
        <w:tc>
          <w:tcPr>
            <w:tcW w:w="2340" w:type="dxa"/>
            <w:tcBorders>
              <w:top w:val="single" w:color="000000" w:sz="4" w:space="0"/>
              <w:bottom w:val="single" w:color="000000" w:sz="4" w:space="0"/>
            </w:tcBorders>
            <w:vAlign w:val="top"/>
          </w:tcPr>
          <w:p w14:paraId="22DFCAA7">
            <w:pPr>
              <w:pStyle w:val="6"/>
              <w:spacing w:before="126" w:line="237" w:lineRule="auto"/>
              <w:ind w:left="1119"/>
            </w:pPr>
            <w:r>
              <w:t>7</w:t>
            </w:r>
          </w:p>
        </w:tc>
        <w:tc>
          <w:tcPr>
            <w:tcW w:w="2230" w:type="dxa"/>
            <w:tcBorders>
              <w:top w:val="single" w:color="000000" w:sz="4" w:space="0"/>
              <w:bottom w:val="single" w:color="000000" w:sz="4" w:space="0"/>
            </w:tcBorders>
            <w:vAlign w:val="top"/>
          </w:tcPr>
          <w:p w14:paraId="09F6185E">
            <w:pPr>
              <w:pStyle w:val="6"/>
              <w:spacing w:before="126" w:line="237" w:lineRule="auto"/>
              <w:ind w:left="1009"/>
            </w:pPr>
            <w:r>
              <w:rPr>
                <w:spacing w:val="-3"/>
              </w:rPr>
              <w:t>63</w:t>
            </w:r>
          </w:p>
        </w:tc>
      </w:tr>
    </w:tbl>
    <w:p w14:paraId="31219489">
      <w:pPr>
        <w:spacing w:line="358" w:lineRule="auto"/>
        <w:rPr>
          <w:rFonts w:ascii="Arial"/>
          <w:sz w:val="21"/>
        </w:rPr>
      </w:pPr>
    </w:p>
    <w:p w14:paraId="1A0A7945">
      <w:pPr>
        <w:spacing w:before="72" w:line="219" w:lineRule="auto"/>
        <w:ind w:left="420"/>
        <w:rPr>
          <w:rFonts w:ascii="宋体" w:hAnsi="宋体" w:eastAsia="宋体" w:cs="宋体"/>
          <w:sz w:val="22"/>
          <w:szCs w:val="22"/>
        </w:rPr>
      </w:pPr>
      <w:r>
        <w:rPr>
          <w:rFonts w:ascii="宋体" w:hAnsi="宋体" w:eastAsia="宋体" w:cs="宋体"/>
          <w:spacing w:val="-2"/>
          <w:sz w:val="22"/>
          <w:szCs w:val="22"/>
        </w:rPr>
        <w:t>(1)暴露与疾病关联分析：可用</w:t>
      </w:r>
      <w:r>
        <w:rPr>
          <w:rFonts w:ascii="Times New Roman" w:hAnsi="Times New Roman" w:eastAsia="Times New Roman" w:cs="Times New Roman"/>
          <w:spacing w:val="-2"/>
          <w:sz w:val="22"/>
          <w:szCs w:val="22"/>
        </w:rPr>
        <w:t>McNemar x²</w:t>
      </w:r>
      <w:r>
        <w:rPr>
          <w:rFonts w:ascii="宋体" w:hAnsi="宋体" w:eastAsia="宋体" w:cs="宋体"/>
          <w:spacing w:val="-2"/>
          <w:sz w:val="22"/>
          <w:szCs w:val="22"/>
        </w:rPr>
        <w:t>检验，公式如下：</w:t>
      </w:r>
    </w:p>
    <w:p w14:paraId="023BF420">
      <w:pPr>
        <w:spacing w:line="377" w:lineRule="auto"/>
        <w:rPr>
          <w:rFonts w:ascii="Arial"/>
          <w:sz w:val="21"/>
        </w:rPr>
      </w:pPr>
      <w:r>
        <w:drawing>
          <wp:anchor distT="0" distB="0" distL="0" distR="0" simplePos="0" relativeHeight="251746304" behindDoc="0" locked="0" layoutInCell="1" allowOverlap="1">
            <wp:simplePos x="0" y="0"/>
            <wp:positionH relativeFrom="column">
              <wp:posOffset>2616200</wp:posOffset>
            </wp:positionH>
            <wp:positionV relativeFrom="paragraph">
              <wp:posOffset>178435</wp:posOffset>
            </wp:positionV>
            <wp:extent cx="704850" cy="374650"/>
            <wp:effectExtent l="0" t="0" r="0" b="0"/>
            <wp:wrapNone/>
            <wp:docPr id="298" name="IM 298"/>
            <wp:cNvGraphicFramePr/>
            <a:graphic xmlns:a="http://schemas.openxmlformats.org/drawingml/2006/main">
              <a:graphicData uri="http://schemas.openxmlformats.org/drawingml/2006/picture">
                <pic:pic xmlns:pic="http://schemas.openxmlformats.org/drawingml/2006/picture">
                  <pic:nvPicPr>
                    <pic:cNvPr id="298" name="IM 298"/>
                    <pic:cNvPicPr/>
                  </pic:nvPicPr>
                  <pic:blipFill>
                    <a:blip r:embed="rId521"/>
                    <a:stretch>
                      <a:fillRect/>
                    </a:stretch>
                  </pic:blipFill>
                  <pic:spPr>
                    <a:xfrm>
                      <a:off x="0" y="0"/>
                      <a:ext cx="704870" cy="374678"/>
                    </a:xfrm>
                    <a:prstGeom prst="rect">
                      <a:avLst/>
                    </a:prstGeom>
                  </pic:spPr>
                </pic:pic>
              </a:graphicData>
            </a:graphic>
          </wp:anchor>
        </w:drawing>
      </w:r>
    </w:p>
    <w:p w14:paraId="75BB5AE4">
      <w:pPr>
        <w:spacing w:before="72" w:line="221" w:lineRule="auto"/>
        <w:ind w:left="8400"/>
        <w:rPr>
          <w:rFonts w:ascii="宋体" w:hAnsi="宋体" w:eastAsia="宋体" w:cs="宋体"/>
          <w:sz w:val="22"/>
          <w:szCs w:val="22"/>
        </w:rPr>
      </w:pPr>
      <w:r>
        <w:rPr>
          <w:rFonts w:ascii="宋体" w:hAnsi="宋体" w:eastAsia="宋体" w:cs="宋体"/>
          <w:spacing w:val="5"/>
          <w:sz w:val="22"/>
          <w:szCs w:val="22"/>
        </w:rPr>
        <w:t>式(5-17)</w:t>
      </w:r>
    </w:p>
    <w:p w14:paraId="5BCE51DA">
      <w:pPr>
        <w:spacing w:line="337" w:lineRule="auto"/>
        <w:rPr>
          <w:rFonts w:ascii="Arial"/>
          <w:sz w:val="21"/>
        </w:rPr>
      </w:pPr>
    </w:p>
    <w:p w14:paraId="48616F1A">
      <w:pPr>
        <w:spacing w:before="72" w:line="212" w:lineRule="auto"/>
        <w:ind w:left="410"/>
        <w:rPr>
          <w:rFonts w:ascii="宋体" w:hAnsi="宋体" w:eastAsia="宋体" w:cs="宋体"/>
          <w:sz w:val="22"/>
          <w:szCs w:val="22"/>
        </w:rPr>
      </w:pPr>
      <w:r>
        <w:rPr>
          <w:rFonts w:ascii="宋体" w:hAnsi="宋体" w:eastAsia="宋体" w:cs="宋体"/>
          <w:spacing w:val="-2"/>
          <w:sz w:val="22"/>
          <w:szCs w:val="22"/>
        </w:rPr>
        <w:t>此公式适用于较大样本。当</w:t>
      </w:r>
      <w:r>
        <w:rPr>
          <w:rFonts w:ascii="Times New Roman" w:hAnsi="Times New Roman" w:eastAsia="Times New Roman" w:cs="Times New Roman"/>
          <w:spacing w:val="-2"/>
          <w:sz w:val="22"/>
          <w:szCs w:val="22"/>
        </w:rPr>
        <w:t xml:space="preserve">(b+c)&lt;40   </w:t>
      </w:r>
      <w:r>
        <w:rPr>
          <w:rFonts w:ascii="宋体" w:hAnsi="宋体" w:eastAsia="宋体" w:cs="宋体"/>
          <w:spacing w:val="-2"/>
          <w:sz w:val="22"/>
          <w:szCs w:val="22"/>
        </w:rPr>
        <w:t>时，用以下连续性校正公式计算校正的</w:t>
      </w:r>
      <w:r>
        <w:rPr>
          <w:rFonts w:ascii="Times New Roman" w:hAnsi="Times New Roman" w:eastAsia="Times New Roman" w:cs="Times New Roman"/>
          <w:spacing w:val="-2"/>
          <w:sz w:val="22"/>
          <w:szCs w:val="22"/>
        </w:rPr>
        <w:t xml:space="preserve">x²  </w:t>
      </w:r>
      <w:r>
        <w:rPr>
          <w:rFonts w:ascii="宋体" w:hAnsi="宋体" w:eastAsia="宋体" w:cs="宋体"/>
          <w:spacing w:val="-2"/>
          <w:sz w:val="22"/>
          <w:szCs w:val="22"/>
        </w:rPr>
        <w:t>值。</w:t>
      </w:r>
    </w:p>
    <w:p w14:paraId="1D3FCADE">
      <w:pPr>
        <w:spacing w:line="239" w:lineRule="exact"/>
      </w:pPr>
    </w:p>
    <w:p w14:paraId="202B7E6B">
      <w:pPr>
        <w:spacing w:line="239" w:lineRule="exact"/>
        <w:sectPr>
          <w:footerReference r:id="rId105" w:type="default"/>
          <w:pgSz w:w="11900" w:h="16820"/>
          <w:pgMar w:top="400" w:right="633" w:bottom="938" w:left="1289" w:header="0" w:footer="653" w:gutter="0"/>
          <w:cols w:equalWidth="0" w:num="1">
            <w:col w:w="9977"/>
          </w:cols>
        </w:sectPr>
      </w:pPr>
    </w:p>
    <w:p w14:paraId="1AE06AE8">
      <w:pPr>
        <w:spacing w:before="44" w:line="550" w:lineRule="exact"/>
        <w:ind w:firstLine="3660"/>
      </w:pPr>
      <w:r>
        <w:rPr>
          <w:position w:val="-11"/>
        </w:rPr>
        <w:drawing>
          <wp:inline distT="0" distB="0" distL="0" distR="0">
            <wp:extent cx="1275715" cy="349250"/>
            <wp:effectExtent l="0" t="0" r="0" b="0"/>
            <wp:docPr id="300" name="IM 300"/>
            <wp:cNvGraphicFramePr/>
            <a:graphic xmlns:a="http://schemas.openxmlformats.org/drawingml/2006/main">
              <a:graphicData uri="http://schemas.openxmlformats.org/drawingml/2006/picture">
                <pic:pic xmlns:pic="http://schemas.openxmlformats.org/drawingml/2006/picture">
                  <pic:nvPicPr>
                    <pic:cNvPr id="300" name="IM 300"/>
                    <pic:cNvPicPr/>
                  </pic:nvPicPr>
                  <pic:blipFill>
                    <a:blip r:embed="rId522"/>
                    <a:stretch>
                      <a:fillRect/>
                    </a:stretch>
                  </pic:blipFill>
                  <pic:spPr>
                    <a:xfrm>
                      <a:off x="0" y="0"/>
                      <a:ext cx="1276292" cy="349258"/>
                    </a:xfrm>
                    <a:prstGeom prst="rect">
                      <a:avLst/>
                    </a:prstGeom>
                  </pic:spPr>
                </pic:pic>
              </a:graphicData>
            </a:graphic>
          </wp:inline>
        </w:drawing>
      </w:r>
    </w:p>
    <w:p w14:paraId="3FB3E157">
      <w:pPr>
        <w:spacing w:line="268" w:lineRule="auto"/>
        <w:rPr>
          <w:rFonts w:ascii="Arial"/>
          <w:sz w:val="21"/>
        </w:rPr>
      </w:pPr>
    </w:p>
    <w:p w14:paraId="4332CFFB">
      <w:pPr>
        <w:spacing w:line="590" w:lineRule="exact"/>
        <w:ind w:firstLine="420"/>
      </w:pPr>
      <w:r>
        <w:rPr>
          <w:position w:val="-11"/>
        </w:rPr>
        <w:drawing>
          <wp:inline distT="0" distB="0" distL="0" distR="0">
            <wp:extent cx="3529965" cy="374015"/>
            <wp:effectExtent l="0" t="0" r="0" b="0"/>
            <wp:docPr id="302" name="IM 302"/>
            <wp:cNvGraphicFramePr/>
            <a:graphic xmlns:a="http://schemas.openxmlformats.org/drawingml/2006/main">
              <a:graphicData uri="http://schemas.openxmlformats.org/drawingml/2006/picture">
                <pic:pic xmlns:pic="http://schemas.openxmlformats.org/drawingml/2006/picture">
                  <pic:nvPicPr>
                    <pic:cNvPr id="302" name="IM 302"/>
                    <pic:cNvPicPr/>
                  </pic:nvPicPr>
                  <pic:blipFill>
                    <a:blip r:embed="rId523"/>
                    <a:stretch>
                      <a:fillRect/>
                    </a:stretch>
                  </pic:blipFill>
                  <pic:spPr>
                    <a:xfrm>
                      <a:off x="0" y="0"/>
                      <a:ext cx="3530547" cy="374572"/>
                    </a:xfrm>
                    <a:prstGeom prst="rect">
                      <a:avLst/>
                    </a:prstGeom>
                  </pic:spPr>
                </pic:pic>
              </a:graphicData>
            </a:graphic>
          </wp:inline>
        </w:drawing>
      </w:r>
    </w:p>
    <w:p w14:paraId="60578D12">
      <w:pPr>
        <w:spacing w:before="136" w:line="216" w:lineRule="auto"/>
        <w:ind w:left="430"/>
        <w:rPr>
          <w:rFonts w:ascii="宋体" w:hAnsi="宋体" w:eastAsia="宋体" w:cs="宋体"/>
          <w:sz w:val="22"/>
          <w:szCs w:val="22"/>
        </w:rPr>
      </w:pPr>
      <w:r>
        <w:rPr>
          <w:rFonts w:ascii="宋体" w:hAnsi="宋体" w:eastAsia="宋体" w:cs="宋体"/>
          <w:spacing w:val="-1"/>
          <w:sz w:val="22"/>
          <w:szCs w:val="22"/>
        </w:rPr>
        <w:t>v=1,P&lt;0.005,</w:t>
      </w:r>
      <w:r>
        <w:rPr>
          <w:rFonts w:ascii="宋体" w:hAnsi="宋体" w:eastAsia="宋体" w:cs="宋体"/>
          <w:spacing w:val="48"/>
          <w:sz w:val="22"/>
          <w:szCs w:val="22"/>
        </w:rPr>
        <w:t xml:space="preserve"> </w:t>
      </w:r>
      <w:r>
        <w:rPr>
          <w:rFonts w:ascii="宋体" w:hAnsi="宋体" w:eastAsia="宋体" w:cs="宋体"/>
          <w:spacing w:val="-1"/>
          <w:sz w:val="22"/>
          <w:szCs w:val="22"/>
        </w:rPr>
        <w:t>说明使用外源性雌激</w:t>
      </w:r>
      <w:r>
        <w:rPr>
          <w:rFonts w:ascii="宋体" w:hAnsi="宋体" w:eastAsia="宋体" w:cs="宋体"/>
          <w:spacing w:val="-2"/>
          <w:sz w:val="22"/>
          <w:szCs w:val="22"/>
        </w:rPr>
        <w:t>素与子宫内膜癌的风险增加有关。</w:t>
      </w:r>
    </w:p>
    <w:p w14:paraId="6DAEDDB2">
      <w:pPr>
        <w:spacing w:before="106" w:line="219" w:lineRule="auto"/>
        <w:ind w:left="420"/>
        <w:rPr>
          <w:rFonts w:ascii="宋体" w:hAnsi="宋体" w:eastAsia="宋体" w:cs="宋体"/>
          <w:sz w:val="22"/>
          <w:szCs w:val="22"/>
        </w:rPr>
      </w:pPr>
      <w:r>
        <w:rPr>
          <w:rFonts w:ascii="宋体" w:hAnsi="宋体" w:eastAsia="宋体" w:cs="宋体"/>
          <w:spacing w:val="3"/>
          <w:sz w:val="22"/>
          <w:szCs w:val="22"/>
        </w:rPr>
        <w:t>(2)计算</w:t>
      </w:r>
      <w:r>
        <w:rPr>
          <w:rFonts w:ascii="Times New Roman" w:hAnsi="Times New Roman" w:eastAsia="Times New Roman" w:cs="Times New Roman"/>
          <w:sz w:val="22"/>
          <w:szCs w:val="22"/>
        </w:rPr>
        <w:t>OR</w:t>
      </w:r>
      <w:r>
        <w:rPr>
          <w:rFonts w:ascii="Times New Roman" w:hAnsi="Times New Roman" w:eastAsia="Times New Roman" w:cs="Times New Roman"/>
          <w:spacing w:val="3"/>
          <w:sz w:val="22"/>
          <w:szCs w:val="22"/>
        </w:rPr>
        <w:t xml:space="preserve"> </w:t>
      </w:r>
      <w:r>
        <w:rPr>
          <w:rFonts w:ascii="宋体" w:hAnsi="宋体" w:eastAsia="宋体" w:cs="宋体"/>
          <w:spacing w:val="3"/>
          <w:sz w:val="22"/>
          <w:szCs w:val="22"/>
        </w:rPr>
        <w:t>值：用以下公式计算。</w:t>
      </w:r>
    </w:p>
    <w:p w14:paraId="620A97F5">
      <w:pPr>
        <w:spacing w:line="297" w:lineRule="auto"/>
        <w:rPr>
          <w:rFonts w:ascii="Arial"/>
          <w:sz w:val="21"/>
        </w:rPr>
      </w:pPr>
    </w:p>
    <w:p w14:paraId="37BCF850">
      <w:pPr>
        <w:spacing w:before="1" w:line="440" w:lineRule="exact"/>
        <w:ind w:firstLine="4010"/>
      </w:pPr>
      <w:r>
        <w:rPr>
          <w:position w:val="-8"/>
        </w:rPr>
        <w:drawing>
          <wp:inline distT="0" distB="0" distL="0" distR="0">
            <wp:extent cx="862965" cy="279400"/>
            <wp:effectExtent l="0" t="0" r="0" b="0"/>
            <wp:docPr id="304" name="IM 304"/>
            <wp:cNvGraphicFramePr/>
            <a:graphic xmlns:a="http://schemas.openxmlformats.org/drawingml/2006/main">
              <a:graphicData uri="http://schemas.openxmlformats.org/drawingml/2006/picture">
                <pic:pic xmlns:pic="http://schemas.openxmlformats.org/drawingml/2006/picture">
                  <pic:nvPicPr>
                    <pic:cNvPr id="304" name="IM 304"/>
                    <pic:cNvPicPr/>
                  </pic:nvPicPr>
                  <pic:blipFill>
                    <a:blip r:embed="rId524"/>
                    <a:stretch>
                      <a:fillRect/>
                    </a:stretch>
                  </pic:blipFill>
                  <pic:spPr>
                    <a:xfrm>
                      <a:off x="0" y="0"/>
                      <a:ext cx="863556" cy="279406"/>
                    </a:xfrm>
                    <a:prstGeom prst="rect">
                      <a:avLst/>
                    </a:prstGeom>
                  </pic:spPr>
                </pic:pic>
              </a:graphicData>
            </a:graphic>
          </wp:inline>
        </w:drawing>
      </w:r>
    </w:p>
    <w:p w14:paraId="43A1BF9F">
      <w:pPr>
        <w:spacing w:before="270"/>
        <w:ind w:left="430"/>
        <w:rPr>
          <w:sz w:val="22"/>
          <w:szCs w:val="22"/>
        </w:rPr>
      </w:pPr>
      <w:r>
        <w:rPr>
          <w:rFonts w:ascii="宋体" w:hAnsi="宋体" w:eastAsia="宋体" w:cs="宋体"/>
          <w:spacing w:val="8"/>
          <w:sz w:val="22"/>
          <w:szCs w:val="22"/>
        </w:rPr>
        <w:t>例5-5:</w:t>
      </w:r>
      <w:r>
        <w:rPr>
          <w:rFonts w:ascii="宋体" w:hAnsi="宋体" w:eastAsia="宋体" w:cs="宋体"/>
          <w:spacing w:val="2"/>
          <w:sz w:val="22"/>
          <w:szCs w:val="22"/>
        </w:rPr>
        <w:t xml:space="preserve">                     </w:t>
      </w:r>
      <w:r>
        <w:rPr>
          <w:rFonts w:ascii="宋体" w:hAnsi="宋体" w:eastAsia="宋体" w:cs="宋体"/>
          <w:spacing w:val="1"/>
          <w:sz w:val="22"/>
          <w:szCs w:val="22"/>
        </w:rPr>
        <w:t xml:space="preserve">     </w:t>
      </w:r>
      <w:r>
        <w:rPr>
          <w:position w:val="-19"/>
          <w:sz w:val="22"/>
          <w:szCs w:val="22"/>
        </w:rPr>
        <w:drawing>
          <wp:inline distT="0" distB="0" distL="0" distR="0">
            <wp:extent cx="818515" cy="329565"/>
            <wp:effectExtent l="0" t="0" r="0" b="0"/>
            <wp:docPr id="306" name="IM 306"/>
            <wp:cNvGraphicFramePr/>
            <a:graphic xmlns:a="http://schemas.openxmlformats.org/drawingml/2006/main">
              <a:graphicData uri="http://schemas.openxmlformats.org/drawingml/2006/picture">
                <pic:pic xmlns:pic="http://schemas.openxmlformats.org/drawingml/2006/picture">
                  <pic:nvPicPr>
                    <pic:cNvPr id="306" name="IM 306"/>
                    <pic:cNvPicPr/>
                  </pic:nvPicPr>
                  <pic:blipFill>
                    <a:blip r:embed="rId525"/>
                    <a:stretch>
                      <a:fillRect/>
                    </a:stretch>
                  </pic:blipFill>
                  <pic:spPr>
                    <a:xfrm>
                      <a:off x="0" y="0"/>
                      <a:ext cx="819124" cy="330140"/>
                    </a:xfrm>
                    <a:prstGeom prst="rect">
                      <a:avLst/>
                    </a:prstGeom>
                  </pic:spPr>
                </pic:pic>
              </a:graphicData>
            </a:graphic>
          </wp:inline>
        </w:drawing>
      </w:r>
    </w:p>
    <w:p w14:paraId="1466594B">
      <w:pPr>
        <w:spacing w:before="299" w:line="219" w:lineRule="auto"/>
        <w:ind w:left="440"/>
        <w:rPr>
          <w:rFonts w:ascii="宋体" w:hAnsi="宋体" w:eastAsia="宋体" w:cs="宋体"/>
          <w:sz w:val="22"/>
          <w:szCs w:val="22"/>
        </w:rPr>
      </w:pPr>
      <w:r>
        <w:rPr>
          <w:rFonts w:ascii="宋体" w:hAnsi="宋体" w:eastAsia="宋体" w:cs="宋体"/>
          <w:spacing w:val="3"/>
          <w:sz w:val="22"/>
          <w:szCs w:val="22"/>
        </w:rPr>
        <w:t>(3)计算</w:t>
      </w:r>
      <w:r>
        <w:rPr>
          <w:rFonts w:ascii="Times New Roman" w:hAnsi="Times New Roman" w:eastAsia="Times New Roman" w:cs="Times New Roman"/>
          <w:sz w:val="22"/>
          <w:szCs w:val="22"/>
        </w:rPr>
        <w:t>OR</w:t>
      </w:r>
      <w:r>
        <w:rPr>
          <w:rFonts w:ascii="Times New Roman" w:hAnsi="Times New Roman" w:eastAsia="Times New Roman" w:cs="Times New Roman"/>
          <w:spacing w:val="3"/>
          <w:sz w:val="22"/>
          <w:szCs w:val="22"/>
        </w:rPr>
        <w:t xml:space="preserve">  95%</w:t>
      </w:r>
      <w:r>
        <w:rPr>
          <w:rFonts w:ascii="Times New Roman" w:hAnsi="Times New Roman" w:eastAsia="Times New Roman" w:cs="Times New Roman"/>
          <w:sz w:val="22"/>
          <w:szCs w:val="22"/>
        </w:rPr>
        <w:t>CI</w:t>
      </w:r>
      <w:r>
        <w:rPr>
          <w:rFonts w:ascii="Times New Roman" w:hAnsi="Times New Roman" w:eastAsia="Times New Roman" w:cs="Times New Roman"/>
          <w:spacing w:val="3"/>
          <w:sz w:val="22"/>
          <w:szCs w:val="22"/>
        </w:rPr>
        <w:t>:</w:t>
      </w:r>
      <w:r>
        <w:rPr>
          <w:rFonts w:ascii="宋体" w:hAnsi="宋体" w:eastAsia="宋体" w:cs="宋体"/>
          <w:spacing w:val="3"/>
          <w:sz w:val="22"/>
          <w:szCs w:val="22"/>
        </w:rPr>
        <w:t>仍</w:t>
      </w:r>
      <w:r>
        <w:rPr>
          <w:rFonts w:ascii="宋体" w:hAnsi="宋体" w:eastAsia="宋体" w:cs="宋体"/>
          <w:spacing w:val="-11"/>
          <w:sz w:val="22"/>
          <w:szCs w:val="22"/>
        </w:rPr>
        <w:t xml:space="preserve"> </w:t>
      </w:r>
      <w:r>
        <w:rPr>
          <w:rFonts w:ascii="宋体" w:hAnsi="宋体" w:eastAsia="宋体" w:cs="宋体"/>
          <w:spacing w:val="3"/>
          <w:sz w:val="22"/>
          <w:szCs w:val="22"/>
        </w:rPr>
        <w:t>用</w:t>
      </w:r>
      <w:r>
        <w:rPr>
          <w:rFonts w:ascii="Times New Roman" w:hAnsi="Times New Roman" w:eastAsia="Times New Roman" w:cs="Times New Roman"/>
          <w:sz w:val="22"/>
          <w:szCs w:val="22"/>
        </w:rPr>
        <w:t>Miettinen</w:t>
      </w:r>
      <w:r>
        <w:rPr>
          <w:rFonts w:ascii="宋体" w:hAnsi="宋体" w:eastAsia="宋体" w:cs="宋体"/>
          <w:spacing w:val="3"/>
          <w:sz w:val="22"/>
          <w:szCs w:val="22"/>
        </w:rPr>
        <w:t>法，即</w:t>
      </w:r>
    </w:p>
    <w:p w14:paraId="3F33E636">
      <w:pPr>
        <w:spacing w:line="33" w:lineRule="auto"/>
        <w:rPr>
          <w:rFonts w:ascii="Arial"/>
          <w:sz w:val="2"/>
        </w:rPr>
      </w:pPr>
    </w:p>
    <w:p w14:paraId="7B410C43">
      <w:pPr>
        <w:spacing w:line="14" w:lineRule="auto"/>
        <w:rPr>
          <w:rFonts w:ascii="Arial"/>
          <w:sz w:val="2"/>
        </w:rPr>
      </w:pPr>
      <w:r>
        <w:rPr>
          <w:rFonts w:ascii="Arial" w:hAnsi="Arial" w:eastAsia="Arial" w:cs="Arial"/>
          <w:sz w:val="2"/>
          <w:szCs w:val="2"/>
        </w:rPr>
        <w:br w:type="column"/>
      </w:r>
    </w:p>
    <w:p w14:paraId="11AD75D7">
      <w:pPr>
        <w:spacing w:before="223" w:line="221" w:lineRule="auto"/>
        <w:rPr>
          <w:rFonts w:ascii="宋体" w:hAnsi="宋体" w:eastAsia="宋体" w:cs="宋体"/>
          <w:sz w:val="22"/>
          <w:szCs w:val="22"/>
        </w:rPr>
      </w:pPr>
      <w:r>
        <w:rPr>
          <w:rFonts w:ascii="宋体" w:hAnsi="宋体" w:eastAsia="宋体" w:cs="宋体"/>
          <w:spacing w:val="5"/>
          <w:sz w:val="22"/>
          <w:szCs w:val="22"/>
        </w:rPr>
        <w:t>式(5-18)</w:t>
      </w:r>
    </w:p>
    <w:p w14:paraId="34A7E225">
      <w:pPr>
        <w:spacing w:line="256" w:lineRule="auto"/>
        <w:rPr>
          <w:rFonts w:ascii="Arial"/>
          <w:sz w:val="21"/>
        </w:rPr>
      </w:pPr>
    </w:p>
    <w:p w14:paraId="533A326B">
      <w:pPr>
        <w:spacing w:line="256" w:lineRule="auto"/>
        <w:rPr>
          <w:rFonts w:ascii="Arial"/>
          <w:sz w:val="21"/>
        </w:rPr>
      </w:pPr>
    </w:p>
    <w:p w14:paraId="2D73AA83">
      <w:pPr>
        <w:spacing w:line="256" w:lineRule="auto"/>
        <w:rPr>
          <w:rFonts w:ascii="Arial"/>
          <w:sz w:val="21"/>
        </w:rPr>
      </w:pPr>
    </w:p>
    <w:p w14:paraId="312C0C69">
      <w:pPr>
        <w:spacing w:line="256" w:lineRule="auto"/>
        <w:rPr>
          <w:rFonts w:ascii="Arial"/>
          <w:sz w:val="21"/>
        </w:rPr>
      </w:pPr>
    </w:p>
    <w:p w14:paraId="0F353375">
      <w:pPr>
        <w:spacing w:line="257" w:lineRule="auto"/>
        <w:rPr>
          <w:rFonts w:ascii="Arial"/>
          <w:sz w:val="21"/>
        </w:rPr>
      </w:pPr>
    </w:p>
    <w:p w14:paraId="7EAE6F05">
      <w:pPr>
        <w:spacing w:line="257" w:lineRule="auto"/>
        <w:rPr>
          <w:rFonts w:ascii="Arial"/>
          <w:sz w:val="21"/>
        </w:rPr>
      </w:pPr>
    </w:p>
    <w:p w14:paraId="148FD2C6">
      <w:pPr>
        <w:spacing w:line="257" w:lineRule="auto"/>
        <w:rPr>
          <w:rFonts w:ascii="Arial"/>
          <w:sz w:val="21"/>
        </w:rPr>
      </w:pPr>
    </w:p>
    <w:p w14:paraId="691DBEFF">
      <w:pPr>
        <w:spacing w:line="257" w:lineRule="auto"/>
        <w:rPr>
          <w:rFonts w:ascii="Arial"/>
          <w:sz w:val="21"/>
        </w:rPr>
      </w:pPr>
    </w:p>
    <w:p w14:paraId="0C3BDED4">
      <w:pPr>
        <w:spacing w:before="72" w:line="221" w:lineRule="auto"/>
        <w:rPr>
          <w:rFonts w:ascii="宋体" w:hAnsi="宋体" w:eastAsia="宋体" w:cs="宋体"/>
          <w:sz w:val="22"/>
          <w:szCs w:val="22"/>
        </w:rPr>
      </w:pPr>
      <w:r>
        <w:rPr>
          <w:rFonts w:ascii="宋体" w:hAnsi="宋体" w:eastAsia="宋体" w:cs="宋体"/>
          <w:spacing w:val="5"/>
          <w:sz w:val="22"/>
          <w:szCs w:val="22"/>
        </w:rPr>
        <w:t>式(5-19)</w:t>
      </w:r>
    </w:p>
    <w:p w14:paraId="65411D67">
      <w:pPr>
        <w:spacing w:line="221" w:lineRule="auto"/>
        <w:rPr>
          <w:rFonts w:ascii="宋体" w:hAnsi="宋体" w:eastAsia="宋体" w:cs="宋体"/>
          <w:sz w:val="22"/>
          <w:szCs w:val="22"/>
        </w:rPr>
        <w:sectPr>
          <w:type w:val="continuous"/>
          <w:pgSz w:w="11900" w:h="16820"/>
          <w:pgMar w:top="400" w:right="633" w:bottom="938" w:left="1289" w:header="0" w:footer="653" w:gutter="0"/>
          <w:cols w:equalWidth="0" w:num="2">
            <w:col w:w="8311" w:space="100"/>
            <w:col w:w="1567"/>
          </w:cols>
        </w:sectPr>
      </w:pPr>
    </w:p>
    <w:p w14:paraId="08C1ED0B">
      <w:pPr>
        <w:spacing w:before="141" w:line="212" w:lineRule="auto"/>
        <w:ind w:left="450"/>
        <w:rPr>
          <w:rFonts w:ascii="宋体" w:hAnsi="宋体" w:eastAsia="宋体" w:cs="宋体"/>
          <w:sz w:val="22"/>
          <w:szCs w:val="22"/>
        </w:rPr>
      </w:pPr>
      <w:r>
        <w:rPr>
          <w:rFonts w:ascii="Times New Roman" w:hAnsi="Times New Roman" w:eastAsia="Times New Roman" w:cs="Times New Roman"/>
          <w:spacing w:val="-1"/>
          <w:sz w:val="22"/>
          <w:szCs w:val="22"/>
        </w:rPr>
        <w:t>OR</w:t>
      </w:r>
      <w:r>
        <w:rPr>
          <w:rFonts w:ascii="宋体" w:hAnsi="宋体" w:eastAsia="宋体" w:cs="宋体"/>
          <w:spacing w:val="-1"/>
          <w:sz w:val="22"/>
          <w:szCs w:val="22"/>
        </w:rPr>
        <w:t>的</w:t>
      </w:r>
      <w:r>
        <w:rPr>
          <w:rFonts w:ascii="宋体" w:hAnsi="宋体" w:eastAsia="宋体" w:cs="宋体"/>
          <w:spacing w:val="-23"/>
          <w:sz w:val="22"/>
          <w:szCs w:val="22"/>
        </w:rPr>
        <w:t xml:space="preserve"> </w:t>
      </w:r>
      <w:r>
        <w:rPr>
          <w:rFonts w:ascii="宋体" w:hAnsi="宋体" w:eastAsia="宋体" w:cs="宋体"/>
          <w:spacing w:val="-1"/>
          <w:sz w:val="22"/>
          <w:szCs w:val="22"/>
        </w:rPr>
        <w:t>9</w:t>
      </w:r>
      <w:r>
        <w:rPr>
          <w:rFonts w:ascii="宋体" w:hAnsi="宋体" w:eastAsia="宋体" w:cs="宋体"/>
          <w:spacing w:val="-37"/>
          <w:sz w:val="22"/>
          <w:szCs w:val="22"/>
        </w:rPr>
        <w:t xml:space="preserve"> </w:t>
      </w:r>
      <w:r>
        <w:rPr>
          <w:rFonts w:ascii="宋体" w:hAnsi="宋体" w:eastAsia="宋体" w:cs="宋体"/>
          <w:spacing w:val="-1"/>
          <w:sz w:val="22"/>
          <w:szCs w:val="22"/>
        </w:rPr>
        <w:t>5</w:t>
      </w:r>
      <w:r>
        <w:rPr>
          <w:rFonts w:ascii="宋体" w:hAnsi="宋体" w:eastAsia="宋体" w:cs="宋体"/>
          <w:spacing w:val="-46"/>
          <w:sz w:val="22"/>
          <w:szCs w:val="22"/>
        </w:rPr>
        <w:t xml:space="preserve"> </w:t>
      </w:r>
      <w:r>
        <w:rPr>
          <w:rFonts w:ascii="宋体" w:hAnsi="宋体" w:eastAsia="宋体" w:cs="宋体"/>
          <w:spacing w:val="-1"/>
          <w:sz w:val="22"/>
          <w:szCs w:val="22"/>
        </w:rPr>
        <w:t>%</w:t>
      </w:r>
      <w:r>
        <w:rPr>
          <w:rFonts w:ascii="Times New Roman" w:hAnsi="Times New Roman" w:eastAsia="Times New Roman" w:cs="Times New Roman"/>
          <w:spacing w:val="-1"/>
          <w:sz w:val="22"/>
          <w:szCs w:val="22"/>
        </w:rPr>
        <w:t>CI=OR(11.96   ²),</w:t>
      </w:r>
      <w:r>
        <w:rPr>
          <w:rFonts w:ascii="宋体" w:hAnsi="宋体" w:eastAsia="宋体" w:cs="宋体"/>
          <w:spacing w:val="-1"/>
          <w:sz w:val="22"/>
          <w:szCs w:val="22"/>
        </w:rPr>
        <w:t>式中一般用不校正的</w:t>
      </w:r>
      <w:r>
        <w:rPr>
          <w:rFonts w:ascii="Times New Roman" w:hAnsi="Times New Roman" w:eastAsia="Times New Roman" w:cs="Times New Roman"/>
          <w:spacing w:val="-1"/>
          <w:sz w:val="22"/>
          <w:szCs w:val="22"/>
        </w:rPr>
        <w:t>x²</w:t>
      </w:r>
      <w:r>
        <w:rPr>
          <w:rFonts w:ascii="Times New Roman" w:hAnsi="Times New Roman" w:eastAsia="Times New Roman" w:cs="Times New Roman"/>
          <w:spacing w:val="32"/>
          <w:sz w:val="22"/>
          <w:szCs w:val="22"/>
        </w:rPr>
        <w:t xml:space="preserve"> </w:t>
      </w:r>
      <w:r>
        <w:rPr>
          <w:rFonts w:ascii="宋体" w:hAnsi="宋体" w:eastAsia="宋体" w:cs="宋体"/>
          <w:spacing w:val="-1"/>
          <w:sz w:val="22"/>
          <w:szCs w:val="22"/>
        </w:rPr>
        <w:t>值。</w:t>
      </w:r>
    </w:p>
    <w:p w14:paraId="148E8EBA">
      <w:pPr>
        <w:spacing w:before="68" w:line="336" w:lineRule="auto"/>
        <w:ind w:left="19" w:right="667" w:firstLine="430"/>
        <w:rPr>
          <w:rFonts w:ascii="宋体" w:hAnsi="宋体" w:eastAsia="宋体" w:cs="宋体"/>
          <w:sz w:val="22"/>
          <w:szCs w:val="22"/>
        </w:rPr>
      </w:pPr>
      <w:r>
        <w:rPr>
          <w:rFonts w:ascii="宋体" w:hAnsi="宋体" w:eastAsia="宋体" w:cs="宋体"/>
          <w:spacing w:val="-2"/>
          <w:sz w:val="22"/>
          <w:szCs w:val="22"/>
        </w:rPr>
        <w:t>例5-5:</w:t>
      </w:r>
      <w:r>
        <w:rPr>
          <w:rFonts w:ascii="Times New Roman" w:hAnsi="Times New Roman" w:eastAsia="Times New Roman" w:cs="Times New Roman"/>
          <w:spacing w:val="-2"/>
          <w:sz w:val="22"/>
          <w:szCs w:val="22"/>
        </w:rPr>
        <w:t>OR</w:t>
      </w:r>
      <w:r>
        <w:rPr>
          <w:rFonts w:ascii="Times New Roman" w:hAnsi="Times New Roman" w:eastAsia="Times New Roman" w:cs="Times New Roman"/>
          <w:spacing w:val="31"/>
          <w:w w:val="101"/>
          <w:sz w:val="22"/>
          <w:szCs w:val="22"/>
        </w:rPr>
        <w:t xml:space="preserve"> </w:t>
      </w:r>
      <w:r>
        <w:rPr>
          <w:rFonts w:ascii="宋体" w:hAnsi="宋体" w:eastAsia="宋体" w:cs="宋体"/>
          <w:spacing w:val="-2"/>
          <w:sz w:val="22"/>
          <w:szCs w:val="22"/>
        </w:rPr>
        <w:t>的</w:t>
      </w:r>
      <w:r>
        <w:rPr>
          <w:rFonts w:ascii="宋体" w:hAnsi="宋体" w:eastAsia="宋体" w:cs="宋体"/>
          <w:spacing w:val="-37"/>
          <w:sz w:val="22"/>
          <w:szCs w:val="22"/>
        </w:rPr>
        <w:t xml:space="preserve"> </w:t>
      </w:r>
      <w:r>
        <w:rPr>
          <w:rFonts w:ascii="宋体" w:hAnsi="宋体" w:eastAsia="宋体" w:cs="宋体"/>
          <w:spacing w:val="-2"/>
          <w:sz w:val="22"/>
          <w:szCs w:val="22"/>
        </w:rPr>
        <w:t>9</w:t>
      </w:r>
      <w:r>
        <w:rPr>
          <w:rFonts w:ascii="宋体" w:hAnsi="宋体" w:eastAsia="宋体" w:cs="宋体"/>
          <w:spacing w:val="-33"/>
          <w:sz w:val="22"/>
          <w:szCs w:val="22"/>
        </w:rPr>
        <w:t xml:space="preserve"> </w:t>
      </w:r>
      <w:r>
        <w:rPr>
          <w:rFonts w:ascii="宋体" w:hAnsi="宋体" w:eastAsia="宋体" w:cs="宋体"/>
          <w:spacing w:val="-2"/>
          <w:sz w:val="22"/>
          <w:szCs w:val="22"/>
        </w:rPr>
        <w:t>5</w:t>
      </w:r>
      <w:r>
        <w:rPr>
          <w:rFonts w:ascii="宋体" w:hAnsi="宋体" w:eastAsia="宋体" w:cs="宋体"/>
          <w:spacing w:val="-44"/>
          <w:sz w:val="22"/>
          <w:szCs w:val="22"/>
        </w:rPr>
        <w:t xml:space="preserve"> </w:t>
      </w:r>
      <w:r>
        <w:rPr>
          <w:rFonts w:ascii="宋体" w:hAnsi="宋体" w:eastAsia="宋体" w:cs="宋体"/>
          <w:spacing w:val="-2"/>
          <w:sz w:val="22"/>
          <w:szCs w:val="22"/>
        </w:rPr>
        <w:t>%</w:t>
      </w:r>
      <w:r>
        <w:rPr>
          <w:rFonts w:ascii="Times New Roman" w:hAnsi="Times New Roman" w:eastAsia="Times New Roman" w:cs="Times New Roman"/>
          <w:spacing w:val="-2"/>
          <w:sz w:val="22"/>
          <w:szCs w:val="22"/>
        </w:rPr>
        <w:t>CI=9.67¹±1.96/√21.13)=(3.67,25.44),</w:t>
      </w:r>
      <w:r>
        <w:rPr>
          <w:rFonts w:ascii="宋体" w:hAnsi="宋体" w:eastAsia="宋体" w:cs="宋体"/>
          <w:spacing w:val="-2"/>
          <w:sz w:val="22"/>
          <w:szCs w:val="22"/>
        </w:rPr>
        <w:t>即</w:t>
      </w:r>
      <w:r>
        <w:rPr>
          <w:rFonts w:ascii="宋体" w:hAnsi="宋体" w:eastAsia="宋体" w:cs="宋体"/>
          <w:spacing w:val="-45"/>
          <w:sz w:val="22"/>
          <w:szCs w:val="22"/>
        </w:rPr>
        <w:t xml:space="preserve"> </w:t>
      </w:r>
      <w:r>
        <w:rPr>
          <w:rFonts w:ascii="Times New Roman" w:hAnsi="Times New Roman" w:eastAsia="Times New Roman" w:cs="Times New Roman"/>
          <w:spacing w:val="-2"/>
          <w:sz w:val="22"/>
          <w:szCs w:val="22"/>
        </w:rPr>
        <w:t>OR</w:t>
      </w:r>
      <w:r>
        <w:rPr>
          <w:rFonts w:ascii="宋体" w:hAnsi="宋体" w:eastAsia="宋体" w:cs="宋体"/>
          <w:spacing w:val="-2"/>
          <w:sz w:val="22"/>
          <w:szCs w:val="22"/>
        </w:rPr>
        <w:t>的</w:t>
      </w:r>
      <w:r>
        <w:rPr>
          <w:rFonts w:ascii="宋体" w:hAnsi="宋体" w:eastAsia="宋体" w:cs="宋体"/>
          <w:spacing w:val="-43"/>
          <w:sz w:val="22"/>
          <w:szCs w:val="22"/>
        </w:rPr>
        <w:t xml:space="preserve"> </w:t>
      </w:r>
      <w:r>
        <w:rPr>
          <w:rFonts w:ascii="宋体" w:hAnsi="宋体" w:eastAsia="宋体" w:cs="宋体"/>
          <w:spacing w:val="-2"/>
          <w:sz w:val="22"/>
          <w:szCs w:val="22"/>
        </w:rPr>
        <w:t>9</w:t>
      </w:r>
      <w:r>
        <w:rPr>
          <w:rFonts w:ascii="宋体" w:hAnsi="宋体" w:eastAsia="宋体" w:cs="宋体"/>
          <w:spacing w:val="-40"/>
          <w:sz w:val="22"/>
          <w:szCs w:val="22"/>
        </w:rPr>
        <w:t xml:space="preserve"> </w:t>
      </w:r>
      <w:r>
        <w:rPr>
          <w:rFonts w:ascii="宋体" w:hAnsi="宋体" w:eastAsia="宋体" w:cs="宋体"/>
          <w:spacing w:val="-2"/>
          <w:sz w:val="22"/>
          <w:szCs w:val="22"/>
        </w:rPr>
        <w:t>5</w:t>
      </w:r>
      <w:r>
        <w:rPr>
          <w:rFonts w:ascii="宋体" w:hAnsi="宋体" w:eastAsia="宋体" w:cs="宋体"/>
          <w:spacing w:val="-50"/>
          <w:sz w:val="22"/>
          <w:szCs w:val="22"/>
        </w:rPr>
        <w:t xml:space="preserve"> </w:t>
      </w:r>
      <w:r>
        <w:rPr>
          <w:rFonts w:ascii="宋体" w:hAnsi="宋体" w:eastAsia="宋体" w:cs="宋体"/>
          <w:spacing w:val="-2"/>
          <w:sz w:val="22"/>
          <w:szCs w:val="22"/>
        </w:rPr>
        <w:t>%</w:t>
      </w:r>
      <w:r>
        <w:rPr>
          <w:rFonts w:ascii="Times New Roman" w:hAnsi="Times New Roman" w:eastAsia="Times New Roman" w:cs="Times New Roman"/>
          <w:spacing w:val="-2"/>
          <w:sz w:val="22"/>
          <w:szCs w:val="22"/>
        </w:rPr>
        <w:t>CI</w:t>
      </w:r>
      <w:r>
        <w:rPr>
          <w:rFonts w:ascii="宋体" w:hAnsi="宋体" w:eastAsia="宋体" w:cs="宋体"/>
          <w:spacing w:val="-2"/>
          <w:sz w:val="22"/>
          <w:szCs w:val="22"/>
        </w:rPr>
        <w:t>为3.67～25.44。结果表</w:t>
      </w:r>
      <w:r>
        <w:rPr>
          <w:rFonts w:ascii="宋体" w:hAnsi="宋体" w:eastAsia="宋体" w:cs="宋体"/>
          <w:sz w:val="22"/>
          <w:szCs w:val="22"/>
        </w:rPr>
        <w:t xml:space="preserve"> </w:t>
      </w:r>
      <w:r>
        <w:rPr>
          <w:rFonts w:ascii="宋体" w:hAnsi="宋体" w:eastAsia="宋体" w:cs="宋体"/>
          <w:spacing w:val="-5"/>
          <w:sz w:val="22"/>
          <w:szCs w:val="22"/>
        </w:rPr>
        <w:t>明：外源性雌激素的使用是子宫内膜癌发生的危险因素。</w:t>
      </w:r>
    </w:p>
    <w:p w14:paraId="29037AB3">
      <w:pPr>
        <w:pStyle w:val="2"/>
        <w:spacing w:before="12" w:line="221" w:lineRule="auto"/>
        <w:ind w:left="470"/>
        <w:rPr>
          <w:sz w:val="22"/>
          <w:szCs w:val="22"/>
        </w:rPr>
      </w:pPr>
      <w:r>
        <w:rPr>
          <w:spacing w:val="19"/>
          <w:sz w:val="22"/>
          <w:szCs w:val="22"/>
        </w:rPr>
        <w:t>(三)非匹配资料的分层分析</w:t>
      </w:r>
    </w:p>
    <w:p w14:paraId="19DB49F1">
      <w:pPr>
        <w:spacing w:before="100" w:line="301" w:lineRule="auto"/>
        <w:ind w:left="9" w:right="596" w:firstLine="430"/>
        <w:jc w:val="both"/>
        <w:rPr>
          <w:rFonts w:ascii="宋体" w:hAnsi="宋体" w:eastAsia="宋体" w:cs="宋体"/>
          <w:sz w:val="22"/>
          <w:szCs w:val="22"/>
        </w:rPr>
      </w:pPr>
      <w:r>
        <w:rPr>
          <w:rFonts w:ascii="宋体" w:hAnsi="宋体" w:eastAsia="宋体" w:cs="宋体"/>
          <w:spacing w:val="-1"/>
          <w:sz w:val="22"/>
          <w:szCs w:val="22"/>
        </w:rPr>
        <w:t>病例对照研究中的混杂因素可以用分层分析</w:t>
      </w:r>
      <w:r>
        <w:rPr>
          <w:rFonts w:ascii="Times New Roman" w:hAnsi="Times New Roman" w:eastAsia="Times New Roman" w:cs="Times New Roman"/>
          <w:spacing w:val="-1"/>
          <w:sz w:val="22"/>
          <w:szCs w:val="22"/>
        </w:rPr>
        <w:t>(stratification  analysis)</w:t>
      </w:r>
      <w:r>
        <w:rPr>
          <w:rFonts w:ascii="宋体" w:hAnsi="宋体" w:eastAsia="宋体" w:cs="宋体"/>
          <w:spacing w:val="-1"/>
          <w:sz w:val="22"/>
          <w:szCs w:val="22"/>
        </w:rPr>
        <w:t>的方法去识别，并估计和控</w:t>
      </w:r>
      <w:r>
        <w:rPr>
          <w:rFonts w:ascii="宋体" w:hAnsi="宋体" w:eastAsia="宋体" w:cs="宋体"/>
          <w:spacing w:val="18"/>
          <w:sz w:val="22"/>
          <w:szCs w:val="22"/>
        </w:rPr>
        <w:t xml:space="preserve"> </w:t>
      </w:r>
      <w:r>
        <w:rPr>
          <w:rFonts w:ascii="宋体" w:hAnsi="宋体" w:eastAsia="宋体" w:cs="宋体"/>
          <w:spacing w:val="1"/>
          <w:sz w:val="22"/>
          <w:szCs w:val="22"/>
        </w:rPr>
        <w:t>制其作用。分层分析是根据潜在混杂因素的有无或程度将研究对象分为不同的层，然后在各层中</w:t>
      </w:r>
      <w:r>
        <w:rPr>
          <w:rFonts w:ascii="宋体" w:hAnsi="宋体" w:eastAsia="宋体" w:cs="宋体"/>
          <w:spacing w:val="10"/>
          <w:sz w:val="22"/>
          <w:szCs w:val="22"/>
        </w:rPr>
        <w:t xml:space="preserve"> </w:t>
      </w:r>
      <w:r>
        <w:rPr>
          <w:rFonts w:ascii="宋体" w:hAnsi="宋体" w:eastAsia="宋体" w:cs="宋体"/>
          <w:spacing w:val="2"/>
          <w:sz w:val="22"/>
          <w:szCs w:val="22"/>
        </w:rPr>
        <w:t>比较病例组和对照组暴露因素的分布。如可按某一混杂因素分成若干亚层(如</w:t>
      </w:r>
      <w:r>
        <w:rPr>
          <w:rFonts w:ascii="Times New Roman" w:hAnsi="Times New Roman" w:eastAsia="Times New Roman" w:cs="Times New Roman"/>
          <w:spacing w:val="2"/>
          <w:sz w:val="22"/>
          <w:szCs w:val="22"/>
        </w:rPr>
        <w:t>i</w:t>
      </w:r>
      <w:r>
        <w:rPr>
          <w:rFonts w:ascii="Times New Roman" w:hAnsi="Times New Roman" w:eastAsia="Times New Roman" w:cs="Times New Roman"/>
          <w:spacing w:val="32"/>
          <w:w w:val="101"/>
          <w:sz w:val="22"/>
          <w:szCs w:val="22"/>
        </w:rPr>
        <w:t xml:space="preserve"> </w:t>
      </w:r>
      <w:r>
        <w:rPr>
          <w:rFonts w:ascii="宋体" w:hAnsi="宋体" w:eastAsia="宋体" w:cs="宋体"/>
          <w:spacing w:val="2"/>
          <w:sz w:val="22"/>
          <w:szCs w:val="22"/>
        </w:rPr>
        <w:t>层，见表5-5)后，</w:t>
      </w:r>
      <w:r>
        <w:rPr>
          <w:rFonts w:ascii="宋体" w:hAnsi="宋体" w:eastAsia="宋体" w:cs="宋体"/>
          <w:sz w:val="22"/>
          <w:szCs w:val="22"/>
        </w:rPr>
        <w:t xml:space="preserve"> </w:t>
      </w:r>
      <w:r>
        <w:rPr>
          <w:rFonts w:ascii="宋体" w:hAnsi="宋体" w:eastAsia="宋体" w:cs="宋体"/>
          <w:spacing w:val="-3"/>
          <w:sz w:val="22"/>
          <w:szCs w:val="22"/>
        </w:rPr>
        <w:t>分别计算各层的OR;,并进行齐性检验(homogeneity test),如果齐性检验结果显示各层的OR 值的差</w:t>
      </w:r>
      <w:r>
        <w:rPr>
          <w:rFonts w:ascii="宋体" w:hAnsi="宋体" w:eastAsia="宋体" w:cs="宋体"/>
          <w:spacing w:val="9"/>
          <w:sz w:val="22"/>
          <w:szCs w:val="22"/>
        </w:rPr>
        <w:t xml:space="preserve"> </w:t>
      </w:r>
      <w:r>
        <w:rPr>
          <w:rFonts w:ascii="宋体" w:hAnsi="宋体" w:eastAsia="宋体" w:cs="宋体"/>
          <w:spacing w:val="-2"/>
          <w:sz w:val="22"/>
          <w:szCs w:val="22"/>
        </w:rPr>
        <w:t>别没有统计学意义，说明各层资料是同质的，可按照1959年由</w:t>
      </w:r>
      <w:r>
        <w:rPr>
          <w:rFonts w:ascii="Times New Roman" w:hAnsi="Times New Roman" w:eastAsia="Times New Roman" w:cs="Times New Roman"/>
          <w:spacing w:val="-2"/>
          <w:sz w:val="22"/>
          <w:szCs w:val="22"/>
        </w:rPr>
        <w:t>Mantel</w:t>
      </w:r>
      <w:r>
        <w:rPr>
          <w:rFonts w:ascii="宋体" w:hAnsi="宋体" w:eastAsia="宋体" w:cs="宋体"/>
          <w:spacing w:val="-2"/>
          <w:sz w:val="22"/>
          <w:szCs w:val="22"/>
        </w:rPr>
        <w:t>和</w:t>
      </w:r>
      <w:r>
        <w:rPr>
          <w:rFonts w:ascii="Times New Roman" w:hAnsi="Times New Roman" w:eastAsia="Times New Roman" w:cs="Times New Roman"/>
          <w:spacing w:val="-2"/>
          <w:sz w:val="22"/>
          <w:szCs w:val="22"/>
        </w:rPr>
        <w:t>Haensze</w:t>
      </w:r>
      <w:r>
        <w:rPr>
          <w:rFonts w:ascii="Times New Roman" w:hAnsi="Times New Roman" w:eastAsia="Times New Roman" w:cs="Times New Roman"/>
          <w:spacing w:val="-3"/>
          <w:sz w:val="22"/>
          <w:szCs w:val="22"/>
        </w:rPr>
        <w:t xml:space="preserve">l </w:t>
      </w:r>
      <w:r>
        <w:rPr>
          <w:rFonts w:ascii="宋体" w:hAnsi="宋体" w:eastAsia="宋体" w:cs="宋体"/>
          <w:spacing w:val="-3"/>
          <w:sz w:val="22"/>
          <w:szCs w:val="22"/>
        </w:rPr>
        <w:t>提出的方法，计算</w:t>
      </w:r>
      <w:r>
        <w:rPr>
          <w:rFonts w:ascii="宋体" w:hAnsi="宋体" w:eastAsia="宋体" w:cs="宋体"/>
          <w:sz w:val="22"/>
          <w:szCs w:val="22"/>
        </w:rPr>
        <w:t xml:space="preserve"> </w:t>
      </w:r>
      <w:r>
        <w:rPr>
          <w:rFonts w:ascii="宋体" w:hAnsi="宋体" w:eastAsia="宋体" w:cs="宋体"/>
          <w:spacing w:val="2"/>
          <w:sz w:val="22"/>
          <w:szCs w:val="22"/>
        </w:rPr>
        <w:t>总的</w:t>
      </w:r>
      <w:r>
        <w:rPr>
          <w:rFonts w:ascii="Times New Roman" w:hAnsi="Times New Roman" w:eastAsia="Times New Roman" w:cs="Times New Roman"/>
          <w:sz w:val="22"/>
          <w:szCs w:val="22"/>
        </w:rPr>
        <w:t>OR</w:t>
      </w:r>
      <w:r>
        <w:rPr>
          <w:rFonts w:ascii="Times New Roman" w:hAnsi="Times New Roman" w:eastAsia="Times New Roman" w:cs="Times New Roman"/>
          <w:spacing w:val="15"/>
          <w:w w:val="101"/>
          <w:sz w:val="22"/>
          <w:szCs w:val="22"/>
        </w:rPr>
        <w:t xml:space="preserve"> </w:t>
      </w:r>
      <w:r>
        <w:rPr>
          <w:rFonts w:ascii="宋体" w:hAnsi="宋体" w:eastAsia="宋体" w:cs="宋体"/>
          <w:spacing w:val="2"/>
          <w:sz w:val="22"/>
          <w:szCs w:val="22"/>
        </w:rPr>
        <w:t>值</w:t>
      </w:r>
      <w:r>
        <w:rPr>
          <w:rFonts w:ascii="宋体" w:hAnsi="宋体" w:eastAsia="宋体" w:cs="宋体"/>
          <w:spacing w:val="-34"/>
          <w:sz w:val="22"/>
          <w:szCs w:val="22"/>
        </w:rPr>
        <w:t xml:space="preserve"> </w:t>
      </w:r>
      <w:r>
        <w:rPr>
          <w:rFonts w:ascii="宋体" w:hAnsi="宋体" w:eastAsia="宋体" w:cs="宋体"/>
          <w:spacing w:val="2"/>
          <w:sz w:val="22"/>
          <w:szCs w:val="22"/>
        </w:rPr>
        <w:t>即</w:t>
      </w:r>
      <w:r>
        <w:rPr>
          <w:rFonts w:ascii="Times New Roman" w:hAnsi="Times New Roman" w:eastAsia="Times New Roman" w:cs="Times New Roman"/>
          <w:sz w:val="22"/>
          <w:szCs w:val="22"/>
        </w:rPr>
        <w:t>Mantel</w:t>
      </w:r>
      <w:r>
        <w:rPr>
          <w:rFonts w:ascii="Times New Roman" w:hAnsi="Times New Roman" w:eastAsia="Times New Roman" w:cs="Times New Roman"/>
          <w:spacing w:val="2"/>
          <w:sz w:val="22"/>
          <w:szCs w:val="22"/>
        </w:rPr>
        <w:t>-</w:t>
      </w:r>
      <w:r>
        <w:rPr>
          <w:rFonts w:ascii="Times New Roman" w:hAnsi="Times New Roman" w:eastAsia="Times New Roman" w:cs="Times New Roman"/>
          <w:sz w:val="22"/>
          <w:szCs w:val="22"/>
        </w:rPr>
        <w:t>Haenszel</w:t>
      </w:r>
      <w:r>
        <w:rPr>
          <w:rFonts w:ascii="Times New Roman" w:hAnsi="Times New Roman" w:eastAsia="Times New Roman" w:cs="Times New Roman"/>
          <w:spacing w:val="2"/>
          <w:sz w:val="22"/>
          <w:szCs w:val="22"/>
        </w:rPr>
        <w:t xml:space="preserve"> </w:t>
      </w:r>
      <w:r>
        <w:rPr>
          <w:rFonts w:ascii="Times New Roman" w:hAnsi="Times New Roman" w:eastAsia="Times New Roman" w:cs="Times New Roman"/>
          <w:sz w:val="22"/>
          <w:szCs w:val="22"/>
        </w:rPr>
        <w:t>OR</w:t>
      </w:r>
      <w:r>
        <w:rPr>
          <w:rFonts w:ascii="宋体" w:hAnsi="宋体" w:eastAsia="宋体" w:cs="宋体"/>
          <w:spacing w:val="2"/>
          <w:sz w:val="22"/>
          <w:szCs w:val="22"/>
        </w:rPr>
        <w:t>(简称</w:t>
      </w:r>
      <w:r>
        <w:rPr>
          <w:rFonts w:ascii="Times New Roman" w:hAnsi="Times New Roman" w:eastAsia="Times New Roman" w:cs="Times New Roman"/>
          <w:sz w:val="22"/>
          <w:szCs w:val="22"/>
        </w:rPr>
        <w:t>ORMn</w:t>
      </w:r>
      <w:r>
        <w:rPr>
          <w:rFonts w:ascii="Times New Roman" w:hAnsi="Times New Roman" w:eastAsia="Times New Roman" w:cs="Times New Roman"/>
          <w:spacing w:val="2"/>
          <w:sz w:val="22"/>
          <w:szCs w:val="22"/>
        </w:rPr>
        <w:t>),</w:t>
      </w:r>
      <w:r>
        <w:rPr>
          <w:rFonts w:ascii="宋体" w:hAnsi="宋体" w:eastAsia="宋体" w:cs="宋体"/>
          <w:spacing w:val="2"/>
          <w:sz w:val="22"/>
          <w:szCs w:val="22"/>
        </w:rPr>
        <w:t>这是对混杂因素校正(或</w:t>
      </w:r>
      <w:r>
        <w:rPr>
          <w:rFonts w:ascii="宋体" w:hAnsi="宋体" w:eastAsia="宋体" w:cs="宋体"/>
          <w:spacing w:val="1"/>
          <w:sz w:val="22"/>
          <w:szCs w:val="22"/>
        </w:rPr>
        <w:t>调整)后的合并</w:t>
      </w:r>
      <w:r>
        <w:rPr>
          <w:rFonts w:ascii="Times New Roman" w:hAnsi="Times New Roman" w:eastAsia="Times New Roman" w:cs="Times New Roman"/>
          <w:sz w:val="22"/>
          <w:szCs w:val="22"/>
        </w:rPr>
        <w:t>OR</w:t>
      </w:r>
      <w:r>
        <w:rPr>
          <w:rFonts w:ascii="Times New Roman" w:hAnsi="Times New Roman" w:eastAsia="Times New Roman" w:cs="Times New Roman"/>
          <w:spacing w:val="-15"/>
          <w:sz w:val="22"/>
          <w:szCs w:val="22"/>
        </w:rPr>
        <w:t xml:space="preserve"> </w:t>
      </w:r>
      <w:r>
        <w:rPr>
          <w:rFonts w:ascii="宋体" w:hAnsi="宋体" w:eastAsia="宋体" w:cs="宋体"/>
          <w:spacing w:val="1"/>
          <w:sz w:val="22"/>
          <w:szCs w:val="22"/>
        </w:rPr>
        <w:t>值。如</w:t>
      </w:r>
      <w:r>
        <w:rPr>
          <w:rFonts w:ascii="宋体" w:hAnsi="宋体" w:eastAsia="宋体" w:cs="宋体"/>
          <w:sz w:val="22"/>
          <w:szCs w:val="22"/>
        </w:rPr>
        <w:t xml:space="preserve"> </w:t>
      </w:r>
      <w:r>
        <w:rPr>
          <w:rFonts w:ascii="宋体" w:hAnsi="宋体" w:eastAsia="宋体" w:cs="宋体"/>
          <w:spacing w:val="-2"/>
          <w:sz w:val="22"/>
          <w:szCs w:val="22"/>
        </w:rPr>
        <w:t>果齐性检验结果显示各层的</w:t>
      </w:r>
      <w:r>
        <w:rPr>
          <w:rFonts w:ascii="Times New Roman" w:hAnsi="Times New Roman" w:eastAsia="Times New Roman" w:cs="Times New Roman"/>
          <w:spacing w:val="-2"/>
          <w:sz w:val="22"/>
          <w:szCs w:val="22"/>
        </w:rPr>
        <w:t xml:space="preserve">OR </w:t>
      </w:r>
      <w:r>
        <w:rPr>
          <w:rFonts w:ascii="宋体" w:hAnsi="宋体" w:eastAsia="宋体" w:cs="宋体"/>
          <w:spacing w:val="-2"/>
          <w:sz w:val="22"/>
          <w:szCs w:val="22"/>
        </w:rPr>
        <w:t>值的差异有统计学意义，提示各层资料不属于同质资料，不宜再计</w:t>
      </w:r>
      <w:r>
        <w:rPr>
          <w:rFonts w:ascii="宋体" w:hAnsi="宋体" w:eastAsia="宋体" w:cs="宋体"/>
          <w:spacing w:val="5"/>
          <w:sz w:val="22"/>
          <w:szCs w:val="22"/>
        </w:rPr>
        <w:t xml:space="preserve"> </w:t>
      </w:r>
      <w:r>
        <w:rPr>
          <w:rFonts w:ascii="宋体" w:hAnsi="宋体" w:eastAsia="宋体" w:cs="宋体"/>
          <w:spacing w:val="-1"/>
          <w:sz w:val="22"/>
          <w:szCs w:val="22"/>
        </w:rPr>
        <w:t>算合并</w:t>
      </w:r>
      <w:r>
        <w:rPr>
          <w:rFonts w:ascii="Times New Roman" w:hAnsi="Times New Roman" w:eastAsia="Times New Roman" w:cs="Times New Roman"/>
          <w:spacing w:val="-1"/>
          <w:sz w:val="22"/>
          <w:szCs w:val="22"/>
        </w:rPr>
        <w:t>OR</w:t>
      </w:r>
      <w:r>
        <w:rPr>
          <w:rFonts w:ascii="Times New Roman" w:hAnsi="Times New Roman" w:eastAsia="Times New Roman" w:cs="Times New Roman"/>
          <w:spacing w:val="-14"/>
          <w:sz w:val="22"/>
          <w:szCs w:val="22"/>
        </w:rPr>
        <w:t xml:space="preserve"> </w:t>
      </w:r>
      <w:r>
        <w:rPr>
          <w:rFonts w:ascii="宋体" w:hAnsi="宋体" w:eastAsia="宋体" w:cs="宋体"/>
          <w:spacing w:val="-1"/>
          <w:sz w:val="22"/>
          <w:szCs w:val="22"/>
        </w:rPr>
        <w:t>值，而应进一步分析分层因素与暴</w:t>
      </w:r>
      <w:r>
        <w:rPr>
          <w:rFonts w:ascii="宋体" w:hAnsi="宋体" w:eastAsia="宋体" w:cs="宋体"/>
          <w:spacing w:val="-2"/>
          <w:sz w:val="22"/>
          <w:szCs w:val="22"/>
        </w:rPr>
        <w:t>露因素之间的交互作用</w:t>
      </w:r>
      <w:r>
        <w:rPr>
          <w:rFonts w:ascii="Times New Roman" w:hAnsi="Times New Roman" w:eastAsia="Times New Roman" w:cs="Times New Roman"/>
          <w:spacing w:val="-2"/>
          <w:sz w:val="22"/>
          <w:szCs w:val="22"/>
        </w:rPr>
        <w:t>(interaction)</w:t>
      </w:r>
      <w:r>
        <w:rPr>
          <w:rFonts w:ascii="宋体" w:hAnsi="宋体" w:eastAsia="宋体" w:cs="宋体"/>
          <w:spacing w:val="-2"/>
          <w:sz w:val="22"/>
          <w:szCs w:val="22"/>
        </w:rPr>
        <w:t>。</w:t>
      </w:r>
    </w:p>
    <w:p w14:paraId="30DD571D">
      <w:pPr>
        <w:spacing w:line="301" w:lineRule="auto"/>
        <w:rPr>
          <w:rFonts w:ascii="宋体" w:hAnsi="宋体" w:eastAsia="宋体" w:cs="宋体"/>
          <w:sz w:val="22"/>
          <w:szCs w:val="22"/>
        </w:rPr>
        <w:sectPr>
          <w:type w:val="continuous"/>
          <w:pgSz w:w="11900" w:h="16820"/>
          <w:pgMar w:top="400" w:right="633" w:bottom="938" w:left="1289" w:header="0" w:footer="653" w:gutter="0"/>
          <w:cols w:equalWidth="0" w:num="1">
            <w:col w:w="9977"/>
          </w:cols>
        </w:sectPr>
      </w:pPr>
    </w:p>
    <w:p w14:paraId="3E4EF27D">
      <w:pPr>
        <w:pStyle w:val="2"/>
        <w:spacing w:before="73" w:line="222" w:lineRule="auto"/>
        <w:ind w:left="742"/>
        <w:rPr>
          <w:sz w:val="19"/>
          <w:szCs w:val="19"/>
        </w:rPr>
      </w:pPr>
      <w:r>
        <w:rPr>
          <w:b/>
          <w:bCs/>
          <w:spacing w:val="-14"/>
          <w:sz w:val="19"/>
          <w:szCs w:val="19"/>
        </w:rPr>
        <w:t>第五章</w:t>
      </w:r>
      <w:r>
        <w:rPr>
          <w:spacing w:val="-14"/>
          <w:sz w:val="19"/>
          <w:szCs w:val="19"/>
        </w:rPr>
        <w:t xml:space="preserve"> </w:t>
      </w:r>
      <w:r>
        <w:rPr>
          <w:b/>
          <w:bCs/>
          <w:spacing w:val="-14"/>
          <w:sz w:val="19"/>
          <w:szCs w:val="19"/>
        </w:rPr>
        <w:t>病例对照研究</w:t>
      </w:r>
    </w:p>
    <w:p w14:paraId="1D4E6E18">
      <w:pPr>
        <w:spacing w:line="281" w:lineRule="auto"/>
        <w:rPr>
          <w:rFonts w:ascii="Arial"/>
          <w:sz w:val="21"/>
        </w:rPr>
      </w:pPr>
    </w:p>
    <w:p w14:paraId="51F1282C">
      <w:pPr>
        <w:spacing w:line="282" w:lineRule="auto"/>
        <w:rPr>
          <w:rFonts w:ascii="Arial"/>
          <w:sz w:val="21"/>
        </w:rPr>
      </w:pPr>
    </w:p>
    <w:p w14:paraId="66BF0C43">
      <w:pPr>
        <w:spacing w:before="65" w:line="219" w:lineRule="auto"/>
        <w:ind w:left="3082"/>
        <w:rPr>
          <w:rFonts w:ascii="宋体" w:hAnsi="宋体" w:eastAsia="宋体" w:cs="宋体"/>
          <w:sz w:val="20"/>
          <w:szCs w:val="20"/>
        </w:rPr>
      </w:pPr>
      <w:r>
        <w:rPr>
          <w:rFonts w:ascii="宋体" w:hAnsi="宋体" w:eastAsia="宋体" w:cs="宋体"/>
          <w:b/>
          <w:bCs/>
          <w:spacing w:val="-3"/>
          <w:sz w:val="20"/>
          <w:szCs w:val="20"/>
        </w:rPr>
        <w:t>表5-5病例对照研究分</w:t>
      </w:r>
      <w:r>
        <w:rPr>
          <w:rFonts w:ascii="宋体" w:hAnsi="宋体" w:eastAsia="宋体" w:cs="宋体"/>
          <w:spacing w:val="62"/>
          <w:sz w:val="20"/>
          <w:szCs w:val="20"/>
        </w:rPr>
        <w:t xml:space="preserve"> </w:t>
      </w:r>
      <w:r>
        <w:rPr>
          <w:rFonts w:ascii="宋体" w:hAnsi="宋体" w:eastAsia="宋体" w:cs="宋体"/>
          <w:b/>
          <w:bCs/>
          <w:spacing w:val="-3"/>
          <w:sz w:val="20"/>
          <w:szCs w:val="20"/>
        </w:rPr>
        <w:t>层资料(第/层)的四格表</w:t>
      </w:r>
    </w:p>
    <w:p w14:paraId="7518DFA9">
      <w:pPr>
        <w:spacing w:line="136" w:lineRule="auto"/>
        <w:rPr>
          <w:rFonts w:ascii="Arial"/>
          <w:sz w:val="2"/>
        </w:rPr>
      </w:pPr>
    </w:p>
    <w:tbl>
      <w:tblPr>
        <w:tblStyle w:val="5"/>
        <w:tblW w:w="8670" w:type="dxa"/>
        <w:tblInd w:w="769"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0" w:type="dxa"/>
          <w:left w:w="0" w:type="dxa"/>
          <w:bottom w:w="0" w:type="dxa"/>
          <w:right w:w="0" w:type="dxa"/>
        </w:tblCellMar>
      </w:tblPr>
      <w:tblGrid>
        <w:gridCol w:w="2210"/>
        <w:gridCol w:w="2110"/>
        <w:gridCol w:w="2190"/>
        <w:gridCol w:w="2160"/>
      </w:tblGrid>
      <w:tr w14:paraId="2F96D104">
        <w:trPr>
          <w:trHeight w:val="372" w:hRule="atLeast"/>
        </w:trPr>
        <w:tc>
          <w:tcPr>
            <w:tcW w:w="2210" w:type="dxa"/>
            <w:tcBorders>
              <w:top w:val="single" w:color="000000" w:sz="4" w:space="0"/>
              <w:bottom w:val="single" w:color="000000" w:sz="4" w:space="0"/>
            </w:tcBorders>
            <w:shd w:val="clear" w:color="auto" w:fill="BCC8C6"/>
            <w:vAlign w:val="top"/>
          </w:tcPr>
          <w:p w14:paraId="2DE53E95">
            <w:pPr>
              <w:pStyle w:val="6"/>
              <w:spacing w:before="89" w:line="219" w:lineRule="auto"/>
              <w:ind w:left="902"/>
            </w:pPr>
            <w:r>
              <w:rPr>
                <w:b/>
                <w:bCs/>
                <w:spacing w:val="-5"/>
              </w:rPr>
              <w:t>暴露</w:t>
            </w:r>
          </w:p>
        </w:tc>
        <w:tc>
          <w:tcPr>
            <w:tcW w:w="2110" w:type="dxa"/>
            <w:tcBorders>
              <w:top w:val="single" w:color="000000" w:sz="4" w:space="0"/>
              <w:bottom w:val="single" w:color="000000" w:sz="4" w:space="0"/>
            </w:tcBorders>
            <w:shd w:val="clear" w:color="auto" w:fill="BDC7C6"/>
            <w:vAlign w:val="top"/>
          </w:tcPr>
          <w:p w14:paraId="30AF97FB">
            <w:pPr>
              <w:pStyle w:val="6"/>
              <w:spacing w:before="91" w:line="221" w:lineRule="auto"/>
              <w:ind w:left="752"/>
            </w:pPr>
            <w:r>
              <w:rPr>
                <w:b/>
                <w:bCs/>
                <w:spacing w:val="-4"/>
              </w:rPr>
              <w:t>病例组</w:t>
            </w:r>
          </w:p>
        </w:tc>
        <w:tc>
          <w:tcPr>
            <w:tcW w:w="2190" w:type="dxa"/>
            <w:tcBorders>
              <w:top w:val="single" w:color="000000" w:sz="4" w:space="0"/>
              <w:bottom w:val="single" w:color="000000" w:sz="4" w:space="0"/>
            </w:tcBorders>
            <w:shd w:val="clear" w:color="auto" w:fill="B7BFBF"/>
            <w:vAlign w:val="top"/>
          </w:tcPr>
          <w:p w14:paraId="1091F28B">
            <w:pPr>
              <w:pStyle w:val="6"/>
              <w:spacing w:before="91" w:line="221" w:lineRule="auto"/>
              <w:ind w:left="792"/>
            </w:pPr>
            <w:r>
              <w:rPr>
                <w:b/>
                <w:bCs/>
                <w:spacing w:val="-4"/>
              </w:rPr>
              <w:t>对照组</w:t>
            </w:r>
          </w:p>
        </w:tc>
        <w:tc>
          <w:tcPr>
            <w:tcW w:w="2160" w:type="dxa"/>
            <w:tcBorders>
              <w:top w:val="single" w:color="000000" w:sz="4" w:space="0"/>
              <w:bottom w:val="single" w:color="000000" w:sz="4" w:space="0"/>
            </w:tcBorders>
            <w:shd w:val="clear" w:color="auto" w:fill="ADADA2"/>
            <w:vAlign w:val="top"/>
          </w:tcPr>
          <w:p w14:paraId="5CD9560D">
            <w:pPr>
              <w:pStyle w:val="6"/>
              <w:spacing w:before="94" w:line="221" w:lineRule="auto"/>
              <w:ind w:left="880"/>
            </w:pPr>
            <w:r>
              <w:rPr>
                <w:spacing w:val="-3"/>
              </w:rPr>
              <w:t>合计</w:t>
            </w:r>
          </w:p>
        </w:tc>
      </w:tr>
      <w:tr w14:paraId="19110934">
        <w:trPr>
          <w:trHeight w:val="377" w:hRule="atLeast"/>
        </w:trPr>
        <w:tc>
          <w:tcPr>
            <w:tcW w:w="2210" w:type="dxa"/>
            <w:tcBorders>
              <w:top w:val="single" w:color="000000" w:sz="4" w:space="0"/>
              <w:bottom w:val="single" w:color="000000" w:sz="4" w:space="0"/>
            </w:tcBorders>
            <w:vAlign w:val="top"/>
          </w:tcPr>
          <w:p w14:paraId="60CB1153">
            <w:pPr>
              <w:pStyle w:val="6"/>
              <w:spacing w:before="91" w:line="220" w:lineRule="auto"/>
              <w:ind w:left="1000"/>
            </w:pPr>
            <w:r>
              <w:t>有</w:t>
            </w:r>
          </w:p>
        </w:tc>
        <w:tc>
          <w:tcPr>
            <w:tcW w:w="2110" w:type="dxa"/>
            <w:tcBorders>
              <w:top w:val="single" w:color="000000" w:sz="4" w:space="0"/>
              <w:bottom w:val="single" w:color="000000" w:sz="4" w:space="0"/>
            </w:tcBorders>
            <w:vAlign w:val="top"/>
          </w:tcPr>
          <w:p w14:paraId="56D484A4">
            <w:pPr>
              <w:pStyle w:val="6"/>
              <w:spacing w:before="111" w:line="236" w:lineRule="auto"/>
              <w:ind w:left="1000"/>
            </w:pPr>
            <w:r>
              <w:t>a</w:t>
            </w:r>
          </w:p>
        </w:tc>
        <w:tc>
          <w:tcPr>
            <w:tcW w:w="2190" w:type="dxa"/>
            <w:tcBorders>
              <w:top w:val="single" w:color="000000" w:sz="4" w:space="0"/>
              <w:bottom w:val="single" w:color="000000" w:sz="4" w:space="0"/>
            </w:tcBorders>
            <w:vAlign w:val="top"/>
          </w:tcPr>
          <w:p w14:paraId="7485AA89">
            <w:pPr>
              <w:pStyle w:val="6"/>
              <w:spacing w:before="93" w:line="221" w:lineRule="auto"/>
              <w:ind w:left="990"/>
            </w:pPr>
            <w:r>
              <w:rPr>
                <w:spacing w:val="-2"/>
              </w:rPr>
              <w:t>b;</w:t>
            </w:r>
          </w:p>
        </w:tc>
        <w:tc>
          <w:tcPr>
            <w:tcW w:w="2160" w:type="dxa"/>
            <w:tcBorders>
              <w:top w:val="single" w:color="000000" w:sz="4" w:space="0"/>
              <w:bottom w:val="single" w:color="000000" w:sz="4" w:space="0"/>
            </w:tcBorders>
            <w:vAlign w:val="top"/>
          </w:tcPr>
          <w:p w14:paraId="6BF2B361">
            <w:pPr>
              <w:pStyle w:val="6"/>
              <w:spacing w:before="111" w:line="236" w:lineRule="auto"/>
              <w:ind w:left="1030"/>
            </w:pPr>
            <w:r>
              <w:t>m</w:t>
            </w:r>
          </w:p>
        </w:tc>
      </w:tr>
      <w:tr w14:paraId="560D9007">
        <w:trPr>
          <w:trHeight w:val="348" w:hRule="atLeast"/>
        </w:trPr>
        <w:tc>
          <w:tcPr>
            <w:tcW w:w="2210" w:type="dxa"/>
            <w:tcBorders>
              <w:top w:val="single" w:color="000000" w:sz="4" w:space="0"/>
              <w:bottom w:val="single" w:color="000000" w:sz="4" w:space="0"/>
            </w:tcBorders>
            <w:shd w:val="clear" w:color="auto" w:fill="D6D9DE"/>
            <w:vAlign w:val="top"/>
          </w:tcPr>
          <w:p w14:paraId="54E7CDFC">
            <w:pPr>
              <w:pStyle w:val="6"/>
              <w:spacing w:before="84" w:line="220" w:lineRule="auto"/>
              <w:ind w:left="1000"/>
            </w:pPr>
            <w:r>
              <w:t>无</w:t>
            </w:r>
          </w:p>
        </w:tc>
        <w:tc>
          <w:tcPr>
            <w:tcW w:w="2110" w:type="dxa"/>
            <w:tcBorders>
              <w:top w:val="single" w:color="000000" w:sz="4" w:space="0"/>
              <w:bottom w:val="single" w:color="000000" w:sz="4" w:space="0"/>
            </w:tcBorders>
            <w:shd w:val="clear" w:color="auto" w:fill="DFDFE4"/>
            <w:vAlign w:val="top"/>
          </w:tcPr>
          <w:p w14:paraId="4A26D2C3">
            <w:pPr>
              <w:pStyle w:val="6"/>
              <w:spacing w:before="135" w:line="183" w:lineRule="auto"/>
              <w:ind w:left="950"/>
            </w:pPr>
            <w:r>
              <w:rPr>
                <w:spacing w:val="-2"/>
              </w:rPr>
              <w:t>Ci</w:t>
            </w:r>
          </w:p>
        </w:tc>
        <w:tc>
          <w:tcPr>
            <w:tcW w:w="2190" w:type="dxa"/>
            <w:tcBorders>
              <w:top w:val="single" w:color="000000" w:sz="4" w:space="0"/>
              <w:bottom w:val="single" w:color="000000" w:sz="4" w:space="0"/>
            </w:tcBorders>
            <w:shd w:val="clear" w:color="auto" w:fill="E0DFE4"/>
            <w:vAlign w:val="top"/>
          </w:tcPr>
          <w:p w14:paraId="36F9E3B6">
            <w:pPr>
              <w:pStyle w:val="6"/>
              <w:spacing w:before="87" w:line="221" w:lineRule="auto"/>
              <w:ind w:left="990"/>
            </w:pPr>
            <w:r>
              <w:rPr>
                <w:spacing w:val="-3"/>
              </w:rPr>
              <w:t>d;</w:t>
            </w:r>
          </w:p>
        </w:tc>
        <w:tc>
          <w:tcPr>
            <w:tcW w:w="2160" w:type="dxa"/>
            <w:tcBorders>
              <w:top w:val="single" w:color="000000" w:sz="4" w:space="0"/>
              <w:bottom w:val="single" w:color="000000" w:sz="4" w:space="0"/>
            </w:tcBorders>
            <w:shd w:val="clear" w:color="auto" w:fill="D8D8DB"/>
            <w:vAlign w:val="top"/>
          </w:tcPr>
          <w:p w14:paraId="13707FDB">
            <w:pPr>
              <w:pStyle w:val="6"/>
              <w:spacing w:before="104" w:line="216" w:lineRule="auto"/>
              <w:ind w:left="929"/>
            </w:pPr>
            <w:r>
              <w:rPr>
                <w:spacing w:val="-1"/>
              </w:rPr>
              <w:t>mo1</w:t>
            </w:r>
          </w:p>
        </w:tc>
      </w:tr>
      <w:tr w14:paraId="067792B5">
        <w:trPr>
          <w:trHeight w:val="392" w:hRule="atLeast"/>
        </w:trPr>
        <w:tc>
          <w:tcPr>
            <w:tcW w:w="2210" w:type="dxa"/>
            <w:tcBorders>
              <w:top w:val="single" w:color="000000" w:sz="4" w:space="0"/>
              <w:bottom w:val="single" w:color="000000" w:sz="4" w:space="0"/>
            </w:tcBorders>
            <w:vAlign w:val="top"/>
          </w:tcPr>
          <w:p w14:paraId="2C6E3BCE">
            <w:pPr>
              <w:pStyle w:val="6"/>
              <w:spacing w:before="107" w:line="221" w:lineRule="auto"/>
              <w:ind w:left="899"/>
            </w:pPr>
            <w:r>
              <w:rPr>
                <w:spacing w:val="-3"/>
              </w:rPr>
              <w:t>合计</w:t>
            </w:r>
          </w:p>
        </w:tc>
        <w:tc>
          <w:tcPr>
            <w:tcW w:w="2110" w:type="dxa"/>
            <w:tcBorders>
              <w:top w:val="single" w:color="000000" w:sz="4" w:space="0"/>
              <w:bottom w:val="single" w:color="000000" w:sz="4" w:space="0"/>
            </w:tcBorders>
            <w:vAlign w:val="top"/>
          </w:tcPr>
          <w:p w14:paraId="69AF9E1C">
            <w:pPr>
              <w:pStyle w:val="6"/>
              <w:spacing w:before="126" w:line="236" w:lineRule="auto"/>
              <w:ind w:left="950"/>
            </w:pPr>
            <w:r>
              <w:rPr>
                <w:spacing w:val="-2"/>
              </w:rPr>
              <w:t>ni</w:t>
            </w:r>
          </w:p>
        </w:tc>
        <w:tc>
          <w:tcPr>
            <w:tcW w:w="2190" w:type="dxa"/>
            <w:tcBorders>
              <w:top w:val="single" w:color="000000" w:sz="4" w:space="0"/>
              <w:bottom w:val="single" w:color="000000" w:sz="4" w:space="0"/>
            </w:tcBorders>
            <w:vAlign w:val="top"/>
          </w:tcPr>
          <w:p w14:paraId="71D03090">
            <w:pPr>
              <w:pStyle w:val="6"/>
              <w:spacing w:before="202" w:line="154" w:lineRule="exact"/>
              <w:ind w:left="990"/>
            </w:pPr>
            <w:r>
              <w:rPr>
                <w:spacing w:val="-2"/>
              </w:rPr>
              <w:t>no</w:t>
            </w:r>
          </w:p>
        </w:tc>
        <w:tc>
          <w:tcPr>
            <w:tcW w:w="2160" w:type="dxa"/>
            <w:tcBorders>
              <w:top w:val="single" w:color="000000" w:sz="4" w:space="0"/>
              <w:bottom w:val="single" w:color="000000" w:sz="4" w:space="0"/>
            </w:tcBorders>
            <w:vAlign w:val="top"/>
          </w:tcPr>
          <w:p w14:paraId="75754C46">
            <w:pPr>
              <w:pStyle w:val="6"/>
              <w:spacing w:before="141" w:line="182" w:lineRule="auto"/>
              <w:ind w:left="980"/>
            </w:pPr>
            <w:r>
              <w:rPr>
                <w:spacing w:val="-1"/>
              </w:rPr>
              <w:t>N;</w:t>
            </w:r>
          </w:p>
        </w:tc>
      </w:tr>
    </w:tbl>
    <w:p w14:paraId="4BC23D98">
      <w:pPr>
        <w:spacing w:line="349" w:lineRule="auto"/>
        <w:rPr>
          <w:rFonts w:ascii="Arial"/>
          <w:sz w:val="21"/>
        </w:rPr>
      </w:pPr>
    </w:p>
    <w:p w14:paraId="67A3B9B1">
      <w:pPr>
        <w:spacing w:before="61" w:line="219" w:lineRule="auto"/>
        <w:ind w:left="1055"/>
        <w:rPr>
          <w:rFonts w:ascii="宋体" w:hAnsi="宋体" w:eastAsia="宋体" w:cs="宋体"/>
          <w:sz w:val="19"/>
          <w:szCs w:val="19"/>
        </w:rPr>
      </w:pPr>
      <w:r>
        <w:rPr>
          <w:rFonts w:ascii="宋体" w:hAnsi="宋体" w:eastAsia="宋体" w:cs="宋体"/>
          <w:spacing w:val="16"/>
          <w:sz w:val="19"/>
          <w:szCs w:val="19"/>
        </w:rPr>
        <w:t>【例5-6】对例5-4的资料做进一步分</w:t>
      </w:r>
      <w:r>
        <w:rPr>
          <w:rFonts w:ascii="宋体" w:hAnsi="宋体" w:eastAsia="宋体" w:cs="宋体"/>
          <w:spacing w:val="15"/>
          <w:sz w:val="19"/>
          <w:szCs w:val="19"/>
        </w:rPr>
        <w:t>析，如表5-6所示。</w:t>
      </w:r>
    </w:p>
    <w:p w14:paraId="66AAF1D5">
      <w:pPr>
        <w:spacing w:before="295" w:line="219" w:lineRule="auto"/>
        <w:ind w:left="2650"/>
        <w:rPr>
          <w:rFonts w:ascii="宋体" w:hAnsi="宋体" w:eastAsia="宋体" w:cs="宋体"/>
          <w:sz w:val="20"/>
          <w:szCs w:val="20"/>
        </w:rPr>
      </w:pPr>
      <w:r>
        <w:rPr>
          <w:rFonts w:ascii="宋体" w:hAnsi="宋体" w:eastAsia="宋体" w:cs="宋体"/>
          <w:spacing w:val="-1"/>
          <w:sz w:val="20"/>
          <w:szCs w:val="20"/>
        </w:rPr>
        <w:t>表5-6在无口服避孕药服用史者中年龄与心肌梗死的关联</w:t>
      </w:r>
    </w:p>
    <w:p w14:paraId="5B97E2DA">
      <w:pPr>
        <w:spacing w:line="104" w:lineRule="auto"/>
        <w:rPr>
          <w:rFonts w:ascii="Arial"/>
          <w:sz w:val="2"/>
        </w:rPr>
      </w:pPr>
    </w:p>
    <w:tbl>
      <w:tblPr>
        <w:tblStyle w:val="5"/>
        <w:tblW w:w="8690" w:type="dxa"/>
        <w:tblInd w:w="759"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0" w:type="dxa"/>
          <w:left w:w="0" w:type="dxa"/>
          <w:bottom w:w="0" w:type="dxa"/>
          <w:right w:w="0" w:type="dxa"/>
        </w:tblCellMar>
      </w:tblPr>
      <w:tblGrid>
        <w:gridCol w:w="1990"/>
        <w:gridCol w:w="2550"/>
        <w:gridCol w:w="2010"/>
        <w:gridCol w:w="2140"/>
      </w:tblGrid>
      <w:tr w14:paraId="33104EDB">
        <w:trPr>
          <w:trHeight w:val="372" w:hRule="atLeast"/>
        </w:trPr>
        <w:tc>
          <w:tcPr>
            <w:tcW w:w="1990" w:type="dxa"/>
            <w:tcBorders>
              <w:top w:val="single" w:color="000000" w:sz="4" w:space="0"/>
              <w:bottom w:val="single" w:color="000000" w:sz="4" w:space="0"/>
            </w:tcBorders>
            <w:shd w:val="clear" w:color="auto" w:fill="BCC7C5"/>
            <w:vAlign w:val="top"/>
          </w:tcPr>
          <w:p w14:paraId="4569E945">
            <w:pPr>
              <w:pStyle w:val="6"/>
              <w:spacing w:before="93" w:line="219" w:lineRule="auto"/>
              <w:ind w:left="640"/>
            </w:pPr>
            <w:r>
              <w:rPr>
                <w:spacing w:val="6"/>
              </w:rPr>
              <w:t>年龄/岁</w:t>
            </w:r>
          </w:p>
        </w:tc>
        <w:tc>
          <w:tcPr>
            <w:tcW w:w="2550" w:type="dxa"/>
            <w:tcBorders>
              <w:top w:val="single" w:color="000000" w:sz="4" w:space="0"/>
              <w:bottom w:val="single" w:color="000000" w:sz="4" w:space="0"/>
            </w:tcBorders>
            <w:shd w:val="clear" w:color="auto" w:fill="C0C6C4"/>
            <w:vAlign w:val="top"/>
          </w:tcPr>
          <w:p w14:paraId="5A154F9B">
            <w:pPr>
              <w:pStyle w:val="6"/>
              <w:spacing w:before="93" w:line="219" w:lineRule="auto"/>
              <w:ind w:left="420"/>
            </w:pPr>
            <w:r>
              <w:rPr>
                <w:spacing w:val="1"/>
              </w:rPr>
              <w:t>发生心肌梗死者/例</w:t>
            </w:r>
          </w:p>
        </w:tc>
        <w:tc>
          <w:tcPr>
            <w:tcW w:w="2010" w:type="dxa"/>
            <w:tcBorders>
              <w:top w:val="single" w:color="000000" w:sz="4" w:space="0"/>
              <w:bottom w:val="single" w:color="000000" w:sz="4" w:space="0"/>
            </w:tcBorders>
            <w:shd w:val="clear" w:color="auto" w:fill="C0C6C2"/>
            <w:vAlign w:val="top"/>
          </w:tcPr>
          <w:p w14:paraId="3C8E5B15">
            <w:pPr>
              <w:pStyle w:val="6"/>
              <w:spacing w:before="94" w:line="221" w:lineRule="auto"/>
              <w:ind w:left="550"/>
            </w:pPr>
            <w:r>
              <w:rPr>
                <w:spacing w:val="3"/>
              </w:rPr>
              <w:t>对照组/例</w:t>
            </w:r>
          </w:p>
        </w:tc>
        <w:tc>
          <w:tcPr>
            <w:tcW w:w="2140" w:type="dxa"/>
            <w:tcBorders>
              <w:top w:val="single" w:color="000000" w:sz="4" w:space="0"/>
              <w:bottom w:val="single" w:color="000000" w:sz="4" w:space="0"/>
            </w:tcBorders>
            <w:shd w:val="clear" w:color="auto" w:fill="B5BAB5"/>
            <w:vAlign w:val="top"/>
          </w:tcPr>
          <w:p w14:paraId="27C520E0">
            <w:pPr>
              <w:pStyle w:val="6"/>
              <w:spacing w:before="94" w:line="221" w:lineRule="auto"/>
              <w:ind w:left="870"/>
            </w:pPr>
            <w:r>
              <w:rPr>
                <w:spacing w:val="-3"/>
              </w:rPr>
              <w:t>合计</w:t>
            </w:r>
          </w:p>
        </w:tc>
      </w:tr>
      <w:tr w14:paraId="05E5A88B">
        <w:trPr>
          <w:trHeight w:val="368" w:hRule="atLeast"/>
        </w:trPr>
        <w:tc>
          <w:tcPr>
            <w:tcW w:w="1990" w:type="dxa"/>
            <w:tcBorders>
              <w:top w:val="single" w:color="000000" w:sz="4" w:space="0"/>
              <w:bottom w:val="single" w:color="000000" w:sz="4" w:space="0"/>
            </w:tcBorders>
            <w:vAlign w:val="top"/>
          </w:tcPr>
          <w:p w14:paraId="2C54821B">
            <w:pPr>
              <w:pStyle w:val="6"/>
              <w:spacing w:before="111" w:line="228" w:lineRule="auto"/>
              <w:ind w:left="790"/>
            </w:pPr>
            <w:r>
              <w:rPr>
                <w:spacing w:val="-7"/>
              </w:rPr>
              <w:t>≥40</w:t>
            </w:r>
          </w:p>
        </w:tc>
        <w:tc>
          <w:tcPr>
            <w:tcW w:w="2550" w:type="dxa"/>
            <w:tcBorders>
              <w:top w:val="single" w:color="000000" w:sz="4" w:space="0"/>
              <w:bottom w:val="single" w:color="000000" w:sz="4" w:space="0"/>
            </w:tcBorders>
            <w:vAlign w:val="top"/>
          </w:tcPr>
          <w:p w14:paraId="577C1F2A">
            <w:pPr>
              <w:pStyle w:val="6"/>
              <w:spacing w:before="111" w:line="228" w:lineRule="auto"/>
              <w:ind w:left="1170"/>
            </w:pPr>
            <w:r>
              <w:rPr>
                <w:spacing w:val="-3"/>
              </w:rPr>
              <w:t>88</w:t>
            </w:r>
          </w:p>
        </w:tc>
        <w:tc>
          <w:tcPr>
            <w:tcW w:w="2010" w:type="dxa"/>
            <w:tcBorders>
              <w:top w:val="single" w:color="000000" w:sz="4" w:space="0"/>
              <w:bottom w:val="single" w:color="000000" w:sz="4" w:space="0"/>
            </w:tcBorders>
            <w:vAlign w:val="top"/>
          </w:tcPr>
          <w:p w14:paraId="2BD1EA39">
            <w:pPr>
              <w:pStyle w:val="6"/>
              <w:spacing w:before="111" w:line="228" w:lineRule="auto"/>
              <w:ind w:left="900"/>
            </w:pPr>
            <w:r>
              <w:rPr>
                <w:spacing w:val="-3"/>
              </w:rPr>
              <w:t>95</w:t>
            </w:r>
          </w:p>
        </w:tc>
        <w:tc>
          <w:tcPr>
            <w:tcW w:w="2140" w:type="dxa"/>
            <w:tcBorders>
              <w:top w:val="single" w:color="000000" w:sz="4" w:space="0"/>
              <w:bottom w:val="single" w:color="000000" w:sz="4" w:space="0"/>
            </w:tcBorders>
            <w:vAlign w:val="top"/>
          </w:tcPr>
          <w:p w14:paraId="2C46730C">
            <w:pPr>
              <w:pStyle w:val="6"/>
              <w:spacing w:before="111" w:line="228" w:lineRule="auto"/>
              <w:ind w:left="920"/>
            </w:pPr>
            <w:r>
              <w:rPr>
                <w:spacing w:val="-6"/>
              </w:rPr>
              <w:t>183</w:t>
            </w:r>
          </w:p>
        </w:tc>
      </w:tr>
      <w:tr w14:paraId="2A84EE7D">
        <w:trPr>
          <w:trHeight w:val="328" w:hRule="atLeast"/>
        </w:trPr>
        <w:tc>
          <w:tcPr>
            <w:tcW w:w="1990" w:type="dxa"/>
            <w:tcBorders>
              <w:top w:val="single" w:color="000000" w:sz="4" w:space="0"/>
              <w:bottom w:val="single" w:color="000000" w:sz="4" w:space="0"/>
            </w:tcBorders>
            <w:shd w:val="clear" w:color="auto" w:fill="E2E6E8"/>
            <w:vAlign w:val="top"/>
          </w:tcPr>
          <w:p w14:paraId="1D277A7A">
            <w:pPr>
              <w:pStyle w:val="6"/>
              <w:spacing w:before="93" w:line="207" w:lineRule="auto"/>
              <w:ind w:left="840"/>
            </w:pPr>
            <w:r>
              <w:rPr>
                <w:spacing w:val="-3"/>
              </w:rPr>
              <w:t>&lt;40</w:t>
            </w:r>
          </w:p>
        </w:tc>
        <w:tc>
          <w:tcPr>
            <w:tcW w:w="2550" w:type="dxa"/>
            <w:tcBorders>
              <w:top w:val="single" w:color="000000" w:sz="4" w:space="0"/>
              <w:bottom w:val="single" w:color="000000" w:sz="4" w:space="0"/>
            </w:tcBorders>
            <w:shd w:val="clear" w:color="auto" w:fill="E5E4E8"/>
            <w:vAlign w:val="top"/>
          </w:tcPr>
          <w:p w14:paraId="44767FE1">
            <w:pPr>
              <w:pStyle w:val="6"/>
              <w:spacing w:before="93" w:line="207" w:lineRule="auto"/>
              <w:ind w:left="1170"/>
            </w:pPr>
            <w:r>
              <w:rPr>
                <w:spacing w:val="-3"/>
              </w:rPr>
              <w:t>26</w:t>
            </w:r>
          </w:p>
        </w:tc>
        <w:tc>
          <w:tcPr>
            <w:tcW w:w="2010" w:type="dxa"/>
            <w:tcBorders>
              <w:top w:val="single" w:color="000000" w:sz="4" w:space="0"/>
              <w:bottom w:val="single" w:color="000000" w:sz="4" w:space="0"/>
            </w:tcBorders>
            <w:shd w:val="clear" w:color="auto" w:fill="E5E5E5"/>
            <w:vAlign w:val="top"/>
          </w:tcPr>
          <w:p w14:paraId="66A3D593">
            <w:pPr>
              <w:pStyle w:val="6"/>
              <w:spacing w:before="93" w:line="207" w:lineRule="auto"/>
              <w:ind w:left="900"/>
            </w:pPr>
            <w:r>
              <w:rPr>
                <w:spacing w:val="-3"/>
              </w:rPr>
              <w:t>59</w:t>
            </w:r>
          </w:p>
        </w:tc>
        <w:tc>
          <w:tcPr>
            <w:tcW w:w="2140" w:type="dxa"/>
            <w:tcBorders>
              <w:top w:val="single" w:color="000000" w:sz="4" w:space="0"/>
              <w:bottom w:val="single" w:color="000000" w:sz="4" w:space="0"/>
            </w:tcBorders>
            <w:shd w:val="clear" w:color="auto" w:fill="E3E4E3"/>
            <w:vAlign w:val="top"/>
          </w:tcPr>
          <w:p w14:paraId="246F3079">
            <w:pPr>
              <w:pStyle w:val="6"/>
              <w:spacing w:before="93" w:line="207" w:lineRule="auto"/>
              <w:ind w:left="970"/>
            </w:pPr>
            <w:r>
              <w:rPr>
                <w:spacing w:val="-3"/>
              </w:rPr>
              <w:t>85</w:t>
            </w:r>
          </w:p>
        </w:tc>
      </w:tr>
      <w:tr w14:paraId="64C57D49">
        <w:trPr>
          <w:trHeight w:val="392" w:hRule="atLeast"/>
        </w:trPr>
        <w:tc>
          <w:tcPr>
            <w:tcW w:w="1990" w:type="dxa"/>
            <w:tcBorders>
              <w:top w:val="single" w:color="000000" w:sz="4" w:space="0"/>
              <w:bottom w:val="single" w:color="000000" w:sz="4" w:space="0"/>
            </w:tcBorders>
            <w:vAlign w:val="top"/>
          </w:tcPr>
          <w:p w14:paraId="242CCECA">
            <w:pPr>
              <w:pStyle w:val="6"/>
              <w:spacing w:before="106" w:line="221" w:lineRule="auto"/>
              <w:ind w:left="790"/>
            </w:pPr>
            <w:r>
              <w:rPr>
                <w:spacing w:val="-3"/>
              </w:rPr>
              <w:t>合计</w:t>
            </w:r>
          </w:p>
        </w:tc>
        <w:tc>
          <w:tcPr>
            <w:tcW w:w="2550" w:type="dxa"/>
            <w:tcBorders>
              <w:top w:val="single" w:color="000000" w:sz="4" w:space="0"/>
              <w:bottom w:val="single" w:color="000000" w:sz="4" w:space="0"/>
            </w:tcBorders>
            <w:vAlign w:val="top"/>
          </w:tcPr>
          <w:p w14:paraId="603FC2F4">
            <w:pPr>
              <w:pStyle w:val="6"/>
              <w:spacing w:before="125" w:line="237" w:lineRule="auto"/>
              <w:ind w:left="1120"/>
            </w:pPr>
            <w:r>
              <w:rPr>
                <w:spacing w:val="-6"/>
              </w:rPr>
              <w:t>114</w:t>
            </w:r>
          </w:p>
        </w:tc>
        <w:tc>
          <w:tcPr>
            <w:tcW w:w="2010" w:type="dxa"/>
            <w:tcBorders>
              <w:top w:val="single" w:color="000000" w:sz="4" w:space="0"/>
              <w:bottom w:val="single" w:color="000000" w:sz="4" w:space="0"/>
            </w:tcBorders>
            <w:vAlign w:val="top"/>
          </w:tcPr>
          <w:p w14:paraId="18699E7A">
            <w:pPr>
              <w:pStyle w:val="6"/>
              <w:spacing w:before="125" w:line="237" w:lineRule="auto"/>
              <w:ind w:left="850"/>
            </w:pPr>
            <w:r>
              <w:rPr>
                <w:spacing w:val="-6"/>
              </w:rPr>
              <w:t>154</w:t>
            </w:r>
          </w:p>
        </w:tc>
        <w:tc>
          <w:tcPr>
            <w:tcW w:w="2140" w:type="dxa"/>
            <w:tcBorders>
              <w:top w:val="single" w:color="000000" w:sz="4" w:space="0"/>
              <w:bottom w:val="single" w:color="000000" w:sz="4" w:space="0"/>
            </w:tcBorders>
            <w:vAlign w:val="top"/>
          </w:tcPr>
          <w:p w14:paraId="49359625">
            <w:pPr>
              <w:pStyle w:val="6"/>
              <w:spacing w:before="125" w:line="237" w:lineRule="auto"/>
              <w:ind w:left="920"/>
            </w:pPr>
            <w:r>
              <w:rPr>
                <w:spacing w:val="-3"/>
              </w:rPr>
              <w:t>268</w:t>
            </w:r>
          </w:p>
        </w:tc>
      </w:tr>
    </w:tbl>
    <w:p w14:paraId="7B6D2CE4">
      <w:pPr>
        <w:spacing w:line="337" w:lineRule="auto"/>
        <w:rPr>
          <w:rFonts w:ascii="Arial"/>
          <w:sz w:val="21"/>
        </w:rPr>
      </w:pPr>
    </w:p>
    <w:p w14:paraId="5E37EDFF">
      <w:pPr>
        <w:spacing w:before="61" w:line="370" w:lineRule="auto"/>
        <w:ind w:left="739" w:right="30" w:firstLine="410"/>
        <w:rPr>
          <w:rFonts w:ascii="宋体" w:hAnsi="宋体" w:eastAsia="宋体" w:cs="宋体"/>
          <w:sz w:val="19"/>
          <w:szCs w:val="19"/>
        </w:rPr>
      </w:pPr>
      <w:r>
        <w:rPr>
          <w:rFonts w:ascii="宋体" w:hAnsi="宋体" w:eastAsia="宋体" w:cs="宋体"/>
          <w:spacing w:val="12"/>
          <w:sz w:val="19"/>
          <w:szCs w:val="19"/>
        </w:rPr>
        <w:t>在无口服避孕药服用史者中年龄与心肌梗死</w:t>
      </w:r>
      <w:r>
        <w:rPr>
          <w:rFonts w:ascii="Times New Roman" w:hAnsi="Times New Roman" w:eastAsia="Times New Roman" w:cs="Times New Roman"/>
          <w:sz w:val="19"/>
          <w:szCs w:val="19"/>
        </w:rPr>
        <w:t>OR</w:t>
      </w:r>
      <w:r>
        <w:rPr>
          <w:rFonts w:ascii="Times New Roman" w:hAnsi="Times New Roman" w:eastAsia="Times New Roman" w:cs="Times New Roman"/>
          <w:spacing w:val="12"/>
          <w:sz w:val="19"/>
          <w:szCs w:val="19"/>
        </w:rPr>
        <w:t xml:space="preserve">=2.10,x²=7.27,    </w:t>
      </w:r>
      <w:r>
        <w:rPr>
          <w:rFonts w:ascii="宋体" w:hAnsi="宋体" w:eastAsia="宋体" w:cs="宋体"/>
          <w:spacing w:val="12"/>
          <w:sz w:val="19"/>
          <w:szCs w:val="19"/>
        </w:rPr>
        <w:t>说明年龄与心肌梗死的发生有</w:t>
      </w:r>
      <w:r>
        <w:rPr>
          <w:rFonts w:ascii="宋体" w:hAnsi="宋体" w:eastAsia="宋体" w:cs="宋体"/>
          <w:spacing w:val="18"/>
          <w:sz w:val="19"/>
          <w:szCs w:val="19"/>
        </w:rPr>
        <w:t xml:space="preserve"> </w:t>
      </w:r>
      <w:r>
        <w:rPr>
          <w:rFonts w:ascii="宋体" w:hAnsi="宋体" w:eastAsia="宋体" w:cs="宋体"/>
          <w:spacing w:val="7"/>
          <w:sz w:val="19"/>
          <w:szCs w:val="19"/>
        </w:rPr>
        <w:t>联系，即年龄越大，发生心肌梗死的危险越高。</w:t>
      </w:r>
    </w:p>
    <w:p w14:paraId="519D82C2">
      <w:pPr>
        <w:spacing w:before="1" w:line="219" w:lineRule="auto"/>
        <w:ind w:left="1150"/>
        <w:rPr>
          <w:rFonts w:ascii="宋体" w:hAnsi="宋体" w:eastAsia="宋体" w:cs="宋体"/>
          <w:sz w:val="19"/>
          <w:szCs w:val="19"/>
        </w:rPr>
      </w:pPr>
      <w:r>
        <w:rPr>
          <w:rFonts w:ascii="宋体" w:hAnsi="宋体" w:eastAsia="宋体" w:cs="宋体"/>
          <w:spacing w:val="11"/>
          <w:sz w:val="19"/>
          <w:szCs w:val="19"/>
        </w:rPr>
        <w:t>再分析对照组中年龄与口服避孕药的关联(表5-7)。</w:t>
      </w:r>
    </w:p>
    <w:p w14:paraId="6CCB1CAF">
      <w:pPr>
        <w:spacing w:before="305" w:line="219" w:lineRule="auto"/>
        <w:ind w:left="3049"/>
        <w:rPr>
          <w:rFonts w:ascii="宋体" w:hAnsi="宋体" w:eastAsia="宋体" w:cs="宋体"/>
          <w:sz w:val="20"/>
          <w:szCs w:val="20"/>
        </w:rPr>
      </w:pPr>
      <w:r>
        <w:rPr>
          <w:rFonts w:ascii="宋体" w:hAnsi="宋体" w:eastAsia="宋体" w:cs="宋体"/>
          <w:spacing w:val="-1"/>
          <w:sz w:val="20"/>
          <w:szCs w:val="20"/>
        </w:rPr>
        <w:t>表5-7对照组中年龄与服用口服避孕药史的关联</w:t>
      </w:r>
    </w:p>
    <w:p w14:paraId="49E4FB8D">
      <w:pPr>
        <w:spacing w:line="102" w:lineRule="auto"/>
        <w:rPr>
          <w:rFonts w:ascii="Arial"/>
          <w:sz w:val="2"/>
        </w:rPr>
      </w:pPr>
    </w:p>
    <w:tbl>
      <w:tblPr>
        <w:tblStyle w:val="5"/>
        <w:tblW w:w="8670" w:type="dxa"/>
        <w:tblInd w:w="769"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0" w:type="dxa"/>
          <w:left w:w="0" w:type="dxa"/>
          <w:bottom w:w="0" w:type="dxa"/>
          <w:right w:w="0" w:type="dxa"/>
        </w:tblCellMar>
      </w:tblPr>
      <w:tblGrid>
        <w:gridCol w:w="2400"/>
        <w:gridCol w:w="1900"/>
        <w:gridCol w:w="2240"/>
        <w:gridCol w:w="2130"/>
      </w:tblGrid>
      <w:tr w14:paraId="76F645A8">
        <w:trPr>
          <w:trHeight w:val="362" w:hRule="atLeast"/>
        </w:trPr>
        <w:tc>
          <w:tcPr>
            <w:tcW w:w="2400" w:type="dxa"/>
            <w:tcBorders>
              <w:top w:val="single" w:color="000000" w:sz="4" w:space="0"/>
              <w:bottom w:val="single" w:color="000000" w:sz="4" w:space="0"/>
            </w:tcBorders>
            <w:shd w:val="clear" w:color="auto" w:fill="BAC4C0"/>
            <w:vAlign w:val="top"/>
          </w:tcPr>
          <w:p w14:paraId="36BFD3FF">
            <w:pPr>
              <w:pStyle w:val="6"/>
              <w:spacing w:before="83" w:line="220" w:lineRule="auto"/>
              <w:ind w:left="400"/>
            </w:pPr>
            <w:r>
              <w:rPr>
                <w:spacing w:val="1"/>
              </w:rPr>
              <w:t>口服避孕药服用史</w:t>
            </w:r>
          </w:p>
        </w:tc>
        <w:tc>
          <w:tcPr>
            <w:tcW w:w="1900" w:type="dxa"/>
            <w:tcBorders>
              <w:top w:val="single" w:color="000000" w:sz="4" w:space="0"/>
              <w:bottom w:val="single" w:color="000000" w:sz="4" w:space="0"/>
            </w:tcBorders>
            <w:shd w:val="clear" w:color="auto" w:fill="BCC2BF"/>
            <w:vAlign w:val="top"/>
          </w:tcPr>
          <w:p w14:paraId="4DAD5685">
            <w:pPr>
              <w:pStyle w:val="6"/>
              <w:spacing w:before="84" w:line="221" w:lineRule="auto"/>
              <w:ind w:left="700"/>
            </w:pPr>
            <w:r>
              <w:rPr>
                <w:spacing w:val="6"/>
              </w:rPr>
              <w:t>&lt;40岁</w:t>
            </w:r>
          </w:p>
        </w:tc>
        <w:tc>
          <w:tcPr>
            <w:tcW w:w="2240" w:type="dxa"/>
            <w:tcBorders>
              <w:top w:val="single" w:color="000000" w:sz="4" w:space="0"/>
              <w:bottom w:val="single" w:color="000000" w:sz="4" w:space="0"/>
            </w:tcBorders>
            <w:shd w:val="clear" w:color="auto" w:fill="B9BEBA"/>
            <w:vAlign w:val="top"/>
          </w:tcPr>
          <w:p w14:paraId="00B47D39">
            <w:pPr>
              <w:pStyle w:val="6"/>
              <w:spacing w:before="84" w:line="221" w:lineRule="auto"/>
              <w:ind w:left="820"/>
            </w:pPr>
            <w:r>
              <w:rPr>
                <w:spacing w:val="6"/>
              </w:rPr>
              <w:t>≥40岁</w:t>
            </w:r>
          </w:p>
        </w:tc>
        <w:tc>
          <w:tcPr>
            <w:tcW w:w="2130" w:type="dxa"/>
            <w:tcBorders>
              <w:top w:val="single" w:color="000000" w:sz="4" w:space="0"/>
              <w:bottom w:val="single" w:color="000000" w:sz="4" w:space="0"/>
            </w:tcBorders>
            <w:shd w:val="clear" w:color="auto" w:fill="B1B6AE"/>
            <w:vAlign w:val="top"/>
          </w:tcPr>
          <w:p w14:paraId="19D25411">
            <w:pPr>
              <w:pStyle w:val="6"/>
              <w:spacing w:before="84" w:line="221" w:lineRule="auto"/>
              <w:ind w:left="860"/>
            </w:pPr>
            <w:r>
              <w:rPr>
                <w:spacing w:val="-3"/>
              </w:rPr>
              <w:t>合计</w:t>
            </w:r>
          </w:p>
        </w:tc>
      </w:tr>
      <w:tr w14:paraId="75FB268F">
        <w:trPr>
          <w:trHeight w:val="377" w:hRule="atLeast"/>
        </w:trPr>
        <w:tc>
          <w:tcPr>
            <w:tcW w:w="2400" w:type="dxa"/>
            <w:tcBorders>
              <w:top w:val="single" w:color="000000" w:sz="4" w:space="0"/>
              <w:bottom w:val="single" w:color="000000" w:sz="4" w:space="0"/>
            </w:tcBorders>
            <w:vAlign w:val="top"/>
          </w:tcPr>
          <w:p w14:paraId="2853EDCF">
            <w:pPr>
              <w:pStyle w:val="6"/>
              <w:spacing w:before="91" w:line="220" w:lineRule="auto"/>
              <w:ind w:left="1100"/>
            </w:pPr>
            <w:r>
              <w:t>有</w:t>
            </w:r>
          </w:p>
        </w:tc>
        <w:tc>
          <w:tcPr>
            <w:tcW w:w="1900" w:type="dxa"/>
            <w:tcBorders>
              <w:top w:val="single" w:color="000000" w:sz="4" w:space="0"/>
              <w:bottom w:val="single" w:color="000000" w:sz="4" w:space="0"/>
            </w:tcBorders>
            <w:vAlign w:val="top"/>
          </w:tcPr>
          <w:p w14:paraId="0B50D68D">
            <w:pPr>
              <w:pStyle w:val="6"/>
              <w:spacing w:before="111" w:line="236" w:lineRule="auto"/>
              <w:ind w:left="850"/>
            </w:pPr>
            <w:r>
              <w:rPr>
                <w:spacing w:val="-6"/>
              </w:rPr>
              <w:t>17</w:t>
            </w:r>
          </w:p>
        </w:tc>
        <w:tc>
          <w:tcPr>
            <w:tcW w:w="2240" w:type="dxa"/>
            <w:tcBorders>
              <w:top w:val="single" w:color="000000" w:sz="4" w:space="0"/>
              <w:bottom w:val="single" w:color="000000" w:sz="4" w:space="0"/>
            </w:tcBorders>
            <w:vAlign w:val="top"/>
          </w:tcPr>
          <w:p w14:paraId="3C6B1D95">
            <w:pPr>
              <w:pStyle w:val="6"/>
              <w:spacing w:before="111" w:line="236" w:lineRule="auto"/>
              <w:ind w:left="1069"/>
            </w:pPr>
            <w:r>
              <w:t>7</w:t>
            </w:r>
          </w:p>
        </w:tc>
        <w:tc>
          <w:tcPr>
            <w:tcW w:w="2130" w:type="dxa"/>
            <w:tcBorders>
              <w:top w:val="single" w:color="000000" w:sz="4" w:space="0"/>
              <w:bottom w:val="single" w:color="000000" w:sz="4" w:space="0"/>
            </w:tcBorders>
            <w:vAlign w:val="top"/>
          </w:tcPr>
          <w:p w14:paraId="368620A9">
            <w:pPr>
              <w:pStyle w:val="6"/>
              <w:spacing w:before="111" w:line="236" w:lineRule="auto"/>
              <w:ind w:left="960"/>
            </w:pPr>
            <w:r>
              <w:rPr>
                <w:spacing w:val="-3"/>
              </w:rPr>
              <w:t>24</w:t>
            </w:r>
          </w:p>
        </w:tc>
      </w:tr>
      <w:tr w14:paraId="7A7D1127">
        <w:trPr>
          <w:trHeight w:val="358" w:hRule="atLeast"/>
        </w:trPr>
        <w:tc>
          <w:tcPr>
            <w:tcW w:w="2400" w:type="dxa"/>
            <w:tcBorders>
              <w:top w:val="single" w:color="000000" w:sz="4" w:space="0"/>
              <w:bottom w:val="single" w:color="000000" w:sz="4" w:space="0"/>
            </w:tcBorders>
            <w:shd w:val="clear" w:color="auto" w:fill="DBDDDF"/>
            <w:vAlign w:val="top"/>
          </w:tcPr>
          <w:p w14:paraId="64A747DF">
            <w:pPr>
              <w:pStyle w:val="6"/>
              <w:spacing w:before="84" w:line="220" w:lineRule="auto"/>
              <w:ind w:left="1100"/>
            </w:pPr>
            <w:r>
              <w:t>无</w:t>
            </w:r>
          </w:p>
        </w:tc>
        <w:tc>
          <w:tcPr>
            <w:tcW w:w="1900" w:type="dxa"/>
            <w:tcBorders>
              <w:top w:val="single" w:color="000000" w:sz="4" w:space="0"/>
              <w:bottom w:val="single" w:color="000000" w:sz="4" w:space="0"/>
            </w:tcBorders>
            <w:shd w:val="clear" w:color="auto" w:fill="DDDDDD"/>
            <w:vAlign w:val="top"/>
          </w:tcPr>
          <w:p w14:paraId="27BCC5F7">
            <w:pPr>
              <w:pStyle w:val="6"/>
              <w:spacing w:before="104" w:line="225" w:lineRule="auto"/>
              <w:ind w:left="850"/>
            </w:pPr>
            <w:r>
              <w:rPr>
                <w:spacing w:val="-3"/>
              </w:rPr>
              <w:t>59</w:t>
            </w:r>
          </w:p>
        </w:tc>
        <w:tc>
          <w:tcPr>
            <w:tcW w:w="2240" w:type="dxa"/>
            <w:tcBorders>
              <w:top w:val="single" w:color="000000" w:sz="4" w:space="0"/>
              <w:bottom w:val="single" w:color="000000" w:sz="4" w:space="0"/>
            </w:tcBorders>
            <w:shd w:val="clear" w:color="auto" w:fill="E0E0DE"/>
            <w:vAlign w:val="top"/>
          </w:tcPr>
          <w:p w14:paraId="1E3118A6">
            <w:pPr>
              <w:pStyle w:val="6"/>
              <w:spacing w:before="104" w:line="225" w:lineRule="auto"/>
              <w:ind w:left="1020"/>
            </w:pPr>
            <w:r>
              <w:rPr>
                <w:spacing w:val="-3"/>
              </w:rPr>
              <w:t>95</w:t>
            </w:r>
          </w:p>
        </w:tc>
        <w:tc>
          <w:tcPr>
            <w:tcW w:w="2130" w:type="dxa"/>
            <w:tcBorders>
              <w:top w:val="single" w:color="000000" w:sz="4" w:space="0"/>
              <w:bottom w:val="single" w:color="000000" w:sz="4" w:space="0"/>
            </w:tcBorders>
            <w:shd w:val="clear" w:color="auto" w:fill="E0E0DF"/>
            <w:vAlign w:val="top"/>
          </w:tcPr>
          <w:p w14:paraId="74A1D638">
            <w:pPr>
              <w:pStyle w:val="6"/>
              <w:spacing w:before="104" w:line="225" w:lineRule="auto"/>
              <w:ind w:left="909"/>
            </w:pPr>
            <w:r>
              <w:rPr>
                <w:spacing w:val="-6"/>
              </w:rPr>
              <w:t>154</w:t>
            </w:r>
          </w:p>
        </w:tc>
      </w:tr>
      <w:tr w14:paraId="0CB57403">
        <w:trPr>
          <w:trHeight w:val="372" w:hRule="atLeast"/>
        </w:trPr>
        <w:tc>
          <w:tcPr>
            <w:tcW w:w="2400" w:type="dxa"/>
            <w:tcBorders>
              <w:top w:val="single" w:color="000000" w:sz="4" w:space="0"/>
              <w:bottom w:val="single" w:color="000000" w:sz="4" w:space="0"/>
            </w:tcBorders>
            <w:vAlign w:val="top"/>
          </w:tcPr>
          <w:p w14:paraId="375CD77B">
            <w:pPr>
              <w:pStyle w:val="6"/>
              <w:spacing w:before="97" w:line="221" w:lineRule="auto"/>
              <w:ind w:left="1000"/>
            </w:pPr>
            <w:r>
              <w:rPr>
                <w:spacing w:val="-3"/>
              </w:rPr>
              <w:t>合计</w:t>
            </w:r>
          </w:p>
        </w:tc>
        <w:tc>
          <w:tcPr>
            <w:tcW w:w="1900" w:type="dxa"/>
            <w:tcBorders>
              <w:top w:val="single" w:color="000000" w:sz="4" w:space="0"/>
              <w:bottom w:val="single" w:color="000000" w:sz="4" w:space="0"/>
            </w:tcBorders>
            <w:vAlign w:val="top"/>
          </w:tcPr>
          <w:p w14:paraId="0AC89A1D">
            <w:pPr>
              <w:pStyle w:val="6"/>
              <w:spacing w:before="116" w:line="227" w:lineRule="auto"/>
              <w:ind w:left="850"/>
            </w:pPr>
            <w:r>
              <w:rPr>
                <w:spacing w:val="-4"/>
              </w:rPr>
              <w:t>76</w:t>
            </w:r>
          </w:p>
        </w:tc>
        <w:tc>
          <w:tcPr>
            <w:tcW w:w="2240" w:type="dxa"/>
            <w:tcBorders>
              <w:top w:val="single" w:color="000000" w:sz="4" w:space="0"/>
              <w:bottom w:val="single" w:color="000000" w:sz="4" w:space="0"/>
            </w:tcBorders>
            <w:vAlign w:val="top"/>
          </w:tcPr>
          <w:p w14:paraId="26EC92FF">
            <w:pPr>
              <w:pStyle w:val="6"/>
              <w:spacing w:before="116" w:line="227" w:lineRule="auto"/>
              <w:ind w:left="970"/>
            </w:pPr>
            <w:r>
              <w:rPr>
                <w:spacing w:val="-6"/>
              </w:rPr>
              <w:t>102</w:t>
            </w:r>
          </w:p>
        </w:tc>
        <w:tc>
          <w:tcPr>
            <w:tcW w:w="2130" w:type="dxa"/>
            <w:tcBorders>
              <w:top w:val="single" w:color="000000" w:sz="4" w:space="0"/>
              <w:bottom w:val="single" w:color="000000" w:sz="4" w:space="0"/>
            </w:tcBorders>
            <w:vAlign w:val="top"/>
          </w:tcPr>
          <w:p w14:paraId="6D6E08F1">
            <w:pPr>
              <w:pStyle w:val="6"/>
              <w:spacing w:before="116" w:line="227" w:lineRule="auto"/>
              <w:ind w:left="909"/>
            </w:pPr>
            <w:r>
              <w:rPr>
                <w:spacing w:val="-6"/>
              </w:rPr>
              <w:t>178</w:t>
            </w:r>
          </w:p>
        </w:tc>
      </w:tr>
    </w:tbl>
    <w:p w14:paraId="7D54F483">
      <w:pPr>
        <w:spacing w:line="306" w:lineRule="auto"/>
        <w:rPr>
          <w:rFonts w:ascii="Arial"/>
          <w:sz w:val="21"/>
        </w:rPr>
      </w:pPr>
    </w:p>
    <w:p w14:paraId="702C6E22">
      <w:pPr>
        <w:spacing w:before="62" w:line="216" w:lineRule="auto"/>
        <w:ind w:left="1150"/>
        <w:rPr>
          <w:rFonts w:ascii="宋体" w:hAnsi="宋体" w:eastAsia="宋体" w:cs="宋体"/>
          <w:sz w:val="19"/>
          <w:szCs w:val="19"/>
        </w:rPr>
      </w:pPr>
      <w:r>
        <w:rPr>
          <w:rFonts w:ascii="宋体" w:hAnsi="宋体" w:eastAsia="宋体" w:cs="宋体"/>
          <w:sz w:val="19"/>
          <w:szCs w:val="19"/>
        </w:rPr>
        <w:t>OR</w:t>
      </w:r>
      <w:r>
        <w:rPr>
          <w:rFonts w:ascii="宋体" w:hAnsi="宋体" w:eastAsia="宋体" w:cs="宋体"/>
          <w:spacing w:val="7"/>
          <w:sz w:val="19"/>
          <w:szCs w:val="19"/>
        </w:rPr>
        <w:t>=3.91,x²=8.98, 说明年龄与服用口服避孕</w:t>
      </w:r>
      <w:r>
        <w:rPr>
          <w:rFonts w:ascii="宋体" w:hAnsi="宋体" w:eastAsia="宋体" w:cs="宋体"/>
          <w:spacing w:val="6"/>
          <w:sz w:val="19"/>
          <w:szCs w:val="19"/>
        </w:rPr>
        <w:t>药也有联系。</w:t>
      </w:r>
    </w:p>
    <w:p w14:paraId="5DBE3CF5">
      <w:pPr>
        <w:spacing w:before="140" w:line="364" w:lineRule="auto"/>
        <w:ind w:left="739" w:right="59" w:firstLine="410"/>
        <w:rPr>
          <w:rFonts w:ascii="宋体" w:hAnsi="宋体" w:eastAsia="宋体" w:cs="宋体"/>
          <w:sz w:val="19"/>
          <w:szCs w:val="19"/>
        </w:rPr>
      </w:pPr>
      <w:r>
        <w:rPr>
          <w:rFonts w:ascii="宋体" w:hAnsi="宋体" w:eastAsia="宋体" w:cs="宋体"/>
          <w:spacing w:val="11"/>
          <w:sz w:val="19"/>
          <w:szCs w:val="19"/>
        </w:rPr>
        <w:t>另外，年龄不是服用口服避孕药与心肌梗死联系的中间环节，故可以认为年龄是研究口服避孕</w:t>
      </w:r>
      <w:r>
        <w:rPr>
          <w:rFonts w:ascii="宋体" w:hAnsi="宋体" w:eastAsia="宋体" w:cs="宋体"/>
          <w:spacing w:val="8"/>
          <w:sz w:val="19"/>
          <w:szCs w:val="19"/>
        </w:rPr>
        <w:t xml:space="preserve"> </w:t>
      </w:r>
      <w:r>
        <w:rPr>
          <w:rFonts w:ascii="宋体" w:hAnsi="宋体" w:eastAsia="宋体" w:cs="宋体"/>
          <w:spacing w:val="12"/>
          <w:sz w:val="19"/>
          <w:szCs w:val="19"/>
        </w:rPr>
        <w:t>药与心肌梗死关系时的混杂因素，可以用分层分析方法控制年龄的</w:t>
      </w:r>
      <w:r>
        <w:rPr>
          <w:rFonts w:ascii="宋体" w:hAnsi="宋体" w:eastAsia="宋体" w:cs="宋体"/>
          <w:spacing w:val="11"/>
          <w:sz w:val="19"/>
          <w:szCs w:val="19"/>
        </w:rPr>
        <w:t>混杂作用。</w:t>
      </w:r>
    </w:p>
    <w:p w14:paraId="6F40CC05">
      <w:pPr>
        <w:spacing w:before="1" w:line="361" w:lineRule="auto"/>
        <w:ind w:left="739" w:right="14" w:firstLine="410"/>
        <w:jc w:val="both"/>
        <w:rPr>
          <w:rFonts w:ascii="宋体" w:hAnsi="宋体" w:eastAsia="宋体" w:cs="宋体"/>
          <w:sz w:val="19"/>
          <w:szCs w:val="19"/>
        </w:rPr>
      </w:pPr>
      <w:r>
        <w:rPr>
          <w:rFonts w:ascii="宋体" w:hAnsi="宋体" w:eastAsia="宋体" w:cs="宋体"/>
          <w:spacing w:val="14"/>
          <w:sz w:val="19"/>
          <w:szCs w:val="19"/>
        </w:rPr>
        <w:t>仍以表5-2的数据为例，说明分层分析的一般步骤及方法。考虑到年龄与服用口服</w:t>
      </w:r>
      <w:r>
        <w:rPr>
          <w:rFonts w:ascii="宋体" w:hAnsi="宋体" w:eastAsia="宋体" w:cs="宋体"/>
          <w:spacing w:val="13"/>
          <w:sz w:val="19"/>
          <w:szCs w:val="19"/>
        </w:rPr>
        <w:t>避孕药的行</w:t>
      </w:r>
      <w:r>
        <w:rPr>
          <w:rFonts w:ascii="宋体" w:hAnsi="宋体" w:eastAsia="宋体" w:cs="宋体"/>
          <w:sz w:val="19"/>
          <w:szCs w:val="19"/>
        </w:rPr>
        <w:t xml:space="preserve"> </w:t>
      </w:r>
      <w:r>
        <w:rPr>
          <w:rFonts w:ascii="宋体" w:hAnsi="宋体" w:eastAsia="宋体" w:cs="宋体"/>
          <w:spacing w:val="14"/>
          <w:sz w:val="19"/>
          <w:szCs w:val="19"/>
        </w:rPr>
        <w:t>为有关，也与心肌梗死的发生有关，可能是个混杂因素，故按年龄将研究对象分为&lt;40岁和≥40岁</w:t>
      </w:r>
      <w:r>
        <w:rPr>
          <w:rFonts w:ascii="宋体" w:hAnsi="宋体" w:eastAsia="宋体" w:cs="宋体"/>
          <w:sz w:val="19"/>
          <w:szCs w:val="19"/>
        </w:rPr>
        <w:t xml:space="preserve"> </w:t>
      </w:r>
      <w:r>
        <w:rPr>
          <w:rFonts w:ascii="宋体" w:hAnsi="宋体" w:eastAsia="宋体" w:cs="宋体"/>
          <w:spacing w:val="15"/>
          <w:sz w:val="19"/>
          <w:szCs w:val="19"/>
        </w:rPr>
        <w:t>两层(表5-8)。</w:t>
      </w:r>
    </w:p>
    <w:p w14:paraId="432CE109">
      <w:pPr>
        <w:spacing w:before="191" w:line="221" w:lineRule="auto"/>
        <w:ind w:left="2952"/>
        <w:rPr>
          <w:rFonts w:ascii="宋体" w:hAnsi="宋体" w:eastAsia="宋体" w:cs="宋体"/>
          <w:sz w:val="17"/>
          <w:szCs w:val="17"/>
        </w:rPr>
      </w:pPr>
      <w:r>
        <w:rPr>
          <w:rFonts w:ascii="宋体" w:hAnsi="宋体" w:eastAsia="宋体" w:cs="宋体"/>
          <w:b/>
          <w:bCs/>
          <w:spacing w:val="-4"/>
          <w:sz w:val="17"/>
          <w:szCs w:val="17"/>
        </w:rPr>
        <w:t>表5-8</w:t>
      </w:r>
      <w:r>
        <w:rPr>
          <w:rFonts w:ascii="宋体" w:hAnsi="宋体" w:eastAsia="宋体" w:cs="宋体"/>
          <w:spacing w:val="35"/>
          <w:sz w:val="17"/>
          <w:szCs w:val="17"/>
        </w:rPr>
        <w:t xml:space="preserve">  </w:t>
      </w:r>
      <w:r>
        <w:rPr>
          <w:rFonts w:ascii="宋体" w:hAnsi="宋体" w:eastAsia="宋体" w:cs="宋体"/>
          <w:b/>
          <w:bCs/>
          <w:spacing w:val="-4"/>
          <w:sz w:val="17"/>
          <w:szCs w:val="17"/>
          <w:shd w:val="clear" w:fill="707070"/>
        </w:rPr>
        <w:t>口服避孕药</w:t>
      </w:r>
      <w:r>
        <w:rPr>
          <w:rFonts w:ascii="宋体" w:hAnsi="宋体" w:eastAsia="宋体" w:cs="宋体"/>
          <w:b/>
          <w:bCs/>
          <w:spacing w:val="-4"/>
          <w:sz w:val="17"/>
          <w:szCs w:val="17"/>
        </w:rPr>
        <w:t>与心肌梗死</w:t>
      </w:r>
      <w:r>
        <w:rPr>
          <w:rFonts w:ascii="宋体" w:hAnsi="宋体" w:eastAsia="宋体" w:cs="宋体"/>
          <w:spacing w:val="-4"/>
          <w:sz w:val="17"/>
          <w:szCs w:val="17"/>
          <w:shd w:val="clear" w:fill="484848"/>
        </w:rPr>
        <w:t xml:space="preserve"> </w:t>
      </w:r>
      <w:r>
        <w:rPr>
          <w:rFonts w:ascii="宋体" w:hAnsi="宋体" w:eastAsia="宋体" w:cs="宋体"/>
          <w:b/>
          <w:bCs/>
          <w:spacing w:val="-4"/>
          <w:sz w:val="17"/>
          <w:szCs w:val="17"/>
          <w:shd w:val="clear" w:fill="484848"/>
        </w:rPr>
        <w:t>关系的病</w:t>
      </w:r>
      <w:r>
        <w:rPr>
          <w:rFonts w:ascii="宋体" w:hAnsi="宋体" w:eastAsia="宋体" w:cs="宋体"/>
          <w:spacing w:val="-4"/>
          <w:sz w:val="17"/>
          <w:szCs w:val="17"/>
          <w:shd w:val="clear" w:fill="484848"/>
        </w:rPr>
        <w:t xml:space="preserve"> </w:t>
      </w:r>
      <w:r>
        <w:rPr>
          <w:rFonts w:ascii="宋体" w:hAnsi="宋体" w:eastAsia="宋体" w:cs="宋体"/>
          <w:b/>
          <w:bCs/>
          <w:spacing w:val="-5"/>
          <w:sz w:val="17"/>
          <w:szCs w:val="17"/>
          <w:shd w:val="clear" w:fill="C0C0C0"/>
        </w:rPr>
        <w:t>例对照研究</w:t>
      </w:r>
      <w:r>
        <w:rPr>
          <w:rFonts w:ascii="宋体" w:hAnsi="宋体" w:eastAsia="宋体" w:cs="宋体"/>
          <w:spacing w:val="14"/>
          <w:sz w:val="17"/>
          <w:szCs w:val="17"/>
        </w:rPr>
        <w:t xml:space="preserve">   </w:t>
      </w:r>
      <w:r>
        <w:rPr>
          <w:rFonts w:ascii="宋体" w:hAnsi="宋体" w:eastAsia="宋体" w:cs="宋体"/>
          <w:b/>
          <w:bCs/>
          <w:spacing w:val="-5"/>
          <w:sz w:val="17"/>
          <w:szCs w:val="17"/>
        </w:rPr>
        <w:t>资料</w:t>
      </w:r>
    </w:p>
    <w:p w14:paraId="27B6BA63">
      <w:pPr>
        <w:spacing w:line="38" w:lineRule="exact"/>
      </w:pPr>
    </w:p>
    <w:tbl>
      <w:tblPr>
        <w:tblStyle w:val="5"/>
        <w:tblW w:w="8710" w:type="dxa"/>
        <w:tblInd w:w="749"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0" w:type="dxa"/>
          <w:left w:w="0" w:type="dxa"/>
          <w:bottom w:w="0" w:type="dxa"/>
          <w:right w:w="0" w:type="dxa"/>
        </w:tblCellMar>
      </w:tblPr>
      <w:tblGrid>
        <w:gridCol w:w="1220"/>
        <w:gridCol w:w="780"/>
        <w:gridCol w:w="840"/>
        <w:gridCol w:w="850"/>
        <w:gridCol w:w="870"/>
        <w:gridCol w:w="820"/>
        <w:gridCol w:w="830"/>
        <w:gridCol w:w="920"/>
        <w:gridCol w:w="840"/>
        <w:gridCol w:w="740"/>
      </w:tblGrid>
      <w:tr w14:paraId="5B32682C">
        <w:trPr>
          <w:trHeight w:val="369" w:hRule="atLeast"/>
        </w:trPr>
        <w:tc>
          <w:tcPr>
            <w:tcW w:w="1220" w:type="dxa"/>
            <w:vMerge w:val="restart"/>
            <w:tcBorders>
              <w:top w:val="single" w:color="000000" w:sz="4" w:space="0"/>
              <w:bottom w:val="nil"/>
            </w:tcBorders>
            <w:shd w:val="clear" w:color="auto" w:fill="BDC8C3"/>
            <w:vAlign w:val="top"/>
          </w:tcPr>
          <w:p w14:paraId="3D30B9C9">
            <w:pPr>
              <w:pStyle w:val="6"/>
              <w:spacing w:before="131" w:line="307" w:lineRule="auto"/>
              <w:ind w:left="299" w:right="221" w:hanging="159"/>
              <w:rPr>
                <w:sz w:val="17"/>
                <w:szCs w:val="17"/>
              </w:rPr>
            </w:pPr>
            <w:r>
              <w:rPr>
                <w:spacing w:val="1"/>
                <w:sz w:val="17"/>
                <w:szCs w:val="17"/>
              </w:rPr>
              <w:t>口服避孕药</w:t>
            </w:r>
            <w:r>
              <w:rPr>
                <w:spacing w:val="2"/>
                <w:sz w:val="17"/>
                <w:szCs w:val="17"/>
              </w:rPr>
              <w:t xml:space="preserve"> </w:t>
            </w:r>
            <w:r>
              <w:rPr>
                <w:spacing w:val="-2"/>
                <w:sz w:val="17"/>
                <w:szCs w:val="17"/>
              </w:rPr>
              <w:t>服用史</w:t>
            </w:r>
          </w:p>
        </w:tc>
        <w:tc>
          <w:tcPr>
            <w:tcW w:w="780" w:type="dxa"/>
            <w:tcBorders>
              <w:top w:val="single" w:color="000000" w:sz="4" w:space="0"/>
              <w:bottom w:val="single" w:color="000000" w:sz="4" w:space="0"/>
            </w:tcBorders>
            <w:shd w:val="clear" w:color="auto" w:fill="C3CCC3"/>
            <w:vAlign w:val="top"/>
          </w:tcPr>
          <w:p w14:paraId="46C479B6">
            <w:pPr>
              <w:rPr>
                <w:rFonts w:ascii="Arial"/>
                <w:sz w:val="21"/>
              </w:rPr>
            </w:pPr>
          </w:p>
        </w:tc>
        <w:tc>
          <w:tcPr>
            <w:tcW w:w="840" w:type="dxa"/>
            <w:tcBorders>
              <w:top w:val="single" w:color="000000" w:sz="4" w:space="0"/>
              <w:bottom w:val="single" w:color="000000" w:sz="4" w:space="0"/>
            </w:tcBorders>
            <w:shd w:val="clear" w:color="auto" w:fill="C3CCC3"/>
            <w:vAlign w:val="top"/>
          </w:tcPr>
          <w:p w14:paraId="5F25C61E">
            <w:pPr>
              <w:pStyle w:val="6"/>
              <w:spacing w:before="102" w:line="221" w:lineRule="auto"/>
              <w:ind w:left="240"/>
              <w:rPr>
                <w:sz w:val="17"/>
                <w:szCs w:val="17"/>
              </w:rPr>
            </w:pPr>
            <w:r>
              <w:rPr>
                <w:spacing w:val="4"/>
                <w:sz w:val="17"/>
                <w:szCs w:val="17"/>
              </w:rPr>
              <w:t>&lt;40岁</w:t>
            </w:r>
          </w:p>
        </w:tc>
        <w:tc>
          <w:tcPr>
            <w:tcW w:w="850" w:type="dxa"/>
            <w:tcBorders>
              <w:top w:val="single" w:color="000000" w:sz="4" w:space="0"/>
              <w:bottom w:val="single" w:color="000000" w:sz="4" w:space="0"/>
            </w:tcBorders>
            <w:shd w:val="clear" w:color="auto" w:fill="C3CCC3"/>
            <w:vAlign w:val="top"/>
          </w:tcPr>
          <w:p w14:paraId="16AA83EE">
            <w:pPr>
              <w:rPr>
                <w:rFonts w:ascii="Arial"/>
                <w:sz w:val="21"/>
              </w:rPr>
            </w:pPr>
          </w:p>
        </w:tc>
        <w:tc>
          <w:tcPr>
            <w:tcW w:w="870" w:type="dxa"/>
            <w:tcBorders>
              <w:top w:val="single" w:color="000000" w:sz="4" w:space="0"/>
              <w:bottom w:val="single" w:color="000000" w:sz="4" w:space="0"/>
            </w:tcBorders>
            <w:shd w:val="clear" w:color="auto" w:fill="C5CBBF"/>
            <w:vAlign w:val="top"/>
          </w:tcPr>
          <w:p w14:paraId="0222FCD9">
            <w:pPr>
              <w:rPr>
                <w:rFonts w:ascii="Arial"/>
                <w:sz w:val="21"/>
              </w:rPr>
            </w:pPr>
          </w:p>
        </w:tc>
        <w:tc>
          <w:tcPr>
            <w:tcW w:w="820" w:type="dxa"/>
            <w:tcBorders>
              <w:top w:val="single" w:color="000000" w:sz="4" w:space="0"/>
              <w:bottom w:val="single" w:color="000000" w:sz="4" w:space="0"/>
            </w:tcBorders>
            <w:shd w:val="clear" w:color="auto" w:fill="C5CBBF"/>
            <w:vAlign w:val="top"/>
          </w:tcPr>
          <w:p w14:paraId="424F2DB1">
            <w:pPr>
              <w:pStyle w:val="6"/>
              <w:spacing w:before="92" w:line="221" w:lineRule="auto"/>
              <w:ind w:left="70"/>
              <w:rPr>
                <w:sz w:val="17"/>
                <w:szCs w:val="17"/>
              </w:rPr>
            </w:pPr>
            <w:r>
              <w:rPr>
                <w:spacing w:val="5"/>
                <w:sz w:val="17"/>
                <w:szCs w:val="17"/>
              </w:rPr>
              <w:t>≥40岁</w:t>
            </w:r>
          </w:p>
        </w:tc>
        <w:tc>
          <w:tcPr>
            <w:tcW w:w="830" w:type="dxa"/>
            <w:tcBorders>
              <w:top w:val="single" w:color="000000" w:sz="4" w:space="0"/>
              <w:bottom w:val="single" w:color="000000" w:sz="4" w:space="0"/>
            </w:tcBorders>
            <w:shd w:val="clear" w:color="auto" w:fill="C5CBBF"/>
            <w:vAlign w:val="top"/>
          </w:tcPr>
          <w:p w14:paraId="1838DB07">
            <w:pPr>
              <w:rPr>
                <w:rFonts w:ascii="Arial"/>
                <w:sz w:val="21"/>
              </w:rPr>
            </w:pPr>
          </w:p>
        </w:tc>
        <w:tc>
          <w:tcPr>
            <w:tcW w:w="920" w:type="dxa"/>
            <w:tcBorders>
              <w:top w:val="single" w:color="000000" w:sz="4" w:space="0"/>
              <w:bottom w:val="single" w:color="000000" w:sz="4" w:space="0"/>
            </w:tcBorders>
            <w:shd w:val="clear" w:color="auto" w:fill="C5CBBF"/>
            <w:vAlign w:val="top"/>
          </w:tcPr>
          <w:p w14:paraId="642F6151">
            <w:pPr>
              <w:rPr>
                <w:rFonts w:ascii="Arial"/>
                <w:sz w:val="21"/>
              </w:rPr>
            </w:pPr>
          </w:p>
        </w:tc>
        <w:tc>
          <w:tcPr>
            <w:tcW w:w="840" w:type="dxa"/>
            <w:tcBorders>
              <w:top w:val="single" w:color="000000" w:sz="4" w:space="0"/>
              <w:bottom w:val="single" w:color="000000" w:sz="4" w:space="0"/>
            </w:tcBorders>
            <w:shd w:val="clear" w:color="auto" w:fill="C5CBBF"/>
            <w:vAlign w:val="top"/>
          </w:tcPr>
          <w:p w14:paraId="5813B517">
            <w:pPr>
              <w:pStyle w:val="6"/>
              <w:spacing w:before="72" w:line="221" w:lineRule="auto"/>
              <w:ind w:left="150"/>
              <w:rPr>
                <w:sz w:val="17"/>
                <w:szCs w:val="17"/>
              </w:rPr>
            </w:pPr>
            <w:r>
              <w:rPr>
                <w:spacing w:val="-2"/>
                <w:sz w:val="17"/>
                <w:szCs w:val="17"/>
              </w:rPr>
              <w:t>合计</w:t>
            </w:r>
          </w:p>
        </w:tc>
        <w:tc>
          <w:tcPr>
            <w:tcW w:w="740" w:type="dxa"/>
            <w:tcBorders>
              <w:top w:val="single" w:color="000000" w:sz="4" w:space="0"/>
              <w:bottom w:val="single" w:color="000000" w:sz="4" w:space="0"/>
            </w:tcBorders>
            <w:shd w:val="clear" w:color="auto" w:fill="C5CBBF"/>
            <w:vAlign w:val="top"/>
          </w:tcPr>
          <w:p w14:paraId="2C92756E">
            <w:pPr>
              <w:rPr>
                <w:rFonts w:ascii="Arial"/>
                <w:sz w:val="21"/>
              </w:rPr>
            </w:pPr>
          </w:p>
        </w:tc>
      </w:tr>
      <w:tr w14:paraId="43EF714D">
        <w:trPr>
          <w:trHeight w:val="370" w:hRule="atLeast"/>
        </w:trPr>
        <w:tc>
          <w:tcPr>
            <w:tcW w:w="1220" w:type="dxa"/>
            <w:vMerge w:val="continue"/>
            <w:tcBorders>
              <w:top w:val="nil"/>
              <w:bottom w:val="single" w:color="000000" w:sz="4" w:space="0"/>
            </w:tcBorders>
            <w:vAlign w:val="top"/>
          </w:tcPr>
          <w:p w14:paraId="6C51DD54">
            <w:pPr>
              <w:rPr>
                <w:rFonts w:ascii="Arial"/>
                <w:sz w:val="21"/>
              </w:rPr>
            </w:pPr>
          </w:p>
        </w:tc>
        <w:tc>
          <w:tcPr>
            <w:tcW w:w="780" w:type="dxa"/>
            <w:tcBorders>
              <w:top w:val="single" w:color="000000" w:sz="4" w:space="0"/>
              <w:bottom w:val="single" w:color="000000" w:sz="4" w:space="0"/>
            </w:tcBorders>
            <w:shd w:val="clear" w:color="auto" w:fill="BAC3BC"/>
            <w:vAlign w:val="top"/>
          </w:tcPr>
          <w:p w14:paraId="213702D3">
            <w:pPr>
              <w:pStyle w:val="6"/>
              <w:spacing w:before="103" w:line="221" w:lineRule="auto"/>
              <w:ind w:left="220"/>
              <w:rPr>
                <w:sz w:val="17"/>
                <w:szCs w:val="17"/>
              </w:rPr>
            </w:pPr>
            <w:r>
              <w:rPr>
                <w:spacing w:val="-2"/>
                <w:sz w:val="17"/>
                <w:szCs w:val="17"/>
              </w:rPr>
              <w:t>病例</w:t>
            </w:r>
          </w:p>
        </w:tc>
        <w:tc>
          <w:tcPr>
            <w:tcW w:w="840" w:type="dxa"/>
            <w:tcBorders>
              <w:top w:val="single" w:color="000000" w:sz="4" w:space="0"/>
              <w:bottom w:val="single" w:color="000000" w:sz="4" w:space="0"/>
            </w:tcBorders>
            <w:shd w:val="clear" w:color="auto" w:fill="BBC3BC"/>
            <w:vAlign w:val="top"/>
          </w:tcPr>
          <w:p w14:paraId="1B7EDA65">
            <w:pPr>
              <w:pStyle w:val="6"/>
              <w:spacing w:before="103" w:line="221" w:lineRule="auto"/>
              <w:ind w:left="250"/>
              <w:rPr>
                <w:sz w:val="17"/>
                <w:szCs w:val="17"/>
              </w:rPr>
            </w:pPr>
            <w:r>
              <w:rPr>
                <w:spacing w:val="-2"/>
                <w:sz w:val="17"/>
                <w:szCs w:val="17"/>
              </w:rPr>
              <w:t>对照</w:t>
            </w:r>
          </w:p>
        </w:tc>
        <w:tc>
          <w:tcPr>
            <w:tcW w:w="850" w:type="dxa"/>
            <w:tcBorders>
              <w:top w:val="single" w:color="000000" w:sz="4" w:space="0"/>
              <w:bottom w:val="single" w:color="000000" w:sz="4" w:space="0"/>
            </w:tcBorders>
            <w:shd w:val="clear" w:color="auto" w:fill="C0C7BE"/>
            <w:vAlign w:val="top"/>
          </w:tcPr>
          <w:p w14:paraId="23BBB470">
            <w:pPr>
              <w:pStyle w:val="6"/>
              <w:spacing w:before="103" w:line="221" w:lineRule="auto"/>
              <w:ind w:left="250"/>
              <w:rPr>
                <w:sz w:val="17"/>
                <w:szCs w:val="17"/>
              </w:rPr>
            </w:pPr>
            <w:r>
              <w:rPr>
                <w:spacing w:val="-3"/>
                <w:sz w:val="17"/>
                <w:szCs w:val="17"/>
              </w:rPr>
              <w:t>小计</w:t>
            </w:r>
          </w:p>
        </w:tc>
        <w:tc>
          <w:tcPr>
            <w:tcW w:w="870" w:type="dxa"/>
            <w:tcBorders>
              <w:top w:val="single" w:color="000000" w:sz="4" w:space="0"/>
              <w:bottom w:val="single" w:color="000000" w:sz="4" w:space="0"/>
            </w:tcBorders>
            <w:shd w:val="clear" w:color="auto" w:fill="BDC2BB"/>
            <w:vAlign w:val="top"/>
          </w:tcPr>
          <w:p w14:paraId="21976220">
            <w:pPr>
              <w:pStyle w:val="6"/>
              <w:spacing w:before="103" w:line="221" w:lineRule="auto"/>
              <w:ind w:left="260"/>
              <w:rPr>
                <w:sz w:val="17"/>
                <w:szCs w:val="17"/>
              </w:rPr>
            </w:pPr>
            <w:r>
              <w:rPr>
                <w:spacing w:val="-2"/>
                <w:sz w:val="17"/>
                <w:szCs w:val="17"/>
              </w:rPr>
              <w:t>病例</w:t>
            </w:r>
          </w:p>
        </w:tc>
        <w:tc>
          <w:tcPr>
            <w:tcW w:w="820" w:type="dxa"/>
            <w:tcBorders>
              <w:top w:val="single" w:color="000000" w:sz="4" w:space="0"/>
              <w:bottom w:val="single" w:color="000000" w:sz="4" w:space="0"/>
            </w:tcBorders>
            <w:shd w:val="clear" w:color="auto" w:fill="BDC2BA"/>
            <w:vAlign w:val="top"/>
          </w:tcPr>
          <w:p w14:paraId="29572071">
            <w:pPr>
              <w:pStyle w:val="6"/>
              <w:spacing w:before="103" w:line="221" w:lineRule="auto"/>
              <w:ind w:left="240"/>
              <w:rPr>
                <w:sz w:val="17"/>
                <w:szCs w:val="17"/>
              </w:rPr>
            </w:pPr>
            <w:r>
              <w:rPr>
                <w:spacing w:val="-2"/>
                <w:sz w:val="17"/>
                <w:szCs w:val="17"/>
              </w:rPr>
              <w:t>对照</w:t>
            </w:r>
          </w:p>
        </w:tc>
        <w:tc>
          <w:tcPr>
            <w:tcW w:w="830" w:type="dxa"/>
            <w:tcBorders>
              <w:top w:val="single" w:color="000000" w:sz="4" w:space="0"/>
              <w:bottom w:val="single" w:color="000000" w:sz="4" w:space="0"/>
            </w:tcBorders>
            <w:shd w:val="clear" w:color="auto" w:fill="BBBEB7"/>
            <w:vAlign w:val="top"/>
          </w:tcPr>
          <w:p w14:paraId="58A596B9">
            <w:pPr>
              <w:pStyle w:val="6"/>
              <w:spacing w:before="103" w:line="221" w:lineRule="auto"/>
              <w:ind w:left="240"/>
              <w:rPr>
                <w:sz w:val="17"/>
                <w:szCs w:val="17"/>
              </w:rPr>
            </w:pPr>
            <w:r>
              <w:rPr>
                <w:spacing w:val="-3"/>
                <w:sz w:val="17"/>
                <w:szCs w:val="17"/>
              </w:rPr>
              <w:t>小计</w:t>
            </w:r>
          </w:p>
        </w:tc>
        <w:tc>
          <w:tcPr>
            <w:tcW w:w="920" w:type="dxa"/>
            <w:tcBorders>
              <w:top w:val="single" w:color="000000" w:sz="4" w:space="0"/>
              <w:bottom w:val="single" w:color="000000" w:sz="4" w:space="0"/>
            </w:tcBorders>
            <w:shd w:val="clear" w:color="auto" w:fill="BABDB7"/>
            <w:vAlign w:val="top"/>
          </w:tcPr>
          <w:p w14:paraId="0B2FEEE6">
            <w:pPr>
              <w:pStyle w:val="6"/>
              <w:spacing w:before="103" w:line="221" w:lineRule="auto"/>
              <w:ind w:left="290"/>
              <w:rPr>
                <w:sz w:val="17"/>
                <w:szCs w:val="17"/>
              </w:rPr>
            </w:pPr>
            <w:r>
              <w:rPr>
                <w:spacing w:val="-2"/>
                <w:sz w:val="17"/>
                <w:szCs w:val="17"/>
              </w:rPr>
              <w:t>病例</w:t>
            </w:r>
          </w:p>
        </w:tc>
        <w:tc>
          <w:tcPr>
            <w:tcW w:w="840" w:type="dxa"/>
            <w:tcBorders>
              <w:top w:val="single" w:color="000000" w:sz="4" w:space="0"/>
              <w:bottom w:val="single" w:color="000000" w:sz="4" w:space="0"/>
            </w:tcBorders>
            <w:shd w:val="clear" w:color="auto" w:fill="B1B7AD"/>
            <w:vAlign w:val="top"/>
          </w:tcPr>
          <w:p w14:paraId="3EAB7588">
            <w:pPr>
              <w:pStyle w:val="6"/>
              <w:spacing w:before="103" w:line="221" w:lineRule="auto"/>
              <w:ind w:left="250"/>
              <w:rPr>
                <w:sz w:val="17"/>
                <w:szCs w:val="17"/>
              </w:rPr>
            </w:pPr>
            <w:r>
              <w:rPr>
                <w:spacing w:val="-2"/>
                <w:sz w:val="17"/>
                <w:szCs w:val="17"/>
              </w:rPr>
              <w:t>对照</w:t>
            </w:r>
          </w:p>
        </w:tc>
        <w:tc>
          <w:tcPr>
            <w:tcW w:w="740" w:type="dxa"/>
            <w:tcBorders>
              <w:top w:val="single" w:color="000000" w:sz="4" w:space="0"/>
              <w:bottom w:val="single" w:color="000000" w:sz="4" w:space="0"/>
            </w:tcBorders>
            <w:shd w:val="clear" w:color="auto" w:fill="B3B6AC"/>
            <w:vAlign w:val="top"/>
          </w:tcPr>
          <w:p w14:paraId="756E6FCE">
            <w:pPr>
              <w:pStyle w:val="6"/>
              <w:spacing w:before="103" w:line="221" w:lineRule="auto"/>
              <w:ind w:left="200"/>
              <w:rPr>
                <w:sz w:val="17"/>
                <w:szCs w:val="17"/>
              </w:rPr>
            </w:pPr>
            <w:r>
              <w:rPr>
                <w:spacing w:val="-3"/>
                <w:sz w:val="17"/>
                <w:szCs w:val="17"/>
              </w:rPr>
              <w:t>总计</w:t>
            </w:r>
          </w:p>
        </w:tc>
      </w:tr>
    </w:tbl>
    <w:p w14:paraId="03A71F5E">
      <w:pPr>
        <w:spacing w:line="69" w:lineRule="exact"/>
        <w:rPr>
          <w:rFonts w:ascii="Arial"/>
          <w:sz w:val="5"/>
        </w:rPr>
      </w:pPr>
    </w:p>
    <w:p w14:paraId="188FEE56">
      <w:pPr>
        <w:spacing w:line="69" w:lineRule="exact"/>
        <w:rPr>
          <w:rFonts w:ascii="Arial" w:hAnsi="Arial" w:eastAsia="Arial" w:cs="Arial"/>
          <w:sz w:val="5"/>
          <w:szCs w:val="5"/>
        </w:rPr>
        <w:sectPr>
          <w:footerReference r:id="rId106" w:type="default"/>
          <w:pgSz w:w="11900" w:h="16820"/>
          <w:pgMar w:top="400" w:right="1589" w:bottom="812" w:left="850" w:header="0" w:footer="641" w:gutter="0"/>
          <w:cols w:equalWidth="0" w:num="1">
            <w:col w:w="9461"/>
          </w:cols>
        </w:sectPr>
      </w:pPr>
    </w:p>
    <w:p w14:paraId="5D692919">
      <w:pPr>
        <w:spacing w:before="34" w:line="220" w:lineRule="auto"/>
        <w:ind w:left="1269"/>
        <w:rPr>
          <w:rFonts w:ascii="宋体" w:hAnsi="宋体" w:eastAsia="宋体" w:cs="宋体"/>
          <w:sz w:val="17"/>
          <w:szCs w:val="17"/>
        </w:rPr>
      </w:pPr>
      <w:r>
        <w:rPr>
          <w:rFonts w:ascii="宋体" w:hAnsi="宋体" w:eastAsia="宋体" w:cs="宋体"/>
          <w:sz w:val="17"/>
          <w:szCs w:val="17"/>
        </w:rPr>
        <w:t>有</w:t>
      </w:r>
    </w:p>
    <w:p w14:paraId="5F10EB5B">
      <w:pPr>
        <w:spacing w:line="14" w:lineRule="auto"/>
        <w:rPr>
          <w:rFonts w:ascii="Arial"/>
          <w:sz w:val="2"/>
        </w:rPr>
      </w:pPr>
      <w:r>
        <w:rPr>
          <w:rFonts w:ascii="Arial" w:hAnsi="Arial" w:eastAsia="Arial" w:cs="Arial"/>
          <w:sz w:val="2"/>
          <w:szCs w:val="2"/>
        </w:rPr>
        <w:br w:type="column"/>
      </w:r>
    </w:p>
    <w:p w14:paraId="387BC45D">
      <w:pPr>
        <w:spacing w:before="49" w:line="221" w:lineRule="auto"/>
        <w:rPr>
          <w:rFonts w:ascii="宋体" w:hAnsi="宋体" w:eastAsia="宋体" w:cs="宋体"/>
          <w:sz w:val="17"/>
          <w:szCs w:val="17"/>
        </w:rPr>
      </w:pPr>
      <w:r>
        <w:rPr>
          <w:rFonts w:ascii="宋体" w:hAnsi="宋体" w:eastAsia="宋体" w:cs="宋体"/>
          <w:spacing w:val="-3"/>
          <w:sz w:val="17"/>
          <w:szCs w:val="17"/>
        </w:rPr>
        <w:t>21</w:t>
      </w:r>
    </w:p>
    <w:p w14:paraId="10BFFEB6">
      <w:pPr>
        <w:spacing w:line="14" w:lineRule="auto"/>
        <w:rPr>
          <w:rFonts w:ascii="Arial"/>
          <w:sz w:val="2"/>
        </w:rPr>
      </w:pPr>
      <w:r>
        <w:rPr>
          <w:rFonts w:ascii="Arial" w:hAnsi="Arial" w:eastAsia="Arial" w:cs="Arial"/>
          <w:sz w:val="2"/>
          <w:szCs w:val="2"/>
        </w:rPr>
        <w:br w:type="column"/>
      </w:r>
    </w:p>
    <w:p w14:paraId="0AA15BE0">
      <w:pPr>
        <w:spacing w:before="49" w:line="221" w:lineRule="auto"/>
        <w:rPr>
          <w:rFonts w:ascii="宋体" w:hAnsi="宋体" w:eastAsia="宋体" w:cs="宋体"/>
          <w:sz w:val="17"/>
          <w:szCs w:val="17"/>
        </w:rPr>
      </w:pPr>
      <w:r>
        <w:rPr>
          <w:rFonts w:ascii="宋体" w:hAnsi="宋体" w:eastAsia="宋体" w:cs="宋体"/>
          <w:spacing w:val="-5"/>
          <w:sz w:val="17"/>
          <w:szCs w:val="17"/>
        </w:rPr>
        <w:t>17</w:t>
      </w:r>
    </w:p>
    <w:p w14:paraId="13726F6B">
      <w:pPr>
        <w:spacing w:line="14" w:lineRule="auto"/>
        <w:rPr>
          <w:rFonts w:ascii="Arial"/>
          <w:sz w:val="2"/>
        </w:rPr>
      </w:pPr>
      <w:r>
        <w:rPr>
          <w:rFonts w:ascii="Arial" w:hAnsi="Arial" w:eastAsia="Arial" w:cs="Arial"/>
          <w:sz w:val="2"/>
          <w:szCs w:val="2"/>
        </w:rPr>
        <w:br w:type="column"/>
      </w:r>
    </w:p>
    <w:p w14:paraId="73C8B791">
      <w:pPr>
        <w:spacing w:before="49" w:line="221" w:lineRule="auto"/>
        <w:rPr>
          <w:rFonts w:ascii="宋体" w:hAnsi="宋体" w:eastAsia="宋体" w:cs="宋体"/>
          <w:sz w:val="17"/>
          <w:szCs w:val="17"/>
        </w:rPr>
      </w:pPr>
      <w:r>
        <w:rPr>
          <w:rFonts w:ascii="宋体" w:hAnsi="宋体" w:eastAsia="宋体" w:cs="宋体"/>
          <w:spacing w:val="-3"/>
          <w:sz w:val="17"/>
          <w:szCs w:val="17"/>
        </w:rPr>
        <w:t>38</w:t>
      </w:r>
    </w:p>
    <w:p w14:paraId="288AFF13">
      <w:pPr>
        <w:spacing w:line="14" w:lineRule="auto"/>
        <w:rPr>
          <w:rFonts w:ascii="Arial"/>
          <w:sz w:val="2"/>
        </w:rPr>
      </w:pPr>
      <w:r>
        <w:rPr>
          <w:rFonts w:ascii="Arial" w:hAnsi="Arial" w:eastAsia="Arial" w:cs="Arial"/>
          <w:sz w:val="2"/>
          <w:szCs w:val="2"/>
        </w:rPr>
        <w:br w:type="column"/>
      </w:r>
    </w:p>
    <w:p w14:paraId="19855498">
      <w:pPr>
        <w:spacing w:before="49" w:line="221" w:lineRule="auto"/>
        <w:rPr>
          <w:rFonts w:ascii="宋体" w:hAnsi="宋体" w:eastAsia="宋体" w:cs="宋体"/>
          <w:sz w:val="17"/>
          <w:szCs w:val="17"/>
        </w:rPr>
      </w:pPr>
      <w:r>
        <w:rPr>
          <w:rFonts w:ascii="宋体" w:hAnsi="宋体" w:eastAsia="宋体" w:cs="宋体"/>
          <w:spacing w:val="-5"/>
          <w:sz w:val="17"/>
          <w:szCs w:val="17"/>
        </w:rPr>
        <w:t>18</w:t>
      </w:r>
    </w:p>
    <w:p w14:paraId="56F91E57">
      <w:pPr>
        <w:spacing w:line="14" w:lineRule="auto"/>
        <w:rPr>
          <w:rFonts w:ascii="Arial"/>
          <w:sz w:val="2"/>
        </w:rPr>
      </w:pPr>
      <w:r>
        <w:rPr>
          <w:rFonts w:ascii="Arial" w:hAnsi="Arial" w:eastAsia="Arial" w:cs="Arial"/>
          <w:sz w:val="2"/>
          <w:szCs w:val="2"/>
        </w:rPr>
        <w:br w:type="column"/>
      </w:r>
    </w:p>
    <w:p w14:paraId="3E31DB6D">
      <w:pPr>
        <w:spacing w:before="49" w:line="221" w:lineRule="auto"/>
        <w:rPr>
          <w:rFonts w:ascii="宋体" w:hAnsi="宋体" w:eastAsia="宋体" w:cs="宋体"/>
          <w:sz w:val="17"/>
          <w:szCs w:val="17"/>
        </w:rPr>
      </w:pPr>
      <w:r>
        <w:rPr>
          <w:rFonts w:ascii="宋体" w:hAnsi="宋体" w:eastAsia="宋体" w:cs="宋体"/>
          <w:sz w:val="17"/>
          <w:szCs w:val="17"/>
        </w:rPr>
        <w:t>7</w:t>
      </w:r>
    </w:p>
    <w:p w14:paraId="253A06C1">
      <w:pPr>
        <w:spacing w:line="14" w:lineRule="auto"/>
        <w:rPr>
          <w:rFonts w:ascii="Arial"/>
          <w:sz w:val="2"/>
        </w:rPr>
      </w:pPr>
      <w:r>
        <w:rPr>
          <w:rFonts w:ascii="Arial" w:hAnsi="Arial" w:eastAsia="Arial" w:cs="Arial"/>
          <w:sz w:val="2"/>
          <w:szCs w:val="2"/>
        </w:rPr>
        <w:br w:type="column"/>
      </w:r>
    </w:p>
    <w:p w14:paraId="2A8DE401">
      <w:pPr>
        <w:spacing w:before="49" w:line="221" w:lineRule="auto"/>
        <w:rPr>
          <w:rFonts w:ascii="宋体" w:hAnsi="宋体" w:eastAsia="宋体" w:cs="宋体"/>
          <w:sz w:val="17"/>
          <w:szCs w:val="17"/>
        </w:rPr>
      </w:pPr>
      <w:r>
        <w:rPr>
          <w:rFonts w:ascii="宋体" w:hAnsi="宋体" w:eastAsia="宋体" w:cs="宋体"/>
          <w:spacing w:val="-3"/>
          <w:sz w:val="17"/>
          <w:szCs w:val="17"/>
        </w:rPr>
        <w:t>25</w:t>
      </w:r>
    </w:p>
    <w:p w14:paraId="08DD0DA6">
      <w:pPr>
        <w:spacing w:line="14" w:lineRule="auto"/>
        <w:rPr>
          <w:rFonts w:ascii="Arial"/>
          <w:sz w:val="2"/>
        </w:rPr>
      </w:pPr>
      <w:r>
        <w:rPr>
          <w:rFonts w:ascii="Arial" w:hAnsi="Arial" w:eastAsia="Arial" w:cs="Arial"/>
          <w:sz w:val="2"/>
          <w:szCs w:val="2"/>
        </w:rPr>
        <w:br w:type="column"/>
      </w:r>
    </w:p>
    <w:p w14:paraId="486C3222">
      <w:pPr>
        <w:spacing w:before="49" w:line="221" w:lineRule="auto"/>
        <w:ind w:left="29"/>
        <w:rPr>
          <w:rFonts w:ascii="宋体" w:hAnsi="宋体" w:eastAsia="宋体" w:cs="宋体"/>
          <w:sz w:val="17"/>
          <w:szCs w:val="17"/>
        </w:rPr>
      </w:pPr>
      <w:r>
        <w:rPr>
          <w:rFonts w:ascii="宋体" w:hAnsi="宋体" w:eastAsia="宋体" w:cs="宋体"/>
          <w:spacing w:val="-3"/>
          <w:sz w:val="17"/>
          <w:szCs w:val="17"/>
        </w:rPr>
        <w:t>39</w:t>
      </w:r>
    </w:p>
    <w:p w14:paraId="03E5056E">
      <w:pPr>
        <w:spacing w:line="14" w:lineRule="auto"/>
        <w:rPr>
          <w:rFonts w:ascii="Arial"/>
          <w:sz w:val="2"/>
        </w:rPr>
      </w:pPr>
      <w:r>
        <w:rPr>
          <w:rFonts w:ascii="Arial" w:hAnsi="Arial" w:eastAsia="Arial" w:cs="Arial"/>
          <w:sz w:val="2"/>
          <w:szCs w:val="2"/>
        </w:rPr>
        <w:br w:type="column"/>
      </w:r>
    </w:p>
    <w:p w14:paraId="6F090F35">
      <w:pPr>
        <w:spacing w:before="49" w:line="221" w:lineRule="auto"/>
        <w:ind w:left="189"/>
        <w:rPr>
          <w:rFonts w:ascii="宋体" w:hAnsi="宋体" w:eastAsia="宋体" w:cs="宋体"/>
          <w:sz w:val="17"/>
          <w:szCs w:val="17"/>
        </w:rPr>
      </w:pPr>
      <w:r>
        <w:rPr>
          <w:rFonts w:ascii="宋体" w:hAnsi="宋体" w:eastAsia="宋体" w:cs="宋体"/>
          <w:spacing w:val="-3"/>
          <w:sz w:val="17"/>
          <w:szCs w:val="17"/>
        </w:rPr>
        <w:t>24</w:t>
      </w:r>
    </w:p>
    <w:p w14:paraId="7045E1C5">
      <w:pPr>
        <w:spacing w:line="14" w:lineRule="auto"/>
        <w:rPr>
          <w:rFonts w:ascii="Arial"/>
          <w:sz w:val="2"/>
        </w:rPr>
      </w:pPr>
      <w:r>
        <w:rPr>
          <w:rFonts w:ascii="Arial" w:hAnsi="Arial" w:eastAsia="Arial" w:cs="Arial"/>
          <w:sz w:val="2"/>
          <w:szCs w:val="2"/>
        </w:rPr>
        <w:br w:type="column"/>
      </w:r>
    </w:p>
    <w:p w14:paraId="1F77AEC6">
      <w:pPr>
        <w:spacing w:before="49" w:line="221" w:lineRule="auto"/>
        <w:ind w:left="259"/>
        <w:rPr>
          <w:rFonts w:ascii="宋体" w:hAnsi="宋体" w:eastAsia="宋体" w:cs="宋体"/>
          <w:sz w:val="17"/>
          <w:szCs w:val="17"/>
        </w:rPr>
      </w:pPr>
      <w:r>
        <w:rPr>
          <w:rFonts w:ascii="宋体" w:hAnsi="宋体" w:eastAsia="宋体" w:cs="宋体"/>
          <w:spacing w:val="-2"/>
          <w:sz w:val="17"/>
          <w:szCs w:val="17"/>
        </w:rPr>
        <w:t>63</w:t>
      </w:r>
    </w:p>
    <w:p w14:paraId="75517914">
      <w:pPr>
        <w:spacing w:line="221" w:lineRule="auto"/>
        <w:rPr>
          <w:rFonts w:ascii="宋体" w:hAnsi="宋体" w:eastAsia="宋体" w:cs="宋体"/>
          <w:sz w:val="17"/>
          <w:szCs w:val="17"/>
        </w:rPr>
        <w:sectPr>
          <w:type w:val="continuous"/>
          <w:pgSz w:w="11900" w:h="16820"/>
          <w:pgMar w:top="400" w:right="1589" w:bottom="812" w:left="850" w:header="0" w:footer="641" w:gutter="0"/>
          <w:cols w:equalWidth="0" w:num="10">
            <w:col w:w="2170" w:space="100"/>
            <w:col w:w="720" w:space="90"/>
            <w:col w:w="751" w:space="100"/>
            <w:col w:w="761" w:space="100"/>
            <w:col w:w="781" w:space="100"/>
            <w:col w:w="720" w:space="70"/>
            <w:col w:w="740" w:space="100"/>
            <w:col w:w="720" w:space="0"/>
            <w:col w:w="720" w:space="0"/>
            <w:col w:w="720"/>
          </w:cols>
        </w:sectPr>
      </w:pPr>
    </w:p>
    <w:p w14:paraId="35072C30">
      <w:pPr>
        <w:spacing w:line="47" w:lineRule="exact"/>
      </w:pPr>
    </w:p>
    <w:tbl>
      <w:tblPr>
        <w:tblStyle w:val="5"/>
        <w:tblW w:w="8710" w:type="dxa"/>
        <w:tblInd w:w="749"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0" w:type="dxa"/>
          <w:left w:w="0" w:type="dxa"/>
          <w:bottom w:w="0" w:type="dxa"/>
          <w:right w:w="0" w:type="dxa"/>
        </w:tblCellMar>
      </w:tblPr>
      <w:tblGrid>
        <w:gridCol w:w="1220"/>
        <w:gridCol w:w="780"/>
        <w:gridCol w:w="840"/>
        <w:gridCol w:w="850"/>
        <w:gridCol w:w="870"/>
        <w:gridCol w:w="820"/>
        <w:gridCol w:w="830"/>
        <w:gridCol w:w="920"/>
        <w:gridCol w:w="840"/>
        <w:gridCol w:w="740"/>
      </w:tblGrid>
      <w:tr w14:paraId="34DAB49F">
        <w:trPr>
          <w:trHeight w:val="370" w:hRule="atLeast"/>
        </w:trPr>
        <w:tc>
          <w:tcPr>
            <w:tcW w:w="1220" w:type="dxa"/>
            <w:tcBorders>
              <w:top w:val="single" w:color="000000" w:sz="4" w:space="0"/>
              <w:bottom w:val="single" w:color="000000" w:sz="4" w:space="0"/>
            </w:tcBorders>
            <w:shd w:val="clear" w:color="auto" w:fill="DEE0E1"/>
            <w:vAlign w:val="top"/>
          </w:tcPr>
          <w:p w14:paraId="4463D79A">
            <w:pPr>
              <w:pStyle w:val="6"/>
              <w:spacing w:before="102" w:line="220" w:lineRule="auto"/>
              <w:ind w:left="520"/>
              <w:rPr>
                <w:sz w:val="17"/>
                <w:szCs w:val="17"/>
              </w:rPr>
            </w:pPr>
            <w:r>
              <w:rPr>
                <w:sz w:val="17"/>
                <w:szCs w:val="17"/>
              </w:rPr>
              <w:t>无</w:t>
            </w:r>
          </w:p>
        </w:tc>
        <w:tc>
          <w:tcPr>
            <w:tcW w:w="780" w:type="dxa"/>
            <w:tcBorders>
              <w:top w:val="single" w:color="000000" w:sz="4" w:space="0"/>
              <w:bottom w:val="single" w:color="000000" w:sz="4" w:space="0"/>
            </w:tcBorders>
            <w:shd w:val="clear" w:color="auto" w:fill="DCDCDB"/>
            <w:vAlign w:val="top"/>
          </w:tcPr>
          <w:p w14:paraId="242A5FE7">
            <w:pPr>
              <w:pStyle w:val="6"/>
              <w:spacing w:before="118"/>
              <w:ind w:left="299"/>
              <w:rPr>
                <w:sz w:val="17"/>
                <w:szCs w:val="17"/>
              </w:rPr>
            </w:pPr>
            <w:r>
              <w:rPr>
                <w:spacing w:val="-3"/>
                <w:sz w:val="17"/>
                <w:szCs w:val="17"/>
              </w:rPr>
              <w:t>26</w:t>
            </w:r>
          </w:p>
        </w:tc>
        <w:tc>
          <w:tcPr>
            <w:tcW w:w="840" w:type="dxa"/>
            <w:tcBorders>
              <w:top w:val="single" w:color="000000" w:sz="4" w:space="0"/>
              <w:bottom w:val="single" w:color="000000" w:sz="4" w:space="0"/>
            </w:tcBorders>
            <w:shd w:val="clear" w:color="auto" w:fill="D8D9D7"/>
            <w:vAlign w:val="top"/>
          </w:tcPr>
          <w:p w14:paraId="062FD786">
            <w:pPr>
              <w:pStyle w:val="6"/>
              <w:spacing w:before="118"/>
              <w:ind w:left="330"/>
              <w:rPr>
                <w:sz w:val="17"/>
                <w:szCs w:val="17"/>
              </w:rPr>
            </w:pPr>
            <w:r>
              <w:rPr>
                <w:spacing w:val="-3"/>
                <w:sz w:val="17"/>
                <w:szCs w:val="17"/>
              </w:rPr>
              <w:t>59</w:t>
            </w:r>
          </w:p>
        </w:tc>
        <w:tc>
          <w:tcPr>
            <w:tcW w:w="850" w:type="dxa"/>
            <w:tcBorders>
              <w:top w:val="single" w:color="000000" w:sz="4" w:space="0"/>
              <w:bottom w:val="single" w:color="000000" w:sz="4" w:space="0"/>
            </w:tcBorders>
            <w:shd w:val="clear" w:color="auto" w:fill="D8D8D6"/>
            <w:vAlign w:val="top"/>
          </w:tcPr>
          <w:p w14:paraId="60653F6C">
            <w:pPr>
              <w:pStyle w:val="6"/>
              <w:spacing w:before="118"/>
              <w:ind w:left="340"/>
              <w:rPr>
                <w:sz w:val="17"/>
                <w:szCs w:val="17"/>
              </w:rPr>
            </w:pPr>
            <w:r>
              <w:rPr>
                <w:spacing w:val="-2"/>
                <w:sz w:val="17"/>
                <w:szCs w:val="17"/>
              </w:rPr>
              <w:t>85</w:t>
            </w:r>
          </w:p>
        </w:tc>
        <w:tc>
          <w:tcPr>
            <w:tcW w:w="870" w:type="dxa"/>
            <w:tcBorders>
              <w:top w:val="single" w:color="000000" w:sz="4" w:space="0"/>
              <w:bottom w:val="single" w:color="000000" w:sz="4" w:space="0"/>
            </w:tcBorders>
            <w:shd w:val="clear" w:color="auto" w:fill="D5D6D5"/>
            <w:vAlign w:val="top"/>
          </w:tcPr>
          <w:p w14:paraId="71E6C922">
            <w:pPr>
              <w:pStyle w:val="6"/>
              <w:spacing w:before="118"/>
              <w:ind w:left="350"/>
              <w:rPr>
                <w:sz w:val="17"/>
                <w:szCs w:val="17"/>
              </w:rPr>
            </w:pPr>
            <w:r>
              <w:rPr>
                <w:spacing w:val="-2"/>
                <w:sz w:val="17"/>
                <w:szCs w:val="17"/>
              </w:rPr>
              <w:t>88</w:t>
            </w:r>
          </w:p>
        </w:tc>
        <w:tc>
          <w:tcPr>
            <w:tcW w:w="820" w:type="dxa"/>
            <w:tcBorders>
              <w:top w:val="single" w:color="000000" w:sz="4" w:space="0"/>
              <w:bottom w:val="single" w:color="000000" w:sz="4" w:space="0"/>
            </w:tcBorders>
            <w:shd w:val="clear" w:color="auto" w:fill="D3D4D3"/>
            <w:vAlign w:val="top"/>
          </w:tcPr>
          <w:p w14:paraId="1FEC10A8">
            <w:pPr>
              <w:pStyle w:val="6"/>
              <w:spacing w:before="118"/>
              <w:ind w:left="320"/>
              <w:rPr>
                <w:sz w:val="17"/>
                <w:szCs w:val="17"/>
              </w:rPr>
            </w:pPr>
            <w:r>
              <w:rPr>
                <w:spacing w:val="-2"/>
                <w:sz w:val="17"/>
                <w:szCs w:val="17"/>
              </w:rPr>
              <w:t>95</w:t>
            </w:r>
          </w:p>
        </w:tc>
        <w:tc>
          <w:tcPr>
            <w:tcW w:w="830" w:type="dxa"/>
            <w:tcBorders>
              <w:top w:val="single" w:color="000000" w:sz="4" w:space="0"/>
              <w:bottom w:val="single" w:color="000000" w:sz="4" w:space="0"/>
            </w:tcBorders>
            <w:shd w:val="clear" w:color="auto" w:fill="D7D7D6"/>
            <w:vAlign w:val="top"/>
          </w:tcPr>
          <w:p w14:paraId="465D8693">
            <w:pPr>
              <w:pStyle w:val="6"/>
              <w:spacing w:before="118"/>
              <w:ind w:left="279"/>
              <w:rPr>
                <w:sz w:val="17"/>
                <w:szCs w:val="17"/>
              </w:rPr>
            </w:pPr>
            <w:r>
              <w:rPr>
                <w:spacing w:val="-5"/>
                <w:sz w:val="17"/>
                <w:szCs w:val="17"/>
              </w:rPr>
              <w:t>183</w:t>
            </w:r>
          </w:p>
        </w:tc>
        <w:tc>
          <w:tcPr>
            <w:tcW w:w="920" w:type="dxa"/>
            <w:tcBorders>
              <w:top w:val="single" w:color="000000" w:sz="4" w:space="0"/>
              <w:bottom w:val="single" w:color="000000" w:sz="4" w:space="0"/>
            </w:tcBorders>
            <w:shd w:val="clear" w:color="auto" w:fill="E3E4E0"/>
            <w:vAlign w:val="top"/>
          </w:tcPr>
          <w:p w14:paraId="79A8E81A">
            <w:pPr>
              <w:pStyle w:val="6"/>
              <w:spacing w:before="119" w:line="241" w:lineRule="auto"/>
              <w:ind w:left="330"/>
              <w:rPr>
                <w:sz w:val="17"/>
                <w:szCs w:val="17"/>
              </w:rPr>
            </w:pPr>
            <w:r>
              <w:rPr>
                <w:spacing w:val="-5"/>
                <w:sz w:val="17"/>
                <w:szCs w:val="17"/>
              </w:rPr>
              <w:t>114</w:t>
            </w:r>
          </w:p>
        </w:tc>
        <w:tc>
          <w:tcPr>
            <w:tcW w:w="840" w:type="dxa"/>
            <w:tcBorders>
              <w:top w:val="single" w:color="000000" w:sz="4" w:space="0"/>
              <w:bottom w:val="single" w:color="000000" w:sz="4" w:space="0"/>
            </w:tcBorders>
            <w:shd w:val="clear" w:color="auto" w:fill="D8D9D4"/>
            <w:vAlign w:val="top"/>
          </w:tcPr>
          <w:p w14:paraId="4315EA3B">
            <w:pPr>
              <w:pStyle w:val="6"/>
              <w:spacing w:before="118"/>
              <w:ind w:left="290"/>
              <w:rPr>
                <w:sz w:val="17"/>
                <w:szCs w:val="17"/>
              </w:rPr>
            </w:pPr>
            <w:r>
              <w:rPr>
                <w:spacing w:val="-5"/>
                <w:sz w:val="17"/>
                <w:szCs w:val="17"/>
              </w:rPr>
              <w:t>154</w:t>
            </w:r>
          </w:p>
        </w:tc>
        <w:tc>
          <w:tcPr>
            <w:tcW w:w="740" w:type="dxa"/>
            <w:tcBorders>
              <w:top w:val="single" w:color="000000" w:sz="4" w:space="0"/>
              <w:bottom w:val="single" w:color="000000" w:sz="4" w:space="0"/>
            </w:tcBorders>
            <w:shd w:val="clear" w:color="auto" w:fill="CCCCC8"/>
            <w:vAlign w:val="top"/>
          </w:tcPr>
          <w:p w14:paraId="0413871B">
            <w:pPr>
              <w:pStyle w:val="6"/>
              <w:spacing w:before="118"/>
              <w:ind w:left="240"/>
              <w:rPr>
                <w:sz w:val="17"/>
                <w:szCs w:val="17"/>
              </w:rPr>
            </w:pPr>
            <w:r>
              <w:rPr>
                <w:spacing w:val="-2"/>
                <w:sz w:val="17"/>
                <w:szCs w:val="17"/>
              </w:rPr>
              <w:t>268</w:t>
            </w:r>
          </w:p>
        </w:tc>
      </w:tr>
      <w:tr w14:paraId="67D8485B">
        <w:trPr>
          <w:trHeight w:val="330" w:hRule="atLeast"/>
        </w:trPr>
        <w:tc>
          <w:tcPr>
            <w:tcW w:w="1220" w:type="dxa"/>
            <w:tcBorders>
              <w:top w:val="single" w:color="000000" w:sz="4" w:space="0"/>
              <w:bottom w:val="single" w:color="000000" w:sz="4" w:space="0"/>
            </w:tcBorders>
            <w:vAlign w:val="top"/>
          </w:tcPr>
          <w:p w14:paraId="0ED44EB7">
            <w:pPr>
              <w:pStyle w:val="6"/>
              <w:spacing w:before="83" w:line="221" w:lineRule="auto"/>
              <w:ind w:left="440"/>
              <w:rPr>
                <w:sz w:val="17"/>
                <w:szCs w:val="17"/>
              </w:rPr>
            </w:pPr>
            <w:r>
              <w:rPr>
                <w:spacing w:val="-3"/>
                <w:sz w:val="17"/>
                <w:szCs w:val="17"/>
              </w:rPr>
              <w:t>总计</w:t>
            </w:r>
          </w:p>
        </w:tc>
        <w:tc>
          <w:tcPr>
            <w:tcW w:w="780" w:type="dxa"/>
            <w:tcBorders>
              <w:top w:val="single" w:color="000000" w:sz="4" w:space="0"/>
              <w:bottom w:val="single" w:color="000000" w:sz="4" w:space="0"/>
            </w:tcBorders>
            <w:vAlign w:val="top"/>
          </w:tcPr>
          <w:p w14:paraId="6B780B6F">
            <w:pPr>
              <w:pStyle w:val="6"/>
              <w:spacing w:before="98"/>
              <w:ind w:left="299"/>
              <w:rPr>
                <w:sz w:val="17"/>
                <w:szCs w:val="17"/>
              </w:rPr>
            </w:pPr>
            <w:r>
              <w:rPr>
                <w:spacing w:val="-2"/>
                <w:sz w:val="17"/>
                <w:szCs w:val="17"/>
              </w:rPr>
              <w:t>47</w:t>
            </w:r>
          </w:p>
        </w:tc>
        <w:tc>
          <w:tcPr>
            <w:tcW w:w="840" w:type="dxa"/>
            <w:tcBorders>
              <w:top w:val="single" w:color="000000" w:sz="4" w:space="0"/>
              <w:bottom w:val="single" w:color="000000" w:sz="4" w:space="0"/>
            </w:tcBorders>
            <w:vAlign w:val="top"/>
          </w:tcPr>
          <w:p w14:paraId="75A2B130">
            <w:pPr>
              <w:pStyle w:val="6"/>
              <w:spacing w:before="98"/>
              <w:ind w:left="330"/>
              <w:rPr>
                <w:sz w:val="17"/>
                <w:szCs w:val="17"/>
              </w:rPr>
            </w:pPr>
            <w:r>
              <w:rPr>
                <w:spacing w:val="-3"/>
                <w:sz w:val="17"/>
                <w:szCs w:val="17"/>
              </w:rPr>
              <w:t>76</w:t>
            </w:r>
          </w:p>
        </w:tc>
        <w:tc>
          <w:tcPr>
            <w:tcW w:w="850" w:type="dxa"/>
            <w:tcBorders>
              <w:top w:val="single" w:color="000000" w:sz="4" w:space="0"/>
              <w:bottom w:val="single" w:color="000000" w:sz="4" w:space="0"/>
            </w:tcBorders>
            <w:vAlign w:val="top"/>
          </w:tcPr>
          <w:p w14:paraId="05B7F69F">
            <w:pPr>
              <w:pStyle w:val="6"/>
              <w:spacing w:before="98"/>
              <w:ind w:left="290"/>
              <w:rPr>
                <w:sz w:val="17"/>
                <w:szCs w:val="17"/>
              </w:rPr>
            </w:pPr>
            <w:r>
              <w:rPr>
                <w:spacing w:val="-5"/>
                <w:sz w:val="17"/>
                <w:szCs w:val="17"/>
              </w:rPr>
              <w:t>123</w:t>
            </w:r>
          </w:p>
        </w:tc>
        <w:tc>
          <w:tcPr>
            <w:tcW w:w="870" w:type="dxa"/>
            <w:tcBorders>
              <w:top w:val="single" w:color="000000" w:sz="4" w:space="0"/>
              <w:bottom w:val="single" w:color="000000" w:sz="4" w:space="0"/>
            </w:tcBorders>
            <w:vAlign w:val="top"/>
          </w:tcPr>
          <w:p w14:paraId="127C7DDE">
            <w:pPr>
              <w:pStyle w:val="6"/>
              <w:spacing w:before="98"/>
              <w:ind w:left="300"/>
              <w:rPr>
                <w:sz w:val="17"/>
                <w:szCs w:val="17"/>
              </w:rPr>
            </w:pPr>
            <w:r>
              <w:rPr>
                <w:spacing w:val="-5"/>
                <w:sz w:val="17"/>
                <w:szCs w:val="17"/>
              </w:rPr>
              <w:t>106</w:t>
            </w:r>
          </w:p>
        </w:tc>
        <w:tc>
          <w:tcPr>
            <w:tcW w:w="820" w:type="dxa"/>
            <w:tcBorders>
              <w:top w:val="single" w:color="000000" w:sz="4" w:space="0"/>
              <w:bottom w:val="single" w:color="000000" w:sz="4" w:space="0"/>
            </w:tcBorders>
            <w:vAlign w:val="top"/>
          </w:tcPr>
          <w:p w14:paraId="3EE8DE61">
            <w:pPr>
              <w:pStyle w:val="6"/>
              <w:spacing w:before="98"/>
              <w:ind w:left="280"/>
              <w:rPr>
                <w:sz w:val="17"/>
                <w:szCs w:val="17"/>
              </w:rPr>
            </w:pPr>
            <w:r>
              <w:rPr>
                <w:spacing w:val="-5"/>
                <w:sz w:val="17"/>
                <w:szCs w:val="17"/>
              </w:rPr>
              <w:t>102</w:t>
            </w:r>
          </w:p>
        </w:tc>
        <w:tc>
          <w:tcPr>
            <w:tcW w:w="830" w:type="dxa"/>
            <w:tcBorders>
              <w:top w:val="single" w:color="000000" w:sz="4" w:space="0"/>
              <w:bottom w:val="single" w:color="000000" w:sz="4" w:space="0"/>
            </w:tcBorders>
            <w:vAlign w:val="top"/>
          </w:tcPr>
          <w:p w14:paraId="4B7D0EFE">
            <w:pPr>
              <w:pStyle w:val="6"/>
              <w:spacing w:before="98"/>
              <w:ind w:left="279"/>
              <w:rPr>
                <w:sz w:val="17"/>
                <w:szCs w:val="17"/>
              </w:rPr>
            </w:pPr>
            <w:r>
              <w:rPr>
                <w:spacing w:val="-2"/>
                <w:sz w:val="17"/>
                <w:szCs w:val="17"/>
              </w:rPr>
              <w:t>208</w:t>
            </w:r>
          </w:p>
        </w:tc>
        <w:tc>
          <w:tcPr>
            <w:tcW w:w="920" w:type="dxa"/>
            <w:tcBorders>
              <w:top w:val="single" w:color="000000" w:sz="4" w:space="0"/>
              <w:bottom w:val="single" w:color="000000" w:sz="4" w:space="0"/>
            </w:tcBorders>
            <w:vAlign w:val="top"/>
          </w:tcPr>
          <w:p w14:paraId="716B4583">
            <w:pPr>
              <w:pStyle w:val="6"/>
              <w:spacing w:before="98"/>
              <w:ind w:left="330"/>
              <w:rPr>
                <w:sz w:val="17"/>
                <w:szCs w:val="17"/>
              </w:rPr>
            </w:pPr>
            <w:r>
              <w:rPr>
                <w:spacing w:val="-5"/>
                <w:sz w:val="17"/>
                <w:szCs w:val="17"/>
              </w:rPr>
              <w:t>153</w:t>
            </w:r>
          </w:p>
        </w:tc>
        <w:tc>
          <w:tcPr>
            <w:tcW w:w="840" w:type="dxa"/>
            <w:tcBorders>
              <w:top w:val="single" w:color="000000" w:sz="4" w:space="0"/>
              <w:bottom w:val="single" w:color="000000" w:sz="4" w:space="0"/>
            </w:tcBorders>
            <w:vAlign w:val="top"/>
          </w:tcPr>
          <w:p w14:paraId="47FE3C28">
            <w:pPr>
              <w:pStyle w:val="6"/>
              <w:spacing w:before="98"/>
              <w:ind w:left="290"/>
              <w:rPr>
                <w:sz w:val="17"/>
                <w:szCs w:val="17"/>
              </w:rPr>
            </w:pPr>
            <w:r>
              <w:rPr>
                <w:spacing w:val="-5"/>
                <w:sz w:val="17"/>
                <w:szCs w:val="17"/>
              </w:rPr>
              <w:t>178</w:t>
            </w:r>
          </w:p>
        </w:tc>
        <w:tc>
          <w:tcPr>
            <w:tcW w:w="740" w:type="dxa"/>
            <w:tcBorders>
              <w:top w:val="single" w:color="000000" w:sz="4" w:space="0"/>
              <w:bottom w:val="single" w:color="000000" w:sz="4" w:space="0"/>
            </w:tcBorders>
            <w:vAlign w:val="top"/>
          </w:tcPr>
          <w:p w14:paraId="184BB1E1">
            <w:pPr>
              <w:pStyle w:val="6"/>
              <w:spacing w:before="98"/>
              <w:ind w:left="240"/>
              <w:rPr>
                <w:sz w:val="17"/>
                <w:szCs w:val="17"/>
              </w:rPr>
            </w:pPr>
            <w:r>
              <w:rPr>
                <w:spacing w:val="-3"/>
                <w:sz w:val="17"/>
                <w:szCs w:val="17"/>
              </w:rPr>
              <w:t>331</w:t>
            </w:r>
          </w:p>
        </w:tc>
      </w:tr>
    </w:tbl>
    <w:p w14:paraId="71CA4D17">
      <w:pPr>
        <w:spacing w:line="359" w:lineRule="auto"/>
        <w:rPr>
          <w:rFonts w:ascii="Arial"/>
          <w:sz w:val="21"/>
        </w:rPr>
      </w:pPr>
    </w:p>
    <w:p w14:paraId="2A7BCD20">
      <w:pPr>
        <w:spacing w:before="62" w:line="219" w:lineRule="auto"/>
        <w:ind w:left="1150"/>
        <w:rPr>
          <w:rFonts w:ascii="宋体" w:hAnsi="宋体" w:eastAsia="宋体" w:cs="宋体"/>
          <w:sz w:val="19"/>
          <w:szCs w:val="19"/>
        </w:rPr>
      </w:pPr>
      <w:r>
        <w:rPr>
          <w:rFonts w:ascii="宋体" w:hAnsi="宋体" w:eastAsia="宋体" w:cs="宋体"/>
          <w:spacing w:val="15"/>
          <w:sz w:val="19"/>
          <w:szCs w:val="19"/>
        </w:rPr>
        <w:t>分层分析的步骤：</w:t>
      </w:r>
    </w:p>
    <w:p w14:paraId="106B1EF9">
      <w:pPr>
        <w:spacing w:before="154" w:line="219" w:lineRule="auto"/>
        <w:ind w:left="1150"/>
        <w:rPr>
          <w:rFonts w:ascii="宋体" w:hAnsi="宋体" w:eastAsia="宋体" w:cs="宋体"/>
          <w:sz w:val="19"/>
          <w:szCs w:val="19"/>
        </w:rPr>
      </w:pPr>
      <w:r>
        <w:drawing>
          <wp:anchor distT="0" distB="0" distL="0" distR="0" simplePos="0" relativeHeight="251747328" behindDoc="1" locked="0" layoutInCell="1" allowOverlap="1">
            <wp:simplePos x="0" y="0"/>
            <wp:positionH relativeFrom="column">
              <wp:posOffset>1974215</wp:posOffset>
            </wp:positionH>
            <wp:positionV relativeFrom="paragraph">
              <wp:posOffset>302260</wp:posOffset>
            </wp:positionV>
            <wp:extent cx="1136650" cy="304800"/>
            <wp:effectExtent l="0" t="0" r="0" b="0"/>
            <wp:wrapNone/>
            <wp:docPr id="308" name="IM 308"/>
            <wp:cNvGraphicFramePr/>
            <a:graphic xmlns:a="http://schemas.openxmlformats.org/drawingml/2006/main">
              <a:graphicData uri="http://schemas.openxmlformats.org/drawingml/2006/picture">
                <pic:pic xmlns:pic="http://schemas.openxmlformats.org/drawingml/2006/picture">
                  <pic:nvPicPr>
                    <pic:cNvPr id="308" name="IM 308"/>
                    <pic:cNvPicPr/>
                  </pic:nvPicPr>
                  <pic:blipFill>
                    <a:blip r:embed="rId526"/>
                    <a:stretch>
                      <a:fillRect/>
                    </a:stretch>
                  </pic:blipFill>
                  <pic:spPr>
                    <a:xfrm>
                      <a:off x="0" y="0"/>
                      <a:ext cx="1136648" cy="304827"/>
                    </a:xfrm>
                    <a:prstGeom prst="rect">
                      <a:avLst/>
                    </a:prstGeom>
                  </pic:spPr>
                </pic:pic>
              </a:graphicData>
            </a:graphic>
          </wp:anchor>
        </w:drawing>
      </w:r>
      <w:r>
        <w:rPr>
          <w:rFonts w:ascii="宋体" w:hAnsi="宋体" w:eastAsia="宋体" w:cs="宋体"/>
          <w:spacing w:val="14"/>
          <w:sz w:val="19"/>
          <w:szCs w:val="19"/>
        </w:rPr>
        <w:t>(1)计算各层资料的</w:t>
      </w:r>
      <w:r>
        <w:rPr>
          <w:rFonts w:ascii="宋体" w:hAnsi="宋体" w:eastAsia="宋体" w:cs="宋体"/>
          <w:sz w:val="19"/>
          <w:szCs w:val="19"/>
        </w:rPr>
        <w:t>OR</w:t>
      </w:r>
      <w:r>
        <w:rPr>
          <w:rFonts w:ascii="宋体" w:hAnsi="宋体" w:eastAsia="宋体" w:cs="宋体"/>
          <w:spacing w:val="51"/>
          <w:sz w:val="19"/>
          <w:szCs w:val="19"/>
        </w:rPr>
        <w:t xml:space="preserve"> </w:t>
      </w:r>
      <w:r>
        <w:rPr>
          <w:rFonts w:ascii="宋体" w:hAnsi="宋体" w:eastAsia="宋体" w:cs="宋体"/>
          <w:spacing w:val="14"/>
          <w:sz w:val="19"/>
          <w:szCs w:val="19"/>
        </w:rPr>
        <w:t>值：利用式(5-8)计算各层的比值比</w:t>
      </w:r>
      <w:r>
        <w:rPr>
          <w:rFonts w:ascii="宋体" w:hAnsi="宋体" w:eastAsia="宋体" w:cs="宋体"/>
          <w:sz w:val="19"/>
          <w:szCs w:val="19"/>
        </w:rPr>
        <w:t>OR</w:t>
      </w:r>
      <w:r>
        <w:rPr>
          <w:rFonts w:ascii="宋体" w:hAnsi="宋体" w:eastAsia="宋体" w:cs="宋体"/>
          <w:spacing w:val="14"/>
          <w:sz w:val="19"/>
          <w:szCs w:val="19"/>
        </w:rPr>
        <w:t>:</w:t>
      </w:r>
    </w:p>
    <w:p w14:paraId="23EA6A27">
      <w:pPr>
        <w:spacing w:before="264" w:line="184" w:lineRule="auto"/>
        <w:ind w:left="1150"/>
        <w:rPr>
          <w:rFonts w:ascii="宋体" w:hAnsi="宋体" w:eastAsia="宋体" w:cs="宋体"/>
          <w:sz w:val="19"/>
          <w:szCs w:val="19"/>
        </w:rPr>
      </w:pPr>
      <w:r>
        <w:rPr>
          <w:rFonts w:ascii="宋体" w:hAnsi="宋体" w:eastAsia="宋体" w:cs="宋体"/>
          <w:spacing w:val="9"/>
          <w:sz w:val="19"/>
          <w:szCs w:val="19"/>
        </w:rPr>
        <w:t>不考虑年龄的影响时，</w:t>
      </w:r>
    </w:p>
    <w:p w14:paraId="31187187">
      <w:pPr>
        <w:spacing w:line="184" w:lineRule="auto"/>
        <w:rPr>
          <w:rFonts w:ascii="宋体" w:hAnsi="宋体" w:eastAsia="宋体" w:cs="宋体"/>
          <w:sz w:val="19"/>
          <w:szCs w:val="19"/>
        </w:rPr>
        <w:sectPr>
          <w:type w:val="continuous"/>
          <w:pgSz w:w="11900" w:h="16820"/>
          <w:pgMar w:top="400" w:right="1589" w:bottom="812" w:left="850" w:header="0" w:footer="641" w:gutter="0"/>
          <w:cols w:equalWidth="0" w:num="1">
            <w:col w:w="9461"/>
          </w:cols>
        </w:sectPr>
      </w:pPr>
    </w:p>
    <w:p w14:paraId="77E2BA9C">
      <w:pPr>
        <w:pStyle w:val="2"/>
        <w:spacing w:before="267" w:line="222" w:lineRule="auto"/>
        <w:ind w:left="7400"/>
        <w:rPr>
          <w:sz w:val="21"/>
          <w:szCs w:val="21"/>
        </w:rPr>
      </w:pPr>
      <w:bookmarkStart w:id="146" w:name="bookmark449"/>
      <w:bookmarkEnd w:id="146"/>
      <w:r>
        <w:rPr>
          <w:spacing w:val="-22"/>
          <w:w w:val="99"/>
          <w:sz w:val="21"/>
          <w:szCs w:val="21"/>
        </w:rPr>
        <w:t>第五章 病例对照研究</w:t>
      </w:r>
    </w:p>
    <w:p w14:paraId="57D2F658">
      <w:pPr>
        <w:spacing w:line="477" w:lineRule="auto"/>
        <w:rPr>
          <w:rFonts w:ascii="Arial"/>
          <w:sz w:val="21"/>
        </w:rPr>
      </w:pPr>
    </w:p>
    <w:p w14:paraId="405C55E9">
      <w:pPr>
        <w:spacing w:before="69" w:line="219" w:lineRule="auto"/>
        <w:ind w:left="430"/>
        <w:rPr>
          <w:rFonts w:ascii="宋体" w:hAnsi="宋体" w:eastAsia="宋体" w:cs="宋体"/>
          <w:sz w:val="21"/>
          <w:szCs w:val="21"/>
        </w:rPr>
      </w:pPr>
      <w:r>
        <w:rPr>
          <w:rFonts w:ascii="宋体" w:hAnsi="宋体" w:eastAsia="宋体" w:cs="宋体"/>
          <w:spacing w:val="3"/>
          <w:sz w:val="21"/>
          <w:szCs w:val="21"/>
        </w:rPr>
        <w:t>按年龄分层后，</w:t>
      </w:r>
    </w:p>
    <w:p w14:paraId="69BAD6B3">
      <w:pPr>
        <w:spacing w:line="280" w:lineRule="auto"/>
        <w:rPr>
          <w:rFonts w:ascii="Arial"/>
          <w:sz w:val="21"/>
        </w:rPr>
      </w:pPr>
    </w:p>
    <w:p w14:paraId="76215716">
      <w:pPr>
        <w:spacing w:line="490" w:lineRule="exact"/>
        <w:ind w:firstLine="3360"/>
      </w:pPr>
      <w:r>
        <w:rPr>
          <w:position w:val="-9"/>
        </w:rPr>
        <w:drawing>
          <wp:inline distT="0" distB="0" distL="0" distR="0">
            <wp:extent cx="1586865" cy="310515"/>
            <wp:effectExtent l="0" t="0" r="0" b="0"/>
            <wp:docPr id="310" name="IM 310"/>
            <wp:cNvGraphicFramePr/>
            <a:graphic xmlns:a="http://schemas.openxmlformats.org/drawingml/2006/main">
              <a:graphicData uri="http://schemas.openxmlformats.org/drawingml/2006/picture">
                <pic:pic xmlns:pic="http://schemas.openxmlformats.org/drawingml/2006/picture">
                  <pic:nvPicPr>
                    <pic:cNvPr id="310" name="IM 310"/>
                    <pic:cNvPicPr/>
                  </pic:nvPicPr>
                  <pic:blipFill>
                    <a:blip r:embed="rId527"/>
                    <a:stretch>
                      <a:fillRect/>
                    </a:stretch>
                  </pic:blipFill>
                  <pic:spPr>
                    <a:xfrm>
                      <a:off x="0" y="0"/>
                      <a:ext cx="1587469" cy="311129"/>
                    </a:xfrm>
                    <a:prstGeom prst="rect">
                      <a:avLst/>
                    </a:prstGeom>
                  </pic:spPr>
                </pic:pic>
              </a:graphicData>
            </a:graphic>
          </wp:inline>
        </w:drawing>
      </w:r>
    </w:p>
    <w:p w14:paraId="26125603">
      <w:pPr>
        <w:spacing w:before="159" w:line="481" w:lineRule="exact"/>
        <w:ind w:firstLine="3360"/>
      </w:pPr>
      <w:r>
        <w:rPr>
          <w:position w:val="-9"/>
        </w:rPr>
        <w:drawing>
          <wp:inline distT="0" distB="0" distL="0" distR="0">
            <wp:extent cx="1586865" cy="304800"/>
            <wp:effectExtent l="0" t="0" r="0" b="0"/>
            <wp:docPr id="312" name="IM 312"/>
            <wp:cNvGraphicFramePr/>
            <a:graphic xmlns:a="http://schemas.openxmlformats.org/drawingml/2006/main">
              <a:graphicData uri="http://schemas.openxmlformats.org/drawingml/2006/picture">
                <pic:pic xmlns:pic="http://schemas.openxmlformats.org/drawingml/2006/picture">
                  <pic:nvPicPr>
                    <pic:cNvPr id="312" name="IM 312"/>
                    <pic:cNvPicPr/>
                  </pic:nvPicPr>
                  <pic:blipFill>
                    <a:blip r:embed="rId528"/>
                    <a:stretch>
                      <a:fillRect/>
                    </a:stretch>
                  </pic:blipFill>
                  <pic:spPr>
                    <a:xfrm>
                      <a:off x="0" y="0"/>
                      <a:ext cx="1587469" cy="304827"/>
                    </a:xfrm>
                    <a:prstGeom prst="rect">
                      <a:avLst/>
                    </a:prstGeom>
                  </pic:spPr>
                </pic:pic>
              </a:graphicData>
            </a:graphic>
          </wp:inline>
        </w:drawing>
      </w:r>
    </w:p>
    <w:p w14:paraId="7A2DADE0">
      <w:pPr>
        <w:spacing w:before="264" w:line="311" w:lineRule="auto"/>
        <w:ind w:left="9" w:right="674" w:firstLine="430"/>
        <w:rPr>
          <w:rFonts w:ascii="宋体" w:hAnsi="宋体" w:eastAsia="宋体" w:cs="宋体"/>
          <w:sz w:val="21"/>
          <w:szCs w:val="21"/>
        </w:rPr>
      </w:pPr>
      <w:r>
        <w:rPr>
          <w:rFonts w:ascii="宋体" w:hAnsi="宋体" w:eastAsia="宋体" w:cs="宋体"/>
          <w:spacing w:val="1"/>
          <w:sz w:val="21"/>
          <w:szCs w:val="21"/>
        </w:rPr>
        <w:t>可见，两层的</w:t>
      </w:r>
      <w:r>
        <w:rPr>
          <w:rFonts w:ascii="Times New Roman" w:hAnsi="Times New Roman" w:eastAsia="Times New Roman" w:cs="Times New Roman"/>
          <w:sz w:val="21"/>
          <w:szCs w:val="21"/>
        </w:rPr>
        <w:t>OR</w:t>
      </w:r>
      <w:r>
        <w:rPr>
          <w:rFonts w:ascii="Times New Roman" w:hAnsi="Times New Roman" w:eastAsia="Times New Roman" w:cs="Times New Roman"/>
          <w:spacing w:val="1"/>
          <w:sz w:val="21"/>
          <w:szCs w:val="21"/>
        </w:rPr>
        <w:t>,</w:t>
      </w:r>
      <w:r>
        <w:rPr>
          <w:rFonts w:ascii="Times New Roman" w:hAnsi="Times New Roman" w:eastAsia="Times New Roman" w:cs="Times New Roman"/>
          <w:spacing w:val="-19"/>
          <w:sz w:val="21"/>
          <w:szCs w:val="21"/>
        </w:rPr>
        <w:t xml:space="preserve"> </w:t>
      </w:r>
      <w:r>
        <w:rPr>
          <w:rFonts w:ascii="宋体" w:hAnsi="宋体" w:eastAsia="宋体" w:cs="宋体"/>
          <w:spacing w:val="1"/>
          <w:sz w:val="21"/>
          <w:szCs w:val="21"/>
        </w:rPr>
        <w:t>均比不分层时的</w:t>
      </w:r>
      <w:r>
        <w:rPr>
          <w:rFonts w:ascii="Times New Roman" w:hAnsi="Times New Roman" w:eastAsia="Times New Roman" w:cs="Times New Roman"/>
          <w:sz w:val="21"/>
          <w:szCs w:val="21"/>
        </w:rPr>
        <w:t>OR</w:t>
      </w:r>
      <w:r>
        <w:rPr>
          <w:rFonts w:ascii="Times New Roman" w:hAnsi="Times New Roman" w:eastAsia="Times New Roman" w:cs="Times New Roman"/>
          <w:spacing w:val="-19"/>
          <w:sz w:val="21"/>
          <w:szCs w:val="21"/>
        </w:rPr>
        <w:t xml:space="preserve"> </w:t>
      </w:r>
      <w:r>
        <w:rPr>
          <w:rFonts w:ascii="宋体" w:hAnsi="宋体" w:eastAsia="宋体" w:cs="宋体"/>
          <w:spacing w:val="1"/>
          <w:sz w:val="21"/>
          <w:szCs w:val="21"/>
        </w:rPr>
        <w:t>大，说明年龄起了一定的混杂作</w:t>
      </w:r>
      <w:r>
        <w:rPr>
          <w:rFonts w:ascii="宋体" w:hAnsi="宋体" w:eastAsia="宋体" w:cs="宋体"/>
          <w:sz w:val="21"/>
          <w:szCs w:val="21"/>
        </w:rPr>
        <w:t xml:space="preserve">用。按年龄分层后，两层 </w:t>
      </w:r>
      <w:r>
        <w:rPr>
          <w:rFonts w:ascii="Times New Roman" w:hAnsi="Times New Roman" w:eastAsia="Times New Roman" w:cs="Times New Roman"/>
          <w:sz w:val="21"/>
          <w:szCs w:val="21"/>
        </w:rPr>
        <w:t>OR</w:t>
      </w:r>
      <w:r>
        <w:rPr>
          <w:rFonts w:ascii="Times New Roman" w:hAnsi="Times New Roman" w:eastAsia="Times New Roman" w:cs="Times New Roman"/>
          <w:spacing w:val="7"/>
          <w:sz w:val="21"/>
          <w:szCs w:val="21"/>
        </w:rPr>
        <w:t>,</w:t>
      </w:r>
      <w:r>
        <w:rPr>
          <w:rFonts w:ascii="宋体" w:hAnsi="宋体" w:eastAsia="宋体" w:cs="宋体"/>
          <w:spacing w:val="7"/>
          <w:sz w:val="21"/>
          <w:szCs w:val="21"/>
        </w:rPr>
        <w:t>的齐性检验常用</w:t>
      </w:r>
      <w:r>
        <w:rPr>
          <w:rFonts w:ascii="Times New Roman" w:hAnsi="Times New Roman" w:eastAsia="Times New Roman" w:cs="Times New Roman"/>
          <w:sz w:val="21"/>
          <w:szCs w:val="21"/>
        </w:rPr>
        <w:t>Woolf</w:t>
      </w:r>
      <w:r>
        <w:rPr>
          <w:rFonts w:ascii="宋体" w:hAnsi="宋体" w:eastAsia="宋体" w:cs="宋体"/>
          <w:spacing w:val="7"/>
          <w:sz w:val="21"/>
          <w:szCs w:val="21"/>
        </w:rPr>
        <w:t>齐性检验法，具体计算方法请参照有关书籍。本例齐性检验结果显示两</w:t>
      </w:r>
    </w:p>
    <w:p w14:paraId="60CCA167">
      <w:pPr>
        <w:spacing w:line="311" w:lineRule="auto"/>
        <w:rPr>
          <w:rFonts w:ascii="宋体" w:hAnsi="宋体" w:eastAsia="宋体" w:cs="宋体"/>
          <w:sz w:val="21"/>
          <w:szCs w:val="21"/>
        </w:rPr>
        <w:sectPr>
          <w:footerReference r:id="rId107" w:type="default"/>
          <w:pgSz w:w="11900" w:h="16820"/>
          <w:pgMar w:top="400" w:right="753" w:bottom="920" w:left="1319" w:header="0" w:footer="648" w:gutter="0"/>
          <w:cols w:equalWidth="0" w:num="1">
            <w:col w:w="9827"/>
          </w:cols>
        </w:sectPr>
      </w:pPr>
    </w:p>
    <w:p w14:paraId="00983168">
      <w:pPr>
        <w:spacing w:before="42" w:line="336" w:lineRule="auto"/>
        <w:ind w:left="19" w:hanging="10"/>
        <w:rPr>
          <w:rFonts w:ascii="宋体" w:hAnsi="宋体" w:eastAsia="宋体" w:cs="宋体"/>
          <w:sz w:val="21"/>
          <w:szCs w:val="21"/>
        </w:rPr>
      </w:pPr>
      <w:r>
        <w:rPr>
          <w:rFonts w:ascii="宋体" w:hAnsi="宋体" w:eastAsia="宋体" w:cs="宋体"/>
          <w:spacing w:val="1"/>
          <w:sz w:val="21"/>
          <w:szCs w:val="21"/>
        </w:rPr>
        <w:t>层</w:t>
      </w:r>
      <w:r>
        <w:rPr>
          <w:rFonts w:ascii="宋体" w:hAnsi="宋体" w:eastAsia="宋体" w:cs="宋体"/>
          <w:spacing w:val="-57"/>
          <w:sz w:val="21"/>
          <w:szCs w:val="21"/>
        </w:rPr>
        <w:t xml:space="preserve"> </w:t>
      </w:r>
      <w:r>
        <w:rPr>
          <w:rFonts w:ascii="Times New Roman" w:hAnsi="Times New Roman" w:eastAsia="Times New Roman" w:cs="Times New Roman"/>
          <w:sz w:val="21"/>
          <w:szCs w:val="21"/>
        </w:rPr>
        <w:t>OR</w:t>
      </w:r>
      <w:r>
        <w:rPr>
          <w:rFonts w:ascii="宋体" w:hAnsi="宋体" w:eastAsia="宋体" w:cs="宋体"/>
          <w:spacing w:val="1"/>
          <w:sz w:val="21"/>
          <w:szCs w:val="21"/>
        </w:rPr>
        <w:t>的差异无统计学意义，说明两层资料是同质的，可计算</w:t>
      </w:r>
      <w:r>
        <w:rPr>
          <w:rFonts w:ascii="宋体" w:hAnsi="宋体" w:eastAsia="宋体" w:cs="宋体"/>
          <w:sz w:val="21"/>
          <w:szCs w:val="21"/>
        </w:rPr>
        <w:t>总</w:t>
      </w:r>
      <w:r>
        <w:rPr>
          <w:rFonts w:ascii="Times New Roman" w:hAnsi="Times New Roman" w:eastAsia="Times New Roman" w:cs="Times New Roman"/>
          <w:sz w:val="21"/>
          <w:szCs w:val="21"/>
        </w:rPr>
        <w:t>x²</w:t>
      </w:r>
      <w:r>
        <w:rPr>
          <w:rFonts w:ascii="Times New Roman" w:hAnsi="Times New Roman" w:eastAsia="Times New Roman" w:cs="Times New Roman"/>
          <w:spacing w:val="52"/>
          <w:w w:val="101"/>
          <w:sz w:val="21"/>
          <w:szCs w:val="21"/>
        </w:rPr>
        <w:t xml:space="preserve"> </w:t>
      </w:r>
      <w:r>
        <w:rPr>
          <w:rFonts w:ascii="宋体" w:hAnsi="宋体" w:eastAsia="宋体" w:cs="宋体"/>
          <w:sz w:val="21"/>
          <w:szCs w:val="21"/>
        </w:rPr>
        <w:t>和总</w:t>
      </w:r>
      <w:r>
        <w:rPr>
          <w:rFonts w:ascii="Times New Roman" w:hAnsi="Times New Roman" w:eastAsia="Times New Roman" w:cs="Times New Roman"/>
          <w:sz w:val="21"/>
          <w:szCs w:val="21"/>
        </w:rPr>
        <w:t>OR,</w:t>
      </w:r>
      <w:r>
        <w:rPr>
          <w:rFonts w:ascii="Times New Roman" w:hAnsi="Times New Roman" w:eastAsia="Times New Roman" w:cs="Times New Roman"/>
          <w:spacing w:val="21"/>
          <w:sz w:val="21"/>
          <w:szCs w:val="21"/>
        </w:rPr>
        <w:t xml:space="preserve"> </w:t>
      </w:r>
      <w:r>
        <w:rPr>
          <w:rFonts w:ascii="宋体" w:hAnsi="宋体" w:eastAsia="宋体" w:cs="宋体"/>
          <w:sz w:val="21"/>
          <w:szCs w:val="21"/>
        </w:rPr>
        <w:t xml:space="preserve">常 </w:t>
      </w:r>
      <w:r>
        <w:rPr>
          <w:rFonts w:ascii="宋体" w:hAnsi="宋体" w:eastAsia="宋体" w:cs="宋体"/>
          <w:spacing w:val="2"/>
          <w:sz w:val="21"/>
          <w:szCs w:val="21"/>
        </w:rPr>
        <w:t>出的计算公式，分别以</w:t>
      </w:r>
      <w:r>
        <w:rPr>
          <w:rFonts w:ascii="Times New Roman" w:hAnsi="Times New Roman" w:eastAsia="Times New Roman" w:cs="Times New Roman"/>
          <w:spacing w:val="2"/>
          <w:sz w:val="21"/>
          <w:szCs w:val="21"/>
        </w:rPr>
        <w:t>x²H</w:t>
      </w:r>
      <w:r>
        <w:rPr>
          <w:rFonts w:ascii="Times New Roman" w:hAnsi="Times New Roman" w:eastAsia="Times New Roman" w:cs="Times New Roman"/>
          <w:spacing w:val="48"/>
          <w:sz w:val="21"/>
          <w:szCs w:val="21"/>
        </w:rPr>
        <w:t xml:space="preserve"> </w:t>
      </w:r>
      <w:r>
        <w:rPr>
          <w:rFonts w:ascii="宋体" w:hAnsi="宋体" w:eastAsia="宋体" w:cs="宋体"/>
          <w:spacing w:val="2"/>
          <w:sz w:val="21"/>
          <w:szCs w:val="21"/>
        </w:rPr>
        <w:t>和</w:t>
      </w:r>
      <w:r>
        <w:rPr>
          <w:rFonts w:ascii="Times New Roman" w:hAnsi="Times New Roman" w:eastAsia="Times New Roman" w:cs="Times New Roman"/>
          <w:sz w:val="21"/>
          <w:szCs w:val="21"/>
        </w:rPr>
        <w:t>OR</w:t>
      </w:r>
      <w:r>
        <w:rPr>
          <w:rFonts w:ascii="Times New Roman" w:hAnsi="Times New Roman" w:eastAsia="Times New Roman" w:cs="Times New Roman"/>
          <w:spacing w:val="2"/>
          <w:sz w:val="21"/>
          <w:szCs w:val="21"/>
        </w:rPr>
        <w:t xml:space="preserve">    </w:t>
      </w:r>
      <w:r>
        <w:rPr>
          <w:rFonts w:ascii="宋体" w:hAnsi="宋体" w:eastAsia="宋体" w:cs="宋体"/>
          <w:spacing w:val="2"/>
          <w:sz w:val="21"/>
          <w:szCs w:val="21"/>
        </w:rPr>
        <w:t>表示。</w:t>
      </w:r>
    </w:p>
    <w:p w14:paraId="4A074F8B">
      <w:pPr>
        <w:spacing w:line="219" w:lineRule="auto"/>
        <w:ind w:left="420"/>
        <w:rPr>
          <w:rFonts w:ascii="宋体" w:hAnsi="宋体" w:eastAsia="宋体" w:cs="宋体"/>
          <w:sz w:val="21"/>
          <w:szCs w:val="21"/>
        </w:rPr>
      </w:pPr>
      <w:r>
        <w:rPr>
          <w:rFonts w:ascii="宋体" w:hAnsi="宋体" w:eastAsia="宋体" w:cs="宋体"/>
          <w:spacing w:val="-2"/>
          <w:sz w:val="21"/>
          <w:szCs w:val="21"/>
        </w:rPr>
        <w:t>(</w:t>
      </w:r>
      <w:r>
        <w:rPr>
          <w:rFonts w:ascii="宋体" w:hAnsi="宋体" w:eastAsia="宋体" w:cs="宋体"/>
          <w:spacing w:val="-29"/>
          <w:sz w:val="21"/>
          <w:szCs w:val="21"/>
        </w:rPr>
        <w:t xml:space="preserve"> </w:t>
      </w:r>
      <w:r>
        <w:rPr>
          <w:rFonts w:ascii="宋体" w:hAnsi="宋体" w:eastAsia="宋体" w:cs="宋体"/>
          <w:spacing w:val="-2"/>
          <w:sz w:val="21"/>
          <w:szCs w:val="21"/>
        </w:rPr>
        <w:t>2</w:t>
      </w:r>
      <w:r>
        <w:rPr>
          <w:rFonts w:ascii="宋体" w:hAnsi="宋体" w:eastAsia="宋体" w:cs="宋体"/>
          <w:spacing w:val="-46"/>
          <w:sz w:val="21"/>
          <w:szCs w:val="21"/>
        </w:rPr>
        <w:t xml:space="preserve"> </w:t>
      </w:r>
      <w:r>
        <w:rPr>
          <w:rFonts w:ascii="宋体" w:hAnsi="宋体" w:eastAsia="宋体" w:cs="宋体"/>
          <w:spacing w:val="-2"/>
          <w:sz w:val="21"/>
          <w:szCs w:val="21"/>
        </w:rPr>
        <w:t>)</w:t>
      </w:r>
      <w:r>
        <w:rPr>
          <w:rFonts w:ascii="宋体" w:hAnsi="宋体" w:eastAsia="宋体" w:cs="宋体"/>
          <w:spacing w:val="-47"/>
          <w:sz w:val="21"/>
          <w:szCs w:val="21"/>
        </w:rPr>
        <w:t xml:space="preserve"> </w:t>
      </w:r>
      <w:r>
        <w:rPr>
          <w:rFonts w:ascii="宋体" w:hAnsi="宋体" w:eastAsia="宋体" w:cs="宋体"/>
          <w:spacing w:val="-2"/>
          <w:sz w:val="21"/>
          <w:szCs w:val="21"/>
        </w:rPr>
        <w:t>计</w:t>
      </w:r>
      <w:r>
        <w:rPr>
          <w:rFonts w:ascii="宋体" w:hAnsi="宋体" w:eastAsia="宋体" w:cs="宋体"/>
          <w:spacing w:val="-45"/>
          <w:sz w:val="21"/>
          <w:szCs w:val="21"/>
        </w:rPr>
        <w:t xml:space="preserve"> </w:t>
      </w:r>
      <w:r>
        <w:rPr>
          <w:rFonts w:ascii="宋体" w:hAnsi="宋体" w:eastAsia="宋体" w:cs="宋体"/>
          <w:spacing w:val="-2"/>
          <w:sz w:val="21"/>
          <w:szCs w:val="21"/>
        </w:rPr>
        <w:t>算xM:</w:t>
      </w:r>
      <w:r>
        <w:rPr>
          <w:rFonts w:ascii="宋体" w:hAnsi="宋体" w:eastAsia="宋体" w:cs="宋体"/>
          <w:spacing w:val="48"/>
          <w:sz w:val="21"/>
          <w:szCs w:val="21"/>
        </w:rPr>
        <w:t xml:space="preserve"> </w:t>
      </w:r>
      <w:r>
        <w:rPr>
          <w:rFonts w:ascii="宋体" w:hAnsi="宋体" w:eastAsia="宋体" w:cs="宋体"/>
          <w:spacing w:val="-2"/>
          <w:sz w:val="21"/>
          <w:szCs w:val="21"/>
        </w:rPr>
        <w:t>用以下公式计算XMH。</w:t>
      </w:r>
    </w:p>
    <w:p w14:paraId="76F6915A">
      <w:pPr>
        <w:rPr>
          <w:rFonts w:ascii="Arial"/>
          <w:sz w:val="21"/>
        </w:rPr>
      </w:pPr>
    </w:p>
    <w:p w14:paraId="5B583212">
      <w:pPr>
        <w:spacing w:line="1160" w:lineRule="exact"/>
        <w:ind w:firstLine="3330"/>
      </w:pPr>
      <w:r>
        <w:rPr>
          <w:position w:val="-23"/>
        </w:rPr>
        <w:drawing>
          <wp:inline distT="0" distB="0" distL="0" distR="0">
            <wp:extent cx="1644015" cy="735965"/>
            <wp:effectExtent l="0" t="0" r="0" b="0"/>
            <wp:docPr id="314" name="IM 314"/>
            <wp:cNvGraphicFramePr/>
            <a:graphic xmlns:a="http://schemas.openxmlformats.org/drawingml/2006/main">
              <a:graphicData uri="http://schemas.openxmlformats.org/drawingml/2006/picture">
                <pic:pic xmlns:pic="http://schemas.openxmlformats.org/drawingml/2006/picture">
                  <pic:nvPicPr>
                    <pic:cNvPr id="314" name="IM 314"/>
                    <pic:cNvPicPr/>
                  </pic:nvPicPr>
                  <pic:blipFill>
                    <a:blip r:embed="rId529"/>
                    <a:stretch>
                      <a:fillRect/>
                    </a:stretch>
                  </pic:blipFill>
                  <pic:spPr>
                    <a:xfrm>
                      <a:off x="0" y="0"/>
                      <a:ext cx="1644596" cy="736541"/>
                    </a:xfrm>
                    <a:prstGeom prst="rect">
                      <a:avLst/>
                    </a:prstGeom>
                  </pic:spPr>
                </pic:pic>
              </a:graphicData>
            </a:graphic>
          </wp:inline>
        </w:drawing>
      </w:r>
    </w:p>
    <w:p w14:paraId="58D2A70A">
      <w:pPr>
        <w:spacing w:before="215" w:line="212" w:lineRule="auto"/>
        <w:rPr>
          <w:rFonts w:ascii="宋体" w:hAnsi="宋体" w:eastAsia="宋体" w:cs="宋体"/>
          <w:sz w:val="21"/>
          <w:szCs w:val="21"/>
        </w:rPr>
      </w:pPr>
      <w:r>
        <w:rPr>
          <w:rFonts w:ascii="宋体" w:hAnsi="宋体" w:eastAsia="宋体" w:cs="宋体"/>
          <w:spacing w:val="-2"/>
          <w:sz w:val="21"/>
          <w:szCs w:val="21"/>
        </w:rPr>
        <w:t>式中，</w:t>
      </w:r>
      <w:r>
        <w:rPr>
          <w:rFonts w:ascii="Times New Roman" w:hAnsi="Times New Roman" w:eastAsia="Times New Roman" w:cs="Times New Roman"/>
          <w:spacing w:val="-2"/>
          <w:sz w:val="21"/>
          <w:szCs w:val="21"/>
        </w:rPr>
        <w:t xml:space="preserve">E(a;)   </w:t>
      </w:r>
      <w:r>
        <w:rPr>
          <w:rFonts w:ascii="宋体" w:hAnsi="宋体" w:eastAsia="宋体" w:cs="宋体"/>
          <w:spacing w:val="-2"/>
          <w:sz w:val="21"/>
          <w:szCs w:val="21"/>
        </w:rPr>
        <w:t>为</w:t>
      </w:r>
      <w:r>
        <w:rPr>
          <w:rFonts w:ascii="Times New Roman" w:hAnsi="Times New Roman" w:eastAsia="Times New Roman" w:cs="Times New Roman"/>
          <w:spacing w:val="-2"/>
          <w:sz w:val="21"/>
          <w:szCs w:val="21"/>
        </w:rPr>
        <w:t xml:space="preserve">a  </w:t>
      </w:r>
      <w:r>
        <w:rPr>
          <w:rFonts w:ascii="宋体" w:hAnsi="宋体" w:eastAsia="宋体" w:cs="宋体"/>
          <w:spacing w:val="-2"/>
          <w:sz w:val="21"/>
          <w:szCs w:val="21"/>
        </w:rPr>
        <w:t>的期望值；</w:t>
      </w:r>
      <w:r>
        <w:rPr>
          <w:rFonts w:ascii="Times New Roman" w:hAnsi="Times New Roman" w:eastAsia="Times New Roman" w:cs="Times New Roman"/>
          <w:spacing w:val="-2"/>
          <w:sz w:val="21"/>
          <w:szCs w:val="21"/>
        </w:rPr>
        <w:t xml:space="preserve">Var(a;)  </w:t>
      </w:r>
      <w:r>
        <w:rPr>
          <w:rFonts w:ascii="宋体" w:hAnsi="宋体" w:eastAsia="宋体" w:cs="宋体"/>
          <w:spacing w:val="-2"/>
          <w:sz w:val="21"/>
          <w:szCs w:val="21"/>
        </w:rPr>
        <w:t>为</w:t>
      </w:r>
      <w:r>
        <w:rPr>
          <w:rFonts w:ascii="Times New Roman" w:hAnsi="Times New Roman" w:eastAsia="Times New Roman" w:cs="Times New Roman"/>
          <w:spacing w:val="-2"/>
          <w:sz w:val="21"/>
          <w:szCs w:val="21"/>
        </w:rPr>
        <w:t xml:space="preserve">a; </w:t>
      </w:r>
      <w:r>
        <w:rPr>
          <w:rFonts w:ascii="宋体" w:hAnsi="宋体" w:eastAsia="宋体" w:cs="宋体"/>
          <w:spacing w:val="-2"/>
          <w:sz w:val="21"/>
          <w:szCs w:val="21"/>
        </w:rPr>
        <w:t>的方差。</w:t>
      </w:r>
    </w:p>
    <w:p w14:paraId="125F7052">
      <w:pPr>
        <w:spacing w:line="242" w:lineRule="auto"/>
        <w:rPr>
          <w:rFonts w:ascii="Arial"/>
          <w:sz w:val="21"/>
        </w:rPr>
      </w:pPr>
    </w:p>
    <w:p w14:paraId="007276B7">
      <w:pPr>
        <w:spacing w:line="560" w:lineRule="exact"/>
        <w:ind w:firstLine="3740"/>
      </w:pPr>
      <w:r>
        <w:rPr>
          <w:position w:val="-11"/>
        </w:rPr>
        <w:drawing>
          <wp:inline distT="0" distB="0" distL="0" distR="0">
            <wp:extent cx="1148715" cy="354965"/>
            <wp:effectExtent l="0" t="0" r="0" b="0"/>
            <wp:docPr id="316" name="IM 316"/>
            <wp:cNvGraphicFramePr/>
            <a:graphic xmlns:a="http://schemas.openxmlformats.org/drawingml/2006/main">
              <a:graphicData uri="http://schemas.openxmlformats.org/drawingml/2006/picture">
                <pic:pic xmlns:pic="http://schemas.openxmlformats.org/drawingml/2006/picture">
                  <pic:nvPicPr>
                    <pic:cNvPr id="316" name="IM 316"/>
                    <pic:cNvPicPr/>
                  </pic:nvPicPr>
                  <pic:blipFill>
                    <a:blip r:embed="rId530"/>
                    <a:stretch>
                      <a:fillRect/>
                    </a:stretch>
                  </pic:blipFill>
                  <pic:spPr>
                    <a:xfrm>
                      <a:off x="0" y="0"/>
                      <a:ext cx="1149343" cy="355560"/>
                    </a:xfrm>
                    <a:prstGeom prst="rect">
                      <a:avLst/>
                    </a:prstGeom>
                  </pic:spPr>
                </pic:pic>
              </a:graphicData>
            </a:graphic>
          </wp:inline>
        </w:drawing>
      </w:r>
    </w:p>
    <w:p w14:paraId="7267A39B">
      <w:pPr>
        <w:spacing w:before="160" w:line="590" w:lineRule="exact"/>
        <w:ind w:firstLine="3410"/>
      </w:pPr>
      <w:r>
        <w:rPr>
          <w:position w:val="-11"/>
        </w:rPr>
        <w:drawing>
          <wp:inline distT="0" distB="0" distL="0" distR="0">
            <wp:extent cx="1555115" cy="374015"/>
            <wp:effectExtent l="0" t="0" r="0" b="0"/>
            <wp:docPr id="318" name="IM 318"/>
            <wp:cNvGraphicFramePr/>
            <a:graphic xmlns:a="http://schemas.openxmlformats.org/drawingml/2006/main">
              <a:graphicData uri="http://schemas.openxmlformats.org/drawingml/2006/picture">
                <pic:pic xmlns:pic="http://schemas.openxmlformats.org/drawingml/2006/picture">
                  <pic:nvPicPr>
                    <pic:cNvPr id="318" name="IM 318"/>
                    <pic:cNvPicPr/>
                  </pic:nvPicPr>
                  <pic:blipFill>
                    <a:blip r:embed="rId531"/>
                    <a:stretch>
                      <a:fillRect/>
                    </a:stretch>
                  </pic:blipFill>
                  <pic:spPr>
                    <a:xfrm>
                      <a:off x="0" y="0"/>
                      <a:ext cx="1555732" cy="374572"/>
                    </a:xfrm>
                    <a:prstGeom prst="rect">
                      <a:avLst/>
                    </a:prstGeom>
                  </pic:spPr>
                </pic:pic>
              </a:graphicData>
            </a:graphic>
          </wp:inline>
        </w:drawing>
      </w:r>
    </w:p>
    <w:p w14:paraId="761548EC">
      <w:pPr>
        <w:spacing w:before="216" w:line="216" w:lineRule="auto"/>
        <w:ind w:left="450"/>
        <w:rPr>
          <w:rFonts w:ascii="宋体" w:hAnsi="宋体" w:eastAsia="宋体" w:cs="宋体"/>
          <w:sz w:val="21"/>
          <w:szCs w:val="21"/>
        </w:rPr>
      </w:pPr>
      <w:r>
        <w:rPr>
          <w:rFonts w:ascii="宋体" w:hAnsi="宋体" w:eastAsia="宋体" w:cs="宋体"/>
          <w:spacing w:val="7"/>
          <w:sz w:val="21"/>
          <w:szCs w:val="21"/>
        </w:rPr>
        <w:t>如果四格表中某一格子的理论数小于5,则用下列校正公式：</w:t>
      </w:r>
    </w:p>
    <w:p w14:paraId="7AB38276">
      <w:pPr>
        <w:spacing w:line="246" w:lineRule="auto"/>
        <w:rPr>
          <w:rFonts w:ascii="Arial"/>
          <w:sz w:val="21"/>
        </w:rPr>
      </w:pPr>
    </w:p>
    <w:p w14:paraId="34BEE0FA">
      <w:pPr>
        <w:spacing w:before="1" w:line="1150" w:lineRule="exact"/>
        <w:ind w:firstLine="2700"/>
      </w:pPr>
      <w:r>
        <w:rPr>
          <w:position w:val="-23"/>
        </w:rPr>
        <w:drawing>
          <wp:inline distT="0" distB="0" distL="0" distR="0">
            <wp:extent cx="2399665" cy="730250"/>
            <wp:effectExtent l="0" t="0" r="0" b="0"/>
            <wp:docPr id="320" name="IM 320"/>
            <wp:cNvGraphicFramePr/>
            <a:graphic xmlns:a="http://schemas.openxmlformats.org/drawingml/2006/main">
              <a:graphicData uri="http://schemas.openxmlformats.org/drawingml/2006/picture">
                <pic:pic xmlns:pic="http://schemas.openxmlformats.org/drawingml/2006/picture">
                  <pic:nvPicPr>
                    <pic:cNvPr id="320" name="IM 320"/>
                    <pic:cNvPicPr/>
                  </pic:nvPicPr>
                  <pic:blipFill>
                    <a:blip r:embed="rId532"/>
                    <a:stretch>
                      <a:fillRect/>
                    </a:stretch>
                  </pic:blipFill>
                  <pic:spPr>
                    <a:xfrm>
                      <a:off x="0" y="0"/>
                      <a:ext cx="2400246" cy="730346"/>
                    </a:xfrm>
                    <a:prstGeom prst="rect">
                      <a:avLst/>
                    </a:prstGeom>
                  </pic:spPr>
                </pic:pic>
              </a:graphicData>
            </a:graphic>
          </wp:inline>
        </w:drawing>
      </w:r>
    </w:p>
    <w:p w14:paraId="3587E2D6">
      <w:pPr>
        <w:spacing w:line="299" w:lineRule="auto"/>
        <w:rPr>
          <w:rFonts w:ascii="Arial"/>
          <w:sz w:val="21"/>
        </w:rPr>
      </w:pPr>
      <w:r>
        <w:drawing>
          <wp:anchor distT="0" distB="0" distL="0" distR="0" simplePos="0" relativeHeight="251749376" behindDoc="0" locked="0" layoutInCell="1" allowOverlap="1">
            <wp:simplePos x="0" y="0"/>
            <wp:positionH relativeFrom="column">
              <wp:posOffset>1943100</wp:posOffset>
            </wp:positionH>
            <wp:positionV relativeFrom="paragraph">
              <wp:posOffset>126365</wp:posOffset>
            </wp:positionV>
            <wp:extent cx="2032000" cy="355600"/>
            <wp:effectExtent l="0" t="0" r="0" b="0"/>
            <wp:wrapNone/>
            <wp:docPr id="322" name="IM 322"/>
            <wp:cNvGraphicFramePr/>
            <a:graphic xmlns:a="http://schemas.openxmlformats.org/drawingml/2006/main">
              <a:graphicData uri="http://schemas.openxmlformats.org/drawingml/2006/picture">
                <pic:pic xmlns:pic="http://schemas.openxmlformats.org/drawingml/2006/picture">
                  <pic:nvPicPr>
                    <pic:cNvPr id="322" name="IM 322"/>
                    <pic:cNvPicPr/>
                  </pic:nvPicPr>
                  <pic:blipFill>
                    <a:blip r:embed="rId533"/>
                    <a:stretch>
                      <a:fillRect/>
                    </a:stretch>
                  </pic:blipFill>
                  <pic:spPr>
                    <a:xfrm>
                      <a:off x="0" y="0"/>
                      <a:ext cx="2031943" cy="355560"/>
                    </a:xfrm>
                    <a:prstGeom prst="rect">
                      <a:avLst/>
                    </a:prstGeom>
                  </pic:spPr>
                </pic:pic>
              </a:graphicData>
            </a:graphic>
          </wp:anchor>
        </w:drawing>
      </w:r>
    </w:p>
    <w:p w14:paraId="6DEC2811">
      <w:pPr>
        <w:spacing w:before="69" w:line="221" w:lineRule="auto"/>
        <w:ind w:left="430"/>
        <w:rPr>
          <w:rFonts w:ascii="宋体" w:hAnsi="宋体" w:eastAsia="宋体" w:cs="宋体"/>
          <w:sz w:val="21"/>
          <w:szCs w:val="21"/>
        </w:rPr>
      </w:pPr>
      <w:r>
        <w:rPr>
          <w:rFonts w:ascii="宋体" w:hAnsi="宋体" w:eastAsia="宋体" w:cs="宋体"/>
          <w:spacing w:val="12"/>
          <w:sz w:val="21"/>
          <w:szCs w:val="21"/>
        </w:rPr>
        <w:t>表5-8:</w:t>
      </w:r>
    </w:p>
    <w:p w14:paraId="3F9155D5">
      <w:pPr>
        <w:spacing w:line="465" w:lineRule="auto"/>
        <w:rPr>
          <w:rFonts w:ascii="Arial"/>
          <w:sz w:val="21"/>
        </w:rPr>
      </w:pPr>
    </w:p>
    <w:p w14:paraId="23E19E0B">
      <w:pPr>
        <w:spacing w:before="1" w:line="550" w:lineRule="exact"/>
        <w:ind w:firstLine="2150"/>
      </w:pPr>
      <w:r>
        <w:rPr>
          <w:position w:val="-11"/>
        </w:rPr>
        <w:drawing>
          <wp:inline distT="0" distB="0" distL="0" distR="0">
            <wp:extent cx="3136265" cy="349250"/>
            <wp:effectExtent l="0" t="0" r="0" b="0"/>
            <wp:docPr id="324" name="IM 324"/>
            <wp:cNvGraphicFramePr/>
            <a:graphic xmlns:a="http://schemas.openxmlformats.org/drawingml/2006/main">
              <a:graphicData uri="http://schemas.openxmlformats.org/drawingml/2006/picture">
                <pic:pic xmlns:pic="http://schemas.openxmlformats.org/drawingml/2006/picture">
                  <pic:nvPicPr>
                    <pic:cNvPr id="324" name="IM 324"/>
                    <pic:cNvPicPr/>
                  </pic:nvPicPr>
                  <pic:blipFill>
                    <a:blip r:embed="rId534"/>
                    <a:stretch>
                      <a:fillRect/>
                    </a:stretch>
                  </pic:blipFill>
                  <pic:spPr>
                    <a:xfrm>
                      <a:off x="0" y="0"/>
                      <a:ext cx="3136854" cy="349259"/>
                    </a:xfrm>
                    <a:prstGeom prst="rect">
                      <a:avLst/>
                    </a:prstGeom>
                  </pic:spPr>
                </pic:pic>
              </a:graphicData>
            </a:graphic>
          </wp:inline>
        </w:drawing>
      </w:r>
    </w:p>
    <w:p w14:paraId="554C9B6E">
      <w:pPr>
        <w:spacing w:before="180" w:line="520" w:lineRule="exact"/>
        <w:ind w:firstLine="3420"/>
      </w:pPr>
      <w:r>
        <w:rPr>
          <w:position w:val="-10"/>
        </w:rPr>
        <w:drawing>
          <wp:inline distT="0" distB="0" distL="0" distR="0">
            <wp:extent cx="1536065" cy="330200"/>
            <wp:effectExtent l="0" t="0" r="0" b="0"/>
            <wp:docPr id="326" name="IM 326"/>
            <wp:cNvGraphicFramePr/>
            <a:graphic xmlns:a="http://schemas.openxmlformats.org/drawingml/2006/main">
              <a:graphicData uri="http://schemas.openxmlformats.org/drawingml/2006/picture">
                <pic:pic xmlns:pic="http://schemas.openxmlformats.org/drawingml/2006/picture">
                  <pic:nvPicPr>
                    <pic:cNvPr id="326" name="IM 326"/>
                    <pic:cNvPicPr/>
                  </pic:nvPicPr>
                  <pic:blipFill>
                    <a:blip r:embed="rId535"/>
                    <a:stretch>
                      <a:fillRect/>
                    </a:stretch>
                  </pic:blipFill>
                  <pic:spPr>
                    <a:xfrm>
                      <a:off x="0" y="0"/>
                      <a:ext cx="1536689" cy="330247"/>
                    </a:xfrm>
                    <a:prstGeom prst="rect">
                      <a:avLst/>
                    </a:prstGeom>
                  </pic:spPr>
                </pic:pic>
              </a:graphicData>
            </a:graphic>
          </wp:inline>
        </w:drawing>
      </w:r>
    </w:p>
    <w:p w14:paraId="21352ADC">
      <w:pPr>
        <w:spacing w:before="215" w:line="212" w:lineRule="auto"/>
        <w:ind w:left="450"/>
        <w:rPr>
          <w:rFonts w:ascii="宋体" w:hAnsi="宋体" w:eastAsia="宋体" w:cs="宋体"/>
          <w:sz w:val="21"/>
          <w:szCs w:val="21"/>
        </w:rPr>
      </w:pPr>
      <w:r>
        <w:rPr>
          <w:rFonts w:ascii="Times New Roman" w:hAnsi="Times New Roman" w:eastAsia="Times New Roman" w:cs="Times New Roman"/>
          <w:spacing w:val="2"/>
          <w:sz w:val="21"/>
          <w:szCs w:val="21"/>
        </w:rPr>
        <w:t>v=i-1=2-1=1,</w:t>
      </w:r>
      <w:r>
        <w:rPr>
          <w:rFonts w:ascii="Times New Roman" w:hAnsi="Times New Roman" w:eastAsia="Times New Roman" w:cs="Times New Roman"/>
          <w:spacing w:val="11"/>
          <w:sz w:val="21"/>
          <w:szCs w:val="21"/>
        </w:rPr>
        <w:t xml:space="preserve">   </w:t>
      </w:r>
      <w:r>
        <w:rPr>
          <w:rFonts w:ascii="宋体" w:hAnsi="宋体" w:eastAsia="宋体" w:cs="宋体"/>
          <w:spacing w:val="2"/>
          <w:sz w:val="21"/>
          <w:szCs w:val="21"/>
        </w:rPr>
        <w:t>查</w:t>
      </w:r>
      <w:r>
        <w:rPr>
          <w:rFonts w:ascii="宋体" w:hAnsi="宋体" w:eastAsia="宋体" w:cs="宋体"/>
          <w:spacing w:val="-54"/>
          <w:sz w:val="21"/>
          <w:szCs w:val="21"/>
        </w:rPr>
        <w:t xml:space="preserve"> </w:t>
      </w:r>
      <w:r>
        <w:rPr>
          <w:rFonts w:ascii="Times New Roman" w:hAnsi="Times New Roman" w:eastAsia="Times New Roman" w:cs="Times New Roman"/>
          <w:spacing w:val="2"/>
          <w:sz w:val="21"/>
          <w:szCs w:val="21"/>
        </w:rPr>
        <w:t>x²</w:t>
      </w:r>
      <w:r>
        <w:rPr>
          <w:rFonts w:ascii="Times New Roman" w:hAnsi="Times New Roman" w:eastAsia="Times New Roman" w:cs="Times New Roman"/>
          <w:spacing w:val="43"/>
          <w:sz w:val="21"/>
          <w:szCs w:val="21"/>
        </w:rPr>
        <w:t xml:space="preserve"> </w:t>
      </w:r>
      <w:r>
        <w:rPr>
          <w:rFonts w:ascii="宋体" w:hAnsi="宋体" w:eastAsia="宋体" w:cs="宋体"/>
          <w:spacing w:val="2"/>
          <w:sz w:val="21"/>
          <w:szCs w:val="21"/>
        </w:rPr>
        <w:t>界值表得</w:t>
      </w:r>
      <w:r>
        <w:rPr>
          <w:rFonts w:ascii="Times New Roman" w:hAnsi="Times New Roman" w:eastAsia="Times New Roman" w:cs="Times New Roman"/>
          <w:spacing w:val="2"/>
          <w:sz w:val="21"/>
          <w:szCs w:val="21"/>
        </w:rPr>
        <w:t>P&lt;0.</w:t>
      </w:r>
      <w:r>
        <w:rPr>
          <w:rFonts w:ascii="Times New Roman" w:hAnsi="Times New Roman" w:eastAsia="Times New Roman" w:cs="Times New Roman"/>
          <w:spacing w:val="1"/>
          <w:sz w:val="21"/>
          <w:szCs w:val="21"/>
        </w:rPr>
        <w:t>01</w:t>
      </w:r>
      <w:r>
        <w:rPr>
          <w:rFonts w:ascii="宋体" w:hAnsi="宋体" w:eastAsia="宋体" w:cs="宋体"/>
          <w:spacing w:val="1"/>
          <w:sz w:val="21"/>
          <w:szCs w:val="21"/>
        </w:rPr>
        <w:t>。</w:t>
      </w:r>
    </w:p>
    <w:p w14:paraId="7D3748F6">
      <w:pPr>
        <w:spacing w:before="132" w:line="219" w:lineRule="auto"/>
        <w:ind w:left="430"/>
        <w:rPr>
          <w:rFonts w:ascii="宋体" w:hAnsi="宋体" w:eastAsia="宋体" w:cs="宋体"/>
          <w:sz w:val="21"/>
          <w:szCs w:val="21"/>
        </w:rPr>
      </w:pPr>
      <w:r>
        <w:rPr>
          <w:rFonts w:ascii="宋体" w:hAnsi="宋体" w:eastAsia="宋体" w:cs="宋体"/>
          <w:spacing w:val="14"/>
          <w:sz w:val="21"/>
          <w:szCs w:val="21"/>
        </w:rPr>
        <w:t>(3)计算</w:t>
      </w:r>
      <w:r>
        <w:rPr>
          <w:rFonts w:ascii="Times New Roman" w:hAnsi="Times New Roman" w:eastAsia="Times New Roman" w:cs="Times New Roman"/>
          <w:sz w:val="21"/>
          <w:szCs w:val="21"/>
        </w:rPr>
        <w:t>ORn</w:t>
      </w:r>
      <w:r>
        <w:rPr>
          <w:rFonts w:ascii="Times New Roman" w:hAnsi="Times New Roman" w:eastAsia="Times New Roman" w:cs="Times New Roman"/>
          <w:spacing w:val="14"/>
          <w:sz w:val="21"/>
          <w:szCs w:val="21"/>
        </w:rPr>
        <w:t xml:space="preserve">  </w:t>
      </w:r>
      <w:r>
        <w:rPr>
          <w:rFonts w:ascii="宋体" w:hAnsi="宋体" w:eastAsia="宋体" w:cs="宋体"/>
          <w:spacing w:val="14"/>
          <w:sz w:val="21"/>
          <w:szCs w:val="21"/>
        </w:rPr>
        <w:t>及其95%</w:t>
      </w:r>
      <w:r>
        <w:rPr>
          <w:rFonts w:ascii="Times New Roman" w:hAnsi="Times New Roman" w:eastAsia="Times New Roman" w:cs="Times New Roman"/>
          <w:sz w:val="21"/>
          <w:szCs w:val="21"/>
        </w:rPr>
        <w:t>CI</w:t>
      </w:r>
      <w:r>
        <w:rPr>
          <w:rFonts w:ascii="Times New Roman" w:hAnsi="Times New Roman" w:eastAsia="Times New Roman" w:cs="Times New Roman"/>
          <w:spacing w:val="14"/>
          <w:sz w:val="21"/>
          <w:szCs w:val="21"/>
        </w:rPr>
        <w:t>:</w:t>
      </w:r>
      <w:r>
        <w:rPr>
          <w:rFonts w:ascii="Times New Roman" w:hAnsi="Times New Roman" w:eastAsia="Times New Roman" w:cs="Times New Roman"/>
          <w:spacing w:val="-11"/>
          <w:sz w:val="21"/>
          <w:szCs w:val="21"/>
        </w:rPr>
        <w:t xml:space="preserve"> </w:t>
      </w:r>
      <w:r>
        <w:rPr>
          <w:rFonts w:ascii="宋体" w:hAnsi="宋体" w:eastAsia="宋体" w:cs="宋体"/>
          <w:spacing w:val="14"/>
          <w:sz w:val="21"/>
          <w:szCs w:val="21"/>
        </w:rPr>
        <w:t>应 用</w:t>
      </w:r>
      <w:r>
        <w:rPr>
          <w:rFonts w:ascii="Times New Roman" w:hAnsi="Times New Roman" w:eastAsia="Times New Roman" w:cs="Times New Roman"/>
          <w:sz w:val="21"/>
          <w:szCs w:val="21"/>
        </w:rPr>
        <w:t>Mantel</w:t>
      </w:r>
      <w:r>
        <w:rPr>
          <w:rFonts w:ascii="Times New Roman" w:hAnsi="Times New Roman" w:eastAsia="Times New Roman" w:cs="Times New Roman"/>
          <w:spacing w:val="14"/>
          <w:sz w:val="21"/>
          <w:szCs w:val="21"/>
        </w:rPr>
        <w:t>-</w:t>
      </w:r>
      <w:r>
        <w:rPr>
          <w:rFonts w:ascii="Times New Roman" w:hAnsi="Times New Roman" w:eastAsia="Times New Roman" w:cs="Times New Roman"/>
          <w:sz w:val="21"/>
          <w:szCs w:val="21"/>
        </w:rPr>
        <w:t>Haenszel</w:t>
      </w:r>
      <w:r>
        <w:rPr>
          <w:rFonts w:ascii="Times New Roman" w:hAnsi="Times New Roman" w:eastAsia="Times New Roman" w:cs="Times New Roman"/>
          <w:spacing w:val="-12"/>
          <w:sz w:val="21"/>
          <w:szCs w:val="21"/>
        </w:rPr>
        <w:t xml:space="preserve"> </w:t>
      </w:r>
      <w:r>
        <w:rPr>
          <w:rFonts w:ascii="宋体" w:hAnsi="宋体" w:eastAsia="宋体" w:cs="宋体"/>
          <w:spacing w:val="14"/>
          <w:sz w:val="21"/>
          <w:szCs w:val="21"/>
        </w:rPr>
        <w:t>提出的公式：</w:t>
      </w:r>
    </w:p>
    <w:p w14:paraId="631D1EC9">
      <w:pPr>
        <w:rPr>
          <w:rFonts w:ascii="Arial"/>
          <w:sz w:val="21"/>
        </w:rPr>
      </w:pPr>
    </w:p>
    <w:p w14:paraId="1A7B64FA">
      <w:pPr>
        <w:spacing w:before="1" w:line="1140" w:lineRule="exact"/>
        <w:ind w:firstLine="3680"/>
      </w:pPr>
      <w:r>
        <w:rPr>
          <w:position w:val="-22"/>
        </w:rPr>
        <w:drawing>
          <wp:inline distT="0" distB="0" distL="0" distR="0">
            <wp:extent cx="1237615" cy="723900"/>
            <wp:effectExtent l="0" t="0" r="0" b="0"/>
            <wp:docPr id="328" name="IM 328"/>
            <wp:cNvGraphicFramePr/>
            <a:graphic xmlns:a="http://schemas.openxmlformats.org/drawingml/2006/main">
              <a:graphicData uri="http://schemas.openxmlformats.org/drawingml/2006/picture">
                <pic:pic xmlns:pic="http://schemas.openxmlformats.org/drawingml/2006/picture">
                  <pic:nvPicPr>
                    <pic:cNvPr id="328" name="IM 328"/>
                    <pic:cNvPicPr/>
                  </pic:nvPicPr>
                  <pic:blipFill>
                    <a:blip r:embed="rId536"/>
                    <a:stretch>
                      <a:fillRect/>
                    </a:stretch>
                  </pic:blipFill>
                  <pic:spPr>
                    <a:xfrm>
                      <a:off x="0" y="0"/>
                      <a:ext cx="1238208" cy="723937"/>
                    </a:xfrm>
                    <a:prstGeom prst="rect">
                      <a:avLst/>
                    </a:prstGeom>
                  </pic:spPr>
                </pic:pic>
              </a:graphicData>
            </a:graphic>
          </wp:inline>
        </w:drawing>
      </w:r>
    </w:p>
    <w:p w14:paraId="4CAC4607">
      <w:pPr>
        <w:spacing w:line="319" w:lineRule="auto"/>
        <w:rPr>
          <w:rFonts w:ascii="Arial"/>
          <w:sz w:val="21"/>
        </w:rPr>
      </w:pPr>
      <w:r>
        <w:drawing>
          <wp:anchor distT="0" distB="0" distL="0" distR="0" simplePos="0" relativeHeight="251748352" behindDoc="0" locked="0" layoutInCell="1" allowOverlap="1">
            <wp:simplePos x="0" y="0"/>
            <wp:positionH relativeFrom="column">
              <wp:posOffset>1701165</wp:posOffset>
            </wp:positionH>
            <wp:positionV relativeFrom="paragraph">
              <wp:posOffset>132715</wp:posOffset>
            </wp:positionV>
            <wp:extent cx="2482850" cy="355600"/>
            <wp:effectExtent l="0" t="0" r="0" b="0"/>
            <wp:wrapNone/>
            <wp:docPr id="330" name="IM 330"/>
            <wp:cNvGraphicFramePr/>
            <a:graphic xmlns:a="http://schemas.openxmlformats.org/drawingml/2006/main">
              <a:graphicData uri="http://schemas.openxmlformats.org/drawingml/2006/picture">
                <pic:pic xmlns:pic="http://schemas.openxmlformats.org/drawingml/2006/picture">
                  <pic:nvPicPr>
                    <pic:cNvPr id="330" name="IM 330"/>
                    <pic:cNvPicPr/>
                  </pic:nvPicPr>
                  <pic:blipFill>
                    <a:blip r:embed="rId537"/>
                    <a:stretch>
                      <a:fillRect/>
                    </a:stretch>
                  </pic:blipFill>
                  <pic:spPr>
                    <a:xfrm>
                      <a:off x="0" y="0"/>
                      <a:ext cx="2482914" cy="355560"/>
                    </a:xfrm>
                    <a:prstGeom prst="rect">
                      <a:avLst/>
                    </a:prstGeom>
                  </pic:spPr>
                </pic:pic>
              </a:graphicData>
            </a:graphic>
          </wp:anchor>
        </w:drawing>
      </w:r>
    </w:p>
    <w:p w14:paraId="22A77239">
      <w:pPr>
        <w:spacing w:before="69" w:line="221" w:lineRule="auto"/>
        <w:ind w:left="430"/>
        <w:rPr>
          <w:rFonts w:ascii="宋体" w:hAnsi="宋体" w:eastAsia="宋体" w:cs="宋体"/>
          <w:sz w:val="21"/>
          <w:szCs w:val="21"/>
        </w:rPr>
      </w:pPr>
      <w:r>
        <w:rPr>
          <w:rFonts w:ascii="宋体" w:hAnsi="宋体" w:eastAsia="宋体" w:cs="宋体"/>
          <w:spacing w:val="12"/>
          <w:sz w:val="21"/>
          <w:szCs w:val="21"/>
        </w:rPr>
        <w:t>表5-8:</w:t>
      </w:r>
    </w:p>
    <w:p w14:paraId="5F0EAC08">
      <w:pPr>
        <w:spacing w:line="14" w:lineRule="auto"/>
        <w:rPr>
          <w:rFonts w:ascii="Arial"/>
          <w:sz w:val="2"/>
        </w:rPr>
      </w:pPr>
      <w:r>
        <w:rPr>
          <w:rFonts w:ascii="Arial" w:hAnsi="Arial" w:eastAsia="Arial" w:cs="Arial"/>
          <w:sz w:val="2"/>
          <w:szCs w:val="2"/>
        </w:rPr>
        <w:br w:type="column"/>
      </w:r>
    </w:p>
    <w:p w14:paraId="7B08C753">
      <w:pPr>
        <w:spacing w:before="41" w:line="220" w:lineRule="auto"/>
        <w:rPr>
          <w:rFonts w:ascii="宋体" w:hAnsi="宋体" w:eastAsia="宋体" w:cs="宋体"/>
          <w:sz w:val="21"/>
          <w:szCs w:val="21"/>
        </w:rPr>
      </w:pPr>
      <w:r>
        <w:rPr>
          <w:rFonts w:ascii="宋体" w:hAnsi="宋体" w:eastAsia="宋体" w:cs="宋体"/>
          <w:spacing w:val="-2"/>
          <w:sz w:val="21"/>
          <w:szCs w:val="21"/>
        </w:rPr>
        <w:t>用</w:t>
      </w:r>
      <w:r>
        <w:rPr>
          <w:rFonts w:ascii="Times New Roman" w:hAnsi="Times New Roman" w:eastAsia="Times New Roman" w:cs="Times New Roman"/>
          <w:spacing w:val="-2"/>
          <w:sz w:val="21"/>
          <w:szCs w:val="21"/>
        </w:rPr>
        <w:t xml:space="preserve">Mantel-Haenszel </w:t>
      </w:r>
      <w:r>
        <w:rPr>
          <w:rFonts w:ascii="宋体" w:hAnsi="宋体" w:eastAsia="宋体" w:cs="宋体"/>
          <w:spacing w:val="-2"/>
          <w:sz w:val="21"/>
          <w:szCs w:val="21"/>
        </w:rPr>
        <w:t>提</w:t>
      </w:r>
    </w:p>
    <w:p w14:paraId="494E16FF">
      <w:pPr>
        <w:spacing w:line="279" w:lineRule="auto"/>
        <w:rPr>
          <w:rFonts w:ascii="Arial"/>
          <w:sz w:val="21"/>
        </w:rPr>
      </w:pPr>
    </w:p>
    <w:p w14:paraId="4A345C3B">
      <w:pPr>
        <w:spacing w:line="279" w:lineRule="auto"/>
        <w:rPr>
          <w:rFonts w:ascii="Arial"/>
          <w:sz w:val="21"/>
        </w:rPr>
      </w:pPr>
    </w:p>
    <w:p w14:paraId="55467BE1">
      <w:pPr>
        <w:spacing w:line="279" w:lineRule="auto"/>
        <w:rPr>
          <w:rFonts w:ascii="Arial"/>
          <w:sz w:val="21"/>
        </w:rPr>
      </w:pPr>
    </w:p>
    <w:p w14:paraId="77D205CA">
      <w:pPr>
        <w:spacing w:line="280" w:lineRule="auto"/>
        <w:rPr>
          <w:rFonts w:ascii="Arial"/>
          <w:sz w:val="21"/>
        </w:rPr>
      </w:pPr>
    </w:p>
    <w:p w14:paraId="52A66058">
      <w:pPr>
        <w:spacing w:line="280" w:lineRule="auto"/>
        <w:rPr>
          <w:rFonts w:ascii="Arial"/>
          <w:sz w:val="21"/>
        </w:rPr>
      </w:pPr>
    </w:p>
    <w:p w14:paraId="2ABAE86A">
      <w:pPr>
        <w:spacing w:before="69" w:line="221" w:lineRule="auto"/>
        <w:ind w:left="1054"/>
        <w:rPr>
          <w:rFonts w:ascii="宋体" w:hAnsi="宋体" w:eastAsia="宋体" w:cs="宋体"/>
          <w:sz w:val="21"/>
          <w:szCs w:val="21"/>
        </w:rPr>
      </w:pPr>
      <w:r>
        <w:rPr>
          <w:rFonts w:ascii="宋体" w:hAnsi="宋体" w:eastAsia="宋体" w:cs="宋体"/>
          <w:spacing w:val="10"/>
          <w:sz w:val="21"/>
          <w:szCs w:val="21"/>
        </w:rPr>
        <w:t>式(5-20)</w:t>
      </w:r>
    </w:p>
    <w:p w14:paraId="524A4594">
      <w:pPr>
        <w:spacing w:line="250" w:lineRule="auto"/>
        <w:rPr>
          <w:rFonts w:ascii="Arial"/>
          <w:sz w:val="21"/>
        </w:rPr>
      </w:pPr>
    </w:p>
    <w:p w14:paraId="285D6AC6">
      <w:pPr>
        <w:spacing w:line="250" w:lineRule="auto"/>
        <w:rPr>
          <w:rFonts w:ascii="Arial"/>
          <w:sz w:val="21"/>
        </w:rPr>
      </w:pPr>
    </w:p>
    <w:p w14:paraId="2F0BD330">
      <w:pPr>
        <w:spacing w:line="250" w:lineRule="auto"/>
        <w:rPr>
          <w:rFonts w:ascii="Arial"/>
          <w:sz w:val="21"/>
        </w:rPr>
      </w:pPr>
    </w:p>
    <w:p w14:paraId="76E2D5CE">
      <w:pPr>
        <w:spacing w:line="251" w:lineRule="auto"/>
        <w:rPr>
          <w:rFonts w:ascii="Arial"/>
          <w:sz w:val="21"/>
        </w:rPr>
      </w:pPr>
    </w:p>
    <w:p w14:paraId="174A0D62">
      <w:pPr>
        <w:spacing w:line="251" w:lineRule="auto"/>
        <w:rPr>
          <w:rFonts w:ascii="Arial"/>
          <w:sz w:val="21"/>
        </w:rPr>
      </w:pPr>
    </w:p>
    <w:p w14:paraId="4C78D512">
      <w:pPr>
        <w:spacing w:before="68" w:line="221" w:lineRule="auto"/>
        <w:ind w:left="1074"/>
        <w:rPr>
          <w:rFonts w:ascii="宋体" w:hAnsi="宋体" w:eastAsia="宋体" w:cs="宋体"/>
          <w:sz w:val="21"/>
          <w:szCs w:val="21"/>
        </w:rPr>
      </w:pPr>
      <w:r>
        <w:rPr>
          <w:rFonts w:ascii="宋体" w:hAnsi="宋体" w:eastAsia="宋体" w:cs="宋体"/>
          <w:spacing w:val="12"/>
          <w:sz w:val="21"/>
          <w:szCs w:val="21"/>
        </w:rPr>
        <w:t>式(5-21)</w:t>
      </w:r>
    </w:p>
    <w:p w14:paraId="094FDE1F">
      <w:pPr>
        <w:spacing w:line="407" w:lineRule="auto"/>
        <w:rPr>
          <w:rFonts w:ascii="Arial"/>
          <w:sz w:val="21"/>
        </w:rPr>
      </w:pPr>
    </w:p>
    <w:p w14:paraId="147C983E">
      <w:pPr>
        <w:spacing w:before="69" w:line="221" w:lineRule="auto"/>
        <w:ind w:left="1074"/>
        <w:rPr>
          <w:rFonts w:ascii="宋体" w:hAnsi="宋体" w:eastAsia="宋体" w:cs="宋体"/>
          <w:sz w:val="21"/>
          <w:szCs w:val="21"/>
        </w:rPr>
      </w:pPr>
      <w:r>
        <w:rPr>
          <w:rFonts w:ascii="宋体" w:hAnsi="宋体" w:eastAsia="宋体" w:cs="宋体"/>
          <w:spacing w:val="15"/>
          <w:sz w:val="21"/>
          <w:szCs w:val="21"/>
        </w:rPr>
        <w:t>式(5-22)</w:t>
      </w:r>
    </w:p>
    <w:p w14:paraId="03A0F26B">
      <w:pPr>
        <w:spacing w:line="254" w:lineRule="auto"/>
        <w:rPr>
          <w:rFonts w:ascii="Arial"/>
          <w:sz w:val="21"/>
        </w:rPr>
      </w:pPr>
    </w:p>
    <w:p w14:paraId="3F7EF403">
      <w:pPr>
        <w:spacing w:line="254" w:lineRule="auto"/>
        <w:rPr>
          <w:rFonts w:ascii="Arial"/>
          <w:sz w:val="21"/>
        </w:rPr>
      </w:pPr>
    </w:p>
    <w:p w14:paraId="44DACEAC">
      <w:pPr>
        <w:spacing w:line="254" w:lineRule="auto"/>
        <w:rPr>
          <w:rFonts w:ascii="Arial"/>
          <w:sz w:val="21"/>
        </w:rPr>
      </w:pPr>
    </w:p>
    <w:p w14:paraId="6E044865">
      <w:pPr>
        <w:spacing w:line="255" w:lineRule="auto"/>
        <w:rPr>
          <w:rFonts w:ascii="Arial"/>
          <w:sz w:val="21"/>
        </w:rPr>
      </w:pPr>
    </w:p>
    <w:p w14:paraId="41254DD0">
      <w:pPr>
        <w:spacing w:line="255" w:lineRule="auto"/>
        <w:rPr>
          <w:rFonts w:ascii="Arial"/>
          <w:sz w:val="21"/>
        </w:rPr>
      </w:pPr>
    </w:p>
    <w:p w14:paraId="3384C4B6">
      <w:pPr>
        <w:spacing w:before="69" w:line="221" w:lineRule="auto"/>
        <w:ind w:left="1084"/>
        <w:rPr>
          <w:rFonts w:ascii="宋体" w:hAnsi="宋体" w:eastAsia="宋体" w:cs="宋体"/>
          <w:sz w:val="21"/>
          <w:szCs w:val="21"/>
        </w:rPr>
      </w:pPr>
      <w:r>
        <w:rPr>
          <w:rFonts w:ascii="宋体" w:hAnsi="宋体" w:eastAsia="宋体" w:cs="宋体"/>
          <w:spacing w:val="10"/>
          <w:sz w:val="21"/>
          <w:szCs w:val="21"/>
        </w:rPr>
        <w:t>式(5-23)</w:t>
      </w:r>
    </w:p>
    <w:p w14:paraId="534F2503">
      <w:pPr>
        <w:spacing w:line="245" w:lineRule="auto"/>
        <w:rPr>
          <w:rFonts w:ascii="Arial"/>
          <w:sz w:val="21"/>
        </w:rPr>
      </w:pPr>
    </w:p>
    <w:p w14:paraId="196FAFD7">
      <w:pPr>
        <w:spacing w:line="245" w:lineRule="auto"/>
        <w:rPr>
          <w:rFonts w:ascii="Arial"/>
          <w:sz w:val="21"/>
        </w:rPr>
      </w:pPr>
    </w:p>
    <w:p w14:paraId="2F8DFFA1">
      <w:pPr>
        <w:spacing w:line="245" w:lineRule="auto"/>
        <w:rPr>
          <w:rFonts w:ascii="Arial"/>
          <w:sz w:val="21"/>
        </w:rPr>
      </w:pPr>
    </w:p>
    <w:p w14:paraId="69789DB1">
      <w:pPr>
        <w:spacing w:line="245" w:lineRule="auto"/>
        <w:rPr>
          <w:rFonts w:ascii="Arial"/>
          <w:sz w:val="21"/>
        </w:rPr>
      </w:pPr>
    </w:p>
    <w:p w14:paraId="06E3DF24">
      <w:pPr>
        <w:spacing w:line="245" w:lineRule="auto"/>
        <w:rPr>
          <w:rFonts w:ascii="Arial"/>
          <w:sz w:val="21"/>
        </w:rPr>
      </w:pPr>
    </w:p>
    <w:p w14:paraId="39411590">
      <w:pPr>
        <w:spacing w:line="245" w:lineRule="auto"/>
        <w:rPr>
          <w:rFonts w:ascii="Arial"/>
          <w:sz w:val="21"/>
        </w:rPr>
      </w:pPr>
    </w:p>
    <w:p w14:paraId="51289CB1">
      <w:pPr>
        <w:spacing w:line="245" w:lineRule="auto"/>
        <w:rPr>
          <w:rFonts w:ascii="Arial"/>
          <w:sz w:val="21"/>
        </w:rPr>
      </w:pPr>
    </w:p>
    <w:p w14:paraId="67DF261E">
      <w:pPr>
        <w:spacing w:line="245" w:lineRule="auto"/>
        <w:rPr>
          <w:rFonts w:ascii="Arial"/>
          <w:sz w:val="21"/>
        </w:rPr>
      </w:pPr>
    </w:p>
    <w:p w14:paraId="5EB007F3">
      <w:pPr>
        <w:spacing w:line="246" w:lineRule="auto"/>
        <w:rPr>
          <w:rFonts w:ascii="Arial"/>
          <w:sz w:val="21"/>
        </w:rPr>
      </w:pPr>
    </w:p>
    <w:p w14:paraId="007D5B66">
      <w:pPr>
        <w:spacing w:line="246" w:lineRule="auto"/>
        <w:rPr>
          <w:rFonts w:ascii="Arial"/>
          <w:sz w:val="21"/>
        </w:rPr>
      </w:pPr>
    </w:p>
    <w:p w14:paraId="61350709">
      <w:pPr>
        <w:spacing w:line="246" w:lineRule="auto"/>
        <w:rPr>
          <w:rFonts w:ascii="Arial"/>
          <w:sz w:val="21"/>
        </w:rPr>
      </w:pPr>
    </w:p>
    <w:p w14:paraId="4A74E35B">
      <w:pPr>
        <w:spacing w:line="246" w:lineRule="auto"/>
        <w:rPr>
          <w:rFonts w:ascii="Arial"/>
          <w:sz w:val="21"/>
        </w:rPr>
      </w:pPr>
    </w:p>
    <w:p w14:paraId="62C01FE3">
      <w:pPr>
        <w:spacing w:line="246" w:lineRule="auto"/>
        <w:rPr>
          <w:rFonts w:ascii="Arial"/>
          <w:sz w:val="21"/>
        </w:rPr>
      </w:pPr>
    </w:p>
    <w:p w14:paraId="29A2E2F7">
      <w:pPr>
        <w:spacing w:line="246" w:lineRule="auto"/>
        <w:rPr>
          <w:rFonts w:ascii="Arial"/>
          <w:sz w:val="21"/>
        </w:rPr>
      </w:pPr>
    </w:p>
    <w:p w14:paraId="05A7BE07">
      <w:pPr>
        <w:spacing w:line="246" w:lineRule="auto"/>
        <w:rPr>
          <w:rFonts w:ascii="Arial"/>
          <w:sz w:val="21"/>
        </w:rPr>
      </w:pPr>
    </w:p>
    <w:p w14:paraId="28002228">
      <w:pPr>
        <w:spacing w:line="246" w:lineRule="auto"/>
        <w:rPr>
          <w:rFonts w:ascii="Arial"/>
          <w:sz w:val="21"/>
        </w:rPr>
      </w:pPr>
    </w:p>
    <w:p w14:paraId="5DC70F2B">
      <w:pPr>
        <w:spacing w:line="246" w:lineRule="auto"/>
        <w:rPr>
          <w:rFonts w:ascii="Arial"/>
          <w:sz w:val="21"/>
        </w:rPr>
      </w:pPr>
    </w:p>
    <w:p w14:paraId="66AFAA94">
      <w:pPr>
        <w:spacing w:before="69" w:line="221" w:lineRule="auto"/>
        <w:ind w:left="1094"/>
        <w:rPr>
          <w:rFonts w:ascii="宋体" w:hAnsi="宋体" w:eastAsia="宋体" w:cs="宋体"/>
          <w:sz w:val="21"/>
          <w:szCs w:val="21"/>
        </w:rPr>
      </w:pPr>
      <w:r>
        <w:rPr>
          <w:rFonts w:ascii="宋体" w:hAnsi="宋体" w:eastAsia="宋体" w:cs="宋体"/>
          <w:spacing w:val="8"/>
          <w:sz w:val="21"/>
          <w:szCs w:val="21"/>
        </w:rPr>
        <w:t>式(5-24)</w:t>
      </w:r>
    </w:p>
    <w:p w14:paraId="7D671F00">
      <w:pPr>
        <w:spacing w:line="221" w:lineRule="auto"/>
        <w:rPr>
          <w:rFonts w:ascii="宋体" w:hAnsi="宋体" w:eastAsia="宋体" w:cs="宋体"/>
          <w:sz w:val="21"/>
          <w:szCs w:val="21"/>
        </w:rPr>
        <w:sectPr>
          <w:type w:val="continuous"/>
          <w:pgSz w:w="11900" w:h="16820"/>
          <w:pgMar w:top="400" w:right="753" w:bottom="920" w:left="1319" w:header="0" w:footer="648" w:gutter="0"/>
          <w:cols w:equalWidth="0" w:num="2">
            <w:col w:w="7157" w:space="88"/>
            <w:col w:w="2582"/>
          </w:cols>
        </w:sectPr>
      </w:pPr>
    </w:p>
    <w:p w14:paraId="05BA919F">
      <w:pPr>
        <w:pStyle w:val="2"/>
        <w:spacing w:before="127" w:line="222" w:lineRule="auto"/>
        <w:ind w:left="759"/>
        <w:rPr>
          <w:sz w:val="21"/>
          <w:szCs w:val="21"/>
        </w:rPr>
      </w:pPr>
      <w:bookmarkStart w:id="147" w:name="bookmark450"/>
      <w:bookmarkEnd w:id="147"/>
      <w:r>
        <w:rPr>
          <w:spacing w:val="-15"/>
          <w:w w:val="97"/>
          <w:sz w:val="21"/>
          <w:szCs w:val="21"/>
        </w:rPr>
        <w:t>第五章病例对照研究</w:t>
      </w:r>
    </w:p>
    <w:p w14:paraId="04C02C49">
      <w:pPr>
        <w:spacing w:line="273" w:lineRule="auto"/>
        <w:rPr>
          <w:rFonts w:ascii="Arial"/>
          <w:sz w:val="21"/>
        </w:rPr>
      </w:pPr>
    </w:p>
    <w:p w14:paraId="31ACD91E">
      <w:pPr>
        <w:spacing w:line="274" w:lineRule="auto"/>
        <w:rPr>
          <w:rFonts w:ascii="Arial"/>
          <w:sz w:val="21"/>
        </w:rPr>
      </w:pPr>
    </w:p>
    <w:p w14:paraId="36567785">
      <w:pPr>
        <w:spacing w:before="68" w:line="219" w:lineRule="auto"/>
        <w:ind w:left="1180"/>
        <w:rPr>
          <w:rFonts w:ascii="宋体" w:hAnsi="宋体" w:eastAsia="宋体" w:cs="宋体"/>
          <w:sz w:val="21"/>
          <w:szCs w:val="21"/>
        </w:rPr>
      </w:pPr>
      <w:r>
        <w:rPr>
          <w:rFonts w:ascii="Times New Roman" w:hAnsi="Times New Roman" w:eastAsia="Times New Roman" w:cs="Times New Roman"/>
          <w:sz w:val="21"/>
          <w:szCs w:val="21"/>
        </w:rPr>
        <w:t>ORm</w:t>
      </w:r>
      <w:r>
        <w:rPr>
          <w:rFonts w:ascii="宋体" w:hAnsi="宋体" w:eastAsia="宋体" w:cs="宋体"/>
          <w:spacing w:val="7"/>
          <w:sz w:val="21"/>
          <w:szCs w:val="21"/>
        </w:rPr>
        <w:t>的95%</w:t>
      </w:r>
      <w:r>
        <w:rPr>
          <w:rFonts w:ascii="Times New Roman" w:hAnsi="Times New Roman" w:eastAsia="Times New Roman" w:cs="Times New Roman"/>
          <w:sz w:val="21"/>
          <w:szCs w:val="21"/>
        </w:rPr>
        <w:t>CI</w:t>
      </w:r>
      <w:r>
        <w:rPr>
          <w:rFonts w:ascii="宋体" w:hAnsi="宋体" w:eastAsia="宋体" w:cs="宋体"/>
          <w:spacing w:val="7"/>
          <w:sz w:val="21"/>
          <w:szCs w:val="21"/>
        </w:rPr>
        <w:t>可用</w:t>
      </w:r>
      <w:r>
        <w:rPr>
          <w:rFonts w:ascii="Times New Roman" w:hAnsi="Times New Roman" w:eastAsia="Times New Roman" w:cs="Times New Roman"/>
          <w:sz w:val="21"/>
          <w:szCs w:val="21"/>
        </w:rPr>
        <w:t>Miettinen</w:t>
      </w:r>
      <w:r>
        <w:rPr>
          <w:rFonts w:ascii="宋体" w:hAnsi="宋体" w:eastAsia="宋体" w:cs="宋体"/>
          <w:spacing w:val="7"/>
          <w:sz w:val="21"/>
          <w:szCs w:val="21"/>
        </w:rPr>
        <w:t>法计算，即</w:t>
      </w:r>
    </w:p>
    <w:p w14:paraId="1186A90F">
      <w:pPr>
        <w:spacing w:before="230" w:line="377" w:lineRule="exact"/>
        <w:ind w:firstLine="3189"/>
      </w:pPr>
      <w:r>
        <w:rPr>
          <w:position w:val="-7"/>
        </w:rPr>
        <w:drawing>
          <wp:inline distT="0" distB="0" distL="0" distR="0">
            <wp:extent cx="2482850" cy="238760"/>
            <wp:effectExtent l="0" t="0" r="0" b="0"/>
            <wp:docPr id="332" name="IM 332"/>
            <wp:cNvGraphicFramePr/>
            <a:graphic xmlns:a="http://schemas.openxmlformats.org/drawingml/2006/main">
              <a:graphicData uri="http://schemas.openxmlformats.org/drawingml/2006/picture">
                <pic:pic xmlns:pic="http://schemas.openxmlformats.org/drawingml/2006/picture">
                  <pic:nvPicPr>
                    <pic:cNvPr id="332" name="IM 332"/>
                    <pic:cNvPicPr/>
                  </pic:nvPicPr>
                  <pic:blipFill>
                    <a:blip r:embed="rId538"/>
                    <a:stretch>
                      <a:fillRect/>
                    </a:stretch>
                  </pic:blipFill>
                  <pic:spPr>
                    <a:xfrm>
                      <a:off x="0" y="0"/>
                      <a:ext cx="2482893" cy="238820"/>
                    </a:xfrm>
                    <a:prstGeom prst="rect">
                      <a:avLst/>
                    </a:prstGeom>
                  </pic:spPr>
                </pic:pic>
              </a:graphicData>
            </a:graphic>
          </wp:inline>
        </w:drawing>
      </w:r>
    </w:p>
    <w:p w14:paraId="2335F582">
      <w:pPr>
        <w:spacing w:line="242" w:lineRule="auto"/>
        <w:rPr>
          <w:rFonts w:ascii="Arial"/>
          <w:sz w:val="21"/>
        </w:rPr>
      </w:pPr>
    </w:p>
    <w:p w14:paraId="7BB95648">
      <w:pPr>
        <w:spacing w:before="68" w:line="222" w:lineRule="auto"/>
        <w:ind w:left="1189"/>
        <w:rPr>
          <w:rFonts w:ascii="FangSong" w:hAnsi="FangSong" w:eastAsia="FangSong" w:cs="FangSong"/>
          <w:sz w:val="21"/>
          <w:szCs w:val="21"/>
        </w:rPr>
      </w:pPr>
      <w:r>
        <w:rPr>
          <w:rFonts w:ascii="FangSong" w:hAnsi="FangSong" w:eastAsia="FangSong" w:cs="FangSong"/>
          <w:spacing w:val="2"/>
          <w:sz w:val="21"/>
          <w:szCs w:val="21"/>
        </w:rPr>
        <w:t>即</w:t>
      </w:r>
      <w:r>
        <w:rPr>
          <w:rFonts w:ascii="Times New Roman" w:hAnsi="Times New Roman" w:eastAsia="Times New Roman" w:cs="Times New Roman"/>
          <w:sz w:val="21"/>
          <w:szCs w:val="21"/>
        </w:rPr>
        <w:t>OR</w:t>
      </w:r>
      <w:r>
        <w:rPr>
          <w:rFonts w:ascii="Times New Roman" w:hAnsi="Times New Roman" w:eastAsia="Times New Roman" w:cs="Times New Roman"/>
          <w:spacing w:val="17"/>
          <w:sz w:val="21"/>
          <w:szCs w:val="21"/>
        </w:rPr>
        <w:t xml:space="preserve">   </w:t>
      </w:r>
      <w:r>
        <w:rPr>
          <w:rFonts w:ascii="FangSong" w:hAnsi="FangSong" w:eastAsia="FangSong" w:cs="FangSong"/>
          <w:spacing w:val="2"/>
          <w:sz w:val="21"/>
          <w:szCs w:val="21"/>
        </w:rPr>
        <w:t>的95%</w:t>
      </w:r>
      <w:r>
        <w:rPr>
          <w:rFonts w:ascii="Times New Roman" w:hAnsi="Times New Roman" w:eastAsia="Times New Roman" w:cs="Times New Roman"/>
          <w:sz w:val="21"/>
          <w:szCs w:val="21"/>
        </w:rPr>
        <w:t>CI</w:t>
      </w:r>
      <w:r>
        <w:rPr>
          <w:rFonts w:ascii="FangSong" w:hAnsi="FangSong" w:eastAsia="FangSong" w:cs="FangSong"/>
          <w:spacing w:val="2"/>
          <w:sz w:val="21"/>
          <w:szCs w:val="21"/>
        </w:rPr>
        <w:t>为1.55～5.02。</w:t>
      </w:r>
    </w:p>
    <w:p w14:paraId="6F20732F">
      <w:pPr>
        <w:spacing w:before="96" w:line="344" w:lineRule="auto"/>
        <w:ind w:left="759" w:right="29" w:firstLine="420"/>
        <w:rPr>
          <w:rFonts w:ascii="宋体" w:hAnsi="宋体" w:eastAsia="宋体" w:cs="宋体"/>
          <w:sz w:val="21"/>
          <w:szCs w:val="21"/>
        </w:rPr>
      </w:pPr>
      <w:r>
        <w:rPr>
          <w:rFonts w:ascii="宋体" w:hAnsi="宋体" w:eastAsia="宋体" w:cs="宋体"/>
          <w:spacing w:val="-3"/>
          <w:sz w:val="21"/>
          <w:szCs w:val="21"/>
        </w:rPr>
        <w:t>综上，调整年龄的可能混杂作用后，ORm=2.79,</w:t>
      </w:r>
      <w:r>
        <w:rPr>
          <w:rFonts w:ascii="宋体" w:hAnsi="宋体" w:eastAsia="宋体" w:cs="宋体"/>
          <w:spacing w:val="32"/>
          <w:sz w:val="21"/>
          <w:szCs w:val="21"/>
        </w:rPr>
        <w:t xml:space="preserve"> </w:t>
      </w:r>
      <w:r>
        <w:rPr>
          <w:rFonts w:ascii="宋体" w:hAnsi="宋体" w:eastAsia="宋体" w:cs="宋体"/>
          <w:spacing w:val="-3"/>
          <w:sz w:val="21"/>
          <w:szCs w:val="21"/>
        </w:rPr>
        <w:t>高于不分层时的OR=2.20,</w:t>
      </w:r>
      <w:r>
        <w:rPr>
          <w:rFonts w:ascii="宋体" w:hAnsi="宋体" w:eastAsia="宋体" w:cs="宋体"/>
          <w:spacing w:val="-28"/>
          <w:sz w:val="21"/>
          <w:szCs w:val="21"/>
        </w:rPr>
        <w:t xml:space="preserve"> </w:t>
      </w:r>
      <w:r>
        <w:rPr>
          <w:rFonts w:ascii="宋体" w:hAnsi="宋体" w:eastAsia="宋体" w:cs="宋体"/>
          <w:spacing w:val="-3"/>
          <w:sz w:val="21"/>
          <w:szCs w:val="21"/>
        </w:rPr>
        <w:t>说明年龄这个混杂</w:t>
      </w:r>
      <w:r>
        <w:rPr>
          <w:rFonts w:ascii="宋体" w:hAnsi="宋体" w:eastAsia="宋体" w:cs="宋体"/>
          <w:sz w:val="21"/>
          <w:szCs w:val="21"/>
        </w:rPr>
        <w:t xml:space="preserve"> </w:t>
      </w:r>
      <w:r>
        <w:rPr>
          <w:rFonts w:ascii="宋体" w:hAnsi="宋体" w:eastAsia="宋体" w:cs="宋体"/>
          <w:spacing w:val="-6"/>
          <w:sz w:val="21"/>
          <w:szCs w:val="21"/>
        </w:rPr>
        <w:t>因素减弱了口服避孕药与心肌梗死的联系强度。</w:t>
      </w:r>
    </w:p>
    <w:p w14:paraId="3A162347">
      <w:pPr>
        <w:spacing w:before="2" w:line="335" w:lineRule="auto"/>
        <w:ind w:left="739" w:right="21" w:firstLine="420"/>
        <w:jc w:val="both"/>
        <w:rPr>
          <w:rFonts w:ascii="宋体" w:hAnsi="宋体" w:eastAsia="宋体" w:cs="宋体"/>
          <w:sz w:val="21"/>
          <w:szCs w:val="21"/>
        </w:rPr>
      </w:pPr>
      <w:r>
        <w:rPr>
          <w:rFonts w:ascii="宋体" w:hAnsi="宋体" w:eastAsia="宋体" w:cs="宋体"/>
          <w:spacing w:val="-6"/>
          <w:sz w:val="21"/>
          <w:szCs w:val="21"/>
        </w:rPr>
        <w:t>虽然能按照一个以上混杂因素分层进行分层分析，但当混杂因素很多时，分层较多，每层内研</w:t>
      </w:r>
      <w:r>
        <w:rPr>
          <w:rFonts w:ascii="宋体" w:hAnsi="宋体" w:eastAsia="宋体" w:cs="宋体"/>
          <w:spacing w:val="13"/>
          <w:sz w:val="21"/>
          <w:szCs w:val="21"/>
        </w:rPr>
        <w:t xml:space="preserve"> </w:t>
      </w:r>
      <w:r>
        <w:rPr>
          <w:rFonts w:ascii="宋体" w:hAnsi="宋体" w:eastAsia="宋体" w:cs="宋体"/>
          <w:spacing w:val="-5"/>
          <w:sz w:val="21"/>
          <w:szCs w:val="21"/>
        </w:rPr>
        <w:t>究样本可能会很少，不能满足统计分析的需要，故应用上受到一定限制。随着计算机技术及流</w:t>
      </w:r>
      <w:r>
        <w:rPr>
          <w:rFonts w:ascii="宋体" w:hAnsi="宋体" w:eastAsia="宋体" w:cs="宋体"/>
          <w:spacing w:val="-6"/>
          <w:sz w:val="21"/>
          <w:szCs w:val="21"/>
        </w:rPr>
        <w:t>行病</w:t>
      </w:r>
      <w:r>
        <w:rPr>
          <w:rFonts w:ascii="宋体" w:hAnsi="宋体" w:eastAsia="宋体" w:cs="宋体"/>
          <w:sz w:val="21"/>
          <w:szCs w:val="21"/>
        </w:rPr>
        <w:t xml:space="preserve"> </w:t>
      </w:r>
      <w:r>
        <w:rPr>
          <w:rFonts w:ascii="宋体" w:hAnsi="宋体" w:eastAsia="宋体" w:cs="宋体"/>
          <w:spacing w:val="-3"/>
          <w:sz w:val="21"/>
          <w:szCs w:val="21"/>
        </w:rPr>
        <w:t>学理论与方法的发展，多因素分析模型如多元线性回归、</w:t>
      </w:r>
      <w:r>
        <w:rPr>
          <w:rFonts w:ascii="Times New Roman" w:hAnsi="Times New Roman" w:eastAsia="Times New Roman" w:cs="Times New Roman"/>
          <w:spacing w:val="-3"/>
          <w:sz w:val="21"/>
          <w:szCs w:val="21"/>
        </w:rPr>
        <w:t xml:space="preserve">Logistic </w:t>
      </w:r>
      <w:r>
        <w:rPr>
          <w:rFonts w:ascii="宋体" w:hAnsi="宋体" w:eastAsia="宋体" w:cs="宋体"/>
          <w:spacing w:val="-3"/>
          <w:sz w:val="21"/>
          <w:szCs w:val="21"/>
        </w:rPr>
        <w:t>回归等被广泛应用于病例对照研</w:t>
      </w:r>
      <w:r>
        <w:rPr>
          <w:rFonts w:ascii="宋体" w:hAnsi="宋体" w:eastAsia="宋体" w:cs="宋体"/>
          <w:spacing w:val="11"/>
          <w:sz w:val="21"/>
          <w:szCs w:val="21"/>
        </w:rPr>
        <w:t xml:space="preserve"> </w:t>
      </w:r>
      <w:r>
        <w:rPr>
          <w:rFonts w:ascii="宋体" w:hAnsi="宋体" w:eastAsia="宋体" w:cs="宋体"/>
          <w:spacing w:val="-9"/>
          <w:sz w:val="21"/>
          <w:szCs w:val="21"/>
        </w:rPr>
        <w:t>究的资料分析，以探讨多个因素与疾病间的关系以及</w:t>
      </w:r>
      <w:r>
        <w:rPr>
          <w:rFonts w:ascii="宋体" w:hAnsi="宋体" w:eastAsia="宋体" w:cs="宋体"/>
          <w:spacing w:val="-10"/>
          <w:sz w:val="21"/>
          <w:szCs w:val="21"/>
        </w:rPr>
        <w:t>控制混杂因素，操作简单、结果可靠。</w:t>
      </w:r>
    </w:p>
    <w:p w14:paraId="2BAD8F03">
      <w:pPr>
        <w:pStyle w:val="2"/>
        <w:spacing w:before="3" w:line="222" w:lineRule="auto"/>
        <w:ind w:left="1170"/>
        <w:rPr>
          <w:sz w:val="21"/>
          <w:szCs w:val="21"/>
        </w:rPr>
      </w:pPr>
      <w:r>
        <w:rPr>
          <w:spacing w:val="15"/>
          <w:sz w:val="21"/>
          <w:szCs w:val="21"/>
        </w:rPr>
        <w:t>(四)剂量-反应关系的分析</w:t>
      </w:r>
    </w:p>
    <w:p w14:paraId="64FEB3E2">
      <w:pPr>
        <w:spacing w:before="147" w:line="334" w:lineRule="auto"/>
        <w:ind w:left="729" w:right="25" w:firstLine="430"/>
        <w:jc w:val="both"/>
        <w:rPr>
          <w:rFonts w:ascii="宋体" w:hAnsi="宋体" w:eastAsia="宋体" w:cs="宋体"/>
          <w:sz w:val="21"/>
          <w:szCs w:val="21"/>
        </w:rPr>
      </w:pPr>
      <w:r>
        <w:rPr>
          <w:rFonts w:ascii="宋体" w:hAnsi="宋体" w:eastAsia="宋体" w:cs="宋体"/>
          <w:sz w:val="21"/>
          <w:szCs w:val="21"/>
        </w:rPr>
        <w:t>前述分析方法都是建立在2×2列联表的基础上的。虽然可以同</w:t>
      </w:r>
      <w:r>
        <w:rPr>
          <w:rFonts w:ascii="宋体" w:hAnsi="宋体" w:eastAsia="宋体" w:cs="宋体"/>
          <w:spacing w:val="-1"/>
          <w:sz w:val="21"/>
          <w:szCs w:val="21"/>
        </w:rPr>
        <w:t>时调整几个混杂因素，每个混</w:t>
      </w:r>
      <w:r>
        <w:rPr>
          <w:rFonts w:ascii="宋体" w:hAnsi="宋体" w:eastAsia="宋体" w:cs="宋体"/>
          <w:sz w:val="21"/>
          <w:szCs w:val="21"/>
        </w:rPr>
        <w:t xml:space="preserve"> 杂因素也可分为若干水平，但暴露因素只分为两个水平。如果能够获得某些暴露因素不同暴露水 </w:t>
      </w:r>
      <w:r>
        <w:rPr>
          <w:rFonts w:ascii="宋体" w:hAnsi="宋体" w:eastAsia="宋体" w:cs="宋体"/>
          <w:spacing w:val="2"/>
          <w:sz w:val="21"/>
          <w:szCs w:val="21"/>
        </w:rPr>
        <w:t>平的资料(也称分级资料),可将不同暴露水平的资料由小到大或由大到小分成多个有序的暴露等</w:t>
      </w:r>
      <w:r>
        <w:rPr>
          <w:rFonts w:ascii="宋体" w:hAnsi="宋体" w:eastAsia="宋体" w:cs="宋体"/>
          <w:spacing w:val="18"/>
          <w:sz w:val="21"/>
          <w:szCs w:val="21"/>
        </w:rPr>
        <w:t xml:space="preserve"> </w:t>
      </w:r>
      <w:r>
        <w:rPr>
          <w:rFonts w:ascii="宋体" w:hAnsi="宋体" w:eastAsia="宋体" w:cs="宋体"/>
          <w:spacing w:val="-2"/>
          <w:sz w:val="21"/>
          <w:szCs w:val="21"/>
        </w:rPr>
        <w:t>级，不同暴露等级分别与无暴露或最低水平的</w:t>
      </w:r>
      <w:r>
        <w:rPr>
          <w:rFonts w:ascii="宋体" w:hAnsi="宋体" w:eastAsia="宋体" w:cs="宋体"/>
          <w:spacing w:val="-3"/>
          <w:sz w:val="21"/>
          <w:szCs w:val="21"/>
        </w:rPr>
        <w:t>暴露做比较，以分析这些暴露与疾病之间的剂量-反</w:t>
      </w:r>
      <w:r>
        <w:rPr>
          <w:rFonts w:ascii="宋体" w:hAnsi="宋体" w:eastAsia="宋体" w:cs="宋体"/>
          <w:sz w:val="21"/>
          <w:szCs w:val="21"/>
        </w:rPr>
        <w:t xml:space="preserve"> </w:t>
      </w:r>
      <w:r>
        <w:rPr>
          <w:rFonts w:ascii="宋体" w:hAnsi="宋体" w:eastAsia="宋体" w:cs="宋体"/>
          <w:spacing w:val="-1"/>
          <w:sz w:val="21"/>
          <w:szCs w:val="21"/>
        </w:rPr>
        <w:t>应关系</w:t>
      </w:r>
      <w:r>
        <w:rPr>
          <w:rFonts w:ascii="Times New Roman" w:hAnsi="Times New Roman" w:eastAsia="Times New Roman" w:cs="Times New Roman"/>
          <w:spacing w:val="-1"/>
          <w:sz w:val="21"/>
          <w:szCs w:val="21"/>
        </w:rPr>
        <w:t>(dose-response</w:t>
      </w:r>
      <w:r>
        <w:rPr>
          <w:rFonts w:ascii="Times New Roman" w:hAnsi="Times New Roman" w:eastAsia="Times New Roman" w:cs="Times New Roman"/>
          <w:spacing w:val="44"/>
          <w:w w:val="101"/>
          <w:sz w:val="21"/>
          <w:szCs w:val="21"/>
        </w:rPr>
        <w:t xml:space="preserve"> </w:t>
      </w:r>
      <w:r>
        <w:rPr>
          <w:rFonts w:ascii="Times New Roman" w:hAnsi="Times New Roman" w:eastAsia="Times New Roman" w:cs="Times New Roman"/>
          <w:spacing w:val="-1"/>
          <w:sz w:val="21"/>
          <w:szCs w:val="21"/>
        </w:rPr>
        <w:t>relationship),</w:t>
      </w:r>
      <w:r>
        <w:rPr>
          <w:rFonts w:ascii="宋体" w:hAnsi="宋体" w:eastAsia="宋体" w:cs="宋体"/>
          <w:spacing w:val="-1"/>
          <w:sz w:val="21"/>
          <w:szCs w:val="21"/>
        </w:rPr>
        <w:t>增加因果关系推断的依据。分级暴露资料的分析方法如下：</w:t>
      </w:r>
    </w:p>
    <w:p w14:paraId="5E9A6675">
      <w:pPr>
        <w:spacing w:before="1" w:line="219" w:lineRule="auto"/>
        <w:ind w:left="1160"/>
        <w:rPr>
          <w:rFonts w:ascii="宋体" w:hAnsi="宋体" w:eastAsia="宋体" w:cs="宋体"/>
          <w:sz w:val="21"/>
          <w:szCs w:val="21"/>
        </w:rPr>
      </w:pPr>
      <w:r>
        <w:rPr>
          <w:rFonts w:ascii="宋体" w:hAnsi="宋体" w:eastAsia="宋体" w:cs="宋体"/>
          <w:spacing w:val="-1"/>
          <w:sz w:val="21"/>
          <w:szCs w:val="21"/>
        </w:rPr>
        <w:t>(1)将资料整理归纳成</w:t>
      </w:r>
      <w:r>
        <w:rPr>
          <w:rFonts w:ascii="Times New Roman" w:hAnsi="Times New Roman" w:eastAsia="Times New Roman" w:cs="Times New Roman"/>
          <w:spacing w:val="-1"/>
          <w:sz w:val="21"/>
          <w:szCs w:val="21"/>
        </w:rPr>
        <w:t>R×C</w:t>
      </w:r>
      <w:r>
        <w:rPr>
          <w:rFonts w:ascii="Times New Roman" w:hAnsi="Times New Roman" w:eastAsia="Times New Roman" w:cs="Times New Roman"/>
          <w:spacing w:val="23"/>
          <w:sz w:val="21"/>
          <w:szCs w:val="21"/>
        </w:rPr>
        <w:t xml:space="preserve"> </w:t>
      </w:r>
      <w:r>
        <w:rPr>
          <w:rFonts w:ascii="宋体" w:hAnsi="宋体" w:eastAsia="宋体" w:cs="宋体"/>
          <w:spacing w:val="-1"/>
          <w:sz w:val="21"/>
          <w:szCs w:val="21"/>
        </w:rPr>
        <w:t>列联表形式：见表5-9。</w:t>
      </w:r>
    </w:p>
    <w:p w14:paraId="726B4A65">
      <w:pPr>
        <w:pStyle w:val="2"/>
        <w:spacing w:before="239" w:line="221" w:lineRule="auto"/>
        <w:ind w:left="3589"/>
        <w:rPr>
          <w:sz w:val="21"/>
          <w:szCs w:val="21"/>
        </w:rPr>
      </w:pPr>
      <w:r>
        <w:rPr>
          <w:spacing w:val="-12"/>
          <w:w w:val="98"/>
          <w:sz w:val="21"/>
          <w:szCs w:val="21"/>
        </w:rPr>
        <w:t>表5-9</w:t>
      </w:r>
      <w:r>
        <w:rPr>
          <w:spacing w:val="56"/>
          <w:sz w:val="21"/>
          <w:szCs w:val="21"/>
        </w:rPr>
        <w:t xml:space="preserve"> </w:t>
      </w:r>
      <w:r>
        <w:rPr>
          <w:spacing w:val="-12"/>
          <w:w w:val="98"/>
          <w:sz w:val="21"/>
          <w:szCs w:val="21"/>
        </w:rPr>
        <w:t>病例对照研究分级资料整理表</w:t>
      </w:r>
    </w:p>
    <w:p w14:paraId="51B14EB3">
      <w:pPr>
        <w:spacing w:line="47" w:lineRule="exact"/>
      </w:pPr>
    </w:p>
    <w:tbl>
      <w:tblPr>
        <w:tblStyle w:val="5"/>
        <w:tblW w:w="8800" w:type="dxa"/>
        <w:tblInd w:w="759"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0" w:type="dxa"/>
          <w:left w:w="0" w:type="dxa"/>
          <w:bottom w:w="0" w:type="dxa"/>
          <w:right w:w="0" w:type="dxa"/>
        </w:tblCellMar>
      </w:tblPr>
      <w:tblGrid>
        <w:gridCol w:w="1080"/>
        <w:gridCol w:w="1170"/>
        <w:gridCol w:w="1040"/>
        <w:gridCol w:w="1100"/>
        <w:gridCol w:w="1130"/>
        <w:gridCol w:w="1160"/>
        <w:gridCol w:w="1030"/>
        <w:gridCol w:w="1090"/>
      </w:tblGrid>
      <w:tr w14:paraId="5F54A4A8">
        <w:trPr>
          <w:trHeight w:val="383" w:hRule="atLeast"/>
        </w:trPr>
        <w:tc>
          <w:tcPr>
            <w:tcW w:w="1080" w:type="dxa"/>
            <w:vMerge w:val="restart"/>
            <w:tcBorders>
              <w:top w:val="single" w:color="000000" w:sz="4" w:space="0"/>
              <w:bottom w:val="nil"/>
            </w:tcBorders>
            <w:shd w:val="clear" w:color="auto" w:fill="C7D5CF"/>
            <w:vAlign w:val="top"/>
          </w:tcPr>
          <w:p w14:paraId="72602F0E">
            <w:pPr>
              <w:pStyle w:val="6"/>
              <w:spacing w:before="292" w:line="220" w:lineRule="auto"/>
              <w:ind w:left="359"/>
              <w:rPr>
                <w:sz w:val="18"/>
                <w:szCs w:val="18"/>
              </w:rPr>
            </w:pPr>
            <w:r>
              <w:rPr>
                <w:spacing w:val="7"/>
                <w:sz w:val="18"/>
                <w:szCs w:val="18"/>
              </w:rPr>
              <w:t>组别</w:t>
            </w:r>
          </w:p>
        </w:tc>
        <w:tc>
          <w:tcPr>
            <w:tcW w:w="6630" w:type="dxa"/>
            <w:gridSpan w:val="6"/>
            <w:tcBorders>
              <w:top w:val="single" w:color="000000" w:sz="4" w:space="0"/>
              <w:bottom w:val="single" w:color="000000" w:sz="4" w:space="0"/>
            </w:tcBorders>
            <w:shd w:val="clear" w:color="auto" w:fill="C9CDCA"/>
            <w:vAlign w:val="top"/>
          </w:tcPr>
          <w:p w14:paraId="5CC44699">
            <w:pPr>
              <w:pStyle w:val="6"/>
              <w:spacing w:before="98" w:line="219" w:lineRule="auto"/>
              <w:ind w:left="2952"/>
              <w:rPr>
                <w:sz w:val="18"/>
                <w:szCs w:val="18"/>
              </w:rPr>
            </w:pPr>
            <w:r>
              <w:rPr>
                <w:b/>
                <w:bCs/>
                <w:spacing w:val="-4"/>
                <w:sz w:val="18"/>
                <w:szCs w:val="18"/>
              </w:rPr>
              <w:t>暴露分级</w:t>
            </w:r>
          </w:p>
        </w:tc>
        <w:tc>
          <w:tcPr>
            <w:tcW w:w="1090" w:type="dxa"/>
            <w:vMerge w:val="restart"/>
            <w:tcBorders>
              <w:top w:val="single" w:color="000000" w:sz="4" w:space="0"/>
              <w:bottom w:val="nil"/>
            </w:tcBorders>
            <w:shd w:val="clear" w:color="auto" w:fill="B4B6AB"/>
            <w:vAlign w:val="top"/>
          </w:tcPr>
          <w:p w14:paraId="55627F70">
            <w:pPr>
              <w:pStyle w:val="6"/>
              <w:spacing w:before="293" w:line="221" w:lineRule="auto"/>
              <w:ind w:left="359"/>
              <w:rPr>
                <w:sz w:val="18"/>
                <w:szCs w:val="18"/>
              </w:rPr>
            </w:pPr>
            <w:r>
              <w:rPr>
                <w:spacing w:val="-2"/>
                <w:sz w:val="18"/>
                <w:szCs w:val="18"/>
              </w:rPr>
              <w:t>合计</w:t>
            </w:r>
          </w:p>
        </w:tc>
      </w:tr>
      <w:tr w14:paraId="64F8DBA1">
        <w:trPr>
          <w:trHeight w:val="368" w:hRule="atLeast"/>
        </w:trPr>
        <w:tc>
          <w:tcPr>
            <w:tcW w:w="1080" w:type="dxa"/>
            <w:vMerge w:val="continue"/>
            <w:tcBorders>
              <w:top w:val="nil"/>
              <w:bottom w:val="single" w:color="000000" w:sz="4" w:space="0"/>
            </w:tcBorders>
            <w:vAlign w:val="top"/>
          </w:tcPr>
          <w:p w14:paraId="218F38A2">
            <w:pPr>
              <w:rPr>
                <w:rFonts w:ascii="Arial"/>
                <w:sz w:val="21"/>
              </w:rPr>
            </w:pPr>
          </w:p>
        </w:tc>
        <w:tc>
          <w:tcPr>
            <w:tcW w:w="1170" w:type="dxa"/>
            <w:tcBorders>
              <w:top w:val="single" w:color="000000" w:sz="4" w:space="0"/>
              <w:bottom w:val="single" w:color="000000" w:sz="4" w:space="0"/>
            </w:tcBorders>
            <w:shd w:val="clear" w:color="auto" w:fill="C2CBC7"/>
            <w:vAlign w:val="top"/>
          </w:tcPr>
          <w:p w14:paraId="2F45E8BE">
            <w:pPr>
              <w:pStyle w:val="6"/>
              <w:spacing w:before="146" w:line="182" w:lineRule="auto"/>
              <w:ind w:left="489"/>
              <w:rPr>
                <w:sz w:val="18"/>
                <w:szCs w:val="18"/>
              </w:rPr>
            </w:pPr>
            <w:r>
              <w:rPr>
                <w:spacing w:val="-2"/>
                <w:sz w:val="18"/>
                <w:szCs w:val="18"/>
              </w:rPr>
              <w:t>Xo</w:t>
            </w:r>
          </w:p>
        </w:tc>
        <w:tc>
          <w:tcPr>
            <w:tcW w:w="1040" w:type="dxa"/>
            <w:tcBorders>
              <w:top w:val="single" w:color="000000" w:sz="4" w:space="0"/>
              <w:bottom w:val="single" w:color="000000" w:sz="4" w:space="0"/>
            </w:tcBorders>
            <w:shd w:val="clear" w:color="auto" w:fill="BDC2BF"/>
            <w:vAlign w:val="top"/>
          </w:tcPr>
          <w:p w14:paraId="38EB78C0">
            <w:pPr>
              <w:pStyle w:val="6"/>
              <w:spacing w:before="128" w:line="182" w:lineRule="auto"/>
              <w:ind w:left="380"/>
              <w:rPr>
                <w:rFonts w:ascii="Calibri" w:hAnsi="Calibri" w:eastAsia="Calibri" w:cs="Calibri"/>
                <w:sz w:val="18"/>
                <w:szCs w:val="18"/>
              </w:rPr>
            </w:pPr>
            <w:r>
              <w:rPr>
                <w:spacing w:val="-3"/>
                <w:sz w:val="18"/>
                <w:szCs w:val="18"/>
              </w:rPr>
              <w:t>X</w:t>
            </w:r>
            <w:r>
              <w:rPr>
                <w:rFonts w:ascii="Calibri" w:hAnsi="Calibri" w:eastAsia="Calibri" w:cs="Calibri"/>
                <w:spacing w:val="-3"/>
                <w:sz w:val="18"/>
                <w:szCs w:val="18"/>
              </w:rPr>
              <w:t>₁</w:t>
            </w:r>
          </w:p>
        </w:tc>
        <w:tc>
          <w:tcPr>
            <w:tcW w:w="1100" w:type="dxa"/>
            <w:tcBorders>
              <w:top w:val="single" w:color="000000" w:sz="4" w:space="0"/>
              <w:bottom w:val="single" w:color="000000" w:sz="4" w:space="0"/>
            </w:tcBorders>
            <w:shd w:val="clear" w:color="auto" w:fill="BDC1BE"/>
            <w:vAlign w:val="top"/>
          </w:tcPr>
          <w:p w14:paraId="6724F9BB">
            <w:pPr>
              <w:pStyle w:val="6"/>
              <w:spacing w:before="129" w:line="182" w:lineRule="auto"/>
              <w:ind w:left="410"/>
              <w:rPr>
                <w:rFonts w:ascii="Calibri" w:hAnsi="Calibri" w:eastAsia="Calibri" w:cs="Calibri"/>
                <w:sz w:val="18"/>
                <w:szCs w:val="18"/>
              </w:rPr>
            </w:pPr>
            <w:r>
              <w:rPr>
                <w:spacing w:val="-3"/>
                <w:sz w:val="18"/>
                <w:szCs w:val="18"/>
              </w:rPr>
              <w:t>X</w:t>
            </w:r>
            <w:r>
              <w:rPr>
                <w:rFonts w:ascii="Calibri" w:hAnsi="Calibri" w:eastAsia="Calibri" w:cs="Calibri"/>
                <w:spacing w:val="-3"/>
                <w:sz w:val="18"/>
                <w:szCs w:val="18"/>
              </w:rPr>
              <w:t>₂</w:t>
            </w:r>
          </w:p>
        </w:tc>
        <w:tc>
          <w:tcPr>
            <w:tcW w:w="1130" w:type="dxa"/>
            <w:tcBorders>
              <w:top w:val="single" w:color="000000" w:sz="4" w:space="0"/>
              <w:bottom w:val="single" w:color="000000" w:sz="4" w:space="0"/>
            </w:tcBorders>
            <w:shd w:val="clear" w:color="auto" w:fill="BEC2BF"/>
            <w:vAlign w:val="top"/>
          </w:tcPr>
          <w:p w14:paraId="2ACCB35F">
            <w:pPr>
              <w:pStyle w:val="6"/>
              <w:spacing w:before="127" w:line="182" w:lineRule="auto"/>
              <w:ind w:left="429"/>
              <w:rPr>
                <w:rFonts w:ascii="Calibri" w:hAnsi="Calibri" w:eastAsia="Calibri" w:cs="Calibri"/>
                <w:sz w:val="18"/>
                <w:szCs w:val="18"/>
              </w:rPr>
            </w:pPr>
            <w:r>
              <w:rPr>
                <w:spacing w:val="-3"/>
                <w:sz w:val="18"/>
                <w:szCs w:val="18"/>
              </w:rPr>
              <w:t>X</w:t>
            </w:r>
            <w:r>
              <w:rPr>
                <w:rFonts w:ascii="Calibri" w:hAnsi="Calibri" w:eastAsia="Calibri" w:cs="Calibri"/>
                <w:spacing w:val="-3"/>
                <w:sz w:val="18"/>
                <w:szCs w:val="18"/>
              </w:rPr>
              <w:t>₃</w:t>
            </w:r>
          </w:p>
        </w:tc>
        <w:tc>
          <w:tcPr>
            <w:tcW w:w="1160" w:type="dxa"/>
            <w:tcBorders>
              <w:top w:val="single" w:color="000000" w:sz="4" w:space="0"/>
              <w:bottom w:val="single" w:color="000000" w:sz="4" w:space="0"/>
            </w:tcBorders>
            <w:shd w:val="clear" w:color="auto" w:fill="C0C2BF"/>
            <w:vAlign w:val="top"/>
          </w:tcPr>
          <w:p w14:paraId="5F6CFF20">
            <w:pPr>
              <w:pStyle w:val="6"/>
              <w:spacing w:before="145" w:line="183" w:lineRule="auto"/>
              <w:ind w:left="489"/>
              <w:rPr>
                <w:sz w:val="18"/>
                <w:szCs w:val="18"/>
              </w:rPr>
            </w:pPr>
            <w:r>
              <w:rPr>
                <w:spacing w:val="-2"/>
                <w:sz w:val="18"/>
                <w:szCs w:val="18"/>
              </w:rPr>
              <w:t>X4</w:t>
            </w:r>
          </w:p>
        </w:tc>
        <w:tc>
          <w:tcPr>
            <w:tcW w:w="1030" w:type="dxa"/>
            <w:tcBorders>
              <w:top w:val="single" w:color="000000" w:sz="4" w:space="0"/>
              <w:bottom w:val="single" w:color="000000" w:sz="4" w:space="0"/>
            </w:tcBorders>
            <w:shd w:val="clear" w:color="auto" w:fill="B6BAB7"/>
            <w:vAlign w:val="top"/>
          </w:tcPr>
          <w:p w14:paraId="7A456A10">
            <w:pPr>
              <w:pStyle w:val="6"/>
              <w:spacing w:before="117" w:line="240" w:lineRule="exact"/>
              <w:ind w:left="420"/>
              <w:rPr>
                <w:sz w:val="18"/>
                <w:szCs w:val="18"/>
              </w:rPr>
            </w:pPr>
            <w:r>
              <w:rPr>
                <w:position w:val="1"/>
                <w:sz w:val="18"/>
                <w:szCs w:val="18"/>
              </w:rPr>
              <w:t>…</w:t>
            </w:r>
          </w:p>
        </w:tc>
        <w:tc>
          <w:tcPr>
            <w:tcW w:w="1090" w:type="dxa"/>
            <w:vMerge w:val="continue"/>
            <w:tcBorders>
              <w:top w:val="nil"/>
              <w:bottom w:val="single" w:color="000000" w:sz="4" w:space="0"/>
            </w:tcBorders>
            <w:vAlign w:val="top"/>
          </w:tcPr>
          <w:p w14:paraId="38F576CF">
            <w:pPr>
              <w:rPr>
                <w:rFonts w:ascii="Arial"/>
                <w:sz w:val="21"/>
              </w:rPr>
            </w:pPr>
          </w:p>
        </w:tc>
      </w:tr>
      <w:tr w14:paraId="0E1D3267">
        <w:trPr>
          <w:trHeight w:val="367" w:hRule="atLeast"/>
        </w:trPr>
        <w:tc>
          <w:tcPr>
            <w:tcW w:w="1080" w:type="dxa"/>
            <w:tcBorders>
              <w:top w:val="single" w:color="000000" w:sz="4" w:space="0"/>
              <w:bottom w:val="single" w:color="000000" w:sz="4" w:space="0"/>
            </w:tcBorders>
            <w:vAlign w:val="top"/>
          </w:tcPr>
          <w:p w14:paraId="37560100">
            <w:pPr>
              <w:pStyle w:val="6"/>
              <w:spacing w:before="102" w:line="221" w:lineRule="auto"/>
              <w:ind w:left="359"/>
              <w:rPr>
                <w:sz w:val="18"/>
                <w:szCs w:val="18"/>
              </w:rPr>
            </w:pPr>
            <w:r>
              <w:rPr>
                <w:spacing w:val="7"/>
                <w:sz w:val="18"/>
                <w:szCs w:val="18"/>
              </w:rPr>
              <w:t>病例</w:t>
            </w:r>
          </w:p>
        </w:tc>
        <w:tc>
          <w:tcPr>
            <w:tcW w:w="1170" w:type="dxa"/>
            <w:tcBorders>
              <w:top w:val="single" w:color="000000" w:sz="4" w:space="0"/>
              <w:bottom w:val="single" w:color="000000" w:sz="4" w:space="0"/>
            </w:tcBorders>
            <w:vAlign w:val="top"/>
          </w:tcPr>
          <w:p w14:paraId="01485607">
            <w:pPr>
              <w:pStyle w:val="6"/>
              <w:spacing w:before="100" w:line="219" w:lineRule="auto"/>
              <w:ind w:left="310"/>
              <w:rPr>
                <w:sz w:val="18"/>
                <w:szCs w:val="18"/>
              </w:rPr>
            </w:pPr>
            <w:r>
              <w:rPr>
                <w:spacing w:val="-6"/>
                <w:sz w:val="18"/>
                <w:szCs w:val="18"/>
              </w:rPr>
              <w:t>a</w:t>
            </w:r>
            <w:r>
              <w:rPr>
                <w:rFonts w:ascii="Calibri" w:hAnsi="Calibri" w:eastAsia="Calibri" w:cs="Calibri"/>
                <w:spacing w:val="-6"/>
                <w:sz w:val="18"/>
                <w:szCs w:val="18"/>
              </w:rPr>
              <w:t xml:space="preserve">₀ </w:t>
            </w:r>
            <w:r>
              <w:rPr>
                <w:spacing w:val="-6"/>
                <w:sz w:val="18"/>
                <w:szCs w:val="18"/>
              </w:rPr>
              <w:t>(c)</w:t>
            </w:r>
          </w:p>
        </w:tc>
        <w:tc>
          <w:tcPr>
            <w:tcW w:w="1040" w:type="dxa"/>
            <w:tcBorders>
              <w:top w:val="single" w:color="000000" w:sz="4" w:space="0"/>
              <w:bottom w:val="single" w:color="000000" w:sz="4" w:space="0"/>
            </w:tcBorders>
            <w:vAlign w:val="top"/>
          </w:tcPr>
          <w:p w14:paraId="4BF49841">
            <w:pPr>
              <w:pStyle w:val="6"/>
              <w:spacing w:before="96" w:line="214" w:lineRule="auto"/>
              <w:ind w:left="430"/>
              <w:rPr>
                <w:sz w:val="18"/>
                <w:szCs w:val="18"/>
              </w:rPr>
            </w:pPr>
            <w:r>
              <w:rPr>
                <w:spacing w:val="-2"/>
                <w:sz w:val="18"/>
                <w:szCs w:val="18"/>
              </w:rPr>
              <w:t>aj</w:t>
            </w:r>
          </w:p>
        </w:tc>
        <w:tc>
          <w:tcPr>
            <w:tcW w:w="1100" w:type="dxa"/>
            <w:tcBorders>
              <w:top w:val="single" w:color="000000" w:sz="4" w:space="0"/>
              <w:bottom w:val="single" w:color="000000" w:sz="4" w:space="0"/>
            </w:tcBorders>
            <w:vAlign w:val="top"/>
          </w:tcPr>
          <w:p w14:paraId="0151A625">
            <w:pPr>
              <w:pStyle w:val="6"/>
              <w:spacing w:before="101" w:line="220" w:lineRule="auto"/>
              <w:ind w:left="410"/>
              <w:rPr>
                <w:rFonts w:ascii="Calibri" w:hAnsi="Calibri" w:eastAsia="Calibri" w:cs="Calibri"/>
                <w:sz w:val="18"/>
                <w:szCs w:val="18"/>
              </w:rPr>
            </w:pPr>
            <w:r>
              <w:rPr>
                <w:spacing w:val="-4"/>
                <w:sz w:val="18"/>
                <w:szCs w:val="18"/>
              </w:rPr>
              <w:t>a</w:t>
            </w:r>
            <w:r>
              <w:rPr>
                <w:rFonts w:ascii="Calibri" w:hAnsi="Calibri" w:eastAsia="Calibri" w:cs="Calibri"/>
                <w:spacing w:val="-4"/>
                <w:sz w:val="18"/>
                <w:szCs w:val="18"/>
              </w:rPr>
              <w:t>₂</w:t>
            </w:r>
          </w:p>
        </w:tc>
        <w:tc>
          <w:tcPr>
            <w:tcW w:w="1130" w:type="dxa"/>
            <w:tcBorders>
              <w:top w:val="single" w:color="000000" w:sz="4" w:space="0"/>
              <w:bottom w:val="single" w:color="000000" w:sz="4" w:space="0"/>
            </w:tcBorders>
            <w:vAlign w:val="top"/>
          </w:tcPr>
          <w:p w14:paraId="3729EBEE">
            <w:pPr>
              <w:pStyle w:val="6"/>
              <w:spacing w:before="100" w:line="219" w:lineRule="auto"/>
              <w:ind w:left="429"/>
              <w:rPr>
                <w:rFonts w:ascii="Calibri" w:hAnsi="Calibri" w:eastAsia="Calibri" w:cs="Calibri"/>
                <w:sz w:val="18"/>
                <w:szCs w:val="18"/>
              </w:rPr>
            </w:pPr>
            <w:r>
              <w:rPr>
                <w:spacing w:val="-4"/>
                <w:sz w:val="18"/>
                <w:szCs w:val="18"/>
              </w:rPr>
              <w:t>a</w:t>
            </w:r>
            <w:r>
              <w:rPr>
                <w:rFonts w:ascii="Calibri" w:hAnsi="Calibri" w:eastAsia="Calibri" w:cs="Calibri"/>
                <w:spacing w:val="-4"/>
                <w:sz w:val="18"/>
                <w:szCs w:val="18"/>
              </w:rPr>
              <w:t>₃</w:t>
            </w:r>
          </w:p>
        </w:tc>
        <w:tc>
          <w:tcPr>
            <w:tcW w:w="1160" w:type="dxa"/>
            <w:tcBorders>
              <w:top w:val="single" w:color="000000" w:sz="4" w:space="0"/>
              <w:bottom w:val="single" w:color="000000" w:sz="4" w:space="0"/>
            </w:tcBorders>
            <w:vAlign w:val="top"/>
          </w:tcPr>
          <w:p w14:paraId="0F191BC5">
            <w:pPr>
              <w:pStyle w:val="6"/>
              <w:spacing w:before="119"/>
              <w:ind w:left="489"/>
              <w:rPr>
                <w:sz w:val="18"/>
                <w:szCs w:val="18"/>
              </w:rPr>
            </w:pPr>
            <w:r>
              <w:rPr>
                <w:spacing w:val="-2"/>
                <w:sz w:val="18"/>
                <w:szCs w:val="18"/>
              </w:rPr>
              <w:t>a4</w:t>
            </w:r>
          </w:p>
        </w:tc>
        <w:tc>
          <w:tcPr>
            <w:tcW w:w="1030" w:type="dxa"/>
            <w:tcBorders>
              <w:top w:val="single" w:color="000000" w:sz="4" w:space="0"/>
              <w:bottom w:val="single" w:color="000000" w:sz="4" w:space="0"/>
            </w:tcBorders>
            <w:vAlign w:val="top"/>
          </w:tcPr>
          <w:p w14:paraId="4988B6A4">
            <w:pPr>
              <w:pStyle w:val="6"/>
              <w:spacing w:before="119" w:line="238" w:lineRule="exact"/>
              <w:ind w:left="420"/>
              <w:rPr>
                <w:sz w:val="18"/>
                <w:szCs w:val="18"/>
              </w:rPr>
            </w:pPr>
            <w:r>
              <w:rPr>
                <w:position w:val="1"/>
                <w:sz w:val="18"/>
                <w:szCs w:val="18"/>
              </w:rPr>
              <w:t>…</w:t>
            </w:r>
          </w:p>
        </w:tc>
        <w:tc>
          <w:tcPr>
            <w:tcW w:w="1090" w:type="dxa"/>
            <w:tcBorders>
              <w:top w:val="single" w:color="000000" w:sz="4" w:space="0"/>
              <w:bottom w:val="single" w:color="000000" w:sz="4" w:space="0"/>
            </w:tcBorders>
            <w:vAlign w:val="top"/>
          </w:tcPr>
          <w:p w14:paraId="0A879DD2">
            <w:pPr>
              <w:pStyle w:val="6"/>
              <w:spacing w:before="169" w:line="138" w:lineRule="exact"/>
              <w:ind w:left="409"/>
              <w:rPr>
                <w:rFonts w:ascii="Calibri" w:hAnsi="Calibri" w:eastAsia="Calibri" w:cs="Calibri"/>
                <w:sz w:val="18"/>
                <w:szCs w:val="18"/>
              </w:rPr>
            </w:pPr>
            <w:r>
              <w:rPr>
                <w:spacing w:val="-3"/>
                <w:position w:val="1"/>
                <w:sz w:val="18"/>
                <w:szCs w:val="18"/>
              </w:rPr>
              <w:t>n</w:t>
            </w:r>
            <w:r>
              <w:rPr>
                <w:rFonts w:ascii="Calibri" w:hAnsi="Calibri" w:eastAsia="Calibri" w:cs="Calibri"/>
                <w:spacing w:val="-3"/>
                <w:position w:val="1"/>
                <w:sz w:val="18"/>
                <w:szCs w:val="18"/>
              </w:rPr>
              <w:t>₁</w:t>
            </w:r>
          </w:p>
        </w:tc>
      </w:tr>
      <w:tr w14:paraId="31C95012">
        <w:trPr>
          <w:trHeight w:val="348" w:hRule="atLeast"/>
        </w:trPr>
        <w:tc>
          <w:tcPr>
            <w:tcW w:w="1080" w:type="dxa"/>
            <w:tcBorders>
              <w:top w:val="single" w:color="000000" w:sz="4" w:space="0"/>
              <w:bottom w:val="single" w:color="000000" w:sz="4" w:space="0"/>
            </w:tcBorders>
            <w:shd w:val="clear" w:color="auto" w:fill="E1E5E8"/>
            <w:vAlign w:val="top"/>
          </w:tcPr>
          <w:p w14:paraId="62F26C1D">
            <w:pPr>
              <w:pStyle w:val="6"/>
              <w:spacing w:before="95" w:line="221" w:lineRule="auto"/>
              <w:ind w:left="359"/>
              <w:rPr>
                <w:sz w:val="18"/>
                <w:szCs w:val="18"/>
              </w:rPr>
            </w:pPr>
            <w:r>
              <w:rPr>
                <w:spacing w:val="7"/>
                <w:sz w:val="18"/>
                <w:szCs w:val="18"/>
              </w:rPr>
              <w:t>对照</w:t>
            </w:r>
          </w:p>
        </w:tc>
        <w:tc>
          <w:tcPr>
            <w:tcW w:w="1170" w:type="dxa"/>
            <w:tcBorders>
              <w:top w:val="single" w:color="000000" w:sz="4" w:space="0"/>
              <w:bottom w:val="single" w:color="000000" w:sz="4" w:space="0"/>
            </w:tcBorders>
            <w:shd w:val="clear" w:color="auto" w:fill="E0E0E2"/>
            <w:vAlign w:val="top"/>
          </w:tcPr>
          <w:p w14:paraId="28446665">
            <w:pPr>
              <w:pStyle w:val="6"/>
              <w:spacing w:before="93" w:line="219" w:lineRule="auto"/>
              <w:ind w:left="310"/>
              <w:rPr>
                <w:sz w:val="18"/>
                <w:szCs w:val="18"/>
              </w:rPr>
            </w:pPr>
            <w:r>
              <w:rPr>
                <w:spacing w:val="-6"/>
                <w:sz w:val="18"/>
                <w:szCs w:val="18"/>
              </w:rPr>
              <w:t>b</w:t>
            </w:r>
            <w:r>
              <w:rPr>
                <w:rFonts w:ascii="Calibri" w:hAnsi="Calibri" w:eastAsia="Calibri" w:cs="Calibri"/>
                <w:spacing w:val="-6"/>
                <w:sz w:val="18"/>
                <w:szCs w:val="18"/>
              </w:rPr>
              <w:t xml:space="preserve">₀ </w:t>
            </w:r>
            <w:r>
              <w:rPr>
                <w:spacing w:val="-6"/>
                <w:sz w:val="18"/>
                <w:szCs w:val="18"/>
              </w:rPr>
              <w:t>(d)</w:t>
            </w:r>
          </w:p>
        </w:tc>
        <w:tc>
          <w:tcPr>
            <w:tcW w:w="1040" w:type="dxa"/>
            <w:tcBorders>
              <w:top w:val="single" w:color="000000" w:sz="4" w:space="0"/>
              <w:bottom w:val="single" w:color="000000" w:sz="4" w:space="0"/>
            </w:tcBorders>
            <w:shd w:val="clear" w:color="auto" w:fill="DDDDDD"/>
            <w:vAlign w:val="top"/>
          </w:tcPr>
          <w:p w14:paraId="3B27CDCA">
            <w:pPr>
              <w:pStyle w:val="6"/>
              <w:spacing w:before="94" w:line="219" w:lineRule="auto"/>
              <w:ind w:left="380"/>
              <w:rPr>
                <w:rFonts w:ascii="Calibri" w:hAnsi="Calibri" w:eastAsia="Calibri" w:cs="Calibri"/>
                <w:sz w:val="18"/>
                <w:szCs w:val="18"/>
              </w:rPr>
            </w:pPr>
            <w:r>
              <w:rPr>
                <w:spacing w:val="-3"/>
                <w:sz w:val="18"/>
                <w:szCs w:val="18"/>
              </w:rPr>
              <w:t>b</w:t>
            </w:r>
            <w:r>
              <w:rPr>
                <w:rFonts w:ascii="Calibri" w:hAnsi="Calibri" w:eastAsia="Calibri" w:cs="Calibri"/>
                <w:spacing w:val="-3"/>
                <w:sz w:val="18"/>
                <w:szCs w:val="18"/>
              </w:rPr>
              <w:t>₁</w:t>
            </w:r>
          </w:p>
        </w:tc>
        <w:tc>
          <w:tcPr>
            <w:tcW w:w="1100" w:type="dxa"/>
            <w:tcBorders>
              <w:top w:val="single" w:color="000000" w:sz="4" w:space="0"/>
              <w:bottom w:val="single" w:color="000000" w:sz="4" w:space="0"/>
            </w:tcBorders>
            <w:shd w:val="clear" w:color="auto" w:fill="DCDCDC"/>
            <w:vAlign w:val="top"/>
          </w:tcPr>
          <w:p w14:paraId="6ED1732B">
            <w:pPr>
              <w:pStyle w:val="6"/>
              <w:spacing w:before="94" w:line="220" w:lineRule="auto"/>
              <w:ind w:left="410"/>
              <w:rPr>
                <w:rFonts w:ascii="Calibri" w:hAnsi="Calibri" w:eastAsia="Calibri" w:cs="Calibri"/>
                <w:sz w:val="18"/>
                <w:szCs w:val="18"/>
              </w:rPr>
            </w:pPr>
            <w:r>
              <w:rPr>
                <w:spacing w:val="-3"/>
                <w:sz w:val="18"/>
                <w:szCs w:val="18"/>
              </w:rPr>
              <w:t>b</w:t>
            </w:r>
            <w:r>
              <w:rPr>
                <w:rFonts w:ascii="Calibri" w:hAnsi="Calibri" w:eastAsia="Calibri" w:cs="Calibri"/>
                <w:spacing w:val="-3"/>
                <w:sz w:val="18"/>
                <w:szCs w:val="18"/>
              </w:rPr>
              <w:t>₂</w:t>
            </w:r>
          </w:p>
        </w:tc>
        <w:tc>
          <w:tcPr>
            <w:tcW w:w="1130" w:type="dxa"/>
            <w:tcBorders>
              <w:top w:val="single" w:color="000000" w:sz="4" w:space="0"/>
              <w:bottom w:val="single" w:color="000000" w:sz="4" w:space="0"/>
            </w:tcBorders>
            <w:shd w:val="clear" w:color="auto" w:fill="DCDCDC"/>
            <w:vAlign w:val="top"/>
          </w:tcPr>
          <w:p w14:paraId="49162B7B">
            <w:pPr>
              <w:pStyle w:val="6"/>
              <w:spacing w:before="93" w:line="219" w:lineRule="auto"/>
              <w:ind w:left="429"/>
              <w:rPr>
                <w:rFonts w:ascii="Calibri" w:hAnsi="Calibri" w:eastAsia="Calibri" w:cs="Calibri"/>
                <w:sz w:val="18"/>
                <w:szCs w:val="18"/>
              </w:rPr>
            </w:pPr>
            <w:r>
              <w:rPr>
                <w:spacing w:val="-3"/>
                <w:sz w:val="18"/>
                <w:szCs w:val="18"/>
              </w:rPr>
              <w:t>b</w:t>
            </w:r>
            <w:r>
              <w:rPr>
                <w:rFonts w:ascii="Calibri" w:hAnsi="Calibri" w:eastAsia="Calibri" w:cs="Calibri"/>
                <w:spacing w:val="-3"/>
                <w:sz w:val="18"/>
                <w:szCs w:val="18"/>
              </w:rPr>
              <w:t>₃</w:t>
            </w:r>
          </w:p>
        </w:tc>
        <w:tc>
          <w:tcPr>
            <w:tcW w:w="1160" w:type="dxa"/>
            <w:tcBorders>
              <w:top w:val="single" w:color="000000" w:sz="4" w:space="0"/>
              <w:bottom w:val="single" w:color="000000" w:sz="4" w:space="0"/>
            </w:tcBorders>
            <w:shd w:val="clear" w:color="auto" w:fill="E1E0DE"/>
            <w:vAlign w:val="top"/>
          </w:tcPr>
          <w:p w14:paraId="261E6F46">
            <w:pPr>
              <w:pStyle w:val="6"/>
              <w:spacing w:before="94" w:line="219" w:lineRule="auto"/>
              <w:ind w:left="439"/>
              <w:rPr>
                <w:rFonts w:ascii="Calibri" w:hAnsi="Calibri" w:eastAsia="Calibri" w:cs="Calibri"/>
                <w:sz w:val="18"/>
                <w:szCs w:val="18"/>
              </w:rPr>
            </w:pPr>
            <w:r>
              <w:rPr>
                <w:spacing w:val="-3"/>
                <w:sz w:val="18"/>
                <w:szCs w:val="18"/>
              </w:rPr>
              <w:t>b</w:t>
            </w:r>
            <w:r>
              <w:rPr>
                <w:rFonts w:ascii="Calibri" w:hAnsi="Calibri" w:eastAsia="Calibri" w:cs="Calibri"/>
                <w:spacing w:val="-3"/>
                <w:sz w:val="18"/>
                <w:szCs w:val="18"/>
              </w:rPr>
              <w:t>₄</w:t>
            </w:r>
          </w:p>
        </w:tc>
        <w:tc>
          <w:tcPr>
            <w:tcW w:w="1030" w:type="dxa"/>
            <w:tcBorders>
              <w:top w:val="single" w:color="000000" w:sz="4" w:space="0"/>
              <w:bottom w:val="single" w:color="000000" w:sz="4" w:space="0"/>
            </w:tcBorders>
            <w:shd w:val="clear" w:color="auto" w:fill="DDDED9"/>
            <w:vAlign w:val="top"/>
          </w:tcPr>
          <w:p w14:paraId="1098B12E">
            <w:pPr>
              <w:pStyle w:val="6"/>
              <w:spacing w:before="112" w:line="231" w:lineRule="auto"/>
              <w:ind w:left="420"/>
              <w:rPr>
                <w:sz w:val="18"/>
                <w:szCs w:val="18"/>
              </w:rPr>
            </w:pPr>
            <w:r>
              <w:rPr>
                <w:sz w:val="18"/>
                <w:szCs w:val="18"/>
              </w:rPr>
              <w:t>…</w:t>
            </w:r>
          </w:p>
        </w:tc>
        <w:tc>
          <w:tcPr>
            <w:tcW w:w="1090" w:type="dxa"/>
            <w:tcBorders>
              <w:top w:val="single" w:color="000000" w:sz="4" w:space="0"/>
              <w:bottom w:val="single" w:color="000000" w:sz="4" w:space="0"/>
            </w:tcBorders>
            <w:shd w:val="clear" w:color="auto" w:fill="D8D9D4"/>
            <w:vAlign w:val="top"/>
          </w:tcPr>
          <w:p w14:paraId="100B64C7">
            <w:pPr>
              <w:pStyle w:val="6"/>
              <w:spacing w:before="161" w:line="139" w:lineRule="exact"/>
              <w:ind w:left="409"/>
              <w:rPr>
                <w:rFonts w:ascii="Calibri" w:hAnsi="Calibri" w:eastAsia="Calibri" w:cs="Calibri"/>
                <w:sz w:val="18"/>
                <w:szCs w:val="18"/>
              </w:rPr>
            </w:pPr>
            <w:r>
              <w:rPr>
                <w:spacing w:val="-3"/>
                <w:position w:val="1"/>
                <w:sz w:val="18"/>
                <w:szCs w:val="18"/>
              </w:rPr>
              <w:t>n</w:t>
            </w:r>
            <w:r>
              <w:rPr>
                <w:rFonts w:ascii="Calibri" w:hAnsi="Calibri" w:eastAsia="Calibri" w:cs="Calibri"/>
                <w:spacing w:val="-3"/>
                <w:position w:val="1"/>
                <w:sz w:val="18"/>
                <w:szCs w:val="18"/>
              </w:rPr>
              <w:t>₀</w:t>
            </w:r>
          </w:p>
        </w:tc>
      </w:tr>
      <w:tr w14:paraId="345EFD7C">
        <w:trPr>
          <w:trHeight w:val="363" w:hRule="atLeast"/>
        </w:trPr>
        <w:tc>
          <w:tcPr>
            <w:tcW w:w="1080" w:type="dxa"/>
            <w:tcBorders>
              <w:top w:val="single" w:color="000000" w:sz="4" w:space="0"/>
              <w:bottom w:val="single" w:color="000000" w:sz="4" w:space="0"/>
            </w:tcBorders>
            <w:vAlign w:val="top"/>
          </w:tcPr>
          <w:p w14:paraId="0B68B19A">
            <w:pPr>
              <w:pStyle w:val="6"/>
              <w:spacing w:before="97" w:line="221" w:lineRule="auto"/>
              <w:ind w:left="359"/>
              <w:rPr>
                <w:sz w:val="18"/>
                <w:szCs w:val="18"/>
              </w:rPr>
            </w:pPr>
            <w:r>
              <w:rPr>
                <w:spacing w:val="-2"/>
                <w:sz w:val="18"/>
                <w:szCs w:val="18"/>
              </w:rPr>
              <w:t>合计</w:t>
            </w:r>
          </w:p>
        </w:tc>
        <w:tc>
          <w:tcPr>
            <w:tcW w:w="1170" w:type="dxa"/>
            <w:tcBorders>
              <w:top w:val="single" w:color="000000" w:sz="4" w:space="0"/>
              <w:bottom w:val="single" w:color="000000" w:sz="4" w:space="0"/>
            </w:tcBorders>
            <w:vAlign w:val="top"/>
          </w:tcPr>
          <w:p w14:paraId="22F3475F">
            <w:pPr>
              <w:pStyle w:val="6"/>
              <w:spacing w:before="183" w:line="138" w:lineRule="exact"/>
              <w:ind w:left="489"/>
              <w:rPr>
                <w:sz w:val="18"/>
                <w:szCs w:val="18"/>
              </w:rPr>
            </w:pPr>
            <w:r>
              <w:rPr>
                <w:spacing w:val="-1"/>
                <w:sz w:val="18"/>
                <w:szCs w:val="18"/>
              </w:rPr>
              <w:t>mo</w:t>
            </w:r>
          </w:p>
        </w:tc>
        <w:tc>
          <w:tcPr>
            <w:tcW w:w="1040" w:type="dxa"/>
            <w:tcBorders>
              <w:top w:val="single" w:color="000000" w:sz="4" w:space="0"/>
              <w:bottom w:val="single" w:color="000000" w:sz="4" w:space="0"/>
            </w:tcBorders>
            <w:vAlign w:val="top"/>
          </w:tcPr>
          <w:p w14:paraId="3F8E521F">
            <w:pPr>
              <w:pStyle w:val="6"/>
              <w:spacing w:before="96" w:line="219" w:lineRule="auto"/>
              <w:ind w:left="380"/>
              <w:rPr>
                <w:rFonts w:ascii="Calibri" w:hAnsi="Calibri" w:eastAsia="Calibri" w:cs="Calibri"/>
                <w:sz w:val="18"/>
                <w:szCs w:val="18"/>
              </w:rPr>
            </w:pPr>
            <w:r>
              <w:rPr>
                <w:spacing w:val="-2"/>
                <w:sz w:val="18"/>
                <w:szCs w:val="18"/>
              </w:rPr>
              <w:t>m</w:t>
            </w:r>
            <w:r>
              <w:rPr>
                <w:rFonts w:ascii="Calibri" w:hAnsi="Calibri" w:eastAsia="Calibri" w:cs="Calibri"/>
                <w:spacing w:val="-2"/>
                <w:sz w:val="18"/>
                <w:szCs w:val="18"/>
              </w:rPr>
              <w:t>₁</w:t>
            </w:r>
          </w:p>
        </w:tc>
        <w:tc>
          <w:tcPr>
            <w:tcW w:w="1100" w:type="dxa"/>
            <w:tcBorders>
              <w:top w:val="single" w:color="000000" w:sz="4" w:space="0"/>
              <w:bottom w:val="single" w:color="000000" w:sz="4" w:space="0"/>
            </w:tcBorders>
            <w:vAlign w:val="top"/>
          </w:tcPr>
          <w:p w14:paraId="0BBF759A">
            <w:pPr>
              <w:pStyle w:val="6"/>
              <w:spacing w:before="96" w:line="220" w:lineRule="auto"/>
              <w:ind w:left="410"/>
              <w:rPr>
                <w:rFonts w:ascii="Calibri" w:hAnsi="Calibri" w:eastAsia="Calibri" w:cs="Calibri"/>
                <w:sz w:val="18"/>
                <w:szCs w:val="18"/>
              </w:rPr>
            </w:pPr>
            <w:r>
              <w:rPr>
                <w:spacing w:val="-2"/>
                <w:sz w:val="18"/>
                <w:szCs w:val="18"/>
              </w:rPr>
              <w:t>m</w:t>
            </w:r>
            <w:r>
              <w:rPr>
                <w:rFonts w:ascii="Calibri" w:hAnsi="Calibri" w:eastAsia="Calibri" w:cs="Calibri"/>
                <w:spacing w:val="-2"/>
                <w:sz w:val="18"/>
                <w:szCs w:val="18"/>
              </w:rPr>
              <w:t>₂</w:t>
            </w:r>
          </w:p>
        </w:tc>
        <w:tc>
          <w:tcPr>
            <w:tcW w:w="1130" w:type="dxa"/>
            <w:tcBorders>
              <w:top w:val="single" w:color="000000" w:sz="4" w:space="0"/>
              <w:bottom w:val="single" w:color="000000" w:sz="4" w:space="0"/>
            </w:tcBorders>
            <w:vAlign w:val="top"/>
          </w:tcPr>
          <w:p w14:paraId="6C66B196">
            <w:pPr>
              <w:pStyle w:val="6"/>
              <w:spacing w:before="95" w:line="219" w:lineRule="auto"/>
              <w:ind w:left="429"/>
              <w:rPr>
                <w:rFonts w:ascii="Calibri" w:hAnsi="Calibri" w:eastAsia="Calibri" w:cs="Calibri"/>
                <w:sz w:val="18"/>
                <w:szCs w:val="18"/>
              </w:rPr>
            </w:pPr>
            <w:r>
              <w:rPr>
                <w:spacing w:val="-2"/>
                <w:sz w:val="18"/>
                <w:szCs w:val="18"/>
              </w:rPr>
              <w:t>m</w:t>
            </w:r>
            <w:r>
              <w:rPr>
                <w:rFonts w:ascii="Calibri" w:hAnsi="Calibri" w:eastAsia="Calibri" w:cs="Calibri"/>
                <w:spacing w:val="-2"/>
                <w:sz w:val="18"/>
                <w:szCs w:val="18"/>
              </w:rPr>
              <w:t>₃</w:t>
            </w:r>
          </w:p>
        </w:tc>
        <w:tc>
          <w:tcPr>
            <w:tcW w:w="1160" w:type="dxa"/>
            <w:tcBorders>
              <w:top w:val="single" w:color="000000" w:sz="4" w:space="0"/>
              <w:bottom w:val="single" w:color="000000" w:sz="4" w:space="0"/>
            </w:tcBorders>
            <w:vAlign w:val="top"/>
          </w:tcPr>
          <w:p w14:paraId="6C8828F6">
            <w:pPr>
              <w:pStyle w:val="6"/>
              <w:spacing w:before="96" w:line="219" w:lineRule="auto"/>
              <w:ind w:left="439"/>
              <w:rPr>
                <w:rFonts w:ascii="Calibri" w:hAnsi="Calibri" w:eastAsia="Calibri" w:cs="Calibri"/>
                <w:sz w:val="18"/>
                <w:szCs w:val="18"/>
              </w:rPr>
            </w:pPr>
            <w:r>
              <w:rPr>
                <w:spacing w:val="-2"/>
                <w:sz w:val="18"/>
                <w:szCs w:val="18"/>
              </w:rPr>
              <w:t>m</w:t>
            </w:r>
            <w:r>
              <w:rPr>
                <w:rFonts w:ascii="Calibri" w:hAnsi="Calibri" w:eastAsia="Calibri" w:cs="Calibri"/>
                <w:spacing w:val="-2"/>
                <w:sz w:val="18"/>
                <w:szCs w:val="18"/>
              </w:rPr>
              <w:t>₄</w:t>
            </w:r>
          </w:p>
        </w:tc>
        <w:tc>
          <w:tcPr>
            <w:tcW w:w="1030" w:type="dxa"/>
            <w:tcBorders>
              <w:top w:val="single" w:color="000000" w:sz="4" w:space="0"/>
              <w:bottom w:val="single" w:color="000000" w:sz="4" w:space="0"/>
            </w:tcBorders>
            <w:vAlign w:val="top"/>
          </w:tcPr>
          <w:p w14:paraId="4C667A63">
            <w:pPr>
              <w:pStyle w:val="6"/>
              <w:spacing w:before="114" w:line="238" w:lineRule="exact"/>
              <w:ind w:left="420"/>
              <w:rPr>
                <w:sz w:val="18"/>
                <w:szCs w:val="18"/>
              </w:rPr>
            </w:pPr>
            <w:r>
              <w:rPr>
                <w:position w:val="1"/>
                <w:sz w:val="18"/>
                <w:szCs w:val="18"/>
              </w:rPr>
              <w:t>…</w:t>
            </w:r>
          </w:p>
        </w:tc>
        <w:tc>
          <w:tcPr>
            <w:tcW w:w="1090" w:type="dxa"/>
            <w:tcBorders>
              <w:top w:val="single" w:color="000000" w:sz="4" w:space="0"/>
              <w:bottom w:val="single" w:color="000000" w:sz="4" w:space="0"/>
            </w:tcBorders>
            <w:vAlign w:val="top"/>
          </w:tcPr>
          <w:p w14:paraId="35D08367">
            <w:pPr>
              <w:pStyle w:val="6"/>
              <w:spacing w:before="143" w:line="182" w:lineRule="auto"/>
              <w:ind w:left="500"/>
              <w:rPr>
                <w:sz w:val="18"/>
                <w:szCs w:val="18"/>
              </w:rPr>
            </w:pPr>
            <w:r>
              <w:rPr>
                <w:sz w:val="18"/>
                <w:szCs w:val="18"/>
              </w:rPr>
              <w:t>N</w:t>
            </w:r>
          </w:p>
        </w:tc>
      </w:tr>
    </w:tbl>
    <w:p w14:paraId="1DBEF4ED">
      <w:pPr>
        <w:spacing w:line="353" w:lineRule="auto"/>
        <w:rPr>
          <w:rFonts w:ascii="Arial"/>
          <w:sz w:val="21"/>
        </w:rPr>
      </w:pPr>
    </w:p>
    <w:p w14:paraId="46093ED5">
      <w:pPr>
        <w:spacing w:before="69" w:line="219" w:lineRule="auto"/>
        <w:ind w:left="1180"/>
        <w:rPr>
          <w:rFonts w:ascii="宋体" w:hAnsi="宋体" w:eastAsia="宋体" w:cs="宋体"/>
          <w:sz w:val="21"/>
          <w:szCs w:val="21"/>
        </w:rPr>
      </w:pPr>
      <w:r>
        <w:rPr>
          <w:rFonts w:ascii="宋体" w:hAnsi="宋体" w:eastAsia="宋体" w:cs="宋体"/>
          <w:spacing w:val="1"/>
          <w:sz w:val="21"/>
          <w:szCs w:val="21"/>
        </w:rPr>
        <w:t>可见，表5-9中的</w:t>
      </w:r>
      <w:r>
        <w:rPr>
          <w:rFonts w:ascii="Times New Roman" w:hAnsi="Times New Roman" w:eastAsia="Times New Roman" w:cs="Times New Roman"/>
          <w:spacing w:val="1"/>
          <w:sz w:val="21"/>
          <w:szCs w:val="21"/>
        </w:rPr>
        <w:t xml:space="preserve">a₀ </w:t>
      </w:r>
      <w:r>
        <w:rPr>
          <w:rFonts w:ascii="宋体" w:hAnsi="宋体" w:eastAsia="宋体" w:cs="宋体"/>
          <w:spacing w:val="1"/>
          <w:sz w:val="21"/>
          <w:szCs w:val="21"/>
        </w:rPr>
        <w:t>和</w:t>
      </w:r>
      <w:r>
        <w:rPr>
          <w:rFonts w:ascii="Times New Roman" w:hAnsi="Times New Roman" w:eastAsia="Times New Roman" w:cs="Times New Roman"/>
          <w:spacing w:val="1"/>
          <w:sz w:val="21"/>
          <w:szCs w:val="21"/>
        </w:rPr>
        <w:t>b₀</w:t>
      </w:r>
      <w:r>
        <w:rPr>
          <w:rFonts w:ascii="宋体" w:hAnsi="宋体" w:eastAsia="宋体" w:cs="宋体"/>
          <w:spacing w:val="1"/>
          <w:sz w:val="21"/>
          <w:szCs w:val="21"/>
        </w:rPr>
        <w:t>分别相当于前面四格表</w:t>
      </w:r>
      <w:r>
        <w:rPr>
          <w:rFonts w:ascii="宋体" w:hAnsi="宋体" w:eastAsia="宋体" w:cs="宋体"/>
          <w:sz w:val="21"/>
          <w:szCs w:val="21"/>
        </w:rPr>
        <w:t>中的</w:t>
      </w:r>
      <w:r>
        <w:rPr>
          <w:rFonts w:ascii="Times New Roman" w:hAnsi="Times New Roman" w:eastAsia="Times New Roman" w:cs="Times New Roman"/>
          <w:sz w:val="21"/>
          <w:szCs w:val="21"/>
        </w:rPr>
        <w:t xml:space="preserve">c </w:t>
      </w:r>
      <w:r>
        <w:rPr>
          <w:rFonts w:ascii="宋体" w:hAnsi="宋体" w:eastAsia="宋体" w:cs="宋体"/>
          <w:sz w:val="21"/>
          <w:szCs w:val="21"/>
        </w:rPr>
        <w:t>和</w:t>
      </w:r>
      <w:r>
        <w:rPr>
          <w:rFonts w:ascii="Times New Roman" w:hAnsi="Times New Roman" w:eastAsia="Times New Roman" w:cs="Times New Roman"/>
          <w:sz w:val="21"/>
          <w:szCs w:val="21"/>
        </w:rPr>
        <w:t>d</w:t>
      </w:r>
      <w:r>
        <w:rPr>
          <w:rFonts w:ascii="宋体" w:hAnsi="宋体" w:eastAsia="宋体" w:cs="宋体"/>
          <w:sz w:val="21"/>
          <w:szCs w:val="21"/>
        </w:rPr>
        <w:t>。</w:t>
      </w:r>
    </w:p>
    <w:p w14:paraId="177E218D">
      <w:pPr>
        <w:spacing w:before="109" w:line="219" w:lineRule="auto"/>
        <w:ind w:left="1034"/>
        <w:rPr>
          <w:rFonts w:ascii="宋体" w:hAnsi="宋体" w:eastAsia="宋体" w:cs="宋体"/>
          <w:sz w:val="21"/>
          <w:szCs w:val="21"/>
        </w:rPr>
      </w:pPr>
      <w:r>
        <w:rPr>
          <w:rFonts w:ascii="宋体" w:hAnsi="宋体" w:eastAsia="宋体" w:cs="宋体"/>
          <w:spacing w:val="3"/>
          <w:sz w:val="21"/>
          <w:szCs w:val="21"/>
        </w:rPr>
        <w:t>【例5-7】1956年</w:t>
      </w:r>
      <w:r>
        <w:rPr>
          <w:rFonts w:ascii="Times New Roman" w:hAnsi="Times New Roman" w:eastAsia="Times New Roman" w:cs="Times New Roman"/>
          <w:sz w:val="21"/>
          <w:szCs w:val="21"/>
        </w:rPr>
        <w:t>Doll</w:t>
      </w:r>
      <w:r>
        <w:rPr>
          <w:rFonts w:ascii="宋体" w:hAnsi="宋体" w:eastAsia="宋体" w:cs="宋体"/>
          <w:spacing w:val="3"/>
          <w:sz w:val="21"/>
          <w:szCs w:val="21"/>
        </w:rPr>
        <w:t>和</w:t>
      </w:r>
      <w:r>
        <w:rPr>
          <w:rFonts w:ascii="Times New Roman" w:hAnsi="Times New Roman" w:eastAsia="Times New Roman" w:cs="Times New Roman"/>
          <w:sz w:val="21"/>
          <w:szCs w:val="21"/>
        </w:rPr>
        <w:t>Hill</w:t>
      </w:r>
      <w:r>
        <w:rPr>
          <w:rFonts w:ascii="Times New Roman" w:hAnsi="Times New Roman" w:eastAsia="Times New Roman" w:cs="Times New Roman"/>
          <w:spacing w:val="3"/>
          <w:sz w:val="21"/>
          <w:szCs w:val="21"/>
        </w:rPr>
        <w:t xml:space="preserve">  </w:t>
      </w:r>
      <w:r>
        <w:rPr>
          <w:rFonts w:ascii="宋体" w:hAnsi="宋体" w:eastAsia="宋体" w:cs="宋体"/>
          <w:spacing w:val="3"/>
          <w:sz w:val="21"/>
          <w:szCs w:val="21"/>
        </w:rPr>
        <w:t>发表的男性吸烟与肺癌关系的病例对照研</w:t>
      </w:r>
      <w:r>
        <w:rPr>
          <w:rFonts w:ascii="宋体" w:hAnsi="宋体" w:eastAsia="宋体" w:cs="宋体"/>
          <w:spacing w:val="2"/>
          <w:sz w:val="21"/>
          <w:szCs w:val="21"/>
        </w:rPr>
        <w:t>究资料见表5-10。</w:t>
      </w:r>
    </w:p>
    <w:p w14:paraId="4635283D">
      <w:pPr>
        <w:spacing w:before="298" w:line="221" w:lineRule="auto"/>
        <w:ind w:left="2832"/>
        <w:rPr>
          <w:rFonts w:ascii="宋体" w:hAnsi="宋体" w:eastAsia="宋体" w:cs="宋体"/>
          <w:sz w:val="20"/>
          <w:szCs w:val="20"/>
        </w:rPr>
      </w:pPr>
      <w:r>
        <w:rPr>
          <w:rFonts w:ascii="宋体" w:hAnsi="宋体" w:eastAsia="宋体" w:cs="宋体"/>
          <w:b/>
          <w:bCs/>
          <w:spacing w:val="-9"/>
          <w:sz w:val="20"/>
          <w:szCs w:val="20"/>
        </w:rPr>
        <w:t>表5</w:t>
      </w:r>
      <w:r>
        <w:rPr>
          <w:rFonts w:ascii="宋体" w:hAnsi="宋体" w:eastAsia="宋体" w:cs="宋体"/>
          <w:spacing w:val="11"/>
          <w:sz w:val="20"/>
          <w:szCs w:val="20"/>
        </w:rPr>
        <w:t xml:space="preserve">      </w:t>
      </w:r>
      <w:r>
        <w:rPr>
          <w:rFonts w:ascii="宋体" w:hAnsi="宋体" w:eastAsia="宋体" w:cs="宋体"/>
          <w:b/>
          <w:bCs/>
          <w:spacing w:val="-9"/>
          <w:sz w:val="20"/>
          <w:szCs w:val="20"/>
        </w:rPr>
        <w:t>-10男性每日吸</w:t>
      </w:r>
      <w:r>
        <w:rPr>
          <w:rFonts w:ascii="宋体" w:hAnsi="宋体" w:eastAsia="宋体" w:cs="宋体"/>
          <w:spacing w:val="-9"/>
          <w:sz w:val="20"/>
          <w:szCs w:val="20"/>
        </w:rPr>
        <w:t xml:space="preserve"> </w:t>
      </w:r>
      <w:r>
        <w:rPr>
          <w:rFonts w:ascii="宋体" w:hAnsi="宋体" w:eastAsia="宋体" w:cs="宋体"/>
          <w:b/>
          <w:bCs/>
          <w:spacing w:val="-9"/>
          <w:sz w:val="20"/>
          <w:szCs w:val="20"/>
          <w:shd w:val="clear" w:fill="383838"/>
        </w:rPr>
        <w:t>烟的支数与肺癌的</w:t>
      </w:r>
      <w:r>
        <w:rPr>
          <w:rFonts w:ascii="宋体" w:hAnsi="宋体" w:eastAsia="宋体" w:cs="宋体"/>
          <w:spacing w:val="6"/>
          <w:sz w:val="20"/>
          <w:szCs w:val="20"/>
        </w:rPr>
        <w:t xml:space="preserve">     </w:t>
      </w:r>
      <w:r>
        <w:rPr>
          <w:rFonts w:ascii="宋体" w:hAnsi="宋体" w:eastAsia="宋体" w:cs="宋体"/>
          <w:b/>
          <w:bCs/>
          <w:spacing w:val="-9"/>
          <w:sz w:val="20"/>
          <w:szCs w:val="20"/>
        </w:rPr>
        <w:t>关系</w:t>
      </w:r>
    </w:p>
    <w:p w14:paraId="0B5C51F5">
      <w:pPr>
        <w:spacing w:line="21" w:lineRule="exact"/>
      </w:pPr>
    </w:p>
    <w:tbl>
      <w:tblPr>
        <w:tblStyle w:val="5"/>
        <w:tblW w:w="8720" w:type="dxa"/>
        <w:tblInd w:w="839"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0" w:type="dxa"/>
          <w:left w:w="0" w:type="dxa"/>
          <w:bottom w:w="0" w:type="dxa"/>
          <w:right w:w="0" w:type="dxa"/>
        </w:tblCellMar>
      </w:tblPr>
      <w:tblGrid>
        <w:gridCol w:w="1410"/>
        <w:gridCol w:w="1460"/>
        <w:gridCol w:w="2930"/>
        <w:gridCol w:w="1470"/>
        <w:gridCol w:w="1450"/>
      </w:tblGrid>
      <w:tr w14:paraId="0A3E4E2D">
        <w:trPr>
          <w:trHeight w:val="328" w:hRule="atLeast"/>
        </w:trPr>
        <w:tc>
          <w:tcPr>
            <w:tcW w:w="1410" w:type="dxa"/>
            <w:vMerge w:val="restart"/>
            <w:tcBorders>
              <w:top w:val="single" w:color="000000" w:sz="4" w:space="0"/>
              <w:bottom w:val="nil"/>
            </w:tcBorders>
            <w:shd w:val="clear" w:color="auto" w:fill="D0D7D5"/>
            <w:vAlign w:val="top"/>
          </w:tcPr>
          <w:p w14:paraId="32CF63EB">
            <w:pPr>
              <w:pStyle w:val="6"/>
              <w:spacing w:before="283" w:line="220" w:lineRule="auto"/>
              <w:ind w:left="500"/>
            </w:pPr>
            <w:r>
              <w:rPr>
                <w:spacing w:val="8"/>
              </w:rPr>
              <w:t>组别</w:t>
            </w:r>
          </w:p>
        </w:tc>
        <w:tc>
          <w:tcPr>
            <w:tcW w:w="1460" w:type="dxa"/>
            <w:vMerge w:val="restart"/>
            <w:tcBorders>
              <w:top w:val="single" w:color="000000" w:sz="4" w:space="0"/>
              <w:bottom w:val="nil"/>
            </w:tcBorders>
            <w:vAlign w:val="top"/>
          </w:tcPr>
          <w:p w14:paraId="2D057C3D">
            <w:pPr>
              <w:spacing w:line="372" w:lineRule="auto"/>
              <w:rPr>
                <w:rFonts w:ascii="Arial"/>
                <w:sz w:val="21"/>
              </w:rPr>
            </w:pPr>
          </w:p>
          <w:p w14:paraId="6A33DDD4">
            <w:pPr>
              <w:pStyle w:val="6"/>
              <w:spacing w:line="364" w:lineRule="exact"/>
            </w:pPr>
            <w:r>
              <w:rPr>
                <w:position w:val="-8"/>
              </w:rPr>
              <w:pict>
                <v:shape id="_x0000_s1069" o:spid="_x0000_s1069" o:spt="202" type="#_x0000_t202" style="height:19pt;width:73.05pt;" fillcolor="#C7CECA" filled="t" stroked="f" coordsize="21600,21600">
                  <v:path/>
                  <v:fill on="t" focussize="0,0"/>
                  <v:stroke on="f"/>
                  <v:imagedata o:title=""/>
                  <o:lock v:ext="edit" aspectratio="f"/>
                  <v:textbox inset="0mm,0mm,0mm,0mm">
                    <w:txbxContent>
                      <w:p w14:paraId="31AF6F24">
                        <w:pPr>
                          <w:spacing w:before="117"/>
                          <w:ind w:left="679"/>
                          <w:rPr>
                            <w:rFonts w:ascii="宋体" w:hAnsi="宋体" w:eastAsia="宋体" w:cs="宋体"/>
                            <w:sz w:val="20"/>
                            <w:szCs w:val="20"/>
                          </w:rPr>
                        </w:pPr>
                        <w:r>
                          <w:rPr>
                            <w:rFonts w:ascii="宋体" w:hAnsi="宋体" w:eastAsia="宋体" w:cs="宋体"/>
                            <w:sz w:val="20"/>
                            <w:szCs w:val="20"/>
                          </w:rPr>
                          <w:t>0</w:t>
                        </w:r>
                      </w:p>
                    </w:txbxContent>
                  </v:textbox>
                  <w10:wrap type="none"/>
                  <w10:anchorlock/>
                </v:shape>
              </w:pict>
            </w:r>
          </w:p>
        </w:tc>
        <w:tc>
          <w:tcPr>
            <w:tcW w:w="2930" w:type="dxa"/>
            <w:tcBorders>
              <w:top w:val="single" w:color="000000" w:sz="4" w:space="0"/>
            </w:tcBorders>
            <w:vAlign w:val="top"/>
          </w:tcPr>
          <w:p w14:paraId="3D4F39DB">
            <w:pPr>
              <w:pStyle w:val="6"/>
              <w:spacing w:before="90" w:line="210" w:lineRule="auto"/>
              <w:ind w:left="872"/>
            </w:pPr>
            <w:r>
              <mc:AlternateContent>
                <mc:Choice Requires="wps">
                  <w:drawing>
                    <wp:anchor distT="0" distB="0" distL="0" distR="0" simplePos="0" relativeHeight="251750400" behindDoc="1" locked="0" layoutInCell="1" allowOverlap="1">
                      <wp:simplePos x="0" y="0"/>
                      <wp:positionH relativeFrom="column">
                        <wp:posOffset>-926465</wp:posOffset>
                      </wp:positionH>
                      <wp:positionV relativeFrom="paragraph">
                        <wp:posOffset>-2540</wp:posOffset>
                      </wp:positionV>
                      <wp:extent cx="3721735" cy="241300"/>
                      <wp:effectExtent l="0" t="0" r="0" b="0"/>
                      <wp:wrapNone/>
                      <wp:docPr id="334" name="Rect 334"/>
                      <wp:cNvGraphicFramePr/>
                      <a:graphic xmlns:a="http://schemas.openxmlformats.org/drawingml/2006/main">
                        <a:graphicData uri="http://schemas.microsoft.com/office/word/2010/wordprocessingShape">
                          <wps:wsp>
                            <wps:cNvSpPr/>
                            <wps:spPr>
                              <a:xfrm>
                                <a:off x="-927081" y="-2932"/>
                                <a:ext cx="3721734" cy="241300"/>
                              </a:xfrm>
                              <a:prstGeom prst="rect">
                                <a:avLst/>
                              </a:prstGeom>
                              <a:solidFill>
                                <a:srgbClr val="CDD2CC"/>
                              </a:solidFill>
                              <a:ln w="0">
                                <a:noFill/>
                              </a:ln>
                            </wps:spPr>
                            <wps:style>
                              <a:lnRef idx="0">
                                <a:schemeClr val="accent1"/>
                              </a:lnRef>
                              <a:fillRef idx="0">
                                <a:schemeClr val="accent1"/>
                              </a:fillRef>
                              <a:effectRef idx="0">
                                <a:schemeClr val="accent1"/>
                              </a:effectRef>
                              <a:fontRef idx="minor">
                                <a:schemeClr val="dk1"/>
                              </a:fontRef>
                            </wps:style>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rect id="Rect 334" o:spid="_x0000_s1026" o:spt="1" style="position:absolute;left:0pt;margin-left:-72.95pt;margin-top:-0.2pt;height:19pt;width:293.05pt;z-index:-251566080;mso-width-relative:page;mso-height-relative:page;" fillcolor="#CDD2CC" filled="t" stroked="f" coordsize="21600,21600" o:gfxdata="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">
                      <v:fill on="t" focussize="0,0"/>
                      <v:stroke on="f" weight="0pt"/>
                      <v:imagedata o:title=""/>
                      <o:lock v:ext="edit" aspectratio="f"/>
                      <v:textbox inset="0mm,0mm,0mm,0mm"/>
                    </v:rect>
                  </w:pict>
                </mc:Fallback>
              </mc:AlternateContent>
            </w:r>
            <w:r>
              <w:rPr>
                <w:b/>
                <w:bCs/>
                <w:spacing w:val="-4"/>
              </w:rPr>
              <w:t>每日吸烟支数</w:t>
            </w:r>
          </w:p>
        </w:tc>
        <w:tc>
          <w:tcPr>
            <w:tcW w:w="1470" w:type="dxa"/>
            <w:vMerge w:val="restart"/>
            <w:tcBorders>
              <w:top w:val="single" w:color="000000" w:sz="4" w:space="0"/>
              <w:bottom w:val="nil"/>
            </w:tcBorders>
            <w:vAlign w:val="top"/>
          </w:tcPr>
          <w:p w14:paraId="514FBD17">
            <w:pPr>
              <w:spacing w:line="372" w:lineRule="auto"/>
              <w:rPr>
                <w:rFonts w:ascii="Arial"/>
                <w:sz w:val="21"/>
              </w:rPr>
            </w:pPr>
          </w:p>
          <w:p w14:paraId="2BEC2E32">
            <w:pPr>
              <w:pStyle w:val="6"/>
              <w:spacing w:line="364" w:lineRule="exact"/>
            </w:pPr>
            <w:r>
              <w:rPr>
                <w:position w:val="-8"/>
              </w:rPr>
              <w:pict>
                <v:shape id="_x0000_s1070" o:spid="_x0000_s1070" o:spt="202" type="#_x0000_t202" style="height:19pt;width:73.55pt;" fillcolor="#C6CAC1" filled="t" stroked="f" coordsize="21600,21600">
                  <v:path/>
                  <v:fill on="t" focussize="0,0"/>
                  <v:stroke on="f"/>
                  <v:imagedata o:title=""/>
                  <o:lock v:ext="edit" aspectratio="f"/>
                  <v:textbox inset="0mm,0mm,0mm,0mm">
                    <w:txbxContent>
                      <w:p w14:paraId="7A347004">
                        <w:pPr>
                          <w:spacing w:before="117"/>
                          <w:ind w:left="580"/>
                          <w:rPr>
                            <w:rFonts w:ascii="宋体" w:hAnsi="宋体" w:eastAsia="宋体" w:cs="宋体"/>
                            <w:sz w:val="20"/>
                            <w:szCs w:val="20"/>
                          </w:rPr>
                        </w:pPr>
                        <w:r>
                          <w:rPr>
                            <w:rFonts w:ascii="宋体" w:hAnsi="宋体" w:eastAsia="宋体" w:cs="宋体"/>
                            <w:spacing w:val="-6"/>
                            <w:sz w:val="20"/>
                            <w:szCs w:val="20"/>
                          </w:rPr>
                          <w:t>15~</w:t>
                        </w:r>
                      </w:p>
                    </w:txbxContent>
                  </v:textbox>
                  <w10:wrap type="none"/>
                  <w10:anchorlock/>
                </v:shape>
              </w:pict>
            </w:r>
          </w:p>
        </w:tc>
        <w:tc>
          <w:tcPr>
            <w:tcW w:w="1450" w:type="dxa"/>
            <w:vMerge w:val="restart"/>
            <w:tcBorders>
              <w:top w:val="single" w:color="000000" w:sz="4" w:space="0"/>
              <w:bottom w:val="nil"/>
            </w:tcBorders>
            <w:shd w:val="clear" w:color="auto" w:fill="BFC2B6"/>
            <w:vAlign w:val="top"/>
          </w:tcPr>
          <w:p w14:paraId="457BF3EE">
            <w:pPr>
              <w:pStyle w:val="6"/>
              <w:spacing w:before="284" w:line="221" w:lineRule="auto"/>
              <w:ind w:left="520"/>
            </w:pPr>
            <w:r>
              <w:rPr>
                <w:spacing w:val="-3"/>
              </w:rPr>
              <w:t>合计</w:t>
            </w:r>
          </w:p>
        </w:tc>
      </w:tr>
      <w:tr w14:paraId="59F0694F">
        <w:trPr>
          <w:trHeight w:val="421" w:hRule="atLeast"/>
        </w:trPr>
        <w:tc>
          <w:tcPr>
            <w:tcW w:w="1410" w:type="dxa"/>
            <w:vMerge w:val="continue"/>
            <w:tcBorders>
              <w:top w:val="nil"/>
              <w:bottom w:val="single" w:color="000000" w:sz="4" w:space="0"/>
            </w:tcBorders>
            <w:vAlign w:val="top"/>
          </w:tcPr>
          <w:p w14:paraId="0264B96A">
            <w:pPr>
              <w:rPr>
                <w:rFonts w:ascii="Arial"/>
                <w:sz w:val="21"/>
              </w:rPr>
            </w:pPr>
          </w:p>
        </w:tc>
        <w:tc>
          <w:tcPr>
            <w:tcW w:w="1460" w:type="dxa"/>
            <w:vMerge w:val="continue"/>
            <w:tcBorders>
              <w:top w:val="nil"/>
              <w:bottom w:val="single" w:color="000000" w:sz="4" w:space="0"/>
            </w:tcBorders>
            <w:vAlign w:val="top"/>
          </w:tcPr>
          <w:p w14:paraId="35E90CDF">
            <w:pPr>
              <w:rPr>
                <w:rFonts w:ascii="Arial"/>
                <w:sz w:val="21"/>
              </w:rPr>
            </w:pPr>
          </w:p>
        </w:tc>
        <w:tc>
          <w:tcPr>
            <w:tcW w:w="2930" w:type="dxa"/>
            <w:tcBorders>
              <w:bottom w:val="single" w:color="000000" w:sz="4" w:space="0"/>
            </w:tcBorders>
            <w:shd w:val="clear" w:color="auto" w:fill="C1C7C0"/>
            <w:vAlign w:val="top"/>
          </w:tcPr>
          <w:p w14:paraId="4995AB07">
            <w:pPr>
              <w:pStyle w:val="6"/>
              <w:spacing w:before="165" w:line="227" w:lineRule="auto"/>
              <w:ind w:left="520"/>
            </w:pPr>
            <w:r>
              <w:rPr>
                <w:spacing w:val="-5"/>
              </w:rPr>
              <w:t>1～4</w:t>
            </w:r>
            <w:r>
              <w:rPr>
                <w:spacing w:val="4"/>
              </w:rPr>
              <w:t xml:space="preserve">          </w:t>
            </w:r>
            <w:r>
              <w:rPr>
                <w:spacing w:val="-5"/>
              </w:rPr>
              <w:t>5～14</w:t>
            </w:r>
          </w:p>
        </w:tc>
        <w:tc>
          <w:tcPr>
            <w:tcW w:w="1470" w:type="dxa"/>
            <w:vMerge w:val="continue"/>
            <w:tcBorders>
              <w:top w:val="nil"/>
              <w:bottom w:val="single" w:color="000000" w:sz="4" w:space="0"/>
            </w:tcBorders>
            <w:vAlign w:val="top"/>
          </w:tcPr>
          <w:p w14:paraId="2FA661ED">
            <w:pPr>
              <w:rPr>
                <w:rFonts w:ascii="Arial"/>
                <w:sz w:val="21"/>
              </w:rPr>
            </w:pPr>
          </w:p>
        </w:tc>
        <w:tc>
          <w:tcPr>
            <w:tcW w:w="1450" w:type="dxa"/>
            <w:vMerge w:val="continue"/>
            <w:tcBorders>
              <w:top w:val="nil"/>
              <w:bottom w:val="single" w:color="000000" w:sz="4" w:space="0"/>
            </w:tcBorders>
            <w:vAlign w:val="top"/>
          </w:tcPr>
          <w:p w14:paraId="3E739C2C">
            <w:pPr>
              <w:rPr>
                <w:rFonts w:ascii="Arial"/>
                <w:sz w:val="21"/>
              </w:rPr>
            </w:pPr>
          </w:p>
        </w:tc>
      </w:tr>
    </w:tbl>
    <w:p w14:paraId="36AB1EA7">
      <w:pPr>
        <w:spacing w:line="43" w:lineRule="exact"/>
        <w:rPr>
          <w:rFonts w:ascii="Arial"/>
          <w:sz w:val="3"/>
        </w:rPr>
      </w:pPr>
    </w:p>
    <w:p w14:paraId="6870A0E6">
      <w:pPr>
        <w:spacing w:line="43" w:lineRule="exact"/>
        <w:rPr>
          <w:rFonts w:ascii="Arial" w:hAnsi="Arial" w:eastAsia="Arial" w:cs="Arial"/>
          <w:sz w:val="3"/>
          <w:szCs w:val="3"/>
        </w:rPr>
        <w:sectPr>
          <w:footerReference r:id="rId108" w:type="default"/>
          <w:pgSz w:w="11900" w:h="16820"/>
          <w:pgMar w:top="400" w:right="1543" w:bottom="940" w:left="780" w:header="0" w:footer="667" w:gutter="0"/>
          <w:cols w:equalWidth="0" w:num="1">
            <w:col w:w="9577"/>
          </w:cols>
        </w:sectPr>
      </w:pPr>
    </w:p>
    <w:p w14:paraId="21E81320">
      <w:pPr>
        <w:spacing w:before="42" w:line="221" w:lineRule="auto"/>
        <w:ind w:left="1339"/>
        <w:rPr>
          <w:rFonts w:ascii="宋体" w:hAnsi="宋体" w:eastAsia="宋体" w:cs="宋体"/>
          <w:sz w:val="20"/>
          <w:szCs w:val="20"/>
        </w:rPr>
      </w:pPr>
      <w:r>
        <w:rPr>
          <w:rFonts w:ascii="宋体" w:hAnsi="宋体" w:eastAsia="宋体" w:cs="宋体"/>
          <w:spacing w:val="8"/>
          <w:sz w:val="20"/>
          <w:szCs w:val="20"/>
        </w:rPr>
        <w:t>病例</w:t>
      </w:r>
    </w:p>
    <w:p w14:paraId="6414821A">
      <w:pPr>
        <w:spacing w:line="14" w:lineRule="auto"/>
        <w:rPr>
          <w:rFonts w:ascii="Arial"/>
          <w:sz w:val="2"/>
        </w:rPr>
      </w:pPr>
      <w:r>
        <w:rPr>
          <w:rFonts w:ascii="Arial" w:hAnsi="Arial" w:eastAsia="Arial" w:cs="Arial"/>
          <w:sz w:val="2"/>
          <w:szCs w:val="2"/>
        </w:rPr>
        <w:br w:type="column"/>
      </w:r>
    </w:p>
    <w:p w14:paraId="6978EAEC">
      <w:pPr>
        <w:spacing w:before="42" w:line="221" w:lineRule="auto"/>
        <w:rPr>
          <w:rFonts w:ascii="宋体" w:hAnsi="宋体" w:eastAsia="宋体" w:cs="宋体"/>
          <w:sz w:val="20"/>
          <w:szCs w:val="20"/>
        </w:rPr>
      </w:pPr>
      <w:r>
        <w:rPr>
          <w:rFonts w:ascii="宋体" w:hAnsi="宋体" w:eastAsia="宋体" w:cs="宋体"/>
          <w:spacing w:val="-2"/>
          <w:sz w:val="20"/>
          <w:szCs w:val="20"/>
        </w:rPr>
        <w:t>2(c)</w:t>
      </w:r>
    </w:p>
    <w:p w14:paraId="4952951C">
      <w:pPr>
        <w:spacing w:line="14" w:lineRule="auto"/>
        <w:rPr>
          <w:rFonts w:ascii="Arial"/>
          <w:sz w:val="2"/>
        </w:rPr>
      </w:pPr>
      <w:r>
        <w:rPr>
          <w:rFonts w:ascii="Arial" w:hAnsi="Arial" w:eastAsia="Arial" w:cs="Arial"/>
          <w:sz w:val="2"/>
          <w:szCs w:val="2"/>
        </w:rPr>
        <w:br w:type="column"/>
      </w:r>
    </w:p>
    <w:p w14:paraId="4B6E1837">
      <w:pPr>
        <w:spacing w:before="42" w:line="221" w:lineRule="auto"/>
        <w:rPr>
          <w:rFonts w:ascii="宋体" w:hAnsi="宋体" w:eastAsia="宋体" w:cs="宋体"/>
          <w:sz w:val="20"/>
          <w:szCs w:val="20"/>
        </w:rPr>
      </w:pPr>
      <w:r>
        <w:rPr>
          <w:rFonts w:ascii="宋体" w:hAnsi="宋体" w:eastAsia="宋体" w:cs="宋体"/>
          <w:spacing w:val="-2"/>
          <w:sz w:val="20"/>
          <w:szCs w:val="20"/>
        </w:rPr>
        <w:t>33(a)</w:t>
      </w:r>
    </w:p>
    <w:p w14:paraId="46E163FE">
      <w:pPr>
        <w:spacing w:line="14" w:lineRule="auto"/>
        <w:rPr>
          <w:rFonts w:ascii="Arial"/>
          <w:sz w:val="2"/>
        </w:rPr>
      </w:pPr>
      <w:r>
        <w:rPr>
          <w:rFonts w:ascii="Arial" w:hAnsi="Arial" w:eastAsia="Arial" w:cs="Arial"/>
          <w:sz w:val="2"/>
          <w:szCs w:val="2"/>
        </w:rPr>
        <w:br w:type="column"/>
      </w:r>
    </w:p>
    <w:p w14:paraId="525E8BDA">
      <w:pPr>
        <w:spacing w:before="39" w:line="220" w:lineRule="auto"/>
        <w:rPr>
          <w:rFonts w:ascii="宋体" w:hAnsi="宋体" w:eastAsia="宋体" w:cs="宋体"/>
          <w:sz w:val="20"/>
          <w:szCs w:val="20"/>
        </w:rPr>
      </w:pPr>
      <w:r>
        <w:rPr>
          <w:rFonts w:ascii="宋体" w:hAnsi="宋体" w:eastAsia="宋体" w:cs="宋体"/>
          <w:spacing w:val="-2"/>
          <w:sz w:val="20"/>
          <w:szCs w:val="20"/>
        </w:rPr>
        <w:t>250(a</w:t>
      </w:r>
      <w:r>
        <w:rPr>
          <w:rFonts w:ascii="Calibri" w:hAnsi="Calibri" w:eastAsia="Calibri" w:cs="Calibri"/>
          <w:spacing w:val="-2"/>
          <w:sz w:val="20"/>
          <w:szCs w:val="20"/>
        </w:rPr>
        <w:t>₂</w:t>
      </w:r>
      <w:r>
        <w:rPr>
          <w:rFonts w:ascii="宋体" w:hAnsi="宋体" w:eastAsia="宋体" w:cs="宋体"/>
          <w:spacing w:val="-2"/>
          <w:sz w:val="20"/>
          <w:szCs w:val="20"/>
        </w:rPr>
        <w:t>)</w:t>
      </w:r>
    </w:p>
    <w:p w14:paraId="70EDD889">
      <w:pPr>
        <w:spacing w:line="14" w:lineRule="auto"/>
        <w:rPr>
          <w:rFonts w:ascii="Arial"/>
          <w:sz w:val="2"/>
        </w:rPr>
      </w:pPr>
      <w:r>
        <w:rPr>
          <w:rFonts w:ascii="Arial" w:hAnsi="Arial" w:eastAsia="Arial" w:cs="Arial"/>
          <w:sz w:val="2"/>
          <w:szCs w:val="2"/>
        </w:rPr>
        <w:br w:type="column"/>
      </w:r>
    </w:p>
    <w:p w14:paraId="6BAF121F">
      <w:pPr>
        <w:spacing w:before="38" w:line="219" w:lineRule="auto"/>
        <w:rPr>
          <w:rFonts w:ascii="宋体" w:hAnsi="宋体" w:eastAsia="宋体" w:cs="宋体"/>
          <w:sz w:val="20"/>
          <w:szCs w:val="20"/>
        </w:rPr>
      </w:pPr>
      <w:r>
        <w:rPr>
          <w:rFonts w:ascii="宋体" w:hAnsi="宋体" w:eastAsia="宋体" w:cs="宋体"/>
          <w:spacing w:val="-2"/>
          <w:sz w:val="20"/>
          <w:szCs w:val="20"/>
        </w:rPr>
        <w:t>364(a</w:t>
      </w:r>
      <w:r>
        <w:rPr>
          <w:rFonts w:ascii="Calibri" w:hAnsi="Calibri" w:eastAsia="Calibri" w:cs="Calibri"/>
          <w:spacing w:val="-2"/>
          <w:sz w:val="20"/>
          <w:szCs w:val="20"/>
        </w:rPr>
        <w:t>₃</w:t>
      </w:r>
      <w:r>
        <w:rPr>
          <w:rFonts w:ascii="宋体" w:hAnsi="宋体" w:eastAsia="宋体" w:cs="宋体"/>
          <w:spacing w:val="-2"/>
          <w:sz w:val="20"/>
          <w:szCs w:val="20"/>
        </w:rPr>
        <w:t>)</w:t>
      </w:r>
    </w:p>
    <w:p w14:paraId="4953E42C">
      <w:pPr>
        <w:spacing w:line="14" w:lineRule="auto"/>
        <w:rPr>
          <w:rFonts w:ascii="Arial"/>
          <w:sz w:val="2"/>
        </w:rPr>
      </w:pPr>
      <w:r>
        <w:rPr>
          <w:rFonts w:ascii="Arial" w:hAnsi="Arial" w:eastAsia="Arial" w:cs="Arial"/>
          <w:sz w:val="2"/>
          <w:szCs w:val="2"/>
        </w:rPr>
        <w:br w:type="column"/>
      </w:r>
    </w:p>
    <w:p w14:paraId="16CB0752">
      <w:pPr>
        <w:spacing w:before="39" w:line="219" w:lineRule="auto"/>
        <w:rPr>
          <w:rFonts w:ascii="宋体" w:hAnsi="宋体" w:eastAsia="宋体" w:cs="宋体"/>
          <w:sz w:val="20"/>
          <w:szCs w:val="20"/>
        </w:rPr>
      </w:pPr>
      <w:r>
        <w:rPr>
          <w:rFonts w:ascii="宋体" w:hAnsi="宋体" w:eastAsia="宋体" w:cs="宋体"/>
          <w:spacing w:val="-2"/>
          <w:sz w:val="20"/>
          <w:szCs w:val="20"/>
        </w:rPr>
        <w:t>649(n</w:t>
      </w:r>
      <w:r>
        <w:rPr>
          <w:rFonts w:ascii="Calibri" w:hAnsi="Calibri" w:eastAsia="Calibri" w:cs="Calibri"/>
          <w:spacing w:val="-2"/>
          <w:sz w:val="20"/>
          <w:szCs w:val="20"/>
        </w:rPr>
        <w:t>₁</w:t>
      </w:r>
      <w:r>
        <w:rPr>
          <w:rFonts w:ascii="宋体" w:hAnsi="宋体" w:eastAsia="宋体" w:cs="宋体"/>
          <w:spacing w:val="-2"/>
          <w:sz w:val="20"/>
          <w:szCs w:val="20"/>
        </w:rPr>
        <w:t>)</w:t>
      </w:r>
    </w:p>
    <w:p w14:paraId="02FF2CB3">
      <w:pPr>
        <w:spacing w:line="219" w:lineRule="auto"/>
        <w:rPr>
          <w:rFonts w:ascii="宋体" w:hAnsi="宋体" w:eastAsia="宋体" w:cs="宋体"/>
          <w:sz w:val="20"/>
          <w:szCs w:val="20"/>
        </w:rPr>
        <w:sectPr>
          <w:type w:val="continuous"/>
          <w:pgSz w:w="11900" w:h="16820"/>
          <w:pgMar w:top="400" w:right="1543" w:bottom="940" w:left="780" w:header="0" w:footer="667" w:gutter="0"/>
          <w:cols w:equalWidth="0" w:num="6">
            <w:col w:w="2680" w:space="100"/>
            <w:col w:w="1301" w:space="100"/>
            <w:col w:w="1220" w:space="100"/>
            <w:col w:w="1371" w:space="100"/>
            <w:col w:w="1361" w:space="100"/>
            <w:col w:w="1147"/>
          </w:cols>
        </w:sectPr>
      </w:pPr>
    </w:p>
    <w:p w14:paraId="1CDCB560">
      <w:pPr>
        <w:spacing w:line="34" w:lineRule="exact"/>
      </w:pPr>
    </w:p>
    <w:tbl>
      <w:tblPr>
        <w:tblStyle w:val="5"/>
        <w:tblW w:w="8720" w:type="dxa"/>
        <w:tblInd w:w="839"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0" w:type="dxa"/>
          <w:left w:w="0" w:type="dxa"/>
          <w:bottom w:w="0" w:type="dxa"/>
          <w:right w:w="0" w:type="dxa"/>
        </w:tblCellMar>
      </w:tblPr>
      <w:tblGrid>
        <w:gridCol w:w="1410"/>
        <w:gridCol w:w="1460"/>
        <w:gridCol w:w="1450"/>
        <w:gridCol w:w="1480"/>
        <w:gridCol w:w="1470"/>
        <w:gridCol w:w="1450"/>
      </w:tblGrid>
      <w:tr w14:paraId="481E1780">
        <w:trPr>
          <w:trHeight w:val="340" w:hRule="atLeast"/>
        </w:trPr>
        <w:tc>
          <w:tcPr>
            <w:tcW w:w="1410" w:type="dxa"/>
            <w:tcBorders>
              <w:top w:val="single" w:color="000000" w:sz="4" w:space="0"/>
              <w:bottom w:val="single" w:color="000000" w:sz="4" w:space="0"/>
            </w:tcBorders>
            <w:shd w:val="clear" w:color="auto" w:fill="DFE0E1"/>
            <w:vAlign w:val="top"/>
          </w:tcPr>
          <w:p w14:paraId="2657B3AD">
            <w:pPr>
              <w:pStyle w:val="6"/>
              <w:spacing w:before="74" w:line="221" w:lineRule="auto"/>
              <w:ind w:left="500"/>
            </w:pPr>
            <w:r>
              <w:rPr>
                <w:spacing w:val="8"/>
              </w:rPr>
              <w:t>对照</w:t>
            </w:r>
          </w:p>
        </w:tc>
        <w:tc>
          <w:tcPr>
            <w:tcW w:w="1460" w:type="dxa"/>
            <w:tcBorders>
              <w:top w:val="single" w:color="000000" w:sz="4" w:space="0"/>
              <w:bottom w:val="single" w:color="000000" w:sz="4" w:space="0"/>
            </w:tcBorders>
            <w:shd w:val="clear" w:color="auto" w:fill="E0E0DF"/>
            <w:vAlign w:val="top"/>
          </w:tcPr>
          <w:p w14:paraId="7B0ADA23">
            <w:pPr>
              <w:pStyle w:val="6"/>
              <w:spacing w:before="76" w:line="222" w:lineRule="auto"/>
              <w:ind w:left="480"/>
            </w:pPr>
            <w:r>
              <w:rPr>
                <w:spacing w:val="-2"/>
              </w:rPr>
              <w:t>27(d)</w:t>
            </w:r>
          </w:p>
        </w:tc>
        <w:tc>
          <w:tcPr>
            <w:tcW w:w="1450" w:type="dxa"/>
            <w:tcBorders>
              <w:top w:val="single" w:color="000000" w:sz="4" w:space="0"/>
              <w:bottom w:val="single" w:color="000000" w:sz="4" w:space="0"/>
            </w:tcBorders>
            <w:shd w:val="clear" w:color="auto" w:fill="E1E1DF"/>
            <w:vAlign w:val="top"/>
          </w:tcPr>
          <w:p w14:paraId="7752C013">
            <w:pPr>
              <w:pStyle w:val="6"/>
              <w:spacing w:before="73" w:line="219" w:lineRule="auto"/>
              <w:ind w:left="370"/>
            </w:pPr>
            <w:r>
              <w:rPr>
                <w:spacing w:val="-2"/>
              </w:rPr>
              <w:t>55(b</w:t>
            </w:r>
            <w:r>
              <w:rPr>
                <w:rFonts w:ascii="Calibri" w:hAnsi="Calibri" w:eastAsia="Calibri" w:cs="Calibri"/>
                <w:spacing w:val="-2"/>
              </w:rPr>
              <w:t>₁</w:t>
            </w:r>
            <w:r>
              <w:rPr>
                <w:spacing w:val="-2"/>
              </w:rPr>
              <w:t>)</w:t>
            </w:r>
          </w:p>
        </w:tc>
        <w:tc>
          <w:tcPr>
            <w:tcW w:w="1480" w:type="dxa"/>
            <w:tcBorders>
              <w:top w:val="single" w:color="000000" w:sz="4" w:space="0"/>
              <w:bottom w:val="single" w:color="000000" w:sz="4" w:space="0"/>
            </w:tcBorders>
            <w:shd w:val="clear" w:color="auto" w:fill="E0E1DC"/>
            <w:vAlign w:val="top"/>
          </w:tcPr>
          <w:p w14:paraId="79F9F853">
            <w:pPr>
              <w:pStyle w:val="6"/>
              <w:spacing w:before="73" w:line="220" w:lineRule="auto"/>
              <w:ind w:left="340"/>
            </w:pPr>
            <w:r>
              <w:rPr>
                <w:spacing w:val="-2"/>
              </w:rPr>
              <w:t>293(b</w:t>
            </w:r>
            <w:r>
              <w:rPr>
                <w:rFonts w:ascii="Calibri" w:hAnsi="Calibri" w:eastAsia="Calibri" w:cs="Calibri"/>
                <w:spacing w:val="-2"/>
              </w:rPr>
              <w:t>₂</w:t>
            </w:r>
            <w:r>
              <w:rPr>
                <w:spacing w:val="-2"/>
              </w:rPr>
              <w:t>)</w:t>
            </w:r>
          </w:p>
        </w:tc>
        <w:tc>
          <w:tcPr>
            <w:tcW w:w="1470" w:type="dxa"/>
            <w:tcBorders>
              <w:top w:val="single" w:color="000000" w:sz="4" w:space="0"/>
              <w:bottom w:val="single" w:color="000000" w:sz="4" w:space="0"/>
            </w:tcBorders>
            <w:shd w:val="clear" w:color="auto" w:fill="E4E4E0"/>
            <w:vAlign w:val="top"/>
          </w:tcPr>
          <w:p w14:paraId="5FFA0704">
            <w:pPr>
              <w:pStyle w:val="6"/>
              <w:spacing w:before="72" w:line="219" w:lineRule="auto"/>
              <w:ind w:left="330"/>
            </w:pPr>
            <w:r>
              <w:rPr>
                <w:spacing w:val="-2"/>
              </w:rPr>
              <w:t>274(b</w:t>
            </w:r>
            <w:r>
              <w:rPr>
                <w:rFonts w:ascii="Calibri" w:hAnsi="Calibri" w:eastAsia="Calibri" w:cs="Calibri"/>
                <w:spacing w:val="-2"/>
              </w:rPr>
              <w:t>₃</w:t>
            </w:r>
            <w:r>
              <w:rPr>
                <w:spacing w:val="-2"/>
              </w:rPr>
              <w:t>)</w:t>
            </w:r>
          </w:p>
        </w:tc>
        <w:tc>
          <w:tcPr>
            <w:tcW w:w="1450" w:type="dxa"/>
            <w:tcBorders>
              <w:top w:val="single" w:color="000000" w:sz="4" w:space="0"/>
              <w:bottom w:val="single" w:color="000000" w:sz="4" w:space="0"/>
            </w:tcBorders>
            <w:shd w:val="clear" w:color="auto" w:fill="D4D5CF"/>
            <w:vAlign w:val="top"/>
          </w:tcPr>
          <w:p w14:paraId="530E6D89">
            <w:pPr>
              <w:pStyle w:val="6"/>
              <w:spacing w:before="72" w:line="219" w:lineRule="auto"/>
              <w:ind w:left="320"/>
            </w:pPr>
            <w:r>
              <w:rPr>
                <w:spacing w:val="-2"/>
              </w:rPr>
              <w:t>649(n</w:t>
            </w:r>
            <w:r>
              <w:rPr>
                <w:rFonts w:ascii="Calibri" w:hAnsi="Calibri" w:eastAsia="Calibri" w:cs="Calibri"/>
                <w:spacing w:val="-2"/>
              </w:rPr>
              <w:t>₀</w:t>
            </w:r>
            <w:r>
              <w:rPr>
                <w:spacing w:val="-2"/>
              </w:rPr>
              <w:t>)</w:t>
            </w:r>
          </w:p>
        </w:tc>
      </w:tr>
      <w:tr w14:paraId="6825AD9C">
        <w:trPr>
          <w:trHeight w:val="379" w:hRule="atLeast"/>
        </w:trPr>
        <w:tc>
          <w:tcPr>
            <w:tcW w:w="1410" w:type="dxa"/>
            <w:tcBorders>
              <w:top w:val="single" w:color="000000" w:sz="4" w:space="0"/>
              <w:bottom w:val="single" w:color="000000" w:sz="4" w:space="0"/>
            </w:tcBorders>
            <w:vAlign w:val="top"/>
          </w:tcPr>
          <w:p w14:paraId="6D567B14">
            <w:pPr>
              <w:pStyle w:val="6"/>
              <w:spacing w:before="94" w:line="221" w:lineRule="auto"/>
              <w:ind w:left="500"/>
            </w:pPr>
            <w:r>
              <w:rPr>
                <w:spacing w:val="-3"/>
              </w:rPr>
              <w:t>合计</w:t>
            </w:r>
          </w:p>
        </w:tc>
        <w:tc>
          <w:tcPr>
            <w:tcW w:w="1460" w:type="dxa"/>
            <w:tcBorders>
              <w:top w:val="single" w:color="000000" w:sz="4" w:space="0"/>
              <w:bottom w:val="single" w:color="000000" w:sz="4" w:space="0"/>
            </w:tcBorders>
            <w:vAlign w:val="top"/>
          </w:tcPr>
          <w:p w14:paraId="390A729D">
            <w:pPr>
              <w:pStyle w:val="6"/>
              <w:spacing w:before="96" w:line="222" w:lineRule="auto"/>
              <w:ind w:left="430"/>
            </w:pPr>
            <w:r>
              <w:rPr>
                <w:spacing w:val="-2"/>
              </w:rPr>
              <w:t>29(mo)</w:t>
            </w:r>
          </w:p>
        </w:tc>
        <w:tc>
          <w:tcPr>
            <w:tcW w:w="1450" w:type="dxa"/>
            <w:tcBorders>
              <w:top w:val="single" w:color="000000" w:sz="4" w:space="0"/>
              <w:bottom w:val="single" w:color="000000" w:sz="4" w:space="0"/>
            </w:tcBorders>
            <w:vAlign w:val="top"/>
          </w:tcPr>
          <w:p w14:paraId="56BC629D">
            <w:pPr>
              <w:pStyle w:val="6"/>
              <w:spacing w:before="93" w:line="219" w:lineRule="auto"/>
              <w:ind w:left="370"/>
            </w:pPr>
            <w:r>
              <w:rPr>
                <w:spacing w:val="-2"/>
              </w:rPr>
              <w:t>88(m</w:t>
            </w:r>
            <w:r>
              <w:rPr>
                <w:rFonts w:ascii="Calibri" w:hAnsi="Calibri" w:eastAsia="Calibri" w:cs="Calibri"/>
                <w:spacing w:val="-2"/>
              </w:rPr>
              <w:t>₁</w:t>
            </w:r>
            <w:r>
              <w:rPr>
                <w:spacing w:val="-2"/>
              </w:rPr>
              <w:t>)</w:t>
            </w:r>
          </w:p>
        </w:tc>
        <w:tc>
          <w:tcPr>
            <w:tcW w:w="1480" w:type="dxa"/>
            <w:tcBorders>
              <w:top w:val="single" w:color="000000" w:sz="4" w:space="0"/>
              <w:bottom w:val="single" w:color="000000" w:sz="4" w:space="0"/>
            </w:tcBorders>
            <w:vAlign w:val="top"/>
          </w:tcPr>
          <w:p w14:paraId="6C74268A">
            <w:pPr>
              <w:pStyle w:val="6"/>
              <w:spacing w:before="93" w:line="220" w:lineRule="auto"/>
              <w:ind w:left="340"/>
            </w:pPr>
            <w:r>
              <w:rPr>
                <w:spacing w:val="-2"/>
              </w:rPr>
              <w:t>543(m</w:t>
            </w:r>
            <w:r>
              <w:rPr>
                <w:rFonts w:ascii="Calibri" w:hAnsi="Calibri" w:eastAsia="Calibri" w:cs="Calibri"/>
                <w:spacing w:val="-2"/>
              </w:rPr>
              <w:t>₂</w:t>
            </w:r>
            <w:r>
              <w:rPr>
                <w:spacing w:val="-2"/>
              </w:rPr>
              <w:t>)</w:t>
            </w:r>
          </w:p>
        </w:tc>
        <w:tc>
          <w:tcPr>
            <w:tcW w:w="1470" w:type="dxa"/>
            <w:tcBorders>
              <w:top w:val="single" w:color="000000" w:sz="4" w:space="0"/>
              <w:bottom w:val="single" w:color="000000" w:sz="4" w:space="0"/>
            </w:tcBorders>
            <w:vAlign w:val="top"/>
          </w:tcPr>
          <w:p w14:paraId="72B7FE0A">
            <w:pPr>
              <w:pStyle w:val="6"/>
              <w:spacing w:before="92" w:line="219" w:lineRule="auto"/>
              <w:ind w:left="330"/>
            </w:pPr>
            <w:r>
              <w:rPr>
                <w:spacing w:val="-2"/>
              </w:rPr>
              <w:t>638(m</w:t>
            </w:r>
            <w:r>
              <w:rPr>
                <w:rFonts w:ascii="Calibri" w:hAnsi="Calibri" w:eastAsia="Calibri" w:cs="Calibri"/>
                <w:spacing w:val="-2"/>
              </w:rPr>
              <w:t>₃</w:t>
            </w:r>
            <w:r>
              <w:rPr>
                <w:spacing w:val="-2"/>
              </w:rPr>
              <w:t>)</w:t>
            </w:r>
          </w:p>
        </w:tc>
        <w:tc>
          <w:tcPr>
            <w:tcW w:w="1450" w:type="dxa"/>
            <w:tcBorders>
              <w:top w:val="single" w:color="000000" w:sz="4" w:space="0"/>
              <w:bottom w:val="single" w:color="000000" w:sz="4" w:space="0"/>
            </w:tcBorders>
            <w:vAlign w:val="top"/>
          </w:tcPr>
          <w:p w14:paraId="4A68BDA3">
            <w:pPr>
              <w:pStyle w:val="6"/>
              <w:spacing w:before="96" w:line="222" w:lineRule="auto"/>
              <w:ind w:left="370"/>
            </w:pPr>
            <w:r>
              <w:rPr>
                <w:spacing w:val="-3"/>
              </w:rPr>
              <w:t>1298(N)</w:t>
            </w:r>
          </w:p>
        </w:tc>
      </w:tr>
    </w:tbl>
    <w:p w14:paraId="715276EE">
      <w:pPr>
        <w:spacing w:line="373" w:lineRule="auto"/>
        <w:rPr>
          <w:rFonts w:ascii="Arial"/>
          <w:sz w:val="21"/>
        </w:rPr>
      </w:pPr>
    </w:p>
    <w:p w14:paraId="0E2870EF">
      <w:pPr>
        <w:spacing w:before="68" w:line="219" w:lineRule="auto"/>
        <w:ind w:left="1139"/>
        <w:rPr>
          <w:rFonts w:ascii="宋体" w:hAnsi="宋体" w:eastAsia="宋体" w:cs="宋体"/>
          <w:sz w:val="21"/>
          <w:szCs w:val="21"/>
        </w:rPr>
      </w:pPr>
      <w:r>
        <w:rPr>
          <w:rFonts w:ascii="宋体" w:hAnsi="宋体" w:eastAsia="宋体" w:cs="宋体"/>
          <w:sz w:val="21"/>
          <w:szCs w:val="21"/>
        </w:rPr>
        <w:t>(2)进行</w:t>
      </w:r>
      <w:r>
        <w:rPr>
          <w:rFonts w:ascii="Times New Roman" w:hAnsi="Times New Roman" w:eastAsia="Times New Roman" w:cs="Times New Roman"/>
          <w:sz w:val="21"/>
          <w:szCs w:val="21"/>
        </w:rPr>
        <w:t>R×C</w:t>
      </w:r>
      <w:r>
        <w:rPr>
          <w:rFonts w:ascii="Times New Roman" w:hAnsi="Times New Roman" w:eastAsia="Times New Roman" w:cs="Times New Roman"/>
          <w:spacing w:val="24"/>
          <w:sz w:val="21"/>
          <w:szCs w:val="21"/>
        </w:rPr>
        <w:t xml:space="preserve"> </w:t>
      </w:r>
      <w:r>
        <w:rPr>
          <w:rFonts w:ascii="宋体" w:hAnsi="宋体" w:eastAsia="宋体" w:cs="宋体"/>
          <w:sz w:val="21"/>
          <w:szCs w:val="21"/>
        </w:rPr>
        <w:t>列联表资料的</w:t>
      </w:r>
      <w:r>
        <w:rPr>
          <w:rFonts w:ascii="Times New Roman" w:hAnsi="Times New Roman" w:eastAsia="Times New Roman" w:cs="Times New Roman"/>
          <w:sz w:val="21"/>
          <w:szCs w:val="21"/>
        </w:rPr>
        <w:t>x²</w:t>
      </w:r>
      <w:r>
        <w:rPr>
          <w:rFonts w:ascii="Times New Roman" w:hAnsi="Times New Roman" w:eastAsia="Times New Roman" w:cs="Times New Roman"/>
          <w:spacing w:val="32"/>
          <w:w w:val="101"/>
          <w:sz w:val="21"/>
          <w:szCs w:val="21"/>
        </w:rPr>
        <w:t xml:space="preserve"> </w:t>
      </w:r>
      <w:r>
        <w:rPr>
          <w:rFonts w:ascii="宋体" w:hAnsi="宋体" w:eastAsia="宋体" w:cs="宋体"/>
          <w:sz w:val="21"/>
          <w:szCs w:val="21"/>
        </w:rPr>
        <w:t>检验：用下面的</w:t>
      </w:r>
      <w:r>
        <w:rPr>
          <w:rFonts w:ascii="宋体" w:hAnsi="宋体" w:eastAsia="宋体" w:cs="宋体"/>
          <w:spacing w:val="-1"/>
          <w:sz w:val="21"/>
          <w:szCs w:val="21"/>
        </w:rPr>
        <w:t>卡方检验公式计算</w:t>
      </w:r>
      <w:r>
        <w:rPr>
          <w:rFonts w:ascii="Times New Roman" w:hAnsi="Times New Roman" w:eastAsia="Times New Roman" w:cs="Times New Roman"/>
          <w:spacing w:val="-1"/>
          <w:sz w:val="21"/>
          <w:szCs w:val="21"/>
        </w:rPr>
        <w:t>x²</w:t>
      </w:r>
      <w:r>
        <w:rPr>
          <w:rFonts w:ascii="Times New Roman" w:hAnsi="Times New Roman" w:eastAsia="Times New Roman" w:cs="Times New Roman"/>
          <w:spacing w:val="32"/>
          <w:w w:val="101"/>
          <w:sz w:val="21"/>
          <w:szCs w:val="21"/>
        </w:rPr>
        <w:t xml:space="preserve"> </w:t>
      </w:r>
      <w:r>
        <w:rPr>
          <w:rFonts w:ascii="宋体" w:hAnsi="宋体" w:eastAsia="宋体" w:cs="宋体"/>
          <w:spacing w:val="-1"/>
          <w:sz w:val="21"/>
          <w:szCs w:val="21"/>
        </w:rPr>
        <w:t>值。</w:t>
      </w:r>
    </w:p>
    <w:p w14:paraId="0BD480CB">
      <w:pPr>
        <w:pStyle w:val="2"/>
        <w:spacing w:before="252"/>
        <w:jc w:val="right"/>
        <w:rPr>
          <w:rFonts w:ascii="宋体" w:hAnsi="宋体" w:eastAsia="宋体" w:cs="宋体"/>
          <w:sz w:val="21"/>
          <w:szCs w:val="21"/>
        </w:rPr>
      </w:pPr>
      <w:r>
        <w:rPr>
          <w:position w:val="1"/>
          <w:sz w:val="21"/>
          <w:szCs w:val="21"/>
        </w:rPr>
        <w:t>即</w:t>
      </w:r>
      <w:r>
        <w:rPr>
          <w:spacing w:val="2"/>
          <w:position w:val="1"/>
          <w:sz w:val="21"/>
          <w:szCs w:val="21"/>
        </w:rPr>
        <w:t xml:space="preserve">                           </w:t>
      </w:r>
      <w:r>
        <w:rPr>
          <w:position w:val="-25"/>
          <w:sz w:val="21"/>
          <w:szCs w:val="21"/>
        </w:rPr>
        <w:drawing>
          <wp:inline distT="0" distB="0" distL="0" distR="0">
            <wp:extent cx="1155065" cy="387350"/>
            <wp:effectExtent l="0" t="0" r="0" b="0"/>
            <wp:docPr id="336" name="IM 336"/>
            <wp:cNvGraphicFramePr/>
            <a:graphic xmlns:a="http://schemas.openxmlformats.org/drawingml/2006/main">
              <a:graphicData uri="http://schemas.openxmlformats.org/drawingml/2006/picture">
                <pic:pic xmlns:pic="http://schemas.openxmlformats.org/drawingml/2006/picture">
                  <pic:nvPicPr>
                    <pic:cNvPr id="336" name="IM 336"/>
                    <pic:cNvPicPr/>
                  </pic:nvPicPr>
                  <pic:blipFill>
                    <a:blip r:embed="rId539"/>
                    <a:stretch>
                      <a:fillRect/>
                    </a:stretch>
                  </pic:blipFill>
                  <pic:spPr>
                    <a:xfrm>
                      <a:off x="0" y="0"/>
                      <a:ext cx="1155691" cy="387388"/>
                    </a:xfrm>
                    <a:prstGeom prst="rect">
                      <a:avLst/>
                    </a:prstGeom>
                  </pic:spPr>
                </pic:pic>
              </a:graphicData>
            </a:graphic>
          </wp:inline>
        </w:drawing>
      </w:r>
      <w:r>
        <w:rPr>
          <w:position w:val="1"/>
          <w:sz w:val="21"/>
          <w:szCs w:val="21"/>
        </w:rPr>
        <w:t xml:space="preserve">                         </w:t>
      </w:r>
      <w:r>
        <w:rPr>
          <w:rFonts w:ascii="宋体" w:hAnsi="宋体" w:eastAsia="宋体" w:cs="宋体"/>
          <w:sz w:val="21"/>
          <w:szCs w:val="21"/>
        </w:rPr>
        <w:t>式(5-25)</w:t>
      </w:r>
    </w:p>
    <w:p w14:paraId="1783C1D7">
      <w:pPr>
        <w:spacing w:before="255" w:line="198" w:lineRule="auto"/>
        <w:ind w:left="1180"/>
        <w:rPr>
          <w:rFonts w:ascii="宋体" w:hAnsi="宋体" w:eastAsia="宋体" w:cs="宋体"/>
          <w:sz w:val="21"/>
          <w:szCs w:val="21"/>
        </w:rPr>
      </w:pPr>
      <w:r>
        <w:rPr>
          <w:rFonts w:ascii="宋体" w:hAnsi="宋体" w:eastAsia="宋体" w:cs="宋体"/>
          <w:spacing w:val="-3"/>
          <w:sz w:val="21"/>
          <w:szCs w:val="21"/>
        </w:rPr>
        <w:t>表5-10中的</w:t>
      </w:r>
      <w:r>
        <w:rPr>
          <w:rFonts w:ascii="Times New Roman" w:hAnsi="Times New Roman" w:eastAsia="Times New Roman" w:cs="Times New Roman"/>
          <w:spacing w:val="-3"/>
          <w:sz w:val="21"/>
          <w:szCs w:val="21"/>
        </w:rPr>
        <w:t>a</w:t>
      </w:r>
      <w:r>
        <w:rPr>
          <w:rFonts w:ascii="宋体" w:hAnsi="宋体" w:eastAsia="宋体" w:cs="宋体"/>
          <w:spacing w:val="-3"/>
          <w:sz w:val="21"/>
          <w:szCs w:val="21"/>
        </w:rPr>
        <w:t>、</w:t>
      </w:r>
      <w:r>
        <w:rPr>
          <w:rFonts w:ascii="Times New Roman" w:hAnsi="Times New Roman" w:eastAsia="Times New Roman" w:cs="Times New Roman"/>
          <w:spacing w:val="-3"/>
          <w:sz w:val="21"/>
          <w:szCs w:val="21"/>
        </w:rPr>
        <w:t>b₁</w:t>
      </w:r>
      <w:r>
        <w:rPr>
          <w:rFonts w:ascii="宋体" w:hAnsi="宋体" w:eastAsia="宋体" w:cs="宋体"/>
          <w:spacing w:val="-3"/>
          <w:sz w:val="21"/>
          <w:szCs w:val="21"/>
        </w:rPr>
        <w:t>、</w:t>
      </w:r>
      <w:r>
        <w:rPr>
          <w:rFonts w:ascii="Times New Roman" w:hAnsi="Times New Roman" w:eastAsia="Times New Roman" w:cs="Times New Roman"/>
          <w:spacing w:val="-3"/>
          <w:sz w:val="21"/>
          <w:szCs w:val="21"/>
        </w:rPr>
        <w:t>c</w:t>
      </w:r>
      <w:r>
        <w:rPr>
          <w:rFonts w:ascii="宋体" w:hAnsi="宋体" w:eastAsia="宋体" w:cs="宋体"/>
          <w:spacing w:val="-3"/>
          <w:sz w:val="21"/>
          <w:szCs w:val="21"/>
        </w:rPr>
        <w:t>和</w:t>
      </w:r>
      <w:r>
        <w:rPr>
          <w:rFonts w:ascii="Times New Roman" w:hAnsi="Times New Roman" w:eastAsia="Times New Roman" w:cs="Times New Roman"/>
          <w:spacing w:val="-3"/>
          <w:sz w:val="21"/>
          <w:szCs w:val="21"/>
        </w:rPr>
        <w:t>d</w:t>
      </w:r>
      <w:r>
        <w:rPr>
          <w:rFonts w:ascii="Times New Roman" w:hAnsi="Times New Roman" w:eastAsia="Times New Roman" w:cs="Times New Roman"/>
          <w:spacing w:val="19"/>
          <w:w w:val="101"/>
          <w:sz w:val="21"/>
          <w:szCs w:val="21"/>
        </w:rPr>
        <w:t xml:space="preserve"> </w:t>
      </w:r>
      <w:r>
        <w:rPr>
          <w:rFonts w:ascii="宋体" w:hAnsi="宋体" w:eastAsia="宋体" w:cs="宋体"/>
          <w:spacing w:val="-3"/>
          <w:sz w:val="21"/>
          <w:szCs w:val="21"/>
        </w:rPr>
        <w:t>即为实际值</w:t>
      </w:r>
      <w:r>
        <w:rPr>
          <w:rFonts w:ascii="Times New Roman" w:hAnsi="Times New Roman" w:eastAsia="Times New Roman" w:cs="Times New Roman"/>
          <w:spacing w:val="-3"/>
          <w:sz w:val="21"/>
          <w:szCs w:val="21"/>
        </w:rPr>
        <w:t>(A;)</w:t>
      </w:r>
      <w:r>
        <w:rPr>
          <w:rFonts w:ascii="Times New Roman" w:hAnsi="Times New Roman" w:eastAsia="Times New Roman" w:cs="Times New Roman"/>
          <w:spacing w:val="-4"/>
          <w:sz w:val="21"/>
          <w:szCs w:val="21"/>
        </w:rPr>
        <w:t>,</w:t>
      </w:r>
      <w:r>
        <w:rPr>
          <w:rFonts w:ascii="Times New Roman" w:hAnsi="Times New Roman" w:eastAsia="Times New Roman" w:cs="Times New Roman"/>
          <w:spacing w:val="14"/>
          <w:sz w:val="21"/>
          <w:szCs w:val="21"/>
        </w:rPr>
        <w:t xml:space="preserve"> </w:t>
      </w:r>
      <w:r>
        <w:rPr>
          <w:rFonts w:ascii="宋体" w:hAnsi="宋体" w:eastAsia="宋体" w:cs="宋体"/>
          <w:spacing w:val="-4"/>
          <w:sz w:val="21"/>
          <w:szCs w:val="21"/>
        </w:rPr>
        <w:t>则</w:t>
      </w:r>
      <w:r>
        <w:rPr>
          <w:rFonts w:ascii="宋体" w:hAnsi="宋体" w:eastAsia="宋体" w:cs="宋体"/>
          <w:spacing w:val="-50"/>
          <w:sz w:val="21"/>
          <w:szCs w:val="21"/>
        </w:rPr>
        <w:t xml:space="preserve"> </w:t>
      </w:r>
      <w:r>
        <w:rPr>
          <w:rFonts w:ascii="宋体" w:hAnsi="宋体" w:eastAsia="宋体" w:cs="宋体"/>
          <w:spacing w:val="-4"/>
          <w:sz w:val="21"/>
          <w:szCs w:val="21"/>
        </w:rPr>
        <w:t>：</w:t>
      </w:r>
    </w:p>
    <w:p w14:paraId="0166C561">
      <w:pPr>
        <w:spacing w:line="198" w:lineRule="auto"/>
        <w:rPr>
          <w:rFonts w:ascii="宋体" w:hAnsi="宋体" w:eastAsia="宋体" w:cs="宋体"/>
          <w:sz w:val="21"/>
          <w:szCs w:val="21"/>
        </w:rPr>
        <w:sectPr>
          <w:type w:val="continuous"/>
          <w:pgSz w:w="11900" w:h="16820"/>
          <w:pgMar w:top="400" w:right="1543" w:bottom="940" w:left="780" w:header="0" w:footer="667" w:gutter="0"/>
          <w:cols w:equalWidth="0" w:num="1">
            <w:col w:w="9577"/>
          </w:cols>
        </w:sectPr>
      </w:pPr>
    </w:p>
    <w:p w14:paraId="41F057BF">
      <w:pPr>
        <w:spacing w:line="267" w:lineRule="auto"/>
        <w:rPr>
          <w:rFonts w:ascii="Arial"/>
          <w:sz w:val="21"/>
        </w:rPr>
      </w:pPr>
    </w:p>
    <w:p w14:paraId="4D3DAF40">
      <w:pPr>
        <w:pStyle w:val="2"/>
        <w:spacing w:before="68" w:line="222" w:lineRule="auto"/>
        <w:ind w:left="7459"/>
        <w:rPr>
          <w:sz w:val="21"/>
          <w:szCs w:val="21"/>
        </w:rPr>
      </w:pPr>
      <w:bookmarkStart w:id="148" w:name="bookmark451"/>
      <w:bookmarkEnd w:id="148"/>
      <w:r>
        <w:rPr>
          <w:spacing w:val="-15"/>
          <w:sz w:val="21"/>
          <w:szCs w:val="21"/>
        </w:rPr>
        <w:t>第五章病例对照研究</w:t>
      </w:r>
    </w:p>
    <w:p w14:paraId="251610FE">
      <w:pPr>
        <w:spacing w:line="268" w:lineRule="auto"/>
        <w:rPr>
          <w:rFonts w:ascii="Arial"/>
          <w:sz w:val="21"/>
        </w:rPr>
      </w:pPr>
    </w:p>
    <w:p w14:paraId="706CFAF3">
      <w:pPr>
        <w:spacing w:line="268" w:lineRule="auto"/>
        <w:rPr>
          <w:rFonts w:ascii="Arial"/>
          <w:sz w:val="21"/>
        </w:rPr>
      </w:pPr>
    </w:p>
    <w:p w14:paraId="2B5F60A9">
      <w:pPr>
        <w:spacing w:line="543" w:lineRule="exact"/>
        <w:ind w:firstLine="360"/>
      </w:pPr>
      <w:r>
        <w:rPr>
          <w:position w:val="-10"/>
        </w:rPr>
        <w:drawing>
          <wp:inline distT="0" distB="0" distL="0" distR="0">
            <wp:extent cx="5390515" cy="344805"/>
            <wp:effectExtent l="0" t="0" r="0" b="0"/>
            <wp:docPr id="338" name="IM 338"/>
            <wp:cNvGraphicFramePr/>
            <a:graphic xmlns:a="http://schemas.openxmlformats.org/drawingml/2006/main">
              <a:graphicData uri="http://schemas.openxmlformats.org/drawingml/2006/picture">
                <pic:pic xmlns:pic="http://schemas.openxmlformats.org/drawingml/2006/picture">
                  <pic:nvPicPr>
                    <pic:cNvPr id="338" name="IM 338"/>
                    <pic:cNvPicPr/>
                  </pic:nvPicPr>
                  <pic:blipFill>
                    <a:blip r:embed="rId540"/>
                    <a:stretch>
                      <a:fillRect/>
                    </a:stretch>
                  </pic:blipFill>
                  <pic:spPr>
                    <a:xfrm>
                      <a:off x="0" y="0"/>
                      <a:ext cx="5391139" cy="345150"/>
                    </a:xfrm>
                    <a:prstGeom prst="rect">
                      <a:avLst/>
                    </a:prstGeom>
                  </pic:spPr>
                </pic:pic>
              </a:graphicData>
            </a:graphic>
          </wp:inline>
        </w:drawing>
      </w:r>
    </w:p>
    <w:p w14:paraId="41CD642D">
      <w:pPr>
        <w:spacing w:before="76" w:line="239" w:lineRule="auto"/>
        <w:ind w:left="590"/>
        <w:rPr>
          <w:rFonts w:ascii="宋体" w:hAnsi="宋体" w:eastAsia="宋体" w:cs="宋体"/>
          <w:sz w:val="21"/>
          <w:szCs w:val="21"/>
        </w:rPr>
      </w:pPr>
      <w:r>
        <w:rPr>
          <w:rFonts w:ascii="宋体" w:hAnsi="宋体" w:eastAsia="宋体" w:cs="宋体"/>
          <w:spacing w:val="-2"/>
          <w:sz w:val="21"/>
          <w:szCs w:val="21"/>
        </w:rPr>
        <w:t>=43.15</w:t>
      </w:r>
    </w:p>
    <w:p w14:paraId="47F2FA85">
      <w:pPr>
        <w:spacing w:before="202" w:line="340" w:lineRule="auto"/>
        <w:ind w:right="647" w:firstLine="450"/>
        <w:rPr>
          <w:rFonts w:ascii="宋体" w:hAnsi="宋体" w:eastAsia="宋体" w:cs="宋体"/>
          <w:sz w:val="21"/>
          <w:szCs w:val="21"/>
        </w:rPr>
      </w:pPr>
      <w:r>
        <w:rPr>
          <w:rFonts w:ascii="宋体" w:hAnsi="宋体" w:eastAsia="宋体" w:cs="宋体"/>
          <w:spacing w:val="4"/>
          <w:sz w:val="21"/>
          <w:szCs w:val="21"/>
        </w:rPr>
        <w:t>v=(R-1)(C-1)=(2-1)(4-1)=3,P&lt;0.001,     说明男性肺癌组和对照组吸烟量分布的差别有统</w:t>
      </w:r>
      <w:r>
        <w:rPr>
          <w:rFonts w:ascii="宋体" w:hAnsi="宋体" w:eastAsia="宋体" w:cs="宋体"/>
          <w:spacing w:val="13"/>
          <w:sz w:val="21"/>
          <w:szCs w:val="21"/>
        </w:rPr>
        <w:t xml:space="preserve"> </w:t>
      </w:r>
      <w:r>
        <w:rPr>
          <w:rFonts w:ascii="宋体" w:hAnsi="宋体" w:eastAsia="宋体" w:cs="宋体"/>
          <w:spacing w:val="9"/>
          <w:sz w:val="21"/>
          <w:szCs w:val="21"/>
        </w:rPr>
        <w:t>计学意义。</w:t>
      </w:r>
    </w:p>
    <w:p w14:paraId="049FBA36">
      <w:pPr>
        <w:spacing w:before="4" w:line="312" w:lineRule="auto"/>
        <w:ind w:right="561" w:firstLine="410"/>
        <w:jc w:val="both"/>
        <w:rPr>
          <w:rFonts w:ascii="宋体" w:hAnsi="宋体" w:eastAsia="宋体" w:cs="宋体"/>
          <w:sz w:val="21"/>
          <w:szCs w:val="21"/>
        </w:rPr>
      </w:pPr>
      <w:r>
        <w:rPr>
          <w:rFonts w:ascii="宋体" w:hAnsi="宋体" w:eastAsia="宋体" w:cs="宋体"/>
          <w:spacing w:val="10"/>
          <w:sz w:val="21"/>
          <w:szCs w:val="21"/>
        </w:rPr>
        <w:t>(3)计算各暴露水平的</w:t>
      </w:r>
      <w:r>
        <w:rPr>
          <w:rFonts w:ascii="宋体" w:hAnsi="宋体" w:eastAsia="宋体" w:cs="宋体"/>
          <w:sz w:val="21"/>
          <w:szCs w:val="21"/>
        </w:rPr>
        <w:t>OR</w:t>
      </w:r>
      <w:r>
        <w:rPr>
          <w:rFonts w:ascii="宋体" w:hAnsi="宋体" w:eastAsia="宋体" w:cs="宋体"/>
          <w:spacing w:val="10"/>
          <w:sz w:val="21"/>
          <w:szCs w:val="21"/>
        </w:rPr>
        <w:t xml:space="preserve"> 值：通常以不暴露或最低水平的暴露组为参照组，其余暴露水</w:t>
      </w:r>
      <w:r>
        <w:rPr>
          <w:rFonts w:ascii="宋体" w:hAnsi="宋体" w:eastAsia="宋体" w:cs="宋体"/>
          <w:spacing w:val="9"/>
          <w:sz w:val="21"/>
          <w:szCs w:val="21"/>
        </w:rPr>
        <w:t>平各</w:t>
      </w:r>
      <w:r>
        <w:rPr>
          <w:rFonts w:ascii="宋体" w:hAnsi="宋体" w:eastAsia="宋体" w:cs="宋体"/>
          <w:sz w:val="21"/>
          <w:szCs w:val="21"/>
        </w:rPr>
        <w:t xml:space="preserve"> </w:t>
      </w:r>
      <w:r>
        <w:rPr>
          <w:rFonts w:ascii="宋体" w:hAnsi="宋体" w:eastAsia="宋体" w:cs="宋体"/>
          <w:spacing w:val="8"/>
          <w:sz w:val="21"/>
          <w:szCs w:val="21"/>
        </w:rPr>
        <w:t>组分别与参照组进行比较，计算各组的</w:t>
      </w:r>
      <w:r>
        <w:rPr>
          <w:rFonts w:ascii="Times New Roman" w:hAnsi="Times New Roman" w:eastAsia="Times New Roman" w:cs="Times New Roman"/>
          <w:sz w:val="21"/>
          <w:szCs w:val="21"/>
        </w:rPr>
        <w:t>OR</w:t>
      </w:r>
      <w:r>
        <w:rPr>
          <w:rFonts w:ascii="Times New Roman" w:hAnsi="Times New Roman" w:eastAsia="Times New Roman" w:cs="Times New Roman"/>
          <w:spacing w:val="3"/>
          <w:sz w:val="21"/>
          <w:szCs w:val="21"/>
        </w:rPr>
        <w:t xml:space="preserve"> </w:t>
      </w:r>
      <w:r>
        <w:rPr>
          <w:rFonts w:ascii="宋体" w:hAnsi="宋体" w:eastAsia="宋体" w:cs="宋体"/>
          <w:spacing w:val="8"/>
          <w:sz w:val="21"/>
          <w:szCs w:val="21"/>
        </w:rPr>
        <w:t>值。本例以不吸烟组为参照组，每日吸烟支数为1～4、</w:t>
      </w:r>
      <w:r>
        <w:rPr>
          <w:rFonts w:ascii="宋体" w:hAnsi="宋体" w:eastAsia="宋体" w:cs="宋体"/>
          <w:sz w:val="21"/>
          <w:szCs w:val="21"/>
        </w:rPr>
        <w:t xml:space="preserve"> </w:t>
      </w:r>
      <w:r>
        <w:rPr>
          <w:rFonts w:ascii="宋体" w:hAnsi="宋体" w:eastAsia="宋体" w:cs="宋体"/>
          <w:spacing w:val="5"/>
          <w:sz w:val="21"/>
          <w:szCs w:val="21"/>
        </w:rPr>
        <w:t>5～14、15～三组的</w:t>
      </w:r>
      <w:r>
        <w:rPr>
          <w:rFonts w:ascii="Times New Roman" w:hAnsi="Times New Roman" w:eastAsia="Times New Roman" w:cs="Times New Roman"/>
          <w:sz w:val="21"/>
          <w:szCs w:val="21"/>
        </w:rPr>
        <w:t>OR</w:t>
      </w:r>
      <w:r>
        <w:rPr>
          <w:rFonts w:ascii="Times New Roman" w:hAnsi="Times New Roman" w:eastAsia="Times New Roman" w:cs="Times New Roman"/>
          <w:spacing w:val="5"/>
          <w:sz w:val="21"/>
          <w:szCs w:val="21"/>
        </w:rPr>
        <w:t xml:space="preserve"> </w:t>
      </w:r>
      <w:r>
        <w:rPr>
          <w:rFonts w:ascii="宋体" w:hAnsi="宋体" w:eastAsia="宋体" w:cs="宋体"/>
          <w:spacing w:val="5"/>
          <w:sz w:val="21"/>
          <w:szCs w:val="21"/>
        </w:rPr>
        <w:t>值分别为8.10、11.52和17.93,即随着吸烟量的增加而递增，呈现明</w:t>
      </w:r>
      <w:r>
        <w:rPr>
          <w:rFonts w:ascii="宋体" w:hAnsi="宋体" w:eastAsia="宋体" w:cs="宋体"/>
          <w:spacing w:val="4"/>
          <w:sz w:val="21"/>
          <w:szCs w:val="21"/>
        </w:rPr>
        <w:t>显的剂</w:t>
      </w:r>
    </w:p>
    <w:p w14:paraId="773D0582">
      <w:pPr>
        <w:spacing w:line="312" w:lineRule="auto"/>
        <w:rPr>
          <w:rFonts w:ascii="宋体" w:hAnsi="宋体" w:eastAsia="宋体" w:cs="宋体"/>
          <w:sz w:val="21"/>
          <w:szCs w:val="21"/>
        </w:rPr>
        <w:sectPr>
          <w:footerReference r:id="rId109" w:type="default"/>
          <w:pgSz w:w="11900" w:h="16820"/>
          <w:pgMar w:top="400" w:right="733" w:bottom="880" w:left="1309" w:header="0" w:footer="607" w:gutter="0"/>
          <w:cols w:equalWidth="0" w:num="1">
            <w:col w:w="9857"/>
          </w:cols>
        </w:sectPr>
      </w:pPr>
    </w:p>
    <w:p w14:paraId="3A02BE46">
      <w:pPr>
        <w:spacing w:before="41" w:line="219" w:lineRule="auto"/>
        <w:rPr>
          <w:rFonts w:ascii="宋体" w:hAnsi="宋体" w:eastAsia="宋体" w:cs="宋体"/>
          <w:sz w:val="21"/>
          <w:szCs w:val="21"/>
        </w:rPr>
      </w:pPr>
      <w:r>
        <w:rPr>
          <w:rFonts w:ascii="宋体" w:hAnsi="宋体" w:eastAsia="宋体" w:cs="宋体"/>
          <w:spacing w:val="8"/>
          <w:sz w:val="21"/>
          <w:szCs w:val="21"/>
        </w:rPr>
        <w:t>量-反应关系。但还需经x²趋势检验来判明该剂量-反应关系是否有统计学意义。</w:t>
      </w:r>
    </w:p>
    <w:p w14:paraId="4A94474A">
      <w:pPr>
        <w:spacing w:before="99" w:line="212" w:lineRule="auto"/>
        <w:ind w:left="440"/>
        <w:rPr>
          <w:rFonts w:ascii="宋体" w:hAnsi="宋体" w:eastAsia="宋体" w:cs="宋体"/>
          <w:sz w:val="21"/>
          <w:szCs w:val="21"/>
        </w:rPr>
      </w:pPr>
      <w:r>
        <w:rPr>
          <w:rFonts w:ascii="Times New Roman" w:hAnsi="Times New Roman" w:eastAsia="Times New Roman" w:cs="Times New Roman"/>
          <w:sz w:val="21"/>
          <w:szCs w:val="21"/>
        </w:rPr>
        <w:t>(4)x²</w:t>
      </w:r>
      <w:r>
        <w:rPr>
          <w:rFonts w:ascii="Times New Roman" w:hAnsi="Times New Roman" w:eastAsia="Times New Roman" w:cs="Times New Roman"/>
          <w:spacing w:val="8"/>
          <w:sz w:val="21"/>
          <w:szCs w:val="21"/>
        </w:rPr>
        <w:t xml:space="preserve">    </w:t>
      </w:r>
      <w:r>
        <w:rPr>
          <w:rFonts w:ascii="宋体" w:hAnsi="宋体" w:eastAsia="宋体" w:cs="宋体"/>
          <w:sz w:val="21"/>
          <w:szCs w:val="21"/>
        </w:rPr>
        <w:t>趋势检验：用下列公式计算</w:t>
      </w:r>
      <w:r>
        <w:rPr>
          <w:rFonts w:ascii="Times New Roman" w:hAnsi="Times New Roman" w:eastAsia="Times New Roman" w:cs="Times New Roman"/>
          <w:sz w:val="21"/>
          <w:szCs w:val="21"/>
        </w:rPr>
        <w:t>x²</w:t>
      </w:r>
      <w:r>
        <w:rPr>
          <w:rFonts w:ascii="Times New Roman" w:hAnsi="Times New Roman" w:eastAsia="Times New Roman" w:cs="Times New Roman"/>
          <w:spacing w:val="25"/>
          <w:sz w:val="21"/>
          <w:szCs w:val="21"/>
        </w:rPr>
        <w:t xml:space="preserve"> </w:t>
      </w:r>
      <w:r>
        <w:rPr>
          <w:rFonts w:ascii="宋体" w:hAnsi="宋体" w:eastAsia="宋体" w:cs="宋体"/>
          <w:sz w:val="21"/>
          <w:szCs w:val="21"/>
        </w:rPr>
        <w:t>值</w:t>
      </w:r>
      <w:r>
        <w:rPr>
          <w:rFonts w:ascii="宋体" w:hAnsi="宋体" w:eastAsia="宋体" w:cs="宋体"/>
          <w:spacing w:val="-51"/>
          <w:sz w:val="21"/>
          <w:szCs w:val="21"/>
        </w:rPr>
        <w:t xml:space="preserve"> </w:t>
      </w:r>
      <w:r>
        <w:rPr>
          <w:rFonts w:ascii="宋体" w:hAnsi="宋体" w:eastAsia="宋体" w:cs="宋体"/>
          <w:sz w:val="21"/>
          <w:szCs w:val="21"/>
        </w:rPr>
        <w:t>。</w:t>
      </w:r>
    </w:p>
    <w:p w14:paraId="65134666">
      <w:pPr>
        <w:spacing w:line="259" w:lineRule="auto"/>
        <w:rPr>
          <w:rFonts w:ascii="Arial"/>
          <w:sz w:val="21"/>
        </w:rPr>
      </w:pPr>
    </w:p>
    <w:p w14:paraId="0141A7C2">
      <w:pPr>
        <w:spacing w:before="60" w:line="192" w:lineRule="auto"/>
        <w:ind w:left="3480"/>
        <w:rPr>
          <w:rFonts w:ascii="Times New Roman" w:hAnsi="Times New Roman" w:eastAsia="Times New Roman" w:cs="Times New Roman"/>
          <w:sz w:val="21"/>
          <w:szCs w:val="21"/>
        </w:rPr>
      </w:pPr>
      <w:r>
        <w:rPr>
          <w:rFonts w:ascii="Times New Roman" w:hAnsi="Times New Roman" w:eastAsia="Times New Roman" w:cs="Times New Roman"/>
          <w:spacing w:val="-1"/>
          <w:sz w:val="21"/>
          <w:szCs w:val="21"/>
        </w:rPr>
        <w:t>X²=[T₁-(n₁T₂IN)]²/Var</w:t>
      </w:r>
    </w:p>
    <w:p w14:paraId="6463366F">
      <w:pPr>
        <w:spacing w:before="309" w:line="219" w:lineRule="auto"/>
        <w:ind w:left="9"/>
        <w:rPr>
          <w:rFonts w:ascii="宋体" w:hAnsi="宋体" w:eastAsia="宋体" w:cs="宋体"/>
          <w:sz w:val="21"/>
          <w:szCs w:val="21"/>
        </w:rPr>
      </w:pPr>
      <w:r>
        <w:rPr>
          <w:rFonts w:ascii="宋体" w:hAnsi="宋体" w:eastAsia="宋体" w:cs="宋体"/>
          <w:spacing w:val="-3"/>
          <w:sz w:val="21"/>
          <w:szCs w:val="21"/>
        </w:rPr>
        <w:t>式中，Var为方差，其计算公式为：</w:t>
      </w:r>
    </w:p>
    <w:p w14:paraId="6F502442">
      <w:pPr>
        <w:rPr>
          <w:rFonts w:ascii="Arial"/>
          <w:sz w:val="21"/>
        </w:rPr>
      </w:pPr>
    </w:p>
    <w:p w14:paraId="34473F94">
      <w:pPr>
        <w:spacing w:before="68" w:line="183" w:lineRule="auto"/>
        <w:ind w:left="3180"/>
        <w:rPr>
          <w:rFonts w:ascii="Times New Roman" w:hAnsi="Times New Roman" w:eastAsia="Times New Roman" w:cs="Times New Roman"/>
          <w:sz w:val="21"/>
          <w:szCs w:val="21"/>
        </w:rPr>
      </w:pPr>
      <w:r>
        <w:rPr>
          <w:rFonts w:ascii="Times New Roman" w:hAnsi="Times New Roman" w:eastAsia="Times New Roman" w:cs="Times New Roman"/>
          <w:spacing w:val="-2"/>
          <w:sz w:val="21"/>
          <w:szCs w:val="21"/>
        </w:rPr>
        <w:t>Var=n,n</w:t>
      </w:r>
      <w:r>
        <w:rPr>
          <w:rFonts w:ascii="Times New Roman" w:hAnsi="Times New Roman" w:eastAsia="Times New Roman" w:cs="Times New Roman"/>
          <w:spacing w:val="-5"/>
          <w:sz w:val="21"/>
          <w:szCs w:val="21"/>
        </w:rPr>
        <w:t xml:space="preserve"> </w:t>
      </w:r>
      <w:r>
        <w:rPr>
          <w:rFonts w:ascii="宋体" w:hAnsi="宋体" w:eastAsia="宋体" w:cs="宋体"/>
          <w:spacing w:val="-2"/>
          <w:sz w:val="21"/>
          <w:szCs w:val="21"/>
        </w:rPr>
        <w:t>。</w:t>
      </w:r>
      <w:r>
        <w:rPr>
          <w:rFonts w:ascii="Times New Roman" w:hAnsi="Times New Roman" w:eastAsia="Times New Roman" w:cs="Times New Roman"/>
          <w:spacing w:val="-2"/>
          <w:sz w:val="21"/>
          <w:szCs w:val="21"/>
        </w:rPr>
        <w:t>(NT₃-T2)/[N²(N-1)]</w:t>
      </w:r>
    </w:p>
    <w:p w14:paraId="4841B637">
      <w:pPr>
        <w:spacing w:before="283" w:line="219" w:lineRule="auto"/>
        <w:ind w:left="30"/>
        <w:rPr>
          <w:rFonts w:ascii="宋体" w:hAnsi="宋体" w:eastAsia="宋体" w:cs="宋体"/>
          <w:sz w:val="21"/>
          <w:szCs w:val="21"/>
        </w:rPr>
      </w:pPr>
      <w:r>
        <w:rPr>
          <w:rFonts w:ascii="宋体" w:hAnsi="宋体" w:eastAsia="宋体" w:cs="宋体"/>
          <w:spacing w:val="-9"/>
          <w:sz w:val="21"/>
          <w:szCs w:val="21"/>
        </w:rPr>
        <w:t>式中，</w:t>
      </w:r>
      <w:r>
        <w:rPr>
          <w:rFonts w:ascii="Times New Roman" w:hAnsi="Times New Roman" w:eastAsia="Times New Roman" w:cs="Times New Roman"/>
          <w:spacing w:val="-9"/>
          <w:sz w:val="21"/>
          <w:szCs w:val="21"/>
        </w:rPr>
        <w:t>T₁</w:t>
      </w:r>
      <w:r>
        <w:rPr>
          <w:rFonts w:ascii="宋体" w:hAnsi="宋体" w:eastAsia="宋体" w:cs="宋体"/>
          <w:spacing w:val="-9"/>
          <w:sz w:val="21"/>
          <w:szCs w:val="21"/>
        </w:rPr>
        <w:t>、</w:t>
      </w:r>
      <w:r>
        <w:rPr>
          <w:rFonts w:ascii="Times New Roman" w:hAnsi="Times New Roman" w:eastAsia="Times New Roman" w:cs="Times New Roman"/>
          <w:spacing w:val="-9"/>
          <w:sz w:val="21"/>
          <w:szCs w:val="21"/>
        </w:rPr>
        <w:t>T₂</w:t>
      </w:r>
      <w:r>
        <w:rPr>
          <w:rFonts w:ascii="宋体" w:hAnsi="宋体" w:eastAsia="宋体" w:cs="宋体"/>
          <w:spacing w:val="-9"/>
          <w:sz w:val="21"/>
          <w:szCs w:val="21"/>
        </w:rPr>
        <w:t>、</w:t>
      </w:r>
      <w:r>
        <w:rPr>
          <w:rFonts w:ascii="Times New Roman" w:hAnsi="Times New Roman" w:eastAsia="Times New Roman" w:cs="Times New Roman"/>
          <w:spacing w:val="-9"/>
          <w:sz w:val="21"/>
          <w:szCs w:val="21"/>
        </w:rPr>
        <w:t>T₃</w:t>
      </w:r>
      <w:r>
        <w:rPr>
          <w:rFonts w:ascii="宋体" w:hAnsi="宋体" w:eastAsia="宋体" w:cs="宋体"/>
          <w:spacing w:val="-9"/>
          <w:sz w:val="21"/>
          <w:szCs w:val="21"/>
        </w:rPr>
        <w:t>的计算公式分别为：</w:t>
      </w:r>
    </w:p>
    <w:p w14:paraId="40182010">
      <w:pPr>
        <w:spacing w:line="250" w:lineRule="auto"/>
        <w:rPr>
          <w:rFonts w:ascii="Arial"/>
          <w:sz w:val="21"/>
        </w:rPr>
      </w:pPr>
    </w:p>
    <w:p w14:paraId="6A442453">
      <w:pPr>
        <w:spacing w:line="1931" w:lineRule="exact"/>
        <w:ind w:firstLine="4110"/>
      </w:pPr>
      <w:r>
        <w:rPr>
          <w:position w:val="-38"/>
        </w:rPr>
        <w:drawing>
          <wp:inline distT="0" distB="0" distL="0" distR="0">
            <wp:extent cx="673100" cy="1225550"/>
            <wp:effectExtent l="0" t="0" r="0" b="0"/>
            <wp:docPr id="340" name="IM 340"/>
            <wp:cNvGraphicFramePr/>
            <a:graphic xmlns:a="http://schemas.openxmlformats.org/drawingml/2006/main">
              <a:graphicData uri="http://schemas.openxmlformats.org/drawingml/2006/picture">
                <pic:pic xmlns:pic="http://schemas.openxmlformats.org/drawingml/2006/picture">
                  <pic:nvPicPr>
                    <pic:cNvPr id="340" name="IM 340"/>
                    <pic:cNvPicPr/>
                  </pic:nvPicPr>
                  <pic:blipFill>
                    <a:blip r:embed="rId541"/>
                    <a:stretch>
                      <a:fillRect/>
                    </a:stretch>
                  </pic:blipFill>
                  <pic:spPr>
                    <a:xfrm>
                      <a:off x="0" y="0"/>
                      <a:ext cx="673133" cy="1225610"/>
                    </a:xfrm>
                    <a:prstGeom prst="rect">
                      <a:avLst/>
                    </a:prstGeom>
                  </pic:spPr>
                </pic:pic>
              </a:graphicData>
            </a:graphic>
          </wp:inline>
        </w:drawing>
      </w:r>
    </w:p>
    <w:p w14:paraId="58A3CD18">
      <w:pPr>
        <w:spacing w:before="234" w:line="212" w:lineRule="auto"/>
        <w:ind w:left="450"/>
        <w:rPr>
          <w:rFonts w:ascii="宋体" w:hAnsi="宋体" w:eastAsia="宋体" w:cs="宋体"/>
          <w:sz w:val="21"/>
          <w:szCs w:val="21"/>
        </w:rPr>
      </w:pPr>
      <w:r>
        <w:rPr>
          <w:rFonts w:ascii="宋体" w:hAnsi="宋体" w:eastAsia="宋体" w:cs="宋体"/>
          <w:spacing w:val="7"/>
          <w:sz w:val="21"/>
          <w:szCs w:val="21"/>
        </w:rPr>
        <w:t>式中第</w:t>
      </w:r>
      <w:r>
        <w:rPr>
          <w:rFonts w:ascii="Times New Roman" w:hAnsi="Times New Roman" w:eastAsia="Times New Roman" w:cs="Times New Roman"/>
          <w:spacing w:val="7"/>
          <w:sz w:val="21"/>
          <w:szCs w:val="21"/>
        </w:rPr>
        <w:t xml:space="preserve">i </w:t>
      </w:r>
      <w:r>
        <w:rPr>
          <w:rFonts w:ascii="宋体" w:hAnsi="宋体" w:eastAsia="宋体" w:cs="宋体"/>
          <w:spacing w:val="7"/>
          <w:sz w:val="21"/>
          <w:szCs w:val="21"/>
        </w:rPr>
        <w:t>暴露水平的</w:t>
      </w:r>
      <w:r>
        <w:rPr>
          <w:rFonts w:ascii="Times New Roman" w:hAnsi="Times New Roman" w:eastAsia="Times New Roman" w:cs="Times New Roman"/>
          <w:spacing w:val="7"/>
          <w:sz w:val="21"/>
          <w:szCs w:val="21"/>
        </w:rPr>
        <w:t xml:space="preserve">x=i,  </w:t>
      </w:r>
      <w:r>
        <w:rPr>
          <w:rFonts w:ascii="宋体" w:hAnsi="宋体" w:eastAsia="宋体" w:cs="宋体"/>
          <w:spacing w:val="7"/>
          <w:sz w:val="21"/>
          <w:szCs w:val="21"/>
        </w:rPr>
        <w:t>参照组为</w:t>
      </w:r>
      <w:r>
        <w:rPr>
          <w:rFonts w:ascii="Times New Roman" w:hAnsi="Times New Roman" w:eastAsia="Times New Roman" w:cs="Times New Roman"/>
          <w:spacing w:val="7"/>
          <w:sz w:val="21"/>
          <w:szCs w:val="21"/>
        </w:rPr>
        <w:t>x₀=0</w:t>
      </w:r>
      <w:r>
        <w:rPr>
          <w:rFonts w:ascii="宋体" w:hAnsi="宋体" w:eastAsia="宋体" w:cs="宋体"/>
          <w:spacing w:val="7"/>
          <w:sz w:val="21"/>
          <w:szCs w:val="21"/>
        </w:rPr>
        <w:t>。</w:t>
      </w:r>
    </w:p>
    <w:p w14:paraId="7B675A25">
      <w:pPr>
        <w:spacing w:line="303" w:lineRule="auto"/>
        <w:rPr>
          <w:rFonts w:ascii="Arial"/>
          <w:sz w:val="21"/>
        </w:rPr>
      </w:pPr>
      <w:r>
        <w:drawing>
          <wp:anchor distT="0" distB="0" distL="0" distR="0" simplePos="0" relativeHeight="251751424" behindDoc="0" locked="0" layoutInCell="1" allowOverlap="1">
            <wp:simplePos x="0" y="0"/>
            <wp:positionH relativeFrom="column">
              <wp:posOffset>1790700</wp:posOffset>
            </wp:positionH>
            <wp:positionV relativeFrom="paragraph">
              <wp:posOffset>154305</wp:posOffset>
            </wp:positionV>
            <wp:extent cx="2305050" cy="304800"/>
            <wp:effectExtent l="0" t="0" r="0" b="0"/>
            <wp:wrapNone/>
            <wp:docPr id="342" name="IM 342"/>
            <wp:cNvGraphicFramePr/>
            <a:graphic xmlns:a="http://schemas.openxmlformats.org/drawingml/2006/main">
              <a:graphicData uri="http://schemas.openxmlformats.org/drawingml/2006/picture">
                <pic:pic xmlns:pic="http://schemas.openxmlformats.org/drawingml/2006/picture">
                  <pic:nvPicPr>
                    <pic:cNvPr id="342" name="IM 342"/>
                    <pic:cNvPicPr/>
                  </pic:nvPicPr>
                  <pic:blipFill>
                    <a:blip r:embed="rId542"/>
                    <a:stretch>
                      <a:fillRect/>
                    </a:stretch>
                  </pic:blipFill>
                  <pic:spPr>
                    <a:xfrm>
                      <a:off x="0" y="0"/>
                      <a:ext cx="2305151" cy="304827"/>
                    </a:xfrm>
                    <a:prstGeom prst="rect">
                      <a:avLst/>
                    </a:prstGeom>
                  </pic:spPr>
                </pic:pic>
              </a:graphicData>
            </a:graphic>
          </wp:anchor>
        </w:drawing>
      </w:r>
    </w:p>
    <w:p w14:paraId="6F070EBD">
      <w:pPr>
        <w:spacing w:before="69" w:line="221" w:lineRule="auto"/>
        <w:ind w:left="450"/>
        <w:rPr>
          <w:rFonts w:ascii="宋体" w:hAnsi="宋体" w:eastAsia="宋体" w:cs="宋体"/>
          <w:sz w:val="21"/>
          <w:szCs w:val="21"/>
        </w:rPr>
      </w:pPr>
      <w:r>
        <w:rPr>
          <w:rFonts w:ascii="宋体" w:hAnsi="宋体" w:eastAsia="宋体" w:cs="宋体"/>
          <w:spacing w:val="10"/>
          <w:sz w:val="21"/>
          <w:szCs w:val="21"/>
        </w:rPr>
        <w:t>例5-7:</w:t>
      </w:r>
    </w:p>
    <w:p w14:paraId="44BCDFA5">
      <w:pPr>
        <w:spacing w:line="287" w:lineRule="auto"/>
        <w:rPr>
          <w:rFonts w:ascii="Arial"/>
          <w:sz w:val="21"/>
        </w:rPr>
      </w:pPr>
    </w:p>
    <w:p w14:paraId="4A1B806A">
      <w:pPr>
        <w:spacing w:line="501" w:lineRule="exact"/>
        <w:ind w:firstLine="2800"/>
      </w:pPr>
      <w:r>
        <w:rPr>
          <w:position w:val="-10"/>
        </w:rPr>
        <w:drawing>
          <wp:inline distT="0" distB="0" distL="0" distR="0">
            <wp:extent cx="2330450" cy="317500"/>
            <wp:effectExtent l="0" t="0" r="0" b="0"/>
            <wp:docPr id="344" name="IM 344"/>
            <wp:cNvGraphicFramePr/>
            <a:graphic xmlns:a="http://schemas.openxmlformats.org/drawingml/2006/main">
              <a:graphicData uri="http://schemas.openxmlformats.org/drawingml/2006/picture">
                <pic:pic xmlns:pic="http://schemas.openxmlformats.org/drawingml/2006/picture">
                  <pic:nvPicPr>
                    <pic:cNvPr id="344" name="IM 344"/>
                    <pic:cNvPicPr/>
                  </pic:nvPicPr>
                  <pic:blipFill>
                    <a:blip r:embed="rId543"/>
                    <a:stretch>
                      <a:fillRect/>
                    </a:stretch>
                  </pic:blipFill>
                  <pic:spPr>
                    <a:xfrm>
                      <a:off x="0" y="0"/>
                      <a:ext cx="2330568" cy="317912"/>
                    </a:xfrm>
                    <a:prstGeom prst="rect">
                      <a:avLst/>
                    </a:prstGeom>
                  </pic:spPr>
                </pic:pic>
              </a:graphicData>
            </a:graphic>
          </wp:inline>
        </w:drawing>
      </w:r>
    </w:p>
    <w:p w14:paraId="58862B56">
      <w:pPr>
        <w:spacing w:before="149" w:line="510" w:lineRule="exact"/>
        <w:ind w:firstLine="2659"/>
      </w:pPr>
      <w:r>
        <w:rPr>
          <w:position w:val="-10"/>
        </w:rPr>
        <w:drawing>
          <wp:inline distT="0" distB="0" distL="0" distR="0">
            <wp:extent cx="2501900" cy="323215"/>
            <wp:effectExtent l="0" t="0" r="0" b="0"/>
            <wp:docPr id="346" name="IM 346"/>
            <wp:cNvGraphicFramePr/>
            <a:graphic xmlns:a="http://schemas.openxmlformats.org/drawingml/2006/main">
              <a:graphicData uri="http://schemas.openxmlformats.org/drawingml/2006/picture">
                <pic:pic xmlns:pic="http://schemas.openxmlformats.org/drawingml/2006/picture">
                  <pic:nvPicPr>
                    <pic:cNvPr id="346" name="IM 346"/>
                    <pic:cNvPicPr/>
                  </pic:nvPicPr>
                  <pic:blipFill>
                    <a:blip r:embed="rId544"/>
                    <a:stretch>
                      <a:fillRect/>
                    </a:stretch>
                  </pic:blipFill>
                  <pic:spPr>
                    <a:xfrm>
                      <a:off x="0" y="0"/>
                      <a:ext cx="2502187" cy="323838"/>
                    </a:xfrm>
                    <a:prstGeom prst="rect">
                      <a:avLst/>
                    </a:prstGeom>
                  </pic:spPr>
                </pic:pic>
              </a:graphicData>
            </a:graphic>
          </wp:inline>
        </w:drawing>
      </w:r>
    </w:p>
    <w:p w14:paraId="6687B182">
      <w:pPr>
        <w:pStyle w:val="2"/>
        <w:spacing w:before="268" w:line="222" w:lineRule="auto"/>
        <w:ind w:left="430"/>
        <w:rPr>
          <w:sz w:val="21"/>
          <w:szCs w:val="21"/>
        </w:rPr>
      </w:pPr>
      <w:r>
        <w:rPr>
          <w:spacing w:val="-4"/>
          <w:sz w:val="21"/>
          <w:szCs w:val="21"/>
        </w:rPr>
        <w:t>则</w:t>
      </w:r>
      <w:r>
        <w:rPr>
          <w:spacing w:val="-44"/>
          <w:sz w:val="21"/>
          <w:szCs w:val="21"/>
        </w:rPr>
        <w:t xml:space="preserve"> </w:t>
      </w:r>
      <w:r>
        <w:rPr>
          <w:spacing w:val="-4"/>
          <w:sz w:val="21"/>
          <w:szCs w:val="21"/>
        </w:rPr>
        <w:t>：</w:t>
      </w:r>
    </w:p>
    <w:p w14:paraId="142E657A">
      <w:pPr>
        <w:spacing w:line="246" w:lineRule="auto"/>
        <w:rPr>
          <w:rFonts w:ascii="Arial"/>
          <w:sz w:val="21"/>
        </w:rPr>
      </w:pPr>
    </w:p>
    <w:p w14:paraId="02C636AD">
      <w:pPr>
        <w:spacing w:before="61" w:line="431" w:lineRule="auto"/>
        <w:ind w:left="2499" w:right="1542" w:hanging="979"/>
        <w:rPr>
          <w:rFonts w:ascii="Times New Roman" w:hAnsi="Times New Roman" w:eastAsia="Times New Roman" w:cs="Times New Roman"/>
          <w:sz w:val="21"/>
          <w:szCs w:val="21"/>
        </w:rPr>
      </w:pPr>
      <w:r>
        <w:rPr>
          <w:rFonts w:ascii="Times New Roman" w:hAnsi="Times New Roman" w:eastAsia="Times New Roman" w:cs="Times New Roman"/>
          <w:sz w:val="21"/>
          <w:szCs w:val="21"/>
        </w:rPr>
        <w:t>Var=649×649×(1298×8002-3088²)/[1298²×(1298-1)]=1</w:t>
      </w:r>
      <w:r>
        <w:rPr>
          <w:rFonts w:ascii="Times New Roman" w:hAnsi="Times New Roman" w:eastAsia="Times New Roman" w:cs="Times New Roman"/>
          <w:spacing w:val="-1"/>
          <w:sz w:val="21"/>
          <w:szCs w:val="21"/>
        </w:rPr>
        <w:t>64.00</w:t>
      </w:r>
      <w:r>
        <w:rPr>
          <w:rFonts w:ascii="Times New Roman" w:hAnsi="Times New Roman" w:eastAsia="Times New Roman" w:cs="Times New Roman"/>
          <w:sz w:val="21"/>
          <w:szCs w:val="21"/>
        </w:rPr>
        <w:t xml:space="preserve"> x²=[1625-(649×3088/1298)]²/164.00</w:t>
      </w:r>
      <w:r>
        <w:rPr>
          <w:rFonts w:ascii="Times New Roman" w:hAnsi="Times New Roman" w:eastAsia="Times New Roman" w:cs="Times New Roman"/>
          <w:spacing w:val="-1"/>
          <w:sz w:val="21"/>
          <w:szCs w:val="21"/>
        </w:rPr>
        <w:t>=40.01</w:t>
      </w:r>
    </w:p>
    <w:p w14:paraId="6318E1EC">
      <w:pPr>
        <w:spacing w:line="31" w:lineRule="exact"/>
      </w:pPr>
    </w:p>
    <w:p w14:paraId="055FAC85">
      <w:pPr>
        <w:spacing w:line="14" w:lineRule="auto"/>
        <w:rPr>
          <w:rFonts w:ascii="Arial"/>
          <w:sz w:val="2"/>
        </w:rPr>
      </w:pPr>
      <w:r>
        <w:rPr>
          <w:rFonts w:ascii="Arial" w:hAnsi="Arial" w:eastAsia="Arial" w:cs="Arial"/>
          <w:sz w:val="2"/>
          <w:szCs w:val="2"/>
        </w:rPr>
        <w:br w:type="column"/>
      </w:r>
    </w:p>
    <w:p w14:paraId="2D14D64B">
      <w:pPr>
        <w:spacing w:line="283" w:lineRule="auto"/>
        <w:rPr>
          <w:rFonts w:ascii="Arial"/>
          <w:sz w:val="21"/>
        </w:rPr>
      </w:pPr>
    </w:p>
    <w:p w14:paraId="61F043A1">
      <w:pPr>
        <w:spacing w:line="283" w:lineRule="auto"/>
        <w:rPr>
          <w:rFonts w:ascii="Arial"/>
          <w:sz w:val="21"/>
        </w:rPr>
      </w:pPr>
    </w:p>
    <w:p w14:paraId="3727C254">
      <w:pPr>
        <w:spacing w:line="283" w:lineRule="auto"/>
        <w:rPr>
          <w:rFonts w:ascii="Arial"/>
          <w:sz w:val="21"/>
        </w:rPr>
      </w:pPr>
    </w:p>
    <w:p w14:paraId="34FA601F">
      <w:pPr>
        <w:spacing w:before="68" w:line="221" w:lineRule="auto"/>
        <w:ind w:left="9"/>
        <w:rPr>
          <w:rFonts w:ascii="宋体" w:hAnsi="宋体" w:eastAsia="宋体" w:cs="宋体"/>
          <w:sz w:val="21"/>
          <w:szCs w:val="21"/>
        </w:rPr>
      </w:pPr>
      <w:r>
        <w:rPr>
          <w:rFonts w:ascii="宋体" w:hAnsi="宋体" w:eastAsia="宋体" w:cs="宋体"/>
          <w:spacing w:val="10"/>
          <w:sz w:val="21"/>
          <w:szCs w:val="21"/>
        </w:rPr>
        <w:t>式(5-26)</w:t>
      </w:r>
    </w:p>
    <w:p w14:paraId="16E3BB7D">
      <w:pPr>
        <w:spacing w:line="245" w:lineRule="auto"/>
        <w:rPr>
          <w:rFonts w:ascii="Arial"/>
          <w:sz w:val="21"/>
        </w:rPr>
      </w:pPr>
    </w:p>
    <w:p w14:paraId="4B79DC75">
      <w:pPr>
        <w:spacing w:line="245" w:lineRule="auto"/>
        <w:rPr>
          <w:rFonts w:ascii="Arial"/>
          <w:sz w:val="21"/>
        </w:rPr>
      </w:pPr>
    </w:p>
    <w:p w14:paraId="4E2A71DB">
      <w:pPr>
        <w:spacing w:line="245" w:lineRule="auto"/>
        <w:rPr>
          <w:rFonts w:ascii="Arial"/>
          <w:sz w:val="21"/>
        </w:rPr>
      </w:pPr>
    </w:p>
    <w:p w14:paraId="2E17E274">
      <w:pPr>
        <w:spacing w:before="69" w:line="221" w:lineRule="auto"/>
        <w:ind w:left="9"/>
        <w:rPr>
          <w:rFonts w:ascii="宋体" w:hAnsi="宋体" w:eastAsia="宋体" w:cs="宋体"/>
          <w:sz w:val="21"/>
          <w:szCs w:val="21"/>
        </w:rPr>
      </w:pPr>
      <w:r>
        <w:rPr>
          <w:rFonts w:ascii="宋体" w:hAnsi="宋体" w:eastAsia="宋体" w:cs="宋体"/>
          <w:spacing w:val="12"/>
          <w:sz w:val="21"/>
          <w:szCs w:val="21"/>
        </w:rPr>
        <w:t>式(5-27)</w:t>
      </w:r>
    </w:p>
    <w:p w14:paraId="5E81D98A">
      <w:pPr>
        <w:spacing w:line="281" w:lineRule="auto"/>
        <w:rPr>
          <w:rFonts w:ascii="Arial"/>
          <w:sz w:val="21"/>
        </w:rPr>
      </w:pPr>
    </w:p>
    <w:p w14:paraId="57849DDB">
      <w:pPr>
        <w:spacing w:line="282" w:lineRule="auto"/>
        <w:rPr>
          <w:rFonts w:ascii="Arial"/>
          <w:sz w:val="21"/>
        </w:rPr>
      </w:pPr>
    </w:p>
    <w:p w14:paraId="5835AF44">
      <w:pPr>
        <w:spacing w:line="282" w:lineRule="auto"/>
        <w:rPr>
          <w:rFonts w:ascii="Arial"/>
          <w:sz w:val="21"/>
        </w:rPr>
      </w:pPr>
    </w:p>
    <w:p w14:paraId="358627BA">
      <w:pPr>
        <w:spacing w:before="69" w:line="221" w:lineRule="auto"/>
        <w:ind w:left="9"/>
        <w:rPr>
          <w:rFonts w:ascii="宋体" w:hAnsi="宋体" w:eastAsia="宋体" w:cs="宋体"/>
          <w:sz w:val="21"/>
          <w:szCs w:val="21"/>
        </w:rPr>
      </w:pPr>
      <w:r>
        <w:rPr>
          <w:rFonts w:ascii="宋体" w:hAnsi="宋体" w:eastAsia="宋体" w:cs="宋体"/>
          <w:spacing w:val="13"/>
          <w:sz w:val="21"/>
          <w:szCs w:val="21"/>
        </w:rPr>
        <w:t>式(5-28)</w:t>
      </w:r>
    </w:p>
    <w:p w14:paraId="4C0F1BE2">
      <w:pPr>
        <w:spacing w:line="368" w:lineRule="auto"/>
        <w:rPr>
          <w:rFonts w:ascii="Arial"/>
          <w:sz w:val="21"/>
        </w:rPr>
      </w:pPr>
    </w:p>
    <w:p w14:paraId="1B88ADAC">
      <w:pPr>
        <w:spacing w:before="68" w:line="221" w:lineRule="auto"/>
        <w:rPr>
          <w:rFonts w:ascii="宋体" w:hAnsi="宋体" w:eastAsia="宋体" w:cs="宋体"/>
          <w:sz w:val="21"/>
          <w:szCs w:val="21"/>
        </w:rPr>
      </w:pPr>
      <w:r>
        <w:rPr>
          <w:rFonts w:ascii="宋体" w:hAnsi="宋体" w:eastAsia="宋体" w:cs="宋体"/>
          <w:spacing w:val="13"/>
          <w:sz w:val="21"/>
          <w:szCs w:val="21"/>
        </w:rPr>
        <w:t>式(5-29)</w:t>
      </w:r>
    </w:p>
    <w:p w14:paraId="0051D62C">
      <w:pPr>
        <w:spacing w:line="377" w:lineRule="auto"/>
        <w:rPr>
          <w:rFonts w:ascii="Arial"/>
          <w:sz w:val="21"/>
        </w:rPr>
      </w:pPr>
    </w:p>
    <w:p w14:paraId="7CE2FAAD">
      <w:pPr>
        <w:spacing w:before="69" w:line="221" w:lineRule="auto"/>
        <w:ind w:left="9"/>
        <w:rPr>
          <w:rFonts w:ascii="宋体" w:hAnsi="宋体" w:eastAsia="宋体" w:cs="宋体"/>
          <w:sz w:val="21"/>
          <w:szCs w:val="21"/>
        </w:rPr>
      </w:pPr>
      <w:r>
        <w:rPr>
          <w:rFonts w:ascii="宋体" w:hAnsi="宋体" w:eastAsia="宋体" w:cs="宋体"/>
          <w:spacing w:val="10"/>
          <w:sz w:val="21"/>
          <w:szCs w:val="21"/>
        </w:rPr>
        <w:t>式(5-30)</w:t>
      </w:r>
    </w:p>
    <w:p w14:paraId="4B6D96A2">
      <w:pPr>
        <w:spacing w:line="221" w:lineRule="auto"/>
        <w:rPr>
          <w:rFonts w:ascii="宋体" w:hAnsi="宋体" w:eastAsia="宋体" w:cs="宋体"/>
          <w:sz w:val="21"/>
          <w:szCs w:val="21"/>
        </w:rPr>
        <w:sectPr>
          <w:type w:val="continuous"/>
          <w:pgSz w:w="11900" w:h="16820"/>
          <w:pgMar w:top="400" w:right="733" w:bottom="880" w:left="1309" w:header="0" w:footer="607" w:gutter="0"/>
          <w:cols w:equalWidth="0" w:num="2">
            <w:col w:w="8240" w:space="100"/>
            <w:col w:w="1517"/>
          </w:cols>
        </w:sectPr>
      </w:pPr>
    </w:p>
    <w:p w14:paraId="1520FF03">
      <w:pPr>
        <w:spacing w:before="9" w:line="216" w:lineRule="auto"/>
        <w:ind w:left="450"/>
        <w:rPr>
          <w:rFonts w:ascii="宋体" w:hAnsi="宋体" w:eastAsia="宋体" w:cs="宋体"/>
          <w:sz w:val="21"/>
          <w:szCs w:val="21"/>
        </w:rPr>
      </w:pPr>
      <w:r>
        <w:rPr>
          <w:rFonts w:ascii="宋体" w:hAnsi="宋体" w:eastAsia="宋体" w:cs="宋体"/>
          <w:spacing w:val="-2"/>
          <w:sz w:val="21"/>
          <w:szCs w:val="21"/>
        </w:rPr>
        <w:t>这是线性趋势检验，v=1,P&lt;0.001。</w:t>
      </w:r>
    </w:p>
    <w:p w14:paraId="12232990">
      <w:pPr>
        <w:spacing w:before="115" w:line="334" w:lineRule="auto"/>
        <w:ind w:left="19" w:right="647" w:firstLine="430"/>
        <w:rPr>
          <w:rFonts w:ascii="宋体" w:hAnsi="宋体" w:eastAsia="宋体" w:cs="宋体"/>
          <w:sz w:val="21"/>
          <w:szCs w:val="21"/>
        </w:rPr>
      </w:pPr>
      <w:r>
        <w:rPr>
          <w:rFonts w:ascii="宋体" w:hAnsi="宋体" w:eastAsia="宋体" w:cs="宋体"/>
          <w:spacing w:val="6"/>
          <w:sz w:val="21"/>
          <w:szCs w:val="21"/>
        </w:rPr>
        <w:t>上述结果说明吸烟量与肺癌危险性之间存在明显的剂量-反应关系，即随着吸烟量的增加，发</w:t>
      </w:r>
      <w:r>
        <w:rPr>
          <w:rFonts w:ascii="宋体" w:hAnsi="宋体" w:eastAsia="宋体" w:cs="宋体"/>
          <w:spacing w:val="7"/>
          <w:sz w:val="21"/>
          <w:szCs w:val="21"/>
        </w:rPr>
        <w:t xml:space="preserve"> </w:t>
      </w:r>
      <w:r>
        <w:rPr>
          <w:rFonts w:ascii="宋体" w:hAnsi="宋体" w:eastAsia="宋体" w:cs="宋体"/>
          <w:spacing w:val="3"/>
          <w:sz w:val="21"/>
          <w:szCs w:val="21"/>
        </w:rPr>
        <w:t>生肺癌的危险性(</w:t>
      </w:r>
      <w:r>
        <w:rPr>
          <w:rFonts w:ascii="宋体" w:hAnsi="宋体" w:eastAsia="宋体" w:cs="宋体"/>
          <w:sz w:val="21"/>
          <w:szCs w:val="21"/>
        </w:rPr>
        <w:t>OR</w:t>
      </w:r>
      <w:r>
        <w:rPr>
          <w:rFonts w:ascii="宋体" w:hAnsi="宋体" w:eastAsia="宋体" w:cs="宋体"/>
          <w:spacing w:val="3"/>
          <w:sz w:val="21"/>
          <w:szCs w:val="21"/>
        </w:rPr>
        <w:t>)</w:t>
      </w:r>
      <w:r>
        <w:rPr>
          <w:rFonts w:ascii="宋体" w:hAnsi="宋体" w:eastAsia="宋体" w:cs="宋体"/>
          <w:spacing w:val="40"/>
          <w:sz w:val="21"/>
          <w:szCs w:val="21"/>
        </w:rPr>
        <w:t xml:space="preserve"> </w:t>
      </w:r>
      <w:r>
        <w:rPr>
          <w:rFonts w:ascii="宋体" w:hAnsi="宋体" w:eastAsia="宋体" w:cs="宋体"/>
          <w:spacing w:val="3"/>
          <w:sz w:val="21"/>
          <w:szCs w:val="21"/>
        </w:rPr>
        <w:t>递增，并且该剂量-反应关系有统计学</w:t>
      </w:r>
      <w:r>
        <w:rPr>
          <w:rFonts w:ascii="宋体" w:hAnsi="宋体" w:eastAsia="宋体" w:cs="宋体"/>
          <w:spacing w:val="2"/>
          <w:sz w:val="21"/>
          <w:szCs w:val="21"/>
        </w:rPr>
        <w:t>意义。</w:t>
      </w:r>
    </w:p>
    <w:p w14:paraId="05349D88">
      <w:pPr>
        <w:pStyle w:val="2"/>
        <w:spacing w:before="1" w:line="220" w:lineRule="auto"/>
        <w:ind w:left="460"/>
        <w:rPr>
          <w:sz w:val="21"/>
          <w:szCs w:val="21"/>
        </w:rPr>
      </w:pPr>
      <w:r>
        <w:rPr>
          <w:spacing w:val="-13"/>
          <w:sz w:val="21"/>
          <w:szCs w:val="21"/>
        </w:rPr>
        <w:t>(</w:t>
      </w:r>
      <w:r>
        <w:rPr>
          <w:spacing w:val="-42"/>
          <w:sz w:val="21"/>
          <w:szCs w:val="21"/>
        </w:rPr>
        <w:t xml:space="preserve"> </w:t>
      </w:r>
      <w:r>
        <w:rPr>
          <w:spacing w:val="-13"/>
          <w:sz w:val="21"/>
          <w:szCs w:val="21"/>
        </w:rPr>
        <w:t>五</w:t>
      </w:r>
      <w:r>
        <w:rPr>
          <w:spacing w:val="-51"/>
          <w:sz w:val="21"/>
          <w:szCs w:val="21"/>
        </w:rPr>
        <w:t xml:space="preserve"> </w:t>
      </w:r>
      <w:r>
        <w:rPr>
          <w:spacing w:val="-13"/>
          <w:sz w:val="21"/>
          <w:szCs w:val="21"/>
        </w:rPr>
        <w:t>)</w:t>
      </w:r>
      <w:r>
        <w:rPr>
          <w:spacing w:val="-50"/>
          <w:sz w:val="21"/>
          <w:szCs w:val="21"/>
        </w:rPr>
        <w:t xml:space="preserve"> </w:t>
      </w:r>
      <w:r>
        <w:rPr>
          <w:spacing w:val="-13"/>
          <w:sz w:val="21"/>
          <w:szCs w:val="21"/>
        </w:rPr>
        <w:t>研</w:t>
      </w:r>
      <w:r>
        <w:rPr>
          <w:spacing w:val="-48"/>
          <w:sz w:val="21"/>
          <w:szCs w:val="21"/>
        </w:rPr>
        <w:t xml:space="preserve"> </w:t>
      </w:r>
      <w:r>
        <w:rPr>
          <w:spacing w:val="-13"/>
          <w:sz w:val="21"/>
          <w:szCs w:val="21"/>
        </w:rPr>
        <w:t>究</w:t>
      </w:r>
      <w:r>
        <w:rPr>
          <w:spacing w:val="-46"/>
          <w:sz w:val="21"/>
          <w:szCs w:val="21"/>
        </w:rPr>
        <w:t xml:space="preserve"> </w:t>
      </w:r>
      <w:r>
        <w:rPr>
          <w:spacing w:val="-13"/>
          <w:sz w:val="21"/>
          <w:szCs w:val="21"/>
        </w:rPr>
        <w:t>功</w:t>
      </w:r>
      <w:r>
        <w:rPr>
          <w:spacing w:val="-49"/>
          <w:sz w:val="21"/>
          <w:szCs w:val="21"/>
        </w:rPr>
        <w:t xml:space="preserve"> </w:t>
      </w:r>
      <w:r>
        <w:rPr>
          <w:spacing w:val="-13"/>
          <w:sz w:val="21"/>
          <w:szCs w:val="21"/>
        </w:rPr>
        <w:t>效</w:t>
      </w:r>
    </w:p>
    <w:p w14:paraId="2A6926E6">
      <w:pPr>
        <w:spacing w:before="98" w:line="256" w:lineRule="auto"/>
        <w:ind w:left="9" w:right="649" w:firstLine="430"/>
        <w:rPr>
          <w:rFonts w:ascii="宋体" w:hAnsi="宋体" w:eastAsia="宋体" w:cs="宋体"/>
          <w:sz w:val="21"/>
          <w:szCs w:val="21"/>
        </w:rPr>
      </w:pPr>
      <w:r>
        <w:rPr>
          <w:rFonts w:ascii="宋体" w:hAnsi="宋体" w:eastAsia="宋体" w:cs="宋体"/>
          <w:spacing w:val="1"/>
          <w:sz w:val="21"/>
          <w:szCs w:val="21"/>
        </w:rPr>
        <w:t>研究功效</w:t>
      </w:r>
      <w:r>
        <w:rPr>
          <w:rFonts w:ascii="Times New Roman" w:hAnsi="Times New Roman" w:eastAsia="Times New Roman" w:cs="Times New Roman"/>
          <w:spacing w:val="1"/>
          <w:sz w:val="21"/>
          <w:szCs w:val="21"/>
        </w:rPr>
        <w:t>(</w:t>
      </w:r>
      <w:r>
        <w:rPr>
          <w:rFonts w:ascii="Times New Roman" w:hAnsi="Times New Roman" w:eastAsia="Times New Roman" w:cs="Times New Roman"/>
          <w:sz w:val="21"/>
          <w:szCs w:val="21"/>
        </w:rPr>
        <w:t>power</w:t>
      </w:r>
      <w:r>
        <w:rPr>
          <w:rFonts w:ascii="Times New Roman" w:hAnsi="Times New Roman" w:eastAsia="Times New Roman" w:cs="Times New Roman"/>
          <w:spacing w:val="1"/>
          <w:sz w:val="21"/>
          <w:szCs w:val="21"/>
        </w:rPr>
        <w:t>)</w:t>
      </w:r>
      <w:r>
        <w:rPr>
          <w:rFonts w:ascii="Times New Roman" w:hAnsi="Times New Roman" w:eastAsia="Times New Roman" w:cs="Times New Roman"/>
          <w:spacing w:val="42"/>
          <w:sz w:val="21"/>
          <w:szCs w:val="21"/>
        </w:rPr>
        <w:t xml:space="preserve"> </w:t>
      </w:r>
      <w:r>
        <w:rPr>
          <w:rFonts w:ascii="宋体" w:hAnsi="宋体" w:eastAsia="宋体" w:cs="宋体"/>
          <w:spacing w:val="1"/>
          <w:sz w:val="21"/>
          <w:szCs w:val="21"/>
        </w:rPr>
        <w:t>也叫把握度，可以解释为拒绝无效假设的能力，</w:t>
      </w:r>
      <w:r>
        <w:rPr>
          <w:rFonts w:ascii="宋体" w:hAnsi="宋体" w:eastAsia="宋体" w:cs="宋体"/>
          <w:sz w:val="21"/>
          <w:szCs w:val="21"/>
        </w:rPr>
        <w:t xml:space="preserve">即当无效假设不成立时，该假 </w:t>
      </w:r>
      <w:r>
        <w:rPr>
          <w:rFonts w:ascii="宋体" w:hAnsi="宋体" w:eastAsia="宋体" w:cs="宋体"/>
          <w:spacing w:val="6"/>
          <w:sz w:val="21"/>
          <w:szCs w:val="21"/>
        </w:rPr>
        <w:t>设被拒绝的概率。</w:t>
      </w:r>
    </w:p>
    <w:p w14:paraId="2A4671B5">
      <w:pPr>
        <w:spacing w:line="256" w:lineRule="auto"/>
        <w:rPr>
          <w:rFonts w:ascii="宋体" w:hAnsi="宋体" w:eastAsia="宋体" w:cs="宋体"/>
          <w:sz w:val="21"/>
          <w:szCs w:val="21"/>
        </w:rPr>
        <w:sectPr>
          <w:type w:val="continuous"/>
          <w:pgSz w:w="11900" w:h="16820"/>
          <w:pgMar w:top="400" w:right="733" w:bottom="880" w:left="1309" w:header="0" w:footer="607" w:gutter="0"/>
          <w:cols w:equalWidth="0" w:num="1">
            <w:col w:w="9857"/>
          </w:cols>
        </w:sectPr>
      </w:pPr>
    </w:p>
    <w:p w14:paraId="35F160C4">
      <w:pPr>
        <w:rPr>
          <w:rFonts w:ascii="Arial"/>
          <w:sz w:val="21"/>
        </w:rPr>
      </w:pPr>
    </w:p>
    <w:p w14:paraId="7EACF11C">
      <w:pPr>
        <w:pStyle w:val="2"/>
        <w:spacing w:before="65" w:line="222" w:lineRule="auto"/>
        <w:ind w:left="659"/>
        <w:rPr>
          <w:sz w:val="20"/>
          <w:szCs w:val="20"/>
        </w:rPr>
      </w:pPr>
      <w:bookmarkStart w:id="149" w:name="bookmark452"/>
      <w:bookmarkEnd w:id="149"/>
      <w:r>
        <w:rPr>
          <w:spacing w:val="-20"/>
          <w:w w:val="97"/>
          <w:sz w:val="20"/>
          <w:szCs w:val="20"/>
        </w:rPr>
        <w:t>第五章 病例对照研究</w:t>
      </w:r>
    </w:p>
    <w:p w14:paraId="3B419244">
      <w:pPr>
        <w:spacing w:line="274" w:lineRule="auto"/>
        <w:rPr>
          <w:rFonts w:ascii="Arial"/>
          <w:sz w:val="21"/>
        </w:rPr>
      </w:pPr>
    </w:p>
    <w:p w14:paraId="7DECED42">
      <w:pPr>
        <w:spacing w:line="275" w:lineRule="auto"/>
        <w:rPr>
          <w:rFonts w:ascii="Arial"/>
          <w:sz w:val="21"/>
        </w:rPr>
      </w:pPr>
    </w:p>
    <w:p w14:paraId="0754DE2C">
      <w:pPr>
        <w:spacing w:before="65" w:line="345" w:lineRule="auto"/>
        <w:ind w:left="649" w:right="4" w:firstLine="409"/>
        <w:rPr>
          <w:rFonts w:ascii="宋体" w:hAnsi="宋体" w:eastAsia="宋体" w:cs="宋体"/>
          <w:sz w:val="20"/>
          <w:szCs w:val="20"/>
        </w:rPr>
      </w:pPr>
      <w:r>
        <w:rPr>
          <w:rFonts w:ascii="宋体" w:hAnsi="宋体" w:eastAsia="宋体" w:cs="宋体"/>
          <w:spacing w:val="-9"/>
          <w:sz w:val="20"/>
          <w:szCs w:val="20"/>
        </w:rPr>
        <w:t>例如，假定人群中暴露于所研究的危险因素的比例P=0.30</w:t>
      </w:r>
      <w:r>
        <w:rPr>
          <w:rFonts w:ascii="宋体" w:hAnsi="宋体" w:eastAsia="宋体" w:cs="宋体"/>
          <w:spacing w:val="-10"/>
          <w:sz w:val="20"/>
          <w:szCs w:val="20"/>
        </w:rPr>
        <w:t>,统计学双侧检验的显著性水平α=0.05,</w:t>
      </w:r>
      <w:r>
        <w:rPr>
          <w:rFonts w:ascii="宋体" w:hAnsi="宋体" w:eastAsia="宋体" w:cs="宋体"/>
          <w:sz w:val="20"/>
          <w:szCs w:val="20"/>
        </w:rPr>
        <w:t xml:space="preserve"> </w:t>
      </w:r>
      <w:r>
        <w:rPr>
          <w:rFonts w:ascii="宋体" w:hAnsi="宋体" w:eastAsia="宋体" w:cs="宋体"/>
          <w:spacing w:val="-3"/>
          <w:sz w:val="20"/>
          <w:szCs w:val="20"/>
        </w:rPr>
        <w:t>如果采用非匹配病例对照研究，病例和对照各50例，则该研究有多大的功效发现OR=2</w:t>
      </w:r>
      <w:r>
        <w:rPr>
          <w:rFonts w:ascii="宋体" w:hAnsi="宋体" w:eastAsia="宋体" w:cs="宋体"/>
          <w:spacing w:val="61"/>
          <w:sz w:val="20"/>
          <w:szCs w:val="20"/>
        </w:rPr>
        <w:t xml:space="preserve"> </w:t>
      </w:r>
      <w:r>
        <w:rPr>
          <w:rFonts w:ascii="宋体" w:hAnsi="宋体" w:eastAsia="宋体" w:cs="宋体"/>
          <w:spacing w:val="-3"/>
          <w:sz w:val="20"/>
          <w:szCs w:val="20"/>
        </w:rPr>
        <w:t>的关联?</w:t>
      </w:r>
    </w:p>
    <w:p w14:paraId="0B8DCCA6">
      <w:pPr>
        <w:spacing w:before="15" w:line="219" w:lineRule="auto"/>
        <w:ind w:left="1069"/>
        <w:rPr>
          <w:rFonts w:ascii="宋体" w:hAnsi="宋体" w:eastAsia="宋体" w:cs="宋体"/>
          <w:sz w:val="20"/>
          <w:szCs w:val="20"/>
        </w:rPr>
      </w:pPr>
      <w:r>
        <w:rPr>
          <w:rFonts w:ascii="宋体" w:hAnsi="宋体" w:eastAsia="宋体" w:cs="宋体"/>
          <w:spacing w:val="-10"/>
          <w:sz w:val="20"/>
          <w:szCs w:val="20"/>
        </w:rPr>
        <w:t>首先，计算</w:t>
      </w:r>
      <w:r>
        <w:rPr>
          <w:rFonts w:ascii="Arial" w:hAnsi="Arial" w:eastAsia="Arial" w:cs="Arial"/>
          <w:spacing w:val="-10"/>
          <w:sz w:val="20"/>
          <w:szCs w:val="20"/>
        </w:rPr>
        <w:t>ZB</w:t>
      </w:r>
      <w:r>
        <w:rPr>
          <w:rFonts w:ascii="宋体" w:hAnsi="宋体" w:eastAsia="宋体" w:cs="宋体"/>
          <w:spacing w:val="-10"/>
          <w:sz w:val="20"/>
          <w:szCs w:val="20"/>
        </w:rPr>
        <w:t>值：</w:t>
      </w:r>
    </w:p>
    <w:p w14:paraId="01318AC8">
      <w:pPr>
        <w:spacing w:line="396" w:lineRule="auto"/>
        <w:rPr>
          <w:rFonts w:ascii="Arial"/>
          <w:sz w:val="21"/>
        </w:rPr>
      </w:pPr>
      <w:r>
        <w:drawing>
          <wp:anchor distT="0" distB="0" distL="0" distR="0" simplePos="0" relativeHeight="251753472" behindDoc="0" locked="0" layoutInCell="1" allowOverlap="1">
            <wp:simplePos x="0" y="0"/>
            <wp:positionH relativeFrom="column">
              <wp:posOffset>2438400</wp:posOffset>
            </wp:positionH>
            <wp:positionV relativeFrom="paragraph">
              <wp:posOffset>135890</wp:posOffset>
            </wp:positionV>
            <wp:extent cx="1308100" cy="463550"/>
            <wp:effectExtent l="0" t="0" r="0" b="0"/>
            <wp:wrapNone/>
            <wp:docPr id="348" name="IM 348"/>
            <wp:cNvGraphicFramePr/>
            <a:graphic xmlns:a="http://schemas.openxmlformats.org/drawingml/2006/main">
              <a:graphicData uri="http://schemas.openxmlformats.org/drawingml/2006/picture">
                <pic:pic xmlns:pic="http://schemas.openxmlformats.org/drawingml/2006/picture">
                  <pic:nvPicPr>
                    <pic:cNvPr id="348" name="IM 348"/>
                    <pic:cNvPicPr/>
                  </pic:nvPicPr>
                  <pic:blipFill>
                    <a:blip r:embed="rId545"/>
                    <a:stretch>
                      <a:fillRect/>
                    </a:stretch>
                  </pic:blipFill>
                  <pic:spPr>
                    <a:xfrm>
                      <a:off x="0" y="0"/>
                      <a:ext cx="1308030" cy="463542"/>
                    </a:xfrm>
                    <a:prstGeom prst="rect">
                      <a:avLst/>
                    </a:prstGeom>
                  </pic:spPr>
                </pic:pic>
              </a:graphicData>
            </a:graphic>
          </wp:anchor>
        </w:drawing>
      </w:r>
    </w:p>
    <w:p w14:paraId="3533A0E4">
      <w:pPr>
        <w:spacing w:before="65" w:line="221" w:lineRule="auto"/>
        <w:ind w:right="10"/>
        <w:jc w:val="right"/>
        <w:rPr>
          <w:rFonts w:ascii="宋体" w:hAnsi="宋体" w:eastAsia="宋体" w:cs="宋体"/>
          <w:sz w:val="20"/>
          <w:szCs w:val="20"/>
        </w:rPr>
      </w:pPr>
      <w:r>
        <w:rPr>
          <w:rFonts w:ascii="宋体" w:hAnsi="宋体" w:eastAsia="宋体" w:cs="宋体"/>
          <w:spacing w:val="4"/>
          <w:sz w:val="20"/>
          <w:szCs w:val="20"/>
        </w:rPr>
        <w:t>式(5-31)</w:t>
      </w:r>
    </w:p>
    <w:p w14:paraId="66031CC1">
      <w:pPr>
        <w:spacing w:line="471" w:lineRule="auto"/>
        <w:rPr>
          <w:rFonts w:ascii="Arial"/>
          <w:sz w:val="21"/>
        </w:rPr>
      </w:pPr>
    </w:p>
    <w:p w14:paraId="0E1252F2">
      <w:pPr>
        <w:spacing w:before="65" w:line="219" w:lineRule="auto"/>
        <w:ind w:left="1069"/>
        <w:rPr>
          <w:rFonts w:ascii="宋体" w:hAnsi="宋体" w:eastAsia="宋体" w:cs="宋体"/>
          <w:sz w:val="20"/>
          <w:szCs w:val="20"/>
        </w:rPr>
      </w:pPr>
      <w:r>
        <w:rPr>
          <w:rFonts w:ascii="宋体" w:hAnsi="宋体" w:eastAsia="宋体" w:cs="宋体"/>
          <w:spacing w:val="-2"/>
          <w:sz w:val="20"/>
          <w:szCs w:val="20"/>
        </w:rPr>
        <w:t>功效=1-β=P(Z≤ZB)(P</w:t>
      </w:r>
      <w:r>
        <w:rPr>
          <w:rFonts w:ascii="宋体" w:hAnsi="宋体" w:eastAsia="宋体" w:cs="宋体"/>
          <w:spacing w:val="60"/>
          <w:sz w:val="20"/>
          <w:szCs w:val="20"/>
        </w:rPr>
        <w:t xml:space="preserve"> </w:t>
      </w:r>
      <w:r>
        <w:rPr>
          <w:rFonts w:ascii="宋体" w:hAnsi="宋体" w:eastAsia="宋体" w:cs="宋体"/>
          <w:spacing w:val="-2"/>
          <w:sz w:val="20"/>
          <w:szCs w:val="20"/>
        </w:rPr>
        <w:t>为概率)。</w:t>
      </w:r>
    </w:p>
    <w:p w14:paraId="7B34B70E">
      <w:pPr>
        <w:spacing w:before="120" w:line="313" w:lineRule="auto"/>
        <w:ind w:left="649" w:right="55" w:firstLine="409"/>
        <w:rPr>
          <w:rFonts w:ascii="宋体" w:hAnsi="宋体" w:eastAsia="宋体" w:cs="宋体"/>
          <w:sz w:val="20"/>
          <w:szCs w:val="20"/>
        </w:rPr>
      </w:pPr>
      <w:r>
        <w:rPr>
          <w:rFonts w:ascii="宋体" w:hAnsi="宋体" w:eastAsia="宋体" w:cs="宋体"/>
          <w:spacing w:val="-3"/>
          <w:sz w:val="20"/>
          <w:szCs w:val="20"/>
        </w:rPr>
        <w:t>计算出</w:t>
      </w:r>
      <w:r>
        <w:rPr>
          <w:rFonts w:ascii="Times New Roman" w:hAnsi="Times New Roman" w:eastAsia="Times New Roman" w:cs="Times New Roman"/>
          <w:spacing w:val="-3"/>
          <w:sz w:val="20"/>
          <w:szCs w:val="20"/>
        </w:rPr>
        <w:t>Zβ</w:t>
      </w:r>
      <w:r>
        <w:rPr>
          <w:rFonts w:ascii="宋体" w:hAnsi="宋体" w:eastAsia="宋体" w:cs="宋体"/>
          <w:spacing w:val="-3"/>
          <w:sz w:val="20"/>
          <w:szCs w:val="20"/>
        </w:rPr>
        <w:t>之后，根据标准正态分布查出小于</w:t>
      </w:r>
      <w:r>
        <w:rPr>
          <w:rFonts w:ascii="Times New Roman" w:hAnsi="Times New Roman" w:eastAsia="Times New Roman" w:cs="Times New Roman"/>
          <w:spacing w:val="-3"/>
          <w:sz w:val="20"/>
          <w:szCs w:val="20"/>
        </w:rPr>
        <w:t>ZB</w:t>
      </w:r>
      <w:r>
        <w:rPr>
          <w:rFonts w:ascii="宋体" w:hAnsi="宋体" w:eastAsia="宋体" w:cs="宋体"/>
          <w:spacing w:val="-3"/>
          <w:sz w:val="20"/>
          <w:szCs w:val="20"/>
        </w:rPr>
        <w:t>时的概率，</w:t>
      </w:r>
      <w:r>
        <w:rPr>
          <w:rFonts w:ascii="Times New Roman" w:hAnsi="Times New Roman" w:eastAsia="Times New Roman" w:cs="Times New Roman"/>
          <w:spacing w:val="-3"/>
          <w:sz w:val="20"/>
          <w:szCs w:val="20"/>
        </w:rPr>
        <w:t>P₁</w:t>
      </w:r>
      <w:r>
        <w:rPr>
          <w:rFonts w:ascii="Times New Roman" w:hAnsi="Times New Roman" w:eastAsia="Times New Roman" w:cs="Times New Roman"/>
          <w:spacing w:val="15"/>
          <w:sz w:val="20"/>
          <w:szCs w:val="20"/>
        </w:rPr>
        <w:t xml:space="preserve"> </w:t>
      </w:r>
      <w:r>
        <w:rPr>
          <w:rFonts w:ascii="宋体" w:hAnsi="宋体" w:eastAsia="宋体" w:cs="宋体"/>
          <w:spacing w:val="-3"/>
          <w:sz w:val="20"/>
          <w:szCs w:val="20"/>
        </w:rPr>
        <w:t>的计算公式与计算样本量时的式</w:t>
      </w:r>
      <w:r>
        <w:rPr>
          <w:rFonts w:ascii="宋体" w:hAnsi="宋体" w:eastAsia="宋体" w:cs="宋体"/>
          <w:sz w:val="20"/>
          <w:szCs w:val="20"/>
        </w:rPr>
        <w:t xml:space="preserve"> </w:t>
      </w:r>
      <w:r>
        <w:rPr>
          <w:rFonts w:ascii="宋体" w:hAnsi="宋体" w:eastAsia="宋体" w:cs="宋体"/>
          <w:spacing w:val="-2"/>
          <w:sz w:val="20"/>
          <w:szCs w:val="20"/>
        </w:rPr>
        <w:t>(5-2)相同。</w:t>
      </w:r>
    </w:p>
    <w:p w14:paraId="1EA80FEF">
      <w:pPr>
        <w:spacing w:before="166" w:line="620" w:lineRule="exact"/>
        <w:ind w:firstLine="3059"/>
      </w:pPr>
      <w:r>
        <w:rPr>
          <w:position w:val="-12"/>
        </w:rPr>
        <w:drawing>
          <wp:inline distT="0" distB="0" distL="0" distR="0">
            <wp:extent cx="2272665" cy="393065"/>
            <wp:effectExtent l="0" t="0" r="0" b="0"/>
            <wp:docPr id="350" name="IM 350"/>
            <wp:cNvGraphicFramePr/>
            <a:graphic xmlns:a="http://schemas.openxmlformats.org/drawingml/2006/main">
              <a:graphicData uri="http://schemas.openxmlformats.org/drawingml/2006/picture">
                <pic:pic xmlns:pic="http://schemas.openxmlformats.org/drawingml/2006/picture">
                  <pic:nvPicPr>
                    <pic:cNvPr id="350" name="IM 350"/>
                    <pic:cNvPicPr/>
                  </pic:nvPicPr>
                  <pic:blipFill>
                    <a:blip r:embed="rId546"/>
                    <a:stretch>
                      <a:fillRect/>
                    </a:stretch>
                  </pic:blipFill>
                  <pic:spPr>
                    <a:xfrm>
                      <a:off x="0" y="0"/>
                      <a:ext cx="2273297" cy="393690"/>
                    </a:xfrm>
                    <a:prstGeom prst="rect">
                      <a:avLst/>
                    </a:prstGeom>
                  </pic:spPr>
                </pic:pic>
              </a:graphicData>
            </a:graphic>
          </wp:inline>
        </w:drawing>
      </w:r>
    </w:p>
    <w:p w14:paraId="201486FC">
      <w:pPr>
        <w:pStyle w:val="2"/>
        <w:spacing w:before="245" w:line="212" w:lineRule="auto"/>
        <w:ind w:left="1069"/>
        <w:rPr>
          <w:sz w:val="20"/>
          <w:szCs w:val="20"/>
        </w:rPr>
      </w:pPr>
      <w:r>
        <w:rPr>
          <w:spacing w:val="-3"/>
          <w:sz w:val="20"/>
          <w:szCs w:val="20"/>
        </w:rPr>
        <w:t>本例中，</w:t>
      </w:r>
      <w:r>
        <w:rPr>
          <w:rFonts w:ascii="Times New Roman" w:hAnsi="Times New Roman" w:eastAsia="Times New Roman" w:cs="Times New Roman"/>
          <w:spacing w:val="-3"/>
          <w:sz w:val="20"/>
          <w:szCs w:val="20"/>
        </w:rPr>
        <w:t xml:space="preserve">n=50,P₀=0.30,α=0.05   </w:t>
      </w:r>
      <w:r>
        <w:rPr>
          <w:spacing w:val="-3"/>
          <w:sz w:val="20"/>
          <w:szCs w:val="20"/>
        </w:rPr>
        <w:t>(双侧检验),</w:t>
      </w:r>
      <w:r>
        <w:rPr>
          <w:rFonts w:ascii="Times New Roman" w:hAnsi="Times New Roman" w:eastAsia="Times New Roman" w:cs="Times New Roman"/>
          <w:spacing w:val="-3"/>
          <w:sz w:val="20"/>
          <w:szCs w:val="20"/>
        </w:rPr>
        <w:t>ZL-a₂=1.96,0R=2</w:t>
      </w:r>
      <w:r>
        <w:rPr>
          <w:rFonts w:ascii="Times New Roman" w:hAnsi="Times New Roman" w:eastAsia="Times New Roman" w:cs="Times New Roman"/>
          <w:spacing w:val="-4"/>
          <w:sz w:val="20"/>
          <w:szCs w:val="20"/>
        </w:rPr>
        <w:t xml:space="preserve">,  </w:t>
      </w:r>
      <w:r>
        <w:rPr>
          <w:spacing w:val="-4"/>
          <w:sz w:val="20"/>
          <w:szCs w:val="20"/>
        </w:rPr>
        <w:t>则：</w:t>
      </w:r>
    </w:p>
    <w:p w14:paraId="554784FE">
      <w:pPr>
        <w:spacing w:line="273" w:lineRule="auto"/>
        <w:rPr>
          <w:rFonts w:ascii="Arial"/>
          <w:sz w:val="21"/>
        </w:rPr>
      </w:pPr>
    </w:p>
    <w:p w14:paraId="55F47CB3">
      <w:pPr>
        <w:spacing w:before="1" w:line="550" w:lineRule="exact"/>
        <w:ind w:firstLine="3439"/>
      </w:pPr>
      <w:r>
        <w:rPr>
          <w:position w:val="-11"/>
        </w:rPr>
        <w:drawing>
          <wp:inline distT="0" distB="0" distL="0" distR="0">
            <wp:extent cx="1765300" cy="349250"/>
            <wp:effectExtent l="0" t="0" r="0" b="0"/>
            <wp:docPr id="352" name="IM 352"/>
            <wp:cNvGraphicFramePr/>
            <a:graphic xmlns:a="http://schemas.openxmlformats.org/drawingml/2006/main">
              <a:graphicData uri="http://schemas.openxmlformats.org/drawingml/2006/picture">
                <pic:pic xmlns:pic="http://schemas.openxmlformats.org/drawingml/2006/picture">
                  <pic:nvPicPr>
                    <pic:cNvPr id="352" name="IM 352"/>
                    <pic:cNvPicPr/>
                  </pic:nvPicPr>
                  <pic:blipFill>
                    <a:blip r:embed="rId547"/>
                    <a:stretch>
                      <a:fillRect/>
                    </a:stretch>
                  </pic:blipFill>
                  <pic:spPr>
                    <a:xfrm>
                      <a:off x="0" y="0"/>
                      <a:ext cx="1765349" cy="349258"/>
                    </a:xfrm>
                    <a:prstGeom prst="rect">
                      <a:avLst/>
                    </a:prstGeom>
                  </pic:spPr>
                </pic:pic>
              </a:graphicData>
            </a:graphic>
          </wp:inline>
        </w:drawing>
      </w:r>
    </w:p>
    <w:p w14:paraId="5E2245E3">
      <w:pPr>
        <w:spacing w:before="130" w:line="620" w:lineRule="exact"/>
        <w:ind w:firstLine="2609"/>
      </w:pPr>
      <w:r>
        <w:rPr>
          <w:position w:val="-12"/>
        </w:rPr>
        <w:drawing>
          <wp:inline distT="0" distB="0" distL="0" distR="0">
            <wp:extent cx="2850515" cy="393065"/>
            <wp:effectExtent l="0" t="0" r="0" b="0"/>
            <wp:docPr id="354" name="IM 354"/>
            <wp:cNvGraphicFramePr/>
            <a:graphic xmlns:a="http://schemas.openxmlformats.org/drawingml/2006/main">
              <a:graphicData uri="http://schemas.openxmlformats.org/drawingml/2006/picture">
                <pic:pic xmlns:pic="http://schemas.openxmlformats.org/drawingml/2006/picture">
                  <pic:nvPicPr>
                    <pic:cNvPr id="354" name="IM 354"/>
                    <pic:cNvPicPr/>
                  </pic:nvPicPr>
                  <pic:blipFill>
                    <a:blip r:embed="rId548"/>
                    <a:stretch>
                      <a:fillRect/>
                    </a:stretch>
                  </pic:blipFill>
                  <pic:spPr>
                    <a:xfrm>
                      <a:off x="0" y="0"/>
                      <a:ext cx="2851142" cy="393690"/>
                    </a:xfrm>
                    <a:prstGeom prst="rect">
                      <a:avLst/>
                    </a:prstGeom>
                  </pic:spPr>
                </pic:pic>
              </a:graphicData>
            </a:graphic>
          </wp:inline>
        </w:drawing>
      </w:r>
    </w:p>
    <w:p w14:paraId="5BA17C64">
      <w:pPr>
        <w:spacing w:before="285" w:line="216" w:lineRule="auto"/>
        <w:ind w:left="1059"/>
        <w:rPr>
          <w:rFonts w:ascii="宋体" w:hAnsi="宋体" w:eastAsia="宋体" w:cs="宋体"/>
          <w:sz w:val="20"/>
          <w:szCs w:val="20"/>
        </w:rPr>
      </w:pPr>
      <w:r>
        <w:rPr>
          <w:rFonts w:ascii="宋体" w:hAnsi="宋体" w:eastAsia="宋体" w:cs="宋体"/>
          <w:spacing w:val="-6"/>
          <w:sz w:val="20"/>
          <w:szCs w:val="20"/>
        </w:rPr>
        <w:t>查正态分布表，当</w:t>
      </w:r>
      <w:r>
        <w:rPr>
          <w:rFonts w:ascii="Times New Roman" w:hAnsi="Times New Roman" w:eastAsia="Times New Roman" w:cs="Times New Roman"/>
          <w:spacing w:val="-6"/>
          <w:sz w:val="20"/>
          <w:szCs w:val="20"/>
        </w:rPr>
        <w:t xml:space="preserve">Z=-0.30   </w:t>
      </w:r>
      <w:r>
        <w:rPr>
          <w:rFonts w:ascii="宋体" w:hAnsi="宋体" w:eastAsia="宋体" w:cs="宋体"/>
          <w:spacing w:val="-6"/>
          <w:sz w:val="20"/>
          <w:szCs w:val="20"/>
        </w:rPr>
        <w:t>时，β=0.62,功效=1-β=38%。</w:t>
      </w:r>
    </w:p>
    <w:p w14:paraId="26FDC41F">
      <w:pPr>
        <w:spacing w:before="118" w:line="337" w:lineRule="auto"/>
        <w:ind w:left="659" w:right="53" w:firstLine="379"/>
        <w:rPr>
          <w:rFonts w:ascii="宋体" w:hAnsi="宋体" w:eastAsia="宋体" w:cs="宋体"/>
          <w:sz w:val="20"/>
          <w:szCs w:val="20"/>
        </w:rPr>
      </w:pPr>
      <w:r>
        <w:rPr>
          <w:rFonts w:ascii="宋体" w:hAnsi="宋体" w:eastAsia="宋体" w:cs="宋体"/>
          <w:spacing w:val="1"/>
          <w:sz w:val="20"/>
          <w:szCs w:val="20"/>
        </w:rPr>
        <w:t>结论：如果该研究选用病例和对照各50例，在给定的条件下，该研究能</w:t>
      </w:r>
      <w:r>
        <w:rPr>
          <w:rFonts w:ascii="宋体" w:hAnsi="宋体" w:eastAsia="宋体" w:cs="宋体"/>
          <w:sz w:val="20"/>
          <w:szCs w:val="20"/>
        </w:rPr>
        <w:t>检出OR=2</w:t>
      </w:r>
      <w:r>
        <w:rPr>
          <w:rFonts w:ascii="宋体" w:hAnsi="宋体" w:eastAsia="宋体" w:cs="宋体"/>
          <w:spacing w:val="77"/>
          <w:sz w:val="20"/>
          <w:szCs w:val="20"/>
        </w:rPr>
        <w:t xml:space="preserve"> </w:t>
      </w:r>
      <w:r>
        <w:rPr>
          <w:rFonts w:ascii="宋体" w:hAnsi="宋体" w:eastAsia="宋体" w:cs="宋体"/>
          <w:sz w:val="20"/>
          <w:szCs w:val="20"/>
        </w:rPr>
        <w:t xml:space="preserve">的概率为 </w:t>
      </w:r>
      <w:r>
        <w:rPr>
          <w:rFonts w:ascii="宋体" w:hAnsi="宋体" w:eastAsia="宋体" w:cs="宋体"/>
          <w:spacing w:val="3"/>
          <w:sz w:val="20"/>
          <w:szCs w:val="20"/>
        </w:rPr>
        <w:t>38%。如果</w:t>
      </w:r>
      <w:r>
        <w:rPr>
          <w:rFonts w:ascii="Times New Roman" w:hAnsi="Times New Roman" w:eastAsia="Times New Roman" w:cs="Times New Roman"/>
          <w:sz w:val="20"/>
          <w:szCs w:val="20"/>
        </w:rPr>
        <w:t>OR</w:t>
      </w:r>
      <w:r>
        <w:rPr>
          <w:rFonts w:ascii="Times New Roman" w:hAnsi="Times New Roman" w:eastAsia="Times New Roman" w:cs="Times New Roman"/>
          <w:spacing w:val="3"/>
          <w:sz w:val="20"/>
          <w:szCs w:val="20"/>
        </w:rPr>
        <w:t xml:space="preserve"> </w:t>
      </w:r>
      <w:r>
        <w:rPr>
          <w:rFonts w:ascii="宋体" w:hAnsi="宋体" w:eastAsia="宋体" w:cs="宋体"/>
          <w:spacing w:val="3"/>
          <w:sz w:val="20"/>
          <w:szCs w:val="20"/>
        </w:rPr>
        <w:t>确实等于2,则该研究成功的希望不大，因为3</w:t>
      </w:r>
      <w:r>
        <w:rPr>
          <w:rFonts w:ascii="宋体" w:hAnsi="宋体" w:eastAsia="宋体" w:cs="宋体"/>
          <w:spacing w:val="2"/>
          <w:sz w:val="20"/>
          <w:szCs w:val="20"/>
        </w:rPr>
        <w:t>8%的功效太低。</w:t>
      </w:r>
      <w:r>
        <w:rPr>
          <w:rFonts w:ascii="宋体" w:hAnsi="宋体" w:eastAsia="宋体" w:cs="宋体"/>
          <w:spacing w:val="45"/>
          <w:sz w:val="20"/>
          <w:szCs w:val="20"/>
        </w:rPr>
        <w:t xml:space="preserve"> </w:t>
      </w:r>
      <w:r>
        <w:rPr>
          <w:rFonts w:ascii="宋体" w:hAnsi="宋体" w:eastAsia="宋体" w:cs="宋体"/>
          <w:spacing w:val="2"/>
          <w:sz w:val="20"/>
          <w:szCs w:val="20"/>
        </w:rPr>
        <w:t>一般认为一项研究</w:t>
      </w:r>
      <w:r>
        <w:rPr>
          <w:rFonts w:ascii="宋体" w:hAnsi="宋体" w:eastAsia="宋体" w:cs="宋体"/>
          <w:sz w:val="20"/>
          <w:szCs w:val="20"/>
        </w:rPr>
        <w:t xml:space="preserve"> </w:t>
      </w:r>
      <w:r>
        <w:rPr>
          <w:rFonts w:ascii="宋体" w:hAnsi="宋体" w:eastAsia="宋体" w:cs="宋体"/>
          <w:spacing w:val="7"/>
          <w:sz w:val="20"/>
          <w:szCs w:val="20"/>
        </w:rPr>
        <w:t>的功效</w:t>
      </w:r>
      <w:r>
        <w:rPr>
          <w:rFonts w:ascii="Times New Roman" w:hAnsi="Times New Roman" w:eastAsia="Times New Roman" w:cs="Times New Roman"/>
          <w:spacing w:val="7"/>
          <w:sz w:val="20"/>
          <w:szCs w:val="20"/>
        </w:rPr>
        <w:t>(</w:t>
      </w:r>
      <w:r>
        <w:rPr>
          <w:rFonts w:ascii="Times New Roman" w:hAnsi="Times New Roman" w:eastAsia="Times New Roman" w:cs="Times New Roman"/>
          <w:sz w:val="20"/>
          <w:szCs w:val="20"/>
        </w:rPr>
        <w:t>power</w:t>
      </w:r>
      <w:r>
        <w:rPr>
          <w:rFonts w:ascii="Times New Roman" w:hAnsi="Times New Roman" w:eastAsia="Times New Roman" w:cs="Times New Roman"/>
          <w:spacing w:val="7"/>
          <w:sz w:val="20"/>
          <w:szCs w:val="20"/>
        </w:rPr>
        <w:t xml:space="preserve">) </w:t>
      </w:r>
      <w:r>
        <w:rPr>
          <w:rFonts w:ascii="宋体" w:hAnsi="宋体" w:eastAsia="宋体" w:cs="宋体"/>
          <w:spacing w:val="7"/>
          <w:sz w:val="20"/>
          <w:szCs w:val="20"/>
        </w:rPr>
        <w:t>应在80%以上。</w:t>
      </w:r>
    </w:p>
    <w:p w14:paraId="17059F62">
      <w:pPr>
        <w:spacing w:before="43" w:line="334" w:lineRule="auto"/>
        <w:ind w:left="639" w:right="53" w:firstLine="419"/>
        <w:rPr>
          <w:rFonts w:ascii="宋体" w:hAnsi="宋体" w:eastAsia="宋体" w:cs="宋体"/>
          <w:sz w:val="20"/>
          <w:szCs w:val="20"/>
        </w:rPr>
      </w:pPr>
      <w:r>
        <w:rPr>
          <w:rFonts w:ascii="宋体" w:hAnsi="宋体" w:eastAsia="宋体" w:cs="宋体"/>
          <w:sz w:val="20"/>
          <w:szCs w:val="20"/>
        </w:rPr>
        <w:t>以上计算方法没有考虑控制混杂因素和评价交互作用的情况，因此</w:t>
      </w:r>
      <w:r>
        <w:rPr>
          <w:rFonts w:ascii="宋体" w:hAnsi="宋体" w:eastAsia="宋体" w:cs="宋体"/>
          <w:spacing w:val="-1"/>
          <w:sz w:val="20"/>
          <w:szCs w:val="20"/>
        </w:rPr>
        <w:t>所计算的研究功效只是一</w:t>
      </w:r>
      <w:r>
        <w:rPr>
          <w:rFonts w:ascii="宋体" w:hAnsi="宋体" w:eastAsia="宋体" w:cs="宋体"/>
          <w:sz w:val="20"/>
          <w:szCs w:val="20"/>
        </w:rPr>
        <w:t xml:space="preserve"> </w:t>
      </w:r>
      <w:r>
        <w:rPr>
          <w:rFonts w:ascii="宋体" w:hAnsi="宋体" w:eastAsia="宋体" w:cs="宋体"/>
          <w:spacing w:val="-7"/>
          <w:sz w:val="20"/>
          <w:szCs w:val="20"/>
        </w:rPr>
        <w:t>个粗略的估计，计算的结果可供设计阶段参考。</w:t>
      </w:r>
    </w:p>
    <w:p w14:paraId="02CCA217">
      <w:pPr>
        <w:spacing w:before="17" w:line="322" w:lineRule="auto"/>
        <w:ind w:left="639" w:right="65" w:firstLine="379"/>
        <w:rPr>
          <w:rFonts w:ascii="宋体" w:hAnsi="宋体" w:eastAsia="宋体" w:cs="宋体"/>
          <w:sz w:val="20"/>
          <w:szCs w:val="20"/>
        </w:rPr>
      </w:pPr>
      <w:r>
        <w:rPr>
          <w:rFonts w:ascii="宋体" w:hAnsi="宋体" w:eastAsia="宋体" w:cs="宋体"/>
          <w:sz w:val="20"/>
          <w:szCs w:val="20"/>
        </w:rPr>
        <w:t>对于一项已完成的配对病例对照研究，如果病例和对照对某一因素暴露状况不一致的对子数</w:t>
      </w:r>
      <w:r>
        <w:rPr>
          <w:rFonts w:ascii="宋体" w:hAnsi="宋体" w:eastAsia="宋体" w:cs="宋体"/>
          <w:spacing w:val="17"/>
          <w:sz w:val="20"/>
          <w:szCs w:val="20"/>
        </w:rPr>
        <w:t xml:space="preserve"> </w:t>
      </w:r>
      <w:r>
        <w:rPr>
          <w:rFonts w:ascii="宋体" w:hAnsi="宋体" w:eastAsia="宋体" w:cs="宋体"/>
          <w:spacing w:val="-3"/>
          <w:sz w:val="20"/>
          <w:szCs w:val="20"/>
        </w:rPr>
        <w:t>为</w:t>
      </w:r>
      <w:r>
        <w:rPr>
          <w:rFonts w:ascii="宋体" w:hAnsi="宋体" w:eastAsia="宋体" w:cs="宋体"/>
          <w:spacing w:val="-56"/>
          <w:sz w:val="20"/>
          <w:szCs w:val="20"/>
        </w:rPr>
        <w:t xml:space="preserve"> </w:t>
      </w:r>
      <w:r>
        <w:rPr>
          <w:rFonts w:ascii="宋体" w:hAnsi="宋体" w:eastAsia="宋体" w:cs="宋体"/>
          <w:spacing w:val="-3"/>
          <w:sz w:val="20"/>
          <w:szCs w:val="20"/>
        </w:rPr>
        <w:t>m,</w:t>
      </w:r>
      <w:r>
        <w:rPr>
          <w:rFonts w:ascii="宋体" w:hAnsi="宋体" w:eastAsia="宋体" w:cs="宋体"/>
          <w:spacing w:val="-48"/>
          <w:sz w:val="20"/>
          <w:szCs w:val="20"/>
        </w:rPr>
        <w:t xml:space="preserve"> </w:t>
      </w:r>
      <w:r>
        <w:rPr>
          <w:rFonts w:ascii="宋体" w:hAnsi="宋体" w:eastAsia="宋体" w:cs="宋体"/>
          <w:spacing w:val="-3"/>
          <w:sz w:val="20"/>
          <w:szCs w:val="20"/>
        </w:rPr>
        <w:t>则研究功效可用下式计算：</w:t>
      </w:r>
    </w:p>
    <w:p w14:paraId="28602C8F">
      <w:pPr>
        <w:spacing w:line="477" w:lineRule="auto"/>
        <w:rPr>
          <w:rFonts w:ascii="Arial"/>
          <w:sz w:val="21"/>
        </w:rPr>
      </w:pPr>
      <w:r>
        <w:drawing>
          <wp:anchor distT="0" distB="0" distL="0" distR="0" simplePos="0" relativeHeight="251752448" behindDoc="0" locked="0" layoutInCell="1" allowOverlap="1">
            <wp:simplePos x="0" y="0"/>
            <wp:positionH relativeFrom="column">
              <wp:posOffset>2431415</wp:posOffset>
            </wp:positionH>
            <wp:positionV relativeFrom="paragraph">
              <wp:posOffset>111125</wp:posOffset>
            </wp:positionV>
            <wp:extent cx="1295400" cy="577850"/>
            <wp:effectExtent l="0" t="0" r="0" b="0"/>
            <wp:wrapNone/>
            <wp:docPr id="356" name="IM 356"/>
            <wp:cNvGraphicFramePr/>
            <a:graphic xmlns:a="http://schemas.openxmlformats.org/drawingml/2006/main">
              <a:graphicData uri="http://schemas.openxmlformats.org/drawingml/2006/picture">
                <pic:pic xmlns:pic="http://schemas.openxmlformats.org/drawingml/2006/picture">
                  <pic:nvPicPr>
                    <pic:cNvPr id="356" name="IM 356"/>
                    <pic:cNvPicPr/>
                  </pic:nvPicPr>
                  <pic:blipFill>
                    <a:blip r:embed="rId549"/>
                    <a:stretch>
                      <a:fillRect/>
                    </a:stretch>
                  </pic:blipFill>
                  <pic:spPr>
                    <a:xfrm>
                      <a:off x="0" y="0"/>
                      <a:ext cx="1295410" cy="577825"/>
                    </a:xfrm>
                    <a:prstGeom prst="rect">
                      <a:avLst/>
                    </a:prstGeom>
                  </pic:spPr>
                </pic:pic>
              </a:graphicData>
            </a:graphic>
          </wp:anchor>
        </w:drawing>
      </w:r>
    </w:p>
    <w:p w14:paraId="08E04E18">
      <w:pPr>
        <w:spacing w:before="66" w:line="221" w:lineRule="auto"/>
        <w:jc w:val="right"/>
        <w:rPr>
          <w:rFonts w:ascii="宋体" w:hAnsi="宋体" w:eastAsia="宋体" w:cs="宋体"/>
          <w:sz w:val="20"/>
          <w:szCs w:val="20"/>
        </w:rPr>
      </w:pPr>
      <w:r>
        <w:rPr>
          <w:rFonts w:ascii="宋体" w:hAnsi="宋体" w:eastAsia="宋体" w:cs="宋体"/>
          <w:spacing w:val="10"/>
          <w:sz w:val="20"/>
          <w:szCs w:val="20"/>
        </w:rPr>
        <w:t>式(5-32)</w:t>
      </w:r>
    </w:p>
    <w:p w14:paraId="63BF5951">
      <w:pPr>
        <w:spacing w:line="244" w:lineRule="auto"/>
        <w:rPr>
          <w:rFonts w:ascii="Arial"/>
          <w:sz w:val="21"/>
        </w:rPr>
      </w:pPr>
    </w:p>
    <w:p w14:paraId="00CB5CCF">
      <w:pPr>
        <w:spacing w:line="245" w:lineRule="auto"/>
        <w:rPr>
          <w:rFonts w:ascii="Arial"/>
          <w:sz w:val="21"/>
        </w:rPr>
      </w:pPr>
    </w:p>
    <w:p w14:paraId="16ACD3D4">
      <w:pPr>
        <w:spacing w:before="65" w:line="336" w:lineRule="auto"/>
        <w:ind w:left="668" w:right="63" w:hanging="29"/>
        <w:rPr>
          <w:rFonts w:ascii="宋体" w:hAnsi="宋体" w:eastAsia="宋体" w:cs="宋体"/>
          <w:sz w:val="20"/>
          <w:szCs w:val="20"/>
        </w:rPr>
      </w:pPr>
      <w:r>
        <w:rPr>
          <w:rFonts w:ascii="宋体" w:hAnsi="宋体" w:eastAsia="宋体" w:cs="宋体"/>
          <w:spacing w:val="-4"/>
          <w:sz w:val="20"/>
          <w:szCs w:val="20"/>
        </w:rPr>
        <w:t>式中，</w:t>
      </w:r>
      <w:r>
        <w:rPr>
          <w:rFonts w:ascii="Times New Roman" w:hAnsi="Times New Roman" w:eastAsia="Times New Roman" w:cs="Times New Roman"/>
          <w:spacing w:val="-4"/>
          <w:sz w:val="20"/>
          <w:szCs w:val="20"/>
        </w:rPr>
        <w:t>P=0R/(1+0R)</w:t>
      </w:r>
      <w:r>
        <w:rPr>
          <w:rFonts w:ascii="Times New Roman" w:hAnsi="Times New Roman" w:eastAsia="Times New Roman" w:cs="Times New Roman"/>
          <w:spacing w:val="-23"/>
          <w:sz w:val="20"/>
          <w:szCs w:val="20"/>
        </w:rPr>
        <w:t xml:space="preserve"> </w:t>
      </w:r>
      <w:r>
        <w:rPr>
          <w:rFonts w:ascii="宋体" w:hAnsi="宋体" w:eastAsia="宋体" w:cs="宋体"/>
          <w:spacing w:val="-4"/>
          <w:sz w:val="20"/>
          <w:szCs w:val="20"/>
        </w:rPr>
        <w:t>。 公式(5-32)可检验已完成的配对病例对照研究</w:t>
      </w:r>
      <w:r>
        <w:rPr>
          <w:rFonts w:ascii="宋体" w:hAnsi="宋体" w:eastAsia="宋体" w:cs="宋体"/>
          <w:spacing w:val="-5"/>
          <w:sz w:val="20"/>
          <w:szCs w:val="20"/>
        </w:rPr>
        <w:t>的研究功效，因为这里已经有</w:t>
      </w:r>
      <w:r>
        <w:rPr>
          <w:rFonts w:ascii="宋体" w:hAnsi="宋体" w:eastAsia="宋体" w:cs="宋体"/>
          <w:sz w:val="20"/>
          <w:szCs w:val="20"/>
        </w:rPr>
        <w:t xml:space="preserve"> </w:t>
      </w:r>
      <w:r>
        <w:rPr>
          <w:rFonts w:ascii="宋体" w:hAnsi="宋体" w:eastAsia="宋体" w:cs="宋体"/>
          <w:spacing w:val="-1"/>
          <w:sz w:val="20"/>
          <w:szCs w:val="20"/>
        </w:rPr>
        <w:t>了不一致对子数</w:t>
      </w:r>
      <w:r>
        <w:rPr>
          <w:rFonts w:ascii="Times New Roman" w:hAnsi="Times New Roman" w:eastAsia="Times New Roman" w:cs="Times New Roman"/>
          <w:spacing w:val="-1"/>
          <w:sz w:val="20"/>
          <w:szCs w:val="20"/>
        </w:rPr>
        <w:t>m</w:t>
      </w:r>
      <w:r>
        <w:rPr>
          <w:rFonts w:ascii="宋体" w:hAnsi="宋体" w:eastAsia="宋体" w:cs="宋体"/>
          <w:spacing w:val="-1"/>
          <w:sz w:val="20"/>
          <w:szCs w:val="20"/>
        </w:rPr>
        <w:t>。</w:t>
      </w:r>
    </w:p>
    <w:p w14:paraId="088D7744">
      <w:pPr>
        <w:spacing w:line="279" w:lineRule="auto"/>
        <w:rPr>
          <w:rFonts w:ascii="Arial"/>
          <w:sz w:val="21"/>
        </w:rPr>
      </w:pPr>
    </w:p>
    <w:p w14:paraId="33E2CCD2">
      <w:pPr>
        <w:pStyle w:val="2"/>
        <w:spacing w:before="95" w:line="221" w:lineRule="auto"/>
        <w:ind w:left="3209"/>
        <w:outlineLvl w:val="1"/>
        <w:rPr>
          <w:sz w:val="29"/>
          <w:szCs w:val="29"/>
        </w:rPr>
      </w:pPr>
      <w:bookmarkStart w:id="150" w:name="bookmark93"/>
      <w:bookmarkEnd w:id="150"/>
      <w:r>
        <w:rPr>
          <w:spacing w:val="-11"/>
          <w:sz w:val="20"/>
          <w:szCs w:val="20"/>
        </w:rPr>
        <w:t>第</w:t>
      </w:r>
      <w:r>
        <w:rPr>
          <w:spacing w:val="40"/>
          <w:sz w:val="20"/>
          <w:szCs w:val="20"/>
        </w:rPr>
        <w:t xml:space="preserve"> </w:t>
      </w:r>
      <w:r>
        <w:rPr>
          <w:spacing w:val="-11"/>
          <w:sz w:val="20"/>
          <w:szCs w:val="20"/>
        </w:rPr>
        <w:t>四</w:t>
      </w:r>
      <w:r>
        <w:rPr>
          <w:spacing w:val="26"/>
          <w:sz w:val="20"/>
          <w:szCs w:val="20"/>
        </w:rPr>
        <w:t xml:space="preserve"> </w:t>
      </w:r>
      <w:r>
        <w:rPr>
          <w:spacing w:val="-11"/>
          <w:sz w:val="20"/>
          <w:szCs w:val="20"/>
        </w:rPr>
        <w:t>节</w:t>
      </w:r>
      <w:r>
        <w:rPr>
          <w:spacing w:val="28"/>
          <w:sz w:val="20"/>
          <w:szCs w:val="20"/>
        </w:rPr>
        <w:t xml:space="preserve">  </w:t>
      </w:r>
      <w:r>
        <w:rPr>
          <w:spacing w:val="-11"/>
          <w:sz w:val="29"/>
          <w:szCs w:val="29"/>
        </w:rPr>
        <w:t>常见偏倚及其控制</w:t>
      </w:r>
    </w:p>
    <w:p w14:paraId="3C63597A">
      <w:pPr>
        <w:spacing w:line="344" w:lineRule="auto"/>
        <w:rPr>
          <w:rFonts w:ascii="Arial"/>
          <w:sz w:val="21"/>
        </w:rPr>
      </w:pPr>
    </w:p>
    <w:p w14:paraId="16942183">
      <w:pPr>
        <w:spacing w:before="65" w:line="344" w:lineRule="auto"/>
        <w:ind w:left="649" w:right="39" w:firstLine="399"/>
        <w:rPr>
          <w:rFonts w:ascii="宋体" w:hAnsi="宋体" w:eastAsia="宋体" w:cs="宋体"/>
          <w:sz w:val="20"/>
          <w:szCs w:val="20"/>
        </w:rPr>
      </w:pPr>
      <w:r>
        <w:rPr>
          <w:rFonts w:ascii="宋体" w:hAnsi="宋体" w:eastAsia="宋体" w:cs="宋体"/>
          <w:spacing w:val="-5"/>
          <w:sz w:val="20"/>
          <w:szCs w:val="20"/>
        </w:rPr>
        <w:t>病例对照研究是一种回顾性的观察性研究，比较容易产生偏倚，常见的偏倚有选择偏倚、信息</w:t>
      </w:r>
      <w:r>
        <w:rPr>
          <w:rFonts w:ascii="宋体" w:hAnsi="宋体" w:eastAsia="宋体" w:cs="宋体"/>
          <w:spacing w:val="18"/>
          <w:sz w:val="20"/>
          <w:szCs w:val="20"/>
        </w:rPr>
        <w:t xml:space="preserve"> </w:t>
      </w:r>
      <w:r>
        <w:rPr>
          <w:rFonts w:ascii="宋体" w:hAnsi="宋体" w:eastAsia="宋体" w:cs="宋体"/>
          <w:spacing w:val="-2"/>
          <w:sz w:val="20"/>
          <w:szCs w:val="20"/>
        </w:rPr>
        <w:t>偏倚和混杂偏倚。这些偏倚可以通过严谨的设计和细致的分</w:t>
      </w:r>
      <w:r>
        <w:rPr>
          <w:rFonts w:ascii="宋体" w:hAnsi="宋体" w:eastAsia="宋体" w:cs="宋体"/>
          <w:spacing w:val="-3"/>
          <w:sz w:val="20"/>
          <w:szCs w:val="20"/>
        </w:rPr>
        <w:t>析加以识别和控制。</w:t>
      </w:r>
    </w:p>
    <w:p w14:paraId="59617608">
      <w:pPr>
        <w:pStyle w:val="2"/>
        <w:spacing w:before="194" w:line="222" w:lineRule="auto"/>
        <w:ind w:left="1069"/>
        <w:outlineLvl w:val="2"/>
        <w:rPr>
          <w:sz w:val="20"/>
          <w:szCs w:val="20"/>
        </w:rPr>
      </w:pPr>
      <w:bookmarkStart w:id="151" w:name="bookmark94"/>
      <w:bookmarkEnd w:id="151"/>
      <w:r>
        <w:rPr>
          <w:spacing w:val="-14"/>
          <w:sz w:val="20"/>
          <w:szCs w:val="20"/>
        </w:rPr>
        <w:t>一</w:t>
      </w:r>
      <w:r>
        <w:rPr>
          <w:spacing w:val="28"/>
          <w:sz w:val="20"/>
          <w:szCs w:val="20"/>
        </w:rPr>
        <w:t xml:space="preserve"> </w:t>
      </w:r>
      <w:r>
        <w:rPr>
          <w:spacing w:val="-14"/>
          <w:sz w:val="20"/>
          <w:szCs w:val="20"/>
        </w:rPr>
        <w:t>、选</w:t>
      </w:r>
      <w:r>
        <w:rPr>
          <w:spacing w:val="-31"/>
          <w:sz w:val="20"/>
          <w:szCs w:val="20"/>
        </w:rPr>
        <w:t xml:space="preserve"> </w:t>
      </w:r>
      <w:r>
        <w:rPr>
          <w:spacing w:val="-14"/>
          <w:sz w:val="20"/>
          <w:szCs w:val="20"/>
        </w:rPr>
        <w:t>择</w:t>
      </w:r>
      <w:r>
        <w:rPr>
          <w:spacing w:val="-30"/>
          <w:sz w:val="20"/>
          <w:szCs w:val="20"/>
        </w:rPr>
        <w:t xml:space="preserve"> </w:t>
      </w:r>
      <w:r>
        <w:rPr>
          <w:spacing w:val="-14"/>
          <w:sz w:val="20"/>
          <w:szCs w:val="20"/>
        </w:rPr>
        <w:t>偏</w:t>
      </w:r>
      <w:r>
        <w:rPr>
          <w:spacing w:val="-31"/>
          <w:sz w:val="20"/>
          <w:szCs w:val="20"/>
        </w:rPr>
        <w:t xml:space="preserve"> </w:t>
      </w:r>
      <w:r>
        <w:rPr>
          <w:spacing w:val="-14"/>
          <w:sz w:val="20"/>
          <w:szCs w:val="20"/>
        </w:rPr>
        <w:t>倚</w:t>
      </w:r>
    </w:p>
    <w:p w14:paraId="2B34B838">
      <w:pPr>
        <w:spacing w:before="299" w:line="219" w:lineRule="auto"/>
        <w:ind w:left="1049"/>
        <w:rPr>
          <w:rFonts w:ascii="宋体" w:hAnsi="宋体" w:eastAsia="宋体" w:cs="宋体"/>
          <w:sz w:val="20"/>
          <w:szCs w:val="20"/>
        </w:rPr>
      </w:pPr>
      <w:r>
        <w:rPr>
          <w:rFonts w:ascii="宋体" w:hAnsi="宋体" w:eastAsia="宋体" w:cs="宋体"/>
          <w:sz w:val="20"/>
          <w:szCs w:val="20"/>
        </w:rPr>
        <w:t>一项病例对照研究所选择的研究对象只是源人群的一个样本，由</w:t>
      </w:r>
      <w:r>
        <w:rPr>
          <w:rFonts w:ascii="宋体" w:hAnsi="宋体" w:eastAsia="宋体" w:cs="宋体"/>
          <w:spacing w:val="-1"/>
          <w:sz w:val="20"/>
          <w:szCs w:val="20"/>
        </w:rPr>
        <w:t>于选人的研究对象与未选人</w:t>
      </w:r>
    </w:p>
    <w:p w14:paraId="789A68CB">
      <w:pPr>
        <w:spacing w:line="219" w:lineRule="auto"/>
        <w:rPr>
          <w:rFonts w:ascii="宋体" w:hAnsi="宋体" w:eastAsia="宋体" w:cs="宋体"/>
          <w:sz w:val="20"/>
          <w:szCs w:val="20"/>
        </w:rPr>
        <w:sectPr>
          <w:footerReference r:id="rId110" w:type="default"/>
          <w:pgSz w:w="11900" w:h="16820"/>
          <w:pgMar w:top="400" w:right="1726" w:bottom="891" w:left="1070" w:header="0" w:footer="632" w:gutter="0"/>
          <w:cols w:space="720" w:num="1"/>
        </w:sectPr>
      </w:pPr>
    </w:p>
    <w:p w14:paraId="38E442FD">
      <w:pPr>
        <w:pStyle w:val="2"/>
        <w:spacing w:before="297" w:line="222" w:lineRule="auto"/>
        <w:ind w:left="7379"/>
        <w:rPr>
          <w:sz w:val="21"/>
          <w:szCs w:val="21"/>
        </w:rPr>
      </w:pPr>
      <w:r>
        <w:rPr>
          <w:spacing w:val="-16"/>
          <w:w w:val="99"/>
          <w:sz w:val="21"/>
          <w:szCs w:val="21"/>
        </w:rPr>
        <w:t>第五章病例对照研究</w:t>
      </w:r>
    </w:p>
    <w:p w14:paraId="10F64C8D">
      <w:pPr>
        <w:spacing w:line="263" w:lineRule="auto"/>
        <w:rPr>
          <w:rFonts w:ascii="Arial"/>
          <w:sz w:val="21"/>
        </w:rPr>
      </w:pPr>
    </w:p>
    <w:p w14:paraId="16C4855B">
      <w:pPr>
        <w:spacing w:line="263" w:lineRule="auto"/>
        <w:rPr>
          <w:rFonts w:ascii="Arial"/>
          <w:sz w:val="21"/>
        </w:rPr>
      </w:pPr>
    </w:p>
    <w:p w14:paraId="03940D28">
      <w:pPr>
        <w:spacing w:before="69" w:line="320" w:lineRule="auto"/>
        <w:ind w:right="684"/>
        <w:rPr>
          <w:rFonts w:ascii="宋体" w:hAnsi="宋体" w:eastAsia="宋体" w:cs="宋体"/>
          <w:sz w:val="21"/>
          <w:szCs w:val="21"/>
        </w:rPr>
      </w:pPr>
      <w:r>
        <w:rPr>
          <w:rFonts w:ascii="宋体" w:hAnsi="宋体" w:eastAsia="宋体" w:cs="宋体"/>
          <w:spacing w:val="6"/>
          <w:sz w:val="21"/>
          <w:szCs w:val="21"/>
        </w:rPr>
        <w:t>者在某些特征上存在差异而引起的系统误差称为选择偏倚。病例对照研究中常见的选择偏倚包括</w:t>
      </w:r>
      <w:r>
        <w:rPr>
          <w:rFonts w:ascii="宋体" w:hAnsi="宋体" w:eastAsia="宋体" w:cs="宋体"/>
          <w:spacing w:val="15"/>
          <w:sz w:val="21"/>
          <w:szCs w:val="21"/>
        </w:rPr>
        <w:t xml:space="preserve"> </w:t>
      </w:r>
      <w:r>
        <w:rPr>
          <w:rFonts w:ascii="宋体" w:hAnsi="宋体" w:eastAsia="宋体" w:cs="宋体"/>
          <w:spacing w:val="1"/>
          <w:sz w:val="21"/>
          <w:szCs w:val="21"/>
        </w:rPr>
        <w:t>人院率偏倚、现患病例-新发病例偏倚等。</w:t>
      </w:r>
    </w:p>
    <w:p w14:paraId="34FE941F">
      <w:pPr>
        <w:pStyle w:val="2"/>
        <w:spacing w:line="222" w:lineRule="auto"/>
        <w:ind w:left="443"/>
        <w:rPr>
          <w:sz w:val="24"/>
          <w:szCs w:val="24"/>
        </w:rPr>
      </w:pPr>
      <w:r>
        <w:rPr>
          <w:b/>
          <w:bCs/>
          <w:spacing w:val="-3"/>
          <w:sz w:val="24"/>
          <w:szCs w:val="24"/>
        </w:rPr>
        <w:t>(一)入院率偏倚</w:t>
      </w:r>
    </w:p>
    <w:p w14:paraId="2415327F">
      <w:pPr>
        <w:spacing w:before="91" w:line="319" w:lineRule="auto"/>
        <w:ind w:right="673" w:firstLine="439"/>
        <w:jc w:val="both"/>
        <w:rPr>
          <w:rFonts w:ascii="宋体" w:hAnsi="宋体" w:eastAsia="宋体" w:cs="宋体"/>
          <w:sz w:val="21"/>
          <w:szCs w:val="21"/>
        </w:rPr>
      </w:pPr>
      <w:r>
        <w:rPr>
          <w:rFonts w:ascii="宋体" w:hAnsi="宋体" w:eastAsia="宋体" w:cs="宋体"/>
          <w:spacing w:val="4"/>
          <w:sz w:val="21"/>
          <w:szCs w:val="21"/>
        </w:rPr>
        <w:t>入院率偏倚</w:t>
      </w:r>
      <w:r>
        <w:rPr>
          <w:rFonts w:ascii="Times New Roman" w:hAnsi="Times New Roman" w:eastAsia="Times New Roman" w:cs="Times New Roman"/>
          <w:spacing w:val="4"/>
          <w:sz w:val="21"/>
          <w:szCs w:val="21"/>
        </w:rPr>
        <w:t>(</w:t>
      </w:r>
      <w:r>
        <w:rPr>
          <w:rFonts w:ascii="Times New Roman" w:hAnsi="Times New Roman" w:eastAsia="Times New Roman" w:cs="Times New Roman"/>
          <w:sz w:val="21"/>
          <w:szCs w:val="21"/>
        </w:rPr>
        <w:t>admission</w:t>
      </w:r>
      <w:r>
        <w:rPr>
          <w:rFonts w:ascii="Times New Roman" w:hAnsi="Times New Roman" w:eastAsia="Times New Roman" w:cs="Times New Roman"/>
          <w:spacing w:val="4"/>
          <w:sz w:val="21"/>
          <w:szCs w:val="21"/>
        </w:rPr>
        <w:t xml:space="preserve">  </w:t>
      </w:r>
      <w:r>
        <w:rPr>
          <w:rFonts w:ascii="Times New Roman" w:hAnsi="Times New Roman" w:eastAsia="Times New Roman" w:cs="Times New Roman"/>
          <w:sz w:val="21"/>
          <w:szCs w:val="21"/>
        </w:rPr>
        <w:t>rate</w:t>
      </w:r>
      <w:r>
        <w:rPr>
          <w:rFonts w:ascii="Times New Roman" w:hAnsi="Times New Roman" w:eastAsia="Times New Roman" w:cs="Times New Roman"/>
          <w:spacing w:val="4"/>
          <w:sz w:val="21"/>
          <w:szCs w:val="21"/>
        </w:rPr>
        <w:t xml:space="preserve">  </w:t>
      </w:r>
      <w:r>
        <w:rPr>
          <w:rFonts w:ascii="Times New Roman" w:hAnsi="Times New Roman" w:eastAsia="Times New Roman" w:cs="Times New Roman"/>
          <w:sz w:val="21"/>
          <w:szCs w:val="21"/>
        </w:rPr>
        <w:t>bias</w:t>
      </w:r>
      <w:r>
        <w:rPr>
          <w:rFonts w:ascii="Times New Roman" w:hAnsi="Times New Roman" w:eastAsia="Times New Roman" w:cs="Times New Roman"/>
          <w:spacing w:val="4"/>
          <w:sz w:val="21"/>
          <w:szCs w:val="21"/>
        </w:rPr>
        <w:t>)</w:t>
      </w:r>
      <w:r>
        <w:rPr>
          <w:rFonts w:ascii="宋体" w:hAnsi="宋体" w:eastAsia="宋体" w:cs="宋体"/>
          <w:spacing w:val="4"/>
          <w:sz w:val="21"/>
          <w:szCs w:val="21"/>
        </w:rPr>
        <w:t>也称伯克森偏倚</w:t>
      </w:r>
      <w:r>
        <w:rPr>
          <w:rFonts w:ascii="Times New Roman" w:hAnsi="Times New Roman" w:eastAsia="Times New Roman" w:cs="Times New Roman"/>
          <w:spacing w:val="4"/>
          <w:sz w:val="21"/>
          <w:szCs w:val="21"/>
        </w:rPr>
        <w:t>(</w:t>
      </w:r>
      <w:r>
        <w:rPr>
          <w:rFonts w:ascii="Times New Roman" w:hAnsi="Times New Roman" w:eastAsia="Times New Roman" w:cs="Times New Roman"/>
          <w:sz w:val="21"/>
          <w:szCs w:val="21"/>
        </w:rPr>
        <w:t>Berkson</w:t>
      </w:r>
      <w:r>
        <w:rPr>
          <w:rFonts w:ascii="Times New Roman" w:hAnsi="Times New Roman" w:eastAsia="Times New Roman" w:cs="Times New Roman"/>
          <w:spacing w:val="4"/>
          <w:sz w:val="21"/>
          <w:szCs w:val="21"/>
        </w:rPr>
        <w:t>'</w:t>
      </w:r>
      <w:r>
        <w:rPr>
          <w:rFonts w:ascii="Times New Roman" w:hAnsi="Times New Roman" w:eastAsia="Times New Roman" w:cs="Times New Roman"/>
          <w:sz w:val="21"/>
          <w:szCs w:val="21"/>
        </w:rPr>
        <w:t>s</w:t>
      </w:r>
      <w:r>
        <w:rPr>
          <w:rFonts w:ascii="Times New Roman" w:hAnsi="Times New Roman" w:eastAsia="Times New Roman" w:cs="Times New Roman"/>
          <w:spacing w:val="4"/>
          <w:sz w:val="21"/>
          <w:szCs w:val="21"/>
        </w:rPr>
        <w:t xml:space="preserve">     </w:t>
      </w:r>
      <w:r>
        <w:rPr>
          <w:rFonts w:ascii="Times New Roman" w:hAnsi="Times New Roman" w:eastAsia="Times New Roman" w:cs="Times New Roman"/>
          <w:sz w:val="21"/>
          <w:szCs w:val="21"/>
        </w:rPr>
        <w:t>bias</w:t>
      </w:r>
      <w:r>
        <w:rPr>
          <w:rFonts w:ascii="Times New Roman" w:hAnsi="Times New Roman" w:eastAsia="Times New Roman" w:cs="Times New Roman"/>
          <w:spacing w:val="4"/>
          <w:sz w:val="21"/>
          <w:szCs w:val="21"/>
        </w:rPr>
        <w:t>),</w:t>
      </w:r>
      <w:r>
        <w:rPr>
          <w:rFonts w:ascii="宋体" w:hAnsi="宋体" w:eastAsia="宋体" w:cs="宋体"/>
          <w:spacing w:val="4"/>
          <w:sz w:val="21"/>
          <w:szCs w:val="21"/>
        </w:rPr>
        <w:t>在以医院为</w:t>
      </w:r>
      <w:r>
        <w:rPr>
          <w:rFonts w:ascii="宋体" w:hAnsi="宋体" w:eastAsia="宋体" w:cs="宋体"/>
          <w:spacing w:val="3"/>
          <w:sz w:val="21"/>
          <w:szCs w:val="21"/>
        </w:rPr>
        <w:t>基础的病例对照</w:t>
      </w:r>
      <w:r>
        <w:rPr>
          <w:rFonts w:ascii="宋体" w:hAnsi="宋体" w:eastAsia="宋体" w:cs="宋体"/>
          <w:sz w:val="21"/>
          <w:szCs w:val="21"/>
        </w:rPr>
        <w:t xml:space="preserve"> </w:t>
      </w:r>
      <w:r>
        <w:rPr>
          <w:rFonts w:ascii="宋体" w:hAnsi="宋体" w:eastAsia="宋体" w:cs="宋体"/>
          <w:spacing w:val="6"/>
          <w:sz w:val="21"/>
          <w:szCs w:val="21"/>
        </w:rPr>
        <w:t>研究中常发生这种偏倚，即当选择医院病人作为病例和对照时，病例只是该医院或某些医院的特</w:t>
      </w:r>
      <w:r>
        <w:rPr>
          <w:rFonts w:ascii="宋体" w:hAnsi="宋体" w:eastAsia="宋体" w:cs="宋体"/>
          <w:spacing w:val="14"/>
          <w:sz w:val="21"/>
          <w:szCs w:val="21"/>
        </w:rPr>
        <w:t xml:space="preserve"> </w:t>
      </w:r>
      <w:r>
        <w:rPr>
          <w:rFonts w:ascii="宋体" w:hAnsi="宋体" w:eastAsia="宋体" w:cs="宋体"/>
          <w:spacing w:val="6"/>
          <w:sz w:val="21"/>
          <w:szCs w:val="21"/>
        </w:rPr>
        <w:t>定病例而不是全体病人的随机样本，对照是医院的某一部分病人而不是全体目标人群的一个随机</w:t>
      </w:r>
      <w:r>
        <w:rPr>
          <w:rFonts w:ascii="宋体" w:hAnsi="宋体" w:eastAsia="宋体" w:cs="宋体"/>
          <w:spacing w:val="15"/>
          <w:sz w:val="21"/>
          <w:szCs w:val="21"/>
        </w:rPr>
        <w:t xml:space="preserve"> </w:t>
      </w:r>
      <w:r>
        <w:rPr>
          <w:rFonts w:ascii="宋体" w:hAnsi="宋体" w:eastAsia="宋体" w:cs="宋体"/>
          <w:spacing w:val="2"/>
          <w:sz w:val="21"/>
          <w:szCs w:val="21"/>
        </w:rPr>
        <w:t>样本，由于医院的医疗条件、病人的居住地区及社会经济</w:t>
      </w:r>
      <w:r>
        <w:rPr>
          <w:rFonts w:ascii="宋体" w:hAnsi="宋体" w:eastAsia="宋体" w:cs="宋体"/>
          <w:spacing w:val="1"/>
          <w:sz w:val="21"/>
          <w:szCs w:val="21"/>
        </w:rPr>
        <w:t>文化等多方面因素的影响，病人对医院以</w:t>
      </w:r>
      <w:r>
        <w:rPr>
          <w:rFonts w:ascii="宋体" w:hAnsi="宋体" w:eastAsia="宋体" w:cs="宋体"/>
          <w:sz w:val="21"/>
          <w:szCs w:val="21"/>
        </w:rPr>
        <w:t xml:space="preserve"> </w:t>
      </w:r>
      <w:r>
        <w:rPr>
          <w:rFonts w:ascii="宋体" w:hAnsi="宋体" w:eastAsia="宋体" w:cs="宋体"/>
          <w:spacing w:val="6"/>
          <w:sz w:val="21"/>
          <w:szCs w:val="21"/>
        </w:rPr>
        <w:t>及医院对病人都有一定的选择性，特别是因为各种疾病的人院率不同可导致病例组与对照组在某</w:t>
      </w:r>
      <w:r>
        <w:rPr>
          <w:rFonts w:ascii="宋体" w:hAnsi="宋体" w:eastAsia="宋体" w:cs="宋体"/>
          <w:spacing w:val="17"/>
          <w:sz w:val="21"/>
          <w:szCs w:val="21"/>
        </w:rPr>
        <w:t xml:space="preserve"> </w:t>
      </w:r>
      <w:r>
        <w:rPr>
          <w:rFonts w:ascii="宋体" w:hAnsi="宋体" w:eastAsia="宋体" w:cs="宋体"/>
          <w:spacing w:val="2"/>
          <w:sz w:val="21"/>
          <w:szCs w:val="21"/>
        </w:rPr>
        <w:t>些特征上的系统误差。因此，尽可能在社区人群中选择病</w:t>
      </w:r>
      <w:r>
        <w:rPr>
          <w:rFonts w:ascii="宋体" w:hAnsi="宋体" w:eastAsia="宋体" w:cs="宋体"/>
          <w:spacing w:val="1"/>
          <w:sz w:val="21"/>
          <w:szCs w:val="21"/>
        </w:rPr>
        <w:t>例和对照，保证较好的代表性。如进行以</w:t>
      </w:r>
      <w:r>
        <w:rPr>
          <w:rFonts w:ascii="宋体" w:hAnsi="宋体" w:eastAsia="宋体" w:cs="宋体"/>
          <w:sz w:val="21"/>
          <w:szCs w:val="21"/>
        </w:rPr>
        <w:t xml:space="preserve"> </w:t>
      </w:r>
      <w:r>
        <w:rPr>
          <w:rFonts w:ascii="宋体" w:hAnsi="宋体" w:eastAsia="宋体" w:cs="宋体"/>
          <w:spacing w:val="6"/>
          <w:sz w:val="21"/>
          <w:szCs w:val="21"/>
        </w:rPr>
        <w:t>医院为基础的病例对照研究，最好能在多个不同级别、不同种类的医院选择一定期间内连续观察</w:t>
      </w:r>
      <w:r>
        <w:rPr>
          <w:rFonts w:ascii="宋体" w:hAnsi="宋体" w:eastAsia="宋体" w:cs="宋体"/>
          <w:spacing w:val="17"/>
          <w:sz w:val="21"/>
          <w:szCs w:val="21"/>
        </w:rPr>
        <w:t xml:space="preserve"> </w:t>
      </w:r>
      <w:r>
        <w:rPr>
          <w:rFonts w:ascii="宋体" w:hAnsi="宋体" w:eastAsia="宋体" w:cs="宋体"/>
          <w:spacing w:val="6"/>
          <w:sz w:val="21"/>
          <w:szCs w:val="21"/>
        </w:rPr>
        <w:t>的某种疾病的全部病例或其随机样本，在与病例相同的多个医院的多个科室、多病种的病人中选</w:t>
      </w:r>
      <w:r>
        <w:rPr>
          <w:rFonts w:ascii="宋体" w:hAnsi="宋体" w:eastAsia="宋体" w:cs="宋体"/>
          <w:spacing w:val="15"/>
          <w:sz w:val="21"/>
          <w:szCs w:val="21"/>
        </w:rPr>
        <w:t xml:space="preserve"> </w:t>
      </w:r>
      <w:r>
        <w:rPr>
          <w:rFonts w:ascii="宋体" w:hAnsi="宋体" w:eastAsia="宋体" w:cs="宋体"/>
          <w:spacing w:val="1"/>
          <w:sz w:val="21"/>
          <w:szCs w:val="21"/>
        </w:rPr>
        <w:t>择对照，因已知与所研究的暴露因素有关的病种而就诊的病人不宜作为对照，以避免或减少人院率</w:t>
      </w:r>
      <w:r>
        <w:rPr>
          <w:rFonts w:ascii="宋体" w:hAnsi="宋体" w:eastAsia="宋体" w:cs="宋体"/>
          <w:spacing w:val="15"/>
          <w:sz w:val="21"/>
          <w:szCs w:val="21"/>
        </w:rPr>
        <w:t xml:space="preserve"> </w:t>
      </w:r>
      <w:r>
        <w:rPr>
          <w:rFonts w:ascii="宋体" w:hAnsi="宋体" w:eastAsia="宋体" w:cs="宋体"/>
          <w:spacing w:val="11"/>
          <w:sz w:val="21"/>
          <w:szCs w:val="21"/>
        </w:rPr>
        <w:t>偏倚。</w:t>
      </w:r>
    </w:p>
    <w:p w14:paraId="63FB8955">
      <w:pPr>
        <w:pStyle w:val="2"/>
        <w:spacing w:before="78" w:line="221" w:lineRule="auto"/>
        <w:ind w:left="443"/>
        <w:rPr>
          <w:sz w:val="24"/>
          <w:szCs w:val="24"/>
        </w:rPr>
      </w:pPr>
      <w:r>
        <w:rPr>
          <w:b/>
          <w:bCs/>
          <w:spacing w:val="-7"/>
          <w:sz w:val="24"/>
          <w:szCs w:val="24"/>
        </w:rPr>
        <w:t>(二)现患病例-新发病例偏倚</w:t>
      </w:r>
    </w:p>
    <w:p w14:paraId="5635D997">
      <w:pPr>
        <w:spacing w:before="65" w:line="322" w:lineRule="auto"/>
        <w:ind w:right="664" w:firstLine="439"/>
        <w:jc w:val="both"/>
        <w:rPr>
          <w:rFonts w:ascii="宋体" w:hAnsi="宋体" w:eastAsia="宋体" w:cs="宋体"/>
          <w:sz w:val="21"/>
          <w:szCs w:val="21"/>
        </w:rPr>
      </w:pPr>
      <w:r>
        <w:rPr>
          <w:rFonts w:ascii="宋体" w:hAnsi="宋体" w:eastAsia="宋体" w:cs="宋体"/>
          <w:spacing w:val="6"/>
          <w:sz w:val="21"/>
          <w:szCs w:val="21"/>
        </w:rPr>
        <w:t>现患病例-新发病例偏倚</w:t>
      </w:r>
      <w:r>
        <w:rPr>
          <w:rFonts w:ascii="Times New Roman" w:hAnsi="Times New Roman" w:eastAsia="Times New Roman" w:cs="Times New Roman"/>
          <w:spacing w:val="6"/>
          <w:sz w:val="21"/>
          <w:szCs w:val="21"/>
        </w:rPr>
        <w:t>(</w:t>
      </w:r>
      <w:r>
        <w:rPr>
          <w:rFonts w:ascii="Times New Roman" w:hAnsi="Times New Roman" w:eastAsia="Times New Roman" w:cs="Times New Roman"/>
          <w:sz w:val="21"/>
          <w:szCs w:val="21"/>
        </w:rPr>
        <w:t>prevalence</w:t>
      </w:r>
      <w:r>
        <w:rPr>
          <w:rFonts w:ascii="Times New Roman" w:hAnsi="Times New Roman" w:eastAsia="Times New Roman" w:cs="Times New Roman"/>
          <w:spacing w:val="6"/>
          <w:sz w:val="21"/>
          <w:szCs w:val="21"/>
        </w:rPr>
        <w:t>-</w:t>
      </w:r>
      <w:r>
        <w:rPr>
          <w:rFonts w:ascii="Times New Roman" w:hAnsi="Times New Roman" w:eastAsia="Times New Roman" w:cs="Times New Roman"/>
          <w:sz w:val="21"/>
          <w:szCs w:val="21"/>
        </w:rPr>
        <w:t>incidence</w:t>
      </w:r>
      <w:r>
        <w:rPr>
          <w:rFonts w:ascii="Times New Roman" w:hAnsi="Times New Roman" w:eastAsia="Times New Roman" w:cs="Times New Roman"/>
          <w:spacing w:val="6"/>
          <w:sz w:val="21"/>
          <w:szCs w:val="21"/>
        </w:rPr>
        <w:t xml:space="preserve">    </w:t>
      </w:r>
      <w:r>
        <w:rPr>
          <w:rFonts w:ascii="Times New Roman" w:hAnsi="Times New Roman" w:eastAsia="Times New Roman" w:cs="Times New Roman"/>
          <w:sz w:val="21"/>
          <w:szCs w:val="21"/>
        </w:rPr>
        <w:t>bias</w:t>
      </w:r>
      <w:r>
        <w:rPr>
          <w:rFonts w:ascii="Times New Roman" w:hAnsi="Times New Roman" w:eastAsia="Times New Roman" w:cs="Times New Roman"/>
          <w:spacing w:val="6"/>
          <w:sz w:val="21"/>
          <w:szCs w:val="21"/>
        </w:rPr>
        <w:t>)</w:t>
      </w:r>
      <w:r>
        <w:rPr>
          <w:rFonts w:ascii="宋体" w:hAnsi="宋体" w:eastAsia="宋体" w:cs="宋体"/>
          <w:spacing w:val="6"/>
          <w:sz w:val="21"/>
          <w:szCs w:val="21"/>
        </w:rPr>
        <w:t>也称奈曼偏倚</w:t>
      </w:r>
      <w:r>
        <w:rPr>
          <w:rFonts w:ascii="Times New Roman" w:hAnsi="Times New Roman" w:eastAsia="Times New Roman" w:cs="Times New Roman"/>
          <w:spacing w:val="6"/>
          <w:sz w:val="21"/>
          <w:szCs w:val="21"/>
        </w:rPr>
        <w:t>(</w:t>
      </w:r>
      <w:r>
        <w:rPr>
          <w:rFonts w:ascii="Times New Roman" w:hAnsi="Times New Roman" w:eastAsia="Times New Roman" w:cs="Times New Roman"/>
          <w:sz w:val="21"/>
          <w:szCs w:val="21"/>
        </w:rPr>
        <w:t>Neyman</w:t>
      </w:r>
      <w:r>
        <w:rPr>
          <w:rFonts w:ascii="Times New Roman" w:hAnsi="Times New Roman" w:eastAsia="Times New Roman" w:cs="Times New Roman"/>
          <w:spacing w:val="6"/>
          <w:sz w:val="21"/>
          <w:szCs w:val="21"/>
        </w:rPr>
        <w:t xml:space="preserve">    </w:t>
      </w:r>
      <w:r>
        <w:rPr>
          <w:rFonts w:ascii="Times New Roman" w:hAnsi="Times New Roman" w:eastAsia="Times New Roman" w:cs="Times New Roman"/>
          <w:sz w:val="21"/>
          <w:szCs w:val="21"/>
        </w:rPr>
        <w:t>bias</w:t>
      </w:r>
      <w:r>
        <w:rPr>
          <w:rFonts w:ascii="Times New Roman" w:hAnsi="Times New Roman" w:eastAsia="Times New Roman" w:cs="Times New Roman"/>
          <w:spacing w:val="6"/>
          <w:sz w:val="21"/>
          <w:szCs w:val="21"/>
        </w:rPr>
        <w:t>)</w:t>
      </w:r>
      <w:r>
        <w:rPr>
          <w:rFonts w:ascii="Times New Roman" w:hAnsi="Times New Roman" w:eastAsia="Times New Roman" w:cs="Times New Roman"/>
          <w:spacing w:val="5"/>
          <w:sz w:val="21"/>
          <w:szCs w:val="21"/>
        </w:rPr>
        <w:t>,</w:t>
      </w:r>
      <w:r>
        <w:rPr>
          <w:rFonts w:ascii="宋体" w:hAnsi="宋体" w:eastAsia="宋体" w:cs="宋体"/>
          <w:spacing w:val="5"/>
          <w:sz w:val="21"/>
          <w:szCs w:val="21"/>
        </w:rPr>
        <w:t>即如果调查</w:t>
      </w:r>
      <w:r>
        <w:rPr>
          <w:rFonts w:ascii="宋体" w:hAnsi="宋体" w:eastAsia="宋体" w:cs="宋体"/>
          <w:sz w:val="21"/>
          <w:szCs w:val="21"/>
        </w:rPr>
        <w:t xml:space="preserve"> </w:t>
      </w:r>
      <w:r>
        <w:rPr>
          <w:rFonts w:ascii="宋体" w:hAnsi="宋体" w:eastAsia="宋体" w:cs="宋体"/>
          <w:spacing w:val="1"/>
          <w:sz w:val="21"/>
          <w:szCs w:val="21"/>
        </w:rPr>
        <w:t>对象选自现患病例，即存活病例，特别是病程较长的现患病例，得到的一些暴露信息可能只与存活</w:t>
      </w:r>
      <w:r>
        <w:rPr>
          <w:rFonts w:ascii="宋体" w:hAnsi="宋体" w:eastAsia="宋体" w:cs="宋体"/>
          <w:spacing w:val="14"/>
          <w:sz w:val="21"/>
          <w:szCs w:val="21"/>
        </w:rPr>
        <w:t xml:space="preserve"> </w:t>
      </w:r>
      <w:r>
        <w:rPr>
          <w:rFonts w:ascii="宋体" w:hAnsi="宋体" w:eastAsia="宋体" w:cs="宋体"/>
          <w:spacing w:val="1"/>
          <w:sz w:val="21"/>
          <w:szCs w:val="21"/>
        </w:rPr>
        <w:t>有关，而未必与该病的发病有关，从而错误地估计这些因素的病因作用；另一种情况是，某病的幸</w:t>
      </w:r>
      <w:r>
        <w:rPr>
          <w:rFonts w:ascii="宋体" w:hAnsi="宋体" w:eastAsia="宋体" w:cs="宋体"/>
          <w:spacing w:val="15"/>
          <w:sz w:val="21"/>
          <w:szCs w:val="21"/>
        </w:rPr>
        <w:t xml:space="preserve"> </w:t>
      </w:r>
      <w:r>
        <w:rPr>
          <w:rFonts w:ascii="宋体" w:hAnsi="宋体" w:eastAsia="宋体" w:cs="宋体"/>
          <w:spacing w:val="9"/>
          <w:sz w:val="21"/>
          <w:szCs w:val="21"/>
        </w:rPr>
        <w:t>存者由于疾病而改变了原有的一些暴露特征(如生活习惯),当他们被调查时容易误将这些改变了</w:t>
      </w:r>
      <w:r>
        <w:rPr>
          <w:rFonts w:ascii="宋体" w:hAnsi="宋体" w:eastAsia="宋体" w:cs="宋体"/>
          <w:spacing w:val="4"/>
          <w:sz w:val="21"/>
          <w:szCs w:val="21"/>
        </w:rPr>
        <w:t xml:space="preserve"> </w:t>
      </w:r>
      <w:r>
        <w:rPr>
          <w:rFonts w:ascii="宋体" w:hAnsi="宋体" w:eastAsia="宋体" w:cs="宋体"/>
          <w:spacing w:val="1"/>
          <w:sz w:val="21"/>
          <w:szCs w:val="21"/>
        </w:rPr>
        <w:t>的暴露特征当作疾病前的状况，从而导致这些因素与疾病的关联误差。因此，选择新发病例作为研</w:t>
      </w:r>
      <w:r>
        <w:rPr>
          <w:rFonts w:ascii="宋体" w:hAnsi="宋体" w:eastAsia="宋体" w:cs="宋体"/>
          <w:spacing w:val="14"/>
          <w:sz w:val="21"/>
          <w:szCs w:val="21"/>
        </w:rPr>
        <w:t xml:space="preserve"> </w:t>
      </w:r>
      <w:r>
        <w:rPr>
          <w:rFonts w:ascii="宋体" w:hAnsi="宋体" w:eastAsia="宋体" w:cs="宋体"/>
          <w:spacing w:val="3"/>
          <w:sz w:val="21"/>
          <w:szCs w:val="21"/>
        </w:rPr>
        <w:t>究对象可避免或减少此类偏倚。</w:t>
      </w:r>
    </w:p>
    <w:p w14:paraId="70CD4F36">
      <w:pPr>
        <w:pStyle w:val="2"/>
        <w:spacing w:before="1" w:line="220" w:lineRule="auto"/>
        <w:ind w:left="443"/>
        <w:rPr>
          <w:sz w:val="24"/>
          <w:szCs w:val="24"/>
        </w:rPr>
      </w:pPr>
      <w:r>
        <w:rPr>
          <w:b/>
          <w:bCs/>
          <w:spacing w:val="-5"/>
          <w:sz w:val="24"/>
          <w:szCs w:val="24"/>
        </w:rPr>
        <w:t>(三)检出症候偏倚</w:t>
      </w:r>
    </w:p>
    <w:p w14:paraId="2B2455B6">
      <w:pPr>
        <w:spacing w:before="119" w:line="317" w:lineRule="auto"/>
        <w:ind w:right="654" w:firstLine="439"/>
        <w:jc w:val="both"/>
        <w:rPr>
          <w:rFonts w:ascii="宋体" w:hAnsi="宋体" w:eastAsia="宋体" w:cs="宋体"/>
          <w:sz w:val="21"/>
          <w:szCs w:val="21"/>
        </w:rPr>
      </w:pPr>
      <w:r>
        <w:rPr>
          <w:rFonts w:ascii="宋体" w:hAnsi="宋体" w:eastAsia="宋体" w:cs="宋体"/>
          <w:spacing w:val="7"/>
          <w:sz w:val="21"/>
          <w:szCs w:val="21"/>
        </w:rPr>
        <w:t>某因素虽然不是所研究疾病的病因，但有该因素的个体容易</w:t>
      </w:r>
      <w:r>
        <w:rPr>
          <w:rFonts w:ascii="宋体" w:hAnsi="宋体" w:eastAsia="宋体" w:cs="宋体"/>
          <w:spacing w:val="6"/>
          <w:sz w:val="21"/>
          <w:szCs w:val="21"/>
        </w:rPr>
        <w:t>出现某些症状或体征，并常因此</w:t>
      </w:r>
      <w:r>
        <w:rPr>
          <w:rFonts w:ascii="宋体" w:hAnsi="宋体" w:eastAsia="宋体" w:cs="宋体"/>
          <w:sz w:val="21"/>
          <w:szCs w:val="21"/>
        </w:rPr>
        <w:t xml:space="preserve"> </w:t>
      </w:r>
      <w:r>
        <w:rPr>
          <w:rFonts w:ascii="宋体" w:hAnsi="宋体" w:eastAsia="宋体" w:cs="宋体"/>
          <w:spacing w:val="12"/>
          <w:sz w:val="21"/>
          <w:szCs w:val="21"/>
        </w:rPr>
        <w:t>而就医，从而提高了所研究疾病早期病例的检出率。如果病例对照研究中病例</w:t>
      </w:r>
      <w:r>
        <w:rPr>
          <w:rFonts w:ascii="宋体" w:hAnsi="宋体" w:eastAsia="宋体" w:cs="宋体"/>
          <w:spacing w:val="11"/>
          <w:sz w:val="21"/>
          <w:szCs w:val="21"/>
        </w:rPr>
        <w:t>组包括了较多的</w:t>
      </w:r>
      <w:r>
        <w:rPr>
          <w:rFonts w:ascii="宋体" w:hAnsi="宋体" w:eastAsia="宋体" w:cs="宋体"/>
          <w:sz w:val="21"/>
          <w:szCs w:val="21"/>
        </w:rPr>
        <w:t xml:space="preserve"> </w:t>
      </w:r>
      <w:r>
        <w:rPr>
          <w:rFonts w:ascii="宋体" w:hAnsi="宋体" w:eastAsia="宋体" w:cs="宋体"/>
          <w:spacing w:val="6"/>
          <w:sz w:val="21"/>
          <w:szCs w:val="21"/>
        </w:rPr>
        <w:t>这种早期病例，致使过高地估计了病例组的暴露程度，由此而产生的系统误差即为检出症候偏倚</w:t>
      </w:r>
      <w:r>
        <w:rPr>
          <w:rFonts w:ascii="宋体" w:hAnsi="宋体" w:eastAsia="宋体" w:cs="宋体"/>
          <w:spacing w:val="17"/>
          <w:sz w:val="21"/>
          <w:szCs w:val="21"/>
        </w:rPr>
        <w:t xml:space="preserve"> </w:t>
      </w:r>
      <w:r>
        <w:rPr>
          <w:rFonts w:ascii="宋体" w:hAnsi="宋体" w:eastAsia="宋体" w:cs="宋体"/>
          <w:spacing w:val="-11"/>
          <w:sz w:val="21"/>
          <w:szCs w:val="21"/>
        </w:rPr>
        <w:t>(detection signal bias)。因此，在医院中收集病例时，最好包括不同来源的早</w:t>
      </w:r>
      <w:r>
        <w:rPr>
          <w:rFonts w:ascii="宋体" w:hAnsi="宋体" w:eastAsia="宋体" w:cs="宋体"/>
          <w:spacing w:val="-12"/>
          <w:sz w:val="21"/>
          <w:szCs w:val="21"/>
        </w:rPr>
        <w:t>、中、晚期病人，以减少</w:t>
      </w:r>
      <w:r>
        <w:rPr>
          <w:rFonts w:ascii="宋体" w:hAnsi="宋体" w:eastAsia="宋体" w:cs="宋体"/>
          <w:sz w:val="21"/>
          <w:szCs w:val="21"/>
        </w:rPr>
        <w:t xml:space="preserve"> </w:t>
      </w:r>
      <w:r>
        <w:rPr>
          <w:rFonts w:ascii="宋体" w:hAnsi="宋体" w:eastAsia="宋体" w:cs="宋体"/>
          <w:spacing w:val="9"/>
          <w:sz w:val="21"/>
          <w:szCs w:val="21"/>
        </w:rPr>
        <w:t>这种偏倚。</w:t>
      </w:r>
    </w:p>
    <w:p w14:paraId="2EE8797A">
      <w:pPr>
        <w:pStyle w:val="2"/>
        <w:spacing w:before="203" w:line="222" w:lineRule="auto"/>
        <w:ind w:left="443"/>
        <w:outlineLvl w:val="2"/>
        <w:rPr>
          <w:sz w:val="24"/>
          <w:szCs w:val="24"/>
        </w:rPr>
      </w:pPr>
      <w:bookmarkStart w:id="152" w:name="bookmark95"/>
      <w:bookmarkEnd w:id="152"/>
      <w:r>
        <w:rPr>
          <w:b/>
          <w:bCs/>
          <w:spacing w:val="-1"/>
          <w:sz w:val="24"/>
          <w:szCs w:val="24"/>
        </w:rPr>
        <w:t>二</w:t>
      </w:r>
      <w:r>
        <w:rPr>
          <w:spacing w:val="-29"/>
          <w:sz w:val="24"/>
          <w:szCs w:val="24"/>
        </w:rPr>
        <w:t xml:space="preserve"> </w:t>
      </w:r>
      <w:r>
        <w:rPr>
          <w:b/>
          <w:bCs/>
          <w:spacing w:val="-1"/>
          <w:sz w:val="24"/>
          <w:szCs w:val="24"/>
        </w:rPr>
        <w:t>、信息偏倚</w:t>
      </w:r>
    </w:p>
    <w:p w14:paraId="6625235D">
      <w:pPr>
        <w:spacing w:before="264" w:line="311" w:lineRule="auto"/>
        <w:ind w:right="676" w:firstLine="439"/>
        <w:rPr>
          <w:rFonts w:ascii="宋体" w:hAnsi="宋体" w:eastAsia="宋体" w:cs="宋体"/>
          <w:sz w:val="21"/>
          <w:szCs w:val="21"/>
        </w:rPr>
      </w:pPr>
      <w:r>
        <w:rPr>
          <w:rFonts w:ascii="宋体" w:hAnsi="宋体" w:eastAsia="宋体" w:cs="宋体"/>
          <w:spacing w:val="6"/>
          <w:sz w:val="21"/>
          <w:szCs w:val="21"/>
        </w:rPr>
        <w:t>信息偏倚又称观察偏倚或测量偏倚，是在收集整理信息过程中测量暴露与结局的方法有缺陷</w:t>
      </w:r>
      <w:r>
        <w:rPr>
          <w:rFonts w:ascii="宋体" w:hAnsi="宋体" w:eastAsia="宋体" w:cs="宋体"/>
          <w:spacing w:val="15"/>
          <w:sz w:val="21"/>
          <w:szCs w:val="21"/>
        </w:rPr>
        <w:t xml:space="preserve"> </w:t>
      </w:r>
      <w:r>
        <w:rPr>
          <w:rFonts w:ascii="宋体" w:hAnsi="宋体" w:eastAsia="宋体" w:cs="宋体"/>
          <w:spacing w:val="1"/>
          <w:sz w:val="21"/>
          <w:szCs w:val="21"/>
        </w:rPr>
        <w:t>所造成的系统误差。在病例对照研究中常见的信息偏</w:t>
      </w:r>
      <w:r>
        <w:rPr>
          <w:rFonts w:ascii="宋体" w:hAnsi="宋体" w:eastAsia="宋体" w:cs="宋体"/>
          <w:sz w:val="21"/>
          <w:szCs w:val="21"/>
        </w:rPr>
        <w:t>倚包括回忆偏倚、调查偏倚等。</w:t>
      </w:r>
    </w:p>
    <w:p w14:paraId="6A339507">
      <w:pPr>
        <w:pStyle w:val="2"/>
        <w:spacing w:line="222" w:lineRule="auto"/>
        <w:ind w:left="443"/>
        <w:rPr>
          <w:sz w:val="24"/>
          <w:szCs w:val="24"/>
        </w:rPr>
      </w:pPr>
      <w:r>
        <w:rPr>
          <w:b/>
          <w:bCs/>
          <w:sz w:val="24"/>
          <w:szCs w:val="24"/>
        </w:rPr>
        <w:t>(一)回忆偏倚</w:t>
      </w:r>
    </w:p>
    <w:p w14:paraId="054BD750">
      <w:pPr>
        <w:spacing w:before="88" w:line="321" w:lineRule="auto"/>
        <w:ind w:right="674" w:firstLine="439"/>
        <w:jc w:val="both"/>
        <w:rPr>
          <w:rFonts w:ascii="宋体" w:hAnsi="宋体" w:eastAsia="宋体" w:cs="宋体"/>
          <w:sz w:val="21"/>
          <w:szCs w:val="21"/>
        </w:rPr>
      </w:pPr>
      <w:r>
        <w:rPr>
          <w:rFonts w:ascii="宋体" w:hAnsi="宋体" w:eastAsia="宋体" w:cs="宋体"/>
          <w:spacing w:val="4"/>
          <w:sz w:val="21"/>
          <w:szCs w:val="21"/>
        </w:rPr>
        <w:t>回忆偏倚</w:t>
      </w:r>
      <w:r>
        <w:rPr>
          <w:rFonts w:ascii="Times New Roman" w:hAnsi="Times New Roman" w:eastAsia="Times New Roman" w:cs="Times New Roman"/>
          <w:spacing w:val="4"/>
          <w:sz w:val="21"/>
          <w:szCs w:val="21"/>
        </w:rPr>
        <w:t>(</w:t>
      </w:r>
      <w:r>
        <w:rPr>
          <w:rFonts w:ascii="Times New Roman" w:hAnsi="Times New Roman" w:eastAsia="Times New Roman" w:cs="Times New Roman"/>
          <w:sz w:val="21"/>
          <w:szCs w:val="21"/>
        </w:rPr>
        <w:t>recall</w:t>
      </w:r>
      <w:r>
        <w:rPr>
          <w:rFonts w:ascii="Times New Roman" w:hAnsi="Times New Roman" w:eastAsia="Times New Roman" w:cs="Times New Roman"/>
          <w:spacing w:val="16"/>
          <w:w w:val="101"/>
          <w:sz w:val="21"/>
          <w:szCs w:val="21"/>
        </w:rPr>
        <w:t xml:space="preserve">   </w:t>
      </w:r>
      <w:r>
        <w:rPr>
          <w:rFonts w:ascii="Times New Roman" w:hAnsi="Times New Roman" w:eastAsia="Times New Roman" w:cs="Times New Roman"/>
          <w:sz w:val="21"/>
          <w:szCs w:val="21"/>
        </w:rPr>
        <w:t>bias</w:t>
      </w:r>
      <w:r>
        <w:rPr>
          <w:rFonts w:ascii="Times New Roman" w:hAnsi="Times New Roman" w:eastAsia="Times New Roman" w:cs="Times New Roman"/>
          <w:spacing w:val="4"/>
          <w:sz w:val="21"/>
          <w:szCs w:val="21"/>
        </w:rPr>
        <w:t>)</w:t>
      </w:r>
      <w:r>
        <w:rPr>
          <w:rFonts w:ascii="宋体" w:hAnsi="宋体" w:eastAsia="宋体" w:cs="宋体"/>
          <w:spacing w:val="4"/>
          <w:sz w:val="21"/>
          <w:szCs w:val="21"/>
        </w:rPr>
        <w:t>是由研究对象对暴露史或既往史回忆的准确性和完整性存在系统误差而</w:t>
      </w:r>
      <w:r>
        <w:rPr>
          <w:rFonts w:ascii="宋体" w:hAnsi="宋体" w:eastAsia="宋体" w:cs="宋体"/>
          <w:sz w:val="21"/>
          <w:szCs w:val="21"/>
        </w:rPr>
        <w:t xml:space="preserve"> </w:t>
      </w:r>
      <w:r>
        <w:rPr>
          <w:rFonts w:ascii="宋体" w:hAnsi="宋体" w:eastAsia="宋体" w:cs="宋体"/>
          <w:spacing w:val="7"/>
          <w:sz w:val="21"/>
          <w:szCs w:val="21"/>
        </w:rPr>
        <w:t>引起的偏倚。由于病例对照研究主要是调查研究对象既</w:t>
      </w:r>
      <w:r>
        <w:rPr>
          <w:rFonts w:ascii="宋体" w:hAnsi="宋体" w:eastAsia="宋体" w:cs="宋体"/>
          <w:spacing w:val="6"/>
          <w:sz w:val="21"/>
          <w:szCs w:val="21"/>
        </w:rPr>
        <w:t>往的暴露情况，因此回忆偏倚是病例对照</w:t>
      </w:r>
      <w:r>
        <w:rPr>
          <w:rFonts w:ascii="宋体" w:hAnsi="宋体" w:eastAsia="宋体" w:cs="宋体"/>
          <w:sz w:val="21"/>
          <w:szCs w:val="21"/>
        </w:rPr>
        <w:t xml:space="preserve"> </w:t>
      </w:r>
      <w:r>
        <w:rPr>
          <w:rFonts w:ascii="宋体" w:hAnsi="宋体" w:eastAsia="宋体" w:cs="宋体"/>
          <w:spacing w:val="6"/>
          <w:sz w:val="21"/>
          <w:szCs w:val="21"/>
        </w:rPr>
        <w:t>研究中最常见的信息偏倚。回忆偏倚的产生与调查时间和事件发生时间的间隔长短、事件的重要</w:t>
      </w:r>
      <w:r>
        <w:rPr>
          <w:rFonts w:ascii="宋体" w:hAnsi="宋体" w:eastAsia="宋体" w:cs="宋体"/>
          <w:spacing w:val="17"/>
          <w:sz w:val="21"/>
          <w:szCs w:val="21"/>
        </w:rPr>
        <w:t xml:space="preserve"> </w:t>
      </w:r>
      <w:r>
        <w:rPr>
          <w:rFonts w:ascii="宋体" w:hAnsi="宋体" w:eastAsia="宋体" w:cs="宋体"/>
          <w:spacing w:val="1"/>
          <w:sz w:val="21"/>
          <w:szCs w:val="21"/>
        </w:rPr>
        <w:t>性、被调查者的构成以及询问技术有关。充分利用客观记录资料</w:t>
      </w:r>
      <w:r>
        <w:rPr>
          <w:rFonts w:ascii="宋体" w:hAnsi="宋体" w:eastAsia="宋体" w:cs="宋体"/>
          <w:sz w:val="21"/>
          <w:szCs w:val="21"/>
        </w:rPr>
        <w:t xml:space="preserve">，问卷调查时重视提问方式，适当 </w:t>
      </w:r>
      <w:r>
        <w:rPr>
          <w:rFonts w:ascii="宋体" w:hAnsi="宋体" w:eastAsia="宋体" w:cs="宋体"/>
          <w:spacing w:val="1"/>
          <w:sz w:val="21"/>
          <w:szCs w:val="21"/>
        </w:rPr>
        <w:t>采用一些调查技巧，如选择一个与暴露史有联系</w:t>
      </w:r>
      <w:r>
        <w:rPr>
          <w:rFonts w:ascii="宋体" w:hAnsi="宋体" w:eastAsia="宋体" w:cs="宋体"/>
          <w:sz w:val="21"/>
          <w:szCs w:val="21"/>
        </w:rPr>
        <w:t xml:space="preserve">的、不易被人们所忘记的重要指标进行调查来帮助 </w:t>
      </w:r>
      <w:r>
        <w:rPr>
          <w:rFonts w:ascii="宋体" w:hAnsi="宋体" w:eastAsia="宋体" w:cs="宋体"/>
          <w:spacing w:val="1"/>
          <w:sz w:val="21"/>
          <w:szCs w:val="21"/>
        </w:rPr>
        <w:t>研究对象联想回忆，有助于减少回忆偏倚。选择新发病例作为调查对象也可减少回忆偏倚的发生。</w:t>
      </w:r>
    </w:p>
    <w:p w14:paraId="368C2A81">
      <w:pPr>
        <w:pStyle w:val="2"/>
        <w:spacing w:before="22" w:line="222" w:lineRule="auto"/>
        <w:ind w:left="442"/>
        <w:rPr>
          <w:sz w:val="21"/>
          <w:szCs w:val="21"/>
        </w:rPr>
      </w:pPr>
      <w:r>
        <w:rPr>
          <w:b/>
          <w:bCs/>
          <w:spacing w:val="26"/>
          <w:sz w:val="21"/>
          <w:szCs w:val="21"/>
        </w:rPr>
        <w:t>(二)调查偏倚</w:t>
      </w:r>
    </w:p>
    <w:p w14:paraId="048BF9D4">
      <w:pPr>
        <w:spacing w:before="116" w:line="212" w:lineRule="auto"/>
        <w:ind w:left="439"/>
        <w:rPr>
          <w:rFonts w:ascii="宋体" w:hAnsi="宋体" w:eastAsia="宋体" w:cs="宋体"/>
          <w:sz w:val="21"/>
          <w:szCs w:val="21"/>
        </w:rPr>
      </w:pPr>
      <w:r>
        <w:rPr>
          <w:rFonts w:ascii="宋体" w:hAnsi="宋体" w:eastAsia="宋体" w:cs="宋体"/>
          <w:spacing w:val="6"/>
          <w:sz w:val="21"/>
          <w:szCs w:val="21"/>
        </w:rPr>
        <w:t>调查偏倚</w:t>
      </w:r>
      <w:r>
        <w:rPr>
          <w:rFonts w:ascii="Times New Roman" w:hAnsi="Times New Roman" w:eastAsia="Times New Roman" w:cs="Times New Roman"/>
          <w:spacing w:val="6"/>
          <w:sz w:val="21"/>
          <w:szCs w:val="21"/>
        </w:rPr>
        <w:t>(</w:t>
      </w:r>
      <w:r>
        <w:rPr>
          <w:rFonts w:ascii="Times New Roman" w:hAnsi="Times New Roman" w:eastAsia="Times New Roman" w:cs="Times New Roman"/>
          <w:sz w:val="21"/>
          <w:szCs w:val="21"/>
        </w:rPr>
        <w:t>investigation</w:t>
      </w:r>
      <w:r>
        <w:rPr>
          <w:rFonts w:ascii="Times New Roman" w:hAnsi="Times New Roman" w:eastAsia="Times New Roman" w:cs="Times New Roman"/>
          <w:spacing w:val="6"/>
          <w:sz w:val="21"/>
          <w:szCs w:val="21"/>
        </w:rPr>
        <w:t xml:space="preserve">   </w:t>
      </w:r>
      <w:r>
        <w:rPr>
          <w:rFonts w:ascii="Times New Roman" w:hAnsi="Times New Roman" w:eastAsia="Times New Roman" w:cs="Times New Roman"/>
          <w:sz w:val="21"/>
          <w:szCs w:val="21"/>
        </w:rPr>
        <w:t>bias</w:t>
      </w:r>
      <w:r>
        <w:rPr>
          <w:rFonts w:ascii="Times New Roman" w:hAnsi="Times New Roman" w:eastAsia="Times New Roman" w:cs="Times New Roman"/>
          <w:spacing w:val="6"/>
          <w:sz w:val="21"/>
          <w:szCs w:val="21"/>
        </w:rPr>
        <w:t>)</w:t>
      </w:r>
      <w:r>
        <w:rPr>
          <w:rFonts w:ascii="宋体" w:hAnsi="宋体" w:eastAsia="宋体" w:cs="宋体"/>
          <w:spacing w:val="6"/>
          <w:sz w:val="21"/>
          <w:szCs w:val="21"/>
        </w:rPr>
        <w:t>可能来自于调查者或调查对象。病例</w:t>
      </w:r>
      <w:r>
        <w:rPr>
          <w:rFonts w:ascii="宋体" w:hAnsi="宋体" w:eastAsia="宋体" w:cs="宋体"/>
          <w:spacing w:val="5"/>
          <w:sz w:val="21"/>
          <w:szCs w:val="21"/>
        </w:rPr>
        <w:t>与对照的调查环境与条件不</w:t>
      </w:r>
    </w:p>
    <w:p w14:paraId="7DACE827">
      <w:pPr>
        <w:spacing w:line="212" w:lineRule="auto"/>
        <w:rPr>
          <w:rFonts w:ascii="宋体" w:hAnsi="宋体" w:eastAsia="宋体" w:cs="宋体"/>
          <w:sz w:val="21"/>
          <w:szCs w:val="21"/>
        </w:rPr>
        <w:sectPr>
          <w:footerReference r:id="rId111" w:type="default"/>
          <w:pgSz w:w="11900" w:h="16820"/>
          <w:pgMar w:top="400" w:right="757" w:bottom="826" w:left="1370" w:header="0" w:footer="637" w:gutter="0"/>
          <w:cols w:space="720" w:num="1"/>
        </w:sectPr>
      </w:pPr>
    </w:p>
    <w:p w14:paraId="6E28C5E4">
      <w:pPr>
        <w:spacing w:line="246" w:lineRule="auto"/>
        <w:rPr>
          <w:rFonts w:ascii="Arial"/>
          <w:sz w:val="21"/>
        </w:rPr>
      </w:pPr>
    </w:p>
    <w:p w14:paraId="40BE217A">
      <w:pPr>
        <w:pStyle w:val="2"/>
        <w:spacing w:before="58" w:line="222" w:lineRule="auto"/>
        <w:ind w:left="609"/>
        <w:rPr>
          <w:sz w:val="18"/>
          <w:szCs w:val="18"/>
        </w:rPr>
      </w:pPr>
      <w:r>
        <w:rPr>
          <w:spacing w:val="-8"/>
          <w:sz w:val="18"/>
          <w:szCs w:val="18"/>
        </w:rPr>
        <w:t>第五章病例对照研究</w:t>
      </w:r>
    </w:p>
    <w:p w14:paraId="304F6BE6">
      <w:pPr>
        <w:spacing w:line="274" w:lineRule="auto"/>
        <w:rPr>
          <w:rFonts w:ascii="Arial"/>
          <w:sz w:val="21"/>
        </w:rPr>
      </w:pPr>
    </w:p>
    <w:p w14:paraId="4BA941C5">
      <w:pPr>
        <w:spacing w:line="275" w:lineRule="auto"/>
        <w:rPr>
          <w:rFonts w:ascii="Arial"/>
          <w:sz w:val="21"/>
        </w:rPr>
      </w:pPr>
    </w:p>
    <w:p w14:paraId="54C0DD21">
      <w:pPr>
        <w:spacing w:before="59" w:line="391" w:lineRule="auto"/>
        <w:ind w:left="609" w:right="95"/>
        <w:jc w:val="both"/>
        <w:rPr>
          <w:rFonts w:ascii="宋体" w:hAnsi="宋体" w:eastAsia="宋体" w:cs="宋体"/>
          <w:sz w:val="18"/>
          <w:szCs w:val="18"/>
        </w:rPr>
      </w:pPr>
      <w:r>
        <w:rPr>
          <w:rFonts w:ascii="宋体" w:hAnsi="宋体" w:eastAsia="宋体" w:cs="宋体"/>
          <w:spacing w:val="10"/>
          <w:sz w:val="18"/>
          <w:szCs w:val="18"/>
        </w:rPr>
        <w:t>同，或者调查者对病例与对照采取不同的询问方式</w:t>
      </w:r>
      <w:r>
        <w:rPr>
          <w:rFonts w:ascii="宋体" w:hAnsi="宋体" w:eastAsia="宋体" w:cs="宋体"/>
          <w:spacing w:val="9"/>
          <w:sz w:val="18"/>
          <w:szCs w:val="18"/>
        </w:rPr>
        <w:t>，或者对暴露测量方法、采用的仪器设备与试剂</w:t>
      </w:r>
      <w:r>
        <w:rPr>
          <w:rFonts w:ascii="宋体" w:hAnsi="宋体" w:eastAsia="宋体" w:cs="宋体"/>
          <w:sz w:val="18"/>
          <w:szCs w:val="18"/>
        </w:rPr>
        <w:t xml:space="preserve">  </w:t>
      </w:r>
      <w:r>
        <w:rPr>
          <w:rFonts w:ascii="宋体" w:hAnsi="宋体" w:eastAsia="宋体" w:cs="宋体"/>
          <w:spacing w:val="14"/>
          <w:sz w:val="18"/>
          <w:szCs w:val="18"/>
        </w:rPr>
        <w:t>不统一或不准确等均可产生调查偏倚。做好调查员的培训，统一对病例和对照的提问方式和调查</w:t>
      </w:r>
      <w:r>
        <w:rPr>
          <w:rFonts w:ascii="宋体" w:hAnsi="宋体" w:eastAsia="宋体" w:cs="宋体"/>
          <w:sz w:val="18"/>
          <w:szCs w:val="18"/>
        </w:rPr>
        <w:t xml:space="preserve">  </w:t>
      </w:r>
      <w:r>
        <w:rPr>
          <w:rFonts w:ascii="宋体" w:hAnsi="宋体" w:eastAsia="宋体" w:cs="宋体"/>
          <w:spacing w:val="5"/>
          <w:sz w:val="18"/>
          <w:szCs w:val="18"/>
        </w:rPr>
        <w:t>技术，尽可能使用量化或等级化的客观指标，由同一调查员调查病例和对照，调查环境尽量一致，可</w:t>
      </w:r>
      <w:r>
        <w:rPr>
          <w:rFonts w:ascii="宋体" w:hAnsi="宋体" w:eastAsia="宋体" w:cs="宋体"/>
          <w:spacing w:val="3"/>
          <w:sz w:val="18"/>
          <w:szCs w:val="18"/>
        </w:rPr>
        <w:t xml:space="preserve">  </w:t>
      </w:r>
      <w:r>
        <w:rPr>
          <w:rFonts w:ascii="宋体" w:hAnsi="宋体" w:eastAsia="宋体" w:cs="宋体"/>
          <w:spacing w:val="10"/>
          <w:sz w:val="18"/>
          <w:szCs w:val="18"/>
        </w:rPr>
        <w:t>减少调查偏倚。调查员向被调查者讲清调查的目</w:t>
      </w:r>
      <w:r>
        <w:rPr>
          <w:rFonts w:ascii="宋体" w:hAnsi="宋体" w:eastAsia="宋体" w:cs="宋体"/>
          <w:spacing w:val="9"/>
          <w:sz w:val="18"/>
          <w:szCs w:val="18"/>
        </w:rPr>
        <w:t>的，尽量取得他们的信任与合作，可以减少报告偏</w:t>
      </w:r>
      <w:r>
        <w:rPr>
          <w:rFonts w:ascii="宋体" w:hAnsi="宋体" w:eastAsia="宋体" w:cs="宋体"/>
          <w:sz w:val="18"/>
          <w:szCs w:val="18"/>
        </w:rPr>
        <w:t xml:space="preserve">  </w:t>
      </w:r>
      <w:r>
        <w:rPr>
          <w:rFonts w:ascii="宋体" w:hAnsi="宋体" w:eastAsia="宋体" w:cs="宋体"/>
          <w:spacing w:val="7"/>
          <w:sz w:val="18"/>
          <w:szCs w:val="18"/>
        </w:rPr>
        <w:t>倚。此外，使用的检查仪器、试剂应精良、统一，使用前应校准，并在使用过程中要经常进行检查，</w:t>
      </w:r>
      <w:r>
        <w:rPr>
          <w:rFonts w:ascii="宋体" w:hAnsi="宋体" w:eastAsia="宋体" w:cs="宋体"/>
          <w:sz w:val="18"/>
          <w:szCs w:val="18"/>
        </w:rPr>
        <w:t xml:space="preserve"> </w:t>
      </w:r>
      <w:r>
        <w:rPr>
          <w:rFonts w:ascii="宋体" w:hAnsi="宋体" w:eastAsia="宋体" w:cs="宋体"/>
          <w:spacing w:val="7"/>
          <w:sz w:val="18"/>
          <w:szCs w:val="18"/>
        </w:rPr>
        <w:t>以减少测量偏倚。</w:t>
      </w:r>
    </w:p>
    <w:p w14:paraId="35DDC8DE">
      <w:pPr>
        <w:pStyle w:val="2"/>
        <w:spacing w:before="222" w:line="221" w:lineRule="auto"/>
        <w:ind w:left="1023"/>
        <w:outlineLvl w:val="2"/>
        <w:rPr>
          <w:sz w:val="22"/>
          <w:szCs w:val="22"/>
        </w:rPr>
      </w:pPr>
      <w:bookmarkStart w:id="153" w:name="bookmark96"/>
      <w:bookmarkEnd w:id="153"/>
      <w:r>
        <w:rPr>
          <w:b/>
          <w:bCs/>
          <w:spacing w:val="-9"/>
          <w:sz w:val="22"/>
          <w:szCs w:val="22"/>
        </w:rPr>
        <w:t>三</w:t>
      </w:r>
      <w:r>
        <w:rPr>
          <w:spacing w:val="-40"/>
          <w:sz w:val="22"/>
          <w:szCs w:val="22"/>
        </w:rPr>
        <w:t xml:space="preserve"> </w:t>
      </w:r>
      <w:r>
        <w:rPr>
          <w:b/>
          <w:bCs/>
          <w:spacing w:val="-9"/>
          <w:sz w:val="22"/>
          <w:szCs w:val="22"/>
        </w:rPr>
        <w:t>、混杂偏倚</w:t>
      </w:r>
    </w:p>
    <w:p w14:paraId="4223DEEF">
      <w:pPr>
        <w:spacing w:before="251" w:line="390" w:lineRule="auto"/>
        <w:ind w:left="609" w:right="95" w:firstLine="409"/>
        <w:jc w:val="both"/>
        <w:rPr>
          <w:rFonts w:ascii="宋体" w:hAnsi="宋体" w:eastAsia="宋体" w:cs="宋体"/>
          <w:sz w:val="18"/>
          <w:szCs w:val="18"/>
        </w:rPr>
      </w:pPr>
      <w:r>
        <w:rPr>
          <w:rFonts w:ascii="宋体" w:hAnsi="宋体" w:eastAsia="宋体" w:cs="宋体"/>
          <w:spacing w:val="15"/>
          <w:sz w:val="18"/>
          <w:szCs w:val="18"/>
        </w:rPr>
        <w:t>当研究某个因素与某种疾病的关联时，某个既与疾病有关系、又与所研究的暴露因</w:t>
      </w:r>
      <w:r>
        <w:rPr>
          <w:rFonts w:ascii="宋体" w:hAnsi="宋体" w:eastAsia="宋体" w:cs="宋体"/>
          <w:spacing w:val="14"/>
          <w:sz w:val="18"/>
          <w:szCs w:val="18"/>
        </w:rPr>
        <w:t>素有联系</w:t>
      </w:r>
      <w:r>
        <w:rPr>
          <w:rFonts w:ascii="宋体" w:hAnsi="宋体" w:eastAsia="宋体" w:cs="宋体"/>
          <w:sz w:val="18"/>
          <w:szCs w:val="18"/>
        </w:rPr>
        <w:t xml:space="preserve"> </w:t>
      </w:r>
      <w:r>
        <w:rPr>
          <w:rFonts w:ascii="宋体" w:hAnsi="宋体" w:eastAsia="宋体" w:cs="宋体"/>
          <w:spacing w:val="14"/>
          <w:sz w:val="18"/>
          <w:szCs w:val="18"/>
        </w:rPr>
        <w:t>的外来因素的影响掩盖或夸大了所研究的暴露因素与疾病的联系，由此造成的偏倚称为混杂偏倚</w:t>
      </w:r>
      <w:r>
        <w:rPr>
          <w:rFonts w:ascii="宋体" w:hAnsi="宋体" w:eastAsia="宋体" w:cs="宋体"/>
          <w:sz w:val="18"/>
          <w:szCs w:val="18"/>
        </w:rPr>
        <w:t xml:space="preserve">  </w:t>
      </w:r>
      <w:r>
        <w:rPr>
          <w:rFonts w:ascii="宋体" w:hAnsi="宋体" w:eastAsia="宋体" w:cs="宋体"/>
          <w:spacing w:val="-1"/>
          <w:sz w:val="18"/>
          <w:szCs w:val="18"/>
        </w:rPr>
        <w:t>(confounding bias)。该外来因素称为混杂因素(confounding fact</w:t>
      </w:r>
      <w:r>
        <w:rPr>
          <w:rFonts w:ascii="宋体" w:hAnsi="宋体" w:eastAsia="宋体" w:cs="宋体"/>
          <w:spacing w:val="-2"/>
          <w:sz w:val="18"/>
          <w:szCs w:val="18"/>
        </w:rPr>
        <w:t>or)。需注意，暴露因素与疾病因果链</w:t>
      </w:r>
      <w:r>
        <w:rPr>
          <w:rFonts w:ascii="宋体" w:hAnsi="宋体" w:eastAsia="宋体" w:cs="宋体"/>
          <w:sz w:val="18"/>
          <w:szCs w:val="18"/>
        </w:rPr>
        <w:t xml:space="preserve"> </w:t>
      </w:r>
      <w:r>
        <w:rPr>
          <w:rFonts w:ascii="宋体" w:hAnsi="宋体" w:eastAsia="宋体" w:cs="宋体"/>
          <w:spacing w:val="11"/>
          <w:sz w:val="18"/>
          <w:szCs w:val="18"/>
        </w:rPr>
        <w:t>上的因素不是混杂因素。在研究设计阶段可以对研究对象采取限制、配比等方法来控制混杂偏倚；</w:t>
      </w:r>
      <w:r>
        <w:rPr>
          <w:rFonts w:ascii="宋体" w:hAnsi="宋体" w:eastAsia="宋体" w:cs="宋体"/>
          <w:spacing w:val="15"/>
          <w:sz w:val="18"/>
          <w:szCs w:val="18"/>
        </w:rPr>
        <w:t xml:space="preserve"> </w:t>
      </w:r>
      <w:r>
        <w:rPr>
          <w:rFonts w:ascii="宋体" w:hAnsi="宋体" w:eastAsia="宋体" w:cs="宋体"/>
          <w:spacing w:val="7"/>
          <w:sz w:val="18"/>
          <w:szCs w:val="18"/>
        </w:rPr>
        <w:t>在资料分析阶段，可采取分层分析或多因素分析等方法来控制混杂偏倚。</w:t>
      </w:r>
    </w:p>
    <w:p w14:paraId="3F7E490D">
      <w:pPr>
        <w:spacing w:line="305" w:lineRule="auto"/>
        <w:rPr>
          <w:rFonts w:ascii="Arial"/>
          <w:sz w:val="21"/>
        </w:rPr>
      </w:pPr>
    </w:p>
    <w:p w14:paraId="71E908B5">
      <w:pPr>
        <w:pStyle w:val="2"/>
        <w:spacing w:before="88" w:line="222" w:lineRule="auto"/>
        <w:ind w:left="3363"/>
        <w:outlineLvl w:val="1"/>
        <w:rPr>
          <w:sz w:val="27"/>
          <w:szCs w:val="27"/>
        </w:rPr>
      </w:pPr>
      <w:bookmarkStart w:id="154" w:name="bookmark97"/>
      <w:bookmarkEnd w:id="154"/>
      <w:r>
        <w:rPr>
          <w:b/>
          <w:bCs/>
          <w:spacing w:val="-5"/>
          <w:sz w:val="27"/>
          <w:szCs w:val="27"/>
        </w:rPr>
        <w:t>第五节</w:t>
      </w:r>
      <w:r>
        <w:rPr>
          <w:spacing w:val="116"/>
          <w:sz w:val="27"/>
          <w:szCs w:val="27"/>
        </w:rPr>
        <w:t xml:space="preserve"> </w:t>
      </w:r>
      <w:r>
        <w:rPr>
          <w:b/>
          <w:bCs/>
          <w:spacing w:val="-5"/>
          <w:sz w:val="27"/>
          <w:szCs w:val="27"/>
        </w:rPr>
        <w:t>优点与局限性</w:t>
      </w:r>
    </w:p>
    <w:p w14:paraId="191F0E8B">
      <w:pPr>
        <w:spacing w:line="375" w:lineRule="auto"/>
        <w:rPr>
          <w:rFonts w:ascii="Arial"/>
          <w:sz w:val="21"/>
        </w:rPr>
      </w:pPr>
    </w:p>
    <w:p w14:paraId="29D92B0D">
      <w:pPr>
        <w:spacing w:before="59" w:line="219" w:lineRule="auto"/>
        <w:ind w:left="1019"/>
        <w:rPr>
          <w:rFonts w:ascii="宋体" w:hAnsi="宋体" w:eastAsia="宋体" w:cs="宋体"/>
          <w:sz w:val="18"/>
          <w:szCs w:val="18"/>
        </w:rPr>
      </w:pPr>
      <w:r>
        <w:rPr>
          <w:rFonts w:ascii="宋体" w:hAnsi="宋体" w:eastAsia="宋体" w:cs="宋体"/>
          <w:spacing w:val="10"/>
          <w:sz w:val="18"/>
          <w:szCs w:val="18"/>
        </w:rPr>
        <w:t>表5-11中展示了病例对照研究与队列研究优点和局限性的比</w:t>
      </w:r>
      <w:r>
        <w:rPr>
          <w:rFonts w:ascii="宋体" w:hAnsi="宋体" w:eastAsia="宋体" w:cs="宋体"/>
          <w:spacing w:val="9"/>
          <w:sz w:val="18"/>
          <w:szCs w:val="18"/>
        </w:rPr>
        <w:t>较。</w:t>
      </w:r>
    </w:p>
    <w:p w14:paraId="02DCC20D">
      <w:pPr>
        <w:spacing w:line="246" w:lineRule="auto"/>
        <w:rPr>
          <w:rFonts w:ascii="Arial"/>
          <w:sz w:val="21"/>
        </w:rPr>
      </w:pPr>
    </w:p>
    <w:p w14:paraId="169A2091">
      <w:pPr>
        <w:pStyle w:val="2"/>
        <w:spacing w:before="58" w:line="222" w:lineRule="auto"/>
        <w:ind w:left="2610"/>
        <w:rPr>
          <w:sz w:val="18"/>
          <w:szCs w:val="18"/>
        </w:rPr>
      </w:pPr>
      <w:r>
        <w:rPr>
          <w:spacing w:val="-4"/>
          <w:sz w:val="18"/>
          <w:szCs w:val="18"/>
        </w:rPr>
        <w:t>表5-11</w:t>
      </w:r>
      <w:r>
        <w:rPr>
          <w:spacing w:val="64"/>
          <w:sz w:val="18"/>
          <w:szCs w:val="18"/>
        </w:rPr>
        <w:t xml:space="preserve"> </w:t>
      </w:r>
      <w:r>
        <w:rPr>
          <w:spacing w:val="-4"/>
          <w:sz w:val="18"/>
          <w:szCs w:val="18"/>
        </w:rPr>
        <w:t>病例对照研究与队列研究优点和局限性的</w:t>
      </w:r>
      <w:r>
        <w:rPr>
          <w:spacing w:val="-5"/>
          <w:sz w:val="18"/>
          <w:szCs w:val="18"/>
        </w:rPr>
        <w:t>比较</w:t>
      </w:r>
    </w:p>
    <w:p w14:paraId="232AC85D">
      <w:pPr>
        <w:spacing w:line="28" w:lineRule="exact"/>
      </w:pPr>
    </w:p>
    <w:tbl>
      <w:tblPr>
        <w:tblStyle w:val="5"/>
        <w:tblW w:w="8240" w:type="dxa"/>
        <w:tblInd w:w="609"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0" w:type="dxa"/>
          <w:left w:w="0" w:type="dxa"/>
          <w:bottom w:w="0" w:type="dxa"/>
          <w:right w:w="0" w:type="dxa"/>
        </w:tblCellMar>
      </w:tblPr>
      <w:tblGrid>
        <w:gridCol w:w="762"/>
        <w:gridCol w:w="3148"/>
        <w:gridCol w:w="4330"/>
      </w:tblGrid>
      <w:tr w14:paraId="3AC3FA0E">
        <w:trPr>
          <w:trHeight w:val="292" w:hRule="atLeast"/>
        </w:trPr>
        <w:tc>
          <w:tcPr>
            <w:tcW w:w="762" w:type="dxa"/>
            <w:tcBorders>
              <w:bottom w:val="single" w:color="000000" w:sz="4" w:space="0"/>
            </w:tcBorders>
            <w:vAlign w:val="top"/>
          </w:tcPr>
          <w:p w14:paraId="619A7350">
            <w:pPr>
              <w:rPr>
                <w:rFonts w:ascii="Arial"/>
                <w:sz w:val="21"/>
              </w:rPr>
            </w:pPr>
          </w:p>
        </w:tc>
        <w:tc>
          <w:tcPr>
            <w:tcW w:w="3148" w:type="dxa"/>
            <w:tcBorders>
              <w:bottom w:val="single" w:color="000000" w:sz="4" w:space="0"/>
            </w:tcBorders>
            <w:vAlign w:val="top"/>
          </w:tcPr>
          <w:p w14:paraId="6205550E">
            <w:pPr>
              <w:spacing w:before="97" w:line="170" w:lineRule="auto"/>
              <w:ind w:left="589"/>
              <w:rPr>
                <w:rFonts w:ascii="黑体" w:hAnsi="黑体" w:eastAsia="黑体" w:cs="黑体"/>
                <w:sz w:val="20"/>
                <w:szCs w:val="20"/>
              </w:rPr>
            </w:pPr>
            <w:r>
              <w:drawing>
                <wp:anchor distT="0" distB="0" distL="0" distR="0" simplePos="0" relativeHeight="251754496" behindDoc="1" locked="0" layoutInCell="1" allowOverlap="1">
                  <wp:simplePos x="0" y="0"/>
                  <wp:positionH relativeFrom="column">
                    <wp:posOffset>-458470</wp:posOffset>
                  </wp:positionH>
                  <wp:positionV relativeFrom="paragraph">
                    <wp:posOffset>0</wp:posOffset>
                  </wp:positionV>
                  <wp:extent cx="5181600" cy="260350"/>
                  <wp:effectExtent l="0" t="0" r="0" b="0"/>
                  <wp:wrapNone/>
                  <wp:docPr id="358" name="IM 358"/>
                  <wp:cNvGraphicFramePr/>
                  <a:graphic xmlns:a="http://schemas.openxmlformats.org/drawingml/2006/main">
                    <a:graphicData uri="http://schemas.openxmlformats.org/drawingml/2006/picture">
                      <pic:pic xmlns:pic="http://schemas.openxmlformats.org/drawingml/2006/picture">
                        <pic:nvPicPr>
                          <pic:cNvPr id="358" name="IM 358"/>
                          <pic:cNvPicPr/>
                        </pic:nvPicPr>
                        <pic:blipFill>
                          <a:blip r:embed="rId550"/>
                          <a:stretch>
                            <a:fillRect/>
                          </a:stretch>
                        </pic:blipFill>
                        <pic:spPr>
                          <a:xfrm>
                            <a:off x="0" y="0"/>
                            <a:ext cx="5181643" cy="260288"/>
                          </a:xfrm>
                          <a:prstGeom prst="rect">
                            <a:avLst/>
                          </a:prstGeom>
                        </pic:spPr>
                      </pic:pic>
                    </a:graphicData>
                  </a:graphic>
                </wp:anchor>
              </w:drawing>
            </w:r>
            <w:r>
              <w:rPr>
                <w:rFonts w:ascii="黑体" w:hAnsi="黑体" w:eastAsia="黑体" w:cs="黑体"/>
                <w:spacing w:val="-6"/>
                <w:sz w:val="20"/>
                <w:szCs w:val="20"/>
              </w:rPr>
              <w:t>病</w:t>
            </w:r>
            <w:r>
              <w:rPr>
                <w:rFonts w:ascii="黑体" w:hAnsi="黑体" w:eastAsia="黑体" w:cs="黑体"/>
                <w:spacing w:val="-24"/>
                <w:sz w:val="20"/>
                <w:szCs w:val="20"/>
              </w:rPr>
              <w:t xml:space="preserve"> </w:t>
            </w:r>
            <w:r>
              <w:rPr>
                <w:rFonts w:ascii="黑体" w:hAnsi="黑体" w:eastAsia="黑体" w:cs="黑体"/>
                <w:spacing w:val="-6"/>
                <w:sz w:val="20"/>
                <w:szCs w:val="20"/>
              </w:rPr>
              <w:t>例</w:t>
            </w:r>
            <w:r>
              <w:rPr>
                <w:rFonts w:ascii="黑体" w:hAnsi="黑体" w:eastAsia="黑体" w:cs="黑体"/>
                <w:spacing w:val="-26"/>
                <w:sz w:val="20"/>
                <w:szCs w:val="20"/>
              </w:rPr>
              <w:t xml:space="preserve"> </w:t>
            </w:r>
            <w:r>
              <w:rPr>
                <w:rFonts w:ascii="黑体" w:hAnsi="黑体" w:eastAsia="黑体" w:cs="黑体"/>
                <w:spacing w:val="-6"/>
                <w:sz w:val="20"/>
                <w:szCs w:val="20"/>
              </w:rPr>
              <w:t>对</w:t>
            </w:r>
            <w:r>
              <w:rPr>
                <w:rFonts w:ascii="黑体" w:hAnsi="黑体" w:eastAsia="黑体" w:cs="黑体"/>
                <w:spacing w:val="-22"/>
                <w:sz w:val="20"/>
                <w:szCs w:val="20"/>
              </w:rPr>
              <w:t xml:space="preserve"> </w:t>
            </w:r>
            <w:r>
              <w:rPr>
                <w:rFonts w:ascii="黑体" w:hAnsi="黑体" w:eastAsia="黑体" w:cs="黑体"/>
                <w:spacing w:val="-6"/>
                <w:sz w:val="20"/>
                <w:szCs w:val="20"/>
              </w:rPr>
              <w:t>照</w:t>
            </w:r>
            <w:r>
              <w:rPr>
                <w:rFonts w:ascii="黑体" w:hAnsi="黑体" w:eastAsia="黑体" w:cs="黑体"/>
                <w:spacing w:val="-26"/>
                <w:sz w:val="20"/>
                <w:szCs w:val="20"/>
              </w:rPr>
              <w:t xml:space="preserve"> </w:t>
            </w:r>
            <w:r>
              <w:rPr>
                <w:rFonts w:ascii="黑体" w:hAnsi="黑体" w:eastAsia="黑体" w:cs="黑体"/>
                <w:spacing w:val="-6"/>
                <w:sz w:val="20"/>
                <w:szCs w:val="20"/>
              </w:rPr>
              <w:t>研</w:t>
            </w:r>
            <w:r>
              <w:rPr>
                <w:rFonts w:ascii="黑体" w:hAnsi="黑体" w:eastAsia="黑体" w:cs="黑体"/>
                <w:spacing w:val="-25"/>
                <w:sz w:val="20"/>
                <w:szCs w:val="20"/>
              </w:rPr>
              <w:t xml:space="preserve"> </w:t>
            </w:r>
            <w:r>
              <w:rPr>
                <w:rFonts w:ascii="黑体" w:hAnsi="黑体" w:eastAsia="黑体" w:cs="黑体"/>
                <w:spacing w:val="-6"/>
                <w:sz w:val="20"/>
                <w:szCs w:val="20"/>
              </w:rPr>
              <w:t>究</w:t>
            </w:r>
          </w:p>
        </w:tc>
        <w:tc>
          <w:tcPr>
            <w:tcW w:w="4330" w:type="dxa"/>
            <w:tcBorders>
              <w:bottom w:val="single" w:color="000000" w:sz="2" w:space="0"/>
            </w:tcBorders>
            <w:vAlign w:val="top"/>
          </w:tcPr>
          <w:p w14:paraId="63F61629">
            <w:pPr>
              <w:spacing w:before="116" w:line="170" w:lineRule="auto"/>
              <w:ind w:left="1556"/>
              <w:rPr>
                <w:rFonts w:ascii="黑体" w:hAnsi="黑体" w:eastAsia="黑体" w:cs="黑体"/>
                <w:sz w:val="18"/>
                <w:szCs w:val="18"/>
              </w:rPr>
            </w:pPr>
            <w:r>
              <w:rPr>
                <w:rFonts w:ascii="黑体" w:hAnsi="黑体" w:eastAsia="黑体" w:cs="黑体"/>
                <w:spacing w:val="-8"/>
                <w:sz w:val="18"/>
                <w:szCs w:val="18"/>
              </w:rPr>
              <w:t>队</w:t>
            </w:r>
            <w:r>
              <w:rPr>
                <w:rFonts w:ascii="黑体" w:hAnsi="黑体" w:eastAsia="黑体" w:cs="黑体"/>
                <w:spacing w:val="63"/>
                <w:sz w:val="18"/>
                <w:szCs w:val="18"/>
              </w:rPr>
              <w:t xml:space="preserve"> </w:t>
            </w:r>
            <w:r>
              <w:rPr>
                <w:rFonts w:ascii="黑体" w:hAnsi="黑体" w:eastAsia="黑体" w:cs="黑体"/>
                <w:spacing w:val="-8"/>
                <w:sz w:val="18"/>
                <w:szCs w:val="18"/>
              </w:rPr>
              <w:t>列</w:t>
            </w:r>
            <w:r>
              <w:rPr>
                <w:rFonts w:ascii="黑体" w:hAnsi="黑体" w:eastAsia="黑体" w:cs="黑体"/>
                <w:spacing w:val="58"/>
                <w:sz w:val="18"/>
                <w:szCs w:val="18"/>
              </w:rPr>
              <w:t xml:space="preserve"> </w:t>
            </w:r>
            <w:r>
              <w:rPr>
                <w:rFonts w:ascii="黑体" w:hAnsi="黑体" w:eastAsia="黑体" w:cs="黑体"/>
                <w:spacing w:val="-8"/>
                <w:sz w:val="18"/>
                <w:szCs w:val="18"/>
              </w:rPr>
              <w:t>研</w:t>
            </w:r>
            <w:r>
              <w:rPr>
                <w:rFonts w:ascii="黑体" w:hAnsi="黑体" w:eastAsia="黑体" w:cs="黑体"/>
                <w:spacing w:val="59"/>
                <w:sz w:val="18"/>
                <w:szCs w:val="18"/>
              </w:rPr>
              <w:t xml:space="preserve"> </w:t>
            </w:r>
            <w:r>
              <w:rPr>
                <w:rFonts w:ascii="黑体" w:hAnsi="黑体" w:eastAsia="黑体" w:cs="黑体"/>
                <w:spacing w:val="-8"/>
                <w:sz w:val="18"/>
                <w:szCs w:val="18"/>
              </w:rPr>
              <w:t>究</w:t>
            </w:r>
          </w:p>
        </w:tc>
      </w:tr>
      <w:tr w14:paraId="5A872BD9">
        <w:trPr>
          <w:trHeight w:val="107" w:hRule="atLeast"/>
        </w:trPr>
        <w:tc>
          <w:tcPr>
            <w:tcW w:w="762" w:type="dxa"/>
            <w:tcBorders>
              <w:top w:val="single" w:color="000000" w:sz="4" w:space="0"/>
            </w:tcBorders>
            <w:vAlign w:val="top"/>
          </w:tcPr>
          <w:p w14:paraId="02DFBBEB">
            <w:pPr>
              <w:spacing w:line="97" w:lineRule="exact"/>
              <w:rPr>
                <w:rFonts w:ascii="Arial"/>
                <w:sz w:val="8"/>
              </w:rPr>
            </w:pPr>
          </w:p>
        </w:tc>
        <w:tc>
          <w:tcPr>
            <w:tcW w:w="3148" w:type="dxa"/>
            <w:tcBorders>
              <w:top w:val="single" w:color="000000" w:sz="4" w:space="0"/>
            </w:tcBorders>
            <w:vAlign w:val="top"/>
          </w:tcPr>
          <w:p w14:paraId="152D4DB8">
            <w:pPr>
              <w:spacing w:line="97" w:lineRule="exact"/>
              <w:rPr>
                <w:rFonts w:ascii="Arial"/>
                <w:sz w:val="8"/>
              </w:rPr>
            </w:pPr>
          </w:p>
        </w:tc>
        <w:tc>
          <w:tcPr>
            <w:tcW w:w="4330" w:type="dxa"/>
            <w:tcBorders>
              <w:top w:val="single" w:color="000000" w:sz="2" w:space="0"/>
            </w:tcBorders>
            <w:vAlign w:val="top"/>
          </w:tcPr>
          <w:p w14:paraId="0D679472">
            <w:pPr>
              <w:spacing w:line="97" w:lineRule="exact"/>
              <w:rPr>
                <w:rFonts w:ascii="Arial"/>
                <w:sz w:val="8"/>
              </w:rPr>
            </w:pPr>
          </w:p>
        </w:tc>
      </w:tr>
      <w:tr w14:paraId="2B65D2FA">
        <w:trPr>
          <w:trHeight w:val="3400" w:hRule="atLeast"/>
        </w:trPr>
        <w:tc>
          <w:tcPr>
            <w:tcW w:w="762" w:type="dxa"/>
            <w:vAlign w:val="top"/>
          </w:tcPr>
          <w:p w14:paraId="52C2005C">
            <w:pPr>
              <w:spacing w:before="68" w:line="223" w:lineRule="auto"/>
              <w:ind w:left="119"/>
              <w:rPr>
                <w:rFonts w:ascii="黑体" w:hAnsi="黑体" w:eastAsia="黑体" w:cs="黑体"/>
                <w:sz w:val="18"/>
                <w:szCs w:val="18"/>
              </w:rPr>
            </w:pPr>
            <w:r>
              <w:rPr>
                <w:rFonts w:ascii="黑体" w:hAnsi="黑体" w:eastAsia="黑体" w:cs="黑体"/>
                <w:spacing w:val="-2"/>
                <w:sz w:val="18"/>
                <w:szCs w:val="18"/>
              </w:rPr>
              <w:t>优点</w:t>
            </w:r>
          </w:p>
        </w:tc>
        <w:tc>
          <w:tcPr>
            <w:tcW w:w="3148" w:type="dxa"/>
            <w:vAlign w:val="top"/>
          </w:tcPr>
          <w:p w14:paraId="7B5B3E76">
            <w:pPr>
              <w:pStyle w:val="6"/>
              <w:spacing w:before="87" w:line="261" w:lineRule="auto"/>
              <w:ind w:left="118" w:right="87"/>
              <w:rPr>
                <w:sz w:val="18"/>
                <w:szCs w:val="18"/>
              </w:rPr>
            </w:pPr>
            <w:r>
              <w:rPr>
                <w:spacing w:val="-10"/>
                <w:sz w:val="18"/>
                <w:szCs w:val="18"/>
              </w:rPr>
              <w:t>1.</w:t>
            </w:r>
            <w:r>
              <w:rPr>
                <w:spacing w:val="-29"/>
                <w:sz w:val="18"/>
                <w:szCs w:val="18"/>
              </w:rPr>
              <w:t xml:space="preserve"> </w:t>
            </w:r>
            <w:r>
              <w:rPr>
                <w:spacing w:val="-10"/>
                <w:sz w:val="18"/>
                <w:szCs w:val="18"/>
              </w:rPr>
              <w:t>特别适用于罕见病、潜伏期长的疾病</w:t>
            </w:r>
            <w:r>
              <w:rPr>
                <w:sz w:val="18"/>
                <w:szCs w:val="18"/>
              </w:rPr>
              <w:t xml:space="preserve"> </w:t>
            </w:r>
            <w:r>
              <w:rPr>
                <w:spacing w:val="-8"/>
                <w:sz w:val="18"/>
                <w:szCs w:val="18"/>
              </w:rPr>
              <w:t>的病因研究，有时往往是罕见病病因研</w:t>
            </w:r>
            <w:r>
              <w:rPr>
                <w:spacing w:val="12"/>
                <w:sz w:val="18"/>
                <w:szCs w:val="18"/>
              </w:rPr>
              <w:t xml:space="preserve"> </w:t>
            </w:r>
            <w:r>
              <w:rPr>
                <w:spacing w:val="-3"/>
                <w:sz w:val="18"/>
                <w:szCs w:val="18"/>
              </w:rPr>
              <w:t>究的唯一选择</w:t>
            </w:r>
          </w:p>
          <w:p w14:paraId="7A50890A">
            <w:pPr>
              <w:pStyle w:val="6"/>
              <w:spacing w:before="87" w:line="238" w:lineRule="auto"/>
              <w:ind w:left="118" w:right="29"/>
              <w:rPr>
                <w:sz w:val="18"/>
                <w:szCs w:val="18"/>
              </w:rPr>
            </w:pPr>
            <w:r>
              <w:rPr>
                <w:spacing w:val="-13"/>
                <w:sz w:val="18"/>
                <w:szCs w:val="18"/>
              </w:rPr>
              <w:t>2.相对更节省人力、物力、财力和时间，</w:t>
            </w:r>
            <w:r>
              <w:rPr>
                <w:spacing w:val="6"/>
                <w:sz w:val="18"/>
                <w:szCs w:val="18"/>
              </w:rPr>
              <w:t xml:space="preserve"> </w:t>
            </w:r>
            <w:r>
              <w:rPr>
                <w:spacing w:val="-7"/>
                <w:sz w:val="18"/>
                <w:szCs w:val="18"/>
              </w:rPr>
              <w:t>并且较易于组织实施</w:t>
            </w:r>
          </w:p>
          <w:p w14:paraId="2D753E67">
            <w:pPr>
              <w:pStyle w:val="6"/>
              <w:spacing w:before="75" w:line="248" w:lineRule="auto"/>
              <w:ind w:left="118" w:right="98"/>
              <w:rPr>
                <w:sz w:val="18"/>
                <w:szCs w:val="18"/>
              </w:rPr>
            </w:pPr>
            <w:r>
              <w:rPr>
                <w:spacing w:val="-2"/>
                <w:sz w:val="18"/>
                <w:szCs w:val="18"/>
              </w:rPr>
              <w:t>3.</w:t>
            </w:r>
            <w:r>
              <w:rPr>
                <w:spacing w:val="-6"/>
                <w:sz w:val="18"/>
                <w:szCs w:val="18"/>
              </w:rPr>
              <w:t xml:space="preserve"> </w:t>
            </w:r>
            <w:r>
              <w:rPr>
                <w:spacing w:val="-2"/>
                <w:sz w:val="18"/>
                <w:szCs w:val="18"/>
              </w:rPr>
              <w:t>可以同时研究多个暴露与某种疾病</w:t>
            </w:r>
            <w:r>
              <w:rPr>
                <w:sz w:val="18"/>
                <w:szCs w:val="18"/>
              </w:rPr>
              <w:t xml:space="preserve"> </w:t>
            </w:r>
            <w:r>
              <w:rPr>
                <w:spacing w:val="-12"/>
                <w:sz w:val="18"/>
                <w:szCs w:val="18"/>
              </w:rPr>
              <w:t>的联系，特别适合于探索性病因研究</w:t>
            </w:r>
          </w:p>
          <w:p w14:paraId="0C88B35D">
            <w:pPr>
              <w:pStyle w:val="6"/>
              <w:spacing w:before="69" w:line="261" w:lineRule="auto"/>
              <w:ind w:left="118" w:right="82"/>
              <w:rPr>
                <w:sz w:val="18"/>
                <w:szCs w:val="18"/>
              </w:rPr>
            </w:pPr>
            <w:r>
              <w:rPr>
                <w:spacing w:val="-9"/>
                <w:sz w:val="18"/>
                <w:szCs w:val="18"/>
              </w:rPr>
              <w:t>4.</w:t>
            </w:r>
            <w:r>
              <w:rPr>
                <w:spacing w:val="-42"/>
                <w:sz w:val="18"/>
                <w:szCs w:val="18"/>
              </w:rPr>
              <w:t xml:space="preserve"> </w:t>
            </w:r>
            <w:r>
              <w:rPr>
                <w:spacing w:val="-9"/>
                <w:sz w:val="18"/>
                <w:szCs w:val="18"/>
              </w:rPr>
              <w:t>该方法应用范围广，不仅应用于病因</w:t>
            </w:r>
            <w:r>
              <w:rPr>
                <w:sz w:val="18"/>
                <w:szCs w:val="18"/>
              </w:rPr>
              <w:t xml:space="preserve"> </w:t>
            </w:r>
            <w:r>
              <w:rPr>
                <w:spacing w:val="-8"/>
                <w:sz w:val="18"/>
                <w:szCs w:val="18"/>
              </w:rPr>
              <w:t>的探讨，而且广泛应用于其他健康事件</w:t>
            </w:r>
            <w:r>
              <w:rPr>
                <w:spacing w:val="12"/>
                <w:sz w:val="18"/>
                <w:szCs w:val="18"/>
              </w:rPr>
              <w:t xml:space="preserve"> </w:t>
            </w:r>
            <w:r>
              <w:rPr>
                <w:spacing w:val="-4"/>
                <w:sz w:val="18"/>
                <w:szCs w:val="18"/>
              </w:rPr>
              <w:t>的原因分析</w:t>
            </w:r>
          </w:p>
        </w:tc>
        <w:tc>
          <w:tcPr>
            <w:tcW w:w="4330" w:type="dxa"/>
            <w:vAlign w:val="top"/>
          </w:tcPr>
          <w:p w14:paraId="5F619B0C">
            <w:pPr>
              <w:pStyle w:val="6"/>
              <w:spacing w:before="86" w:line="266" w:lineRule="auto"/>
              <w:ind w:left="99" w:right="130"/>
              <w:rPr>
                <w:sz w:val="18"/>
                <w:szCs w:val="18"/>
              </w:rPr>
            </w:pPr>
            <w:r>
              <w:rPr>
                <w:spacing w:val="-4"/>
                <w:sz w:val="18"/>
                <w:szCs w:val="18"/>
              </w:rPr>
              <w:t>1.</w:t>
            </w:r>
            <w:r>
              <w:rPr>
                <w:spacing w:val="-36"/>
                <w:sz w:val="18"/>
                <w:szCs w:val="18"/>
              </w:rPr>
              <w:t xml:space="preserve"> </w:t>
            </w:r>
            <w:r>
              <w:rPr>
                <w:spacing w:val="-4"/>
                <w:sz w:val="18"/>
                <w:szCs w:val="18"/>
              </w:rPr>
              <w:t>研究对象暴露资料的收集在结局发生之前，且都是</w:t>
            </w:r>
            <w:r>
              <w:rPr>
                <w:sz w:val="18"/>
                <w:szCs w:val="18"/>
              </w:rPr>
              <w:t xml:space="preserve"> </w:t>
            </w:r>
            <w:r>
              <w:rPr>
                <w:spacing w:val="-10"/>
                <w:sz w:val="18"/>
                <w:szCs w:val="18"/>
              </w:rPr>
              <w:t>由研究者通过调查得到的，所以资料可靠，受回忆偏倚</w:t>
            </w:r>
            <w:r>
              <w:rPr>
                <w:spacing w:val="17"/>
                <w:sz w:val="18"/>
                <w:szCs w:val="18"/>
              </w:rPr>
              <w:t xml:space="preserve"> </w:t>
            </w:r>
            <w:r>
              <w:rPr>
                <w:spacing w:val="-2"/>
                <w:sz w:val="18"/>
                <w:szCs w:val="18"/>
              </w:rPr>
              <w:t>影响相对小</w:t>
            </w:r>
          </w:p>
          <w:p w14:paraId="1C1AA52F">
            <w:pPr>
              <w:pStyle w:val="6"/>
              <w:spacing w:before="52" w:line="268" w:lineRule="auto"/>
              <w:ind w:left="99" w:right="49"/>
              <w:rPr>
                <w:sz w:val="18"/>
                <w:szCs w:val="18"/>
              </w:rPr>
            </w:pPr>
            <w:r>
              <w:rPr>
                <w:spacing w:val="-1"/>
                <w:sz w:val="18"/>
                <w:szCs w:val="18"/>
              </w:rPr>
              <w:t>2.</w:t>
            </w:r>
            <w:r>
              <w:rPr>
                <w:spacing w:val="-27"/>
                <w:sz w:val="18"/>
                <w:szCs w:val="18"/>
              </w:rPr>
              <w:t xml:space="preserve"> </w:t>
            </w:r>
            <w:r>
              <w:rPr>
                <w:spacing w:val="-1"/>
                <w:sz w:val="18"/>
                <w:szCs w:val="18"/>
              </w:rPr>
              <w:t>可以直接获得暴露组和对照组的发病率或死亡率，</w:t>
            </w:r>
            <w:r>
              <w:rPr>
                <w:sz w:val="18"/>
                <w:szCs w:val="18"/>
              </w:rPr>
              <w:t xml:space="preserve"> </w:t>
            </w:r>
            <w:r>
              <w:rPr>
                <w:spacing w:val="2"/>
                <w:sz w:val="18"/>
                <w:szCs w:val="18"/>
              </w:rPr>
              <w:t>可直接计算</w:t>
            </w:r>
            <w:r>
              <w:rPr>
                <w:rFonts w:ascii="Times New Roman" w:hAnsi="Times New Roman" w:eastAsia="Times New Roman" w:cs="Times New Roman"/>
                <w:sz w:val="18"/>
                <w:szCs w:val="18"/>
              </w:rPr>
              <w:t>RR</w:t>
            </w:r>
            <w:r>
              <w:rPr>
                <w:rFonts w:ascii="Times New Roman" w:hAnsi="Times New Roman" w:eastAsia="Times New Roman" w:cs="Times New Roman"/>
                <w:spacing w:val="2"/>
                <w:sz w:val="18"/>
                <w:szCs w:val="18"/>
              </w:rPr>
              <w:t xml:space="preserve"> </w:t>
            </w:r>
            <w:r>
              <w:rPr>
                <w:spacing w:val="2"/>
                <w:sz w:val="18"/>
                <w:szCs w:val="18"/>
              </w:rPr>
              <w:t>和</w:t>
            </w:r>
            <w:r>
              <w:rPr>
                <w:spacing w:val="-30"/>
                <w:sz w:val="18"/>
                <w:szCs w:val="18"/>
              </w:rPr>
              <w:t xml:space="preserve"> </w:t>
            </w:r>
            <w:r>
              <w:rPr>
                <w:rFonts w:ascii="Times New Roman" w:hAnsi="Times New Roman" w:eastAsia="Times New Roman" w:cs="Times New Roman"/>
                <w:sz w:val="18"/>
                <w:szCs w:val="18"/>
              </w:rPr>
              <w:t>AR</w:t>
            </w:r>
            <w:r>
              <w:rPr>
                <w:rFonts w:ascii="Times New Roman" w:hAnsi="Times New Roman" w:eastAsia="Times New Roman" w:cs="Times New Roman"/>
                <w:spacing w:val="2"/>
                <w:sz w:val="18"/>
                <w:szCs w:val="18"/>
              </w:rPr>
              <w:t xml:space="preserve"> </w:t>
            </w:r>
            <w:r>
              <w:rPr>
                <w:spacing w:val="2"/>
                <w:sz w:val="18"/>
                <w:szCs w:val="18"/>
              </w:rPr>
              <w:t>等反映暴露与疾病关联强度的</w:t>
            </w:r>
            <w:r>
              <w:rPr>
                <w:sz w:val="18"/>
                <w:szCs w:val="18"/>
              </w:rPr>
              <w:t xml:space="preserve">  </w:t>
            </w:r>
            <w:r>
              <w:rPr>
                <w:spacing w:val="-9"/>
                <w:sz w:val="18"/>
                <w:szCs w:val="18"/>
              </w:rPr>
              <w:t>指标，可以充分而直接地分析暴露的病因作用</w:t>
            </w:r>
          </w:p>
          <w:p w14:paraId="61FF18F3">
            <w:pPr>
              <w:pStyle w:val="6"/>
              <w:spacing w:before="56" w:line="262" w:lineRule="auto"/>
              <w:ind w:left="99" w:right="50"/>
              <w:rPr>
                <w:sz w:val="18"/>
                <w:szCs w:val="18"/>
              </w:rPr>
            </w:pPr>
            <w:r>
              <w:rPr>
                <w:spacing w:val="-8"/>
                <w:sz w:val="18"/>
                <w:szCs w:val="18"/>
              </w:rPr>
              <w:t>3.</w:t>
            </w:r>
            <w:r>
              <w:rPr>
                <w:spacing w:val="-31"/>
                <w:sz w:val="18"/>
                <w:szCs w:val="18"/>
              </w:rPr>
              <w:t xml:space="preserve"> </w:t>
            </w:r>
            <w:r>
              <w:rPr>
                <w:spacing w:val="-8"/>
                <w:sz w:val="18"/>
                <w:szCs w:val="18"/>
              </w:rPr>
              <w:t>由于暴露在前、疾病发生在后，因果时间顺序明确，</w:t>
            </w:r>
            <w:r>
              <w:rPr>
                <w:sz w:val="18"/>
                <w:szCs w:val="18"/>
              </w:rPr>
              <w:t xml:space="preserve"> </w:t>
            </w:r>
            <w:r>
              <w:rPr>
                <w:spacing w:val="-10"/>
                <w:sz w:val="18"/>
                <w:szCs w:val="18"/>
              </w:rPr>
              <w:t>加之偏倚较少，故其检验病因假说的能力较强，一般可</w:t>
            </w:r>
            <w:r>
              <w:rPr>
                <w:spacing w:val="8"/>
                <w:sz w:val="18"/>
                <w:szCs w:val="18"/>
              </w:rPr>
              <w:t xml:space="preserve">  </w:t>
            </w:r>
            <w:r>
              <w:rPr>
                <w:spacing w:val="-5"/>
                <w:sz w:val="18"/>
                <w:szCs w:val="18"/>
              </w:rPr>
              <w:t>证实病因联系</w:t>
            </w:r>
          </w:p>
          <w:p w14:paraId="1BEE2B10">
            <w:pPr>
              <w:pStyle w:val="6"/>
              <w:spacing w:before="75" w:line="219" w:lineRule="auto"/>
              <w:ind w:left="99"/>
              <w:rPr>
                <w:sz w:val="18"/>
                <w:szCs w:val="18"/>
              </w:rPr>
            </w:pPr>
            <w:r>
              <w:rPr>
                <w:spacing w:val="-4"/>
                <w:sz w:val="18"/>
                <w:szCs w:val="18"/>
              </w:rPr>
              <w:t>4.在随访观察过程中，有助于了解人群疾病的自</w:t>
            </w:r>
            <w:r>
              <w:rPr>
                <w:spacing w:val="-5"/>
                <w:sz w:val="18"/>
                <w:szCs w:val="18"/>
              </w:rPr>
              <w:t>然史</w:t>
            </w:r>
          </w:p>
          <w:p w14:paraId="3EC7FB24">
            <w:pPr>
              <w:pStyle w:val="6"/>
              <w:spacing w:before="65" w:line="248" w:lineRule="auto"/>
              <w:ind w:left="99" w:right="50"/>
              <w:rPr>
                <w:sz w:val="18"/>
                <w:szCs w:val="18"/>
              </w:rPr>
            </w:pPr>
            <w:r>
              <w:rPr>
                <w:spacing w:val="-1"/>
                <w:sz w:val="18"/>
                <w:szCs w:val="18"/>
              </w:rPr>
              <w:t>5.</w:t>
            </w:r>
            <w:r>
              <w:rPr>
                <w:spacing w:val="-28"/>
                <w:sz w:val="18"/>
                <w:szCs w:val="18"/>
              </w:rPr>
              <w:t xml:space="preserve"> </w:t>
            </w:r>
            <w:r>
              <w:rPr>
                <w:spacing w:val="-1"/>
                <w:sz w:val="18"/>
                <w:szCs w:val="18"/>
              </w:rPr>
              <w:t>能对一种暴露因素所致的多种疾病同时进行观察，</w:t>
            </w:r>
            <w:r>
              <w:rPr>
                <w:sz w:val="18"/>
                <w:szCs w:val="18"/>
              </w:rPr>
              <w:t xml:space="preserve"> </w:t>
            </w:r>
            <w:r>
              <w:rPr>
                <w:spacing w:val="-3"/>
                <w:sz w:val="18"/>
                <w:szCs w:val="18"/>
              </w:rPr>
              <w:t>分析一种暴露与多种疾病的关系</w:t>
            </w:r>
          </w:p>
        </w:tc>
      </w:tr>
      <w:tr w14:paraId="25B9DEB2">
        <w:trPr>
          <w:trHeight w:val="3070" w:hRule="atLeast"/>
        </w:trPr>
        <w:tc>
          <w:tcPr>
            <w:tcW w:w="762" w:type="dxa"/>
            <w:vAlign w:val="top"/>
          </w:tcPr>
          <w:p w14:paraId="76113ACE">
            <w:pPr>
              <w:pStyle w:val="6"/>
              <w:spacing w:before="87" w:line="220" w:lineRule="auto"/>
              <w:ind w:left="119"/>
              <w:rPr>
                <w:sz w:val="18"/>
                <w:szCs w:val="18"/>
              </w:rPr>
            </w:pPr>
            <w:r>
              <w:drawing>
                <wp:anchor distT="0" distB="0" distL="0" distR="0" simplePos="0" relativeHeight="251755520" behindDoc="1" locked="0" layoutInCell="1" allowOverlap="1">
                  <wp:simplePos x="0" y="0"/>
                  <wp:positionH relativeFrom="column">
                    <wp:posOffset>18415</wp:posOffset>
                  </wp:positionH>
                  <wp:positionV relativeFrom="paragraph">
                    <wp:posOffset>0</wp:posOffset>
                  </wp:positionV>
                  <wp:extent cx="5213350" cy="1949450"/>
                  <wp:effectExtent l="0" t="0" r="0" b="0"/>
                  <wp:wrapNone/>
                  <wp:docPr id="360" name="IM 360"/>
                  <wp:cNvGraphicFramePr/>
                  <a:graphic xmlns:a="http://schemas.openxmlformats.org/drawingml/2006/main">
                    <a:graphicData uri="http://schemas.openxmlformats.org/drawingml/2006/picture">
                      <pic:pic xmlns:pic="http://schemas.openxmlformats.org/drawingml/2006/picture">
                        <pic:nvPicPr>
                          <pic:cNvPr id="360" name="IM 360"/>
                          <pic:cNvPicPr/>
                        </pic:nvPicPr>
                        <pic:blipFill>
                          <a:blip r:embed="rId551"/>
                          <a:stretch>
                            <a:fillRect/>
                          </a:stretch>
                        </pic:blipFill>
                        <pic:spPr>
                          <a:xfrm>
                            <a:off x="0" y="0"/>
                            <a:ext cx="5213380" cy="1949441"/>
                          </a:xfrm>
                          <a:prstGeom prst="rect">
                            <a:avLst/>
                          </a:prstGeom>
                        </pic:spPr>
                      </pic:pic>
                    </a:graphicData>
                  </a:graphic>
                </wp:anchor>
              </w:drawing>
            </w:r>
            <w:r>
              <w:rPr>
                <w:spacing w:val="-3"/>
                <w:sz w:val="18"/>
                <w:szCs w:val="18"/>
              </w:rPr>
              <w:t>局限性</w:t>
            </w:r>
          </w:p>
        </w:tc>
        <w:tc>
          <w:tcPr>
            <w:tcW w:w="3148" w:type="dxa"/>
            <w:vAlign w:val="top"/>
          </w:tcPr>
          <w:p w14:paraId="67A018DE">
            <w:pPr>
              <w:pStyle w:val="6"/>
              <w:spacing w:before="88" w:line="248" w:lineRule="auto"/>
              <w:ind w:left="118" w:right="85"/>
              <w:rPr>
                <w:sz w:val="18"/>
                <w:szCs w:val="18"/>
              </w:rPr>
            </w:pPr>
            <w:r>
              <w:rPr>
                <w:spacing w:val="3"/>
                <w:sz w:val="18"/>
                <w:szCs w:val="18"/>
              </w:rPr>
              <w:t>1.不适于研究人群中暴露比例很低的</w:t>
            </w:r>
            <w:r>
              <w:rPr>
                <w:spacing w:val="12"/>
                <w:sz w:val="18"/>
                <w:szCs w:val="18"/>
              </w:rPr>
              <w:t xml:space="preserve"> </w:t>
            </w:r>
            <w:r>
              <w:rPr>
                <w:spacing w:val="-6"/>
                <w:sz w:val="18"/>
                <w:szCs w:val="18"/>
              </w:rPr>
              <w:t>因素</w:t>
            </w:r>
          </w:p>
          <w:p w14:paraId="3313EA32">
            <w:pPr>
              <w:pStyle w:val="6"/>
              <w:spacing w:before="65" w:line="219" w:lineRule="auto"/>
              <w:ind w:left="118"/>
              <w:rPr>
                <w:sz w:val="18"/>
                <w:szCs w:val="18"/>
              </w:rPr>
            </w:pPr>
            <w:r>
              <w:rPr>
                <w:spacing w:val="-10"/>
                <w:sz w:val="18"/>
                <w:szCs w:val="18"/>
              </w:rPr>
              <w:t>2.</w:t>
            </w:r>
            <w:r>
              <w:rPr>
                <w:spacing w:val="-42"/>
                <w:sz w:val="18"/>
                <w:szCs w:val="18"/>
              </w:rPr>
              <w:t xml:space="preserve"> </w:t>
            </w:r>
            <w:r>
              <w:rPr>
                <w:spacing w:val="-10"/>
                <w:sz w:val="18"/>
                <w:szCs w:val="18"/>
              </w:rPr>
              <w:t>选择研究对象时，难以避免选择偏倚</w:t>
            </w:r>
          </w:p>
          <w:p w14:paraId="397D4C87">
            <w:pPr>
              <w:pStyle w:val="6"/>
              <w:spacing w:before="57" w:line="219" w:lineRule="auto"/>
              <w:ind w:left="118"/>
              <w:rPr>
                <w:sz w:val="18"/>
                <w:szCs w:val="18"/>
              </w:rPr>
            </w:pPr>
            <w:r>
              <w:rPr>
                <w:spacing w:val="-8"/>
                <w:sz w:val="18"/>
                <w:szCs w:val="18"/>
              </w:rPr>
              <w:t>3.获取既往信息时，难以避免回忆偏倚</w:t>
            </w:r>
          </w:p>
          <w:p w14:paraId="45C49CD7">
            <w:pPr>
              <w:pStyle w:val="6"/>
              <w:spacing w:before="55" w:line="258" w:lineRule="auto"/>
              <w:ind w:left="118" w:right="9"/>
              <w:rPr>
                <w:sz w:val="18"/>
                <w:szCs w:val="18"/>
              </w:rPr>
            </w:pPr>
            <w:r>
              <w:rPr>
                <w:spacing w:val="-5"/>
                <w:sz w:val="18"/>
                <w:szCs w:val="18"/>
              </w:rPr>
              <w:t>4.</w:t>
            </w:r>
            <w:r>
              <w:rPr>
                <w:spacing w:val="-41"/>
                <w:sz w:val="18"/>
                <w:szCs w:val="18"/>
              </w:rPr>
              <w:t xml:space="preserve"> </w:t>
            </w:r>
            <w:r>
              <w:rPr>
                <w:spacing w:val="-5"/>
                <w:sz w:val="18"/>
                <w:szCs w:val="18"/>
              </w:rPr>
              <w:t>暴露与疾病的时间先后常难以判断，</w:t>
            </w:r>
            <w:r>
              <w:rPr>
                <w:sz w:val="18"/>
                <w:szCs w:val="18"/>
              </w:rPr>
              <w:t xml:space="preserve"> </w:t>
            </w:r>
            <w:r>
              <w:rPr>
                <w:spacing w:val="-8"/>
                <w:sz w:val="18"/>
                <w:szCs w:val="18"/>
              </w:rPr>
              <w:t>论证因果关系的能力没有队列研究强</w:t>
            </w:r>
          </w:p>
          <w:p w14:paraId="26CBACC0">
            <w:pPr>
              <w:pStyle w:val="6"/>
              <w:spacing w:before="55" w:line="254" w:lineRule="auto"/>
              <w:ind w:left="118" w:right="86"/>
              <w:rPr>
                <w:rFonts w:ascii="Times New Roman" w:hAnsi="Times New Roman" w:eastAsia="Times New Roman" w:cs="Times New Roman"/>
                <w:sz w:val="18"/>
                <w:szCs w:val="18"/>
              </w:rPr>
            </w:pPr>
            <w:r>
              <w:rPr>
                <w:sz w:val="18"/>
                <w:szCs w:val="18"/>
              </w:rPr>
              <w:t>5.</w:t>
            </w:r>
            <w:r>
              <w:rPr>
                <w:spacing w:val="-28"/>
                <w:sz w:val="18"/>
                <w:szCs w:val="18"/>
              </w:rPr>
              <w:t xml:space="preserve"> </w:t>
            </w:r>
            <w:r>
              <w:rPr>
                <w:sz w:val="18"/>
                <w:szCs w:val="18"/>
              </w:rPr>
              <w:t xml:space="preserve">不能测定暴露组和非暴露组疾病的 </w:t>
            </w:r>
            <w:r>
              <w:rPr>
                <w:spacing w:val="-3"/>
                <w:sz w:val="18"/>
                <w:szCs w:val="18"/>
              </w:rPr>
              <w:t>发病率，不能直接分析</w:t>
            </w:r>
            <w:r>
              <w:rPr>
                <w:spacing w:val="-39"/>
                <w:sz w:val="18"/>
                <w:szCs w:val="18"/>
              </w:rPr>
              <w:t xml:space="preserve"> </w:t>
            </w:r>
            <w:r>
              <w:rPr>
                <w:rFonts w:ascii="Times New Roman" w:hAnsi="Times New Roman" w:eastAsia="Times New Roman" w:cs="Times New Roman"/>
                <w:spacing w:val="-3"/>
                <w:sz w:val="18"/>
                <w:szCs w:val="18"/>
              </w:rPr>
              <w:t xml:space="preserve">RR, </w:t>
            </w:r>
            <w:r>
              <w:rPr>
                <w:spacing w:val="-3"/>
                <w:sz w:val="18"/>
                <w:szCs w:val="18"/>
              </w:rPr>
              <w:t>只能用</w:t>
            </w:r>
            <w:r>
              <w:rPr>
                <w:rFonts w:ascii="Times New Roman" w:hAnsi="Times New Roman" w:eastAsia="Times New Roman" w:cs="Times New Roman"/>
                <w:spacing w:val="-3"/>
                <w:sz w:val="18"/>
                <w:szCs w:val="18"/>
              </w:rPr>
              <w:t>OR</w:t>
            </w:r>
            <w:r>
              <w:rPr>
                <w:rFonts w:ascii="Times New Roman" w:hAnsi="Times New Roman" w:eastAsia="Times New Roman" w:cs="Times New Roman"/>
                <w:sz w:val="18"/>
                <w:szCs w:val="18"/>
              </w:rPr>
              <w:t xml:space="preserve">  </w:t>
            </w:r>
            <w:r>
              <w:rPr>
                <w:spacing w:val="6"/>
                <w:sz w:val="18"/>
                <w:szCs w:val="18"/>
              </w:rPr>
              <w:t>来估计</w:t>
            </w:r>
            <w:r>
              <w:rPr>
                <w:rFonts w:ascii="Times New Roman" w:hAnsi="Times New Roman" w:eastAsia="Times New Roman" w:cs="Times New Roman"/>
                <w:sz w:val="18"/>
                <w:szCs w:val="18"/>
              </w:rPr>
              <w:t>RR</w:t>
            </w:r>
          </w:p>
        </w:tc>
        <w:tc>
          <w:tcPr>
            <w:tcW w:w="4330" w:type="dxa"/>
            <w:vAlign w:val="top"/>
          </w:tcPr>
          <w:p w14:paraId="7D498F46">
            <w:pPr>
              <w:pStyle w:val="6"/>
              <w:spacing w:before="107" w:line="219" w:lineRule="auto"/>
              <w:ind w:left="99"/>
              <w:rPr>
                <w:sz w:val="18"/>
                <w:szCs w:val="18"/>
              </w:rPr>
            </w:pPr>
            <w:r>
              <w:rPr>
                <w:spacing w:val="-2"/>
                <w:sz w:val="18"/>
                <w:szCs w:val="18"/>
              </w:rPr>
              <w:t>1.不适于发病率很低的疾病的病因研究</w:t>
            </w:r>
          </w:p>
          <w:p w14:paraId="68CFE953">
            <w:pPr>
              <w:pStyle w:val="6"/>
              <w:spacing w:before="67" w:line="248" w:lineRule="auto"/>
              <w:ind w:left="99" w:right="108"/>
              <w:rPr>
                <w:sz w:val="18"/>
                <w:szCs w:val="18"/>
              </w:rPr>
            </w:pPr>
            <w:r>
              <w:rPr>
                <w:spacing w:val="-1"/>
                <w:sz w:val="18"/>
                <w:szCs w:val="18"/>
              </w:rPr>
              <w:t>2.由于随访时间较长，研究对象不易保持依从性，容</w:t>
            </w:r>
            <w:r>
              <w:rPr>
                <w:spacing w:val="4"/>
                <w:sz w:val="18"/>
                <w:szCs w:val="18"/>
              </w:rPr>
              <w:t xml:space="preserve"> </w:t>
            </w:r>
            <w:r>
              <w:rPr>
                <w:spacing w:val="-3"/>
                <w:sz w:val="18"/>
                <w:szCs w:val="18"/>
              </w:rPr>
              <w:t>易产生失访偏倚</w:t>
            </w:r>
          </w:p>
          <w:p w14:paraId="077A4FA7">
            <w:pPr>
              <w:pStyle w:val="6"/>
              <w:spacing w:before="76" w:line="237" w:lineRule="auto"/>
              <w:ind w:left="99" w:right="86"/>
              <w:rPr>
                <w:sz w:val="18"/>
                <w:szCs w:val="18"/>
              </w:rPr>
            </w:pPr>
            <w:r>
              <w:rPr>
                <w:spacing w:val="-9"/>
                <w:sz w:val="18"/>
                <w:szCs w:val="18"/>
              </w:rPr>
              <w:t>3.</w:t>
            </w:r>
            <w:r>
              <w:rPr>
                <w:spacing w:val="-42"/>
                <w:sz w:val="18"/>
                <w:szCs w:val="18"/>
              </w:rPr>
              <w:t xml:space="preserve"> </w:t>
            </w:r>
            <w:r>
              <w:rPr>
                <w:spacing w:val="-9"/>
                <w:sz w:val="18"/>
                <w:szCs w:val="18"/>
              </w:rPr>
              <w:t>研究耗费的人力、物力、财力和时间较多，其组织与</w:t>
            </w:r>
            <w:r>
              <w:rPr>
                <w:sz w:val="18"/>
                <w:szCs w:val="18"/>
              </w:rPr>
              <w:t xml:space="preserve"> </w:t>
            </w:r>
            <w:r>
              <w:rPr>
                <w:spacing w:val="-7"/>
                <w:sz w:val="18"/>
                <w:szCs w:val="18"/>
              </w:rPr>
              <w:t>后勤工作也相当艰巨，不易实施</w:t>
            </w:r>
          </w:p>
          <w:p w14:paraId="6AC92BB0">
            <w:pPr>
              <w:pStyle w:val="6"/>
              <w:spacing w:before="68" w:line="267" w:lineRule="auto"/>
              <w:ind w:left="99" w:right="85"/>
              <w:rPr>
                <w:sz w:val="18"/>
                <w:szCs w:val="18"/>
              </w:rPr>
            </w:pPr>
            <w:r>
              <w:rPr>
                <w:spacing w:val="-3"/>
                <w:sz w:val="18"/>
                <w:szCs w:val="18"/>
              </w:rPr>
              <w:t>4.</w:t>
            </w:r>
            <w:r>
              <w:rPr>
                <w:spacing w:val="-16"/>
                <w:sz w:val="18"/>
                <w:szCs w:val="18"/>
              </w:rPr>
              <w:t xml:space="preserve"> </w:t>
            </w:r>
            <w:r>
              <w:rPr>
                <w:spacing w:val="-3"/>
                <w:sz w:val="18"/>
                <w:szCs w:val="18"/>
              </w:rPr>
              <w:t>在随访过程中，未知变量引人人群，或人群中已知</w:t>
            </w:r>
            <w:r>
              <w:rPr>
                <w:sz w:val="18"/>
                <w:szCs w:val="18"/>
              </w:rPr>
              <w:t xml:space="preserve"> </w:t>
            </w:r>
            <w:r>
              <w:rPr>
                <w:spacing w:val="-8"/>
                <w:sz w:val="18"/>
                <w:szCs w:val="18"/>
              </w:rPr>
              <w:t>变量的变化等，都可使结局受到影响，使资料的收集和</w:t>
            </w:r>
            <w:r>
              <w:rPr>
                <w:spacing w:val="15"/>
                <w:sz w:val="18"/>
                <w:szCs w:val="18"/>
              </w:rPr>
              <w:t xml:space="preserve"> </w:t>
            </w:r>
            <w:r>
              <w:rPr>
                <w:spacing w:val="-1"/>
                <w:sz w:val="18"/>
                <w:szCs w:val="18"/>
              </w:rPr>
              <w:t>分析复杂化。未知变量是指在研究设计和数据收集过</w:t>
            </w:r>
            <w:r>
              <w:rPr>
                <w:spacing w:val="12"/>
                <w:sz w:val="18"/>
                <w:szCs w:val="18"/>
              </w:rPr>
              <w:t xml:space="preserve"> </w:t>
            </w:r>
            <w:r>
              <w:rPr>
                <w:spacing w:val="-1"/>
                <w:sz w:val="18"/>
                <w:szCs w:val="18"/>
              </w:rPr>
              <w:t>程中未被明确测量或控制的变量，可能包括未记录的</w:t>
            </w:r>
            <w:r>
              <w:rPr>
                <w:spacing w:val="15"/>
                <w:sz w:val="18"/>
                <w:szCs w:val="18"/>
              </w:rPr>
              <w:t xml:space="preserve"> </w:t>
            </w:r>
            <w:r>
              <w:rPr>
                <w:spacing w:val="-10"/>
                <w:sz w:val="18"/>
                <w:szCs w:val="18"/>
              </w:rPr>
              <w:t>暴露、未识别的混杂因素或测量误差等，它们可能会干</w:t>
            </w:r>
            <w:r>
              <w:rPr>
                <w:spacing w:val="15"/>
                <w:sz w:val="18"/>
                <w:szCs w:val="18"/>
              </w:rPr>
              <w:t xml:space="preserve"> </w:t>
            </w:r>
            <w:r>
              <w:rPr>
                <w:spacing w:val="-1"/>
                <w:sz w:val="18"/>
                <w:szCs w:val="18"/>
              </w:rPr>
              <w:t>扰研究结果的准确性</w:t>
            </w:r>
          </w:p>
        </w:tc>
      </w:tr>
    </w:tbl>
    <w:p w14:paraId="3E889B26">
      <w:pPr>
        <w:spacing w:line="301" w:lineRule="auto"/>
        <w:rPr>
          <w:rFonts w:ascii="Arial"/>
          <w:sz w:val="21"/>
        </w:rPr>
      </w:pPr>
    </w:p>
    <w:p w14:paraId="0546790D">
      <w:pPr>
        <w:pStyle w:val="2"/>
        <w:spacing w:before="72" w:line="222" w:lineRule="auto"/>
        <w:ind w:right="5"/>
        <w:jc w:val="right"/>
        <w:rPr>
          <w:sz w:val="22"/>
          <w:szCs w:val="22"/>
        </w:rPr>
      </w:pPr>
      <w:r>
        <w:rPr>
          <w:b/>
          <w:bCs/>
          <w:spacing w:val="4"/>
          <w:sz w:val="22"/>
          <w:szCs w:val="22"/>
        </w:rPr>
        <w:t>(林华亮)</w:t>
      </w:r>
    </w:p>
    <w:p w14:paraId="7368CD32">
      <w:pPr>
        <w:spacing w:line="222" w:lineRule="auto"/>
        <w:rPr>
          <w:sz w:val="22"/>
          <w:szCs w:val="22"/>
        </w:rPr>
        <w:sectPr>
          <w:footerReference r:id="rId112" w:type="default"/>
          <w:pgSz w:w="11900" w:h="16820"/>
          <w:pgMar w:top="400" w:right="1785" w:bottom="755" w:left="1180" w:header="0" w:footer="593" w:gutter="0"/>
          <w:cols w:space="720" w:num="1"/>
        </w:sectPr>
      </w:pPr>
    </w:p>
    <w:p w14:paraId="253A9528">
      <w:pPr>
        <w:spacing w:line="293" w:lineRule="auto"/>
        <w:rPr>
          <w:rFonts w:ascii="Arial"/>
          <w:sz w:val="21"/>
        </w:rPr>
      </w:pPr>
    </w:p>
    <w:p w14:paraId="6C66B326">
      <w:pPr>
        <w:pStyle w:val="2"/>
        <w:spacing w:before="58" w:line="222" w:lineRule="auto"/>
        <w:ind w:left="7018"/>
        <w:rPr>
          <w:sz w:val="18"/>
          <w:szCs w:val="18"/>
        </w:rPr>
      </w:pPr>
      <w:r>
        <w:rPr>
          <w:b/>
          <w:bCs/>
          <w:spacing w:val="11"/>
          <w:sz w:val="18"/>
          <w:szCs w:val="18"/>
        </w:rPr>
        <w:t>第五章病例对照研究</w:t>
      </w:r>
    </w:p>
    <w:p w14:paraId="0CF579DB">
      <w:pPr>
        <w:spacing w:line="263" w:lineRule="auto"/>
        <w:rPr>
          <w:rFonts w:ascii="Arial"/>
          <w:sz w:val="21"/>
        </w:rPr>
      </w:pPr>
    </w:p>
    <w:p w14:paraId="28A1B9C3">
      <w:pPr>
        <w:spacing w:line="263" w:lineRule="auto"/>
        <w:rPr>
          <w:rFonts w:ascii="Arial"/>
          <w:sz w:val="21"/>
        </w:rPr>
      </w:pPr>
    </w:p>
    <w:p w14:paraId="136D4C2C">
      <w:pPr>
        <w:spacing w:line="263" w:lineRule="auto"/>
        <w:rPr>
          <w:rFonts w:ascii="Arial"/>
          <w:sz w:val="21"/>
        </w:rPr>
      </w:pPr>
    </w:p>
    <w:p w14:paraId="60F08ED6">
      <w:pPr>
        <w:spacing w:line="264" w:lineRule="auto"/>
        <w:rPr>
          <w:rFonts w:ascii="Arial"/>
          <w:sz w:val="21"/>
        </w:rPr>
      </w:pPr>
    </w:p>
    <w:p w14:paraId="116078B2">
      <w:pPr>
        <w:pStyle w:val="2"/>
        <w:spacing w:before="87" w:line="222" w:lineRule="auto"/>
        <w:rPr>
          <w:sz w:val="27"/>
          <w:szCs w:val="27"/>
        </w:rPr>
      </w:pPr>
      <w:r>
        <w:rPr>
          <w:b/>
          <w:bCs/>
          <w:spacing w:val="-6"/>
          <w:sz w:val="27"/>
          <w:szCs w:val="27"/>
        </w:rPr>
        <w:t>思考题</w:t>
      </w:r>
    </w:p>
    <w:p w14:paraId="3C798FAD">
      <w:pPr>
        <w:spacing w:before="55" w:line="219" w:lineRule="auto"/>
        <w:ind w:left="826"/>
        <w:rPr>
          <w:rFonts w:ascii="宋体" w:hAnsi="宋体" w:eastAsia="宋体" w:cs="宋体"/>
          <w:sz w:val="22"/>
          <w:szCs w:val="22"/>
        </w:rPr>
      </w:pPr>
      <w:r>
        <w:rPr>
          <w:rFonts w:ascii="宋体" w:hAnsi="宋体" w:eastAsia="宋体" w:cs="宋体"/>
          <w:sz w:val="22"/>
          <w:szCs w:val="22"/>
        </w:rPr>
        <w:t>1.</w:t>
      </w:r>
      <w:r>
        <w:rPr>
          <w:rFonts w:ascii="宋体" w:hAnsi="宋体" w:eastAsia="宋体" w:cs="宋体"/>
          <w:spacing w:val="-30"/>
          <w:sz w:val="22"/>
          <w:szCs w:val="22"/>
        </w:rPr>
        <w:t xml:space="preserve"> </w:t>
      </w:r>
      <w:r>
        <w:rPr>
          <w:rFonts w:ascii="宋体" w:hAnsi="宋体" w:eastAsia="宋体" w:cs="宋体"/>
          <w:sz w:val="22"/>
          <w:szCs w:val="22"/>
        </w:rPr>
        <w:t>病例对照研究的基本原理是什么?</w:t>
      </w:r>
    </w:p>
    <w:p w14:paraId="1B39E2CC">
      <w:pPr>
        <w:spacing w:before="109" w:line="219" w:lineRule="auto"/>
        <w:ind w:left="826"/>
        <w:rPr>
          <w:rFonts w:ascii="宋体" w:hAnsi="宋体" w:eastAsia="宋体" w:cs="宋体"/>
          <w:sz w:val="22"/>
          <w:szCs w:val="22"/>
        </w:rPr>
      </w:pPr>
      <w:r>
        <w:rPr>
          <w:rFonts w:ascii="宋体" w:hAnsi="宋体" w:eastAsia="宋体" w:cs="宋体"/>
          <w:spacing w:val="2"/>
          <w:sz w:val="22"/>
          <w:szCs w:val="22"/>
        </w:rPr>
        <w:t>2.</w:t>
      </w:r>
      <w:r>
        <w:rPr>
          <w:rFonts w:ascii="宋体" w:hAnsi="宋体" w:eastAsia="宋体" w:cs="宋体"/>
          <w:spacing w:val="-49"/>
          <w:sz w:val="22"/>
          <w:szCs w:val="22"/>
        </w:rPr>
        <w:t xml:space="preserve"> </w:t>
      </w:r>
      <w:r>
        <w:rPr>
          <w:rFonts w:ascii="宋体" w:hAnsi="宋体" w:eastAsia="宋体" w:cs="宋体"/>
          <w:spacing w:val="2"/>
          <w:sz w:val="22"/>
          <w:szCs w:val="22"/>
        </w:rPr>
        <w:t>简述病例对照研究的用途。</w:t>
      </w:r>
    </w:p>
    <w:p w14:paraId="2497BFBB">
      <w:pPr>
        <w:spacing w:before="139" w:line="219" w:lineRule="auto"/>
        <w:ind w:left="826"/>
        <w:rPr>
          <w:rFonts w:ascii="宋体" w:hAnsi="宋体" w:eastAsia="宋体" w:cs="宋体"/>
          <w:sz w:val="22"/>
          <w:szCs w:val="22"/>
        </w:rPr>
      </w:pPr>
      <w:r>
        <w:rPr>
          <w:rFonts w:ascii="宋体" w:hAnsi="宋体" w:eastAsia="宋体" w:cs="宋体"/>
          <w:spacing w:val="-4"/>
          <w:sz w:val="22"/>
          <w:szCs w:val="22"/>
        </w:rPr>
        <w:t>3.</w:t>
      </w:r>
      <w:r>
        <w:rPr>
          <w:rFonts w:ascii="宋体" w:hAnsi="宋体" w:eastAsia="宋体" w:cs="宋体"/>
          <w:spacing w:val="-47"/>
          <w:sz w:val="22"/>
          <w:szCs w:val="22"/>
        </w:rPr>
        <w:t xml:space="preserve"> </w:t>
      </w:r>
      <w:r>
        <w:rPr>
          <w:rFonts w:ascii="宋体" w:hAnsi="宋体" w:eastAsia="宋体" w:cs="宋体"/>
          <w:spacing w:val="-4"/>
          <w:sz w:val="22"/>
          <w:szCs w:val="22"/>
        </w:rPr>
        <w:t>病例对照研究中，如何选择病例组和对</w:t>
      </w:r>
      <w:r>
        <w:rPr>
          <w:rFonts w:ascii="宋体" w:hAnsi="宋体" w:eastAsia="宋体" w:cs="宋体"/>
          <w:spacing w:val="-5"/>
          <w:sz w:val="22"/>
          <w:szCs w:val="22"/>
        </w:rPr>
        <w:t>照组?</w:t>
      </w:r>
    </w:p>
    <w:p w14:paraId="137413D5">
      <w:pPr>
        <w:spacing w:before="109" w:line="219" w:lineRule="auto"/>
        <w:ind w:left="826"/>
        <w:rPr>
          <w:rFonts w:ascii="宋体" w:hAnsi="宋体" w:eastAsia="宋体" w:cs="宋体"/>
          <w:sz w:val="22"/>
          <w:szCs w:val="22"/>
        </w:rPr>
      </w:pPr>
      <w:r>
        <w:rPr>
          <w:rFonts w:ascii="宋体" w:hAnsi="宋体" w:eastAsia="宋体" w:cs="宋体"/>
          <w:sz w:val="22"/>
          <w:szCs w:val="22"/>
        </w:rPr>
        <w:t>4.</w:t>
      </w:r>
      <w:r>
        <w:rPr>
          <w:rFonts w:ascii="宋体" w:hAnsi="宋体" w:eastAsia="宋体" w:cs="宋体"/>
          <w:spacing w:val="-30"/>
          <w:sz w:val="22"/>
          <w:szCs w:val="22"/>
        </w:rPr>
        <w:t xml:space="preserve"> </w:t>
      </w:r>
      <w:r>
        <w:rPr>
          <w:rFonts w:ascii="宋体" w:hAnsi="宋体" w:eastAsia="宋体" w:cs="宋体"/>
          <w:sz w:val="22"/>
          <w:szCs w:val="22"/>
        </w:rPr>
        <w:t>影响病例对照研究样本量的因素有哪些?</w:t>
      </w:r>
    </w:p>
    <w:p w14:paraId="127A8F86">
      <w:pPr>
        <w:spacing w:before="89" w:line="219" w:lineRule="auto"/>
        <w:ind w:left="826"/>
        <w:rPr>
          <w:rFonts w:ascii="宋体" w:hAnsi="宋体" w:eastAsia="宋体" w:cs="宋体"/>
          <w:sz w:val="22"/>
          <w:szCs w:val="22"/>
        </w:rPr>
      </w:pPr>
      <w:r>
        <w:rPr>
          <w:rFonts w:ascii="宋体" w:hAnsi="宋体" w:eastAsia="宋体" w:cs="宋体"/>
          <w:spacing w:val="1"/>
          <w:sz w:val="22"/>
          <w:szCs w:val="22"/>
        </w:rPr>
        <w:t>5.</w:t>
      </w:r>
      <w:r>
        <w:rPr>
          <w:rFonts w:ascii="宋体" w:hAnsi="宋体" w:eastAsia="宋体" w:cs="宋体"/>
          <w:spacing w:val="-48"/>
          <w:sz w:val="22"/>
          <w:szCs w:val="22"/>
        </w:rPr>
        <w:t xml:space="preserve"> </w:t>
      </w:r>
      <w:r>
        <w:rPr>
          <w:rFonts w:ascii="宋体" w:hAnsi="宋体" w:eastAsia="宋体" w:cs="宋体"/>
          <w:spacing w:val="1"/>
          <w:sz w:val="22"/>
          <w:szCs w:val="22"/>
        </w:rPr>
        <w:t>病例对照研究中匹配的目的是什么?</w:t>
      </w:r>
    </w:p>
    <w:p w14:paraId="26B5EBBC">
      <w:pPr>
        <w:spacing w:before="138" w:line="218" w:lineRule="auto"/>
        <w:ind w:left="826"/>
        <w:rPr>
          <w:rFonts w:ascii="宋体" w:hAnsi="宋体" w:eastAsia="宋体" w:cs="宋体"/>
          <w:sz w:val="22"/>
          <w:szCs w:val="22"/>
        </w:rPr>
      </w:pPr>
      <w:r>
        <w:rPr>
          <w:rFonts w:ascii="宋体" w:hAnsi="宋体" w:eastAsia="宋体" w:cs="宋体"/>
          <w:spacing w:val="-4"/>
          <w:sz w:val="22"/>
          <w:szCs w:val="22"/>
        </w:rPr>
        <w:t>6.</w:t>
      </w:r>
      <w:r>
        <w:rPr>
          <w:rFonts w:ascii="宋体" w:hAnsi="宋体" w:eastAsia="宋体" w:cs="宋体"/>
          <w:spacing w:val="-33"/>
          <w:sz w:val="22"/>
          <w:szCs w:val="22"/>
        </w:rPr>
        <w:t xml:space="preserve"> </w:t>
      </w:r>
      <w:r>
        <w:rPr>
          <w:rFonts w:ascii="宋体" w:hAnsi="宋体" w:eastAsia="宋体" w:cs="宋体"/>
          <w:spacing w:val="-4"/>
          <w:sz w:val="22"/>
          <w:szCs w:val="22"/>
        </w:rPr>
        <w:t>何</w:t>
      </w:r>
      <w:r>
        <w:rPr>
          <w:rFonts w:ascii="宋体" w:hAnsi="宋体" w:eastAsia="宋体" w:cs="宋体"/>
          <w:spacing w:val="-32"/>
          <w:sz w:val="22"/>
          <w:szCs w:val="22"/>
        </w:rPr>
        <w:t xml:space="preserve"> </w:t>
      </w:r>
      <w:r>
        <w:rPr>
          <w:rFonts w:ascii="宋体" w:hAnsi="宋体" w:eastAsia="宋体" w:cs="宋体"/>
          <w:spacing w:val="-4"/>
          <w:sz w:val="22"/>
          <w:szCs w:val="22"/>
        </w:rPr>
        <w:t>谓OR?  估</w:t>
      </w:r>
      <w:r>
        <w:rPr>
          <w:rFonts w:ascii="宋体" w:hAnsi="宋体" w:eastAsia="宋体" w:cs="宋体"/>
          <w:spacing w:val="-33"/>
          <w:sz w:val="22"/>
          <w:szCs w:val="22"/>
        </w:rPr>
        <w:t xml:space="preserve"> </w:t>
      </w:r>
      <w:r>
        <w:rPr>
          <w:rFonts w:ascii="宋体" w:hAnsi="宋体" w:eastAsia="宋体" w:cs="宋体"/>
          <w:spacing w:val="-4"/>
          <w:sz w:val="22"/>
          <w:szCs w:val="22"/>
        </w:rPr>
        <w:t>计OR   95%可信区间的意义是什么?</w:t>
      </w:r>
    </w:p>
    <w:p w14:paraId="3017082A">
      <w:pPr>
        <w:spacing w:before="111" w:line="219" w:lineRule="auto"/>
        <w:ind w:left="826"/>
        <w:rPr>
          <w:rFonts w:ascii="宋体" w:hAnsi="宋体" w:eastAsia="宋体" w:cs="宋体"/>
          <w:sz w:val="22"/>
          <w:szCs w:val="22"/>
        </w:rPr>
      </w:pPr>
      <w:r>
        <w:rPr>
          <w:rFonts w:ascii="宋体" w:hAnsi="宋体" w:eastAsia="宋体" w:cs="宋体"/>
          <w:spacing w:val="4"/>
          <w:sz w:val="22"/>
          <w:szCs w:val="22"/>
        </w:rPr>
        <w:t>7.</w:t>
      </w:r>
      <w:r>
        <w:rPr>
          <w:rFonts w:ascii="宋体" w:hAnsi="宋体" w:eastAsia="宋体" w:cs="宋体"/>
          <w:spacing w:val="-42"/>
          <w:sz w:val="22"/>
          <w:szCs w:val="22"/>
        </w:rPr>
        <w:t xml:space="preserve"> </w:t>
      </w:r>
      <w:r>
        <w:rPr>
          <w:rFonts w:ascii="宋体" w:hAnsi="宋体" w:eastAsia="宋体" w:cs="宋体"/>
          <w:spacing w:val="4"/>
          <w:sz w:val="22"/>
          <w:szCs w:val="22"/>
        </w:rPr>
        <w:t>病例对照研究中常见的偏倚有哪些?如何控制?</w:t>
      </w:r>
    </w:p>
    <w:p w14:paraId="0F10FDCC">
      <w:pPr>
        <w:spacing w:before="99" w:line="219" w:lineRule="auto"/>
        <w:ind w:left="826"/>
        <w:rPr>
          <w:rFonts w:ascii="宋体" w:hAnsi="宋体" w:eastAsia="宋体" w:cs="宋体"/>
          <w:sz w:val="22"/>
          <w:szCs w:val="22"/>
        </w:rPr>
      </w:pPr>
      <w:r>
        <w:rPr>
          <w:rFonts w:ascii="宋体" w:hAnsi="宋体" w:eastAsia="宋体" w:cs="宋体"/>
          <w:sz w:val="22"/>
          <w:szCs w:val="22"/>
        </w:rPr>
        <w:t>8.</w:t>
      </w:r>
      <w:r>
        <w:rPr>
          <w:rFonts w:ascii="宋体" w:hAnsi="宋体" w:eastAsia="宋体" w:cs="宋体"/>
          <w:spacing w:val="-42"/>
          <w:sz w:val="22"/>
          <w:szCs w:val="22"/>
        </w:rPr>
        <w:t xml:space="preserve"> </w:t>
      </w:r>
      <w:r>
        <w:rPr>
          <w:rFonts w:ascii="宋体" w:hAnsi="宋体" w:eastAsia="宋体" w:cs="宋体"/>
          <w:sz w:val="22"/>
          <w:szCs w:val="22"/>
        </w:rPr>
        <w:t>简述病例对照研究的优点和局限性。</w:t>
      </w:r>
    </w:p>
    <w:p w14:paraId="3B7E1F10">
      <w:pPr>
        <w:spacing w:line="219" w:lineRule="auto"/>
        <w:rPr>
          <w:rFonts w:ascii="宋体" w:hAnsi="宋体" w:eastAsia="宋体" w:cs="宋体"/>
          <w:sz w:val="22"/>
          <w:szCs w:val="22"/>
        </w:rPr>
        <w:sectPr>
          <w:footerReference r:id="rId113" w:type="default"/>
          <w:pgSz w:w="11900" w:h="16820"/>
          <w:pgMar w:top="400" w:right="1300" w:bottom="825" w:left="1123" w:header="0" w:footer="663" w:gutter="0"/>
          <w:cols w:space="720" w:num="1"/>
        </w:sectPr>
      </w:pPr>
    </w:p>
    <w:p w14:paraId="38A1F461">
      <w:pPr>
        <w:spacing w:line="271" w:lineRule="auto"/>
        <w:rPr>
          <w:rFonts w:ascii="Arial"/>
          <w:sz w:val="21"/>
        </w:rPr>
      </w:pPr>
    </w:p>
    <w:p w14:paraId="77B0E6F2">
      <w:pPr>
        <w:spacing w:line="272" w:lineRule="auto"/>
        <w:rPr>
          <w:rFonts w:ascii="Arial"/>
          <w:sz w:val="21"/>
        </w:rPr>
      </w:pPr>
    </w:p>
    <w:p w14:paraId="70D9DDBB">
      <w:pPr>
        <w:spacing w:line="272" w:lineRule="auto"/>
        <w:rPr>
          <w:rFonts w:ascii="Arial"/>
          <w:sz w:val="21"/>
        </w:rPr>
      </w:pPr>
    </w:p>
    <w:p w14:paraId="1DD9F7C1">
      <w:pPr>
        <w:spacing w:line="272" w:lineRule="auto"/>
        <w:rPr>
          <w:rFonts w:ascii="Arial"/>
          <w:sz w:val="21"/>
        </w:rPr>
      </w:pPr>
      <w:r>
        <w:drawing>
          <wp:anchor distT="0" distB="0" distL="0" distR="0" simplePos="0" relativeHeight="251756544" behindDoc="0" locked="0" layoutInCell="1" allowOverlap="1">
            <wp:simplePos x="0" y="0"/>
            <wp:positionH relativeFrom="column">
              <wp:posOffset>139700</wp:posOffset>
            </wp:positionH>
            <wp:positionV relativeFrom="paragraph">
              <wp:posOffset>196215</wp:posOffset>
            </wp:positionV>
            <wp:extent cx="812800" cy="1009650"/>
            <wp:effectExtent l="0" t="0" r="0" b="0"/>
            <wp:wrapNone/>
            <wp:docPr id="362" name="IM 362"/>
            <wp:cNvGraphicFramePr/>
            <a:graphic xmlns:a="http://schemas.openxmlformats.org/drawingml/2006/main">
              <a:graphicData uri="http://schemas.openxmlformats.org/drawingml/2006/picture">
                <pic:pic xmlns:pic="http://schemas.openxmlformats.org/drawingml/2006/picture">
                  <pic:nvPicPr>
                    <pic:cNvPr id="362" name="IM 362"/>
                    <pic:cNvPicPr/>
                  </pic:nvPicPr>
                  <pic:blipFill>
                    <a:blip r:embed="rId552"/>
                    <a:stretch>
                      <a:fillRect/>
                    </a:stretch>
                  </pic:blipFill>
                  <pic:spPr>
                    <a:xfrm>
                      <a:off x="0" y="0"/>
                      <a:ext cx="812852" cy="1009646"/>
                    </a:xfrm>
                    <a:prstGeom prst="rect">
                      <a:avLst/>
                    </a:prstGeom>
                  </pic:spPr>
                </pic:pic>
              </a:graphicData>
            </a:graphic>
          </wp:anchor>
        </w:drawing>
      </w:r>
    </w:p>
    <w:p w14:paraId="55177D86">
      <w:pPr>
        <w:pStyle w:val="2"/>
        <w:spacing w:before="91" w:line="222" w:lineRule="auto"/>
        <w:ind w:left="4504"/>
        <w:outlineLvl w:val="0"/>
        <w:rPr>
          <w:sz w:val="28"/>
          <w:szCs w:val="28"/>
        </w:rPr>
      </w:pPr>
      <w:bookmarkStart w:id="155" w:name="bookmark98"/>
      <w:bookmarkEnd w:id="155"/>
      <w:r>
        <w:rPr>
          <w:b/>
          <w:bCs/>
          <w:spacing w:val="1"/>
          <w:sz w:val="28"/>
          <w:szCs w:val="28"/>
        </w:rPr>
        <w:t>第六章</w:t>
      </w:r>
    </w:p>
    <w:p w14:paraId="275FAE26">
      <w:pPr>
        <w:pStyle w:val="2"/>
        <w:spacing w:before="95" w:line="221" w:lineRule="auto"/>
        <w:ind w:left="3656"/>
        <w:outlineLvl w:val="0"/>
        <w:rPr>
          <w:sz w:val="43"/>
          <w:szCs w:val="43"/>
        </w:rPr>
      </w:pPr>
      <w:bookmarkStart w:id="156" w:name="bookmark98"/>
      <w:bookmarkEnd w:id="156"/>
      <w:r>
        <w:rPr>
          <w:b/>
          <w:bCs/>
          <w:spacing w:val="-9"/>
          <w:sz w:val="43"/>
          <w:szCs w:val="43"/>
        </w:rPr>
        <w:t>实验流行病学</w:t>
      </w:r>
    </w:p>
    <w:p w14:paraId="0E449019">
      <w:pPr>
        <w:spacing w:line="275" w:lineRule="auto"/>
        <w:rPr>
          <w:rFonts w:ascii="Arial"/>
          <w:sz w:val="21"/>
        </w:rPr>
      </w:pPr>
    </w:p>
    <w:p w14:paraId="66C56008">
      <w:pPr>
        <w:spacing w:line="275" w:lineRule="auto"/>
        <w:rPr>
          <w:rFonts w:ascii="Arial"/>
          <w:sz w:val="21"/>
        </w:rPr>
      </w:pPr>
    </w:p>
    <w:p w14:paraId="0B5A069F">
      <w:pPr>
        <w:spacing w:line="276" w:lineRule="auto"/>
        <w:rPr>
          <w:rFonts w:ascii="Arial"/>
          <w:sz w:val="21"/>
        </w:rPr>
      </w:pPr>
    </w:p>
    <w:p w14:paraId="462A4F75">
      <w:pPr>
        <w:spacing w:before="81" w:line="198" w:lineRule="auto"/>
        <w:ind w:left="2520"/>
        <w:rPr>
          <w:rFonts w:ascii="Arial" w:hAnsi="Arial" w:eastAsia="Arial" w:cs="Arial"/>
          <w:sz w:val="28"/>
          <w:szCs w:val="28"/>
        </w:rPr>
      </w:pPr>
      <w:r>
        <w:rPr>
          <w:rFonts w:ascii="Arial" w:hAnsi="Arial" w:eastAsia="Arial" w:cs="Arial"/>
          <w:b/>
          <w:bCs/>
          <w:spacing w:val="-8"/>
          <w:sz w:val="28"/>
          <w:szCs w:val="28"/>
        </w:rPr>
        <w:t>Chapter 6</w:t>
      </w:r>
      <w:r>
        <w:rPr>
          <w:rFonts w:ascii="Arial" w:hAnsi="Arial" w:eastAsia="Arial" w:cs="Arial"/>
          <w:b/>
          <w:bCs/>
          <w:spacing w:val="28"/>
          <w:sz w:val="28"/>
          <w:szCs w:val="28"/>
        </w:rPr>
        <w:t xml:space="preserve"> </w:t>
      </w:r>
      <w:r>
        <w:rPr>
          <w:rFonts w:ascii="Arial" w:hAnsi="Arial" w:eastAsia="Arial" w:cs="Arial"/>
          <w:b/>
          <w:bCs/>
          <w:spacing w:val="-8"/>
          <w:sz w:val="28"/>
          <w:szCs w:val="28"/>
        </w:rPr>
        <w:t>Experimental</w:t>
      </w:r>
      <w:r>
        <w:rPr>
          <w:rFonts w:ascii="Arial" w:hAnsi="Arial" w:eastAsia="Arial" w:cs="Arial"/>
          <w:b/>
          <w:bCs/>
          <w:spacing w:val="16"/>
          <w:sz w:val="28"/>
          <w:szCs w:val="28"/>
        </w:rPr>
        <w:t xml:space="preserve"> </w:t>
      </w:r>
      <w:r>
        <w:rPr>
          <w:rFonts w:ascii="Arial" w:hAnsi="Arial" w:eastAsia="Arial" w:cs="Arial"/>
          <w:b/>
          <w:bCs/>
          <w:spacing w:val="-8"/>
          <w:sz w:val="28"/>
          <w:szCs w:val="28"/>
        </w:rPr>
        <w:t>Epidemiology</w:t>
      </w:r>
    </w:p>
    <w:p w14:paraId="5AF3A1D2">
      <w:pPr>
        <w:spacing w:line="405" w:lineRule="auto"/>
        <w:rPr>
          <w:rFonts w:ascii="Arial"/>
          <w:sz w:val="21"/>
        </w:rPr>
      </w:pPr>
    </w:p>
    <w:p w14:paraId="5927BD6B">
      <w:pPr>
        <w:spacing w:before="57" w:line="383" w:lineRule="auto"/>
        <w:ind w:left="640" w:right="84" w:firstLine="399"/>
        <w:jc w:val="both"/>
        <w:rPr>
          <w:rFonts w:ascii="Times New Roman" w:hAnsi="Times New Roman" w:eastAsia="Times New Roman" w:cs="Times New Roman"/>
          <w:sz w:val="20"/>
          <w:szCs w:val="20"/>
        </w:rPr>
      </w:pPr>
      <w:r>
        <w:rPr>
          <w:rFonts w:ascii="Times New Roman" w:hAnsi="Times New Roman" w:eastAsia="Times New Roman" w:cs="Times New Roman"/>
          <w:spacing w:val="-1"/>
          <w:sz w:val="20"/>
          <w:szCs w:val="20"/>
        </w:rPr>
        <w:t>Experimental</w:t>
      </w:r>
      <w:r>
        <w:rPr>
          <w:rFonts w:ascii="Times New Roman" w:hAnsi="Times New Roman" w:eastAsia="Times New Roman" w:cs="Times New Roman"/>
          <w:spacing w:val="55"/>
          <w:w w:val="101"/>
          <w:sz w:val="20"/>
          <w:szCs w:val="20"/>
        </w:rPr>
        <w:t xml:space="preserve"> </w:t>
      </w:r>
      <w:r>
        <w:rPr>
          <w:rFonts w:ascii="Times New Roman" w:hAnsi="Times New Roman" w:eastAsia="Times New Roman" w:cs="Times New Roman"/>
          <w:spacing w:val="-1"/>
          <w:sz w:val="20"/>
          <w:szCs w:val="20"/>
        </w:rPr>
        <w:t>epidemiology</w:t>
      </w:r>
      <w:r>
        <w:rPr>
          <w:rFonts w:ascii="Times New Roman" w:hAnsi="Times New Roman" w:eastAsia="Times New Roman" w:cs="Times New Roman"/>
          <w:spacing w:val="47"/>
          <w:sz w:val="20"/>
          <w:szCs w:val="20"/>
        </w:rPr>
        <w:t xml:space="preserve"> </w:t>
      </w:r>
      <w:r>
        <w:rPr>
          <w:rFonts w:ascii="Times New Roman" w:hAnsi="Times New Roman" w:eastAsia="Times New Roman" w:cs="Times New Roman"/>
          <w:spacing w:val="-1"/>
          <w:sz w:val="20"/>
          <w:szCs w:val="20"/>
        </w:rPr>
        <w:t>is</w:t>
      </w:r>
      <w:r>
        <w:rPr>
          <w:rFonts w:ascii="Times New Roman" w:hAnsi="Times New Roman" w:eastAsia="Times New Roman" w:cs="Times New Roman"/>
          <w:spacing w:val="49"/>
          <w:sz w:val="20"/>
          <w:szCs w:val="20"/>
        </w:rPr>
        <w:t xml:space="preserve"> </w:t>
      </w:r>
      <w:r>
        <w:rPr>
          <w:rFonts w:ascii="Times New Roman" w:hAnsi="Times New Roman" w:eastAsia="Times New Roman" w:cs="Times New Roman"/>
          <w:spacing w:val="-1"/>
          <w:sz w:val="20"/>
          <w:szCs w:val="20"/>
        </w:rPr>
        <w:t>an</w:t>
      </w:r>
      <w:r>
        <w:rPr>
          <w:rFonts w:ascii="Times New Roman" w:hAnsi="Times New Roman" w:eastAsia="Times New Roman" w:cs="Times New Roman"/>
          <w:spacing w:val="49"/>
          <w:sz w:val="20"/>
          <w:szCs w:val="20"/>
        </w:rPr>
        <w:t xml:space="preserve"> </w:t>
      </w:r>
      <w:r>
        <w:rPr>
          <w:rFonts w:ascii="Times New Roman" w:hAnsi="Times New Roman" w:eastAsia="Times New Roman" w:cs="Times New Roman"/>
          <w:spacing w:val="-1"/>
          <w:sz w:val="20"/>
          <w:szCs w:val="20"/>
        </w:rPr>
        <w:t>experiment</w:t>
      </w:r>
      <w:r>
        <w:rPr>
          <w:rFonts w:ascii="Times New Roman" w:hAnsi="Times New Roman" w:eastAsia="Times New Roman" w:cs="Times New Roman"/>
          <w:spacing w:val="46"/>
          <w:w w:val="101"/>
          <w:sz w:val="20"/>
          <w:szCs w:val="20"/>
        </w:rPr>
        <w:t xml:space="preserve"> </w:t>
      </w:r>
      <w:r>
        <w:rPr>
          <w:rFonts w:ascii="Times New Roman" w:hAnsi="Times New Roman" w:eastAsia="Times New Roman" w:cs="Times New Roman"/>
          <w:spacing w:val="-1"/>
          <w:sz w:val="20"/>
          <w:szCs w:val="20"/>
        </w:rPr>
        <w:t>in</w:t>
      </w:r>
      <w:r>
        <w:rPr>
          <w:rFonts w:ascii="Times New Roman" w:hAnsi="Times New Roman" w:eastAsia="Times New Roman" w:cs="Times New Roman"/>
          <w:spacing w:val="43"/>
          <w:sz w:val="20"/>
          <w:szCs w:val="20"/>
        </w:rPr>
        <w:t xml:space="preserve"> </w:t>
      </w:r>
      <w:r>
        <w:rPr>
          <w:rFonts w:ascii="Times New Roman" w:hAnsi="Times New Roman" w:eastAsia="Times New Roman" w:cs="Times New Roman"/>
          <w:spacing w:val="-1"/>
          <w:sz w:val="20"/>
          <w:szCs w:val="20"/>
        </w:rPr>
        <w:t>which</w:t>
      </w:r>
      <w:r>
        <w:rPr>
          <w:rFonts w:ascii="Times New Roman" w:hAnsi="Times New Roman" w:eastAsia="Times New Roman" w:cs="Times New Roman"/>
          <w:spacing w:val="43"/>
          <w:w w:val="101"/>
          <w:sz w:val="20"/>
          <w:szCs w:val="20"/>
        </w:rPr>
        <w:t xml:space="preserve"> </w:t>
      </w:r>
      <w:r>
        <w:rPr>
          <w:rFonts w:ascii="Times New Roman" w:hAnsi="Times New Roman" w:eastAsia="Times New Roman" w:cs="Times New Roman"/>
          <w:spacing w:val="-1"/>
          <w:sz w:val="20"/>
          <w:szCs w:val="20"/>
        </w:rPr>
        <w:t>the</w:t>
      </w:r>
      <w:r>
        <w:rPr>
          <w:rFonts w:ascii="Times New Roman" w:hAnsi="Times New Roman" w:eastAsia="Times New Roman" w:cs="Times New Roman"/>
          <w:spacing w:val="47"/>
          <w:w w:val="101"/>
          <w:sz w:val="20"/>
          <w:szCs w:val="20"/>
        </w:rPr>
        <w:t xml:space="preserve"> </w:t>
      </w:r>
      <w:r>
        <w:rPr>
          <w:rFonts w:ascii="Times New Roman" w:hAnsi="Times New Roman" w:eastAsia="Times New Roman" w:cs="Times New Roman"/>
          <w:spacing w:val="-1"/>
          <w:sz w:val="20"/>
          <w:szCs w:val="20"/>
        </w:rPr>
        <w:t>intervention</w:t>
      </w:r>
      <w:r>
        <w:rPr>
          <w:rFonts w:ascii="Times New Roman" w:hAnsi="Times New Roman" w:eastAsia="Times New Roman" w:cs="Times New Roman"/>
          <w:spacing w:val="47"/>
          <w:sz w:val="20"/>
          <w:szCs w:val="20"/>
        </w:rPr>
        <w:t xml:space="preserve"> </w:t>
      </w:r>
      <w:r>
        <w:rPr>
          <w:rFonts w:ascii="Times New Roman" w:hAnsi="Times New Roman" w:eastAsia="Times New Roman" w:cs="Times New Roman"/>
          <w:spacing w:val="-1"/>
          <w:sz w:val="20"/>
          <w:szCs w:val="20"/>
        </w:rPr>
        <w:t>is</w:t>
      </w:r>
      <w:r>
        <w:rPr>
          <w:rFonts w:ascii="Times New Roman" w:hAnsi="Times New Roman" w:eastAsia="Times New Roman" w:cs="Times New Roman"/>
          <w:spacing w:val="49"/>
          <w:sz w:val="20"/>
          <w:szCs w:val="20"/>
        </w:rPr>
        <w:t xml:space="preserve"> </w:t>
      </w:r>
      <w:r>
        <w:rPr>
          <w:rFonts w:ascii="Times New Roman" w:hAnsi="Times New Roman" w:eastAsia="Times New Roman" w:cs="Times New Roman"/>
          <w:spacing w:val="-1"/>
          <w:sz w:val="20"/>
          <w:szCs w:val="20"/>
        </w:rPr>
        <w:t>applied</w:t>
      </w:r>
      <w:r>
        <w:rPr>
          <w:rFonts w:ascii="Times New Roman" w:hAnsi="Times New Roman" w:eastAsia="Times New Roman" w:cs="Times New Roman"/>
          <w:spacing w:val="43"/>
          <w:sz w:val="20"/>
          <w:szCs w:val="20"/>
        </w:rPr>
        <w:t xml:space="preserve"> </w:t>
      </w:r>
      <w:r>
        <w:rPr>
          <w:rFonts w:ascii="Times New Roman" w:hAnsi="Times New Roman" w:eastAsia="Times New Roman" w:cs="Times New Roman"/>
          <w:spacing w:val="-1"/>
          <w:sz w:val="20"/>
          <w:szCs w:val="20"/>
        </w:rPr>
        <w:t>to</w:t>
      </w:r>
      <w:r>
        <w:rPr>
          <w:rFonts w:ascii="Times New Roman" w:hAnsi="Times New Roman" w:eastAsia="Times New Roman" w:cs="Times New Roman"/>
          <w:spacing w:val="47"/>
          <w:sz w:val="20"/>
          <w:szCs w:val="20"/>
        </w:rPr>
        <w:t xml:space="preserve"> </w:t>
      </w:r>
      <w:r>
        <w:rPr>
          <w:rFonts w:ascii="Times New Roman" w:hAnsi="Times New Roman" w:eastAsia="Times New Roman" w:cs="Times New Roman"/>
          <w:spacing w:val="-1"/>
          <w:sz w:val="20"/>
          <w:szCs w:val="20"/>
        </w:rPr>
        <w:t>individuals</w:t>
      </w:r>
      <w:r>
        <w:rPr>
          <w:rFonts w:ascii="Times New Roman" w:hAnsi="Times New Roman" w:eastAsia="Times New Roman" w:cs="Times New Roman"/>
          <w:sz w:val="20"/>
          <w:szCs w:val="20"/>
        </w:rPr>
        <w:t xml:space="preserve"> (patients</w:t>
      </w:r>
      <w:r>
        <w:rPr>
          <w:rFonts w:ascii="Times New Roman" w:hAnsi="Times New Roman" w:eastAsia="Times New Roman" w:cs="Times New Roman"/>
          <w:spacing w:val="28"/>
          <w:w w:val="101"/>
          <w:sz w:val="20"/>
          <w:szCs w:val="20"/>
        </w:rPr>
        <w:t xml:space="preserve"> </w:t>
      </w:r>
      <w:r>
        <w:rPr>
          <w:rFonts w:ascii="Times New Roman" w:hAnsi="Times New Roman" w:eastAsia="Times New Roman" w:cs="Times New Roman"/>
          <w:sz w:val="20"/>
          <w:szCs w:val="20"/>
        </w:rPr>
        <w:t>or</w:t>
      </w:r>
      <w:r>
        <w:rPr>
          <w:rFonts w:ascii="Times New Roman" w:hAnsi="Times New Roman" w:eastAsia="Times New Roman" w:cs="Times New Roman"/>
          <w:spacing w:val="21"/>
          <w:w w:val="101"/>
          <w:sz w:val="20"/>
          <w:szCs w:val="20"/>
        </w:rPr>
        <w:t xml:space="preserve"> </w:t>
      </w:r>
      <w:r>
        <w:rPr>
          <w:rFonts w:ascii="Times New Roman" w:hAnsi="Times New Roman" w:eastAsia="Times New Roman" w:cs="Times New Roman"/>
          <w:sz w:val="20"/>
          <w:szCs w:val="20"/>
        </w:rPr>
        <w:t>healthy</w:t>
      </w:r>
      <w:r>
        <w:rPr>
          <w:rFonts w:ascii="Times New Roman" w:hAnsi="Times New Roman" w:eastAsia="Times New Roman" w:cs="Times New Roman"/>
          <w:spacing w:val="21"/>
          <w:w w:val="101"/>
          <w:sz w:val="20"/>
          <w:szCs w:val="20"/>
        </w:rPr>
        <w:t xml:space="preserve"> </w:t>
      </w:r>
      <w:r>
        <w:rPr>
          <w:rFonts w:ascii="Times New Roman" w:hAnsi="Times New Roman" w:eastAsia="Times New Roman" w:cs="Times New Roman"/>
          <w:sz w:val="20"/>
          <w:szCs w:val="20"/>
        </w:rPr>
        <w:t>p</w:t>
      </w:r>
      <w:r>
        <w:rPr>
          <w:rFonts w:ascii="Times New Roman" w:hAnsi="Times New Roman" w:eastAsia="Times New Roman" w:cs="Times New Roman"/>
          <w:spacing w:val="-1"/>
          <w:sz w:val="20"/>
          <w:szCs w:val="20"/>
        </w:rPr>
        <w:t>eople),and</w:t>
      </w:r>
      <w:r>
        <w:rPr>
          <w:rFonts w:ascii="Times New Roman" w:hAnsi="Times New Roman" w:eastAsia="Times New Roman" w:cs="Times New Roman"/>
          <w:spacing w:val="27"/>
          <w:sz w:val="20"/>
          <w:szCs w:val="20"/>
        </w:rPr>
        <w:t xml:space="preserve"> </w:t>
      </w:r>
      <w:r>
        <w:rPr>
          <w:rFonts w:ascii="Times New Roman" w:hAnsi="Times New Roman" w:eastAsia="Times New Roman" w:cs="Times New Roman"/>
          <w:spacing w:val="-1"/>
          <w:sz w:val="20"/>
          <w:szCs w:val="20"/>
        </w:rPr>
        <w:t>its</w:t>
      </w:r>
      <w:r>
        <w:rPr>
          <w:rFonts w:ascii="Times New Roman" w:hAnsi="Times New Roman" w:eastAsia="Times New Roman" w:cs="Times New Roman"/>
          <w:spacing w:val="29"/>
          <w:sz w:val="20"/>
          <w:szCs w:val="20"/>
        </w:rPr>
        <w:t xml:space="preserve"> </w:t>
      </w:r>
      <w:r>
        <w:rPr>
          <w:rFonts w:ascii="Times New Roman" w:hAnsi="Times New Roman" w:eastAsia="Times New Roman" w:cs="Times New Roman"/>
          <w:spacing w:val="-1"/>
          <w:sz w:val="20"/>
          <w:szCs w:val="20"/>
        </w:rPr>
        <w:t>effects</w:t>
      </w:r>
      <w:r>
        <w:rPr>
          <w:rFonts w:ascii="Times New Roman" w:hAnsi="Times New Roman" w:eastAsia="Times New Roman" w:cs="Times New Roman"/>
          <w:spacing w:val="29"/>
          <w:sz w:val="20"/>
          <w:szCs w:val="20"/>
        </w:rPr>
        <w:t xml:space="preserve"> </w:t>
      </w:r>
      <w:r>
        <w:rPr>
          <w:rFonts w:ascii="Times New Roman" w:hAnsi="Times New Roman" w:eastAsia="Times New Roman" w:cs="Times New Roman"/>
          <w:spacing w:val="-1"/>
          <w:sz w:val="20"/>
          <w:szCs w:val="20"/>
        </w:rPr>
        <w:t>are</w:t>
      </w:r>
      <w:r>
        <w:rPr>
          <w:rFonts w:ascii="Times New Roman" w:hAnsi="Times New Roman" w:eastAsia="Times New Roman" w:cs="Times New Roman"/>
          <w:spacing w:val="29"/>
          <w:sz w:val="20"/>
          <w:szCs w:val="20"/>
        </w:rPr>
        <w:t xml:space="preserve"> </w:t>
      </w:r>
      <w:r>
        <w:rPr>
          <w:rFonts w:ascii="Times New Roman" w:hAnsi="Times New Roman" w:eastAsia="Times New Roman" w:cs="Times New Roman"/>
          <w:spacing w:val="-1"/>
          <w:sz w:val="20"/>
          <w:szCs w:val="20"/>
        </w:rPr>
        <w:t>evaluated.The</w:t>
      </w:r>
      <w:r>
        <w:rPr>
          <w:rFonts w:ascii="Times New Roman" w:hAnsi="Times New Roman" w:eastAsia="Times New Roman" w:cs="Times New Roman"/>
          <w:spacing w:val="29"/>
          <w:w w:val="101"/>
          <w:sz w:val="20"/>
          <w:szCs w:val="20"/>
        </w:rPr>
        <w:t xml:space="preserve"> </w:t>
      </w:r>
      <w:r>
        <w:rPr>
          <w:rFonts w:ascii="Times New Roman" w:hAnsi="Times New Roman" w:eastAsia="Times New Roman" w:cs="Times New Roman"/>
          <w:spacing w:val="-1"/>
          <w:sz w:val="20"/>
          <w:szCs w:val="20"/>
        </w:rPr>
        <w:t>essential</w:t>
      </w:r>
      <w:r>
        <w:rPr>
          <w:rFonts w:ascii="Times New Roman" w:hAnsi="Times New Roman" w:eastAsia="Times New Roman" w:cs="Times New Roman"/>
          <w:spacing w:val="29"/>
          <w:w w:val="101"/>
          <w:sz w:val="20"/>
          <w:szCs w:val="20"/>
        </w:rPr>
        <w:t xml:space="preserve"> </w:t>
      </w:r>
      <w:r>
        <w:rPr>
          <w:rFonts w:ascii="Times New Roman" w:hAnsi="Times New Roman" w:eastAsia="Times New Roman" w:cs="Times New Roman"/>
          <w:spacing w:val="-1"/>
          <w:sz w:val="20"/>
          <w:szCs w:val="20"/>
        </w:rPr>
        <w:t>features</w:t>
      </w:r>
      <w:r>
        <w:rPr>
          <w:rFonts w:ascii="Times New Roman" w:hAnsi="Times New Roman" w:eastAsia="Times New Roman" w:cs="Times New Roman"/>
          <w:spacing w:val="28"/>
          <w:w w:val="101"/>
          <w:sz w:val="20"/>
          <w:szCs w:val="20"/>
        </w:rPr>
        <w:t xml:space="preserve"> </w:t>
      </w:r>
      <w:r>
        <w:rPr>
          <w:rFonts w:ascii="Times New Roman" w:hAnsi="Times New Roman" w:eastAsia="Times New Roman" w:cs="Times New Roman"/>
          <w:spacing w:val="-1"/>
          <w:sz w:val="20"/>
          <w:szCs w:val="20"/>
        </w:rPr>
        <w:t>are</w:t>
      </w:r>
      <w:r>
        <w:rPr>
          <w:rFonts w:ascii="Times New Roman" w:hAnsi="Times New Roman" w:eastAsia="Times New Roman" w:cs="Times New Roman"/>
          <w:spacing w:val="21"/>
          <w:w w:val="101"/>
          <w:sz w:val="20"/>
          <w:szCs w:val="20"/>
        </w:rPr>
        <w:t xml:space="preserve"> </w:t>
      </w:r>
      <w:r>
        <w:rPr>
          <w:rFonts w:ascii="Times New Roman" w:hAnsi="Times New Roman" w:eastAsia="Times New Roman" w:cs="Times New Roman"/>
          <w:spacing w:val="-1"/>
          <w:sz w:val="20"/>
          <w:szCs w:val="20"/>
        </w:rPr>
        <w:t>prospective,in</w:t>
      </w:r>
      <w:r>
        <w:rPr>
          <w:rFonts w:ascii="Times New Roman" w:hAnsi="Times New Roman" w:eastAsia="Times New Roman" w:cs="Times New Roman"/>
          <w:spacing w:val="23"/>
          <w:sz w:val="20"/>
          <w:szCs w:val="20"/>
        </w:rPr>
        <w:t xml:space="preserve"> </w:t>
      </w:r>
      <w:r>
        <w:rPr>
          <w:rFonts w:ascii="Times New Roman" w:hAnsi="Times New Roman" w:eastAsia="Times New Roman" w:cs="Times New Roman"/>
          <w:spacing w:val="-1"/>
          <w:sz w:val="20"/>
          <w:szCs w:val="20"/>
        </w:rPr>
        <w:t>which</w:t>
      </w:r>
      <w:r>
        <w:rPr>
          <w:rFonts w:ascii="Times New Roman" w:hAnsi="Times New Roman" w:eastAsia="Times New Roman" w:cs="Times New Roman"/>
          <w:sz w:val="20"/>
          <w:szCs w:val="20"/>
        </w:rPr>
        <w:t xml:space="preserve"> </w:t>
      </w:r>
      <w:r>
        <w:rPr>
          <w:rFonts w:ascii="Times New Roman" w:hAnsi="Times New Roman" w:eastAsia="Times New Roman" w:cs="Times New Roman"/>
          <w:spacing w:val="-1"/>
          <w:sz w:val="20"/>
          <w:szCs w:val="20"/>
        </w:rPr>
        <w:t>the</w:t>
      </w:r>
      <w:r>
        <w:rPr>
          <w:rFonts w:ascii="Times New Roman" w:hAnsi="Times New Roman" w:eastAsia="Times New Roman" w:cs="Times New Roman"/>
          <w:spacing w:val="53"/>
          <w:w w:val="101"/>
          <w:sz w:val="20"/>
          <w:szCs w:val="20"/>
        </w:rPr>
        <w:t xml:space="preserve"> </w:t>
      </w:r>
      <w:r>
        <w:rPr>
          <w:rFonts w:ascii="Times New Roman" w:hAnsi="Times New Roman" w:eastAsia="Times New Roman" w:cs="Times New Roman"/>
          <w:spacing w:val="-1"/>
          <w:sz w:val="20"/>
          <w:szCs w:val="20"/>
        </w:rPr>
        <w:t>intervention</w:t>
      </w:r>
      <w:r>
        <w:rPr>
          <w:rFonts w:ascii="Times New Roman" w:hAnsi="Times New Roman" w:eastAsia="Times New Roman" w:cs="Times New Roman"/>
          <w:spacing w:val="43"/>
          <w:sz w:val="20"/>
          <w:szCs w:val="20"/>
        </w:rPr>
        <w:t xml:space="preserve"> </w:t>
      </w:r>
      <w:r>
        <w:rPr>
          <w:rFonts w:ascii="Times New Roman" w:hAnsi="Times New Roman" w:eastAsia="Times New Roman" w:cs="Times New Roman"/>
          <w:spacing w:val="-1"/>
          <w:sz w:val="20"/>
          <w:szCs w:val="20"/>
        </w:rPr>
        <w:t>is</w:t>
      </w:r>
      <w:r>
        <w:rPr>
          <w:rFonts w:ascii="Times New Roman" w:hAnsi="Times New Roman" w:eastAsia="Times New Roman" w:cs="Times New Roman"/>
          <w:spacing w:val="43"/>
          <w:w w:val="101"/>
          <w:sz w:val="20"/>
          <w:szCs w:val="20"/>
        </w:rPr>
        <w:t xml:space="preserve"> </w:t>
      </w:r>
      <w:r>
        <w:rPr>
          <w:rFonts w:ascii="Times New Roman" w:hAnsi="Times New Roman" w:eastAsia="Times New Roman" w:cs="Times New Roman"/>
          <w:spacing w:val="-1"/>
          <w:sz w:val="20"/>
          <w:szCs w:val="20"/>
        </w:rPr>
        <w:t>compared</w:t>
      </w:r>
      <w:r>
        <w:rPr>
          <w:rFonts w:ascii="Times New Roman" w:hAnsi="Times New Roman" w:eastAsia="Times New Roman" w:cs="Times New Roman"/>
          <w:spacing w:val="38"/>
          <w:sz w:val="20"/>
          <w:szCs w:val="20"/>
        </w:rPr>
        <w:t xml:space="preserve"> </w:t>
      </w:r>
      <w:r>
        <w:rPr>
          <w:rFonts w:ascii="Times New Roman" w:hAnsi="Times New Roman" w:eastAsia="Times New Roman" w:cs="Times New Roman"/>
          <w:spacing w:val="-1"/>
          <w:sz w:val="20"/>
          <w:szCs w:val="20"/>
        </w:rPr>
        <w:t>with</w:t>
      </w:r>
      <w:r>
        <w:rPr>
          <w:rFonts w:ascii="Times New Roman" w:hAnsi="Times New Roman" w:eastAsia="Times New Roman" w:cs="Times New Roman"/>
          <w:spacing w:val="44"/>
          <w:sz w:val="20"/>
          <w:szCs w:val="20"/>
        </w:rPr>
        <w:t xml:space="preserve"> </w:t>
      </w:r>
      <w:r>
        <w:rPr>
          <w:rFonts w:ascii="Times New Roman" w:hAnsi="Times New Roman" w:eastAsia="Times New Roman" w:cs="Times New Roman"/>
          <w:spacing w:val="-1"/>
          <w:sz w:val="20"/>
          <w:szCs w:val="20"/>
        </w:rPr>
        <w:t>a</w:t>
      </w:r>
      <w:r>
        <w:rPr>
          <w:rFonts w:ascii="Times New Roman" w:hAnsi="Times New Roman" w:eastAsia="Times New Roman" w:cs="Times New Roman"/>
          <w:spacing w:val="44"/>
          <w:sz w:val="20"/>
          <w:szCs w:val="20"/>
        </w:rPr>
        <w:t xml:space="preserve"> </w:t>
      </w:r>
      <w:r>
        <w:rPr>
          <w:rFonts w:ascii="Times New Roman" w:hAnsi="Times New Roman" w:eastAsia="Times New Roman" w:cs="Times New Roman"/>
          <w:spacing w:val="-1"/>
          <w:sz w:val="20"/>
          <w:szCs w:val="20"/>
        </w:rPr>
        <w:t>control,and</w:t>
      </w:r>
      <w:r>
        <w:rPr>
          <w:rFonts w:ascii="Times New Roman" w:hAnsi="Times New Roman" w:eastAsia="Times New Roman" w:cs="Times New Roman"/>
          <w:spacing w:val="38"/>
          <w:w w:val="101"/>
          <w:sz w:val="20"/>
          <w:szCs w:val="20"/>
        </w:rPr>
        <w:t xml:space="preserve"> </w:t>
      </w:r>
      <w:r>
        <w:rPr>
          <w:rFonts w:ascii="Times New Roman" w:hAnsi="Times New Roman" w:eastAsia="Times New Roman" w:cs="Times New Roman"/>
          <w:spacing w:val="-1"/>
          <w:sz w:val="20"/>
          <w:szCs w:val="20"/>
        </w:rPr>
        <w:t>the</w:t>
      </w:r>
      <w:r>
        <w:rPr>
          <w:rFonts w:ascii="Times New Roman" w:hAnsi="Times New Roman" w:eastAsia="Times New Roman" w:cs="Times New Roman"/>
          <w:spacing w:val="44"/>
          <w:sz w:val="20"/>
          <w:szCs w:val="20"/>
        </w:rPr>
        <w:t xml:space="preserve"> </w:t>
      </w:r>
      <w:r>
        <w:rPr>
          <w:rFonts w:ascii="Times New Roman" w:hAnsi="Times New Roman" w:eastAsia="Times New Roman" w:cs="Times New Roman"/>
          <w:spacing w:val="-1"/>
          <w:sz w:val="20"/>
          <w:szCs w:val="20"/>
        </w:rPr>
        <w:t>allocation</w:t>
      </w:r>
      <w:r>
        <w:rPr>
          <w:rFonts w:ascii="Times New Roman" w:hAnsi="Times New Roman" w:eastAsia="Times New Roman" w:cs="Times New Roman"/>
          <w:spacing w:val="39"/>
          <w:sz w:val="20"/>
          <w:szCs w:val="20"/>
        </w:rPr>
        <w:t xml:space="preserve"> </w:t>
      </w:r>
      <w:r>
        <w:rPr>
          <w:rFonts w:ascii="Times New Roman" w:hAnsi="Times New Roman" w:eastAsia="Times New Roman" w:cs="Times New Roman"/>
          <w:spacing w:val="-1"/>
          <w:sz w:val="20"/>
          <w:szCs w:val="20"/>
        </w:rPr>
        <w:t>to</w:t>
      </w:r>
      <w:r>
        <w:rPr>
          <w:rFonts w:ascii="Times New Roman" w:hAnsi="Times New Roman" w:eastAsia="Times New Roman" w:cs="Times New Roman"/>
          <w:spacing w:val="39"/>
          <w:sz w:val="20"/>
          <w:szCs w:val="20"/>
        </w:rPr>
        <w:t xml:space="preserve"> </w:t>
      </w:r>
      <w:r>
        <w:rPr>
          <w:rFonts w:ascii="Times New Roman" w:hAnsi="Times New Roman" w:eastAsia="Times New Roman" w:cs="Times New Roman"/>
          <w:spacing w:val="-1"/>
          <w:sz w:val="20"/>
          <w:szCs w:val="20"/>
        </w:rPr>
        <w:t>treatment</w:t>
      </w:r>
      <w:r>
        <w:rPr>
          <w:rFonts w:ascii="Times New Roman" w:hAnsi="Times New Roman" w:eastAsia="Times New Roman" w:cs="Times New Roman"/>
          <w:spacing w:val="43"/>
          <w:w w:val="101"/>
          <w:sz w:val="20"/>
          <w:szCs w:val="20"/>
        </w:rPr>
        <w:t xml:space="preserve"> </w:t>
      </w:r>
      <w:r>
        <w:rPr>
          <w:rFonts w:ascii="Times New Roman" w:hAnsi="Times New Roman" w:eastAsia="Times New Roman" w:cs="Times New Roman"/>
          <w:spacing w:val="-1"/>
          <w:sz w:val="20"/>
          <w:szCs w:val="20"/>
        </w:rPr>
        <w:t>or</w:t>
      </w:r>
      <w:r>
        <w:rPr>
          <w:rFonts w:ascii="Times New Roman" w:hAnsi="Times New Roman" w:eastAsia="Times New Roman" w:cs="Times New Roman"/>
          <w:spacing w:val="42"/>
          <w:w w:val="101"/>
          <w:sz w:val="20"/>
          <w:szCs w:val="20"/>
        </w:rPr>
        <w:t xml:space="preserve"> </w:t>
      </w:r>
      <w:r>
        <w:rPr>
          <w:rFonts w:ascii="Times New Roman" w:hAnsi="Times New Roman" w:eastAsia="Times New Roman" w:cs="Times New Roman"/>
          <w:spacing w:val="-1"/>
          <w:sz w:val="20"/>
          <w:szCs w:val="20"/>
        </w:rPr>
        <w:t>control</w:t>
      </w:r>
      <w:r>
        <w:rPr>
          <w:rFonts w:ascii="Times New Roman" w:hAnsi="Times New Roman" w:eastAsia="Times New Roman" w:cs="Times New Roman"/>
          <w:spacing w:val="43"/>
          <w:sz w:val="20"/>
          <w:szCs w:val="20"/>
        </w:rPr>
        <w:t xml:space="preserve"> </w:t>
      </w:r>
      <w:r>
        <w:rPr>
          <w:rFonts w:ascii="Times New Roman" w:hAnsi="Times New Roman" w:eastAsia="Times New Roman" w:cs="Times New Roman"/>
          <w:spacing w:val="-1"/>
          <w:sz w:val="20"/>
          <w:szCs w:val="20"/>
        </w:rPr>
        <w:t>is</w:t>
      </w:r>
      <w:r>
        <w:rPr>
          <w:rFonts w:ascii="Times New Roman" w:hAnsi="Times New Roman" w:eastAsia="Times New Roman" w:cs="Times New Roman"/>
          <w:spacing w:val="38"/>
          <w:sz w:val="20"/>
          <w:szCs w:val="20"/>
        </w:rPr>
        <w:t xml:space="preserve"> </w:t>
      </w:r>
      <w:r>
        <w:rPr>
          <w:rFonts w:ascii="Times New Roman" w:hAnsi="Times New Roman" w:eastAsia="Times New Roman" w:cs="Times New Roman"/>
          <w:spacing w:val="-1"/>
          <w:sz w:val="20"/>
          <w:szCs w:val="20"/>
        </w:rPr>
        <w:t>randomized.</w:t>
      </w:r>
      <w:r>
        <w:rPr>
          <w:rFonts w:ascii="Times New Roman" w:hAnsi="Times New Roman" w:eastAsia="Times New Roman" w:cs="Times New Roman"/>
          <w:sz w:val="20"/>
          <w:szCs w:val="20"/>
        </w:rPr>
        <w:t xml:space="preserve"> Experimental</w:t>
      </w:r>
      <w:r>
        <w:rPr>
          <w:rFonts w:ascii="Times New Roman" w:hAnsi="Times New Roman" w:eastAsia="Times New Roman" w:cs="Times New Roman"/>
          <w:spacing w:val="16"/>
          <w:w w:val="101"/>
          <w:sz w:val="20"/>
          <w:szCs w:val="20"/>
        </w:rPr>
        <w:t xml:space="preserve">  </w:t>
      </w:r>
      <w:r>
        <w:rPr>
          <w:rFonts w:ascii="Times New Roman" w:hAnsi="Times New Roman" w:eastAsia="Times New Roman" w:cs="Times New Roman"/>
          <w:sz w:val="20"/>
          <w:szCs w:val="20"/>
        </w:rPr>
        <w:t>studies</w:t>
      </w:r>
      <w:r>
        <w:rPr>
          <w:rFonts w:ascii="Times New Roman" w:hAnsi="Times New Roman" w:eastAsia="Times New Roman" w:cs="Times New Roman"/>
          <w:spacing w:val="15"/>
          <w:sz w:val="20"/>
          <w:szCs w:val="20"/>
        </w:rPr>
        <w:t xml:space="preserve">  </w:t>
      </w:r>
      <w:r>
        <w:rPr>
          <w:rFonts w:ascii="Times New Roman" w:hAnsi="Times New Roman" w:eastAsia="Times New Roman" w:cs="Times New Roman"/>
          <w:sz w:val="20"/>
          <w:szCs w:val="20"/>
        </w:rPr>
        <w:t>include</w:t>
      </w:r>
      <w:r>
        <w:rPr>
          <w:rFonts w:ascii="Times New Roman" w:hAnsi="Times New Roman" w:eastAsia="Times New Roman" w:cs="Times New Roman"/>
          <w:spacing w:val="15"/>
          <w:w w:val="101"/>
          <w:sz w:val="20"/>
          <w:szCs w:val="20"/>
        </w:rPr>
        <w:t xml:space="preserve">  </w:t>
      </w:r>
      <w:r>
        <w:rPr>
          <w:rFonts w:ascii="Times New Roman" w:hAnsi="Times New Roman" w:eastAsia="Times New Roman" w:cs="Times New Roman"/>
          <w:sz w:val="20"/>
          <w:szCs w:val="20"/>
        </w:rPr>
        <w:t>clinical</w:t>
      </w:r>
      <w:r>
        <w:rPr>
          <w:rFonts w:ascii="Times New Roman" w:hAnsi="Times New Roman" w:eastAsia="Times New Roman" w:cs="Times New Roman"/>
          <w:spacing w:val="13"/>
          <w:sz w:val="20"/>
          <w:szCs w:val="20"/>
        </w:rPr>
        <w:t xml:space="preserve">  </w:t>
      </w:r>
      <w:r>
        <w:rPr>
          <w:rFonts w:ascii="Times New Roman" w:hAnsi="Times New Roman" w:eastAsia="Times New Roman" w:cs="Times New Roman"/>
          <w:spacing w:val="-1"/>
          <w:sz w:val="20"/>
          <w:szCs w:val="20"/>
        </w:rPr>
        <w:t>trials,field</w:t>
      </w:r>
      <w:r>
        <w:rPr>
          <w:rFonts w:ascii="Times New Roman" w:hAnsi="Times New Roman" w:eastAsia="Times New Roman" w:cs="Times New Roman"/>
          <w:spacing w:val="12"/>
          <w:w w:val="101"/>
          <w:sz w:val="20"/>
          <w:szCs w:val="20"/>
        </w:rPr>
        <w:t xml:space="preserve">  </w:t>
      </w:r>
      <w:r>
        <w:rPr>
          <w:rFonts w:ascii="Times New Roman" w:hAnsi="Times New Roman" w:eastAsia="Times New Roman" w:cs="Times New Roman"/>
          <w:spacing w:val="-1"/>
          <w:sz w:val="20"/>
          <w:szCs w:val="20"/>
        </w:rPr>
        <w:t>trials,and</w:t>
      </w:r>
      <w:r>
        <w:rPr>
          <w:rFonts w:ascii="Times New Roman" w:hAnsi="Times New Roman" w:eastAsia="Times New Roman" w:cs="Times New Roman"/>
          <w:spacing w:val="15"/>
          <w:sz w:val="20"/>
          <w:szCs w:val="20"/>
        </w:rPr>
        <w:t xml:space="preserve">  </w:t>
      </w:r>
      <w:r>
        <w:rPr>
          <w:rFonts w:ascii="Times New Roman" w:hAnsi="Times New Roman" w:eastAsia="Times New Roman" w:cs="Times New Roman"/>
          <w:spacing w:val="-1"/>
          <w:sz w:val="20"/>
          <w:szCs w:val="20"/>
        </w:rPr>
        <w:t>community</w:t>
      </w:r>
      <w:r>
        <w:rPr>
          <w:rFonts w:ascii="Times New Roman" w:hAnsi="Times New Roman" w:eastAsia="Times New Roman" w:cs="Times New Roman"/>
          <w:spacing w:val="13"/>
          <w:sz w:val="20"/>
          <w:szCs w:val="20"/>
        </w:rPr>
        <w:t xml:space="preserve">  </w:t>
      </w:r>
      <w:r>
        <w:rPr>
          <w:rFonts w:ascii="Times New Roman" w:hAnsi="Times New Roman" w:eastAsia="Times New Roman" w:cs="Times New Roman"/>
          <w:spacing w:val="-1"/>
          <w:sz w:val="20"/>
          <w:szCs w:val="20"/>
        </w:rPr>
        <w:t>trials.A</w:t>
      </w:r>
      <w:r>
        <w:rPr>
          <w:rFonts w:ascii="Times New Roman" w:hAnsi="Times New Roman" w:eastAsia="Times New Roman" w:cs="Times New Roman"/>
          <w:spacing w:val="12"/>
          <w:w w:val="101"/>
          <w:sz w:val="20"/>
          <w:szCs w:val="20"/>
        </w:rPr>
        <w:t xml:space="preserve">  </w:t>
      </w:r>
      <w:r>
        <w:rPr>
          <w:rFonts w:ascii="Times New Roman" w:hAnsi="Times New Roman" w:eastAsia="Times New Roman" w:cs="Times New Roman"/>
          <w:spacing w:val="-1"/>
          <w:sz w:val="20"/>
          <w:szCs w:val="20"/>
        </w:rPr>
        <w:t>randomized</w:t>
      </w:r>
      <w:r>
        <w:rPr>
          <w:rFonts w:ascii="Times New Roman" w:hAnsi="Times New Roman" w:eastAsia="Times New Roman" w:cs="Times New Roman"/>
          <w:spacing w:val="15"/>
          <w:sz w:val="20"/>
          <w:szCs w:val="20"/>
        </w:rPr>
        <w:t xml:space="preserve">  </w:t>
      </w:r>
      <w:r>
        <w:rPr>
          <w:rFonts w:ascii="Times New Roman" w:hAnsi="Times New Roman" w:eastAsia="Times New Roman" w:cs="Times New Roman"/>
          <w:spacing w:val="-1"/>
          <w:sz w:val="20"/>
          <w:szCs w:val="20"/>
        </w:rPr>
        <w:t>clinical</w:t>
      </w:r>
      <w:r>
        <w:rPr>
          <w:rFonts w:ascii="Times New Roman" w:hAnsi="Times New Roman" w:eastAsia="Times New Roman" w:cs="Times New Roman"/>
          <w:sz w:val="20"/>
          <w:szCs w:val="20"/>
        </w:rPr>
        <w:t xml:space="preserve"> trial</w:t>
      </w:r>
      <w:r>
        <w:rPr>
          <w:rFonts w:ascii="Times New Roman" w:hAnsi="Times New Roman" w:eastAsia="Times New Roman" w:cs="Times New Roman"/>
          <w:spacing w:val="15"/>
          <w:sz w:val="20"/>
          <w:szCs w:val="20"/>
        </w:rPr>
        <w:t xml:space="preserve"> </w:t>
      </w:r>
      <w:r>
        <w:rPr>
          <w:rFonts w:ascii="Times New Roman" w:hAnsi="Times New Roman" w:eastAsia="Times New Roman" w:cs="Times New Roman"/>
          <w:sz w:val="20"/>
          <w:szCs w:val="20"/>
        </w:rPr>
        <w:t>evaluates the potential</w:t>
      </w:r>
      <w:r>
        <w:rPr>
          <w:rFonts w:ascii="Times New Roman" w:hAnsi="Times New Roman" w:eastAsia="Times New Roman" w:cs="Times New Roman"/>
          <w:spacing w:val="14"/>
          <w:sz w:val="20"/>
          <w:szCs w:val="20"/>
        </w:rPr>
        <w:t xml:space="preserve"> </w:t>
      </w:r>
      <w:r>
        <w:rPr>
          <w:rFonts w:ascii="Times New Roman" w:hAnsi="Times New Roman" w:eastAsia="Times New Roman" w:cs="Times New Roman"/>
          <w:sz w:val="20"/>
          <w:szCs w:val="20"/>
        </w:rPr>
        <w:t>efficacy</w:t>
      </w:r>
      <w:r>
        <w:rPr>
          <w:rFonts w:ascii="Times New Roman" w:hAnsi="Times New Roman" w:eastAsia="Times New Roman" w:cs="Times New Roman"/>
          <w:spacing w:val="13"/>
          <w:w w:val="101"/>
          <w:sz w:val="20"/>
          <w:szCs w:val="20"/>
        </w:rPr>
        <w:t xml:space="preserve"> </w:t>
      </w:r>
      <w:r>
        <w:rPr>
          <w:rFonts w:ascii="Times New Roman" w:hAnsi="Times New Roman" w:eastAsia="Times New Roman" w:cs="Times New Roman"/>
          <w:sz w:val="20"/>
          <w:szCs w:val="20"/>
        </w:rPr>
        <w:t>of a treatment</w:t>
      </w:r>
      <w:r>
        <w:rPr>
          <w:rFonts w:ascii="Times New Roman" w:hAnsi="Times New Roman" w:eastAsia="Times New Roman" w:cs="Times New Roman"/>
          <w:spacing w:val="14"/>
          <w:sz w:val="20"/>
          <w:szCs w:val="20"/>
        </w:rPr>
        <w:t xml:space="preserve"> </w:t>
      </w:r>
      <w:r>
        <w:rPr>
          <w:rFonts w:ascii="Times New Roman" w:hAnsi="Times New Roman" w:eastAsia="Times New Roman" w:cs="Times New Roman"/>
          <w:sz w:val="20"/>
          <w:szCs w:val="20"/>
        </w:rPr>
        <w:t>for</w:t>
      </w:r>
      <w:r>
        <w:rPr>
          <w:rFonts w:ascii="Times New Roman" w:hAnsi="Times New Roman" w:eastAsia="Times New Roman" w:cs="Times New Roman"/>
          <w:spacing w:val="12"/>
          <w:w w:val="101"/>
          <w:sz w:val="20"/>
          <w:szCs w:val="20"/>
        </w:rPr>
        <w:t xml:space="preserve"> </w:t>
      </w:r>
      <w:r>
        <w:rPr>
          <w:rFonts w:ascii="Times New Roman" w:hAnsi="Times New Roman" w:eastAsia="Times New Roman" w:cs="Times New Roman"/>
          <w:sz w:val="20"/>
          <w:szCs w:val="20"/>
        </w:rPr>
        <w:t>a</w:t>
      </w:r>
      <w:r>
        <w:rPr>
          <w:rFonts w:ascii="Times New Roman" w:hAnsi="Times New Roman" w:eastAsia="Times New Roman" w:cs="Times New Roman"/>
          <w:spacing w:val="13"/>
          <w:w w:val="101"/>
          <w:sz w:val="20"/>
          <w:szCs w:val="20"/>
        </w:rPr>
        <w:t xml:space="preserve"> </w:t>
      </w:r>
      <w:r>
        <w:rPr>
          <w:rFonts w:ascii="Times New Roman" w:hAnsi="Times New Roman" w:eastAsia="Times New Roman" w:cs="Times New Roman"/>
          <w:sz w:val="20"/>
          <w:szCs w:val="20"/>
        </w:rPr>
        <w:t>disease</w:t>
      </w:r>
      <w:r>
        <w:rPr>
          <w:rFonts w:ascii="Times New Roman" w:hAnsi="Times New Roman" w:eastAsia="Times New Roman" w:cs="Times New Roman"/>
          <w:spacing w:val="12"/>
          <w:w w:val="101"/>
          <w:sz w:val="20"/>
          <w:szCs w:val="20"/>
        </w:rPr>
        <w:t xml:space="preserve"> </w:t>
      </w:r>
      <w:r>
        <w:rPr>
          <w:rFonts w:ascii="Times New Roman" w:hAnsi="Times New Roman" w:eastAsia="Times New Roman" w:cs="Times New Roman"/>
          <w:sz w:val="20"/>
          <w:szCs w:val="20"/>
        </w:rPr>
        <w:t>in whi</w:t>
      </w:r>
      <w:r>
        <w:rPr>
          <w:rFonts w:ascii="Times New Roman" w:hAnsi="Times New Roman" w:eastAsia="Times New Roman" w:cs="Times New Roman"/>
          <w:spacing w:val="-1"/>
          <w:sz w:val="20"/>
          <w:szCs w:val="20"/>
        </w:rPr>
        <w:t>ch patients with</w:t>
      </w:r>
      <w:r>
        <w:rPr>
          <w:rFonts w:ascii="Times New Roman" w:hAnsi="Times New Roman" w:eastAsia="Times New Roman" w:cs="Times New Roman"/>
          <w:spacing w:val="8"/>
          <w:sz w:val="20"/>
          <w:szCs w:val="20"/>
        </w:rPr>
        <w:t xml:space="preserve"> </w:t>
      </w:r>
      <w:r>
        <w:rPr>
          <w:rFonts w:ascii="Times New Roman" w:hAnsi="Times New Roman" w:eastAsia="Times New Roman" w:cs="Times New Roman"/>
          <w:spacing w:val="-1"/>
          <w:sz w:val="20"/>
          <w:szCs w:val="20"/>
        </w:rPr>
        <w:t>the</w:t>
      </w:r>
      <w:r>
        <w:rPr>
          <w:rFonts w:ascii="Times New Roman" w:hAnsi="Times New Roman" w:eastAsia="Times New Roman" w:cs="Times New Roman"/>
          <w:spacing w:val="14"/>
          <w:sz w:val="20"/>
          <w:szCs w:val="20"/>
        </w:rPr>
        <w:t xml:space="preserve"> </w:t>
      </w:r>
      <w:r>
        <w:rPr>
          <w:rFonts w:ascii="Times New Roman" w:hAnsi="Times New Roman" w:eastAsia="Times New Roman" w:cs="Times New Roman"/>
          <w:spacing w:val="-1"/>
          <w:sz w:val="20"/>
          <w:szCs w:val="20"/>
        </w:rPr>
        <w:t>disease</w:t>
      </w:r>
      <w:r>
        <w:rPr>
          <w:rFonts w:ascii="Times New Roman" w:hAnsi="Times New Roman" w:eastAsia="Times New Roman" w:cs="Times New Roman"/>
          <w:spacing w:val="14"/>
          <w:sz w:val="20"/>
          <w:szCs w:val="20"/>
        </w:rPr>
        <w:t xml:space="preserve"> </w:t>
      </w:r>
      <w:r>
        <w:rPr>
          <w:rFonts w:ascii="Times New Roman" w:hAnsi="Times New Roman" w:eastAsia="Times New Roman" w:cs="Times New Roman"/>
          <w:spacing w:val="-1"/>
          <w:sz w:val="20"/>
          <w:szCs w:val="20"/>
        </w:rPr>
        <w:t>are</w:t>
      </w:r>
      <w:r>
        <w:rPr>
          <w:rFonts w:ascii="Times New Roman" w:hAnsi="Times New Roman" w:eastAsia="Times New Roman" w:cs="Times New Roman"/>
          <w:spacing w:val="8"/>
          <w:sz w:val="20"/>
          <w:szCs w:val="20"/>
        </w:rPr>
        <w:t xml:space="preserve"> </w:t>
      </w:r>
      <w:r>
        <w:rPr>
          <w:rFonts w:ascii="Times New Roman" w:hAnsi="Times New Roman" w:eastAsia="Times New Roman" w:cs="Times New Roman"/>
          <w:spacing w:val="-1"/>
          <w:sz w:val="20"/>
          <w:szCs w:val="20"/>
        </w:rPr>
        <w:t>the</w:t>
      </w:r>
      <w:r>
        <w:rPr>
          <w:rFonts w:ascii="Times New Roman" w:hAnsi="Times New Roman" w:eastAsia="Times New Roman" w:cs="Times New Roman"/>
          <w:sz w:val="20"/>
          <w:szCs w:val="20"/>
        </w:rPr>
        <w:t xml:space="preserve"> </w:t>
      </w:r>
      <w:r>
        <w:rPr>
          <w:rFonts w:ascii="Times New Roman" w:hAnsi="Times New Roman" w:eastAsia="Times New Roman" w:cs="Times New Roman"/>
          <w:spacing w:val="-1"/>
          <w:sz w:val="20"/>
          <w:szCs w:val="20"/>
        </w:rPr>
        <w:t>subjects.Field trials are useful for evaluating preventive measures and are</w:t>
      </w:r>
      <w:r>
        <w:rPr>
          <w:rFonts w:ascii="Times New Roman" w:hAnsi="Times New Roman" w:eastAsia="Times New Roman" w:cs="Times New Roman"/>
          <w:spacing w:val="-2"/>
          <w:sz w:val="20"/>
          <w:szCs w:val="20"/>
        </w:rPr>
        <w:t xml:space="preserve"> usually</w:t>
      </w:r>
      <w:r>
        <w:rPr>
          <w:rFonts w:ascii="Times New Roman" w:hAnsi="Times New Roman" w:eastAsia="Times New Roman" w:cs="Times New Roman"/>
          <w:spacing w:val="6"/>
          <w:sz w:val="20"/>
          <w:szCs w:val="20"/>
        </w:rPr>
        <w:t xml:space="preserve"> </w:t>
      </w:r>
      <w:r>
        <w:rPr>
          <w:rFonts w:ascii="Times New Roman" w:hAnsi="Times New Roman" w:eastAsia="Times New Roman" w:cs="Times New Roman"/>
          <w:spacing w:val="-2"/>
          <w:sz w:val="20"/>
          <w:szCs w:val="20"/>
        </w:rPr>
        <w:t>organized in</w:t>
      </w:r>
      <w:r>
        <w:rPr>
          <w:rFonts w:ascii="Times New Roman" w:hAnsi="Times New Roman" w:eastAsia="Times New Roman" w:cs="Times New Roman"/>
          <w:spacing w:val="6"/>
          <w:sz w:val="20"/>
          <w:szCs w:val="20"/>
        </w:rPr>
        <w:t xml:space="preserve"> </w:t>
      </w:r>
      <w:r>
        <w:rPr>
          <w:rFonts w:ascii="Times New Roman" w:hAnsi="Times New Roman" w:eastAsia="Times New Roman" w:cs="Times New Roman"/>
          <w:spacing w:val="-2"/>
          <w:sz w:val="20"/>
          <w:szCs w:val="20"/>
        </w:rPr>
        <w:t>communities</w:t>
      </w:r>
      <w:r>
        <w:rPr>
          <w:rFonts w:ascii="Times New Roman" w:hAnsi="Times New Roman" w:eastAsia="Times New Roman" w:cs="Times New Roman"/>
          <w:sz w:val="20"/>
          <w:szCs w:val="20"/>
        </w:rPr>
        <w:t xml:space="preserve"> and</w:t>
      </w:r>
      <w:r>
        <w:rPr>
          <w:rFonts w:ascii="Times New Roman" w:hAnsi="Times New Roman" w:eastAsia="Times New Roman" w:cs="Times New Roman"/>
          <w:spacing w:val="16"/>
          <w:w w:val="101"/>
          <w:sz w:val="20"/>
          <w:szCs w:val="20"/>
        </w:rPr>
        <w:t xml:space="preserve"> </w:t>
      </w:r>
      <w:r>
        <w:rPr>
          <w:rFonts w:ascii="Times New Roman" w:hAnsi="Times New Roman" w:eastAsia="Times New Roman" w:cs="Times New Roman"/>
          <w:sz w:val="20"/>
          <w:szCs w:val="20"/>
        </w:rPr>
        <w:t>schools.The</w:t>
      </w:r>
      <w:r>
        <w:rPr>
          <w:rFonts w:ascii="Times New Roman" w:hAnsi="Times New Roman" w:eastAsia="Times New Roman" w:cs="Times New Roman"/>
          <w:spacing w:val="16"/>
          <w:sz w:val="20"/>
          <w:szCs w:val="20"/>
        </w:rPr>
        <w:t xml:space="preserve"> </w:t>
      </w:r>
      <w:r>
        <w:rPr>
          <w:rFonts w:ascii="Times New Roman" w:hAnsi="Times New Roman" w:eastAsia="Times New Roman" w:cs="Times New Roman"/>
          <w:sz w:val="20"/>
          <w:szCs w:val="20"/>
        </w:rPr>
        <w:t>subjects</w:t>
      </w:r>
      <w:r>
        <w:rPr>
          <w:rFonts w:ascii="Times New Roman" w:hAnsi="Times New Roman" w:eastAsia="Times New Roman" w:cs="Times New Roman"/>
          <w:spacing w:val="12"/>
          <w:w w:val="101"/>
          <w:sz w:val="20"/>
          <w:szCs w:val="20"/>
        </w:rPr>
        <w:t xml:space="preserve"> </w:t>
      </w:r>
      <w:r>
        <w:rPr>
          <w:rFonts w:ascii="Times New Roman" w:hAnsi="Times New Roman" w:eastAsia="Times New Roman" w:cs="Times New Roman"/>
          <w:sz w:val="20"/>
          <w:szCs w:val="20"/>
        </w:rPr>
        <w:t>in the</w:t>
      </w:r>
      <w:r>
        <w:rPr>
          <w:rFonts w:ascii="Times New Roman" w:hAnsi="Times New Roman" w:eastAsia="Times New Roman" w:cs="Times New Roman"/>
          <w:spacing w:val="14"/>
          <w:sz w:val="20"/>
          <w:szCs w:val="20"/>
        </w:rPr>
        <w:t xml:space="preserve"> </w:t>
      </w:r>
      <w:r>
        <w:rPr>
          <w:rFonts w:ascii="Times New Roman" w:hAnsi="Times New Roman" w:eastAsia="Times New Roman" w:cs="Times New Roman"/>
          <w:sz w:val="20"/>
          <w:szCs w:val="20"/>
        </w:rPr>
        <w:t>fiel</w:t>
      </w:r>
      <w:r>
        <w:rPr>
          <w:rFonts w:ascii="Times New Roman" w:hAnsi="Times New Roman" w:eastAsia="Times New Roman" w:cs="Times New Roman"/>
          <w:spacing w:val="-1"/>
          <w:sz w:val="20"/>
          <w:szCs w:val="20"/>
        </w:rPr>
        <w:t>d trials</w:t>
      </w:r>
      <w:r>
        <w:rPr>
          <w:rFonts w:ascii="Times New Roman" w:hAnsi="Times New Roman" w:eastAsia="Times New Roman" w:cs="Times New Roman"/>
          <w:spacing w:val="13"/>
          <w:w w:val="101"/>
          <w:sz w:val="20"/>
          <w:szCs w:val="20"/>
        </w:rPr>
        <w:t xml:space="preserve"> </w:t>
      </w:r>
      <w:r>
        <w:rPr>
          <w:rFonts w:ascii="Times New Roman" w:hAnsi="Times New Roman" w:eastAsia="Times New Roman" w:cs="Times New Roman"/>
          <w:spacing w:val="-1"/>
          <w:sz w:val="20"/>
          <w:szCs w:val="20"/>
        </w:rPr>
        <w:t>are</w:t>
      </w:r>
      <w:r>
        <w:rPr>
          <w:rFonts w:ascii="Times New Roman" w:hAnsi="Times New Roman" w:eastAsia="Times New Roman" w:cs="Times New Roman"/>
          <w:spacing w:val="13"/>
          <w:w w:val="101"/>
          <w:sz w:val="20"/>
          <w:szCs w:val="20"/>
        </w:rPr>
        <w:t xml:space="preserve"> </w:t>
      </w:r>
      <w:r>
        <w:rPr>
          <w:rFonts w:ascii="Times New Roman" w:hAnsi="Times New Roman" w:eastAsia="Times New Roman" w:cs="Times New Roman"/>
          <w:spacing w:val="-1"/>
          <w:sz w:val="20"/>
          <w:szCs w:val="20"/>
        </w:rPr>
        <w:t>often</w:t>
      </w:r>
      <w:r>
        <w:rPr>
          <w:rFonts w:ascii="Times New Roman" w:hAnsi="Times New Roman" w:eastAsia="Times New Roman" w:cs="Times New Roman"/>
          <w:spacing w:val="14"/>
          <w:sz w:val="20"/>
          <w:szCs w:val="20"/>
        </w:rPr>
        <w:t xml:space="preserve"> </w:t>
      </w:r>
      <w:r>
        <w:rPr>
          <w:rFonts w:ascii="Times New Roman" w:hAnsi="Times New Roman" w:eastAsia="Times New Roman" w:cs="Times New Roman"/>
          <w:spacing w:val="-1"/>
          <w:sz w:val="20"/>
          <w:szCs w:val="20"/>
        </w:rPr>
        <w:t>free</w:t>
      </w:r>
      <w:r>
        <w:rPr>
          <w:rFonts w:ascii="Times New Roman" w:hAnsi="Times New Roman" w:eastAsia="Times New Roman" w:cs="Times New Roman"/>
          <w:spacing w:val="13"/>
          <w:sz w:val="20"/>
          <w:szCs w:val="20"/>
        </w:rPr>
        <w:t xml:space="preserve"> </w:t>
      </w:r>
      <w:r>
        <w:rPr>
          <w:rFonts w:ascii="Times New Roman" w:hAnsi="Times New Roman" w:eastAsia="Times New Roman" w:cs="Times New Roman"/>
          <w:spacing w:val="-1"/>
          <w:sz w:val="20"/>
          <w:szCs w:val="20"/>
        </w:rPr>
        <w:t>of interested</w:t>
      </w:r>
      <w:r>
        <w:rPr>
          <w:rFonts w:ascii="Times New Roman" w:hAnsi="Times New Roman" w:eastAsia="Times New Roman" w:cs="Times New Roman"/>
          <w:spacing w:val="13"/>
          <w:sz w:val="20"/>
          <w:szCs w:val="20"/>
        </w:rPr>
        <w:t xml:space="preserve"> </w:t>
      </w:r>
      <w:r>
        <w:rPr>
          <w:rFonts w:ascii="Times New Roman" w:hAnsi="Times New Roman" w:eastAsia="Times New Roman" w:cs="Times New Roman"/>
          <w:spacing w:val="-1"/>
          <w:sz w:val="20"/>
          <w:szCs w:val="20"/>
        </w:rPr>
        <w:t>clinical</w:t>
      </w:r>
      <w:r>
        <w:rPr>
          <w:rFonts w:ascii="Times New Roman" w:hAnsi="Times New Roman" w:eastAsia="Times New Roman" w:cs="Times New Roman"/>
          <w:spacing w:val="13"/>
          <w:sz w:val="20"/>
          <w:szCs w:val="20"/>
        </w:rPr>
        <w:t xml:space="preserve"> </w:t>
      </w:r>
      <w:r>
        <w:rPr>
          <w:rFonts w:ascii="Times New Roman" w:hAnsi="Times New Roman" w:eastAsia="Times New Roman" w:cs="Times New Roman"/>
          <w:spacing w:val="-1"/>
          <w:sz w:val="20"/>
          <w:szCs w:val="20"/>
        </w:rPr>
        <w:t>outcome but</w:t>
      </w:r>
      <w:r>
        <w:rPr>
          <w:rFonts w:ascii="Times New Roman" w:hAnsi="Times New Roman" w:eastAsia="Times New Roman" w:cs="Times New Roman"/>
          <w:spacing w:val="13"/>
          <w:sz w:val="20"/>
          <w:szCs w:val="20"/>
        </w:rPr>
        <w:t xml:space="preserve"> </w:t>
      </w:r>
      <w:r>
        <w:rPr>
          <w:rFonts w:ascii="Times New Roman" w:hAnsi="Times New Roman" w:eastAsia="Times New Roman" w:cs="Times New Roman"/>
          <w:spacing w:val="-1"/>
          <w:sz w:val="20"/>
          <w:szCs w:val="20"/>
        </w:rPr>
        <w:t>at risk</w:t>
      </w:r>
      <w:r>
        <w:rPr>
          <w:rFonts w:ascii="Times New Roman" w:hAnsi="Times New Roman" w:eastAsia="Times New Roman" w:cs="Times New Roman"/>
          <w:spacing w:val="13"/>
          <w:sz w:val="20"/>
          <w:szCs w:val="20"/>
        </w:rPr>
        <w:t xml:space="preserve"> </w:t>
      </w:r>
      <w:r>
        <w:rPr>
          <w:rFonts w:ascii="Times New Roman" w:hAnsi="Times New Roman" w:eastAsia="Times New Roman" w:cs="Times New Roman"/>
          <w:spacing w:val="-1"/>
          <w:sz w:val="20"/>
          <w:szCs w:val="20"/>
        </w:rPr>
        <w:t>for that</w:t>
      </w:r>
      <w:r>
        <w:rPr>
          <w:rFonts w:ascii="Times New Roman" w:hAnsi="Times New Roman" w:eastAsia="Times New Roman" w:cs="Times New Roman"/>
          <w:sz w:val="20"/>
          <w:szCs w:val="20"/>
        </w:rPr>
        <w:t xml:space="preserve">  one.In the community trial,groups of</w:t>
      </w:r>
      <w:r>
        <w:rPr>
          <w:rFonts w:ascii="Times New Roman" w:hAnsi="Times New Roman" w:eastAsia="Times New Roman" w:cs="Times New Roman"/>
          <w:spacing w:val="-21"/>
          <w:sz w:val="20"/>
          <w:szCs w:val="20"/>
        </w:rPr>
        <w:t xml:space="preserve"> </w:t>
      </w:r>
      <w:r>
        <w:rPr>
          <w:rFonts w:ascii="Times New Roman" w:hAnsi="Times New Roman" w:eastAsia="Times New Roman" w:cs="Times New Roman"/>
          <w:sz w:val="20"/>
          <w:szCs w:val="20"/>
        </w:rPr>
        <w:t>people rather than individuals are allocated to receive</w:t>
      </w:r>
      <w:r>
        <w:rPr>
          <w:rFonts w:ascii="Times New Roman" w:hAnsi="Times New Roman" w:eastAsia="Times New Roman" w:cs="Times New Roman"/>
          <w:spacing w:val="7"/>
          <w:sz w:val="20"/>
          <w:szCs w:val="20"/>
        </w:rPr>
        <w:t xml:space="preserve"> </w:t>
      </w:r>
      <w:r>
        <w:rPr>
          <w:rFonts w:ascii="Times New Roman" w:hAnsi="Times New Roman" w:eastAsia="Times New Roman" w:cs="Times New Roman"/>
          <w:sz w:val="20"/>
          <w:szCs w:val="20"/>
        </w:rPr>
        <w:t>an</w:t>
      </w:r>
      <w:r>
        <w:rPr>
          <w:rFonts w:ascii="Times New Roman" w:hAnsi="Times New Roman" w:eastAsia="Times New Roman" w:cs="Times New Roman"/>
          <w:spacing w:val="6"/>
          <w:sz w:val="20"/>
          <w:szCs w:val="20"/>
        </w:rPr>
        <w:t xml:space="preserve"> </w:t>
      </w:r>
      <w:r>
        <w:rPr>
          <w:rFonts w:ascii="Times New Roman" w:hAnsi="Times New Roman" w:eastAsia="Times New Roman" w:cs="Times New Roman"/>
          <w:sz w:val="20"/>
          <w:szCs w:val="20"/>
        </w:rPr>
        <w:t>inte</w:t>
      </w:r>
      <w:r>
        <w:rPr>
          <w:rFonts w:ascii="Times New Roman" w:hAnsi="Times New Roman" w:eastAsia="Times New Roman" w:cs="Times New Roman"/>
          <w:spacing w:val="-1"/>
          <w:sz w:val="20"/>
          <w:szCs w:val="20"/>
        </w:rPr>
        <w:t>rvention</w:t>
      </w:r>
      <w:r>
        <w:rPr>
          <w:rFonts w:ascii="Times New Roman" w:hAnsi="Times New Roman" w:eastAsia="Times New Roman" w:cs="Times New Roman"/>
          <w:sz w:val="20"/>
          <w:szCs w:val="20"/>
        </w:rPr>
        <w:t xml:space="preserve"> </w:t>
      </w:r>
      <w:r>
        <w:rPr>
          <w:rFonts w:ascii="Times New Roman" w:hAnsi="Times New Roman" w:eastAsia="Times New Roman" w:cs="Times New Roman"/>
          <w:spacing w:val="-1"/>
          <w:sz w:val="20"/>
          <w:szCs w:val="20"/>
        </w:rPr>
        <w:t>or not.A well-conducted randomized clinical trial is the most robust and reliable experimental methodol</w:t>
      </w:r>
      <w:r>
        <w:rPr>
          <w:rFonts w:ascii="Times New Roman" w:hAnsi="Times New Roman" w:eastAsia="Times New Roman" w:cs="Times New Roman"/>
          <w:spacing w:val="-2"/>
          <w:sz w:val="20"/>
          <w:szCs w:val="20"/>
        </w:rPr>
        <w:t>ogy</w:t>
      </w:r>
      <w:r>
        <w:rPr>
          <w:rFonts w:ascii="Times New Roman" w:hAnsi="Times New Roman" w:eastAsia="Times New Roman" w:cs="Times New Roman"/>
          <w:sz w:val="20"/>
          <w:szCs w:val="20"/>
        </w:rPr>
        <w:t xml:space="preserve"> </w:t>
      </w:r>
      <w:r>
        <w:rPr>
          <w:rFonts w:ascii="Times New Roman" w:hAnsi="Times New Roman" w:eastAsia="Times New Roman" w:cs="Times New Roman"/>
          <w:spacing w:val="-1"/>
          <w:sz w:val="20"/>
          <w:szCs w:val="20"/>
        </w:rPr>
        <w:t>for comparing preventive and therapeutie clinical interventions.However,ethical considerat</w:t>
      </w:r>
      <w:r>
        <w:rPr>
          <w:rFonts w:ascii="Times New Roman" w:hAnsi="Times New Roman" w:eastAsia="Times New Roman" w:cs="Times New Roman"/>
          <w:spacing w:val="-2"/>
          <w:sz w:val="20"/>
          <w:szCs w:val="20"/>
        </w:rPr>
        <w:t>ion is important.</w:t>
      </w:r>
    </w:p>
    <w:p w14:paraId="375780EC">
      <w:pPr>
        <w:spacing w:line="286" w:lineRule="auto"/>
        <w:rPr>
          <w:rFonts w:ascii="Arial"/>
          <w:sz w:val="21"/>
        </w:rPr>
      </w:pPr>
    </w:p>
    <w:p w14:paraId="78832E92">
      <w:pPr>
        <w:pStyle w:val="2"/>
        <w:spacing w:before="91" w:line="221" w:lineRule="auto"/>
        <w:ind w:left="3924"/>
        <w:outlineLvl w:val="1"/>
        <w:rPr>
          <w:sz w:val="28"/>
          <w:szCs w:val="28"/>
        </w:rPr>
      </w:pPr>
      <w:bookmarkStart w:id="157" w:name="bookmark99"/>
      <w:bookmarkEnd w:id="157"/>
      <w:r>
        <w:rPr>
          <w:b/>
          <w:bCs/>
          <w:spacing w:val="-6"/>
          <w:sz w:val="28"/>
          <w:szCs w:val="28"/>
        </w:rPr>
        <w:t>第一节</w:t>
      </w:r>
      <w:r>
        <w:rPr>
          <w:spacing w:val="126"/>
          <w:sz w:val="28"/>
          <w:szCs w:val="28"/>
        </w:rPr>
        <w:t xml:space="preserve"> </w:t>
      </w:r>
      <w:r>
        <w:rPr>
          <w:b/>
          <w:bCs/>
          <w:spacing w:val="-6"/>
          <w:sz w:val="28"/>
          <w:szCs w:val="28"/>
        </w:rPr>
        <w:t>概</w:t>
      </w:r>
      <w:r>
        <w:rPr>
          <w:spacing w:val="-6"/>
          <w:sz w:val="28"/>
          <w:szCs w:val="28"/>
        </w:rPr>
        <w:t xml:space="preserve">  </w:t>
      </w:r>
      <w:r>
        <w:rPr>
          <w:b/>
          <w:bCs/>
          <w:spacing w:val="-6"/>
          <w:sz w:val="28"/>
          <w:szCs w:val="28"/>
        </w:rPr>
        <w:t>述</w:t>
      </w:r>
    </w:p>
    <w:p w14:paraId="0550B70A">
      <w:pPr>
        <w:spacing w:line="317" w:lineRule="auto"/>
        <w:rPr>
          <w:rFonts w:ascii="Arial"/>
          <w:sz w:val="21"/>
        </w:rPr>
      </w:pPr>
    </w:p>
    <w:p w14:paraId="11278606">
      <w:pPr>
        <w:spacing w:before="66" w:line="341" w:lineRule="auto"/>
        <w:ind w:left="640" w:right="19" w:firstLine="399"/>
        <w:jc w:val="both"/>
        <w:rPr>
          <w:rFonts w:ascii="宋体" w:hAnsi="宋体" w:eastAsia="宋体" w:cs="宋体"/>
          <w:sz w:val="20"/>
          <w:szCs w:val="20"/>
        </w:rPr>
      </w:pPr>
      <w:r>
        <w:rPr>
          <w:rFonts w:ascii="宋体" w:hAnsi="宋体" w:eastAsia="宋体" w:cs="宋体"/>
          <w:sz w:val="20"/>
          <w:szCs w:val="20"/>
        </w:rPr>
        <w:t>观察与实验是医学科学研究的基本方法。所谓“观察”</w:t>
      </w:r>
      <w:r>
        <w:rPr>
          <w:rFonts w:ascii="Times New Roman" w:hAnsi="Times New Roman" w:eastAsia="Times New Roman" w:cs="Times New Roman"/>
          <w:sz w:val="20"/>
          <w:szCs w:val="20"/>
        </w:rPr>
        <w:t>(o</w:t>
      </w:r>
      <w:r>
        <w:rPr>
          <w:rFonts w:ascii="Times New Roman" w:hAnsi="Times New Roman" w:eastAsia="Times New Roman" w:cs="Times New Roman"/>
          <w:spacing w:val="-1"/>
          <w:sz w:val="20"/>
          <w:szCs w:val="20"/>
        </w:rPr>
        <w:t>bservation)</w:t>
      </w:r>
      <w:r>
        <w:rPr>
          <w:rFonts w:ascii="Times New Roman" w:hAnsi="Times New Roman" w:eastAsia="Times New Roman" w:cs="Times New Roman"/>
          <w:spacing w:val="33"/>
          <w:sz w:val="20"/>
          <w:szCs w:val="20"/>
        </w:rPr>
        <w:t xml:space="preserve"> </w:t>
      </w:r>
      <w:r>
        <w:rPr>
          <w:rFonts w:ascii="宋体" w:hAnsi="宋体" w:eastAsia="宋体" w:cs="宋体"/>
          <w:spacing w:val="-1"/>
          <w:sz w:val="20"/>
          <w:szCs w:val="20"/>
        </w:rPr>
        <w:t>是在不干预、自然的情况</w:t>
      </w:r>
      <w:r>
        <w:rPr>
          <w:rFonts w:ascii="宋体" w:hAnsi="宋体" w:eastAsia="宋体" w:cs="宋体"/>
          <w:sz w:val="20"/>
          <w:szCs w:val="20"/>
        </w:rPr>
        <w:t xml:space="preserve"> </w:t>
      </w:r>
      <w:r>
        <w:rPr>
          <w:rFonts w:ascii="宋体" w:hAnsi="宋体" w:eastAsia="宋体" w:cs="宋体"/>
          <w:spacing w:val="-8"/>
          <w:sz w:val="20"/>
          <w:szCs w:val="20"/>
        </w:rPr>
        <w:t>下认识自然现象的本来面目，描述现状，分析规律；而“实验”(experime</w:t>
      </w:r>
      <w:r>
        <w:rPr>
          <w:rFonts w:ascii="宋体" w:hAnsi="宋体" w:eastAsia="宋体" w:cs="宋体"/>
          <w:spacing w:val="-9"/>
          <w:sz w:val="20"/>
          <w:szCs w:val="20"/>
        </w:rPr>
        <w:t>nt)则是在研究者的控制下，</w:t>
      </w:r>
      <w:r>
        <w:rPr>
          <w:rFonts w:ascii="宋体" w:hAnsi="宋体" w:eastAsia="宋体" w:cs="宋体"/>
          <w:sz w:val="20"/>
          <w:szCs w:val="20"/>
        </w:rPr>
        <w:t xml:space="preserve"> </w:t>
      </w:r>
      <w:r>
        <w:rPr>
          <w:rFonts w:ascii="宋体" w:hAnsi="宋体" w:eastAsia="宋体" w:cs="宋体"/>
          <w:spacing w:val="3"/>
          <w:sz w:val="20"/>
          <w:szCs w:val="20"/>
        </w:rPr>
        <w:t>对研究对象人为施加或去除某种因素，进一步观察研究</w:t>
      </w:r>
      <w:r>
        <w:rPr>
          <w:rFonts w:ascii="宋体" w:hAnsi="宋体" w:eastAsia="宋体" w:cs="宋体"/>
          <w:spacing w:val="2"/>
          <w:sz w:val="20"/>
          <w:szCs w:val="20"/>
        </w:rPr>
        <w:t>对象发生的改变，由此评价这些人为措施</w:t>
      </w:r>
      <w:r>
        <w:rPr>
          <w:rFonts w:ascii="宋体" w:hAnsi="宋体" w:eastAsia="宋体" w:cs="宋体"/>
          <w:sz w:val="20"/>
          <w:szCs w:val="20"/>
        </w:rPr>
        <w:t xml:space="preserve"> </w:t>
      </w:r>
      <w:r>
        <w:rPr>
          <w:rFonts w:ascii="宋体" w:hAnsi="宋体" w:eastAsia="宋体" w:cs="宋体"/>
          <w:spacing w:val="3"/>
          <w:sz w:val="20"/>
          <w:szCs w:val="20"/>
        </w:rPr>
        <w:t>的效果。流行病学研究方法根据研究目的也可以分为观察流行病</w:t>
      </w:r>
      <w:r>
        <w:rPr>
          <w:rFonts w:ascii="宋体" w:hAnsi="宋体" w:eastAsia="宋体" w:cs="宋体"/>
          <w:spacing w:val="2"/>
          <w:sz w:val="20"/>
          <w:szCs w:val="20"/>
        </w:rPr>
        <w:t>学和实验流行病学。实验流行病</w:t>
      </w:r>
      <w:r>
        <w:rPr>
          <w:rFonts w:ascii="宋体" w:hAnsi="宋体" w:eastAsia="宋体" w:cs="宋体"/>
          <w:sz w:val="20"/>
          <w:szCs w:val="20"/>
        </w:rPr>
        <w:t xml:space="preserve"> 学</w:t>
      </w:r>
      <w:r>
        <w:rPr>
          <w:rFonts w:ascii="宋体" w:hAnsi="宋体" w:eastAsia="宋体" w:cs="宋体"/>
          <w:spacing w:val="-58"/>
          <w:sz w:val="20"/>
          <w:szCs w:val="20"/>
        </w:rPr>
        <w:t xml:space="preserve"> </w:t>
      </w:r>
      <w:r>
        <w:rPr>
          <w:rFonts w:ascii="Times New Roman" w:hAnsi="Times New Roman" w:eastAsia="Times New Roman" w:cs="Times New Roman"/>
          <w:sz w:val="20"/>
          <w:szCs w:val="20"/>
        </w:rPr>
        <w:t>(experimental   epidemiology)</w:t>
      </w:r>
      <w:r>
        <w:rPr>
          <w:rFonts w:ascii="宋体" w:hAnsi="宋体" w:eastAsia="宋体" w:cs="宋体"/>
          <w:sz w:val="20"/>
          <w:szCs w:val="20"/>
        </w:rPr>
        <w:t>有时又被称作流行病学实验</w:t>
      </w:r>
      <w:r>
        <w:rPr>
          <w:rFonts w:ascii="Times New Roman" w:hAnsi="Times New Roman" w:eastAsia="Times New Roman" w:cs="Times New Roman"/>
          <w:sz w:val="20"/>
          <w:szCs w:val="20"/>
        </w:rPr>
        <w:t>(e</w:t>
      </w:r>
      <w:r>
        <w:rPr>
          <w:rFonts w:ascii="Times New Roman" w:hAnsi="Times New Roman" w:eastAsia="Times New Roman" w:cs="Times New Roman"/>
          <w:spacing w:val="-1"/>
          <w:sz w:val="20"/>
          <w:szCs w:val="20"/>
        </w:rPr>
        <w:t>pidemiological   experiment)</w:t>
      </w:r>
      <w:r>
        <w:rPr>
          <w:rFonts w:ascii="宋体" w:hAnsi="宋体" w:eastAsia="宋体" w:cs="宋体"/>
          <w:spacing w:val="-1"/>
          <w:sz w:val="20"/>
          <w:szCs w:val="20"/>
        </w:rPr>
        <w:t>、干预试验</w:t>
      </w:r>
      <w:r>
        <w:rPr>
          <w:rFonts w:ascii="宋体" w:hAnsi="宋体" w:eastAsia="宋体" w:cs="宋体"/>
          <w:sz w:val="20"/>
          <w:szCs w:val="20"/>
        </w:rPr>
        <w:t xml:space="preserve"> </w:t>
      </w:r>
      <w:r>
        <w:rPr>
          <w:rFonts w:ascii="Times New Roman" w:hAnsi="Times New Roman" w:eastAsia="Times New Roman" w:cs="Times New Roman"/>
          <w:spacing w:val="-1"/>
          <w:sz w:val="20"/>
          <w:szCs w:val="20"/>
        </w:rPr>
        <w:t>(intervention  trial)</w:t>
      </w:r>
      <w:r>
        <w:rPr>
          <w:rFonts w:ascii="宋体" w:hAnsi="宋体" w:eastAsia="宋体" w:cs="宋体"/>
          <w:spacing w:val="-1"/>
          <w:sz w:val="20"/>
          <w:szCs w:val="20"/>
        </w:rPr>
        <w:t>等。</w:t>
      </w:r>
    </w:p>
    <w:p w14:paraId="601A46AD">
      <w:pPr>
        <w:pStyle w:val="2"/>
        <w:spacing w:before="253" w:line="222" w:lineRule="auto"/>
        <w:ind w:left="1042"/>
        <w:outlineLvl w:val="2"/>
        <w:rPr>
          <w:sz w:val="20"/>
          <w:szCs w:val="20"/>
        </w:rPr>
      </w:pPr>
      <w:bookmarkStart w:id="158" w:name="bookmark100"/>
      <w:bookmarkEnd w:id="158"/>
      <w:r>
        <w:rPr>
          <w:b/>
          <w:bCs/>
          <w:spacing w:val="-15"/>
          <w:sz w:val="20"/>
          <w:szCs w:val="20"/>
        </w:rPr>
        <w:t>一</w:t>
      </w:r>
      <w:r>
        <w:rPr>
          <w:spacing w:val="13"/>
          <w:sz w:val="20"/>
          <w:szCs w:val="20"/>
        </w:rPr>
        <w:t xml:space="preserve"> </w:t>
      </w:r>
      <w:r>
        <w:rPr>
          <w:b/>
          <w:bCs/>
          <w:spacing w:val="-15"/>
          <w:sz w:val="20"/>
          <w:szCs w:val="20"/>
        </w:rPr>
        <w:t>、历</w:t>
      </w:r>
      <w:r>
        <w:rPr>
          <w:spacing w:val="-24"/>
          <w:sz w:val="20"/>
          <w:szCs w:val="20"/>
        </w:rPr>
        <w:t xml:space="preserve"> </w:t>
      </w:r>
      <w:r>
        <w:rPr>
          <w:b/>
          <w:bCs/>
          <w:spacing w:val="-15"/>
          <w:sz w:val="20"/>
          <w:szCs w:val="20"/>
        </w:rPr>
        <w:t>史</w:t>
      </w:r>
      <w:r>
        <w:rPr>
          <w:spacing w:val="-15"/>
          <w:sz w:val="20"/>
          <w:szCs w:val="20"/>
        </w:rPr>
        <w:t xml:space="preserve"> </w:t>
      </w:r>
      <w:r>
        <w:rPr>
          <w:b/>
          <w:bCs/>
          <w:spacing w:val="-15"/>
          <w:sz w:val="20"/>
          <w:szCs w:val="20"/>
        </w:rPr>
        <w:t>回</w:t>
      </w:r>
      <w:r>
        <w:rPr>
          <w:spacing w:val="-26"/>
          <w:sz w:val="20"/>
          <w:szCs w:val="20"/>
        </w:rPr>
        <w:t xml:space="preserve"> </w:t>
      </w:r>
      <w:r>
        <w:rPr>
          <w:b/>
          <w:bCs/>
          <w:spacing w:val="-15"/>
          <w:sz w:val="20"/>
          <w:szCs w:val="20"/>
        </w:rPr>
        <w:t>顾</w:t>
      </w:r>
    </w:p>
    <w:p w14:paraId="1DB495E8">
      <w:pPr>
        <w:spacing w:before="259" w:line="337" w:lineRule="auto"/>
        <w:ind w:left="640" w:right="69" w:firstLine="399"/>
        <w:jc w:val="both"/>
        <w:rPr>
          <w:rFonts w:ascii="宋体" w:hAnsi="宋体" w:eastAsia="宋体" w:cs="宋体"/>
          <w:sz w:val="20"/>
          <w:szCs w:val="20"/>
        </w:rPr>
      </w:pPr>
      <w:r>
        <w:rPr>
          <w:rFonts w:ascii="宋体" w:hAnsi="宋体" w:eastAsia="宋体" w:cs="宋体"/>
          <w:spacing w:val="14"/>
          <w:sz w:val="20"/>
          <w:szCs w:val="20"/>
        </w:rPr>
        <w:t>1917年英国的</w:t>
      </w:r>
      <w:r>
        <w:rPr>
          <w:rFonts w:ascii="Times New Roman" w:hAnsi="Times New Roman" w:eastAsia="Times New Roman" w:cs="Times New Roman"/>
          <w:sz w:val="20"/>
          <w:szCs w:val="20"/>
        </w:rPr>
        <w:t>Topley</w:t>
      </w:r>
      <w:r>
        <w:rPr>
          <w:rFonts w:ascii="Times New Roman" w:hAnsi="Times New Roman" w:eastAsia="Times New Roman" w:cs="Times New Roman"/>
          <w:spacing w:val="20"/>
          <w:sz w:val="20"/>
          <w:szCs w:val="20"/>
        </w:rPr>
        <w:t xml:space="preserve">  </w:t>
      </w:r>
      <w:r>
        <w:rPr>
          <w:rFonts w:ascii="宋体" w:hAnsi="宋体" w:eastAsia="宋体" w:cs="宋体"/>
          <w:spacing w:val="14"/>
          <w:sz w:val="20"/>
          <w:szCs w:val="20"/>
        </w:rPr>
        <w:t>首先提出“实验流行病学方法”,差不多同时期英国的</w:t>
      </w:r>
      <w:r>
        <w:rPr>
          <w:rFonts w:ascii="宋体" w:hAnsi="宋体" w:eastAsia="宋体" w:cs="宋体"/>
          <w:spacing w:val="-55"/>
          <w:sz w:val="20"/>
          <w:szCs w:val="20"/>
        </w:rPr>
        <w:t xml:space="preserve"> </w:t>
      </w:r>
      <w:r>
        <w:rPr>
          <w:rFonts w:ascii="Times New Roman" w:hAnsi="Times New Roman" w:eastAsia="Times New Roman" w:cs="Times New Roman"/>
          <w:sz w:val="20"/>
          <w:szCs w:val="20"/>
        </w:rPr>
        <w:t>Wilson</w:t>
      </w:r>
      <w:r>
        <w:rPr>
          <w:rFonts w:ascii="Times New Roman" w:hAnsi="Times New Roman" w:eastAsia="Times New Roman" w:cs="Times New Roman"/>
          <w:spacing w:val="14"/>
          <w:sz w:val="20"/>
          <w:szCs w:val="20"/>
        </w:rPr>
        <w:t xml:space="preserve"> </w:t>
      </w:r>
      <w:r>
        <w:rPr>
          <w:rFonts w:ascii="Times New Roman" w:hAnsi="Times New Roman" w:eastAsia="Times New Roman" w:cs="Times New Roman"/>
          <w:spacing w:val="13"/>
          <w:sz w:val="20"/>
          <w:szCs w:val="20"/>
        </w:rPr>
        <w:t xml:space="preserve">  </w:t>
      </w:r>
      <w:r>
        <w:rPr>
          <w:rFonts w:ascii="宋体" w:hAnsi="宋体" w:eastAsia="宋体" w:cs="宋体"/>
          <w:spacing w:val="13"/>
          <w:sz w:val="20"/>
          <w:szCs w:val="20"/>
        </w:rPr>
        <w:t>和</w:t>
      </w:r>
      <w:r>
        <w:rPr>
          <w:rFonts w:ascii="宋体" w:hAnsi="宋体" w:eastAsia="宋体" w:cs="宋体"/>
          <w:sz w:val="20"/>
          <w:szCs w:val="20"/>
        </w:rPr>
        <w:t xml:space="preserve"> </w:t>
      </w:r>
      <w:r>
        <w:rPr>
          <w:rFonts w:ascii="Times New Roman" w:hAnsi="Times New Roman" w:eastAsia="Times New Roman" w:cs="Times New Roman"/>
          <w:sz w:val="20"/>
          <w:szCs w:val="20"/>
        </w:rPr>
        <w:t>Greenwood</w:t>
      </w:r>
      <w:r>
        <w:rPr>
          <w:rFonts w:ascii="宋体" w:hAnsi="宋体" w:eastAsia="宋体" w:cs="宋体"/>
          <w:sz w:val="20"/>
          <w:szCs w:val="20"/>
        </w:rPr>
        <w:t>、德国的</w:t>
      </w:r>
      <w:r>
        <w:rPr>
          <w:rFonts w:ascii="Times New Roman" w:hAnsi="Times New Roman" w:eastAsia="Times New Roman" w:cs="Times New Roman"/>
          <w:sz w:val="20"/>
          <w:szCs w:val="20"/>
        </w:rPr>
        <w:t>Neufeld</w:t>
      </w:r>
      <w:r>
        <w:rPr>
          <w:rFonts w:ascii="Times New Roman" w:hAnsi="Times New Roman" w:eastAsia="Times New Roman" w:cs="Times New Roman"/>
          <w:spacing w:val="-1"/>
          <w:sz w:val="20"/>
          <w:szCs w:val="20"/>
        </w:rPr>
        <w:t xml:space="preserve"> </w:t>
      </w:r>
      <w:r>
        <w:rPr>
          <w:rFonts w:ascii="宋体" w:hAnsi="宋体" w:eastAsia="宋体" w:cs="宋体"/>
          <w:spacing w:val="-1"/>
          <w:sz w:val="20"/>
          <w:szCs w:val="20"/>
        </w:rPr>
        <w:t>以及美国的</w:t>
      </w:r>
      <w:r>
        <w:rPr>
          <w:rFonts w:ascii="Times New Roman" w:hAnsi="Times New Roman" w:eastAsia="Times New Roman" w:cs="Times New Roman"/>
          <w:spacing w:val="-1"/>
          <w:sz w:val="20"/>
          <w:szCs w:val="20"/>
        </w:rPr>
        <w:t xml:space="preserve">Webster </w:t>
      </w:r>
      <w:r>
        <w:rPr>
          <w:rFonts w:ascii="宋体" w:hAnsi="宋体" w:eastAsia="宋体" w:cs="宋体"/>
          <w:spacing w:val="-1"/>
          <w:sz w:val="20"/>
          <w:szCs w:val="20"/>
        </w:rPr>
        <w:t>等都曾先后以实验流行病学为题报告了动物群感染</w:t>
      </w:r>
      <w:r>
        <w:rPr>
          <w:rFonts w:ascii="宋体" w:hAnsi="宋体" w:eastAsia="宋体" w:cs="宋体"/>
          <w:sz w:val="20"/>
          <w:szCs w:val="20"/>
        </w:rPr>
        <w:t xml:space="preserve"> </w:t>
      </w:r>
      <w:r>
        <w:rPr>
          <w:rFonts w:ascii="宋体" w:hAnsi="宋体" w:eastAsia="宋体" w:cs="宋体"/>
          <w:spacing w:val="-2"/>
          <w:sz w:val="20"/>
          <w:szCs w:val="20"/>
        </w:rPr>
        <w:t>模型，他们发现疾病流行与易感动物所占比例和动物间接触程度有关。但这些“实验流行病学”主</w:t>
      </w:r>
      <w:r>
        <w:rPr>
          <w:rFonts w:ascii="宋体" w:hAnsi="宋体" w:eastAsia="宋体" w:cs="宋体"/>
          <w:spacing w:val="15"/>
          <w:sz w:val="20"/>
          <w:szCs w:val="20"/>
        </w:rPr>
        <w:t xml:space="preserve"> </w:t>
      </w:r>
      <w:r>
        <w:rPr>
          <w:rFonts w:ascii="宋体" w:hAnsi="宋体" w:eastAsia="宋体" w:cs="宋体"/>
          <w:spacing w:val="-2"/>
          <w:sz w:val="20"/>
          <w:szCs w:val="20"/>
        </w:rPr>
        <w:t>要是利用动物在实验室模拟传染病流行规律的研究。由于种属的差异、实验受控程度的</w:t>
      </w:r>
      <w:r>
        <w:rPr>
          <w:rFonts w:ascii="宋体" w:hAnsi="宋体" w:eastAsia="宋体" w:cs="宋体"/>
          <w:spacing w:val="-3"/>
          <w:sz w:val="20"/>
          <w:szCs w:val="20"/>
        </w:rPr>
        <w:t>不同，不能</w:t>
      </w:r>
      <w:r>
        <w:rPr>
          <w:rFonts w:ascii="宋体" w:hAnsi="宋体" w:eastAsia="宋体" w:cs="宋体"/>
          <w:sz w:val="20"/>
          <w:szCs w:val="20"/>
        </w:rPr>
        <w:t xml:space="preserve"> </w:t>
      </w:r>
      <w:r>
        <w:rPr>
          <w:rFonts w:ascii="宋体" w:hAnsi="宋体" w:eastAsia="宋体" w:cs="宋体"/>
          <w:spacing w:val="-2"/>
          <w:sz w:val="20"/>
          <w:szCs w:val="20"/>
        </w:rPr>
        <w:t>完全用动物实验的结果外推人群。然而他们强调严格控制条件、人为采取措施、前瞻性观察措施效</w:t>
      </w:r>
      <w:r>
        <w:rPr>
          <w:rFonts w:ascii="宋体" w:hAnsi="宋体" w:eastAsia="宋体" w:cs="宋体"/>
          <w:spacing w:val="13"/>
          <w:sz w:val="20"/>
          <w:szCs w:val="20"/>
        </w:rPr>
        <w:t xml:space="preserve"> </w:t>
      </w:r>
      <w:r>
        <w:rPr>
          <w:rFonts w:ascii="宋体" w:hAnsi="宋体" w:eastAsia="宋体" w:cs="宋体"/>
          <w:spacing w:val="-1"/>
          <w:sz w:val="20"/>
          <w:szCs w:val="20"/>
        </w:rPr>
        <w:t>果的学术思想给人们留下了有益的启迪。</w:t>
      </w:r>
    </w:p>
    <w:p w14:paraId="143F8003">
      <w:pPr>
        <w:spacing w:before="15" w:line="326" w:lineRule="auto"/>
        <w:ind w:left="640" w:firstLine="399"/>
        <w:jc w:val="both"/>
        <w:rPr>
          <w:rFonts w:ascii="宋体" w:hAnsi="宋体" w:eastAsia="宋体" w:cs="宋体"/>
          <w:sz w:val="20"/>
          <w:szCs w:val="20"/>
        </w:rPr>
      </w:pPr>
      <w:r>
        <w:rPr>
          <w:rFonts w:ascii="宋体" w:hAnsi="宋体" w:eastAsia="宋体" w:cs="宋体"/>
          <w:spacing w:val="5"/>
          <w:sz w:val="20"/>
          <w:szCs w:val="20"/>
        </w:rPr>
        <w:t>在人群中开展的实验流行病学研究，最早采用平行</w:t>
      </w:r>
      <w:r>
        <w:rPr>
          <w:rFonts w:ascii="宋体" w:hAnsi="宋体" w:eastAsia="宋体" w:cs="宋体"/>
          <w:spacing w:val="4"/>
          <w:sz w:val="20"/>
          <w:szCs w:val="20"/>
        </w:rPr>
        <w:t>对照的实例可以追溯到1747年</w:t>
      </w:r>
      <w:r>
        <w:rPr>
          <w:rFonts w:ascii="Times New Roman" w:hAnsi="Times New Roman" w:eastAsia="Times New Roman" w:cs="Times New Roman"/>
          <w:sz w:val="20"/>
          <w:szCs w:val="20"/>
        </w:rPr>
        <w:t>James</w:t>
      </w:r>
      <w:r>
        <w:rPr>
          <w:rFonts w:ascii="Times New Roman" w:hAnsi="Times New Roman" w:eastAsia="Times New Roman" w:cs="Times New Roman"/>
          <w:spacing w:val="32"/>
          <w:sz w:val="20"/>
          <w:szCs w:val="20"/>
        </w:rPr>
        <w:t xml:space="preserve"> </w:t>
      </w:r>
      <w:r>
        <w:rPr>
          <w:rFonts w:ascii="Times New Roman" w:hAnsi="Times New Roman" w:eastAsia="Times New Roman" w:cs="Times New Roman"/>
          <w:sz w:val="20"/>
          <w:szCs w:val="20"/>
        </w:rPr>
        <w:t xml:space="preserve">Lind   </w:t>
      </w:r>
      <w:r>
        <w:rPr>
          <w:rFonts w:ascii="宋体" w:hAnsi="宋体" w:eastAsia="宋体" w:cs="宋体"/>
          <w:spacing w:val="2"/>
          <w:sz w:val="20"/>
          <w:szCs w:val="20"/>
        </w:rPr>
        <w:t>的抗坏血病研究。1799年</w:t>
      </w:r>
      <w:r>
        <w:rPr>
          <w:rFonts w:ascii="Times New Roman" w:hAnsi="Times New Roman" w:eastAsia="Times New Roman" w:cs="Times New Roman"/>
          <w:sz w:val="20"/>
          <w:szCs w:val="20"/>
        </w:rPr>
        <w:t>Haygarth</w:t>
      </w:r>
      <w:r>
        <w:rPr>
          <w:rFonts w:ascii="Times New Roman" w:hAnsi="Times New Roman" w:eastAsia="Times New Roman" w:cs="Times New Roman"/>
          <w:spacing w:val="2"/>
          <w:sz w:val="20"/>
          <w:szCs w:val="20"/>
        </w:rPr>
        <w:t xml:space="preserve"> </w:t>
      </w:r>
      <w:r>
        <w:rPr>
          <w:rFonts w:ascii="宋体" w:hAnsi="宋体" w:eastAsia="宋体" w:cs="宋体"/>
          <w:spacing w:val="2"/>
          <w:sz w:val="20"/>
          <w:szCs w:val="20"/>
        </w:rPr>
        <w:t>意识到安慰剂效应问题，1863年</w:t>
      </w:r>
      <w:r>
        <w:rPr>
          <w:rFonts w:ascii="Times New Roman" w:hAnsi="Times New Roman" w:eastAsia="Times New Roman" w:cs="Times New Roman"/>
          <w:sz w:val="20"/>
          <w:szCs w:val="20"/>
        </w:rPr>
        <w:t>Gull</w:t>
      </w:r>
      <w:r>
        <w:rPr>
          <w:rFonts w:ascii="Times New Roman" w:hAnsi="Times New Roman" w:eastAsia="Times New Roman" w:cs="Times New Roman"/>
          <w:spacing w:val="2"/>
          <w:sz w:val="20"/>
          <w:szCs w:val="20"/>
        </w:rPr>
        <w:t xml:space="preserve"> </w:t>
      </w:r>
      <w:r>
        <w:rPr>
          <w:rFonts w:ascii="宋体" w:hAnsi="宋体" w:eastAsia="宋体" w:cs="宋体"/>
          <w:spacing w:val="2"/>
          <w:sz w:val="20"/>
          <w:szCs w:val="20"/>
        </w:rPr>
        <w:t xml:space="preserve">首次证实安慰剂治疗在评  </w:t>
      </w:r>
      <w:r>
        <w:rPr>
          <w:rFonts w:ascii="宋体" w:hAnsi="宋体" w:eastAsia="宋体" w:cs="宋体"/>
          <w:spacing w:val="4"/>
          <w:sz w:val="20"/>
          <w:szCs w:val="20"/>
        </w:rPr>
        <w:t>估疾病自然病程和自发痊愈中的重要性。随机化概念于1923年</w:t>
      </w:r>
      <w:r>
        <w:rPr>
          <w:rFonts w:ascii="宋体" w:hAnsi="宋体" w:eastAsia="宋体" w:cs="宋体"/>
          <w:spacing w:val="3"/>
          <w:sz w:val="20"/>
          <w:szCs w:val="20"/>
        </w:rPr>
        <w:t>由</w:t>
      </w:r>
      <w:r>
        <w:rPr>
          <w:rFonts w:ascii="宋体" w:hAnsi="宋体" w:eastAsia="宋体" w:cs="宋体"/>
          <w:spacing w:val="-54"/>
          <w:sz w:val="20"/>
          <w:szCs w:val="20"/>
        </w:rPr>
        <w:t xml:space="preserve"> </w:t>
      </w:r>
      <w:r>
        <w:rPr>
          <w:rFonts w:ascii="宋体" w:hAnsi="宋体" w:eastAsia="宋体" w:cs="宋体"/>
          <w:sz w:val="20"/>
          <w:szCs w:val="20"/>
        </w:rPr>
        <w:t>Fisher</w:t>
      </w:r>
      <w:r>
        <w:rPr>
          <w:rFonts w:ascii="宋体" w:hAnsi="宋体" w:eastAsia="宋体" w:cs="宋体"/>
          <w:spacing w:val="3"/>
          <w:sz w:val="20"/>
          <w:szCs w:val="20"/>
        </w:rPr>
        <w:t>最早引人农业实验研究，</w:t>
      </w:r>
      <w:r>
        <w:rPr>
          <w:rFonts w:ascii="宋体" w:hAnsi="宋体" w:eastAsia="宋体" w:cs="宋体"/>
          <w:sz w:val="20"/>
          <w:szCs w:val="20"/>
        </w:rPr>
        <w:t xml:space="preserve"> </w:t>
      </w:r>
      <w:r>
        <w:rPr>
          <w:rFonts w:ascii="宋体" w:hAnsi="宋体" w:eastAsia="宋体" w:cs="宋体"/>
          <w:spacing w:val="6"/>
          <w:sz w:val="20"/>
          <w:szCs w:val="20"/>
        </w:rPr>
        <w:t>随后</w:t>
      </w:r>
      <w:r>
        <w:rPr>
          <w:rFonts w:ascii="Times New Roman" w:hAnsi="Times New Roman" w:eastAsia="Times New Roman" w:cs="Times New Roman"/>
          <w:sz w:val="20"/>
          <w:szCs w:val="20"/>
        </w:rPr>
        <w:t>Amberson</w:t>
      </w:r>
      <w:r>
        <w:rPr>
          <w:rFonts w:ascii="Times New Roman" w:hAnsi="Times New Roman" w:eastAsia="Times New Roman" w:cs="Times New Roman"/>
          <w:spacing w:val="-11"/>
          <w:sz w:val="20"/>
          <w:szCs w:val="20"/>
        </w:rPr>
        <w:t xml:space="preserve"> </w:t>
      </w:r>
      <w:r>
        <w:rPr>
          <w:rFonts w:ascii="宋体" w:hAnsi="宋体" w:eastAsia="宋体" w:cs="宋体"/>
          <w:spacing w:val="6"/>
          <w:sz w:val="20"/>
          <w:szCs w:val="20"/>
        </w:rPr>
        <w:t>于1931年首次在临床研究中采用随机化方法分配治疗措施。第一篇多中心临床试</w:t>
      </w:r>
      <w:r>
        <w:rPr>
          <w:rFonts w:ascii="宋体" w:hAnsi="宋体" w:eastAsia="宋体" w:cs="宋体"/>
          <w:sz w:val="20"/>
          <w:szCs w:val="20"/>
        </w:rPr>
        <w:t xml:space="preserve">  </w:t>
      </w:r>
      <w:r>
        <w:rPr>
          <w:rFonts w:ascii="宋体" w:hAnsi="宋体" w:eastAsia="宋体" w:cs="宋体"/>
          <w:spacing w:val="2"/>
          <w:sz w:val="20"/>
          <w:szCs w:val="20"/>
        </w:rPr>
        <w:t>验的报告发表于1944年，是关于展青霉素</w:t>
      </w:r>
      <w:r>
        <w:rPr>
          <w:rFonts w:ascii="Times New Roman" w:hAnsi="Times New Roman" w:eastAsia="Times New Roman" w:cs="Times New Roman"/>
          <w:spacing w:val="2"/>
          <w:sz w:val="20"/>
          <w:szCs w:val="20"/>
        </w:rPr>
        <w:t>(</w:t>
      </w:r>
      <w:r>
        <w:rPr>
          <w:rFonts w:ascii="Times New Roman" w:hAnsi="Times New Roman" w:eastAsia="Times New Roman" w:cs="Times New Roman"/>
          <w:sz w:val="20"/>
          <w:szCs w:val="20"/>
        </w:rPr>
        <w:t>patulin</w:t>
      </w:r>
      <w:r>
        <w:rPr>
          <w:rFonts w:ascii="Times New Roman" w:hAnsi="Times New Roman" w:eastAsia="Times New Roman" w:cs="Times New Roman"/>
          <w:spacing w:val="2"/>
          <w:sz w:val="20"/>
          <w:szCs w:val="20"/>
        </w:rPr>
        <w:t>)</w:t>
      </w:r>
      <w:r>
        <w:rPr>
          <w:rFonts w:ascii="Times New Roman" w:hAnsi="Times New Roman" w:eastAsia="Times New Roman" w:cs="Times New Roman"/>
          <w:spacing w:val="20"/>
          <w:w w:val="101"/>
          <w:sz w:val="20"/>
          <w:szCs w:val="20"/>
        </w:rPr>
        <w:t xml:space="preserve">  </w:t>
      </w:r>
      <w:r>
        <w:rPr>
          <w:rFonts w:ascii="宋体" w:hAnsi="宋体" w:eastAsia="宋体" w:cs="宋体"/>
          <w:spacing w:val="2"/>
          <w:sz w:val="20"/>
          <w:szCs w:val="20"/>
        </w:rPr>
        <w:t>治疗感冒的研究。但第一个严格的随机对照临</w:t>
      </w:r>
    </w:p>
    <w:p w14:paraId="2A5A27E3">
      <w:pPr>
        <w:spacing w:line="326" w:lineRule="auto"/>
        <w:rPr>
          <w:rFonts w:ascii="宋体" w:hAnsi="宋体" w:eastAsia="宋体" w:cs="宋体"/>
          <w:sz w:val="20"/>
          <w:szCs w:val="20"/>
        </w:rPr>
        <w:sectPr>
          <w:footerReference r:id="rId114" w:type="default"/>
          <w:pgSz w:w="11900" w:h="16820"/>
          <w:pgMar w:top="400" w:right="1630" w:bottom="819" w:left="1029" w:header="0" w:footer="639" w:gutter="0"/>
          <w:cols w:space="720" w:num="1"/>
        </w:sectPr>
      </w:pPr>
    </w:p>
    <w:p w14:paraId="289EA42C">
      <w:pPr>
        <w:spacing w:line="309" w:lineRule="auto"/>
        <w:rPr>
          <w:rFonts w:ascii="Arial"/>
          <w:sz w:val="21"/>
        </w:rPr>
      </w:pPr>
    </w:p>
    <w:p w14:paraId="4D02EC83">
      <w:pPr>
        <w:pStyle w:val="2"/>
        <w:spacing w:before="65" w:line="221" w:lineRule="auto"/>
        <w:ind w:left="7329"/>
        <w:rPr>
          <w:sz w:val="20"/>
          <w:szCs w:val="20"/>
        </w:rPr>
      </w:pPr>
      <w:r>
        <w:rPr>
          <w:spacing w:val="-18"/>
          <w:sz w:val="20"/>
          <w:szCs w:val="20"/>
        </w:rPr>
        <w:t>第六章 实验流行病学</w:t>
      </w:r>
    </w:p>
    <w:p w14:paraId="74D83F93">
      <w:pPr>
        <w:spacing w:line="284" w:lineRule="auto"/>
        <w:rPr>
          <w:rFonts w:ascii="Arial"/>
          <w:sz w:val="21"/>
        </w:rPr>
      </w:pPr>
    </w:p>
    <w:p w14:paraId="4393CD76">
      <w:pPr>
        <w:spacing w:line="284" w:lineRule="auto"/>
        <w:rPr>
          <w:rFonts w:ascii="Arial"/>
          <w:sz w:val="21"/>
        </w:rPr>
      </w:pPr>
    </w:p>
    <w:p w14:paraId="6ECCF57F">
      <w:pPr>
        <w:spacing w:before="65" w:line="341" w:lineRule="auto"/>
        <w:ind w:right="639"/>
        <w:jc w:val="both"/>
        <w:rPr>
          <w:rFonts w:ascii="宋体" w:hAnsi="宋体" w:eastAsia="宋体" w:cs="宋体"/>
          <w:sz w:val="20"/>
          <w:szCs w:val="20"/>
        </w:rPr>
      </w:pPr>
      <w:r>
        <w:rPr>
          <w:rFonts w:ascii="宋体" w:hAnsi="宋体" w:eastAsia="宋体" w:cs="宋体"/>
          <w:spacing w:val="11"/>
          <w:sz w:val="20"/>
          <w:szCs w:val="20"/>
        </w:rPr>
        <w:t>床试验是由英国</w:t>
      </w:r>
      <w:r>
        <w:rPr>
          <w:rFonts w:ascii="Times New Roman" w:hAnsi="Times New Roman" w:eastAsia="Times New Roman" w:cs="Times New Roman"/>
          <w:sz w:val="20"/>
          <w:szCs w:val="20"/>
        </w:rPr>
        <w:t>Austin</w:t>
      </w:r>
      <w:r>
        <w:rPr>
          <w:rFonts w:ascii="Times New Roman" w:hAnsi="Times New Roman" w:eastAsia="Times New Roman" w:cs="Times New Roman"/>
          <w:spacing w:val="11"/>
          <w:sz w:val="20"/>
          <w:szCs w:val="20"/>
        </w:rPr>
        <w:t xml:space="preserve">    </w:t>
      </w:r>
      <w:r>
        <w:rPr>
          <w:rFonts w:ascii="Times New Roman" w:hAnsi="Times New Roman" w:eastAsia="Times New Roman" w:cs="Times New Roman"/>
          <w:sz w:val="20"/>
          <w:szCs w:val="20"/>
        </w:rPr>
        <w:t>B</w:t>
      </w:r>
      <w:r>
        <w:rPr>
          <w:rFonts w:ascii="Times New Roman" w:hAnsi="Times New Roman" w:eastAsia="Times New Roman" w:cs="Times New Roman"/>
          <w:spacing w:val="11"/>
          <w:sz w:val="20"/>
          <w:szCs w:val="20"/>
        </w:rPr>
        <w:t>.</w:t>
      </w:r>
      <w:r>
        <w:rPr>
          <w:rFonts w:ascii="Times New Roman" w:hAnsi="Times New Roman" w:eastAsia="Times New Roman" w:cs="Times New Roman"/>
          <w:sz w:val="20"/>
          <w:szCs w:val="20"/>
        </w:rPr>
        <w:t>Hill</w:t>
      </w:r>
      <w:r>
        <w:rPr>
          <w:rFonts w:ascii="Times New Roman" w:hAnsi="Times New Roman" w:eastAsia="Times New Roman" w:cs="Times New Roman"/>
          <w:spacing w:val="11"/>
          <w:sz w:val="20"/>
          <w:szCs w:val="20"/>
        </w:rPr>
        <w:t xml:space="preserve">  </w:t>
      </w:r>
      <w:r>
        <w:rPr>
          <w:rFonts w:ascii="宋体" w:hAnsi="宋体" w:eastAsia="宋体" w:cs="宋体"/>
          <w:spacing w:val="11"/>
          <w:sz w:val="20"/>
          <w:szCs w:val="20"/>
        </w:rPr>
        <w:t>爵士设计的链霉素治疗肺结核的研究，1948年发表于英国医学杂志</w:t>
      </w:r>
      <w:r>
        <w:rPr>
          <w:rFonts w:ascii="宋体" w:hAnsi="宋体" w:eastAsia="宋体" w:cs="宋体"/>
          <w:spacing w:val="9"/>
          <w:sz w:val="20"/>
          <w:szCs w:val="20"/>
        </w:rPr>
        <w:t xml:space="preserve"> </w:t>
      </w:r>
      <w:r>
        <w:rPr>
          <w:rFonts w:ascii="Times New Roman" w:hAnsi="Times New Roman" w:eastAsia="Times New Roman" w:cs="Times New Roman"/>
          <w:spacing w:val="13"/>
          <w:sz w:val="20"/>
          <w:szCs w:val="20"/>
        </w:rPr>
        <w:t>(</w:t>
      </w:r>
      <w:r>
        <w:rPr>
          <w:rFonts w:ascii="Times New Roman" w:hAnsi="Times New Roman" w:eastAsia="Times New Roman" w:cs="Times New Roman"/>
          <w:sz w:val="20"/>
          <w:szCs w:val="20"/>
        </w:rPr>
        <w:t>BMJ</w:t>
      </w:r>
      <w:r>
        <w:rPr>
          <w:rFonts w:ascii="Times New Roman" w:hAnsi="Times New Roman" w:eastAsia="Times New Roman" w:cs="Times New Roman"/>
          <w:spacing w:val="13"/>
          <w:sz w:val="20"/>
          <w:szCs w:val="20"/>
        </w:rPr>
        <w:t>)</w:t>
      </w:r>
      <w:r>
        <w:rPr>
          <w:rFonts w:ascii="Times New Roman" w:hAnsi="Times New Roman" w:eastAsia="Times New Roman" w:cs="Times New Roman"/>
          <w:spacing w:val="-9"/>
          <w:sz w:val="20"/>
          <w:szCs w:val="20"/>
        </w:rPr>
        <w:t xml:space="preserve"> </w:t>
      </w:r>
      <w:r>
        <w:rPr>
          <w:rFonts w:ascii="宋体" w:hAnsi="宋体" w:eastAsia="宋体" w:cs="宋体"/>
          <w:spacing w:val="13"/>
          <w:sz w:val="20"/>
          <w:szCs w:val="20"/>
        </w:rPr>
        <w:t>。 通过接种疫苗预防传染病的现场试验，早期的有1946—1950年</w:t>
      </w:r>
      <w:r>
        <w:rPr>
          <w:rFonts w:ascii="Times New Roman" w:hAnsi="Times New Roman" w:eastAsia="Times New Roman" w:cs="Times New Roman"/>
          <w:sz w:val="20"/>
          <w:szCs w:val="20"/>
        </w:rPr>
        <w:t>Taylor</w:t>
      </w:r>
      <w:r>
        <w:rPr>
          <w:rFonts w:ascii="Times New Roman" w:hAnsi="Times New Roman" w:eastAsia="Times New Roman" w:cs="Times New Roman"/>
          <w:spacing w:val="22"/>
          <w:w w:val="101"/>
          <w:sz w:val="20"/>
          <w:szCs w:val="20"/>
        </w:rPr>
        <w:t xml:space="preserve"> </w:t>
      </w:r>
      <w:r>
        <w:rPr>
          <w:rFonts w:ascii="宋体" w:hAnsi="宋体" w:eastAsia="宋体" w:cs="宋体"/>
          <w:spacing w:val="13"/>
          <w:sz w:val="20"/>
          <w:szCs w:val="20"/>
        </w:rPr>
        <w:t>开展的百日咳疫苗</w:t>
      </w:r>
      <w:r>
        <w:rPr>
          <w:rFonts w:ascii="宋体" w:hAnsi="宋体" w:eastAsia="宋体" w:cs="宋体"/>
          <w:sz w:val="20"/>
          <w:szCs w:val="20"/>
        </w:rPr>
        <w:t xml:space="preserve"> </w:t>
      </w:r>
      <w:r>
        <w:rPr>
          <w:rFonts w:ascii="宋体" w:hAnsi="宋体" w:eastAsia="宋体" w:cs="宋体"/>
          <w:spacing w:val="13"/>
          <w:sz w:val="20"/>
          <w:szCs w:val="20"/>
        </w:rPr>
        <w:t>预防试验，1954年</w:t>
      </w:r>
      <w:r>
        <w:rPr>
          <w:rFonts w:ascii="Times New Roman" w:hAnsi="Times New Roman" w:eastAsia="Times New Roman" w:cs="Times New Roman"/>
          <w:sz w:val="20"/>
          <w:szCs w:val="20"/>
        </w:rPr>
        <w:t>Salk</w:t>
      </w:r>
      <w:r>
        <w:rPr>
          <w:rFonts w:ascii="Times New Roman" w:hAnsi="Times New Roman" w:eastAsia="Times New Roman" w:cs="Times New Roman"/>
          <w:spacing w:val="50"/>
          <w:sz w:val="20"/>
          <w:szCs w:val="20"/>
        </w:rPr>
        <w:t xml:space="preserve"> </w:t>
      </w:r>
      <w:r>
        <w:rPr>
          <w:rFonts w:ascii="宋体" w:hAnsi="宋体" w:eastAsia="宋体" w:cs="宋体"/>
          <w:spacing w:val="13"/>
          <w:sz w:val="20"/>
          <w:szCs w:val="20"/>
        </w:rPr>
        <w:t>关于脊髓灰质炎减毒疫苗的预防试验。何观清教授于1954年在我国首次采</w:t>
      </w:r>
      <w:r>
        <w:rPr>
          <w:rFonts w:ascii="宋体" w:hAnsi="宋体" w:eastAsia="宋体" w:cs="宋体"/>
          <w:sz w:val="20"/>
          <w:szCs w:val="20"/>
        </w:rPr>
        <w:t xml:space="preserve"> </w:t>
      </w:r>
      <w:r>
        <w:rPr>
          <w:rFonts w:ascii="宋体" w:hAnsi="宋体" w:eastAsia="宋体" w:cs="宋体"/>
          <w:spacing w:val="15"/>
          <w:sz w:val="20"/>
          <w:szCs w:val="20"/>
        </w:rPr>
        <w:t>用随机对照的现场试验，证实痢疾噬菌体对预防痢疾无效。而对慢性非传染性疾病的多中</w:t>
      </w:r>
      <w:r>
        <w:rPr>
          <w:rFonts w:ascii="宋体" w:hAnsi="宋体" w:eastAsia="宋体" w:cs="宋体"/>
          <w:spacing w:val="14"/>
          <w:sz w:val="20"/>
          <w:szCs w:val="20"/>
        </w:rPr>
        <w:t>心试验</w:t>
      </w:r>
      <w:r>
        <w:rPr>
          <w:rFonts w:ascii="宋体" w:hAnsi="宋体" w:eastAsia="宋体" w:cs="宋体"/>
          <w:sz w:val="20"/>
          <w:szCs w:val="20"/>
        </w:rPr>
        <w:t xml:space="preserve"> </w:t>
      </w:r>
      <w:r>
        <w:rPr>
          <w:rFonts w:ascii="宋体" w:hAnsi="宋体" w:eastAsia="宋体" w:cs="宋体"/>
          <w:spacing w:val="13"/>
          <w:sz w:val="20"/>
          <w:szCs w:val="20"/>
        </w:rPr>
        <w:t>最早发起于20世纪60年代。1962年</w:t>
      </w:r>
      <w:r>
        <w:rPr>
          <w:rFonts w:ascii="Times New Roman" w:hAnsi="Times New Roman" w:eastAsia="Times New Roman" w:cs="Times New Roman"/>
          <w:sz w:val="20"/>
          <w:szCs w:val="20"/>
        </w:rPr>
        <w:t>Hill</w:t>
      </w:r>
      <w:r>
        <w:rPr>
          <w:rFonts w:ascii="Times New Roman" w:hAnsi="Times New Roman" w:eastAsia="Times New Roman" w:cs="Times New Roman"/>
          <w:spacing w:val="1"/>
          <w:sz w:val="20"/>
          <w:szCs w:val="20"/>
        </w:rPr>
        <w:t xml:space="preserve">  </w:t>
      </w:r>
      <w:r>
        <w:rPr>
          <w:rFonts w:ascii="宋体" w:hAnsi="宋体" w:eastAsia="宋体" w:cs="宋体"/>
          <w:spacing w:val="13"/>
          <w:sz w:val="20"/>
          <w:szCs w:val="20"/>
        </w:rPr>
        <w:t>爵士的《临床和预防医学中</w:t>
      </w:r>
      <w:r>
        <w:rPr>
          <w:rFonts w:ascii="宋体" w:hAnsi="宋体" w:eastAsia="宋体" w:cs="宋体"/>
          <w:spacing w:val="12"/>
          <w:sz w:val="20"/>
          <w:szCs w:val="20"/>
        </w:rPr>
        <w:t>的统计方法》</w:t>
      </w:r>
      <w:r>
        <w:rPr>
          <w:rFonts w:ascii="宋体" w:hAnsi="宋体" w:eastAsia="宋体" w:cs="宋体"/>
          <w:spacing w:val="-36"/>
          <w:sz w:val="20"/>
          <w:szCs w:val="20"/>
        </w:rPr>
        <w:t xml:space="preserve"> </w:t>
      </w:r>
      <w:r>
        <w:rPr>
          <w:rFonts w:ascii="宋体" w:hAnsi="宋体" w:eastAsia="宋体" w:cs="宋体"/>
          <w:spacing w:val="12"/>
          <w:sz w:val="20"/>
          <w:szCs w:val="20"/>
        </w:rPr>
        <w:t>一书问世，可以</w:t>
      </w:r>
      <w:r>
        <w:rPr>
          <w:rFonts w:ascii="宋体" w:hAnsi="宋体" w:eastAsia="宋体" w:cs="宋体"/>
          <w:sz w:val="20"/>
          <w:szCs w:val="20"/>
        </w:rPr>
        <w:t xml:space="preserve"> </w:t>
      </w:r>
      <w:r>
        <w:rPr>
          <w:rFonts w:ascii="宋体" w:hAnsi="宋体" w:eastAsia="宋体" w:cs="宋体"/>
          <w:spacing w:val="15"/>
          <w:sz w:val="20"/>
          <w:szCs w:val="20"/>
        </w:rPr>
        <w:t>作为临床试验研究发展的一个重要的里程碑。同年，美国立法要求新药必须经临床试验评价后由</w:t>
      </w:r>
      <w:r>
        <w:rPr>
          <w:rFonts w:ascii="宋体" w:hAnsi="宋体" w:eastAsia="宋体" w:cs="宋体"/>
          <w:spacing w:val="12"/>
          <w:sz w:val="20"/>
          <w:szCs w:val="20"/>
        </w:rPr>
        <w:t xml:space="preserve"> </w:t>
      </w:r>
      <w:r>
        <w:rPr>
          <w:rFonts w:ascii="宋体" w:hAnsi="宋体" w:eastAsia="宋体" w:cs="宋体"/>
          <w:spacing w:val="13"/>
          <w:sz w:val="20"/>
          <w:szCs w:val="20"/>
        </w:rPr>
        <w:t>食品药品监督管理局</w:t>
      </w:r>
      <w:r>
        <w:rPr>
          <w:rFonts w:ascii="Times New Roman" w:hAnsi="Times New Roman" w:eastAsia="Times New Roman" w:cs="Times New Roman"/>
          <w:spacing w:val="13"/>
          <w:sz w:val="20"/>
          <w:szCs w:val="20"/>
        </w:rPr>
        <w:t>(</w:t>
      </w:r>
      <w:r>
        <w:rPr>
          <w:rFonts w:ascii="Times New Roman" w:hAnsi="Times New Roman" w:eastAsia="Times New Roman" w:cs="Times New Roman"/>
          <w:sz w:val="20"/>
          <w:szCs w:val="20"/>
        </w:rPr>
        <w:t>FDA</w:t>
      </w:r>
      <w:r>
        <w:rPr>
          <w:rFonts w:ascii="Times New Roman" w:hAnsi="Times New Roman" w:eastAsia="Times New Roman" w:cs="Times New Roman"/>
          <w:spacing w:val="13"/>
          <w:sz w:val="20"/>
          <w:szCs w:val="20"/>
        </w:rPr>
        <w:t xml:space="preserve">)  </w:t>
      </w:r>
      <w:r>
        <w:rPr>
          <w:rFonts w:ascii="宋体" w:hAnsi="宋体" w:eastAsia="宋体" w:cs="宋体"/>
          <w:spacing w:val="13"/>
          <w:sz w:val="20"/>
          <w:szCs w:val="20"/>
        </w:rPr>
        <w:t>批准才能上市，由此极大促进了临床试验的开展。1979年国际临床试</w:t>
      </w:r>
      <w:r>
        <w:rPr>
          <w:rFonts w:ascii="宋体" w:hAnsi="宋体" w:eastAsia="宋体" w:cs="宋体"/>
          <w:spacing w:val="8"/>
          <w:sz w:val="20"/>
          <w:szCs w:val="20"/>
        </w:rPr>
        <w:t xml:space="preserve"> </w:t>
      </w:r>
      <w:r>
        <w:rPr>
          <w:rFonts w:ascii="宋体" w:hAnsi="宋体" w:eastAsia="宋体" w:cs="宋体"/>
          <w:spacing w:val="19"/>
          <w:sz w:val="20"/>
          <w:szCs w:val="20"/>
        </w:rPr>
        <w:t>验协会成立，1980年</w:t>
      </w:r>
      <w:r>
        <w:rPr>
          <w:rFonts w:ascii="Times New Roman" w:hAnsi="Times New Roman" w:eastAsia="Times New Roman" w:cs="Times New Roman"/>
          <w:sz w:val="20"/>
          <w:szCs w:val="20"/>
        </w:rPr>
        <w:t>Controlled</w:t>
      </w:r>
      <w:r>
        <w:rPr>
          <w:rFonts w:ascii="Times New Roman" w:hAnsi="Times New Roman" w:eastAsia="Times New Roman" w:cs="Times New Roman"/>
          <w:spacing w:val="19"/>
          <w:sz w:val="20"/>
          <w:szCs w:val="20"/>
        </w:rPr>
        <w:t xml:space="preserve">  </w:t>
      </w:r>
      <w:r>
        <w:rPr>
          <w:rFonts w:ascii="Times New Roman" w:hAnsi="Times New Roman" w:eastAsia="Times New Roman" w:cs="Times New Roman"/>
          <w:sz w:val="20"/>
          <w:szCs w:val="20"/>
        </w:rPr>
        <w:t>Clinical</w:t>
      </w:r>
      <w:r>
        <w:rPr>
          <w:rFonts w:ascii="Times New Roman" w:hAnsi="Times New Roman" w:eastAsia="Times New Roman" w:cs="Times New Roman"/>
          <w:spacing w:val="19"/>
          <w:sz w:val="20"/>
          <w:szCs w:val="20"/>
        </w:rPr>
        <w:t xml:space="preserve">  </w:t>
      </w:r>
      <w:r>
        <w:rPr>
          <w:rFonts w:ascii="Times New Roman" w:hAnsi="Times New Roman" w:eastAsia="Times New Roman" w:cs="Times New Roman"/>
          <w:sz w:val="20"/>
          <w:szCs w:val="20"/>
        </w:rPr>
        <w:t>Trial</w:t>
      </w:r>
      <w:r>
        <w:rPr>
          <w:rFonts w:ascii="宋体" w:hAnsi="宋体" w:eastAsia="宋体" w:cs="宋体"/>
          <w:spacing w:val="19"/>
          <w:sz w:val="20"/>
          <w:szCs w:val="20"/>
        </w:rPr>
        <w:t>杂志首期发行。20世纪70年代</w:t>
      </w:r>
      <w:r>
        <w:rPr>
          <w:rFonts w:ascii="宋体" w:hAnsi="宋体" w:eastAsia="宋体" w:cs="宋体"/>
          <w:spacing w:val="18"/>
          <w:sz w:val="20"/>
          <w:szCs w:val="20"/>
        </w:rPr>
        <w:t>末期和80年代初期开</w:t>
      </w:r>
      <w:r>
        <w:rPr>
          <w:rFonts w:ascii="宋体" w:hAnsi="宋体" w:eastAsia="宋体" w:cs="宋体"/>
          <w:sz w:val="20"/>
          <w:szCs w:val="20"/>
        </w:rPr>
        <w:t xml:space="preserve"> </w:t>
      </w:r>
      <w:r>
        <w:rPr>
          <w:rFonts w:ascii="宋体" w:hAnsi="宋体" w:eastAsia="宋体" w:cs="宋体"/>
          <w:spacing w:val="11"/>
          <w:sz w:val="20"/>
          <w:szCs w:val="20"/>
        </w:rPr>
        <w:t>始出现社区试验，较著名的如美国国立肿瘤</w:t>
      </w:r>
      <w:r>
        <w:rPr>
          <w:rFonts w:ascii="宋体" w:hAnsi="宋体" w:eastAsia="宋体" w:cs="宋体"/>
          <w:spacing w:val="10"/>
          <w:sz w:val="20"/>
          <w:szCs w:val="20"/>
        </w:rPr>
        <w:t>研究所资助的戒烟社区干预试验</w:t>
      </w:r>
      <w:r>
        <w:rPr>
          <w:rFonts w:ascii="Times New Roman" w:hAnsi="Times New Roman" w:eastAsia="Times New Roman" w:cs="Times New Roman"/>
          <w:spacing w:val="10"/>
          <w:sz w:val="20"/>
          <w:szCs w:val="20"/>
        </w:rPr>
        <w:t>(</w:t>
      </w:r>
      <w:r>
        <w:rPr>
          <w:rFonts w:ascii="Times New Roman" w:hAnsi="Times New Roman" w:eastAsia="Times New Roman" w:cs="Times New Roman"/>
          <w:sz w:val="20"/>
          <w:szCs w:val="20"/>
        </w:rPr>
        <w:t>COMMIT</w:t>
      </w:r>
      <w:r>
        <w:rPr>
          <w:rFonts w:ascii="Times New Roman" w:hAnsi="Times New Roman" w:eastAsia="Times New Roman" w:cs="Times New Roman"/>
          <w:spacing w:val="10"/>
          <w:sz w:val="20"/>
          <w:szCs w:val="20"/>
        </w:rPr>
        <w:t xml:space="preserve">) </w:t>
      </w:r>
      <w:r>
        <w:rPr>
          <w:rFonts w:ascii="宋体" w:hAnsi="宋体" w:eastAsia="宋体" w:cs="宋体"/>
          <w:spacing w:val="10"/>
          <w:sz w:val="20"/>
          <w:szCs w:val="20"/>
        </w:rPr>
        <w:t>等。过去的</w:t>
      </w:r>
      <w:r>
        <w:rPr>
          <w:rFonts w:ascii="宋体" w:hAnsi="宋体" w:eastAsia="宋体" w:cs="宋体"/>
          <w:sz w:val="20"/>
          <w:szCs w:val="20"/>
        </w:rPr>
        <w:t xml:space="preserve"> </w:t>
      </w:r>
      <w:r>
        <w:rPr>
          <w:rFonts w:ascii="宋体" w:hAnsi="宋体" w:eastAsia="宋体" w:cs="宋体"/>
          <w:spacing w:val="10"/>
          <w:sz w:val="20"/>
          <w:szCs w:val="20"/>
        </w:rPr>
        <w:t>几十年，在人群中开展的实验流行病学进入了蓬勃发展时期，被广泛用于各种干预措施的评价和因</w:t>
      </w:r>
      <w:r>
        <w:rPr>
          <w:rFonts w:ascii="宋体" w:hAnsi="宋体" w:eastAsia="宋体" w:cs="宋体"/>
          <w:spacing w:val="9"/>
          <w:sz w:val="20"/>
          <w:szCs w:val="20"/>
        </w:rPr>
        <w:t xml:space="preserve"> </w:t>
      </w:r>
      <w:r>
        <w:rPr>
          <w:rFonts w:ascii="宋体" w:hAnsi="宋体" w:eastAsia="宋体" w:cs="宋体"/>
          <w:spacing w:val="14"/>
          <w:sz w:val="20"/>
          <w:szCs w:val="20"/>
        </w:rPr>
        <w:t>果关系的确证。</w:t>
      </w:r>
    </w:p>
    <w:p w14:paraId="7CDBC70B">
      <w:pPr>
        <w:pStyle w:val="2"/>
        <w:spacing w:before="151" w:line="223" w:lineRule="auto"/>
        <w:ind w:left="433"/>
        <w:outlineLvl w:val="2"/>
        <w:rPr>
          <w:sz w:val="26"/>
          <w:szCs w:val="26"/>
        </w:rPr>
      </w:pPr>
      <w:bookmarkStart w:id="159" w:name="bookmark101"/>
      <w:bookmarkEnd w:id="159"/>
      <w:r>
        <w:rPr>
          <w:b/>
          <w:bCs/>
          <w:spacing w:val="1"/>
          <w:sz w:val="26"/>
          <w:szCs w:val="26"/>
        </w:rPr>
        <w:t>二、定义</w:t>
      </w:r>
    </w:p>
    <w:p w14:paraId="5AAB0E38">
      <w:pPr>
        <w:spacing w:before="257" w:line="342" w:lineRule="auto"/>
        <w:ind w:right="654" w:firstLine="429"/>
        <w:jc w:val="both"/>
        <w:rPr>
          <w:rFonts w:ascii="宋体" w:hAnsi="宋体" w:eastAsia="宋体" w:cs="宋体"/>
          <w:sz w:val="20"/>
          <w:szCs w:val="20"/>
        </w:rPr>
      </w:pPr>
      <w:r>
        <w:rPr>
          <w:rFonts w:ascii="宋体" w:hAnsi="宋体" w:eastAsia="宋体" w:cs="宋体"/>
          <w:spacing w:val="15"/>
          <w:sz w:val="20"/>
          <w:szCs w:val="20"/>
        </w:rPr>
        <w:t>实验流行病学是指研究者根据研究目的，按照预先确定的研究方案将研究对象随机分</w:t>
      </w:r>
      <w:r>
        <w:rPr>
          <w:rFonts w:ascii="宋体" w:hAnsi="宋体" w:eastAsia="宋体" w:cs="宋体"/>
          <w:spacing w:val="14"/>
          <w:sz w:val="20"/>
          <w:szCs w:val="20"/>
        </w:rPr>
        <w:t>配到试</w:t>
      </w:r>
      <w:r>
        <w:rPr>
          <w:rFonts w:ascii="宋体" w:hAnsi="宋体" w:eastAsia="宋体" w:cs="宋体"/>
          <w:sz w:val="20"/>
          <w:szCs w:val="20"/>
        </w:rPr>
        <w:t xml:space="preserve"> </w:t>
      </w:r>
      <w:r>
        <w:rPr>
          <w:rFonts w:ascii="宋体" w:hAnsi="宋体" w:eastAsia="宋体" w:cs="宋体"/>
          <w:spacing w:val="10"/>
          <w:sz w:val="20"/>
          <w:szCs w:val="20"/>
        </w:rPr>
        <w:t>验组和对照组，人为地施加或减少某种处理因素，然后追踪观察处理因素的作用结果，比较</w:t>
      </w:r>
      <w:r>
        <w:rPr>
          <w:rFonts w:ascii="宋体" w:hAnsi="宋体" w:eastAsia="宋体" w:cs="宋体"/>
          <w:spacing w:val="9"/>
          <w:sz w:val="20"/>
          <w:szCs w:val="20"/>
        </w:rPr>
        <w:t>和分析</w:t>
      </w:r>
      <w:r>
        <w:rPr>
          <w:rFonts w:ascii="宋体" w:hAnsi="宋体" w:eastAsia="宋体" w:cs="宋体"/>
          <w:sz w:val="20"/>
          <w:szCs w:val="20"/>
        </w:rPr>
        <w:t xml:space="preserve"> </w:t>
      </w:r>
      <w:r>
        <w:rPr>
          <w:rFonts w:ascii="宋体" w:hAnsi="宋体" w:eastAsia="宋体" w:cs="宋体"/>
          <w:spacing w:val="10"/>
          <w:sz w:val="20"/>
          <w:szCs w:val="20"/>
        </w:rPr>
        <w:t>两组人群的结局，从而判断处理因素的效果。为了确保研究结果的真实性和可靠性，研究者</w:t>
      </w:r>
      <w:r>
        <w:rPr>
          <w:rFonts w:ascii="宋体" w:hAnsi="宋体" w:eastAsia="宋体" w:cs="宋体"/>
          <w:spacing w:val="9"/>
          <w:sz w:val="20"/>
          <w:szCs w:val="20"/>
        </w:rPr>
        <w:t>必须预</w:t>
      </w:r>
      <w:r>
        <w:rPr>
          <w:rFonts w:ascii="宋体" w:hAnsi="宋体" w:eastAsia="宋体" w:cs="宋体"/>
          <w:sz w:val="20"/>
          <w:szCs w:val="20"/>
        </w:rPr>
        <w:t xml:space="preserve"> </w:t>
      </w:r>
      <w:r>
        <w:rPr>
          <w:rFonts w:ascii="宋体" w:hAnsi="宋体" w:eastAsia="宋体" w:cs="宋体"/>
          <w:spacing w:val="9"/>
          <w:sz w:val="20"/>
          <w:szCs w:val="20"/>
        </w:rPr>
        <w:t>先做好实验设计，以保证研究过程和研究结果的科学性。</w:t>
      </w:r>
    </w:p>
    <w:p w14:paraId="44731778">
      <w:pPr>
        <w:pStyle w:val="2"/>
        <w:spacing w:before="163" w:line="221" w:lineRule="auto"/>
        <w:ind w:left="433"/>
        <w:outlineLvl w:val="2"/>
        <w:rPr>
          <w:sz w:val="26"/>
          <w:szCs w:val="26"/>
        </w:rPr>
      </w:pPr>
      <w:bookmarkStart w:id="160" w:name="bookmark102"/>
      <w:bookmarkEnd w:id="160"/>
      <w:r>
        <w:rPr>
          <w:b/>
          <w:bCs/>
          <w:spacing w:val="-7"/>
          <w:sz w:val="26"/>
          <w:szCs w:val="26"/>
        </w:rPr>
        <w:t>三、基本特征和用途</w:t>
      </w:r>
    </w:p>
    <w:p w14:paraId="0E6EA463">
      <w:pPr>
        <w:spacing w:before="282" w:line="329" w:lineRule="auto"/>
        <w:ind w:right="652" w:firstLine="429"/>
        <w:jc w:val="both"/>
        <w:rPr>
          <w:rFonts w:ascii="宋体" w:hAnsi="宋体" w:eastAsia="宋体" w:cs="宋体"/>
          <w:sz w:val="20"/>
          <w:szCs w:val="20"/>
        </w:rPr>
      </w:pPr>
      <w:r>
        <w:rPr>
          <w:rFonts w:ascii="宋体" w:hAnsi="宋体" w:eastAsia="宋体" w:cs="宋体"/>
          <w:spacing w:val="15"/>
          <w:sz w:val="20"/>
          <w:szCs w:val="20"/>
        </w:rPr>
        <w:t>在实验流行病学研究中，研究对象被分为两组或多组，分</w:t>
      </w:r>
      <w:r>
        <w:rPr>
          <w:rFonts w:ascii="宋体" w:hAnsi="宋体" w:eastAsia="宋体" w:cs="宋体"/>
          <w:spacing w:val="14"/>
          <w:sz w:val="20"/>
          <w:szCs w:val="20"/>
        </w:rPr>
        <w:t>别接受不同的干预(处理或对照)措</w:t>
      </w:r>
      <w:r>
        <w:rPr>
          <w:rFonts w:ascii="宋体" w:hAnsi="宋体" w:eastAsia="宋体" w:cs="宋体"/>
          <w:sz w:val="20"/>
          <w:szCs w:val="20"/>
        </w:rPr>
        <w:t xml:space="preserve"> </w:t>
      </w:r>
      <w:r>
        <w:rPr>
          <w:rFonts w:ascii="宋体" w:hAnsi="宋体" w:eastAsia="宋体" w:cs="宋体"/>
          <w:spacing w:val="7"/>
          <w:sz w:val="20"/>
          <w:szCs w:val="20"/>
        </w:rPr>
        <w:t>施，随访观察一段时间，然后比较各组的某(些)结局</w:t>
      </w:r>
      <w:r>
        <w:rPr>
          <w:rFonts w:ascii="Times New Roman" w:hAnsi="Times New Roman" w:eastAsia="Times New Roman" w:cs="Times New Roman"/>
          <w:spacing w:val="7"/>
          <w:sz w:val="20"/>
          <w:szCs w:val="20"/>
        </w:rPr>
        <w:t>(</w:t>
      </w:r>
      <w:r>
        <w:rPr>
          <w:rFonts w:ascii="Times New Roman" w:hAnsi="Times New Roman" w:eastAsia="Times New Roman" w:cs="Times New Roman"/>
          <w:sz w:val="20"/>
          <w:szCs w:val="20"/>
        </w:rPr>
        <w:t>outcome</w:t>
      </w:r>
      <w:r>
        <w:rPr>
          <w:rFonts w:ascii="Times New Roman" w:hAnsi="Times New Roman" w:eastAsia="Times New Roman" w:cs="Times New Roman"/>
          <w:spacing w:val="7"/>
          <w:sz w:val="20"/>
          <w:szCs w:val="20"/>
        </w:rPr>
        <w:t xml:space="preserve">)  </w:t>
      </w:r>
      <w:r>
        <w:rPr>
          <w:rFonts w:ascii="宋体" w:hAnsi="宋体" w:eastAsia="宋体" w:cs="宋体"/>
          <w:spacing w:val="7"/>
          <w:sz w:val="20"/>
          <w:szCs w:val="20"/>
        </w:rPr>
        <w:t>或效应</w:t>
      </w:r>
      <w:r>
        <w:rPr>
          <w:rFonts w:ascii="Times New Roman" w:hAnsi="Times New Roman" w:eastAsia="Times New Roman" w:cs="Times New Roman"/>
          <w:spacing w:val="7"/>
          <w:sz w:val="20"/>
          <w:szCs w:val="20"/>
        </w:rPr>
        <w:t>(</w:t>
      </w:r>
      <w:r>
        <w:rPr>
          <w:rFonts w:ascii="Times New Roman" w:hAnsi="Times New Roman" w:eastAsia="Times New Roman" w:cs="Times New Roman"/>
          <w:sz w:val="20"/>
          <w:szCs w:val="20"/>
        </w:rPr>
        <w:t>effect</w:t>
      </w:r>
      <w:r>
        <w:rPr>
          <w:rFonts w:ascii="Times New Roman" w:hAnsi="Times New Roman" w:eastAsia="Times New Roman" w:cs="Times New Roman"/>
          <w:spacing w:val="7"/>
          <w:sz w:val="20"/>
          <w:szCs w:val="20"/>
        </w:rPr>
        <w:t xml:space="preserve">)  </w:t>
      </w:r>
      <w:r>
        <w:rPr>
          <w:rFonts w:ascii="宋体" w:hAnsi="宋体" w:eastAsia="宋体" w:cs="宋体"/>
          <w:spacing w:val="6"/>
          <w:sz w:val="20"/>
          <w:szCs w:val="20"/>
        </w:rPr>
        <w:t>(图6-1)。因此，实验</w:t>
      </w:r>
      <w:r>
        <w:rPr>
          <w:rFonts w:ascii="宋体" w:hAnsi="宋体" w:eastAsia="宋体" w:cs="宋体"/>
          <w:sz w:val="20"/>
          <w:szCs w:val="20"/>
        </w:rPr>
        <w:t xml:space="preserve"> </w:t>
      </w:r>
      <w:r>
        <w:rPr>
          <w:rFonts w:ascii="宋体" w:hAnsi="宋体" w:eastAsia="宋体" w:cs="宋体"/>
          <w:spacing w:val="11"/>
          <w:sz w:val="20"/>
          <w:szCs w:val="20"/>
        </w:rPr>
        <w:t>流行病学研究具有以下基本特征：</w:t>
      </w:r>
    </w:p>
    <w:p w14:paraId="1557225A">
      <w:pPr>
        <w:spacing w:line="250" w:lineRule="auto"/>
        <w:rPr>
          <w:rFonts w:ascii="Arial"/>
          <w:sz w:val="21"/>
        </w:rPr>
      </w:pPr>
    </w:p>
    <w:p w14:paraId="6382ADF7">
      <w:pPr>
        <w:pStyle w:val="2"/>
        <w:spacing w:before="1" w:line="2300" w:lineRule="exact"/>
        <w:ind w:firstLine="1889"/>
      </w:pPr>
      <w:r>
        <w:rPr>
          <w:position w:val="-45"/>
        </w:rPr>
        <w:pict>
          <v:group id="_x0000_s1071" o:spid="_x0000_s1071" o:spt="203" style="height:115pt;width:266.05pt;" coordsize="5320,2300">
            <o:lock v:ext="edit"/>
            <v:shape id="_x0000_s1072" o:spid="_x0000_s1072" o:spt="75" type="#_x0000_t75" style="position:absolute;left:0;top:0;height:2300;width:5320;" filled="f" stroked="f" coordsize="21600,21600">
              <v:path/>
              <v:fill on="f" focussize="0,0"/>
              <v:stroke on="f"/>
              <v:imagedata r:id="rId553" o:title=""/>
              <o:lock v:ext="edit" aspectratio="t"/>
            </v:shape>
            <v:shape id="_x0000_s1073" o:spid="_x0000_s1073" o:spt="202" type="#_x0000_t202" style="position:absolute;left:2270;top:88;height:2180;width:2998;" filled="f" stroked="f" coordsize="21600,21600">
              <v:path/>
              <v:fill on="f" focussize="0,0"/>
              <v:stroke on="f"/>
              <v:imagedata o:title=""/>
              <o:lock v:ext="edit" aspectratio="f"/>
              <v:textbox inset="0mm,0mm,0mm,0mm">
                <w:txbxContent>
                  <w:p w14:paraId="3AF6D01E">
                    <w:pPr>
                      <w:spacing w:before="19" w:line="181" w:lineRule="auto"/>
                      <w:ind w:left="1720"/>
                      <w:rPr>
                        <w:rFonts w:ascii="宋体" w:hAnsi="宋体" w:eastAsia="宋体" w:cs="宋体"/>
                        <w:sz w:val="20"/>
                        <w:szCs w:val="20"/>
                      </w:rPr>
                    </w:pPr>
                    <w:r>
                      <w:rPr>
                        <w:rFonts w:ascii="宋体" w:hAnsi="宋体" w:eastAsia="宋体" w:cs="宋体"/>
                        <w:spacing w:val="-17"/>
                        <w:w w:val="98"/>
                        <w:sz w:val="20"/>
                        <w:szCs w:val="20"/>
                      </w:rPr>
                      <w:t>结局事件发生</w:t>
                    </w:r>
                  </w:p>
                  <w:p w14:paraId="4554B0BD">
                    <w:pPr>
                      <w:spacing w:line="188" w:lineRule="auto"/>
                      <w:ind w:left="219"/>
                      <w:rPr>
                        <w:rFonts w:ascii="宋体" w:hAnsi="宋体" w:eastAsia="宋体" w:cs="宋体"/>
                        <w:sz w:val="20"/>
                        <w:szCs w:val="20"/>
                      </w:rPr>
                    </w:pPr>
                    <w:r>
                      <w:rPr>
                        <w:rFonts w:ascii="宋体" w:hAnsi="宋体" w:eastAsia="宋体" w:cs="宋体"/>
                        <w:spacing w:val="-15"/>
                        <w:sz w:val="20"/>
                        <w:szCs w:val="20"/>
                      </w:rPr>
                      <w:t>试验组</w:t>
                    </w:r>
                  </w:p>
                  <w:p w14:paraId="4960C1AD">
                    <w:pPr>
                      <w:spacing w:line="194" w:lineRule="auto"/>
                      <w:ind w:left="20"/>
                      <w:rPr>
                        <w:rFonts w:ascii="宋体" w:hAnsi="宋体" w:eastAsia="宋体" w:cs="宋体"/>
                        <w:sz w:val="20"/>
                        <w:szCs w:val="20"/>
                      </w:rPr>
                    </w:pPr>
                    <w:r>
                      <w:rPr>
                        <w:rFonts w:ascii="宋体" w:hAnsi="宋体" w:eastAsia="宋体" w:cs="宋体"/>
                        <w:sz w:val="20"/>
                        <w:szCs w:val="20"/>
                      </w:rPr>
                      <w:t>(干预措施)</w:t>
                    </w:r>
                  </w:p>
                  <w:p w14:paraId="59540B50">
                    <w:pPr>
                      <w:spacing w:line="219" w:lineRule="auto"/>
                      <w:jc w:val="right"/>
                      <w:rPr>
                        <w:rFonts w:ascii="宋体" w:hAnsi="宋体" w:eastAsia="宋体" w:cs="宋体"/>
                        <w:sz w:val="20"/>
                        <w:szCs w:val="20"/>
                      </w:rPr>
                    </w:pPr>
                    <w:r>
                      <w:rPr>
                        <w:rFonts w:ascii="宋体" w:hAnsi="宋体" w:eastAsia="宋体" w:cs="宋体"/>
                        <w:spacing w:val="-19"/>
                        <w:w w:val="98"/>
                        <w:sz w:val="20"/>
                        <w:szCs w:val="20"/>
                      </w:rPr>
                      <w:t>结</w:t>
                    </w:r>
                    <w:r>
                      <w:rPr>
                        <w:rFonts w:ascii="宋体" w:hAnsi="宋体" w:eastAsia="宋体" w:cs="宋体"/>
                        <w:spacing w:val="-18"/>
                        <w:w w:val="98"/>
                        <w:sz w:val="20"/>
                        <w:szCs w:val="20"/>
                      </w:rPr>
                      <w:t>局事件不发</w:t>
                    </w:r>
                    <w:r>
                      <w:rPr>
                        <w:rFonts w:ascii="宋体" w:hAnsi="宋体" w:eastAsia="宋体" w:cs="宋体"/>
                        <w:spacing w:val="-10"/>
                        <w:w w:val="98"/>
                        <w:sz w:val="20"/>
                        <w:szCs w:val="20"/>
                      </w:rPr>
                      <w:t>生</w:t>
                    </w:r>
                  </w:p>
                  <w:p w14:paraId="52D64B32">
                    <w:pPr>
                      <w:spacing w:before="72" w:line="219" w:lineRule="auto"/>
                      <w:ind w:left="809"/>
                      <w:rPr>
                        <w:rFonts w:ascii="宋体" w:hAnsi="宋体" w:eastAsia="宋体" w:cs="宋体"/>
                        <w:sz w:val="20"/>
                        <w:szCs w:val="20"/>
                      </w:rPr>
                    </w:pPr>
                    <w:r>
                      <w:rPr>
                        <w:rFonts w:ascii="宋体" w:hAnsi="宋体" w:eastAsia="宋体" w:cs="宋体"/>
                        <w:spacing w:val="-17"/>
                        <w:sz w:val="20"/>
                        <w:szCs w:val="20"/>
                      </w:rPr>
                      <w:t>随访观察</w:t>
                    </w:r>
                  </w:p>
                  <w:p w14:paraId="502442F9">
                    <w:pPr>
                      <w:spacing w:before="162" w:line="167" w:lineRule="auto"/>
                      <w:ind w:left="1720"/>
                      <w:rPr>
                        <w:rFonts w:ascii="宋体" w:hAnsi="宋体" w:eastAsia="宋体" w:cs="宋体"/>
                        <w:sz w:val="20"/>
                        <w:szCs w:val="20"/>
                      </w:rPr>
                    </w:pPr>
                    <w:r>
                      <w:rPr>
                        <w:rFonts w:ascii="宋体" w:hAnsi="宋体" w:eastAsia="宋体" w:cs="宋体"/>
                        <w:spacing w:val="-17"/>
                        <w:w w:val="98"/>
                        <w:sz w:val="20"/>
                        <w:szCs w:val="20"/>
                      </w:rPr>
                      <w:t>结局事件发生</w:t>
                    </w:r>
                  </w:p>
                  <w:p w14:paraId="55D74408">
                    <w:pPr>
                      <w:spacing w:line="175" w:lineRule="auto"/>
                      <w:ind w:left="219"/>
                      <w:rPr>
                        <w:rFonts w:ascii="宋体" w:hAnsi="宋体" w:eastAsia="宋体" w:cs="宋体"/>
                        <w:sz w:val="20"/>
                        <w:szCs w:val="20"/>
                      </w:rPr>
                    </w:pPr>
                    <w:r>
                      <w:rPr>
                        <w:rFonts w:ascii="宋体" w:hAnsi="宋体" w:eastAsia="宋体" w:cs="宋体"/>
                        <w:spacing w:val="-15"/>
                        <w:sz w:val="20"/>
                        <w:szCs w:val="20"/>
                      </w:rPr>
                      <w:t>对照组</w:t>
                    </w:r>
                  </w:p>
                  <w:p w14:paraId="6389020E">
                    <w:pPr>
                      <w:spacing w:line="220" w:lineRule="auto"/>
                      <w:ind w:left="20"/>
                      <w:rPr>
                        <w:rFonts w:ascii="宋体" w:hAnsi="宋体" w:eastAsia="宋体" w:cs="宋体"/>
                        <w:sz w:val="20"/>
                        <w:szCs w:val="20"/>
                      </w:rPr>
                    </w:pPr>
                    <w:r>
                      <w:rPr>
                        <w:rFonts w:ascii="宋体" w:hAnsi="宋体" w:eastAsia="宋体" w:cs="宋体"/>
                        <w:spacing w:val="-3"/>
                        <w:sz w:val="20"/>
                        <w:szCs w:val="20"/>
                      </w:rPr>
                      <w:t>(对照措施)</w:t>
                    </w:r>
                  </w:p>
                  <w:p w14:paraId="55C7D8FE">
                    <w:pPr>
                      <w:spacing w:before="12" w:line="219" w:lineRule="auto"/>
                      <w:jc w:val="right"/>
                      <w:rPr>
                        <w:rFonts w:ascii="宋体" w:hAnsi="宋体" w:eastAsia="宋体" w:cs="宋体"/>
                        <w:sz w:val="20"/>
                        <w:szCs w:val="20"/>
                      </w:rPr>
                    </w:pPr>
                    <w:r>
                      <w:rPr>
                        <w:rFonts w:ascii="宋体" w:hAnsi="宋体" w:eastAsia="宋体" w:cs="宋体"/>
                        <w:spacing w:val="-19"/>
                        <w:w w:val="98"/>
                        <w:sz w:val="20"/>
                        <w:szCs w:val="20"/>
                      </w:rPr>
                      <w:t>结</w:t>
                    </w:r>
                    <w:r>
                      <w:rPr>
                        <w:rFonts w:ascii="宋体" w:hAnsi="宋体" w:eastAsia="宋体" w:cs="宋体"/>
                        <w:spacing w:val="-18"/>
                        <w:w w:val="98"/>
                        <w:sz w:val="20"/>
                        <w:szCs w:val="20"/>
                      </w:rPr>
                      <w:t>局事件不发</w:t>
                    </w:r>
                    <w:r>
                      <w:rPr>
                        <w:rFonts w:ascii="宋体" w:hAnsi="宋体" w:eastAsia="宋体" w:cs="宋体"/>
                        <w:spacing w:val="-10"/>
                        <w:w w:val="98"/>
                        <w:sz w:val="20"/>
                        <w:szCs w:val="20"/>
                      </w:rPr>
                      <w:t>生</w:t>
                    </w:r>
                  </w:p>
                </w:txbxContent>
              </v:textbox>
            </v:shape>
            <v:shape id="_x0000_s1074" o:spid="_x0000_s1074" o:spt="202" type="#_x0000_t202" style="position:absolute;left:120;top:940;height:520;width:429;" filled="f" stroked="f" coordsize="21600,21600">
              <v:path/>
              <v:fill on="f" focussize="0,0"/>
              <v:stroke on="f"/>
              <v:imagedata o:title=""/>
              <o:lock v:ext="edit" aspectratio="f"/>
              <v:textbox inset="0mm,0mm,0mm,0mm">
                <w:txbxContent>
                  <w:p w14:paraId="1BBF8CD3">
                    <w:pPr>
                      <w:spacing w:before="20" w:line="247" w:lineRule="auto"/>
                      <w:ind w:left="20" w:right="20" w:firstLine="19"/>
                      <w:rPr>
                        <w:rFonts w:ascii="黑体" w:hAnsi="黑体" w:eastAsia="黑体" w:cs="黑体"/>
                        <w:sz w:val="20"/>
                        <w:szCs w:val="20"/>
                      </w:rPr>
                    </w:pPr>
                    <w:r>
                      <w:rPr>
                        <w:rFonts w:ascii="黑体" w:hAnsi="黑体" w:eastAsia="黑体" w:cs="黑体"/>
                        <w:spacing w:val="-28"/>
                        <w:sz w:val="20"/>
                        <w:szCs w:val="20"/>
                      </w:rPr>
                      <w:t>目标</w:t>
                    </w:r>
                    <w:r>
                      <w:rPr>
                        <w:rFonts w:ascii="黑体" w:hAnsi="黑体" w:eastAsia="黑体" w:cs="黑体"/>
                        <w:sz w:val="20"/>
                        <w:szCs w:val="20"/>
                      </w:rPr>
                      <w:t xml:space="preserve"> </w:t>
                    </w:r>
                    <w:r>
                      <w:rPr>
                        <w:rFonts w:ascii="黑体" w:hAnsi="黑体" w:eastAsia="黑体" w:cs="黑体"/>
                        <w:spacing w:val="-6"/>
                        <w:sz w:val="20"/>
                        <w:szCs w:val="20"/>
                      </w:rPr>
                      <w:t>人群</w:t>
                    </w:r>
                  </w:p>
                </w:txbxContent>
              </v:textbox>
            </v:shape>
            <v:shape id="_x0000_s1075" o:spid="_x0000_s1075" o:spt="202" type="#_x0000_t202" style="position:absolute;left:1921;top:738;height:825;width:207;" filled="f" stroked="f" coordsize="21600,21600">
              <v:path/>
              <v:fill on="f" focussize="0,0"/>
              <v:stroke on="f"/>
              <v:imagedata o:title=""/>
              <o:lock v:ext="edit" aspectratio="f"/>
              <v:textbox inset="0mm,0mm,0mm,0mm" style="layout-flow:vertical-ideographic;">
                <w:txbxContent>
                  <w:p w14:paraId="039E671B">
                    <w:pPr>
                      <w:spacing w:before="19" w:line="202" w:lineRule="auto"/>
                      <w:ind w:left="20"/>
                      <w:rPr>
                        <w:rFonts w:ascii="宋体" w:hAnsi="宋体" w:eastAsia="宋体" w:cs="宋体"/>
                        <w:sz w:val="18"/>
                        <w:szCs w:val="18"/>
                      </w:rPr>
                    </w:pPr>
                    <w:r>
                      <w:rPr>
                        <w:rFonts w:ascii="宋体" w:hAnsi="宋体" w:eastAsia="宋体" w:cs="宋体"/>
                        <w:spacing w:val="16"/>
                        <w:sz w:val="18"/>
                        <w:szCs w:val="18"/>
                      </w:rPr>
                      <w:t>随机分组</w:t>
                    </w:r>
                  </w:p>
                </w:txbxContent>
              </v:textbox>
            </v:shape>
            <v:shape id="_x0000_s1076" o:spid="_x0000_s1076" o:spt="202" type="#_x0000_t202" style="position:absolute;left:1140;top:1049;height:242;width:410;" filled="f" stroked="f" coordsize="21600,21600">
              <v:path/>
              <v:fill on="f" focussize="0,0"/>
              <v:stroke on="f"/>
              <v:imagedata o:title=""/>
              <o:lock v:ext="edit" aspectratio="f"/>
              <v:textbox inset="0mm,0mm,0mm,0mm">
                <w:txbxContent>
                  <w:p w14:paraId="56255515">
                    <w:pPr>
                      <w:spacing w:before="19" w:line="224" w:lineRule="auto"/>
                      <w:ind w:left="20"/>
                      <w:rPr>
                        <w:rFonts w:ascii="黑体" w:hAnsi="黑体" w:eastAsia="黑体" w:cs="黑体"/>
                        <w:sz w:val="20"/>
                        <w:szCs w:val="20"/>
                      </w:rPr>
                    </w:pPr>
                    <w:r>
                      <w:rPr>
                        <w:rFonts w:ascii="黑体" w:hAnsi="黑体" w:eastAsia="黑体" w:cs="黑体"/>
                        <w:spacing w:val="-8"/>
                        <w:sz w:val="20"/>
                        <w:szCs w:val="20"/>
                      </w:rPr>
                      <w:t>样本</w:t>
                    </w:r>
                  </w:p>
                </w:txbxContent>
              </v:textbox>
            </v:shape>
            <w10:wrap type="none"/>
            <w10:anchorlock/>
          </v:group>
        </w:pict>
      </w:r>
    </w:p>
    <w:p w14:paraId="4330446B">
      <w:pPr>
        <w:pStyle w:val="2"/>
        <w:spacing w:before="116" w:line="221" w:lineRule="auto"/>
        <w:ind w:left="2979"/>
        <w:rPr>
          <w:sz w:val="20"/>
          <w:szCs w:val="20"/>
        </w:rPr>
      </w:pPr>
      <w:r>
        <w:rPr>
          <w:spacing w:val="-6"/>
          <w:sz w:val="20"/>
          <w:szCs w:val="20"/>
        </w:rPr>
        <w:t>图6-1</w:t>
      </w:r>
      <w:r>
        <w:rPr>
          <w:spacing w:val="88"/>
          <w:sz w:val="20"/>
          <w:szCs w:val="20"/>
        </w:rPr>
        <w:t xml:space="preserve"> </w:t>
      </w:r>
      <w:r>
        <w:rPr>
          <w:spacing w:val="-6"/>
          <w:sz w:val="20"/>
          <w:szCs w:val="20"/>
        </w:rPr>
        <w:t>实验流行病学研究原理示意图</w:t>
      </w:r>
    </w:p>
    <w:p w14:paraId="20224EE3">
      <w:pPr>
        <w:spacing w:line="284" w:lineRule="auto"/>
        <w:rPr>
          <w:rFonts w:ascii="Arial"/>
          <w:sz w:val="21"/>
        </w:rPr>
      </w:pPr>
    </w:p>
    <w:p w14:paraId="6F0F6EEB">
      <w:pPr>
        <w:spacing w:before="66" w:line="290" w:lineRule="auto"/>
        <w:ind w:right="652" w:firstLine="429"/>
        <w:rPr>
          <w:rFonts w:ascii="宋体" w:hAnsi="宋体" w:eastAsia="宋体" w:cs="宋体"/>
          <w:sz w:val="20"/>
          <w:szCs w:val="20"/>
        </w:rPr>
      </w:pPr>
      <w:r>
        <w:rPr>
          <w:rFonts w:ascii="宋体" w:hAnsi="宋体" w:eastAsia="宋体" w:cs="宋体"/>
          <w:spacing w:val="8"/>
          <w:sz w:val="20"/>
          <w:szCs w:val="20"/>
        </w:rPr>
        <w:t>1.</w:t>
      </w:r>
      <w:r>
        <w:rPr>
          <w:rFonts w:ascii="宋体" w:hAnsi="宋体" w:eastAsia="宋体" w:cs="宋体"/>
          <w:spacing w:val="-18"/>
          <w:sz w:val="20"/>
          <w:szCs w:val="20"/>
        </w:rPr>
        <w:t xml:space="preserve"> </w:t>
      </w:r>
      <w:r>
        <w:rPr>
          <w:rFonts w:ascii="宋体" w:hAnsi="宋体" w:eastAsia="宋体" w:cs="宋体"/>
          <w:spacing w:val="8"/>
          <w:sz w:val="20"/>
          <w:szCs w:val="20"/>
        </w:rPr>
        <w:t>属于前瞻性研究，即必须直接跟踪研究对象，这</w:t>
      </w:r>
      <w:r>
        <w:rPr>
          <w:rFonts w:ascii="宋体" w:hAnsi="宋体" w:eastAsia="宋体" w:cs="宋体"/>
          <w:spacing w:val="7"/>
          <w:sz w:val="20"/>
          <w:szCs w:val="20"/>
        </w:rPr>
        <w:t>些对象虽不一定从同一天开始，但必须从一</w:t>
      </w:r>
      <w:r>
        <w:rPr>
          <w:rFonts w:ascii="宋体" w:hAnsi="宋体" w:eastAsia="宋体" w:cs="宋体"/>
          <w:sz w:val="20"/>
          <w:szCs w:val="20"/>
        </w:rPr>
        <w:t xml:space="preserve"> </w:t>
      </w:r>
      <w:r>
        <w:rPr>
          <w:rFonts w:ascii="宋体" w:hAnsi="宋体" w:eastAsia="宋体" w:cs="宋体"/>
          <w:spacing w:val="11"/>
          <w:sz w:val="20"/>
          <w:szCs w:val="20"/>
        </w:rPr>
        <w:t>个确定的起点开始跟踪。</w:t>
      </w:r>
    </w:p>
    <w:p w14:paraId="1E708ACC">
      <w:pPr>
        <w:spacing w:before="112" w:line="290" w:lineRule="auto"/>
        <w:ind w:right="635" w:firstLine="429"/>
        <w:rPr>
          <w:rFonts w:ascii="宋体" w:hAnsi="宋体" w:eastAsia="宋体" w:cs="宋体"/>
          <w:sz w:val="20"/>
          <w:szCs w:val="20"/>
        </w:rPr>
      </w:pPr>
      <w:r>
        <w:rPr>
          <w:rFonts w:ascii="宋体" w:hAnsi="宋体" w:eastAsia="宋体" w:cs="宋体"/>
          <w:spacing w:val="8"/>
          <w:sz w:val="20"/>
          <w:szCs w:val="20"/>
        </w:rPr>
        <w:t>2.</w:t>
      </w:r>
      <w:r>
        <w:rPr>
          <w:rFonts w:ascii="宋体" w:hAnsi="宋体" w:eastAsia="宋体" w:cs="宋体"/>
          <w:spacing w:val="-20"/>
          <w:sz w:val="20"/>
          <w:szCs w:val="20"/>
        </w:rPr>
        <w:t xml:space="preserve"> </w:t>
      </w:r>
      <w:r>
        <w:rPr>
          <w:rFonts w:ascii="宋体" w:hAnsi="宋体" w:eastAsia="宋体" w:cs="宋体"/>
          <w:spacing w:val="8"/>
          <w:sz w:val="20"/>
          <w:szCs w:val="20"/>
        </w:rPr>
        <w:t>必须施加一种或多种干预处理，处理因素可以是预防某种疾病的疫苗、治疗某病的药物或干</w:t>
      </w:r>
      <w:r>
        <w:rPr>
          <w:rFonts w:ascii="宋体" w:hAnsi="宋体" w:eastAsia="宋体" w:cs="宋体"/>
          <w:sz w:val="20"/>
          <w:szCs w:val="20"/>
        </w:rPr>
        <w:t xml:space="preserve"> </w:t>
      </w:r>
      <w:r>
        <w:rPr>
          <w:rFonts w:ascii="宋体" w:hAnsi="宋体" w:eastAsia="宋体" w:cs="宋体"/>
          <w:spacing w:val="11"/>
          <w:sz w:val="20"/>
          <w:szCs w:val="20"/>
        </w:rPr>
        <w:t>预的方法措施等。</w:t>
      </w:r>
    </w:p>
    <w:p w14:paraId="15CB4767">
      <w:pPr>
        <w:spacing w:before="91" w:line="219" w:lineRule="auto"/>
        <w:ind w:left="429"/>
        <w:rPr>
          <w:rFonts w:ascii="宋体" w:hAnsi="宋体" w:eastAsia="宋体" w:cs="宋体"/>
          <w:sz w:val="20"/>
          <w:szCs w:val="20"/>
        </w:rPr>
      </w:pPr>
      <w:r>
        <w:rPr>
          <w:rFonts w:ascii="宋体" w:hAnsi="宋体" w:eastAsia="宋体" w:cs="宋体"/>
          <w:spacing w:val="12"/>
          <w:sz w:val="20"/>
          <w:szCs w:val="20"/>
        </w:rPr>
        <w:t>3. 研究对象是来自一个总体的符合纳入排除标准并签署知情同意的人群，并</w:t>
      </w:r>
      <w:r>
        <w:rPr>
          <w:rFonts w:ascii="宋体" w:hAnsi="宋体" w:eastAsia="宋体" w:cs="宋体"/>
          <w:spacing w:val="11"/>
          <w:sz w:val="20"/>
          <w:szCs w:val="20"/>
        </w:rPr>
        <w:t>在分组时采取严</w:t>
      </w:r>
    </w:p>
    <w:p w14:paraId="6EB7A354">
      <w:pPr>
        <w:spacing w:before="163" w:line="219" w:lineRule="auto"/>
        <w:rPr>
          <w:rFonts w:ascii="宋体" w:hAnsi="宋体" w:eastAsia="宋体" w:cs="宋体"/>
          <w:sz w:val="20"/>
          <w:szCs w:val="20"/>
        </w:rPr>
      </w:pPr>
      <w:r>
        <w:rPr>
          <w:rFonts w:ascii="宋体" w:hAnsi="宋体" w:eastAsia="宋体" w:cs="宋体"/>
          <w:spacing w:val="13"/>
          <w:sz w:val="20"/>
          <w:szCs w:val="20"/>
        </w:rPr>
        <w:t>格的随机分配原则。</w:t>
      </w:r>
    </w:p>
    <w:p w14:paraId="4B51FAFE">
      <w:pPr>
        <w:spacing w:before="103" w:line="343" w:lineRule="auto"/>
        <w:ind w:right="651" w:firstLine="429"/>
        <w:rPr>
          <w:rFonts w:ascii="宋体" w:hAnsi="宋体" w:eastAsia="宋体" w:cs="宋体"/>
          <w:sz w:val="20"/>
          <w:szCs w:val="20"/>
        </w:rPr>
      </w:pPr>
      <w:r>
        <w:rPr>
          <w:rFonts w:ascii="宋体" w:hAnsi="宋体" w:eastAsia="宋体" w:cs="宋体"/>
          <w:spacing w:val="8"/>
          <w:sz w:val="20"/>
          <w:szCs w:val="20"/>
        </w:rPr>
        <w:t>4.</w:t>
      </w:r>
      <w:r>
        <w:rPr>
          <w:rFonts w:ascii="宋体" w:hAnsi="宋体" w:eastAsia="宋体" w:cs="宋体"/>
          <w:spacing w:val="-23"/>
          <w:sz w:val="20"/>
          <w:szCs w:val="20"/>
        </w:rPr>
        <w:t xml:space="preserve"> </w:t>
      </w:r>
      <w:r>
        <w:rPr>
          <w:rFonts w:ascii="宋体" w:hAnsi="宋体" w:eastAsia="宋体" w:cs="宋体"/>
          <w:spacing w:val="8"/>
          <w:sz w:val="20"/>
          <w:szCs w:val="20"/>
        </w:rPr>
        <w:t>必须有平行的试验组和对照组，要求在开始试验时，两组基线</w:t>
      </w:r>
      <w:r>
        <w:rPr>
          <w:rFonts w:ascii="宋体" w:hAnsi="宋体" w:eastAsia="宋体" w:cs="宋体"/>
          <w:spacing w:val="7"/>
          <w:sz w:val="20"/>
          <w:szCs w:val="20"/>
        </w:rPr>
        <w:t>特征近似或可比，这样试验结</w:t>
      </w:r>
      <w:r>
        <w:rPr>
          <w:rFonts w:ascii="宋体" w:hAnsi="宋体" w:eastAsia="宋体" w:cs="宋体"/>
          <w:sz w:val="20"/>
          <w:szCs w:val="20"/>
        </w:rPr>
        <w:t xml:space="preserve"> </w:t>
      </w:r>
      <w:r>
        <w:rPr>
          <w:rFonts w:ascii="宋体" w:hAnsi="宋体" w:eastAsia="宋体" w:cs="宋体"/>
          <w:spacing w:val="12"/>
          <w:sz w:val="20"/>
          <w:szCs w:val="20"/>
        </w:rPr>
        <w:t>果的组间差别才能归之于干预处理的效应。</w:t>
      </w:r>
    </w:p>
    <w:p w14:paraId="66036C78">
      <w:pPr>
        <w:spacing w:line="343" w:lineRule="auto"/>
        <w:rPr>
          <w:rFonts w:ascii="宋体" w:hAnsi="宋体" w:eastAsia="宋体" w:cs="宋体"/>
          <w:sz w:val="20"/>
          <w:szCs w:val="20"/>
        </w:rPr>
        <w:sectPr>
          <w:footerReference r:id="rId115" w:type="default"/>
          <w:pgSz w:w="11900" w:h="16820"/>
          <w:pgMar w:top="400" w:right="806" w:bottom="809" w:left="1410" w:header="0" w:footer="629" w:gutter="0"/>
          <w:cols w:space="720" w:num="1"/>
        </w:sectPr>
      </w:pPr>
    </w:p>
    <w:p w14:paraId="7D943112">
      <w:pPr>
        <w:pStyle w:val="2"/>
        <w:spacing w:before="156" w:line="221" w:lineRule="auto"/>
        <w:ind w:left="689"/>
        <w:rPr>
          <w:sz w:val="19"/>
          <w:szCs w:val="19"/>
        </w:rPr>
      </w:pPr>
      <w:r>
        <w:rPr>
          <w:spacing w:val="-4"/>
          <w:sz w:val="19"/>
          <w:szCs w:val="19"/>
        </w:rPr>
        <w:t>第六章实验流行病学</w:t>
      </w:r>
    </w:p>
    <w:p w14:paraId="7DEC4D06">
      <w:pPr>
        <w:spacing w:line="302" w:lineRule="auto"/>
        <w:rPr>
          <w:rFonts w:ascii="Arial"/>
          <w:sz w:val="21"/>
        </w:rPr>
      </w:pPr>
    </w:p>
    <w:p w14:paraId="2B065D2F">
      <w:pPr>
        <w:spacing w:line="303" w:lineRule="auto"/>
        <w:rPr>
          <w:rFonts w:ascii="Arial"/>
          <w:sz w:val="21"/>
        </w:rPr>
      </w:pPr>
    </w:p>
    <w:p w14:paraId="19E3A16A">
      <w:pPr>
        <w:spacing w:before="62" w:line="360" w:lineRule="auto"/>
        <w:ind w:left="689" w:right="37" w:firstLine="390"/>
        <w:jc w:val="both"/>
        <w:rPr>
          <w:rFonts w:ascii="宋体" w:hAnsi="宋体" w:eastAsia="宋体" w:cs="宋体"/>
          <w:sz w:val="19"/>
          <w:szCs w:val="19"/>
        </w:rPr>
      </w:pPr>
      <w:r>
        <w:rPr>
          <w:rFonts w:ascii="宋体" w:hAnsi="宋体" w:eastAsia="宋体" w:cs="宋体"/>
          <w:spacing w:val="13"/>
          <w:sz w:val="19"/>
          <w:szCs w:val="19"/>
        </w:rPr>
        <w:t>由于实验流行病学中的干预措施由研究者所控制，实验现象由实验者亲自观察，研究人群又随</w:t>
      </w:r>
      <w:r>
        <w:rPr>
          <w:rFonts w:ascii="宋体" w:hAnsi="宋体" w:eastAsia="宋体" w:cs="宋体"/>
          <w:spacing w:val="6"/>
          <w:sz w:val="19"/>
          <w:szCs w:val="19"/>
        </w:rPr>
        <w:t xml:space="preserve"> </w:t>
      </w:r>
      <w:r>
        <w:rPr>
          <w:rFonts w:ascii="宋体" w:hAnsi="宋体" w:eastAsia="宋体" w:cs="宋体"/>
          <w:spacing w:val="13"/>
          <w:sz w:val="19"/>
          <w:szCs w:val="19"/>
        </w:rPr>
        <w:t>机分组，从而对结局作解释时能够很好地排除那些外部因素的干扰作用，因此其检验因果关系假设</w:t>
      </w:r>
      <w:r>
        <w:rPr>
          <w:rFonts w:ascii="宋体" w:hAnsi="宋体" w:eastAsia="宋体" w:cs="宋体"/>
          <w:spacing w:val="8"/>
          <w:sz w:val="19"/>
          <w:szCs w:val="19"/>
        </w:rPr>
        <w:t xml:space="preserve"> </w:t>
      </w:r>
      <w:r>
        <w:rPr>
          <w:rFonts w:ascii="宋体" w:hAnsi="宋体" w:eastAsia="宋体" w:cs="宋体"/>
          <w:spacing w:val="18"/>
          <w:sz w:val="19"/>
          <w:szCs w:val="19"/>
        </w:rPr>
        <w:t>的能力强于分析性研究，可以作为确证因果关系的</w:t>
      </w:r>
      <w:r>
        <w:rPr>
          <w:rFonts w:ascii="宋体" w:hAnsi="宋体" w:eastAsia="宋体" w:cs="宋体"/>
          <w:spacing w:val="17"/>
          <w:sz w:val="19"/>
          <w:szCs w:val="19"/>
        </w:rPr>
        <w:t>最终手段。但在实践过程中，出于伦理学的考</w:t>
      </w:r>
      <w:r>
        <w:rPr>
          <w:rFonts w:ascii="宋体" w:hAnsi="宋体" w:eastAsia="宋体" w:cs="宋体"/>
          <w:sz w:val="19"/>
          <w:szCs w:val="19"/>
        </w:rPr>
        <w:t xml:space="preserve"> </w:t>
      </w:r>
      <w:r>
        <w:rPr>
          <w:rFonts w:ascii="宋体" w:hAnsi="宋体" w:eastAsia="宋体" w:cs="宋体"/>
          <w:spacing w:val="13"/>
          <w:sz w:val="19"/>
          <w:szCs w:val="19"/>
        </w:rPr>
        <w:t>虑，不可能迫使人群暴露于某种危险因素，因此很少采用实验流行病学设计来确证危险因素的病因</w:t>
      </w:r>
      <w:r>
        <w:rPr>
          <w:rFonts w:ascii="宋体" w:hAnsi="宋体" w:eastAsia="宋体" w:cs="宋体"/>
          <w:sz w:val="19"/>
          <w:szCs w:val="19"/>
        </w:rPr>
        <w:t xml:space="preserve"> </w:t>
      </w:r>
      <w:r>
        <w:rPr>
          <w:rFonts w:ascii="宋体" w:hAnsi="宋体" w:eastAsia="宋体" w:cs="宋体"/>
          <w:spacing w:val="7"/>
          <w:sz w:val="19"/>
          <w:szCs w:val="19"/>
        </w:rPr>
        <w:t>作用，除非去除有害因素的研究，如多危险因素干预试验(</w:t>
      </w:r>
      <w:r>
        <w:rPr>
          <w:rFonts w:ascii="宋体" w:hAnsi="宋体" w:eastAsia="宋体" w:cs="宋体"/>
          <w:sz w:val="19"/>
          <w:szCs w:val="19"/>
        </w:rPr>
        <w:t>MRFIT</w:t>
      </w:r>
      <w:r>
        <w:rPr>
          <w:rFonts w:ascii="宋体" w:hAnsi="宋体" w:eastAsia="宋体" w:cs="宋体"/>
          <w:spacing w:val="7"/>
          <w:sz w:val="19"/>
          <w:szCs w:val="19"/>
        </w:rPr>
        <w:t>)</w:t>
      </w:r>
      <w:r>
        <w:rPr>
          <w:rFonts w:ascii="宋体" w:hAnsi="宋体" w:eastAsia="宋体" w:cs="宋体"/>
          <w:spacing w:val="91"/>
          <w:sz w:val="19"/>
          <w:szCs w:val="19"/>
        </w:rPr>
        <w:t xml:space="preserve"> </w:t>
      </w:r>
      <w:r>
        <w:rPr>
          <w:rFonts w:ascii="宋体" w:hAnsi="宋体" w:eastAsia="宋体" w:cs="宋体"/>
          <w:spacing w:val="7"/>
          <w:sz w:val="19"/>
          <w:szCs w:val="19"/>
        </w:rPr>
        <w:t>就是研究戒烟、</w:t>
      </w:r>
      <w:r>
        <w:rPr>
          <w:rFonts w:ascii="宋体" w:hAnsi="宋体" w:eastAsia="宋体" w:cs="宋体"/>
          <w:spacing w:val="6"/>
          <w:sz w:val="19"/>
          <w:szCs w:val="19"/>
        </w:rPr>
        <w:t>降血压、降血脂对</w:t>
      </w:r>
      <w:r>
        <w:rPr>
          <w:rFonts w:ascii="宋体" w:hAnsi="宋体" w:eastAsia="宋体" w:cs="宋体"/>
          <w:sz w:val="19"/>
          <w:szCs w:val="19"/>
        </w:rPr>
        <w:t xml:space="preserve"> </w:t>
      </w:r>
      <w:r>
        <w:rPr>
          <w:rFonts w:ascii="宋体" w:hAnsi="宋体" w:eastAsia="宋体" w:cs="宋体"/>
          <w:spacing w:val="18"/>
          <w:sz w:val="19"/>
          <w:szCs w:val="19"/>
        </w:rPr>
        <w:t>降低心血管疾病危险的作用。实验流行病学主要用于评价</w:t>
      </w:r>
      <w:r>
        <w:rPr>
          <w:rFonts w:ascii="宋体" w:hAnsi="宋体" w:eastAsia="宋体" w:cs="宋体"/>
          <w:spacing w:val="17"/>
          <w:sz w:val="19"/>
          <w:szCs w:val="19"/>
        </w:rPr>
        <w:t>疾病防治效果。在疾病预防或保健研究</w:t>
      </w:r>
      <w:r>
        <w:rPr>
          <w:rFonts w:ascii="宋体" w:hAnsi="宋体" w:eastAsia="宋体" w:cs="宋体"/>
          <w:sz w:val="19"/>
          <w:szCs w:val="19"/>
        </w:rPr>
        <w:t xml:space="preserve"> </w:t>
      </w:r>
      <w:r>
        <w:rPr>
          <w:rFonts w:ascii="宋体" w:hAnsi="宋体" w:eastAsia="宋体" w:cs="宋体"/>
          <w:spacing w:val="8"/>
          <w:sz w:val="19"/>
          <w:szCs w:val="19"/>
        </w:rPr>
        <w:t>中可以评价某种干预措施，如疫苗预防传染病的效果；或综合干预措施，如饮食调节、适当运动、戒</w:t>
      </w:r>
      <w:r>
        <w:rPr>
          <w:rFonts w:ascii="宋体" w:hAnsi="宋体" w:eastAsia="宋体" w:cs="宋体"/>
          <w:spacing w:val="6"/>
          <w:sz w:val="19"/>
          <w:szCs w:val="19"/>
        </w:rPr>
        <w:t xml:space="preserve"> </w:t>
      </w:r>
      <w:r>
        <w:rPr>
          <w:rFonts w:ascii="宋体" w:hAnsi="宋体" w:eastAsia="宋体" w:cs="宋体"/>
          <w:spacing w:val="18"/>
          <w:sz w:val="19"/>
          <w:szCs w:val="19"/>
        </w:rPr>
        <w:t>烟限酒等生活方式干预预防慢性非传染性疾病的效果；以及评价保健策略和政策实施的效果。在</w:t>
      </w:r>
      <w:r>
        <w:rPr>
          <w:rFonts w:ascii="宋体" w:hAnsi="宋体" w:eastAsia="宋体" w:cs="宋体"/>
          <w:spacing w:val="3"/>
          <w:sz w:val="19"/>
          <w:szCs w:val="19"/>
        </w:rPr>
        <w:t xml:space="preserve"> </w:t>
      </w:r>
      <w:r>
        <w:rPr>
          <w:rFonts w:ascii="宋体" w:hAnsi="宋体" w:eastAsia="宋体" w:cs="宋体"/>
          <w:spacing w:val="10"/>
          <w:sz w:val="19"/>
          <w:szCs w:val="19"/>
        </w:rPr>
        <w:t>疾病治疗研究中可以评价单一用药、联合用药、手术或治疗方案的效果。</w:t>
      </w:r>
    </w:p>
    <w:p w14:paraId="7B00AEB7">
      <w:pPr>
        <w:pStyle w:val="2"/>
        <w:spacing w:before="199" w:line="221" w:lineRule="auto"/>
        <w:ind w:left="1189"/>
        <w:outlineLvl w:val="2"/>
        <w:rPr>
          <w:sz w:val="25"/>
          <w:szCs w:val="25"/>
        </w:rPr>
      </w:pPr>
      <w:bookmarkStart w:id="161" w:name="bookmark103"/>
      <w:bookmarkEnd w:id="161"/>
      <w:r>
        <w:rPr>
          <w:spacing w:val="-4"/>
          <w:sz w:val="25"/>
          <w:szCs w:val="25"/>
        </w:rPr>
        <w:t>四、主要类型</w:t>
      </w:r>
    </w:p>
    <w:p w14:paraId="5996A9E7">
      <w:pPr>
        <w:pStyle w:val="2"/>
        <w:spacing w:before="241" w:line="222" w:lineRule="auto"/>
        <w:ind w:left="1080"/>
        <w:rPr>
          <w:sz w:val="25"/>
          <w:szCs w:val="25"/>
        </w:rPr>
      </w:pPr>
      <w:r>
        <w:rPr>
          <w:spacing w:val="-1"/>
          <w:sz w:val="25"/>
          <w:szCs w:val="25"/>
        </w:rPr>
        <w:t>(一)实验</w:t>
      </w:r>
    </w:p>
    <w:p w14:paraId="6CC9E4C8">
      <w:pPr>
        <w:spacing w:before="116" w:line="347" w:lineRule="auto"/>
        <w:ind w:left="689" w:right="19" w:firstLine="390"/>
        <w:jc w:val="both"/>
        <w:rPr>
          <w:rFonts w:ascii="宋体" w:hAnsi="宋体" w:eastAsia="宋体" w:cs="宋体"/>
          <w:sz w:val="19"/>
          <w:szCs w:val="19"/>
        </w:rPr>
      </w:pPr>
      <w:r>
        <w:rPr>
          <w:rFonts w:ascii="宋体" w:hAnsi="宋体" w:eastAsia="宋体" w:cs="宋体"/>
          <w:spacing w:val="13"/>
          <w:sz w:val="19"/>
          <w:szCs w:val="19"/>
        </w:rPr>
        <w:t>鉴于在人群中开展实验，对实验条件的控制不可能像实验室和动物研究那么严格，因此把它称</w:t>
      </w:r>
      <w:r>
        <w:rPr>
          <w:rFonts w:ascii="宋体" w:hAnsi="宋体" w:eastAsia="宋体" w:cs="宋体"/>
          <w:spacing w:val="5"/>
          <w:sz w:val="19"/>
          <w:szCs w:val="19"/>
        </w:rPr>
        <w:t xml:space="preserve"> </w:t>
      </w:r>
      <w:r>
        <w:rPr>
          <w:rFonts w:ascii="宋体" w:hAnsi="宋体" w:eastAsia="宋体" w:cs="宋体"/>
          <w:spacing w:val="10"/>
          <w:sz w:val="19"/>
          <w:szCs w:val="19"/>
        </w:rPr>
        <w:t>为</w:t>
      </w:r>
      <w:r>
        <w:rPr>
          <w:rFonts w:ascii="宋体" w:hAnsi="宋体" w:eastAsia="宋体" w:cs="宋体"/>
          <w:spacing w:val="-38"/>
          <w:sz w:val="19"/>
          <w:szCs w:val="19"/>
        </w:rPr>
        <w:t xml:space="preserve"> </w:t>
      </w:r>
      <w:r>
        <w:rPr>
          <w:rFonts w:ascii="宋体" w:hAnsi="宋体" w:eastAsia="宋体" w:cs="宋体"/>
          <w:spacing w:val="10"/>
          <w:sz w:val="19"/>
          <w:szCs w:val="19"/>
        </w:rPr>
        <w:t>试</w:t>
      </w:r>
      <w:r>
        <w:rPr>
          <w:rFonts w:ascii="宋体" w:hAnsi="宋体" w:eastAsia="宋体" w:cs="宋体"/>
          <w:spacing w:val="-40"/>
          <w:sz w:val="19"/>
          <w:szCs w:val="19"/>
        </w:rPr>
        <w:t xml:space="preserve"> </w:t>
      </w:r>
      <w:r>
        <w:rPr>
          <w:rFonts w:ascii="宋体" w:hAnsi="宋体" w:eastAsia="宋体" w:cs="宋体"/>
          <w:spacing w:val="10"/>
          <w:sz w:val="19"/>
          <w:szCs w:val="19"/>
        </w:rPr>
        <w:t>验</w:t>
      </w:r>
      <w:r>
        <w:rPr>
          <w:rFonts w:ascii="Times New Roman" w:hAnsi="Times New Roman" w:eastAsia="Times New Roman" w:cs="Times New Roman"/>
          <w:spacing w:val="10"/>
          <w:sz w:val="19"/>
          <w:szCs w:val="19"/>
        </w:rPr>
        <w:t>(</w:t>
      </w:r>
      <w:r>
        <w:rPr>
          <w:rFonts w:ascii="Times New Roman" w:hAnsi="Times New Roman" w:eastAsia="Times New Roman" w:cs="Times New Roman"/>
          <w:sz w:val="19"/>
          <w:szCs w:val="19"/>
        </w:rPr>
        <w:t>trial</w:t>
      </w:r>
      <w:r>
        <w:rPr>
          <w:rFonts w:ascii="Times New Roman" w:hAnsi="Times New Roman" w:eastAsia="Times New Roman" w:cs="Times New Roman"/>
          <w:spacing w:val="10"/>
          <w:sz w:val="19"/>
          <w:szCs w:val="19"/>
        </w:rPr>
        <w:t>),</w:t>
      </w:r>
      <w:r>
        <w:rPr>
          <w:rFonts w:ascii="Times New Roman" w:hAnsi="Times New Roman" w:eastAsia="Times New Roman" w:cs="Times New Roman"/>
          <w:spacing w:val="15"/>
          <w:w w:val="101"/>
          <w:sz w:val="19"/>
          <w:szCs w:val="19"/>
        </w:rPr>
        <w:t xml:space="preserve">   </w:t>
      </w:r>
      <w:r>
        <w:rPr>
          <w:rFonts w:ascii="宋体" w:hAnsi="宋体" w:eastAsia="宋体" w:cs="宋体"/>
          <w:spacing w:val="10"/>
          <w:sz w:val="19"/>
          <w:szCs w:val="19"/>
        </w:rPr>
        <w:t>而不是实验</w:t>
      </w:r>
      <w:r>
        <w:rPr>
          <w:rFonts w:ascii="Times New Roman" w:hAnsi="Times New Roman" w:eastAsia="Times New Roman" w:cs="Times New Roman"/>
          <w:spacing w:val="10"/>
          <w:sz w:val="19"/>
          <w:szCs w:val="19"/>
        </w:rPr>
        <w:t>(</w:t>
      </w:r>
      <w:r>
        <w:rPr>
          <w:rFonts w:ascii="Times New Roman" w:hAnsi="Times New Roman" w:eastAsia="Times New Roman" w:cs="Times New Roman"/>
          <w:sz w:val="19"/>
          <w:szCs w:val="19"/>
        </w:rPr>
        <w:t>experiment</w:t>
      </w:r>
      <w:r>
        <w:rPr>
          <w:rFonts w:ascii="Times New Roman" w:hAnsi="Times New Roman" w:eastAsia="Times New Roman" w:cs="Times New Roman"/>
          <w:spacing w:val="10"/>
          <w:sz w:val="19"/>
          <w:szCs w:val="19"/>
        </w:rPr>
        <w:t>)</w:t>
      </w:r>
      <w:r>
        <w:rPr>
          <w:rFonts w:ascii="Times New Roman" w:hAnsi="Times New Roman" w:eastAsia="Times New Roman" w:cs="Times New Roman"/>
          <w:spacing w:val="-22"/>
          <w:sz w:val="19"/>
          <w:szCs w:val="19"/>
        </w:rPr>
        <w:t xml:space="preserve"> </w:t>
      </w:r>
      <w:r>
        <w:rPr>
          <w:rFonts w:ascii="宋体" w:hAnsi="宋体" w:eastAsia="宋体" w:cs="宋体"/>
          <w:spacing w:val="10"/>
          <w:sz w:val="19"/>
          <w:szCs w:val="19"/>
        </w:rPr>
        <w:t>。</w:t>
      </w:r>
      <w:r>
        <w:rPr>
          <w:rFonts w:ascii="宋体" w:hAnsi="宋体" w:eastAsia="宋体" w:cs="宋体"/>
          <w:spacing w:val="33"/>
          <w:sz w:val="19"/>
          <w:szCs w:val="19"/>
        </w:rPr>
        <w:t xml:space="preserve"> </w:t>
      </w:r>
      <w:r>
        <w:rPr>
          <w:rFonts w:ascii="宋体" w:hAnsi="宋体" w:eastAsia="宋体" w:cs="宋体"/>
          <w:spacing w:val="10"/>
          <w:sz w:val="19"/>
          <w:szCs w:val="19"/>
        </w:rPr>
        <w:t>根据研究目的和研究对象的不同，通</w:t>
      </w:r>
      <w:r>
        <w:rPr>
          <w:rFonts w:ascii="宋体" w:hAnsi="宋体" w:eastAsia="宋体" w:cs="宋体"/>
          <w:spacing w:val="9"/>
          <w:sz w:val="19"/>
          <w:szCs w:val="19"/>
        </w:rPr>
        <w:t>常把实验流行病学研</w:t>
      </w:r>
      <w:r>
        <w:rPr>
          <w:rFonts w:ascii="宋体" w:hAnsi="宋体" w:eastAsia="宋体" w:cs="宋体"/>
          <w:sz w:val="19"/>
          <w:szCs w:val="19"/>
        </w:rPr>
        <w:t xml:space="preserve"> </w:t>
      </w:r>
      <w:r>
        <w:rPr>
          <w:rFonts w:ascii="宋体" w:hAnsi="宋体" w:eastAsia="宋体" w:cs="宋体"/>
          <w:spacing w:val="11"/>
          <w:sz w:val="19"/>
          <w:szCs w:val="19"/>
        </w:rPr>
        <w:t>究分为临床试验、现场试验和社区试验三类。</w:t>
      </w:r>
    </w:p>
    <w:p w14:paraId="4858E134">
      <w:pPr>
        <w:spacing w:before="9" w:line="365" w:lineRule="auto"/>
        <w:ind w:left="689" w:firstLine="390"/>
        <w:jc w:val="both"/>
        <w:rPr>
          <w:rFonts w:ascii="宋体" w:hAnsi="宋体" w:eastAsia="宋体" w:cs="宋体"/>
          <w:sz w:val="19"/>
          <w:szCs w:val="19"/>
        </w:rPr>
      </w:pPr>
      <w:r>
        <w:rPr>
          <w:rFonts w:ascii="Times New Roman" w:hAnsi="Times New Roman" w:eastAsia="Times New Roman" w:cs="Times New Roman"/>
          <w:spacing w:val="13"/>
          <w:sz w:val="19"/>
          <w:szCs w:val="19"/>
        </w:rPr>
        <w:t xml:space="preserve">1.   </w:t>
      </w:r>
      <w:r>
        <w:rPr>
          <w:rFonts w:ascii="宋体" w:hAnsi="宋体" w:eastAsia="宋体" w:cs="宋体"/>
          <w:spacing w:val="13"/>
          <w:sz w:val="19"/>
          <w:szCs w:val="19"/>
        </w:rPr>
        <w:t>临床试验</w:t>
      </w:r>
      <w:r>
        <w:rPr>
          <w:rFonts w:ascii="Times New Roman" w:hAnsi="Times New Roman" w:eastAsia="Times New Roman" w:cs="Times New Roman"/>
          <w:spacing w:val="13"/>
          <w:sz w:val="19"/>
          <w:szCs w:val="19"/>
        </w:rPr>
        <w:t>(</w:t>
      </w:r>
      <w:r>
        <w:rPr>
          <w:rFonts w:ascii="Times New Roman" w:hAnsi="Times New Roman" w:eastAsia="Times New Roman" w:cs="Times New Roman"/>
          <w:sz w:val="19"/>
          <w:szCs w:val="19"/>
        </w:rPr>
        <w:t>clinical</w:t>
      </w:r>
      <w:r>
        <w:rPr>
          <w:rFonts w:ascii="Times New Roman" w:hAnsi="Times New Roman" w:eastAsia="Times New Roman" w:cs="Times New Roman"/>
          <w:spacing w:val="13"/>
          <w:sz w:val="19"/>
          <w:szCs w:val="19"/>
        </w:rPr>
        <w:t xml:space="preserve">     </w:t>
      </w:r>
      <w:r>
        <w:rPr>
          <w:rFonts w:ascii="Times New Roman" w:hAnsi="Times New Roman" w:eastAsia="Times New Roman" w:cs="Times New Roman"/>
          <w:sz w:val="19"/>
          <w:szCs w:val="19"/>
        </w:rPr>
        <w:t>trial</w:t>
      </w:r>
      <w:r>
        <w:rPr>
          <w:rFonts w:ascii="Times New Roman" w:hAnsi="Times New Roman" w:eastAsia="Times New Roman" w:cs="Times New Roman"/>
          <w:spacing w:val="13"/>
          <w:sz w:val="19"/>
          <w:szCs w:val="19"/>
        </w:rPr>
        <w:t xml:space="preserve">)   </w:t>
      </w:r>
      <w:r>
        <w:rPr>
          <w:rFonts w:ascii="宋体" w:hAnsi="宋体" w:eastAsia="宋体" w:cs="宋体"/>
          <w:spacing w:val="13"/>
          <w:sz w:val="19"/>
          <w:szCs w:val="19"/>
        </w:rPr>
        <w:t>是以病人个体为单位</w:t>
      </w:r>
      <w:r>
        <w:rPr>
          <w:rFonts w:ascii="宋体" w:hAnsi="宋体" w:eastAsia="宋体" w:cs="宋体"/>
          <w:spacing w:val="12"/>
          <w:sz w:val="19"/>
          <w:szCs w:val="19"/>
        </w:rPr>
        <w:t>进行分组的实验方法，病人可以是住院和未</w:t>
      </w:r>
      <w:r>
        <w:rPr>
          <w:rFonts w:ascii="宋体" w:hAnsi="宋体" w:eastAsia="宋体" w:cs="宋体"/>
          <w:sz w:val="19"/>
          <w:szCs w:val="19"/>
        </w:rPr>
        <w:t xml:space="preserve"> </w:t>
      </w:r>
      <w:r>
        <w:rPr>
          <w:rFonts w:ascii="宋体" w:hAnsi="宋体" w:eastAsia="宋体" w:cs="宋体"/>
          <w:spacing w:val="4"/>
          <w:sz w:val="19"/>
          <w:szCs w:val="19"/>
        </w:rPr>
        <w:t>住院的病人。随机化临床试验(</w:t>
      </w:r>
      <w:r>
        <w:rPr>
          <w:rFonts w:ascii="宋体" w:hAnsi="宋体" w:eastAsia="宋体" w:cs="宋体"/>
          <w:sz w:val="19"/>
          <w:szCs w:val="19"/>
        </w:rPr>
        <w:t>randomized</w:t>
      </w:r>
      <w:r>
        <w:rPr>
          <w:rFonts w:ascii="宋体" w:hAnsi="宋体" w:eastAsia="宋体" w:cs="宋体"/>
          <w:spacing w:val="4"/>
          <w:sz w:val="19"/>
          <w:szCs w:val="19"/>
        </w:rPr>
        <w:t xml:space="preserve"> </w:t>
      </w:r>
      <w:r>
        <w:rPr>
          <w:rFonts w:ascii="宋体" w:hAnsi="宋体" w:eastAsia="宋体" w:cs="宋体"/>
          <w:sz w:val="19"/>
          <w:szCs w:val="19"/>
        </w:rPr>
        <w:t>clinical</w:t>
      </w:r>
      <w:r>
        <w:rPr>
          <w:rFonts w:ascii="宋体" w:hAnsi="宋体" w:eastAsia="宋体" w:cs="宋体"/>
          <w:spacing w:val="4"/>
          <w:sz w:val="19"/>
          <w:szCs w:val="19"/>
        </w:rPr>
        <w:t xml:space="preserve"> </w:t>
      </w:r>
      <w:r>
        <w:rPr>
          <w:rFonts w:ascii="宋体" w:hAnsi="宋体" w:eastAsia="宋体" w:cs="宋体"/>
          <w:sz w:val="19"/>
          <w:szCs w:val="19"/>
        </w:rPr>
        <w:t>trial</w:t>
      </w:r>
      <w:r>
        <w:rPr>
          <w:rFonts w:ascii="宋体" w:hAnsi="宋体" w:eastAsia="宋体" w:cs="宋体"/>
          <w:spacing w:val="4"/>
          <w:sz w:val="19"/>
          <w:szCs w:val="19"/>
        </w:rPr>
        <w:t>)又称随机对照试验(</w:t>
      </w:r>
      <w:r>
        <w:rPr>
          <w:rFonts w:ascii="宋体" w:hAnsi="宋体" w:eastAsia="宋体" w:cs="宋体"/>
          <w:sz w:val="19"/>
          <w:szCs w:val="19"/>
        </w:rPr>
        <w:t>randomized</w:t>
      </w:r>
      <w:r>
        <w:rPr>
          <w:rFonts w:ascii="宋体" w:hAnsi="宋体" w:eastAsia="宋体" w:cs="宋体"/>
          <w:spacing w:val="4"/>
          <w:sz w:val="19"/>
          <w:szCs w:val="19"/>
        </w:rPr>
        <w:t xml:space="preserve"> </w:t>
      </w:r>
      <w:r>
        <w:rPr>
          <w:rFonts w:ascii="宋体" w:hAnsi="宋体" w:eastAsia="宋体" w:cs="宋体"/>
          <w:sz w:val="19"/>
          <w:szCs w:val="19"/>
        </w:rPr>
        <w:t>controlled</w:t>
      </w:r>
      <w:r>
        <w:rPr>
          <w:rFonts w:ascii="宋体" w:hAnsi="宋体" w:eastAsia="宋体" w:cs="宋体"/>
          <w:spacing w:val="1"/>
          <w:sz w:val="19"/>
          <w:szCs w:val="19"/>
        </w:rPr>
        <w:t xml:space="preserve"> </w:t>
      </w:r>
      <w:r>
        <w:rPr>
          <w:rFonts w:ascii="宋体" w:hAnsi="宋体" w:eastAsia="宋体" w:cs="宋体"/>
          <w:sz w:val="19"/>
          <w:szCs w:val="19"/>
        </w:rPr>
        <w:t>trial</w:t>
      </w:r>
      <w:r>
        <w:rPr>
          <w:rFonts w:ascii="宋体" w:hAnsi="宋体" w:eastAsia="宋体" w:cs="宋体"/>
          <w:spacing w:val="16"/>
          <w:sz w:val="19"/>
          <w:szCs w:val="19"/>
        </w:rPr>
        <w:t>,</w:t>
      </w:r>
      <w:r>
        <w:rPr>
          <w:rFonts w:ascii="宋体" w:hAnsi="宋体" w:eastAsia="宋体" w:cs="宋体"/>
          <w:sz w:val="19"/>
          <w:szCs w:val="19"/>
        </w:rPr>
        <w:t>RCT</w:t>
      </w:r>
      <w:r>
        <w:rPr>
          <w:rFonts w:ascii="宋体" w:hAnsi="宋体" w:eastAsia="宋体" w:cs="宋体"/>
          <w:spacing w:val="16"/>
          <w:sz w:val="19"/>
          <w:szCs w:val="19"/>
        </w:rPr>
        <w:t>),</w:t>
      </w:r>
      <w:r>
        <w:rPr>
          <w:rFonts w:ascii="宋体" w:hAnsi="宋体" w:eastAsia="宋体" w:cs="宋体"/>
          <w:spacing w:val="-18"/>
          <w:sz w:val="19"/>
          <w:szCs w:val="19"/>
        </w:rPr>
        <w:t xml:space="preserve"> </w:t>
      </w:r>
      <w:r>
        <w:rPr>
          <w:rFonts w:ascii="宋体" w:hAnsi="宋体" w:eastAsia="宋体" w:cs="宋体"/>
          <w:spacing w:val="16"/>
          <w:sz w:val="19"/>
          <w:szCs w:val="19"/>
        </w:rPr>
        <w:t>是其中应用最广的一种。临床试验常用于对某种</w:t>
      </w:r>
      <w:r>
        <w:rPr>
          <w:rFonts w:ascii="宋体" w:hAnsi="宋体" w:eastAsia="宋体" w:cs="宋体"/>
          <w:spacing w:val="15"/>
          <w:sz w:val="19"/>
          <w:szCs w:val="19"/>
        </w:rPr>
        <w:t>药物或治疗方法的效果进行检验和评</w:t>
      </w:r>
      <w:r>
        <w:rPr>
          <w:rFonts w:ascii="宋体" w:hAnsi="宋体" w:eastAsia="宋体" w:cs="宋体"/>
          <w:sz w:val="19"/>
          <w:szCs w:val="19"/>
        </w:rPr>
        <w:t xml:space="preserve"> </w:t>
      </w:r>
      <w:r>
        <w:rPr>
          <w:rFonts w:ascii="宋体" w:hAnsi="宋体" w:eastAsia="宋体" w:cs="宋体"/>
          <w:spacing w:val="7"/>
          <w:sz w:val="19"/>
          <w:szCs w:val="19"/>
        </w:rPr>
        <w:t>价，其原理模式见图6-2。</w:t>
      </w:r>
    </w:p>
    <w:p w14:paraId="77168675">
      <w:pPr>
        <w:spacing w:line="100" w:lineRule="exact"/>
      </w:pPr>
    </w:p>
    <w:p w14:paraId="5D7B7DCB">
      <w:pPr>
        <w:spacing w:line="100" w:lineRule="exact"/>
        <w:sectPr>
          <w:headerReference r:id="rId116" w:type="default"/>
          <w:footerReference r:id="rId117" w:type="default"/>
          <w:pgSz w:w="11900" w:h="16820"/>
          <w:pgMar w:top="400" w:right="1562" w:bottom="772" w:left="870" w:header="0" w:footer="601" w:gutter="0"/>
          <w:cols w:equalWidth="0" w:num="1">
            <w:col w:w="9468"/>
          </w:cols>
        </w:sectPr>
      </w:pPr>
    </w:p>
    <w:p w14:paraId="798768C0">
      <w:pPr>
        <w:spacing w:line="302" w:lineRule="auto"/>
        <w:rPr>
          <w:rFonts w:ascii="Arial"/>
          <w:sz w:val="21"/>
        </w:rPr>
      </w:pPr>
    </w:p>
    <w:p w14:paraId="2B763BA3">
      <w:pPr>
        <w:spacing w:line="303" w:lineRule="auto"/>
        <w:rPr>
          <w:rFonts w:ascii="Arial"/>
          <w:sz w:val="21"/>
        </w:rPr>
      </w:pPr>
    </w:p>
    <w:p w14:paraId="10698ED0">
      <w:pPr>
        <w:spacing w:line="303" w:lineRule="auto"/>
        <w:rPr>
          <w:rFonts w:ascii="Arial"/>
          <w:sz w:val="21"/>
        </w:rPr>
      </w:pPr>
    </w:p>
    <w:p w14:paraId="0B8795A4">
      <w:pPr>
        <w:spacing w:before="63" w:line="219" w:lineRule="auto"/>
        <w:ind w:right="15"/>
        <w:jc w:val="right"/>
        <w:rPr>
          <w:rFonts w:ascii="宋体" w:hAnsi="宋体" w:eastAsia="宋体" w:cs="宋体"/>
          <w:sz w:val="19"/>
          <w:szCs w:val="19"/>
        </w:rPr>
      </w:pPr>
      <w:r>
        <w:rPr>
          <w:rFonts w:ascii="宋体" w:hAnsi="宋体" w:eastAsia="宋体" w:cs="宋体"/>
          <w:spacing w:val="-2"/>
          <w:sz w:val="19"/>
          <w:szCs w:val="19"/>
        </w:rPr>
        <w:t>研究对象</w:t>
      </w:r>
    </w:p>
    <w:p w14:paraId="30DC3B87">
      <w:pPr>
        <w:spacing w:before="37" w:line="221" w:lineRule="auto"/>
        <w:ind w:left="2920"/>
        <w:rPr>
          <w:rFonts w:ascii="宋体" w:hAnsi="宋体" w:eastAsia="宋体" w:cs="宋体"/>
          <w:sz w:val="19"/>
          <w:szCs w:val="19"/>
        </w:rPr>
      </w:pPr>
      <w:r>
        <w:rPr>
          <w:rFonts w:ascii="宋体" w:hAnsi="宋体" w:eastAsia="宋体" w:cs="宋体"/>
          <w:spacing w:val="20"/>
          <w:sz w:val="19"/>
          <w:szCs w:val="19"/>
        </w:rPr>
        <w:t>(病人)</w:t>
      </w:r>
    </w:p>
    <w:p w14:paraId="5BE2914D">
      <w:pPr>
        <w:spacing w:line="14" w:lineRule="auto"/>
        <w:rPr>
          <w:rFonts w:ascii="Arial"/>
          <w:sz w:val="2"/>
        </w:rPr>
      </w:pPr>
      <w:r>
        <w:rPr>
          <w:rFonts w:ascii="Arial" w:hAnsi="Arial" w:eastAsia="Arial" w:cs="Arial"/>
          <w:sz w:val="2"/>
          <w:szCs w:val="2"/>
        </w:rPr>
        <w:br w:type="column"/>
      </w:r>
    </w:p>
    <w:p w14:paraId="0FF00ED3">
      <w:pPr>
        <w:spacing w:before="188" w:line="215" w:lineRule="auto"/>
        <w:ind w:left="1400" w:right="898" w:firstLine="79"/>
        <w:rPr>
          <w:rFonts w:ascii="宋体" w:hAnsi="宋体" w:eastAsia="宋体" w:cs="宋体"/>
          <w:sz w:val="19"/>
          <w:szCs w:val="19"/>
        </w:rPr>
      </w:pPr>
      <w:r>
        <w:rPr>
          <w:rFonts w:ascii="宋体" w:hAnsi="宋体" w:eastAsia="宋体" w:cs="宋体"/>
          <w:spacing w:val="-3"/>
          <w:sz w:val="19"/>
          <w:szCs w:val="19"/>
        </w:rPr>
        <w:t>试验组</w:t>
      </w:r>
      <w:r>
        <w:rPr>
          <w:rFonts w:ascii="宋体" w:hAnsi="宋体" w:eastAsia="宋体" w:cs="宋体"/>
          <w:sz w:val="19"/>
          <w:szCs w:val="19"/>
        </w:rPr>
        <w:t xml:space="preserve">  </w:t>
      </w:r>
      <w:r>
        <w:rPr>
          <w:rFonts w:ascii="宋体" w:hAnsi="宋体" w:eastAsia="宋体" w:cs="宋体"/>
          <w:spacing w:val="4"/>
          <w:sz w:val="19"/>
          <w:szCs w:val="19"/>
        </w:rPr>
        <w:t>(干预组)</w:t>
      </w:r>
    </w:p>
    <w:p w14:paraId="4F8EF2A1">
      <w:pPr>
        <w:spacing w:before="215" w:line="219" w:lineRule="auto"/>
        <w:rPr>
          <w:rFonts w:ascii="宋体" w:hAnsi="宋体" w:eastAsia="宋体" w:cs="宋体"/>
          <w:sz w:val="19"/>
          <w:szCs w:val="19"/>
        </w:rPr>
      </w:pPr>
      <w:r>
        <w:rPr>
          <w:rFonts w:ascii="宋体" w:hAnsi="宋体" w:eastAsia="宋体" w:cs="宋体"/>
          <w:spacing w:val="-12"/>
          <w:sz w:val="19"/>
          <w:szCs w:val="19"/>
        </w:rPr>
        <w:t>随机分组</w:t>
      </w:r>
    </w:p>
    <w:p w14:paraId="405A7708">
      <w:pPr>
        <w:spacing w:line="285" w:lineRule="auto"/>
        <w:rPr>
          <w:rFonts w:ascii="Arial"/>
          <w:sz w:val="21"/>
        </w:rPr>
      </w:pPr>
    </w:p>
    <w:p w14:paraId="05C490AE">
      <w:pPr>
        <w:spacing w:line="286" w:lineRule="auto"/>
        <w:rPr>
          <w:rFonts w:ascii="Arial"/>
          <w:sz w:val="21"/>
        </w:rPr>
      </w:pPr>
    </w:p>
    <w:p w14:paraId="34104A02">
      <w:pPr>
        <w:spacing w:before="62" w:line="221" w:lineRule="auto"/>
        <w:ind w:left="1489"/>
        <w:rPr>
          <w:rFonts w:ascii="宋体" w:hAnsi="宋体" w:eastAsia="宋体" w:cs="宋体"/>
          <w:sz w:val="19"/>
          <w:szCs w:val="19"/>
        </w:rPr>
      </w:pPr>
      <w:r>
        <w:rPr>
          <w:rFonts w:ascii="宋体" w:hAnsi="宋体" w:eastAsia="宋体" w:cs="宋体"/>
          <w:spacing w:val="-8"/>
          <w:sz w:val="19"/>
          <w:szCs w:val="19"/>
        </w:rPr>
        <w:t>对照组</w:t>
      </w:r>
    </w:p>
    <w:p w14:paraId="7FB62E4B">
      <w:pPr>
        <w:spacing w:line="14" w:lineRule="auto"/>
        <w:rPr>
          <w:rFonts w:ascii="Arial"/>
          <w:sz w:val="2"/>
        </w:rPr>
      </w:pPr>
      <w:r>
        <w:rPr>
          <w:rFonts w:ascii="Arial" w:hAnsi="Arial" w:eastAsia="Arial" w:cs="Arial"/>
          <w:sz w:val="2"/>
          <w:szCs w:val="2"/>
        </w:rPr>
        <w:br w:type="column"/>
      </w:r>
    </w:p>
    <w:p w14:paraId="423434B4">
      <w:pPr>
        <w:spacing w:before="37" w:line="420" w:lineRule="auto"/>
        <w:ind w:right="2029"/>
        <w:rPr>
          <w:rFonts w:ascii="宋体" w:hAnsi="宋体" w:eastAsia="宋体" w:cs="宋体"/>
          <w:sz w:val="19"/>
          <w:szCs w:val="19"/>
        </w:rPr>
      </w:pPr>
      <w:r>
        <w:rPr>
          <w:rFonts w:ascii="宋体" w:hAnsi="宋体" w:eastAsia="宋体" w:cs="宋体"/>
          <w:spacing w:val="-11"/>
          <w:sz w:val="19"/>
          <w:szCs w:val="19"/>
        </w:rPr>
        <w:t>有效应</w:t>
      </w:r>
      <w:r>
        <w:rPr>
          <w:rFonts w:ascii="宋体" w:hAnsi="宋体" w:eastAsia="宋体" w:cs="宋体"/>
          <w:sz w:val="19"/>
          <w:szCs w:val="19"/>
        </w:rPr>
        <w:t xml:space="preserve"> </w:t>
      </w:r>
      <w:r>
        <w:rPr>
          <w:rFonts w:ascii="宋体" w:hAnsi="宋体" w:eastAsia="宋体" w:cs="宋体"/>
          <w:spacing w:val="-11"/>
          <w:sz w:val="19"/>
          <w:szCs w:val="19"/>
        </w:rPr>
        <w:t>无效应</w:t>
      </w:r>
    </w:p>
    <w:p w14:paraId="22B997A0">
      <w:pPr>
        <w:spacing w:line="245" w:lineRule="auto"/>
        <w:rPr>
          <w:rFonts w:ascii="Arial"/>
          <w:sz w:val="21"/>
        </w:rPr>
      </w:pPr>
    </w:p>
    <w:p w14:paraId="52F7F27A">
      <w:pPr>
        <w:spacing w:line="245" w:lineRule="auto"/>
        <w:rPr>
          <w:rFonts w:ascii="Arial"/>
          <w:sz w:val="21"/>
        </w:rPr>
      </w:pPr>
    </w:p>
    <w:p w14:paraId="4BC49697">
      <w:pPr>
        <w:spacing w:before="63" w:line="407" w:lineRule="auto"/>
        <w:ind w:right="2029"/>
        <w:rPr>
          <w:rFonts w:ascii="宋体" w:hAnsi="宋体" w:eastAsia="宋体" w:cs="宋体"/>
          <w:sz w:val="19"/>
          <w:szCs w:val="19"/>
        </w:rPr>
      </w:pPr>
      <w:r>
        <w:rPr>
          <w:rFonts w:ascii="宋体" w:hAnsi="宋体" w:eastAsia="宋体" w:cs="宋体"/>
          <w:spacing w:val="-11"/>
          <w:sz w:val="19"/>
          <w:szCs w:val="19"/>
        </w:rPr>
        <w:t>有效应</w:t>
      </w:r>
      <w:r>
        <w:rPr>
          <w:rFonts w:ascii="宋体" w:hAnsi="宋体" w:eastAsia="宋体" w:cs="宋体"/>
          <w:sz w:val="19"/>
          <w:szCs w:val="19"/>
        </w:rPr>
        <w:t xml:space="preserve"> </w:t>
      </w:r>
      <w:r>
        <w:rPr>
          <w:rFonts w:ascii="宋体" w:hAnsi="宋体" w:eastAsia="宋体" w:cs="宋体"/>
          <w:spacing w:val="-11"/>
          <w:sz w:val="19"/>
          <w:szCs w:val="19"/>
        </w:rPr>
        <w:t>无效应</w:t>
      </w:r>
    </w:p>
    <w:p w14:paraId="113D8AA0">
      <w:pPr>
        <w:spacing w:line="407" w:lineRule="auto"/>
        <w:rPr>
          <w:rFonts w:ascii="宋体" w:hAnsi="宋体" w:eastAsia="宋体" w:cs="宋体"/>
          <w:sz w:val="19"/>
          <w:szCs w:val="19"/>
        </w:rPr>
        <w:sectPr>
          <w:type w:val="continuous"/>
          <w:pgSz w:w="11900" w:h="16820"/>
          <w:pgMar w:top="400" w:right="1562" w:bottom="772" w:left="870" w:header="0" w:footer="601" w:gutter="0"/>
          <w:cols w:equalWidth="0" w:num="3">
            <w:col w:w="3620" w:space="100"/>
            <w:col w:w="3081" w:space="100"/>
            <w:col w:w="2568"/>
          </w:cols>
        </w:sectPr>
      </w:pPr>
    </w:p>
    <w:p w14:paraId="1890388D">
      <w:pPr>
        <w:pStyle w:val="2"/>
        <w:spacing w:line="220" w:lineRule="auto"/>
        <w:ind w:left="3450"/>
        <w:rPr>
          <w:sz w:val="19"/>
          <w:szCs w:val="19"/>
        </w:rPr>
      </w:pPr>
      <w:r>
        <w:rPr>
          <w:spacing w:val="-1"/>
          <w:sz w:val="19"/>
          <w:szCs w:val="19"/>
        </w:rPr>
        <w:t>图6-2</w:t>
      </w:r>
      <w:r>
        <w:rPr>
          <w:spacing w:val="77"/>
          <w:sz w:val="19"/>
          <w:szCs w:val="19"/>
        </w:rPr>
        <w:t xml:space="preserve"> </w:t>
      </w:r>
      <w:r>
        <w:rPr>
          <w:spacing w:val="-1"/>
          <w:sz w:val="19"/>
          <w:szCs w:val="19"/>
        </w:rPr>
        <w:t>临床试验研究的原理模式示意图</w:t>
      </w:r>
    </w:p>
    <w:p w14:paraId="79BCE29E">
      <w:pPr>
        <w:spacing w:line="330" w:lineRule="auto"/>
        <w:rPr>
          <w:rFonts w:ascii="Arial"/>
          <w:sz w:val="21"/>
        </w:rPr>
      </w:pPr>
    </w:p>
    <w:p w14:paraId="7C4B9EC4">
      <w:pPr>
        <w:spacing w:before="63" w:line="219" w:lineRule="auto"/>
        <w:ind w:left="1080"/>
        <w:rPr>
          <w:rFonts w:ascii="宋体" w:hAnsi="宋体" w:eastAsia="宋体" w:cs="宋体"/>
          <w:sz w:val="19"/>
          <w:szCs w:val="19"/>
        </w:rPr>
      </w:pPr>
      <w:r>
        <w:rPr>
          <w:rFonts w:ascii="宋体" w:hAnsi="宋体" w:eastAsia="宋体" w:cs="宋体"/>
          <w:spacing w:val="13"/>
          <w:sz w:val="19"/>
          <w:szCs w:val="19"/>
        </w:rPr>
        <w:t>临床试验通常具有如下特点：</w:t>
      </w:r>
    </w:p>
    <w:p w14:paraId="11CDC88D">
      <w:pPr>
        <w:spacing w:before="153" w:line="219" w:lineRule="auto"/>
        <w:ind w:left="1080"/>
        <w:rPr>
          <w:rFonts w:ascii="宋体" w:hAnsi="宋体" w:eastAsia="宋体" w:cs="宋体"/>
          <w:sz w:val="19"/>
          <w:szCs w:val="19"/>
        </w:rPr>
      </w:pPr>
      <w:r>
        <w:rPr>
          <w:rFonts w:ascii="宋体" w:hAnsi="宋体" w:eastAsia="宋体" w:cs="宋体"/>
          <w:spacing w:val="21"/>
          <w:sz w:val="19"/>
          <w:szCs w:val="19"/>
        </w:rPr>
        <w:t>(1)以病人作为研究对象。</w:t>
      </w:r>
    </w:p>
    <w:p w14:paraId="1F49F141">
      <w:pPr>
        <w:spacing w:before="145" w:line="219" w:lineRule="auto"/>
        <w:ind w:left="1080"/>
        <w:rPr>
          <w:rFonts w:ascii="宋体" w:hAnsi="宋体" w:eastAsia="宋体" w:cs="宋体"/>
          <w:sz w:val="19"/>
          <w:szCs w:val="19"/>
        </w:rPr>
      </w:pPr>
      <w:r>
        <w:rPr>
          <w:rFonts w:ascii="宋体" w:hAnsi="宋体" w:eastAsia="宋体" w:cs="宋体"/>
          <w:spacing w:val="22"/>
          <w:sz w:val="19"/>
          <w:szCs w:val="19"/>
        </w:rPr>
        <w:t>(2)研究多在医院进行。</w:t>
      </w:r>
    </w:p>
    <w:p w14:paraId="6DA31667">
      <w:pPr>
        <w:spacing w:before="146" w:line="220" w:lineRule="auto"/>
        <w:ind w:left="1080"/>
        <w:rPr>
          <w:rFonts w:ascii="宋体" w:hAnsi="宋体" w:eastAsia="宋体" w:cs="宋体"/>
          <w:sz w:val="19"/>
          <w:szCs w:val="19"/>
        </w:rPr>
      </w:pPr>
      <w:r>
        <w:rPr>
          <w:rFonts w:ascii="宋体" w:hAnsi="宋体" w:eastAsia="宋体" w:cs="宋体"/>
          <w:spacing w:val="24"/>
          <w:sz w:val="19"/>
          <w:szCs w:val="19"/>
        </w:rPr>
        <w:t>(3)多为治疗性试验。</w:t>
      </w:r>
    </w:p>
    <w:p w14:paraId="4CF085DE">
      <w:pPr>
        <w:spacing w:before="132" w:line="219" w:lineRule="auto"/>
        <w:ind w:left="1080"/>
        <w:rPr>
          <w:rFonts w:ascii="宋体" w:hAnsi="宋体" w:eastAsia="宋体" w:cs="宋体"/>
          <w:sz w:val="19"/>
          <w:szCs w:val="19"/>
        </w:rPr>
      </w:pPr>
      <w:r>
        <w:rPr>
          <w:rFonts w:ascii="宋体" w:hAnsi="宋体" w:eastAsia="宋体" w:cs="宋体"/>
          <w:spacing w:val="16"/>
          <w:sz w:val="19"/>
          <w:szCs w:val="19"/>
        </w:rPr>
        <w:t>(4)通常有严格的纳人排除标准，保证研究对象的基本特征尽可能一致。</w:t>
      </w:r>
    </w:p>
    <w:p w14:paraId="6A3C4A9A">
      <w:pPr>
        <w:spacing w:before="145" w:line="219" w:lineRule="auto"/>
        <w:ind w:left="1080"/>
        <w:rPr>
          <w:rFonts w:ascii="宋体" w:hAnsi="宋体" w:eastAsia="宋体" w:cs="宋体"/>
          <w:sz w:val="19"/>
          <w:szCs w:val="19"/>
        </w:rPr>
      </w:pPr>
      <w:r>
        <w:rPr>
          <w:rFonts w:ascii="宋体" w:hAnsi="宋体" w:eastAsia="宋体" w:cs="宋体"/>
          <w:spacing w:val="13"/>
          <w:sz w:val="19"/>
          <w:szCs w:val="19"/>
        </w:rPr>
        <w:t>(5)尽可能用盲法随机分配治疗措施，对分配的治疗不依从，应测量其程度与原因。</w:t>
      </w:r>
    </w:p>
    <w:p w14:paraId="545929B1">
      <w:pPr>
        <w:spacing w:before="154" w:line="219" w:lineRule="auto"/>
        <w:ind w:left="1080"/>
        <w:rPr>
          <w:rFonts w:ascii="宋体" w:hAnsi="宋体" w:eastAsia="宋体" w:cs="宋体"/>
          <w:sz w:val="19"/>
          <w:szCs w:val="19"/>
        </w:rPr>
      </w:pPr>
      <w:r>
        <w:rPr>
          <w:rFonts w:ascii="宋体" w:hAnsi="宋体" w:eastAsia="宋体" w:cs="宋体"/>
          <w:spacing w:val="15"/>
          <w:sz w:val="19"/>
          <w:szCs w:val="19"/>
        </w:rPr>
        <w:t>(6)如果对于所研究的疾病没有可接受的疗法，可以应用安慰剂作对照。</w:t>
      </w:r>
    </w:p>
    <w:p w14:paraId="73682FE0">
      <w:pPr>
        <w:spacing w:before="106" w:line="369" w:lineRule="auto"/>
        <w:ind w:left="689" w:right="39" w:firstLine="390"/>
        <w:rPr>
          <w:rFonts w:ascii="宋体" w:hAnsi="宋体" w:eastAsia="宋体" w:cs="宋体"/>
          <w:sz w:val="19"/>
          <w:szCs w:val="19"/>
        </w:rPr>
      </w:pPr>
      <w:r>
        <w:rPr>
          <w:rFonts w:ascii="宋体" w:hAnsi="宋体" w:eastAsia="宋体" w:cs="宋体"/>
          <w:spacing w:val="19"/>
          <w:sz w:val="19"/>
          <w:szCs w:val="19"/>
        </w:rPr>
        <w:t>例如，由我国学者主持开展的氯吡格雷联合阿司匹林与阿司匹</w:t>
      </w:r>
      <w:r>
        <w:rPr>
          <w:rFonts w:ascii="宋体" w:hAnsi="宋体" w:eastAsia="宋体" w:cs="宋体"/>
          <w:spacing w:val="18"/>
          <w:sz w:val="19"/>
          <w:szCs w:val="19"/>
        </w:rPr>
        <w:t>林单独治疗急性非致残性脑血</w:t>
      </w:r>
      <w:r>
        <w:rPr>
          <w:rFonts w:ascii="宋体" w:hAnsi="宋体" w:eastAsia="宋体" w:cs="宋体"/>
          <w:sz w:val="19"/>
          <w:szCs w:val="19"/>
        </w:rPr>
        <w:t xml:space="preserve"> </w:t>
      </w:r>
      <w:r>
        <w:rPr>
          <w:rFonts w:ascii="宋体" w:hAnsi="宋体" w:eastAsia="宋体" w:cs="宋体"/>
          <w:spacing w:val="11"/>
          <w:sz w:val="19"/>
          <w:szCs w:val="19"/>
        </w:rPr>
        <w:t>管事件高危人群研究(简称</w:t>
      </w:r>
      <w:r>
        <w:rPr>
          <w:rFonts w:ascii="宋体" w:hAnsi="宋体" w:eastAsia="宋体" w:cs="宋体"/>
          <w:sz w:val="19"/>
          <w:szCs w:val="19"/>
        </w:rPr>
        <w:t xml:space="preserve">CHANCE   </w:t>
      </w:r>
      <w:r>
        <w:rPr>
          <w:rFonts w:ascii="宋体" w:hAnsi="宋体" w:eastAsia="宋体" w:cs="宋体"/>
          <w:spacing w:val="11"/>
          <w:sz w:val="19"/>
          <w:szCs w:val="19"/>
        </w:rPr>
        <w:t>研究)就是典型的多中心、随机、双盲、安慰剂对照临床试</w:t>
      </w:r>
      <w:r>
        <w:rPr>
          <w:rFonts w:ascii="宋体" w:hAnsi="宋体" w:eastAsia="宋体" w:cs="宋体"/>
          <w:spacing w:val="10"/>
          <w:sz w:val="19"/>
          <w:szCs w:val="19"/>
        </w:rPr>
        <w:t>验。</w:t>
      </w:r>
    </w:p>
    <w:p w14:paraId="627DA446">
      <w:pPr>
        <w:spacing w:before="1" w:line="219" w:lineRule="auto"/>
        <w:ind w:left="1080"/>
        <w:rPr>
          <w:rFonts w:ascii="宋体" w:hAnsi="宋体" w:eastAsia="宋体" w:cs="宋体"/>
          <w:sz w:val="19"/>
          <w:szCs w:val="19"/>
        </w:rPr>
      </w:pPr>
      <w:r>
        <w:rPr>
          <w:rFonts w:ascii="宋体" w:hAnsi="宋体" w:eastAsia="宋体" w:cs="宋体"/>
          <w:spacing w:val="11"/>
          <w:sz w:val="19"/>
          <w:szCs w:val="19"/>
        </w:rPr>
        <w:t>在新药的研制和开发中，临床试验还可以进一步分为四</w:t>
      </w:r>
      <w:r>
        <w:rPr>
          <w:rFonts w:ascii="宋体" w:hAnsi="宋体" w:eastAsia="宋体" w:cs="宋体"/>
          <w:spacing w:val="10"/>
          <w:sz w:val="19"/>
          <w:szCs w:val="19"/>
        </w:rPr>
        <w:t>期：</w:t>
      </w:r>
    </w:p>
    <w:p w14:paraId="45A91BAF">
      <w:pPr>
        <w:spacing w:before="134" w:line="272" w:lineRule="auto"/>
        <w:ind w:left="689" w:right="59" w:firstLine="390"/>
        <w:rPr>
          <w:rFonts w:ascii="宋体" w:hAnsi="宋体" w:eastAsia="宋体" w:cs="宋体"/>
          <w:sz w:val="19"/>
          <w:szCs w:val="19"/>
        </w:rPr>
      </w:pPr>
      <w:r>
        <w:rPr>
          <w:rFonts w:ascii="Times New Roman" w:hAnsi="Times New Roman" w:eastAsia="Times New Roman" w:cs="Times New Roman"/>
          <w:spacing w:val="15"/>
          <w:sz w:val="19"/>
          <w:szCs w:val="19"/>
        </w:rPr>
        <w:t xml:space="preserve">I </w:t>
      </w:r>
      <w:r>
        <w:rPr>
          <w:rFonts w:ascii="宋体" w:hAnsi="宋体" w:eastAsia="宋体" w:cs="宋体"/>
          <w:spacing w:val="15"/>
          <w:sz w:val="19"/>
          <w:szCs w:val="19"/>
        </w:rPr>
        <w:t>期：通过耐受性试验与药代动力学研究，确定该药的安全有</w:t>
      </w:r>
      <w:r>
        <w:rPr>
          <w:rFonts w:ascii="宋体" w:hAnsi="宋体" w:eastAsia="宋体" w:cs="宋体"/>
          <w:spacing w:val="14"/>
          <w:sz w:val="19"/>
          <w:szCs w:val="19"/>
        </w:rPr>
        <w:t>效剂量范围及药物在人体内的吸</w:t>
      </w:r>
      <w:r>
        <w:rPr>
          <w:rFonts w:ascii="宋体" w:hAnsi="宋体" w:eastAsia="宋体" w:cs="宋体"/>
          <w:sz w:val="19"/>
          <w:szCs w:val="19"/>
        </w:rPr>
        <w:t xml:space="preserve"> </w:t>
      </w:r>
      <w:r>
        <w:rPr>
          <w:rFonts w:ascii="宋体" w:hAnsi="宋体" w:eastAsia="宋体" w:cs="宋体"/>
          <w:spacing w:val="14"/>
          <w:sz w:val="19"/>
          <w:szCs w:val="19"/>
        </w:rPr>
        <w:t>收、代谢和排泄的规律。通常在20～80个志愿者身上进行。</w:t>
      </w:r>
    </w:p>
    <w:p w14:paraId="0CE4E5FD">
      <w:pPr>
        <w:spacing w:line="272" w:lineRule="auto"/>
        <w:rPr>
          <w:rFonts w:ascii="宋体" w:hAnsi="宋体" w:eastAsia="宋体" w:cs="宋体"/>
          <w:sz w:val="19"/>
          <w:szCs w:val="19"/>
        </w:rPr>
        <w:sectPr>
          <w:type w:val="continuous"/>
          <w:pgSz w:w="11900" w:h="16820"/>
          <w:pgMar w:top="400" w:right="1562" w:bottom="772" w:left="870" w:header="0" w:footer="601" w:gutter="0"/>
          <w:cols w:equalWidth="0" w:num="1">
            <w:col w:w="9468"/>
          </w:cols>
        </w:sectPr>
      </w:pPr>
    </w:p>
    <w:p w14:paraId="73006E70">
      <w:pPr>
        <w:pStyle w:val="2"/>
        <w:spacing w:before="46" w:line="221" w:lineRule="auto"/>
        <w:ind w:left="7369"/>
        <w:rPr>
          <w:sz w:val="20"/>
          <w:szCs w:val="20"/>
        </w:rPr>
      </w:pPr>
      <w:r>
        <w:rPr>
          <w:spacing w:val="-9"/>
          <w:sz w:val="20"/>
          <w:szCs w:val="20"/>
        </w:rPr>
        <w:t>第六章实验流行病学</w:t>
      </w:r>
    </w:p>
    <w:p w14:paraId="6349D137">
      <w:pPr>
        <w:spacing w:line="281" w:lineRule="auto"/>
        <w:rPr>
          <w:rFonts w:ascii="Arial"/>
          <w:sz w:val="21"/>
        </w:rPr>
      </w:pPr>
    </w:p>
    <w:p w14:paraId="0BE68319">
      <w:pPr>
        <w:spacing w:line="281" w:lineRule="auto"/>
        <w:rPr>
          <w:rFonts w:ascii="Arial"/>
          <w:sz w:val="21"/>
        </w:rPr>
      </w:pPr>
    </w:p>
    <w:p w14:paraId="0D503F75">
      <w:pPr>
        <w:spacing w:before="65" w:line="346" w:lineRule="auto"/>
        <w:ind w:right="652" w:firstLine="489"/>
        <w:rPr>
          <w:rFonts w:ascii="宋体" w:hAnsi="宋体" w:eastAsia="宋体" w:cs="宋体"/>
          <w:sz w:val="20"/>
          <w:szCs w:val="20"/>
        </w:rPr>
      </w:pPr>
      <w:r>
        <w:rPr>
          <w:rFonts w:ascii="宋体" w:hAnsi="宋体" w:eastAsia="宋体" w:cs="宋体"/>
          <w:spacing w:val="9"/>
          <w:sz w:val="20"/>
          <w:szCs w:val="20"/>
        </w:rPr>
        <w:t>Ⅱ期：在一小部分特定病例中，在有对照的情况下进行严密的临床观察，以进一步确定此药的</w:t>
      </w:r>
      <w:r>
        <w:rPr>
          <w:rFonts w:ascii="宋体" w:hAnsi="宋体" w:eastAsia="宋体" w:cs="宋体"/>
          <w:spacing w:val="5"/>
          <w:sz w:val="20"/>
          <w:szCs w:val="20"/>
        </w:rPr>
        <w:t xml:space="preserve"> </w:t>
      </w:r>
      <w:r>
        <w:rPr>
          <w:rFonts w:ascii="宋体" w:hAnsi="宋体" w:eastAsia="宋体" w:cs="宋体"/>
          <w:spacing w:val="11"/>
          <w:sz w:val="20"/>
          <w:szCs w:val="20"/>
        </w:rPr>
        <w:t>安全性与有效性。通常采用随机对照设计，研究对象100～300例。</w:t>
      </w:r>
    </w:p>
    <w:p w14:paraId="44A2A9A3">
      <w:pPr>
        <w:spacing w:before="1" w:line="360" w:lineRule="auto"/>
        <w:ind w:right="652" w:firstLine="489"/>
        <w:rPr>
          <w:rFonts w:ascii="宋体" w:hAnsi="宋体" w:eastAsia="宋体" w:cs="宋体"/>
          <w:sz w:val="20"/>
          <w:szCs w:val="20"/>
        </w:rPr>
      </w:pPr>
      <w:r>
        <w:rPr>
          <w:rFonts w:ascii="宋体" w:hAnsi="宋体" w:eastAsia="宋体" w:cs="宋体"/>
          <w:spacing w:val="9"/>
          <w:sz w:val="20"/>
          <w:szCs w:val="20"/>
        </w:rPr>
        <w:t>Ⅲ期：在例数较多的病例中进行，由临床医师主持，是随机化临床试验。目的在于评价药物的</w:t>
      </w:r>
      <w:r>
        <w:rPr>
          <w:rFonts w:ascii="宋体" w:hAnsi="宋体" w:eastAsia="宋体" w:cs="宋体"/>
          <w:spacing w:val="5"/>
          <w:sz w:val="20"/>
          <w:szCs w:val="20"/>
        </w:rPr>
        <w:t xml:space="preserve"> 安全性、有效性及最佳剂量。</w:t>
      </w:r>
      <w:r>
        <w:rPr>
          <w:rFonts w:ascii="宋体" w:hAnsi="宋体" w:eastAsia="宋体" w:cs="宋体"/>
          <w:spacing w:val="53"/>
          <w:sz w:val="20"/>
          <w:szCs w:val="20"/>
        </w:rPr>
        <w:t xml:space="preserve"> </w:t>
      </w:r>
      <w:r>
        <w:rPr>
          <w:rFonts w:ascii="宋体" w:hAnsi="宋体" w:eastAsia="宋体" w:cs="宋体"/>
          <w:spacing w:val="5"/>
          <w:sz w:val="20"/>
          <w:szCs w:val="20"/>
        </w:rPr>
        <w:t>一般需要几百</w:t>
      </w:r>
      <w:r>
        <w:rPr>
          <w:rFonts w:ascii="宋体" w:hAnsi="宋体" w:eastAsia="宋体" w:cs="宋体"/>
          <w:spacing w:val="4"/>
          <w:sz w:val="20"/>
          <w:szCs w:val="20"/>
        </w:rPr>
        <w:t>或几千人。</w:t>
      </w:r>
    </w:p>
    <w:p w14:paraId="2FE07307">
      <w:pPr>
        <w:spacing w:line="219" w:lineRule="auto"/>
        <w:ind w:left="419"/>
        <w:rPr>
          <w:rFonts w:ascii="宋体" w:hAnsi="宋体" w:eastAsia="宋体" w:cs="宋体"/>
          <w:sz w:val="20"/>
          <w:szCs w:val="20"/>
        </w:rPr>
      </w:pPr>
      <w:r>
        <w:rPr>
          <w:rFonts w:ascii="Arial" w:hAnsi="Arial" w:eastAsia="Arial" w:cs="Arial"/>
          <w:sz w:val="20"/>
          <w:szCs w:val="20"/>
        </w:rPr>
        <w:t>IV</w:t>
      </w:r>
      <w:r>
        <w:rPr>
          <w:rFonts w:ascii="宋体" w:hAnsi="宋体" w:eastAsia="宋体" w:cs="宋体"/>
          <w:spacing w:val="11"/>
          <w:sz w:val="20"/>
          <w:szCs w:val="20"/>
        </w:rPr>
        <w:t>期(上市后监测):目的是进一步观察疗效，监测副作用。</w:t>
      </w:r>
    </w:p>
    <w:p w14:paraId="650F0C80">
      <w:pPr>
        <w:spacing w:before="129" w:line="338" w:lineRule="auto"/>
        <w:ind w:right="652" w:firstLine="419"/>
        <w:rPr>
          <w:rFonts w:ascii="宋体" w:hAnsi="宋体" w:eastAsia="宋体" w:cs="宋体"/>
          <w:sz w:val="20"/>
          <w:szCs w:val="20"/>
        </w:rPr>
      </w:pPr>
      <w:r>
        <w:rPr>
          <w:rFonts w:ascii="宋体" w:hAnsi="宋体" w:eastAsia="宋体" w:cs="宋体"/>
          <w:spacing w:val="13"/>
          <w:sz w:val="20"/>
          <w:szCs w:val="20"/>
        </w:rPr>
        <w:t>上 述I~Ⅲ</w:t>
      </w:r>
      <w:r>
        <w:rPr>
          <w:rFonts w:ascii="宋体" w:hAnsi="宋体" w:eastAsia="宋体" w:cs="宋体"/>
          <w:spacing w:val="-21"/>
          <w:sz w:val="20"/>
          <w:szCs w:val="20"/>
        </w:rPr>
        <w:t xml:space="preserve"> </w:t>
      </w:r>
      <w:r>
        <w:rPr>
          <w:rFonts w:ascii="宋体" w:hAnsi="宋体" w:eastAsia="宋体" w:cs="宋体"/>
          <w:spacing w:val="13"/>
          <w:sz w:val="20"/>
          <w:szCs w:val="20"/>
        </w:rPr>
        <w:t>期一般在药物上市前完成，因此又统称为上市前临床试验</w:t>
      </w:r>
      <w:r>
        <w:rPr>
          <w:rFonts w:ascii="Times New Roman" w:hAnsi="Times New Roman" w:eastAsia="Times New Roman" w:cs="Times New Roman"/>
          <w:spacing w:val="13"/>
          <w:sz w:val="20"/>
          <w:szCs w:val="20"/>
        </w:rPr>
        <w:t>(</w:t>
      </w:r>
      <w:r>
        <w:rPr>
          <w:rFonts w:ascii="Times New Roman" w:hAnsi="Times New Roman" w:eastAsia="Times New Roman" w:cs="Times New Roman"/>
          <w:sz w:val="20"/>
          <w:szCs w:val="20"/>
        </w:rPr>
        <w:t>pre</w:t>
      </w:r>
      <w:r>
        <w:rPr>
          <w:rFonts w:ascii="Times New Roman" w:hAnsi="Times New Roman" w:eastAsia="Times New Roman" w:cs="Times New Roman"/>
          <w:spacing w:val="13"/>
          <w:sz w:val="20"/>
          <w:szCs w:val="20"/>
        </w:rPr>
        <w:t>-</w:t>
      </w:r>
      <w:r>
        <w:rPr>
          <w:rFonts w:ascii="Times New Roman" w:hAnsi="Times New Roman" w:eastAsia="Times New Roman" w:cs="Times New Roman"/>
          <w:sz w:val="20"/>
          <w:szCs w:val="20"/>
        </w:rPr>
        <w:t>marketing</w:t>
      </w:r>
      <w:r>
        <w:rPr>
          <w:rFonts w:ascii="Times New Roman" w:hAnsi="Times New Roman" w:eastAsia="Times New Roman" w:cs="Times New Roman"/>
          <w:spacing w:val="13"/>
          <w:sz w:val="20"/>
          <w:szCs w:val="20"/>
        </w:rPr>
        <w:t xml:space="preserve">   </w:t>
      </w:r>
      <w:r>
        <w:rPr>
          <w:rFonts w:ascii="Times New Roman" w:hAnsi="Times New Roman" w:eastAsia="Times New Roman" w:cs="Times New Roman"/>
          <w:spacing w:val="12"/>
          <w:sz w:val="20"/>
          <w:szCs w:val="20"/>
        </w:rPr>
        <w:t xml:space="preserve">    </w:t>
      </w:r>
      <w:r>
        <w:rPr>
          <w:rFonts w:ascii="Times New Roman" w:hAnsi="Times New Roman" w:eastAsia="Times New Roman" w:cs="Times New Roman"/>
          <w:sz w:val="20"/>
          <w:szCs w:val="20"/>
        </w:rPr>
        <w:t xml:space="preserve">clinical </w:t>
      </w:r>
      <w:r>
        <w:rPr>
          <w:rFonts w:ascii="宋体" w:hAnsi="宋体" w:eastAsia="宋体" w:cs="宋体"/>
          <w:sz w:val="20"/>
          <w:szCs w:val="20"/>
        </w:rPr>
        <w:t>trial</w:t>
      </w:r>
      <w:r>
        <w:rPr>
          <w:rFonts w:ascii="宋体" w:hAnsi="宋体" w:eastAsia="宋体" w:cs="宋体"/>
          <w:spacing w:val="1"/>
          <w:sz w:val="20"/>
          <w:szCs w:val="20"/>
        </w:rPr>
        <w:t>)。因为上市前临床试验存在许多局限性，如观察对象样本量有限，观察时间短，病种单一，多数</w:t>
      </w:r>
      <w:r>
        <w:rPr>
          <w:rFonts w:ascii="宋体" w:hAnsi="宋体" w:eastAsia="宋体" w:cs="宋体"/>
          <w:spacing w:val="5"/>
          <w:sz w:val="20"/>
          <w:szCs w:val="20"/>
        </w:rPr>
        <w:t xml:space="preserve"> </w:t>
      </w:r>
      <w:r>
        <w:rPr>
          <w:rFonts w:ascii="宋体" w:hAnsi="宋体" w:eastAsia="宋体" w:cs="宋体"/>
          <w:spacing w:val="11"/>
          <w:sz w:val="20"/>
          <w:szCs w:val="20"/>
        </w:rPr>
        <w:t>情况下排除老人、孕妇和儿童，因此一些罕见的不良反应、迟发反应和发生在</w:t>
      </w:r>
      <w:r>
        <w:rPr>
          <w:rFonts w:ascii="宋体" w:hAnsi="宋体" w:eastAsia="宋体" w:cs="宋体"/>
          <w:spacing w:val="10"/>
          <w:sz w:val="20"/>
          <w:szCs w:val="20"/>
        </w:rPr>
        <w:t>某些特殊人群的不良</w:t>
      </w:r>
      <w:r>
        <w:rPr>
          <w:rFonts w:ascii="宋体" w:hAnsi="宋体" w:eastAsia="宋体" w:cs="宋体"/>
          <w:sz w:val="20"/>
          <w:szCs w:val="20"/>
        </w:rPr>
        <w:t xml:space="preserve"> </w:t>
      </w:r>
      <w:r>
        <w:rPr>
          <w:rFonts w:ascii="宋体" w:hAnsi="宋体" w:eastAsia="宋体" w:cs="宋体"/>
          <w:spacing w:val="11"/>
          <w:sz w:val="20"/>
          <w:szCs w:val="20"/>
        </w:rPr>
        <w:t>反应难以发现，所以新药上市后仍需开展监测和药物流行病学研究</w:t>
      </w:r>
      <w:r>
        <w:rPr>
          <w:rFonts w:ascii="宋体" w:hAnsi="宋体" w:eastAsia="宋体" w:cs="宋体"/>
          <w:spacing w:val="10"/>
          <w:sz w:val="20"/>
          <w:szCs w:val="20"/>
        </w:rPr>
        <w:t>，此即</w:t>
      </w:r>
      <w:r>
        <w:rPr>
          <w:rFonts w:ascii="Times New Roman" w:hAnsi="Times New Roman" w:eastAsia="Times New Roman" w:cs="Times New Roman"/>
          <w:sz w:val="20"/>
          <w:szCs w:val="20"/>
        </w:rPr>
        <w:t>IV</w:t>
      </w:r>
      <w:r>
        <w:rPr>
          <w:rFonts w:ascii="宋体" w:hAnsi="宋体" w:eastAsia="宋体" w:cs="宋体"/>
          <w:spacing w:val="10"/>
          <w:sz w:val="20"/>
          <w:szCs w:val="20"/>
        </w:rPr>
        <w:t>期临床试验，又称上市</w:t>
      </w:r>
      <w:r>
        <w:rPr>
          <w:rFonts w:ascii="宋体" w:hAnsi="宋体" w:eastAsia="宋体" w:cs="宋体"/>
          <w:sz w:val="20"/>
          <w:szCs w:val="20"/>
        </w:rPr>
        <w:t xml:space="preserve"> </w:t>
      </w:r>
      <w:r>
        <w:rPr>
          <w:rFonts w:ascii="宋体" w:hAnsi="宋体" w:eastAsia="宋体" w:cs="宋体"/>
          <w:spacing w:val="9"/>
          <w:sz w:val="20"/>
          <w:szCs w:val="20"/>
        </w:rPr>
        <w:t>后临床试验</w:t>
      </w:r>
      <w:r>
        <w:rPr>
          <w:rFonts w:ascii="Times New Roman" w:hAnsi="Times New Roman" w:eastAsia="Times New Roman" w:cs="Times New Roman"/>
          <w:spacing w:val="9"/>
          <w:sz w:val="20"/>
          <w:szCs w:val="20"/>
        </w:rPr>
        <w:t>(</w:t>
      </w:r>
      <w:r>
        <w:rPr>
          <w:rFonts w:ascii="Times New Roman" w:hAnsi="Times New Roman" w:eastAsia="Times New Roman" w:cs="Times New Roman"/>
          <w:sz w:val="20"/>
          <w:szCs w:val="20"/>
        </w:rPr>
        <w:t>post</w:t>
      </w:r>
      <w:r>
        <w:rPr>
          <w:rFonts w:ascii="Times New Roman" w:hAnsi="Times New Roman" w:eastAsia="Times New Roman" w:cs="Times New Roman"/>
          <w:spacing w:val="9"/>
          <w:sz w:val="20"/>
          <w:szCs w:val="20"/>
        </w:rPr>
        <w:t>-</w:t>
      </w:r>
      <w:r>
        <w:rPr>
          <w:rFonts w:ascii="Times New Roman" w:hAnsi="Times New Roman" w:eastAsia="Times New Roman" w:cs="Times New Roman"/>
          <w:sz w:val="20"/>
          <w:szCs w:val="20"/>
        </w:rPr>
        <w:t>marketing</w:t>
      </w:r>
      <w:r>
        <w:rPr>
          <w:rFonts w:ascii="Times New Roman" w:hAnsi="Times New Roman" w:eastAsia="Times New Roman" w:cs="Times New Roman"/>
          <w:spacing w:val="9"/>
          <w:sz w:val="20"/>
          <w:szCs w:val="20"/>
        </w:rPr>
        <w:t xml:space="preserve">   </w:t>
      </w:r>
      <w:r>
        <w:rPr>
          <w:rFonts w:ascii="Times New Roman" w:hAnsi="Times New Roman" w:eastAsia="Times New Roman" w:cs="Times New Roman"/>
          <w:sz w:val="20"/>
          <w:szCs w:val="20"/>
        </w:rPr>
        <w:t>clinical</w:t>
      </w:r>
      <w:r>
        <w:rPr>
          <w:rFonts w:ascii="Times New Roman" w:hAnsi="Times New Roman" w:eastAsia="Times New Roman" w:cs="Times New Roman"/>
          <w:spacing w:val="8"/>
          <w:sz w:val="20"/>
          <w:szCs w:val="20"/>
        </w:rPr>
        <w:t xml:space="preserve">   </w:t>
      </w:r>
      <w:r>
        <w:rPr>
          <w:rFonts w:ascii="Times New Roman" w:hAnsi="Times New Roman" w:eastAsia="Times New Roman" w:cs="Times New Roman"/>
          <w:sz w:val="20"/>
          <w:szCs w:val="20"/>
        </w:rPr>
        <w:t>trial</w:t>
      </w:r>
      <w:r>
        <w:rPr>
          <w:rFonts w:ascii="Times New Roman" w:hAnsi="Times New Roman" w:eastAsia="Times New Roman" w:cs="Times New Roman"/>
          <w:spacing w:val="9"/>
          <w:sz w:val="20"/>
          <w:szCs w:val="20"/>
        </w:rPr>
        <w:t>)</w:t>
      </w:r>
      <w:r>
        <w:rPr>
          <w:rFonts w:ascii="宋体" w:hAnsi="宋体" w:eastAsia="宋体" w:cs="宋体"/>
          <w:spacing w:val="9"/>
          <w:sz w:val="20"/>
          <w:szCs w:val="20"/>
        </w:rPr>
        <w:t>。</w:t>
      </w:r>
    </w:p>
    <w:p w14:paraId="1AD1D860">
      <w:pPr>
        <w:pStyle w:val="2"/>
        <w:spacing w:before="1" w:line="368" w:lineRule="auto"/>
        <w:ind w:right="659" w:firstLine="419"/>
        <w:jc w:val="both"/>
        <w:rPr>
          <w:rFonts w:ascii="宋体" w:hAnsi="宋体" w:eastAsia="宋体" w:cs="宋体"/>
          <w:sz w:val="20"/>
          <w:szCs w:val="20"/>
        </w:rPr>
      </w:pPr>
      <w:r>
        <w:rPr>
          <w:rFonts w:ascii="Times New Roman" w:hAnsi="Times New Roman" w:eastAsia="Times New Roman" w:cs="Times New Roman"/>
          <w:spacing w:val="10"/>
          <w:sz w:val="20"/>
          <w:szCs w:val="20"/>
        </w:rPr>
        <w:t>2.</w:t>
      </w:r>
      <w:r>
        <w:rPr>
          <w:rFonts w:ascii="Times New Roman" w:hAnsi="Times New Roman" w:eastAsia="Times New Roman" w:cs="Times New Roman"/>
          <w:spacing w:val="27"/>
          <w:sz w:val="20"/>
          <w:szCs w:val="20"/>
        </w:rPr>
        <w:t xml:space="preserve">  </w:t>
      </w:r>
      <w:r>
        <w:rPr>
          <w:spacing w:val="10"/>
          <w:sz w:val="20"/>
          <w:szCs w:val="20"/>
        </w:rPr>
        <w:t>现场试验</w:t>
      </w:r>
      <w:r>
        <w:rPr>
          <w:rFonts w:ascii="Times New Roman" w:hAnsi="Times New Roman" w:eastAsia="Times New Roman" w:cs="Times New Roman"/>
          <w:spacing w:val="10"/>
          <w:sz w:val="20"/>
          <w:szCs w:val="20"/>
        </w:rPr>
        <w:t>(</w:t>
      </w:r>
      <w:r>
        <w:rPr>
          <w:rFonts w:ascii="Times New Roman" w:hAnsi="Times New Roman" w:eastAsia="Times New Roman" w:cs="Times New Roman"/>
          <w:sz w:val="20"/>
          <w:szCs w:val="20"/>
        </w:rPr>
        <w:t>field</w:t>
      </w:r>
      <w:r>
        <w:rPr>
          <w:rFonts w:ascii="Times New Roman" w:hAnsi="Times New Roman" w:eastAsia="Times New Roman" w:cs="Times New Roman"/>
          <w:spacing w:val="10"/>
          <w:sz w:val="20"/>
          <w:szCs w:val="20"/>
        </w:rPr>
        <w:t xml:space="preserve">    </w:t>
      </w:r>
      <w:r>
        <w:rPr>
          <w:rFonts w:ascii="Times New Roman" w:hAnsi="Times New Roman" w:eastAsia="Times New Roman" w:cs="Times New Roman"/>
          <w:sz w:val="20"/>
          <w:szCs w:val="20"/>
        </w:rPr>
        <w:t>trial</w:t>
      </w:r>
      <w:r>
        <w:rPr>
          <w:rFonts w:ascii="Times New Roman" w:hAnsi="Times New Roman" w:eastAsia="Times New Roman" w:cs="Times New Roman"/>
          <w:spacing w:val="10"/>
          <w:sz w:val="20"/>
          <w:szCs w:val="20"/>
        </w:rPr>
        <w:t xml:space="preserve">)   </w:t>
      </w:r>
      <w:r>
        <w:rPr>
          <w:rFonts w:ascii="宋体" w:hAnsi="宋体" w:eastAsia="宋体" w:cs="宋体"/>
          <w:spacing w:val="10"/>
          <w:sz w:val="20"/>
          <w:szCs w:val="20"/>
        </w:rPr>
        <w:t>也叫人群预防试验</w:t>
      </w:r>
      <w:r>
        <w:rPr>
          <w:rFonts w:ascii="Times New Roman" w:hAnsi="Times New Roman" w:eastAsia="Times New Roman" w:cs="Times New Roman"/>
          <w:spacing w:val="10"/>
          <w:sz w:val="20"/>
          <w:szCs w:val="20"/>
        </w:rPr>
        <w:t>(</w:t>
      </w:r>
      <w:r>
        <w:rPr>
          <w:rFonts w:ascii="Times New Roman" w:hAnsi="Times New Roman" w:eastAsia="Times New Roman" w:cs="Times New Roman"/>
          <w:sz w:val="20"/>
          <w:szCs w:val="20"/>
        </w:rPr>
        <w:t>intervention</w:t>
      </w:r>
      <w:r>
        <w:rPr>
          <w:rFonts w:ascii="Times New Roman" w:hAnsi="Times New Roman" w:eastAsia="Times New Roman" w:cs="Times New Roman"/>
          <w:spacing w:val="10"/>
          <w:sz w:val="20"/>
          <w:szCs w:val="20"/>
        </w:rPr>
        <w:t xml:space="preserve">     </w:t>
      </w:r>
      <w:r>
        <w:rPr>
          <w:rFonts w:ascii="Times New Roman" w:hAnsi="Times New Roman" w:eastAsia="Times New Roman" w:cs="Times New Roman"/>
          <w:sz w:val="20"/>
          <w:szCs w:val="20"/>
        </w:rPr>
        <w:t>trial</w:t>
      </w:r>
      <w:r>
        <w:rPr>
          <w:rFonts w:ascii="Times New Roman" w:hAnsi="Times New Roman" w:eastAsia="Times New Roman" w:cs="Times New Roman"/>
          <w:spacing w:val="10"/>
          <w:sz w:val="20"/>
          <w:szCs w:val="20"/>
        </w:rPr>
        <w:t>),</w:t>
      </w:r>
      <w:r>
        <w:rPr>
          <w:rFonts w:ascii="宋体" w:hAnsi="宋体" w:eastAsia="宋体" w:cs="宋体"/>
          <w:spacing w:val="10"/>
          <w:sz w:val="20"/>
          <w:szCs w:val="20"/>
        </w:rPr>
        <w:t>是以尚未患病的人作为研究对</w:t>
      </w:r>
      <w:r>
        <w:rPr>
          <w:rFonts w:ascii="宋体" w:hAnsi="宋体" w:eastAsia="宋体" w:cs="宋体"/>
          <w:sz w:val="20"/>
          <w:szCs w:val="20"/>
        </w:rPr>
        <w:t xml:space="preserve"> </w:t>
      </w:r>
      <w:r>
        <w:rPr>
          <w:rFonts w:ascii="宋体" w:hAnsi="宋体" w:eastAsia="宋体" w:cs="宋体"/>
          <w:spacing w:val="11"/>
          <w:sz w:val="20"/>
          <w:szCs w:val="20"/>
        </w:rPr>
        <w:t>象，接受处理或某种预防措施的基本单位与临床试验一样是</w:t>
      </w:r>
      <w:r>
        <w:rPr>
          <w:rFonts w:ascii="宋体" w:hAnsi="宋体" w:eastAsia="宋体" w:cs="宋体"/>
          <w:spacing w:val="10"/>
          <w:sz w:val="20"/>
          <w:szCs w:val="20"/>
        </w:rPr>
        <w:t>个人，而不是亚人群。现场试验的原理</w:t>
      </w:r>
      <w:r>
        <w:rPr>
          <w:rFonts w:ascii="宋体" w:hAnsi="宋体" w:eastAsia="宋体" w:cs="宋体"/>
          <w:sz w:val="20"/>
          <w:szCs w:val="20"/>
        </w:rPr>
        <w:t xml:space="preserve"> </w:t>
      </w:r>
      <w:r>
        <w:rPr>
          <w:rFonts w:ascii="宋体" w:hAnsi="宋体" w:eastAsia="宋体" w:cs="宋体"/>
          <w:spacing w:val="13"/>
          <w:sz w:val="20"/>
          <w:szCs w:val="20"/>
        </w:rPr>
        <w:t>模式见图6-3。</w:t>
      </w:r>
    </w:p>
    <w:p w14:paraId="571857A2">
      <w:pPr>
        <w:spacing w:line="46" w:lineRule="exact"/>
      </w:pPr>
    </w:p>
    <w:p w14:paraId="6B75CDE8">
      <w:pPr>
        <w:spacing w:line="46" w:lineRule="exact"/>
        <w:sectPr>
          <w:headerReference r:id="rId118" w:type="default"/>
          <w:footerReference r:id="rId119" w:type="default"/>
          <w:pgSz w:w="11900" w:h="16820"/>
          <w:pgMar w:top="400" w:right="802" w:bottom="889" w:left="1380" w:header="0" w:footer="709" w:gutter="0"/>
          <w:cols w:equalWidth="0" w:num="1">
            <w:col w:w="9718"/>
          </w:cols>
        </w:sectPr>
      </w:pPr>
    </w:p>
    <w:p w14:paraId="748383E9">
      <w:pPr>
        <w:spacing w:line="292" w:lineRule="auto"/>
        <w:rPr>
          <w:rFonts w:ascii="Arial"/>
          <w:sz w:val="21"/>
        </w:rPr>
      </w:pPr>
    </w:p>
    <w:p w14:paraId="6C9D5E67">
      <w:pPr>
        <w:spacing w:line="292" w:lineRule="auto"/>
        <w:rPr>
          <w:rFonts w:ascii="Arial"/>
          <w:sz w:val="21"/>
        </w:rPr>
      </w:pPr>
    </w:p>
    <w:p w14:paraId="11853D83">
      <w:pPr>
        <w:spacing w:line="293" w:lineRule="auto"/>
        <w:rPr>
          <w:rFonts w:ascii="Arial"/>
          <w:sz w:val="21"/>
        </w:rPr>
      </w:pPr>
    </w:p>
    <w:p w14:paraId="5E08A4F0">
      <w:pPr>
        <w:spacing w:before="66" w:line="219" w:lineRule="auto"/>
        <w:ind w:left="2269"/>
        <w:rPr>
          <w:rFonts w:ascii="宋体" w:hAnsi="宋体" w:eastAsia="宋体" w:cs="宋体"/>
          <w:sz w:val="20"/>
          <w:szCs w:val="20"/>
        </w:rPr>
      </w:pPr>
      <w:r>
        <w:rPr>
          <w:rFonts w:ascii="宋体" w:hAnsi="宋体" w:eastAsia="宋体" w:cs="宋体"/>
          <w:spacing w:val="-12"/>
          <w:sz w:val="20"/>
          <w:szCs w:val="20"/>
        </w:rPr>
        <w:t>研究对象</w:t>
      </w:r>
    </w:p>
    <w:p w14:paraId="1B602AE2">
      <w:pPr>
        <w:spacing w:before="34" w:line="220" w:lineRule="auto"/>
        <w:jc w:val="right"/>
        <w:rPr>
          <w:rFonts w:ascii="宋体" w:hAnsi="宋体" w:eastAsia="宋体" w:cs="宋体"/>
          <w:sz w:val="20"/>
          <w:szCs w:val="20"/>
        </w:rPr>
      </w:pPr>
      <w:r>
        <w:rPr>
          <w:rFonts w:ascii="宋体" w:hAnsi="宋体" w:eastAsia="宋体" w:cs="宋体"/>
          <w:spacing w:val="8"/>
          <w:sz w:val="20"/>
          <w:szCs w:val="20"/>
        </w:rPr>
        <w:t>(未患病者)</w:t>
      </w:r>
    </w:p>
    <w:p w14:paraId="36844031">
      <w:pPr>
        <w:spacing w:line="14" w:lineRule="auto"/>
        <w:rPr>
          <w:rFonts w:ascii="Arial"/>
          <w:sz w:val="2"/>
        </w:rPr>
      </w:pPr>
      <w:r>
        <w:rPr>
          <w:rFonts w:ascii="Arial" w:hAnsi="Arial" w:eastAsia="Arial" w:cs="Arial"/>
          <w:sz w:val="2"/>
          <w:szCs w:val="2"/>
        </w:rPr>
        <w:br w:type="column"/>
      </w:r>
    </w:p>
    <w:p w14:paraId="0A87F1A9">
      <w:pPr>
        <w:spacing w:before="200" w:line="205" w:lineRule="auto"/>
        <w:ind w:left="1459" w:right="906" w:firstLine="100"/>
        <w:rPr>
          <w:rFonts w:ascii="宋体" w:hAnsi="宋体" w:eastAsia="宋体" w:cs="宋体"/>
          <w:sz w:val="20"/>
          <w:szCs w:val="20"/>
        </w:rPr>
      </w:pPr>
      <w:r>
        <w:rPr>
          <w:rFonts w:ascii="宋体" w:hAnsi="宋体" w:eastAsia="宋体" w:cs="宋体"/>
          <w:spacing w:val="-13"/>
          <w:w w:val="95"/>
          <w:sz w:val="20"/>
          <w:szCs w:val="20"/>
        </w:rPr>
        <w:t>试验组</w:t>
      </w:r>
      <w:r>
        <w:rPr>
          <w:rFonts w:ascii="宋体" w:hAnsi="宋体" w:eastAsia="宋体" w:cs="宋体"/>
          <w:spacing w:val="2"/>
          <w:sz w:val="20"/>
          <w:szCs w:val="20"/>
        </w:rPr>
        <w:t xml:space="preserve">  </w:t>
      </w:r>
      <w:r>
        <w:rPr>
          <w:rFonts w:ascii="宋体" w:hAnsi="宋体" w:eastAsia="宋体" w:cs="宋体"/>
          <w:spacing w:val="-2"/>
          <w:sz w:val="20"/>
          <w:szCs w:val="20"/>
        </w:rPr>
        <w:t>(干预组)</w:t>
      </w:r>
    </w:p>
    <w:p w14:paraId="62671EF0">
      <w:pPr>
        <w:spacing w:before="222" w:line="219" w:lineRule="auto"/>
        <w:rPr>
          <w:rFonts w:ascii="宋体" w:hAnsi="宋体" w:eastAsia="宋体" w:cs="宋体"/>
          <w:sz w:val="20"/>
          <w:szCs w:val="20"/>
        </w:rPr>
      </w:pPr>
      <w:r>
        <w:rPr>
          <w:rFonts w:ascii="宋体" w:hAnsi="宋体" w:eastAsia="宋体" w:cs="宋体"/>
          <w:spacing w:val="-14"/>
          <w:sz w:val="20"/>
          <w:szCs w:val="20"/>
        </w:rPr>
        <w:t>随机分组</w:t>
      </w:r>
    </w:p>
    <w:p w14:paraId="5F023FBC">
      <w:pPr>
        <w:spacing w:line="263" w:lineRule="auto"/>
        <w:rPr>
          <w:rFonts w:ascii="Arial"/>
          <w:sz w:val="21"/>
        </w:rPr>
      </w:pPr>
    </w:p>
    <w:p w14:paraId="71DE9405">
      <w:pPr>
        <w:spacing w:line="263" w:lineRule="auto"/>
        <w:rPr>
          <w:rFonts w:ascii="Arial"/>
          <w:sz w:val="21"/>
        </w:rPr>
      </w:pPr>
    </w:p>
    <w:p w14:paraId="17D493B5">
      <w:pPr>
        <w:spacing w:before="66" w:line="221" w:lineRule="auto"/>
        <w:ind w:left="1569"/>
        <w:rPr>
          <w:rFonts w:ascii="宋体" w:hAnsi="宋体" w:eastAsia="宋体" w:cs="宋体"/>
          <w:sz w:val="20"/>
          <w:szCs w:val="20"/>
        </w:rPr>
      </w:pPr>
      <w:r>
        <w:rPr>
          <w:rFonts w:ascii="宋体" w:hAnsi="宋体" w:eastAsia="宋体" w:cs="宋体"/>
          <w:spacing w:val="-10"/>
          <w:sz w:val="20"/>
          <w:szCs w:val="20"/>
        </w:rPr>
        <w:t>对照组</w:t>
      </w:r>
    </w:p>
    <w:p w14:paraId="2C895690">
      <w:pPr>
        <w:spacing w:line="14" w:lineRule="auto"/>
        <w:rPr>
          <w:rFonts w:ascii="Arial"/>
          <w:sz w:val="2"/>
        </w:rPr>
      </w:pPr>
      <w:r>
        <w:rPr>
          <w:rFonts w:ascii="Arial" w:hAnsi="Arial" w:eastAsia="Arial" w:cs="Arial"/>
          <w:sz w:val="2"/>
          <w:szCs w:val="2"/>
        </w:rPr>
        <w:br w:type="column"/>
      </w:r>
    </w:p>
    <w:p w14:paraId="58C6D850">
      <w:pPr>
        <w:spacing w:before="39" w:line="399" w:lineRule="auto"/>
        <w:ind w:right="2670"/>
        <w:rPr>
          <w:rFonts w:ascii="宋体" w:hAnsi="宋体" w:eastAsia="宋体" w:cs="宋体"/>
          <w:sz w:val="20"/>
          <w:szCs w:val="20"/>
        </w:rPr>
      </w:pPr>
      <w:r>
        <w:rPr>
          <w:rFonts w:ascii="宋体" w:hAnsi="宋体" w:eastAsia="宋体" w:cs="宋体"/>
          <w:spacing w:val="-15"/>
          <w:w w:val="97"/>
          <w:sz w:val="20"/>
          <w:szCs w:val="20"/>
        </w:rPr>
        <w:t>有效应</w:t>
      </w:r>
      <w:r>
        <w:rPr>
          <w:rFonts w:ascii="宋体" w:hAnsi="宋体" w:eastAsia="宋体" w:cs="宋体"/>
          <w:sz w:val="20"/>
          <w:szCs w:val="20"/>
        </w:rPr>
        <w:t xml:space="preserve"> </w:t>
      </w:r>
      <w:r>
        <w:rPr>
          <w:rFonts w:ascii="宋体" w:hAnsi="宋体" w:eastAsia="宋体" w:cs="宋体"/>
          <w:spacing w:val="-15"/>
          <w:w w:val="97"/>
          <w:sz w:val="20"/>
          <w:szCs w:val="20"/>
        </w:rPr>
        <w:t>无效应</w:t>
      </w:r>
    </w:p>
    <w:p w14:paraId="066A5B26">
      <w:pPr>
        <w:spacing w:line="248" w:lineRule="auto"/>
        <w:rPr>
          <w:rFonts w:ascii="Arial"/>
          <w:sz w:val="21"/>
        </w:rPr>
      </w:pPr>
    </w:p>
    <w:p w14:paraId="6000F0E0">
      <w:pPr>
        <w:spacing w:line="248" w:lineRule="auto"/>
        <w:rPr>
          <w:rFonts w:ascii="Arial"/>
          <w:sz w:val="21"/>
        </w:rPr>
      </w:pPr>
    </w:p>
    <w:p w14:paraId="5C7C93F9">
      <w:pPr>
        <w:spacing w:before="66" w:line="382" w:lineRule="auto"/>
        <w:ind w:right="2670"/>
        <w:rPr>
          <w:rFonts w:ascii="宋体" w:hAnsi="宋体" w:eastAsia="宋体" w:cs="宋体"/>
          <w:sz w:val="20"/>
          <w:szCs w:val="20"/>
        </w:rPr>
      </w:pPr>
      <w:r>
        <w:rPr>
          <w:rFonts w:ascii="宋体" w:hAnsi="宋体" w:eastAsia="宋体" w:cs="宋体"/>
          <w:spacing w:val="-15"/>
          <w:w w:val="97"/>
          <w:sz w:val="20"/>
          <w:szCs w:val="20"/>
        </w:rPr>
        <w:t>有效应</w:t>
      </w:r>
      <w:r>
        <w:rPr>
          <w:rFonts w:ascii="宋体" w:hAnsi="宋体" w:eastAsia="宋体" w:cs="宋体"/>
          <w:sz w:val="20"/>
          <w:szCs w:val="20"/>
        </w:rPr>
        <w:t xml:space="preserve"> </w:t>
      </w:r>
      <w:r>
        <w:rPr>
          <w:rFonts w:ascii="宋体" w:hAnsi="宋体" w:eastAsia="宋体" w:cs="宋体"/>
          <w:spacing w:val="-15"/>
          <w:w w:val="97"/>
          <w:sz w:val="20"/>
          <w:szCs w:val="20"/>
        </w:rPr>
        <w:t>无效应</w:t>
      </w:r>
    </w:p>
    <w:p w14:paraId="21B8D2B2">
      <w:pPr>
        <w:spacing w:line="382" w:lineRule="auto"/>
        <w:rPr>
          <w:rFonts w:ascii="宋体" w:hAnsi="宋体" w:eastAsia="宋体" w:cs="宋体"/>
          <w:sz w:val="20"/>
          <w:szCs w:val="20"/>
        </w:rPr>
        <w:sectPr>
          <w:type w:val="continuous"/>
          <w:pgSz w:w="11900" w:h="16820"/>
          <w:pgMar w:top="400" w:right="802" w:bottom="889" w:left="1380" w:header="0" w:footer="709" w:gutter="0"/>
          <w:cols w:equalWidth="0" w:num="3">
            <w:col w:w="3194" w:space="56"/>
            <w:col w:w="3161" w:space="100"/>
            <w:col w:w="3208"/>
          </w:cols>
        </w:sectPr>
      </w:pPr>
    </w:p>
    <w:p w14:paraId="2621E86B">
      <w:pPr>
        <w:pStyle w:val="2"/>
        <w:spacing w:before="1" w:line="220" w:lineRule="auto"/>
        <w:ind w:left="2889"/>
        <w:rPr>
          <w:sz w:val="20"/>
          <w:szCs w:val="20"/>
        </w:rPr>
      </w:pPr>
      <w:r>
        <w:rPr>
          <w:spacing w:val="-6"/>
          <w:sz w:val="20"/>
          <w:szCs w:val="20"/>
        </w:rPr>
        <w:t>图6-3</w:t>
      </w:r>
      <w:r>
        <w:rPr>
          <w:spacing w:val="74"/>
          <w:sz w:val="20"/>
          <w:szCs w:val="20"/>
        </w:rPr>
        <w:t xml:space="preserve"> </w:t>
      </w:r>
      <w:r>
        <w:rPr>
          <w:spacing w:val="-6"/>
          <w:sz w:val="20"/>
          <w:szCs w:val="20"/>
        </w:rPr>
        <w:t>现场试验研究的原理模式示意图</w:t>
      </w:r>
    </w:p>
    <w:p w14:paraId="3708B30D">
      <w:pPr>
        <w:spacing w:line="295" w:lineRule="auto"/>
        <w:rPr>
          <w:rFonts w:ascii="Arial"/>
          <w:sz w:val="21"/>
        </w:rPr>
      </w:pPr>
    </w:p>
    <w:p w14:paraId="07AFFADD">
      <w:pPr>
        <w:spacing w:before="65" w:line="219" w:lineRule="auto"/>
        <w:ind w:left="419"/>
        <w:rPr>
          <w:rFonts w:ascii="宋体" w:hAnsi="宋体" w:eastAsia="宋体" w:cs="宋体"/>
          <w:sz w:val="20"/>
          <w:szCs w:val="20"/>
        </w:rPr>
      </w:pPr>
      <w:r>
        <w:rPr>
          <w:rFonts w:ascii="宋体" w:hAnsi="宋体" w:eastAsia="宋体" w:cs="宋体"/>
          <w:spacing w:val="13"/>
          <w:sz w:val="20"/>
          <w:szCs w:val="20"/>
        </w:rPr>
        <w:t>现场试验通常具有如下特点：</w:t>
      </w:r>
    </w:p>
    <w:p w14:paraId="3E7F8E2C">
      <w:pPr>
        <w:spacing w:before="142" w:line="219" w:lineRule="auto"/>
        <w:ind w:left="419"/>
        <w:rPr>
          <w:rFonts w:ascii="宋体" w:hAnsi="宋体" w:eastAsia="宋体" w:cs="宋体"/>
          <w:sz w:val="20"/>
          <w:szCs w:val="20"/>
        </w:rPr>
      </w:pPr>
      <w:r>
        <w:rPr>
          <w:rFonts w:ascii="宋体" w:hAnsi="宋体" w:eastAsia="宋体" w:cs="宋体"/>
          <w:spacing w:val="19"/>
          <w:sz w:val="20"/>
          <w:szCs w:val="20"/>
        </w:rPr>
        <w:t>(1)研究对象通常为非病人。</w:t>
      </w:r>
    </w:p>
    <w:p w14:paraId="79A31002">
      <w:pPr>
        <w:spacing w:before="133" w:line="219" w:lineRule="auto"/>
        <w:ind w:left="419"/>
        <w:rPr>
          <w:rFonts w:ascii="宋体" w:hAnsi="宋体" w:eastAsia="宋体" w:cs="宋体"/>
          <w:sz w:val="20"/>
          <w:szCs w:val="20"/>
        </w:rPr>
      </w:pPr>
      <w:r>
        <w:rPr>
          <w:rFonts w:ascii="宋体" w:hAnsi="宋体" w:eastAsia="宋体" w:cs="宋体"/>
          <w:spacing w:val="21"/>
          <w:sz w:val="20"/>
          <w:szCs w:val="20"/>
        </w:rPr>
        <w:t>(2)研究地点为现场。</w:t>
      </w:r>
    </w:p>
    <w:p w14:paraId="21B841E1">
      <w:pPr>
        <w:spacing w:before="124" w:line="220" w:lineRule="auto"/>
        <w:ind w:left="419"/>
        <w:rPr>
          <w:rFonts w:ascii="宋体" w:hAnsi="宋体" w:eastAsia="宋体" w:cs="宋体"/>
          <w:sz w:val="20"/>
          <w:szCs w:val="20"/>
        </w:rPr>
      </w:pPr>
      <w:r>
        <w:rPr>
          <w:rFonts w:ascii="宋体" w:hAnsi="宋体" w:eastAsia="宋体" w:cs="宋体"/>
          <w:spacing w:val="21"/>
          <w:sz w:val="20"/>
          <w:szCs w:val="20"/>
        </w:rPr>
        <w:t>(3)多为预防性试验。</w:t>
      </w:r>
    </w:p>
    <w:p w14:paraId="6A3C8EAE">
      <w:pPr>
        <w:spacing w:before="150" w:line="219" w:lineRule="auto"/>
        <w:ind w:left="419"/>
        <w:rPr>
          <w:rFonts w:ascii="宋体" w:hAnsi="宋体" w:eastAsia="宋体" w:cs="宋体"/>
          <w:sz w:val="20"/>
          <w:szCs w:val="20"/>
        </w:rPr>
      </w:pPr>
      <w:r>
        <w:rPr>
          <w:rFonts w:ascii="宋体" w:hAnsi="宋体" w:eastAsia="宋体" w:cs="宋体"/>
          <w:spacing w:val="20"/>
          <w:sz w:val="20"/>
          <w:szCs w:val="20"/>
        </w:rPr>
        <w:t>(4)通常需要较多的研究对象。</w:t>
      </w:r>
    </w:p>
    <w:p w14:paraId="0913DB2D">
      <w:pPr>
        <w:spacing w:before="123" w:line="219" w:lineRule="auto"/>
        <w:ind w:left="419"/>
        <w:rPr>
          <w:rFonts w:ascii="宋体" w:hAnsi="宋体" w:eastAsia="宋体" w:cs="宋体"/>
          <w:sz w:val="20"/>
          <w:szCs w:val="20"/>
        </w:rPr>
      </w:pPr>
      <w:r>
        <w:rPr>
          <w:rFonts w:ascii="宋体" w:hAnsi="宋体" w:eastAsia="宋体" w:cs="宋体"/>
          <w:spacing w:val="19"/>
          <w:sz w:val="20"/>
          <w:szCs w:val="20"/>
        </w:rPr>
        <w:t>(5)需以个体为单位随机分配措施。</w:t>
      </w:r>
    </w:p>
    <w:p w14:paraId="4A5BE9E6">
      <w:pPr>
        <w:spacing w:before="142" w:line="219" w:lineRule="auto"/>
        <w:ind w:left="419"/>
        <w:rPr>
          <w:rFonts w:ascii="宋体" w:hAnsi="宋体" w:eastAsia="宋体" w:cs="宋体"/>
          <w:sz w:val="20"/>
          <w:szCs w:val="20"/>
        </w:rPr>
      </w:pPr>
      <w:r>
        <w:rPr>
          <w:rFonts w:ascii="宋体" w:hAnsi="宋体" w:eastAsia="宋体" w:cs="宋体"/>
          <w:spacing w:val="13"/>
          <w:sz w:val="20"/>
          <w:szCs w:val="20"/>
        </w:rPr>
        <w:t>(6)对分配的措施不依从，应当测量其程度</w:t>
      </w:r>
      <w:r>
        <w:rPr>
          <w:rFonts w:ascii="宋体" w:hAnsi="宋体" w:eastAsia="宋体" w:cs="宋体"/>
          <w:spacing w:val="12"/>
          <w:sz w:val="20"/>
          <w:szCs w:val="20"/>
        </w:rPr>
        <w:t>与原因。</w:t>
      </w:r>
    </w:p>
    <w:p w14:paraId="43A217C0">
      <w:pPr>
        <w:spacing w:before="136" w:line="221" w:lineRule="auto"/>
        <w:ind w:left="419"/>
        <w:rPr>
          <w:rFonts w:ascii="宋体" w:hAnsi="宋体" w:eastAsia="宋体" w:cs="宋体"/>
          <w:sz w:val="20"/>
          <w:szCs w:val="20"/>
        </w:rPr>
      </w:pPr>
      <w:r>
        <w:rPr>
          <w:rFonts w:ascii="宋体" w:hAnsi="宋体" w:eastAsia="宋体" w:cs="宋体"/>
          <w:spacing w:val="21"/>
          <w:sz w:val="20"/>
          <w:szCs w:val="20"/>
        </w:rPr>
        <w:t>(7)尽可能应用盲法。</w:t>
      </w:r>
    </w:p>
    <w:p w14:paraId="0DAEC7EF">
      <w:pPr>
        <w:spacing w:before="151" w:line="330" w:lineRule="auto"/>
        <w:ind w:right="663" w:firstLine="419"/>
        <w:jc w:val="both"/>
        <w:rPr>
          <w:rFonts w:ascii="宋体" w:hAnsi="宋体" w:eastAsia="宋体" w:cs="宋体"/>
          <w:sz w:val="20"/>
          <w:szCs w:val="20"/>
        </w:rPr>
      </w:pPr>
      <w:r>
        <w:rPr>
          <w:rFonts w:ascii="宋体" w:hAnsi="宋体" w:eastAsia="宋体" w:cs="宋体"/>
          <w:spacing w:val="11"/>
          <w:sz w:val="20"/>
          <w:szCs w:val="20"/>
        </w:rPr>
        <w:t>从上述的特点可见，现场试验与临床试验相比，需要</w:t>
      </w:r>
      <w:r>
        <w:rPr>
          <w:rFonts w:ascii="宋体" w:hAnsi="宋体" w:eastAsia="宋体" w:cs="宋体"/>
          <w:spacing w:val="10"/>
          <w:sz w:val="20"/>
          <w:szCs w:val="20"/>
        </w:rPr>
        <w:t>较多的研究对象和较高的花费，因此多用</w:t>
      </w:r>
      <w:r>
        <w:rPr>
          <w:rFonts w:ascii="宋体" w:hAnsi="宋体" w:eastAsia="宋体" w:cs="宋体"/>
          <w:sz w:val="20"/>
          <w:szCs w:val="20"/>
        </w:rPr>
        <w:t xml:space="preserve"> </w:t>
      </w:r>
      <w:r>
        <w:rPr>
          <w:rFonts w:ascii="宋体" w:hAnsi="宋体" w:eastAsia="宋体" w:cs="宋体"/>
          <w:spacing w:val="15"/>
          <w:sz w:val="20"/>
          <w:szCs w:val="20"/>
        </w:rPr>
        <w:t>于极常见或极严重的疾病的预防研究，如大剂量维生素</w:t>
      </w:r>
      <w:r>
        <w:rPr>
          <w:rFonts w:ascii="Times New Roman" w:hAnsi="Times New Roman" w:eastAsia="Times New Roman" w:cs="Times New Roman"/>
          <w:spacing w:val="15"/>
          <w:sz w:val="20"/>
          <w:szCs w:val="20"/>
        </w:rPr>
        <w:t xml:space="preserve">C </w:t>
      </w:r>
      <w:r>
        <w:rPr>
          <w:rFonts w:ascii="宋体" w:hAnsi="宋体" w:eastAsia="宋体" w:cs="宋体"/>
          <w:spacing w:val="15"/>
          <w:sz w:val="20"/>
          <w:szCs w:val="20"/>
        </w:rPr>
        <w:t>预防普通感冒的效果评价，预防脊髓灰</w:t>
      </w:r>
      <w:r>
        <w:rPr>
          <w:rFonts w:ascii="宋体" w:hAnsi="宋体" w:eastAsia="宋体" w:cs="宋体"/>
          <w:spacing w:val="9"/>
          <w:sz w:val="20"/>
          <w:szCs w:val="20"/>
        </w:rPr>
        <w:t xml:space="preserve"> </w:t>
      </w:r>
      <w:r>
        <w:rPr>
          <w:rFonts w:ascii="宋体" w:hAnsi="宋体" w:eastAsia="宋体" w:cs="宋体"/>
          <w:spacing w:val="11"/>
          <w:sz w:val="20"/>
          <w:szCs w:val="20"/>
        </w:rPr>
        <w:t>质炎的</w:t>
      </w:r>
      <w:r>
        <w:rPr>
          <w:rFonts w:ascii="Times New Roman" w:hAnsi="Times New Roman" w:eastAsia="Times New Roman" w:cs="Times New Roman"/>
          <w:sz w:val="20"/>
          <w:szCs w:val="20"/>
        </w:rPr>
        <w:t>Salk</w:t>
      </w:r>
      <w:r>
        <w:rPr>
          <w:rFonts w:ascii="Times New Roman" w:hAnsi="Times New Roman" w:eastAsia="Times New Roman" w:cs="Times New Roman"/>
          <w:spacing w:val="11"/>
          <w:sz w:val="20"/>
          <w:szCs w:val="20"/>
        </w:rPr>
        <w:t xml:space="preserve">   </w:t>
      </w:r>
      <w:r>
        <w:rPr>
          <w:rFonts w:ascii="宋体" w:hAnsi="宋体" w:eastAsia="宋体" w:cs="宋体"/>
          <w:spacing w:val="11"/>
          <w:sz w:val="20"/>
          <w:szCs w:val="20"/>
        </w:rPr>
        <w:t>疫苗试验。为了提高现场试验的效率，通常在高危人</w:t>
      </w:r>
      <w:r>
        <w:rPr>
          <w:rFonts w:ascii="宋体" w:hAnsi="宋体" w:eastAsia="宋体" w:cs="宋体"/>
          <w:spacing w:val="10"/>
          <w:sz w:val="20"/>
          <w:szCs w:val="20"/>
        </w:rPr>
        <w:t>群中进行研究，如在母亲</w:t>
      </w:r>
      <w:r>
        <w:rPr>
          <w:rFonts w:ascii="宋体" w:hAnsi="宋体" w:eastAsia="宋体" w:cs="宋体"/>
          <w:spacing w:val="-60"/>
          <w:sz w:val="20"/>
          <w:szCs w:val="20"/>
        </w:rPr>
        <w:t xml:space="preserve"> </w:t>
      </w:r>
      <w:r>
        <w:rPr>
          <w:rFonts w:ascii="Times New Roman" w:hAnsi="Times New Roman" w:eastAsia="Times New Roman" w:cs="Times New Roman"/>
          <w:sz w:val="20"/>
          <w:szCs w:val="20"/>
        </w:rPr>
        <w:t xml:space="preserve">HBsAg  </w:t>
      </w:r>
      <w:r>
        <w:rPr>
          <w:rFonts w:ascii="宋体" w:hAnsi="宋体" w:eastAsia="宋体" w:cs="宋体"/>
          <w:spacing w:val="23"/>
          <w:sz w:val="20"/>
          <w:szCs w:val="20"/>
        </w:rPr>
        <w:t>阳性的婴儿中进行乙型肝炎疫苗试验，此类婴</w:t>
      </w:r>
      <w:r>
        <w:rPr>
          <w:rFonts w:ascii="宋体" w:hAnsi="宋体" w:eastAsia="宋体" w:cs="宋体"/>
          <w:spacing w:val="22"/>
          <w:sz w:val="20"/>
          <w:szCs w:val="20"/>
        </w:rPr>
        <w:t>儿感染风险显著高于母亲</w:t>
      </w:r>
      <w:r>
        <w:rPr>
          <w:rFonts w:ascii="宋体" w:hAnsi="宋体" w:eastAsia="宋体" w:cs="宋体"/>
          <w:spacing w:val="-49"/>
          <w:sz w:val="20"/>
          <w:szCs w:val="20"/>
        </w:rPr>
        <w:t xml:space="preserve"> </w:t>
      </w:r>
      <w:r>
        <w:rPr>
          <w:rFonts w:ascii="宋体" w:hAnsi="宋体" w:eastAsia="宋体" w:cs="宋体"/>
          <w:sz w:val="20"/>
          <w:szCs w:val="20"/>
        </w:rPr>
        <w:t>HBsAg</w:t>
      </w:r>
      <w:r>
        <w:rPr>
          <w:rFonts w:ascii="宋体" w:hAnsi="宋体" w:eastAsia="宋体" w:cs="宋体"/>
          <w:spacing w:val="22"/>
          <w:sz w:val="20"/>
          <w:szCs w:val="20"/>
        </w:rPr>
        <w:t xml:space="preserve">  阴性者。我国</w:t>
      </w:r>
      <w:r>
        <w:rPr>
          <w:rFonts w:ascii="宋体" w:hAnsi="宋体" w:eastAsia="宋体" w:cs="宋体"/>
          <w:sz w:val="20"/>
          <w:szCs w:val="20"/>
        </w:rPr>
        <w:t xml:space="preserve"> </w:t>
      </w:r>
      <w:r>
        <w:rPr>
          <w:rFonts w:ascii="宋体" w:hAnsi="宋体" w:eastAsia="宋体" w:cs="宋体"/>
          <w:spacing w:val="15"/>
          <w:sz w:val="20"/>
          <w:szCs w:val="20"/>
        </w:rPr>
        <w:t>近年来开展的甲型H1N1</w:t>
      </w:r>
      <w:r>
        <w:rPr>
          <w:rFonts w:ascii="宋体" w:hAnsi="宋体" w:eastAsia="宋体" w:cs="宋体"/>
          <w:spacing w:val="1"/>
          <w:sz w:val="20"/>
          <w:szCs w:val="20"/>
        </w:rPr>
        <w:t xml:space="preserve">  </w:t>
      </w:r>
      <w:r>
        <w:rPr>
          <w:rFonts w:ascii="宋体" w:hAnsi="宋体" w:eastAsia="宋体" w:cs="宋体"/>
          <w:spacing w:val="15"/>
          <w:sz w:val="20"/>
          <w:szCs w:val="20"/>
        </w:rPr>
        <w:t>流感疫苗、肠道病毒71型(</w:t>
      </w:r>
      <w:r>
        <w:rPr>
          <w:rFonts w:ascii="宋体" w:hAnsi="宋体" w:eastAsia="宋体" w:cs="宋体"/>
          <w:sz w:val="20"/>
          <w:szCs w:val="20"/>
        </w:rPr>
        <w:t>EV</w:t>
      </w:r>
      <w:r>
        <w:rPr>
          <w:rFonts w:ascii="宋体" w:hAnsi="宋体" w:eastAsia="宋体" w:cs="宋体"/>
          <w:spacing w:val="15"/>
          <w:sz w:val="20"/>
          <w:szCs w:val="20"/>
        </w:rPr>
        <w:t>71)</w:t>
      </w:r>
      <w:r>
        <w:rPr>
          <w:rFonts w:ascii="宋体" w:hAnsi="宋体" w:eastAsia="宋体" w:cs="宋体"/>
          <w:spacing w:val="84"/>
          <w:sz w:val="20"/>
          <w:szCs w:val="20"/>
        </w:rPr>
        <w:t xml:space="preserve"> </w:t>
      </w:r>
      <w:r>
        <w:rPr>
          <w:rFonts w:ascii="宋体" w:hAnsi="宋体" w:eastAsia="宋体" w:cs="宋体"/>
          <w:spacing w:val="15"/>
          <w:sz w:val="20"/>
          <w:szCs w:val="20"/>
        </w:rPr>
        <w:t>疫苗Ⅱ期和Ⅲ期等</w:t>
      </w:r>
      <w:r>
        <w:rPr>
          <w:rFonts w:ascii="宋体" w:hAnsi="宋体" w:eastAsia="宋体" w:cs="宋体"/>
          <w:spacing w:val="14"/>
          <w:sz w:val="20"/>
          <w:szCs w:val="20"/>
        </w:rPr>
        <w:t>现场试验均是优秀</w:t>
      </w:r>
      <w:r>
        <w:rPr>
          <w:rFonts w:ascii="宋体" w:hAnsi="宋体" w:eastAsia="宋体" w:cs="宋体"/>
          <w:sz w:val="20"/>
          <w:szCs w:val="20"/>
        </w:rPr>
        <w:t xml:space="preserve"> </w:t>
      </w:r>
      <w:r>
        <w:rPr>
          <w:rFonts w:ascii="宋体" w:hAnsi="宋体" w:eastAsia="宋体" w:cs="宋体"/>
          <w:spacing w:val="13"/>
          <w:sz w:val="20"/>
          <w:szCs w:val="20"/>
        </w:rPr>
        <w:t>范例。</w:t>
      </w:r>
    </w:p>
    <w:p w14:paraId="3E3105FD">
      <w:pPr>
        <w:spacing w:before="1" w:line="314" w:lineRule="auto"/>
        <w:ind w:right="657" w:firstLine="419"/>
        <w:jc w:val="both"/>
        <w:rPr>
          <w:rFonts w:ascii="宋体" w:hAnsi="宋体" w:eastAsia="宋体" w:cs="宋体"/>
          <w:sz w:val="20"/>
          <w:szCs w:val="20"/>
        </w:rPr>
      </w:pPr>
      <w:r>
        <w:rPr>
          <w:rFonts w:ascii="Times New Roman" w:hAnsi="Times New Roman" w:eastAsia="Times New Roman" w:cs="Times New Roman"/>
          <w:spacing w:val="4"/>
          <w:sz w:val="20"/>
          <w:szCs w:val="20"/>
        </w:rPr>
        <w:t>3.</w:t>
      </w:r>
      <w:r>
        <w:rPr>
          <w:rFonts w:ascii="Times New Roman" w:hAnsi="Times New Roman" w:eastAsia="Times New Roman" w:cs="Times New Roman"/>
          <w:spacing w:val="27"/>
          <w:w w:val="101"/>
          <w:sz w:val="20"/>
          <w:szCs w:val="20"/>
        </w:rPr>
        <w:t xml:space="preserve">  </w:t>
      </w:r>
      <w:r>
        <w:rPr>
          <w:rFonts w:ascii="宋体" w:hAnsi="宋体" w:eastAsia="宋体" w:cs="宋体"/>
          <w:spacing w:val="4"/>
          <w:sz w:val="20"/>
          <w:szCs w:val="20"/>
        </w:rPr>
        <w:t>社区试验</w:t>
      </w:r>
      <w:r>
        <w:rPr>
          <w:rFonts w:ascii="Times New Roman" w:hAnsi="Times New Roman" w:eastAsia="Times New Roman" w:cs="Times New Roman"/>
          <w:spacing w:val="4"/>
          <w:sz w:val="20"/>
          <w:szCs w:val="20"/>
        </w:rPr>
        <w:t>(</w:t>
      </w:r>
      <w:r>
        <w:rPr>
          <w:rFonts w:ascii="Times New Roman" w:hAnsi="Times New Roman" w:eastAsia="Times New Roman" w:cs="Times New Roman"/>
          <w:sz w:val="20"/>
          <w:szCs w:val="20"/>
        </w:rPr>
        <w:t>community</w:t>
      </w:r>
      <w:r>
        <w:rPr>
          <w:rFonts w:ascii="Times New Roman" w:hAnsi="Times New Roman" w:eastAsia="Times New Roman" w:cs="Times New Roman"/>
          <w:spacing w:val="4"/>
          <w:sz w:val="20"/>
          <w:szCs w:val="20"/>
        </w:rPr>
        <w:t xml:space="preserve">    </w:t>
      </w:r>
      <w:r>
        <w:rPr>
          <w:rFonts w:ascii="Times New Roman" w:hAnsi="Times New Roman" w:eastAsia="Times New Roman" w:cs="Times New Roman"/>
          <w:sz w:val="20"/>
          <w:szCs w:val="20"/>
        </w:rPr>
        <w:t>trial</w:t>
      </w:r>
      <w:r>
        <w:rPr>
          <w:rFonts w:ascii="Times New Roman" w:hAnsi="Times New Roman" w:eastAsia="Times New Roman" w:cs="Times New Roman"/>
          <w:spacing w:val="4"/>
          <w:sz w:val="20"/>
          <w:szCs w:val="20"/>
        </w:rPr>
        <w:t xml:space="preserve">)   </w:t>
      </w:r>
      <w:r>
        <w:rPr>
          <w:rFonts w:ascii="宋体" w:hAnsi="宋体" w:eastAsia="宋体" w:cs="宋体"/>
          <w:spacing w:val="4"/>
          <w:sz w:val="20"/>
          <w:szCs w:val="20"/>
        </w:rPr>
        <w:t>也叫社区干预项目</w:t>
      </w:r>
      <w:r>
        <w:rPr>
          <w:rFonts w:ascii="Times New Roman" w:hAnsi="Times New Roman" w:eastAsia="Times New Roman" w:cs="Times New Roman"/>
          <w:spacing w:val="4"/>
          <w:sz w:val="20"/>
          <w:szCs w:val="20"/>
        </w:rPr>
        <w:t>(</w:t>
      </w:r>
      <w:r>
        <w:rPr>
          <w:rFonts w:ascii="Times New Roman" w:hAnsi="Times New Roman" w:eastAsia="Times New Roman" w:cs="Times New Roman"/>
          <w:sz w:val="20"/>
          <w:szCs w:val="20"/>
        </w:rPr>
        <w:t>community</w:t>
      </w:r>
      <w:r>
        <w:rPr>
          <w:rFonts w:ascii="Times New Roman" w:hAnsi="Times New Roman" w:eastAsia="Times New Roman" w:cs="Times New Roman"/>
          <w:spacing w:val="4"/>
          <w:sz w:val="20"/>
          <w:szCs w:val="20"/>
        </w:rPr>
        <w:t xml:space="preserve">     </w:t>
      </w:r>
      <w:r>
        <w:rPr>
          <w:rFonts w:ascii="Times New Roman" w:hAnsi="Times New Roman" w:eastAsia="Times New Roman" w:cs="Times New Roman"/>
          <w:sz w:val="20"/>
          <w:szCs w:val="20"/>
        </w:rPr>
        <w:t>intervention</w:t>
      </w:r>
      <w:r>
        <w:rPr>
          <w:rFonts w:ascii="Times New Roman" w:hAnsi="Times New Roman" w:eastAsia="Times New Roman" w:cs="Times New Roman"/>
          <w:spacing w:val="4"/>
          <w:sz w:val="20"/>
          <w:szCs w:val="20"/>
        </w:rPr>
        <w:t xml:space="preserve">    </w:t>
      </w:r>
      <w:r>
        <w:rPr>
          <w:rFonts w:ascii="Times New Roman" w:hAnsi="Times New Roman" w:eastAsia="Times New Roman" w:cs="Times New Roman"/>
          <w:sz w:val="20"/>
          <w:szCs w:val="20"/>
        </w:rPr>
        <w:t>program</w:t>
      </w:r>
      <w:r>
        <w:rPr>
          <w:rFonts w:ascii="Times New Roman" w:hAnsi="Times New Roman" w:eastAsia="Times New Roman" w:cs="Times New Roman"/>
          <w:spacing w:val="4"/>
          <w:sz w:val="20"/>
          <w:szCs w:val="20"/>
        </w:rPr>
        <w:t>,</w:t>
      </w:r>
      <w:r>
        <w:rPr>
          <w:rFonts w:ascii="Times New Roman" w:hAnsi="Times New Roman" w:eastAsia="Times New Roman" w:cs="Times New Roman"/>
          <w:sz w:val="20"/>
          <w:szCs w:val="20"/>
        </w:rPr>
        <w:t>CIP</w:t>
      </w:r>
      <w:r>
        <w:rPr>
          <w:rFonts w:ascii="Times New Roman" w:hAnsi="Times New Roman" w:eastAsia="Times New Roman" w:cs="Times New Roman"/>
          <w:spacing w:val="4"/>
          <w:sz w:val="20"/>
          <w:szCs w:val="20"/>
        </w:rPr>
        <w:t>),</w:t>
      </w:r>
      <w:r>
        <w:rPr>
          <w:rFonts w:ascii="宋体" w:hAnsi="宋体" w:eastAsia="宋体" w:cs="宋体"/>
          <w:spacing w:val="4"/>
          <w:sz w:val="20"/>
          <w:szCs w:val="20"/>
        </w:rPr>
        <w:t>是 以</w:t>
      </w:r>
      <w:r>
        <w:rPr>
          <w:rFonts w:ascii="宋体" w:hAnsi="宋体" w:eastAsia="宋体" w:cs="宋体"/>
          <w:sz w:val="20"/>
          <w:szCs w:val="20"/>
        </w:rPr>
        <w:t xml:space="preserve"> </w:t>
      </w:r>
      <w:r>
        <w:rPr>
          <w:rFonts w:ascii="宋体" w:hAnsi="宋体" w:eastAsia="宋体" w:cs="宋体"/>
          <w:spacing w:val="15"/>
          <w:sz w:val="20"/>
          <w:szCs w:val="20"/>
        </w:rPr>
        <w:t>人群作为整体进行实验，常用于对某种预防措施或方法进行考核或评价。整体可以是一个居住的</w:t>
      </w:r>
      <w:r>
        <w:rPr>
          <w:rFonts w:ascii="宋体" w:hAnsi="宋体" w:eastAsia="宋体" w:cs="宋体"/>
          <w:spacing w:val="14"/>
          <w:sz w:val="20"/>
          <w:szCs w:val="20"/>
        </w:rPr>
        <w:t xml:space="preserve"> </w:t>
      </w:r>
      <w:r>
        <w:rPr>
          <w:rFonts w:ascii="宋体" w:hAnsi="宋体" w:eastAsia="宋体" w:cs="宋体"/>
          <w:spacing w:val="6"/>
          <w:sz w:val="20"/>
          <w:szCs w:val="20"/>
        </w:rPr>
        <w:t>社区，也可以是功能社区，如学校的班级、工厂的车间、医院的科室、小区的住户等。如</w:t>
      </w:r>
      <w:r>
        <w:rPr>
          <w:rFonts w:ascii="宋体" w:hAnsi="宋体" w:eastAsia="宋体" w:cs="宋体"/>
          <w:spacing w:val="5"/>
          <w:sz w:val="20"/>
          <w:szCs w:val="20"/>
        </w:rPr>
        <w:t>食盐中统一</w:t>
      </w:r>
      <w:r>
        <w:rPr>
          <w:rFonts w:ascii="宋体" w:hAnsi="宋体" w:eastAsia="宋体" w:cs="宋体"/>
          <w:sz w:val="20"/>
          <w:szCs w:val="20"/>
        </w:rPr>
        <w:t xml:space="preserve"> </w:t>
      </w:r>
      <w:r>
        <w:rPr>
          <w:rFonts w:ascii="宋体" w:hAnsi="宋体" w:eastAsia="宋体" w:cs="宋体"/>
          <w:spacing w:val="10"/>
          <w:sz w:val="20"/>
          <w:szCs w:val="20"/>
        </w:rPr>
        <w:t>加碘，使整个研究地区的人群食用来预防地方性甲</w:t>
      </w:r>
      <w:r>
        <w:rPr>
          <w:rFonts w:ascii="宋体" w:hAnsi="宋体" w:eastAsia="宋体" w:cs="宋体"/>
          <w:spacing w:val="9"/>
          <w:sz w:val="20"/>
          <w:szCs w:val="20"/>
        </w:rPr>
        <w:t>状腺肿就属于此类研究。</w:t>
      </w:r>
    </w:p>
    <w:p w14:paraId="726DCDD9">
      <w:pPr>
        <w:spacing w:line="314" w:lineRule="auto"/>
        <w:rPr>
          <w:rFonts w:ascii="宋体" w:hAnsi="宋体" w:eastAsia="宋体" w:cs="宋体"/>
          <w:sz w:val="20"/>
          <w:szCs w:val="20"/>
        </w:rPr>
        <w:sectPr>
          <w:type w:val="continuous"/>
          <w:pgSz w:w="11900" w:h="16820"/>
          <w:pgMar w:top="400" w:right="802" w:bottom="889" w:left="1380" w:header="0" w:footer="709" w:gutter="0"/>
          <w:cols w:equalWidth="0" w:num="1">
            <w:col w:w="9718"/>
          </w:cols>
        </w:sectPr>
      </w:pPr>
    </w:p>
    <w:p w14:paraId="3C96E430">
      <w:pPr>
        <w:pStyle w:val="2"/>
        <w:spacing w:before="86" w:line="221" w:lineRule="auto"/>
        <w:ind w:left="659"/>
        <w:rPr>
          <w:sz w:val="20"/>
          <w:szCs w:val="20"/>
        </w:rPr>
      </w:pPr>
      <w:bookmarkStart w:id="162" w:name="bookmark453"/>
      <w:bookmarkEnd w:id="162"/>
      <w:r>
        <w:rPr>
          <w:spacing w:val="-21"/>
          <w:sz w:val="20"/>
          <w:szCs w:val="20"/>
        </w:rPr>
        <w:t>第六章 实验流行病学</w:t>
      </w:r>
    </w:p>
    <w:p w14:paraId="2529E5DF">
      <w:pPr>
        <w:spacing w:line="286" w:lineRule="auto"/>
        <w:rPr>
          <w:rFonts w:ascii="Arial"/>
          <w:sz w:val="21"/>
        </w:rPr>
      </w:pPr>
    </w:p>
    <w:p w14:paraId="217BDFBC">
      <w:pPr>
        <w:spacing w:line="287" w:lineRule="auto"/>
        <w:rPr>
          <w:rFonts w:ascii="Arial"/>
          <w:sz w:val="21"/>
        </w:rPr>
      </w:pPr>
    </w:p>
    <w:p w14:paraId="40C5CB66">
      <w:pPr>
        <w:spacing w:before="66" w:line="219" w:lineRule="auto"/>
        <w:ind w:left="1070"/>
        <w:rPr>
          <w:rFonts w:ascii="宋体" w:hAnsi="宋体" w:eastAsia="宋体" w:cs="宋体"/>
          <w:sz w:val="20"/>
          <w:szCs w:val="20"/>
        </w:rPr>
      </w:pPr>
      <w:r>
        <w:rPr>
          <w:rFonts w:ascii="宋体" w:hAnsi="宋体" w:eastAsia="宋体" w:cs="宋体"/>
          <w:spacing w:val="3"/>
          <w:sz w:val="20"/>
          <w:szCs w:val="20"/>
        </w:rPr>
        <w:t>社区试验的特点如下：</w:t>
      </w:r>
    </w:p>
    <w:p w14:paraId="08FF0772">
      <w:pPr>
        <w:spacing w:before="141" w:line="219" w:lineRule="auto"/>
        <w:ind w:left="1070"/>
        <w:rPr>
          <w:rFonts w:ascii="宋体" w:hAnsi="宋体" w:eastAsia="宋体" w:cs="宋体"/>
          <w:sz w:val="20"/>
          <w:szCs w:val="20"/>
        </w:rPr>
      </w:pPr>
      <w:r>
        <w:rPr>
          <w:rFonts w:ascii="宋体" w:hAnsi="宋体" w:eastAsia="宋体" w:cs="宋体"/>
          <w:spacing w:val="12"/>
          <w:sz w:val="20"/>
          <w:szCs w:val="20"/>
        </w:rPr>
        <w:t>(1)研究场所为社区。</w:t>
      </w:r>
    </w:p>
    <w:p w14:paraId="78B601D9">
      <w:pPr>
        <w:spacing w:before="132" w:line="219" w:lineRule="auto"/>
        <w:ind w:left="1070"/>
        <w:rPr>
          <w:rFonts w:ascii="宋体" w:hAnsi="宋体" w:eastAsia="宋体" w:cs="宋体"/>
          <w:sz w:val="20"/>
          <w:szCs w:val="20"/>
        </w:rPr>
      </w:pPr>
      <w:r>
        <w:rPr>
          <w:rFonts w:ascii="宋体" w:hAnsi="宋体" w:eastAsia="宋体" w:cs="宋体"/>
          <w:spacing w:val="8"/>
          <w:sz w:val="20"/>
          <w:szCs w:val="20"/>
        </w:rPr>
        <w:t>(2)以社区人群或某类人群组/亚组为单</w:t>
      </w:r>
      <w:r>
        <w:rPr>
          <w:rFonts w:ascii="宋体" w:hAnsi="宋体" w:eastAsia="宋体" w:cs="宋体"/>
          <w:spacing w:val="7"/>
          <w:sz w:val="20"/>
          <w:szCs w:val="20"/>
        </w:rPr>
        <w:t>位分配干预措施。</w:t>
      </w:r>
    </w:p>
    <w:p w14:paraId="30025F13">
      <w:pPr>
        <w:spacing w:before="142" w:line="218" w:lineRule="auto"/>
        <w:ind w:left="1070"/>
        <w:rPr>
          <w:rFonts w:ascii="宋体" w:hAnsi="宋体" w:eastAsia="宋体" w:cs="宋体"/>
          <w:sz w:val="20"/>
          <w:szCs w:val="20"/>
        </w:rPr>
      </w:pPr>
      <w:r>
        <w:rPr>
          <w:rFonts w:ascii="宋体" w:hAnsi="宋体" w:eastAsia="宋体" w:cs="宋体"/>
          <w:spacing w:val="8"/>
          <w:sz w:val="20"/>
          <w:szCs w:val="20"/>
        </w:rPr>
        <w:t>(3)常用于对某种预防措施或方法进行考核或评价。</w:t>
      </w:r>
    </w:p>
    <w:p w14:paraId="21E77233">
      <w:pPr>
        <w:spacing w:before="134" w:line="219" w:lineRule="auto"/>
        <w:ind w:left="1070"/>
        <w:rPr>
          <w:rFonts w:ascii="宋体" w:hAnsi="宋体" w:eastAsia="宋体" w:cs="宋体"/>
          <w:sz w:val="20"/>
          <w:szCs w:val="20"/>
        </w:rPr>
      </w:pPr>
      <w:r>
        <w:rPr>
          <w:rFonts w:ascii="宋体" w:hAnsi="宋体" w:eastAsia="宋体" w:cs="宋体"/>
          <w:spacing w:val="7"/>
          <w:sz w:val="20"/>
          <w:szCs w:val="20"/>
        </w:rPr>
        <w:t>(4)一般采用整群随机分配措施的方法保证比较组之间应尽可能</w:t>
      </w:r>
      <w:r>
        <w:rPr>
          <w:rFonts w:ascii="宋体" w:hAnsi="宋体" w:eastAsia="宋体" w:cs="宋体"/>
          <w:spacing w:val="6"/>
          <w:sz w:val="20"/>
          <w:szCs w:val="20"/>
        </w:rPr>
        <w:t>具有可比性。</w:t>
      </w:r>
    </w:p>
    <w:p w14:paraId="097AD983">
      <w:pPr>
        <w:spacing w:before="142" w:line="219" w:lineRule="auto"/>
        <w:ind w:left="1070"/>
        <w:rPr>
          <w:rFonts w:ascii="宋体" w:hAnsi="宋体" w:eastAsia="宋体" w:cs="宋体"/>
          <w:sz w:val="20"/>
          <w:szCs w:val="20"/>
        </w:rPr>
      </w:pPr>
      <w:r>
        <w:rPr>
          <w:rFonts w:ascii="宋体" w:hAnsi="宋体" w:eastAsia="宋体" w:cs="宋体"/>
          <w:spacing w:val="5"/>
          <w:sz w:val="20"/>
          <w:szCs w:val="20"/>
        </w:rPr>
        <w:t>(5)如果研究只包含两个社区，则要求干预社区与对照社区间基线特征有类似的分布。</w:t>
      </w:r>
    </w:p>
    <w:p w14:paraId="34FD3336">
      <w:pPr>
        <w:spacing w:before="133" w:line="341" w:lineRule="auto"/>
        <w:ind w:left="659" w:right="91" w:firstLine="410"/>
        <w:jc w:val="both"/>
        <w:rPr>
          <w:rFonts w:ascii="宋体" w:hAnsi="宋体" w:eastAsia="宋体" w:cs="宋体"/>
          <w:sz w:val="20"/>
          <w:szCs w:val="20"/>
        </w:rPr>
      </w:pPr>
      <w:r>
        <w:rPr>
          <w:rFonts w:ascii="宋体" w:hAnsi="宋体" w:eastAsia="宋体" w:cs="宋体"/>
          <w:spacing w:val="3"/>
          <w:sz w:val="20"/>
          <w:szCs w:val="20"/>
        </w:rPr>
        <w:t>近年来，社区干预项目日益受到重视，主要是伴随疾病模式的转变，人们越来越</w:t>
      </w:r>
      <w:r>
        <w:rPr>
          <w:rFonts w:ascii="宋体" w:hAnsi="宋体" w:eastAsia="宋体" w:cs="宋体"/>
          <w:spacing w:val="2"/>
          <w:sz w:val="20"/>
          <w:szCs w:val="20"/>
        </w:rPr>
        <w:t>意识到疾病预</w:t>
      </w:r>
      <w:r>
        <w:rPr>
          <w:rFonts w:ascii="宋体" w:hAnsi="宋体" w:eastAsia="宋体" w:cs="宋体"/>
          <w:sz w:val="20"/>
          <w:szCs w:val="20"/>
        </w:rPr>
        <w:t xml:space="preserve"> </w:t>
      </w:r>
      <w:r>
        <w:rPr>
          <w:rFonts w:ascii="宋体" w:hAnsi="宋体" w:eastAsia="宋体" w:cs="宋体"/>
          <w:spacing w:val="3"/>
          <w:sz w:val="20"/>
          <w:szCs w:val="20"/>
        </w:rPr>
        <w:t>防的全人群策略更为经济有效，改善社区的自然或人文社会环境更有助于个体行为的改变，更</w:t>
      </w:r>
      <w:r>
        <w:rPr>
          <w:rFonts w:ascii="宋体" w:hAnsi="宋体" w:eastAsia="宋体" w:cs="宋体"/>
          <w:spacing w:val="2"/>
          <w:sz w:val="20"/>
          <w:szCs w:val="20"/>
        </w:rPr>
        <w:t>易推</w:t>
      </w:r>
      <w:r>
        <w:rPr>
          <w:rFonts w:ascii="宋体" w:hAnsi="宋体" w:eastAsia="宋体" w:cs="宋体"/>
          <w:sz w:val="20"/>
          <w:szCs w:val="20"/>
        </w:rPr>
        <w:t xml:space="preserve"> </w:t>
      </w:r>
      <w:r>
        <w:rPr>
          <w:rFonts w:ascii="宋体" w:hAnsi="宋体" w:eastAsia="宋体" w:cs="宋体"/>
          <w:spacing w:val="7"/>
          <w:sz w:val="20"/>
          <w:szCs w:val="20"/>
        </w:rPr>
        <w:t>广实施。例如，我国学者开展的</w:t>
      </w:r>
      <w:r>
        <w:rPr>
          <w:rFonts w:ascii="Times New Roman" w:hAnsi="Times New Roman" w:eastAsia="Times New Roman" w:cs="Times New Roman"/>
          <w:sz w:val="20"/>
          <w:szCs w:val="20"/>
        </w:rPr>
        <w:t>DECIDE</w:t>
      </w:r>
      <w:r>
        <w:rPr>
          <w:rFonts w:ascii="Times New Roman" w:hAnsi="Times New Roman" w:eastAsia="Times New Roman" w:cs="Times New Roman"/>
          <w:spacing w:val="7"/>
          <w:sz w:val="20"/>
          <w:szCs w:val="20"/>
        </w:rPr>
        <w:t>-</w:t>
      </w:r>
      <w:r>
        <w:rPr>
          <w:rFonts w:ascii="Times New Roman" w:hAnsi="Times New Roman" w:eastAsia="Times New Roman" w:cs="Times New Roman"/>
          <w:sz w:val="20"/>
          <w:szCs w:val="20"/>
        </w:rPr>
        <w:t>Salt</w:t>
      </w:r>
      <w:r>
        <w:rPr>
          <w:rFonts w:ascii="Times New Roman" w:hAnsi="Times New Roman" w:eastAsia="Times New Roman" w:cs="Times New Roman"/>
          <w:spacing w:val="7"/>
          <w:sz w:val="20"/>
          <w:szCs w:val="20"/>
        </w:rPr>
        <w:t xml:space="preserve"> </w:t>
      </w:r>
      <w:r>
        <w:rPr>
          <w:rFonts w:ascii="宋体" w:hAnsi="宋体" w:eastAsia="宋体" w:cs="宋体"/>
          <w:spacing w:val="7"/>
          <w:sz w:val="20"/>
          <w:szCs w:val="20"/>
        </w:rPr>
        <w:t>研究，选择4个地区的</w:t>
      </w:r>
      <w:r>
        <w:rPr>
          <w:rFonts w:ascii="宋体" w:hAnsi="宋体" w:eastAsia="宋体" w:cs="宋体"/>
          <w:spacing w:val="6"/>
          <w:sz w:val="20"/>
          <w:szCs w:val="20"/>
        </w:rPr>
        <w:t>48所养老机构进行整群随机分</w:t>
      </w:r>
      <w:r>
        <w:rPr>
          <w:rFonts w:ascii="宋体" w:hAnsi="宋体" w:eastAsia="宋体" w:cs="宋体"/>
          <w:sz w:val="20"/>
          <w:szCs w:val="20"/>
        </w:rPr>
        <w:t xml:space="preserve"> </w:t>
      </w:r>
      <w:r>
        <w:rPr>
          <w:rFonts w:ascii="宋体" w:hAnsi="宋体" w:eastAsia="宋体" w:cs="宋体"/>
          <w:spacing w:val="-1"/>
          <w:sz w:val="20"/>
          <w:szCs w:val="20"/>
        </w:rPr>
        <w:t>组，评价不同减盐策略的有效性和安全性，就是典型</w:t>
      </w:r>
      <w:r>
        <w:rPr>
          <w:rFonts w:ascii="宋体" w:hAnsi="宋体" w:eastAsia="宋体" w:cs="宋体"/>
          <w:spacing w:val="-2"/>
          <w:sz w:val="20"/>
          <w:szCs w:val="20"/>
        </w:rPr>
        <w:t>的社区干预项目。</w:t>
      </w:r>
    </w:p>
    <w:p w14:paraId="03F3DAF3">
      <w:pPr>
        <w:pStyle w:val="2"/>
        <w:spacing w:before="1" w:line="220" w:lineRule="auto"/>
        <w:ind w:left="1123"/>
        <w:rPr>
          <w:sz w:val="24"/>
          <w:szCs w:val="24"/>
        </w:rPr>
      </w:pPr>
      <w:r>
        <w:rPr>
          <w:b/>
          <w:bCs/>
          <w:spacing w:val="-5"/>
          <w:sz w:val="24"/>
          <w:szCs w:val="24"/>
        </w:rPr>
        <w:t>(二)类实验</w:t>
      </w:r>
    </w:p>
    <w:p w14:paraId="0802EF08">
      <w:pPr>
        <w:spacing w:before="116" w:line="339" w:lineRule="auto"/>
        <w:ind w:left="659" w:right="90" w:firstLine="410"/>
        <w:jc w:val="both"/>
        <w:rPr>
          <w:rFonts w:ascii="宋体" w:hAnsi="宋体" w:eastAsia="宋体" w:cs="宋体"/>
          <w:sz w:val="20"/>
          <w:szCs w:val="20"/>
        </w:rPr>
      </w:pPr>
      <w:r>
        <w:rPr>
          <w:rFonts w:ascii="宋体" w:hAnsi="宋体" w:eastAsia="宋体" w:cs="宋体"/>
          <w:spacing w:val="-2"/>
          <w:sz w:val="20"/>
          <w:szCs w:val="20"/>
        </w:rPr>
        <w:t>一个完全的实验流行病学研究必须具备随机、对照、干预、前瞻四个基本特征，缺乏严格的随机</w:t>
      </w:r>
      <w:r>
        <w:rPr>
          <w:rFonts w:ascii="宋体" w:hAnsi="宋体" w:eastAsia="宋体" w:cs="宋体"/>
          <w:sz w:val="20"/>
          <w:szCs w:val="20"/>
        </w:rPr>
        <w:t xml:space="preserve"> </w:t>
      </w:r>
      <w:r>
        <w:rPr>
          <w:rFonts w:ascii="宋体" w:hAnsi="宋体" w:eastAsia="宋体" w:cs="宋体"/>
          <w:spacing w:val="4"/>
          <w:sz w:val="20"/>
          <w:szCs w:val="20"/>
        </w:rPr>
        <w:t>分组或平行对照的实验称为类实验</w:t>
      </w:r>
      <w:r>
        <w:rPr>
          <w:rFonts w:ascii="Times New Roman" w:hAnsi="Times New Roman" w:eastAsia="Times New Roman" w:cs="Times New Roman"/>
          <w:spacing w:val="4"/>
          <w:sz w:val="20"/>
          <w:szCs w:val="20"/>
        </w:rPr>
        <w:t>(</w:t>
      </w:r>
      <w:r>
        <w:rPr>
          <w:rFonts w:ascii="Times New Roman" w:hAnsi="Times New Roman" w:eastAsia="Times New Roman" w:cs="Times New Roman"/>
          <w:sz w:val="20"/>
          <w:szCs w:val="20"/>
        </w:rPr>
        <w:t>quasi</w:t>
      </w:r>
      <w:r>
        <w:rPr>
          <w:rFonts w:ascii="Times New Roman" w:hAnsi="Times New Roman" w:eastAsia="Times New Roman" w:cs="Times New Roman"/>
          <w:spacing w:val="4"/>
          <w:sz w:val="20"/>
          <w:szCs w:val="20"/>
        </w:rPr>
        <w:t>-</w:t>
      </w:r>
      <w:r>
        <w:rPr>
          <w:rFonts w:ascii="Times New Roman" w:hAnsi="Times New Roman" w:eastAsia="Times New Roman" w:cs="Times New Roman"/>
          <w:sz w:val="20"/>
          <w:szCs w:val="20"/>
        </w:rPr>
        <w:t>experiment</w:t>
      </w:r>
      <w:r>
        <w:rPr>
          <w:rFonts w:ascii="Times New Roman" w:hAnsi="Times New Roman" w:eastAsia="Times New Roman" w:cs="Times New Roman"/>
          <w:spacing w:val="4"/>
          <w:sz w:val="20"/>
          <w:szCs w:val="20"/>
        </w:rPr>
        <w:t>)</w:t>
      </w:r>
      <w:r>
        <w:rPr>
          <w:rFonts w:ascii="Times New Roman" w:hAnsi="Times New Roman" w:eastAsia="Times New Roman" w:cs="Times New Roman"/>
          <w:spacing w:val="48"/>
          <w:w w:val="101"/>
          <w:sz w:val="20"/>
          <w:szCs w:val="20"/>
        </w:rPr>
        <w:t xml:space="preserve"> </w:t>
      </w:r>
      <w:r>
        <w:rPr>
          <w:rFonts w:ascii="宋体" w:hAnsi="宋体" w:eastAsia="宋体" w:cs="宋体"/>
          <w:spacing w:val="4"/>
          <w:sz w:val="20"/>
          <w:szCs w:val="20"/>
        </w:rPr>
        <w:t>或自然实验</w:t>
      </w:r>
      <w:r>
        <w:rPr>
          <w:rFonts w:ascii="Times New Roman" w:hAnsi="Times New Roman" w:eastAsia="Times New Roman" w:cs="Times New Roman"/>
          <w:spacing w:val="4"/>
          <w:sz w:val="20"/>
          <w:szCs w:val="20"/>
        </w:rPr>
        <w:t>(</w:t>
      </w:r>
      <w:r>
        <w:rPr>
          <w:rFonts w:ascii="Times New Roman" w:hAnsi="Times New Roman" w:eastAsia="Times New Roman" w:cs="Times New Roman"/>
          <w:sz w:val="20"/>
          <w:szCs w:val="20"/>
        </w:rPr>
        <w:t>natural</w:t>
      </w:r>
      <w:r>
        <w:rPr>
          <w:rFonts w:ascii="Times New Roman" w:hAnsi="Times New Roman" w:eastAsia="Times New Roman" w:cs="Times New Roman"/>
          <w:spacing w:val="16"/>
          <w:sz w:val="20"/>
          <w:szCs w:val="20"/>
        </w:rPr>
        <w:t xml:space="preserve">   </w:t>
      </w:r>
      <w:r>
        <w:rPr>
          <w:rFonts w:ascii="Times New Roman" w:hAnsi="Times New Roman" w:eastAsia="Times New Roman" w:cs="Times New Roman"/>
          <w:sz w:val="20"/>
          <w:szCs w:val="20"/>
        </w:rPr>
        <w:t>experiment</w:t>
      </w:r>
      <w:r>
        <w:rPr>
          <w:rFonts w:ascii="Times New Roman" w:hAnsi="Times New Roman" w:eastAsia="Times New Roman" w:cs="Times New Roman"/>
          <w:spacing w:val="4"/>
          <w:sz w:val="20"/>
          <w:szCs w:val="20"/>
        </w:rPr>
        <w:t>)</w:t>
      </w:r>
      <w:r>
        <w:rPr>
          <w:rFonts w:ascii="宋体" w:hAnsi="宋体" w:eastAsia="宋体" w:cs="宋体"/>
          <w:spacing w:val="4"/>
          <w:sz w:val="20"/>
          <w:szCs w:val="20"/>
        </w:rPr>
        <w:t>。根据是</w:t>
      </w:r>
      <w:r>
        <w:rPr>
          <w:rFonts w:ascii="宋体" w:hAnsi="宋体" w:eastAsia="宋体" w:cs="宋体"/>
          <w:spacing w:val="3"/>
          <w:sz w:val="20"/>
          <w:szCs w:val="20"/>
        </w:rPr>
        <w:t>否设</w:t>
      </w:r>
      <w:r>
        <w:rPr>
          <w:rFonts w:ascii="宋体" w:hAnsi="宋体" w:eastAsia="宋体" w:cs="宋体"/>
          <w:sz w:val="20"/>
          <w:szCs w:val="20"/>
        </w:rPr>
        <w:t xml:space="preserve"> </w:t>
      </w:r>
      <w:r>
        <w:rPr>
          <w:rFonts w:ascii="宋体" w:hAnsi="宋体" w:eastAsia="宋体" w:cs="宋体"/>
          <w:spacing w:val="-1"/>
          <w:sz w:val="20"/>
          <w:szCs w:val="20"/>
        </w:rPr>
        <w:t>立对照组，类实验又可分为两类：</w:t>
      </w:r>
    </w:p>
    <w:p w14:paraId="4F59850A">
      <w:pPr>
        <w:pStyle w:val="2"/>
        <w:spacing w:before="19" w:line="311" w:lineRule="auto"/>
        <w:ind w:left="659" w:firstLine="460"/>
        <w:rPr>
          <w:rFonts w:ascii="宋体" w:hAnsi="宋体" w:eastAsia="宋体" w:cs="宋体"/>
          <w:sz w:val="20"/>
          <w:szCs w:val="20"/>
        </w:rPr>
      </w:pPr>
      <w:r>
        <w:rPr>
          <w:rFonts w:ascii="宋体" w:hAnsi="宋体" w:eastAsia="宋体" w:cs="宋体"/>
          <w:spacing w:val="7"/>
          <w:sz w:val="20"/>
          <w:szCs w:val="20"/>
        </w:rPr>
        <w:t xml:space="preserve">1. </w:t>
      </w:r>
      <w:r>
        <w:rPr>
          <w:spacing w:val="7"/>
          <w:sz w:val="20"/>
          <w:szCs w:val="20"/>
        </w:rPr>
        <w:t>不设平行对照组</w:t>
      </w:r>
      <w:r>
        <w:rPr>
          <w:spacing w:val="82"/>
          <w:sz w:val="20"/>
          <w:szCs w:val="20"/>
        </w:rPr>
        <w:t xml:space="preserve"> </w:t>
      </w:r>
      <w:r>
        <w:rPr>
          <w:rFonts w:ascii="宋体" w:hAnsi="宋体" w:eastAsia="宋体" w:cs="宋体"/>
          <w:spacing w:val="7"/>
          <w:sz w:val="20"/>
          <w:szCs w:val="20"/>
        </w:rPr>
        <w:t>其对比可在个体或群体水平上进行。例如，个体</w:t>
      </w:r>
      <w:r>
        <w:rPr>
          <w:rFonts w:ascii="宋体" w:hAnsi="宋体" w:eastAsia="宋体" w:cs="宋体"/>
          <w:spacing w:val="6"/>
          <w:sz w:val="20"/>
          <w:szCs w:val="20"/>
        </w:rPr>
        <w:t>水平的自身前后对照，</w:t>
      </w:r>
      <w:r>
        <w:rPr>
          <w:rFonts w:ascii="宋体" w:hAnsi="宋体" w:eastAsia="宋体" w:cs="宋体"/>
          <w:sz w:val="20"/>
          <w:szCs w:val="20"/>
        </w:rPr>
        <w:t xml:space="preserve"> </w:t>
      </w:r>
      <w:r>
        <w:rPr>
          <w:rFonts w:ascii="宋体" w:hAnsi="宋体" w:eastAsia="宋体" w:cs="宋体"/>
          <w:spacing w:val="2"/>
          <w:sz w:val="20"/>
          <w:szCs w:val="20"/>
        </w:rPr>
        <w:t>比较高血压病人服用某种降压药物前后的血压水平，以评价该药物的降压效果。或者，对比某项政</w:t>
      </w:r>
      <w:r>
        <w:rPr>
          <w:rFonts w:ascii="宋体" w:hAnsi="宋体" w:eastAsia="宋体" w:cs="宋体"/>
          <w:spacing w:val="5"/>
          <w:sz w:val="20"/>
          <w:szCs w:val="20"/>
        </w:rPr>
        <w:t xml:space="preserve">  </w:t>
      </w:r>
      <w:r>
        <w:rPr>
          <w:rFonts w:ascii="宋体" w:hAnsi="宋体" w:eastAsia="宋体" w:cs="宋体"/>
          <w:spacing w:val="3"/>
          <w:sz w:val="20"/>
          <w:szCs w:val="20"/>
        </w:rPr>
        <w:t>策实施前后群体水平结局指标的改变，如在某乙肝高流行地区，比较乙肝疫苗扩大免疫规划策略实</w:t>
      </w:r>
      <w:r>
        <w:rPr>
          <w:rFonts w:ascii="宋体" w:hAnsi="宋体" w:eastAsia="宋体" w:cs="宋体"/>
          <w:sz w:val="20"/>
          <w:szCs w:val="20"/>
        </w:rPr>
        <w:t xml:space="preserve">  </w:t>
      </w:r>
      <w:r>
        <w:rPr>
          <w:rFonts w:ascii="宋体" w:hAnsi="宋体" w:eastAsia="宋体" w:cs="宋体"/>
          <w:spacing w:val="5"/>
          <w:sz w:val="20"/>
          <w:szCs w:val="20"/>
        </w:rPr>
        <w:t>施前后多个年度的乙肝发病率变化趋势。</w:t>
      </w:r>
    </w:p>
    <w:p w14:paraId="3085EAFA">
      <w:pPr>
        <w:pStyle w:val="2"/>
        <w:spacing w:before="160" w:line="317" w:lineRule="auto"/>
        <w:ind w:left="659" w:right="70" w:firstLine="410"/>
        <w:rPr>
          <w:rFonts w:ascii="宋体" w:hAnsi="宋体" w:eastAsia="宋体" w:cs="宋体"/>
          <w:sz w:val="20"/>
          <w:szCs w:val="20"/>
        </w:rPr>
      </w:pPr>
      <w:r>
        <w:rPr>
          <w:rFonts w:ascii="宋体" w:hAnsi="宋体" w:eastAsia="宋体" w:cs="宋体"/>
          <w:spacing w:val="6"/>
          <w:sz w:val="20"/>
          <w:szCs w:val="20"/>
        </w:rPr>
        <w:t xml:space="preserve">2. </w:t>
      </w:r>
      <w:r>
        <w:rPr>
          <w:spacing w:val="6"/>
          <w:sz w:val="20"/>
          <w:szCs w:val="20"/>
        </w:rPr>
        <w:t>设对照组</w:t>
      </w:r>
      <w:r>
        <w:rPr>
          <w:spacing w:val="92"/>
          <w:sz w:val="20"/>
          <w:szCs w:val="20"/>
        </w:rPr>
        <w:t xml:space="preserve"> </w:t>
      </w:r>
      <w:r>
        <w:rPr>
          <w:rFonts w:ascii="宋体" w:hAnsi="宋体" w:eastAsia="宋体" w:cs="宋体"/>
          <w:spacing w:val="6"/>
          <w:sz w:val="20"/>
          <w:szCs w:val="20"/>
        </w:rPr>
        <w:t>虽然设立了平行对照组，但研究对象并非随机分组。如在社区试验中，如果只</w:t>
      </w:r>
      <w:r>
        <w:rPr>
          <w:rFonts w:ascii="宋体" w:hAnsi="宋体" w:eastAsia="宋体" w:cs="宋体"/>
          <w:sz w:val="20"/>
          <w:szCs w:val="20"/>
        </w:rPr>
        <w:t xml:space="preserve"> </w:t>
      </w:r>
      <w:r>
        <w:rPr>
          <w:rFonts w:ascii="宋体" w:hAnsi="宋体" w:eastAsia="宋体" w:cs="宋体"/>
          <w:spacing w:val="8"/>
          <w:sz w:val="20"/>
          <w:szCs w:val="20"/>
        </w:rPr>
        <w:t>能对整个社区人群实施预防措施，无法随机分组，可选择具有可比性的另一个社区人群作为对照</w:t>
      </w:r>
      <w:r>
        <w:rPr>
          <w:rFonts w:ascii="宋体" w:hAnsi="宋体" w:eastAsia="宋体" w:cs="宋体"/>
          <w:sz w:val="20"/>
          <w:szCs w:val="20"/>
        </w:rPr>
        <w:t xml:space="preserve"> </w:t>
      </w:r>
      <w:r>
        <w:rPr>
          <w:rFonts w:ascii="宋体" w:hAnsi="宋体" w:eastAsia="宋体" w:cs="宋体"/>
          <w:spacing w:val="3"/>
          <w:sz w:val="20"/>
          <w:szCs w:val="20"/>
        </w:rPr>
        <w:t>组。例如，我国学者为了降低高温热浪对健康的威胁，开发了以高温热浪健康风险预警为核心</w:t>
      </w:r>
      <w:r>
        <w:rPr>
          <w:rFonts w:ascii="宋体" w:hAnsi="宋体" w:eastAsia="宋体" w:cs="宋体"/>
          <w:spacing w:val="2"/>
          <w:sz w:val="20"/>
          <w:szCs w:val="20"/>
        </w:rPr>
        <w:t>的社</w:t>
      </w:r>
      <w:r>
        <w:rPr>
          <w:rFonts w:ascii="宋体" w:hAnsi="宋体" w:eastAsia="宋体" w:cs="宋体"/>
          <w:sz w:val="20"/>
          <w:szCs w:val="20"/>
        </w:rPr>
        <w:t xml:space="preserve"> </w:t>
      </w:r>
      <w:r>
        <w:rPr>
          <w:rFonts w:ascii="宋体" w:hAnsi="宋体" w:eastAsia="宋体" w:cs="宋体"/>
          <w:spacing w:val="3"/>
          <w:sz w:val="20"/>
          <w:szCs w:val="20"/>
        </w:rPr>
        <w:t>区综合干预方案。为了评价该方案的效果，选择两个可比的社区，其中一个社区启动该方案</w:t>
      </w:r>
      <w:r>
        <w:rPr>
          <w:rFonts w:ascii="宋体" w:hAnsi="宋体" w:eastAsia="宋体" w:cs="宋体"/>
          <w:spacing w:val="2"/>
          <w:sz w:val="20"/>
          <w:szCs w:val="20"/>
        </w:rPr>
        <w:t>，通过</w:t>
      </w:r>
      <w:r>
        <w:rPr>
          <w:rFonts w:ascii="宋体" w:hAnsi="宋体" w:eastAsia="宋体" w:cs="宋体"/>
          <w:sz w:val="20"/>
          <w:szCs w:val="20"/>
        </w:rPr>
        <w:t xml:space="preserve"> </w:t>
      </w:r>
      <w:r>
        <w:rPr>
          <w:rFonts w:ascii="宋体" w:hAnsi="宋体" w:eastAsia="宋体" w:cs="宋体"/>
          <w:spacing w:val="5"/>
          <w:sz w:val="20"/>
          <w:szCs w:val="20"/>
        </w:rPr>
        <w:t>随访两个社区高温热浪相关疾病的发病情况来评</w:t>
      </w:r>
      <w:r>
        <w:rPr>
          <w:rFonts w:ascii="宋体" w:hAnsi="宋体" w:eastAsia="宋体" w:cs="宋体"/>
          <w:spacing w:val="4"/>
          <w:sz w:val="20"/>
          <w:szCs w:val="20"/>
        </w:rPr>
        <w:t>价预防效果。</w:t>
      </w:r>
    </w:p>
    <w:p w14:paraId="7770D5AC">
      <w:pPr>
        <w:spacing w:before="154" w:line="333" w:lineRule="auto"/>
        <w:ind w:left="659" w:right="90" w:firstLine="410"/>
        <w:rPr>
          <w:rFonts w:ascii="宋体" w:hAnsi="宋体" w:eastAsia="宋体" w:cs="宋体"/>
          <w:sz w:val="20"/>
          <w:szCs w:val="20"/>
        </w:rPr>
      </w:pPr>
      <w:r>
        <w:rPr>
          <w:rFonts w:ascii="宋体" w:hAnsi="宋体" w:eastAsia="宋体" w:cs="宋体"/>
          <w:spacing w:val="3"/>
          <w:sz w:val="20"/>
          <w:szCs w:val="20"/>
        </w:rPr>
        <w:t>类实验常用于研究对象数量大、范围广而实际情况不允许对研究对象作随机分组的</w:t>
      </w:r>
      <w:r>
        <w:rPr>
          <w:rFonts w:ascii="宋体" w:hAnsi="宋体" w:eastAsia="宋体" w:cs="宋体"/>
          <w:spacing w:val="2"/>
          <w:sz w:val="20"/>
          <w:szCs w:val="20"/>
        </w:rPr>
        <w:t>情况，或者</w:t>
      </w:r>
      <w:r>
        <w:rPr>
          <w:rFonts w:ascii="宋体" w:hAnsi="宋体" w:eastAsia="宋体" w:cs="宋体"/>
          <w:sz w:val="20"/>
          <w:szCs w:val="20"/>
        </w:rPr>
        <w:t xml:space="preserve"> </w:t>
      </w:r>
      <w:r>
        <w:rPr>
          <w:rFonts w:ascii="宋体" w:hAnsi="宋体" w:eastAsia="宋体" w:cs="宋体"/>
          <w:spacing w:val="3"/>
          <w:sz w:val="20"/>
          <w:szCs w:val="20"/>
        </w:rPr>
        <w:t>用于评价某项政策的实施对群体水平结局指标的效果，本质上还是</w:t>
      </w:r>
      <w:r>
        <w:rPr>
          <w:rFonts w:ascii="宋体" w:hAnsi="宋体" w:eastAsia="宋体" w:cs="宋体"/>
          <w:spacing w:val="2"/>
          <w:sz w:val="20"/>
          <w:szCs w:val="20"/>
        </w:rPr>
        <w:t>观察性研究。</w:t>
      </w:r>
    </w:p>
    <w:p w14:paraId="081CBC50">
      <w:pPr>
        <w:spacing w:line="278" w:lineRule="auto"/>
        <w:rPr>
          <w:rFonts w:ascii="Arial"/>
          <w:sz w:val="21"/>
        </w:rPr>
      </w:pPr>
    </w:p>
    <w:p w14:paraId="08C3F804">
      <w:pPr>
        <w:pStyle w:val="2"/>
        <w:spacing w:before="98" w:line="222" w:lineRule="auto"/>
        <w:ind w:left="3464"/>
        <w:outlineLvl w:val="1"/>
      </w:pPr>
      <w:bookmarkStart w:id="163" w:name="bookmark104"/>
      <w:bookmarkEnd w:id="163"/>
      <w:r>
        <w:rPr>
          <w:b/>
          <w:bCs/>
          <w:spacing w:val="-14"/>
        </w:rPr>
        <w:t>第二节</w:t>
      </w:r>
      <w:r>
        <w:rPr>
          <w:spacing w:val="133"/>
        </w:rPr>
        <w:t xml:space="preserve"> </w:t>
      </w:r>
      <w:r>
        <w:rPr>
          <w:b/>
          <w:bCs/>
          <w:spacing w:val="-14"/>
        </w:rPr>
        <w:t>研究设计与实施</w:t>
      </w:r>
    </w:p>
    <w:p w14:paraId="62B0DCC1">
      <w:pPr>
        <w:spacing w:line="333" w:lineRule="auto"/>
        <w:rPr>
          <w:rFonts w:ascii="Arial"/>
          <w:sz w:val="21"/>
        </w:rPr>
      </w:pPr>
    </w:p>
    <w:p w14:paraId="426602C6">
      <w:pPr>
        <w:spacing w:before="66" w:line="350" w:lineRule="auto"/>
        <w:ind w:left="659" w:right="86" w:firstLine="410"/>
        <w:rPr>
          <w:rFonts w:ascii="宋体" w:hAnsi="宋体" w:eastAsia="宋体" w:cs="宋体"/>
          <w:sz w:val="20"/>
          <w:szCs w:val="20"/>
        </w:rPr>
      </w:pPr>
      <w:r>
        <w:rPr>
          <w:rFonts w:ascii="宋体" w:hAnsi="宋体" w:eastAsia="宋体" w:cs="宋体"/>
          <w:spacing w:val="3"/>
          <w:sz w:val="20"/>
          <w:szCs w:val="20"/>
        </w:rPr>
        <w:t>实验流行病学是以人为研究对象并施与某种干预措施，因此伦理学的考虑十分重要，必须制定</w:t>
      </w:r>
      <w:r>
        <w:rPr>
          <w:rFonts w:ascii="宋体" w:hAnsi="宋体" w:eastAsia="宋体" w:cs="宋体"/>
          <w:sz w:val="20"/>
          <w:szCs w:val="20"/>
        </w:rPr>
        <w:t xml:space="preserve"> </w:t>
      </w:r>
      <w:r>
        <w:rPr>
          <w:rFonts w:ascii="宋体" w:hAnsi="宋体" w:eastAsia="宋体" w:cs="宋体"/>
          <w:spacing w:val="6"/>
          <w:sz w:val="20"/>
          <w:szCs w:val="20"/>
        </w:rPr>
        <w:t>一份详细的设计书</w:t>
      </w:r>
      <w:r>
        <w:rPr>
          <w:rFonts w:ascii="Times New Roman" w:hAnsi="Times New Roman" w:eastAsia="Times New Roman" w:cs="Times New Roman"/>
          <w:spacing w:val="6"/>
          <w:sz w:val="20"/>
          <w:szCs w:val="20"/>
        </w:rPr>
        <w:t>(</w:t>
      </w:r>
      <w:r>
        <w:rPr>
          <w:rFonts w:ascii="Times New Roman" w:hAnsi="Times New Roman" w:eastAsia="Times New Roman" w:cs="Times New Roman"/>
          <w:sz w:val="20"/>
          <w:szCs w:val="20"/>
        </w:rPr>
        <w:t>protocol</w:t>
      </w:r>
      <w:r>
        <w:rPr>
          <w:rFonts w:ascii="Times New Roman" w:hAnsi="Times New Roman" w:eastAsia="Times New Roman" w:cs="Times New Roman"/>
          <w:spacing w:val="6"/>
          <w:sz w:val="20"/>
          <w:szCs w:val="20"/>
        </w:rPr>
        <w:t xml:space="preserve">),  </w:t>
      </w:r>
      <w:r>
        <w:rPr>
          <w:rFonts w:ascii="宋体" w:hAnsi="宋体" w:eastAsia="宋体" w:cs="宋体"/>
          <w:spacing w:val="6"/>
          <w:sz w:val="20"/>
          <w:szCs w:val="20"/>
        </w:rPr>
        <w:t>提交医学伦理</w:t>
      </w:r>
      <w:r>
        <w:rPr>
          <w:rFonts w:ascii="宋体" w:hAnsi="宋体" w:eastAsia="宋体" w:cs="宋体"/>
          <w:spacing w:val="5"/>
          <w:sz w:val="20"/>
          <w:szCs w:val="20"/>
        </w:rPr>
        <w:t>委员会批准。设计和实施通常要考虑以下要素。</w:t>
      </w:r>
    </w:p>
    <w:p w14:paraId="6448D5E2">
      <w:pPr>
        <w:pStyle w:val="2"/>
        <w:spacing w:before="168" w:line="221" w:lineRule="auto"/>
        <w:ind w:left="1123"/>
        <w:outlineLvl w:val="2"/>
        <w:rPr>
          <w:sz w:val="24"/>
          <w:szCs w:val="24"/>
        </w:rPr>
      </w:pPr>
      <w:bookmarkStart w:id="164" w:name="bookmark105"/>
      <w:bookmarkEnd w:id="164"/>
      <w:r>
        <w:rPr>
          <w:b/>
          <w:bCs/>
          <w:spacing w:val="-6"/>
          <w:sz w:val="24"/>
          <w:szCs w:val="24"/>
        </w:rPr>
        <w:t>一</w:t>
      </w:r>
      <w:r>
        <w:rPr>
          <w:spacing w:val="-49"/>
          <w:sz w:val="24"/>
          <w:szCs w:val="24"/>
        </w:rPr>
        <w:t xml:space="preserve"> </w:t>
      </w:r>
      <w:r>
        <w:rPr>
          <w:b/>
          <w:bCs/>
          <w:spacing w:val="-6"/>
          <w:sz w:val="24"/>
          <w:szCs w:val="24"/>
        </w:rPr>
        <w:t>、明确研究问题</w:t>
      </w:r>
    </w:p>
    <w:p w14:paraId="1842C52A">
      <w:pPr>
        <w:spacing w:before="283" w:line="332" w:lineRule="auto"/>
        <w:ind w:left="659" w:right="57" w:firstLine="410"/>
        <w:jc w:val="both"/>
        <w:rPr>
          <w:rFonts w:ascii="宋体" w:hAnsi="宋体" w:eastAsia="宋体" w:cs="宋体"/>
          <w:sz w:val="20"/>
          <w:szCs w:val="20"/>
        </w:rPr>
      </w:pPr>
      <w:r>
        <w:rPr>
          <w:rFonts w:ascii="宋体" w:hAnsi="宋体" w:eastAsia="宋体" w:cs="宋体"/>
          <w:spacing w:val="8"/>
          <w:sz w:val="20"/>
          <w:szCs w:val="20"/>
        </w:rPr>
        <w:t>实验流行病学主要用于评估干预措施的效果，在进行研究设计时首先要根据临床或预防的需</w:t>
      </w:r>
      <w:r>
        <w:rPr>
          <w:rFonts w:ascii="宋体" w:hAnsi="宋体" w:eastAsia="宋体" w:cs="宋体"/>
          <w:spacing w:val="1"/>
          <w:sz w:val="20"/>
          <w:szCs w:val="20"/>
        </w:rPr>
        <w:t xml:space="preserve"> </w:t>
      </w:r>
      <w:r>
        <w:rPr>
          <w:rFonts w:ascii="宋体" w:hAnsi="宋体" w:eastAsia="宋体" w:cs="宋体"/>
          <w:spacing w:val="5"/>
          <w:sz w:val="20"/>
          <w:szCs w:val="20"/>
        </w:rPr>
        <w:t>要，基于系统的文献复习，提出明确具体的研究问题。研究问题应根据</w:t>
      </w:r>
      <w:r>
        <w:rPr>
          <w:rFonts w:ascii="Times New Roman" w:hAnsi="Times New Roman" w:eastAsia="Times New Roman" w:cs="Times New Roman"/>
          <w:sz w:val="20"/>
          <w:szCs w:val="20"/>
        </w:rPr>
        <w:t>PICO</w:t>
      </w:r>
      <w:r>
        <w:rPr>
          <w:rFonts w:ascii="Times New Roman" w:hAnsi="Times New Roman" w:eastAsia="Times New Roman" w:cs="Times New Roman"/>
          <w:spacing w:val="38"/>
          <w:sz w:val="20"/>
          <w:szCs w:val="20"/>
        </w:rPr>
        <w:t xml:space="preserve"> </w:t>
      </w:r>
      <w:r>
        <w:rPr>
          <w:rFonts w:ascii="宋体" w:hAnsi="宋体" w:eastAsia="宋体" w:cs="宋体"/>
          <w:spacing w:val="5"/>
          <w:sz w:val="20"/>
          <w:szCs w:val="20"/>
        </w:rPr>
        <w:t>的框架进行</w:t>
      </w:r>
      <w:r>
        <w:rPr>
          <w:rFonts w:ascii="宋体" w:hAnsi="宋体" w:eastAsia="宋体" w:cs="宋体"/>
          <w:spacing w:val="4"/>
          <w:sz w:val="20"/>
          <w:szCs w:val="20"/>
        </w:rPr>
        <w:t>构建，即</w:t>
      </w:r>
      <w:r>
        <w:rPr>
          <w:rFonts w:ascii="宋体" w:hAnsi="宋体" w:eastAsia="宋体" w:cs="宋体"/>
          <w:sz w:val="20"/>
          <w:szCs w:val="20"/>
        </w:rPr>
        <w:t xml:space="preserve"> </w:t>
      </w:r>
      <w:r>
        <w:rPr>
          <w:rFonts w:ascii="宋体" w:hAnsi="宋体" w:eastAsia="宋体" w:cs="宋体"/>
          <w:spacing w:val="3"/>
          <w:sz w:val="20"/>
          <w:szCs w:val="20"/>
        </w:rPr>
        <w:t>对实际临床或公共卫生决策中所涉及的病人</w:t>
      </w:r>
      <w:r>
        <w:rPr>
          <w:rFonts w:ascii="Times New Roman" w:hAnsi="Times New Roman" w:eastAsia="Times New Roman" w:cs="Times New Roman"/>
          <w:spacing w:val="3"/>
          <w:sz w:val="20"/>
          <w:szCs w:val="20"/>
        </w:rPr>
        <w:t>(</w:t>
      </w:r>
      <w:r>
        <w:rPr>
          <w:rFonts w:ascii="Times New Roman" w:hAnsi="Times New Roman" w:eastAsia="Times New Roman" w:cs="Times New Roman"/>
          <w:sz w:val="20"/>
          <w:szCs w:val="20"/>
        </w:rPr>
        <w:t>patient</w:t>
      </w:r>
      <w:r>
        <w:rPr>
          <w:rFonts w:ascii="Times New Roman" w:hAnsi="Times New Roman" w:eastAsia="Times New Roman" w:cs="Times New Roman"/>
          <w:spacing w:val="3"/>
          <w:sz w:val="20"/>
          <w:szCs w:val="20"/>
        </w:rPr>
        <w:t xml:space="preserve">)  </w:t>
      </w:r>
      <w:r>
        <w:rPr>
          <w:rFonts w:ascii="宋体" w:hAnsi="宋体" w:eastAsia="宋体" w:cs="宋体"/>
          <w:spacing w:val="3"/>
          <w:sz w:val="20"/>
          <w:szCs w:val="20"/>
        </w:rPr>
        <w:t>或人群</w:t>
      </w:r>
      <w:r>
        <w:rPr>
          <w:rFonts w:ascii="Times New Roman" w:hAnsi="Times New Roman" w:eastAsia="Times New Roman" w:cs="Times New Roman"/>
          <w:spacing w:val="3"/>
          <w:sz w:val="20"/>
          <w:szCs w:val="20"/>
        </w:rPr>
        <w:t>(</w:t>
      </w:r>
      <w:r>
        <w:rPr>
          <w:rFonts w:ascii="Times New Roman" w:hAnsi="Times New Roman" w:eastAsia="Times New Roman" w:cs="Times New Roman"/>
          <w:sz w:val="20"/>
          <w:szCs w:val="20"/>
        </w:rPr>
        <w:t>population</w:t>
      </w:r>
      <w:r>
        <w:rPr>
          <w:rFonts w:ascii="Times New Roman" w:hAnsi="Times New Roman" w:eastAsia="Times New Roman" w:cs="Times New Roman"/>
          <w:spacing w:val="3"/>
          <w:sz w:val="20"/>
          <w:szCs w:val="20"/>
        </w:rPr>
        <w:t>)</w:t>
      </w:r>
      <w:r>
        <w:rPr>
          <w:rFonts w:ascii="Times New Roman" w:hAnsi="Times New Roman" w:eastAsia="Times New Roman" w:cs="Times New Roman"/>
          <w:spacing w:val="-28"/>
          <w:sz w:val="20"/>
          <w:szCs w:val="20"/>
        </w:rPr>
        <w:t xml:space="preserve"> </w:t>
      </w:r>
      <w:r>
        <w:rPr>
          <w:rFonts w:ascii="宋体" w:hAnsi="宋体" w:eastAsia="宋体" w:cs="宋体"/>
          <w:spacing w:val="3"/>
          <w:sz w:val="20"/>
          <w:szCs w:val="20"/>
        </w:rPr>
        <w:t>、干</w:t>
      </w:r>
      <w:r>
        <w:rPr>
          <w:rFonts w:ascii="宋体" w:hAnsi="宋体" w:eastAsia="宋体" w:cs="宋体"/>
          <w:spacing w:val="-35"/>
          <w:sz w:val="20"/>
          <w:szCs w:val="20"/>
        </w:rPr>
        <w:t xml:space="preserve"> </w:t>
      </w:r>
      <w:r>
        <w:rPr>
          <w:rFonts w:ascii="宋体" w:hAnsi="宋体" w:eastAsia="宋体" w:cs="宋体"/>
          <w:spacing w:val="3"/>
          <w:sz w:val="20"/>
          <w:szCs w:val="20"/>
        </w:rPr>
        <w:t>预</w:t>
      </w:r>
      <w:r>
        <w:rPr>
          <w:rFonts w:ascii="Times New Roman" w:hAnsi="Times New Roman" w:eastAsia="Times New Roman" w:cs="Times New Roman"/>
          <w:spacing w:val="2"/>
          <w:sz w:val="20"/>
          <w:szCs w:val="20"/>
        </w:rPr>
        <w:t>(</w:t>
      </w:r>
      <w:r>
        <w:rPr>
          <w:rFonts w:ascii="Times New Roman" w:hAnsi="Times New Roman" w:eastAsia="Times New Roman" w:cs="Times New Roman"/>
          <w:sz w:val="20"/>
          <w:szCs w:val="20"/>
        </w:rPr>
        <w:t>intervention</w:t>
      </w:r>
      <w:r>
        <w:rPr>
          <w:rFonts w:ascii="Times New Roman" w:hAnsi="Times New Roman" w:eastAsia="Times New Roman" w:cs="Times New Roman"/>
          <w:spacing w:val="2"/>
          <w:sz w:val="20"/>
          <w:szCs w:val="20"/>
        </w:rPr>
        <w:t>)</w:t>
      </w:r>
      <w:r>
        <w:rPr>
          <w:rFonts w:ascii="Times New Roman" w:hAnsi="Times New Roman" w:eastAsia="Times New Roman" w:cs="Times New Roman"/>
          <w:spacing w:val="-28"/>
          <w:sz w:val="20"/>
          <w:szCs w:val="20"/>
        </w:rPr>
        <w:t xml:space="preserve"> </w:t>
      </w:r>
      <w:r>
        <w:rPr>
          <w:rFonts w:ascii="宋体" w:hAnsi="宋体" w:eastAsia="宋体" w:cs="宋体"/>
          <w:spacing w:val="2"/>
          <w:sz w:val="20"/>
          <w:szCs w:val="20"/>
        </w:rPr>
        <w:t>、对</w:t>
      </w:r>
      <w:r>
        <w:rPr>
          <w:rFonts w:ascii="宋体" w:hAnsi="宋体" w:eastAsia="宋体" w:cs="宋体"/>
          <w:spacing w:val="-23"/>
          <w:sz w:val="20"/>
          <w:szCs w:val="20"/>
        </w:rPr>
        <w:t xml:space="preserve"> </w:t>
      </w:r>
      <w:r>
        <w:rPr>
          <w:rFonts w:ascii="宋体" w:hAnsi="宋体" w:eastAsia="宋体" w:cs="宋体"/>
          <w:spacing w:val="2"/>
          <w:sz w:val="20"/>
          <w:szCs w:val="20"/>
        </w:rPr>
        <w:t>照</w:t>
      </w:r>
      <w:r>
        <w:rPr>
          <w:rFonts w:ascii="宋体" w:hAnsi="宋体" w:eastAsia="宋体" w:cs="宋体"/>
          <w:sz w:val="20"/>
          <w:szCs w:val="20"/>
        </w:rPr>
        <w:t xml:space="preserve"> </w:t>
      </w:r>
      <w:r>
        <w:rPr>
          <w:rFonts w:ascii="Times New Roman" w:hAnsi="Times New Roman" w:eastAsia="Times New Roman" w:cs="Times New Roman"/>
          <w:sz w:val="20"/>
          <w:szCs w:val="20"/>
        </w:rPr>
        <w:t>(control)</w:t>
      </w:r>
      <w:r>
        <w:rPr>
          <w:rFonts w:ascii="Times New Roman" w:hAnsi="Times New Roman" w:eastAsia="Times New Roman" w:cs="Times New Roman"/>
          <w:spacing w:val="-29"/>
          <w:sz w:val="20"/>
          <w:szCs w:val="20"/>
        </w:rPr>
        <w:t xml:space="preserve"> </w:t>
      </w:r>
      <w:r>
        <w:rPr>
          <w:rFonts w:ascii="宋体" w:hAnsi="宋体" w:eastAsia="宋体" w:cs="宋体"/>
          <w:sz w:val="20"/>
          <w:szCs w:val="20"/>
        </w:rPr>
        <w:t>、结</w:t>
      </w:r>
      <w:r>
        <w:rPr>
          <w:rFonts w:ascii="宋体" w:hAnsi="宋体" w:eastAsia="宋体" w:cs="宋体"/>
          <w:spacing w:val="-40"/>
          <w:sz w:val="20"/>
          <w:szCs w:val="20"/>
        </w:rPr>
        <w:t xml:space="preserve"> </w:t>
      </w:r>
      <w:r>
        <w:rPr>
          <w:rFonts w:ascii="宋体" w:hAnsi="宋体" w:eastAsia="宋体" w:cs="宋体"/>
          <w:sz w:val="20"/>
          <w:szCs w:val="20"/>
        </w:rPr>
        <w:t>局</w:t>
      </w:r>
      <w:r>
        <w:rPr>
          <w:rFonts w:ascii="Times New Roman" w:hAnsi="Times New Roman" w:eastAsia="Times New Roman" w:cs="Times New Roman"/>
          <w:sz w:val="20"/>
          <w:szCs w:val="20"/>
        </w:rPr>
        <w:t xml:space="preserve">(outcome)  </w:t>
      </w:r>
      <w:r>
        <w:rPr>
          <w:rFonts w:ascii="宋体" w:hAnsi="宋体" w:eastAsia="宋体" w:cs="宋体"/>
          <w:sz w:val="20"/>
          <w:szCs w:val="20"/>
        </w:rPr>
        <w:t>四个方面分别进行明确的定义。例如：前面提到的</w:t>
      </w:r>
      <w:r>
        <w:rPr>
          <w:rFonts w:ascii="Times New Roman" w:hAnsi="Times New Roman" w:eastAsia="Times New Roman" w:cs="Times New Roman"/>
          <w:sz w:val="20"/>
          <w:szCs w:val="20"/>
        </w:rPr>
        <w:t>CHANCE</w:t>
      </w:r>
      <w:r>
        <w:rPr>
          <w:rFonts w:ascii="Times New Roman" w:hAnsi="Times New Roman" w:eastAsia="Times New Roman" w:cs="Times New Roman"/>
          <w:spacing w:val="-14"/>
          <w:sz w:val="20"/>
          <w:szCs w:val="20"/>
        </w:rPr>
        <w:t xml:space="preserve"> </w:t>
      </w:r>
      <w:r>
        <w:rPr>
          <w:rFonts w:ascii="宋体" w:hAnsi="宋体" w:eastAsia="宋体" w:cs="宋体"/>
          <w:sz w:val="20"/>
          <w:szCs w:val="20"/>
        </w:rPr>
        <w:t xml:space="preserve">研究，研究对 </w:t>
      </w:r>
      <w:r>
        <w:rPr>
          <w:rFonts w:ascii="宋体" w:hAnsi="宋体" w:eastAsia="宋体" w:cs="宋体"/>
          <w:spacing w:val="11"/>
          <w:sz w:val="20"/>
          <w:szCs w:val="20"/>
        </w:rPr>
        <w:t>象是急性非致残性脑血管事件高危人群(急</w:t>
      </w:r>
      <w:r>
        <w:rPr>
          <w:rFonts w:ascii="宋体" w:hAnsi="宋体" w:eastAsia="宋体" w:cs="宋体"/>
          <w:spacing w:val="10"/>
          <w:sz w:val="20"/>
          <w:szCs w:val="20"/>
        </w:rPr>
        <w:t>性小卒中或短暂性脑缺血发作),待评价的干预措施是</w:t>
      </w:r>
      <w:r>
        <w:rPr>
          <w:rFonts w:ascii="宋体" w:hAnsi="宋体" w:eastAsia="宋体" w:cs="宋体"/>
          <w:sz w:val="20"/>
          <w:szCs w:val="20"/>
        </w:rPr>
        <w:t xml:space="preserve"> </w:t>
      </w:r>
      <w:r>
        <w:rPr>
          <w:rFonts w:ascii="宋体" w:hAnsi="宋体" w:eastAsia="宋体" w:cs="宋体"/>
          <w:spacing w:val="1"/>
          <w:sz w:val="20"/>
          <w:szCs w:val="20"/>
        </w:rPr>
        <w:t>氯吡格雷与阿司匹林联合使用，对照是阿司</w:t>
      </w:r>
      <w:r>
        <w:rPr>
          <w:rFonts w:ascii="宋体" w:hAnsi="宋体" w:eastAsia="宋体" w:cs="宋体"/>
          <w:sz w:val="20"/>
          <w:szCs w:val="20"/>
        </w:rPr>
        <w:t>匹林单用，结局是卒中复发风险。</w:t>
      </w:r>
    </w:p>
    <w:p w14:paraId="2D750263">
      <w:pPr>
        <w:spacing w:before="46" w:line="219" w:lineRule="auto"/>
        <w:ind w:left="1070"/>
        <w:rPr>
          <w:rFonts w:ascii="宋体" w:hAnsi="宋体" w:eastAsia="宋体" w:cs="宋体"/>
          <w:sz w:val="20"/>
          <w:szCs w:val="20"/>
        </w:rPr>
      </w:pPr>
      <w:r>
        <w:rPr>
          <w:rFonts w:ascii="宋体" w:hAnsi="宋体" w:eastAsia="宋体" w:cs="宋体"/>
          <w:spacing w:val="8"/>
          <w:sz w:val="20"/>
          <w:szCs w:val="20"/>
        </w:rPr>
        <w:t>在构建问题以后，还要对问题框架的四个方面进行非常详细的定义。病人的定义不仅应包括</w:t>
      </w:r>
    </w:p>
    <w:p w14:paraId="562AE5E1">
      <w:pPr>
        <w:spacing w:line="219" w:lineRule="auto"/>
        <w:rPr>
          <w:rFonts w:ascii="宋体" w:hAnsi="宋体" w:eastAsia="宋体" w:cs="宋体"/>
          <w:sz w:val="20"/>
          <w:szCs w:val="20"/>
        </w:rPr>
        <w:sectPr>
          <w:headerReference r:id="rId120" w:type="default"/>
          <w:footerReference r:id="rId121" w:type="default"/>
          <w:pgSz w:w="11900" w:h="16820"/>
          <w:pgMar w:top="400" w:right="1519" w:bottom="809" w:left="899" w:header="0" w:footer="629" w:gutter="0"/>
          <w:cols w:space="720" w:num="1"/>
        </w:sectPr>
      </w:pPr>
    </w:p>
    <w:p w14:paraId="02C196B4">
      <w:pPr>
        <w:pStyle w:val="2"/>
        <w:spacing w:before="206" w:line="221" w:lineRule="auto"/>
        <w:ind w:left="7279"/>
        <w:rPr>
          <w:sz w:val="20"/>
          <w:szCs w:val="20"/>
        </w:rPr>
      </w:pPr>
      <w:r>
        <w:rPr>
          <w:spacing w:val="-18"/>
          <w:sz w:val="20"/>
          <w:szCs w:val="20"/>
        </w:rPr>
        <w:t>第六章 实验流行病学</w:t>
      </w:r>
    </w:p>
    <w:p w14:paraId="23984898">
      <w:pPr>
        <w:spacing w:line="276" w:lineRule="auto"/>
        <w:rPr>
          <w:rFonts w:ascii="Arial"/>
          <w:sz w:val="21"/>
        </w:rPr>
      </w:pPr>
    </w:p>
    <w:p w14:paraId="1943A868">
      <w:pPr>
        <w:spacing w:line="277" w:lineRule="auto"/>
        <w:rPr>
          <w:rFonts w:ascii="Arial"/>
          <w:sz w:val="21"/>
        </w:rPr>
      </w:pPr>
    </w:p>
    <w:p w14:paraId="5C653D40">
      <w:pPr>
        <w:spacing w:before="65" w:line="342" w:lineRule="auto"/>
        <w:ind w:right="639"/>
        <w:jc w:val="both"/>
        <w:rPr>
          <w:rFonts w:ascii="宋体" w:hAnsi="宋体" w:eastAsia="宋体" w:cs="宋体"/>
          <w:sz w:val="20"/>
          <w:szCs w:val="20"/>
        </w:rPr>
      </w:pPr>
      <w:r>
        <w:rPr>
          <w:rFonts w:ascii="宋体" w:hAnsi="宋体" w:eastAsia="宋体" w:cs="宋体"/>
          <w:spacing w:val="4"/>
          <w:sz w:val="20"/>
          <w:szCs w:val="20"/>
        </w:rPr>
        <w:t>疾病的诊断标准，还应考虑年龄、性别、病程、既往史</w:t>
      </w:r>
      <w:r>
        <w:rPr>
          <w:rFonts w:ascii="宋体" w:hAnsi="宋体" w:eastAsia="宋体" w:cs="宋体"/>
          <w:spacing w:val="3"/>
          <w:sz w:val="20"/>
          <w:szCs w:val="20"/>
        </w:rPr>
        <w:t>、治疗史等方面的信息。干预和对照应考虑治</w:t>
      </w:r>
      <w:r>
        <w:rPr>
          <w:rFonts w:ascii="宋体" w:hAnsi="宋体" w:eastAsia="宋体" w:cs="宋体"/>
          <w:sz w:val="20"/>
          <w:szCs w:val="20"/>
        </w:rPr>
        <w:t xml:space="preserve"> </w:t>
      </w:r>
      <w:r>
        <w:rPr>
          <w:rFonts w:ascii="宋体" w:hAnsi="宋体" w:eastAsia="宋体" w:cs="宋体"/>
          <w:spacing w:val="9"/>
          <w:sz w:val="20"/>
          <w:szCs w:val="20"/>
        </w:rPr>
        <w:t>疗的强度、频率、途径等。结局方面要定义测量的方</w:t>
      </w:r>
      <w:r>
        <w:rPr>
          <w:rFonts w:ascii="宋体" w:hAnsi="宋体" w:eastAsia="宋体" w:cs="宋体"/>
          <w:spacing w:val="8"/>
          <w:sz w:val="20"/>
          <w:szCs w:val="20"/>
        </w:rPr>
        <w:t>法和时间。详细的定义不仅可以使研究问题变</w:t>
      </w:r>
      <w:r>
        <w:rPr>
          <w:rFonts w:ascii="宋体" w:hAnsi="宋体" w:eastAsia="宋体" w:cs="宋体"/>
          <w:sz w:val="20"/>
          <w:szCs w:val="20"/>
        </w:rPr>
        <w:t xml:space="preserve"> </w:t>
      </w:r>
      <w:r>
        <w:rPr>
          <w:rFonts w:ascii="宋体" w:hAnsi="宋体" w:eastAsia="宋体" w:cs="宋体"/>
          <w:spacing w:val="7"/>
          <w:sz w:val="20"/>
          <w:szCs w:val="20"/>
        </w:rPr>
        <w:t>得清晰，而且有助于决策者评价研究结果的外推性。</w:t>
      </w:r>
    </w:p>
    <w:p w14:paraId="4792FDE5">
      <w:pPr>
        <w:pStyle w:val="2"/>
        <w:spacing w:before="185" w:line="221" w:lineRule="auto"/>
        <w:ind w:left="423"/>
        <w:outlineLvl w:val="2"/>
        <w:rPr>
          <w:sz w:val="26"/>
          <w:szCs w:val="26"/>
        </w:rPr>
      </w:pPr>
      <w:bookmarkStart w:id="165" w:name="bookmark454"/>
      <w:bookmarkEnd w:id="165"/>
      <w:bookmarkStart w:id="166" w:name="bookmark107"/>
      <w:bookmarkEnd w:id="166"/>
      <w:r>
        <w:rPr>
          <w:b/>
          <w:bCs/>
          <w:spacing w:val="-8"/>
          <w:sz w:val="26"/>
          <w:szCs w:val="26"/>
        </w:rPr>
        <w:t>二、确定试验现场</w:t>
      </w:r>
    </w:p>
    <w:p w14:paraId="506BF549">
      <w:pPr>
        <w:spacing w:before="261" w:line="219" w:lineRule="auto"/>
        <w:ind w:left="419"/>
        <w:rPr>
          <w:rFonts w:ascii="宋体" w:hAnsi="宋体" w:eastAsia="宋体" w:cs="宋体"/>
          <w:sz w:val="20"/>
          <w:szCs w:val="20"/>
        </w:rPr>
      </w:pPr>
      <w:r>
        <w:rPr>
          <w:rFonts w:ascii="宋体" w:hAnsi="宋体" w:eastAsia="宋体" w:cs="宋体"/>
          <w:spacing w:val="7"/>
          <w:sz w:val="20"/>
          <w:szCs w:val="20"/>
        </w:rPr>
        <w:t>根据不同试验目的选择具备一定条件的试验现场，通常考虑以下几个方</w:t>
      </w:r>
      <w:r>
        <w:rPr>
          <w:rFonts w:ascii="宋体" w:hAnsi="宋体" w:eastAsia="宋体" w:cs="宋体"/>
          <w:spacing w:val="6"/>
          <w:sz w:val="20"/>
          <w:szCs w:val="20"/>
        </w:rPr>
        <w:t>面：</w:t>
      </w:r>
    </w:p>
    <w:p w14:paraId="63DEABC0">
      <w:pPr>
        <w:spacing w:before="154" w:line="219" w:lineRule="auto"/>
        <w:ind w:left="419"/>
        <w:rPr>
          <w:rFonts w:ascii="宋体" w:hAnsi="宋体" w:eastAsia="宋体" w:cs="宋体"/>
          <w:sz w:val="20"/>
          <w:szCs w:val="20"/>
        </w:rPr>
      </w:pPr>
      <w:r>
        <w:rPr>
          <w:rFonts w:ascii="宋体" w:hAnsi="宋体" w:eastAsia="宋体" w:cs="宋体"/>
          <w:spacing w:val="3"/>
          <w:sz w:val="20"/>
          <w:szCs w:val="20"/>
        </w:rPr>
        <w:t>1.</w:t>
      </w:r>
      <w:r>
        <w:rPr>
          <w:rFonts w:ascii="宋体" w:hAnsi="宋体" w:eastAsia="宋体" w:cs="宋体"/>
          <w:spacing w:val="-32"/>
          <w:sz w:val="20"/>
          <w:szCs w:val="20"/>
        </w:rPr>
        <w:t xml:space="preserve"> </w:t>
      </w:r>
      <w:r>
        <w:rPr>
          <w:rFonts w:ascii="宋体" w:hAnsi="宋体" w:eastAsia="宋体" w:cs="宋体"/>
          <w:spacing w:val="3"/>
          <w:sz w:val="20"/>
          <w:szCs w:val="20"/>
        </w:rPr>
        <w:t>试验现场人口相对稳定，流动性小，并要有足够的数量。</w:t>
      </w:r>
    </w:p>
    <w:p w14:paraId="1EAB8BE1">
      <w:pPr>
        <w:spacing w:before="131" w:line="286" w:lineRule="auto"/>
        <w:ind w:right="639" w:firstLine="419"/>
        <w:rPr>
          <w:rFonts w:ascii="宋体" w:hAnsi="宋体" w:eastAsia="宋体" w:cs="宋体"/>
          <w:sz w:val="20"/>
          <w:szCs w:val="20"/>
        </w:rPr>
      </w:pPr>
      <w:r>
        <w:rPr>
          <w:rFonts w:ascii="宋体" w:hAnsi="宋体" w:eastAsia="宋体" w:cs="宋体"/>
          <w:spacing w:val="7"/>
          <w:sz w:val="20"/>
          <w:szCs w:val="20"/>
        </w:rPr>
        <w:t>2.</w:t>
      </w:r>
      <w:r>
        <w:rPr>
          <w:rFonts w:ascii="宋体" w:hAnsi="宋体" w:eastAsia="宋体" w:cs="宋体"/>
          <w:spacing w:val="-40"/>
          <w:sz w:val="20"/>
          <w:szCs w:val="20"/>
        </w:rPr>
        <w:t xml:space="preserve"> </w:t>
      </w:r>
      <w:r>
        <w:rPr>
          <w:rFonts w:ascii="宋体" w:hAnsi="宋体" w:eastAsia="宋体" w:cs="宋体"/>
          <w:spacing w:val="7"/>
          <w:sz w:val="20"/>
          <w:szCs w:val="20"/>
        </w:rPr>
        <w:t>试验研究的疾病在该地区有较高而稳定的发病率，以期在试验结束时，能有</w:t>
      </w:r>
      <w:r>
        <w:rPr>
          <w:rFonts w:ascii="宋体" w:hAnsi="宋体" w:eastAsia="宋体" w:cs="宋体"/>
          <w:spacing w:val="6"/>
          <w:sz w:val="20"/>
          <w:szCs w:val="20"/>
        </w:rPr>
        <w:t>足够的发病人数</w:t>
      </w:r>
      <w:r>
        <w:rPr>
          <w:rFonts w:ascii="宋体" w:hAnsi="宋体" w:eastAsia="宋体" w:cs="宋体"/>
          <w:sz w:val="20"/>
          <w:szCs w:val="20"/>
        </w:rPr>
        <w:t xml:space="preserve"> </w:t>
      </w:r>
      <w:r>
        <w:rPr>
          <w:rFonts w:ascii="宋体" w:hAnsi="宋体" w:eastAsia="宋体" w:cs="宋体"/>
          <w:spacing w:val="10"/>
          <w:sz w:val="20"/>
          <w:szCs w:val="20"/>
        </w:rPr>
        <w:t>达到有效的统计分析。</w:t>
      </w:r>
    </w:p>
    <w:p w14:paraId="7D7AEDD5">
      <w:pPr>
        <w:spacing w:before="129" w:line="218" w:lineRule="auto"/>
        <w:ind w:left="419"/>
        <w:rPr>
          <w:rFonts w:ascii="宋体" w:hAnsi="宋体" w:eastAsia="宋体" w:cs="宋体"/>
          <w:sz w:val="20"/>
          <w:szCs w:val="20"/>
        </w:rPr>
      </w:pPr>
      <w:r>
        <w:rPr>
          <w:rFonts w:ascii="宋体" w:hAnsi="宋体" w:eastAsia="宋体" w:cs="宋体"/>
          <w:spacing w:val="7"/>
          <w:sz w:val="20"/>
          <w:szCs w:val="20"/>
        </w:rPr>
        <w:t>3.</w:t>
      </w:r>
      <w:r>
        <w:rPr>
          <w:rFonts w:ascii="宋体" w:hAnsi="宋体" w:eastAsia="宋体" w:cs="宋体"/>
          <w:spacing w:val="-18"/>
          <w:sz w:val="20"/>
          <w:szCs w:val="20"/>
        </w:rPr>
        <w:t xml:space="preserve"> </w:t>
      </w:r>
      <w:r>
        <w:rPr>
          <w:rFonts w:ascii="宋体" w:hAnsi="宋体" w:eastAsia="宋体" w:cs="宋体"/>
          <w:spacing w:val="7"/>
          <w:sz w:val="20"/>
          <w:szCs w:val="20"/>
        </w:rPr>
        <w:t>评价疫苗的免疫学效果时，应选择近期内未发生该疾</w:t>
      </w:r>
      <w:r>
        <w:rPr>
          <w:rFonts w:ascii="宋体" w:hAnsi="宋体" w:eastAsia="宋体" w:cs="宋体"/>
          <w:spacing w:val="6"/>
          <w:sz w:val="20"/>
          <w:szCs w:val="20"/>
        </w:rPr>
        <w:t>病流行的地区。</w:t>
      </w:r>
    </w:p>
    <w:p w14:paraId="216B241E">
      <w:pPr>
        <w:spacing w:before="135" w:line="280" w:lineRule="auto"/>
        <w:ind w:right="639" w:firstLine="419"/>
        <w:rPr>
          <w:rFonts w:ascii="宋体" w:hAnsi="宋体" w:eastAsia="宋体" w:cs="宋体"/>
          <w:sz w:val="20"/>
          <w:szCs w:val="20"/>
        </w:rPr>
      </w:pPr>
      <w:r>
        <w:rPr>
          <w:rFonts w:ascii="宋体" w:hAnsi="宋体" w:eastAsia="宋体" w:cs="宋体"/>
          <w:spacing w:val="6"/>
          <w:sz w:val="20"/>
          <w:szCs w:val="20"/>
        </w:rPr>
        <w:t>4.</w:t>
      </w:r>
      <w:r>
        <w:rPr>
          <w:rFonts w:ascii="宋体" w:hAnsi="宋体" w:eastAsia="宋体" w:cs="宋体"/>
          <w:spacing w:val="-5"/>
          <w:sz w:val="20"/>
          <w:szCs w:val="20"/>
        </w:rPr>
        <w:t xml:space="preserve"> </w:t>
      </w:r>
      <w:r>
        <w:rPr>
          <w:rFonts w:ascii="宋体" w:hAnsi="宋体" w:eastAsia="宋体" w:cs="宋体"/>
          <w:spacing w:val="6"/>
          <w:sz w:val="20"/>
          <w:szCs w:val="20"/>
        </w:rPr>
        <w:t>试验地区有较好的医疗卫生条件，卫生防疫保健机构比较健全，登记报告制度较完善，医疗</w:t>
      </w:r>
      <w:r>
        <w:rPr>
          <w:rFonts w:ascii="宋体" w:hAnsi="宋体" w:eastAsia="宋体" w:cs="宋体"/>
          <w:sz w:val="20"/>
          <w:szCs w:val="20"/>
        </w:rPr>
        <w:t xml:space="preserve"> </w:t>
      </w:r>
      <w:r>
        <w:rPr>
          <w:rFonts w:ascii="宋体" w:hAnsi="宋体" w:eastAsia="宋体" w:cs="宋体"/>
          <w:spacing w:val="10"/>
          <w:sz w:val="20"/>
          <w:szCs w:val="20"/>
        </w:rPr>
        <w:t>机构诊治水平较高等。</w:t>
      </w:r>
    </w:p>
    <w:p w14:paraId="4B9A468B">
      <w:pPr>
        <w:spacing w:before="144" w:line="219" w:lineRule="auto"/>
        <w:ind w:left="419"/>
        <w:rPr>
          <w:rFonts w:ascii="宋体" w:hAnsi="宋体" w:eastAsia="宋体" w:cs="宋体"/>
          <w:sz w:val="20"/>
          <w:szCs w:val="20"/>
        </w:rPr>
      </w:pPr>
      <w:r>
        <w:rPr>
          <w:rFonts w:ascii="宋体" w:hAnsi="宋体" w:eastAsia="宋体" w:cs="宋体"/>
          <w:spacing w:val="6"/>
          <w:sz w:val="20"/>
          <w:szCs w:val="20"/>
        </w:rPr>
        <w:t>5.</w:t>
      </w:r>
      <w:r>
        <w:rPr>
          <w:rFonts w:ascii="宋体" w:hAnsi="宋体" w:eastAsia="宋体" w:cs="宋体"/>
          <w:spacing w:val="-29"/>
          <w:sz w:val="20"/>
          <w:szCs w:val="20"/>
        </w:rPr>
        <w:t xml:space="preserve"> </w:t>
      </w:r>
      <w:r>
        <w:rPr>
          <w:rFonts w:ascii="宋体" w:hAnsi="宋体" w:eastAsia="宋体" w:cs="宋体"/>
          <w:spacing w:val="6"/>
          <w:sz w:val="20"/>
          <w:szCs w:val="20"/>
        </w:rPr>
        <w:t>试验地区(单位)领导重视，群众愿意接受，有较好的协作配合的条</w:t>
      </w:r>
      <w:r>
        <w:rPr>
          <w:rFonts w:ascii="宋体" w:hAnsi="宋体" w:eastAsia="宋体" w:cs="宋体"/>
          <w:spacing w:val="5"/>
          <w:sz w:val="20"/>
          <w:szCs w:val="20"/>
        </w:rPr>
        <w:t>件等。</w:t>
      </w:r>
    </w:p>
    <w:p w14:paraId="00978FFF">
      <w:pPr>
        <w:pStyle w:val="2"/>
        <w:spacing w:before="300" w:line="222" w:lineRule="auto"/>
        <w:ind w:left="423"/>
        <w:outlineLvl w:val="2"/>
        <w:rPr>
          <w:sz w:val="26"/>
          <w:szCs w:val="26"/>
        </w:rPr>
      </w:pPr>
      <w:bookmarkStart w:id="167" w:name="bookmark108"/>
      <w:bookmarkEnd w:id="167"/>
      <w:r>
        <w:rPr>
          <w:b/>
          <w:bCs/>
          <w:spacing w:val="-8"/>
          <w:sz w:val="26"/>
          <w:szCs w:val="26"/>
        </w:rPr>
        <w:t>三、选择研究对象</w:t>
      </w:r>
    </w:p>
    <w:p w14:paraId="17C5273D">
      <w:pPr>
        <w:spacing w:before="259" w:line="346" w:lineRule="auto"/>
        <w:ind w:right="637" w:firstLine="419"/>
        <w:rPr>
          <w:rFonts w:ascii="宋体" w:hAnsi="宋体" w:eastAsia="宋体" w:cs="宋体"/>
          <w:sz w:val="20"/>
          <w:szCs w:val="20"/>
        </w:rPr>
      </w:pPr>
      <w:r>
        <w:rPr>
          <w:rFonts w:ascii="宋体" w:hAnsi="宋体" w:eastAsia="宋体" w:cs="宋体"/>
          <w:spacing w:val="8"/>
          <w:sz w:val="20"/>
          <w:szCs w:val="20"/>
        </w:rPr>
        <w:t>根据研究目的的不同，受试人群(即研究对象)选择的标准也不同，应制定出严格的人选和排除</w:t>
      </w:r>
      <w:r>
        <w:rPr>
          <w:rFonts w:ascii="宋体" w:hAnsi="宋体" w:eastAsia="宋体" w:cs="宋体"/>
          <w:spacing w:val="13"/>
          <w:sz w:val="20"/>
          <w:szCs w:val="20"/>
        </w:rPr>
        <w:t xml:space="preserve"> </w:t>
      </w:r>
      <w:r>
        <w:rPr>
          <w:rFonts w:ascii="宋体" w:hAnsi="宋体" w:eastAsia="宋体" w:cs="宋体"/>
          <w:spacing w:val="8"/>
          <w:sz w:val="20"/>
          <w:szCs w:val="20"/>
        </w:rPr>
        <w:t>标准，避免某些外来因素的影响。选择研究对象的主要</w:t>
      </w:r>
      <w:r>
        <w:rPr>
          <w:rFonts w:ascii="宋体" w:hAnsi="宋体" w:eastAsia="宋体" w:cs="宋体"/>
          <w:spacing w:val="7"/>
          <w:sz w:val="20"/>
          <w:szCs w:val="20"/>
        </w:rPr>
        <w:t>原则有以下几点：</w:t>
      </w:r>
    </w:p>
    <w:p w14:paraId="54540CC3">
      <w:pPr>
        <w:pStyle w:val="2"/>
        <w:spacing w:before="3" w:line="316" w:lineRule="auto"/>
        <w:ind w:right="547" w:firstLine="419"/>
        <w:rPr>
          <w:rFonts w:ascii="宋体" w:hAnsi="宋体" w:eastAsia="宋体" w:cs="宋体"/>
          <w:sz w:val="20"/>
          <w:szCs w:val="20"/>
        </w:rPr>
      </w:pPr>
      <w:r>
        <w:rPr>
          <w:rFonts w:ascii="宋体" w:hAnsi="宋体" w:eastAsia="宋体" w:cs="宋体"/>
          <w:spacing w:val="10"/>
          <w:sz w:val="20"/>
          <w:szCs w:val="20"/>
        </w:rPr>
        <w:t xml:space="preserve">1. </w:t>
      </w:r>
      <w:r>
        <w:rPr>
          <w:spacing w:val="10"/>
          <w:sz w:val="20"/>
          <w:szCs w:val="20"/>
        </w:rPr>
        <w:t xml:space="preserve">选择干预措施可能起效的人群  </w:t>
      </w:r>
      <w:r>
        <w:rPr>
          <w:rFonts w:ascii="宋体" w:hAnsi="宋体" w:eastAsia="宋体" w:cs="宋体"/>
          <w:spacing w:val="10"/>
          <w:sz w:val="20"/>
          <w:szCs w:val="20"/>
        </w:rPr>
        <w:t>如在现场试验中，对某疫苗的预防效果进行评价，应选择</w:t>
      </w:r>
      <w:r>
        <w:rPr>
          <w:rFonts w:ascii="宋体" w:hAnsi="宋体" w:eastAsia="宋体" w:cs="宋体"/>
          <w:spacing w:val="8"/>
          <w:sz w:val="20"/>
          <w:szCs w:val="20"/>
        </w:rPr>
        <w:t xml:space="preserve">  </w:t>
      </w:r>
      <w:r>
        <w:rPr>
          <w:rFonts w:ascii="宋体" w:hAnsi="宋体" w:eastAsia="宋体" w:cs="宋体"/>
          <w:spacing w:val="14"/>
          <w:sz w:val="20"/>
          <w:szCs w:val="20"/>
        </w:rPr>
        <w:t>某病的易感人群为研究对象，要防止将病人或非易感者选人。在临床试验中，选择病例要有统一</w:t>
      </w:r>
      <w:r>
        <w:rPr>
          <w:rFonts w:ascii="宋体" w:hAnsi="宋体" w:eastAsia="宋体" w:cs="宋体"/>
          <w:spacing w:val="1"/>
          <w:sz w:val="20"/>
          <w:szCs w:val="20"/>
        </w:rPr>
        <w:t xml:space="preserve"> </w:t>
      </w:r>
      <w:r>
        <w:rPr>
          <w:rFonts w:ascii="宋体" w:hAnsi="宋体" w:eastAsia="宋体" w:cs="宋体"/>
          <w:spacing w:val="6"/>
          <w:sz w:val="20"/>
          <w:szCs w:val="20"/>
        </w:rPr>
        <w:t>的、公认的诊断标准，而且最好利用客观的诊断指标，避免把未患病者选人而影响研究</w:t>
      </w:r>
      <w:r>
        <w:rPr>
          <w:rFonts w:ascii="宋体" w:hAnsi="宋体" w:eastAsia="宋体" w:cs="宋体"/>
          <w:spacing w:val="5"/>
          <w:sz w:val="20"/>
          <w:szCs w:val="20"/>
        </w:rPr>
        <w:t>的真实效果。</w:t>
      </w:r>
      <w:r>
        <w:rPr>
          <w:rFonts w:ascii="宋体" w:hAnsi="宋体" w:eastAsia="宋体" w:cs="宋体"/>
          <w:sz w:val="20"/>
          <w:szCs w:val="20"/>
        </w:rPr>
        <w:t xml:space="preserve"> </w:t>
      </w:r>
      <w:r>
        <w:rPr>
          <w:rFonts w:ascii="宋体" w:hAnsi="宋体" w:eastAsia="宋体" w:cs="宋体"/>
          <w:spacing w:val="4"/>
          <w:sz w:val="20"/>
          <w:szCs w:val="20"/>
        </w:rPr>
        <w:t>要注意研究对象的代表性，样本应具备总体的某些基本特征，如性别、年龄、疾病类型</w:t>
      </w:r>
      <w:r>
        <w:rPr>
          <w:rFonts w:ascii="宋体" w:hAnsi="宋体" w:eastAsia="宋体" w:cs="宋体"/>
          <w:spacing w:val="3"/>
          <w:sz w:val="20"/>
          <w:szCs w:val="20"/>
        </w:rPr>
        <w:t>、病情轻重及</w:t>
      </w:r>
      <w:r>
        <w:rPr>
          <w:rFonts w:ascii="宋体" w:hAnsi="宋体" w:eastAsia="宋体" w:cs="宋体"/>
          <w:sz w:val="20"/>
          <w:szCs w:val="20"/>
        </w:rPr>
        <w:t xml:space="preserve">  </w:t>
      </w:r>
      <w:r>
        <w:rPr>
          <w:rFonts w:ascii="宋体" w:hAnsi="宋体" w:eastAsia="宋体" w:cs="宋体"/>
          <w:spacing w:val="9"/>
          <w:sz w:val="20"/>
          <w:szCs w:val="20"/>
        </w:rPr>
        <w:t>有无合并症等，其比例要能代表总体；还要注意轻型病例固然能</w:t>
      </w:r>
      <w:r>
        <w:rPr>
          <w:rFonts w:ascii="宋体" w:hAnsi="宋体" w:eastAsia="宋体" w:cs="宋体"/>
          <w:spacing w:val="8"/>
          <w:sz w:val="20"/>
          <w:szCs w:val="20"/>
        </w:rPr>
        <w:t>取得较好的药物治疗效果，但有自</w:t>
      </w:r>
      <w:r>
        <w:rPr>
          <w:rFonts w:ascii="宋体" w:hAnsi="宋体" w:eastAsia="宋体" w:cs="宋体"/>
          <w:sz w:val="20"/>
          <w:szCs w:val="20"/>
        </w:rPr>
        <w:t xml:space="preserve">  </w:t>
      </w:r>
      <w:r>
        <w:rPr>
          <w:rFonts w:ascii="宋体" w:hAnsi="宋体" w:eastAsia="宋体" w:cs="宋体"/>
          <w:spacing w:val="4"/>
          <w:sz w:val="20"/>
          <w:szCs w:val="20"/>
        </w:rPr>
        <w:t>然康复的趋向，且即使设立了严格的对照组，并得到阳性结果，也仅说明对轻型</w:t>
      </w:r>
      <w:r>
        <w:rPr>
          <w:rFonts w:ascii="宋体" w:hAnsi="宋体" w:eastAsia="宋体" w:cs="宋体"/>
          <w:spacing w:val="3"/>
          <w:sz w:val="20"/>
          <w:szCs w:val="20"/>
        </w:rPr>
        <w:t>病人有效，还不能说</w:t>
      </w:r>
      <w:r>
        <w:rPr>
          <w:rFonts w:ascii="宋体" w:hAnsi="宋体" w:eastAsia="宋体" w:cs="宋体"/>
          <w:sz w:val="20"/>
          <w:szCs w:val="20"/>
        </w:rPr>
        <w:t xml:space="preserve">  </w:t>
      </w:r>
      <w:r>
        <w:rPr>
          <w:rFonts w:ascii="宋体" w:hAnsi="宋体" w:eastAsia="宋体" w:cs="宋体"/>
          <w:spacing w:val="7"/>
          <w:sz w:val="20"/>
          <w:szCs w:val="20"/>
        </w:rPr>
        <w:t>明对各类病人都有效。</w:t>
      </w:r>
    </w:p>
    <w:p w14:paraId="6B59A715">
      <w:pPr>
        <w:pStyle w:val="2"/>
        <w:spacing w:before="189" w:line="295" w:lineRule="auto"/>
        <w:ind w:right="547" w:firstLine="419"/>
        <w:rPr>
          <w:rFonts w:ascii="宋体" w:hAnsi="宋体" w:eastAsia="宋体" w:cs="宋体"/>
          <w:sz w:val="20"/>
          <w:szCs w:val="20"/>
        </w:rPr>
      </w:pPr>
      <w:r>
        <w:rPr>
          <w:rFonts w:ascii="宋体" w:hAnsi="宋体" w:eastAsia="宋体" w:cs="宋体"/>
          <w:spacing w:val="13"/>
          <w:sz w:val="20"/>
          <w:szCs w:val="20"/>
        </w:rPr>
        <w:t xml:space="preserve">2. </w:t>
      </w:r>
      <w:r>
        <w:rPr>
          <w:spacing w:val="13"/>
          <w:sz w:val="20"/>
          <w:szCs w:val="20"/>
        </w:rPr>
        <w:t>选择预期发病率较高的人群</w:t>
      </w:r>
      <w:r>
        <w:rPr>
          <w:spacing w:val="5"/>
          <w:sz w:val="20"/>
          <w:szCs w:val="20"/>
        </w:rPr>
        <w:t xml:space="preserve">  </w:t>
      </w:r>
      <w:r>
        <w:rPr>
          <w:rFonts w:ascii="宋体" w:hAnsi="宋体" w:eastAsia="宋体" w:cs="宋体"/>
          <w:spacing w:val="13"/>
          <w:sz w:val="20"/>
          <w:szCs w:val="20"/>
        </w:rPr>
        <w:t>如评价疫苗的预防效果，应选择在疾病高发区人群</w:t>
      </w:r>
      <w:r>
        <w:rPr>
          <w:rFonts w:ascii="宋体" w:hAnsi="宋体" w:eastAsia="宋体" w:cs="宋体"/>
          <w:spacing w:val="12"/>
          <w:sz w:val="20"/>
          <w:szCs w:val="20"/>
        </w:rPr>
        <w:t>中进行。</w:t>
      </w:r>
      <w:r>
        <w:rPr>
          <w:rFonts w:ascii="宋体" w:hAnsi="宋体" w:eastAsia="宋体" w:cs="宋体"/>
          <w:sz w:val="20"/>
          <w:szCs w:val="20"/>
        </w:rPr>
        <w:t xml:space="preserve"> </w:t>
      </w:r>
      <w:r>
        <w:rPr>
          <w:rFonts w:ascii="宋体" w:hAnsi="宋体" w:eastAsia="宋体" w:cs="宋体"/>
          <w:spacing w:val="14"/>
          <w:sz w:val="20"/>
          <w:szCs w:val="20"/>
        </w:rPr>
        <w:t>药物疗效试验亦多选择高危人群。如平喘解痉药物的疗</w:t>
      </w:r>
      <w:r>
        <w:rPr>
          <w:rFonts w:ascii="宋体" w:hAnsi="宋体" w:eastAsia="宋体" w:cs="宋体"/>
          <w:spacing w:val="13"/>
          <w:sz w:val="20"/>
          <w:szCs w:val="20"/>
        </w:rPr>
        <w:t>效试验，最好选择近期频繁发作过支气管</w:t>
      </w:r>
      <w:r>
        <w:rPr>
          <w:rFonts w:ascii="宋体" w:hAnsi="宋体" w:eastAsia="宋体" w:cs="宋体"/>
          <w:sz w:val="20"/>
          <w:szCs w:val="20"/>
        </w:rPr>
        <w:t xml:space="preserve">  </w:t>
      </w:r>
      <w:r>
        <w:rPr>
          <w:rFonts w:ascii="宋体" w:hAnsi="宋体" w:eastAsia="宋体" w:cs="宋体"/>
          <w:spacing w:val="10"/>
          <w:sz w:val="20"/>
          <w:szCs w:val="20"/>
        </w:rPr>
        <w:t>哮喘的病人作为研究对象。</w:t>
      </w:r>
    </w:p>
    <w:p w14:paraId="4F521251">
      <w:pPr>
        <w:pStyle w:val="2"/>
        <w:spacing w:before="172" w:line="295" w:lineRule="auto"/>
        <w:ind w:right="639" w:firstLine="419"/>
        <w:rPr>
          <w:rFonts w:ascii="宋体" w:hAnsi="宋体" w:eastAsia="宋体" w:cs="宋体"/>
          <w:sz w:val="20"/>
          <w:szCs w:val="20"/>
        </w:rPr>
      </w:pPr>
      <w:r>
        <w:rPr>
          <w:rFonts w:ascii="宋体" w:hAnsi="宋体" w:eastAsia="宋体" w:cs="宋体"/>
          <w:spacing w:val="11"/>
          <w:sz w:val="20"/>
          <w:szCs w:val="20"/>
        </w:rPr>
        <w:t xml:space="preserve">3. </w:t>
      </w:r>
      <w:r>
        <w:rPr>
          <w:spacing w:val="11"/>
          <w:sz w:val="20"/>
          <w:szCs w:val="20"/>
        </w:rPr>
        <w:t>选择干预对其无害的人群</w:t>
      </w:r>
      <w:r>
        <w:rPr>
          <w:spacing w:val="96"/>
          <w:sz w:val="20"/>
          <w:szCs w:val="20"/>
        </w:rPr>
        <w:t xml:space="preserve"> </w:t>
      </w:r>
      <w:r>
        <w:rPr>
          <w:rFonts w:ascii="宋体" w:hAnsi="宋体" w:eastAsia="宋体" w:cs="宋体"/>
          <w:spacing w:val="11"/>
          <w:sz w:val="20"/>
          <w:szCs w:val="20"/>
        </w:rPr>
        <w:t>若干预对其有害，不应选作研究对象。因此，在新药临床试验</w:t>
      </w:r>
      <w:r>
        <w:rPr>
          <w:rFonts w:ascii="宋体" w:hAnsi="宋体" w:eastAsia="宋体" w:cs="宋体"/>
          <w:sz w:val="20"/>
          <w:szCs w:val="20"/>
        </w:rPr>
        <w:t xml:space="preserve"> </w:t>
      </w:r>
      <w:r>
        <w:rPr>
          <w:rFonts w:ascii="宋体" w:hAnsi="宋体" w:eastAsia="宋体" w:cs="宋体"/>
          <w:spacing w:val="4"/>
          <w:sz w:val="20"/>
          <w:szCs w:val="20"/>
        </w:rPr>
        <w:t>时，往往将老年人、儿童、孕妇除外，因为这些人易发生药物不良反应。又如</w:t>
      </w:r>
      <w:r>
        <w:rPr>
          <w:rFonts w:ascii="宋体" w:hAnsi="宋体" w:eastAsia="宋体" w:cs="宋体"/>
          <w:spacing w:val="3"/>
          <w:sz w:val="20"/>
          <w:szCs w:val="20"/>
        </w:rPr>
        <w:t>，有胃出血史者不应选</w:t>
      </w:r>
      <w:r>
        <w:rPr>
          <w:rFonts w:ascii="宋体" w:hAnsi="宋体" w:eastAsia="宋体" w:cs="宋体"/>
          <w:sz w:val="20"/>
          <w:szCs w:val="20"/>
        </w:rPr>
        <w:t xml:space="preserve"> </w:t>
      </w:r>
      <w:r>
        <w:rPr>
          <w:rFonts w:ascii="宋体" w:hAnsi="宋体" w:eastAsia="宋体" w:cs="宋体"/>
          <w:spacing w:val="9"/>
          <w:sz w:val="20"/>
          <w:szCs w:val="20"/>
        </w:rPr>
        <w:t>作抗炎药物试验的研究对象。</w:t>
      </w:r>
    </w:p>
    <w:p w14:paraId="1F7FB7FD">
      <w:pPr>
        <w:pStyle w:val="2"/>
        <w:spacing w:before="151" w:line="295" w:lineRule="auto"/>
        <w:ind w:right="547" w:firstLine="419"/>
        <w:rPr>
          <w:rFonts w:ascii="宋体" w:hAnsi="宋体" w:eastAsia="宋体" w:cs="宋体"/>
          <w:sz w:val="20"/>
          <w:szCs w:val="20"/>
        </w:rPr>
      </w:pPr>
      <w:r>
        <w:rPr>
          <w:rFonts w:ascii="宋体" w:hAnsi="宋体" w:eastAsia="宋体" w:cs="宋体"/>
          <w:spacing w:val="13"/>
          <w:sz w:val="20"/>
          <w:szCs w:val="20"/>
        </w:rPr>
        <w:t xml:space="preserve">4. </w:t>
      </w:r>
      <w:r>
        <w:rPr>
          <w:spacing w:val="13"/>
          <w:sz w:val="20"/>
          <w:szCs w:val="20"/>
        </w:rPr>
        <w:t>选择能将试验坚持到底的人群</w:t>
      </w:r>
      <w:r>
        <w:rPr>
          <w:spacing w:val="4"/>
          <w:sz w:val="20"/>
          <w:szCs w:val="20"/>
        </w:rPr>
        <w:t xml:space="preserve">  </w:t>
      </w:r>
      <w:r>
        <w:rPr>
          <w:rFonts w:ascii="宋体" w:hAnsi="宋体" w:eastAsia="宋体" w:cs="宋体"/>
          <w:spacing w:val="13"/>
          <w:sz w:val="20"/>
          <w:szCs w:val="20"/>
        </w:rPr>
        <w:t>预计在试验过程中就有可能被剔除者不应作为研</w:t>
      </w:r>
      <w:r>
        <w:rPr>
          <w:rFonts w:ascii="宋体" w:hAnsi="宋体" w:eastAsia="宋体" w:cs="宋体"/>
          <w:spacing w:val="12"/>
          <w:sz w:val="20"/>
          <w:szCs w:val="20"/>
        </w:rPr>
        <w:t>究对象，</w:t>
      </w:r>
      <w:r>
        <w:rPr>
          <w:rFonts w:ascii="宋体" w:hAnsi="宋体" w:eastAsia="宋体" w:cs="宋体"/>
          <w:spacing w:val="1"/>
          <w:sz w:val="20"/>
          <w:szCs w:val="20"/>
        </w:rPr>
        <w:t xml:space="preserve"> </w:t>
      </w:r>
      <w:r>
        <w:rPr>
          <w:rFonts w:ascii="宋体" w:hAnsi="宋体" w:eastAsia="宋体" w:cs="宋体"/>
          <w:spacing w:val="8"/>
          <w:sz w:val="20"/>
          <w:szCs w:val="20"/>
        </w:rPr>
        <w:t>例如一种新药治疗脑出血后肢体瘫痪的临床试验研究，通常将伴有癌症者、有严重肾病和肝病者除</w:t>
      </w:r>
      <w:r>
        <w:rPr>
          <w:rFonts w:ascii="宋体" w:hAnsi="宋体" w:eastAsia="宋体" w:cs="宋体"/>
          <w:spacing w:val="2"/>
          <w:sz w:val="20"/>
          <w:szCs w:val="20"/>
        </w:rPr>
        <w:t xml:space="preserve">  </w:t>
      </w:r>
      <w:r>
        <w:rPr>
          <w:rFonts w:ascii="宋体" w:hAnsi="宋体" w:eastAsia="宋体" w:cs="宋体"/>
          <w:spacing w:val="8"/>
          <w:sz w:val="20"/>
          <w:szCs w:val="20"/>
        </w:rPr>
        <w:t>外，因为这些人可能在研究尚未结束前即死亡或因病情严重而被迫停止试验。</w:t>
      </w:r>
    </w:p>
    <w:p w14:paraId="63306D50">
      <w:pPr>
        <w:pStyle w:val="2"/>
        <w:spacing w:before="122" w:line="221" w:lineRule="auto"/>
        <w:ind w:left="419"/>
        <w:rPr>
          <w:rFonts w:ascii="宋体" w:hAnsi="宋体" w:eastAsia="宋体" w:cs="宋体"/>
          <w:sz w:val="20"/>
          <w:szCs w:val="20"/>
        </w:rPr>
      </w:pPr>
      <w:r>
        <w:rPr>
          <w:rFonts w:ascii="宋体" w:hAnsi="宋体" w:eastAsia="宋体" w:cs="宋体"/>
          <w:spacing w:val="11"/>
          <w:sz w:val="20"/>
          <w:szCs w:val="20"/>
        </w:rPr>
        <w:t xml:space="preserve">5. </w:t>
      </w:r>
      <w:r>
        <w:rPr>
          <w:spacing w:val="11"/>
          <w:sz w:val="20"/>
          <w:szCs w:val="20"/>
        </w:rPr>
        <w:t>选择依从性好的人群</w:t>
      </w:r>
      <w:r>
        <w:rPr>
          <w:spacing w:val="99"/>
          <w:sz w:val="20"/>
          <w:szCs w:val="20"/>
        </w:rPr>
        <w:t xml:space="preserve"> </w:t>
      </w:r>
      <w:r>
        <w:rPr>
          <w:rFonts w:ascii="宋体" w:hAnsi="宋体" w:eastAsia="宋体" w:cs="宋体"/>
          <w:spacing w:val="11"/>
          <w:sz w:val="20"/>
          <w:szCs w:val="20"/>
        </w:rPr>
        <w:t>所谓依从性是指</w:t>
      </w:r>
      <w:r>
        <w:rPr>
          <w:rFonts w:ascii="宋体" w:hAnsi="宋体" w:eastAsia="宋体" w:cs="宋体"/>
          <w:spacing w:val="10"/>
          <w:sz w:val="20"/>
          <w:szCs w:val="20"/>
        </w:rPr>
        <w:t>研究对象能服从试验设计安排并能密切配合到底。</w:t>
      </w:r>
    </w:p>
    <w:p w14:paraId="66EBA626">
      <w:pPr>
        <w:pStyle w:val="2"/>
        <w:spacing w:before="303" w:line="224" w:lineRule="auto"/>
        <w:ind w:left="423"/>
        <w:outlineLvl w:val="2"/>
        <w:rPr>
          <w:sz w:val="26"/>
          <w:szCs w:val="26"/>
        </w:rPr>
      </w:pPr>
      <w:bookmarkStart w:id="168" w:name="bookmark109"/>
      <w:bookmarkEnd w:id="168"/>
      <w:r>
        <w:rPr>
          <w:b/>
          <w:bCs/>
          <w:spacing w:val="-6"/>
          <w:sz w:val="26"/>
          <w:szCs w:val="26"/>
        </w:rPr>
        <w:t>四、估计样本量</w:t>
      </w:r>
    </w:p>
    <w:p w14:paraId="2E4A12D3">
      <w:pPr>
        <w:spacing w:before="244" w:line="343" w:lineRule="auto"/>
        <w:ind w:right="639" w:firstLine="419"/>
        <w:jc w:val="both"/>
        <w:rPr>
          <w:rFonts w:ascii="宋体" w:hAnsi="宋体" w:eastAsia="宋体" w:cs="宋体"/>
          <w:sz w:val="20"/>
          <w:szCs w:val="20"/>
        </w:rPr>
      </w:pPr>
      <w:r>
        <w:rPr>
          <w:rFonts w:ascii="宋体" w:hAnsi="宋体" w:eastAsia="宋体" w:cs="宋体"/>
          <w:spacing w:val="14"/>
          <w:sz w:val="20"/>
          <w:szCs w:val="20"/>
        </w:rPr>
        <w:t>试验组与对照组应有足够的数量，以保证研究结束时两组能呈</w:t>
      </w:r>
      <w:r>
        <w:rPr>
          <w:rFonts w:ascii="宋体" w:hAnsi="宋体" w:eastAsia="宋体" w:cs="宋体"/>
          <w:spacing w:val="13"/>
          <w:sz w:val="20"/>
          <w:szCs w:val="20"/>
        </w:rPr>
        <w:t>现统计学上的显著性差异。但</w:t>
      </w:r>
      <w:r>
        <w:rPr>
          <w:rFonts w:ascii="宋体" w:hAnsi="宋体" w:eastAsia="宋体" w:cs="宋体"/>
          <w:sz w:val="20"/>
          <w:szCs w:val="20"/>
        </w:rPr>
        <w:t xml:space="preserve"> </w:t>
      </w:r>
      <w:r>
        <w:rPr>
          <w:rFonts w:ascii="宋体" w:hAnsi="宋体" w:eastAsia="宋体" w:cs="宋体"/>
          <w:spacing w:val="3"/>
          <w:sz w:val="20"/>
          <w:szCs w:val="20"/>
        </w:rPr>
        <w:t>不是研究对象越多越好，样本量过大不仅导致人力、物力、财力和时间的浪费，而且给试验的质量控</w:t>
      </w:r>
      <w:r>
        <w:rPr>
          <w:rFonts w:ascii="宋体" w:hAnsi="宋体" w:eastAsia="宋体" w:cs="宋体"/>
          <w:spacing w:val="15"/>
          <w:sz w:val="20"/>
          <w:szCs w:val="20"/>
        </w:rPr>
        <w:t xml:space="preserve"> </w:t>
      </w:r>
      <w:r>
        <w:rPr>
          <w:rFonts w:ascii="宋体" w:hAnsi="宋体" w:eastAsia="宋体" w:cs="宋体"/>
          <w:spacing w:val="7"/>
          <w:sz w:val="20"/>
          <w:szCs w:val="20"/>
        </w:rPr>
        <w:t>制带来许多困难。</w:t>
      </w:r>
    </w:p>
    <w:p w14:paraId="6312D5CB">
      <w:pPr>
        <w:spacing w:line="343" w:lineRule="auto"/>
        <w:rPr>
          <w:rFonts w:ascii="宋体" w:hAnsi="宋体" w:eastAsia="宋体" w:cs="宋体"/>
          <w:sz w:val="20"/>
          <w:szCs w:val="20"/>
        </w:rPr>
        <w:sectPr>
          <w:footerReference r:id="rId122" w:type="default"/>
          <w:pgSz w:w="11900" w:h="16820"/>
          <w:pgMar w:top="400" w:right="862" w:bottom="809" w:left="1430" w:header="0" w:footer="629" w:gutter="0"/>
          <w:cols w:space="720" w:num="1"/>
        </w:sectPr>
      </w:pPr>
    </w:p>
    <w:p w14:paraId="7E9391F9">
      <w:pPr>
        <w:pStyle w:val="2"/>
        <w:spacing w:before="276" w:line="221" w:lineRule="auto"/>
        <w:ind w:left="739"/>
        <w:rPr>
          <w:sz w:val="19"/>
          <w:szCs w:val="19"/>
        </w:rPr>
      </w:pPr>
      <w:bookmarkStart w:id="169" w:name="bookmark455"/>
      <w:bookmarkEnd w:id="169"/>
      <w:r>
        <w:rPr>
          <w:spacing w:val="-1"/>
          <w:sz w:val="19"/>
          <w:szCs w:val="19"/>
        </w:rPr>
        <w:t>第六章实验流行病学</w:t>
      </w:r>
    </w:p>
    <w:p w14:paraId="4924F3F3">
      <w:pPr>
        <w:spacing w:line="274" w:lineRule="auto"/>
        <w:rPr>
          <w:rFonts w:ascii="Arial"/>
          <w:sz w:val="21"/>
        </w:rPr>
      </w:pPr>
    </w:p>
    <w:p w14:paraId="1273FC46">
      <w:pPr>
        <w:spacing w:line="275" w:lineRule="auto"/>
        <w:rPr>
          <w:rFonts w:ascii="Arial"/>
          <w:sz w:val="21"/>
        </w:rPr>
      </w:pPr>
    </w:p>
    <w:p w14:paraId="40D10F06">
      <w:pPr>
        <w:pStyle w:val="2"/>
        <w:spacing w:before="61" w:line="222" w:lineRule="auto"/>
        <w:ind w:left="1190"/>
        <w:rPr>
          <w:sz w:val="19"/>
          <w:szCs w:val="19"/>
        </w:rPr>
      </w:pPr>
      <w:r>
        <w:rPr>
          <w:spacing w:val="11"/>
          <w:sz w:val="19"/>
          <w:szCs w:val="19"/>
        </w:rPr>
        <w:t>1. 影响样本量大小的主要因素</w:t>
      </w:r>
    </w:p>
    <w:p w14:paraId="2A3821C3">
      <w:pPr>
        <w:spacing w:before="170" w:line="310" w:lineRule="auto"/>
        <w:ind w:left="749" w:right="20" w:firstLine="390"/>
        <w:rPr>
          <w:rFonts w:ascii="宋体" w:hAnsi="宋体" w:eastAsia="宋体" w:cs="宋体"/>
          <w:sz w:val="19"/>
          <w:szCs w:val="19"/>
        </w:rPr>
      </w:pPr>
      <w:r>
        <w:rPr>
          <w:rFonts w:ascii="宋体" w:hAnsi="宋体" w:eastAsia="宋体" w:cs="宋体"/>
          <w:spacing w:val="12"/>
          <w:sz w:val="19"/>
          <w:szCs w:val="19"/>
        </w:rPr>
        <w:t>(1)干预因素实施前、后研究人群中疾病的发生率：干</w:t>
      </w:r>
      <w:r>
        <w:rPr>
          <w:rFonts w:ascii="宋体" w:hAnsi="宋体" w:eastAsia="宋体" w:cs="宋体"/>
          <w:spacing w:val="11"/>
          <w:sz w:val="19"/>
          <w:szCs w:val="19"/>
        </w:rPr>
        <w:t>预前人群发生率越高，干预后效果越好，</w:t>
      </w:r>
      <w:r>
        <w:rPr>
          <w:rFonts w:ascii="宋体" w:hAnsi="宋体" w:eastAsia="宋体" w:cs="宋体"/>
          <w:sz w:val="19"/>
          <w:szCs w:val="19"/>
        </w:rPr>
        <w:t xml:space="preserve"> </w:t>
      </w:r>
      <w:r>
        <w:rPr>
          <w:rFonts w:ascii="宋体" w:hAnsi="宋体" w:eastAsia="宋体" w:cs="宋体"/>
          <w:spacing w:val="12"/>
          <w:sz w:val="19"/>
          <w:szCs w:val="19"/>
        </w:rPr>
        <w:t>即发病率或死亡率越低，所需样本量越小。反之，就要大些。这些数据可以根据以往的研究结果或</w:t>
      </w:r>
      <w:r>
        <w:rPr>
          <w:rFonts w:ascii="宋体" w:hAnsi="宋体" w:eastAsia="宋体" w:cs="宋体"/>
          <w:spacing w:val="5"/>
          <w:sz w:val="19"/>
          <w:szCs w:val="19"/>
        </w:rPr>
        <w:t xml:space="preserve">  </w:t>
      </w:r>
      <w:r>
        <w:rPr>
          <w:rFonts w:ascii="宋体" w:hAnsi="宋体" w:eastAsia="宋体" w:cs="宋体"/>
          <w:spacing w:val="9"/>
          <w:sz w:val="19"/>
          <w:szCs w:val="19"/>
        </w:rPr>
        <w:t>预试验</w:t>
      </w:r>
      <w:r>
        <w:rPr>
          <w:rFonts w:ascii="Times New Roman" w:hAnsi="Times New Roman" w:eastAsia="Times New Roman" w:cs="Times New Roman"/>
          <w:spacing w:val="9"/>
          <w:sz w:val="19"/>
          <w:szCs w:val="19"/>
        </w:rPr>
        <w:t>(</w:t>
      </w:r>
      <w:r>
        <w:rPr>
          <w:rFonts w:ascii="Times New Roman" w:hAnsi="Times New Roman" w:eastAsia="Times New Roman" w:cs="Times New Roman"/>
          <w:sz w:val="19"/>
          <w:szCs w:val="19"/>
        </w:rPr>
        <w:t>pilot</w:t>
      </w:r>
      <w:r>
        <w:rPr>
          <w:rFonts w:ascii="Times New Roman" w:hAnsi="Times New Roman" w:eastAsia="Times New Roman" w:cs="Times New Roman"/>
          <w:spacing w:val="9"/>
          <w:sz w:val="19"/>
          <w:szCs w:val="19"/>
        </w:rPr>
        <w:t xml:space="preserve">    </w:t>
      </w:r>
      <w:r>
        <w:rPr>
          <w:rFonts w:ascii="Times New Roman" w:hAnsi="Times New Roman" w:eastAsia="Times New Roman" w:cs="Times New Roman"/>
          <w:sz w:val="19"/>
          <w:szCs w:val="19"/>
        </w:rPr>
        <w:t>study</w:t>
      </w:r>
      <w:r>
        <w:rPr>
          <w:rFonts w:ascii="Times New Roman" w:hAnsi="Times New Roman" w:eastAsia="Times New Roman" w:cs="Times New Roman"/>
          <w:spacing w:val="9"/>
          <w:sz w:val="19"/>
          <w:szCs w:val="19"/>
        </w:rPr>
        <w:t>)</w:t>
      </w:r>
      <w:r>
        <w:rPr>
          <w:rFonts w:ascii="宋体" w:hAnsi="宋体" w:eastAsia="宋体" w:cs="宋体"/>
          <w:spacing w:val="9"/>
          <w:sz w:val="19"/>
          <w:szCs w:val="19"/>
        </w:rPr>
        <w:t>的结果估计。</w:t>
      </w:r>
    </w:p>
    <w:p w14:paraId="23817802">
      <w:pPr>
        <w:spacing w:before="172" w:line="219" w:lineRule="auto"/>
        <w:ind w:left="1130"/>
        <w:rPr>
          <w:rFonts w:ascii="宋体" w:hAnsi="宋体" w:eastAsia="宋体" w:cs="宋体"/>
          <w:sz w:val="19"/>
          <w:szCs w:val="19"/>
        </w:rPr>
      </w:pPr>
      <w:r>
        <w:rPr>
          <w:rFonts w:ascii="宋体" w:hAnsi="宋体" w:eastAsia="宋体" w:cs="宋体"/>
          <w:spacing w:val="15"/>
          <w:sz w:val="19"/>
          <w:szCs w:val="19"/>
        </w:rPr>
        <w:t>(2)显著性水平：即检验假设时的第</w:t>
      </w:r>
      <w:r>
        <w:rPr>
          <w:rFonts w:ascii="Times New Roman" w:hAnsi="Times New Roman" w:eastAsia="Times New Roman" w:cs="Times New Roman"/>
          <w:spacing w:val="15"/>
          <w:sz w:val="19"/>
          <w:szCs w:val="19"/>
        </w:rPr>
        <w:t xml:space="preserve">I </w:t>
      </w:r>
      <w:r>
        <w:rPr>
          <w:rFonts w:ascii="宋体" w:hAnsi="宋体" w:eastAsia="宋体" w:cs="宋体"/>
          <w:spacing w:val="15"/>
          <w:sz w:val="19"/>
          <w:szCs w:val="19"/>
        </w:rPr>
        <w:t>类错误的α值。</w:t>
      </w:r>
    </w:p>
    <w:p w14:paraId="18336DBE">
      <w:pPr>
        <w:spacing w:before="134" w:line="212" w:lineRule="auto"/>
        <w:ind w:left="1130"/>
        <w:rPr>
          <w:rFonts w:ascii="宋体" w:hAnsi="宋体" w:eastAsia="宋体" w:cs="宋体"/>
          <w:sz w:val="19"/>
          <w:szCs w:val="19"/>
        </w:rPr>
      </w:pPr>
      <w:r>
        <w:rPr>
          <w:rFonts w:ascii="宋体" w:hAnsi="宋体" w:eastAsia="宋体" w:cs="宋体"/>
          <w:spacing w:val="7"/>
          <w:sz w:val="19"/>
          <w:szCs w:val="19"/>
        </w:rPr>
        <w:t>(</w:t>
      </w:r>
      <w:r>
        <w:rPr>
          <w:rFonts w:ascii="宋体" w:hAnsi="宋体" w:eastAsia="宋体" w:cs="宋体"/>
          <w:spacing w:val="-36"/>
          <w:sz w:val="19"/>
          <w:szCs w:val="19"/>
        </w:rPr>
        <w:t xml:space="preserve"> </w:t>
      </w:r>
      <w:r>
        <w:rPr>
          <w:rFonts w:ascii="宋体" w:hAnsi="宋体" w:eastAsia="宋体" w:cs="宋体"/>
          <w:spacing w:val="7"/>
          <w:sz w:val="19"/>
          <w:szCs w:val="19"/>
        </w:rPr>
        <w:t>3</w:t>
      </w:r>
      <w:r>
        <w:rPr>
          <w:rFonts w:ascii="宋体" w:hAnsi="宋体" w:eastAsia="宋体" w:cs="宋体"/>
          <w:spacing w:val="-40"/>
          <w:sz w:val="19"/>
          <w:szCs w:val="19"/>
        </w:rPr>
        <w:t xml:space="preserve"> </w:t>
      </w:r>
      <w:r>
        <w:rPr>
          <w:rFonts w:ascii="宋体" w:hAnsi="宋体" w:eastAsia="宋体" w:cs="宋体"/>
          <w:spacing w:val="7"/>
          <w:sz w:val="19"/>
          <w:szCs w:val="19"/>
        </w:rPr>
        <w:t>)</w:t>
      </w:r>
      <w:r>
        <w:rPr>
          <w:rFonts w:ascii="宋体" w:hAnsi="宋体" w:eastAsia="宋体" w:cs="宋体"/>
          <w:spacing w:val="-40"/>
          <w:sz w:val="19"/>
          <w:szCs w:val="19"/>
        </w:rPr>
        <w:t xml:space="preserve"> </w:t>
      </w:r>
      <w:r>
        <w:rPr>
          <w:rFonts w:ascii="宋体" w:hAnsi="宋体" w:eastAsia="宋体" w:cs="宋体"/>
          <w:spacing w:val="7"/>
          <w:sz w:val="19"/>
          <w:szCs w:val="19"/>
        </w:rPr>
        <w:t>把</w:t>
      </w:r>
      <w:r>
        <w:rPr>
          <w:rFonts w:ascii="宋体" w:hAnsi="宋体" w:eastAsia="宋体" w:cs="宋体"/>
          <w:spacing w:val="-40"/>
          <w:sz w:val="19"/>
          <w:szCs w:val="19"/>
        </w:rPr>
        <w:t xml:space="preserve"> </w:t>
      </w:r>
      <w:r>
        <w:rPr>
          <w:rFonts w:ascii="宋体" w:hAnsi="宋体" w:eastAsia="宋体" w:cs="宋体"/>
          <w:spacing w:val="7"/>
          <w:sz w:val="19"/>
          <w:szCs w:val="19"/>
        </w:rPr>
        <w:t>握</w:t>
      </w:r>
      <w:r>
        <w:rPr>
          <w:rFonts w:ascii="宋体" w:hAnsi="宋体" w:eastAsia="宋体" w:cs="宋体"/>
          <w:spacing w:val="-41"/>
          <w:sz w:val="19"/>
          <w:szCs w:val="19"/>
        </w:rPr>
        <w:t xml:space="preserve"> </w:t>
      </w:r>
      <w:r>
        <w:rPr>
          <w:rFonts w:ascii="宋体" w:hAnsi="宋体" w:eastAsia="宋体" w:cs="宋体"/>
          <w:spacing w:val="7"/>
          <w:sz w:val="19"/>
          <w:szCs w:val="19"/>
        </w:rPr>
        <w:t>度</w:t>
      </w:r>
      <w:r>
        <w:rPr>
          <w:rFonts w:ascii="Times New Roman" w:hAnsi="Times New Roman" w:eastAsia="Times New Roman" w:cs="Times New Roman"/>
          <w:spacing w:val="7"/>
          <w:sz w:val="19"/>
          <w:szCs w:val="19"/>
        </w:rPr>
        <w:t>(</w:t>
      </w:r>
      <w:r>
        <w:rPr>
          <w:rFonts w:ascii="Times New Roman" w:hAnsi="Times New Roman" w:eastAsia="Times New Roman" w:cs="Times New Roman"/>
          <w:sz w:val="19"/>
          <w:szCs w:val="19"/>
        </w:rPr>
        <w:t>power</w:t>
      </w:r>
      <w:r>
        <w:rPr>
          <w:rFonts w:ascii="Times New Roman" w:hAnsi="Times New Roman" w:eastAsia="Times New Roman" w:cs="Times New Roman"/>
          <w:spacing w:val="7"/>
          <w:sz w:val="19"/>
          <w:szCs w:val="19"/>
        </w:rPr>
        <w:t xml:space="preserve">):   </w:t>
      </w:r>
      <w:r>
        <w:rPr>
          <w:rFonts w:ascii="宋体" w:hAnsi="宋体" w:eastAsia="宋体" w:cs="宋体"/>
          <w:spacing w:val="7"/>
          <w:sz w:val="19"/>
          <w:szCs w:val="19"/>
        </w:rPr>
        <w:t>即1-</w:t>
      </w:r>
      <w:r>
        <w:rPr>
          <w:rFonts w:ascii="宋体" w:hAnsi="宋体" w:eastAsia="宋体" w:cs="宋体"/>
          <w:spacing w:val="-30"/>
          <w:sz w:val="19"/>
          <w:szCs w:val="19"/>
        </w:rPr>
        <w:t xml:space="preserve"> </w:t>
      </w:r>
      <w:r>
        <w:rPr>
          <w:rFonts w:ascii="宋体" w:hAnsi="宋体" w:eastAsia="宋体" w:cs="宋体"/>
          <w:spacing w:val="7"/>
          <w:sz w:val="19"/>
          <w:szCs w:val="19"/>
        </w:rPr>
        <w:t>β,为拒绝无效</w:t>
      </w:r>
      <w:r>
        <w:rPr>
          <w:rFonts w:ascii="宋体" w:hAnsi="宋体" w:eastAsia="宋体" w:cs="宋体"/>
          <w:spacing w:val="6"/>
          <w:sz w:val="19"/>
          <w:szCs w:val="19"/>
        </w:rPr>
        <w:t>假设的能力或避免假阴性的能力。</w:t>
      </w:r>
    </w:p>
    <w:p w14:paraId="670AB9C4">
      <w:pPr>
        <w:spacing w:before="171" w:line="313" w:lineRule="auto"/>
        <w:ind w:left="749" w:right="79" w:firstLine="380"/>
        <w:rPr>
          <w:rFonts w:ascii="宋体" w:hAnsi="宋体" w:eastAsia="宋体" w:cs="宋体"/>
          <w:sz w:val="19"/>
          <w:szCs w:val="19"/>
        </w:rPr>
      </w:pPr>
      <w:r>
        <w:rPr>
          <w:rFonts w:ascii="宋体" w:hAnsi="宋体" w:eastAsia="宋体" w:cs="宋体"/>
          <w:spacing w:val="15"/>
          <w:sz w:val="19"/>
          <w:szCs w:val="19"/>
        </w:rPr>
        <w:t>(4)单侧检验或双侧检验：单侧检验比双侧检验所需样本量小。当确信试验组的效果优于对照</w:t>
      </w:r>
      <w:r>
        <w:rPr>
          <w:rFonts w:ascii="宋体" w:hAnsi="宋体" w:eastAsia="宋体" w:cs="宋体"/>
          <w:spacing w:val="9"/>
          <w:sz w:val="19"/>
          <w:szCs w:val="19"/>
        </w:rPr>
        <w:t xml:space="preserve"> </w:t>
      </w:r>
      <w:r>
        <w:rPr>
          <w:rFonts w:ascii="宋体" w:hAnsi="宋体" w:eastAsia="宋体" w:cs="宋体"/>
          <w:spacing w:val="13"/>
          <w:sz w:val="19"/>
          <w:szCs w:val="19"/>
        </w:rPr>
        <w:t>组，或仅检验试验组效果是否优于对照组时，</w:t>
      </w:r>
      <w:r>
        <w:rPr>
          <w:rFonts w:ascii="宋体" w:hAnsi="宋体" w:eastAsia="宋体" w:cs="宋体"/>
          <w:spacing w:val="12"/>
          <w:sz w:val="19"/>
          <w:szCs w:val="19"/>
        </w:rPr>
        <w:t>采用单侧检验；若无法确定试验组和对照组哪一组效</w:t>
      </w:r>
      <w:r>
        <w:rPr>
          <w:rFonts w:ascii="宋体" w:hAnsi="宋体" w:eastAsia="宋体" w:cs="宋体"/>
          <w:sz w:val="19"/>
          <w:szCs w:val="19"/>
        </w:rPr>
        <w:t xml:space="preserve"> </w:t>
      </w:r>
      <w:r>
        <w:rPr>
          <w:rFonts w:ascii="宋体" w:hAnsi="宋体" w:eastAsia="宋体" w:cs="宋体"/>
          <w:spacing w:val="8"/>
          <w:sz w:val="19"/>
          <w:szCs w:val="19"/>
        </w:rPr>
        <w:t>果更佳，即两者优劣皆有可能时，则用双侧检</w:t>
      </w:r>
      <w:r>
        <w:rPr>
          <w:rFonts w:ascii="宋体" w:hAnsi="宋体" w:eastAsia="宋体" w:cs="宋体"/>
          <w:spacing w:val="7"/>
          <w:sz w:val="19"/>
          <w:szCs w:val="19"/>
        </w:rPr>
        <w:t>验。</w:t>
      </w:r>
    </w:p>
    <w:p w14:paraId="13C415C4">
      <w:pPr>
        <w:spacing w:before="145" w:line="219" w:lineRule="auto"/>
        <w:ind w:left="1130"/>
        <w:rPr>
          <w:rFonts w:ascii="宋体" w:hAnsi="宋体" w:eastAsia="宋体" w:cs="宋体"/>
          <w:sz w:val="19"/>
          <w:szCs w:val="19"/>
        </w:rPr>
      </w:pPr>
      <w:r>
        <w:rPr>
          <w:rFonts w:ascii="宋体" w:hAnsi="宋体" w:eastAsia="宋体" w:cs="宋体"/>
          <w:spacing w:val="12"/>
          <w:sz w:val="19"/>
          <w:szCs w:val="19"/>
        </w:rPr>
        <w:t>(5)研究对象分组数量：分组数量越多，则所</w:t>
      </w:r>
      <w:r>
        <w:rPr>
          <w:rFonts w:ascii="宋体" w:hAnsi="宋体" w:eastAsia="宋体" w:cs="宋体"/>
          <w:spacing w:val="11"/>
          <w:sz w:val="19"/>
          <w:szCs w:val="19"/>
        </w:rPr>
        <w:t>需样本量越大。</w:t>
      </w:r>
    </w:p>
    <w:p w14:paraId="5E000C68">
      <w:pPr>
        <w:pStyle w:val="2"/>
        <w:spacing w:before="134" w:line="221" w:lineRule="auto"/>
        <w:ind w:left="1140"/>
        <w:rPr>
          <w:sz w:val="19"/>
          <w:szCs w:val="19"/>
        </w:rPr>
      </w:pPr>
      <w:r>
        <w:rPr>
          <w:spacing w:val="15"/>
          <w:sz w:val="19"/>
          <w:szCs w:val="19"/>
        </w:rPr>
        <w:t>2. 试验样本大小的计算</w:t>
      </w:r>
    </w:p>
    <w:p w14:paraId="35114F0B">
      <w:pPr>
        <w:spacing w:before="173" w:line="361" w:lineRule="auto"/>
        <w:ind w:left="739" w:right="77" w:firstLine="380"/>
        <w:rPr>
          <w:rFonts w:ascii="宋体" w:hAnsi="宋体" w:eastAsia="宋体" w:cs="宋体"/>
          <w:sz w:val="19"/>
          <w:szCs w:val="19"/>
        </w:rPr>
      </w:pPr>
      <w:r>
        <w:rPr>
          <w:rFonts w:ascii="宋体" w:hAnsi="宋体" w:eastAsia="宋体" w:cs="宋体"/>
          <w:spacing w:val="11"/>
          <w:sz w:val="19"/>
          <w:szCs w:val="19"/>
        </w:rPr>
        <w:t>(1)计数资料：如发病率、感染率、死亡率、病死率、治愈率等，试验</w:t>
      </w:r>
      <w:r>
        <w:rPr>
          <w:rFonts w:ascii="宋体" w:hAnsi="宋体" w:eastAsia="宋体" w:cs="宋体"/>
          <w:spacing w:val="10"/>
          <w:sz w:val="19"/>
          <w:szCs w:val="19"/>
        </w:rPr>
        <w:t>组和对照组之间比较时可</w:t>
      </w:r>
      <w:r>
        <w:rPr>
          <w:rFonts w:ascii="宋体" w:hAnsi="宋体" w:eastAsia="宋体" w:cs="宋体"/>
          <w:sz w:val="19"/>
          <w:szCs w:val="19"/>
        </w:rPr>
        <w:t xml:space="preserve"> </w:t>
      </w:r>
      <w:r>
        <w:rPr>
          <w:rFonts w:ascii="宋体" w:hAnsi="宋体" w:eastAsia="宋体" w:cs="宋体"/>
          <w:spacing w:val="14"/>
          <w:sz w:val="19"/>
          <w:szCs w:val="19"/>
        </w:rPr>
        <w:t>按下列公式计算样本大小：</w:t>
      </w:r>
    </w:p>
    <w:p w14:paraId="389DD558">
      <w:pPr>
        <w:spacing w:line="325" w:lineRule="auto"/>
        <w:rPr>
          <w:rFonts w:ascii="Arial"/>
          <w:sz w:val="21"/>
        </w:rPr>
      </w:pPr>
      <w:r>
        <w:drawing>
          <wp:anchor distT="0" distB="0" distL="0" distR="0" simplePos="0" relativeHeight="251757568" behindDoc="0" locked="0" layoutInCell="1" allowOverlap="1">
            <wp:simplePos x="0" y="0"/>
            <wp:positionH relativeFrom="column">
              <wp:posOffset>1854200</wp:posOffset>
            </wp:positionH>
            <wp:positionV relativeFrom="paragraph">
              <wp:posOffset>75565</wp:posOffset>
            </wp:positionV>
            <wp:extent cx="2787650" cy="476250"/>
            <wp:effectExtent l="0" t="0" r="0" b="0"/>
            <wp:wrapNone/>
            <wp:docPr id="364" name="IM 364"/>
            <wp:cNvGraphicFramePr/>
            <a:graphic xmlns:a="http://schemas.openxmlformats.org/drawingml/2006/main">
              <a:graphicData uri="http://schemas.openxmlformats.org/drawingml/2006/picture">
                <pic:pic xmlns:pic="http://schemas.openxmlformats.org/drawingml/2006/picture">
                  <pic:nvPicPr>
                    <pic:cNvPr id="364" name="IM 364"/>
                    <pic:cNvPicPr/>
                  </pic:nvPicPr>
                  <pic:blipFill>
                    <a:blip r:embed="rId554"/>
                    <a:stretch>
                      <a:fillRect/>
                    </a:stretch>
                  </pic:blipFill>
                  <pic:spPr>
                    <a:xfrm>
                      <a:off x="0" y="0"/>
                      <a:ext cx="2787592" cy="476252"/>
                    </a:xfrm>
                    <a:prstGeom prst="rect">
                      <a:avLst/>
                    </a:prstGeom>
                  </pic:spPr>
                </pic:pic>
              </a:graphicData>
            </a:graphic>
          </wp:anchor>
        </w:drawing>
      </w:r>
    </w:p>
    <w:p w14:paraId="0E4EB32B">
      <w:pPr>
        <w:spacing w:before="62" w:line="221" w:lineRule="auto"/>
        <w:ind w:right="13"/>
        <w:jc w:val="right"/>
        <w:rPr>
          <w:rFonts w:ascii="宋体" w:hAnsi="宋体" w:eastAsia="宋体" w:cs="宋体"/>
          <w:sz w:val="19"/>
          <w:szCs w:val="19"/>
        </w:rPr>
      </w:pPr>
      <w:r>
        <w:rPr>
          <w:rFonts w:ascii="宋体" w:hAnsi="宋体" w:eastAsia="宋体" w:cs="宋体"/>
          <w:spacing w:val="10"/>
          <w:sz w:val="19"/>
          <w:szCs w:val="19"/>
        </w:rPr>
        <w:t>式(6-</w:t>
      </w:r>
      <w:r>
        <w:rPr>
          <w:rFonts w:ascii="宋体" w:hAnsi="宋体" w:eastAsia="宋体" w:cs="宋体"/>
          <w:spacing w:val="-50"/>
          <w:sz w:val="19"/>
          <w:szCs w:val="19"/>
        </w:rPr>
        <w:t xml:space="preserve"> </w:t>
      </w:r>
      <w:r>
        <w:rPr>
          <w:rFonts w:ascii="宋体" w:hAnsi="宋体" w:eastAsia="宋体" w:cs="宋体"/>
          <w:spacing w:val="10"/>
          <w:sz w:val="19"/>
          <w:szCs w:val="19"/>
        </w:rPr>
        <w:t>1)</w:t>
      </w:r>
    </w:p>
    <w:p w14:paraId="4A25F540">
      <w:pPr>
        <w:spacing w:line="242" w:lineRule="auto"/>
        <w:rPr>
          <w:rFonts w:ascii="Arial"/>
          <w:sz w:val="21"/>
        </w:rPr>
      </w:pPr>
    </w:p>
    <w:p w14:paraId="15EFA017">
      <w:pPr>
        <w:spacing w:line="243" w:lineRule="auto"/>
        <w:rPr>
          <w:rFonts w:ascii="Arial"/>
          <w:sz w:val="21"/>
        </w:rPr>
      </w:pPr>
    </w:p>
    <w:p w14:paraId="3D99A48E">
      <w:pPr>
        <w:spacing w:before="62" w:line="212" w:lineRule="auto"/>
        <w:ind w:left="719"/>
        <w:rPr>
          <w:rFonts w:ascii="Times New Roman" w:hAnsi="Times New Roman" w:eastAsia="Times New Roman" w:cs="Times New Roman"/>
          <w:sz w:val="19"/>
          <w:szCs w:val="19"/>
        </w:rPr>
      </w:pPr>
      <w:r>
        <w:rPr>
          <w:rFonts w:ascii="宋体" w:hAnsi="宋体" w:eastAsia="宋体" w:cs="宋体"/>
          <w:spacing w:val="4"/>
          <w:sz w:val="19"/>
          <w:szCs w:val="19"/>
        </w:rPr>
        <w:t>式</w:t>
      </w:r>
      <w:r>
        <w:rPr>
          <w:rFonts w:ascii="宋体" w:hAnsi="宋体" w:eastAsia="宋体" w:cs="宋体"/>
          <w:spacing w:val="-20"/>
          <w:sz w:val="19"/>
          <w:szCs w:val="19"/>
        </w:rPr>
        <w:t xml:space="preserve"> </w:t>
      </w:r>
      <w:r>
        <w:rPr>
          <w:rFonts w:ascii="宋体" w:hAnsi="宋体" w:eastAsia="宋体" w:cs="宋体"/>
          <w:spacing w:val="4"/>
          <w:sz w:val="19"/>
          <w:szCs w:val="19"/>
        </w:rPr>
        <w:t>中</w:t>
      </w:r>
      <w:r>
        <w:rPr>
          <w:rFonts w:ascii="宋体" w:hAnsi="宋体" w:eastAsia="宋体" w:cs="宋体"/>
          <w:spacing w:val="-46"/>
          <w:sz w:val="19"/>
          <w:szCs w:val="19"/>
        </w:rPr>
        <w:t xml:space="preserve"> </w:t>
      </w:r>
      <w:r>
        <w:rPr>
          <w:rFonts w:ascii="宋体" w:hAnsi="宋体" w:eastAsia="宋体" w:cs="宋体"/>
          <w:spacing w:val="4"/>
          <w:sz w:val="19"/>
          <w:szCs w:val="19"/>
        </w:rPr>
        <w:t>，</w:t>
      </w:r>
      <w:r>
        <w:rPr>
          <w:rFonts w:ascii="Times New Roman" w:hAnsi="Times New Roman" w:eastAsia="Times New Roman" w:cs="Times New Roman"/>
          <w:spacing w:val="4"/>
          <w:sz w:val="19"/>
          <w:szCs w:val="19"/>
        </w:rPr>
        <w:t>p₁</w:t>
      </w:r>
      <w:r>
        <w:rPr>
          <w:rFonts w:ascii="Times New Roman" w:hAnsi="Times New Roman" w:eastAsia="Times New Roman" w:cs="Times New Roman"/>
          <w:spacing w:val="20"/>
          <w:w w:val="101"/>
          <w:sz w:val="19"/>
          <w:szCs w:val="19"/>
        </w:rPr>
        <w:t xml:space="preserve"> </w:t>
      </w:r>
      <w:r>
        <w:rPr>
          <w:rFonts w:ascii="宋体" w:hAnsi="宋体" w:eastAsia="宋体" w:cs="宋体"/>
          <w:spacing w:val="4"/>
          <w:sz w:val="19"/>
          <w:szCs w:val="19"/>
        </w:rPr>
        <w:t>为对照组发生率；</w:t>
      </w:r>
      <w:r>
        <w:rPr>
          <w:rFonts w:ascii="Times New Roman" w:hAnsi="Times New Roman" w:eastAsia="Times New Roman" w:cs="Times New Roman"/>
          <w:spacing w:val="4"/>
          <w:sz w:val="19"/>
          <w:szCs w:val="19"/>
        </w:rPr>
        <w:t>p₂</w:t>
      </w:r>
      <w:r>
        <w:rPr>
          <w:rFonts w:ascii="Times New Roman" w:hAnsi="Times New Roman" w:eastAsia="Times New Roman" w:cs="Times New Roman"/>
          <w:spacing w:val="30"/>
          <w:w w:val="101"/>
          <w:sz w:val="19"/>
          <w:szCs w:val="19"/>
        </w:rPr>
        <w:t xml:space="preserve"> </w:t>
      </w:r>
      <w:r>
        <w:rPr>
          <w:rFonts w:ascii="宋体" w:hAnsi="宋体" w:eastAsia="宋体" w:cs="宋体"/>
          <w:spacing w:val="4"/>
          <w:sz w:val="19"/>
          <w:szCs w:val="19"/>
        </w:rPr>
        <w:t>为试验组发</w:t>
      </w:r>
      <w:r>
        <w:rPr>
          <w:rFonts w:ascii="宋体" w:hAnsi="宋体" w:eastAsia="宋体" w:cs="宋体"/>
          <w:spacing w:val="3"/>
          <w:sz w:val="19"/>
          <w:szCs w:val="19"/>
        </w:rPr>
        <w:t>生率；</w:t>
      </w:r>
      <w:r>
        <w:rPr>
          <w:rFonts w:ascii="Times New Roman" w:hAnsi="Times New Roman" w:eastAsia="Times New Roman" w:cs="Times New Roman"/>
          <w:spacing w:val="3"/>
          <w:sz w:val="19"/>
          <w:szCs w:val="19"/>
        </w:rPr>
        <w:t>p=(p₁+p₂)/2;Z1-</w:t>
      </w:r>
      <w:r>
        <w:rPr>
          <w:rFonts w:ascii="Times New Roman" w:hAnsi="Times New Roman" w:eastAsia="Times New Roman" w:cs="Times New Roman"/>
          <w:sz w:val="19"/>
          <w:szCs w:val="19"/>
        </w:rPr>
        <w:t>an</w:t>
      </w:r>
      <w:r>
        <w:rPr>
          <w:rFonts w:ascii="Times New Roman" w:hAnsi="Times New Roman" w:eastAsia="Times New Roman" w:cs="Times New Roman"/>
          <w:spacing w:val="3"/>
          <w:sz w:val="19"/>
          <w:szCs w:val="19"/>
        </w:rPr>
        <w:t xml:space="preserve">₂     </w:t>
      </w:r>
      <w:r>
        <w:rPr>
          <w:rFonts w:ascii="宋体" w:hAnsi="宋体" w:eastAsia="宋体" w:cs="宋体"/>
          <w:spacing w:val="3"/>
          <w:sz w:val="19"/>
          <w:szCs w:val="19"/>
        </w:rPr>
        <w:t>为α水平相应的标准正态差；</w:t>
      </w:r>
      <w:r>
        <w:rPr>
          <w:rFonts w:ascii="Times New Roman" w:hAnsi="Times New Roman" w:eastAsia="Times New Roman" w:cs="Times New Roman"/>
          <w:spacing w:val="3"/>
          <w:sz w:val="19"/>
          <w:szCs w:val="19"/>
        </w:rPr>
        <w:t>Z</w:t>
      </w:r>
    </w:p>
    <w:p w14:paraId="383989FA">
      <w:pPr>
        <w:spacing w:before="172" w:line="219" w:lineRule="auto"/>
        <w:ind w:left="719"/>
        <w:rPr>
          <w:rFonts w:ascii="宋体" w:hAnsi="宋体" w:eastAsia="宋体" w:cs="宋体"/>
          <w:sz w:val="19"/>
          <w:szCs w:val="19"/>
        </w:rPr>
      </w:pPr>
      <w:r>
        <w:rPr>
          <w:rFonts w:ascii="宋体" w:hAnsi="宋体" w:eastAsia="宋体" w:cs="宋体"/>
          <w:spacing w:val="10"/>
          <w:sz w:val="19"/>
          <w:szCs w:val="19"/>
        </w:rPr>
        <w:t>为1-</w:t>
      </w:r>
      <w:r>
        <w:rPr>
          <w:rFonts w:ascii="宋体" w:hAnsi="宋体" w:eastAsia="宋体" w:cs="宋体"/>
          <w:spacing w:val="-16"/>
          <w:sz w:val="19"/>
          <w:szCs w:val="19"/>
        </w:rPr>
        <w:t xml:space="preserve"> </w:t>
      </w:r>
      <w:r>
        <w:rPr>
          <w:rFonts w:ascii="宋体" w:hAnsi="宋体" w:eastAsia="宋体" w:cs="宋体"/>
          <w:spacing w:val="10"/>
          <w:sz w:val="19"/>
          <w:szCs w:val="19"/>
        </w:rPr>
        <w:t>β水平相应的标准正态差；</w:t>
      </w:r>
      <w:r>
        <w:rPr>
          <w:rFonts w:ascii="Times New Roman" w:hAnsi="Times New Roman" w:eastAsia="Times New Roman" w:cs="Times New Roman"/>
          <w:spacing w:val="10"/>
          <w:sz w:val="19"/>
          <w:szCs w:val="19"/>
        </w:rPr>
        <w:t xml:space="preserve">N </w:t>
      </w:r>
      <w:r>
        <w:rPr>
          <w:rFonts w:ascii="宋体" w:hAnsi="宋体" w:eastAsia="宋体" w:cs="宋体"/>
          <w:spacing w:val="10"/>
          <w:sz w:val="19"/>
          <w:szCs w:val="19"/>
        </w:rPr>
        <w:t>为计算所得一个组的样本大小。</w:t>
      </w:r>
    </w:p>
    <w:p w14:paraId="16B6FE91">
      <w:pPr>
        <w:spacing w:before="136" w:line="219" w:lineRule="auto"/>
        <w:ind w:left="1120"/>
        <w:rPr>
          <w:rFonts w:ascii="宋体" w:hAnsi="宋体" w:eastAsia="宋体" w:cs="宋体"/>
          <w:sz w:val="19"/>
          <w:szCs w:val="19"/>
        </w:rPr>
      </w:pPr>
      <w:r>
        <w:rPr>
          <w:rFonts w:ascii="宋体" w:hAnsi="宋体" w:eastAsia="宋体" w:cs="宋体"/>
          <w:spacing w:val="13"/>
          <w:sz w:val="19"/>
          <w:szCs w:val="19"/>
        </w:rPr>
        <w:t>先确定α和β后，可查表6-1确定相应的标准正态差。</w:t>
      </w:r>
    </w:p>
    <w:p w14:paraId="7EB08E6F">
      <w:pPr>
        <w:spacing w:before="274" w:line="220" w:lineRule="auto"/>
        <w:ind w:left="3279"/>
        <w:rPr>
          <w:rFonts w:ascii="宋体" w:hAnsi="宋体" w:eastAsia="宋体" w:cs="宋体"/>
          <w:sz w:val="19"/>
          <w:szCs w:val="19"/>
        </w:rPr>
      </w:pPr>
      <w:r>
        <w:rPr>
          <w:rFonts w:ascii="宋体" w:hAnsi="宋体" w:eastAsia="宋体" w:cs="宋体"/>
          <w:spacing w:val="-1"/>
          <w:sz w:val="19"/>
          <w:szCs w:val="19"/>
        </w:rPr>
        <w:t>表6-1标准正态</w:t>
      </w:r>
      <w:r>
        <w:rPr>
          <w:rFonts w:ascii="宋体" w:hAnsi="宋体" w:eastAsia="宋体" w:cs="宋体"/>
          <w:spacing w:val="9"/>
          <w:sz w:val="19"/>
          <w:szCs w:val="19"/>
        </w:rPr>
        <w:t xml:space="preserve">         </w:t>
      </w:r>
      <w:r>
        <w:rPr>
          <w:rFonts w:ascii="宋体" w:hAnsi="宋体" w:eastAsia="宋体" w:cs="宋体"/>
          <w:spacing w:val="-1"/>
          <w:sz w:val="19"/>
          <w:szCs w:val="19"/>
        </w:rPr>
        <w:t>差分布的分位数表</w:t>
      </w:r>
    </w:p>
    <w:p w14:paraId="63864E89">
      <w:pPr>
        <w:spacing w:line="31" w:lineRule="exact"/>
      </w:pPr>
    </w:p>
    <w:tbl>
      <w:tblPr>
        <w:tblStyle w:val="5"/>
        <w:tblW w:w="8440" w:type="dxa"/>
        <w:tblInd w:w="1019"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0" w:type="dxa"/>
          <w:left w:w="0" w:type="dxa"/>
          <w:bottom w:w="0" w:type="dxa"/>
          <w:right w:w="0" w:type="dxa"/>
        </w:tblCellMar>
      </w:tblPr>
      <w:tblGrid>
        <w:gridCol w:w="1680"/>
        <w:gridCol w:w="2400"/>
        <w:gridCol w:w="2220"/>
        <w:gridCol w:w="2140"/>
      </w:tblGrid>
      <w:tr w14:paraId="685F7D93">
        <w:trPr>
          <w:trHeight w:val="634" w:hRule="atLeast"/>
        </w:trPr>
        <w:tc>
          <w:tcPr>
            <w:tcW w:w="1680" w:type="dxa"/>
            <w:tcBorders>
              <w:top w:val="single" w:color="000000" w:sz="4" w:space="0"/>
              <w:bottom w:val="single" w:color="000000" w:sz="4" w:space="0"/>
            </w:tcBorders>
            <w:shd w:val="clear" w:color="auto" w:fill="BAC3C2"/>
            <w:vAlign w:val="top"/>
          </w:tcPr>
          <w:p w14:paraId="3C4E1ECD">
            <w:pPr>
              <w:pStyle w:val="6"/>
              <w:spacing w:before="226" w:line="223" w:lineRule="auto"/>
              <w:ind w:left="550"/>
              <w:rPr>
                <w:sz w:val="19"/>
                <w:szCs w:val="19"/>
              </w:rPr>
            </w:pPr>
            <w:r>
              <w:rPr>
                <w:spacing w:val="-20"/>
                <w:sz w:val="19"/>
                <w:szCs w:val="19"/>
              </w:rPr>
              <w:t>α</w:t>
            </w:r>
            <w:r>
              <w:rPr>
                <w:spacing w:val="-32"/>
                <w:sz w:val="19"/>
                <w:szCs w:val="19"/>
              </w:rPr>
              <w:t xml:space="preserve"> </w:t>
            </w:r>
            <w:r>
              <w:rPr>
                <w:spacing w:val="-20"/>
                <w:sz w:val="19"/>
                <w:szCs w:val="19"/>
              </w:rPr>
              <w:t>或</w:t>
            </w:r>
            <w:r>
              <w:rPr>
                <w:spacing w:val="5"/>
                <w:sz w:val="19"/>
                <w:szCs w:val="19"/>
              </w:rPr>
              <w:t xml:space="preserve"> </w:t>
            </w:r>
            <w:r>
              <w:rPr>
                <w:spacing w:val="-20"/>
                <w:sz w:val="19"/>
                <w:szCs w:val="19"/>
              </w:rPr>
              <w:t>β</w:t>
            </w:r>
          </w:p>
        </w:tc>
        <w:tc>
          <w:tcPr>
            <w:tcW w:w="2400" w:type="dxa"/>
            <w:tcBorders>
              <w:top w:val="single" w:color="000000" w:sz="4" w:space="0"/>
              <w:bottom w:val="single" w:color="000000" w:sz="4" w:space="0"/>
            </w:tcBorders>
            <w:shd w:val="clear" w:color="auto" w:fill="BFC6C2"/>
            <w:vAlign w:val="top"/>
          </w:tcPr>
          <w:p w14:paraId="57F17F39">
            <w:pPr>
              <w:pStyle w:val="6"/>
              <w:spacing w:before="222" w:line="219" w:lineRule="auto"/>
              <w:ind w:left="530"/>
              <w:rPr>
                <w:sz w:val="19"/>
                <w:szCs w:val="19"/>
              </w:rPr>
            </w:pPr>
            <w:r>
              <w:rPr>
                <w:spacing w:val="4"/>
                <w:sz w:val="19"/>
                <w:szCs w:val="19"/>
              </w:rPr>
              <w:t>检验效力(1-β)</w:t>
            </w:r>
          </w:p>
        </w:tc>
        <w:tc>
          <w:tcPr>
            <w:tcW w:w="2220" w:type="dxa"/>
            <w:tcBorders>
              <w:top w:val="single" w:color="000000" w:sz="4" w:space="0"/>
              <w:bottom w:val="single" w:color="000000" w:sz="4" w:space="0"/>
            </w:tcBorders>
            <w:shd w:val="clear" w:color="auto" w:fill="BBC2BF"/>
            <w:vAlign w:val="top"/>
          </w:tcPr>
          <w:p w14:paraId="6704592E">
            <w:pPr>
              <w:pStyle w:val="6"/>
              <w:spacing w:before="82" w:line="263" w:lineRule="auto"/>
              <w:ind w:left="429" w:right="328"/>
              <w:rPr>
                <w:sz w:val="19"/>
                <w:szCs w:val="19"/>
              </w:rPr>
            </w:pPr>
            <w:r>
              <w:rPr>
                <w:spacing w:val="13"/>
                <w:sz w:val="19"/>
                <w:szCs w:val="19"/>
              </w:rPr>
              <w:t>Z1-a(单侧检验)</w:t>
            </w:r>
            <w:r>
              <w:rPr>
                <w:sz w:val="19"/>
                <w:szCs w:val="19"/>
              </w:rPr>
              <w:t xml:space="preserve"> </w:t>
            </w:r>
            <w:r>
              <w:rPr>
                <w:spacing w:val="4"/>
                <w:sz w:val="19"/>
                <w:szCs w:val="19"/>
              </w:rPr>
              <w:t>Zβ(单双侧检验)</w:t>
            </w:r>
          </w:p>
        </w:tc>
        <w:tc>
          <w:tcPr>
            <w:tcW w:w="2140" w:type="dxa"/>
            <w:tcBorders>
              <w:top w:val="single" w:color="000000" w:sz="4" w:space="0"/>
              <w:bottom w:val="single" w:color="000000" w:sz="4" w:space="0"/>
            </w:tcBorders>
            <w:shd w:val="clear" w:color="auto" w:fill="BBC3BE"/>
            <w:vAlign w:val="top"/>
          </w:tcPr>
          <w:p w14:paraId="5F384BA5">
            <w:pPr>
              <w:pStyle w:val="6"/>
              <w:spacing w:before="222" w:line="219" w:lineRule="auto"/>
              <w:ind w:left="310"/>
              <w:rPr>
                <w:sz w:val="19"/>
                <w:szCs w:val="19"/>
              </w:rPr>
            </w:pPr>
            <w:r>
              <w:rPr>
                <w:spacing w:val="7"/>
                <w:sz w:val="19"/>
                <w:szCs w:val="19"/>
              </w:rPr>
              <w:t>Z1-a</w:t>
            </w:r>
            <w:r>
              <w:rPr>
                <w:rFonts w:ascii="Calibri" w:hAnsi="Calibri" w:eastAsia="Calibri" w:cs="Calibri"/>
                <w:spacing w:val="7"/>
                <w:sz w:val="19"/>
                <w:szCs w:val="19"/>
              </w:rPr>
              <w:t xml:space="preserve">₂ </w:t>
            </w:r>
            <w:r>
              <w:rPr>
                <w:spacing w:val="7"/>
                <w:sz w:val="19"/>
                <w:szCs w:val="19"/>
              </w:rPr>
              <w:t>(双侧检验)</w:t>
            </w:r>
          </w:p>
        </w:tc>
      </w:tr>
      <w:tr w14:paraId="348A6F68">
        <w:trPr>
          <w:trHeight w:val="369" w:hRule="atLeast"/>
        </w:trPr>
        <w:tc>
          <w:tcPr>
            <w:tcW w:w="1680" w:type="dxa"/>
            <w:tcBorders>
              <w:top w:val="single" w:color="000000" w:sz="4" w:space="0"/>
              <w:bottom w:val="single" w:color="000000" w:sz="4" w:space="0"/>
            </w:tcBorders>
            <w:vAlign w:val="top"/>
          </w:tcPr>
          <w:p w14:paraId="0DC7A512">
            <w:pPr>
              <w:pStyle w:val="6"/>
              <w:spacing w:before="107" w:line="239" w:lineRule="auto"/>
              <w:ind w:left="599"/>
              <w:rPr>
                <w:sz w:val="19"/>
                <w:szCs w:val="19"/>
              </w:rPr>
            </w:pPr>
            <w:r>
              <w:rPr>
                <w:spacing w:val="-2"/>
                <w:sz w:val="19"/>
                <w:szCs w:val="19"/>
              </w:rPr>
              <w:t>0.001</w:t>
            </w:r>
          </w:p>
        </w:tc>
        <w:tc>
          <w:tcPr>
            <w:tcW w:w="2400" w:type="dxa"/>
            <w:tcBorders>
              <w:top w:val="single" w:color="000000" w:sz="4" w:space="0"/>
              <w:bottom w:val="single" w:color="000000" w:sz="4" w:space="0"/>
            </w:tcBorders>
            <w:vAlign w:val="top"/>
          </w:tcPr>
          <w:p w14:paraId="5A90C6F7">
            <w:pPr>
              <w:pStyle w:val="6"/>
              <w:spacing w:before="107" w:line="239" w:lineRule="auto"/>
              <w:ind w:left="960"/>
              <w:rPr>
                <w:sz w:val="19"/>
                <w:szCs w:val="19"/>
              </w:rPr>
            </w:pPr>
            <w:r>
              <w:rPr>
                <w:spacing w:val="-2"/>
                <w:sz w:val="19"/>
                <w:szCs w:val="19"/>
              </w:rPr>
              <w:t>0.999</w:t>
            </w:r>
          </w:p>
        </w:tc>
        <w:tc>
          <w:tcPr>
            <w:tcW w:w="2220" w:type="dxa"/>
            <w:tcBorders>
              <w:top w:val="single" w:color="000000" w:sz="4" w:space="0"/>
              <w:bottom w:val="single" w:color="000000" w:sz="4" w:space="0"/>
            </w:tcBorders>
            <w:vAlign w:val="top"/>
          </w:tcPr>
          <w:p w14:paraId="0F13E2B3">
            <w:pPr>
              <w:pStyle w:val="6"/>
              <w:spacing w:before="107" w:line="239" w:lineRule="auto"/>
              <w:ind w:left="870"/>
              <w:rPr>
                <w:sz w:val="19"/>
                <w:szCs w:val="19"/>
              </w:rPr>
            </w:pPr>
            <w:r>
              <w:rPr>
                <w:spacing w:val="-2"/>
                <w:sz w:val="19"/>
                <w:szCs w:val="19"/>
              </w:rPr>
              <w:t>3.090</w:t>
            </w:r>
          </w:p>
        </w:tc>
        <w:tc>
          <w:tcPr>
            <w:tcW w:w="2140" w:type="dxa"/>
            <w:tcBorders>
              <w:top w:val="single" w:color="000000" w:sz="4" w:space="0"/>
              <w:bottom w:val="single" w:color="000000" w:sz="4" w:space="0"/>
            </w:tcBorders>
            <w:vAlign w:val="top"/>
          </w:tcPr>
          <w:p w14:paraId="46CFE02E">
            <w:pPr>
              <w:pStyle w:val="6"/>
              <w:spacing w:before="107" w:line="239" w:lineRule="auto"/>
              <w:ind w:left="830"/>
              <w:rPr>
                <w:sz w:val="19"/>
                <w:szCs w:val="19"/>
              </w:rPr>
            </w:pPr>
            <w:r>
              <w:rPr>
                <w:spacing w:val="-2"/>
                <w:sz w:val="19"/>
                <w:szCs w:val="19"/>
              </w:rPr>
              <w:t>3.290</w:t>
            </w:r>
          </w:p>
        </w:tc>
      </w:tr>
      <w:tr w14:paraId="59FB8FB4">
        <w:trPr>
          <w:trHeight w:val="329" w:hRule="atLeast"/>
        </w:trPr>
        <w:tc>
          <w:tcPr>
            <w:tcW w:w="1680" w:type="dxa"/>
            <w:tcBorders>
              <w:top w:val="single" w:color="000000" w:sz="4" w:space="0"/>
              <w:bottom w:val="single" w:color="000000" w:sz="4" w:space="0"/>
            </w:tcBorders>
            <w:shd w:val="clear" w:color="auto" w:fill="DBDBDF"/>
            <w:vAlign w:val="top"/>
          </w:tcPr>
          <w:p w14:paraId="196BB44A">
            <w:pPr>
              <w:pStyle w:val="6"/>
              <w:spacing w:before="88" w:line="224" w:lineRule="auto"/>
              <w:ind w:left="599"/>
              <w:rPr>
                <w:sz w:val="19"/>
                <w:szCs w:val="19"/>
              </w:rPr>
            </w:pPr>
            <w:r>
              <w:rPr>
                <w:spacing w:val="-2"/>
                <w:sz w:val="19"/>
                <w:szCs w:val="19"/>
              </w:rPr>
              <w:t>0.002</w:t>
            </w:r>
          </w:p>
        </w:tc>
        <w:tc>
          <w:tcPr>
            <w:tcW w:w="2400" w:type="dxa"/>
            <w:tcBorders>
              <w:top w:val="single" w:color="000000" w:sz="4" w:space="0"/>
              <w:bottom w:val="single" w:color="000000" w:sz="4" w:space="0"/>
            </w:tcBorders>
            <w:shd w:val="clear" w:color="auto" w:fill="DCDCDD"/>
            <w:vAlign w:val="top"/>
          </w:tcPr>
          <w:p w14:paraId="7300360E">
            <w:pPr>
              <w:pStyle w:val="6"/>
              <w:spacing w:before="88" w:line="224" w:lineRule="auto"/>
              <w:ind w:left="960"/>
              <w:rPr>
                <w:sz w:val="19"/>
                <w:szCs w:val="19"/>
              </w:rPr>
            </w:pPr>
            <w:r>
              <w:rPr>
                <w:spacing w:val="-2"/>
                <w:sz w:val="19"/>
                <w:szCs w:val="19"/>
              </w:rPr>
              <w:t>0.998</w:t>
            </w:r>
          </w:p>
        </w:tc>
        <w:tc>
          <w:tcPr>
            <w:tcW w:w="2220" w:type="dxa"/>
            <w:tcBorders>
              <w:top w:val="single" w:color="000000" w:sz="4" w:space="0"/>
              <w:bottom w:val="single" w:color="000000" w:sz="4" w:space="0"/>
            </w:tcBorders>
            <w:shd w:val="clear" w:color="auto" w:fill="DBDCDC"/>
            <w:vAlign w:val="top"/>
          </w:tcPr>
          <w:p w14:paraId="616BC98B">
            <w:pPr>
              <w:pStyle w:val="6"/>
              <w:spacing w:before="88" w:line="224" w:lineRule="auto"/>
              <w:ind w:left="870"/>
              <w:rPr>
                <w:sz w:val="19"/>
                <w:szCs w:val="19"/>
              </w:rPr>
            </w:pPr>
            <w:r>
              <w:rPr>
                <w:spacing w:val="-2"/>
                <w:sz w:val="19"/>
                <w:szCs w:val="19"/>
              </w:rPr>
              <w:t>2.878</w:t>
            </w:r>
          </w:p>
        </w:tc>
        <w:tc>
          <w:tcPr>
            <w:tcW w:w="2140" w:type="dxa"/>
            <w:tcBorders>
              <w:top w:val="single" w:color="000000" w:sz="4" w:space="0"/>
              <w:bottom w:val="single" w:color="000000" w:sz="4" w:space="0"/>
            </w:tcBorders>
            <w:shd w:val="clear" w:color="auto" w:fill="CFD0D1"/>
            <w:vAlign w:val="top"/>
          </w:tcPr>
          <w:p w14:paraId="5C3C8EB8">
            <w:pPr>
              <w:pStyle w:val="6"/>
              <w:spacing w:before="88" w:line="224" w:lineRule="auto"/>
              <w:ind w:left="830"/>
              <w:rPr>
                <w:sz w:val="19"/>
                <w:szCs w:val="19"/>
              </w:rPr>
            </w:pPr>
            <w:r>
              <w:rPr>
                <w:spacing w:val="-2"/>
                <w:sz w:val="19"/>
                <w:szCs w:val="19"/>
              </w:rPr>
              <w:t>3.090</w:t>
            </w:r>
          </w:p>
        </w:tc>
      </w:tr>
      <w:tr w14:paraId="27131551">
        <w:trPr>
          <w:trHeight w:val="349" w:hRule="atLeast"/>
        </w:trPr>
        <w:tc>
          <w:tcPr>
            <w:tcW w:w="1680" w:type="dxa"/>
            <w:tcBorders>
              <w:top w:val="single" w:color="000000" w:sz="4" w:space="0"/>
              <w:bottom w:val="single" w:color="000000" w:sz="4" w:space="0"/>
            </w:tcBorders>
            <w:vAlign w:val="top"/>
          </w:tcPr>
          <w:p w14:paraId="022D6757">
            <w:pPr>
              <w:pStyle w:val="6"/>
              <w:spacing w:before="100" w:line="232" w:lineRule="auto"/>
              <w:ind w:left="599"/>
              <w:rPr>
                <w:sz w:val="19"/>
                <w:szCs w:val="19"/>
              </w:rPr>
            </w:pPr>
            <w:r>
              <w:rPr>
                <w:spacing w:val="-2"/>
                <w:sz w:val="19"/>
                <w:szCs w:val="19"/>
              </w:rPr>
              <w:t>0.005</w:t>
            </w:r>
          </w:p>
        </w:tc>
        <w:tc>
          <w:tcPr>
            <w:tcW w:w="2400" w:type="dxa"/>
            <w:tcBorders>
              <w:top w:val="single" w:color="000000" w:sz="4" w:space="0"/>
              <w:bottom w:val="single" w:color="000000" w:sz="4" w:space="0"/>
            </w:tcBorders>
            <w:vAlign w:val="top"/>
          </w:tcPr>
          <w:p w14:paraId="543170D9">
            <w:pPr>
              <w:pStyle w:val="6"/>
              <w:spacing w:before="100" w:line="232" w:lineRule="auto"/>
              <w:ind w:left="960"/>
              <w:rPr>
                <w:sz w:val="19"/>
                <w:szCs w:val="19"/>
              </w:rPr>
            </w:pPr>
            <w:r>
              <w:rPr>
                <w:spacing w:val="-2"/>
                <w:sz w:val="19"/>
                <w:szCs w:val="19"/>
              </w:rPr>
              <w:t>0.995</w:t>
            </w:r>
          </w:p>
        </w:tc>
        <w:tc>
          <w:tcPr>
            <w:tcW w:w="2220" w:type="dxa"/>
            <w:tcBorders>
              <w:top w:val="single" w:color="000000" w:sz="4" w:space="0"/>
              <w:bottom w:val="single" w:color="000000" w:sz="4" w:space="0"/>
            </w:tcBorders>
            <w:vAlign w:val="top"/>
          </w:tcPr>
          <w:p w14:paraId="5030D0DE">
            <w:pPr>
              <w:pStyle w:val="6"/>
              <w:spacing w:before="100" w:line="232" w:lineRule="auto"/>
              <w:ind w:left="870"/>
              <w:rPr>
                <w:sz w:val="19"/>
                <w:szCs w:val="19"/>
              </w:rPr>
            </w:pPr>
            <w:r>
              <w:rPr>
                <w:spacing w:val="-2"/>
                <w:sz w:val="19"/>
                <w:szCs w:val="19"/>
              </w:rPr>
              <w:t>2.576</w:t>
            </w:r>
          </w:p>
        </w:tc>
        <w:tc>
          <w:tcPr>
            <w:tcW w:w="2140" w:type="dxa"/>
            <w:tcBorders>
              <w:top w:val="single" w:color="000000" w:sz="4" w:space="0"/>
              <w:bottom w:val="single" w:color="000000" w:sz="4" w:space="0"/>
            </w:tcBorders>
            <w:vAlign w:val="top"/>
          </w:tcPr>
          <w:p w14:paraId="0B789509">
            <w:pPr>
              <w:pStyle w:val="6"/>
              <w:spacing w:before="100" w:line="232" w:lineRule="auto"/>
              <w:ind w:left="830"/>
              <w:rPr>
                <w:sz w:val="19"/>
                <w:szCs w:val="19"/>
              </w:rPr>
            </w:pPr>
            <w:r>
              <w:rPr>
                <w:spacing w:val="-2"/>
                <w:sz w:val="19"/>
                <w:szCs w:val="19"/>
              </w:rPr>
              <w:t>2.807</w:t>
            </w:r>
          </w:p>
        </w:tc>
      </w:tr>
      <w:tr w14:paraId="1FB1F8CF">
        <w:trPr>
          <w:trHeight w:val="379" w:hRule="atLeast"/>
        </w:trPr>
        <w:tc>
          <w:tcPr>
            <w:tcW w:w="1680" w:type="dxa"/>
            <w:tcBorders>
              <w:top w:val="single" w:color="000000" w:sz="4" w:space="0"/>
              <w:bottom w:val="single" w:color="000000" w:sz="4" w:space="0"/>
            </w:tcBorders>
            <w:shd w:val="clear" w:color="auto" w:fill="CCCBCF"/>
            <w:vAlign w:val="top"/>
          </w:tcPr>
          <w:p w14:paraId="19E3D5CD">
            <w:pPr>
              <w:pStyle w:val="6"/>
              <w:spacing w:before="120" w:line="239" w:lineRule="auto"/>
              <w:ind w:left="599"/>
              <w:rPr>
                <w:sz w:val="19"/>
                <w:szCs w:val="19"/>
              </w:rPr>
            </w:pPr>
            <w:r>
              <w:rPr>
                <w:spacing w:val="-2"/>
                <w:sz w:val="19"/>
                <w:szCs w:val="19"/>
              </w:rPr>
              <w:t>0.010</w:t>
            </w:r>
          </w:p>
        </w:tc>
        <w:tc>
          <w:tcPr>
            <w:tcW w:w="2400" w:type="dxa"/>
            <w:tcBorders>
              <w:top w:val="single" w:color="000000" w:sz="4" w:space="0"/>
              <w:bottom w:val="single" w:color="000000" w:sz="4" w:space="0"/>
            </w:tcBorders>
            <w:shd w:val="clear" w:color="auto" w:fill="CCCCCD"/>
            <w:vAlign w:val="top"/>
          </w:tcPr>
          <w:p w14:paraId="4332C2B6">
            <w:pPr>
              <w:pStyle w:val="6"/>
              <w:spacing w:before="120" w:line="239" w:lineRule="auto"/>
              <w:ind w:left="960"/>
              <w:rPr>
                <w:sz w:val="19"/>
                <w:szCs w:val="19"/>
              </w:rPr>
            </w:pPr>
            <w:r>
              <w:rPr>
                <w:spacing w:val="-2"/>
                <w:sz w:val="19"/>
                <w:szCs w:val="19"/>
              </w:rPr>
              <w:t>0.990</w:t>
            </w:r>
          </w:p>
        </w:tc>
        <w:tc>
          <w:tcPr>
            <w:tcW w:w="2220" w:type="dxa"/>
            <w:tcBorders>
              <w:top w:val="single" w:color="000000" w:sz="4" w:space="0"/>
              <w:bottom w:val="single" w:color="000000" w:sz="4" w:space="0"/>
            </w:tcBorders>
            <w:shd w:val="clear" w:color="auto" w:fill="CFCFD0"/>
            <w:vAlign w:val="top"/>
          </w:tcPr>
          <w:p w14:paraId="521B71F9">
            <w:pPr>
              <w:pStyle w:val="6"/>
              <w:spacing w:before="120" w:line="239" w:lineRule="auto"/>
              <w:ind w:left="870"/>
              <w:rPr>
                <w:sz w:val="19"/>
                <w:szCs w:val="19"/>
              </w:rPr>
            </w:pPr>
            <w:r>
              <w:rPr>
                <w:spacing w:val="-2"/>
                <w:sz w:val="19"/>
                <w:szCs w:val="19"/>
              </w:rPr>
              <w:t>2.326</w:t>
            </w:r>
          </w:p>
        </w:tc>
        <w:tc>
          <w:tcPr>
            <w:tcW w:w="2140" w:type="dxa"/>
            <w:tcBorders>
              <w:top w:val="single" w:color="000000" w:sz="4" w:space="0"/>
              <w:bottom w:val="single" w:color="000000" w:sz="4" w:space="0"/>
            </w:tcBorders>
            <w:shd w:val="clear" w:color="auto" w:fill="CFD0CF"/>
            <w:vAlign w:val="top"/>
          </w:tcPr>
          <w:p w14:paraId="1F009AB8">
            <w:pPr>
              <w:pStyle w:val="6"/>
              <w:spacing w:before="120" w:line="239" w:lineRule="auto"/>
              <w:ind w:left="830"/>
              <w:rPr>
                <w:sz w:val="19"/>
                <w:szCs w:val="19"/>
              </w:rPr>
            </w:pPr>
            <w:r>
              <w:rPr>
                <w:spacing w:val="-2"/>
                <w:sz w:val="19"/>
                <w:szCs w:val="19"/>
              </w:rPr>
              <w:t>2.576</w:t>
            </w:r>
          </w:p>
        </w:tc>
      </w:tr>
      <w:tr w14:paraId="4FA2BF26">
        <w:trPr>
          <w:trHeight w:val="329" w:hRule="atLeast"/>
        </w:trPr>
        <w:tc>
          <w:tcPr>
            <w:tcW w:w="1680" w:type="dxa"/>
            <w:tcBorders>
              <w:top w:val="single" w:color="000000" w:sz="4" w:space="0"/>
              <w:bottom w:val="single" w:color="000000" w:sz="4" w:space="0"/>
            </w:tcBorders>
            <w:vAlign w:val="top"/>
          </w:tcPr>
          <w:p w14:paraId="356573C3">
            <w:pPr>
              <w:pStyle w:val="6"/>
              <w:spacing w:before="91" w:line="221" w:lineRule="auto"/>
              <w:ind w:left="599"/>
              <w:rPr>
                <w:sz w:val="19"/>
                <w:szCs w:val="19"/>
              </w:rPr>
            </w:pPr>
            <w:r>
              <w:rPr>
                <w:spacing w:val="-2"/>
                <w:sz w:val="19"/>
                <w:szCs w:val="19"/>
              </w:rPr>
              <w:t>0.020</w:t>
            </w:r>
          </w:p>
        </w:tc>
        <w:tc>
          <w:tcPr>
            <w:tcW w:w="2400" w:type="dxa"/>
            <w:tcBorders>
              <w:top w:val="single" w:color="000000" w:sz="4" w:space="0"/>
              <w:bottom w:val="single" w:color="000000" w:sz="4" w:space="0"/>
            </w:tcBorders>
            <w:vAlign w:val="top"/>
          </w:tcPr>
          <w:p w14:paraId="4225A16D">
            <w:pPr>
              <w:pStyle w:val="6"/>
              <w:spacing w:before="91" w:line="221" w:lineRule="auto"/>
              <w:ind w:left="960"/>
              <w:rPr>
                <w:sz w:val="19"/>
                <w:szCs w:val="19"/>
              </w:rPr>
            </w:pPr>
            <w:r>
              <w:rPr>
                <w:spacing w:val="-2"/>
                <w:sz w:val="19"/>
                <w:szCs w:val="19"/>
              </w:rPr>
              <w:t>0.980</w:t>
            </w:r>
          </w:p>
        </w:tc>
        <w:tc>
          <w:tcPr>
            <w:tcW w:w="2220" w:type="dxa"/>
            <w:tcBorders>
              <w:top w:val="single" w:color="000000" w:sz="4" w:space="0"/>
              <w:bottom w:val="single" w:color="000000" w:sz="4" w:space="0"/>
            </w:tcBorders>
            <w:vAlign w:val="top"/>
          </w:tcPr>
          <w:p w14:paraId="43BE6926">
            <w:pPr>
              <w:pStyle w:val="6"/>
              <w:spacing w:before="91" w:line="221" w:lineRule="auto"/>
              <w:ind w:left="870"/>
              <w:rPr>
                <w:sz w:val="19"/>
                <w:szCs w:val="19"/>
              </w:rPr>
            </w:pPr>
            <w:r>
              <w:rPr>
                <w:spacing w:val="-2"/>
                <w:sz w:val="19"/>
                <w:szCs w:val="19"/>
              </w:rPr>
              <w:t>2.058</w:t>
            </w:r>
          </w:p>
        </w:tc>
        <w:tc>
          <w:tcPr>
            <w:tcW w:w="2140" w:type="dxa"/>
            <w:tcBorders>
              <w:top w:val="single" w:color="000000" w:sz="4" w:space="0"/>
              <w:bottom w:val="single" w:color="000000" w:sz="4" w:space="0"/>
            </w:tcBorders>
            <w:vAlign w:val="top"/>
          </w:tcPr>
          <w:p w14:paraId="3A63B738">
            <w:pPr>
              <w:pStyle w:val="6"/>
              <w:spacing w:before="91" w:line="221" w:lineRule="auto"/>
              <w:ind w:left="830"/>
              <w:rPr>
                <w:sz w:val="19"/>
                <w:szCs w:val="19"/>
              </w:rPr>
            </w:pPr>
            <w:r>
              <w:rPr>
                <w:spacing w:val="-2"/>
                <w:sz w:val="19"/>
                <w:szCs w:val="19"/>
              </w:rPr>
              <w:t>2.326</w:t>
            </w:r>
          </w:p>
        </w:tc>
      </w:tr>
      <w:tr w14:paraId="03C4F1FE">
        <w:trPr>
          <w:trHeight w:val="339" w:hRule="atLeast"/>
        </w:trPr>
        <w:tc>
          <w:tcPr>
            <w:tcW w:w="1680" w:type="dxa"/>
            <w:tcBorders>
              <w:top w:val="single" w:color="000000" w:sz="4" w:space="0"/>
              <w:bottom w:val="single" w:color="000000" w:sz="4" w:space="0"/>
            </w:tcBorders>
            <w:shd w:val="clear" w:color="auto" w:fill="CFD0D2"/>
            <w:vAlign w:val="top"/>
          </w:tcPr>
          <w:p w14:paraId="536F4CDE">
            <w:pPr>
              <w:pStyle w:val="6"/>
              <w:spacing w:before="102" w:line="220" w:lineRule="auto"/>
              <w:ind w:left="599"/>
              <w:rPr>
                <w:sz w:val="19"/>
                <w:szCs w:val="19"/>
              </w:rPr>
            </w:pPr>
            <w:r>
              <w:rPr>
                <w:spacing w:val="-2"/>
                <w:sz w:val="19"/>
                <w:szCs w:val="19"/>
              </w:rPr>
              <w:t>0.025</w:t>
            </w:r>
          </w:p>
        </w:tc>
        <w:tc>
          <w:tcPr>
            <w:tcW w:w="2400" w:type="dxa"/>
            <w:tcBorders>
              <w:top w:val="single" w:color="000000" w:sz="4" w:space="0"/>
              <w:bottom w:val="single" w:color="000000" w:sz="4" w:space="0"/>
            </w:tcBorders>
            <w:shd w:val="clear" w:color="auto" w:fill="D0D0D0"/>
            <w:vAlign w:val="top"/>
          </w:tcPr>
          <w:p w14:paraId="4B8B696E">
            <w:pPr>
              <w:pStyle w:val="6"/>
              <w:spacing w:before="102" w:line="220" w:lineRule="auto"/>
              <w:ind w:left="960"/>
              <w:rPr>
                <w:sz w:val="19"/>
                <w:szCs w:val="19"/>
              </w:rPr>
            </w:pPr>
            <w:r>
              <w:rPr>
                <w:spacing w:val="-2"/>
                <w:sz w:val="19"/>
                <w:szCs w:val="19"/>
              </w:rPr>
              <w:t>0.975</w:t>
            </w:r>
          </w:p>
        </w:tc>
        <w:tc>
          <w:tcPr>
            <w:tcW w:w="2220" w:type="dxa"/>
            <w:tcBorders>
              <w:top w:val="single" w:color="000000" w:sz="4" w:space="0"/>
              <w:bottom w:val="single" w:color="000000" w:sz="4" w:space="0"/>
            </w:tcBorders>
            <w:shd w:val="clear" w:color="auto" w:fill="D0D0CE"/>
            <w:vAlign w:val="top"/>
          </w:tcPr>
          <w:p w14:paraId="6C24C395">
            <w:pPr>
              <w:pStyle w:val="6"/>
              <w:spacing w:before="102" w:line="220" w:lineRule="auto"/>
              <w:ind w:left="870"/>
              <w:rPr>
                <w:sz w:val="19"/>
                <w:szCs w:val="19"/>
              </w:rPr>
            </w:pPr>
            <w:r>
              <w:rPr>
                <w:spacing w:val="-4"/>
                <w:sz w:val="19"/>
                <w:szCs w:val="19"/>
              </w:rPr>
              <w:t>1.960</w:t>
            </w:r>
          </w:p>
        </w:tc>
        <w:tc>
          <w:tcPr>
            <w:tcW w:w="2140" w:type="dxa"/>
            <w:tcBorders>
              <w:top w:val="single" w:color="000000" w:sz="4" w:space="0"/>
              <w:bottom w:val="single" w:color="000000" w:sz="4" w:space="0"/>
            </w:tcBorders>
            <w:shd w:val="clear" w:color="auto" w:fill="C8C8C4"/>
            <w:vAlign w:val="top"/>
          </w:tcPr>
          <w:p w14:paraId="403406AD">
            <w:pPr>
              <w:pStyle w:val="6"/>
              <w:spacing w:before="102" w:line="220" w:lineRule="auto"/>
              <w:ind w:left="830"/>
              <w:rPr>
                <w:sz w:val="19"/>
                <w:szCs w:val="19"/>
              </w:rPr>
            </w:pPr>
            <w:r>
              <w:rPr>
                <w:spacing w:val="-2"/>
                <w:sz w:val="19"/>
                <w:szCs w:val="19"/>
              </w:rPr>
              <w:t>2.242</w:t>
            </w:r>
          </w:p>
        </w:tc>
      </w:tr>
      <w:tr w14:paraId="3075A8EE">
        <w:trPr>
          <w:trHeight w:val="349" w:hRule="atLeast"/>
        </w:trPr>
        <w:tc>
          <w:tcPr>
            <w:tcW w:w="1680" w:type="dxa"/>
            <w:tcBorders>
              <w:top w:val="single" w:color="000000" w:sz="4" w:space="0"/>
              <w:bottom w:val="single" w:color="000000" w:sz="4" w:space="0"/>
            </w:tcBorders>
            <w:vAlign w:val="top"/>
          </w:tcPr>
          <w:p w14:paraId="2C1C3A5F">
            <w:pPr>
              <w:pStyle w:val="6"/>
              <w:spacing w:before="103" w:line="229" w:lineRule="auto"/>
              <w:ind w:left="599"/>
              <w:rPr>
                <w:sz w:val="19"/>
                <w:szCs w:val="19"/>
              </w:rPr>
            </w:pPr>
            <w:r>
              <w:rPr>
                <w:spacing w:val="-2"/>
                <w:sz w:val="19"/>
                <w:szCs w:val="19"/>
              </w:rPr>
              <w:t>0.050</w:t>
            </w:r>
          </w:p>
        </w:tc>
        <w:tc>
          <w:tcPr>
            <w:tcW w:w="2400" w:type="dxa"/>
            <w:tcBorders>
              <w:top w:val="single" w:color="000000" w:sz="4" w:space="0"/>
              <w:bottom w:val="single" w:color="000000" w:sz="4" w:space="0"/>
            </w:tcBorders>
            <w:vAlign w:val="top"/>
          </w:tcPr>
          <w:p w14:paraId="3D0BBCF1">
            <w:pPr>
              <w:pStyle w:val="6"/>
              <w:spacing w:before="103" w:line="229" w:lineRule="auto"/>
              <w:ind w:left="960"/>
              <w:rPr>
                <w:sz w:val="19"/>
                <w:szCs w:val="19"/>
              </w:rPr>
            </w:pPr>
            <w:r>
              <w:rPr>
                <w:spacing w:val="-2"/>
                <w:sz w:val="19"/>
                <w:szCs w:val="19"/>
              </w:rPr>
              <w:t>0.950</w:t>
            </w:r>
          </w:p>
        </w:tc>
        <w:tc>
          <w:tcPr>
            <w:tcW w:w="2220" w:type="dxa"/>
            <w:tcBorders>
              <w:top w:val="single" w:color="000000" w:sz="4" w:space="0"/>
              <w:bottom w:val="single" w:color="000000" w:sz="4" w:space="0"/>
            </w:tcBorders>
            <w:vAlign w:val="top"/>
          </w:tcPr>
          <w:p w14:paraId="6BA2C9F7">
            <w:pPr>
              <w:pStyle w:val="6"/>
              <w:spacing w:before="103" w:line="229" w:lineRule="auto"/>
              <w:ind w:left="870"/>
              <w:rPr>
                <w:sz w:val="19"/>
                <w:szCs w:val="19"/>
              </w:rPr>
            </w:pPr>
            <w:r>
              <w:rPr>
                <w:spacing w:val="-4"/>
                <w:sz w:val="19"/>
                <w:szCs w:val="19"/>
              </w:rPr>
              <w:t>1.645</w:t>
            </w:r>
          </w:p>
        </w:tc>
        <w:tc>
          <w:tcPr>
            <w:tcW w:w="2140" w:type="dxa"/>
            <w:tcBorders>
              <w:top w:val="single" w:color="000000" w:sz="4" w:space="0"/>
              <w:bottom w:val="single" w:color="000000" w:sz="4" w:space="0"/>
            </w:tcBorders>
            <w:vAlign w:val="top"/>
          </w:tcPr>
          <w:p w14:paraId="756401E3">
            <w:pPr>
              <w:pStyle w:val="6"/>
              <w:spacing w:before="103" w:line="229" w:lineRule="auto"/>
              <w:ind w:left="830"/>
              <w:rPr>
                <w:sz w:val="19"/>
                <w:szCs w:val="19"/>
              </w:rPr>
            </w:pPr>
            <w:r>
              <w:rPr>
                <w:spacing w:val="-4"/>
                <w:sz w:val="19"/>
                <w:szCs w:val="19"/>
              </w:rPr>
              <w:t>1.960</w:t>
            </w:r>
          </w:p>
        </w:tc>
      </w:tr>
      <w:tr w14:paraId="09C89C31">
        <w:trPr>
          <w:trHeight w:val="349" w:hRule="atLeast"/>
        </w:trPr>
        <w:tc>
          <w:tcPr>
            <w:tcW w:w="1680" w:type="dxa"/>
            <w:tcBorders>
              <w:top w:val="single" w:color="000000" w:sz="4" w:space="0"/>
              <w:bottom w:val="single" w:color="000000" w:sz="4" w:space="0"/>
            </w:tcBorders>
            <w:shd w:val="clear" w:color="auto" w:fill="CFD0D3"/>
            <w:vAlign w:val="top"/>
          </w:tcPr>
          <w:p w14:paraId="13ECE70D">
            <w:pPr>
              <w:pStyle w:val="6"/>
              <w:spacing w:before="104" w:line="228" w:lineRule="auto"/>
              <w:ind w:left="599"/>
              <w:rPr>
                <w:sz w:val="19"/>
                <w:szCs w:val="19"/>
              </w:rPr>
            </w:pPr>
            <w:r>
              <w:rPr>
                <w:spacing w:val="-2"/>
                <w:sz w:val="19"/>
                <w:szCs w:val="19"/>
              </w:rPr>
              <w:t>0.100</w:t>
            </w:r>
          </w:p>
        </w:tc>
        <w:tc>
          <w:tcPr>
            <w:tcW w:w="2400" w:type="dxa"/>
            <w:tcBorders>
              <w:top w:val="single" w:color="000000" w:sz="4" w:space="0"/>
              <w:bottom w:val="single" w:color="000000" w:sz="4" w:space="0"/>
            </w:tcBorders>
            <w:shd w:val="clear" w:color="auto" w:fill="D3D4D4"/>
            <w:vAlign w:val="top"/>
          </w:tcPr>
          <w:p w14:paraId="1FF984A0">
            <w:pPr>
              <w:pStyle w:val="6"/>
              <w:spacing w:before="104" w:line="228" w:lineRule="auto"/>
              <w:ind w:left="960"/>
              <w:rPr>
                <w:sz w:val="19"/>
                <w:szCs w:val="19"/>
              </w:rPr>
            </w:pPr>
            <w:r>
              <w:rPr>
                <w:spacing w:val="-2"/>
                <w:sz w:val="19"/>
                <w:szCs w:val="19"/>
              </w:rPr>
              <w:t>0.900</w:t>
            </w:r>
          </w:p>
        </w:tc>
        <w:tc>
          <w:tcPr>
            <w:tcW w:w="2220" w:type="dxa"/>
            <w:tcBorders>
              <w:top w:val="single" w:color="000000" w:sz="4" w:space="0"/>
              <w:bottom w:val="single" w:color="000000" w:sz="4" w:space="0"/>
            </w:tcBorders>
            <w:shd w:val="clear" w:color="auto" w:fill="D0D0CE"/>
            <w:vAlign w:val="top"/>
          </w:tcPr>
          <w:p w14:paraId="62EDA5A0">
            <w:pPr>
              <w:pStyle w:val="6"/>
              <w:spacing w:before="104" w:line="228" w:lineRule="auto"/>
              <w:ind w:left="870"/>
              <w:rPr>
                <w:sz w:val="19"/>
                <w:szCs w:val="19"/>
              </w:rPr>
            </w:pPr>
            <w:r>
              <w:rPr>
                <w:spacing w:val="-4"/>
                <w:sz w:val="19"/>
                <w:szCs w:val="19"/>
              </w:rPr>
              <w:t>1.282</w:t>
            </w:r>
          </w:p>
        </w:tc>
        <w:tc>
          <w:tcPr>
            <w:tcW w:w="2140" w:type="dxa"/>
            <w:tcBorders>
              <w:top w:val="single" w:color="000000" w:sz="4" w:space="0"/>
              <w:bottom w:val="single" w:color="000000" w:sz="4" w:space="0"/>
            </w:tcBorders>
            <w:shd w:val="clear" w:color="auto" w:fill="C7C8C6"/>
            <w:vAlign w:val="top"/>
          </w:tcPr>
          <w:p w14:paraId="69117F06">
            <w:pPr>
              <w:pStyle w:val="6"/>
              <w:spacing w:before="104" w:line="228" w:lineRule="auto"/>
              <w:ind w:left="830"/>
              <w:rPr>
                <w:sz w:val="19"/>
                <w:szCs w:val="19"/>
              </w:rPr>
            </w:pPr>
            <w:r>
              <w:rPr>
                <w:spacing w:val="-4"/>
                <w:sz w:val="19"/>
                <w:szCs w:val="19"/>
              </w:rPr>
              <w:t>1.645</w:t>
            </w:r>
          </w:p>
        </w:tc>
      </w:tr>
      <w:tr w14:paraId="39A49818">
        <w:trPr>
          <w:trHeight w:val="334" w:hRule="atLeast"/>
        </w:trPr>
        <w:tc>
          <w:tcPr>
            <w:tcW w:w="1680" w:type="dxa"/>
            <w:tcBorders>
              <w:top w:val="single" w:color="000000" w:sz="4" w:space="0"/>
              <w:bottom w:val="single" w:color="000000" w:sz="4" w:space="0"/>
            </w:tcBorders>
            <w:vAlign w:val="top"/>
          </w:tcPr>
          <w:p w14:paraId="7617509E">
            <w:pPr>
              <w:pStyle w:val="6"/>
              <w:spacing w:before="95" w:line="222" w:lineRule="auto"/>
              <w:ind w:left="599"/>
              <w:rPr>
                <w:sz w:val="19"/>
                <w:szCs w:val="19"/>
              </w:rPr>
            </w:pPr>
            <w:r>
              <w:rPr>
                <w:spacing w:val="-2"/>
                <w:sz w:val="19"/>
                <w:szCs w:val="19"/>
              </w:rPr>
              <w:t>0.200</w:t>
            </w:r>
          </w:p>
        </w:tc>
        <w:tc>
          <w:tcPr>
            <w:tcW w:w="2400" w:type="dxa"/>
            <w:tcBorders>
              <w:top w:val="single" w:color="000000" w:sz="4" w:space="0"/>
              <w:bottom w:val="single" w:color="000000" w:sz="4" w:space="0"/>
            </w:tcBorders>
            <w:vAlign w:val="top"/>
          </w:tcPr>
          <w:p w14:paraId="118D7E31">
            <w:pPr>
              <w:pStyle w:val="6"/>
              <w:spacing w:before="95" w:line="222" w:lineRule="auto"/>
              <w:ind w:left="960"/>
              <w:rPr>
                <w:sz w:val="19"/>
                <w:szCs w:val="19"/>
              </w:rPr>
            </w:pPr>
            <w:r>
              <w:rPr>
                <w:spacing w:val="-2"/>
                <w:sz w:val="19"/>
                <w:szCs w:val="19"/>
              </w:rPr>
              <w:t>0.800</w:t>
            </w:r>
          </w:p>
        </w:tc>
        <w:tc>
          <w:tcPr>
            <w:tcW w:w="2220" w:type="dxa"/>
            <w:tcBorders>
              <w:top w:val="single" w:color="000000" w:sz="4" w:space="0"/>
              <w:bottom w:val="single" w:color="000000" w:sz="4" w:space="0"/>
            </w:tcBorders>
            <w:vAlign w:val="top"/>
          </w:tcPr>
          <w:p w14:paraId="09A0B92D">
            <w:pPr>
              <w:pStyle w:val="6"/>
              <w:spacing w:before="95" w:line="222" w:lineRule="auto"/>
              <w:ind w:left="870"/>
              <w:rPr>
                <w:sz w:val="19"/>
                <w:szCs w:val="19"/>
              </w:rPr>
            </w:pPr>
            <w:r>
              <w:rPr>
                <w:spacing w:val="-2"/>
                <w:sz w:val="19"/>
                <w:szCs w:val="19"/>
              </w:rPr>
              <w:t>0.842</w:t>
            </w:r>
          </w:p>
        </w:tc>
        <w:tc>
          <w:tcPr>
            <w:tcW w:w="2140" w:type="dxa"/>
            <w:tcBorders>
              <w:top w:val="single" w:color="000000" w:sz="4" w:space="0"/>
              <w:bottom w:val="single" w:color="000000" w:sz="4" w:space="0"/>
            </w:tcBorders>
            <w:vAlign w:val="top"/>
          </w:tcPr>
          <w:p w14:paraId="3466CBE4">
            <w:pPr>
              <w:pStyle w:val="6"/>
              <w:spacing w:before="95" w:line="222" w:lineRule="auto"/>
              <w:ind w:left="830"/>
              <w:rPr>
                <w:sz w:val="19"/>
                <w:szCs w:val="19"/>
              </w:rPr>
            </w:pPr>
            <w:r>
              <w:rPr>
                <w:spacing w:val="-4"/>
                <w:sz w:val="19"/>
                <w:szCs w:val="19"/>
              </w:rPr>
              <w:t>1.282</w:t>
            </w:r>
          </w:p>
        </w:tc>
      </w:tr>
    </w:tbl>
    <w:p w14:paraId="5201897B">
      <w:pPr>
        <w:spacing w:line="366" w:lineRule="auto"/>
        <w:rPr>
          <w:rFonts w:ascii="Arial"/>
          <w:sz w:val="21"/>
        </w:rPr>
      </w:pPr>
    </w:p>
    <w:p w14:paraId="6A06E223">
      <w:pPr>
        <w:spacing w:before="63" w:line="350" w:lineRule="auto"/>
        <w:ind w:left="669" w:firstLine="389"/>
        <w:rPr>
          <w:rFonts w:ascii="宋体" w:hAnsi="宋体" w:eastAsia="宋体" w:cs="宋体"/>
          <w:sz w:val="19"/>
          <w:szCs w:val="19"/>
        </w:rPr>
      </w:pPr>
      <w:r>
        <w:rPr>
          <w:rFonts w:ascii="宋体" w:hAnsi="宋体" w:eastAsia="宋体" w:cs="宋体"/>
          <w:spacing w:val="18"/>
          <w:sz w:val="19"/>
          <w:szCs w:val="19"/>
        </w:rPr>
        <w:t>举例：假设对照组某病的发病率为40%,通过干预措施使发病率下降到20%才有推广使用</w:t>
      </w:r>
      <w:r>
        <w:rPr>
          <w:rFonts w:ascii="宋体" w:hAnsi="宋体" w:eastAsia="宋体" w:cs="宋体"/>
          <w:spacing w:val="17"/>
          <w:sz w:val="19"/>
          <w:szCs w:val="19"/>
        </w:rPr>
        <w:t>价值，</w:t>
      </w:r>
      <w:r>
        <w:rPr>
          <w:rFonts w:ascii="宋体" w:hAnsi="宋体" w:eastAsia="宋体" w:cs="宋体"/>
          <w:sz w:val="19"/>
          <w:szCs w:val="19"/>
        </w:rPr>
        <w:t xml:space="preserve"> </w:t>
      </w:r>
      <w:r>
        <w:rPr>
          <w:rFonts w:ascii="宋体" w:hAnsi="宋体" w:eastAsia="宋体" w:cs="宋体"/>
          <w:spacing w:val="15"/>
          <w:sz w:val="19"/>
          <w:szCs w:val="19"/>
        </w:rPr>
        <w:t>规定α水平为0.01,β水平为5%,把握</w:t>
      </w:r>
      <w:r>
        <w:rPr>
          <w:rFonts w:ascii="宋体" w:hAnsi="宋体" w:eastAsia="宋体" w:cs="宋体"/>
          <w:spacing w:val="14"/>
          <w:sz w:val="19"/>
          <w:szCs w:val="19"/>
        </w:rPr>
        <w:t>度(1-</w:t>
      </w:r>
      <w:r>
        <w:rPr>
          <w:rFonts w:ascii="宋体" w:hAnsi="宋体" w:eastAsia="宋体" w:cs="宋体"/>
          <w:spacing w:val="-32"/>
          <w:sz w:val="19"/>
          <w:szCs w:val="19"/>
        </w:rPr>
        <w:t xml:space="preserve"> </w:t>
      </w:r>
      <w:r>
        <w:rPr>
          <w:rFonts w:ascii="宋体" w:hAnsi="宋体" w:eastAsia="宋体" w:cs="宋体"/>
          <w:spacing w:val="14"/>
          <w:sz w:val="19"/>
          <w:szCs w:val="19"/>
        </w:rPr>
        <w:t>β)为95%,本研究为双侧检验，问两组要观察多少人?</w:t>
      </w:r>
    </w:p>
    <w:p w14:paraId="3E6675DD">
      <w:pPr>
        <w:spacing w:line="212" w:lineRule="auto"/>
        <w:ind w:left="1059"/>
        <w:rPr>
          <w:rFonts w:ascii="宋体" w:hAnsi="宋体" w:eastAsia="宋体" w:cs="宋体"/>
          <w:sz w:val="19"/>
          <w:szCs w:val="19"/>
        </w:rPr>
      </w:pPr>
      <w:r>
        <w:rPr>
          <w:rFonts w:ascii="宋体" w:hAnsi="宋体" w:eastAsia="宋体" w:cs="宋体"/>
          <w:spacing w:val="5"/>
          <w:sz w:val="19"/>
          <w:szCs w:val="19"/>
        </w:rPr>
        <w:t>本</w:t>
      </w:r>
      <w:r>
        <w:rPr>
          <w:rFonts w:ascii="宋体" w:hAnsi="宋体" w:eastAsia="宋体" w:cs="宋体"/>
          <w:spacing w:val="-14"/>
          <w:sz w:val="19"/>
          <w:szCs w:val="19"/>
        </w:rPr>
        <w:t xml:space="preserve"> </w:t>
      </w:r>
      <w:r>
        <w:rPr>
          <w:rFonts w:ascii="宋体" w:hAnsi="宋体" w:eastAsia="宋体" w:cs="宋体"/>
          <w:spacing w:val="5"/>
          <w:sz w:val="19"/>
          <w:szCs w:val="19"/>
        </w:rPr>
        <w:t>例</w:t>
      </w:r>
      <w:r>
        <w:rPr>
          <w:rFonts w:ascii="Times New Roman" w:hAnsi="Times New Roman" w:eastAsia="Times New Roman" w:cs="Times New Roman"/>
          <w:spacing w:val="5"/>
          <w:sz w:val="19"/>
          <w:szCs w:val="19"/>
        </w:rPr>
        <w:t xml:space="preserve">p₁=40%,p₂=20%,     </w:t>
      </w:r>
      <w:r>
        <w:rPr>
          <w:rFonts w:ascii="宋体" w:hAnsi="宋体" w:eastAsia="宋体" w:cs="宋体"/>
          <w:spacing w:val="4"/>
          <w:sz w:val="19"/>
          <w:szCs w:val="19"/>
        </w:rPr>
        <w:t>双侧检验时</w:t>
      </w:r>
      <w:r>
        <w:rPr>
          <w:rFonts w:ascii="Times New Roman" w:hAnsi="Times New Roman" w:eastAsia="Times New Roman" w:cs="Times New Roman"/>
          <w:spacing w:val="4"/>
          <w:sz w:val="19"/>
          <w:szCs w:val="19"/>
        </w:rPr>
        <w:t>Z₁-a₁2</w:t>
      </w:r>
      <w:r>
        <w:rPr>
          <w:rFonts w:ascii="宋体" w:hAnsi="宋体" w:eastAsia="宋体" w:cs="宋体"/>
          <w:spacing w:val="4"/>
          <w:sz w:val="19"/>
          <w:szCs w:val="19"/>
        </w:rPr>
        <w:t>为2.58,</w:t>
      </w:r>
      <w:r>
        <w:rPr>
          <w:rFonts w:ascii="Times New Roman" w:hAnsi="Times New Roman" w:eastAsia="Times New Roman" w:cs="Times New Roman"/>
          <w:sz w:val="19"/>
          <w:szCs w:val="19"/>
        </w:rPr>
        <w:t>Zg</w:t>
      </w:r>
      <w:r>
        <w:rPr>
          <w:rFonts w:ascii="Times New Roman" w:hAnsi="Times New Roman" w:eastAsia="Times New Roman" w:cs="Times New Roman"/>
          <w:spacing w:val="4"/>
          <w:sz w:val="19"/>
          <w:szCs w:val="19"/>
        </w:rPr>
        <w:t xml:space="preserve"> </w:t>
      </w:r>
      <w:r>
        <w:rPr>
          <w:rFonts w:ascii="宋体" w:hAnsi="宋体" w:eastAsia="宋体" w:cs="宋体"/>
          <w:spacing w:val="4"/>
          <w:sz w:val="19"/>
          <w:szCs w:val="19"/>
        </w:rPr>
        <w:t>为1.64,</w:t>
      </w:r>
      <w:r>
        <w:rPr>
          <w:rFonts w:ascii="Times New Roman" w:hAnsi="Times New Roman" w:eastAsia="Times New Roman" w:cs="Times New Roman"/>
          <w:spacing w:val="4"/>
          <w:sz w:val="19"/>
          <w:szCs w:val="19"/>
        </w:rPr>
        <w:t xml:space="preserve">p=(0.4+0.2)/2=0.3,       </w:t>
      </w:r>
      <w:r>
        <w:rPr>
          <w:rFonts w:ascii="宋体" w:hAnsi="宋体" w:eastAsia="宋体" w:cs="宋体"/>
          <w:spacing w:val="4"/>
          <w:sz w:val="19"/>
          <w:szCs w:val="19"/>
        </w:rPr>
        <w:t>代人公式：</w:t>
      </w:r>
    </w:p>
    <w:p w14:paraId="6CF1D1FA">
      <w:pPr>
        <w:spacing w:line="254" w:lineRule="auto"/>
        <w:rPr>
          <w:rFonts w:ascii="Arial"/>
          <w:sz w:val="21"/>
        </w:rPr>
      </w:pPr>
    </w:p>
    <w:p w14:paraId="4CAFB638">
      <w:pPr>
        <w:spacing w:line="680" w:lineRule="exact"/>
        <w:ind w:firstLine="2610"/>
      </w:pPr>
      <w:r>
        <w:rPr>
          <w:position w:val="-13"/>
        </w:rPr>
        <w:drawing>
          <wp:inline distT="0" distB="0" distL="0" distR="0">
            <wp:extent cx="3168015" cy="431165"/>
            <wp:effectExtent l="0" t="0" r="0" b="0"/>
            <wp:docPr id="366" name="IM 366"/>
            <wp:cNvGraphicFramePr/>
            <a:graphic xmlns:a="http://schemas.openxmlformats.org/drawingml/2006/main">
              <a:graphicData uri="http://schemas.openxmlformats.org/drawingml/2006/picture">
                <pic:pic xmlns:pic="http://schemas.openxmlformats.org/drawingml/2006/picture">
                  <pic:nvPicPr>
                    <pic:cNvPr id="366" name="IM 366"/>
                    <pic:cNvPicPr/>
                  </pic:nvPicPr>
                  <pic:blipFill>
                    <a:blip r:embed="rId555"/>
                    <a:stretch>
                      <a:fillRect/>
                    </a:stretch>
                  </pic:blipFill>
                  <pic:spPr>
                    <a:xfrm>
                      <a:off x="0" y="0"/>
                      <a:ext cx="3168591" cy="431713"/>
                    </a:xfrm>
                    <a:prstGeom prst="rect">
                      <a:avLst/>
                    </a:prstGeom>
                  </pic:spPr>
                </pic:pic>
              </a:graphicData>
            </a:graphic>
          </wp:inline>
        </w:drawing>
      </w:r>
    </w:p>
    <w:p w14:paraId="62AB814B">
      <w:pPr>
        <w:spacing w:before="50" w:line="530" w:lineRule="exact"/>
        <w:ind w:firstLine="2789"/>
      </w:pPr>
      <w:r>
        <w:rPr>
          <w:position w:val="-10"/>
        </w:rPr>
        <w:drawing>
          <wp:inline distT="0" distB="0" distL="0" distR="0">
            <wp:extent cx="1606550" cy="335915"/>
            <wp:effectExtent l="0" t="0" r="0" b="0"/>
            <wp:docPr id="368" name="IM 368"/>
            <wp:cNvGraphicFramePr/>
            <a:graphic xmlns:a="http://schemas.openxmlformats.org/drawingml/2006/main">
              <a:graphicData uri="http://schemas.openxmlformats.org/drawingml/2006/picture">
                <pic:pic xmlns:pic="http://schemas.openxmlformats.org/drawingml/2006/picture">
                  <pic:nvPicPr>
                    <pic:cNvPr id="368" name="IM 368"/>
                    <pic:cNvPicPr/>
                  </pic:nvPicPr>
                  <pic:blipFill>
                    <a:blip r:embed="rId556"/>
                    <a:stretch>
                      <a:fillRect/>
                    </a:stretch>
                  </pic:blipFill>
                  <pic:spPr>
                    <a:xfrm>
                      <a:off x="0" y="0"/>
                      <a:ext cx="1606587" cy="336548"/>
                    </a:xfrm>
                    <a:prstGeom prst="rect">
                      <a:avLst/>
                    </a:prstGeom>
                  </pic:spPr>
                </pic:pic>
              </a:graphicData>
            </a:graphic>
          </wp:inline>
        </w:drawing>
      </w:r>
    </w:p>
    <w:p w14:paraId="2844FAF0">
      <w:pPr>
        <w:spacing w:line="530" w:lineRule="exact"/>
        <w:sectPr>
          <w:footerReference r:id="rId123" w:type="default"/>
          <w:pgSz w:w="11900" w:h="16820"/>
          <w:pgMar w:top="400" w:right="1494" w:bottom="843" w:left="860" w:header="0" w:footer="596" w:gutter="0"/>
          <w:cols w:space="720" w:num="1"/>
        </w:sectPr>
      </w:pPr>
    </w:p>
    <w:p w14:paraId="483632F7">
      <w:pPr>
        <w:pStyle w:val="2"/>
        <w:spacing w:before="126" w:line="221" w:lineRule="auto"/>
        <w:ind w:left="7249"/>
        <w:rPr>
          <w:sz w:val="21"/>
          <w:szCs w:val="21"/>
        </w:rPr>
      </w:pPr>
      <w:r>
        <w:rPr>
          <w:spacing w:val="-25"/>
          <w:w w:val="99"/>
          <w:sz w:val="21"/>
          <w:szCs w:val="21"/>
        </w:rPr>
        <w:t>第六章 实验流行病学</w:t>
      </w:r>
    </w:p>
    <w:p w14:paraId="0634F0AD">
      <w:pPr>
        <w:spacing w:line="269" w:lineRule="auto"/>
        <w:rPr>
          <w:rFonts w:ascii="Arial"/>
          <w:sz w:val="21"/>
        </w:rPr>
      </w:pPr>
    </w:p>
    <w:p w14:paraId="10609CCF">
      <w:pPr>
        <w:spacing w:line="270" w:lineRule="auto"/>
        <w:rPr>
          <w:rFonts w:ascii="Arial"/>
          <w:sz w:val="21"/>
        </w:rPr>
      </w:pPr>
    </w:p>
    <w:p w14:paraId="6DBE2C56">
      <w:pPr>
        <w:spacing w:before="68" w:line="219" w:lineRule="auto"/>
        <w:rPr>
          <w:rFonts w:ascii="宋体" w:hAnsi="宋体" w:eastAsia="宋体" w:cs="宋体"/>
          <w:sz w:val="21"/>
          <w:szCs w:val="21"/>
        </w:rPr>
      </w:pPr>
      <w:r>
        <w:rPr>
          <w:rFonts w:ascii="宋体" w:hAnsi="宋体" w:eastAsia="宋体" w:cs="宋体"/>
          <w:spacing w:val="9"/>
          <w:sz w:val="21"/>
          <w:szCs w:val="21"/>
        </w:rPr>
        <w:t>即每组需观察184例。</w:t>
      </w:r>
    </w:p>
    <w:p w14:paraId="10719A78">
      <w:pPr>
        <w:spacing w:before="149" w:line="336" w:lineRule="auto"/>
        <w:ind w:right="651" w:firstLine="419"/>
        <w:rPr>
          <w:rFonts w:ascii="宋体" w:hAnsi="宋体" w:eastAsia="宋体" w:cs="宋体"/>
          <w:sz w:val="21"/>
          <w:szCs w:val="21"/>
        </w:rPr>
      </w:pPr>
      <w:r>
        <w:rPr>
          <w:rFonts w:ascii="宋体" w:hAnsi="宋体" w:eastAsia="宋体" w:cs="宋体"/>
          <w:spacing w:val="-4"/>
          <w:sz w:val="21"/>
          <w:szCs w:val="21"/>
        </w:rPr>
        <w:t>(2)计量资料：如身高、体重、血压、血脂和胆固醇等，若按</w:t>
      </w:r>
      <w:r>
        <w:rPr>
          <w:rFonts w:ascii="宋体" w:hAnsi="宋体" w:eastAsia="宋体" w:cs="宋体"/>
          <w:spacing w:val="-5"/>
          <w:sz w:val="21"/>
          <w:szCs w:val="21"/>
        </w:rPr>
        <w:t>样本均数比较，当两组样本量相等</w:t>
      </w:r>
      <w:r>
        <w:rPr>
          <w:rFonts w:ascii="宋体" w:hAnsi="宋体" w:eastAsia="宋体" w:cs="宋体"/>
          <w:sz w:val="21"/>
          <w:szCs w:val="21"/>
        </w:rPr>
        <w:t xml:space="preserve"> </w:t>
      </w:r>
      <w:r>
        <w:rPr>
          <w:rFonts w:ascii="宋体" w:hAnsi="宋体" w:eastAsia="宋体" w:cs="宋体"/>
          <w:spacing w:val="-5"/>
          <w:sz w:val="21"/>
          <w:szCs w:val="21"/>
        </w:rPr>
        <w:t>时，可按下列公式计算样本大小：</w:t>
      </w:r>
    </w:p>
    <w:p w14:paraId="76E62474">
      <w:pPr>
        <w:spacing w:line="258" w:lineRule="auto"/>
        <w:rPr>
          <w:rFonts w:ascii="Arial"/>
          <w:sz w:val="21"/>
        </w:rPr>
      </w:pPr>
      <w:r>
        <w:drawing>
          <wp:anchor distT="0" distB="0" distL="0" distR="0" simplePos="0" relativeHeight="251758592" behindDoc="0" locked="0" layoutInCell="1" allowOverlap="1">
            <wp:simplePos x="0" y="0"/>
            <wp:positionH relativeFrom="column">
              <wp:posOffset>2298065</wp:posOffset>
            </wp:positionH>
            <wp:positionV relativeFrom="paragraph">
              <wp:posOffset>87630</wp:posOffset>
            </wp:positionV>
            <wp:extent cx="1149350" cy="368300"/>
            <wp:effectExtent l="0" t="0" r="0" b="0"/>
            <wp:wrapNone/>
            <wp:docPr id="370" name="IM 370"/>
            <wp:cNvGraphicFramePr/>
            <a:graphic xmlns:a="http://schemas.openxmlformats.org/drawingml/2006/main">
              <a:graphicData uri="http://schemas.openxmlformats.org/drawingml/2006/picture">
                <pic:pic xmlns:pic="http://schemas.openxmlformats.org/drawingml/2006/picture">
                  <pic:nvPicPr>
                    <pic:cNvPr id="370" name="IM 370"/>
                    <pic:cNvPicPr/>
                  </pic:nvPicPr>
                  <pic:blipFill>
                    <a:blip r:embed="rId557"/>
                    <a:stretch>
                      <a:fillRect/>
                    </a:stretch>
                  </pic:blipFill>
                  <pic:spPr>
                    <a:xfrm>
                      <a:off x="0" y="0"/>
                      <a:ext cx="1149343" cy="368270"/>
                    </a:xfrm>
                    <a:prstGeom prst="rect">
                      <a:avLst/>
                    </a:prstGeom>
                  </pic:spPr>
                </pic:pic>
              </a:graphicData>
            </a:graphic>
          </wp:anchor>
        </w:drawing>
      </w:r>
    </w:p>
    <w:p w14:paraId="238FE5B9">
      <w:pPr>
        <w:spacing w:before="68" w:line="221" w:lineRule="auto"/>
        <w:ind w:left="8230"/>
        <w:rPr>
          <w:rFonts w:ascii="宋体" w:hAnsi="宋体" w:eastAsia="宋体" w:cs="宋体"/>
          <w:sz w:val="21"/>
          <w:szCs w:val="21"/>
        </w:rPr>
      </w:pPr>
      <w:r>
        <w:rPr>
          <w:rFonts w:ascii="宋体" w:hAnsi="宋体" w:eastAsia="宋体" w:cs="宋体"/>
          <w:spacing w:val="8"/>
          <w:sz w:val="21"/>
          <w:szCs w:val="21"/>
        </w:rPr>
        <w:t>式(6-2)</w:t>
      </w:r>
    </w:p>
    <w:p w14:paraId="78C1929F">
      <w:pPr>
        <w:spacing w:line="374" w:lineRule="auto"/>
        <w:rPr>
          <w:rFonts w:ascii="Arial"/>
          <w:sz w:val="21"/>
        </w:rPr>
      </w:pPr>
    </w:p>
    <w:p w14:paraId="333E409C">
      <w:pPr>
        <w:spacing w:before="69" w:line="218" w:lineRule="auto"/>
        <w:rPr>
          <w:rFonts w:ascii="宋体" w:hAnsi="宋体" w:eastAsia="宋体" w:cs="宋体"/>
          <w:sz w:val="21"/>
          <w:szCs w:val="21"/>
        </w:rPr>
      </w:pPr>
      <w:r>
        <w:rPr>
          <w:rFonts w:ascii="宋体" w:hAnsi="宋体" w:eastAsia="宋体" w:cs="宋体"/>
          <w:spacing w:val="-11"/>
          <w:sz w:val="21"/>
          <w:szCs w:val="21"/>
        </w:rPr>
        <w:t>式中，σ为估计的标准差；d</w:t>
      </w:r>
      <w:r>
        <w:rPr>
          <w:rFonts w:ascii="宋体" w:hAnsi="宋体" w:eastAsia="宋体" w:cs="宋体"/>
          <w:spacing w:val="-28"/>
          <w:sz w:val="21"/>
          <w:szCs w:val="21"/>
        </w:rPr>
        <w:t xml:space="preserve"> </w:t>
      </w:r>
      <w:r>
        <w:rPr>
          <w:rFonts w:ascii="宋体" w:hAnsi="宋体" w:eastAsia="宋体" w:cs="宋体"/>
          <w:spacing w:val="-11"/>
          <w:sz w:val="21"/>
          <w:szCs w:val="21"/>
        </w:rPr>
        <w:t>为两组均值之差；ZI</w:t>
      </w:r>
      <w:r>
        <w:rPr>
          <w:rFonts w:ascii="宋体" w:hAnsi="宋体" w:eastAsia="宋体" w:cs="宋体"/>
          <w:spacing w:val="-12"/>
          <w:sz w:val="21"/>
          <w:szCs w:val="21"/>
        </w:rPr>
        <w:t>-a/2、Zβ和N</w:t>
      </w:r>
      <w:r>
        <w:rPr>
          <w:rFonts w:ascii="宋体" w:hAnsi="宋体" w:eastAsia="宋体" w:cs="宋体"/>
          <w:spacing w:val="-28"/>
          <w:sz w:val="21"/>
          <w:szCs w:val="21"/>
        </w:rPr>
        <w:t xml:space="preserve"> </w:t>
      </w:r>
      <w:r>
        <w:rPr>
          <w:rFonts w:ascii="宋体" w:hAnsi="宋体" w:eastAsia="宋体" w:cs="宋体"/>
          <w:spacing w:val="-12"/>
          <w:sz w:val="21"/>
          <w:szCs w:val="21"/>
        </w:rPr>
        <w:t>所示意义同上述计数资料的计算公式。</w:t>
      </w:r>
    </w:p>
    <w:p w14:paraId="4DA4CE10">
      <w:pPr>
        <w:spacing w:before="115" w:line="221" w:lineRule="auto"/>
        <w:ind w:left="449"/>
        <w:rPr>
          <w:rFonts w:ascii="宋体" w:hAnsi="宋体" w:eastAsia="宋体" w:cs="宋体"/>
          <w:sz w:val="21"/>
          <w:szCs w:val="21"/>
        </w:rPr>
      </w:pPr>
      <w:r>
        <w:rPr>
          <w:rFonts w:ascii="宋体" w:hAnsi="宋体" w:eastAsia="宋体" w:cs="宋体"/>
          <w:sz w:val="21"/>
          <w:szCs w:val="21"/>
        </w:rPr>
        <w:t>以上公式适用于N≥30 时</w:t>
      </w:r>
      <w:r>
        <w:rPr>
          <w:rFonts w:ascii="宋体" w:hAnsi="宋体" w:eastAsia="宋体" w:cs="宋体"/>
          <w:spacing w:val="-51"/>
          <w:sz w:val="21"/>
          <w:szCs w:val="21"/>
        </w:rPr>
        <w:t xml:space="preserve"> </w:t>
      </w:r>
      <w:r>
        <w:rPr>
          <w:rFonts w:ascii="宋体" w:hAnsi="宋体" w:eastAsia="宋体" w:cs="宋体"/>
          <w:sz w:val="21"/>
          <w:szCs w:val="21"/>
        </w:rPr>
        <w:t>。</w:t>
      </w:r>
    </w:p>
    <w:p w14:paraId="5EF3B7A8">
      <w:pPr>
        <w:spacing w:before="130" w:line="332" w:lineRule="auto"/>
        <w:ind w:right="609" w:firstLine="419"/>
        <w:rPr>
          <w:rFonts w:ascii="宋体" w:hAnsi="宋体" w:eastAsia="宋体" w:cs="宋体"/>
          <w:sz w:val="21"/>
          <w:szCs w:val="21"/>
        </w:rPr>
      </w:pPr>
      <w:r>
        <w:rPr>
          <w:rFonts w:ascii="宋体" w:hAnsi="宋体" w:eastAsia="宋体" w:cs="宋体"/>
          <w:spacing w:val="-3"/>
          <w:sz w:val="21"/>
          <w:szCs w:val="21"/>
        </w:rPr>
        <w:t>举例：用某种药治疗硅沉着病(矽肺)病人，可使病人尿矽排出量平均增加到1.8mg/100ml(X。),</w:t>
      </w:r>
      <w:r>
        <w:rPr>
          <w:rFonts w:ascii="宋体" w:hAnsi="宋体" w:eastAsia="宋体" w:cs="宋体"/>
          <w:spacing w:val="5"/>
          <w:sz w:val="21"/>
          <w:szCs w:val="21"/>
        </w:rPr>
        <w:t xml:space="preserve"> </w:t>
      </w:r>
      <w:r>
        <w:rPr>
          <w:rFonts w:ascii="宋体" w:hAnsi="宋体" w:eastAsia="宋体" w:cs="宋体"/>
          <w:spacing w:val="2"/>
          <w:sz w:val="21"/>
          <w:szCs w:val="21"/>
        </w:rPr>
        <w:t>常规治疗平均为1.2</w:t>
      </w:r>
      <w:r>
        <w:rPr>
          <w:rFonts w:ascii="Times New Roman" w:hAnsi="Times New Roman" w:eastAsia="Times New Roman" w:cs="Times New Roman"/>
          <w:sz w:val="21"/>
          <w:szCs w:val="21"/>
        </w:rPr>
        <w:t>mg</w:t>
      </w:r>
      <w:r>
        <w:rPr>
          <w:rFonts w:ascii="Times New Roman" w:hAnsi="Times New Roman" w:eastAsia="Times New Roman" w:cs="Times New Roman"/>
          <w:spacing w:val="2"/>
          <w:sz w:val="21"/>
          <w:szCs w:val="21"/>
        </w:rPr>
        <w:t>/100</w:t>
      </w:r>
      <w:r>
        <w:rPr>
          <w:rFonts w:ascii="Times New Roman" w:hAnsi="Times New Roman" w:eastAsia="Times New Roman" w:cs="Times New Roman"/>
          <w:sz w:val="21"/>
          <w:szCs w:val="21"/>
        </w:rPr>
        <w:t>ml</w:t>
      </w:r>
      <w:r>
        <w:rPr>
          <w:rFonts w:ascii="Times New Roman" w:hAnsi="Times New Roman" w:eastAsia="Times New Roman" w:cs="Times New Roman"/>
          <w:spacing w:val="2"/>
          <w:sz w:val="21"/>
          <w:szCs w:val="21"/>
        </w:rPr>
        <w:t>(X,),</w:t>
      </w:r>
      <w:r>
        <w:rPr>
          <w:rFonts w:ascii="Times New Roman" w:hAnsi="Times New Roman" w:eastAsia="Times New Roman" w:cs="Times New Roman"/>
          <w:spacing w:val="40"/>
          <w:w w:val="101"/>
          <w:sz w:val="21"/>
          <w:szCs w:val="21"/>
        </w:rPr>
        <w:t xml:space="preserve"> </w:t>
      </w:r>
      <w:r>
        <w:rPr>
          <w:rFonts w:ascii="宋体" w:hAnsi="宋体" w:eastAsia="宋体" w:cs="宋体"/>
          <w:spacing w:val="2"/>
          <w:sz w:val="21"/>
          <w:szCs w:val="21"/>
        </w:rPr>
        <w:t>标准差</w:t>
      </w:r>
      <w:r>
        <w:rPr>
          <w:rFonts w:ascii="Times New Roman" w:hAnsi="Times New Roman" w:eastAsia="Times New Roman" w:cs="Times New Roman"/>
          <w:spacing w:val="2"/>
          <w:sz w:val="21"/>
          <w:szCs w:val="21"/>
        </w:rPr>
        <w:t>(S)</w:t>
      </w:r>
      <w:r>
        <w:rPr>
          <w:rFonts w:ascii="Times New Roman" w:hAnsi="Times New Roman" w:eastAsia="Times New Roman" w:cs="Times New Roman"/>
          <w:spacing w:val="39"/>
          <w:w w:val="101"/>
          <w:sz w:val="21"/>
          <w:szCs w:val="21"/>
        </w:rPr>
        <w:t xml:space="preserve"> </w:t>
      </w:r>
      <w:r>
        <w:rPr>
          <w:rFonts w:ascii="宋体" w:hAnsi="宋体" w:eastAsia="宋体" w:cs="宋体"/>
          <w:spacing w:val="2"/>
          <w:sz w:val="21"/>
          <w:szCs w:val="21"/>
        </w:rPr>
        <w:t>为 1</w:t>
      </w:r>
      <w:r>
        <w:rPr>
          <w:rFonts w:ascii="Times New Roman" w:hAnsi="Times New Roman" w:eastAsia="Times New Roman" w:cs="Times New Roman"/>
          <w:sz w:val="21"/>
          <w:szCs w:val="21"/>
        </w:rPr>
        <w:t>mg</w:t>
      </w:r>
      <w:r>
        <w:rPr>
          <w:rFonts w:ascii="Times New Roman" w:hAnsi="Times New Roman" w:eastAsia="Times New Roman" w:cs="Times New Roman"/>
          <w:spacing w:val="2"/>
          <w:sz w:val="21"/>
          <w:szCs w:val="21"/>
        </w:rPr>
        <w:t>/100</w:t>
      </w:r>
      <w:r>
        <w:rPr>
          <w:rFonts w:ascii="Times New Roman" w:hAnsi="Times New Roman" w:eastAsia="Times New Roman" w:cs="Times New Roman"/>
          <w:sz w:val="21"/>
          <w:szCs w:val="21"/>
        </w:rPr>
        <w:t>ml</w:t>
      </w:r>
      <w:r>
        <w:rPr>
          <w:rFonts w:ascii="Times New Roman" w:hAnsi="Times New Roman" w:eastAsia="Times New Roman" w:cs="Times New Roman"/>
          <w:spacing w:val="2"/>
          <w:sz w:val="21"/>
          <w:szCs w:val="21"/>
        </w:rPr>
        <w:t xml:space="preserve">,α=0.05,β=0.05,    </w:t>
      </w:r>
      <w:r>
        <w:rPr>
          <w:rFonts w:ascii="宋体" w:hAnsi="宋体" w:eastAsia="宋体" w:cs="宋体"/>
          <w:spacing w:val="2"/>
          <w:sz w:val="21"/>
          <w:szCs w:val="21"/>
        </w:rPr>
        <w:t>双侧检验欲得出两组</w:t>
      </w:r>
      <w:r>
        <w:rPr>
          <w:rFonts w:ascii="宋体" w:hAnsi="宋体" w:eastAsia="宋体" w:cs="宋体"/>
          <w:sz w:val="21"/>
          <w:szCs w:val="21"/>
        </w:rPr>
        <w:t xml:space="preserve"> </w:t>
      </w:r>
      <w:r>
        <w:rPr>
          <w:rFonts w:ascii="宋体" w:hAnsi="宋体" w:eastAsia="宋体" w:cs="宋体"/>
          <w:spacing w:val="4"/>
          <w:sz w:val="21"/>
          <w:szCs w:val="21"/>
        </w:rPr>
        <w:t>差别显著,问两组各需观察多少人?</w:t>
      </w:r>
    </w:p>
    <w:p w14:paraId="263909D8">
      <w:pPr>
        <w:spacing w:before="21" w:line="212" w:lineRule="auto"/>
        <w:ind w:left="429"/>
        <w:rPr>
          <w:rFonts w:ascii="FangSong" w:hAnsi="FangSong" w:eastAsia="FangSong" w:cs="FangSong"/>
          <w:sz w:val="21"/>
          <w:szCs w:val="21"/>
        </w:rPr>
      </w:pPr>
      <w:r>
        <w:rPr>
          <w:rFonts w:ascii="FangSong" w:hAnsi="FangSong" w:eastAsia="FangSong" w:cs="FangSong"/>
          <w:spacing w:val="1"/>
          <w:sz w:val="21"/>
          <w:szCs w:val="21"/>
        </w:rPr>
        <w:t>本例σ为1.0,</w:t>
      </w:r>
      <w:r>
        <w:rPr>
          <w:rFonts w:ascii="Times New Roman" w:hAnsi="Times New Roman" w:eastAsia="Times New Roman" w:cs="Times New Roman"/>
          <w:spacing w:val="1"/>
          <w:sz w:val="21"/>
          <w:szCs w:val="21"/>
        </w:rPr>
        <w:t xml:space="preserve">d </w:t>
      </w:r>
      <w:r>
        <w:rPr>
          <w:rFonts w:ascii="FangSong" w:hAnsi="FangSong" w:eastAsia="FangSong" w:cs="FangSong"/>
          <w:spacing w:val="1"/>
          <w:sz w:val="21"/>
          <w:szCs w:val="21"/>
        </w:rPr>
        <w:t>为0.6,</w:t>
      </w:r>
      <w:r>
        <w:rPr>
          <w:rFonts w:ascii="Times New Roman" w:hAnsi="Times New Roman" w:eastAsia="Times New Roman" w:cs="Times New Roman"/>
          <w:spacing w:val="1"/>
          <w:sz w:val="21"/>
          <w:szCs w:val="21"/>
        </w:rPr>
        <w:t xml:space="preserve">Z-/2  </w:t>
      </w:r>
      <w:r>
        <w:rPr>
          <w:rFonts w:ascii="FangSong" w:hAnsi="FangSong" w:eastAsia="FangSong" w:cs="FangSong"/>
          <w:spacing w:val="1"/>
          <w:sz w:val="21"/>
          <w:szCs w:val="21"/>
        </w:rPr>
        <w:t>为1.96,</w:t>
      </w:r>
      <w:r>
        <w:rPr>
          <w:rFonts w:ascii="Times New Roman" w:hAnsi="Times New Roman" w:eastAsia="Times New Roman" w:cs="Times New Roman"/>
          <w:spacing w:val="1"/>
          <w:sz w:val="21"/>
          <w:szCs w:val="21"/>
        </w:rPr>
        <w:t>Zβ</w:t>
      </w:r>
      <w:r>
        <w:rPr>
          <w:rFonts w:ascii="FangSong" w:hAnsi="FangSong" w:eastAsia="FangSong" w:cs="FangSong"/>
          <w:spacing w:val="1"/>
          <w:sz w:val="21"/>
          <w:szCs w:val="21"/>
        </w:rPr>
        <w:t>为1.64,代人公式：</w:t>
      </w:r>
    </w:p>
    <w:p w14:paraId="057AF5FD">
      <w:pPr>
        <w:spacing w:line="242" w:lineRule="auto"/>
        <w:rPr>
          <w:rFonts w:ascii="Arial"/>
          <w:sz w:val="21"/>
        </w:rPr>
      </w:pPr>
    </w:p>
    <w:p w14:paraId="353783FB">
      <w:pPr>
        <w:spacing w:line="610" w:lineRule="exact"/>
        <w:ind w:firstLine="3210"/>
      </w:pPr>
      <w:r>
        <w:rPr>
          <w:position w:val="-12"/>
        </w:rPr>
        <w:drawing>
          <wp:inline distT="0" distB="0" distL="0" distR="0">
            <wp:extent cx="1631315" cy="387350"/>
            <wp:effectExtent l="0" t="0" r="0" b="0"/>
            <wp:docPr id="372" name="IM 372"/>
            <wp:cNvGraphicFramePr/>
            <a:graphic xmlns:a="http://schemas.openxmlformats.org/drawingml/2006/main">
              <a:graphicData uri="http://schemas.openxmlformats.org/drawingml/2006/picture">
                <pic:pic xmlns:pic="http://schemas.openxmlformats.org/drawingml/2006/picture">
                  <pic:nvPicPr>
                    <pic:cNvPr id="372" name="IM 372"/>
                    <pic:cNvPicPr/>
                  </pic:nvPicPr>
                  <pic:blipFill>
                    <a:blip r:embed="rId558"/>
                    <a:stretch>
                      <a:fillRect/>
                    </a:stretch>
                  </pic:blipFill>
                  <pic:spPr>
                    <a:xfrm>
                      <a:off x="0" y="0"/>
                      <a:ext cx="1631901" cy="387388"/>
                    </a:xfrm>
                    <a:prstGeom prst="rect">
                      <a:avLst/>
                    </a:prstGeom>
                  </pic:spPr>
                </pic:pic>
              </a:graphicData>
            </a:graphic>
          </wp:inline>
        </w:drawing>
      </w:r>
    </w:p>
    <w:p w14:paraId="65E18886">
      <w:pPr>
        <w:spacing w:before="279" w:line="219" w:lineRule="auto"/>
        <w:ind w:left="429"/>
        <w:rPr>
          <w:rFonts w:ascii="宋体" w:hAnsi="宋体" w:eastAsia="宋体" w:cs="宋体"/>
          <w:sz w:val="21"/>
          <w:szCs w:val="21"/>
        </w:rPr>
      </w:pPr>
      <w:r>
        <w:rPr>
          <w:rFonts w:ascii="宋体" w:hAnsi="宋体" w:eastAsia="宋体" w:cs="宋体"/>
          <w:spacing w:val="8"/>
          <w:sz w:val="21"/>
          <w:szCs w:val="21"/>
        </w:rPr>
        <w:t>即每组需观察72例。</w:t>
      </w:r>
    </w:p>
    <w:p w14:paraId="3FFBB546">
      <w:pPr>
        <w:spacing w:line="290" w:lineRule="auto"/>
        <w:rPr>
          <w:rFonts w:ascii="Arial"/>
          <w:sz w:val="21"/>
        </w:rPr>
      </w:pPr>
    </w:p>
    <w:p w14:paraId="0EB33495">
      <w:pPr>
        <w:pStyle w:val="2"/>
        <w:spacing w:before="69" w:line="222" w:lineRule="auto"/>
        <w:ind w:left="479"/>
        <w:outlineLvl w:val="2"/>
        <w:rPr>
          <w:sz w:val="21"/>
          <w:szCs w:val="21"/>
        </w:rPr>
      </w:pPr>
      <w:bookmarkStart w:id="170" w:name="bookmark110"/>
      <w:bookmarkEnd w:id="170"/>
      <w:r>
        <w:rPr>
          <w:spacing w:val="32"/>
          <w:sz w:val="21"/>
          <w:szCs w:val="21"/>
        </w:rPr>
        <w:t>五 、随机化分组与分组隐匿</w:t>
      </w:r>
    </w:p>
    <w:p w14:paraId="4519B415">
      <w:pPr>
        <w:spacing w:before="256" w:line="336" w:lineRule="auto"/>
        <w:ind w:right="629" w:firstLine="429"/>
        <w:jc w:val="both"/>
        <w:rPr>
          <w:rFonts w:ascii="宋体" w:hAnsi="宋体" w:eastAsia="宋体" w:cs="宋体"/>
          <w:sz w:val="21"/>
          <w:szCs w:val="21"/>
        </w:rPr>
      </w:pPr>
      <w:r>
        <w:rPr>
          <w:rFonts w:ascii="宋体" w:hAnsi="宋体" w:eastAsia="宋体" w:cs="宋体"/>
          <w:spacing w:val="-2"/>
          <w:sz w:val="21"/>
          <w:szCs w:val="21"/>
        </w:rPr>
        <w:t>在试验研究中，随机化是一项极为重要的原则，即将研究对象随机分配到试验组和对照组，使</w:t>
      </w:r>
      <w:r>
        <w:rPr>
          <w:rFonts w:ascii="宋体" w:hAnsi="宋体" w:eastAsia="宋体" w:cs="宋体"/>
          <w:spacing w:val="1"/>
          <w:sz w:val="21"/>
          <w:szCs w:val="21"/>
        </w:rPr>
        <w:t xml:space="preserve"> </w:t>
      </w:r>
      <w:r>
        <w:rPr>
          <w:rFonts w:ascii="宋体" w:hAnsi="宋体" w:eastAsia="宋体" w:cs="宋体"/>
          <w:spacing w:val="4"/>
          <w:sz w:val="21"/>
          <w:szCs w:val="21"/>
        </w:rPr>
        <w:t>每个研究对象都有同等的机会被分配到各组中，以平衡</w:t>
      </w:r>
      <w:r>
        <w:rPr>
          <w:rFonts w:ascii="宋体" w:hAnsi="宋体" w:eastAsia="宋体" w:cs="宋体"/>
          <w:spacing w:val="3"/>
          <w:sz w:val="21"/>
          <w:szCs w:val="21"/>
        </w:rPr>
        <w:t>试验组和对照组各种已知和未知的混杂因</w:t>
      </w:r>
      <w:r>
        <w:rPr>
          <w:rFonts w:ascii="宋体" w:hAnsi="宋体" w:eastAsia="宋体" w:cs="宋体"/>
          <w:sz w:val="21"/>
          <w:szCs w:val="21"/>
        </w:rPr>
        <w:t xml:space="preserve"> </w:t>
      </w:r>
      <w:r>
        <w:rPr>
          <w:rFonts w:ascii="宋体" w:hAnsi="宋体" w:eastAsia="宋体" w:cs="宋体"/>
          <w:spacing w:val="-8"/>
          <w:sz w:val="21"/>
          <w:szCs w:val="21"/>
        </w:rPr>
        <w:t>素，从而提高两组的可比性，避免造成偏倚。</w:t>
      </w:r>
    </w:p>
    <w:p w14:paraId="79A83DE0">
      <w:pPr>
        <w:pStyle w:val="2"/>
        <w:spacing w:before="3" w:line="221" w:lineRule="auto"/>
        <w:ind w:left="449"/>
        <w:rPr>
          <w:sz w:val="21"/>
          <w:szCs w:val="21"/>
        </w:rPr>
      </w:pPr>
      <w:r>
        <w:rPr>
          <w:spacing w:val="20"/>
          <w:sz w:val="21"/>
          <w:szCs w:val="21"/>
        </w:rPr>
        <w:t>(一)随机化分组的方法</w:t>
      </w:r>
    </w:p>
    <w:p w14:paraId="1EA7433E">
      <w:pPr>
        <w:pStyle w:val="2"/>
        <w:spacing w:before="124" w:line="312" w:lineRule="auto"/>
        <w:ind w:right="637" w:firstLine="449"/>
        <w:rPr>
          <w:rFonts w:ascii="宋体" w:hAnsi="宋体" w:eastAsia="宋体" w:cs="宋体"/>
          <w:sz w:val="21"/>
          <w:szCs w:val="21"/>
        </w:rPr>
      </w:pPr>
      <w:r>
        <w:rPr>
          <w:rFonts w:ascii="宋体" w:hAnsi="宋体" w:eastAsia="宋体" w:cs="宋体"/>
          <w:spacing w:val="-4"/>
          <w:sz w:val="21"/>
          <w:szCs w:val="21"/>
        </w:rPr>
        <w:t xml:space="preserve">1. </w:t>
      </w:r>
      <w:r>
        <w:rPr>
          <w:spacing w:val="-4"/>
          <w:sz w:val="21"/>
          <w:szCs w:val="21"/>
        </w:rPr>
        <w:t>简单随机分组</w:t>
      </w:r>
      <w:r>
        <w:rPr>
          <w:rFonts w:ascii="宋体" w:hAnsi="宋体" w:eastAsia="宋体" w:cs="宋体"/>
          <w:spacing w:val="-4"/>
          <w:sz w:val="21"/>
          <w:szCs w:val="21"/>
        </w:rPr>
        <w:t>(simple randomization) 研究对象以个体为单位用掷硬币(正、反两面分别指</w:t>
      </w:r>
      <w:r>
        <w:rPr>
          <w:rFonts w:ascii="宋体" w:hAnsi="宋体" w:eastAsia="宋体" w:cs="宋体"/>
          <w:spacing w:val="17"/>
          <w:sz w:val="21"/>
          <w:szCs w:val="21"/>
        </w:rPr>
        <w:t xml:space="preserve"> </w:t>
      </w:r>
      <w:r>
        <w:rPr>
          <w:rFonts w:ascii="宋体" w:hAnsi="宋体" w:eastAsia="宋体" w:cs="宋体"/>
          <w:spacing w:val="-7"/>
          <w:sz w:val="21"/>
          <w:szCs w:val="21"/>
        </w:rPr>
        <w:t>定为试验组和对照组)、抽签、随机数字表等方法进行分组。</w:t>
      </w:r>
    </w:p>
    <w:p w14:paraId="3A9D6834">
      <w:pPr>
        <w:spacing w:before="13" w:line="333" w:lineRule="auto"/>
        <w:ind w:right="565" w:firstLine="429"/>
        <w:jc w:val="both"/>
        <w:rPr>
          <w:rFonts w:ascii="宋体" w:hAnsi="宋体" w:eastAsia="宋体" w:cs="宋体"/>
          <w:sz w:val="21"/>
          <w:szCs w:val="21"/>
        </w:rPr>
      </w:pPr>
      <w:r>
        <w:rPr>
          <w:rFonts w:ascii="宋体" w:hAnsi="宋体" w:eastAsia="宋体" w:cs="宋体"/>
          <w:spacing w:val="1"/>
          <w:sz w:val="21"/>
          <w:szCs w:val="21"/>
        </w:rPr>
        <w:t>假如要把10个病人随机分为</w:t>
      </w:r>
      <w:r>
        <w:rPr>
          <w:rFonts w:ascii="Times New Roman" w:hAnsi="Times New Roman" w:eastAsia="Times New Roman" w:cs="Times New Roman"/>
          <w:spacing w:val="1"/>
          <w:sz w:val="21"/>
          <w:szCs w:val="21"/>
        </w:rPr>
        <w:t>A</w:t>
      </w:r>
      <w:r>
        <w:rPr>
          <w:rFonts w:ascii="宋体" w:hAnsi="宋体" w:eastAsia="宋体" w:cs="宋体"/>
          <w:spacing w:val="1"/>
          <w:sz w:val="21"/>
          <w:szCs w:val="21"/>
        </w:rPr>
        <w:t>、</w:t>
      </w:r>
      <w:r>
        <w:rPr>
          <w:rFonts w:ascii="Times New Roman" w:hAnsi="Times New Roman" w:eastAsia="Times New Roman" w:cs="Times New Roman"/>
          <w:spacing w:val="1"/>
          <w:sz w:val="21"/>
          <w:szCs w:val="21"/>
        </w:rPr>
        <w:t>B</w:t>
      </w:r>
      <w:r>
        <w:rPr>
          <w:rFonts w:ascii="宋体" w:hAnsi="宋体" w:eastAsia="宋体" w:cs="宋体"/>
          <w:spacing w:val="1"/>
          <w:sz w:val="21"/>
          <w:szCs w:val="21"/>
        </w:rPr>
        <w:t>两组，并希望两组人数相等。具体做法是首先将病人按入选</w:t>
      </w:r>
      <w:r>
        <w:rPr>
          <w:rFonts w:ascii="宋体" w:hAnsi="宋体" w:eastAsia="宋体" w:cs="宋体"/>
          <w:spacing w:val="13"/>
          <w:sz w:val="21"/>
          <w:szCs w:val="21"/>
        </w:rPr>
        <w:t xml:space="preserve"> </w:t>
      </w:r>
      <w:r>
        <w:rPr>
          <w:rFonts w:ascii="宋体" w:hAnsi="宋体" w:eastAsia="宋体" w:cs="宋体"/>
          <w:sz w:val="21"/>
          <w:szCs w:val="21"/>
        </w:rPr>
        <w:t>顺序编号；然后查阅随机数字表或利用随机数字生成器，取得与需分配的病人数相等的随机数字，</w:t>
      </w:r>
      <w:r>
        <w:rPr>
          <w:rFonts w:ascii="宋体" w:hAnsi="宋体" w:eastAsia="宋体" w:cs="宋体"/>
          <w:spacing w:val="3"/>
          <w:sz w:val="21"/>
          <w:szCs w:val="21"/>
        </w:rPr>
        <w:t xml:space="preserve"> </w:t>
      </w:r>
      <w:r>
        <w:rPr>
          <w:rFonts w:ascii="宋体" w:hAnsi="宋体" w:eastAsia="宋体" w:cs="宋体"/>
          <w:spacing w:val="-13"/>
          <w:sz w:val="21"/>
          <w:szCs w:val="21"/>
        </w:rPr>
        <w:t>例如这些数字依次是61、28、98、94、61、47、03、10、67、80;将这些数字按照预先制定好的排列顺序，</w:t>
      </w:r>
      <w:r>
        <w:rPr>
          <w:rFonts w:ascii="宋体" w:hAnsi="宋体" w:eastAsia="宋体" w:cs="宋体"/>
          <w:spacing w:val="10"/>
          <w:sz w:val="21"/>
          <w:szCs w:val="21"/>
        </w:rPr>
        <w:t xml:space="preserve"> </w:t>
      </w:r>
      <w:r>
        <w:rPr>
          <w:rFonts w:ascii="宋体" w:hAnsi="宋体" w:eastAsia="宋体" w:cs="宋体"/>
          <w:spacing w:val="-2"/>
          <w:sz w:val="21"/>
          <w:szCs w:val="21"/>
        </w:rPr>
        <w:t>依次分给病人；进一步按奇偶数将这10个随机数字</w:t>
      </w:r>
      <w:r>
        <w:rPr>
          <w:rFonts w:ascii="宋体" w:hAnsi="宋体" w:eastAsia="宋体" w:cs="宋体"/>
          <w:spacing w:val="-3"/>
          <w:sz w:val="21"/>
          <w:szCs w:val="21"/>
        </w:rPr>
        <w:t>分成两组，奇数对应的病人(编号1、5、6、7、9)</w:t>
      </w:r>
      <w:r>
        <w:rPr>
          <w:rFonts w:ascii="宋体" w:hAnsi="宋体" w:eastAsia="宋体" w:cs="宋体"/>
          <w:sz w:val="21"/>
          <w:szCs w:val="21"/>
        </w:rPr>
        <w:t xml:space="preserve"> </w:t>
      </w:r>
      <w:r>
        <w:rPr>
          <w:rFonts w:ascii="宋体" w:hAnsi="宋体" w:eastAsia="宋体" w:cs="宋体"/>
          <w:spacing w:val="-4"/>
          <w:sz w:val="21"/>
          <w:szCs w:val="21"/>
        </w:rPr>
        <w:t>分入</w:t>
      </w:r>
      <w:r>
        <w:rPr>
          <w:rFonts w:ascii="Times New Roman" w:hAnsi="Times New Roman" w:eastAsia="Times New Roman" w:cs="Times New Roman"/>
          <w:spacing w:val="-4"/>
          <w:sz w:val="21"/>
          <w:szCs w:val="21"/>
        </w:rPr>
        <w:t>A</w:t>
      </w:r>
      <w:r>
        <w:rPr>
          <w:rFonts w:ascii="宋体" w:hAnsi="宋体" w:eastAsia="宋体" w:cs="宋体"/>
          <w:spacing w:val="-4"/>
          <w:sz w:val="21"/>
          <w:szCs w:val="21"/>
        </w:rPr>
        <w:t>组，偶数对应的病人(编号2、3、4、8、10)分人</w:t>
      </w:r>
      <w:r>
        <w:rPr>
          <w:rFonts w:ascii="Times New Roman" w:hAnsi="Times New Roman" w:eastAsia="Times New Roman" w:cs="Times New Roman"/>
          <w:spacing w:val="-4"/>
          <w:sz w:val="21"/>
          <w:szCs w:val="21"/>
        </w:rPr>
        <w:t>B</w:t>
      </w:r>
      <w:r>
        <w:rPr>
          <w:rFonts w:ascii="宋体" w:hAnsi="宋体" w:eastAsia="宋体" w:cs="宋体"/>
          <w:spacing w:val="-4"/>
          <w:sz w:val="21"/>
          <w:szCs w:val="21"/>
        </w:rPr>
        <w:t>组，由此完成简单随机分组的过程(表6-2)。</w:t>
      </w:r>
    </w:p>
    <w:p w14:paraId="60F46BDF">
      <w:pPr>
        <w:spacing w:before="155" w:line="219" w:lineRule="auto"/>
        <w:ind w:left="3122"/>
        <w:rPr>
          <w:rFonts w:ascii="宋体" w:hAnsi="宋体" w:eastAsia="宋体" w:cs="宋体"/>
          <w:sz w:val="20"/>
          <w:szCs w:val="20"/>
        </w:rPr>
      </w:pPr>
      <w:r>
        <w:rPr>
          <w:rFonts w:ascii="宋体" w:hAnsi="宋体" w:eastAsia="宋体" w:cs="宋体"/>
          <w:b/>
          <w:bCs/>
          <w:spacing w:val="-3"/>
          <w:sz w:val="20"/>
          <w:szCs w:val="20"/>
        </w:rPr>
        <w:t>表6-210例病人的随机分组情况</w:t>
      </w:r>
    </w:p>
    <w:p w14:paraId="252E6995">
      <w:pPr>
        <w:spacing w:line="14" w:lineRule="exact"/>
      </w:pPr>
    </w:p>
    <w:tbl>
      <w:tblPr>
        <w:tblStyle w:val="5"/>
        <w:tblW w:w="8929" w:type="dxa"/>
        <w:tblInd w:w="9"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0" w:type="dxa"/>
          <w:left w:w="0" w:type="dxa"/>
          <w:bottom w:w="0" w:type="dxa"/>
          <w:right w:w="0" w:type="dxa"/>
        </w:tblCellMar>
      </w:tblPr>
      <w:tblGrid>
        <w:gridCol w:w="1230"/>
        <w:gridCol w:w="710"/>
        <w:gridCol w:w="830"/>
        <w:gridCol w:w="880"/>
        <w:gridCol w:w="720"/>
        <w:gridCol w:w="809"/>
        <w:gridCol w:w="860"/>
        <w:gridCol w:w="820"/>
        <w:gridCol w:w="800"/>
        <w:gridCol w:w="720"/>
        <w:gridCol w:w="550"/>
      </w:tblGrid>
      <w:tr w14:paraId="69A6B1E9">
        <w:trPr>
          <w:trHeight w:val="391" w:hRule="atLeast"/>
        </w:trPr>
        <w:tc>
          <w:tcPr>
            <w:tcW w:w="1230" w:type="dxa"/>
            <w:tcBorders>
              <w:top w:val="single" w:color="000000" w:sz="4" w:space="0"/>
              <w:bottom w:val="single" w:color="000000" w:sz="4" w:space="0"/>
            </w:tcBorders>
            <w:shd w:val="clear" w:color="auto" w:fill="A3ABA4"/>
            <w:vAlign w:val="top"/>
          </w:tcPr>
          <w:p w14:paraId="3A91A6DF">
            <w:pPr>
              <w:pStyle w:val="6"/>
              <w:spacing w:before="103" w:line="219" w:lineRule="auto"/>
              <w:ind w:left="210"/>
            </w:pPr>
            <w:r>
              <w:rPr>
                <w:spacing w:val="-2"/>
              </w:rPr>
              <w:t>病人编号</w:t>
            </w:r>
          </w:p>
        </w:tc>
        <w:tc>
          <w:tcPr>
            <w:tcW w:w="710" w:type="dxa"/>
            <w:tcBorders>
              <w:top w:val="single" w:color="000000" w:sz="4" w:space="0"/>
              <w:bottom w:val="single" w:color="000000" w:sz="4" w:space="0"/>
            </w:tcBorders>
            <w:shd w:val="clear" w:color="auto" w:fill="B0B6AE"/>
            <w:vAlign w:val="top"/>
          </w:tcPr>
          <w:p w14:paraId="0EFBF653">
            <w:pPr>
              <w:pStyle w:val="6"/>
              <w:spacing w:before="123" w:line="238" w:lineRule="auto"/>
              <w:ind w:left="299"/>
            </w:pPr>
            <w:r>
              <w:t>1</w:t>
            </w:r>
          </w:p>
        </w:tc>
        <w:tc>
          <w:tcPr>
            <w:tcW w:w="830" w:type="dxa"/>
            <w:tcBorders>
              <w:top w:val="single" w:color="000000" w:sz="4" w:space="0"/>
              <w:bottom w:val="single" w:color="000000" w:sz="4" w:space="0"/>
            </w:tcBorders>
            <w:shd w:val="clear" w:color="auto" w:fill="989F95"/>
            <w:vAlign w:val="top"/>
          </w:tcPr>
          <w:p w14:paraId="2E7D6372">
            <w:pPr>
              <w:pStyle w:val="6"/>
              <w:spacing w:before="123" w:line="238" w:lineRule="auto"/>
              <w:ind w:left="360"/>
            </w:pPr>
            <w:r>
              <w:t>2</w:t>
            </w:r>
          </w:p>
        </w:tc>
        <w:tc>
          <w:tcPr>
            <w:tcW w:w="880" w:type="dxa"/>
            <w:tcBorders>
              <w:top w:val="single" w:color="000000" w:sz="4" w:space="0"/>
              <w:bottom w:val="single" w:color="000000" w:sz="4" w:space="0"/>
            </w:tcBorders>
            <w:shd w:val="clear" w:color="auto" w:fill="969A8F"/>
            <w:vAlign w:val="top"/>
          </w:tcPr>
          <w:p w14:paraId="43A95903">
            <w:pPr>
              <w:pStyle w:val="6"/>
              <w:spacing w:before="123" w:line="238" w:lineRule="auto"/>
              <w:ind w:left="389"/>
            </w:pPr>
            <w:r>
              <w:t>3</w:t>
            </w:r>
          </w:p>
        </w:tc>
        <w:tc>
          <w:tcPr>
            <w:tcW w:w="720" w:type="dxa"/>
            <w:tcBorders>
              <w:top w:val="single" w:color="000000" w:sz="4" w:space="0"/>
              <w:bottom w:val="single" w:color="000000" w:sz="4" w:space="0"/>
            </w:tcBorders>
            <w:shd w:val="clear" w:color="auto" w:fill="8B8F85"/>
            <w:vAlign w:val="top"/>
          </w:tcPr>
          <w:p w14:paraId="462335D6">
            <w:pPr>
              <w:pStyle w:val="6"/>
              <w:spacing w:before="123" w:line="238" w:lineRule="auto"/>
              <w:ind w:left="309"/>
            </w:pPr>
            <w:r>
              <w:t>4</w:t>
            </w:r>
          </w:p>
        </w:tc>
        <w:tc>
          <w:tcPr>
            <w:tcW w:w="809" w:type="dxa"/>
            <w:tcBorders>
              <w:top w:val="single" w:color="000000" w:sz="4" w:space="0"/>
              <w:bottom w:val="single" w:color="000000" w:sz="4" w:space="0"/>
            </w:tcBorders>
            <w:shd w:val="clear" w:color="auto" w:fill="8C8D83"/>
            <w:vAlign w:val="top"/>
          </w:tcPr>
          <w:p w14:paraId="713E094F">
            <w:pPr>
              <w:pStyle w:val="6"/>
              <w:spacing w:before="123" w:line="238" w:lineRule="auto"/>
              <w:ind w:left="350"/>
            </w:pPr>
            <w:r>
              <w:t>5</w:t>
            </w:r>
          </w:p>
        </w:tc>
        <w:tc>
          <w:tcPr>
            <w:tcW w:w="860" w:type="dxa"/>
            <w:tcBorders>
              <w:top w:val="single" w:color="000000" w:sz="4" w:space="0"/>
              <w:bottom w:val="single" w:color="000000" w:sz="4" w:space="0"/>
            </w:tcBorders>
            <w:shd w:val="clear" w:color="auto" w:fill="85867A"/>
            <w:vAlign w:val="top"/>
          </w:tcPr>
          <w:p w14:paraId="6E73B7D1">
            <w:pPr>
              <w:pStyle w:val="6"/>
              <w:spacing w:before="123" w:line="238" w:lineRule="auto"/>
              <w:ind w:left="381"/>
            </w:pPr>
            <w:r>
              <w:t>6</w:t>
            </w:r>
          </w:p>
        </w:tc>
        <w:tc>
          <w:tcPr>
            <w:tcW w:w="820" w:type="dxa"/>
            <w:tcBorders>
              <w:top w:val="single" w:color="000000" w:sz="4" w:space="0"/>
              <w:bottom w:val="single" w:color="000000" w:sz="4" w:space="0"/>
            </w:tcBorders>
            <w:shd w:val="clear" w:color="auto" w:fill="88897E"/>
            <w:vAlign w:val="top"/>
          </w:tcPr>
          <w:p w14:paraId="217C55DD">
            <w:pPr>
              <w:pStyle w:val="6"/>
              <w:spacing w:before="123" w:line="238" w:lineRule="auto"/>
              <w:ind w:left="360"/>
            </w:pPr>
            <w:r>
              <w:t>7</w:t>
            </w:r>
          </w:p>
        </w:tc>
        <w:tc>
          <w:tcPr>
            <w:tcW w:w="800" w:type="dxa"/>
            <w:tcBorders>
              <w:top w:val="single" w:color="000000" w:sz="4" w:space="0"/>
              <w:bottom w:val="single" w:color="000000" w:sz="4" w:space="0"/>
            </w:tcBorders>
            <w:shd w:val="clear" w:color="auto" w:fill="8A8B7E"/>
            <w:vAlign w:val="top"/>
          </w:tcPr>
          <w:p w14:paraId="32442E06">
            <w:pPr>
              <w:pStyle w:val="6"/>
              <w:spacing w:before="123" w:line="238" w:lineRule="auto"/>
              <w:ind w:left="350"/>
            </w:pPr>
            <w:r>
              <w:t>8</w:t>
            </w:r>
          </w:p>
        </w:tc>
        <w:tc>
          <w:tcPr>
            <w:tcW w:w="720" w:type="dxa"/>
            <w:tcBorders>
              <w:top w:val="single" w:color="000000" w:sz="4" w:space="0"/>
              <w:bottom w:val="single" w:color="000000" w:sz="4" w:space="0"/>
            </w:tcBorders>
            <w:shd w:val="clear" w:color="auto" w:fill="8D8E81"/>
            <w:vAlign w:val="top"/>
          </w:tcPr>
          <w:p w14:paraId="5953AEDC">
            <w:pPr>
              <w:pStyle w:val="6"/>
              <w:spacing w:before="123" w:line="238" w:lineRule="auto"/>
              <w:ind w:left="311"/>
            </w:pPr>
            <w:r>
              <w:t>9</w:t>
            </w:r>
          </w:p>
        </w:tc>
        <w:tc>
          <w:tcPr>
            <w:tcW w:w="550" w:type="dxa"/>
            <w:tcBorders>
              <w:top w:val="single" w:color="000000" w:sz="4" w:space="0"/>
              <w:bottom w:val="single" w:color="000000" w:sz="4" w:space="0"/>
            </w:tcBorders>
            <w:shd w:val="clear" w:color="auto" w:fill="949587"/>
            <w:vAlign w:val="top"/>
          </w:tcPr>
          <w:p w14:paraId="3FEFED44">
            <w:pPr>
              <w:pStyle w:val="6"/>
              <w:spacing w:before="123" w:line="238" w:lineRule="auto"/>
              <w:ind w:left="260"/>
            </w:pPr>
            <w:r>
              <w:rPr>
                <w:spacing w:val="-6"/>
              </w:rPr>
              <w:t>10</w:t>
            </w:r>
          </w:p>
        </w:tc>
      </w:tr>
      <w:tr w14:paraId="0D72F792">
        <w:trPr>
          <w:trHeight w:val="357" w:hRule="atLeast"/>
        </w:trPr>
        <w:tc>
          <w:tcPr>
            <w:tcW w:w="1230" w:type="dxa"/>
            <w:tcBorders>
              <w:top w:val="single" w:color="000000" w:sz="4" w:space="0"/>
              <w:bottom w:val="single" w:color="000000" w:sz="4" w:space="0"/>
            </w:tcBorders>
            <w:vAlign w:val="top"/>
          </w:tcPr>
          <w:p w14:paraId="0457414B">
            <w:pPr>
              <w:pStyle w:val="6"/>
              <w:spacing w:before="81" w:line="219" w:lineRule="auto"/>
              <w:ind w:left="210"/>
            </w:pPr>
            <w:r>
              <w:rPr>
                <w:spacing w:val="2"/>
              </w:rPr>
              <w:t>随机数字</w:t>
            </w:r>
          </w:p>
        </w:tc>
        <w:tc>
          <w:tcPr>
            <w:tcW w:w="710" w:type="dxa"/>
            <w:tcBorders>
              <w:top w:val="single" w:color="000000" w:sz="4" w:space="0"/>
              <w:bottom w:val="single" w:color="000000" w:sz="4" w:space="0"/>
            </w:tcBorders>
            <w:vAlign w:val="top"/>
          </w:tcPr>
          <w:p w14:paraId="6CD03994">
            <w:pPr>
              <w:pStyle w:val="6"/>
              <w:spacing w:before="102" w:line="226" w:lineRule="auto"/>
              <w:ind w:left="250"/>
            </w:pPr>
            <w:r>
              <w:rPr>
                <w:spacing w:val="-3"/>
              </w:rPr>
              <w:t>61</w:t>
            </w:r>
          </w:p>
        </w:tc>
        <w:tc>
          <w:tcPr>
            <w:tcW w:w="830" w:type="dxa"/>
            <w:tcBorders>
              <w:top w:val="single" w:color="000000" w:sz="4" w:space="0"/>
              <w:bottom w:val="single" w:color="000000" w:sz="4" w:space="0"/>
            </w:tcBorders>
            <w:vAlign w:val="top"/>
          </w:tcPr>
          <w:p w14:paraId="786FB590">
            <w:pPr>
              <w:pStyle w:val="6"/>
              <w:spacing w:before="102" w:line="226" w:lineRule="auto"/>
              <w:ind w:left="309"/>
            </w:pPr>
            <w:r>
              <w:rPr>
                <w:spacing w:val="-3"/>
              </w:rPr>
              <w:t>28</w:t>
            </w:r>
          </w:p>
        </w:tc>
        <w:tc>
          <w:tcPr>
            <w:tcW w:w="880" w:type="dxa"/>
            <w:tcBorders>
              <w:top w:val="single" w:color="000000" w:sz="4" w:space="0"/>
              <w:bottom w:val="single" w:color="000000" w:sz="4" w:space="0"/>
            </w:tcBorders>
            <w:vAlign w:val="top"/>
          </w:tcPr>
          <w:p w14:paraId="6692D221">
            <w:pPr>
              <w:pStyle w:val="6"/>
              <w:spacing w:before="102" w:line="226" w:lineRule="auto"/>
              <w:ind w:left="339"/>
            </w:pPr>
            <w:r>
              <w:rPr>
                <w:spacing w:val="-3"/>
              </w:rPr>
              <w:t>98</w:t>
            </w:r>
          </w:p>
        </w:tc>
        <w:tc>
          <w:tcPr>
            <w:tcW w:w="720" w:type="dxa"/>
            <w:tcBorders>
              <w:top w:val="single" w:color="000000" w:sz="4" w:space="0"/>
              <w:bottom w:val="single" w:color="000000" w:sz="4" w:space="0"/>
            </w:tcBorders>
            <w:vAlign w:val="top"/>
          </w:tcPr>
          <w:p w14:paraId="17153BE9">
            <w:pPr>
              <w:pStyle w:val="6"/>
              <w:spacing w:before="102" w:line="226" w:lineRule="auto"/>
              <w:ind w:left="259"/>
            </w:pPr>
            <w:r>
              <w:rPr>
                <w:spacing w:val="-3"/>
              </w:rPr>
              <w:t>94</w:t>
            </w:r>
          </w:p>
        </w:tc>
        <w:tc>
          <w:tcPr>
            <w:tcW w:w="809" w:type="dxa"/>
            <w:tcBorders>
              <w:top w:val="single" w:color="000000" w:sz="4" w:space="0"/>
              <w:bottom w:val="single" w:color="000000" w:sz="4" w:space="0"/>
            </w:tcBorders>
            <w:vAlign w:val="top"/>
          </w:tcPr>
          <w:p w14:paraId="186AB364">
            <w:pPr>
              <w:pStyle w:val="6"/>
              <w:spacing w:before="102" w:line="226" w:lineRule="auto"/>
              <w:ind w:left="300"/>
            </w:pPr>
            <w:r>
              <w:rPr>
                <w:spacing w:val="-3"/>
              </w:rPr>
              <w:t>61</w:t>
            </w:r>
          </w:p>
        </w:tc>
        <w:tc>
          <w:tcPr>
            <w:tcW w:w="860" w:type="dxa"/>
            <w:tcBorders>
              <w:top w:val="single" w:color="000000" w:sz="4" w:space="0"/>
              <w:bottom w:val="single" w:color="000000" w:sz="4" w:space="0"/>
            </w:tcBorders>
            <w:vAlign w:val="top"/>
          </w:tcPr>
          <w:p w14:paraId="59305401">
            <w:pPr>
              <w:pStyle w:val="6"/>
              <w:spacing w:before="102" w:line="226" w:lineRule="auto"/>
              <w:ind w:left="330"/>
            </w:pPr>
            <w:r>
              <w:rPr>
                <w:spacing w:val="-2"/>
              </w:rPr>
              <w:t>47</w:t>
            </w:r>
          </w:p>
        </w:tc>
        <w:tc>
          <w:tcPr>
            <w:tcW w:w="820" w:type="dxa"/>
            <w:tcBorders>
              <w:top w:val="single" w:color="000000" w:sz="4" w:space="0"/>
              <w:bottom w:val="single" w:color="000000" w:sz="4" w:space="0"/>
            </w:tcBorders>
            <w:vAlign w:val="top"/>
          </w:tcPr>
          <w:p w14:paraId="40F39B4A">
            <w:pPr>
              <w:pStyle w:val="6"/>
              <w:spacing w:before="102" w:line="226" w:lineRule="auto"/>
              <w:ind w:left="310"/>
            </w:pPr>
            <w:r>
              <w:rPr>
                <w:spacing w:val="-3"/>
              </w:rPr>
              <w:t>03</w:t>
            </w:r>
          </w:p>
        </w:tc>
        <w:tc>
          <w:tcPr>
            <w:tcW w:w="800" w:type="dxa"/>
            <w:tcBorders>
              <w:top w:val="single" w:color="000000" w:sz="4" w:space="0"/>
              <w:bottom w:val="single" w:color="000000" w:sz="4" w:space="0"/>
            </w:tcBorders>
            <w:vAlign w:val="top"/>
          </w:tcPr>
          <w:p w14:paraId="086CE810">
            <w:pPr>
              <w:pStyle w:val="6"/>
              <w:spacing w:before="102" w:line="226" w:lineRule="auto"/>
              <w:ind w:left="300"/>
            </w:pPr>
            <w:r>
              <w:rPr>
                <w:spacing w:val="-6"/>
              </w:rPr>
              <w:t>10</w:t>
            </w:r>
          </w:p>
        </w:tc>
        <w:tc>
          <w:tcPr>
            <w:tcW w:w="720" w:type="dxa"/>
            <w:tcBorders>
              <w:top w:val="single" w:color="000000" w:sz="4" w:space="0"/>
              <w:bottom w:val="single" w:color="000000" w:sz="4" w:space="0"/>
            </w:tcBorders>
            <w:vAlign w:val="top"/>
          </w:tcPr>
          <w:p w14:paraId="38A9666D">
            <w:pPr>
              <w:pStyle w:val="6"/>
              <w:spacing w:before="102" w:line="226" w:lineRule="auto"/>
              <w:ind w:left="260"/>
            </w:pPr>
            <w:r>
              <w:rPr>
                <w:spacing w:val="-3"/>
              </w:rPr>
              <w:t>67</w:t>
            </w:r>
          </w:p>
        </w:tc>
        <w:tc>
          <w:tcPr>
            <w:tcW w:w="550" w:type="dxa"/>
            <w:tcBorders>
              <w:top w:val="single" w:color="000000" w:sz="4" w:space="0"/>
              <w:bottom w:val="single" w:color="000000" w:sz="4" w:space="0"/>
            </w:tcBorders>
            <w:vAlign w:val="top"/>
          </w:tcPr>
          <w:p w14:paraId="455E12BA">
            <w:pPr>
              <w:pStyle w:val="6"/>
              <w:spacing w:before="102" w:line="226" w:lineRule="auto"/>
              <w:ind w:left="260"/>
            </w:pPr>
            <w:r>
              <w:rPr>
                <w:spacing w:val="-3"/>
              </w:rPr>
              <w:t>80</w:t>
            </w:r>
          </w:p>
        </w:tc>
      </w:tr>
      <w:tr w14:paraId="62FC57AA">
        <w:trPr>
          <w:trHeight w:val="371" w:hRule="atLeast"/>
        </w:trPr>
        <w:tc>
          <w:tcPr>
            <w:tcW w:w="1230" w:type="dxa"/>
            <w:tcBorders>
              <w:top w:val="single" w:color="000000" w:sz="4" w:space="0"/>
              <w:bottom w:val="single" w:color="000000" w:sz="4" w:space="0"/>
            </w:tcBorders>
            <w:shd w:val="clear" w:color="auto" w:fill="D7D8D9"/>
            <w:vAlign w:val="top"/>
          </w:tcPr>
          <w:p w14:paraId="36C8427C">
            <w:pPr>
              <w:pStyle w:val="6"/>
              <w:spacing w:before="95" w:line="220" w:lineRule="auto"/>
              <w:ind w:left="210"/>
            </w:pPr>
            <w:r>
              <w:rPr>
                <w:spacing w:val="4"/>
              </w:rPr>
              <w:t>所属组别</w:t>
            </w:r>
          </w:p>
        </w:tc>
        <w:tc>
          <w:tcPr>
            <w:tcW w:w="710" w:type="dxa"/>
            <w:tcBorders>
              <w:top w:val="single" w:color="000000" w:sz="4" w:space="0"/>
              <w:bottom w:val="single" w:color="000000" w:sz="4" w:space="0"/>
            </w:tcBorders>
            <w:shd w:val="clear" w:color="auto" w:fill="E0E0DF"/>
            <w:vAlign w:val="top"/>
          </w:tcPr>
          <w:p w14:paraId="17F5B9C3">
            <w:pPr>
              <w:pStyle w:val="6"/>
              <w:spacing w:before="145" w:line="184" w:lineRule="auto"/>
              <w:ind w:left="299"/>
            </w:pPr>
            <w:r>
              <w:t>A</w:t>
            </w:r>
          </w:p>
        </w:tc>
        <w:tc>
          <w:tcPr>
            <w:tcW w:w="830" w:type="dxa"/>
            <w:tcBorders>
              <w:top w:val="single" w:color="000000" w:sz="4" w:space="0"/>
              <w:bottom w:val="single" w:color="000000" w:sz="4" w:space="0"/>
            </w:tcBorders>
            <w:shd w:val="clear" w:color="auto" w:fill="CCCCCA"/>
            <w:vAlign w:val="top"/>
          </w:tcPr>
          <w:p w14:paraId="3E104897">
            <w:pPr>
              <w:pStyle w:val="6"/>
              <w:spacing w:before="147" w:line="182" w:lineRule="auto"/>
              <w:ind w:left="360"/>
            </w:pPr>
            <w:r>
              <w:t>B</w:t>
            </w:r>
          </w:p>
        </w:tc>
        <w:tc>
          <w:tcPr>
            <w:tcW w:w="880" w:type="dxa"/>
            <w:tcBorders>
              <w:top w:val="single" w:color="000000" w:sz="4" w:space="0"/>
              <w:bottom w:val="single" w:color="000000" w:sz="4" w:space="0"/>
            </w:tcBorders>
            <w:shd w:val="clear" w:color="auto" w:fill="D4D5D2"/>
            <w:vAlign w:val="top"/>
          </w:tcPr>
          <w:p w14:paraId="01220977">
            <w:pPr>
              <w:pStyle w:val="6"/>
              <w:spacing w:before="147" w:line="182" w:lineRule="auto"/>
              <w:ind w:left="389"/>
            </w:pPr>
            <w:r>
              <w:t>B</w:t>
            </w:r>
          </w:p>
        </w:tc>
        <w:tc>
          <w:tcPr>
            <w:tcW w:w="720" w:type="dxa"/>
            <w:tcBorders>
              <w:top w:val="single" w:color="000000" w:sz="4" w:space="0"/>
              <w:bottom w:val="single" w:color="000000" w:sz="4" w:space="0"/>
            </w:tcBorders>
            <w:shd w:val="clear" w:color="auto" w:fill="BDBDB6"/>
            <w:vAlign w:val="top"/>
          </w:tcPr>
          <w:p w14:paraId="0E3A6FCA">
            <w:pPr>
              <w:pStyle w:val="6"/>
              <w:spacing w:before="147" w:line="182" w:lineRule="auto"/>
              <w:ind w:left="309"/>
            </w:pPr>
            <w:r>
              <w:t>B</w:t>
            </w:r>
          </w:p>
        </w:tc>
        <w:tc>
          <w:tcPr>
            <w:tcW w:w="809" w:type="dxa"/>
            <w:tcBorders>
              <w:top w:val="single" w:color="000000" w:sz="4" w:space="0"/>
              <w:bottom w:val="single" w:color="000000" w:sz="4" w:space="0"/>
            </w:tcBorders>
            <w:shd w:val="clear" w:color="auto" w:fill="CCCDC6"/>
            <w:vAlign w:val="top"/>
          </w:tcPr>
          <w:p w14:paraId="7C956936">
            <w:pPr>
              <w:pStyle w:val="6"/>
              <w:spacing w:before="145" w:line="184" w:lineRule="auto"/>
              <w:ind w:left="350"/>
            </w:pPr>
            <w:r>
              <w:t>A</w:t>
            </w:r>
          </w:p>
        </w:tc>
        <w:tc>
          <w:tcPr>
            <w:tcW w:w="860" w:type="dxa"/>
            <w:tcBorders>
              <w:top w:val="single" w:color="000000" w:sz="4" w:space="0"/>
              <w:bottom w:val="single" w:color="000000" w:sz="4" w:space="0"/>
            </w:tcBorders>
            <w:shd w:val="clear" w:color="auto" w:fill="CCCCC8"/>
            <w:vAlign w:val="top"/>
          </w:tcPr>
          <w:p w14:paraId="0C0A9F0F">
            <w:pPr>
              <w:pStyle w:val="6"/>
              <w:spacing w:before="115" w:line="227" w:lineRule="auto"/>
              <w:ind w:left="280"/>
            </w:pPr>
            <w:r>
              <w:rPr>
                <w:spacing w:val="-39"/>
              </w:rPr>
              <w:t>·A</w:t>
            </w:r>
          </w:p>
        </w:tc>
        <w:tc>
          <w:tcPr>
            <w:tcW w:w="820" w:type="dxa"/>
            <w:tcBorders>
              <w:top w:val="single" w:color="000000" w:sz="4" w:space="0"/>
              <w:bottom w:val="single" w:color="000000" w:sz="4" w:space="0"/>
            </w:tcBorders>
            <w:shd w:val="clear" w:color="auto" w:fill="BDBDB6"/>
            <w:vAlign w:val="top"/>
          </w:tcPr>
          <w:p w14:paraId="4B7372BE">
            <w:pPr>
              <w:pStyle w:val="6"/>
              <w:spacing w:before="145" w:line="184" w:lineRule="auto"/>
              <w:ind w:left="360"/>
            </w:pPr>
            <w:r>
              <w:t>A</w:t>
            </w:r>
          </w:p>
        </w:tc>
        <w:tc>
          <w:tcPr>
            <w:tcW w:w="800" w:type="dxa"/>
            <w:tcBorders>
              <w:top w:val="single" w:color="000000" w:sz="4" w:space="0"/>
              <w:bottom w:val="single" w:color="000000" w:sz="4" w:space="0"/>
            </w:tcBorders>
            <w:shd w:val="clear" w:color="auto" w:fill="BDBCB7"/>
            <w:vAlign w:val="top"/>
          </w:tcPr>
          <w:p w14:paraId="1CEB826F">
            <w:pPr>
              <w:pStyle w:val="6"/>
              <w:spacing w:before="147" w:line="182" w:lineRule="auto"/>
              <w:ind w:left="350"/>
            </w:pPr>
            <w:r>
              <w:t>B</w:t>
            </w:r>
          </w:p>
        </w:tc>
        <w:tc>
          <w:tcPr>
            <w:tcW w:w="720" w:type="dxa"/>
            <w:tcBorders>
              <w:top w:val="single" w:color="000000" w:sz="4" w:space="0"/>
              <w:bottom w:val="single" w:color="000000" w:sz="4" w:space="0"/>
            </w:tcBorders>
            <w:shd w:val="clear" w:color="auto" w:fill="D0D1CB"/>
            <w:vAlign w:val="top"/>
          </w:tcPr>
          <w:p w14:paraId="14CB1835">
            <w:pPr>
              <w:pStyle w:val="6"/>
              <w:spacing w:before="115" w:line="227" w:lineRule="auto"/>
              <w:ind w:left="210"/>
            </w:pPr>
            <w:r>
              <w:rPr>
                <w:spacing w:val="-39"/>
              </w:rPr>
              <w:t>·A</w:t>
            </w:r>
          </w:p>
        </w:tc>
        <w:tc>
          <w:tcPr>
            <w:tcW w:w="550" w:type="dxa"/>
            <w:tcBorders>
              <w:top w:val="single" w:color="000000" w:sz="4" w:space="0"/>
              <w:bottom w:val="single" w:color="000000" w:sz="4" w:space="0"/>
            </w:tcBorders>
            <w:shd w:val="clear" w:color="auto" w:fill="B9B8AF"/>
            <w:vAlign w:val="top"/>
          </w:tcPr>
          <w:p w14:paraId="607A2FF2">
            <w:pPr>
              <w:pStyle w:val="6"/>
              <w:spacing w:before="147" w:line="182" w:lineRule="auto"/>
              <w:ind w:left="360"/>
            </w:pPr>
            <w:r>
              <w:t>B</w:t>
            </w:r>
          </w:p>
        </w:tc>
      </w:tr>
    </w:tbl>
    <w:p w14:paraId="55D85E71">
      <w:pPr>
        <w:spacing w:line="292" w:lineRule="auto"/>
        <w:rPr>
          <w:rFonts w:ascii="Arial"/>
          <w:sz w:val="21"/>
        </w:rPr>
      </w:pPr>
    </w:p>
    <w:p w14:paraId="63165685">
      <w:pPr>
        <w:spacing w:before="68" w:line="331" w:lineRule="auto"/>
        <w:ind w:right="640" w:firstLine="419"/>
        <w:jc w:val="both"/>
        <w:rPr>
          <w:rFonts w:ascii="宋体" w:hAnsi="宋体" w:eastAsia="宋体" w:cs="宋体"/>
          <w:sz w:val="21"/>
          <w:szCs w:val="21"/>
        </w:rPr>
      </w:pPr>
      <w:r>
        <w:rPr>
          <w:rFonts w:ascii="宋体" w:hAnsi="宋体" w:eastAsia="宋体" w:cs="宋体"/>
          <w:spacing w:val="-2"/>
          <w:sz w:val="21"/>
          <w:szCs w:val="21"/>
        </w:rPr>
        <w:t>2. 区组随机</w:t>
      </w:r>
      <w:r>
        <w:rPr>
          <w:rFonts w:ascii="Times New Roman" w:hAnsi="Times New Roman" w:eastAsia="Times New Roman" w:cs="Times New Roman"/>
          <w:spacing w:val="-2"/>
          <w:sz w:val="21"/>
          <w:szCs w:val="21"/>
        </w:rPr>
        <w:t xml:space="preserve">(block randomization)   </w:t>
      </w:r>
      <w:r>
        <w:rPr>
          <w:rFonts w:ascii="宋体" w:hAnsi="宋体" w:eastAsia="宋体" w:cs="宋体"/>
          <w:spacing w:val="-2"/>
          <w:sz w:val="21"/>
          <w:szCs w:val="21"/>
        </w:rPr>
        <w:t>当研究对象人数较少，而影响试验结果的因素又较多，简单</w:t>
      </w:r>
      <w:r>
        <w:rPr>
          <w:rFonts w:ascii="宋体" w:hAnsi="宋体" w:eastAsia="宋体" w:cs="宋体"/>
          <w:spacing w:val="7"/>
          <w:sz w:val="21"/>
          <w:szCs w:val="21"/>
        </w:rPr>
        <w:t xml:space="preserve"> </w:t>
      </w:r>
      <w:r>
        <w:rPr>
          <w:rFonts w:ascii="宋体" w:hAnsi="宋体" w:eastAsia="宋体" w:cs="宋体"/>
          <w:spacing w:val="3"/>
          <w:sz w:val="21"/>
          <w:szCs w:val="21"/>
        </w:rPr>
        <w:t>随机化不易使两组具有较好的可比性时，可以采用区组随机化法进行分组。其基本方法是将条件</w:t>
      </w:r>
      <w:r>
        <w:rPr>
          <w:rFonts w:ascii="宋体" w:hAnsi="宋体" w:eastAsia="宋体" w:cs="宋体"/>
          <w:spacing w:val="11"/>
          <w:sz w:val="21"/>
          <w:szCs w:val="21"/>
        </w:rPr>
        <w:t xml:space="preserve"> </w:t>
      </w:r>
      <w:r>
        <w:rPr>
          <w:rFonts w:ascii="宋体" w:hAnsi="宋体" w:eastAsia="宋体" w:cs="宋体"/>
          <w:spacing w:val="1"/>
          <w:sz w:val="21"/>
          <w:szCs w:val="21"/>
        </w:rPr>
        <w:t>相近的一组受试对象(如年龄、性别、病情相近)作为一个区组，每一区组内</w:t>
      </w:r>
      <w:r>
        <w:rPr>
          <w:rFonts w:ascii="宋体" w:hAnsi="宋体" w:eastAsia="宋体" w:cs="宋体"/>
          <w:sz w:val="21"/>
          <w:szCs w:val="21"/>
        </w:rPr>
        <w:t xml:space="preserve">的研究对象(通常4～6 </w:t>
      </w:r>
      <w:r>
        <w:rPr>
          <w:rFonts w:ascii="宋体" w:hAnsi="宋体" w:eastAsia="宋体" w:cs="宋体"/>
          <w:spacing w:val="1"/>
          <w:sz w:val="21"/>
          <w:szCs w:val="21"/>
        </w:rPr>
        <w:t>例)数量相等，然后应用单纯随机分配方法将每个区组内的研究对象进</w:t>
      </w:r>
      <w:r>
        <w:rPr>
          <w:rFonts w:ascii="宋体" w:hAnsi="宋体" w:eastAsia="宋体" w:cs="宋体"/>
          <w:sz w:val="21"/>
          <w:szCs w:val="21"/>
        </w:rPr>
        <w:t xml:space="preserve">行分组。近年来，区组随机 </w:t>
      </w:r>
      <w:r>
        <w:rPr>
          <w:rFonts w:ascii="宋体" w:hAnsi="宋体" w:eastAsia="宋体" w:cs="宋体"/>
          <w:spacing w:val="3"/>
          <w:sz w:val="21"/>
          <w:szCs w:val="21"/>
        </w:rPr>
        <w:t>化已成为使用非常普遍的随机化方法。与简单随机化相比，其突出优势是可以确保整个试验期间</w:t>
      </w:r>
    </w:p>
    <w:p w14:paraId="6CE03812">
      <w:pPr>
        <w:spacing w:line="331" w:lineRule="auto"/>
        <w:rPr>
          <w:rFonts w:ascii="宋体" w:hAnsi="宋体" w:eastAsia="宋体" w:cs="宋体"/>
          <w:sz w:val="21"/>
          <w:szCs w:val="21"/>
        </w:rPr>
        <w:sectPr>
          <w:footerReference r:id="rId124" w:type="default"/>
          <w:pgSz w:w="11900" w:h="16820"/>
          <w:pgMar w:top="400" w:right="859" w:bottom="890" w:left="1440" w:header="0" w:footer="617" w:gutter="0"/>
          <w:cols w:space="720" w:num="1"/>
        </w:sectPr>
      </w:pPr>
    </w:p>
    <w:p w14:paraId="57C1D766">
      <w:pPr>
        <w:pStyle w:val="2"/>
        <w:spacing w:before="96" w:line="221" w:lineRule="auto"/>
        <w:ind w:left="659"/>
        <w:rPr>
          <w:sz w:val="20"/>
          <w:szCs w:val="20"/>
        </w:rPr>
      </w:pPr>
      <w:bookmarkStart w:id="171" w:name="bookmark456"/>
      <w:bookmarkEnd w:id="171"/>
      <w:r>
        <w:rPr>
          <w:spacing w:val="-16"/>
          <w:sz w:val="20"/>
          <w:szCs w:val="20"/>
        </w:rPr>
        <w:t>第六章实验流行病学</w:t>
      </w:r>
    </w:p>
    <w:p w14:paraId="3061851D">
      <w:pPr>
        <w:spacing w:line="286" w:lineRule="auto"/>
        <w:rPr>
          <w:rFonts w:ascii="Arial"/>
          <w:sz w:val="21"/>
        </w:rPr>
      </w:pPr>
    </w:p>
    <w:p w14:paraId="429D2DE4">
      <w:pPr>
        <w:spacing w:line="286" w:lineRule="auto"/>
        <w:rPr>
          <w:rFonts w:ascii="Arial"/>
          <w:sz w:val="21"/>
        </w:rPr>
      </w:pPr>
    </w:p>
    <w:p w14:paraId="10A96286">
      <w:pPr>
        <w:spacing w:before="65" w:line="337" w:lineRule="auto"/>
        <w:ind w:left="659" w:right="141"/>
        <w:rPr>
          <w:rFonts w:ascii="宋体" w:hAnsi="宋体" w:eastAsia="宋体" w:cs="宋体"/>
          <w:sz w:val="20"/>
          <w:szCs w:val="20"/>
        </w:rPr>
      </w:pPr>
      <w:r>
        <w:rPr>
          <w:rFonts w:ascii="宋体" w:hAnsi="宋体" w:eastAsia="宋体" w:cs="宋体"/>
          <w:spacing w:val="-2"/>
          <w:sz w:val="20"/>
          <w:szCs w:val="20"/>
        </w:rPr>
        <w:t>进入各组的受试者数量均衡，避免分配进度存在时间上的快慢差异，并减少多中心</w:t>
      </w:r>
      <w:r>
        <w:rPr>
          <w:rFonts w:ascii="宋体" w:hAnsi="宋体" w:eastAsia="宋体" w:cs="宋体"/>
          <w:spacing w:val="-3"/>
          <w:sz w:val="20"/>
          <w:szCs w:val="20"/>
        </w:rPr>
        <w:t>研究中入组人数</w:t>
      </w:r>
      <w:r>
        <w:rPr>
          <w:rFonts w:ascii="宋体" w:hAnsi="宋体" w:eastAsia="宋体" w:cs="宋体"/>
          <w:sz w:val="20"/>
          <w:szCs w:val="20"/>
        </w:rPr>
        <w:t xml:space="preserve"> </w:t>
      </w:r>
      <w:r>
        <w:rPr>
          <w:rFonts w:ascii="宋体" w:hAnsi="宋体" w:eastAsia="宋体" w:cs="宋体"/>
          <w:spacing w:val="-1"/>
          <w:sz w:val="20"/>
          <w:szCs w:val="20"/>
        </w:rPr>
        <w:t>相对较少的中心的受试者分组不均衡，从而有效提升随机分组后两组的均衡</w:t>
      </w:r>
      <w:r>
        <w:rPr>
          <w:rFonts w:ascii="宋体" w:hAnsi="宋体" w:eastAsia="宋体" w:cs="宋体"/>
          <w:spacing w:val="-2"/>
          <w:sz w:val="20"/>
          <w:szCs w:val="20"/>
        </w:rPr>
        <w:t>性。</w:t>
      </w:r>
    </w:p>
    <w:p w14:paraId="0D5ABF64">
      <w:pPr>
        <w:pStyle w:val="2"/>
        <w:spacing w:before="2" w:line="298" w:lineRule="auto"/>
        <w:ind w:left="659" w:right="99" w:firstLine="390"/>
        <w:rPr>
          <w:rFonts w:ascii="宋体" w:hAnsi="宋体" w:eastAsia="宋体" w:cs="宋体"/>
          <w:sz w:val="20"/>
          <w:szCs w:val="20"/>
        </w:rPr>
      </w:pPr>
      <w:r>
        <w:rPr>
          <w:rFonts w:ascii="宋体" w:hAnsi="宋体" w:eastAsia="宋体" w:cs="宋体"/>
          <w:spacing w:val="-4"/>
          <w:sz w:val="20"/>
          <w:szCs w:val="20"/>
        </w:rPr>
        <w:t>3. 分层随机分组</w:t>
      </w:r>
      <w:r>
        <w:rPr>
          <w:spacing w:val="-4"/>
          <w:sz w:val="20"/>
          <w:szCs w:val="20"/>
        </w:rPr>
        <w:t>(st</w:t>
      </w:r>
      <w:r>
        <w:rPr>
          <w:rFonts w:ascii="宋体" w:hAnsi="宋体" w:eastAsia="宋体" w:cs="宋体"/>
          <w:spacing w:val="-4"/>
          <w:sz w:val="20"/>
          <w:szCs w:val="20"/>
        </w:rPr>
        <w:t>ratified randomization) 按研究对象特征，</w:t>
      </w:r>
      <w:r>
        <w:rPr>
          <w:rFonts w:ascii="宋体" w:hAnsi="宋体" w:eastAsia="宋体" w:cs="宋体"/>
          <w:spacing w:val="-5"/>
          <w:sz w:val="20"/>
          <w:szCs w:val="20"/>
        </w:rPr>
        <w:t>即可能产生混杂作用的某些因</w:t>
      </w:r>
      <w:r>
        <w:rPr>
          <w:rFonts w:ascii="宋体" w:hAnsi="宋体" w:eastAsia="宋体" w:cs="宋体"/>
          <w:sz w:val="20"/>
          <w:szCs w:val="20"/>
        </w:rPr>
        <w:t xml:space="preserve"> </w:t>
      </w:r>
      <w:r>
        <w:rPr>
          <w:rFonts w:ascii="宋体" w:hAnsi="宋体" w:eastAsia="宋体" w:cs="宋体"/>
          <w:spacing w:val="-1"/>
          <w:sz w:val="20"/>
          <w:szCs w:val="20"/>
        </w:rPr>
        <w:t>素(如年龄、性别、病程、病情等)先进行分层，然后在</w:t>
      </w:r>
      <w:r>
        <w:rPr>
          <w:rFonts w:ascii="宋体" w:hAnsi="宋体" w:eastAsia="宋体" w:cs="宋体"/>
          <w:spacing w:val="-2"/>
          <w:sz w:val="20"/>
          <w:szCs w:val="20"/>
        </w:rPr>
        <w:t>每层内随机地把研究对象分配到试验组和对</w:t>
      </w:r>
      <w:r>
        <w:rPr>
          <w:rFonts w:ascii="宋体" w:hAnsi="宋体" w:eastAsia="宋体" w:cs="宋体"/>
          <w:sz w:val="20"/>
          <w:szCs w:val="20"/>
        </w:rPr>
        <w:t xml:space="preserve"> 照组。</w:t>
      </w:r>
    </w:p>
    <w:p w14:paraId="7AA51D5A">
      <w:pPr>
        <w:pStyle w:val="2"/>
        <w:spacing w:before="137" w:line="290" w:lineRule="auto"/>
        <w:ind w:left="659" w:right="91" w:firstLine="390"/>
        <w:rPr>
          <w:rFonts w:ascii="宋体" w:hAnsi="宋体" w:eastAsia="宋体" w:cs="宋体"/>
          <w:sz w:val="20"/>
          <w:szCs w:val="20"/>
        </w:rPr>
      </w:pPr>
      <w:r>
        <w:rPr>
          <w:rFonts w:ascii="Times New Roman" w:hAnsi="Times New Roman" w:eastAsia="Times New Roman" w:cs="Times New Roman"/>
          <w:spacing w:val="-2"/>
          <w:sz w:val="20"/>
          <w:szCs w:val="20"/>
        </w:rPr>
        <w:t>4.</w:t>
      </w:r>
      <w:r>
        <w:rPr>
          <w:rFonts w:ascii="Times New Roman" w:hAnsi="Times New Roman" w:eastAsia="Times New Roman" w:cs="Times New Roman"/>
          <w:spacing w:val="16"/>
          <w:w w:val="101"/>
          <w:sz w:val="20"/>
          <w:szCs w:val="20"/>
        </w:rPr>
        <w:t xml:space="preserve">  </w:t>
      </w:r>
      <w:r>
        <w:rPr>
          <w:rFonts w:ascii="宋体" w:hAnsi="宋体" w:eastAsia="宋体" w:cs="宋体"/>
          <w:spacing w:val="-2"/>
          <w:sz w:val="20"/>
          <w:szCs w:val="20"/>
        </w:rPr>
        <w:t>整群随机分组</w:t>
      </w:r>
      <w:r>
        <w:rPr>
          <w:spacing w:val="-2"/>
          <w:sz w:val="20"/>
          <w:szCs w:val="20"/>
        </w:rPr>
        <w:t>(cl</w:t>
      </w:r>
      <w:r>
        <w:rPr>
          <w:rFonts w:ascii="Times New Roman" w:hAnsi="Times New Roman" w:eastAsia="Times New Roman" w:cs="Times New Roman"/>
          <w:spacing w:val="-2"/>
          <w:sz w:val="20"/>
          <w:szCs w:val="20"/>
        </w:rPr>
        <w:t xml:space="preserve">uster   randomization)   </w:t>
      </w:r>
      <w:r>
        <w:rPr>
          <w:rFonts w:ascii="宋体" w:hAnsi="宋体" w:eastAsia="宋体" w:cs="宋体"/>
          <w:spacing w:val="-2"/>
          <w:sz w:val="20"/>
          <w:szCs w:val="20"/>
        </w:rPr>
        <w:t>按社区或团体分配，即以一个家</w:t>
      </w:r>
      <w:r>
        <w:rPr>
          <w:rFonts w:ascii="宋体" w:hAnsi="宋体" w:eastAsia="宋体" w:cs="宋体"/>
          <w:spacing w:val="-3"/>
          <w:sz w:val="20"/>
          <w:szCs w:val="20"/>
        </w:rPr>
        <w:t>庭、一个学校、一个</w:t>
      </w:r>
      <w:r>
        <w:rPr>
          <w:rFonts w:ascii="宋体" w:hAnsi="宋体" w:eastAsia="宋体" w:cs="宋体"/>
          <w:sz w:val="20"/>
          <w:szCs w:val="20"/>
        </w:rPr>
        <w:t xml:space="preserve"> </w:t>
      </w:r>
      <w:r>
        <w:rPr>
          <w:rFonts w:ascii="宋体" w:hAnsi="宋体" w:eastAsia="宋体" w:cs="宋体"/>
          <w:spacing w:val="-2"/>
          <w:sz w:val="20"/>
          <w:szCs w:val="20"/>
        </w:rPr>
        <w:t>医院、一个村庄或居民区等为单位随机分组。这种方法比较方便，但</w:t>
      </w:r>
      <w:r>
        <w:rPr>
          <w:rFonts w:ascii="宋体" w:hAnsi="宋体" w:eastAsia="宋体" w:cs="宋体"/>
          <w:spacing w:val="-3"/>
          <w:sz w:val="20"/>
          <w:szCs w:val="20"/>
        </w:rPr>
        <w:t>必须保证两组资料的可比性。</w:t>
      </w:r>
    </w:p>
    <w:p w14:paraId="49A8D41A">
      <w:pPr>
        <w:pStyle w:val="2"/>
        <w:spacing w:before="144" w:line="222" w:lineRule="auto"/>
        <w:ind w:left="1050"/>
        <w:rPr>
          <w:sz w:val="20"/>
          <w:szCs w:val="20"/>
        </w:rPr>
      </w:pPr>
      <w:r>
        <w:rPr>
          <w:spacing w:val="23"/>
          <w:sz w:val="20"/>
          <w:szCs w:val="20"/>
        </w:rPr>
        <w:t>(二)分组隐匿</w:t>
      </w:r>
    </w:p>
    <w:p w14:paraId="6F176770">
      <w:pPr>
        <w:spacing w:before="117" w:line="334" w:lineRule="auto"/>
        <w:ind w:left="659" w:right="84" w:firstLine="390"/>
        <w:jc w:val="both"/>
        <w:rPr>
          <w:rFonts w:ascii="宋体" w:hAnsi="宋体" w:eastAsia="宋体" w:cs="宋体"/>
          <w:sz w:val="20"/>
          <w:szCs w:val="20"/>
        </w:rPr>
      </w:pPr>
      <w:r>
        <w:rPr>
          <w:rFonts w:ascii="宋体" w:hAnsi="宋体" w:eastAsia="宋体" w:cs="宋体"/>
          <w:spacing w:val="11"/>
          <w:sz w:val="20"/>
          <w:szCs w:val="20"/>
        </w:rPr>
        <w:t>虽然制定了完善的随机分组方案，但如果负责人组病人的研究者预先知道下一个(随机数</w:t>
      </w:r>
      <w:r>
        <w:rPr>
          <w:rFonts w:ascii="宋体" w:hAnsi="宋体" w:eastAsia="宋体" w:cs="宋体"/>
          <w:spacing w:val="18"/>
          <w:sz w:val="20"/>
          <w:szCs w:val="20"/>
        </w:rPr>
        <w:t xml:space="preserve"> </w:t>
      </w:r>
      <w:r>
        <w:rPr>
          <w:rFonts w:ascii="宋体" w:hAnsi="宋体" w:eastAsia="宋体" w:cs="宋体"/>
          <w:spacing w:val="11"/>
          <w:sz w:val="20"/>
          <w:szCs w:val="20"/>
        </w:rPr>
        <w:t>字所对应的)病人的治疗方案，研究者可能会根据下一个病人的特征和自己对不同治疗方案的</w:t>
      </w:r>
      <w:r>
        <w:rPr>
          <w:rFonts w:ascii="宋体" w:hAnsi="宋体" w:eastAsia="宋体" w:cs="宋体"/>
          <w:spacing w:val="13"/>
          <w:sz w:val="20"/>
          <w:szCs w:val="20"/>
        </w:rPr>
        <w:t xml:space="preserve"> </w:t>
      </w:r>
      <w:r>
        <w:rPr>
          <w:rFonts w:ascii="宋体" w:hAnsi="宋体" w:eastAsia="宋体" w:cs="宋体"/>
          <w:spacing w:val="4"/>
          <w:sz w:val="20"/>
          <w:szCs w:val="20"/>
        </w:rPr>
        <w:t>好恶，人为地决定人选或排除该病人；病人也会因此人为地决定是否参</w:t>
      </w:r>
      <w:r>
        <w:rPr>
          <w:rFonts w:ascii="宋体" w:hAnsi="宋体" w:eastAsia="宋体" w:cs="宋体"/>
          <w:spacing w:val="3"/>
          <w:sz w:val="20"/>
          <w:szCs w:val="20"/>
        </w:rPr>
        <w:t>与研究，由此会带来选择</w:t>
      </w:r>
      <w:r>
        <w:rPr>
          <w:rFonts w:ascii="宋体" w:hAnsi="宋体" w:eastAsia="宋体" w:cs="宋体"/>
          <w:sz w:val="20"/>
          <w:szCs w:val="20"/>
        </w:rPr>
        <w:t xml:space="preserve"> </w:t>
      </w:r>
      <w:r>
        <w:rPr>
          <w:rFonts w:ascii="宋体" w:hAnsi="宋体" w:eastAsia="宋体" w:cs="宋体"/>
          <w:spacing w:val="6"/>
          <w:sz w:val="20"/>
          <w:szCs w:val="20"/>
        </w:rPr>
        <w:t>偏倚。</w:t>
      </w:r>
    </w:p>
    <w:p w14:paraId="7C7CDEB8">
      <w:pPr>
        <w:spacing w:before="36" w:line="341" w:lineRule="auto"/>
        <w:ind w:left="659" w:right="84" w:firstLine="390"/>
        <w:jc w:val="both"/>
        <w:rPr>
          <w:rFonts w:ascii="宋体" w:hAnsi="宋体" w:eastAsia="宋体" w:cs="宋体"/>
          <w:sz w:val="20"/>
          <w:szCs w:val="20"/>
        </w:rPr>
      </w:pPr>
      <w:r>
        <w:rPr>
          <w:rFonts w:ascii="宋体" w:hAnsi="宋体" w:eastAsia="宋体" w:cs="宋体"/>
          <w:spacing w:val="1"/>
          <w:sz w:val="20"/>
          <w:szCs w:val="20"/>
        </w:rPr>
        <w:t>为了防止征募病人的研究者和病人在分组前知道随机分组的方案， 一种防止随机分组方案提</w:t>
      </w:r>
      <w:r>
        <w:rPr>
          <w:rFonts w:ascii="宋体" w:hAnsi="宋体" w:eastAsia="宋体" w:cs="宋体"/>
          <w:spacing w:val="6"/>
          <w:sz w:val="20"/>
          <w:szCs w:val="20"/>
        </w:rPr>
        <w:t xml:space="preserve"> </w:t>
      </w:r>
      <w:r>
        <w:rPr>
          <w:rFonts w:ascii="宋体" w:hAnsi="宋体" w:eastAsia="宋体" w:cs="宋体"/>
          <w:sz w:val="20"/>
          <w:szCs w:val="20"/>
        </w:rPr>
        <w:t>前解密的方法叫随机分组治疗方案的隐匿，或简称分组隐匿</w:t>
      </w:r>
      <w:r>
        <w:rPr>
          <w:rFonts w:ascii="Times New Roman" w:hAnsi="Times New Roman" w:eastAsia="Times New Roman" w:cs="Times New Roman"/>
          <w:sz w:val="20"/>
          <w:szCs w:val="20"/>
        </w:rPr>
        <w:t>(allocation</w:t>
      </w:r>
      <w:r>
        <w:rPr>
          <w:rFonts w:ascii="Times New Roman" w:hAnsi="Times New Roman" w:eastAsia="Times New Roman" w:cs="Times New Roman"/>
          <w:spacing w:val="15"/>
          <w:sz w:val="20"/>
          <w:szCs w:val="20"/>
        </w:rPr>
        <w:t xml:space="preserve">   </w:t>
      </w:r>
      <w:r>
        <w:rPr>
          <w:rFonts w:ascii="Times New Roman" w:hAnsi="Times New Roman" w:eastAsia="Times New Roman" w:cs="Times New Roman"/>
          <w:sz w:val="20"/>
          <w:szCs w:val="20"/>
        </w:rPr>
        <w:t>conc</w:t>
      </w:r>
      <w:r>
        <w:rPr>
          <w:rFonts w:ascii="Times New Roman" w:hAnsi="Times New Roman" w:eastAsia="Times New Roman" w:cs="Times New Roman"/>
          <w:spacing w:val="-1"/>
          <w:sz w:val="20"/>
          <w:szCs w:val="20"/>
        </w:rPr>
        <w:t>ealment),</w:t>
      </w:r>
      <w:r>
        <w:rPr>
          <w:rFonts w:ascii="宋体" w:hAnsi="宋体" w:eastAsia="宋体" w:cs="宋体"/>
          <w:spacing w:val="-1"/>
          <w:sz w:val="20"/>
          <w:szCs w:val="20"/>
        </w:rPr>
        <w:t>采用分组隐匿</w:t>
      </w:r>
      <w:r>
        <w:rPr>
          <w:rFonts w:ascii="宋体" w:hAnsi="宋体" w:eastAsia="宋体" w:cs="宋体"/>
          <w:sz w:val="20"/>
          <w:szCs w:val="20"/>
        </w:rPr>
        <w:t xml:space="preserve"> </w:t>
      </w:r>
      <w:r>
        <w:rPr>
          <w:rFonts w:ascii="宋体" w:hAnsi="宋体" w:eastAsia="宋体" w:cs="宋体"/>
          <w:spacing w:val="-6"/>
          <w:sz w:val="20"/>
          <w:szCs w:val="20"/>
        </w:rPr>
        <w:t>的随机分组叫隐匿随机分组(concealed random allocation)。简单的分组隐匿可以采</w:t>
      </w:r>
      <w:r>
        <w:rPr>
          <w:rFonts w:ascii="宋体" w:hAnsi="宋体" w:eastAsia="宋体" w:cs="宋体"/>
          <w:spacing w:val="-7"/>
          <w:sz w:val="20"/>
          <w:szCs w:val="20"/>
        </w:rPr>
        <w:t>用信封法，就是</w:t>
      </w:r>
      <w:r>
        <w:rPr>
          <w:rFonts w:ascii="宋体" w:hAnsi="宋体" w:eastAsia="宋体" w:cs="宋体"/>
          <w:sz w:val="20"/>
          <w:szCs w:val="20"/>
        </w:rPr>
        <w:t xml:space="preserve"> </w:t>
      </w:r>
      <w:r>
        <w:rPr>
          <w:rFonts w:ascii="宋体" w:hAnsi="宋体" w:eastAsia="宋体" w:cs="宋体"/>
          <w:spacing w:val="-1"/>
          <w:sz w:val="20"/>
          <w:szCs w:val="20"/>
        </w:rPr>
        <w:t>将每个分组方案装入一个不透光的信封，信封外写上编码，密封好交给研究者。待有对象进入研究</w:t>
      </w:r>
      <w:r>
        <w:rPr>
          <w:rFonts w:ascii="宋体" w:hAnsi="宋体" w:eastAsia="宋体" w:cs="宋体"/>
          <w:spacing w:val="2"/>
          <w:sz w:val="20"/>
          <w:szCs w:val="20"/>
        </w:rPr>
        <w:t xml:space="preserve"> </w:t>
      </w:r>
      <w:r>
        <w:rPr>
          <w:rFonts w:ascii="宋体" w:hAnsi="宋体" w:eastAsia="宋体" w:cs="宋体"/>
          <w:spacing w:val="-5"/>
          <w:sz w:val="20"/>
          <w:szCs w:val="20"/>
        </w:rPr>
        <w:t>后，将调查对象逐一编号，再打开相应编号的信封，按照信封中</w:t>
      </w:r>
      <w:r>
        <w:rPr>
          <w:rFonts w:ascii="宋体" w:hAnsi="宋体" w:eastAsia="宋体" w:cs="宋体"/>
          <w:spacing w:val="-6"/>
          <w:sz w:val="20"/>
          <w:szCs w:val="20"/>
        </w:rPr>
        <w:t>的分配方案进行分组，并采取相应的</w:t>
      </w:r>
      <w:r>
        <w:rPr>
          <w:rFonts w:ascii="宋体" w:hAnsi="宋体" w:eastAsia="宋体" w:cs="宋体"/>
          <w:sz w:val="20"/>
          <w:szCs w:val="20"/>
        </w:rPr>
        <w:t xml:space="preserve"> </w:t>
      </w:r>
      <w:r>
        <w:rPr>
          <w:rFonts w:ascii="宋体" w:hAnsi="宋体" w:eastAsia="宋体" w:cs="宋体"/>
          <w:spacing w:val="-3"/>
          <w:sz w:val="20"/>
          <w:szCs w:val="20"/>
        </w:rPr>
        <w:t>干预措施。当然，也可以采用中央随机化语音交互系统实现分组隐匿。</w:t>
      </w:r>
    </w:p>
    <w:p w14:paraId="413E3BE9">
      <w:pPr>
        <w:spacing w:before="3" w:line="341" w:lineRule="auto"/>
        <w:ind w:left="659" w:firstLine="390"/>
        <w:jc w:val="both"/>
        <w:rPr>
          <w:rFonts w:ascii="宋体" w:hAnsi="宋体" w:eastAsia="宋体" w:cs="宋体"/>
          <w:sz w:val="20"/>
          <w:szCs w:val="20"/>
        </w:rPr>
      </w:pPr>
      <w:r>
        <w:rPr>
          <w:rFonts w:ascii="宋体" w:hAnsi="宋体" w:eastAsia="宋体" w:cs="宋体"/>
          <w:sz w:val="20"/>
          <w:szCs w:val="20"/>
        </w:rPr>
        <w:t>没有分组隐匿的随机分组是有缺陷的，不能起到预防选择偏倚的</w:t>
      </w:r>
      <w:r>
        <w:rPr>
          <w:rFonts w:ascii="宋体" w:hAnsi="宋体" w:eastAsia="宋体" w:cs="宋体"/>
          <w:spacing w:val="-1"/>
          <w:sz w:val="20"/>
          <w:szCs w:val="20"/>
        </w:rPr>
        <w:t>作用。研究表明，与采用隐匿</w:t>
      </w:r>
      <w:r>
        <w:rPr>
          <w:rFonts w:ascii="宋体" w:hAnsi="宋体" w:eastAsia="宋体" w:cs="宋体"/>
          <w:sz w:val="20"/>
          <w:szCs w:val="20"/>
        </w:rPr>
        <w:t xml:space="preserve"> </w:t>
      </w:r>
      <w:r>
        <w:rPr>
          <w:rFonts w:ascii="宋体" w:hAnsi="宋体" w:eastAsia="宋体" w:cs="宋体"/>
          <w:spacing w:val="6"/>
          <w:sz w:val="20"/>
          <w:szCs w:val="20"/>
        </w:rPr>
        <w:t>分组的随机化临床试验比较，没有采用隐匿分组的随机对照试验会高估疗效达40%。随机分</w:t>
      </w:r>
      <w:r>
        <w:rPr>
          <w:rFonts w:ascii="宋体" w:hAnsi="宋体" w:eastAsia="宋体" w:cs="宋体"/>
          <w:spacing w:val="5"/>
          <w:sz w:val="20"/>
          <w:szCs w:val="20"/>
        </w:rPr>
        <w:t>组联</w:t>
      </w:r>
      <w:r>
        <w:rPr>
          <w:rFonts w:ascii="宋体" w:hAnsi="宋体" w:eastAsia="宋体" w:cs="宋体"/>
          <w:sz w:val="20"/>
          <w:szCs w:val="20"/>
        </w:rPr>
        <w:t xml:space="preserve">  </w:t>
      </w:r>
      <w:r>
        <w:rPr>
          <w:rFonts w:ascii="宋体" w:hAnsi="宋体" w:eastAsia="宋体" w:cs="宋体"/>
          <w:spacing w:val="-1"/>
          <w:sz w:val="20"/>
          <w:szCs w:val="20"/>
        </w:rPr>
        <w:t>合分组隐匿，才是真正意义上的随机分组，否则，随机分组将和随意分组没有任何区别。因此，进</w:t>
      </w:r>
      <w:r>
        <w:rPr>
          <w:rFonts w:ascii="宋体" w:hAnsi="宋体" w:eastAsia="宋体" w:cs="宋体"/>
          <w:sz w:val="20"/>
          <w:szCs w:val="20"/>
        </w:rPr>
        <w:t xml:space="preserve">  </w:t>
      </w:r>
      <w:r>
        <w:rPr>
          <w:rFonts w:ascii="宋体" w:hAnsi="宋体" w:eastAsia="宋体" w:cs="宋体"/>
          <w:spacing w:val="1"/>
          <w:sz w:val="20"/>
          <w:szCs w:val="20"/>
        </w:rPr>
        <w:t>行随机分组时，必须特别注意以下4个原则：①随机数字的分配必须在确定纳入一个病人后才能进</w:t>
      </w:r>
      <w:r>
        <w:rPr>
          <w:rFonts w:ascii="宋体" w:hAnsi="宋体" w:eastAsia="宋体" w:cs="宋体"/>
          <w:spacing w:val="6"/>
          <w:sz w:val="20"/>
          <w:szCs w:val="20"/>
        </w:rPr>
        <w:t xml:space="preserve">  </w:t>
      </w:r>
      <w:r>
        <w:rPr>
          <w:rFonts w:ascii="宋体" w:hAnsi="宋体" w:eastAsia="宋体" w:cs="宋体"/>
          <w:spacing w:val="-3"/>
          <w:sz w:val="20"/>
          <w:szCs w:val="20"/>
        </w:rPr>
        <w:t>行；②随机分配方案必须隐匿；③一个病人随机数字的</w:t>
      </w:r>
      <w:r>
        <w:rPr>
          <w:rFonts w:ascii="宋体" w:hAnsi="宋体" w:eastAsia="宋体" w:cs="宋体"/>
          <w:spacing w:val="-4"/>
          <w:sz w:val="20"/>
          <w:szCs w:val="20"/>
        </w:rPr>
        <w:t>分配必须一次完成，一旦确定绝对不能更换；</w:t>
      </w:r>
    </w:p>
    <w:p w14:paraId="48390E3D">
      <w:pPr>
        <w:spacing w:line="217" w:lineRule="auto"/>
        <w:ind w:left="659"/>
        <w:rPr>
          <w:rFonts w:ascii="宋体" w:hAnsi="宋体" w:eastAsia="宋体" w:cs="宋体"/>
          <w:sz w:val="20"/>
          <w:szCs w:val="20"/>
        </w:rPr>
      </w:pPr>
      <w:r>
        <w:rPr>
          <w:rFonts w:ascii="宋体" w:hAnsi="宋体" w:eastAsia="宋体" w:cs="宋体"/>
          <w:sz w:val="20"/>
          <w:szCs w:val="20"/>
        </w:rPr>
        <w:t>④一个病人的分组时间应尽可能接近其治疗开始的时间。</w:t>
      </w:r>
    </w:p>
    <w:p w14:paraId="441C45FD">
      <w:pPr>
        <w:spacing w:line="244" w:lineRule="auto"/>
        <w:rPr>
          <w:rFonts w:ascii="Arial"/>
          <w:sz w:val="21"/>
        </w:rPr>
      </w:pPr>
    </w:p>
    <w:p w14:paraId="2B361599">
      <w:pPr>
        <w:pStyle w:val="2"/>
        <w:spacing w:before="78" w:line="222" w:lineRule="auto"/>
        <w:ind w:left="1053"/>
        <w:outlineLvl w:val="2"/>
        <w:rPr>
          <w:sz w:val="24"/>
          <w:szCs w:val="24"/>
        </w:rPr>
      </w:pPr>
      <w:bookmarkStart w:id="172" w:name="bookmark111"/>
      <w:bookmarkEnd w:id="172"/>
      <w:r>
        <w:rPr>
          <w:b/>
          <w:bCs/>
          <w:spacing w:val="-9"/>
          <w:sz w:val="24"/>
          <w:szCs w:val="24"/>
        </w:rPr>
        <w:t>六</w:t>
      </w:r>
      <w:r>
        <w:rPr>
          <w:spacing w:val="-55"/>
          <w:sz w:val="24"/>
          <w:szCs w:val="24"/>
        </w:rPr>
        <w:t xml:space="preserve"> </w:t>
      </w:r>
      <w:r>
        <w:rPr>
          <w:b/>
          <w:bCs/>
          <w:spacing w:val="-9"/>
          <w:sz w:val="24"/>
          <w:szCs w:val="24"/>
        </w:rPr>
        <w:t>、设立对照</w:t>
      </w:r>
    </w:p>
    <w:p w14:paraId="4641DA40">
      <w:pPr>
        <w:pStyle w:val="2"/>
        <w:spacing w:before="294" w:line="222" w:lineRule="auto"/>
        <w:ind w:left="1050"/>
        <w:rPr>
          <w:sz w:val="20"/>
          <w:szCs w:val="20"/>
        </w:rPr>
      </w:pPr>
      <w:r>
        <w:rPr>
          <w:spacing w:val="21"/>
          <w:sz w:val="20"/>
          <w:szCs w:val="20"/>
        </w:rPr>
        <w:t>(一)设立对照的必要性</w:t>
      </w:r>
    </w:p>
    <w:p w14:paraId="73684DCC">
      <w:pPr>
        <w:spacing w:before="139" w:line="324" w:lineRule="auto"/>
        <w:ind w:left="659" w:right="74" w:firstLine="390"/>
        <w:jc w:val="both"/>
        <w:rPr>
          <w:rFonts w:ascii="宋体" w:hAnsi="宋体" w:eastAsia="宋体" w:cs="宋体"/>
          <w:sz w:val="20"/>
          <w:szCs w:val="20"/>
        </w:rPr>
      </w:pPr>
      <w:r>
        <w:rPr>
          <w:rFonts w:ascii="宋体" w:hAnsi="宋体" w:eastAsia="宋体" w:cs="宋体"/>
          <w:spacing w:val="-1"/>
          <w:sz w:val="20"/>
          <w:szCs w:val="20"/>
        </w:rPr>
        <w:t>在研究干预措施的效果时，直接观察到的往往是多种因素的效应交织在一起的综合作用，合理</w:t>
      </w:r>
      <w:r>
        <w:rPr>
          <w:rFonts w:ascii="宋体" w:hAnsi="宋体" w:eastAsia="宋体" w:cs="宋体"/>
          <w:spacing w:val="6"/>
          <w:sz w:val="20"/>
          <w:szCs w:val="20"/>
        </w:rPr>
        <w:t xml:space="preserve"> </w:t>
      </w:r>
      <w:r>
        <w:rPr>
          <w:rFonts w:ascii="宋体" w:hAnsi="宋体" w:eastAsia="宋体" w:cs="宋体"/>
          <w:spacing w:val="-1"/>
          <w:sz w:val="20"/>
          <w:szCs w:val="20"/>
        </w:rPr>
        <w:t>的对照能成功地将干预措施的真实效应客观地、充分地暴露或识别出来，使研究者有可能作出正确</w:t>
      </w:r>
      <w:r>
        <w:rPr>
          <w:rFonts w:ascii="宋体" w:hAnsi="宋体" w:eastAsia="宋体" w:cs="宋体"/>
          <w:spacing w:val="17"/>
          <w:sz w:val="20"/>
          <w:szCs w:val="20"/>
        </w:rPr>
        <w:t xml:space="preserve"> </w:t>
      </w:r>
      <w:r>
        <w:rPr>
          <w:rFonts w:ascii="宋体" w:hAnsi="宋体" w:eastAsia="宋体" w:cs="宋体"/>
          <w:sz w:val="20"/>
          <w:szCs w:val="20"/>
        </w:rPr>
        <w:t>评价。通常干预试验的效应受以下几方面因素的影</w:t>
      </w:r>
      <w:r>
        <w:rPr>
          <w:rFonts w:ascii="宋体" w:hAnsi="宋体" w:eastAsia="宋体" w:cs="宋体"/>
          <w:spacing w:val="-1"/>
          <w:sz w:val="20"/>
          <w:szCs w:val="20"/>
        </w:rPr>
        <w:t>响：</w:t>
      </w:r>
    </w:p>
    <w:p w14:paraId="436B02E8">
      <w:pPr>
        <w:pStyle w:val="2"/>
        <w:spacing w:before="11" w:line="335" w:lineRule="auto"/>
        <w:ind w:left="659" w:right="59" w:firstLine="390"/>
        <w:jc w:val="both"/>
        <w:rPr>
          <w:rFonts w:ascii="宋体" w:hAnsi="宋体" w:eastAsia="宋体" w:cs="宋体"/>
          <w:sz w:val="20"/>
          <w:szCs w:val="20"/>
        </w:rPr>
      </w:pPr>
      <w:r>
        <w:rPr>
          <w:rFonts w:ascii="Times New Roman" w:hAnsi="Times New Roman" w:eastAsia="Times New Roman" w:cs="Times New Roman"/>
          <w:spacing w:val="1"/>
          <w:sz w:val="20"/>
          <w:szCs w:val="20"/>
        </w:rPr>
        <w:t>1.</w:t>
      </w:r>
      <w:r>
        <w:rPr>
          <w:rFonts w:ascii="Times New Roman" w:hAnsi="Times New Roman" w:eastAsia="Times New Roman" w:cs="Times New Roman"/>
          <w:spacing w:val="17"/>
          <w:sz w:val="20"/>
          <w:szCs w:val="20"/>
        </w:rPr>
        <w:t xml:space="preserve">  </w:t>
      </w:r>
      <w:r>
        <w:rPr>
          <w:rFonts w:ascii="宋体" w:hAnsi="宋体" w:eastAsia="宋体" w:cs="宋体"/>
          <w:spacing w:val="1"/>
          <w:sz w:val="20"/>
          <w:szCs w:val="20"/>
        </w:rPr>
        <w:t>不能预知的结局</w:t>
      </w:r>
      <w:r>
        <w:rPr>
          <w:spacing w:val="1"/>
          <w:sz w:val="20"/>
          <w:szCs w:val="20"/>
        </w:rPr>
        <w:t>(</w:t>
      </w:r>
      <w:r>
        <w:rPr>
          <w:sz w:val="20"/>
          <w:szCs w:val="20"/>
        </w:rPr>
        <w:t>unpred</w:t>
      </w:r>
      <w:r>
        <w:rPr>
          <w:rFonts w:ascii="Times New Roman" w:hAnsi="Times New Roman" w:eastAsia="Times New Roman" w:cs="Times New Roman"/>
          <w:sz w:val="20"/>
          <w:szCs w:val="20"/>
        </w:rPr>
        <w:t>ictable</w:t>
      </w:r>
      <w:r>
        <w:rPr>
          <w:rFonts w:ascii="Times New Roman" w:hAnsi="Times New Roman" w:eastAsia="Times New Roman" w:cs="Times New Roman"/>
          <w:spacing w:val="17"/>
          <w:sz w:val="20"/>
          <w:szCs w:val="20"/>
        </w:rPr>
        <w:t xml:space="preserve">  </w:t>
      </w:r>
      <w:r>
        <w:rPr>
          <w:rFonts w:ascii="Times New Roman" w:hAnsi="Times New Roman" w:eastAsia="Times New Roman" w:cs="Times New Roman"/>
          <w:sz w:val="20"/>
          <w:szCs w:val="20"/>
        </w:rPr>
        <w:t>outcome</w:t>
      </w:r>
      <w:r>
        <w:rPr>
          <w:rFonts w:ascii="Times New Roman" w:hAnsi="Times New Roman" w:eastAsia="Times New Roman" w:cs="Times New Roman"/>
          <w:spacing w:val="1"/>
          <w:sz w:val="20"/>
          <w:szCs w:val="20"/>
        </w:rPr>
        <w:t>)</w:t>
      </w:r>
      <w:r>
        <w:rPr>
          <w:rFonts w:ascii="Times New Roman" w:hAnsi="Times New Roman" w:eastAsia="Times New Roman" w:cs="Times New Roman"/>
          <w:spacing w:val="16"/>
          <w:sz w:val="20"/>
          <w:szCs w:val="20"/>
        </w:rPr>
        <w:t xml:space="preserve">  </w:t>
      </w:r>
      <w:r>
        <w:rPr>
          <w:rFonts w:ascii="宋体" w:hAnsi="宋体" w:eastAsia="宋体" w:cs="宋体"/>
          <w:spacing w:val="1"/>
          <w:sz w:val="20"/>
          <w:szCs w:val="20"/>
        </w:rPr>
        <w:t>若疾病的临床病程非常容易预测，如狂犬</w:t>
      </w:r>
      <w:r>
        <w:rPr>
          <w:rFonts w:ascii="宋体" w:hAnsi="宋体" w:eastAsia="宋体" w:cs="宋体"/>
          <w:sz w:val="20"/>
          <w:szCs w:val="20"/>
        </w:rPr>
        <w:t xml:space="preserve">病病人 </w:t>
      </w:r>
      <w:r>
        <w:rPr>
          <w:rFonts w:ascii="宋体" w:hAnsi="宋体" w:eastAsia="宋体" w:cs="宋体"/>
          <w:spacing w:val="-1"/>
          <w:sz w:val="20"/>
          <w:szCs w:val="20"/>
        </w:rPr>
        <w:t>几乎百分之百死亡，如果某种疗法可以治愈该病，则不需要对照便可以下结论。但是，大部分治疗</w:t>
      </w:r>
      <w:r>
        <w:rPr>
          <w:rFonts w:ascii="宋体" w:hAnsi="宋体" w:eastAsia="宋体" w:cs="宋体"/>
          <w:sz w:val="20"/>
          <w:szCs w:val="20"/>
        </w:rPr>
        <w:t xml:space="preserve"> </w:t>
      </w:r>
      <w:r>
        <w:rPr>
          <w:rFonts w:ascii="宋体" w:hAnsi="宋体" w:eastAsia="宋体" w:cs="宋体"/>
          <w:spacing w:val="4"/>
          <w:sz w:val="20"/>
          <w:szCs w:val="20"/>
        </w:rPr>
        <w:t>决策所面对的临床结局并不容易预测。由于个体生物学差异的客观存在，</w:t>
      </w:r>
      <w:r>
        <w:rPr>
          <w:rFonts w:ascii="宋体" w:hAnsi="宋体" w:eastAsia="宋体" w:cs="宋体"/>
          <w:spacing w:val="3"/>
          <w:sz w:val="20"/>
          <w:szCs w:val="20"/>
        </w:rPr>
        <w:t>同一种疾病在不同个体</w:t>
      </w:r>
      <w:r>
        <w:rPr>
          <w:rFonts w:ascii="宋体" w:hAnsi="宋体" w:eastAsia="宋体" w:cs="宋体"/>
          <w:sz w:val="20"/>
          <w:szCs w:val="20"/>
        </w:rPr>
        <w:t xml:space="preserve"> </w:t>
      </w:r>
      <w:r>
        <w:rPr>
          <w:rFonts w:ascii="宋体" w:hAnsi="宋体" w:eastAsia="宋体" w:cs="宋体"/>
          <w:spacing w:val="-1"/>
          <w:sz w:val="20"/>
          <w:szCs w:val="20"/>
        </w:rPr>
        <w:t>中表现出来的疾病特征往往不一致，也就是疾病的发生</w:t>
      </w:r>
      <w:r>
        <w:rPr>
          <w:rFonts w:ascii="宋体" w:hAnsi="宋体" w:eastAsia="宋体" w:cs="宋体"/>
          <w:spacing w:val="-2"/>
          <w:sz w:val="20"/>
          <w:szCs w:val="20"/>
        </w:rPr>
        <w:t>、发展和结局的自然史不一致。不同病型或</w:t>
      </w:r>
      <w:r>
        <w:rPr>
          <w:rFonts w:ascii="宋体" w:hAnsi="宋体" w:eastAsia="宋体" w:cs="宋体"/>
          <w:sz w:val="20"/>
          <w:szCs w:val="20"/>
        </w:rPr>
        <w:t xml:space="preserve"> </w:t>
      </w:r>
      <w:r>
        <w:rPr>
          <w:rFonts w:ascii="宋体" w:hAnsi="宋体" w:eastAsia="宋体" w:cs="宋体"/>
          <w:spacing w:val="-1"/>
          <w:sz w:val="20"/>
          <w:szCs w:val="20"/>
        </w:rPr>
        <w:t>病情的病人对治疗的反应可能也不同，如接受同一种有效药物治疗的一组病人的疗效高，可能与该</w:t>
      </w:r>
      <w:r>
        <w:rPr>
          <w:rFonts w:ascii="宋体" w:hAnsi="宋体" w:eastAsia="宋体" w:cs="宋体"/>
          <w:spacing w:val="2"/>
          <w:sz w:val="20"/>
          <w:szCs w:val="20"/>
        </w:rPr>
        <w:t xml:space="preserve"> </w:t>
      </w:r>
      <w:r>
        <w:rPr>
          <w:rFonts w:ascii="宋体" w:hAnsi="宋体" w:eastAsia="宋体" w:cs="宋体"/>
          <w:sz w:val="20"/>
          <w:szCs w:val="20"/>
        </w:rPr>
        <w:t>组病人中轻型病例占的比例大有关。对于一些疾病自然史不清楚的疾病</w:t>
      </w:r>
      <w:r>
        <w:rPr>
          <w:rFonts w:ascii="宋体" w:hAnsi="宋体" w:eastAsia="宋体" w:cs="宋体"/>
          <w:spacing w:val="-1"/>
          <w:sz w:val="20"/>
          <w:szCs w:val="20"/>
        </w:rPr>
        <w:t>，其“疗效”也许是疾病发</w:t>
      </w:r>
      <w:r>
        <w:rPr>
          <w:rFonts w:ascii="宋体" w:hAnsi="宋体" w:eastAsia="宋体" w:cs="宋体"/>
          <w:sz w:val="20"/>
          <w:szCs w:val="20"/>
        </w:rPr>
        <w:t xml:space="preserve"> 展的自然结果，不设立可比的对照组，则很难与治疗措施的真实疗效相区</w:t>
      </w:r>
      <w:r>
        <w:rPr>
          <w:rFonts w:ascii="宋体" w:hAnsi="宋体" w:eastAsia="宋体" w:cs="宋体"/>
          <w:spacing w:val="-1"/>
          <w:sz w:val="20"/>
          <w:szCs w:val="20"/>
        </w:rPr>
        <w:t>分。如某单位观察应用一</w:t>
      </w:r>
      <w:r>
        <w:rPr>
          <w:rFonts w:ascii="宋体" w:hAnsi="宋体" w:eastAsia="宋体" w:cs="宋体"/>
          <w:sz w:val="20"/>
          <w:szCs w:val="20"/>
        </w:rPr>
        <w:t xml:space="preserve"> </w:t>
      </w:r>
      <w:r>
        <w:rPr>
          <w:rFonts w:ascii="宋体" w:hAnsi="宋体" w:eastAsia="宋体" w:cs="宋体"/>
          <w:spacing w:val="8"/>
          <w:sz w:val="20"/>
          <w:szCs w:val="20"/>
        </w:rPr>
        <w:t>种中草药治疗慢性胃炎，经随访12个月，发现60例慢性胃炎病人的控制率高达55%,但由于没有</w:t>
      </w:r>
      <w:r>
        <w:rPr>
          <w:rFonts w:ascii="宋体" w:hAnsi="宋体" w:eastAsia="宋体" w:cs="宋体"/>
          <w:sz w:val="20"/>
          <w:szCs w:val="20"/>
        </w:rPr>
        <w:t xml:space="preserve"> </w:t>
      </w:r>
      <w:r>
        <w:rPr>
          <w:rFonts w:ascii="宋体" w:hAnsi="宋体" w:eastAsia="宋体" w:cs="宋体"/>
          <w:spacing w:val="-5"/>
          <w:sz w:val="20"/>
          <w:szCs w:val="20"/>
        </w:rPr>
        <w:t>对照组，对其疗效难以下结论。</w:t>
      </w:r>
    </w:p>
    <w:p w14:paraId="13F77E28">
      <w:pPr>
        <w:spacing w:line="335" w:lineRule="auto"/>
        <w:rPr>
          <w:rFonts w:ascii="宋体" w:hAnsi="宋体" w:eastAsia="宋体" w:cs="宋体"/>
          <w:sz w:val="20"/>
          <w:szCs w:val="20"/>
        </w:rPr>
        <w:sectPr>
          <w:footerReference r:id="rId125" w:type="default"/>
          <w:pgSz w:w="11900" w:h="16820"/>
          <w:pgMar w:top="400" w:right="1620" w:bottom="959" w:left="969" w:header="0" w:footer="779" w:gutter="0"/>
          <w:cols w:space="720" w:num="1"/>
        </w:sectPr>
      </w:pPr>
    </w:p>
    <w:p w14:paraId="5AC0ED7C">
      <w:pPr>
        <w:pStyle w:val="2"/>
        <w:spacing w:before="196" w:line="221" w:lineRule="auto"/>
        <w:ind w:left="7389"/>
        <w:rPr>
          <w:sz w:val="21"/>
          <w:szCs w:val="21"/>
        </w:rPr>
      </w:pPr>
      <w:r>
        <w:rPr>
          <w:spacing w:val="-22"/>
          <w:sz w:val="21"/>
          <w:szCs w:val="21"/>
        </w:rPr>
        <w:t>第六章 实验流行病学</w:t>
      </w:r>
    </w:p>
    <w:p w14:paraId="4454BFD2">
      <w:pPr>
        <w:spacing w:line="479" w:lineRule="auto"/>
        <w:rPr>
          <w:rFonts w:ascii="Arial"/>
          <w:sz w:val="21"/>
        </w:rPr>
      </w:pPr>
    </w:p>
    <w:p w14:paraId="23CD7D8B">
      <w:pPr>
        <w:spacing w:before="69" w:line="301" w:lineRule="auto"/>
        <w:ind w:right="671" w:firstLine="439"/>
        <w:rPr>
          <w:rFonts w:ascii="宋体" w:hAnsi="宋体" w:eastAsia="宋体" w:cs="宋体"/>
          <w:sz w:val="21"/>
          <w:szCs w:val="21"/>
        </w:rPr>
      </w:pPr>
      <w:r>
        <w:rPr>
          <w:rFonts w:ascii="宋体" w:hAnsi="宋体" w:eastAsia="宋体" w:cs="宋体"/>
          <w:sz w:val="21"/>
          <w:szCs w:val="21"/>
        </w:rPr>
        <w:t>2. 向均数回归</w:t>
      </w:r>
      <w:r>
        <w:rPr>
          <w:rFonts w:ascii="Arial" w:hAnsi="Arial" w:eastAsia="Arial" w:cs="Arial"/>
          <w:sz w:val="21"/>
          <w:szCs w:val="21"/>
        </w:rPr>
        <w:t>(regressi</w:t>
      </w:r>
      <w:r>
        <w:rPr>
          <w:rFonts w:ascii="宋体" w:hAnsi="宋体" w:eastAsia="宋体" w:cs="宋体"/>
          <w:sz w:val="21"/>
          <w:szCs w:val="21"/>
        </w:rPr>
        <w:t>on to the mean) 这是临床上经常见到</w:t>
      </w:r>
      <w:r>
        <w:rPr>
          <w:rFonts w:ascii="宋体" w:hAnsi="宋体" w:eastAsia="宋体" w:cs="宋体"/>
          <w:spacing w:val="-1"/>
          <w:sz w:val="21"/>
          <w:szCs w:val="21"/>
        </w:rPr>
        <w:t>的一种现象，即一些极端的临床</w:t>
      </w:r>
      <w:r>
        <w:rPr>
          <w:rFonts w:ascii="宋体" w:hAnsi="宋体" w:eastAsia="宋体" w:cs="宋体"/>
          <w:sz w:val="21"/>
          <w:szCs w:val="21"/>
        </w:rPr>
        <w:t xml:space="preserve"> </w:t>
      </w:r>
      <w:r>
        <w:rPr>
          <w:rFonts w:ascii="宋体" w:hAnsi="宋体" w:eastAsia="宋体" w:cs="宋体"/>
          <w:spacing w:val="7"/>
          <w:sz w:val="21"/>
          <w:szCs w:val="21"/>
        </w:rPr>
        <w:t>症状或体征有向均数回归的现象。例如血压水平处于特别高的5%的人，即使不治疗，过一段时间</w:t>
      </w:r>
      <w:r>
        <w:rPr>
          <w:rFonts w:ascii="宋体" w:hAnsi="宋体" w:eastAsia="宋体" w:cs="宋体"/>
          <w:spacing w:val="8"/>
          <w:sz w:val="21"/>
          <w:szCs w:val="21"/>
        </w:rPr>
        <w:t xml:space="preserve"> </w:t>
      </w:r>
      <w:r>
        <w:rPr>
          <w:rFonts w:ascii="宋体" w:hAnsi="宋体" w:eastAsia="宋体" w:cs="宋体"/>
          <w:spacing w:val="2"/>
          <w:sz w:val="21"/>
          <w:szCs w:val="21"/>
        </w:rPr>
        <w:t>再测量血压时，其血压值可能也会降低一些。</w:t>
      </w:r>
    </w:p>
    <w:p w14:paraId="160FD6F2">
      <w:pPr>
        <w:pStyle w:val="2"/>
        <w:spacing w:before="115" w:line="302" w:lineRule="auto"/>
        <w:ind w:right="586" w:firstLine="439"/>
        <w:rPr>
          <w:rFonts w:ascii="宋体" w:hAnsi="宋体" w:eastAsia="宋体" w:cs="宋体"/>
          <w:sz w:val="21"/>
          <w:szCs w:val="21"/>
        </w:rPr>
      </w:pPr>
      <w:r>
        <w:rPr>
          <w:rFonts w:ascii="Times New Roman" w:hAnsi="Times New Roman" w:eastAsia="Times New Roman" w:cs="Times New Roman"/>
          <w:spacing w:val="3"/>
          <w:sz w:val="21"/>
          <w:szCs w:val="21"/>
        </w:rPr>
        <w:t xml:space="preserve">3.   </w:t>
      </w:r>
      <w:r>
        <w:rPr>
          <w:rFonts w:ascii="宋体" w:hAnsi="宋体" w:eastAsia="宋体" w:cs="宋体"/>
          <w:spacing w:val="3"/>
          <w:sz w:val="21"/>
          <w:szCs w:val="21"/>
        </w:rPr>
        <w:t>霍桑效应</w:t>
      </w:r>
      <w:r>
        <w:rPr>
          <w:spacing w:val="3"/>
          <w:sz w:val="21"/>
          <w:szCs w:val="21"/>
        </w:rPr>
        <w:t>(</w:t>
      </w:r>
      <w:r>
        <w:rPr>
          <w:sz w:val="21"/>
          <w:szCs w:val="21"/>
        </w:rPr>
        <w:t>Hawt</w:t>
      </w:r>
      <w:r>
        <w:rPr>
          <w:spacing w:val="3"/>
          <w:sz w:val="21"/>
          <w:szCs w:val="21"/>
        </w:rPr>
        <w:t xml:space="preserve"> </w:t>
      </w:r>
      <w:r>
        <w:rPr>
          <w:rFonts w:ascii="Times New Roman" w:hAnsi="Times New Roman" w:eastAsia="Times New Roman" w:cs="Times New Roman"/>
          <w:sz w:val="21"/>
          <w:szCs w:val="21"/>
        </w:rPr>
        <w:t>horne</w:t>
      </w:r>
      <w:r>
        <w:rPr>
          <w:rFonts w:ascii="Times New Roman" w:hAnsi="Times New Roman" w:eastAsia="Times New Roman" w:cs="Times New Roman"/>
          <w:spacing w:val="3"/>
          <w:sz w:val="21"/>
          <w:szCs w:val="21"/>
        </w:rPr>
        <w:t xml:space="preserve">   </w:t>
      </w:r>
      <w:r>
        <w:rPr>
          <w:rFonts w:ascii="Times New Roman" w:hAnsi="Times New Roman" w:eastAsia="Times New Roman" w:cs="Times New Roman"/>
          <w:sz w:val="21"/>
          <w:szCs w:val="21"/>
        </w:rPr>
        <w:t>effect</w:t>
      </w:r>
      <w:r>
        <w:rPr>
          <w:rFonts w:ascii="Times New Roman" w:hAnsi="Times New Roman" w:eastAsia="Times New Roman" w:cs="Times New Roman"/>
          <w:spacing w:val="3"/>
          <w:sz w:val="21"/>
          <w:szCs w:val="21"/>
        </w:rPr>
        <w:t>)</w:t>
      </w:r>
      <w:r>
        <w:rPr>
          <w:rFonts w:ascii="Times New Roman" w:hAnsi="Times New Roman" w:eastAsia="Times New Roman" w:cs="Times New Roman"/>
          <w:spacing w:val="18"/>
          <w:sz w:val="21"/>
          <w:szCs w:val="21"/>
        </w:rPr>
        <w:t xml:space="preserve">  </w:t>
      </w:r>
      <w:r>
        <w:rPr>
          <w:rFonts w:ascii="宋体" w:hAnsi="宋体" w:eastAsia="宋体" w:cs="宋体"/>
          <w:spacing w:val="3"/>
          <w:sz w:val="21"/>
          <w:szCs w:val="21"/>
        </w:rPr>
        <w:t>在试验研究(干预研</w:t>
      </w:r>
      <w:r>
        <w:rPr>
          <w:rFonts w:ascii="宋体" w:hAnsi="宋体" w:eastAsia="宋体" w:cs="宋体"/>
          <w:spacing w:val="2"/>
          <w:sz w:val="21"/>
          <w:szCs w:val="21"/>
        </w:rPr>
        <w:t>究)中，受试者由于知道自己成为特殊被</w:t>
      </w:r>
      <w:r>
        <w:rPr>
          <w:rFonts w:ascii="宋体" w:hAnsi="宋体" w:eastAsia="宋体" w:cs="宋体"/>
          <w:sz w:val="21"/>
          <w:szCs w:val="21"/>
        </w:rPr>
        <w:t xml:space="preserve">  </w:t>
      </w:r>
      <w:r>
        <w:rPr>
          <w:rFonts w:ascii="宋体" w:hAnsi="宋体" w:eastAsia="宋体" w:cs="宋体"/>
          <w:spacing w:val="2"/>
          <w:sz w:val="21"/>
          <w:szCs w:val="21"/>
        </w:rPr>
        <w:t>关注的对象后，所出现的改变自己行为或状态的一种倾向，与他们接受的干预措施的特异性作用无</w:t>
      </w:r>
      <w:r>
        <w:rPr>
          <w:rFonts w:ascii="宋体" w:hAnsi="宋体" w:eastAsia="宋体" w:cs="宋体"/>
          <w:spacing w:val="1"/>
          <w:sz w:val="21"/>
          <w:szCs w:val="21"/>
        </w:rPr>
        <w:t xml:space="preserve">  </w:t>
      </w:r>
      <w:r>
        <w:rPr>
          <w:rFonts w:ascii="宋体" w:hAnsi="宋体" w:eastAsia="宋体" w:cs="宋体"/>
          <w:spacing w:val="4"/>
          <w:sz w:val="21"/>
          <w:szCs w:val="21"/>
        </w:rPr>
        <w:t>关，是由于病人渴望取悦于他们的医师，使医师感到其医疗活动是成功的。这是病人的一种心理、</w:t>
      </w:r>
      <w:r>
        <w:rPr>
          <w:rFonts w:ascii="宋体" w:hAnsi="宋体" w:eastAsia="宋体" w:cs="宋体"/>
          <w:spacing w:val="11"/>
          <w:sz w:val="21"/>
          <w:szCs w:val="21"/>
        </w:rPr>
        <w:t xml:space="preserve"> </w:t>
      </w:r>
      <w:r>
        <w:rPr>
          <w:rFonts w:ascii="宋体" w:hAnsi="宋体" w:eastAsia="宋体" w:cs="宋体"/>
          <w:spacing w:val="2"/>
          <w:sz w:val="21"/>
          <w:szCs w:val="21"/>
        </w:rPr>
        <w:t>生理效应，会对疗效产生正向影响。当然，有时也可因病人厌恶某医师或不信任某医院而产生负向</w:t>
      </w:r>
      <w:r>
        <w:rPr>
          <w:rFonts w:ascii="宋体" w:hAnsi="宋体" w:eastAsia="宋体" w:cs="宋体"/>
          <w:spacing w:val="14"/>
          <w:sz w:val="21"/>
          <w:szCs w:val="21"/>
        </w:rPr>
        <w:t xml:space="preserve"> </w:t>
      </w:r>
      <w:r>
        <w:rPr>
          <w:rFonts w:ascii="宋体" w:hAnsi="宋体" w:eastAsia="宋体" w:cs="宋体"/>
          <w:spacing w:val="11"/>
          <w:sz w:val="21"/>
          <w:szCs w:val="21"/>
        </w:rPr>
        <w:t>效应。</w:t>
      </w:r>
    </w:p>
    <w:p w14:paraId="6B7FA33D">
      <w:pPr>
        <w:spacing w:before="135" w:line="291" w:lineRule="auto"/>
        <w:ind w:right="682" w:firstLine="439"/>
        <w:rPr>
          <w:rFonts w:ascii="宋体" w:hAnsi="宋体" w:eastAsia="宋体" w:cs="宋体"/>
          <w:sz w:val="21"/>
          <w:szCs w:val="21"/>
        </w:rPr>
      </w:pPr>
      <w:r>
        <w:rPr>
          <w:rFonts w:ascii="Times New Roman" w:hAnsi="Times New Roman" w:eastAsia="Times New Roman" w:cs="Times New Roman"/>
          <w:spacing w:val="5"/>
          <w:sz w:val="21"/>
          <w:szCs w:val="21"/>
        </w:rPr>
        <w:t xml:space="preserve">4.   </w:t>
      </w:r>
      <w:r>
        <w:rPr>
          <w:rFonts w:ascii="宋体" w:hAnsi="宋体" w:eastAsia="宋体" w:cs="宋体"/>
          <w:spacing w:val="5"/>
          <w:sz w:val="21"/>
          <w:szCs w:val="21"/>
        </w:rPr>
        <w:t>安慰剂效应</w:t>
      </w:r>
      <w:r>
        <w:rPr>
          <w:rFonts w:ascii="Times New Roman" w:hAnsi="Times New Roman" w:eastAsia="Times New Roman" w:cs="Times New Roman"/>
          <w:spacing w:val="5"/>
          <w:sz w:val="21"/>
          <w:szCs w:val="21"/>
        </w:rPr>
        <w:t>(</w:t>
      </w:r>
      <w:r>
        <w:rPr>
          <w:rFonts w:ascii="Times New Roman" w:hAnsi="Times New Roman" w:eastAsia="Times New Roman" w:cs="Times New Roman"/>
          <w:sz w:val="21"/>
          <w:szCs w:val="21"/>
        </w:rPr>
        <w:t>placebo</w:t>
      </w:r>
      <w:r>
        <w:rPr>
          <w:rFonts w:ascii="Times New Roman" w:hAnsi="Times New Roman" w:eastAsia="Times New Roman" w:cs="Times New Roman"/>
          <w:spacing w:val="5"/>
          <w:sz w:val="21"/>
          <w:szCs w:val="21"/>
        </w:rPr>
        <w:t xml:space="preserve">    </w:t>
      </w:r>
      <w:r>
        <w:rPr>
          <w:rFonts w:ascii="Times New Roman" w:hAnsi="Times New Roman" w:eastAsia="Times New Roman" w:cs="Times New Roman"/>
          <w:sz w:val="21"/>
          <w:szCs w:val="21"/>
        </w:rPr>
        <w:t>effect</w:t>
      </w:r>
      <w:r>
        <w:rPr>
          <w:rFonts w:ascii="Times New Roman" w:hAnsi="Times New Roman" w:eastAsia="Times New Roman" w:cs="Times New Roman"/>
          <w:spacing w:val="5"/>
          <w:sz w:val="21"/>
          <w:szCs w:val="21"/>
        </w:rPr>
        <w:t xml:space="preserve">)   </w:t>
      </w:r>
      <w:r>
        <w:rPr>
          <w:rFonts w:ascii="宋体" w:hAnsi="宋体" w:eastAsia="宋体" w:cs="宋体"/>
          <w:spacing w:val="5"/>
          <w:sz w:val="21"/>
          <w:szCs w:val="21"/>
        </w:rPr>
        <w:t>是指某些疾病的病人由于依赖医</w:t>
      </w:r>
      <w:r>
        <w:rPr>
          <w:rFonts w:ascii="宋体" w:hAnsi="宋体" w:eastAsia="宋体" w:cs="宋体"/>
          <w:spacing w:val="4"/>
          <w:sz w:val="21"/>
          <w:szCs w:val="21"/>
        </w:rPr>
        <w:t>药而表现出的一种正向心理</w:t>
      </w:r>
      <w:r>
        <w:rPr>
          <w:rFonts w:ascii="宋体" w:hAnsi="宋体" w:eastAsia="宋体" w:cs="宋体"/>
          <w:sz w:val="21"/>
          <w:szCs w:val="21"/>
        </w:rPr>
        <w:t xml:space="preserve"> </w:t>
      </w:r>
      <w:r>
        <w:rPr>
          <w:rFonts w:ascii="宋体" w:hAnsi="宋体" w:eastAsia="宋体" w:cs="宋体"/>
          <w:spacing w:val="2"/>
          <w:sz w:val="21"/>
          <w:szCs w:val="21"/>
        </w:rPr>
        <w:t xml:space="preserve">效应，因此，当以主观症状的改善情况作为疗效评价指标时，其“效应”中可能包括有安慰剂效应 </w:t>
      </w:r>
      <w:r>
        <w:rPr>
          <w:rFonts w:ascii="宋体" w:hAnsi="宋体" w:eastAsia="宋体" w:cs="宋体"/>
          <w:spacing w:val="11"/>
          <w:sz w:val="21"/>
          <w:szCs w:val="21"/>
        </w:rPr>
        <w:t>在内。</w:t>
      </w:r>
    </w:p>
    <w:p w14:paraId="110BFC0E">
      <w:pPr>
        <w:spacing w:before="126" w:line="323" w:lineRule="auto"/>
        <w:ind w:right="616" w:firstLine="439"/>
        <w:jc w:val="both"/>
        <w:rPr>
          <w:rFonts w:ascii="宋体" w:hAnsi="宋体" w:eastAsia="宋体" w:cs="宋体"/>
          <w:sz w:val="21"/>
          <w:szCs w:val="21"/>
        </w:rPr>
      </w:pPr>
      <w:r>
        <w:rPr>
          <w:rFonts w:ascii="宋体" w:hAnsi="宋体" w:eastAsia="宋体" w:cs="宋体"/>
          <w:spacing w:val="-3"/>
          <w:sz w:val="21"/>
          <w:szCs w:val="21"/>
        </w:rPr>
        <w:t>安慰剂</w:t>
      </w:r>
      <w:r>
        <w:rPr>
          <w:rFonts w:ascii="Times New Roman" w:hAnsi="Times New Roman" w:eastAsia="Times New Roman" w:cs="Times New Roman"/>
          <w:spacing w:val="-3"/>
          <w:sz w:val="21"/>
          <w:szCs w:val="21"/>
        </w:rPr>
        <w:t xml:space="preserve">(placebo)  </w:t>
      </w:r>
      <w:r>
        <w:rPr>
          <w:rFonts w:ascii="宋体" w:hAnsi="宋体" w:eastAsia="宋体" w:cs="宋体"/>
          <w:spacing w:val="-3"/>
          <w:sz w:val="21"/>
          <w:szCs w:val="21"/>
        </w:rPr>
        <w:t>是一种无论在外观、颜色、味觉、嗅觉上均与积极治疗的药品无从辨别的物品，</w:t>
      </w:r>
      <w:r>
        <w:rPr>
          <w:rFonts w:ascii="宋体" w:hAnsi="宋体" w:eastAsia="宋体" w:cs="宋体"/>
          <w:spacing w:val="13"/>
          <w:sz w:val="21"/>
          <w:szCs w:val="21"/>
        </w:rPr>
        <w:t xml:space="preserve"> </w:t>
      </w:r>
      <w:r>
        <w:rPr>
          <w:rFonts w:ascii="宋体" w:hAnsi="宋体" w:eastAsia="宋体" w:cs="宋体"/>
          <w:spacing w:val="7"/>
          <w:sz w:val="21"/>
          <w:szCs w:val="21"/>
        </w:rPr>
        <w:t>但没有特定已知的治疗成分。常用的安慰剂有甜药片或注射用生理盐水等。目前已知的安慰剂可</w:t>
      </w:r>
      <w:r>
        <w:rPr>
          <w:rFonts w:ascii="宋体" w:hAnsi="宋体" w:eastAsia="宋体" w:cs="宋体"/>
          <w:spacing w:val="4"/>
          <w:sz w:val="21"/>
          <w:szCs w:val="21"/>
        </w:rPr>
        <w:t xml:space="preserve"> </w:t>
      </w:r>
      <w:r>
        <w:rPr>
          <w:rFonts w:ascii="宋体" w:hAnsi="宋体" w:eastAsia="宋体" w:cs="宋体"/>
          <w:sz w:val="21"/>
          <w:szCs w:val="21"/>
        </w:rPr>
        <w:t>使三分之一的病人增强信心、减轻病情、减少不适症状(如术后疼痛、呕吐或</w:t>
      </w:r>
      <w:r>
        <w:rPr>
          <w:rFonts w:ascii="宋体" w:hAnsi="宋体" w:eastAsia="宋体" w:cs="宋体"/>
          <w:spacing w:val="-1"/>
          <w:sz w:val="21"/>
          <w:szCs w:val="21"/>
        </w:rPr>
        <w:t>瘙痒等),这一现象称为</w:t>
      </w:r>
      <w:r>
        <w:rPr>
          <w:rFonts w:ascii="宋体" w:hAnsi="宋体" w:eastAsia="宋体" w:cs="宋体"/>
          <w:sz w:val="21"/>
          <w:szCs w:val="21"/>
        </w:rPr>
        <w:t xml:space="preserve"> </w:t>
      </w:r>
      <w:r>
        <w:rPr>
          <w:rFonts w:ascii="宋体" w:hAnsi="宋体" w:eastAsia="宋体" w:cs="宋体"/>
          <w:spacing w:val="9"/>
          <w:sz w:val="21"/>
          <w:szCs w:val="21"/>
        </w:rPr>
        <w:t>安慰剂效应。</w:t>
      </w:r>
    </w:p>
    <w:p w14:paraId="45335E6E">
      <w:pPr>
        <w:spacing w:before="15" w:line="316" w:lineRule="auto"/>
        <w:ind w:right="675" w:firstLine="439"/>
        <w:jc w:val="both"/>
        <w:rPr>
          <w:rFonts w:ascii="宋体" w:hAnsi="宋体" w:eastAsia="宋体" w:cs="宋体"/>
          <w:sz w:val="21"/>
          <w:szCs w:val="21"/>
        </w:rPr>
      </w:pPr>
      <w:r>
        <w:rPr>
          <w:rFonts w:ascii="宋体" w:hAnsi="宋体" w:eastAsia="宋体" w:cs="宋体"/>
          <w:spacing w:val="7"/>
          <w:sz w:val="21"/>
          <w:szCs w:val="21"/>
        </w:rPr>
        <w:t>安慰剂效应对研究者与医师有不同的意义。研究者更有兴趣确定特异并符合现有病因理论的</w:t>
      </w:r>
      <w:r>
        <w:rPr>
          <w:rFonts w:ascii="宋体" w:hAnsi="宋体" w:eastAsia="宋体" w:cs="宋体"/>
          <w:spacing w:val="5"/>
          <w:sz w:val="21"/>
          <w:szCs w:val="21"/>
        </w:rPr>
        <w:t xml:space="preserve"> </w:t>
      </w:r>
      <w:r>
        <w:rPr>
          <w:rFonts w:ascii="宋体" w:hAnsi="宋体" w:eastAsia="宋体" w:cs="宋体"/>
          <w:spacing w:val="2"/>
          <w:sz w:val="21"/>
          <w:szCs w:val="21"/>
        </w:rPr>
        <w:t>效果，他们以安慰剂效应为测量特定治疗效果的基值。相反，临床医师会欢迎安慰剂效应，并愿意</w:t>
      </w:r>
      <w:r>
        <w:rPr>
          <w:rFonts w:ascii="宋体" w:hAnsi="宋体" w:eastAsia="宋体" w:cs="宋体"/>
          <w:spacing w:val="6"/>
          <w:sz w:val="21"/>
          <w:szCs w:val="21"/>
        </w:rPr>
        <w:t xml:space="preserve"> </w:t>
      </w:r>
      <w:r>
        <w:rPr>
          <w:rFonts w:ascii="宋体" w:hAnsi="宋体" w:eastAsia="宋体" w:cs="宋体"/>
          <w:spacing w:val="5"/>
          <w:sz w:val="21"/>
          <w:szCs w:val="21"/>
        </w:rPr>
        <w:t>增强这一效果或任何有助于病人的方法。</w:t>
      </w:r>
    </w:p>
    <w:p w14:paraId="3A393B55">
      <w:pPr>
        <w:pStyle w:val="2"/>
        <w:spacing w:before="1" w:line="342" w:lineRule="auto"/>
        <w:ind w:right="670" w:firstLine="439"/>
        <w:rPr>
          <w:rFonts w:ascii="宋体" w:hAnsi="宋体" w:eastAsia="宋体" w:cs="宋体"/>
          <w:sz w:val="21"/>
          <w:szCs w:val="21"/>
        </w:rPr>
      </w:pPr>
      <w:r>
        <w:rPr>
          <w:rFonts w:ascii="宋体" w:hAnsi="宋体" w:eastAsia="宋体" w:cs="宋体"/>
          <w:spacing w:val="7"/>
          <w:sz w:val="21"/>
          <w:szCs w:val="21"/>
        </w:rPr>
        <w:t xml:space="preserve">5. </w:t>
      </w:r>
      <w:r>
        <w:rPr>
          <w:spacing w:val="7"/>
          <w:sz w:val="21"/>
          <w:szCs w:val="21"/>
        </w:rPr>
        <w:t xml:space="preserve">潜在的未知因素的影响 </w:t>
      </w:r>
      <w:r>
        <w:rPr>
          <w:rFonts w:ascii="宋体" w:hAnsi="宋体" w:eastAsia="宋体" w:cs="宋体"/>
          <w:spacing w:val="7"/>
          <w:sz w:val="21"/>
          <w:szCs w:val="21"/>
        </w:rPr>
        <w:t>人类的知识总是有局限性的，很可能还有一些影响干预</w:t>
      </w:r>
      <w:r>
        <w:rPr>
          <w:rFonts w:ascii="宋体" w:hAnsi="宋体" w:eastAsia="宋体" w:cs="宋体"/>
          <w:spacing w:val="6"/>
          <w:sz w:val="21"/>
          <w:szCs w:val="21"/>
        </w:rPr>
        <w:t>效应的因</w:t>
      </w:r>
      <w:r>
        <w:rPr>
          <w:rFonts w:ascii="宋体" w:hAnsi="宋体" w:eastAsia="宋体" w:cs="宋体"/>
          <w:sz w:val="21"/>
          <w:szCs w:val="21"/>
        </w:rPr>
        <w:t xml:space="preserve"> </w:t>
      </w:r>
      <w:r>
        <w:rPr>
          <w:rFonts w:ascii="宋体" w:hAnsi="宋体" w:eastAsia="宋体" w:cs="宋体"/>
          <w:spacing w:val="1"/>
          <w:sz w:val="21"/>
          <w:szCs w:val="21"/>
        </w:rPr>
        <w:t>素，但目前尚未被我们所认识。</w:t>
      </w:r>
    </w:p>
    <w:p w14:paraId="01BC1A91">
      <w:pPr>
        <w:pStyle w:val="2"/>
        <w:spacing w:before="1" w:line="220" w:lineRule="auto"/>
        <w:ind w:left="439"/>
        <w:rPr>
          <w:sz w:val="21"/>
          <w:szCs w:val="21"/>
        </w:rPr>
      </w:pPr>
      <w:r>
        <w:rPr>
          <w:spacing w:val="32"/>
          <w:sz w:val="21"/>
          <w:szCs w:val="21"/>
        </w:rPr>
        <w:t>(二)对照类型</w:t>
      </w:r>
    </w:p>
    <w:p w14:paraId="64FEDDE4">
      <w:pPr>
        <w:spacing w:before="79" w:line="326" w:lineRule="auto"/>
        <w:ind w:right="599" w:firstLine="439"/>
        <w:rPr>
          <w:rFonts w:ascii="宋体" w:hAnsi="宋体" w:eastAsia="宋体" w:cs="宋体"/>
          <w:sz w:val="21"/>
          <w:szCs w:val="21"/>
        </w:rPr>
      </w:pPr>
      <w:r>
        <w:rPr>
          <w:rFonts w:ascii="宋体" w:hAnsi="宋体" w:eastAsia="宋体" w:cs="宋体"/>
          <w:spacing w:val="-1"/>
          <w:sz w:val="21"/>
          <w:szCs w:val="21"/>
        </w:rPr>
        <w:t>鉴于上述情况，为了避免偏倚，在设置试验组和对照组时</w:t>
      </w:r>
      <w:r>
        <w:rPr>
          <w:rFonts w:ascii="宋体" w:hAnsi="宋体" w:eastAsia="宋体" w:cs="宋体"/>
          <w:spacing w:val="-2"/>
          <w:sz w:val="21"/>
          <w:szCs w:val="21"/>
        </w:rPr>
        <w:t>，要求除了试验组接受的干预措施外，</w:t>
      </w:r>
      <w:r>
        <w:rPr>
          <w:rFonts w:ascii="宋体" w:hAnsi="宋体" w:eastAsia="宋体" w:cs="宋体"/>
          <w:sz w:val="21"/>
          <w:szCs w:val="21"/>
        </w:rPr>
        <w:t xml:space="preserve"> </w:t>
      </w:r>
      <w:r>
        <w:rPr>
          <w:rFonts w:ascii="宋体" w:hAnsi="宋体" w:eastAsia="宋体" w:cs="宋体"/>
          <w:spacing w:val="5"/>
          <w:sz w:val="21"/>
          <w:szCs w:val="21"/>
        </w:rPr>
        <w:t>两组在其他方面都必须是相似的。设立对照的方式主要</w:t>
      </w:r>
      <w:r>
        <w:rPr>
          <w:rFonts w:ascii="宋体" w:hAnsi="宋体" w:eastAsia="宋体" w:cs="宋体"/>
          <w:spacing w:val="4"/>
          <w:sz w:val="21"/>
          <w:szCs w:val="21"/>
        </w:rPr>
        <w:t>有以下几种：</w:t>
      </w:r>
    </w:p>
    <w:p w14:paraId="21C17A13">
      <w:pPr>
        <w:spacing w:before="1" w:line="276" w:lineRule="auto"/>
        <w:ind w:right="682" w:firstLine="439"/>
        <w:rPr>
          <w:rFonts w:ascii="宋体" w:hAnsi="宋体" w:eastAsia="宋体" w:cs="宋体"/>
          <w:sz w:val="21"/>
          <w:szCs w:val="21"/>
        </w:rPr>
      </w:pPr>
      <w:r>
        <w:rPr>
          <w:rFonts w:ascii="宋体" w:hAnsi="宋体" w:eastAsia="宋体" w:cs="宋体"/>
          <w:spacing w:val="9"/>
          <w:sz w:val="21"/>
          <w:szCs w:val="21"/>
        </w:rPr>
        <w:t>1. 标准疗法对照(有效对照)是临床试验中最常用的一种对照方式，标准疗法对照是以常规</w:t>
      </w:r>
      <w:r>
        <w:rPr>
          <w:rFonts w:ascii="宋体" w:hAnsi="宋体" w:eastAsia="宋体" w:cs="宋体"/>
          <w:spacing w:val="5"/>
          <w:sz w:val="21"/>
          <w:szCs w:val="21"/>
        </w:rPr>
        <w:t xml:space="preserve"> 或现行的最好疗法(药物或手术)作对照。适用于已知有肯定疗效的治疗方法的疾病。</w:t>
      </w:r>
    </w:p>
    <w:p w14:paraId="687E8170">
      <w:pPr>
        <w:pStyle w:val="2"/>
        <w:spacing w:before="119" w:line="290" w:lineRule="auto"/>
        <w:ind w:right="586" w:firstLine="439"/>
        <w:rPr>
          <w:rFonts w:ascii="宋体" w:hAnsi="宋体" w:eastAsia="宋体" w:cs="宋体"/>
          <w:sz w:val="21"/>
          <w:szCs w:val="21"/>
        </w:rPr>
      </w:pPr>
      <w:r>
        <w:rPr>
          <w:rFonts w:ascii="宋体" w:hAnsi="宋体" w:eastAsia="宋体" w:cs="宋体"/>
          <w:spacing w:val="-2"/>
          <w:sz w:val="21"/>
          <w:szCs w:val="21"/>
        </w:rPr>
        <w:t xml:space="preserve">2. </w:t>
      </w:r>
      <w:r>
        <w:rPr>
          <w:spacing w:val="-2"/>
          <w:sz w:val="21"/>
          <w:szCs w:val="21"/>
        </w:rPr>
        <w:t>安慰剂对照</w:t>
      </w:r>
      <w:r>
        <w:rPr>
          <w:spacing w:val="62"/>
          <w:sz w:val="21"/>
          <w:szCs w:val="21"/>
        </w:rPr>
        <w:t xml:space="preserve"> </w:t>
      </w:r>
      <w:r>
        <w:rPr>
          <w:rFonts w:ascii="宋体" w:hAnsi="宋体" w:eastAsia="宋体" w:cs="宋体"/>
          <w:spacing w:val="-2"/>
          <w:sz w:val="21"/>
          <w:szCs w:val="21"/>
        </w:rPr>
        <w:t>安慰剂通常用乳糖、淀粉、</w:t>
      </w:r>
      <w:r>
        <w:rPr>
          <w:rFonts w:ascii="宋体" w:hAnsi="宋体" w:eastAsia="宋体" w:cs="宋体"/>
          <w:spacing w:val="-3"/>
          <w:sz w:val="21"/>
          <w:szCs w:val="21"/>
        </w:rPr>
        <w:t>生理盐水等成分制成，不加任何有效成分，但外形、</w:t>
      </w:r>
      <w:r>
        <w:rPr>
          <w:rFonts w:ascii="宋体" w:hAnsi="宋体" w:eastAsia="宋体" w:cs="宋体"/>
          <w:sz w:val="21"/>
          <w:szCs w:val="21"/>
        </w:rPr>
        <w:t xml:space="preserve"> </w:t>
      </w:r>
      <w:r>
        <w:rPr>
          <w:rFonts w:ascii="宋体" w:hAnsi="宋体" w:eastAsia="宋体" w:cs="宋体"/>
          <w:spacing w:val="3"/>
          <w:sz w:val="21"/>
          <w:szCs w:val="21"/>
        </w:rPr>
        <w:t>颜色、大小、味道与试验药物或制剂极为相近。在所研</w:t>
      </w:r>
      <w:r>
        <w:rPr>
          <w:rFonts w:ascii="宋体" w:hAnsi="宋体" w:eastAsia="宋体" w:cs="宋体"/>
          <w:spacing w:val="2"/>
          <w:sz w:val="21"/>
          <w:szCs w:val="21"/>
        </w:rPr>
        <w:t>究的疾病尚无有效的防治药物或使用安慰剂</w:t>
      </w:r>
      <w:r>
        <w:rPr>
          <w:rFonts w:ascii="宋体" w:hAnsi="宋体" w:eastAsia="宋体" w:cs="宋体"/>
          <w:sz w:val="21"/>
          <w:szCs w:val="21"/>
        </w:rPr>
        <w:t xml:space="preserve"> </w:t>
      </w:r>
      <w:r>
        <w:rPr>
          <w:rFonts w:ascii="宋体" w:hAnsi="宋体" w:eastAsia="宋体" w:cs="宋体"/>
          <w:spacing w:val="5"/>
          <w:sz w:val="21"/>
          <w:szCs w:val="21"/>
        </w:rPr>
        <w:t>对研究对象的病情无影响时才使用。</w:t>
      </w:r>
    </w:p>
    <w:p w14:paraId="2A64958D">
      <w:pPr>
        <w:pStyle w:val="2"/>
        <w:spacing w:before="121" w:line="273" w:lineRule="auto"/>
        <w:ind w:right="682" w:firstLine="439"/>
        <w:rPr>
          <w:rFonts w:ascii="宋体" w:hAnsi="宋体" w:eastAsia="宋体" w:cs="宋体"/>
          <w:sz w:val="21"/>
          <w:szCs w:val="21"/>
        </w:rPr>
      </w:pPr>
      <w:r>
        <w:rPr>
          <w:rFonts w:ascii="宋体" w:hAnsi="宋体" w:eastAsia="宋体" w:cs="宋体"/>
          <w:spacing w:val="7"/>
          <w:sz w:val="21"/>
          <w:szCs w:val="21"/>
        </w:rPr>
        <w:t xml:space="preserve">3. </w:t>
      </w:r>
      <w:r>
        <w:rPr>
          <w:spacing w:val="7"/>
          <w:sz w:val="21"/>
          <w:szCs w:val="21"/>
        </w:rPr>
        <w:t xml:space="preserve">自身对照 </w:t>
      </w:r>
      <w:r>
        <w:rPr>
          <w:rFonts w:ascii="宋体" w:hAnsi="宋体" w:eastAsia="宋体" w:cs="宋体"/>
          <w:spacing w:val="7"/>
          <w:sz w:val="21"/>
          <w:szCs w:val="21"/>
        </w:rPr>
        <w:t>即试验前后以同一人群作对比。如评价</w:t>
      </w:r>
      <w:r>
        <w:rPr>
          <w:rFonts w:ascii="宋体" w:hAnsi="宋体" w:eastAsia="宋体" w:cs="宋体"/>
          <w:spacing w:val="6"/>
          <w:sz w:val="21"/>
          <w:szCs w:val="21"/>
        </w:rPr>
        <w:t>某预防规划实施效果，在试验前需要规</w:t>
      </w:r>
      <w:r>
        <w:rPr>
          <w:rFonts w:ascii="宋体" w:hAnsi="宋体" w:eastAsia="宋体" w:cs="宋体"/>
          <w:sz w:val="21"/>
          <w:szCs w:val="21"/>
        </w:rPr>
        <w:t xml:space="preserve"> </w:t>
      </w:r>
      <w:r>
        <w:rPr>
          <w:rFonts w:ascii="宋体" w:hAnsi="宋体" w:eastAsia="宋体" w:cs="宋体"/>
          <w:spacing w:val="2"/>
          <w:sz w:val="21"/>
          <w:szCs w:val="21"/>
        </w:rPr>
        <w:t>定一个足够的观察期限，然后将预防规划实施前后人群的疾病和健康状况进行对比。</w:t>
      </w:r>
    </w:p>
    <w:p w14:paraId="72CB9C7D">
      <w:pPr>
        <w:pStyle w:val="2"/>
        <w:spacing w:before="96" w:line="305" w:lineRule="auto"/>
        <w:ind w:right="659" w:firstLine="439"/>
        <w:rPr>
          <w:rFonts w:ascii="宋体" w:hAnsi="宋体" w:eastAsia="宋体" w:cs="宋体"/>
          <w:sz w:val="21"/>
          <w:szCs w:val="21"/>
        </w:rPr>
      </w:pPr>
      <w:r>
        <w:rPr>
          <w:rFonts w:ascii="Times New Roman" w:hAnsi="Times New Roman" w:eastAsia="Times New Roman" w:cs="Times New Roman"/>
          <w:spacing w:val="3"/>
          <w:sz w:val="21"/>
          <w:szCs w:val="21"/>
        </w:rPr>
        <w:t xml:space="preserve">4.   </w:t>
      </w:r>
      <w:r>
        <w:rPr>
          <w:spacing w:val="3"/>
          <w:sz w:val="21"/>
          <w:szCs w:val="21"/>
        </w:rPr>
        <w:t>交叉对照</w:t>
      </w:r>
      <w:r>
        <w:rPr>
          <w:spacing w:val="108"/>
          <w:sz w:val="21"/>
          <w:szCs w:val="21"/>
        </w:rPr>
        <w:t xml:space="preserve"> </w:t>
      </w:r>
      <w:r>
        <w:rPr>
          <w:rFonts w:ascii="宋体" w:hAnsi="宋体" w:eastAsia="宋体" w:cs="宋体"/>
          <w:spacing w:val="3"/>
          <w:sz w:val="21"/>
          <w:szCs w:val="21"/>
        </w:rPr>
        <w:t>即在试验过程中将研究对象随机分为</w:t>
      </w:r>
      <w:r>
        <w:rPr>
          <w:rFonts w:ascii="Times New Roman" w:hAnsi="Times New Roman" w:eastAsia="Times New Roman" w:cs="Times New Roman"/>
          <w:spacing w:val="3"/>
          <w:sz w:val="21"/>
          <w:szCs w:val="21"/>
        </w:rPr>
        <w:t xml:space="preserve">A </w:t>
      </w:r>
      <w:r>
        <w:rPr>
          <w:rFonts w:ascii="宋体" w:hAnsi="宋体" w:eastAsia="宋体" w:cs="宋体"/>
          <w:spacing w:val="3"/>
          <w:sz w:val="21"/>
          <w:szCs w:val="21"/>
        </w:rPr>
        <w:t>和</w:t>
      </w:r>
      <w:r>
        <w:rPr>
          <w:rFonts w:ascii="宋体" w:hAnsi="宋体" w:eastAsia="宋体" w:cs="宋体"/>
          <w:spacing w:val="-36"/>
          <w:sz w:val="21"/>
          <w:szCs w:val="21"/>
        </w:rPr>
        <w:t xml:space="preserve"> </w:t>
      </w:r>
      <w:r>
        <w:rPr>
          <w:rFonts w:ascii="Times New Roman" w:hAnsi="Times New Roman" w:eastAsia="Times New Roman" w:cs="Times New Roman"/>
          <w:spacing w:val="3"/>
          <w:sz w:val="21"/>
          <w:szCs w:val="21"/>
        </w:rPr>
        <w:t xml:space="preserve">B </w:t>
      </w:r>
      <w:r>
        <w:rPr>
          <w:rFonts w:ascii="宋体" w:hAnsi="宋体" w:eastAsia="宋体" w:cs="宋体"/>
          <w:spacing w:val="3"/>
          <w:sz w:val="21"/>
          <w:szCs w:val="21"/>
        </w:rPr>
        <w:t>两组，在第一阶段，</w:t>
      </w:r>
      <w:r>
        <w:rPr>
          <w:rFonts w:ascii="Times New Roman" w:hAnsi="Times New Roman" w:eastAsia="Times New Roman" w:cs="Times New Roman"/>
          <w:spacing w:val="3"/>
          <w:sz w:val="21"/>
          <w:szCs w:val="21"/>
        </w:rPr>
        <w:t>A</w:t>
      </w:r>
      <w:r>
        <w:rPr>
          <w:rFonts w:ascii="Times New Roman" w:hAnsi="Times New Roman" w:eastAsia="Times New Roman" w:cs="Times New Roman"/>
          <w:spacing w:val="18"/>
          <w:sz w:val="21"/>
          <w:szCs w:val="21"/>
        </w:rPr>
        <w:t xml:space="preserve"> </w:t>
      </w:r>
      <w:r>
        <w:rPr>
          <w:rFonts w:ascii="宋体" w:hAnsi="宋体" w:eastAsia="宋体" w:cs="宋体"/>
          <w:spacing w:val="3"/>
          <w:sz w:val="21"/>
          <w:szCs w:val="21"/>
        </w:rPr>
        <w:t>组人群给予</w:t>
      </w:r>
      <w:r>
        <w:rPr>
          <w:rFonts w:ascii="宋体" w:hAnsi="宋体" w:eastAsia="宋体" w:cs="宋体"/>
          <w:sz w:val="21"/>
          <w:szCs w:val="21"/>
        </w:rPr>
        <w:t xml:space="preserve"> </w:t>
      </w:r>
      <w:r>
        <w:rPr>
          <w:rFonts w:ascii="宋体" w:hAnsi="宋体" w:eastAsia="宋体" w:cs="宋体"/>
          <w:spacing w:val="-2"/>
          <w:sz w:val="21"/>
          <w:szCs w:val="21"/>
        </w:rPr>
        <w:t>干预措施，</w:t>
      </w:r>
      <w:r>
        <w:rPr>
          <w:rFonts w:ascii="Times New Roman" w:hAnsi="Times New Roman" w:eastAsia="Times New Roman" w:cs="Times New Roman"/>
          <w:spacing w:val="-2"/>
          <w:sz w:val="21"/>
          <w:szCs w:val="21"/>
        </w:rPr>
        <w:t xml:space="preserve">B </w:t>
      </w:r>
      <w:r>
        <w:rPr>
          <w:rFonts w:ascii="宋体" w:hAnsi="宋体" w:eastAsia="宋体" w:cs="宋体"/>
          <w:spacing w:val="-2"/>
          <w:sz w:val="21"/>
          <w:szCs w:val="21"/>
        </w:rPr>
        <w:t>组人群为对照组，经一段时间的干预后，两组对换，</w:t>
      </w:r>
      <w:r>
        <w:rPr>
          <w:rFonts w:ascii="Times New Roman" w:hAnsi="Times New Roman" w:eastAsia="Times New Roman" w:cs="Times New Roman"/>
          <w:spacing w:val="-2"/>
          <w:sz w:val="21"/>
          <w:szCs w:val="21"/>
        </w:rPr>
        <w:t xml:space="preserve">B </w:t>
      </w:r>
      <w:r>
        <w:rPr>
          <w:rFonts w:ascii="宋体" w:hAnsi="宋体" w:eastAsia="宋体" w:cs="宋体"/>
          <w:spacing w:val="-2"/>
          <w:sz w:val="21"/>
          <w:szCs w:val="21"/>
        </w:rPr>
        <w:t>组接受干预措施，而</w:t>
      </w:r>
      <w:r>
        <w:rPr>
          <w:rFonts w:ascii="Times New Roman" w:hAnsi="Times New Roman" w:eastAsia="Times New Roman" w:cs="Times New Roman"/>
          <w:spacing w:val="-2"/>
          <w:sz w:val="21"/>
          <w:szCs w:val="21"/>
        </w:rPr>
        <w:t xml:space="preserve">A </w:t>
      </w:r>
      <w:r>
        <w:rPr>
          <w:rFonts w:ascii="宋体" w:hAnsi="宋体" w:eastAsia="宋体" w:cs="宋体"/>
          <w:spacing w:val="-2"/>
          <w:sz w:val="21"/>
          <w:szCs w:val="21"/>
        </w:rPr>
        <w:t>组成为对</w:t>
      </w:r>
      <w:r>
        <w:rPr>
          <w:rFonts w:ascii="宋体" w:hAnsi="宋体" w:eastAsia="宋体" w:cs="宋体"/>
          <w:spacing w:val="12"/>
          <w:sz w:val="21"/>
          <w:szCs w:val="21"/>
        </w:rPr>
        <w:t xml:space="preserve"> </w:t>
      </w:r>
      <w:r>
        <w:rPr>
          <w:rFonts w:ascii="宋体" w:hAnsi="宋体" w:eastAsia="宋体" w:cs="宋体"/>
          <w:spacing w:val="2"/>
          <w:sz w:val="21"/>
          <w:szCs w:val="21"/>
        </w:rPr>
        <w:t>照。这样一来，每个研究对象均兼作试验组和对照组成员，干预措施的效果可以汇总个体内的差异</w:t>
      </w:r>
      <w:r>
        <w:rPr>
          <w:rFonts w:ascii="宋体" w:hAnsi="宋体" w:eastAsia="宋体" w:cs="宋体"/>
          <w:spacing w:val="5"/>
          <w:sz w:val="21"/>
          <w:szCs w:val="21"/>
        </w:rPr>
        <w:t xml:space="preserve"> </w:t>
      </w:r>
      <w:r>
        <w:rPr>
          <w:rFonts w:ascii="宋体" w:hAnsi="宋体" w:eastAsia="宋体" w:cs="宋体"/>
          <w:spacing w:val="2"/>
          <w:sz w:val="21"/>
          <w:szCs w:val="21"/>
        </w:rPr>
        <w:t>而得出。由于个体内的变异通常小于个体间的差异，因此，要达到相同的精确度，交叉对照设计所</w:t>
      </w:r>
      <w:r>
        <w:rPr>
          <w:rFonts w:ascii="宋体" w:hAnsi="宋体" w:eastAsia="宋体" w:cs="宋体"/>
          <w:sz w:val="21"/>
          <w:szCs w:val="21"/>
        </w:rPr>
        <w:t xml:space="preserve"> </w:t>
      </w:r>
      <w:r>
        <w:rPr>
          <w:rFonts w:ascii="宋体" w:hAnsi="宋体" w:eastAsia="宋体" w:cs="宋体"/>
          <w:spacing w:val="7"/>
          <w:sz w:val="21"/>
          <w:szCs w:val="21"/>
        </w:rPr>
        <w:t>需要的样本量小于平行对照。但这种对照必须有一个前提，即第一阶段的干预一定不能对第二阶</w:t>
      </w:r>
      <w:r>
        <w:rPr>
          <w:rFonts w:ascii="宋体" w:hAnsi="宋体" w:eastAsia="宋体" w:cs="宋体"/>
          <w:spacing w:val="4"/>
          <w:sz w:val="21"/>
          <w:szCs w:val="21"/>
        </w:rPr>
        <w:t xml:space="preserve"> </w:t>
      </w:r>
      <w:r>
        <w:rPr>
          <w:rFonts w:ascii="宋体" w:hAnsi="宋体" w:eastAsia="宋体" w:cs="宋体"/>
          <w:spacing w:val="2"/>
          <w:sz w:val="21"/>
          <w:szCs w:val="21"/>
        </w:rPr>
        <w:t>段的干预效应有影响，这在许多试验中难以保证；而且由于每个对象要经历两段时期，需要的时间</w:t>
      </w:r>
      <w:r>
        <w:rPr>
          <w:rFonts w:ascii="宋体" w:hAnsi="宋体" w:eastAsia="宋体" w:cs="宋体"/>
          <w:spacing w:val="13"/>
          <w:sz w:val="21"/>
          <w:szCs w:val="21"/>
        </w:rPr>
        <w:t xml:space="preserve"> </w:t>
      </w:r>
      <w:r>
        <w:rPr>
          <w:rFonts w:ascii="宋体" w:hAnsi="宋体" w:eastAsia="宋体" w:cs="宋体"/>
          <w:spacing w:val="2"/>
          <w:sz w:val="21"/>
          <w:szCs w:val="21"/>
        </w:rPr>
        <w:t>就比较长，反而易造成研究对象的退出；数据的分析也比较复杂，因此，这种对照的应用受到一定</w:t>
      </w:r>
      <w:r>
        <w:rPr>
          <w:rFonts w:ascii="宋体" w:hAnsi="宋体" w:eastAsia="宋体" w:cs="宋体"/>
          <w:spacing w:val="6"/>
          <w:sz w:val="21"/>
          <w:szCs w:val="21"/>
        </w:rPr>
        <w:t xml:space="preserve"> </w:t>
      </w:r>
      <w:r>
        <w:rPr>
          <w:rFonts w:ascii="宋体" w:hAnsi="宋体" w:eastAsia="宋体" w:cs="宋体"/>
          <w:spacing w:val="1"/>
          <w:sz w:val="21"/>
          <w:szCs w:val="21"/>
        </w:rPr>
        <w:t>限制。</w:t>
      </w:r>
    </w:p>
    <w:p w14:paraId="20151F69">
      <w:pPr>
        <w:spacing w:before="179" w:line="219" w:lineRule="auto"/>
        <w:ind w:left="439"/>
        <w:rPr>
          <w:rFonts w:ascii="宋体" w:hAnsi="宋体" w:eastAsia="宋体" w:cs="宋体"/>
          <w:sz w:val="21"/>
          <w:szCs w:val="21"/>
        </w:rPr>
      </w:pPr>
      <w:r>
        <w:rPr>
          <w:rFonts w:ascii="宋体" w:hAnsi="宋体" w:eastAsia="宋体" w:cs="宋体"/>
          <w:spacing w:val="-1"/>
          <w:sz w:val="21"/>
          <w:szCs w:val="21"/>
        </w:rPr>
        <w:t>此外，尚有历史对照、空白对照等非均衡对照，由于这类对照缺</w:t>
      </w:r>
      <w:r>
        <w:rPr>
          <w:rFonts w:ascii="宋体" w:hAnsi="宋体" w:eastAsia="宋体" w:cs="宋体"/>
          <w:spacing w:val="-2"/>
          <w:sz w:val="21"/>
          <w:szCs w:val="21"/>
        </w:rPr>
        <w:t>乏可比性，除某种特殊情况外，</w:t>
      </w:r>
    </w:p>
    <w:p w14:paraId="2E119BC8">
      <w:pPr>
        <w:spacing w:line="219" w:lineRule="auto"/>
        <w:rPr>
          <w:rFonts w:ascii="宋体" w:hAnsi="宋体" w:eastAsia="宋体" w:cs="宋体"/>
          <w:sz w:val="21"/>
          <w:szCs w:val="21"/>
        </w:rPr>
        <w:sectPr>
          <w:footerReference r:id="rId126" w:type="default"/>
          <w:pgSz w:w="11900" w:h="16820"/>
          <w:pgMar w:top="400" w:right="748" w:bottom="916" w:left="1350" w:header="0" w:footer="727" w:gutter="0"/>
          <w:cols w:space="720" w:num="1"/>
        </w:sectPr>
      </w:pPr>
    </w:p>
    <w:p w14:paraId="0959F493">
      <w:pPr>
        <w:pStyle w:val="2"/>
        <w:spacing w:before="106" w:line="221" w:lineRule="auto"/>
        <w:ind w:left="659"/>
        <w:rPr>
          <w:sz w:val="20"/>
          <w:szCs w:val="20"/>
        </w:rPr>
      </w:pPr>
      <w:r>
        <w:rPr>
          <w:spacing w:val="-15"/>
          <w:sz w:val="20"/>
          <w:szCs w:val="20"/>
        </w:rPr>
        <w:t>第六章实验流行病学</w:t>
      </w:r>
    </w:p>
    <w:p w14:paraId="1C9BA42F">
      <w:pPr>
        <w:spacing w:line="276" w:lineRule="auto"/>
        <w:rPr>
          <w:rFonts w:ascii="Arial"/>
          <w:sz w:val="21"/>
        </w:rPr>
      </w:pPr>
    </w:p>
    <w:p w14:paraId="387FB59D">
      <w:pPr>
        <w:spacing w:line="276" w:lineRule="auto"/>
        <w:rPr>
          <w:rFonts w:ascii="Arial"/>
          <w:sz w:val="21"/>
        </w:rPr>
      </w:pPr>
    </w:p>
    <w:p w14:paraId="5F895D43">
      <w:pPr>
        <w:spacing w:before="65" w:line="219" w:lineRule="auto"/>
        <w:ind w:left="659"/>
        <w:rPr>
          <w:rFonts w:ascii="宋体" w:hAnsi="宋体" w:eastAsia="宋体" w:cs="宋体"/>
          <w:sz w:val="20"/>
          <w:szCs w:val="20"/>
        </w:rPr>
      </w:pPr>
      <w:r>
        <w:rPr>
          <w:rFonts w:ascii="宋体" w:hAnsi="宋体" w:eastAsia="宋体" w:cs="宋体"/>
          <w:spacing w:val="1"/>
          <w:sz w:val="20"/>
          <w:szCs w:val="20"/>
        </w:rPr>
        <w:t>一般不宜采用。</w:t>
      </w:r>
    </w:p>
    <w:p w14:paraId="3CD009F3">
      <w:pPr>
        <w:pStyle w:val="2"/>
        <w:spacing w:before="313" w:line="223" w:lineRule="auto"/>
        <w:ind w:left="1083"/>
        <w:outlineLvl w:val="2"/>
        <w:rPr>
          <w:sz w:val="25"/>
          <w:szCs w:val="25"/>
        </w:rPr>
      </w:pPr>
      <w:bookmarkStart w:id="173" w:name="bookmark457"/>
      <w:bookmarkEnd w:id="173"/>
      <w:bookmarkStart w:id="174" w:name="bookmark112"/>
      <w:bookmarkEnd w:id="174"/>
      <w:r>
        <w:rPr>
          <w:b/>
          <w:bCs/>
          <w:spacing w:val="-4"/>
          <w:sz w:val="25"/>
          <w:szCs w:val="25"/>
        </w:rPr>
        <w:t>七、盲法的应用</w:t>
      </w:r>
    </w:p>
    <w:p w14:paraId="2D8FE26A">
      <w:pPr>
        <w:spacing w:before="264" w:line="342" w:lineRule="auto"/>
        <w:ind w:left="659" w:right="92" w:firstLine="420"/>
        <w:jc w:val="both"/>
        <w:rPr>
          <w:rFonts w:ascii="宋体" w:hAnsi="宋体" w:eastAsia="宋体" w:cs="宋体"/>
          <w:sz w:val="20"/>
          <w:szCs w:val="20"/>
        </w:rPr>
      </w:pPr>
      <w:r>
        <w:rPr>
          <w:rFonts w:ascii="宋体" w:hAnsi="宋体" w:eastAsia="宋体" w:cs="宋体"/>
          <w:spacing w:val="8"/>
          <w:sz w:val="20"/>
          <w:szCs w:val="20"/>
        </w:rPr>
        <w:t>实验流行病学往往容易出现偏倚，这种偏倚可以来自研究对象</w:t>
      </w:r>
      <w:r>
        <w:rPr>
          <w:rFonts w:ascii="宋体" w:hAnsi="宋体" w:eastAsia="宋体" w:cs="宋体"/>
          <w:spacing w:val="7"/>
          <w:sz w:val="20"/>
          <w:szCs w:val="20"/>
        </w:rPr>
        <w:t>和研究者本人，可产生于设计</w:t>
      </w:r>
      <w:r>
        <w:rPr>
          <w:rFonts w:ascii="宋体" w:hAnsi="宋体" w:eastAsia="宋体" w:cs="宋体"/>
          <w:sz w:val="20"/>
          <w:szCs w:val="20"/>
        </w:rPr>
        <w:t xml:space="preserve"> </w:t>
      </w:r>
      <w:r>
        <w:rPr>
          <w:rFonts w:ascii="宋体" w:hAnsi="宋体" w:eastAsia="宋体" w:cs="宋体"/>
          <w:spacing w:val="-1"/>
          <w:sz w:val="20"/>
          <w:szCs w:val="20"/>
        </w:rPr>
        <w:t>阶段，也可来自资料收集或分析阶段。为避免偏倚，可采用盲法(blinding或</w:t>
      </w:r>
      <w:r>
        <w:rPr>
          <w:rFonts w:ascii="宋体" w:hAnsi="宋体" w:eastAsia="宋体" w:cs="宋体"/>
          <w:spacing w:val="-22"/>
          <w:sz w:val="20"/>
          <w:szCs w:val="20"/>
        </w:rPr>
        <w:t xml:space="preserve"> </w:t>
      </w:r>
      <w:r>
        <w:rPr>
          <w:rFonts w:ascii="宋体" w:hAnsi="宋体" w:eastAsia="宋体" w:cs="宋体"/>
          <w:spacing w:val="-1"/>
          <w:sz w:val="20"/>
          <w:szCs w:val="20"/>
        </w:rPr>
        <w:t>masking)。根据盲法程</w:t>
      </w:r>
      <w:r>
        <w:rPr>
          <w:rFonts w:ascii="宋体" w:hAnsi="宋体" w:eastAsia="宋体" w:cs="宋体"/>
          <w:sz w:val="20"/>
          <w:szCs w:val="20"/>
        </w:rPr>
        <w:t xml:space="preserve"> </w:t>
      </w:r>
      <w:r>
        <w:rPr>
          <w:rFonts w:ascii="宋体" w:hAnsi="宋体" w:eastAsia="宋体" w:cs="宋体"/>
          <w:spacing w:val="-1"/>
          <w:sz w:val="20"/>
          <w:szCs w:val="20"/>
        </w:rPr>
        <w:t>度，过去经常分为单盲</w:t>
      </w:r>
      <w:r>
        <w:rPr>
          <w:rFonts w:ascii="Times New Roman" w:hAnsi="Times New Roman" w:eastAsia="Times New Roman" w:cs="Times New Roman"/>
          <w:spacing w:val="-1"/>
          <w:sz w:val="20"/>
          <w:szCs w:val="20"/>
        </w:rPr>
        <w:t>(single   blind)</w:t>
      </w:r>
      <w:r>
        <w:rPr>
          <w:rFonts w:ascii="宋体" w:hAnsi="宋体" w:eastAsia="宋体" w:cs="宋体"/>
          <w:spacing w:val="-1"/>
          <w:sz w:val="20"/>
          <w:szCs w:val="20"/>
        </w:rPr>
        <w:t>、双</w:t>
      </w:r>
      <w:r>
        <w:rPr>
          <w:rFonts w:ascii="宋体" w:hAnsi="宋体" w:eastAsia="宋体" w:cs="宋体"/>
          <w:spacing w:val="-43"/>
          <w:sz w:val="20"/>
          <w:szCs w:val="20"/>
        </w:rPr>
        <w:t xml:space="preserve"> </w:t>
      </w:r>
      <w:r>
        <w:rPr>
          <w:rFonts w:ascii="宋体" w:hAnsi="宋体" w:eastAsia="宋体" w:cs="宋体"/>
          <w:spacing w:val="-1"/>
          <w:sz w:val="20"/>
          <w:szCs w:val="20"/>
        </w:rPr>
        <w:t>盲</w:t>
      </w:r>
      <w:r>
        <w:rPr>
          <w:rFonts w:ascii="Times New Roman" w:hAnsi="Times New Roman" w:eastAsia="Times New Roman" w:cs="Times New Roman"/>
          <w:spacing w:val="-1"/>
          <w:sz w:val="20"/>
          <w:szCs w:val="20"/>
        </w:rPr>
        <w:t>(double   blind)</w:t>
      </w:r>
      <w:r>
        <w:rPr>
          <w:rFonts w:ascii="宋体" w:hAnsi="宋体" w:eastAsia="宋体" w:cs="宋体"/>
          <w:spacing w:val="-1"/>
          <w:sz w:val="20"/>
          <w:szCs w:val="20"/>
        </w:rPr>
        <w:t>和三盲</w:t>
      </w:r>
      <w:r>
        <w:rPr>
          <w:rFonts w:ascii="Times New Roman" w:hAnsi="Times New Roman" w:eastAsia="Times New Roman" w:cs="Times New Roman"/>
          <w:spacing w:val="-1"/>
          <w:sz w:val="20"/>
          <w:szCs w:val="20"/>
        </w:rPr>
        <w:t>(t</w:t>
      </w:r>
      <w:r>
        <w:rPr>
          <w:rFonts w:ascii="Times New Roman" w:hAnsi="Times New Roman" w:eastAsia="Times New Roman" w:cs="Times New Roman"/>
          <w:spacing w:val="-2"/>
          <w:sz w:val="20"/>
          <w:szCs w:val="20"/>
        </w:rPr>
        <w:t>riple    blind)</w:t>
      </w:r>
      <w:r>
        <w:rPr>
          <w:rFonts w:ascii="宋体" w:hAnsi="宋体" w:eastAsia="宋体" w:cs="宋体"/>
          <w:spacing w:val="-2"/>
          <w:sz w:val="20"/>
          <w:szCs w:val="20"/>
        </w:rPr>
        <w:t>。单盲指研究对象不知</w:t>
      </w:r>
      <w:r>
        <w:rPr>
          <w:rFonts w:ascii="宋体" w:hAnsi="宋体" w:eastAsia="宋体" w:cs="宋体"/>
          <w:sz w:val="20"/>
          <w:szCs w:val="20"/>
        </w:rPr>
        <w:t xml:space="preserve"> </w:t>
      </w:r>
      <w:r>
        <w:rPr>
          <w:rFonts w:ascii="宋体" w:hAnsi="宋体" w:eastAsia="宋体" w:cs="宋体"/>
          <w:spacing w:val="8"/>
          <w:sz w:val="20"/>
          <w:szCs w:val="20"/>
        </w:rPr>
        <w:t>道自己是试验组还是对照组。双盲指研究对象和研究观察者都不了解试验分组情</w:t>
      </w:r>
      <w:r>
        <w:rPr>
          <w:rFonts w:ascii="宋体" w:hAnsi="宋体" w:eastAsia="宋体" w:cs="宋体"/>
          <w:spacing w:val="7"/>
          <w:sz w:val="20"/>
          <w:szCs w:val="20"/>
        </w:rPr>
        <w:t>况，而是由研究</w:t>
      </w:r>
      <w:r>
        <w:rPr>
          <w:rFonts w:ascii="宋体" w:hAnsi="宋体" w:eastAsia="宋体" w:cs="宋体"/>
          <w:sz w:val="20"/>
          <w:szCs w:val="20"/>
        </w:rPr>
        <w:t xml:space="preserve"> </w:t>
      </w:r>
      <w:r>
        <w:rPr>
          <w:rFonts w:ascii="宋体" w:hAnsi="宋体" w:eastAsia="宋体" w:cs="宋体"/>
          <w:spacing w:val="8"/>
          <w:sz w:val="20"/>
          <w:szCs w:val="20"/>
        </w:rPr>
        <w:t>设计者来安排和控制全部试验。三盲指不但研究者和研究对象不了解分组情况，而且负责资料收</w:t>
      </w:r>
      <w:r>
        <w:rPr>
          <w:rFonts w:ascii="宋体" w:hAnsi="宋体" w:eastAsia="宋体" w:cs="宋体"/>
          <w:spacing w:val="11"/>
          <w:sz w:val="20"/>
          <w:szCs w:val="20"/>
        </w:rPr>
        <w:t xml:space="preserve"> </w:t>
      </w:r>
      <w:r>
        <w:rPr>
          <w:rFonts w:ascii="宋体" w:hAnsi="宋体" w:eastAsia="宋体" w:cs="宋体"/>
          <w:spacing w:val="1"/>
          <w:sz w:val="20"/>
          <w:szCs w:val="20"/>
        </w:rPr>
        <w:t>集和分析的人员也不了解分组情况，从而较好地避免了偏倚。</w:t>
      </w:r>
    </w:p>
    <w:p w14:paraId="231CF8B2">
      <w:pPr>
        <w:spacing w:line="337" w:lineRule="auto"/>
        <w:ind w:left="659" w:right="111" w:firstLine="420"/>
        <w:rPr>
          <w:rFonts w:ascii="宋体" w:hAnsi="宋体" w:eastAsia="宋体" w:cs="宋体"/>
          <w:sz w:val="20"/>
          <w:szCs w:val="20"/>
        </w:rPr>
      </w:pPr>
      <w:r>
        <w:rPr>
          <w:rFonts w:ascii="宋体" w:hAnsi="宋体" w:eastAsia="宋体" w:cs="宋体"/>
          <w:spacing w:val="5"/>
          <w:sz w:val="20"/>
          <w:szCs w:val="20"/>
        </w:rPr>
        <w:t>目前在临床试验中盲法至少分为如下四个层次，而不是单纯使用单盲(病人)和双盲(病人</w:t>
      </w:r>
      <w:r>
        <w:rPr>
          <w:rFonts w:ascii="宋体" w:hAnsi="宋体" w:eastAsia="宋体" w:cs="宋体"/>
          <w:spacing w:val="4"/>
          <w:sz w:val="20"/>
          <w:szCs w:val="20"/>
        </w:rPr>
        <w:t>及研</w:t>
      </w:r>
      <w:r>
        <w:rPr>
          <w:rFonts w:ascii="宋体" w:hAnsi="宋体" w:eastAsia="宋体" w:cs="宋体"/>
          <w:sz w:val="20"/>
          <w:szCs w:val="20"/>
        </w:rPr>
        <w:t xml:space="preserve"> </w:t>
      </w:r>
      <w:r>
        <w:rPr>
          <w:rFonts w:ascii="宋体" w:hAnsi="宋体" w:eastAsia="宋体" w:cs="宋体"/>
          <w:spacing w:val="5"/>
          <w:sz w:val="20"/>
          <w:szCs w:val="20"/>
        </w:rPr>
        <w:t>究者)等字眼来描述。</w:t>
      </w:r>
    </w:p>
    <w:p w14:paraId="0D69FCB1">
      <w:pPr>
        <w:spacing w:before="2" w:line="289" w:lineRule="auto"/>
        <w:ind w:left="659" w:right="108" w:firstLine="420"/>
        <w:rPr>
          <w:rFonts w:ascii="宋体" w:hAnsi="宋体" w:eastAsia="宋体" w:cs="宋体"/>
          <w:sz w:val="20"/>
          <w:szCs w:val="20"/>
        </w:rPr>
      </w:pPr>
      <w:r>
        <w:rPr>
          <w:rFonts w:ascii="宋体" w:hAnsi="宋体" w:eastAsia="宋体" w:cs="宋体"/>
          <w:spacing w:val="6"/>
          <w:sz w:val="20"/>
          <w:szCs w:val="20"/>
        </w:rPr>
        <w:t>1.</w:t>
      </w:r>
      <w:r>
        <w:rPr>
          <w:rFonts w:ascii="宋体" w:hAnsi="宋体" w:eastAsia="宋体" w:cs="宋体"/>
          <w:spacing w:val="-36"/>
          <w:sz w:val="20"/>
          <w:szCs w:val="20"/>
        </w:rPr>
        <w:t xml:space="preserve"> </w:t>
      </w:r>
      <w:r>
        <w:rPr>
          <w:rFonts w:ascii="宋体" w:hAnsi="宋体" w:eastAsia="宋体" w:cs="宋体"/>
          <w:spacing w:val="6"/>
          <w:sz w:val="20"/>
          <w:szCs w:val="20"/>
        </w:rPr>
        <w:t>负责分配病人到治疗组的人不知道病人接受什么治疗，才不会依照自己的意愿而是按顺序</w:t>
      </w:r>
      <w:r>
        <w:rPr>
          <w:rFonts w:ascii="宋体" w:hAnsi="宋体" w:eastAsia="宋体" w:cs="宋体"/>
          <w:sz w:val="20"/>
          <w:szCs w:val="20"/>
        </w:rPr>
        <w:t xml:space="preserve"> </w:t>
      </w:r>
      <w:r>
        <w:rPr>
          <w:rFonts w:ascii="宋体" w:hAnsi="宋体" w:eastAsia="宋体" w:cs="宋体"/>
          <w:spacing w:val="4"/>
          <w:sz w:val="20"/>
          <w:szCs w:val="20"/>
        </w:rPr>
        <w:t>将病人选人试验。</w:t>
      </w:r>
    </w:p>
    <w:p w14:paraId="493811EF">
      <w:pPr>
        <w:spacing w:before="141" w:line="218" w:lineRule="auto"/>
        <w:ind w:left="1080"/>
        <w:rPr>
          <w:rFonts w:ascii="宋体" w:hAnsi="宋体" w:eastAsia="宋体" w:cs="宋体"/>
          <w:sz w:val="20"/>
          <w:szCs w:val="20"/>
        </w:rPr>
      </w:pPr>
      <w:r>
        <w:rPr>
          <w:rFonts w:ascii="宋体" w:hAnsi="宋体" w:eastAsia="宋体" w:cs="宋体"/>
          <w:spacing w:val="2"/>
          <w:sz w:val="20"/>
          <w:szCs w:val="20"/>
        </w:rPr>
        <w:t>2.</w:t>
      </w:r>
      <w:r>
        <w:rPr>
          <w:rFonts w:ascii="宋体" w:hAnsi="宋体" w:eastAsia="宋体" w:cs="宋体"/>
          <w:spacing w:val="-12"/>
          <w:sz w:val="20"/>
          <w:szCs w:val="20"/>
        </w:rPr>
        <w:t xml:space="preserve"> </w:t>
      </w:r>
      <w:r>
        <w:rPr>
          <w:rFonts w:ascii="宋体" w:hAnsi="宋体" w:eastAsia="宋体" w:cs="宋体"/>
          <w:spacing w:val="2"/>
          <w:sz w:val="20"/>
          <w:szCs w:val="20"/>
        </w:rPr>
        <w:t>病人本身也不应该知道自己接受什么治疗，才不会改变自己的依从性或对症状的报告。</w:t>
      </w:r>
    </w:p>
    <w:p w14:paraId="3D8CFA9F">
      <w:pPr>
        <w:spacing w:before="124" w:line="286" w:lineRule="auto"/>
        <w:ind w:left="659" w:right="88" w:firstLine="420"/>
        <w:rPr>
          <w:rFonts w:ascii="宋体" w:hAnsi="宋体" w:eastAsia="宋体" w:cs="宋体"/>
          <w:sz w:val="20"/>
          <w:szCs w:val="20"/>
        </w:rPr>
      </w:pPr>
      <w:r>
        <w:rPr>
          <w:rFonts w:ascii="宋体" w:hAnsi="宋体" w:eastAsia="宋体" w:cs="宋体"/>
          <w:spacing w:val="9"/>
          <w:sz w:val="20"/>
          <w:szCs w:val="20"/>
        </w:rPr>
        <w:t>3.</w:t>
      </w:r>
      <w:r>
        <w:rPr>
          <w:rFonts w:ascii="宋体" w:hAnsi="宋体" w:eastAsia="宋体" w:cs="宋体"/>
          <w:spacing w:val="-28"/>
          <w:sz w:val="20"/>
          <w:szCs w:val="20"/>
        </w:rPr>
        <w:t xml:space="preserve"> </w:t>
      </w:r>
      <w:r>
        <w:rPr>
          <w:rFonts w:ascii="宋体" w:hAnsi="宋体" w:eastAsia="宋体" w:cs="宋体"/>
          <w:spacing w:val="9"/>
          <w:sz w:val="20"/>
          <w:szCs w:val="20"/>
        </w:rPr>
        <w:t>在研究中照顾病人的医师也不知道每个病人接受什么治疗，才不会</w:t>
      </w:r>
      <w:r>
        <w:rPr>
          <w:rFonts w:ascii="宋体" w:hAnsi="宋体" w:eastAsia="宋体" w:cs="宋体"/>
          <w:spacing w:val="8"/>
          <w:sz w:val="20"/>
          <w:szCs w:val="20"/>
        </w:rPr>
        <w:t>对他们(可能是潜意识</w:t>
      </w:r>
      <w:r>
        <w:rPr>
          <w:rFonts w:ascii="宋体" w:hAnsi="宋体" w:eastAsia="宋体" w:cs="宋体"/>
          <w:sz w:val="20"/>
          <w:szCs w:val="20"/>
        </w:rPr>
        <w:t xml:space="preserve"> </w:t>
      </w:r>
      <w:r>
        <w:rPr>
          <w:rFonts w:ascii="宋体" w:hAnsi="宋体" w:eastAsia="宋体" w:cs="宋体"/>
          <w:spacing w:val="7"/>
          <w:sz w:val="20"/>
          <w:szCs w:val="20"/>
        </w:rPr>
        <w:t>地)作不同的处理。</w:t>
      </w:r>
    </w:p>
    <w:p w14:paraId="220826D9">
      <w:pPr>
        <w:spacing w:before="120" w:line="218" w:lineRule="auto"/>
        <w:ind w:left="1080"/>
        <w:rPr>
          <w:rFonts w:ascii="宋体" w:hAnsi="宋体" w:eastAsia="宋体" w:cs="宋体"/>
          <w:sz w:val="20"/>
          <w:szCs w:val="20"/>
        </w:rPr>
      </w:pPr>
      <w:r>
        <w:rPr>
          <w:rFonts w:ascii="宋体" w:hAnsi="宋体" w:eastAsia="宋体" w:cs="宋体"/>
          <w:spacing w:val="2"/>
          <w:sz w:val="20"/>
          <w:szCs w:val="20"/>
        </w:rPr>
        <w:t>4.</w:t>
      </w:r>
      <w:r>
        <w:rPr>
          <w:rFonts w:ascii="宋体" w:hAnsi="宋体" w:eastAsia="宋体" w:cs="宋体"/>
          <w:spacing w:val="-53"/>
          <w:sz w:val="20"/>
          <w:szCs w:val="20"/>
        </w:rPr>
        <w:t xml:space="preserve"> </w:t>
      </w:r>
      <w:r>
        <w:rPr>
          <w:rFonts w:ascii="宋体" w:hAnsi="宋体" w:eastAsia="宋体" w:cs="宋体"/>
          <w:spacing w:val="2"/>
          <w:sz w:val="20"/>
          <w:szCs w:val="20"/>
        </w:rPr>
        <w:t>研究者在评价结果时无法区别谁是治疗组，这样才不会影响测量。</w:t>
      </w:r>
    </w:p>
    <w:p w14:paraId="3AFE52F9">
      <w:pPr>
        <w:spacing w:before="131" w:line="339" w:lineRule="auto"/>
        <w:ind w:left="659" w:right="40" w:firstLine="420"/>
        <w:jc w:val="both"/>
        <w:rPr>
          <w:rFonts w:ascii="宋体" w:hAnsi="宋体" w:eastAsia="宋体" w:cs="宋体"/>
          <w:sz w:val="20"/>
          <w:szCs w:val="20"/>
        </w:rPr>
      </w:pPr>
      <w:r>
        <w:rPr>
          <w:rFonts w:ascii="宋体" w:hAnsi="宋体" w:eastAsia="宋体" w:cs="宋体"/>
          <w:spacing w:val="5"/>
          <w:sz w:val="20"/>
          <w:szCs w:val="20"/>
        </w:rPr>
        <w:t>未用盲法的试验，称为开放性试验</w:t>
      </w:r>
      <w:r>
        <w:rPr>
          <w:rFonts w:ascii="Times New Roman" w:hAnsi="Times New Roman" w:eastAsia="Times New Roman" w:cs="Times New Roman"/>
          <w:spacing w:val="5"/>
          <w:sz w:val="20"/>
          <w:szCs w:val="20"/>
        </w:rPr>
        <w:t>(</w:t>
      </w:r>
      <w:r>
        <w:rPr>
          <w:rFonts w:ascii="Times New Roman" w:hAnsi="Times New Roman" w:eastAsia="Times New Roman" w:cs="Times New Roman"/>
          <w:sz w:val="20"/>
          <w:szCs w:val="20"/>
        </w:rPr>
        <w:t>open</w:t>
      </w:r>
      <w:r>
        <w:rPr>
          <w:rFonts w:ascii="Times New Roman" w:hAnsi="Times New Roman" w:eastAsia="Times New Roman" w:cs="Times New Roman"/>
          <w:spacing w:val="5"/>
          <w:sz w:val="20"/>
          <w:szCs w:val="20"/>
        </w:rPr>
        <w:t xml:space="preserve">    </w:t>
      </w:r>
      <w:r>
        <w:rPr>
          <w:rFonts w:ascii="Times New Roman" w:hAnsi="Times New Roman" w:eastAsia="Times New Roman" w:cs="Times New Roman"/>
          <w:sz w:val="20"/>
          <w:szCs w:val="20"/>
        </w:rPr>
        <w:t>trial</w:t>
      </w:r>
      <w:r>
        <w:rPr>
          <w:rFonts w:ascii="Times New Roman" w:hAnsi="Times New Roman" w:eastAsia="Times New Roman" w:cs="Times New Roman"/>
          <w:spacing w:val="5"/>
          <w:sz w:val="20"/>
          <w:szCs w:val="20"/>
        </w:rPr>
        <w:t>),</w:t>
      </w:r>
      <w:r>
        <w:rPr>
          <w:rFonts w:ascii="宋体" w:hAnsi="宋体" w:eastAsia="宋体" w:cs="宋体"/>
          <w:spacing w:val="5"/>
          <w:sz w:val="20"/>
          <w:szCs w:val="20"/>
        </w:rPr>
        <w:t>即研究对象和研究者均知道试验组和对照组的</w:t>
      </w:r>
      <w:r>
        <w:rPr>
          <w:rFonts w:ascii="宋体" w:hAnsi="宋体" w:eastAsia="宋体" w:cs="宋体"/>
          <w:spacing w:val="10"/>
          <w:sz w:val="20"/>
          <w:szCs w:val="20"/>
        </w:rPr>
        <w:t xml:space="preserve"> </w:t>
      </w:r>
      <w:r>
        <w:rPr>
          <w:rFonts w:ascii="宋体" w:hAnsi="宋体" w:eastAsia="宋体" w:cs="宋体"/>
          <w:spacing w:val="-1"/>
          <w:sz w:val="20"/>
          <w:szCs w:val="20"/>
        </w:rPr>
        <w:t>分组情况，试验公开进行。这多适用于有客观观察指标的临床试验，例如，关</w:t>
      </w:r>
      <w:r>
        <w:rPr>
          <w:rFonts w:ascii="宋体" w:hAnsi="宋体" w:eastAsia="宋体" w:cs="宋体"/>
          <w:spacing w:val="-2"/>
          <w:sz w:val="20"/>
          <w:szCs w:val="20"/>
        </w:rPr>
        <w:t>于外科手术、改变生活</w:t>
      </w:r>
      <w:r>
        <w:rPr>
          <w:rFonts w:ascii="宋体" w:hAnsi="宋体" w:eastAsia="宋体" w:cs="宋体"/>
          <w:sz w:val="20"/>
          <w:szCs w:val="20"/>
        </w:rPr>
        <w:t xml:space="preserve"> 习惯(包括饮食、锻炼、吸烟等)的干预效果的观察。其优点是易设计和实施，研究者了解分组情况， </w:t>
      </w:r>
      <w:r>
        <w:rPr>
          <w:rFonts w:ascii="宋体" w:hAnsi="宋体" w:eastAsia="宋体" w:cs="宋体"/>
          <w:spacing w:val="2"/>
          <w:sz w:val="20"/>
          <w:szCs w:val="20"/>
        </w:rPr>
        <w:t>便于对研究对象及时作出处理；其主要缺点是容易产生偏倚。</w:t>
      </w:r>
    </w:p>
    <w:p w14:paraId="6A53098F">
      <w:pPr>
        <w:pStyle w:val="2"/>
        <w:spacing w:before="222" w:line="221" w:lineRule="auto"/>
        <w:ind w:left="1083"/>
        <w:outlineLvl w:val="2"/>
        <w:rPr>
          <w:sz w:val="25"/>
          <w:szCs w:val="25"/>
        </w:rPr>
      </w:pPr>
      <w:bookmarkStart w:id="175" w:name="bookmark113"/>
      <w:bookmarkEnd w:id="175"/>
      <w:r>
        <w:rPr>
          <w:b/>
          <w:bCs/>
          <w:spacing w:val="-6"/>
          <w:sz w:val="25"/>
          <w:szCs w:val="25"/>
        </w:rPr>
        <w:t>八、确定结局变量及其测量方法</w:t>
      </w:r>
    </w:p>
    <w:p w14:paraId="61995A64">
      <w:pPr>
        <w:spacing w:before="258" w:line="344" w:lineRule="auto"/>
        <w:ind w:left="659" w:firstLine="420"/>
        <w:jc w:val="both"/>
        <w:rPr>
          <w:rFonts w:ascii="宋体" w:hAnsi="宋体" w:eastAsia="宋体" w:cs="宋体"/>
          <w:sz w:val="20"/>
          <w:szCs w:val="20"/>
        </w:rPr>
      </w:pPr>
      <w:r>
        <w:rPr>
          <w:rFonts w:ascii="宋体" w:hAnsi="宋体" w:eastAsia="宋体" w:cs="宋体"/>
          <w:spacing w:val="3"/>
          <w:sz w:val="20"/>
          <w:szCs w:val="20"/>
        </w:rPr>
        <w:t>实验流行病学研究的效应是以结局变量</w:t>
      </w:r>
      <w:r>
        <w:rPr>
          <w:rFonts w:ascii="Times New Roman" w:hAnsi="Times New Roman" w:eastAsia="Times New Roman" w:cs="Times New Roman"/>
          <w:spacing w:val="3"/>
          <w:sz w:val="20"/>
          <w:szCs w:val="20"/>
        </w:rPr>
        <w:t>(</w:t>
      </w:r>
      <w:r>
        <w:rPr>
          <w:rFonts w:ascii="Times New Roman" w:hAnsi="Times New Roman" w:eastAsia="Times New Roman" w:cs="Times New Roman"/>
          <w:sz w:val="20"/>
          <w:szCs w:val="20"/>
        </w:rPr>
        <w:t>outcome</w:t>
      </w:r>
      <w:r>
        <w:rPr>
          <w:rFonts w:ascii="Times New Roman" w:hAnsi="Times New Roman" w:eastAsia="Times New Roman" w:cs="Times New Roman"/>
          <w:spacing w:val="29"/>
          <w:w w:val="101"/>
          <w:sz w:val="20"/>
          <w:szCs w:val="20"/>
        </w:rPr>
        <w:t xml:space="preserve">  </w:t>
      </w:r>
      <w:r>
        <w:rPr>
          <w:rFonts w:ascii="Times New Roman" w:hAnsi="Times New Roman" w:eastAsia="Times New Roman" w:cs="Times New Roman"/>
          <w:sz w:val="20"/>
          <w:szCs w:val="20"/>
        </w:rPr>
        <w:t>variable</w:t>
      </w:r>
      <w:r>
        <w:rPr>
          <w:rFonts w:ascii="Times New Roman" w:hAnsi="Times New Roman" w:eastAsia="Times New Roman" w:cs="Times New Roman"/>
          <w:spacing w:val="3"/>
          <w:sz w:val="20"/>
          <w:szCs w:val="20"/>
        </w:rPr>
        <w:t>)</w:t>
      </w:r>
      <w:r>
        <w:rPr>
          <w:rFonts w:ascii="宋体" w:hAnsi="宋体" w:eastAsia="宋体" w:cs="宋体"/>
          <w:spacing w:val="3"/>
          <w:sz w:val="20"/>
          <w:szCs w:val="20"/>
        </w:rPr>
        <w:t>来衡量的，在研究设计时就要明确主</w:t>
      </w:r>
      <w:r>
        <w:rPr>
          <w:rFonts w:ascii="宋体" w:hAnsi="宋体" w:eastAsia="宋体" w:cs="宋体"/>
          <w:sz w:val="20"/>
          <w:szCs w:val="20"/>
        </w:rPr>
        <w:t xml:space="preserve">  </w:t>
      </w:r>
      <w:r>
        <w:rPr>
          <w:rFonts w:ascii="宋体" w:hAnsi="宋体" w:eastAsia="宋体" w:cs="宋体"/>
          <w:spacing w:val="5"/>
          <w:sz w:val="20"/>
          <w:szCs w:val="20"/>
        </w:rPr>
        <w:t>要结局</w:t>
      </w:r>
      <w:r>
        <w:rPr>
          <w:rFonts w:ascii="Times New Roman" w:hAnsi="Times New Roman" w:eastAsia="Times New Roman" w:cs="Times New Roman"/>
          <w:spacing w:val="5"/>
          <w:sz w:val="20"/>
          <w:szCs w:val="20"/>
        </w:rPr>
        <w:t>(</w:t>
      </w:r>
      <w:r>
        <w:rPr>
          <w:rFonts w:ascii="Times New Roman" w:hAnsi="Times New Roman" w:eastAsia="Times New Roman" w:cs="Times New Roman"/>
          <w:sz w:val="20"/>
          <w:szCs w:val="20"/>
        </w:rPr>
        <w:t>primary</w:t>
      </w:r>
      <w:r>
        <w:rPr>
          <w:rFonts w:ascii="Times New Roman" w:hAnsi="Times New Roman" w:eastAsia="Times New Roman" w:cs="Times New Roman"/>
          <w:spacing w:val="24"/>
          <w:w w:val="101"/>
          <w:sz w:val="20"/>
          <w:szCs w:val="20"/>
        </w:rPr>
        <w:t xml:space="preserve">  </w:t>
      </w:r>
      <w:r>
        <w:rPr>
          <w:rFonts w:ascii="Times New Roman" w:hAnsi="Times New Roman" w:eastAsia="Times New Roman" w:cs="Times New Roman"/>
          <w:sz w:val="20"/>
          <w:szCs w:val="20"/>
        </w:rPr>
        <w:t>outcome</w:t>
      </w:r>
      <w:r>
        <w:rPr>
          <w:rFonts w:ascii="Times New Roman" w:hAnsi="Times New Roman" w:eastAsia="Times New Roman" w:cs="Times New Roman"/>
          <w:spacing w:val="5"/>
          <w:sz w:val="20"/>
          <w:szCs w:val="20"/>
        </w:rPr>
        <w:t>)</w:t>
      </w:r>
      <w:r>
        <w:rPr>
          <w:rFonts w:ascii="宋体" w:hAnsi="宋体" w:eastAsia="宋体" w:cs="宋体"/>
          <w:spacing w:val="5"/>
          <w:sz w:val="20"/>
          <w:szCs w:val="20"/>
        </w:rPr>
        <w:t>和次要结局</w:t>
      </w:r>
      <w:r>
        <w:rPr>
          <w:rFonts w:ascii="Times New Roman" w:hAnsi="Times New Roman" w:eastAsia="Times New Roman" w:cs="Times New Roman"/>
          <w:spacing w:val="5"/>
          <w:sz w:val="20"/>
          <w:szCs w:val="20"/>
        </w:rPr>
        <w:t>(</w:t>
      </w:r>
      <w:r>
        <w:rPr>
          <w:rFonts w:ascii="Times New Roman" w:hAnsi="Times New Roman" w:eastAsia="Times New Roman" w:cs="Times New Roman"/>
          <w:sz w:val="20"/>
          <w:szCs w:val="20"/>
        </w:rPr>
        <w:t>secondary</w:t>
      </w:r>
      <w:r>
        <w:rPr>
          <w:rFonts w:ascii="Times New Roman" w:hAnsi="Times New Roman" w:eastAsia="Times New Roman" w:cs="Times New Roman"/>
          <w:spacing w:val="5"/>
          <w:sz w:val="20"/>
          <w:szCs w:val="20"/>
        </w:rPr>
        <w:t xml:space="preserve">   </w:t>
      </w:r>
      <w:r>
        <w:rPr>
          <w:rFonts w:ascii="Times New Roman" w:hAnsi="Times New Roman" w:eastAsia="Times New Roman" w:cs="Times New Roman"/>
          <w:sz w:val="20"/>
          <w:szCs w:val="20"/>
        </w:rPr>
        <w:t>outcome</w:t>
      </w:r>
      <w:r>
        <w:rPr>
          <w:rFonts w:ascii="Times New Roman" w:hAnsi="Times New Roman" w:eastAsia="Times New Roman" w:cs="Times New Roman"/>
          <w:spacing w:val="5"/>
          <w:sz w:val="20"/>
          <w:szCs w:val="20"/>
        </w:rPr>
        <w:t>)</w:t>
      </w:r>
      <w:r>
        <w:rPr>
          <w:rFonts w:ascii="宋体" w:hAnsi="宋体" w:eastAsia="宋体" w:cs="宋体"/>
          <w:spacing w:val="5"/>
          <w:sz w:val="20"/>
          <w:szCs w:val="20"/>
        </w:rPr>
        <w:t>的具体测量指标。主要结局指</w:t>
      </w:r>
      <w:r>
        <w:rPr>
          <w:rFonts w:ascii="宋体" w:hAnsi="宋体" w:eastAsia="宋体" w:cs="宋体"/>
          <w:spacing w:val="4"/>
          <w:sz w:val="20"/>
          <w:szCs w:val="20"/>
        </w:rPr>
        <w:t>标最好选择</w:t>
      </w:r>
      <w:r>
        <w:rPr>
          <w:rFonts w:ascii="宋体" w:hAnsi="宋体" w:eastAsia="宋体" w:cs="宋体"/>
          <w:sz w:val="20"/>
          <w:szCs w:val="20"/>
        </w:rPr>
        <w:t xml:space="preserve">  </w:t>
      </w:r>
      <w:r>
        <w:rPr>
          <w:rFonts w:ascii="宋体" w:hAnsi="宋体" w:eastAsia="宋体" w:cs="宋体"/>
          <w:spacing w:val="7"/>
          <w:sz w:val="20"/>
          <w:szCs w:val="20"/>
        </w:rPr>
        <w:t>能够预测(疾病)临床结局的主要终点(</w:t>
      </w:r>
      <w:r>
        <w:rPr>
          <w:rFonts w:ascii="宋体" w:hAnsi="宋体" w:eastAsia="宋体" w:cs="宋体"/>
          <w:sz w:val="20"/>
          <w:szCs w:val="20"/>
        </w:rPr>
        <w:t>primary</w:t>
      </w:r>
      <w:r>
        <w:rPr>
          <w:rFonts w:ascii="宋体" w:hAnsi="宋体" w:eastAsia="宋体" w:cs="宋体"/>
          <w:spacing w:val="7"/>
          <w:sz w:val="20"/>
          <w:szCs w:val="20"/>
        </w:rPr>
        <w:t xml:space="preserve"> </w:t>
      </w:r>
      <w:r>
        <w:rPr>
          <w:rFonts w:ascii="宋体" w:hAnsi="宋体" w:eastAsia="宋体" w:cs="宋体"/>
          <w:sz w:val="20"/>
          <w:szCs w:val="20"/>
        </w:rPr>
        <w:t>endpoint</w:t>
      </w:r>
      <w:r>
        <w:rPr>
          <w:rFonts w:ascii="宋体" w:hAnsi="宋体" w:eastAsia="宋体" w:cs="宋体"/>
          <w:spacing w:val="7"/>
          <w:sz w:val="20"/>
          <w:szCs w:val="20"/>
        </w:rPr>
        <w:t>),</w:t>
      </w:r>
      <w:r>
        <w:rPr>
          <w:rFonts w:ascii="宋体" w:hAnsi="宋体" w:eastAsia="宋体" w:cs="宋体"/>
          <w:spacing w:val="6"/>
          <w:sz w:val="20"/>
          <w:szCs w:val="20"/>
        </w:rPr>
        <w:t>比如脑卒中临床试验的主要终点是致残</w:t>
      </w:r>
      <w:r>
        <w:rPr>
          <w:rFonts w:ascii="宋体" w:hAnsi="宋体" w:eastAsia="宋体" w:cs="宋体"/>
          <w:sz w:val="20"/>
          <w:szCs w:val="20"/>
        </w:rPr>
        <w:t xml:space="preserve">  </w:t>
      </w:r>
      <w:r>
        <w:rPr>
          <w:rFonts w:ascii="宋体" w:hAnsi="宋体" w:eastAsia="宋体" w:cs="宋体"/>
          <w:spacing w:val="6"/>
          <w:sz w:val="20"/>
          <w:szCs w:val="20"/>
        </w:rPr>
        <w:t>率、死亡率，这样可以更好地评价干预措施的效果。但</w:t>
      </w:r>
      <w:r>
        <w:rPr>
          <w:rFonts w:ascii="宋体" w:hAnsi="宋体" w:eastAsia="宋体" w:cs="宋体"/>
          <w:spacing w:val="5"/>
          <w:sz w:val="20"/>
          <w:szCs w:val="20"/>
        </w:rPr>
        <w:t>主要终点的获得通常需要更长的观察时间、</w:t>
      </w:r>
      <w:r>
        <w:rPr>
          <w:rFonts w:ascii="宋体" w:hAnsi="宋体" w:eastAsia="宋体" w:cs="宋体"/>
          <w:sz w:val="20"/>
          <w:szCs w:val="20"/>
        </w:rPr>
        <w:t xml:space="preserve"> </w:t>
      </w:r>
      <w:r>
        <w:rPr>
          <w:rFonts w:ascii="宋体" w:hAnsi="宋体" w:eastAsia="宋体" w:cs="宋体"/>
          <w:spacing w:val="3"/>
          <w:sz w:val="20"/>
          <w:szCs w:val="20"/>
        </w:rPr>
        <w:t>更大的样本量和更多的耗费，故临床研究也会考虑一些替代/次要终点</w:t>
      </w:r>
      <w:r>
        <w:rPr>
          <w:rFonts w:ascii="Times New Roman" w:hAnsi="Times New Roman" w:eastAsia="Times New Roman" w:cs="Times New Roman"/>
          <w:spacing w:val="3"/>
          <w:sz w:val="20"/>
          <w:szCs w:val="20"/>
        </w:rPr>
        <w:t>(</w:t>
      </w:r>
      <w:r>
        <w:rPr>
          <w:rFonts w:ascii="Times New Roman" w:hAnsi="Times New Roman" w:eastAsia="Times New Roman" w:cs="Times New Roman"/>
          <w:sz w:val="20"/>
          <w:szCs w:val="20"/>
        </w:rPr>
        <w:t>surrogate</w:t>
      </w:r>
      <w:r>
        <w:rPr>
          <w:rFonts w:ascii="Times New Roman" w:hAnsi="Times New Roman" w:eastAsia="Times New Roman" w:cs="Times New Roman"/>
          <w:spacing w:val="3"/>
          <w:sz w:val="20"/>
          <w:szCs w:val="20"/>
        </w:rPr>
        <w:t xml:space="preserve">   </w:t>
      </w:r>
      <w:r>
        <w:rPr>
          <w:rFonts w:ascii="Times New Roman" w:hAnsi="Times New Roman" w:eastAsia="Times New Roman" w:cs="Times New Roman"/>
          <w:sz w:val="20"/>
          <w:szCs w:val="20"/>
        </w:rPr>
        <w:t>endpoint</w:t>
      </w:r>
      <w:r>
        <w:rPr>
          <w:rFonts w:ascii="Times New Roman" w:hAnsi="Times New Roman" w:eastAsia="Times New Roman" w:cs="Times New Roman"/>
          <w:spacing w:val="3"/>
          <w:sz w:val="20"/>
          <w:szCs w:val="20"/>
        </w:rPr>
        <w:t>,</w:t>
      </w:r>
      <w:r>
        <w:rPr>
          <w:rFonts w:ascii="Times New Roman" w:hAnsi="Times New Roman" w:eastAsia="Times New Roman" w:cs="Times New Roman"/>
          <w:sz w:val="20"/>
          <w:szCs w:val="20"/>
        </w:rPr>
        <w:t>secondary</w:t>
      </w:r>
      <w:r>
        <w:rPr>
          <w:rFonts w:ascii="Times New Roman" w:hAnsi="Times New Roman" w:eastAsia="Times New Roman" w:cs="Times New Roman"/>
          <w:spacing w:val="3"/>
          <w:sz w:val="20"/>
          <w:szCs w:val="20"/>
        </w:rPr>
        <w:t xml:space="preserve">   </w:t>
      </w:r>
      <w:r>
        <w:rPr>
          <w:rFonts w:ascii="Times New Roman" w:hAnsi="Times New Roman" w:eastAsia="Times New Roman" w:cs="Times New Roman"/>
          <w:sz w:val="20"/>
          <w:szCs w:val="20"/>
        </w:rPr>
        <w:t>endpoint</w:t>
      </w:r>
      <w:r>
        <w:rPr>
          <w:rFonts w:ascii="Times New Roman" w:hAnsi="Times New Roman" w:eastAsia="Times New Roman" w:cs="Times New Roman"/>
          <w:spacing w:val="9"/>
          <w:sz w:val="20"/>
          <w:szCs w:val="20"/>
        </w:rPr>
        <w:t>),</w:t>
      </w:r>
      <w:r>
        <w:rPr>
          <w:rFonts w:ascii="Times New Roman" w:hAnsi="Times New Roman" w:eastAsia="Times New Roman" w:cs="Times New Roman"/>
          <w:spacing w:val="4"/>
          <w:sz w:val="20"/>
          <w:szCs w:val="20"/>
        </w:rPr>
        <w:t xml:space="preserve">   </w:t>
      </w:r>
      <w:r>
        <w:rPr>
          <w:rFonts w:ascii="宋体" w:hAnsi="宋体" w:eastAsia="宋体" w:cs="宋体"/>
          <w:spacing w:val="9"/>
          <w:sz w:val="20"/>
          <w:szCs w:val="20"/>
        </w:rPr>
        <w:t>如神经功能缺损程度积分等。结局变量的选择要视研究目的而定，主要结局指标为1~</w:t>
      </w:r>
      <w:r>
        <w:rPr>
          <w:rFonts w:ascii="宋体" w:hAnsi="宋体" w:eastAsia="宋体" w:cs="宋体"/>
          <w:sz w:val="20"/>
          <w:szCs w:val="20"/>
        </w:rPr>
        <w:t xml:space="preserve">  </w:t>
      </w:r>
      <w:r>
        <w:rPr>
          <w:rFonts w:ascii="宋体" w:hAnsi="宋体" w:eastAsia="宋体" w:cs="宋体"/>
          <w:spacing w:val="6"/>
          <w:sz w:val="20"/>
          <w:szCs w:val="20"/>
        </w:rPr>
        <w:t>2个，次要结局指标可以多一些。但样本量的估算要以主要结局指标为准</w:t>
      </w:r>
      <w:r>
        <w:rPr>
          <w:rFonts w:ascii="宋体" w:hAnsi="宋体" w:eastAsia="宋体" w:cs="宋体"/>
          <w:spacing w:val="5"/>
          <w:sz w:val="20"/>
          <w:szCs w:val="20"/>
        </w:rPr>
        <w:t>。选择结局变量时还要规</w:t>
      </w:r>
      <w:r>
        <w:rPr>
          <w:rFonts w:ascii="宋体" w:hAnsi="宋体" w:eastAsia="宋体" w:cs="宋体"/>
          <w:sz w:val="20"/>
          <w:szCs w:val="20"/>
        </w:rPr>
        <w:t xml:space="preserve">  </w:t>
      </w:r>
      <w:r>
        <w:rPr>
          <w:rFonts w:ascii="宋体" w:hAnsi="宋体" w:eastAsia="宋体" w:cs="宋体"/>
          <w:spacing w:val="1"/>
          <w:sz w:val="20"/>
          <w:szCs w:val="20"/>
        </w:rPr>
        <w:t>定测量的方法和判断的标准，否则将导致测</w:t>
      </w:r>
      <w:r>
        <w:rPr>
          <w:rFonts w:ascii="宋体" w:hAnsi="宋体" w:eastAsia="宋体" w:cs="宋体"/>
          <w:sz w:val="20"/>
          <w:szCs w:val="20"/>
        </w:rPr>
        <w:t>量偏倚，造成结果的误差。</w:t>
      </w:r>
    </w:p>
    <w:p w14:paraId="4FDCB3ED">
      <w:pPr>
        <w:pStyle w:val="2"/>
        <w:spacing w:before="181" w:line="221" w:lineRule="auto"/>
        <w:ind w:left="1083"/>
        <w:outlineLvl w:val="2"/>
        <w:rPr>
          <w:sz w:val="25"/>
          <w:szCs w:val="25"/>
        </w:rPr>
      </w:pPr>
      <w:bookmarkStart w:id="176" w:name="bookmark114"/>
      <w:bookmarkEnd w:id="176"/>
      <w:r>
        <w:rPr>
          <w:b/>
          <w:bCs/>
          <w:spacing w:val="-13"/>
          <w:sz w:val="25"/>
          <w:szCs w:val="25"/>
        </w:rPr>
        <w:t>九</w:t>
      </w:r>
      <w:r>
        <w:rPr>
          <w:spacing w:val="-51"/>
          <w:sz w:val="25"/>
          <w:szCs w:val="25"/>
        </w:rPr>
        <w:t xml:space="preserve"> </w:t>
      </w:r>
      <w:r>
        <w:rPr>
          <w:b/>
          <w:bCs/>
          <w:spacing w:val="-13"/>
          <w:sz w:val="25"/>
          <w:szCs w:val="25"/>
        </w:rPr>
        <w:t>、确定试验观察期限</w:t>
      </w:r>
    </w:p>
    <w:p w14:paraId="04DB453D">
      <w:pPr>
        <w:spacing w:before="254" w:line="333" w:lineRule="auto"/>
        <w:ind w:left="659" w:firstLine="420"/>
        <w:jc w:val="both"/>
        <w:rPr>
          <w:rFonts w:ascii="宋体" w:hAnsi="宋体" w:eastAsia="宋体" w:cs="宋体"/>
          <w:sz w:val="20"/>
          <w:szCs w:val="20"/>
        </w:rPr>
      </w:pPr>
      <w:r>
        <w:rPr>
          <w:rFonts w:ascii="宋体" w:hAnsi="宋体" w:eastAsia="宋体" w:cs="宋体"/>
          <w:spacing w:val="4"/>
          <w:sz w:val="20"/>
          <w:szCs w:val="20"/>
        </w:rPr>
        <w:t>根据试验目的、干预时间和效应(结局事件)出现的</w:t>
      </w:r>
      <w:r>
        <w:rPr>
          <w:rFonts w:ascii="宋体" w:hAnsi="宋体" w:eastAsia="宋体" w:cs="宋体"/>
          <w:spacing w:val="3"/>
          <w:sz w:val="20"/>
          <w:szCs w:val="20"/>
        </w:rPr>
        <w:t>周期等，规定研究对象开始观察、终止观察</w:t>
      </w:r>
      <w:r>
        <w:rPr>
          <w:rFonts w:ascii="宋体" w:hAnsi="宋体" w:eastAsia="宋体" w:cs="宋体"/>
          <w:sz w:val="20"/>
          <w:szCs w:val="20"/>
        </w:rPr>
        <w:t xml:space="preserve"> </w:t>
      </w:r>
      <w:r>
        <w:rPr>
          <w:rFonts w:ascii="宋体" w:hAnsi="宋体" w:eastAsia="宋体" w:cs="宋体"/>
          <w:spacing w:val="4"/>
          <w:sz w:val="20"/>
          <w:szCs w:val="20"/>
        </w:rPr>
        <w:t>的日期。一般而言，临床试验观察期限较短，现</w:t>
      </w:r>
      <w:r>
        <w:rPr>
          <w:rFonts w:ascii="宋体" w:hAnsi="宋体" w:eastAsia="宋体" w:cs="宋体"/>
          <w:spacing w:val="3"/>
          <w:sz w:val="20"/>
          <w:szCs w:val="20"/>
        </w:rPr>
        <w:t>场试验和社区试验观察期限较长；传染病观察期限</w:t>
      </w:r>
      <w:r>
        <w:rPr>
          <w:rFonts w:ascii="宋体" w:hAnsi="宋体" w:eastAsia="宋体" w:cs="宋体"/>
          <w:sz w:val="20"/>
          <w:szCs w:val="20"/>
        </w:rPr>
        <w:t xml:space="preserve">  </w:t>
      </w:r>
      <w:r>
        <w:rPr>
          <w:rFonts w:ascii="宋体" w:hAnsi="宋体" w:eastAsia="宋体" w:cs="宋体"/>
          <w:spacing w:val="4"/>
          <w:sz w:val="20"/>
          <w:szCs w:val="20"/>
        </w:rPr>
        <w:t>较短，慢性病观察期限较长。如评价疫苗预防某传染病的效果，可将接受干预措施日作为开</w:t>
      </w:r>
      <w:r>
        <w:rPr>
          <w:rFonts w:ascii="宋体" w:hAnsi="宋体" w:eastAsia="宋体" w:cs="宋体"/>
          <w:spacing w:val="3"/>
          <w:sz w:val="20"/>
          <w:szCs w:val="20"/>
        </w:rPr>
        <w:t>始观察</w:t>
      </w:r>
      <w:r>
        <w:rPr>
          <w:rFonts w:ascii="宋体" w:hAnsi="宋体" w:eastAsia="宋体" w:cs="宋体"/>
          <w:sz w:val="20"/>
          <w:szCs w:val="20"/>
        </w:rPr>
        <w:t xml:space="preserve"> </w:t>
      </w:r>
      <w:r>
        <w:rPr>
          <w:rFonts w:ascii="宋体" w:hAnsi="宋体" w:eastAsia="宋体" w:cs="宋体"/>
          <w:spacing w:val="4"/>
          <w:sz w:val="20"/>
          <w:szCs w:val="20"/>
        </w:rPr>
        <w:t>时间，以该传染病的最长潜伏期为最短观察期限。如果为了观察保护时间的长短，可根</w:t>
      </w:r>
      <w:r>
        <w:rPr>
          <w:rFonts w:ascii="宋体" w:hAnsi="宋体" w:eastAsia="宋体" w:cs="宋体"/>
          <w:spacing w:val="3"/>
          <w:sz w:val="20"/>
          <w:szCs w:val="20"/>
        </w:rPr>
        <w:t>据实际情况</w:t>
      </w:r>
      <w:r>
        <w:rPr>
          <w:rFonts w:ascii="宋体" w:hAnsi="宋体" w:eastAsia="宋体" w:cs="宋体"/>
          <w:sz w:val="20"/>
          <w:szCs w:val="20"/>
        </w:rPr>
        <w:t xml:space="preserve"> </w:t>
      </w:r>
      <w:r>
        <w:rPr>
          <w:rFonts w:ascii="宋体" w:hAnsi="宋体" w:eastAsia="宋体" w:cs="宋体"/>
          <w:spacing w:val="6"/>
          <w:sz w:val="20"/>
          <w:szCs w:val="20"/>
        </w:rPr>
        <w:t>延长观察期限。对肿瘤、心血管疾病等慢性病的干预效</w:t>
      </w:r>
      <w:r>
        <w:rPr>
          <w:rFonts w:ascii="宋体" w:hAnsi="宋体" w:eastAsia="宋体" w:cs="宋体"/>
          <w:spacing w:val="5"/>
          <w:sz w:val="20"/>
          <w:szCs w:val="20"/>
        </w:rPr>
        <w:t>果则需观察较长时间，甚至可长达数十年。</w:t>
      </w:r>
      <w:r>
        <w:rPr>
          <w:rFonts w:ascii="宋体" w:hAnsi="宋体" w:eastAsia="宋体" w:cs="宋体"/>
          <w:sz w:val="20"/>
          <w:szCs w:val="20"/>
        </w:rPr>
        <w:t xml:space="preserve"> </w:t>
      </w:r>
      <w:r>
        <w:rPr>
          <w:rFonts w:ascii="宋体" w:hAnsi="宋体" w:eastAsia="宋体" w:cs="宋体"/>
          <w:spacing w:val="2"/>
          <w:sz w:val="20"/>
          <w:szCs w:val="20"/>
        </w:rPr>
        <w:t>原则上观察期限不宜过长，以能出结果的最短时间为限。</w:t>
      </w:r>
    </w:p>
    <w:p w14:paraId="375357F5">
      <w:pPr>
        <w:spacing w:line="333" w:lineRule="auto"/>
        <w:rPr>
          <w:rFonts w:ascii="宋体" w:hAnsi="宋体" w:eastAsia="宋体" w:cs="宋体"/>
          <w:sz w:val="20"/>
          <w:szCs w:val="20"/>
        </w:rPr>
        <w:sectPr>
          <w:footerReference r:id="rId127" w:type="default"/>
          <w:pgSz w:w="11900" w:h="16820"/>
          <w:pgMar w:top="400" w:right="1509" w:bottom="919" w:left="890" w:header="0" w:footer="739" w:gutter="0"/>
          <w:cols w:space="720" w:num="1"/>
        </w:sectPr>
      </w:pPr>
    </w:p>
    <w:p w14:paraId="152410C2">
      <w:pPr>
        <w:pStyle w:val="2"/>
        <w:spacing w:before="196" w:line="221" w:lineRule="auto"/>
        <w:ind w:left="7199"/>
        <w:rPr>
          <w:sz w:val="20"/>
          <w:szCs w:val="20"/>
        </w:rPr>
      </w:pPr>
      <w:r>
        <w:rPr>
          <w:spacing w:val="-20"/>
          <w:sz w:val="20"/>
          <w:szCs w:val="20"/>
        </w:rPr>
        <w:t>第六章 实验流行病学</w:t>
      </w:r>
    </w:p>
    <w:p w14:paraId="4EB993DA">
      <w:pPr>
        <w:spacing w:line="341" w:lineRule="auto"/>
        <w:rPr>
          <w:rFonts w:ascii="Arial"/>
          <w:sz w:val="21"/>
        </w:rPr>
      </w:pPr>
    </w:p>
    <w:p w14:paraId="450CED2B">
      <w:pPr>
        <w:spacing w:line="342" w:lineRule="auto"/>
        <w:rPr>
          <w:rFonts w:ascii="Arial"/>
          <w:sz w:val="21"/>
        </w:rPr>
      </w:pPr>
    </w:p>
    <w:p w14:paraId="4A2373C5">
      <w:pPr>
        <w:pStyle w:val="2"/>
        <w:spacing w:before="82" w:line="222" w:lineRule="auto"/>
        <w:ind w:left="433"/>
        <w:outlineLvl w:val="2"/>
        <w:rPr>
          <w:sz w:val="25"/>
          <w:szCs w:val="25"/>
        </w:rPr>
      </w:pPr>
      <w:bookmarkStart w:id="177" w:name="bookmark115"/>
      <w:bookmarkEnd w:id="177"/>
      <w:r>
        <w:rPr>
          <w:b/>
          <w:bCs/>
          <w:spacing w:val="-1"/>
          <w:sz w:val="25"/>
          <w:szCs w:val="25"/>
        </w:rPr>
        <w:t>十、收集资料</w:t>
      </w:r>
    </w:p>
    <w:p w14:paraId="7DA40CDC">
      <w:pPr>
        <w:spacing w:before="305" w:line="343" w:lineRule="auto"/>
        <w:ind w:right="582" w:firstLine="429"/>
        <w:jc w:val="both"/>
        <w:rPr>
          <w:rFonts w:ascii="宋体" w:hAnsi="宋体" w:eastAsia="宋体" w:cs="宋体"/>
          <w:sz w:val="20"/>
          <w:szCs w:val="20"/>
        </w:rPr>
      </w:pPr>
      <w:r>
        <w:rPr>
          <w:rFonts w:ascii="宋体" w:hAnsi="宋体" w:eastAsia="宋体" w:cs="宋体"/>
          <w:spacing w:val="1"/>
          <w:sz w:val="20"/>
          <w:szCs w:val="20"/>
        </w:rPr>
        <w:t>实验流行病学作为前瞻性的研究，通常采用专门设计的病例报告表(</w:t>
      </w:r>
      <w:r>
        <w:rPr>
          <w:rFonts w:ascii="宋体" w:hAnsi="宋体" w:eastAsia="宋体" w:cs="宋体"/>
          <w:sz w:val="20"/>
          <w:szCs w:val="20"/>
        </w:rPr>
        <w:t>case</w:t>
      </w:r>
      <w:r>
        <w:rPr>
          <w:rFonts w:ascii="宋体" w:hAnsi="宋体" w:eastAsia="宋体" w:cs="宋体"/>
          <w:spacing w:val="1"/>
          <w:sz w:val="20"/>
          <w:szCs w:val="20"/>
        </w:rPr>
        <w:t xml:space="preserve"> </w:t>
      </w:r>
      <w:r>
        <w:rPr>
          <w:rFonts w:ascii="宋体" w:hAnsi="宋体" w:eastAsia="宋体" w:cs="宋体"/>
          <w:sz w:val="20"/>
          <w:szCs w:val="20"/>
        </w:rPr>
        <w:t>report</w:t>
      </w:r>
      <w:r>
        <w:rPr>
          <w:rFonts w:ascii="宋体" w:hAnsi="宋体" w:eastAsia="宋体" w:cs="宋体"/>
          <w:spacing w:val="1"/>
          <w:sz w:val="20"/>
          <w:szCs w:val="20"/>
        </w:rPr>
        <w:t xml:space="preserve"> </w:t>
      </w:r>
      <w:r>
        <w:rPr>
          <w:rFonts w:ascii="宋体" w:hAnsi="宋体" w:eastAsia="宋体" w:cs="宋体"/>
          <w:sz w:val="20"/>
          <w:szCs w:val="20"/>
        </w:rPr>
        <w:t>form</w:t>
      </w:r>
      <w:r>
        <w:rPr>
          <w:rFonts w:ascii="宋体" w:hAnsi="宋体" w:eastAsia="宋体" w:cs="宋体"/>
          <w:spacing w:val="1"/>
          <w:sz w:val="20"/>
          <w:szCs w:val="20"/>
        </w:rPr>
        <w:t>)来收集研</w:t>
      </w:r>
      <w:r>
        <w:rPr>
          <w:rFonts w:ascii="宋体" w:hAnsi="宋体" w:eastAsia="宋体" w:cs="宋体"/>
          <w:spacing w:val="10"/>
          <w:sz w:val="20"/>
          <w:szCs w:val="20"/>
        </w:rPr>
        <w:t xml:space="preserve"> </w:t>
      </w:r>
      <w:r>
        <w:rPr>
          <w:rFonts w:ascii="宋体" w:hAnsi="宋体" w:eastAsia="宋体" w:cs="宋体"/>
          <w:spacing w:val="6"/>
          <w:sz w:val="20"/>
          <w:szCs w:val="20"/>
        </w:rPr>
        <w:t>究对象的基线、随访和结局资料。基线资料一般包括研究对象的基本人口特征、结局指标的基线水</w:t>
      </w:r>
      <w:r>
        <w:rPr>
          <w:rFonts w:ascii="宋体" w:hAnsi="宋体" w:eastAsia="宋体" w:cs="宋体"/>
          <w:sz w:val="20"/>
          <w:szCs w:val="20"/>
        </w:rPr>
        <w:t xml:space="preserve">  </w:t>
      </w:r>
      <w:r>
        <w:rPr>
          <w:rFonts w:ascii="宋体" w:hAnsi="宋体" w:eastAsia="宋体" w:cs="宋体"/>
          <w:spacing w:val="6"/>
          <w:sz w:val="20"/>
          <w:szCs w:val="20"/>
        </w:rPr>
        <w:t>平、其他可能影响研究结果的因素等。有了基线数据，结局变量的评价相对比较容易。调查开始和</w:t>
      </w:r>
      <w:r>
        <w:rPr>
          <w:rFonts w:ascii="宋体" w:hAnsi="宋体" w:eastAsia="宋体" w:cs="宋体"/>
          <w:spacing w:val="3"/>
          <w:sz w:val="20"/>
          <w:szCs w:val="20"/>
        </w:rPr>
        <w:t xml:space="preserve">  </w:t>
      </w:r>
      <w:r>
        <w:rPr>
          <w:rFonts w:ascii="宋体" w:hAnsi="宋体" w:eastAsia="宋体" w:cs="宋体"/>
          <w:spacing w:val="6"/>
          <w:sz w:val="20"/>
          <w:szCs w:val="20"/>
        </w:rPr>
        <w:t>结束时确定基线数据的方法必须相同，以便正确评价干预效果。为了获得基线数据，如果是现</w:t>
      </w:r>
      <w:r>
        <w:rPr>
          <w:rFonts w:ascii="宋体" w:hAnsi="宋体" w:eastAsia="宋体" w:cs="宋体"/>
          <w:spacing w:val="5"/>
          <w:sz w:val="20"/>
          <w:szCs w:val="20"/>
        </w:rPr>
        <w:t>场试</w:t>
      </w:r>
      <w:r>
        <w:rPr>
          <w:rFonts w:ascii="宋体" w:hAnsi="宋体" w:eastAsia="宋体" w:cs="宋体"/>
          <w:sz w:val="20"/>
          <w:szCs w:val="20"/>
        </w:rPr>
        <w:t xml:space="preserve">  </w:t>
      </w:r>
      <w:r>
        <w:rPr>
          <w:rFonts w:ascii="宋体" w:hAnsi="宋体" w:eastAsia="宋体" w:cs="宋体"/>
          <w:spacing w:val="8"/>
          <w:sz w:val="20"/>
          <w:szCs w:val="20"/>
        </w:rPr>
        <w:t>验和社区试验，还应该获得社区的支持，社区各方面领导的支持不但有利于所需监测系统的建立，</w:t>
      </w:r>
      <w:r>
        <w:rPr>
          <w:rFonts w:ascii="宋体" w:hAnsi="宋体" w:eastAsia="宋体" w:cs="宋体"/>
          <w:spacing w:val="4"/>
          <w:sz w:val="20"/>
          <w:szCs w:val="20"/>
        </w:rPr>
        <w:t xml:space="preserve"> </w:t>
      </w:r>
      <w:r>
        <w:rPr>
          <w:rFonts w:ascii="宋体" w:hAnsi="宋体" w:eastAsia="宋体" w:cs="宋体"/>
          <w:spacing w:val="11"/>
          <w:sz w:val="20"/>
          <w:szCs w:val="20"/>
        </w:rPr>
        <w:t>还将有利于使用社区已有的相关系统为监测服务。所用的监测系统，可以是当地生命</w:t>
      </w:r>
      <w:r>
        <w:rPr>
          <w:rFonts w:ascii="宋体" w:hAnsi="宋体" w:eastAsia="宋体" w:cs="宋体"/>
          <w:spacing w:val="10"/>
          <w:sz w:val="20"/>
          <w:szCs w:val="20"/>
        </w:rPr>
        <w:t>和健康统计</w:t>
      </w:r>
      <w:r>
        <w:rPr>
          <w:rFonts w:ascii="宋体" w:hAnsi="宋体" w:eastAsia="宋体" w:cs="宋体"/>
          <w:sz w:val="20"/>
          <w:szCs w:val="20"/>
        </w:rPr>
        <w:t xml:space="preserve">  </w:t>
      </w:r>
      <w:r>
        <w:rPr>
          <w:rFonts w:ascii="宋体" w:hAnsi="宋体" w:eastAsia="宋体" w:cs="宋体"/>
          <w:spacing w:val="6"/>
          <w:sz w:val="20"/>
          <w:szCs w:val="20"/>
        </w:rPr>
        <w:t>系统、医院诊断结果或社区调查。监测系统必须有相对低的成本</w:t>
      </w:r>
      <w:r>
        <w:rPr>
          <w:rFonts w:ascii="宋体" w:hAnsi="宋体" w:eastAsia="宋体" w:cs="宋体"/>
          <w:spacing w:val="5"/>
          <w:sz w:val="20"/>
          <w:szCs w:val="20"/>
        </w:rPr>
        <w:t>和较高的灵敏度。</w:t>
      </w:r>
    </w:p>
    <w:p w14:paraId="0F211B01">
      <w:pPr>
        <w:spacing w:before="25" w:line="337" w:lineRule="auto"/>
        <w:ind w:right="651" w:firstLine="429"/>
        <w:rPr>
          <w:rFonts w:ascii="宋体" w:hAnsi="宋体" w:eastAsia="宋体" w:cs="宋体"/>
          <w:sz w:val="20"/>
          <w:szCs w:val="20"/>
        </w:rPr>
      </w:pPr>
      <w:r>
        <w:rPr>
          <w:rFonts w:ascii="宋体" w:hAnsi="宋体" w:eastAsia="宋体" w:cs="宋体"/>
          <w:spacing w:val="17"/>
          <w:sz w:val="20"/>
          <w:szCs w:val="20"/>
        </w:rPr>
        <w:t>在实验流行病学研究中，对所有研究对象，不论是试验组</w:t>
      </w:r>
      <w:r>
        <w:rPr>
          <w:rFonts w:ascii="宋体" w:hAnsi="宋体" w:eastAsia="宋体" w:cs="宋体"/>
          <w:spacing w:val="16"/>
          <w:sz w:val="20"/>
          <w:szCs w:val="20"/>
        </w:rPr>
        <w:t>或对照组，都要同等地进行随访</w:t>
      </w:r>
      <w:r>
        <w:rPr>
          <w:rFonts w:ascii="宋体" w:hAnsi="宋体" w:eastAsia="宋体" w:cs="宋体"/>
          <w:sz w:val="20"/>
          <w:szCs w:val="20"/>
        </w:rPr>
        <w:t xml:space="preserve"> </w:t>
      </w:r>
      <w:r>
        <w:rPr>
          <w:rFonts w:ascii="Times New Roman" w:hAnsi="Times New Roman" w:eastAsia="Times New Roman" w:cs="Times New Roman"/>
          <w:spacing w:val="5"/>
          <w:sz w:val="20"/>
          <w:szCs w:val="20"/>
        </w:rPr>
        <w:t>(</w:t>
      </w:r>
      <w:r>
        <w:rPr>
          <w:rFonts w:ascii="Times New Roman" w:hAnsi="Times New Roman" w:eastAsia="Times New Roman" w:cs="Times New Roman"/>
          <w:sz w:val="20"/>
          <w:szCs w:val="20"/>
        </w:rPr>
        <w:t>follow</w:t>
      </w:r>
      <w:r>
        <w:rPr>
          <w:rFonts w:ascii="Times New Roman" w:hAnsi="Times New Roman" w:eastAsia="Times New Roman" w:cs="Times New Roman"/>
          <w:spacing w:val="5"/>
          <w:sz w:val="20"/>
          <w:szCs w:val="20"/>
        </w:rPr>
        <w:t>-</w:t>
      </w:r>
      <w:r>
        <w:rPr>
          <w:rFonts w:ascii="Times New Roman" w:hAnsi="Times New Roman" w:eastAsia="Times New Roman" w:cs="Times New Roman"/>
          <w:sz w:val="20"/>
          <w:szCs w:val="20"/>
        </w:rPr>
        <w:t>up</w:t>
      </w:r>
      <w:r>
        <w:rPr>
          <w:rFonts w:ascii="Times New Roman" w:hAnsi="Times New Roman" w:eastAsia="Times New Roman" w:cs="Times New Roman"/>
          <w:spacing w:val="5"/>
          <w:sz w:val="20"/>
          <w:szCs w:val="20"/>
        </w:rPr>
        <w:t>),</w:t>
      </w:r>
      <w:r>
        <w:rPr>
          <w:rFonts w:ascii="Times New Roman" w:hAnsi="Times New Roman" w:eastAsia="Times New Roman" w:cs="Times New Roman"/>
          <w:spacing w:val="18"/>
          <w:w w:val="101"/>
          <w:sz w:val="20"/>
          <w:szCs w:val="20"/>
        </w:rPr>
        <w:t xml:space="preserve">  </w:t>
      </w:r>
      <w:r>
        <w:rPr>
          <w:rFonts w:ascii="宋体" w:hAnsi="宋体" w:eastAsia="宋体" w:cs="宋体"/>
          <w:spacing w:val="5"/>
          <w:sz w:val="20"/>
          <w:szCs w:val="20"/>
        </w:rPr>
        <w:t>并要求对所有研究对象都坚持随访到终止期，</w:t>
      </w:r>
      <w:r>
        <w:rPr>
          <w:rFonts w:ascii="宋体" w:hAnsi="宋体" w:eastAsia="宋体" w:cs="宋体"/>
          <w:spacing w:val="4"/>
          <w:sz w:val="20"/>
          <w:szCs w:val="20"/>
        </w:rPr>
        <w:t>不可中途放弃或遗漏。</w:t>
      </w:r>
    </w:p>
    <w:p w14:paraId="2A3AA543">
      <w:pPr>
        <w:spacing w:line="345" w:lineRule="auto"/>
        <w:ind w:right="653" w:firstLine="429"/>
        <w:rPr>
          <w:rFonts w:ascii="宋体" w:hAnsi="宋体" w:eastAsia="宋体" w:cs="宋体"/>
          <w:sz w:val="20"/>
          <w:szCs w:val="20"/>
        </w:rPr>
      </w:pPr>
      <w:r>
        <w:rPr>
          <w:rFonts w:ascii="宋体" w:hAnsi="宋体" w:eastAsia="宋体" w:cs="宋体"/>
          <w:spacing w:val="6"/>
          <w:sz w:val="20"/>
          <w:szCs w:val="20"/>
        </w:rPr>
        <w:t>如果观察期限较短，在随访终止时一次搜集资料即可。否则，往往需要在整个观察期内分几次</w:t>
      </w:r>
      <w:r>
        <w:rPr>
          <w:rFonts w:ascii="宋体" w:hAnsi="宋体" w:eastAsia="宋体" w:cs="宋体"/>
          <w:spacing w:val="1"/>
          <w:sz w:val="20"/>
          <w:szCs w:val="20"/>
        </w:rPr>
        <w:t xml:space="preserve"> </w:t>
      </w:r>
      <w:r>
        <w:rPr>
          <w:rFonts w:ascii="宋体" w:hAnsi="宋体" w:eastAsia="宋体" w:cs="宋体"/>
          <w:spacing w:val="4"/>
          <w:sz w:val="20"/>
          <w:szCs w:val="20"/>
        </w:rPr>
        <w:t>随访，随访间隔的长短和次数主要视干预时间、结局变量出现时间和变异情况而定。</w:t>
      </w:r>
    </w:p>
    <w:p w14:paraId="2FC86213">
      <w:pPr>
        <w:spacing w:line="347" w:lineRule="auto"/>
        <w:ind w:right="618" w:firstLine="429"/>
        <w:rPr>
          <w:rFonts w:ascii="宋体" w:hAnsi="宋体" w:eastAsia="宋体" w:cs="宋体"/>
          <w:sz w:val="20"/>
          <w:szCs w:val="20"/>
        </w:rPr>
      </w:pPr>
      <w:r>
        <w:rPr>
          <w:rFonts w:ascii="宋体" w:hAnsi="宋体" w:eastAsia="宋体" w:cs="宋体"/>
          <w:spacing w:val="9"/>
          <w:sz w:val="20"/>
          <w:szCs w:val="20"/>
        </w:rPr>
        <w:t>随访观察的内容，主要有3个方面：①干预措施的执行状况；②有关影响因素(预后影响因素)</w:t>
      </w:r>
      <w:r>
        <w:rPr>
          <w:rFonts w:ascii="宋体" w:hAnsi="宋体" w:eastAsia="宋体" w:cs="宋体"/>
          <w:spacing w:val="4"/>
          <w:sz w:val="20"/>
          <w:szCs w:val="20"/>
        </w:rPr>
        <w:t xml:space="preserve"> </w:t>
      </w:r>
      <w:r>
        <w:rPr>
          <w:rFonts w:ascii="宋体" w:hAnsi="宋体" w:eastAsia="宋体" w:cs="宋体"/>
          <w:spacing w:val="1"/>
          <w:sz w:val="20"/>
          <w:szCs w:val="20"/>
        </w:rPr>
        <w:t>的信息；③结局变量。</w:t>
      </w:r>
    </w:p>
    <w:p w14:paraId="613B139A">
      <w:pPr>
        <w:spacing w:before="1" w:line="341" w:lineRule="auto"/>
        <w:ind w:right="569" w:firstLine="429"/>
        <w:jc w:val="both"/>
        <w:rPr>
          <w:rFonts w:ascii="宋体" w:hAnsi="宋体" w:eastAsia="宋体" w:cs="宋体"/>
          <w:sz w:val="20"/>
          <w:szCs w:val="20"/>
        </w:rPr>
      </w:pPr>
      <w:r>
        <w:rPr>
          <w:rFonts w:ascii="宋体" w:hAnsi="宋体" w:eastAsia="宋体" w:cs="宋体"/>
          <w:spacing w:val="6"/>
          <w:sz w:val="20"/>
          <w:szCs w:val="20"/>
        </w:rPr>
        <w:t>随访调查人员，要求进行统一培训，经过考核</w:t>
      </w:r>
      <w:r>
        <w:rPr>
          <w:rFonts w:ascii="宋体" w:hAnsi="宋体" w:eastAsia="宋体" w:cs="宋体"/>
          <w:spacing w:val="5"/>
          <w:sz w:val="20"/>
          <w:szCs w:val="20"/>
        </w:rPr>
        <w:t>合格后方可参加随访工作。随访资料的收集方法</w:t>
      </w:r>
      <w:r>
        <w:rPr>
          <w:rFonts w:ascii="宋体" w:hAnsi="宋体" w:eastAsia="宋体" w:cs="宋体"/>
          <w:sz w:val="20"/>
          <w:szCs w:val="20"/>
        </w:rPr>
        <w:t xml:space="preserve">  </w:t>
      </w:r>
      <w:r>
        <w:rPr>
          <w:rFonts w:ascii="宋体" w:hAnsi="宋体" w:eastAsia="宋体" w:cs="宋体"/>
          <w:spacing w:val="6"/>
          <w:sz w:val="20"/>
          <w:szCs w:val="20"/>
        </w:rPr>
        <w:t>主要有：①访问研究对象或知情人；②通过对研究对象体检或采样检测；③到有关单位获取，多为</w:t>
      </w:r>
      <w:r>
        <w:rPr>
          <w:rFonts w:ascii="宋体" w:hAnsi="宋体" w:eastAsia="宋体" w:cs="宋体"/>
          <w:sz w:val="20"/>
          <w:szCs w:val="20"/>
        </w:rPr>
        <w:t xml:space="preserve">  </w:t>
      </w:r>
      <w:r>
        <w:rPr>
          <w:rFonts w:ascii="宋体" w:hAnsi="宋体" w:eastAsia="宋体" w:cs="宋体"/>
          <w:spacing w:val="-1"/>
          <w:sz w:val="20"/>
          <w:szCs w:val="20"/>
        </w:rPr>
        <w:t>档案、记录，如气象和环境监测资料，医院的病案，户籍信息、死亡登记、工厂企业就业和工种档案、</w:t>
      </w:r>
      <w:r>
        <w:rPr>
          <w:rFonts w:ascii="宋体" w:hAnsi="宋体" w:eastAsia="宋体" w:cs="宋体"/>
          <w:spacing w:val="6"/>
          <w:sz w:val="20"/>
          <w:szCs w:val="20"/>
        </w:rPr>
        <w:t xml:space="preserve"> </w:t>
      </w:r>
      <w:r>
        <w:rPr>
          <w:rFonts w:ascii="宋体" w:hAnsi="宋体" w:eastAsia="宋体" w:cs="宋体"/>
          <w:spacing w:val="-1"/>
          <w:sz w:val="20"/>
          <w:szCs w:val="20"/>
        </w:rPr>
        <w:t>工作日志等；④对环境的调查，如居住及环境卫生情况、饮用水源、水质如何、工作环境如何等。</w:t>
      </w:r>
    </w:p>
    <w:p w14:paraId="06E2BF3F">
      <w:pPr>
        <w:pStyle w:val="2"/>
        <w:spacing w:before="339" w:line="222" w:lineRule="auto"/>
        <w:ind w:left="2694"/>
        <w:outlineLvl w:val="1"/>
      </w:pPr>
      <w:bookmarkStart w:id="178" w:name="bookmark116"/>
      <w:bookmarkEnd w:id="178"/>
      <w:r>
        <w:rPr>
          <w:b/>
          <w:bCs/>
          <w:spacing w:val="-9"/>
        </w:rPr>
        <w:t>第三节</w:t>
      </w:r>
      <w:r>
        <w:rPr>
          <w:spacing w:val="123"/>
        </w:rPr>
        <w:t xml:space="preserve"> </w:t>
      </w:r>
      <w:r>
        <w:rPr>
          <w:b/>
          <w:bCs/>
          <w:spacing w:val="-9"/>
        </w:rPr>
        <w:t>资料的整理与分析</w:t>
      </w:r>
    </w:p>
    <w:p w14:paraId="05B8B4AE">
      <w:pPr>
        <w:spacing w:line="363" w:lineRule="auto"/>
        <w:rPr>
          <w:rFonts w:ascii="Arial"/>
          <w:sz w:val="21"/>
        </w:rPr>
      </w:pPr>
    </w:p>
    <w:p w14:paraId="281152BD">
      <w:pPr>
        <w:spacing w:before="65" w:line="334" w:lineRule="auto"/>
        <w:ind w:right="582" w:firstLine="429"/>
        <w:jc w:val="both"/>
        <w:rPr>
          <w:rFonts w:ascii="宋体" w:hAnsi="宋体" w:eastAsia="宋体" w:cs="宋体"/>
          <w:sz w:val="20"/>
          <w:szCs w:val="20"/>
        </w:rPr>
      </w:pPr>
      <w:r>
        <w:rPr>
          <w:rFonts w:ascii="宋体" w:hAnsi="宋体" w:eastAsia="宋体" w:cs="宋体"/>
          <w:spacing w:val="8"/>
          <w:sz w:val="20"/>
          <w:szCs w:val="20"/>
        </w:rPr>
        <w:t>实验流行病学研究资料的整理和分析与其他研究资料的处理一样，首先</w:t>
      </w:r>
      <w:r>
        <w:rPr>
          <w:rFonts w:ascii="宋体" w:hAnsi="宋体" w:eastAsia="宋体" w:cs="宋体"/>
          <w:spacing w:val="7"/>
          <w:sz w:val="20"/>
          <w:szCs w:val="20"/>
        </w:rPr>
        <w:t>对研究资料进行核对、</w:t>
      </w:r>
      <w:r>
        <w:rPr>
          <w:rFonts w:ascii="宋体" w:hAnsi="宋体" w:eastAsia="宋体" w:cs="宋体"/>
          <w:sz w:val="20"/>
          <w:szCs w:val="20"/>
        </w:rPr>
        <w:t xml:space="preserve"> </w:t>
      </w:r>
      <w:r>
        <w:rPr>
          <w:rFonts w:ascii="宋体" w:hAnsi="宋体" w:eastAsia="宋体" w:cs="宋体"/>
          <w:spacing w:val="11"/>
          <w:sz w:val="20"/>
          <w:szCs w:val="20"/>
        </w:rPr>
        <w:t>整理，然后对资料的基本情况进行统计学描述和分析，进一步计算各组结局指标并进</w:t>
      </w:r>
      <w:r>
        <w:rPr>
          <w:rFonts w:ascii="宋体" w:hAnsi="宋体" w:eastAsia="宋体" w:cs="宋体"/>
          <w:spacing w:val="10"/>
          <w:sz w:val="20"/>
          <w:szCs w:val="20"/>
        </w:rPr>
        <w:t>行统计学分</w:t>
      </w:r>
      <w:r>
        <w:rPr>
          <w:rFonts w:ascii="宋体" w:hAnsi="宋体" w:eastAsia="宋体" w:cs="宋体"/>
          <w:sz w:val="20"/>
          <w:szCs w:val="20"/>
        </w:rPr>
        <w:t xml:space="preserve">  </w:t>
      </w:r>
      <w:r>
        <w:rPr>
          <w:rFonts w:ascii="宋体" w:hAnsi="宋体" w:eastAsia="宋体" w:cs="宋体"/>
          <w:spacing w:val="8"/>
          <w:sz w:val="20"/>
          <w:szCs w:val="20"/>
        </w:rPr>
        <w:t>析。在资料的整理和分析过程中还要注意防止偏倚的发生。</w:t>
      </w:r>
    </w:p>
    <w:p w14:paraId="2A14D986">
      <w:pPr>
        <w:pStyle w:val="2"/>
        <w:spacing w:before="163" w:line="222" w:lineRule="auto"/>
        <w:ind w:left="433"/>
        <w:outlineLvl w:val="2"/>
        <w:rPr>
          <w:sz w:val="25"/>
          <w:szCs w:val="25"/>
        </w:rPr>
      </w:pPr>
      <w:bookmarkStart w:id="179" w:name="bookmark117"/>
      <w:bookmarkEnd w:id="179"/>
      <w:r>
        <w:rPr>
          <w:b/>
          <w:bCs/>
          <w:spacing w:val="-9"/>
          <w:sz w:val="25"/>
          <w:szCs w:val="25"/>
        </w:rPr>
        <w:t>一</w:t>
      </w:r>
      <w:r>
        <w:rPr>
          <w:spacing w:val="-69"/>
          <w:sz w:val="25"/>
          <w:szCs w:val="25"/>
        </w:rPr>
        <w:t xml:space="preserve"> </w:t>
      </w:r>
      <w:r>
        <w:rPr>
          <w:b/>
          <w:bCs/>
          <w:spacing w:val="-9"/>
          <w:sz w:val="25"/>
          <w:szCs w:val="25"/>
        </w:rPr>
        <w:t>、资料的整理</w:t>
      </w:r>
    </w:p>
    <w:p w14:paraId="727BD96E">
      <w:pPr>
        <w:spacing w:before="280" w:line="326" w:lineRule="auto"/>
        <w:ind w:right="652" w:firstLine="429"/>
        <w:jc w:val="both"/>
        <w:rPr>
          <w:rFonts w:ascii="宋体" w:hAnsi="宋体" w:eastAsia="宋体" w:cs="宋体"/>
          <w:sz w:val="20"/>
          <w:szCs w:val="20"/>
        </w:rPr>
      </w:pPr>
      <w:r>
        <w:rPr>
          <w:rFonts w:ascii="宋体" w:hAnsi="宋体" w:eastAsia="宋体" w:cs="宋体"/>
          <w:spacing w:val="6"/>
          <w:sz w:val="20"/>
          <w:szCs w:val="20"/>
        </w:rPr>
        <w:t>资料整理是资料分析的首要步骤，要依据研究目的和设计对研究资料的完整性、规范性和真实</w:t>
      </w:r>
      <w:r>
        <w:rPr>
          <w:rFonts w:ascii="宋体" w:hAnsi="宋体" w:eastAsia="宋体" w:cs="宋体"/>
          <w:spacing w:val="2"/>
          <w:sz w:val="20"/>
          <w:szCs w:val="20"/>
        </w:rPr>
        <w:t xml:space="preserve"> </w:t>
      </w:r>
      <w:r>
        <w:rPr>
          <w:rFonts w:ascii="宋体" w:hAnsi="宋体" w:eastAsia="宋体" w:cs="宋体"/>
          <w:spacing w:val="1"/>
          <w:sz w:val="20"/>
          <w:szCs w:val="20"/>
        </w:rPr>
        <w:t>性进行核实，并进一步录入、归类，使其系统化、条理化，便于进一步分析。需要注意的是，要整理</w:t>
      </w:r>
      <w:r>
        <w:rPr>
          <w:rFonts w:ascii="宋体" w:hAnsi="宋体" w:eastAsia="宋体" w:cs="宋体"/>
          <w:spacing w:val="11"/>
          <w:sz w:val="20"/>
          <w:szCs w:val="20"/>
        </w:rPr>
        <w:t xml:space="preserve"> 全部入组对象，尤其是在随机分组后未完成试验者的资料。研究对象在随机分组前或随机分组后</w:t>
      </w:r>
      <w:r>
        <w:rPr>
          <w:rFonts w:ascii="宋体" w:hAnsi="宋体" w:eastAsia="宋体" w:cs="宋体"/>
          <w:spacing w:val="1"/>
          <w:sz w:val="20"/>
          <w:szCs w:val="20"/>
        </w:rPr>
        <w:t xml:space="preserve"> </w:t>
      </w:r>
      <w:r>
        <w:rPr>
          <w:rFonts w:ascii="宋体" w:hAnsi="宋体" w:eastAsia="宋体" w:cs="宋体"/>
          <w:spacing w:val="7"/>
          <w:sz w:val="20"/>
          <w:szCs w:val="20"/>
        </w:rPr>
        <w:t>离开试验所带来的影响是不同的。</w:t>
      </w:r>
    </w:p>
    <w:p w14:paraId="133B84D5">
      <w:pPr>
        <w:pStyle w:val="2"/>
        <w:spacing w:before="1" w:line="221" w:lineRule="auto"/>
        <w:ind w:left="429"/>
        <w:rPr>
          <w:sz w:val="25"/>
          <w:szCs w:val="25"/>
        </w:rPr>
      </w:pPr>
      <w:r>
        <w:rPr>
          <w:spacing w:val="-1"/>
          <w:sz w:val="25"/>
          <w:szCs w:val="25"/>
        </w:rPr>
        <w:t>(一)排除</w:t>
      </w:r>
    </w:p>
    <w:p w14:paraId="4ECAD2AB">
      <w:pPr>
        <w:spacing w:before="116" w:line="340" w:lineRule="auto"/>
        <w:ind w:right="582" w:firstLine="429"/>
        <w:rPr>
          <w:rFonts w:ascii="宋体" w:hAnsi="宋体" w:eastAsia="宋体" w:cs="宋体"/>
          <w:sz w:val="20"/>
          <w:szCs w:val="20"/>
        </w:rPr>
      </w:pPr>
      <w:r>
        <w:rPr>
          <w:rFonts w:ascii="宋体" w:hAnsi="宋体" w:eastAsia="宋体" w:cs="宋体"/>
          <w:spacing w:val="9"/>
          <w:sz w:val="20"/>
          <w:szCs w:val="20"/>
        </w:rPr>
        <w:t>排</w:t>
      </w:r>
      <w:r>
        <w:rPr>
          <w:rFonts w:ascii="宋体" w:hAnsi="宋体" w:eastAsia="宋体" w:cs="宋体"/>
          <w:spacing w:val="-22"/>
          <w:sz w:val="20"/>
          <w:szCs w:val="20"/>
        </w:rPr>
        <w:t xml:space="preserve"> </w:t>
      </w:r>
      <w:r>
        <w:rPr>
          <w:rFonts w:ascii="宋体" w:hAnsi="宋体" w:eastAsia="宋体" w:cs="宋体"/>
          <w:spacing w:val="9"/>
          <w:sz w:val="20"/>
          <w:szCs w:val="20"/>
        </w:rPr>
        <w:t>除</w:t>
      </w:r>
      <w:r>
        <w:rPr>
          <w:rFonts w:ascii="Times New Roman" w:hAnsi="Times New Roman" w:eastAsia="Times New Roman" w:cs="Times New Roman"/>
          <w:spacing w:val="9"/>
          <w:sz w:val="20"/>
          <w:szCs w:val="20"/>
        </w:rPr>
        <w:t>(</w:t>
      </w:r>
      <w:r>
        <w:rPr>
          <w:rFonts w:ascii="Times New Roman" w:hAnsi="Times New Roman" w:eastAsia="Times New Roman" w:cs="Times New Roman"/>
          <w:sz w:val="20"/>
          <w:szCs w:val="20"/>
        </w:rPr>
        <w:t>exclusion</w:t>
      </w:r>
      <w:r>
        <w:rPr>
          <w:rFonts w:ascii="Times New Roman" w:hAnsi="Times New Roman" w:eastAsia="Times New Roman" w:cs="Times New Roman"/>
          <w:spacing w:val="9"/>
          <w:sz w:val="20"/>
          <w:szCs w:val="20"/>
        </w:rPr>
        <w:t>)</w:t>
      </w:r>
      <w:r>
        <w:rPr>
          <w:rFonts w:ascii="Times New Roman" w:hAnsi="Times New Roman" w:eastAsia="Times New Roman" w:cs="Times New Roman"/>
          <w:spacing w:val="19"/>
          <w:w w:val="101"/>
          <w:sz w:val="20"/>
          <w:szCs w:val="20"/>
        </w:rPr>
        <w:t xml:space="preserve">  </w:t>
      </w:r>
      <w:r>
        <w:rPr>
          <w:rFonts w:ascii="宋体" w:hAnsi="宋体" w:eastAsia="宋体" w:cs="宋体"/>
          <w:spacing w:val="9"/>
          <w:sz w:val="20"/>
          <w:szCs w:val="20"/>
        </w:rPr>
        <w:t>是指在随机分组前研究对象因各种原因没有被纳入。排除对研究结果的内部</w:t>
      </w:r>
      <w:r>
        <w:rPr>
          <w:rFonts w:ascii="宋体" w:hAnsi="宋体" w:eastAsia="宋体" w:cs="宋体"/>
          <w:sz w:val="20"/>
          <w:szCs w:val="20"/>
        </w:rPr>
        <w:t xml:space="preserve"> </w:t>
      </w:r>
      <w:r>
        <w:rPr>
          <w:rFonts w:ascii="宋体" w:hAnsi="宋体" w:eastAsia="宋体" w:cs="宋体"/>
          <w:spacing w:val="8"/>
          <w:sz w:val="20"/>
          <w:szCs w:val="20"/>
        </w:rPr>
        <w:t>真实性不会产生影响，但可能影响研究结果的外推</w:t>
      </w:r>
      <w:r>
        <w:rPr>
          <w:rFonts w:ascii="Times New Roman" w:hAnsi="Times New Roman" w:eastAsia="Times New Roman" w:cs="Times New Roman"/>
          <w:spacing w:val="8"/>
          <w:sz w:val="20"/>
          <w:szCs w:val="20"/>
        </w:rPr>
        <w:t>(</w:t>
      </w:r>
      <w:r>
        <w:rPr>
          <w:rFonts w:ascii="Times New Roman" w:hAnsi="Times New Roman" w:eastAsia="Times New Roman" w:cs="Times New Roman"/>
          <w:sz w:val="20"/>
          <w:szCs w:val="20"/>
        </w:rPr>
        <w:t>extrapolation</w:t>
      </w:r>
      <w:r>
        <w:rPr>
          <w:rFonts w:ascii="Times New Roman" w:hAnsi="Times New Roman" w:eastAsia="Times New Roman" w:cs="Times New Roman"/>
          <w:spacing w:val="8"/>
          <w:sz w:val="20"/>
          <w:szCs w:val="20"/>
        </w:rPr>
        <w:t>)</w:t>
      </w:r>
      <w:r>
        <w:rPr>
          <w:rFonts w:ascii="Times New Roman" w:hAnsi="Times New Roman" w:eastAsia="Times New Roman" w:cs="Times New Roman"/>
          <w:spacing w:val="-23"/>
          <w:sz w:val="20"/>
          <w:szCs w:val="20"/>
        </w:rPr>
        <w:t xml:space="preserve"> </w:t>
      </w:r>
      <w:r>
        <w:rPr>
          <w:rFonts w:ascii="宋体" w:hAnsi="宋体" w:eastAsia="宋体" w:cs="宋体"/>
          <w:spacing w:val="8"/>
          <w:sz w:val="20"/>
          <w:szCs w:val="20"/>
        </w:rPr>
        <w:t>。</w:t>
      </w:r>
      <w:r>
        <w:rPr>
          <w:rFonts w:ascii="宋体" w:hAnsi="宋体" w:eastAsia="宋体" w:cs="宋体"/>
          <w:spacing w:val="41"/>
          <w:sz w:val="20"/>
          <w:szCs w:val="20"/>
        </w:rPr>
        <w:t xml:space="preserve"> </w:t>
      </w:r>
      <w:r>
        <w:rPr>
          <w:rFonts w:ascii="宋体" w:hAnsi="宋体" w:eastAsia="宋体" w:cs="宋体"/>
          <w:spacing w:val="8"/>
          <w:sz w:val="20"/>
          <w:szCs w:val="20"/>
        </w:rPr>
        <w:t>被排除的研究对象愈多，结果</w:t>
      </w:r>
      <w:r>
        <w:rPr>
          <w:rFonts w:ascii="宋体" w:hAnsi="宋体" w:eastAsia="宋体" w:cs="宋体"/>
          <w:sz w:val="20"/>
          <w:szCs w:val="20"/>
        </w:rPr>
        <w:t xml:space="preserve">  </w:t>
      </w:r>
      <w:r>
        <w:rPr>
          <w:rFonts w:ascii="宋体" w:hAnsi="宋体" w:eastAsia="宋体" w:cs="宋体"/>
          <w:spacing w:val="10"/>
          <w:sz w:val="20"/>
          <w:szCs w:val="20"/>
        </w:rPr>
        <w:t>推广的面愈小。为了减少征募对象中被排除的人</w:t>
      </w:r>
      <w:r>
        <w:rPr>
          <w:rFonts w:ascii="宋体" w:hAnsi="宋体" w:eastAsia="宋体" w:cs="宋体"/>
          <w:spacing w:val="9"/>
          <w:sz w:val="20"/>
          <w:szCs w:val="20"/>
        </w:rPr>
        <w:t>数，研究者可在研究设计中加人试运行期</w:t>
      </w:r>
      <w:r>
        <w:rPr>
          <w:rFonts w:ascii="Times New Roman" w:hAnsi="Times New Roman" w:eastAsia="Times New Roman" w:cs="Times New Roman"/>
          <w:spacing w:val="9"/>
          <w:sz w:val="20"/>
          <w:szCs w:val="20"/>
        </w:rPr>
        <w:t>(</w:t>
      </w:r>
      <w:r>
        <w:rPr>
          <w:rFonts w:ascii="Times New Roman" w:hAnsi="Times New Roman" w:eastAsia="Times New Roman" w:cs="Times New Roman"/>
          <w:sz w:val="20"/>
          <w:szCs w:val="20"/>
        </w:rPr>
        <w:t>run</w:t>
      </w:r>
      <w:r>
        <w:rPr>
          <w:rFonts w:ascii="Times New Roman" w:hAnsi="Times New Roman" w:eastAsia="Times New Roman" w:cs="Times New Roman"/>
          <w:spacing w:val="9"/>
          <w:sz w:val="20"/>
          <w:szCs w:val="20"/>
        </w:rPr>
        <w:t>-</w:t>
      </w:r>
      <w:r>
        <w:rPr>
          <w:rFonts w:ascii="Times New Roman" w:hAnsi="Times New Roman" w:eastAsia="Times New Roman" w:cs="Times New Roman"/>
          <w:sz w:val="20"/>
          <w:szCs w:val="20"/>
        </w:rPr>
        <w:t>in     period</w:t>
      </w:r>
      <w:r>
        <w:rPr>
          <w:rFonts w:ascii="Times New Roman" w:hAnsi="Times New Roman" w:eastAsia="Times New Roman" w:cs="Times New Roman"/>
          <w:spacing w:val="5"/>
          <w:sz w:val="20"/>
          <w:szCs w:val="20"/>
        </w:rPr>
        <w:t>)</w:t>
      </w:r>
      <w:r>
        <w:rPr>
          <w:rFonts w:ascii="Times New Roman" w:hAnsi="Times New Roman" w:eastAsia="Times New Roman" w:cs="Times New Roman"/>
          <w:spacing w:val="-10"/>
          <w:sz w:val="20"/>
          <w:szCs w:val="20"/>
        </w:rPr>
        <w:t xml:space="preserve"> </w:t>
      </w:r>
      <w:r>
        <w:rPr>
          <w:rFonts w:ascii="宋体" w:hAnsi="宋体" w:eastAsia="宋体" w:cs="宋体"/>
          <w:spacing w:val="5"/>
          <w:sz w:val="20"/>
          <w:szCs w:val="20"/>
        </w:rPr>
        <w:t>。该方法是指在</w:t>
      </w:r>
      <w:r>
        <w:rPr>
          <w:rFonts w:ascii="Times New Roman" w:hAnsi="Times New Roman" w:eastAsia="Times New Roman" w:cs="Times New Roman"/>
          <w:sz w:val="20"/>
          <w:szCs w:val="20"/>
        </w:rPr>
        <w:t>RCT</w:t>
      </w:r>
      <w:r>
        <w:rPr>
          <w:rFonts w:ascii="Times New Roman" w:hAnsi="Times New Roman" w:eastAsia="Times New Roman" w:cs="Times New Roman"/>
          <w:spacing w:val="25"/>
          <w:w w:val="101"/>
          <w:sz w:val="20"/>
          <w:szCs w:val="20"/>
        </w:rPr>
        <w:t xml:space="preserve"> </w:t>
      </w:r>
      <w:r>
        <w:rPr>
          <w:rFonts w:ascii="宋体" w:hAnsi="宋体" w:eastAsia="宋体" w:cs="宋体"/>
          <w:spacing w:val="5"/>
          <w:sz w:val="20"/>
          <w:szCs w:val="20"/>
        </w:rPr>
        <w:t>随机分组之前，通过短期的试验了解研究对象的合作、依从、不能耐受</w:t>
      </w:r>
      <w:r>
        <w:rPr>
          <w:rFonts w:ascii="宋体" w:hAnsi="宋体" w:eastAsia="宋体" w:cs="宋体"/>
          <w:sz w:val="20"/>
          <w:szCs w:val="20"/>
        </w:rPr>
        <w:t xml:space="preserve"> </w:t>
      </w:r>
      <w:r>
        <w:rPr>
          <w:rFonts w:ascii="宋体" w:hAnsi="宋体" w:eastAsia="宋体" w:cs="宋体"/>
          <w:spacing w:val="3"/>
          <w:sz w:val="20"/>
          <w:szCs w:val="20"/>
        </w:rPr>
        <w:t>的不良反应等情况，从而排除可能无法坚持试验的研究对象，如对干预措施有禁忌者、无法追踪者、</w:t>
      </w:r>
      <w:r>
        <w:rPr>
          <w:rFonts w:ascii="宋体" w:hAnsi="宋体" w:eastAsia="宋体" w:cs="宋体"/>
          <w:spacing w:val="16"/>
          <w:sz w:val="20"/>
          <w:szCs w:val="20"/>
        </w:rPr>
        <w:t xml:space="preserve"> </w:t>
      </w:r>
      <w:r>
        <w:rPr>
          <w:rFonts w:ascii="宋体" w:hAnsi="宋体" w:eastAsia="宋体" w:cs="宋体"/>
          <w:spacing w:val="6"/>
          <w:sz w:val="20"/>
          <w:szCs w:val="20"/>
        </w:rPr>
        <w:t>可能失访者、拒绝参加试验者，以及不符合标准的研究对象，并在随后的试验中只选取能够参</w:t>
      </w:r>
      <w:r>
        <w:rPr>
          <w:rFonts w:ascii="宋体" w:hAnsi="宋体" w:eastAsia="宋体" w:cs="宋体"/>
          <w:spacing w:val="5"/>
          <w:sz w:val="20"/>
          <w:szCs w:val="20"/>
        </w:rPr>
        <w:t>加试</w:t>
      </w:r>
      <w:r>
        <w:rPr>
          <w:rFonts w:ascii="宋体" w:hAnsi="宋体" w:eastAsia="宋体" w:cs="宋体"/>
          <w:sz w:val="20"/>
          <w:szCs w:val="20"/>
        </w:rPr>
        <w:t xml:space="preserve">  </w:t>
      </w:r>
      <w:r>
        <w:rPr>
          <w:rFonts w:ascii="宋体" w:hAnsi="宋体" w:eastAsia="宋体" w:cs="宋体"/>
          <w:spacing w:val="8"/>
          <w:sz w:val="20"/>
          <w:szCs w:val="20"/>
        </w:rPr>
        <w:t>验者进行随机分组。医师健康研究</w:t>
      </w:r>
      <w:r>
        <w:rPr>
          <w:rFonts w:ascii="Times New Roman" w:hAnsi="Times New Roman" w:eastAsia="Times New Roman" w:cs="Times New Roman"/>
          <w:spacing w:val="8"/>
          <w:sz w:val="20"/>
          <w:szCs w:val="20"/>
        </w:rPr>
        <w:t>(</w:t>
      </w:r>
      <w:r>
        <w:rPr>
          <w:rFonts w:ascii="Times New Roman" w:hAnsi="Times New Roman" w:eastAsia="Times New Roman" w:cs="Times New Roman"/>
          <w:sz w:val="20"/>
          <w:szCs w:val="20"/>
        </w:rPr>
        <w:t>The</w:t>
      </w:r>
      <w:r>
        <w:rPr>
          <w:rFonts w:ascii="Times New Roman" w:hAnsi="Times New Roman" w:eastAsia="Times New Roman" w:cs="Times New Roman"/>
          <w:spacing w:val="8"/>
          <w:sz w:val="20"/>
          <w:szCs w:val="20"/>
        </w:rPr>
        <w:t xml:space="preserve">    </w:t>
      </w:r>
      <w:r>
        <w:rPr>
          <w:rFonts w:ascii="Times New Roman" w:hAnsi="Times New Roman" w:eastAsia="Times New Roman" w:cs="Times New Roman"/>
          <w:sz w:val="20"/>
          <w:szCs w:val="20"/>
        </w:rPr>
        <w:t>Physicians</w:t>
      </w:r>
      <w:r>
        <w:rPr>
          <w:rFonts w:ascii="Times New Roman" w:hAnsi="Times New Roman" w:eastAsia="Times New Roman" w:cs="Times New Roman"/>
          <w:spacing w:val="8"/>
          <w:sz w:val="20"/>
          <w:szCs w:val="20"/>
        </w:rPr>
        <w:t>'</w:t>
      </w:r>
      <w:r>
        <w:rPr>
          <w:rFonts w:ascii="Times New Roman" w:hAnsi="Times New Roman" w:eastAsia="Times New Roman" w:cs="Times New Roman"/>
          <w:sz w:val="20"/>
          <w:szCs w:val="20"/>
        </w:rPr>
        <w:t>Health</w:t>
      </w:r>
      <w:r>
        <w:rPr>
          <w:rFonts w:ascii="Times New Roman" w:hAnsi="Times New Roman" w:eastAsia="Times New Roman" w:cs="Times New Roman"/>
          <w:spacing w:val="8"/>
          <w:sz w:val="20"/>
          <w:szCs w:val="20"/>
        </w:rPr>
        <w:t xml:space="preserve">    </w:t>
      </w:r>
      <w:r>
        <w:rPr>
          <w:rFonts w:ascii="Times New Roman" w:hAnsi="Times New Roman" w:eastAsia="Times New Roman" w:cs="Times New Roman"/>
          <w:sz w:val="20"/>
          <w:szCs w:val="20"/>
        </w:rPr>
        <w:t>Study</w:t>
      </w:r>
      <w:r>
        <w:rPr>
          <w:rFonts w:ascii="Times New Roman" w:hAnsi="Times New Roman" w:eastAsia="Times New Roman" w:cs="Times New Roman"/>
          <w:spacing w:val="8"/>
          <w:sz w:val="20"/>
          <w:szCs w:val="20"/>
        </w:rPr>
        <w:t>)</w:t>
      </w:r>
      <w:r>
        <w:rPr>
          <w:rFonts w:ascii="宋体" w:hAnsi="宋体" w:eastAsia="宋体" w:cs="宋体"/>
          <w:spacing w:val="8"/>
          <w:sz w:val="20"/>
          <w:szCs w:val="20"/>
        </w:rPr>
        <w:t>是第一个应用试运行期方法的大</w:t>
      </w:r>
    </w:p>
    <w:p w14:paraId="02C65951">
      <w:pPr>
        <w:spacing w:line="340" w:lineRule="auto"/>
        <w:rPr>
          <w:rFonts w:ascii="宋体" w:hAnsi="宋体" w:eastAsia="宋体" w:cs="宋体"/>
          <w:sz w:val="20"/>
          <w:szCs w:val="20"/>
        </w:rPr>
        <w:sectPr>
          <w:footerReference r:id="rId128" w:type="default"/>
          <w:pgSz w:w="11900" w:h="16820"/>
          <w:pgMar w:top="400" w:right="888" w:bottom="809" w:left="1480" w:header="0" w:footer="629" w:gutter="0"/>
          <w:cols w:space="720" w:num="1"/>
        </w:sectPr>
      </w:pPr>
    </w:p>
    <w:p w14:paraId="6310F9D0">
      <w:pPr>
        <w:pStyle w:val="2"/>
        <w:spacing w:before="136" w:line="221" w:lineRule="auto"/>
        <w:ind w:left="669"/>
        <w:rPr>
          <w:sz w:val="20"/>
          <w:szCs w:val="20"/>
        </w:rPr>
      </w:pPr>
      <w:bookmarkStart w:id="180" w:name="bookmark458"/>
      <w:bookmarkEnd w:id="180"/>
      <w:r>
        <w:rPr>
          <w:spacing w:val="-12"/>
          <w:sz w:val="20"/>
          <w:szCs w:val="20"/>
        </w:rPr>
        <w:t>第六章实验流行病学</w:t>
      </w:r>
    </w:p>
    <w:p w14:paraId="080F5E78">
      <w:pPr>
        <w:spacing w:line="286" w:lineRule="auto"/>
        <w:rPr>
          <w:rFonts w:ascii="Arial"/>
          <w:sz w:val="21"/>
        </w:rPr>
      </w:pPr>
    </w:p>
    <w:p w14:paraId="3934DC1E">
      <w:pPr>
        <w:spacing w:line="286" w:lineRule="auto"/>
        <w:rPr>
          <w:rFonts w:ascii="Arial"/>
          <w:sz w:val="21"/>
        </w:rPr>
      </w:pPr>
    </w:p>
    <w:p w14:paraId="646399AB">
      <w:pPr>
        <w:spacing w:before="65" w:line="335" w:lineRule="auto"/>
        <w:ind w:left="669" w:right="16"/>
        <w:jc w:val="both"/>
        <w:rPr>
          <w:rFonts w:ascii="宋体" w:hAnsi="宋体" w:eastAsia="宋体" w:cs="宋体"/>
          <w:sz w:val="20"/>
          <w:szCs w:val="20"/>
        </w:rPr>
      </w:pPr>
      <w:r>
        <w:rPr>
          <w:rFonts w:ascii="宋体" w:hAnsi="宋体" w:eastAsia="宋体" w:cs="宋体"/>
          <w:spacing w:val="11"/>
          <w:sz w:val="20"/>
          <w:szCs w:val="20"/>
        </w:rPr>
        <w:t>规模</w:t>
      </w:r>
      <w:r>
        <w:rPr>
          <w:rFonts w:ascii="Times New Roman" w:hAnsi="Times New Roman" w:eastAsia="Times New Roman" w:cs="Times New Roman"/>
          <w:sz w:val="20"/>
          <w:szCs w:val="20"/>
        </w:rPr>
        <w:t>RCT</w:t>
      </w:r>
      <w:r>
        <w:rPr>
          <w:rFonts w:ascii="Times New Roman" w:hAnsi="Times New Roman" w:eastAsia="Times New Roman" w:cs="Times New Roman"/>
          <w:spacing w:val="11"/>
          <w:sz w:val="20"/>
          <w:szCs w:val="20"/>
        </w:rPr>
        <w:t>,</w:t>
      </w:r>
      <w:r>
        <w:rPr>
          <w:rFonts w:ascii="Times New Roman" w:hAnsi="Times New Roman" w:eastAsia="Times New Roman" w:cs="Times New Roman"/>
          <w:spacing w:val="25"/>
          <w:w w:val="101"/>
          <w:sz w:val="20"/>
          <w:szCs w:val="20"/>
        </w:rPr>
        <w:t xml:space="preserve"> </w:t>
      </w:r>
      <w:r>
        <w:rPr>
          <w:rFonts w:ascii="宋体" w:hAnsi="宋体" w:eastAsia="宋体" w:cs="宋体"/>
          <w:spacing w:val="11"/>
          <w:sz w:val="20"/>
          <w:szCs w:val="20"/>
        </w:rPr>
        <w:t>用以观察阿司匹林和β胡萝卜素在预防冠心病和肿瘤方面的作用。</w:t>
      </w:r>
      <w:r>
        <w:rPr>
          <w:rFonts w:ascii="宋体" w:hAnsi="宋体" w:eastAsia="宋体" w:cs="宋体"/>
          <w:spacing w:val="10"/>
          <w:sz w:val="20"/>
          <w:szCs w:val="20"/>
        </w:rPr>
        <w:t>通过18个月的试运</w:t>
      </w:r>
      <w:r>
        <w:rPr>
          <w:rFonts w:ascii="宋体" w:hAnsi="宋体" w:eastAsia="宋体" w:cs="宋体"/>
          <w:sz w:val="20"/>
          <w:szCs w:val="20"/>
        </w:rPr>
        <w:t xml:space="preserve"> </w:t>
      </w:r>
      <w:r>
        <w:rPr>
          <w:rFonts w:ascii="宋体" w:hAnsi="宋体" w:eastAsia="宋体" w:cs="宋体"/>
          <w:spacing w:val="9"/>
          <w:sz w:val="20"/>
          <w:szCs w:val="20"/>
        </w:rPr>
        <w:t>行期，试验排除了33%不能坚持试验者，在随后5年的随访观察中，发现</w:t>
      </w:r>
      <w:r>
        <w:rPr>
          <w:rFonts w:ascii="宋体" w:hAnsi="宋体" w:eastAsia="宋体" w:cs="宋体"/>
          <w:spacing w:val="8"/>
          <w:sz w:val="20"/>
          <w:szCs w:val="20"/>
        </w:rPr>
        <w:t>阿司匹林预防冠心病的相</w:t>
      </w:r>
      <w:r>
        <w:rPr>
          <w:rFonts w:ascii="宋体" w:hAnsi="宋体" w:eastAsia="宋体" w:cs="宋体"/>
          <w:sz w:val="20"/>
          <w:szCs w:val="20"/>
        </w:rPr>
        <w:t xml:space="preserve"> </w:t>
      </w:r>
      <w:r>
        <w:rPr>
          <w:rFonts w:ascii="宋体" w:hAnsi="宋体" w:eastAsia="宋体" w:cs="宋体"/>
          <w:spacing w:val="4"/>
          <w:sz w:val="20"/>
          <w:szCs w:val="20"/>
        </w:rPr>
        <w:t>对危险度是0.56(95%</w:t>
      </w:r>
      <w:r>
        <w:rPr>
          <w:rFonts w:ascii="宋体" w:hAnsi="宋体" w:eastAsia="宋体" w:cs="宋体"/>
          <w:sz w:val="20"/>
          <w:szCs w:val="20"/>
        </w:rPr>
        <w:t>CI</w:t>
      </w:r>
      <w:r>
        <w:rPr>
          <w:rFonts w:ascii="宋体" w:hAnsi="宋体" w:eastAsia="宋体" w:cs="宋体"/>
          <w:spacing w:val="4"/>
          <w:sz w:val="20"/>
          <w:szCs w:val="20"/>
        </w:rPr>
        <w:t>;0.45～0.70)</w:t>
      </w:r>
      <w:r>
        <w:rPr>
          <w:rFonts w:ascii="宋体" w:hAnsi="宋体" w:eastAsia="宋体" w:cs="宋体"/>
          <w:spacing w:val="3"/>
          <w:sz w:val="20"/>
          <w:szCs w:val="20"/>
        </w:rPr>
        <w:t>。如果将排除者全部纳人试验，并假设排除者在两组分布均衡</w:t>
      </w:r>
      <w:r>
        <w:rPr>
          <w:rFonts w:ascii="宋体" w:hAnsi="宋体" w:eastAsia="宋体" w:cs="宋体"/>
          <w:sz w:val="20"/>
          <w:szCs w:val="20"/>
        </w:rPr>
        <w:t xml:space="preserve"> </w:t>
      </w:r>
      <w:r>
        <w:rPr>
          <w:rFonts w:ascii="宋体" w:hAnsi="宋体" w:eastAsia="宋体" w:cs="宋体"/>
          <w:spacing w:val="5"/>
          <w:sz w:val="20"/>
          <w:szCs w:val="20"/>
        </w:rPr>
        <w:t>且无治疗效果，那么再计算的</w:t>
      </w:r>
      <w:r>
        <w:rPr>
          <w:rFonts w:ascii="Times New Roman" w:hAnsi="Times New Roman" w:eastAsia="Times New Roman" w:cs="Times New Roman"/>
          <w:sz w:val="20"/>
          <w:szCs w:val="20"/>
        </w:rPr>
        <w:t>RR</w:t>
      </w:r>
      <w:r>
        <w:rPr>
          <w:rFonts w:ascii="Times New Roman" w:hAnsi="Times New Roman" w:eastAsia="Times New Roman" w:cs="Times New Roman"/>
          <w:spacing w:val="5"/>
          <w:sz w:val="20"/>
          <w:szCs w:val="20"/>
        </w:rPr>
        <w:t xml:space="preserve"> </w:t>
      </w:r>
      <w:r>
        <w:rPr>
          <w:rFonts w:ascii="宋体" w:hAnsi="宋体" w:eastAsia="宋体" w:cs="宋体"/>
          <w:spacing w:val="5"/>
          <w:sz w:val="20"/>
          <w:szCs w:val="20"/>
        </w:rPr>
        <w:t>值为0.71,与0.56相比增加约27%。换言之，加入排除者后，很可</w:t>
      </w:r>
      <w:r>
        <w:rPr>
          <w:rFonts w:ascii="宋体" w:hAnsi="宋体" w:eastAsia="宋体" w:cs="宋体"/>
          <w:sz w:val="20"/>
          <w:szCs w:val="20"/>
        </w:rPr>
        <w:t xml:space="preserve"> </w:t>
      </w:r>
      <w:r>
        <w:rPr>
          <w:rFonts w:ascii="宋体" w:hAnsi="宋体" w:eastAsia="宋体" w:cs="宋体"/>
          <w:spacing w:val="8"/>
          <w:sz w:val="20"/>
          <w:szCs w:val="20"/>
        </w:rPr>
        <w:t>能低估或掩盖真实的疗效。所以在未应用试运行期方法的</w:t>
      </w:r>
      <w:r>
        <w:rPr>
          <w:rFonts w:ascii="Times New Roman" w:hAnsi="Times New Roman" w:eastAsia="Times New Roman" w:cs="Times New Roman"/>
          <w:sz w:val="20"/>
          <w:szCs w:val="20"/>
        </w:rPr>
        <w:t>RCT</w:t>
      </w:r>
      <w:r>
        <w:rPr>
          <w:rFonts w:ascii="Times New Roman" w:hAnsi="Times New Roman" w:eastAsia="Times New Roman" w:cs="Times New Roman"/>
          <w:spacing w:val="24"/>
          <w:w w:val="101"/>
          <w:sz w:val="20"/>
          <w:szCs w:val="20"/>
        </w:rPr>
        <w:t xml:space="preserve"> </w:t>
      </w:r>
      <w:r>
        <w:rPr>
          <w:rFonts w:ascii="宋体" w:hAnsi="宋体" w:eastAsia="宋体" w:cs="宋体"/>
          <w:spacing w:val="8"/>
          <w:sz w:val="20"/>
          <w:szCs w:val="20"/>
        </w:rPr>
        <w:t>中，即使是阴性结果也应引起人们</w:t>
      </w:r>
      <w:r>
        <w:rPr>
          <w:rFonts w:ascii="宋体" w:hAnsi="宋体" w:eastAsia="宋体" w:cs="宋体"/>
          <w:sz w:val="20"/>
          <w:szCs w:val="20"/>
        </w:rPr>
        <w:t xml:space="preserve"> </w:t>
      </w:r>
      <w:r>
        <w:rPr>
          <w:rFonts w:ascii="宋体" w:hAnsi="宋体" w:eastAsia="宋体" w:cs="宋体"/>
          <w:spacing w:val="7"/>
          <w:sz w:val="20"/>
          <w:szCs w:val="20"/>
        </w:rPr>
        <w:t>高度重视。</w:t>
      </w:r>
    </w:p>
    <w:p w14:paraId="374250A7">
      <w:pPr>
        <w:pStyle w:val="2"/>
        <w:spacing w:before="41" w:line="222" w:lineRule="auto"/>
        <w:ind w:left="1082"/>
        <w:rPr>
          <w:sz w:val="20"/>
          <w:szCs w:val="20"/>
        </w:rPr>
      </w:pPr>
      <w:r>
        <w:rPr>
          <w:b/>
          <w:bCs/>
          <w:spacing w:val="-16"/>
          <w:sz w:val="20"/>
          <w:szCs w:val="20"/>
        </w:rPr>
        <w:t>(</w:t>
      </w:r>
      <w:r>
        <w:rPr>
          <w:spacing w:val="-33"/>
          <w:sz w:val="20"/>
          <w:szCs w:val="20"/>
        </w:rPr>
        <w:t xml:space="preserve"> </w:t>
      </w:r>
      <w:r>
        <w:rPr>
          <w:b/>
          <w:bCs/>
          <w:spacing w:val="-16"/>
          <w:sz w:val="20"/>
          <w:szCs w:val="20"/>
        </w:rPr>
        <w:t>二</w:t>
      </w:r>
      <w:r>
        <w:rPr>
          <w:spacing w:val="-39"/>
          <w:sz w:val="20"/>
          <w:szCs w:val="20"/>
        </w:rPr>
        <w:t xml:space="preserve"> </w:t>
      </w:r>
      <w:r>
        <w:rPr>
          <w:b/>
          <w:bCs/>
          <w:spacing w:val="-16"/>
          <w:sz w:val="20"/>
          <w:szCs w:val="20"/>
        </w:rPr>
        <w:t>)</w:t>
      </w:r>
      <w:r>
        <w:rPr>
          <w:spacing w:val="-37"/>
          <w:sz w:val="20"/>
          <w:szCs w:val="20"/>
        </w:rPr>
        <w:t xml:space="preserve"> </w:t>
      </w:r>
      <w:r>
        <w:rPr>
          <w:b/>
          <w:bCs/>
          <w:spacing w:val="-16"/>
          <w:sz w:val="20"/>
          <w:szCs w:val="20"/>
        </w:rPr>
        <w:t>退</w:t>
      </w:r>
      <w:r>
        <w:rPr>
          <w:spacing w:val="-23"/>
          <w:sz w:val="20"/>
          <w:szCs w:val="20"/>
        </w:rPr>
        <w:t xml:space="preserve"> </w:t>
      </w:r>
      <w:r>
        <w:rPr>
          <w:b/>
          <w:bCs/>
          <w:spacing w:val="-16"/>
          <w:sz w:val="20"/>
          <w:szCs w:val="20"/>
        </w:rPr>
        <w:t>出</w:t>
      </w:r>
    </w:p>
    <w:p w14:paraId="42609CA4">
      <w:pPr>
        <w:spacing w:before="109" w:line="355" w:lineRule="auto"/>
        <w:ind w:left="669" w:right="2" w:firstLine="409"/>
        <w:rPr>
          <w:rFonts w:ascii="宋体" w:hAnsi="宋体" w:eastAsia="宋体" w:cs="宋体"/>
          <w:sz w:val="20"/>
          <w:szCs w:val="20"/>
        </w:rPr>
      </w:pPr>
      <w:r>
        <w:rPr>
          <w:rFonts w:ascii="宋体" w:hAnsi="宋体" w:eastAsia="宋体" w:cs="宋体"/>
          <w:spacing w:val="4"/>
          <w:sz w:val="20"/>
          <w:szCs w:val="20"/>
        </w:rPr>
        <w:t>退 出</w:t>
      </w:r>
      <w:r>
        <w:rPr>
          <w:rFonts w:ascii="Times New Roman" w:hAnsi="Times New Roman" w:eastAsia="Times New Roman" w:cs="Times New Roman"/>
          <w:spacing w:val="4"/>
          <w:sz w:val="20"/>
          <w:szCs w:val="20"/>
        </w:rPr>
        <w:t>(</w:t>
      </w:r>
      <w:r>
        <w:rPr>
          <w:rFonts w:ascii="Times New Roman" w:hAnsi="Times New Roman" w:eastAsia="Times New Roman" w:cs="Times New Roman"/>
          <w:sz w:val="20"/>
          <w:szCs w:val="20"/>
        </w:rPr>
        <w:t>withdrawal</w:t>
      </w:r>
      <w:r>
        <w:rPr>
          <w:rFonts w:ascii="Times New Roman" w:hAnsi="Times New Roman" w:eastAsia="Times New Roman" w:cs="Times New Roman"/>
          <w:spacing w:val="4"/>
          <w:sz w:val="20"/>
          <w:szCs w:val="20"/>
        </w:rPr>
        <w:t>)</w:t>
      </w:r>
      <w:r>
        <w:rPr>
          <w:rFonts w:ascii="Times New Roman" w:hAnsi="Times New Roman" w:eastAsia="Times New Roman" w:cs="Times New Roman"/>
          <w:spacing w:val="53"/>
          <w:w w:val="101"/>
          <w:sz w:val="20"/>
          <w:szCs w:val="20"/>
        </w:rPr>
        <w:t xml:space="preserve"> </w:t>
      </w:r>
      <w:r>
        <w:rPr>
          <w:rFonts w:ascii="宋体" w:hAnsi="宋体" w:eastAsia="宋体" w:cs="宋体"/>
          <w:spacing w:val="4"/>
          <w:sz w:val="20"/>
          <w:szCs w:val="20"/>
        </w:rPr>
        <w:t>指研究对象在随机分配后从试验组或对照组退出。这不仅会造成原定的样本</w:t>
      </w:r>
      <w:r>
        <w:rPr>
          <w:rFonts w:ascii="宋体" w:hAnsi="宋体" w:eastAsia="宋体" w:cs="宋体"/>
          <w:sz w:val="20"/>
          <w:szCs w:val="20"/>
        </w:rPr>
        <w:t xml:space="preserve"> </w:t>
      </w:r>
      <w:r>
        <w:rPr>
          <w:rFonts w:ascii="宋体" w:hAnsi="宋体" w:eastAsia="宋体" w:cs="宋体"/>
          <w:spacing w:val="1"/>
          <w:sz w:val="20"/>
          <w:szCs w:val="20"/>
        </w:rPr>
        <w:t>量不足，使研究工作效力降低，且易产生偏倚。退出的原因可能有以下几种：</w:t>
      </w:r>
    </w:p>
    <w:p w14:paraId="2C56EFC9">
      <w:pPr>
        <w:spacing w:before="1" w:line="327" w:lineRule="auto"/>
        <w:ind w:left="669" w:right="11" w:firstLine="409"/>
        <w:rPr>
          <w:rFonts w:ascii="宋体" w:hAnsi="宋体" w:eastAsia="宋体" w:cs="宋体"/>
          <w:sz w:val="20"/>
          <w:szCs w:val="20"/>
        </w:rPr>
      </w:pPr>
      <w:r>
        <w:rPr>
          <w:rFonts w:ascii="Times New Roman" w:hAnsi="Times New Roman" w:eastAsia="Times New Roman" w:cs="Times New Roman"/>
          <w:spacing w:val="5"/>
          <w:sz w:val="20"/>
          <w:szCs w:val="20"/>
        </w:rPr>
        <w:t>1.</w:t>
      </w:r>
      <w:r>
        <w:rPr>
          <w:rFonts w:ascii="Times New Roman" w:hAnsi="Times New Roman" w:eastAsia="Times New Roman" w:cs="Times New Roman"/>
          <w:spacing w:val="26"/>
          <w:w w:val="101"/>
          <w:sz w:val="20"/>
          <w:szCs w:val="20"/>
        </w:rPr>
        <w:t xml:space="preserve">  </w:t>
      </w:r>
      <w:r>
        <w:rPr>
          <w:rFonts w:ascii="宋体" w:hAnsi="宋体" w:eastAsia="宋体" w:cs="宋体"/>
          <w:spacing w:val="5"/>
          <w:sz w:val="20"/>
          <w:szCs w:val="20"/>
        </w:rPr>
        <w:t>不合格</w:t>
      </w:r>
      <w:r>
        <w:rPr>
          <w:rFonts w:ascii="Times New Roman" w:hAnsi="Times New Roman" w:eastAsia="Times New Roman" w:cs="Times New Roman"/>
          <w:spacing w:val="5"/>
          <w:sz w:val="20"/>
          <w:szCs w:val="20"/>
        </w:rPr>
        <w:t>(</w:t>
      </w:r>
      <w:r>
        <w:rPr>
          <w:rFonts w:ascii="Times New Roman" w:hAnsi="Times New Roman" w:eastAsia="Times New Roman" w:cs="Times New Roman"/>
          <w:sz w:val="20"/>
          <w:szCs w:val="20"/>
        </w:rPr>
        <w:t>ineligibility</w:t>
      </w:r>
      <w:r>
        <w:rPr>
          <w:rFonts w:ascii="Times New Roman" w:hAnsi="Times New Roman" w:eastAsia="Times New Roman" w:cs="Times New Roman"/>
          <w:spacing w:val="5"/>
          <w:sz w:val="20"/>
          <w:szCs w:val="20"/>
        </w:rPr>
        <w:t xml:space="preserve">)  </w:t>
      </w:r>
      <w:r>
        <w:rPr>
          <w:rFonts w:ascii="宋体" w:hAnsi="宋体" w:eastAsia="宋体" w:cs="宋体"/>
          <w:spacing w:val="5"/>
          <w:sz w:val="20"/>
          <w:szCs w:val="20"/>
        </w:rPr>
        <w:t>的研究对象 在资料整理时，一般要把不合格的研究对象剔除，包括不</w:t>
      </w:r>
      <w:r>
        <w:rPr>
          <w:rFonts w:ascii="宋体" w:hAnsi="宋体" w:eastAsia="宋体" w:cs="宋体"/>
          <w:sz w:val="20"/>
          <w:szCs w:val="20"/>
        </w:rPr>
        <w:t xml:space="preserve"> </w:t>
      </w:r>
      <w:r>
        <w:rPr>
          <w:rFonts w:ascii="宋体" w:hAnsi="宋体" w:eastAsia="宋体" w:cs="宋体"/>
          <w:spacing w:val="4"/>
          <w:sz w:val="20"/>
          <w:szCs w:val="20"/>
        </w:rPr>
        <w:t>符合纳人标准者、一次也没有接受干预措施或没有任何数据者。但需注意的是，在试验研究时，研</w:t>
      </w:r>
      <w:r>
        <w:rPr>
          <w:rFonts w:ascii="宋体" w:hAnsi="宋体" w:eastAsia="宋体" w:cs="宋体"/>
          <w:spacing w:val="5"/>
          <w:sz w:val="20"/>
          <w:szCs w:val="20"/>
        </w:rPr>
        <w:t xml:space="preserve"> </w:t>
      </w:r>
      <w:r>
        <w:rPr>
          <w:rFonts w:ascii="宋体" w:hAnsi="宋体" w:eastAsia="宋体" w:cs="宋体"/>
          <w:spacing w:val="4"/>
          <w:sz w:val="20"/>
          <w:szCs w:val="20"/>
        </w:rPr>
        <w:t>究者对试验组往往观察仔细，因此试验组中的不合格者比较容易发现，结果造成因不合格而被剔除</w:t>
      </w:r>
      <w:r>
        <w:rPr>
          <w:rFonts w:ascii="宋体" w:hAnsi="宋体" w:eastAsia="宋体" w:cs="宋体"/>
          <w:spacing w:val="7"/>
          <w:sz w:val="20"/>
          <w:szCs w:val="20"/>
        </w:rPr>
        <w:t xml:space="preserve"> </w:t>
      </w:r>
      <w:r>
        <w:rPr>
          <w:rFonts w:ascii="宋体" w:hAnsi="宋体" w:eastAsia="宋体" w:cs="宋体"/>
          <w:spacing w:val="4"/>
          <w:sz w:val="20"/>
          <w:szCs w:val="20"/>
        </w:rPr>
        <w:t>的人数多于对照组。另外，研究者对某些研究对象的反应的观察与判断可能有倾向性，如对效果差</w:t>
      </w:r>
      <w:r>
        <w:rPr>
          <w:rFonts w:ascii="宋体" w:hAnsi="宋体" w:eastAsia="宋体" w:cs="宋体"/>
          <w:spacing w:val="7"/>
          <w:sz w:val="20"/>
          <w:szCs w:val="20"/>
        </w:rPr>
        <w:t xml:space="preserve"> </w:t>
      </w:r>
      <w:r>
        <w:rPr>
          <w:rFonts w:ascii="宋体" w:hAnsi="宋体" w:eastAsia="宋体" w:cs="宋体"/>
          <w:spacing w:val="4"/>
          <w:sz w:val="20"/>
          <w:szCs w:val="20"/>
        </w:rPr>
        <w:t>者可能特别注意，造成更易于从中发现其不符合标准并将其剔除，而留在组内的往往是效果较好的</w:t>
      </w:r>
      <w:r>
        <w:rPr>
          <w:rFonts w:ascii="宋体" w:hAnsi="宋体" w:eastAsia="宋体" w:cs="宋体"/>
          <w:spacing w:val="12"/>
          <w:sz w:val="20"/>
          <w:szCs w:val="20"/>
        </w:rPr>
        <w:t xml:space="preserve"> </w:t>
      </w:r>
      <w:r>
        <w:rPr>
          <w:rFonts w:ascii="宋体" w:hAnsi="宋体" w:eastAsia="宋体" w:cs="宋体"/>
          <w:spacing w:val="4"/>
          <w:sz w:val="20"/>
          <w:szCs w:val="20"/>
        </w:rPr>
        <w:t>研究对象，由此而得出的结论往往比实际的效果要好。为了防止因对研究对象的剔除造成偏倚，有</w:t>
      </w:r>
      <w:r>
        <w:rPr>
          <w:rFonts w:ascii="宋体" w:hAnsi="宋体" w:eastAsia="宋体" w:cs="宋体"/>
          <w:spacing w:val="7"/>
          <w:sz w:val="20"/>
          <w:szCs w:val="20"/>
        </w:rPr>
        <w:t xml:space="preserve"> </w:t>
      </w:r>
      <w:r>
        <w:rPr>
          <w:rFonts w:ascii="宋体" w:hAnsi="宋体" w:eastAsia="宋体" w:cs="宋体"/>
          <w:spacing w:val="-1"/>
          <w:sz w:val="20"/>
          <w:szCs w:val="20"/>
        </w:rPr>
        <w:t>的学者主张在随机分配后发现不符合标准者，可根据人选标准将研究对象分为“合格者”和“不合格</w:t>
      </w:r>
      <w:r>
        <w:rPr>
          <w:rFonts w:ascii="宋体" w:hAnsi="宋体" w:eastAsia="宋体" w:cs="宋体"/>
          <w:spacing w:val="18"/>
          <w:sz w:val="20"/>
          <w:szCs w:val="20"/>
        </w:rPr>
        <w:t xml:space="preserve"> </w:t>
      </w:r>
      <w:r>
        <w:rPr>
          <w:rFonts w:ascii="宋体" w:hAnsi="宋体" w:eastAsia="宋体" w:cs="宋体"/>
          <w:sz w:val="20"/>
          <w:szCs w:val="20"/>
        </w:rPr>
        <w:t>者”两个亚组分别进行分析，如果两者结果不一致，则在下结论时应慎重。</w:t>
      </w:r>
      <w:r>
        <w:rPr>
          <w:rFonts w:ascii="宋体" w:hAnsi="宋体" w:eastAsia="宋体" w:cs="宋体"/>
          <w:spacing w:val="-1"/>
          <w:sz w:val="20"/>
          <w:szCs w:val="20"/>
        </w:rPr>
        <w:t>另外，对不合格者也可以</w:t>
      </w:r>
      <w:r>
        <w:rPr>
          <w:rFonts w:ascii="宋体" w:hAnsi="宋体" w:eastAsia="宋体" w:cs="宋体"/>
          <w:sz w:val="20"/>
          <w:szCs w:val="20"/>
        </w:rPr>
        <w:t xml:space="preserve"> 保留在原组，采用意向治疗分析</w:t>
      </w:r>
      <w:r>
        <w:rPr>
          <w:rFonts w:ascii="Times New Roman" w:hAnsi="Times New Roman" w:eastAsia="Times New Roman" w:cs="Times New Roman"/>
          <w:sz w:val="20"/>
          <w:szCs w:val="20"/>
        </w:rPr>
        <w:t>(intention-to-treat</w:t>
      </w:r>
      <w:r>
        <w:rPr>
          <w:rFonts w:ascii="Times New Roman" w:hAnsi="Times New Roman" w:eastAsia="Times New Roman" w:cs="Times New Roman"/>
          <w:spacing w:val="21"/>
          <w:w w:val="101"/>
          <w:sz w:val="20"/>
          <w:szCs w:val="20"/>
        </w:rPr>
        <w:t xml:space="preserve">  </w:t>
      </w:r>
      <w:r>
        <w:rPr>
          <w:rFonts w:ascii="Times New Roman" w:hAnsi="Times New Roman" w:eastAsia="Times New Roman" w:cs="Times New Roman"/>
          <w:sz w:val="20"/>
          <w:szCs w:val="20"/>
        </w:rPr>
        <w:t>analysis,ITT</w:t>
      </w:r>
      <w:r>
        <w:rPr>
          <w:rFonts w:ascii="Times New Roman" w:hAnsi="Times New Roman" w:eastAsia="Times New Roman" w:cs="Times New Roman"/>
          <w:spacing w:val="22"/>
          <w:sz w:val="20"/>
          <w:szCs w:val="20"/>
        </w:rPr>
        <w:t xml:space="preserve">  </w:t>
      </w:r>
      <w:r>
        <w:rPr>
          <w:rFonts w:ascii="Times New Roman" w:hAnsi="Times New Roman" w:eastAsia="Times New Roman" w:cs="Times New Roman"/>
          <w:sz w:val="20"/>
          <w:szCs w:val="20"/>
        </w:rPr>
        <w:t>ana</w:t>
      </w:r>
      <w:r>
        <w:rPr>
          <w:rFonts w:ascii="Times New Roman" w:hAnsi="Times New Roman" w:eastAsia="Times New Roman" w:cs="Times New Roman"/>
          <w:spacing w:val="-1"/>
          <w:sz w:val="20"/>
          <w:szCs w:val="20"/>
        </w:rPr>
        <w:t>lysis)</w:t>
      </w:r>
      <w:r>
        <w:rPr>
          <w:rFonts w:ascii="宋体" w:hAnsi="宋体" w:eastAsia="宋体" w:cs="宋体"/>
          <w:spacing w:val="-1"/>
          <w:sz w:val="20"/>
          <w:szCs w:val="20"/>
        </w:rPr>
        <w:t>。</w:t>
      </w:r>
    </w:p>
    <w:p w14:paraId="7486C54C">
      <w:pPr>
        <w:spacing w:before="180" w:line="314" w:lineRule="auto"/>
        <w:ind w:left="669" w:right="3" w:firstLine="409"/>
        <w:rPr>
          <w:rFonts w:ascii="宋体" w:hAnsi="宋体" w:eastAsia="宋体" w:cs="宋体"/>
          <w:sz w:val="20"/>
          <w:szCs w:val="20"/>
        </w:rPr>
      </w:pPr>
      <w:r>
        <w:rPr>
          <w:rFonts w:ascii="Times New Roman" w:hAnsi="Times New Roman" w:eastAsia="Times New Roman" w:cs="Times New Roman"/>
          <w:spacing w:val="6"/>
          <w:sz w:val="20"/>
          <w:szCs w:val="20"/>
        </w:rPr>
        <w:t>2.</w:t>
      </w:r>
      <w:r>
        <w:rPr>
          <w:rFonts w:ascii="Times New Roman" w:hAnsi="Times New Roman" w:eastAsia="Times New Roman" w:cs="Times New Roman"/>
          <w:spacing w:val="24"/>
          <w:w w:val="101"/>
          <w:sz w:val="20"/>
          <w:szCs w:val="20"/>
        </w:rPr>
        <w:t xml:space="preserve">  </w:t>
      </w:r>
      <w:r>
        <w:rPr>
          <w:rFonts w:ascii="宋体" w:hAnsi="宋体" w:eastAsia="宋体" w:cs="宋体"/>
          <w:spacing w:val="6"/>
          <w:sz w:val="20"/>
          <w:szCs w:val="20"/>
        </w:rPr>
        <w:t>不依从</w:t>
      </w:r>
      <w:r>
        <w:rPr>
          <w:rFonts w:ascii="Times New Roman" w:hAnsi="Times New Roman" w:eastAsia="Times New Roman" w:cs="Times New Roman"/>
          <w:spacing w:val="6"/>
          <w:sz w:val="20"/>
          <w:szCs w:val="20"/>
        </w:rPr>
        <w:t>(</w:t>
      </w:r>
      <w:r>
        <w:rPr>
          <w:rFonts w:ascii="Times New Roman" w:hAnsi="Times New Roman" w:eastAsia="Times New Roman" w:cs="Times New Roman"/>
          <w:sz w:val="20"/>
          <w:szCs w:val="20"/>
        </w:rPr>
        <w:t>noncompliance</w:t>
      </w:r>
      <w:r>
        <w:rPr>
          <w:rFonts w:ascii="Times New Roman" w:hAnsi="Times New Roman" w:eastAsia="Times New Roman" w:cs="Times New Roman"/>
          <w:spacing w:val="6"/>
          <w:sz w:val="20"/>
          <w:szCs w:val="20"/>
        </w:rPr>
        <w:t>)</w:t>
      </w:r>
      <w:r>
        <w:rPr>
          <w:rFonts w:ascii="Times New Roman" w:hAnsi="Times New Roman" w:eastAsia="Times New Roman" w:cs="Times New Roman"/>
          <w:spacing w:val="17"/>
          <w:sz w:val="20"/>
          <w:szCs w:val="20"/>
        </w:rPr>
        <w:t xml:space="preserve">  </w:t>
      </w:r>
      <w:r>
        <w:rPr>
          <w:rFonts w:ascii="宋体" w:hAnsi="宋体" w:eastAsia="宋体" w:cs="宋体"/>
          <w:spacing w:val="6"/>
          <w:sz w:val="20"/>
          <w:szCs w:val="20"/>
        </w:rPr>
        <w:t>的研究对象</w:t>
      </w:r>
      <w:r>
        <w:rPr>
          <w:rFonts w:ascii="宋体" w:hAnsi="宋体" w:eastAsia="宋体" w:cs="宋体"/>
          <w:spacing w:val="71"/>
          <w:sz w:val="20"/>
          <w:szCs w:val="20"/>
        </w:rPr>
        <w:t xml:space="preserve"> </w:t>
      </w:r>
      <w:r>
        <w:rPr>
          <w:rFonts w:ascii="宋体" w:hAnsi="宋体" w:eastAsia="宋体" w:cs="宋体"/>
          <w:spacing w:val="6"/>
          <w:sz w:val="20"/>
          <w:szCs w:val="20"/>
        </w:rPr>
        <w:t>是指在随机分组后，不遵守试验所规定的要求的研究</w:t>
      </w:r>
      <w:r>
        <w:rPr>
          <w:rFonts w:ascii="宋体" w:hAnsi="宋体" w:eastAsia="宋体" w:cs="宋体"/>
          <w:sz w:val="20"/>
          <w:szCs w:val="20"/>
        </w:rPr>
        <w:t xml:space="preserve"> </w:t>
      </w:r>
      <w:r>
        <w:rPr>
          <w:rFonts w:ascii="宋体" w:hAnsi="宋体" w:eastAsia="宋体" w:cs="宋体"/>
          <w:spacing w:val="6"/>
          <w:sz w:val="20"/>
          <w:szCs w:val="20"/>
        </w:rPr>
        <w:t>对象。试验组成员不遵守干预规程，相当于退出或脱落</w:t>
      </w:r>
      <w:r>
        <w:rPr>
          <w:rFonts w:ascii="Times New Roman" w:hAnsi="Times New Roman" w:eastAsia="Times New Roman" w:cs="Times New Roman"/>
          <w:spacing w:val="6"/>
          <w:sz w:val="20"/>
          <w:szCs w:val="20"/>
        </w:rPr>
        <w:t>(</w:t>
      </w:r>
      <w:r>
        <w:rPr>
          <w:rFonts w:ascii="Times New Roman" w:hAnsi="Times New Roman" w:eastAsia="Times New Roman" w:cs="Times New Roman"/>
          <w:sz w:val="20"/>
          <w:szCs w:val="20"/>
        </w:rPr>
        <w:t>withdrawal</w:t>
      </w:r>
      <w:r>
        <w:rPr>
          <w:rFonts w:ascii="Times New Roman" w:hAnsi="Times New Roman" w:eastAsia="Times New Roman" w:cs="Times New Roman"/>
          <w:spacing w:val="6"/>
          <w:sz w:val="20"/>
          <w:szCs w:val="20"/>
        </w:rPr>
        <w:t>;</w:t>
      </w:r>
      <w:r>
        <w:rPr>
          <w:rFonts w:ascii="Times New Roman" w:hAnsi="Times New Roman" w:eastAsia="Times New Roman" w:cs="Times New Roman"/>
          <w:sz w:val="20"/>
          <w:szCs w:val="20"/>
        </w:rPr>
        <w:t>drop</w:t>
      </w:r>
      <w:r>
        <w:rPr>
          <w:rFonts w:ascii="Times New Roman" w:hAnsi="Times New Roman" w:eastAsia="Times New Roman" w:cs="Times New Roman"/>
          <w:spacing w:val="6"/>
          <w:sz w:val="20"/>
          <w:szCs w:val="20"/>
        </w:rPr>
        <w:t>-</w:t>
      </w:r>
      <w:r>
        <w:rPr>
          <w:rFonts w:ascii="Times New Roman" w:hAnsi="Times New Roman" w:eastAsia="Times New Roman" w:cs="Times New Roman"/>
          <w:sz w:val="20"/>
          <w:szCs w:val="20"/>
        </w:rPr>
        <w:t>out</w:t>
      </w:r>
      <w:r>
        <w:rPr>
          <w:rFonts w:ascii="Times New Roman" w:hAnsi="Times New Roman" w:eastAsia="Times New Roman" w:cs="Times New Roman"/>
          <w:spacing w:val="6"/>
          <w:sz w:val="20"/>
          <w:szCs w:val="20"/>
        </w:rPr>
        <w:t>)</w:t>
      </w:r>
      <w:r>
        <w:rPr>
          <w:rFonts w:ascii="Times New Roman" w:hAnsi="Times New Roman" w:eastAsia="Times New Roman" w:cs="Times New Roman"/>
          <w:sz w:val="20"/>
          <w:szCs w:val="20"/>
        </w:rPr>
        <w:t xml:space="preserve">    </w:t>
      </w:r>
      <w:r>
        <w:rPr>
          <w:rFonts w:ascii="宋体" w:hAnsi="宋体" w:eastAsia="宋体" w:cs="宋体"/>
          <w:spacing w:val="6"/>
          <w:sz w:val="20"/>
          <w:szCs w:val="20"/>
        </w:rPr>
        <w:t>试验组；</w:t>
      </w:r>
      <w:r>
        <w:rPr>
          <w:rFonts w:ascii="宋体" w:hAnsi="宋体" w:eastAsia="宋体" w:cs="宋体"/>
          <w:spacing w:val="5"/>
          <w:sz w:val="20"/>
          <w:szCs w:val="20"/>
        </w:rPr>
        <w:t>对照组成员</w:t>
      </w:r>
      <w:r>
        <w:rPr>
          <w:rFonts w:ascii="宋体" w:hAnsi="宋体" w:eastAsia="宋体" w:cs="宋体"/>
          <w:spacing w:val="2"/>
          <w:sz w:val="20"/>
          <w:szCs w:val="20"/>
        </w:rPr>
        <w:t xml:space="preserve"> </w:t>
      </w:r>
      <w:r>
        <w:rPr>
          <w:rFonts w:ascii="宋体" w:hAnsi="宋体" w:eastAsia="宋体" w:cs="宋体"/>
          <w:spacing w:val="8"/>
          <w:sz w:val="20"/>
          <w:szCs w:val="20"/>
        </w:rPr>
        <w:t>不遵守对照规程而私下接受干预规程，相当于加人</w:t>
      </w:r>
      <w:r>
        <w:rPr>
          <w:rFonts w:ascii="Times New Roman" w:hAnsi="Times New Roman" w:eastAsia="Times New Roman" w:cs="Times New Roman"/>
          <w:spacing w:val="8"/>
          <w:sz w:val="20"/>
          <w:szCs w:val="20"/>
        </w:rPr>
        <w:t>(</w:t>
      </w:r>
      <w:r>
        <w:rPr>
          <w:rFonts w:ascii="Times New Roman" w:hAnsi="Times New Roman" w:eastAsia="Times New Roman" w:cs="Times New Roman"/>
          <w:sz w:val="20"/>
          <w:szCs w:val="20"/>
        </w:rPr>
        <w:t>drop</w:t>
      </w:r>
      <w:r>
        <w:rPr>
          <w:rFonts w:ascii="Times New Roman" w:hAnsi="Times New Roman" w:eastAsia="Times New Roman" w:cs="Times New Roman"/>
          <w:spacing w:val="8"/>
          <w:sz w:val="20"/>
          <w:szCs w:val="20"/>
        </w:rPr>
        <w:t>-</w:t>
      </w:r>
      <w:r>
        <w:rPr>
          <w:rFonts w:ascii="Times New Roman" w:hAnsi="Times New Roman" w:eastAsia="Times New Roman" w:cs="Times New Roman"/>
          <w:sz w:val="20"/>
          <w:szCs w:val="20"/>
        </w:rPr>
        <w:t>in</w:t>
      </w:r>
      <w:r>
        <w:rPr>
          <w:rFonts w:ascii="Times New Roman" w:hAnsi="Times New Roman" w:eastAsia="Times New Roman" w:cs="Times New Roman"/>
          <w:spacing w:val="8"/>
          <w:sz w:val="20"/>
          <w:szCs w:val="20"/>
        </w:rPr>
        <w:t xml:space="preserve">)  </w:t>
      </w:r>
      <w:r>
        <w:rPr>
          <w:rFonts w:ascii="宋体" w:hAnsi="宋体" w:eastAsia="宋体" w:cs="宋体"/>
          <w:spacing w:val="8"/>
          <w:sz w:val="20"/>
          <w:szCs w:val="20"/>
        </w:rPr>
        <w:t>试验组。研究对象不遵守试验规程的</w:t>
      </w:r>
      <w:r>
        <w:rPr>
          <w:rFonts w:ascii="宋体" w:hAnsi="宋体" w:eastAsia="宋体" w:cs="宋体"/>
          <w:spacing w:val="18"/>
          <w:sz w:val="20"/>
          <w:szCs w:val="20"/>
        </w:rPr>
        <w:t xml:space="preserve"> </w:t>
      </w:r>
      <w:r>
        <w:rPr>
          <w:rFonts w:ascii="宋体" w:hAnsi="宋体" w:eastAsia="宋体" w:cs="宋体"/>
          <w:spacing w:val="5"/>
          <w:sz w:val="20"/>
          <w:szCs w:val="20"/>
        </w:rPr>
        <w:t>原因一般有以下几种：①试验或对照措施有副作用；②研究</w:t>
      </w:r>
      <w:r>
        <w:rPr>
          <w:rFonts w:ascii="宋体" w:hAnsi="宋体" w:eastAsia="宋体" w:cs="宋体"/>
          <w:spacing w:val="4"/>
          <w:sz w:val="20"/>
          <w:szCs w:val="20"/>
        </w:rPr>
        <w:t>对象对试验不感兴趣；③研究对象的情</w:t>
      </w:r>
      <w:r>
        <w:rPr>
          <w:rFonts w:ascii="宋体" w:hAnsi="宋体" w:eastAsia="宋体" w:cs="宋体"/>
          <w:sz w:val="20"/>
          <w:szCs w:val="20"/>
        </w:rPr>
        <w:t xml:space="preserve"> 况发生改变，如病情加重等。</w:t>
      </w:r>
    </w:p>
    <w:p w14:paraId="4EE71371">
      <w:pPr>
        <w:spacing w:before="192" w:line="333" w:lineRule="auto"/>
        <w:ind w:left="669" w:right="3" w:firstLine="409"/>
        <w:jc w:val="both"/>
        <w:rPr>
          <w:rFonts w:ascii="宋体" w:hAnsi="宋体" w:eastAsia="宋体" w:cs="宋体"/>
          <w:sz w:val="20"/>
          <w:szCs w:val="20"/>
        </w:rPr>
      </w:pPr>
      <w:r>
        <w:rPr>
          <w:rFonts w:ascii="宋体" w:hAnsi="宋体" w:eastAsia="宋体" w:cs="宋体"/>
          <w:spacing w:val="4"/>
          <w:sz w:val="20"/>
          <w:szCs w:val="20"/>
        </w:rPr>
        <w:t>为了防止和减少不依从者的出现，对研究对象要进行宣传教育，讲清试验目的、意义和依从性</w:t>
      </w:r>
      <w:r>
        <w:rPr>
          <w:rFonts w:ascii="宋体" w:hAnsi="宋体" w:eastAsia="宋体" w:cs="宋体"/>
          <w:spacing w:val="3"/>
          <w:sz w:val="20"/>
          <w:szCs w:val="20"/>
        </w:rPr>
        <w:t xml:space="preserve"> </w:t>
      </w:r>
      <w:r>
        <w:rPr>
          <w:rFonts w:ascii="宋体" w:hAnsi="宋体" w:eastAsia="宋体" w:cs="宋体"/>
          <w:spacing w:val="4"/>
          <w:sz w:val="20"/>
          <w:szCs w:val="20"/>
        </w:rPr>
        <w:t>的重要性；要注意设计的合理性，试验期限不宜过长；要简化干预措施等，以便取得研究对象的支</w:t>
      </w:r>
      <w:r>
        <w:rPr>
          <w:rFonts w:ascii="宋体" w:hAnsi="宋体" w:eastAsia="宋体" w:cs="宋体"/>
          <w:spacing w:val="7"/>
          <w:sz w:val="20"/>
          <w:szCs w:val="20"/>
        </w:rPr>
        <w:t xml:space="preserve"> </w:t>
      </w:r>
      <w:r>
        <w:rPr>
          <w:rFonts w:ascii="宋体" w:hAnsi="宋体" w:eastAsia="宋体" w:cs="宋体"/>
          <w:spacing w:val="5"/>
          <w:sz w:val="20"/>
          <w:szCs w:val="20"/>
        </w:rPr>
        <w:t>持与合作。对不依从者不能剔除，应采用</w:t>
      </w:r>
      <w:r>
        <w:rPr>
          <w:rFonts w:ascii="宋体" w:hAnsi="宋体" w:eastAsia="宋体" w:cs="宋体"/>
          <w:sz w:val="20"/>
          <w:szCs w:val="20"/>
        </w:rPr>
        <w:t>ITT</w:t>
      </w:r>
      <w:r>
        <w:rPr>
          <w:rFonts w:ascii="宋体" w:hAnsi="宋体" w:eastAsia="宋体" w:cs="宋体"/>
          <w:spacing w:val="-7"/>
          <w:sz w:val="20"/>
          <w:szCs w:val="20"/>
        </w:rPr>
        <w:t xml:space="preserve"> </w:t>
      </w:r>
      <w:r>
        <w:rPr>
          <w:rFonts w:ascii="宋体" w:hAnsi="宋体" w:eastAsia="宋体" w:cs="宋体"/>
          <w:spacing w:val="5"/>
          <w:sz w:val="20"/>
          <w:szCs w:val="20"/>
        </w:rPr>
        <w:t>分析。此外，还要调查不依从的原因与程度并详细记</w:t>
      </w:r>
      <w:r>
        <w:rPr>
          <w:rFonts w:ascii="宋体" w:hAnsi="宋体" w:eastAsia="宋体" w:cs="宋体"/>
          <w:sz w:val="20"/>
          <w:szCs w:val="20"/>
        </w:rPr>
        <w:t xml:space="preserve"> </w:t>
      </w:r>
      <w:r>
        <w:rPr>
          <w:rFonts w:ascii="宋体" w:hAnsi="宋体" w:eastAsia="宋体" w:cs="宋体"/>
          <w:spacing w:val="7"/>
          <w:sz w:val="20"/>
          <w:szCs w:val="20"/>
        </w:rPr>
        <w:t>录。不依从率的高低与不依从的原因应当是资料分析的</w:t>
      </w:r>
      <w:r>
        <w:rPr>
          <w:rFonts w:ascii="宋体" w:hAnsi="宋体" w:eastAsia="宋体" w:cs="宋体"/>
          <w:spacing w:val="6"/>
          <w:sz w:val="20"/>
          <w:szCs w:val="20"/>
        </w:rPr>
        <w:t>重要内容之一。</w:t>
      </w:r>
    </w:p>
    <w:p w14:paraId="5505FB65">
      <w:pPr>
        <w:pStyle w:val="2"/>
        <w:spacing w:before="3" w:line="339" w:lineRule="auto"/>
        <w:ind w:left="669" w:right="21" w:firstLine="409"/>
        <w:jc w:val="both"/>
        <w:rPr>
          <w:rFonts w:ascii="宋体" w:hAnsi="宋体" w:eastAsia="宋体" w:cs="宋体"/>
          <w:sz w:val="20"/>
          <w:szCs w:val="20"/>
        </w:rPr>
      </w:pPr>
      <w:r>
        <w:rPr>
          <w:rFonts w:ascii="Times New Roman" w:hAnsi="Times New Roman" w:eastAsia="Times New Roman" w:cs="Times New Roman"/>
          <w:spacing w:val="5"/>
          <w:sz w:val="20"/>
          <w:szCs w:val="20"/>
        </w:rPr>
        <w:t>3.</w:t>
      </w:r>
      <w:r>
        <w:rPr>
          <w:rFonts w:ascii="Times New Roman" w:hAnsi="Times New Roman" w:eastAsia="Times New Roman" w:cs="Times New Roman"/>
          <w:spacing w:val="24"/>
          <w:sz w:val="20"/>
          <w:szCs w:val="20"/>
        </w:rPr>
        <w:t xml:space="preserve">  </w:t>
      </w:r>
      <w:r>
        <w:rPr>
          <w:rFonts w:ascii="宋体" w:hAnsi="宋体" w:eastAsia="宋体" w:cs="宋体"/>
          <w:spacing w:val="5"/>
          <w:sz w:val="20"/>
          <w:szCs w:val="20"/>
        </w:rPr>
        <w:t>失</w:t>
      </w:r>
      <w:r>
        <w:rPr>
          <w:rFonts w:ascii="宋体" w:hAnsi="宋体" w:eastAsia="宋体" w:cs="宋体"/>
          <w:spacing w:val="-31"/>
          <w:sz w:val="20"/>
          <w:szCs w:val="20"/>
        </w:rPr>
        <w:t xml:space="preserve"> </w:t>
      </w:r>
      <w:r>
        <w:rPr>
          <w:rFonts w:ascii="宋体" w:hAnsi="宋体" w:eastAsia="宋体" w:cs="宋体"/>
          <w:spacing w:val="5"/>
          <w:sz w:val="20"/>
          <w:szCs w:val="20"/>
        </w:rPr>
        <w:t>访</w:t>
      </w:r>
      <w:r>
        <w:rPr>
          <w:spacing w:val="5"/>
          <w:sz w:val="20"/>
          <w:szCs w:val="20"/>
        </w:rPr>
        <w:t>(</w:t>
      </w:r>
      <w:r>
        <w:rPr>
          <w:sz w:val="20"/>
          <w:szCs w:val="20"/>
        </w:rPr>
        <w:t>l</w:t>
      </w:r>
      <w:r>
        <w:rPr>
          <w:rFonts w:ascii="Times New Roman" w:hAnsi="Times New Roman" w:eastAsia="Times New Roman" w:cs="Times New Roman"/>
          <w:sz w:val="20"/>
          <w:szCs w:val="20"/>
        </w:rPr>
        <w:t>ost</w:t>
      </w:r>
      <w:r>
        <w:rPr>
          <w:rFonts w:ascii="Times New Roman" w:hAnsi="Times New Roman" w:eastAsia="Times New Roman" w:cs="Times New Roman"/>
          <w:spacing w:val="5"/>
          <w:sz w:val="20"/>
          <w:szCs w:val="20"/>
        </w:rPr>
        <w:t xml:space="preserve">  </w:t>
      </w:r>
      <w:r>
        <w:rPr>
          <w:rFonts w:ascii="Times New Roman" w:hAnsi="Times New Roman" w:eastAsia="Times New Roman" w:cs="Times New Roman"/>
          <w:sz w:val="20"/>
          <w:szCs w:val="20"/>
        </w:rPr>
        <w:t>to</w:t>
      </w:r>
      <w:r>
        <w:rPr>
          <w:rFonts w:ascii="Times New Roman" w:hAnsi="Times New Roman" w:eastAsia="Times New Roman" w:cs="Times New Roman"/>
          <w:spacing w:val="5"/>
          <w:sz w:val="20"/>
          <w:szCs w:val="20"/>
        </w:rPr>
        <w:t xml:space="preserve">  </w:t>
      </w:r>
      <w:r>
        <w:rPr>
          <w:rFonts w:ascii="Times New Roman" w:hAnsi="Times New Roman" w:eastAsia="Times New Roman" w:cs="Times New Roman"/>
          <w:sz w:val="20"/>
          <w:szCs w:val="20"/>
        </w:rPr>
        <w:t>follow</w:t>
      </w:r>
      <w:r>
        <w:rPr>
          <w:rFonts w:ascii="Times New Roman" w:hAnsi="Times New Roman" w:eastAsia="Times New Roman" w:cs="Times New Roman"/>
          <w:spacing w:val="5"/>
          <w:sz w:val="20"/>
          <w:szCs w:val="20"/>
        </w:rPr>
        <w:t>-</w:t>
      </w:r>
      <w:r>
        <w:rPr>
          <w:rFonts w:ascii="Times New Roman" w:hAnsi="Times New Roman" w:eastAsia="Times New Roman" w:cs="Times New Roman"/>
          <w:sz w:val="20"/>
          <w:szCs w:val="20"/>
        </w:rPr>
        <w:t>up</w:t>
      </w:r>
      <w:r>
        <w:rPr>
          <w:rFonts w:ascii="Times New Roman" w:hAnsi="Times New Roman" w:eastAsia="Times New Roman" w:cs="Times New Roman"/>
          <w:spacing w:val="5"/>
          <w:sz w:val="20"/>
          <w:szCs w:val="20"/>
        </w:rPr>
        <w:t xml:space="preserve">)   </w:t>
      </w:r>
      <w:r>
        <w:rPr>
          <w:rFonts w:ascii="宋体" w:hAnsi="宋体" w:eastAsia="宋体" w:cs="宋体"/>
          <w:spacing w:val="5"/>
          <w:sz w:val="20"/>
          <w:szCs w:val="20"/>
        </w:rPr>
        <w:t>研究对象因迁移或与本病无关的其他疾病死亡等而造成失访</w:t>
      </w:r>
      <w:r>
        <w:rPr>
          <w:rFonts w:ascii="宋体" w:hAnsi="宋体" w:eastAsia="宋体" w:cs="宋体"/>
          <w:spacing w:val="4"/>
          <w:sz w:val="20"/>
          <w:szCs w:val="20"/>
        </w:rPr>
        <w:t>。在</w:t>
      </w:r>
      <w:r>
        <w:rPr>
          <w:rFonts w:ascii="宋体" w:hAnsi="宋体" w:eastAsia="宋体" w:cs="宋体"/>
          <w:sz w:val="20"/>
          <w:szCs w:val="20"/>
        </w:rPr>
        <w:t xml:space="preserve"> </w:t>
      </w:r>
      <w:r>
        <w:rPr>
          <w:rFonts w:ascii="宋体" w:hAnsi="宋体" w:eastAsia="宋体" w:cs="宋体"/>
          <w:spacing w:val="4"/>
          <w:sz w:val="20"/>
          <w:szCs w:val="20"/>
        </w:rPr>
        <w:t>实验流行病学中应尽量减少失访， 一般要求失访率不超过10%。在试验中出现失访时，尽量通过电</w:t>
      </w:r>
      <w:r>
        <w:rPr>
          <w:rFonts w:ascii="宋体" w:hAnsi="宋体" w:eastAsia="宋体" w:cs="宋体"/>
          <w:sz w:val="20"/>
          <w:szCs w:val="20"/>
        </w:rPr>
        <w:t xml:space="preserve"> </w:t>
      </w:r>
      <w:r>
        <w:rPr>
          <w:rFonts w:ascii="宋体" w:hAnsi="宋体" w:eastAsia="宋体" w:cs="宋体"/>
          <w:spacing w:val="4"/>
          <w:sz w:val="20"/>
          <w:szCs w:val="20"/>
        </w:rPr>
        <w:t>话、邮件或专门访视进行调查。调查失访的原因，详细记录失访发生的时间。资料分析时需对失访</w:t>
      </w:r>
      <w:r>
        <w:rPr>
          <w:rFonts w:ascii="宋体" w:hAnsi="宋体" w:eastAsia="宋体" w:cs="宋体"/>
          <w:spacing w:val="7"/>
          <w:sz w:val="20"/>
          <w:szCs w:val="20"/>
        </w:rPr>
        <w:t xml:space="preserve"> </w:t>
      </w:r>
      <w:r>
        <w:rPr>
          <w:rFonts w:ascii="宋体" w:hAnsi="宋体" w:eastAsia="宋体" w:cs="宋体"/>
          <w:spacing w:val="-2"/>
          <w:sz w:val="20"/>
          <w:szCs w:val="20"/>
        </w:rPr>
        <w:t>者的特征进行分析，还可采用生存分析的方法，充分利用资料。</w:t>
      </w:r>
    </w:p>
    <w:p w14:paraId="5514FD54">
      <w:pPr>
        <w:pStyle w:val="2"/>
        <w:spacing w:before="192" w:line="222" w:lineRule="auto"/>
        <w:ind w:left="1083"/>
        <w:outlineLvl w:val="2"/>
        <w:rPr>
          <w:sz w:val="25"/>
          <w:szCs w:val="25"/>
        </w:rPr>
      </w:pPr>
      <w:bookmarkStart w:id="181" w:name="bookmark118"/>
      <w:bookmarkEnd w:id="181"/>
      <w:r>
        <w:rPr>
          <w:b/>
          <w:bCs/>
          <w:spacing w:val="-12"/>
          <w:sz w:val="25"/>
          <w:szCs w:val="25"/>
        </w:rPr>
        <w:t>二</w:t>
      </w:r>
      <w:r>
        <w:rPr>
          <w:spacing w:val="-58"/>
          <w:sz w:val="25"/>
          <w:szCs w:val="25"/>
        </w:rPr>
        <w:t xml:space="preserve"> </w:t>
      </w:r>
      <w:r>
        <w:rPr>
          <w:b/>
          <w:bCs/>
          <w:spacing w:val="-12"/>
          <w:sz w:val="25"/>
          <w:szCs w:val="25"/>
        </w:rPr>
        <w:t>、资料的分析</w:t>
      </w:r>
    </w:p>
    <w:p w14:paraId="5530BC92">
      <w:pPr>
        <w:pStyle w:val="2"/>
        <w:spacing w:before="279" w:line="222" w:lineRule="auto"/>
        <w:ind w:left="1082"/>
        <w:rPr>
          <w:sz w:val="20"/>
          <w:szCs w:val="20"/>
        </w:rPr>
      </w:pPr>
      <w:r>
        <w:rPr>
          <w:b/>
          <w:bCs/>
          <w:spacing w:val="15"/>
          <w:sz w:val="20"/>
          <w:szCs w:val="20"/>
        </w:rPr>
        <w:t>(</w:t>
      </w:r>
      <w:r>
        <w:rPr>
          <w:spacing w:val="-54"/>
          <w:sz w:val="20"/>
          <w:szCs w:val="20"/>
        </w:rPr>
        <w:t xml:space="preserve"> </w:t>
      </w:r>
      <w:r>
        <w:rPr>
          <w:b/>
          <w:bCs/>
          <w:spacing w:val="15"/>
          <w:sz w:val="20"/>
          <w:szCs w:val="20"/>
        </w:rPr>
        <w:t>一</w:t>
      </w:r>
      <w:r>
        <w:rPr>
          <w:spacing w:val="-59"/>
          <w:sz w:val="20"/>
          <w:szCs w:val="20"/>
        </w:rPr>
        <w:t xml:space="preserve"> </w:t>
      </w:r>
      <w:r>
        <w:rPr>
          <w:b/>
          <w:bCs/>
          <w:spacing w:val="15"/>
          <w:sz w:val="20"/>
          <w:szCs w:val="20"/>
        </w:rPr>
        <w:t>)意向治疗分析</w:t>
      </w:r>
    </w:p>
    <w:p w14:paraId="07CF334A">
      <w:pPr>
        <w:pStyle w:val="2"/>
        <w:spacing w:before="130" w:line="334" w:lineRule="auto"/>
        <w:ind w:left="669" w:firstLine="409"/>
        <w:jc w:val="both"/>
        <w:rPr>
          <w:rFonts w:ascii="宋体" w:hAnsi="宋体" w:eastAsia="宋体" w:cs="宋体"/>
          <w:sz w:val="20"/>
          <w:szCs w:val="20"/>
        </w:rPr>
      </w:pPr>
      <w:r>
        <w:rPr>
          <w:rFonts w:ascii="宋体" w:hAnsi="宋体" w:eastAsia="宋体" w:cs="宋体"/>
          <w:spacing w:val="7"/>
          <w:sz w:val="20"/>
          <w:szCs w:val="20"/>
        </w:rPr>
        <w:t xml:space="preserve">1. </w:t>
      </w:r>
      <w:r>
        <w:rPr>
          <w:spacing w:val="7"/>
          <w:sz w:val="20"/>
          <w:szCs w:val="20"/>
        </w:rPr>
        <w:t>概念</w:t>
      </w:r>
      <w:r>
        <w:rPr>
          <w:spacing w:val="1"/>
          <w:sz w:val="20"/>
          <w:szCs w:val="20"/>
        </w:rPr>
        <w:t xml:space="preserve">  </w:t>
      </w:r>
      <w:r>
        <w:rPr>
          <w:rFonts w:ascii="宋体" w:hAnsi="宋体" w:eastAsia="宋体" w:cs="宋体"/>
          <w:spacing w:val="7"/>
          <w:sz w:val="20"/>
          <w:szCs w:val="20"/>
        </w:rPr>
        <w:t>意向治疗分析(</w:t>
      </w:r>
      <w:r>
        <w:rPr>
          <w:rFonts w:ascii="宋体" w:hAnsi="宋体" w:eastAsia="宋体" w:cs="宋体"/>
          <w:sz w:val="20"/>
          <w:szCs w:val="20"/>
        </w:rPr>
        <w:t>ITT</w:t>
      </w:r>
      <w:r>
        <w:rPr>
          <w:rFonts w:ascii="宋体" w:hAnsi="宋体" w:eastAsia="宋体" w:cs="宋体"/>
          <w:spacing w:val="7"/>
          <w:sz w:val="20"/>
          <w:szCs w:val="20"/>
        </w:rPr>
        <w:t>)</w:t>
      </w:r>
      <w:r>
        <w:rPr>
          <w:rFonts w:ascii="宋体" w:hAnsi="宋体" w:eastAsia="宋体" w:cs="宋体"/>
          <w:spacing w:val="-16"/>
          <w:sz w:val="20"/>
          <w:szCs w:val="20"/>
        </w:rPr>
        <w:t xml:space="preserve"> </w:t>
      </w:r>
      <w:r>
        <w:rPr>
          <w:rFonts w:ascii="宋体" w:hAnsi="宋体" w:eastAsia="宋体" w:cs="宋体"/>
          <w:spacing w:val="7"/>
          <w:sz w:val="20"/>
          <w:szCs w:val="20"/>
        </w:rPr>
        <w:t>(也叫实用试验或者项目效应分析)的</w:t>
      </w:r>
      <w:r>
        <w:rPr>
          <w:rFonts w:ascii="宋体" w:hAnsi="宋体" w:eastAsia="宋体" w:cs="宋体"/>
          <w:spacing w:val="6"/>
          <w:sz w:val="20"/>
          <w:szCs w:val="20"/>
        </w:rPr>
        <w:t>首次应用是在1961年，它</w:t>
      </w:r>
      <w:r>
        <w:rPr>
          <w:rFonts w:ascii="宋体" w:hAnsi="宋体" w:eastAsia="宋体" w:cs="宋体"/>
          <w:sz w:val="20"/>
          <w:szCs w:val="20"/>
        </w:rPr>
        <w:t xml:space="preserve"> </w:t>
      </w:r>
      <w:r>
        <w:rPr>
          <w:rFonts w:ascii="宋体" w:hAnsi="宋体" w:eastAsia="宋体" w:cs="宋体"/>
          <w:spacing w:val="8"/>
          <w:sz w:val="20"/>
          <w:szCs w:val="20"/>
        </w:rPr>
        <w:t>是指所有病人被随机分人</w:t>
      </w:r>
      <w:r>
        <w:rPr>
          <w:rFonts w:ascii="Times New Roman" w:hAnsi="Times New Roman" w:eastAsia="Times New Roman" w:cs="Times New Roman"/>
          <w:sz w:val="20"/>
          <w:szCs w:val="20"/>
        </w:rPr>
        <w:t>RCT</w:t>
      </w:r>
      <w:r>
        <w:rPr>
          <w:rFonts w:ascii="Times New Roman" w:hAnsi="Times New Roman" w:eastAsia="Times New Roman" w:cs="Times New Roman"/>
          <w:spacing w:val="37"/>
          <w:sz w:val="20"/>
          <w:szCs w:val="20"/>
        </w:rPr>
        <w:t xml:space="preserve"> </w:t>
      </w:r>
      <w:r>
        <w:rPr>
          <w:rFonts w:ascii="宋体" w:hAnsi="宋体" w:eastAsia="宋体" w:cs="宋体"/>
          <w:spacing w:val="8"/>
          <w:sz w:val="20"/>
          <w:szCs w:val="20"/>
        </w:rPr>
        <w:t>中的任意一组，不管他们是否完成试验，或者是否真正接受了该组</w:t>
      </w:r>
      <w:r>
        <w:rPr>
          <w:rFonts w:ascii="宋体" w:hAnsi="宋体" w:eastAsia="宋体" w:cs="宋体"/>
          <w:sz w:val="20"/>
          <w:szCs w:val="20"/>
        </w:rPr>
        <w:t xml:space="preserve"> </w:t>
      </w:r>
      <w:r>
        <w:rPr>
          <w:rFonts w:ascii="宋体" w:hAnsi="宋体" w:eastAsia="宋体" w:cs="宋体"/>
          <w:spacing w:val="9"/>
          <w:sz w:val="20"/>
          <w:szCs w:val="20"/>
        </w:rPr>
        <w:t>治疗，都保留在原组进行结果分析。</w:t>
      </w:r>
      <w:r>
        <w:rPr>
          <w:rFonts w:ascii="宋体" w:hAnsi="宋体" w:eastAsia="宋体" w:cs="宋体"/>
          <w:spacing w:val="-40"/>
          <w:sz w:val="20"/>
          <w:szCs w:val="20"/>
        </w:rPr>
        <w:t xml:space="preserve"> </w:t>
      </w:r>
      <w:r>
        <w:rPr>
          <w:rFonts w:ascii="Times New Roman" w:hAnsi="Times New Roman" w:eastAsia="Times New Roman" w:cs="Times New Roman"/>
          <w:sz w:val="20"/>
          <w:szCs w:val="20"/>
        </w:rPr>
        <w:t>ITT</w:t>
      </w:r>
      <w:r>
        <w:rPr>
          <w:rFonts w:ascii="Times New Roman" w:hAnsi="Times New Roman" w:eastAsia="Times New Roman" w:cs="Times New Roman"/>
          <w:spacing w:val="24"/>
          <w:w w:val="101"/>
          <w:sz w:val="20"/>
          <w:szCs w:val="20"/>
        </w:rPr>
        <w:t xml:space="preserve"> </w:t>
      </w:r>
      <w:r>
        <w:rPr>
          <w:rFonts w:ascii="宋体" w:hAnsi="宋体" w:eastAsia="宋体" w:cs="宋体"/>
          <w:spacing w:val="9"/>
          <w:sz w:val="20"/>
          <w:szCs w:val="20"/>
        </w:rPr>
        <w:t>的目的在于避免选择偏倚，并使各治疗组之间</w:t>
      </w:r>
      <w:r>
        <w:rPr>
          <w:rFonts w:ascii="宋体" w:hAnsi="宋体" w:eastAsia="宋体" w:cs="宋体"/>
          <w:spacing w:val="8"/>
          <w:sz w:val="20"/>
          <w:szCs w:val="20"/>
        </w:rPr>
        <w:t>保持可比</w:t>
      </w:r>
      <w:r>
        <w:rPr>
          <w:rFonts w:ascii="宋体" w:hAnsi="宋体" w:eastAsia="宋体" w:cs="宋体"/>
          <w:sz w:val="20"/>
          <w:szCs w:val="20"/>
        </w:rPr>
        <w:t xml:space="preserve"> </w:t>
      </w:r>
      <w:r>
        <w:rPr>
          <w:rFonts w:ascii="宋体" w:hAnsi="宋体" w:eastAsia="宋体" w:cs="宋体"/>
          <w:spacing w:val="8"/>
          <w:sz w:val="20"/>
          <w:szCs w:val="20"/>
        </w:rPr>
        <w:t>性 。</w:t>
      </w:r>
      <w:r>
        <w:rPr>
          <w:rFonts w:ascii="Times New Roman" w:hAnsi="Times New Roman" w:eastAsia="Times New Roman" w:cs="Times New Roman"/>
          <w:sz w:val="20"/>
          <w:szCs w:val="20"/>
        </w:rPr>
        <w:t>RCT</w:t>
      </w:r>
      <w:r>
        <w:rPr>
          <w:rFonts w:ascii="Times New Roman" w:hAnsi="Times New Roman" w:eastAsia="Times New Roman" w:cs="Times New Roman"/>
          <w:spacing w:val="25"/>
          <w:w w:val="101"/>
          <w:sz w:val="20"/>
          <w:szCs w:val="20"/>
        </w:rPr>
        <w:t xml:space="preserve"> </w:t>
      </w:r>
      <w:r>
        <w:rPr>
          <w:rFonts w:ascii="宋体" w:hAnsi="宋体" w:eastAsia="宋体" w:cs="宋体"/>
          <w:spacing w:val="8"/>
          <w:sz w:val="20"/>
          <w:szCs w:val="20"/>
        </w:rPr>
        <w:t>的简单分组如图6-4所示。在</w:t>
      </w:r>
      <w:r>
        <w:rPr>
          <w:rFonts w:ascii="Times New Roman" w:hAnsi="Times New Roman" w:eastAsia="Times New Roman" w:cs="Times New Roman"/>
          <w:sz w:val="20"/>
          <w:szCs w:val="20"/>
        </w:rPr>
        <w:t>ITT</w:t>
      </w:r>
      <w:r>
        <w:rPr>
          <w:rFonts w:ascii="Times New Roman" w:hAnsi="Times New Roman" w:eastAsia="Times New Roman" w:cs="Times New Roman"/>
          <w:spacing w:val="44"/>
          <w:w w:val="101"/>
          <w:sz w:val="20"/>
          <w:szCs w:val="20"/>
        </w:rPr>
        <w:t xml:space="preserve"> </w:t>
      </w:r>
      <w:r>
        <w:rPr>
          <w:rFonts w:ascii="宋体" w:hAnsi="宋体" w:eastAsia="宋体" w:cs="宋体"/>
          <w:spacing w:val="8"/>
          <w:sz w:val="20"/>
          <w:szCs w:val="20"/>
        </w:rPr>
        <w:t>中，随机化不仅决定治疗的分配</w:t>
      </w:r>
      <w:r>
        <w:rPr>
          <w:rFonts w:ascii="宋体" w:hAnsi="宋体" w:eastAsia="宋体" w:cs="宋体"/>
          <w:spacing w:val="7"/>
          <w:sz w:val="20"/>
          <w:szCs w:val="20"/>
        </w:rPr>
        <w:t>，而且决定病人数据</w:t>
      </w:r>
      <w:r>
        <w:rPr>
          <w:rFonts w:ascii="宋体" w:hAnsi="宋体" w:eastAsia="宋体" w:cs="宋体"/>
          <w:sz w:val="20"/>
          <w:szCs w:val="20"/>
        </w:rPr>
        <w:t xml:space="preserve"> </w:t>
      </w:r>
      <w:r>
        <w:rPr>
          <w:rFonts w:ascii="宋体" w:hAnsi="宋体" w:eastAsia="宋体" w:cs="宋体"/>
          <w:spacing w:val="7"/>
          <w:sz w:val="20"/>
          <w:szCs w:val="20"/>
        </w:rPr>
        <w:t>的分析。</w:t>
      </w:r>
    </w:p>
    <w:p w14:paraId="79DBFF6B">
      <w:pPr>
        <w:spacing w:line="334" w:lineRule="auto"/>
        <w:rPr>
          <w:rFonts w:ascii="宋体" w:hAnsi="宋体" w:eastAsia="宋体" w:cs="宋体"/>
          <w:sz w:val="20"/>
          <w:szCs w:val="20"/>
        </w:rPr>
        <w:sectPr>
          <w:footerReference r:id="rId129" w:type="default"/>
          <w:pgSz w:w="11900" w:h="16820"/>
          <w:pgMar w:top="400" w:right="1577" w:bottom="839" w:left="850" w:header="0" w:footer="659" w:gutter="0"/>
          <w:cols w:space="720" w:num="1"/>
        </w:sectPr>
      </w:pPr>
    </w:p>
    <w:p w14:paraId="64BD7D2C">
      <w:pPr>
        <w:spacing w:line="302" w:lineRule="auto"/>
        <w:rPr>
          <w:rFonts w:ascii="Arial"/>
          <w:sz w:val="21"/>
        </w:rPr>
      </w:pPr>
    </w:p>
    <w:p w14:paraId="228B562D">
      <w:pPr>
        <w:pStyle w:val="2"/>
        <w:spacing w:before="62" w:line="221" w:lineRule="auto"/>
        <w:ind w:left="7279"/>
        <w:rPr>
          <w:sz w:val="19"/>
          <w:szCs w:val="19"/>
        </w:rPr>
      </w:pPr>
      <w:bookmarkStart w:id="182" w:name="bookmark459"/>
      <w:bookmarkEnd w:id="182"/>
      <w:r>
        <w:rPr>
          <w:spacing w:val="-1"/>
          <w:sz w:val="19"/>
          <w:szCs w:val="19"/>
        </w:rPr>
        <w:t>第六章实验流行病学</w:t>
      </w:r>
    </w:p>
    <w:p w14:paraId="5328A795">
      <w:pPr>
        <w:spacing w:line="285" w:lineRule="auto"/>
        <w:rPr>
          <w:rFonts w:ascii="Arial"/>
          <w:sz w:val="21"/>
        </w:rPr>
      </w:pPr>
    </w:p>
    <w:p w14:paraId="59257559">
      <w:pPr>
        <w:spacing w:line="285" w:lineRule="auto"/>
        <w:rPr>
          <w:rFonts w:ascii="Arial"/>
          <w:sz w:val="21"/>
        </w:rPr>
      </w:pPr>
    </w:p>
    <w:p w14:paraId="484E71F6">
      <w:pPr>
        <w:spacing w:before="61" w:line="221" w:lineRule="auto"/>
        <w:ind w:left="4150"/>
        <w:rPr>
          <w:rFonts w:ascii="宋体" w:hAnsi="宋体" w:eastAsia="宋体" w:cs="宋体"/>
          <w:sz w:val="19"/>
          <w:szCs w:val="19"/>
        </w:rPr>
      </w:pPr>
      <w:r>
        <w:rPr>
          <w:rFonts w:ascii="宋体" w:hAnsi="宋体" w:eastAsia="宋体" w:cs="宋体"/>
          <w:spacing w:val="-11"/>
          <w:sz w:val="19"/>
          <w:szCs w:val="19"/>
        </w:rPr>
        <w:t>选择病例</w:t>
      </w:r>
    </w:p>
    <w:p w14:paraId="518A1CDA">
      <w:pPr>
        <w:spacing w:before="230" w:line="219" w:lineRule="auto"/>
        <w:ind w:left="4179"/>
        <w:rPr>
          <w:rFonts w:ascii="宋体" w:hAnsi="宋体" w:eastAsia="宋体" w:cs="宋体"/>
          <w:sz w:val="19"/>
          <w:szCs w:val="19"/>
        </w:rPr>
      </w:pPr>
      <w:r>
        <w:rPr>
          <w:rFonts w:ascii="宋体" w:hAnsi="宋体" w:eastAsia="宋体" w:cs="宋体"/>
          <w:spacing w:val="-14"/>
          <w:sz w:val="19"/>
          <w:szCs w:val="19"/>
        </w:rPr>
        <w:t>随机分配</w:t>
      </w:r>
    </w:p>
    <w:p w14:paraId="02800DAF">
      <w:pPr>
        <w:spacing w:line="242" w:lineRule="auto"/>
        <w:rPr>
          <w:rFonts w:ascii="Arial"/>
          <w:sz w:val="21"/>
        </w:rPr>
      </w:pPr>
    </w:p>
    <w:p w14:paraId="4C9BFEB0">
      <w:pPr>
        <w:spacing w:before="62" w:line="230" w:lineRule="auto"/>
        <w:ind w:left="2779"/>
        <w:rPr>
          <w:rFonts w:ascii="宋体" w:hAnsi="宋体" w:eastAsia="宋体" w:cs="宋体"/>
          <w:sz w:val="19"/>
          <w:szCs w:val="19"/>
        </w:rPr>
      </w:pPr>
      <w:r>
        <w:rPr>
          <w:rFonts w:ascii="宋体" w:hAnsi="宋体" w:eastAsia="宋体" w:cs="宋体"/>
          <w:spacing w:val="-6"/>
          <w:position w:val="1"/>
          <w:sz w:val="19"/>
          <w:szCs w:val="19"/>
        </w:rPr>
        <w:t>治疗</w:t>
      </w:r>
      <w:r>
        <w:rPr>
          <w:rFonts w:ascii="Times New Roman" w:hAnsi="Times New Roman" w:eastAsia="Times New Roman" w:cs="Times New Roman"/>
          <w:spacing w:val="-6"/>
          <w:position w:val="1"/>
          <w:sz w:val="19"/>
          <w:szCs w:val="19"/>
        </w:rPr>
        <w:t>A</w:t>
      </w:r>
      <w:r>
        <w:rPr>
          <w:rFonts w:ascii="宋体" w:hAnsi="宋体" w:eastAsia="宋体" w:cs="宋体"/>
          <w:spacing w:val="-6"/>
          <w:position w:val="1"/>
          <w:sz w:val="19"/>
          <w:szCs w:val="19"/>
        </w:rPr>
        <w:t xml:space="preserve">组                        </w:t>
      </w:r>
      <w:r>
        <w:rPr>
          <w:rFonts w:ascii="宋体" w:hAnsi="宋体" w:eastAsia="宋体" w:cs="宋体"/>
          <w:spacing w:val="-7"/>
          <w:position w:val="1"/>
          <w:sz w:val="19"/>
          <w:szCs w:val="19"/>
        </w:rPr>
        <w:t xml:space="preserve">   </w:t>
      </w:r>
      <w:r>
        <w:rPr>
          <w:rFonts w:ascii="宋体" w:hAnsi="宋体" w:eastAsia="宋体" w:cs="宋体"/>
          <w:spacing w:val="-7"/>
          <w:position w:val="-1"/>
          <w:sz w:val="19"/>
          <w:szCs w:val="19"/>
        </w:rPr>
        <w:t>治疗B组</w:t>
      </w:r>
    </w:p>
    <w:p w14:paraId="763694E1">
      <w:pPr>
        <w:spacing w:before="142" w:line="169" w:lineRule="auto"/>
        <w:ind w:left="880"/>
        <w:rPr>
          <w:rFonts w:ascii="宋体" w:hAnsi="宋体" w:eastAsia="宋体" w:cs="宋体"/>
          <w:sz w:val="19"/>
          <w:szCs w:val="19"/>
        </w:rPr>
      </w:pPr>
      <w:r>
        <w:rPr>
          <w:rFonts w:ascii="宋体" w:hAnsi="宋体" w:eastAsia="宋体" w:cs="宋体"/>
          <w:spacing w:val="-8"/>
          <w:position w:val="3"/>
          <w:sz w:val="19"/>
          <w:szCs w:val="19"/>
        </w:rPr>
        <w:t>未能完成治疗</w:t>
      </w:r>
      <w:r>
        <w:rPr>
          <w:rFonts w:ascii="Times New Roman" w:hAnsi="Times New Roman" w:eastAsia="Times New Roman" w:cs="Times New Roman"/>
          <w:spacing w:val="-8"/>
          <w:position w:val="3"/>
          <w:sz w:val="19"/>
          <w:szCs w:val="19"/>
        </w:rPr>
        <w:t>A</w:t>
      </w:r>
      <w:r>
        <w:rPr>
          <w:rFonts w:ascii="宋体" w:hAnsi="宋体" w:eastAsia="宋体" w:cs="宋体"/>
          <w:spacing w:val="-8"/>
          <w:position w:val="3"/>
          <w:sz w:val="19"/>
          <w:szCs w:val="19"/>
        </w:rPr>
        <w:t>或转向</w:t>
      </w:r>
      <w:r>
        <w:rPr>
          <w:rFonts w:ascii="Times New Roman" w:hAnsi="Times New Roman" w:eastAsia="Times New Roman" w:cs="Times New Roman"/>
          <w:spacing w:val="-8"/>
          <w:position w:val="3"/>
          <w:sz w:val="19"/>
          <w:szCs w:val="19"/>
        </w:rPr>
        <w:t>B</w:t>
      </w:r>
      <w:r>
        <w:rPr>
          <w:rFonts w:ascii="宋体" w:hAnsi="宋体" w:eastAsia="宋体" w:cs="宋体"/>
          <w:spacing w:val="-8"/>
          <w:position w:val="3"/>
          <w:sz w:val="19"/>
          <w:szCs w:val="19"/>
        </w:rPr>
        <w:t>组</w:t>
      </w:r>
      <w:r>
        <w:rPr>
          <w:rFonts w:ascii="宋体" w:hAnsi="宋体" w:eastAsia="宋体" w:cs="宋体"/>
          <w:spacing w:val="15"/>
          <w:position w:val="3"/>
          <w:sz w:val="19"/>
          <w:szCs w:val="19"/>
        </w:rPr>
        <w:t xml:space="preserve">   </w:t>
      </w:r>
      <w:r>
        <w:rPr>
          <w:rFonts w:ascii="宋体" w:hAnsi="宋体" w:eastAsia="宋体" w:cs="宋体"/>
          <w:spacing w:val="-8"/>
          <w:position w:val="3"/>
          <w:sz w:val="19"/>
          <w:szCs w:val="19"/>
        </w:rPr>
        <w:t>完成治疗</w:t>
      </w:r>
      <w:r>
        <w:rPr>
          <w:rFonts w:ascii="Times New Roman" w:hAnsi="Times New Roman" w:eastAsia="Times New Roman" w:cs="Times New Roman"/>
          <w:spacing w:val="-8"/>
          <w:position w:val="3"/>
          <w:sz w:val="19"/>
          <w:szCs w:val="19"/>
        </w:rPr>
        <w:t xml:space="preserve">A               </w:t>
      </w:r>
      <w:r>
        <w:rPr>
          <w:rFonts w:ascii="Times New Roman" w:hAnsi="Times New Roman" w:eastAsia="Times New Roman" w:cs="Times New Roman"/>
          <w:spacing w:val="-9"/>
          <w:position w:val="3"/>
          <w:sz w:val="19"/>
          <w:szCs w:val="19"/>
        </w:rPr>
        <w:t xml:space="preserve">       </w:t>
      </w:r>
      <w:r>
        <w:rPr>
          <w:rFonts w:ascii="宋体" w:hAnsi="宋体" w:eastAsia="宋体" w:cs="宋体"/>
          <w:spacing w:val="-9"/>
          <w:position w:val="-1"/>
          <w:sz w:val="19"/>
          <w:szCs w:val="19"/>
        </w:rPr>
        <w:t>完成治疗</w:t>
      </w:r>
      <w:r>
        <w:rPr>
          <w:rFonts w:ascii="Times New Roman" w:hAnsi="Times New Roman" w:eastAsia="Times New Roman" w:cs="Times New Roman"/>
          <w:spacing w:val="-9"/>
          <w:position w:val="-1"/>
          <w:sz w:val="19"/>
          <w:szCs w:val="19"/>
        </w:rPr>
        <w:t xml:space="preserve">B       </w:t>
      </w:r>
      <w:r>
        <w:rPr>
          <w:rFonts w:ascii="宋体" w:hAnsi="宋体" w:eastAsia="宋体" w:cs="宋体"/>
          <w:spacing w:val="-9"/>
          <w:position w:val="-3"/>
          <w:sz w:val="19"/>
          <w:szCs w:val="19"/>
        </w:rPr>
        <w:t>未能完成治疗</w:t>
      </w:r>
      <w:r>
        <w:rPr>
          <w:rFonts w:ascii="Times New Roman" w:hAnsi="Times New Roman" w:eastAsia="Times New Roman" w:cs="Times New Roman"/>
          <w:spacing w:val="-9"/>
          <w:position w:val="-3"/>
          <w:sz w:val="19"/>
          <w:szCs w:val="19"/>
        </w:rPr>
        <w:t>B</w:t>
      </w:r>
      <w:r>
        <w:rPr>
          <w:rFonts w:ascii="宋体" w:hAnsi="宋体" w:eastAsia="宋体" w:cs="宋体"/>
          <w:spacing w:val="-9"/>
          <w:position w:val="-3"/>
          <w:sz w:val="19"/>
          <w:szCs w:val="19"/>
        </w:rPr>
        <w:t>或转向</w:t>
      </w:r>
      <w:r>
        <w:rPr>
          <w:rFonts w:ascii="Times New Roman" w:hAnsi="Times New Roman" w:eastAsia="Times New Roman" w:cs="Times New Roman"/>
          <w:spacing w:val="-9"/>
          <w:position w:val="-3"/>
          <w:sz w:val="19"/>
          <w:szCs w:val="19"/>
        </w:rPr>
        <w:t>A</w:t>
      </w:r>
      <w:r>
        <w:rPr>
          <w:rFonts w:ascii="宋体" w:hAnsi="宋体" w:eastAsia="宋体" w:cs="宋体"/>
          <w:spacing w:val="-9"/>
          <w:position w:val="-3"/>
          <w:sz w:val="19"/>
          <w:szCs w:val="19"/>
        </w:rPr>
        <w:t>组</w:t>
      </w:r>
    </w:p>
    <w:p w14:paraId="331B694B">
      <w:pPr>
        <w:spacing w:before="1" w:line="201" w:lineRule="auto"/>
        <w:ind w:left="1780"/>
        <w:rPr>
          <w:rFonts w:ascii="宋体" w:hAnsi="宋体" w:eastAsia="宋体" w:cs="宋体"/>
          <w:sz w:val="19"/>
          <w:szCs w:val="19"/>
        </w:rPr>
      </w:pPr>
      <w:r>
        <w:rPr>
          <w:rFonts w:ascii="宋体" w:hAnsi="宋体" w:eastAsia="宋体" w:cs="宋体"/>
          <w:spacing w:val="-2"/>
          <w:position w:val="3"/>
          <w:sz w:val="19"/>
          <w:szCs w:val="19"/>
        </w:rPr>
        <w:t xml:space="preserve">①                 </w:t>
      </w:r>
      <w:r>
        <w:rPr>
          <w:rFonts w:ascii="宋体" w:hAnsi="宋体" w:eastAsia="宋体" w:cs="宋体"/>
          <w:spacing w:val="-2"/>
          <w:position w:val="2"/>
          <w:sz w:val="19"/>
          <w:szCs w:val="19"/>
        </w:rPr>
        <w:t>②</w:t>
      </w:r>
      <w:r>
        <w:rPr>
          <w:rFonts w:ascii="宋体" w:hAnsi="宋体" w:eastAsia="宋体" w:cs="宋体"/>
          <w:spacing w:val="1"/>
          <w:position w:val="2"/>
          <w:sz w:val="19"/>
          <w:szCs w:val="19"/>
        </w:rPr>
        <w:t xml:space="preserve">                 </w:t>
      </w:r>
      <w:r>
        <w:rPr>
          <w:rFonts w:ascii="宋体" w:hAnsi="宋体" w:eastAsia="宋体" w:cs="宋体"/>
          <w:spacing w:val="-2"/>
          <w:position w:val="-2"/>
          <w:sz w:val="19"/>
          <w:szCs w:val="19"/>
        </w:rPr>
        <w:t xml:space="preserve">③                </w:t>
      </w:r>
      <w:r>
        <w:rPr>
          <w:rFonts w:ascii="宋体" w:hAnsi="宋体" w:eastAsia="宋体" w:cs="宋体"/>
          <w:spacing w:val="-2"/>
          <w:position w:val="-4"/>
          <w:sz w:val="19"/>
          <w:szCs w:val="19"/>
        </w:rPr>
        <w:t>④</w:t>
      </w:r>
    </w:p>
    <w:p w14:paraId="259D9222">
      <w:pPr>
        <w:pStyle w:val="2"/>
        <w:spacing w:before="89" w:line="222" w:lineRule="auto"/>
        <w:ind w:left="2910"/>
        <w:rPr>
          <w:sz w:val="19"/>
          <w:szCs w:val="19"/>
        </w:rPr>
      </w:pPr>
      <w:r>
        <w:rPr>
          <w:spacing w:val="2"/>
          <w:sz w:val="19"/>
          <w:szCs w:val="19"/>
        </w:rPr>
        <w:t>图6-4</w:t>
      </w:r>
      <w:r>
        <w:rPr>
          <w:spacing w:val="84"/>
          <w:sz w:val="19"/>
          <w:szCs w:val="19"/>
        </w:rPr>
        <w:t xml:space="preserve"> </w:t>
      </w:r>
      <w:r>
        <w:rPr>
          <w:spacing w:val="2"/>
          <w:sz w:val="19"/>
          <w:szCs w:val="19"/>
        </w:rPr>
        <w:t>意向性分析的</w:t>
      </w:r>
      <w:r>
        <w:rPr>
          <w:rFonts w:ascii="Arial" w:hAnsi="Arial" w:eastAsia="Arial" w:cs="Arial"/>
          <w:sz w:val="19"/>
          <w:szCs w:val="19"/>
        </w:rPr>
        <w:t>RCT</w:t>
      </w:r>
      <w:r>
        <w:rPr>
          <w:rFonts w:ascii="Arial" w:hAnsi="Arial" w:eastAsia="Arial" w:cs="Arial"/>
          <w:spacing w:val="2"/>
          <w:sz w:val="19"/>
          <w:szCs w:val="19"/>
        </w:rPr>
        <w:t xml:space="preserve"> </w:t>
      </w:r>
      <w:r>
        <w:rPr>
          <w:spacing w:val="2"/>
          <w:sz w:val="19"/>
          <w:szCs w:val="19"/>
        </w:rPr>
        <w:t>分组框架图</w:t>
      </w:r>
    </w:p>
    <w:p w14:paraId="77B9880F">
      <w:pPr>
        <w:spacing w:line="244" w:lineRule="auto"/>
        <w:rPr>
          <w:rFonts w:ascii="Arial"/>
          <w:sz w:val="21"/>
        </w:rPr>
      </w:pPr>
    </w:p>
    <w:p w14:paraId="2E0F2330">
      <w:pPr>
        <w:spacing w:before="62" w:line="351" w:lineRule="auto"/>
        <w:ind w:right="597" w:firstLine="429"/>
        <w:jc w:val="both"/>
        <w:rPr>
          <w:rFonts w:ascii="宋体" w:hAnsi="宋体" w:eastAsia="宋体" w:cs="宋体"/>
          <w:sz w:val="19"/>
          <w:szCs w:val="19"/>
        </w:rPr>
      </w:pPr>
      <w:r>
        <w:rPr>
          <w:rFonts w:ascii="宋体" w:hAnsi="宋体" w:eastAsia="宋体" w:cs="宋体"/>
          <w:spacing w:val="20"/>
          <w:sz w:val="19"/>
          <w:szCs w:val="19"/>
        </w:rPr>
        <w:t>由图6-4可见，试验结束时将有四组病人</w:t>
      </w:r>
      <w:r>
        <w:rPr>
          <w:rFonts w:ascii="宋体" w:hAnsi="宋体" w:eastAsia="宋体" w:cs="宋体"/>
          <w:spacing w:val="19"/>
          <w:sz w:val="19"/>
          <w:szCs w:val="19"/>
        </w:rPr>
        <w:t>。</w:t>
      </w:r>
      <w:r>
        <w:rPr>
          <w:rFonts w:ascii="宋体" w:hAnsi="宋体" w:eastAsia="宋体" w:cs="宋体"/>
          <w:spacing w:val="-25"/>
          <w:sz w:val="19"/>
          <w:szCs w:val="19"/>
        </w:rPr>
        <w:t xml:space="preserve"> </w:t>
      </w:r>
      <w:r>
        <w:rPr>
          <w:rFonts w:ascii="Times New Roman" w:hAnsi="Times New Roman" w:eastAsia="Times New Roman" w:cs="Times New Roman"/>
          <w:sz w:val="19"/>
          <w:szCs w:val="19"/>
        </w:rPr>
        <w:t>ITT</w:t>
      </w:r>
      <w:r>
        <w:rPr>
          <w:rFonts w:ascii="Times New Roman" w:hAnsi="Times New Roman" w:eastAsia="Times New Roman" w:cs="Times New Roman"/>
          <w:spacing w:val="32"/>
          <w:w w:val="101"/>
          <w:sz w:val="19"/>
          <w:szCs w:val="19"/>
        </w:rPr>
        <w:t xml:space="preserve"> </w:t>
      </w:r>
      <w:r>
        <w:rPr>
          <w:rFonts w:ascii="宋体" w:hAnsi="宋体" w:eastAsia="宋体" w:cs="宋体"/>
          <w:spacing w:val="19"/>
          <w:sz w:val="19"/>
          <w:szCs w:val="19"/>
        </w:rPr>
        <w:t>是比较①组+②组和③组+④组。除了</w:t>
      </w:r>
      <w:r>
        <w:rPr>
          <w:rFonts w:ascii="Times New Roman" w:hAnsi="Times New Roman" w:eastAsia="Times New Roman" w:cs="Times New Roman"/>
          <w:sz w:val="19"/>
          <w:szCs w:val="19"/>
        </w:rPr>
        <w:t>ITT</w:t>
      </w:r>
      <w:r>
        <w:rPr>
          <w:rFonts w:ascii="Times New Roman" w:hAnsi="Times New Roman" w:eastAsia="Times New Roman" w:cs="Times New Roman"/>
          <w:spacing w:val="42"/>
          <w:sz w:val="19"/>
          <w:szCs w:val="19"/>
        </w:rPr>
        <w:t xml:space="preserve"> </w:t>
      </w:r>
      <w:r>
        <w:rPr>
          <w:rFonts w:ascii="宋体" w:hAnsi="宋体" w:eastAsia="宋体" w:cs="宋体"/>
          <w:spacing w:val="19"/>
          <w:sz w:val="19"/>
          <w:szCs w:val="19"/>
        </w:rPr>
        <w:t>外</w:t>
      </w:r>
      <w:r>
        <w:rPr>
          <w:rFonts w:ascii="宋体" w:hAnsi="宋体" w:eastAsia="宋体" w:cs="宋体"/>
          <w:spacing w:val="-17"/>
          <w:sz w:val="19"/>
          <w:szCs w:val="19"/>
        </w:rPr>
        <w:t xml:space="preserve"> </w:t>
      </w:r>
      <w:r>
        <w:rPr>
          <w:rFonts w:ascii="宋体" w:hAnsi="宋体" w:eastAsia="宋体" w:cs="宋体"/>
          <w:spacing w:val="19"/>
          <w:sz w:val="19"/>
          <w:szCs w:val="19"/>
        </w:rPr>
        <w:t>，</w:t>
      </w:r>
      <w:r>
        <w:rPr>
          <w:rFonts w:ascii="宋体" w:hAnsi="宋体" w:eastAsia="宋体" w:cs="宋体"/>
          <w:sz w:val="19"/>
          <w:szCs w:val="19"/>
        </w:rPr>
        <w:t xml:space="preserve"> </w:t>
      </w:r>
      <w:r>
        <w:rPr>
          <w:rFonts w:ascii="宋体" w:hAnsi="宋体" w:eastAsia="宋体" w:cs="宋体"/>
          <w:spacing w:val="23"/>
          <w:sz w:val="19"/>
          <w:szCs w:val="19"/>
        </w:rPr>
        <w:t>还有其他一些分析方法。效力分析(也就是依从者分析，又叫解释性试验或生物效力试验)是比较</w:t>
      </w:r>
      <w:r>
        <w:rPr>
          <w:rFonts w:ascii="宋体" w:hAnsi="宋体" w:eastAsia="宋体" w:cs="宋体"/>
          <w:spacing w:val="18"/>
          <w:sz w:val="19"/>
          <w:szCs w:val="19"/>
        </w:rPr>
        <w:t xml:space="preserve"> </w:t>
      </w:r>
      <w:r>
        <w:rPr>
          <w:rFonts w:ascii="宋体" w:hAnsi="宋体" w:eastAsia="宋体" w:cs="宋体"/>
          <w:spacing w:val="23"/>
          <w:sz w:val="19"/>
          <w:szCs w:val="19"/>
        </w:rPr>
        <w:t>②组和③组，而忽略①组和④组。接受治疗分析是比较①中转组者+③组和②组+④中转组者。三</w:t>
      </w:r>
      <w:r>
        <w:rPr>
          <w:rFonts w:ascii="宋体" w:hAnsi="宋体" w:eastAsia="宋体" w:cs="宋体"/>
          <w:spacing w:val="17"/>
          <w:sz w:val="19"/>
          <w:szCs w:val="19"/>
        </w:rPr>
        <w:t xml:space="preserve"> </w:t>
      </w:r>
      <w:r>
        <w:rPr>
          <w:rFonts w:ascii="宋体" w:hAnsi="宋体" w:eastAsia="宋体" w:cs="宋体"/>
          <w:spacing w:val="14"/>
          <w:sz w:val="19"/>
          <w:szCs w:val="19"/>
        </w:rPr>
        <w:t>种分析方法各有用途，但在评价项目的真实性时，</w:t>
      </w:r>
      <w:r>
        <w:rPr>
          <w:rFonts w:ascii="Times New Roman" w:hAnsi="Times New Roman" w:eastAsia="Times New Roman" w:cs="Times New Roman"/>
          <w:sz w:val="19"/>
          <w:szCs w:val="19"/>
        </w:rPr>
        <w:t>ITT</w:t>
      </w:r>
      <w:r>
        <w:rPr>
          <w:rFonts w:ascii="Times New Roman" w:hAnsi="Times New Roman" w:eastAsia="Times New Roman" w:cs="Times New Roman"/>
          <w:spacing w:val="14"/>
          <w:sz w:val="19"/>
          <w:szCs w:val="19"/>
        </w:rPr>
        <w:t xml:space="preserve"> </w:t>
      </w:r>
      <w:r>
        <w:rPr>
          <w:rFonts w:ascii="宋体" w:hAnsi="宋体" w:eastAsia="宋体" w:cs="宋体"/>
          <w:spacing w:val="14"/>
          <w:sz w:val="19"/>
          <w:szCs w:val="19"/>
        </w:rPr>
        <w:t>是最有效的方法，详见下述实例。</w:t>
      </w:r>
    </w:p>
    <w:p w14:paraId="0958182E">
      <w:pPr>
        <w:pStyle w:val="2"/>
        <w:spacing w:before="15" w:line="350" w:lineRule="auto"/>
        <w:ind w:right="557" w:firstLine="429"/>
        <w:jc w:val="both"/>
        <w:rPr>
          <w:rFonts w:ascii="宋体" w:hAnsi="宋体" w:eastAsia="宋体" w:cs="宋体"/>
          <w:sz w:val="19"/>
          <w:szCs w:val="19"/>
        </w:rPr>
      </w:pPr>
      <w:r>
        <w:rPr>
          <w:rFonts w:ascii="宋体" w:hAnsi="宋体" w:eastAsia="宋体" w:cs="宋体"/>
          <w:spacing w:val="21"/>
          <w:sz w:val="19"/>
          <w:szCs w:val="19"/>
        </w:rPr>
        <w:t xml:space="preserve">2. </w:t>
      </w:r>
      <w:r>
        <w:rPr>
          <w:spacing w:val="21"/>
          <w:sz w:val="19"/>
          <w:szCs w:val="19"/>
        </w:rPr>
        <w:t xml:space="preserve">分析方法实例  </w:t>
      </w:r>
      <w:r>
        <w:rPr>
          <w:rFonts w:ascii="宋体" w:hAnsi="宋体" w:eastAsia="宋体" w:cs="宋体"/>
          <w:spacing w:val="21"/>
          <w:sz w:val="19"/>
          <w:szCs w:val="19"/>
        </w:rPr>
        <w:t>在一项冠状动脉旁路</w:t>
      </w:r>
      <w:r>
        <w:rPr>
          <w:rFonts w:ascii="宋体" w:hAnsi="宋体" w:eastAsia="宋体" w:cs="宋体"/>
          <w:spacing w:val="20"/>
          <w:sz w:val="19"/>
          <w:szCs w:val="19"/>
        </w:rPr>
        <w:t>手术的两年随访研究中，将手术治疗看作新方法，内</w:t>
      </w:r>
      <w:r>
        <w:rPr>
          <w:rFonts w:ascii="宋体" w:hAnsi="宋体" w:eastAsia="宋体" w:cs="宋体"/>
          <w:sz w:val="19"/>
          <w:szCs w:val="19"/>
        </w:rPr>
        <w:t xml:space="preserve"> </w:t>
      </w:r>
      <w:r>
        <w:rPr>
          <w:rFonts w:ascii="宋体" w:hAnsi="宋体" w:eastAsia="宋体" w:cs="宋体"/>
          <w:spacing w:val="24"/>
          <w:sz w:val="19"/>
          <w:szCs w:val="19"/>
        </w:rPr>
        <w:t>科治疗作为对照。表6-3显示的是两年临床转归数据，表6-4显示的是上述三种方法的分析结果。</w:t>
      </w:r>
      <w:r>
        <w:rPr>
          <w:rFonts w:ascii="宋体" w:hAnsi="宋体" w:eastAsia="宋体" w:cs="宋体"/>
          <w:spacing w:val="13"/>
          <w:sz w:val="19"/>
          <w:szCs w:val="19"/>
        </w:rPr>
        <w:t xml:space="preserve"> </w:t>
      </w:r>
      <w:r>
        <w:rPr>
          <w:rFonts w:ascii="宋体" w:hAnsi="宋体" w:eastAsia="宋体" w:cs="宋体"/>
          <w:sz w:val="19"/>
          <w:szCs w:val="19"/>
        </w:rPr>
        <w:t>ITT</w:t>
      </w:r>
      <w:r>
        <w:rPr>
          <w:rFonts w:ascii="宋体" w:hAnsi="宋体" w:eastAsia="宋体" w:cs="宋体"/>
          <w:spacing w:val="-12"/>
          <w:sz w:val="19"/>
          <w:szCs w:val="19"/>
        </w:rPr>
        <w:t xml:space="preserve"> </w:t>
      </w:r>
      <w:r>
        <w:rPr>
          <w:rFonts w:ascii="宋体" w:hAnsi="宋体" w:eastAsia="宋体" w:cs="宋体"/>
          <w:spacing w:val="18"/>
          <w:sz w:val="19"/>
          <w:szCs w:val="19"/>
        </w:rPr>
        <w:t>分析得到内科治疗组死亡率是7</w:t>
      </w:r>
      <w:r>
        <w:rPr>
          <w:rFonts w:ascii="宋体" w:hAnsi="宋体" w:eastAsia="宋体" w:cs="宋体"/>
          <w:spacing w:val="-54"/>
          <w:sz w:val="19"/>
          <w:szCs w:val="19"/>
        </w:rPr>
        <w:t xml:space="preserve"> </w:t>
      </w:r>
      <w:r>
        <w:rPr>
          <w:rFonts w:ascii="宋体" w:hAnsi="宋体" w:eastAsia="宋体" w:cs="宋体"/>
          <w:spacing w:val="18"/>
          <w:sz w:val="19"/>
          <w:szCs w:val="19"/>
        </w:rPr>
        <w:t>.8%,手术治疗组病人的死亡率是</w:t>
      </w:r>
      <w:r>
        <w:rPr>
          <w:rFonts w:ascii="宋体" w:hAnsi="宋体" w:eastAsia="宋体" w:cs="宋体"/>
          <w:spacing w:val="17"/>
          <w:sz w:val="19"/>
          <w:szCs w:val="19"/>
        </w:rPr>
        <w:t>5</w:t>
      </w:r>
      <w:r>
        <w:rPr>
          <w:rFonts w:ascii="宋体" w:hAnsi="宋体" w:eastAsia="宋体" w:cs="宋体"/>
          <w:spacing w:val="-55"/>
          <w:sz w:val="19"/>
          <w:szCs w:val="19"/>
        </w:rPr>
        <w:t xml:space="preserve"> </w:t>
      </w:r>
      <w:r>
        <w:rPr>
          <w:rFonts w:ascii="宋体" w:hAnsi="宋体" w:eastAsia="宋体" w:cs="宋体"/>
          <w:spacing w:val="17"/>
          <w:sz w:val="19"/>
          <w:szCs w:val="19"/>
        </w:rPr>
        <w:t>.</w:t>
      </w:r>
      <w:r>
        <w:rPr>
          <w:rFonts w:ascii="宋体" w:hAnsi="宋体" w:eastAsia="宋体" w:cs="宋体"/>
          <w:spacing w:val="-56"/>
          <w:sz w:val="19"/>
          <w:szCs w:val="19"/>
        </w:rPr>
        <w:t xml:space="preserve"> </w:t>
      </w:r>
      <w:r>
        <w:rPr>
          <w:rFonts w:ascii="宋体" w:hAnsi="宋体" w:eastAsia="宋体" w:cs="宋体"/>
          <w:spacing w:val="17"/>
          <w:sz w:val="19"/>
          <w:szCs w:val="19"/>
        </w:rPr>
        <w:t>3%</w:t>
      </w:r>
      <w:r>
        <w:rPr>
          <w:rFonts w:ascii="宋体" w:hAnsi="宋体" w:eastAsia="宋体" w:cs="宋体"/>
          <w:spacing w:val="-56"/>
          <w:sz w:val="19"/>
          <w:szCs w:val="19"/>
        </w:rPr>
        <w:t xml:space="preserve"> </w:t>
      </w:r>
      <w:r>
        <w:rPr>
          <w:rFonts w:ascii="宋体" w:hAnsi="宋体" w:eastAsia="宋体" w:cs="宋体"/>
          <w:spacing w:val="17"/>
          <w:sz w:val="19"/>
          <w:szCs w:val="19"/>
        </w:rPr>
        <w:t>,P=0.17, 两组治疗效果</w:t>
      </w:r>
      <w:r>
        <w:rPr>
          <w:rFonts w:ascii="宋体" w:hAnsi="宋体" w:eastAsia="宋体" w:cs="宋体"/>
          <w:sz w:val="19"/>
          <w:szCs w:val="19"/>
        </w:rPr>
        <w:t xml:space="preserve">  </w:t>
      </w:r>
      <w:r>
        <w:rPr>
          <w:rFonts w:ascii="宋体" w:hAnsi="宋体" w:eastAsia="宋体" w:cs="宋体"/>
          <w:spacing w:val="18"/>
          <w:sz w:val="19"/>
          <w:szCs w:val="19"/>
        </w:rPr>
        <w:t>相当。而在其他分析方法中，如果只对依从者进行分析，则内科治疗组死亡率</w:t>
      </w:r>
      <w:r>
        <w:rPr>
          <w:rFonts w:ascii="宋体" w:hAnsi="宋体" w:eastAsia="宋体" w:cs="宋体"/>
          <w:spacing w:val="17"/>
          <w:sz w:val="19"/>
          <w:szCs w:val="19"/>
        </w:rPr>
        <w:t>(8.4%)高于手术治疗</w:t>
      </w:r>
      <w:r>
        <w:rPr>
          <w:rFonts w:ascii="宋体" w:hAnsi="宋体" w:eastAsia="宋体" w:cs="宋体"/>
          <w:sz w:val="19"/>
          <w:szCs w:val="19"/>
        </w:rPr>
        <w:t xml:space="preserve">  </w:t>
      </w:r>
      <w:r>
        <w:rPr>
          <w:rFonts w:ascii="宋体" w:hAnsi="宋体" w:eastAsia="宋体" w:cs="宋体"/>
          <w:spacing w:val="16"/>
          <w:sz w:val="19"/>
          <w:szCs w:val="19"/>
        </w:rPr>
        <w:t>组(4</w:t>
      </w:r>
      <w:r>
        <w:rPr>
          <w:rFonts w:ascii="宋体" w:hAnsi="宋体" w:eastAsia="宋体" w:cs="宋体"/>
          <w:spacing w:val="-51"/>
          <w:sz w:val="19"/>
          <w:szCs w:val="19"/>
        </w:rPr>
        <w:t xml:space="preserve"> </w:t>
      </w:r>
      <w:r>
        <w:rPr>
          <w:rFonts w:ascii="宋体" w:hAnsi="宋体" w:eastAsia="宋体" w:cs="宋体"/>
          <w:spacing w:val="16"/>
          <w:sz w:val="19"/>
          <w:szCs w:val="19"/>
        </w:rPr>
        <w:t>.</w:t>
      </w:r>
      <w:r>
        <w:rPr>
          <w:rFonts w:ascii="宋体" w:hAnsi="宋体" w:eastAsia="宋体" w:cs="宋体"/>
          <w:spacing w:val="-41"/>
          <w:sz w:val="19"/>
          <w:szCs w:val="19"/>
        </w:rPr>
        <w:t xml:space="preserve"> </w:t>
      </w:r>
      <w:r>
        <w:rPr>
          <w:rFonts w:ascii="宋体" w:hAnsi="宋体" w:eastAsia="宋体" w:cs="宋体"/>
          <w:spacing w:val="16"/>
          <w:sz w:val="19"/>
          <w:szCs w:val="19"/>
        </w:rPr>
        <w:t>1%)</w:t>
      </w:r>
      <w:r>
        <w:rPr>
          <w:rFonts w:ascii="宋体" w:hAnsi="宋体" w:eastAsia="宋体" w:cs="宋体"/>
          <w:spacing w:val="-53"/>
          <w:sz w:val="19"/>
          <w:szCs w:val="19"/>
        </w:rPr>
        <w:t xml:space="preserve"> </w:t>
      </w:r>
      <w:r>
        <w:rPr>
          <w:rFonts w:ascii="宋体" w:hAnsi="宋体" w:eastAsia="宋体" w:cs="宋体"/>
          <w:spacing w:val="16"/>
          <w:sz w:val="19"/>
          <w:szCs w:val="19"/>
        </w:rPr>
        <w:t>,P=0.018;</w:t>
      </w:r>
      <w:r>
        <w:rPr>
          <w:rFonts w:ascii="宋体" w:hAnsi="宋体" w:eastAsia="宋体" w:cs="宋体"/>
          <w:spacing w:val="49"/>
          <w:w w:val="101"/>
          <w:sz w:val="19"/>
          <w:szCs w:val="19"/>
        </w:rPr>
        <w:t xml:space="preserve"> </w:t>
      </w:r>
      <w:r>
        <w:rPr>
          <w:rFonts w:ascii="宋体" w:hAnsi="宋体" w:eastAsia="宋体" w:cs="宋体"/>
          <w:spacing w:val="16"/>
          <w:sz w:val="19"/>
          <w:szCs w:val="19"/>
        </w:rPr>
        <w:t>接受治疗分析与依从者分析的结果相似，内科治疗</w:t>
      </w:r>
      <w:r>
        <w:rPr>
          <w:rFonts w:ascii="宋体" w:hAnsi="宋体" w:eastAsia="宋体" w:cs="宋体"/>
          <w:spacing w:val="15"/>
          <w:sz w:val="19"/>
          <w:szCs w:val="19"/>
        </w:rPr>
        <w:t>组死亡率(9.5%)高于手术</w:t>
      </w:r>
      <w:r>
        <w:rPr>
          <w:rFonts w:ascii="宋体" w:hAnsi="宋体" w:eastAsia="宋体" w:cs="宋体"/>
          <w:sz w:val="19"/>
          <w:szCs w:val="19"/>
        </w:rPr>
        <w:t xml:space="preserve">  </w:t>
      </w:r>
      <w:r>
        <w:rPr>
          <w:rFonts w:ascii="宋体" w:hAnsi="宋体" w:eastAsia="宋体" w:cs="宋体"/>
          <w:spacing w:val="4"/>
          <w:sz w:val="19"/>
          <w:szCs w:val="19"/>
        </w:rPr>
        <w:t>治疗组(4</w:t>
      </w:r>
      <w:r>
        <w:rPr>
          <w:rFonts w:ascii="宋体" w:hAnsi="宋体" w:eastAsia="宋体" w:cs="宋体"/>
          <w:spacing w:val="-50"/>
          <w:sz w:val="19"/>
          <w:szCs w:val="19"/>
        </w:rPr>
        <w:t xml:space="preserve"> </w:t>
      </w:r>
      <w:r>
        <w:rPr>
          <w:rFonts w:ascii="宋体" w:hAnsi="宋体" w:eastAsia="宋体" w:cs="宋体"/>
          <w:spacing w:val="4"/>
          <w:sz w:val="19"/>
          <w:szCs w:val="19"/>
        </w:rPr>
        <w:t>.</w:t>
      </w:r>
      <w:r>
        <w:rPr>
          <w:rFonts w:ascii="宋体" w:hAnsi="宋体" w:eastAsia="宋体" w:cs="宋体"/>
          <w:spacing w:val="-46"/>
          <w:sz w:val="19"/>
          <w:szCs w:val="19"/>
        </w:rPr>
        <w:t xml:space="preserve"> </w:t>
      </w:r>
      <w:r>
        <w:rPr>
          <w:rFonts w:ascii="宋体" w:hAnsi="宋体" w:eastAsia="宋体" w:cs="宋体"/>
          <w:spacing w:val="4"/>
          <w:sz w:val="19"/>
          <w:szCs w:val="19"/>
        </w:rPr>
        <w:t>1%),P=0.003。</w:t>
      </w:r>
    </w:p>
    <w:p w14:paraId="73E9BF52">
      <w:pPr>
        <w:spacing w:before="162" w:line="219" w:lineRule="auto"/>
        <w:ind w:left="4559"/>
        <w:rPr>
          <w:rFonts w:ascii="宋体" w:hAnsi="宋体" w:eastAsia="宋体" w:cs="宋体"/>
          <w:sz w:val="20"/>
          <w:szCs w:val="20"/>
        </w:rPr>
      </w:pPr>
      <w:r>
        <w:rPr>
          <w:rFonts w:ascii="宋体" w:hAnsi="宋体" w:eastAsia="宋体" w:cs="宋体"/>
          <w:spacing w:val="2"/>
          <w:sz w:val="20"/>
          <w:szCs w:val="20"/>
        </w:rPr>
        <w:t xml:space="preserve">表6-3 </w:t>
      </w:r>
      <w:r>
        <w:rPr>
          <w:rFonts w:ascii="宋体" w:hAnsi="宋体" w:eastAsia="宋体" w:cs="宋体"/>
          <w:sz w:val="20"/>
          <w:szCs w:val="20"/>
        </w:rPr>
        <w:t>RCT</w:t>
      </w:r>
      <w:r>
        <w:rPr>
          <w:rFonts w:ascii="宋体" w:hAnsi="宋体" w:eastAsia="宋体" w:cs="宋体"/>
          <w:spacing w:val="2"/>
          <w:sz w:val="20"/>
          <w:szCs w:val="20"/>
        </w:rPr>
        <w:t>转归</w:t>
      </w:r>
    </w:p>
    <w:tbl>
      <w:tblPr>
        <w:tblStyle w:val="5"/>
        <w:tblW w:w="8979" w:type="dxa"/>
        <w:tblInd w:w="19"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0" w:type="dxa"/>
          <w:left w:w="0" w:type="dxa"/>
          <w:bottom w:w="0" w:type="dxa"/>
          <w:right w:w="0" w:type="dxa"/>
        </w:tblCellMar>
      </w:tblPr>
      <w:tblGrid>
        <w:gridCol w:w="1410"/>
        <w:gridCol w:w="1830"/>
        <w:gridCol w:w="1880"/>
        <w:gridCol w:w="1950"/>
        <w:gridCol w:w="1909"/>
      </w:tblGrid>
      <w:tr w14:paraId="2D22F91A">
        <w:trPr>
          <w:trHeight w:val="382" w:hRule="atLeast"/>
        </w:trPr>
        <w:tc>
          <w:tcPr>
            <w:tcW w:w="1410" w:type="dxa"/>
            <w:vMerge w:val="restart"/>
            <w:tcBorders>
              <w:top w:val="single" w:color="000000" w:sz="4" w:space="0"/>
              <w:bottom w:val="nil"/>
            </w:tcBorders>
            <w:shd w:val="clear" w:color="auto" w:fill="B5C5C3"/>
            <w:vAlign w:val="top"/>
          </w:tcPr>
          <w:p w14:paraId="0078AFE5">
            <w:pPr>
              <w:rPr>
                <w:rFonts w:ascii="Arial"/>
                <w:sz w:val="21"/>
              </w:rPr>
            </w:pPr>
          </w:p>
        </w:tc>
        <w:tc>
          <w:tcPr>
            <w:tcW w:w="3710" w:type="dxa"/>
            <w:gridSpan w:val="2"/>
            <w:tcBorders>
              <w:top w:val="single" w:color="000000" w:sz="4" w:space="0"/>
              <w:bottom w:val="single" w:color="000000" w:sz="4" w:space="0"/>
            </w:tcBorders>
            <w:shd w:val="clear" w:color="auto" w:fill="A9A9A1"/>
            <w:vAlign w:val="top"/>
          </w:tcPr>
          <w:p w14:paraId="585D0EFF">
            <w:pPr>
              <w:pStyle w:val="6"/>
              <w:spacing w:before="91" w:line="219" w:lineRule="auto"/>
              <w:ind w:left="850"/>
            </w:pPr>
            <w:r>
              <w:rPr>
                <w:spacing w:val="-1"/>
              </w:rPr>
              <w:t>分配至内科治疗的人数</w:t>
            </w:r>
          </w:p>
        </w:tc>
        <w:tc>
          <w:tcPr>
            <w:tcW w:w="3859" w:type="dxa"/>
            <w:gridSpan w:val="2"/>
            <w:tcBorders>
              <w:top w:val="single" w:color="000000" w:sz="4" w:space="0"/>
              <w:bottom w:val="single" w:color="000000" w:sz="4" w:space="0"/>
            </w:tcBorders>
            <w:shd w:val="clear" w:color="auto" w:fill="A9AA9B"/>
            <w:vAlign w:val="top"/>
          </w:tcPr>
          <w:p w14:paraId="5B5D2D76">
            <w:pPr>
              <w:pStyle w:val="6"/>
              <w:spacing w:before="93" w:line="219" w:lineRule="auto"/>
              <w:ind w:left="929"/>
            </w:pPr>
            <w:r>
              <w:rPr>
                <w:spacing w:val="-1"/>
              </w:rPr>
              <w:t>分配至手术治疗的人数</w:t>
            </w:r>
          </w:p>
        </w:tc>
      </w:tr>
      <w:tr w14:paraId="05694CEB">
        <w:trPr>
          <w:trHeight w:val="338" w:hRule="atLeast"/>
        </w:trPr>
        <w:tc>
          <w:tcPr>
            <w:tcW w:w="1410" w:type="dxa"/>
            <w:vMerge w:val="continue"/>
            <w:tcBorders>
              <w:top w:val="nil"/>
              <w:bottom w:val="single" w:color="000000" w:sz="4" w:space="0"/>
            </w:tcBorders>
            <w:vAlign w:val="top"/>
          </w:tcPr>
          <w:p w14:paraId="27DE8764">
            <w:pPr>
              <w:rPr>
                <w:rFonts w:ascii="Arial"/>
                <w:sz w:val="21"/>
              </w:rPr>
            </w:pPr>
          </w:p>
        </w:tc>
        <w:tc>
          <w:tcPr>
            <w:tcW w:w="1830" w:type="dxa"/>
            <w:tcBorders>
              <w:top w:val="single" w:color="000000" w:sz="4" w:space="0"/>
              <w:bottom w:val="single" w:color="000000" w:sz="4" w:space="0"/>
            </w:tcBorders>
            <w:shd w:val="clear" w:color="auto" w:fill="AAAEA8"/>
            <w:vAlign w:val="top"/>
          </w:tcPr>
          <w:p w14:paraId="234F0949">
            <w:pPr>
              <w:pStyle w:val="6"/>
              <w:spacing w:before="71" w:line="219" w:lineRule="auto"/>
              <w:ind w:left="109"/>
            </w:pPr>
            <w:r>
              <w:rPr>
                <w:spacing w:val="-1"/>
              </w:rPr>
              <w:t>接受手术治疗人数</w:t>
            </w:r>
          </w:p>
        </w:tc>
        <w:tc>
          <w:tcPr>
            <w:tcW w:w="1880" w:type="dxa"/>
            <w:tcBorders>
              <w:top w:val="single" w:color="000000" w:sz="4" w:space="0"/>
              <w:bottom w:val="single" w:color="000000" w:sz="4" w:space="0"/>
            </w:tcBorders>
            <w:shd w:val="clear" w:color="auto" w:fill="A8A9A1"/>
            <w:vAlign w:val="top"/>
          </w:tcPr>
          <w:p w14:paraId="565A3622">
            <w:pPr>
              <w:pStyle w:val="6"/>
              <w:spacing w:before="69" w:line="219" w:lineRule="auto"/>
              <w:ind w:left="196"/>
            </w:pPr>
            <w:r>
              <w:rPr>
                <w:spacing w:val="-1"/>
              </w:rPr>
              <w:t>接受内科治疗人数</w:t>
            </w:r>
          </w:p>
        </w:tc>
        <w:tc>
          <w:tcPr>
            <w:tcW w:w="1950" w:type="dxa"/>
            <w:tcBorders>
              <w:top w:val="single" w:color="000000" w:sz="4" w:space="0"/>
              <w:bottom w:val="single" w:color="000000" w:sz="4" w:space="0"/>
            </w:tcBorders>
            <w:shd w:val="clear" w:color="auto" w:fill="A1A194"/>
            <w:vAlign w:val="top"/>
          </w:tcPr>
          <w:p w14:paraId="217D4200">
            <w:pPr>
              <w:pStyle w:val="6"/>
              <w:spacing w:before="71" w:line="219" w:lineRule="auto"/>
              <w:ind w:left="170"/>
            </w:pPr>
            <w:r>
              <w:rPr>
                <w:spacing w:val="-1"/>
              </w:rPr>
              <w:t>接受手术治疗人数</w:t>
            </w:r>
          </w:p>
        </w:tc>
        <w:tc>
          <w:tcPr>
            <w:tcW w:w="1909" w:type="dxa"/>
            <w:tcBorders>
              <w:top w:val="single" w:color="000000" w:sz="4" w:space="0"/>
              <w:bottom w:val="single" w:color="000000" w:sz="4" w:space="0"/>
            </w:tcBorders>
            <w:shd w:val="clear" w:color="auto" w:fill="A1A292"/>
            <w:vAlign w:val="top"/>
          </w:tcPr>
          <w:p w14:paraId="5B5235C1">
            <w:pPr>
              <w:pStyle w:val="6"/>
              <w:spacing w:before="69" w:line="219" w:lineRule="auto"/>
              <w:ind w:left="149"/>
            </w:pPr>
            <w:r>
              <w:rPr>
                <w:spacing w:val="-1"/>
              </w:rPr>
              <w:t>接受内科治疗人数</w:t>
            </w:r>
          </w:p>
        </w:tc>
      </w:tr>
      <w:tr w14:paraId="416FA6B9">
        <w:trPr>
          <w:trHeight w:val="378" w:hRule="atLeast"/>
        </w:trPr>
        <w:tc>
          <w:tcPr>
            <w:tcW w:w="1410" w:type="dxa"/>
            <w:tcBorders>
              <w:top w:val="single" w:color="000000" w:sz="4" w:space="0"/>
              <w:bottom w:val="single" w:color="000000" w:sz="4" w:space="0"/>
            </w:tcBorders>
            <w:vAlign w:val="top"/>
          </w:tcPr>
          <w:p w14:paraId="692D4DF7">
            <w:pPr>
              <w:pStyle w:val="6"/>
              <w:spacing w:before="93" w:line="219" w:lineRule="auto"/>
              <w:ind w:left="109"/>
            </w:pPr>
            <w:r>
              <w:rPr>
                <w:spacing w:val="1"/>
              </w:rPr>
              <w:t>随访2年人数</w:t>
            </w:r>
          </w:p>
        </w:tc>
        <w:tc>
          <w:tcPr>
            <w:tcW w:w="1830" w:type="dxa"/>
            <w:tcBorders>
              <w:top w:val="single" w:color="000000" w:sz="4" w:space="0"/>
              <w:bottom w:val="single" w:color="000000" w:sz="4" w:space="0"/>
            </w:tcBorders>
            <w:vAlign w:val="top"/>
          </w:tcPr>
          <w:p w14:paraId="0C8C3E67">
            <w:pPr>
              <w:pStyle w:val="6"/>
              <w:spacing w:before="113" w:line="235" w:lineRule="auto"/>
              <w:ind w:left="809"/>
            </w:pPr>
            <w:r>
              <w:rPr>
                <w:spacing w:val="-2"/>
              </w:rPr>
              <w:t>48</w:t>
            </w:r>
          </w:p>
        </w:tc>
        <w:tc>
          <w:tcPr>
            <w:tcW w:w="1880" w:type="dxa"/>
            <w:tcBorders>
              <w:top w:val="single" w:color="000000" w:sz="4" w:space="0"/>
              <w:bottom w:val="single" w:color="000000" w:sz="4" w:space="0"/>
            </w:tcBorders>
            <w:vAlign w:val="top"/>
          </w:tcPr>
          <w:p w14:paraId="617F2554">
            <w:pPr>
              <w:pStyle w:val="6"/>
              <w:spacing w:before="113" w:line="235" w:lineRule="auto"/>
              <w:ind w:left="790"/>
            </w:pPr>
            <w:r>
              <w:rPr>
                <w:spacing w:val="-3"/>
              </w:rPr>
              <w:t>296</w:t>
            </w:r>
          </w:p>
        </w:tc>
        <w:tc>
          <w:tcPr>
            <w:tcW w:w="1950" w:type="dxa"/>
            <w:tcBorders>
              <w:top w:val="single" w:color="000000" w:sz="4" w:space="0"/>
              <w:bottom w:val="single" w:color="000000" w:sz="4" w:space="0"/>
            </w:tcBorders>
            <w:vAlign w:val="top"/>
          </w:tcPr>
          <w:p w14:paraId="617C95FD">
            <w:pPr>
              <w:pStyle w:val="6"/>
              <w:spacing w:before="113" w:line="235" w:lineRule="auto"/>
              <w:ind w:left="820"/>
            </w:pPr>
            <w:r>
              <w:rPr>
                <w:spacing w:val="-3"/>
              </w:rPr>
              <w:t>354</w:t>
            </w:r>
          </w:p>
        </w:tc>
        <w:tc>
          <w:tcPr>
            <w:tcW w:w="1909" w:type="dxa"/>
            <w:tcBorders>
              <w:top w:val="single" w:color="000000" w:sz="4" w:space="0"/>
              <w:bottom w:val="single" w:color="000000" w:sz="4" w:space="0"/>
            </w:tcBorders>
            <w:vAlign w:val="top"/>
          </w:tcPr>
          <w:p w14:paraId="56C2FB9A">
            <w:pPr>
              <w:pStyle w:val="6"/>
              <w:spacing w:before="113" w:line="235" w:lineRule="auto"/>
              <w:ind w:left="850"/>
            </w:pPr>
            <w:r>
              <w:rPr>
                <w:spacing w:val="-3"/>
              </w:rPr>
              <w:t>20</w:t>
            </w:r>
          </w:p>
        </w:tc>
      </w:tr>
      <w:tr w14:paraId="6B50C79E">
        <w:trPr>
          <w:trHeight w:val="348" w:hRule="atLeast"/>
        </w:trPr>
        <w:tc>
          <w:tcPr>
            <w:tcW w:w="1410" w:type="dxa"/>
            <w:tcBorders>
              <w:top w:val="single" w:color="000000" w:sz="4" w:space="0"/>
              <w:bottom w:val="single" w:color="000000" w:sz="4" w:space="0"/>
            </w:tcBorders>
            <w:vAlign w:val="top"/>
          </w:tcPr>
          <w:p w14:paraId="302FD71F">
            <w:pPr>
              <w:pStyle w:val="6"/>
              <w:spacing w:before="85" w:line="219" w:lineRule="auto"/>
              <w:ind w:left="109"/>
            </w:pPr>
            <w:r>
              <w:rPr>
                <w:spacing w:val="-2"/>
              </w:rPr>
              <w:t>死亡人数</w:t>
            </w:r>
          </w:p>
        </w:tc>
        <w:tc>
          <w:tcPr>
            <w:tcW w:w="1830" w:type="dxa"/>
            <w:tcBorders>
              <w:top w:val="single" w:color="000000" w:sz="4" w:space="0"/>
              <w:bottom w:val="single" w:color="000000" w:sz="4" w:space="0"/>
            </w:tcBorders>
            <w:shd w:val="clear" w:color="auto" w:fill="DBDBDC"/>
            <w:vAlign w:val="top"/>
          </w:tcPr>
          <w:p w14:paraId="4ADD8302">
            <w:pPr>
              <w:pStyle w:val="6"/>
              <w:spacing w:before="105" w:line="215" w:lineRule="auto"/>
              <w:ind w:left="860"/>
            </w:pPr>
            <w:r>
              <w:t>2</w:t>
            </w:r>
          </w:p>
        </w:tc>
        <w:tc>
          <w:tcPr>
            <w:tcW w:w="1880" w:type="dxa"/>
            <w:tcBorders>
              <w:top w:val="single" w:color="000000" w:sz="4" w:space="0"/>
              <w:bottom w:val="single" w:color="000000" w:sz="4" w:space="0"/>
            </w:tcBorders>
            <w:shd w:val="clear" w:color="auto" w:fill="DCDBD7"/>
            <w:vAlign w:val="top"/>
          </w:tcPr>
          <w:p w14:paraId="4A6FB78F">
            <w:pPr>
              <w:pStyle w:val="6"/>
              <w:spacing w:before="105" w:line="215" w:lineRule="auto"/>
              <w:ind w:left="840"/>
            </w:pPr>
            <w:r>
              <w:rPr>
                <w:spacing w:val="-3"/>
              </w:rPr>
              <w:t>27</w:t>
            </w:r>
          </w:p>
        </w:tc>
        <w:tc>
          <w:tcPr>
            <w:tcW w:w="1950" w:type="dxa"/>
            <w:tcBorders>
              <w:top w:val="single" w:color="000000" w:sz="4" w:space="0"/>
              <w:bottom w:val="single" w:color="000000" w:sz="4" w:space="0"/>
            </w:tcBorders>
            <w:shd w:val="clear" w:color="auto" w:fill="D6D4CE"/>
            <w:vAlign w:val="top"/>
          </w:tcPr>
          <w:p w14:paraId="60B69553">
            <w:pPr>
              <w:pStyle w:val="6"/>
              <w:spacing w:before="105" w:line="215" w:lineRule="auto"/>
              <w:ind w:left="869"/>
            </w:pPr>
            <w:r>
              <w:rPr>
                <w:spacing w:val="-6"/>
              </w:rPr>
              <w:t>15</w:t>
            </w:r>
          </w:p>
        </w:tc>
        <w:tc>
          <w:tcPr>
            <w:tcW w:w="1909" w:type="dxa"/>
            <w:tcBorders>
              <w:top w:val="single" w:color="000000" w:sz="4" w:space="0"/>
              <w:bottom w:val="single" w:color="000000" w:sz="4" w:space="0"/>
            </w:tcBorders>
            <w:shd w:val="clear" w:color="auto" w:fill="D3D0C7"/>
            <w:vAlign w:val="top"/>
          </w:tcPr>
          <w:p w14:paraId="21B5AEDF">
            <w:pPr>
              <w:pStyle w:val="6"/>
              <w:spacing w:before="105" w:line="215" w:lineRule="auto"/>
              <w:ind w:left="900"/>
            </w:pPr>
            <w:r>
              <w:t>6</w:t>
            </w:r>
          </w:p>
        </w:tc>
      </w:tr>
      <w:tr w14:paraId="4DBFF1E8">
        <w:trPr>
          <w:trHeight w:val="383" w:hRule="atLeast"/>
        </w:trPr>
        <w:tc>
          <w:tcPr>
            <w:tcW w:w="1410" w:type="dxa"/>
            <w:tcBorders>
              <w:top w:val="single" w:color="000000" w:sz="4" w:space="0"/>
              <w:bottom w:val="single" w:color="000000" w:sz="4" w:space="0"/>
            </w:tcBorders>
            <w:vAlign w:val="top"/>
          </w:tcPr>
          <w:p w14:paraId="049B390D">
            <w:pPr>
              <w:pStyle w:val="6"/>
              <w:spacing w:before="98" w:line="221" w:lineRule="auto"/>
              <w:ind w:left="109"/>
            </w:pPr>
            <w:r>
              <w:rPr>
                <w:spacing w:val="-3"/>
              </w:rPr>
              <w:t>合计</w:t>
            </w:r>
          </w:p>
        </w:tc>
        <w:tc>
          <w:tcPr>
            <w:tcW w:w="1830" w:type="dxa"/>
            <w:tcBorders>
              <w:top w:val="single" w:color="000000" w:sz="4" w:space="0"/>
              <w:bottom w:val="single" w:color="000000" w:sz="4" w:space="0"/>
            </w:tcBorders>
            <w:vAlign w:val="top"/>
          </w:tcPr>
          <w:p w14:paraId="61BF7500">
            <w:pPr>
              <w:pStyle w:val="6"/>
              <w:spacing w:before="117" w:line="236" w:lineRule="auto"/>
              <w:ind w:left="809"/>
            </w:pPr>
            <w:r>
              <w:rPr>
                <w:spacing w:val="-3"/>
              </w:rPr>
              <w:t>50</w:t>
            </w:r>
          </w:p>
        </w:tc>
        <w:tc>
          <w:tcPr>
            <w:tcW w:w="1880" w:type="dxa"/>
            <w:tcBorders>
              <w:top w:val="single" w:color="000000" w:sz="4" w:space="0"/>
              <w:bottom w:val="single" w:color="000000" w:sz="4" w:space="0"/>
            </w:tcBorders>
            <w:vAlign w:val="top"/>
          </w:tcPr>
          <w:p w14:paraId="79BF0996">
            <w:pPr>
              <w:pStyle w:val="6"/>
              <w:spacing w:before="117" w:line="236" w:lineRule="auto"/>
              <w:ind w:left="790"/>
            </w:pPr>
            <w:r>
              <w:rPr>
                <w:spacing w:val="-3"/>
              </w:rPr>
              <w:t>323</w:t>
            </w:r>
          </w:p>
        </w:tc>
        <w:tc>
          <w:tcPr>
            <w:tcW w:w="1950" w:type="dxa"/>
            <w:tcBorders>
              <w:top w:val="single" w:color="000000" w:sz="4" w:space="0"/>
              <w:bottom w:val="single" w:color="000000" w:sz="4" w:space="0"/>
            </w:tcBorders>
            <w:vAlign w:val="top"/>
          </w:tcPr>
          <w:p w14:paraId="6D383856">
            <w:pPr>
              <w:pStyle w:val="6"/>
              <w:spacing w:before="117" w:line="236" w:lineRule="auto"/>
              <w:ind w:left="820"/>
            </w:pPr>
            <w:r>
              <w:rPr>
                <w:spacing w:val="-3"/>
              </w:rPr>
              <w:t>369</w:t>
            </w:r>
          </w:p>
        </w:tc>
        <w:tc>
          <w:tcPr>
            <w:tcW w:w="1909" w:type="dxa"/>
            <w:tcBorders>
              <w:top w:val="single" w:color="000000" w:sz="4" w:space="0"/>
              <w:bottom w:val="single" w:color="000000" w:sz="4" w:space="0"/>
            </w:tcBorders>
            <w:vAlign w:val="top"/>
          </w:tcPr>
          <w:p w14:paraId="7A2411D4">
            <w:pPr>
              <w:pStyle w:val="6"/>
              <w:spacing w:before="117" w:line="236" w:lineRule="auto"/>
              <w:ind w:left="850"/>
            </w:pPr>
            <w:r>
              <w:rPr>
                <w:spacing w:val="-3"/>
              </w:rPr>
              <w:t>26</w:t>
            </w:r>
          </w:p>
        </w:tc>
      </w:tr>
    </w:tbl>
    <w:p w14:paraId="1A861FC9">
      <w:pPr>
        <w:spacing w:line="260" w:lineRule="auto"/>
        <w:rPr>
          <w:rFonts w:ascii="Arial"/>
          <w:sz w:val="21"/>
        </w:rPr>
      </w:pPr>
    </w:p>
    <w:p w14:paraId="15E1E15E">
      <w:pPr>
        <w:spacing w:before="70" w:line="219" w:lineRule="auto"/>
        <w:ind w:left="2673"/>
        <w:rPr>
          <w:rFonts w:ascii="宋体" w:hAnsi="宋体" w:eastAsia="宋体" w:cs="宋体"/>
          <w:sz w:val="21"/>
          <w:szCs w:val="21"/>
        </w:rPr>
      </w:pPr>
      <w:r>
        <w:rPr>
          <w:rFonts w:ascii="宋体" w:hAnsi="宋体" w:eastAsia="宋体" w:cs="宋体"/>
          <w:b/>
          <w:bCs/>
          <w:spacing w:val="-4"/>
          <w:sz w:val="21"/>
          <w:szCs w:val="21"/>
        </w:rPr>
        <w:t>表6-4</w:t>
      </w:r>
      <w:r>
        <w:rPr>
          <w:rFonts w:ascii="宋体" w:hAnsi="宋体" w:eastAsia="宋体" w:cs="宋体"/>
          <w:spacing w:val="5"/>
          <w:sz w:val="21"/>
          <w:szCs w:val="21"/>
        </w:rPr>
        <w:t xml:space="preserve">         </w:t>
      </w:r>
      <w:r>
        <w:rPr>
          <w:rFonts w:ascii="宋体" w:hAnsi="宋体" w:eastAsia="宋体" w:cs="宋体"/>
          <w:b/>
          <w:bCs/>
          <w:spacing w:val="-4"/>
          <w:sz w:val="21"/>
          <w:szCs w:val="21"/>
        </w:rPr>
        <w:t>三种分析方法比较</w:t>
      </w:r>
    </w:p>
    <w:tbl>
      <w:tblPr>
        <w:tblStyle w:val="5"/>
        <w:tblW w:w="9029" w:type="dxa"/>
        <w:tblInd w:w="9"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0" w:type="dxa"/>
          <w:left w:w="0" w:type="dxa"/>
          <w:bottom w:w="0" w:type="dxa"/>
          <w:right w:w="0" w:type="dxa"/>
        </w:tblCellMar>
      </w:tblPr>
      <w:tblGrid>
        <w:gridCol w:w="1890"/>
        <w:gridCol w:w="1686"/>
        <w:gridCol w:w="2483"/>
        <w:gridCol w:w="1440"/>
        <w:gridCol w:w="1530"/>
      </w:tblGrid>
      <w:tr w14:paraId="6D7D51B8">
        <w:trPr>
          <w:trHeight w:val="342" w:hRule="atLeast"/>
        </w:trPr>
        <w:tc>
          <w:tcPr>
            <w:tcW w:w="1890" w:type="dxa"/>
            <w:vMerge w:val="restart"/>
            <w:tcBorders>
              <w:top w:val="single" w:color="000000" w:sz="4" w:space="0"/>
              <w:bottom w:val="nil"/>
            </w:tcBorders>
            <w:shd w:val="clear" w:color="auto" w:fill="C9D3D0"/>
            <w:vAlign w:val="top"/>
          </w:tcPr>
          <w:p w14:paraId="42889E4D">
            <w:pPr>
              <w:pStyle w:val="6"/>
              <w:spacing w:before="264" w:line="220" w:lineRule="auto"/>
              <w:ind w:left="319"/>
              <w:rPr>
                <w:sz w:val="21"/>
                <w:szCs w:val="21"/>
              </w:rPr>
            </w:pPr>
            <w:r>
              <w:rPr>
                <w:spacing w:val="-3"/>
                <w:sz w:val="21"/>
                <w:szCs w:val="21"/>
              </w:rPr>
              <w:t>分析方法</w:t>
            </w:r>
          </w:p>
        </w:tc>
        <w:tc>
          <w:tcPr>
            <w:tcW w:w="1686" w:type="dxa"/>
            <w:vMerge w:val="restart"/>
            <w:tcBorders>
              <w:top w:val="single" w:color="000000" w:sz="4" w:space="0"/>
              <w:bottom w:val="nil"/>
            </w:tcBorders>
            <w:vAlign w:val="top"/>
          </w:tcPr>
          <w:p w14:paraId="4286D1B9">
            <w:pPr>
              <w:spacing w:line="381" w:lineRule="auto"/>
              <w:rPr>
                <w:rFonts w:ascii="Arial"/>
                <w:sz w:val="21"/>
              </w:rPr>
            </w:pPr>
          </w:p>
          <w:p w14:paraId="3178A514">
            <w:pPr>
              <w:pStyle w:val="6"/>
              <w:spacing w:before="68" w:line="219" w:lineRule="auto"/>
              <w:ind w:left="609"/>
              <w:rPr>
                <w:sz w:val="21"/>
                <w:szCs w:val="21"/>
              </w:rPr>
            </w:pPr>
            <w:r>
              <mc:AlternateContent>
                <mc:Choice Requires="wps">
                  <w:drawing>
                    <wp:anchor distT="0" distB="0" distL="0" distR="0" simplePos="0" relativeHeight="251760640" behindDoc="1" locked="0" layoutInCell="1" allowOverlap="1">
                      <wp:simplePos x="0" y="0"/>
                      <wp:positionH relativeFrom="column">
                        <wp:posOffset>0</wp:posOffset>
                      </wp:positionH>
                      <wp:positionV relativeFrom="paragraph">
                        <wp:posOffset>635</wp:posOffset>
                      </wp:positionV>
                      <wp:extent cx="1315085" cy="216535"/>
                      <wp:effectExtent l="0" t="0" r="0" b="0"/>
                      <wp:wrapNone/>
                      <wp:docPr id="374" name="Rect 374"/>
                      <wp:cNvGraphicFramePr/>
                      <a:graphic xmlns:a="http://schemas.openxmlformats.org/drawingml/2006/main">
                        <a:graphicData uri="http://schemas.microsoft.com/office/word/2010/wordprocessingShape">
                          <wps:wsp>
                            <wps:cNvSpPr/>
                            <wps:spPr>
                              <a:xfrm>
                                <a:off x="-26" y="804"/>
                                <a:ext cx="1315085" cy="216534"/>
                              </a:xfrm>
                              <a:prstGeom prst="rect">
                                <a:avLst/>
                              </a:prstGeom>
                              <a:solidFill>
                                <a:srgbClr val="ACAFA2"/>
                              </a:solidFill>
                              <a:ln w="0">
                                <a:noFill/>
                              </a:ln>
                            </wps:spPr>
                            <wps:style>
                              <a:lnRef idx="0">
                                <a:schemeClr val="accent1"/>
                              </a:lnRef>
                              <a:fillRef idx="0">
                                <a:schemeClr val="accent1"/>
                              </a:fillRef>
                              <a:effectRef idx="0">
                                <a:schemeClr val="accent1"/>
                              </a:effectRef>
                              <a:fontRef idx="minor">
                                <a:schemeClr val="dk1"/>
                              </a:fontRef>
                            </wps:style>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rect id="Rect 374" o:spid="_x0000_s1026" o:spt="1" style="position:absolute;left:0pt;margin-left:0pt;margin-top:0.05pt;height:17.05pt;width:103.55pt;z-index:-251555840;mso-width-relative:page;mso-height-relative:page;" fillcolor="#ACAFA2" filled="t" stroked="f" coordsize="21600,21600" o:gfxdata="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">
                      <v:fill on="t" focussize="0,0"/>
                      <v:stroke on="f" weight="0pt"/>
                      <v:imagedata o:title=""/>
                      <o:lock v:ext="edit" aspectratio="f"/>
                      <v:textbox inset="0mm,0mm,0mm,0mm"/>
                    </v:rect>
                  </w:pict>
                </mc:Fallback>
              </mc:AlternateContent>
            </w:r>
            <w:r>
              <w:rPr>
                <w:spacing w:val="2"/>
                <w:sz w:val="21"/>
                <w:szCs w:val="21"/>
              </w:rPr>
              <w:t>内科治疗</w:t>
            </w:r>
          </w:p>
        </w:tc>
        <w:tc>
          <w:tcPr>
            <w:tcW w:w="2483" w:type="dxa"/>
            <w:tcBorders>
              <w:top w:val="single" w:color="000000" w:sz="4" w:space="0"/>
            </w:tcBorders>
            <w:vAlign w:val="top"/>
          </w:tcPr>
          <w:p w14:paraId="1A12A2A7">
            <w:pPr>
              <w:pStyle w:val="6"/>
              <w:spacing w:before="93" w:line="210" w:lineRule="auto"/>
              <w:ind w:left="83"/>
              <w:rPr>
                <w:sz w:val="21"/>
                <w:szCs w:val="21"/>
              </w:rPr>
            </w:pPr>
            <w:r>
              <mc:AlternateContent>
                <mc:Choice Requires="wps">
                  <w:drawing>
                    <wp:anchor distT="0" distB="0" distL="0" distR="0" simplePos="0" relativeHeight="251761664" behindDoc="1" locked="0" layoutInCell="1" allowOverlap="1">
                      <wp:simplePos x="0" y="0"/>
                      <wp:positionH relativeFrom="column">
                        <wp:posOffset>-1070610</wp:posOffset>
                      </wp:positionH>
                      <wp:positionV relativeFrom="paragraph">
                        <wp:posOffset>-3175</wp:posOffset>
                      </wp:positionV>
                      <wp:extent cx="2647950" cy="248285"/>
                      <wp:effectExtent l="0" t="0" r="0" b="0"/>
                      <wp:wrapNone/>
                      <wp:docPr id="376" name="Rect 376"/>
                      <wp:cNvGraphicFramePr/>
                      <a:graphic xmlns:a="http://schemas.openxmlformats.org/drawingml/2006/main">
                        <a:graphicData uri="http://schemas.microsoft.com/office/word/2010/wordprocessingShape">
                          <wps:wsp>
                            <wps:cNvSpPr/>
                            <wps:spPr>
                              <a:xfrm>
                                <a:off x="-1070636" y="-3394"/>
                                <a:ext cx="2647950" cy="248284"/>
                              </a:xfrm>
                              <a:prstGeom prst="rect">
                                <a:avLst/>
                              </a:prstGeom>
                              <a:solidFill>
                                <a:srgbClr val="AFB1A7"/>
                              </a:solidFill>
                              <a:ln w="0">
                                <a:noFill/>
                              </a:ln>
                            </wps:spPr>
                            <wps:style>
                              <a:lnRef idx="0">
                                <a:schemeClr val="accent1"/>
                              </a:lnRef>
                              <a:fillRef idx="0">
                                <a:schemeClr val="accent1"/>
                              </a:fillRef>
                              <a:effectRef idx="0">
                                <a:schemeClr val="accent1"/>
                              </a:effectRef>
                              <a:fontRef idx="minor">
                                <a:schemeClr val="dk1"/>
                              </a:fontRef>
                            </wps:style>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rect id="Rect 376" o:spid="_x0000_s1026" o:spt="1" style="position:absolute;left:0pt;margin-left:-84.3pt;margin-top:-0.25pt;height:19.55pt;width:208.5pt;z-index:-251554816;mso-width-relative:page;mso-height-relative:page;" fillcolor="#AFB1A7" filled="t" stroked="f" coordsize="21600,21600" o:gfxdata="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">
                      <v:fill on="t" focussize="0,0"/>
                      <v:stroke on="f" weight="0pt"/>
                      <v:imagedata o:title=""/>
                      <o:lock v:ext="edit" aspectratio="f"/>
                      <v:textbox inset="0mm,0mm,0mm,0mm"/>
                    </v:rect>
                  </w:pict>
                </mc:Fallback>
              </mc:AlternateContent>
            </w:r>
            <w:r>
              <w:rPr>
                <w:spacing w:val="-3"/>
                <w:sz w:val="21"/>
                <w:szCs w:val="21"/>
              </w:rPr>
              <w:t>死亡率</w:t>
            </w:r>
          </w:p>
        </w:tc>
        <w:tc>
          <w:tcPr>
            <w:tcW w:w="1440" w:type="dxa"/>
            <w:vMerge w:val="restart"/>
            <w:tcBorders>
              <w:top w:val="single" w:color="000000" w:sz="4" w:space="0"/>
              <w:bottom w:val="nil"/>
            </w:tcBorders>
            <w:shd w:val="clear" w:color="auto" w:fill="A1A296"/>
            <w:vAlign w:val="top"/>
          </w:tcPr>
          <w:p w14:paraId="7DF2F87C">
            <w:pPr>
              <w:pStyle w:val="6"/>
              <w:spacing w:before="305" w:line="194" w:lineRule="auto"/>
              <w:ind w:left="560"/>
              <w:rPr>
                <w:sz w:val="21"/>
                <w:szCs w:val="21"/>
              </w:rPr>
            </w:pPr>
            <w:r>
              <w:rPr>
                <w:spacing w:val="-2"/>
                <w:sz w:val="21"/>
                <w:szCs w:val="21"/>
              </w:rPr>
              <w:t>x²</w:t>
            </w:r>
          </w:p>
        </w:tc>
        <w:tc>
          <w:tcPr>
            <w:tcW w:w="1530" w:type="dxa"/>
            <w:vMerge w:val="restart"/>
            <w:tcBorders>
              <w:top w:val="single" w:color="000000" w:sz="4" w:space="0"/>
              <w:bottom w:val="nil"/>
            </w:tcBorders>
            <w:shd w:val="clear" w:color="auto" w:fill="A9AA9B"/>
            <w:vAlign w:val="top"/>
          </w:tcPr>
          <w:p w14:paraId="04EE3170">
            <w:pPr>
              <w:spacing w:line="249" w:lineRule="auto"/>
              <w:rPr>
                <w:rFonts w:ascii="Arial"/>
                <w:sz w:val="21"/>
              </w:rPr>
            </w:pPr>
          </w:p>
          <w:p w14:paraId="721E1F9D">
            <w:pPr>
              <w:pStyle w:val="6"/>
              <w:spacing w:before="68" w:line="182" w:lineRule="auto"/>
              <w:ind w:left="711"/>
              <w:rPr>
                <w:sz w:val="21"/>
                <w:szCs w:val="21"/>
              </w:rPr>
            </w:pPr>
            <w:r>
              <w:rPr>
                <w:sz w:val="21"/>
                <w:szCs w:val="21"/>
              </w:rPr>
              <w:t>P</w:t>
            </w:r>
          </w:p>
        </w:tc>
      </w:tr>
      <w:tr w14:paraId="62C14FFB">
        <w:trPr>
          <w:trHeight w:val="379" w:hRule="atLeast"/>
        </w:trPr>
        <w:tc>
          <w:tcPr>
            <w:tcW w:w="1890" w:type="dxa"/>
            <w:vMerge w:val="continue"/>
            <w:tcBorders>
              <w:top w:val="nil"/>
              <w:bottom w:val="single" w:color="000000" w:sz="4" w:space="0"/>
            </w:tcBorders>
            <w:vAlign w:val="top"/>
          </w:tcPr>
          <w:p w14:paraId="1EFE7AEE">
            <w:pPr>
              <w:rPr>
                <w:rFonts w:ascii="Arial"/>
                <w:sz w:val="21"/>
              </w:rPr>
            </w:pPr>
          </w:p>
        </w:tc>
        <w:tc>
          <w:tcPr>
            <w:tcW w:w="1686" w:type="dxa"/>
            <w:vMerge w:val="continue"/>
            <w:tcBorders>
              <w:top w:val="nil"/>
              <w:bottom w:val="single" w:color="000000" w:sz="4" w:space="0"/>
            </w:tcBorders>
            <w:vAlign w:val="top"/>
          </w:tcPr>
          <w:p w14:paraId="78109A78">
            <w:pPr>
              <w:rPr>
                <w:rFonts w:ascii="Arial"/>
                <w:sz w:val="21"/>
              </w:rPr>
            </w:pPr>
          </w:p>
        </w:tc>
        <w:tc>
          <w:tcPr>
            <w:tcW w:w="2483" w:type="dxa"/>
            <w:tcBorders>
              <w:bottom w:val="single" w:color="000000" w:sz="4" w:space="0"/>
            </w:tcBorders>
            <w:vAlign w:val="top"/>
          </w:tcPr>
          <w:p w14:paraId="7A1593AE">
            <w:pPr>
              <w:pStyle w:val="6"/>
              <w:spacing w:before="43" w:line="326" w:lineRule="exact"/>
              <w:ind w:firstLine="383"/>
            </w:pPr>
            <w:r>
              <w:rPr>
                <w:position w:val="-7"/>
              </w:rPr>
              <w:pict>
                <v:shape id="_x0000_s1077" o:spid="_x0000_s1077" o:spt="202" type="#_x0000_t202" style="height:17.05pt;width:105pt;" fillcolor="#9FA295" filled="t" stroked="f" coordsize="21600,21600">
                  <v:path/>
                  <v:fill on="t" focussize="0,0"/>
                  <v:stroke on="f"/>
                  <v:imagedata o:title=""/>
                  <o:lock v:ext="edit" aspectratio="f"/>
                  <v:textbox inset="0mm,0mm,0mm,0mm">
                    <w:txbxContent>
                      <w:p w14:paraId="1D74B9E4">
                        <w:pPr>
                          <w:spacing w:before="68" w:line="219" w:lineRule="auto"/>
                          <w:ind w:left="629"/>
                          <w:rPr>
                            <w:rFonts w:ascii="宋体" w:hAnsi="宋体" w:eastAsia="宋体" w:cs="宋体"/>
                            <w:sz w:val="21"/>
                            <w:szCs w:val="21"/>
                          </w:rPr>
                        </w:pPr>
                        <w:r>
                          <w:rPr>
                            <w:rFonts w:ascii="宋体" w:hAnsi="宋体" w:eastAsia="宋体" w:cs="宋体"/>
                            <w:spacing w:val="-2"/>
                            <w:sz w:val="21"/>
                            <w:szCs w:val="21"/>
                          </w:rPr>
                          <w:t>手术治疗</w:t>
                        </w:r>
                      </w:p>
                    </w:txbxContent>
                  </v:textbox>
                  <w10:wrap type="none"/>
                  <w10:anchorlock/>
                </v:shape>
              </w:pict>
            </w:r>
          </w:p>
        </w:tc>
        <w:tc>
          <w:tcPr>
            <w:tcW w:w="1440" w:type="dxa"/>
            <w:vMerge w:val="continue"/>
            <w:tcBorders>
              <w:top w:val="nil"/>
              <w:bottom w:val="single" w:color="000000" w:sz="4" w:space="0"/>
            </w:tcBorders>
            <w:vAlign w:val="top"/>
          </w:tcPr>
          <w:p w14:paraId="7C1651C4">
            <w:pPr>
              <w:rPr>
                <w:rFonts w:ascii="Arial"/>
                <w:sz w:val="21"/>
              </w:rPr>
            </w:pPr>
          </w:p>
        </w:tc>
        <w:tc>
          <w:tcPr>
            <w:tcW w:w="1530" w:type="dxa"/>
            <w:vMerge w:val="continue"/>
            <w:tcBorders>
              <w:top w:val="nil"/>
              <w:bottom w:val="single" w:color="000000" w:sz="4" w:space="0"/>
            </w:tcBorders>
            <w:vAlign w:val="top"/>
          </w:tcPr>
          <w:p w14:paraId="180FBCC7">
            <w:pPr>
              <w:rPr>
                <w:rFonts w:ascii="Arial"/>
                <w:sz w:val="21"/>
              </w:rPr>
            </w:pPr>
          </w:p>
        </w:tc>
      </w:tr>
      <w:tr w14:paraId="3AFBEC2D">
        <w:trPr>
          <w:trHeight w:val="378" w:hRule="atLeast"/>
        </w:trPr>
        <w:tc>
          <w:tcPr>
            <w:tcW w:w="1890" w:type="dxa"/>
            <w:tcBorders>
              <w:top w:val="single" w:color="000000" w:sz="4" w:space="0"/>
              <w:bottom w:val="single" w:color="000000" w:sz="4" w:space="0"/>
            </w:tcBorders>
            <w:vAlign w:val="top"/>
          </w:tcPr>
          <w:p w14:paraId="4E1D4872">
            <w:pPr>
              <w:pStyle w:val="6"/>
              <w:spacing w:before="93" w:line="220" w:lineRule="auto"/>
              <w:ind w:left="319"/>
              <w:rPr>
                <w:sz w:val="21"/>
                <w:szCs w:val="21"/>
              </w:rPr>
            </w:pPr>
            <w:r>
              <w:rPr>
                <w:spacing w:val="1"/>
                <w:sz w:val="21"/>
                <w:szCs w:val="21"/>
              </w:rPr>
              <w:t>意向治疗分析</w:t>
            </w:r>
          </w:p>
        </w:tc>
        <w:tc>
          <w:tcPr>
            <w:tcW w:w="1686" w:type="dxa"/>
            <w:tcBorders>
              <w:top w:val="single" w:color="000000" w:sz="4" w:space="0"/>
              <w:bottom w:val="single" w:color="000000" w:sz="4" w:space="0"/>
            </w:tcBorders>
            <w:vAlign w:val="top"/>
          </w:tcPr>
          <w:p w14:paraId="2D0090B8">
            <w:pPr>
              <w:pStyle w:val="6"/>
              <w:spacing w:before="96" w:line="222" w:lineRule="auto"/>
              <w:ind w:right="33"/>
              <w:jc w:val="right"/>
              <w:rPr>
                <w:sz w:val="21"/>
                <w:szCs w:val="21"/>
              </w:rPr>
            </w:pPr>
            <w:r>
              <w:rPr>
                <w:spacing w:val="-1"/>
                <w:sz w:val="21"/>
                <w:szCs w:val="21"/>
              </w:rPr>
              <w:t>29/373(7.8%)</w:t>
            </w:r>
          </w:p>
        </w:tc>
        <w:tc>
          <w:tcPr>
            <w:tcW w:w="2483" w:type="dxa"/>
            <w:tcBorders>
              <w:top w:val="single" w:color="000000" w:sz="4" w:space="0"/>
              <w:bottom w:val="single" w:color="000000" w:sz="4" w:space="0"/>
            </w:tcBorders>
            <w:vAlign w:val="top"/>
          </w:tcPr>
          <w:p w14:paraId="6DBBBC43">
            <w:pPr>
              <w:pStyle w:val="6"/>
              <w:spacing w:before="96" w:line="222" w:lineRule="auto"/>
              <w:ind w:left="804"/>
              <w:rPr>
                <w:sz w:val="21"/>
                <w:szCs w:val="21"/>
              </w:rPr>
            </w:pPr>
            <w:r>
              <w:rPr>
                <w:spacing w:val="-1"/>
                <w:sz w:val="21"/>
                <w:szCs w:val="21"/>
              </w:rPr>
              <w:t>21/395(5.3%)</w:t>
            </w:r>
          </w:p>
        </w:tc>
        <w:tc>
          <w:tcPr>
            <w:tcW w:w="1440" w:type="dxa"/>
            <w:tcBorders>
              <w:top w:val="single" w:color="000000" w:sz="4" w:space="0"/>
              <w:bottom w:val="single" w:color="000000" w:sz="4" w:space="0"/>
            </w:tcBorders>
            <w:vAlign w:val="top"/>
          </w:tcPr>
          <w:p w14:paraId="09BADF21">
            <w:pPr>
              <w:pStyle w:val="6"/>
              <w:spacing w:before="113" w:line="224" w:lineRule="auto"/>
              <w:ind w:left="560"/>
              <w:rPr>
                <w:sz w:val="21"/>
                <w:szCs w:val="21"/>
              </w:rPr>
            </w:pPr>
            <w:r>
              <w:rPr>
                <w:spacing w:val="-6"/>
                <w:sz w:val="21"/>
                <w:szCs w:val="21"/>
              </w:rPr>
              <w:t>1.9</w:t>
            </w:r>
          </w:p>
        </w:tc>
        <w:tc>
          <w:tcPr>
            <w:tcW w:w="1530" w:type="dxa"/>
            <w:tcBorders>
              <w:top w:val="single" w:color="000000" w:sz="4" w:space="0"/>
              <w:bottom w:val="single" w:color="000000" w:sz="4" w:space="0"/>
            </w:tcBorders>
            <w:vAlign w:val="top"/>
          </w:tcPr>
          <w:p w14:paraId="28A27165">
            <w:pPr>
              <w:pStyle w:val="6"/>
              <w:spacing w:before="113" w:line="224" w:lineRule="auto"/>
              <w:ind w:left="550"/>
              <w:rPr>
                <w:sz w:val="21"/>
                <w:szCs w:val="21"/>
              </w:rPr>
            </w:pPr>
            <w:r>
              <w:rPr>
                <w:spacing w:val="-2"/>
                <w:sz w:val="21"/>
                <w:szCs w:val="21"/>
              </w:rPr>
              <w:t>0.17</w:t>
            </w:r>
          </w:p>
        </w:tc>
      </w:tr>
      <w:tr w14:paraId="5B4EB06D">
        <w:trPr>
          <w:trHeight w:val="368" w:hRule="atLeast"/>
        </w:trPr>
        <w:tc>
          <w:tcPr>
            <w:tcW w:w="1890" w:type="dxa"/>
            <w:tcBorders>
              <w:top w:val="single" w:color="000000" w:sz="4" w:space="0"/>
              <w:bottom w:val="single" w:color="000000" w:sz="4" w:space="0"/>
            </w:tcBorders>
            <w:shd w:val="clear" w:color="auto" w:fill="DDE1E4"/>
            <w:vAlign w:val="top"/>
          </w:tcPr>
          <w:p w14:paraId="38D0DF70">
            <w:pPr>
              <w:pStyle w:val="6"/>
              <w:spacing w:before="83" w:line="219" w:lineRule="auto"/>
              <w:ind w:left="319"/>
              <w:rPr>
                <w:sz w:val="21"/>
                <w:szCs w:val="21"/>
              </w:rPr>
            </w:pPr>
            <w:r>
              <w:rPr>
                <w:spacing w:val="-2"/>
                <w:sz w:val="21"/>
                <w:szCs w:val="21"/>
              </w:rPr>
              <w:t>依从者分析</w:t>
            </w:r>
          </w:p>
        </w:tc>
        <w:tc>
          <w:tcPr>
            <w:tcW w:w="1686" w:type="dxa"/>
            <w:tcBorders>
              <w:top w:val="single" w:color="000000" w:sz="4" w:space="0"/>
              <w:bottom w:val="single" w:color="000000" w:sz="4" w:space="0"/>
            </w:tcBorders>
            <w:vAlign w:val="top"/>
          </w:tcPr>
          <w:p w14:paraId="43BFE963">
            <w:pPr>
              <w:pStyle w:val="6"/>
              <w:spacing w:before="88" w:line="222" w:lineRule="auto"/>
              <w:ind w:right="36"/>
              <w:jc w:val="right"/>
              <w:rPr>
                <w:sz w:val="21"/>
                <w:szCs w:val="21"/>
              </w:rPr>
            </w:pPr>
            <w:r>
              <mc:AlternateContent>
                <mc:Choice Requires="wps">
                  <w:drawing>
                    <wp:anchor distT="0" distB="0" distL="0" distR="0" simplePos="0" relativeHeight="251759616" behindDoc="1" locked="0" layoutInCell="1" allowOverlap="1">
                      <wp:simplePos x="0" y="0"/>
                      <wp:positionH relativeFrom="column">
                        <wp:posOffset>0</wp:posOffset>
                      </wp:positionH>
                      <wp:positionV relativeFrom="paragraph">
                        <wp:posOffset>-1905</wp:posOffset>
                      </wp:positionV>
                      <wp:extent cx="1315085" cy="241300"/>
                      <wp:effectExtent l="0" t="0" r="0" b="0"/>
                      <wp:wrapNone/>
                      <wp:docPr id="378" name="Rect 378"/>
                      <wp:cNvGraphicFramePr/>
                      <a:graphic xmlns:a="http://schemas.openxmlformats.org/drawingml/2006/main">
                        <a:graphicData uri="http://schemas.microsoft.com/office/word/2010/wordprocessingShape">
                          <wps:wsp>
                            <wps:cNvSpPr/>
                            <wps:spPr>
                              <a:xfrm>
                                <a:off x="-26" y="-2353"/>
                                <a:ext cx="1315085" cy="241300"/>
                              </a:xfrm>
                              <a:prstGeom prst="rect">
                                <a:avLst/>
                              </a:prstGeom>
                              <a:solidFill>
                                <a:srgbClr val="DBDCDC"/>
                              </a:solidFill>
                              <a:ln w="0">
                                <a:noFill/>
                              </a:ln>
                            </wps:spPr>
                            <wps:style>
                              <a:lnRef idx="0">
                                <a:schemeClr val="accent1"/>
                              </a:lnRef>
                              <a:fillRef idx="0">
                                <a:schemeClr val="accent1"/>
                              </a:fillRef>
                              <a:effectRef idx="0">
                                <a:schemeClr val="accent1"/>
                              </a:effectRef>
                              <a:fontRef idx="minor">
                                <a:schemeClr val="dk1"/>
                              </a:fontRef>
                            </wps:style>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rect id="Rect 378" o:spid="_x0000_s1026" o:spt="1" style="position:absolute;left:0pt;margin-left:0pt;margin-top:-0.15pt;height:19pt;width:103.55pt;z-index:-251556864;mso-width-relative:page;mso-height-relative:page;" fillcolor="#DBDCDC" filled="t" stroked="f" coordsize="21600,21600" o:gfxdata="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">
                      <v:fill on="t" focussize="0,0"/>
                      <v:stroke on="f" weight="0pt"/>
                      <v:imagedata o:title=""/>
                      <o:lock v:ext="edit" aspectratio="f"/>
                      <v:textbox inset="0mm,0mm,0mm,0mm"/>
                    </v:rect>
                  </w:pict>
                </mc:Fallback>
              </mc:AlternateContent>
            </w:r>
            <w:r>
              <w:rPr>
                <w:spacing w:val="-1"/>
                <w:sz w:val="21"/>
                <w:szCs w:val="21"/>
              </w:rPr>
              <w:t>27/323(8.4%)</w:t>
            </w:r>
          </w:p>
        </w:tc>
        <w:tc>
          <w:tcPr>
            <w:tcW w:w="2483" w:type="dxa"/>
            <w:tcBorders>
              <w:top w:val="single" w:color="000000" w:sz="4" w:space="0"/>
              <w:bottom w:val="single" w:color="000000" w:sz="4" w:space="0"/>
            </w:tcBorders>
            <w:vAlign w:val="top"/>
          </w:tcPr>
          <w:p w14:paraId="6D919C4F">
            <w:pPr>
              <w:pStyle w:val="6"/>
              <w:spacing w:line="357" w:lineRule="exact"/>
              <w:ind w:firstLine="383"/>
            </w:pPr>
            <w:r>
              <w:rPr>
                <w:position w:val="-8"/>
              </w:rPr>
              <w:pict>
                <v:shape id="_x0000_s1078" o:spid="_x0000_s1078" o:spt="202" type="#_x0000_t202" style="height:19pt;width:105pt;" fillcolor="#D4D4D1" filled="t" stroked="f" coordsize="21600,21600">
                  <v:path/>
                  <v:fill on="t" focussize="0,0"/>
                  <v:stroke on="f"/>
                  <v:imagedata o:title=""/>
                  <o:lock v:ext="edit" aspectratio="f"/>
                  <v:textbox inset="0mm,0mm,0mm,0mm">
                    <w:txbxContent>
                      <w:p w14:paraId="490F9BC8">
                        <w:pPr>
                          <w:spacing w:before="91" w:line="222" w:lineRule="auto"/>
                          <w:ind w:left="420"/>
                          <w:rPr>
                            <w:rFonts w:ascii="宋体" w:hAnsi="宋体" w:eastAsia="宋体" w:cs="宋体"/>
                            <w:sz w:val="21"/>
                            <w:szCs w:val="21"/>
                          </w:rPr>
                        </w:pPr>
                        <w:r>
                          <w:rPr>
                            <w:rFonts w:ascii="宋体" w:hAnsi="宋体" w:eastAsia="宋体" w:cs="宋体"/>
                            <w:spacing w:val="-2"/>
                            <w:sz w:val="21"/>
                            <w:szCs w:val="21"/>
                          </w:rPr>
                          <w:t>15/369(4.1%)</w:t>
                        </w:r>
                      </w:p>
                    </w:txbxContent>
                  </v:textbox>
                  <w10:wrap type="none"/>
                  <w10:anchorlock/>
                </v:shape>
              </w:pict>
            </w:r>
          </w:p>
        </w:tc>
        <w:tc>
          <w:tcPr>
            <w:tcW w:w="1440" w:type="dxa"/>
            <w:tcBorders>
              <w:top w:val="single" w:color="000000" w:sz="4" w:space="0"/>
              <w:bottom w:val="single" w:color="000000" w:sz="4" w:space="0"/>
            </w:tcBorders>
            <w:shd w:val="clear" w:color="auto" w:fill="CCCDC6"/>
            <w:vAlign w:val="top"/>
          </w:tcPr>
          <w:p w14:paraId="1D8F49FB">
            <w:pPr>
              <w:pStyle w:val="6"/>
              <w:spacing w:before="105" w:line="222" w:lineRule="auto"/>
              <w:ind w:left="560"/>
              <w:rPr>
                <w:sz w:val="21"/>
                <w:szCs w:val="21"/>
              </w:rPr>
            </w:pPr>
            <w:r>
              <w:rPr>
                <w:spacing w:val="-3"/>
                <w:sz w:val="21"/>
                <w:szCs w:val="21"/>
              </w:rPr>
              <w:t>5.6</w:t>
            </w:r>
          </w:p>
        </w:tc>
        <w:tc>
          <w:tcPr>
            <w:tcW w:w="1530" w:type="dxa"/>
            <w:tcBorders>
              <w:top w:val="single" w:color="000000" w:sz="4" w:space="0"/>
              <w:bottom w:val="single" w:color="000000" w:sz="4" w:space="0"/>
            </w:tcBorders>
            <w:shd w:val="clear" w:color="auto" w:fill="D1D0CA"/>
            <w:vAlign w:val="top"/>
          </w:tcPr>
          <w:p w14:paraId="4F3032C6">
            <w:pPr>
              <w:pStyle w:val="6"/>
              <w:spacing w:before="105" w:line="222" w:lineRule="auto"/>
              <w:ind w:left="501"/>
              <w:rPr>
                <w:sz w:val="21"/>
                <w:szCs w:val="21"/>
              </w:rPr>
            </w:pPr>
            <w:r>
              <w:rPr>
                <w:spacing w:val="-2"/>
                <w:sz w:val="21"/>
                <w:szCs w:val="21"/>
              </w:rPr>
              <w:t>0.018</w:t>
            </w:r>
          </w:p>
        </w:tc>
      </w:tr>
      <w:tr w14:paraId="2AA1BDA9">
        <w:trPr>
          <w:trHeight w:val="353" w:hRule="atLeast"/>
        </w:trPr>
        <w:tc>
          <w:tcPr>
            <w:tcW w:w="1890" w:type="dxa"/>
            <w:tcBorders>
              <w:top w:val="single" w:color="000000" w:sz="4" w:space="0"/>
              <w:bottom w:val="single" w:color="000000" w:sz="4" w:space="0"/>
            </w:tcBorders>
            <w:vAlign w:val="top"/>
          </w:tcPr>
          <w:p w14:paraId="53D1B7B8">
            <w:pPr>
              <w:pStyle w:val="6"/>
              <w:spacing w:before="77" w:line="220" w:lineRule="auto"/>
              <w:ind w:left="319"/>
              <w:rPr>
                <w:sz w:val="21"/>
                <w:szCs w:val="21"/>
              </w:rPr>
            </w:pPr>
            <w:r>
              <w:rPr>
                <w:spacing w:val="2"/>
                <w:sz w:val="21"/>
                <w:szCs w:val="21"/>
              </w:rPr>
              <w:t>治疗分析</w:t>
            </w:r>
          </w:p>
        </w:tc>
        <w:tc>
          <w:tcPr>
            <w:tcW w:w="1686" w:type="dxa"/>
            <w:tcBorders>
              <w:top w:val="single" w:color="000000" w:sz="4" w:space="0"/>
              <w:bottom w:val="single" w:color="000000" w:sz="4" w:space="0"/>
            </w:tcBorders>
            <w:vAlign w:val="top"/>
          </w:tcPr>
          <w:p w14:paraId="4337F9F7">
            <w:pPr>
              <w:pStyle w:val="6"/>
              <w:spacing w:before="80" w:line="222" w:lineRule="auto"/>
              <w:ind w:right="34"/>
              <w:jc w:val="right"/>
              <w:rPr>
                <w:sz w:val="21"/>
                <w:szCs w:val="21"/>
              </w:rPr>
            </w:pPr>
            <w:r>
              <w:rPr>
                <w:spacing w:val="-1"/>
                <w:sz w:val="21"/>
                <w:szCs w:val="21"/>
              </w:rPr>
              <w:t>33/349(9.5%)</w:t>
            </w:r>
          </w:p>
        </w:tc>
        <w:tc>
          <w:tcPr>
            <w:tcW w:w="2483" w:type="dxa"/>
            <w:tcBorders>
              <w:top w:val="single" w:color="000000" w:sz="4" w:space="0"/>
              <w:bottom w:val="single" w:color="000000" w:sz="4" w:space="0"/>
            </w:tcBorders>
            <w:vAlign w:val="top"/>
          </w:tcPr>
          <w:p w14:paraId="06D82FB0">
            <w:pPr>
              <w:pStyle w:val="6"/>
              <w:spacing w:before="80" w:line="222" w:lineRule="auto"/>
              <w:ind w:left="804"/>
              <w:rPr>
                <w:sz w:val="21"/>
                <w:szCs w:val="21"/>
              </w:rPr>
            </w:pPr>
            <w:r>
              <w:rPr>
                <w:spacing w:val="-2"/>
                <w:sz w:val="21"/>
                <w:szCs w:val="21"/>
              </w:rPr>
              <w:t>17/419(4.1%)</w:t>
            </w:r>
          </w:p>
        </w:tc>
        <w:tc>
          <w:tcPr>
            <w:tcW w:w="1440" w:type="dxa"/>
            <w:tcBorders>
              <w:top w:val="single" w:color="000000" w:sz="4" w:space="0"/>
              <w:bottom w:val="single" w:color="000000" w:sz="4" w:space="0"/>
            </w:tcBorders>
            <w:vAlign w:val="top"/>
          </w:tcPr>
          <w:p w14:paraId="16354109">
            <w:pPr>
              <w:pStyle w:val="6"/>
              <w:spacing w:before="97" w:line="216" w:lineRule="auto"/>
              <w:ind w:left="560"/>
              <w:rPr>
                <w:sz w:val="21"/>
                <w:szCs w:val="21"/>
              </w:rPr>
            </w:pPr>
            <w:r>
              <w:rPr>
                <w:spacing w:val="-3"/>
                <w:sz w:val="21"/>
                <w:szCs w:val="21"/>
              </w:rPr>
              <w:t>9.1</w:t>
            </w:r>
          </w:p>
        </w:tc>
        <w:tc>
          <w:tcPr>
            <w:tcW w:w="1530" w:type="dxa"/>
            <w:tcBorders>
              <w:top w:val="single" w:color="000000" w:sz="4" w:space="0"/>
              <w:bottom w:val="single" w:color="000000" w:sz="4" w:space="0"/>
            </w:tcBorders>
            <w:vAlign w:val="top"/>
          </w:tcPr>
          <w:p w14:paraId="7689275D">
            <w:pPr>
              <w:pStyle w:val="6"/>
              <w:spacing w:before="97" w:line="216" w:lineRule="auto"/>
              <w:ind w:left="501"/>
              <w:rPr>
                <w:sz w:val="21"/>
                <w:szCs w:val="21"/>
              </w:rPr>
            </w:pPr>
            <w:r>
              <w:rPr>
                <w:spacing w:val="-2"/>
                <w:sz w:val="21"/>
                <w:szCs w:val="21"/>
              </w:rPr>
              <w:t>0.003</w:t>
            </w:r>
          </w:p>
        </w:tc>
      </w:tr>
    </w:tbl>
    <w:p w14:paraId="441FC376">
      <w:pPr>
        <w:spacing w:line="378" w:lineRule="auto"/>
        <w:rPr>
          <w:rFonts w:ascii="Arial"/>
          <w:sz w:val="21"/>
        </w:rPr>
      </w:pPr>
    </w:p>
    <w:p w14:paraId="4F85FE8F">
      <w:pPr>
        <w:spacing w:before="62" w:line="350" w:lineRule="auto"/>
        <w:ind w:right="597" w:firstLine="429"/>
        <w:jc w:val="both"/>
        <w:rPr>
          <w:rFonts w:ascii="宋体" w:hAnsi="宋体" w:eastAsia="宋体" w:cs="宋体"/>
          <w:sz w:val="19"/>
          <w:szCs w:val="19"/>
        </w:rPr>
      </w:pPr>
      <w:r>
        <w:rPr>
          <w:rFonts w:ascii="宋体" w:hAnsi="宋体" w:eastAsia="宋体" w:cs="宋体"/>
          <w:spacing w:val="21"/>
          <w:sz w:val="19"/>
          <w:szCs w:val="19"/>
        </w:rPr>
        <w:t>可见，三种分析方法所得的结果并不一致。</w:t>
      </w:r>
      <w:r>
        <w:rPr>
          <w:rFonts w:ascii="Times New Roman" w:hAnsi="Times New Roman" w:eastAsia="Times New Roman" w:cs="Times New Roman"/>
          <w:sz w:val="19"/>
          <w:szCs w:val="19"/>
        </w:rPr>
        <w:t>ITT</w:t>
      </w:r>
      <w:r>
        <w:rPr>
          <w:rFonts w:ascii="Times New Roman" w:hAnsi="Times New Roman" w:eastAsia="Times New Roman" w:cs="Times New Roman"/>
          <w:spacing w:val="42"/>
          <w:sz w:val="19"/>
          <w:szCs w:val="19"/>
        </w:rPr>
        <w:t xml:space="preserve"> </w:t>
      </w:r>
      <w:r>
        <w:rPr>
          <w:rFonts w:ascii="宋体" w:hAnsi="宋体" w:eastAsia="宋体" w:cs="宋体"/>
          <w:spacing w:val="21"/>
          <w:sz w:val="19"/>
          <w:szCs w:val="19"/>
        </w:rPr>
        <w:t>分析反映了两种治疗实</w:t>
      </w:r>
      <w:r>
        <w:rPr>
          <w:rFonts w:ascii="宋体" w:hAnsi="宋体" w:eastAsia="宋体" w:cs="宋体"/>
          <w:spacing w:val="20"/>
          <w:sz w:val="19"/>
          <w:szCs w:val="19"/>
        </w:rPr>
        <w:t>际临床应用后的效果，</w:t>
      </w:r>
      <w:r>
        <w:rPr>
          <w:rFonts w:ascii="宋体" w:hAnsi="宋体" w:eastAsia="宋体" w:cs="宋体"/>
          <w:sz w:val="19"/>
          <w:szCs w:val="19"/>
        </w:rPr>
        <w:t xml:space="preserve"> </w:t>
      </w:r>
      <w:r>
        <w:rPr>
          <w:rFonts w:ascii="宋体" w:hAnsi="宋体" w:eastAsia="宋体" w:cs="宋体"/>
          <w:spacing w:val="20"/>
          <w:sz w:val="19"/>
          <w:szCs w:val="19"/>
        </w:rPr>
        <w:t>包括病人在试验过程中的各种转归；但在评价治疗方法的真正疗效方面，如果试验方法确实有效，</w:t>
      </w:r>
      <w:r>
        <w:rPr>
          <w:rFonts w:ascii="宋体" w:hAnsi="宋体" w:eastAsia="宋体" w:cs="宋体"/>
          <w:spacing w:val="3"/>
          <w:sz w:val="19"/>
          <w:szCs w:val="19"/>
        </w:rPr>
        <w:t xml:space="preserve"> </w:t>
      </w:r>
      <w:r>
        <w:rPr>
          <w:rFonts w:ascii="宋体" w:hAnsi="宋体" w:eastAsia="宋体" w:cs="宋体"/>
          <w:spacing w:val="17"/>
          <w:sz w:val="19"/>
          <w:szCs w:val="19"/>
        </w:rPr>
        <w:t>应</w:t>
      </w:r>
      <w:r>
        <w:rPr>
          <w:rFonts w:ascii="宋体" w:hAnsi="宋体" w:eastAsia="宋体" w:cs="宋体"/>
          <w:spacing w:val="-15"/>
          <w:sz w:val="19"/>
          <w:szCs w:val="19"/>
        </w:rPr>
        <w:t xml:space="preserve"> </w:t>
      </w:r>
      <w:r>
        <w:rPr>
          <w:rFonts w:ascii="宋体" w:hAnsi="宋体" w:eastAsia="宋体" w:cs="宋体"/>
          <w:spacing w:val="17"/>
          <w:sz w:val="19"/>
          <w:szCs w:val="19"/>
        </w:rPr>
        <w:t>用</w:t>
      </w:r>
      <w:r>
        <w:rPr>
          <w:rFonts w:ascii="Times New Roman" w:hAnsi="Times New Roman" w:eastAsia="Times New Roman" w:cs="Times New Roman"/>
          <w:sz w:val="19"/>
          <w:szCs w:val="19"/>
        </w:rPr>
        <w:t>ITT</w:t>
      </w:r>
      <w:r>
        <w:rPr>
          <w:rFonts w:ascii="Times New Roman" w:hAnsi="Times New Roman" w:eastAsia="Times New Roman" w:cs="Times New Roman"/>
          <w:spacing w:val="42"/>
          <w:w w:val="101"/>
          <w:sz w:val="19"/>
          <w:szCs w:val="19"/>
        </w:rPr>
        <w:t xml:space="preserve"> </w:t>
      </w:r>
      <w:r>
        <w:rPr>
          <w:rFonts w:ascii="宋体" w:hAnsi="宋体" w:eastAsia="宋体" w:cs="宋体"/>
          <w:spacing w:val="17"/>
          <w:sz w:val="19"/>
          <w:szCs w:val="19"/>
        </w:rPr>
        <w:t>分析会低估该试验的治疗效果。依从者分析是只对试验依从的人进行分析，并</w:t>
      </w:r>
      <w:r>
        <w:rPr>
          <w:rFonts w:ascii="宋体" w:hAnsi="宋体" w:eastAsia="宋体" w:cs="宋体"/>
          <w:spacing w:val="16"/>
          <w:sz w:val="19"/>
          <w:szCs w:val="19"/>
        </w:rPr>
        <w:t>未完全遵循</w:t>
      </w:r>
      <w:r>
        <w:rPr>
          <w:rFonts w:ascii="宋体" w:hAnsi="宋体" w:eastAsia="宋体" w:cs="宋体"/>
          <w:sz w:val="19"/>
          <w:szCs w:val="19"/>
        </w:rPr>
        <w:t xml:space="preserve">  </w:t>
      </w:r>
      <w:r>
        <w:rPr>
          <w:rFonts w:ascii="宋体" w:hAnsi="宋体" w:eastAsia="宋体" w:cs="宋体"/>
          <w:spacing w:val="22"/>
          <w:sz w:val="19"/>
          <w:szCs w:val="19"/>
        </w:rPr>
        <w:t>最初的随机分组。在上述实例中，分配至手术治疗的病人中，转为内科治疗的2</w:t>
      </w:r>
      <w:r>
        <w:rPr>
          <w:rFonts w:ascii="宋体" w:hAnsi="宋体" w:eastAsia="宋体" w:cs="宋体"/>
          <w:spacing w:val="21"/>
          <w:sz w:val="19"/>
          <w:szCs w:val="19"/>
        </w:rPr>
        <w:t>6人中，死亡6人，</w:t>
      </w:r>
      <w:r>
        <w:rPr>
          <w:rFonts w:ascii="宋体" w:hAnsi="宋体" w:eastAsia="宋体" w:cs="宋体"/>
          <w:sz w:val="19"/>
          <w:szCs w:val="19"/>
        </w:rPr>
        <w:t xml:space="preserve"> </w:t>
      </w:r>
      <w:r>
        <w:rPr>
          <w:rFonts w:ascii="宋体" w:hAnsi="宋体" w:eastAsia="宋体" w:cs="宋体"/>
          <w:spacing w:val="22"/>
          <w:sz w:val="19"/>
          <w:szCs w:val="19"/>
        </w:rPr>
        <w:t>死亡率为23%,这些人可能是预后不良者，或者在等待手术过程中就已死亡；而分配至内科治疗的</w:t>
      </w:r>
      <w:r>
        <w:rPr>
          <w:rFonts w:ascii="宋体" w:hAnsi="宋体" w:eastAsia="宋体" w:cs="宋体"/>
          <w:spacing w:val="2"/>
          <w:sz w:val="19"/>
          <w:szCs w:val="19"/>
        </w:rPr>
        <w:t xml:space="preserve">  </w:t>
      </w:r>
      <w:r>
        <w:rPr>
          <w:rFonts w:ascii="宋体" w:hAnsi="宋体" w:eastAsia="宋体" w:cs="宋体"/>
          <w:spacing w:val="23"/>
          <w:sz w:val="19"/>
          <w:szCs w:val="19"/>
        </w:rPr>
        <w:t>病人中，后转向手术治疗者的死亡率仅为4%。</w:t>
      </w:r>
      <w:r>
        <w:rPr>
          <w:rFonts w:ascii="宋体" w:hAnsi="宋体" w:eastAsia="宋体" w:cs="宋体"/>
          <w:spacing w:val="22"/>
          <w:sz w:val="19"/>
          <w:szCs w:val="19"/>
        </w:rPr>
        <w:t>这种不依从在两组间是不均衡的。因此在用依从者</w:t>
      </w:r>
      <w:r>
        <w:rPr>
          <w:rFonts w:ascii="宋体" w:hAnsi="宋体" w:eastAsia="宋体" w:cs="宋体"/>
          <w:sz w:val="19"/>
          <w:szCs w:val="19"/>
        </w:rPr>
        <w:t xml:space="preserve">  </w:t>
      </w:r>
      <w:r>
        <w:rPr>
          <w:rFonts w:ascii="宋体" w:hAnsi="宋体" w:eastAsia="宋体" w:cs="宋体"/>
          <w:spacing w:val="16"/>
          <w:sz w:val="19"/>
          <w:szCs w:val="19"/>
        </w:rPr>
        <w:t>分析时，会高估手术治疗的效果。同理，用接受治疗分析时也高估了手术治疗</w:t>
      </w:r>
      <w:r>
        <w:rPr>
          <w:rFonts w:ascii="宋体" w:hAnsi="宋体" w:eastAsia="宋体" w:cs="宋体"/>
          <w:spacing w:val="15"/>
          <w:sz w:val="19"/>
          <w:szCs w:val="19"/>
        </w:rPr>
        <w:t>的效果。</w:t>
      </w:r>
    </w:p>
    <w:p w14:paraId="0B4924EE">
      <w:pPr>
        <w:pStyle w:val="2"/>
        <w:spacing w:before="24" w:line="259" w:lineRule="exact"/>
        <w:ind w:left="429"/>
        <w:rPr>
          <w:rFonts w:ascii="宋体" w:hAnsi="宋体" w:eastAsia="宋体" w:cs="宋体"/>
          <w:sz w:val="19"/>
          <w:szCs w:val="19"/>
        </w:rPr>
      </w:pPr>
      <w:r>
        <w:rPr>
          <w:rFonts w:ascii="宋体" w:hAnsi="宋体" w:eastAsia="宋体" w:cs="宋体"/>
          <w:spacing w:val="14"/>
          <w:position w:val="2"/>
          <w:sz w:val="19"/>
          <w:szCs w:val="19"/>
        </w:rPr>
        <w:t>3.</w:t>
      </w:r>
      <w:r>
        <w:rPr>
          <w:rFonts w:ascii="宋体" w:hAnsi="宋体" w:eastAsia="宋体" w:cs="宋体"/>
          <w:spacing w:val="58"/>
          <w:position w:val="2"/>
          <w:sz w:val="19"/>
          <w:szCs w:val="19"/>
        </w:rPr>
        <w:t xml:space="preserve"> </w:t>
      </w:r>
      <w:r>
        <w:rPr>
          <w:rFonts w:ascii="宋体" w:hAnsi="宋体" w:eastAsia="宋体" w:cs="宋体"/>
          <w:spacing w:val="14"/>
          <w:position w:val="2"/>
          <w:sz w:val="19"/>
          <w:szCs w:val="19"/>
        </w:rPr>
        <w:t>应用及局限性</w:t>
      </w:r>
      <w:r>
        <w:rPr>
          <w:rFonts w:ascii="宋体" w:hAnsi="宋体" w:eastAsia="宋体" w:cs="宋体"/>
          <w:spacing w:val="1"/>
          <w:position w:val="2"/>
          <w:sz w:val="19"/>
          <w:szCs w:val="19"/>
        </w:rPr>
        <w:t xml:space="preserve">  </w:t>
      </w:r>
      <w:r>
        <w:rPr>
          <w:position w:val="2"/>
          <w:sz w:val="19"/>
          <w:szCs w:val="19"/>
        </w:rPr>
        <w:t>RC</w:t>
      </w:r>
      <w:r>
        <w:rPr>
          <w:spacing w:val="14"/>
          <w:position w:val="2"/>
          <w:sz w:val="19"/>
          <w:szCs w:val="19"/>
        </w:rPr>
        <w:t xml:space="preserve"> </w:t>
      </w:r>
      <w:r>
        <w:rPr>
          <w:rFonts w:ascii="宋体" w:hAnsi="宋体" w:eastAsia="宋体" w:cs="宋体"/>
          <w:position w:val="2"/>
          <w:sz w:val="19"/>
          <w:szCs w:val="19"/>
        </w:rPr>
        <w:t>T</w:t>
      </w:r>
      <w:r>
        <w:rPr>
          <w:rFonts w:ascii="宋体" w:hAnsi="宋体" w:eastAsia="宋体" w:cs="宋体"/>
          <w:spacing w:val="-24"/>
          <w:position w:val="2"/>
          <w:sz w:val="19"/>
          <w:szCs w:val="19"/>
        </w:rPr>
        <w:t xml:space="preserve"> </w:t>
      </w:r>
      <w:r>
        <w:rPr>
          <w:rFonts w:ascii="宋体" w:hAnsi="宋体" w:eastAsia="宋体" w:cs="宋体"/>
          <w:spacing w:val="14"/>
          <w:position w:val="2"/>
          <w:sz w:val="19"/>
          <w:szCs w:val="19"/>
        </w:rPr>
        <w:t>的两个基本目标是获得试验的效力(</w:t>
      </w:r>
      <w:r>
        <w:rPr>
          <w:rFonts w:ascii="宋体" w:hAnsi="宋体" w:eastAsia="宋体" w:cs="宋体"/>
          <w:position w:val="2"/>
          <w:sz w:val="19"/>
          <w:szCs w:val="19"/>
        </w:rPr>
        <w:t>efficacy</w:t>
      </w:r>
      <w:r>
        <w:rPr>
          <w:rFonts w:ascii="宋体" w:hAnsi="宋体" w:eastAsia="宋体" w:cs="宋体"/>
          <w:spacing w:val="14"/>
          <w:position w:val="2"/>
          <w:sz w:val="19"/>
          <w:szCs w:val="19"/>
        </w:rPr>
        <w:t>)和</w:t>
      </w:r>
      <w:r>
        <w:rPr>
          <w:rFonts w:ascii="宋体" w:hAnsi="宋体" w:eastAsia="宋体" w:cs="宋体"/>
          <w:spacing w:val="-34"/>
          <w:position w:val="2"/>
          <w:sz w:val="19"/>
          <w:szCs w:val="19"/>
        </w:rPr>
        <w:t xml:space="preserve"> </w:t>
      </w:r>
      <w:r>
        <w:rPr>
          <w:rFonts w:ascii="宋体" w:hAnsi="宋体" w:eastAsia="宋体" w:cs="宋体"/>
          <w:spacing w:val="14"/>
          <w:position w:val="2"/>
          <w:sz w:val="19"/>
          <w:szCs w:val="19"/>
        </w:rPr>
        <w:t>效</w:t>
      </w:r>
      <w:r>
        <w:rPr>
          <w:rFonts w:ascii="宋体" w:hAnsi="宋体" w:eastAsia="宋体" w:cs="宋体"/>
          <w:spacing w:val="-34"/>
          <w:position w:val="2"/>
          <w:sz w:val="19"/>
          <w:szCs w:val="19"/>
        </w:rPr>
        <w:t xml:space="preserve"> </w:t>
      </w:r>
      <w:r>
        <w:rPr>
          <w:rFonts w:ascii="宋体" w:hAnsi="宋体" w:eastAsia="宋体" w:cs="宋体"/>
          <w:spacing w:val="14"/>
          <w:position w:val="2"/>
          <w:sz w:val="19"/>
          <w:szCs w:val="19"/>
        </w:rPr>
        <w:t>果</w:t>
      </w:r>
      <w:r>
        <w:rPr>
          <w:rFonts w:ascii="Arial" w:hAnsi="Arial" w:eastAsia="Arial" w:cs="Arial"/>
          <w:spacing w:val="14"/>
          <w:position w:val="2"/>
          <w:sz w:val="19"/>
          <w:szCs w:val="19"/>
        </w:rPr>
        <w:t>(</w:t>
      </w:r>
      <w:r>
        <w:rPr>
          <w:rFonts w:ascii="Arial" w:hAnsi="Arial" w:eastAsia="Arial" w:cs="Arial"/>
          <w:position w:val="2"/>
          <w:sz w:val="19"/>
          <w:szCs w:val="19"/>
        </w:rPr>
        <w:t>effectiveness</w:t>
      </w:r>
      <w:r>
        <w:rPr>
          <w:rFonts w:ascii="Arial" w:hAnsi="Arial" w:eastAsia="Arial" w:cs="Arial"/>
          <w:spacing w:val="14"/>
          <w:position w:val="2"/>
          <w:sz w:val="19"/>
          <w:szCs w:val="19"/>
        </w:rPr>
        <w:t>)</w:t>
      </w:r>
      <w:r>
        <w:rPr>
          <w:rFonts w:ascii="宋体" w:hAnsi="宋体" w:eastAsia="宋体" w:cs="宋体"/>
          <w:spacing w:val="14"/>
          <w:position w:val="2"/>
          <w:sz w:val="19"/>
          <w:szCs w:val="19"/>
        </w:rPr>
        <w:t>。</w:t>
      </w:r>
    </w:p>
    <w:p w14:paraId="4D7C9EA3">
      <w:pPr>
        <w:spacing w:line="259" w:lineRule="exact"/>
        <w:rPr>
          <w:rFonts w:ascii="宋体" w:hAnsi="宋体" w:eastAsia="宋体" w:cs="宋体"/>
          <w:sz w:val="19"/>
          <w:szCs w:val="19"/>
        </w:rPr>
        <w:sectPr>
          <w:headerReference r:id="rId130" w:type="default"/>
          <w:footerReference r:id="rId131" w:type="default"/>
          <w:pgSz w:w="11900" w:h="16820"/>
          <w:pgMar w:top="400" w:right="1397" w:bottom="832" w:left="870" w:header="0" w:footer="661" w:gutter="0"/>
          <w:cols w:space="720" w:num="1"/>
        </w:sectPr>
      </w:pPr>
    </w:p>
    <w:p w14:paraId="4CBCAEE2">
      <w:pPr>
        <w:pStyle w:val="2"/>
        <w:spacing w:before="46" w:line="221" w:lineRule="auto"/>
        <w:ind w:left="679"/>
        <w:rPr>
          <w:sz w:val="20"/>
          <w:szCs w:val="20"/>
        </w:rPr>
      </w:pPr>
      <w:bookmarkStart w:id="183" w:name="bookmark460"/>
      <w:bookmarkEnd w:id="183"/>
      <w:r>
        <w:rPr>
          <w:spacing w:val="-20"/>
          <w:sz w:val="20"/>
          <w:szCs w:val="20"/>
        </w:rPr>
        <w:t>第六章 实验流行病学</w:t>
      </w:r>
    </w:p>
    <w:p w14:paraId="0CF04585">
      <w:pPr>
        <w:spacing w:line="281" w:lineRule="auto"/>
        <w:rPr>
          <w:rFonts w:ascii="Arial"/>
          <w:sz w:val="21"/>
        </w:rPr>
      </w:pPr>
    </w:p>
    <w:p w14:paraId="7258EDC1">
      <w:pPr>
        <w:spacing w:line="281" w:lineRule="auto"/>
        <w:rPr>
          <w:rFonts w:ascii="Arial"/>
          <w:sz w:val="21"/>
        </w:rPr>
      </w:pPr>
    </w:p>
    <w:p w14:paraId="65E8A852">
      <w:pPr>
        <w:spacing w:before="65" w:line="351" w:lineRule="auto"/>
        <w:ind w:left="689" w:firstLine="9"/>
        <w:jc w:val="both"/>
        <w:rPr>
          <w:rFonts w:ascii="宋体" w:hAnsi="宋体" w:eastAsia="宋体" w:cs="宋体"/>
          <w:sz w:val="20"/>
          <w:szCs w:val="20"/>
        </w:rPr>
      </w:pPr>
      <w:r>
        <w:rPr>
          <w:rFonts w:ascii="宋体" w:hAnsi="宋体" w:eastAsia="宋体" w:cs="宋体"/>
          <w:spacing w:val="8"/>
          <w:sz w:val="20"/>
          <w:szCs w:val="20"/>
        </w:rPr>
        <w:t>试验的效力反映的是在一种理想状态下的治疗效果，即</w:t>
      </w:r>
      <w:r>
        <w:rPr>
          <w:rFonts w:ascii="宋体" w:hAnsi="宋体" w:eastAsia="宋体" w:cs="宋体"/>
          <w:spacing w:val="7"/>
          <w:sz w:val="20"/>
          <w:szCs w:val="20"/>
        </w:rPr>
        <w:t>参加试验者真正接受并完成了该种治疗。</w:t>
      </w:r>
      <w:r>
        <w:rPr>
          <w:rFonts w:ascii="宋体" w:hAnsi="宋体" w:eastAsia="宋体" w:cs="宋体"/>
          <w:sz w:val="20"/>
          <w:szCs w:val="20"/>
        </w:rPr>
        <w:t xml:space="preserve"> </w:t>
      </w:r>
      <w:r>
        <w:rPr>
          <w:rFonts w:ascii="宋体" w:hAnsi="宋体" w:eastAsia="宋体" w:cs="宋体"/>
          <w:spacing w:val="1"/>
          <w:sz w:val="20"/>
          <w:szCs w:val="20"/>
        </w:rPr>
        <w:t>试验的效果是指在一般的临床状态下治疗的实际效果，参加者可能会不依从、改变治</w:t>
      </w:r>
      <w:r>
        <w:rPr>
          <w:rFonts w:ascii="宋体" w:hAnsi="宋体" w:eastAsia="宋体" w:cs="宋体"/>
          <w:sz w:val="20"/>
          <w:szCs w:val="20"/>
        </w:rPr>
        <w:t>疗方式或间断  治疗等。</w:t>
      </w:r>
      <w:r>
        <w:rPr>
          <w:rFonts w:ascii="Times New Roman" w:hAnsi="Times New Roman" w:eastAsia="Times New Roman" w:cs="Times New Roman"/>
          <w:sz w:val="20"/>
          <w:szCs w:val="20"/>
        </w:rPr>
        <w:t xml:space="preserve">ITT </w:t>
      </w:r>
      <w:r>
        <w:rPr>
          <w:rFonts w:ascii="宋体" w:hAnsi="宋体" w:eastAsia="宋体" w:cs="宋体"/>
          <w:sz w:val="20"/>
          <w:szCs w:val="20"/>
        </w:rPr>
        <w:t>分析评价的就是这种结果，即给予某种治</w:t>
      </w:r>
      <w:r>
        <w:rPr>
          <w:rFonts w:ascii="宋体" w:hAnsi="宋体" w:eastAsia="宋体" w:cs="宋体"/>
          <w:spacing w:val="-1"/>
          <w:sz w:val="20"/>
          <w:szCs w:val="20"/>
        </w:rPr>
        <w:t>疗方式后病人的实际结局。</w:t>
      </w:r>
    </w:p>
    <w:p w14:paraId="40397999">
      <w:pPr>
        <w:spacing w:before="4" w:line="351" w:lineRule="auto"/>
        <w:ind w:left="689" w:right="69" w:firstLine="410"/>
        <w:jc w:val="both"/>
        <w:rPr>
          <w:rFonts w:ascii="宋体" w:hAnsi="宋体" w:eastAsia="宋体" w:cs="宋体"/>
          <w:sz w:val="20"/>
          <w:szCs w:val="20"/>
        </w:rPr>
      </w:pPr>
      <w:r>
        <w:rPr>
          <w:rFonts w:ascii="宋体" w:hAnsi="宋体" w:eastAsia="宋体" w:cs="宋体"/>
          <w:spacing w:val="1"/>
          <w:sz w:val="20"/>
          <w:szCs w:val="20"/>
        </w:rPr>
        <w:t>对于试验的效力来说，如果试验中失访、不依从的情况很少，或者各组之间的失访和不依</w:t>
      </w:r>
      <w:r>
        <w:rPr>
          <w:rFonts w:ascii="宋体" w:hAnsi="宋体" w:eastAsia="宋体" w:cs="宋体"/>
          <w:sz w:val="20"/>
          <w:szCs w:val="20"/>
        </w:rPr>
        <w:t xml:space="preserve">从是 </w:t>
      </w:r>
      <w:r>
        <w:rPr>
          <w:rFonts w:ascii="宋体" w:hAnsi="宋体" w:eastAsia="宋体" w:cs="宋体"/>
          <w:spacing w:val="4"/>
          <w:sz w:val="20"/>
          <w:szCs w:val="20"/>
        </w:rPr>
        <w:t>均衡的，那么</w:t>
      </w:r>
      <w:r>
        <w:rPr>
          <w:rFonts w:ascii="Times New Roman" w:hAnsi="Times New Roman" w:eastAsia="Times New Roman" w:cs="Times New Roman"/>
          <w:sz w:val="20"/>
          <w:szCs w:val="20"/>
        </w:rPr>
        <w:t>ITT</w:t>
      </w:r>
      <w:r>
        <w:rPr>
          <w:rFonts w:ascii="Times New Roman" w:hAnsi="Times New Roman" w:eastAsia="Times New Roman" w:cs="Times New Roman"/>
          <w:spacing w:val="19"/>
          <w:w w:val="101"/>
          <w:sz w:val="20"/>
          <w:szCs w:val="20"/>
        </w:rPr>
        <w:t xml:space="preserve"> </w:t>
      </w:r>
      <w:r>
        <w:rPr>
          <w:rFonts w:ascii="宋体" w:hAnsi="宋体" w:eastAsia="宋体" w:cs="宋体"/>
          <w:spacing w:val="4"/>
          <w:sz w:val="20"/>
          <w:szCs w:val="20"/>
        </w:rPr>
        <w:t>分析可以得到试验效力的有效信息。但若不均衡，</w:t>
      </w:r>
      <w:r>
        <w:rPr>
          <w:rFonts w:ascii="Times New Roman" w:hAnsi="Times New Roman" w:eastAsia="Times New Roman" w:cs="Times New Roman"/>
          <w:sz w:val="20"/>
          <w:szCs w:val="20"/>
        </w:rPr>
        <w:t>ITT</w:t>
      </w:r>
      <w:r>
        <w:rPr>
          <w:rFonts w:ascii="宋体" w:hAnsi="宋体" w:eastAsia="宋体" w:cs="宋体"/>
          <w:spacing w:val="4"/>
          <w:sz w:val="20"/>
          <w:szCs w:val="20"/>
        </w:rPr>
        <w:t>分析不能够完全评价试验</w:t>
      </w:r>
      <w:r>
        <w:rPr>
          <w:rFonts w:ascii="宋体" w:hAnsi="宋体" w:eastAsia="宋体" w:cs="宋体"/>
          <w:sz w:val="20"/>
          <w:szCs w:val="20"/>
        </w:rPr>
        <w:t xml:space="preserve"> </w:t>
      </w:r>
      <w:r>
        <w:rPr>
          <w:rFonts w:ascii="宋体" w:hAnsi="宋体" w:eastAsia="宋体" w:cs="宋体"/>
          <w:spacing w:val="2"/>
          <w:sz w:val="20"/>
          <w:szCs w:val="20"/>
        </w:rPr>
        <w:t>效力。如果试验方法确实有效，</w:t>
      </w:r>
      <w:r>
        <w:rPr>
          <w:rFonts w:ascii="Times New Roman" w:hAnsi="Times New Roman" w:eastAsia="Times New Roman" w:cs="Times New Roman"/>
          <w:sz w:val="20"/>
          <w:szCs w:val="20"/>
        </w:rPr>
        <w:t>ITT</w:t>
      </w:r>
      <w:r>
        <w:rPr>
          <w:rFonts w:ascii="Times New Roman" w:hAnsi="Times New Roman" w:eastAsia="Times New Roman" w:cs="Times New Roman"/>
          <w:spacing w:val="2"/>
          <w:sz w:val="20"/>
          <w:szCs w:val="20"/>
        </w:rPr>
        <w:t xml:space="preserve"> </w:t>
      </w:r>
      <w:r>
        <w:rPr>
          <w:rFonts w:ascii="宋体" w:hAnsi="宋体" w:eastAsia="宋体" w:cs="宋体"/>
          <w:spacing w:val="2"/>
          <w:sz w:val="20"/>
          <w:szCs w:val="20"/>
        </w:rPr>
        <w:t>分析可能会低估治疗效果，而依从者分析和接受治疗分析将高</w:t>
      </w:r>
      <w:r>
        <w:rPr>
          <w:rFonts w:ascii="宋体" w:hAnsi="宋体" w:eastAsia="宋体" w:cs="宋体"/>
          <w:spacing w:val="12"/>
          <w:sz w:val="20"/>
          <w:szCs w:val="20"/>
        </w:rPr>
        <w:t xml:space="preserve"> </w:t>
      </w:r>
      <w:r>
        <w:rPr>
          <w:rFonts w:ascii="宋体" w:hAnsi="宋体" w:eastAsia="宋体" w:cs="宋体"/>
          <w:spacing w:val="1"/>
          <w:sz w:val="20"/>
          <w:szCs w:val="20"/>
        </w:rPr>
        <w:t>估治疗效果。因此，在评价试验的效力时，建议同时使用上述三种分析，以获得更全面的信息，使</w:t>
      </w:r>
      <w:r>
        <w:rPr>
          <w:rFonts w:ascii="宋体" w:hAnsi="宋体" w:eastAsia="宋体" w:cs="宋体"/>
          <w:spacing w:val="16"/>
          <w:sz w:val="20"/>
          <w:szCs w:val="20"/>
        </w:rPr>
        <w:t xml:space="preserve"> </w:t>
      </w:r>
      <w:r>
        <w:rPr>
          <w:rFonts w:ascii="Times New Roman" w:hAnsi="Times New Roman" w:eastAsia="Times New Roman" w:cs="Times New Roman"/>
          <w:sz w:val="20"/>
          <w:szCs w:val="20"/>
        </w:rPr>
        <w:t>RCT</w:t>
      </w:r>
      <w:r>
        <w:rPr>
          <w:rFonts w:ascii="宋体" w:hAnsi="宋体" w:eastAsia="宋体" w:cs="宋体"/>
          <w:spacing w:val="8"/>
          <w:sz w:val="20"/>
          <w:szCs w:val="20"/>
        </w:rPr>
        <w:t>结果的解释更为合理。</w:t>
      </w:r>
    </w:p>
    <w:p w14:paraId="568B6B45">
      <w:pPr>
        <w:pStyle w:val="2"/>
        <w:spacing w:before="3" w:line="221" w:lineRule="auto"/>
        <w:ind w:left="1140"/>
        <w:rPr>
          <w:sz w:val="20"/>
          <w:szCs w:val="20"/>
        </w:rPr>
      </w:pPr>
      <w:r>
        <w:rPr>
          <w:spacing w:val="22"/>
          <w:sz w:val="20"/>
          <w:szCs w:val="20"/>
        </w:rPr>
        <w:t>(二)统计分析数据集</w:t>
      </w:r>
    </w:p>
    <w:p w14:paraId="1641F3A3">
      <w:pPr>
        <w:spacing w:before="131" w:line="219" w:lineRule="auto"/>
        <w:ind w:left="1130"/>
        <w:rPr>
          <w:rFonts w:ascii="宋体" w:hAnsi="宋体" w:eastAsia="宋体" w:cs="宋体"/>
          <w:sz w:val="20"/>
          <w:szCs w:val="20"/>
        </w:rPr>
      </w:pPr>
      <w:r>
        <w:rPr>
          <w:rFonts w:ascii="宋体" w:hAnsi="宋体" w:eastAsia="宋体" w:cs="宋体"/>
          <w:sz w:val="20"/>
          <w:szCs w:val="20"/>
        </w:rPr>
        <w:t>基于前述的意向治疗分析和依从者分析原则，统计分析数据可以形成如下的数据</w:t>
      </w:r>
      <w:r>
        <w:rPr>
          <w:rFonts w:ascii="宋体" w:hAnsi="宋体" w:eastAsia="宋体" w:cs="宋体"/>
          <w:spacing w:val="-1"/>
          <w:sz w:val="20"/>
          <w:szCs w:val="20"/>
        </w:rPr>
        <w:t>集。</w:t>
      </w:r>
    </w:p>
    <w:p w14:paraId="42C80F43">
      <w:pPr>
        <w:spacing w:before="142" w:line="316" w:lineRule="auto"/>
        <w:ind w:left="699" w:right="76" w:firstLine="430"/>
        <w:rPr>
          <w:rFonts w:ascii="宋体" w:hAnsi="宋体" w:eastAsia="宋体" w:cs="宋体"/>
          <w:sz w:val="20"/>
          <w:szCs w:val="20"/>
        </w:rPr>
      </w:pPr>
      <w:r>
        <w:rPr>
          <w:rFonts w:ascii="宋体" w:hAnsi="宋体" w:eastAsia="宋体" w:cs="宋体"/>
          <w:spacing w:val="7"/>
          <w:sz w:val="20"/>
          <w:szCs w:val="20"/>
        </w:rPr>
        <w:t>1.</w:t>
      </w:r>
      <w:r>
        <w:rPr>
          <w:rFonts w:ascii="宋体" w:hAnsi="宋体" w:eastAsia="宋体" w:cs="宋体"/>
          <w:sz w:val="20"/>
          <w:szCs w:val="20"/>
        </w:rPr>
        <w:t>FAS</w:t>
      </w:r>
      <w:r>
        <w:rPr>
          <w:rFonts w:ascii="宋体" w:hAnsi="宋体" w:eastAsia="宋体" w:cs="宋体"/>
          <w:spacing w:val="46"/>
          <w:sz w:val="20"/>
          <w:szCs w:val="20"/>
        </w:rPr>
        <w:t xml:space="preserve">  </w:t>
      </w:r>
      <w:r>
        <w:rPr>
          <w:rFonts w:ascii="宋体" w:hAnsi="宋体" w:eastAsia="宋体" w:cs="宋体"/>
          <w:spacing w:val="7"/>
          <w:sz w:val="20"/>
          <w:szCs w:val="20"/>
        </w:rPr>
        <w:t>集</w:t>
      </w:r>
      <w:r>
        <w:rPr>
          <w:rFonts w:ascii="宋体" w:hAnsi="宋体" w:eastAsia="宋体" w:cs="宋体"/>
          <w:spacing w:val="55"/>
          <w:sz w:val="20"/>
          <w:szCs w:val="20"/>
        </w:rPr>
        <w:t xml:space="preserve"> </w:t>
      </w:r>
      <w:r>
        <w:rPr>
          <w:rFonts w:ascii="宋体" w:hAnsi="宋体" w:eastAsia="宋体" w:cs="宋体"/>
          <w:spacing w:val="7"/>
          <w:sz w:val="20"/>
          <w:szCs w:val="20"/>
        </w:rPr>
        <w:t>基于意向性原则，全部随机化(对于单组研究则是筛选合格)的受试者都应</w:t>
      </w:r>
      <w:r>
        <w:rPr>
          <w:rFonts w:ascii="宋体" w:hAnsi="宋体" w:eastAsia="宋体" w:cs="宋体"/>
          <w:spacing w:val="6"/>
          <w:sz w:val="20"/>
          <w:szCs w:val="20"/>
        </w:rPr>
        <w:t>该纳</w:t>
      </w:r>
      <w:r>
        <w:rPr>
          <w:rFonts w:ascii="宋体" w:hAnsi="宋体" w:eastAsia="宋体" w:cs="宋体"/>
          <w:sz w:val="20"/>
          <w:szCs w:val="20"/>
        </w:rPr>
        <w:t xml:space="preserve"> </w:t>
      </w:r>
      <w:r>
        <w:rPr>
          <w:rFonts w:ascii="宋体" w:hAnsi="宋体" w:eastAsia="宋体" w:cs="宋体"/>
          <w:spacing w:val="-5"/>
          <w:sz w:val="20"/>
          <w:szCs w:val="20"/>
        </w:rPr>
        <w:t>入分析，称作全分析集(full analysis set,FAS),有些方案将该集合</w:t>
      </w:r>
      <w:r>
        <w:rPr>
          <w:rFonts w:ascii="宋体" w:hAnsi="宋体" w:eastAsia="宋体" w:cs="宋体"/>
          <w:spacing w:val="-6"/>
          <w:sz w:val="20"/>
          <w:szCs w:val="20"/>
        </w:rPr>
        <w:t>的人群称为ITT</w:t>
      </w:r>
      <w:r>
        <w:rPr>
          <w:rFonts w:ascii="宋体" w:hAnsi="宋体" w:eastAsia="宋体" w:cs="宋体"/>
          <w:spacing w:val="-41"/>
          <w:sz w:val="20"/>
          <w:szCs w:val="20"/>
        </w:rPr>
        <w:t xml:space="preserve"> </w:t>
      </w:r>
      <w:r>
        <w:rPr>
          <w:rFonts w:ascii="宋体" w:hAnsi="宋体" w:eastAsia="宋体" w:cs="宋体"/>
          <w:spacing w:val="-6"/>
          <w:sz w:val="20"/>
          <w:szCs w:val="20"/>
        </w:rPr>
        <w:t>人群。根据ITT</w:t>
      </w:r>
      <w:r>
        <w:rPr>
          <w:rFonts w:ascii="宋体" w:hAnsi="宋体" w:eastAsia="宋体" w:cs="宋体"/>
          <w:spacing w:val="-41"/>
          <w:sz w:val="20"/>
          <w:szCs w:val="20"/>
        </w:rPr>
        <w:t xml:space="preserve"> </w:t>
      </w:r>
      <w:r>
        <w:rPr>
          <w:rFonts w:ascii="宋体" w:hAnsi="宋体" w:eastAsia="宋体" w:cs="宋体"/>
          <w:spacing w:val="-6"/>
          <w:sz w:val="20"/>
          <w:szCs w:val="20"/>
        </w:rPr>
        <w:t>原</w:t>
      </w:r>
      <w:r>
        <w:rPr>
          <w:rFonts w:ascii="宋体" w:hAnsi="宋体" w:eastAsia="宋体" w:cs="宋体"/>
          <w:sz w:val="20"/>
          <w:szCs w:val="20"/>
        </w:rPr>
        <w:t xml:space="preserve"> </w:t>
      </w:r>
      <w:r>
        <w:rPr>
          <w:rFonts w:ascii="宋体" w:hAnsi="宋体" w:eastAsia="宋体" w:cs="宋体"/>
          <w:spacing w:val="2"/>
          <w:sz w:val="20"/>
          <w:szCs w:val="20"/>
        </w:rPr>
        <w:t>则，需要完整地随访所有随机化对象的研究结果。</w:t>
      </w:r>
      <w:r>
        <w:rPr>
          <w:rFonts w:ascii="Times New Roman" w:hAnsi="Times New Roman" w:eastAsia="Times New Roman" w:cs="Times New Roman"/>
          <w:sz w:val="20"/>
          <w:szCs w:val="20"/>
        </w:rPr>
        <w:t>FAS</w:t>
      </w:r>
      <w:r>
        <w:rPr>
          <w:rFonts w:ascii="宋体" w:hAnsi="宋体" w:eastAsia="宋体" w:cs="宋体"/>
          <w:spacing w:val="2"/>
          <w:sz w:val="20"/>
          <w:szCs w:val="20"/>
        </w:rPr>
        <w:t>集是从所有</w:t>
      </w:r>
      <w:r>
        <w:rPr>
          <w:rFonts w:ascii="宋体" w:hAnsi="宋体" w:eastAsia="宋体" w:cs="宋体"/>
          <w:spacing w:val="1"/>
          <w:sz w:val="20"/>
          <w:szCs w:val="20"/>
        </w:rPr>
        <w:t>随机化的受试者中，以最少的和</w:t>
      </w:r>
      <w:r>
        <w:rPr>
          <w:rFonts w:ascii="宋体" w:hAnsi="宋体" w:eastAsia="宋体" w:cs="宋体"/>
          <w:sz w:val="20"/>
          <w:szCs w:val="20"/>
        </w:rPr>
        <w:t xml:space="preserve"> </w:t>
      </w:r>
      <w:r>
        <w:rPr>
          <w:rFonts w:ascii="宋体" w:hAnsi="宋体" w:eastAsia="宋体" w:cs="宋体"/>
          <w:spacing w:val="4"/>
          <w:sz w:val="20"/>
          <w:szCs w:val="20"/>
        </w:rPr>
        <w:t>合理的方法剔除受试者后得出的。</w:t>
      </w:r>
    </w:p>
    <w:p w14:paraId="536BE4FF">
      <w:pPr>
        <w:spacing w:before="152" w:line="313" w:lineRule="auto"/>
        <w:ind w:left="709" w:right="78" w:firstLine="400"/>
        <w:rPr>
          <w:rFonts w:ascii="宋体" w:hAnsi="宋体" w:eastAsia="宋体" w:cs="宋体"/>
          <w:sz w:val="20"/>
          <w:szCs w:val="20"/>
        </w:rPr>
      </w:pPr>
      <w:r>
        <w:rPr>
          <w:rFonts w:ascii="宋体" w:hAnsi="宋体" w:eastAsia="宋体" w:cs="宋体"/>
          <w:spacing w:val="3"/>
          <w:sz w:val="20"/>
          <w:szCs w:val="20"/>
        </w:rPr>
        <w:t>2.</w:t>
      </w:r>
      <w:r>
        <w:rPr>
          <w:rFonts w:ascii="宋体" w:hAnsi="宋体" w:eastAsia="宋体" w:cs="宋体"/>
          <w:sz w:val="20"/>
          <w:szCs w:val="20"/>
        </w:rPr>
        <w:t>PPS</w:t>
      </w:r>
      <w:r>
        <w:rPr>
          <w:rFonts w:ascii="宋体" w:hAnsi="宋体" w:eastAsia="宋体" w:cs="宋体"/>
          <w:spacing w:val="4"/>
          <w:sz w:val="20"/>
          <w:szCs w:val="20"/>
        </w:rPr>
        <w:t xml:space="preserve">   </w:t>
      </w:r>
      <w:r>
        <w:rPr>
          <w:rFonts w:ascii="宋体" w:hAnsi="宋体" w:eastAsia="宋体" w:cs="宋体"/>
          <w:spacing w:val="3"/>
          <w:sz w:val="20"/>
          <w:szCs w:val="20"/>
        </w:rPr>
        <w:t>集 基于符合方案原则，全部随机化的受试者中，完全按方案设计进行研究的那一部</w:t>
      </w:r>
      <w:r>
        <w:rPr>
          <w:rFonts w:ascii="宋体" w:hAnsi="宋体" w:eastAsia="宋体" w:cs="宋体"/>
          <w:spacing w:val="1"/>
          <w:sz w:val="20"/>
          <w:szCs w:val="20"/>
        </w:rPr>
        <w:t xml:space="preserve"> </w:t>
      </w:r>
      <w:r>
        <w:rPr>
          <w:rFonts w:ascii="宋体" w:hAnsi="宋体" w:eastAsia="宋体" w:cs="宋体"/>
          <w:spacing w:val="-3"/>
          <w:sz w:val="20"/>
          <w:szCs w:val="20"/>
        </w:rPr>
        <w:t>分才能纳人分析，称作符合方案集(per-protocol set,PPS)。一般研究中把没有</w:t>
      </w:r>
      <w:r>
        <w:rPr>
          <w:rFonts w:ascii="宋体" w:hAnsi="宋体" w:eastAsia="宋体" w:cs="宋体"/>
          <w:spacing w:val="-4"/>
          <w:sz w:val="20"/>
          <w:szCs w:val="20"/>
        </w:rPr>
        <w:t>重要违背方案的受试</w:t>
      </w:r>
      <w:r>
        <w:rPr>
          <w:rFonts w:ascii="宋体" w:hAnsi="宋体" w:eastAsia="宋体" w:cs="宋体"/>
          <w:sz w:val="20"/>
          <w:szCs w:val="20"/>
        </w:rPr>
        <w:t xml:space="preserve"> </w:t>
      </w:r>
      <w:r>
        <w:rPr>
          <w:rFonts w:ascii="宋体" w:hAnsi="宋体" w:eastAsia="宋体" w:cs="宋体"/>
          <w:spacing w:val="5"/>
          <w:sz w:val="20"/>
          <w:szCs w:val="20"/>
        </w:rPr>
        <w:t>者都认为是符合方案。这样的数据集经过统计分析得出结果，被认为可以尽可能接近按药品说明</w:t>
      </w:r>
      <w:r>
        <w:rPr>
          <w:rFonts w:ascii="宋体" w:hAnsi="宋体" w:eastAsia="宋体" w:cs="宋体"/>
          <w:spacing w:val="10"/>
          <w:sz w:val="20"/>
          <w:szCs w:val="20"/>
        </w:rPr>
        <w:t xml:space="preserve"> </w:t>
      </w:r>
      <w:r>
        <w:rPr>
          <w:rFonts w:ascii="宋体" w:hAnsi="宋体" w:eastAsia="宋体" w:cs="宋体"/>
          <w:spacing w:val="3"/>
          <w:sz w:val="20"/>
          <w:szCs w:val="20"/>
        </w:rPr>
        <w:t>书使用的病人能取得的疗效。</w:t>
      </w:r>
    </w:p>
    <w:p w14:paraId="426ECB55">
      <w:pPr>
        <w:spacing w:before="148" w:line="299" w:lineRule="auto"/>
        <w:ind w:left="699" w:right="81" w:firstLine="430"/>
        <w:rPr>
          <w:rFonts w:ascii="宋体" w:hAnsi="宋体" w:eastAsia="宋体" w:cs="宋体"/>
          <w:sz w:val="20"/>
          <w:szCs w:val="20"/>
        </w:rPr>
      </w:pPr>
      <w:r>
        <w:rPr>
          <w:rFonts w:ascii="宋体" w:hAnsi="宋体" w:eastAsia="宋体" w:cs="宋体"/>
          <w:spacing w:val="-4"/>
          <w:sz w:val="20"/>
          <w:szCs w:val="20"/>
        </w:rPr>
        <w:t>3.SAS   集  对于安全性分析，不使用意向性原则和符合方案原则，而是“暴露”(exposure)原</w:t>
      </w:r>
      <w:r>
        <w:rPr>
          <w:rFonts w:ascii="宋体" w:hAnsi="宋体" w:eastAsia="宋体" w:cs="宋体"/>
          <w:spacing w:val="4"/>
          <w:sz w:val="20"/>
          <w:szCs w:val="20"/>
        </w:rPr>
        <w:t xml:space="preserve"> </w:t>
      </w:r>
      <w:r>
        <w:rPr>
          <w:rFonts w:ascii="宋体" w:hAnsi="宋体" w:eastAsia="宋体" w:cs="宋体"/>
          <w:spacing w:val="6"/>
          <w:sz w:val="20"/>
          <w:szCs w:val="20"/>
        </w:rPr>
        <w:t>则，即所有至少使用过一剂研究药物的受试者，都必须观察安</w:t>
      </w:r>
      <w:r>
        <w:rPr>
          <w:rFonts w:ascii="宋体" w:hAnsi="宋体" w:eastAsia="宋体" w:cs="宋体"/>
          <w:spacing w:val="5"/>
          <w:sz w:val="20"/>
          <w:szCs w:val="20"/>
        </w:rPr>
        <w:t>全性指标，由此形成安全性分析集</w:t>
      </w:r>
      <w:r>
        <w:rPr>
          <w:rFonts w:ascii="宋体" w:hAnsi="宋体" w:eastAsia="宋体" w:cs="宋体"/>
          <w:sz w:val="20"/>
          <w:szCs w:val="20"/>
        </w:rPr>
        <w:t xml:space="preserve"> </w:t>
      </w:r>
      <w:r>
        <w:rPr>
          <w:rFonts w:ascii="Times New Roman" w:hAnsi="Times New Roman" w:eastAsia="Times New Roman" w:cs="Times New Roman"/>
          <w:spacing w:val="-1"/>
          <w:sz w:val="20"/>
          <w:szCs w:val="20"/>
        </w:rPr>
        <w:t>(safety</w:t>
      </w:r>
      <w:r>
        <w:rPr>
          <w:rFonts w:ascii="Times New Roman" w:hAnsi="Times New Roman" w:eastAsia="Times New Roman" w:cs="Times New Roman"/>
          <w:spacing w:val="14"/>
          <w:w w:val="101"/>
          <w:sz w:val="20"/>
          <w:szCs w:val="20"/>
        </w:rPr>
        <w:t xml:space="preserve">  </w:t>
      </w:r>
      <w:r>
        <w:rPr>
          <w:rFonts w:ascii="Times New Roman" w:hAnsi="Times New Roman" w:eastAsia="Times New Roman" w:cs="Times New Roman"/>
          <w:spacing w:val="-1"/>
          <w:sz w:val="20"/>
          <w:szCs w:val="20"/>
        </w:rPr>
        <w:t>analysis</w:t>
      </w:r>
      <w:r>
        <w:rPr>
          <w:rFonts w:ascii="Times New Roman" w:hAnsi="Times New Roman" w:eastAsia="Times New Roman" w:cs="Times New Roman"/>
          <w:spacing w:val="16"/>
          <w:sz w:val="20"/>
          <w:szCs w:val="20"/>
        </w:rPr>
        <w:t xml:space="preserve">  </w:t>
      </w:r>
      <w:r>
        <w:rPr>
          <w:rFonts w:ascii="Times New Roman" w:hAnsi="Times New Roman" w:eastAsia="Times New Roman" w:cs="Times New Roman"/>
          <w:spacing w:val="-1"/>
          <w:sz w:val="20"/>
          <w:szCs w:val="20"/>
        </w:rPr>
        <w:t>set,S</w:t>
      </w:r>
      <w:r>
        <w:rPr>
          <w:rFonts w:ascii="Times New Roman" w:hAnsi="Times New Roman" w:eastAsia="Times New Roman" w:cs="Times New Roman"/>
          <w:spacing w:val="-2"/>
          <w:sz w:val="20"/>
          <w:szCs w:val="20"/>
        </w:rPr>
        <w:t>AS)</w:t>
      </w:r>
      <w:r>
        <w:rPr>
          <w:rFonts w:ascii="宋体" w:hAnsi="宋体" w:eastAsia="宋体" w:cs="宋体"/>
          <w:spacing w:val="-2"/>
          <w:sz w:val="20"/>
          <w:szCs w:val="20"/>
        </w:rPr>
        <w:t>。</w:t>
      </w:r>
    </w:p>
    <w:p w14:paraId="2DD940A6">
      <w:pPr>
        <w:spacing w:line="305" w:lineRule="auto"/>
        <w:rPr>
          <w:rFonts w:ascii="Arial"/>
          <w:sz w:val="21"/>
        </w:rPr>
      </w:pPr>
    </w:p>
    <w:p w14:paraId="5D546704">
      <w:pPr>
        <w:pStyle w:val="2"/>
        <w:spacing w:before="66" w:line="222" w:lineRule="auto"/>
        <w:ind w:left="1150"/>
        <w:outlineLvl w:val="2"/>
        <w:rPr>
          <w:sz w:val="20"/>
          <w:szCs w:val="20"/>
        </w:rPr>
      </w:pPr>
      <w:bookmarkStart w:id="184" w:name="bookmark119"/>
      <w:bookmarkEnd w:id="184"/>
      <w:r>
        <w:rPr>
          <w:spacing w:val="-16"/>
          <w:sz w:val="20"/>
          <w:szCs w:val="20"/>
        </w:rPr>
        <w:t>三</w:t>
      </w:r>
      <w:r>
        <w:rPr>
          <w:spacing w:val="33"/>
          <w:sz w:val="20"/>
          <w:szCs w:val="20"/>
        </w:rPr>
        <w:t xml:space="preserve"> </w:t>
      </w:r>
      <w:r>
        <w:rPr>
          <w:spacing w:val="-16"/>
          <w:sz w:val="20"/>
          <w:szCs w:val="20"/>
        </w:rPr>
        <w:t>、评</w:t>
      </w:r>
      <w:r>
        <w:rPr>
          <w:spacing w:val="-18"/>
          <w:sz w:val="20"/>
          <w:szCs w:val="20"/>
        </w:rPr>
        <w:t xml:space="preserve"> </w:t>
      </w:r>
      <w:r>
        <w:rPr>
          <w:spacing w:val="-16"/>
          <w:sz w:val="20"/>
          <w:szCs w:val="20"/>
        </w:rPr>
        <w:t>价</w:t>
      </w:r>
      <w:r>
        <w:rPr>
          <w:spacing w:val="-19"/>
          <w:sz w:val="20"/>
          <w:szCs w:val="20"/>
        </w:rPr>
        <w:t xml:space="preserve"> </w:t>
      </w:r>
      <w:r>
        <w:rPr>
          <w:spacing w:val="-16"/>
          <w:sz w:val="20"/>
          <w:szCs w:val="20"/>
        </w:rPr>
        <w:t>指</w:t>
      </w:r>
      <w:r>
        <w:rPr>
          <w:spacing w:val="-21"/>
          <w:sz w:val="20"/>
          <w:szCs w:val="20"/>
        </w:rPr>
        <w:t xml:space="preserve"> </w:t>
      </w:r>
      <w:r>
        <w:rPr>
          <w:spacing w:val="-16"/>
          <w:sz w:val="20"/>
          <w:szCs w:val="20"/>
        </w:rPr>
        <w:t>标</w:t>
      </w:r>
    </w:p>
    <w:p w14:paraId="2D5A8ADE">
      <w:pPr>
        <w:spacing w:before="297" w:line="345" w:lineRule="auto"/>
        <w:ind w:left="709" w:right="87" w:firstLine="430"/>
        <w:jc w:val="both"/>
        <w:rPr>
          <w:rFonts w:ascii="宋体" w:hAnsi="宋体" w:eastAsia="宋体" w:cs="宋体"/>
          <w:sz w:val="20"/>
          <w:szCs w:val="20"/>
        </w:rPr>
      </w:pPr>
      <w:r>
        <w:rPr>
          <w:rFonts w:ascii="宋体" w:hAnsi="宋体" w:eastAsia="宋体" w:cs="宋体"/>
          <w:sz w:val="20"/>
          <w:szCs w:val="20"/>
        </w:rPr>
        <w:t>试验效果评价指标的选择应视试验目的而定，但基本原则是：①不但用定</w:t>
      </w:r>
      <w:r>
        <w:rPr>
          <w:rFonts w:ascii="宋体" w:hAnsi="宋体" w:eastAsia="宋体" w:cs="宋体"/>
          <w:spacing w:val="-1"/>
          <w:sz w:val="20"/>
          <w:szCs w:val="20"/>
        </w:rPr>
        <w:t>性指标，还尽可能用</w:t>
      </w:r>
      <w:r>
        <w:rPr>
          <w:rFonts w:ascii="宋体" w:hAnsi="宋体" w:eastAsia="宋体" w:cs="宋体"/>
          <w:sz w:val="20"/>
          <w:szCs w:val="20"/>
        </w:rPr>
        <w:t xml:space="preserve"> </w:t>
      </w:r>
      <w:r>
        <w:rPr>
          <w:rFonts w:ascii="宋体" w:hAnsi="宋体" w:eastAsia="宋体" w:cs="宋体"/>
          <w:spacing w:val="3"/>
          <w:sz w:val="20"/>
          <w:szCs w:val="20"/>
        </w:rPr>
        <w:t>客观的定量指标；②测定方法有较高的真实性</w:t>
      </w:r>
      <w:r>
        <w:rPr>
          <w:rFonts w:ascii="宋体" w:hAnsi="宋体" w:eastAsia="宋体" w:cs="宋体"/>
          <w:spacing w:val="2"/>
          <w:sz w:val="20"/>
          <w:szCs w:val="20"/>
        </w:rPr>
        <w:t>(效度)和可靠性(信度);③要易于观察和测量，且易</w:t>
      </w:r>
      <w:r>
        <w:rPr>
          <w:rFonts w:ascii="宋体" w:hAnsi="宋体" w:eastAsia="宋体" w:cs="宋体"/>
          <w:sz w:val="20"/>
          <w:szCs w:val="20"/>
        </w:rPr>
        <w:t xml:space="preserve"> </w:t>
      </w:r>
      <w:r>
        <w:rPr>
          <w:rFonts w:ascii="宋体" w:hAnsi="宋体" w:eastAsia="宋体" w:cs="宋体"/>
          <w:spacing w:val="2"/>
          <w:sz w:val="20"/>
          <w:szCs w:val="20"/>
        </w:rPr>
        <w:t>为受试者所接受。具体指标如下：</w:t>
      </w:r>
    </w:p>
    <w:p w14:paraId="568EA9A4">
      <w:pPr>
        <w:pStyle w:val="2"/>
        <w:spacing w:line="221" w:lineRule="auto"/>
        <w:ind w:left="1140"/>
        <w:rPr>
          <w:sz w:val="20"/>
          <w:szCs w:val="20"/>
        </w:rPr>
      </w:pPr>
      <w:r>
        <w:rPr>
          <w:spacing w:val="2"/>
          <w:sz w:val="20"/>
          <w:szCs w:val="20"/>
        </w:rPr>
        <w:t>1.</w:t>
      </w:r>
      <w:r>
        <w:rPr>
          <w:spacing w:val="-15"/>
          <w:sz w:val="20"/>
          <w:szCs w:val="20"/>
        </w:rPr>
        <w:t xml:space="preserve"> </w:t>
      </w:r>
      <w:r>
        <w:rPr>
          <w:spacing w:val="2"/>
          <w:sz w:val="20"/>
          <w:szCs w:val="20"/>
        </w:rPr>
        <w:t>评价治疗措施效果的主要指标</w:t>
      </w:r>
    </w:p>
    <w:p w14:paraId="443D733A">
      <w:pPr>
        <w:spacing w:before="105" w:line="539" w:lineRule="exact"/>
        <w:ind w:firstLine="1130"/>
      </w:pPr>
      <w:r>
        <w:rPr>
          <w:position w:val="-10"/>
        </w:rPr>
        <w:drawing>
          <wp:inline distT="0" distB="0" distL="0" distR="0">
            <wp:extent cx="4736465" cy="342265"/>
            <wp:effectExtent l="0" t="0" r="0" b="0"/>
            <wp:docPr id="380" name="IM 380"/>
            <wp:cNvGraphicFramePr/>
            <a:graphic xmlns:a="http://schemas.openxmlformats.org/drawingml/2006/main">
              <a:graphicData uri="http://schemas.openxmlformats.org/drawingml/2006/picture">
                <pic:pic xmlns:pic="http://schemas.openxmlformats.org/drawingml/2006/picture">
                  <pic:nvPicPr>
                    <pic:cNvPr id="380" name="IM 380"/>
                    <pic:cNvPicPr/>
                  </pic:nvPicPr>
                  <pic:blipFill>
                    <a:blip r:embed="rId559"/>
                    <a:stretch>
                      <a:fillRect/>
                    </a:stretch>
                  </pic:blipFill>
                  <pic:spPr>
                    <a:xfrm>
                      <a:off x="0" y="0"/>
                      <a:ext cx="4737093" cy="342850"/>
                    </a:xfrm>
                    <a:prstGeom prst="rect">
                      <a:avLst/>
                    </a:prstGeom>
                  </pic:spPr>
                </pic:pic>
              </a:graphicData>
            </a:graphic>
          </wp:inline>
        </w:drawing>
      </w:r>
    </w:p>
    <w:p w14:paraId="77D709DC">
      <w:pPr>
        <w:spacing w:before="180" w:line="511" w:lineRule="exact"/>
        <w:ind w:firstLine="1130"/>
      </w:pPr>
      <w:r>
        <w:rPr>
          <w:position w:val="-10"/>
        </w:rPr>
        <w:drawing>
          <wp:inline distT="0" distB="0" distL="0" distR="0">
            <wp:extent cx="2120265" cy="323850"/>
            <wp:effectExtent l="0" t="0" r="0" b="0"/>
            <wp:docPr id="382" name="IM 382"/>
            <wp:cNvGraphicFramePr/>
            <a:graphic xmlns:a="http://schemas.openxmlformats.org/drawingml/2006/main">
              <a:graphicData uri="http://schemas.openxmlformats.org/drawingml/2006/picture">
                <pic:pic xmlns:pic="http://schemas.openxmlformats.org/drawingml/2006/picture">
                  <pic:nvPicPr>
                    <pic:cNvPr id="382" name="IM 382"/>
                    <pic:cNvPicPr/>
                  </pic:nvPicPr>
                  <pic:blipFill>
                    <a:blip r:embed="rId560"/>
                    <a:stretch>
                      <a:fillRect/>
                    </a:stretch>
                  </pic:blipFill>
                  <pic:spPr>
                    <a:xfrm>
                      <a:off x="0" y="0"/>
                      <a:ext cx="2120858" cy="324311"/>
                    </a:xfrm>
                    <a:prstGeom prst="rect">
                      <a:avLst/>
                    </a:prstGeom>
                  </pic:spPr>
                </pic:pic>
              </a:graphicData>
            </a:graphic>
          </wp:inline>
        </w:drawing>
      </w:r>
    </w:p>
    <w:p w14:paraId="258426C5">
      <w:pPr>
        <w:spacing w:before="179" w:line="531" w:lineRule="exact"/>
        <w:ind w:firstLine="1119"/>
      </w:pPr>
      <w:r>
        <w:rPr>
          <w:position w:val="-10"/>
        </w:rPr>
        <w:drawing>
          <wp:inline distT="0" distB="0" distL="0" distR="0">
            <wp:extent cx="3270250" cy="337185"/>
            <wp:effectExtent l="0" t="0" r="0" b="0"/>
            <wp:docPr id="384" name="IM 384"/>
            <wp:cNvGraphicFramePr/>
            <a:graphic xmlns:a="http://schemas.openxmlformats.org/drawingml/2006/main">
              <a:graphicData uri="http://schemas.openxmlformats.org/drawingml/2006/picture">
                <pic:pic xmlns:pic="http://schemas.openxmlformats.org/drawingml/2006/picture">
                  <pic:nvPicPr>
                    <pic:cNvPr id="384" name="IM 384"/>
                    <pic:cNvPicPr/>
                  </pic:nvPicPr>
                  <pic:blipFill>
                    <a:blip r:embed="rId561"/>
                    <a:stretch>
                      <a:fillRect/>
                    </a:stretch>
                  </pic:blipFill>
                  <pic:spPr>
                    <a:xfrm>
                      <a:off x="0" y="0"/>
                      <a:ext cx="3270322" cy="337215"/>
                    </a:xfrm>
                    <a:prstGeom prst="rect">
                      <a:avLst/>
                    </a:prstGeom>
                  </pic:spPr>
                </pic:pic>
              </a:graphicData>
            </a:graphic>
          </wp:inline>
        </w:drawing>
      </w:r>
    </w:p>
    <w:p w14:paraId="591301D7">
      <w:pPr>
        <w:spacing w:before="197" w:line="332" w:lineRule="auto"/>
        <w:ind w:left="689" w:right="79" w:firstLine="430"/>
        <w:rPr>
          <w:rFonts w:ascii="宋体" w:hAnsi="宋体" w:eastAsia="宋体" w:cs="宋体"/>
          <w:sz w:val="20"/>
          <w:szCs w:val="20"/>
        </w:rPr>
      </w:pPr>
      <w:r>
        <w:rPr>
          <w:rFonts w:ascii="宋体" w:hAnsi="宋体" w:eastAsia="宋体" w:cs="宋体"/>
          <w:spacing w:val="1"/>
          <w:sz w:val="20"/>
          <w:szCs w:val="20"/>
        </w:rPr>
        <w:t>这是直接法计算生存率的公式。当观察期较</w:t>
      </w:r>
      <w:r>
        <w:rPr>
          <w:rFonts w:ascii="宋体" w:hAnsi="宋体" w:eastAsia="宋体" w:cs="宋体"/>
          <w:sz w:val="20"/>
          <w:szCs w:val="20"/>
        </w:rPr>
        <w:t xml:space="preserve">长，观察对象加入观察的时间不一致，观察期间因 </w:t>
      </w:r>
      <w:r>
        <w:rPr>
          <w:rFonts w:ascii="宋体" w:hAnsi="宋体" w:eastAsia="宋体" w:cs="宋体"/>
          <w:spacing w:val="-1"/>
          <w:sz w:val="20"/>
          <w:szCs w:val="20"/>
        </w:rPr>
        <w:t>其他原因死亡或失访时，为了充分合理利用研究的资料信息，可用寿命表法进行分析。</w:t>
      </w:r>
    </w:p>
    <w:p w14:paraId="7E068541">
      <w:pPr>
        <w:pStyle w:val="2"/>
        <w:spacing w:before="1" w:line="220" w:lineRule="auto"/>
        <w:ind w:left="1120"/>
        <w:rPr>
          <w:sz w:val="20"/>
          <w:szCs w:val="20"/>
        </w:rPr>
      </w:pPr>
      <w:r>
        <w:rPr>
          <w:spacing w:val="3"/>
          <w:sz w:val="20"/>
          <w:szCs w:val="20"/>
        </w:rPr>
        <w:t>2.</w:t>
      </w:r>
      <w:r>
        <w:rPr>
          <w:spacing w:val="-20"/>
          <w:sz w:val="20"/>
          <w:szCs w:val="20"/>
        </w:rPr>
        <w:t xml:space="preserve"> </w:t>
      </w:r>
      <w:r>
        <w:rPr>
          <w:spacing w:val="3"/>
          <w:sz w:val="20"/>
          <w:szCs w:val="20"/>
        </w:rPr>
        <w:t>评价预防措施效果的主要指标</w:t>
      </w:r>
    </w:p>
    <w:p w14:paraId="6EB60C14">
      <w:pPr>
        <w:spacing w:before="129" w:line="212" w:lineRule="auto"/>
        <w:ind w:left="1110"/>
        <w:rPr>
          <w:rFonts w:ascii="Times New Roman" w:hAnsi="Times New Roman" w:eastAsia="Times New Roman" w:cs="Times New Roman"/>
          <w:sz w:val="20"/>
          <w:szCs w:val="20"/>
        </w:rPr>
      </w:pPr>
      <w:r>
        <w:rPr>
          <w:rFonts w:ascii="宋体" w:hAnsi="宋体" w:eastAsia="宋体" w:cs="宋体"/>
          <w:spacing w:val="10"/>
          <w:sz w:val="20"/>
          <w:szCs w:val="20"/>
        </w:rPr>
        <w:t>(1)保护率</w:t>
      </w:r>
      <w:r>
        <w:rPr>
          <w:rFonts w:ascii="Times New Roman" w:hAnsi="Times New Roman" w:eastAsia="Times New Roman" w:cs="Times New Roman"/>
          <w:spacing w:val="10"/>
          <w:sz w:val="20"/>
          <w:szCs w:val="20"/>
        </w:rPr>
        <w:t>(</w:t>
      </w:r>
      <w:r>
        <w:rPr>
          <w:rFonts w:ascii="Times New Roman" w:hAnsi="Times New Roman" w:eastAsia="Times New Roman" w:cs="Times New Roman"/>
          <w:sz w:val="20"/>
          <w:szCs w:val="20"/>
        </w:rPr>
        <w:t>protective</w:t>
      </w:r>
      <w:r>
        <w:rPr>
          <w:rFonts w:ascii="Times New Roman" w:hAnsi="Times New Roman" w:eastAsia="Times New Roman" w:cs="Times New Roman"/>
          <w:spacing w:val="10"/>
          <w:sz w:val="20"/>
          <w:szCs w:val="20"/>
        </w:rPr>
        <w:t xml:space="preserve">    </w:t>
      </w:r>
      <w:r>
        <w:rPr>
          <w:rFonts w:ascii="Times New Roman" w:hAnsi="Times New Roman" w:eastAsia="Times New Roman" w:cs="Times New Roman"/>
          <w:sz w:val="20"/>
          <w:szCs w:val="20"/>
        </w:rPr>
        <w:t>rate</w:t>
      </w:r>
      <w:r>
        <w:rPr>
          <w:rFonts w:ascii="Times New Roman" w:hAnsi="Times New Roman" w:eastAsia="Times New Roman" w:cs="Times New Roman"/>
          <w:spacing w:val="10"/>
          <w:sz w:val="20"/>
          <w:szCs w:val="20"/>
        </w:rPr>
        <w:t>,</w:t>
      </w:r>
      <w:r>
        <w:rPr>
          <w:rFonts w:ascii="Times New Roman" w:hAnsi="Times New Roman" w:eastAsia="Times New Roman" w:cs="Times New Roman"/>
          <w:sz w:val="20"/>
          <w:szCs w:val="20"/>
        </w:rPr>
        <w:t>PR</w:t>
      </w:r>
      <w:r>
        <w:rPr>
          <w:rFonts w:ascii="Times New Roman" w:hAnsi="Times New Roman" w:eastAsia="Times New Roman" w:cs="Times New Roman"/>
          <w:spacing w:val="10"/>
          <w:sz w:val="20"/>
          <w:szCs w:val="20"/>
        </w:rPr>
        <w:t>)</w:t>
      </w:r>
    </w:p>
    <w:p w14:paraId="2EF43B96">
      <w:pPr>
        <w:spacing w:line="300" w:lineRule="auto"/>
        <w:rPr>
          <w:rFonts w:ascii="Arial"/>
          <w:sz w:val="21"/>
        </w:rPr>
      </w:pPr>
    </w:p>
    <w:p w14:paraId="16334576">
      <w:pPr>
        <w:spacing w:before="1" w:line="553" w:lineRule="exact"/>
        <w:ind w:firstLine="2239"/>
      </w:pPr>
      <w:r>
        <w:rPr>
          <w:position w:val="-11"/>
        </w:rPr>
        <w:drawing>
          <wp:inline distT="0" distB="0" distL="0" distR="0">
            <wp:extent cx="3562350" cy="350520"/>
            <wp:effectExtent l="0" t="0" r="0" b="0"/>
            <wp:docPr id="386" name="IM 386"/>
            <wp:cNvGraphicFramePr/>
            <a:graphic xmlns:a="http://schemas.openxmlformats.org/drawingml/2006/main">
              <a:graphicData uri="http://schemas.openxmlformats.org/drawingml/2006/picture">
                <pic:pic xmlns:pic="http://schemas.openxmlformats.org/drawingml/2006/picture">
                  <pic:nvPicPr>
                    <pic:cNvPr id="386" name="IM 386"/>
                    <pic:cNvPicPr/>
                  </pic:nvPicPr>
                  <pic:blipFill>
                    <a:blip r:embed="rId562"/>
                    <a:stretch>
                      <a:fillRect/>
                    </a:stretch>
                  </pic:blipFill>
                  <pic:spPr>
                    <a:xfrm>
                      <a:off x="0" y="0"/>
                      <a:ext cx="3562681" cy="351071"/>
                    </a:xfrm>
                    <a:prstGeom prst="rect">
                      <a:avLst/>
                    </a:prstGeom>
                  </pic:spPr>
                </pic:pic>
              </a:graphicData>
            </a:graphic>
          </wp:inline>
        </w:drawing>
      </w:r>
    </w:p>
    <w:p w14:paraId="142D4376">
      <w:pPr>
        <w:spacing w:line="553" w:lineRule="exact"/>
        <w:sectPr>
          <w:headerReference r:id="rId132" w:type="default"/>
          <w:footerReference r:id="rId133" w:type="default"/>
          <w:pgSz w:w="11900" w:h="16820"/>
          <w:pgMar w:top="400" w:right="1570" w:bottom="881" w:left="909" w:header="0" w:footer="622" w:gutter="0"/>
          <w:cols w:space="720" w:num="1"/>
        </w:sectPr>
      </w:pPr>
    </w:p>
    <w:p w14:paraId="3FE16FD3">
      <w:pPr>
        <w:spacing w:line="316" w:lineRule="auto"/>
        <w:rPr>
          <w:rFonts w:ascii="Arial"/>
          <w:sz w:val="21"/>
        </w:rPr>
      </w:pPr>
    </w:p>
    <w:p w14:paraId="430C20C2">
      <w:pPr>
        <w:pStyle w:val="2"/>
        <w:spacing w:before="68" w:line="221" w:lineRule="auto"/>
        <w:ind w:left="7389"/>
        <w:rPr>
          <w:sz w:val="21"/>
          <w:szCs w:val="21"/>
        </w:rPr>
      </w:pPr>
      <w:bookmarkStart w:id="185" w:name="bookmark461"/>
      <w:bookmarkEnd w:id="185"/>
      <w:r>
        <w:rPr>
          <w:spacing w:val="-16"/>
          <w:sz w:val="21"/>
          <w:szCs w:val="21"/>
        </w:rPr>
        <w:t>第六章实验流行病学</w:t>
      </w:r>
    </w:p>
    <w:p w14:paraId="765D34AC">
      <w:pPr>
        <w:spacing w:line="299" w:lineRule="auto"/>
        <w:rPr>
          <w:rFonts w:ascii="Arial"/>
          <w:sz w:val="21"/>
        </w:rPr>
      </w:pPr>
    </w:p>
    <w:p w14:paraId="273F4571">
      <w:pPr>
        <w:spacing w:line="299" w:lineRule="auto"/>
        <w:rPr>
          <w:rFonts w:ascii="Arial"/>
          <w:sz w:val="21"/>
        </w:rPr>
      </w:pPr>
    </w:p>
    <w:p w14:paraId="74D23328">
      <w:pPr>
        <w:spacing w:line="630" w:lineRule="exact"/>
        <w:ind w:firstLine="2219"/>
      </w:pPr>
      <w:r>
        <w:rPr>
          <w:position w:val="-12"/>
        </w:rPr>
        <w:drawing>
          <wp:inline distT="0" distB="0" distL="0" distR="0">
            <wp:extent cx="3035300" cy="400050"/>
            <wp:effectExtent l="0" t="0" r="0" b="0"/>
            <wp:docPr id="388" name="IM 388"/>
            <wp:cNvGraphicFramePr/>
            <a:graphic xmlns:a="http://schemas.openxmlformats.org/drawingml/2006/main">
              <a:graphicData uri="http://schemas.openxmlformats.org/drawingml/2006/picture">
                <pic:pic xmlns:pic="http://schemas.openxmlformats.org/drawingml/2006/picture">
                  <pic:nvPicPr>
                    <pic:cNvPr id="388" name="IM 388"/>
                    <pic:cNvPicPr/>
                  </pic:nvPicPr>
                  <pic:blipFill>
                    <a:blip r:embed="rId563"/>
                    <a:stretch>
                      <a:fillRect/>
                    </a:stretch>
                  </pic:blipFill>
                  <pic:spPr>
                    <a:xfrm>
                      <a:off x="0" y="0"/>
                      <a:ext cx="3035483" cy="400098"/>
                    </a:xfrm>
                    <a:prstGeom prst="rect">
                      <a:avLst/>
                    </a:prstGeom>
                  </pic:spPr>
                </pic:pic>
              </a:graphicData>
            </a:graphic>
          </wp:inline>
        </w:drawing>
      </w:r>
    </w:p>
    <w:p w14:paraId="35B51C49">
      <w:pPr>
        <w:spacing w:before="278" w:line="308" w:lineRule="auto"/>
        <w:ind w:left="29" w:right="691" w:hanging="29"/>
        <w:rPr>
          <w:rFonts w:ascii="宋体" w:hAnsi="宋体" w:eastAsia="宋体" w:cs="宋体"/>
          <w:sz w:val="21"/>
          <w:szCs w:val="21"/>
        </w:rPr>
      </w:pPr>
      <w:r>
        <w:rPr>
          <w:rFonts w:ascii="宋体" w:hAnsi="宋体" w:eastAsia="宋体" w:cs="宋体"/>
          <w:spacing w:val="-6"/>
          <w:sz w:val="21"/>
          <w:szCs w:val="21"/>
        </w:rPr>
        <w:t>式中，</w:t>
      </w:r>
      <w:r>
        <w:rPr>
          <w:rFonts w:ascii="Times New Roman" w:hAnsi="Times New Roman" w:eastAsia="Times New Roman" w:cs="Times New Roman"/>
          <w:spacing w:val="-6"/>
          <w:sz w:val="21"/>
          <w:szCs w:val="21"/>
        </w:rPr>
        <w:t>P₁</w:t>
      </w:r>
      <w:r>
        <w:rPr>
          <w:rFonts w:ascii="Times New Roman" w:hAnsi="Times New Roman" w:eastAsia="Times New Roman" w:cs="Times New Roman"/>
          <w:spacing w:val="-29"/>
          <w:sz w:val="21"/>
          <w:szCs w:val="21"/>
        </w:rPr>
        <w:t xml:space="preserve"> </w:t>
      </w:r>
      <w:r>
        <w:rPr>
          <w:rFonts w:ascii="宋体" w:hAnsi="宋体" w:eastAsia="宋体" w:cs="宋体"/>
          <w:spacing w:val="-6"/>
          <w:sz w:val="21"/>
          <w:szCs w:val="21"/>
        </w:rPr>
        <w:t>、</w:t>
      </w:r>
      <w:r>
        <w:rPr>
          <w:rFonts w:ascii="Times New Roman" w:hAnsi="Times New Roman" w:eastAsia="Times New Roman" w:cs="Times New Roman"/>
          <w:spacing w:val="-6"/>
          <w:sz w:val="21"/>
          <w:szCs w:val="21"/>
        </w:rPr>
        <w:t xml:space="preserve">P₂ </w:t>
      </w:r>
      <w:r>
        <w:rPr>
          <w:rFonts w:ascii="宋体" w:hAnsi="宋体" w:eastAsia="宋体" w:cs="宋体"/>
          <w:spacing w:val="-6"/>
          <w:sz w:val="21"/>
          <w:szCs w:val="21"/>
        </w:rPr>
        <w:t>分别为对照组、试验组发病率；</w:t>
      </w:r>
      <w:r>
        <w:rPr>
          <w:rFonts w:ascii="Times New Roman" w:hAnsi="Times New Roman" w:eastAsia="Times New Roman" w:cs="Times New Roman"/>
          <w:spacing w:val="-6"/>
          <w:sz w:val="21"/>
          <w:szCs w:val="21"/>
        </w:rPr>
        <w:t>Q₁</w:t>
      </w:r>
      <w:r>
        <w:rPr>
          <w:rFonts w:ascii="Times New Roman" w:hAnsi="Times New Roman" w:eastAsia="Times New Roman" w:cs="Times New Roman"/>
          <w:spacing w:val="-31"/>
          <w:sz w:val="21"/>
          <w:szCs w:val="21"/>
        </w:rPr>
        <w:t xml:space="preserve"> </w:t>
      </w:r>
      <w:r>
        <w:rPr>
          <w:rFonts w:ascii="宋体" w:hAnsi="宋体" w:eastAsia="宋体" w:cs="宋体"/>
          <w:spacing w:val="-6"/>
          <w:sz w:val="21"/>
          <w:szCs w:val="21"/>
        </w:rPr>
        <w:t>、</w:t>
      </w:r>
      <w:r>
        <w:rPr>
          <w:rFonts w:ascii="Times New Roman" w:hAnsi="Times New Roman" w:eastAsia="Times New Roman" w:cs="Times New Roman"/>
          <w:spacing w:val="-6"/>
          <w:sz w:val="21"/>
          <w:szCs w:val="21"/>
        </w:rPr>
        <w:t>Q₂</w:t>
      </w:r>
      <w:r>
        <w:rPr>
          <w:rFonts w:ascii="宋体" w:hAnsi="宋体" w:eastAsia="宋体" w:cs="宋体"/>
          <w:spacing w:val="-6"/>
          <w:sz w:val="21"/>
          <w:szCs w:val="21"/>
        </w:rPr>
        <w:t>分别为对照组、试验</w:t>
      </w:r>
      <w:r>
        <w:rPr>
          <w:rFonts w:ascii="宋体" w:hAnsi="宋体" w:eastAsia="宋体" w:cs="宋体"/>
          <w:spacing w:val="-7"/>
          <w:sz w:val="21"/>
          <w:szCs w:val="21"/>
        </w:rPr>
        <w:t>组未发病率；</w:t>
      </w:r>
      <w:r>
        <w:rPr>
          <w:rFonts w:ascii="Times New Roman" w:hAnsi="Times New Roman" w:eastAsia="Times New Roman" w:cs="Times New Roman"/>
          <w:spacing w:val="-7"/>
          <w:sz w:val="21"/>
          <w:szCs w:val="21"/>
        </w:rPr>
        <w:t>n</w:t>
      </w:r>
      <w:r>
        <w:rPr>
          <w:rFonts w:ascii="Times New Roman" w:hAnsi="Times New Roman" w:eastAsia="Times New Roman" w:cs="Times New Roman"/>
          <w:spacing w:val="-30"/>
          <w:sz w:val="21"/>
          <w:szCs w:val="21"/>
        </w:rPr>
        <w:t xml:space="preserve"> </w:t>
      </w:r>
      <w:r>
        <w:rPr>
          <w:rFonts w:ascii="宋体" w:hAnsi="宋体" w:eastAsia="宋体" w:cs="宋体"/>
          <w:spacing w:val="-7"/>
          <w:sz w:val="21"/>
          <w:szCs w:val="21"/>
        </w:rPr>
        <w:t>、</w:t>
      </w:r>
      <w:r>
        <w:rPr>
          <w:rFonts w:ascii="Times New Roman" w:hAnsi="Times New Roman" w:eastAsia="Times New Roman" w:cs="Times New Roman"/>
          <w:spacing w:val="-7"/>
          <w:sz w:val="21"/>
          <w:szCs w:val="21"/>
        </w:rPr>
        <w:t xml:space="preserve">n₂ </w:t>
      </w:r>
      <w:r>
        <w:rPr>
          <w:rFonts w:ascii="宋体" w:hAnsi="宋体" w:eastAsia="宋体" w:cs="宋体"/>
          <w:spacing w:val="-7"/>
          <w:sz w:val="21"/>
          <w:szCs w:val="21"/>
        </w:rPr>
        <w:t>分别为对</w:t>
      </w:r>
      <w:r>
        <w:rPr>
          <w:rFonts w:ascii="宋体" w:hAnsi="宋体" w:eastAsia="宋体" w:cs="宋体"/>
          <w:sz w:val="21"/>
          <w:szCs w:val="21"/>
        </w:rPr>
        <w:t xml:space="preserve"> </w:t>
      </w:r>
      <w:r>
        <w:rPr>
          <w:rFonts w:ascii="宋体" w:hAnsi="宋体" w:eastAsia="宋体" w:cs="宋体"/>
          <w:spacing w:val="-3"/>
          <w:sz w:val="21"/>
          <w:szCs w:val="21"/>
        </w:rPr>
        <w:t>照组、试验组人数。</w:t>
      </w:r>
    </w:p>
    <w:p w14:paraId="24F8369B">
      <w:pPr>
        <w:spacing w:line="531" w:lineRule="exact"/>
        <w:ind w:firstLine="419"/>
      </w:pPr>
      <w:r>
        <w:rPr>
          <w:position w:val="-10"/>
        </w:rPr>
        <w:drawing>
          <wp:inline distT="0" distB="0" distL="0" distR="0">
            <wp:extent cx="4457700" cy="337185"/>
            <wp:effectExtent l="0" t="0" r="0" b="0"/>
            <wp:docPr id="390" name="IM 390"/>
            <wp:cNvGraphicFramePr/>
            <a:graphic xmlns:a="http://schemas.openxmlformats.org/drawingml/2006/main">
              <a:graphicData uri="http://schemas.openxmlformats.org/drawingml/2006/picture">
                <pic:pic xmlns:pic="http://schemas.openxmlformats.org/drawingml/2006/picture">
                  <pic:nvPicPr>
                    <pic:cNvPr id="390" name="IM 390"/>
                    <pic:cNvPicPr/>
                  </pic:nvPicPr>
                  <pic:blipFill>
                    <a:blip r:embed="rId564"/>
                    <a:stretch>
                      <a:fillRect/>
                    </a:stretch>
                  </pic:blipFill>
                  <pic:spPr>
                    <a:xfrm>
                      <a:off x="0" y="0"/>
                      <a:ext cx="4457972" cy="337211"/>
                    </a:xfrm>
                    <a:prstGeom prst="rect">
                      <a:avLst/>
                    </a:prstGeom>
                  </pic:spPr>
                </pic:pic>
              </a:graphicData>
            </a:graphic>
          </wp:inline>
        </w:drawing>
      </w:r>
    </w:p>
    <w:p w14:paraId="10607A97">
      <w:pPr>
        <w:spacing w:before="187" w:line="317" w:lineRule="auto"/>
        <w:ind w:left="9" w:right="660" w:firstLine="409"/>
        <w:jc w:val="both"/>
        <w:rPr>
          <w:rFonts w:ascii="宋体" w:hAnsi="宋体" w:eastAsia="宋体" w:cs="宋体"/>
          <w:sz w:val="21"/>
          <w:szCs w:val="21"/>
        </w:rPr>
      </w:pPr>
      <w:r>
        <w:rPr>
          <w:rFonts w:ascii="宋体" w:hAnsi="宋体" w:eastAsia="宋体" w:cs="宋体"/>
          <w:spacing w:val="-3"/>
          <w:sz w:val="21"/>
          <w:szCs w:val="21"/>
        </w:rPr>
        <w:t>此外，治疗措施效果的考核还可用病死率、病程长短、病情轻重及病后携带病原状态、后遗症发</w:t>
      </w:r>
      <w:r>
        <w:rPr>
          <w:rFonts w:ascii="宋体" w:hAnsi="宋体" w:eastAsia="宋体" w:cs="宋体"/>
          <w:spacing w:val="3"/>
          <w:sz w:val="21"/>
          <w:szCs w:val="21"/>
        </w:rPr>
        <w:t xml:space="preserve"> </w:t>
      </w:r>
      <w:r>
        <w:rPr>
          <w:rFonts w:ascii="宋体" w:hAnsi="宋体" w:eastAsia="宋体" w:cs="宋体"/>
          <w:spacing w:val="2"/>
          <w:sz w:val="21"/>
          <w:szCs w:val="21"/>
        </w:rPr>
        <w:t>生率、复发率等指标评价；预防措施效果的考核可用抗体阳转率、抗体滴度几何平均数、病情轻重</w:t>
      </w:r>
      <w:r>
        <w:rPr>
          <w:rFonts w:ascii="宋体" w:hAnsi="宋体" w:eastAsia="宋体" w:cs="宋体"/>
          <w:spacing w:val="3"/>
          <w:sz w:val="21"/>
          <w:szCs w:val="21"/>
        </w:rPr>
        <w:t xml:space="preserve"> </w:t>
      </w:r>
      <w:r>
        <w:rPr>
          <w:rFonts w:ascii="宋体" w:hAnsi="宋体" w:eastAsia="宋体" w:cs="宋体"/>
          <w:sz w:val="21"/>
          <w:szCs w:val="21"/>
        </w:rPr>
        <w:t>变化等指标评价；考核病因预防可用疾病发病率、感染率等指标评价。</w:t>
      </w:r>
    </w:p>
    <w:p w14:paraId="0434BD99">
      <w:pPr>
        <w:spacing w:before="6" w:line="319" w:lineRule="auto"/>
        <w:ind w:left="9" w:right="652" w:firstLine="409"/>
        <w:jc w:val="both"/>
        <w:rPr>
          <w:rFonts w:ascii="宋体" w:hAnsi="宋体" w:eastAsia="宋体" w:cs="宋体"/>
          <w:sz w:val="21"/>
          <w:szCs w:val="21"/>
        </w:rPr>
      </w:pPr>
      <w:r>
        <w:rPr>
          <w:rFonts w:ascii="宋体" w:hAnsi="宋体" w:eastAsia="宋体" w:cs="宋体"/>
          <w:sz w:val="21"/>
          <w:szCs w:val="21"/>
        </w:rPr>
        <w:t>3. 需治疗人数(number</w:t>
      </w:r>
      <w:r>
        <w:rPr>
          <w:rFonts w:ascii="宋体" w:hAnsi="宋体" w:eastAsia="宋体" w:cs="宋体"/>
          <w:spacing w:val="101"/>
          <w:sz w:val="21"/>
          <w:szCs w:val="21"/>
        </w:rPr>
        <w:t xml:space="preserve"> </w:t>
      </w:r>
      <w:r>
        <w:rPr>
          <w:rFonts w:ascii="宋体" w:hAnsi="宋体" w:eastAsia="宋体" w:cs="宋体"/>
          <w:sz w:val="21"/>
          <w:szCs w:val="21"/>
        </w:rPr>
        <w:t>needed  to</w:t>
      </w:r>
      <w:r>
        <w:rPr>
          <w:rFonts w:ascii="宋体" w:hAnsi="宋体" w:eastAsia="宋体" w:cs="宋体"/>
          <w:spacing w:val="93"/>
          <w:sz w:val="21"/>
          <w:szCs w:val="21"/>
        </w:rPr>
        <w:t xml:space="preserve"> </w:t>
      </w:r>
      <w:r>
        <w:rPr>
          <w:rFonts w:ascii="宋体" w:hAnsi="宋体" w:eastAsia="宋体" w:cs="宋体"/>
          <w:sz w:val="21"/>
          <w:szCs w:val="21"/>
        </w:rPr>
        <w:t xml:space="preserve">treat,NNT)RCT数据首先应进行统计学检验，如果差异有 </w:t>
      </w:r>
      <w:r>
        <w:rPr>
          <w:rFonts w:ascii="宋体" w:hAnsi="宋体" w:eastAsia="宋体" w:cs="宋体"/>
          <w:spacing w:val="7"/>
          <w:sz w:val="21"/>
          <w:szCs w:val="21"/>
        </w:rPr>
        <w:t>显著性，仍需结合专业知识，进一步判断措施效果之间是否真的存在差别。但是仅有这种定性的</w:t>
      </w:r>
      <w:r>
        <w:rPr>
          <w:rFonts w:ascii="宋体" w:hAnsi="宋体" w:eastAsia="宋体" w:cs="宋体"/>
          <w:spacing w:val="1"/>
          <w:sz w:val="21"/>
          <w:szCs w:val="21"/>
        </w:rPr>
        <w:t xml:space="preserve"> </w:t>
      </w:r>
      <w:r>
        <w:rPr>
          <w:rFonts w:ascii="宋体" w:hAnsi="宋体" w:eastAsia="宋体" w:cs="宋体"/>
          <w:spacing w:val="7"/>
          <w:sz w:val="21"/>
          <w:szCs w:val="21"/>
        </w:rPr>
        <w:t>研究结论还不足以指导具体的临床实践。因此，选择恰当的指标定量表述疗效</w:t>
      </w:r>
      <w:r>
        <w:rPr>
          <w:rFonts w:ascii="宋体" w:hAnsi="宋体" w:eastAsia="宋体" w:cs="宋体"/>
          <w:spacing w:val="6"/>
          <w:sz w:val="21"/>
          <w:szCs w:val="21"/>
        </w:rPr>
        <w:t>十分必要。1988年</w:t>
      </w:r>
      <w:r>
        <w:rPr>
          <w:rFonts w:ascii="宋体" w:hAnsi="宋体" w:eastAsia="宋体" w:cs="宋体"/>
          <w:sz w:val="21"/>
          <w:szCs w:val="21"/>
        </w:rPr>
        <w:t xml:space="preserve"> </w:t>
      </w:r>
      <w:r>
        <w:rPr>
          <w:rFonts w:ascii="Times New Roman" w:hAnsi="Times New Roman" w:eastAsia="Times New Roman" w:cs="Times New Roman"/>
          <w:spacing w:val="-2"/>
          <w:sz w:val="21"/>
          <w:szCs w:val="21"/>
        </w:rPr>
        <w:t>Laupacis</w:t>
      </w:r>
      <w:r>
        <w:rPr>
          <w:rFonts w:ascii="Times New Roman" w:hAnsi="Times New Roman" w:eastAsia="Times New Roman" w:cs="Times New Roman"/>
          <w:spacing w:val="14"/>
          <w:w w:val="101"/>
          <w:sz w:val="21"/>
          <w:szCs w:val="21"/>
        </w:rPr>
        <w:t xml:space="preserve"> </w:t>
      </w:r>
      <w:r>
        <w:rPr>
          <w:rFonts w:ascii="宋体" w:hAnsi="宋体" w:eastAsia="宋体" w:cs="宋体"/>
          <w:spacing w:val="-2"/>
          <w:sz w:val="21"/>
          <w:szCs w:val="21"/>
        </w:rPr>
        <w:t>等人提出的一个新指标：需治疗人数，具有直观易懂、操作方便、可指导个体病人的临</w:t>
      </w:r>
      <w:r>
        <w:rPr>
          <w:rFonts w:ascii="宋体" w:hAnsi="宋体" w:eastAsia="宋体" w:cs="宋体"/>
          <w:spacing w:val="-3"/>
          <w:sz w:val="21"/>
          <w:szCs w:val="21"/>
        </w:rPr>
        <w:t>床决</w:t>
      </w:r>
      <w:r>
        <w:rPr>
          <w:rFonts w:ascii="宋体" w:hAnsi="宋体" w:eastAsia="宋体" w:cs="宋体"/>
          <w:sz w:val="21"/>
          <w:szCs w:val="21"/>
        </w:rPr>
        <w:t xml:space="preserve"> </w:t>
      </w:r>
      <w:r>
        <w:rPr>
          <w:rFonts w:ascii="宋体" w:hAnsi="宋体" w:eastAsia="宋体" w:cs="宋体"/>
          <w:spacing w:val="10"/>
          <w:sz w:val="21"/>
          <w:szCs w:val="21"/>
        </w:rPr>
        <w:t>策等优点而日益受到重视。</w:t>
      </w:r>
    </w:p>
    <w:p w14:paraId="1BBC19B6">
      <w:pPr>
        <w:spacing w:before="18" w:line="315" w:lineRule="auto"/>
        <w:ind w:left="19" w:right="652" w:firstLine="409"/>
        <w:rPr>
          <w:rFonts w:ascii="宋体" w:hAnsi="宋体" w:eastAsia="宋体" w:cs="宋体"/>
          <w:sz w:val="21"/>
          <w:szCs w:val="21"/>
        </w:rPr>
      </w:pPr>
      <w:r>
        <w:rPr>
          <w:rFonts w:ascii="宋体" w:hAnsi="宋体" w:eastAsia="宋体" w:cs="宋体"/>
          <w:sz w:val="21"/>
          <w:szCs w:val="21"/>
        </w:rPr>
        <w:t>NNT</w:t>
      </w:r>
      <w:r>
        <w:rPr>
          <w:rFonts w:ascii="宋体" w:hAnsi="宋体" w:eastAsia="宋体" w:cs="宋体"/>
          <w:spacing w:val="70"/>
          <w:sz w:val="21"/>
          <w:szCs w:val="21"/>
        </w:rPr>
        <w:t xml:space="preserve"> </w:t>
      </w:r>
      <w:r>
        <w:rPr>
          <w:rFonts w:ascii="宋体" w:hAnsi="宋体" w:eastAsia="宋体" w:cs="宋体"/>
          <w:spacing w:val="9"/>
          <w:sz w:val="21"/>
          <w:szCs w:val="21"/>
        </w:rPr>
        <w:t>指为预防1例不良事件发生，临床医师在一段时间内应用某一疗法需治疗的病人数。从</w:t>
      </w:r>
      <w:r>
        <w:rPr>
          <w:rFonts w:ascii="宋体" w:hAnsi="宋体" w:eastAsia="宋体" w:cs="宋体"/>
          <w:sz w:val="21"/>
          <w:szCs w:val="21"/>
        </w:rPr>
        <w:t xml:space="preserve"> </w:t>
      </w:r>
      <w:r>
        <w:rPr>
          <w:rFonts w:ascii="宋体" w:hAnsi="宋体" w:eastAsia="宋体" w:cs="宋体"/>
          <w:spacing w:val="1"/>
          <w:sz w:val="21"/>
          <w:szCs w:val="21"/>
        </w:rPr>
        <w:t>数学关系上讲，</w:t>
      </w:r>
      <w:r>
        <w:rPr>
          <w:rFonts w:ascii="Times New Roman" w:hAnsi="Times New Roman" w:eastAsia="Times New Roman" w:cs="Times New Roman"/>
          <w:sz w:val="21"/>
          <w:szCs w:val="21"/>
        </w:rPr>
        <w:t>NNT</w:t>
      </w:r>
      <w:r>
        <w:rPr>
          <w:rFonts w:ascii="Times New Roman" w:hAnsi="Times New Roman" w:eastAsia="Times New Roman" w:cs="Times New Roman"/>
          <w:spacing w:val="1"/>
          <w:sz w:val="21"/>
          <w:szCs w:val="21"/>
        </w:rPr>
        <w:t xml:space="preserve"> </w:t>
      </w:r>
      <w:r>
        <w:rPr>
          <w:rFonts w:ascii="宋体" w:hAnsi="宋体" w:eastAsia="宋体" w:cs="宋体"/>
          <w:spacing w:val="1"/>
          <w:sz w:val="21"/>
          <w:szCs w:val="21"/>
        </w:rPr>
        <w:t>等于绝对危险度减少值的倒数。</w:t>
      </w:r>
    </w:p>
    <w:p w14:paraId="53569F56">
      <w:pPr>
        <w:spacing w:before="1" w:line="321" w:lineRule="auto"/>
        <w:ind w:left="29" w:right="650" w:firstLine="399"/>
        <w:jc w:val="both"/>
        <w:rPr>
          <w:rFonts w:ascii="宋体" w:hAnsi="宋体" w:eastAsia="宋体" w:cs="宋体"/>
          <w:sz w:val="21"/>
          <w:szCs w:val="21"/>
        </w:rPr>
      </w:pPr>
      <w:r>
        <w:rPr>
          <w:rFonts w:ascii="宋体" w:hAnsi="宋体" w:eastAsia="宋体" w:cs="宋体"/>
          <w:spacing w:val="7"/>
          <w:sz w:val="21"/>
          <w:szCs w:val="21"/>
        </w:rPr>
        <w:t>假定</w:t>
      </w:r>
      <w:r>
        <w:rPr>
          <w:rFonts w:ascii="宋体" w:hAnsi="宋体" w:eastAsia="宋体" w:cs="宋体"/>
          <w:spacing w:val="-56"/>
          <w:sz w:val="21"/>
          <w:szCs w:val="21"/>
        </w:rPr>
        <w:t xml:space="preserve"> </w:t>
      </w:r>
      <w:r>
        <w:rPr>
          <w:rFonts w:ascii="宋体" w:hAnsi="宋体" w:eastAsia="宋体" w:cs="宋体"/>
          <w:spacing w:val="7"/>
          <w:sz w:val="21"/>
          <w:szCs w:val="21"/>
        </w:rPr>
        <w:t>一</w:t>
      </w:r>
      <w:r>
        <w:rPr>
          <w:rFonts w:ascii="宋体" w:hAnsi="宋体" w:eastAsia="宋体" w:cs="宋体"/>
          <w:spacing w:val="-61"/>
          <w:sz w:val="21"/>
          <w:szCs w:val="21"/>
        </w:rPr>
        <w:t xml:space="preserve"> </w:t>
      </w:r>
      <w:r>
        <w:rPr>
          <w:rFonts w:ascii="宋体" w:hAnsi="宋体" w:eastAsia="宋体" w:cs="宋体"/>
          <w:spacing w:val="7"/>
          <w:sz w:val="21"/>
          <w:szCs w:val="21"/>
        </w:rPr>
        <w:t>个</w:t>
      </w:r>
      <w:r>
        <w:rPr>
          <w:rFonts w:ascii="Times New Roman" w:hAnsi="Times New Roman" w:eastAsia="Times New Roman" w:cs="Times New Roman"/>
          <w:sz w:val="21"/>
          <w:szCs w:val="21"/>
        </w:rPr>
        <w:t>RCT</w:t>
      </w:r>
      <w:r>
        <w:rPr>
          <w:rFonts w:ascii="Times New Roman" w:hAnsi="Times New Roman" w:eastAsia="Times New Roman" w:cs="Times New Roman"/>
          <w:spacing w:val="7"/>
          <w:sz w:val="21"/>
          <w:szCs w:val="21"/>
        </w:rPr>
        <w:t xml:space="preserve">,  </w:t>
      </w:r>
      <w:r>
        <w:rPr>
          <w:rFonts w:ascii="宋体" w:hAnsi="宋体" w:eastAsia="宋体" w:cs="宋体"/>
          <w:spacing w:val="7"/>
          <w:sz w:val="21"/>
          <w:szCs w:val="21"/>
        </w:rPr>
        <w:t>病人被随机分为治疗组和安慰剂对照组，追踪观察一段时间，看两组有害事</w:t>
      </w:r>
      <w:r>
        <w:rPr>
          <w:rFonts w:ascii="宋体" w:hAnsi="宋体" w:eastAsia="宋体" w:cs="宋体"/>
          <w:sz w:val="21"/>
          <w:szCs w:val="21"/>
        </w:rPr>
        <w:t xml:space="preserve"> </w:t>
      </w:r>
      <w:r>
        <w:rPr>
          <w:rFonts w:ascii="宋体" w:hAnsi="宋体" w:eastAsia="宋体" w:cs="宋体"/>
          <w:spacing w:val="9"/>
          <w:sz w:val="21"/>
          <w:szCs w:val="21"/>
        </w:rPr>
        <w:t>件发生的情况。设治疗组事件发生率</w:t>
      </w:r>
      <w:r>
        <w:rPr>
          <w:rFonts w:ascii="Times New Roman" w:hAnsi="Times New Roman" w:eastAsia="Times New Roman" w:cs="Times New Roman"/>
          <w:spacing w:val="9"/>
          <w:sz w:val="21"/>
          <w:szCs w:val="21"/>
        </w:rPr>
        <w:t>(</w:t>
      </w:r>
      <w:r>
        <w:rPr>
          <w:rFonts w:ascii="Times New Roman" w:hAnsi="Times New Roman" w:eastAsia="Times New Roman" w:cs="Times New Roman"/>
          <w:sz w:val="21"/>
          <w:szCs w:val="21"/>
        </w:rPr>
        <w:t>experimental</w:t>
      </w:r>
      <w:r>
        <w:rPr>
          <w:rFonts w:ascii="Times New Roman" w:hAnsi="Times New Roman" w:eastAsia="Times New Roman" w:cs="Times New Roman"/>
          <w:spacing w:val="32"/>
          <w:w w:val="101"/>
          <w:sz w:val="21"/>
          <w:szCs w:val="21"/>
        </w:rPr>
        <w:t xml:space="preserve">  </w:t>
      </w:r>
      <w:r>
        <w:rPr>
          <w:rFonts w:ascii="Times New Roman" w:hAnsi="Times New Roman" w:eastAsia="Times New Roman" w:cs="Times New Roman"/>
          <w:sz w:val="21"/>
          <w:szCs w:val="21"/>
        </w:rPr>
        <w:t>event</w:t>
      </w:r>
      <w:r>
        <w:rPr>
          <w:rFonts w:ascii="Times New Roman" w:hAnsi="Times New Roman" w:eastAsia="Times New Roman" w:cs="Times New Roman"/>
          <w:spacing w:val="21"/>
          <w:w w:val="101"/>
          <w:sz w:val="21"/>
          <w:szCs w:val="21"/>
        </w:rPr>
        <w:t xml:space="preserve">  </w:t>
      </w:r>
      <w:r>
        <w:rPr>
          <w:rFonts w:ascii="Times New Roman" w:hAnsi="Times New Roman" w:eastAsia="Times New Roman" w:cs="Times New Roman"/>
          <w:sz w:val="21"/>
          <w:szCs w:val="21"/>
        </w:rPr>
        <w:t>rate</w:t>
      </w:r>
      <w:r>
        <w:rPr>
          <w:rFonts w:ascii="Times New Roman" w:hAnsi="Times New Roman" w:eastAsia="Times New Roman" w:cs="Times New Roman"/>
          <w:spacing w:val="9"/>
          <w:sz w:val="21"/>
          <w:szCs w:val="21"/>
        </w:rPr>
        <w:t>)</w:t>
      </w:r>
      <w:r>
        <w:rPr>
          <w:rFonts w:ascii="宋体" w:hAnsi="宋体" w:eastAsia="宋体" w:cs="宋体"/>
          <w:spacing w:val="9"/>
          <w:sz w:val="21"/>
          <w:szCs w:val="21"/>
        </w:rPr>
        <w:t>为</w:t>
      </w:r>
      <w:r>
        <w:rPr>
          <w:rFonts w:ascii="Times New Roman" w:hAnsi="Times New Roman" w:eastAsia="Times New Roman" w:cs="Times New Roman"/>
          <w:sz w:val="21"/>
          <w:szCs w:val="21"/>
        </w:rPr>
        <w:t>EER</w:t>
      </w:r>
      <w:r>
        <w:rPr>
          <w:rFonts w:ascii="Times New Roman" w:hAnsi="Times New Roman" w:eastAsia="Times New Roman" w:cs="Times New Roman"/>
          <w:spacing w:val="9"/>
          <w:sz w:val="21"/>
          <w:szCs w:val="21"/>
        </w:rPr>
        <w:t>,</w:t>
      </w:r>
      <w:r>
        <w:rPr>
          <w:rFonts w:ascii="Times New Roman" w:hAnsi="Times New Roman" w:eastAsia="Times New Roman" w:cs="Times New Roman"/>
          <w:spacing w:val="33"/>
          <w:w w:val="101"/>
          <w:sz w:val="21"/>
          <w:szCs w:val="21"/>
        </w:rPr>
        <w:t xml:space="preserve"> </w:t>
      </w:r>
      <w:r>
        <w:rPr>
          <w:rFonts w:ascii="宋体" w:hAnsi="宋体" w:eastAsia="宋体" w:cs="宋体"/>
          <w:spacing w:val="9"/>
          <w:sz w:val="21"/>
          <w:szCs w:val="21"/>
        </w:rPr>
        <w:t>对照组事件发生率</w:t>
      </w:r>
      <w:r>
        <w:rPr>
          <w:rFonts w:ascii="Times New Roman" w:hAnsi="Times New Roman" w:eastAsia="Times New Roman" w:cs="Times New Roman"/>
          <w:spacing w:val="9"/>
          <w:sz w:val="21"/>
          <w:szCs w:val="21"/>
        </w:rPr>
        <w:t>(</w:t>
      </w:r>
      <w:r>
        <w:rPr>
          <w:rFonts w:ascii="Times New Roman" w:hAnsi="Times New Roman" w:eastAsia="Times New Roman" w:cs="Times New Roman"/>
          <w:sz w:val="21"/>
          <w:szCs w:val="21"/>
        </w:rPr>
        <w:t xml:space="preserve">control  </w:t>
      </w:r>
      <w:r>
        <w:rPr>
          <w:rFonts w:ascii="宋体" w:hAnsi="宋体" w:eastAsia="宋体" w:cs="宋体"/>
          <w:spacing w:val="-3"/>
          <w:sz w:val="21"/>
          <w:szCs w:val="21"/>
        </w:rPr>
        <w:t>event rate)为</w:t>
      </w:r>
      <w:r>
        <w:rPr>
          <w:rFonts w:ascii="宋体" w:hAnsi="宋体" w:eastAsia="宋体" w:cs="宋体"/>
          <w:spacing w:val="-26"/>
          <w:sz w:val="21"/>
          <w:szCs w:val="21"/>
        </w:rPr>
        <w:t xml:space="preserve"> </w:t>
      </w:r>
      <w:r>
        <w:rPr>
          <w:rFonts w:ascii="宋体" w:hAnsi="宋体" w:eastAsia="宋体" w:cs="宋体"/>
          <w:spacing w:val="-3"/>
          <w:sz w:val="21"/>
          <w:szCs w:val="21"/>
        </w:rPr>
        <w:t>CER,</w:t>
      </w:r>
      <w:r>
        <w:rPr>
          <w:rFonts w:ascii="宋体" w:hAnsi="宋体" w:eastAsia="宋体" w:cs="宋体"/>
          <w:spacing w:val="41"/>
          <w:sz w:val="21"/>
          <w:szCs w:val="21"/>
        </w:rPr>
        <w:t xml:space="preserve"> </w:t>
      </w:r>
      <w:r>
        <w:rPr>
          <w:rFonts w:ascii="宋体" w:hAnsi="宋体" w:eastAsia="宋体" w:cs="宋体"/>
          <w:spacing w:val="-3"/>
          <w:sz w:val="21"/>
          <w:szCs w:val="21"/>
        </w:rPr>
        <w:t>则危险度指标计算公式如表6-5所示。</w:t>
      </w:r>
    </w:p>
    <w:p w14:paraId="7BFE8E38">
      <w:pPr>
        <w:spacing w:before="175" w:line="218" w:lineRule="auto"/>
        <w:ind w:left="3629"/>
        <w:rPr>
          <w:rFonts w:ascii="宋体" w:hAnsi="宋体" w:eastAsia="宋体" w:cs="宋体"/>
          <w:sz w:val="21"/>
          <w:szCs w:val="21"/>
        </w:rPr>
      </w:pPr>
      <w:r>
        <w:rPr>
          <w:rFonts w:ascii="宋体" w:hAnsi="宋体" w:eastAsia="宋体" w:cs="宋体"/>
          <w:spacing w:val="1"/>
          <w:sz w:val="21"/>
          <w:szCs w:val="21"/>
        </w:rPr>
        <w:t>表6-5危险度评价指标</w:t>
      </w:r>
    </w:p>
    <w:tbl>
      <w:tblPr>
        <w:tblStyle w:val="5"/>
        <w:tblW w:w="9089" w:type="dxa"/>
        <w:tblInd w:w="89"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0" w:type="dxa"/>
          <w:left w:w="0" w:type="dxa"/>
          <w:bottom w:w="0" w:type="dxa"/>
          <w:right w:w="0" w:type="dxa"/>
        </w:tblCellMar>
      </w:tblPr>
      <w:tblGrid>
        <w:gridCol w:w="5340"/>
        <w:gridCol w:w="3749"/>
      </w:tblGrid>
      <w:tr w14:paraId="5A42CCE0">
        <w:trPr>
          <w:trHeight w:val="353" w:hRule="atLeast"/>
        </w:trPr>
        <w:tc>
          <w:tcPr>
            <w:tcW w:w="5340" w:type="dxa"/>
            <w:tcBorders>
              <w:top w:val="single" w:color="000000" w:sz="4" w:space="0"/>
              <w:bottom w:val="single" w:color="000000" w:sz="4" w:space="0"/>
            </w:tcBorders>
            <w:shd w:val="clear" w:color="auto" w:fill="B2B6AC"/>
            <w:vAlign w:val="top"/>
          </w:tcPr>
          <w:p w14:paraId="08AFB48B">
            <w:pPr>
              <w:pStyle w:val="6"/>
              <w:spacing w:before="74" w:line="220" w:lineRule="auto"/>
              <w:ind w:left="2459"/>
              <w:rPr>
                <w:sz w:val="21"/>
                <w:szCs w:val="21"/>
              </w:rPr>
            </w:pPr>
            <w:r>
              <w:rPr>
                <w:spacing w:val="-3"/>
                <w:sz w:val="21"/>
                <w:szCs w:val="21"/>
              </w:rPr>
              <w:t>指标</w:t>
            </w:r>
          </w:p>
        </w:tc>
        <w:tc>
          <w:tcPr>
            <w:tcW w:w="3749" w:type="dxa"/>
            <w:tcBorders>
              <w:top w:val="single" w:color="000000" w:sz="4" w:space="0"/>
              <w:bottom w:val="single" w:color="000000" w:sz="4" w:space="0"/>
            </w:tcBorders>
            <w:shd w:val="clear" w:color="auto" w:fill="B3B6A8"/>
            <w:vAlign w:val="top"/>
          </w:tcPr>
          <w:p w14:paraId="5116D3F7">
            <w:pPr>
              <w:pStyle w:val="6"/>
              <w:spacing w:before="74" w:line="221" w:lineRule="auto"/>
              <w:ind w:left="1659"/>
              <w:rPr>
                <w:sz w:val="21"/>
                <w:szCs w:val="21"/>
              </w:rPr>
            </w:pPr>
            <w:r>
              <w:rPr>
                <w:spacing w:val="4"/>
                <w:sz w:val="21"/>
                <w:szCs w:val="21"/>
              </w:rPr>
              <w:t>公式</w:t>
            </w:r>
          </w:p>
        </w:tc>
      </w:tr>
      <w:tr w14:paraId="344D5B18">
        <w:trPr>
          <w:trHeight w:val="358" w:hRule="atLeast"/>
        </w:trPr>
        <w:tc>
          <w:tcPr>
            <w:tcW w:w="5340" w:type="dxa"/>
            <w:tcBorders>
              <w:top w:val="single" w:color="000000" w:sz="4" w:space="0"/>
              <w:bottom w:val="single" w:color="000000" w:sz="4" w:space="0"/>
            </w:tcBorders>
            <w:vAlign w:val="top"/>
          </w:tcPr>
          <w:p w14:paraId="7AC65342">
            <w:pPr>
              <w:pStyle w:val="6"/>
              <w:spacing w:before="81" w:line="220" w:lineRule="auto"/>
              <w:ind w:left="1929"/>
              <w:rPr>
                <w:sz w:val="21"/>
                <w:szCs w:val="21"/>
              </w:rPr>
            </w:pPr>
            <w:r>
              <w:rPr>
                <w:spacing w:val="6"/>
                <w:sz w:val="21"/>
                <w:szCs w:val="21"/>
              </w:rPr>
              <w:t>相对危险度(</w:t>
            </w:r>
            <w:r>
              <w:rPr>
                <w:sz w:val="21"/>
                <w:szCs w:val="21"/>
              </w:rPr>
              <w:t>RR</w:t>
            </w:r>
            <w:r>
              <w:rPr>
                <w:spacing w:val="6"/>
                <w:sz w:val="21"/>
                <w:szCs w:val="21"/>
              </w:rPr>
              <w:t>)</w:t>
            </w:r>
          </w:p>
        </w:tc>
        <w:tc>
          <w:tcPr>
            <w:tcW w:w="3749" w:type="dxa"/>
            <w:tcBorders>
              <w:top w:val="single" w:color="000000" w:sz="4" w:space="0"/>
              <w:bottom w:val="single" w:color="000000" w:sz="4" w:space="0"/>
            </w:tcBorders>
            <w:vAlign w:val="top"/>
          </w:tcPr>
          <w:p w14:paraId="4CFBB6EE">
            <w:pPr>
              <w:pStyle w:val="6"/>
              <w:spacing w:before="86" w:line="224" w:lineRule="auto"/>
              <w:ind w:left="1500"/>
              <w:rPr>
                <w:sz w:val="21"/>
                <w:szCs w:val="21"/>
              </w:rPr>
            </w:pPr>
            <w:r>
              <w:rPr>
                <w:spacing w:val="-1"/>
                <w:sz w:val="21"/>
                <w:szCs w:val="21"/>
              </w:rPr>
              <w:t>EER/CER</w:t>
            </w:r>
          </w:p>
        </w:tc>
      </w:tr>
      <w:tr w14:paraId="4D523614">
        <w:trPr>
          <w:trHeight w:val="358" w:hRule="atLeast"/>
        </w:trPr>
        <w:tc>
          <w:tcPr>
            <w:tcW w:w="5340" w:type="dxa"/>
            <w:tcBorders>
              <w:top w:val="single" w:color="000000" w:sz="4" w:space="0"/>
              <w:bottom w:val="single" w:color="000000" w:sz="4" w:space="0"/>
            </w:tcBorders>
            <w:shd w:val="clear" w:color="auto" w:fill="DBDDDD"/>
            <w:vAlign w:val="top"/>
          </w:tcPr>
          <w:p w14:paraId="6CA551D4">
            <w:pPr>
              <w:pStyle w:val="6"/>
              <w:spacing w:before="82" w:line="219" w:lineRule="auto"/>
              <w:ind w:left="2040"/>
              <w:rPr>
                <w:sz w:val="21"/>
                <w:szCs w:val="21"/>
              </w:rPr>
            </w:pPr>
            <w:r>
              <w:rPr>
                <w:spacing w:val="7"/>
                <w:sz w:val="21"/>
                <w:szCs w:val="21"/>
              </w:rPr>
              <w:t>效果指数(</w:t>
            </w:r>
            <w:r>
              <w:rPr>
                <w:sz w:val="21"/>
                <w:szCs w:val="21"/>
              </w:rPr>
              <w:t>IE</w:t>
            </w:r>
            <w:r>
              <w:rPr>
                <w:spacing w:val="7"/>
                <w:sz w:val="21"/>
                <w:szCs w:val="21"/>
              </w:rPr>
              <w:t>)</w:t>
            </w:r>
          </w:p>
        </w:tc>
        <w:tc>
          <w:tcPr>
            <w:tcW w:w="3749" w:type="dxa"/>
            <w:tcBorders>
              <w:top w:val="single" w:color="000000" w:sz="4" w:space="0"/>
              <w:bottom w:val="single" w:color="000000" w:sz="4" w:space="0"/>
            </w:tcBorders>
            <w:shd w:val="clear" w:color="auto" w:fill="DDDCD8"/>
            <w:vAlign w:val="top"/>
          </w:tcPr>
          <w:p w14:paraId="69ABBC97">
            <w:pPr>
              <w:pStyle w:val="6"/>
              <w:spacing w:before="88" w:line="224" w:lineRule="auto"/>
              <w:ind w:left="1500"/>
              <w:rPr>
                <w:sz w:val="21"/>
                <w:szCs w:val="21"/>
              </w:rPr>
            </w:pPr>
            <w:r>
              <w:rPr>
                <w:spacing w:val="-1"/>
                <w:sz w:val="21"/>
                <w:szCs w:val="21"/>
              </w:rPr>
              <w:t>CER/EER</w:t>
            </w:r>
          </w:p>
        </w:tc>
      </w:tr>
      <w:tr w14:paraId="2219B40A">
        <w:trPr>
          <w:trHeight w:val="338" w:hRule="atLeast"/>
        </w:trPr>
        <w:tc>
          <w:tcPr>
            <w:tcW w:w="5340" w:type="dxa"/>
            <w:tcBorders>
              <w:top w:val="single" w:color="000000" w:sz="4" w:space="0"/>
              <w:bottom w:val="single" w:color="000000" w:sz="4" w:space="0"/>
            </w:tcBorders>
            <w:vAlign w:val="top"/>
          </w:tcPr>
          <w:p w14:paraId="6AF06747">
            <w:pPr>
              <w:pStyle w:val="6"/>
              <w:spacing w:before="74" w:line="219" w:lineRule="auto"/>
              <w:ind w:left="1140"/>
              <w:rPr>
                <w:sz w:val="21"/>
                <w:szCs w:val="21"/>
              </w:rPr>
            </w:pPr>
            <w:r>
              <w:rPr>
                <w:spacing w:val="3"/>
                <w:sz w:val="21"/>
                <w:szCs w:val="21"/>
              </w:rPr>
              <w:t>相对危险度减少值或保护率(</w:t>
            </w:r>
            <w:r>
              <w:rPr>
                <w:sz w:val="21"/>
                <w:szCs w:val="21"/>
              </w:rPr>
              <w:t>RRR</w:t>
            </w:r>
            <w:r>
              <w:rPr>
                <w:spacing w:val="3"/>
                <w:sz w:val="21"/>
                <w:szCs w:val="21"/>
              </w:rPr>
              <w:t>)</w:t>
            </w:r>
          </w:p>
        </w:tc>
        <w:tc>
          <w:tcPr>
            <w:tcW w:w="3749" w:type="dxa"/>
            <w:tcBorders>
              <w:top w:val="single" w:color="000000" w:sz="4" w:space="0"/>
              <w:bottom w:val="single" w:color="000000" w:sz="4" w:space="0"/>
            </w:tcBorders>
            <w:vAlign w:val="top"/>
          </w:tcPr>
          <w:p w14:paraId="0781F09B">
            <w:pPr>
              <w:pStyle w:val="6"/>
              <w:spacing w:before="80" w:line="218" w:lineRule="auto"/>
              <w:ind w:left="1239"/>
              <w:rPr>
                <w:sz w:val="21"/>
                <w:szCs w:val="21"/>
              </w:rPr>
            </w:pPr>
            <w:r>
              <w:rPr>
                <w:spacing w:val="-1"/>
                <w:sz w:val="21"/>
                <w:szCs w:val="21"/>
              </w:rPr>
              <w:t>CER-EERI/CER</w:t>
            </w:r>
          </w:p>
        </w:tc>
      </w:tr>
      <w:tr w14:paraId="31C956B5">
        <w:trPr>
          <w:trHeight w:val="349" w:hRule="atLeast"/>
        </w:trPr>
        <w:tc>
          <w:tcPr>
            <w:tcW w:w="5340" w:type="dxa"/>
            <w:tcBorders>
              <w:top w:val="single" w:color="000000" w:sz="4" w:space="0"/>
              <w:bottom w:val="single" w:color="000000" w:sz="4" w:space="0"/>
            </w:tcBorders>
            <w:shd w:val="clear" w:color="auto" w:fill="D7D9D7"/>
            <w:vAlign w:val="top"/>
          </w:tcPr>
          <w:p w14:paraId="39ED032D">
            <w:pPr>
              <w:pStyle w:val="6"/>
              <w:spacing w:before="76" w:line="219" w:lineRule="auto"/>
              <w:ind w:left="1559"/>
              <w:rPr>
                <w:sz w:val="21"/>
                <w:szCs w:val="21"/>
              </w:rPr>
            </w:pPr>
            <w:r>
              <w:rPr>
                <w:spacing w:val="5"/>
                <w:sz w:val="21"/>
                <w:szCs w:val="21"/>
              </w:rPr>
              <w:t>绝对危险度减少值(</w:t>
            </w:r>
            <w:r>
              <w:rPr>
                <w:sz w:val="21"/>
                <w:szCs w:val="21"/>
              </w:rPr>
              <w:t>ARR</w:t>
            </w:r>
            <w:r>
              <w:rPr>
                <w:spacing w:val="5"/>
                <w:sz w:val="21"/>
                <w:szCs w:val="21"/>
              </w:rPr>
              <w:t>)</w:t>
            </w:r>
          </w:p>
        </w:tc>
        <w:tc>
          <w:tcPr>
            <w:tcW w:w="3749" w:type="dxa"/>
            <w:tcBorders>
              <w:top w:val="single" w:color="000000" w:sz="4" w:space="0"/>
              <w:bottom w:val="single" w:color="000000" w:sz="4" w:space="0"/>
            </w:tcBorders>
            <w:shd w:val="clear" w:color="auto" w:fill="E0E0DC"/>
            <w:vAlign w:val="top"/>
          </w:tcPr>
          <w:p w14:paraId="0363FFF2">
            <w:pPr>
              <w:pStyle w:val="6"/>
              <w:spacing w:before="130" w:line="183" w:lineRule="auto"/>
              <w:ind w:left="1399"/>
              <w:rPr>
                <w:sz w:val="21"/>
                <w:szCs w:val="21"/>
              </w:rPr>
            </w:pPr>
            <w:r>
              <w:rPr>
                <w:spacing w:val="-3"/>
                <w:sz w:val="21"/>
                <w:szCs w:val="21"/>
              </w:rPr>
              <w:t>ICER-EERI</w:t>
            </w:r>
          </w:p>
        </w:tc>
      </w:tr>
      <w:tr w14:paraId="78BB8A41">
        <w:trPr>
          <w:trHeight w:val="353" w:hRule="atLeast"/>
        </w:trPr>
        <w:tc>
          <w:tcPr>
            <w:tcW w:w="5340" w:type="dxa"/>
            <w:tcBorders>
              <w:top w:val="single" w:color="000000" w:sz="4" w:space="0"/>
              <w:bottom w:val="single" w:color="000000" w:sz="4" w:space="0"/>
            </w:tcBorders>
            <w:vAlign w:val="top"/>
          </w:tcPr>
          <w:p w14:paraId="04F9EFF2">
            <w:pPr>
              <w:pStyle w:val="6"/>
              <w:spacing w:before="77" w:line="219" w:lineRule="auto"/>
              <w:ind w:left="1879"/>
              <w:rPr>
                <w:sz w:val="21"/>
                <w:szCs w:val="21"/>
              </w:rPr>
            </w:pPr>
            <w:r>
              <w:rPr>
                <w:spacing w:val="5"/>
                <w:sz w:val="21"/>
                <w:szCs w:val="21"/>
              </w:rPr>
              <w:t>需治疗人数(</w:t>
            </w:r>
            <w:r>
              <w:rPr>
                <w:sz w:val="21"/>
                <w:szCs w:val="21"/>
              </w:rPr>
              <w:t>NNT</w:t>
            </w:r>
            <w:r>
              <w:rPr>
                <w:spacing w:val="5"/>
                <w:sz w:val="21"/>
                <w:szCs w:val="21"/>
              </w:rPr>
              <w:t>)</w:t>
            </w:r>
          </w:p>
        </w:tc>
        <w:tc>
          <w:tcPr>
            <w:tcW w:w="3749" w:type="dxa"/>
            <w:tcBorders>
              <w:top w:val="single" w:color="000000" w:sz="4" w:space="0"/>
              <w:bottom w:val="single" w:color="000000" w:sz="4" w:space="0"/>
            </w:tcBorders>
            <w:vAlign w:val="top"/>
          </w:tcPr>
          <w:p w14:paraId="09AC2035">
            <w:pPr>
              <w:pStyle w:val="6"/>
              <w:spacing w:before="83" w:line="224" w:lineRule="auto"/>
              <w:ind w:left="1289"/>
              <w:rPr>
                <w:sz w:val="21"/>
                <w:szCs w:val="21"/>
              </w:rPr>
            </w:pPr>
            <w:r>
              <w:rPr>
                <w:spacing w:val="-3"/>
                <w:sz w:val="21"/>
                <w:szCs w:val="21"/>
              </w:rPr>
              <w:t>1/ICER-EERI</w:t>
            </w:r>
          </w:p>
        </w:tc>
      </w:tr>
    </w:tbl>
    <w:p w14:paraId="57200049">
      <w:pPr>
        <w:spacing w:before="1" w:line="320" w:lineRule="auto"/>
        <w:rPr>
          <w:rFonts w:ascii="Arial"/>
          <w:sz w:val="21"/>
        </w:rPr>
      </w:pPr>
    </w:p>
    <w:p w14:paraId="367A252D">
      <w:pPr>
        <w:pStyle w:val="2"/>
        <w:spacing w:before="69" w:line="319" w:lineRule="auto"/>
        <w:ind w:left="19" w:right="631" w:firstLine="409"/>
        <w:jc w:val="both"/>
        <w:rPr>
          <w:rFonts w:ascii="宋体" w:hAnsi="宋体" w:eastAsia="宋体" w:cs="宋体"/>
          <w:sz w:val="21"/>
          <w:szCs w:val="21"/>
        </w:rPr>
      </w:pPr>
      <w:r>
        <w:rPr>
          <w:rFonts w:ascii="宋体" w:hAnsi="宋体" w:eastAsia="宋体" w:cs="宋体"/>
          <w:spacing w:val="6"/>
          <w:sz w:val="21"/>
          <w:szCs w:val="21"/>
        </w:rPr>
        <w:t>4.</w:t>
      </w:r>
      <w:r>
        <w:rPr>
          <w:rFonts w:ascii="宋体" w:hAnsi="宋体" w:eastAsia="宋体" w:cs="宋体"/>
          <w:sz w:val="21"/>
          <w:szCs w:val="21"/>
        </w:rPr>
        <w:t>NNT</w:t>
      </w:r>
      <w:r>
        <w:rPr>
          <w:rFonts w:ascii="宋体" w:hAnsi="宋体" w:eastAsia="宋体" w:cs="宋体"/>
          <w:spacing w:val="6"/>
          <w:sz w:val="21"/>
          <w:szCs w:val="21"/>
        </w:rPr>
        <w:t xml:space="preserve">   </w:t>
      </w:r>
      <w:r>
        <w:rPr>
          <w:spacing w:val="6"/>
          <w:sz w:val="21"/>
          <w:szCs w:val="21"/>
        </w:rPr>
        <w:t xml:space="preserve">与其他指标的比较  </w:t>
      </w:r>
      <w:r>
        <w:rPr>
          <w:rFonts w:ascii="Times New Roman" w:hAnsi="Times New Roman" w:eastAsia="Times New Roman" w:cs="Times New Roman"/>
          <w:sz w:val="21"/>
          <w:szCs w:val="21"/>
        </w:rPr>
        <w:t>C</w:t>
      </w:r>
      <w:r>
        <w:rPr>
          <w:rFonts w:ascii="宋体" w:hAnsi="宋体" w:eastAsia="宋体" w:cs="宋体"/>
          <w:sz w:val="21"/>
          <w:szCs w:val="21"/>
        </w:rPr>
        <w:t>ook</w:t>
      </w:r>
      <w:r>
        <w:rPr>
          <w:rFonts w:ascii="宋体" w:hAnsi="宋体" w:eastAsia="宋体" w:cs="宋体"/>
          <w:spacing w:val="-50"/>
          <w:sz w:val="21"/>
          <w:szCs w:val="21"/>
        </w:rPr>
        <w:t xml:space="preserve"> </w:t>
      </w:r>
      <w:r>
        <w:rPr>
          <w:rFonts w:ascii="宋体" w:hAnsi="宋体" w:eastAsia="宋体" w:cs="宋体"/>
          <w:spacing w:val="6"/>
          <w:sz w:val="21"/>
          <w:szCs w:val="21"/>
        </w:rPr>
        <w:t>等人以一篇对轻、中度高血压进行降压治疗的论文为</w:t>
      </w:r>
      <w:r>
        <w:rPr>
          <w:rFonts w:ascii="宋体" w:hAnsi="宋体" w:eastAsia="宋体" w:cs="宋体"/>
          <w:spacing w:val="5"/>
          <w:sz w:val="21"/>
          <w:szCs w:val="21"/>
        </w:rPr>
        <w:t>例说</w:t>
      </w:r>
      <w:r>
        <w:rPr>
          <w:rFonts w:ascii="宋体" w:hAnsi="宋体" w:eastAsia="宋体" w:cs="宋体"/>
          <w:sz w:val="21"/>
          <w:szCs w:val="21"/>
        </w:rPr>
        <w:t xml:space="preserve"> </w:t>
      </w:r>
      <w:r>
        <w:rPr>
          <w:rFonts w:ascii="宋体" w:hAnsi="宋体" w:eastAsia="宋体" w:cs="宋体"/>
          <w:spacing w:val="7"/>
          <w:sz w:val="21"/>
          <w:szCs w:val="21"/>
        </w:rPr>
        <w:t>明</w:t>
      </w:r>
      <w:r>
        <w:rPr>
          <w:rFonts w:ascii="宋体" w:hAnsi="宋体" w:eastAsia="宋体" w:cs="宋体"/>
          <w:spacing w:val="-24"/>
          <w:sz w:val="21"/>
          <w:szCs w:val="21"/>
        </w:rPr>
        <w:t xml:space="preserve"> </w:t>
      </w:r>
      <w:r>
        <w:rPr>
          <w:rFonts w:ascii="宋体" w:hAnsi="宋体" w:eastAsia="宋体" w:cs="宋体"/>
          <w:sz w:val="21"/>
          <w:szCs w:val="21"/>
        </w:rPr>
        <w:t>NNT</w:t>
      </w:r>
      <w:r>
        <w:rPr>
          <w:rFonts w:ascii="宋体" w:hAnsi="宋体" w:eastAsia="宋体" w:cs="宋体"/>
          <w:spacing w:val="51"/>
          <w:sz w:val="21"/>
          <w:szCs w:val="21"/>
        </w:rPr>
        <w:t xml:space="preserve"> </w:t>
      </w:r>
      <w:r>
        <w:rPr>
          <w:rFonts w:ascii="宋体" w:hAnsi="宋体" w:eastAsia="宋体" w:cs="宋体"/>
          <w:spacing w:val="7"/>
          <w:sz w:val="21"/>
          <w:szCs w:val="21"/>
        </w:rPr>
        <w:t>相对于其他指标的优点。该研究根据进人试验时的舒张压水平将病人分为轻度高血压(舒</w:t>
      </w:r>
      <w:r>
        <w:rPr>
          <w:rFonts w:ascii="宋体" w:hAnsi="宋体" w:eastAsia="宋体" w:cs="宋体"/>
          <w:sz w:val="21"/>
          <w:szCs w:val="21"/>
        </w:rPr>
        <w:t xml:space="preserve"> </w:t>
      </w:r>
      <w:r>
        <w:rPr>
          <w:rFonts w:ascii="宋体" w:hAnsi="宋体" w:eastAsia="宋体" w:cs="宋体"/>
          <w:spacing w:val="10"/>
          <w:sz w:val="21"/>
          <w:szCs w:val="21"/>
        </w:rPr>
        <w:t>张压≤110</w:t>
      </w:r>
      <w:r>
        <w:rPr>
          <w:rFonts w:ascii="Times New Roman" w:hAnsi="Times New Roman" w:eastAsia="Times New Roman" w:cs="Times New Roman"/>
          <w:sz w:val="21"/>
          <w:szCs w:val="21"/>
        </w:rPr>
        <w:t>mmHg</w:t>
      </w:r>
      <w:r>
        <w:rPr>
          <w:rFonts w:ascii="Times New Roman" w:hAnsi="Times New Roman" w:eastAsia="Times New Roman" w:cs="Times New Roman"/>
          <w:spacing w:val="10"/>
          <w:sz w:val="21"/>
          <w:szCs w:val="21"/>
        </w:rPr>
        <w:t xml:space="preserve">) </w:t>
      </w:r>
      <w:r>
        <w:rPr>
          <w:rFonts w:ascii="宋体" w:hAnsi="宋体" w:eastAsia="宋体" w:cs="宋体"/>
          <w:spacing w:val="10"/>
          <w:sz w:val="21"/>
          <w:szCs w:val="21"/>
        </w:rPr>
        <w:t>和中度高血压(舒张压&gt;110~≤115</w:t>
      </w:r>
      <w:r>
        <w:rPr>
          <w:rFonts w:ascii="Times New Roman" w:hAnsi="Times New Roman" w:eastAsia="Times New Roman" w:cs="Times New Roman"/>
          <w:sz w:val="21"/>
          <w:szCs w:val="21"/>
        </w:rPr>
        <w:t>mmHg</w:t>
      </w:r>
      <w:r>
        <w:rPr>
          <w:rFonts w:ascii="Times New Roman" w:hAnsi="Times New Roman" w:eastAsia="Times New Roman" w:cs="Times New Roman"/>
          <w:spacing w:val="10"/>
          <w:sz w:val="21"/>
          <w:szCs w:val="21"/>
        </w:rPr>
        <w:t>)</w:t>
      </w:r>
      <w:r>
        <w:rPr>
          <w:rFonts w:ascii="宋体" w:hAnsi="宋体" w:eastAsia="宋体" w:cs="宋体"/>
          <w:spacing w:val="10"/>
          <w:sz w:val="21"/>
          <w:szCs w:val="21"/>
        </w:rPr>
        <w:t>两层。</w:t>
      </w:r>
      <w:r>
        <w:rPr>
          <w:rFonts w:ascii="宋体" w:hAnsi="宋体" w:eastAsia="宋体" w:cs="宋体"/>
          <w:spacing w:val="9"/>
          <w:sz w:val="21"/>
          <w:szCs w:val="21"/>
        </w:rPr>
        <w:t>每层病人又随机分为降压药和</w:t>
      </w:r>
      <w:r>
        <w:rPr>
          <w:rFonts w:ascii="宋体" w:hAnsi="宋体" w:eastAsia="宋体" w:cs="宋体"/>
          <w:sz w:val="21"/>
          <w:szCs w:val="21"/>
        </w:rPr>
        <w:t xml:space="preserve"> </w:t>
      </w:r>
      <w:r>
        <w:rPr>
          <w:rFonts w:ascii="宋体" w:hAnsi="宋体" w:eastAsia="宋体" w:cs="宋体"/>
          <w:spacing w:val="10"/>
          <w:sz w:val="21"/>
          <w:szCs w:val="21"/>
        </w:rPr>
        <w:t>安慰剂治疗两组。以脑卒中发生作为观察的终点。随访5年</w:t>
      </w:r>
      <w:r>
        <w:rPr>
          <w:rFonts w:ascii="宋体" w:hAnsi="宋体" w:eastAsia="宋体" w:cs="宋体"/>
          <w:spacing w:val="9"/>
          <w:sz w:val="21"/>
          <w:szCs w:val="21"/>
        </w:rPr>
        <w:t>发现，中度高血压病人中对照组与降</w:t>
      </w:r>
      <w:r>
        <w:rPr>
          <w:rFonts w:ascii="宋体" w:hAnsi="宋体" w:eastAsia="宋体" w:cs="宋体"/>
          <w:sz w:val="21"/>
          <w:szCs w:val="21"/>
        </w:rPr>
        <w:t xml:space="preserve"> </w:t>
      </w:r>
      <w:r>
        <w:rPr>
          <w:rFonts w:ascii="宋体" w:hAnsi="宋体" w:eastAsia="宋体" w:cs="宋体"/>
          <w:spacing w:val="13"/>
          <w:sz w:val="21"/>
          <w:szCs w:val="21"/>
        </w:rPr>
        <w:t>压治疗组的脑卒中发生率分别为0.20%和0.12%;轻度高血压病人</w:t>
      </w:r>
      <w:r>
        <w:rPr>
          <w:rFonts w:ascii="宋体" w:hAnsi="宋体" w:eastAsia="宋体" w:cs="宋体"/>
          <w:spacing w:val="12"/>
          <w:sz w:val="21"/>
          <w:szCs w:val="21"/>
        </w:rPr>
        <w:t>中两组发生率分别为0.015%和</w:t>
      </w:r>
      <w:r>
        <w:rPr>
          <w:rFonts w:ascii="宋体" w:hAnsi="宋体" w:eastAsia="宋体" w:cs="宋体"/>
          <w:sz w:val="21"/>
          <w:szCs w:val="21"/>
        </w:rPr>
        <w:t xml:space="preserve"> </w:t>
      </w:r>
      <w:r>
        <w:rPr>
          <w:rFonts w:ascii="宋体" w:hAnsi="宋体" w:eastAsia="宋体" w:cs="宋体"/>
          <w:spacing w:val="7"/>
          <w:sz w:val="21"/>
          <w:szCs w:val="21"/>
        </w:rPr>
        <w:t>0.009%(表6-6)。</w:t>
      </w:r>
    </w:p>
    <w:p w14:paraId="762F4EF7">
      <w:pPr>
        <w:spacing w:before="151" w:line="221" w:lineRule="auto"/>
        <w:ind w:left="2332"/>
        <w:rPr>
          <w:rFonts w:ascii="宋体" w:hAnsi="宋体" w:eastAsia="宋体" w:cs="宋体"/>
          <w:sz w:val="20"/>
          <w:szCs w:val="20"/>
        </w:rPr>
      </w:pPr>
      <w:r>
        <w:rPr>
          <w:rFonts w:ascii="宋体" w:hAnsi="宋体" w:eastAsia="宋体" w:cs="宋体"/>
          <w:b/>
          <w:bCs/>
          <w:spacing w:val="-9"/>
          <w:sz w:val="20"/>
          <w:szCs w:val="20"/>
        </w:rPr>
        <w:t>表6-6</w:t>
      </w:r>
      <w:r>
        <w:rPr>
          <w:rFonts w:ascii="宋体" w:hAnsi="宋体" w:eastAsia="宋体" w:cs="宋体"/>
          <w:spacing w:val="2"/>
          <w:sz w:val="20"/>
          <w:szCs w:val="20"/>
        </w:rPr>
        <w:t xml:space="preserve">       </w:t>
      </w:r>
      <w:r>
        <w:rPr>
          <w:rFonts w:ascii="宋体" w:hAnsi="宋体" w:eastAsia="宋体" w:cs="宋体"/>
          <w:b/>
          <w:bCs/>
          <w:spacing w:val="-9"/>
          <w:sz w:val="20"/>
          <w:szCs w:val="20"/>
        </w:rPr>
        <w:t>高血压病人降压治</w:t>
      </w:r>
      <w:r>
        <w:rPr>
          <w:rFonts w:ascii="宋体" w:hAnsi="宋体" w:eastAsia="宋体" w:cs="宋体"/>
          <w:spacing w:val="-39"/>
          <w:sz w:val="20"/>
          <w:szCs w:val="20"/>
        </w:rPr>
        <w:t xml:space="preserve"> </w:t>
      </w:r>
      <w:r>
        <w:rPr>
          <w:rFonts w:ascii="宋体" w:hAnsi="宋体" w:eastAsia="宋体" w:cs="宋体"/>
          <w:b/>
          <w:bCs/>
          <w:spacing w:val="-9"/>
          <w:sz w:val="20"/>
          <w:szCs w:val="20"/>
        </w:rPr>
        <w:t>疗的疗效分</w:t>
      </w:r>
      <w:r>
        <w:rPr>
          <w:rFonts w:ascii="宋体" w:hAnsi="宋体" w:eastAsia="宋体" w:cs="宋体"/>
          <w:spacing w:val="7"/>
          <w:sz w:val="20"/>
          <w:szCs w:val="20"/>
        </w:rPr>
        <w:t xml:space="preserve">    </w:t>
      </w:r>
      <w:r>
        <w:rPr>
          <w:rFonts w:ascii="宋体" w:hAnsi="宋体" w:eastAsia="宋体" w:cs="宋体"/>
          <w:b/>
          <w:bCs/>
          <w:spacing w:val="-9"/>
          <w:sz w:val="20"/>
          <w:szCs w:val="20"/>
        </w:rPr>
        <w:t>析</w:t>
      </w:r>
    </w:p>
    <w:p w14:paraId="0EA4DFB1">
      <w:pPr>
        <w:spacing w:line="121" w:lineRule="auto"/>
        <w:rPr>
          <w:rFonts w:ascii="Arial"/>
          <w:sz w:val="2"/>
        </w:rPr>
      </w:pPr>
    </w:p>
    <w:tbl>
      <w:tblPr>
        <w:tblStyle w:val="5"/>
        <w:tblW w:w="9139" w:type="dxa"/>
        <w:tblInd w:w="9"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0" w:type="dxa"/>
          <w:left w:w="0" w:type="dxa"/>
          <w:bottom w:w="0" w:type="dxa"/>
          <w:right w:w="0" w:type="dxa"/>
        </w:tblCellMar>
      </w:tblPr>
      <w:tblGrid>
        <w:gridCol w:w="1669"/>
        <w:gridCol w:w="1810"/>
        <w:gridCol w:w="1700"/>
        <w:gridCol w:w="900"/>
        <w:gridCol w:w="1040"/>
        <w:gridCol w:w="1010"/>
        <w:gridCol w:w="1010"/>
      </w:tblGrid>
      <w:tr w14:paraId="409363CF">
        <w:trPr>
          <w:trHeight w:val="382" w:hRule="atLeast"/>
        </w:trPr>
        <w:tc>
          <w:tcPr>
            <w:tcW w:w="1669" w:type="dxa"/>
            <w:vMerge w:val="restart"/>
            <w:tcBorders>
              <w:top w:val="single" w:color="000000" w:sz="4" w:space="0"/>
              <w:bottom w:val="nil"/>
            </w:tcBorders>
            <w:shd w:val="clear" w:color="auto" w:fill="B1BBBD"/>
            <w:vAlign w:val="top"/>
          </w:tcPr>
          <w:p w14:paraId="5B532132">
            <w:pPr>
              <w:pStyle w:val="6"/>
              <w:spacing w:before="273" w:line="219" w:lineRule="auto"/>
              <w:ind w:left="329"/>
            </w:pPr>
            <w:r>
              <w:rPr>
                <w:spacing w:val="2"/>
              </w:rPr>
              <w:t>高血压分型</w:t>
            </w:r>
          </w:p>
        </w:tc>
        <w:tc>
          <w:tcPr>
            <w:tcW w:w="3510" w:type="dxa"/>
            <w:gridSpan w:val="2"/>
            <w:tcBorders>
              <w:top w:val="single" w:color="000000" w:sz="4" w:space="0"/>
            </w:tcBorders>
            <w:shd w:val="clear" w:color="auto" w:fill="AAADAA"/>
            <w:vAlign w:val="top"/>
          </w:tcPr>
          <w:p w14:paraId="302A2D0C">
            <w:pPr>
              <w:pStyle w:val="6"/>
              <w:spacing w:before="93" w:line="219" w:lineRule="auto"/>
              <w:ind w:left="1050"/>
            </w:pPr>
            <w:r>
              <w:rPr>
                <w:spacing w:val="-1"/>
              </w:rPr>
              <w:t>脑卒中发生率1%</w:t>
            </w:r>
          </w:p>
        </w:tc>
        <w:tc>
          <w:tcPr>
            <w:tcW w:w="900" w:type="dxa"/>
            <w:vMerge w:val="restart"/>
            <w:tcBorders>
              <w:top w:val="single" w:color="000000" w:sz="4" w:space="0"/>
              <w:bottom w:val="nil"/>
            </w:tcBorders>
            <w:shd w:val="clear" w:color="auto" w:fill="AAACAA"/>
            <w:vAlign w:val="top"/>
          </w:tcPr>
          <w:p w14:paraId="52725F8B">
            <w:pPr>
              <w:spacing w:line="259" w:lineRule="auto"/>
              <w:rPr>
                <w:rFonts w:ascii="Arial"/>
                <w:sz w:val="21"/>
              </w:rPr>
            </w:pPr>
          </w:p>
          <w:p w14:paraId="769CC101">
            <w:pPr>
              <w:pStyle w:val="6"/>
              <w:spacing w:before="65" w:line="182" w:lineRule="auto"/>
              <w:ind w:left="350"/>
            </w:pPr>
            <w:r>
              <w:rPr>
                <w:spacing w:val="-2"/>
              </w:rPr>
              <w:t>RR</w:t>
            </w:r>
          </w:p>
        </w:tc>
        <w:tc>
          <w:tcPr>
            <w:tcW w:w="1040" w:type="dxa"/>
            <w:vMerge w:val="restart"/>
            <w:tcBorders>
              <w:top w:val="single" w:color="000000" w:sz="4" w:space="0"/>
              <w:bottom w:val="nil"/>
            </w:tcBorders>
            <w:shd w:val="clear" w:color="auto" w:fill="B7B8B5"/>
            <w:vAlign w:val="top"/>
          </w:tcPr>
          <w:p w14:paraId="1C967FA1">
            <w:pPr>
              <w:spacing w:line="259" w:lineRule="auto"/>
              <w:rPr>
                <w:rFonts w:ascii="Arial"/>
                <w:sz w:val="21"/>
              </w:rPr>
            </w:pPr>
          </w:p>
          <w:p w14:paraId="4057D30B">
            <w:pPr>
              <w:pStyle w:val="6"/>
              <w:spacing w:before="65" w:line="182" w:lineRule="auto"/>
              <w:ind w:left="370"/>
            </w:pPr>
            <w:r>
              <w:rPr>
                <w:spacing w:val="-2"/>
              </w:rPr>
              <w:t>RRR</w:t>
            </w:r>
          </w:p>
        </w:tc>
        <w:tc>
          <w:tcPr>
            <w:tcW w:w="1010" w:type="dxa"/>
            <w:vMerge w:val="restart"/>
            <w:tcBorders>
              <w:top w:val="single" w:color="000000" w:sz="4" w:space="0"/>
              <w:bottom w:val="nil"/>
            </w:tcBorders>
            <w:shd w:val="clear" w:color="auto" w:fill="BCBDBA"/>
            <w:vAlign w:val="top"/>
          </w:tcPr>
          <w:p w14:paraId="6F4F28E1">
            <w:pPr>
              <w:spacing w:line="257" w:lineRule="auto"/>
              <w:rPr>
                <w:rFonts w:ascii="Arial"/>
                <w:sz w:val="21"/>
              </w:rPr>
            </w:pPr>
          </w:p>
          <w:p w14:paraId="2A621A7F">
            <w:pPr>
              <w:pStyle w:val="6"/>
              <w:spacing w:before="65" w:line="184" w:lineRule="auto"/>
              <w:ind w:left="350"/>
            </w:pPr>
            <w:r>
              <w:rPr>
                <w:spacing w:val="-1"/>
              </w:rPr>
              <w:t>ARR</w:t>
            </w:r>
          </w:p>
        </w:tc>
        <w:tc>
          <w:tcPr>
            <w:tcW w:w="1010" w:type="dxa"/>
            <w:vMerge w:val="restart"/>
            <w:tcBorders>
              <w:top w:val="single" w:color="000000" w:sz="4" w:space="0"/>
              <w:bottom w:val="nil"/>
            </w:tcBorders>
            <w:shd w:val="clear" w:color="auto" w:fill="BCBDB9"/>
            <w:vAlign w:val="top"/>
          </w:tcPr>
          <w:p w14:paraId="492AA7EC">
            <w:pPr>
              <w:spacing w:line="259" w:lineRule="auto"/>
              <w:rPr>
                <w:rFonts w:ascii="Arial"/>
                <w:sz w:val="21"/>
              </w:rPr>
            </w:pPr>
          </w:p>
          <w:p w14:paraId="1DC96BCB">
            <w:pPr>
              <w:pStyle w:val="6"/>
              <w:spacing w:before="65" w:line="182" w:lineRule="auto"/>
              <w:ind w:left="350"/>
            </w:pPr>
            <w:r>
              <w:rPr>
                <w:spacing w:val="-1"/>
              </w:rPr>
              <w:t>NNT</w:t>
            </w:r>
          </w:p>
        </w:tc>
      </w:tr>
      <w:tr w14:paraId="386C150A">
        <w:trPr>
          <w:trHeight w:val="347" w:hRule="atLeast"/>
        </w:trPr>
        <w:tc>
          <w:tcPr>
            <w:tcW w:w="1669" w:type="dxa"/>
            <w:vMerge w:val="continue"/>
            <w:tcBorders>
              <w:top w:val="nil"/>
              <w:bottom w:val="single" w:color="000000" w:sz="4" w:space="0"/>
            </w:tcBorders>
            <w:vAlign w:val="top"/>
          </w:tcPr>
          <w:p w14:paraId="6DC9E2E6">
            <w:pPr>
              <w:rPr>
                <w:rFonts w:ascii="Arial"/>
                <w:sz w:val="21"/>
              </w:rPr>
            </w:pPr>
          </w:p>
        </w:tc>
        <w:tc>
          <w:tcPr>
            <w:tcW w:w="1810" w:type="dxa"/>
            <w:tcBorders>
              <w:bottom w:val="single" w:color="000000" w:sz="4" w:space="0"/>
            </w:tcBorders>
            <w:shd w:val="clear" w:color="auto" w:fill="AAADAD"/>
            <w:vAlign w:val="top"/>
          </w:tcPr>
          <w:p w14:paraId="3B90D3AB">
            <w:pPr>
              <w:pStyle w:val="6"/>
              <w:spacing w:before="82" w:line="221" w:lineRule="auto"/>
              <w:ind w:left="350"/>
            </w:pPr>
            <w:r>
              <w:rPr>
                <w:spacing w:val="8"/>
              </w:rPr>
              <w:t>对照组(</w:t>
            </w:r>
            <w:r>
              <w:t>CER</w:t>
            </w:r>
            <w:r>
              <w:rPr>
                <w:spacing w:val="8"/>
              </w:rPr>
              <w:t>)</w:t>
            </w:r>
          </w:p>
        </w:tc>
        <w:tc>
          <w:tcPr>
            <w:tcW w:w="1700" w:type="dxa"/>
            <w:tcBorders>
              <w:bottom w:val="single" w:color="000000" w:sz="4" w:space="0"/>
            </w:tcBorders>
            <w:shd w:val="clear" w:color="auto" w:fill="AEB1B1"/>
            <w:vAlign w:val="top"/>
          </w:tcPr>
          <w:p w14:paraId="41BD8D80">
            <w:pPr>
              <w:pStyle w:val="6"/>
              <w:spacing w:before="81" w:line="220" w:lineRule="auto"/>
              <w:ind w:left="300"/>
            </w:pPr>
            <w:r>
              <w:rPr>
                <w:spacing w:val="8"/>
              </w:rPr>
              <w:t>治疗组(</w:t>
            </w:r>
            <w:r>
              <w:t>EER</w:t>
            </w:r>
            <w:r>
              <w:rPr>
                <w:spacing w:val="8"/>
              </w:rPr>
              <w:t>)</w:t>
            </w:r>
          </w:p>
        </w:tc>
        <w:tc>
          <w:tcPr>
            <w:tcW w:w="900" w:type="dxa"/>
            <w:vMerge w:val="continue"/>
            <w:tcBorders>
              <w:top w:val="nil"/>
              <w:bottom w:val="single" w:color="000000" w:sz="4" w:space="0"/>
            </w:tcBorders>
            <w:vAlign w:val="top"/>
          </w:tcPr>
          <w:p w14:paraId="0523F0F9">
            <w:pPr>
              <w:rPr>
                <w:rFonts w:ascii="Arial"/>
                <w:sz w:val="21"/>
              </w:rPr>
            </w:pPr>
          </w:p>
        </w:tc>
        <w:tc>
          <w:tcPr>
            <w:tcW w:w="1040" w:type="dxa"/>
            <w:vMerge w:val="continue"/>
            <w:tcBorders>
              <w:top w:val="nil"/>
              <w:bottom w:val="single" w:color="000000" w:sz="4" w:space="0"/>
            </w:tcBorders>
            <w:vAlign w:val="top"/>
          </w:tcPr>
          <w:p w14:paraId="0D5C5C1B">
            <w:pPr>
              <w:rPr>
                <w:rFonts w:ascii="Arial"/>
                <w:sz w:val="21"/>
              </w:rPr>
            </w:pPr>
          </w:p>
        </w:tc>
        <w:tc>
          <w:tcPr>
            <w:tcW w:w="1010" w:type="dxa"/>
            <w:vMerge w:val="continue"/>
            <w:tcBorders>
              <w:top w:val="nil"/>
              <w:bottom w:val="single" w:color="000000" w:sz="4" w:space="0"/>
            </w:tcBorders>
            <w:vAlign w:val="top"/>
          </w:tcPr>
          <w:p w14:paraId="1F83D561">
            <w:pPr>
              <w:rPr>
                <w:rFonts w:ascii="Arial"/>
                <w:sz w:val="21"/>
              </w:rPr>
            </w:pPr>
          </w:p>
        </w:tc>
        <w:tc>
          <w:tcPr>
            <w:tcW w:w="1010" w:type="dxa"/>
            <w:vMerge w:val="continue"/>
            <w:tcBorders>
              <w:top w:val="nil"/>
              <w:bottom w:val="single" w:color="000000" w:sz="4" w:space="0"/>
            </w:tcBorders>
            <w:vAlign w:val="top"/>
          </w:tcPr>
          <w:p w14:paraId="3ECFFC0A">
            <w:pPr>
              <w:rPr>
                <w:rFonts w:ascii="Arial"/>
                <w:sz w:val="21"/>
              </w:rPr>
            </w:pPr>
          </w:p>
        </w:tc>
      </w:tr>
      <w:tr w14:paraId="262BA297">
        <w:trPr>
          <w:trHeight w:val="348" w:hRule="atLeast"/>
        </w:trPr>
        <w:tc>
          <w:tcPr>
            <w:tcW w:w="1669" w:type="dxa"/>
            <w:tcBorders>
              <w:top w:val="single" w:color="000000" w:sz="4" w:space="0"/>
              <w:bottom w:val="single" w:color="000000" w:sz="4" w:space="0"/>
            </w:tcBorders>
            <w:vAlign w:val="top"/>
          </w:tcPr>
          <w:p w14:paraId="08B2CE85">
            <w:pPr>
              <w:pStyle w:val="6"/>
              <w:spacing w:before="84" w:line="220" w:lineRule="auto"/>
              <w:ind w:left="629"/>
            </w:pPr>
            <w:r>
              <w:rPr>
                <w:spacing w:val="5"/>
              </w:rPr>
              <w:t>中度</w:t>
            </w:r>
          </w:p>
        </w:tc>
        <w:tc>
          <w:tcPr>
            <w:tcW w:w="1810" w:type="dxa"/>
            <w:tcBorders>
              <w:top w:val="single" w:color="000000" w:sz="4" w:space="0"/>
              <w:bottom w:val="single" w:color="000000" w:sz="4" w:space="0"/>
            </w:tcBorders>
            <w:vAlign w:val="top"/>
          </w:tcPr>
          <w:p w14:paraId="0E1701AE">
            <w:pPr>
              <w:pStyle w:val="6"/>
              <w:spacing w:before="104" w:line="216" w:lineRule="auto"/>
              <w:ind w:left="701"/>
            </w:pPr>
            <w:r>
              <w:rPr>
                <w:spacing w:val="-2"/>
              </w:rPr>
              <w:t>0.20</w:t>
            </w:r>
          </w:p>
        </w:tc>
        <w:tc>
          <w:tcPr>
            <w:tcW w:w="1700" w:type="dxa"/>
            <w:tcBorders>
              <w:top w:val="single" w:color="000000" w:sz="4" w:space="0"/>
              <w:bottom w:val="single" w:color="000000" w:sz="4" w:space="0"/>
            </w:tcBorders>
            <w:vAlign w:val="top"/>
          </w:tcPr>
          <w:p w14:paraId="2823E5D0">
            <w:pPr>
              <w:pStyle w:val="6"/>
              <w:spacing w:before="104" w:line="216" w:lineRule="auto"/>
              <w:ind w:left="650"/>
            </w:pPr>
            <w:r>
              <w:rPr>
                <w:spacing w:val="-2"/>
              </w:rPr>
              <w:t>0.12</w:t>
            </w:r>
          </w:p>
        </w:tc>
        <w:tc>
          <w:tcPr>
            <w:tcW w:w="900" w:type="dxa"/>
            <w:tcBorders>
              <w:top w:val="single" w:color="000000" w:sz="4" w:space="0"/>
              <w:bottom w:val="single" w:color="000000" w:sz="4" w:space="0"/>
            </w:tcBorders>
            <w:vAlign w:val="top"/>
          </w:tcPr>
          <w:p w14:paraId="5580FAB5">
            <w:pPr>
              <w:pStyle w:val="6"/>
              <w:spacing w:before="104" w:line="216" w:lineRule="auto"/>
              <w:ind w:left="250"/>
            </w:pPr>
            <w:r>
              <w:rPr>
                <w:spacing w:val="-2"/>
              </w:rPr>
              <w:t>0.60</w:t>
            </w:r>
          </w:p>
        </w:tc>
        <w:tc>
          <w:tcPr>
            <w:tcW w:w="1040" w:type="dxa"/>
            <w:tcBorders>
              <w:top w:val="single" w:color="000000" w:sz="4" w:space="0"/>
              <w:bottom w:val="single" w:color="000000" w:sz="4" w:space="0"/>
            </w:tcBorders>
            <w:vAlign w:val="top"/>
          </w:tcPr>
          <w:p w14:paraId="4EA837D4">
            <w:pPr>
              <w:pStyle w:val="6"/>
              <w:spacing w:before="104" w:line="216" w:lineRule="auto"/>
              <w:ind w:left="320"/>
            </w:pPr>
            <w:r>
              <w:rPr>
                <w:spacing w:val="-2"/>
              </w:rPr>
              <w:t>0.40</w:t>
            </w:r>
          </w:p>
        </w:tc>
        <w:tc>
          <w:tcPr>
            <w:tcW w:w="1010" w:type="dxa"/>
            <w:tcBorders>
              <w:top w:val="single" w:color="000000" w:sz="4" w:space="0"/>
              <w:bottom w:val="single" w:color="000000" w:sz="4" w:space="0"/>
            </w:tcBorders>
            <w:vAlign w:val="top"/>
          </w:tcPr>
          <w:p w14:paraId="335C73A0">
            <w:pPr>
              <w:pStyle w:val="6"/>
              <w:spacing w:before="104" w:line="216" w:lineRule="auto"/>
              <w:ind w:left="250"/>
            </w:pPr>
            <w:r>
              <w:rPr>
                <w:spacing w:val="-2"/>
              </w:rPr>
              <w:t>0.080</w:t>
            </w:r>
          </w:p>
        </w:tc>
        <w:tc>
          <w:tcPr>
            <w:tcW w:w="1010" w:type="dxa"/>
            <w:tcBorders>
              <w:top w:val="single" w:color="000000" w:sz="4" w:space="0"/>
              <w:bottom w:val="single" w:color="000000" w:sz="4" w:space="0"/>
            </w:tcBorders>
            <w:vAlign w:val="top"/>
          </w:tcPr>
          <w:p w14:paraId="467EC293">
            <w:pPr>
              <w:pStyle w:val="6"/>
              <w:spacing w:before="104" w:line="216" w:lineRule="auto"/>
              <w:ind w:left="400"/>
            </w:pPr>
            <w:r>
              <w:rPr>
                <w:spacing w:val="-6"/>
              </w:rPr>
              <w:t>13</w:t>
            </w:r>
          </w:p>
        </w:tc>
      </w:tr>
      <w:tr w14:paraId="28421594">
        <w:trPr>
          <w:trHeight w:val="332" w:hRule="atLeast"/>
        </w:trPr>
        <w:tc>
          <w:tcPr>
            <w:tcW w:w="1669" w:type="dxa"/>
            <w:tcBorders>
              <w:top w:val="single" w:color="000000" w:sz="4" w:space="0"/>
              <w:bottom w:val="single" w:color="000000" w:sz="4" w:space="0"/>
            </w:tcBorders>
            <w:shd w:val="clear" w:color="auto" w:fill="DEDFE7"/>
            <w:vAlign w:val="top"/>
          </w:tcPr>
          <w:p w14:paraId="6C77D4C2">
            <w:pPr>
              <w:pStyle w:val="6"/>
              <w:spacing w:before="76" w:line="219" w:lineRule="auto"/>
              <w:ind w:left="629"/>
            </w:pPr>
            <w:r>
              <w:rPr>
                <w:spacing w:val="5"/>
              </w:rPr>
              <w:t>轻度</w:t>
            </w:r>
          </w:p>
        </w:tc>
        <w:tc>
          <w:tcPr>
            <w:tcW w:w="1810" w:type="dxa"/>
            <w:tcBorders>
              <w:top w:val="single" w:color="000000" w:sz="4" w:space="0"/>
              <w:bottom w:val="single" w:color="000000" w:sz="4" w:space="0"/>
            </w:tcBorders>
            <w:shd w:val="clear" w:color="auto" w:fill="D6D8DC"/>
            <w:vAlign w:val="top"/>
          </w:tcPr>
          <w:p w14:paraId="5FA63B81">
            <w:pPr>
              <w:pStyle w:val="6"/>
              <w:spacing w:before="96" w:line="208" w:lineRule="auto"/>
              <w:ind w:left="650"/>
            </w:pPr>
            <w:r>
              <w:rPr>
                <w:spacing w:val="-2"/>
              </w:rPr>
              <w:t>0.015</w:t>
            </w:r>
          </w:p>
        </w:tc>
        <w:tc>
          <w:tcPr>
            <w:tcW w:w="1700" w:type="dxa"/>
            <w:tcBorders>
              <w:top w:val="single" w:color="000000" w:sz="4" w:space="0"/>
              <w:bottom w:val="single" w:color="000000" w:sz="4" w:space="0"/>
            </w:tcBorders>
            <w:shd w:val="clear" w:color="auto" w:fill="D6D7DB"/>
            <w:vAlign w:val="top"/>
          </w:tcPr>
          <w:p w14:paraId="7D63A846">
            <w:pPr>
              <w:pStyle w:val="6"/>
              <w:spacing w:before="96" w:line="208" w:lineRule="auto"/>
              <w:ind w:left="600"/>
            </w:pPr>
            <w:r>
              <w:rPr>
                <w:spacing w:val="-2"/>
              </w:rPr>
              <w:t>0.009</w:t>
            </w:r>
          </w:p>
        </w:tc>
        <w:tc>
          <w:tcPr>
            <w:tcW w:w="900" w:type="dxa"/>
            <w:tcBorders>
              <w:top w:val="single" w:color="000000" w:sz="4" w:space="0"/>
              <w:bottom w:val="single" w:color="000000" w:sz="4" w:space="0"/>
            </w:tcBorders>
            <w:shd w:val="clear" w:color="auto" w:fill="CFD0D5"/>
            <w:vAlign w:val="top"/>
          </w:tcPr>
          <w:p w14:paraId="66407FC0">
            <w:pPr>
              <w:pStyle w:val="6"/>
              <w:spacing w:before="96" w:line="208" w:lineRule="auto"/>
              <w:ind w:left="250"/>
            </w:pPr>
            <w:r>
              <w:rPr>
                <w:spacing w:val="-2"/>
              </w:rPr>
              <w:t>0.60</w:t>
            </w:r>
          </w:p>
        </w:tc>
        <w:tc>
          <w:tcPr>
            <w:tcW w:w="1040" w:type="dxa"/>
            <w:tcBorders>
              <w:top w:val="single" w:color="000000" w:sz="4" w:space="0"/>
              <w:bottom w:val="single" w:color="000000" w:sz="4" w:space="0"/>
            </w:tcBorders>
            <w:shd w:val="clear" w:color="auto" w:fill="D3D3D8"/>
            <w:vAlign w:val="top"/>
          </w:tcPr>
          <w:p w14:paraId="1EB61F22">
            <w:pPr>
              <w:pStyle w:val="6"/>
              <w:spacing w:before="96" w:line="208" w:lineRule="auto"/>
              <w:ind w:left="320"/>
            </w:pPr>
            <w:r>
              <w:rPr>
                <w:spacing w:val="-2"/>
              </w:rPr>
              <w:t>0.40</w:t>
            </w:r>
          </w:p>
        </w:tc>
        <w:tc>
          <w:tcPr>
            <w:tcW w:w="1010" w:type="dxa"/>
            <w:tcBorders>
              <w:top w:val="single" w:color="000000" w:sz="4" w:space="0"/>
              <w:bottom w:val="single" w:color="000000" w:sz="4" w:space="0"/>
            </w:tcBorders>
            <w:shd w:val="clear" w:color="auto" w:fill="DCDBDD"/>
            <w:vAlign w:val="top"/>
          </w:tcPr>
          <w:p w14:paraId="4989FFBA">
            <w:pPr>
              <w:pStyle w:val="6"/>
              <w:spacing w:before="96" w:line="208" w:lineRule="auto"/>
              <w:ind w:left="250"/>
            </w:pPr>
            <w:r>
              <w:rPr>
                <w:spacing w:val="-2"/>
              </w:rPr>
              <w:t>0.006</w:t>
            </w:r>
          </w:p>
        </w:tc>
        <w:tc>
          <w:tcPr>
            <w:tcW w:w="1010" w:type="dxa"/>
            <w:tcBorders>
              <w:top w:val="single" w:color="000000" w:sz="4" w:space="0"/>
              <w:bottom w:val="single" w:color="000000" w:sz="4" w:space="0"/>
            </w:tcBorders>
            <w:shd w:val="clear" w:color="auto" w:fill="D5D4D5"/>
            <w:vAlign w:val="top"/>
          </w:tcPr>
          <w:p w14:paraId="57CFCFFE">
            <w:pPr>
              <w:pStyle w:val="6"/>
              <w:spacing w:before="96" w:line="208" w:lineRule="auto"/>
              <w:ind w:left="350"/>
            </w:pPr>
            <w:r>
              <w:rPr>
                <w:spacing w:val="-6"/>
              </w:rPr>
              <w:t>167</w:t>
            </w:r>
          </w:p>
        </w:tc>
      </w:tr>
    </w:tbl>
    <w:p w14:paraId="7E243AE8">
      <w:pPr>
        <w:spacing w:line="234" w:lineRule="exact"/>
        <w:rPr>
          <w:rFonts w:ascii="Arial"/>
          <w:sz w:val="20"/>
        </w:rPr>
      </w:pPr>
    </w:p>
    <w:p w14:paraId="72CE3166">
      <w:pPr>
        <w:spacing w:line="234" w:lineRule="exact"/>
        <w:rPr>
          <w:rFonts w:ascii="Arial" w:hAnsi="Arial" w:eastAsia="Arial" w:cs="Arial"/>
          <w:sz w:val="20"/>
          <w:szCs w:val="20"/>
        </w:rPr>
        <w:sectPr>
          <w:footerReference r:id="rId134" w:type="default"/>
          <w:pgSz w:w="11900" w:h="16820"/>
          <w:pgMar w:top="400" w:right="759" w:bottom="850" w:left="1350" w:header="0" w:footer="577" w:gutter="0"/>
          <w:cols w:space="720" w:num="1"/>
        </w:sectPr>
      </w:pPr>
    </w:p>
    <w:p w14:paraId="4CC5842B">
      <w:pPr>
        <w:pStyle w:val="2"/>
        <w:spacing w:before="116" w:line="221" w:lineRule="auto"/>
        <w:ind w:left="699"/>
        <w:rPr>
          <w:sz w:val="20"/>
          <w:szCs w:val="20"/>
        </w:rPr>
      </w:pPr>
      <w:bookmarkStart w:id="186" w:name="bookmark462"/>
      <w:bookmarkEnd w:id="186"/>
      <w:r>
        <w:rPr>
          <w:spacing w:val="-12"/>
          <w:sz w:val="20"/>
          <w:szCs w:val="20"/>
        </w:rPr>
        <w:t>第六章实验流行病学</w:t>
      </w:r>
    </w:p>
    <w:p w14:paraId="1501CE7E">
      <w:pPr>
        <w:spacing w:line="265" w:lineRule="auto"/>
        <w:rPr>
          <w:rFonts w:ascii="Arial"/>
          <w:sz w:val="21"/>
        </w:rPr>
      </w:pPr>
    </w:p>
    <w:p w14:paraId="1C6C1C01">
      <w:pPr>
        <w:spacing w:line="266" w:lineRule="auto"/>
        <w:rPr>
          <w:rFonts w:ascii="Arial"/>
          <w:sz w:val="21"/>
        </w:rPr>
      </w:pPr>
    </w:p>
    <w:p w14:paraId="7AED152D">
      <w:pPr>
        <w:spacing w:before="65" w:line="345" w:lineRule="auto"/>
        <w:ind w:left="699" w:firstLine="420"/>
        <w:jc w:val="both"/>
        <w:rPr>
          <w:rFonts w:ascii="宋体" w:hAnsi="宋体" w:eastAsia="宋体" w:cs="宋体"/>
          <w:sz w:val="20"/>
          <w:szCs w:val="20"/>
        </w:rPr>
      </w:pPr>
      <w:r>
        <w:rPr>
          <w:rFonts w:ascii="宋体" w:hAnsi="宋体" w:eastAsia="宋体" w:cs="宋体"/>
          <w:spacing w:val="6"/>
          <w:sz w:val="20"/>
          <w:szCs w:val="20"/>
        </w:rPr>
        <w:t>该研究中，中度高血压病人未治疗时的脑卒中发</w:t>
      </w:r>
      <w:r>
        <w:rPr>
          <w:rFonts w:ascii="宋体" w:hAnsi="宋体" w:eastAsia="宋体" w:cs="宋体"/>
          <w:spacing w:val="5"/>
          <w:sz w:val="20"/>
          <w:szCs w:val="20"/>
        </w:rPr>
        <w:t>病危险[又称为基线危险</w:t>
      </w:r>
      <w:r>
        <w:rPr>
          <w:rFonts w:ascii="Times New Roman" w:hAnsi="Times New Roman" w:eastAsia="Times New Roman" w:cs="Times New Roman"/>
          <w:spacing w:val="5"/>
          <w:sz w:val="20"/>
          <w:szCs w:val="20"/>
        </w:rPr>
        <w:t>(</w:t>
      </w:r>
      <w:r>
        <w:rPr>
          <w:rFonts w:ascii="Times New Roman" w:hAnsi="Times New Roman" w:eastAsia="Times New Roman" w:cs="Times New Roman"/>
          <w:sz w:val="20"/>
          <w:szCs w:val="20"/>
        </w:rPr>
        <w:t>baseline</w:t>
      </w:r>
      <w:r>
        <w:rPr>
          <w:rFonts w:ascii="Times New Roman" w:hAnsi="Times New Roman" w:eastAsia="Times New Roman" w:cs="Times New Roman"/>
          <w:spacing w:val="5"/>
          <w:sz w:val="20"/>
          <w:szCs w:val="20"/>
        </w:rPr>
        <w:t xml:space="preserve">     </w:t>
      </w:r>
      <w:r>
        <w:rPr>
          <w:rFonts w:ascii="Times New Roman" w:hAnsi="Times New Roman" w:eastAsia="Times New Roman" w:cs="Times New Roman"/>
          <w:sz w:val="20"/>
          <w:szCs w:val="20"/>
        </w:rPr>
        <w:t>risk</w:t>
      </w:r>
      <w:r>
        <w:rPr>
          <w:rFonts w:ascii="Times New Roman" w:hAnsi="Times New Roman" w:eastAsia="Times New Roman" w:cs="Times New Roman"/>
          <w:spacing w:val="5"/>
          <w:sz w:val="20"/>
          <w:szCs w:val="20"/>
        </w:rPr>
        <w:t>)]</w:t>
      </w:r>
      <w:r>
        <w:rPr>
          <w:rFonts w:ascii="宋体" w:hAnsi="宋体" w:eastAsia="宋体" w:cs="宋体"/>
          <w:spacing w:val="5"/>
          <w:sz w:val="20"/>
          <w:szCs w:val="20"/>
        </w:rPr>
        <w:t>是轻</w:t>
      </w:r>
      <w:r>
        <w:rPr>
          <w:rFonts w:ascii="宋体" w:hAnsi="宋体" w:eastAsia="宋体" w:cs="宋体"/>
          <w:sz w:val="20"/>
          <w:szCs w:val="20"/>
        </w:rPr>
        <w:t xml:space="preserve"> </w:t>
      </w:r>
      <w:r>
        <w:rPr>
          <w:rFonts w:ascii="宋体" w:hAnsi="宋体" w:eastAsia="宋体" w:cs="宋体"/>
          <w:spacing w:val="10"/>
          <w:sz w:val="20"/>
          <w:szCs w:val="20"/>
        </w:rPr>
        <w:t>度病人的13倍，但两型病人的</w:t>
      </w:r>
      <w:r>
        <w:rPr>
          <w:rFonts w:ascii="Times New Roman" w:hAnsi="Times New Roman" w:eastAsia="Times New Roman" w:cs="Times New Roman"/>
          <w:sz w:val="20"/>
          <w:szCs w:val="20"/>
        </w:rPr>
        <w:t>RR</w:t>
      </w:r>
      <w:r>
        <w:rPr>
          <w:rFonts w:ascii="Times New Roman" w:hAnsi="Times New Roman" w:eastAsia="Times New Roman" w:cs="Times New Roman"/>
          <w:spacing w:val="10"/>
          <w:sz w:val="20"/>
          <w:szCs w:val="20"/>
        </w:rPr>
        <w:t xml:space="preserve"> </w:t>
      </w:r>
      <w:r>
        <w:rPr>
          <w:rFonts w:ascii="宋体" w:hAnsi="宋体" w:eastAsia="宋体" w:cs="宋体"/>
          <w:spacing w:val="10"/>
          <w:sz w:val="20"/>
          <w:szCs w:val="20"/>
        </w:rPr>
        <w:t>均为0.60,</w:t>
      </w:r>
      <w:r>
        <w:rPr>
          <w:rFonts w:ascii="Times New Roman" w:hAnsi="Times New Roman" w:eastAsia="Times New Roman" w:cs="Times New Roman"/>
          <w:sz w:val="20"/>
          <w:szCs w:val="20"/>
        </w:rPr>
        <w:t>RRR</w:t>
      </w:r>
      <w:r>
        <w:rPr>
          <w:rFonts w:ascii="Times New Roman" w:hAnsi="Times New Roman" w:eastAsia="Times New Roman" w:cs="Times New Roman"/>
          <w:spacing w:val="31"/>
          <w:w w:val="101"/>
          <w:sz w:val="20"/>
          <w:szCs w:val="20"/>
        </w:rPr>
        <w:t xml:space="preserve"> </w:t>
      </w:r>
      <w:r>
        <w:rPr>
          <w:rFonts w:ascii="宋体" w:hAnsi="宋体" w:eastAsia="宋体" w:cs="宋体"/>
          <w:spacing w:val="10"/>
          <w:sz w:val="20"/>
          <w:szCs w:val="20"/>
        </w:rPr>
        <w:t>均为0.40。可见相对危险度指标不考虑病人既</w:t>
      </w:r>
      <w:r>
        <w:rPr>
          <w:rFonts w:ascii="宋体" w:hAnsi="宋体" w:eastAsia="宋体" w:cs="宋体"/>
          <w:sz w:val="20"/>
          <w:szCs w:val="20"/>
        </w:rPr>
        <w:t xml:space="preserve"> </w:t>
      </w:r>
      <w:r>
        <w:rPr>
          <w:rFonts w:ascii="宋体" w:hAnsi="宋体" w:eastAsia="宋体" w:cs="宋体"/>
          <w:spacing w:val="3"/>
          <w:sz w:val="20"/>
          <w:szCs w:val="20"/>
        </w:rPr>
        <w:t>往病史，亦不能反映未治疗的危险，而在临床实践中，作出治疗决定之前考虑这些因素是非常重要</w:t>
      </w:r>
      <w:r>
        <w:rPr>
          <w:rFonts w:ascii="宋体" w:hAnsi="宋体" w:eastAsia="宋体" w:cs="宋体"/>
          <w:spacing w:val="9"/>
          <w:sz w:val="20"/>
          <w:szCs w:val="20"/>
        </w:rPr>
        <w:t xml:space="preserve"> </w:t>
      </w:r>
      <w:r>
        <w:rPr>
          <w:rFonts w:ascii="宋体" w:hAnsi="宋体" w:eastAsia="宋体" w:cs="宋体"/>
          <w:spacing w:val="8"/>
          <w:sz w:val="20"/>
          <w:szCs w:val="20"/>
        </w:rPr>
        <w:t>的。例如，对于中重度高血压病人，服用某种降压药物可以使脑卒中</w:t>
      </w:r>
      <w:r>
        <w:rPr>
          <w:rFonts w:ascii="宋体" w:hAnsi="宋体" w:eastAsia="宋体" w:cs="宋体"/>
          <w:spacing w:val="7"/>
          <w:sz w:val="20"/>
          <w:szCs w:val="20"/>
        </w:rPr>
        <w:t>的发病率降低40%,即保护率</w:t>
      </w:r>
      <w:r>
        <w:rPr>
          <w:rFonts w:ascii="宋体" w:hAnsi="宋体" w:eastAsia="宋体" w:cs="宋体"/>
          <w:sz w:val="20"/>
          <w:szCs w:val="20"/>
        </w:rPr>
        <w:t xml:space="preserve"> </w:t>
      </w:r>
      <w:r>
        <w:rPr>
          <w:rFonts w:ascii="宋体" w:hAnsi="宋体" w:eastAsia="宋体" w:cs="宋体"/>
          <w:spacing w:val="10"/>
          <w:sz w:val="20"/>
          <w:szCs w:val="20"/>
        </w:rPr>
        <w:t>为40%,具有统计学意义和临床重要性。但对于轻度高血压病人而言，降低4</w:t>
      </w:r>
      <w:r>
        <w:rPr>
          <w:rFonts w:ascii="宋体" w:hAnsi="宋体" w:eastAsia="宋体" w:cs="宋体"/>
          <w:spacing w:val="9"/>
          <w:sz w:val="20"/>
          <w:szCs w:val="20"/>
        </w:rPr>
        <w:t>0%的危险度可能还不</w:t>
      </w:r>
      <w:r>
        <w:rPr>
          <w:rFonts w:ascii="宋体" w:hAnsi="宋体" w:eastAsia="宋体" w:cs="宋体"/>
          <w:sz w:val="20"/>
          <w:szCs w:val="20"/>
        </w:rPr>
        <w:t xml:space="preserve"> </w:t>
      </w:r>
      <w:r>
        <w:rPr>
          <w:rFonts w:ascii="宋体" w:hAnsi="宋体" w:eastAsia="宋体" w:cs="宋体"/>
          <w:spacing w:val="9"/>
          <w:sz w:val="20"/>
          <w:szCs w:val="20"/>
        </w:rPr>
        <w:t>足以抵消治疗的副作用和费用消耗。因此当有害事件的基</w:t>
      </w:r>
      <w:r>
        <w:rPr>
          <w:rFonts w:ascii="宋体" w:hAnsi="宋体" w:eastAsia="宋体" w:cs="宋体"/>
          <w:spacing w:val="8"/>
          <w:sz w:val="20"/>
          <w:szCs w:val="20"/>
        </w:rPr>
        <w:t>线危险很低或很高时，仅用相对危险度</w:t>
      </w:r>
      <w:r>
        <w:rPr>
          <w:rFonts w:ascii="宋体" w:hAnsi="宋体" w:eastAsia="宋体" w:cs="宋体"/>
          <w:sz w:val="20"/>
          <w:szCs w:val="20"/>
        </w:rPr>
        <w:t xml:space="preserve"> </w:t>
      </w:r>
      <w:r>
        <w:rPr>
          <w:rFonts w:ascii="宋体" w:hAnsi="宋体" w:eastAsia="宋体" w:cs="宋体"/>
          <w:spacing w:val="6"/>
          <w:sz w:val="20"/>
          <w:szCs w:val="20"/>
        </w:rPr>
        <w:t>指标会高估或低估治疗的绝对影响。</w:t>
      </w:r>
    </w:p>
    <w:p w14:paraId="01BB2379">
      <w:pPr>
        <w:spacing w:before="44" w:line="347" w:lineRule="auto"/>
        <w:ind w:left="699" w:right="19" w:firstLine="420"/>
        <w:jc w:val="both"/>
        <w:rPr>
          <w:rFonts w:ascii="宋体" w:hAnsi="宋体" w:eastAsia="宋体" w:cs="宋体"/>
          <w:sz w:val="20"/>
          <w:szCs w:val="20"/>
        </w:rPr>
      </w:pPr>
      <w:r>
        <w:rPr>
          <w:rFonts w:ascii="宋体" w:hAnsi="宋体" w:eastAsia="宋体" w:cs="宋体"/>
          <w:spacing w:val="6"/>
          <w:sz w:val="20"/>
          <w:szCs w:val="20"/>
        </w:rPr>
        <w:t>绝对危险度指标则考虑了病人基线危险的不同，如本例中度和轻度高血压病人的</w:t>
      </w:r>
      <w:r>
        <w:rPr>
          <w:rFonts w:ascii="Times New Roman" w:hAnsi="Times New Roman" w:eastAsia="Times New Roman" w:cs="Times New Roman"/>
          <w:sz w:val="20"/>
          <w:szCs w:val="20"/>
        </w:rPr>
        <w:t>ARR</w:t>
      </w:r>
      <w:r>
        <w:rPr>
          <w:rFonts w:ascii="Times New Roman" w:hAnsi="Times New Roman" w:eastAsia="Times New Roman" w:cs="Times New Roman"/>
          <w:spacing w:val="29"/>
          <w:w w:val="101"/>
          <w:sz w:val="20"/>
          <w:szCs w:val="20"/>
        </w:rPr>
        <w:t xml:space="preserve"> </w:t>
      </w:r>
      <w:r>
        <w:rPr>
          <w:rFonts w:ascii="宋体" w:hAnsi="宋体" w:eastAsia="宋体" w:cs="宋体"/>
          <w:spacing w:val="6"/>
          <w:sz w:val="20"/>
          <w:szCs w:val="20"/>
        </w:rPr>
        <w:t>分别为</w:t>
      </w:r>
      <w:r>
        <w:rPr>
          <w:rFonts w:ascii="宋体" w:hAnsi="宋体" w:eastAsia="宋体" w:cs="宋体"/>
          <w:sz w:val="20"/>
          <w:szCs w:val="20"/>
        </w:rPr>
        <w:t xml:space="preserve"> </w:t>
      </w:r>
      <w:r>
        <w:rPr>
          <w:rFonts w:ascii="宋体" w:hAnsi="宋体" w:eastAsia="宋体" w:cs="宋体"/>
          <w:spacing w:val="9"/>
          <w:sz w:val="20"/>
          <w:szCs w:val="20"/>
        </w:rPr>
        <w:t>0.080和0.006,二者相比也是13倍。但该指标以小数或分数的形式表示，不易被医师和病人所理</w:t>
      </w:r>
      <w:r>
        <w:rPr>
          <w:rFonts w:ascii="宋体" w:hAnsi="宋体" w:eastAsia="宋体" w:cs="宋体"/>
          <w:spacing w:val="4"/>
          <w:sz w:val="20"/>
          <w:szCs w:val="20"/>
        </w:rPr>
        <w:t xml:space="preserve"> </w:t>
      </w:r>
      <w:r>
        <w:rPr>
          <w:rFonts w:ascii="宋体" w:hAnsi="宋体" w:eastAsia="宋体" w:cs="宋体"/>
          <w:spacing w:val="10"/>
          <w:sz w:val="20"/>
          <w:szCs w:val="20"/>
        </w:rPr>
        <w:t>解，难以用于临床实践。而</w:t>
      </w:r>
      <w:r>
        <w:rPr>
          <w:rFonts w:ascii="Times New Roman" w:hAnsi="Times New Roman" w:eastAsia="Times New Roman" w:cs="Times New Roman"/>
          <w:sz w:val="20"/>
          <w:szCs w:val="20"/>
        </w:rPr>
        <w:t>ARR</w:t>
      </w:r>
      <w:r>
        <w:rPr>
          <w:rFonts w:ascii="Times New Roman" w:hAnsi="Times New Roman" w:eastAsia="Times New Roman" w:cs="Times New Roman"/>
          <w:spacing w:val="29"/>
          <w:sz w:val="20"/>
          <w:szCs w:val="20"/>
        </w:rPr>
        <w:t xml:space="preserve"> </w:t>
      </w:r>
      <w:r>
        <w:rPr>
          <w:rFonts w:ascii="宋体" w:hAnsi="宋体" w:eastAsia="宋体" w:cs="宋体"/>
          <w:spacing w:val="10"/>
          <w:sz w:val="20"/>
          <w:szCs w:val="20"/>
        </w:rPr>
        <w:t>的倒数，即</w:t>
      </w:r>
      <w:r>
        <w:rPr>
          <w:rFonts w:ascii="Times New Roman" w:hAnsi="Times New Roman" w:eastAsia="Times New Roman" w:cs="Times New Roman"/>
          <w:sz w:val="20"/>
          <w:szCs w:val="20"/>
        </w:rPr>
        <w:t>NNT</w:t>
      </w:r>
      <w:r>
        <w:rPr>
          <w:rFonts w:ascii="Times New Roman" w:hAnsi="Times New Roman" w:eastAsia="Times New Roman" w:cs="Times New Roman"/>
          <w:spacing w:val="10"/>
          <w:sz w:val="20"/>
          <w:szCs w:val="20"/>
        </w:rPr>
        <w:t xml:space="preserve"> </w:t>
      </w:r>
      <w:r>
        <w:rPr>
          <w:rFonts w:ascii="宋体" w:hAnsi="宋体" w:eastAsia="宋体" w:cs="宋体"/>
          <w:spacing w:val="10"/>
          <w:sz w:val="20"/>
          <w:szCs w:val="20"/>
        </w:rPr>
        <w:t>约为13,它说明为预防1</w:t>
      </w:r>
      <w:r>
        <w:rPr>
          <w:rFonts w:ascii="宋体" w:hAnsi="宋体" w:eastAsia="宋体" w:cs="宋体"/>
          <w:spacing w:val="9"/>
          <w:sz w:val="20"/>
          <w:szCs w:val="20"/>
        </w:rPr>
        <w:t>例脑卒中发生，医师需</w:t>
      </w:r>
      <w:r>
        <w:rPr>
          <w:rFonts w:ascii="宋体" w:hAnsi="宋体" w:eastAsia="宋体" w:cs="宋体"/>
          <w:sz w:val="20"/>
          <w:szCs w:val="20"/>
        </w:rPr>
        <w:t xml:space="preserve"> </w:t>
      </w:r>
      <w:r>
        <w:rPr>
          <w:rFonts w:ascii="宋体" w:hAnsi="宋体" w:eastAsia="宋体" w:cs="宋体"/>
          <w:spacing w:val="4"/>
          <w:sz w:val="20"/>
          <w:szCs w:val="20"/>
        </w:rPr>
        <w:t>对13个中度高血压病人治疗5年，这较</w:t>
      </w:r>
      <w:r>
        <w:rPr>
          <w:rFonts w:ascii="宋体" w:hAnsi="宋体" w:eastAsia="宋体" w:cs="宋体"/>
          <w:sz w:val="20"/>
          <w:szCs w:val="20"/>
        </w:rPr>
        <w:t>ARR</w:t>
      </w:r>
      <w:r>
        <w:rPr>
          <w:rFonts w:ascii="宋体" w:hAnsi="宋体" w:eastAsia="宋体" w:cs="宋体"/>
          <w:spacing w:val="4"/>
          <w:sz w:val="20"/>
          <w:szCs w:val="20"/>
        </w:rPr>
        <w:t>=0.080 直观易懂、易被接受。此外，</w:t>
      </w:r>
      <w:r>
        <w:rPr>
          <w:rFonts w:ascii="宋体" w:hAnsi="宋体" w:eastAsia="宋体" w:cs="宋体"/>
          <w:sz w:val="20"/>
          <w:szCs w:val="20"/>
        </w:rPr>
        <w:t>NNT</w:t>
      </w:r>
      <w:r>
        <w:rPr>
          <w:rFonts w:ascii="宋体" w:hAnsi="宋体" w:eastAsia="宋体" w:cs="宋体"/>
          <w:spacing w:val="61"/>
          <w:sz w:val="20"/>
          <w:szCs w:val="20"/>
        </w:rPr>
        <w:t xml:space="preserve"> </w:t>
      </w:r>
      <w:r>
        <w:rPr>
          <w:rFonts w:ascii="宋体" w:hAnsi="宋体" w:eastAsia="宋体" w:cs="宋体"/>
          <w:spacing w:val="4"/>
          <w:sz w:val="20"/>
          <w:szCs w:val="20"/>
        </w:rPr>
        <w:t>比相对效应评</w:t>
      </w:r>
      <w:r>
        <w:rPr>
          <w:rFonts w:ascii="宋体" w:hAnsi="宋体" w:eastAsia="宋体" w:cs="宋体"/>
          <w:sz w:val="20"/>
          <w:szCs w:val="20"/>
        </w:rPr>
        <w:t xml:space="preserve"> </w:t>
      </w:r>
      <w:r>
        <w:rPr>
          <w:rFonts w:ascii="宋体" w:hAnsi="宋体" w:eastAsia="宋体" w:cs="宋体"/>
          <w:spacing w:val="8"/>
          <w:sz w:val="20"/>
          <w:szCs w:val="20"/>
        </w:rPr>
        <w:t>价指标优越之处还可以从轻、中度高血压病人的比较中看出。降压治疗对两型病人的保护率均为</w:t>
      </w:r>
      <w:r>
        <w:rPr>
          <w:rFonts w:ascii="宋体" w:hAnsi="宋体" w:eastAsia="宋体" w:cs="宋体"/>
          <w:spacing w:val="2"/>
          <w:sz w:val="20"/>
          <w:szCs w:val="20"/>
        </w:rPr>
        <w:t xml:space="preserve"> </w:t>
      </w:r>
      <w:r>
        <w:rPr>
          <w:rFonts w:ascii="宋体" w:hAnsi="宋体" w:eastAsia="宋体" w:cs="宋体"/>
          <w:spacing w:val="10"/>
          <w:sz w:val="20"/>
          <w:szCs w:val="20"/>
        </w:rPr>
        <w:t>40%,似乎表明两组病人应该以同样的力度来治疗。然而</w:t>
      </w:r>
      <w:r>
        <w:rPr>
          <w:rFonts w:ascii="宋体" w:hAnsi="宋体" w:eastAsia="宋体" w:cs="宋体"/>
          <w:spacing w:val="9"/>
          <w:sz w:val="20"/>
          <w:szCs w:val="20"/>
        </w:rPr>
        <w:t>为预防1例脑卒中发生，对中度高血压病</w:t>
      </w:r>
      <w:r>
        <w:rPr>
          <w:rFonts w:ascii="宋体" w:hAnsi="宋体" w:eastAsia="宋体" w:cs="宋体"/>
          <w:sz w:val="20"/>
          <w:szCs w:val="20"/>
        </w:rPr>
        <w:t xml:space="preserve"> </w:t>
      </w:r>
      <w:r>
        <w:rPr>
          <w:rFonts w:ascii="宋体" w:hAnsi="宋体" w:eastAsia="宋体" w:cs="宋体"/>
          <w:spacing w:val="5"/>
          <w:sz w:val="20"/>
          <w:szCs w:val="20"/>
        </w:rPr>
        <w:t>人只需治疗13人，对轻度高血压病人却需要治疗167人，显然这将导致不同</w:t>
      </w:r>
      <w:r>
        <w:rPr>
          <w:rFonts w:ascii="宋体" w:hAnsi="宋体" w:eastAsia="宋体" w:cs="宋体"/>
          <w:spacing w:val="4"/>
          <w:sz w:val="20"/>
          <w:szCs w:val="20"/>
        </w:rPr>
        <w:t>的治疗决策。</w:t>
      </w:r>
    </w:p>
    <w:p w14:paraId="1B34D952">
      <w:pPr>
        <w:spacing w:line="378" w:lineRule="auto"/>
        <w:rPr>
          <w:rFonts w:ascii="Arial"/>
          <w:sz w:val="21"/>
        </w:rPr>
      </w:pPr>
    </w:p>
    <w:p w14:paraId="26D4493E">
      <w:pPr>
        <w:pStyle w:val="2"/>
        <w:spacing w:before="98" w:line="222" w:lineRule="auto"/>
        <w:ind w:left="3384"/>
        <w:outlineLvl w:val="1"/>
      </w:pPr>
      <w:bookmarkStart w:id="187" w:name="bookmark120"/>
      <w:bookmarkEnd w:id="187"/>
      <w:r>
        <w:rPr>
          <w:b/>
          <w:bCs/>
          <w:spacing w:val="10"/>
        </w:rPr>
        <w:t>第四节优缺点及注意事项</w:t>
      </w:r>
    </w:p>
    <w:p w14:paraId="43C09003">
      <w:pPr>
        <w:spacing w:line="367" w:lineRule="auto"/>
        <w:rPr>
          <w:rFonts w:ascii="Arial"/>
          <w:sz w:val="21"/>
        </w:rPr>
      </w:pPr>
    </w:p>
    <w:p w14:paraId="3A84ECA8">
      <w:pPr>
        <w:pStyle w:val="2"/>
        <w:spacing w:before="81" w:line="223" w:lineRule="auto"/>
        <w:ind w:left="1123"/>
        <w:outlineLvl w:val="2"/>
        <w:rPr>
          <w:sz w:val="25"/>
          <w:szCs w:val="25"/>
        </w:rPr>
      </w:pPr>
      <w:bookmarkStart w:id="188" w:name="bookmark121"/>
      <w:bookmarkEnd w:id="188"/>
      <w:r>
        <w:rPr>
          <w:b/>
          <w:bCs/>
          <w:spacing w:val="-18"/>
          <w:sz w:val="25"/>
          <w:szCs w:val="25"/>
        </w:rPr>
        <w:t>一</w:t>
      </w:r>
      <w:r>
        <w:rPr>
          <w:spacing w:val="-69"/>
          <w:sz w:val="25"/>
          <w:szCs w:val="25"/>
        </w:rPr>
        <w:t xml:space="preserve"> </w:t>
      </w:r>
      <w:r>
        <w:rPr>
          <w:b/>
          <w:bCs/>
          <w:spacing w:val="-18"/>
          <w:sz w:val="25"/>
          <w:szCs w:val="25"/>
        </w:rPr>
        <w:t>、优点</w:t>
      </w:r>
    </w:p>
    <w:p w14:paraId="280F09A7">
      <w:pPr>
        <w:spacing w:before="288" w:line="271" w:lineRule="auto"/>
        <w:ind w:left="699" w:right="23" w:firstLine="420"/>
        <w:rPr>
          <w:rFonts w:ascii="宋体" w:hAnsi="宋体" w:eastAsia="宋体" w:cs="宋体"/>
          <w:sz w:val="20"/>
          <w:szCs w:val="20"/>
        </w:rPr>
      </w:pPr>
      <w:r>
        <w:rPr>
          <w:rFonts w:ascii="宋体" w:hAnsi="宋体" w:eastAsia="宋体" w:cs="宋体"/>
          <w:spacing w:val="2"/>
          <w:sz w:val="20"/>
          <w:szCs w:val="20"/>
        </w:rPr>
        <w:t>1.</w:t>
      </w:r>
      <w:r>
        <w:rPr>
          <w:rFonts w:ascii="宋体" w:hAnsi="宋体" w:eastAsia="宋体" w:cs="宋体"/>
          <w:spacing w:val="-48"/>
          <w:sz w:val="20"/>
          <w:szCs w:val="20"/>
        </w:rPr>
        <w:t xml:space="preserve"> </w:t>
      </w:r>
      <w:r>
        <w:rPr>
          <w:rFonts w:ascii="宋体" w:hAnsi="宋体" w:eastAsia="宋体" w:cs="宋体"/>
          <w:spacing w:val="2"/>
          <w:sz w:val="20"/>
          <w:szCs w:val="20"/>
        </w:rPr>
        <w:t>研究者根据试验目的，预先制定试验设计，能够</w:t>
      </w:r>
      <w:r>
        <w:rPr>
          <w:rFonts w:ascii="宋体" w:hAnsi="宋体" w:eastAsia="宋体" w:cs="宋体"/>
          <w:spacing w:val="1"/>
          <w:sz w:val="20"/>
          <w:szCs w:val="20"/>
        </w:rPr>
        <w:t>对选择的研究对象、干预因素和结果的分析</w:t>
      </w:r>
      <w:r>
        <w:rPr>
          <w:rFonts w:ascii="宋体" w:hAnsi="宋体" w:eastAsia="宋体" w:cs="宋体"/>
          <w:sz w:val="20"/>
          <w:szCs w:val="20"/>
        </w:rPr>
        <w:t xml:space="preserve"> </w:t>
      </w:r>
      <w:r>
        <w:rPr>
          <w:rFonts w:ascii="宋体" w:hAnsi="宋体" w:eastAsia="宋体" w:cs="宋体"/>
          <w:spacing w:val="6"/>
          <w:sz w:val="20"/>
          <w:szCs w:val="20"/>
        </w:rPr>
        <w:t>判断进行标准化。</w:t>
      </w:r>
    </w:p>
    <w:p w14:paraId="5C283D8E">
      <w:pPr>
        <w:spacing w:before="162" w:line="267" w:lineRule="auto"/>
        <w:ind w:left="699" w:right="5" w:firstLine="420"/>
        <w:rPr>
          <w:rFonts w:ascii="宋体" w:hAnsi="宋体" w:eastAsia="宋体" w:cs="宋体"/>
          <w:sz w:val="20"/>
          <w:szCs w:val="20"/>
        </w:rPr>
      </w:pPr>
      <w:r>
        <w:rPr>
          <w:rFonts w:ascii="宋体" w:hAnsi="宋体" w:eastAsia="宋体" w:cs="宋体"/>
          <w:spacing w:val="6"/>
          <w:sz w:val="20"/>
          <w:szCs w:val="20"/>
        </w:rPr>
        <w:t>2. 通过随机分组，最大程度平衡了各种已知或未知混</w:t>
      </w:r>
      <w:r>
        <w:rPr>
          <w:rFonts w:ascii="宋体" w:hAnsi="宋体" w:eastAsia="宋体" w:cs="宋体"/>
          <w:spacing w:val="5"/>
          <w:sz w:val="20"/>
          <w:szCs w:val="20"/>
        </w:rPr>
        <w:t>杂因素的影响，提高了可比性，减少了</w:t>
      </w:r>
      <w:r>
        <w:rPr>
          <w:rFonts w:ascii="宋体" w:hAnsi="宋体" w:eastAsia="宋体" w:cs="宋体"/>
          <w:sz w:val="20"/>
          <w:szCs w:val="20"/>
        </w:rPr>
        <w:t xml:space="preserve"> </w:t>
      </w:r>
      <w:r>
        <w:rPr>
          <w:rFonts w:ascii="宋体" w:hAnsi="宋体" w:eastAsia="宋体" w:cs="宋体"/>
          <w:spacing w:val="16"/>
          <w:sz w:val="20"/>
          <w:szCs w:val="20"/>
        </w:rPr>
        <w:t>偏倚。</w:t>
      </w:r>
    </w:p>
    <w:p w14:paraId="3F75CADD">
      <w:pPr>
        <w:spacing w:before="172" w:line="276" w:lineRule="auto"/>
        <w:ind w:left="699" w:right="22" w:firstLine="420"/>
        <w:rPr>
          <w:rFonts w:ascii="宋体" w:hAnsi="宋体" w:eastAsia="宋体" w:cs="宋体"/>
          <w:sz w:val="20"/>
          <w:szCs w:val="20"/>
        </w:rPr>
      </w:pPr>
      <w:r>
        <w:rPr>
          <w:rFonts w:ascii="宋体" w:hAnsi="宋体" w:eastAsia="宋体" w:cs="宋体"/>
          <w:spacing w:val="1"/>
          <w:sz w:val="20"/>
          <w:szCs w:val="20"/>
        </w:rPr>
        <w:t>3.</w:t>
      </w:r>
      <w:r>
        <w:rPr>
          <w:rFonts w:ascii="宋体" w:hAnsi="宋体" w:eastAsia="宋体" w:cs="宋体"/>
          <w:spacing w:val="-24"/>
          <w:sz w:val="20"/>
          <w:szCs w:val="20"/>
        </w:rPr>
        <w:t xml:space="preserve"> </w:t>
      </w:r>
      <w:r>
        <w:rPr>
          <w:rFonts w:ascii="宋体" w:hAnsi="宋体" w:eastAsia="宋体" w:cs="宋体"/>
          <w:spacing w:val="1"/>
          <w:sz w:val="20"/>
          <w:szCs w:val="20"/>
        </w:rPr>
        <w:t>试验为前瞻性研究，在整个试验过程中，通过随访将每个研究对象的反应和结局自始至终观</w:t>
      </w:r>
      <w:r>
        <w:rPr>
          <w:rFonts w:ascii="宋体" w:hAnsi="宋体" w:eastAsia="宋体" w:cs="宋体"/>
          <w:sz w:val="20"/>
          <w:szCs w:val="20"/>
        </w:rPr>
        <w:t xml:space="preserve"> 察到底，试验组和对照组同步进行比较，最终能得出肯定性的结论。</w:t>
      </w:r>
    </w:p>
    <w:p w14:paraId="577D79FA">
      <w:pPr>
        <w:pStyle w:val="2"/>
        <w:spacing w:before="312" w:line="223" w:lineRule="auto"/>
        <w:ind w:left="1123"/>
        <w:outlineLvl w:val="2"/>
        <w:rPr>
          <w:sz w:val="25"/>
          <w:szCs w:val="25"/>
        </w:rPr>
      </w:pPr>
      <w:bookmarkStart w:id="189" w:name="bookmark122"/>
      <w:bookmarkEnd w:id="189"/>
      <w:r>
        <w:rPr>
          <w:b/>
          <w:bCs/>
          <w:spacing w:val="-2"/>
          <w:sz w:val="25"/>
          <w:szCs w:val="25"/>
        </w:rPr>
        <w:t>二、局限性</w:t>
      </w:r>
    </w:p>
    <w:p w14:paraId="30503950">
      <w:pPr>
        <w:spacing w:before="269" w:line="219" w:lineRule="auto"/>
        <w:ind w:left="1120"/>
        <w:rPr>
          <w:rFonts w:ascii="宋体" w:hAnsi="宋体" w:eastAsia="宋体" w:cs="宋体"/>
          <w:sz w:val="20"/>
          <w:szCs w:val="20"/>
        </w:rPr>
      </w:pPr>
      <w:r>
        <w:rPr>
          <w:rFonts w:ascii="宋体" w:hAnsi="宋体" w:eastAsia="宋体" w:cs="宋体"/>
          <w:spacing w:val="-2"/>
          <w:sz w:val="20"/>
          <w:szCs w:val="20"/>
        </w:rPr>
        <w:t>1.</w:t>
      </w:r>
      <w:r>
        <w:rPr>
          <w:rFonts w:ascii="宋体" w:hAnsi="宋体" w:eastAsia="宋体" w:cs="宋体"/>
          <w:spacing w:val="-28"/>
          <w:sz w:val="20"/>
          <w:szCs w:val="20"/>
        </w:rPr>
        <w:t xml:space="preserve"> </w:t>
      </w:r>
      <w:r>
        <w:rPr>
          <w:rFonts w:ascii="宋体" w:hAnsi="宋体" w:eastAsia="宋体" w:cs="宋体"/>
          <w:spacing w:val="-2"/>
          <w:sz w:val="20"/>
          <w:szCs w:val="20"/>
        </w:rPr>
        <w:t>整个试验设计和实施条件要求高、控制严、难度较大，在实际工作中有时难</w:t>
      </w:r>
      <w:r>
        <w:rPr>
          <w:rFonts w:ascii="宋体" w:hAnsi="宋体" w:eastAsia="宋体" w:cs="宋体"/>
          <w:spacing w:val="-3"/>
          <w:sz w:val="20"/>
          <w:szCs w:val="20"/>
        </w:rPr>
        <w:t>以做到。</w:t>
      </w:r>
    </w:p>
    <w:p w14:paraId="24B05F22">
      <w:pPr>
        <w:spacing w:before="161" w:line="263" w:lineRule="auto"/>
        <w:ind w:left="699" w:right="23" w:firstLine="420"/>
        <w:rPr>
          <w:rFonts w:ascii="宋体" w:hAnsi="宋体" w:eastAsia="宋体" w:cs="宋体"/>
          <w:sz w:val="20"/>
          <w:szCs w:val="20"/>
        </w:rPr>
      </w:pPr>
      <w:r>
        <w:rPr>
          <w:rFonts w:ascii="宋体" w:hAnsi="宋体" w:eastAsia="宋体" w:cs="宋体"/>
          <w:spacing w:val="1"/>
          <w:sz w:val="20"/>
          <w:szCs w:val="20"/>
        </w:rPr>
        <w:t>2.</w:t>
      </w:r>
      <w:r>
        <w:rPr>
          <w:rFonts w:ascii="宋体" w:hAnsi="宋体" w:eastAsia="宋体" w:cs="宋体"/>
          <w:spacing w:val="-25"/>
          <w:sz w:val="20"/>
          <w:szCs w:val="20"/>
        </w:rPr>
        <w:t xml:space="preserve"> </w:t>
      </w:r>
      <w:r>
        <w:rPr>
          <w:rFonts w:ascii="宋体" w:hAnsi="宋体" w:eastAsia="宋体" w:cs="宋体"/>
          <w:spacing w:val="1"/>
          <w:sz w:val="20"/>
          <w:szCs w:val="20"/>
        </w:rPr>
        <w:t>受干预措施适用范围的约束，所选择的研究对象代表性不够，会不同程度地影响试验结果推</w:t>
      </w:r>
      <w:r>
        <w:rPr>
          <w:rFonts w:ascii="宋体" w:hAnsi="宋体" w:eastAsia="宋体" w:cs="宋体"/>
          <w:sz w:val="20"/>
          <w:szCs w:val="20"/>
        </w:rPr>
        <w:t xml:space="preserve"> </w:t>
      </w:r>
      <w:r>
        <w:rPr>
          <w:rFonts w:ascii="宋体" w:hAnsi="宋体" w:eastAsia="宋体" w:cs="宋体"/>
          <w:spacing w:val="12"/>
          <w:sz w:val="20"/>
          <w:szCs w:val="20"/>
        </w:rPr>
        <w:t>论到总体。</w:t>
      </w:r>
    </w:p>
    <w:p w14:paraId="0957D33E">
      <w:pPr>
        <w:spacing w:before="161" w:line="270" w:lineRule="auto"/>
        <w:ind w:left="699" w:right="15" w:firstLine="420"/>
        <w:rPr>
          <w:rFonts w:ascii="宋体" w:hAnsi="宋体" w:eastAsia="宋体" w:cs="宋体"/>
          <w:sz w:val="20"/>
          <w:szCs w:val="20"/>
        </w:rPr>
      </w:pPr>
      <w:r>
        <w:rPr>
          <w:rFonts w:ascii="宋体" w:hAnsi="宋体" w:eastAsia="宋体" w:cs="宋体"/>
          <w:spacing w:val="1"/>
          <w:sz w:val="20"/>
          <w:szCs w:val="20"/>
        </w:rPr>
        <w:t>3.</w:t>
      </w:r>
      <w:r>
        <w:rPr>
          <w:rFonts w:ascii="宋体" w:hAnsi="宋体" w:eastAsia="宋体" w:cs="宋体"/>
          <w:spacing w:val="-17"/>
          <w:sz w:val="20"/>
          <w:szCs w:val="20"/>
        </w:rPr>
        <w:t xml:space="preserve"> </w:t>
      </w:r>
      <w:r>
        <w:rPr>
          <w:rFonts w:ascii="宋体" w:hAnsi="宋体" w:eastAsia="宋体" w:cs="宋体"/>
          <w:spacing w:val="1"/>
          <w:sz w:val="20"/>
          <w:szCs w:val="20"/>
        </w:rPr>
        <w:t>研究人群数量较大，试验计划实施要求严格，随访时间长，因此依从性不易做得很好，影响</w:t>
      </w:r>
      <w:r>
        <w:rPr>
          <w:rFonts w:ascii="宋体" w:hAnsi="宋体" w:eastAsia="宋体" w:cs="宋体"/>
          <w:sz w:val="20"/>
          <w:szCs w:val="20"/>
        </w:rPr>
        <w:t xml:space="preserve"> </w:t>
      </w:r>
      <w:r>
        <w:rPr>
          <w:rFonts w:ascii="宋体" w:hAnsi="宋体" w:eastAsia="宋体" w:cs="宋体"/>
          <w:spacing w:val="8"/>
          <w:sz w:val="20"/>
          <w:szCs w:val="20"/>
        </w:rPr>
        <w:t>试验效应的评价。</w:t>
      </w:r>
    </w:p>
    <w:p w14:paraId="731EA356">
      <w:pPr>
        <w:spacing w:line="304" w:lineRule="auto"/>
        <w:rPr>
          <w:rFonts w:ascii="Arial"/>
          <w:sz w:val="21"/>
        </w:rPr>
      </w:pPr>
    </w:p>
    <w:p w14:paraId="5C81123C">
      <w:pPr>
        <w:pStyle w:val="2"/>
        <w:spacing w:before="65" w:line="222" w:lineRule="auto"/>
        <w:ind w:left="1122"/>
        <w:outlineLvl w:val="2"/>
        <w:rPr>
          <w:sz w:val="20"/>
          <w:szCs w:val="20"/>
        </w:rPr>
      </w:pPr>
      <w:bookmarkStart w:id="190" w:name="bookmark123"/>
      <w:bookmarkEnd w:id="190"/>
      <w:r>
        <w:rPr>
          <w:b/>
          <w:bCs/>
          <w:spacing w:val="-13"/>
          <w:sz w:val="20"/>
          <w:szCs w:val="20"/>
        </w:rPr>
        <w:t>三</w:t>
      </w:r>
      <w:r>
        <w:rPr>
          <w:spacing w:val="23"/>
          <w:sz w:val="20"/>
          <w:szCs w:val="20"/>
        </w:rPr>
        <w:t xml:space="preserve"> </w:t>
      </w:r>
      <w:r>
        <w:rPr>
          <w:b/>
          <w:bCs/>
          <w:spacing w:val="-13"/>
          <w:sz w:val="20"/>
          <w:szCs w:val="20"/>
        </w:rPr>
        <w:t>、注</w:t>
      </w:r>
      <w:r>
        <w:rPr>
          <w:spacing w:val="-13"/>
          <w:sz w:val="20"/>
          <w:szCs w:val="20"/>
        </w:rPr>
        <w:t xml:space="preserve"> </w:t>
      </w:r>
      <w:r>
        <w:rPr>
          <w:b/>
          <w:bCs/>
          <w:spacing w:val="-13"/>
          <w:sz w:val="20"/>
          <w:szCs w:val="20"/>
        </w:rPr>
        <w:t>意</w:t>
      </w:r>
      <w:r>
        <w:rPr>
          <w:spacing w:val="-8"/>
          <w:sz w:val="20"/>
          <w:szCs w:val="20"/>
        </w:rPr>
        <w:t xml:space="preserve"> </w:t>
      </w:r>
      <w:r>
        <w:rPr>
          <w:b/>
          <w:bCs/>
          <w:spacing w:val="-13"/>
          <w:sz w:val="20"/>
          <w:szCs w:val="20"/>
        </w:rPr>
        <w:t>事</w:t>
      </w:r>
      <w:r>
        <w:rPr>
          <w:spacing w:val="-14"/>
          <w:sz w:val="20"/>
          <w:szCs w:val="20"/>
        </w:rPr>
        <w:t xml:space="preserve"> </w:t>
      </w:r>
      <w:r>
        <w:rPr>
          <w:b/>
          <w:bCs/>
          <w:spacing w:val="-13"/>
          <w:sz w:val="20"/>
          <w:szCs w:val="20"/>
        </w:rPr>
        <w:t>项</w:t>
      </w:r>
    </w:p>
    <w:p w14:paraId="5FB4F265">
      <w:pPr>
        <w:pStyle w:val="2"/>
        <w:spacing w:before="282" w:line="221" w:lineRule="auto"/>
        <w:ind w:left="1120"/>
        <w:rPr>
          <w:sz w:val="20"/>
          <w:szCs w:val="20"/>
        </w:rPr>
      </w:pPr>
      <w:r>
        <w:rPr>
          <w:spacing w:val="19"/>
          <w:sz w:val="20"/>
          <w:szCs w:val="20"/>
        </w:rPr>
        <w:t>(</w:t>
      </w:r>
      <w:r>
        <w:rPr>
          <w:spacing w:val="-47"/>
          <w:sz w:val="20"/>
          <w:szCs w:val="20"/>
        </w:rPr>
        <w:t xml:space="preserve"> </w:t>
      </w:r>
      <w:r>
        <w:rPr>
          <w:spacing w:val="19"/>
          <w:sz w:val="20"/>
          <w:szCs w:val="20"/>
        </w:rPr>
        <w:t>一</w:t>
      </w:r>
      <w:r>
        <w:rPr>
          <w:spacing w:val="-56"/>
          <w:sz w:val="20"/>
          <w:szCs w:val="20"/>
        </w:rPr>
        <w:t xml:space="preserve"> </w:t>
      </w:r>
      <w:r>
        <w:rPr>
          <w:spacing w:val="19"/>
          <w:sz w:val="20"/>
          <w:szCs w:val="20"/>
        </w:rPr>
        <w:t>)伦理道德问题</w:t>
      </w:r>
    </w:p>
    <w:p w14:paraId="0A5F1A7A">
      <w:pPr>
        <w:spacing w:before="130" w:line="352" w:lineRule="auto"/>
        <w:ind w:left="699" w:right="15" w:firstLine="420"/>
        <w:jc w:val="both"/>
        <w:rPr>
          <w:rFonts w:ascii="宋体" w:hAnsi="宋体" w:eastAsia="宋体" w:cs="宋体"/>
          <w:sz w:val="20"/>
          <w:szCs w:val="20"/>
        </w:rPr>
      </w:pPr>
      <w:r>
        <w:rPr>
          <w:rFonts w:ascii="宋体" w:hAnsi="宋体" w:eastAsia="宋体" w:cs="宋体"/>
          <w:spacing w:val="3"/>
          <w:sz w:val="20"/>
          <w:szCs w:val="20"/>
        </w:rPr>
        <w:t>实验流行病学以人作为对象开展研究，是一项十分严肃谨慎的工作，为了确保研究对象的人身</w:t>
      </w:r>
      <w:r>
        <w:rPr>
          <w:rFonts w:ascii="宋体" w:hAnsi="宋体" w:eastAsia="宋体" w:cs="宋体"/>
          <w:sz w:val="20"/>
          <w:szCs w:val="20"/>
        </w:rPr>
        <w:t xml:space="preserve"> </w:t>
      </w:r>
      <w:r>
        <w:rPr>
          <w:rFonts w:ascii="宋体" w:hAnsi="宋体" w:eastAsia="宋体" w:cs="宋体"/>
          <w:spacing w:val="3"/>
          <w:sz w:val="20"/>
          <w:szCs w:val="20"/>
        </w:rPr>
        <w:t>安全，防止在试验中自觉或不自觉地发生不道德行为，必须在试验中遵循伦理道德，在开始人群试</w:t>
      </w:r>
      <w:r>
        <w:rPr>
          <w:rFonts w:ascii="宋体" w:hAnsi="宋体" w:eastAsia="宋体" w:cs="宋体"/>
          <w:spacing w:val="7"/>
          <w:sz w:val="20"/>
          <w:szCs w:val="20"/>
        </w:rPr>
        <w:t xml:space="preserve"> </w:t>
      </w:r>
      <w:r>
        <w:rPr>
          <w:rFonts w:ascii="宋体" w:hAnsi="宋体" w:eastAsia="宋体" w:cs="宋体"/>
          <w:spacing w:val="-1"/>
          <w:sz w:val="20"/>
          <w:szCs w:val="20"/>
        </w:rPr>
        <w:t>验前，必要时应先做动物实验，初步验证此种实验方法合理、效果良好、无</w:t>
      </w:r>
      <w:r>
        <w:rPr>
          <w:rFonts w:ascii="宋体" w:hAnsi="宋体" w:eastAsia="宋体" w:cs="宋体"/>
          <w:spacing w:val="-2"/>
          <w:sz w:val="20"/>
          <w:szCs w:val="20"/>
        </w:rPr>
        <w:t>危害性。特别是设置对照</w:t>
      </w:r>
      <w:r>
        <w:rPr>
          <w:rFonts w:ascii="宋体" w:hAnsi="宋体" w:eastAsia="宋体" w:cs="宋体"/>
          <w:sz w:val="20"/>
          <w:szCs w:val="20"/>
        </w:rPr>
        <w:t xml:space="preserve"> </w:t>
      </w:r>
      <w:r>
        <w:rPr>
          <w:rFonts w:ascii="宋体" w:hAnsi="宋体" w:eastAsia="宋体" w:cs="宋体"/>
          <w:spacing w:val="-2"/>
          <w:sz w:val="20"/>
          <w:szCs w:val="20"/>
        </w:rPr>
        <w:t>时，必须以不损害受试者身心健康为前提。在一般情况下，研究者应将试验目的、方法、预期效果以</w:t>
      </w:r>
    </w:p>
    <w:p w14:paraId="3B2225EB">
      <w:pPr>
        <w:spacing w:line="352" w:lineRule="auto"/>
        <w:rPr>
          <w:rFonts w:ascii="宋体" w:hAnsi="宋体" w:eastAsia="宋体" w:cs="宋体"/>
          <w:sz w:val="20"/>
          <w:szCs w:val="20"/>
        </w:rPr>
        <w:sectPr>
          <w:footerReference r:id="rId135" w:type="default"/>
          <w:pgSz w:w="11900" w:h="16820"/>
          <w:pgMar w:top="400" w:right="1587" w:bottom="789" w:left="850" w:header="0" w:footer="609" w:gutter="0"/>
          <w:cols w:space="720" w:num="1"/>
        </w:sectPr>
      </w:pPr>
    </w:p>
    <w:p w14:paraId="731909D3">
      <w:pPr>
        <w:pStyle w:val="2"/>
        <w:spacing w:before="126" w:line="221" w:lineRule="auto"/>
        <w:ind w:left="7309"/>
        <w:rPr>
          <w:sz w:val="21"/>
          <w:szCs w:val="21"/>
        </w:rPr>
      </w:pPr>
      <w:r>
        <w:rPr>
          <w:spacing w:val="-17"/>
          <w:sz w:val="21"/>
          <w:szCs w:val="21"/>
        </w:rPr>
        <w:t>第六章实验流行病学</w:t>
      </w:r>
    </w:p>
    <w:p w14:paraId="6530E65A">
      <w:pPr>
        <w:spacing w:line="272" w:lineRule="auto"/>
        <w:rPr>
          <w:rFonts w:ascii="Arial"/>
          <w:sz w:val="21"/>
        </w:rPr>
      </w:pPr>
    </w:p>
    <w:p w14:paraId="031B580A">
      <w:pPr>
        <w:spacing w:line="273" w:lineRule="auto"/>
        <w:rPr>
          <w:rFonts w:ascii="Arial"/>
          <w:sz w:val="21"/>
        </w:rPr>
      </w:pPr>
    </w:p>
    <w:p w14:paraId="2B9D958D">
      <w:pPr>
        <w:spacing w:before="68" w:line="212" w:lineRule="auto"/>
        <w:rPr>
          <w:rFonts w:ascii="宋体" w:hAnsi="宋体" w:eastAsia="宋体" w:cs="宋体"/>
          <w:sz w:val="21"/>
          <w:szCs w:val="21"/>
        </w:rPr>
      </w:pPr>
      <w:r>
        <w:rPr>
          <w:rFonts w:ascii="宋体" w:hAnsi="宋体" w:eastAsia="宋体" w:cs="宋体"/>
          <w:spacing w:val="-2"/>
          <w:sz w:val="21"/>
          <w:szCs w:val="21"/>
        </w:rPr>
        <w:t>及危险等告知受试者及其家属，征得他们的同意，此即知情同意</w:t>
      </w:r>
      <w:r>
        <w:rPr>
          <w:rFonts w:ascii="Times New Roman" w:hAnsi="Times New Roman" w:eastAsia="Times New Roman" w:cs="Times New Roman"/>
          <w:spacing w:val="-2"/>
          <w:sz w:val="21"/>
          <w:szCs w:val="21"/>
        </w:rPr>
        <w:t>(informed  consent)</w:t>
      </w:r>
      <w:r>
        <w:rPr>
          <w:rFonts w:ascii="宋体" w:hAnsi="宋体" w:eastAsia="宋体" w:cs="宋体"/>
          <w:spacing w:val="-2"/>
          <w:sz w:val="21"/>
          <w:szCs w:val="21"/>
        </w:rPr>
        <w:t>。</w:t>
      </w:r>
    </w:p>
    <w:p w14:paraId="4A599053">
      <w:pPr>
        <w:pStyle w:val="2"/>
        <w:spacing w:before="148" w:line="221" w:lineRule="auto"/>
        <w:ind w:left="433"/>
        <w:rPr>
          <w:sz w:val="25"/>
          <w:szCs w:val="25"/>
        </w:rPr>
      </w:pPr>
      <w:bookmarkStart w:id="191" w:name="bookmark463"/>
      <w:bookmarkEnd w:id="191"/>
      <w:r>
        <w:rPr>
          <w:b/>
          <w:bCs/>
          <w:spacing w:val="-5"/>
          <w:sz w:val="25"/>
          <w:szCs w:val="25"/>
        </w:rPr>
        <w:t>(二)预试验</w:t>
      </w:r>
    </w:p>
    <w:p w14:paraId="70C97B26">
      <w:pPr>
        <w:spacing w:before="37" w:line="330" w:lineRule="auto"/>
        <w:ind w:right="645" w:firstLine="429"/>
        <w:jc w:val="both"/>
        <w:rPr>
          <w:rFonts w:ascii="宋体" w:hAnsi="宋体" w:eastAsia="宋体" w:cs="宋体"/>
          <w:sz w:val="21"/>
          <w:szCs w:val="21"/>
        </w:rPr>
      </w:pPr>
      <w:r>
        <w:rPr>
          <w:rFonts w:ascii="宋体" w:hAnsi="宋体" w:eastAsia="宋体" w:cs="宋体"/>
          <w:spacing w:val="2"/>
          <w:sz w:val="21"/>
          <w:szCs w:val="21"/>
        </w:rPr>
        <w:t>在正式试验前，应先在小范围作一次少量人群的预试验</w:t>
      </w:r>
      <w:r>
        <w:rPr>
          <w:rFonts w:ascii="Times New Roman" w:hAnsi="Times New Roman" w:eastAsia="Times New Roman" w:cs="Times New Roman"/>
          <w:spacing w:val="1"/>
          <w:sz w:val="21"/>
          <w:szCs w:val="21"/>
        </w:rPr>
        <w:t>(</w:t>
      </w:r>
      <w:r>
        <w:rPr>
          <w:rFonts w:ascii="Times New Roman" w:hAnsi="Times New Roman" w:eastAsia="Times New Roman" w:cs="Times New Roman"/>
          <w:sz w:val="21"/>
          <w:szCs w:val="21"/>
        </w:rPr>
        <w:t>pilot</w:t>
      </w:r>
      <w:r>
        <w:rPr>
          <w:rFonts w:ascii="Times New Roman" w:hAnsi="Times New Roman" w:eastAsia="Times New Roman" w:cs="Times New Roman"/>
          <w:spacing w:val="1"/>
          <w:sz w:val="21"/>
          <w:szCs w:val="21"/>
        </w:rPr>
        <w:t xml:space="preserve">   </w:t>
      </w:r>
      <w:r>
        <w:rPr>
          <w:rFonts w:ascii="Times New Roman" w:hAnsi="Times New Roman" w:eastAsia="Times New Roman" w:cs="Times New Roman"/>
          <w:sz w:val="21"/>
          <w:szCs w:val="21"/>
        </w:rPr>
        <w:t>study</w:t>
      </w:r>
      <w:r>
        <w:rPr>
          <w:rFonts w:ascii="Times New Roman" w:hAnsi="Times New Roman" w:eastAsia="Times New Roman" w:cs="Times New Roman"/>
          <w:spacing w:val="1"/>
          <w:sz w:val="21"/>
          <w:szCs w:val="21"/>
        </w:rPr>
        <w:t>),</w:t>
      </w:r>
      <w:r>
        <w:rPr>
          <w:rFonts w:ascii="宋体" w:hAnsi="宋体" w:eastAsia="宋体" w:cs="宋体"/>
          <w:spacing w:val="1"/>
          <w:sz w:val="21"/>
          <w:szCs w:val="21"/>
        </w:rPr>
        <w:t>其目的是检验试验设计的</w:t>
      </w:r>
      <w:r>
        <w:rPr>
          <w:rFonts w:ascii="宋体" w:hAnsi="宋体" w:eastAsia="宋体" w:cs="宋体"/>
          <w:sz w:val="21"/>
          <w:szCs w:val="21"/>
        </w:rPr>
        <w:t xml:space="preserve"> 科学性和可行性，以免由于设计不周，盲目开展试验而造成人力、物力和财</w:t>
      </w:r>
      <w:r>
        <w:rPr>
          <w:rFonts w:ascii="宋体" w:hAnsi="宋体" w:eastAsia="宋体" w:cs="宋体"/>
          <w:spacing w:val="-1"/>
          <w:sz w:val="21"/>
          <w:szCs w:val="21"/>
        </w:rPr>
        <w:t>力的浪费。以往的经验</w:t>
      </w:r>
      <w:r>
        <w:rPr>
          <w:rFonts w:ascii="宋体" w:hAnsi="宋体" w:eastAsia="宋体" w:cs="宋体"/>
          <w:sz w:val="21"/>
          <w:szCs w:val="21"/>
        </w:rPr>
        <w:t xml:space="preserve"> 证明，预试验也必须像正式试验一样地认真进行才具有科学的意义，如果随</w:t>
      </w:r>
      <w:r>
        <w:rPr>
          <w:rFonts w:ascii="宋体" w:hAnsi="宋体" w:eastAsia="宋体" w:cs="宋体"/>
          <w:spacing w:val="-1"/>
          <w:sz w:val="21"/>
          <w:szCs w:val="21"/>
        </w:rPr>
        <w:t>便选择一个地方和人群</w:t>
      </w:r>
      <w:r>
        <w:rPr>
          <w:rFonts w:ascii="宋体" w:hAnsi="宋体" w:eastAsia="宋体" w:cs="宋体"/>
          <w:sz w:val="21"/>
          <w:szCs w:val="21"/>
        </w:rPr>
        <w:t xml:space="preserve"> </w:t>
      </w:r>
      <w:r>
        <w:rPr>
          <w:rFonts w:ascii="宋体" w:hAnsi="宋体" w:eastAsia="宋体" w:cs="宋体"/>
          <w:spacing w:val="-5"/>
          <w:sz w:val="21"/>
          <w:szCs w:val="21"/>
        </w:rPr>
        <w:t>作预试验，不具备试验设计方案中的基本条件，是不可行的。反之，若给预试验以多种特殊条件，使</w:t>
      </w:r>
      <w:r>
        <w:rPr>
          <w:rFonts w:ascii="宋体" w:hAnsi="宋体" w:eastAsia="宋体" w:cs="宋体"/>
          <w:spacing w:val="9"/>
          <w:sz w:val="21"/>
          <w:szCs w:val="21"/>
        </w:rPr>
        <w:t xml:space="preserve"> </w:t>
      </w:r>
      <w:r>
        <w:rPr>
          <w:rFonts w:ascii="宋体" w:hAnsi="宋体" w:eastAsia="宋体" w:cs="宋体"/>
          <w:sz w:val="21"/>
          <w:szCs w:val="21"/>
        </w:rPr>
        <w:t>之得天独厚，以证明试验设计的正确可行，则更是错误的。只有在避免了</w:t>
      </w:r>
      <w:r>
        <w:rPr>
          <w:rFonts w:ascii="宋体" w:hAnsi="宋体" w:eastAsia="宋体" w:cs="宋体"/>
          <w:spacing w:val="-1"/>
          <w:sz w:val="21"/>
          <w:szCs w:val="21"/>
        </w:rPr>
        <w:t>各种主观因素干扰，经过</w:t>
      </w:r>
      <w:r>
        <w:rPr>
          <w:rFonts w:ascii="宋体" w:hAnsi="宋体" w:eastAsia="宋体" w:cs="宋体"/>
          <w:sz w:val="21"/>
          <w:szCs w:val="21"/>
        </w:rPr>
        <w:t xml:space="preserve"> </w:t>
      </w:r>
      <w:r>
        <w:rPr>
          <w:rFonts w:ascii="宋体" w:hAnsi="宋体" w:eastAsia="宋体" w:cs="宋体"/>
          <w:spacing w:val="-2"/>
          <w:sz w:val="21"/>
          <w:szCs w:val="21"/>
        </w:rPr>
        <w:t>认真的预试验后，如果取得成功，才能按设计方案开展正</w:t>
      </w:r>
      <w:r>
        <w:rPr>
          <w:rFonts w:ascii="宋体" w:hAnsi="宋体" w:eastAsia="宋体" w:cs="宋体"/>
          <w:spacing w:val="-3"/>
          <w:sz w:val="21"/>
          <w:szCs w:val="21"/>
        </w:rPr>
        <w:t>式的大规模试验。</w:t>
      </w:r>
    </w:p>
    <w:p w14:paraId="0EC536D2">
      <w:pPr>
        <w:pStyle w:val="2"/>
        <w:spacing w:before="50" w:line="222" w:lineRule="auto"/>
        <w:ind w:left="432"/>
        <w:rPr>
          <w:sz w:val="21"/>
          <w:szCs w:val="21"/>
        </w:rPr>
      </w:pPr>
      <w:r>
        <w:rPr>
          <w:b/>
          <w:bCs/>
          <w:spacing w:val="21"/>
          <w:sz w:val="21"/>
          <w:szCs w:val="21"/>
        </w:rPr>
        <w:t>(三)研究注册问题</w:t>
      </w:r>
    </w:p>
    <w:p w14:paraId="160FCD24">
      <w:pPr>
        <w:spacing w:before="102" w:line="321" w:lineRule="auto"/>
        <w:ind w:right="556" w:firstLine="429"/>
        <w:jc w:val="both"/>
        <w:rPr>
          <w:rFonts w:ascii="宋体" w:hAnsi="宋体" w:eastAsia="宋体" w:cs="宋体"/>
          <w:sz w:val="21"/>
          <w:szCs w:val="21"/>
        </w:rPr>
      </w:pPr>
      <w:r>
        <w:rPr>
          <w:rFonts w:ascii="宋体" w:hAnsi="宋体" w:eastAsia="宋体" w:cs="宋体"/>
          <w:sz w:val="21"/>
          <w:szCs w:val="21"/>
        </w:rPr>
        <w:t>临床试验注册制度，是指在临床试验实施前就在公共数据库公开试验设计信息，并跟踪和报告</w:t>
      </w:r>
      <w:r>
        <w:rPr>
          <w:rFonts w:ascii="宋体" w:hAnsi="宋体" w:eastAsia="宋体" w:cs="宋体"/>
          <w:spacing w:val="13"/>
          <w:sz w:val="21"/>
          <w:szCs w:val="21"/>
        </w:rPr>
        <w:t xml:space="preserve"> </w:t>
      </w:r>
      <w:r>
        <w:rPr>
          <w:rFonts w:ascii="宋体" w:hAnsi="宋体" w:eastAsia="宋体" w:cs="宋体"/>
          <w:spacing w:val="2"/>
          <w:sz w:val="21"/>
          <w:szCs w:val="21"/>
        </w:rPr>
        <w:t>试验结果。通过注册不仅可以增加试验信息的透明度、减少发表偏倚，而且有利于保障试验质量、</w:t>
      </w:r>
      <w:r>
        <w:rPr>
          <w:rFonts w:ascii="宋体" w:hAnsi="宋体" w:eastAsia="宋体" w:cs="宋体"/>
          <w:spacing w:val="7"/>
          <w:sz w:val="21"/>
          <w:szCs w:val="21"/>
        </w:rPr>
        <w:t xml:space="preserve"> </w:t>
      </w:r>
      <w:r>
        <w:rPr>
          <w:rFonts w:ascii="宋体" w:hAnsi="宋体" w:eastAsia="宋体" w:cs="宋体"/>
          <w:spacing w:val="5"/>
          <w:sz w:val="21"/>
          <w:szCs w:val="21"/>
        </w:rPr>
        <w:t>增加试验的规范性和结果的可信度，已经成为规范化临床研究成果发表的必要条件，是临床</w:t>
      </w:r>
      <w:r>
        <w:rPr>
          <w:rFonts w:ascii="宋体" w:hAnsi="宋体" w:eastAsia="宋体" w:cs="宋体"/>
          <w:spacing w:val="4"/>
          <w:sz w:val="21"/>
          <w:szCs w:val="21"/>
        </w:rPr>
        <w:t>试验</w:t>
      </w:r>
      <w:r>
        <w:rPr>
          <w:rFonts w:ascii="宋体" w:hAnsi="宋体" w:eastAsia="宋体" w:cs="宋体"/>
          <w:sz w:val="21"/>
          <w:szCs w:val="21"/>
        </w:rPr>
        <w:t xml:space="preserve">  </w:t>
      </w:r>
      <w:r>
        <w:rPr>
          <w:rFonts w:ascii="宋体" w:hAnsi="宋体" w:eastAsia="宋体" w:cs="宋体"/>
          <w:spacing w:val="4"/>
          <w:sz w:val="21"/>
          <w:szCs w:val="21"/>
        </w:rPr>
        <w:t>研究者的责任和义务。目前国际上有十余个注册平台，如美国的</w:t>
      </w:r>
      <w:r>
        <w:rPr>
          <w:rFonts w:ascii="Times New Roman" w:hAnsi="Times New Roman" w:eastAsia="Times New Roman" w:cs="Times New Roman"/>
          <w:sz w:val="21"/>
          <w:szCs w:val="21"/>
        </w:rPr>
        <w:t>ClinicalTrials</w:t>
      </w:r>
      <w:r>
        <w:rPr>
          <w:rFonts w:ascii="Times New Roman" w:hAnsi="Times New Roman" w:eastAsia="Times New Roman" w:cs="Times New Roman"/>
          <w:spacing w:val="4"/>
          <w:sz w:val="21"/>
          <w:szCs w:val="21"/>
        </w:rPr>
        <w:t>.</w:t>
      </w:r>
      <w:r>
        <w:rPr>
          <w:rFonts w:ascii="Times New Roman" w:hAnsi="Times New Roman" w:eastAsia="Times New Roman" w:cs="Times New Roman"/>
          <w:sz w:val="21"/>
          <w:szCs w:val="21"/>
        </w:rPr>
        <w:t>gov</w:t>
      </w:r>
      <w:r>
        <w:rPr>
          <w:rFonts w:ascii="宋体" w:hAnsi="宋体" w:eastAsia="宋体" w:cs="宋体"/>
          <w:spacing w:val="4"/>
          <w:sz w:val="21"/>
          <w:szCs w:val="21"/>
        </w:rPr>
        <w:t>系统、中国临床</w:t>
      </w:r>
      <w:r>
        <w:rPr>
          <w:rFonts w:ascii="宋体" w:hAnsi="宋体" w:eastAsia="宋体" w:cs="宋体"/>
          <w:spacing w:val="6"/>
          <w:sz w:val="21"/>
          <w:szCs w:val="21"/>
        </w:rPr>
        <w:t xml:space="preserve">  </w:t>
      </w:r>
      <w:r>
        <w:rPr>
          <w:rFonts w:ascii="宋体" w:hAnsi="宋体" w:eastAsia="宋体" w:cs="宋体"/>
          <w:spacing w:val="5"/>
          <w:sz w:val="21"/>
          <w:szCs w:val="21"/>
        </w:rPr>
        <w:t>试验注册中心等。各平台临床试验注册后资料均传送到世界卫生组织创立的国际临床试验注册平</w:t>
      </w:r>
      <w:r>
        <w:rPr>
          <w:rFonts w:ascii="宋体" w:hAnsi="宋体" w:eastAsia="宋体" w:cs="宋体"/>
          <w:spacing w:val="18"/>
          <w:sz w:val="21"/>
          <w:szCs w:val="21"/>
        </w:rPr>
        <w:t xml:space="preserve"> </w:t>
      </w:r>
      <w:r>
        <w:rPr>
          <w:rFonts w:ascii="宋体" w:hAnsi="宋体" w:eastAsia="宋体" w:cs="宋体"/>
          <w:spacing w:val="-1"/>
          <w:sz w:val="21"/>
          <w:szCs w:val="21"/>
        </w:rPr>
        <w:t>台</w:t>
      </w:r>
      <w:r>
        <w:rPr>
          <w:rFonts w:ascii="Times New Roman" w:hAnsi="Times New Roman" w:eastAsia="Times New Roman" w:cs="Times New Roman"/>
          <w:spacing w:val="-1"/>
          <w:sz w:val="21"/>
          <w:szCs w:val="21"/>
        </w:rPr>
        <w:t>(International  Clinical  Trials  Registry  Platform,ICTRP)</w:t>
      </w:r>
      <w:r>
        <w:rPr>
          <w:rFonts w:ascii="宋体" w:hAnsi="宋体" w:eastAsia="宋体" w:cs="宋体"/>
          <w:spacing w:val="-1"/>
          <w:sz w:val="21"/>
          <w:szCs w:val="21"/>
        </w:rPr>
        <w:t>中央数据库，通过该平台的一站式检索入口</w:t>
      </w:r>
      <w:r>
        <w:rPr>
          <w:rFonts w:ascii="宋体" w:hAnsi="宋体" w:eastAsia="宋体" w:cs="宋体"/>
          <w:spacing w:val="9"/>
          <w:sz w:val="21"/>
          <w:szCs w:val="21"/>
        </w:rPr>
        <w:t xml:space="preserve">  </w:t>
      </w:r>
      <w:r>
        <w:rPr>
          <w:rFonts w:ascii="Times New Roman" w:hAnsi="Times New Roman" w:eastAsia="Times New Roman" w:cs="Times New Roman"/>
          <w:spacing w:val="-1"/>
          <w:sz w:val="21"/>
          <w:szCs w:val="21"/>
        </w:rPr>
        <w:t>(Search</w:t>
      </w:r>
      <w:r>
        <w:rPr>
          <w:rFonts w:ascii="Times New Roman" w:hAnsi="Times New Roman" w:eastAsia="Times New Roman" w:cs="Times New Roman"/>
          <w:spacing w:val="25"/>
          <w:w w:val="101"/>
          <w:sz w:val="21"/>
          <w:szCs w:val="21"/>
        </w:rPr>
        <w:t xml:space="preserve">  </w:t>
      </w:r>
      <w:r>
        <w:rPr>
          <w:rFonts w:ascii="Times New Roman" w:hAnsi="Times New Roman" w:eastAsia="Times New Roman" w:cs="Times New Roman"/>
          <w:spacing w:val="-1"/>
          <w:sz w:val="21"/>
          <w:szCs w:val="21"/>
        </w:rPr>
        <w:t>Portal)</w:t>
      </w:r>
      <w:r>
        <w:rPr>
          <w:rFonts w:ascii="宋体" w:hAnsi="宋体" w:eastAsia="宋体" w:cs="宋体"/>
          <w:spacing w:val="-1"/>
          <w:sz w:val="21"/>
          <w:szCs w:val="21"/>
        </w:rPr>
        <w:t>可以检索全球临床试验。</w:t>
      </w:r>
    </w:p>
    <w:p w14:paraId="0FB46E87">
      <w:pPr>
        <w:pStyle w:val="2"/>
        <w:spacing w:before="59" w:line="221" w:lineRule="auto"/>
        <w:ind w:left="432"/>
        <w:rPr>
          <w:sz w:val="21"/>
          <w:szCs w:val="21"/>
        </w:rPr>
      </w:pPr>
      <w:r>
        <w:rPr>
          <w:b/>
          <w:bCs/>
          <w:spacing w:val="17"/>
          <w:sz w:val="21"/>
          <w:szCs w:val="21"/>
        </w:rPr>
        <w:t>(四)结果报告的完整透明问题</w:t>
      </w:r>
    </w:p>
    <w:p w14:paraId="5B9EB56C">
      <w:pPr>
        <w:spacing w:before="95" w:line="325" w:lineRule="auto"/>
        <w:ind w:right="632" w:firstLine="429"/>
        <w:jc w:val="both"/>
        <w:rPr>
          <w:rFonts w:ascii="宋体" w:hAnsi="宋体" w:eastAsia="宋体" w:cs="宋体"/>
          <w:sz w:val="21"/>
          <w:szCs w:val="21"/>
        </w:rPr>
      </w:pPr>
      <w:r>
        <w:rPr>
          <w:rFonts w:ascii="宋体" w:hAnsi="宋体" w:eastAsia="宋体" w:cs="宋体"/>
          <w:spacing w:val="5"/>
          <w:sz w:val="21"/>
          <w:szCs w:val="21"/>
        </w:rPr>
        <w:t>近年来，如何有效报告随机对照试验备受重视，现在很多期刊都要求试验报告应遵循试验报</w:t>
      </w:r>
      <w:r>
        <w:rPr>
          <w:rFonts w:ascii="宋体" w:hAnsi="宋体" w:eastAsia="宋体" w:cs="宋体"/>
          <w:spacing w:val="18"/>
          <w:sz w:val="21"/>
          <w:szCs w:val="21"/>
        </w:rPr>
        <w:t xml:space="preserve"> </w:t>
      </w:r>
      <w:r>
        <w:rPr>
          <w:rFonts w:ascii="宋体" w:hAnsi="宋体" w:eastAsia="宋体" w:cs="宋体"/>
          <w:sz w:val="21"/>
          <w:szCs w:val="21"/>
        </w:rPr>
        <w:t>告统一标准</w:t>
      </w:r>
      <w:r>
        <w:rPr>
          <w:rFonts w:ascii="Times New Roman" w:hAnsi="Times New Roman" w:eastAsia="Times New Roman" w:cs="Times New Roman"/>
          <w:sz w:val="21"/>
          <w:szCs w:val="21"/>
        </w:rPr>
        <w:t>(Consolidated</w:t>
      </w:r>
      <w:r>
        <w:rPr>
          <w:rFonts w:ascii="Times New Roman" w:hAnsi="Times New Roman" w:eastAsia="Times New Roman" w:cs="Times New Roman"/>
          <w:spacing w:val="14"/>
          <w:w w:val="101"/>
          <w:sz w:val="21"/>
          <w:szCs w:val="21"/>
        </w:rPr>
        <w:t xml:space="preserve">  </w:t>
      </w:r>
      <w:r>
        <w:rPr>
          <w:rFonts w:ascii="Times New Roman" w:hAnsi="Times New Roman" w:eastAsia="Times New Roman" w:cs="Times New Roman"/>
          <w:sz w:val="21"/>
          <w:szCs w:val="21"/>
        </w:rPr>
        <w:t>Standards  of  Reporting  Trial</w:t>
      </w:r>
      <w:r>
        <w:rPr>
          <w:rFonts w:ascii="Times New Roman" w:hAnsi="Times New Roman" w:eastAsia="Times New Roman" w:cs="Times New Roman"/>
          <w:spacing w:val="-1"/>
          <w:sz w:val="21"/>
          <w:szCs w:val="21"/>
        </w:rPr>
        <w:t>s,CONSORT)</w:t>
      </w:r>
      <w:r>
        <w:rPr>
          <w:rFonts w:ascii="宋体" w:hAnsi="宋体" w:eastAsia="宋体" w:cs="宋体"/>
          <w:spacing w:val="-1"/>
          <w:sz w:val="21"/>
          <w:szCs w:val="21"/>
        </w:rPr>
        <w:t>指南，以提高试验报告质量，使</w:t>
      </w:r>
      <w:r>
        <w:rPr>
          <w:rFonts w:ascii="宋体" w:hAnsi="宋体" w:eastAsia="宋体" w:cs="宋体"/>
          <w:sz w:val="21"/>
          <w:szCs w:val="21"/>
        </w:rPr>
        <w:t xml:space="preserve"> </w:t>
      </w:r>
      <w:r>
        <w:rPr>
          <w:rFonts w:ascii="宋体" w:hAnsi="宋体" w:eastAsia="宋体" w:cs="宋体"/>
          <w:spacing w:val="12"/>
          <w:sz w:val="21"/>
          <w:szCs w:val="21"/>
        </w:rPr>
        <w:t>报告能反映研究真实实施过程。目前采用的201</w:t>
      </w:r>
      <w:r>
        <w:rPr>
          <w:rFonts w:ascii="宋体" w:hAnsi="宋体" w:eastAsia="宋体" w:cs="宋体"/>
          <w:spacing w:val="11"/>
          <w:sz w:val="21"/>
          <w:szCs w:val="21"/>
        </w:rPr>
        <w:t>0版</w:t>
      </w:r>
      <w:r>
        <w:rPr>
          <w:rFonts w:ascii="Times New Roman" w:hAnsi="Times New Roman" w:eastAsia="Times New Roman" w:cs="Times New Roman"/>
          <w:sz w:val="21"/>
          <w:szCs w:val="21"/>
        </w:rPr>
        <w:t>CONSORT</w:t>
      </w:r>
      <w:r>
        <w:rPr>
          <w:rFonts w:ascii="Times New Roman" w:hAnsi="Times New Roman" w:eastAsia="Times New Roman" w:cs="Times New Roman"/>
          <w:spacing w:val="-15"/>
          <w:sz w:val="21"/>
          <w:szCs w:val="21"/>
        </w:rPr>
        <w:t xml:space="preserve"> </w:t>
      </w:r>
      <w:r>
        <w:rPr>
          <w:rFonts w:ascii="宋体" w:hAnsi="宋体" w:eastAsia="宋体" w:cs="宋体"/>
          <w:spacing w:val="11"/>
          <w:sz w:val="21"/>
          <w:szCs w:val="21"/>
        </w:rPr>
        <w:t>包括一个由25个条目组成的核查</w:t>
      </w:r>
      <w:r>
        <w:rPr>
          <w:rFonts w:ascii="宋体" w:hAnsi="宋体" w:eastAsia="宋体" w:cs="宋体"/>
          <w:sz w:val="21"/>
          <w:szCs w:val="21"/>
        </w:rPr>
        <w:t xml:space="preserve"> </w:t>
      </w:r>
      <w:r>
        <w:rPr>
          <w:rFonts w:ascii="宋体" w:hAnsi="宋体" w:eastAsia="宋体" w:cs="宋体"/>
          <w:spacing w:val="5"/>
          <w:sz w:val="21"/>
          <w:szCs w:val="21"/>
        </w:rPr>
        <w:t>清单和一个流程图。清单项目重点报告试验的设计、分析和解释方式，流程图显示所有受试者在</w:t>
      </w:r>
      <w:r>
        <w:rPr>
          <w:rFonts w:ascii="宋体" w:hAnsi="宋体" w:eastAsia="宋体" w:cs="宋体"/>
          <w:sz w:val="21"/>
          <w:szCs w:val="21"/>
        </w:rPr>
        <w:t xml:space="preserve"> </w:t>
      </w:r>
      <w:r>
        <w:rPr>
          <w:rFonts w:ascii="宋体" w:hAnsi="宋体" w:eastAsia="宋体" w:cs="宋体"/>
          <w:spacing w:val="1"/>
          <w:sz w:val="21"/>
          <w:szCs w:val="21"/>
        </w:rPr>
        <w:t>整个试验过程中的进展。在</w:t>
      </w:r>
      <w:r>
        <w:rPr>
          <w:rFonts w:ascii="Times New Roman" w:hAnsi="Times New Roman" w:eastAsia="Times New Roman" w:cs="Times New Roman"/>
          <w:sz w:val="21"/>
          <w:szCs w:val="21"/>
        </w:rPr>
        <w:t>CONSORT</w:t>
      </w:r>
      <w:r>
        <w:rPr>
          <w:rFonts w:ascii="宋体" w:hAnsi="宋体" w:eastAsia="宋体" w:cs="宋体"/>
          <w:spacing w:val="1"/>
          <w:sz w:val="21"/>
          <w:szCs w:val="21"/>
        </w:rPr>
        <w:t>的基础上，近年来针对各种试验设计类型，又有多种扩展版</w:t>
      </w:r>
      <w:r>
        <w:rPr>
          <w:rFonts w:ascii="宋体" w:hAnsi="宋体" w:eastAsia="宋体" w:cs="宋体"/>
          <w:spacing w:val="15"/>
          <w:sz w:val="21"/>
          <w:szCs w:val="21"/>
        </w:rPr>
        <w:t xml:space="preserve"> </w:t>
      </w:r>
      <w:r>
        <w:rPr>
          <w:rFonts w:ascii="宋体" w:hAnsi="宋体" w:eastAsia="宋体" w:cs="宋体"/>
          <w:spacing w:val="5"/>
          <w:sz w:val="21"/>
          <w:szCs w:val="21"/>
        </w:rPr>
        <w:t>的</w:t>
      </w:r>
      <w:r>
        <w:rPr>
          <w:rFonts w:ascii="宋体" w:hAnsi="宋体" w:eastAsia="宋体" w:cs="宋体"/>
          <w:spacing w:val="-43"/>
          <w:sz w:val="21"/>
          <w:szCs w:val="21"/>
        </w:rPr>
        <w:t xml:space="preserve"> </w:t>
      </w:r>
      <w:r>
        <w:rPr>
          <w:rFonts w:ascii="Times New Roman" w:hAnsi="Times New Roman" w:eastAsia="Times New Roman" w:cs="Times New Roman"/>
          <w:sz w:val="21"/>
          <w:szCs w:val="21"/>
        </w:rPr>
        <w:t>CONSORT</w:t>
      </w:r>
      <w:r>
        <w:rPr>
          <w:rFonts w:ascii="Times New Roman" w:hAnsi="Times New Roman" w:eastAsia="Times New Roman" w:cs="Times New Roman"/>
          <w:spacing w:val="-14"/>
          <w:sz w:val="21"/>
          <w:szCs w:val="21"/>
        </w:rPr>
        <w:t xml:space="preserve"> </w:t>
      </w:r>
      <w:r>
        <w:rPr>
          <w:rFonts w:ascii="宋体" w:hAnsi="宋体" w:eastAsia="宋体" w:cs="宋体"/>
          <w:spacing w:val="5"/>
          <w:sz w:val="21"/>
          <w:szCs w:val="21"/>
        </w:rPr>
        <w:t>报告规范被制定发布。目前国际上绝大部分的医学期刊明确规定，投稿作者须按照</w:t>
      </w:r>
      <w:r>
        <w:rPr>
          <w:rFonts w:ascii="宋体" w:hAnsi="宋体" w:eastAsia="宋体" w:cs="宋体"/>
          <w:sz w:val="21"/>
          <w:szCs w:val="21"/>
        </w:rPr>
        <w:t xml:space="preserve"> </w:t>
      </w:r>
      <w:r>
        <w:rPr>
          <w:rFonts w:ascii="Times New Roman" w:hAnsi="Times New Roman" w:eastAsia="Times New Roman" w:cs="Times New Roman"/>
          <w:spacing w:val="-1"/>
          <w:sz w:val="21"/>
          <w:szCs w:val="21"/>
        </w:rPr>
        <w:t>CONSORT</w:t>
      </w:r>
      <w:r>
        <w:rPr>
          <w:rFonts w:ascii="宋体" w:hAnsi="宋体" w:eastAsia="宋体" w:cs="宋体"/>
          <w:spacing w:val="-1"/>
          <w:sz w:val="21"/>
          <w:szCs w:val="21"/>
        </w:rPr>
        <w:t>或者扩展版本组织临床试验论文的</w:t>
      </w:r>
      <w:r>
        <w:rPr>
          <w:rFonts w:ascii="宋体" w:hAnsi="宋体" w:eastAsia="宋体" w:cs="宋体"/>
          <w:spacing w:val="-2"/>
          <w:sz w:val="21"/>
          <w:szCs w:val="21"/>
        </w:rPr>
        <w:t>撰写，方可进入审稿程序。</w:t>
      </w:r>
    </w:p>
    <w:p w14:paraId="75AA286C">
      <w:pPr>
        <w:spacing w:before="21" w:line="219" w:lineRule="auto"/>
        <w:ind w:left="8199"/>
        <w:rPr>
          <w:rFonts w:ascii="宋体" w:hAnsi="宋体" w:eastAsia="宋体" w:cs="宋体"/>
          <w:sz w:val="21"/>
          <w:szCs w:val="21"/>
        </w:rPr>
      </w:pPr>
      <w:r>
        <w:rPr>
          <w:rFonts w:ascii="宋体" w:hAnsi="宋体" w:eastAsia="宋体" w:cs="宋体"/>
          <w:spacing w:val="13"/>
          <w:sz w:val="21"/>
          <w:szCs w:val="21"/>
        </w:rPr>
        <w:t>(詹思延)</w:t>
      </w:r>
    </w:p>
    <w:p w14:paraId="0F223AFD">
      <w:pPr>
        <w:spacing w:line="260" w:lineRule="auto"/>
        <w:rPr>
          <w:rFonts w:ascii="Arial"/>
          <w:sz w:val="21"/>
        </w:rPr>
      </w:pPr>
    </w:p>
    <w:p w14:paraId="2FFEBBE5">
      <w:pPr>
        <w:spacing w:line="261" w:lineRule="auto"/>
        <w:rPr>
          <w:rFonts w:ascii="Arial"/>
          <w:sz w:val="21"/>
        </w:rPr>
      </w:pPr>
      <w:r>
        <w:drawing>
          <wp:anchor distT="0" distB="0" distL="0" distR="0" simplePos="0" relativeHeight="251762688" behindDoc="0" locked="0" layoutInCell="1" allowOverlap="1">
            <wp:simplePos x="0" y="0"/>
            <wp:positionH relativeFrom="column">
              <wp:posOffset>43815</wp:posOffset>
            </wp:positionH>
            <wp:positionV relativeFrom="paragraph">
              <wp:posOffset>165100</wp:posOffset>
            </wp:positionV>
            <wp:extent cx="5594350" cy="12700"/>
            <wp:effectExtent l="0" t="0" r="0" b="0"/>
            <wp:wrapNone/>
            <wp:docPr id="392" name="IM 392"/>
            <wp:cNvGraphicFramePr/>
            <a:graphic xmlns:a="http://schemas.openxmlformats.org/drawingml/2006/main">
              <a:graphicData uri="http://schemas.openxmlformats.org/drawingml/2006/picture">
                <pic:pic xmlns:pic="http://schemas.openxmlformats.org/drawingml/2006/picture">
                  <pic:nvPicPr>
                    <pic:cNvPr id="392" name="IM 392"/>
                    <pic:cNvPicPr/>
                  </pic:nvPicPr>
                  <pic:blipFill>
                    <a:blip r:embed="rId565"/>
                    <a:stretch>
                      <a:fillRect/>
                    </a:stretch>
                  </pic:blipFill>
                  <pic:spPr>
                    <a:xfrm>
                      <a:off x="0" y="0"/>
                      <a:ext cx="5594379" cy="12710"/>
                    </a:xfrm>
                    <a:prstGeom prst="rect">
                      <a:avLst/>
                    </a:prstGeom>
                  </pic:spPr>
                </pic:pic>
              </a:graphicData>
            </a:graphic>
          </wp:anchor>
        </w:drawing>
      </w:r>
    </w:p>
    <w:p w14:paraId="509A54EE">
      <w:pPr>
        <w:spacing w:line="261" w:lineRule="auto"/>
        <w:rPr>
          <w:rFonts w:ascii="Arial"/>
          <w:sz w:val="21"/>
        </w:rPr>
      </w:pPr>
      <w:r>
        <w:drawing>
          <wp:anchor distT="0" distB="0" distL="0" distR="0" simplePos="0" relativeHeight="251763712" behindDoc="0" locked="0" layoutInCell="1" allowOverlap="1">
            <wp:simplePos x="0" y="0"/>
            <wp:positionH relativeFrom="column">
              <wp:posOffset>18415</wp:posOffset>
            </wp:positionH>
            <wp:positionV relativeFrom="paragraph">
              <wp:posOffset>24130</wp:posOffset>
            </wp:positionV>
            <wp:extent cx="6350" cy="1155700"/>
            <wp:effectExtent l="0" t="0" r="0" b="0"/>
            <wp:wrapNone/>
            <wp:docPr id="394" name="IM 394"/>
            <wp:cNvGraphicFramePr/>
            <a:graphic xmlns:a="http://schemas.openxmlformats.org/drawingml/2006/main">
              <a:graphicData uri="http://schemas.openxmlformats.org/drawingml/2006/picture">
                <pic:pic xmlns:pic="http://schemas.openxmlformats.org/drawingml/2006/picture">
                  <pic:nvPicPr>
                    <pic:cNvPr id="394" name="IM 394"/>
                    <pic:cNvPicPr/>
                  </pic:nvPicPr>
                  <pic:blipFill>
                    <a:blip r:embed="rId566"/>
                    <a:stretch>
                      <a:fillRect/>
                    </a:stretch>
                  </pic:blipFill>
                  <pic:spPr>
                    <a:xfrm>
                      <a:off x="0" y="0"/>
                      <a:ext cx="6350" cy="1155651"/>
                    </a:xfrm>
                    <a:prstGeom prst="rect">
                      <a:avLst/>
                    </a:prstGeom>
                  </pic:spPr>
                </pic:pic>
              </a:graphicData>
            </a:graphic>
          </wp:anchor>
        </w:drawing>
      </w:r>
    </w:p>
    <w:p w14:paraId="1EEC0484">
      <w:pPr>
        <w:pStyle w:val="2"/>
        <w:spacing w:before="82" w:line="222" w:lineRule="auto"/>
        <w:ind w:left="433"/>
        <w:rPr>
          <w:sz w:val="25"/>
          <w:szCs w:val="25"/>
        </w:rPr>
      </w:pPr>
      <w:r>
        <w:rPr>
          <w:b/>
          <w:bCs/>
          <w:spacing w:val="5"/>
          <w:sz w:val="25"/>
          <w:szCs w:val="25"/>
        </w:rPr>
        <w:t>思考题</w:t>
      </w:r>
    </w:p>
    <w:p w14:paraId="6A47DC72">
      <w:pPr>
        <w:spacing w:before="90" w:line="219" w:lineRule="auto"/>
        <w:ind w:left="1299"/>
        <w:rPr>
          <w:rFonts w:ascii="宋体" w:hAnsi="宋体" w:eastAsia="宋体" w:cs="宋体"/>
          <w:sz w:val="21"/>
          <w:szCs w:val="21"/>
        </w:rPr>
      </w:pPr>
      <w:r>
        <w:rPr>
          <w:rFonts w:ascii="宋体" w:hAnsi="宋体" w:eastAsia="宋体" w:cs="宋体"/>
          <w:spacing w:val="3"/>
          <w:sz w:val="21"/>
          <w:szCs w:val="21"/>
        </w:rPr>
        <w:t>1.</w:t>
      </w:r>
      <w:r>
        <w:rPr>
          <w:rFonts w:ascii="宋体" w:hAnsi="宋体" w:eastAsia="宋体" w:cs="宋体"/>
          <w:spacing w:val="-52"/>
          <w:sz w:val="21"/>
          <w:szCs w:val="21"/>
        </w:rPr>
        <w:t xml:space="preserve"> </w:t>
      </w:r>
      <w:r>
        <w:rPr>
          <w:rFonts w:ascii="宋体" w:hAnsi="宋体" w:eastAsia="宋体" w:cs="宋体"/>
          <w:spacing w:val="3"/>
          <w:sz w:val="21"/>
          <w:szCs w:val="21"/>
        </w:rPr>
        <w:t>流行病学实验的基本特征是什么?</w:t>
      </w:r>
    </w:p>
    <w:p w14:paraId="3C19E49C">
      <w:pPr>
        <w:spacing w:before="123" w:line="220" w:lineRule="auto"/>
        <w:ind w:left="1299"/>
        <w:rPr>
          <w:rFonts w:ascii="宋体" w:hAnsi="宋体" w:eastAsia="宋体" w:cs="宋体"/>
          <w:sz w:val="21"/>
          <w:szCs w:val="21"/>
        </w:rPr>
      </w:pPr>
      <w:r>
        <w:rPr>
          <w:rFonts w:ascii="宋体" w:hAnsi="宋体" w:eastAsia="宋体" w:cs="宋体"/>
          <w:spacing w:val="6"/>
          <w:sz w:val="21"/>
          <w:szCs w:val="21"/>
        </w:rPr>
        <w:t>2.分组隐匿与盲法有何不同?</w:t>
      </w:r>
    </w:p>
    <w:p w14:paraId="2753BAEE">
      <w:pPr>
        <w:spacing w:before="119" w:line="219" w:lineRule="auto"/>
        <w:ind w:left="1299"/>
        <w:rPr>
          <w:rFonts w:ascii="宋体" w:hAnsi="宋体" w:eastAsia="宋体" w:cs="宋体"/>
          <w:sz w:val="21"/>
          <w:szCs w:val="21"/>
        </w:rPr>
      </w:pPr>
      <w:r>
        <w:rPr>
          <w:rFonts w:ascii="宋体" w:hAnsi="宋体" w:eastAsia="宋体" w:cs="宋体"/>
          <w:spacing w:val="2"/>
          <w:sz w:val="21"/>
          <w:szCs w:val="21"/>
        </w:rPr>
        <w:t>3.</w:t>
      </w:r>
      <w:r>
        <w:rPr>
          <w:rFonts w:ascii="宋体" w:hAnsi="宋体" w:eastAsia="宋体" w:cs="宋体"/>
          <w:spacing w:val="-37"/>
          <w:sz w:val="21"/>
          <w:szCs w:val="21"/>
        </w:rPr>
        <w:t xml:space="preserve"> </w:t>
      </w:r>
      <w:r>
        <w:rPr>
          <w:rFonts w:ascii="宋体" w:hAnsi="宋体" w:eastAsia="宋体" w:cs="宋体"/>
          <w:spacing w:val="2"/>
          <w:sz w:val="21"/>
          <w:szCs w:val="21"/>
        </w:rPr>
        <w:t>流行病学实验为什么必须设立对照?</w:t>
      </w:r>
    </w:p>
    <w:p w14:paraId="1A6437B6">
      <w:pPr>
        <w:spacing w:line="219" w:lineRule="auto"/>
        <w:rPr>
          <w:rFonts w:ascii="宋体" w:hAnsi="宋体" w:eastAsia="宋体" w:cs="宋体"/>
          <w:sz w:val="21"/>
          <w:szCs w:val="21"/>
        </w:rPr>
        <w:sectPr>
          <w:footerReference r:id="rId136" w:type="default"/>
          <w:pgSz w:w="11900" w:h="16820"/>
          <w:pgMar w:top="400" w:right="828" w:bottom="816" w:left="1390" w:header="0" w:footer="627" w:gutter="0"/>
          <w:cols w:space="720" w:num="1"/>
        </w:sectPr>
      </w:pPr>
    </w:p>
    <w:p w14:paraId="0F405F5D">
      <w:pPr>
        <w:spacing w:line="252" w:lineRule="auto"/>
        <w:rPr>
          <w:rFonts w:ascii="Arial"/>
          <w:sz w:val="21"/>
        </w:rPr>
      </w:pPr>
    </w:p>
    <w:p w14:paraId="741204E8">
      <w:pPr>
        <w:spacing w:line="252" w:lineRule="auto"/>
        <w:rPr>
          <w:rFonts w:ascii="Arial"/>
          <w:sz w:val="21"/>
        </w:rPr>
      </w:pPr>
    </w:p>
    <w:p w14:paraId="0FE7B333">
      <w:pPr>
        <w:spacing w:line="252" w:lineRule="auto"/>
        <w:rPr>
          <w:rFonts w:ascii="Arial"/>
          <w:sz w:val="21"/>
        </w:rPr>
      </w:pPr>
      <w:r>
        <w:drawing>
          <wp:anchor distT="0" distB="0" distL="0" distR="0" simplePos="0" relativeHeight="251764736" behindDoc="0" locked="0" layoutInCell="1" allowOverlap="1">
            <wp:simplePos x="0" y="0"/>
            <wp:positionH relativeFrom="column">
              <wp:posOffset>418465</wp:posOffset>
            </wp:positionH>
            <wp:positionV relativeFrom="paragraph">
              <wp:posOffset>191135</wp:posOffset>
            </wp:positionV>
            <wp:extent cx="558800" cy="628650"/>
            <wp:effectExtent l="0" t="0" r="0" b="0"/>
            <wp:wrapNone/>
            <wp:docPr id="396" name="IM 396"/>
            <wp:cNvGraphicFramePr/>
            <a:graphic xmlns:a="http://schemas.openxmlformats.org/drawingml/2006/main">
              <a:graphicData uri="http://schemas.openxmlformats.org/drawingml/2006/picture">
                <pic:pic xmlns:pic="http://schemas.openxmlformats.org/drawingml/2006/picture">
                  <pic:nvPicPr>
                    <pic:cNvPr id="396" name="IM 396"/>
                    <pic:cNvPicPr/>
                  </pic:nvPicPr>
                  <pic:blipFill>
                    <a:blip r:embed="rId567"/>
                    <a:stretch>
                      <a:fillRect/>
                    </a:stretch>
                  </pic:blipFill>
                  <pic:spPr>
                    <a:xfrm>
                      <a:off x="0" y="0"/>
                      <a:ext cx="558803" cy="628666"/>
                    </a:xfrm>
                    <a:prstGeom prst="rect">
                      <a:avLst/>
                    </a:prstGeom>
                  </pic:spPr>
                </pic:pic>
              </a:graphicData>
            </a:graphic>
          </wp:anchor>
        </w:drawing>
      </w:r>
    </w:p>
    <w:p w14:paraId="2B60B5A2">
      <w:pPr>
        <w:pStyle w:val="2"/>
        <w:spacing w:before="94" w:line="251" w:lineRule="auto"/>
        <w:ind w:left="4396" w:right="3659" w:firstLine="197"/>
        <w:outlineLvl w:val="0"/>
        <w:rPr>
          <w:sz w:val="44"/>
          <w:szCs w:val="44"/>
        </w:rPr>
      </w:pPr>
      <w:bookmarkStart w:id="192" w:name="bookmark124"/>
      <w:bookmarkEnd w:id="192"/>
      <w:r>
        <w:rPr>
          <w:b/>
          <w:bCs/>
          <w:spacing w:val="-7"/>
          <w:sz w:val="29"/>
          <w:szCs w:val="29"/>
        </w:rPr>
        <w:t>第七章</w:t>
      </w:r>
      <w:r>
        <w:rPr>
          <w:sz w:val="29"/>
          <w:szCs w:val="29"/>
        </w:rPr>
        <w:t xml:space="preserve">  </w:t>
      </w:r>
      <w:bookmarkStart w:id="193" w:name="bookmark464"/>
      <w:bookmarkEnd w:id="193"/>
      <w:bookmarkStart w:id="194" w:name="bookmark124"/>
      <w:bookmarkEnd w:id="194"/>
      <w:r>
        <w:rPr>
          <w:b/>
          <w:bCs/>
          <w:spacing w:val="-13"/>
          <w:sz w:val="44"/>
          <w:szCs w:val="44"/>
        </w:rPr>
        <w:t>筛</w:t>
      </w:r>
      <w:r>
        <w:rPr>
          <w:spacing w:val="-13"/>
          <w:sz w:val="44"/>
          <w:szCs w:val="44"/>
        </w:rPr>
        <w:t xml:space="preserve">  </w:t>
      </w:r>
      <w:r>
        <w:rPr>
          <w:b/>
          <w:bCs/>
          <w:spacing w:val="-13"/>
          <w:sz w:val="44"/>
          <w:szCs w:val="44"/>
        </w:rPr>
        <w:t>检</w:t>
      </w:r>
    </w:p>
    <w:p w14:paraId="2E463173">
      <w:pPr>
        <w:spacing w:line="269" w:lineRule="auto"/>
        <w:rPr>
          <w:rFonts w:ascii="Arial"/>
          <w:sz w:val="21"/>
        </w:rPr>
      </w:pPr>
    </w:p>
    <w:p w14:paraId="2BC0505E">
      <w:pPr>
        <w:spacing w:line="269" w:lineRule="auto"/>
        <w:rPr>
          <w:rFonts w:ascii="Arial"/>
          <w:sz w:val="21"/>
        </w:rPr>
      </w:pPr>
    </w:p>
    <w:p w14:paraId="4BCE8366">
      <w:pPr>
        <w:spacing w:line="270" w:lineRule="auto"/>
        <w:rPr>
          <w:rFonts w:ascii="Arial"/>
          <w:sz w:val="21"/>
        </w:rPr>
      </w:pPr>
    </w:p>
    <w:p w14:paraId="021C7E24">
      <w:pPr>
        <w:spacing w:before="84" w:line="198" w:lineRule="auto"/>
        <w:ind w:left="3649"/>
        <w:rPr>
          <w:rFonts w:ascii="Arial" w:hAnsi="Arial" w:eastAsia="Arial" w:cs="Arial"/>
          <w:sz w:val="29"/>
          <w:szCs w:val="29"/>
        </w:rPr>
      </w:pPr>
      <w:r>
        <w:rPr>
          <w:rFonts w:ascii="Arial" w:hAnsi="Arial" w:eastAsia="Arial" w:cs="Arial"/>
          <w:spacing w:val="-1"/>
          <w:sz w:val="29"/>
          <w:szCs w:val="29"/>
        </w:rPr>
        <w:t>Chapter  7  Screening</w:t>
      </w:r>
    </w:p>
    <w:p w14:paraId="6A7054DA">
      <w:pPr>
        <w:spacing w:line="437" w:lineRule="auto"/>
        <w:rPr>
          <w:rFonts w:ascii="Arial"/>
          <w:sz w:val="21"/>
        </w:rPr>
      </w:pPr>
    </w:p>
    <w:p w14:paraId="0F0DB337">
      <w:pPr>
        <w:spacing w:before="54" w:line="394" w:lineRule="auto"/>
        <w:ind w:left="699" w:right="7" w:firstLine="410"/>
        <w:jc w:val="both"/>
        <w:rPr>
          <w:rFonts w:ascii="Times New Roman" w:hAnsi="Times New Roman" w:eastAsia="Times New Roman" w:cs="Times New Roman"/>
          <w:sz w:val="19"/>
          <w:szCs w:val="19"/>
        </w:rPr>
      </w:pPr>
      <w:r>
        <w:rPr>
          <w:rFonts w:ascii="Times New Roman" w:hAnsi="Times New Roman" w:eastAsia="Times New Roman" w:cs="Times New Roman"/>
          <w:spacing w:val="-1"/>
          <w:sz w:val="19"/>
          <w:szCs w:val="19"/>
        </w:rPr>
        <w:t>The</w:t>
      </w:r>
      <w:r>
        <w:rPr>
          <w:rFonts w:ascii="Times New Roman" w:hAnsi="Times New Roman" w:eastAsia="Times New Roman" w:cs="Times New Roman"/>
          <w:spacing w:val="42"/>
          <w:w w:val="101"/>
          <w:sz w:val="19"/>
          <w:szCs w:val="19"/>
        </w:rPr>
        <w:t xml:space="preserve"> </w:t>
      </w:r>
      <w:r>
        <w:rPr>
          <w:rFonts w:ascii="Times New Roman" w:hAnsi="Times New Roman" w:eastAsia="Times New Roman" w:cs="Times New Roman"/>
          <w:spacing w:val="-1"/>
          <w:sz w:val="19"/>
          <w:szCs w:val="19"/>
        </w:rPr>
        <w:t>aim</w:t>
      </w:r>
      <w:r>
        <w:rPr>
          <w:rFonts w:ascii="Times New Roman" w:hAnsi="Times New Roman" w:eastAsia="Times New Roman" w:cs="Times New Roman"/>
          <w:spacing w:val="41"/>
          <w:w w:val="101"/>
          <w:sz w:val="19"/>
          <w:szCs w:val="19"/>
        </w:rPr>
        <w:t xml:space="preserve"> </w:t>
      </w:r>
      <w:r>
        <w:rPr>
          <w:rFonts w:ascii="Times New Roman" w:hAnsi="Times New Roman" w:eastAsia="Times New Roman" w:cs="Times New Roman"/>
          <w:spacing w:val="-1"/>
          <w:sz w:val="19"/>
          <w:szCs w:val="19"/>
        </w:rPr>
        <w:t>of</w:t>
      </w:r>
      <w:r>
        <w:rPr>
          <w:rFonts w:ascii="Times New Roman" w:hAnsi="Times New Roman" w:eastAsia="Times New Roman" w:cs="Times New Roman"/>
          <w:spacing w:val="24"/>
          <w:w w:val="101"/>
          <w:sz w:val="19"/>
          <w:szCs w:val="19"/>
        </w:rPr>
        <w:t xml:space="preserve"> </w:t>
      </w:r>
      <w:r>
        <w:rPr>
          <w:rFonts w:ascii="Times New Roman" w:hAnsi="Times New Roman" w:eastAsia="Times New Roman" w:cs="Times New Roman"/>
          <w:spacing w:val="-1"/>
          <w:sz w:val="19"/>
          <w:szCs w:val="19"/>
        </w:rPr>
        <w:t>screening</w:t>
      </w:r>
      <w:r>
        <w:rPr>
          <w:rFonts w:ascii="Times New Roman" w:hAnsi="Times New Roman" w:eastAsia="Times New Roman" w:cs="Times New Roman"/>
          <w:spacing w:val="40"/>
          <w:w w:val="101"/>
          <w:sz w:val="19"/>
          <w:szCs w:val="19"/>
        </w:rPr>
        <w:t xml:space="preserve"> </w:t>
      </w:r>
      <w:r>
        <w:rPr>
          <w:rFonts w:ascii="Times New Roman" w:hAnsi="Times New Roman" w:eastAsia="Times New Roman" w:cs="Times New Roman"/>
          <w:spacing w:val="-1"/>
          <w:sz w:val="19"/>
          <w:szCs w:val="19"/>
        </w:rPr>
        <w:t>is</w:t>
      </w:r>
      <w:r>
        <w:rPr>
          <w:rFonts w:ascii="Times New Roman" w:hAnsi="Times New Roman" w:eastAsia="Times New Roman" w:cs="Times New Roman"/>
          <w:spacing w:val="37"/>
          <w:sz w:val="19"/>
          <w:szCs w:val="19"/>
        </w:rPr>
        <w:t xml:space="preserve"> </w:t>
      </w:r>
      <w:r>
        <w:rPr>
          <w:rFonts w:ascii="Times New Roman" w:hAnsi="Times New Roman" w:eastAsia="Times New Roman" w:cs="Times New Roman"/>
          <w:spacing w:val="-1"/>
          <w:sz w:val="19"/>
          <w:szCs w:val="19"/>
        </w:rPr>
        <w:t>to</w:t>
      </w:r>
      <w:r>
        <w:rPr>
          <w:rFonts w:ascii="Times New Roman" w:hAnsi="Times New Roman" w:eastAsia="Times New Roman" w:cs="Times New Roman"/>
          <w:spacing w:val="41"/>
          <w:sz w:val="19"/>
          <w:szCs w:val="19"/>
        </w:rPr>
        <w:t xml:space="preserve"> </w:t>
      </w:r>
      <w:r>
        <w:rPr>
          <w:rFonts w:ascii="Times New Roman" w:hAnsi="Times New Roman" w:eastAsia="Times New Roman" w:cs="Times New Roman"/>
          <w:spacing w:val="-1"/>
          <w:sz w:val="19"/>
          <w:szCs w:val="19"/>
        </w:rPr>
        <w:t>detect</w:t>
      </w:r>
      <w:r>
        <w:rPr>
          <w:rFonts w:ascii="Times New Roman" w:hAnsi="Times New Roman" w:eastAsia="Times New Roman" w:cs="Times New Roman"/>
          <w:spacing w:val="41"/>
          <w:w w:val="101"/>
          <w:sz w:val="19"/>
          <w:szCs w:val="19"/>
        </w:rPr>
        <w:t xml:space="preserve"> </w:t>
      </w:r>
      <w:r>
        <w:rPr>
          <w:rFonts w:ascii="Times New Roman" w:hAnsi="Times New Roman" w:eastAsia="Times New Roman" w:cs="Times New Roman"/>
          <w:spacing w:val="-1"/>
          <w:sz w:val="19"/>
          <w:szCs w:val="19"/>
        </w:rPr>
        <w:t>a</w:t>
      </w:r>
      <w:r>
        <w:rPr>
          <w:rFonts w:ascii="Times New Roman" w:hAnsi="Times New Roman" w:eastAsia="Times New Roman" w:cs="Times New Roman"/>
          <w:spacing w:val="41"/>
          <w:sz w:val="19"/>
          <w:szCs w:val="19"/>
        </w:rPr>
        <w:t xml:space="preserve"> </w:t>
      </w:r>
      <w:r>
        <w:rPr>
          <w:rFonts w:ascii="Times New Roman" w:hAnsi="Times New Roman" w:eastAsia="Times New Roman" w:cs="Times New Roman"/>
          <w:spacing w:val="-1"/>
          <w:sz w:val="19"/>
          <w:szCs w:val="19"/>
        </w:rPr>
        <w:t>disease</w:t>
      </w:r>
      <w:r>
        <w:rPr>
          <w:rFonts w:ascii="Times New Roman" w:hAnsi="Times New Roman" w:eastAsia="Times New Roman" w:cs="Times New Roman"/>
          <w:spacing w:val="42"/>
          <w:sz w:val="19"/>
          <w:szCs w:val="19"/>
        </w:rPr>
        <w:t xml:space="preserve"> </w:t>
      </w:r>
      <w:r>
        <w:rPr>
          <w:rFonts w:ascii="Times New Roman" w:hAnsi="Times New Roman" w:eastAsia="Times New Roman" w:cs="Times New Roman"/>
          <w:spacing w:val="-1"/>
          <w:sz w:val="19"/>
          <w:szCs w:val="19"/>
        </w:rPr>
        <w:t>at</w:t>
      </w:r>
      <w:r>
        <w:rPr>
          <w:rFonts w:ascii="Times New Roman" w:hAnsi="Times New Roman" w:eastAsia="Times New Roman" w:cs="Times New Roman"/>
          <w:spacing w:val="40"/>
          <w:sz w:val="19"/>
          <w:szCs w:val="19"/>
        </w:rPr>
        <w:t xml:space="preserve"> </w:t>
      </w:r>
      <w:r>
        <w:rPr>
          <w:rFonts w:ascii="Times New Roman" w:hAnsi="Times New Roman" w:eastAsia="Times New Roman" w:cs="Times New Roman"/>
          <w:spacing w:val="-1"/>
          <w:sz w:val="19"/>
          <w:szCs w:val="19"/>
        </w:rPr>
        <w:t>its</w:t>
      </w:r>
      <w:r>
        <w:rPr>
          <w:rFonts w:ascii="Times New Roman" w:hAnsi="Times New Roman" w:eastAsia="Times New Roman" w:cs="Times New Roman"/>
          <w:spacing w:val="41"/>
          <w:w w:val="101"/>
          <w:sz w:val="19"/>
          <w:szCs w:val="19"/>
        </w:rPr>
        <w:t xml:space="preserve"> </w:t>
      </w:r>
      <w:r>
        <w:rPr>
          <w:rFonts w:ascii="Times New Roman" w:hAnsi="Times New Roman" w:eastAsia="Times New Roman" w:cs="Times New Roman"/>
          <w:spacing w:val="-1"/>
          <w:sz w:val="19"/>
          <w:szCs w:val="19"/>
        </w:rPr>
        <w:t>asymptomatic</w:t>
      </w:r>
      <w:r>
        <w:rPr>
          <w:rFonts w:ascii="Times New Roman" w:hAnsi="Times New Roman" w:eastAsia="Times New Roman" w:cs="Times New Roman"/>
          <w:spacing w:val="44"/>
          <w:w w:val="101"/>
          <w:sz w:val="19"/>
          <w:szCs w:val="19"/>
        </w:rPr>
        <w:t xml:space="preserve"> </w:t>
      </w:r>
      <w:r>
        <w:rPr>
          <w:rFonts w:ascii="Times New Roman" w:hAnsi="Times New Roman" w:eastAsia="Times New Roman" w:cs="Times New Roman"/>
          <w:spacing w:val="-1"/>
          <w:sz w:val="19"/>
          <w:szCs w:val="19"/>
        </w:rPr>
        <w:t>stage</w:t>
      </w:r>
      <w:r>
        <w:rPr>
          <w:rFonts w:ascii="Times New Roman" w:hAnsi="Times New Roman" w:eastAsia="Times New Roman" w:cs="Times New Roman"/>
          <w:spacing w:val="44"/>
          <w:sz w:val="19"/>
          <w:szCs w:val="19"/>
        </w:rPr>
        <w:t xml:space="preserve"> </w:t>
      </w:r>
      <w:r>
        <w:rPr>
          <w:rFonts w:ascii="Times New Roman" w:hAnsi="Times New Roman" w:eastAsia="Times New Roman" w:cs="Times New Roman"/>
          <w:spacing w:val="-1"/>
          <w:sz w:val="19"/>
          <w:szCs w:val="19"/>
        </w:rPr>
        <w:t>so</w:t>
      </w:r>
      <w:r>
        <w:rPr>
          <w:rFonts w:ascii="Times New Roman" w:hAnsi="Times New Roman" w:eastAsia="Times New Roman" w:cs="Times New Roman"/>
          <w:spacing w:val="37"/>
          <w:sz w:val="19"/>
          <w:szCs w:val="19"/>
        </w:rPr>
        <w:t xml:space="preserve"> </w:t>
      </w:r>
      <w:r>
        <w:rPr>
          <w:rFonts w:ascii="Times New Roman" w:hAnsi="Times New Roman" w:eastAsia="Times New Roman" w:cs="Times New Roman"/>
          <w:spacing w:val="-1"/>
          <w:sz w:val="19"/>
          <w:szCs w:val="19"/>
        </w:rPr>
        <w:t>th</w:t>
      </w:r>
      <w:r>
        <w:rPr>
          <w:rFonts w:ascii="Times New Roman" w:hAnsi="Times New Roman" w:eastAsia="Times New Roman" w:cs="Times New Roman"/>
          <w:spacing w:val="-2"/>
          <w:sz w:val="19"/>
          <w:szCs w:val="19"/>
        </w:rPr>
        <w:t>at</w:t>
      </w:r>
      <w:r>
        <w:rPr>
          <w:rFonts w:ascii="Times New Roman" w:hAnsi="Times New Roman" w:eastAsia="Times New Roman" w:cs="Times New Roman"/>
          <w:spacing w:val="36"/>
          <w:w w:val="101"/>
          <w:sz w:val="19"/>
          <w:szCs w:val="19"/>
        </w:rPr>
        <w:t xml:space="preserve"> </w:t>
      </w:r>
      <w:r>
        <w:rPr>
          <w:rFonts w:ascii="Times New Roman" w:hAnsi="Times New Roman" w:eastAsia="Times New Roman" w:cs="Times New Roman"/>
          <w:spacing w:val="-2"/>
          <w:sz w:val="19"/>
          <w:szCs w:val="19"/>
        </w:rPr>
        <w:t>treatment</w:t>
      </w:r>
      <w:r>
        <w:rPr>
          <w:rFonts w:ascii="Times New Roman" w:hAnsi="Times New Roman" w:eastAsia="Times New Roman" w:cs="Times New Roman"/>
          <w:spacing w:val="41"/>
          <w:sz w:val="19"/>
          <w:szCs w:val="19"/>
        </w:rPr>
        <w:t xml:space="preserve"> </w:t>
      </w:r>
      <w:r>
        <w:rPr>
          <w:rFonts w:ascii="Times New Roman" w:hAnsi="Times New Roman" w:eastAsia="Times New Roman" w:cs="Times New Roman"/>
          <w:spacing w:val="-2"/>
          <w:sz w:val="19"/>
          <w:szCs w:val="19"/>
        </w:rPr>
        <w:t>can</w:t>
      </w:r>
      <w:r>
        <w:rPr>
          <w:rFonts w:ascii="Times New Roman" w:hAnsi="Times New Roman" w:eastAsia="Times New Roman" w:cs="Times New Roman"/>
          <w:spacing w:val="44"/>
          <w:sz w:val="19"/>
          <w:szCs w:val="19"/>
        </w:rPr>
        <w:t xml:space="preserve"> </w:t>
      </w:r>
      <w:r>
        <w:rPr>
          <w:rFonts w:ascii="Times New Roman" w:hAnsi="Times New Roman" w:eastAsia="Times New Roman" w:cs="Times New Roman"/>
          <w:spacing w:val="-2"/>
          <w:sz w:val="19"/>
          <w:szCs w:val="19"/>
        </w:rPr>
        <w:t>start</w:t>
      </w:r>
      <w:r>
        <w:rPr>
          <w:rFonts w:ascii="Times New Roman" w:hAnsi="Times New Roman" w:eastAsia="Times New Roman" w:cs="Times New Roman"/>
          <w:spacing w:val="41"/>
          <w:w w:val="102"/>
          <w:sz w:val="19"/>
          <w:szCs w:val="19"/>
        </w:rPr>
        <w:t xml:space="preserve"> </w:t>
      </w:r>
      <w:r>
        <w:rPr>
          <w:rFonts w:ascii="Times New Roman" w:hAnsi="Times New Roman" w:eastAsia="Times New Roman" w:cs="Times New Roman"/>
          <w:spacing w:val="-2"/>
          <w:sz w:val="19"/>
          <w:szCs w:val="19"/>
        </w:rPr>
        <w:t>early</w:t>
      </w:r>
      <w:r>
        <w:rPr>
          <w:rFonts w:ascii="Times New Roman" w:hAnsi="Times New Roman" w:eastAsia="Times New Roman" w:cs="Times New Roman"/>
          <w:sz w:val="19"/>
          <w:szCs w:val="19"/>
        </w:rPr>
        <w:t xml:space="preserve"> with  the  hope   of  a  better</w:t>
      </w:r>
      <w:r>
        <w:rPr>
          <w:rFonts w:ascii="Times New Roman" w:hAnsi="Times New Roman" w:eastAsia="Times New Roman" w:cs="Times New Roman"/>
          <w:spacing w:val="8"/>
          <w:sz w:val="19"/>
          <w:szCs w:val="19"/>
        </w:rPr>
        <w:t xml:space="preserve">  </w:t>
      </w:r>
      <w:r>
        <w:rPr>
          <w:rFonts w:ascii="Times New Roman" w:hAnsi="Times New Roman" w:eastAsia="Times New Roman" w:cs="Times New Roman"/>
          <w:sz w:val="19"/>
          <w:szCs w:val="19"/>
        </w:rPr>
        <w:t>prognosis.The</w:t>
      </w:r>
      <w:r>
        <w:rPr>
          <w:rFonts w:ascii="Times New Roman" w:hAnsi="Times New Roman" w:eastAsia="Times New Roman" w:cs="Times New Roman"/>
          <w:spacing w:val="10"/>
          <w:sz w:val="19"/>
          <w:szCs w:val="19"/>
        </w:rPr>
        <w:t xml:space="preserve">  </w:t>
      </w:r>
      <w:r>
        <w:rPr>
          <w:rFonts w:ascii="Times New Roman" w:hAnsi="Times New Roman" w:eastAsia="Times New Roman" w:cs="Times New Roman"/>
          <w:sz w:val="19"/>
          <w:szCs w:val="19"/>
        </w:rPr>
        <w:t xml:space="preserve">types   of  screening   include  mass   </w:t>
      </w:r>
      <w:r>
        <w:rPr>
          <w:rFonts w:ascii="Times New Roman" w:hAnsi="Times New Roman" w:eastAsia="Times New Roman" w:cs="Times New Roman"/>
          <w:spacing w:val="-1"/>
          <w:sz w:val="19"/>
          <w:szCs w:val="19"/>
        </w:rPr>
        <w:t>screening,selective</w:t>
      </w:r>
      <w:r>
        <w:rPr>
          <w:rFonts w:ascii="Times New Roman" w:hAnsi="Times New Roman" w:eastAsia="Times New Roman" w:cs="Times New Roman"/>
          <w:spacing w:val="14"/>
          <w:sz w:val="19"/>
          <w:szCs w:val="19"/>
        </w:rPr>
        <w:t xml:space="preserve">  </w:t>
      </w:r>
      <w:r>
        <w:rPr>
          <w:rFonts w:ascii="Times New Roman" w:hAnsi="Times New Roman" w:eastAsia="Times New Roman" w:cs="Times New Roman"/>
          <w:spacing w:val="-1"/>
          <w:sz w:val="19"/>
          <w:szCs w:val="19"/>
        </w:rPr>
        <w:t>screening,</w:t>
      </w:r>
      <w:r>
        <w:rPr>
          <w:rFonts w:ascii="Times New Roman" w:hAnsi="Times New Roman" w:eastAsia="Times New Roman" w:cs="Times New Roman"/>
          <w:sz w:val="19"/>
          <w:szCs w:val="19"/>
        </w:rPr>
        <w:t xml:space="preserve"> single-disease    screening,multiple-disease    screening,and    case </w:t>
      </w:r>
      <w:r>
        <w:rPr>
          <w:rFonts w:ascii="Times New Roman" w:hAnsi="Times New Roman" w:eastAsia="Times New Roman" w:cs="Times New Roman"/>
          <w:spacing w:val="-1"/>
          <w:sz w:val="19"/>
          <w:szCs w:val="19"/>
        </w:rPr>
        <w:t xml:space="preserve">   finding.The</w:t>
      </w:r>
      <w:r>
        <w:rPr>
          <w:rFonts w:ascii="Times New Roman" w:hAnsi="Times New Roman" w:eastAsia="Times New Roman" w:cs="Times New Roman"/>
          <w:spacing w:val="13"/>
          <w:w w:val="101"/>
          <w:sz w:val="19"/>
          <w:szCs w:val="19"/>
        </w:rPr>
        <w:t xml:space="preserve">   </w:t>
      </w:r>
      <w:r>
        <w:rPr>
          <w:rFonts w:ascii="Times New Roman" w:hAnsi="Times New Roman" w:eastAsia="Times New Roman" w:cs="Times New Roman"/>
          <w:spacing w:val="-1"/>
          <w:sz w:val="19"/>
          <w:szCs w:val="19"/>
        </w:rPr>
        <w:t>validity</w:t>
      </w:r>
      <w:r>
        <w:rPr>
          <w:rFonts w:ascii="Times New Roman" w:hAnsi="Times New Roman" w:eastAsia="Times New Roman" w:cs="Times New Roman"/>
          <w:spacing w:val="14"/>
          <w:w w:val="101"/>
          <w:sz w:val="19"/>
          <w:szCs w:val="19"/>
        </w:rPr>
        <w:t xml:space="preserve">   </w:t>
      </w:r>
      <w:r>
        <w:rPr>
          <w:rFonts w:ascii="Times New Roman" w:hAnsi="Times New Roman" w:eastAsia="Times New Roman" w:cs="Times New Roman"/>
          <w:spacing w:val="-1"/>
          <w:sz w:val="19"/>
          <w:szCs w:val="19"/>
        </w:rPr>
        <w:t>or</w:t>
      </w:r>
      <w:r>
        <w:rPr>
          <w:rFonts w:ascii="Times New Roman" w:hAnsi="Times New Roman" w:eastAsia="Times New Roman" w:cs="Times New Roman"/>
          <w:spacing w:val="15"/>
          <w:sz w:val="19"/>
          <w:szCs w:val="19"/>
        </w:rPr>
        <w:t xml:space="preserve">   </w:t>
      </w:r>
      <w:r>
        <w:rPr>
          <w:rFonts w:ascii="Times New Roman" w:hAnsi="Times New Roman" w:eastAsia="Times New Roman" w:cs="Times New Roman"/>
          <w:spacing w:val="-1"/>
          <w:sz w:val="19"/>
          <w:szCs w:val="19"/>
        </w:rPr>
        <w:t>accuracy</w:t>
      </w:r>
      <w:r>
        <w:rPr>
          <w:rFonts w:ascii="Times New Roman" w:hAnsi="Times New Roman" w:eastAsia="Times New Roman" w:cs="Times New Roman"/>
          <w:spacing w:val="14"/>
          <w:w w:val="101"/>
          <w:sz w:val="19"/>
          <w:szCs w:val="19"/>
        </w:rPr>
        <w:t xml:space="preserve">   </w:t>
      </w:r>
      <w:r>
        <w:rPr>
          <w:rFonts w:ascii="Times New Roman" w:hAnsi="Times New Roman" w:eastAsia="Times New Roman" w:cs="Times New Roman"/>
          <w:spacing w:val="-1"/>
          <w:sz w:val="19"/>
          <w:szCs w:val="19"/>
        </w:rPr>
        <w:t>of   a</w:t>
      </w:r>
      <w:r>
        <w:rPr>
          <w:rFonts w:ascii="Times New Roman" w:hAnsi="Times New Roman" w:eastAsia="Times New Roman" w:cs="Times New Roman"/>
          <w:spacing w:val="1"/>
          <w:sz w:val="19"/>
          <w:szCs w:val="19"/>
        </w:rPr>
        <w:t xml:space="preserve"> </w:t>
      </w:r>
      <w:r>
        <w:rPr>
          <w:rFonts w:ascii="Times New Roman" w:hAnsi="Times New Roman" w:eastAsia="Times New Roman" w:cs="Times New Roman"/>
          <w:sz w:val="19"/>
          <w:szCs w:val="19"/>
        </w:rPr>
        <w:t>screening</w:t>
      </w:r>
      <w:r>
        <w:rPr>
          <w:rFonts w:ascii="Times New Roman" w:hAnsi="Times New Roman" w:eastAsia="Times New Roman" w:cs="Times New Roman"/>
          <w:spacing w:val="46"/>
          <w:w w:val="101"/>
          <w:sz w:val="19"/>
          <w:szCs w:val="19"/>
        </w:rPr>
        <w:t xml:space="preserve"> </w:t>
      </w:r>
      <w:r>
        <w:rPr>
          <w:rFonts w:ascii="Times New Roman" w:hAnsi="Times New Roman" w:eastAsia="Times New Roman" w:cs="Times New Roman"/>
          <w:sz w:val="19"/>
          <w:szCs w:val="19"/>
        </w:rPr>
        <w:t>test  can  be</w:t>
      </w:r>
      <w:r>
        <w:rPr>
          <w:rFonts w:ascii="Times New Roman" w:hAnsi="Times New Roman" w:eastAsia="Times New Roman" w:cs="Times New Roman"/>
          <w:spacing w:val="46"/>
          <w:sz w:val="19"/>
          <w:szCs w:val="19"/>
        </w:rPr>
        <w:t xml:space="preserve"> </w:t>
      </w:r>
      <w:r>
        <w:rPr>
          <w:rFonts w:ascii="Times New Roman" w:hAnsi="Times New Roman" w:eastAsia="Times New Roman" w:cs="Times New Roman"/>
          <w:sz w:val="19"/>
          <w:szCs w:val="19"/>
        </w:rPr>
        <w:t>measured</w:t>
      </w:r>
      <w:r>
        <w:rPr>
          <w:rFonts w:ascii="Times New Roman" w:hAnsi="Times New Roman" w:eastAsia="Times New Roman" w:cs="Times New Roman"/>
          <w:spacing w:val="43"/>
          <w:w w:val="101"/>
          <w:sz w:val="19"/>
          <w:szCs w:val="19"/>
        </w:rPr>
        <w:t xml:space="preserve"> </w:t>
      </w:r>
      <w:r>
        <w:rPr>
          <w:rFonts w:ascii="Times New Roman" w:hAnsi="Times New Roman" w:eastAsia="Times New Roman" w:cs="Times New Roman"/>
          <w:sz w:val="19"/>
          <w:szCs w:val="19"/>
        </w:rPr>
        <w:t>by  sensitivity,specificity,and  likelihood  rati</w:t>
      </w:r>
      <w:r>
        <w:rPr>
          <w:rFonts w:ascii="Times New Roman" w:hAnsi="Times New Roman" w:eastAsia="Times New Roman" w:cs="Times New Roman"/>
          <w:spacing w:val="-1"/>
          <w:sz w:val="19"/>
          <w:szCs w:val="19"/>
        </w:rPr>
        <w:t>os.The  reliability  of</w:t>
      </w:r>
      <w:r>
        <w:rPr>
          <w:rFonts w:ascii="Times New Roman" w:hAnsi="Times New Roman" w:eastAsia="Times New Roman" w:cs="Times New Roman"/>
          <w:spacing w:val="32"/>
          <w:sz w:val="19"/>
          <w:szCs w:val="19"/>
        </w:rPr>
        <w:t xml:space="preserve"> </w:t>
      </w:r>
      <w:r>
        <w:rPr>
          <w:rFonts w:ascii="Times New Roman" w:hAnsi="Times New Roman" w:eastAsia="Times New Roman" w:cs="Times New Roman"/>
          <w:spacing w:val="-1"/>
          <w:sz w:val="19"/>
          <w:szCs w:val="19"/>
        </w:rPr>
        <w:t>a  screening</w:t>
      </w:r>
      <w:r>
        <w:rPr>
          <w:rFonts w:ascii="Times New Roman" w:hAnsi="Times New Roman" w:eastAsia="Times New Roman" w:cs="Times New Roman"/>
          <w:sz w:val="19"/>
          <w:szCs w:val="19"/>
        </w:rPr>
        <w:t xml:space="preserve"> test</w:t>
      </w:r>
      <w:r>
        <w:rPr>
          <w:rFonts w:ascii="Times New Roman" w:hAnsi="Times New Roman" w:eastAsia="Times New Roman" w:cs="Times New Roman"/>
          <w:spacing w:val="14"/>
          <w:sz w:val="19"/>
          <w:szCs w:val="19"/>
        </w:rPr>
        <w:t xml:space="preserve">   </w:t>
      </w:r>
      <w:r>
        <w:rPr>
          <w:rFonts w:ascii="Times New Roman" w:hAnsi="Times New Roman" w:eastAsia="Times New Roman" w:cs="Times New Roman"/>
          <w:sz w:val="19"/>
          <w:szCs w:val="19"/>
        </w:rPr>
        <w:t>is</w:t>
      </w:r>
      <w:r>
        <w:rPr>
          <w:rFonts w:ascii="Times New Roman" w:hAnsi="Times New Roman" w:eastAsia="Times New Roman" w:cs="Times New Roman"/>
          <w:spacing w:val="14"/>
          <w:w w:val="101"/>
          <w:sz w:val="19"/>
          <w:szCs w:val="19"/>
        </w:rPr>
        <w:t xml:space="preserve">   </w:t>
      </w:r>
      <w:r>
        <w:rPr>
          <w:rFonts w:ascii="Times New Roman" w:hAnsi="Times New Roman" w:eastAsia="Times New Roman" w:cs="Times New Roman"/>
          <w:sz w:val="19"/>
          <w:szCs w:val="19"/>
        </w:rPr>
        <w:t>influenced</w:t>
      </w:r>
      <w:r>
        <w:rPr>
          <w:rFonts w:ascii="Times New Roman" w:hAnsi="Times New Roman" w:eastAsia="Times New Roman" w:cs="Times New Roman"/>
          <w:spacing w:val="12"/>
          <w:sz w:val="19"/>
          <w:szCs w:val="19"/>
        </w:rPr>
        <w:t xml:space="preserve">   </w:t>
      </w:r>
      <w:r>
        <w:rPr>
          <w:rFonts w:ascii="Times New Roman" w:hAnsi="Times New Roman" w:eastAsia="Times New Roman" w:cs="Times New Roman"/>
          <w:sz w:val="19"/>
          <w:szCs w:val="19"/>
        </w:rPr>
        <w:t>by    subject</w:t>
      </w:r>
      <w:r>
        <w:rPr>
          <w:rFonts w:ascii="Times New Roman" w:hAnsi="Times New Roman" w:eastAsia="Times New Roman" w:cs="Times New Roman"/>
          <w:spacing w:val="12"/>
          <w:w w:val="102"/>
          <w:sz w:val="19"/>
          <w:szCs w:val="19"/>
        </w:rPr>
        <w:t xml:space="preserve">   </w:t>
      </w:r>
      <w:r>
        <w:rPr>
          <w:rFonts w:ascii="Times New Roman" w:hAnsi="Times New Roman" w:eastAsia="Times New Roman" w:cs="Times New Roman"/>
          <w:sz w:val="19"/>
          <w:szCs w:val="19"/>
        </w:rPr>
        <w:t>variability,obse</w:t>
      </w:r>
      <w:r>
        <w:rPr>
          <w:rFonts w:ascii="Times New Roman" w:hAnsi="Times New Roman" w:eastAsia="Times New Roman" w:cs="Times New Roman"/>
          <w:spacing w:val="-1"/>
          <w:sz w:val="19"/>
          <w:szCs w:val="19"/>
        </w:rPr>
        <w:t>rver</w:t>
      </w:r>
      <w:r>
        <w:rPr>
          <w:rFonts w:ascii="Times New Roman" w:hAnsi="Times New Roman" w:eastAsia="Times New Roman" w:cs="Times New Roman"/>
          <w:spacing w:val="12"/>
          <w:w w:val="101"/>
          <w:sz w:val="19"/>
          <w:szCs w:val="19"/>
        </w:rPr>
        <w:t xml:space="preserve">   </w:t>
      </w:r>
      <w:r>
        <w:rPr>
          <w:rFonts w:ascii="Times New Roman" w:hAnsi="Times New Roman" w:eastAsia="Times New Roman" w:cs="Times New Roman"/>
          <w:spacing w:val="-1"/>
          <w:sz w:val="19"/>
          <w:szCs w:val="19"/>
        </w:rPr>
        <w:t>variability,and</w:t>
      </w:r>
      <w:r>
        <w:rPr>
          <w:rFonts w:ascii="Times New Roman" w:hAnsi="Times New Roman" w:eastAsia="Times New Roman" w:cs="Times New Roman"/>
          <w:spacing w:val="14"/>
          <w:sz w:val="19"/>
          <w:szCs w:val="19"/>
        </w:rPr>
        <w:t xml:space="preserve">   </w:t>
      </w:r>
      <w:r>
        <w:rPr>
          <w:rFonts w:ascii="Times New Roman" w:hAnsi="Times New Roman" w:eastAsia="Times New Roman" w:cs="Times New Roman"/>
          <w:spacing w:val="-1"/>
          <w:sz w:val="19"/>
          <w:szCs w:val="19"/>
        </w:rPr>
        <w:t>laboratory</w:t>
      </w:r>
      <w:r>
        <w:rPr>
          <w:rFonts w:ascii="Times New Roman" w:hAnsi="Times New Roman" w:eastAsia="Times New Roman" w:cs="Times New Roman"/>
          <w:spacing w:val="14"/>
          <w:w w:val="101"/>
          <w:sz w:val="19"/>
          <w:szCs w:val="19"/>
        </w:rPr>
        <w:t xml:space="preserve">   </w:t>
      </w:r>
      <w:r>
        <w:rPr>
          <w:rFonts w:ascii="Times New Roman" w:hAnsi="Times New Roman" w:eastAsia="Times New Roman" w:cs="Times New Roman"/>
          <w:spacing w:val="-1"/>
          <w:sz w:val="19"/>
          <w:szCs w:val="19"/>
        </w:rPr>
        <w:t>conditions.Positive</w:t>
      </w:r>
      <w:r>
        <w:rPr>
          <w:rFonts w:ascii="Times New Roman" w:hAnsi="Times New Roman" w:eastAsia="Times New Roman" w:cs="Times New Roman"/>
          <w:spacing w:val="14"/>
          <w:w w:val="101"/>
          <w:sz w:val="19"/>
          <w:szCs w:val="19"/>
        </w:rPr>
        <w:t xml:space="preserve">   </w:t>
      </w:r>
      <w:r>
        <w:rPr>
          <w:rFonts w:ascii="Times New Roman" w:hAnsi="Times New Roman" w:eastAsia="Times New Roman" w:cs="Times New Roman"/>
          <w:spacing w:val="-1"/>
          <w:sz w:val="19"/>
          <w:szCs w:val="19"/>
        </w:rPr>
        <w:t>and</w:t>
      </w:r>
      <w:r>
        <w:rPr>
          <w:rFonts w:ascii="Times New Roman" w:hAnsi="Times New Roman" w:eastAsia="Times New Roman" w:cs="Times New Roman"/>
          <w:spacing w:val="1"/>
          <w:sz w:val="19"/>
          <w:szCs w:val="19"/>
        </w:rPr>
        <w:t xml:space="preserve"> </w:t>
      </w:r>
      <w:r>
        <w:rPr>
          <w:rFonts w:ascii="Times New Roman" w:hAnsi="Times New Roman" w:eastAsia="Times New Roman" w:cs="Times New Roman"/>
          <w:sz w:val="19"/>
          <w:szCs w:val="19"/>
        </w:rPr>
        <w:t>negative  predictive  values,which</w:t>
      </w:r>
      <w:r>
        <w:rPr>
          <w:rFonts w:ascii="Times New Roman" w:hAnsi="Times New Roman" w:eastAsia="Times New Roman" w:cs="Times New Roman"/>
          <w:spacing w:val="12"/>
          <w:w w:val="101"/>
          <w:sz w:val="19"/>
          <w:szCs w:val="19"/>
        </w:rPr>
        <w:t xml:space="preserve">  </w:t>
      </w:r>
      <w:r>
        <w:rPr>
          <w:rFonts w:ascii="Times New Roman" w:hAnsi="Times New Roman" w:eastAsia="Times New Roman" w:cs="Times New Roman"/>
          <w:sz w:val="19"/>
          <w:szCs w:val="19"/>
        </w:rPr>
        <w:t>are</w:t>
      </w:r>
      <w:r>
        <w:rPr>
          <w:rFonts w:ascii="Times New Roman" w:hAnsi="Times New Roman" w:eastAsia="Times New Roman" w:cs="Times New Roman"/>
          <w:spacing w:val="10"/>
          <w:sz w:val="19"/>
          <w:szCs w:val="19"/>
        </w:rPr>
        <w:t xml:space="preserve">  </w:t>
      </w:r>
      <w:r>
        <w:rPr>
          <w:rFonts w:ascii="Times New Roman" w:hAnsi="Times New Roman" w:eastAsia="Times New Roman" w:cs="Times New Roman"/>
          <w:sz w:val="19"/>
          <w:szCs w:val="19"/>
        </w:rPr>
        <w:t>determined  both</w:t>
      </w:r>
      <w:r>
        <w:rPr>
          <w:rFonts w:ascii="Times New Roman" w:hAnsi="Times New Roman" w:eastAsia="Times New Roman" w:cs="Times New Roman"/>
          <w:spacing w:val="7"/>
          <w:sz w:val="19"/>
          <w:szCs w:val="19"/>
        </w:rPr>
        <w:t xml:space="preserve">  </w:t>
      </w:r>
      <w:r>
        <w:rPr>
          <w:rFonts w:ascii="Times New Roman" w:hAnsi="Times New Roman" w:eastAsia="Times New Roman" w:cs="Times New Roman"/>
          <w:sz w:val="19"/>
          <w:szCs w:val="19"/>
        </w:rPr>
        <w:t>by</w:t>
      </w:r>
      <w:r>
        <w:rPr>
          <w:rFonts w:ascii="Times New Roman" w:hAnsi="Times New Roman" w:eastAsia="Times New Roman" w:cs="Times New Roman"/>
          <w:spacing w:val="9"/>
          <w:sz w:val="19"/>
          <w:szCs w:val="19"/>
        </w:rPr>
        <w:t xml:space="preserve">  </w:t>
      </w:r>
      <w:r>
        <w:rPr>
          <w:rFonts w:ascii="Times New Roman" w:hAnsi="Times New Roman" w:eastAsia="Times New Roman" w:cs="Times New Roman"/>
          <w:sz w:val="19"/>
          <w:szCs w:val="19"/>
        </w:rPr>
        <w:t>the</w:t>
      </w:r>
      <w:r>
        <w:rPr>
          <w:rFonts w:ascii="Times New Roman" w:hAnsi="Times New Roman" w:eastAsia="Times New Roman" w:cs="Times New Roman"/>
          <w:spacing w:val="8"/>
          <w:sz w:val="19"/>
          <w:szCs w:val="19"/>
        </w:rPr>
        <w:t xml:space="preserve">  </w:t>
      </w:r>
      <w:r>
        <w:rPr>
          <w:rFonts w:ascii="Times New Roman" w:hAnsi="Times New Roman" w:eastAsia="Times New Roman" w:cs="Times New Roman"/>
          <w:sz w:val="19"/>
          <w:szCs w:val="19"/>
        </w:rPr>
        <w:t>test's</w:t>
      </w:r>
      <w:r>
        <w:rPr>
          <w:rFonts w:ascii="Times New Roman" w:hAnsi="Times New Roman" w:eastAsia="Times New Roman" w:cs="Times New Roman"/>
          <w:spacing w:val="11"/>
          <w:sz w:val="19"/>
          <w:szCs w:val="19"/>
        </w:rPr>
        <w:t xml:space="preserve">  </w:t>
      </w:r>
      <w:r>
        <w:rPr>
          <w:rFonts w:ascii="Times New Roman" w:hAnsi="Times New Roman" w:eastAsia="Times New Roman" w:cs="Times New Roman"/>
          <w:sz w:val="19"/>
          <w:szCs w:val="19"/>
        </w:rPr>
        <w:t>accuracy</w:t>
      </w:r>
      <w:r>
        <w:rPr>
          <w:rFonts w:ascii="Times New Roman" w:hAnsi="Times New Roman" w:eastAsia="Times New Roman" w:cs="Times New Roman"/>
          <w:spacing w:val="10"/>
          <w:sz w:val="19"/>
          <w:szCs w:val="19"/>
        </w:rPr>
        <w:t xml:space="preserve">  </w:t>
      </w:r>
      <w:r>
        <w:rPr>
          <w:rFonts w:ascii="Times New Roman" w:hAnsi="Times New Roman" w:eastAsia="Times New Roman" w:cs="Times New Roman"/>
          <w:sz w:val="19"/>
          <w:szCs w:val="19"/>
        </w:rPr>
        <w:t>and</w:t>
      </w:r>
      <w:r>
        <w:rPr>
          <w:rFonts w:ascii="Times New Roman" w:hAnsi="Times New Roman" w:eastAsia="Times New Roman" w:cs="Times New Roman"/>
          <w:spacing w:val="9"/>
          <w:sz w:val="19"/>
          <w:szCs w:val="19"/>
        </w:rPr>
        <w:t xml:space="preserve">  </w:t>
      </w:r>
      <w:r>
        <w:rPr>
          <w:rFonts w:ascii="Times New Roman" w:hAnsi="Times New Roman" w:eastAsia="Times New Roman" w:cs="Times New Roman"/>
          <w:sz w:val="19"/>
          <w:szCs w:val="19"/>
        </w:rPr>
        <w:t>the</w:t>
      </w:r>
      <w:r>
        <w:rPr>
          <w:rFonts w:ascii="Times New Roman" w:hAnsi="Times New Roman" w:eastAsia="Times New Roman" w:cs="Times New Roman"/>
          <w:spacing w:val="7"/>
          <w:sz w:val="19"/>
          <w:szCs w:val="19"/>
        </w:rPr>
        <w:t xml:space="preserve">  </w:t>
      </w:r>
      <w:r>
        <w:rPr>
          <w:rFonts w:ascii="Times New Roman" w:hAnsi="Times New Roman" w:eastAsia="Times New Roman" w:cs="Times New Roman"/>
          <w:sz w:val="19"/>
          <w:szCs w:val="19"/>
        </w:rPr>
        <w:t>pre-test</w:t>
      </w:r>
      <w:r>
        <w:rPr>
          <w:rFonts w:ascii="Times New Roman" w:hAnsi="Times New Roman" w:eastAsia="Times New Roman" w:cs="Times New Roman"/>
          <w:spacing w:val="7"/>
          <w:sz w:val="19"/>
          <w:szCs w:val="19"/>
        </w:rPr>
        <w:t xml:space="preserve">  </w:t>
      </w:r>
      <w:r>
        <w:rPr>
          <w:rFonts w:ascii="Times New Roman" w:hAnsi="Times New Roman" w:eastAsia="Times New Roman" w:cs="Times New Roman"/>
          <w:sz w:val="19"/>
          <w:szCs w:val="19"/>
        </w:rPr>
        <w:t>probability in  the  screened  population,can</w:t>
      </w:r>
      <w:r>
        <w:rPr>
          <w:rFonts w:ascii="Times New Roman" w:hAnsi="Times New Roman" w:eastAsia="Times New Roman" w:cs="Times New Roman"/>
          <w:spacing w:val="5"/>
          <w:sz w:val="19"/>
          <w:szCs w:val="19"/>
        </w:rPr>
        <w:t xml:space="preserve">  </w:t>
      </w:r>
      <w:r>
        <w:rPr>
          <w:rFonts w:ascii="Times New Roman" w:hAnsi="Times New Roman" w:eastAsia="Times New Roman" w:cs="Times New Roman"/>
          <w:sz w:val="19"/>
          <w:szCs w:val="19"/>
        </w:rPr>
        <w:t>be</w:t>
      </w:r>
      <w:r>
        <w:rPr>
          <w:rFonts w:ascii="Times New Roman" w:hAnsi="Times New Roman" w:eastAsia="Times New Roman" w:cs="Times New Roman"/>
          <w:spacing w:val="5"/>
          <w:sz w:val="19"/>
          <w:szCs w:val="19"/>
        </w:rPr>
        <w:t xml:space="preserve">  </w:t>
      </w:r>
      <w:r>
        <w:rPr>
          <w:rFonts w:ascii="Times New Roman" w:hAnsi="Times New Roman" w:eastAsia="Times New Roman" w:cs="Times New Roman"/>
          <w:sz w:val="19"/>
          <w:szCs w:val="19"/>
        </w:rPr>
        <w:t>used</w:t>
      </w:r>
      <w:r>
        <w:rPr>
          <w:rFonts w:ascii="Times New Roman" w:hAnsi="Times New Roman" w:eastAsia="Times New Roman" w:cs="Times New Roman"/>
          <w:spacing w:val="6"/>
          <w:sz w:val="19"/>
          <w:szCs w:val="19"/>
        </w:rPr>
        <w:t xml:space="preserve">  </w:t>
      </w:r>
      <w:r>
        <w:rPr>
          <w:rFonts w:ascii="Times New Roman" w:hAnsi="Times New Roman" w:eastAsia="Times New Roman" w:cs="Times New Roman"/>
          <w:sz w:val="19"/>
          <w:szCs w:val="19"/>
        </w:rPr>
        <w:t>to</w:t>
      </w:r>
      <w:r>
        <w:rPr>
          <w:rFonts w:ascii="Times New Roman" w:hAnsi="Times New Roman" w:eastAsia="Times New Roman" w:cs="Times New Roman"/>
          <w:spacing w:val="8"/>
          <w:sz w:val="19"/>
          <w:szCs w:val="19"/>
        </w:rPr>
        <w:t xml:space="preserve">  </w:t>
      </w:r>
      <w:r>
        <w:rPr>
          <w:rFonts w:ascii="Times New Roman" w:hAnsi="Times New Roman" w:eastAsia="Times New Roman" w:cs="Times New Roman"/>
          <w:sz w:val="19"/>
          <w:szCs w:val="19"/>
        </w:rPr>
        <w:t>interpret</w:t>
      </w:r>
      <w:r>
        <w:rPr>
          <w:rFonts w:ascii="Times New Roman" w:hAnsi="Times New Roman" w:eastAsia="Times New Roman" w:cs="Times New Roman"/>
          <w:spacing w:val="6"/>
          <w:sz w:val="19"/>
          <w:szCs w:val="19"/>
        </w:rPr>
        <w:t xml:space="preserve">  </w:t>
      </w:r>
      <w:r>
        <w:rPr>
          <w:rFonts w:ascii="Times New Roman" w:hAnsi="Times New Roman" w:eastAsia="Times New Roman" w:cs="Times New Roman"/>
          <w:sz w:val="19"/>
          <w:szCs w:val="19"/>
        </w:rPr>
        <w:t>the</w:t>
      </w:r>
      <w:r>
        <w:rPr>
          <w:rFonts w:ascii="Times New Roman" w:hAnsi="Times New Roman" w:eastAsia="Times New Roman" w:cs="Times New Roman"/>
          <w:spacing w:val="6"/>
          <w:sz w:val="19"/>
          <w:szCs w:val="19"/>
        </w:rPr>
        <w:t xml:space="preserve">  </w:t>
      </w:r>
      <w:r>
        <w:rPr>
          <w:rFonts w:ascii="Times New Roman" w:hAnsi="Times New Roman" w:eastAsia="Times New Roman" w:cs="Times New Roman"/>
          <w:sz w:val="19"/>
          <w:szCs w:val="19"/>
        </w:rPr>
        <w:t>test</w:t>
      </w:r>
      <w:r>
        <w:rPr>
          <w:rFonts w:ascii="Times New Roman" w:hAnsi="Times New Roman" w:eastAsia="Times New Roman" w:cs="Times New Roman"/>
          <w:spacing w:val="6"/>
          <w:sz w:val="19"/>
          <w:szCs w:val="19"/>
        </w:rPr>
        <w:t xml:space="preserve">  </w:t>
      </w:r>
      <w:r>
        <w:rPr>
          <w:rFonts w:ascii="Times New Roman" w:hAnsi="Times New Roman" w:eastAsia="Times New Roman" w:cs="Times New Roman"/>
          <w:sz w:val="19"/>
          <w:szCs w:val="19"/>
        </w:rPr>
        <w:t>results.Screening</w:t>
      </w:r>
      <w:r>
        <w:rPr>
          <w:rFonts w:ascii="Times New Roman" w:hAnsi="Times New Roman" w:eastAsia="Times New Roman" w:cs="Times New Roman"/>
          <w:spacing w:val="5"/>
          <w:sz w:val="19"/>
          <w:szCs w:val="19"/>
        </w:rPr>
        <w:t xml:space="preserve">  </w:t>
      </w:r>
      <w:r>
        <w:rPr>
          <w:rFonts w:ascii="Times New Roman" w:hAnsi="Times New Roman" w:eastAsia="Times New Roman" w:cs="Times New Roman"/>
          <w:sz w:val="19"/>
          <w:szCs w:val="19"/>
        </w:rPr>
        <w:t>program,as</w:t>
      </w:r>
      <w:r>
        <w:rPr>
          <w:rFonts w:ascii="Times New Roman" w:hAnsi="Times New Roman" w:eastAsia="Times New Roman" w:cs="Times New Roman"/>
          <w:spacing w:val="8"/>
          <w:sz w:val="19"/>
          <w:szCs w:val="19"/>
        </w:rPr>
        <w:t xml:space="preserve">  </w:t>
      </w:r>
      <w:r>
        <w:rPr>
          <w:rFonts w:ascii="Times New Roman" w:hAnsi="Times New Roman" w:eastAsia="Times New Roman" w:cs="Times New Roman"/>
          <w:sz w:val="19"/>
          <w:szCs w:val="19"/>
        </w:rPr>
        <w:t>a</w:t>
      </w:r>
      <w:r>
        <w:rPr>
          <w:rFonts w:ascii="Times New Roman" w:hAnsi="Times New Roman" w:eastAsia="Times New Roman" w:cs="Times New Roman"/>
          <w:spacing w:val="5"/>
          <w:sz w:val="19"/>
          <w:szCs w:val="19"/>
        </w:rPr>
        <w:t xml:space="preserve">  </w:t>
      </w:r>
      <w:r>
        <w:rPr>
          <w:rFonts w:ascii="Times New Roman" w:hAnsi="Times New Roman" w:eastAsia="Times New Roman" w:cs="Times New Roman"/>
          <w:sz w:val="19"/>
          <w:szCs w:val="19"/>
        </w:rPr>
        <w:t>public</w:t>
      </w:r>
      <w:r>
        <w:rPr>
          <w:rFonts w:ascii="Times New Roman" w:hAnsi="Times New Roman" w:eastAsia="Times New Roman" w:cs="Times New Roman"/>
          <w:spacing w:val="6"/>
          <w:sz w:val="19"/>
          <w:szCs w:val="19"/>
        </w:rPr>
        <w:t xml:space="preserve">  </w:t>
      </w:r>
      <w:r>
        <w:rPr>
          <w:rFonts w:ascii="Times New Roman" w:hAnsi="Times New Roman" w:eastAsia="Times New Roman" w:cs="Times New Roman"/>
          <w:sz w:val="19"/>
          <w:szCs w:val="19"/>
        </w:rPr>
        <w:t>heal</w:t>
      </w:r>
      <w:r>
        <w:rPr>
          <w:rFonts w:ascii="Times New Roman" w:hAnsi="Times New Roman" w:eastAsia="Times New Roman" w:cs="Times New Roman"/>
          <w:spacing w:val="-1"/>
          <w:sz w:val="19"/>
          <w:szCs w:val="19"/>
        </w:rPr>
        <w:t>th</w:t>
      </w:r>
      <w:r>
        <w:rPr>
          <w:rFonts w:ascii="Times New Roman" w:hAnsi="Times New Roman" w:eastAsia="Times New Roman" w:cs="Times New Roman"/>
          <w:sz w:val="19"/>
          <w:szCs w:val="19"/>
        </w:rPr>
        <w:t xml:space="preserve"> strategy,should   be   assessed    in   the    terms   of   yield,and   the    biological,c</w:t>
      </w:r>
      <w:r>
        <w:rPr>
          <w:rFonts w:ascii="Times New Roman" w:hAnsi="Times New Roman" w:eastAsia="Times New Roman" w:cs="Times New Roman"/>
          <w:spacing w:val="-1"/>
          <w:sz w:val="19"/>
          <w:szCs w:val="19"/>
        </w:rPr>
        <w:t>linical,and   economic    benefits</w:t>
      </w:r>
      <w:r>
        <w:rPr>
          <w:rFonts w:ascii="Times New Roman" w:hAnsi="Times New Roman" w:eastAsia="Times New Roman" w:cs="Times New Roman"/>
          <w:sz w:val="19"/>
          <w:szCs w:val="19"/>
        </w:rPr>
        <w:t xml:space="preserve"> throughout   the   entire   period   of   implementation.In   addition,safety   issues,ethical   problems,and  </w:t>
      </w:r>
      <w:r>
        <w:rPr>
          <w:rFonts w:ascii="Times New Roman" w:hAnsi="Times New Roman" w:eastAsia="Times New Roman" w:cs="Times New Roman"/>
          <w:spacing w:val="-1"/>
          <w:sz w:val="19"/>
          <w:szCs w:val="19"/>
        </w:rPr>
        <w:t xml:space="preserve"> program</w:t>
      </w:r>
      <w:r>
        <w:rPr>
          <w:rFonts w:ascii="Times New Roman" w:hAnsi="Times New Roman" w:eastAsia="Times New Roman" w:cs="Times New Roman"/>
          <w:sz w:val="19"/>
          <w:szCs w:val="19"/>
        </w:rPr>
        <w:t xml:space="preserve"> sustainability  should  be  addressed  as  well.Biases</w:t>
      </w:r>
      <w:r>
        <w:rPr>
          <w:rFonts w:ascii="Times New Roman" w:hAnsi="Times New Roman" w:eastAsia="Times New Roman" w:cs="Times New Roman"/>
          <w:spacing w:val="6"/>
          <w:sz w:val="19"/>
          <w:szCs w:val="19"/>
        </w:rPr>
        <w:t xml:space="preserve">  </w:t>
      </w:r>
      <w:r>
        <w:rPr>
          <w:rFonts w:ascii="Times New Roman" w:hAnsi="Times New Roman" w:eastAsia="Times New Roman" w:cs="Times New Roman"/>
          <w:sz w:val="19"/>
          <w:szCs w:val="19"/>
        </w:rPr>
        <w:t>such</w:t>
      </w:r>
      <w:r>
        <w:rPr>
          <w:rFonts w:ascii="Times New Roman" w:hAnsi="Times New Roman" w:eastAsia="Times New Roman" w:cs="Times New Roman"/>
          <w:spacing w:val="5"/>
          <w:sz w:val="19"/>
          <w:szCs w:val="19"/>
        </w:rPr>
        <w:t xml:space="preserve">  </w:t>
      </w:r>
      <w:r>
        <w:rPr>
          <w:rFonts w:ascii="Times New Roman" w:hAnsi="Times New Roman" w:eastAsia="Times New Roman" w:cs="Times New Roman"/>
          <w:sz w:val="19"/>
          <w:szCs w:val="19"/>
        </w:rPr>
        <w:t>as</w:t>
      </w:r>
      <w:r>
        <w:rPr>
          <w:rFonts w:ascii="Times New Roman" w:hAnsi="Times New Roman" w:eastAsia="Times New Roman" w:cs="Times New Roman"/>
          <w:spacing w:val="4"/>
          <w:sz w:val="19"/>
          <w:szCs w:val="19"/>
        </w:rPr>
        <w:t xml:space="preserve">  </w:t>
      </w:r>
      <w:r>
        <w:rPr>
          <w:rFonts w:ascii="Times New Roman" w:hAnsi="Times New Roman" w:eastAsia="Times New Roman" w:cs="Times New Roman"/>
          <w:sz w:val="19"/>
          <w:szCs w:val="19"/>
        </w:rPr>
        <w:t>lead</w:t>
      </w:r>
      <w:r>
        <w:rPr>
          <w:rFonts w:ascii="Times New Roman" w:hAnsi="Times New Roman" w:eastAsia="Times New Roman" w:cs="Times New Roman"/>
          <w:spacing w:val="2"/>
          <w:sz w:val="19"/>
          <w:szCs w:val="19"/>
        </w:rPr>
        <w:t xml:space="preserve">  </w:t>
      </w:r>
      <w:r>
        <w:rPr>
          <w:rFonts w:ascii="Times New Roman" w:hAnsi="Times New Roman" w:eastAsia="Times New Roman" w:cs="Times New Roman"/>
          <w:sz w:val="19"/>
          <w:szCs w:val="19"/>
        </w:rPr>
        <w:t>time  bias,</w:t>
      </w:r>
      <w:r>
        <w:rPr>
          <w:rFonts w:ascii="Times New Roman" w:hAnsi="Times New Roman" w:eastAsia="Times New Roman" w:cs="Times New Roman"/>
          <w:spacing w:val="-1"/>
          <w:sz w:val="19"/>
          <w:szCs w:val="19"/>
        </w:rPr>
        <w:t>length</w:t>
      </w:r>
      <w:r>
        <w:rPr>
          <w:rFonts w:ascii="Times New Roman" w:hAnsi="Times New Roman" w:eastAsia="Times New Roman" w:cs="Times New Roman"/>
          <w:spacing w:val="2"/>
          <w:sz w:val="19"/>
          <w:szCs w:val="19"/>
        </w:rPr>
        <w:t xml:space="preserve">  </w:t>
      </w:r>
      <w:r>
        <w:rPr>
          <w:rFonts w:ascii="Times New Roman" w:hAnsi="Times New Roman" w:eastAsia="Times New Roman" w:cs="Times New Roman"/>
          <w:spacing w:val="-1"/>
          <w:sz w:val="19"/>
          <w:szCs w:val="19"/>
        </w:rPr>
        <w:t>bias,and</w:t>
      </w:r>
      <w:r>
        <w:rPr>
          <w:rFonts w:ascii="Times New Roman" w:hAnsi="Times New Roman" w:eastAsia="Times New Roman" w:cs="Times New Roman"/>
          <w:spacing w:val="2"/>
          <w:sz w:val="19"/>
          <w:szCs w:val="19"/>
        </w:rPr>
        <w:t xml:space="preserve">  </w:t>
      </w:r>
      <w:r>
        <w:rPr>
          <w:rFonts w:ascii="Times New Roman" w:hAnsi="Times New Roman" w:eastAsia="Times New Roman" w:cs="Times New Roman"/>
          <w:spacing w:val="-1"/>
          <w:sz w:val="19"/>
          <w:szCs w:val="19"/>
        </w:rPr>
        <w:t>volunteer</w:t>
      </w:r>
      <w:r>
        <w:rPr>
          <w:rFonts w:ascii="Times New Roman" w:hAnsi="Times New Roman" w:eastAsia="Times New Roman" w:cs="Times New Roman"/>
          <w:spacing w:val="1"/>
          <w:sz w:val="19"/>
          <w:szCs w:val="19"/>
        </w:rPr>
        <w:t xml:space="preserve">  </w:t>
      </w:r>
      <w:r>
        <w:rPr>
          <w:rFonts w:ascii="Times New Roman" w:hAnsi="Times New Roman" w:eastAsia="Times New Roman" w:cs="Times New Roman"/>
          <w:spacing w:val="-1"/>
          <w:sz w:val="19"/>
          <w:szCs w:val="19"/>
        </w:rPr>
        <w:t>bias</w:t>
      </w:r>
      <w:r>
        <w:rPr>
          <w:rFonts w:ascii="Times New Roman" w:hAnsi="Times New Roman" w:eastAsia="Times New Roman" w:cs="Times New Roman"/>
          <w:spacing w:val="4"/>
          <w:sz w:val="19"/>
          <w:szCs w:val="19"/>
        </w:rPr>
        <w:t xml:space="preserve">  </w:t>
      </w:r>
      <w:r>
        <w:rPr>
          <w:rFonts w:ascii="Times New Roman" w:hAnsi="Times New Roman" w:eastAsia="Times New Roman" w:cs="Times New Roman"/>
          <w:spacing w:val="-1"/>
          <w:sz w:val="19"/>
          <w:szCs w:val="19"/>
        </w:rPr>
        <w:t>in</w:t>
      </w:r>
      <w:r>
        <w:rPr>
          <w:rFonts w:ascii="Times New Roman" w:hAnsi="Times New Roman" w:eastAsia="Times New Roman" w:cs="Times New Roman"/>
          <w:sz w:val="19"/>
          <w:szCs w:val="19"/>
        </w:rPr>
        <w:t xml:space="preserve"> </w:t>
      </w:r>
      <w:r>
        <w:rPr>
          <w:rFonts w:ascii="Times New Roman" w:hAnsi="Times New Roman" w:eastAsia="Times New Roman" w:cs="Times New Roman"/>
          <w:spacing w:val="-1"/>
          <w:sz w:val="19"/>
          <w:szCs w:val="19"/>
        </w:rPr>
        <w:t>such</w:t>
      </w:r>
      <w:r>
        <w:rPr>
          <w:rFonts w:ascii="Times New Roman" w:hAnsi="Times New Roman" w:eastAsia="Times New Roman" w:cs="Times New Roman"/>
          <w:spacing w:val="39"/>
          <w:sz w:val="19"/>
          <w:szCs w:val="19"/>
        </w:rPr>
        <w:t xml:space="preserve"> </w:t>
      </w:r>
      <w:r>
        <w:rPr>
          <w:rFonts w:ascii="Times New Roman" w:hAnsi="Times New Roman" w:eastAsia="Times New Roman" w:cs="Times New Roman"/>
          <w:spacing w:val="-1"/>
          <w:sz w:val="19"/>
          <w:szCs w:val="19"/>
        </w:rPr>
        <w:t>evaluations</w:t>
      </w:r>
      <w:r>
        <w:rPr>
          <w:rFonts w:ascii="Times New Roman" w:hAnsi="Times New Roman" w:eastAsia="Times New Roman" w:cs="Times New Roman"/>
          <w:spacing w:val="31"/>
          <w:sz w:val="19"/>
          <w:szCs w:val="19"/>
        </w:rPr>
        <w:t xml:space="preserve"> </w:t>
      </w:r>
      <w:r>
        <w:rPr>
          <w:rFonts w:ascii="Times New Roman" w:hAnsi="Times New Roman" w:eastAsia="Times New Roman" w:cs="Times New Roman"/>
          <w:spacing w:val="-1"/>
          <w:sz w:val="19"/>
          <w:szCs w:val="19"/>
        </w:rPr>
        <w:t>can</w:t>
      </w:r>
      <w:r>
        <w:rPr>
          <w:rFonts w:ascii="Times New Roman" w:hAnsi="Times New Roman" w:eastAsia="Times New Roman" w:cs="Times New Roman"/>
          <w:spacing w:val="24"/>
          <w:w w:val="101"/>
          <w:sz w:val="19"/>
          <w:szCs w:val="19"/>
        </w:rPr>
        <w:t xml:space="preserve"> </w:t>
      </w:r>
      <w:r>
        <w:rPr>
          <w:rFonts w:ascii="Times New Roman" w:hAnsi="Times New Roman" w:eastAsia="Times New Roman" w:cs="Times New Roman"/>
          <w:spacing w:val="-1"/>
          <w:sz w:val="19"/>
          <w:szCs w:val="19"/>
        </w:rPr>
        <w:t>be</w:t>
      </w:r>
      <w:r>
        <w:rPr>
          <w:rFonts w:ascii="Times New Roman" w:hAnsi="Times New Roman" w:eastAsia="Times New Roman" w:cs="Times New Roman"/>
          <w:spacing w:val="26"/>
          <w:sz w:val="19"/>
          <w:szCs w:val="19"/>
        </w:rPr>
        <w:t xml:space="preserve"> </w:t>
      </w:r>
      <w:r>
        <w:rPr>
          <w:rFonts w:ascii="Times New Roman" w:hAnsi="Times New Roman" w:eastAsia="Times New Roman" w:cs="Times New Roman"/>
          <w:spacing w:val="-1"/>
          <w:sz w:val="19"/>
          <w:szCs w:val="19"/>
        </w:rPr>
        <w:t>minimized</w:t>
      </w:r>
      <w:r>
        <w:rPr>
          <w:rFonts w:ascii="Times New Roman" w:hAnsi="Times New Roman" w:eastAsia="Times New Roman" w:cs="Times New Roman"/>
          <w:spacing w:val="30"/>
          <w:sz w:val="19"/>
          <w:szCs w:val="19"/>
        </w:rPr>
        <w:t xml:space="preserve"> </w:t>
      </w:r>
      <w:r>
        <w:rPr>
          <w:rFonts w:ascii="Times New Roman" w:hAnsi="Times New Roman" w:eastAsia="Times New Roman" w:cs="Times New Roman"/>
          <w:spacing w:val="-1"/>
          <w:sz w:val="19"/>
          <w:szCs w:val="19"/>
        </w:rPr>
        <w:t>in</w:t>
      </w:r>
      <w:r>
        <w:rPr>
          <w:rFonts w:ascii="Times New Roman" w:hAnsi="Times New Roman" w:eastAsia="Times New Roman" w:cs="Times New Roman"/>
          <w:spacing w:val="31"/>
          <w:sz w:val="19"/>
          <w:szCs w:val="19"/>
        </w:rPr>
        <w:t xml:space="preserve"> </w:t>
      </w:r>
      <w:r>
        <w:rPr>
          <w:rFonts w:ascii="Times New Roman" w:hAnsi="Times New Roman" w:eastAsia="Times New Roman" w:cs="Times New Roman"/>
          <w:spacing w:val="-1"/>
          <w:sz w:val="19"/>
          <w:szCs w:val="19"/>
        </w:rPr>
        <w:t>a</w:t>
      </w:r>
      <w:r>
        <w:rPr>
          <w:rFonts w:ascii="Times New Roman" w:hAnsi="Times New Roman" w:eastAsia="Times New Roman" w:cs="Times New Roman"/>
          <w:spacing w:val="31"/>
          <w:sz w:val="19"/>
          <w:szCs w:val="19"/>
        </w:rPr>
        <w:t xml:space="preserve"> </w:t>
      </w:r>
      <w:r>
        <w:rPr>
          <w:rFonts w:ascii="Times New Roman" w:hAnsi="Times New Roman" w:eastAsia="Times New Roman" w:cs="Times New Roman"/>
          <w:spacing w:val="-1"/>
          <w:sz w:val="19"/>
          <w:szCs w:val="19"/>
        </w:rPr>
        <w:t>cluster</w:t>
      </w:r>
      <w:r>
        <w:rPr>
          <w:rFonts w:ascii="Times New Roman" w:hAnsi="Times New Roman" w:eastAsia="Times New Roman" w:cs="Times New Roman"/>
          <w:spacing w:val="24"/>
          <w:w w:val="102"/>
          <w:sz w:val="19"/>
          <w:szCs w:val="19"/>
        </w:rPr>
        <w:t xml:space="preserve"> </w:t>
      </w:r>
      <w:r>
        <w:rPr>
          <w:rFonts w:ascii="Times New Roman" w:hAnsi="Times New Roman" w:eastAsia="Times New Roman" w:cs="Times New Roman"/>
          <w:spacing w:val="-1"/>
          <w:sz w:val="19"/>
          <w:szCs w:val="19"/>
        </w:rPr>
        <w:t>randomized</w:t>
      </w:r>
      <w:r>
        <w:rPr>
          <w:rFonts w:ascii="Times New Roman" w:hAnsi="Times New Roman" w:eastAsia="Times New Roman" w:cs="Times New Roman"/>
          <w:spacing w:val="30"/>
          <w:w w:val="101"/>
          <w:sz w:val="19"/>
          <w:szCs w:val="19"/>
        </w:rPr>
        <w:t xml:space="preserve"> </w:t>
      </w:r>
      <w:r>
        <w:rPr>
          <w:rFonts w:ascii="Times New Roman" w:hAnsi="Times New Roman" w:eastAsia="Times New Roman" w:cs="Times New Roman"/>
          <w:spacing w:val="-1"/>
          <w:sz w:val="19"/>
          <w:szCs w:val="19"/>
        </w:rPr>
        <w:t>controlled</w:t>
      </w:r>
      <w:r>
        <w:rPr>
          <w:rFonts w:ascii="Times New Roman" w:hAnsi="Times New Roman" w:eastAsia="Times New Roman" w:cs="Times New Roman"/>
          <w:spacing w:val="26"/>
          <w:sz w:val="19"/>
          <w:szCs w:val="19"/>
        </w:rPr>
        <w:t xml:space="preserve"> </w:t>
      </w:r>
      <w:r>
        <w:rPr>
          <w:rFonts w:ascii="Times New Roman" w:hAnsi="Times New Roman" w:eastAsia="Times New Roman" w:cs="Times New Roman"/>
          <w:spacing w:val="-1"/>
          <w:sz w:val="19"/>
          <w:szCs w:val="19"/>
        </w:rPr>
        <w:t>trial.</w:t>
      </w:r>
    </w:p>
    <w:p w14:paraId="30BCA6F5">
      <w:pPr>
        <w:spacing w:line="431" w:lineRule="auto"/>
        <w:rPr>
          <w:rFonts w:ascii="Arial"/>
          <w:sz w:val="21"/>
        </w:rPr>
      </w:pPr>
    </w:p>
    <w:p w14:paraId="738A416C">
      <w:pPr>
        <w:spacing w:before="62" w:line="360" w:lineRule="auto"/>
        <w:ind w:left="699" w:firstLine="410"/>
        <w:jc w:val="both"/>
        <w:rPr>
          <w:rFonts w:ascii="宋体" w:hAnsi="宋体" w:eastAsia="宋体" w:cs="宋体"/>
          <w:sz w:val="19"/>
          <w:szCs w:val="19"/>
        </w:rPr>
      </w:pPr>
      <w:r>
        <w:rPr>
          <w:rFonts w:ascii="宋体" w:hAnsi="宋体" w:eastAsia="宋体" w:cs="宋体"/>
          <w:spacing w:val="12"/>
          <w:sz w:val="19"/>
          <w:szCs w:val="19"/>
        </w:rPr>
        <w:t>根据疾病自然史可将疾病的进展分为易感期、临床前期、临床期和结局四个阶段(图7-1)。人</w:t>
      </w:r>
      <w:r>
        <w:rPr>
          <w:rFonts w:ascii="宋体" w:hAnsi="宋体" w:eastAsia="宋体" w:cs="宋体"/>
          <w:spacing w:val="6"/>
          <w:sz w:val="19"/>
          <w:szCs w:val="19"/>
        </w:rPr>
        <w:t xml:space="preserve"> </w:t>
      </w:r>
      <w:r>
        <w:rPr>
          <w:rFonts w:ascii="宋体" w:hAnsi="宋体" w:eastAsia="宋体" w:cs="宋体"/>
          <w:spacing w:val="11"/>
          <w:sz w:val="19"/>
          <w:szCs w:val="19"/>
        </w:rPr>
        <w:t>们希望在疾病发生之前就开展针对病因的干预，阻止疾病的</w:t>
      </w:r>
      <w:r>
        <w:rPr>
          <w:rFonts w:ascii="宋体" w:hAnsi="宋体" w:eastAsia="宋体" w:cs="宋体"/>
          <w:spacing w:val="10"/>
          <w:sz w:val="19"/>
          <w:szCs w:val="19"/>
        </w:rPr>
        <w:t>发生，但由于许多疾病，尤其是慢性疾</w:t>
      </w:r>
      <w:r>
        <w:rPr>
          <w:rFonts w:ascii="宋体" w:hAnsi="宋体" w:eastAsia="宋体" w:cs="宋体"/>
          <w:sz w:val="19"/>
          <w:szCs w:val="19"/>
        </w:rPr>
        <w:t xml:space="preserve"> </w:t>
      </w:r>
      <w:r>
        <w:rPr>
          <w:rFonts w:ascii="宋体" w:hAnsi="宋体" w:eastAsia="宋体" w:cs="宋体"/>
          <w:spacing w:val="14"/>
          <w:sz w:val="19"/>
          <w:szCs w:val="19"/>
        </w:rPr>
        <w:t>病(包括慢性非传染性疾病和传染性疾病)的病因复杂，这一</w:t>
      </w:r>
      <w:r>
        <w:rPr>
          <w:rFonts w:ascii="宋体" w:hAnsi="宋体" w:eastAsia="宋体" w:cs="宋体"/>
          <w:spacing w:val="-35"/>
          <w:sz w:val="19"/>
          <w:szCs w:val="19"/>
        </w:rPr>
        <w:t xml:space="preserve"> </w:t>
      </w:r>
      <w:r>
        <w:rPr>
          <w:rFonts w:ascii="宋体" w:hAnsi="宋体" w:eastAsia="宋体" w:cs="宋体"/>
          <w:spacing w:val="14"/>
          <w:sz w:val="19"/>
          <w:szCs w:val="19"/>
        </w:rPr>
        <w:t>目标往往难以实</w:t>
      </w:r>
      <w:r>
        <w:rPr>
          <w:rFonts w:ascii="宋体" w:hAnsi="宋体" w:eastAsia="宋体" w:cs="宋体"/>
          <w:spacing w:val="13"/>
          <w:sz w:val="19"/>
          <w:szCs w:val="19"/>
        </w:rPr>
        <w:t>现。随着医学技术的</w:t>
      </w:r>
      <w:r>
        <w:rPr>
          <w:rFonts w:ascii="宋体" w:hAnsi="宋体" w:eastAsia="宋体" w:cs="宋体"/>
          <w:sz w:val="19"/>
          <w:szCs w:val="19"/>
        </w:rPr>
        <w:t xml:space="preserve"> </w:t>
      </w:r>
      <w:r>
        <w:rPr>
          <w:rFonts w:ascii="宋体" w:hAnsi="宋体" w:eastAsia="宋体" w:cs="宋体"/>
          <w:spacing w:val="11"/>
          <w:sz w:val="19"/>
          <w:szCs w:val="19"/>
        </w:rPr>
        <w:t>发展，人们已经可以在某些疾病的临床前期或早期，通过适当的检</w:t>
      </w:r>
      <w:r>
        <w:rPr>
          <w:rFonts w:ascii="宋体" w:hAnsi="宋体" w:eastAsia="宋体" w:cs="宋体"/>
          <w:spacing w:val="10"/>
          <w:sz w:val="19"/>
          <w:szCs w:val="19"/>
        </w:rPr>
        <w:t>测技术，将机体出现的一些异常</w:t>
      </w:r>
      <w:r>
        <w:rPr>
          <w:rFonts w:ascii="宋体" w:hAnsi="宋体" w:eastAsia="宋体" w:cs="宋体"/>
          <w:sz w:val="19"/>
          <w:szCs w:val="19"/>
        </w:rPr>
        <w:t xml:space="preserve"> </w:t>
      </w:r>
      <w:r>
        <w:rPr>
          <w:rFonts w:ascii="宋体" w:hAnsi="宋体" w:eastAsia="宋体" w:cs="宋体"/>
          <w:spacing w:val="6"/>
          <w:sz w:val="19"/>
          <w:szCs w:val="19"/>
        </w:rPr>
        <w:t>特征，如肿瘤的早期生物标志物水平升高、血压升高、血脂升高、感染的病原体等及早检测出来，并</w:t>
      </w:r>
      <w:r>
        <w:rPr>
          <w:rFonts w:ascii="宋体" w:hAnsi="宋体" w:eastAsia="宋体" w:cs="宋体"/>
          <w:spacing w:val="2"/>
          <w:sz w:val="19"/>
          <w:szCs w:val="19"/>
        </w:rPr>
        <w:t xml:space="preserve"> </w:t>
      </w:r>
      <w:r>
        <w:rPr>
          <w:rFonts w:ascii="宋体" w:hAnsi="宋体" w:eastAsia="宋体" w:cs="宋体"/>
          <w:spacing w:val="11"/>
          <w:sz w:val="19"/>
          <w:szCs w:val="19"/>
        </w:rPr>
        <w:t>采取适当治疗，最终可以明显提高疾病的治愈率和病人的生</w:t>
      </w:r>
      <w:r>
        <w:rPr>
          <w:rFonts w:ascii="宋体" w:hAnsi="宋体" w:eastAsia="宋体" w:cs="宋体"/>
          <w:spacing w:val="10"/>
          <w:sz w:val="19"/>
          <w:szCs w:val="19"/>
        </w:rPr>
        <w:t>存质量，降低人群死亡风险。据此，人</w:t>
      </w:r>
      <w:r>
        <w:rPr>
          <w:rFonts w:ascii="宋体" w:hAnsi="宋体" w:eastAsia="宋体" w:cs="宋体"/>
          <w:sz w:val="19"/>
          <w:szCs w:val="19"/>
        </w:rPr>
        <w:t xml:space="preserve"> </w:t>
      </w:r>
      <w:r>
        <w:rPr>
          <w:rFonts w:ascii="宋体" w:hAnsi="宋体" w:eastAsia="宋体" w:cs="宋体"/>
          <w:spacing w:val="15"/>
          <w:sz w:val="19"/>
          <w:szCs w:val="19"/>
        </w:rPr>
        <w:t>们提出在表面健康的人群中开展筛检，这也是保障人群健康的重要公共卫生措施。本章主要围绕</w:t>
      </w:r>
      <w:r>
        <w:rPr>
          <w:rFonts w:ascii="宋体" w:hAnsi="宋体" w:eastAsia="宋体" w:cs="宋体"/>
          <w:spacing w:val="16"/>
          <w:sz w:val="19"/>
          <w:szCs w:val="19"/>
        </w:rPr>
        <w:t xml:space="preserve"> </w:t>
      </w:r>
      <w:r>
        <w:rPr>
          <w:rFonts w:ascii="宋体" w:hAnsi="宋体" w:eastAsia="宋体" w:cs="宋体"/>
          <w:spacing w:val="12"/>
          <w:sz w:val="19"/>
          <w:szCs w:val="19"/>
        </w:rPr>
        <w:t>慢性病的筛检进行介绍。</w:t>
      </w:r>
    </w:p>
    <w:p w14:paraId="3B3F5B06">
      <w:pPr>
        <w:spacing w:before="130" w:line="2587" w:lineRule="exact"/>
        <w:ind w:firstLine="1120"/>
      </w:pPr>
      <w:r>
        <w:rPr>
          <w:position w:val="-51"/>
        </w:rPr>
        <w:pict>
          <v:group id="_x0000_s1079" o:spid="_x0000_s1079" o:spt="203" style="height:129.4pt;width:391.25pt;" coordsize="7825,2587">
            <o:lock v:ext="edit"/>
            <v:shape id="_x0000_s1080" o:spid="_x0000_s1080" o:spt="75" type="#_x0000_t75" style="position:absolute;left:0;top:0;height:2430;width:7820;" filled="f" stroked="f" coordsize="21600,21600">
              <v:path/>
              <v:fill on="f" focussize="0,0"/>
              <v:stroke on="f"/>
              <v:imagedata r:id="rId568" o:title=""/>
              <o:lock v:ext="edit" aspectratio="t"/>
            </v:shape>
            <v:shape id="_x0000_s1081" o:spid="_x0000_s1081" o:spt="202" type="#_x0000_t202" style="position:absolute;left:830;top:235;height:2373;width:7015;" filled="f" stroked="f" coordsize="21600,21600">
              <v:path/>
              <v:fill on="f" focussize="0,0"/>
              <v:stroke on="f"/>
              <v:imagedata o:title=""/>
              <o:lock v:ext="edit" aspectratio="f"/>
              <v:textbox inset="0mm,0mm,0mm,0mm">
                <w:txbxContent>
                  <w:p w14:paraId="40CA34CF">
                    <w:pPr>
                      <w:spacing w:before="20" w:line="219" w:lineRule="auto"/>
                      <w:ind w:left="5209"/>
                      <w:rPr>
                        <w:rFonts w:ascii="宋体" w:hAnsi="宋体" w:eastAsia="宋体" w:cs="宋体"/>
                        <w:sz w:val="13"/>
                        <w:szCs w:val="13"/>
                      </w:rPr>
                    </w:pPr>
                    <w:r>
                      <w:rPr>
                        <w:rFonts w:ascii="宋体" w:hAnsi="宋体" w:eastAsia="宋体" w:cs="宋体"/>
                        <w:spacing w:val="4"/>
                        <w:sz w:val="13"/>
                        <w:szCs w:val="13"/>
                      </w:rPr>
                      <w:t>临床期 ·</w:t>
                    </w:r>
                  </w:p>
                  <w:p w14:paraId="066978D9">
                    <w:pPr>
                      <w:spacing w:before="238" w:line="219" w:lineRule="auto"/>
                      <w:ind w:left="2970"/>
                      <w:rPr>
                        <w:rFonts w:ascii="宋体" w:hAnsi="宋体" w:eastAsia="宋体" w:cs="宋体"/>
                        <w:sz w:val="19"/>
                        <w:szCs w:val="19"/>
                      </w:rPr>
                    </w:pPr>
                    <w:r>
                      <w:rPr>
                        <w:rFonts w:ascii="宋体" w:hAnsi="宋体" w:eastAsia="宋体" w:cs="宋体"/>
                        <w:spacing w:val="-21"/>
                        <w:w w:val="98"/>
                        <w:sz w:val="19"/>
                        <w:szCs w:val="19"/>
                      </w:rPr>
                      <w:t>临床前可检出期一</w:t>
                    </w:r>
                  </w:p>
                  <w:p w14:paraId="7A7225A3">
                    <w:pPr>
                      <w:spacing w:before="175" w:line="220" w:lineRule="auto"/>
                      <w:ind w:left="3889"/>
                      <w:rPr>
                        <w:rFonts w:ascii="宋体" w:hAnsi="宋体" w:eastAsia="宋体" w:cs="宋体"/>
                        <w:sz w:val="19"/>
                        <w:szCs w:val="19"/>
                      </w:rPr>
                    </w:pPr>
                    <w:r>
                      <w:rPr>
                        <w:rFonts w:ascii="宋体" w:hAnsi="宋体" w:eastAsia="宋体" w:cs="宋体"/>
                        <w:spacing w:val="-16"/>
                        <w:sz w:val="19"/>
                        <w:szCs w:val="19"/>
                      </w:rPr>
                      <w:t>提前期</w:t>
                    </w:r>
                  </w:p>
                  <w:p w14:paraId="62A9446B">
                    <w:pPr>
                      <w:spacing w:line="395" w:lineRule="auto"/>
                      <w:rPr>
                        <w:rFonts w:ascii="Arial"/>
                        <w:sz w:val="21"/>
                      </w:rPr>
                    </w:pPr>
                  </w:p>
                  <w:p w14:paraId="2D5079D1">
                    <w:pPr>
                      <w:spacing w:before="62" w:line="201" w:lineRule="auto"/>
                      <w:ind w:right="17"/>
                      <w:jc w:val="right"/>
                      <w:rPr>
                        <w:rFonts w:ascii="KaiTi" w:hAnsi="KaiTi" w:eastAsia="KaiTi" w:cs="KaiTi"/>
                        <w:sz w:val="19"/>
                        <w:szCs w:val="19"/>
                      </w:rPr>
                    </w:pPr>
                    <w:r>
                      <w:rPr>
                        <w:rFonts w:ascii="KaiTi" w:hAnsi="KaiTi" w:eastAsia="KaiTi" w:cs="KaiTi"/>
                        <w:spacing w:val="-2"/>
                        <w:sz w:val="19"/>
                        <w:szCs w:val="19"/>
                      </w:rPr>
                      <w:t>死亡</w:t>
                    </w:r>
                  </w:p>
                  <w:p w14:paraId="078586C3">
                    <w:pPr>
                      <w:spacing w:before="185" w:line="229" w:lineRule="auto"/>
                      <w:ind w:left="20"/>
                      <w:rPr>
                        <w:rFonts w:ascii="宋体" w:hAnsi="宋体" w:eastAsia="宋体" w:cs="宋体"/>
                        <w:sz w:val="19"/>
                        <w:szCs w:val="19"/>
                      </w:rPr>
                    </w:pPr>
                    <w:r>
                      <w:rPr>
                        <w:rFonts w:ascii="宋体" w:hAnsi="宋体" w:eastAsia="宋体" w:cs="宋体"/>
                        <w:spacing w:val="-4"/>
                        <w:sz w:val="19"/>
                        <w:szCs w:val="19"/>
                      </w:rPr>
                      <w:t xml:space="preserve">暴露疾病的发生            </w:t>
                    </w:r>
                    <w:r>
                      <w:rPr>
                        <w:rFonts w:ascii="宋体" w:hAnsi="宋体" w:eastAsia="宋体" w:cs="宋体"/>
                        <w:spacing w:val="-5"/>
                        <w:sz w:val="19"/>
                        <w:szCs w:val="19"/>
                      </w:rPr>
                      <w:t xml:space="preserve">   筛检出疾病          出现症状诊断</w:t>
                    </w:r>
                    <w:r>
                      <w:rPr>
                        <w:rFonts w:ascii="宋体" w:hAnsi="宋体" w:eastAsia="宋体" w:cs="宋体"/>
                        <w:spacing w:val="6"/>
                        <w:sz w:val="19"/>
                        <w:szCs w:val="19"/>
                      </w:rPr>
                      <w:t xml:space="preserve">   </w:t>
                    </w:r>
                    <w:r>
                      <w:rPr>
                        <w:rFonts w:ascii="宋体" w:hAnsi="宋体" w:eastAsia="宋体" w:cs="宋体"/>
                        <w:spacing w:val="-5"/>
                        <w:sz w:val="19"/>
                        <w:szCs w:val="19"/>
                      </w:rPr>
                      <w:t>治疗</w:t>
                    </w:r>
                  </w:p>
                  <w:p w14:paraId="4A368E78">
                    <w:pPr>
                      <w:spacing w:before="35" w:line="219" w:lineRule="auto"/>
                      <w:ind w:left="1609"/>
                      <w:rPr>
                        <w:rFonts w:ascii="宋体" w:hAnsi="宋体" w:eastAsia="宋体" w:cs="宋体"/>
                        <w:sz w:val="19"/>
                        <w:szCs w:val="19"/>
                      </w:rPr>
                    </w:pPr>
                    <w:r>
                      <w:rPr>
                        <w:rFonts w:ascii="宋体" w:hAnsi="宋体" w:eastAsia="宋体" w:cs="宋体"/>
                        <w:spacing w:val="-20"/>
                        <w:sz w:val="19"/>
                        <w:szCs w:val="19"/>
                      </w:rPr>
                      <w:t>筛检可查出疾病</w:t>
                    </w:r>
                  </w:p>
                </w:txbxContent>
              </v:textbox>
            </v:shape>
            <v:shape id="_x0000_s1082" o:spid="_x0000_s1082" o:spt="202" type="#_x0000_t202" style="position:absolute;left:1939;top:677;height:430;width:921;" filled="f" stroked="f" coordsize="21600,21600">
              <v:path/>
              <v:fill on="f" focussize="0,0"/>
              <v:stroke on="f"/>
              <v:imagedata o:title=""/>
              <o:lock v:ext="edit" aspectratio="f"/>
              <v:textbox inset="0mm,0mm,0mm,0mm">
                <w:txbxContent>
                  <w:p w14:paraId="0C915750">
                    <w:pPr>
                      <w:spacing w:before="20" w:line="194" w:lineRule="auto"/>
                      <w:ind w:left="210"/>
                      <w:rPr>
                        <w:rFonts w:ascii="宋体" w:hAnsi="宋体" w:eastAsia="宋体" w:cs="宋体"/>
                        <w:sz w:val="19"/>
                        <w:szCs w:val="19"/>
                      </w:rPr>
                    </w:pPr>
                    <w:r>
                      <w:rPr>
                        <w:rFonts w:ascii="宋体" w:hAnsi="宋体" w:eastAsia="宋体" w:cs="宋体"/>
                        <w:spacing w:val="-16"/>
                        <w:sz w:val="19"/>
                        <w:szCs w:val="19"/>
                      </w:rPr>
                      <w:t>临床前</w:t>
                    </w:r>
                  </w:p>
                  <w:p w14:paraId="2D111442">
                    <w:pPr>
                      <w:spacing w:line="219" w:lineRule="auto"/>
                      <w:ind w:left="20"/>
                      <w:rPr>
                        <w:rFonts w:ascii="宋体" w:hAnsi="宋体" w:eastAsia="宋体" w:cs="宋体"/>
                        <w:sz w:val="19"/>
                        <w:szCs w:val="19"/>
                      </w:rPr>
                    </w:pPr>
                    <w:r>
                      <w:rPr>
                        <w:rFonts w:ascii="宋体" w:hAnsi="宋体" w:eastAsia="宋体" w:cs="宋体"/>
                        <w:spacing w:val="-11"/>
                        <w:sz w:val="19"/>
                        <w:szCs w:val="19"/>
                      </w:rPr>
                      <w:t>不可检出期</w:t>
                    </w:r>
                  </w:p>
                </w:txbxContent>
              </v:textbox>
            </v:shape>
            <v:shape id="_x0000_s1083" o:spid="_x0000_s1083" o:spt="202" type="#_x0000_t202" style="position:absolute;left:860;top:178;height:230;width:710;" filled="f" stroked="f" coordsize="21600,21600">
              <v:path/>
              <v:fill on="f" focussize="0,0"/>
              <v:stroke on="f"/>
              <v:imagedata o:title=""/>
              <o:lock v:ext="edit" aspectratio="f"/>
              <v:textbox inset="0mm,0mm,0mm,0mm">
                <w:txbxContent>
                  <w:p w14:paraId="3F706278">
                    <w:pPr>
                      <w:spacing w:before="20" w:line="220" w:lineRule="auto"/>
                      <w:jc w:val="right"/>
                      <w:rPr>
                        <w:rFonts w:ascii="宋体" w:hAnsi="宋体" w:eastAsia="宋体" w:cs="宋体"/>
                        <w:sz w:val="19"/>
                        <w:szCs w:val="19"/>
                      </w:rPr>
                    </w:pPr>
                    <w:r>
                      <w:rPr>
                        <w:rFonts w:ascii="宋体" w:hAnsi="宋体" w:eastAsia="宋体" w:cs="宋体"/>
                        <w:spacing w:val="-27"/>
                        <w:sz w:val="19"/>
                        <w:szCs w:val="19"/>
                      </w:rPr>
                      <w:t>易感期</w:t>
                    </w:r>
                    <w:r>
                      <w:rPr>
                        <w:rFonts w:ascii="宋体" w:hAnsi="宋体" w:eastAsia="宋体" w:cs="宋体"/>
                        <w:spacing w:val="-11"/>
                        <w:sz w:val="19"/>
                        <w:szCs w:val="19"/>
                      </w:rPr>
                      <w:t>一</w:t>
                    </w:r>
                  </w:p>
                </w:txbxContent>
              </v:textbox>
            </v:shape>
            <v:shape id="_x0000_s1084" o:spid="_x0000_s1084" o:spt="202" type="#_x0000_t202" style="position:absolute;left:2620;top:177;height:230;width:701;" filled="f" stroked="f" coordsize="21600,21600">
              <v:path/>
              <v:fill on="f" focussize="0,0"/>
              <v:stroke on="f"/>
              <v:imagedata o:title=""/>
              <o:lock v:ext="edit" aspectratio="f"/>
              <v:textbox inset="0mm,0mm,0mm,0mm">
                <w:txbxContent>
                  <w:p w14:paraId="468264CA">
                    <w:pPr>
                      <w:spacing w:before="20" w:line="219" w:lineRule="auto"/>
                      <w:jc w:val="right"/>
                      <w:rPr>
                        <w:rFonts w:ascii="宋体" w:hAnsi="宋体" w:eastAsia="宋体" w:cs="宋体"/>
                        <w:sz w:val="19"/>
                        <w:szCs w:val="19"/>
                      </w:rPr>
                    </w:pPr>
                    <w:r>
                      <w:rPr>
                        <w:rFonts w:ascii="宋体" w:hAnsi="宋体" w:eastAsia="宋体" w:cs="宋体"/>
                        <w:spacing w:val="-21"/>
                        <w:w w:val="96"/>
                        <w:sz w:val="19"/>
                        <w:szCs w:val="19"/>
                      </w:rPr>
                      <w:t>临床前</w:t>
                    </w:r>
                    <w:r>
                      <w:rPr>
                        <w:rFonts w:ascii="宋体" w:hAnsi="宋体" w:eastAsia="宋体" w:cs="宋体"/>
                        <w:spacing w:val="-13"/>
                        <w:w w:val="96"/>
                        <w:sz w:val="19"/>
                        <w:szCs w:val="19"/>
                      </w:rPr>
                      <w:t>期</w:t>
                    </w:r>
                  </w:p>
                </w:txbxContent>
              </v:textbox>
            </v:shape>
            <w10:wrap type="none"/>
            <w10:anchorlock/>
          </v:group>
        </w:pict>
      </w:r>
    </w:p>
    <w:p w14:paraId="12F7F2BB">
      <w:pPr>
        <w:pStyle w:val="2"/>
        <w:spacing w:before="239" w:line="221" w:lineRule="auto"/>
        <w:ind w:left="3720"/>
        <w:rPr>
          <w:sz w:val="19"/>
          <w:szCs w:val="19"/>
        </w:rPr>
      </w:pPr>
      <w:r>
        <w:rPr>
          <w:spacing w:val="-3"/>
          <w:sz w:val="19"/>
          <w:szCs w:val="19"/>
        </w:rPr>
        <w:t>图7-1</w:t>
      </w:r>
      <w:r>
        <w:rPr>
          <w:spacing w:val="67"/>
          <w:sz w:val="19"/>
          <w:szCs w:val="19"/>
        </w:rPr>
        <w:t xml:space="preserve"> </w:t>
      </w:r>
      <w:r>
        <w:rPr>
          <w:spacing w:val="-3"/>
          <w:sz w:val="19"/>
          <w:szCs w:val="19"/>
        </w:rPr>
        <w:t>疾病自然史与筛检示意图</w:t>
      </w:r>
    </w:p>
    <w:p w14:paraId="0DA7153E">
      <w:pPr>
        <w:spacing w:line="249" w:lineRule="auto"/>
        <w:rPr>
          <w:rFonts w:ascii="Arial"/>
          <w:sz w:val="21"/>
        </w:rPr>
      </w:pPr>
    </w:p>
    <w:p w14:paraId="14B74054">
      <w:pPr>
        <w:spacing w:before="62" w:line="371" w:lineRule="auto"/>
        <w:ind w:left="699" w:right="4" w:firstLine="410"/>
        <w:jc w:val="both"/>
        <w:rPr>
          <w:rFonts w:ascii="宋体" w:hAnsi="宋体" w:eastAsia="宋体" w:cs="宋体"/>
          <w:sz w:val="19"/>
          <w:szCs w:val="19"/>
        </w:rPr>
      </w:pPr>
      <w:r>
        <w:rPr>
          <w:rFonts w:ascii="宋体" w:hAnsi="宋体" w:eastAsia="宋体" w:cs="宋体"/>
          <w:spacing w:val="30"/>
          <w:sz w:val="19"/>
          <w:szCs w:val="19"/>
        </w:rPr>
        <w:t>疾病筛检起源于19世纪，最初应用在结核病的早诊早治上。20世纪早期，美国医学会</w:t>
      </w:r>
      <w:r>
        <w:rPr>
          <w:rFonts w:ascii="宋体" w:hAnsi="宋体" w:eastAsia="宋体" w:cs="宋体"/>
          <w:spacing w:val="17"/>
          <w:sz w:val="19"/>
          <w:szCs w:val="19"/>
        </w:rPr>
        <w:t xml:space="preserve"> </w:t>
      </w:r>
      <w:r>
        <w:rPr>
          <w:rFonts w:ascii="宋体" w:hAnsi="宋体" w:eastAsia="宋体" w:cs="宋体"/>
          <w:spacing w:val="-2"/>
          <w:sz w:val="19"/>
          <w:szCs w:val="19"/>
        </w:rPr>
        <w:t>(American Medical Association)推广了面向人群的定期体检，扩展了筛检的病种和覆盖面。近年来，筛</w:t>
      </w:r>
      <w:r>
        <w:rPr>
          <w:rFonts w:ascii="宋体" w:hAnsi="宋体" w:eastAsia="宋体" w:cs="宋体"/>
          <w:spacing w:val="10"/>
          <w:sz w:val="19"/>
          <w:szCs w:val="19"/>
        </w:rPr>
        <w:t xml:space="preserve"> </w:t>
      </w:r>
      <w:r>
        <w:rPr>
          <w:rFonts w:ascii="宋体" w:hAnsi="宋体" w:eastAsia="宋体" w:cs="宋体"/>
          <w:spacing w:val="9"/>
          <w:sz w:val="19"/>
          <w:szCs w:val="19"/>
        </w:rPr>
        <w:t>检的应用范围不断扩大，不仅用于发现人群中的早期病人，还用于识别可能发生疾病的高危个体。</w:t>
      </w:r>
    </w:p>
    <w:p w14:paraId="589010D2">
      <w:pPr>
        <w:spacing w:line="371" w:lineRule="auto"/>
        <w:rPr>
          <w:rFonts w:ascii="宋体" w:hAnsi="宋体" w:eastAsia="宋体" w:cs="宋体"/>
          <w:sz w:val="19"/>
          <w:szCs w:val="19"/>
        </w:rPr>
        <w:sectPr>
          <w:footerReference r:id="rId137" w:type="default"/>
          <w:pgSz w:w="11900" w:h="16820"/>
          <w:pgMar w:top="400" w:right="1655" w:bottom="782" w:left="909" w:header="0" w:footer="611" w:gutter="0"/>
          <w:cols w:space="720" w:num="1"/>
        </w:sectPr>
      </w:pPr>
    </w:p>
    <w:p w14:paraId="5F893F14">
      <w:pPr>
        <w:pStyle w:val="2"/>
        <w:spacing w:before="273" w:line="222" w:lineRule="auto"/>
        <w:ind w:left="7952"/>
        <w:rPr>
          <w:sz w:val="19"/>
          <w:szCs w:val="19"/>
        </w:rPr>
      </w:pPr>
      <w:r>
        <w:rPr>
          <w:b/>
          <w:bCs/>
          <w:spacing w:val="-12"/>
          <w:sz w:val="19"/>
          <w:szCs w:val="19"/>
        </w:rPr>
        <w:t>第七章</w:t>
      </w:r>
      <w:r>
        <w:rPr>
          <w:spacing w:val="36"/>
          <w:sz w:val="19"/>
          <w:szCs w:val="19"/>
        </w:rPr>
        <w:t xml:space="preserve"> </w:t>
      </w:r>
      <w:r>
        <w:rPr>
          <w:b/>
          <w:bCs/>
          <w:spacing w:val="-12"/>
          <w:sz w:val="19"/>
          <w:szCs w:val="19"/>
        </w:rPr>
        <w:t>筛检</w:t>
      </w:r>
    </w:p>
    <w:p w14:paraId="3C841C78">
      <w:pPr>
        <w:spacing w:line="318" w:lineRule="auto"/>
        <w:rPr>
          <w:rFonts w:ascii="Arial"/>
          <w:sz w:val="21"/>
        </w:rPr>
      </w:pPr>
    </w:p>
    <w:p w14:paraId="1FBCF10C">
      <w:pPr>
        <w:spacing w:line="319" w:lineRule="auto"/>
        <w:rPr>
          <w:rFonts w:ascii="Arial"/>
          <w:sz w:val="21"/>
        </w:rPr>
      </w:pPr>
    </w:p>
    <w:p w14:paraId="64582D3D">
      <w:pPr>
        <w:spacing w:line="319" w:lineRule="auto"/>
        <w:rPr>
          <w:rFonts w:ascii="Arial"/>
          <w:sz w:val="21"/>
        </w:rPr>
      </w:pPr>
    </w:p>
    <w:p w14:paraId="1EBB0AD2">
      <w:pPr>
        <w:pStyle w:val="2"/>
        <w:spacing w:before="101" w:line="221" w:lineRule="auto"/>
        <w:ind w:left="3454"/>
        <w:outlineLvl w:val="1"/>
        <w:rPr>
          <w:sz w:val="31"/>
          <w:szCs w:val="31"/>
        </w:rPr>
      </w:pPr>
      <w:bookmarkStart w:id="195" w:name="bookmark125"/>
      <w:bookmarkEnd w:id="195"/>
      <w:bookmarkStart w:id="196" w:name="bookmark465"/>
      <w:bookmarkEnd w:id="196"/>
      <w:r>
        <w:rPr>
          <w:b/>
          <w:bCs/>
          <w:spacing w:val="-15"/>
          <w:sz w:val="31"/>
          <w:szCs w:val="31"/>
        </w:rPr>
        <w:t>第</w:t>
      </w:r>
      <w:r>
        <w:rPr>
          <w:spacing w:val="-15"/>
          <w:sz w:val="31"/>
          <w:szCs w:val="31"/>
        </w:rPr>
        <w:t xml:space="preserve"> </w:t>
      </w:r>
      <w:r>
        <w:rPr>
          <w:b/>
          <w:bCs/>
          <w:spacing w:val="-15"/>
          <w:sz w:val="31"/>
          <w:szCs w:val="31"/>
        </w:rPr>
        <w:t>一</w:t>
      </w:r>
      <w:r>
        <w:rPr>
          <w:spacing w:val="-11"/>
          <w:sz w:val="31"/>
          <w:szCs w:val="31"/>
        </w:rPr>
        <w:t xml:space="preserve"> </w:t>
      </w:r>
      <w:r>
        <w:rPr>
          <w:b/>
          <w:bCs/>
          <w:spacing w:val="-15"/>
          <w:sz w:val="31"/>
          <w:szCs w:val="31"/>
        </w:rPr>
        <w:t>节</w:t>
      </w:r>
      <w:r>
        <w:rPr>
          <w:spacing w:val="-23"/>
          <w:sz w:val="31"/>
          <w:szCs w:val="31"/>
        </w:rPr>
        <w:t xml:space="preserve"> </w:t>
      </w:r>
      <w:r>
        <w:rPr>
          <w:b/>
          <w:bCs/>
          <w:spacing w:val="-15"/>
          <w:sz w:val="31"/>
          <w:szCs w:val="31"/>
        </w:rPr>
        <w:t>概</w:t>
      </w:r>
      <w:r>
        <w:rPr>
          <w:spacing w:val="-22"/>
          <w:sz w:val="31"/>
          <w:szCs w:val="31"/>
        </w:rPr>
        <w:t xml:space="preserve"> </w:t>
      </w:r>
      <w:r>
        <w:rPr>
          <w:b/>
          <w:bCs/>
          <w:spacing w:val="-15"/>
          <w:sz w:val="31"/>
          <w:szCs w:val="31"/>
        </w:rPr>
        <w:t>述</w:t>
      </w:r>
    </w:p>
    <w:p w14:paraId="68CFC4B5">
      <w:pPr>
        <w:spacing w:line="374" w:lineRule="auto"/>
        <w:rPr>
          <w:rFonts w:ascii="Arial"/>
          <w:sz w:val="21"/>
        </w:rPr>
      </w:pPr>
    </w:p>
    <w:p w14:paraId="43186E81">
      <w:pPr>
        <w:pStyle w:val="2"/>
        <w:spacing w:before="81" w:line="221" w:lineRule="auto"/>
        <w:ind w:left="423"/>
        <w:outlineLvl w:val="2"/>
        <w:rPr>
          <w:sz w:val="25"/>
          <w:szCs w:val="25"/>
        </w:rPr>
      </w:pPr>
      <w:bookmarkStart w:id="197" w:name="bookmark126"/>
      <w:bookmarkEnd w:id="197"/>
      <w:r>
        <w:rPr>
          <w:b/>
          <w:bCs/>
          <w:spacing w:val="-4"/>
          <w:sz w:val="25"/>
          <w:szCs w:val="25"/>
        </w:rPr>
        <w:t>一</w:t>
      </w:r>
      <w:r>
        <w:rPr>
          <w:spacing w:val="-54"/>
          <w:sz w:val="25"/>
          <w:szCs w:val="25"/>
        </w:rPr>
        <w:t xml:space="preserve"> </w:t>
      </w:r>
      <w:r>
        <w:rPr>
          <w:b/>
          <w:bCs/>
          <w:spacing w:val="-4"/>
          <w:sz w:val="25"/>
          <w:szCs w:val="25"/>
        </w:rPr>
        <w:t>、筛检的概念</w:t>
      </w:r>
    </w:p>
    <w:p w14:paraId="7D45C084">
      <w:pPr>
        <w:spacing w:before="263" w:line="355" w:lineRule="auto"/>
        <w:ind w:right="623" w:firstLine="419"/>
        <w:jc w:val="both"/>
        <w:rPr>
          <w:rFonts w:ascii="宋体" w:hAnsi="宋体" w:eastAsia="宋体" w:cs="宋体"/>
          <w:sz w:val="19"/>
          <w:szCs w:val="19"/>
        </w:rPr>
      </w:pPr>
      <w:r>
        <w:rPr>
          <w:rFonts w:ascii="宋体" w:hAnsi="宋体" w:eastAsia="宋体" w:cs="宋体"/>
          <w:spacing w:val="13"/>
          <w:sz w:val="19"/>
          <w:szCs w:val="19"/>
        </w:rPr>
        <w:t>筛检或筛查</w:t>
      </w:r>
      <w:r>
        <w:rPr>
          <w:rFonts w:ascii="Times New Roman" w:hAnsi="Times New Roman" w:eastAsia="Times New Roman" w:cs="Times New Roman"/>
          <w:spacing w:val="13"/>
          <w:sz w:val="19"/>
          <w:szCs w:val="19"/>
        </w:rPr>
        <w:t>(</w:t>
      </w:r>
      <w:r>
        <w:rPr>
          <w:rFonts w:ascii="Times New Roman" w:hAnsi="Times New Roman" w:eastAsia="Times New Roman" w:cs="Times New Roman"/>
          <w:sz w:val="19"/>
          <w:szCs w:val="19"/>
        </w:rPr>
        <w:t>screening</w:t>
      </w:r>
      <w:r>
        <w:rPr>
          <w:rFonts w:ascii="Times New Roman" w:hAnsi="Times New Roman" w:eastAsia="Times New Roman" w:cs="Times New Roman"/>
          <w:spacing w:val="13"/>
          <w:sz w:val="19"/>
          <w:szCs w:val="19"/>
        </w:rPr>
        <w:t xml:space="preserve">)    </w:t>
      </w:r>
      <w:r>
        <w:rPr>
          <w:rFonts w:ascii="宋体" w:hAnsi="宋体" w:eastAsia="宋体" w:cs="宋体"/>
          <w:spacing w:val="13"/>
          <w:sz w:val="19"/>
          <w:szCs w:val="19"/>
        </w:rPr>
        <w:t>是针对临床前期</w:t>
      </w:r>
      <w:r>
        <w:rPr>
          <w:rFonts w:ascii="Times New Roman" w:hAnsi="Times New Roman" w:eastAsia="Times New Roman" w:cs="Times New Roman"/>
          <w:spacing w:val="13"/>
          <w:sz w:val="19"/>
          <w:szCs w:val="19"/>
        </w:rPr>
        <w:t>(</w:t>
      </w:r>
      <w:r>
        <w:rPr>
          <w:rFonts w:ascii="Times New Roman" w:hAnsi="Times New Roman" w:eastAsia="Times New Roman" w:cs="Times New Roman"/>
          <w:sz w:val="19"/>
          <w:szCs w:val="19"/>
        </w:rPr>
        <w:t>pre</w:t>
      </w:r>
      <w:r>
        <w:rPr>
          <w:rFonts w:ascii="Times New Roman" w:hAnsi="Times New Roman" w:eastAsia="Times New Roman" w:cs="Times New Roman"/>
          <w:spacing w:val="13"/>
          <w:sz w:val="19"/>
          <w:szCs w:val="19"/>
        </w:rPr>
        <w:t>-</w:t>
      </w:r>
      <w:r>
        <w:rPr>
          <w:rFonts w:ascii="Times New Roman" w:hAnsi="Times New Roman" w:eastAsia="Times New Roman" w:cs="Times New Roman"/>
          <w:sz w:val="19"/>
          <w:szCs w:val="19"/>
        </w:rPr>
        <w:t>clinical</w:t>
      </w:r>
      <w:r>
        <w:rPr>
          <w:rFonts w:ascii="Times New Roman" w:hAnsi="Times New Roman" w:eastAsia="Times New Roman" w:cs="Times New Roman"/>
          <w:spacing w:val="12"/>
          <w:sz w:val="19"/>
          <w:szCs w:val="19"/>
        </w:rPr>
        <w:t xml:space="preserve">      </w:t>
      </w:r>
      <w:r>
        <w:rPr>
          <w:rFonts w:ascii="Times New Roman" w:hAnsi="Times New Roman" w:eastAsia="Times New Roman" w:cs="Times New Roman"/>
          <w:sz w:val="19"/>
          <w:szCs w:val="19"/>
        </w:rPr>
        <w:t>stage</w:t>
      </w:r>
      <w:r>
        <w:rPr>
          <w:rFonts w:ascii="Times New Roman" w:hAnsi="Times New Roman" w:eastAsia="Times New Roman" w:cs="Times New Roman"/>
          <w:spacing w:val="12"/>
          <w:sz w:val="19"/>
          <w:szCs w:val="19"/>
        </w:rPr>
        <w:t>)</w:t>
      </w:r>
      <w:r>
        <w:rPr>
          <w:rFonts w:ascii="宋体" w:hAnsi="宋体" w:eastAsia="宋体" w:cs="宋体"/>
          <w:spacing w:val="12"/>
          <w:sz w:val="19"/>
          <w:szCs w:val="19"/>
        </w:rPr>
        <w:t>或早期的疾病阶段，运用快速、简便</w:t>
      </w:r>
      <w:r>
        <w:rPr>
          <w:rFonts w:ascii="宋体" w:hAnsi="宋体" w:eastAsia="宋体" w:cs="宋体"/>
          <w:sz w:val="19"/>
          <w:szCs w:val="19"/>
        </w:rPr>
        <w:t xml:space="preserve"> </w:t>
      </w:r>
      <w:r>
        <w:rPr>
          <w:rFonts w:ascii="宋体" w:hAnsi="宋体" w:eastAsia="宋体" w:cs="宋体"/>
          <w:spacing w:val="19"/>
          <w:sz w:val="19"/>
          <w:szCs w:val="19"/>
        </w:rPr>
        <w:t>的试验、检查或其他方法，将未察觉或未诊断疾病的人群中那些可能有病或缺陷、但表面健康的个</w:t>
      </w:r>
      <w:r>
        <w:rPr>
          <w:rFonts w:ascii="宋体" w:hAnsi="宋体" w:eastAsia="宋体" w:cs="宋体"/>
          <w:sz w:val="19"/>
          <w:szCs w:val="19"/>
        </w:rPr>
        <w:t xml:space="preserve"> </w:t>
      </w:r>
      <w:r>
        <w:rPr>
          <w:rFonts w:ascii="宋体" w:hAnsi="宋体" w:eastAsia="宋体" w:cs="宋体"/>
          <w:spacing w:val="20"/>
          <w:sz w:val="19"/>
          <w:szCs w:val="19"/>
        </w:rPr>
        <w:t>体，同那些可能无病者鉴别开来的一系列医疗卫生服务措施。筛检程序如图7-2所示：首先应用筛</w:t>
      </w:r>
      <w:r>
        <w:rPr>
          <w:rFonts w:ascii="宋体" w:hAnsi="宋体" w:eastAsia="宋体" w:cs="宋体"/>
          <w:spacing w:val="3"/>
          <w:sz w:val="19"/>
          <w:szCs w:val="19"/>
        </w:rPr>
        <w:t xml:space="preserve"> </w:t>
      </w:r>
      <w:r>
        <w:rPr>
          <w:rFonts w:ascii="宋体" w:hAnsi="宋体" w:eastAsia="宋体" w:cs="宋体"/>
          <w:spacing w:val="19"/>
          <w:sz w:val="19"/>
          <w:szCs w:val="19"/>
        </w:rPr>
        <w:t>检试验将受检人群分为阴性者和阳性者；结果阳性者作进一步的诊断，确诊病人接受治疗；非病人</w:t>
      </w:r>
      <w:r>
        <w:rPr>
          <w:rFonts w:ascii="宋体" w:hAnsi="宋体" w:eastAsia="宋体" w:cs="宋体"/>
          <w:sz w:val="19"/>
          <w:szCs w:val="19"/>
        </w:rPr>
        <w:t xml:space="preserve"> </w:t>
      </w:r>
      <w:r>
        <w:rPr>
          <w:rFonts w:ascii="宋体" w:hAnsi="宋体" w:eastAsia="宋体" w:cs="宋体"/>
          <w:spacing w:val="20"/>
          <w:sz w:val="19"/>
          <w:szCs w:val="19"/>
        </w:rPr>
        <w:t>与筛检试验阴性者进入随访和下一轮的筛检。</w:t>
      </w:r>
    </w:p>
    <w:p w14:paraId="6B6C77F4">
      <w:pPr>
        <w:spacing w:before="121" w:line="219" w:lineRule="auto"/>
        <w:ind w:left="3212"/>
        <w:rPr>
          <w:rFonts w:ascii="宋体" w:hAnsi="宋体" w:eastAsia="宋体" w:cs="宋体"/>
          <w:sz w:val="19"/>
          <w:szCs w:val="19"/>
        </w:rPr>
      </w:pPr>
      <w:r>
        <w:rPr>
          <w:rFonts w:ascii="宋体" w:hAnsi="宋体" w:eastAsia="宋体" w:cs="宋体"/>
          <w:b/>
          <w:bCs/>
          <w:spacing w:val="24"/>
          <w:sz w:val="19"/>
          <w:szCs w:val="19"/>
        </w:rPr>
        <w:t>外表健康的人群</w:t>
      </w:r>
    </w:p>
    <w:p w14:paraId="7ED77DA0">
      <w:pPr>
        <w:spacing w:before="87" w:line="219" w:lineRule="auto"/>
        <w:ind w:left="2469"/>
        <w:rPr>
          <w:rFonts w:ascii="宋体" w:hAnsi="宋体" w:eastAsia="宋体" w:cs="宋体"/>
          <w:sz w:val="19"/>
          <w:szCs w:val="19"/>
        </w:rPr>
      </w:pPr>
      <w:r>
        <w:rPr>
          <w:rFonts w:ascii="宋体" w:hAnsi="宋体" w:eastAsia="宋体" w:cs="宋体"/>
          <w:spacing w:val="-12"/>
          <w:sz w:val="19"/>
          <w:szCs w:val="19"/>
        </w:rPr>
        <w:t>(即健康者和虽患病但尚未被诊断的人)</w:t>
      </w:r>
    </w:p>
    <w:p w14:paraId="4AD79B33">
      <w:pPr>
        <w:spacing w:line="47" w:lineRule="exact"/>
      </w:pPr>
    </w:p>
    <w:p w14:paraId="689D879F">
      <w:pPr>
        <w:spacing w:line="47" w:lineRule="exact"/>
        <w:sectPr>
          <w:headerReference r:id="rId138" w:type="default"/>
          <w:footerReference r:id="rId139" w:type="default"/>
          <w:pgSz w:w="11900" w:h="16820"/>
          <w:pgMar w:top="400" w:right="867" w:bottom="902" w:left="1420" w:header="0" w:footer="731" w:gutter="0"/>
          <w:cols w:equalWidth="0" w:num="1">
            <w:col w:w="9613"/>
          </w:cols>
        </w:sectPr>
      </w:pPr>
    </w:p>
    <w:p w14:paraId="18C19C16">
      <w:pPr>
        <w:spacing w:line="250" w:lineRule="auto"/>
        <w:rPr>
          <w:rFonts w:ascii="Arial"/>
          <w:sz w:val="21"/>
        </w:rPr>
      </w:pPr>
    </w:p>
    <w:p w14:paraId="70C06585">
      <w:pPr>
        <w:spacing w:line="250" w:lineRule="auto"/>
        <w:rPr>
          <w:rFonts w:ascii="Arial"/>
          <w:sz w:val="21"/>
        </w:rPr>
      </w:pPr>
    </w:p>
    <w:p w14:paraId="0765FF99">
      <w:pPr>
        <w:spacing w:line="250" w:lineRule="auto"/>
        <w:rPr>
          <w:rFonts w:ascii="Arial"/>
          <w:sz w:val="21"/>
        </w:rPr>
      </w:pPr>
    </w:p>
    <w:p w14:paraId="645BCDCE">
      <w:pPr>
        <w:spacing w:line="251" w:lineRule="auto"/>
        <w:rPr>
          <w:rFonts w:ascii="Arial"/>
          <w:sz w:val="21"/>
        </w:rPr>
      </w:pPr>
    </w:p>
    <w:p w14:paraId="32F5839C">
      <w:pPr>
        <w:spacing w:before="61" w:line="216" w:lineRule="auto"/>
        <w:ind w:left="829" w:right="332" w:hanging="70"/>
        <w:rPr>
          <w:rFonts w:ascii="宋体" w:hAnsi="宋体" w:eastAsia="宋体" w:cs="宋体"/>
          <w:sz w:val="19"/>
          <w:szCs w:val="19"/>
        </w:rPr>
      </w:pPr>
      <w:r>
        <w:rPr>
          <w:rFonts w:ascii="宋体" w:hAnsi="宋体" w:eastAsia="宋体" w:cs="宋体"/>
          <w:spacing w:val="-4"/>
          <w:sz w:val="19"/>
          <w:szCs w:val="19"/>
        </w:rPr>
        <w:t>定期再</w:t>
      </w:r>
      <w:r>
        <w:rPr>
          <w:rFonts w:ascii="宋体" w:hAnsi="宋体" w:eastAsia="宋体" w:cs="宋体"/>
          <w:sz w:val="19"/>
          <w:szCs w:val="19"/>
        </w:rPr>
        <w:t xml:space="preserve"> </w:t>
      </w:r>
      <w:r>
        <w:rPr>
          <w:rFonts w:ascii="宋体" w:hAnsi="宋体" w:eastAsia="宋体" w:cs="宋体"/>
          <w:spacing w:val="-3"/>
          <w:sz w:val="19"/>
          <w:szCs w:val="19"/>
        </w:rPr>
        <w:t>筛检</w:t>
      </w:r>
    </w:p>
    <w:p w14:paraId="21DA865A">
      <w:pPr>
        <w:spacing w:before="40"/>
      </w:pPr>
    </w:p>
    <w:p w14:paraId="0B0C87A6">
      <w:pPr>
        <w:spacing w:before="40"/>
      </w:pPr>
    </w:p>
    <w:p w14:paraId="29A1F08C">
      <w:pPr>
        <w:spacing w:before="40"/>
      </w:pPr>
    </w:p>
    <w:p w14:paraId="2B55E525">
      <w:pPr>
        <w:spacing w:before="40"/>
      </w:pPr>
    </w:p>
    <w:p w14:paraId="5B412380">
      <w:pPr>
        <w:spacing w:line="14" w:lineRule="auto"/>
        <w:rPr>
          <w:rFonts w:ascii="Arial"/>
          <w:sz w:val="2"/>
        </w:rPr>
      </w:pPr>
      <w:r>
        <w:rPr>
          <w:rFonts w:ascii="Arial" w:hAnsi="Arial" w:eastAsia="Arial" w:cs="Arial"/>
          <w:sz w:val="2"/>
          <w:szCs w:val="2"/>
        </w:rPr>
        <w:br w:type="column"/>
      </w:r>
    </w:p>
    <w:p w14:paraId="5A6ACB8D">
      <w:pPr>
        <w:spacing w:before="37" w:line="289" w:lineRule="auto"/>
        <w:ind w:left="1698" w:right="472" w:hanging="119"/>
        <w:rPr>
          <w:rFonts w:ascii="宋体" w:hAnsi="宋体" w:eastAsia="宋体" w:cs="宋体"/>
          <w:sz w:val="19"/>
          <w:szCs w:val="19"/>
        </w:rPr>
      </w:pPr>
      <w:r>
        <w:rPr>
          <w:rFonts w:ascii="宋体" w:hAnsi="宋体" w:eastAsia="宋体" w:cs="宋体"/>
          <w:spacing w:val="-15"/>
          <w:w w:val="99"/>
          <w:sz w:val="19"/>
          <w:szCs w:val="19"/>
        </w:rPr>
        <w:t>接受筛检试验人群</w:t>
      </w:r>
      <w:r>
        <w:rPr>
          <w:rFonts w:ascii="宋体" w:hAnsi="宋体" w:eastAsia="宋体" w:cs="宋体"/>
          <w:spacing w:val="11"/>
          <w:sz w:val="19"/>
          <w:szCs w:val="19"/>
        </w:rPr>
        <w:t xml:space="preserve"> </w:t>
      </w:r>
      <w:r>
        <w:rPr>
          <w:rFonts w:ascii="宋体" w:hAnsi="宋体" w:eastAsia="宋体" w:cs="宋体"/>
          <w:spacing w:val="-21"/>
          <w:sz w:val="19"/>
          <w:szCs w:val="19"/>
        </w:rPr>
        <w:t>0⑧ ·</w:t>
      </w:r>
      <w:r>
        <w:rPr>
          <w:rFonts w:ascii="宋体" w:hAnsi="宋体" w:eastAsia="宋体" w:cs="宋体"/>
          <w:spacing w:val="38"/>
          <w:w w:val="101"/>
          <w:sz w:val="19"/>
          <w:szCs w:val="19"/>
        </w:rPr>
        <w:t xml:space="preserve"> </w:t>
      </w:r>
      <w:r>
        <w:rPr>
          <w:rFonts w:ascii="宋体" w:hAnsi="宋体" w:eastAsia="宋体" w:cs="宋体"/>
          <w:spacing w:val="-21"/>
          <w:sz w:val="19"/>
          <w:szCs w:val="19"/>
        </w:rPr>
        <w:t>②</w:t>
      </w:r>
    </w:p>
    <w:p w14:paraId="43BA9DBB">
      <w:pPr>
        <w:spacing w:line="255" w:lineRule="auto"/>
        <w:ind w:left="799" w:right="1148" w:firstLine="899"/>
        <w:rPr>
          <w:rFonts w:ascii="Arial" w:hAnsi="Arial" w:eastAsia="Arial" w:cs="Arial"/>
          <w:sz w:val="19"/>
          <w:szCs w:val="19"/>
        </w:rPr>
      </w:pPr>
      <w:r>
        <w:rPr>
          <w:rFonts w:ascii="宋体" w:hAnsi="宋体" w:eastAsia="宋体" w:cs="宋体"/>
          <w:spacing w:val="-10"/>
          <w:sz w:val="11"/>
          <w:szCs w:val="11"/>
        </w:rPr>
        <w:t>⑧</w:t>
      </w:r>
      <w:r>
        <w:rPr>
          <w:rFonts w:ascii="宋体" w:hAnsi="宋体" w:eastAsia="宋体" w:cs="宋体"/>
          <w:spacing w:val="-13"/>
          <w:sz w:val="11"/>
          <w:szCs w:val="11"/>
        </w:rPr>
        <w:t xml:space="preserve"> </w:t>
      </w:r>
      <w:r>
        <w:rPr>
          <w:rFonts w:ascii="宋体" w:hAnsi="宋体" w:eastAsia="宋体" w:cs="宋体"/>
          <w:spacing w:val="-10"/>
          <w:sz w:val="11"/>
          <w:szCs w:val="11"/>
        </w:rPr>
        <w:t>·</w:t>
      </w:r>
      <w:r>
        <w:rPr>
          <w:rFonts w:ascii="宋体" w:hAnsi="宋体" w:eastAsia="宋体" w:cs="宋体"/>
          <w:spacing w:val="-42"/>
          <w:sz w:val="11"/>
          <w:szCs w:val="11"/>
        </w:rPr>
        <w:t xml:space="preserve"> </w:t>
      </w:r>
      <w:r>
        <w:rPr>
          <w:rFonts w:ascii="宋体" w:hAnsi="宋体" w:eastAsia="宋体" w:cs="宋体"/>
          <w:spacing w:val="-10"/>
          <w:sz w:val="11"/>
          <w:szCs w:val="11"/>
        </w:rPr>
        <w:t>○②○</w:t>
      </w:r>
      <w:r>
        <w:rPr>
          <w:rFonts w:ascii="MS Gothic" w:hAnsi="MS Gothic" w:eastAsia="MS Gothic" w:cs="MS Gothic"/>
          <w:spacing w:val="-10"/>
          <w:sz w:val="11"/>
          <w:szCs w:val="11"/>
        </w:rPr>
        <w:t>⊗</w:t>
      </w:r>
      <w:r>
        <w:rPr>
          <w:rFonts w:ascii="MS Gothic" w:hAnsi="MS Gothic" w:eastAsia="MS Gothic" w:cs="MS Gothic"/>
          <w:sz w:val="11"/>
          <w:szCs w:val="11"/>
        </w:rPr>
        <w:t xml:space="preserve"> </w:t>
      </w:r>
      <w:r>
        <w:rPr>
          <w:rFonts w:ascii="Arial" w:hAnsi="Arial" w:eastAsia="Arial" w:cs="Arial"/>
          <w:spacing w:val="-2"/>
          <w:sz w:val="19"/>
          <w:szCs w:val="19"/>
        </w:rPr>
        <w:t>o○0000</w:t>
      </w:r>
      <w:r>
        <w:rPr>
          <w:rFonts w:ascii="宋体" w:hAnsi="宋体" w:eastAsia="宋体" w:cs="宋体"/>
          <w:spacing w:val="-2"/>
          <w:sz w:val="19"/>
          <w:szCs w:val="19"/>
        </w:rPr>
        <w:t>⑧⑧⑧</w:t>
      </w:r>
      <w:r>
        <w:rPr>
          <w:rFonts w:ascii="宋体" w:hAnsi="宋体" w:eastAsia="宋体" w:cs="宋体"/>
          <w:spacing w:val="-72"/>
          <w:sz w:val="19"/>
          <w:szCs w:val="19"/>
        </w:rPr>
        <w:t xml:space="preserve"> </w:t>
      </w:r>
      <w:r>
        <w:rPr>
          <w:rFonts w:ascii="Arial" w:hAnsi="Arial" w:eastAsia="Arial" w:cs="Arial"/>
          <w:spacing w:val="-2"/>
          <w:sz w:val="19"/>
          <w:szCs w:val="19"/>
        </w:rPr>
        <w:t>···</w:t>
      </w:r>
    </w:p>
    <w:p w14:paraId="5F71AFE8">
      <w:pPr>
        <w:spacing w:line="219" w:lineRule="auto"/>
        <w:ind w:left="699"/>
        <w:rPr>
          <w:rFonts w:ascii="宋体" w:hAnsi="宋体" w:eastAsia="宋体" w:cs="宋体"/>
          <w:sz w:val="19"/>
          <w:szCs w:val="19"/>
        </w:rPr>
      </w:pPr>
      <w:r>
        <w:rPr>
          <w:rFonts w:ascii="Times New Roman" w:hAnsi="Times New Roman" w:eastAsia="Times New Roman" w:cs="Times New Roman"/>
          <w:spacing w:val="-1"/>
          <w:sz w:val="7"/>
          <w:szCs w:val="7"/>
        </w:rPr>
        <w:t xml:space="preserve">00                                                         </w:t>
      </w:r>
      <w:r>
        <w:rPr>
          <w:rFonts w:ascii="Times New Roman" w:hAnsi="Times New Roman" w:eastAsia="Times New Roman" w:cs="Times New Roman"/>
          <w:spacing w:val="-2"/>
          <w:sz w:val="7"/>
          <w:szCs w:val="7"/>
        </w:rPr>
        <w:t xml:space="preserve">   </w:t>
      </w:r>
      <w:r>
        <w:rPr>
          <w:rFonts w:ascii="宋体" w:hAnsi="宋体" w:eastAsia="宋体" w:cs="宋体"/>
          <w:spacing w:val="-2"/>
          <w:sz w:val="19"/>
          <w:szCs w:val="19"/>
        </w:rPr>
        <w:t>筛检试验</w:t>
      </w:r>
    </w:p>
    <w:p w14:paraId="1F48696F">
      <w:pPr>
        <w:spacing w:before="203" w:line="96" w:lineRule="exact"/>
        <w:ind w:left="439"/>
        <w:rPr>
          <w:rFonts w:ascii="Arial" w:hAnsi="Arial" w:eastAsia="Arial" w:cs="Arial"/>
          <w:sz w:val="7"/>
          <w:szCs w:val="7"/>
        </w:rPr>
      </w:pPr>
      <w:r>
        <w:rPr>
          <w:rFonts w:ascii="Arial" w:hAnsi="Arial" w:eastAsia="Arial" w:cs="Arial"/>
          <w:spacing w:val="-1"/>
          <w:sz w:val="7"/>
          <w:szCs w:val="7"/>
        </w:rPr>
        <w:t>o0</w:t>
      </w:r>
    </w:p>
    <w:p w14:paraId="3A306DD8">
      <w:pPr>
        <w:spacing w:line="461" w:lineRule="auto"/>
        <w:rPr>
          <w:rFonts w:ascii="Arial"/>
          <w:sz w:val="21"/>
        </w:rPr>
      </w:pPr>
    </w:p>
    <w:p w14:paraId="1BCA2611">
      <w:pPr>
        <w:spacing w:before="62" w:line="214" w:lineRule="auto"/>
        <w:ind w:left="799"/>
        <w:rPr>
          <w:rFonts w:ascii="宋体" w:hAnsi="宋体" w:eastAsia="宋体" w:cs="宋体"/>
          <w:sz w:val="19"/>
          <w:szCs w:val="19"/>
        </w:rPr>
      </w:pPr>
      <w:r>
        <w:rPr>
          <w:rFonts w:ascii="宋体" w:hAnsi="宋体" w:eastAsia="宋体" w:cs="宋体"/>
          <w:spacing w:val="-5"/>
          <w:sz w:val="19"/>
          <w:szCs w:val="19"/>
        </w:rPr>
        <w:t>阴性者</w:t>
      </w:r>
    </w:p>
    <w:p w14:paraId="0811EC88">
      <w:pPr>
        <w:spacing w:line="220" w:lineRule="auto"/>
        <w:rPr>
          <w:rFonts w:ascii="宋体" w:hAnsi="宋体" w:eastAsia="宋体" w:cs="宋体"/>
          <w:sz w:val="19"/>
          <w:szCs w:val="19"/>
        </w:rPr>
      </w:pPr>
      <w:r>
        <w:rPr>
          <w:rFonts w:ascii="宋体" w:hAnsi="宋体" w:eastAsia="宋体" w:cs="宋体"/>
          <w:spacing w:val="-8"/>
          <w:sz w:val="19"/>
          <w:szCs w:val="19"/>
        </w:rPr>
        <w:t>(即那些可能未患某病的人)</w:t>
      </w:r>
    </w:p>
    <w:p w14:paraId="60CBF90E">
      <w:pPr>
        <w:spacing w:line="14" w:lineRule="auto"/>
        <w:rPr>
          <w:rFonts w:ascii="Arial"/>
          <w:sz w:val="2"/>
        </w:rPr>
      </w:pPr>
      <w:r>
        <w:rPr>
          <w:rFonts w:ascii="Arial" w:hAnsi="Arial" w:eastAsia="Arial" w:cs="Arial"/>
          <w:sz w:val="2"/>
          <w:szCs w:val="2"/>
        </w:rPr>
        <w:br w:type="column"/>
      </w:r>
    </w:p>
    <w:p w14:paraId="05D6AE54">
      <w:pPr>
        <w:spacing w:line="262" w:lineRule="auto"/>
        <w:rPr>
          <w:rFonts w:ascii="Arial"/>
          <w:sz w:val="21"/>
        </w:rPr>
      </w:pPr>
    </w:p>
    <w:p w14:paraId="27E0BA5A">
      <w:pPr>
        <w:spacing w:line="263" w:lineRule="auto"/>
        <w:rPr>
          <w:rFonts w:ascii="Arial"/>
          <w:sz w:val="21"/>
        </w:rPr>
      </w:pPr>
    </w:p>
    <w:p w14:paraId="326BDB19">
      <w:pPr>
        <w:spacing w:line="263" w:lineRule="auto"/>
        <w:rPr>
          <w:rFonts w:ascii="Arial"/>
          <w:sz w:val="21"/>
        </w:rPr>
      </w:pPr>
    </w:p>
    <w:p w14:paraId="31C264E7">
      <w:pPr>
        <w:spacing w:line="263" w:lineRule="auto"/>
        <w:rPr>
          <w:rFonts w:ascii="Arial"/>
          <w:sz w:val="21"/>
        </w:rPr>
      </w:pPr>
    </w:p>
    <w:p w14:paraId="2A38A086">
      <w:pPr>
        <w:spacing w:before="36" w:line="552" w:lineRule="auto"/>
        <w:ind w:left="100" w:right="359" w:firstLine="39"/>
        <w:rPr>
          <w:rFonts w:ascii="宋体" w:hAnsi="宋体" w:eastAsia="宋体" w:cs="宋体"/>
          <w:sz w:val="11"/>
          <w:szCs w:val="11"/>
        </w:rPr>
      </w:pPr>
      <w:r>
        <w:rPr>
          <w:rFonts w:ascii="宋体" w:hAnsi="宋体" w:eastAsia="宋体" w:cs="宋体"/>
          <w:spacing w:val="-7"/>
          <w:sz w:val="11"/>
          <w:szCs w:val="11"/>
        </w:rPr>
        <w:t>●</w:t>
      </w:r>
      <w:r>
        <w:rPr>
          <w:rFonts w:ascii="MS Gothic" w:hAnsi="MS Gothic" w:eastAsia="MS Gothic" w:cs="MS Gothic"/>
          <w:spacing w:val="-7"/>
          <w:sz w:val="11"/>
          <w:szCs w:val="11"/>
        </w:rPr>
        <w:t>⊗</w:t>
      </w:r>
      <w:r>
        <w:rPr>
          <w:rFonts w:ascii="MS Gothic" w:hAnsi="MS Gothic" w:eastAsia="MS Gothic" w:cs="MS Gothic"/>
          <w:sz w:val="11"/>
          <w:szCs w:val="11"/>
        </w:rPr>
        <w:t xml:space="preserve">  </w:t>
      </w:r>
      <w:r>
        <w:rPr>
          <w:rFonts w:ascii="Times New Roman" w:hAnsi="Times New Roman" w:eastAsia="Times New Roman" w:cs="Times New Roman"/>
          <w:spacing w:val="-9"/>
          <w:sz w:val="11"/>
          <w:szCs w:val="11"/>
        </w:rPr>
        <w:t>●</w:t>
      </w:r>
      <w:r>
        <w:rPr>
          <w:rFonts w:ascii="宋体" w:hAnsi="宋体" w:eastAsia="宋体" w:cs="宋体"/>
          <w:spacing w:val="-9"/>
          <w:sz w:val="11"/>
          <w:szCs w:val="11"/>
        </w:rPr>
        <w:t>⑧。</w:t>
      </w:r>
    </w:p>
    <w:p w14:paraId="70E626D4">
      <w:pPr>
        <w:spacing w:line="332" w:lineRule="auto"/>
        <w:rPr>
          <w:rFonts w:ascii="Arial"/>
          <w:sz w:val="21"/>
        </w:rPr>
      </w:pPr>
    </w:p>
    <w:p w14:paraId="0666C3A3">
      <w:pPr>
        <w:spacing w:before="37" w:line="217" w:lineRule="auto"/>
        <w:ind w:left="129"/>
        <w:rPr>
          <w:rFonts w:ascii="宋体" w:hAnsi="宋体" w:eastAsia="宋体" w:cs="宋体"/>
          <w:sz w:val="11"/>
          <w:szCs w:val="11"/>
        </w:rPr>
      </w:pPr>
      <w:r>
        <w:pict>
          <v:shape id="_x0000_s1085" o:spid="_x0000_s1085" o:spt="202" type="#_x0000_t202" style="position:absolute;left:0pt;margin-left:7.45pt;margin-top:17.8pt;height:22.5pt;width:42.8pt;z-index:251765760;mso-width-relative:page;mso-height-relative:page;" filled="f" stroked="f" coordsize="21600,21600">
            <v:path/>
            <v:fill on="f" focussize="0,0"/>
            <v:stroke on="f"/>
            <v:imagedata o:title=""/>
            <o:lock v:ext="edit" aspectratio="f"/>
            <v:textbox inset="0mm,0mm,0mm,0mm">
              <w:txbxContent>
                <w:p w14:paraId="3962D1B1">
                  <w:pPr>
                    <w:spacing w:before="20" w:line="217" w:lineRule="auto"/>
                    <w:ind w:left="20"/>
                    <w:rPr>
                      <w:rFonts w:ascii="宋体" w:hAnsi="宋体" w:eastAsia="宋体" w:cs="宋体"/>
                      <w:sz w:val="11"/>
                      <w:szCs w:val="11"/>
                    </w:rPr>
                  </w:pPr>
                  <w:r>
                    <w:rPr>
                      <w:rFonts w:ascii="宋体" w:hAnsi="宋体" w:eastAsia="宋体" w:cs="宋体"/>
                      <w:spacing w:val="-12"/>
                      <w:sz w:val="11"/>
                      <w:szCs w:val="11"/>
                    </w:rPr>
                    <w:t>⑧ ·●⑧</w:t>
                  </w:r>
                </w:p>
                <w:p w14:paraId="1AE76DCF">
                  <w:pPr>
                    <w:spacing w:before="150" w:line="217" w:lineRule="auto"/>
                    <w:ind w:left="69"/>
                    <w:rPr>
                      <w:rFonts w:ascii="宋体" w:hAnsi="宋体" w:eastAsia="宋体" w:cs="宋体"/>
                      <w:sz w:val="11"/>
                      <w:szCs w:val="11"/>
                    </w:rPr>
                  </w:pPr>
                  <w:r>
                    <w:rPr>
                      <w:rFonts w:ascii="宋体" w:hAnsi="宋体" w:eastAsia="宋体" w:cs="宋体"/>
                      <w:spacing w:val="-1"/>
                      <w:sz w:val="11"/>
                      <w:szCs w:val="11"/>
                    </w:rPr>
                    <w:t>⑧⑧⑧②⑧⑧⑧</w:t>
                  </w:r>
                </w:p>
              </w:txbxContent>
            </v:textbox>
          </v:shape>
        </w:pict>
      </w:r>
      <w:r>
        <w:rPr>
          <w:rFonts w:ascii="宋体" w:hAnsi="宋体" w:eastAsia="宋体" w:cs="宋体"/>
          <w:spacing w:val="-4"/>
          <w:sz w:val="11"/>
          <w:szCs w:val="11"/>
        </w:rPr>
        <w:t>●⑧●⑧</w:t>
      </w:r>
    </w:p>
    <w:p w14:paraId="3E1A6D6F">
      <w:pPr>
        <w:spacing w:line="14" w:lineRule="auto"/>
        <w:rPr>
          <w:rFonts w:ascii="Arial"/>
          <w:sz w:val="2"/>
        </w:rPr>
      </w:pPr>
      <w:r>
        <w:rPr>
          <w:rFonts w:ascii="Arial" w:hAnsi="Arial" w:eastAsia="Arial" w:cs="Arial"/>
          <w:sz w:val="2"/>
          <w:szCs w:val="2"/>
        </w:rPr>
        <w:br w:type="column"/>
      </w:r>
    </w:p>
    <w:p w14:paraId="0247C00F">
      <w:pPr>
        <w:spacing w:line="319" w:lineRule="auto"/>
        <w:rPr>
          <w:rFonts w:ascii="Arial"/>
          <w:sz w:val="21"/>
        </w:rPr>
      </w:pPr>
    </w:p>
    <w:p w14:paraId="2EFA02E3">
      <w:pPr>
        <w:spacing w:line="320" w:lineRule="auto"/>
        <w:rPr>
          <w:rFonts w:ascii="Arial"/>
          <w:sz w:val="21"/>
        </w:rPr>
      </w:pPr>
    </w:p>
    <w:p w14:paraId="0DA411F5">
      <w:pPr>
        <w:spacing w:line="320" w:lineRule="auto"/>
        <w:rPr>
          <w:rFonts w:ascii="Arial"/>
          <w:sz w:val="21"/>
        </w:rPr>
      </w:pPr>
    </w:p>
    <w:p w14:paraId="04D2880C">
      <w:pPr>
        <w:spacing w:before="62" w:line="220" w:lineRule="auto"/>
        <w:ind w:left="280"/>
        <w:rPr>
          <w:rFonts w:ascii="宋体" w:hAnsi="宋体" w:eastAsia="宋体" w:cs="宋体"/>
          <w:sz w:val="19"/>
          <w:szCs w:val="19"/>
        </w:rPr>
      </w:pPr>
      <w:r>
        <w:rPr>
          <w:rFonts w:ascii="宋体" w:hAnsi="宋体" w:eastAsia="宋体" w:cs="宋体"/>
          <w:spacing w:val="-14"/>
          <w:sz w:val="19"/>
          <w:szCs w:val="19"/>
        </w:rPr>
        <w:t>阳性者</w:t>
      </w:r>
    </w:p>
    <w:p w14:paraId="406235D0">
      <w:pPr>
        <w:spacing w:before="133" w:line="314" w:lineRule="auto"/>
        <w:ind w:left="128" w:right="2" w:hanging="129"/>
        <w:rPr>
          <w:rFonts w:ascii="宋体" w:hAnsi="宋体" w:eastAsia="宋体" w:cs="宋体"/>
          <w:sz w:val="19"/>
          <w:szCs w:val="19"/>
        </w:rPr>
      </w:pPr>
      <w:r>
        <w:rPr>
          <w:rFonts w:ascii="宋体" w:hAnsi="宋体" w:eastAsia="宋体" w:cs="宋体"/>
          <w:spacing w:val="-17"/>
          <w:sz w:val="19"/>
          <w:szCs w:val="19"/>
        </w:rPr>
        <w:t>即可能患某</w:t>
      </w:r>
      <w:r>
        <w:rPr>
          <w:rFonts w:ascii="宋体" w:hAnsi="宋体" w:eastAsia="宋体" w:cs="宋体"/>
          <w:spacing w:val="-16"/>
          <w:sz w:val="19"/>
          <w:szCs w:val="19"/>
        </w:rPr>
        <w:t>病或将</w:t>
      </w:r>
      <w:r>
        <w:rPr>
          <w:rFonts w:ascii="宋体" w:hAnsi="宋体" w:eastAsia="宋体" w:cs="宋体"/>
          <w:spacing w:val="-11"/>
          <w:sz w:val="19"/>
          <w:szCs w:val="19"/>
        </w:rPr>
        <w:t>来</w:t>
      </w:r>
      <w:r>
        <w:rPr>
          <w:rFonts w:ascii="宋体" w:hAnsi="宋体" w:eastAsia="宋体" w:cs="宋体"/>
          <w:sz w:val="19"/>
          <w:szCs w:val="19"/>
        </w:rPr>
        <w:t xml:space="preserve"> </w:t>
      </w:r>
      <w:r>
        <w:rPr>
          <w:rFonts w:ascii="宋体" w:hAnsi="宋体" w:eastAsia="宋体" w:cs="宋体"/>
          <w:spacing w:val="-13"/>
          <w:sz w:val="19"/>
          <w:szCs w:val="19"/>
        </w:rPr>
        <w:t>有患病危险的人</w:t>
      </w:r>
    </w:p>
    <w:p w14:paraId="03E93C1F">
      <w:pPr>
        <w:spacing w:line="14" w:lineRule="auto"/>
        <w:rPr>
          <w:rFonts w:ascii="Arial"/>
          <w:sz w:val="2"/>
        </w:rPr>
      </w:pPr>
      <w:r>
        <w:rPr>
          <w:rFonts w:ascii="Arial" w:hAnsi="Arial" w:eastAsia="Arial" w:cs="Arial"/>
          <w:sz w:val="2"/>
          <w:szCs w:val="2"/>
        </w:rPr>
        <w:br w:type="column"/>
      </w:r>
    </w:p>
    <w:p w14:paraId="4265870D">
      <w:pPr>
        <w:spacing w:line="266" w:lineRule="auto"/>
        <w:rPr>
          <w:rFonts w:ascii="Arial"/>
          <w:sz w:val="21"/>
        </w:rPr>
      </w:pPr>
    </w:p>
    <w:p w14:paraId="4D5E98E7">
      <w:pPr>
        <w:spacing w:line="266" w:lineRule="auto"/>
        <w:rPr>
          <w:rFonts w:ascii="Arial"/>
          <w:sz w:val="21"/>
        </w:rPr>
      </w:pPr>
    </w:p>
    <w:p w14:paraId="6AB49249">
      <w:pPr>
        <w:spacing w:line="266" w:lineRule="auto"/>
        <w:rPr>
          <w:rFonts w:ascii="Arial"/>
          <w:sz w:val="21"/>
        </w:rPr>
      </w:pPr>
    </w:p>
    <w:p w14:paraId="334A2997">
      <w:pPr>
        <w:spacing w:line="266" w:lineRule="auto"/>
        <w:rPr>
          <w:rFonts w:ascii="Arial"/>
          <w:sz w:val="21"/>
        </w:rPr>
      </w:pPr>
    </w:p>
    <w:p w14:paraId="6171B398">
      <w:pPr>
        <w:spacing w:line="267" w:lineRule="auto"/>
        <w:rPr>
          <w:rFonts w:ascii="Arial"/>
          <w:sz w:val="21"/>
        </w:rPr>
      </w:pPr>
    </w:p>
    <w:p w14:paraId="36409E3E">
      <w:pPr>
        <w:spacing w:line="267" w:lineRule="auto"/>
        <w:rPr>
          <w:rFonts w:ascii="Arial"/>
          <w:sz w:val="21"/>
        </w:rPr>
      </w:pPr>
    </w:p>
    <w:p w14:paraId="3BD93B3B">
      <w:pPr>
        <w:spacing w:line="267" w:lineRule="auto"/>
        <w:rPr>
          <w:rFonts w:ascii="Arial"/>
          <w:sz w:val="21"/>
        </w:rPr>
      </w:pPr>
    </w:p>
    <w:p w14:paraId="489AA068">
      <w:pPr>
        <w:spacing w:before="61" w:line="206" w:lineRule="auto"/>
        <w:ind w:left="79" w:right="1364" w:hanging="79"/>
        <w:rPr>
          <w:rFonts w:ascii="宋体" w:hAnsi="宋体" w:eastAsia="宋体" w:cs="宋体"/>
          <w:sz w:val="19"/>
          <w:szCs w:val="19"/>
        </w:rPr>
      </w:pPr>
      <w:r>
        <w:rPr>
          <w:rFonts w:ascii="宋体" w:hAnsi="宋体" w:eastAsia="宋体" w:cs="宋体"/>
          <w:spacing w:val="-4"/>
          <w:sz w:val="19"/>
          <w:szCs w:val="19"/>
        </w:rPr>
        <w:t>定期再</w:t>
      </w:r>
      <w:r>
        <w:rPr>
          <w:rFonts w:ascii="宋体" w:hAnsi="宋体" w:eastAsia="宋体" w:cs="宋体"/>
          <w:sz w:val="19"/>
          <w:szCs w:val="19"/>
        </w:rPr>
        <w:t xml:space="preserve"> </w:t>
      </w:r>
      <w:r>
        <w:rPr>
          <w:rFonts w:ascii="宋体" w:hAnsi="宋体" w:eastAsia="宋体" w:cs="宋体"/>
          <w:spacing w:val="-3"/>
          <w:sz w:val="19"/>
          <w:szCs w:val="19"/>
        </w:rPr>
        <w:t>筛检</w:t>
      </w:r>
    </w:p>
    <w:p w14:paraId="38227F82">
      <w:pPr>
        <w:spacing w:line="206" w:lineRule="auto"/>
        <w:rPr>
          <w:rFonts w:ascii="宋体" w:hAnsi="宋体" w:eastAsia="宋体" w:cs="宋体"/>
          <w:sz w:val="19"/>
          <w:szCs w:val="19"/>
        </w:rPr>
        <w:sectPr>
          <w:type w:val="continuous"/>
          <w:pgSz w:w="11900" w:h="16820"/>
          <w:pgMar w:top="400" w:right="867" w:bottom="902" w:left="1420" w:header="0" w:footer="731" w:gutter="0"/>
          <w:cols w:equalWidth="0" w:num="5">
            <w:col w:w="1651" w:space="100"/>
            <w:col w:w="3450" w:space="100"/>
            <w:col w:w="720" w:space="0"/>
            <w:col w:w="1571" w:space="100"/>
            <w:col w:w="1923"/>
          </w:cols>
        </w:sectPr>
      </w:pPr>
    </w:p>
    <w:p w14:paraId="5E868319">
      <w:pPr>
        <w:spacing w:line="243" w:lineRule="auto"/>
        <w:rPr>
          <w:rFonts w:ascii="Arial"/>
          <w:sz w:val="21"/>
        </w:rPr>
      </w:pPr>
    </w:p>
    <w:p w14:paraId="1136A39F">
      <w:pPr>
        <w:spacing w:before="62" w:line="217" w:lineRule="auto"/>
        <w:ind w:left="5139"/>
        <w:rPr>
          <w:rFonts w:ascii="宋体" w:hAnsi="宋体" w:eastAsia="宋体" w:cs="宋体"/>
          <w:sz w:val="19"/>
          <w:szCs w:val="19"/>
        </w:rPr>
      </w:pPr>
      <w:r>
        <w:rPr>
          <w:rFonts w:ascii="宋体" w:hAnsi="宋体" w:eastAsia="宋体" w:cs="宋体"/>
          <w:spacing w:val="3"/>
          <w:sz w:val="19"/>
          <w:szCs w:val="19"/>
        </w:rPr>
        <w:t>各种诊断方法8</w:t>
      </w:r>
      <w:r>
        <w:rPr>
          <w:rFonts w:ascii="宋体" w:hAnsi="宋体" w:eastAsia="宋体" w:cs="宋体"/>
          <w:spacing w:val="17"/>
          <w:sz w:val="19"/>
          <w:szCs w:val="19"/>
        </w:rPr>
        <w:t xml:space="preserve"> </w:t>
      </w:r>
      <w:r>
        <w:rPr>
          <w:rFonts w:ascii="宋体" w:hAnsi="宋体" w:eastAsia="宋体" w:cs="宋体"/>
          <w:spacing w:val="3"/>
          <w:sz w:val="19"/>
          <w:szCs w:val="19"/>
        </w:rPr>
        <w:t>⑧</w:t>
      </w:r>
    </w:p>
    <w:p w14:paraId="59EBFC76">
      <w:pPr>
        <w:spacing w:before="158"/>
      </w:pPr>
    </w:p>
    <w:p w14:paraId="0A43D6D9">
      <w:pPr>
        <w:sectPr>
          <w:type w:val="continuous"/>
          <w:pgSz w:w="11900" w:h="16820"/>
          <w:pgMar w:top="400" w:right="867" w:bottom="902" w:left="1420" w:header="0" w:footer="731" w:gutter="0"/>
          <w:cols w:equalWidth="0" w:num="1">
            <w:col w:w="9613"/>
          </w:cols>
        </w:sectPr>
      </w:pPr>
    </w:p>
    <w:p w14:paraId="1F921211">
      <w:pPr>
        <w:spacing w:line="331" w:lineRule="auto"/>
        <w:rPr>
          <w:rFonts w:ascii="Arial"/>
          <w:sz w:val="21"/>
        </w:rPr>
      </w:pPr>
    </w:p>
    <w:p w14:paraId="18D08F2D">
      <w:pPr>
        <w:spacing w:line="332" w:lineRule="auto"/>
        <w:rPr>
          <w:rFonts w:ascii="Arial"/>
          <w:sz w:val="21"/>
        </w:rPr>
      </w:pPr>
    </w:p>
    <w:p w14:paraId="1572D161">
      <w:pPr>
        <w:pStyle w:val="2"/>
        <w:spacing w:before="62" w:line="186" w:lineRule="auto"/>
        <w:ind w:left="860"/>
        <w:rPr>
          <w:sz w:val="19"/>
          <w:szCs w:val="19"/>
        </w:rPr>
      </w:pPr>
      <w:r>
        <w:rPr>
          <w:spacing w:val="-5"/>
          <w:sz w:val="19"/>
          <w:szCs w:val="19"/>
        </w:rPr>
        <w:t>图例</w:t>
      </w:r>
    </w:p>
    <w:p w14:paraId="5D6F2A0E">
      <w:pPr>
        <w:spacing w:before="1" w:line="217" w:lineRule="auto"/>
        <w:ind w:left="919"/>
        <w:rPr>
          <w:rFonts w:ascii="宋体" w:hAnsi="宋体" w:eastAsia="宋体" w:cs="宋体"/>
          <w:sz w:val="19"/>
          <w:szCs w:val="19"/>
        </w:rPr>
      </w:pPr>
      <w:r>
        <w:rPr>
          <w:rFonts w:ascii="宋体" w:hAnsi="宋体" w:eastAsia="宋体" w:cs="宋体"/>
          <w:spacing w:val="-4"/>
          <w:sz w:val="19"/>
          <w:szCs w:val="19"/>
        </w:rPr>
        <w:t>。:筛检试验阴性</w:t>
      </w:r>
    </w:p>
    <w:p w14:paraId="55FA7196">
      <w:pPr>
        <w:spacing w:before="3" w:line="217" w:lineRule="auto"/>
        <w:ind w:left="919"/>
        <w:rPr>
          <w:rFonts w:ascii="宋体" w:hAnsi="宋体" w:eastAsia="宋体" w:cs="宋体"/>
          <w:sz w:val="19"/>
          <w:szCs w:val="19"/>
        </w:rPr>
      </w:pPr>
      <w:r>
        <w:rPr>
          <w:rFonts w:ascii="宋体" w:hAnsi="宋体" w:eastAsia="宋体" w:cs="宋体"/>
          <w:spacing w:val="-7"/>
          <w:sz w:val="19"/>
          <w:szCs w:val="19"/>
        </w:rPr>
        <w:t>⑧:筛检试验阳性但未患病</w:t>
      </w:r>
    </w:p>
    <w:p w14:paraId="2D23CDBA">
      <w:pPr>
        <w:spacing w:before="109" w:line="219" w:lineRule="auto"/>
        <w:ind w:left="919"/>
        <w:rPr>
          <w:rFonts w:ascii="宋体" w:hAnsi="宋体" w:eastAsia="宋体" w:cs="宋体"/>
          <w:sz w:val="19"/>
          <w:szCs w:val="19"/>
        </w:rPr>
      </w:pPr>
      <w:r>
        <w:rPr>
          <w:rFonts w:ascii="宋体" w:hAnsi="宋体" w:eastAsia="宋体" w:cs="宋体"/>
          <w:spacing w:val="-8"/>
          <w:sz w:val="19"/>
          <w:szCs w:val="19"/>
        </w:rPr>
        <w:t>·</w:t>
      </w:r>
      <w:r>
        <w:rPr>
          <w:rFonts w:ascii="宋体" w:hAnsi="宋体" w:eastAsia="宋体" w:cs="宋体"/>
          <w:spacing w:val="-54"/>
          <w:sz w:val="19"/>
          <w:szCs w:val="19"/>
        </w:rPr>
        <w:t xml:space="preserve"> </w:t>
      </w:r>
      <w:r>
        <w:rPr>
          <w:rFonts w:ascii="宋体" w:hAnsi="宋体" w:eastAsia="宋体" w:cs="宋体"/>
          <w:spacing w:val="-8"/>
          <w:sz w:val="19"/>
          <w:szCs w:val="19"/>
        </w:rPr>
        <w:t>:筛检试验阳性且目前已患病</w:t>
      </w:r>
    </w:p>
    <w:p w14:paraId="31437DF7">
      <w:pPr>
        <w:spacing w:before="152"/>
      </w:pPr>
    </w:p>
    <w:p w14:paraId="0C416B49">
      <w:pPr>
        <w:spacing w:line="14" w:lineRule="auto"/>
        <w:rPr>
          <w:rFonts w:ascii="Arial"/>
          <w:sz w:val="2"/>
        </w:rPr>
      </w:pPr>
      <w:r>
        <w:rPr>
          <w:rFonts w:ascii="Arial" w:hAnsi="Arial" w:eastAsia="Arial" w:cs="Arial"/>
          <w:sz w:val="2"/>
          <w:szCs w:val="2"/>
        </w:rPr>
        <w:br w:type="column"/>
      </w:r>
    </w:p>
    <w:p w14:paraId="3EC39942">
      <w:pPr>
        <w:spacing w:before="39" w:line="230" w:lineRule="auto"/>
        <w:ind w:left="460"/>
        <w:rPr>
          <w:rFonts w:ascii="宋体" w:hAnsi="宋体" w:eastAsia="宋体" w:cs="宋体"/>
          <w:sz w:val="19"/>
          <w:szCs w:val="19"/>
        </w:rPr>
      </w:pPr>
      <w:r>
        <w:rPr>
          <w:rFonts w:ascii="宋体" w:hAnsi="宋体" w:eastAsia="宋体" w:cs="宋体"/>
          <w:spacing w:val="-14"/>
          <w:sz w:val="19"/>
          <w:szCs w:val="19"/>
        </w:rPr>
        <w:t>患病或具备</w:t>
      </w:r>
      <w:r>
        <w:rPr>
          <w:rFonts w:ascii="宋体" w:hAnsi="宋体" w:eastAsia="宋体" w:cs="宋体"/>
          <w:spacing w:val="6"/>
          <w:sz w:val="19"/>
          <w:szCs w:val="19"/>
        </w:rPr>
        <w:t xml:space="preserve">          </w:t>
      </w:r>
      <w:r>
        <w:rPr>
          <w:rFonts w:ascii="宋体" w:hAnsi="宋体" w:eastAsia="宋体" w:cs="宋体"/>
          <w:spacing w:val="-14"/>
          <w:sz w:val="19"/>
          <w:szCs w:val="19"/>
        </w:rPr>
        <w:t>未患病或不具备</w:t>
      </w:r>
    </w:p>
    <w:p w14:paraId="68DEE168">
      <w:pPr>
        <w:spacing w:before="103" w:line="219" w:lineRule="auto"/>
        <w:ind w:left="580"/>
        <w:rPr>
          <w:rFonts w:ascii="宋体" w:hAnsi="宋体" w:eastAsia="宋体" w:cs="宋体"/>
          <w:sz w:val="19"/>
          <w:szCs w:val="19"/>
        </w:rPr>
      </w:pPr>
      <w:r>
        <w:rPr>
          <w:rFonts w:ascii="宋体" w:hAnsi="宋体" w:eastAsia="宋体" w:cs="宋体"/>
          <w:spacing w:val="-10"/>
          <w:position w:val="1"/>
          <w:sz w:val="19"/>
          <w:szCs w:val="19"/>
        </w:rPr>
        <w:t>危险因素</w:t>
      </w:r>
      <w:r>
        <w:rPr>
          <w:rFonts w:ascii="宋体" w:hAnsi="宋体" w:eastAsia="宋体" w:cs="宋体"/>
          <w:spacing w:val="2"/>
          <w:position w:val="1"/>
          <w:sz w:val="19"/>
          <w:szCs w:val="19"/>
        </w:rPr>
        <w:t xml:space="preserve">             </w:t>
      </w:r>
      <w:r>
        <w:rPr>
          <w:rFonts w:ascii="宋体" w:hAnsi="宋体" w:eastAsia="宋体" w:cs="宋体"/>
          <w:spacing w:val="-10"/>
          <w:position w:val="-1"/>
          <w:sz w:val="19"/>
          <w:szCs w:val="19"/>
        </w:rPr>
        <w:t>危险因素</w:t>
      </w:r>
    </w:p>
    <w:p w14:paraId="25862403">
      <w:pPr>
        <w:spacing w:line="309" w:lineRule="auto"/>
        <w:rPr>
          <w:rFonts w:ascii="Arial"/>
          <w:sz w:val="21"/>
        </w:rPr>
      </w:pPr>
    </w:p>
    <w:p w14:paraId="52F7FE0A">
      <w:pPr>
        <w:spacing w:before="62" w:line="219" w:lineRule="auto"/>
        <w:ind w:left="180"/>
        <w:rPr>
          <w:rFonts w:ascii="宋体" w:hAnsi="宋体" w:eastAsia="宋体" w:cs="宋体"/>
          <w:sz w:val="19"/>
          <w:szCs w:val="19"/>
        </w:rPr>
      </w:pPr>
      <w:r>
        <w:rPr>
          <w:rFonts w:ascii="宋体" w:hAnsi="宋体" w:eastAsia="宋体" w:cs="宋体"/>
          <w:spacing w:val="-11"/>
          <w:sz w:val="19"/>
          <w:szCs w:val="19"/>
        </w:rPr>
        <w:t>治疗或预防性干预</w:t>
      </w:r>
    </w:p>
    <w:p w14:paraId="0B033614">
      <w:pPr>
        <w:spacing w:line="289" w:lineRule="auto"/>
        <w:rPr>
          <w:rFonts w:ascii="Arial"/>
          <w:sz w:val="21"/>
        </w:rPr>
      </w:pPr>
    </w:p>
    <w:p w14:paraId="2A8BB852">
      <w:pPr>
        <w:spacing w:line="289" w:lineRule="auto"/>
        <w:rPr>
          <w:rFonts w:ascii="Arial"/>
          <w:sz w:val="21"/>
        </w:rPr>
      </w:pPr>
    </w:p>
    <w:p w14:paraId="6B58EB9D">
      <w:pPr>
        <w:pStyle w:val="2"/>
        <w:spacing w:before="63" w:line="221" w:lineRule="auto"/>
        <w:rPr>
          <w:sz w:val="19"/>
          <w:szCs w:val="19"/>
        </w:rPr>
      </w:pPr>
      <w:r>
        <w:rPr>
          <w:spacing w:val="8"/>
          <w:sz w:val="19"/>
          <w:szCs w:val="19"/>
        </w:rPr>
        <w:t>图7-2</w:t>
      </w:r>
      <w:r>
        <w:rPr>
          <w:spacing w:val="64"/>
          <w:sz w:val="19"/>
          <w:szCs w:val="19"/>
        </w:rPr>
        <w:t xml:space="preserve"> </w:t>
      </w:r>
      <w:r>
        <w:rPr>
          <w:spacing w:val="8"/>
          <w:sz w:val="19"/>
          <w:szCs w:val="19"/>
        </w:rPr>
        <w:t>筛检流程图</w:t>
      </w:r>
    </w:p>
    <w:p w14:paraId="018C0AF0">
      <w:pPr>
        <w:spacing w:line="221" w:lineRule="auto"/>
        <w:rPr>
          <w:sz w:val="19"/>
          <w:szCs w:val="19"/>
        </w:rPr>
        <w:sectPr>
          <w:type w:val="continuous"/>
          <w:pgSz w:w="11900" w:h="16820"/>
          <w:pgMar w:top="400" w:right="867" w:bottom="902" w:left="1420" w:header="0" w:footer="731" w:gutter="0"/>
          <w:cols w:equalWidth="0" w:num="2">
            <w:col w:w="3580" w:space="100"/>
            <w:col w:w="5933"/>
          </w:cols>
        </w:sectPr>
      </w:pPr>
    </w:p>
    <w:p w14:paraId="68627FAD">
      <w:pPr>
        <w:spacing w:before="261" w:line="351" w:lineRule="auto"/>
        <w:ind w:right="621" w:firstLine="419"/>
        <w:jc w:val="both"/>
        <w:rPr>
          <w:rFonts w:ascii="宋体" w:hAnsi="宋体" w:eastAsia="宋体" w:cs="宋体"/>
          <w:sz w:val="19"/>
          <w:szCs w:val="19"/>
        </w:rPr>
      </w:pPr>
      <w:r>
        <w:rPr>
          <w:rFonts w:ascii="宋体" w:hAnsi="宋体" w:eastAsia="宋体" w:cs="宋体"/>
          <w:spacing w:val="14"/>
          <w:sz w:val="19"/>
          <w:szCs w:val="19"/>
        </w:rPr>
        <w:t>筛检一般是由国家或地区政府主导，动员全社会参与的系统工程，又称为“三早”预防，包括对</w:t>
      </w:r>
      <w:r>
        <w:rPr>
          <w:rFonts w:ascii="宋体" w:hAnsi="宋体" w:eastAsia="宋体" w:cs="宋体"/>
          <w:sz w:val="19"/>
          <w:szCs w:val="19"/>
        </w:rPr>
        <w:t xml:space="preserve"> </w:t>
      </w:r>
      <w:r>
        <w:rPr>
          <w:rFonts w:ascii="宋体" w:hAnsi="宋体" w:eastAsia="宋体" w:cs="宋体"/>
          <w:spacing w:val="19"/>
          <w:sz w:val="19"/>
          <w:szCs w:val="19"/>
        </w:rPr>
        <w:t>目标疾病的早期发现、早期诊断、对各阶段阳性者的处理(早期</w:t>
      </w:r>
      <w:r>
        <w:rPr>
          <w:rFonts w:ascii="宋体" w:hAnsi="宋体" w:eastAsia="宋体" w:cs="宋体"/>
          <w:spacing w:val="18"/>
          <w:sz w:val="19"/>
          <w:szCs w:val="19"/>
        </w:rPr>
        <w:t>治疗)及阴性者医学随访的一系列医</w:t>
      </w:r>
      <w:r>
        <w:rPr>
          <w:rFonts w:ascii="宋体" w:hAnsi="宋体" w:eastAsia="宋体" w:cs="宋体"/>
          <w:sz w:val="19"/>
          <w:szCs w:val="19"/>
        </w:rPr>
        <w:t xml:space="preserve"> </w:t>
      </w:r>
      <w:r>
        <w:rPr>
          <w:rFonts w:ascii="宋体" w:hAnsi="宋体" w:eastAsia="宋体" w:cs="宋体"/>
          <w:spacing w:val="21"/>
          <w:sz w:val="19"/>
          <w:szCs w:val="19"/>
        </w:rPr>
        <w:t>疗和卫生服务实践活动。</w:t>
      </w:r>
    </w:p>
    <w:p w14:paraId="71A9F73E">
      <w:pPr>
        <w:pStyle w:val="2"/>
        <w:spacing w:before="183" w:line="221" w:lineRule="auto"/>
        <w:ind w:left="423"/>
        <w:outlineLvl w:val="2"/>
        <w:rPr>
          <w:sz w:val="25"/>
          <w:szCs w:val="25"/>
        </w:rPr>
      </w:pPr>
      <w:bookmarkStart w:id="198" w:name="bookmark127"/>
      <w:bookmarkEnd w:id="198"/>
      <w:r>
        <w:rPr>
          <w:b/>
          <w:bCs/>
          <w:spacing w:val="-2"/>
          <w:sz w:val="25"/>
          <w:szCs w:val="25"/>
        </w:rPr>
        <w:t>二</w:t>
      </w:r>
      <w:r>
        <w:rPr>
          <w:spacing w:val="-58"/>
          <w:sz w:val="25"/>
          <w:szCs w:val="25"/>
        </w:rPr>
        <w:t xml:space="preserve"> </w:t>
      </w:r>
      <w:r>
        <w:rPr>
          <w:b/>
          <w:bCs/>
          <w:spacing w:val="-2"/>
          <w:sz w:val="25"/>
          <w:szCs w:val="25"/>
        </w:rPr>
        <w:t>、筛检的目的及类型</w:t>
      </w:r>
    </w:p>
    <w:p w14:paraId="519BCB0A">
      <w:pPr>
        <w:pStyle w:val="2"/>
        <w:spacing w:before="235" w:line="222" w:lineRule="auto"/>
        <w:ind w:left="419"/>
        <w:rPr>
          <w:sz w:val="25"/>
          <w:szCs w:val="25"/>
        </w:rPr>
      </w:pPr>
      <w:r>
        <w:rPr>
          <w:spacing w:val="-8"/>
          <w:sz w:val="25"/>
          <w:szCs w:val="25"/>
        </w:rPr>
        <w:t>(一)筛检的目的</w:t>
      </w:r>
    </w:p>
    <w:p w14:paraId="7301C6EF">
      <w:pPr>
        <w:pStyle w:val="2"/>
        <w:spacing w:before="106" w:line="317" w:lineRule="auto"/>
        <w:ind w:right="537" w:firstLine="419"/>
        <w:jc w:val="both"/>
        <w:rPr>
          <w:rFonts w:ascii="宋体" w:hAnsi="宋体" w:eastAsia="宋体" w:cs="宋体"/>
          <w:sz w:val="19"/>
          <w:szCs w:val="19"/>
        </w:rPr>
      </w:pPr>
      <w:r>
        <w:rPr>
          <w:rFonts w:ascii="宋体" w:hAnsi="宋体" w:eastAsia="宋体" w:cs="宋体"/>
          <w:spacing w:val="16"/>
          <w:sz w:val="19"/>
          <w:szCs w:val="19"/>
        </w:rPr>
        <w:t xml:space="preserve">1. </w:t>
      </w:r>
      <w:r>
        <w:rPr>
          <w:spacing w:val="16"/>
          <w:sz w:val="19"/>
          <w:szCs w:val="19"/>
        </w:rPr>
        <w:t xml:space="preserve">发现隐匿的病例  </w:t>
      </w:r>
      <w:r>
        <w:rPr>
          <w:rFonts w:ascii="宋体" w:hAnsi="宋体" w:eastAsia="宋体" w:cs="宋体"/>
          <w:spacing w:val="16"/>
          <w:sz w:val="19"/>
          <w:szCs w:val="19"/>
        </w:rPr>
        <w:t>在表面健康的人群中筛</w:t>
      </w:r>
      <w:r>
        <w:rPr>
          <w:rFonts w:ascii="宋体" w:hAnsi="宋体" w:eastAsia="宋体" w:cs="宋体"/>
          <w:spacing w:val="15"/>
          <w:sz w:val="19"/>
          <w:szCs w:val="19"/>
        </w:rPr>
        <w:t>检出可能患有某病的个体，并进一步进行确诊和早</w:t>
      </w:r>
      <w:r>
        <w:rPr>
          <w:rFonts w:ascii="宋体" w:hAnsi="宋体" w:eastAsia="宋体" w:cs="宋体"/>
          <w:sz w:val="19"/>
          <w:szCs w:val="19"/>
        </w:rPr>
        <w:t xml:space="preserve">  </w:t>
      </w:r>
      <w:r>
        <w:rPr>
          <w:rFonts w:ascii="宋体" w:hAnsi="宋体" w:eastAsia="宋体" w:cs="宋体"/>
          <w:spacing w:val="8"/>
          <w:sz w:val="19"/>
          <w:szCs w:val="19"/>
        </w:rPr>
        <w:t>期治疗，实现二级预防。对传染病开展筛检，目</w:t>
      </w:r>
      <w:r>
        <w:rPr>
          <w:rFonts w:ascii="宋体" w:hAnsi="宋体" w:eastAsia="宋体" w:cs="宋体"/>
          <w:spacing w:val="7"/>
          <w:sz w:val="19"/>
          <w:szCs w:val="19"/>
        </w:rPr>
        <w:t>的是尽早发现感染者，及时开展传染源“五早”管理(早</w:t>
      </w:r>
      <w:r>
        <w:rPr>
          <w:rFonts w:ascii="宋体" w:hAnsi="宋体" w:eastAsia="宋体" w:cs="宋体"/>
          <w:sz w:val="19"/>
          <w:szCs w:val="19"/>
        </w:rPr>
        <w:t xml:space="preserve">  </w:t>
      </w:r>
      <w:r>
        <w:rPr>
          <w:rFonts w:ascii="宋体" w:hAnsi="宋体" w:eastAsia="宋体" w:cs="宋体"/>
          <w:spacing w:val="6"/>
          <w:sz w:val="19"/>
          <w:szCs w:val="19"/>
        </w:rPr>
        <w:t>发现、早诊断、早报告、早隔离和早治疗),如在高危人群中开展</w:t>
      </w:r>
      <w:r>
        <w:rPr>
          <w:rFonts w:ascii="Times New Roman" w:hAnsi="Times New Roman" w:eastAsia="Times New Roman" w:cs="Times New Roman"/>
          <w:sz w:val="19"/>
          <w:szCs w:val="19"/>
        </w:rPr>
        <w:t>HIV</w:t>
      </w:r>
      <w:r>
        <w:rPr>
          <w:rFonts w:ascii="Times New Roman" w:hAnsi="Times New Roman" w:eastAsia="Times New Roman" w:cs="Times New Roman"/>
          <w:spacing w:val="6"/>
          <w:sz w:val="19"/>
          <w:szCs w:val="19"/>
        </w:rPr>
        <w:t xml:space="preserve"> </w:t>
      </w:r>
      <w:r>
        <w:rPr>
          <w:rFonts w:ascii="宋体" w:hAnsi="宋体" w:eastAsia="宋体" w:cs="宋体"/>
          <w:spacing w:val="6"/>
          <w:sz w:val="19"/>
          <w:szCs w:val="19"/>
        </w:rPr>
        <w:t>感染/</w:t>
      </w:r>
      <w:r>
        <w:rPr>
          <w:rFonts w:ascii="Times New Roman" w:hAnsi="Times New Roman" w:eastAsia="Times New Roman" w:cs="Times New Roman"/>
          <w:sz w:val="19"/>
          <w:szCs w:val="19"/>
        </w:rPr>
        <w:t>AIDS</w:t>
      </w:r>
      <w:r>
        <w:rPr>
          <w:rFonts w:ascii="宋体" w:hAnsi="宋体" w:eastAsia="宋体" w:cs="宋体"/>
          <w:spacing w:val="6"/>
          <w:sz w:val="19"/>
          <w:szCs w:val="19"/>
        </w:rPr>
        <w:t>筛查、结核病筛查等。对</w:t>
      </w:r>
      <w:r>
        <w:rPr>
          <w:rFonts w:ascii="宋体" w:hAnsi="宋体" w:eastAsia="宋体" w:cs="宋体"/>
          <w:spacing w:val="4"/>
          <w:sz w:val="19"/>
          <w:szCs w:val="19"/>
        </w:rPr>
        <w:t xml:space="preserve">  </w:t>
      </w:r>
      <w:r>
        <w:rPr>
          <w:rFonts w:ascii="宋体" w:hAnsi="宋体" w:eastAsia="宋体" w:cs="宋体"/>
          <w:spacing w:val="10"/>
          <w:sz w:val="19"/>
          <w:szCs w:val="19"/>
        </w:rPr>
        <w:t>慢性非传染性疾病开展筛查，目的是发现隐匿的早期病例，对病人开展早期诊断</w:t>
      </w:r>
      <w:r>
        <w:rPr>
          <w:rFonts w:ascii="宋体" w:hAnsi="宋体" w:eastAsia="宋体" w:cs="宋体"/>
          <w:spacing w:val="9"/>
          <w:sz w:val="19"/>
          <w:szCs w:val="19"/>
        </w:rPr>
        <w:t>、早期治疗，预防和延</w:t>
      </w:r>
      <w:r>
        <w:rPr>
          <w:rFonts w:ascii="宋体" w:hAnsi="宋体" w:eastAsia="宋体" w:cs="宋体"/>
          <w:sz w:val="19"/>
          <w:szCs w:val="19"/>
        </w:rPr>
        <w:t xml:space="preserve">  </w:t>
      </w:r>
      <w:r>
        <w:rPr>
          <w:rFonts w:ascii="宋体" w:hAnsi="宋体" w:eastAsia="宋体" w:cs="宋体"/>
          <w:spacing w:val="12"/>
          <w:sz w:val="19"/>
          <w:szCs w:val="19"/>
        </w:rPr>
        <w:t>缓并发症发生，治愈疾病或延长病人生存期，提高生存质量，如在</w:t>
      </w:r>
      <w:r>
        <w:rPr>
          <w:rFonts w:ascii="宋体" w:hAnsi="宋体" w:eastAsia="宋体" w:cs="宋体"/>
          <w:spacing w:val="11"/>
          <w:sz w:val="19"/>
          <w:szCs w:val="19"/>
        </w:rPr>
        <w:t>表面健康的人群中筛检糖尿病病人。</w:t>
      </w:r>
    </w:p>
    <w:p w14:paraId="7A48020B">
      <w:pPr>
        <w:spacing w:line="317" w:lineRule="auto"/>
        <w:rPr>
          <w:rFonts w:ascii="宋体" w:hAnsi="宋体" w:eastAsia="宋体" w:cs="宋体"/>
          <w:sz w:val="19"/>
          <w:szCs w:val="19"/>
        </w:rPr>
        <w:sectPr>
          <w:type w:val="continuous"/>
          <w:pgSz w:w="11900" w:h="16820"/>
          <w:pgMar w:top="400" w:right="867" w:bottom="902" w:left="1420" w:header="0" w:footer="731" w:gutter="0"/>
          <w:cols w:equalWidth="0" w:num="1">
            <w:col w:w="9613"/>
          </w:cols>
        </w:sectPr>
      </w:pPr>
    </w:p>
    <w:p w14:paraId="0479BEFC">
      <w:pPr>
        <w:pStyle w:val="2"/>
        <w:spacing w:before="56" w:line="222" w:lineRule="auto"/>
        <w:ind w:left="659"/>
        <w:rPr>
          <w:sz w:val="20"/>
          <w:szCs w:val="20"/>
        </w:rPr>
      </w:pPr>
      <w:bookmarkStart w:id="199" w:name="bookmark466"/>
      <w:bookmarkEnd w:id="199"/>
      <w:r>
        <w:rPr>
          <w:spacing w:val="-10"/>
          <w:sz w:val="20"/>
          <w:szCs w:val="20"/>
        </w:rPr>
        <w:t>第七章 筛检</w:t>
      </w:r>
    </w:p>
    <w:p w14:paraId="49E95BBD">
      <w:pPr>
        <w:spacing w:line="266" w:lineRule="auto"/>
        <w:rPr>
          <w:rFonts w:ascii="Arial"/>
          <w:sz w:val="21"/>
        </w:rPr>
      </w:pPr>
    </w:p>
    <w:p w14:paraId="653C6A59">
      <w:pPr>
        <w:spacing w:line="266" w:lineRule="auto"/>
        <w:rPr>
          <w:rFonts w:ascii="Arial"/>
          <w:sz w:val="21"/>
        </w:rPr>
      </w:pPr>
    </w:p>
    <w:p w14:paraId="340395FE">
      <w:pPr>
        <w:pStyle w:val="2"/>
        <w:spacing w:before="65" w:line="307" w:lineRule="auto"/>
        <w:ind w:left="659" w:right="19" w:firstLine="410"/>
        <w:rPr>
          <w:rFonts w:ascii="宋体" w:hAnsi="宋体" w:eastAsia="宋体" w:cs="宋体"/>
          <w:sz w:val="20"/>
          <w:szCs w:val="20"/>
        </w:rPr>
      </w:pPr>
      <w:r>
        <w:rPr>
          <w:rFonts w:ascii="宋体" w:hAnsi="宋体" w:eastAsia="宋体" w:cs="宋体"/>
          <w:spacing w:val="8"/>
          <w:sz w:val="20"/>
          <w:szCs w:val="20"/>
        </w:rPr>
        <w:t xml:space="preserve">2. </w:t>
      </w:r>
      <w:r>
        <w:rPr>
          <w:spacing w:val="8"/>
          <w:sz w:val="20"/>
          <w:szCs w:val="20"/>
        </w:rPr>
        <w:t>发现高危人群</w:t>
      </w:r>
      <w:r>
        <w:rPr>
          <w:spacing w:val="81"/>
          <w:sz w:val="20"/>
          <w:szCs w:val="20"/>
        </w:rPr>
        <w:t xml:space="preserve"> </w:t>
      </w:r>
      <w:r>
        <w:rPr>
          <w:rFonts w:ascii="宋体" w:hAnsi="宋体" w:eastAsia="宋体" w:cs="宋体"/>
          <w:spacing w:val="8"/>
          <w:sz w:val="20"/>
          <w:szCs w:val="20"/>
        </w:rPr>
        <w:t>通过筛检发现人群中某些疾病的高危个体，并从病因学的角度采取措施，</w:t>
      </w:r>
      <w:r>
        <w:rPr>
          <w:rFonts w:ascii="宋体" w:hAnsi="宋体" w:eastAsia="宋体" w:cs="宋体"/>
          <w:sz w:val="20"/>
          <w:szCs w:val="20"/>
        </w:rPr>
        <w:t xml:space="preserve"> </w:t>
      </w:r>
      <w:r>
        <w:rPr>
          <w:rFonts w:ascii="宋体" w:hAnsi="宋体" w:eastAsia="宋体" w:cs="宋体"/>
          <w:spacing w:val="3"/>
          <w:sz w:val="20"/>
          <w:szCs w:val="20"/>
        </w:rPr>
        <w:t>以减少疾病的发生，降低疾病的发病率，达到一级预防的目的。如筛检高血压以预防脑卒中，</w:t>
      </w:r>
      <w:r>
        <w:rPr>
          <w:rFonts w:ascii="宋体" w:hAnsi="宋体" w:eastAsia="宋体" w:cs="宋体"/>
          <w:spacing w:val="2"/>
          <w:sz w:val="20"/>
          <w:szCs w:val="20"/>
        </w:rPr>
        <w:t>筛检</w:t>
      </w:r>
      <w:r>
        <w:rPr>
          <w:rFonts w:ascii="宋体" w:hAnsi="宋体" w:eastAsia="宋体" w:cs="宋体"/>
          <w:sz w:val="20"/>
          <w:szCs w:val="20"/>
        </w:rPr>
        <w:t xml:space="preserve">  </w:t>
      </w:r>
      <w:r>
        <w:rPr>
          <w:rFonts w:ascii="宋体" w:hAnsi="宋体" w:eastAsia="宋体" w:cs="宋体"/>
          <w:spacing w:val="4"/>
          <w:sz w:val="20"/>
          <w:szCs w:val="20"/>
        </w:rPr>
        <w:t>高胆固醇血症以预防冠心病等。</w:t>
      </w:r>
    </w:p>
    <w:p w14:paraId="5CB8BE9F">
      <w:pPr>
        <w:pStyle w:val="2"/>
        <w:spacing w:before="150" w:line="309" w:lineRule="auto"/>
        <w:ind w:left="659" w:firstLine="410"/>
        <w:rPr>
          <w:rFonts w:ascii="宋体" w:hAnsi="宋体" w:eastAsia="宋体" w:cs="宋体"/>
          <w:sz w:val="20"/>
          <w:szCs w:val="20"/>
        </w:rPr>
      </w:pPr>
      <w:r>
        <w:rPr>
          <w:rFonts w:ascii="宋体" w:hAnsi="宋体" w:eastAsia="宋体" w:cs="宋体"/>
          <w:spacing w:val="-2"/>
          <w:sz w:val="20"/>
          <w:szCs w:val="20"/>
        </w:rPr>
        <w:t xml:space="preserve">3. </w:t>
      </w:r>
      <w:r>
        <w:rPr>
          <w:spacing w:val="-2"/>
          <w:sz w:val="20"/>
          <w:szCs w:val="20"/>
        </w:rPr>
        <w:t>了解疾病的自然史</w:t>
      </w:r>
      <w:r>
        <w:rPr>
          <w:spacing w:val="63"/>
          <w:sz w:val="20"/>
          <w:szCs w:val="20"/>
        </w:rPr>
        <w:t xml:space="preserve"> </w:t>
      </w:r>
      <w:r>
        <w:rPr>
          <w:rFonts w:ascii="宋体" w:hAnsi="宋体" w:eastAsia="宋体" w:cs="宋体"/>
          <w:spacing w:val="-2"/>
          <w:sz w:val="20"/>
          <w:szCs w:val="20"/>
        </w:rPr>
        <w:t>揭示疾病的“冰山现象”。例如人乳头瘤病毒</w:t>
      </w:r>
      <w:r>
        <w:rPr>
          <w:rFonts w:ascii="Times New Roman" w:hAnsi="Times New Roman" w:eastAsia="Times New Roman" w:cs="Times New Roman"/>
          <w:spacing w:val="-2"/>
          <w:sz w:val="20"/>
          <w:szCs w:val="20"/>
        </w:rPr>
        <w:t>(human  p</w:t>
      </w:r>
      <w:r>
        <w:rPr>
          <w:rFonts w:ascii="Times New Roman" w:hAnsi="Times New Roman" w:eastAsia="Times New Roman" w:cs="Times New Roman"/>
          <w:spacing w:val="-3"/>
          <w:sz w:val="20"/>
          <w:szCs w:val="20"/>
        </w:rPr>
        <w:t>apillomavirus,HPV)</w:t>
      </w:r>
      <w:r>
        <w:rPr>
          <w:rFonts w:ascii="Times New Roman" w:hAnsi="Times New Roman" w:eastAsia="Times New Roman" w:cs="Times New Roman"/>
          <w:sz w:val="20"/>
          <w:szCs w:val="20"/>
        </w:rPr>
        <w:t xml:space="preserve">  </w:t>
      </w:r>
      <w:r>
        <w:rPr>
          <w:rFonts w:ascii="宋体" w:hAnsi="宋体" w:eastAsia="宋体" w:cs="宋体"/>
          <w:spacing w:val="1"/>
          <w:sz w:val="20"/>
          <w:szCs w:val="20"/>
        </w:rPr>
        <w:t>持续感染可引起宫颈上皮内瘤变</w:t>
      </w:r>
      <w:r>
        <w:rPr>
          <w:rFonts w:ascii="Times New Roman" w:hAnsi="Times New Roman" w:eastAsia="Times New Roman" w:cs="Times New Roman"/>
          <w:spacing w:val="1"/>
          <w:sz w:val="20"/>
          <w:szCs w:val="20"/>
        </w:rPr>
        <w:t>(</w:t>
      </w:r>
      <w:r>
        <w:rPr>
          <w:rFonts w:ascii="Times New Roman" w:hAnsi="Times New Roman" w:eastAsia="Times New Roman" w:cs="Times New Roman"/>
          <w:sz w:val="20"/>
          <w:szCs w:val="20"/>
        </w:rPr>
        <w:t>cervical</w:t>
      </w:r>
      <w:r>
        <w:rPr>
          <w:rFonts w:ascii="Times New Roman" w:hAnsi="Times New Roman" w:eastAsia="Times New Roman" w:cs="Times New Roman"/>
          <w:spacing w:val="22"/>
          <w:sz w:val="20"/>
          <w:szCs w:val="20"/>
        </w:rPr>
        <w:t xml:space="preserve"> </w:t>
      </w:r>
      <w:r>
        <w:rPr>
          <w:rFonts w:ascii="Times New Roman" w:hAnsi="Times New Roman" w:eastAsia="Times New Roman" w:cs="Times New Roman"/>
          <w:sz w:val="20"/>
          <w:szCs w:val="20"/>
        </w:rPr>
        <w:t>intraepithelial</w:t>
      </w:r>
      <w:r>
        <w:rPr>
          <w:rFonts w:ascii="Times New Roman" w:hAnsi="Times New Roman" w:eastAsia="Times New Roman" w:cs="Times New Roman"/>
          <w:spacing w:val="17"/>
          <w:w w:val="101"/>
          <w:sz w:val="20"/>
          <w:szCs w:val="20"/>
        </w:rPr>
        <w:t xml:space="preserve"> </w:t>
      </w:r>
      <w:r>
        <w:rPr>
          <w:rFonts w:ascii="Times New Roman" w:hAnsi="Times New Roman" w:eastAsia="Times New Roman" w:cs="Times New Roman"/>
          <w:sz w:val="20"/>
          <w:szCs w:val="20"/>
        </w:rPr>
        <w:t>neoplasia</w:t>
      </w:r>
      <w:r>
        <w:rPr>
          <w:rFonts w:ascii="Times New Roman" w:hAnsi="Times New Roman" w:eastAsia="Times New Roman" w:cs="Times New Roman"/>
          <w:spacing w:val="1"/>
          <w:sz w:val="20"/>
          <w:szCs w:val="20"/>
        </w:rPr>
        <w:t>,</w:t>
      </w:r>
      <w:r>
        <w:rPr>
          <w:rFonts w:ascii="Times New Roman" w:hAnsi="Times New Roman" w:eastAsia="Times New Roman" w:cs="Times New Roman"/>
          <w:sz w:val="20"/>
          <w:szCs w:val="20"/>
        </w:rPr>
        <w:t>CIN</w:t>
      </w:r>
      <w:r>
        <w:rPr>
          <w:rFonts w:ascii="Times New Roman" w:hAnsi="Times New Roman" w:eastAsia="Times New Roman" w:cs="Times New Roman"/>
          <w:spacing w:val="1"/>
          <w:sz w:val="20"/>
          <w:szCs w:val="20"/>
        </w:rPr>
        <w:t>)I</w:t>
      </w:r>
      <w:r>
        <w:rPr>
          <w:rFonts w:ascii="宋体" w:hAnsi="宋体" w:eastAsia="宋体" w:cs="宋体"/>
          <w:spacing w:val="1"/>
          <w:sz w:val="20"/>
          <w:szCs w:val="20"/>
        </w:rPr>
        <w:t>~</w:t>
      </w:r>
      <w:r>
        <w:rPr>
          <w:rFonts w:ascii="Times New Roman" w:hAnsi="Times New Roman" w:eastAsia="Times New Roman" w:cs="Times New Roman"/>
          <w:spacing w:val="1"/>
          <w:sz w:val="20"/>
          <w:szCs w:val="20"/>
        </w:rPr>
        <w:t>Ⅲ</w:t>
      </w:r>
      <w:r>
        <w:rPr>
          <w:rFonts w:ascii="宋体" w:hAnsi="宋体" w:eastAsia="宋体" w:cs="宋体"/>
          <w:spacing w:val="1"/>
          <w:sz w:val="20"/>
          <w:szCs w:val="20"/>
        </w:rPr>
        <w:t>期变化</w:t>
      </w:r>
      <w:r>
        <w:rPr>
          <w:rFonts w:ascii="宋体" w:hAnsi="宋体" w:eastAsia="宋体" w:cs="宋体"/>
          <w:sz w:val="20"/>
          <w:szCs w:val="20"/>
        </w:rPr>
        <w:t xml:space="preserve">，不能逆转的感染会  </w:t>
      </w:r>
      <w:r>
        <w:rPr>
          <w:rFonts w:ascii="宋体" w:hAnsi="宋体" w:eastAsia="宋体" w:cs="宋体"/>
          <w:spacing w:val="-1"/>
          <w:sz w:val="20"/>
          <w:szCs w:val="20"/>
        </w:rPr>
        <w:t>进展为宫颈原位癌、浸润癌，直至死亡。通过大人群筛检，可以得出年龄别患病率，以及不同</w:t>
      </w:r>
      <w:r>
        <w:rPr>
          <w:rFonts w:ascii="宋体" w:hAnsi="宋体" w:eastAsia="宋体" w:cs="宋体"/>
          <w:spacing w:val="-2"/>
          <w:sz w:val="20"/>
          <w:szCs w:val="20"/>
        </w:rPr>
        <w:t>阶段宫</w:t>
      </w:r>
      <w:r>
        <w:rPr>
          <w:rFonts w:ascii="宋体" w:hAnsi="宋体" w:eastAsia="宋体" w:cs="宋体"/>
          <w:sz w:val="20"/>
          <w:szCs w:val="20"/>
        </w:rPr>
        <w:t xml:space="preserve">  </w:t>
      </w:r>
      <w:r>
        <w:rPr>
          <w:rFonts w:ascii="宋体" w:hAnsi="宋体" w:eastAsia="宋体" w:cs="宋体"/>
          <w:spacing w:val="-3"/>
          <w:sz w:val="20"/>
          <w:szCs w:val="20"/>
        </w:rPr>
        <w:t>颈病变的转换概率等自然史参数，这对确定</w:t>
      </w:r>
      <w:r>
        <w:rPr>
          <w:rFonts w:ascii="宋体" w:hAnsi="宋体" w:eastAsia="宋体" w:cs="宋体"/>
          <w:spacing w:val="-4"/>
          <w:sz w:val="20"/>
          <w:szCs w:val="20"/>
        </w:rPr>
        <w:t>筛检的起始年龄、筛检间隔、筛检及治疗方案有重要意义。</w:t>
      </w:r>
    </w:p>
    <w:p w14:paraId="17903532">
      <w:pPr>
        <w:pStyle w:val="2"/>
        <w:spacing w:before="151" w:line="301" w:lineRule="auto"/>
        <w:ind w:left="659" w:right="89" w:firstLine="410"/>
        <w:rPr>
          <w:rFonts w:ascii="宋体" w:hAnsi="宋体" w:eastAsia="宋体" w:cs="宋体"/>
          <w:sz w:val="20"/>
          <w:szCs w:val="20"/>
        </w:rPr>
      </w:pPr>
      <w:r>
        <w:rPr>
          <w:rFonts w:ascii="宋体" w:hAnsi="宋体" w:eastAsia="宋体" w:cs="宋体"/>
          <w:spacing w:val="6"/>
          <w:sz w:val="20"/>
          <w:szCs w:val="20"/>
        </w:rPr>
        <w:t xml:space="preserve">4. </w:t>
      </w:r>
      <w:r>
        <w:rPr>
          <w:spacing w:val="6"/>
          <w:sz w:val="20"/>
          <w:szCs w:val="20"/>
        </w:rPr>
        <w:t>指导合理分配有限的卫生资源</w:t>
      </w:r>
      <w:r>
        <w:rPr>
          <w:spacing w:val="91"/>
          <w:sz w:val="20"/>
          <w:szCs w:val="20"/>
        </w:rPr>
        <w:t xml:space="preserve"> </w:t>
      </w:r>
      <w:r>
        <w:rPr>
          <w:rFonts w:ascii="宋体" w:hAnsi="宋体" w:eastAsia="宋体" w:cs="宋体"/>
          <w:spacing w:val="6"/>
          <w:sz w:val="20"/>
          <w:szCs w:val="20"/>
        </w:rPr>
        <w:t>如利用高危评分的方法，筛检出孕妇中的高危产妇，将其</w:t>
      </w:r>
      <w:r>
        <w:rPr>
          <w:rFonts w:ascii="宋体" w:hAnsi="宋体" w:eastAsia="宋体" w:cs="宋体"/>
          <w:sz w:val="20"/>
          <w:szCs w:val="20"/>
        </w:rPr>
        <w:t xml:space="preserve"> </w:t>
      </w:r>
      <w:r>
        <w:rPr>
          <w:rFonts w:ascii="宋体" w:hAnsi="宋体" w:eastAsia="宋体" w:cs="宋体"/>
          <w:spacing w:val="4"/>
          <w:sz w:val="20"/>
          <w:szCs w:val="20"/>
        </w:rPr>
        <w:t>安排到条件较好的县市级医院分娩，而危险性</w:t>
      </w:r>
      <w:r>
        <w:rPr>
          <w:rFonts w:ascii="宋体" w:hAnsi="宋体" w:eastAsia="宋体" w:cs="宋体"/>
          <w:spacing w:val="3"/>
          <w:sz w:val="20"/>
          <w:szCs w:val="20"/>
        </w:rPr>
        <w:t>低的产妇则留在当地乡卫生院或村卫生室分娩，以降</w:t>
      </w:r>
      <w:r>
        <w:rPr>
          <w:rFonts w:ascii="宋体" w:hAnsi="宋体" w:eastAsia="宋体" w:cs="宋体"/>
          <w:sz w:val="20"/>
          <w:szCs w:val="20"/>
        </w:rPr>
        <w:t xml:space="preserve"> </w:t>
      </w:r>
      <w:r>
        <w:rPr>
          <w:rFonts w:ascii="宋体" w:hAnsi="宋体" w:eastAsia="宋体" w:cs="宋体"/>
          <w:spacing w:val="5"/>
          <w:sz w:val="20"/>
          <w:szCs w:val="20"/>
        </w:rPr>
        <w:t>低产妇死亡率。</w:t>
      </w:r>
    </w:p>
    <w:p w14:paraId="28C01931">
      <w:pPr>
        <w:pStyle w:val="2"/>
        <w:spacing w:before="161" w:line="221" w:lineRule="auto"/>
        <w:ind w:left="1070"/>
        <w:rPr>
          <w:sz w:val="20"/>
          <w:szCs w:val="20"/>
        </w:rPr>
      </w:pPr>
      <w:r>
        <w:rPr>
          <w:spacing w:val="27"/>
          <w:sz w:val="20"/>
          <w:szCs w:val="20"/>
        </w:rPr>
        <w:t>(二)筛检的类型</w:t>
      </w:r>
    </w:p>
    <w:p w14:paraId="019C591A">
      <w:pPr>
        <w:pStyle w:val="2"/>
        <w:spacing w:before="121" w:line="321" w:lineRule="auto"/>
        <w:ind w:left="659" w:right="20" w:firstLine="410"/>
        <w:rPr>
          <w:rFonts w:ascii="宋体" w:hAnsi="宋体" w:eastAsia="宋体" w:cs="宋体"/>
          <w:sz w:val="20"/>
          <w:szCs w:val="20"/>
        </w:rPr>
      </w:pPr>
      <w:r>
        <w:rPr>
          <w:rFonts w:ascii="Times New Roman" w:hAnsi="Times New Roman" w:eastAsia="Times New Roman" w:cs="Times New Roman"/>
          <w:spacing w:val="4"/>
          <w:sz w:val="20"/>
          <w:szCs w:val="20"/>
        </w:rPr>
        <w:t>1.</w:t>
      </w:r>
      <w:r>
        <w:rPr>
          <w:rFonts w:ascii="Times New Roman" w:hAnsi="Times New Roman" w:eastAsia="Times New Roman" w:cs="Times New Roman"/>
          <w:spacing w:val="21"/>
          <w:w w:val="101"/>
          <w:sz w:val="20"/>
          <w:szCs w:val="20"/>
        </w:rPr>
        <w:t xml:space="preserve">  </w:t>
      </w:r>
      <w:r>
        <w:rPr>
          <w:spacing w:val="4"/>
          <w:sz w:val="20"/>
          <w:szCs w:val="20"/>
        </w:rPr>
        <w:t>按筛检对象的范围分类</w:t>
      </w:r>
      <w:r>
        <w:rPr>
          <w:spacing w:val="31"/>
          <w:sz w:val="20"/>
          <w:szCs w:val="20"/>
        </w:rPr>
        <w:t xml:space="preserve"> </w:t>
      </w:r>
      <w:r>
        <w:rPr>
          <w:rFonts w:ascii="宋体" w:hAnsi="宋体" w:eastAsia="宋体" w:cs="宋体"/>
          <w:spacing w:val="4"/>
          <w:sz w:val="20"/>
          <w:szCs w:val="20"/>
        </w:rPr>
        <w:t>分为整群筛检</w:t>
      </w:r>
      <w:r>
        <w:rPr>
          <w:rFonts w:ascii="Times New Roman" w:hAnsi="Times New Roman" w:eastAsia="Times New Roman" w:cs="Times New Roman"/>
          <w:spacing w:val="4"/>
          <w:sz w:val="20"/>
          <w:szCs w:val="20"/>
        </w:rPr>
        <w:t>(</w:t>
      </w:r>
      <w:r>
        <w:rPr>
          <w:rFonts w:ascii="Times New Roman" w:hAnsi="Times New Roman" w:eastAsia="Times New Roman" w:cs="Times New Roman"/>
          <w:sz w:val="20"/>
          <w:szCs w:val="20"/>
        </w:rPr>
        <w:t>mass</w:t>
      </w:r>
      <w:r>
        <w:rPr>
          <w:rFonts w:ascii="Times New Roman" w:hAnsi="Times New Roman" w:eastAsia="Times New Roman" w:cs="Times New Roman"/>
          <w:spacing w:val="4"/>
          <w:sz w:val="20"/>
          <w:szCs w:val="20"/>
        </w:rPr>
        <w:t xml:space="preserve">   </w:t>
      </w:r>
      <w:r>
        <w:rPr>
          <w:rFonts w:ascii="Times New Roman" w:hAnsi="Times New Roman" w:eastAsia="Times New Roman" w:cs="Times New Roman"/>
          <w:sz w:val="20"/>
          <w:szCs w:val="20"/>
        </w:rPr>
        <w:t>screening</w:t>
      </w:r>
      <w:r>
        <w:rPr>
          <w:rFonts w:ascii="Times New Roman" w:hAnsi="Times New Roman" w:eastAsia="Times New Roman" w:cs="Times New Roman"/>
          <w:spacing w:val="4"/>
          <w:sz w:val="20"/>
          <w:szCs w:val="20"/>
        </w:rPr>
        <w:t>)</w:t>
      </w:r>
      <w:r>
        <w:rPr>
          <w:rFonts w:ascii="宋体" w:hAnsi="宋体" w:eastAsia="宋体" w:cs="宋体"/>
          <w:spacing w:val="4"/>
          <w:sz w:val="20"/>
          <w:szCs w:val="20"/>
        </w:rPr>
        <w:t>和选择性筛</w:t>
      </w:r>
      <w:r>
        <w:rPr>
          <w:rFonts w:ascii="宋体" w:hAnsi="宋体" w:eastAsia="宋体" w:cs="宋体"/>
          <w:spacing w:val="3"/>
          <w:sz w:val="20"/>
          <w:szCs w:val="20"/>
        </w:rPr>
        <w:t>检</w:t>
      </w:r>
      <w:r>
        <w:rPr>
          <w:rFonts w:ascii="Times New Roman" w:hAnsi="Times New Roman" w:eastAsia="Times New Roman" w:cs="Times New Roman"/>
          <w:spacing w:val="3"/>
          <w:sz w:val="20"/>
          <w:szCs w:val="20"/>
        </w:rPr>
        <w:t>(</w:t>
      </w:r>
      <w:r>
        <w:rPr>
          <w:rFonts w:ascii="Times New Roman" w:hAnsi="Times New Roman" w:eastAsia="Times New Roman" w:cs="Times New Roman"/>
          <w:sz w:val="20"/>
          <w:szCs w:val="20"/>
        </w:rPr>
        <w:t>selective</w:t>
      </w:r>
      <w:r>
        <w:rPr>
          <w:rFonts w:ascii="Times New Roman" w:hAnsi="Times New Roman" w:eastAsia="Times New Roman" w:cs="Times New Roman"/>
          <w:spacing w:val="3"/>
          <w:sz w:val="20"/>
          <w:szCs w:val="20"/>
        </w:rPr>
        <w:t xml:space="preserve">    </w:t>
      </w:r>
      <w:r>
        <w:rPr>
          <w:rFonts w:ascii="Times New Roman" w:hAnsi="Times New Roman" w:eastAsia="Times New Roman" w:cs="Times New Roman"/>
          <w:sz w:val="20"/>
          <w:szCs w:val="20"/>
        </w:rPr>
        <w:t>screening</w:t>
      </w:r>
      <w:r>
        <w:rPr>
          <w:rFonts w:ascii="Times New Roman" w:hAnsi="Times New Roman" w:eastAsia="Times New Roman" w:cs="Times New Roman"/>
          <w:spacing w:val="3"/>
          <w:sz w:val="20"/>
          <w:szCs w:val="20"/>
        </w:rPr>
        <w:t>)</w:t>
      </w:r>
      <w:r>
        <w:rPr>
          <w:rFonts w:ascii="宋体" w:hAnsi="宋体" w:eastAsia="宋体" w:cs="宋体"/>
          <w:spacing w:val="3"/>
          <w:sz w:val="20"/>
          <w:szCs w:val="20"/>
        </w:rPr>
        <w:t>。</w:t>
      </w:r>
      <w:r>
        <w:rPr>
          <w:rFonts w:ascii="宋体" w:hAnsi="宋体" w:eastAsia="宋体" w:cs="宋体"/>
          <w:sz w:val="20"/>
          <w:szCs w:val="20"/>
        </w:rPr>
        <w:t xml:space="preserve"> </w:t>
      </w:r>
      <w:r>
        <w:rPr>
          <w:rFonts w:ascii="宋体" w:hAnsi="宋体" w:eastAsia="宋体" w:cs="宋体"/>
          <w:spacing w:val="4"/>
          <w:sz w:val="20"/>
          <w:szCs w:val="20"/>
        </w:rPr>
        <w:t>整群筛检指在疾病患(发)病率高的情况下，对</w:t>
      </w:r>
      <w:r>
        <w:rPr>
          <w:rFonts w:ascii="宋体" w:hAnsi="宋体" w:eastAsia="宋体" w:cs="宋体"/>
          <w:spacing w:val="3"/>
          <w:sz w:val="20"/>
          <w:szCs w:val="20"/>
        </w:rPr>
        <w:t>一定范围内人群的全体对象进行无差异普遍筛检，如</w:t>
      </w:r>
      <w:r>
        <w:rPr>
          <w:rFonts w:ascii="宋体" w:hAnsi="宋体" w:eastAsia="宋体" w:cs="宋体"/>
          <w:sz w:val="20"/>
          <w:szCs w:val="20"/>
        </w:rPr>
        <w:t xml:space="preserve"> </w:t>
      </w:r>
      <w:r>
        <w:rPr>
          <w:rFonts w:ascii="宋体" w:hAnsi="宋体" w:eastAsia="宋体" w:cs="宋体"/>
          <w:spacing w:val="8"/>
          <w:sz w:val="20"/>
          <w:szCs w:val="20"/>
        </w:rPr>
        <w:t>对35岁以上女性进行宫颈癌筛检，对孕妇进行胎儿染色体异常筛检。选择性筛检又称为高危人群</w:t>
      </w:r>
      <w:r>
        <w:rPr>
          <w:rFonts w:ascii="宋体" w:hAnsi="宋体" w:eastAsia="宋体" w:cs="宋体"/>
          <w:spacing w:val="3"/>
          <w:sz w:val="20"/>
          <w:szCs w:val="20"/>
        </w:rPr>
        <w:t xml:space="preserve"> </w:t>
      </w:r>
      <w:r>
        <w:rPr>
          <w:rFonts w:ascii="宋体" w:hAnsi="宋体" w:eastAsia="宋体" w:cs="宋体"/>
          <w:spacing w:val="8"/>
          <w:sz w:val="20"/>
          <w:szCs w:val="20"/>
        </w:rPr>
        <w:t>筛</w:t>
      </w:r>
      <w:r>
        <w:rPr>
          <w:rFonts w:ascii="宋体" w:hAnsi="宋体" w:eastAsia="宋体" w:cs="宋体"/>
          <w:spacing w:val="-24"/>
          <w:sz w:val="20"/>
          <w:szCs w:val="20"/>
        </w:rPr>
        <w:t xml:space="preserve"> </w:t>
      </w:r>
      <w:r>
        <w:rPr>
          <w:rFonts w:ascii="宋体" w:hAnsi="宋体" w:eastAsia="宋体" w:cs="宋体"/>
          <w:spacing w:val="8"/>
          <w:sz w:val="20"/>
          <w:szCs w:val="20"/>
        </w:rPr>
        <w:t>检</w:t>
      </w:r>
      <w:r>
        <w:rPr>
          <w:rFonts w:ascii="Times New Roman" w:hAnsi="Times New Roman" w:eastAsia="Times New Roman" w:cs="Times New Roman"/>
          <w:spacing w:val="8"/>
          <w:sz w:val="20"/>
          <w:szCs w:val="20"/>
        </w:rPr>
        <w:t>(</w:t>
      </w:r>
      <w:r>
        <w:rPr>
          <w:rFonts w:ascii="Times New Roman" w:hAnsi="Times New Roman" w:eastAsia="Times New Roman" w:cs="Times New Roman"/>
          <w:sz w:val="20"/>
          <w:szCs w:val="20"/>
        </w:rPr>
        <w:t>high</w:t>
      </w:r>
      <w:r>
        <w:rPr>
          <w:rFonts w:ascii="Times New Roman" w:hAnsi="Times New Roman" w:eastAsia="Times New Roman" w:cs="Times New Roman"/>
          <w:spacing w:val="19"/>
          <w:sz w:val="20"/>
          <w:szCs w:val="20"/>
        </w:rPr>
        <w:t xml:space="preserve">  </w:t>
      </w:r>
      <w:r>
        <w:rPr>
          <w:rFonts w:ascii="Times New Roman" w:hAnsi="Times New Roman" w:eastAsia="Times New Roman" w:cs="Times New Roman"/>
          <w:sz w:val="20"/>
          <w:szCs w:val="20"/>
        </w:rPr>
        <w:t>risk</w:t>
      </w:r>
      <w:r>
        <w:rPr>
          <w:rFonts w:ascii="Times New Roman" w:hAnsi="Times New Roman" w:eastAsia="Times New Roman" w:cs="Times New Roman"/>
          <w:spacing w:val="23"/>
          <w:sz w:val="20"/>
          <w:szCs w:val="20"/>
        </w:rPr>
        <w:t xml:space="preserve">  </w:t>
      </w:r>
      <w:r>
        <w:rPr>
          <w:rFonts w:ascii="Times New Roman" w:hAnsi="Times New Roman" w:eastAsia="Times New Roman" w:cs="Times New Roman"/>
          <w:sz w:val="20"/>
          <w:szCs w:val="20"/>
        </w:rPr>
        <w:t>screening</w:t>
      </w:r>
      <w:r>
        <w:rPr>
          <w:rFonts w:ascii="Times New Roman" w:hAnsi="Times New Roman" w:eastAsia="Times New Roman" w:cs="Times New Roman"/>
          <w:spacing w:val="8"/>
          <w:sz w:val="20"/>
          <w:szCs w:val="20"/>
        </w:rPr>
        <w:t>),</w:t>
      </w:r>
      <w:r>
        <w:rPr>
          <w:rFonts w:ascii="宋体" w:hAnsi="宋体" w:eastAsia="宋体" w:cs="宋体"/>
          <w:spacing w:val="8"/>
          <w:sz w:val="20"/>
          <w:szCs w:val="20"/>
        </w:rPr>
        <w:t>是指选择疾病的高危人群进行筛检，如对</w:t>
      </w:r>
      <w:r>
        <w:rPr>
          <w:rFonts w:ascii="宋体" w:hAnsi="宋体" w:eastAsia="宋体" w:cs="宋体"/>
          <w:spacing w:val="7"/>
          <w:sz w:val="20"/>
          <w:szCs w:val="20"/>
        </w:rPr>
        <w:t>60岁以上吸烟者1年一次的肺</w:t>
      </w:r>
      <w:r>
        <w:rPr>
          <w:rFonts w:ascii="宋体" w:hAnsi="宋体" w:eastAsia="宋体" w:cs="宋体"/>
          <w:sz w:val="20"/>
          <w:szCs w:val="20"/>
        </w:rPr>
        <w:t xml:space="preserve"> </w:t>
      </w:r>
      <w:r>
        <w:rPr>
          <w:rFonts w:ascii="宋体" w:hAnsi="宋体" w:eastAsia="宋体" w:cs="宋体"/>
          <w:spacing w:val="-1"/>
          <w:sz w:val="20"/>
          <w:szCs w:val="20"/>
        </w:rPr>
        <w:t>癌筛检，对矿工进行硅沉着病筛检等。</w:t>
      </w:r>
    </w:p>
    <w:p w14:paraId="1531C144">
      <w:pPr>
        <w:pStyle w:val="2"/>
        <w:spacing w:before="129" w:line="314" w:lineRule="auto"/>
        <w:ind w:left="659" w:right="20" w:firstLine="410"/>
        <w:rPr>
          <w:rFonts w:ascii="宋体" w:hAnsi="宋体" w:eastAsia="宋体" w:cs="宋体"/>
          <w:sz w:val="20"/>
          <w:szCs w:val="20"/>
        </w:rPr>
      </w:pPr>
      <w:r>
        <w:rPr>
          <w:rFonts w:ascii="Times New Roman" w:hAnsi="Times New Roman" w:eastAsia="Times New Roman" w:cs="Times New Roman"/>
          <w:b/>
          <w:bCs/>
          <w:spacing w:val="2"/>
          <w:sz w:val="20"/>
          <w:szCs w:val="20"/>
        </w:rPr>
        <w:t>2.</w:t>
      </w:r>
      <w:r>
        <w:rPr>
          <w:rFonts w:ascii="Times New Roman" w:hAnsi="Times New Roman" w:eastAsia="Times New Roman" w:cs="Times New Roman"/>
          <w:b/>
          <w:bCs/>
          <w:spacing w:val="19"/>
          <w:w w:val="101"/>
          <w:sz w:val="20"/>
          <w:szCs w:val="20"/>
        </w:rPr>
        <w:t xml:space="preserve">  </w:t>
      </w:r>
      <w:r>
        <w:rPr>
          <w:b/>
          <w:bCs/>
          <w:spacing w:val="2"/>
          <w:sz w:val="20"/>
          <w:szCs w:val="20"/>
        </w:rPr>
        <w:t>按筛检项目数量分类</w:t>
      </w:r>
      <w:r>
        <w:rPr>
          <w:spacing w:val="72"/>
          <w:sz w:val="20"/>
          <w:szCs w:val="20"/>
        </w:rPr>
        <w:t xml:space="preserve"> </w:t>
      </w:r>
      <w:r>
        <w:rPr>
          <w:rFonts w:ascii="宋体" w:hAnsi="宋体" w:eastAsia="宋体" w:cs="宋体"/>
          <w:spacing w:val="2"/>
          <w:sz w:val="20"/>
          <w:szCs w:val="20"/>
        </w:rPr>
        <w:t>分为单项筛检</w:t>
      </w:r>
      <w:r>
        <w:rPr>
          <w:rFonts w:ascii="Times New Roman" w:hAnsi="Times New Roman" w:eastAsia="Times New Roman" w:cs="Times New Roman"/>
          <w:spacing w:val="2"/>
          <w:sz w:val="20"/>
          <w:szCs w:val="20"/>
        </w:rPr>
        <w:t>(</w:t>
      </w:r>
      <w:r>
        <w:rPr>
          <w:rFonts w:ascii="Times New Roman" w:hAnsi="Times New Roman" w:eastAsia="Times New Roman" w:cs="Times New Roman"/>
          <w:sz w:val="20"/>
          <w:szCs w:val="20"/>
        </w:rPr>
        <w:t>single</w:t>
      </w:r>
      <w:r>
        <w:rPr>
          <w:rFonts w:ascii="Times New Roman" w:hAnsi="Times New Roman" w:eastAsia="Times New Roman" w:cs="Times New Roman"/>
          <w:spacing w:val="2"/>
          <w:sz w:val="20"/>
          <w:szCs w:val="20"/>
        </w:rPr>
        <w:t xml:space="preserve">    </w:t>
      </w:r>
      <w:r>
        <w:rPr>
          <w:rFonts w:ascii="Times New Roman" w:hAnsi="Times New Roman" w:eastAsia="Times New Roman" w:cs="Times New Roman"/>
          <w:sz w:val="20"/>
          <w:szCs w:val="20"/>
        </w:rPr>
        <w:t>screening</w:t>
      </w:r>
      <w:r>
        <w:rPr>
          <w:rFonts w:ascii="Times New Roman" w:hAnsi="Times New Roman" w:eastAsia="Times New Roman" w:cs="Times New Roman"/>
          <w:spacing w:val="2"/>
          <w:sz w:val="20"/>
          <w:szCs w:val="20"/>
        </w:rPr>
        <w:t>)</w:t>
      </w:r>
      <w:r>
        <w:rPr>
          <w:rFonts w:ascii="宋体" w:hAnsi="宋体" w:eastAsia="宋体" w:cs="宋体"/>
          <w:spacing w:val="2"/>
          <w:sz w:val="20"/>
          <w:szCs w:val="20"/>
        </w:rPr>
        <w:t>、多项筛检</w:t>
      </w:r>
      <w:r>
        <w:rPr>
          <w:rFonts w:ascii="Times New Roman" w:hAnsi="Times New Roman" w:eastAsia="Times New Roman" w:cs="Times New Roman"/>
          <w:spacing w:val="2"/>
          <w:sz w:val="20"/>
          <w:szCs w:val="20"/>
        </w:rPr>
        <w:t>(</w:t>
      </w:r>
      <w:r>
        <w:rPr>
          <w:rFonts w:ascii="Times New Roman" w:hAnsi="Times New Roman" w:eastAsia="Times New Roman" w:cs="Times New Roman"/>
          <w:sz w:val="20"/>
          <w:szCs w:val="20"/>
        </w:rPr>
        <w:t>multiple</w:t>
      </w:r>
      <w:r>
        <w:rPr>
          <w:rFonts w:ascii="Times New Roman" w:hAnsi="Times New Roman" w:eastAsia="Times New Roman" w:cs="Times New Roman"/>
          <w:spacing w:val="2"/>
          <w:sz w:val="20"/>
          <w:szCs w:val="20"/>
        </w:rPr>
        <w:t xml:space="preserve">     </w:t>
      </w:r>
      <w:r>
        <w:rPr>
          <w:rFonts w:ascii="Times New Roman" w:hAnsi="Times New Roman" w:eastAsia="Times New Roman" w:cs="Times New Roman"/>
          <w:sz w:val="20"/>
          <w:szCs w:val="20"/>
        </w:rPr>
        <w:t>screening</w:t>
      </w:r>
      <w:r>
        <w:rPr>
          <w:rFonts w:ascii="Times New Roman" w:hAnsi="Times New Roman" w:eastAsia="Times New Roman" w:cs="Times New Roman"/>
          <w:spacing w:val="2"/>
          <w:sz w:val="20"/>
          <w:szCs w:val="20"/>
        </w:rPr>
        <w:t>)</w:t>
      </w:r>
      <w:r>
        <w:rPr>
          <w:rFonts w:ascii="宋体" w:hAnsi="宋体" w:eastAsia="宋体" w:cs="宋体"/>
          <w:spacing w:val="2"/>
          <w:sz w:val="20"/>
          <w:szCs w:val="20"/>
        </w:rPr>
        <w:t>和多</w:t>
      </w:r>
      <w:r>
        <w:rPr>
          <w:rFonts w:ascii="宋体" w:hAnsi="宋体" w:eastAsia="宋体" w:cs="宋体"/>
          <w:sz w:val="20"/>
          <w:szCs w:val="20"/>
        </w:rPr>
        <w:t xml:space="preserve"> </w:t>
      </w:r>
      <w:r>
        <w:rPr>
          <w:rFonts w:ascii="宋体" w:hAnsi="宋体" w:eastAsia="宋体" w:cs="宋体"/>
          <w:spacing w:val="3"/>
          <w:sz w:val="20"/>
          <w:szCs w:val="20"/>
        </w:rPr>
        <w:t>病种筛检</w:t>
      </w:r>
      <w:r>
        <w:rPr>
          <w:rFonts w:ascii="Times New Roman" w:hAnsi="Times New Roman" w:eastAsia="Times New Roman" w:cs="Times New Roman"/>
          <w:spacing w:val="3"/>
          <w:sz w:val="20"/>
          <w:szCs w:val="20"/>
        </w:rPr>
        <w:t>(</w:t>
      </w:r>
      <w:r>
        <w:rPr>
          <w:rFonts w:ascii="Times New Roman" w:hAnsi="Times New Roman" w:eastAsia="Times New Roman" w:cs="Times New Roman"/>
          <w:sz w:val="20"/>
          <w:szCs w:val="20"/>
        </w:rPr>
        <w:t>multiphasic</w:t>
      </w:r>
      <w:r>
        <w:rPr>
          <w:rFonts w:ascii="Times New Roman" w:hAnsi="Times New Roman" w:eastAsia="Times New Roman" w:cs="Times New Roman"/>
          <w:spacing w:val="3"/>
          <w:sz w:val="20"/>
          <w:szCs w:val="20"/>
        </w:rPr>
        <w:t xml:space="preserve">    </w:t>
      </w:r>
      <w:r>
        <w:rPr>
          <w:rFonts w:ascii="Times New Roman" w:hAnsi="Times New Roman" w:eastAsia="Times New Roman" w:cs="Times New Roman"/>
          <w:sz w:val="20"/>
          <w:szCs w:val="20"/>
        </w:rPr>
        <w:t>screening</w:t>
      </w:r>
      <w:r>
        <w:rPr>
          <w:rFonts w:ascii="Times New Roman" w:hAnsi="Times New Roman" w:eastAsia="Times New Roman" w:cs="Times New Roman"/>
          <w:spacing w:val="3"/>
          <w:sz w:val="20"/>
          <w:szCs w:val="20"/>
        </w:rPr>
        <w:t>)</w:t>
      </w:r>
      <w:r>
        <w:rPr>
          <w:rFonts w:ascii="宋体" w:hAnsi="宋体" w:eastAsia="宋体" w:cs="宋体"/>
          <w:spacing w:val="3"/>
          <w:sz w:val="20"/>
          <w:szCs w:val="20"/>
        </w:rPr>
        <w:t>。单项筛检指用一种方法筛检一种疾病；多项筛检是指用</w:t>
      </w:r>
      <w:r>
        <w:rPr>
          <w:rFonts w:ascii="宋体" w:hAnsi="宋体" w:eastAsia="宋体" w:cs="宋体"/>
          <w:spacing w:val="2"/>
          <w:sz w:val="20"/>
          <w:szCs w:val="20"/>
        </w:rPr>
        <w:t>多个方法</w:t>
      </w:r>
      <w:r>
        <w:rPr>
          <w:rFonts w:ascii="宋体" w:hAnsi="宋体" w:eastAsia="宋体" w:cs="宋体"/>
          <w:sz w:val="20"/>
          <w:szCs w:val="20"/>
        </w:rPr>
        <w:t xml:space="preserve"> </w:t>
      </w:r>
      <w:r>
        <w:rPr>
          <w:rFonts w:ascii="宋体" w:hAnsi="宋体" w:eastAsia="宋体" w:cs="宋体"/>
          <w:spacing w:val="3"/>
          <w:sz w:val="20"/>
          <w:szCs w:val="20"/>
        </w:rPr>
        <w:t>筛检一种疾病，如同时应用胸部X 线透视、红细胞沉降率(血沉)、痰中查找结核</w:t>
      </w:r>
      <w:r>
        <w:rPr>
          <w:rFonts w:ascii="宋体" w:hAnsi="宋体" w:eastAsia="宋体" w:cs="宋体"/>
          <w:spacing w:val="2"/>
          <w:sz w:val="20"/>
          <w:szCs w:val="20"/>
        </w:rPr>
        <w:t>分枝杆菌等检查可</w:t>
      </w:r>
      <w:r>
        <w:rPr>
          <w:rFonts w:ascii="宋体" w:hAnsi="宋体" w:eastAsia="宋体" w:cs="宋体"/>
          <w:sz w:val="20"/>
          <w:szCs w:val="20"/>
        </w:rPr>
        <w:t xml:space="preserve">  </w:t>
      </w:r>
      <w:r>
        <w:rPr>
          <w:rFonts w:ascii="宋体" w:hAnsi="宋体" w:eastAsia="宋体" w:cs="宋体"/>
          <w:spacing w:val="5"/>
          <w:sz w:val="20"/>
          <w:szCs w:val="20"/>
        </w:rPr>
        <w:t>疑的肺结核病人，可增加病人的发现概率。多病种筛检则是同时在一个人群中开展多种疾病筛检，</w:t>
      </w:r>
      <w:r>
        <w:rPr>
          <w:rFonts w:ascii="宋体" w:hAnsi="宋体" w:eastAsia="宋体" w:cs="宋体"/>
          <w:spacing w:val="3"/>
          <w:sz w:val="20"/>
          <w:szCs w:val="20"/>
        </w:rPr>
        <w:t xml:space="preserve"> </w:t>
      </w:r>
      <w:r>
        <w:rPr>
          <w:rFonts w:ascii="宋体" w:hAnsi="宋体" w:eastAsia="宋体" w:cs="宋体"/>
          <w:spacing w:val="4"/>
          <w:sz w:val="20"/>
          <w:szCs w:val="20"/>
        </w:rPr>
        <w:t>可以最大程度上节约卫生资源。</w:t>
      </w:r>
    </w:p>
    <w:p w14:paraId="0F1025C3">
      <w:pPr>
        <w:pStyle w:val="2"/>
        <w:spacing w:before="159" w:line="308" w:lineRule="auto"/>
        <w:ind w:left="659" w:right="91" w:firstLine="412"/>
        <w:rPr>
          <w:rFonts w:ascii="宋体" w:hAnsi="宋体" w:eastAsia="宋体" w:cs="宋体"/>
          <w:sz w:val="20"/>
          <w:szCs w:val="20"/>
        </w:rPr>
      </w:pPr>
      <w:r>
        <w:rPr>
          <w:rFonts w:ascii="宋体" w:hAnsi="宋体" w:eastAsia="宋体" w:cs="宋体"/>
          <w:b/>
          <w:bCs/>
          <w:spacing w:val="8"/>
          <w:sz w:val="20"/>
          <w:szCs w:val="20"/>
        </w:rPr>
        <w:t>3.</w:t>
      </w:r>
      <w:r>
        <w:rPr>
          <w:rFonts w:ascii="宋体" w:hAnsi="宋体" w:eastAsia="宋体" w:cs="宋体"/>
          <w:spacing w:val="38"/>
          <w:sz w:val="20"/>
          <w:szCs w:val="20"/>
        </w:rPr>
        <w:t xml:space="preserve"> </w:t>
      </w:r>
      <w:r>
        <w:rPr>
          <w:b/>
          <w:bCs/>
          <w:spacing w:val="8"/>
          <w:sz w:val="20"/>
          <w:szCs w:val="20"/>
        </w:rPr>
        <w:t>按筛检的目的分类</w:t>
      </w:r>
      <w:r>
        <w:rPr>
          <w:spacing w:val="92"/>
          <w:sz w:val="20"/>
          <w:szCs w:val="20"/>
        </w:rPr>
        <w:t xml:space="preserve"> </w:t>
      </w:r>
      <w:r>
        <w:rPr>
          <w:rFonts w:ascii="宋体" w:hAnsi="宋体" w:eastAsia="宋体" w:cs="宋体"/>
          <w:spacing w:val="8"/>
          <w:sz w:val="20"/>
          <w:szCs w:val="20"/>
        </w:rPr>
        <w:t>分为治疗性筛检(</w:t>
      </w:r>
      <w:r>
        <w:rPr>
          <w:rFonts w:ascii="宋体" w:hAnsi="宋体" w:eastAsia="宋体" w:cs="宋体"/>
          <w:sz w:val="20"/>
          <w:szCs w:val="20"/>
        </w:rPr>
        <w:t>therapeutic</w:t>
      </w:r>
      <w:r>
        <w:rPr>
          <w:rFonts w:ascii="宋体" w:hAnsi="宋体" w:eastAsia="宋体" w:cs="宋体"/>
          <w:spacing w:val="8"/>
          <w:sz w:val="20"/>
          <w:szCs w:val="20"/>
        </w:rPr>
        <w:t xml:space="preserve"> </w:t>
      </w:r>
      <w:r>
        <w:rPr>
          <w:rFonts w:ascii="宋体" w:hAnsi="宋体" w:eastAsia="宋体" w:cs="宋体"/>
          <w:sz w:val="20"/>
          <w:szCs w:val="20"/>
        </w:rPr>
        <w:t>screening</w:t>
      </w:r>
      <w:r>
        <w:rPr>
          <w:rFonts w:ascii="宋体" w:hAnsi="宋体" w:eastAsia="宋体" w:cs="宋体"/>
          <w:spacing w:val="8"/>
          <w:sz w:val="20"/>
          <w:szCs w:val="20"/>
        </w:rPr>
        <w:t>)和预防性筛检</w:t>
      </w:r>
      <w:r>
        <w:rPr>
          <w:rFonts w:ascii="Times New Roman" w:hAnsi="Times New Roman" w:eastAsia="Times New Roman" w:cs="Times New Roman"/>
          <w:spacing w:val="8"/>
          <w:sz w:val="20"/>
          <w:szCs w:val="20"/>
        </w:rPr>
        <w:t>(</w:t>
      </w:r>
      <w:r>
        <w:rPr>
          <w:rFonts w:ascii="Times New Roman" w:hAnsi="Times New Roman" w:eastAsia="Times New Roman" w:cs="Times New Roman"/>
          <w:sz w:val="20"/>
          <w:szCs w:val="20"/>
        </w:rPr>
        <w:t>preventive    screening</w:t>
      </w:r>
      <w:r>
        <w:rPr>
          <w:rFonts w:ascii="Times New Roman" w:hAnsi="Times New Roman" w:eastAsia="Times New Roman" w:cs="Times New Roman"/>
          <w:spacing w:val="1"/>
          <w:sz w:val="20"/>
          <w:szCs w:val="20"/>
        </w:rPr>
        <w:t>)</w:t>
      </w:r>
      <w:r>
        <w:rPr>
          <w:rFonts w:ascii="Times New Roman" w:hAnsi="Times New Roman" w:eastAsia="Times New Roman" w:cs="Times New Roman"/>
          <w:spacing w:val="-23"/>
          <w:sz w:val="20"/>
          <w:szCs w:val="20"/>
        </w:rPr>
        <w:t xml:space="preserve"> </w:t>
      </w:r>
      <w:r>
        <w:rPr>
          <w:rFonts w:ascii="宋体" w:hAnsi="宋体" w:eastAsia="宋体" w:cs="宋体"/>
          <w:spacing w:val="1"/>
          <w:sz w:val="20"/>
          <w:szCs w:val="20"/>
        </w:rPr>
        <w:t>。</w:t>
      </w:r>
      <w:r>
        <w:rPr>
          <w:rFonts w:ascii="宋体" w:hAnsi="宋体" w:eastAsia="宋体" w:cs="宋体"/>
          <w:spacing w:val="-32"/>
          <w:sz w:val="20"/>
          <w:szCs w:val="20"/>
        </w:rPr>
        <w:t xml:space="preserve"> </w:t>
      </w:r>
      <w:r>
        <w:rPr>
          <w:rFonts w:ascii="宋体" w:hAnsi="宋体" w:eastAsia="宋体" w:cs="宋体"/>
          <w:spacing w:val="1"/>
          <w:sz w:val="20"/>
          <w:szCs w:val="20"/>
        </w:rPr>
        <w:t>如大肠癌或乳腺癌的筛检，可发现和治</w:t>
      </w:r>
      <w:r>
        <w:rPr>
          <w:rFonts w:ascii="宋体" w:hAnsi="宋体" w:eastAsia="宋体" w:cs="宋体"/>
          <w:sz w:val="20"/>
          <w:szCs w:val="20"/>
        </w:rPr>
        <w:t xml:space="preserve">疗早期病人，为治疗性筛检；而高血压的筛检可 </w:t>
      </w:r>
      <w:r>
        <w:rPr>
          <w:rFonts w:ascii="宋体" w:hAnsi="宋体" w:eastAsia="宋体" w:cs="宋体"/>
          <w:spacing w:val="-1"/>
          <w:sz w:val="20"/>
          <w:szCs w:val="20"/>
        </w:rPr>
        <w:t>预防脑卒中，为预防性筛检。</w:t>
      </w:r>
    </w:p>
    <w:p w14:paraId="0DD261DC">
      <w:pPr>
        <w:pStyle w:val="2"/>
        <w:spacing w:before="122" w:line="321" w:lineRule="auto"/>
        <w:ind w:left="659" w:firstLine="410"/>
        <w:rPr>
          <w:rFonts w:ascii="宋体" w:hAnsi="宋体" w:eastAsia="宋体" w:cs="宋体"/>
          <w:sz w:val="20"/>
          <w:szCs w:val="20"/>
        </w:rPr>
      </w:pPr>
      <w:r>
        <w:rPr>
          <w:rFonts w:ascii="Times New Roman" w:hAnsi="Times New Roman" w:eastAsia="Times New Roman" w:cs="Times New Roman"/>
          <w:b/>
          <w:bCs/>
          <w:spacing w:val="9"/>
          <w:sz w:val="20"/>
          <w:szCs w:val="20"/>
        </w:rPr>
        <w:t xml:space="preserve">4.   </w:t>
      </w:r>
      <w:r>
        <w:rPr>
          <w:b/>
          <w:bCs/>
          <w:spacing w:val="9"/>
          <w:sz w:val="20"/>
          <w:szCs w:val="20"/>
        </w:rPr>
        <w:t>按筛检的组织方式分类</w:t>
      </w:r>
      <w:r>
        <w:rPr>
          <w:spacing w:val="48"/>
          <w:sz w:val="20"/>
          <w:szCs w:val="20"/>
        </w:rPr>
        <w:t xml:space="preserve"> </w:t>
      </w:r>
      <w:r>
        <w:rPr>
          <w:rFonts w:ascii="宋体" w:hAnsi="宋体" w:eastAsia="宋体" w:cs="宋体"/>
          <w:spacing w:val="9"/>
          <w:sz w:val="20"/>
          <w:szCs w:val="20"/>
        </w:rPr>
        <w:t>分为主动性筛检</w:t>
      </w:r>
      <w:r>
        <w:rPr>
          <w:rFonts w:ascii="Times New Roman" w:hAnsi="Times New Roman" w:eastAsia="Times New Roman" w:cs="Times New Roman"/>
          <w:spacing w:val="9"/>
          <w:sz w:val="20"/>
          <w:szCs w:val="20"/>
        </w:rPr>
        <w:t>(</w:t>
      </w:r>
      <w:r>
        <w:rPr>
          <w:rFonts w:ascii="Times New Roman" w:hAnsi="Times New Roman" w:eastAsia="Times New Roman" w:cs="Times New Roman"/>
          <w:sz w:val="20"/>
          <w:szCs w:val="20"/>
        </w:rPr>
        <w:t>active</w:t>
      </w:r>
      <w:r>
        <w:rPr>
          <w:rFonts w:ascii="Times New Roman" w:hAnsi="Times New Roman" w:eastAsia="Times New Roman" w:cs="Times New Roman"/>
          <w:spacing w:val="9"/>
          <w:sz w:val="20"/>
          <w:szCs w:val="20"/>
        </w:rPr>
        <w:t xml:space="preserve">      </w:t>
      </w:r>
      <w:r>
        <w:rPr>
          <w:rFonts w:ascii="Times New Roman" w:hAnsi="Times New Roman" w:eastAsia="Times New Roman" w:cs="Times New Roman"/>
          <w:sz w:val="20"/>
          <w:szCs w:val="20"/>
        </w:rPr>
        <w:t>screening</w:t>
      </w:r>
      <w:r>
        <w:rPr>
          <w:rFonts w:ascii="Times New Roman" w:hAnsi="Times New Roman" w:eastAsia="Times New Roman" w:cs="Times New Roman"/>
          <w:spacing w:val="9"/>
          <w:sz w:val="20"/>
          <w:szCs w:val="20"/>
        </w:rPr>
        <w:t>)</w:t>
      </w:r>
      <w:r>
        <w:rPr>
          <w:rFonts w:ascii="宋体" w:hAnsi="宋体" w:eastAsia="宋体" w:cs="宋体"/>
          <w:spacing w:val="9"/>
          <w:sz w:val="20"/>
          <w:szCs w:val="20"/>
        </w:rPr>
        <w:t>和机会性筛检</w:t>
      </w:r>
      <w:r>
        <w:rPr>
          <w:rFonts w:ascii="Times New Roman" w:hAnsi="Times New Roman" w:eastAsia="Times New Roman" w:cs="Times New Roman"/>
          <w:spacing w:val="9"/>
          <w:sz w:val="20"/>
          <w:szCs w:val="20"/>
        </w:rPr>
        <w:t>(</w:t>
      </w:r>
      <w:r>
        <w:rPr>
          <w:rFonts w:ascii="Times New Roman" w:hAnsi="Times New Roman" w:eastAsia="Times New Roman" w:cs="Times New Roman"/>
          <w:sz w:val="20"/>
          <w:szCs w:val="20"/>
        </w:rPr>
        <w:t>opportunistie     screening)</w:t>
      </w:r>
      <w:r>
        <w:rPr>
          <w:rFonts w:ascii="Times New Roman" w:hAnsi="Times New Roman" w:eastAsia="Times New Roman" w:cs="Times New Roman"/>
          <w:spacing w:val="-22"/>
          <w:sz w:val="20"/>
          <w:szCs w:val="20"/>
        </w:rPr>
        <w:t xml:space="preserve"> </w:t>
      </w:r>
      <w:r>
        <w:rPr>
          <w:rFonts w:ascii="宋体" w:hAnsi="宋体" w:eastAsia="宋体" w:cs="宋体"/>
          <w:sz w:val="20"/>
          <w:szCs w:val="20"/>
        </w:rPr>
        <w:t>。 前者是采取“主动出击”,通过有组织</w:t>
      </w:r>
      <w:r>
        <w:rPr>
          <w:rFonts w:ascii="宋体" w:hAnsi="宋体" w:eastAsia="宋体" w:cs="宋体"/>
          <w:spacing w:val="-1"/>
          <w:sz w:val="20"/>
          <w:szCs w:val="20"/>
        </w:rPr>
        <w:t>的宣传介绍，动员群众到筛检服务地点进行检查。</w:t>
      </w:r>
      <w:r>
        <w:rPr>
          <w:rFonts w:ascii="宋体" w:hAnsi="宋体" w:eastAsia="宋体" w:cs="宋体"/>
          <w:sz w:val="20"/>
          <w:szCs w:val="20"/>
        </w:rPr>
        <w:t xml:space="preserve"> </w:t>
      </w:r>
      <w:r>
        <w:rPr>
          <w:rFonts w:ascii="宋体" w:hAnsi="宋体" w:eastAsia="宋体" w:cs="宋体"/>
          <w:spacing w:val="3"/>
          <w:sz w:val="20"/>
          <w:szCs w:val="20"/>
        </w:rPr>
        <w:t>后者属于一种被动性筛检，是将日常性的医疗服务与筛检结合起来，在病人就医过程中，对非专科</w:t>
      </w:r>
      <w:r>
        <w:rPr>
          <w:rFonts w:ascii="宋体" w:hAnsi="宋体" w:eastAsia="宋体" w:cs="宋体"/>
          <w:spacing w:val="8"/>
          <w:sz w:val="20"/>
          <w:szCs w:val="20"/>
        </w:rPr>
        <w:t xml:space="preserve">  </w:t>
      </w:r>
      <w:r>
        <w:rPr>
          <w:rFonts w:ascii="宋体" w:hAnsi="宋体" w:eastAsia="宋体" w:cs="宋体"/>
          <w:spacing w:val="4"/>
          <w:sz w:val="20"/>
          <w:szCs w:val="20"/>
        </w:rPr>
        <w:t>就诊的人群进行筛检。如要求各级医院在非高</w:t>
      </w:r>
      <w:r>
        <w:rPr>
          <w:rFonts w:ascii="宋体" w:hAnsi="宋体" w:eastAsia="宋体" w:cs="宋体"/>
          <w:spacing w:val="3"/>
          <w:sz w:val="20"/>
          <w:szCs w:val="20"/>
        </w:rPr>
        <w:t>血压门诊开展“首诊病人测血压”项目，其优点是能</w:t>
      </w:r>
      <w:r>
        <w:rPr>
          <w:rFonts w:ascii="宋体" w:hAnsi="宋体" w:eastAsia="宋体" w:cs="宋体"/>
          <w:sz w:val="20"/>
          <w:szCs w:val="20"/>
        </w:rPr>
        <w:t xml:space="preserve">  </w:t>
      </w:r>
      <w:r>
        <w:rPr>
          <w:rFonts w:ascii="宋体" w:hAnsi="宋体" w:eastAsia="宋体" w:cs="宋体"/>
          <w:spacing w:val="1"/>
          <w:sz w:val="20"/>
          <w:szCs w:val="20"/>
        </w:rPr>
        <w:t>扩大筛检的覆盖面，同时增加目标人群的参与度。</w:t>
      </w:r>
    </w:p>
    <w:p w14:paraId="4D128D26">
      <w:pPr>
        <w:spacing w:line="291" w:lineRule="auto"/>
        <w:rPr>
          <w:rFonts w:ascii="Arial"/>
          <w:sz w:val="21"/>
        </w:rPr>
      </w:pPr>
    </w:p>
    <w:p w14:paraId="188C36B1">
      <w:pPr>
        <w:pStyle w:val="2"/>
        <w:spacing w:before="65" w:line="222" w:lineRule="auto"/>
        <w:ind w:left="1072"/>
        <w:outlineLvl w:val="2"/>
        <w:rPr>
          <w:sz w:val="20"/>
          <w:szCs w:val="20"/>
        </w:rPr>
      </w:pPr>
      <w:bookmarkStart w:id="200" w:name="bookmark128"/>
      <w:bookmarkEnd w:id="200"/>
      <w:r>
        <w:rPr>
          <w:b/>
          <w:bCs/>
          <w:spacing w:val="-15"/>
          <w:sz w:val="20"/>
          <w:szCs w:val="20"/>
        </w:rPr>
        <w:t>三</w:t>
      </w:r>
      <w:r>
        <w:rPr>
          <w:spacing w:val="35"/>
          <w:sz w:val="20"/>
          <w:szCs w:val="20"/>
        </w:rPr>
        <w:t xml:space="preserve"> </w:t>
      </w:r>
      <w:r>
        <w:rPr>
          <w:b/>
          <w:bCs/>
          <w:spacing w:val="-15"/>
          <w:sz w:val="20"/>
          <w:szCs w:val="20"/>
        </w:rPr>
        <w:t>、筛</w:t>
      </w:r>
      <w:r>
        <w:rPr>
          <w:spacing w:val="-36"/>
          <w:sz w:val="20"/>
          <w:szCs w:val="20"/>
        </w:rPr>
        <w:t xml:space="preserve"> </w:t>
      </w:r>
      <w:r>
        <w:rPr>
          <w:b/>
          <w:bCs/>
          <w:spacing w:val="-15"/>
          <w:sz w:val="20"/>
          <w:szCs w:val="20"/>
        </w:rPr>
        <w:t>检</w:t>
      </w:r>
      <w:r>
        <w:rPr>
          <w:spacing w:val="-23"/>
          <w:sz w:val="20"/>
          <w:szCs w:val="20"/>
        </w:rPr>
        <w:t xml:space="preserve"> </w:t>
      </w:r>
      <w:r>
        <w:rPr>
          <w:b/>
          <w:bCs/>
          <w:spacing w:val="-15"/>
          <w:sz w:val="20"/>
          <w:szCs w:val="20"/>
        </w:rPr>
        <w:t>的</w:t>
      </w:r>
      <w:r>
        <w:rPr>
          <w:spacing w:val="-28"/>
          <w:sz w:val="20"/>
          <w:szCs w:val="20"/>
        </w:rPr>
        <w:t xml:space="preserve"> </w:t>
      </w:r>
      <w:r>
        <w:rPr>
          <w:b/>
          <w:bCs/>
          <w:spacing w:val="-15"/>
          <w:sz w:val="20"/>
          <w:szCs w:val="20"/>
        </w:rPr>
        <w:t>实</w:t>
      </w:r>
      <w:r>
        <w:rPr>
          <w:spacing w:val="-35"/>
          <w:sz w:val="20"/>
          <w:szCs w:val="20"/>
        </w:rPr>
        <w:t xml:space="preserve"> </w:t>
      </w:r>
      <w:r>
        <w:rPr>
          <w:b/>
          <w:bCs/>
          <w:spacing w:val="-15"/>
          <w:sz w:val="20"/>
          <w:szCs w:val="20"/>
        </w:rPr>
        <w:t>施</w:t>
      </w:r>
      <w:r>
        <w:rPr>
          <w:spacing w:val="-33"/>
          <w:sz w:val="20"/>
          <w:szCs w:val="20"/>
        </w:rPr>
        <w:t xml:space="preserve"> </w:t>
      </w:r>
      <w:r>
        <w:rPr>
          <w:b/>
          <w:bCs/>
          <w:spacing w:val="-15"/>
          <w:sz w:val="20"/>
          <w:szCs w:val="20"/>
        </w:rPr>
        <w:t>原</w:t>
      </w:r>
      <w:r>
        <w:rPr>
          <w:spacing w:val="-35"/>
          <w:sz w:val="20"/>
          <w:szCs w:val="20"/>
        </w:rPr>
        <w:t xml:space="preserve"> </w:t>
      </w:r>
      <w:r>
        <w:rPr>
          <w:b/>
          <w:bCs/>
          <w:spacing w:val="-15"/>
          <w:sz w:val="20"/>
          <w:szCs w:val="20"/>
        </w:rPr>
        <w:t>则</w:t>
      </w:r>
    </w:p>
    <w:p w14:paraId="087637E8">
      <w:pPr>
        <w:spacing w:before="263" w:line="348" w:lineRule="auto"/>
        <w:ind w:left="659" w:right="91" w:firstLine="410"/>
        <w:jc w:val="both"/>
        <w:rPr>
          <w:rFonts w:ascii="宋体" w:hAnsi="宋体" w:eastAsia="宋体" w:cs="宋体"/>
          <w:sz w:val="20"/>
          <w:szCs w:val="20"/>
        </w:rPr>
      </w:pPr>
      <w:r>
        <w:rPr>
          <w:rFonts w:ascii="宋体" w:hAnsi="宋体" w:eastAsia="宋体" w:cs="宋体"/>
          <w:spacing w:val="3"/>
          <w:sz w:val="20"/>
          <w:szCs w:val="20"/>
        </w:rPr>
        <w:t>一项筛检计划应包括：①选择筛检疾病的依据；②明确的目标人群；③合理的筛检程序，包括</w:t>
      </w:r>
      <w:r>
        <w:rPr>
          <w:rFonts w:ascii="宋体" w:hAnsi="宋体" w:eastAsia="宋体" w:cs="宋体"/>
          <w:spacing w:val="13"/>
          <w:sz w:val="20"/>
          <w:szCs w:val="20"/>
        </w:rPr>
        <w:t xml:space="preserve"> </w:t>
      </w:r>
      <w:r>
        <w:rPr>
          <w:rFonts w:ascii="宋体" w:hAnsi="宋体" w:eastAsia="宋体" w:cs="宋体"/>
          <w:sz w:val="20"/>
          <w:szCs w:val="20"/>
        </w:rPr>
        <w:t>起始筛检年龄、筛检间隔、不同阶段的筛检试验和诊断试验；④干预和随访方案。Wi</w:t>
      </w:r>
      <w:r>
        <w:rPr>
          <w:rFonts w:ascii="宋体" w:hAnsi="宋体" w:eastAsia="宋体" w:cs="宋体"/>
          <w:spacing w:val="-1"/>
          <w:sz w:val="20"/>
          <w:szCs w:val="20"/>
        </w:rPr>
        <w:t>lson和</w:t>
      </w:r>
      <w:r>
        <w:rPr>
          <w:rFonts w:ascii="宋体" w:hAnsi="宋体" w:eastAsia="宋体" w:cs="宋体"/>
          <w:spacing w:val="-41"/>
          <w:sz w:val="20"/>
          <w:szCs w:val="20"/>
        </w:rPr>
        <w:t xml:space="preserve"> </w:t>
      </w:r>
      <w:r>
        <w:rPr>
          <w:rFonts w:ascii="宋体" w:hAnsi="宋体" w:eastAsia="宋体" w:cs="宋体"/>
          <w:spacing w:val="-1"/>
          <w:sz w:val="20"/>
          <w:szCs w:val="20"/>
        </w:rPr>
        <w:t>Jungner</w:t>
      </w:r>
      <w:r>
        <w:rPr>
          <w:rFonts w:ascii="宋体" w:hAnsi="宋体" w:eastAsia="宋体" w:cs="宋体"/>
          <w:sz w:val="20"/>
          <w:szCs w:val="20"/>
        </w:rPr>
        <w:t xml:space="preserve"> </w:t>
      </w:r>
      <w:r>
        <w:rPr>
          <w:rFonts w:ascii="宋体" w:hAnsi="宋体" w:eastAsia="宋体" w:cs="宋体"/>
          <w:spacing w:val="7"/>
          <w:sz w:val="20"/>
          <w:szCs w:val="20"/>
        </w:rPr>
        <w:t>在1968年提出了实施筛检项目的10条原则，当前</w:t>
      </w:r>
      <w:r>
        <w:rPr>
          <w:rFonts w:ascii="宋体" w:hAnsi="宋体" w:eastAsia="宋体" w:cs="宋体"/>
          <w:spacing w:val="6"/>
          <w:sz w:val="20"/>
          <w:szCs w:val="20"/>
        </w:rPr>
        <w:t>仍然适用。</w:t>
      </w:r>
    </w:p>
    <w:p w14:paraId="3CA4A574">
      <w:pPr>
        <w:spacing w:line="219" w:lineRule="auto"/>
        <w:ind w:left="1070"/>
        <w:rPr>
          <w:rFonts w:ascii="宋体" w:hAnsi="宋体" w:eastAsia="宋体" w:cs="宋体"/>
          <w:sz w:val="20"/>
          <w:szCs w:val="20"/>
        </w:rPr>
      </w:pPr>
      <w:r>
        <w:rPr>
          <w:rFonts w:ascii="宋体" w:hAnsi="宋体" w:eastAsia="宋体" w:cs="宋体"/>
          <w:spacing w:val="9"/>
          <w:sz w:val="20"/>
          <w:szCs w:val="20"/>
        </w:rPr>
        <w:t>(1)被筛检的疾病或因素是一个重要的卫生问题。</w:t>
      </w:r>
    </w:p>
    <w:p w14:paraId="37305874">
      <w:pPr>
        <w:spacing w:before="133" w:line="219" w:lineRule="auto"/>
        <w:ind w:left="1070"/>
        <w:rPr>
          <w:rFonts w:ascii="宋体" w:hAnsi="宋体" w:eastAsia="宋体" w:cs="宋体"/>
          <w:sz w:val="20"/>
          <w:szCs w:val="20"/>
        </w:rPr>
      </w:pPr>
      <w:r>
        <w:rPr>
          <w:rFonts w:ascii="宋体" w:hAnsi="宋体" w:eastAsia="宋体" w:cs="宋体"/>
          <w:spacing w:val="9"/>
          <w:sz w:val="20"/>
          <w:szCs w:val="20"/>
        </w:rPr>
        <w:t>(2)检出的病人有相应的治疗方法。</w:t>
      </w:r>
    </w:p>
    <w:p w14:paraId="69BFA0F5">
      <w:pPr>
        <w:spacing w:before="123" w:line="219" w:lineRule="auto"/>
        <w:ind w:left="1070"/>
        <w:rPr>
          <w:rFonts w:ascii="宋体" w:hAnsi="宋体" w:eastAsia="宋体" w:cs="宋体"/>
          <w:sz w:val="20"/>
          <w:szCs w:val="20"/>
        </w:rPr>
      </w:pPr>
      <w:r>
        <w:rPr>
          <w:rFonts w:ascii="宋体" w:hAnsi="宋体" w:eastAsia="宋体" w:cs="宋体"/>
          <w:spacing w:val="10"/>
          <w:sz w:val="20"/>
          <w:szCs w:val="20"/>
        </w:rPr>
        <w:t>(3)具备诊断和治疗的各种设施。</w:t>
      </w:r>
    </w:p>
    <w:p w14:paraId="36B54145">
      <w:pPr>
        <w:spacing w:before="141" w:line="219" w:lineRule="auto"/>
        <w:ind w:left="1070"/>
        <w:rPr>
          <w:rFonts w:ascii="宋体" w:hAnsi="宋体" w:eastAsia="宋体" w:cs="宋体"/>
          <w:sz w:val="20"/>
          <w:szCs w:val="20"/>
        </w:rPr>
      </w:pPr>
      <w:r>
        <w:rPr>
          <w:rFonts w:ascii="宋体" w:hAnsi="宋体" w:eastAsia="宋体" w:cs="宋体"/>
          <w:spacing w:val="8"/>
          <w:sz w:val="20"/>
          <w:szCs w:val="20"/>
        </w:rPr>
        <w:t>(4)被筛检疾病处于疾病的潜伏期或早期阶段。</w:t>
      </w:r>
    </w:p>
    <w:p w14:paraId="097DBBB7">
      <w:pPr>
        <w:spacing w:before="124" w:line="219" w:lineRule="auto"/>
        <w:ind w:left="1070"/>
        <w:rPr>
          <w:rFonts w:ascii="宋体" w:hAnsi="宋体" w:eastAsia="宋体" w:cs="宋体"/>
          <w:sz w:val="20"/>
          <w:szCs w:val="20"/>
        </w:rPr>
      </w:pPr>
      <w:r>
        <w:rPr>
          <w:rFonts w:ascii="宋体" w:hAnsi="宋体" w:eastAsia="宋体" w:cs="宋体"/>
          <w:spacing w:val="11"/>
          <w:sz w:val="20"/>
          <w:szCs w:val="20"/>
        </w:rPr>
        <w:t>(5)具备适宜的检查方法。</w:t>
      </w:r>
    </w:p>
    <w:p w14:paraId="1EAFF19F">
      <w:pPr>
        <w:spacing w:line="219" w:lineRule="auto"/>
        <w:rPr>
          <w:rFonts w:ascii="宋体" w:hAnsi="宋体" w:eastAsia="宋体" w:cs="宋体"/>
          <w:sz w:val="20"/>
          <w:szCs w:val="20"/>
        </w:rPr>
        <w:sectPr>
          <w:headerReference r:id="rId140" w:type="default"/>
          <w:footerReference r:id="rId141" w:type="default"/>
          <w:pgSz w:w="11900" w:h="16820"/>
          <w:pgMar w:top="400" w:right="1509" w:bottom="879" w:left="890" w:header="0" w:footer="699" w:gutter="0"/>
          <w:cols w:space="720" w:num="1"/>
        </w:sectPr>
      </w:pPr>
    </w:p>
    <w:p w14:paraId="139D97F6">
      <w:pPr>
        <w:pStyle w:val="2"/>
        <w:spacing w:before="204" w:line="222" w:lineRule="auto"/>
        <w:ind w:left="7962"/>
        <w:rPr>
          <w:sz w:val="20"/>
          <w:szCs w:val="20"/>
        </w:rPr>
      </w:pPr>
      <w:bookmarkStart w:id="201" w:name="bookmark467"/>
      <w:bookmarkEnd w:id="201"/>
      <w:r>
        <w:rPr>
          <w:b/>
          <w:bCs/>
          <w:spacing w:val="-13"/>
          <w:w w:val="96"/>
          <w:sz w:val="20"/>
          <w:szCs w:val="20"/>
        </w:rPr>
        <w:t>第七章</w:t>
      </w:r>
      <w:r>
        <w:rPr>
          <w:spacing w:val="14"/>
          <w:sz w:val="20"/>
          <w:szCs w:val="20"/>
        </w:rPr>
        <w:t xml:space="preserve"> </w:t>
      </w:r>
      <w:r>
        <w:rPr>
          <w:b/>
          <w:bCs/>
          <w:spacing w:val="-13"/>
          <w:w w:val="96"/>
          <w:sz w:val="20"/>
          <w:szCs w:val="20"/>
        </w:rPr>
        <w:t>筛检</w:t>
      </w:r>
    </w:p>
    <w:p w14:paraId="1BBF17ED">
      <w:pPr>
        <w:spacing w:line="292" w:lineRule="auto"/>
        <w:rPr>
          <w:rFonts w:ascii="Arial"/>
          <w:sz w:val="21"/>
        </w:rPr>
      </w:pPr>
    </w:p>
    <w:p w14:paraId="6E5861F7">
      <w:pPr>
        <w:spacing w:line="293" w:lineRule="auto"/>
        <w:rPr>
          <w:rFonts w:ascii="Arial"/>
          <w:sz w:val="21"/>
        </w:rPr>
      </w:pPr>
    </w:p>
    <w:p w14:paraId="4BCD64C3">
      <w:pPr>
        <w:spacing w:before="65" w:line="219" w:lineRule="auto"/>
        <w:ind w:left="419"/>
        <w:rPr>
          <w:rFonts w:ascii="宋体" w:hAnsi="宋体" w:eastAsia="宋体" w:cs="宋体"/>
          <w:sz w:val="20"/>
          <w:szCs w:val="20"/>
        </w:rPr>
      </w:pPr>
      <w:r>
        <w:rPr>
          <w:rFonts w:ascii="宋体" w:hAnsi="宋体" w:eastAsia="宋体" w:cs="宋体"/>
          <w:spacing w:val="16"/>
          <w:sz w:val="20"/>
          <w:szCs w:val="20"/>
        </w:rPr>
        <w:t>(6)筛检方法应为人群所接受。</w:t>
      </w:r>
    </w:p>
    <w:p w14:paraId="113BAEEE">
      <w:pPr>
        <w:spacing w:before="143" w:line="220" w:lineRule="auto"/>
        <w:ind w:left="419"/>
        <w:rPr>
          <w:rFonts w:ascii="宋体" w:hAnsi="宋体" w:eastAsia="宋体" w:cs="宋体"/>
          <w:sz w:val="20"/>
          <w:szCs w:val="20"/>
        </w:rPr>
      </w:pPr>
      <w:r>
        <w:rPr>
          <w:rFonts w:ascii="宋体" w:hAnsi="宋体" w:eastAsia="宋体" w:cs="宋体"/>
          <w:spacing w:val="16"/>
          <w:sz w:val="20"/>
          <w:szCs w:val="20"/>
        </w:rPr>
        <w:t>(7)对疾病的自然史应有足够的了解。</w:t>
      </w:r>
    </w:p>
    <w:p w14:paraId="526B7315">
      <w:pPr>
        <w:spacing w:before="131" w:line="220" w:lineRule="auto"/>
        <w:ind w:left="419"/>
        <w:rPr>
          <w:rFonts w:ascii="宋体" w:hAnsi="宋体" w:eastAsia="宋体" w:cs="宋体"/>
          <w:sz w:val="20"/>
          <w:szCs w:val="20"/>
        </w:rPr>
      </w:pPr>
      <w:r>
        <w:rPr>
          <w:rFonts w:ascii="宋体" w:hAnsi="宋体" w:eastAsia="宋体" w:cs="宋体"/>
          <w:spacing w:val="16"/>
          <w:sz w:val="20"/>
          <w:szCs w:val="20"/>
        </w:rPr>
        <w:t>(8)应有相应的策略发现病人。</w:t>
      </w:r>
    </w:p>
    <w:p w14:paraId="6A6AACAE">
      <w:pPr>
        <w:spacing w:before="129" w:line="219" w:lineRule="auto"/>
        <w:ind w:left="419"/>
        <w:rPr>
          <w:rFonts w:ascii="宋体" w:hAnsi="宋体" w:eastAsia="宋体" w:cs="宋体"/>
          <w:sz w:val="20"/>
          <w:szCs w:val="20"/>
        </w:rPr>
      </w:pPr>
      <w:r>
        <w:rPr>
          <w:rFonts w:ascii="宋体" w:hAnsi="宋体" w:eastAsia="宋体" w:cs="宋体"/>
          <w:spacing w:val="15"/>
          <w:sz w:val="20"/>
          <w:szCs w:val="20"/>
        </w:rPr>
        <w:t>(9)筛检的成本应与医疗保健的可能支出</w:t>
      </w:r>
      <w:r>
        <w:rPr>
          <w:rFonts w:ascii="宋体" w:hAnsi="宋体" w:eastAsia="宋体" w:cs="宋体"/>
          <w:spacing w:val="14"/>
          <w:sz w:val="20"/>
          <w:szCs w:val="20"/>
        </w:rPr>
        <w:t>总体上持平。</w:t>
      </w:r>
    </w:p>
    <w:p w14:paraId="43C2C3A6">
      <w:pPr>
        <w:spacing w:before="134" w:line="219" w:lineRule="auto"/>
        <w:ind w:left="419"/>
        <w:rPr>
          <w:rFonts w:ascii="宋体" w:hAnsi="宋体" w:eastAsia="宋体" w:cs="宋体"/>
          <w:sz w:val="20"/>
          <w:szCs w:val="20"/>
        </w:rPr>
      </w:pPr>
      <w:r>
        <w:rPr>
          <w:rFonts w:ascii="宋体" w:hAnsi="宋体" w:eastAsia="宋体" w:cs="宋体"/>
          <w:spacing w:val="11"/>
          <w:sz w:val="20"/>
          <w:szCs w:val="20"/>
        </w:rPr>
        <w:t>(10)筛检不是一劳永逸的体检，需要长期持续进行流程化医疗活动。</w:t>
      </w:r>
    </w:p>
    <w:p w14:paraId="1B2AFEAD">
      <w:pPr>
        <w:spacing w:before="122" w:line="338" w:lineRule="auto"/>
        <w:ind w:right="546" w:firstLine="419"/>
        <w:jc w:val="both"/>
        <w:rPr>
          <w:rFonts w:ascii="宋体" w:hAnsi="宋体" w:eastAsia="宋体" w:cs="宋体"/>
          <w:sz w:val="20"/>
          <w:szCs w:val="20"/>
        </w:rPr>
      </w:pPr>
      <w:r>
        <w:rPr>
          <w:rFonts w:ascii="宋体" w:hAnsi="宋体" w:eastAsia="宋体" w:cs="宋体"/>
          <w:spacing w:val="11"/>
          <w:sz w:val="20"/>
          <w:szCs w:val="20"/>
        </w:rPr>
        <w:t>2008年，</w:t>
      </w:r>
      <w:r>
        <w:rPr>
          <w:rFonts w:ascii="宋体" w:hAnsi="宋体" w:eastAsia="宋体" w:cs="宋体"/>
          <w:sz w:val="20"/>
          <w:szCs w:val="20"/>
        </w:rPr>
        <w:t>WHO</w:t>
      </w:r>
      <w:r>
        <w:rPr>
          <w:rFonts w:ascii="宋体" w:hAnsi="宋体" w:eastAsia="宋体" w:cs="宋体"/>
          <w:spacing w:val="11"/>
          <w:sz w:val="20"/>
          <w:szCs w:val="20"/>
        </w:rPr>
        <w:t xml:space="preserve">  总结了40年来各国筛检</w:t>
      </w:r>
      <w:r>
        <w:rPr>
          <w:rFonts w:ascii="宋体" w:hAnsi="宋体" w:eastAsia="宋体" w:cs="宋体"/>
          <w:spacing w:val="10"/>
          <w:sz w:val="20"/>
          <w:szCs w:val="20"/>
        </w:rPr>
        <w:t>工作的经验，补充强调对筛检项目应进行动态评估。筛</w:t>
      </w:r>
      <w:r>
        <w:rPr>
          <w:rFonts w:ascii="宋体" w:hAnsi="宋体" w:eastAsia="宋体" w:cs="宋体"/>
          <w:sz w:val="20"/>
          <w:szCs w:val="20"/>
        </w:rPr>
        <w:t xml:space="preserve">  </w:t>
      </w:r>
      <w:r>
        <w:rPr>
          <w:rFonts w:ascii="宋体" w:hAnsi="宋体" w:eastAsia="宋体" w:cs="宋体"/>
          <w:spacing w:val="8"/>
          <w:sz w:val="20"/>
          <w:szCs w:val="20"/>
        </w:rPr>
        <w:t>检应从项目最初即开始项目的评价，评价内容包括：目标人群是否明确；筛检-治疗程序是否有效；</w:t>
      </w:r>
      <w:r>
        <w:rPr>
          <w:rFonts w:ascii="宋体" w:hAnsi="宋体" w:eastAsia="宋体" w:cs="宋体"/>
          <w:spacing w:val="6"/>
          <w:sz w:val="20"/>
          <w:szCs w:val="20"/>
        </w:rPr>
        <w:t xml:space="preserve"> </w:t>
      </w:r>
      <w:r>
        <w:rPr>
          <w:rFonts w:ascii="宋体" w:hAnsi="宋体" w:eastAsia="宋体" w:cs="宋体"/>
          <w:spacing w:val="13"/>
          <w:sz w:val="20"/>
          <w:szCs w:val="20"/>
        </w:rPr>
        <w:t>是否有卫生经济学价值，即病例发现(包括病人的诊断和治疗)的成本应与整个医疗保健的可能支</w:t>
      </w:r>
      <w:r>
        <w:rPr>
          <w:rFonts w:ascii="宋体" w:hAnsi="宋体" w:eastAsia="宋体" w:cs="宋体"/>
          <w:spacing w:val="5"/>
          <w:sz w:val="20"/>
          <w:szCs w:val="20"/>
        </w:rPr>
        <w:t xml:space="preserve">  </w:t>
      </w:r>
      <w:r>
        <w:rPr>
          <w:rFonts w:ascii="宋体" w:hAnsi="宋体" w:eastAsia="宋体" w:cs="宋体"/>
          <w:spacing w:val="10"/>
          <w:sz w:val="20"/>
          <w:szCs w:val="20"/>
        </w:rPr>
        <w:t>出在经济上保持平衡；是否符合公平性、可及性以及伦理学原则，人群获益是否超过伤害。此外，</w:t>
      </w:r>
      <w:r>
        <w:rPr>
          <w:rFonts w:ascii="宋体" w:hAnsi="宋体" w:eastAsia="宋体" w:cs="宋体"/>
          <w:spacing w:val="9"/>
          <w:sz w:val="20"/>
          <w:szCs w:val="20"/>
        </w:rPr>
        <w:t xml:space="preserve"> 还需对筛检的质量控制、经费保障及项目风险应对机制等方</w:t>
      </w:r>
      <w:r>
        <w:rPr>
          <w:rFonts w:ascii="宋体" w:hAnsi="宋体" w:eastAsia="宋体" w:cs="宋体"/>
          <w:spacing w:val="8"/>
          <w:sz w:val="20"/>
          <w:szCs w:val="20"/>
        </w:rPr>
        <w:t>面进行评估。通过评价，筛检项目应不</w:t>
      </w:r>
      <w:r>
        <w:rPr>
          <w:rFonts w:ascii="宋体" w:hAnsi="宋体" w:eastAsia="宋体" w:cs="宋体"/>
          <w:sz w:val="20"/>
          <w:szCs w:val="20"/>
        </w:rPr>
        <w:t xml:space="preserve">  </w:t>
      </w:r>
      <w:r>
        <w:rPr>
          <w:rFonts w:ascii="宋体" w:hAnsi="宋体" w:eastAsia="宋体" w:cs="宋体"/>
          <w:spacing w:val="6"/>
          <w:sz w:val="20"/>
          <w:szCs w:val="20"/>
        </w:rPr>
        <w:t>断优化，持续提升效果</w:t>
      </w:r>
      <w:r>
        <w:rPr>
          <w:rFonts w:ascii="Times New Roman" w:hAnsi="Times New Roman" w:eastAsia="Times New Roman" w:cs="Times New Roman"/>
          <w:spacing w:val="6"/>
          <w:sz w:val="20"/>
          <w:szCs w:val="20"/>
        </w:rPr>
        <w:t>(</w:t>
      </w:r>
      <w:r>
        <w:rPr>
          <w:rFonts w:ascii="Times New Roman" w:hAnsi="Times New Roman" w:eastAsia="Times New Roman" w:cs="Times New Roman"/>
          <w:sz w:val="20"/>
          <w:szCs w:val="20"/>
        </w:rPr>
        <w:t>effectiveness</w:t>
      </w:r>
      <w:r>
        <w:rPr>
          <w:rFonts w:ascii="Times New Roman" w:hAnsi="Times New Roman" w:eastAsia="Times New Roman" w:cs="Times New Roman"/>
          <w:spacing w:val="6"/>
          <w:sz w:val="20"/>
          <w:szCs w:val="20"/>
        </w:rPr>
        <w:t xml:space="preserve">),   </w:t>
      </w:r>
      <w:r>
        <w:rPr>
          <w:rFonts w:ascii="宋体" w:hAnsi="宋体" w:eastAsia="宋体" w:cs="宋体"/>
          <w:spacing w:val="6"/>
          <w:sz w:val="20"/>
          <w:szCs w:val="20"/>
        </w:rPr>
        <w:t>最大化效益</w:t>
      </w:r>
      <w:r>
        <w:rPr>
          <w:rFonts w:ascii="Times New Roman" w:hAnsi="Times New Roman" w:eastAsia="Times New Roman" w:cs="Times New Roman"/>
          <w:spacing w:val="6"/>
          <w:sz w:val="20"/>
          <w:szCs w:val="20"/>
        </w:rPr>
        <w:t>(</w:t>
      </w:r>
      <w:r>
        <w:rPr>
          <w:rFonts w:ascii="Times New Roman" w:hAnsi="Times New Roman" w:eastAsia="Times New Roman" w:cs="Times New Roman"/>
          <w:sz w:val="20"/>
          <w:szCs w:val="20"/>
        </w:rPr>
        <w:t>benefits</w:t>
      </w:r>
      <w:r>
        <w:rPr>
          <w:rFonts w:ascii="Times New Roman" w:hAnsi="Times New Roman" w:eastAsia="Times New Roman" w:cs="Times New Roman"/>
          <w:spacing w:val="6"/>
          <w:sz w:val="20"/>
          <w:szCs w:val="20"/>
        </w:rPr>
        <w:t>)</w:t>
      </w:r>
      <w:r>
        <w:rPr>
          <w:rFonts w:ascii="Times New Roman" w:hAnsi="Times New Roman" w:eastAsia="Times New Roman" w:cs="Times New Roman"/>
          <w:spacing w:val="22"/>
          <w:w w:val="101"/>
          <w:sz w:val="20"/>
          <w:szCs w:val="20"/>
        </w:rPr>
        <w:t xml:space="preserve">  </w:t>
      </w:r>
      <w:r>
        <w:rPr>
          <w:rFonts w:ascii="宋体" w:hAnsi="宋体" w:eastAsia="宋体" w:cs="宋体"/>
          <w:spacing w:val="6"/>
          <w:sz w:val="20"/>
          <w:szCs w:val="20"/>
        </w:rPr>
        <w:t>和最小化伤害</w:t>
      </w:r>
      <w:r>
        <w:rPr>
          <w:rFonts w:ascii="Times New Roman" w:hAnsi="Times New Roman" w:eastAsia="Times New Roman" w:cs="Times New Roman"/>
          <w:spacing w:val="6"/>
          <w:sz w:val="20"/>
          <w:szCs w:val="20"/>
        </w:rPr>
        <w:t>(</w:t>
      </w:r>
      <w:r>
        <w:rPr>
          <w:rFonts w:ascii="Times New Roman" w:hAnsi="Times New Roman" w:eastAsia="Times New Roman" w:cs="Times New Roman"/>
          <w:sz w:val="20"/>
          <w:szCs w:val="20"/>
        </w:rPr>
        <w:t>harm</w:t>
      </w:r>
      <w:r>
        <w:rPr>
          <w:rFonts w:ascii="Times New Roman" w:hAnsi="Times New Roman" w:eastAsia="Times New Roman" w:cs="Times New Roman"/>
          <w:spacing w:val="6"/>
          <w:sz w:val="20"/>
          <w:szCs w:val="20"/>
        </w:rPr>
        <w:t>)</w:t>
      </w:r>
      <w:r>
        <w:rPr>
          <w:rFonts w:ascii="宋体" w:hAnsi="宋体" w:eastAsia="宋体" w:cs="宋体"/>
          <w:spacing w:val="6"/>
          <w:sz w:val="20"/>
          <w:szCs w:val="20"/>
        </w:rPr>
        <w:t>。</w:t>
      </w:r>
    </w:p>
    <w:p w14:paraId="149CFAFC">
      <w:pPr>
        <w:spacing w:line="390" w:lineRule="auto"/>
        <w:rPr>
          <w:rFonts w:ascii="Arial"/>
          <w:sz w:val="21"/>
        </w:rPr>
      </w:pPr>
    </w:p>
    <w:p w14:paraId="75B0BB06">
      <w:pPr>
        <w:pStyle w:val="2"/>
        <w:spacing w:before="98" w:line="221" w:lineRule="auto"/>
        <w:ind w:left="2904"/>
        <w:outlineLvl w:val="1"/>
      </w:pPr>
      <w:bookmarkStart w:id="202" w:name="bookmark129"/>
      <w:bookmarkEnd w:id="202"/>
      <w:r>
        <w:rPr>
          <w:b/>
          <w:bCs/>
          <w:spacing w:val="-6"/>
        </w:rPr>
        <w:t>第二节</w:t>
      </w:r>
      <w:r>
        <w:rPr>
          <w:spacing w:val="137"/>
        </w:rPr>
        <w:t xml:space="preserve"> </w:t>
      </w:r>
      <w:r>
        <w:rPr>
          <w:b/>
          <w:bCs/>
          <w:spacing w:val="-6"/>
        </w:rPr>
        <w:t>筛检试验的评价</w:t>
      </w:r>
    </w:p>
    <w:p w14:paraId="33DA4CE1">
      <w:pPr>
        <w:spacing w:line="353" w:lineRule="auto"/>
        <w:rPr>
          <w:rFonts w:ascii="Arial"/>
          <w:sz w:val="21"/>
        </w:rPr>
      </w:pPr>
    </w:p>
    <w:p w14:paraId="2367C18F">
      <w:pPr>
        <w:pStyle w:val="2"/>
        <w:spacing w:before="85" w:line="221" w:lineRule="auto"/>
        <w:ind w:left="423"/>
        <w:outlineLvl w:val="2"/>
        <w:rPr>
          <w:sz w:val="26"/>
          <w:szCs w:val="26"/>
        </w:rPr>
      </w:pPr>
      <w:bookmarkStart w:id="203" w:name="bookmark130"/>
      <w:bookmarkEnd w:id="203"/>
      <w:r>
        <w:rPr>
          <w:b/>
          <w:bCs/>
          <w:spacing w:val="-8"/>
          <w:sz w:val="26"/>
          <w:szCs w:val="26"/>
        </w:rPr>
        <w:t>一、筛检试验的定义</w:t>
      </w:r>
    </w:p>
    <w:p w14:paraId="48A8D3EA">
      <w:pPr>
        <w:spacing w:before="241" w:line="336" w:lineRule="auto"/>
        <w:ind w:right="633" w:firstLine="419"/>
        <w:jc w:val="both"/>
        <w:rPr>
          <w:rFonts w:ascii="宋体" w:hAnsi="宋体" w:eastAsia="宋体" w:cs="宋体"/>
          <w:sz w:val="20"/>
          <w:szCs w:val="20"/>
        </w:rPr>
      </w:pPr>
      <w:r>
        <w:rPr>
          <w:rFonts w:ascii="宋体" w:hAnsi="宋体" w:eastAsia="宋体" w:cs="宋体"/>
          <w:spacing w:val="11"/>
          <w:sz w:val="20"/>
          <w:szCs w:val="20"/>
        </w:rPr>
        <w:t>筛检试验</w:t>
      </w:r>
      <w:r>
        <w:rPr>
          <w:rFonts w:ascii="Times New Roman" w:hAnsi="Times New Roman" w:eastAsia="Times New Roman" w:cs="Times New Roman"/>
          <w:spacing w:val="11"/>
          <w:sz w:val="20"/>
          <w:szCs w:val="20"/>
        </w:rPr>
        <w:t>(</w:t>
      </w:r>
      <w:r>
        <w:rPr>
          <w:rFonts w:ascii="Times New Roman" w:hAnsi="Times New Roman" w:eastAsia="Times New Roman" w:cs="Times New Roman"/>
          <w:sz w:val="20"/>
          <w:szCs w:val="20"/>
        </w:rPr>
        <w:t>screening</w:t>
      </w:r>
      <w:r>
        <w:rPr>
          <w:rFonts w:ascii="Times New Roman" w:hAnsi="Times New Roman" w:eastAsia="Times New Roman" w:cs="Times New Roman"/>
          <w:spacing w:val="11"/>
          <w:sz w:val="20"/>
          <w:szCs w:val="20"/>
        </w:rPr>
        <w:t xml:space="preserve">   </w:t>
      </w:r>
      <w:r>
        <w:rPr>
          <w:rFonts w:ascii="Times New Roman" w:hAnsi="Times New Roman" w:eastAsia="Times New Roman" w:cs="Times New Roman"/>
          <w:sz w:val="20"/>
          <w:szCs w:val="20"/>
        </w:rPr>
        <w:t>test</w:t>
      </w:r>
      <w:r>
        <w:rPr>
          <w:rFonts w:ascii="Times New Roman" w:hAnsi="Times New Roman" w:eastAsia="Times New Roman" w:cs="Times New Roman"/>
          <w:spacing w:val="11"/>
          <w:sz w:val="20"/>
          <w:szCs w:val="20"/>
        </w:rPr>
        <w:t>)</w:t>
      </w:r>
      <w:r>
        <w:rPr>
          <w:rFonts w:ascii="宋体" w:hAnsi="宋体" w:eastAsia="宋体" w:cs="宋体"/>
          <w:spacing w:val="11"/>
          <w:sz w:val="20"/>
          <w:szCs w:val="20"/>
        </w:rPr>
        <w:t>是用于识别外表健康的人群中那些可能患病个体</w:t>
      </w:r>
      <w:r>
        <w:rPr>
          <w:rFonts w:ascii="宋体" w:hAnsi="宋体" w:eastAsia="宋体" w:cs="宋体"/>
          <w:spacing w:val="10"/>
          <w:sz w:val="20"/>
          <w:szCs w:val="20"/>
        </w:rPr>
        <w:t>或具有患病风险个体</w:t>
      </w:r>
      <w:r>
        <w:rPr>
          <w:rFonts w:ascii="宋体" w:hAnsi="宋体" w:eastAsia="宋体" w:cs="宋体"/>
          <w:sz w:val="20"/>
          <w:szCs w:val="20"/>
        </w:rPr>
        <w:t xml:space="preserve"> </w:t>
      </w:r>
      <w:r>
        <w:rPr>
          <w:rFonts w:ascii="宋体" w:hAnsi="宋体" w:eastAsia="宋体" w:cs="宋体"/>
          <w:spacing w:val="1"/>
          <w:sz w:val="20"/>
          <w:szCs w:val="20"/>
        </w:rPr>
        <w:t>的方法，包括量表、体格检查、内镜或影像学等检查手段</w:t>
      </w:r>
      <w:r>
        <w:rPr>
          <w:rFonts w:ascii="宋体" w:hAnsi="宋体" w:eastAsia="宋体" w:cs="宋体"/>
          <w:sz w:val="20"/>
          <w:szCs w:val="20"/>
        </w:rPr>
        <w:t>，以及细胞学或生物标志物等检测技术。</w:t>
      </w:r>
      <w:r>
        <w:rPr>
          <w:rFonts w:ascii="宋体" w:hAnsi="宋体" w:eastAsia="宋体" w:cs="宋体"/>
          <w:spacing w:val="45"/>
          <w:sz w:val="20"/>
          <w:szCs w:val="20"/>
        </w:rPr>
        <w:t xml:space="preserve"> </w:t>
      </w:r>
      <w:r>
        <w:rPr>
          <w:rFonts w:ascii="宋体" w:hAnsi="宋体" w:eastAsia="宋体" w:cs="宋体"/>
          <w:sz w:val="20"/>
          <w:szCs w:val="20"/>
        </w:rPr>
        <w:t xml:space="preserve">一 </w:t>
      </w:r>
      <w:r>
        <w:rPr>
          <w:rFonts w:ascii="宋体" w:hAnsi="宋体" w:eastAsia="宋体" w:cs="宋体"/>
          <w:spacing w:val="9"/>
          <w:sz w:val="20"/>
          <w:szCs w:val="20"/>
        </w:rPr>
        <w:t>项好的筛检试验除应具备良好的真实性、可靠性和预测值，还</w:t>
      </w:r>
      <w:r>
        <w:rPr>
          <w:rFonts w:ascii="宋体" w:hAnsi="宋体" w:eastAsia="宋体" w:cs="宋体"/>
          <w:spacing w:val="8"/>
          <w:sz w:val="20"/>
          <w:szCs w:val="20"/>
        </w:rPr>
        <w:t>应具有以下五个特征：①简单性：指</w:t>
      </w:r>
      <w:r>
        <w:rPr>
          <w:rFonts w:ascii="宋体" w:hAnsi="宋体" w:eastAsia="宋体" w:cs="宋体"/>
          <w:sz w:val="20"/>
          <w:szCs w:val="20"/>
        </w:rPr>
        <w:t xml:space="preserve"> </w:t>
      </w:r>
      <w:r>
        <w:rPr>
          <w:rFonts w:ascii="宋体" w:hAnsi="宋体" w:eastAsia="宋体" w:cs="宋体"/>
          <w:spacing w:val="9"/>
          <w:sz w:val="20"/>
          <w:szCs w:val="20"/>
        </w:rPr>
        <w:t>易学习、易操作，即便是非专业人员经过适当的培训也会操作</w:t>
      </w:r>
      <w:r>
        <w:rPr>
          <w:rFonts w:ascii="宋体" w:hAnsi="宋体" w:eastAsia="宋体" w:cs="宋体"/>
          <w:spacing w:val="8"/>
          <w:sz w:val="20"/>
          <w:szCs w:val="20"/>
        </w:rPr>
        <w:t>。②廉价性：原则上在健康收益一定</w:t>
      </w:r>
      <w:r>
        <w:rPr>
          <w:rFonts w:ascii="宋体" w:hAnsi="宋体" w:eastAsia="宋体" w:cs="宋体"/>
          <w:sz w:val="20"/>
          <w:szCs w:val="20"/>
        </w:rPr>
        <w:t xml:space="preserve"> </w:t>
      </w:r>
      <w:r>
        <w:rPr>
          <w:rFonts w:ascii="宋体" w:hAnsi="宋体" w:eastAsia="宋体" w:cs="宋体"/>
          <w:spacing w:val="9"/>
          <w:sz w:val="20"/>
          <w:szCs w:val="20"/>
        </w:rPr>
        <w:t>的情况下，筛检试验的费用越低越好。③快速性：指能</w:t>
      </w:r>
      <w:r>
        <w:rPr>
          <w:rFonts w:ascii="宋体" w:hAnsi="宋体" w:eastAsia="宋体" w:cs="宋体"/>
          <w:spacing w:val="8"/>
          <w:sz w:val="20"/>
          <w:szCs w:val="20"/>
        </w:rPr>
        <w:t>很快得到结果。④安全性：指不会给受试者</w:t>
      </w:r>
      <w:r>
        <w:rPr>
          <w:rFonts w:ascii="宋体" w:hAnsi="宋体" w:eastAsia="宋体" w:cs="宋体"/>
          <w:sz w:val="20"/>
          <w:szCs w:val="20"/>
        </w:rPr>
        <w:t xml:space="preserve"> </w:t>
      </w:r>
      <w:r>
        <w:rPr>
          <w:rFonts w:ascii="宋体" w:hAnsi="宋体" w:eastAsia="宋体" w:cs="宋体"/>
          <w:spacing w:val="13"/>
          <w:sz w:val="20"/>
          <w:szCs w:val="20"/>
        </w:rPr>
        <w:t>带来创伤。原则上初筛方法不宜采用可能造成创伤的检查手段(如组织活检、内镜等)。⑤可接受</w:t>
      </w:r>
      <w:r>
        <w:rPr>
          <w:rFonts w:ascii="宋体" w:hAnsi="宋体" w:eastAsia="宋体" w:cs="宋体"/>
          <w:spacing w:val="8"/>
          <w:sz w:val="20"/>
          <w:szCs w:val="20"/>
        </w:rPr>
        <w:t xml:space="preserve"> </w:t>
      </w:r>
      <w:r>
        <w:rPr>
          <w:rFonts w:ascii="宋体" w:hAnsi="宋体" w:eastAsia="宋体" w:cs="宋体"/>
          <w:spacing w:val="3"/>
          <w:sz w:val="20"/>
          <w:szCs w:val="20"/>
        </w:rPr>
        <w:t>性：指易于被目标人群接受。</w:t>
      </w:r>
    </w:p>
    <w:p w14:paraId="00FAFE2C">
      <w:pPr>
        <w:spacing w:before="39" w:line="332" w:lineRule="auto"/>
        <w:ind w:right="546" w:firstLine="419"/>
        <w:jc w:val="both"/>
        <w:rPr>
          <w:rFonts w:ascii="宋体" w:hAnsi="宋体" w:eastAsia="宋体" w:cs="宋体"/>
          <w:sz w:val="20"/>
          <w:szCs w:val="20"/>
        </w:rPr>
      </w:pPr>
      <w:r>
        <w:rPr>
          <w:rFonts w:ascii="宋体" w:hAnsi="宋体" w:eastAsia="宋体" w:cs="宋体"/>
          <w:spacing w:val="11"/>
          <w:sz w:val="20"/>
          <w:szCs w:val="20"/>
        </w:rPr>
        <w:t>筛检试验和诊断试验</w:t>
      </w:r>
      <w:r>
        <w:rPr>
          <w:rFonts w:ascii="Times New Roman" w:hAnsi="Times New Roman" w:eastAsia="Times New Roman" w:cs="Times New Roman"/>
          <w:spacing w:val="11"/>
          <w:sz w:val="20"/>
          <w:szCs w:val="20"/>
        </w:rPr>
        <w:t>(</w:t>
      </w:r>
      <w:r>
        <w:rPr>
          <w:rFonts w:ascii="Times New Roman" w:hAnsi="Times New Roman" w:eastAsia="Times New Roman" w:cs="Times New Roman"/>
          <w:sz w:val="20"/>
          <w:szCs w:val="20"/>
        </w:rPr>
        <w:t>diagnostic</w:t>
      </w:r>
      <w:r>
        <w:rPr>
          <w:rFonts w:ascii="Times New Roman" w:hAnsi="Times New Roman" w:eastAsia="Times New Roman" w:cs="Times New Roman"/>
          <w:spacing w:val="11"/>
          <w:sz w:val="20"/>
          <w:szCs w:val="20"/>
        </w:rPr>
        <w:t xml:space="preserve">     </w:t>
      </w:r>
      <w:r>
        <w:rPr>
          <w:rFonts w:ascii="Times New Roman" w:hAnsi="Times New Roman" w:eastAsia="Times New Roman" w:cs="Times New Roman"/>
          <w:sz w:val="20"/>
          <w:szCs w:val="20"/>
        </w:rPr>
        <w:t>test</w:t>
      </w:r>
      <w:r>
        <w:rPr>
          <w:rFonts w:ascii="Times New Roman" w:hAnsi="Times New Roman" w:eastAsia="Times New Roman" w:cs="Times New Roman"/>
          <w:spacing w:val="11"/>
          <w:sz w:val="20"/>
          <w:szCs w:val="20"/>
        </w:rPr>
        <w:t>)</w:t>
      </w:r>
      <w:r>
        <w:rPr>
          <w:rFonts w:ascii="宋体" w:hAnsi="宋体" w:eastAsia="宋体" w:cs="宋体"/>
          <w:spacing w:val="11"/>
          <w:sz w:val="20"/>
          <w:szCs w:val="20"/>
        </w:rPr>
        <w:t>的目的、对象、结果判</w:t>
      </w:r>
      <w:r>
        <w:rPr>
          <w:rFonts w:ascii="宋体" w:hAnsi="宋体" w:eastAsia="宋体" w:cs="宋体"/>
          <w:spacing w:val="10"/>
          <w:sz w:val="20"/>
          <w:szCs w:val="20"/>
        </w:rPr>
        <w:t>读及后续处理都不相同(表7-1)。</w:t>
      </w:r>
      <w:r>
        <w:rPr>
          <w:rFonts w:ascii="宋体" w:hAnsi="宋体" w:eastAsia="宋体" w:cs="宋体"/>
          <w:sz w:val="20"/>
          <w:szCs w:val="20"/>
        </w:rPr>
        <w:t xml:space="preserve"> </w:t>
      </w:r>
      <w:r>
        <w:rPr>
          <w:rFonts w:ascii="宋体" w:hAnsi="宋体" w:eastAsia="宋体" w:cs="宋体"/>
          <w:spacing w:val="10"/>
          <w:sz w:val="20"/>
          <w:szCs w:val="20"/>
        </w:rPr>
        <w:t>筛检试验阳性者后续需进一步通过诊断试验进行确诊；筛检的准确性要求不如诊断性试验那么高，</w:t>
      </w:r>
      <w:r>
        <w:rPr>
          <w:rFonts w:ascii="宋体" w:hAnsi="宋体" w:eastAsia="宋体" w:cs="宋体"/>
          <w:spacing w:val="8"/>
          <w:sz w:val="20"/>
          <w:szCs w:val="20"/>
        </w:rPr>
        <w:t xml:space="preserve"> </w:t>
      </w:r>
      <w:r>
        <w:rPr>
          <w:rFonts w:ascii="宋体" w:hAnsi="宋体" w:eastAsia="宋体" w:cs="宋体"/>
          <w:spacing w:val="10"/>
          <w:sz w:val="20"/>
          <w:szCs w:val="20"/>
        </w:rPr>
        <w:t>允许存在一定比例的错判(假阳性或假阴性)。</w:t>
      </w:r>
    </w:p>
    <w:p w14:paraId="6961323E">
      <w:pPr>
        <w:spacing w:before="183" w:line="219" w:lineRule="auto"/>
        <w:ind w:left="3452"/>
        <w:rPr>
          <w:rFonts w:ascii="宋体" w:hAnsi="宋体" w:eastAsia="宋体" w:cs="宋体"/>
          <w:sz w:val="20"/>
          <w:szCs w:val="20"/>
        </w:rPr>
      </w:pPr>
      <w:r>
        <w:rPr>
          <w:rFonts w:ascii="宋体" w:hAnsi="宋体" w:eastAsia="宋体" w:cs="宋体"/>
          <w:b/>
          <w:bCs/>
          <w:spacing w:val="-3"/>
          <w:sz w:val="20"/>
          <w:szCs w:val="20"/>
        </w:rPr>
        <w:t>表7-1筛检试验与诊断试验的区别</w:t>
      </w:r>
    </w:p>
    <w:p w14:paraId="7B896E91">
      <w:pPr>
        <w:spacing w:line="128" w:lineRule="auto"/>
        <w:rPr>
          <w:rFonts w:ascii="Arial"/>
          <w:sz w:val="2"/>
        </w:rPr>
      </w:pPr>
    </w:p>
    <w:tbl>
      <w:tblPr>
        <w:tblStyle w:val="5"/>
        <w:tblW w:w="8945" w:type="dxa"/>
        <w:tblInd w:w="79"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0" w:type="dxa"/>
          <w:left w:w="0" w:type="dxa"/>
          <w:bottom w:w="0" w:type="dxa"/>
          <w:right w:w="0" w:type="dxa"/>
        </w:tblCellMar>
      </w:tblPr>
      <w:tblGrid>
        <w:gridCol w:w="700"/>
        <w:gridCol w:w="3701"/>
        <w:gridCol w:w="4544"/>
      </w:tblGrid>
      <w:tr w14:paraId="072DF974">
        <w:trPr>
          <w:trHeight w:val="373" w:hRule="atLeast"/>
        </w:trPr>
        <w:tc>
          <w:tcPr>
            <w:tcW w:w="8945" w:type="dxa"/>
            <w:gridSpan w:val="3"/>
            <w:tcBorders>
              <w:top w:val="single" w:color="000000" w:sz="4" w:space="0"/>
              <w:bottom w:val="single" w:color="000000" w:sz="4" w:space="0"/>
            </w:tcBorders>
            <w:vAlign w:val="top"/>
          </w:tcPr>
          <w:p w14:paraId="292068CE">
            <w:pPr>
              <w:pStyle w:val="6"/>
              <w:spacing w:before="93" w:line="219" w:lineRule="auto"/>
              <w:ind w:left="719"/>
            </w:pPr>
            <w:r>
              <w:drawing>
                <wp:anchor distT="0" distB="0" distL="0" distR="0" simplePos="0" relativeHeight="251767808" behindDoc="1" locked="0" layoutInCell="1" allowOverlap="1">
                  <wp:simplePos x="0" y="0"/>
                  <wp:positionH relativeFrom="column">
                    <wp:posOffset>0</wp:posOffset>
                  </wp:positionH>
                  <wp:positionV relativeFrom="paragraph">
                    <wp:posOffset>-2540</wp:posOffset>
                  </wp:positionV>
                  <wp:extent cx="5676900" cy="241300"/>
                  <wp:effectExtent l="0" t="0" r="0" b="0"/>
                  <wp:wrapNone/>
                  <wp:docPr id="398" name="IM 398"/>
                  <wp:cNvGraphicFramePr/>
                  <a:graphic xmlns:a="http://schemas.openxmlformats.org/drawingml/2006/main">
                    <a:graphicData uri="http://schemas.openxmlformats.org/drawingml/2006/picture">
                      <pic:pic xmlns:pic="http://schemas.openxmlformats.org/drawingml/2006/picture">
                        <pic:nvPicPr>
                          <pic:cNvPr id="398" name="IM 398"/>
                          <pic:cNvPicPr/>
                        </pic:nvPicPr>
                        <pic:blipFill>
                          <a:blip r:embed="rId569"/>
                          <a:stretch>
                            <a:fillRect/>
                          </a:stretch>
                        </pic:blipFill>
                        <pic:spPr>
                          <a:xfrm>
                            <a:off x="0" y="0"/>
                            <a:ext cx="5676897" cy="241277"/>
                          </a:xfrm>
                          <a:prstGeom prst="rect">
                            <a:avLst/>
                          </a:prstGeom>
                        </pic:spPr>
                      </pic:pic>
                    </a:graphicData>
                  </a:graphic>
                </wp:anchor>
              </w:drawing>
            </w:r>
            <w:r>
              <w:t xml:space="preserve">筛检试验                              </w:t>
            </w:r>
            <w:r>
              <w:rPr>
                <w:spacing w:val="-1"/>
              </w:rPr>
              <w:t xml:space="preserve">    诊断试验</w:t>
            </w:r>
          </w:p>
        </w:tc>
      </w:tr>
      <w:tr w14:paraId="6E517F98">
        <w:trPr>
          <w:trHeight w:val="388" w:hRule="atLeast"/>
        </w:trPr>
        <w:tc>
          <w:tcPr>
            <w:tcW w:w="700" w:type="dxa"/>
            <w:tcBorders>
              <w:top w:val="single" w:color="000000" w:sz="4" w:space="0"/>
              <w:bottom w:val="single" w:color="000000" w:sz="4" w:space="0"/>
            </w:tcBorders>
            <w:vAlign w:val="top"/>
          </w:tcPr>
          <w:p w14:paraId="5191F4E9">
            <w:pPr>
              <w:pStyle w:val="6"/>
              <w:spacing w:before="103" w:line="222" w:lineRule="auto"/>
              <w:ind w:left="190"/>
            </w:pPr>
            <w:r>
              <w:rPr>
                <w:spacing w:val="-6"/>
              </w:rPr>
              <w:t>目的</w:t>
            </w:r>
          </w:p>
        </w:tc>
        <w:tc>
          <w:tcPr>
            <w:tcW w:w="3701" w:type="dxa"/>
            <w:tcBorders>
              <w:top w:val="single" w:color="000000" w:sz="4" w:space="0"/>
              <w:bottom w:val="single" w:color="000000" w:sz="4" w:space="0"/>
            </w:tcBorders>
            <w:vAlign w:val="top"/>
          </w:tcPr>
          <w:p w14:paraId="592E8A0E">
            <w:pPr>
              <w:pStyle w:val="6"/>
              <w:spacing w:before="100" w:line="219" w:lineRule="auto"/>
              <w:ind w:left="142"/>
            </w:pPr>
            <w:r>
              <w:rPr>
                <w:spacing w:val="-2"/>
              </w:rPr>
              <w:t>区分可能患病的个体与可能未患病者</w:t>
            </w:r>
          </w:p>
        </w:tc>
        <w:tc>
          <w:tcPr>
            <w:tcW w:w="4544" w:type="dxa"/>
            <w:tcBorders>
              <w:top w:val="single" w:color="000000" w:sz="4" w:space="0"/>
              <w:bottom w:val="single" w:color="000000" w:sz="4" w:space="0"/>
            </w:tcBorders>
            <w:vAlign w:val="top"/>
          </w:tcPr>
          <w:p w14:paraId="357902B8">
            <w:pPr>
              <w:pStyle w:val="6"/>
              <w:spacing w:before="100" w:line="219" w:lineRule="auto"/>
              <w:ind w:left="519"/>
            </w:pPr>
            <w:r>
              <w:t>明确判断病人与未患病的人</w:t>
            </w:r>
          </w:p>
        </w:tc>
      </w:tr>
      <w:tr w14:paraId="17F03C08">
        <w:trPr>
          <w:trHeight w:val="369" w:hRule="atLeast"/>
        </w:trPr>
        <w:tc>
          <w:tcPr>
            <w:tcW w:w="700" w:type="dxa"/>
            <w:tcBorders>
              <w:top w:val="single" w:color="000000" w:sz="4" w:space="0"/>
              <w:bottom w:val="single" w:color="000000" w:sz="4" w:space="0"/>
            </w:tcBorders>
            <w:shd w:val="clear" w:color="auto" w:fill="E2E3E8"/>
            <w:vAlign w:val="top"/>
          </w:tcPr>
          <w:p w14:paraId="3E3823FB">
            <w:pPr>
              <w:pStyle w:val="6"/>
              <w:spacing w:before="92" w:line="219" w:lineRule="auto"/>
              <w:ind w:left="190"/>
            </w:pPr>
            <w:r>
              <w:rPr>
                <w:spacing w:val="-2"/>
              </w:rPr>
              <w:t>对象</w:t>
            </w:r>
          </w:p>
        </w:tc>
        <w:tc>
          <w:tcPr>
            <w:tcW w:w="3701" w:type="dxa"/>
            <w:tcBorders>
              <w:top w:val="single" w:color="000000" w:sz="4" w:space="0"/>
              <w:bottom w:val="single" w:color="000000" w:sz="4" w:space="0"/>
            </w:tcBorders>
            <w:vAlign w:val="top"/>
          </w:tcPr>
          <w:p w14:paraId="6DD6D2D2">
            <w:pPr>
              <w:pStyle w:val="6"/>
              <w:spacing w:before="92" w:line="219" w:lineRule="auto"/>
              <w:ind w:left="127"/>
            </w:pPr>
            <w:r>
              <mc:AlternateContent>
                <mc:Choice Requires="wps">
                  <w:drawing>
                    <wp:anchor distT="0" distB="0" distL="0" distR="0" simplePos="0" relativeHeight="251768832" behindDoc="1" locked="0" layoutInCell="1" allowOverlap="1">
                      <wp:simplePos x="0" y="0"/>
                      <wp:positionH relativeFrom="column">
                        <wp:posOffset>0</wp:posOffset>
                      </wp:positionH>
                      <wp:positionV relativeFrom="paragraph">
                        <wp:posOffset>-3175</wp:posOffset>
                      </wp:positionV>
                      <wp:extent cx="2623185" cy="241300"/>
                      <wp:effectExtent l="0" t="0" r="0" b="0"/>
                      <wp:wrapNone/>
                      <wp:docPr id="400" name="Rect 400"/>
                      <wp:cNvGraphicFramePr/>
                      <a:graphic xmlns:a="http://schemas.openxmlformats.org/drawingml/2006/main">
                        <a:graphicData uri="http://schemas.microsoft.com/office/word/2010/wordprocessingShape">
                          <wps:wsp>
                            <wps:cNvSpPr/>
                            <wps:spPr>
                              <a:xfrm>
                                <a:off x="-25" y="-3615"/>
                                <a:ext cx="2623185" cy="241300"/>
                              </a:xfrm>
                              <a:prstGeom prst="rect">
                                <a:avLst/>
                              </a:prstGeom>
                              <a:solidFill>
                                <a:srgbClr val="D8D9D8"/>
                              </a:solidFill>
                              <a:ln w="0">
                                <a:noFill/>
                              </a:ln>
                            </wps:spPr>
                            <wps:style>
                              <a:lnRef idx="0">
                                <a:schemeClr val="accent1"/>
                              </a:lnRef>
                              <a:fillRef idx="0">
                                <a:schemeClr val="accent1"/>
                              </a:fillRef>
                              <a:effectRef idx="0">
                                <a:schemeClr val="accent1"/>
                              </a:effectRef>
                              <a:fontRef idx="minor">
                                <a:schemeClr val="dk1"/>
                              </a:fontRef>
                            </wps:style>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rect id="Rect 400" o:spid="_x0000_s1026" o:spt="1" style="position:absolute;left:0pt;margin-left:0pt;margin-top:-0.25pt;height:19pt;width:206.55pt;z-index:-251547648;mso-width-relative:page;mso-height-relative:page;" fillcolor="#D8D9D8" filled="t" stroked="f" coordsize="21600,21600" o:gfxdata="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">
                      <v:fill on="t" focussize="0,0"/>
                      <v:stroke on="f" weight="0pt"/>
                      <v:imagedata o:title=""/>
                      <o:lock v:ext="edit" aspectratio="f"/>
                      <v:textbox inset="0mm,0mm,0mm,0mm"/>
                    </v:rect>
                  </w:pict>
                </mc:Fallback>
              </mc:AlternateContent>
            </w:r>
            <w:r>
              <w:rPr>
                <w:spacing w:val="-1"/>
              </w:rPr>
              <w:t>健康的人或无明显临床症状的病人</w:t>
            </w:r>
          </w:p>
        </w:tc>
        <w:tc>
          <w:tcPr>
            <w:tcW w:w="4544" w:type="dxa"/>
            <w:tcBorders>
              <w:top w:val="single" w:color="000000" w:sz="4" w:space="0"/>
              <w:bottom w:val="single" w:color="000000" w:sz="4" w:space="0"/>
            </w:tcBorders>
            <w:shd w:val="clear" w:color="auto" w:fill="D8D8D6"/>
            <w:vAlign w:val="top"/>
          </w:tcPr>
          <w:p w14:paraId="0A4F44C6">
            <w:pPr>
              <w:pStyle w:val="6"/>
              <w:spacing w:before="92" w:line="219" w:lineRule="auto"/>
              <w:ind w:left="519"/>
            </w:pPr>
            <w:r>
              <w:rPr>
                <w:spacing w:val="-1"/>
              </w:rPr>
              <w:t>病人或筛检阳性者</w:t>
            </w:r>
          </w:p>
        </w:tc>
      </w:tr>
      <w:tr w14:paraId="5CFDE4A3">
        <w:trPr>
          <w:trHeight w:val="648" w:hRule="atLeast"/>
        </w:trPr>
        <w:tc>
          <w:tcPr>
            <w:tcW w:w="700" w:type="dxa"/>
            <w:tcBorders>
              <w:top w:val="single" w:color="000000" w:sz="4" w:space="0"/>
              <w:bottom w:val="single" w:color="000000" w:sz="4" w:space="0"/>
            </w:tcBorders>
            <w:vAlign w:val="top"/>
          </w:tcPr>
          <w:p w14:paraId="074F3630">
            <w:pPr>
              <w:pStyle w:val="6"/>
              <w:spacing w:before="234" w:line="221" w:lineRule="auto"/>
              <w:ind w:left="190"/>
            </w:pPr>
            <w:r>
              <w:rPr>
                <w:spacing w:val="-3"/>
              </w:rPr>
              <w:t>要求</w:t>
            </w:r>
          </w:p>
        </w:tc>
        <w:tc>
          <w:tcPr>
            <w:tcW w:w="3701" w:type="dxa"/>
            <w:tcBorders>
              <w:top w:val="single" w:color="000000" w:sz="4" w:space="0"/>
              <w:bottom w:val="single" w:color="000000" w:sz="4" w:space="0"/>
            </w:tcBorders>
            <w:vAlign w:val="top"/>
          </w:tcPr>
          <w:p w14:paraId="3AC8075F">
            <w:pPr>
              <w:pStyle w:val="6"/>
              <w:spacing w:before="91" w:line="252" w:lineRule="auto"/>
              <w:ind w:left="129" w:hanging="9"/>
            </w:pPr>
            <w:r>
              <w:rPr>
                <w:spacing w:val="-21"/>
              </w:rPr>
              <w:t>快速、简便，无创、易于接受，有高灵敏度，</w:t>
            </w:r>
            <w:r>
              <w:t xml:space="preserve"> </w:t>
            </w:r>
            <w:r>
              <w:rPr>
                <w:spacing w:val="-1"/>
              </w:rPr>
              <w:t>能发现所有可能的病人</w:t>
            </w:r>
          </w:p>
        </w:tc>
        <w:tc>
          <w:tcPr>
            <w:tcW w:w="4544" w:type="dxa"/>
            <w:tcBorders>
              <w:top w:val="single" w:color="000000" w:sz="4" w:space="0"/>
              <w:bottom w:val="single" w:color="000000" w:sz="4" w:space="0"/>
            </w:tcBorders>
            <w:vAlign w:val="top"/>
          </w:tcPr>
          <w:p w14:paraId="277D0393">
            <w:pPr>
              <w:pStyle w:val="6"/>
              <w:spacing w:before="91" w:line="252" w:lineRule="auto"/>
              <w:ind w:left="508" w:hanging="439"/>
            </w:pPr>
            <w:r>
              <w:rPr>
                <w:spacing w:val="-10"/>
              </w:rPr>
              <w:t>尽可 复杂，灵敏度和特异度高，结果具有更高的准确</w:t>
            </w:r>
            <w:r>
              <w:rPr>
                <w:spacing w:val="13"/>
              </w:rPr>
              <w:t xml:space="preserve"> </w:t>
            </w:r>
            <w:r>
              <w:rPr>
                <w:spacing w:val="5"/>
              </w:rPr>
              <w:t>性和权威性</w:t>
            </w:r>
          </w:p>
        </w:tc>
      </w:tr>
      <w:tr w14:paraId="7920721C">
        <w:trPr>
          <w:trHeight w:val="379" w:hRule="atLeast"/>
        </w:trPr>
        <w:tc>
          <w:tcPr>
            <w:tcW w:w="700" w:type="dxa"/>
            <w:tcBorders>
              <w:top w:val="single" w:color="000000" w:sz="4" w:space="0"/>
              <w:bottom w:val="single" w:color="000000" w:sz="4" w:space="0"/>
            </w:tcBorders>
            <w:shd w:val="clear" w:color="auto" w:fill="DBDBE2"/>
            <w:vAlign w:val="top"/>
          </w:tcPr>
          <w:p w14:paraId="451178C2">
            <w:pPr>
              <w:pStyle w:val="6"/>
              <w:spacing w:before="95" w:line="220" w:lineRule="auto"/>
              <w:ind w:left="190"/>
            </w:pPr>
            <w:r>
              <w:rPr>
                <w:spacing w:val="-4"/>
              </w:rPr>
              <w:t>结果</w:t>
            </w:r>
          </w:p>
        </w:tc>
        <w:tc>
          <w:tcPr>
            <w:tcW w:w="3701" w:type="dxa"/>
            <w:tcBorders>
              <w:top w:val="single" w:color="000000" w:sz="4" w:space="0"/>
              <w:bottom w:val="single" w:color="000000" w:sz="4" w:space="0"/>
            </w:tcBorders>
            <w:vAlign w:val="top"/>
          </w:tcPr>
          <w:p w14:paraId="73538D54">
            <w:pPr>
              <w:pStyle w:val="6"/>
              <w:spacing w:before="95" w:line="220" w:lineRule="auto"/>
              <w:ind w:left="145"/>
            </w:pPr>
            <w:r>
              <mc:AlternateContent>
                <mc:Choice Requires="wps">
                  <w:drawing>
                    <wp:anchor distT="0" distB="0" distL="0" distR="0" simplePos="0" relativeHeight="251766784" behindDoc="1" locked="0" layoutInCell="1" allowOverlap="1">
                      <wp:simplePos x="0" y="0"/>
                      <wp:positionH relativeFrom="column">
                        <wp:posOffset>0</wp:posOffset>
                      </wp:positionH>
                      <wp:positionV relativeFrom="paragraph">
                        <wp:posOffset>-1905</wp:posOffset>
                      </wp:positionV>
                      <wp:extent cx="2623185" cy="248285"/>
                      <wp:effectExtent l="0" t="0" r="0" b="0"/>
                      <wp:wrapNone/>
                      <wp:docPr id="402" name="Rect 402"/>
                      <wp:cNvGraphicFramePr/>
                      <a:graphic xmlns:a="http://schemas.openxmlformats.org/drawingml/2006/main">
                        <a:graphicData uri="http://schemas.microsoft.com/office/word/2010/wordprocessingShape">
                          <wps:wsp>
                            <wps:cNvSpPr/>
                            <wps:spPr>
                              <a:xfrm>
                                <a:off x="-25" y="-1914"/>
                                <a:ext cx="2623185" cy="248284"/>
                              </a:xfrm>
                              <a:prstGeom prst="rect">
                                <a:avLst/>
                              </a:prstGeom>
                              <a:solidFill>
                                <a:srgbClr val="D7D7D9"/>
                              </a:solidFill>
                              <a:ln w="0">
                                <a:noFill/>
                              </a:ln>
                            </wps:spPr>
                            <wps:style>
                              <a:lnRef idx="0">
                                <a:schemeClr val="accent1"/>
                              </a:lnRef>
                              <a:fillRef idx="0">
                                <a:schemeClr val="accent1"/>
                              </a:fillRef>
                              <a:effectRef idx="0">
                                <a:schemeClr val="accent1"/>
                              </a:effectRef>
                              <a:fontRef idx="minor">
                                <a:schemeClr val="dk1"/>
                              </a:fontRef>
                            </wps:style>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rect id="Rect 402" o:spid="_x0000_s1026" o:spt="1" style="position:absolute;left:0pt;margin-left:0pt;margin-top:-0.15pt;height:19.55pt;width:206.55pt;z-index:-251549696;mso-width-relative:page;mso-height-relative:page;" fillcolor="#D7D7D9" filled="t" stroked="f" coordsize="21600,21600" o:gfxdata="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dG94ldMAAAAFAQAADwAAAAAAAAABACAAAAAiAAAAZHJzL2Rvd25yZXYueG1sUEsBAhQA&#10;FAAAAAgAh07iQNOmQ4owAgAAbAQAAA4AAAAAAAAAAQAgAAAAIgEAAGRycy9lMm9Eb2MueG1sUEsF&#10;BgAAAAAGAAYAWQEAAMQFAAAAAA==&#10;">
                      <v:fill on="t" focussize="0,0"/>
                      <v:stroke on="f" weight="0pt"/>
                      <v:imagedata o:title=""/>
                      <o:lock v:ext="edit" aspectratio="f"/>
                      <v:textbox inset="0mm,0mm,0mm,0mm"/>
                    </v:rect>
                  </w:pict>
                </mc:Fallback>
              </mc:AlternateContent>
            </w:r>
            <w:r>
              <w:rPr>
                <w:spacing w:val="1"/>
              </w:rPr>
              <w:t>阳性(疑似病人)/阴性(可能无病)</w:t>
            </w:r>
          </w:p>
        </w:tc>
        <w:tc>
          <w:tcPr>
            <w:tcW w:w="4544" w:type="dxa"/>
            <w:tcBorders>
              <w:top w:val="single" w:color="000000" w:sz="4" w:space="0"/>
              <w:bottom w:val="single" w:color="000000" w:sz="4" w:space="0"/>
            </w:tcBorders>
            <w:shd w:val="clear" w:color="auto" w:fill="D3D4D4"/>
            <w:vAlign w:val="top"/>
          </w:tcPr>
          <w:p w14:paraId="2ADADA47">
            <w:pPr>
              <w:pStyle w:val="6"/>
              <w:spacing w:before="95" w:line="220" w:lineRule="auto"/>
              <w:ind w:left="519"/>
            </w:pPr>
            <w:r>
              <w:rPr>
                <w:spacing w:val="-1"/>
              </w:rPr>
              <w:t>病人/非病人</w:t>
            </w:r>
          </w:p>
        </w:tc>
      </w:tr>
      <w:tr w14:paraId="015FE3BA">
        <w:trPr>
          <w:trHeight w:val="378" w:hRule="atLeast"/>
        </w:trPr>
        <w:tc>
          <w:tcPr>
            <w:tcW w:w="700" w:type="dxa"/>
            <w:tcBorders>
              <w:top w:val="single" w:color="000000" w:sz="4" w:space="0"/>
              <w:bottom w:val="single" w:color="000000" w:sz="4" w:space="0"/>
            </w:tcBorders>
            <w:vAlign w:val="top"/>
          </w:tcPr>
          <w:p w14:paraId="4836E174">
            <w:pPr>
              <w:pStyle w:val="6"/>
              <w:spacing w:before="96" w:line="220" w:lineRule="auto"/>
              <w:ind w:left="190"/>
            </w:pPr>
            <w:r>
              <w:rPr>
                <w:spacing w:val="-5"/>
              </w:rPr>
              <w:t>费用</w:t>
            </w:r>
          </w:p>
        </w:tc>
        <w:tc>
          <w:tcPr>
            <w:tcW w:w="3701" w:type="dxa"/>
            <w:tcBorders>
              <w:top w:val="single" w:color="000000" w:sz="4" w:space="0"/>
              <w:bottom w:val="single" w:color="000000" w:sz="4" w:space="0"/>
            </w:tcBorders>
            <w:vAlign w:val="top"/>
          </w:tcPr>
          <w:p w14:paraId="59BAD8FE">
            <w:pPr>
              <w:pStyle w:val="6"/>
              <w:spacing w:before="94" w:line="218" w:lineRule="auto"/>
              <w:ind w:left="129"/>
            </w:pPr>
            <w:r>
              <w:rPr>
                <w:spacing w:val="-2"/>
              </w:rPr>
              <w:t>经济、廉价</w:t>
            </w:r>
          </w:p>
        </w:tc>
        <w:tc>
          <w:tcPr>
            <w:tcW w:w="4544" w:type="dxa"/>
            <w:tcBorders>
              <w:top w:val="single" w:color="000000" w:sz="4" w:space="0"/>
              <w:bottom w:val="single" w:color="000000" w:sz="4" w:space="0"/>
            </w:tcBorders>
            <w:vAlign w:val="top"/>
          </w:tcPr>
          <w:p w14:paraId="46708BF5">
            <w:pPr>
              <w:pStyle w:val="6"/>
              <w:spacing w:before="96" w:line="219" w:lineRule="auto"/>
              <w:ind w:left="519"/>
            </w:pPr>
            <w:r>
              <w:rPr>
                <w:spacing w:val="-2"/>
              </w:rPr>
              <w:t>一般花费较高</w:t>
            </w:r>
          </w:p>
        </w:tc>
      </w:tr>
      <w:tr w14:paraId="14BF1E96">
        <w:trPr>
          <w:trHeight w:val="384" w:hRule="atLeast"/>
        </w:trPr>
        <w:tc>
          <w:tcPr>
            <w:tcW w:w="700" w:type="dxa"/>
            <w:tcBorders>
              <w:top w:val="single" w:color="000000" w:sz="4" w:space="0"/>
              <w:bottom w:val="single" w:color="000000" w:sz="4" w:space="0"/>
            </w:tcBorders>
            <w:shd w:val="clear" w:color="auto" w:fill="DDE0E5"/>
            <w:vAlign w:val="top"/>
          </w:tcPr>
          <w:p w14:paraId="27EA158C">
            <w:pPr>
              <w:pStyle w:val="6"/>
              <w:spacing w:before="102" w:line="224" w:lineRule="auto"/>
              <w:ind w:left="190"/>
            </w:pPr>
            <w:r>
              <w:rPr>
                <w:spacing w:val="-3"/>
              </w:rPr>
              <w:t>处理</w:t>
            </w:r>
          </w:p>
        </w:tc>
        <w:tc>
          <w:tcPr>
            <w:tcW w:w="3701" w:type="dxa"/>
            <w:tcBorders>
              <w:top w:val="single" w:color="000000" w:sz="4" w:space="0"/>
              <w:bottom w:val="single" w:color="000000" w:sz="4" w:space="0"/>
            </w:tcBorders>
            <w:vAlign w:val="top"/>
          </w:tcPr>
          <w:p w14:paraId="6A1CB024">
            <w:pPr>
              <w:pStyle w:val="6"/>
              <w:spacing w:before="98" w:line="219" w:lineRule="auto"/>
              <w:ind w:left="142"/>
            </w:pPr>
            <w:r>
              <mc:AlternateContent>
                <mc:Choice Requires="wps">
                  <w:drawing>
                    <wp:anchor distT="0" distB="0" distL="0" distR="0" simplePos="0" relativeHeight="251769856" behindDoc="1" locked="0" layoutInCell="1" allowOverlap="1">
                      <wp:simplePos x="0" y="0"/>
                      <wp:positionH relativeFrom="column">
                        <wp:posOffset>0</wp:posOffset>
                      </wp:positionH>
                      <wp:positionV relativeFrom="paragraph">
                        <wp:posOffset>0</wp:posOffset>
                      </wp:positionV>
                      <wp:extent cx="2623185" cy="248285"/>
                      <wp:effectExtent l="0" t="0" r="0" b="0"/>
                      <wp:wrapNone/>
                      <wp:docPr id="404" name="Rect 404"/>
                      <wp:cNvGraphicFramePr/>
                      <a:graphic xmlns:a="http://schemas.openxmlformats.org/drawingml/2006/main">
                        <a:graphicData uri="http://schemas.microsoft.com/office/word/2010/wordprocessingShape">
                          <wps:wsp>
                            <wps:cNvSpPr/>
                            <wps:spPr>
                              <a:xfrm>
                                <a:off x="-25" y="146"/>
                                <a:ext cx="2623185" cy="248284"/>
                              </a:xfrm>
                              <a:prstGeom prst="rect">
                                <a:avLst/>
                              </a:prstGeom>
                              <a:solidFill>
                                <a:srgbClr val="CBCCCC"/>
                              </a:solidFill>
                              <a:ln w="0">
                                <a:noFill/>
                              </a:ln>
                            </wps:spPr>
                            <wps:style>
                              <a:lnRef idx="0">
                                <a:schemeClr val="accent1"/>
                              </a:lnRef>
                              <a:fillRef idx="0">
                                <a:schemeClr val="accent1"/>
                              </a:fillRef>
                              <a:effectRef idx="0">
                                <a:schemeClr val="accent1"/>
                              </a:effectRef>
                              <a:fontRef idx="minor">
                                <a:schemeClr val="dk1"/>
                              </a:fontRef>
                            </wps:style>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rect id="Rect 404" o:spid="_x0000_s1026" o:spt="1" style="position:absolute;left:0pt;margin-left:0pt;margin-top:0pt;height:19.55pt;width:206.55pt;z-index:-251546624;mso-width-relative:page;mso-height-relative:page;" fillcolor="#CBCCCC" filled="t" stroked="f" coordsize="21600,21600" o:gfxdata="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ApU1Hs1AAAAAQBAAAPAAAAAAAAAAEAIAAAACIAAABkcnMvZG93bnJldi54bWxQSwECFAAU&#10;AAAACACHTuJACm0fsy4CAABqBAAADgAAAAAAAAABACAAAAAjAQAAZHJzL2Uyb0RvYy54bWxQSwUG&#10;AAAAAAYABgBZAQAAwwUAAAAA&#10;">
                      <v:fill on="t" focussize="0,0"/>
                      <v:stroke on="f" weight="0pt"/>
                      <v:imagedata o:title=""/>
                      <o:lock v:ext="edit" aspectratio="f"/>
                      <v:textbox inset="0mm,0mm,0mm,0mm"/>
                    </v:rect>
                  </w:pict>
                </mc:Fallback>
              </mc:AlternateContent>
            </w:r>
            <w:r>
              <w:rPr>
                <w:spacing w:val="-2"/>
              </w:rPr>
              <w:t>阳性者须进一步通过诊断试验进行确诊</w:t>
            </w:r>
          </w:p>
        </w:tc>
        <w:tc>
          <w:tcPr>
            <w:tcW w:w="4544" w:type="dxa"/>
            <w:tcBorders>
              <w:top w:val="single" w:color="000000" w:sz="4" w:space="0"/>
              <w:bottom w:val="single" w:color="000000" w:sz="4" w:space="0"/>
            </w:tcBorders>
            <w:shd w:val="clear" w:color="auto" w:fill="D0D0D0"/>
            <w:vAlign w:val="top"/>
          </w:tcPr>
          <w:p w14:paraId="6975AA08">
            <w:pPr>
              <w:pStyle w:val="6"/>
              <w:spacing w:before="98" w:line="220" w:lineRule="auto"/>
              <w:ind w:left="519"/>
            </w:pPr>
            <w:r>
              <w:t>阳性者要进行及时治疗</w:t>
            </w:r>
          </w:p>
        </w:tc>
      </w:tr>
    </w:tbl>
    <w:p w14:paraId="427CF679">
      <w:pPr>
        <w:spacing w:line="333" w:lineRule="auto"/>
        <w:rPr>
          <w:rFonts w:ascii="Arial"/>
          <w:sz w:val="21"/>
        </w:rPr>
      </w:pPr>
    </w:p>
    <w:p w14:paraId="01611DF8">
      <w:pPr>
        <w:pStyle w:val="2"/>
        <w:spacing w:before="84" w:line="221" w:lineRule="auto"/>
        <w:ind w:left="423"/>
        <w:outlineLvl w:val="2"/>
        <w:rPr>
          <w:sz w:val="26"/>
          <w:szCs w:val="26"/>
        </w:rPr>
      </w:pPr>
      <w:bookmarkStart w:id="204" w:name="bookmark131"/>
      <w:bookmarkEnd w:id="204"/>
      <w:r>
        <w:rPr>
          <w:b/>
          <w:bCs/>
          <w:spacing w:val="-16"/>
          <w:sz w:val="26"/>
          <w:szCs w:val="26"/>
        </w:rPr>
        <w:t>二</w:t>
      </w:r>
      <w:r>
        <w:rPr>
          <w:spacing w:val="-63"/>
          <w:sz w:val="26"/>
          <w:szCs w:val="26"/>
        </w:rPr>
        <w:t xml:space="preserve"> </w:t>
      </w:r>
      <w:r>
        <w:rPr>
          <w:b/>
          <w:bCs/>
          <w:spacing w:val="-16"/>
          <w:sz w:val="26"/>
          <w:szCs w:val="26"/>
        </w:rPr>
        <w:t>、筛检试验的评价</w:t>
      </w:r>
    </w:p>
    <w:p w14:paraId="1A6B5E22">
      <w:pPr>
        <w:spacing w:before="261" w:line="218" w:lineRule="auto"/>
        <w:ind w:left="419"/>
        <w:rPr>
          <w:rFonts w:ascii="宋体" w:hAnsi="宋体" w:eastAsia="宋体" w:cs="宋体"/>
          <w:sz w:val="20"/>
          <w:szCs w:val="20"/>
        </w:rPr>
      </w:pPr>
      <w:r>
        <w:rPr>
          <w:rFonts w:ascii="宋体" w:hAnsi="宋体" w:eastAsia="宋体" w:cs="宋体"/>
          <w:spacing w:val="4"/>
          <w:sz w:val="20"/>
          <w:szCs w:val="20"/>
        </w:rPr>
        <w:t>筛检试验方法是否有效是开展筛检项目的基础，评价内容包含：真实性、可靠性和预测值。</w:t>
      </w:r>
    </w:p>
    <w:p w14:paraId="56DC8DD2">
      <w:pPr>
        <w:spacing w:line="218" w:lineRule="auto"/>
        <w:rPr>
          <w:rFonts w:ascii="宋体" w:hAnsi="宋体" w:eastAsia="宋体" w:cs="宋体"/>
          <w:sz w:val="20"/>
          <w:szCs w:val="20"/>
        </w:rPr>
        <w:sectPr>
          <w:footerReference r:id="rId142" w:type="default"/>
          <w:pgSz w:w="11900" w:h="16820"/>
          <w:pgMar w:top="400" w:right="873" w:bottom="929" w:left="1420" w:header="0" w:footer="749" w:gutter="0"/>
          <w:cols w:space="720" w:num="1"/>
        </w:sectPr>
      </w:pPr>
    </w:p>
    <w:p w14:paraId="7B5200C9">
      <w:pPr>
        <w:pStyle w:val="2"/>
        <w:spacing w:before="147" w:line="222" w:lineRule="auto"/>
        <w:ind w:left="679"/>
        <w:rPr>
          <w:sz w:val="20"/>
          <w:szCs w:val="20"/>
        </w:rPr>
      </w:pPr>
      <w:bookmarkStart w:id="205" w:name="bookmark468"/>
      <w:bookmarkEnd w:id="205"/>
      <w:r>
        <w:rPr>
          <w:spacing w:val="-14"/>
          <w:sz w:val="20"/>
          <w:szCs w:val="20"/>
        </w:rPr>
        <w:t>第七章 筛检</w:t>
      </w:r>
    </w:p>
    <w:p w14:paraId="39E150DD">
      <w:pPr>
        <w:spacing w:line="280" w:lineRule="auto"/>
        <w:rPr>
          <w:rFonts w:ascii="Arial"/>
          <w:sz w:val="21"/>
        </w:rPr>
      </w:pPr>
    </w:p>
    <w:p w14:paraId="3E37AEAE">
      <w:pPr>
        <w:spacing w:line="280" w:lineRule="auto"/>
        <w:rPr>
          <w:rFonts w:ascii="Arial"/>
          <w:sz w:val="21"/>
        </w:rPr>
      </w:pPr>
    </w:p>
    <w:p w14:paraId="6EE30BEA">
      <w:pPr>
        <w:pStyle w:val="2"/>
        <w:spacing w:before="65" w:line="222" w:lineRule="auto"/>
        <w:ind w:left="1100"/>
        <w:rPr>
          <w:sz w:val="20"/>
          <w:szCs w:val="20"/>
        </w:rPr>
      </w:pPr>
      <w:r>
        <w:rPr>
          <w:spacing w:val="12"/>
          <w:sz w:val="20"/>
          <w:szCs w:val="20"/>
        </w:rPr>
        <w:t>(</w:t>
      </w:r>
      <w:r>
        <w:rPr>
          <w:spacing w:val="-42"/>
          <w:sz w:val="20"/>
          <w:szCs w:val="20"/>
        </w:rPr>
        <w:t xml:space="preserve"> </w:t>
      </w:r>
      <w:r>
        <w:rPr>
          <w:spacing w:val="12"/>
          <w:sz w:val="20"/>
          <w:szCs w:val="20"/>
        </w:rPr>
        <w:t>一</w:t>
      </w:r>
      <w:r>
        <w:rPr>
          <w:spacing w:val="-50"/>
          <w:sz w:val="20"/>
          <w:szCs w:val="20"/>
        </w:rPr>
        <w:t xml:space="preserve"> </w:t>
      </w:r>
      <w:r>
        <w:rPr>
          <w:spacing w:val="12"/>
          <w:sz w:val="20"/>
          <w:szCs w:val="20"/>
        </w:rPr>
        <w:t>)真实性</w:t>
      </w:r>
    </w:p>
    <w:p w14:paraId="23A7ED2C">
      <w:pPr>
        <w:spacing w:before="117" w:line="212" w:lineRule="auto"/>
        <w:ind w:left="1070"/>
        <w:rPr>
          <w:rFonts w:ascii="宋体" w:hAnsi="宋体" w:eastAsia="宋体" w:cs="宋体"/>
          <w:sz w:val="20"/>
          <w:szCs w:val="20"/>
        </w:rPr>
      </w:pPr>
      <w:r>
        <w:rPr>
          <w:rFonts w:ascii="宋体" w:hAnsi="宋体" w:eastAsia="宋体" w:cs="宋体"/>
          <w:spacing w:val="-1"/>
          <w:sz w:val="20"/>
          <w:szCs w:val="20"/>
        </w:rPr>
        <w:t>真实性</w:t>
      </w:r>
      <w:r>
        <w:rPr>
          <w:rFonts w:ascii="Times New Roman" w:hAnsi="Times New Roman" w:eastAsia="Times New Roman" w:cs="Times New Roman"/>
          <w:spacing w:val="-1"/>
          <w:sz w:val="20"/>
          <w:szCs w:val="20"/>
        </w:rPr>
        <w:t>(validity)</w:t>
      </w:r>
      <w:r>
        <w:rPr>
          <w:rFonts w:ascii="Times New Roman" w:hAnsi="Times New Roman" w:eastAsia="Times New Roman" w:cs="Times New Roman"/>
          <w:spacing w:val="45"/>
          <w:w w:val="101"/>
          <w:sz w:val="20"/>
          <w:szCs w:val="20"/>
        </w:rPr>
        <w:t xml:space="preserve"> </w:t>
      </w:r>
      <w:r>
        <w:rPr>
          <w:rFonts w:ascii="宋体" w:hAnsi="宋体" w:eastAsia="宋体" w:cs="宋体"/>
          <w:spacing w:val="-1"/>
          <w:sz w:val="20"/>
          <w:szCs w:val="20"/>
        </w:rPr>
        <w:t>亦称效度，指测量值与实际值相符合的程度，也称为准确性</w:t>
      </w:r>
      <w:r>
        <w:rPr>
          <w:rFonts w:ascii="Times New Roman" w:hAnsi="Times New Roman" w:eastAsia="Times New Roman" w:cs="Times New Roman"/>
          <w:spacing w:val="-1"/>
          <w:sz w:val="20"/>
          <w:szCs w:val="20"/>
        </w:rPr>
        <w:t>(accuracy)</w:t>
      </w:r>
      <w:r>
        <w:rPr>
          <w:rFonts w:ascii="宋体" w:hAnsi="宋体" w:eastAsia="宋体" w:cs="宋体"/>
          <w:spacing w:val="-1"/>
          <w:sz w:val="20"/>
          <w:szCs w:val="20"/>
        </w:rPr>
        <w:t>。</w:t>
      </w:r>
    </w:p>
    <w:p w14:paraId="0B797B70">
      <w:pPr>
        <w:pStyle w:val="2"/>
        <w:spacing w:before="149" w:line="347" w:lineRule="auto"/>
        <w:ind w:left="659" w:right="53" w:firstLine="430"/>
        <w:jc w:val="both"/>
        <w:rPr>
          <w:rFonts w:ascii="宋体" w:hAnsi="宋体" w:eastAsia="宋体" w:cs="宋体"/>
          <w:sz w:val="20"/>
          <w:szCs w:val="20"/>
        </w:rPr>
      </w:pPr>
      <w:r>
        <w:rPr>
          <w:rFonts w:ascii="宋体" w:hAnsi="宋体" w:eastAsia="宋体" w:cs="宋体"/>
          <w:spacing w:val="2"/>
          <w:sz w:val="20"/>
          <w:szCs w:val="20"/>
        </w:rPr>
        <w:t xml:space="preserve">1. </w:t>
      </w:r>
      <w:r>
        <w:rPr>
          <w:spacing w:val="2"/>
          <w:sz w:val="20"/>
          <w:szCs w:val="20"/>
        </w:rPr>
        <w:t>研究设计</w:t>
      </w:r>
      <w:r>
        <w:rPr>
          <w:spacing w:val="59"/>
          <w:sz w:val="20"/>
          <w:szCs w:val="20"/>
        </w:rPr>
        <w:t xml:space="preserve"> </w:t>
      </w:r>
      <w:r>
        <w:rPr>
          <w:rFonts w:ascii="宋体" w:hAnsi="宋体" w:eastAsia="宋体" w:cs="宋体"/>
          <w:spacing w:val="2"/>
          <w:sz w:val="20"/>
          <w:szCs w:val="20"/>
        </w:rPr>
        <w:t>真实性评价采用对比研究的思路，比较筛检</w:t>
      </w:r>
      <w:r>
        <w:rPr>
          <w:rFonts w:ascii="宋体" w:hAnsi="宋体" w:eastAsia="宋体" w:cs="宋体"/>
          <w:spacing w:val="1"/>
          <w:sz w:val="20"/>
          <w:szCs w:val="20"/>
        </w:rPr>
        <w:t>试验与诊断疾病的标准方法(即“金</w:t>
      </w:r>
      <w:r>
        <w:rPr>
          <w:rFonts w:ascii="宋体" w:hAnsi="宋体" w:eastAsia="宋体" w:cs="宋体"/>
          <w:sz w:val="20"/>
          <w:szCs w:val="20"/>
        </w:rPr>
        <w:t xml:space="preserve"> </w:t>
      </w:r>
      <w:r>
        <w:rPr>
          <w:rFonts w:ascii="宋体" w:hAnsi="宋体" w:eastAsia="宋体" w:cs="宋体"/>
          <w:spacing w:val="2"/>
          <w:sz w:val="20"/>
          <w:szCs w:val="20"/>
        </w:rPr>
        <w:t>标准”)判断结果的一致程度。研究设计有：①以医院为研究现场的病例-非</w:t>
      </w:r>
      <w:r>
        <w:rPr>
          <w:rFonts w:ascii="宋体" w:hAnsi="宋体" w:eastAsia="宋体" w:cs="宋体"/>
          <w:spacing w:val="1"/>
          <w:sz w:val="20"/>
          <w:szCs w:val="20"/>
        </w:rPr>
        <w:t>病例(对照)研究，即先</w:t>
      </w:r>
      <w:r>
        <w:rPr>
          <w:rFonts w:ascii="宋体" w:hAnsi="宋体" w:eastAsia="宋体" w:cs="宋体"/>
          <w:sz w:val="20"/>
          <w:szCs w:val="20"/>
        </w:rPr>
        <w:t xml:space="preserve"> </w:t>
      </w:r>
      <w:r>
        <w:rPr>
          <w:rFonts w:ascii="宋体" w:hAnsi="宋体" w:eastAsia="宋体" w:cs="宋体"/>
          <w:spacing w:val="-3"/>
          <w:sz w:val="20"/>
          <w:szCs w:val="20"/>
        </w:rPr>
        <w:t>用“金标准”确定某病的患病和未患病人群，随机选择病例组和非病例组，再</w:t>
      </w:r>
      <w:r>
        <w:rPr>
          <w:rFonts w:ascii="宋体" w:hAnsi="宋体" w:eastAsia="宋体" w:cs="宋体"/>
          <w:spacing w:val="-4"/>
          <w:sz w:val="20"/>
          <w:szCs w:val="20"/>
        </w:rPr>
        <w:t>用筛检试验盲法检测两</w:t>
      </w:r>
      <w:r>
        <w:rPr>
          <w:rFonts w:ascii="宋体" w:hAnsi="宋体" w:eastAsia="宋体" w:cs="宋体"/>
          <w:sz w:val="20"/>
          <w:szCs w:val="20"/>
        </w:rPr>
        <w:t xml:space="preserve"> </w:t>
      </w:r>
      <w:r>
        <w:rPr>
          <w:rFonts w:ascii="宋体" w:hAnsi="宋体" w:eastAsia="宋体" w:cs="宋体"/>
          <w:spacing w:val="2"/>
          <w:sz w:val="20"/>
          <w:szCs w:val="20"/>
        </w:rPr>
        <w:t>组对象；②以社区为现场，实际筛检人群为对象的横</w:t>
      </w:r>
      <w:r>
        <w:rPr>
          <w:rFonts w:ascii="宋体" w:hAnsi="宋体" w:eastAsia="宋体" w:cs="宋体"/>
          <w:spacing w:val="1"/>
          <w:sz w:val="20"/>
          <w:szCs w:val="20"/>
        </w:rPr>
        <w:t>断面研究设计，即抽取一个目标人群的代表性</w:t>
      </w:r>
      <w:r>
        <w:rPr>
          <w:rFonts w:ascii="宋体" w:hAnsi="宋体" w:eastAsia="宋体" w:cs="宋体"/>
          <w:sz w:val="20"/>
          <w:szCs w:val="20"/>
        </w:rPr>
        <w:t xml:space="preserve"> </w:t>
      </w:r>
      <w:r>
        <w:rPr>
          <w:rFonts w:ascii="宋体" w:hAnsi="宋体" w:eastAsia="宋体" w:cs="宋体"/>
          <w:spacing w:val="-3"/>
          <w:sz w:val="20"/>
          <w:szCs w:val="20"/>
        </w:rPr>
        <w:t>样本，同时用“金标准”和筛检试验盲法检测所有研究对象，事后根据“金</w:t>
      </w:r>
      <w:r>
        <w:rPr>
          <w:rFonts w:ascii="宋体" w:hAnsi="宋体" w:eastAsia="宋体" w:cs="宋体"/>
          <w:spacing w:val="-4"/>
          <w:sz w:val="20"/>
          <w:szCs w:val="20"/>
        </w:rPr>
        <w:t>标准”检测判断病例和非</w:t>
      </w:r>
      <w:r>
        <w:rPr>
          <w:rFonts w:ascii="宋体" w:hAnsi="宋体" w:eastAsia="宋体" w:cs="宋体"/>
          <w:sz w:val="20"/>
          <w:szCs w:val="20"/>
        </w:rPr>
        <w:t xml:space="preserve"> </w:t>
      </w:r>
      <w:r>
        <w:rPr>
          <w:rFonts w:ascii="宋体" w:hAnsi="宋体" w:eastAsia="宋体" w:cs="宋体"/>
          <w:spacing w:val="5"/>
          <w:sz w:val="20"/>
          <w:szCs w:val="20"/>
        </w:rPr>
        <w:t>病例组。</w:t>
      </w:r>
    </w:p>
    <w:p w14:paraId="44A60792">
      <w:pPr>
        <w:spacing w:before="38" w:line="338" w:lineRule="auto"/>
        <w:ind w:left="649" w:right="55" w:firstLine="440"/>
        <w:jc w:val="both"/>
        <w:rPr>
          <w:rFonts w:ascii="宋体" w:hAnsi="宋体" w:eastAsia="宋体" w:cs="宋体"/>
          <w:sz w:val="20"/>
          <w:szCs w:val="20"/>
        </w:rPr>
      </w:pPr>
      <w:r>
        <w:rPr>
          <w:rFonts w:ascii="宋体" w:hAnsi="宋体" w:eastAsia="宋体" w:cs="宋体"/>
          <w:spacing w:val="1"/>
          <w:sz w:val="20"/>
          <w:szCs w:val="20"/>
        </w:rPr>
        <w:t>以医院为现场的研究，对象选择方便，实施简便，但需特别注意病例组和非病例组对筛检目标</w:t>
      </w:r>
      <w:r>
        <w:rPr>
          <w:rFonts w:ascii="宋体" w:hAnsi="宋体" w:eastAsia="宋体" w:cs="宋体"/>
          <w:spacing w:val="5"/>
          <w:sz w:val="20"/>
          <w:szCs w:val="20"/>
        </w:rPr>
        <w:t xml:space="preserve"> </w:t>
      </w:r>
      <w:r>
        <w:rPr>
          <w:rFonts w:ascii="宋体" w:hAnsi="宋体" w:eastAsia="宋体" w:cs="宋体"/>
          <w:spacing w:val="1"/>
          <w:sz w:val="20"/>
          <w:szCs w:val="20"/>
        </w:rPr>
        <w:t>人群的代表性。以社区为现场的研究，样本对筛检的目标人群更有代表性，还可直接估计预测值指</w:t>
      </w:r>
      <w:r>
        <w:rPr>
          <w:rFonts w:ascii="宋体" w:hAnsi="宋体" w:eastAsia="宋体" w:cs="宋体"/>
          <w:spacing w:val="18"/>
          <w:sz w:val="20"/>
          <w:szCs w:val="20"/>
        </w:rPr>
        <w:t xml:space="preserve"> </w:t>
      </w:r>
      <w:r>
        <w:rPr>
          <w:rFonts w:ascii="宋体" w:hAnsi="宋体" w:eastAsia="宋体" w:cs="宋体"/>
          <w:spacing w:val="-3"/>
          <w:sz w:val="20"/>
          <w:szCs w:val="20"/>
        </w:rPr>
        <w:t>标，但该类研究设计要筛检出足够的病例，满足评估需求，往往所需的样本量较大，研究成本较高。</w:t>
      </w:r>
    </w:p>
    <w:p w14:paraId="5B639918">
      <w:pPr>
        <w:spacing w:before="1" w:line="217" w:lineRule="auto"/>
        <w:ind w:left="1070"/>
        <w:rPr>
          <w:rFonts w:ascii="宋体" w:hAnsi="宋体" w:eastAsia="宋体" w:cs="宋体"/>
          <w:sz w:val="20"/>
          <w:szCs w:val="20"/>
        </w:rPr>
      </w:pPr>
      <w:r>
        <w:rPr>
          <w:rFonts w:ascii="宋体" w:hAnsi="宋体" w:eastAsia="宋体" w:cs="宋体"/>
          <w:spacing w:val="2"/>
          <w:sz w:val="20"/>
          <w:szCs w:val="20"/>
        </w:rPr>
        <w:t>筛检试验评价方法的设计要点：</w:t>
      </w:r>
    </w:p>
    <w:p w14:paraId="46743CCF">
      <w:pPr>
        <w:spacing w:before="151" w:line="325" w:lineRule="auto"/>
        <w:ind w:left="649" w:right="58" w:firstLine="410"/>
        <w:rPr>
          <w:rFonts w:ascii="宋体" w:hAnsi="宋体" w:eastAsia="宋体" w:cs="宋体"/>
          <w:sz w:val="20"/>
          <w:szCs w:val="20"/>
        </w:rPr>
      </w:pPr>
      <w:r>
        <w:rPr>
          <w:rFonts w:ascii="宋体" w:hAnsi="宋体" w:eastAsia="宋体" w:cs="宋体"/>
          <w:spacing w:val="-1"/>
          <w:sz w:val="20"/>
          <w:szCs w:val="20"/>
        </w:rPr>
        <w:t>(1)确定“金标准”</w:t>
      </w:r>
      <w:r>
        <w:rPr>
          <w:rFonts w:ascii="Times New Roman" w:hAnsi="Times New Roman" w:eastAsia="Times New Roman" w:cs="Times New Roman"/>
          <w:spacing w:val="-1"/>
          <w:sz w:val="20"/>
          <w:szCs w:val="20"/>
        </w:rPr>
        <w:t>(gold    standard):</w:t>
      </w:r>
      <w:r>
        <w:rPr>
          <w:rFonts w:ascii="宋体" w:hAnsi="宋体" w:eastAsia="宋体" w:cs="宋体"/>
          <w:spacing w:val="-1"/>
          <w:sz w:val="20"/>
          <w:szCs w:val="20"/>
        </w:rPr>
        <w:t>“金标准”是指当前临床医学界公认的诊断疾病的最准确可</w:t>
      </w:r>
      <w:r>
        <w:rPr>
          <w:rFonts w:ascii="宋体" w:hAnsi="宋体" w:eastAsia="宋体" w:cs="宋体"/>
          <w:sz w:val="20"/>
          <w:szCs w:val="20"/>
        </w:rPr>
        <w:t xml:space="preserve"> </w:t>
      </w:r>
      <w:r>
        <w:rPr>
          <w:rFonts w:ascii="宋体" w:hAnsi="宋体" w:eastAsia="宋体" w:cs="宋体"/>
          <w:spacing w:val="-3"/>
          <w:sz w:val="20"/>
          <w:szCs w:val="20"/>
        </w:rPr>
        <w:t>靠的方法。使用“金标准”的目的就是准确区分受试对象是否为某病病人。最佳的“金标准”有病理</w:t>
      </w:r>
      <w:r>
        <w:rPr>
          <w:rFonts w:ascii="宋体" w:hAnsi="宋体" w:eastAsia="宋体" w:cs="宋体"/>
          <w:spacing w:val="7"/>
          <w:sz w:val="20"/>
          <w:szCs w:val="20"/>
        </w:rPr>
        <w:t xml:space="preserve"> </w:t>
      </w:r>
      <w:r>
        <w:rPr>
          <w:rFonts w:ascii="宋体" w:hAnsi="宋体" w:eastAsia="宋体" w:cs="宋体"/>
          <w:spacing w:val="1"/>
          <w:sz w:val="20"/>
          <w:szCs w:val="20"/>
        </w:rPr>
        <w:t>诊断、活检、手术发现、微生物培养、尸检或特殊检查。但由于筛检试验的对象(尤其是对照组)包</w:t>
      </w:r>
      <w:r>
        <w:rPr>
          <w:rFonts w:ascii="宋体" w:hAnsi="宋体" w:eastAsia="宋体" w:cs="宋体"/>
          <w:spacing w:val="14"/>
          <w:sz w:val="20"/>
          <w:szCs w:val="20"/>
        </w:rPr>
        <w:t xml:space="preserve"> </w:t>
      </w:r>
      <w:r>
        <w:rPr>
          <w:rFonts w:ascii="宋体" w:hAnsi="宋体" w:eastAsia="宋体" w:cs="宋体"/>
          <w:spacing w:val="-3"/>
          <w:sz w:val="20"/>
          <w:szCs w:val="20"/>
        </w:rPr>
        <w:t>含健康人，难以对所有研究对象进行上述检查，因此“金标准”也可以是准确性较高的影像诊断、临</w:t>
      </w:r>
      <w:r>
        <w:rPr>
          <w:rFonts w:ascii="宋体" w:hAnsi="宋体" w:eastAsia="宋体" w:cs="宋体"/>
          <w:spacing w:val="16"/>
          <w:sz w:val="20"/>
          <w:szCs w:val="20"/>
        </w:rPr>
        <w:t xml:space="preserve"> </w:t>
      </w:r>
      <w:r>
        <w:rPr>
          <w:rFonts w:ascii="宋体" w:hAnsi="宋体" w:eastAsia="宋体" w:cs="宋体"/>
          <w:spacing w:val="2"/>
          <w:sz w:val="20"/>
          <w:szCs w:val="20"/>
        </w:rPr>
        <w:t>床综合判断，并结合短时间内重复测量或随访确定研究对象患病与否。</w:t>
      </w:r>
    </w:p>
    <w:p w14:paraId="4A95DDDD">
      <w:pPr>
        <w:spacing w:before="153" w:line="321" w:lineRule="auto"/>
        <w:ind w:left="659" w:right="63" w:firstLine="390"/>
        <w:rPr>
          <w:rFonts w:ascii="宋体" w:hAnsi="宋体" w:eastAsia="宋体" w:cs="宋体"/>
          <w:sz w:val="20"/>
          <w:szCs w:val="20"/>
        </w:rPr>
      </w:pPr>
      <w:r>
        <w:rPr>
          <w:rFonts w:ascii="宋体" w:hAnsi="宋体" w:eastAsia="宋体" w:cs="宋体"/>
          <w:spacing w:val="4"/>
          <w:sz w:val="20"/>
          <w:szCs w:val="20"/>
        </w:rPr>
        <w:t>(2)选择研究对象：受试对象应能代表筛检试验可能应用的目标人群，并尽量满足随机化抽样</w:t>
      </w:r>
      <w:r>
        <w:rPr>
          <w:rFonts w:ascii="宋体" w:hAnsi="宋体" w:eastAsia="宋体" w:cs="宋体"/>
          <w:spacing w:val="11"/>
          <w:sz w:val="20"/>
          <w:szCs w:val="20"/>
        </w:rPr>
        <w:t xml:space="preserve"> </w:t>
      </w:r>
      <w:r>
        <w:rPr>
          <w:rFonts w:ascii="宋体" w:hAnsi="宋体" w:eastAsia="宋体" w:cs="宋体"/>
          <w:spacing w:val="6"/>
          <w:sz w:val="20"/>
          <w:szCs w:val="20"/>
        </w:rPr>
        <w:t>原则，同时应注意筛检的目的是发现临床前期或早期的病人。横断面设计采用随机抽样的方法来</w:t>
      </w:r>
      <w:r>
        <w:rPr>
          <w:rFonts w:ascii="宋体" w:hAnsi="宋体" w:eastAsia="宋体" w:cs="宋体"/>
          <w:spacing w:val="15"/>
          <w:sz w:val="20"/>
          <w:szCs w:val="20"/>
        </w:rPr>
        <w:t xml:space="preserve"> </w:t>
      </w:r>
      <w:r>
        <w:rPr>
          <w:rFonts w:ascii="宋体" w:hAnsi="宋体" w:eastAsia="宋体" w:cs="宋体"/>
          <w:spacing w:val="4"/>
          <w:sz w:val="20"/>
          <w:szCs w:val="20"/>
        </w:rPr>
        <w:t>抽取筛检对象。病例-非病例(对照)设计，病例</w:t>
      </w:r>
      <w:r>
        <w:rPr>
          <w:rFonts w:ascii="宋体" w:hAnsi="宋体" w:eastAsia="宋体" w:cs="宋体"/>
          <w:spacing w:val="3"/>
          <w:sz w:val="20"/>
          <w:szCs w:val="20"/>
        </w:rPr>
        <w:t>选择应包括早期疾病症状轻微的病例，以及疾病的</w:t>
      </w:r>
      <w:r>
        <w:rPr>
          <w:rFonts w:ascii="宋体" w:hAnsi="宋体" w:eastAsia="宋体" w:cs="宋体"/>
          <w:sz w:val="20"/>
          <w:szCs w:val="20"/>
        </w:rPr>
        <w:t xml:space="preserve"> </w:t>
      </w:r>
      <w:r>
        <w:rPr>
          <w:rFonts w:ascii="宋体" w:hAnsi="宋体" w:eastAsia="宋体" w:cs="宋体"/>
          <w:spacing w:val="-3"/>
          <w:sz w:val="20"/>
          <w:szCs w:val="20"/>
        </w:rPr>
        <w:t>各种临床类型(不同病情程度、不同病程、典型和不典型、有无并发症、是否治疗过)。对照组为“金</w:t>
      </w:r>
      <w:r>
        <w:rPr>
          <w:rFonts w:ascii="宋体" w:hAnsi="宋体" w:eastAsia="宋体" w:cs="宋体"/>
          <w:spacing w:val="2"/>
          <w:sz w:val="20"/>
          <w:szCs w:val="20"/>
        </w:rPr>
        <w:t xml:space="preserve"> </w:t>
      </w:r>
      <w:r>
        <w:rPr>
          <w:rFonts w:ascii="宋体" w:hAnsi="宋体" w:eastAsia="宋体" w:cs="宋体"/>
          <w:sz w:val="20"/>
          <w:szCs w:val="20"/>
        </w:rPr>
        <w:t>标准”证实未患有目标疾病者，包括非病人和/或与目标疾病</w:t>
      </w:r>
      <w:r>
        <w:rPr>
          <w:rFonts w:ascii="宋体" w:hAnsi="宋体" w:eastAsia="宋体" w:cs="宋体"/>
          <w:spacing w:val="-1"/>
          <w:sz w:val="20"/>
          <w:szCs w:val="20"/>
        </w:rPr>
        <w:t>易产生混淆的疾病病人。</w:t>
      </w:r>
    </w:p>
    <w:p w14:paraId="3D7594CC">
      <w:pPr>
        <w:spacing w:before="131" w:line="298" w:lineRule="auto"/>
        <w:ind w:left="679" w:right="65" w:firstLine="380"/>
        <w:rPr>
          <w:rFonts w:ascii="宋体" w:hAnsi="宋体" w:eastAsia="宋体" w:cs="宋体"/>
          <w:sz w:val="20"/>
          <w:szCs w:val="20"/>
        </w:rPr>
      </w:pPr>
      <w:r>
        <w:rPr>
          <w:rFonts w:ascii="宋体" w:hAnsi="宋体" w:eastAsia="宋体" w:cs="宋体"/>
          <w:spacing w:val="1"/>
          <w:sz w:val="20"/>
          <w:szCs w:val="20"/>
        </w:rPr>
        <w:t>(3)样本量计算：病例-非病例(对照)设计，参数包括：①筛检试验的灵敏度估计值；②筛检试</w:t>
      </w:r>
      <w:r>
        <w:rPr>
          <w:rFonts w:ascii="宋体" w:hAnsi="宋体" w:eastAsia="宋体" w:cs="宋体"/>
          <w:spacing w:val="12"/>
          <w:sz w:val="20"/>
          <w:szCs w:val="20"/>
        </w:rPr>
        <w:t xml:space="preserve"> </w:t>
      </w:r>
      <w:r>
        <w:rPr>
          <w:rFonts w:ascii="宋体" w:hAnsi="宋体" w:eastAsia="宋体" w:cs="宋体"/>
          <w:spacing w:val="8"/>
          <w:sz w:val="20"/>
          <w:szCs w:val="20"/>
        </w:rPr>
        <w:t>验的特异度估计值；③显著性检验水平α;④容许误差δ。当灵敏度和特</w:t>
      </w:r>
      <w:r>
        <w:rPr>
          <w:rFonts w:ascii="宋体" w:hAnsi="宋体" w:eastAsia="宋体" w:cs="宋体"/>
          <w:spacing w:val="7"/>
          <w:sz w:val="20"/>
          <w:szCs w:val="20"/>
        </w:rPr>
        <w:t>异度在20%～80%区间变</w:t>
      </w:r>
      <w:r>
        <w:rPr>
          <w:rFonts w:ascii="宋体" w:hAnsi="宋体" w:eastAsia="宋体" w:cs="宋体"/>
          <w:sz w:val="20"/>
          <w:szCs w:val="20"/>
        </w:rPr>
        <w:t xml:space="preserve"> </w:t>
      </w:r>
      <w:r>
        <w:rPr>
          <w:rFonts w:ascii="宋体" w:hAnsi="宋体" w:eastAsia="宋体" w:cs="宋体"/>
          <w:spacing w:val="-2"/>
          <w:sz w:val="20"/>
          <w:szCs w:val="20"/>
        </w:rPr>
        <w:t>化时，可用近似公式(7-1)计算。</w:t>
      </w:r>
    </w:p>
    <w:p w14:paraId="315C679D">
      <w:pPr>
        <w:spacing w:line="406" w:lineRule="auto"/>
        <w:rPr>
          <w:rFonts w:ascii="Arial"/>
          <w:sz w:val="21"/>
        </w:rPr>
      </w:pPr>
      <w:r>
        <w:drawing>
          <wp:anchor distT="0" distB="0" distL="0" distR="0" simplePos="0" relativeHeight="251770880" behindDoc="0" locked="0" layoutInCell="1" allowOverlap="1">
            <wp:simplePos x="0" y="0"/>
            <wp:positionH relativeFrom="column">
              <wp:posOffset>2647315</wp:posOffset>
            </wp:positionH>
            <wp:positionV relativeFrom="paragraph">
              <wp:posOffset>167640</wp:posOffset>
            </wp:positionV>
            <wp:extent cx="1079500" cy="381000"/>
            <wp:effectExtent l="0" t="0" r="0" b="0"/>
            <wp:wrapNone/>
            <wp:docPr id="406" name="IM 406"/>
            <wp:cNvGraphicFramePr/>
            <a:graphic xmlns:a="http://schemas.openxmlformats.org/drawingml/2006/main">
              <a:graphicData uri="http://schemas.openxmlformats.org/drawingml/2006/picture">
                <pic:pic xmlns:pic="http://schemas.openxmlformats.org/drawingml/2006/picture">
                  <pic:nvPicPr>
                    <pic:cNvPr id="406" name="IM 406"/>
                    <pic:cNvPicPr/>
                  </pic:nvPicPr>
                  <pic:blipFill>
                    <a:blip r:embed="rId570"/>
                    <a:stretch>
                      <a:fillRect/>
                    </a:stretch>
                  </pic:blipFill>
                  <pic:spPr>
                    <a:xfrm>
                      <a:off x="0" y="0"/>
                      <a:ext cx="1079521" cy="380980"/>
                    </a:xfrm>
                    <a:prstGeom prst="rect">
                      <a:avLst/>
                    </a:prstGeom>
                  </pic:spPr>
                </pic:pic>
              </a:graphicData>
            </a:graphic>
          </wp:anchor>
        </w:drawing>
      </w:r>
    </w:p>
    <w:p w14:paraId="05898234">
      <w:pPr>
        <w:spacing w:before="65" w:line="221" w:lineRule="auto"/>
        <w:jc w:val="right"/>
        <w:rPr>
          <w:rFonts w:ascii="宋体" w:hAnsi="宋体" w:eastAsia="宋体" w:cs="宋体"/>
          <w:sz w:val="20"/>
          <w:szCs w:val="20"/>
        </w:rPr>
      </w:pPr>
      <w:r>
        <w:rPr>
          <w:rFonts w:ascii="宋体" w:hAnsi="宋体" w:eastAsia="宋体" w:cs="宋体"/>
          <w:spacing w:val="10"/>
          <w:sz w:val="20"/>
          <w:szCs w:val="20"/>
        </w:rPr>
        <w:t>式(7-1)</w:t>
      </w:r>
    </w:p>
    <w:p w14:paraId="20973CF5">
      <w:pPr>
        <w:spacing w:line="372" w:lineRule="auto"/>
        <w:rPr>
          <w:rFonts w:ascii="Arial"/>
          <w:sz w:val="21"/>
        </w:rPr>
      </w:pPr>
    </w:p>
    <w:p w14:paraId="3CBEA1D8">
      <w:pPr>
        <w:spacing w:before="66" w:line="341" w:lineRule="auto"/>
        <w:ind w:left="679" w:right="65"/>
        <w:jc w:val="both"/>
        <w:rPr>
          <w:rFonts w:ascii="宋体" w:hAnsi="宋体" w:eastAsia="宋体" w:cs="宋体"/>
          <w:sz w:val="20"/>
          <w:szCs w:val="20"/>
        </w:rPr>
      </w:pPr>
      <w:r>
        <w:rPr>
          <w:rFonts w:ascii="宋体" w:hAnsi="宋体" w:eastAsia="宋体" w:cs="宋体"/>
          <w:spacing w:val="6"/>
          <w:sz w:val="20"/>
          <w:szCs w:val="20"/>
        </w:rPr>
        <w:t>式</w:t>
      </w:r>
      <w:r>
        <w:rPr>
          <w:rFonts w:ascii="宋体" w:hAnsi="宋体" w:eastAsia="宋体" w:cs="宋体"/>
          <w:spacing w:val="-21"/>
          <w:sz w:val="20"/>
          <w:szCs w:val="20"/>
        </w:rPr>
        <w:t xml:space="preserve"> </w:t>
      </w:r>
      <w:r>
        <w:rPr>
          <w:rFonts w:ascii="宋体" w:hAnsi="宋体" w:eastAsia="宋体" w:cs="宋体"/>
          <w:spacing w:val="6"/>
          <w:sz w:val="20"/>
          <w:szCs w:val="20"/>
        </w:rPr>
        <w:t>中</w:t>
      </w:r>
      <w:r>
        <w:rPr>
          <w:rFonts w:ascii="宋体" w:hAnsi="宋体" w:eastAsia="宋体" w:cs="宋体"/>
          <w:spacing w:val="-46"/>
          <w:sz w:val="20"/>
          <w:szCs w:val="20"/>
        </w:rPr>
        <w:t xml:space="preserve"> </w:t>
      </w:r>
      <w:r>
        <w:rPr>
          <w:rFonts w:ascii="宋体" w:hAnsi="宋体" w:eastAsia="宋体" w:cs="宋体"/>
          <w:spacing w:val="6"/>
          <w:sz w:val="20"/>
          <w:szCs w:val="20"/>
        </w:rPr>
        <w:t>，</w:t>
      </w:r>
      <w:r>
        <w:rPr>
          <w:rFonts w:ascii="Times New Roman" w:hAnsi="Times New Roman" w:eastAsia="Times New Roman" w:cs="Times New Roman"/>
          <w:spacing w:val="6"/>
          <w:sz w:val="20"/>
          <w:szCs w:val="20"/>
        </w:rPr>
        <w:t xml:space="preserve">n </w:t>
      </w:r>
      <w:r>
        <w:rPr>
          <w:rFonts w:ascii="宋体" w:hAnsi="宋体" w:eastAsia="宋体" w:cs="宋体"/>
          <w:spacing w:val="6"/>
          <w:sz w:val="20"/>
          <w:szCs w:val="20"/>
        </w:rPr>
        <w:t>为所需样本量；</w:t>
      </w:r>
      <w:r>
        <w:rPr>
          <w:rFonts w:ascii="Times New Roman" w:hAnsi="Times New Roman" w:eastAsia="Times New Roman" w:cs="Times New Roman"/>
          <w:spacing w:val="6"/>
          <w:sz w:val="20"/>
          <w:szCs w:val="20"/>
        </w:rPr>
        <w:t>Z1-a/2</w:t>
      </w:r>
      <w:r>
        <w:rPr>
          <w:rFonts w:ascii="宋体" w:hAnsi="宋体" w:eastAsia="宋体" w:cs="宋体"/>
          <w:spacing w:val="6"/>
          <w:sz w:val="20"/>
          <w:szCs w:val="20"/>
        </w:rPr>
        <w:t>为正态分布中累</w:t>
      </w:r>
      <w:r>
        <w:rPr>
          <w:rFonts w:ascii="宋体" w:hAnsi="宋体" w:eastAsia="宋体" w:cs="宋体"/>
          <w:spacing w:val="5"/>
          <w:sz w:val="20"/>
          <w:szCs w:val="20"/>
        </w:rPr>
        <w:t>积概率等于1-</w:t>
      </w:r>
      <w:r>
        <w:rPr>
          <w:rFonts w:ascii="宋体" w:hAnsi="宋体" w:eastAsia="宋体" w:cs="宋体"/>
          <w:spacing w:val="-25"/>
          <w:sz w:val="20"/>
          <w:szCs w:val="20"/>
        </w:rPr>
        <w:t xml:space="preserve"> </w:t>
      </w:r>
      <w:r>
        <w:rPr>
          <w:rFonts w:ascii="宋体" w:hAnsi="宋体" w:eastAsia="宋体" w:cs="宋体"/>
          <w:spacing w:val="5"/>
          <w:sz w:val="20"/>
          <w:szCs w:val="20"/>
        </w:rPr>
        <w:t>α/2时的</w:t>
      </w:r>
      <w:r>
        <w:rPr>
          <w:rFonts w:ascii="Times New Roman" w:hAnsi="Times New Roman" w:eastAsia="Times New Roman" w:cs="Times New Roman"/>
          <w:spacing w:val="5"/>
          <w:sz w:val="20"/>
          <w:szCs w:val="20"/>
        </w:rPr>
        <w:t>Z</w:t>
      </w:r>
      <w:r>
        <w:rPr>
          <w:rFonts w:ascii="Times New Roman" w:hAnsi="Times New Roman" w:eastAsia="Times New Roman" w:cs="Times New Roman"/>
          <w:spacing w:val="30"/>
          <w:w w:val="101"/>
          <w:sz w:val="20"/>
          <w:szCs w:val="20"/>
        </w:rPr>
        <w:t xml:space="preserve"> </w:t>
      </w:r>
      <w:r>
        <w:rPr>
          <w:rFonts w:ascii="宋体" w:hAnsi="宋体" w:eastAsia="宋体" w:cs="宋体"/>
          <w:spacing w:val="5"/>
          <w:sz w:val="20"/>
          <w:szCs w:val="20"/>
        </w:rPr>
        <w:t>值，如</w:t>
      </w:r>
      <w:r>
        <w:rPr>
          <w:rFonts w:ascii="Times New Roman" w:hAnsi="Times New Roman" w:eastAsia="Times New Roman" w:cs="Times New Roman"/>
          <w:spacing w:val="5"/>
          <w:sz w:val="20"/>
          <w:szCs w:val="20"/>
        </w:rPr>
        <w:t>Z₀.975=1.96</w:t>
      </w:r>
      <w:r>
        <w:rPr>
          <w:rFonts w:ascii="宋体" w:hAnsi="宋体" w:eastAsia="宋体" w:cs="宋体"/>
          <w:spacing w:val="5"/>
          <w:sz w:val="20"/>
          <w:szCs w:val="20"/>
        </w:rPr>
        <w:t>或</w:t>
      </w:r>
      <w:r>
        <w:rPr>
          <w:rFonts w:ascii="宋体" w:hAnsi="宋体" w:eastAsia="宋体" w:cs="宋体"/>
          <w:sz w:val="20"/>
          <w:szCs w:val="20"/>
        </w:rPr>
        <w:t xml:space="preserve"> </w:t>
      </w:r>
      <w:r>
        <w:rPr>
          <w:rFonts w:ascii="Times New Roman" w:hAnsi="Times New Roman" w:eastAsia="Times New Roman" w:cs="Times New Roman"/>
          <w:spacing w:val="2"/>
          <w:sz w:val="20"/>
          <w:szCs w:val="20"/>
        </w:rPr>
        <w:t>Z0.995=2.58;δ</w:t>
      </w:r>
      <w:r>
        <w:rPr>
          <w:rFonts w:ascii="宋体" w:hAnsi="宋体" w:eastAsia="宋体" w:cs="宋体"/>
          <w:spacing w:val="2"/>
          <w:sz w:val="20"/>
          <w:szCs w:val="20"/>
        </w:rPr>
        <w:t>为容许误差，一般定在0.05～0.10</w:t>
      </w:r>
      <w:r>
        <w:rPr>
          <w:rFonts w:ascii="Times New Roman" w:hAnsi="Times New Roman" w:eastAsia="Times New Roman" w:cs="Times New Roman"/>
          <w:spacing w:val="2"/>
          <w:sz w:val="20"/>
          <w:szCs w:val="20"/>
        </w:rPr>
        <w:t xml:space="preserve">p;p  </w:t>
      </w:r>
      <w:r>
        <w:rPr>
          <w:rFonts w:ascii="宋体" w:hAnsi="宋体" w:eastAsia="宋体" w:cs="宋体"/>
          <w:spacing w:val="2"/>
          <w:sz w:val="20"/>
          <w:szCs w:val="20"/>
        </w:rPr>
        <w:t>为待评价的筛检方法的灵敏度</w:t>
      </w:r>
      <w:r>
        <w:rPr>
          <w:rFonts w:ascii="宋体" w:hAnsi="宋体" w:eastAsia="宋体" w:cs="宋体"/>
          <w:spacing w:val="1"/>
          <w:sz w:val="20"/>
          <w:szCs w:val="20"/>
        </w:rPr>
        <w:t>或特异度的估计</w:t>
      </w:r>
      <w:r>
        <w:rPr>
          <w:rFonts w:ascii="宋体" w:hAnsi="宋体" w:eastAsia="宋体" w:cs="宋体"/>
          <w:sz w:val="20"/>
          <w:szCs w:val="20"/>
        </w:rPr>
        <w:t xml:space="preserve"> </w:t>
      </w:r>
      <w:r>
        <w:rPr>
          <w:rFonts w:ascii="宋体" w:hAnsi="宋体" w:eastAsia="宋体" w:cs="宋体"/>
          <w:spacing w:val="-1"/>
          <w:sz w:val="20"/>
          <w:szCs w:val="20"/>
        </w:rPr>
        <w:t>值，灵敏度用于估计病例组的样本量，特异度用于估计非病例组的样本量。</w:t>
      </w:r>
    </w:p>
    <w:p w14:paraId="2B757AE3">
      <w:pPr>
        <w:spacing w:line="348" w:lineRule="auto"/>
        <w:ind w:left="679" w:right="75" w:firstLine="420"/>
        <w:jc w:val="both"/>
        <w:rPr>
          <w:rFonts w:ascii="宋体" w:hAnsi="宋体" w:eastAsia="宋体" w:cs="宋体"/>
          <w:sz w:val="20"/>
          <w:szCs w:val="20"/>
        </w:rPr>
      </w:pPr>
      <w:r>
        <w:rPr>
          <w:rFonts w:ascii="宋体" w:hAnsi="宋体" w:eastAsia="宋体" w:cs="宋体"/>
          <w:sz w:val="20"/>
          <w:szCs w:val="20"/>
        </w:rPr>
        <w:t>横断面设计，由于自然人群中非病例的比例远远大于病例，根据灵敏度估计的病例数量以及人</w:t>
      </w:r>
      <w:r>
        <w:rPr>
          <w:rFonts w:ascii="宋体" w:hAnsi="宋体" w:eastAsia="宋体" w:cs="宋体"/>
          <w:spacing w:val="17"/>
          <w:sz w:val="20"/>
          <w:szCs w:val="20"/>
        </w:rPr>
        <w:t xml:space="preserve"> </w:t>
      </w:r>
      <w:r>
        <w:rPr>
          <w:rFonts w:ascii="宋体" w:hAnsi="宋体" w:eastAsia="宋体" w:cs="宋体"/>
          <w:spacing w:val="1"/>
          <w:sz w:val="20"/>
          <w:szCs w:val="20"/>
        </w:rPr>
        <w:t>群中疾病的患病率，进而估算的筛检自然人群样本量，既能满足评价灵敏度的要求，</w:t>
      </w:r>
      <w:r>
        <w:rPr>
          <w:rFonts w:ascii="宋体" w:hAnsi="宋体" w:eastAsia="宋体" w:cs="宋体"/>
          <w:sz w:val="20"/>
          <w:szCs w:val="20"/>
        </w:rPr>
        <w:t xml:space="preserve">也能满足评价 </w:t>
      </w:r>
      <w:r>
        <w:rPr>
          <w:rFonts w:ascii="宋体" w:hAnsi="宋体" w:eastAsia="宋体" w:cs="宋体"/>
          <w:spacing w:val="4"/>
          <w:sz w:val="20"/>
          <w:szCs w:val="20"/>
        </w:rPr>
        <w:t>特异度的要求。</w:t>
      </w:r>
    </w:p>
    <w:p w14:paraId="34A9B91A">
      <w:pPr>
        <w:spacing w:before="4" w:line="317" w:lineRule="auto"/>
        <w:ind w:left="679" w:right="65" w:firstLine="380"/>
        <w:rPr>
          <w:rFonts w:ascii="宋体" w:hAnsi="宋体" w:eastAsia="宋体" w:cs="宋体"/>
          <w:sz w:val="20"/>
          <w:szCs w:val="20"/>
        </w:rPr>
      </w:pPr>
      <w:r>
        <w:rPr>
          <w:rFonts w:ascii="宋体" w:hAnsi="宋体" w:eastAsia="宋体" w:cs="宋体"/>
          <w:spacing w:val="4"/>
          <w:sz w:val="20"/>
          <w:szCs w:val="20"/>
        </w:rPr>
        <w:t>(4)确定筛检结局分类标准或截断值：筛检试验的结果需明确的、</w:t>
      </w:r>
      <w:r>
        <w:rPr>
          <w:rFonts w:ascii="宋体" w:hAnsi="宋体" w:eastAsia="宋体" w:cs="宋体"/>
          <w:spacing w:val="3"/>
          <w:sz w:val="20"/>
          <w:szCs w:val="20"/>
        </w:rPr>
        <w:t>有明显区分度的阳性和阴性</w:t>
      </w:r>
      <w:r>
        <w:rPr>
          <w:rFonts w:ascii="宋体" w:hAnsi="宋体" w:eastAsia="宋体" w:cs="宋体"/>
          <w:sz w:val="20"/>
          <w:szCs w:val="20"/>
        </w:rPr>
        <w:t xml:space="preserve"> </w:t>
      </w:r>
      <w:r>
        <w:rPr>
          <w:rFonts w:ascii="宋体" w:hAnsi="宋体" w:eastAsia="宋体" w:cs="宋体"/>
          <w:spacing w:val="1"/>
          <w:sz w:val="20"/>
          <w:szCs w:val="20"/>
        </w:rPr>
        <w:t>判断标准。对筛检试验结果为分类或等级指标的，可根据专业知识判断阳性或阴性；对检测值为连</w:t>
      </w:r>
      <w:r>
        <w:rPr>
          <w:rFonts w:ascii="宋体" w:hAnsi="宋体" w:eastAsia="宋体" w:cs="宋体"/>
          <w:spacing w:val="3"/>
          <w:sz w:val="20"/>
          <w:szCs w:val="20"/>
        </w:rPr>
        <w:t xml:space="preserve"> </w:t>
      </w:r>
      <w:r>
        <w:rPr>
          <w:rFonts w:ascii="宋体" w:hAnsi="宋体" w:eastAsia="宋体" w:cs="宋体"/>
          <w:sz w:val="20"/>
          <w:szCs w:val="20"/>
        </w:rPr>
        <w:t>续性指标的，需确定判断阳性结果的具体取值，即截断值</w:t>
      </w:r>
      <w:r>
        <w:rPr>
          <w:rFonts w:ascii="Times New Roman" w:hAnsi="Times New Roman" w:eastAsia="Times New Roman" w:cs="Times New Roman"/>
          <w:sz w:val="20"/>
          <w:szCs w:val="20"/>
        </w:rPr>
        <w:t>(cut-off  value)</w:t>
      </w:r>
      <w:r>
        <w:rPr>
          <w:rFonts w:ascii="Times New Roman" w:hAnsi="Times New Roman" w:eastAsia="Times New Roman" w:cs="Times New Roman"/>
          <w:spacing w:val="-1"/>
          <w:sz w:val="20"/>
          <w:szCs w:val="20"/>
        </w:rPr>
        <w:t>,</w:t>
      </w:r>
      <w:r>
        <w:rPr>
          <w:rFonts w:ascii="宋体" w:hAnsi="宋体" w:eastAsia="宋体" w:cs="宋体"/>
          <w:spacing w:val="-1"/>
          <w:sz w:val="20"/>
          <w:szCs w:val="20"/>
        </w:rPr>
        <w:t>具体方法见后文“(四)确定</w:t>
      </w:r>
      <w:r>
        <w:rPr>
          <w:rFonts w:ascii="宋体" w:hAnsi="宋体" w:eastAsia="宋体" w:cs="宋体"/>
          <w:sz w:val="20"/>
          <w:szCs w:val="20"/>
        </w:rPr>
        <w:t xml:space="preserve"> </w:t>
      </w:r>
      <w:r>
        <w:rPr>
          <w:rFonts w:ascii="宋体" w:hAnsi="宋体" w:eastAsia="宋体" w:cs="宋体"/>
          <w:spacing w:val="-5"/>
          <w:sz w:val="20"/>
          <w:szCs w:val="20"/>
        </w:rPr>
        <w:t>连续性测量指标的截断值”。</w:t>
      </w:r>
    </w:p>
    <w:p w14:paraId="5BC4903C">
      <w:pPr>
        <w:spacing w:before="172" w:line="219" w:lineRule="auto"/>
        <w:ind w:left="1070"/>
        <w:rPr>
          <w:rFonts w:ascii="宋体" w:hAnsi="宋体" w:eastAsia="宋体" w:cs="宋体"/>
          <w:sz w:val="20"/>
          <w:szCs w:val="20"/>
        </w:rPr>
      </w:pPr>
      <w:r>
        <w:rPr>
          <w:rFonts w:ascii="宋体" w:hAnsi="宋体" w:eastAsia="宋体" w:cs="宋体"/>
          <w:spacing w:val="-1"/>
          <w:sz w:val="20"/>
          <w:szCs w:val="20"/>
        </w:rPr>
        <w:t>(5)盲法测量：保证病例和对照在整个检查流程，包括建档、生物材料采集、检测程序以及结果</w:t>
      </w:r>
    </w:p>
    <w:p w14:paraId="3ED10E3A">
      <w:pPr>
        <w:spacing w:line="219" w:lineRule="auto"/>
        <w:rPr>
          <w:rFonts w:ascii="宋体" w:hAnsi="宋体" w:eastAsia="宋体" w:cs="宋体"/>
          <w:sz w:val="20"/>
          <w:szCs w:val="20"/>
        </w:rPr>
        <w:sectPr>
          <w:footerReference r:id="rId143" w:type="default"/>
          <w:pgSz w:w="11900" w:h="16820"/>
          <w:pgMar w:top="400" w:right="1586" w:bottom="821" w:left="919" w:header="0" w:footer="562" w:gutter="0"/>
          <w:cols w:space="720" w:num="1"/>
        </w:sectPr>
      </w:pPr>
    </w:p>
    <w:p w14:paraId="295D6D14">
      <w:pPr>
        <w:spacing w:line="270" w:lineRule="auto"/>
        <w:rPr>
          <w:rFonts w:ascii="Arial"/>
          <w:sz w:val="21"/>
        </w:rPr>
      </w:pPr>
    </w:p>
    <w:p w14:paraId="55D279D3">
      <w:pPr>
        <w:pStyle w:val="2"/>
        <w:spacing w:before="65" w:line="222" w:lineRule="auto"/>
        <w:ind w:left="7959"/>
        <w:rPr>
          <w:sz w:val="20"/>
          <w:szCs w:val="20"/>
        </w:rPr>
      </w:pPr>
      <w:bookmarkStart w:id="206" w:name="bookmark469"/>
      <w:bookmarkEnd w:id="206"/>
      <w:r>
        <w:rPr>
          <w:spacing w:val="7"/>
          <w:sz w:val="20"/>
          <w:szCs w:val="20"/>
        </w:rPr>
        <w:t>第七章筛检</w:t>
      </w:r>
    </w:p>
    <w:p w14:paraId="1BACFED7">
      <w:pPr>
        <w:spacing w:line="275" w:lineRule="auto"/>
        <w:rPr>
          <w:rFonts w:ascii="Arial"/>
          <w:sz w:val="21"/>
        </w:rPr>
      </w:pPr>
    </w:p>
    <w:p w14:paraId="06C1885F">
      <w:pPr>
        <w:spacing w:line="275" w:lineRule="auto"/>
        <w:rPr>
          <w:rFonts w:ascii="Arial"/>
          <w:sz w:val="21"/>
        </w:rPr>
      </w:pPr>
    </w:p>
    <w:p w14:paraId="37FB3403">
      <w:pPr>
        <w:spacing w:before="65" w:line="218" w:lineRule="auto"/>
        <w:ind w:left="9"/>
        <w:rPr>
          <w:rFonts w:ascii="宋体" w:hAnsi="宋体" w:eastAsia="宋体" w:cs="宋体"/>
          <w:sz w:val="20"/>
          <w:szCs w:val="20"/>
        </w:rPr>
      </w:pPr>
      <w:r>
        <w:rPr>
          <w:rFonts w:ascii="宋体" w:hAnsi="宋体" w:eastAsia="宋体" w:cs="宋体"/>
          <w:spacing w:val="10"/>
          <w:sz w:val="20"/>
          <w:szCs w:val="20"/>
        </w:rPr>
        <w:t>分析报告中各环节所得到的处理一致。</w:t>
      </w:r>
      <w:r>
        <w:rPr>
          <w:rFonts w:ascii="宋体" w:hAnsi="宋体" w:eastAsia="宋体" w:cs="宋体"/>
          <w:spacing w:val="-50"/>
          <w:sz w:val="20"/>
          <w:szCs w:val="20"/>
        </w:rPr>
        <w:t xml:space="preserve"> </w:t>
      </w:r>
      <w:r>
        <w:rPr>
          <w:rFonts w:ascii="宋体" w:hAnsi="宋体" w:eastAsia="宋体" w:cs="宋体"/>
          <w:spacing w:val="10"/>
          <w:sz w:val="20"/>
          <w:szCs w:val="20"/>
        </w:rPr>
        <w:t>一般采</w:t>
      </w:r>
      <w:r>
        <w:rPr>
          <w:rFonts w:ascii="宋体" w:hAnsi="宋体" w:eastAsia="宋体" w:cs="宋体"/>
          <w:spacing w:val="9"/>
          <w:sz w:val="20"/>
          <w:szCs w:val="20"/>
        </w:rPr>
        <w:t>用盲法来控制信息偏倚。</w:t>
      </w:r>
    </w:p>
    <w:p w14:paraId="05513404">
      <w:pPr>
        <w:pStyle w:val="2"/>
        <w:spacing w:before="94" w:line="222" w:lineRule="auto"/>
        <w:ind w:left="479"/>
        <w:rPr>
          <w:sz w:val="20"/>
          <w:szCs w:val="20"/>
        </w:rPr>
      </w:pPr>
      <w:r>
        <w:rPr>
          <w:spacing w:val="13"/>
          <w:sz w:val="20"/>
          <w:szCs w:val="20"/>
        </w:rPr>
        <w:t>2.</w:t>
      </w:r>
      <w:r>
        <w:rPr>
          <w:spacing w:val="-17"/>
          <w:sz w:val="20"/>
          <w:szCs w:val="20"/>
        </w:rPr>
        <w:t xml:space="preserve"> </w:t>
      </w:r>
      <w:r>
        <w:rPr>
          <w:spacing w:val="13"/>
          <w:sz w:val="20"/>
          <w:szCs w:val="20"/>
        </w:rPr>
        <w:t>资料整理及真实性评价指标</w:t>
      </w:r>
    </w:p>
    <w:p w14:paraId="14AA95E1">
      <w:pPr>
        <w:spacing w:before="157" w:line="355" w:lineRule="auto"/>
        <w:ind w:left="19" w:right="635" w:firstLine="409"/>
        <w:jc w:val="both"/>
        <w:rPr>
          <w:rFonts w:ascii="宋体" w:hAnsi="宋体" w:eastAsia="宋体" w:cs="宋体"/>
          <w:sz w:val="20"/>
          <w:szCs w:val="20"/>
        </w:rPr>
      </w:pPr>
      <w:r>
        <w:rPr>
          <w:rFonts w:ascii="宋体" w:hAnsi="宋体" w:eastAsia="宋体" w:cs="宋体"/>
          <w:spacing w:val="8"/>
          <w:sz w:val="20"/>
          <w:szCs w:val="20"/>
        </w:rPr>
        <w:t>(1)资料整理：经“金标准”诊断的病例，被筛检试验判断阳性者，称为真阳性</w:t>
      </w:r>
      <w:r>
        <w:rPr>
          <w:rFonts w:ascii="Times New Roman" w:hAnsi="Times New Roman" w:eastAsia="Times New Roman" w:cs="Times New Roman"/>
          <w:spacing w:val="8"/>
          <w:sz w:val="20"/>
          <w:szCs w:val="20"/>
        </w:rPr>
        <w:t>(</w:t>
      </w:r>
      <w:r>
        <w:rPr>
          <w:rFonts w:ascii="Times New Roman" w:hAnsi="Times New Roman" w:eastAsia="Times New Roman" w:cs="Times New Roman"/>
          <w:sz w:val="20"/>
          <w:szCs w:val="20"/>
        </w:rPr>
        <w:t>true</w:t>
      </w:r>
      <w:r>
        <w:rPr>
          <w:rFonts w:ascii="Times New Roman" w:hAnsi="Times New Roman" w:eastAsia="Times New Roman" w:cs="Times New Roman"/>
          <w:spacing w:val="7"/>
          <w:sz w:val="20"/>
          <w:szCs w:val="20"/>
        </w:rPr>
        <w:t xml:space="preserve">     </w:t>
      </w:r>
      <w:r>
        <w:rPr>
          <w:rFonts w:ascii="Times New Roman" w:hAnsi="Times New Roman" w:eastAsia="Times New Roman" w:cs="Times New Roman"/>
          <w:sz w:val="20"/>
          <w:szCs w:val="20"/>
        </w:rPr>
        <w:t>positive</w:t>
      </w:r>
      <w:r>
        <w:rPr>
          <w:rFonts w:ascii="Times New Roman" w:hAnsi="Times New Roman" w:eastAsia="Times New Roman" w:cs="Times New Roman"/>
          <w:spacing w:val="7"/>
          <w:sz w:val="20"/>
          <w:szCs w:val="20"/>
        </w:rPr>
        <w:t>,</w:t>
      </w:r>
      <w:r>
        <w:rPr>
          <w:rFonts w:ascii="Times New Roman" w:hAnsi="Times New Roman" w:eastAsia="Times New Roman" w:cs="Times New Roman"/>
          <w:sz w:val="20"/>
          <w:szCs w:val="20"/>
        </w:rPr>
        <w:t xml:space="preserve">  </w:t>
      </w:r>
      <w:r>
        <w:rPr>
          <w:rFonts w:ascii="宋体" w:hAnsi="宋体" w:eastAsia="宋体" w:cs="宋体"/>
          <w:sz w:val="20"/>
          <w:szCs w:val="20"/>
        </w:rPr>
        <w:t>TP</w:t>
      </w:r>
      <w:r>
        <w:rPr>
          <w:rFonts w:ascii="宋体" w:hAnsi="宋体" w:eastAsia="宋体" w:cs="宋体"/>
          <w:spacing w:val="6"/>
          <w:sz w:val="20"/>
          <w:szCs w:val="20"/>
        </w:rPr>
        <w:t>);</w:t>
      </w:r>
      <w:r>
        <w:rPr>
          <w:rFonts w:ascii="宋体" w:hAnsi="宋体" w:eastAsia="宋体" w:cs="宋体"/>
          <w:spacing w:val="-25"/>
          <w:sz w:val="20"/>
          <w:szCs w:val="20"/>
        </w:rPr>
        <w:t xml:space="preserve"> </w:t>
      </w:r>
      <w:r>
        <w:rPr>
          <w:rFonts w:ascii="宋体" w:hAnsi="宋体" w:eastAsia="宋体" w:cs="宋体"/>
          <w:spacing w:val="6"/>
          <w:sz w:val="20"/>
          <w:szCs w:val="20"/>
        </w:rPr>
        <w:t>判断为阴性者，称为假阴性(</w:t>
      </w:r>
      <w:r>
        <w:rPr>
          <w:rFonts w:ascii="宋体" w:hAnsi="宋体" w:eastAsia="宋体" w:cs="宋体"/>
          <w:sz w:val="20"/>
          <w:szCs w:val="20"/>
        </w:rPr>
        <w:t>false</w:t>
      </w:r>
      <w:r>
        <w:rPr>
          <w:rFonts w:ascii="宋体" w:hAnsi="宋体" w:eastAsia="宋体" w:cs="宋体"/>
          <w:spacing w:val="6"/>
          <w:sz w:val="20"/>
          <w:szCs w:val="20"/>
        </w:rPr>
        <w:t xml:space="preserve"> </w:t>
      </w:r>
      <w:r>
        <w:rPr>
          <w:rFonts w:ascii="宋体" w:hAnsi="宋体" w:eastAsia="宋体" w:cs="宋体"/>
          <w:sz w:val="20"/>
          <w:szCs w:val="20"/>
        </w:rPr>
        <w:t>negative</w:t>
      </w:r>
      <w:r>
        <w:rPr>
          <w:rFonts w:ascii="宋体" w:hAnsi="宋体" w:eastAsia="宋体" w:cs="宋体"/>
          <w:spacing w:val="6"/>
          <w:sz w:val="20"/>
          <w:szCs w:val="20"/>
        </w:rPr>
        <w:t>,</w:t>
      </w:r>
      <w:r>
        <w:rPr>
          <w:rFonts w:ascii="宋体" w:hAnsi="宋体" w:eastAsia="宋体" w:cs="宋体"/>
          <w:sz w:val="20"/>
          <w:szCs w:val="20"/>
        </w:rPr>
        <w:t>FN</w:t>
      </w:r>
      <w:r>
        <w:rPr>
          <w:rFonts w:ascii="宋体" w:hAnsi="宋体" w:eastAsia="宋体" w:cs="宋体"/>
          <w:spacing w:val="6"/>
          <w:sz w:val="20"/>
          <w:szCs w:val="20"/>
        </w:rPr>
        <w:t>)。非病例被筛检</w:t>
      </w:r>
      <w:r>
        <w:rPr>
          <w:rFonts w:ascii="宋体" w:hAnsi="宋体" w:eastAsia="宋体" w:cs="宋体"/>
          <w:spacing w:val="5"/>
          <w:sz w:val="20"/>
          <w:szCs w:val="20"/>
        </w:rPr>
        <w:t>试验判断为阳性者，称为假阳</w:t>
      </w:r>
      <w:r>
        <w:rPr>
          <w:rFonts w:ascii="宋体" w:hAnsi="宋体" w:eastAsia="宋体" w:cs="宋体"/>
          <w:sz w:val="20"/>
          <w:szCs w:val="20"/>
        </w:rPr>
        <w:t xml:space="preserve"> </w:t>
      </w:r>
      <w:r>
        <w:rPr>
          <w:rFonts w:ascii="宋体" w:hAnsi="宋体" w:eastAsia="宋体" w:cs="宋体"/>
          <w:spacing w:val="-2"/>
          <w:sz w:val="20"/>
          <w:szCs w:val="20"/>
        </w:rPr>
        <w:t>性(false positive,FP);判断为阴性者，称为真阴性(true negative</w:t>
      </w:r>
      <w:r>
        <w:rPr>
          <w:rFonts w:ascii="宋体" w:hAnsi="宋体" w:eastAsia="宋体" w:cs="宋体"/>
          <w:spacing w:val="-3"/>
          <w:sz w:val="20"/>
          <w:szCs w:val="20"/>
        </w:rPr>
        <w:t>,TN)。结果可整理成表7-2。</w:t>
      </w:r>
    </w:p>
    <w:p w14:paraId="5252127A">
      <w:pPr>
        <w:pStyle w:val="2"/>
        <w:spacing w:before="108" w:line="221" w:lineRule="auto"/>
        <w:ind w:left="3379"/>
        <w:rPr>
          <w:sz w:val="20"/>
          <w:szCs w:val="20"/>
        </w:rPr>
      </w:pPr>
      <w:r>
        <w:rPr>
          <w:spacing w:val="-4"/>
          <w:sz w:val="20"/>
          <w:szCs w:val="20"/>
        </w:rPr>
        <w:t>表7-2</w:t>
      </w:r>
      <w:r>
        <w:rPr>
          <w:spacing w:val="50"/>
          <w:sz w:val="20"/>
          <w:szCs w:val="20"/>
        </w:rPr>
        <w:t xml:space="preserve"> </w:t>
      </w:r>
      <w:r>
        <w:rPr>
          <w:spacing w:val="-4"/>
          <w:sz w:val="20"/>
          <w:szCs w:val="20"/>
        </w:rPr>
        <w:t>某筛检试验评价结果</w:t>
      </w:r>
    </w:p>
    <w:p w14:paraId="2A1C7337">
      <w:pPr>
        <w:spacing w:line="29" w:lineRule="exact"/>
      </w:pPr>
    </w:p>
    <w:tbl>
      <w:tblPr>
        <w:tblStyle w:val="5"/>
        <w:tblW w:w="8989" w:type="dxa"/>
        <w:tblInd w:w="49"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0" w:type="dxa"/>
          <w:left w:w="0" w:type="dxa"/>
          <w:bottom w:w="0" w:type="dxa"/>
          <w:right w:w="0" w:type="dxa"/>
        </w:tblCellMar>
      </w:tblPr>
      <w:tblGrid>
        <w:gridCol w:w="3039"/>
        <w:gridCol w:w="3010"/>
        <w:gridCol w:w="2940"/>
      </w:tblGrid>
      <w:tr w14:paraId="7DE6AD6C">
        <w:trPr>
          <w:trHeight w:val="363" w:hRule="atLeast"/>
        </w:trPr>
        <w:tc>
          <w:tcPr>
            <w:tcW w:w="3039" w:type="dxa"/>
            <w:vMerge w:val="restart"/>
            <w:tcBorders>
              <w:top w:val="single" w:color="000000" w:sz="4" w:space="0"/>
              <w:bottom w:val="nil"/>
            </w:tcBorders>
            <w:shd w:val="clear" w:color="auto" w:fill="BEC8BE"/>
            <w:vAlign w:val="top"/>
          </w:tcPr>
          <w:p w14:paraId="73CB3C32">
            <w:pPr>
              <w:pStyle w:val="6"/>
              <w:spacing w:before="273" w:line="219" w:lineRule="auto"/>
              <w:ind w:left="1120"/>
            </w:pPr>
            <w:r>
              <w:rPr>
                <w:spacing w:val="-2"/>
              </w:rPr>
              <w:t>筛检试验</w:t>
            </w:r>
          </w:p>
        </w:tc>
        <w:tc>
          <w:tcPr>
            <w:tcW w:w="5950" w:type="dxa"/>
            <w:gridSpan w:val="2"/>
            <w:tcBorders>
              <w:top w:val="single" w:color="000000" w:sz="4" w:space="0"/>
              <w:bottom w:val="single" w:color="000000" w:sz="4" w:space="0"/>
            </w:tcBorders>
            <w:shd w:val="clear" w:color="auto" w:fill="C3C7B5"/>
            <w:vAlign w:val="top"/>
          </w:tcPr>
          <w:p w14:paraId="76F10B15">
            <w:pPr>
              <w:pStyle w:val="6"/>
              <w:spacing w:before="83" w:line="220" w:lineRule="auto"/>
              <w:ind w:left="2370"/>
            </w:pPr>
            <w:r>
              <w:rPr>
                <w:spacing w:val="10"/>
              </w:rPr>
              <w:t>“</w:t>
            </w:r>
            <w:r>
              <w:rPr>
                <w:spacing w:val="-42"/>
              </w:rPr>
              <w:t xml:space="preserve"> </w:t>
            </w:r>
            <w:r>
              <w:rPr>
                <w:spacing w:val="10"/>
              </w:rPr>
              <w:t>金</w:t>
            </w:r>
            <w:r>
              <w:rPr>
                <w:spacing w:val="-44"/>
              </w:rPr>
              <w:t xml:space="preserve"> </w:t>
            </w:r>
            <w:r>
              <w:rPr>
                <w:spacing w:val="10"/>
              </w:rPr>
              <w:t>标</w:t>
            </w:r>
            <w:r>
              <w:rPr>
                <w:spacing w:val="-43"/>
              </w:rPr>
              <w:t xml:space="preserve"> </w:t>
            </w:r>
            <w:r>
              <w:rPr>
                <w:spacing w:val="10"/>
              </w:rPr>
              <w:t>准</w:t>
            </w:r>
            <w:r>
              <w:rPr>
                <w:spacing w:val="-26"/>
              </w:rPr>
              <w:t xml:space="preserve"> </w:t>
            </w:r>
            <w:r>
              <w:rPr>
                <w:spacing w:val="10"/>
              </w:rPr>
              <w:t>”</w:t>
            </w:r>
          </w:p>
        </w:tc>
      </w:tr>
      <w:tr w14:paraId="37E996F2">
        <w:trPr>
          <w:trHeight w:val="367" w:hRule="atLeast"/>
        </w:trPr>
        <w:tc>
          <w:tcPr>
            <w:tcW w:w="3039" w:type="dxa"/>
            <w:vMerge w:val="continue"/>
            <w:tcBorders>
              <w:top w:val="nil"/>
              <w:bottom w:val="single" w:color="000000" w:sz="4" w:space="0"/>
            </w:tcBorders>
            <w:vAlign w:val="top"/>
          </w:tcPr>
          <w:p w14:paraId="6D7E7DD7">
            <w:pPr>
              <w:rPr>
                <w:rFonts w:ascii="Arial"/>
                <w:sz w:val="21"/>
              </w:rPr>
            </w:pPr>
          </w:p>
        </w:tc>
        <w:tc>
          <w:tcPr>
            <w:tcW w:w="3010" w:type="dxa"/>
            <w:tcBorders>
              <w:top w:val="single" w:color="000000" w:sz="4" w:space="0"/>
              <w:bottom w:val="single" w:color="000000" w:sz="4" w:space="0"/>
            </w:tcBorders>
            <w:shd w:val="clear" w:color="auto" w:fill="BFC4B1"/>
            <w:vAlign w:val="top"/>
          </w:tcPr>
          <w:p w14:paraId="0D41FCB7">
            <w:pPr>
              <w:pStyle w:val="6"/>
              <w:spacing w:before="91" w:line="221" w:lineRule="auto"/>
              <w:ind w:left="1300"/>
            </w:pPr>
            <w:r>
              <w:rPr>
                <w:spacing w:val="8"/>
              </w:rPr>
              <w:t>病例</w:t>
            </w:r>
          </w:p>
        </w:tc>
        <w:tc>
          <w:tcPr>
            <w:tcW w:w="2940" w:type="dxa"/>
            <w:tcBorders>
              <w:top w:val="single" w:color="000000" w:sz="4" w:space="0"/>
              <w:bottom w:val="single" w:color="000000" w:sz="4" w:space="0"/>
            </w:tcBorders>
            <w:shd w:val="clear" w:color="auto" w:fill="BCC0AC"/>
            <w:vAlign w:val="top"/>
          </w:tcPr>
          <w:p w14:paraId="7F34056A">
            <w:pPr>
              <w:pStyle w:val="6"/>
              <w:spacing w:before="90" w:line="220" w:lineRule="auto"/>
              <w:ind w:left="1170"/>
            </w:pPr>
            <w:r>
              <w:rPr>
                <w:spacing w:val="5"/>
              </w:rPr>
              <w:t>非病例</w:t>
            </w:r>
          </w:p>
        </w:tc>
      </w:tr>
      <w:tr w14:paraId="12F5E4C6">
        <w:trPr>
          <w:trHeight w:val="378" w:hRule="atLeast"/>
        </w:trPr>
        <w:tc>
          <w:tcPr>
            <w:tcW w:w="3039" w:type="dxa"/>
            <w:tcBorders>
              <w:top w:val="single" w:color="000000" w:sz="4" w:space="0"/>
              <w:bottom w:val="single" w:color="000000" w:sz="4" w:space="0"/>
            </w:tcBorders>
            <w:vAlign w:val="top"/>
          </w:tcPr>
          <w:p w14:paraId="11218308">
            <w:pPr>
              <w:pStyle w:val="6"/>
              <w:spacing w:before="93" w:line="220" w:lineRule="auto"/>
              <w:ind w:left="1319"/>
            </w:pPr>
            <w:r>
              <w:rPr>
                <w:spacing w:val="3"/>
              </w:rPr>
              <w:t>阳性</w:t>
            </w:r>
          </w:p>
        </w:tc>
        <w:tc>
          <w:tcPr>
            <w:tcW w:w="3010" w:type="dxa"/>
            <w:tcBorders>
              <w:top w:val="single" w:color="000000" w:sz="4" w:space="0"/>
              <w:bottom w:val="single" w:color="000000" w:sz="4" w:space="0"/>
            </w:tcBorders>
            <w:vAlign w:val="top"/>
          </w:tcPr>
          <w:p w14:paraId="47CF186E">
            <w:pPr>
              <w:pStyle w:val="6"/>
              <w:spacing w:before="93" w:line="219" w:lineRule="auto"/>
              <w:ind w:left="1000"/>
            </w:pPr>
            <w:r>
              <w:rPr>
                <w:spacing w:val="8"/>
              </w:rPr>
              <w:t>真阳性(</w:t>
            </w:r>
            <w:r>
              <w:t>TP</w:t>
            </w:r>
            <w:r>
              <w:rPr>
                <w:spacing w:val="8"/>
              </w:rPr>
              <w:t>)</w:t>
            </w:r>
          </w:p>
        </w:tc>
        <w:tc>
          <w:tcPr>
            <w:tcW w:w="2940" w:type="dxa"/>
            <w:tcBorders>
              <w:top w:val="single" w:color="000000" w:sz="4" w:space="0"/>
              <w:bottom w:val="single" w:color="000000" w:sz="4" w:space="0"/>
            </w:tcBorders>
            <w:vAlign w:val="top"/>
          </w:tcPr>
          <w:p w14:paraId="43F07AEF">
            <w:pPr>
              <w:pStyle w:val="6"/>
              <w:spacing w:before="91" w:line="219" w:lineRule="auto"/>
              <w:ind w:left="971"/>
            </w:pPr>
            <w:r>
              <w:rPr>
                <w:spacing w:val="8"/>
              </w:rPr>
              <w:t>假阳性(</w:t>
            </w:r>
            <w:r>
              <w:t>FP</w:t>
            </w:r>
            <w:r>
              <w:rPr>
                <w:spacing w:val="8"/>
              </w:rPr>
              <w:t>)</w:t>
            </w:r>
          </w:p>
        </w:tc>
      </w:tr>
      <w:tr w14:paraId="15C7C1B2">
        <w:trPr>
          <w:trHeight w:val="348" w:hRule="atLeast"/>
        </w:trPr>
        <w:tc>
          <w:tcPr>
            <w:tcW w:w="3039" w:type="dxa"/>
            <w:tcBorders>
              <w:top w:val="single" w:color="000000" w:sz="4" w:space="0"/>
              <w:bottom w:val="single" w:color="000000" w:sz="4" w:space="0"/>
            </w:tcBorders>
            <w:shd w:val="clear" w:color="auto" w:fill="D4D5D1"/>
            <w:vAlign w:val="top"/>
          </w:tcPr>
          <w:p w14:paraId="724A2FC0">
            <w:pPr>
              <w:pStyle w:val="6"/>
              <w:spacing w:before="85" w:line="220" w:lineRule="auto"/>
              <w:ind w:left="1319"/>
            </w:pPr>
            <w:r>
              <w:rPr>
                <w:spacing w:val="3"/>
              </w:rPr>
              <w:t>阴性</w:t>
            </w:r>
          </w:p>
        </w:tc>
        <w:tc>
          <w:tcPr>
            <w:tcW w:w="3010" w:type="dxa"/>
            <w:tcBorders>
              <w:top w:val="single" w:color="000000" w:sz="4" w:space="0"/>
              <w:bottom w:val="single" w:color="000000" w:sz="4" w:space="0"/>
            </w:tcBorders>
            <w:shd w:val="clear" w:color="auto" w:fill="D4D5CD"/>
            <w:vAlign w:val="top"/>
          </w:tcPr>
          <w:p w14:paraId="50D9D172">
            <w:pPr>
              <w:pStyle w:val="6"/>
              <w:spacing w:before="83" w:line="219" w:lineRule="auto"/>
              <w:ind w:left="1000"/>
            </w:pPr>
            <w:r>
              <w:rPr>
                <w:spacing w:val="8"/>
              </w:rPr>
              <w:t>假阴性(</w:t>
            </w:r>
            <w:r>
              <w:t>FN</w:t>
            </w:r>
            <w:r>
              <w:rPr>
                <w:spacing w:val="8"/>
              </w:rPr>
              <w:t>)</w:t>
            </w:r>
          </w:p>
        </w:tc>
        <w:tc>
          <w:tcPr>
            <w:tcW w:w="2940" w:type="dxa"/>
            <w:tcBorders>
              <w:top w:val="single" w:color="000000" w:sz="4" w:space="0"/>
              <w:bottom w:val="single" w:color="000000" w:sz="4" w:space="0"/>
            </w:tcBorders>
            <w:shd w:val="clear" w:color="auto" w:fill="D9DACD"/>
            <w:vAlign w:val="top"/>
          </w:tcPr>
          <w:p w14:paraId="0A2D55B0">
            <w:pPr>
              <w:pStyle w:val="6"/>
              <w:spacing w:before="85" w:line="219" w:lineRule="auto"/>
              <w:ind w:left="971"/>
            </w:pPr>
            <w:r>
              <w:rPr>
                <w:spacing w:val="8"/>
              </w:rPr>
              <w:t>真阴性(</w:t>
            </w:r>
            <w:r>
              <w:t>TN</w:t>
            </w:r>
            <w:r>
              <w:rPr>
                <w:spacing w:val="8"/>
              </w:rPr>
              <w:t>)</w:t>
            </w:r>
          </w:p>
        </w:tc>
      </w:tr>
      <w:tr w14:paraId="1C09948E">
        <w:trPr>
          <w:trHeight w:val="353" w:hRule="atLeast"/>
        </w:trPr>
        <w:tc>
          <w:tcPr>
            <w:tcW w:w="3039" w:type="dxa"/>
            <w:tcBorders>
              <w:top w:val="single" w:color="000000" w:sz="4" w:space="0"/>
              <w:bottom w:val="single" w:color="000000" w:sz="4" w:space="0"/>
            </w:tcBorders>
            <w:vAlign w:val="top"/>
          </w:tcPr>
          <w:p w14:paraId="72A6648C">
            <w:pPr>
              <w:pStyle w:val="6"/>
              <w:spacing w:before="88" w:line="221" w:lineRule="auto"/>
              <w:ind w:left="1319"/>
            </w:pPr>
            <w:r>
              <w:rPr>
                <w:spacing w:val="-3"/>
              </w:rPr>
              <w:t>合计</w:t>
            </w:r>
          </w:p>
        </w:tc>
        <w:tc>
          <w:tcPr>
            <w:tcW w:w="3010" w:type="dxa"/>
            <w:tcBorders>
              <w:top w:val="single" w:color="000000" w:sz="4" w:space="0"/>
              <w:bottom w:val="single" w:color="000000" w:sz="4" w:space="0"/>
            </w:tcBorders>
            <w:vAlign w:val="top"/>
          </w:tcPr>
          <w:p w14:paraId="7A1AC0F9">
            <w:pPr>
              <w:pStyle w:val="6"/>
              <w:spacing w:before="118" w:line="183" w:lineRule="auto"/>
              <w:ind w:left="1351"/>
              <w:rPr>
                <w:rFonts w:ascii="Calibri" w:hAnsi="Calibri" w:eastAsia="Calibri" w:cs="Calibri"/>
              </w:rPr>
            </w:pPr>
            <w:r>
              <w:rPr>
                <w:spacing w:val="-4"/>
              </w:rPr>
              <w:t>C</w:t>
            </w:r>
            <w:r>
              <w:rPr>
                <w:rFonts w:ascii="Calibri" w:hAnsi="Calibri" w:eastAsia="Calibri" w:cs="Calibri"/>
                <w:spacing w:val="-4"/>
              </w:rPr>
              <w:t>₁</w:t>
            </w:r>
          </w:p>
        </w:tc>
        <w:tc>
          <w:tcPr>
            <w:tcW w:w="2940" w:type="dxa"/>
            <w:tcBorders>
              <w:top w:val="single" w:color="000000" w:sz="4" w:space="0"/>
              <w:bottom w:val="single" w:color="000000" w:sz="4" w:space="0"/>
            </w:tcBorders>
            <w:vAlign w:val="top"/>
          </w:tcPr>
          <w:p w14:paraId="5D5456AB">
            <w:pPr>
              <w:pStyle w:val="6"/>
              <w:spacing w:before="119" w:line="183" w:lineRule="auto"/>
              <w:ind w:left="1321"/>
              <w:rPr>
                <w:rFonts w:ascii="Calibri" w:hAnsi="Calibri" w:eastAsia="Calibri" w:cs="Calibri"/>
              </w:rPr>
            </w:pPr>
            <w:r>
              <w:rPr>
                <w:spacing w:val="-4"/>
              </w:rPr>
              <w:t>C</w:t>
            </w:r>
            <w:r>
              <w:rPr>
                <w:rFonts w:ascii="Calibri" w:hAnsi="Calibri" w:eastAsia="Calibri" w:cs="Calibri"/>
                <w:spacing w:val="-4"/>
              </w:rPr>
              <w:t>₂</w:t>
            </w:r>
          </w:p>
        </w:tc>
      </w:tr>
    </w:tbl>
    <w:p w14:paraId="18A5BF0A">
      <w:pPr>
        <w:spacing w:line="373" w:lineRule="auto"/>
        <w:rPr>
          <w:rFonts w:ascii="Arial"/>
          <w:sz w:val="21"/>
        </w:rPr>
      </w:pPr>
    </w:p>
    <w:p w14:paraId="32E255E6">
      <w:pPr>
        <w:spacing w:before="65" w:line="337" w:lineRule="auto"/>
        <w:ind w:left="9" w:right="619" w:firstLine="429"/>
        <w:rPr>
          <w:rFonts w:ascii="宋体" w:hAnsi="宋体" w:eastAsia="宋体" w:cs="宋体"/>
          <w:sz w:val="20"/>
          <w:szCs w:val="20"/>
        </w:rPr>
      </w:pPr>
      <w:r>
        <w:rPr>
          <w:rFonts w:ascii="宋体" w:hAnsi="宋体" w:eastAsia="宋体" w:cs="宋体"/>
          <w:spacing w:val="12"/>
          <w:sz w:val="20"/>
          <w:szCs w:val="20"/>
        </w:rPr>
        <w:t>(2)真实性评价指标：评价真实性的指标有灵敏度与假</w:t>
      </w:r>
      <w:r>
        <w:rPr>
          <w:rFonts w:ascii="宋体" w:hAnsi="宋体" w:eastAsia="宋体" w:cs="宋体"/>
          <w:spacing w:val="11"/>
          <w:sz w:val="20"/>
          <w:szCs w:val="20"/>
        </w:rPr>
        <w:t>阴性率、特异度与假阳性率、正确指数</w:t>
      </w:r>
      <w:r>
        <w:rPr>
          <w:rFonts w:ascii="宋体" w:hAnsi="宋体" w:eastAsia="宋体" w:cs="宋体"/>
          <w:sz w:val="20"/>
          <w:szCs w:val="20"/>
        </w:rPr>
        <w:t xml:space="preserve"> </w:t>
      </w:r>
      <w:r>
        <w:rPr>
          <w:rFonts w:ascii="宋体" w:hAnsi="宋体" w:eastAsia="宋体" w:cs="宋体"/>
          <w:spacing w:val="18"/>
          <w:sz w:val="20"/>
          <w:szCs w:val="20"/>
        </w:rPr>
        <w:t>和似然比。</w:t>
      </w:r>
    </w:p>
    <w:p w14:paraId="31598587">
      <w:pPr>
        <w:spacing w:before="27" w:line="339" w:lineRule="auto"/>
        <w:ind w:left="9" w:right="638" w:firstLine="459"/>
        <w:rPr>
          <w:rFonts w:ascii="宋体" w:hAnsi="宋体" w:eastAsia="宋体" w:cs="宋体"/>
          <w:sz w:val="20"/>
          <w:szCs w:val="20"/>
        </w:rPr>
      </w:pPr>
      <w:r>
        <w:drawing>
          <wp:anchor distT="0" distB="0" distL="0" distR="0" simplePos="0" relativeHeight="251774976" behindDoc="0" locked="0" layoutInCell="1" allowOverlap="1">
            <wp:simplePos x="0" y="0"/>
            <wp:positionH relativeFrom="column">
              <wp:posOffset>2235200</wp:posOffset>
            </wp:positionH>
            <wp:positionV relativeFrom="paragraph">
              <wp:posOffset>567690</wp:posOffset>
            </wp:positionV>
            <wp:extent cx="1346200" cy="317500"/>
            <wp:effectExtent l="0" t="0" r="0" b="0"/>
            <wp:wrapNone/>
            <wp:docPr id="408" name="IM 408"/>
            <wp:cNvGraphicFramePr/>
            <a:graphic xmlns:a="http://schemas.openxmlformats.org/drawingml/2006/main">
              <a:graphicData uri="http://schemas.openxmlformats.org/drawingml/2006/picture">
                <pic:pic xmlns:pic="http://schemas.openxmlformats.org/drawingml/2006/picture">
                  <pic:nvPicPr>
                    <pic:cNvPr id="408" name="IM 408"/>
                    <pic:cNvPicPr/>
                  </pic:nvPicPr>
                  <pic:blipFill>
                    <a:blip r:embed="rId571"/>
                    <a:stretch>
                      <a:fillRect/>
                    </a:stretch>
                  </pic:blipFill>
                  <pic:spPr>
                    <a:xfrm>
                      <a:off x="0" y="0"/>
                      <a:ext cx="1346190" cy="317537"/>
                    </a:xfrm>
                    <a:prstGeom prst="rect">
                      <a:avLst/>
                    </a:prstGeom>
                  </pic:spPr>
                </pic:pic>
              </a:graphicData>
            </a:graphic>
          </wp:anchor>
        </w:drawing>
      </w:r>
      <w:r>
        <w:rPr>
          <w:rFonts w:ascii="宋体" w:hAnsi="宋体" w:eastAsia="宋体" w:cs="宋体"/>
          <w:spacing w:val="-2"/>
          <w:sz w:val="20"/>
          <w:szCs w:val="20"/>
        </w:rPr>
        <w:t>1)灵敏度与假阴性率：灵敏度(sensitiv</w:t>
      </w:r>
      <w:r>
        <w:rPr>
          <w:rFonts w:ascii="宋体" w:hAnsi="宋体" w:eastAsia="宋体" w:cs="宋体"/>
          <w:spacing w:val="-3"/>
          <w:sz w:val="20"/>
          <w:szCs w:val="20"/>
        </w:rPr>
        <w:t>ity),又称真阳性率(true positive rate),即实际患病且被</w:t>
      </w:r>
      <w:r>
        <w:rPr>
          <w:rFonts w:ascii="宋体" w:hAnsi="宋体" w:eastAsia="宋体" w:cs="宋体"/>
          <w:sz w:val="20"/>
          <w:szCs w:val="20"/>
        </w:rPr>
        <w:t xml:space="preserve"> </w:t>
      </w:r>
      <w:r>
        <w:rPr>
          <w:rFonts w:ascii="宋体" w:hAnsi="宋体" w:eastAsia="宋体" w:cs="宋体"/>
          <w:spacing w:val="11"/>
          <w:sz w:val="20"/>
          <w:szCs w:val="20"/>
        </w:rPr>
        <w:t>筛检试验标准判断为阳性的百分比。它反映了筛检试验发现病人的能力。</w:t>
      </w:r>
    </w:p>
    <w:p w14:paraId="00F01571">
      <w:pPr>
        <w:spacing w:before="252" w:line="221" w:lineRule="auto"/>
        <w:ind w:left="8280"/>
        <w:rPr>
          <w:rFonts w:ascii="宋体" w:hAnsi="宋体" w:eastAsia="宋体" w:cs="宋体"/>
          <w:sz w:val="20"/>
          <w:szCs w:val="20"/>
        </w:rPr>
      </w:pPr>
      <w:r>
        <w:rPr>
          <w:rFonts w:ascii="宋体" w:hAnsi="宋体" w:eastAsia="宋体" w:cs="宋体"/>
          <w:spacing w:val="17"/>
          <w:sz w:val="20"/>
          <w:szCs w:val="20"/>
        </w:rPr>
        <w:t>式(7-2)</w:t>
      </w:r>
    </w:p>
    <w:p w14:paraId="2DB7BF8F">
      <w:pPr>
        <w:spacing w:line="340" w:lineRule="auto"/>
        <w:rPr>
          <w:rFonts w:ascii="Arial"/>
          <w:sz w:val="21"/>
        </w:rPr>
      </w:pPr>
    </w:p>
    <w:p w14:paraId="73442CD4">
      <w:pPr>
        <w:spacing w:before="65" w:line="336" w:lineRule="auto"/>
        <w:ind w:left="19" w:right="557" w:firstLine="449"/>
        <w:rPr>
          <w:rFonts w:ascii="宋体" w:hAnsi="宋体" w:eastAsia="宋体" w:cs="宋体"/>
          <w:sz w:val="20"/>
          <w:szCs w:val="20"/>
        </w:rPr>
      </w:pPr>
      <w:r>
        <w:drawing>
          <wp:anchor distT="0" distB="0" distL="0" distR="0" simplePos="0" relativeHeight="251771904" behindDoc="0" locked="0" layoutInCell="1" allowOverlap="1">
            <wp:simplePos x="0" y="0"/>
            <wp:positionH relativeFrom="column">
              <wp:posOffset>2171065</wp:posOffset>
            </wp:positionH>
            <wp:positionV relativeFrom="paragraph">
              <wp:posOffset>584200</wp:posOffset>
            </wp:positionV>
            <wp:extent cx="1473200" cy="323850"/>
            <wp:effectExtent l="0" t="0" r="0" b="0"/>
            <wp:wrapNone/>
            <wp:docPr id="410" name="IM 410"/>
            <wp:cNvGraphicFramePr/>
            <a:graphic xmlns:a="http://schemas.openxmlformats.org/drawingml/2006/main">
              <a:graphicData uri="http://schemas.openxmlformats.org/drawingml/2006/picture">
                <pic:pic xmlns:pic="http://schemas.openxmlformats.org/drawingml/2006/picture">
                  <pic:nvPicPr>
                    <pic:cNvPr id="410" name="IM 410"/>
                    <pic:cNvPicPr/>
                  </pic:nvPicPr>
                  <pic:blipFill>
                    <a:blip r:embed="rId572"/>
                    <a:stretch>
                      <a:fillRect/>
                    </a:stretch>
                  </pic:blipFill>
                  <pic:spPr>
                    <a:xfrm>
                      <a:off x="0" y="0"/>
                      <a:ext cx="1473214" cy="323839"/>
                    </a:xfrm>
                    <a:prstGeom prst="rect">
                      <a:avLst/>
                    </a:prstGeom>
                  </pic:spPr>
                </pic:pic>
              </a:graphicData>
            </a:graphic>
          </wp:anchor>
        </w:drawing>
      </w:r>
      <w:r>
        <w:rPr>
          <w:rFonts w:ascii="宋体" w:hAnsi="宋体" w:eastAsia="宋体" w:cs="宋体"/>
          <w:spacing w:val="7"/>
          <w:sz w:val="20"/>
          <w:szCs w:val="20"/>
        </w:rPr>
        <w:t>假阴性率</w:t>
      </w:r>
      <w:r>
        <w:rPr>
          <w:rFonts w:ascii="Times New Roman" w:hAnsi="Times New Roman" w:eastAsia="Times New Roman" w:cs="Times New Roman"/>
          <w:spacing w:val="7"/>
          <w:sz w:val="20"/>
          <w:szCs w:val="20"/>
        </w:rPr>
        <w:t>(</w:t>
      </w:r>
      <w:r>
        <w:rPr>
          <w:rFonts w:ascii="Times New Roman" w:hAnsi="Times New Roman" w:eastAsia="Times New Roman" w:cs="Times New Roman"/>
          <w:sz w:val="20"/>
          <w:szCs w:val="20"/>
        </w:rPr>
        <w:t>false</w:t>
      </w:r>
      <w:r>
        <w:rPr>
          <w:rFonts w:ascii="Times New Roman" w:hAnsi="Times New Roman" w:eastAsia="Times New Roman" w:cs="Times New Roman"/>
          <w:spacing w:val="7"/>
          <w:sz w:val="20"/>
          <w:szCs w:val="20"/>
        </w:rPr>
        <w:t xml:space="preserve">    </w:t>
      </w:r>
      <w:r>
        <w:rPr>
          <w:rFonts w:ascii="Times New Roman" w:hAnsi="Times New Roman" w:eastAsia="Times New Roman" w:cs="Times New Roman"/>
          <w:sz w:val="20"/>
          <w:szCs w:val="20"/>
        </w:rPr>
        <w:t>negative</w:t>
      </w:r>
      <w:r>
        <w:rPr>
          <w:rFonts w:ascii="Times New Roman" w:hAnsi="Times New Roman" w:eastAsia="Times New Roman" w:cs="Times New Roman"/>
          <w:spacing w:val="7"/>
          <w:sz w:val="20"/>
          <w:szCs w:val="20"/>
        </w:rPr>
        <w:t xml:space="preserve">    </w:t>
      </w:r>
      <w:r>
        <w:rPr>
          <w:rFonts w:ascii="Times New Roman" w:hAnsi="Times New Roman" w:eastAsia="Times New Roman" w:cs="Times New Roman"/>
          <w:sz w:val="20"/>
          <w:szCs w:val="20"/>
        </w:rPr>
        <w:t>rate</w:t>
      </w:r>
      <w:r>
        <w:rPr>
          <w:rFonts w:ascii="Times New Roman" w:hAnsi="Times New Roman" w:eastAsia="Times New Roman" w:cs="Times New Roman"/>
          <w:spacing w:val="7"/>
          <w:sz w:val="20"/>
          <w:szCs w:val="20"/>
        </w:rPr>
        <w:t>),</w:t>
      </w:r>
      <w:r>
        <w:rPr>
          <w:rFonts w:ascii="宋体" w:hAnsi="宋体" w:eastAsia="宋体" w:cs="宋体"/>
          <w:spacing w:val="7"/>
          <w:sz w:val="20"/>
          <w:szCs w:val="20"/>
        </w:rPr>
        <w:t>又称漏诊率，指实</w:t>
      </w:r>
      <w:r>
        <w:rPr>
          <w:rFonts w:ascii="宋体" w:hAnsi="宋体" w:eastAsia="宋体" w:cs="宋体"/>
          <w:spacing w:val="6"/>
          <w:sz w:val="20"/>
          <w:szCs w:val="20"/>
        </w:rPr>
        <w:t>际患病，但被筛检试验确定为阴性的百分比。</w:t>
      </w:r>
      <w:r>
        <w:rPr>
          <w:rFonts w:ascii="宋体" w:hAnsi="宋体" w:eastAsia="宋体" w:cs="宋体"/>
          <w:sz w:val="20"/>
          <w:szCs w:val="20"/>
        </w:rPr>
        <w:t xml:space="preserve"> </w:t>
      </w:r>
      <w:r>
        <w:rPr>
          <w:rFonts w:ascii="宋体" w:hAnsi="宋体" w:eastAsia="宋体" w:cs="宋体"/>
          <w:spacing w:val="14"/>
          <w:sz w:val="20"/>
          <w:szCs w:val="20"/>
        </w:rPr>
        <w:t>它反映的是筛检试验漏诊病人的情况。</w:t>
      </w:r>
    </w:p>
    <w:p w14:paraId="6D5EB8BB">
      <w:pPr>
        <w:spacing w:before="285" w:line="221" w:lineRule="auto"/>
        <w:ind w:left="8270"/>
        <w:rPr>
          <w:rFonts w:ascii="宋体" w:hAnsi="宋体" w:eastAsia="宋体" w:cs="宋体"/>
          <w:sz w:val="20"/>
          <w:szCs w:val="20"/>
        </w:rPr>
      </w:pPr>
      <w:r>
        <w:rPr>
          <w:rFonts w:ascii="宋体" w:hAnsi="宋体" w:eastAsia="宋体" w:cs="宋体"/>
          <w:spacing w:val="15"/>
          <w:sz w:val="20"/>
          <w:szCs w:val="20"/>
        </w:rPr>
        <w:t>式(7-3)</w:t>
      </w:r>
    </w:p>
    <w:p w14:paraId="67D261CF">
      <w:pPr>
        <w:spacing w:line="311" w:lineRule="auto"/>
        <w:rPr>
          <w:rFonts w:ascii="Arial"/>
          <w:sz w:val="21"/>
        </w:rPr>
      </w:pPr>
    </w:p>
    <w:p w14:paraId="158AB9BB">
      <w:pPr>
        <w:spacing w:before="65" w:line="219" w:lineRule="auto"/>
        <w:ind w:left="439"/>
        <w:rPr>
          <w:rFonts w:ascii="宋体" w:hAnsi="宋体" w:eastAsia="宋体" w:cs="宋体"/>
          <w:sz w:val="20"/>
          <w:szCs w:val="20"/>
        </w:rPr>
      </w:pPr>
      <w:r>
        <w:rPr>
          <w:rFonts w:ascii="宋体" w:hAnsi="宋体" w:eastAsia="宋体" w:cs="宋体"/>
          <w:spacing w:val="11"/>
          <w:sz w:val="20"/>
          <w:szCs w:val="20"/>
        </w:rPr>
        <w:t>灵敏度与假阴性率之间为互补关系，灵敏度=1-假阴性率。</w:t>
      </w:r>
    </w:p>
    <w:p w14:paraId="2BB73DB8">
      <w:pPr>
        <w:spacing w:before="148" w:line="331" w:lineRule="auto"/>
        <w:ind w:left="19" w:right="638" w:firstLine="429"/>
        <w:rPr>
          <w:rFonts w:ascii="宋体" w:hAnsi="宋体" w:eastAsia="宋体" w:cs="宋体"/>
          <w:sz w:val="20"/>
          <w:szCs w:val="20"/>
        </w:rPr>
      </w:pPr>
      <w:r>
        <w:drawing>
          <wp:anchor distT="0" distB="0" distL="0" distR="0" simplePos="0" relativeHeight="251773952" behindDoc="0" locked="0" layoutInCell="1" allowOverlap="1">
            <wp:simplePos x="0" y="0"/>
            <wp:positionH relativeFrom="column">
              <wp:posOffset>2241550</wp:posOffset>
            </wp:positionH>
            <wp:positionV relativeFrom="paragraph">
              <wp:posOffset>631825</wp:posOffset>
            </wp:positionV>
            <wp:extent cx="1339850" cy="323850"/>
            <wp:effectExtent l="0" t="0" r="0" b="0"/>
            <wp:wrapNone/>
            <wp:docPr id="412" name="IM 412"/>
            <wp:cNvGraphicFramePr/>
            <a:graphic xmlns:a="http://schemas.openxmlformats.org/drawingml/2006/main">
              <a:graphicData uri="http://schemas.openxmlformats.org/drawingml/2006/picture">
                <pic:pic xmlns:pic="http://schemas.openxmlformats.org/drawingml/2006/picture">
                  <pic:nvPicPr>
                    <pic:cNvPr id="412" name="IM 412"/>
                    <pic:cNvPicPr/>
                  </pic:nvPicPr>
                  <pic:blipFill>
                    <a:blip r:embed="rId573"/>
                    <a:stretch>
                      <a:fillRect/>
                    </a:stretch>
                  </pic:blipFill>
                  <pic:spPr>
                    <a:xfrm>
                      <a:off x="0" y="0"/>
                      <a:ext cx="1339843" cy="323838"/>
                    </a:xfrm>
                    <a:prstGeom prst="rect">
                      <a:avLst/>
                    </a:prstGeom>
                  </pic:spPr>
                </pic:pic>
              </a:graphicData>
            </a:graphic>
          </wp:anchor>
        </w:drawing>
      </w:r>
      <w:r>
        <w:rPr>
          <w:rFonts w:ascii="宋体" w:hAnsi="宋体" w:eastAsia="宋体" w:cs="宋体"/>
          <w:spacing w:val="-2"/>
          <w:sz w:val="20"/>
          <w:szCs w:val="20"/>
        </w:rPr>
        <w:t>2)特异度与假阳性率：特异度(specificity),又称真阴性率(true neg</w:t>
      </w:r>
      <w:r>
        <w:rPr>
          <w:rFonts w:ascii="宋体" w:hAnsi="宋体" w:eastAsia="宋体" w:cs="宋体"/>
          <w:spacing w:val="-3"/>
          <w:sz w:val="20"/>
          <w:szCs w:val="20"/>
        </w:rPr>
        <w:t>ative rate),即实际无病且被</w:t>
      </w:r>
      <w:r>
        <w:rPr>
          <w:rFonts w:ascii="宋体" w:hAnsi="宋体" w:eastAsia="宋体" w:cs="宋体"/>
          <w:sz w:val="20"/>
          <w:szCs w:val="20"/>
        </w:rPr>
        <w:t xml:space="preserve"> </w:t>
      </w:r>
      <w:r>
        <w:rPr>
          <w:rFonts w:ascii="宋体" w:hAnsi="宋体" w:eastAsia="宋体" w:cs="宋体"/>
          <w:spacing w:val="11"/>
          <w:sz w:val="20"/>
          <w:szCs w:val="20"/>
        </w:rPr>
        <w:t>筛检试验标准判断为阴性的百分比。它反映了筛检试验鉴别排除病例的能力。</w:t>
      </w:r>
    </w:p>
    <w:p w14:paraId="110779D9">
      <w:pPr>
        <w:spacing w:before="280" w:line="221" w:lineRule="auto"/>
        <w:ind w:left="8270"/>
        <w:rPr>
          <w:rFonts w:ascii="宋体" w:hAnsi="宋体" w:eastAsia="宋体" w:cs="宋体"/>
          <w:sz w:val="20"/>
          <w:szCs w:val="20"/>
        </w:rPr>
      </w:pPr>
      <w:r>
        <w:rPr>
          <w:rFonts w:ascii="宋体" w:hAnsi="宋体" w:eastAsia="宋体" w:cs="宋体"/>
          <w:spacing w:val="15"/>
          <w:sz w:val="20"/>
          <w:szCs w:val="20"/>
        </w:rPr>
        <w:t>式(7-4)</w:t>
      </w:r>
    </w:p>
    <w:p w14:paraId="62023A39">
      <w:pPr>
        <w:spacing w:line="290" w:lineRule="auto"/>
        <w:rPr>
          <w:rFonts w:ascii="Arial"/>
          <w:sz w:val="21"/>
        </w:rPr>
      </w:pPr>
    </w:p>
    <w:p w14:paraId="4D56AEBE">
      <w:pPr>
        <w:spacing w:before="66" w:line="345" w:lineRule="auto"/>
        <w:ind w:left="19" w:right="557" w:firstLine="419"/>
        <w:rPr>
          <w:rFonts w:ascii="宋体" w:hAnsi="宋体" w:eastAsia="宋体" w:cs="宋体"/>
          <w:sz w:val="20"/>
          <w:szCs w:val="20"/>
        </w:rPr>
      </w:pPr>
      <w:r>
        <w:drawing>
          <wp:anchor distT="0" distB="0" distL="0" distR="0" simplePos="0" relativeHeight="251772928" behindDoc="0" locked="0" layoutInCell="1" allowOverlap="1">
            <wp:simplePos x="0" y="0"/>
            <wp:positionH relativeFrom="column">
              <wp:posOffset>2177415</wp:posOffset>
            </wp:positionH>
            <wp:positionV relativeFrom="paragraph">
              <wp:posOffset>615315</wp:posOffset>
            </wp:positionV>
            <wp:extent cx="1466850" cy="298450"/>
            <wp:effectExtent l="0" t="0" r="0" b="0"/>
            <wp:wrapNone/>
            <wp:docPr id="414" name="IM 414"/>
            <wp:cNvGraphicFramePr/>
            <a:graphic xmlns:a="http://schemas.openxmlformats.org/drawingml/2006/main">
              <a:graphicData uri="http://schemas.openxmlformats.org/drawingml/2006/picture">
                <pic:pic xmlns:pic="http://schemas.openxmlformats.org/drawingml/2006/picture">
                  <pic:nvPicPr>
                    <pic:cNvPr id="414" name="IM 414"/>
                    <pic:cNvPicPr/>
                  </pic:nvPicPr>
                  <pic:blipFill>
                    <a:blip r:embed="rId574"/>
                    <a:stretch>
                      <a:fillRect/>
                    </a:stretch>
                  </pic:blipFill>
                  <pic:spPr>
                    <a:xfrm>
                      <a:off x="0" y="0"/>
                      <a:ext cx="1466867" cy="298418"/>
                    </a:xfrm>
                    <a:prstGeom prst="rect">
                      <a:avLst/>
                    </a:prstGeom>
                  </pic:spPr>
                </pic:pic>
              </a:graphicData>
            </a:graphic>
          </wp:anchor>
        </w:drawing>
      </w:r>
      <w:r>
        <w:rPr>
          <w:rFonts w:ascii="宋体" w:hAnsi="宋体" w:eastAsia="宋体" w:cs="宋体"/>
          <w:spacing w:val="8"/>
          <w:sz w:val="20"/>
          <w:szCs w:val="20"/>
        </w:rPr>
        <w:t>假阳性率</w:t>
      </w:r>
      <w:r>
        <w:rPr>
          <w:rFonts w:ascii="Times New Roman" w:hAnsi="Times New Roman" w:eastAsia="Times New Roman" w:cs="Times New Roman"/>
          <w:spacing w:val="8"/>
          <w:sz w:val="20"/>
          <w:szCs w:val="20"/>
        </w:rPr>
        <w:t>(</w:t>
      </w:r>
      <w:r>
        <w:rPr>
          <w:rFonts w:ascii="Times New Roman" w:hAnsi="Times New Roman" w:eastAsia="Times New Roman" w:cs="Times New Roman"/>
          <w:sz w:val="20"/>
          <w:szCs w:val="20"/>
        </w:rPr>
        <w:t>false</w:t>
      </w:r>
      <w:r>
        <w:rPr>
          <w:rFonts w:ascii="Times New Roman" w:hAnsi="Times New Roman" w:eastAsia="Times New Roman" w:cs="Times New Roman"/>
          <w:spacing w:val="8"/>
          <w:sz w:val="20"/>
          <w:szCs w:val="20"/>
        </w:rPr>
        <w:t xml:space="preserve">    </w:t>
      </w:r>
      <w:r>
        <w:rPr>
          <w:rFonts w:ascii="Times New Roman" w:hAnsi="Times New Roman" w:eastAsia="Times New Roman" w:cs="Times New Roman"/>
          <w:sz w:val="20"/>
          <w:szCs w:val="20"/>
        </w:rPr>
        <w:t>positive</w:t>
      </w:r>
      <w:r>
        <w:rPr>
          <w:rFonts w:ascii="Times New Roman" w:hAnsi="Times New Roman" w:eastAsia="Times New Roman" w:cs="Times New Roman"/>
          <w:spacing w:val="8"/>
          <w:sz w:val="20"/>
          <w:szCs w:val="20"/>
        </w:rPr>
        <w:t xml:space="preserve">    </w:t>
      </w:r>
      <w:r>
        <w:rPr>
          <w:rFonts w:ascii="Times New Roman" w:hAnsi="Times New Roman" w:eastAsia="Times New Roman" w:cs="Times New Roman"/>
          <w:sz w:val="20"/>
          <w:szCs w:val="20"/>
        </w:rPr>
        <w:t>rate</w:t>
      </w:r>
      <w:r>
        <w:rPr>
          <w:rFonts w:ascii="Times New Roman" w:hAnsi="Times New Roman" w:eastAsia="Times New Roman" w:cs="Times New Roman"/>
          <w:spacing w:val="8"/>
          <w:sz w:val="20"/>
          <w:szCs w:val="20"/>
        </w:rPr>
        <w:t>),</w:t>
      </w:r>
      <w:r>
        <w:rPr>
          <w:rFonts w:ascii="宋体" w:hAnsi="宋体" w:eastAsia="宋体" w:cs="宋体"/>
          <w:spacing w:val="8"/>
          <w:sz w:val="20"/>
          <w:szCs w:val="20"/>
        </w:rPr>
        <w:t>又称误诊率，即实际无病，但被筛检试验判断为阳性的百分比。</w:t>
      </w:r>
      <w:r>
        <w:rPr>
          <w:rFonts w:ascii="宋体" w:hAnsi="宋体" w:eastAsia="宋体" w:cs="宋体"/>
          <w:spacing w:val="11"/>
          <w:sz w:val="20"/>
          <w:szCs w:val="20"/>
        </w:rPr>
        <w:t xml:space="preserve"> </w:t>
      </w:r>
      <w:r>
        <w:rPr>
          <w:rFonts w:ascii="宋体" w:hAnsi="宋体" w:eastAsia="宋体" w:cs="宋体"/>
          <w:spacing w:val="14"/>
          <w:sz w:val="20"/>
          <w:szCs w:val="20"/>
        </w:rPr>
        <w:t>它反映的是筛检试验误诊病人的情况。</w:t>
      </w:r>
    </w:p>
    <w:p w14:paraId="1F41B4D3">
      <w:pPr>
        <w:spacing w:before="296" w:line="221" w:lineRule="auto"/>
        <w:ind w:left="8270"/>
        <w:rPr>
          <w:rFonts w:ascii="宋体" w:hAnsi="宋体" w:eastAsia="宋体" w:cs="宋体"/>
          <w:sz w:val="20"/>
          <w:szCs w:val="20"/>
        </w:rPr>
      </w:pPr>
      <w:r>
        <w:rPr>
          <w:rFonts w:ascii="宋体" w:hAnsi="宋体" w:eastAsia="宋体" w:cs="宋体"/>
          <w:spacing w:val="15"/>
          <w:sz w:val="20"/>
          <w:szCs w:val="20"/>
        </w:rPr>
        <w:t>式(7-5)</w:t>
      </w:r>
    </w:p>
    <w:p w14:paraId="28A253E5">
      <w:pPr>
        <w:spacing w:line="301" w:lineRule="auto"/>
        <w:rPr>
          <w:rFonts w:ascii="Arial"/>
          <w:sz w:val="21"/>
        </w:rPr>
      </w:pPr>
    </w:p>
    <w:p w14:paraId="54BC2E80">
      <w:pPr>
        <w:spacing w:before="65" w:line="219" w:lineRule="auto"/>
        <w:ind w:left="449"/>
        <w:rPr>
          <w:rFonts w:ascii="宋体" w:hAnsi="宋体" w:eastAsia="宋体" w:cs="宋体"/>
          <w:sz w:val="20"/>
          <w:szCs w:val="20"/>
        </w:rPr>
      </w:pPr>
      <w:r>
        <w:rPr>
          <w:rFonts w:ascii="宋体" w:hAnsi="宋体" w:eastAsia="宋体" w:cs="宋体"/>
          <w:spacing w:val="11"/>
          <w:sz w:val="20"/>
          <w:szCs w:val="20"/>
        </w:rPr>
        <w:t>特异度与假阳性率之间为互补关系，特异度</w:t>
      </w:r>
      <w:r>
        <w:rPr>
          <w:rFonts w:ascii="宋体" w:hAnsi="宋体" w:eastAsia="宋体" w:cs="宋体"/>
          <w:spacing w:val="10"/>
          <w:sz w:val="20"/>
          <w:szCs w:val="20"/>
        </w:rPr>
        <w:t>=1-假阳性率。</w:t>
      </w:r>
    </w:p>
    <w:p w14:paraId="07EB373F">
      <w:pPr>
        <w:spacing w:before="101" w:line="363" w:lineRule="auto"/>
        <w:ind w:right="637" w:firstLine="459"/>
        <w:rPr>
          <w:rFonts w:ascii="宋体" w:hAnsi="宋体" w:eastAsia="宋体" w:cs="宋体"/>
          <w:sz w:val="20"/>
          <w:szCs w:val="20"/>
        </w:rPr>
      </w:pPr>
      <w:r>
        <w:rPr>
          <w:rFonts w:ascii="宋体" w:hAnsi="宋体" w:eastAsia="宋体" w:cs="宋体"/>
          <w:spacing w:val="14"/>
          <w:sz w:val="20"/>
          <w:szCs w:val="20"/>
        </w:rPr>
        <w:t>3)正确指数：正确指数也称约登指数</w:t>
      </w:r>
      <w:r>
        <w:rPr>
          <w:rFonts w:ascii="Times New Roman" w:hAnsi="Times New Roman" w:eastAsia="Times New Roman" w:cs="Times New Roman"/>
          <w:spacing w:val="14"/>
          <w:sz w:val="20"/>
          <w:szCs w:val="20"/>
        </w:rPr>
        <w:t>(</w:t>
      </w:r>
      <w:r>
        <w:rPr>
          <w:rFonts w:ascii="Times New Roman" w:hAnsi="Times New Roman" w:eastAsia="Times New Roman" w:cs="Times New Roman"/>
          <w:sz w:val="20"/>
          <w:szCs w:val="20"/>
        </w:rPr>
        <w:t>Youden</w:t>
      </w:r>
      <w:r>
        <w:rPr>
          <w:rFonts w:ascii="Times New Roman" w:hAnsi="Times New Roman" w:eastAsia="Times New Roman" w:cs="Times New Roman"/>
          <w:spacing w:val="14"/>
          <w:sz w:val="20"/>
          <w:szCs w:val="20"/>
        </w:rPr>
        <w:t>'</w:t>
      </w:r>
      <w:r>
        <w:rPr>
          <w:rFonts w:ascii="Times New Roman" w:hAnsi="Times New Roman" w:eastAsia="Times New Roman" w:cs="Times New Roman"/>
          <w:sz w:val="20"/>
          <w:szCs w:val="20"/>
        </w:rPr>
        <w:t>s</w:t>
      </w:r>
      <w:r>
        <w:rPr>
          <w:rFonts w:ascii="Times New Roman" w:hAnsi="Times New Roman" w:eastAsia="Times New Roman" w:cs="Times New Roman"/>
          <w:spacing w:val="14"/>
          <w:sz w:val="20"/>
          <w:szCs w:val="20"/>
        </w:rPr>
        <w:t xml:space="preserve">    </w:t>
      </w:r>
      <w:r>
        <w:rPr>
          <w:rFonts w:ascii="Times New Roman" w:hAnsi="Times New Roman" w:eastAsia="Times New Roman" w:cs="Times New Roman"/>
          <w:sz w:val="20"/>
          <w:szCs w:val="20"/>
        </w:rPr>
        <w:t>index</w:t>
      </w:r>
      <w:r>
        <w:rPr>
          <w:rFonts w:ascii="Times New Roman" w:hAnsi="Times New Roman" w:eastAsia="Times New Roman" w:cs="Times New Roman"/>
          <w:spacing w:val="14"/>
          <w:sz w:val="20"/>
          <w:szCs w:val="20"/>
        </w:rPr>
        <w:t>),</w:t>
      </w:r>
      <w:r>
        <w:rPr>
          <w:rFonts w:ascii="宋体" w:hAnsi="宋体" w:eastAsia="宋体" w:cs="宋体"/>
          <w:spacing w:val="14"/>
          <w:sz w:val="20"/>
          <w:szCs w:val="20"/>
        </w:rPr>
        <w:t>是灵敏</w:t>
      </w:r>
      <w:r>
        <w:rPr>
          <w:rFonts w:ascii="宋体" w:hAnsi="宋体" w:eastAsia="宋体" w:cs="宋体"/>
          <w:spacing w:val="13"/>
          <w:sz w:val="20"/>
          <w:szCs w:val="20"/>
        </w:rPr>
        <w:t>度与特异度之和减去1,表示筛</w:t>
      </w:r>
      <w:r>
        <w:rPr>
          <w:rFonts w:ascii="宋体" w:hAnsi="宋体" w:eastAsia="宋体" w:cs="宋体"/>
          <w:sz w:val="20"/>
          <w:szCs w:val="20"/>
        </w:rPr>
        <w:t xml:space="preserve"> </w:t>
      </w:r>
      <w:r>
        <w:rPr>
          <w:rFonts w:ascii="宋体" w:hAnsi="宋体" w:eastAsia="宋体" w:cs="宋体"/>
          <w:spacing w:val="11"/>
          <w:sz w:val="20"/>
          <w:szCs w:val="20"/>
        </w:rPr>
        <w:t>检方法发现真病人与非病人的总能力。正确指数的范围在0～1之间。指数越大，真实性越高。</w:t>
      </w:r>
    </w:p>
    <w:p w14:paraId="34B366FA">
      <w:pPr>
        <w:spacing w:before="136" w:line="230" w:lineRule="auto"/>
        <w:ind w:left="3129"/>
        <w:rPr>
          <w:rFonts w:ascii="宋体" w:hAnsi="宋体" w:eastAsia="宋体" w:cs="宋体"/>
          <w:sz w:val="20"/>
          <w:szCs w:val="20"/>
        </w:rPr>
      </w:pPr>
      <w:r>
        <w:rPr>
          <w:rFonts w:ascii="宋体" w:hAnsi="宋体" w:eastAsia="宋体" w:cs="宋体"/>
          <w:spacing w:val="16"/>
          <w:sz w:val="20"/>
          <w:szCs w:val="20"/>
        </w:rPr>
        <w:t>正确指数=(灵敏度+特异度)-1</w:t>
      </w:r>
      <w:r>
        <w:rPr>
          <w:rFonts w:ascii="宋体" w:hAnsi="宋体" w:eastAsia="宋体" w:cs="宋体"/>
          <w:spacing w:val="4"/>
          <w:sz w:val="20"/>
          <w:szCs w:val="20"/>
        </w:rPr>
        <w:t xml:space="preserve">                      </w:t>
      </w:r>
      <w:r>
        <w:rPr>
          <w:rFonts w:ascii="宋体" w:hAnsi="宋体" w:eastAsia="宋体" w:cs="宋体"/>
          <w:spacing w:val="16"/>
          <w:sz w:val="20"/>
          <w:szCs w:val="20"/>
        </w:rPr>
        <w:t>式(7-6)</w:t>
      </w:r>
    </w:p>
    <w:p w14:paraId="3F30FBAF">
      <w:pPr>
        <w:spacing w:before="229" w:line="212" w:lineRule="auto"/>
        <w:ind w:left="449"/>
        <w:rPr>
          <w:rFonts w:ascii="宋体" w:hAnsi="宋体" w:eastAsia="宋体" w:cs="宋体"/>
          <w:sz w:val="20"/>
          <w:szCs w:val="20"/>
        </w:rPr>
      </w:pPr>
      <w:r>
        <w:rPr>
          <w:rFonts w:ascii="宋体" w:hAnsi="宋体" w:eastAsia="宋体" w:cs="宋体"/>
          <w:spacing w:val="2"/>
          <w:sz w:val="20"/>
          <w:szCs w:val="20"/>
        </w:rPr>
        <w:t>4</w:t>
      </w:r>
      <w:r>
        <w:rPr>
          <w:rFonts w:ascii="宋体" w:hAnsi="宋体" w:eastAsia="宋体" w:cs="宋体"/>
          <w:spacing w:val="-31"/>
          <w:sz w:val="20"/>
          <w:szCs w:val="20"/>
        </w:rPr>
        <w:t xml:space="preserve"> </w:t>
      </w:r>
      <w:r>
        <w:rPr>
          <w:rFonts w:ascii="宋体" w:hAnsi="宋体" w:eastAsia="宋体" w:cs="宋体"/>
          <w:spacing w:val="2"/>
          <w:sz w:val="20"/>
          <w:szCs w:val="20"/>
        </w:rPr>
        <w:t>)</w:t>
      </w:r>
      <w:r>
        <w:rPr>
          <w:rFonts w:ascii="宋体" w:hAnsi="宋体" w:eastAsia="宋体" w:cs="宋体"/>
          <w:spacing w:val="-38"/>
          <w:sz w:val="20"/>
          <w:szCs w:val="20"/>
        </w:rPr>
        <w:t xml:space="preserve"> </w:t>
      </w:r>
      <w:r>
        <w:rPr>
          <w:rFonts w:ascii="宋体" w:hAnsi="宋体" w:eastAsia="宋体" w:cs="宋体"/>
          <w:spacing w:val="2"/>
          <w:sz w:val="20"/>
          <w:szCs w:val="20"/>
        </w:rPr>
        <w:t>似</w:t>
      </w:r>
      <w:r>
        <w:rPr>
          <w:rFonts w:ascii="宋体" w:hAnsi="宋体" w:eastAsia="宋体" w:cs="宋体"/>
          <w:spacing w:val="-36"/>
          <w:sz w:val="20"/>
          <w:szCs w:val="20"/>
        </w:rPr>
        <w:t xml:space="preserve"> </w:t>
      </w:r>
      <w:r>
        <w:rPr>
          <w:rFonts w:ascii="宋体" w:hAnsi="宋体" w:eastAsia="宋体" w:cs="宋体"/>
          <w:spacing w:val="2"/>
          <w:sz w:val="20"/>
          <w:szCs w:val="20"/>
        </w:rPr>
        <w:t>然 比</w:t>
      </w:r>
      <w:r>
        <w:rPr>
          <w:rFonts w:ascii="Times New Roman" w:hAnsi="Times New Roman" w:eastAsia="Times New Roman" w:cs="Times New Roman"/>
          <w:spacing w:val="2"/>
          <w:sz w:val="20"/>
          <w:szCs w:val="20"/>
        </w:rPr>
        <w:t>(</w:t>
      </w:r>
      <w:r>
        <w:rPr>
          <w:rFonts w:ascii="Times New Roman" w:hAnsi="Times New Roman" w:eastAsia="Times New Roman" w:cs="Times New Roman"/>
          <w:sz w:val="20"/>
          <w:szCs w:val="20"/>
        </w:rPr>
        <w:t>likelihood</w:t>
      </w:r>
      <w:r>
        <w:rPr>
          <w:rFonts w:ascii="Times New Roman" w:hAnsi="Times New Roman" w:eastAsia="Times New Roman" w:cs="Times New Roman"/>
          <w:spacing w:val="2"/>
          <w:sz w:val="20"/>
          <w:szCs w:val="20"/>
        </w:rPr>
        <w:t xml:space="preserve">       </w:t>
      </w:r>
      <w:r>
        <w:rPr>
          <w:rFonts w:ascii="Times New Roman" w:hAnsi="Times New Roman" w:eastAsia="Times New Roman" w:cs="Times New Roman"/>
          <w:sz w:val="20"/>
          <w:szCs w:val="20"/>
        </w:rPr>
        <w:t>ratio</w:t>
      </w:r>
      <w:r>
        <w:rPr>
          <w:rFonts w:ascii="Times New Roman" w:hAnsi="Times New Roman" w:eastAsia="Times New Roman" w:cs="Times New Roman"/>
          <w:spacing w:val="2"/>
          <w:sz w:val="20"/>
          <w:szCs w:val="20"/>
        </w:rPr>
        <w:t>,</w:t>
      </w:r>
      <w:r>
        <w:rPr>
          <w:rFonts w:ascii="Times New Roman" w:hAnsi="Times New Roman" w:eastAsia="Times New Roman" w:cs="Times New Roman"/>
          <w:sz w:val="20"/>
          <w:szCs w:val="20"/>
        </w:rPr>
        <w:t>LR</w:t>
      </w:r>
      <w:r>
        <w:rPr>
          <w:rFonts w:ascii="Times New Roman" w:hAnsi="Times New Roman" w:eastAsia="Times New Roman" w:cs="Times New Roman"/>
          <w:spacing w:val="2"/>
          <w:sz w:val="20"/>
          <w:szCs w:val="20"/>
        </w:rPr>
        <w:t>)</w:t>
      </w:r>
      <w:r>
        <w:rPr>
          <w:rFonts w:ascii="宋体" w:hAnsi="宋体" w:eastAsia="宋体" w:cs="宋体"/>
          <w:spacing w:val="2"/>
          <w:sz w:val="20"/>
          <w:szCs w:val="20"/>
        </w:rPr>
        <w:t>是同时反映灵敏度和特异度的综合指标，根据筛检结果，可计</w:t>
      </w:r>
    </w:p>
    <w:p w14:paraId="58100635">
      <w:pPr>
        <w:spacing w:line="212" w:lineRule="auto"/>
        <w:rPr>
          <w:rFonts w:ascii="宋体" w:hAnsi="宋体" w:eastAsia="宋体" w:cs="宋体"/>
          <w:sz w:val="20"/>
          <w:szCs w:val="20"/>
        </w:rPr>
        <w:sectPr>
          <w:footerReference r:id="rId144" w:type="default"/>
          <w:pgSz w:w="11900" w:h="16820"/>
          <w:pgMar w:top="400" w:right="842" w:bottom="841" w:left="1410" w:header="0" w:footer="582" w:gutter="0"/>
          <w:cols w:space="720" w:num="1"/>
        </w:sectPr>
      </w:pPr>
    </w:p>
    <w:p w14:paraId="4428B68D">
      <w:pPr>
        <w:pStyle w:val="2"/>
        <w:spacing w:before="247" w:line="222" w:lineRule="auto"/>
        <w:ind w:left="689"/>
        <w:rPr>
          <w:sz w:val="21"/>
          <w:szCs w:val="21"/>
        </w:rPr>
      </w:pPr>
      <w:bookmarkStart w:id="207" w:name="bookmark470"/>
      <w:bookmarkEnd w:id="207"/>
      <w:r>
        <w:rPr>
          <w:spacing w:val="-18"/>
          <w:sz w:val="21"/>
          <w:szCs w:val="21"/>
        </w:rPr>
        <w:t>第七章 筛检</w:t>
      </w:r>
    </w:p>
    <w:p w14:paraId="63788A3B">
      <w:pPr>
        <w:spacing w:line="271" w:lineRule="auto"/>
        <w:rPr>
          <w:rFonts w:ascii="Arial"/>
          <w:sz w:val="21"/>
        </w:rPr>
      </w:pPr>
    </w:p>
    <w:p w14:paraId="64542DCA">
      <w:pPr>
        <w:spacing w:line="272" w:lineRule="auto"/>
        <w:rPr>
          <w:rFonts w:ascii="Arial"/>
          <w:sz w:val="21"/>
        </w:rPr>
      </w:pPr>
    </w:p>
    <w:p w14:paraId="50CDC21C">
      <w:pPr>
        <w:spacing w:before="68" w:line="212" w:lineRule="auto"/>
        <w:ind w:left="689"/>
        <w:rPr>
          <w:rFonts w:ascii="宋体" w:hAnsi="宋体" w:eastAsia="宋体" w:cs="宋体"/>
          <w:sz w:val="21"/>
          <w:szCs w:val="21"/>
        </w:rPr>
      </w:pPr>
      <w:r>
        <w:rPr>
          <w:rFonts w:ascii="宋体" w:hAnsi="宋体" w:eastAsia="宋体" w:cs="宋体"/>
          <w:sz w:val="21"/>
          <w:szCs w:val="21"/>
        </w:rPr>
        <w:t>算阳性似然比</w:t>
      </w:r>
      <w:r>
        <w:rPr>
          <w:rFonts w:ascii="Times New Roman" w:hAnsi="Times New Roman" w:eastAsia="Times New Roman" w:cs="Times New Roman"/>
          <w:sz w:val="21"/>
          <w:szCs w:val="21"/>
        </w:rPr>
        <w:t>(positive</w:t>
      </w:r>
      <w:r>
        <w:rPr>
          <w:rFonts w:ascii="Times New Roman" w:hAnsi="Times New Roman" w:eastAsia="Times New Roman" w:cs="Times New Roman"/>
          <w:spacing w:val="19"/>
          <w:sz w:val="21"/>
          <w:szCs w:val="21"/>
        </w:rPr>
        <w:t xml:space="preserve"> </w:t>
      </w:r>
      <w:r>
        <w:rPr>
          <w:rFonts w:ascii="Times New Roman" w:hAnsi="Times New Roman" w:eastAsia="Times New Roman" w:cs="Times New Roman"/>
          <w:sz w:val="21"/>
          <w:szCs w:val="21"/>
        </w:rPr>
        <w:t>likelihood</w:t>
      </w:r>
      <w:r>
        <w:rPr>
          <w:rFonts w:ascii="Times New Roman" w:hAnsi="Times New Roman" w:eastAsia="Times New Roman" w:cs="Times New Roman"/>
          <w:spacing w:val="13"/>
          <w:w w:val="101"/>
          <w:sz w:val="21"/>
          <w:szCs w:val="21"/>
        </w:rPr>
        <w:t xml:space="preserve"> </w:t>
      </w:r>
      <w:r>
        <w:rPr>
          <w:rFonts w:ascii="Times New Roman" w:hAnsi="Times New Roman" w:eastAsia="Times New Roman" w:cs="Times New Roman"/>
          <w:sz w:val="21"/>
          <w:szCs w:val="21"/>
        </w:rPr>
        <w:t>ratio,+LR)</w:t>
      </w:r>
      <w:r>
        <w:rPr>
          <w:rFonts w:ascii="宋体" w:hAnsi="宋体" w:eastAsia="宋体" w:cs="宋体"/>
          <w:sz w:val="21"/>
          <w:szCs w:val="21"/>
        </w:rPr>
        <w:t>和</w:t>
      </w:r>
      <w:r>
        <w:rPr>
          <w:rFonts w:ascii="宋体" w:hAnsi="宋体" w:eastAsia="宋体" w:cs="宋体"/>
          <w:spacing w:val="-1"/>
          <w:sz w:val="21"/>
          <w:szCs w:val="21"/>
        </w:rPr>
        <w:t>阴性似然比</w:t>
      </w:r>
      <w:r>
        <w:rPr>
          <w:rFonts w:ascii="Times New Roman" w:hAnsi="Times New Roman" w:eastAsia="Times New Roman" w:cs="Times New Roman"/>
          <w:spacing w:val="-1"/>
          <w:sz w:val="21"/>
          <w:szCs w:val="21"/>
        </w:rPr>
        <w:t>(negative  likelihood</w:t>
      </w:r>
      <w:r>
        <w:rPr>
          <w:rFonts w:ascii="Times New Roman" w:hAnsi="Times New Roman" w:eastAsia="Times New Roman" w:cs="Times New Roman"/>
          <w:spacing w:val="47"/>
          <w:w w:val="101"/>
          <w:sz w:val="21"/>
          <w:szCs w:val="21"/>
        </w:rPr>
        <w:t xml:space="preserve"> </w:t>
      </w:r>
      <w:r>
        <w:rPr>
          <w:rFonts w:ascii="Times New Roman" w:hAnsi="Times New Roman" w:eastAsia="Times New Roman" w:cs="Times New Roman"/>
          <w:spacing w:val="-1"/>
          <w:sz w:val="21"/>
          <w:szCs w:val="21"/>
        </w:rPr>
        <w:t>ratio,-LR)</w:t>
      </w:r>
      <w:r>
        <w:rPr>
          <w:rFonts w:ascii="宋体" w:hAnsi="宋体" w:eastAsia="宋体" w:cs="宋体"/>
          <w:spacing w:val="-1"/>
          <w:sz w:val="21"/>
          <w:szCs w:val="21"/>
        </w:rPr>
        <w:t>。</w:t>
      </w:r>
    </w:p>
    <w:p w14:paraId="6DBE3C6B">
      <w:pPr>
        <w:spacing w:before="131" w:line="328" w:lineRule="auto"/>
        <w:ind w:left="699" w:right="98" w:firstLine="400"/>
        <w:rPr>
          <w:rFonts w:ascii="宋体" w:hAnsi="宋体" w:eastAsia="宋体" w:cs="宋体"/>
          <w:sz w:val="21"/>
          <w:szCs w:val="21"/>
        </w:rPr>
      </w:pPr>
      <w:r>
        <w:drawing>
          <wp:anchor distT="0" distB="0" distL="0" distR="0" simplePos="0" relativeHeight="251780096" behindDoc="0" locked="0" layoutInCell="1" allowOverlap="1">
            <wp:simplePos x="0" y="0"/>
            <wp:positionH relativeFrom="column">
              <wp:posOffset>2444750</wp:posOffset>
            </wp:positionH>
            <wp:positionV relativeFrom="paragraph">
              <wp:posOffset>636905</wp:posOffset>
            </wp:positionV>
            <wp:extent cx="1581150" cy="355600"/>
            <wp:effectExtent l="0" t="0" r="0" b="0"/>
            <wp:wrapNone/>
            <wp:docPr id="416" name="IM 416"/>
            <wp:cNvGraphicFramePr/>
            <a:graphic xmlns:a="http://schemas.openxmlformats.org/drawingml/2006/main">
              <a:graphicData uri="http://schemas.openxmlformats.org/drawingml/2006/picture">
                <pic:pic xmlns:pic="http://schemas.openxmlformats.org/drawingml/2006/picture">
                  <pic:nvPicPr>
                    <pic:cNvPr id="416" name="IM 416"/>
                    <pic:cNvPicPr/>
                  </pic:nvPicPr>
                  <pic:blipFill>
                    <a:blip r:embed="rId575"/>
                    <a:stretch>
                      <a:fillRect/>
                    </a:stretch>
                  </pic:blipFill>
                  <pic:spPr>
                    <a:xfrm>
                      <a:off x="0" y="0"/>
                      <a:ext cx="1581122" cy="355560"/>
                    </a:xfrm>
                    <a:prstGeom prst="rect">
                      <a:avLst/>
                    </a:prstGeom>
                  </pic:spPr>
                </pic:pic>
              </a:graphicData>
            </a:graphic>
          </wp:anchor>
        </w:drawing>
      </w:r>
      <w:r>
        <w:rPr>
          <w:rFonts w:ascii="宋体" w:hAnsi="宋体" w:eastAsia="宋体" w:cs="宋体"/>
          <w:spacing w:val="-1"/>
          <w:sz w:val="21"/>
          <w:szCs w:val="21"/>
        </w:rPr>
        <w:t>阳性似然比是筛检结果的真阳性率与假阳性率之比。比值越大，试验结果阳性时为真阳性的</w:t>
      </w:r>
      <w:r>
        <w:rPr>
          <w:rFonts w:ascii="宋体" w:hAnsi="宋体" w:eastAsia="宋体" w:cs="宋体"/>
          <w:spacing w:val="15"/>
          <w:sz w:val="21"/>
          <w:szCs w:val="21"/>
        </w:rPr>
        <w:t xml:space="preserve"> </w:t>
      </w:r>
      <w:r>
        <w:rPr>
          <w:rFonts w:ascii="宋体" w:hAnsi="宋体" w:eastAsia="宋体" w:cs="宋体"/>
          <w:spacing w:val="-7"/>
          <w:sz w:val="21"/>
          <w:szCs w:val="21"/>
        </w:rPr>
        <w:t>概率越大。</w:t>
      </w:r>
    </w:p>
    <w:p w14:paraId="1E240A22">
      <w:pPr>
        <w:spacing w:before="306" w:line="221" w:lineRule="auto"/>
        <w:ind w:left="8739"/>
        <w:rPr>
          <w:rFonts w:ascii="宋体" w:hAnsi="宋体" w:eastAsia="宋体" w:cs="宋体"/>
          <w:sz w:val="21"/>
          <w:szCs w:val="21"/>
        </w:rPr>
      </w:pPr>
      <w:r>
        <w:rPr>
          <w:rFonts w:ascii="宋体" w:hAnsi="宋体" w:eastAsia="宋体" w:cs="宋体"/>
          <w:spacing w:val="10"/>
          <w:sz w:val="21"/>
          <w:szCs w:val="21"/>
        </w:rPr>
        <w:t>式(7-7)</w:t>
      </w:r>
    </w:p>
    <w:p w14:paraId="65DCF713">
      <w:pPr>
        <w:spacing w:line="326" w:lineRule="auto"/>
        <w:rPr>
          <w:rFonts w:ascii="Arial"/>
          <w:sz w:val="21"/>
        </w:rPr>
      </w:pPr>
    </w:p>
    <w:p w14:paraId="6DC23AB7">
      <w:pPr>
        <w:spacing w:before="68" w:line="319" w:lineRule="auto"/>
        <w:ind w:left="699" w:right="89" w:firstLine="410"/>
        <w:rPr>
          <w:rFonts w:ascii="宋体" w:hAnsi="宋体" w:eastAsia="宋体" w:cs="宋体"/>
          <w:sz w:val="21"/>
          <w:szCs w:val="21"/>
        </w:rPr>
      </w:pPr>
      <w:r>
        <w:rPr>
          <w:rFonts w:ascii="宋体" w:hAnsi="宋体" w:eastAsia="宋体" w:cs="宋体"/>
          <w:spacing w:val="-1"/>
          <w:sz w:val="21"/>
          <w:szCs w:val="21"/>
        </w:rPr>
        <w:t>阴性似然比是筛检结果的假阴性率与真阴性率之比。比值越小，试验结果阴性时为真阴性的</w:t>
      </w:r>
      <w:r>
        <w:rPr>
          <w:rFonts w:ascii="宋体" w:hAnsi="宋体" w:eastAsia="宋体" w:cs="宋体"/>
          <w:spacing w:val="14"/>
          <w:sz w:val="21"/>
          <w:szCs w:val="21"/>
        </w:rPr>
        <w:t xml:space="preserve"> </w:t>
      </w:r>
      <w:r>
        <w:rPr>
          <w:rFonts w:ascii="宋体" w:hAnsi="宋体" w:eastAsia="宋体" w:cs="宋体"/>
          <w:spacing w:val="-7"/>
          <w:sz w:val="21"/>
          <w:szCs w:val="21"/>
        </w:rPr>
        <w:t>概率越大。</w:t>
      </w:r>
    </w:p>
    <w:p w14:paraId="3552C3B6">
      <w:pPr>
        <w:spacing w:line="266" w:lineRule="auto"/>
        <w:rPr>
          <w:rFonts w:ascii="Arial"/>
          <w:sz w:val="21"/>
        </w:rPr>
      </w:pPr>
      <w:r>
        <w:drawing>
          <wp:anchor distT="0" distB="0" distL="0" distR="0" simplePos="0" relativeHeight="251779072" behindDoc="0" locked="0" layoutInCell="1" allowOverlap="1">
            <wp:simplePos x="0" y="0"/>
            <wp:positionH relativeFrom="column">
              <wp:posOffset>2444750</wp:posOffset>
            </wp:positionH>
            <wp:positionV relativeFrom="paragraph">
              <wp:posOffset>92710</wp:posOffset>
            </wp:positionV>
            <wp:extent cx="1587500" cy="361950"/>
            <wp:effectExtent l="0" t="0" r="0" b="0"/>
            <wp:wrapNone/>
            <wp:docPr id="418" name="IM 418"/>
            <wp:cNvGraphicFramePr/>
            <a:graphic xmlns:a="http://schemas.openxmlformats.org/drawingml/2006/main">
              <a:graphicData uri="http://schemas.openxmlformats.org/drawingml/2006/picture">
                <pic:pic xmlns:pic="http://schemas.openxmlformats.org/drawingml/2006/picture">
                  <pic:nvPicPr>
                    <pic:cNvPr id="418" name="IM 418"/>
                    <pic:cNvPicPr/>
                  </pic:nvPicPr>
                  <pic:blipFill>
                    <a:blip r:embed="rId576"/>
                    <a:stretch>
                      <a:fillRect/>
                    </a:stretch>
                  </pic:blipFill>
                  <pic:spPr>
                    <a:xfrm>
                      <a:off x="0" y="0"/>
                      <a:ext cx="1587469" cy="361968"/>
                    </a:xfrm>
                    <a:prstGeom prst="rect">
                      <a:avLst/>
                    </a:prstGeom>
                  </pic:spPr>
                </pic:pic>
              </a:graphicData>
            </a:graphic>
          </wp:anchor>
        </w:drawing>
      </w:r>
    </w:p>
    <w:p w14:paraId="6101A743">
      <w:pPr>
        <w:spacing w:before="68" w:line="221" w:lineRule="auto"/>
        <w:ind w:right="29"/>
        <w:jc w:val="right"/>
        <w:rPr>
          <w:rFonts w:ascii="宋体" w:hAnsi="宋体" w:eastAsia="宋体" w:cs="宋体"/>
          <w:sz w:val="21"/>
          <w:szCs w:val="21"/>
        </w:rPr>
      </w:pPr>
      <w:r>
        <w:rPr>
          <w:rFonts w:ascii="宋体" w:hAnsi="宋体" w:eastAsia="宋体" w:cs="宋体"/>
          <w:spacing w:val="8"/>
          <w:sz w:val="21"/>
          <w:szCs w:val="21"/>
        </w:rPr>
        <w:t>式(7-8)</w:t>
      </w:r>
    </w:p>
    <w:p w14:paraId="6F4A97E0">
      <w:pPr>
        <w:spacing w:line="335" w:lineRule="auto"/>
        <w:rPr>
          <w:rFonts w:ascii="Arial"/>
          <w:sz w:val="21"/>
        </w:rPr>
      </w:pPr>
    </w:p>
    <w:p w14:paraId="720D5914">
      <w:pPr>
        <w:spacing w:before="69" w:line="219" w:lineRule="auto"/>
        <w:ind w:left="1090"/>
        <w:rPr>
          <w:rFonts w:ascii="宋体" w:hAnsi="宋体" w:eastAsia="宋体" w:cs="宋体"/>
          <w:sz w:val="21"/>
          <w:szCs w:val="21"/>
        </w:rPr>
      </w:pPr>
      <w:r>
        <w:rPr>
          <w:rFonts w:ascii="宋体" w:hAnsi="宋体" w:eastAsia="宋体" w:cs="宋体"/>
          <w:spacing w:val="-7"/>
          <w:sz w:val="21"/>
          <w:szCs w:val="21"/>
        </w:rPr>
        <w:t>在选择筛检试验时应选择阳性似然比高、阴性似然比较低的方法，此时试验的准确性更佳。</w:t>
      </w:r>
    </w:p>
    <w:p w14:paraId="14B62CCE">
      <w:pPr>
        <w:spacing w:before="114" w:line="221" w:lineRule="auto"/>
        <w:ind w:left="1110"/>
        <w:rPr>
          <w:rFonts w:ascii="宋体" w:hAnsi="宋体" w:eastAsia="宋体" w:cs="宋体"/>
          <w:sz w:val="21"/>
          <w:szCs w:val="21"/>
        </w:rPr>
      </w:pPr>
      <w:r>
        <w:rPr>
          <w:rFonts w:ascii="宋体" w:hAnsi="宋体" w:eastAsia="宋体" w:cs="宋体"/>
          <w:spacing w:val="26"/>
          <w:sz w:val="21"/>
          <w:szCs w:val="21"/>
        </w:rPr>
        <w:t>(二)可靠性</w:t>
      </w:r>
    </w:p>
    <w:p w14:paraId="781A1C71">
      <w:pPr>
        <w:spacing w:before="113" w:line="307" w:lineRule="auto"/>
        <w:ind w:left="679" w:right="81" w:firstLine="420"/>
        <w:jc w:val="both"/>
        <w:rPr>
          <w:rFonts w:ascii="宋体" w:hAnsi="宋体" w:eastAsia="宋体" w:cs="宋体"/>
          <w:sz w:val="21"/>
          <w:szCs w:val="21"/>
        </w:rPr>
      </w:pPr>
      <w:r>
        <w:rPr>
          <w:rFonts w:ascii="宋体" w:hAnsi="宋体" w:eastAsia="宋体" w:cs="宋体"/>
          <w:sz w:val="21"/>
          <w:szCs w:val="21"/>
        </w:rPr>
        <w:t>可靠性</w:t>
      </w:r>
      <w:r>
        <w:rPr>
          <w:rFonts w:ascii="Times New Roman" w:hAnsi="Times New Roman" w:eastAsia="Times New Roman" w:cs="Times New Roman"/>
          <w:sz w:val="21"/>
          <w:szCs w:val="21"/>
        </w:rPr>
        <w:t>(reliability)</w:t>
      </w:r>
      <w:r>
        <w:rPr>
          <w:rFonts w:ascii="Times New Roman" w:hAnsi="Times New Roman" w:eastAsia="Times New Roman" w:cs="Times New Roman"/>
          <w:spacing w:val="41"/>
          <w:w w:val="101"/>
          <w:sz w:val="21"/>
          <w:szCs w:val="21"/>
        </w:rPr>
        <w:t xml:space="preserve"> </w:t>
      </w:r>
      <w:r>
        <w:rPr>
          <w:rFonts w:ascii="宋体" w:hAnsi="宋体" w:eastAsia="宋体" w:cs="宋体"/>
          <w:sz w:val="21"/>
          <w:szCs w:val="21"/>
        </w:rPr>
        <w:t>也称信度、精</w:t>
      </w:r>
      <w:r>
        <w:rPr>
          <w:rFonts w:ascii="宋体" w:hAnsi="宋体" w:eastAsia="宋体" w:cs="宋体"/>
          <w:spacing w:val="-1"/>
          <w:sz w:val="21"/>
          <w:szCs w:val="21"/>
        </w:rPr>
        <w:t>确度</w:t>
      </w:r>
      <w:r>
        <w:rPr>
          <w:rFonts w:ascii="Times New Roman" w:hAnsi="Times New Roman" w:eastAsia="Times New Roman" w:cs="Times New Roman"/>
          <w:spacing w:val="-1"/>
          <w:sz w:val="21"/>
          <w:szCs w:val="21"/>
        </w:rPr>
        <w:t>(precision)</w:t>
      </w:r>
      <w:r>
        <w:rPr>
          <w:rFonts w:ascii="Times New Roman" w:hAnsi="Times New Roman" w:eastAsia="Times New Roman" w:cs="Times New Roman"/>
          <w:spacing w:val="37"/>
          <w:w w:val="101"/>
          <w:sz w:val="21"/>
          <w:szCs w:val="21"/>
        </w:rPr>
        <w:t xml:space="preserve"> </w:t>
      </w:r>
      <w:r>
        <w:rPr>
          <w:rFonts w:ascii="宋体" w:hAnsi="宋体" w:eastAsia="宋体" w:cs="宋体"/>
          <w:spacing w:val="-1"/>
          <w:sz w:val="21"/>
          <w:szCs w:val="21"/>
        </w:rPr>
        <w:t>或可重复性</w:t>
      </w:r>
      <w:r>
        <w:rPr>
          <w:rFonts w:ascii="Times New Roman" w:hAnsi="Times New Roman" w:eastAsia="Times New Roman" w:cs="Times New Roman"/>
          <w:spacing w:val="-1"/>
          <w:sz w:val="21"/>
          <w:szCs w:val="21"/>
        </w:rPr>
        <w:t xml:space="preserve">(repeatability),  </w:t>
      </w:r>
      <w:r>
        <w:rPr>
          <w:rFonts w:ascii="宋体" w:hAnsi="宋体" w:eastAsia="宋体" w:cs="宋体"/>
          <w:spacing w:val="-1"/>
          <w:sz w:val="21"/>
          <w:szCs w:val="21"/>
        </w:rPr>
        <w:t>是指在相同条件下</w:t>
      </w:r>
      <w:r>
        <w:rPr>
          <w:rFonts w:ascii="宋体" w:hAnsi="宋体" w:eastAsia="宋体" w:cs="宋体"/>
          <w:sz w:val="21"/>
          <w:szCs w:val="21"/>
        </w:rPr>
        <w:t xml:space="preserve"> 用某测量工具(如筛检试验)重复测量同一批受试者时结果的一致程度。</w:t>
      </w:r>
      <w:r>
        <w:rPr>
          <w:rFonts w:ascii="宋体" w:hAnsi="宋体" w:eastAsia="宋体" w:cs="宋体"/>
          <w:spacing w:val="-1"/>
          <w:sz w:val="21"/>
          <w:szCs w:val="21"/>
        </w:rPr>
        <w:t>值得注意的是，可信度评</w:t>
      </w:r>
      <w:r>
        <w:rPr>
          <w:rFonts w:ascii="宋体" w:hAnsi="宋体" w:eastAsia="宋体" w:cs="宋体"/>
          <w:sz w:val="21"/>
          <w:szCs w:val="21"/>
        </w:rPr>
        <w:t xml:space="preserve"> </w:t>
      </w:r>
      <w:r>
        <w:rPr>
          <w:rFonts w:ascii="宋体" w:hAnsi="宋体" w:eastAsia="宋体" w:cs="宋体"/>
          <w:spacing w:val="-14"/>
          <w:sz w:val="21"/>
          <w:szCs w:val="21"/>
        </w:rPr>
        <w:t>价与“金标准”诊断结果无关。</w:t>
      </w:r>
    </w:p>
    <w:p w14:paraId="674B066B">
      <w:pPr>
        <w:spacing w:before="66" w:line="310" w:lineRule="auto"/>
        <w:ind w:left="699" w:firstLine="400"/>
        <w:jc w:val="both"/>
        <w:rPr>
          <w:rFonts w:ascii="宋体" w:hAnsi="宋体" w:eastAsia="宋体" w:cs="宋体"/>
          <w:sz w:val="21"/>
          <w:szCs w:val="21"/>
        </w:rPr>
      </w:pPr>
      <w:r>
        <w:rPr>
          <w:rFonts w:ascii="宋体" w:hAnsi="宋体" w:eastAsia="宋体" w:cs="宋体"/>
          <w:spacing w:val="-3"/>
          <w:sz w:val="21"/>
          <w:szCs w:val="21"/>
        </w:rPr>
        <w:t>可靠性评价研究通常由两名或多名检查者采取同样的检查程序</w:t>
      </w:r>
      <w:r>
        <w:rPr>
          <w:rFonts w:ascii="宋体" w:hAnsi="宋体" w:eastAsia="宋体" w:cs="宋体"/>
          <w:spacing w:val="-4"/>
          <w:sz w:val="21"/>
          <w:szCs w:val="21"/>
        </w:rPr>
        <w:t>对同一人群同时进行盲法检查。</w:t>
      </w:r>
      <w:r>
        <w:rPr>
          <w:rFonts w:ascii="宋体" w:hAnsi="宋体" w:eastAsia="宋体" w:cs="宋体"/>
          <w:sz w:val="21"/>
          <w:szCs w:val="21"/>
        </w:rPr>
        <w:t xml:space="preserve"> </w:t>
      </w:r>
      <w:r>
        <w:rPr>
          <w:rFonts w:ascii="宋体" w:hAnsi="宋体" w:eastAsia="宋体" w:cs="宋体"/>
          <w:spacing w:val="-5"/>
          <w:sz w:val="21"/>
          <w:szCs w:val="21"/>
        </w:rPr>
        <w:t>例如，多人同时读一批</w:t>
      </w:r>
      <w:r>
        <w:rPr>
          <w:rFonts w:ascii="Arial" w:hAnsi="Arial" w:eastAsia="Arial" w:cs="Arial"/>
          <w:spacing w:val="-5"/>
          <w:sz w:val="21"/>
          <w:szCs w:val="21"/>
        </w:rPr>
        <w:t xml:space="preserve">X </w:t>
      </w:r>
      <w:r>
        <w:rPr>
          <w:rFonts w:ascii="宋体" w:hAnsi="宋体" w:eastAsia="宋体" w:cs="宋体"/>
          <w:spacing w:val="-5"/>
          <w:sz w:val="21"/>
          <w:szCs w:val="21"/>
        </w:rPr>
        <w:t>线片；或者对同一人群采用相同方法进行多次检测，再</w:t>
      </w:r>
      <w:r>
        <w:rPr>
          <w:rFonts w:ascii="宋体" w:hAnsi="宋体" w:eastAsia="宋体" w:cs="宋体"/>
          <w:spacing w:val="-6"/>
          <w:sz w:val="21"/>
          <w:szCs w:val="21"/>
        </w:rPr>
        <w:t>比较重复检查结果</w:t>
      </w:r>
      <w:r>
        <w:rPr>
          <w:rFonts w:ascii="宋体" w:hAnsi="宋体" w:eastAsia="宋体" w:cs="宋体"/>
          <w:sz w:val="21"/>
          <w:szCs w:val="21"/>
        </w:rPr>
        <w:t xml:space="preserve"> </w:t>
      </w:r>
      <w:r>
        <w:rPr>
          <w:rFonts w:ascii="宋体" w:hAnsi="宋体" w:eastAsia="宋体" w:cs="宋体"/>
          <w:spacing w:val="-3"/>
          <w:sz w:val="21"/>
          <w:szCs w:val="21"/>
        </w:rPr>
        <w:t>的一致情况。</w:t>
      </w:r>
    </w:p>
    <w:p w14:paraId="785CBDB6">
      <w:pPr>
        <w:pStyle w:val="2"/>
        <w:spacing w:before="62" w:line="274" w:lineRule="auto"/>
        <w:ind w:left="709" w:right="76" w:firstLine="410"/>
        <w:rPr>
          <w:rFonts w:ascii="宋体" w:hAnsi="宋体" w:eastAsia="宋体" w:cs="宋体"/>
          <w:sz w:val="21"/>
          <w:szCs w:val="21"/>
        </w:rPr>
      </w:pPr>
      <w:r>
        <w:rPr>
          <w:rFonts w:ascii="宋体" w:hAnsi="宋体" w:eastAsia="宋体" w:cs="宋体"/>
          <w:spacing w:val="-3"/>
          <w:sz w:val="21"/>
          <w:szCs w:val="21"/>
        </w:rPr>
        <w:t xml:space="preserve">1. </w:t>
      </w:r>
      <w:r>
        <w:rPr>
          <w:spacing w:val="-3"/>
          <w:sz w:val="21"/>
          <w:szCs w:val="21"/>
        </w:rPr>
        <w:t xml:space="preserve">信度指标  </w:t>
      </w:r>
      <w:r>
        <w:rPr>
          <w:rFonts w:ascii="宋体" w:hAnsi="宋体" w:eastAsia="宋体" w:cs="宋体"/>
          <w:spacing w:val="-3"/>
          <w:sz w:val="21"/>
          <w:szCs w:val="21"/>
        </w:rPr>
        <w:t>信度评价应根据资料类型来选择指标和分析方法，重复测量资料总的来说可以</w:t>
      </w:r>
      <w:r>
        <w:rPr>
          <w:rFonts w:ascii="宋体" w:hAnsi="宋体" w:eastAsia="宋体" w:cs="宋体"/>
          <w:spacing w:val="1"/>
          <w:sz w:val="21"/>
          <w:szCs w:val="21"/>
        </w:rPr>
        <w:t xml:space="preserve"> </w:t>
      </w:r>
      <w:r>
        <w:rPr>
          <w:rFonts w:ascii="宋体" w:hAnsi="宋体" w:eastAsia="宋体" w:cs="宋体"/>
          <w:spacing w:val="-6"/>
          <w:sz w:val="21"/>
          <w:szCs w:val="21"/>
        </w:rPr>
        <w:t>看作配对(定量、定性)资料。</w:t>
      </w:r>
    </w:p>
    <w:p w14:paraId="7EE6B13F">
      <w:pPr>
        <w:spacing w:before="96" w:line="302" w:lineRule="auto"/>
        <w:ind w:left="679" w:right="51" w:firstLine="420"/>
        <w:rPr>
          <w:rFonts w:ascii="宋体" w:hAnsi="宋体" w:eastAsia="宋体" w:cs="宋体"/>
          <w:sz w:val="21"/>
          <w:szCs w:val="21"/>
        </w:rPr>
      </w:pPr>
      <w:r>
        <w:rPr>
          <w:rFonts w:ascii="宋体" w:hAnsi="宋体" w:eastAsia="宋体" w:cs="宋体"/>
          <w:spacing w:val="2"/>
          <w:sz w:val="21"/>
          <w:szCs w:val="21"/>
        </w:rPr>
        <w:t>(1)连续性测量的资料：①对同一样品或一组同质性样品(个体差异较小的样品)进行多次重</w:t>
      </w:r>
      <w:r>
        <w:rPr>
          <w:rFonts w:ascii="宋体" w:hAnsi="宋体" w:eastAsia="宋体" w:cs="宋体"/>
          <w:spacing w:val="10"/>
          <w:sz w:val="21"/>
          <w:szCs w:val="21"/>
        </w:rPr>
        <w:t xml:space="preserve"> </w:t>
      </w:r>
      <w:r>
        <w:rPr>
          <w:rFonts w:ascii="宋体" w:hAnsi="宋体" w:eastAsia="宋体" w:cs="宋体"/>
          <w:spacing w:val="-5"/>
          <w:sz w:val="21"/>
          <w:szCs w:val="21"/>
        </w:rPr>
        <w:t>复测量，可用标准差和变异系数来反映可靠性，两个指标的值越小，表示方法的精确度越高。②对</w:t>
      </w:r>
      <w:r>
        <w:rPr>
          <w:rFonts w:ascii="宋体" w:hAnsi="宋体" w:eastAsia="宋体" w:cs="宋体"/>
          <w:spacing w:val="2"/>
          <w:sz w:val="21"/>
          <w:szCs w:val="21"/>
        </w:rPr>
        <w:t xml:space="preserve"> </w:t>
      </w:r>
      <w:r>
        <w:rPr>
          <w:rFonts w:ascii="宋体" w:hAnsi="宋体" w:eastAsia="宋体" w:cs="宋体"/>
          <w:spacing w:val="-11"/>
          <w:sz w:val="21"/>
          <w:szCs w:val="21"/>
        </w:rPr>
        <w:t>同一批对象进行两次重复测量，可用两次测量值的组内相关系数(intraclass cor</w:t>
      </w:r>
      <w:r>
        <w:rPr>
          <w:rFonts w:ascii="宋体" w:hAnsi="宋体" w:eastAsia="宋体" w:cs="宋体"/>
          <w:spacing w:val="-12"/>
          <w:sz w:val="21"/>
          <w:szCs w:val="21"/>
        </w:rPr>
        <w:t>relation coeficient,</w:t>
      </w:r>
      <w:r>
        <w:rPr>
          <w:rFonts w:ascii="宋体" w:hAnsi="宋体" w:eastAsia="宋体" w:cs="宋体"/>
          <w:sz w:val="21"/>
          <w:szCs w:val="21"/>
        </w:rPr>
        <w:t xml:space="preserve"> </w:t>
      </w:r>
      <w:r>
        <w:rPr>
          <w:rFonts w:ascii="宋体" w:hAnsi="宋体" w:eastAsia="宋体" w:cs="宋体"/>
          <w:spacing w:val="-2"/>
          <w:sz w:val="21"/>
          <w:szCs w:val="21"/>
        </w:rPr>
        <w:t>ICC)</w:t>
      </w:r>
      <w:r>
        <w:rPr>
          <w:rFonts w:ascii="宋体" w:hAnsi="宋体" w:eastAsia="宋体" w:cs="宋体"/>
          <w:spacing w:val="-34"/>
          <w:sz w:val="21"/>
          <w:szCs w:val="21"/>
        </w:rPr>
        <w:t xml:space="preserve"> </w:t>
      </w:r>
      <w:r>
        <w:rPr>
          <w:rFonts w:ascii="宋体" w:hAnsi="宋体" w:eastAsia="宋体" w:cs="宋体"/>
          <w:spacing w:val="-2"/>
          <w:sz w:val="21"/>
          <w:szCs w:val="21"/>
        </w:rPr>
        <w:t>来评价一致程度。ICC</w:t>
      </w:r>
      <w:r>
        <w:rPr>
          <w:rFonts w:ascii="宋体" w:hAnsi="宋体" w:eastAsia="宋体" w:cs="宋体"/>
          <w:spacing w:val="-21"/>
          <w:sz w:val="21"/>
          <w:szCs w:val="21"/>
        </w:rPr>
        <w:t xml:space="preserve"> </w:t>
      </w:r>
      <w:r>
        <w:rPr>
          <w:rFonts w:ascii="宋体" w:hAnsi="宋体" w:eastAsia="宋体" w:cs="宋体"/>
          <w:spacing w:val="-2"/>
          <w:sz w:val="21"/>
          <w:szCs w:val="21"/>
        </w:rPr>
        <w:t>变化范围在0～1范围内，值越接近1,认为筛检方法的一致性越好。</w:t>
      </w:r>
    </w:p>
    <w:p w14:paraId="695FDF98">
      <w:pPr>
        <w:spacing w:before="103" w:line="269" w:lineRule="auto"/>
        <w:ind w:left="689" w:right="77" w:firstLine="400"/>
        <w:rPr>
          <w:rFonts w:ascii="宋体" w:hAnsi="宋体" w:eastAsia="宋体" w:cs="宋体"/>
          <w:sz w:val="21"/>
          <w:szCs w:val="21"/>
        </w:rPr>
      </w:pPr>
      <w:r>
        <w:rPr>
          <w:rFonts w:ascii="宋体" w:hAnsi="宋体" w:eastAsia="宋体" w:cs="宋体"/>
          <w:spacing w:val="3"/>
          <w:sz w:val="21"/>
          <w:szCs w:val="21"/>
        </w:rPr>
        <w:t>(2)分类测量的资料：一般整理成配对四格表形式</w:t>
      </w:r>
      <w:r>
        <w:rPr>
          <w:rFonts w:ascii="宋体" w:hAnsi="宋体" w:eastAsia="宋体" w:cs="宋体"/>
          <w:spacing w:val="2"/>
          <w:sz w:val="21"/>
          <w:szCs w:val="21"/>
        </w:rPr>
        <w:t>(表7-3),注意格子内的数字表示两次检测</w:t>
      </w:r>
      <w:r>
        <w:rPr>
          <w:rFonts w:ascii="宋体" w:hAnsi="宋体" w:eastAsia="宋体" w:cs="宋体"/>
          <w:sz w:val="21"/>
          <w:szCs w:val="21"/>
        </w:rPr>
        <w:t xml:space="preserve"> </w:t>
      </w:r>
      <w:r>
        <w:rPr>
          <w:rFonts w:ascii="宋体" w:hAnsi="宋体" w:eastAsia="宋体" w:cs="宋体"/>
          <w:spacing w:val="-2"/>
          <w:sz w:val="21"/>
          <w:szCs w:val="21"/>
        </w:rPr>
        <w:t>结果一致/不一致的频数。评价指标有符合率和</w:t>
      </w:r>
      <w:r>
        <w:rPr>
          <w:rFonts w:ascii="Times New Roman" w:hAnsi="Times New Roman" w:eastAsia="Times New Roman" w:cs="Times New Roman"/>
          <w:spacing w:val="-2"/>
          <w:sz w:val="21"/>
          <w:szCs w:val="21"/>
        </w:rPr>
        <w:t>Kappa</w:t>
      </w:r>
      <w:r>
        <w:rPr>
          <w:rFonts w:ascii="宋体" w:hAnsi="宋体" w:eastAsia="宋体" w:cs="宋体"/>
          <w:spacing w:val="-2"/>
          <w:sz w:val="21"/>
          <w:szCs w:val="21"/>
        </w:rPr>
        <w:t>值；分布差异检验可用配</w:t>
      </w:r>
      <w:r>
        <w:rPr>
          <w:rFonts w:ascii="宋体" w:hAnsi="宋体" w:eastAsia="宋体" w:cs="宋体"/>
          <w:spacing w:val="-3"/>
          <w:sz w:val="21"/>
          <w:szCs w:val="21"/>
        </w:rPr>
        <w:t>对</w:t>
      </w:r>
      <w:r>
        <w:rPr>
          <w:rFonts w:ascii="Times New Roman" w:hAnsi="Times New Roman" w:eastAsia="Times New Roman" w:cs="Times New Roman"/>
          <w:spacing w:val="-3"/>
          <w:sz w:val="21"/>
          <w:szCs w:val="21"/>
        </w:rPr>
        <w:t>x²</w:t>
      </w:r>
      <w:r>
        <w:rPr>
          <w:rFonts w:ascii="Times New Roman" w:hAnsi="Times New Roman" w:eastAsia="Times New Roman" w:cs="Times New Roman"/>
          <w:spacing w:val="22"/>
          <w:sz w:val="21"/>
          <w:szCs w:val="21"/>
        </w:rPr>
        <w:t xml:space="preserve"> </w:t>
      </w:r>
      <w:r>
        <w:rPr>
          <w:rFonts w:ascii="宋体" w:hAnsi="宋体" w:eastAsia="宋体" w:cs="宋体"/>
          <w:spacing w:val="-3"/>
          <w:sz w:val="21"/>
          <w:szCs w:val="21"/>
        </w:rPr>
        <w:t>检验。</w:t>
      </w:r>
    </w:p>
    <w:p w14:paraId="446D4559">
      <w:pPr>
        <w:spacing w:before="302" w:line="219" w:lineRule="auto"/>
        <w:ind w:left="3770"/>
        <w:rPr>
          <w:rFonts w:ascii="宋体" w:hAnsi="宋体" w:eastAsia="宋体" w:cs="宋体"/>
          <w:sz w:val="19"/>
          <w:szCs w:val="19"/>
        </w:rPr>
      </w:pPr>
      <w:r>
        <w:rPr>
          <w:rFonts w:ascii="宋体" w:hAnsi="宋体" w:eastAsia="宋体" w:cs="宋体"/>
          <w:spacing w:val="-1"/>
          <w:sz w:val="19"/>
          <w:szCs w:val="19"/>
        </w:rPr>
        <w:t>表7-3某筛检试验一致性结果整理</w:t>
      </w:r>
    </w:p>
    <w:p w14:paraId="78101E60">
      <w:pPr>
        <w:spacing w:line="21" w:lineRule="exact"/>
      </w:pPr>
    </w:p>
    <w:tbl>
      <w:tblPr>
        <w:tblStyle w:val="5"/>
        <w:tblW w:w="8750" w:type="dxa"/>
        <w:tblInd w:w="749"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0" w:type="dxa"/>
          <w:left w:w="0" w:type="dxa"/>
          <w:bottom w:w="0" w:type="dxa"/>
          <w:right w:w="0" w:type="dxa"/>
        </w:tblCellMar>
      </w:tblPr>
      <w:tblGrid>
        <w:gridCol w:w="2200"/>
        <w:gridCol w:w="1460"/>
        <w:gridCol w:w="2940"/>
        <w:gridCol w:w="2150"/>
      </w:tblGrid>
      <w:tr w14:paraId="7EB42748">
        <w:trPr>
          <w:trHeight w:val="327" w:hRule="atLeast"/>
        </w:trPr>
        <w:tc>
          <w:tcPr>
            <w:tcW w:w="2200" w:type="dxa"/>
            <w:vMerge w:val="restart"/>
            <w:tcBorders>
              <w:top w:val="single" w:color="000000" w:sz="4" w:space="0"/>
              <w:bottom w:val="nil"/>
            </w:tcBorders>
            <w:shd w:val="clear" w:color="auto" w:fill="BCC1C0"/>
            <w:vAlign w:val="top"/>
          </w:tcPr>
          <w:p w14:paraId="05362CB9">
            <w:pPr>
              <w:pStyle w:val="6"/>
              <w:spacing w:before="282" w:line="219" w:lineRule="auto"/>
              <w:ind w:left="619"/>
              <w:rPr>
                <w:sz w:val="19"/>
                <w:szCs w:val="19"/>
              </w:rPr>
            </w:pPr>
            <w:r>
              <w:rPr>
                <w:spacing w:val="3"/>
                <w:sz w:val="19"/>
                <w:szCs w:val="19"/>
              </w:rPr>
              <w:t>第二次检测</w:t>
            </w:r>
          </w:p>
        </w:tc>
        <w:tc>
          <w:tcPr>
            <w:tcW w:w="1460" w:type="dxa"/>
            <w:vMerge w:val="restart"/>
            <w:tcBorders>
              <w:top w:val="single" w:color="000000" w:sz="4" w:space="0"/>
              <w:bottom w:val="nil"/>
            </w:tcBorders>
            <w:vAlign w:val="top"/>
          </w:tcPr>
          <w:p w14:paraId="05EF2CC7">
            <w:pPr>
              <w:spacing w:line="409" w:lineRule="auto"/>
              <w:rPr>
                <w:rFonts w:ascii="Arial"/>
                <w:sz w:val="21"/>
              </w:rPr>
            </w:pPr>
          </w:p>
          <w:p w14:paraId="4D94C54B">
            <w:pPr>
              <w:pStyle w:val="6"/>
              <w:spacing w:before="61" w:line="220" w:lineRule="auto"/>
              <w:ind w:left="820"/>
              <w:rPr>
                <w:sz w:val="19"/>
                <w:szCs w:val="19"/>
              </w:rPr>
            </w:pPr>
            <w:r>
              <mc:AlternateContent>
                <mc:Choice Requires="wps">
                  <w:drawing>
                    <wp:anchor distT="0" distB="0" distL="0" distR="0" simplePos="0" relativeHeight="251776000" behindDoc="1" locked="0" layoutInCell="1" allowOverlap="1">
                      <wp:simplePos x="0" y="0"/>
                      <wp:positionH relativeFrom="column">
                        <wp:posOffset>0</wp:posOffset>
                      </wp:positionH>
                      <wp:positionV relativeFrom="paragraph">
                        <wp:posOffset>-22860</wp:posOffset>
                      </wp:positionV>
                      <wp:extent cx="1289685" cy="241300"/>
                      <wp:effectExtent l="0" t="0" r="0" b="0"/>
                      <wp:wrapNone/>
                      <wp:docPr id="420" name="Rect 420"/>
                      <wp:cNvGraphicFramePr/>
                      <a:graphic xmlns:a="http://schemas.openxmlformats.org/drawingml/2006/main">
                        <a:graphicData uri="http://schemas.microsoft.com/office/word/2010/wordprocessingShape">
                          <wps:wsp>
                            <wps:cNvSpPr/>
                            <wps:spPr>
                              <a:xfrm>
                                <a:off x="44" y="-23177"/>
                                <a:ext cx="1289685" cy="241300"/>
                              </a:xfrm>
                              <a:prstGeom prst="rect">
                                <a:avLst/>
                              </a:prstGeom>
                              <a:solidFill>
                                <a:srgbClr val="B2B6B4"/>
                              </a:solidFill>
                              <a:ln w="0">
                                <a:noFill/>
                              </a:ln>
                            </wps:spPr>
                            <wps:style>
                              <a:lnRef idx="0">
                                <a:schemeClr val="accent1"/>
                              </a:lnRef>
                              <a:fillRef idx="0">
                                <a:schemeClr val="accent1"/>
                              </a:fillRef>
                              <a:effectRef idx="0">
                                <a:schemeClr val="accent1"/>
                              </a:effectRef>
                              <a:fontRef idx="minor">
                                <a:schemeClr val="dk1"/>
                              </a:fontRef>
                            </wps:style>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rect id="Rect 420" o:spid="_x0000_s1026" o:spt="1" style="position:absolute;left:0pt;margin-left:0pt;margin-top:-1.8pt;height:19pt;width:101.55pt;z-index:-251540480;mso-width-relative:page;mso-height-relative:page;" fillcolor="#B2B6B4" filled="t" stroked="f" coordsize="21600,21600" o:gfxdata="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">
                      <v:fill on="t" focussize="0,0"/>
                      <v:stroke on="f" weight="0pt"/>
                      <v:imagedata o:title=""/>
                      <o:lock v:ext="edit" aspectratio="f"/>
                      <v:textbox inset="0mm,0mm,0mm,0mm"/>
                    </v:rect>
                  </w:pict>
                </mc:Fallback>
              </mc:AlternateContent>
            </w:r>
            <w:r>
              <w:rPr>
                <w:spacing w:val="3"/>
                <w:sz w:val="19"/>
                <w:szCs w:val="19"/>
              </w:rPr>
              <w:t>阳性</w:t>
            </w:r>
          </w:p>
        </w:tc>
        <w:tc>
          <w:tcPr>
            <w:tcW w:w="2940" w:type="dxa"/>
            <w:tcBorders>
              <w:top w:val="single" w:color="000000" w:sz="4" w:space="0"/>
            </w:tcBorders>
            <w:vAlign w:val="top"/>
          </w:tcPr>
          <w:p w14:paraId="14B1D0FC">
            <w:pPr>
              <w:pStyle w:val="6"/>
              <w:spacing w:before="92" w:line="218" w:lineRule="auto"/>
              <w:ind w:left="260"/>
              <w:rPr>
                <w:sz w:val="19"/>
                <w:szCs w:val="19"/>
              </w:rPr>
            </w:pPr>
            <w:r>
              <mc:AlternateContent>
                <mc:Choice Requires="wps">
                  <w:drawing>
                    <wp:anchor distT="0" distB="0" distL="0" distR="0" simplePos="0" relativeHeight="251777024" behindDoc="1" locked="0" layoutInCell="1" allowOverlap="1">
                      <wp:simplePos x="0" y="0"/>
                      <wp:positionH relativeFrom="column">
                        <wp:posOffset>-926465</wp:posOffset>
                      </wp:positionH>
                      <wp:positionV relativeFrom="paragraph">
                        <wp:posOffset>-3175</wp:posOffset>
                      </wp:positionV>
                      <wp:extent cx="2794635" cy="241300"/>
                      <wp:effectExtent l="0" t="0" r="0" b="0"/>
                      <wp:wrapNone/>
                      <wp:docPr id="422" name="Rect 422"/>
                      <wp:cNvGraphicFramePr/>
                      <a:graphic xmlns:a="http://schemas.openxmlformats.org/drawingml/2006/main">
                        <a:graphicData uri="http://schemas.microsoft.com/office/word/2010/wordprocessingShape">
                          <wps:wsp>
                            <wps:cNvSpPr/>
                            <wps:spPr>
                              <a:xfrm>
                                <a:off x="-927055" y="-3182"/>
                                <a:ext cx="2794635" cy="241300"/>
                              </a:xfrm>
                              <a:prstGeom prst="rect">
                                <a:avLst/>
                              </a:prstGeom>
                              <a:solidFill>
                                <a:srgbClr val="BEC2BD"/>
                              </a:solidFill>
                              <a:ln w="0">
                                <a:noFill/>
                              </a:ln>
                            </wps:spPr>
                            <wps:style>
                              <a:lnRef idx="0">
                                <a:schemeClr val="accent1"/>
                              </a:lnRef>
                              <a:fillRef idx="0">
                                <a:schemeClr val="accent1"/>
                              </a:fillRef>
                              <a:effectRef idx="0">
                                <a:schemeClr val="accent1"/>
                              </a:effectRef>
                              <a:fontRef idx="minor">
                                <a:schemeClr val="dk1"/>
                              </a:fontRef>
                            </wps:style>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rect id="Rect 422" o:spid="_x0000_s1026" o:spt="1" style="position:absolute;left:0pt;margin-left:-72.95pt;margin-top:-0.25pt;height:19pt;width:220.05pt;z-index:-251539456;mso-width-relative:page;mso-height-relative:page;" fillcolor="#BEC2BD" filled="t" stroked="f" coordsize="21600,21600" o:gfxdata="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">
                      <v:fill on="t" focussize="0,0"/>
                      <v:stroke on="f" weight="0pt"/>
                      <v:imagedata o:title=""/>
                      <o:lock v:ext="edit" aspectratio="f"/>
                      <v:textbox inset="0mm,0mm,0mm,0mm"/>
                    </v:rect>
                  </w:pict>
                </mc:Fallback>
              </mc:AlternateContent>
            </w:r>
            <w:r>
              <w:rPr>
                <w:spacing w:val="3"/>
                <w:sz w:val="19"/>
                <w:szCs w:val="19"/>
              </w:rPr>
              <w:t>第一次检测</w:t>
            </w:r>
          </w:p>
        </w:tc>
        <w:tc>
          <w:tcPr>
            <w:tcW w:w="2150" w:type="dxa"/>
            <w:vMerge w:val="restart"/>
            <w:tcBorders>
              <w:top w:val="single" w:color="000000" w:sz="4" w:space="0"/>
              <w:bottom w:val="nil"/>
            </w:tcBorders>
            <w:shd w:val="clear" w:color="auto" w:fill="C3C5BF"/>
            <w:vAlign w:val="top"/>
          </w:tcPr>
          <w:p w14:paraId="049DC9F4">
            <w:pPr>
              <w:pStyle w:val="6"/>
              <w:spacing w:before="283" w:line="221" w:lineRule="auto"/>
              <w:ind w:left="880"/>
              <w:rPr>
                <w:sz w:val="19"/>
                <w:szCs w:val="19"/>
              </w:rPr>
            </w:pPr>
            <w:r>
              <w:rPr>
                <w:spacing w:val="-3"/>
                <w:sz w:val="19"/>
                <w:szCs w:val="19"/>
              </w:rPr>
              <w:t>合计</w:t>
            </w:r>
          </w:p>
        </w:tc>
      </w:tr>
      <w:tr w14:paraId="346BA369">
        <w:trPr>
          <w:trHeight w:val="424" w:hRule="atLeast"/>
        </w:trPr>
        <w:tc>
          <w:tcPr>
            <w:tcW w:w="2200" w:type="dxa"/>
            <w:vMerge w:val="continue"/>
            <w:tcBorders>
              <w:top w:val="nil"/>
              <w:bottom w:val="single" w:color="000000" w:sz="4" w:space="0"/>
            </w:tcBorders>
            <w:vAlign w:val="top"/>
          </w:tcPr>
          <w:p w14:paraId="51CE29CD">
            <w:pPr>
              <w:rPr>
                <w:rFonts w:ascii="Arial"/>
                <w:sz w:val="21"/>
              </w:rPr>
            </w:pPr>
          </w:p>
        </w:tc>
        <w:tc>
          <w:tcPr>
            <w:tcW w:w="1460" w:type="dxa"/>
            <w:vMerge w:val="continue"/>
            <w:tcBorders>
              <w:top w:val="nil"/>
              <w:bottom w:val="single" w:color="000000" w:sz="4" w:space="0"/>
            </w:tcBorders>
            <w:vAlign w:val="top"/>
          </w:tcPr>
          <w:p w14:paraId="53897D33">
            <w:pPr>
              <w:rPr>
                <w:rFonts w:ascii="Arial"/>
                <w:sz w:val="21"/>
              </w:rPr>
            </w:pPr>
          </w:p>
        </w:tc>
        <w:tc>
          <w:tcPr>
            <w:tcW w:w="2940" w:type="dxa"/>
            <w:tcBorders>
              <w:bottom w:val="single" w:color="000000" w:sz="4" w:space="0"/>
            </w:tcBorders>
            <w:vAlign w:val="top"/>
          </w:tcPr>
          <w:p w14:paraId="6FECA8B2">
            <w:pPr>
              <w:pStyle w:val="6"/>
              <w:spacing w:before="47" w:line="366" w:lineRule="exact"/>
              <w:ind w:firstLine="570"/>
            </w:pPr>
            <w:r>
              <w:rPr>
                <w:position w:val="-8"/>
              </w:rPr>
              <w:pict>
                <v:shape id="_x0000_s1086" o:spid="_x0000_s1086" o:spt="202" type="#_x0000_t202" style="height:19pt;width:118.55pt;" fillcolor="#C0C1BC" filled="t" stroked="f" coordsize="21600,21600">
                  <v:path/>
                  <v:fill on="t" focussize="0,0"/>
                  <v:stroke on="f"/>
                  <v:imagedata o:title=""/>
                  <o:lock v:ext="edit" aspectratio="f"/>
                  <v:textbox inset="0mm,0mm,0mm,0mm">
                    <w:txbxContent>
                      <w:p w14:paraId="44D20F4F">
                        <w:pPr>
                          <w:spacing w:before="98" w:line="220" w:lineRule="auto"/>
                          <w:ind w:left="989"/>
                          <w:rPr>
                            <w:rFonts w:ascii="宋体" w:hAnsi="宋体" w:eastAsia="宋体" w:cs="宋体"/>
                            <w:sz w:val="19"/>
                            <w:szCs w:val="19"/>
                          </w:rPr>
                        </w:pPr>
                        <w:r>
                          <w:rPr>
                            <w:rFonts w:ascii="宋体" w:hAnsi="宋体" w:eastAsia="宋体" w:cs="宋体"/>
                            <w:spacing w:val="3"/>
                            <w:sz w:val="19"/>
                            <w:szCs w:val="19"/>
                          </w:rPr>
                          <w:t>阴性</w:t>
                        </w:r>
                      </w:p>
                    </w:txbxContent>
                  </v:textbox>
                  <w10:wrap type="none"/>
                  <w10:anchorlock/>
                </v:shape>
              </w:pict>
            </w:r>
          </w:p>
        </w:tc>
        <w:tc>
          <w:tcPr>
            <w:tcW w:w="2150" w:type="dxa"/>
            <w:vMerge w:val="continue"/>
            <w:tcBorders>
              <w:top w:val="nil"/>
              <w:bottom w:val="single" w:color="000000" w:sz="4" w:space="0"/>
            </w:tcBorders>
            <w:vAlign w:val="top"/>
          </w:tcPr>
          <w:p w14:paraId="0087CBB8">
            <w:pPr>
              <w:rPr>
                <w:rFonts w:ascii="Arial"/>
                <w:sz w:val="21"/>
              </w:rPr>
            </w:pPr>
          </w:p>
        </w:tc>
      </w:tr>
      <w:tr w14:paraId="6B870FD7">
        <w:trPr>
          <w:trHeight w:val="328" w:hRule="atLeast"/>
        </w:trPr>
        <w:tc>
          <w:tcPr>
            <w:tcW w:w="2200" w:type="dxa"/>
            <w:tcBorders>
              <w:top w:val="single" w:color="000000" w:sz="4" w:space="0"/>
              <w:bottom w:val="single" w:color="000000" w:sz="4" w:space="0"/>
            </w:tcBorders>
            <w:vAlign w:val="top"/>
          </w:tcPr>
          <w:p w14:paraId="31C274C7">
            <w:pPr>
              <w:pStyle w:val="6"/>
              <w:spacing w:before="72" w:line="220" w:lineRule="auto"/>
              <w:ind w:left="909"/>
              <w:rPr>
                <w:sz w:val="19"/>
                <w:szCs w:val="19"/>
              </w:rPr>
            </w:pPr>
            <w:r>
              <w:rPr>
                <w:spacing w:val="3"/>
                <w:sz w:val="19"/>
                <w:szCs w:val="19"/>
              </w:rPr>
              <w:t>阳性</w:t>
            </w:r>
          </w:p>
        </w:tc>
        <w:tc>
          <w:tcPr>
            <w:tcW w:w="1460" w:type="dxa"/>
            <w:tcBorders>
              <w:top w:val="single" w:color="000000" w:sz="4" w:space="0"/>
              <w:bottom w:val="single" w:color="000000" w:sz="4" w:space="0"/>
            </w:tcBorders>
            <w:vAlign w:val="top"/>
          </w:tcPr>
          <w:p w14:paraId="1ED43782">
            <w:pPr>
              <w:pStyle w:val="6"/>
              <w:spacing w:before="119" w:line="184" w:lineRule="auto"/>
              <w:ind w:left="960"/>
              <w:rPr>
                <w:sz w:val="19"/>
                <w:szCs w:val="19"/>
              </w:rPr>
            </w:pPr>
            <w:r>
              <w:rPr>
                <w:sz w:val="19"/>
                <w:szCs w:val="19"/>
              </w:rPr>
              <w:t>A</w:t>
            </w:r>
          </w:p>
        </w:tc>
        <w:tc>
          <w:tcPr>
            <w:tcW w:w="2940" w:type="dxa"/>
            <w:tcBorders>
              <w:top w:val="single" w:color="000000" w:sz="4" w:space="0"/>
              <w:bottom w:val="single" w:color="000000" w:sz="4" w:space="0"/>
            </w:tcBorders>
            <w:vAlign w:val="top"/>
          </w:tcPr>
          <w:p w14:paraId="0BD18281">
            <w:pPr>
              <w:pStyle w:val="6"/>
              <w:spacing w:before="121" w:line="182" w:lineRule="auto"/>
              <w:ind w:left="1699"/>
              <w:rPr>
                <w:sz w:val="19"/>
                <w:szCs w:val="19"/>
              </w:rPr>
            </w:pPr>
            <w:r>
              <w:rPr>
                <w:sz w:val="19"/>
                <w:szCs w:val="19"/>
              </w:rPr>
              <w:t>B</w:t>
            </w:r>
          </w:p>
        </w:tc>
        <w:tc>
          <w:tcPr>
            <w:tcW w:w="2150" w:type="dxa"/>
            <w:tcBorders>
              <w:top w:val="single" w:color="000000" w:sz="4" w:space="0"/>
              <w:bottom w:val="single" w:color="000000" w:sz="4" w:space="0"/>
            </w:tcBorders>
            <w:vAlign w:val="top"/>
          </w:tcPr>
          <w:p w14:paraId="570730DB">
            <w:pPr>
              <w:pStyle w:val="6"/>
              <w:spacing w:before="102" w:line="182" w:lineRule="auto"/>
              <w:ind w:left="930"/>
              <w:rPr>
                <w:rFonts w:ascii="Calibri" w:hAnsi="Calibri" w:eastAsia="Calibri" w:cs="Calibri"/>
                <w:sz w:val="19"/>
                <w:szCs w:val="19"/>
              </w:rPr>
            </w:pPr>
            <w:r>
              <w:rPr>
                <w:spacing w:val="-3"/>
                <w:sz w:val="19"/>
                <w:szCs w:val="19"/>
              </w:rPr>
              <w:t>R</w:t>
            </w:r>
            <w:r>
              <w:rPr>
                <w:rFonts w:ascii="Calibri" w:hAnsi="Calibri" w:eastAsia="Calibri" w:cs="Calibri"/>
                <w:spacing w:val="-3"/>
                <w:sz w:val="19"/>
                <w:szCs w:val="19"/>
              </w:rPr>
              <w:t>₁</w:t>
            </w:r>
          </w:p>
        </w:tc>
      </w:tr>
      <w:tr w14:paraId="58001979">
        <w:trPr>
          <w:trHeight w:val="377" w:hRule="atLeast"/>
        </w:trPr>
        <w:tc>
          <w:tcPr>
            <w:tcW w:w="2200" w:type="dxa"/>
            <w:tcBorders>
              <w:top w:val="single" w:color="000000" w:sz="4" w:space="0"/>
              <w:bottom w:val="single" w:color="000000" w:sz="4" w:space="0"/>
            </w:tcBorders>
            <w:shd w:val="clear" w:color="auto" w:fill="DCDBDE"/>
            <w:vAlign w:val="top"/>
          </w:tcPr>
          <w:p w14:paraId="67DE7832">
            <w:pPr>
              <w:pStyle w:val="6"/>
              <w:spacing w:before="104" w:line="220" w:lineRule="auto"/>
              <w:ind w:left="909"/>
              <w:rPr>
                <w:sz w:val="19"/>
                <w:szCs w:val="19"/>
              </w:rPr>
            </w:pPr>
            <w:r>
              <w:rPr>
                <w:spacing w:val="3"/>
                <w:sz w:val="19"/>
                <w:szCs w:val="19"/>
              </w:rPr>
              <w:t>阴性</w:t>
            </w:r>
          </w:p>
        </w:tc>
        <w:tc>
          <w:tcPr>
            <w:tcW w:w="1460" w:type="dxa"/>
            <w:tcBorders>
              <w:top w:val="single" w:color="000000" w:sz="4" w:space="0"/>
              <w:bottom w:val="single" w:color="000000" w:sz="4" w:space="0"/>
            </w:tcBorders>
            <w:vAlign w:val="top"/>
          </w:tcPr>
          <w:p w14:paraId="5DB7C2B5">
            <w:pPr>
              <w:pStyle w:val="6"/>
              <w:spacing w:before="152" w:line="183" w:lineRule="auto"/>
              <w:ind w:left="960"/>
              <w:rPr>
                <w:sz w:val="19"/>
                <w:szCs w:val="19"/>
              </w:rPr>
            </w:pPr>
            <w:r>
              <mc:AlternateContent>
                <mc:Choice Requires="wps">
                  <w:drawing>
                    <wp:anchor distT="0" distB="0" distL="0" distR="0" simplePos="0" relativeHeight="251778048" behindDoc="1" locked="0" layoutInCell="1" allowOverlap="1">
                      <wp:simplePos x="0" y="0"/>
                      <wp:positionH relativeFrom="column">
                        <wp:posOffset>0</wp:posOffset>
                      </wp:positionH>
                      <wp:positionV relativeFrom="paragraph">
                        <wp:posOffset>-1905</wp:posOffset>
                      </wp:positionV>
                      <wp:extent cx="1289685" cy="247650"/>
                      <wp:effectExtent l="0" t="0" r="0" b="0"/>
                      <wp:wrapNone/>
                      <wp:docPr id="424" name="Rect 424"/>
                      <wp:cNvGraphicFramePr/>
                      <a:graphic xmlns:a="http://schemas.openxmlformats.org/drawingml/2006/main">
                        <a:graphicData uri="http://schemas.microsoft.com/office/word/2010/wordprocessingShape">
                          <wps:wsp>
                            <wps:cNvSpPr/>
                            <wps:spPr>
                              <a:xfrm>
                                <a:off x="44" y="-2499"/>
                                <a:ext cx="1289685" cy="247650"/>
                              </a:xfrm>
                              <a:prstGeom prst="rect">
                                <a:avLst/>
                              </a:prstGeom>
                              <a:solidFill>
                                <a:srgbClr val="D9D7D7"/>
                              </a:solidFill>
                              <a:ln w="0">
                                <a:noFill/>
                              </a:ln>
                            </wps:spPr>
                            <wps:style>
                              <a:lnRef idx="0">
                                <a:schemeClr val="accent1"/>
                              </a:lnRef>
                              <a:fillRef idx="0">
                                <a:schemeClr val="accent1"/>
                              </a:fillRef>
                              <a:effectRef idx="0">
                                <a:schemeClr val="accent1"/>
                              </a:effectRef>
                              <a:fontRef idx="minor">
                                <a:schemeClr val="dk1"/>
                              </a:fontRef>
                            </wps:style>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rect id="Rect 424" o:spid="_x0000_s1026" o:spt="1" style="position:absolute;left:0pt;margin-left:0pt;margin-top:-0.15pt;height:19.5pt;width:101.55pt;z-index:-251538432;mso-width-relative:page;mso-height-relative:page;" fillcolor="#D9D7D7" filled="t" stroked="f" coordsize="21600,21600" o:gfxdata="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">
                      <v:fill on="t" focussize="0,0"/>
                      <v:stroke on="f" weight="0pt"/>
                      <v:imagedata o:title=""/>
                      <o:lock v:ext="edit" aspectratio="f"/>
                      <v:textbox inset="0mm,0mm,0mm,0mm"/>
                    </v:rect>
                  </w:pict>
                </mc:Fallback>
              </mc:AlternateContent>
            </w:r>
            <w:r>
              <w:rPr>
                <w:sz w:val="19"/>
                <w:szCs w:val="19"/>
              </w:rPr>
              <w:t>C</w:t>
            </w:r>
          </w:p>
        </w:tc>
        <w:tc>
          <w:tcPr>
            <w:tcW w:w="2940" w:type="dxa"/>
            <w:tcBorders>
              <w:top w:val="single" w:color="000000" w:sz="4" w:space="0"/>
              <w:bottom w:val="single" w:color="000000" w:sz="4" w:space="0"/>
            </w:tcBorders>
            <w:vAlign w:val="top"/>
          </w:tcPr>
          <w:p w14:paraId="301A0B1C">
            <w:pPr>
              <w:pStyle w:val="6"/>
              <w:spacing w:line="367" w:lineRule="exact"/>
              <w:ind w:firstLine="570"/>
            </w:pPr>
            <w:r>
              <w:rPr>
                <w:position w:val="-9"/>
              </w:rPr>
              <w:pict>
                <v:shape id="_x0000_s1087" o:spid="_x0000_s1087" o:spt="202" type="#_x0000_t202" style="height:19.5pt;width:118.55pt;" fillcolor="#DAD7D6" filled="t" stroked="f" coordsize="21600,21600">
                  <v:path/>
                  <v:fill on="t" focussize="0,0"/>
                  <v:stroke on="f"/>
                  <v:imagedata o:title=""/>
                  <o:lock v:ext="edit" aspectratio="f"/>
                  <v:textbox inset="0mm,0mm,0mm,0mm">
                    <w:txbxContent>
                      <w:p w14:paraId="322ABC00">
                        <w:pPr>
                          <w:spacing w:before="157" w:line="182" w:lineRule="auto"/>
                          <w:ind w:left="1129"/>
                          <w:rPr>
                            <w:rFonts w:ascii="宋体" w:hAnsi="宋体" w:eastAsia="宋体" w:cs="宋体"/>
                            <w:sz w:val="19"/>
                            <w:szCs w:val="19"/>
                          </w:rPr>
                        </w:pPr>
                        <w:r>
                          <w:rPr>
                            <w:rFonts w:ascii="宋体" w:hAnsi="宋体" w:eastAsia="宋体" w:cs="宋体"/>
                            <w:sz w:val="19"/>
                            <w:szCs w:val="19"/>
                          </w:rPr>
                          <w:t>D</w:t>
                        </w:r>
                      </w:p>
                    </w:txbxContent>
                  </v:textbox>
                  <w10:wrap type="none"/>
                  <w10:anchorlock/>
                </v:shape>
              </w:pict>
            </w:r>
          </w:p>
        </w:tc>
        <w:tc>
          <w:tcPr>
            <w:tcW w:w="2150" w:type="dxa"/>
            <w:tcBorders>
              <w:top w:val="single" w:color="000000" w:sz="4" w:space="0"/>
              <w:bottom w:val="single" w:color="000000" w:sz="4" w:space="0"/>
            </w:tcBorders>
            <w:shd w:val="clear" w:color="auto" w:fill="DAD7D6"/>
            <w:vAlign w:val="top"/>
          </w:tcPr>
          <w:p w14:paraId="119D6948">
            <w:pPr>
              <w:pStyle w:val="6"/>
              <w:spacing w:before="135" w:line="182" w:lineRule="auto"/>
              <w:ind w:left="930"/>
              <w:rPr>
                <w:rFonts w:ascii="Calibri" w:hAnsi="Calibri" w:eastAsia="Calibri" w:cs="Calibri"/>
                <w:sz w:val="19"/>
                <w:szCs w:val="19"/>
              </w:rPr>
            </w:pPr>
            <w:r>
              <w:rPr>
                <w:spacing w:val="-3"/>
                <w:sz w:val="19"/>
                <w:szCs w:val="19"/>
              </w:rPr>
              <w:t>R</w:t>
            </w:r>
            <w:r>
              <w:rPr>
                <w:rFonts w:ascii="Calibri" w:hAnsi="Calibri" w:eastAsia="Calibri" w:cs="Calibri"/>
                <w:spacing w:val="-3"/>
                <w:sz w:val="19"/>
                <w:szCs w:val="19"/>
              </w:rPr>
              <w:t>₂</w:t>
            </w:r>
          </w:p>
        </w:tc>
      </w:tr>
      <w:tr w14:paraId="3006AC9E">
        <w:trPr>
          <w:trHeight w:val="393" w:hRule="atLeast"/>
        </w:trPr>
        <w:tc>
          <w:tcPr>
            <w:tcW w:w="2200" w:type="dxa"/>
            <w:tcBorders>
              <w:top w:val="single" w:color="000000" w:sz="4" w:space="0"/>
              <w:bottom w:val="single" w:color="000000" w:sz="4" w:space="0"/>
            </w:tcBorders>
            <w:vAlign w:val="top"/>
          </w:tcPr>
          <w:p w14:paraId="6803B135">
            <w:pPr>
              <w:pStyle w:val="6"/>
              <w:spacing w:before="107" w:line="221" w:lineRule="auto"/>
              <w:ind w:left="909"/>
              <w:rPr>
                <w:sz w:val="19"/>
                <w:szCs w:val="19"/>
              </w:rPr>
            </w:pPr>
            <w:r>
              <w:rPr>
                <w:spacing w:val="-3"/>
                <w:sz w:val="19"/>
                <w:szCs w:val="19"/>
              </w:rPr>
              <w:t>合计</w:t>
            </w:r>
          </w:p>
        </w:tc>
        <w:tc>
          <w:tcPr>
            <w:tcW w:w="1460" w:type="dxa"/>
            <w:tcBorders>
              <w:top w:val="single" w:color="000000" w:sz="4" w:space="0"/>
              <w:bottom w:val="single" w:color="000000" w:sz="4" w:space="0"/>
            </w:tcBorders>
            <w:vAlign w:val="top"/>
          </w:tcPr>
          <w:p w14:paraId="5AA82B53">
            <w:pPr>
              <w:pStyle w:val="6"/>
              <w:spacing w:before="137" w:line="182" w:lineRule="auto"/>
              <w:ind w:left="870"/>
              <w:rPr>
                <w:rFonts w:ascii="Calibri" w:hAnsi="Calibri" w:eastAsia="Calibri" w:cs="Calibri"/>
                <w:sz w:val="19"/>
                <w:szCs w:val="19"/>
              </w:rPr>
            </w:pPr>
            <w:r>
              <w:rPr>
                <w:spacing w:val="-1"/>
                <w:sz w:val="19"/>
                <w:szCs w:val="19"/>
              </w:rPr>
              <w:t>N</w:t>
            </w:r>
            <w:r>
              <w:rPr>
                <w:rFonts w:ascii="Calibri" w:hAnsi="Calibri" w:eastAsia="Calibri" w:cs="Calibri"/>
                <w:spacing w:val="-1"/>
                <w:sz w:val="19"/>
                <w:szCs w:val="19"/>
              </w:rPr>
              <w:t>₁</w:t>
            </w:r>
          </w:p>
        </w:tc>
        <w:tc>
          <w:tcPr>
            <w:tcW w:w="2940" w:type="dxa"/>
            <w:tcBorders>
              <w:top w:val="single" w:color="000000" w:sz="4" w:space="0"/>
              <w:bottom w:val="single" w:color="000000" w:sz="4" w:space="0"/>
            </w:tcBorders>
            <w:vAlign w:val="top"/>
          </w:tcPr>
          <w:p w14:paraId="15CFFE96">
            <w:pPr>
              <w:pStyle w:val="6"/>
              <w:spacing w:before="138" w:line="182" w:lineRule="auto"/>
              <w:ind w:left="1610"/>
              <w:rPr>
                <w:rFonts w:ascii="Calibri" w:hAnsi="Calibri" w:eastAsia="Calibri" w:cs="Calibri"/>
                <w:sz w:val="19"/>
                <w:szCs w:val="19"/>
              </w:rPr>
            </w:pPr>
            <w:r>
              <w:rPr>
                <w:spacing w:val="-1"/>
                <w:sz w:val="19"/>
                <w:szCs w:val="19"/>
              </w:rPr>
              <w:t>N</w:t>
            </w:r>
            <w:r>
              <w:rPr>
                <w:rFonts w:ascii="Calibri" w:hAnsi="Calibri" w:eastAsia="Calibri" w:cs="Calibri"/>
                <w:spacing w:val="-1"/>
                <w:sz w:val="19"/>
                <w:szCs w:val="19"/>
              </w:rPr>
              <w:t>₂</w:t>
            </w:r>
          </w:p>
        </w:tc>
        <w:tc>
          <w:tcPr>
            <w:tcW w:w="2150" w:type="dxa"/>
            <w:tcBorders>
              <w:top w:val="single" w:color="000000" w:sz="4" w:space="0"/>
              <w:bottom w:val="single" w:color="000000" w:sz="4" w:space="0"/>
            </w:tcBorders>
            <w:vAlign w:val="top"/>
          </w:tcPr>
          <w:p w14:paraId="7DA95DC9">
            <w:pPr>
              <w:pStyle w:val="6"/>
              <w:spacing w:before="156" w:line="182" w:lineRule="auto"/>
              <w:ind w:left="1020"/>
              <w:rPr>
                <w:sz w:val="19"/>
                <w:szCs w:val="19"/>
              </w:rPr>
            </w:pPr>
            <w:r>
              <w:rPr>
                <w:sz w:val="19"/>
                <w:szCs w:val="19"/>
              </w:rPr>
              <w:t>N</w:t>
            </w:r>
          </w:p>
        </w:tc>
      </w:tr>
    </w:tbl>
    <w:p w14:paraId="0BE3AA95">
      <w:pPr>
        <w:spacing w:line="319" w:lineRule="auto"/>
        <w:rPr>
          <w:rFonts w:ascii="Arial"/>
          <w:sz w:val="21"/>
        </w:rPr>
      </w:pPr>
    </w:p>
    <w:p w14:paraId="645990BF">
      <w:pPr>
        <w:spacing w:before="69" w:line="212" w:lineRule="auto"/>
        <w:ind w:left="1100"/>
        <w:rPr>
          <w:rFonts w:ascii="宋体" w:hAnsi="宋体" w:eastAsia="宋体" w:cs="宋体"/>
          <w:sz w:val="21"/>
          <w:szCs w:val="21"/>
        </w:rPr>
      </w:pPr>
      <w:r>
        <w:rPr>
          <w:rFonts w:ascii="宋体" w:hAnsi="宋体" w:eastAsia="宋体" w:cs="宋体"/>
          <w:spacing w:val="-3"/>
          <w:sz w:val="21"/>
          <w:szCs w:val="21"/>
        </w:rPr>
        <w:t>符合率</w:t>
      </w:r>
      <w:r>
        <w:rPr>
          <w:rFonts w:ascii="Times New Roman" w:hAnsi="Times New Roman" w:eastAsia="Times New Roman" w:cs="Times New Roman"/>
          <w:spacing w:val="-3"/>
          <w:sz w:val="21"/>
          <w:szCs w:val="21"/>
        </w:rPr>
        <w:t>(agreement/consistency</w:t>
      </w:r>
      <w:r>
        <w:rPr>
          <w:rFonts w:ascii="Times New Roman" w:hAnsi="Times New Roman" w:eastAsia="Times New Roman" w:cs="Times New Roman"/>
          <w:spacing w:val="50"/>
          <w:w w:val="101"/>
          <w:sz w:val="21"/>
          <w:szCs w:val="21"/>
        </w:rPr>
        <w:t xml:space="preserve"> </w:t>
      </w:r>
      <w:r>
        <w:rPr>
          <w:rFonts w:ascii="Times New Roman" w:hAnsi="Times New Roman" w:eastAsia="Times New Roman" w:cs="Times New Roman"/>
          <w:spacing w:val="-3"/>
          <w:sz w:val="21"/>
          <w:szCs w:val="21"/>
        </w:rPr>
        <w:t>rate),</w:t>
      </w:r>
      <w:r>
        <w:rPr>
          <w:rFonts w:ascii="宋体" w:hAnsi="宋体" w:eastAsia="宋体" w:cs="宋体"/>
          <w:spacing w:val="-3"/>
          <w:sz w:val="21"/>
          <w:szCs w:val="21"/>
        </w:rPr>
        <w:t>又称一致率，计算方法：</w:t>
      </w:r>
    </w:p>
    <w:p w14:paraId="4F2E1F74">
      <w:pPr>
        <w:spacing w:line="343" w:lineRule="auto"/>
        <w:rPr>
          <w:rFonts w:ascii="Arial"/>
          <w:sz w:val="21"/>
        </w:rPr>
      </w:pPr>
      <w:r>
        <w:drawing>
          <wp:anchor distT="0" distB="0" distL="0" distR="0" simplePos="0" relativeHeight="251781120" behindDoc="0" locked="0" layoutInCell="1" allowOverlap="1">
            <wp:simplePos x="0" y="0"/>
            <wp:positionH relativeFrom="column">
              <wp:posOffset>2494915</wp:posOffset>
            </wp:positionH>
            <wp:positionV relativeFrom="paragraph">
              <wp:posOffset>192405</wp:posOffset>
            </wp:positionV>
            <wp:extent cx="1504950" cy="311150"/>
            <wp:effectExtent l="0" t="0" r="0" b="0"/>
            <wp:wrapNone/>
            <wp:docPr id="426" name="IM 426"/>
            <wp:cNvGraphicFramePr/>
            <a:graphic xmlns:a="http://schemas.openxmlformats.org/drawingml/2006/main">
              <a:graphicData uri="http://schemas.openxmlformats.org/drawingml/2006/picture">
                <pic:pic xmlns:pic="http://schemas.openxmlformats.org/drawingml/2006/picture">
                  <pic:nvPicPr>
                    <pic:cNvPr id="426" name="IM 426"/>
                    <pic:cNvPicPr/>
                  </pic:nvPicPr>
                  <pic:blipFill>
                    <a:blip r:embed="rId577"/>
                    <a:stretch>
                      <a:fillRect/>
                    </a:stretch>
                  </pic:blipFill>
                  <pic:spPr>
                    <a:xfrm>
                      <a:off x="0" y="0"/>
                      <a:ext cx="1504952" cy="311128"/>
                    </a:xfrm>
                    <a:prstGeom prst="rect">
                      <a:avLst/>
                    </a:prstGeom>
                  </pic:spPr>
                </pic:pic>
              </a:graphicData>
            </a:graphic>
          </wp:anchor>
        </w:drawing>
      </w:r>
    </w:p>
    <w:p w14:paraId="449FA873">
      <w:pPr>
        <w:spacing w:before="69" w:line="221" w:lineRule="auto"/>
        <w:ind w:right="9"/>
        <w:jc w:val="right"/>
        <w:rPr>
          <w:rFonts w:ascii="宋体" w:hAnsi="宋体" w:eastAsia="宋体" w:cs="宋体"/>
          <w:sz w:val="21"/>
          <w:szCs w:val="21"/>
        </w:rPr>
      </w:pPr>
      <w:r>
        <w:rPr>
          <w:rFonts w:ascii="宋体" w:hAnsi="宋体" w:eastAsia="宋体" w:cs="宋体"/>
          <w:spacing w:val="5"/>
          <w:sz w:val="21"/>
          <w:szCs w:val="21"/>
        </w:rPr>
        <w:t>式(7-9)</w:t>
      </w:r>
    </w:p>
    <w:p w14:paraId="1E554187">
      <w:pPr>
        <w:spacing w:line="310" w:lineRule="auto"/>
        <w:rPr>
          <w:rFonts w:ascii="Arial"/>
          <w:sz w:val="21"/>
        </w:rPr>
      </w:pPr>
    </w:p>
    <w:p w14:paraId="500C49CC">
      <w:pPr>
        <w:spacing w:before="69" w:line="311" w:lineRule="auto"/>
        <w:ind w:left="709" w:right="74" w:firstLine="400"/>
        <w:rPr>
          <w:rFonts w:ascii="宋体" w:hAnsi="宋体" w:eastAsia="宋体" w:cs="宋体"/>
          <w:sz w:val="21"/>
          <w:szCs w:val="21"/>
        </w:rPr>
      </w:pPr>
      <w:r>
        <w:rPr>
          <w:rFonts w:ascii="宋体" w:hAnsi="宋体" w:eastAsia="宋体" w:cs="宋体"/>
          <w:spacing w:val="-4"/>
          <w:sz w:val="21"/>
          <w:szCs w:val="21"/>
        </w:rPr>
        <w:t>Kappa</w:t>
      </w:r>
      <w:r>
        <w:rPr>
          <w:rFonts w:ascii="宋体" w:hAnsi="宋体" w:eastAsia="宋体" w:cs="宋体"/>
          <w:spacing w:val="-25"/>
          <w:sz w:val="21"/>
          <w:szCs w:val="21"/>
        </w:rPr>
        <w:t xml:space="preserve"> </w:t>
      </w:r>
      <w:r>
        <w:rPr>
          <w:rFonts w:ascii="宋体" w:hAnsi="宋体" w:eastAsia="宋体" w:cs="宋体"/>
          <w:spacing w:val="-4"/>
          <w:sz w:val="21"/>
          <w:szCs w:val="21"/>
        </w:rPr>
        <w:t>值常用来评价两次检测结果的一</w:t>
      </w:r>
      <w:r>
        <w:rPr>
          <w:rFonts w:ascii="宋体" w:hAnsi="宋体" w:eastAsia="宋体" w:cs="宋体"/>
          <w:spacing w:val="-5"/>
          <w:sz w:val="21"/>
          <w:szCs w:val="21"/>
        </w:rPr>
        <w:t>致性，该指标的计算考虑机遇因素的影响，是更为客观</w:t>
      </w:r>
      <w:r>
        <w:rPr>
          <w:rFonts w:ascii="宋体" w:hAnsi="宋体" w:eastAsia="宋体" w:cs="宋体"/>
          <w:sz w:val="21"/>
          <w:szCs w:val="21"/>
        </w:rPr>
        <w:t xml:space="preserve"> </w:t>
      </w:r>
      <w:r>
        <w:rPr>
          <w:rFonts w:ascii="宋体" w:hAnsi="宋体" w:eastAsia="宋体" w:cs="宋体"/>
          <w:spacing w:val="-1"/>
          <w:sz w:val="21"/>
          <w:szCs w:val="21"/>
        </w:rPr>
        <w:t>的指标。其定义式为式(7-10)。Kappa</w:t>
      </w:r>
      <w:r>
        <w:rPr>
          <w:rFonts w:ascii="宋体" w:hAnsi="宋体" w:eastAsia="宋体" w:cs="宋体"/>
          <w:spacing w:val="-39"/>
          <w:sz w:val="21"/>
          <w:szCs w:val="21"/>
        </w:rPr>
        <w:t xml:space="preserve"> </w:t>
      </w:r>
      <w:r>
        <w:rPr>
          <w:rFonts w:ascii="宋体" w:hAnsi="宋体" w:eastAsia="宋体" w:cs="宋体"/>
          <w:spacing w:val="-1"/>
          <w:sz w:val="21"/>
          <w:szCs w:val="21"/>
        </w:rPr>
        <w:t>值的取值范围介于-1和+1之间。 一般认为Kappa</w:t>
      </w:r>
      <w:r>
        <w:rPr>
          <w:rFonts w:ascii="宋体" w:hAnsi="宋体" w:eastAsia="宋体" w:cs="宋体"/>
          <w:spacing w:val="-55"/>
          <w:sz w:val="21"/>
          <w:szCs w:val="21"/>
        </w:rPr>
        <w:t xml:space="preserve"> </w:t>
      </w:r>
      <w:r>
        <w:rPr>
          <w:rFonts w:ascii="宋体" w:hAnsi="宋体" w:eastAsia="宋体" w:cs="宋体"/>
          <w:spacing w:val="-1"/>
          <w:sz w:val="21"/>
          <w:szCs w:val="21"/>
        </w:rPr>
        <w:t>值≥0.75</w:t>
      </w:r>
    </w:p>
    <w:p w14:paraId="47958044">
      <w:pPr>
        <w:spacing w:line="311" w:lineRule="auto"/>
        <w:rPr>
          <w:rFonts w:ascii="宋体" w:hAnsi="宋体" w:eastAsia="宋体" w:cs="宋体"/>
          <w:sz w:val="21"/>
          <w:szCs w:val="21"/>
        </w:rPr>
        <w:sectPr>
          <w:footerReference r:id="rId145" w:type="default"/>
          <w:pgSz w:w="11900" w:h="16820"/>
          <w:pgMar w:top="400" w:right="1464" w:bottom="900" w:left="860" w:header="0" w:footer="627" w:gutter="0"/>
          <w:cols w:space="720" w:num="1"/>
        </w:sectPr>
      </w:pPr>
    </w:p>
    <w:p w14:paraId="1BD99100">
      <w:pPr>
        <w:pStyle w:val="2"/>
        <w:spacing w:before="227" w:line="222" w:lineRule="auto"/>
        <w:ind w:left="7939"/>
        <w:rPr>
          <w:sz w:val="21"/>
          <w:szCs w:val="21"/>
        </w:rPr>
      </w:pPr>
      <w:bookmarkStart w:id="208" w:name="bookmark471"/>
      <w:bookmarkEnd w:id="208"/>
      <w:r>
        <w:rPr>
          <w:spacing w:val="-2"/>
          <w:sz w:val="21"/>
          <w:szCs w:val="21"/>
        </w:rPr>
        <w:t>第七章筛检</w:t>
      </w:r>
    </w:p>
    <w:p w14:paraId="434FF56C">
      <w:pPr>
        <w:spacing w:before="54"/>
      </w:pPr>
    </w:p>
    <w:p w14:paraId="08EFAF78">
      <w:pPr>
        <w:spacing w:before="53"/>
      </w:pPr>
    </w:p>
    <w:p w14:paraId="1203ABF7">
      <w:pPr>
        <w:sectPr>
          <w:footerReference r:id="rId146" w:type="default"/>
          <w:pgSz w:w="11900" w:h="16820"/>
          <w:pgMar w:top="400" w:right="868" w:bottom="880" w:left="1410" w:header="0" w:footer="607" w:gutter="0"/>
          <w:cols w:equalWidth="0" w:num="1">
            <w:col w:w="9622"/>
          </w:cols>
        </w:sectPr>
      </w:pPr>
    </w:p>
    <w:p w14:paraId="5F3B92B7">
      <w:pPr>
        <w:spacing w:before="45" w:line="212" w:lineRule="auto"/>
        <w:ind w:left="9"/>
        <w:rPr>
          <w:rFonts w:ascii="宋体" w:hAnsi="宋体" w:eastAsia="宋体" w:cs="宋体"/>
          <w:sz w:val="21"/>
          <w:szCs w:val="21"/>
        </w:rPr>
      </w:pPr>
      <w:r>
        <w:rPr>
          <w:rFonts w:ascii="宋体" w:hAnsi="宋体" w:eastAsia="宋体" w:cs="宋体"/>
          <w:spacing w:val="-6"/>
          <w:sz w:val="21"/>
          <w:szCs w:val="21"/>
        </w:rPr>
        <w:t>为一致性极好，在0.4～0.75之间为中、高度一致，</w:t>
      </w:r>
      <w:r>
        <w:rPr>
          <w:rFonts w:ascii="Times New Roman" w:hAnsi="Times New Roman" w:eastAsia="Times New Roman" w:cs="Times New Roman"/>
          <w:spacing w:val="-6"/>
          <w:sz w:val="21"/>
          <w:szCs w:val="21"/>
        </w:rPr>
        <w:t>Kappa</w:t>
      </w:r>
      <w:r>
        <w:rPr>
          <w:rFonts w:ascii="宋体" w:hAnsi="宋体" w:eastAsia="宋体" w:cs="宋体"/>
          <w:spacing w:val="-6"/>
          <w:sz w:val="21"/>
          <w:szCs w:val="21"/>
        </w:rPr>
        <w:t>值≤0.40时为一致性差。</w:t>
      </w:r>
    </w:p>
    <w:p w14:paraId="341D89B6">
      <w:pPr>
        <w:spacing w:line="281" w:lineRule="auto"/>
        <w:rPr>
          <w:rFonts w:ascii="Arial"/>
          <w:sz w:val="21"/>
        </w:rPr>
      </w:pPr>
    </w:p>
    <w:p w14:paraId="0CBE2349">
      <w:pPr>
        <w:spacing w:line="531" w:lineRule="exact"/>
        <w:ind w:firstLine="2859"/>
      </w:pPr>
      <w:r>
        <w:rPr>
          <w:position w:val="-10"/>
        </w:rPr>
        <w:drawing>
          <wp:inline distT="0" distB="0" distL="0" distR="0">
            <wp:extent cx="2120900" cy="336550"/>
            <wp:effectExtent l="0" t="0" r="0" b="0"/>
            <wp:docPr id="428" name="IM 428"/>
            <wp:cNvGraphicFramePr/>
            <a:graphic xmlns:a="http://schemas.openxmlformats.org/drawingml/2006/main">
              <a:graphicData uri="http://schemas.openxmlformats.org/drawingml/2006/picture">
                <pic:pic xmlns:pic="http://schemas.openxmlformats.org/drawingml/2006/picture">
                  <pic:nvPicPr>
                    <pic:cNvPr id="428" name="IM 428"/>
                    <pic:cNvPicPr/>
                  </pic:nvPicPr>
                  <pic:blipFill>
                    <a:blip r:embed="rId578"/>
                    <a:stretch>
                      <a:fillRect/>
                    </a:stretch>
                  </pic:blipFill>
                  <pic:spPr>
                    <a:xfrm>
                      <a:off x="0" y="0"/>
                      <a:ext cx="2121232" cy="336906"/>
                    </a:xfrm>
                    <a:prstGeom prst="rect">
                      <a:avLst/>
                    </a:prstGeom>
                  </pic:spPr>
                </pic:pic>
              </a:graphicData>
            </a:graphic>
          </wp:inline>
        </w:drawing>
      </w:r>
    </w:p>
    <w:p w14:paraId="7BEA5D8C">
      <w:pPr>
        <w:spacing w:before="304" w:line="212" w:lineRule="auto"/>
        <w:ind w:left="429"/>
        <w:rPr>
          <w:rFonts w:ascii="宋体" w:hAnsi="宋体" w:eastAsia="宋体" w:cs="宋体"/>
          <w:sz w:val="21"/>
          <w:szCs w:val="21"/>
        </w:rPr>
      </w:pPr>
      <w:r>
        <w:drawing>
          <wp:anchor distT="0" distB="0" distL="0" distR="0" simplePos="0" relativeHeight="251784192" behindDoc="0" locked="0" layoutInCell="1" allowOverlap="1">
            <wp:simplePos x="0" y="0"/>
            <wp:positionH relativeFrom="column">
              <wp:posOffset>1974215</wp:posOffset>
            </wp:positionH>
            <wp:positionV relativeFrom="paragraph">
              <wp:posOffset>513715</wp:posOffset>
            </wp:positionV>
            <wp:extent cx="1809750" cy="406400"/>
            <wp:effectExtent l="0" t="0" r="0" b="0"/>
            <wp:wrapNone/>
            <wp:docPr id="430" name="IM 430"/>
            <wp:cNvGraphicFramePr/>
            <a:graphic xmlns:a="http://schemas.openxmlformats.org/drawingml/2006/main">
              <a:graphicData uri="http://schemas.openxmlformats.org/drawingml/2006/picture">
                <pic:pic xmlns:pic="http://schemas.openxmlformats.org/drawingml/2006/picture">
                  <pic:nvPicPr>
                    <pic:cNvPr id="430" name="IM 430"/>
                    <pic:cNvPicPr/>
                  </pic:nvPicPr>
                  <pic:blipFill>
                    <a:blip r:embed="rId579"/>
                    <a:stretch>
                      <a:fillRect/>
                    </a:stretch>
                  </pic:blipFill>
                  <pic:spPr>
                    <a:xfrm>
                      <a:off x="0" y="0"/>
                      <a:ext cx="1809781" cy="406400"/>
                    </a:xfrm>
                    <a:prstGeom prst="rect">
                      <a:avLst/>
                    </a:prstGeom>
                  </pic:spPr>
                </pic:pic>
              </a:graphicData>
            </a:graphic>
          </wp:anchor>
        </w:drawing>
      </w:r>
      <w:r>
        <w:rPr>
          <w:rFonts w:ascii="宋体" w:hAnsi="宋体" w:eastAsia="宋体" w:cs="宋体"/>
          <w:spacing w:val="3"/>
          <w:sz w:val="21"/>
          <w:szCs w:val="21"/>
        </w:rPr>
        <w:t>根据表7-3,</w:t>
      </w:r>
      <w:r>
        <w:rPr>
          <w:rFonts w:ascii="Times New Roman" w:hAnsi="Times New Roman" w:eastAsia="Times New Roman" w:cs="Times New Roman"/>
          <w:sz w:val="21"/>
          <w:szCs w:val="21"/>
        </w:rPr>
        <w:t>Kappa</w:t>
      </w:r>
      <w:r>
        <w:rPr>
          <w:rFonts w:ascii="Times New Roman" w:hAnsi="Times New Roman" w:eastAsia="Times New Roman" w:cs="Times New Roman"/>
          <w:spacing w:val="-15"/>
          <w:sz w:val="21"/>
          <w:szCs w:val="21"/>
        </w:rPr>
        <w:t xml:space="preserve"> </w:t>
      </w:r>
      <w:r>
        <w:rPr>
          <w:rFonts w:ascii="宋体" w:hAnsi="宋体" w:eastAsia="宋体" w:cs="宋体"/>
          <w:spacing w:val="3"/>
          <w:sz w:val="21"/>
          <w:szCs w:val="21"/>
        </w:rPr>
        <w:t>值的计算可用下式：</w:t>
      </w:r>
    </w:p>
    <w:p w14:paraId="5B5291A5">
      <w:pPr>
        <w:spacing w:before="2"/>
      </w:pPr>
    </w:p>
    <w:p w14:paraId="1B2E5CC7">
      <w:pPr>
        <w:spacing w:before="1"/>
      </w:pPr>
    </w:p>
    <w:p w14:paraId="1B723327">
      <w:pPr>
        <w:spacing w:before="1"/>
      </w:pPr>
    </w:p>
    <w:p w14:paraId="61E58B26">
      <w:pPr>
        <w:spacing w:line="14" w:lineRule="auto"/>
        <w:rPr>
          <w:rFonts w:ascii="Arial"/>
          <w:sz w:val="2"/>
        </w:rPr>
      </w:pPr>
      <w:r>
        <w:rPr>
          <w:rFonts w:ascii="Arial" w:hAnsi="Arial" w:eastAsia="Arial" w:cs="Arial"/>
          <w:sz w:val="2"/>
          <w:szCs w:val="2"/>
        </w:rPr>
        <w:br w:type="column"/>
      </w:r>
    </w:p>
    <w:p w14:paraId="23F434D6">
      <w:pPr>
        <w:spacing w:line="328" w:lineRule="auto"/>
        <w:rPr>
          <w:rFonts w:ascii="Arial"/>
          <w:sz w:val="21"/>
        </w:rPr>
      </w:pPr>
    </w:p>
    <w:p w14:paraId="60B86ADA">
      <w:pPr>
        <w:spacing w:line="328" w:lineRule="auto"/>
        <w:rPr>
          <w:rFonts w:ascii="Arial"/>
          <w:sz w:val="21"/>
        </w:rPr>
      </w:pPr>
    </w:p>
    <w:p w14:paraId="1930CE52">
      <w:pPr>
        <w:spacing w:before="68" w:line="221" w:lineRule="auto"/>
        <w:rPr>
          <w:rFonts w:ascii="宋体" w:hAnsi="宋体" w:eastAsia="宋体" w:cs="宋体"/>
          <w:sz w:val="21"/>
          <w:szCs w:val="21"/>
        </w:rPr>
      </w:pPr>
      <w:r>
        <w:rPr>
          <w:rFonts w:ascii="宋体" w:hAnsi="宋体" w:eastAsia="宋体" w:cs="宋体"/>
          <w:spacing w:val="8"/>
          <w:sz w:val="21"/>
          <w:szCs w:val="21"/>
        </w:rPr>
        <w:t>式(7-10)</w:t>
      </w:r>
    </w:p>
    <w:p w14:paraId="506527B0">
      <w:pPr>
        <w:spacing w:line="265" w:lineRule="auto"/>
        <w:rPr>
          <w:rFonts w:ascii="Arial"/>
          <w:sz w:val="21"/>
        </w:rPr>
      </w:pPr>
    </w:p>
    <w:p w14:paraId="0035EDB5">
      <w:pPr>
        <w:spacing w:line="266" w:lineRule="auto"/>
        <w:rPr>
          <w:rFonts w:ascii="Arial"/>
          <w:sz w:val="21"/>
        </w:rPr>
      </w:pPr>
    </w:p>
    <w:p w14:paraId="4A167E7B">
      <w:pPr>
        <w:spacing w:line="266" w:lineRule="auto"/>
        <w:rPr>
          <w:rFonts w:ascii="Arial"/>
          <w:sz w:val="21"/>
        </w:rPr>
      </w:pPr>
    </w:p>
    <w:p w14:paraId="4F548179">
      <w:pPr>
        <w:spacing w:line="266" w:lineRule="auto"/>
        <w:rPr>
          <w:rFonts w:ascii="Arial"/>
          <w:sz w:val="21"/>
        </w:rPr>
      </w:pPr>
    </w:p>
    <w:p w14:paraId="616C21DC">
      <w:pPr>
        <w:spacing w:before="69" w:line="221" w:lineRule="auto"/>
        <w:ind w:left="19"/>
        <w:rPr>
          <w:rFonts w:ascii="宋体" w:hAnsi="宋体" w:eastAsia="宋体" w:cs="宋体"/>
          <w:sz w:val="21"/>
          <w:szCs w:val="21"/>
        </w:rPr>
      </w:pPr>
      <w:r>
        <w:rPr>
          <w:rFonts w:ascii="宋体" w:hAnsi="宋体" w:eastAsia="宋体" w:cs="宋体"/>
          <w:spacing w:val="6"/>
          <w:sz w:val="21"/>
          <w:szCs w:val="21"/>
        </w:rPr>
        <w:t>式(7-11)</w:t>
      </w:r>
    </w:p>
    <w:p w14:paraId="500B27A6">
      <w:pPr>
        <w:spacing w:line="221" w:lineRule="auto"/>
        <w:rPr>
          <w:rFonts w:ascii="宋体" w:hAnsi="宋体" w:eastAsia="宋体" w:cs="宋体"/>
          <w:sz w:val="21"/>
          <w:szCs w:val="21"/>
        </w:rPr>
        <w:sectPr>
          <w:type w:val="continuous"/>
          <w:pgSz w:w="11900" w:h="16820"/>
          <w:pgMar w:top="400" w:right="868" w:bottom="880" w:left="1410" w:header="0" w:footer="607" w:gutter="0"/>
          <w:cols w:equalWidth="0" w:num="2">
            <w:col w:w="8030" w:space="100"/>
            <w:col w:w="1492"/>
          </w:cols>
        </w:sectPr>
      </w:pPr>
    </w:p>
    <w:p w14:paraId="14D7D08D">
      <w:pPr>
        <w:spacing w:line="373" w:lineRule="auto"/>
        <w:rPr>
          <w:rFonts w:ascii="Arial"/>
          <w:sz w:val="21"/>
        </w:rPr>
      </w:pPr>
    </w:p>
    <w:p w14:paraId="0010B31D">
      <w:pPr>
        <w:spacing w:before="68" w:line="219" w:lineRule="auto"/>
        <w:ind w:left="429"/>
        <w:rPr>
          <w:rFonts w:ascii="宋体" w:hAnsi="宋体" w:eastAsia="宋体" w:cs="宋体"/>
          <w:sz w:val="21"/>
          <w:szCs w:val="21"/>
        </w:rPr>
      </w:pPr>
      <w:r>
        <w:rPr>
          <w:rFonts w:ascii="宋体" w:hAnsi="宋体" w:eastAsia="宋体" w:cs="宋体"/>
          <w:spacing w:val="4"/>
          <w:sz w:val="21"/>
          <w:szCs w:val="21"/>
        </w:rPr>
        <w:t>2. 影响筛检试验可靠性的因素</w:t>
      </w:r>
    </w:p>
    <w:p w14:paraId="2943B4FC">
      <w:pPr>
        <w:spacing w:before="130" w:line="277" w:lineRule="auto"/>
        <w:ind w:left="19" w:right="573" w:firstLine="389"/>
        <w:rPr>
          <w:rFonts w:ascii="宋体" w:hAnsi="宋体" w:eastAsia="宋体" w:cs="宋体"/>
          <w:sz w:val="21"/>
          <w:szCs w:val="21"/>
        </w:rPr>
      </w:pPr>
      <w:r>
        <w:rPr>
          <w:rFonts w:ascii="宋体" w:hAnsi="宋体" w:eastAsia="宋体" w:cs="宋体"/>
          <w:spacing w:val="3"/>
          <w:sz w:val="21"/>
          <w:szCs w:val="21"/>
        </w:rPr>
        <w:t>(1)受试对象生物学变异：由于个体的生物周期等生物学变异，同一受试对象在不同时间获得</w:t>
      </w:r>
      <w:r>
        <w:rPr>
          <w:rFonts w:ascii="宋体" w:hAnsi="宋体" w:eastAsia="宋体" w:cs="宋体"/>
          <w:spacing w:val="5"/>
          <w:sz w:val="21"/>
          <w:szCs w:val="21"/>
        </w:rPr>
        <w:t xml:space="preserve"> </w:t>
      </w:r>
      <w:r>
        <w:rPr>
          <w:rFonts w:ascii="宋体" w:hAnsi="宋体" w:eastAsia="宋体" w:cs="宋体"/>
          <w:spacing w:val="-2"/>
          <w:sz w:val="21"/>
          <w:szCs w:val="21"/>
        </w:rPr>
        <w:t>的临床测量值有所波动。例如，血压在一天内不同时间的测量值存在变异。</w:t>
      </w:r>
    </w:p>
    <w:p w14:paraId="78833AF3">
      <w:pPr>
        <w:spacing w:before="129" w:line="276" w:lineRule="auto"/>
        <w:ind w:left="29" w:right="629" w:firstLine="389"/>
        <w:rPr>
          <w:rFonts w:ascii="宋体" w:hAnsi="宋体" w:eastAsia="宋体" w:cs="宋体"/>
          <w:sz w:val="21"/>
          <w:szCs w:val="21"/>
        </w:rPr>
      </w:pPr>
      <w:r>
        <w:rPr>
          <w:rFonts w:ascii="宋体" w:hAnsi="宋体" w:eastAsia="宋体" w:cs="宋体"/>
          <w:spacing w:val="7"/>
          <w:sz w:val="21"/>
          <w:szCs w:val="21"/>
        </w:rPr>
        <w:t>(2)观察者之间差异：测量者之间的技术水平不一致，同一测量</w:t>
      </w:r>
      <w:r>
        <w:rPr>
          <w:rFonts w:ascii="宋体" w:hAnsi="宋体" w:eastAsia="宋体" w:cs="宋体"/>
          <w:spacing w:val="6"/>
          <w:sz w:val="21"/>
          <w:szCs w:val="21"/>
        </w:rPr>
        <w:t>者在不同时间的判断尺度不</w:t>
      </w:r>
      <w:r>
        <w:rPr>
          <w:rFonts w:ascii="宋体" w:hAnsi="宋体" w:eastAsia="宋体" w:cs="宋体"/>
          <w:sz w:val="21"/>
          <w:szCs w:val="21"/>
        </w:rPr>
        <w:t xml:space="preserve"> </w:t>
      </w:r>
      <w:r>
        <w:rPr>
          <w:rFonts w:ascii="宋体" w:hAnsi="宋体" w:eastAsia="宋体" w:cs="宋体"/>
          <w:spacing w:val="-3"/>
          <w:sz w:val="21"/>
          <w:szCs w:val="21"/>
        </w:rPr>
        <w:t>同，均可导致重复测量的结果不一致，如不同的阅片者报告的</w:t>
      </w:r>
      <w:r>
        <w:rPr>
          <w:rFonts w:ascii="Times New Roman" w:hAnsi="Times New Roman" w:eastAsia="Times New Roman" w:cs="Times New Roman"/>
          <w:spacing w:val="-3"/>
          <w:sz w:val="21"/>
          <w:szCs w:val="21"/>
        </w:rPr>
        <w:t xml:space="preserve">X </w:t>
      </w:r>
      <w:r>
        <w:rPr>
          <w:rFonts w:ascii="宋体" w:hAnsi="宋体" w:eastAsia="宋体" w:cs="宋体"/>
          <w:spacing w:val="-3"/>
          <w:sz w:val="21"/>
          <w:szCs w:val="21"/>
        </w:rPr>
        <w:t>线片检</w:t>
      </w:r>
      <w:r>
        <w:rPr>
          <w:rFonts w:ascii="宋体" w:hAnsi="宋体" w:eastAsia="宋体" w:cs="宋体"/>
          <w:spacing w:val="-4"/>
          <w:sz w:val="21"/>
          <w:szCs w:val="21"/>
        </w:rPr>
        <w:t>查结果不同。</w:t>
      </w:r>
    </w:p>
    <w:p w14:paraId="6069C9A8">
      <w:pPr>
        <w:spacing w:before="133" w:line="294" w:lineRule="auto"/>
        <w:ind w:left="19" w:right="629" w:firstLine="399"/>
        <w:rPr>
          <w:rFonts w:ascii="宋体" w:hAnsi="宋体" w:eastAsia="宋体" w:cs="宋体"/>
          <w:sz w:val="21"/>
          <w:szCs w:val="21"/>
        </w:rPr>
      </w:pPr>
      <w:r>
        <w:rPr>
          <w:rFonts w:ascii="宋体" w:hAnsi="宋体" w:eastAsia="宋体" w:cs="宋体"/>
          <w:spacing w:val="-3"/>
          <w:sz w:val="21"/>
          <w:szCs w:val="21"/>
        </w:rPr>
        <w:t>(3)实验室条件不一致：重复测量时，测量仪器不稳定，试</w:t>
      </w:r>
      <w:r>
        <w:rPr>
          <w:rFonts w:ascii="宋体" w:hAnsi="宋体" w:eastAsia="宋体" w:cs="宋体"/>
          <w:spacing w:val="-4"/>
          <w:sz w:val="21"/>
          <w:szCs w:val="21"/>
        </w:rPr>
        <w:t>验方法本身不稳定，不同厂家、同一</w:t>
      </w:r>
      <w:r>
        <w:rPr>
          <w:rFonts w:ascii="宋体" w:hAnsi="宋体" w:eastAsia="宋体" w:cs="宋体"/>
          <w:sz w:val="21"/>
          <w:szCs w:val="21"/>
        </w:rPr>
        <w:t xml:space="preserve"> </w:t>
      </w:r>
      <w:r>
        <w:rPr>
          <w:rFonts w:ascii="宋体" w:hAnsi="宋体" w:eastAsia="宋体" w:cs="宋体"/>
          <w:spacing w:val="-2"/>
          <w:sz w:val="21"/>
          <w:szCs w:val="21"/>
        </w:rPr>
        <w:t>厂家生产的不同批号的试剂盒的纯度、有效成分的含量、试剂的稳定性等均有不同，由此可能引起</w:t>
      </w:r>
      <w:r>
        <w:rPr>
          <w:rFonts w:ascii="宋体" w:hAnsi="宋体" w:eastAsia="宋体" w:cs="宋体"/>
          <w:spacing w:val="13"/>
          <w:sz w:val="21"/>
          <w:szCs w:val="21"/>
        </w:rPr>
        <w:t xml:space="preserve"> </w:t>
      </w:r>
      <w:r>
        <w:rPr>
          <w:rFonts w:ascii="宋体" w:hAnsi="宋体" w:eastAsia="宋体" w:cs="宋体"/>
          <w:spacing w:val="3"/>
          <w:sz w:val="21"/>
          <w:szCs w:val="21"/>
        </w:rPr>
        <w:t>测量误差。</w:t>
      </w:r>
    </w:p>
    <w:p w14:paraId="2EDC08E2">
      <w:pPr>
        <w:pStyle w:val="2"/>
        <w:spacing w:before="136" w:line="222" w:lineRule="auto"/>
        <w:ind w:left="479"/>
        <w:rPr>
          <w:sz w:val="21"/>
          <w:szCs w:val="21"/>
        </w:rPr>
      </w:pPr>
      <w:r>
        <w:rPr>
          <w:spacing w:val="29"/>
          <w:sz w:val="21"/>
          <w:szCs w:val="21"/>
        </w:rPr>
        <w:t>(三)预测值</w:t>
      </w:r>
    </w:p>
    <w:p w14:paraId="462DA6F3">
      <w:pPr>
        <w:spacing w:before="115" w:line="332" w:lineRule="auto"/>
        <w:ind w:right="623" w:firstLine="439"/>
        <w:jc w:val="both"/>
        <w:rPr>
          <w:rFonts w:ascii="宋体" w:hAnsi="宋体" w:eastAsia="宋体" w:cs="宋体"/>
          <w:sz w:val="21"/>
          <w:szCs w:val="21"/>
        </w:rPr>
      </w:pPr>
      <w:r>
        <w:rPr>
          <w:rFonts w:ascii="宋体" w:hAnsi="宋体" w:eastAsia="宋体" w:cs="宋体"/>
          <w:spacing w:val="5"/>
          <w:sz w:val="21"/>
          <w:szCs w:val="21"/>
        </w:rPr>
        <w:t>预测值</w:t>
      </w:r>
      <w:r>
        <w:rPr>
          <w:rFonts w:ascii="Times New Roman" w:hAnsi="Times New Roman" w:eastAsia="Times New Roman" w:cs="Times New Roman"/>
          <w:spacing w:val="5"/>
          <w:sz w:val="21"/>
          <w:szCs w:val="21"/>
        </w:rPr>
        <w:t>(</w:t>
      </w:r>
      <w:r>
        <w:rPr>
          <w:rFonts w:ascii="Times New Roman" w:hAnsi="Times New Roman" w:eastAsia="Times New Roman" w:cs="Times New Roman"/>
          <w:sz w:val="21"/>
          <w:szCs w:val="21"/>
        </w:rPr>
        <w:t>predictive</w:t>
      </w:r>
      <w:r>
        <w:rPr>
          <w:rFonts w:ascii="Times New Roman" w:hAnsi="Times New Roman" w:eastAsia="Times New Roman" w:cs="Times New Roman"/>
          <w:spacing w:val="5"/>
          <w:sz w:val="21"/>
          <w:szCs w:val="21"/>
        </w:rPr>
        <w:t xml:space="preserve">    </w:t>
      </w:r>
      <w:r>
        <w:rPr>
          <w:rFonts w:ascii="Times New Roman" w:hAnsi="Times New Roman" w:eastAsia="Times New Roman" w:cs="Times New Roman"/>
          <w:sz w:val="21"/>
          <w:szCs w:val="21"/>
        </w:rPr>
        <w:t>value</w:t>
      </w:r>
      <w:r>
        <w:rPr>
          <w:rFonts w:ascii="Times New Roman" w:hAnsi="Times New Roman" w:eastAsia="Times New Roman" w:cs="Times New Roman"/>
          <w:spacing w:val="5"/>
          <w:sz w:val="21"/>
          <w:szCs w:val="21"/>
        </w:rPr>
        <w:t>)</w:t>
      </w:r>
      <w:r>
        <w:rPr>
          <w:rFonts w:ascii="宋体" w:hAnsi="宋体" w:eastAsia="宋体" w:cs="宋体"/>
          <w:spacing w:val="5"/>
          <w:sz w:val="21"/>
          <w:szCs w:val="21"/>
        </w:rPr>
        <w:t>是应用筛检结果的阳性或阴性来估计受检者为病人或非病人可能性</w:t>
      </w:r>
      <w:r>
        <w:rPr>
          <w:rFonts w:ascii="宋体" w:hAnsi="宋体" w:eastAsia="宋体" w:cs="宋体"/>
          <w:spacing w:val="2"/>
          <w:sz w:val="21"/>
          <w:szCs w:val="21"/>
        </w:rPr>
        <w:t xml:space="preserve"> </w:t>
      </w:r>
      <w:r>
        <w:rPr>
          <w:rFonts w:ascii="宋体" w:hAnsi="宋体" w:eastAsia="宋体" w:cs="宋体"/>
          <w:spacing w:val="4"/>
          <w:sz w:val="21"/>
          <w:szCs w:val="21"/>
        </w:rPr>
        <w:t>(概率)的指标。该类指标反映了筛检试验实际应用到人群筛检</w:t>
      </w:r>
      <w:r>
        <w:rPr>
          <w:rFonts w:ascii="宋体" w:hAnsi="宋体" w:eastAsia="宋体" w:cs="宋体"/>
          <w:spacing w:val="3"/>
          <w:sz w:val="21"/>
          <w:szCs w:val="21"/>
        </w:rPr>
        <w:t>后获得的收益大小。预测值估计分</w:t>
      </w:r>
      <w:r>
        <w:rPr>
          <w:rFonts w:ascii="宋体" w:hAnsi="宋体" w:eastAsia="宋体" w:cs="宋体"/>
          <w:sz w:val="21"/>
          <w:szCs w:val="21"/>
        </w:rPr>
        <w:t xml:space="preserve"> </w:t>
      </w:r>
      <w:r>
        <w:rPr>
          <w:rFonts w:ascii="宋体" w:hAnsi="宋体" w:eastAsia="宋体" w:cs="宋体"/>
          <w:spacing w:val="3"/>
          <w:sz w:val="21"/>
          <w:szCs w:val="21"/>
        </w:rPr>
        <w:t>为直接计算法和间接计算法。</w:t>
      </w:r>
    </w:p>
    <w:p w14:paraId="4F4B399F">
      <w:pPr>
        <w:pStyle w:val="2"/>
        <w:spacing w:before="3" w:line="319" w:lineRule="auto"/>
        <w:ind w:left="19" w:right="627" w:firstLine="449"/>
        <w:jc w:val="both"/>
        <w:rPr>
          <w:rFonts w:ascii="宋体" w:hAnsi="宋体" w:eastAsia="宋体" w:cs="宋体"/>
          <w:sz w:val="21"/>
          <w:szCs w:val="21"/>
        </w:rPr>
      </w:pPr>
      <w:r>
        <w:rPr>
          <w:rFonts w:ascii="宋体" w:hAnsi="宋体" w:eastAsia="宋体" w:cs="宋体"/>
          <w:spacing w:val="3"/>
          <w:sz w:val="21"/>
          <w:szCs w:val="21"/>
        </w:rPr>
        <w:t xml:space="preserve">1. </w:t>
      </w:r>
      <w:r>
        <w:rPr>
          <w:spacing w:val="3"/>
          <w:sz w:val="21"/>
          <w:szCs w:val="21"/>
        </w:rPr>
        <w:t xml:space="preserve">直接计算法 </w:t>
      </w:r>
      <w:r>
        <w:rPr>
          <w:rFonts w:ascii="宋体" w:hAnsi="宋体" w:eastAsia="宋体" w:cs="宋体"/>
          <w:spacing w:val="3"/>
          <w:sz w:val="21"/>
          <w:szCs w:val="21"/>
        </w:rPr>
        <w:t>横断面设计的筛检试验研究，样本人群的疾病患病率与目标人</w:t>
      </w:r>
      <w:r>
        <w:rPr>
          <w:rFonts w:ascii="宋体" w:hAnsi="宋体" w:eastAsia="宋体" w:cs="宋体"/>
          <w:spacing w:val="2"/>
          <w:sz w:val="21"/>
          <w:szCs w:val="21"/>
        </w:rPr>
        <w:t>群的患病率一</w:t>
      </w:r>
      <w:r>
        <w:rPr>
          <w:rFonts w:ascii="宋体" w:hAnsi="宋体" w:eastAsia="宋体" w:cs="宋体"/>
          <w:sz w:val="21"/>
          <w:szCs w:val="21"/>
        </w:rPr>
        <w:t xml:space="preserve"> </w:t>
      </w:r>
      <w:r>
        <w:rPr>
          <w:rFonts w:ascii="宋体" w:hAnsi="宋体" w:eastAsia="宋体" w:cs="宋体"/>
          <w:spacing w:val="-5"/>
          <w:sz w:val="21"/>
          <w:szCs w:val="21"/>
        </w:rPr>
        <w:t>致，经“金标准”和筛检试验同时盲法判断的结果有：真阳性</w:t>
      </w:r>
      <w:r>
        <w:rPr>
          <w:rFonts w:ascii="Times New Roman" w:hAnsi="Times New Roman" w:eastAsia="Times New Roman" w:cs="Times New Roman"/>
          <w:spacing w:val="-5"/>
          <w:sz w:val="21"/>
          <w:szCs w:val="21"/>
        </w:rPr>
        <w:t>(TP</w:t>
      </w:r>
      <w:r>
        <w:rPr>
          <w:rFonts w:ascii="Times New Roman" w:hAnsi="Times New Roman" w:eastAsia="Times New Roman" w:cs="Times New Roman"/>
          <w:spacing w:val="-6"/>
          <w:sz w:val="21"/>
          <w:szCs w:val="21"/>
        </w:rPr>
        <w:t>)</w:t>
      </w:r>
      <w:r>
        <w:rPr>
          <w:rFonts w:ascii="宋体" w:hAnsi="宋体" w:eastAsia="宋体" w:cs="宋体"/>
          <w:spacing w:val="-6"/>
          <w:sz w:val="21"/>
          <w:szCs w:val="21"/>
        </w:rPr>
        <w:t>、假阴性</w:t>
      </w:r>
      <w:r>
        <w:rPr>
          <w:rFonts w:ascii="Times New Roman" w:hAnsi="Times New Roman" w:eastAsia="Times New Roman" w:cs="Times New Roman"/>
          <w:spacing w:val="-6"/>
          <w:sz w:val="21"/>
          <w:szCs w:val="21"/>
        </w:rPr>
        <w:t>(FN)</w:t>
      </w:r>
      <w:r>
        <w:rPr>
          <w:rFonts w:ascii="宋体" w:hAnsi="宋体" w:eastAsia="宋体" w:cs="宋体"/>
          <w:spacing w:val="-6"/>
          <w:sz w:val="21"/>
          <w:szCs w:val="21"/>
        </w:rPr>
        <w:t>、假阳性</w:t>
      </w:r>
      <w:r>
        <w:rPr>
          <w:rFonts w:ascii="Times New Roman" w:hAnsi="Times New Roman" w:eastAsia="Times New Roman" w:cs="Times New Roman"/>
          <w:spacing w:val="-6"/>
          <w:sz w:val="21"/>
          <w:szCs w:val="21"/>
        </w:rPr>
        <w:t>(FP)</w:t>
      </w:r>
      <w:r>
        <w:rPr>
          <w:rFonts w:ascii="Times New Roman" w:hAnsi="Times New Roman" w:eastAsia="Times New Roman" w:cs="Times New Roman"/>
          <w:spacing w:val="43"/>
          <w:w w:val="101"/>
          <w:sz w:val="21"/>
          <w:szCs w:val="21"/>
        </w:rPr>
        <w:t xml:space="preserve"> </w:t>
      </w:r>
      <w:r>
        <w:rPr>
          <w:rFonts w:ascii="宋体" w:hAnsi="宋体" w:eastAsia="宋体" w:cs="宋体"/>
          <w:spacing w:val="-6"/>
          <w:sz w:val="21"/>
          <w:szCs w:val="21"/>
        </w:rPr>
        <w:t>或真阴</w:t>
      </w:r>
      <w:r>
        <w:rPr>
          <w:rFonts w:ascii="宋体" w:hAnsi="宋体" w:eastAsia="宋体" w:cs="宋体"/>
          <w:sz w:val="21"/>
          <w:szCs w:val="21"/>
        </w:rPr>
        <w:t xml:space="preserve"> </w:t>
      </w:r>
      <w:r>
        <w:rPr>
          <w:rFonts w:ascii="宋体" w:hAnsi="宋体" w:eastAsia="宋体" w:cs="宋体"/>
          <w:spacing w:val="5"/>
          <w:sz w:val="21"/>
          <w:szCs w:val="21"/>
        </w:rPr>
        <w:t>性</w:t>
      </w:r>
      <w:r>
        <w:rPr>
          <w:rFonts w:ascii="Times New Roman" w:hAnsi="Times New Roman" w:eastAsia="Times New Roman" w:cs="Times New Roman"/>
          <w:spacing w:val="5"/>
          <w:sz w:val="21"/>
          <w:szCs w:val="21"/>
        </w:rPr>
        <w:t>(</w:t>
      </w:r>
      <w:r>
        <w:rPr>
          <w:rFonts w:ascii="Times New Roman" w:hAnsi="Times New Roman" w:eastAsia="Times New Roman" w:cs="Times New Roman"/>
          <w:sz w:val="21"/>
          <w:szCs w:val="21"/>
        </w:rPr>
        <w:t>TN</w:t>
      </w:r>
      <w:r>
        <w:rPr>
          <w:rFonts w:ascii="Times New Roman" w:hAnsi="Times New Roman" w:eastAsia="Times New Roman" w:cs="Times New Roman"/>
          <w:spacing w:val="5"/>
          <w:sz w:val="21"/>
          <w:szCs w:val="21"/>
        </w:rPr>
        <w:t>)</w:t>
      </w:r>
      <w:r>
        <w:rPr>
          <w:rFonts w:ascii="宋体" w:hAnsi="宋体" w:eastAsia="宋体" w:cs="宋体"/>
          <w:spacing w:val="5"/>
          <w:sz w:val="21"/>
          <w:szCs w:val="21"/>
        </w:rPr>
        <w:t>。</w:t>
      </w:r>
    </w:p>
    <w:p w14:paraId="42989130">
      <w:pPr>
        <w:spacing w:before="26" w:line="284" w:lineRule="auto"/>
        <w:ind w:left="49" w:right="635" w:firstLine="379"/>
        <w:rPr>
          <w:rFonts w:ascii="宋体" w:hAnsi="宋体" w:eastAsia="宋体" w:cs="宋体"/>
          <w:sz w:val="21"/>
          <w:szCs w:val="21"/>
        </w:rPr>
      </w:pPr>
      <w:r>
        <w:rPr>
          <w:rFonts w:ascii="宋体" w:hAnsi="宋体" w:eastAsia="宋体" w:cs="宋体"/>
          <w:spacing w:val="7"/>
          <w:sz w:val="21"/>
          <w:szCs w:val="21"/>
        </w:rPr>
        <w:t>(1)阳性预测值</w:t>
      </w:r>
      <w:r>
        <w:rPr>
          <w:rFonts w:ascii="Times New Roman" w:hAnsi="Times New Roman" w:eastAsia="Times New Roman" w:cs="Times New Roman"/>
          <w:spacing w:val="7"/>
          <w:sz w:val="21"/>
          <w:szCs w:val="21"/>
        </w:rPr>
        <w:t>(</w:t>
      </w:r>
      <w:r>
        <w:rPr>
          <w:rFonts w:ascii="Times New Roman" w:hAnsi="Times New Roman" w:eastAsia="Times New Roman" w:cs="Times New Roman"/>
          <w:sz w:val="21"/>
          <w:szCs w:val="21"/>
        </w:rPr>
        <w:t>positive</w:t>
      </w:r>
      <w:r>
        <w:rPr>
          <w:rFonts w:ascii="Times New Roman" w:hAnsi="Times New Roman" w:eastAsia="Times New Roman" w:cs="Times New Roman"/>
          <w:spacing w:val="7"/>
          <w:sz w:val="21"/>
          <w:szCs w:val="21"/>
        </w:rPr>
        <w:t xml:space="preserve">    </w:t>
      </w:r>
      <w:r>
        <w:rPr>
          <w:rFonts w:ascii="Times New Roman" w:hAnsi="Times New Roman" w:eastAsia="Times New Roman" w:cs="Times New Roman"/>
          <w:sz w:val="21"/>
          <w:szCs w:val="21"/>
        </w:rPr>
        <w:t>predictive</w:t>
      </w:r>
      <w:r>
        <w:rPr>
          <w:rFonts w:ascii="Times New Roman" w:hAnsi="Times New Roman" w:eastAsia="Times New Roman" w:cs="Times New Roman"/>
          <w:spacing w:val="7"/>
          <w:sz w:val="21"/>
          <w:szCs w:val="21"/>
        </w:rPr>
        <w:t xml:space="preserve">    </w:t>
      </w:r>
      <w:r>
        <w:rPr>
          <w:rFonts w:ascii="Times New Roman" w:hAnsi="Times New Roman" w:eastAsia="Times New Roman" w:cs="Times New Roman"/>
          <w:sz w:val="21"/>
          <w:szCs w:val="21"/>
        </w:rPr>
        <w:t>value</w:t>
      </w:r>
      <w:r>
        <w:rPr>
          <w:rFonts w:ascii="Times New Roman" w:hAnsi="Times New Roman" w:eastAsia="Times New Roman" w:cs="Times New Roman"/>
          <w:spacing w:val="7"/>
          <w:sz w:val="21"/>
          <w:szCs w:val="21"/>
        </w:rPr>
        <w:t>,</w:t>
      </w:r>
      <w:r>
        <w:rPr>
          <w:rFonts w:ascii="Times New Roman" w:hAnsi="Times New Roman" w:eastAsia="Times New Roman" w:cs="Times New Roman"/>
          <w:sz w:val="21"/>
          <w:szCs w:val="21"/>
        </w:rPr>
        <w:t>Pr</w:t>
      </w:r>
      <w:r>
        <w:rPr>
          <w:rFonts w:ascii="Times New Roman" w:hAnsi="Times New Roman" w:eastAsia="Times New Roman" w:cs="Times New Roman"/>
          <w:spacing w:val="7"/>
          <w:sz w:val="21"/>
          <w:szCs w:val="21"/>
        </w:rPr>
        <w:t>+):</w:t>
      </w:r>
      <w:r>
        <w:rPr>
          <w:rFonts w:ascii="宋体" w:hAnsi="宋体" w:eastAsia="宋体" w:cs="宋体"/>
          <w:spacing w:val="7"/>
          <w:sz w:val="21"/>
          <w:szCs w:val="21"/>
        </w:rPr>
        <w:t>筛检发现</w:t>
      </w:r>
      <w:r>
        <w:rPr>
          <w:rFonts w:ascii="宋体" w:hAnsi="宋体" w:eastAsia="宋体" w:cs="宋体"/>
          <w:spacing w:val="6"/>
          <w:sz w:val="21"/>
          <w:szCs w:val="21"/>
        </w:rPr>
        <w:t>的阳性者中患目标疾病的人所占的</w:t>
      </w:r>
      <w:r>
        <w:rPr>
          <w:rFonts w:ascii="宋体" w:hAnsi="宋体" w:eastAsia="宋体" w:cs="宋体"/>
          <w:sz w:val="21"/>
          <w:szCs w:val="21"/>
        </w:rPr>
        <w:t xml:space="preserve"> </w:t>
      </w:r>
      <w:r>
        <w:rPr>
          <w:rFonts w:ascii="宋体" w:hAnsi="宋体" w:eastAsia="宋体" w:cs="宋体"/>
          <w:spacing w:val="-4"/>
          <w:sz w:val="21"/>
          <w:szCs w:val="21"/>
        </w:rPr>
        <w:t>比例。</w:t>
      </w:r>
    </w:p>
    <w:p w14:paraId="3305C67F">
      <w:pPr>
        <w:spacing w:before="249"/>
        <w:ind w:left="3289"/>
        <w:rPr>
          <w:rFonts w:ascii="宋体" w:hAnsi="宋体" w:eastAsia="宋体" w:cs="宋体"/>
          <w:sz w:val="21"/>
          <w:szCs w:val="21"/>
        </w:rPr>
      </w:pPr>
      <w:r>
        <w:rPr>
          <w:rFonts w:ascii="宋体" w:hAnsi="宋体" w:eastAsia="宋体" w:cs="宋体"/>
          <w:position w:val="-15"/>
          <w:sz w:val="21"/>
          <w:szCs w:val="21"/>
        </w:rPr>
        <w:drawing>
          <wp:inline distT="0" distB="0" distL="0" distR="0">
            <wp:extent cx="1599565" cy="310515"/>
            <wp:effectExtent l="0" t="0" r="0" b="0"/>
            <wp:docPr id="432" name="IM 432"/>
            <wp:cNvGraphicFramePr/>
            <a:graphic xmlns:a="http://schemas.openxmlformats.org/drawingml/2006/main">
              <a:graphicData uri="http://schemas.openxmlformats.org/drawingml/2006/picture">
                <pic:pic xmlns:pic="http://schemas.openxmlformats.org/drawingml/2006/picture">
                  <pic:nvPicPr>
                    <pic:cNvPr id="432" name="IM 432"/>
                    <pic:cNvPicPr/>
                  </pic:nvPicPr>
                  <pic:blipFill>
                    <a:blip r:embed="rId580"/>
                    <a:stretch>
                      <a:fillRect/>
                    </a:stretch>
                  </pic:blipFill>
                  <pic:spPr>
                    <a:xfrm>
                      <a:off x="0" y="0"/>
                      <a:ext cx="1600164" cy="311128"/>
                    </a:xfrm>
                    <a:prstGeom prst="rect">
                      <a:avLst/>
                    </a:prstGeom>
                  </pic:spPr>
                </pic:pic>
              </a:graphicData>
            </a:graphic>
          </wp:inline>
        </w:drawing>
      </w:r>
      <w:r>
        <w:rPr>
          <w:rFonts w:ascii="宋体" w:hAnsi="宋体" w:eastAsia="宋体" w:cs="宋体"/>
          <w:spacing w:val="1"/>
          <w:sz w:val="21"/>
          <w:szCs w:val="21"/>
        </w:rPr>
        <w:t xml:space="preserve">                   </w:t>
      </w:r>
      <w:r>
        <w:rPr>
          <w:rFonts w:ascii="宋体" w:hAnsi="宋体" w:eastAsia="宋体" w:cs="宋体"/>
          <w:sz w:val="21"/>
          <w:szCs w:val="21"/>
        </w:rPr>
        <w:t xml:space="preserve">   </w:t>
      </w:r>
      <w:r>
        <w:rPr>
          <w:rFonts w:ascii="宋体" w:hAnsi="宋体" w:eastAsia="宋体" w:cs="宋体"/>
          <w:spacing w:val="8"/>
          <w:sz w:val="21"/>
          <w:szCs w:val="21"/>
        </w:rPr>
        <w:t>式(7-12)</w:t>
      </w:r>
    </w:p>
    <w:p w14:paraId="323BC749">
      <w:pPr>
        <w:spacing w:before="255" w:line="284" w:lineRule="auto"/>
        <w:ind w:left="49" w:right="654" w:firstLine="379"/>
        <w:rPr>
          <w:rFonts w:ascii="宋体" w:hAnsi="宋体" w:eastAsia="宋体" w:cs="宋体"/>
          <w:sz w:val="21"/>
          <w:szCs w:val="21"/>
        </w:rPr>
      </w:pPr>
      <w:r>
        <w:rPr>
          <w:rFonts w:ascii="宋体" w:hAnsi="宋体" w:eastAsia="宋体" w:cs="宋体"/>
          <w:spacing w:val="6"/>
          <w:sz w:val="21"/>
          <w:szCs w:val="21"/>
        </w:rPr>
        <w:t>(2)阴性预测值</w:t>
      </w:r>
      <w:r>
        <w:rPr>
          <w:rFonts w:ascii="Times New Roman" w:hAnsi="Times New Roman" w:eastAsia="Times New Roman" w:cs="Times New Roman"/>
          <w:spacing w:val="6"/>
          <w:sz w:val="21"/>
          <w:szCs w:val="21"/>
        </w:rPr>
        <w:t>(</w:t>
      </w:r>
      <w:r>
        <w:rPr>
          <w:rFonts w:ascii="Times New Roman" w:hAnsi="Times New Roman" w:eastAsia="Times New Roman" w:cs="Times New Roman"/>
          <w:sz w:val="21"/>
          <w:szCs w:val="21"/>
        </w:rPr>
        <w:t>negative</w:t>
      </w:r>
      <w:r>
        <w:rPr>
          <w:rFonts w:ascii="Times New Roman" w:hAnsi="Times New Roman" w:eastAsia="Times New Roman" w:cs="Times New Roman"/>
          <w:spacing w:val="6"/>
          <w:sz w:val="21"/>
          <w:szCs w:val="21"/>
        </w:rPr>
        <w:t xml:space="preserve">    </w:t>
      </w:r>
      <w:r>
        <w:rPr>
          <w:rFonts w:ascii="Times New Roman" w:hAnsi="Times New Roman" w:eastAsia="Times New Roman" w:cs="Times New Roman"/>
          <w:sz w:val="21"/>
          <w:szCs w:val="21"/>
        </w:rPr>
        <w:t>predictive</w:t>
      </w:r>
      <w:r>
        <w:rPr>
          <w:rFonts w:ascii="Times New Roman" w:hAnsi="Times New Roman" w:eastAsia="Times New Roman" w:cs="Times New Roman"/>
          <w:spacing w:val="6"/>
          <w:sz w:val="21"/>
          <w:szCs w:val="21"/>
        </w:rPr>
        <w:t xml:space="preserve">    </w:t>
      </w:r>
      <w:r>
        <w:rPr>
          <w:rFonts w:ascii="Times New Roman" w:hAnsi="Times New Roman" w:eastAsia="Times New Roman" w:cs="Times New Roman"/>
          <w:sz w:val="21"/>
          <w:szCs w:val="21"/>
        </w:rPr>
        <w:t>value</w:t>
      </w:r>
      <w:r>
        <w:rPr>
          <w:rFonts w:ascii="Times New Roman" w:hAnsi="Times New Roman" w:eastAsia="Times New Roman" w:cs="Times New Roman"/>
          <w:spacing w:val="6"/>
          <w:sz w:val="21"/>
          <w:szCs w:val="21"/>
        </w:rPr>
        <w:t>,</w:t>
      </w:r>
      <w:r>
        <w:rPr>
          <w:rFonts w:ascii="Times New Roman" w:hAnsi="Times New Roman" w:eastAsia="Times New Roman" w:cs="Times New Roman"/>
          <w:sz w:val="21"/>
          <w:szCs w:val="21"/>
        </w:rPr>
        <w:t>Pr</w:t>
      </w:r>
      <w:r>
        <w:rPr>
          <w:rFonts w:ascii="Times New Roman" w:hAnsi="Times New Roman" w:eastAsia="Times New Roman" w:cs="Times New Roman"/>
          <w:spacing w:val="6"/>
          <w:sz w:val="21"/>
          <w:szCs w:val="21"/>
        </w:rPr>
        <w:t>-):</w:t>
      </w:r>
      <w:r>
        <w:rPr>
          <w:rFonts w:ascii="宋体" w:hAnsi="宋体" w:eastAsia="宋体" w:cs="宋体"/>
          <w:spacing w:val="6"/>
          <w:sz w:val="21"/>
          <w:szCs w:val="21"/>
        </w:rPr>
        <w:t>筛检发现的阴性者不患目标疾病的人所占的</w:t>
      </w:r>
      <w:r>
        <w:rPr>
          <w:rFonts w:ascii="宋体" w:hAnsi="宋体" w:eastAsia="宋体" w:cs="宋体"/>
          <w:spacing w:val="7"/>
          <w:sz w:val="21"/>
          <w:szCs w:val="21"/>
        </w:rPr>
        <w:t xml:space="preserve"> </w:t>
      </w:r>
      <w:r>
        <w:rPr>
          <w:rFonts w:ascii="宋体" w:hAnsi="宋体" w:eastAsia="宋体" w:cs="宋体"/>
          <w:spacing w:val="-2"/>
          <w:sz w:val="21"/>
          <w:szCs w:val="21"/>
        </w:rPr>
        <w:t>比例。</w:t>
      </w:r>
    </w:p>
    <w:p w14:paraId="0F2521B8">
      <w:pPr>
        <w:spacing w:before="239"/>
        <w:ind w:left="3279"/>
        <w:rPr>
          <w:rFonts w:ascii="宋体" w:hAnsi="宋体" w:eastAsia="宋体" w:cs="宋体"/>
          <w:sz w:val="21"/>
          <w:szCs w:val="21"/>
        </w:rPr>
      </w:pPr>
      <w:r>
        <w:rPr>
          <w:rFonts w:ascii="宋体" w:hAnsi="宋体" w:eastAsia="宋体" w:cs="宋体"/>
          <w:position w:val="-16"/>
          <w:sz w:val="21"/>
          <w:szCs w:val="21"/>
        </w:rPr>
        <w:drawing>
          <wp:inline distT="0" distB="0" distL="0" distR="0">
            <wp:extent cx="1605915" cy="317500"/>
            <wp:effectExtent l="0" t="0" r="0" b="0"/>
            <wp:docPr id="434" name="IM 434"/>
            <wp:cNvGraphicFramePr/>
            <a:graphic xmlns:a="http://schemas.openxmlformats.org/drawingml/2006/main">
              <a:graphicData uri="http://schemas.openxmlformats.org/drawingml/2006/picture">
                <pic:pic xmlns:pic="http://schemas.openxmlformats.org/drawingml/2006/picture">
                  <pic:nvPicPr>
                    <pic:cNvPr id="434" name="IM 434"/>
                    <pic:cNvPicPr/>
                  </pic:nvPicPr>
                  <pic:blipFill>
                    <a:blip r:embed="rId581"/>
                    <a:stretch>
                      <a:fillRect/>
                    </a:stretch>
                  </pic:blipFill>
                  <pic:spPr>
                    <a:xfrm>
                      <a:off x="0" y="0"/>
                      <a:ext cx="1606512" cy="317537"/>
                    </a:xfrm>
                    <a:prstGeom prst="rect">
                      <a:avLst/>
                    </a:prstGeom>
                  </pic:spPr>
                </pic:pic>
              </a:graphicData>
            </a:graphic>
          </wp:inline>
        </w:drawing>
      </w:r>
      <w:r>
        <w:rPr>
          <w:rFonts w:ascii="宋体" w:hAnsi="宋体" w:eastAsia="宋体" w:cs="宋体"/>
          <w:spacing w:val="2"/>
          <w:sz w:val="21"/>
          <w:szCs w:val="21"/>
        </w:rPr>
        <w:t xml:space="preserve">                    </w:t>
      </w:r>
      <w:r>
        <w:rPr>
          <w:rFonts w:ascii="宋体" w:hAnsi="宋体" w:eastAsia="宋体" w:cs="宋体"/>
          <w:spacing w:val="1"/>
          <w:sz w:val="21"/>
          <w:szCs w:val="21"/>
        </w:rPr>
        <w:t xml:space="preserve">  </w:t>
      </w:r>
      <w:r>
        <w:rPr>
          <w:rFonts w:ascii="宋体" w:hAnsi="宋体" w:eastAsia="宋体" w:cs="宋体"/>
          <w:spacing w:val="6"/>
          <w:sz w:val="21"/>
          <w:szCs w:val="21"/>
        </w:rPr>
        <w:t>式(7-13)</w:t>
      </w:r>
    </w:p>
    <w:p w14:paraId="209A445B">
      <w:pPr>
        <w:pStyle w:val="2"/>
        <w:spacing w:before="276" w:line="324" w:lineRule="auto"/>
        <w:ind w:left="19" w:right="630" w:firstLine="439"/>
        <w:jc w:val="both"/>
        <w:rPr>
          <w:rFonts w:ascii="宋体" w:hAnsi="宋体" w:eastAsia="宋体" w:cs="宋体"/>
          <w:sz w:val="21"/>
          <w:szCs w:val="21"/>
        </w:rPr>
      </w:pPr>
      <w:r>
        <w:rPr>
          <w:rFonts w:ascii="宋体" w:hAnsi="宋体" w:eastAsia="宋体" w:cs="宋体"/>
          <w:spacing w:val="4"/>
          <w:sz w:val="21"/>
          <w:szCs w:val="21"/>
        </w:rPr>
        <w:t xml:space="preserve">2. </w:t>
      </w:r>
      <w:r>
        <w:rPr>
          <w:spacing w:val="4"/>
          <w:sz w:val="21"/>
          <w:szCs w:val="21"/>
        </w:rPr>
        <w:t>间接计算法</w:t>
      </w:r>
      <w:r>
        <w:rPr>
          <w:spacing w:val="74"/>
          <w:sz w:val="21"/>
          <w:szCs w:val="21"/>
        </w:rPr>
        <w:t xml:space="preserve"> </w:t>
      </w:r>
      <w:r>
        <w:rPr>
          <w:rFonts w:ascii="宋体" w:hAnsi="宋体" w:eastAsia="宋体" w:cs="宋体"/>
          <w:spacing w:val="4"/>
          <w:sz w:val="21"/>
          <w:szCs w:val="21"/>
        </w:rPr>
        <w:t>病例-非病例(对照)设计的筛检试验研究，病例组和对照</w:t>
      </w:r>
      <w:r>
        <w:rPr>
          <w:rFonts w:ascii="宋体" w:hAnsi="宋体" w:eastAsia="宋体" w:cs="宋体"/>
          <w:spacing w:val="3"/>
          <w:sz w:val="21"/>
          <w:szCs w:val="21"/>
        </w:rPr>
        <w:t>组的构成比不能代</w:t>
      </w:r>
      <w:r>
        <w:rPr>
          <w:rFonts w:ascii="宋体" w:hAnsi="宋体" w:eastAsia="宋体" w:cs="宋体"/>
          <w:sz w:val="21"/>
          <w:szCs w:val="21"/>
        </w:rPr>
        <w:t xml:space="preserve"> </w:t>
      </w:r>
      <w:r>
        <w:rPr>
          <w:rFonts w:ascii="宋体" w:hAnsi="宋体" w:eastAsia="宋体" w:cs="宋体"/>
          <w:spacing w:val="-1"/>
          <w:sz w:val="21"/>
          <w:szCs w:val="21"/>
        </w:rPr>
        <w:t>表目标人群的现患比例，因此不能直接计算预测</w:t>
      </w:r>
      <w:r>
        <w:rPr>
          <w:rFonts w:ascii="宋体" w:hAnsi="宋体" w:eastAsia="宋体" w:cs="宋体"/>
          <w:spacing w:val="-2"/>
          <w:sz w:val="21"/>
          <w:szCs w:val="21"/>
        </w:rPr>
        <w:t>值。可以根据灵敏度、特异度、患病率与预测值的</w:t>
      </w:r>
      <w:r>
        <w:rPr>
          <w:rFonts w:ascii="宋体" w:hAnsi="宋体" w:eastAsia="宋体" w:cs="宋体"/>
          <w:sz w:val="21"/>
          <w:szCs w:val="21"/>
        </w:rPr>
        <w:t xml:space="preserve"> </w:t>
      </w:r>
      <w:r>
        <w:rPr>
          <w:rFonts w:ascii="宋体" w:hAnsi="宋体" w:eastAsia="宋体" w:cs="宋体"/>
          <w:spacing w:val="6"/>
          <w:sz w:val="21"/>
          <w:szCs w:val="21"/>
        </w:rPr>
        <w:t>关系式</w:t>
      </w:r>
      <w:r>
        <w:rPr>
          <w:rFonts w:ascii="Times New Roman" w:hAnsi="Times New Roman" w:eastAsia="Times New Roman" w:cs="Times New Roman"/>
          <w:spacing w:val="6"/>
          <w:sz w:val="21"/>
          <w:szCs w:val="21"/>
        </w:rPr>
        <w:t>(</w:t>
      </w:r>
      <w:r>
        <w:rPr>
          <w:rFonts w:ascii="Times New Roman" w:hAnsi="Times New Roman" w:eastAsia="Times New Roman" w:cs="Times New Roman"/>
          <w:sz w:val="21"/>
          <w:szCs w:val="21"/>
        </w:rPr>
        <w:t>Bayes</w:t>
      </w:r>
      <w:r>
        <w:rPr>
          <w:rFonts w:ascii="Times New Roman" w:hAnsi="Times New Roman" w:eastAsia="Times New Roman" w:cs="Times New Roman"/>
          <w:spacing w:val="29"/>
          <w:sz w:val="21"/>
          <w:szCs w:val="21"/>
        </w:rPr>
        <w:t xml:space="preserve"> </w:t>
      </w:r>
      <w:r>
        <w:rPr>
          <w:rFonts w:ascii="宋体" w:hAnsi="宋体" w:eastAsia="宋体" w:cs="宋体"/>
          <w:spacing w:val="6"/>
          <w:sz w:val="21"/>
          <w:szCs w:val="21"/>
        </w:rPr>
        <w:t>公式)来估算预测值。</w:t>
      </w:r>
    </w:p>
    <w:p w14:paraId="5AB83FF1">
      <w:pPr>
        <w:spacing w:line="247" w:lineRule="auto"/>
        <w:rPr>
          <w:rFonts w:ascii="Arial"/>
          <w:sz w:val="21"/>
        </w:rPr>
      </w:pPr>
      <w:r>
        <w:drawing>
          <wp:anchor distT="0" distB="0" distL="0" distR="0" simplePos="0" relativeHeight="251783168" behindDoc="0" locked="0" layoutInCell="1" allowOverlap="1">
            <wp:simplePos x="0" y="0"/>
            <wp:positionH relativeFrom="column">
              <wp:posOffset>1313815</wp:posOffset>
            </wp:positionH>
            <wp:positionV relativeFrom="paragraph">
              <wp:posOffset>99695</wp:posOffset>
            </wp:positionV>
            <wp:extent cx="3130550" cy="337185"/>
            <wp:effectExtent l="0" t="0" r="0" b="0"/>
            <wp:wrapNone/>
            <wp:docPr id="436" name="IM 436"/>
            <wp:cNvGraphicFramePr/>
            <a:graphic xmlns:a="http://schemas.openxmlformats.org/drawingml/2006/main">
              <a:graphicData uri="http://schemas.openxmlformats.org/drawingml/2006/picture">
                <pic:pic xmlns:pic="http://schemas.openxmlformats.org/drawingml/2006/picture">
                  <pic:nvPicPr>
                    <pic:cNvPr id="436" name="IM 436"/>
                    <pic:cNvPicPr/>
                  </pic:nvPicPr>
                  <pic:blipFill>
                    <a:blip r:embed="rId582"/>
                    <a:stretch>
                      <a:fillRect/>
                    </a:stretch>
                  </pic:blipFill>
                  <pic:spPr>
                    <a:xfrm>
                      <a:off x="0" y="0"/>
                      <a:ext cx="3130588" cy="337403"/>
                    </a:xfrm>
                    <a:prstGeom prst="rect">
                      <a:avLst/>
                    </a:prstGeom>
                  </pic:spPr>
                </pic:pic>
              </a:graphicData>
            </a:graphic>
          </wp:anchor>
        </w:drawing>
      </w:r>
    </w:p>
    <w:p w14:paraId="33F0EA94">
      <w:pPr>
        <w:spacing w:before="69" w:line="221" w:lineRule="auto"/>
        <w:ind w:left="8149"/>
        <w:rPr>
          <w:rFonts w:ascii="宋体" w:hAnsi="宋体" w:eastAsia="宋体" w:cs="宋体"/>
          <w:sz w:val="21"/>
          <w:szCs w:val="21"/>
        </w:rPr>
      </w:pPr>
      <w:r>
        <w:rPr>
          <w:rFonts w:ascii="宋体" w:hAnsi="宋体" w:eastAsia="宋体" w:cs="宋体"/>
          <w:spacing w:val="6"/>
          <w:sz w:val="21"/>
          <w:szCs w:val="21"/>
        </w:rPr>
        <w:t>式(7-14)</w:t>
      </w:r>
    </w:p>
    <w:p w14:paraId="1F15F091">
      <w:pPr>
        <w:spacing w:line="398" w:lineRule="auto"/>
        <w:rPr>
          <w:rFonts w:ascii="Arial"/>
          <w:sz w:val="21"/>
        </w:rPr>
      </w:pPr>
      <w:r>
        <w:drawing>
          <wp:anchor distT="0" distB="0" distL="0" distR="0" simplePos="0" relativeHeight="251782144" behindDoc="0" locked="0" layoutInCell="1" allowOverlap="1">
            <wp:simplePos x="0" y="0"/>
            <wp:positionH relativeFrom="column">
              <wp:posOffset>1275715</wp:posOffset>
            </wp:positionH>
            <wp:positionV relativeFrom="paragraph">
              <wp:posOffset>195580</wp:posOffset>
            </wp:positionV>
            <wp:extent cx="3207385" cy="344170"/>
            <wp:effectExtent l="0" t="0" r="0" b="0"/>
            <wp:wrapNone/>
            <wp:docPr id="438" name="IM 438"/>
            <wp:cNvGraphicFramePr/>
            <a:graphic xmlns:a="http://schemas.openxmlformats.org/drawingml/2006/main">
              <a:graphicData uri="http://schemas.openxmlformats.org/drawingml/2006/picture">
                <pic:pic xmlns:pic="http://schemas.openxmlformats.org/drawingml/2006/picture">
                  <pic:nvPicPr>
                    <pic:cNvPr id="438" name="IM 438"/>
                    <pic:cNvPicPr/>
                  </pic:nvPicPr>
                  <pic:blipFill>
                    <a:blip r:embed="rId583"/>
                    <a:stretch>
                      <a:fillRect/>
                    </a:stretch>
                  </pic:blipFill>
                  <pic:spPr>
                    <a:xfrm>
                      <a:off x="0" y="0"/>
                      <a:ext cx="3207101" cy="344479"/>
                    </a:xfrm>
                    <a:prstGeom prst="rect">
                      <a:avLst/>
                    </a:prstGeom>
                  </pic:spPr>
                </pic:pic>
              </a:graphicData>
            </a:graphic>
          </wp:anchor>
        </w:drawing>
      </w:r>
    </w:p>
    <w:p w14:paraId="0E914AED">
      <w:pPr>
        <w:spacing w:before="69" w:line="184" w:lineRule="auto"/>
        <w:ind w:left="8129"/>
        <w:rPr>
          <w:rFonts w:ascii="宋体" w:hAnsi="宋体" w:eastAsia="宋体" w:cs="宋体"/>
          <w:sz w:val="21"/>
          <w:szCs w:val="21"/>
        </w:rPr>
      </w:pPr>
      <w:r>
        <w:rPr>
          <w:rFonts w:ascii="宋体" w:hAnsi="宋体" w:eastAsia="宋体" w:cs="宋体"/>
          <w:spacing w:val="8"/>
          <w:sz w:val="21"/>
          <w:szCs w:val="21"/>
        </w:rPr>
        <w:t>式(7-15)</w:t>
      </w:r>
    </w:p>
    <w:p w14:paraId="0D0801FF">
      <w:pPr>
        <w:spacing w:line="184" w:lineRule="auto"/>
        <w:rPr>
          <w:rFonts w:ascii="宋体" w:hAnsi="宋体" w:eastAsia="宋体" w:cs="宋体"/>
          <w:sz w:val="21"/>
          <w:szCs w:val="21"/>
        </w:rPr>
        <w:sectPr>
          <w:type w:val="continuous"/>
          <w:pgSz w:w="11900" w:h="16820"/>
          <w:pgMar w:top="400" w:right="868" w:bottom="880" w:left="1410" w:header="0" w:footer="607" w:gutter="0"/>
          <w:cols w:equalWidth="0" w:num="1">
            <w:col w:w="9622"/>
          </w:cols>
        </w:sectPr>
      </w:pPr>
    </w:p>
    <w:p w14:paraId="376957E4">
      <w:pPr>
        <w:pStyle w:val="2"/>
        <w:spacing w:before="266" w:line="222" w:lineRule="auto"/>
        <w:ind w:left="599"/>
        <w:rPr>
          <w:sz w:val="19"/>
          <w:szCs w:val="19"/>
        </w:rPr>
      </w:pPr>
      <w:r>
        <w:rPr>
          <w:spacing w:val="-12"/>
          <w:w w:val="94"/>
          <w:sz w:val="19"/>
          <w:szCs w:val="19"/>
        </w:rPr>
        <w:t>第七章</w:t>
      </w:r>
      <w:r>
        <w:rPr>
          <w:spacing w:val="19"/>
          <w:sz w:val="19"/>
          <w:szCs w:val="19"/>
        </w:rPr>
        <w:t xml:space="preserve"> </w:t>
      </w:r>
      <w:r>
        <w:rPr>
          <w:spacing w:val="-12"/>
          <w:w w:val="94"/>
          <w:sz w:val="19"/>
          <w:szCs w:val="19"/>
        </w:rPr>
        <w:t>筛检</w:t>
      </w:r>
    </w:p>
    <w:p w14:paraId="509507BF">
      <w:pPr>
        <w:spacing w:line="268" w:lineRule="auto"/>
        <w:rPr>
          <w:rFonts w:ascii="Arial"/>
          <w:sz w:val="21"/>
        </w:rPr>
      </w:pPr>
    </w:p>
    <w:p w14:paraId="7BF465BC">
      <w:pPr>
        <w:spacing w:line="268" w:lineRule="auto"/>
        <w:rPr>
          <w:rFonts w:ascii="Arial"/>
          <w:sz w:val="21"/>
        </w:rPr>
      </w:pPr>
    </w:p>
    <w:p w14:paraId="23B746AB">
      <w:pPr>
        <w:pStyle w:val="2"/>
        <w:spacing w:before="61" w:line="364" w:lineRule="auto"/>
        <w:ind w:left="599" w:right="81" w:firstLine="389"/>
        <w:rPr>
          <w:rFonts w:ascii="宋体" w:hAnsi="宋体" w:eastAsia="宋体" w:cs="宋体"/>
          <w:sz w:val="19"/>
          <w:szCs w:val="19"/>
        </w:rPr>
      </w:pPr>
      <w:r>
        <w:rPr>
          <w:rFonts w:ascii="宋体" w:hAnsi="宋体" w:eastAsia="宋体" w:cs="宋体"/>
          <w:spacing w:val="5"/>
          <w:sz w:val="19"/>
          <w:szCs w:val="19"/>
        </w:rPr>
        <w:t xml:space="preserve">3. </w:t>
      </w:r>
      <w:r>
        <w:rPr>
          <w:spacing w:val="5"/>
          <w:sz w:val="19"/>
          <w:szCs w:val="19"/>
        </w:rPr>
        <w:t>预测值与真实性指标、患病率的关系</w:t>
      </w:r>
      <w:r>
        <w:rPr>
          <w:spacing w:val="77"/>
          <w:sz w:val="19"/>
          <w:szCs w:val="19"/>
        </w:rPr>
        <w:t xml:space="preserve"> </w:t>
      </w:r>
      <w:r>
        <w:rPr>
          <w:rFonts w:ascii="宋体" w:hAnsi="宋体" w:eastAsia="宋体" w:cs="宋体"/>
          <w:spacing w:val="5"/>
          <w:sz w:val="19"/>
          <w:szCs w:val="19"/>
        </w:rPr>
        <w:t>筛检试验的灵敏度、特异度和目标人群的疾病患病</w:t>
      </w:r>
      <w:r>
        <w:rPr>
          <w:rFonts w:ascii="宋体" w:hAnsi="宋体" w:eastAsia="宋体" w:cs="宋体"/>
          <w:sz w:val="19"/>
          <w:szCs w:val="19"/>
        </w:rPr>
        <w:t xml:space="preserve"> </w:t>
      </w:r>
      <w:r>
        <w:rPr>
          <w:rFonts w:ascii="宋体" w:hAnsi="宋体" w:eastAsia="宋体" w:cs="宋体"/>
          <w:spacing w:val="2"/>
          <w:sz w:val="19"/>
          <w:szCs w:val="19"/>
        </w:rPr>
        <w:t>率都会影响预测值的大小(表7-4)。</w:t>
      </w:r>
    </w:p>
    <w:p w14:paraId="3FDFD573">
      <w:pPr>
        <w:spacing w:before="1" w:line="360" w:lineRule="auto"/>
        <w:ind w:left="599" w:firstLine="389"/>
        <w:rPr>
          <w:rFonts w:ascii="宋体" w:hAnsi="宋体" w:eastAsia="宋体" w:cs="宋体"/>
          <w:sz w:val="19"/>
          <w:szCs w:val="19"/>
        </w:rPr>
      </w:pPr>
      <w:r>
        <w:rPr>
          <w:rFonts w:ascii="宋体" w:hAnsi="宋体" w:eastAsia="宋体" w:cs="宋体"/>
          <w:spacing w:val="4"/>
          <w:sz w:val="19"/>
          <w:szCs w:val="19"/>
        </w:rPr>
        <w:t>(1)患病率对预测值的影响：根据表7-4组合①和组合②所示结果，当灵敏度与特异度一</w:t>
      </w:r>
      <w:r>
        <w:rPr>
          <w:rFonts w:ascii="宋体" w:hAnsi="宋体" w:eastAsia="宋体" w:cs="宋体"/>
          <w:spacing w:val="3"/>
          <w:sz w:val="19"/>
          <w:szCs w:val="19"/>
        </w:rPr>
        <w:t>定时，</w:t>
      </w:r>
      <w:r>
        <w:rPr>
          <w:rFonts w:ascii="宋体" w:hAnsi="宋体" w:eastAsia="宋体" w:cs="宋体"/>
          <w:sz w:val="19"/>
          <w:szCs w:val="19"/>
        </w:rPr>
        <w:t xml:space="preserve"> </w:t>
      </w:r>
      <w:r>
        <w:rPr>
          <w:rFonts w:ascii="宋体" w:hAnsi="宋体" w:eastAsia="宋体" w:cs="宋体"/>
          <w:spacing w:val="-5"/>
          <w:sz w:val="19"/>
          <w:szCs w:val="19"/>
        </w:rPr>
        <w:t>疾病患病率增加，阳性预测值增加，阴性预测值降低。</w:t>
      </w:r>
    </w:p>
    <w:p w14:paraId="0F2396F9">
      <w:pPr>
        <w:spacing w:before="1" w:line="387" w:lineRule="auto"/>
        <w:ind w:left="599" w:right="86" w:firstLine="389"/>
        <w:rPr>
          <w:rFonts w:ascii="宋体" w:hAnsi="宋体" w:eastAsia="宋体" w:cs="宋体"/>
          <w:sz w:val="19"/>
          <w:szCs w:val="19"/>
        </w:rPr>
      </w:pPr>
      <w:r>
        <w:rPr>
          <w:rFonts w:ascii="宋体" w:hAnsi="宋体" w:eastAsia="宋体" w:cs="宋体"/>
          <w:sz w:val="19"/>
          <w:szCs w:val="19"/>
        </w:rPr>
        <w:t>(2)灵敏度、特异度对预测值的影响；当人群患病率不变时，灵敏度升高，特</w:t>
      </w:r>
      <w:r>
        <w:rPr>
          <w:rFonts w:ascii="宋体" w:hAnsi="宋体" w:eastAsia="宋体" w:cs="宋体"/>
          <w:spacing w:val="-1"/>
          <w:sz w:val="19"/>
          <w:szCs w:val="19"/>
        </w:rPr>
        <w:t>异度降低，阳性预</w:t>
      </w:r>
      <w:r>
        <w:rPr>
          <w:rFonts w:ascii="宋体" w:hAnsi="宋体" w:eastAsia="宋体" w:cs="宋体"/>
          <w:sz w:val="19"/>
          <w:szCs w:val="19"/>
        </w:rPr>
        <w:t xml:space="preserve"> </w:t>
      </w:r>
      <w:r>
        <w:rPr>
          <w:rFonts w:ascii="宋体" w:hAnsi="宋体" w:eastAsia="宋体" w:cs="宋体"/>
          <w:spacing w:val="1"/>
          <w:sz w:val="19"/>
          <w:szCs w:val="19"/>
        </w:rPr>
        <w:t>测值下降，阴性预测值会增加(如表7-4</w:t>
      </w:r>
      <w:r>
        <w:rPr>
          <w:rFonts w:ascii="宋体" w:hAnsi="宋体" w:eastAsia="宋体" w:cs="宋体"/>
          <w:sz w:val="19"/>
          <w:szCs w:val="19"/>
        </w:rPr>
        <w:t>组合③和④所示)。</w:t>
      </w:r>
    </w:p>
    <w:p w14:paraId="17FF8180">
      <w:pPr>
        <w:spacing w:before="139" w:line="221" w:lineRule="auto"/>
        <w:ind w:left="1740"/>
        <w:rPr>
          <w:rFonts w:ascii="宋体" w:hAnsi="宋体" w:eastAsia="宋体" w:cs="宋体"/>
          <w:sz w:val="14"/>
          <w:szCs w:val="14"/>
        </w:rPr>
      </w:pPr>
      <w:r>
        <w:rPr>
          <w:rFonts w:ascii="宋体" w:hAnsi="宋体" w:eastAsia="宋体" w:cs="宋体"/>
          <w:spacing w:val="1"/>
          <w:sz w:val="14"/>
          <w:szCs w:val="14"/>
        </w:rPr>
        <w:t xml:space="preserve">表        7-4灵敏度、   </w:t>
      </w:r>
      <w:r>
        <w:rPr>
          <w:rFonts w:ascii="宋体" w:hAnsi="宋体" w:eastAsia="宋体" w:cs="宋体"/>
          <w:sz w:val="14"/>
          <w:szCs w:val="14"/>
        </w:rPr>
        <w:t>特异度和患  病率不同变</w:t>
      </w:r>
      <w:r>
        <w:rPr>
          <w:rFonts w:ascii="宋体" w:hAnsi="宋体" w:eastAsia="宋体" w:cs="宋体"/>
          <w:spacing w:val="25"/>
          <w:sz w:val="14"/>
          <w:szCs w:val="14"/>
        </w:rPr>
        <w:t xml:space="preserve"> </w:t>
      </w:r>
      <w:r>
        <w:rPr>
          <w:rFonts w:ascii="宋体" w:hAnsi="宋体" w:eastAsia="宋体" w:cs="宋体"/>
          <w:sz w:val="14"/>
          <w:szCs w:val="14"/>
        </w:rPr>
        <w:t>化对预   测值的影响</w:t>
      </w:r>
      <w:r>
        <w:rPr>
          <w:rFonts w:ascii="宋体" w:hAnsi="宋体" w:eastAsia="宋体" w:cs="宋体"/>
          <w:spacing w:val="18"/>
          <w:sz w:val="14"/>
          <w:szCs w:val="14"/>
        </w:rPr>
        <w:t xml:space="preserve">  </w:t>
      </w:r>
      <w:r>
        <w:rPr>
          <w:rFonts w:ascii="宋体" w:hAnsi="宋体" w:eastAsia="宋体" w:cs="宋体"/>
          <w:sz w:val="14"/>
          <w:szCs w:val="14"/>
        </w:rPr>
        <w:t>(模拟数</w:t>
      </w:r>
      <w:r>
        <w:rPr>
          <w:rFonts w:ascii="宋体" w:hAnsi="宋体" w:eastAsia="宋体" w:cs="宋体"/>
          <w:spacing w:val="8"/>
          <w:sz w:val="14"/>
          <w:szCs w:val="14"/>
        </w:rPr>
        <w:t xml:space="preserve">     </w:t>
      </w:r>
      <w:r>
        <w:rPr>
          <w:rFonts w:ascii="宋体" w:hAnsi="宋体" w:eastAsia="宋体" w:cs="宋体"/>
          <w:sz w:val="14"/>
          <w:szCs w:val="14"/>
        </w:rPr>
        <w:t>据</w:t>
      </w:r>
      <w:r>
        <w:rPr>
          <w:rFonts w:ascii="宋体" w:hAnsi="宋体" w:eastAsia="宋体" w:cs="宋体"/>
          <w:spacing w:val="-25"/>
          <w:sz w:val="14"/>
          <w:szCs w:val="14"/>
        </w:rPr>
        <w:t xml:space="preserve"> </w:t>
      </w:r>
      <w:r>
        <w:rPr>
          <w:rFonts w:ascii="宋体" w:hAnsi="宋体" w:eastAsia="宋体" w:cs="宋体"/>
          <w:sz w:val="14"/>
          <w:szCs w:val="14"/>
        </w:rPr>
        <w:t>)</w:t>
      </w:r>
    </w:p>
    <w:p w14:paraId="7A9CE306">
      <w:pPr>
        <w:spacing w:line="62" w:lineRule="exact"/>
      </w:pPr>
    </w:p>
    <w:tbl>
      <w:tblPr>
        <w:tblStyle w:val="5"/>
        <w:tblW w:w="8260" w:type="dxa"/>
        <w:tblInd w:w="629"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0" w:type="dxa"/>
          <w:left w:w="0" w:type="dxa"/>
          <w:bottom w:w="0" w:type="dxa"/>
          <w:right w:w="0" w:type="dxa"/>
        </w:tblCellMar>
      </w:tblPr>
      <w:tblGrid>
        <w:gridCol w:w="650"/>
        <w:gridCol w:w="1060"/>
        <w:gridCol w:w="980"/>
        <w:gridCol w:w="980"/>
        <w:gridCol w:w="700"/>
        <w:gridCol w:w="650"/>
        <w:gridCol w:w="830"/>
        <w:gridCol w:w="690"/>
        <w:gridCol w:w="810"/>
        <w:gridCol w:w="910"/>
      </w:tblGrid>
      <w:tr w14:paraId="2F2244B8">
        <w:trPr>
          <w:trHeight w:val="354" w:hRule="atLeast"/>
        </w:trPr>
        <w:tc>
          <w:tcPr>
            <w:tcW w:w="650" w:type="dxa"/>
            <w:vMerge w:val="restart"/>
            <w:tcBorders>
              <w:top w:val="single" w:color="000000" w:sz="4" w:space="0"/>
              <w:bottom w:val="nil"/>
            </w:tcBorders>
            <w:shd w:val="clear" w:color="auto" w:fill="C7D5D0"/>
            <w:vAlign w:val="top"/>
          </w:tcPr>
          <w:p w14:paraId="742CF595">
            <w:pPr>
              <w:spacing w:line="246" w:lineRule="auto"/>
              <w:rPr>
                <w:rFonts w:ascii="Arial"/>
                <w:sz w:val="21"/>
              </w:rPr>
            </w:pPr>
          </w:p>
          <w:p w14:paraId="23EADAA2">
            <w:pPr>
              <w:pStyle w:val="6"/>
              <w:spacing w:before="45" w:line="223" w:lineRule="auto"/>
              <w:ind w:left="180"/>
              <w:rPr>
                <w:sz w:val="14"/>
                <w:szCs w:val="14"/>
              </w:rPr>
            </w:pPr>
            <w:r>
              <w:rPr>
                <w:spacing w:val="-2"/>
                <w:sz w:val="14"/>
                <w:szCs w:val="14"/>
              </w:rPr>
              <w:t>组合</w:t>
            </w:r>
          </w:p>
        </w:tc>
        <w:tc>
          <w:tcPr>
            <w:tcW w:w="1060" w:type="dxa"/>
            <w:vMerge w:val="restart"/>
            <w:tcBorders>
              <w:top w:val="single" w:color="000000" w:sz="4" w:space="0"/>
              <w:bottom w:val="nil"/>
            </w:tcBorders>
            <w:shd w:val="clear" w:color="auto" w:fill="CAD3CF"/>
            <w:vAlign w:val="top"/>
          </w:tcPr>
          <w:p w14:paraId="047412D6">
            <w:pPr>
              <w:spacing w:line="243" w:lineRule="auto"/>
              <w:rPr>
                <w:rFonts w:ascii="Arial"/>
                <w:sz w:val="21"/>
              </w:rPr>
            </w:pPr>
          </w:p>
          <w:p w14:paraId="5698C17A">
            <w:pPr>
              <w:pStyle w:val="6"/>
              <w:spacing w:before="46" w:line="219" w:lineRule="auto"/>
              <w:ind w:left="249"/>
              <w:rPr>
                <w:sz w:val="14"/>
                <w:szCs w:val="14"/>
              </w:rPr>
            </w:pPr>
            <w:r>
              <w:rPr>
                <w:spacing w:val="-3"/>
                <w:sz w:val="14"/>
                <w:szCs w:val="14"/>
              </w:rPr>
              <w:t>患病率1%</w:t>
            </w:r>
          </w:p>
        </w:tc>
        <w:tc>
          <w:tcPr>
            <w:tcW w:w="980" w:type="dxa"/>
            <w:vMerge w:val="restart"/>
            <w:tcBorders>
              <w:top w:val="single" w:color="000000" w:sz="4" w:space="0"/>
              <w:bottom w:val="nil"/>
            </w:tcBorders>
            <w:shd w:val="clear" w:color="auto" w:fill="CBCFCA"/>
            <w:vAlign w:val="top"/>
          </w:tcPr>
          <w:p w14:paraId="48F4CE5E">
            <w:pPr>
              <w:spacing w:line="243" w:lineRule="auto"/>
              <w:rPr>
                <w:rFonts w:ascii="Arial"/>
                <w:sz w:val="21"/>
              </w:rPr>
            </w:pPr>
          </w:p>
          <w:p w14:paraId="3259E602">
            <w:pPr>
              <w:pStyle w:val="6"/>
              <w:spacing w:before="46" w:line="219" w:lineRule="auto"/>
              <w:ind w:left="210"/>
              <w:rPr>
                <w:sz w:val="14"/>
                <w:szCs w:val="14"/>
              </w:rPr>
            </w:pPr>
            <w:r>
              <w:rPr>
                <w:spacing w:val="-2"/>
                <w:sz w:val="14"/>
                <w:szCs w:val="14"/>
              </w:rPr>
              <w:t>灵敏度1%</w:t>
            </w:r>
          </w:p>
        </w:tc>
        <w:tc>
          <w:tcPr>
            <w:tcW w:w="980" w:type="dxa"/>
            <w:vMerge w:val="restart"/>
            <w:tcBorders>
              <w:top w:val="single" w:color="000000" w:sz="4" w:space="0"/>
              <w:bottom w:val="nil"/>
            </w:tcBorders>
            <w:shd w:val="clear" w:color="auto" w:fill="D1D2CD"/>
            <w:vAlign w:val="top"/>
          </w:tcPr>
          <w:p w14:paraId="43EB4C36">
            <w:pPr>
              <w:spacing w:line="243" w:lineRule="auto"/>
              <w:rPr>
                <w:rFonts w:ascii="Arial"/>
                <w:sz w:val="21"/>
              </w:rPr>
            </w:pPr>
          </w:p>
          <w:p w14:paraId="20A7A181">
            <w:pPr>
              <w:pStyle w:val="6"/>
              <w:spacing w:before="46" w:line="219" w:lineRule="auto"/>
              <w:ind w:left="210"/>
              <w:rPr>
                <w:sz w:val="14"/>
                <w:szCs w:val="14"/>
              </w:rPr>
            </w:pPr>
            <w:r>
              <w:rPr>
                <w:spacing w:val="-1"/>
                <w:sz w:val="14"/>
                <w:szCs w:val="14"/>
              </w:rPr>
              <w:t>特异度1%</w:t>
            </w:r>
          </w:p>
        </w:tc>
        <w:tc>
          <w:tcPr>
            <w:tcW w:w="700" w:type="dxa"/>
            <w:vMerge w:val="restart"/>
            <w:tcBorders>
              <w:top w:val="single" w:color="000000" w:sz="4" w:space="0"/>
              <w:bottom w:val="nil"/>
            </w:tcBorders>
            <w:shd w:val="clear" w:color="auto" w:fill="CFD1CC"/>
            <w:vAlign w:val="top"/>
          </w:tcPr>
          <w:p w14:paraId="3A2B6D3D">
            <w:pPr>
              <w:pStyle w:val="6"/>
              <w:spacing w:before="120" w:line="219" w:lineRule="auto"/>
              <w:ind w:left="150"/>
              <w:rPr>
                <w:sz w:val="14"/>
                <w:szCs w:val="14"/>
              </w:rPr>
            </w:pPr>
            <w:r>
              <w:rPr>
                <w:spacing w:val="-2"/>
                <w:sz w:val="14"/>
                <w:szCs w:val="14"/>
              </w:rPr>
              <w:t>筛检</w:t>
            </w:r>
          </w:p>
          <w:p w14:paraId="08EA153B">
            <w:pPr>
              <w:pStyle w:val="6"/>
              <w:spacing w:before="114" w:line="220" w:lineRule="auto"/>
              <w:ind w:left="150"/>
              <w:rPr>
                <w:sz w:val="14"/>
                <w:szCs w:val="14"/>
              </w:rPr>
            </w:pPr>
            <w:r>
              <w:rPr>
                <w:spacing w:val="-3"/>
                <w:sz w:val="14"/>
                <w:szCs w:val="14"/>
              </w:rPr>
              <w:t>结果</w:t>
            </w:r>
          </w:p>
        </w:tc>
        <w:tc>
          <w:tcPr>
            <w:tcW w:w="1480" w:type="dxa"/>
            <w:gridSpan w:val="2"/>
            <w:tcBorders>
              <w:top w:val="single" w:color="000000" w:sz="4" w:space="0"/>
            </w:tcBorders>
            <w:shd w:val="clear" w:color="auto" w:fill="CFD1CA"/>
            <w:vAlign w:val="top"/>
          </w:tcPr>
          <w:p w14:paraId="73961819">
            <w:pPr>
              <w:pStyle w:val="6"/>
              <w:spacing w:before="111" w:line="220" w:lineRule="auto"/>
              <w:ind w:left="530"/>
              <w:rPr>
                <w:sz w:val="14"/>
                <w:szCs w:val="14"/>
              </w:rPr>
            </w:pPr>
            <w:r>
              <w:rPr>
                <w:spacing w:val="-2"/>
                <w:sz w:val="14"/>
                <w:szCs w:val="14"/>
              </w:rPr>
              <w:t>金标准</w:t>
            </w:r>
          </w:p>
        </w:tc>
        <w:tc>
          <w:tcPr>
            <w:tcW w:w="690" w:type="dxa"/>
            <w:vMerge w:val="restart"/>
            <w:tcBorders>
              <w:top w:val="single" w:color="000000" w:sz="4" w:space="0"/>
              <w:bottom w:val="nil"/>
            </w:tcBorders>
            <w:shd w:val="clear" w:color="auto" w:fill="CBCDC7"/>
            <w:vAlign w:val="top"/>
          </w:tcPr>
          <w:p w14:paraId="0FE039F6">
            <w:pPr>
              <w:spacing w:line="244" w:lineRule="auto"/>
              <w:rPr>
                <w:rFonts w:ascii="Arial"/>
                <w:sz w:val="21"/>
              </w:rPr>
            </w:pPr>
          </w:p>
          <w:p w14:paraId="4C89C8D4">
            <w:pPr>
              <w:pStyle w:val="6"/>
              <w:spacing w:before="46" w:line="221" w:lineRule="auto"/>
              <w:ind w:left="199"/>
              <w:rPr>
                <w:sz w:val="14"/>
                <w:szCs w:val="14"/>
              </w:rPr>
            </w:pPr>
            <w:r>
              <w:rPr>
                <w:spacing w:val="-2"/>
                <w:sz w:val="14"/>
                <w:szCs w:val="14"/>
              </w:rPr>
              <w:t>合计</w:t>
            </w:r>
          </w:p>
        </w:tc>
        <w:tc>
          <w:tcPr>
            <w:tcW w:w="810" w:type="dxa"/>
            <w:vMerge w:val="restart"/>
            <w:tcBorders>
              <w:top w:val="single" w:color="000000" w:sz="4" w:space="0"/>
              <w:bottom w:val="nil"/>
            </w:tcBorders>
            <w:shd w:val="clear" w:color="auto" w:fill="C4C5BD"/>
            <w:vAlign w:val="top"/>
          </w:tcPr>
          <w:p w14:paraId="0E612CFC">
            <w:pPr>
              <w:pStyle w:val="6"/>
              <w:spacing w:before="120" w:line="371" w:lineRule="auto"/>
              <w:ind w:left="49" w:right="273"/>
              <w:rPr>
                <w:sz w:val="14"/>
                <w:szCs w:val="14"/>
              </w:rPr>
            </w:pPr>
            <w:r>
              <w:rPr>
                <w:spacing w:val="22"/>
                <w:sz w:val="14"/>
                <w:szCs w:val="14"/>
              </w:rPr>
              <w:t>阳性预</w:t>
            </w:r>
            <w:r>
              <w:rPr>
                <w:sz w:val="14"/>
                <w:szCs w:val="14"/>
              </w:rPr>
              <w:t xml:space="preserve"> </w:t>
            </w:r>
            <w:r>
              <w:rPr>
                <w:spacing w:val="15"/>
                <w:sz w:val="14"/>
                <w:szCs w:val="14"/>
              </w:rPr>
              <w:t>测值1%</w:t>
            </w:r>
          </w:p>
        </w:tc>
        <w:tc>
          <w:tcPr>
            <w:tcW w:w="910" w:type="dxa"/>
            <w:vMerge w:val="restart"/>
            <w:tcBorders>
              <w:top w:val="single" w:color="000000" w:sz="4" w:space="0"/>
              <w:bottom w:val="nil"/>
            </w:tcBorders>
            <w:shd w:val="clear" w:color="auto" w:fill="C2C2B0"/>
            <w:vAlign w:val="top"/>
          </w:tcPr>
          <w:p w14:paraId="2E0B24B2">
            <w:pPr>
              <w:pStyle w:val="6"/>
              <w:spacing w:before="120" w:line="371" w:lineRule="auto"/>
              <w:ind w:left="139" w:right="293"/>
              <w:rPr>
                <w:sz w:val="14"/>
                <w:szCs w:val="14"/>
              </w:rPr>
            </w:pPr>
            <w:r>
              <w:rPr>
                <w:spacing w:val="18"/>
                <w:sz w:val="14"/>
                <w:szCs w:val="14"/>
              </w:rPr>
              <w:t>阴性预</w:t>
            </w:r>
            <w:r>
              <w:rPr>
                <w:spacing w:val="1"/>
                <w:sz w:val="14"/>
                <w:szCs w:val="14"/>
              </w:rPr>
              <w:t xml:space="preserve"> </w:t>
            </w:r>
            <w:r>
              <w:rPr>
                <w:spacing w:val="13"/>
                <w:sz w:val="14"/>
                <w:szCs w:val="14"/>
              </w:rPr>
              <w:t>测值1%</w:t>
            </w:r>
          </w:p>
        </w:tc>
      </w:tr>
      <w:tr w14:paraId="37D6B958">
        <w:trPr>
          <w:trHeight w:val="359" w:hRule="atLeast"/>
        </w:trPr>
        <w:tc>
          <w:tcPr>
            <w:tcW w:w="650" w:type="dxa"/>
            <w:vMerge w:val="continue"/>
            <w:tcBorders>
              <w:top w:val="nil"/>
              <w:bottom w:val="single" w:color="000000" w:sz="4" w:space="0"/>
            </w:tcBorders>
            <w:vAlign w:val="top"/>
          </w:tcPr>
          <w:p w14:paraId="711D6773">
            <w:pPr>
              <w:rPr>
                <w:rFonts w:ascii="Arial"/>
                <w:sz w:val="21"/>
              </w:rPr>
            </w:pPr>
          </w:p>
        </w:tc>
        <w:tc>
          <w:tcPr>
            <w:tcW w:w="1060" w:type="dxa"/>
            <w:vMerge w:val="continue"/>
            <w:tcBorders>
              <w:top w:val="nil"/>
              <w:bottom w:val="single" w:color="000000" w:sz="4" w:space="0"/>
            </w:tcBorders>
            <w:vAlign w:val="top"/>
          </w:tcPr>
          <w:p w14:paraId="594E9E73">
            <w:pPr>
              <w:rPr>
                <w:rFonts w:ascii="Arial"/>
                <w:sz w:val="21"/>
              </w:rPr>
            </w:pPr>
          </w:p>
        </w:tc>
        <w:tc>
          <w:tcPr>
            <w:tcW w:w="980" w:type="dxa"/>
            <w:vMerge w:val="continue"/>
            <w:tcBorders>
              <w:top w:val="nil"/>
              <w:bottom w:val="single" w:color="000000" w:sz="4" w:space="0"/>
            </w:tcBorders>
            <w:vAlign w:val="top"/>
          </w:tcPr>
          <w:p w14:paraId="6B7BE301">
            <w:pPr>
              <w:rPr>
                <w:rFonts w:ascii="Arial"/>
                <w:sz w:val="21"/>
              </w:rPr>
            </w:pPr>
          </w:p>
        </w:tc>
        <w:tc>
          <w:tcPr>
            <w:tcW w:w="980" w:type="dxa"/>
            <w:vMerge w:val="continue"/>
            <w:tcBorders>
              <w:top w:val="nil"/>
              <w:bottom w:val="single" w:color="000000" w:sz="4" w:space="0"/>
            </w:tcBorders>
            <w:vAlign w:val="top"/>
          </w:tcPr>
          <w:p w14:paraId="00F0A973">
            <w:pPr>
              <w:rPr>
                <w:rFonts w:ascii="Arial"/>
                <w:sz w:val="21"/>
              </w:rPr>
            </w:pPr>
          </w:p>
        </w:tc>
        <w:tc>
          <w:tcPr>
            <w:tcW w:w="700" w:type="dxa"/>
            <w:vMerge w:val="continue"/>
            <w:tcBorders>
              <w:top w:val="nil"/>
              <w:bottom w:val="single" w:color="000000" w:sz="4" w:space="0"/>
            </w:tcBorders>
            <w:vAlign w:val="top"/>
          </w:tcPr>
          <w:p w14:paraId="4F4B1FA6">
            <w:pPr>
              <w:rPr>
                <w:rFonts w:ascii="Arial"/>
                <w:sz w:val="21"/>
              </w:rPr>
            </w:pPr>
          </w:p>
        </w:tc>
        <w:tc>
          <w:tcPr>
            <w:tcW w:w="650" w:type="dxa"/>
            <w:tcBorders>
              <w:bottom w:val="single" w:color="000000" w:sz="4" w:space="0"/>
            </w:tcBorders>
            <w:shd w:val="clear" w:color="auto" w:fill="C4C5BF"/>
            <w:vAlign w:val="top"/>
          </w:tcPr>
          <w:p w14:paraId="06DE3711">
            <w:pPr>
              <w:pStyle w:val="6"/>
              <w:spacing w:before="117" w:line="221" w:lineRule="auto"/>
              <w:ind w:left="179"/>
              <w:rPr>
                <w:sz w:val="14"/>
                <w:szCs w:val="14"/>
              </w:rPr>
            </w:pPr>
            <w:r>
              <w:rPr>
                <w:spacing w:val="-2"/>
                <w:sz w:val="14"/>
                <w:szCs w:val="14"/>
              </w:rPr>
              <w:t>病例</w:t>
            </w:r>
          </w:p>
        </w:tc>
        <w:tc>
          <w:tcPr>
            <w:tcW w:w="830" w:type="dxa"/>
            <w:tcBorders>
              <w:bottom w:val="single" w:color="000000" w:sz="4" w:space="0"/>
            </w:tcBorders>
            <w:shd w:val="clear" w:color="auto" w:fill="C8C9C3"/>
            <w:vAlign w:val="top"/>
          </w:tcPr>
          <w:p w14:paraId="16E50456">
            <w:pPr>
              <w:pStyle w:val="6"/>
              <w:spacing w:before="117" w:line="220" w:lineRule="auto"/>
              <w:ind w:left="200"/>
              <w:rPr>
                <w:sz w:val="14"/>
                <w:szCs w:val="14"/>
              </w:rPr>
            </w:pPr>
            <w:r>
              <w:rPr>
                <w:spacing w:val="-2"/>
                <w:sz w:val="14"/>
                <w:szCs w:val="14"/>
              </w:rPr>
              <w:t>非病例</w:t>
            </w:r>
          </w:p>
        </w:tc>
        <w:tc>
          <w:tcPr>
            <w:tcW w:w="690" w:type="dxa"/>
            <w:vMerge w:val="continue"/>
            <w:tcBorders>
              <w:top w:val="nil"/>
              <w:bottom w:val="single" w:color="000000" w:sz="4" w:space="0"/>
            </w:tcBorders>
            <w:vAlign w:val="top"/>
          </w:tcPr>
          <w:p w14:paraId="189897F8">
            <w:pPr>
              <w:rPr>
                <w:rFonts w:ascii="Arial"/>
                <w:sz w:val="21"/>
              </w:rPr>
            </w:pPr>
          </w:p>
        </w:tc>
        <w:tc>
          <w:tcPr>
            <w:tcW w:w="810" w:type="dxa"/>
            <w:vMerge w:val="continue"/>
            <w:tcBorders>
              <w:top w:val="nil"/>
              <w:bottom w:val="single" w:color="000000" w:sz="4" w:space="0"/>
            </w:tcBorders>
            <w:vAlign w:val="top"/>
          </w:tcPr>
          <w:p w14:paraId="304E019C">
            <w:pPr>
              <w:rPr>
                <w:rFonts w:ascii="Arial"/>
                <w:sz w:val="21"/>
              </w:rPr>
            </w:pPr>
          </w:p>
        </w:tc>
        <w:tc>
          <w:tcPr>
            <w:tcW w:w="910" w:type="dxa"/>
            <w:vMerge w:val="continue"/>
            <w:tcBorders>
              <w:top w:val="nil"/>
              <w:bottom w:val="single" w:color="000000" w:sz="4" w:space="0"/>
            </w:tcBorders>
            <w:vAlign w:val="top"/>
          </w:tcPr>
          <w:p w14:paraId="57FA25AB">
            <w:pPr>
              <w:rPr>
                <w:rFonts w:ascii="Arial"/>
                <w:sz w:val="21"/>
              </w:rPr>
            </w:pPr>
          </w:p>
        </w:tc>
      </w:tr>
      <w:tr w14:paraId="7DC86190">
        <w:trPr>
          <w:trHeight w:val="1198" w:hRule="atLeast"/>
        </w:trPr>
        <w:tc>
          <w:tcPr>
            <w:tcW w:w="650" w:type="dxa"/>
            <w:tcBorders>
              <w:top w:val="single" w:color="000000" w:sz="4" w:space="0"/>
              <w:bottom w:val="single" w:color="000000" w:sz="4" w:space="0"/>
            </w:tcBorders>
            <w:vAlign w:val="top"/>
          </w:tcPr>
          <w:p w14:paraId="3F7F6B82">
            <w:pPr>
              <w:spacing w:line="477" w:lineRule="auto"/>
              <w:rPr>
                <w:rFonts w:ascii="Arial"/>
                <w:sz w:val="21"/>
              </w:rPr>
            </w:pPr>
          </w:p>
          <w:p w14:paraId="6A7190E7">
            <w:pPr>
              <w:pStyle w:val="6"/>
              <w:spacing w:before="46" w:line="217" w:lineRule="auto"/>
              <w:ind w:left="250"/>
              <w:rPr>
                <w:sz w:val="14"/>
                <w:szCs w:val="14"/>
              </w:rPr>
            </w:pPr>
            <w:r>
              <w:rPr>
                <w:sz w:val="14"/>
                <w:szCs w:val="14"/>
              </w:rPr>
              <w:t>①</w:t>
            </w:r>
          </w:p>
        </w:tc>
        <w:tc>
          <w:tcPr>
            <w:tcW w:w="1060" w:type="dxa"/>
            <w:tcBorders>
              <w:top w:val="single" w:color="000000" w:sz="4" w:space="0"/>
              <w:bottom w:val="single" w:color="000000" w:sz="4" w:space="0"/>
            </w:tcBorders>
            <w:vAlign w:val="top"/>
          </w:tcPr>
          <w:p w14:paraId="78338228">
            <w:pPr>
              <w:pStyle w:val="6"/>
              <w:spacing w:before="151"/>
              <w:ind w:left="460"/>
              <w:rPr>
                <w:sz w:val="14"/>
                <w:szCs w:val="14"/>
              </w:rPr>
            </w:pPr>
            <w:r>
              <w:rPr>
                <w:spacing w:val="-3"/>
                <w:sz w:val="14"/>
                <w:szCs w:val="14"/>
              </w:rPr>
              <w:t>50</w:t>
            </w:r>
          </w:p>
        </w:tc>
        <w:tc>
          <w:tcPr>
            <w:tcW w:w="980" w:type="dxa"/>
            <w:tcBorders>
              <w:top w:val="single" w:color="000000" w:sz="4" w:space="0"/>
              <w:bottom w:val="single" w:color="000000" w:sz="4" w:space="0"/>
            </w:tcBorders>
            <w:vAlign w:val="top"/>
          </w:tcPr>
          <w:p w14:paraId="67CECB51">
            <w:pPr>
              <w:pStyle w:val="6"/>
              <w:spacing w:before="151"/>
              <w:ind w:left="419"/>
              <w:rPr>
                <w:sz w:val="14"/>
                <w:szCs w:val="14"/>
              </w:rPr>
            </w:pPr>
            <w:r>
              <w:rPr>
                <w:spacing w:val="-3"/>
                <w:sz w:val="14"/>
                <w:szCs w:val="14"/>
              </w:rPr>
              <w:t>50</w:t>
            </w:r>
          </w:p>
        </w:tc>
        <w:tc>
          <w:tcPr>
            <w:tcW w:w="980" w:type="dxa"/>
            <w:tcBorders>
              <w:top w:val="single" w:color="000000" w:sz="4" w:space="0"/>
              <w:bottom w:val="single" w:color="000000" w:sz="4" w:space="0"/>
            </w:tcBorders>
            <w:vAlign w:val="top"/>
          </w:tcPr>
          <w:p w14:paraId="36C8BB19">
            <w:pPr>
              <w:pStyle w:val="6"/>
              <w:spacing w:before="151"/>
              <w:ind w:left="420"/>
              <w:rPr>
                <w:sz w:val="14"/>
                <w:szCs w:val="14"/>
              </w:rPr>
            </w:pPr>
            <w:r>
              <w:rPr>
                <w:spacing w:val="-3"/>
                <w:sz w:val="14"/>
                <w:szCs w:val="14"/>
              </w:rPr>
              <w:t>50</w:t>
            </w:r>
          </w:p>
        </w:tc>
        <w:tc>
          <w:tcPr>
            <w:tcW w:w="700" w:type="dxa"/>
            <w:tcBorders>
              <w:top w:val="single" w:color="000000" w:sz="4" w:space="0"/>
              <w:bottom w:val="single" w:color="000000" w:sz="4" w:space="0"/>
            </w:tcBorders>
            <w:vAlign w:val="top"/>
          </w:tcPr>
          <w:p w14:paraId="4372A9F4">
            <w:pPr>
              <w:pStyle w:val="6"/>
              <w:spacing w:before="151" w:line="198" w:lineRule="exact"/>
              <w:ind w:left="309"/>
              <w:rPr>
                <w:sz w:val="14"/>
                <w:szCs w:val="14"/>
              </w:rPr>
            </w:pPr>
            <w:r>
              <w:rPr>
                <w:position w:val="1"/>
                <w:sz w:val="14"/>
                <w:szCs w:val="14"/>
              </w:rPr>
              <w:t>+</w:t>
            </w:r>
          </w:p>
          <w:p w14:paraId="66ADA097">
            <w:pPr>
              <w:pStyle w:val="6"/>
              <w:spacing w:before="247" w:line="95" w:lineRule="exact"/>
              <w:ind w:left="309"/>
              <w:rPr>
                <w:sz w:val="14"/>
                <w:szCs w:val="14"/>
              </w:rPr>
            </w:pPr>
            <w:r>
              <w:rPr>
                <w:position w:val="-2"/>
                <w:sz w:val="14"/>
                <w:szCs w:val="14"/>
              </w:rPr>
              <w:t>-</w:t>
            </w:r>
          </w:p>
          <w:p w14:paraId="26735634">
            <w:pPr>
              <w:pStyle w:val="6"/>
              <w:spacing w:before="215" w:line="221" w:lineRule="auto"/>
              <w:ind w:left="209"/>
              <w:rPr>
                <w:sz w:val="14"/>
                <w:szCs w:val="14"/>
              </w:rPr>
            </w:pPr>
            <w:r>
              <w:rPr>
                <w:spacing w:val="-2"/>
                <w:sz w:val="14"/>
                <w:szCs w:val="14"/>
              </w:rPr>
              <w:t>合计</w:t>
            </w:r>
          </w:p>
        </w:tc>
        <w:tc>
          <w:tcPr>
            <w:tcW w:w="650" w:type="dxa"/>
            <w:tcBorders>
              <w:top w:val="single" w:color="000000" w:sz="4" w:space="0"/>
              <w:bottom w:val="single" w:color="000000" w:sz="4" w:space="0"/>
            </w:tcBorders>
            <w:vAlign w:val="top"/>
          </w:tcPr>
          <w:p w14:paraId="7B8EFE86">
            <w:pPr>
              <w:pStyle w:val="6"/>
              <w:spacing w:before="151"/>
              <w:ind w:left="220"/>
              <w:rPr>
                <w:sz w:val="14"/>
                <w:szCs w:val="14"/>
              </w:rPr>
            </w:pPr>
            <w:r>
              <w:rPr>
                <w:spacing w:val="-2"/>
                <w:sz w:val="14"/>
                <w:szCs w:val="14"/>
              </w:rPr>
              <w:t>250</w:t>
            </w:r>
          </w:p>
          <w:p w14:paraId="0DF43007">
            <w:pPr>
              <w:pStyle w:val="6"/>
              <w:spacing w:before="197"/>
              <w:ind w:left="220"/>
              <w:rPr>
                <w:sz w:val="14"/>
                <w:szCs w:val="14"/>
              </w:rPr>
            </w:pPr>
            <w:r>
              <w:rPr>
                <w:spacing w:val="-2"/>
                <w:sz w:val="14"/>
                <w:szCs w:val="14"/>
              </w:rPr>
              <w:t>250</w:t>
            </w:r>
          </w:p>
          <w:p w14:paraId="4B015298">
            <w:pPr>
              <w:pStyle w:val="6"/>
              <w:spacing w:before="208"/>
              <w:ind w:left="220"/>
              <w:rPr>
                <w:sz w:val="14"/>
                <w:szCs w:val="14"/>
              </w:rPr>
            </w:pPr>
            <w:r>
              <w:rPr>
                <w:spacing w:val="-2"/>
                <w:sz w:val="14"/>
                <w:szCs w:val="14"/>
              </w:rPr>
              <w:t>500</w:t>
            </w:r>
          </w:p>
        </w:tc>
        <w:tc>
          <w:tcPr>
            <w:tcW w:w="830" w:type="dxa"/>
            <w:tcBorders>
              <w:top w:val="single" w:color="000000" w:sz="4" w:space="0"/>
              <w:bottom w:val="single" w:color="000000" w:sz="4" w:space="0"/>
            </w:tcBorders>
            <w:vAlign w:val="top"/>
          </w:tcPr>
          <w:p w14:paraId="11903593">
            <w:pPr>
              <w:pStyle w:val="6"/>
              <w:spacing w:before="151"/>
              <w:ind w:left="310"/>
              <w:rPr>
                <w:sz w:val="14"/>
                <w:szCs w:val="14"/>
              </w:rPr>
            </w:pPr>
            <w:r>
              <w:rPr>
                <w:spacing w:val="-2"/>
                <w:sz w:val="14"/>
                <w:szCs w:val="14"/>
              </w:rPr>
              <w:t>250</w:t>
            </w:r>
          </w:p>
          <w:p w14:paraId="5AF623B8">
            <w:pPr>
              <w:pStyle w:val="6"/>
              <w:spacing w:before="197"/>
              <w:ind w:left="310"/>
              <w:rPr>
                <w:sz w:val="14"/>
                <w:szCs w:val="14"/>
              </w:rPr>
            </w:pPr>
            <w:r>
              <w:rPr>
                <w:spacing w:val="-2"/>
                <w:sz w:val="14"/>
                <w:szCs w:val="14"/>
              </w:rPr>
              <w:t>250</w:t>
            </w:r>
          </w:p>
          <w:p w14:paraId="07E0F9CF">
            <w:pPr>
              <w:pStyle w:val="6"/>
              <w:spacing w:before="208"/>
              <w:ind w:left="310"/>
              <w:rPr>
                <w:sz w:val="14"/>
                <w:szCs w:val="14"/>
              </w:rPr>
            </w:pPr>
            <w:r>
              <w:rPr>
                <w:spacing w:val="-2"/>
                <w:sz w:val="14"/>
                <w:szCs w:val="14"/>
              </w:rPr>
              <w:t>500</w:t>
            </w:r>
          </w:p>
        </w:tc>
        <w:tc>
          <w:tcPr>
            <w:tcW w:w="690" w:type="dxa"/>
            <w:tcBorders>
              <w:top w:val="single" w:color="000000" w:sz="4" w:space="0"/>
              <w:bottom w:val="single" w:color="000000" w:sz="4" w:space="0"/>
            </w:tcBorders>
            <w:vAlign w:val="top"/>
          </w:tcPr>
          <w:p w14:paraId="73C93BAA">
            <w:pPr>
              <w:pStyle w:val="6"/>
              <w:spacing w:before="151"/>
              <w:ind w:left="240"/>
              <w:rPr>
                <w:sz w:val="14"/>
                <w:szCs w:val="14"/>
              </w:rPr>
            </w:pPr>
            <w:r>
              <w:rPr>
                <w:spacing w:val="-2"/>
                <w:sz w:val="14"/>
                <w:szCs w:val="14"/>
              </w:rPr>
              <w:t>500</w:t>
            </w:r>
          </w:p>
          <w:p w14:paraId="6F1393FE">
            <w:pPr>
              <w:pStyle w:val="6"/>
              <w:spacing w:before="197"/>
              <w:ind w:left="240"/>
              <w:rPr>
                <w:sz w:val="14"/>
                <w:szCs w:val="14"/>
              </w:rPr>
            </w:pPr>
            <w:r>
              <w:rPr>
                <w:spacing w:val="-2"/>
                <w:sz w:val="14"/>
                <w:szCs w:val="14"/>
              </w:rPr>
              <w:t>500</w:t>
            </w:r>
          </w:p>
          <w:p w14:paraId="47215211">
            <w:pPr>
              <w:pStyle w:val="6"/>
              <w:spacing w:before="208"/>
              <w:ind w:left="199"/>
              <w:rPr>
                <w:sz w:val="14"/>
                <w:szCs w:val="14"/>
              </w:rPr>
            </w:pPr>
            <w:r>
              <w:rPr>
                <w:spacing w:val="-3"/>
                <w:sz w:val="14"/>
                <w:szCs w:val="14"/>
              </w:rPr>
              <w:t>1000</w:t>
            </w:r>
          </w:p>
        </w:tc>
        <w:tc>
          <w:tcPr>
            <w:tcW w:w="810" w:type="dxa"/>
            <w:tcBorders>
              <w:top w:val="single" w:color="000000" w:sz="4" w:space="0"/>
              <w:bottom w:val="single" w:color="000000" w:sz="4" w:space="0"/>
            </w:tcBorders>
            <w:vAlign w:val="top"/>
          </w:tcPr>
          <w:p w14:paraId="3EA4B11A">
            <w:pPr>
              <w:pStyle w:val="6"/>
              <w:spacing w:before="151"/>
              <w:ind w:left="329"/>
              <w:rPr>
                <w:sz w:val="14"/>
                <w:szCs w:val="14"/>
              </w:rPr>
            </w:pPr>
            <w:r>
              <w:rPr>
                <w:spacing w:val="-3"/>
                <w:sz w:val="14"/>
                <w:szCs w:val="14"/>
              </w:rPr>
              <w:t>50</w:t>
            </w:r>
          </w:p>
        </w:tc>
        <w:tc>
          <w:tcPr>
            <w:tcW w:w="910" w:type="dxa"/>
            <w:tcBorders>
              <w:top w:val="single" w:color="000000" w:sz="4" w:space="0"/>
              <w:bottom w:val="single" w:color="000000" w:sz="4" w:space="0"/>
            </w:tcBorders>
            <w:vAlign w:val="top"/>
          </w:tcPr>
          <w:p w14:paraId="67FBA5D7">
            <w:pPr>
              <w:spacing w:line="241" w:lineRule="auto"/>
              <w:rPr>
                <w:rFonts w:ascii="Arial"/>
                <w:sz w:val="21"/>
              </w:rPr>
            </w:pPr>
          </w:p>
          <w:p w14:paraId="765B3324">
            <w:pPr>
              <w:spacing w:line="241" w:lineRule="auto"/>
              <w:rPr>
                <w:rFonts w:ascii="Arial"/>
                <w:sz w:val="21"/>
              </w:rPr>
            </w:pPr>
          </w:p>
          <w:p w14:paraId="090030F0">
            <w:pPr>
              <w:pStyle w:val="6"/>
              <w:spacing w:before="46"/>
              <w:ind w:left="380"/>
              <w:rPr>
                <w:sz w:val="14"/>
                <w:szCs w:val="14"/>
              </w:rPr>
            </w:pPr>
            <w:r>
              <w:rPr>
                <w:spacing w:val="-3"/>
                <w:sz w:val="14"/>
                <w:szCs w:val="14"/>
              </w:rPr>
              <w:t>50</w:t>
            </w:r>
          </w:p>
        </w:tc>
      </w:tr>
      <w:tr w14:paraId="0CB60879">
        <w:trPr>
          <w:trHeight w:val="1158" w:hRule="atLeast"/>
        </w:trPr>
        <w:tc>
          <w:tcPr>
            <w:tcW w:w="650" w:type="dxa"/>
            <w:tcBorders>
              <w:top w:val="single" w:color="000000" w:sz="4" w:space="0"/>
              <w:bottom w:val="single" w:color="000000" w:sz="4" w:space="0"/>
            </w:tcBorders>
            <w:shd w:val="clear" w:color="auto" w:fill="E3E3E8"/>
            <w:vAlign w:val="top"/>
          </w:tcPr>
          <w:p w14:paraId="6CD91826">
            <w:pPr>
              <w:spacing w:line="459" w:lineRule="auto"/>
              <w:rPr>
                <w:rFonts w:ascii="Arial"/>
                <w:sz w:val="21"/>
              </w:rPr>
            </w:pPr>
          </w:p>
          <w:p w14:paraId="2BC38E8C">
            <w:pPr>
              <w:pStyle w:val="6"/>
              <w:spacing w:before="46" w:line="217" w:lineRule="auto"/>
              <w:ind w:left="250"/>
              <w:rPr>
                <w:sz w:val="14"/>
                <w:szCs w:val="14"/>
              </w:rPr>
            </w:pPr>
            <w:r>
              <w:rPr>
                <w:sz w:val="14"/>
                <w:szCs w:val="14"/>
              </w:rPr>
              <w:t>②</w:t>
            </w:r>
          </w:p>
        </w:tc>
        <w:tc>
          <w:tcPr>
            <w:tcW w:w="1060" w:type="dxa"/>
            <w:tcBorders>
              <w:top w:val="single" w:color="000000" w:sz="4" w:space="0"/>
              <w:bottom w:val="single" w:color="000000" w:sz="4" w:space="0"/>
            </w:tcBorders>
            <w:shd w:val="clear" w:color="auto" w:fill="E4E3E7"/>
            <w:vAlign w:val="top"/>
          </w:tcPr>
          <w:p w14:paraId="0D7511B2">
            <w:pPr>
              <w:spacing w:line="266" w:lineRule="auto"/>
              <w:rPr>
                <w:rFonts w:ascii="Arial"/>
                <w:sz w:val="21"/>
              </w:rPr>
            </w:pPr>
          </w:p>
          <w:p w14:paraId="14CCCBB6">
            <w:pPr>
              <w:pStyle w:val="6"/>
              <w:spacing w:before="45"/>
              <w:ind w:left="460"/>
              <w:rPr>
                <w:sz w:val="14"/>
                <w:szCs w:val="14"/>
              </w:rPr>
            </w:pPr>
            <w:r>
              <w:rPr>
                <w:spacing w:val="-3"/>
                <w:sz w:val="14"/>
                <w:szCs w:val="14"/>
              </w:rPr>
              <w:t>30</w:t>
            </w:r>
          </w:p>
        </w:tc>
        <w:tc>
          <w:tcPr>
            <w:tcW w:w="980" w:type="dxa"/>
            <w:tcBorders>
              <w:top w:val="single" w:color="000000" w:sz="4" w:space="0"/>
              <w:bottom w:val="single" w:color="000000" w:sz="4" w:space="0"/>
            </w:tcBorders>
            <w:vAlign w:val="top"/>
          </w:tcPr>
          <w:p w14:paraId="42BFFBEC">
            <w:pPr>
              <w:pStyle w:val="6"/>
              <w:spacing w:line="364" w:lineRule="exact"/>
            </w:pPr>
            <w:r>
              <mc:AlternateContent>
                <mc:Choice Requires="wps">
                  <w:drawing>
                    <wp:anchor distT="0" distB="0" distL="0" distR="0" simplePos="0" relativeHeight="251785216" behindDoc="1" locked="0" layoutInCell="1" allowOverlap="1">
                      <wp:simplePos x="0" y="0"/>
                      <wp:positionH relativeFrom="rightMargin">
                        <wp:posOffset>-621665</wp:posOffset>
                      </wp:positionH>
                      <wp:positionV relativeFrom="topMargin">
                        <wp:posOffset>472440</wp:posOffset>
                      </wp:positionV>
                      <wp:extent cx="622300" cy="266700"/>
                      <wp:effectExtent l="0" t="0" r="0" b="0"/>
                      <wp:wrapNone/>
                      <wp:docPr id="440" name="Rect 440"/>
                      <wp:cNvGraphicFramePr/>
                      <a:graphic xmlns:a="http://schemas.openxmlformats.org/drawingml/2006/main">
                        <a:graphicData uri="http://schemas.microsoft.com/office/word/2010/wordprocessingShape">
                          <wps:wsp>
                            <wps:cNvSpPr/>
                            <wps:spPr>
                              <a:xfrm>
                                <a:off x="-622281" y="472501"/>
                                <a:ext cx="622300" cy="266700"/>
                              </a:xfrm>
                              <a:prstGeom prst="rect">
                                <a:avLst/>
                              </a:prstGeom>
                              <a:solidFill>
                                <a:srgbClr val="E4E4E6"/>
                              </a:solidFill>
                              <a:ln w="0">
                                <a:noFill/>
                              </a:ln>
                            </wps:spPr>
                            <wps:style>
                              <a:lnRef idx="0">
                                <a:schemeClr val="accent1"/>
                              </a:lnRef>
                              <a:fillRef idx="0">
                                <a:schemeClr val="accent1"/>
                              </a:fillRef>
                              <a:effectRef idx="0">
                                <a:schemeClr val="accent1"/>
                              </a:effectRef>
                              <a:fontRef idx="minor">
                                <a:schemeClr val="dk1"/>
                              </a:fontRef>
                            </wps:style>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rect id="Rect 440" o:spid="_x0000_s1026" o:spt="1" style="position:absolute;left:0pt;margin-left:0.05pt;margin-top:37.7pt;height:21pt;width:49pt;mso-position-horizontal-relative:page;mso-position-vertical-relative:page;z-index:-251531264;mso-width-relative:page;mso-height-relative:page;" fillcolor="#E4E4E6" filled="t" stroked="f" coordsize="21600,21600" o:gfxdata="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">
                      <v:fill on="t" focussize="0,0"/>
                      <v:stroke on="f" weight="0pt"/>
                      <v:imagedata o:title=""/>
                      <o:lock v:ext="edit" aspectratio="f"/>
                      <v:textbox inset="0mm,0mm,0mm,0mm"/>
                    </v:rect>
                  </w:pict>
                </mc:Fallback>
              </mc:AlternateContent>
            </w:r>
            <w:r>
              <w:rPr>
                <w:position w:val="-7"/>
              </w:rPr>
              <w:pict>
                <v:shape id="_x0000_s1088" o:spid="_x0000_s1088" o:spt="202" type="#_x0000_t202" style="height:18.55pt;width:49pt;" fillcolor="#E4E3E6" filled="t" stroked="f" coordsize="21600,21600">
                  <v:path/>
                  <v:fill on="t" focussize="0,0"/>
                  <v:stroke on="f"/>
                  <v:imagedata o:title=""/>
                  <o:lock v:ext="edit" aspectratio="f"/>
                  <v:textbox inset="0mm,0mm,0mm,0mm">
                    <w:txbxContent>
                      <w:p w14:paraId="3E5D5FF3">
                        <w:pPr>
                          <w:spacing w:before="129"/>
                          <w:ind w:left="419"/>
                          <w:rPr>
                            <w:rFonts w:ascii="宋体" w:hAnsi="宋体" w:eastAsia="宋体" w:cs="宋体"/>
                            <w:sz w:val="14"/>
                            <w:szCs w:val="14"/>
                          </w:rPr>
                        </w:pPr>
                        <w:r>
                          <w:rPr>
                            <w:rFonts w:ascii="宋体" w:hAnsi="宋体" w:eastAsia="宋体" w:cs="宋体"/>
                            <w:spacing w:val="-3"/>
                            <w:sz w:val="14"/>
                            <w:szCs w:val="14"/>
                          </w:rPr>
                          <w:t>50</w:t>
                        </w:r>
                      </w:p>
                    </w:txbxContent>
                  </v:textbox>
                  <w10:wrap type="none"/>
                  <w10:anchorlock/>
                </v:shape>
              </w:pict>
            </w:r>
          </w:p>
        </w:tc>
        <w:tc>
          <w:tcPr>
            <w:tcW w:w="980" w:type="dxa"/>
            <w:tcBorders>
              <w:top w:val="single" w:color="000000" w:sz="4" w:space="0"/>
              <w:bottom w:val="single" w:color="000000" w:sz="4" w:space="0"/>
            </w:tcBorders>
            <w:vAlign w:val="top"/>
          </w:tcPr>
          <w:p w14:paraId="78632653">
            <w:pPr>
              <w:pStyle w:val="6"/>
              <w:spacing w:line="364" w:lineRule="exact"/>
            </w:pPr>
            <w:r>
              <mc:AlternateContent>
                <mc:Choice Requires="wps">
                  <w:drawing>
                    <wp:anchor distT="0" distB="0" distL="0" distR="0" simplePos="0" relativeHeight="251786240" behindDoc="1" locked="0" layoutInCell="1" allowOverlap="1">
                      <wp:simplePos x="0" y="0"/>
                      <wp:positionH relativeFrom="rightMargin">
                        <wp:posOffset>-622300</wp:posOffset>
                      </wp:positionH>
                      <wp:positionV relativeFrom="topMargin">
                        <wp:posOffset>472440</wp:posOffset>
                      </wp:positionV>
                      <wp:extent cx="622300" cy="266700"/>
                      <wp:effectExtent l="0" t="0" r="0" b="0"/>
                      <wp:wrapNone/>
                      <wp:docPr id="442" name="Rect 442"/>
                      <wp:cNvGraphicFramePr/>
                      <a:graphic xmlns:a="http://schemas.openxmlformats.org/drawingml/2006/main">
                        <a:graphicData uri="http://schemas.microsoft.com/office/word/2010/wordprocessingShape">
                          <wps:wsp>
                            <wps:cNvSpPr/>
                            <wps:spPr>
                              <a:xfrm>
                                <a:off x="-622302" y="472501"/>
                                <a:ext cx="622300" cy="266700"/>
                              </a:xfrm>
                              <a:prstGeom prst="rect">
                                <a:avLst/>
                              </a:prstGeom>
                              <a:solidFill>
                                <a:srgbClr val="E8E8E7"/>
                              </a:solidFill>
                              <a:ln w="0">
                                <a:noFill/>
                              </a:ln>
                            </wps:spPr>
                            <wps:style>
                              <a:lnRef idx="0">
                                <a:schemeClr val="accent1"/>
                              </a:lnRef>
                              <a:fillRef idx="0">
                                <a:schemeClr val="accent1"/>
                              </a:fillRef>
                              <a:effectRef idx="0">
                                <a:schemeClr val="accent1"/>
                              </a:effectRef>
                              <a:fontRef idx="minor">
                                <a:schemeClr val="dk1"/>
                              </a:fontRef>
                            </wps:style>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rect id="Rect 442" o:spid="_x0000_s1026" o:spt="1" style="position:absolute;left:0pt;margin-left:0pt;margin-top:37.7pt;height:21pt;width:49pt;mso-position-horizontal-relative:page;mso-position-vertical-relative:page;z-index:-251530240;mso-width-relative:page;mso-height-relative:page;" fillcolor="#E8E8E7" filled="t" stroked="f" coordsize="21600,21600" o:gfxdata="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">
                      <v:fill on="t" focussize="0,0"/>
                      <v:stroke on="f" weight="0pt"/>
                      <v:imagedata o:title=""/>
                      <o:lock v:ext="edit" aspectratio="f"/>
                      <v:textbox inset="0mm,0mm,0mm,0mm"/>
                    </v:rect>
                  </w:pict>
                </mc:Fallback>
              </mc:AlternateContent>
            </w:r>
            <w:r>
              <w:rPr>
                <w:position w:val="-7"/>
              </w:rPr>
              <w:pict>
                <v:shape id="_x0000_s1089" o:spid="_x0000_s1089" o:spt="202" type="#_x0000_t202" style="height:18.55pt;width:49pt;" fillcolor="#E0DFE1" filled="t" stroked="f" coordsize="21600,21600">
                  <v:path/>
                  <v:fill on="t" focussize="0,0"/>
                  <v:stroke on="f"/>
                  <v:imagedata o:title=""/>
                  <o:lock v:ext="edit" aspectratio="f"/>
                  <v:textbox inset="0mm,0mm,0mm,0mm">
                    <w:txbxContent>
                      <w:p w14:paraId="1AFA1DA5">
                        <w:pPr>
                          <w:spacing w:before="129"/>
                          <w:ind w:left="420"/>
                          <w:rPr>
                            <w:rFonts w:ascii="宋体" w:hAnsi="宋体" w:eastAsia="宋体" w:cs="宋体"/>
                            <w:sz w:val="14"/>
                            <w:szCs w:val="14"/>
                          </w:rPr>
                        </w:pPr>
                        <w:r>
                          <w:rPr>
                            <w:rFonts w:ascii="宋体" w:hAnsi="宋体" w:eastAsia="宋体" w:cs="宋体"/>
                            <w:spacing w:val="-3"/>
                            <w:sz w:val="14"/>
                            <w:szCs w:val="14"/>
                          </w:rPr>
                          <w:t>50</w:t>
                        </w:r>
                      </w:p>
                    </w:txbxContent>
                  </v:textbox>
                  <w10:wrap type="none"/>
                  <w10:anchorlock/>
                </v:shape>
              </w:pict>
            </w:r>
          </w:p>
        </w:tc>
        <w:tc>
          <w:tcPr>
            <w:tcW w:w="700" w:type="dxa"/>
            <w:tcBorders>
              <w:top w:val="single" w:color="000000" w:sz="4" w:space="0"/>
              <w:bottom w:val="single" w:color="000000" w:sz="4" w:space="0"/>
            </w:tcBorders>
            <w:vAlign w:val="top"/>
          </w:tcPr>
          <w:p w14:paraId="1724E6D3">
            <w:pPr>
              <w:pStyle w:val="6"/>
              <w:spacing w:line="364" w:lineRule="exact"/>
            </w:pPr>
            <w:r>
              <w:rPr>
                <w:position w:val="-7"/>
              </w:rPr>
              <w:pict>
                <v:shape id="_x0000_s1090" o:spid="_x0000_s1090" o:spt="202" type="#_x0000_t202" style="height:18.55pt;width:35.05pt;" fillcolor="#E1DFE0" filled="t" stroked="f" coordsize="21600,21600">
                  <v:path/>
                  <v:fill on="t" focussize="0,0"/>
                  <v:stroke on="f"/>
                  <v:imagedata o:title=""/>
                  <o:lock v:ext="edit" aspectratio="f"/>
                  <v:textbox inset="0mm,0mm,0mm,0mm">
                    <w:txbxContent>
                      <w:p w14:paraId="721DF881">
                        <w:pPr>
                          <w:spacing w:before="129" w:line="198" w:lineRule="exact"/>
                          <w:ind w:left="309"/>
                          <w:rPr>
                            <w:rFonts w:ascii="宋体" w:hAnsi="宋体" w:eastAsia="宋体" w:cs="宋体"/>
                            <w:sz w:val="14"/>
                            <w:szCs w:val="14"/>
                          </w:rPr>
                        </w:pPr>
                        <w:r>
                          <w:rPr>
                            <w:rFonts w:ascii="宋体" w:hAnsi="宋体" w:eastAsia="宋体" w:cs="宋体"/>
                            <w:position w:val="1"/>
                            <w:sz w:val="14"/>
                            <w:szCs w:val="14"/>
                          </w:rPr>
                          <w:t>+</w:t>
                        </w:r>
                      </w:p>
                    </w:txbxContent>
                  </v:textbox>
                  <w10:wrap type="none"/>
                  <w10:anchorlock/>
                </v:shape>
              </w:pict>
            </w:r>
          </w:p>
          <w:p w14:paraId="422B0DBF">
            <w:pPr>
              <w:spacing w:line="377" w:lineRule="auto"/>
              <w:rPr>
                <w:rFonts w:ascii="Arial"/>
                <w:sz w:val="21"/>
              </w:rPr>
            </w:pPr>
          </w:p>
          <w:p w14:paraId="3A0756DD">
            <w:pPr>
              <w:pStyle w:val="6"/>
              <w:spacing w:line="404" w:lineRule="exact"/>
            </w:pPr>
            <w:r>
              <w:rPr>
                <w:position w:val="-9"/>
              </w:rPr>
              <w:pict>
                <v:shape id="_x0000_s1091" o:spid="_x0000_s1091" o:spt="202" type="#_x0000_t202" style="height:21pt;width:35.05pt;" fillcolor="#E5E3E2" filled="t" stroked="f" coordsize="21600,21600">
                  <v:path/>
                  <v:fill on="t" focussize="0,0"/>
                  <v:stroke on="f"/>
                  <v:imagedata o:title=""/>
                  <o:lock v:ext="edit" aspectratio="f"/>
                  <v:textbox inset="0mm,0mm,0mm,0mm">
                    <w:txbxContent>
                      <w:p w14:paraId="771CDCA9">
                        <w:pPr>
                          <w:spacing w:before="146" w:line="221" w:lineRule="auto"/>
                          <w:ind w:left="210"/>
                          <w:rPr>
                            <w:rFonts w:ascii="宋体" w:hAnsi="宋体" w:eastAsia="宋体" w:cs="宋体"/>
                            <w:sz w:val="14"/>
                            <w:szCs w:val="14"/>
                          </w:rPr>
                        </w:pPr>
                        <w:r>
                          <w:rPr>
                            <w:rFonts w:ascii="宋体" w:hAnsi="宋体" w:eastAsia="宋体" w:cs="宋体"/>
                            <w:spacing w:val="-2"/>
                            <w:sz w:val="14"/>
                            <w:szCs w:val="14"/>
                          </w:rPr>
                          <w:t>合计</w:t>
                        </w:r>
                      </w:p>
                    </w:txbxContent>
                  </v:textbox>
                  <w10:wrap type="none"/>
                  <w10:anchorlock/>
                </v:shape>
              </w:pict>
            </w:r>
          </w:p>
        </w:tc>
        <w:tc>
          <w:tcPr>
            <w:tcW w:w="650" w:type="dxa"/>
            <w:tcBorders>
              <w:top w:val="single" w:color="000000" w:sz="4" w:space="0"/>
              <w:bottom w:val="single" w:color="000000" w:sz="4" w:space="0"/>
            </w:tcBorders>
            <w:vAlign w:val="top"/>
          </w:tcPr>
          <w:p w14:paraId="1340D01E">
            <w:pPr>
              <w:pStyle w:val="6"/>
              <w:spacing w:line="364" w:lineRule="exact"/>
            </w:pPr>
            <w:r>
              <w:rPr>
                <w:position w:val="-7"/>
              </w:rPr>
              <w:pict>
                <v:shape id="_x0000_s1092" o:spid="_x0000_s1092" o:spt="202" type="#_x0000_t202" style="height:18.55pt;width:32.5pt;" fillcolor="#E1E0DF" filled="t" stroked="f" coordsize="21600,21600">
                  <v:path/>
                  <v:fill on="t" focussize="0,0"/>
                  <v:stroke on="f"/>
                  <v:imagedata o:title=""/>
                  <o:lock v:ext="edit" aspectratio="f"/>
                  <v:textbox inset="0mm,0mm,0mm,0mm">
                    <w:txbxContent>
                      <w:p w14:paraId="198093B5">
                        <w:pPr>
                          <w:spacing w:before="129"/>
                          <w:ind w:left="220"/>
                          <w:rPr>
                            <w:rFonts w:ascii="宋体" w:hAnsi="宋体" w:eastAsia="宋体" w:cs="宋体"/>
                            <w:sz w:val="14"/>
                            <w:szCs w:val="14"/>
                          </w:rPr>
                        </w:pPr>
                        <w:r>
                          <w:rPr>
                            <w:rFonts w:ascii="宋体" w:hAnsi="宋体" w:eastAsia="宋体" w:cs="宋体"/>
                            <w:spacing w:val="-4"/>
                            <w:sz w:val="14"/>
                            <w:szCs w:val="14"/>
                          </w:rPr>
                          <w:t>150</w:t>
                        </w:r>
                      </w:p>
                    </w:txbxContent>
                  </v:textbox>
                  <w10:wrap type="none"/>
                  <w10:anchorlock/>
                </v:shape>
              </w:pict>
            </w:r>
          </w:p>
          <w:p w14:paraId="3670048E">
            <w:pPr>
              <w:pStyle w:val="6"/>
              <w:spacing w:before="139"/>
              <w:ind w:left="220"/>
              <w:rPr>
                <w:sz w:val="14"/>
                <w:szCs w:val="14"/>
              </w:rPr>
            </w:pPr>
            <w:r>
              <mc:AlternateContent>
                <mc:Choice Requires="wps">
                  <w:drawing>
                    <wp:anchor distT="0" distB="0" distL="0" distR="0" simplePos="0" relativeHeight="251799552" behindDoc="1" locked="0" layoutInCell="1" allowOverlap="1">
                      <wp:simplePos x="0" y="0"/>
                      <wp:positionH relativeFrom="column">
                        <wp:posOffset>-1688465</wp:posOffset>
                      </wp:positionH>
                      <wp:positionV relativeFrom="paragraph">
                        <wp:posOffset>0</wp:posOffset>
                      </wp:positionV>
                      <wp:extent cx="2101850" cy="241300"/>
                      <wp:effectExtent l="0" t="0" r="0" b="0"/>
                      <wp:wrapNone/>
                      <wp:docPr id="444" name="Rect 444"/>
                      <wp:cNvGraphicFramePr/>
                      <a:graphic xmlns:a="http://schemas.openxmlformats.org/drawingml/2006/main">
                        <a:graphicData uri="http://schemas.microsoft.com/office/word/2010/wordprocessingShape">
                          <wps:wsp>
                            <wps:cNvSpPr/>
                            <wps:spPr>
                              <a:xfrm>
                                <a:off x="-1689081" y="-226"/>
                                <a:ext cx="2101850" cy="241300"/>
                              </a:xfrm>
                              <a:prstGeom prst="rect">
                                <a:avLst/>
                              </a:prstGeom>
                              <a:solidFill>
                                <a:srgbClr val="E4E3E8"/>
                              </a:solidFill>
                              <a:ln w="0">
                                <a:noFill/>
                              </a:ln>
                            </wps:spPr>
                            <wps:style>
                              <a:lnRef idx="0">
                                <a:schemeClr val="accent1"/>
                              </a:lnRef>
                              <a:fillRef idx="0">
                                <a:schemeClr val="accent1"/>
                              </a:fillRef>
                              <a:effectRef idx="0">
                                <a:schemeClr val="accent1"/>
                              </a:effectRef>
                              <a:fontRef idx="minor">
                                <a:schemeClr val="dk1"/>
                              </a:fontRef>
                            </wps:style>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rect id="Rect 444" o:spid="_x0000_s1026" o:spt="1" style="position:absolute;left:0pt;margin-left:-132.95pt;margin-top:0pt;height:19pt;width:165.5pt;z-index:-251516928;mso-width-relative:page;mso-height-relative:page;" fillcolor="#E4E3E8" filled="t" stroked="f" coordsize="21600,21600" o:gfxdata="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">
                      <v:fill on="t" focussize="0,0"/>
                      <v:stroke on="f" weight="0pt"/>
                      <v:imagedata o:title=""/>
                      <o:lock v:ext="edit" aspectratio="f"/>
                      <v:textbox inset="0mm,0mm,0mm,0mm"/>
                    </v:rect>
                  </w:pict>
                </mc:Fallback>
              </mc:AlternateContent>
            </w:r>
            <w:r>
              <w:rPr>
                <w:spacing w:val="-4"/>
                <w:sz w:val="14"/>
                <w:szCs w:val="14"/>
              </w:rPr>
              <w:t>150</w:t>
            </w:r>
          </w:p>
          <w:p w14:paraId="114345B7">
            <w:pPr>
              <w:pStyle w:val="6"/>
              <w:spacing w:before="58" w:line="404" w:lineRule="exact"/>
            </w:pPr>
            <w:r>
              <w:rPr>
                <w:position w:val="-9"/>
              </w:rPr>
              <w:pict>
                <v:shape id="_x0000_s1093" o:spid="_x0000_s1093" o:spt="202" type="#_x0000_t202" style="height:21pt;width:32.5pt;" fillcolor="#E6E4E1" filled="t" stroked="f" coordsize="21600,21600">
                  <v:path/>
                  <v:fill on="t" focussize="0,0"/>
                  <v:stroke on="f"/>
                  <v:imagedata o:title=""/>
                  <o:lock v:ext="edit" aspectratio="f"/>
                  <v:textbox inset="0mm,0mm,0mm,0mm">
                    <w:txbxContent>
                      <w:p w14:paraId="665E1320">
                        <w:pPr>
                          <w:spacing w:before="159"/>
                          <w:ind w:left="220"/>
                          <w:rPr>
                            <w:rFonts w:ascii="宋体" w:hAnsi="宋体" w:eastAsia="宋体" w:cs="宋体"/>
                            <w:sz w:val="14"/>
                            <w:szCs w:val="14"/>
                          </w:rPr>
                        </w:pPr>
                        <w:r>
                          <w:rPr>
                            <w:rFonts w:ascii="宋体" w:hAnsi="宋体" w:eastAsia="宋体" w:cs="宋体"/>
                            <w:spacing w:val="-2"/>
                            <w:sz w:val="14"/>
                            <w:szCs w:val="14"/>
                          </w:rPr>
                          <w:t>300</w:t>
                        </w:r>
                      </w:p>
                    </w:txbxContent>
                  </v:textbox>
                  <w10:wrap type="none"/>
                  <w10:anchorlock/>
                </v:shape>
              </w:pict>
            </w:r>
          </w:p>
        </w:tc>
        <w:tc>
          <w:tcPr>
            <w:tcW w:w="830" w:type="dxa"/>
            <w:tcBorders>
              <w:top w:val="single" w:color="000000" w:sz="4" w:space="0"/>
              <w:bottom w:val="single" w:color="000000" w:sz="4" w:space="0"/>
            </w:tcBorders>
            <w:shd w:val="clear" w:color="auto" w:fill="E1DFDE"/>
            <w:vAlign w:val="top"/>
          </w:tcPr>
          <w:p w14:paraId="1DC7D3BD">
            <w:pPr>
              <w:pStyle w:val="6"/>
              <w:spacing w:before="123"/>
              <w:ind w:left="310"/>
              <w:rPr>
                <w:sz w:val="14"/>
                <w:szCs w:val="14"/>
              </w:rPr>
            </w:pPr>
            <w:r>
              <w:rPr>
                <w:spacing w:val="-2"/>
                <w:sz w:val="14"/>
                <w:szCs w:val="14"/>
              </w:rPr>
              <w:t>350</w:t>
            </w:r>
          </w:p>
          <w:p w14:paraId="5038B713">
            <w:pPr>
              <w:pStyle w:val="6"/>
              <w:spacing w:before="197"/>
              <w:ind w:left="310"/>
              <w:rPr>
                <w:sz w:val="14"/>
                <w:szCs w:val="14"/>
              </w:rPr>
            </w:pPr>
            <w:r>
              <w:rPr>
                <w:spacing w:val="-2"/>
                <w:sz w:val="14"/>
                <w:szCs w:val="14"/>
              </w:rPr>
              <w:t>350</w:t>
            </w:r>
          </w:p>
          <w:p w14:paraId="5BA7AF30">
            <w:pPr>
              <w:pStyle w:val="6"/>
              <w:spacing w:before="218"/>
              <w:ind w:left="310"/>
              <w:rPr>
                <w:sz w:val="14"/>
                <w:szCs w:val="14"/>
              </w:rPr>
            </w:pPr>
            <w:r>
              <w:rPr>
                <w:spacing w:val="-2"/>
                <w:sz w:val="14"/>
                <w:szCs w:val="14"/>
              </w:rPr>
              <w:t>700</w:t>
            </w:r>
          </w:p>
        </w:tc>
        <w:tc>
          <w:tcPr>
            <w:tcW w:w="690" w:type="dxa"/>
            <w:tcBorders>
              <w:top w:val="single" w:color="000000" w:sz="4" w:space="0"/>
              <w:bottom w:val="single" w:color="000000" w:sz="4" w:space="0"/>
            </w:tcBorders>
            <w:shd w:val="clear" w:color="auto" w:fill="E5E3E2"/>
            <w:vAlign w:val="top"/>
          </w:tcPr>
          <w:p w14:paraId="5CB1C138">
            <w:pPr>
              <w:pStyle w:val="6"/>
              <w:spacing w:before="123"/>
              <w:ind w:left="240"/>
              <w:rPr>
                <w:sz w:val="14"/>
                <w:szCs w:val="14"/>
              </w:rPr>
            </w:pPr>
            <w:r>
              <w:rPr>
                <w:spacing w:val="-2"/>
                <w:sz w:val="14"/>
                <w:szCs w:val="14"/>
              </w:rPr>
              <w:t>500</w:t>
            </w:r>
          </w:p>
          <w:p w14:paraId="323DB081">
            <w:pPr>
              <w:pStyle w:val="6"/>
              <w:spacing w:before="197"/>
              <w:ind w:left="240"/>
              <w:rPr>
                <w:sz w:val="14"/>
                <w:szCs w:val="14"/>
              </w:rPr>
            </w:pPr>
            <w:r>
              <w:rPr>
                <w:spacing w:val="-2"/>
                <w:sz w:val="14"/>
                <w:szCs w:val="14"/>
              </w:rPr>
              <w:t>500</w:t>
            </w:r>
          </w:p>
          <w:p w14:paraId="2CD3D257">
            <w:pPr>
              <w:pStyle w:val="6"/>
              <w:spacing w:before="218"/>
              <w:ind w:left="199"/>
              <w:rPr>
                <w:sz w:val="14"/>
                <w:szCs w:val="14"/>
              </w:rPr>
            </w:pPr>
            <w:r>
              <w:rPr>
                <w:spacing w:val="-3"/>
                <w:sz w:val="14"/>
                <w:szCs w:val="14"/>
              </w:rPr>
              <w:t>1000</w:t>
            </w:r>
          </w:p>
        </w:tc>
        <w:tc>
          <w:tcPr>
            <w:tcW w:w="810" w:type="dxa"/>
            <w:tcBorders>
              <w:top w:val="single" w:color="000000" w:sz="4" w:space="0"/>
              <w:bottom w:val="single" w:color="000000" w:sz="4" w:space="0"/>
            </w:tcBorders>
            <w:vAlign w:val="top"/>
          </w:tcPr>
          <w:p w14:paraId="0660ABF3">
            <w:pPr>
              <w:pStyle w:val="6"/>
              <w:spacing w:line="364" w:lineRule="exact"/>
            </w:pPr>
            <w:r>
              <mc:AlternateContent>
                <mc:Choice Requires="wps">
                  <w:drawing>
                    <wp:anchor distT="0" distB="0" distL="0" distR="0" simplePos="0" relativeHeight="251787264" behindDoc="1" locked="0" layoutInCell="1" allowOverlap="1">
                      <wp:simplePos x="0" y="0"/>
                      <wp:positionH relativeFrom="rightMargin">
                        <wp:posOffset>-513715</wp:posOffset>
                      </wp:positionH>
                      <wp:positionV relativeFrom="topMargin">
                        <wp:posOffset>472440</wp:posOffset>
                      </wp:positionV>
                      <wp:extent cx="514985" cy="266700"/>
                      <wp:effectExtent l="0" t="0" r="0" b="0"/>
                      <wp:wrapNone/>
                      <wp:docPr id="446" name="Rect 446"/>
                      <wp:cNvGraphicFramePr/>
                      <a:graphic xmlns:a="http://schemas.openxmlformats.org/drawingml/2006/main">
                        <a:graphicData uri="http://schemas.microsoft.com/office/word/2010/wordprocessingShape">
                          <wps:wsp>
                            <wps:cNvSpPr/>
                            <wps:spPr>
                              <a:xfrm>
                                <a:off x="-514348" y="472501"/>
                                <a:ext cx="514984" cy="266700"/>
                              </a:xfrm>
                              <a:prstGeom prst="rect">
                                <a:avLst/>
                              </a:prstGeom>
                              <a:solidFill>
                                <a:srgbClr val="ECEDE9"/>
                              </a:solidFill>
                              <a:ln w="0">
                                <a:noFill/>
                              </a:ln>
                            </wps:spPr>
                            <wps:style>
                              <a:lnRef idx="0">
                                <a:schemeClr val="accent1"/>
                              </a:lnRef>
                              <a:fillRef idx="0">
                                <a:schemeClr val="accent1"/>
                              </a:fillRef>
                              <a:effectRef idx="0">
                                <a:schemeClr val="accent1"/>
                              </a:effectRef>
                              <a:fontRef idx="minor">
                                <a:schemeClr val="dk1"/>
                              </a:fontRef>
                            </wps:style>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rect id="Rect 446" o:spid="_x0000_s1026" o:spt="1" style="position:absolute;left:0pt;margin-left:0.05pt;margin-top:37.7pt;height:21pt;width:40.55pt;mso-position-horizontal-relative:page;mso-position-vertical-relative:page;z-index:-251529216;mso-width-relative:page;mso-height-relative:page;" fillcolor="#ECEDE9" filled="t" stroked="f" coordsize="21600,21600" o:gfxdata="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">
                      <v:fill on="t" focussize="0,0"/>
                      <v:stroke on="f" weight="0pt"/>
                      <v:imagedata o:title=""/>
                      <o:lock v:ext="edit" aspectratio="f"/>
                      <v:textbox inset="0mm,0mm,0mm,0mm"/>
                    </v:rect>
                  </w:pict>
                </mc:Fallback>
              </mc:AlternateContent>
            </w:r>
            <w:r>
              <w:rPr>
                <w:position w:val="-7"/>
              </w:rPr>
              <w:pict>
                <v:shape id="_x0000_s1094" o:spid="_x0000_s1094" o:spt="202" type="#_x0000_t202" style="height:18.55pt;width:40.55pt;" fillcolor="#E5E4E2" filled="t" stroked="f" coordsize="21600,21600">
                  <v:path/>
                  <v:fill on="t" focussize="0,0"/>
                  <v:stroke on="f"/>
                  <v:imagedata o:title=""/>
                  <o:lock v:ext="edit" aspectratio="f"/>
                  <v:textbox inset="0mm,0mm,0mm,0mm">
                    <w:txbxContent>
                      <w:p w14:paraId="1B43C2AF">
                        <w:pPr>
                          <w:spacing w:before="129"/>
                          <w:ind w:left="329"/>
                          <w:rPr>
                            <w:rFonts w:ascii="宋体" w:hAnsi="宋体" w:eastAsia="宋体" w:cs="宋体"/>
                            <w:sz w:val="14"/>
                            <w:szCs w:val="14"/>
                          </w:rPr>
                        </w:pPr>
                        <w:r>
                          <w:rPr>
                            <w:rFonts w:ascii="宋体" w:hAnsi="宋体" w:eastAsia="宋体" w:cs="宋体"/>
                            <w:spacing w:val="-3"/>
                            <w:sz w:val="14"/>
                            <w:szCs w:val="14"/>
                          </w:rPr>
                          <w:t>30</w:t>
                        </w:r>
                      </w:p>
                    </w:txbxContent>
                  </v:textbox>
                  <w10:wrap type="none"/>
                  <w10:anchorlock/>
                </v:shape>
              </w:pict>
            </w:r>
          </w:p>
        </w:tc>
        <w:tc>
          <w:tcPr>
            <w:tcW w:w="910" w:type="dxa"/>
            <w:tcBorders>
              <w:top w:val="single" w:color="000000" w:sz="4" w:space="0"/>
              <w:bottom w:val="single" w:color="000000" w:sz="4" w:space="0"/>
            </w:tcBorders>
            <w:vAlign w:val="top"/>
          </w:tcPr>
          <w:p w14:paraId="780FB366">
            <w:pPr>
              <w:spacing w:line="455" w:lineRule="auto"/>
              <w:rPr>
                <w:rFonts w:ascii="Arial"/>
                <w:sz w:val="21"/>
              </w:rPr>
            </w:pPr>
            <w:r>
              <mc:AlternateContent>
                <mc:Choice Requires="wps">
                  <w:drawing>
                    <wp:anchor distT="0" distB="0" distL="0" distR="0" simplePos="0" relativeHeight="251789312" behindDoc="1" locked="0" layoutInCell="1" allowOverlap="1">
                      <wp:simplePos x="0" y="0"/>
                      <wp:positionH relativeFrom="rightMargin">
                        <wp:posOffset>-577215</wp:posOffset>
                      </wp:positionH>
                      <wp:positionV relativeFrom="topMargin">
                        <wp:posOffset>-3175</wp:posOffset>
                      </wp:positionV>
                      <wp:extent cx="577850" cy="235585"/>
                      <wp:effectExtent l="0" t="0" r="0" b="0"/>
                      <wp:wrapNone/>
                      <wp:docPr id="448" name="Rect 448"/>
                      <wp:cNvGraphicFramePr/>
                      <a:graphic xmlns:a="http://schemas.openxmlformats.org/drawingml/2006/main">
                        <a:graphicData uri="http://schemas.microsoft.com/office/word/2010/wordprocessingShape">
                          <wps:wsp>
                            <wps:cNvSpPr/>
                            <wps:spPr>
                              <a:xfrm>
                                <a:off x="-577828" y="-3750"/>
                                <a:ext cx="577850" cy="235584"/>
                              </a:xfrm>
                              <a:prstGeom prst="rect">
                                <a:avLst/>
                              </a:prstGeom>
                              <a:solidFill>
                                <a:srgbClr val="E4DFD6"/>
                              </a:solidFill>
                              <a:ln w="0">
                                <a:noFill/>
                              </a:ln>
                            </wps:spPr>
                            <wps:style>
                              <a:lnRef idx="0">
                                <a:schemeClr val="accent1"/>
                              </a:lnRef>
                              <a:fillRef idx="0">
                                <a:schemeClr val="accent1"/>
                              </a:fillRef>
                              <a:effectRef idx="0">
                                <a:schemeClr val="accent1"/>
                              </a:effectRef>
                              <a:fontRef idx="minor">
                                <a:schemeClr val="dk1"/>
                              </a:fontRef>
                            </wps:style>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rect id="Rect 448" o:spid="_x0000_s1026" o:spt="1" style="position:absolute;left:0pt;margin-left:0.05pt;margin-top:0.25pt;height:18.55pt;width:45.5pt;mso-position-horizontal-relative:page;mso-position-vertical-relative:page;z-index:-251527168;mso-width-relative:page;mso-height-relative:page;" fillcolor="#E4DFD6" filled="t" stroked="f" coordsize="21600,21600" o:gfxdata="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HYAdo9YAAAAFAQAADwAAAAAAAAABACAAAAAiAAAAZHJzL2Rvd25yZXYueG1sUEsBAhQA&#10;FAAAAAgAh07iQKiobH0tAgAAbwQAAA4AAAAAAAAAAQAgAAAAJQEAAGRycy9lMm9Eb2MueG1sUEsF&#10;BgAAAAAGAAYAWQEAAMQFAAAAAA==&#10;">
                      <v:fill on="t" focussize="0,0"/>
                      <v:stroke on="f" weight="0pt"/>
                      <v:imagedata o:title=""/>
                      <o:lock v:ext="edit" aspectratio="f"/>
                      <v:textbox inset="0mm,0mm,0mm,0mm"/>
                    </v:rect>
                  </w:pict>
                </mc:Fallback>
              </mc:AlternateContent>
            </w:r>
            <w:r>
              <mc:AlternateContent>
                <mc:Choice Requires="wps">
                  <w:drawing>
                    <wp:anchor distT="0" distB="0" distL="0" distR="0" simplePos="0" relativeHeight="251788288" behindDoc="1" locked="0" layoutInCell="1" allowOverlap="1">
                      <wp:simplePos x="0" y="0"/>
                      <wp:positionH relativeFrom="rightMargin">
                        <wp:posOffset>-577215</wp:posOffset>
                      </wp:positionH>
                      <wp:positionV relativeFrom="topMargin">
                        <wp:posOffset>472440</wp:posOffset>
                      </wp:positionV>
                      <wp:extent cx="577850" cy="266700"/>
                      <wp:effectExtent l="0" t="0" r="0" b="0"/>
                      <wp:wrapNone/>
                      <wp:docPr id="450" name="Rect 450"/>
                      <wp:cNvGraphicFramePr/>
                      <a:graphic xmlns:a="http://schemas.openxmlformats.org/drawingml/2006/main">
                        <a:graphicData uri="http://schemas.microsoft.com/office/word/2010/wordprocessingShape">
                          <wps:wsp>
                            <wps:cNvSpPr/>
                            <wps:spPr>
                              <a:xfrm>
                                <a:off x="-577828" y="472501"/>
                                <a:ext cx="577850" cy="266700"/>
                              </a:xfrm>
                              <a:prstGeom prst="rect">
                                <a:avLst/>
                              </a:prstGeom>
                              <a:solidFill>
                                <a:srgbClr val="DFDCD5"/>
                              </a:solidFill>
                              <a:ln w="0">
                                <a:noFill/>
                              </a:ln>
                            </wps:spPr>
                            <wps:style>
                              <a:lnRef idx="0">
                                <a:schemeClr val="accent1"/>
                              </a:lnRef>
                              <a:fillRef idx="0">
                                <a:schemeClr val="accent1"/>
                              </a:fillRef>
                              <a:effectRef idx="0">
                                <a:schemeClr val="accent1"/>
                              </a:effectRef>
                              <a:fontRef idx="minor">
                                <a:schemeClr val="dk1"/>
                              </a:fontRef>
                            </wps:style>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rect id="Rect 450" o:spid="_x0000_s1026" o:spt="1" style="position:absolute;left:0pt;margin-left:0.05pt;margin-top:37.7pt;height:21pt;width:45.5pt;mso-position-horizontal-relative:page;mso-position-vertical-relative:page;z-index:-251528192;mso-width-relative:page;mso-height-relative:page;" fillcolor="#DFDCD5" filled="t" stroked="f" coordsize="21600,21600" o:gfxdata="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">
                      <v:fill on="t" focussize="0,0"/>
                      <v:stroke on="f" weight="0pt"/>
                      <v:imagedata o:title=""/>
                      <o:lock v:ext="edit" aspectratio="f"/>
                      <v:textbox inset="0mm,0mm,0mm,0mm"/>
                    </v:rect>
                  </w:pict>
                </mc:Fallback>
              </mc:AlternateContent>
            </w:r>
          </w:p>
          <w:p w14:paraId="0509B006">
            <w:pPr>
              <w:pStyle w:val="6"/>
              <w:spacing w:before="45"/>
              <w:ind w:left="380"/>
              <w:rPr>
                <w:sz w:val="14"/>
                <w:szCs w:val="14"/>
              </w:rPr>
            </w:pPr>
            <w:r>
              <w:drawing>
                <wp:anchor distT="0" distB="0" distL="0" distR="0" simplePos="0" relativeHeight="251798528" behindDoc="1" locked="0" layoutInCell="1" allowOverlap="1">
                  <wp:simplePos x="0" y="0"/>
                  <wp:positionH relativeFrom="column">
                    <wp:posOffset>-513715</wp:posOffset>
                  </wp:positionH>
                  <wp:positionV relativeFrom="paragraph">
                    <wp:posOffset>-59690</wp:posOffset>
                  </wp:positionV>
                  <wp:extent cx="1092200" cy="241300"/>
                  <wp:effectExtent l="0" t="0" r="0" b="0"/>
                  <wp:wrapNone/>
                  <wp:docPr id="452" name="IM 452"/>
                  <wp:cNvGraphicFramePr/>
                  <a:graphic xmlns:a="http://schemas.openxmlformats.org/drawingml/2006/main">
                    <a:graphicData uri="http://schemas.openxmlformats.org/drawingml/2006/picture">
                      <pic:pic xmlns:pic="http://schemas.openxmlformats.org/drawingml/2006/picture">
                        <pic:nvPicPr>
                          <pic:cNvPr id="452" name="IM 452"/>
                          <pic:cNvPicPr/>
                        </pic:nvPicPr>
                        <pic:blipFill>
                          <a:blip r:embed="rId584"/>
                          <a:stretch>
                            <a:fillRect/>
                          </a:stretch>
                        </pic:blipFill>
                        <pic:spPr>
                          <a:xfrm>
                            <a:off x="0" y="0"/>
                            <a:ext cx="1092216" cy="241277"/>
                          </a:xfrm>
                          <a:prstGeom prst="rect">
                            <a:avLst/>
                          </a:prstGeom>
                        </pic:spPr>
                      </pic:pic>
                    </a:graphicData>
                  </a:graphic>
                </wp:anchor>
              </w:drawing>
            </w:r>
            <w:r>
              <w:rPr>
                <w:spacing w:val="-3"/>
                <w:sz w:val="14"/>
                <w:szCs w:val="14"/>
              </w:rPr>
              <w:t>70</w:t>
            </w:r>
          </w:p>
        </w:tc>
      </w:tr>
      <w:tr w14:paraId="212AC71C">
        <w:trPr>
          <w:trHeight w:val="1158" w:hRule="atLeast"/>
        </w:trPr>
        <w:tc>
          <w:tcPr>
            <w:tcW w:w="650" w:type="dxa"/>
            <w:tcBorders>
              <w:top w:val="single" w:color="000000" w:sz="4" w:space="0"/>
              <w:bottom w:val="single" w:color="000000" w:sz="4" w:space="0"/>
            </w:tcBorders>
            <w:vAlign w:val="top"/>
          </w:tcPr>
          <w:p w14:paraId="0F7E3655">
            <w:pPr>
              <w:spacing w:line="461" w:lineRule="auto"/>
              <w:rPr>
                <w:rFonts w:ascii="Arial"/>
                <w:sz w:val="21"/>
              </w:rPr>
            </w:pPr>
          </w:p>
          <w:p w14:paraId="0DF968C6">
            <w:pPr>
              <w:pStyle w:val="6"/>
              <w:spacing w:before="46" w:line="217" w:lineRule="auto"/>
              <w:ind w:left="250"/>
              <w:rPr>
                <w:sz w:val="14"/>
                <w:szCs w:val="14"/>
              </w:rPr>
            </w:pPr>
            <w:r>
              <w:rPr>
                <w:sz w:val="14"/>
                <w:szCs w:val="14"/>
              </w:rPr>
              <w:t>③</w:t>
            </w:r>
          </w:p>
        </w:tc>
        <w:tc>
          <w:tcPr>
            <w:tcW w:w="1060" w:type="dxa"/>
            <w:tcBorders>
              <w:top w:val="single" w:color="000000" w:sz="4" w:space="0"/>
              <w:bottom w:val="single" w:color="000000" w:sz="4" w:space="0"/>
            </w:tcBorders>
            <w:vAlign w:val="top"/>
          </w:tcPr>
          <w:p w14:paraId="6D24C3A4">
            <w:pPr>
              <w:pStyle w:val="6"/>
              <w:spacing w:before="135"/>
              <w:ind w:left="460"/>
              <w:rPr>
                <w:sz w:val="14"/>
                <w:szCs w:val="14"/>
              </w:rPr>
            </w:pPr>
            <w:r>
              <w:rPr>
                <w:spacing w:val="-2"/>
                <w:sz w:val="14"/>
                <w:szCs w:val="14"/>
              </w:rPr>
              <w:t>20</w:t>
            </w:r>
          </w:p>
        </w:tc>
        <w:tc>
          <w:tcPr>
            <w:tcW w:w="980" w:type="dxa"/>
            <w:tcBorders>
              <w:top w:val="single" w:color="000000" w:sz="4" w:space="0"/>
              <w:bottom w:val="single" w:color="000000" w:sz="4" w:space="0"/>
            </w:tcBorders>
            <w:vAlign w:val="top"/>
          </w:tcPr>
          <w:p w14:paraId="1E52F39E">
            <w:pPr>
              <w:pStyle w:val="6"/>
              <w:spacing w:before="135"/>
              <w:ind w:left="419"/>
              <w:rPr>
                <w:sz w:val="14"/>
                <w:szCs w:val="14"/>
              </w:rPr>
            </w:pPr>
            <w:r>
              <w:rPr>
                <w:spacing w:val="-2"/>
                <w:sz w:val="14"/>
                <w:szCs w:val="14"/>
              </w:rPr>
              <w:t>90</w:t>
            </w:r>
          </w:p>
        </w:tc>
        <w:tc>
          <w:tcPr>
            <w:tcW w:w="980" w:type="dxa"/>
            <w:tcBorders>
              <w:top w:val="single" w:color="000000" w:sz="4" w:space="0"/>
              <w:bottom w:val="single" w:color="000000" w:sz="4" w:space="0"/>
            </w:tcBorders>
            <w:vAlign w:val="top"/>
          </w:tcPr>
          <w:p w14:paraId="55E71E6F">
            <w:pPr>
              <w:pStyle w:val="6"/>
              <w:spacing w:before="135"/>
              <w:ind w:left="420"/>
              <w:rPr>
                <w:sz w:val="14"/>
                <w:szCs w:val="14"/>
              </w:rPr>
            </w:pPr>
            <w:r>
              <w:rPr>
                <w:spacing w:val="-3"/>
                <w:sz w:val="14"/>
                <w:szCs w:val="14"/>
              </w:rPr>
              <w:t>50</w:t>
            </w:r>
          </w:p>
        </w:tc>
        <w:tc>
          <w:tcPr>
            <w:tcW w:w="700" w:type="dxa"/>
            <w:tcBorders>
              <w:top w:val="single" w:color="000000" w:sz="4" w:space="0"/>
              <w:bottom w:val="single" w:color="000000" w:sz="4" w:space="0"/>
            </w:tcBorders>
            <w:vAlign w:val="top"/>
          </w:tcPr>
          <w:p w14:paraId="05B3500A">
            <w:pPr>
              <w:pStyle w:val="6"/>
              <w:spacing w:before="135" w:line="198" w:lineRule="exact"/>
              <w:ind w:left="309"/>
              <w:rPr>
                <w:sz w:val="14"/>
                <w:szCs w:val="14"/>
              </w:rPr>
            </w:pPr>
            <w:r>
              <w:rPr>
                <w:position w:val="1"/>
                <w:sz w:val="14"/>
                <w:szCs w:val="14"/>
              </w:rPr>
              <w:t>+</w:t>
            </w:r>
          </w:p>
          <w:p w14:paraId="4FF750C5">
            <w:pPr>
              <w:pStyle w:val="6"/>
              <w:spacing w:before="237" w:line="95" w:lineRule="exact"/>
              <w:ind w:left="309"/>
              <w:rPr>
                <w:sz w:val="14"/>
                <w:szCs w:val="14"/>
              </w:rPr>
            </w:pPr>
            <w:r>
              <w:rPr>
                <w:position w:val="-2"/>
                <w:sz w:val="14"/>
                <w:szCs w:val="14"/>
              </w:rPr>
              <w:t>-</w:t>
            </w:r>
          </w:p>
          <w:p w14:paraId="1B47A8BB">
            <w:pPr>
              <w:pStyle w:val="6"/>
              <w:spacing w:before="215" w:line="221" w:lineRule="auto"/>
              <w:ind w:left="209"/>
              <w:rPr>
                <w:sz w:val="14"/>
                <w:szCs w:val="14"/>
              </w:rPr>
            </w:pPr>
            <w:r>
              <w:rPr>
                <w:spacing w:val="-2"/>
                <w:sz w:val="14"/>
                <w:szCs w:val="14"/>
              </w:rPr>
              <w:t>合计</w:t>
            </w:r>
          </w:p>
        </w:tc>
        <w:tc>
          <w:tcPr>
            <w:tcW w:w="650" w:type="dxa"/>
            <w:tcBorders>
              <w:top w:val="single" w:color="000000" w:sz="4" w:space="0"/>
              <w:bottom w:val="single" w:color="000000" w:sz="4" w:space="0"/>
            </w:tcBorders>
            <w:vAlign w:val="top"/>
          </w:tcPr>
          <w:p w14:paraId="50059F33">
            <w:pPr>
              <w:pStyle w:val="6"/>
              <w:spacing w:before="135"/>
              <w:ind w:left="220"/>
              <w:rPr>
                <w:sz w:val="14"/>
                <w:szCs w:val="14"/>
              </w:rPr>
            </w:pPr>
            <w:r>
              <w:rPr>
                <w:spacing w:val="-4"/>
                <w:sz w:val="14"/>
                <w:szCs w:val="14"/>
              </w:rPr>
              <w:t>180</w:t>
            </w:r>
          </w:p>
          <w:p w14:paraId="3D8237F8">
            <w:pPr>
              <w:pStyle w:val="6"/>
              <w:spacing w:before="187"/>
              <w:ind w:left="250"/>
              <w:rPr>
                <w:sz w:val="14"/>
                <w:szCs w:val="14"/>
              </w:rPr>
            </w:pPr>
            <w:r>
              <w:rPr>
                <w:spacing w:val="-2"/>
                <w:sz w:val="14"/>
                <w:szCs w:val="14"/>
              </w:rPr>
              <w:t>20</w:t>
            </w:r>
          </w:p>
          <w:p w14:paraId="22E071AA">
            <w:pPr>
              <w:pStyle w:val="6"/>
              <w:spacing w:before="208"/>
              <w:ind w:left="220"/>
              <w:rPr>
                <w:sz w:val="14"/>
                <w:szCs w:val="14"/>
              </w:rPr>
            </w:pPr>
            <w:r>
              <w:rPr>
                <w:spacing w:val="-2"/>
                <w:sz w:val="14"/>
                <w:szCs w:val="14"/>
              </w:rPr>
              <w:t>200</w:t>
            </w:r>
          </w:p>
        </w:tc>
        <w:tc>
          <w:tcPr>
            <w:tcW w:w="830" w:type="dxa"/>
            <w:tcBorders>
              <w:top w:val="single" w:color="000000" w:sz="4" w:space="0"/>
              <w:bottom w:val="single" w:color="000000" w:sz="4" w:space="0"/>
            </w:tcBorders>
            <w:vAlign w:val="top"/>
          </w:tcPr>
          <w:p w14:paraId="3855439E">
            <w:pPr>
              <w:pStyle w:val="6"/>
              <w:spacing w:before="135"/>
              <w:ind w:left="310"/>
              <w:rPr>
                <w:sz w:val="14"/>
                <w:szCs w:val="14"/>
              </w:rPr>
            </w:pPr>
            <w:r>
              <w:rPr>
                <w:spacing w:val="-2"/>
                <w:sz w:val="14"/>
                <w:szCs w:val="14"/>
              </w:rPr>
              <w:t>400</w:t>
            </w:r>
          </w:p>
          <w:p w14:paraId="3FA9A323">
            <w:pPr>
              <w:pStyle w:val="6"/>
              <w:spacing w:before="187"/>
              <w:ind w:left="310"/>
              <w:rPr>
                <w:sz w:val="14"/>
                <w:szCs w:val="14"/>
              </w:rPr>
            </w:pPr>
            <w:r>
              <w:rPr>
                <w:spacing w:val="-2"/>
                <w:sz w:val="14"/>
                <w:szCs w:val="14"/>
              </w:rPr>
              <w:t>400</w:t>
            </w:r>
          </w:p>
          <w:p w14:paraId="7B898A82">
            <w:pPr>
              <w:pStyle w:val="6"/>
              <w:spacing w:before="208"/>
              <w:ind w:left="310"/>
              <w:rPr>
                <w:sz w:val="14"/>
                <w:szCs w:val="14"/>
              </w:rPr>
            </w:pPr>
            <w:r>
              <w:rPr>
                <w:spacing w:val="-2"/>
                <w:sz w:val="14"/>
                <w:szCs w:val="14"/>
              </w:rPr>
              <w:t>800</w:t>
            </w:r>
          </w:p>
        </w:tc>
        <w:tc>
          <w:tcPr>
            <w:tcW w:w="690" w:type="dxa"/>
            <w:tcBorders>
              <w:top w:val="single" w:color="000000" w:sz="4" w:space="0"/>
              <w:bottom w:val="single" w:color="000000" w:sz="4" w:space="0"/>
            </w:tcBorders>
            <w:vAlign w:val="top"/>
          </w:tcPr>
          <w:p w14:paraId="5334CD62">
            <w:pPr>
              <w:pStyle w:val="6"/>
              <w:spacing w:before="135"/>
              <w:ind w:left="240"/>
              <w:rPr>
                <w:sz w:val="14"/>
                <w:szCs w:val="14"/>
              </w:rPr>
            </w:pPr>
            <w:r>
              <w:rPr>
                <w:spacing w:val="-2"/>
                <w:sz w:val="14"/>
                <w:szCs w:val="14"/>
              </w:rPr>
              <w:t>580</w:t>
            </w:r>
          </w:p>
          <w:p w14:paraId="41BBA593">
            <w:pPr>
              <w:pStyle w:val="6"/>
              <w:spacing w:before="187"/>
              <w:ind w:left="240"/>
              <w:rPr>
                <w:sz w:val="14"/>
                <w:szCs w:val="14"/>
              </w:rPr>
            </w:pPr>
            <w:r>
              <w:rPr>
                <w:spacing w:val="-2"/>
                <w:sz w:val="14"/>
                <w:szCs w:val="14"/>
              </w:rPr>
              <w:t>420</w:t>
            </w:r>
          </w:p>
          <w:p w14:paraId="1276439A">
            <w:pPr>
              <w:pStyle w:val="6"/>
              <w:spacing w:before="208"/>
              <w:ind w:left="199"/>
              <w:rPr>
                <w:sz w:val="14"/>
                <w:szCs w:val="14"/>
              </w:rPr>
            </w:pPr>
            <w:r>
              <w:rPr>
                <w:spacing w:val="-3"/>
                <w:sz w:val="14"/>
                <w:szCs w:val="14"/>
              </w:rPr>
              <w:t>1000</w:t>
            </w:r>
          </w:p>
        </w:tc>
        <w:tc>
          <w:tcPr>
            <w:tcW w:w="810" w:type="dxa"/>
            <w:tcBorders>
              <w:top w:val="single" w:color="000000" w:sz="4" w:space="0"/>
              <w:bottom w:val="single" w:color="000000" w:sz="4" w:space="0"/>
            </w:tcBorders>
            <w:vAlign w:val="top"/>
          </w:tcPr>
          <w:p w14:paraId="397A7937">
            <w:pPr>
              <w:pStyle w:val="6"/>
              <w:spacing w:before="135"/>
              <w:ind w:left="329"/>
              <w:rPr>
                <w:sz w:val="14"/>
                <w:szCs w:val="14"/>
              </w:rPr>
            </w:pPr>
            <w:r>
              <w:rPr>
                <w:spacing w:val="-3"/>
                <w:sz w:val="14"/>
                <w:szCs w:val="14"/>
              </w:rPr>
              <w:t>31</w:t>
            </w:r>
          </w:p>
        </w:tc>
        <w:tc>
          <w:tcPr>
            <w:tcW w:w="910" w:type="dxa"/>
            <w:tcBorders>
              <w:top w:val="single" w:color="000000" w:sz="4" w:space="0"/>
              <w:bottom w:val="single" w:color="000000" w:sz="4" w:space="0"/>
            </w:tcBorders>
            <w:vAlign w:val="top"/>
          </w:tcPr>
          <w:p w14:paraId="12DBBD4F">
            <w:pPr>
              <w:spacing w:line="457" w:lineRule="auto"/>
              <w:rPr>
                <w:rFonts w:ascii="Arial"/>
                <w:sz w:val="21"/>
              </w:rPr>
            </w:pPr>
          </w:p>
          <w:p w14:paraId="648A5952">
            <w:pPr>
              <w:pStyle w:val="6"/>
              <w:spacing w:before="45"/>
              <w:ind w:left="380"/>
              <w:rPr>
                <w:sz w:val="14"/>
                <w:szCs w:val="14"/>
              </w:rPr>
            </w:pPr>
            <w:r>
              <w:rPr>
                <w:spacing w:val="-2"/>
                <w:sz w:val="14"/>
                <w:szCs w:val="14"/>
              </w:rPr>
              <w:t>95</w:t>
            </w:r>
          </w:p>
        </w:tc>
      </w:tr>
      <w:tr w14:paraId="18C9CE1E">
        <w:trPr>
          <w:trHeight w:val="467" w:hRule="atLeast"/>
        </w:trPr>
        <w:tc>
          <w:tcPr>
            <w:tcW w:w="650" w:type="dxa"/>
            <w:vMerge w:val="restart"/>
            <w:tcBorders>
              <w:top w:val="single" w:color="000000" w:sz="4" w:space="0"/>
              <w:bottom w:val="nil"/>
            </w:tcBorders>
            <w:shd w:val="clear" w:color="auto" w:fill="DFDFE4"/>
            <w:vAlign w:val="top"/>
          </w:tcPr>
          <w:p w14:paraId="7170B07D">
            <w:pPr>
              <w:spacing w:line="463" w:lineRule="auto"/>
              <w:rPr>
                <w:rFonts w:ascii="Arial"/>
                <w:sz w:val="21"/>
              </w:rPr>
            </w:pPr>
          </w:p>
          <w:p w14:paraId="3BE4BD40">
            <w:pPr>
              <w:pStyle w:val="6"/>
              <w:spacing w:before="46" w:line="217" w:lineRule="auto"/>
              <w:ind w:left="250"/>
              <w:rPr>
                <w:sz w:val="14"/>
                <w:szCs w:val="14"/>
              </w:rPr>
            </w:pPr>
            <w:r>
              <w:rPr>
                <w:sz w:val="14"/>
                <w:szCs w:val="14"/>
              </w:rPr>
              <w:t>④</w:t>
            </w:r>
          </w:p>
        </w:tc>
        <w:tc>
          <w:tcPr>
            <w:tcW w:w="1060" w:type="dxa"/>
            <w:vMerge w:val="restart"/>
            <w:tcBorders>
              <w:top w:val="single" w:color="000000" w:sz="4" w:space="0"/>
              <w:bottom w:val="nil"/>
            </w:tcBorders>
            <w:vAlign w:val="top"/>
          </w:tcPr>
          <w:p w14:paraId="7F063803">
            <w:pPr>
              <w:pStyle w:val="6"/>
              <w:spacing w:line="378" w:lineRule="exact"/>
            </w:pPr>
            <w:r>
              <mc:AlternateContent>
                <mc:Choice Requires="wps">
                  <w:drawing>
                    <wp:anchor distT="0" distB="0" distL="0" distR="0" simplePos="0" relativeHeight="251792384" behindDoc="1" locked="0" layoutInCell="1" allowOverlap="1">
                      <wp:simplePos x="0" y="0"/>
                      <wp:positionH relativeFrom="rightMargin">
                        <wp:posOffset>-673100</wp:posOffset>
                      </wp:positionH>
                      <wp:positionV relativeFrom="topMargin">
                        <wp:posOffset>474980</wp:posOffset>
                      </wp:positionV>
                      <wp:extent cx="673735" cy="266700"/>
                      <wp:effectExtent l="0" t="0" r="0" b="0"/>
                      <wp:wrapNone/>
                      <wp:docPr id="454" name="Rect 454"/>
                      <wp:cNvGraphicFramePr/>
                      <a:graphic xmlns:a="http://schemas.openxmlformats.org/drawingml/2006/main">
                        <a:graphicData uri="http://schemas.microsoft.com/office/word/2010/wordprocessingShape">
                          <wps:wsp>
                            <wps:cNvSpPr/>
                            <wps:spPr>
                              <a:xfrm>
                                <a:off x="-673113" y="475041"/>
                                <a:ext cx="673734" cy="266700"/>
                              </a:xfrm>
                              <a:prstGeom prst="rect">
                                <a:avLst/>
                              </a:prstGeom>
                              <a:solidFill>
                                <a:srgbClr val="E2E0E6"/>
                              </a:solidFill>
                              <a:ln w="0">
                                <a:noFill/>
                              </a:ln>
                            </wps:spPr>
                            <wps:style>
                              <a:lnRef idx="0">
                                <a:schemeClr val="accent1"/>
                              </a:lnRef>
                              <a:fillRef idx="0">
                                <a:schemeClr val="accent1"/>
                              </a:fillRef>
                              <a:effectRef idx="0">
                                <a:schemeClr val="accent1"/>
                              </a:effectRef>
                              <a:fontRef idx="minor">
                                <a:schemeClr val="dk1"/>
                              </a:fontRef>
                            </wps:style>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rect id="Rect 454" o:spid="_x0000_s1026" o:spt="1" style="position:absolute;left:0pt;margin-left:0pt;margin-top:37.9pt;height:21pt;width:53.05pt;mso-position-horizontal-relative:page;mso-position-vertical-relative:page;z-index:-251524096;mso-width-relative:page;mso-height-relative:page;" fillcolor="#E2E0E6" filled="t" stroked="f" coordsize="21600,21600" o:gfxdata="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">
                      <v:fill on="t" focussize="0,0"/>
                      <v:stroke on="f" weight="0pt"/>
                      <v:imagedata o:title=""/>
                      <o:lock v:ext="edit" aspectratio="f"/>
                      <v:textbox inset="0mm,0mm,0mm,0mm"/>
                    </v:rect>
                  </w:pict>
                </mc:Fallback>
              </mc:AlternateContent>
            </w:r>
            <w:r>
              <w:rPr>
                <w:position w:val="-7"/>
              </w:rPr>
              <w:pict>
                <v:shape id="_x0000_s1095" o:spid="_x0000_s1095" o:spt="202" type="#_x0000_t202" style="height:19pt;width:53.05pt;" fillcolor="#E1E0E5" filled="t" stroked="f" coordsize="21600,21600">
                  <v:path/>
                  <v:fill on="t" focussize="0,0"/>
                  <v:stroke on="f"/>
                  <v:imagedata o:title=""/>
                  <o:lock v:ext="edit" aspectratio="f"/>
                  <v:textbox inset="0mm,0mm,0mm,0mm">
                    <w:txbxContent>
                      <w:p w14:paraId="42A7E44F">
                        <w:pPr>
                          <w:spacing w:before="139"/>
                          <w:ind w:left="460"/>
                          <w:rPr>
                            <w:rFonts w:ascii="宋体" w:hAnsi="宋体" w:eastAsia="宋体" w:cs="宋体"/>
                            <w:sz w:val="14"/>
                            <w:szCs w:val="14"/>
                          </w:rPr>
                        </w:pPr>
                        <w:r>
                          <w:rPr>
                            <w:rFonts w:ascii="宋体" w:hAnsi="宋体" w:eastAsia="宋体" w:cs="宋体"/>
                            <w:spacing w:val="-2"/>
                            <w:sz w:val="14"/>
                            <w:szCs w:val="14"/>
                          </w:rPr>
                          <w:t>20</w:t>
                        </w:r>
                      </w:p>
                    </w:txbxContent>
                  </v:textbox>
                  <w10:wrap type="none"/>
                  <w10:anchorlock/>
                </v:shape>
              </w:pict>
            </w:r>
          </w:p>
        </w:tc>
        <w:tc>
          <w:tcPr>
            <w:tcW w:w="980" w:type="dxa"/>
            <w:vMerge w:val="restart"/>
            <w:tcBorders>
              <w:top w:val="single" w:color="000000" w:sz="4" w:space="0"/>
              <w:bottom w:val="nil"/>
            </w:tcBorders>
            <w:vAlign w:val="top"/>
          </w:tcPr>
          <w:p w14:paraId="41BAB1C6">
            <w:pPr>
              <w:pStyle w:val="6"/>
              <w:spacing w:line="378" w:lineRule="exact"/>
            </w:pPr>
            <w:r>
              <mc:AlternateContent>
                <mc:Choice Requires="wps">
                  <w:drawing>
                    <wp:anchor distT="0" distB="0" distL="0" distR="0" simplePos="0" relativeHeight="251791360" behindDoc="1" locked="0" layoutInCell="1" allowOverlap="1">
                      <wp:simplePos x="0" y="0"/>
                      <wp:positionH relativeFrom="rightMargin">
                        <wp:posOffset>-621665</wp:posOffset>
                      </wp:positionH>
                      <wp:positionV relativeFrom="topMargin">
                        <wp:posOffset>474980</wp:posOffset>
                      </wp:positionV>
                      <wp:extent cx="622300" cy="266700"/>
                      <wp:effectExtent l="0" t="0" r="0" b="0"/>
                      <wp:wrapNone/>
                      <wp:docPr id="456" name="Rect 456"/>
                      <wp:cNvGraphicFramePr/>
                      <a:graphic xmlns:a="http://schemas.openxmlformats.org/drawingml/2006/main">
                        <a:graphicData uri="http://schemas.microsoft.com/office/word/2010/wordprocessingShape">
                          <wps:wsp>
                            <wps:cNvSpPr/>
                            <wps:spPr>
                              <a:xfrm>
                                <a:off x="-622281" y="475041"/>
                                <a:ext cx="622300" cy="266700"/>
                              </a:xfrm>
                              <a:prstGeom prst="rect">
                                <a:avLst/>
                              </a:prstGeom>
                              <a:solidFill>
                                <a:srgbClr val="E1E0E3"/>
                              </a:solidFill>
                              <a:ln w="0">
                                <a:noFill/>
                              </a:ln>
                            </wps:spPr>
                            <wps:style>
                              <a:lnRef idx="0">
                                <a:schemeClr val="accent1"/>
                              </a:lnRef>
                              <a:fillRef idx="0">
                                <a:schemeClr val="accent1"/>
                              </a:fillRef>
                              <a:effectRef idx="0">
                                <a:schemeClr val="accent1"/>
                              </a:effectRef>
                              <a:fontRef idx="minor">
                                <a:schemeClr val="dk1"/>
                              </a:fontRef>
                            </wps:style>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rect id="Rect 456" o:spid="_x0000_s1026" o:spt="1" style="position:absolute;left:0pt;margin-left:0.05pt;margin-top:37.9pt;height:21pt;width:49pt;mso-position-horizontal-relative:page;mso-position-vertical-relative:page;z-index:-251525120;mso-width-relative:page;mso-height-relative:page;" fillcolor="#E1E0E3" filled="t" stroked="f" coordsize="21600,21600" o:gfxdata="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">
                      <v:fill on="t" focussize="0,0"/>
                      <v:stroke on="f" weight="0pt"/>
                      <v:imagedata o:title=""/>
                      <o:lock v:ext="edit" aspectratio="f"/>
                      <v:textbox inset="0mm,0mm,0mm,0mm"/>
                    </v:rect>
                  </w:pict>
                </mc:Fallback>
              </mc:AlternateContent>
            </w:r>
            <w:r>
              <w:rPr>
                <w:position w:val="-7"/>
              </w:rPr>
              <w:pict>
                <v:shape id="_x0000_s1096" o:spid="_x0000_s1096" o:spt="202" type="#_x0000_t202" style="height:19pt;width:49pt;" fillcolor="#E4E4E5" filled="t" stroked="f" coordsize="21600,21600">
                  <v:path/>
                  <v:fill on="t" focussize="0,0"/>
                  <v:stroke on="f"/>
                  <v:imagedata o:title=""/>
                  <o:lock v:ext="edit" aspectratio="f"/>
                  <v:textbox inset="0mm,0mm,0mm,0mm">
                    <w:txbxContent>
                      <w:p w14:paraId="658EDE7E">
                        <w:pPr>
                          <w:spacing w:before="139"/>
                          <w:ind w:left="419"/>
                          <w:rPr>
                            <w:rFonts w:ascii="宋体" w:hAnsi="宋体" w:eastAsia="宋体" w:cs="宋体"/>
                            <w:sz w:val="14"/>
                            <w:szCs w:val="14"/>
                          </w:rPr>
                        </w:pPr>
                        <w:r>
                          <w:rPr>
                            <w:rFonts w:ascii="宋体" w:hAnsi="宋体" w:eastAsia="宋体" w:cs="宋体"/>
                            <w:spacing w:val="-3"/>
                            <w:sz w:val="14"/>
                            <w:szCs w:val="14"/>
                          </w:rPr>
                          <w:t>50</w:t>
                        </w:r>
                      </w:p>
                    </w:txbxContent>
                  </v:textbox>
                  <w10:wrap type="none"/>
                  <w10:anchorlock/>
                </v:shape>
              </w:pict>
            </w:r>
          </w:p>
        </w:tc>
        <w:tc>
          <w:tcPr>
            <w:tcW w:w="980" w:type="dxa"/>
            <w:vMerge w:val="restart"/>
            <w:tcBorders>
              <w:top w:val="single" w:color="000000" w:sz="4" w:space="0"/>
              <w:bottom w:val="nil"/>
            </w:tcBorders>
            <w:vAlign w:val="top"/>
          </w:tcPr>
          <w:p w14:paraId="67B7AA43">
            <w:pPr>
              <w:pStyle w:val="6"/>
              <w:spacing w:line="378" w:lineRule="exact"/>
            </w:pPr>
            <w:r>
              <mc:AlternateContent>
                <mc:Choice Requires="wps">
                  <w:drawing>
                    <wp:anchor distT="0" distB="0" distL="0" distR="0" simplePos="0" relativeHeight="251790336" behindDoc="1" locked="0" layoutInCell="1" allowOverlap="1">
                      <wp:simplePos x="0" y="0"/>
                      <wp:positionH relativeFrom="rightMargin">
                        <wp:posOffset>-622300</wp:posOffset>
                      </wp:positionH>
                      <wp:positionV relativeFrom="topMargin">
                        <wp:posOffset>474980</wp:posOffset>
                      </wp:positionV>
                      <wp:extent cx="622300" cy="266700"/>
                      <wp:effectExtent l="0" t="0" r="0" b="0"/>
                      <wp:wrapNone/>
                      <wp:docPr id="458" name="Rect 458"/>
                      <wp:cNvGraphicFramePr/>
                      <a:graphic xmlns:a="http://schemas.openxmlformats.org/drawingml/2006/main">
                        <a:graphicData uri="http://schemas.microsoft.com/office/word/2010/wordprocessingShape">
                          <wps:wsp>
                            <wps:cNvSpPr/>
                            <wps:spPr>
                              <a:xfrm>
                                <a:off x="-622302" y="475041"/>
                                <a:ext cx="622300" cy="266700"/>
                              </a:xfrm>
                              <a:prstGeom prst="rect">
                                <a:avLst/>
                              </a:prstGeom>
                              <a:solidFill>
                                <a:srgbClr val="E0DFDF"/>
                              </a:solidFill>
                              <a:ln w="0">
                                <a:noFill/>
                              </a:ln>
                            </wps:spPr>
                            <wps:style>
                              <a:lnRef idx="0">
                                <a:schemeClr val="accent1"/>
                              </a:lnRef>
                              <a:fillRef idx="0">
                                <a:schemeClr val="accent1"/>
                              </a:fillRef>
                              <a:effectRef idx="0">
                                <a:schemeClr val="accent1"/>
                              </a:effectRef>
                              <a:fontRef idx="minor">
                                <a:schemeClr val="dk1"/>
                              </a:fontRef>
                            </wps:style>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rect id="Rect 458" o:spid="_x0000_s1026" o:spt="1" style="position:absolute;left:0pt;margin-left:0pt;margin-top:37.9pt;height:21pt;width:49pt;mso-position-horizontal-relative:page;mso-position-vertical-relative:page;z-index:-251526144;mso-width-relative:page;mso-height-relative:page;" fillcolor="#E0DFDF" filled="t" stroked="f" coordsize="21600,21600" o:gfxdata="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">
                      <v:fill on="t" focussize="0,0"/>
                      <v:stroke on="f" weight="0pt"/>
                      <v:imagedata o:title=""/>
                      <o:lock v:ext="edit" aspectratio="f"/>
                      <v:textbox inset="0mm,0mm,0mm,0mm"/>
                    </v:rect>
                  </w:pict>
                </mc:Fallback>
              </mc:AlternateContent>
            </w:r>
            <w:r>
              <w:rPr>
                <w:position w:val="-7"/>
              </w:rPr>
              <w:pict>
                <v:shape id="_x0000_s1097" o:spid="_x0000_s1097" o:spt="202" type="#_x0000_t202" style="height:19pt;width:49pt;" fillcolor="#E5E3E4" filled="t" stroked="f" coordsize="21600,21600">
                  <v:path/>
                  <v:fill on="t" focussize="0,0"/>
                  <v:stroke on="f"/>
                  <v:imagedata o:title=""/>
                  <o:lock v:ext="edit" aspectratio="f"/>
                  <v:textbox inset="0mm,0mm,0mm,0mm">
                    <w:txbxContent>
                      <w:p w14:paraId="4918EAB9">
                        <w:pPr>
                          <w:spacing w:before="139"/>
                          <w:ind w:left="420"/>
                          <w:rPr>
                            <w:rFonts w:ascii="宋体" w:hAnsi="宋体" w:eastAsia="宋体" w:cs="宋体"/>
                            <w:sz w:val="14"/>
                            <w:szCs w:val="14"/>
                          </w:rPr>
                        </w:pPr>
                        <w:r>
                          <w:rPr>
                            <w:rFonts w:ascii="宋体" w:hAnsi="宋体" w:eastAsia="宋体" w:cs="宋体"/>
                            <w:spacing w:val="-2"/>
                            <w:sz w:val="14"/>
                            <w:szCs w:val="14"/>
                          </w:rPr>
                          <w:t>90</w:t>
                        </w:r>
                      </w:p>
                    </w:txbxContent>
                  </v:textbox>
                  <w10:wrap type="none"/>
                  <w10:anchorlock/>
                </v:shape>
              </w:pict>
            </w:r>
          </w:p>
        </w:tc>
        <w:tc>
          <w:tcPr>
            <w:tcW w:w="700" w:type="dxa"/>
            <w:tcBorders>
              <w:top w:val="single" w:color="000000" w:sz="4" w:space="0"/>
            </w:tcBorders>
            <w:vAlign w:val="top"/>
          </w:tcPr>
          <w:p w14:paraId="27C21FAE">
            <w:pPr>
              <w:pStyle w:val="6"/>
              <w:spacing w:line="378" w:lineRule="exact"/>
            </w:pPr>
            <w:r>
              <w:rPr>
                <w:position w:val="-7"/>
              </w:rPr>
              <w:pict>
                <v:shape id="_x0000_s1098" o:spid="_x0000_s1098" o:spt="202" type="#_x0000_t202" style="height:19pt;width:35.05pt;" fillcolor="#E5E4E2" filled="t" stroked="f" coordsize="21600,21600">
                  <v:path/>
                  <v:fill on="t" focussize="0,0"/>
                  <v:stroke on="f"/>
                  <v:imagedata o:title=""/>
                  <o:lock v:ext="edit" aspectratio="f"/>
                  <v:textbox inset="0mm,0mm,0mm,0mm">
                    <w:txbxContent>
                      <w:p w14:paraId="7922D4F1">
                        <w:pPr>
                          <w:spacing w:before="139" w:line="198" w:lineRule="exact"/>
                          <w:ind w:left="309"/>
                          <w:rPr>
                            <w:rFonts w:ascii="宋体" w:hAnsi="宋体" w:eastAsia="宋体" w:cs="宋体"/>
                            <w:sz w:val="14"/>
                            <w:szCs w:val="14"/>
                          </w:rPr>
                        </w:pPr>
                        <w:r>
                          <w:rPr>
                            <w:rFonts w:ascii="宋体" w:hAnsi="宋体" w:eastAsia="宋体" w:cs="宋体"/>
                            <w:position w:val="1"/>
                            <w:sz w:val="14"/>
                            <w:szCs w:val="14"/>
                          </w:rPr>
                          <w:t>+</w:t>
                        </w:r>
                      </w:p>
                    </w:txbxContent>
                  </v:textbox>
                  <w10:wrap type="none"/>
                  <w10:anchorlock/>
                </v:shape>
              </w:pict>
            </w:r>
          </w:p>
        </w:tc>
        <w:tc>
          <w:tcPr>
            <w:tcW w:w="650" w:type="dxa"/>
            <w:vMerge w:val="restart"/>
            <w:tcBorders>
              <w:top w:val="single" w:color="000000" w:sz="4" w:space="0"/>
              <w:bottom w:val="nil"/>
            </w:tcBorders>
            <w:shd w:val="clear" w:color="auto" w:fill="E6E4E2"/>
            <w:vAlign w:val="top"/>
          </w:tcPr>
          <w:p w14:paraId="3D45258E">
            <w:pPr>
              <w:pStyle w:val="6"/>
              <w:spacing w:before="137"/>
              <w:ind w:left="220"/>
              <w:rPr>
                <w:sz w:val="14"/>
                <w:szCs w:val="14"/>
              </w:rPr>
            </w:pPr>
            <w:r>
              <w:rPr>
                <w:spacing w:val="-4"/>
                <w:sz w:val="14"/>
                <w:szCs w:val="14"/>
              </w:rPr>
              <w:t>100</w:t>
            </w:r>
          </w:p>
          <w:p w14:paraId="316D7C1A">
            <w:pPr>
              <w:pStyle w:val="6"/>
              <w:spacing w:before="187"/>
              <w:ind w:left="220"/>
              <w:rPr>
                <w:sz w:val="14"/>
                <w:szCs w:val="14"/>
              </w:rPr>
            </w:pPr>
            <w:r>
              <w:rPr>
                <w:spacing w:val="-4"/>
                <w:sz w:val="14"/>
                <w:szCs w:val="14"/>
              </w:rPr>
              <w:t>100</w:t>
            </w:r>
          </w:p>
          <w:p w14:paraId="06C08C77">
            <w:pPr>
              <w:pStyle w:val="6"/>
              <w:spacing w:before="218"/>
              <w:ind w:left="220"/>
              <w:rPr>
                <w:sz w:val="14"/>
                <w:szCs w:val="14"/>
              </w:rPr>
            </w:pPr>
            <w:r>
              <w:rPr>
                <w:spacing w:val="-2"/>
                <w:sz w:val="14"/>
                <w:szCs w:val="14"/>
              </w:rPr>
              <w:t>200</w:t>
            </w:r>
          </w:p>
        </w:tc>
        <w:tc>
          <w:tcPr>
            <w:tcW w:w="830" w:type="dxa"/>
            <w:vMerge w:val="restart"/>
            <w:tcBorders>
              <w:top w:val="single" w:color="000000" w:sz="4" w:space="0"/>
              <w:bottom w:val="nil"/>
            </w:tcBorders>
            <w:shd w:val="clear" w:color="auto" w:fill="E9E7E6"/>
            <w:vAlign w:val="top"/>
          </w:tcPr>
          <w:p w14:paraId="194E3270">
            <w:pPr>
              <w:pStyle w:val="6"/>
              <w:spacing w:before="137"/>
              <w:ind w:left="339"/>
              <w:rPr>
                <w:sz w:val="14"/>
                <w:szCs w:val="14"/>
              </w:rPr>
            </w:pPr>
            <w:r>
              <w:rPr>
                <w:spacing w:val="-2"/>
                <w:sz w:val="14"/>
                <w:szCs w:val="14"/>
              </w:rPr>
              <w:t>80</w:t>
            </w:r>
          </w:p>
          <w:p w14:paraId="67B7AD1A">
            <w:pPr>
              <w:pStyle w:val="6"/>
              <w:spacing w:before="187"/>
              <w:ind w:left="310"/>
              <w:rPr>
                <w:sz w:val="14"/>
                <w:szCs w:val="14"/>
              </w:rPr>
            </w:pPr>
            <w:r>
              <w:rPr>
                <w:spacing w:val="-2"/>
                <w:sz w:val="14"/>
                <w:szCs w:val="14"/>
              </w:rPr>
              <w:t>720</w:t>
            </w:r>
          </w:p>
          <w:p w14:paraId="7C0E397E">
            <w:pPr>
              <w:pStyle w:val="6"/>
              <w:spacing w:before="218"/>
              <w:ind w:left="310"/>
              <w:rPr>
                <w:sz w:val="14"/>
                <w:szCs w:val="14"/>
              </w:rPr>
            </w:pPr>
            <w:r>
              <w:rPr>
                <w:spacing w:val="-2"/>
                <w:sz w:val="14"/>
                <w:szCs w:val="14"/>
              </w:rPr>
              <w:t>800</w:t>
            </w:r>
          </w:p>
        </w:tc>
        <w:tc>
          <w:tcPr>
            <w:tcW w:w="690" w:type="dxa"/>
            <w:vMerge w:val="restart"/>
            <w:tcBorders>
              <w:top w:val="single" w:color="000000" w:sz="4" w:space="0"/>
              <w:bottom w:val="nil"/>
            </w:tcBorders>
            <w:vAlign w:val="top"/>
          </w:tcPr>
          <w:p w14:paraId="5EFC73E3">
            <w:pPr>
              <w:pStyle w:val="6"/>
              <w:spacing w:before="137"/>
              <w:ind w:left="240"/>
              <w:rPr>
                <w:sz w:val="14"/>
                <w:szCs w:val="14"/>
              </w:rPr>
            </w:pPr>
            <w:r>
              <w:drawing>
                <wp:anchor distT="0" distB="0" distL="0" distR="0" simplePos="0" relativeHeight="251793408" behindDoc="1" locked="0" layoutInCell="1" allowOverlap="1">
                  <wp:simplePos x="0" y="0"/>
                  <wp:positionH relativeFrom="column">
                    <wp:posOffset>0</wp:posOffset>
                  </wp:positionH>
                  <wp:positionV relativeFrom="paragraph">
                    <wp:posOffset>-1270</wp:posOffset>
                  </wp:positionV>
                  <wp:extent cx="438150" cy="742950"/>
                  <wp:effectExtent l="0" t="0" r="0" b="0"/>
                  <wp:wrapNone/>
                  <wp:docPr id="460" name="IM 460"/>
                  <wp:cNvGraphicFramePr/>
                  <a:graphic xmlns:a="http://schemas.openxmlformats.org/drawingml/2006/main">
                    <a:graphicData uri="http://schemas.openxmlformats.org/drawingml/2006/picture">
                      <pic:pic xmlns:pic="http://schemas.openxmlformats.org/drawingml/2006/picture">
                        <pic:nvPicPr>
                          <pic:cNvPr id="460" name="IM 460"/>
                          <pic:cNvPicPr/>
                        </pic:nvPicPr>
                        <pic:blipFill>
                          <a:blip r:embed="rId585"/>
                          <a:stretch>
                            <a:fillRect/>
                          </a:stretch>
                        </pic:blipFill>
                        <pic:spPr>
                          <a:xfrm>
                            <a:off x="0" y="0"/>
                            <a:ext cx="438125" cy="742950"/>
                          </a:xfrm>
                          <a:prstGeom prst="rect">
                            <a:avLst/>
                          </a:prstGeom>
                        </pic:spPr>
                      </pic:pic>
                    </a:graphicData>
                  </a:graphic>
                </wp:anchor>
              </w:drawing>
            </w:r>
            <w:r>
              <w:rPr>
                <w:spacing w:val="-4"/>
                <w:sz w:val="14"/>
                <w:szCs w:val="14"/>
              </w:rPr>
              <w:t>180</w:t>
            </w:r>
          </w:p>
          <w:p w14:paraId="1AF61829">
            <w:pPr>
              <w:pStyle w:val="6"/>
              <w:spacing w:before="187"/>
              <w:ind w:left="240"/>
              <w:rPr>
                <w:sz w:val="14"/>
                <w:szCs w:val="14"/>
              </w:rPr>
            </w:pPr>
            <w:r>
              <w:rPr>
                <w:spacing w:val="-2"/>
                <w:sz w:val="14"/>
                <w:szCs w:val="14"/>
              </w:rPr>
              <w:t>820</w:t>
            </w:r>
          </w:p>
          <w:p w14:paraId="41DA72B8">
            <w:pPr>
              <w:pStyle w:val="6"/>
              <w:spacing w:before="218"/>
              <w:ind w:left="199"/>
              <w:rPr>
                <w:sz w:val="14"/>
                <w:szCs w:val="14"/>
              </w:rPr>
            </w:pPr>
            <w:r>
              <w:rPr>
                <w:spacing w:val="-3"/>
                <w:sz w:val="14"/>
                <w:szCs w:val="14"/>
              </w:rPr>
              <w:t>1000</w:t>
            </w:r>
          </w:p>
        </w:tc>
        <w:tc>
          <w:tcPr>
            <w:tcW w:w="810" w:type="dxa"/>
            <w:vMerge w:val="restart"/>
            <w:tcBorders>
              <w:top w:val="single" w:color="000000" w:sz="4" w:space="0"/>
              <w:bottom w:val="nil"/>
            </w:tcBorders>
            <w:vAlign w:val="top"/>
          </w:tcPr>
          <w:p w14:paraId="284B5536">
            <w:pPr>
              <w:pStyle w:val="6"/>
              <w:spacing w:line="378" w:lineRule="exact"/>
            </w:pPr>
            <w:r>
              <mc:AlternateContent>
                <mc:Choice Requires="wps">
                  <w:drawing>
                    <wp:anchor distT="0" distB="0" distL="0" distR="0" simplePos="0" relativeHeight="251794432" behindDoc="1" locked="0" layoutInCell="1" allowOverlap="1">
                      <wp:simplePos x="0" y="0"/>
                      <wp:positionH relativeFrom="rightMargin">
                        <wp:posOffset>-513715</wp:posOffset>
                      </wp:positionH>
                      <wp:positionV relativeFrom="topMargin">
                        <wp:posOffset>474980</wp:posOffset>
                      </wp:positionV>
                      <wp:extent cx="514985" cy="266700"/>
                      <wp:effectExtent l="0" t="0" r="0" b="0"/>
                      <wp:wrapNone/>
                      <wp:docPr id="462" name="Rect 462"/>
                      <wp:cNvGraphicFramePr/>
                      <a:graphic xmlns:a="http://schemas.openxmlformats.org/drawingml/2006/main">
                        <a:graphicData uri="http://schemas.microsoft.com/office/word/2010/wordprocessingShape">
                          <wps:wsp>
                            <wps:cNvSpPr/>
                            <wps:spPr>
                              <a:xfrm>
                                <a:off x="-514348" y="475041"/>
                                <a:ext cx="514984" cy="266700"/>
                              </a:xfrm>
                              <a:prstGeom prst="rect">
                                <a:avLst/>
                              </a:prstGeom>
                              <a:solidFill>
                                <a:srgbClr val="E0E0DD"/>
                              </a:solidFill>
                              <a:ln w="0">
                                <a:noFill/>
                              </a:ln>
                            </wps:spPr>
                            <wps:style>
                              <a:lnRef idx="0">
                                <a:schemeClr val="accent1"/>
                              </a:lnRef>
                              <a:fillRef idx="0">
                                <a:schemeClr val="accent1"/>
                              </a:fillRef>
                              <a:effectRef idx="0">
                                <a:schemeClr val="accent1"/>
                              </a:effectRef>
                              <a:fontRef idx="minor">
                                <a:schemeClr val="dk1"/>
                              </a:fontRef>
                            </wps:style>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rect id="Rect 462" o:spid="_x0000_s1026" o:spt="1" style="position:absolute;left:0pt;margin-left:0.05pt;margin-top:37.9pt;height:21pt;width:40.55pt;mso-position-horizontal-relative:page;mso-position-vertical-relative:page;z-index:-251522048;mso-width-relative:page;mso-height-relative:page;" fillcolor="#E0E0DD" filled="t" stroked="f" coordsize="21600,21600" o:gfxdata="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">
                      <v:fill on="t" focussize="0,0"/>
                      <v:stroke on="f" weight="0pt"/>
                      <v:imagedata o:title=""/>
                      <o:lock v:ext="edit" aspectratio="f"/>
                      <v:textbox inset="0mm,0mm,0mm,0mm"/>
                    </v:rect>
                  </w:pict>
                </mc:Fallback>
              </mc:AlternateContent>
            </w:r>
            <w:r>
              <w:rPr>
                <w:position w:val="-7"/>
              </w:rPr>
              <w:pict>
                <v:shape id="_x0000_s1099" o:spid="_x0000_s1099" o:spt="202" type="#_x0000_t202" style="height:19pt;width:40.55pt;" fillcolor="#E8E8E5" filled="t" stroked="f" coordsize="21600,21600">
                  <v:path/>
                  <v:fill on="t" focussize="0,0"/>
                  <v:stroke on="f"/>
                  <v:imagedata o:title=""/>
                  <o:lock v:ext="edit" aspectratio="f"/>
                  <v:textbox inset="0mm,0mm,0mm,0mm">
                    <w:txbxContent>
                      <w:p w14:paraId="5A2CE9A5">
                        <w:pPr>
                          <w:spacing w:before="139"/>
                          <w:ind w:left="329"/>
                          <w:rPr>
                            <w:rFonts w:ascii="宋体" w:hAnsi="宋体" w:eastAsia="宋体" w:cs="宋体"/>
                            <w:sz w:val="14"/>
                            <w:szCs w:val="14"/>
                          </w:rPr>
                        </w:pPr>
                        <w:r>
                          <w:rPr>
                            <w:rFonts w:ascii="宋体" w:hAnsi="宋体" w:eastAsia="宋体" w:cs="宋体"/>
                            <w:spacing w:val="-3"/>
                            <w:sz w:val="14"/>
                            <w:szCs w:val="14"/>
                          </w:rPr>
                          <w:t>56</w:t>
                        </w:r>
                      </w:p>
                    </w:txbxContent>
                  </v:textbox>
                  <w10:wrap type="none"/>
                  <w10:anchorlock/>
                </v:shape>
              </w:pict>
            </w:r>
          </w:p>
        </w:tc>
        <w:tc>
          <w:tcPr>
            <w:tcW w:w="910" w:type="dxa"/>
            <w:vMerge w:val="restart"/>
            <w:tcBorders>
              <w:top w:val="single" w:color="000000" w:sz="4" w:space="0"/>
              <w:bottom w:val="nil"/>
            </w:tcBorders>
            <w:vAlign w:val="top"/>
          </w:tcPr>
          <w:p w14:paraId="646B8DF3">
            <w:pPr>
              <w:spacing w:line="459" w:lineRule="auto"/>
              <w:rPr>
                <w:rFonts w:ascii="Arial"/>
                <w:sz w:val="21"/>
              </w:rPr>
            </w:pPr>
            <w:r>
              <mc:AlternateContent>
                <mc:Choice Requires="wps">
                  <w:drawing>
                    <wp:anchor distT="0" distB="0" distL="0" distR="0" simplePos="0" relativeHeight="251795456" behindDoc="1" locked="0" layoutInCell="1" allowOverlap="1">
                      <wp:simplePos x="0" y="0"/>
                      <wp:positionH relativeFrom="rightMargin">
                        <wp:posOffset>-577215</wp:posOffset>
                      </wp:positionH>
                      <wp:positionV relativeFrom="topMargin">
                        <wp:posOffset>-635</wp:posOffset>
                      </wp:positionV>
                      <wp:extent cx="577850" cy="241300"/>
                      <wp:effectExtent l="0" t="0" r="0" b="0"/>
                      <wp:wrapNone/>
                      <wp:docPr id="464" name="Rect 464"/>
                      <wp:cNvGraphicFramePr/>
                      <a:graphic xmlns:a="http://schemas.openxmlformats.org/drawingml/2006/main">
                        <a:graphicData uri="http://schemas.microsoft.com/office/word/2010/wordprocessingShape">
                          <wps:wsp>
                            <wps:cNvSpPr/>
                            <wps:spPr>
                              <a:xfrm>
                                <a:off x="-577828" y="-1210"/>
                                <a:ext cx="577850" cy="241300"/>
                              </a:xfrm>
                              <a:prstGeom prst="rect">
                                <a:avLst/>
                              </a:prstGeom>
                              <a:solidFill>
                                <a:srgbClr val="E4DFDA"/>
                              </a:solidFill>
                              <a:ln w="0">
                                <a:noFill/>
                              </a:ln>
                            </wps:spPr>
                            <wps:style>
                              <a:lnRef idx="0">
                                <a:schemeClr val="accent1"/>
                              </a:lnRef>
                              <a:fillRef idx="0">
                                <a:schemeClr val="accent1"/>
                              </a:fillRef>
                              <a:effectRef idx="0">
                                <a:schemeClr val="accent1"/>
                              </a:effectRef>
                              <a:fontRef idx="minor">
                                <a:schemeClr val="dk1"/>
                              </a:fontRef>
                            </wps:style>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rect id="Rect 464" o:spid="_x0000_s1026" o:spt="1" style="position:absolute;left:0pt;margin-left:0.05pt;margin-top:0.45pt;height:19pt;width:45.5pt;mso-position-horizontal-relative:page;mso-position-vertical-relative:page;z-index:-251521024;mso-width-relative:page;mso-height-relative:page;" fillcolor="#E4DFDA" filled="t" stroked="f" coordsize="21600,21600" o:gfxdata="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">
                      <v:fill on="t" focussize="0,0"/>
                      <v:stroke on="f" weight="0pt"/>
                      <v:imagedata o:title=""/>
                      <o:lock v:ext="edit" aspectratio="f"/>
                      <v:textbox inset="0mm,0mm,0mm,0mm"/>
                    </v:rect>
                  </w:pict>
                </mc:Fallback>
              </mc:AlternateContent>
            </w:r>
            <w:r>
              <mc:AlternateContent>
                <mc:Choice Requires="wps">
                  <w:drawing>
                    <wp:anchor distT="0" distB="0" distL="0" distR="0" simplePos="0" relativeHeight="251796480" behindDoc="1" locked="0" layoutInCell="1" allowOverlap="1">
                      <wp:simplePos x="0" y="0"/>
                      <wp:positionH relativeFrom="rightMargin">
                        <wp:posOffset>-577215</wp:posOffset>
                      </wp:positionH>
                      <wp:positionV relativeFrom="topMargin">
                        <wp:posOffset>474980</wp:posOffset>
                      </wp:positionV>
                      <wp:extent cx="577850" cy="266700"/>
                      <wp:effectExtent l="0" t="0" r="0" b="0"/>
                      <wp:wrapNone/>
                      <wp:docPr id="466" name="Rect 466"/>
                      <wp:cNvGraphicFramePr/>
                      <a:graphic xmlns:a="http://schemas.openxmlformats.org/drawingml/2006/main">
                        <a:graphicData uri="http://schemas.microsoft.com/office/word/2010/wordprocessingShape">
                          <wps:wsp>
                            <wps:cNvSpPr/>
                            <wps:spPr>
                              <a:xfrm>
                                <a:off x="-577828" y="475041"/>
                                <a:ext cx="577850" cy="266700"/>
                              </a:xfrm>
                              <a:prstGeom prst="rect">
                                <a:avLst/>
                              </a:prstGeom>
                              <a:solidFill>
                                <a:srgbClr val="DBD8D2"/>
                              </a:solidFill>
                              <a:ln w="0">
                                <a:noFill/>
                              </a:ln>
                            </wps:spPr>
                            <wps:style>
                              <a:lnRef idx="0">
                                <a:schemeClr val="accent1"/>
                              </a:lnRef>
                              <a:fillRef idx="0">
                                <a:schemeClr val="accent1"/>
                              </a:fillRef>
                              <a:effectRef idx="0">
                                <a:schemeClr val="accent1"/>
                              </a:effectRef>
                              <a:fontRef idx="minor">
                                <a:schemeClr val="dk1"/>
                              </a:fontRef>
                            </wps:style>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rect id="Rect 466" o:spid="_x0000_s1026" o:spt="1" style="position:absolute;left:0pt;margin-left:0.05pt;margin-top:37.9pt;height:21pt;width:45.5pt;mso-position-horizontal-relative:page;mso-position-vertical-relative:page;z-index:-251520000;mso-width-relative:page;mso-height-relative:page;" fillcolor="#DBD8D2" filled="t" stroked="f" coordsize="21600,21600" o:gfxdata="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">
                      <v:fill on="t" focussize="0,0"/>
                      <v:stroke on="f" weight="0pt"/>
                      <v:imagedata o:title=""/>
                      <o:lock v:ext="edit" aspectratio="f"/>
                      <v:textbox inset="0mm,0mm,0mm,0mm"/>
                    </v:rect>
                  </w:pict>
                </mc:Fallback>
              </mc:AlternateContent>
            </w:r>
          </w:p>
          <w:p w14:paraId="7738426F">
            <w:pPr>
              <w:pStyle w:val="6"/>
              <w:spacing w:before="45"/>
              <w:ind w:left="380"/>
              <w:rPr>
                <w:sz w:val="14"/>
                <w:szCs w:val="14"/>
              </w:rPr>
            </w:pPr>
            <w:r>
              <w:drawing>
                <wp:anchor distT="0" distB="0" distL="0" distR="0" simplePos="0" relativeHeight="251797504" behindDoc="1" locked="0" layoutInCell="1" allowOverlap="1">
                  <wp:simplePos x="0" y="0"/>
                  <wp:positionH relativeFrom="column">
                    <wp:posOffset>-513715</wp:posOffset>
                  </wp:positionH>
                  <wp:positionV relativeFrom="paragraph">
                    <wp:posOffset>-53340</wp:posOffset>
                  </wp:positionV>
                  <wp:extent cx="1092200" cy="234950"/>
                  <wp:effectExtent l="0" t="0" r="0" b="0"/>
                  <wp:wrapNone/>
                  <wp:docPr id="468" name="IM 468"/>
                  <wp:cNvGraphicFramePr/>
                  <a:graphic xmlns:a="http://schemas.openxmlformats.org/drawingml/2006/main">
                    <a:graphicData uri="http://schemas.openxmlformats.org/drawingml/2006/picture">
                      <pic:pic xmlns:pic="http://schemas.openxmlformats.org/drawingml/2006/picture">
                        <pic:nvPicPr>
                          <pic:cNvPr id="468" name="IM 468"/>
                          <pic:cNvPicPr/>
                        </pic:nvPicPr>
                        <pic:blipFill>
                          <a:blip r:embed="rId586"/>
                          <a:stretch>
                            <a:fillRect/>
                          </a:stretch>
                        </pic:blipFill>
                        <pic:spPr>
                          <a:xfrm>
                            <a:off x="0" y="0"/>
                            <a:ext cx="1092216" cy="234975"/>
                          </a:xfrm>
                          <a:prstGeom prst="rect">
                            <a:avLst/>
                          </a:prstGeom>
                        </pic:spPr>
                      </pic:pic>
                    </a:graphicData>
                  </a:graphic>
                </wp:anchor>
              </w:drawing>
            </w:r>
            <w:r>
              <w:rPr>
                <w:spacing w:val="-2"/>
                <w:sz w:val="14"/>
                <w:szCs w:val="14"/>
              </w:rPr>
              <w:t>88</w:t>
            </w:r>
          </w:p>
        </w:tc>
      </w:tr>
      <w:tr w14:paraId="332F6D7C">
        <w:trPr>
          <w:trHeight w:val="188" w:hRule="atLeast"/>
        </w:trPr>
        <w:tc>
          <w:tcPr>
            <w:tcW w:w="650" w:type="dxa"/>
            <w:vMerge w:val="continue"/>
            <w:tcBorders>
              <w:top w:val="nil"/>
              <w:bottom w:val="nil"/>
            </w:tcBorders>
            <w:vAlign w:val="top"/>
          </w:tcPr>
          <w:p w14:paraId="03F44042">
            <w:pPr>
              <w:rPr>
                <w:rFonts w:ascii="Arial"/>
                <w:sz w:val="21"/>
              </w:rPr>
            </w:pPr>
          </w:p>
        </w:tc>
        <w:tc>
          <w:tcPr>
            <w:tcW w:w="1060" w:type="dxa"/>
            <w:vMerge w:val="continue"/>
            <w:tcBorders>
              <w:top w:val="nil"/>
              <w:bottom w:val="nil"/>
            </w:tcBorders>
            <w:vAlign w:val="top"/>
          </w:tcPr>
          <w:p w14:paraId="4B7CFC06">
            <w:pPr>
              <w:rPr>
                <w:rFonts w:ascii="Arial"/>
                <w:sz w:val="21"/>
              </w:rPr>
            </w:pPr>
          </w:p>
        </w:tc>
        <w:tc>
          <w:tcPr>
            <w:tcW w:w="980" w:type="dxa"/>
            <w:vMerge w:val="continue"/>
            <w:tcBorders>
              <w:top w:val="nil"/>
              <w:bottom w:val="nil"/>
            </w:tcBorders>
            <w:vAlign w:val="top"/>
          </w:tcPr>
          <w:p w14:paraId="3EC7B2EC">
            <w:pPr>
              <w:rPr>
                <w:rFonts w:ascii="Arial"/>
                <w:sz w:val="21"/>
              </w:rPr>
            </w:pPr>
          </w:p>
        </w:tc>
        <w:tc>
          <w:tcPr>
            <w:tcW w:w="980" w:type="dxa"/>
            <w:vMerge w:val="continue"/>
            <w:tcBorders>
              <w:top w:val="nil"/>
              <w:bottom w:val="nil"/>
            </w:tcBorders>
            <w:vAlign w:val="top"/>
          </w:tcPr>
          <w:p w14:paraId="72AFFAE6">
            <w:pPr>
              <w:rPr>
                <w:rFonts w:ascii="Arial"/>
                <w:sz w:val="21"/>
              </w:rPr>
            </w:pPr>
          </w:p>
        </w:tc>
        <w:tc>
          <w:tcPr>
            <w:tcW w:w="700" w:type="dxa"/>
            <w:vAlign w:val="top"/>
          </w:tcPr>
          <w:p w14:paraId="74B8C1E1">
            <w:pPr>
              <w:pStyle w:val="6"/>
              <w:spacing w:before="106" w:line="71" w:lineRule="exact"/>
              <w:ind w:left="309"/>
              <w:rPr>
                <w:sz w:val="14"/>
                <w:szCs w:val="14"/>
              </w:rPr>
            </w:pPr>
            <w:r>
              <mc:AlternateContent>
                <mc:Choice Requires="wps">
                  <w:drawing>
                    <wp:anchor distT="0" distB="0" distL="0" distR="0" simplePos="0" relativeHeight="251800576" behindDoc="1" locked="0" layoutInCell="1" allowOverlap="1">
                      <wp:simplePos x="0" y="0"/>
                      <wp:positionH relativeFrom="column">
                        <wp:posOffset>-1917700</wp:posOffset>
                      </wp:positionH>
                      <wp:positionV relativeFrom="paragraph">
                        <wp:posOffset>-55880</wp:posOffset>
                      </wp:positionV>
                      <wp:extent cx="2362835" cy="235585"/>
                      <wp:effectExtent l="0" t="0" r="0" b="0"/>
                      <wp:wrapNone/>
                      <wp:docPr id="470" name="Rect 470"/>
                      <wp:cNvGraphicFramePr/>
                      <a:graphic xmlns:a="http://schemas.openxmlformats.org/drawingml/2006/main">
                        <a:graphicData uri="http://schemas.microsoft.com/office/word/2010/wordprocessingShape">
                          <wps:wsp>
                            <wps:cNvSpPr/>
                            <wps:spPr>
                              <a:xfrm>
                                <a:off x="-1917713" y="-56478"/>
                                <a:ext cx="2362835" cy="235584"/>
                              </a:xfrm>
                              <a:prstGeom prst="rect">
                                <a:avLst/>
                              </a:prstGeom>
                              <a:solidFill>
                                <a:srgbClr val="E4E3E7"/>
                              </a:solidFill>
                              <a:ln w="0">
                                <a:noFill/>
                              </a:ln>
                            </wps:spPr>
                            <wps:style>
                              <a:lnRef idx="0">
                                <a:schemeClr val="accent1"/>
                              </a:lnRef>
                              <a:fillRef idx="0">
                                <a:schemeClr val="accent1"/>
                              </a:fillRef>
                              <a:effectRef idx="0">
                                <a:schemeClr val="accent1"/>
                              </a:effectRef>
                              <a:fontRef idx="minor">
                                <a:schemeClr val="dk1"/>
                              </a:fontRef>
                            </wps:style>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rect id="Rect 470" o:spid="_x0000_s1026" o:spt="1" style="position:absolute;left:0pt;margin-left:-151pt;margin-top:-4.4pt;height:18.55pt;width:186.05pt;z-index:-251515904;mso-width-relative:page;mso-height-relative:page;" fillcolor="#E4E3E7" filled="t" stroked="f" coordsize="21600,21600" o:gfxdata="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">
                      <v:fill on="t" focussize="0,0"/>
                      <v:stroke on="f" weight="0pt"/>
                      <v:imagedata o:title=""/>
                      <o:lock v:ext="edit" aspectratio="f"/>
                      <v:textbox inset="0mm,0mm,0mm,0mm"/>
                    </v:rect>
                  </w:pict>
                </mc:Fallback>
              </mc:AlternateContent>
            </w:r>
            <w:r>
              <w:rPr>
                <w:position w:val="-3"/>
                <w:sz w:val="14"/>
                <w:szCs w:val="14"/>
              </w:rPr>
              <w:t>-</w:t>
            </w:r>
          </w:p>
        </w:tc>
        <w:tc>
          <w:tcPr>
            <w:tcW w:w="650" w:type="dxa"/>
            <w:vMerge w:val="continue"/>
            <w:tcBorders>
              <w:top w:val="nil"/>
              <w:bottom w:val="nil"/>
            </w:tcBorders>
            <w:vAlign w:val="top"/>
          </w:tcPr>
          <w:p w14:paraId="02DD1D4E">
            <w:pPr>
              <w:rPr>
                <w:rFonts w:ascii="Arial"/>
                <w:sz w:val="21"/>
              </w:rPr>
            </w:pPr>
          </w:p>
        </w:tc>
        <w:tc>
          <w:tcPr>
            <w:tcW w:w="830" w:type="dxa"/>
            <w:vMerge w:val="continue"/>
            <w:tcBorders>
              <w:top w:val="nil"/>
              <w:bottom w:val="nil"/>
            </w:tcBorders>
            <w:vAlign w:val="top"/>
          </w:tcPr>
          <w:p w14:paraId="34FD28CB">
            <w:pPr>
              <w:rPr>
                <w:rFonts w:ascii="Arial"/>
                <w:sz w:val="21"/>
              </w:rPr>
            </w:pPr>
          </w:p>
        </w:tc>
        <w:tc>
          <w:tcPr>
            <w:tcW w:w="690" w:type="dxa"/>
            <w:vMerge w:val="continue"/>
            <w:tcBorders>
              <w:top w:val="nil"/>
              <w:bottom w:val="nil"/>
            </w:tcBorders>
            <w:vAlign w:val="top"/>
          </w:tcPr>
          <w:p w14:paraId="4081AA33">
            <w:pPr>
              <w:rPr>
                <w:rFonts w:ascii="Arial"/>
                <w:sz w:val="21"/>
              </w:rPr>
            </w:pPr>
          </w:p>
        </w:tc>
        <w:tc>
          <w:tcPr>
            <w:tcW w:w="810" w:type="dxa"/>
            <w:vMerge w:val="continue"/>
            <w:tcBorders>
              <w:top w:val="nil"/>
              <w:bottom w:val="nil"/>
            </w:tcBorders>
            <w:vAlign w:val="top"/>
          </w:tcPr>
          <w:p w14:paraId="23755B7C">
            <w:pPr>
              <w:rPr>
                <w:rFonts w:ascii="Arial"/>
                <w:sz w:val="21"/>
              </w:rPr>
            </w:pPr>
          </w:p>
        </w:tc>
        <w:tc>
          <w:tcPr>
            <w:tcW w:w="910" w:type="dxa"/>
            <w:vMerge w:val="continue"/>
            <w:tcBorders>
              <w:top w:val="nil"/>
              <w:bottom w:val="nil"/>
            </w:tcBorders>
            <w:vAlign w:val="top"/>
          </w:tcPr>
          <w:p w14:paraId="6912C687">
            <w:pPr>
              <w:rPr>
                <w:rFonts w:ascii="Arial"/>
                <w:sz w:val="21"/>
              </w:rPr>
            </w:pPr>
          </w:p>
        </w:tc>
      </w:tr>
      <w:tr w14:paraId="67D3F80E">
        <w:trPr>
          <w:trHeight w:val="508" w:hRule="atLeast"/>
        </w:trPr>
        <w:tc>
          <w:tcPr>
            <w:tcW w:w="650" w:type="dxa"/>
            <w:vMerge w:val="continue"/>
            <w:tcBorders>
              <w:top w:val="nil"/>
              <w:bottom w:val="single" w:color="000000" w:sz="4" w:space="0"/>
            </w:tcBorders>
            <w:vAlign w:val="top"/>
          </w:tcPr>
          <w:p w14:paraId="1D102FDA">
            <w:pPr>
              <w:rPr>
                <w:rFonts w:ascii="Arial"/>
                <w:sz w:val="21"/>
              </w:rPr>
            </w:pPr>
          </w:p>
        </w:tc>
        <w:tc>
          <w:tcPr>
            <w:tcW w:w="1060" w:type="dxa"/>
            <w:vMerge w:val="continue"/>
            <w:tcBorders>
              <w:top w:val="nil"/>
              <w:bottom w:val="single" w:color="000000" w:sz="4" w:space="0"/>
            </w:tcBorders>
            <w:vAlign w:val="top"/>
          </w:tcPr>
          <w:p w14:paraId="794B4774">
            <w:pPr>
              <w:rPr>
                <w:rFonts w:ascii="Arial"/>
                <w:sz w:val="21"/>
              </w:rPr>
            </w:pPr>
          </w:p>
        </w:tc>
        <w:tc>
          <w:tcPr>
            <w:tcW w:w="980" w:type="dxa"/>
            <w:vMerge w:val="continue"/>
            <w:tcBorders>
              <w:top w:val="nil"/>
              <w:bottom w:val="single" w:color="000000" w:sz="4" w:space="0"/>
            </w:tcBorders>
            <w:vAlign w:val="top"/>
          </w:tcPr>
          <w:p w14:paraId="13E9C6B5">
            <w:pPr>
              <w:rPr>
                <w:rFonts w:ascii="Arial"/>
                <w:sz w:val="21"/>
              </w:rPr>
            </w:pPr>
          </w:p>
        </w:tc>
        <w:tc>
          <w:tcPr>
            <w:tcW w:w="980" w:type="dxa"/>
            <w:vMerge w:val="continue"/>
            <w:tcBorders>
              <w:top w:val="nil"/>
              <w:bottom w:val="single" w:color="000000" w:sz="4" w:space="0"/>
            </w:tcBorders>
            <w:vAlign w:val="top"/>
          </w:tcPr>
          <w:p w14:paraId="51469701">
            <w:pPr>
              <w:rPr>
                <w:rFonts w:ascii="Arial"/>
                <w:sz w:val="21"/>
              </w:rPr>
            </w:pPr>
          </w:p>
        </w:tc>
        <w:tc>
          <w:tcPr>
            <w:tcW w:w="700" w:type="dxa"/>
            <w:tcBorders>
              <w:bottom w:val="single" w:color="000000" w:sz="4" w:space="0"/>
            </w:tcBorders>
            <w:vAlign w:val="top"/>
          </w:tcPr>
          <w:p w14:paraId="2BC7FCD4">
            <w:pPr>
              <w:pStyle w:val="6"/>
              <w:spacing w:before="93" w:line="404" w:lineRule="exact"/>
            </w:pPr>
            <w:r>
              <w:rPr>
                <w:position w:val="-9"/>
              </w:rPr>
              <w:pict>
                <v:shape id="_x0000_s1100" o:spid="_x0000_s1100" o:spt="202" type="#_x0000_t202" style="height:21pt;width:35.05pt;" fillcolor="#DDDBDA" filled="t" stroked="f" coordsize="21600,21600">
                  <v:path/>
                  <v:fill on="t" focussize="0,0"/>
                  <v:stroke on="f"/>
                  <v:imagedata o:title=""/>
                  <o:lock v:ext="edit" aspectratio="f"/>
                  <v:textbox inset="0mm,0mm,0mm,0mm">
                    <w:txbxContent>
                      <w:p w14:paraId="63290F25">
                        <w:pPr>
                          <w:spacing w:before="146" w:line="221" w:lineRule="auto"/>
                          <w:ind w:left="210"/>
                          <w:rPr>
                            <w:rFonts w:ascii="宋体" w:hAnsi="宋体" w:eastAsia="宋体" w:cs="宋体"/>
                            <w:sz w:val="14"/>
                            <w:szCs w:val="14"/>
                          </w:rPr>
                        </w:pPr>
                        <w:r>
                          <w:rPr>
                            <w:rFonts w:ascii="宋体" w:hAnsi="宋体" w:eastAsia="宋体" w:cs="宋体"/>
                            <w:spacing w:val="-2"/>
                            <w:sz w:val="14"/>
                            <w:szCs w:val="14"/>
                          </w:rPr>
                          <w:t>合计</w:t>
                        </w:r>
                      </w:p>
                    </w:txbxContent>
                  </v:textbox>
                  <w10:wrap type="none"/>
                  <w10:anchorlock/>
                </v:shape>
              </w:pict>
            </w:r>
          </w:p>
        </w:tc>
        <w:tc>
          <w:tcPr>
            <w:tcW w:w="650" w:type="dxa"/>
            <w:vMerge w:val="continue"/>
            <w:tcBorders>
              <w:top w:val="nil"/>
              <w:bottom w:val="single" w:color="000000" w:sz="4" w:space="0"/>
            </w:tcBorders>
            <w:vAlign w:val="top"/>
          </w:tcPr>
          <w:p w14:paraId="49A5C446">
            <w:pPr>
              <w:rPr>
                <w:rFonts w:ascii="Arial"/>
                <w:sz w:val="21"/>
              </w:rPr>
            </w:pPr>
          </w:p>
        </w:tc>
        <w:tc>
          <w:tcPr>
            <w:tcW w:w="830" w:type="dxa"/>
            <w:vMerge w:val="continue"/>
            <w:tcBorders>
              <w:top w:val="nil"/>
              <w:bottom w:val="single" w:color="000000" w:sz="4" w:space="0"/>
            </w:tcBorders>
            <w:vAlign w:val="top"/>
          </w:tcPr>
          <w:p w14:paraId="1B39BB3C">
            <w:pPr>
              <w:rPr>
                <w:rFonts w:ascii="Arial"/>
                <w:sz w:val="21"/>
              </w:rPr>
            </w:pPr>
          </w:p>
        </w:tc>
        <w:tc>
          <w:tcPr>
            <w:tcW w:w="690" w:type="dxa"/>
            <w:vMerge w:val="continue"/>
            <w:tcBorders>
              <w:top w:val="nil"/>
              <w:bottom w:val="single" w:color="000000" w:sz="4" w:space="0"/>
            </w:tcBorders>
            <w:vAlign w:val="top"/>
          </w:tcPr>
          <w:p w14:paraId="5EEF46B2">
            <w:pPr>
              <w:rPr>
                <w:rFonts w:ascii="Arial"/>
                <w:sz w:val="21"/>
              </w:rPr>
            </w:pPr>
          </w:p>
        </w:tc>
        <w:tc>
          <w:tcPr>
            <w:tcW w:w="810" w:type="dxa"/>
            <w:vMerge w:val="continue"/>
            <w:tcBorders>
              <w:top w:val="nil"/>
              <w:bottom w:val="single" w:color="000000" w:sz="4" w:space="0"/>
            </w:tcBorders>
            <w:vAlign w:val="top"/>
          </w:tcPr>
          <w:p w14:paraId="5E2F0D06">
            <w:pPr>
              <w:rPr>
                <w:rFonts w:ascii="Arial"/>
                <w:sz w:val="21"/>
              </w:rPr>
            </w:pPr>
          </w:p>
        </w:tc>
        <w:tc>
          <w:tcPr>
            <w:tcW w:w="910" w:type="dxa"/>
            <w:vMerge w:val="continue"/>
            <w:tcBorders>
              <w:top w:val="nil"/>
              <w:bottom w:val="single" w:color="000000" w:sz="4" w:space="0"/>
            </w:tcBorders>
            <w:vAlign w:val="top"/>
          </w:tcPr>
          <w:p w14:paraId="6CBF0EC5">
            <w:pPr>
              <w:rPr>
                <w:rFonts w:ascii="Arial"/>
                <w:sz w:val="21"/>
              </w:rPr>
            </w:pPr>
          </w:p>
        </w:tc>
      </w:tr>
    </w:tbl>
    <w:p w14:paraId="0DF90C84">
      <w:pPr>
        <w:spacing w:line="356" w:lineRule="auto"/>
        <w:rPr>
          <w:rFonts w:ascii="Arial"/>
          <w:sz w:val="21"/>
        </w:rPr>
      </w:pPr>
    </w:p>
    <w:p w14:paraId="2B76B898">
      <w:pPr>
        <w:pStyle w:val="2"/>
        <w:spacing w:before="63" w:line="220" w:lineRule="auto"/>
        <w:ind w:left="989"/>
        <w:rPr>
          <w:sz w:val="19"/>
          <w:szCs w:val="19"/>
        </w:rPr>
      </w:pPr>
      <w:r>
        <w:rPr>
          <w:spacing w:val="17"/>
          <w:sz w:val="19"/>
          <w:szCs w:val="19"/>
        </w:rPr>
        <w:t>(四)确定连续性测量指标的截断值</w:t>
      </w:r>
    </w:p>
    <w:p w14:paraId="58F87E47">
      <w:pPr>
        <w:pStyle w:val="2"/>
        <w:spacing w:before="146" w:line="358" w:lineRule="auto"/>
        <w:ind w:left="599" w:right="75" w:firstLine="389"/>
        <w:jc w:val="both"/>
        <w:rPr>
          <w:rFonts w:ascii="宋体" w:hAnsi="宋体" w:eastAsia="宋体" w:cs="宋体"/>
          <w:sz w:val="19"/>
          <w:szCs w:val="19"/>
        </w:rPr>
      </w:pPr>
      <w:r>
        <w:rPr>
          <w:rFonts w:ascii="宋体" w:hAnsi="宋体" w:eastAsia="宋体" w:cs="宋体"/>
          <w:spacing w:val="8"/>
          <w:sz w:val="19"/>
          <w:szCs w:val="19"/>
        </w:rPr>
        <w:t xml:space="preserve">1. </w:t>
      </w:r>
      <w:r>
        <w:rPr>
          <w:spacing w:val="8"/>
          <w:sz w:val="19"/>
          <w:szCs w:val="19"/>
        </w:rPr>
        <w:t>筛检指标的人群分布类型</w:t>
      </w:r>
      <w:r>
        <w:rPr>
          <w:spacing w:val="48"/>
          <w:sz w:val="19"/>
          <w:szCs w:val="19"/>
        </w:rPr>
        <w:t xml:space="preserve"> </w:t>
      </w:r>
      <w:r>
        <w:rPr>
          <w:rFonts w:ascii="宋体" w:hAnsi="宋体" w:eastAsia="宋体" w:cs="宋体"/>
          <w:spacing w:val="8"/>
          <w:sz w:val="19"/>
          <w:szCs w:val="19"/>
        </w:rPr>
        <w:t>筛检试验采用连续性指标时，需要确定阳性/阴性结果的判定</w:t>
      </w:r>
      <w:r>
        <w:rPr>
          <w:rFonts w:ascii="宋体" w:hAnsi="宋体" w:eastAsia="宋体" w:cs="宋体"/>
          <w:sz w:val="19"/>
          <w:szCs w:val="19"/>
        </w:rPr>
        <w:t xml:space="preserve"> 标准——截断值</w:t>
      </w:r>
      <w:r>
        <w:rPr>
          <w:rFonts w:ascii="Times New Roman" w:hAnsi="Times New Roman" w:eastAsia="Times New Roman" w:cs="Times New Roman"/>
          <w:sz w:val="19"/>
          <w:szCs w:val="19"/>
        </w:rPr>
        <w:t>(cut-off   value)</w:t>
      </w:r>
      <w:r>
        <w:rPr>
          <w:rFonts w:ascii="宋体" w:hAnsi="宋体" w:eastAsia="宋体" w:cs="宋体"/>
          <w:sz w:val="19"/>
          <w:szCs w:val="19"/>
        </w:rPr>
        <w:t>。假设病人的测量值总体上大于非病人，</w:t>
      </w:r>
      <w:r>
        <w:rPr>
          <w:rFonts w:ascii="Times New Roman" w:hAnsi="Times New Roman" w:eastAsia="Times New Roman" w:cs="Times New Roman"/>
          <w:sz w:val="19"/>
          <w:szCs w:val="19"/>
        </w:rPr>
        <w:t>H</w:t>
      </w:r>
      <w:r>
        <w:rPr>
          <w:rFonts w:ascii="Times New Roman" w:hAnsi="Times New Roman" w:eastAsia="Times New Roman" w:cs="Times New Roman"/>
          <w:spacing w:val="18"/>
          <w:w w:val="101"/>
          <w:sz w:val="19"/>
          <w:szCs w:val="19"/>
        </w:rPr>
        <w:t xml:space="preserve"> </w:t>
      </w:r>
      <w:r>
        <w:rPr>
          <w:rFonts w:ascii="宋体" w:hAnsi="宋体" w:eastAsia="宋体" w:cs="宋体"/>
          <w:sz w:val="19"/>
          <w:szCs w:val="19"/>
        </w:rPr>
        <w:t>为病人的最低值，</w:t>
      </w:r>
      <w:r>
        <w:rPr>
          <w:rFonts w:ascii="Times New Roman" w:hAnsi="Times New Roman" w:eastAsia="Times New Roman" w:cs="Times New Roman"/>
          <w:spacing w:val="-1"/>
          <w:sz w:val="19"/>
          <w:szCs w:val="19"/>
        </w:rPr>
        <w:t>X</w:t>
      </w:r>
      <w:r>
        <w:rPr>
          <w:rFonts w:ascii="Times New Roman" w:hAnsi="Times New Roman" w:eastAsia="Times New Roman" w:cs="Times New Roman"/>
          <w:spacing w:val="17"/>
          <w:sz w:val="19"/>
          <w:szCs w:val="19"/>
        </w:rPr>
        <w:t xml:space="preserve"> </w:t>
      </w:r>
      <w:r>
        <w:rPr>
          <w:rFonts w:ascii="宋体" w:hAnsi="宋体" w:eastAsia="宋体" w:cs="宋体"/>
          <w:spacing w:val="-1"/>
          <w:sz w:val="19"/>
          <w:szCs w:val="19"/>
        </w:rPr>
        <w:t>为非</w:t>
      </w:r>
      <w:r>
        <w:rPr>
          <w:rFonts w:ascii="宋体" w:hAnsi="宋体" w:eastAsia="宋体" w:cs="宋体"/>
          <w:sz w:val="19"/>
          <w:szCs w:val="19"/>
        </w:rPr>
        <w:t xml:space="preserve"> </w:t>
      </w:r>
      <w:r>
        <w:rPr>
          <w:rFonts w:ascii="宋体" w:hAnsi="宋体" w:eastAsia="宋体" w:cs="宋体"/>
          <w:spacing w:val="4"/>
          <w:sz w:val="19"/>
          <w:szCs w:val="19"/>
        </w:rPr>
        <w:t>病人的最高值。两组人群测量值分布可能呈现三种状态：①独立双</w:t>
      </w:r>
      <w:r>
        <w:rPr>
          <w:rFonts w:ascii="宋体" w:hAnsi="宋体" w:eastAsia="宋体" w:cs="宋体"/>
          <w:spacing w:val="3"/>
          <w:sz w:val="19"/>
          <w:szCs w:val="19"/>
        </w:rPr>
        <w:t>峰分布[图7-3</w:t>
      </w:r>
      <w:r>
        <w:rPr>
          <w:rFonts w:ascii="Times New Roman" w:hAnsi="Times New Roman" w:eastAsia="Times New Roman" w:cs="Times New Roman"/>
          <w:spacing w:val="3"/>
          <w:sz w:val="19"/>
          <w:szCs w:val="19"/>
        </w:rPr>
        <w:t>(a)],</w:t>
      </w:r>
      <w:r>
        <w:rPr>
          <w:rFonts w:ascii="Times New Roman" w:hAnsi="Times New Roman" w:eastAsia="Times New Roman" w:cs="Times New Roman"/>
          <w:spacing w:val="14"/>
          <w:w w:val="101"/>
          <w:sz w:val="19"/>
          <w:szCs w:val="19"/>
        </w:rPr>
        <w:t xml:space="preserve">   </w:t>
      </w:r>
      <w:r>
        <w:rPr>
          <w:rFonts w:ascii="宋体" w:hAnsi="宋体" w:eastAsia="宋体" w:cs="宋体"/>
          <w:spacing w:val="3"/>
          <w:sz w:val="19"/>
          <w:szCs w:val="19"/>
        </w:rPr>
        <w:t>如图，截断</w:t>
      </w:r>
      <w:r>
        <w:rPr>
          <w:rFonts w:ascii="宋体" w:hAnsi="宋体" w:eastAsia="宋体" w:cs="宋体"/>
          <w:spacing w:val="1"/>
          <w:sz w:val="19"/>
          <w:szCs w:val="19"/>
        </w:rPr>
        <w:t xml:space="preserve"> </w:t>
      </w:r>
      <w:r>
        <w:rPr>
          <w:rFonts w:ascii="宋体" w:hAnsi="宋体" w:eastAsia="宋体" w:cs="宋体"/>
          <w:spacing w:val="6"/>
          <w:sz w:val="19"/>
          <w:szCs w:val="19"/>
        </w:rPr>
        <w:t>值选在病人的最小值H 处，或非病人的最大取值X 处，判断准确度均可达100%。②单峰连续分布</w:t>
      </w:r>
      <w:r>
        <w:rPr>
          <w:rFonts w:ascii="宋体" w:hAnsi="宋体" w:eastAsia="宋体" w:cs="宋体"/>
          <w:spacing w:val="12"/>
          <w:sz w:val="19"/>
          <w:szCs w:val="19"/>
        </w:rPr>
        <w:t xml:space="preserve"> </w:t>
      </w:r>
      <w:r>
        <w:rPr>
          <w:rFonts w:ascii="宋体" w:hAnsi="宋体" w:eastAsia="宋体" w:cs="宋体"/>
          <w:spacing w:val="3"/>
          <w:sz w:val="19"/>
          <w:szCs w:val="19"/>
        </w:rPr>
        <w:t>[图7-</w:t>
      </w:r>
      <w:r>
        <w:rPr>
          <w:rFonts w:ascii="宋体" w:hAnsi="宋体" w:eastAsia="宋体" w:cs="宋体"/>
          <w:spacing w:val="-53"/>
          <w:sz w:val="19"/>
          <w:szCs w:val="19"/>
        </w:rPr>
        <w:t xml:space="preserve"> </w:t>
      </w:r>
      <w:r>
        <w:rPr>
          <w:rFonts w:ascii="宋体" w:hAnsi="宋体" w:eastAsia="宋体" w:cs="宋体"/>
          <w:spacing w:val="3"/>
          <w:sz w:val="19"/>
          <w:szCs w:val="19"/>
        </w:rPr>
        <w:t>3</w:t>
      </w:r>
      <w:r>
        <w:rPr>
          <w:rFonts w:ascii="Times New Roman" w:hAnsi="Times New Roman" w:eastAsia="Times New Roman" w:cs="Times New Roman"/>
          <w:spacing w:val="3"/>
          <w:sz w:val="19"/>
          <w:szCs w:val="19"/>
        </w:rPr>
        <w:t xml:space="preserve">(b)],   </w:t>
      </w:r>
      <w:r>
        <w:rPr>
          <w:rFonts w:ascii="宋体" w:hAnsi="宋体" w:eastAsia="宋体" w:cs="宋体"/>
          <w:spacing w:val="3"/>
          <w:sz w:val="19"/>
          <w:szCs w:val="19"/>
        </w:rPr>
        <w:t>病人和非病人的指标分布相互包含，无论截断值如何选取都可能有较大的误判率，这</w:t>
      </w:r>
      <w:r>
        <w:rPr>
          <w:rFonts w:ascii="宋体" w:hAnsi="宋体" w:eastAsia="宋体" w:cs="宋体"/>
          <w:sz w:val="19"/>
          <w:szCs w:val="19"/>
        </w:rPr>
        <w:t xml:space="preserve"> </w:t>
      </w:r>
      <w:r>
        <w:rPr>
          <w:rFonts w:ascii="宋体" w:hAnsi="宋体" w:eastAsia="宋体" w:cs="宋体"/>
          <w:spacing w:val="3"/>
          <w:sz w:val="19"/>
          <w:szCs w:val="19"/>
        </w:rPr>
        <w:t>类指标不适合独立作为筛检指标。③部分重叠双峰分布[图7-3(c)],</w:t>
      </w:r>
      <w:r>
        <w:rPr>
          <w:rFonts w:ascii="宋体" w:hAnsi="宋体" w:eastAsia="宋体" w:cs="宋体"/>
          <w:spacing w:val="-29"/>
          <w:sz w:val="19"/>
          <w:szCs w:val="19"/>
        </w:rPr>
        <w:t xml:space="preserve"> </w:t>
      </w:r>
      <w:r>
        <w:rPr>
          <w:rFonts w:ascii="宋体" w:hAnsi="宋体" w:eastAsia="宋体" w:cs="宋体"/>
          <w:spacing w:val="3"/>
          <w:sz w:val="19"/>
          <w:szCs w:val="19"/>
        </w:rPr>
        <w:t>总人群分布</w:t>
      </w:r>
      <w:r>
        <w:rPr>
          <w:rFonts w:ascii="宋体" w:hAnsi="宋体" w:eastAsia="宋体" w:cs="宋体"/>
          <w:spacing w:val="2"/>
          <w:sz w:val="19"/>
          <w:szCs w:val="19"/>
        </w:rPr>
        <w:t>呈双峰型，病人和</w:t>
      </w:r>
      <w:r>
        <w:rPr>
          <w:rFonts w:ascii="宋体" w:hAnsi="宋体" w:eastAsia="宋体" w:cs="宋体"/>
          <w:sz w:val="19"/>
          <w:szCs w:val="19"/>
        </w:rPr>
        <w:t xml:space="preserve"> 非病人分布曲线有部分重叠，这是最常见的分布形式。</w:t>
      </w:r>
    </w:p>
    <w:p w14:paraId="3295237D">
      <w:pPr>
        <w:spacing w:before="10" w:line="356" w:lineRule="auto"/>
        <w:ind w:left="599" w:right="63" w:firstLine="389"/>
        <w:jc w:val="both"/>
        <w:rPr>
          <w:rFonts w:ascii="宋体" w:hAnsi="宋体" w:eastAsia="宋体" w:cs="宋体"/>
          <w:sz w:val="19"/>
          <w:szCs w:val="19"/>
        </w:rPr>
      </w:pPr>
      <w:r>
        <w:rPr>
          <w:rFonts w:ascii="宋体" w:hAnsi="宋体" w:eastAsia="宋体" w:cs="宋体"/>
          <w:spacing w:val="4"/>
          <w:sz w:val="19"/>
          <w:szCs w:val="19"/>
        </w:rPr>
        <w:t>双峰型分布的指标在</w:t>
      </w:r>
      <w:r>
        <w:rPr>
          <w:rFonts w:ascii="Times New Roman" w:hAnsi="Times New Roman" w:eastAsia="Times New Roman" w:cs="Times New Roman"/>
          <w:spacing w:val="4"/>
          <w:sz w:val="19"/>
          <w:szCs w:val="19"/>
        </w:rPr>
        <w:t xml:space="preserve">H </w:t>
      </w:r>
      <w:r>
        <w:rPr>
          <w:rFonts w:ascii="宋体" w:hAnsi="宋体" w:eastAsia="宋体" w:cs="宋体"/>
          <w:spacing w:val="4"/>
          <w:sz w:val="19"/>
          <w:szCs w:val="19"/>
        </w:rPr>
        <w:t>和</w:t>
      </w:r>
      <w:r>
        <w:rPr>
          <w:rFonts w:ascii="宋体" w:hAnsi="宋体" w:eastAsia="宋体" w:cs="宋体"/>
          <w:spacing w:val="-24"/>
          <w:sz w:val="19"/>
          <w:szCs w:val="19"/>
        </w:rPr>
        <w:t xml:space="preserve"> </w:t>
      </w:r>
      <w:r>
        <w:rPr>
          <w:rFonts w:ascii="Times New Roman" w:hAnsi="Times New Roman" w:eastAsia="Times New Roman" w:cs="Times New Roman"/>
          <w:spacing w:val="4"/>
          <w:sz w:val="19"/>
          <w:szCs w:val="19"/>
        </w:rPr>
        <w:t xml:space="preserve">X </w:t>
      </w:r>
      <w:r>
        <w:rPr>
          <w:rFonts w:ascii="宋体" w:hAnsi="宋体" w:eastAsia="宋体" w:cs="宋体"/>
          <w:spacing w:val="4"/>
          <w:sz w:val="19"/>
          <w:szCs w:val="19"/>
        </w:rPr>
        <w:t>之间既有病人又有非病人，形成一个重叠区。在</w:t>
      </w:r>
      <w:r>
        <w:rPr>
          <w:rFonts w:ascii="Times New Roman" w:hAnsi="Times New Roman" w:eastAsia="Times New Roman" w:cs="Times New Roman"/>
          <w:spacing w:val="4"/>
          <w:sz w:val="19"/>
          <w:szCs w:val="19"/>
        </w:rPr>
        <w:t>H</w:t>
      </w:r>
      <w:r>
        <w:rPr>
          <w:rFonts w:ascii="Times New Roman" w:hAnsi="Times New Roman" w:eastAsia="Times New Roman" w:cs="Times New Roman"/>
          <w:spacing w:val="19"/>
          <w:sz w:val="19"/>
          <w:szCs w:val="19"/>
        </w:rPr>
        <w:t xml:space="preserve"> </w:t>
      </w:r>
      <w:r>
        <w:rPr>
          <w:rFonts w:ascii="宋体" w:hAnsi="宋体" w:eastAsia="宋体" w:cs="宋体"/>
          <w:spacing w:val="4"/>
          <w:sz w:val="19"/>
          <w:szCs w:val="19"/>
        </w:rPr>
        <w:t>至</w:t>
      </w:r>
      <w:r>
        <w:rPr>
          <w:rFonts w:ascii="宋体" w:hAnsi="宋体" w:eastAsia="宋体" w:cs="宋体"/>
          <w:spacing w:val="-36"/>
          <w:sz w:val="19"/>
          <w:szCs w:val="19"/>
        </w:rPr>
        <w:t xml:space="preserve"> </w:t>
      </w:r>
      <w:r>
        <w:rPr>
          <w:rFonts w:ascii="Times New Roman" w:hAnsi="Times New Roman" w:eastAsia="Times New Roman" w:cs="Times New Roman"/>
          <w:spacing w:val="4"/>
          <w:sz w:val="19"/>
          <w:szCs w:val="19"/>
        </w:rPr>
        <w:t xml:space="preserve">X </w:t>
      </w:r>
      <w:r>
        <w:rPr>
          <w:rFonts w:ascii="宋体" w:hAnsi="宋体" w:eastAsia="宋体" w:cs="宋体"/>
          <w:spacing w:val="4"/>
          <w:sz w:val="19"/>
          <w:szCs w:val="19"/>
        </w:rPr>
        <w:t>之间，当</w:t>
      </w:r>
      <w:r>
        <w:rPr>
          <w:rFonts w:ascii="宋体" w:hAnsi="宋体" w:eastAsia="宋体" w:cs="宋体"/>
          <w:sz w:val="19"/>
          <w:szCs w:val="19"/>
        </w:rPr>
        <w:t xml:space="preserve"> </w:t>
      </w:r>
      <w:r>
        <w:rPr>
          <w:rFonts w:ascii="宋体" w:hAnsi="宋体" w:eastAsia="宋体" w:cs="宋体"/>
          <w:spacing w:val="-1"/>
          <w:sz w:val="19"/>
          <w:szCs w:val="19"/>
        </w:rPr>
        <w:t>截断值向病人的方向</w:t>
      </w:r>
      <w:r>
        <w:rPr>
          <w:rFonts w:ascii="Times New Roman" w:hAnsi="Times New Roman" w:eastAsia="Times New Roman" w:cs="Times New Roman"/>
          <w:spacing w:val="-1"/>
          <w:sz w:val="19"/>
          <w:szCs w:val="19"/>
        </w:rPr>
        <w:t>(X)</w:t>
      </w:r>
      <w:r>
        <w:rPr>
          <w:rFonts w:ascii="Times New Roman" w:hAnsi="Times New Roman" w:eastAsia="Times New Roman" w:cs="Times New Roman"/>
          <w:spacing w:val="47"/>
          <w:w w:val="101"/>
          <w:sz w:val="19"/>
          <w:szCs w:val="19"/>
        </w:rPr>
        <w:t xml:space="preserve"> </w:t>
      </w:r>
      <w:r>
        <w:rPr>
          <w:rFonts w:ascii="宋体" w:hAnsi="宋体" w:eastAsia="宋体" w:cs="宋体"/>
          <w:spacing w:val="-1"/>
          <w:sz w:val="19"/>
          <w:szCs w:val="19"/>
        </w:rPr>
        <w:t>移动，特异度升高，灵敏度降低；当截断值向非病人的方向</w:t>
      </w:r>
      <w:r>
        <w:rPr>
          <w:rFonts w:ascii="Times New Roman" w:hAnsi="Times New Roman" w:eastAsia="Times New Roman" w:cs="Times New Roman"/>
          <w:spacing w:val="-1"/>
          <w:sz w:val="19"/>
          <w:szCs w:val="19"/>
        </w:rPr>
        <w:t xml:space="preserve">(H)  </w:t>
      </w:r>
      <w:r>
        <w:rPr>
          <w:rFonts w:ascii="宋体" w:hAnsi="宋体" w:eastAsia="宋体" w:cs="宋体"/>
          <w:spacing w:val="-1"/>
          <w:sz w:val="19"/>
          <w:szCs w:val="19"/>
        </w:rPr>
        <w:t>移动时，灵</w:t>
      </w:r>
      <w:r>
        <w:rPr>
          <w:rFonts w:ascii="宋体" w:hAnsi="宋体" w:eastAsia="宋体" w:cs="宋体"/>
          <w:sz w:val="19"/>
          <w:szCs w:val="19"/>
        </w:rPr>
        <w:t xml:space="preserve"> </w:t>
      </w:r>
      <w:r>
        <w:rPr>
          <w:rFonts w:ascii="宋体" w:hAnsi="宋体" w:eastAsia="宋体" w:cs="宋体"/>
          <w:spacing w:val="-3"/>
          <w:sz w:val="19"/>
          <w:szCs w:val="19"/>
        </w:rPr>
        <w:t>敏度增高，特异度降低。</w:t>
      </w:r>
    </w:p>
    <w:p w14:paraId="0658062E">
      <w:pPr>
        <w:spacing w:before="1" w:line="218" w:lineRule="auto"/>
        <w:ind w:left="989"/>
        <w:rPr>
          <w:rFonts w:ascii="宋体" w:hAnsi="宋体" w:eastAsia="宋体" w:cs="宋体"/>
          <w:sz w:val="19"/>
          <w:szCs w:val="19"/>
        </w:rPr>
      </w:pPr>
      <w:r>
        <w:rPr>
          <w:rFonts w:ascii="宋体" w:hAnsi="宋体" w:eastAsia="宋体" w:cs="宋体"/>
          <w:spacing w:val="5"/>
          <w:sz w:val="19"/>
          <w:szCs w:val="19"/>
        </w:rPr>
        <w:t>2.</w:t>
      </w:r>
      <w:r>
        <w:rPr>
          <w:rFonts w:ascii="宋体" w:hAnsi="宋体" w:eastAsia="宋体" w:cs="宋体"/>
          <w:spacing w:val="-10"/>
          <w:sz w:val="19"/>
          <w:szCs w:val="19"/>
        </w:rPr>
        <w:t xml:space="preserve"> </w:t>
      </w:r>
      <w:r>
        <w:rPr>
          <w:rFonts w:ascii="宋体" w:hAnsi="宋体" w:eastAsia="宋体" w:cs="宋体"/>
          <w:spacing w:val="5"/>
          <w:sz w:val="19"/>
          <w:szCs w:val="19"/>
        </w:rPr>
        <w:t>筛检试验截断值选择依据</w:t>
      </w:r>
    </w:p>
    <w:p w14:paraId="6B39C43E">
      <w:pPr>
        <w:spacing w:before="163" w:line="290" w:lineRule="auto"/>
        <w:ind w:left="599" w:right="74" w:firstLine="389"/>
        <w:rPr>
          <w:rFonts w:ascii="宋体" w:hAnsi="宋体" w:eastAsia="宋体" w:cs="宋体"/>
          <w:sz w:val="19"/>
          <w:szCs w:val="19"/>
        </w:rPr>
      </w:pPr>
      <w:r>
        <w:rPr>
          <w:rFonts w:ascii="宋体" w:hAnsi="宋体" w:eastAsia="宋体" w:cs="宋体"/>
          <w:spacing w:val="5"/>
          <w:sz w:val="19"/>
          <w:szCs w:val="19"/>
        </w:rPr>
        <w:t>第一，如疾病早期诊断使得病人获益更多(如宫颈癌筛检)</w:t>
      </w:r>
      <w:r>
        <w:rPr>
          <w:rFonts w:ascii="宋体" w:hAnsi="宋体" w:eastAsia="宋体" w:cs="宋体"/>
          <w:spacing w:val="4"/>
          <w:sz w:val="19"/>
          <w:szCs w:val="19"/>
        </w:rPr>
        <w:t>,目前又有可靠的治疗方法，则截断</w:t>
      </w:r>
      <w:r>
        <w:rPr>
          <w:rFonts w:ascii="宋体" w:hAnsi="宋体" w:eastAsia="宋体" w:cs="宋体"/>
          <w:sz w:val="19"/>
          <w:szCs w:val="19"/>
        </w:rPr>
        <w:t xml:space="preserve"> </w:t>
      </w:r>
      <w:r>
        <w:rPr>
          <w:rFonts w:ascii="宋体" w:hAnsi="宋体" w:eastAsia="宋体" w:cs="宋体"/>
          <w:spacing w:val="-1"/>
          <w:sz w:val="19"/>
          <w:szCs w:val="19"/>
        </w:rPr>
        <w:t>值以提高灵敏度为主，以尽可能多地发现可疑病人，但会使假阳性</w:t>
      </w:r>
      <w:r>
        <w:rPr>
          <w:rFonts w:ascii="宋体" w:hAnsi="宋体" w:eastAsia="宋体" w:cs="宋体"/>
          <w:spacing w:val="-2"/>
          <w:sz w:val="19"/>
          <w:szCs w:val="19"/>
        </w:rPr>
        <w:t>增多。</w:t>
      </w:r>
    </w:p>
    <w:p w14:paraId="35490A11">
      <w:pPr>
        <w:spacing w:before="143" w:line="286" w:lineRule="auto"/>
        <w:ind w:left="599" w:right="66" w:firstLine="389"/>
        <w:rPr>
          <w:rFonts w:ascii="宋体" w:hAnsi="宋体" w:eastAsia="宋体" w:cs="宋体"/>
          <w:sz w:val="19"/>
          <w:szCs w:val="19"/>
        </w:rPr>
      </w:pPr>
      <w:r>
        <w:rPr>
          <w:rFonts w:ascii="宋体" w:hAnsi="宋体" w:eastAsia="宋体" w:cs="宋体"/>
          <w:spacing w:val="5"/>
          <w:sz w:val="19"/>
          <w:szCs w:val="19"/>
        </w:rPr>
        <w:t>第二，如误判患病或过度诊断给病人带来的风险更大(如前列腺癌筛检),则</w:t>
      </w:r>
      <w:r>
        <w:rPr>
          <w:rFonts w:ascii="宋体" w:hAnsi="宋体" w:eastAsia="宋体" w:cs="宋体"/>
          <w:spacing w:val="4"/>
          <w:sz w:val="19"/>
          <w:szCs w:val="19"/>
        </w:rPr>
        <w:t>截断值选取应以提</w:t>
      </w:r>
      <w:r>
        <w:rPr>
          <w:rFonts w:ascii="宋体" w:hAnsi="宋体" w:eastAsia="宋体" w:cs="宋体"/>
          <w:sz w:val="19"/>
          <w:szCs w:val="19"/>
        </w:rPr>
        <w:t xml:space="preserve"> 高特异度为主，尽可能将非病人鉴别出来，减少过</w:t>
      </w:r>
      <w:r>
        <w:rPr>
          <w:rFonts w:ascii="宋体" w:hAnsi="宋体" w:eastAsia="宋体" w:cs="宋体"/>
          <w:spacing w:val="-1"/>
          <w:sz w:val="19"/>
          <w:szCs w:val="19"/>
        </w:rPr>
        <w:t>度诊断和过度治疗带来的负面影响。</w:t>
      </w:r>
    </w:p>
    <w:p w14:paraId="4E18B297">
      <w:pPr>
        <w:spacing w:line="286" w:lineRule="auto"/>
        <w:rPr>
          <w:rFonts w:ascii="宋体" w:hAnsi="宋体" w:eastAsia="宋体" w:cs="宋体"/>
          <w:sz w:val="19"/>
          <w:szCs w:val="19"/>
        </w:rPr>
        <w:sectPr>
          <w:footerReference r:id="rId147" w:type="default"/>
          <w:pgSz w:w="11900" w:h="16820"/>
          <w:pgMar w:top="400" w:right="1755" w:bottom="822" w:left="1190" w:header="0" w:footer="651" w:gutter="0"/>
          <w:cols w:space="720" w:num="1"/>
        </w:sectPr>
      </w:pPr>
    </w:p>
    <w:p w14:paraId="62030BB8">
      <w:pPr>
        <w:spacing w:line="297" w:lineRule="auto"/>
        <w:rPr>
          <w:rFonts w:ascii="Arial"/>
          <w:sz w:val="21"/>
        </w:rPr>
      </w:pPr>
    </w:p>
    <w:p w14:paraId="4D6013EF">
      <w:pPr>
        <w:pStyle w:val="2"/>
        <w:spacing w:before="65" w:line="222" w:lineRule="auto"/>
        <w:ind w:left="7972"/>
        <w:rPr>
          <w:sz w:val="20"/>
          <w:szCs w:val="20"/>
        </w:rPr>
      </w:pPr>
      <w:bookmarkStart w:id="209" w:name="bookmark472"/>
      <w:bookmarkEnd w:id="209"/>
      <w:r>
        <w:rPr>
          <w:b/>
          <w:bCs/>
          <w:spacing w:val="-13"/>
          <w:sz w:val="20"/>
          <w:szCs w:val="20"/>
        </w:rPr>
        <w:t>第七章</w:t>
      </w:r>
      <w:r>
        <w:rPr>
          <w:spacing w:val="-13"/>
          <w:sz w:val="20"/>
          <w:szCs w:val="20"/>
        </w:rPr>
        <w:t xml:space="preserve"> </w:t>
      </w:r>
      <w:r>
        <w:rPr>
          <w:b/>
          <w:bCs/>
          <w:spacing w:val="-13"/>
          <w:sz w:val="20"/>
          <w:szCs w:val="20"/>
        </w:rPr>
        <w:t>筛检</w:t>
      </w:r>
    </w:p>
    <w:p w14:paraId="03F51176">
      <w:pPr>
        <w:spacing w:line="251" w:lineRule="auto"/>
        <w:rPr>
          <w:rFonts w:ascii="Arial"/>
          <w:sz w:val="21"/>
        </w:rPr>
      </w:pPr>
    </w:p>
    <w:p w14:paraId="36E6FB62">
      <w:pPr>
        <w:spacing w:line="251" w:lineRule="auto"/>
        <w:rPr>
          <w:rFonts w:ascii="Arial"/>
          <w:sz w:val="21"/>
        </w:rPr>
      </w:pPr>
    </w:p>
    <w:p w14:paraId="511E3337">
      <w:pPr>
        <w:pStyle w:val="2"/>
        <w:spacing w:line="2789" w:lineRule="exact"/>
        <w:ind w:firstLine="2149"/>
      </w:pPr>
      <w:r>
        <mc:AlternateContent>
          <mc:Choice Requires="wps">
            <w:drawing>
              <wp:anchor distT="0" distB="0" distL="0" distR="0" simplePos="0" relativeHeight="251806720" behindDoc="0" locked="0" layoutInCell="1" allowOverlap="1">
                <wp:simplePos x="0" y="0"/>
                <wp:positionH relativeFrom="column">
                  <wp:posOffset>1316990</wp:posOffset>
                </wp:positionH>
                <wp:positionV relativeFrom="paragraph">
                  <wp:posOffset>34290</wp:posOffset>
                </wp:positionV>
                <wp:extent cx="259715" cy="217805"/>
                <wp:effectExtent l="0" t="0" r="0" b="0"/>
                <wp:wrapNone/>
                <wp:docPr id="472" name="TextBox 472"/>
                <wp:cNvGraphicFramePr/>
                <a:graphic xmlns:a="http://schemas.openxmlformats.org/drawingml/2006/main">
                  <a:graphicData uri="http://schemas.microsoft.com/office/word/2010/wordprocessingShape">
                    <wps:wsp>
                      <wps:cNvSpPr txBox="1"/>
                      <wps:spPr>
                        <a:xfrm rot="16200000">
                          <a:off x="1317417" y="34874"/>
                          <a:ext cx="259715" cy="217804"/>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3CFAEA5C">
                            <w:pPr>
                              <w:spacing w:before="61" w:line="219" w:lineRule="auto"/>
                              <w:jc w:val="right"/>
                              <w:rPr>
                                <w:rFonts w:ascii="宋体" w:hAnsi="宋体" w:eastAsia="宋体" w:cs="宋体"/>
                                <w:sz w:val="22"/>
                                <w:szCs w:val="22"/>
                              </w:rPr>
                            </w:pPr>
                            <w:r>
                              <w:rPr>
                                <w:rFonts w:ascii="宋体" w:hAnsi="宋体" w:eastAsia="宋体" w:cs="宋体"/>
                                <w:spacing w:val="-22"/>
                                <w:w w:val="90"/>
                                <w:sz w:val="22"/>
                                <w:szCs w:val="22"/>
                              </w:rPr>
                              <w:t>频</w:t>
                            </w:r>
                            <w:r>
                              <w:rPr>
                                <w:rFonts w:ascii="宋体" w:hAnsi="宋体" w:eastAsia="宋体" w:cs="宋体"/>
                                <w:spacing w:val="-10"/>
                                <w:w w:val="90"/>
                                <w:sz w:val="22"/>
                                <w:szCs w:val="22"/>
                              </w:rPr>
                              <w:t>数</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472" o:spid="_x0000_s1026" o:spt="202" type="#_x0000_t202" style="position:absolute;left:0pt;margin-left:103.7pt;margin-top:2.7pt;height:17.15pt;width:20.45pt;rotation:-5898240f;z-index:251806720;mso-width-relative:page;mso-height-relative:page;" filled="f" stroked="f" coordsize="21600,21600" o:gfxdata="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OG6FAtkAAAAIAQAA&#10;DwAAAAAAAAABACAAAAAiAAAAZHJzL2Rvd25yZXYueG1sUEsBAhQAFAAAAAgAh07iQLIKAohRAgAA&#10;owQAAA4AAAAAAAAAAQAgAAAAKAEAAGRycy9lMm9Eb2MueG1sUEsFBgAAAAAGAAYAWQEAAOsFAAAA&#10;AA==&#10;">
                <v:fill on="f" focussize="0,0"/>
                <v:stroke on="f" weight="0pt" miterlimit="0" joinstyle="miter"/>
                <v:imagedata o:title=""/>
                <o:lock v:ext="edit" aspectratio="f"/>
                <v:textbox inset="0mm,0mm,0mm,0mm">
                  <w:txbxContent>
                    <w:p w14:paraId="3CFAEA5C">
                      <w:pPr>
                        <w:spacing w:before="61" w:line="219" w:lineRule="auto"/>
                        <w:jc w:val="right"/>
                        <w:rPr>
                          <w:rFonts w:ascii="宋体" w:hAnsi="宋体" w:eastAsia="宋体" w:cs="宋体"/>
                          <w:sz w:val="22"/>
                          <w:szCs w:val="22"/>
                        </w:rPr>
                      </w:pPr>
                      <w:r>
                        <w:rPr>
                          <w:rFonts w:ascii="宋体" w:hAnsi="宋体" w:eastAsia="宋体" w:cs="宋体"/>
                          <w:spacing w:val="-22"/>
                          <w:w w:val="90"/>
                          <w:sz w:val="22"/>
                          <w:szCs w:val="22"/>
                        </w:rPr>
                        <w:t>频</w:t>
                      </w:r>
                      <w:r>
                        <w:rPr>
                          <w:rFonts w:ascii="宋体" w:hAnsi="宋体" w:eastAsia="宋体" w:cs="宋体"/>
                          <w:spacing w:val="-10"/>
                          <w:w w:val="90"/>
                          <w:sz w:val="22"/>
                          <w:szCs w:val="22"/>
                        </w:rPr>
                        <w:t>数</w:t>
                      </w:r>
                    </w:p>
                  </w:txbxContent>
                </v:textbox>
              </v:shape>
            </w:pict>
          </mc:Fallback>
        </mc:AlternateContent>
      </w:r>
      <w:r>
        <w:rPr>
          <w:position w:val="-55"/>
        </w:rPr>
        <w:pict>
          <v:group id="_x0000_s1101" o:spid="_x0000_s1101" o:spt="203" style="height:139.45pt;width:237.55pt;" coordsize="4751,2788">
            <o:lock v:ext="edit"/>
            <v:shape id="_x0000_s1102" o:spid="_x0000_s1102" o:spt="75" type="#_x0000_t75" style="position:absolute;left:0;top:0;height:2551;width:4751;" filled="f" stroked="f" coordsize="21600,21600">
              <v:path/>
              <v:fill on="f" focussize="0,0"/>
              <v:stroke on="f"/>
              <v:imagedata r:id="rId587" o:title=""/>
              <o:lock v:ext="edit" aspectratio="t"/>
            </v:shape>
            <v:shape id="_x0000_s1103" o:spid="_x0000_s1103" o:spt="202" type="#_x0000_t202" style="position:absolute;left:1130;top:1528;height:1281;width:1761;" filled="f" stroked="f" coordsize="21600,21600">
              <v:path/>
              <v:fill on="f" focussize="0,0"/>
              <v:stroke on="f"/>
              <v:imagedata o:title=""/>
              <o:lock v:ext="edit" aspectratio="f"/>
              <v:textbox inset="0mm,0mm,0mm,0mm">
                <w:txbxContent>
                  <w:p w14:paraId="7BF585D8">
                    <w:pPr>
                      <w:spacing w:before="20" w:line="222" w:lineRule="auto"/>
                      <w:ind w:left="20"/>
                      <w:rPr>
                        <w:rFonts w:ascii="黑体" w:hAnsi="黑体" w:eastAsia="黑体" w:cs="黑体"/>
                        <w:sz w:val="20"/>
                        <w:szCs w:val="20"/>
                      </w:rPr>
                    </w:pPr>
                    <w:r>
                      <w:rPr>
                        <w:rFonts w:ascii="黑体" w:hAnsi="黑体" w:eastAsia="黑体" w:cs="黑体"/>
                        <w:spacing w:val="-12"/>
                        <w:sz w:val="20"/>
                        <w:szCs w:val="20"/>
                      </w:rPr>
                      <w:t>非病人</w:t>
                    </w:r>
                  </w:p>
                  <w:p w14:paraId="470AA8D4">
                    <w:pPr>
                      <w:spacing w:before="79" w:line="219" w:lineRule="auto"/>
                      <w:ind w:left="910"/>
                      <w:rPr>
                        <w:rFonts w:ascii="宋体" w:hAnsi="宋体" w:eastAsia="宋体" w:cs="宋体"/>
                        <w:sz w:val="20"/>
                        <w:szCs w:val="20"/>
                      </w:rPr>
                    </w:pPr>
                    <w:r>
                      <w:rPr>
                        <w:rFonts w:ascii="宋体" w:hAnsi="宋体" w:eastAsia="宋体" w:cs="宋体"/>
                        <w:spacing w:val="-14"/>
                        <w:sz w:val="20"/>
                        <w:szCs w:val="20"/>
                      </w:rPr>
                      <w:t>截断值</w:t>
                    </w:r>
                  </w:p>
                  <w:p w14:paraId="224790FF">
                    <w:pPr>
                      <w:spacing w:before="219" w:line="215" w:lineRule="auto"/>
                      <w:ind w:left="1169" w:right="20" w:hanging="70"/>
                      <w:rPr>
                        <w:rFonts w:ascii="Arial" w:hAnsi="Arial" w:eastAsia="Arial" w:cs="Arial"/>
                        <w:sz w:val="25"/>
                        <w:szCs w:val="25"/>
                      </w:rPr>
                    </w:pPr>
                    <w:r>
                      <w:rPr>
                        <w:rFonts w:ascii="Times New Roman" w:hAnsi="Times New Roman" w:eastAsia="Times New Roman" w:cs="Times New Roman"/>
                        <w:spacing w:val="-3"/>
                        <w:sz w:val="20"/>
                        <w:szCs w:val="20"/>
                      </w:rPr>
                      <w:t>X</w:t>
                    </w:r>
                    <w:r>
                      <w:rPr>
                        <w:rFonts w:ascii="Times New Roman" w:hAnsi="Times New Roman" w:eastAsia="Times New Roman" w:cs="Times New Roman"/>
                        <w:spacing w:val="1"/>
                        <w:sz w:val="20"/>
                        <w:szCs w:val="20"/>
                      </w:rPr>
                      <w:t xml:space="preserve">       </w:t>
                    </w:r>
                    <w:r>
                      <w:rPr>
                        <w:rFonts w:ascii="Times New Roman" w:hAnsi="Times New Roman" w:eastAsia="Times New Roman" w:cs="Times New Roman"/>
                        <w:spacing w:val="-3"/>
                        <w:sz w:val="20"/>
                        <w:szCs w:val="20"/>
                      </w:rPr>
                      <w:t>H</w:t>
                    </w:r>
                    <w:r>
                      <w:rPr>
                        <w:rFonts w:ascii="Times New Roman" w:hAnsi="Times New Roman" w:eastAsia="Times New Roman" w:cs="Times New Roman"/>
                        <w:sz w:val="20"/>
                        <w:szCs w:val="20"/>
                      </w:rPr>
                      <w:t xml:space="preserve"> </w:t>
                    </w:r>
                    <w:r>
                      <w:rPr>
                        <w:rFonts w:ascii="Arial" w:hAnsi="Arial" w:eastAsia="Arial" w:cs="Arial"/>
                        <w:spacing w:val="-4"/>
                        <w:sz w:val="25"/>
                        <w:szCs w:val="25"/>
                      </w:rPr>
                      <w:t>(a)</w:t>
                    </w:r>
                  </w:p>
                </w:txbxContent>
              </v:textbox>
            </v:shape>
            <v:shape id="_x0000_s1104" o:spid="_x0000_s1104" o:spt="202" type="#_x0000_t202" style="position:absolute;left:4149;top:2308;height:240;width:567;" filled="f" stroked="f" coordsize="21600,21600">
              <v:path/>
              <v:fill on="f" focussize="0,0"/>
              <v:stroke on="f"/>
              <v:imagedata o:title=""/>
              <o:lock v:ext="edit" aspectratio="f"/>
              <v:textbox inset="0mm,0mm,0mm,0mm">
                <w:txbxContent>
                  <w:p w14:paraId="20F15701">
                    <w:pPr>
                      <w:spacing w:before="20" w:line="219" w:lineRule="auto"/>
                      <w:jc w:val="right"/>
                      <w:rPr>
                        <w:rFonts w:ascii="宋体" w:hAnsi="宋体" w:eastAsia="宋体" w:cs="宋体"/>
                        <w:sz w:val="20"/>
                        <w:szCs w:val="20"/>
                      </w:rPr>
                    </w:pPr>
                    <w:r>
                      <w:rPr>
                        <w:rFonts w:ascii="宋体" w:hAnsi="宋体" w:eastAsia="宋体" w:cs="宋体"/>
                        <w:spacing w:val="-19"/>
                        <w:w w:val="95"/>
                        <w:sz w:val="20"/>
                        <w:szCs w:val="20"/>
                      </w:rPr>
                      <w:t>测</w:t>
                    </w:r>
                    <w:r>
                      <w:rPr>
                        <w:rFonts w:ascii="宋体" w:hAnsi="宋体" w:eastAsia="宋体" w:cs="宋体"/>
                        <w:spacing w:val="-18"/>
                        <w:w w:val="95"/>
                        <w:sz w:val="20"/>
                        <w:szCs w:val="20"/>
                      </w:rPr>
                      <w:t>量</w:t>
                    </w:r>
                    <w:r>
                      <w:rPr>
                        <w:rFonts w:ascii="宋体" w:hAnsi="宋体" w:eastAsia="宋体" w:cs="宋体"/>
                        <w:spacing w:val="-8"/>
                        <w:w w:val="95"/>
                        <w:sz w:val="20"/>
                        <w:szCs w:val="20"/>
                      </w:rPr>
                      <w:t>值</w:t>
                    </w:r>
                  </w:p>
                </w:txbxContent>
              </v:textbox>
            </v:shape>
            <v:shape id="_x0000_s1105" o:spid="_x0000_s1105" o:spt="202" type="#_x0000_t202" style="position:absolute;left:3339;top:1907;height:243;width:435;" filled="f" stroked="f" coordsize="21600,21600">
              <v:path/>
              <v:fill on="f" focussize="0,0"/>
              <v:stroke on="f"/>
              <v:imagedata o:title=""/>
              <o:lock v:ext="edit" aspectratio="f"/>
              <v:textbox inset="0mm,0mm,0mm,0mm">
                <w:txbxContent>
                  <w:p w14:paraId="3D5BE7E7">
                    <w:pPr>
                      <w:spacing w:before="20" w:line="222" w:lineRule="auto"/>
                      <w:ind w:left="20"/>
                      <w:rPr>
                        <w:rFonts w:ascii="黑体" w:hAnsi="黑体" w:eastAsia="黑体" w:cs="黑体"/>
                        <w:sz w:val="20"/>
                        <w:szCs w:val="20"/>
                      </w:rPr>
                    </w:pPr>
                    <w:r>
                      <w:rPr>
                        <w:rFonts w:ascii="黑体" w:hAnsi="黑体" w:eastAsia="黑体" w:cs="黑体"/>
                        <w:spacing w:val="-2"/>
                        <w:sz w:val="20"/>
                        <w:szCs w:val="20"/>
                      </w:rPr>
                      <w:t>病人</w:t>
                    </w:r>
                  </w:p>
                </w:txbxContent>
              </v:textbox>
            </v:shape>
            <v:shape id="_x0000_s1106" o:spid="_x0000_s1106" o:spt="202" type="#_x0000_t202" style="position:absolute;left:109;top:2332;height:138;width:105;" filled="f" stroked="f" coordsize="21600,21600">
              <v:path/>
              <v:fill on="f" focussize="0,0"/>
              <v:stroke on="f"/>
              <v:imagedata o:title=""/>
              <o:lock v:ext="edit" aspectratio="f"/>
              <v:textbox inset="0mm,0mm,0mm,0mm">
                <w:txbxContent>
                  <w:p w14:paraId="74F19C3C">
                    <w:pPr>
                      <w:spacing w:before="20" w:line="188" w:lineRule="auto"/>
                      <w:ind w:left="20"/>
                      <w:rPr>
                        <w:rFonts w:ascii="Times New Roman" w:hAnsi="Times New Roman" w:eastAsia="Times New Roman" w:cs="Times New Roman"/>
                        <w:sz w:val="14"/>
                        <w:szCs w:val="14"/>
                      </w:rPr>
                    </w:pPr>
                    <w:r>
                      <w:rPr>
                        <w:rFonts w:ascii="Times New Roman" w:hAnsi="Times New Roman" w:eastAsia="Times New Roman" w:cs="Times New Roman"/>
                        <w:sz w:val="14"/>
                        <w:szCs w:val="14"/>
                      </w:rPr>
                      <w:t>0</w:t>
                    </w:r>
                  </w:p>
                </w:txbxContent>
              </v:textbox>
            </v:shape>
            <w10:wrap type="none"/>
            <w10:anchorlock/>
          </v:group>
        </w:pict>
      </w:r>
    </w:p>
    <w:p w14:paraId="4BA53A58">
      <w:pPr>
        <w:pStyle w:val="2"/>
        <w:spacing w:before="258" w:line="248" w:lineRule="auto"/>
        <w:ind w:left="4879" w:right="3006"/>
        <w:jc w:val="both"/>
        <w:rPr>
          <w:sz w:val="20"/>
          <w:szCs w:val="20"/>
        </w:rPr>
      </w:pPr>
      <w:r>
        <mc:AlternateContent>
          <mc:Choice Requires="wps">
            <w:drawing>
              <wp:anchor distT="0" distB="0" distL="0" distR="0" simplePos="0" relativeHeight="251801600" behindDoc="0" locked="0" layoutInCell="1" allowOverlap="1">
                <wp:simplePos x="0" y="0"/>
                <wp:positionH relativeFrom="column">
                  <wp:posOffset>1295400</wp:posOffset>
                </wp:positionH>
                <wp:positionV relativeFrom="paragraph">
                  <wp:posOffset>233045</wp:posOffset>
                </wp:positionV>
                <wp:extent cx="330835" cy="270510"/>
                <wp:effectExtent l="0" t="0" r="0" b="0"/>
                <wp:wrapNone/>
                <wp:docPr id="474" name="TextBox 474"/>
                <wp:cNvGraphicFramePr/>
                <a:graphic xmlns:a="http://schemas.openxmlformats.org/drawingml/2006/main">
                  <a:graphicData uri="http://schemas.microsoft.com/office/word/2010/wordprocessingShape">
                    <wps:wsp>
                      <wps:cNvSpPr txBox="1"/>
                      <wps:spPr>
                        <a:xfrm rot="16200000">
                          <a:off x="1295898" y="233490"/>
                          <a:ext cx="330834" cy="270509"/>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3582D9C4">
                            <w:pPr>
                              <w:spacing w:before="73" w:line="219" w:lineRule="auto"/>
                              <w:jc w:val="right"/>
                              <w:rPr>
                                <w:rFonts w:ascii="宋体" w:hAnsi="宋体" w:eastAsia="宋体" w:cs="宋体"/>
                                <w:sz w:val="28"/>
                                <w:szCs w:val="28"/>
                              </w:rPr>
                            </w:pPr>
                            <w:r>
                              <w:rPr>
                                <w:rFonts w:ascii="宋体" w:hAnsi="宋体" w:eastAsia="宋体" w:cs="宋体"/>
                                <w:spacing w:val="-29"/>
                                <w:w w:val="93"/>
                                <w:sz w:val="28"/>
                                <w:szCs w:val="28"/>
                              </w:rPr>
                              <w:t>频</w:t>
                            </w:r>
                            <w:r>
                              <w:rPr>
                                <w:rFonts w:ascii="宋体" w:hAnsi="宋体" w:eastAsia="宋体" w:cs="宋体"/>
                                <w:spacing w:val="-13"/>
                                <w:w w:val="93"/>
                                <w:sz w:val="28"/>
                                <w:szCs w:val="28"/>
                              </w:rPr>
                              <w:t>数</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474" o:spid="_x0000_s1026" o:spt="202" type="#_x0000_t202" style="position:absolute;left:0pt;margin-left:102pt;margin-top:18.35pt;height:21.3pt;width:26.05pt;rotation:-5898240f;z-index:251801600;mso-width-relative:page;mso-height-relative:page;" filled="f" stroked="f" coordsize="21600,21600" o:gfxdata="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EmneVzYAAAACQEAAA8A&#10;AAAAAAAAAQAgAAAAIgAAAGRycy9kb3ducmV2LnhtbFBLAQIUABQAAAAIAIdO4kA07MahUAIAAKQE&#10;AAAOAAAAAAAAAAEAIAAAACcBAABkcnMvZTJvRG9jLnhtbFBLBQYAAAAABgAGAFkBAADpBQAAAAA=&#10;">
                <v:fill on="f" focussize="0,0"/>
                <v:stroke on="f" weight="0pt" miterlimit="0" joinstyle="miter"/>
                <v:imagedata o:title=""/>
                <o:lock v:ext="edit" aspectratio="f"/>
                <v:textbox inset="0mm,0mm,0mm,0mm">
                  <w:txbxContent>
                    <w:p w14:paraId="3582D9C4">
                      <w:pPr>
                        <w:spacing w:before="73" w:line="219" w:lineRule="auto"/>
                        <w:jc w:val="right"/>
                        <w:rPr>
                          <w:rFonts w:ascii="宋体" w:hAnsi="宋体" w:eastAsia="宋体" w:cs="宋体"/>
                          <w:sz w:val="28"/>
                          <w:szCs w:val="28"/>
                        </w:rPr>
                      </w:pPr>
                      <w:r>
                        <w:rPr>
                          <w:rFonts w:ascii="宋体" w:hAnsi="宋体" w:eastAsia="宋体" w:cs="宋体"/>
                          <w:spacing w:val="-29"/>
                          <w:w w:val="93"/>
                          <w:sz w:val="28"/>
                          <w:szCs w:val="28"/>
                        </w:rPr>
                        <w:t>频</w:t>
                      </w:r>
                      <w:r>
                        <w:rPr>
                          <w:rFonts w:ascii="宋体" w:hAnsi="宋体" w:eastAsia="宋体" w:cs="宋体"/>
                          <w:spacing w:val="-13"/>
                          <w:w w:val="93"/>
                          <w:sz w:val="28"/>
                          <w:szCs w:val="28"/>
                        </w:rPr>
                        <w:t>数</w:t>
                      </w:r>
                    </w:p>
                  </w:txbxContent>
                </v:textbox>
              </v:shape>
            </w:pict>
          </mc:Fallback>
        </mc:AlternateContent>
      </w:r>
      <w:r>
        <w:rPr>
          <w:rFonts w:ascii="宋体" w:hAnsi="宋体" w:eastAsia="宋体" w:cs="宋体"/>
          <w:spacing w:val="-7"/>
          <w:sz w:val="20"/>
          <w:szCs w:val="20"/>
        </w:rPr>
        <w:t>——全人群分布曲线</w:t>
      </w:r>
      <w:r>
        <w:rPr>
          <w:rFonts w:ascii="宋体" w:hAnsi="宋体" w:eastAsia="宋体" w:cs="宋体"/>
          <w:spacing w:val="5"/>
          <w:sz w:val="20"/>
          <w:szCs w:val="20"/>
        </w:rPr>
        <w:t xml:space="preserve"> </w:t>
      </w:r>
      <w:r>
        <w:rPr>
          <w:rFonts w:ascii="宋体" w:hAnsi="宋体" w:eastAsia="宋体" w:cs="宋体"/>
          <w:spacing w:val="6"/>
          <w:sz w:val="14"/>
          <w:szCs w:val="14"/>
        </w:rPr>
        <w:t xml:space="preserve">……………非病人分布曲线 </w:t>
      </w:r>
      <w:r>
        <w:rPr>
          <w:rFonts w:ascii="宋体" w:hAnsi="宋体" w:eastAsia="宋体" w:cs="宋体"/>
          <w:spacing w:val="-9"/>
          <w:sz w:val="20"/>
          <w:szCs w:val="20"/>
        </w:rPr>
        <w:t>-----病人分布</w:t>
      </w:r>
      <w:r>
        <w:rPr>
          <w:spacing w:val="-9"/>
          <w:sz w:val="20"/>
          <w:szCs w:val="20"/>
        </w:rPr>
        <w:t>曲线</w:t>
      </w:r>
    </w:p>
    <w:p w14:paraId="32AEC540">
      <w:pPr>
        <w:spacing w:line="253" w:lineRule="auto"/>
        <w:rPr>
          <w:rFonts w:ascii="Arial"/>
          <w:sz w:val="21"/>
        </w:rPr>
      </w:pPr>
    </w:p>
    <w:p w14:paraId="7D8F6939">
      <w:pPr>
        <w:spacing w:line="254" w:lineRule="auto"/>
        <w:rPr>
          <w:rFonts w:ascii="Arial"/>
          <w:sz w:val="21"/>
        </w:rPr>
      </w:pPr>
    </w:p>
    <w:p w14:paraId="61542EA4">
      <w:pPr>
        <w:spacing w:before="65" w:line="185" w:lineRule="auto"/>
        <w:ind w:left="3869"/>
        <w:rPr>
          <w:rFonts w:ascii="宋体" w:hAnsi="宋体" w:eastAsia="宋体" w:cs="宋体"/>
          <w:sz w:val="20"/>
          <w:szCs w:val="20"/>
        </w:rPr>
      </w:pPr>
      <w:r>
        <w:rPr>
          <w:rFonts w:ascii="宋体" w:hAnsi="宋体" w:eastAsia="宋体" w:cs="宋体"/>
          <w:spacing w:val="-3"/>
          <w:position w:val="-2"/>
          <w:sz w:val="20"/>
          <w:szCs w:val="20"/>
        </w:rPr>
        <w:t xml:space="preserve">非病人  </w:t>
      </w:r>
      <w:r>
        <w:rPr>
          <w:rFonts w:ascii="宋体" w:hAnsi="宋体" w:eastAsia="宋体" w:cs="宋体"/>
          <w:spacing w:val="-3"/>
          <w:position w:val="2"/>
          <w:sz w:val="20"/>
          <w:szCs w:val="20"/>
        </w:rPr>
        <w:t>截断值</w:t>
      </w:r>
    </w:p>
    <w:p w14:paraId="251193E4">
      <w:pPr>
        <w:pStyle w:val="2"/>
        <w:spacing w:line="222" w:lineRule="auto"/>
        <w:ind w:left="5739"/>
        <w:rPr>
          <w:sz w:val="20"/>
          <w:szCs w:val="20"/>
        </w:rPr>
      </w:pPr>
      <w:r>
        <w:rPr>
          <w:spacing w:val="-8"/>
          <w:sz w:val="20"/>
          <w:szCs w:val="20"/>
        </w:rPr>
        <w:t>病人</w:t>
      </w:r>
    </w:p>
    <w:p w14:paraId="69306A61">
      <w:pPr>
        <w:spacing w:line="244" w:lineRule="auto"/>
        <w:rPr>
          <w:rFonts w:ascii="Arial"/>
          <w:sz w:val="21"/>
        </w:rPr>
      </w:pPr>
    </w:p>
    <w:p w14:paraId="470D06B3">
      <w:pPr>
        <w:spacing w:line="244" w:lineRule="auto"/>
        <w:rPr>
          <w:rFonts w:ascii="Arial"/>
          <w:sz w:val="21"/>
        </w:rPr>
      </w:pPr>
    </w:p>
    <w:p w14:paraId="6F2D038A">
      <w:pPr>
        <w:spacing w:before="65" w:line="170" w:lineRule="auto"/>
        <w:ind w:left="4710"/>
        <w:rPr>
          <w:rFonts w:ascii="宋体" w:hAnsi="宋体" w:eastAsia="宋体" w:cs="宋体"/>
          <w:sz w:val="20"/>
          <w:szCs w:val="20"/>
        </w:rPr>
      </w:pPr>
      <w:r>
        <w:pict>
          <v:shape id="_x0000_s1107" o:spid="_x0000_s1107" o:spt="202" type="#_x0000_t202" style="position:absolute;left:0pt;margin-left:112.95pt;margin-top:4.1pt;height:8.35pt;width:5.25pt;z-index:251802624;mso-width-relative:page;mso-height-relative:page;" filled="f" stroked="f" coordsize="21600,21600">
            <v:path/>
            <v:fill on="f" focussize="0,0"/>
            <v:stroke on="f"/>
            <v:imagedata o:title=""/>
            <o:lock v:ext="edit" aspectratio="f"/>
            <v:textbox inset="0mm,0mm,0mm,0mm">
              <w:txbxContent>
                <w:p w14:paraId="702F6E80">
                  <w:pPr>
                    <w:spacing w:before="20" w:line="188" w:lineRule="auto"/>
                    <w:ind w:left="20"/>
                    <w:rPr>
                      <w:rFonts w:ascii="Times New Roman" w:hAnsi="Times New Roman" w:eastAsia="Times New Roman" w:cs="Times New Roman"/>
                      <w:sz w:val="14"/>
                      <w:szCs w:val="14"/>
                    </w:rPr>
                  </w:pPr>
                  <w:r>
                    <w:rPr>
                      <w:rFonts w:ascii="Times New Roman" w:hAnsi="Times New Roman" w:eastAsia="Times New Roman" w:cs="Times New Roman"/>
                      <w:sz w:val="14"/>
                      <w:szCs w:val="14"/>
                    </w:rPr>
                    <w:t>0</w:t>
                  </w:r>
                </w:p>
              </w:txbxContent>
            </v:textbox>
          </v:shape>
        </w:pict>
      </w:r>
      <w:r>
        <w:rPr>
          <w:rFonts w:ascii="Times New Roman" w:hAnsi="Times New Roman" w:eastAsia="Times New Roman" w:cs="Times New Roman"/>
          <w:spacing w:val="-11"/>
          <w:position w:val="3"/>
          <w:sz w:val="20"/>
          <w:szCs w:val="20"/>
        </w:rPr>
        <w:t>H</w:t>
      </w:r>
      <w:r>
        <w:rPr>
          <w:rFonts w:ascii="Times New Roman" w:hAnsi="Times New Roman" w:eastAsia="Times New Roman" w:cs="Times New Roman"/>
          <w:spacing w:val="2"/>
          <w:position w:val="3"/>
          <w:sz w:val="20"/>
          <w:szCs w:val="20"/>
        </w:rPr>
        <w:t xml:space="preserve">                </w:t>
      </w:r>
      <w:r>
        <w:rPr>
          <w:rFonts w:ascii="Times New Roman" w:hAnsi="Times New Roman" w:eastAsia="Times New Roman" w:cs="Times New Roman"/>
          <w:spacing w:val="-11"/>
          <w:position w:val="2"/>
          <w:sz w:val="20"/>
          <w:szCs w:val="20"/>
        </w:rPr>
        <w:t>X</w:t>
      </w:r>
      <w:r>
        <w:rPr>
          <w:rFonts w:ascii="Times New Roman" w:hAnsi="Times New Roman" w:eastAsia="Times New Roman" w:cs="Times New Roman"/>
          <w:spacing w:val="4"/>
          <w:position w:val="2"/>
          <w:sz w:val="20"/>
          <w:szCs w:val="20"/>
        </w:rPr>
        <w:t xml:space="preserve">         </w:t>
      </w:r>
      <w:r>
        <w:rPr>
          <w:rFonts w:ascii="宋体" w:hAnsi="宋体" w:eastAsia="宋体" w:cs="宋体"/>
          <w:spacing w:val="-11"/>
          <w:position w:val="-1"/>
          <w:sz w:val="20"/>
          <w:szCs w:val="20"/>
        </w:rPr>
        <w:t>测量值</w:t>
      </w:r>
    </w:p>
    <w:p w14:paraId="19F9F641">
      <w:pPr>
        <w:spacing w:before="1" w:line="188" w:lineRule="auto"/>
        <w:ind w:left="4450"/>
        <w:rPr>
          <w:rFonts w:ascii="Times New Roman" w:hAnsi="Times New Roman" w:eastAsia="Times New Roman" w:cs="Times New Roman"/>
          <w:sz w:val="25"/>
          <w:szCs w:val="25"/>
        </w:rPr>
      </w:pPr>
      <w:r>
        <w:rPr>
          <w:rFonts w:ascii="Times New Roman" w:hAnsi="Times New Roman" w:eastAsia="Times New Roman" w:cs="Times New Roman"/>
          <w:spacing w:val="-3"/>
          <w:sz w:val="25"/>
          <w:szCs w:val="25"/>
        </w:rPr>
        <w:t>(b)</w:t>
      </w:r>
    </w:p>
    <w:p w14:paraId="3C19A566">
      <w:pPr>
        <w:spacing w:before="189" w:line="3292" w:lineRule="exact"/>
        <w:ind w:firstLine="2149"/>
      </w:pPr>
      <w:r>
        <mc:AlternateContent>
          <mc:Choice Requires="wps">
            <w:drawing>
              <wp:anchor distT="0" distB="0" distL="0" distR="0" simplePos="0" relativeHeight="251805696" behindDoc="0" locked="0" layoutInCell="1" allowOverlap="1">
                <wp:simplePos x="0" y="0"/>
                <wp:positionH relativeFrom="column">
                  <wp:posOffset>1311910</wp:posOffset>
                </wp:positionH>
                <wp:positionV relativeFrom="paragraph">
                  <wp:posOffset>661035</wp:posOffset>
                </wp:positionV>
                <wp:extent cx="311150" cy="270510"/>
                <wp:effectExtent l="0" t="0" r="0" b="0"/>
                <wp:wrapNone/>
                <wp:docPr id="476" name="TextBox 476"/>
                <wp:cNvGraphicFramePr/>
                <a:graphic xmlns:a="http://schemas.openxmlformats.org/drawingml/2006/main">
                  <a:graphicData uri="http://schemas.microsoft.com/office/word/2010/wordprocessingShape">
                    <wps:wsp>
                      <wps:cNvSpPr txBox="1"/>
                      <wps:spPr>
                        <a:xfrm rot="16200000">
                          <a:off x="1311965" y="661438"/>
                          <a:ext cx="311150" cy="270509"/>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61B19C6B">
                            <w:pPr>
                              <w:spacing w:before="73" w:line="219" w:lineRule="auto"/>
                              <w:jc w:val="right"/>
                              <w:rPr>
                                <w:rFonts w:ascii="宋体" w:hAnsi="宋体" w:eastAsia="宋体" w:cs="宋体"/>
                                <w:sz w:val="28"/>
                                <w:szCs w:val="28"/>
                              </w:rPr>
                            </w:pPr>
                            <w:r>
                              <w:rPr>
                                <w:rFonts w:ascii="宋体" w:hAnsi="宋体" w:eastAsia="宋体" w:cs="宋体"/>
                                <w:spacing w:val="-27"/>
                                <w:w w:val="87"/>
                                <w:sz w:val="28"/>
                                <w:szCs w:val="28"/>
                              </w:rPr>
                              <w:t>频</w:t>
                            </w:r>
                            <w:r>
                              <w:rPr>
                                <w:rFonts w:ascii="宋体" w:hAnsi="宋体" w:eastAsia="宋体" w:cs="宋体"/>
                                <w:spacing w:val="-13"/>
                                <w:w w:val="87"/>
                                <w:sz w:val="28"/>
                                <w:szCs w:val="28"/>
                              </w:rPr>
                              <w:t>数</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476" o:spid="_x0000_s1026" o:spt="202" type="#_x0000_t202" style="position:absolute;left:0pt;margin-left:103.3pt;margin-top:52.05pt;height:21.3pt;width:24.5pt;rotation:-5898240f;z-index:251805696;mso-width-relative:page;mso-height-relative:page;" filled="f" stroked="f" coordsize="21600,21600" o:gfxdata="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DxNZmTYAAAACwEAAA8A&#10;AAAAAAAAAQAgAAAAIgAAAGRycy9kb3ducmV2LnhtbFBLAQIUABQAAAAIAIdO4kARqlScUAIAAKQE&#10;AAAOAAAAAAAAAAEAIAAAACcBAABkcnMvZTJvRG9jLnhtbFBLBQYAAAAABgAGAFkBAADpBQAAAAA=&#10;">
                <v:fill on="f" focussize="0,0"/>
                <v:stroke on="f" weight="0pt" miterlimit="0" joinstyle="miter"/>
                <v:imagedata o:title=""/>
                <o:lock v:ext="edit" aspectratio="f"/>
                <v:textbox inset="0mm,0mm,0mm,0mm">
                  <w:txbxContent>
                    <w:p w14:paraId="61B19C6B">
                      <w:pPr>
                        <w:spacing w:before="73" w:line="219" w:lineRule="auto"/>
                        <w:jc w:val="right"/>
                        <w:rPr>
                          <w:rFonts w:ascii="宋体" w:hAnsi="宋体" w:eastAsia="宋体" w:cs="宋体"/>
                          <w:sz w:val="28"/>
                          <w:szCs w:val="28"/>
                        </w:rPr>
                      </w:pPr>
                      <w:r>
                        <w:rPr>
                          <w:rFonts w:ascii="宋体" w:hAnsi="宋体" w:eastAsia="宋体" w:cs="宋体"/>
                          <w:spacing w:val="-27"/>
                          <w:w w:val="87"/>
                          <w:sz w:val="28"/>
                          <w:szCs w:val="28"/>
                        </w:rPr>
                        <w:t>频</w:t>
                      </w:r>
                      <w:r>
                        <w:rPr>
                          <w:rFonts w:ascii="宋体" w:hAnsi="宋体" w:eastAsia="宋体" w:cs="宋体"/>
                          <w:spacing w:val="-13"/>
                          <w:w w:val="87"/>
                          <w:sz w:val="28"/>
                          <w:szCs w:val="28"/>
                        </w:rPr>
                        <w:t>数</w:t>
                      </w:r>
                    </w:p>
                  </w:txbxContent>
                </v:textbox>
              </v:shape>
            </w:pict>
          </mc:Fallback>
        </mc:AlternateContent>
      </w:r>
      <w:r>
        <w:pict>
          <v:shape id="_x0000_s1108" o:spid="_x0000_s1108" o:spt="202" type="#_x0000_t202" style="position:absolute;left:0pt;margin-left:112.95pt;margin-top:163.25pt;height:10.9pt;width:111.1pt;z-index:251804672;mso-width-relative:page;mso-height-relative:page;" filled="f" stroked="f" coordsize="21600,21600">
            <v:path/>
            <v:fill on="f" focussize="0,0"/>
            <v:stroke on="f"/>
            <v:imagedata o:title=""/>
            <o:lock v:ext="edit" aspectratio="f"/>
            <v:textbox inset="0mm,0mm,0mm,0mm">
              <w:txbxContent>
                <w:p w14:paraId="0A7335F1">
                  <w:pPr>
                    <w:spacing w:before="20" w:line="185" w:lineRule="auto"/>
                    <w:ind w:left="20"/>
                    <w:rPr>
                      <w:rFonts w:ascii="Times New Roman" w:hAnsi="Times New Roman" w:eastAsia="Times New Roman" w:cs="Times New Roman"/>
                      <w:sz w:val="20"/>
                      <w:szCs w:val="20"/>
                    </w:rPr>
                  </w:pPr>
                  <w:r>
                    <w:rPr>
                      <w:rFonts w:ascii="Times New Roman" w:hAnsi="Times New Roman" w:eastAsia="Times New Roman" w:cs="Times New Roman"/>
                      <w:spacing w:val="-3"/>
                      <w:position w:val="1"/>
                      <w:sz w:val="14"/>
                      <w:szCs w:val="14"/>
                    </w:rPr>
                    <w:t>0</w:t>
                  </w:r>
                  <w:r>
                    <w:rPr>
                      <w:rFonts w:ascii="Times New Roman" w:hAnsi="Times New Roman" w:eastAsia="Times New Roman" w:cs="Times New Roman"/>
                      <w:position w:val="1"/>
                      <w:sz w:val="14"/>
                      <w:szCs w:val="14"/>
                    </w:rPr>
                    <w:t xml:space="preserve">                                                        </w:t>
                  </w:r>
                  <w:r>
                    <w:rPr>
                      <w:rFonts w:ascii="Times New Roman" w:hAnsi="Times New Roman" w:eastAsia="Times New Roman" w:cs="Times New Roman"/>
                      <w:spacing w:val="-3"/>
                      <w:sz w:val="20"/>
                      <w:szCs w:val="20"/>
                    </w:rPr>
                    <w:t>H</w:t>
                  </w:r>
                </w:p>
              </w:txbxContent>
            </v:textbox>
          </v:shape>
        </w:pict>
      </w:r>
      <w:r>
        <w:pict>
          <v:shape id="_x0000_s1109" o:spid="_x0000_s1109" o:spt="202" type="#_x0000_t202" style="position:absolute;left:0pt;margin-left:267.95pt;margin-top:163.25pt;height:14.05pt;width:75.35pt;z-index:251803648;mso-width-relative:page;mso-height-relative:page;" filled="f" stroked="f" coordsize="21600,21600">
            <v:path/>
            <v:fill on="f" focussize="0,0"/>
            <v:stroke on="f"/>
            <v:imagedata o:title=""/>
            <o:lock v:ext="edit" aspectratio="f"/>
            <v:textbox inset="0mm,0mm,0mm,0mm">
              <w:txbxContent>
                <w:p w14:paraId="5095B75A">
                  <w:pPr>
                    <w:spacing w:before="19" w:line="208" w:lineRule="auto"/>
                    <w:jc w:val="right"/>
                    <w:rPr>
                      <w:rFonts w:ascii="宋体" w:hAnsi="宋体" w:eastAsia="宋体" w:cs="宋体"/>
                      <w:sz w:val="20"/>
                      <w:szCs w:val="20"/>
                    </w:rPr>
                  </w:pPr>
                  <w:r>
                    <w:rPr>
                      <w:rFonts w:ascii="Times New Roman" w:hAnsi="Times New Roman" w:eastAsia="Times New Roman" w:cs="Times New Roman"/>
                      <w:spacing w:val="-14"/>
                      <w:w w:val="96"/>
                      <w:position w:val="3"/>
                      <w:sz w:val="20"/>
                      <w:szCs w:val="20"/>
                    </w:rPr>
                    <w:t>X</w:t>
                  </w:r>
                  <w:r>
                    <w:rPr>
                      <w:rFonts w:ascii="Times New Roman" w:hAnsi="Times New Roman" w:eastAsia="Times New Roman" w:cs="Times New Roman"/>
                      <w:spacing w:val="3"/>
                      <w:position w:val="3"/>
                      <w:sz w:val="20"/>
                      <w:szCs w:val="20"/>
                    </w:rPr>
                    <w:t xml:space="preserve">               </w:t>
                  </w:r>
                  <w:r>
                    <w:rPr>
                      <w:rFonts w:ascii="宋体" w:hAnsi="宋体" w:eastAsia="宋体" w:cs="宋体"/>
                      <w:spacing w:val="-13"/>
                      <w:w w:val="96"/>
                      <w:sz w:val="20"/>
                      <w:szCs w:val="20"/>
                    </w:rPr>
                    <w:t>测量</w:t>
                  </w:r>
                  <w:r>
                    <w:rPr>
                      <w:rFonts w:ascii="宋体" w:hAnsi="宋体" w:eastAsia="宋体" w:cs="宋体"/>
                      <w:spacing w:val="-8"/>
                      <w:w w:val="96"/>
                      <w:sz w:val="20"/>
                      <w:szCs w:val="20"/>
                    </w:rPr>
                    <w:t>值</w:t>
                  </w:r>
                </w:p>
              </w:txbxContent>
            </v:textbox>
          </v:shape>
        </w:pict>
      </w:r>
      <w:r>
        <w:rPr>
          <w:position w:val="-66"/>
        </w:rPr>
        <w:pict>
          <v:group id="_x0000_s1110" o:spid="_x0000_s1110" o:spt="203" style="height:165pt;width:236.55pt;" coordsize="4731,3300">
            <o:lock v:ext="edit"/>
            <v:shape id="_x0000_s1111" o:spid="_x0000_s1111" o:spt="75" type="#_x0000_t75" style="position:absolute;left:0;top:0;height:3300;width:4731;" filled="f" stroked="f" coordsize="21600,21600">
              <v:path/>
              <v:fill on="f" focussize="0,0"/>
              <v:stroke on="f"/>
              <v:imagedata r:id="rId588" o:title=""/>
              <o:lock v:ext="edit" aspectratio="t"/>
            </v:shape>
            <v:shape id="_x0000_s1112" o:spid="_x0000_s1112" o:spt="202" type="#_x0000_t202" style="position:absolute;left:1469;top:205;height:2613;width:2293;" filled="f" stroked="f" coordsize="21600,21600">
              <v:path/>
              <v:fill on="f" focussize="0,0"/>
              <v:stroke on="f"/>
              <v:imagedata o:title=""/>
              <o:lock v:ext="edit" aspectratio="f"/>
              <v:textbox inset="0mm,0mm,0mm,0mm">
                <w:txbxContent>
                  <w:p w14:paraId="4876169A">
                    <w:pPr>
                      <w:spacing w:before="19" w:line="181" w:lineRule="auto"/>
                      <w:ind w:left="1589" w:right="20"/>
                      <w:rPr>
                        <w:rFonts w:ascii="Times New Roman" w:hAnsi="Times New Roman" w:eastAsia="Times New Roman" w:cs="Times New Roman"/>
                        <w:sz w:val="20"/>
                        <w:szCs w:val="20"/>
                      </w:rPr>
                    </w:pPr>
                    <w:r>
                      <w:rPr>
                        <w:rFonts w:ascii="宋体" w:hAnsi="宋体" w:eastAsia="宋体" w:cs="宋体"/>
                        <w:spacing w:val="18"/>
                        <w:sz w:val="14"/>
                        <w:szCs w:val="14"/>
                      </w:rPr>
                      <w:t>灵敏度↓</w:t>
                    </w:r>
                    <w:r>
                      <w:rPr>
                        <w:rFonts w:ascii="宋体" w:hAnsi="宋体" w:eastAsia="宋体" w:cs="宋体"/>
                        <w:sz w:val="14"/>
                        <w:szCs w:val="14"/>
                      </w:rPr>
                      <w:t xml:space="preserve">  </w:t>
                    </w:r>
                    <w:r>
                      <w:rPr>
                        <w:rFonts w:ascii="宋体" w:hAnsi="宋体" w:eastAsia="宋体" w:cs="宋体"/>
                        <w:spacing w:val="-3"/>
                        <w:sz w:val="20"/>
                        <w:szCs w:val="20"/>
                      </w:rPr>
                      <w:t>特异度</w:t>
                    </w:r>
                    <w:r>
                      <w:rPr>
                        <w:rFonts w:ascii="宋体" w:hAnsi="宋体" w:eastAsia="宋体" w:cs="宋体"/>
                        <w:sz w:val="20"/>
                        <w:szCs w:val="20"/>
                      </w:rPr>
                      <w:t xml:space="preserve">  </w:t>
                    </w:r>
                    <w:r>
                      <w:rPr>
                        <w:rFonts w:ascii="Times New Roman" w:hAnsi="Times New Roman" w:eastAsia="Times New Roman" w:cs="Times New Roman"/>
                        <w:spacing w:val="-7"/>
                        <w:sz w:val="20"/>
                        <w:szCs w:val="20"/>
                      </w:rPr>
                      <w:t>Pr+t/Pr-↓</w:t>
                    </w:r>
                  </w:p>
                  <w:p w14:paraId="107836C9">
                    <w:pPr>
                      <w:spacing w:line="283" w:lineRule="auto"/>
                      <w:rPr>
                        <w:rFonts w:ascii="Arial"/>
                        <w:sz w:val="21"/>
                      </w:rPr>
                    </w:pPr>
                  </w:p>
                  <w:p w14:paraId="0AB480B3">
                    <w:pPr>
                      <w:spacing w:line="283" w:lineRule="auto"/>
                      <w:rPr>
                        <w:rFonts w:ascii="Arial"/>
                        <w:sz w:val="21"/>
                      </w:rPr>
                    </w:pPr>
                  </w:p>
                  <w:p w14:paraId="6C4D2333">
                    <w:pPr>
                      <w:spacing w:line="284" w:lineRule="auto"/>
                      <w:rPr>
                        <w:rFonts w:ascii="Arial"/>
                        <w:sz w:val="21"/>
                      </w:rPr>
                    </w:pPr>
                  </w:p>
                  <w:p w14:paraId="10FFB079">
                    <w:pPr>
                      <w:spacing w:line="284" w:lineRule="auto"/>
                      <w:rPr>
                        <w:rFonts w:ascii="Arial"/>
                        <w:sz w:val="21"/>
                      </w:rPr>
                    </w:pPr>
                  </w:p>
                  <w:p w14:paraId="6F098D22">
                    <w:pPr>
                      <w:spacing w:before="65" w:line="219" w:lineRule="auto"/>
                      <w:ind w:left="1019"/>
                      <w:rPr>
                        <w:rFonts w:ascii="宋体" w:hAnsi="宋体" w:eastAsia="宋体" w:cs="宋体"/>
                        <w:sz w:val="20"/>
                        <w:szCs w:val="20"/>
                      </w:rPr>
                    </w:pPr>
                    <w:r>
                      <w:rPr>
                        <w:rFonts w:ascii="宋体" w:hAnsi="宋体" w:eastAsia="宋体" w:cs="宋体"/>
                        <w:spacing w:val="-14"/>
                        <w:w w:val="98"/>
                        <w:sz w:val="20"/>
                        <w:szCs w:val="20"/>
                      </w:rPr>
                      <w:t>截断值</w:t>
                    </w:r>
                  </w:p>
                  <w:p w14:paraId="033F6F13">
                    <w:pPr>
                      <w:spacing w:before="173" w:line="220" w:lineRule="auto"/>
                      <w:ind w:left="20"/>
                      <w:rPr>
                        <w:rFonts w:ascii="宋体" w:hAnsi="宋体" w:eastAsia="宋体" w:cs="宋体"/>
                        <w:sz w:val="20"/>
                        <w:szCs w:val="20"/>
                      </w:rPr>
                    </w:pPr>
                    <w:r>
                      <w:rPr>
                        <w:rFonts w:ascii="宋体" w:hAnsi="宋体" w:eastAsia="宋体" w:cs="宋体"/>
                        <w:spacing w:val="-12"/>
                        <w:sz w:val="20"/>
                        <w:szCs w:val="20"/>
                      </w:rPr>
                      <w:t>非病人</w:t>
                    </w:r>
                  </w:p>
                  <w:p w14:paraId="241167B0">
                    <w:pPr>
                      <w:spacing w:before="12" w:line="221" w:lineRule="auto"/>
                      <w:ind w:left="1589"/>
                      <w:rPr>
                        <w:rFonts w:ascii="宋体" w:hAnsi="宋体" w:eastAsia="宋体" w:cs="宋体"/>
                        <w:sz w:val="20"/>
                        <w:szCs w:val="20"/>
                      </w:rPr>
                    </w:pPr>
                    <w:r>
                      <w:rPr>
                        <w:rFonts w:ascii="宋体" w:hAnsi="宋体" w:eastAsia="宋体" w:cs="宋体"/>
                        <w:spacing w:val="-2"/>
                        <w:sz w:val="20"/>
                        <w:szCs w:val="20"/>
                      </w:rPr>
                      <w:t>病人</w:t>
                    </w:r>
                  </w:p>
                </w:txbxContent>
              </v:textbox>
            </v:shape>
            <v:shape id="_x0000_s1113" o:spid="_x0000_s1113" o:spt="202" type="#_x0000_t202" style="position:absolute;left:1769;top:147;height:602;width:726;" filled="f" stroked="f" coordsize="21600,21600">
              <v:path/>
              <v:fill on="f" focussize="0,0"/>
              <v:stroke on="f"/>
              <v:imagedata o:title=""/>
              <o:lock v:ext="edit" aspectratio="f"/>
              <v:textbox inset="0mm,0mm,0mm,0mm">
                <w:txbxContent>
                  <w:p w14:paraId="700D1443">
                    <w:pPr>
                      <w:spacing w:before="20" w:line="201" w:lineRule="auto"/>
                      <w:ind w:left="20" w:right="20"/>
                      <w:rPr>
                        <w:rFonts w:ascii="Times New Roman" w:hAnsi="Times New Roman" w:eastAsia="Times New Roman" w:cs="Times New Roman"/>
                        <w:sz w:val="20"/>
                        <w:szCs w:val="20"/>
                      </w:rPr>
                    </w:pPr>
                    <w:r>
                      <w:rPr>
                        <w:rFonts w:ascii="宋体" w:hAnsi="宋体" w:eastAsia="宋体" w:cs="宋体"/>
                        <w:spacing w:val="-4"/>
                        <w:sz w:val="20"/>
                        <w:szCs w:val="20"/>
                      </w:rPr>
                      <w:t>灵敏度</w:t>
                    </w:r>
                    <w:r>
                      <w:rPr>
                        <w:rFonts w:ascii="宋体" w:hAnsi="宋体" w:eastAsia="宋体" w:cs="宋体"/>
                        <w:sz w:val="20"/>
                        <w:szCs w:val="20"/>
                      </w:rPr>
                      <w:t xml:space="preserve">  </w:t>
                    </w:r>
                    <w:r>
                      <w:rPr>
                        <w:rFonts w:ascii="宋体" w:hAnsi="宋体" w:eastAsia="宋体" w:cs="宋体"/>
                        <w:spacing w:val="-18"/>
                        <w:sz w:val="14"/>
                        <w:szCs w:val="14"/>
                      </w:rPr>
                      <w:t>特</w:t>
                    </w:r>
                    <w:r>
                      <w:rPr>
                        <w:rFonts w:ascii="宋体" w:hAnsi="宋体" w:eastAsia="宋体" w:cs="宋体"/>
                        <w:spacing w:val="-29"/>
                        <w:sz w:val="14"/>
                        <w:szCs w:val="14"/>
                      </w:rPr>
                      <w:t xml:space="preserve"> </w:t>
                    </w:r>
                    <w:r>
                      <w:rPr>
                        <w:rFonts w:ascii="宋体" w:hAnsi="宋体" w:eastAsia="宋体" w:cs="宋体"/>
                        <w:spacing w:val="-18"/>
                        <w:sz w:val="14"/>
                        <w:szCs w:val="14"/>
                      </w:rPr>
                      <w:t>异</w:t>
                    </w:r>
                    <w:r>
                      <w:rPr>
                        <w:rFonts w:ascii="宋体" w:hAnsi="宋体" w:eastAsia="宋体" w:cs="宋体"/>
                        <w:spacing w:val="-32"/>
                        <w:sz w:val="14"/>
                        <w:szCs w:val="14"/>
                      </w:rPr>
                      <w:t xml:space="preserve"> </w:t>
                    </w:r>
                    <w:r>
                      <w:rPr>
                        <w:rFonts w:ascii="宋体" w:hAnsi="宋体" w:eastAsia="宋体" w:cs="宋体"/>
                        <w:spacing w:val="-18"/>
                        <w:sz w:val="14"/>
                        <w:szCs w:val="14"/>
                      </w:rPr>
                      <w:t>度</w:t>
                    </w:r>
                    <w:r>
                      <w:rPr>
                        <w:rFonts w:ascii="宋体" w:hAnsi="宋体" w:eastAsia="宋体" w:cs="宋体"/>
                        <w:spacing w:val="15"/>
                        <w:sz w:val="14"/>
                        <w:szCs w:val="14"/>
                      </w:rPr>
                      <w:t xml:space="preserve"> </w:t>
                    </w:r>
                    <w:r>
                      <w:rPr>
                        <w:rFonts w:ascii="宋体" w:hAnsi="宋体" w:eastAsia="宋体" w:cs="宋体"/>
                        <w:spacing w:val="-18"/>
                        <w:sz w:val="14"/>
                        <w:szCs w:val="14"/>
                      </w:rPr>
                      <w:t>↓</w:t>
                    </w:r>
                    <w:r>
                      <w:rPr>
                        <w:rFonts w:ascii="宋体" w:hAnsi="宋体" w:eastAsia="宋体" w:cs="宋体"/>
                        <w:sz w:val="14"/>
                        <w:szCs w:val="14"/>
                      </w:rPr>
                      <w:t xml:space="preserve"> </w:t>
                    </w:r>
                    <w:r>
                      <w:rPr>
                        <w:rFonts w:ascii="Times New Roman" w:hAnsi="Times New Roman" w:eastAsia="Times New Roman" w:cs="Times New Roman"/>
                        <w:spacing w:val="-1"/>
                        <w:sz w:val="20"/>
                        <w:szCs w:val="20"/>
                      </w:rPr>
                      <w:t>Pr+/Pr-↑</w:t>
                    </w:r>
                  </w:p>
                </w:txbxContent>
              </v:textbox>
            </v:shape>
            <w10:wrap type="none"/>
            <w10:anchorlock/>
          </v:group>
        </w:pict>
      </w:r>
    </w:p>
    <w:p w14:paraId="4DC2BCA0">
      <w:pPr>
        <w:spacing w:line="185" w:lineRule="auto"/>
        <w:ind w:left="4450"/>
        <w:rPr>
          <w:rFonts w:ascii="Times New Roman" w:hAnsi="Times New Roman" w:eastAsia="Times New Roman" w:cs="Times New Roman"/>
          <w:sz w:val="28"/>
          <w:szCs w:val="28"/>
        </w:rPr>
      </w:pPr>
      <w:r>
        <w:rPr>
          <w:rFonts w:ascii="Times New Roman" w:hAnsi="Times New Roman" w:eastAsia="Times New Roman" w:cs="Times New Roman"/>
          <w:spacing w:val="-3"/>
          <w:sz w:val="28"/>
          <w:szCs w:val="28"/>
        </w:rPr>
        <w:t>(c)</w:t>
      </w:r>
    </w:p>
    <w:p w14:paraId="3C37DF1B">
      <w:pPr>
        <w:spacing w:before="166" w:line="219" w:lineRule="auto"/>
        <w:ind w:left="2089"/>
        <w:rPr>
          <w:rFonts w:ascii="宋体" w:hAnsi="宋体" w:eastAsia="宋体" w:cs="宋体"/>
          <w:sz w:val="20"/>
          <w:szCs w:val="20"/>
        </w:rPr>
      </w:pPr>
      <w:r>
        <w:rPr>
          <w:rFonts w:ascii="宋体" w:hAnsi="宋体" w:eastAsia="宋体" w:cs="宋体"/>
          <w:spacing w:val="-8"/>
          <w:sz w:val="20"/>
          <w:szCs w:val="20"/>
        </w:rPr>
        <w:t>图7-3</w:t>
      </w:r>
      <w:r>
        <w:rPr>
          <w:rFonts w:ascii="宋体" w:hAnsi="宋体" w:eastAsia="宋体" w:cs="宋体"/>
          <w:spacing w:val="72"/>
          <w:sz w:val="20"/>
          <w:szCs w:val="20"/>
        </w:rPr>
        <w:t xml:space="preserve"> </w:t>
      </w:r>
      <w:r>
        <w:rPr>
          <w:rFonts w:ascii="宋体" w:hAnsi="宋体" w:eastAsia="宋体" w:cs="宋体"/>
          <w:spacing w:val="-8"/>
          <w:sz w:val="20"/>
          <w:szCs w:val="20"/>
        </w:rPr>
        <w:t>病人与非病人测量值分布类型及截断值变化的影响</w:t>
      </w:r>
    </w:p>
    <w:p w14:paraId="38406CA7">
      <w:pPr>
        <w:spacing w:before="64" w:line="219" w:lineRule="auto"/>
        <w:ind w:left="3619"/>
        <w:rPr>
          <w:rFonts w:ascii="宋体" w:hAnsi="宋体" w:eastAsia="宋体" w:cs="宋体"/>
          <w:sz w:val="20"/>
          <w:szCs w:val="20"/>
        </w:rPr>
      </w:pPr>
      <w:r>
        <w:rPr>
          <w:rFonts w:ascii="宋体" w:hAnsi="宋体" w:eastAsia="宋体" w:cs="宋体"/>
          <w:spacing w:val="-14"/>
          <w:sz w:val="20"/>
          <w:szCs w:val="20"/>
        </w:rPr>
        <w:t>(改编自：曾光，2002)</w:t>
      </w:r>
    </w:p>
    <w:p w14:paraId="65AD8C91">
      <w:pPr>
        <w:spacing w:line="344" w:lineRule="auto"/>
        <w:rPr>
          <w:rFonts w:ascii="Arial"/>
          <w:sz w:val="21"/>
        </w:rPr>
      </w:pPr>
    </w:p>
    <w:p w14:paraId="3A4359A6">
      <w:pPr>
        <w:spacing w:before="65" w:line="341" w:lineRule="auto"/>
        <w:ind w:right="635" w:firstLine="429"/>
        <w:jc w:val="both"/>
        <w:rPr>
          <w:rFonts w:ascii="宋体" w:hAnsi="宋体" w:eastAsia="宋体" w:cs="宋体"/>
          <w:sz w:val="20"/>
          <w:szCs w:val="20"/>
        </w:rPr>
      </w:pPr>
      <w:r>
        <w:rPr>
          <w:rFonts w:ascii="宋体" w:hAnsi="宋体" w:eastAsia="宋体" w:cs="宋体"/>
          <w:spacing w:val="9"/>
          <w:sz w:val="20"/>
          <w:szCs w:val="20"/>
        </w:rPr>
        <w:t>第三，一般情况下，筛检试验应综合考虑使灵敏度和特异度达到平衡，此时将临界点定在非病</w:t>
      </w:r>
      <w:r>
        <w:rPr>
          <w:rFonts w:ascii="宋体" w:hAnsi="宋体" w:eastAsia="宋体" w:cs="宋体"/>
          <w:spacing w:val="3"/>
          <w:sz w:val="20"/>
          <w:szCs w:val="20"/>
        </w:rPr>
        <w:t xml:space="preserve"> </w:t>
      </w:r>
      <w:r>
        <w:rPr>
          <w:rFonts w:ascii="宋体" w:hAnsi="宋体" w:eastAsia="宋体" w:cs="宋体"/>
          <w:spacing w:val="-8"/>
          <w:sz w:val="20"/>
          <w:szCs w:val="20"/>
        </w:rPr>
        <w:t>人与病人的分布曲线的交界处。</w:t>
      </w:r>
      <w:r>
        <w:rPr>
          <w:rFonts w:ascii="宋体" w:hAnsi="宋体" w:eastAsia="宋体" w:cs="宋体"/>
          <w:spacing w:val="53"/>
          <w:sz w:val="20"/>
          <w:szCs w:val="20"/>
        </w:rPr>
        <w:t xml:space="preserve"> </w:t>
      </w:r>
      <w:r>
        <w:rPr>
          <w:rFonts w:ascii="宋体" w:hAnsi="宋体" w:eastAsia="宋体" w:cs="宋体"/>
          <w:spacing w:val="-8"/>
          <w:sz w:val="20"/>
          <w:szCs w:val="20"/>
        </w:rPr>
        <w:t>一般采用受试者工作特征曲线(receiver operator characteristic</w:t>
      </w:r>
      <w:r>
        <w:rPr>
          <w:rFonts w:ascii="宋体" w:hAnsi="宋体" w:eastAsia="宋体" w:cs="宋体"/>
          <w:spacing w:val="-9"/>
          <w:sz w:val="20"/>
          <w:szCs w:val="20"/>
        </w:rPr>
        <w:t xml:space="preserve"> curve,</w:t>
      </w:r>
      <w:r>
        <w:rPr>
          <w:rFonts w:ascii="宋体" w:hAnsi="宋体" w:eastAsia="宋体" w:cs="宋体"/>
          <w:sz w:val="20"/>
          <w:szCs w:val="20"/>
        </w:rPr>
        <w:t xml:space="preserve"> </w:t>
      </w:r>
      <w:r>
        <w:rPr>
          <w:rFonts w:ascii="Times New Roman" w:hAnsi="Times New Roman" w:eastAsia="Times New Roman" w:cs="Times New Roman"/>
          <w:sz w:val="20"/>
          <w:szCs w:val="20"/>
        </w:rPr>
        <w:t>ROC</w:t>
      </w:r>
      <w:r>
        <w:rPr>
          <w:rFonts w:ascii="宋体" w:hAnsi="宋体" w:eastAsia="宋体" w:cs="宋体"/>
          <w:spacing w:val="15"/>
          <w:sz w:val="20"/>
          <w:szCs w:val="20"/>
        </w:rPr>
        <w:t>曲线)来决定最佳截断值。</w:t>
      </w:r>
    </w:p>
    <w:p w14:paraId="5F01588A">
      <w:pPr>
        <w:pStyle w:val="2"/>
        <w:spacing w:before="1" w:line="333" w:lineRule="auto"/>
        <w:ind w:right="644" w:firstLine="429"/>
        <w:jc w:val="both"/>
        <w:rPr>
          <w:rFonts w:ascii="宋体" w:hAnsi="宋体" w:eastAsia="宋体" w:cs="宋体"/>
          <w:sz w:val="20"/>
          <w:szCs w:val="20"/>
        </w:rPr>
      </w:pPr>
      <w:r>
        <w:rPr>
          <w:rFonts w:ascii="Times New Roman" w:hAnsi="Times New Roman" w:eastAsia="Times New Roman" w:cs="Times New Roman"/>
          <w:spacing w:val="7"/>
          <w:sz w:val="20"/>
          <w:szCs w:val="20"/>
        </w:rPr>
        <w:t>3.</w:t>
      </w:r>
      <w:r>
        <w:rPr>
          <w:rFonts w:ascii="Times New Roman" w:hAnsi="Times New Roman" w:eastAsia="Times New Roman" w:cs="Times New Roman"/>
          <w:sz w:val="20"/>
          <w:szCs w:val="20"/>
        </w:rPr>
        <w:t>ROC</w:t>
      </w:r>
      <w:r>
        <w:rPr>
          <w:rFonts w:ascii="Times New Roman" w:hAnsi="Times New Roman" w:eastAsia="Times New Roman" w:cs="Times New Roman"/>
          <w:spacing w:val="7"/>
          <w:sz w:val="20"/>
          <w:szCs w:val="20"/>
        </w:rPr>
        <w:t xml:space="preserve">      </w:t>
      </w:r>
      <w:r>
        <w:rPr>
          <w:spacing w:val="7"/>
          <w:sz w:val="20"/>
          <w:szCs w:val="20"/>
        </w:rPr>
        <w:t>曲线基本原理</w:t>
      </w:r>
      <w:r>
        <w:rPr>
          <w:spacing w:val="72"/>
          <w:sz w:val="20"/>
          <w:szCs w:val="20"/>
        </w:rPr>
        <w:t xml:space="preserve"> </w:t>
      </w:r>
      <w:r>
        <w:rPr>
          <w:rFonts w:ascii="宋体" w:hAnsi="宋体" w:eastAsia="宋体" w:cs="宋体"/>
          <w:spacing w:val="7"/>
          <w:sz w:val="20"/>
          <w:szCs w:val="20"/>
        </w:rPr>
        <w:t>将病人和非病人的测量值从小至大排序，每个取值作为截断</w:t>
      </w:r>
      <w:r>
        <w:rPr>
          <w:rFonts w:ascii="宋体" w:hAnsi="宋体" w:eastAsia="宋体" w:cs="宋体"/>
          <w:spacing w:val="6"/>
          <w:sz w:val="20"/>
          <w:szCs w:val="20"/>
        </w:rPr>
        <w:t>值，均对</w:t>
      </w:r>
      <w:r>
        <w:rPr>
          <w:rFonts w:ascii="宋体" w:hAnsi="宋体" w:eastAsia="宋体" w:cs="宋体"/>
          <w:sz w:val="20"/>
          <w:szCs w:val="20"/>
        </w:rPr>
        <w:t xml:space="preserve"> </w:t>
      </w:r>
      <w:r>
        <w:rPr>
          <w:rFonts w:ascii="宋体" w:hAnsi="宋体" w:eastAsia="宋体" w:cs="宋体"/>
          <w:spacing w:val="13"/>
          <w:sz w:val="20"/>
          <w:szCs w:val="20"/>
        </w:rPr>
        <w:t>应一对灵敏度和特异度数值。绘制</w:t>
      </w:r>
      <w:r>
        <w:rPr>
          <w:rFonts w:ascii="Times New Roman" w:hAnsi="Times New Roman" w:eastAsia="Times New Roman" w:cs="Times New Roman"/>
          <w:spacing w:val="13"/>
          <w:sz w:val="20"/>
          <w:szCs w:val="20"/>
        </w:rPr>
        <w:t>X</w:t>
      </w:r>
      <w:r>
        <w:rPr>
          <w:rFonts w:ascii="Times New Roman" w:hAnsi="Times New Roman" w:eastAsia="Times New Roman" w:cs="Times New Roman"/>
          <w:spacing w:val="16"/>
          <w:w w:val="101"/>
          <w:sz w:val="20"/>
          <w:szCs w:val="20"/>
        </w:rPr>
        <w:t xml:space="preserve"> </w:t>
      </w:r>
      <w:r>
        <w:rPr>
          <w:rFonts w:ascii="宋体" w:hAnsi="宋体" w:eastAsia="宋体" w:cs="宋体"/>
          <w:spacing w:val="13"/>
          <w:sz w:val="20"/>
          <w:szCs w:val="20"/>
        </w:rPr>
        <w:t>轴为1</w:t>
      </w:r>
      <w:r>
        <w:rPr>
          <w:rFonts w:ascii="宋体" w:hAnsi="宋体" w:eastAsia="宋体" w:cs="宋体"/>
          <w:spacing w:val="-53"/>
          <w:sz w:val="20"/>
          <w:szCs w:val="20"/>
        </w:rPr>
        <w:t xml:space="preserve"> </w:t>
      </w:r>
      <w:r>
        <w:rPr>
          <w:rFonts w:ascii="宋体" w:hAnsi="宋体" w:eastAsia="宋体" w:cs="宋体"/>
          <w:spacing w:val="13"/>
          <w:sz w:val="20"/>
          <w:szCs w:val="20"/>
        </w:rPr>
        <w:t>-</w:t>
      </w:r>
      <w:r>
        <w:rPr>
          <w:rFonts w:ascii="宋体" w:hAnsi="宋体" w:eastAsia="宋体" w:cs="宋体"/>
          <w:spacing w:val="-51"/>
          <w:sz w:val="20"/>
          <w:szCs w:val="20"/>
        </w:rPr>
        <w:t xml:space="preserve"> </w:t>
      </w:r>
      <w:r>
        <w:rPr>
          <w:rFonts w:ascii="宋体" w:hAnsi="宋体" w:eastAsia="宋体" w:cs="宋体"/>
          <w:spacing w:val="13"/>
          <w:sz w:val="20"/>
          <w:szCs w:val="20"/>
        </w:rPr>
        <w:t>特异度、</w:t>
      </w:r>
      <w:r>
        <w:rPr>
          <w:rFonts w:ascii="Times New Roman" w:hAnsi="Times New Roman" w:eastAsia="Times New Roman" w:cs="Times New Roman"/>
          <w:spacing w:val="13"/>
          <w:sz w:val="20"/>
          <w:szCs w:val="20"/>
        </w:rPr>
        <w:t>Y</w:t>
      </w:r>
      <w:r>
        <w:rPr>
          <w:rFonts w:ascii="宋体" w:hAnsi="宋体" w:eastAsia="宋体" w:cs="宋体"/>
          <w:spacing w:val="13"/>
          <w:sz w:val="20"/>
          <w:szCs w:val="20"/>
        </w:rPr>
        <w:t>轴为灵敏度的坐标</w:t>
      </w:r>
      <w:r>
        <w:rPr>
          <w:rFonts w:ascii="宋体" w:hAnsi="宋体" w:eastAsia="宋体" w:cs="宋体"/>
          <w:spacing w:val="12"/>
          <w:sz w:val="20"/>
          <w:szCs w:val="20"/>
        </w:rPr>
        <w:t>系，每个取值对应的灵</w:t>
      </w:r>
      <w:r>
        <w:rPr>
          <w:rFonts w:ascii="宋体" w:hAnsi="宋体" w:eastAsia="宋体" w:cs="宋体"/>
          <w:sz w:val="20"/>
          <w:szCs w:val="20"/>
        </w:rPr>
        <w:t xml:space="preserve"> </w:t>
      </w:r>
      <w:r>
        <w:rPr>
          <w:rFonts w:ascii="宋体" w:hAnsi="宋体" w:eastAsia="宋体" w:cs="宋体"/>
          <w:spacing w:val="11"/>
          <w:sz w:val="20"/>
          <w:szCs w:val="20"/>
        </w:rPr>
        <w:t>敏度和1-特异度值构成坐标点，多个坐标点相连即</w:t>
      </w:r>
      <w:r>
        <w:rPr>
          <w:rFonts w:ascii="Times New Roman" w:hAnsi="Times New Roman" w:eastAsia="Times New Roman" w:cs="Times New Roman"/>
          <w:sz w:val="20"/>
          <w:szCs w:val="20"/>
        </w:rPr>
        <w:t>ROC</w:t>
      </w:r>
      <w:r>
        <w:rPr>
          <w:rFonts w:ascii="Times New Roman" w:hAnsi="Times New Roman" w:eastAsia="Times New Roman" w:cs="Times New Roman"/>
          <w:spacing w:val="11"/>
          <w:sz w:val="20"/>
          <w:szCs w:val="20"/>
        </w:rPr>
        <w:t xml:space="preserve"> </w:t>
      </w:r>
      <w:r>
        <w:rPr>
          <w:rFonts w:ascii="宋体" w:hAnsi="宋体" w:eastAsia="宋体" w:cs="宋体"/>
          <w:spacing w:val="11"/>
          <w:sz w:val="20"/>
          <w:szCs w:val="20"/>
        </w:rPr>
        <w:t>曲线。</w:t>
      </w:r>
    </w:p>
    <w:p w14:paraId="2DB3059F">
      <w:pPr>
        <w:spacing w:before="2" w:line="342" w:lineRule="auto"/>
        <w:ind w:right="624" w:firstLine="429"/>
        <w:jc w:val="both"/>
        <w:rPr>
          <w:rFonts w:ascii="宋体" w:hAnsi="宋体" w:eastAsia="宋体" w:cs="宋体"/>
          <w:sz w:val="20"/>
          <w:szCs w:val="20"/>
        </w:rPr>
      </w:pPr>
      <w:r>
        <w:rPr>
          <w:rFonts w:ascii="Times New Roman" w:hAnsi="Times New Roman" w:eastAsia="Times New Roman" w:cs="Times New Roman"/>
          <w:sz w:val="20"/>
          <w:szCs w:val="20"/>
        </w:rPr>
        <w:t>ROC</w:t>
      </w:r>
      <w:r>
        <w:rPr>
          <w:rFonts w:ascii="Times New Roman" w:hAnsi="Times New Roman" w:eastAsia="Times New Roman" w:cs="Times New Roman"/>
          <w:spacing w:val="43"/>
          <w:w w:val="101"/>
          <w:sz w:val="20"/>
          <w:szCs w:val="20"/>
        </w:rPr>
        <w:t xml:space="preserve"> </w:t>
      </w:r>
      <w:r>
        <w:rPr>
          <w:rFonts w:ascii="宋体" w:hAnsi="宋体" w:eastAsia="宋体" w:cs="宋体"/>
          <w:spacing w:val="12"/>
          <w:sz w:val="20"/>
          <w:szCs w:val="20"/>
        </w:rPr>
        <w:t>曲线的作用有两个：第一，选取最优截断值。选取正确指数最大的点，可同时满足</w:t>
      </w:r>
      <w:r>
        <w:rPr>
          <w:rFonts w:ascii="宋体" w:hAnsi="宋体" w:eastAsia="宋体" w:cs="宋体"/>
          <w:spacing w:val="11"/>
          <w:sz w:val="20"/>
          <w:szCs w:val="20"/>
        </w:rPr>
        <w:t>筛检</w:t>
      </w:r>
      <w:r>
        <w:rPr>
          <w:rFonts w:ascii="宋体" w:hAnsi="宋体" w:eastAsia="宋体" w:cs="宋体"/>
          <w:sz w:val="20"/>
          <w:szCs w:val="20"/>
        </w:rPr>
        <w:t xml:space="preserve"> </w:t>
      </w:r>
      <w:r>
        <w:rPr>
          <w:rFonts w:ascii="宋体" w:hAnsi="宋体" w:eastAsia="宋体" w:cs="宋体"/>
          <w:spacing w:val="11"/>
          <w:sz w:val="20"/>
          <w:szCs w:val="20"/>
        </w:rPr>
        <w:t>试验的灵敏度和特异度相对最优，它所对应的取值即</w:t>
      </w:r>
      <w:r>
        <w:rPr>
          <w:rFonts w:ascii="宋体" w:hAnsi="宋体" w:eastAsia="宋体" w:cs="宋体"/>
          <w:spacing w:val="10"/>
          <w:sz w:val="20"/>
          <w:szCs w:val="20"/>
        </w:rPr>
        <w:t>最佳截断值。如图7-4所示，图中的</w:t>
      </w:r>
      <w:r>
        <w:rPr>
          <w:rFonts w:ascii="Times New Roman" w:hAnsi="Times New Roman" w:eastAsia="Times New Roman" w:cs="Times New Roman"/>
          <w:spacing w:val="10"/>
          <w:sz w:val="20"/>
          <w:szCs w:val="20"/>
        </w:rPr>
        <w:t xml:space="preserve">A </w:t>
      </w:r>
      <w:r>
        <w:rPr>
          <w:rFonts w:ascii="宋体" w:hAnsi="宋体" w:eastAsia="宋体" w:cs="宋体"/>
          <w:spacing w:val="10"/>
          <w:sz w:val="20"/>
          <w:szCs w:val="20"/>
        </w:rPr>
        <w:t>点为非</w:t>
      </w:r>
      <w:r>
        <w:rPr>
          <w:rFonts w:ascii="宋体" w:hAnsi="宋体" w:eastAsia="宋体" w:cs="宋体"/>
          <w:sz w:val="20"/>
          <w:szCs w:val="20"/>
        </w:rPr>
        <w:t xml:space="preserve"> </w:t>
      </w:r>
      <w:r>
        <w:rPr>
          <w:rFonts w:ascii="宋体" w:hAnsi="宋体" w:eastAsia="宋体" w:cs="宋体"/>
          <w:spacing w:val="12"/>
          <w:sz w:val="20"/>
          <w:szCs w:val="20"/>
        </w:rPr>
        <w:t>高密度脂蛋白胆固醇判断冠心病的最佳截断值所在的点(2.82</w:t>
      </w:r>
      <w:r>
        <w:rPr>
          <w:rFonts w:ascii="Times New Roman" w:hAnsi="Times New Roman" w:eastAsia="Times New Roman" w:cs="Times New Roman"/>
          <w:sz w:val="20"/>
          <w:szCs w:val="20"/>
        </w:rPr>
        <w:t>mmol</w:t>
      </w:r>
      <w:r>
        <w:rPr>
          <w:rFonts w:ascii="Times New Roman" w:hAnsi="Times New Roman" w:eastAsia="Times New Roman" w:cs="Times New Roman"/>
          <w:spacing w:val="12"/>
          <w:sz w:val="20"/>
          <w:szCs w:val="20"/>
        </w:rPr>
        <w:t>/L),</w:t>
      </w:r>
      <w:r>
        <w:rPr>
          <w:rFonts w:ascii="Times New Roman" w:hAnsi="Times New Roman" w:eastAsia="Times New Roman" w:cs="Times New Roman"/>
          <w:spacing w:val="45"/>
          <w:w w:val="101"/>
          <w:sz w:val="20"/>
          <w:szCs w:val="20"/>
        </w:rPr>
        <w:t xml:space="preserve"> </w:t>
      </w:r>
      <w:r>
        <w:rPr>
          <w:rFonts w:ascii="宋体" w:hAnsi="宋体" w:eastAsia="宋体" w:cs="宋体"/>
          <w:spacing w:val="12"/>
          <w:sz w:val="20"/>
          <w:szCs w:val="20"/>
        </w:rPr>
        <w:t>该点对应的灵敏度为0.86,</w:t>
      </w:r>
      <w:r>
        <w:rPr>
          <w:rFonts w:ascii="宋体" w:hAnsi="宋体" w:eastAsia="宋体" w:cs="宋体"/>
          <w:sz w:val="20"/>
          <w:szCs w:val="20"/>
        </w:rPr>
        <w:t xml:space="preserve"> </w:t>
      </w:r>
      <w:r>
        <w:rPr>
          <w:rFonts w:ascii="宋体" w:hAnsi="宋体" w:eastAsia="宋体" w:cs="宋体"/>
          <w:spacing w:val="13"/>
          <w:sz w:val="20"/>
          <w:szCs w:val="20"/>
        </w:rPr>
        <w:t>特异度为0.48;</w:t>
      </w:r>
      <w:r>
        <w:rPr>
          <w:rFonts w:ascii="Times New Roman" w:hAnsi="Times New Roman" w:eastAsia="Times New Roman" w:cs="Times New Roman"/>
          <w:spacing w:val="13"/>
          <w:sz w:val="20"/>
          <w:szCs w:val="20"/>
        </w:rPr>
        <w:t>B</w:t>
      </w:r>
      <w:r>
        <w:rPr>
          <w:rFonts w:ascii="Times New Roman" w:hAnsi="Times New Roman" w:eastAsia="Times New Roman" w:cs="Times New Roman"/>
          <w:spacing w:val="30"/>
          <w:w w:val="101"/>
          <w:sz w:val="20"/>
          <w:szCs w:val="20"/>
        </w:rPr>
        <w:t xml:space="preserve"> </w:t>
      </w:r>
      <w:r>
        <w:rPr>
          <w:rFonts w:ascii="宋体" w:hAnsi="宋体" w:eastAsia="宋体" w:cs="宋体"/>
          <w:spacing w:val="13"/>
          <w:sz w:val="20"/>
          <w:szCs w:val="20"/>
        </w:rPr>
        <w:t>点</w:t>
      </w:r>
      <w:r>
        <w:rPr>
          <w:rFonts w:ascii="宋体" w:hAnsi="宋体" w:eastAsia="宋体" w:cs="宋体"/>
          <w:spacing w:val="-22"/>
          <w:sz w:val="20"/>
          <w:szCs w:val="20"/>
        </w:rPr>
        <w:t xml:space="preserve"> </w:t>
      </w:r>
      <w:r>
        <w:rPr>
          <w:rFonts w:ascii="宋体" w:hAnsi="宋体" w:eastAsia="宋体" w:cs="宋体"/>
          <w:spacing w:val="13"/>
          <w:sz w:val="20"/>
          <w:szCs w:val="20"/>
        </w:rPr>
        <w:t>为</w:t>
      </w:r>
      <w:r>
        <w:rPr>
          <w:rFonts w:ascii="Times New Roman" w:hAnsi="Times New Roman" w:eastAsia="Times New Roman" w:cs="Times New Roman"/>
          <w:spacing w:val="13"/>
          <w:sz w:val="20"/>
          <w:szCs w:val="20"/>
        </w:rPr>
        <w:t xml:space="preserve">C </w:t>
      </w:r>
      <w:r>
        <w:rPr>
          <w:rFonts w:ascii="宋体" w:hAnsi="宋体" w:eastAsia="宋体" w:cs="宋体"/>
          <w:spacing w:val="13"/>
          <w:sz w:val="20"/>
          <w:szCs w:val="20"/>
        </w:rPr>
        <w:t>反应蛋白判断冠心病的最佳截断值所在的点(2.12</w:t>
      </w:r>
      <w:r>
        <w:rPr>
          <w:rFonts w:ascii="Times New Roman" w:hAnsi="Times New Roman" w:eastAsia="Times New Roman" w:cs="Times New Roman"/>
          <w:sz w:val="20"/>
          <w:szCs w:val="20"/>
        </w:rPr>
        <w:t>mg</w:t>
      </w:r>
      <w:r>
        <w:rPr>
          <w:rFonts w:ascii="Times New Roman" w:hAnsi="Times New Roman" w:eastAsia="Times New Roman" w:cs="Times New Roman"/>
          <w:spacing w:val="13"/>
          <w:sz w:val="20"/>
          <w:szCs w:val="20"/>
        </w:rPr>
        <w:t xml:space="preserve">/L),  </w:t>
      </w:r>
      <w:r>
        <w:rPr>
          <w:rFonts w:ascii="宋体" w:hAnsi="宋体" w:eastAsia="宋体" w:cs="宋体"/>
          <w:spacing w:val="13"/>
          <w:sz w:val="20"/>
          <w:szCs w:val="20"/>
        </w:rPr>
        <w:t>对</w:t>
      </w:r>
      <w:r>
        <w:rPr>
          <w:rFonts w:ascii="宋体" w:hAnsi="宋体" w:eastAsia="宋体" w:cs="宋体"/>
          <w:spacing w:val="12"/>
          <w:sz w:val="20"/>
          <w:szCs w:val="20"/>
        </w:rPr>
        <w:t>应的灵敏度</w:t>
      </w:r>
    </w:p>
    <w:p w14:paraId="4583531F">
      <w:pPr>
        <w:spacing w:line="342" w:lineRule="auto"/>
        <w:rPr>
          <w:rFonts w:ascii="宋体" w:hAnsi="宋体" w:eastAsia="宋体" w:cs="宋体"/>
          <w:sz w:val="20"/>
          <w:szCs w:val="20"/>
        </w:rPr>
        <w:sectPr>
          <w:headerReference r:id="rId148" w:type="default"/>
          <w:footerReference r:id="rId149" w:type="default"/>
          <w:pgSz w:w="11900" w:h="16820"/>
          <w:pgMar w:top="400" w:right="843" w:bottom="869" w:left="1410" w:header="0" w:footer="689" w:gutter="0"/>
          <w:cols w:space="720" w:num="1"/>
        </w:sectPr>
      </w:pPr>
    </w:p>
    <w:p w14:paraId="7AF7AD19">
      <w:pPr>
        <w:pStyle w:val="2"/>
        <w:spacing w:before="253" w:line="222" w:lineRule="auto"/>
        <w:ind w:left="662"/>
        <w:rPr>
          <w:sz w:val="19"/>
          <w:szCs w:val="19"/>
        </w:rPr>
      </w:pPr>
      <w:r>
        <w:rPr>
          <w:b/>
          <w:bCs/>
          <w:spacing w:val="-12"/>
          <w:w w:val="94"/>
          <w:sz w:val="19"/>
          <w:szCs w:val="19"/>
        </w:rPr>
        <w:t>第七章</w:t>
      </w:r>
      <w:r>
        <w:rPr>
          <w:spacing w:val="47"/>
          <w:sz w:val="19"/>
          <w:szCs w:val="19"/>
        </w:rPr>
        <w:t xml:space="preserve"> </w:t>
      </w:r>
      <w:r>
        <w:rPr>
          <w:b/>
          <w:bCs/>
          <w:spacing w:val="-12"/>
          <w:w w:val="94"/>
          <w:sz w:val="19"/>
          <w:szCs w:val="19"/>
        </w:rPr>
        <w:t>筛检</w:t>
      </w:r>
    </w:p>
    <w:p w14:paraId="585CFF76">
      <w:pPr>
        <w:spacing w:line="346" w:lineRule="auto"/>
        <w:rPr>
          <w:rFonts w:ascii="Arial"/>
          <w:sz w:val="21"/>
        </w:rPr>
      </w:pPr>
    </w:p>
    <w:p w14:paraId="010348AE">
      <w:pPr>
        <w:spacing w:line="347" w:lineRule="auto"/>
        <w:rPr>
          <w:rFonts w:ascii="Arial"/>
          <w:sz w:val="21"/>
        </w:rPr>
      </w:pPr>
    </w:p>
    <w:p w14:paraId="79CE4629">
      <w:pPr>
        <w:spacing w:line="4720" w:lineRule="exact"/>
        <w:ind w:firstLine="2860"/>
      </w:pPr>
      <w:r>
        <mc:AlternateContent>
          <mc:Choice Requires="wps">
            <w:drawing>
              <wp:anchor distT="0" distB="0" distL="0" distR="0" simplePos="0" relativeHeight="251807744" behindDoc="0" locked="0" layoutInCell="1" allowOverlap="1">
                <wp:simplePos x="0" y="0"/>
                <wp:positionH relativeFrom="column">
                  <wp:posOffset>1557020</wp:posOffset>
                </wp:positionH>
                <wp:positionV relativeFrom="paragraph">
                  <wp:posOffset>1364615</wp:posOffset>
                </wp:positionV>
                <wp:extent cx="381000" cy="191770"/>
                <wp:effectExtent l="0" t="0" r="0" b="0"/>
                <wp:wrapNone/>
                <wp:docPr id="478" name="TextBox 478"/>
                <wp:cNvGraphicFramePr/>
                <a:graphic xmlns:a="http://schemas.openxmlformats.org/drawingml/2006/main">
                  <a:graphicData uri="http://schemas.microsoft.com/office/word/2010/wordprocessingShape">
                    <wps:wsp>
                      <wps:cNvSpPr txBox="1"/>
                      <wps:spPr>
                        <a:xfrm rot="16200000">
                          <a:off x="1557517" y="1365067"/>
                          <a:ext cx="381000" cy="191770"/>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74DBF4F9">
                            <w:pPr>
                              <w:spacing w:before="56" w:line="219" w:lineRule="auto"/>
                              <w:ind w:left="20"/>
                              <w:rPr>
                                <w:rFonts w:ascii="宋体" w:hAnsi="宋体" w:eastAsia="宋体" w:cs="宋体"/>
                                <w:sz w:val="19"/>
                                <w:szCs w:val="19"/>
                              </w:rPr>
                            </w:pPr>
                            <w:r>
                              <w:rPr>
                                <w:rFonts w:ascii="宋体" w:hAnsi="宋体" w:eastAsia="宋体" w:cs="宋体"/>
                                <w:spacing w:val="-3"/>
                                <w:sz w:val="19"/>
                                <w:szCs w:val="19"/>
                              </w:rPr>
                              <w:t>灵敏度</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478" o:spid="_x0000_s1026" o:spt="202" type="#_x0000_t202" style="position:absolute;left:0pt;margin-left:122.6pt;margin-top:107.45pt;height:15.1pt;width:30pt;rotation:-5898240f;z-index:251807744;mso-width-relative:page;mso-height-relative:page;" filled="f" stroked="f" coordsize="21600,21600" o:gfxdata="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pQUwe9gAAAALAQAADwAA&#10;AAAAAAABACAAAAAiAAAAZHJzL2Rvd25yZXYueG1sUEsBAhQAFAAAAAgAh07iQF0C5zlPAgAApQQA&#10;AA4AAAAAAAAAAQAgAAAAJwEAAGRycy9lMm9Eb2MueG1sUEsFBgAAAAAGAAYAWQEAAOgFAAAAAA==&#10;">
                <v:fill on="f" focussize="0,0"/>
                <v:stroke on="f" weight="0pt" miterlimit="0" joinstyle="miter"/>
                <v:imagedata o:title=""/>
                <o:lock v:ext="edit" aspectratio="f"/>
                <v:textbox inset="0mm,0mm,0mm,0mm">
                  <w:txbxContent>
                    <w:p w14:paraId="74DBF4F9">
                      <w:pPr>
                        <w:spacing w:before="56" w:line="219" w:lineRule="auto"/>
                        <w:ind w:left="20"/>
                        <w:rPr>
                          <w:rFonts w:ascii="宋体" w:hAnsi="宋体" w:eastAsia="宋体" w:cs="宋体"/>
                          <w:sz w:val="19"/>
                          <w:szCs w:val="19"/>
                        </w:rPr>
                      </w:pPr>
                      <w:r>
                        <w:rPr>
                          <w:rFonts w:ascii="宋体" w:hAnsi="宋体" w:eastAsia="宋体" w:cs="宋体"/>
                          <w:spacing w:val="-3"/>
                          <w:sz w:val="19"/>
                          <w:szCs w:val="19"/>
                        </w:rPr>
                        <w:t>灵敏度</w:t>
                      </w:r>
                    </w:p>
                  </w:txbxContent>
                </v:textbox>
              </v:shape>
            </w:pict>
          </mc:Fallback>
        </mc:AlternateContent>
      </w:r>
      <w:r>
        <w:rPr>
          <w:position w:val="-94"/>
        </w:rPr>
        <w:drawing>
          <wp:inline distT="0" distB="0" distL="0" distR="0">
            <wp:extent cx="2774950" cy="2996565"/>
            <wp:effectExtent l="0" t="0" r="0" b="0"/>
            <wp:docPr id="480" name="IM 480"/>
            <wp:cNvGraphicFramePr/>
            <a:graphic xmlns:a="http://schemas.openxmlformats.org/drawingml/2006/main">
              <a:graphicData uri="http://schemas.openxmlformats.org/drawingml/2006/picture">
                <pic:pic xmlns:pic="http://schemas.openxmlformats.org/drawingml/2006/picture">
                  <pic:nvPicPr>
                    <pic:cNvPr id="480" name="IM 480"/>
                    <pic:cNvPicPr/>
                  </pic:nvPicPr>
                  <pic:blipFill>
                    <a:blip r:embed="rId589"/>
                    <a:stretch>
                      <a:fillRect/>
                    </a:stretch>
                  </pic:blipFill>
                  <pic:spPr>
                    <a:xfrm>
                      <a:off x="0" y="0"/>
                      <a:ext cx="2774973" cy="2997110"/>
                    </a:xfrm>
                    <a:prstGeom prst="rect">
                      <a:avLst/>
                    </a:prstGeom>
                  </pic:spPr>
                </pic:pic>
              </a:graphicData>
            </a:graphic>
          </wp:inline>
        </w:drawing>
      </w:r>
    </w:p>
    <w:p w14:paraId="722C6F8A">
      <w:pPr>
        <w:spacing w:before="88" w:line="219" w:lineRule="auto"/>
        <w:ind w:left="4820"/>
        <w:rPr>
          <w:rFonts w:ascii="宋体" w:hAnsi="宋体" w:eastAsia="宋体" w:cs="宋体"/>
          <w:sz w:val="19"/>
          <w:szCs w:val="19"/>
        </w:rPr>
      </w:pPr>
      <w:r>
        <w:rPr>
          <w:rFonts w:ascii="宋体" w:hAnsi="宋体" w:eastAsia="宋体" w:cs="宋体"/>
          <w:spacing w:val="-16"/>
          <w:sz w:val="19"/>
          <w:szCs w:val="19"/>
        </w:rPr>
        <w:t>1-特异度</w:t>
      </w:r>
    </w:p>
    <w:p w14:paraId="615D8C17">
      <w:pPr>
        <w:pStyle w:val="2"/>
        <w:spacing w:before="151" w:line="219" w:lineRule="auto"/>
        <w:ind w:left="1690"/>
        <w:rPr>
          <w:sz w:val="19"/>
          <w:szCs w:val="19"/>
        </w:rPr>
      </w:pPr>
      <w:r>
        <w:rPr>
          <w:spacing w:val="-7"/>
          <w:sz w:val="19"/>
          <w:szCs w:val="19"/>
        </w:rPr>
        <w:t>图7-4</w:t>
      </w:r>
      <w:r>
        <w:rPr>
          <w:spacing w:val="32"/>
          <w:sz w:val="19"/>
          <w:szCs w:val="19"/>
        </w:rPr>
        <w:t xml:space="preserve"> </w:t>
      </w:r>
      <w:r>
        <w:rPr>
          <w:rFonts w:ascii="宋体" w:hAnsi="宋体" w:eastAsia="宋体" w:cs="宋体"/>
          <w:spacing w:val="-7"/>
          <w:sz w:val="19"/>
          <w:szCs w:val="19"/>
        </w:rPr>
        <w:t xml:space="preserve">C </w:t>
      </w:r>
      <w:r>
        <w:rPr>
          <w:spacing w:val="-7"/>
          <w:sz w:val="19"/>
          <w:szCs w:val="19"/>
        </w:rPr>
        <w:t>反应蛋白和非高密度脂蛋白胆固醇对患冠心病</w:t>
      </w:r>
      <w:r>
        <w:rPr>
          <w:spacing w:val="-8"/>
          <w:sz w:val="19"/>
          <w:szCs w:val="19"/>
        </w:rPr>
        <w:t>风险评估价值的</w:t>
      </w:r>
      <w:r>
        <w:rPr>
          <w:rFonts w:ascii="宋体" w:hAnsi="宋体" w:eastAsia="宋体" w:cs="宋体"/>
          <w:spacing w:val="-8"/>
          <w:sz w:val="19"/>
          <w:szCs w:val="19"/>
        </w:rPr>
        <w:t>ROC</w:t>
      </w:r>
      <w:r>
        <w:rPr>
          <w:rFonts w:ascii="宋体" w:hAnsi="宋体" w:eastAsia="宋体" w:cs="宋体"/>
          <w:spacing w:val="66"/>
          <w:sz w:val="19"/>
          <w:szCs w:val="19"/>
        </w:rPr>
        <w:t xml:space="preserve"> </w:t>
      </w:r>
      <w:r>
        <w:rPr>
          <w:spacing w:val="-8"/>
          <w:sz w:val="19"/>
          <w:szCs w:val="19"/>
        </w:rPr>
        <w:t>曲线</w:t>
      </w:r>
    </w:p>
    <w:p w14:paraId="6D4AA86D">
      <w:pPr>
        <w:spacing w:line="358" w:lineRule="auto"/>
        <w:rPr>
          <w:rFonts w:ascii="Arial"/>
          <w:sz w:val="21"/>
        </w:rPr>
      </w:pPr>
    </w:p>
    <w:p w14:paraId="26710753">
      <w:pPr>
        <w:spacing w:before="62" w:line="350" w:lineRule="auto"/>
        <w:ind w:left="660"/>
        <w:jc w:val="both"/>
        <w:rPr>
          <w:rFonts w:ascii="宋体" w:hAnsi="宋体" w:eastAsia="宋体" w:cs="宋体"/>
          <w:sz w:val="19"/>
          <w:szCs w:val="19"/>
        </w:rPr>
      </w:pPr>
      <w:r>
        <w:rPr>
          <w:rFonts w:ascii="宋体" w:hAnsi="宋体" w:eastAsia="宋体" w:cs="宋体"/>
          <w:spacing w:val="5"/>
          <w:sz w:val="19"/>
          <w:szCs w:val="19"/>
        </w:rPr>
        <w:t>为0.77,特异度为0.48。第二，评价筛检方法整体准确度</w:t>
      </w:r>
      <w:r>
        <w:rPr>
          <w:rFonts w:ascii="宋体" w:hAnsi="宋体" w:eastAsia="宋体" w:cs="宋体"/>
          <w:spacing w:val="4"/>
          <w:sz w:val="19"/>
          <w:szCs w:val="19"/>
        </w:rPr>
        <w:t>。通常用</w:t>
      </w:r>
      <w:r>
        <w:rPr>
          <w:rFonts w:ascii="宋体" w:hAnsi="宋体" w:eastAsia="宋体" w:cs="宋体"/>
          <w:sz w:val="19"/>
          <w:szCs w:val="19"/>
        </w:rPr>
        <w:t>ROC</w:t>
      </w:r>
      <w:r>
        <w:rPr>
          <w:rFonts w:ascii="宋体" w:hAnsi="宋体" w:eastAsia="宋体" w:cs="宋体"/>
          <w:spacing w:val="76"/>
          <w:sz w:val="19"/>
          <w:szCs w:val="19"/>
        </w:rPr>
        <w:t xml:space="preserve"> </w:t>
      </w:r>
      <w:r>
        <w:rPr>
          <w:rFonts w:ascii="宋体" w:hAnsi="宋体" w:eastAsia="宋体" w:cs="宋体"/>
          <w:spacing w:val="4"/>
          <w:sz w:val="19"/>
          <w:szCs w:val="19"/>
        </w:rPr>
        <w:t>曲线下面积(</w:t>
      </w:r>
      <w:r>
        <w:rPr>
          <w:rFonts w:ascii="宋体" w:hAnsi="宋体" w:eastAsia="宋体" w:cs="宋体"/>
          <w:sz w:val="19"/>
          <w:szCs w:val="19"/>
        </w:rPr>
        <w:t>area</w:t>
      </w:r>
      <w:r>
        <w:rPr>
          <w:rFonts w:ascii="宋体" w:hAnsi="宋体" w:eastAsia="宋体" w:cs="宋体"/>
          <w:spacing w:val="4"/>
          <w:sz w:val="19"/>
          <w:szCs w:val="19"/>
        </w:rPr>
        <w:t xml:space="preserve"> </w:t>
      </w:r>
      <w:r>
        <w:rPr>
          <w:rFonts w:ascii="宋体" w:hAnsi="宋体" w:eastAsia="宋体" w:cs="宋体"/>
          <w:sz w:val="19"/>
          <w:szCs w:val="19"/>
        </w:rPr>
        <w:t>under</w:t>
      </w:r>
      <w:r>
        <w:rPr>
          <w:rFonts w:ascii="宋体" w:hAnsi="宋体" w:eastAsia="宋体" w:cs="宋体"/>
          <w:spacing w:val="4"/>
          <w:sz w:val="19"/>
          <w:szCs w:val="19"/>
        </w:rPr>
        <w:t xml:space="preserve"> </w:t>
      </w:r>
      <w:r>
        <w:rPr>
          <w:rFonts w:ascii="宋体" w:hAnsi="宋体" w:eastAsia="宋体" w:cs="宋体"/>
          <w:sz w:val="19"/>
          <w:szCs w:val="19"/>
        </w:rPr>
        <w:t xml:space="preserve">the </w:t>
      </w:r>
      <w:r>
        <w:rPr>
          <w:rFonts w:ascii="Times New Roman" w:hAnsi="Times New Roman" w:eastAsia="Times New Roman" w:cs="Times New Roman"/>
          <w:sz w:val="19"/>
          <w:szCs w:val="19"/>
        </w:rPr>
        <w:t>curve</w:t>
      </w:r>
      <w:r>
        <w:rPr>
          <w:rFonts w:ascii="Times New Roman" w:hAnsi="Times New Roman" w:eastAsia="Times New Roman" w:cs="Times New Roman"/>
          <w:spacing w:val="4"/>
          <w:sz w:val="19"/>
          <w:szCs w:val="19"/>
        </w:rPr>
        <w:t>,</w:t>
      </w:r>
      <w:r>
        <w:rPr>
          <w:rFonts w:ascii="Times New Roman" w:hAnsi="Times New Roman" w:eastAsia="Times New Roman" w:cs="Times New Roman"/>
          <w:sz w:val="19"/>
          <w:szCs w:val="19"/>
        </w:rPr>
        <w:t>AUC</w:t>
      </w:r>
      <w:r>
        <w:rPr>
          <w:rFonts w:ascii="Times New Roman" w:hAnsi="Times New Roman" w:eastAsia="Times New Roman" w:cs="Times New Roman"/>
          <w:spacing w:val="4"/>
          <w:sz w:val="19"/>
          <w:szCs w:val="19"/>
        </w:rPr>
        <w:t xml:space="preserve">)   </w:t>
      </w:r>
      <w:r>
        <w:rPr>
          <w:rFonts w:ascii="宋体" w:hAnsi="宋体" w:eastAsia="宋体" w:cs="宋体"/>
          <w:spacing w:val="4"/>
          <w:sz w:val="19"/>
          <w:szCs w:val="19"/>
        </w:rPr>
        <w:t>评价，其越接近1.0,检测方法的准确性越高；当</w:t>
      </w:r>
      <w:r>
        <w:rPr>
          <w:rFonts w:ascii="Times New Roman" w:hAnsi="Times New Roman" w:eastAsia="Times New Roman" w:cs="Times New Roman"/>
          <w:sz w:val="19"/>
          <w:szCs w:val="19"/>
        </w:rPr>
        <w:t>AUC</w:t>
      </w:r>
      <w:r>
        <w:rPr>
          <w:rFonts w:ascii="Times New Roman" w:hAnsi="Times New Roman" w:eastAsia="Times New Roman" w:cs="Times New Roman"/>
          <w:spacing w:val="4"/>
          <w:sz w:val="19"/>
          <w:szCs w:val="19"/>
        </w:rPr>
        <w:t xml:space="preserve"> </w:t>
      </w:r>
      <w:r>
        <w:rPr>
          <w:rFonts w:ascii="宋体" w:hAnsi="宋体" w:eastAsia="宋体" w:cs="宋体"/>
          <w:spacing w:val="4"/>
          <w:sz w:val="19"/>
          <w:szCs w:val="19"/>
        </w:rPr>
        <w:t>面积等</w:t>
      </w:r>
      <w:r>
        <w:rPr>
          <w:rFonts w:ascii="宋体" w:hAnsi="宋体" w:eastAsia="宋体" w:cs="宋体"/>
          <w:spacing w:val="3"/>
          <w:sz w:val="19"/>
          <w:szCs w:val="19"/>
        </w:rPr>
        <w:t>于0.5时，准确性最低，无</w:t>
      </w:r>
      <w:r>
        <w:rPr>
          <w:rFonts w:ascii="宋体" w:hAnsi="宋体" w:eastAsia="宋体" w:cs="宋体"/>
          <w:sz w:val="19"/>
          <w:szCs w:val="19"/>
        </w:rPr>
        <w:t xml:space="preserve"> </w:t>
      </w:r>
      <w:r>
        <w:rPr>
          <w:rFonts w:ascii="宋体" w:hAnsi="宋体" w:eastAsia="宋体" w:cs="宋体"/>
          <w:spacing w:val="11"/>
          <w:sz w:val="19"/>
          <w:szCs w:val="19"/>
        </w:rPr>
        <w:t>应用价值。图7-4中非高密度脂蛋白胆固醇对应的</w:t>
      </w:r>
      <w:r>
        <w:rPr>
          <w:rFonts w:ascii="宋体" w:hAnsi="宋体" w:eastAsia="宋体" w:cs="宋体"/>
          <w:sz w:val="19"/>
          <w:szCs w:val="19"/>
        </w:rPr>
        <w:t>AUC</w:t>
      </w:r>
      <w:r>
        <w:rPr>
          <w:rFonts w:ascii="Calibri" w:hAnsi="Calibri" w:eastAsia="Calibri" w:cs="Calibri"/>
          <w:spacing w:val="11"/>
          <w:sz w:val="19"/>
          <w:szCs w:val="19"/>
        </w:rPr>
        <w:t>₁</w:t>
      </w:r>
      <w:r>
        <w:rPr>
          <w:rFonts w:ascii="Calibri" w:hAnsi="Calibri" w:eastAsia="Calibri" w:cs="Calibri"/>
          <w:spacing w:val="3"/>
          <w:sz w:val="19"/>
          <w:szCs w:val="19"/>
        </w:rPr>
        <w:t xml:space="preserve">    </w:t>
      </w:r>
      <w:r>
        <w:rPr>
          <w:rFonts w:ascii="宋体" w:hAnsi="宋体" w:eastAsia="宋体" w:cs="宋体"/>
          <w:spacing w:val="11"/>
          <w:sz w:val="19"/>
          <w:szCs w:val="19"/>
        </w:rPr>
        <w:t>为0.74,C 反应蛋白对应的</w:t>
      </w:r>
      <w:r>
        <w:rPr>
          <w:rFonts w:ascii="宋体" w:hAnsi="宋体" w:eastAsia="宋体" w:cs="宋体"/>
          <w:sz w:val="19"/>
          <w:szCs w:val="19"/>
        </w:rPr>
        <w:t>AUC</w:t>
      </w:r>
      <w:r>
        <w:rPr>
          <w:rFonts w:ascii="Calibri" w:hAnsi="Calibri" w:eastAsia="Calibri" w:cs="Calibri"/>
          <w:spacing w:val="11"/>
          <w:sz w:val="19"/>
          <w:szCs w:val="19"/>
        </w:rPr>
        <w:t xml:space="preserve">₂   </w:t>
      </w:r>
      <w:r>
        <w:rPr>
          <w:rFonts w:ascii="宋体" w:hAnsi="宋体" w:eastAsia="宋体" w:cs="宋体"/>
          <w:spacing w:val="11"/>
          <w:sz w:val="19"/>
          <w:szCs w:val="19"/>
        </w:rPr>
        <w:t>为0.68,</w:t>
      </w:r>
      <w:r>
        <w:rPr>
          <w:rFonts w:ascii="宋体" w:hAnsi="宋体" w:eastAsia="宋体" w:cs="宋体"/>
          <w:sz w:val="19"/>
          <w:szCs w:val="19"/>
        </w:rPr>
        <w:t xml:space="preserve"> </w:t>
      </w:r>
      <w:r>
        <w:rPr>
          <w:rFonts w:ascii="宋体" w:hAnsi="宋体" w:eastAsia="宋体" w:cs="宋体"/>
          <w:spacing w:val="6"/>
          <w:sz w:val="19"/>
          <w:szCs w:val="19"/>
        </w:rPr>
        <w:t>前者的准确度较高。</w:t>
      </w:r>
    </w:p>
    <w:p w14:paraId="45D3D81E">
      <w:pPr>
        <w:pStyle w:val="2"/>
        <w:spacing w:before="42" w:line="221" w:lineRule="auto"/>
        <w:ind w:left="1040"/>
        <w:rPr>
          <w:sz w:val="19"/>
          <w:szCs w:val="19"/>
        </w:rPr>
      </w:pPr>
      <w:r>
        <w:rPr>
          <w:spacing w:val="27"/>
          <w:sz w:val="19"/>
          <w:szCs w:val="19"/>
        </w:rPr>
        <w:t>(五)筛检试验评价案例</w:t>
      </w:r>
    </w:p>
    <w:p w14:paraId="0EF019B4">
      <w:pPr>
        <w:spacing w:before="122" w:line="365" w:lineRule="auto"/>
        <w:ind w:left="660" w:right="28" w:firstLine="284"/>
        <w:jc w:val="both"/>
        <w:rPr>
          <w:rFonts w:ascii="宋体" w:hAnsi="宋体" w:eastAsia="宋体" w:cs="宋体"/>
          <w:sz w:val="19"/>
          <w:szCs w:val="19"/>
        </w:rPr>
      </w:pPr>
      <w:r>
        <w:rPr>
          <w:rFonts w:ascii="宋体" w:hAnsi="宋体" w:eastAsia="宋体" w:cs="宋体"/>
          <w:spacing w:val="11"/>
          <w:sz w:val="19"/>
          <w:szCs w:val="19"/>
        </w:rPr>
        <w:t>【例7-1】某医院开展了评价一项前列腺特异性抗原</w:t>
      </w:r>
      <w:r>
        <w:rPr>
          <w:rFonts w:ascii="Times New Roman" w:hAnsi="Times New Roman" w:eastAsia="Times New Roman" w:cs="Times New Roman"/>
          <w:spacing w:val="11"/>
          <w:sz w:val="19"/>
          <w:szCs w:val="19"/>
        </w:rPr>
        <w:t>(</w:t>
      </w:r>
      <w:r>
        <w:rPr>
          <w:rFonts w:ascii="Times New Roman" w:hAnsi="Times New Roman" w:eastAsia="Times New Roman" w:cs="Times New Roman"/>
          <w:sz w:val="19"/>
          <w:szCs w:val="19"/>
        </w:rPr>
        <w:t>PSA</w:t>
      </w:r>
      <w:r>
        <w:rPr>
          <w:rFonts w:ascii="Times New Roman" w:hAnsi="Times New Roman" w:eastAsia="Times New Roman" w:cs="Times New Roman"/>
          <w:spacing w:val="11"/>
          <w:sz w:val="19"/>
          <w:szCs w:val="19"/>
        </w:rPr>
        <w:t>)</w:t>
      </w:r>
      <w:r>
        <w:rPr>
          <w:rFonts w:ascii="Times New Roman" w:hAnsi="Times New Roman" w:eastAsia="Times New Roman" w:cs="Times New Roman"/>
          <w:spacing w:val="55"/>
          <w:w w:val="101"/>
          <w:sz w:val="19"/>
          <w:szCs w:val="19"/>
        </w:rPr>
        <w:t xml:space="preserve"> </w:t>
      </w:r>
      <w:r>
        <w:rPr>
          <w:rFonts w:ascii="宋体" w:hAnsi="宋体" w:eastAsia="宋体" w:cs="宋体"/>
          <w:spacing w:val="11"/>
          <w:sz w:val="19"/>
          <w:szCs w:val="19"/>
        </w:rPr>
        <w:t>筛检前列腺癌的新方法的研究，拟</w:t>
      </w:r>
      <w:r>
        <w:rPr>
          <w:rFonts w:ascii="宋体" w:hAnsi="宋体" w:eastAsia="宋体" w:cs="宋体"/>
          <w:sz w:val="19"/>
          <w:szCs w:val="19"/>
        </w:rPr>
        <w:t xml:space="preserve"> </w:t>
      </w:r>
      <w:r>
        <w:rPr>
          <w:rFonts w:ascii="宋体" w:hAnsi="宋体" w:eastAsia="宋体" w:cs="宋体"/>
          <w:spacing w:val="17"/>
          <w:sz w:val="19"/>
          <w:szCs w:val="19"/>
        </w:rPr>
        <w:t>采用病例对照研究的设计方法，估计该方法的灵敏度为80%,特异度为75%。请估计</w:t>
      </w:r>
      <w:r>
        <w:rPr>
          <w:rFonts w:ascii="宋体" w:hAnsi="宋体" w:eastAsia="宋体" w:cs="宋体"/>
          <w:spacing w:val="16"/>
          <w:sz w:val="19"/>
          <w:szCs w:val="19"/>
        </w:rPr>
        <w:t>研究的样本</w:t>
      </w:r>
      <w:r>
        <w:rPr>
          <w:rFonts w:ascii="宋体" w:hAnsi="宋体" w:eastAsia="宋体" w:cs="宋体"/>
          <w:sz w:val="19"/>
          <w:szCs w:val="19"/>
        </w:rPr>
        <w:t xml:space="preserve"> </w:t>
      </w:r>
      <w:r>
        <w:rPr>
          <w:rFonts w:ascii="宋体" w:hAnsi="宋体" w:eastAsia="宋体" w:cs="宋体"/>
          <w:spacing w:val="1"/>
          <w:sz w:val="19"/>
          <w:szCs w:val="19"/>
        </w:rPr>
        <w:t>量，并根据研究的实际数据，计算该试验方法的真实性、可靠性和预测值指标。</w:t>
      </w:r>
    </w:p>
    <w:p w14:paraId="5739E223">
      <w:pPr>
        <w:pStyle w:val="2"/>
        <w:spacing w:before="1" w:line="363" w:lineRule="auto"/>
        <w:ind w:left="660" w:right="29" w:firstLine="379"/>
        <w:rPr>
          <w:rFonts w:ascii="宋体" w:hAnsi="宋体" w:eastAsia="宋体" w:cs="宋体"/>
          <w:sz w:val="19"/>
          <w:szCs w:val="19"/>
        </w:rPr>
      </w:pPr>
      <w:r>
        <w:rPr>
          <w:rFonts w:ascii="宋体" w:hAnsi="宋体" w:eastAsia="宋体" w:cs="宋体"/>
          <w:spacing w:val="10"/>
          <w:sz w:val="19"/>
          <w:szCs w:val="19"/>
        </w:rPr>
        <w:t>1.</w:t>
      </w:r>
      <w:r>
        <w:rPr>
          <w:rFonts w:ascii="宋体" w:hAnsi="宋体" w:eastAsia="宋体" w:cs="宋体"/>
          <w:spacing w:val="-14"/>
          <w:sz w:val="19"/>
          <w:szCs w:val="19"/>
        </w:rPr>
        <w:t xml:space="preserve"> </w:t>
      </w:r>
      <w:r>
        <w:rPr>
          <w:spacing w:val="10"/>
          <w:sz w:val="19"/>
          <w:szCs w:val="19"/>
        </w:rPr>
        <w:t>样本量</w:t>
      </w:r>
      <w:r>
        <w:rPr>
          <w:spacing w:val="63"/>
          <w:sz w:val="19"/>
          <w:szCs w:val="19"/>
        </w:rPr>
        <w:t xml:space="preserve"> </w:t>
      </w:r>
      <w:r>
        <w:rPr>
          <w:rFonts w:ascii="宋体" w:hAnsi="宋体" w:eastAsia="宋体" w:cs="宋体"/>
          <w:spacing w:val="10"/>
          <w:sz w:val="19"/>
          <w:szCs w:val="19"/>
        </w:rPr>
        <w:t>假定灵敏度为80%,估计特异度75%,设α</w:t>
      </w:r>
      <w:r>
        <w:rPr>
          <w:rFonts w:ascii="宋体" w:hAnsi="宋体" w:eastAsia="宋体" w:cs="宋体"/>
          <w:spacing w:val="9"/>
          <w:sz w:val="19"/>
          <w:szCs w:val="19"/>
        </w:rPr>
        <w:t>=0.05,允许误差δ=0.06p,根据式(7-1),</w:t>
      </w:r>
      <w:r>
        <w:rPr>
          <w:rFonts w:ascii="宋体" w:hAnsi="宋体" w:eastAsia="宋体" w:cs="宋体"/>
          <w:sz w:val="19"/>
          <w:szCs w:val="19"/>
        </w:rPr>
        <w:t xml:space="preserve"> </w:t>
      </w:r>
      <w:r>
        <w:rPr>
          <w:rFonts w:ascii="宋体" w:hAnsi="宋体" w:eastAsia="宋体" w:cs="宋体"/>
          <w:spacing w:val="3"/>
          <w:sz w:val="19"/>
          <w:szCs w:val="19"/>
        </w:rPr>
        <w:t>计算两组样本量为：</w:t>
      </w:r>
    </w:p>
    <w:p w14:paraId="71E49F6A">
      <w:pPr>
        <w:spacing w:before="156" w:line="212" w:lineRule="auto"/>
        <w:ind w:left="2280"/>
        <w:rPr>
          <w:rFonts w:ascii="Times New Roman" w:hAnsi="Times New Roman" w:eastAsia="Times New Roman" w:cs="Times New Roman"/>
          <w:sz w:val="19"/>
          <w:szCs w:val="19"/>
        </w:rPr>
      </w:pPr>
      <w:r>
        <w:rPr>
          <w:rFonts w:ascii="宋体" w:hAnsi="宋体" w:eastAsia="宋体" w:cs="宋体"/>
          <w:spacing w:val="1"/>
          <w:sz w:val="19"/>
          <w:szCs w:val="19"/>
        </w:rPr>
        <w:t>病例组</w:t>
      </w:r>
      <w:r>
        <w:rPr>
          <w:rFonts w:ascii="Times New Roman" w:hAnsi="Times New Roman" w:eastAsia="Times New Roman" w:cs="Times New Roman"/>
          <w:spacing w:val="1"/>
          <w:sz w:val="19"/>
          <w:szCs w:val="19"/>
        </w:rPr>
        <w:t>n₁=[1.96/(0.06×0.80)]²×(1-0.80)×0</w:t>
      </w:r>
      <w:r>
        <w:rPr>
          <w:rFonts w:ascii="Times New Roman" w:hAnsi="Times New Roman" w:eastAsia="Times New Roman" w:cs="Times New Roman"/>
          <w:sz w:val="19"/>
          <w:szCs w:val="19"/>
        </w:rPr>
        <w:t>.80=266.78≈267</w:t>
      </w:r>
    </w:p>
    <w:p w14:paraId="70C1F914">
      <w:pPr>
        <w:spacing w:before="202" w:line="212" w:lineRule="auto"/>
        <w:ind w:left="2280"/>
        <w:rPr>
          <w:rFonts w:ascii="Times New Roman" w:hAnsi="Times New Roman" w:eastAsia="Times New Roman" w:cs="Times New Roman"/>
          <w:sz w:val="19"/>
          <w:szCs w:val="19"/>
        </w:rPr>
      </w:pPr>
      <w:r>
        <w:rPr>
          <w:rFonts w:ascii="宋体" w:hAnsi="宋体" w:eastAsia="宋体" w:cs="宋体"/>
          <w:spacing w:val="1"/>
          <w:sz w:val="19"/>
          <w:szCs w:val="19"/>
        </w:rPr>
        <w:t>对照组</w:t>
      </w:r>
      <w:r>
        <w:rPr>
          <w:rFonts w:ascii="Times New Roman" w:hAnsi="Times New Roman" w:eastAsia="Times New Roman" w:cs="Times New Roman"/>
          <w:spacing w:val="1"/>
          <w:sz w:val="19"/>
          <w:szCs w:val="19"/>
        </w:rPr>
        <w:t>n₂=[1.96/(0.06×0.75)]²×(1-0.75)×0.75=355.70≈356</w:t>
      </w:r>
    </w:p>
    <w:p w14:paraId="1DEB4957">
      <w:pPr>
        <w:pStyle w:val="2"/>
        <w:spacing w:before="262" w:line="358" w:lineRule="auto"/>
        <w:ind w:left="660" w:right="82" w:firstLine="379"/>
        <w:rPr>
          <w:rFonts w:ascii="宋体" w:hAnsi="宋体" w:eastAsia="宋体" w:cs="宋体"/>
          <w:sz w:val="19"/>
          <w:szCs w:val="19"/>
        </w:rPr>
      </w:pPr>
      <w:r>
        <w:rPr>
          <w:rFonts w:ascii="宋体" w:hAnsi="宋体" w:eastAsia="宋体" w:cs="宋体"/>
          <w:spacing w:val="12"/>
          <w:sz w:val="19"/>
          <w:szCs w:val="19"/>
        </w:rPr>
        <w:t xml:space="preserve">2. </w:t>
      </w:r>
      <w:r>
        <w:rPr>
          <w:spacing w:val="12"/>
          <w:sz w:val="19"/>
          <w:szCs w:val="19"/>
        </w:rPr>
        <w:t>真实性评价</w:t>
      </w:r>
      <w:r>
        <w:rPr>
          <w:spacing w:val="88"/>
          <w:sz w:val="19"/>
          <w:szCs w:val="19"/>
        </w:rPr>
        <w:t xml:space="preserve"> </w:t>
      </w:r>
      <w:r>
        <w:rPr>
          <w:rFonts w:ascii="宋体" w:hAnsi="宋体" w:eastAsia="宋体" w:cs="宋体"/>
          <w:spacing w:val="12"/>
          <w:sz w:val="19"/>
          <w:szCs w:val="19"/>
        </w:rPr>
        <w:t>实际研究中，扩大10%左右的检查样本，选择了经确诊的</w:t>
      </w:r>
      <w:r>
        <w:rPr>
          <w:rFonts w:ascii="宋体" w:hAnsi="宋体" w:eastAsia="宋体" w:cs="宋体"/>
          <w:spacing w:val="11"/>
          <w:sz w:val="19"/>
          <w:szCs w:val="19"/>
        </w:rPr>
        <w:t>前列腺癌病人294</w:t>
      </w:r>
      <w:r>
        <w:rPr>
          <w:rFonts w:ascii="宋体" w:hAnsi="宋体" w:eastAsia="宋体" w:cs="宋体"/>
          <w:sz w:val="19"/>
          <w:szCs w:val="19"/>
        </w:rPr>
        <w:t xml:space="preserve"> </w:t>
      </w:r>
      <w:r>
        <w:rPr>
          <w:rFonts w:ascii="宋体" w:hAnsi="宋体" w:eastAsia="宋体" w:cs="宋体"/>
          <w:spacing w:val="6"/>
          <w:sz w:val="19"/>
          <w:szCs w:val="19"/>
        </w:rPr>
        <w:t>名，非前列腺癌者392名。用待评价的方法对两组对象进行</w:t>
      </w:r>
      <w:r>
        <w:rPr>
          <w:rFonts w:ascii="宋体" w:hAnsi="宋体" w:eastAsia="宋体" w:cs="宋体"/>
          <w:sz w:val="19"/>
          <w:szCs w:val="19"/>
        </w:rPr>
        <w:t>PSA</w:t>
      </w:r>
      <w:r>
        <w:rPr>
          <w:rFonts w:ascii="宋体" w:hAnsi="宋体" w:eastAsia="宋体" w:cs="宋体"/>
          <w:spacing w:val="6"/>
          <w:sz w:val="19"/>
          <w:szCs w:val="19"/>
        </w:rPr>
        <w:t xml:space="preserve"> 检测，整理结果见表7-5。</w:t>
      </w:r>
    </w:p>
    <w:p w14:paraId="056781B9">
      <w:pPr>
        <w:spacing w:before="113" w:line="218" w:lineRule="auto"/>
        <w:ind w:left="3310"/>
        <w:rPr>
          <w:rFonts w:ascii="宋体" w:hAnsi="宋体" w:eastAsia="宋体" w:cs="宋体"/>
          <w:sz w:val="21"/>
          <w:szCs w:val="21"/>
        </w:rPr>
      </w:pPr>
      <w:r>
        <w:rPr>
          <w:rFonts w:ascii="宋体" w:hAnsi="宋体" w:eastAsia="宋体" w:cs="宋体"/>
          <w:spacing w:val="-1"/>
          <w:sz w:val="21"/>
          <w:szCs w:val="21"/>
        </w:rPr>
        <w:t>表7-5 PSA新方法真实性评价结果整理</w:t>
      </w:r>
    </w:p>
    <w:tbl>
      <w:tblPr>
        <w:tblStyle w:val="5"/>
        <w:tblW w:w="8000" w:type="dxa"/>
        <w:tblInd w:w="105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0" w:type="dxa"/>
          <w:left w:w="0" w:type="dxa"/>
          <w:bottom w:w="0" w:type="dxa"/>
          <w:right w:w="0" w:type="dxa"/>
        </w:tblCellMar>
      </w:tblPr>
      <w:tblGrid>
        <w:gridCol w:w="2320"/>
        <w:gridCol w:w="3820"/>
        <w:gridCol w:w="1860"/>
      </w:tblGrid>
      <w:tr w14:paraId="5BBC1FE9">
        <w:trPr>
          <w:trHeight w:val="363" w:hRule="atLeast"/>
        </w:trPr>
        <w:tc>
          <w:tcPr>
            <w:tcW w:w="2320" w:type="dxa"/>
            <w:vMerge w:val="restart"/>
            <w:tcBorders>
              <w:top w:val="single" w:color="000000" w:sz="4" w:space="0"/>
              <w:bottom w:val="nil"/>
            </w:tcBorders>
            <w:shd w:val="clear" w:color="auto" w:fill="BAC3BD"/>
            <w:vAlign w:val="top"/>
          </w:tcPr>
          <w:p w14:paraId="472AA151">
            <w:pPr>
              <w:pStyle w:val="6"/>
              <w:spacing w:before="253" w:line="219" w:lineRule="auto"/>
              <w:ind w:left="739"/>
              <w:rPr>
                <w:sz w:val="21"/>
                <w:szCs w:val="21"/>
              </w:rPr>
            </w:pPr>
            <w:r>
              <w:rPr>
                <w:spacing w:val="-2"/>
                <w:sz w:val="21"/>
                <w:szCs w:val="21"/>
              </w:rPr>
              <w:t>筛检试验</w:t>
            </w:r>
          </w:p>
        </w:tc>
        <w:tc>
          <w:tcPr>
            <w:tcW w:w="5680" w:type="dxa"/>
            <w:gridSpan w:val="2"/>
            <w:tcBorders>
              <w:top w:val="single" w:color="000000" w:sz="4" w:space="0"/>
              <w:bottom w:val="single" w:color="000000" w:sz="4" w:space="0"/>
            </w:tcBorders>
            <w:shd w:val="clear" w:color="auto" w:fill="BBC3BA"/>
            <w:vAlign w:val="top"/>
          </w:tcPr>
          <w:p w14:paraId="7A2B0C47">
            <w:pPr>
              <w:pStyle w:val="6"/>
              <w:spacing w:before="83" w:line="219" w:lineRule="auto"/>
              <w:ind w:left="2000"/>
              <w:rPr>
                <w:sz w:val="21"/>
                <w:szCs w:val="21"/>
              </w:rPr>
            </w:pPr>
            <w:r>
              <w:rPr>
                <w:spacing w:val="1"/>
                <w:sz w:val="21"/>
                <w:szCs w:val="21"/>
              </w:rPr>
              <w:t>前列腺癌临床诊断</w:t>
            </w:r>
          </w:p>
        </w:tc>
      </w:tr>
      <w:tr w14:paraId="4C4572AB">
        <w:trPr>
          <w:trHeight w:val="338" w:hRule="atLeast"/>
        </w:trPr>
        <w:tc>
          <w:tcPr>
            <w:tcW w:w="2320" w:type="dxa"/>
            <w:vMerge w:val="continue"/>
            <w:tcBorders>
              <w:top w:val="nil"/>
              <w:bottom w:val="single" w:color="000000" w:sz="4" w:space="0"/>
            </w:tcBorders>
            <w:vAlign w:val="top"/>
          </w:tcPr>
          <w:p w14:paraId="024CFBBD">
            <w:pPr>
              <w:rPr>
                <w:rFonts w:ascii="Arial"/>
                <w:sz w:val="21"/>
              </w:rPr>
            </w:pPr>
          </w:p>
        </w:tc>
        <w:tc>
          <w:tcPr>
            <w:tcW w:w="3820" w:type="dxa"/>
            <w:tcBorders>
              <w:top w:val="single" w:color="000000" w:sz="4" w:space="0"/>
              <w:bottom w:val="single" w:color="000000" w:sz="4" w:space="0"/>
            </w:tcBorders>
            <w:shd w:val="clear" w:color="auto" w:fill="B9BEB7"/>
            <w:vAlign w:val="top"/>
          </w:tcPr>
          <w:p w14:paraId="09E11C3C">
            <w:pPr>
              <w:pStyle w:val="6"/>
              <w:spacing w:before="71" w:line="221" w:lineRule="auto"/>
              <w:ind w:left="1700"/>
              <w:rPr>
                <w:sz w:val="21"/>
                <w:szCs w:val="21"/>
              </w:rPr>
            </w:pPr>
            <w:r>
              <w:rPr>
                <w:spacing w:val="8"/>
                <w:sz w:val="21"/>
                <w:szCs w:val="21"/>
              </w:rPr>
              <w:t>病例</w:t>
            </w:r>
          </w:p>
        </w:tc>
        <w:tc>
          <w:tcPr>
            <w:tcW w:w="1860" w:type="dxa"/>
            <w:tcBorders>
              <w:top w:val="single" w:color="000000" w:sz="4" w:space="0"/>
              <w:bottom w:val="single" w:color="000000" w:sz="4" w:space="0"/>
            </w:tcBorders>
            <w:shd w:val="clear" w:color="auto" w:fill="AAAEA5"/>
            <w:vAlign w:val="top"/>
          </w:tcPr>
          <w:p w14:paraId="165FE508">
            <w:pPr>
              <w:pStyle w:val="6"/>
              <w:spacing w:before="71" w:line="220" w:lineRule="auto"/>
              <w:ind w:left="109"/>
              <w:rPr>
                <w:sz w:val="21"/>
                <w:szCs w:val="21"/>
              </w:rPr>
            </w:pPr>
            <w:r>
              <w:rPr>
                <w:spacing w:val="5"/>
                <w:sz w:val="21"/>
                <w:szCs w:val="21"/>
              </w:rPr>
              <w:t>非病例</w:t>
            </w:r>
          </w:p>
        </w:tc>
      </w:tr>
      <w:tr w14:paraId="691663AA">
        <w:trPr>
          <w:trHeight w:val="388" w:hRule="atLeast"/>
        </w:trPr>
        <w:tc>
          <w:tcPr>
            <w:tcW w:w="2320" w:type="dxa"/>
            <w:tcBorders>
              <w:top w:val="single" w:color="000000" w:sz="4" w:space="0"/>
              <w:bottom w:val="single" w:color="000000" w:sz="4" w:space="0"/>
            </w:tcBorders>
            <w:vAlign w:val="top"/>
          </w:tcPr>
          <w:p w14:paraId="3766A15D">
            <w:pPr>
              <w:pStyle w:val="6"/>
              <w:spacing w:before="93" w:line="220" w:lineRule="auto"/>
              <w:ind w:left="949"/>
              <w:rPr>
                <w:sz w:val="21"/>
                <w:szCs w:val="21"/>
              </w:rPr>
            </w:pPr>
            <w:r>
              <w:rPr>
                <w:spacing w:val="4"/>
                <w:sz w:val="21"/>
                <w:szCs w:val="21"/>
              </w:rPr>
              <w:t>阳性</w:t>
            </w:r>
          </w:p>
        </w:tc>
        <w:tc>
          <w:tcPr>
            <w:tcW w:w="3820" w:type="dxa"/>
            <w:tcBorders>
              <w:top w:val="single" w:color="000000" w:sz="4" w:space="0"/>
              <w:bottom w:val="single" w:color="000000" w:sz="4" w:space="0"/>
            </w:tcBorders>
            <w:vAlign w:val="top"/>
          </w:tcPr>
          <w:p w14:paraId="58DDD6E7">
            <w:pPr>
              <w:pStyle w:val="6"/>
              <w:spacing w:before="95" w:line="222" w:lineRule="auto"/>
              <w:ind w:left="1540"/>
              <w:rPr>
                <w:sz w:val="21"/>
                <w:szCs w:val="21"/>
              </w:rPr>
            </w:pPr>
            <w:r>
              <w:rPr>
                <w:spacing w:val="-2"/>
                <w:sz w:val="21"/>
                <w:szCs w:val="21"/>
              </w:rPr>
              <w:t>240(TP)</w:t>
            </w:r>
          </w:p>
        </w:tc>
        <w:tc>
          <w:tcPr>
            <w:tcW w:w="1860" w:type="dxa"/>
            <w:tcBorders>
              <w:top w:val="single" w:color="000000" w:sz="4" w:space="0"/>
              <w:bottom w:val="single" w:color="000000" w:sz="4" w:space="0"/>
            </w:tcBorders>
            <w:vAlign w:val="top"/>
          </w:tcPr>
          <w:p w14:paraId="761C641C">
            <w:pPr>
              <w:pStyle w:val="6"/>
              <w:spacing w:before="95" w:line="222" w:lineRule="auto"/>
              <w:ind w:left="109"/>
              <w:rPr>
                <w:sz w:val="21"/>
                <w:szCs w:val="21"/>
              </w:rPr>
            </w:pPr>
            <w:r>
              <w:rPr>
                <w:spacing w:val="-3"/>
                <w:sz w:val="21"/>
                <w:szCs w:val="21"/>
              </w:rPr>
              <w:t>110(FP)</w:t>
            </w:r>
          </w:p>
        </w:tc>
      </w:tr>
      <w:tr w14:paraId="56A32DD7">
        <w:trPr>
          <w:trHeight w:val="398" w:hRule="atLeast"/>
        </w:trPr>
        <w:tc>
          <w:tcPr>
            <w:tcW w:w="2320" w:type="dxa"/>
            <w:tcBorders>
              <w:top w:val="single" w:color="000000" w:sz="4" w:space="0"/>
              <w:bottom w:val="single" w:color="000000" w:sz="4" w:space="0"/>
            </w:tcBorders>
            <w:shd w:val="clear" w:color="auto" w:fill="CBCCCF"/>
            <w:vAlign w:val="top"/>
          </w:tcPr>
          <w:p w14:paraId="61916943">
            <w:pPr>
              <w:pStyle w:val="6"/>
              <w:spacing w:before="105" w:line="220" w:lineRule="auto"/>
              <w:ind w:left="949"/>
              <w:rPr>
                <w:sz w:val="21"/>
                <w:szCs w:val="21"/>
              </w:rPr>
            </w:pPr>
            <w:r>
              <w:rPr>
                <w:spacing w:val="4"/>
                <w:sz w:val="21"/>
                <w:szCs w:val="21"/>
              </w:rPr>
              <w:t>阴性</w:t>
            </w:r>
          </w:p>
        </w:tc>
        <w:tc>
          <w:tcPr>
            <w:tcW w:w="3820" w:type="dxa"/>
            <w:tcBorders>
              <w:top w:val="single" w:color="000000" w:sz="4" w:space="0"/>
              <w:bottom w:val="single" w:color="000000" w:sz="4" w:space="0"/>
            </w:tcBorders>
            <w:shd w:val="clear" w:color="auto" w:fill="CBCCCC"/>
            <w:vAlign w:val="top"/>
          </w:tcPr>
          <w:p w14:paraId="38746BB7">
            <w:pPr>
              <w:pStyle w:val="6"/>
              <w:spacing w:before="107" w:line="222" w:lineRule="auto"/>
              <w:ind w:left="1589"/>
              <w:rPr>
                <w:sz w:val="21"/>
                <w:szCs w:val="21"/>
              </w:rPr>
            </w:pPr>
            <w:r>
              <w:rPr>
                <w:spacing w:val="-2"/>
                <w:sz w:val="21"/>
                <w:szCs w:val="21"/>
              </w:rPr>
              <w:t>54(FN)</w:t>
            </w:r>
          </w:p>
        </w:tc>
        <w:tc>
          <w:tcPr>
            <w:tcW w:w="1860" w:type="dxa"/>
            <w:tcBorders>
              <w:top w:val="single" w:color="000000" w:sz="4" w:space="0"/>
              <w:bottom w:val="single" w:color="000000" w:sz="4" w:space="0"/>
            </w:tcBorders>
            <w:shd w:val="clear" w:color="auto" w:fill="C7C9C5"/>
            <w:vAlign w:val="top"/>
          </w:tcPr>
          <w:p w14:paraId="63BD9A63">
            <w:pPr>
              <w:pStyle w:val="6"/>
              <w:spacing w:before="107" w:line="222" w:lineRule="auto"/>
              <w:ind w:left="109"/>
              <w:rPr>
                <w:sz w:val="21"/>
                <w:szCs w:val="21"/>
              </w:rPr>
            </w:pPr>
            <w:r>
              <w:rPr>
                <w:spacing w:val="-2"/>
                <w:sz w:val="21"/>
                <w:szCs w:val="21"/>
              </w:rPr>
              <w:t>282(TN)</w:t>
            </w:r>
          </w:p>
        </w:tc>
      </w:tr>
      <w:tr w14:paraId="76ED01B0">
        <w:trPr>
          <w:trHeight w:val="392" w:hRule="atLeast"/>
        </w:trPr>
        <w:tc>
          <w:tcPr>
            <w:tcW w:w="2320" w:type="dxa"/>
            <w:tcBorders>
              <w:top w:val="single" w:color="000000" w:sz="4" w:space="0"/>
              <w:bottom w:val="single" w:color="000000" w:sz="4" w:space="0"/>
            </w:tcBorders>
            <w:vAlign w:val="top"/>
          </w:tcPr>
          <w:p w14:paraId="12B46E70">
            <w:pPr>
              <w:pStyle w:val="6"/>
              <w:spacing w:before="97" w:line="221" w:lineRule="auto"/>
              <w:ind w:left="949"/>
              <w:rPr>
                <w:sz w:val="21"/>
                <w:szCs w:val="21"/>
              </w:rPr>
            </w:pPr>
            <w:r>
              <w:rPr>
                <w:spacing w:val="-3"/>
                <w:sz w:val="21"/>
                <w:szCs w:val="21"/>
              </w:rPr>
              <w:t>合计</w:t>
            </w:r>
          </w:p>
        </w:tc>
        <w:tc>
          <w:tcPr>
            <w:tcW w:w="3820" w:type="dxa"/>
            <w:tcBorders>
              <w:top w:val="single" w:color="000000" w:sz="4" w:space="0"/>
              <w:bottom w:val="single" w:color="000000" w:sz="4" w:space="0"/>
            </w:tcBorders>
            <w:vAlign w:val="top"/>
          </w:tcPr>
          <w:p w14:paraId="2B20D999">
            <w:pPr>
              <w:pStyle w:val="6"/>
              <w:spacing w:before="96" w:line="219" w:lineRule="auto"/>
              <w:ind w:left="1490"/>
              <w:rPr>
                <w:sz w:val="21"/>
                <w:szCs w:val="21"/>
              </w:rPr>
            </w:pPr>
            <w:r>
              <w:rPr>
                <w:spacing w:val="-2"/>
                <w:sz w:val="21"/>
                <w:szCs w:val="21"/>
              </w:rPr>
              <w:t>294(C</w:t>
            </w:r>
            <w:r>
              <w:rPr>
                <w:rFonts w:ascii="Calibri" w:hAnsi="Calibri" w:eastAsia="Calibri" w:cs="Calibri"/>
                <w:spacing w:val="-2"/>
                <w:sz w:val="21"/>
                <w:szCs w:val="21"/>
              </w:rPr>
              <w:t>₁</w:t>
            </w:r>
            <w:r>
              <w:rPr>
                <w:spacing w:val="-2"/>
                <w:sz w:val="21"/>
                <w:szCs w:val="21"/>
              </w:rPr>
              <w:t>)</w:t>
            </w:r>
          </w:p>
        </w:tc>
        <w:tc>
          <w:tcPr>
            <w:tcW w:w="1860" w:type="dxa"/>
            <w:tcBorders>
              <w:top w:val="single" w:color="000000" w:sz="4" w:space="0"/>
              <w:bottom w:val="single" w:color="000000" w:sz="4" w:space="0"/>
            </w:tcBorders>
            <w:vAlign w:val="top"/>
          </w:tcPr>
          <w:p w14:paraId="031A65EF">
            <w:pPr>
              <w:pStyle w:val="6"/>
              <w:spacing w:before="96" w:line="220" w:lineRule="auto"/>
              <w:ind w:left="109"/>
              <w:rPr>
                <w:sz w:val="21"/>
                <w:szCs w:val="21"/>
              </w:rPr>
            </w:pPr>
            <w:r>
              <w:rPr>
                <w:spacing w:val="-2"/>
                <w:sz w:val="21"/>
                <w:szCs w:val="21"/>
              </w:rPr>
              <w:t>392(C</w:t>
            </w:r>
            <w:r>
              <w:rPr>
                <w:rFonts w:ascii="Calibri" w:hAnsi="Calibri" w:eastAsia="Calibri" w:cs="Calibri"/>
                <w:spacing w:val="-2"/>
                <w:sz w:val="21"/>
                <w:szCs w:val="21"/>
              </w:rPr>
              <w:t>₂</w:t>
            </w:r>
            <w:r>
              <w:rPr>
                <w:spacing w:val="-2"/>
                <w:sz w:val="21"/>
                <w:szCs w:val="21"/>
              </w:rPr>
              <w:t>)</w:t>
            </w:r>
          </w:p>
        </w:tc>
      </w:tr>
    </w:tbl>
    <w:p w14:paraId="7BACC416">
      <w:pPr>
        <w:spacing w:line="326" w:lineRule="auto"/>
        <w:rPr>
          <w:rFonts w:ascii="Arial"/>
          <w:sz w:val="21"/>
        </w:rPr>
      </w:pPr>
    </w:p>
    <w:p w14:paraId="3040A847">
      <w:pPr>
        <w:spacing w:before="62" w:line="216" w:lineRule="auto"/>
        <w:ind w:left="1040"/>
        <w:rPr>
          <w:rFonts w:ascii="宋体" w:hAnsi="宋体" w:eastAsia="宋体" w:cs="宋体"/>
          <w:sz w:val="19"/>
          <w:szCs w:val="19"/>
        </w:rPr>
      </w:pPr>
      <w:r>
        <w:rPr>
          <w:rFonts w:ascii="宋体" w:hAnsi="宋体" w:eastAsia="宋体" w:cs="宋体"/>
          <w:spacing w:val="3"/>
          <w:sz w:val="19"/>
          <w:szCs w:val="19"/>
        </w:rPr>
        <w:t>根据式(7-2)至式(7-8),计算下列真实性指标，得：</w:t>
      </w:r>
    </w:p>
    <w:p w14:paraId="6C4FF526">
      <w:pPr>
        <w:spacing w:line="216" w:lineRule="auto"/>
        <w:rPr>
          <w:rFonts w:ascii="宋体" w:hAnsi="宋体" w:eastAsia="宋体" w:cs="宋体"/>
          <w:sz w:val="19"/>
          <w:szCs w:val="19"/>
        </w:rPr>
        <w:sectPr>
          <w:headerReference r:id="rId150" w:type="default"/>
          <w:footerReference r:id="rId151" w:type="default"/>
          <w:pgSz w:w="11900" w:h="16820"/>
          <w:pgMar w:top="400" w:right="1741" w:bottom="822" w:left="1029" w:header="0" w:footer="651" w:gutter="0"/>
          <w:cols w:space="720" w:num="1"/>
        </w:sectPr>
      </w:pPr>
    </w:p>
    <w:p w14:paraId="65DFEF32">
      <w:pPr>
        <w:spacing w:line="277" w:lineRule="auto"/>
        <w:rPr>
          <w:rFonts w:ascii="Arial"/>
          <w:sz w:val="21"/>
        </w:rPr>
      </w:pPr>
    </w:p>
    <w:p w14:paraId="43D41D7A">
      <w:pPr>
        <w:pStyle w:val="2"/>
        <w:spacing w:before="68" w:line="222" w:lineRule="auto"/>
        <w:ind w:left="7940"/>
        <w:rPr>
          <w:sz w:val="21"/>
          <w:szCs w:val="21"/>
        </w:rPr>
      </w:pPr>
      <w:bookmarkStart w:id="210" w:name="bookmark473"/>
      <w:bookmarkEnd w:id="210"/>
      <w:r>
        <w:rPr>
          <w:spacing w:val="-15"/>
          <w:sz w:val="21"/>
          <w:szCs w:val="21"/>
        </w:rPr>
        <w:t>第七章 筛检</w:t>
      </w:r>
    </w:p>
    <w:p w14:paraId="06D8E6B1">
      <w:pPr>
        <w:spacing w:line="258" w:lineRule="auto"/>
        <w:rPr>
          <w:rFonts w:ascii="Arial"/>
          <w:sz w:val="21"/>
        </w:rPr>
      </w:pPr>
    </w:p>
    <w:p w14:paraId="0D9AF568">
      <w:pPr>
        <w:spacing w:line="259" w:lineRule="auto"/>
        <w:rPr>
          <w:rFonts w:ascii="Arial"/>
          <w:sz w:val="21"/>
        </w:rPr>
      </w:pPr>
    </w:p>
    <w:p w14:paraId="5383A471">
      <w:pPr>
        <w:spacing w:before="68" w:line="219" w:lineRule="auto"/>
        <w:ind w:left="2040"/>
        <w:rPr>
          <w:rFonts w:ascii="宋体" w:hAnsi="宋体" w:eastAsia="宋体" w:cs="宋体"/>
          <w:sz w:val="21"/>
          <w:szCs w:val="21"/>
        </w:rPr>
      </w:pPr>
      <w:r>
        <w:rPr>
          <w:rFonts w:ascii="宋体" w:hAnsi="宋体" w:eastAsia="宋体" w:cs="宋体"/>
          <w:spacing w:val="3"/>
          <w:sz w:val="21"/>
          <w:szCs w:val="21"/>
        </w:rPr>
        <w:t>灵敏度=240/(240+54)×100%=81.6%</w:t>
      </w:r>
    </w:p>
    <w:p w14:paraId="27567BBF">
      <w:pPr>
        <w:spacing w:before="109" w:line="219" w:lineRule="auto"/>
        <w:ind w:left="2010"/>
        <w:rPr>
          <w:rFonts w:ascii="宋体" w:hAnsi="宋体" w:eastAsia="宋体" w:cs="宋体"/>
          <w:sz w:val="21"/>
          <w:szCs w:val="21"/>
        </w:rPr>
      </w:pPr>
      <w:r>
        <w:rPr>
          <w:rFonts w:ascii="宋体" w:hAnsi="宋体" w:eastAsia="宋体" w:cs="宋体"/>
          <w:spacing w:val="6"/>
          <w:sz w:val="21"/>
          <w:szCs w:val="21"/>
        </w:rPr>
        <w:t>假阴性率=54/(240+54)×100%=100%-81</w:t>
      </w:r>
      <w:r>
        <w:rPr>
          <w:rFonts w:ascii="宋体" w:hAnsi="宋体" w:eastAsia="宋体" w:cs="宋体"/>
          <w:spacing w:val="5"/>
          <w:sz w:val="21"/>
          <w:szCs w:val="21"/>
        </w:rPr>
        <w:t>.6%=18.4%</w:t>
      </w:r>
    </w:p>
    <w:p w14:paraId="78759194">
      <w:pPr>
        <w:spacing w:before="142" w:line="219" w:lineRule="auto"/>
        <w:ind w:left="2030"/>
        <w:rPr>
          <w:rFonts w:ascii="宋体" w:hAnsi="宋体" w:eastAsia="宋体" w:cs="宋体"/>
          <w:sz w:val="21"/>
          <w:szCs w:val="21"/>
        </w:rPr>
      </w:pPr>
      <w:r>
        <w:rPr>
          <w:rFonts w:ascii="宋体" w:hAnsi="宋体" w:eastAsia="宋体" w:cs="宋体"/>
          <w:spacing w:val="3"/>
          <w:sz w:val="21"/>
          <w:szCs w:val="21"/>
        </w:rPr>
        <w:t>特异度=282/(110+282)×100%=71.9%</w:t>
      </w:r>
    </w:p>
    <w:p w14:paraId="2A53D8CE">
      <w:pPr>
        <w:spacing w:before="109" w:line="219" w:lineRule="auto"/>
        <w:ind w:left="2040"/>
        <w:rPr>
          <w:rFonts w:ascii="宋体" w:hAnsi="宋体" w:eastAsia="宋体" w:cs="宋体"/>
          <w:sz w:val="21"/>
          <w:szCs w:val="21"/>
        </w:rPr>
      </w:pPr>
      <w:r>
        <w:rPr>
          <w:rFonts w:ascii="宋体" w:hAnsi="宋体" w:eastAsia="宋体" w:cs="宋体"/>
          <w:spacing w:val="5"/>
          <w:sz w:val="21"/>
          <w:szCs w:val="21"/>
        </w:rPr>
        <w:t>假阳性率=110/(110+282)×100%=100%-71.9%=28.1%</w:t>
      </w:r>
    </w:p>
    <w:p w14:paraId="3B7FF5B1">
      <w:pPr>
        <w:spacing w:before="132" w:line="219" w:lineRule="auto"/>
        <w:ind w:left="2040"/>
        <w:rPr>
          <w:rFonts w:ascii="宋体" w:hAnsi="宋体" w:eastAsia="宋体" w:cs="宋体"/>
          <w:sz w:val="21"/>
          <w:szCs w:val="21"/>
        </w:rPr>
      </w:pPr>
      <w:r>
        <w:rPr>
          <w:rFonts w:ascii="宋体" w:hAnsi="宋体" w:eastAsia="宋体" w:cs="宋体"/>
          <w:spacing w:val="-5"/>
          <w:sz w:val="21"/>
          <w:szCs w:val="21"/>
        </w:rPr>
        <w:t>正确指数=0.816+0.719-1.00=0.54</w:t>
      </w:r>
    </w:p>
    <w:p w14:paraId="7C55F4FE">
      <w:pPr>
        <w:spacing w:before="132" w:line="220" w:lineRule="auto"/>
        <w:ind w:left="2040"/>
        <w:rPr>
          <w:rFonts w:ascii="宋体" w:hAnsi="宋体" w:eastAsia="宋体" w:cs="宋体"/>
          <w:sz w:val="21"/>
          <w:szCs w:val="21"/>
        </w:rPr>
      </w:pPr>
      <w:r>
        <w:rPr>
          <w:rFonts w:ascii="宋体" w:hAnsi="宋体" w:eastAsia="宋体" w:cs="宋体"/>
          <w:spacing w:val="-6"/>
          <w:sz w:val="21"/>
          <w:szCs w:val="21"/>
        </w:rPr>
        <w:t>阳性似然比=0.816/0.281=2.90</w:t>
      </w:r>
    </w:p>
    <w:p w14:paraId="61CA7E14">
      <w:pPr>
        <w:spacing w:before="120" w:line="220" w:lineRule="auto"/>
        <w:ind w:left="2050"/>
        <w:rPr>
          <w:rFonts w:ascii="宋体" w:hAnsi="宋体" w:eastAsia="宋体" w:cs="宋体"/>
          <w:sz w:val="21"/>
          <w:szCs w:val="21"/>
        </w:rPr>
      </w:pPr>
      <w:r>
        <w:rPr>
          <w:rFonts w:ascii="宋体" w:hAnsi="宋体" w:eastAsia="宋体" w:cs="宋体"/>
          <w:spacing w:val="-6"/>
          <w:sz w:val="21"/>
          <w:szCs w:val="21"/>
        </w:rPr>
        <w:t>阴性似然比=0.184/0.719=0.26</w:t>
      </w:r>
    </w:p>
    <w:p w14:paraId="7547C718">
      <w:pPr>
        <w:spacing w:line="297" w:lineRule="auto"/>
        <w:rPr>
          <w:rFonts w:ascii="Arial"/>
          <w:sz w:val="21"/>
        </w:rPr>
      </w:pPr>
    </w:p>
    <w:p w14:paraId="42E27121">
      <w:pPr>
        <w:pStyle w:val="2"/>
        <w:spacing w:before="69" w:line="222" w:lineRule="auto"/>
        <w:ind w:left="409"/>
        <w:rPr>
          <w:rFonts w:ascii="宋体" w:hAnsi="宋体" w:eastAsia="宋体" w:cs="宋体"/>
          <w:sz w:val="21"/>
          <w:szCs w:val="21"/>
        </w:rPr>
      </w:pPr>
      <w:r>
        <w:rPr>
          <w:rFonts w:ascii="宋体" w:hAnsi="宋体" w:eastAsia="宋体" w:cs="宋体"/>
          <w:spacing w:val="-5"/>
          <w:sz w:val="21"/>
          <w:szCs w:val="21"/>
        </w:rPr>
        <w:t>3.</w:t>
      </w:r>
      <w:r>
        <w:rPr>
          <w:rFonts w:ascii="宋体" w:hAnsi="宋体" w:eastAsia="宋体" w:cs="宋体"/>
          <w:spacing w:val="-33"/>
          <w:sz w:val="21"/>
          <w:szCs w:val="21"/>
        </w:rPr>
        <w:t xml:space="preserve"> </w:t>
      </w:r>
      <w:r>
        <w:rPr>
          <w:spacing w:val="-5"/>
          <w:sz w:val="21"/>
          <w:szCs w:val="21"/>
        </w:rPr>
        <w:t xml:space="preserve">可靠性分析  </w:t>
      </w:r>
      <w:r>
        <w:rPr>
          <w:rFonts w:ascii="宋体" w:hAnsi="宋体" w:eastAsia="宋体" w:cs="宋体"/>
          <w:spacing w:val="-5"/>
          <w:sz w:val="21"/>
          <w:szCs w:val="21"/>
        </w:rPr>
        <w:t>同时，研究者对所有686名对象的血样进行了两次重复检测，</w:t>
      </w:r>
      <w:r>
        <w:rPr>
          <w:rFonts w:ascii="宋体" w:hAnsi="宋体" w:eastAsia="宋体" w:cs="宋体"/>
          <w:spacing w:val="-6"/>
          <w:sz w:val="21"/>
          <w:szCs w:val="21"/>
        </w:rPr>
        <w:t>结果整理见表7-6。</w:t>
      </w:r>
    </w:p>
    <w:p w14:paraId="4A1AB486">
      <w:pPr>
        <w:spacing w:before="268" w:line="219" w:lineRule="auto"/>
        <w:ind w:left="3009"/>
        <w:rPr>
          <w:rFonts w:ascii="宋体" w:hAnsi="宋体" w:eastAsia="宋体" w:cs="宋体"/>
          <w:sz w:val="21"/>
          <w:szCs w:val="21"/>
        </w:rPr>
      </w:pPr>
      <w:r>
        <w:rPr>
          <w:rFonts w:ascii="宋体" w:hAnsi="宋体" w:eastAsia="宋体" w:cs="宋体"/>
          <w:spacing w:val="-1"/>
          <w:sz w:val="21"/>
          <w:szCs w:val="21"/>
        </w:rPr>
        <w:t>表7-6 PSA两次重复检测结果整理</w:t>
      </w:r>
    </w:p>
    <w:p w14:paraId="549AC917">
      <w:pPr>
        <w:spacing w:line="84" w:lineRule="auto"/>
        <w:rPr>
          <w:rFonts w:ascii="Arial"/>
          <w:sz w:val="2"/>
        </w:rPr>
      </w:pPr>
    </w:p>
    <w:tbl>
      <w:tblPr>
        <w:tblStyle w:val="5"/>
        <w:tblW w:w="8979" w:type="dxa"/>
        <w:tblInd w:w="9"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0" w:type="dxa"/>
          <w:left w:w="0" w:type="dxa"/>
          <w:bottom w:w="0" w:type="dxa"/>
          <w:right w:w="0" w:type="dxa"/>
        </w:tblCellMar>
      </w:tblPr>
      <w:tblGrid>
        <w:gridCol w:w="2290"/>
        <w:gridCol w:w="2860"/>
        <w:gridCol w:w="1620"/>
        <w:gridCol w:w="2209"/>
      </w:tblGrid>
      <w:tr w14:paraId="1C2D6AE3">
        <w:trPr>
          <w:trHeight w:val="332" w:hRule="atLeast"/>
        </w:trPr>
        <w:tc>
          <w:tcPr>
            <w:tcW w:w="2290" w:type="dxa"/>
            <w:vMerge w:val="restart"/>
            <w:tcBorders>
              <w:top w:val="single" w:color="000000" w:sz="4" w:space="0"/>
              <w:bottom w:val="nil"/>
            </w:tcBorders>
            <w:shd w:val="clear" w:color="auto" w:fill="C4CFCE"/>
            <w:vAlign w:val="top"/>
          </w:tcPr>
          <w:p w14:paraId="4451DAFE">
            <w:pPr>
              <w:pStyle w:val="6"/>
              <w:spacing w:before="263" w:line="219" w:lineRule="auto"/>
              <w:ind w:left="619"/>
              <w:rPr>
                <w:sz w:val="21"/>
                <w:szCs w:val="21"/>
              </w:rPr>
            </w:pPr>
            <w:r>
              <w:rPr>
                <w:spacing w:val="3"/>
                <w:sz w:val="21"/>
                <w:szCs w:val="21"/>
              </w:rPr>
              <w:t>第二次检测</w:t>
            </w:r>
          </w:p>
        </w:tc>
        <w:tc>
          <w:tcPr>
            <w:tcW w:w="2860" w:type="dxa"/>
            <w:tcBorders>
              <w:top w:val="single" w:color="000000" w:sz="4" w:space="0"/>
            </w:tcBorders>
            <w:vAlign w:val="top"/>
          </w:tcPr>
          <w:p w14:paraId="605328FA">
            <w:pPr>
              <w:pStyle w:val="6"/>
              <w:spacing w:before="83" w:line="210" w:lineRule="auto"/>
              <w:ind w:left="1709"/>
              <w:rPr>
                <w:sz w:val="21"/>
                <w:szCs w:val="21"/>
              </w:rPr>
            </w:pPr>
            <w:r>
              <mc:AlternateContent>
                <mc:Choice Requires="wps">
                  <w:drawing>
                    <wp:anchor distT="0" distB="0" distL="0" distR="0" simplePos="0" relativeHeight="251810816" behindDoc="1" locked="0" layoutInCell="1" allowOverlap="1">
                      <wp:simplePos x="0" y="0"/>
                      <wp:positionH relativeFrom="column">
                        <wp:posOffset>0</wp:posOffset>
                      </wp:positionH>
                      <wp:positionV relativeFrom="paragraph">
                        <wp:posOffset>-3175</wp:posOffset>
                      </wp:positionV>
                      <wp:extent cx="2844800" cy="241300"/>
                      <wp:effectExtent l="0" t="0" r="0" b="0"/>
                      <wp:wrapNone/>
                      <wp:docPr id="482" name="Rect 482"/>
                      <wp:cNvGraphicFramePr/>
                      <a:graphic xmlns:a="http://schemas.openxmlformats.org/drawingml/2006/main">
                        <a:graphicData uri="http://schemas.microsoft.com/office/word/2010/wordprocessingShape">
                          <wps:wsp>
                            <wps:cNvSpPr/>
                            <wps:spPr>
                              <a:xfrm>
                                <a:off x="22" y="-3337"/>
                                <a:ext cx="2844800" cy="241300"/>
                              </a:xfrm>
                              <a:prstGeom prst="rect">
                                <a:avLst/>
                              </a:prstGeom>
                              <a:solidFill>
                                <a:srgbClr val="BCBDB5"/>
                              </a:solidFill>
                              <a:ln w="0">
                                <a:noFill/>
                              </a:ln>
                            </wps:spPr>
                            <wps:style>
                              <a:lnRef idx="0">
                                <a:schemeClr val="accent1"/>
                              </a:lnRef>
                              <a:fillRef idx="0">
                                <a:schemeClr val="accent1"/>
                              </a:fillRef>
                              <a:effectRef idx="0">
                                <a:schemeClr val="accent1"/>
                              </a:effectRef>
                              <a:fontRef idx="minor">
                                <a:schemeClr val="dk1"/>
                              </a:fontRef>
                            </wps:style>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rect id="Rect 482" o:spid="_x0000_s1026" o:spt="1" style="position:absolute;left:0pt;margin-left:0pt;margin-top:-0.25pt;height:19pt;width:224pt;z-index:-251505664;mso-width-relative:page;mso-height-relative:page;" fillcolor="#BCBDB5" filled="t" stroked="f" coordsize="21600,21600" o:gfxdata="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UF7DjdYAAAAFAQAADwAAAAAAAAABACAAAAAiAAAAZHJzL2Rvd25yZXYueG1sUEsBAhQA&#10;FAAAAAgAh07iQClF0m8tAgAAawQAAA4AAAAAAAAAAQAgAAAAJQEAAGRycy9lMm9Eb2MueG1sUEsF&#10;BgAAAAAGAAYAWQEAAMQFAAAAAA==&#10;">
                      <v:fill on="t" focussize="0,0"/>
                      <v:stroke on="f" weight="0pt"/>
                      <v:imagedata o:title=""/>
                      <o:lock v:ext="edit" aspectratio="f"/>
                      <v:textbox inset="0mm,0mm,0mm,0mm"/>
                    </v:rect>
                  </w:pict>
                </mc:Fallback>
              </mc:AlternateContent>
            </w:r>
            <w:r>
              <w:rPr>
                <w:spacing w:val="3"/>
                <w:sz w:val="21"/>
                <w:szCs w:val="21"/>
              </w:rPr>
              <w:t>第一次检测</w:t>
            </w:r>
          </w:p>
        </w:tc>
        <w:tc>
          <w:tcPr>
            <w:tcW w:w="1620" w:type="dxa"/>
            <w:vMerge w:val="restart"/>
            <w:tcBorders>
              <w:top w:val="single" w:color="000000" w:sz="4" w:space="0"/>
              <w:bottom w:val="nil"/>
            </w:tcBorders>
            <w:vAlign w:val="top"/>
          </w:tcPr>
          <w:p w14:paraId="4A333A34">
            <w:pPr>
              <w:spacing w:line="383" w:lineRule="auto"/>
              <w:rPr>
                <w:rFonts w:ascii="Arial"/>
                <w:sz w:val="21"/>
              </w:rPr>
            </w:pPr>
          </w:p>
          <w:p w14:paraId="3BAE8C6F">
            <w:pPr>
              <w:pStyle w:val="6"/>
              <w:spacing w:before="68" w:line="220" w:lineRule="auto"/>
              <w:ind w:left="309"/>
              <w:rPr>
                <w:sz w:val="21"/>
                <w:szCs w:val="21"/>
              </w:rPr>
            </w:pPr>
            <w:r>
              <mc:AlternateContent>
                <mc:Choice Requires="wps">
                  <w:drawing>
                    <wp:anchor distT="0" distB="0" distL="0" distR="0" simplePos="0" relativeHeight="251808768" behindDoc="1" locked="0" layoutInCell="1" allowOverlap="1">
                      <wp:simplePos x="0" y="0"/>
                      <wp:positionH relativeFrom="column">
                        <wp:posOffset>-368300</wp:posOffset>
                      </wp:positionH>
                      <wp:positionV relativeFrom="paragraph">
                        <wp:posOffset>-6350</wp:posOffset>
                      </wp:positionV>
                      <wp:extent cx="1397635" cy="222885"/>
                      <wp:effectExtent l="0" t="0" r="0" b="0"/>
                      <wp:wrapNone/>
                      <wp:docPr id="484" name="Rect 484"/>
                      <wp:cNvGraphicFramePr/>
                      <a:graphic xmlns:a="http://schemas.openxmlformats.org/drawingml/2006/main">
                        <a:graphicData uri="http://schemas.microsoft.com/office/word/2010/wordprocessingShape">
                          <wps:wsp>
                            <wps:cNvSpPr/>
                            <wps:spPr>
                              <a:xfrm>
                                <a:off x="-368327" y="-6562"/>
                                <a:ext cx="1397635" cy="222884"/>
                              </a:xfrm>
                              <a:prstGeom prst="rect">
                                <a:avLst/>
                              </a:prstGeom>
                              <a:solidFill>
                                <a:srgbClr val="B0B1A7"/>
                              </a:solidFill>
                              <a:ln w="0">
                                <a:noFill/>
                              </a:ln>
                            </wps:spPr>
                            <wps:style>
                              <a:lnRef idx="0">
                                <a:schemeClr val="accent1"/>
                              </a:lnRef>
                              <a:fillRef idx="0">
                                <a:schemeClr val="accent1"/>
                              </a:fillRef>
                              <a:effectRef idx="0">
                                <a:schemeClr val="accent1"/>
                              </a:effectRef>
                              <a:fontRef idx="minor">
                                <a:schemeClr val="dk1"/>
                              </a:fontRef>
                            </wps:style>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rect id="Rect 484" o:spid="_x0000_s1026" o:spt="1" style="position:absolute;left:0pt;margin-left:-29pt;margin-top:-0.5pt;height:17.55pt;width:110.05pt;z-index:-251507712;mso-width-relative:page;mso-height-relative:page;" fillcolor="#B0B1A7" filled="t" stroked="f" coordsize="21600,21600" o:gfxdata="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">
                      <v:fill on="t" focussize="0,0"/>
                      <v:stroke on="f" weight="0pt"/>
                      <v:imagedata o:title=""/>
                      <o:lock v:ext="edit" aspectratio="f"/>
                      <v:textbox inset="0mm,0mm,0mm,0mm"/>
                    </v:rect>
                  </w:pict>
                </mc:Fallback>
              </mc:AlternateContent>
            </w:r>
            <w:r>
              <w:rPr>
                <w:spacing w:val="4"/>
                <w:sz w:val="21"/>
                <w:szCs w:val="21"/>
              </w:rPr>
              <w:t>阴性</w:t>
            </w:r>
          </w:p>
        </w:tc>
        <w:tc>
          <w:tcPr>
            <w:tcW w:w="2209" w:type="dxa"/>
            <w:vMerge w:val="restart"/>
            <w:tcBorders>
              <w:top w:val="single" w:color="000000" w:sz="4" w:space="0"/>
              <w:bottom w:val="nil"/>
            </w:tcBorders>
            <w:shd w:val="clear" w:color="auto" w:fill="BCBDB1"/>
            <w:vAlign w:val="top"/>
          </w:tcPr>
          <w:p w14:paraId="728149FA">
            <w:pPr>
              <w:pStyle w:val="6"/>
              <w:spacing w:before="264" w:line="221" w:lineRule="auto"/>
              <w:ind w:left="890"/>
              <w:rPr>
                <w:sz w:val="21"/>
                <w:szCs w:val="21"/>
              </w:rPr>
            </w:pPr>
            <w:r>
              <w:rPr>
                <w:spacing w:val="-3"/>
                <w:sz w:val="21"/>
                <w:szCs w:val="21"/>
              </w:rPr>
              <w:t>合计</w:t>
            </w:r>
          </w:p>
        </w:tc>
      </w:tr>
      <w:tr w14:paraId="2929A308">
        <w:trPr>
          <w:trHeight w:val="389" w:hRule="atLeast"/>
        </w:trPr>
        <w:tc>
          <w:tcPr>
            <w:tcW w:w="2290" w:type="dxa"/>
            <w:vMerge w:val="continue"/>
            <w:tcBorders>
              <w:top w:val="nil"/>
              <w:bottom w:val="single" w:color="000000" w:sz="4" w:space="0"/>
            </w:tcBorders>
            <w:vAlign w:val="top"/>
          </w:tcPr>
          <w:p w14:paraId="57B0AEBD">
            <w:pPr>
              <w:rPr>
                <w:rFonts w:ascii="Arial"/>
                <w:sz w:val="21"/>
              </w:rPr>
            </w:pPr>
          </w:p>
        </w:tc>
        <w:tc>
          <w:tcPr>
            <w:tcW w:w="2860" w:type="dxa"/>
            <w:tcBorders>
              <w:bottom w:val="single" w:color="000000" w:sz="4" w:space="0"/>
            </w:tcBorders>
            <w:vAlign w:val="top"/>
          </w:tcPr>
          <w:p w14:paraId="5E6D3001">
            <w:pPr>
              <w:pStyle w:val="6"/>
              <w:spacing w:before="42" w:line="337" w:lineRule="exact"/>
            </w:pPr>
            <w:r>
              <w:rPr>
                <w:position w:val="-8"/>
              </w:rPr>
              <w:pict>
                <v:shape id="_x0000_s1114" o:spid="_x0000_s1114" o:spt="202" type="#_x0000_t202" style="height:17.55pt;width:114pt;" fillcolor="#BBBDB7" filled="t" stroked="f" coordsize="21600,21600">
                  <v:path/>
                  <v:fill on="t" focussize="0,0"/>
                  <v:stroke on="f"/>
                  <v:imagedata o:title=""/>
                  <o:lock v:ext="edit" aspectratio="f"/>
                  <v:textbox inset="0mm,0mm,0mm,0mm">
                    <w:txbxContent>
                      <w:p w14:paraId="2464048F">
                        <w:pPr>
                          <w:spacing w:before="79" w:line="220" w:lineRule="auto"/>
                          <w:ind w:left="929"/>
                          <w:rPr>
                            <w:rFonts w:ascii="宋体" w:hAnsi="宋体" w:eastAsia="宋体" w:cs="宋体"/>
                            <w:sz w:val="21"/>
                            <w:szCs w:val="21"/>
                          </w:rPr>
                        </w:pPr>
                        <w:r>
                          <w:rPr>
                            <w:rFonts w:ascii="宋体" w:hAnsi="宋体" w:eastAsia="宋体" w:cs="宋体"/>
                            <w:spacing w:val="4"/>
                            <w:sz w:val="21"/>
                            <w:szCs w:val="21"/>
                          </w:rPr>
                          <w:t>阳性</w:t>
                        </w:r>
                      </w:p>
                    </w:txbxContent>
                  </v:textbox>
                  <w10:wrap type="none"/>
                  <w10:anchorlock/>
                </v:shape>
              </w:pict>
            </w:r>
          </w:p>
        </w:tc>
        <w:tc>
          <w:tcPr>
            <w:tcW w:w="1620" w:type="dxa"/>
            <w:vMerge w:val="continue"/>
            <w:tcBorders>
              <w:top w:val="nil"/>
              <w:bottom w:val="single" w:color="000000" w:sz="4" w:space="0"/>
            </w:tcBorders>
            <w:vAlign w:val="top"/>
          </w:tcPr>
          <w:p w14:paraId="438EF3B6">
            <w:pPr>
              <w:rPr>
                <w:rFonts w:ascii="Arial"/>
                <w:sz w:val="21"/>
              </w:rPr>
            </w:pPr>
          </w:p>
        </w:tc>
        <w:tc>
          <w:tcPr>
            <w:tcW w:w="2209" w:type="dxa"/>
            <w:vMerge w:val="continue"/>
            <w:tcBorders>
              <w:top w:val="nil"/>
              <w:bottom w:val="single" w:color="000000" w:sz="4" w:space="0"/>
            </w:tcBorders>
            <w:vAlign w:val="top"/>
          </w:tcPr>
          <w:p w14:paraId="76864EB4">
            <w:pPr>
              <w:rPr>
                <w:rFonts w:ascii="Arial"/>
                <w:sz w:val="21"/>
              </w:rPr>
            </w:pPr>
          </w:p>
        </w:tc>
      </w:tr>
      <w:tr w14:paraId="358ECDFD">
        <w:trPr>
          <w:trHeight w:val="348" w:hRule="atLeast"/>
        </w:trPr>
        <w:tc>
          <w:tcPr>
            <w:tcW w:w="2290" w:type="dxa"/>
            <w:tcBorders>
              <w:top w:val="single" w:color="000000" w:sz="4" w:space="0"/>
              <w:bottom w:val="single" w:color="000000" w:sz="4" w:space="0"/>
            </w:tcBorders>
            <w:vAlign w:val="top"/>
          </w:tcPr>
          <w:p w14:paraId="41EC32A2">
            <w:pPr>
              <w:pStyle w:val="6"/>
              <w:spacing w:before="73" w:line="220" w:lineRule="auto"/>
              <w:ind w:left="929"/>
              <w:rPr>
                <w:sz w:val="21"/>
                <w:szCs w:val="21"/>
              </w:rPr>
            </w:pPr>
            <w:r>
              <w:rPr>
                <w:spacing w:val="4"/>
                <w:sz w:val="21"/>
                <w:szCs w:val="21"/>
              </w:rPr>
              <w:t>阳性</w:t>
            </w:r>
          </w:p>
        </w:tc>
        <w:tc>
          <w:tcPr>
            <w:tcW w:w="2860" w:type="dxa"/>
            <w:tcBorders>
              <w:top w:val="single" w:color="000000" w:sz="4" w:space="0"/>
              <w:bottom w:val="single" w:color="000000" w:sz="4" w:space="0"/>
            </w:tcBorders>
            <w:vAlign w:val="top"/>
          </w:tcPr>
          <w:p w14:paraId="593A5233">
            <w:pPr>
              <w:pStyle w:val="6"/>
              <w:spacing w:before="76" w:line="222" w:lineRule="auto"/>
              <w:ind w:left="819"/>
              <w:rPr>
                <w:sz w:val="21"/>
                <w:szCs w:val="21"/>
              </w:rPr>
            </w:pPr>
            <w:r>
              <w:rPr>
                <w:spacing w:val="-2"/>
                <w:sz w:val="21"/>
                <w:szCs w:val="21"/>
              </w:rPr>
              <w:t>300(A)</w:t>
            </w:r>
          </w:p>
        </w:tc>
        <w:tc>
          <w:tcPr>
            <w:tcW w:w="1620" w:type="dxa"/>
            <w:tcBorders>
              <w:top w:val="single" w:color="000000" w:sz="4" w:space="0"/>
              <w:bottom w:val="single" w:color="000000" w:sz="4" w:space="0"/>
            </w:tcBorders>
            <w:vAlign w:val="top"/>
          </w:tcPr>
          <w:p w14:paraId="32648783">
            <w:pPr>
              <w:pStyle w:val="6"/>
              <w:spacing w:before="76" w:line="222" w:lineRule="auto"/>
              <w:ind w:left="249"/>
              <w:rPr>
                <w:sz w:val="21"/>
                <w:szCs w:val="21"/>
              </w:rPr>
            </w:pPr>
            <w:r>
              <w:rPr>
                <w:spacing w:val="-2"/>
                <w:sz w:val="21"/>
                <w:szCs w:val="21"/>
              </w:rPr>
              <w:t>20(B)</w:t>
            </w:r>
          </w:p>
        </w:tc>
        <w:tc>
          <w:tcPr>
            <w:tcW w:w="2209" w:type="dxa"/>
            <w:tcBorders>
              <w:top w:val="single" w:color="000000" w:sz="4" w:space="0"/>
              <w:bottom w:val="single" w:color="000000" w:sz="4" w:space="0"/>
            </w:tcBorders>
            <w:vAlign w:val="top"/>
          </w:tcPr>
          <w:p w14:paraId="22F1CDA4">
            <w:pPr>
              <w:pStyle w:val="6"/>
              <w:spacing w:before="72" w:line="219" w:lineRule="auto"/>
              <w:ind w:left="679"/>
              <w:rPr>
                <w:sz w:val="21"/>
                <w:szCs w:val="21"/>
              </w:rPr>
            </w:pPr>
            <w:r>
              <w:rPr>
                <w:spacing w:val="-2"/>
                <w:sz w:val="21"/>
                <w:szCs w:val="21"/>
              </w:rPr>
              <w:t>320(R</w:t>
            </w:r>
            <w:r>
              <w:rPr>
                <w:rFonts w:ascii="Calibri" w:hAnsi="Calibri" w:eastAsia="Calibri" w:cs="Calibri"/>
                <w:spacing w:val="-2"/>
                <w:sz w:val="21"/>
                <w:szCs w:val="21"/>
              </w:rPr>
              <w:t>₁</w:t>
            </w:r>
            <w:r>
              <w:rPr>
                <w:spacing w:val="-2"/>
                <w:sz w:val="21"/>
                <w:szCs w:val="21"/>
              </w:rPr>
              <w:t>)</w:t>
            </w:r>
          </w:p>
        </w:tc>
      </w:tr>
      <w:tr w14:paraId="5777FE0B">
        <w:trPr>
          <w:trHeight w:val="368" w:hRule="atLeast"/>
        </w:trPr>
        <w:tc>
          <w:tcPr>
            <w:tcW w:w="2290" w:type="dxa"/>
            <w:tcBorders>
              <w:top w:val="single" w:color="000000" w:sz="4" w:space="0"/>
              <w:bottom w:val="single" w:color="000000" w:sz="4" w:space="0"/>
            </w:tcBorders>
            <w:shd w:val="clear" w:color="auto" w:fill="D9DCE0"/>
            <w:vAlign w:val="top"/>
          </w:tcPr>
          <w:p w14:paraId="14CD828D">
            <w:pPr>
              <w:pStyle w:val="6"/>
              <w:spacing w:before="85" w:line="220" w:lineRule="auto"/>
              <w:ind w:left="929"/>
              <w:rPr>
                <w:sz w:val="21"/>
                <w:szCs w:val="21"/>
              </w:rPr>
            </w:pPr>
            <w:r>
              <w:rPr>
                <w:spacing w:val="4"/>
                <w:sz w:val="21"/>
                <w:szCs w:val="21"/>
              </w:rPr>
              <w:t>阴性</w:t>
            </w:r>
          </w:p>
        </w:tc>
        <w:tc>
          <w:tcPr>
            <w:tcW w:w="2860" w:type="dxa"/>
            <w:tcBorders>
              <w:top w:val="single" w:color="000000" w:sz="4" w:space="0"/>
              <w:bottom w:val="single" w:color="000000" w:sz="4" w:space="0"/>
            </w:tcBorders>
            <w:vAlign w:val="top"/>
          </w:tcPr>
          <w:p w14:paraId="13AD47E0">
            <w:pPr>
              <w:pStyle w:val="6"/>
              <w:spacing w:line="357" w:lineRule="exact"/>
            </w:pPr>
            <w:r>
              <w:rPr>
                <w:position w:val="-8"/>
              </w:rPr>
              <w:pict>
                <v:shape id="_x0000_s1115" o:spid="_x0000_s1115" o:spt="202" type="#_x0000_t202" style="height:19.05pt;width:114pt;" fillcolor="#D1D0CE" filled="t" stroked="f" coordsize="21600,21600">
                  <v:path/>
                  <v:fill on="t" focussize="0,0"/>
                  <v:stroke on="f"/>
                  <v:imagedata o:title=""/>
                  <o:lock v:ext="edit" aspectratio="f"/>
                  <v:textbox inset="0mm,0mm,0mm,0mm">
                    <w:txbxContent>
                      <w:p w14:paraId="3F5463D0">
                        <w:pPr>
                          <w:spacing w:before="91" w:line="222" w:lineRule="auto"/>
                          <w:ind w:left="870"/>
                          <w:rPr>
                            <w:rFonts w:ascii="宋体" w:hAnsi="宋体" w:eastAsia="宋体" w:cs="宋体"/>
                            <w:sz w:val="21"/>
                            <w:szCs w:val="21"/>
                          </w:rPr>
                        </w:pPr>
                        <w:r>
                          <w:rPr>
                            <w:rFonts w:ascii="宋体" w:hAnsi="宋体" w:eastAsia="宋体" w:cs="宋体"/>
                            <w:spacing w:val="-3"/>
                            <w:sz w:val="21"/>
                            <w:szCs w:val="21"/>
                          </w:rPr>
                          <w:t>76(C)</w:t>
                        </w:r>
                      </w:p>
                    </w:txbxContent>
                  </v:textbox>
                  <w10:wrap type="none"/>
                  <w10:anchorlock/>
                </v:shape>
              </w:pict>
            </w:r>
          </w:p>
        </w:tc>
        <w:tc>
          <w:tcPr>
            <w:tcW w:w="1620" w:type="dxa"/>
            <w:tcBorders>
              <w:top w:val="single" w:color="000000" w:sz="4" w:space="0"/>
              <w:bottom w:val="single" w:color="000000" w:sz="4" w:space="0"/>
            </w:tcBorders>
            <w:vAlign w:val="top"/>
          </w:tcPr>
          <w:p w14:paraId="075BCA60">
            <w:pPr>
              <w:pStyle w:val="6"/>
              <w:spacing w:before="87" w:line="222" w:lineRule="auto"/>
              <w:ind w:left="200"/>
              <w:rPr>
                <w:sz w:val="21"/>
                <w:szCs w:val="21"/>
              </w:rPr>
            </w:pPr>
            <w:r>
              <mc:AlternateContent>
                <mc:Choice Requires="wps">
                  <w:drawing>
                    <wp:anchor distT="0" distB="0" distL="0" distR="0" simplePos="0" relativeHeight="251809792" behindDoc="1" locked="0" layoutInCell="1" allowOverlap="1">
                      <wp:simplePos x="0" y="0"/>
                      <wp:positionH relativeFrom="column">
                        <wp:posOffset>-368300</wp:posOffset>
                      </wp:positionH>
                      <wp:positionV relativeFrom="paragraph">
                        <wp:posOffset>-1905</wp:posOffset>
                      </wp:positionV>
                      <wp:extent cx="1397635" cy="241935"/>
                      <wp:effectExtent l="0" t="0" r="0" b="0"/>
                      <wp:wrapNone/>
                      <wp:docPr id="486" name="Rect 486"/>
                      <wp:cNvGraphicFramePr/>
                      <a:graphic xmlns:a="http://schemas.openxmlformats.org/drawingml/2006/main">
                        <a:graphicData uri="http://schemas.microsoft.com/office/word/2010/wordprocessingShape">
                          <wps:wsp>
                            <wps:cNvSpPr/>
                            <wps:spPr>
                              <a:xfrm>
                                <a:off x="-368327" y="-2422"/>
                                <a:ext cx="1397635" cy="241934"/>
                              </a:xfrm>
                              <a:prstGeom prst="rect">
                                <a:avLst/>
                              </a:prstGeom>
                              <a:solidFill>
                                <a:srgbClr val="D1D0CB"/>
                              </a:solidFill>
                              <a:ln w="0">
                                <a:noFill/>
                              </a:ln>
                            </wps:spPr>
                            <wps:style>
                              <a:lnRef idx="0">
                                <a:schemeClr val="accent1"/>
                              </a:lnRef>
                              <a:fillRef idx="0">
                                <a:schemeClr val="accent1"/>
                              </a:fillRef>
                              <a:effectRef idx="0">
                                <a:schemeClr val="accent1"/>
                              </a:effectRef>
                              <a:fontRef idx="minor">
                                <a:schemeClr val="dk1"/>
                              </a:fontRef>
                            </wps:style>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rect id="Rect 486" o:spid="_x0000_s1026" o:spt="1" style="position:absolute;left:0pt;margin-left:-29pt;margin-top:-0.15pt;height:19.05pt;width:110.05pt;z-index:-251506688;mso-width-relative:page;mso-height-relative:page;" fillcolor="#D1D0CB" filled="t" stroked="f" coordsize="21600,21600" o:gfxdata="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">
                      <v:fill on="t" focussize="0,0"/>
                      <v:stroke on="f" weight="0pt"/>
                      <v:imagedata o:title=""/>
                      <o:lock v:ext="edit" aspectratio="f"/>
                      <v:textbox inset="0mm,0mm,0mm,0mm"/>
                    </v:rect>
                  </w:pict>
                </mc:Fallback>
              </mc:AlternateContent>
            </w:r>
            <w:r>
              <w:rPr>
                <w:spacing w:val="-2"/>
                <w:sz w:val="21"/>
                <w:szCs w:val="21"/>
              </w:rPr>
              <w:t>290(D)</w:t>
            </w:r>
          </w:p>
        </w:tc>
        <w:tc>
          <w:tcPr>
            <w:tcW w:w="2209" w:type="dxa"/>
            <w:tcBorders>
              <w:top w:val="single" w:color="000000" w:sz="4" w:space="0"/>
              <w:bottom w:val="single" w:color="000000" w:sz="4" w:space="0"/>
            </w:tcBorders>
            <w:shd w:val="clear" w:color="auto" w:fill="CFCCC6"/>
            <w:vAlign w:val="top"/>
          </w:tcPr>
          <w:p w14:paraId="6A301920">
            <w:pPr>
              <w:pStyle w:val="6"/>
              <w:spacing w:before="84" w:line="220" w:lineRule="auto"/>
              <w:ind w:left="679"/>
              <w:rPr>
                <w:sz w:val="21"/>
                <w:szCs w:val="21"/>
              </w:rPr>
            </w:pPr>
            <w:r>
              <w:rPr>
                <w:spacing w:val="-2"/>
                <w:sz w:val="21"/>
                <w:szCs w:val="21"/>
              </w:rPr>
              <w:t>366(R</w:t>
            </w:r>
            <w:r>
              <w:rPr>
                <w:rFonts w:ascii="Calibri" w:hAnsi="Calibri" w:eastAsia="Calibri" w:cs="Calibri"/>
                <w:spacing w:val="-2"/>
                <w:sz w:val="21"/>
                <w:szCs w:val="21"/>
              </w:rPr>
              <w:t>₂</w:t>
            </w:r>
            <w:r>
              <w:rPr>
                <w:spacing w:val="-2"/>
                <w:sz w:val="21"/>
                <w:szCs w:val="21"/>
              </w:rPr>
              <w:t>)</w:t>
            </w:r>
          </w:p>
        </w:tc>
      </w:tr>
      <w:tr w14:paraId="58D605A9">
        <w:trPr>
          <w:trHeight w:val="353" w:hRule="atLeast"/>
        </w:trPr>
        <w:tc>
          <w:tcPr>
            <w:tcW w:w="2290" w:type="dxa"/>
            <w:tcBorders>
              <w:top w:val="single" w:color="000000" w:sz="4" w:space="0"/>
              <w:bottom w:val="single" w:color="000000" w:sz="4" w:space="0"/>
            </w:tcBorders>
            <w:vAlign w:val="top"/>
          </w:tcPr>
          <w:p w14:paraId="1A24EE77">
            <w:pPr>
              <w:pStyle w:val="6"/>
              <w:spacing w:before="77" w:line="221" w:lineRule="auto"/>
              <w:ind w:left="929"/>
              <w:rPr>
                <w:sz w:val="21"/>
                <w:szCs w:val="21"/>
              </w:rPr>
            </w:pPr>
            <w:r>
              <w:rPr>
                <w:spacing w:val="-3"/>
                <w:sz w:val="21"/>
                <w:szCs w:val="21"/>
              </w:rPr>
              <w:t>合计</w:t>
            </w:r>
          </w:p>
        </w:tc>
        <w:tc>
          <w:tcPr>
            <w:tcW w:w="2860" w:type="dxa"/>
            <w:tcBorders>
              <w:top w:val="single" w:color="000000" w:sz="4" w:space="0"/>
              <w:bottom w:val="single" w:color="000000" w:sz="4" w:space="0"/>
            </w:tcBorders>
            <w:vAlign w:val="top"/>
          </w:tcPr>
          <w:p w14:paraId="7292EFD6">
            <w:pPr>
              <w:pStyle w:val="6"/>
              <w:spacing w:before="76" w:line="219" w:lineRule="auto"/>
              <w:ind w:left="719"/>
              <w:rPr>
                <w:sz w:val="21"/>
                <w:szCs w:val="21"/>
              </w:rPr>
            </w:pPr>
            <w:r>
              <w:rPr>
                <w:spacing w:val="-2"/>
                <w:sz w:val="21"/>
                <w:szCs w:val="21"/>
              </w:rPr>
              <w:t>376(N</w:t>
            </w:r>
            <w:r>
              <w:rPr>
                <w:rFonts w:ascii="Calibri" w:hAnsi="Calibri" w:eastAsia="Calibri" w:cs="Calibri"/>
                <w:spacing w:val="-2"/>
                <w:sz w:val="21"/>
                <w:szCs w:val="21"/>
              </w:rPr>
              <w:t>₁</w:t>
            </w:r>
            <w:r>
              <w:rPr>
                <w:spacing w:val="-2"/>
                <w:sz w:val="21"/>
                <w:szCs w:val="21"/>
              </w:rPr>
              <w:t>)</w:t>
            </w:r>
          </w:p>
        </w:tc>
        <w:tc>
          <w:tcPr>
            <w:tcW w:w="1620" w:type="dxa"/>
            <w:tcBorders>
              <w:top w:val="single" w:color="000000" w:sz="4" w:space="0"/>
              <w:bottom w:val="single" w:color="000000" w:sz="4" w:space="0"/>
            </w:tcBorders>
            <w:vAlign w:val="top"/>
          </w:tcPr>
          <w:p w14:paraId="7186BB5F">
            <w:pPr>
              <w:pStyle w:val="6"/>
              <w:spacing w:before="76" w:line="220" w:lineRule="auto"/>
              <w:ind w:left="100"/>
              <w:rPr>
                <w:sz w:val="21"/>
                <w:szCs w:val="21"/>
              </w:rPr>
            </w:pPr>
            <w:r>
              <w:rPr>
                <w:spacing w:val="-2"/>
                <w:sz w:val="21"/>
                <w:szCs w:val="21"/>
              </w:rPr>
              <w:t>310(N</w:t>
            </w:r>
            <w:r>
              <w:rPr>
                <w:rFonts w:ascii="Calibri" w:hAnsi="Calibri" w:eastAsia="Calibri" w:cs="Calibri"/>
                <w:spacing w:val="-2"/>
                <w:sz w:val="21"/>
                <w:szCs w:val="21"/>
              </w:rPr>
              <w:t>₂</w:t>
            </w:r>
            <w:r>
              <w:rPr>
                <w:spacing w:val="-2"/>
                <w:sz w:val="21"/>
                <w:szCs w:val="21"/>
              </w:rPr>
              <w:t>)</w:t>
            </w:r>
          </w:p>
        </w:tc>
        <w:tc>
          <w:tcPr>
            <w:tcW w:w="2209" w:type="dxa"/>
            <w:tcBorders>
              <w:top w:val="single" w:color="000000" w:sz="4" w:space="0"/>
              <w:bottom w:val="single" w:color="000000" w:sz="4" w:space="0"/>
            </w:tcBorders>
            <w:vAlign w:val="top"/>
          </w:tcPr>
          <w:p w14:paraId="33D1B948">
            <w:pPr>
              <w:pStyle w:val="6"/>
              <w:spacing w:before="79" w:line="222" w:lineRule="auto"/>
              <w:ind w:left="789"/>
              <w:rPr>
                <w:sz w:val="21"/>
                <w:szCs w:val="21"/>
              </w:rPr>
            </w:pPr>
            <w:r>
              <w:rPr>
                <w:spacing w:val="-2"/>
                <w:sz w:val="21"/>
                <w:szCs w:val="21"/>
              </w:rPr>
              <w:t>686(N)</w:t>
            </w:r>
          </w:p>
        </w:tc>
      </w:tr>
    </w:tbl>
    <w:p w14:paraId="49BC8D30">
      <w:pPr>
        <w:spacing w:line="268" w:lineRule="auto"/>
        <w:rPr>
          <w:rFonts w:ascii="Arial"/>
          <w:sz w:val="21"/>
        </w:rPr>
      </w:pPr>
    </w:p>
    <w:p w14:paraId="25467C27">
      <w:pPr>
        <w:spacing w:before="68" w:line="214" w:lineRule="auto"/>
        <w:ind w:left="419"/>
        <w:rPr>
          <w:rFonts w:ascii="宋体" w:hAnsi="宋体" w:eastAsia="宋体" w:cs="宋体"/>
          <w:sz w:val="21"/>
          <w:szCs w:val="21"/>
        </w:rPr>
      </w:pPr>
      <w:r>
        <w:rPr>
          <w:rFonts w:ascii="宋体" w:hAnsi="宋体" w:eastAsia="宋体" w:cs="宋体"/>
          <w:spacing w:val="1"/>
          <w:sz w:val="21"/>
          <w:szCs w:val="21"/>
        </w:rPr>
        <w:t>根据式(7-9)和式(7-11)计算符合率和</w:t>
      </w:r>
      <w:r>
        <w:rPr>
          <w:rFonts w:ascii="宋体" w:hAnsi="宋体" w:eastAsia="宋体" w:cs="宋体"/>
          <w:sz w:val="21"/>
          <w:szCs w:val="21"/>
        </w:rPr>
        <w:t>Kappa</w:t>
      </w:r>
      <w:r>
        <w:rPr>
          <w:rFonts w:ascii="宋体" w:hAnsi="宋体" w:eastAsia="宋体" w:cs="宋体"/>
          <w:spacing w:val="-45"/>
          <w:sz w:val="21"/>
          <w:szCs w:val="21"/>
        </w:rPr>
        <w:t xml:space="preserve"> </w:t>
      </w:r>
      <w:r>
        <w:rPr>
          <w:rFonts w:ascii="宋体" w:hAnsi="宋体" w:eastAsia="宋体" w:cs="宋体"/>
          <w:spacing w:val="1"/>
          <w:sz w:val="21"/>
          <w:szCs w:val="21"/>
        </w:rPr>
        <w:t>值，得：</w:t>
      </w:r>
    </w:p>
    <w:p w14:paraId="49589EA1">
      <w:pPr>
        <w:spacing w:before="233" w:line="490" w:lineRule="exact"/>
        <w:ind w:firstLine="2999"/>
      </w:pPr>
      <w:r>
        <w:rPr>
          <w:position w:val="-9"/>
        </w:rPr>
        <w:drawing>
          <wp:inline distT="0" distB="0" distL="0" distR="0">
            <wp:extent cx="1942465" cy="310515"/>
            <wp:effectExtent l="0" t="0" r="0" b="0"/>
            <wp:docPr id="488" name="IM 488"/>
            <wp:cNvGraphicFramePr/>
            <a:graphic xmlns:a="http://schemas.openxmlformats.org/drawingml/2006/main">
              <a:graphicData uri="http://schemas.openxmlformats.org/drawingml/2006/picture">
                <pic:pic xmlns:pic="http://schemas.openxmlformats.org/drawingml/2006/picture">
                  <pic:nvPicPr>
                    <pic:cNvPr id="488" name="IM 488"/>
                    <pic:cNvPicPr/>
                  </pic:nvPicPr>
                  <pic:blipFill>
                    <a:blip r:embed="rId590"/>
                    <a:stretch>
                      <a:fillRect/>
                    </a:stretch>
                  </pic:blipFill>
                  <pic:spPr>
                    <a:xfrm>
                      <a:off x="0" y="0"/>
                      <a:ext cx="1943078" cy="311128"/>
                    </a:xfrm>
                    <a:prstGeom prst="rect">
                      <a:avLst/>
                    </a:prstGeom>
                  </pic:spPr>
                </pic:pic>
              </a:graphicData>
            </a:graphic>
          </wp:inline>
        </w:drawing>
      </w:r>
    </w:p>
    <w:p w14:paraId="7A0BEFE0">
      <w:pPr>
        <w:spacing w:before="150" w:line="560" w:lineRule="exact"/>
        <w:ind w:firstLine="2109"/>
      </w:pPr>
      <w:r>
        <w:rPr>
          <w:position w:val="-11"/>
        </w:rPr>
        <w:drawing>
          <wp:inline distT="0" distB="0" distL="0" distR="0">
            <wp:extent cx="3047365" cy="354965"/>
            <wp:effectExtent l="0" t="0" r="0" b="0"/>
            <wp:docPr id="490" name="IM 490"/>
            <wp:cNvGraphicFramePr/>
            <a:graphic xmlns:a="http://schemas.openxmlformats.org/drawingml/2006/main">
              <a:graphicData uri="http://schemas.openxmlformats.org/drawingml/2006/picture">
                <pic:pic xmlns:pic="http://schemas.openxmlformats.org/drawingml/2006/picture">
                  <pic:nvPicPr>
                    <pic:cNvPr id="490" name="IM 490"/>
                    <pic:cNvPicPr/>
                  </pic:nvPicPr>
                  <pic:blipFill>
                    <a:blip r:embed="rId591"/>
                    <a:stretch>
                      <a:fillRect/>
                    </a:stretch>
                  </pic:blipFill>
                  <pic:spPr>
                    <a:xfrm>
                      <a:off x="0" y="0"/>
                      <a:ext cx="3047989" cy="355560"/>
                    </a:xfrm>
                    <a:prstGeom prst="rect">
                      <a:avLst/>
                    </a:prstGeom>
                  </pic:spPr>
                </pic:pic>
              </a:graphicData>
            </a:graphic>
          </wp:inline>
        </w:drawing>
      </w:r>
    </w:p>
    <w:p w14:paraId="7812A1AD">
      <w:pPr>
        <w:spacing w:before="276" w:line="308" w:lineRule="auto"/>
        <w:ind w:left="29" w:right="565" w:firstLine="379"/>
        <w:rPr>
          <w:rFonts w:ascii="宋体" w:hAnsi="宋体" w:eastAsia="宋体" w:cs="宋体"/>
          <w:sz w:val="21"/>
          <w:szCs w:val="21"/>
        </w:rPr>
      </w:pPr>
      <w:r>
        <w:rPr>
          <w:rFonts w:ascii="宋体" w:hAnsi="宋体" w:eastAsia="宋体" w:cs="宋体"/>
          <w:spacing w:val="7"/>
          <w:sz w:val="21"/>
          <w:szCs w:val="21"/>
        </w:rPr>
        <w:t>4. 预测值分析  已知该地区65岁以上中老年男性前列腺癌患病率估计为1‰,根据式(7-14)</w:t>
      </w:r>
      <w:r>
        <w:rPr>
          <w:rFonts w:ascii="宋体" w:hAnsi="宋体" w:eastAsia="宋体" w:cs="宋体"/>
          <w:sz w:val="21"/>
          <w:szCs w:val="21"/>
        </w:rPr>
        <w:t xml:space="preserve"> 和式(7-15),计算该筛检方法在该人群的阳性预测值和阴性预测值：</w:t>
      </w:r>
    </w:p>
    <w:p w14:paraId="4F1966B3">
      <w:pPr>
        <w:spacing w:before="203" w:line="219" w:lineRule="auto"/>
        <w:ind w:left="1100"/>
        <w:rPr>
          <w:rFonts w:ascii="宋体" w:hAnsi="宋体" w:eastAsia="宋体" w:cs="宋体"/>
          <w:sz w:val="21"/>
          <w:szCs w:val="21"/>
        </w:rPr>
      </w:pPr>
      <w:r>
        <w:rPr>
          <w:rFonts w:ascii="宋体" w:hAnsi="宋体" w:eastAsia="宋体" w:cs="宋体"/>
          <w:spacing w:val="-2"/>
          <w:sz w:val="21"/>
          <w:szCs w:val="21"/>
        </w:rPr>
        <w:t>阳性预测值=(0.816×0.001)[0.816×0.001+(1-0.001)x(1-0.719)]=2.90%</w:t>
      </w:r>
    </w:p>
    <w:p w14:paraId="60315658">
      <w:pPr>
        <w:spacing w:before="170" w:line="219" w:lineRule="auto"/>
        <w:ind w:left="810"/>
        <w:rPr>
          <w:rFonts w:ascii="宋体" w:hAnsi="宋体" w:eastAsia="宋体" w:cs="宋体"/>
          <w:sz w:val="21"/>
          <w:szCs w:val="21"/>
        </w:rPr>
      </w:pPr>
      <w:r>
        <w:rPr>
          <w:rFonts w:ascii="宋体" w:hAnsi="宋体" w:eastAsia="宋体" w:cs="宋体"/>
          <w:spacing w:val="-3"/>
          <w:sz w:val="21"/>
          <w:szCs w:val="21"/>
        </w:rPr>
        <w:t>阴性预测值=[0.719×(1-0.001)]/[0.719×(1-0</w:t>
      </w:r>
      <w:r>
        <w:rPr>
          <w:rFonts w:ascii="宋体" w:hAnsi="宋体" w:eastAsia="宋体" w:cs="宋体"/>
          <w:spacing w:val="-4"/>
          <w:sz w:val="21"/>
          <w:szCs w:val="21"/>
        </w:rPr>
        <w:t>.001)+(1-0.816)×0.001]=99.97%</w:t>
      </w:r>
    </w:p>
    <w:p w14:paraId="6856528E">
      <w:pPr>
        <w:spacing w:before="212" w:line="221" w:lineRule="auto"/>
        <w:ind w:left="409"/>
        <w:rPr>
          <w:rFonts w:ascii="宋体" w:hAnsi="宋体" w:eastAsia="宋体" w:cs="宋体"/>
          <w:sz w:val="21"/>
          <w:szCs w:val="21"/>
        </w:rPr>
      </w:pPr>
      <w:r>
        <w:rPr>
          <w:rFonts w:ascii="宋体" w:hAnsi="宋体" w:eastAsia="宋体" w:cs="宋体"/>
          <w:spacing w:val="-7"/>
          <w:sz w:val="21"/>
          <w:szCs w:val="21"/>
        </w:rPr>
        <w:t>5.</w:t>
      </w:r>
      <w:r>
        <w:rPr>
          <w:rFonts w:ascii="宋体" w:hAnsi="宋体" w:eastAsia="宋体" w:cs="宋体"/>
          <w:spacing w:val="-22"/>
          <w:sz w:val="21"/>
          <w:szCs w:val="21"/>
        </w:rPr>
        <w:t xml:space="preserve"> </w:t>
      </w:r>
      <w:r>
        <w:rPr>
          <w:rFonts w:ascii="宋体" w:hAnsi="宋体" w:eastAsia="宋体" w:cs="宋体"/>
          <w:spacing w:val="-7"/>
          <w:sz w:val="21"/>
          <w:szCs w:val="21"/>
        </w:rPr>
        <w:t>小</w:t>
      </w:r>
      <w:r>
        <w:rPr>
          <w:rFonts w:ascii="宋体" w:hAnsi="宋体" w:eastAsia="宋体" w:cs="宋体"/>
          <w:spacing w:val="-36"/>
          <w:sz w:val="21"/>
          <w:szCs w:val="21"/>
        </w:rPr>
        <w:t xml:space="preserve"> </w:t>
      </w:r>
      <w:r>
        <w:rPr>
          <w:rFonts w:ascii="宋体" w:hAnsi="宋体" w:eastAsia="宋体" w:cs="宋体"/>
          <w:spacing w:val="-7"/>
          <w:sz w:val="21"/>
          <w:szCs w:val="21"/>
        </w:rPr>
        <w:t>结</w:t>
      </w:r>
    </w:p>
    <w:p w14:paraId="67E989AA">
      <w:pPr>
        <w:spacing w:before="165" w:line="283" w:lineRule="auto"/>
        <w:ind w:left="9" w:right="586" w:firstLine="379"/>
        <w:rPr>
          <w:rFonts w:ascii="宋体" w:hAnsi="宋体" w:eastAsia="宋体" w:cs="宋体"/>
          <w:sz w:val="21"/>
          <w:szCs w:val="21"/>
        </w:rPr>
      </w:pPr>
      <w:r>
        <w:rPr>
          <w:rFonts w:ascii="宋体" w:hAnsi="宋体" w:eastAsia="宋体" w:cs="宋体"/>
          <w:spacing w:val="3"/>
          <w:sz w:val="21"/>
          <w:szCs w:val="21"/>
        </w:rPr>
        <w:t>(1)在真实性评价方面，该</w:t>
      </w:r>
      <w:r>
        <w:rPr>
          <w:rFonts w:ascii="宋体" w:hAnsi="宋体" w:eastAsia="宋体" w:cs="宋体"/>
          <w:sz w:val="21"/>
          <w:szCs w:val="21"/>
        </w:rPr>
        <w:t>PSA</w:t>
      </w:r>
      <w:r>
        <w:rPr>
          <w:rFonts w:ascii="宋体" w:hAnsi="宋体" w:eastAsia="宋体" w:cs="宋体"/>
          <w:spacing w:val="3"/>
          <w:sz w:val="21"/>
          <w:szCs w:val="21"/>
        </w:rPr>
        <w:t xml:space="preserve"> 筛检前列腺癌新方法经病例对照研究</w:t>
      </w:r>
      <w:r>
        <w:rPr>
          <w:rFonts w:ascii="宋体" w:hAnsi="宋体" w:eastAsia="宋体" w:cs="宋体"/>
          <w:spacing w:val="2"/>
          <w:sz w:val="21"/>
          <w:szCs w:val="21"/>
        </w:rPr>
        <w:t>评估，其灵敏度为81.6%,</w:t>
      </w:r>
      <w:r>
        <w:rPr>
          <w:rFonts w:ascii="宋体" w:hAnsi="宋体" w:eastAsia="宋体" w:cs="宋体"/>
          <w:sz w:val="21"/>
          <w:szCs w:val="21"/>
        </w:rPr>
        <w:t xml:space="preserve"> </w:t>
      </w:r>
      <w:r>
        <w:rPr>
          <w:rFonts w:ascii="宋体" w:hAnsi="宋体" w:eastAsia="宋体" w:cs="宋体"/>
          <w:spacing w:val="3"/>
          <w:sz w:val="21"/>
          <w:szCs w:val="21"/>
        </w:rPr>
        <w:t>特异度为71.9%,与估计值基本一致，说明样本量估计恰当。该方法灵敏度较高，发现病人的能力</w:t>
      </w:r>
      <w:r>
        <w:rPr>
          <w:rFonts w:ascii="宋体" w:hAnsi="宋体" w:eastAsia="宋体" w:cs="宋体"/>
          <w:spacing w:val="12"/>
          <w:sz w:val="21"/>
          <w:szCs w:val="21"/>
        </w:rPr>
        <w:t xml:space="preserve"> </w:t>
      </w:r>
      <w:r>
        <w:rPr>
          <w:rFonts w:ascii="宋体" w:hAnsi="宋体" w:eastAsia="宋体" w:cs="宋体"/>
          <w:spacing w:val="-5"/>
          <w:sz w:val="21"/>
          <w:szCs w:val="21"/>
        </w:rPr>
        <w:t>较强，但特异度相对较低，鉴别排除病例的能力较弱，正确指数为0.54,有待提升。</w:t>
      </w:r>
    </w:p>
    <w:p w14:paraId="432E8EBE">
      <w:pPr>
        <w:spacing w:before="131" w:line="214" w:lineRule="auto"/>
        <w:ind w:left="389"/>
        <w:rPr>
          <w:rFonts w:ascii="宋体" w:hAnsi="宋体" w:eastAsia="宋体" w:cs="宋体"/>
          <w:sz w:val="21"/>
          <w:szCs w:val="21"/>
        </w:rPr>
      </w:pPr>
      <w:r>
        <w:rPr>
          <w:rFonts w:ascii="宋体" w:hAnsi="宋体" w:eastAsia="宋体" w:cs="宋体"/>
          <w:spacing w:val="2"/>
          <w:sz w:val="21"/>
          <w:szCs w:val="21"/>
        </w:rPr>
        <w:t>(2)可靠性评价方面：符合率为86.0%,</w:t>
      </w:r>
      <w:r>
        <w:rPr>
          <w:rFonts w:ascii="宋体" w:hAnsi="宋体" w:eastAsia="宋体" w:cs="宋体"/>
          <w:sz w:val="21"/>
          <w:szCs w:val="21"/>
        </w:rPr>
        <w:t>Kappa</w:t>
      </w:r>
      <w:r>
        <w:rPr>
          <w:rFonts w:ascii="宋体" w:hAnsi="宋体" w:eastAsia="宋体" w:cs="宋体"/>
          <w:spacing w:val="-41"/>
          <w:sz w:val="21"/>
          <w:szCs w:val="21"/>
        </w:rPr>
        <w:t xml:space="preserve"> </w:t>
      </w:r>
      <w:r>
        <w:rPr>
          <w:rFonts w:ascii="宋体" w:hAnsi="宋体" w:eastAsia="宋体" w:cs="宋体"/>
          <w:spacing w:val="2"/>
          <w:sz w:val="21"/>
          <w:szCs w:val="21"/>
        </w:rPr>
        <w:t>值为0.72,为中、高度一致。</w:t>
      </w:r>
    </w:p>
    <w:p w14:paraId="3A2CD1F3">
      <w:pPr>
        <w:spacing w:before="119" w:line="282" w:lineRule="auto"/>
        <w:ind w:right="619" w:firstLine="399"/>
        <w:rPr>
          <w:rFonts w:ascii="宋体" w:hAnsi="宋体" w:eastAsia="宋体" w:cs="宋体"/>
          <w:sz w:val="21"/>
          <w:szCs w:val="21"/>
        </w:rPr>
      </w:pPr>
      <w:r>
        <w:rPr>
          <w:rFonts w:ascii="宋体" w:hAnsi="宋体" w:eastAsia="宋体" w:cs="宋体"/>
          <w:spacing w:val="7"/>
          <w:sz w:val="21"/>
          <w:szCs w:val="21"/>
        </w:rPr>
        <w:t>(3)该方法的阳性预测值为2.90%,反映</w:t>
      </w:r>
      <w:r>
        <w:rPr>
          <w:rFonts w:ascii="宋体" w:hAnsi="宋体" w:eastAsia="宋体" w:cs="宋体"/>
          <w:spacing w:val="6"/>
          <w:sz w:val="21"/>
          <w:szCs w:val="21"/>
        </w:rPr>
        <w:t>在该人群筛检为阳性者中真患癌的可能性较低，容易</w:t>
      </w:r>
      <w:r>
        <w:rPr>
          <w:rFonts w:ascii="宋体" w:hAnsi="宋体" w:eastAsia="宋体" w:cs="宋体"/>
          <w:sz w:val="21"/>
          <w:szCs w:val="21"/>
        </w:rPr>
        <w:t xml:space="preserve"> </w:t>
      </w:r>
      <w:r>
        <w:rPr>
          <w:rFonts w:ascii="宋体" w:hAnsi="宋体" w:eastAsia="宋体" w:cs="宋体"/>
          <w:spacing w:val="1"/>
          <w:sz w:val="21"/>
          <w:szCs w:val="21"/>
        </w:rPr>
        <w:t>出现过度诊断，筛检收益较低；阴性预测值为99.97%,阴性者中真阴性比例较高。出现收益较低的</w:t>
      </w:r>
      <w:r>
        <w:rPr>
          <w:rFonts w:ascii="宋体" w:hAnsi="宋体" w:eastAsia="宋体" w:cs="宋体"/>
          <w:spacing w:val="4"/>
          <w:sz w:val="21"/>
          <w:szCs w:val="21"/>
        </w:rPr>
        <w:t xml:space="preserve"> </w:t>
      </w:r>
      <w:r>
        <w:rPr>
          <w:rFonts w:ascii="宋体" w:hAnsi="宋体" w:eastAsia="宋体" w:cs="宋体"/>
          <w:spacing w:val="1"/>
          <w:sz w:val="21"/>
          <w:szCs w:val="21"/>
        </w:rPr>
        <w:t>情况主要与人群现患率较低有关。</w:t>
      </w:r>
    </w:p>
    <w:p w14:paraId="03F13E5E">
      <w:pPr>
        <w:spacing w:line="381" w:lineRule="auto"/>
        <w:rPr>
          <w:rFonts w:ascii="Arial"/>
          <w:sz w:val="21"/>
        </w:rPr>
      </w:pPr>
    </w:p>
    <w:p w14:paraId="64F27A54">
      <w:pPr>
        <w:pStyle w:val="2"/>
        <w:spacing w:before="99" w:line="221" w:lineRule="auto"/>
        <w:ind w:left="2890"/>
        <w:outlineLvl w:val="1"/>
      </w:pPr>
      <w:bookmarkStart w:id="211" w:name="bookmark132"/>
      <w:bookmarkEnd w:id="211"/>
      <w:r>
        <w:rPr>
          <w:spacing w:val="-5"/>
          <w:sz w:val="21"/>
          <w:szCs w:val="21"/>
        </w:rPr>
        <w:t>第</w:t>
      </w:r>
      <w:r>
        <w:rPr>
          <w:spacing w:val="49"/>
          <w:sz w:val="21"/>
          <w:szCs w:val="21"/>
        </w:rPr>
        <w:t xml:space="preserve"> </w:t>
      </w:r>
      <w:r>
        <w:rPr>
          <w:spacing w:val="-5"/>
          <w:sz w:val="21"/>
          <w:szCs w:val="21"/>
        </w:rPr>
        <w:t>三</w:t>
      </w:r>
      <w:r>
        <w:rPr>
          <w:spacing w:val="42"/>
          <w:sz w:val="21"/>
          <w:szCs w:val="21"/>
        </w:rPr>
        <w:t xml:space="preserve"> </w:t>
      </w:r>
      <w:r>
        <w:rPr>
          <w:spacing w:val="-5"/>
          <w:sz w:val="21"/>
          <w:szCs w:val="21"/>
        </w:rPr>
        <w:t>节</w:t>
      </w:r>
      <w:r>
        <w:rPr>
          <w:spacing w:val="33"/>
          <w:sz w:val="21"/>
          <w:szCs w:val="21"/>
        </w:rPr>
        <w:t xml:space="preserve">  </w:t>
      </w:r>
      <w:r>
        <w:rPr>
          <w:spacing w:val="-5"/>
        </w:rPr>
        <w:t>筛检效果的评价</w:t>
      </w:r>
    </w:p>
    <w:p w14:paraId="01AC6918">
      <w:pPr>
        <w:spacing w:line="327" w:lineRule="auto"/>
        <w:rPr>
          <w:rFonts w:ascii="Arial"/>
          <w:sz w:val="21"/>
        </w:rPr>
      </w:pPr>
    </w:p>
    <w:p w14:paraId="4AC4A18B">
      <w:pPr>
        <w:spacing w:before="69" w:line="326" w:lineRule="auto"/>
        <w:ind w:left="29" w:right="631" w:firstLine="369"/>
        <w:rPr>
          <w:rFonts w:ascii="宋体" w:hAnsi="宋体" w:eastAsia="宋体" w:cs="宋体"/>
          <w:sz w:val="21"/>
          <w:szCs w:val="21"/>
        </w:rPr>
      </w:pPr>
      <w:r>
        <w:rPr>
          <w:rFonts w:ascii="宋体" w:hAnsi="宋体" w:eastAsia="宋体" w:cs="宋体"/>
          <w:spacing w:val="-1"/>
          <w:sz w:val="21"/>
          <w:szCs w:val="21"/>
        </w:rPr>
        <w:t>筛检效果评价内容包括：①收益；②生物学效果评价；③卫生经济学效果评价；④安全性和伦</w:t>
      </w:r>
      <w:r>
        <w:rPr>
          <w:rFonts w:ascii="宋体" w:hAnsi="宋体" w:eastAsia="宋体" w:cs="宋体"/>
          <w:sz w:val="21"/>
          <w:szCs w:val="21"/>
        </w:rPr>
        <w:t xml:space="preserve"> </w:t>
      </w:r>
      <w:r>
        <w:rPr>
          <w:rFonts w:ascii="宋体" w:hAnsi="宋体" w:eastAsia="宋体" w:cs="宋体"/>
          <w:spacing w:val="-5"/>
          <w:sz w:val="21"/>
          <w:szCs w:val="21"/>
        </w:rPr>
        <w:t>理学评价；⑤项目可持续性评价。</w:t>
      </w:r>
    </w:p>
    <w:p w14:paraId="76ACCBE2">
      <w:pPr>
        <w:spacing w:line="326" w:lineRule="auto"/>
        <w:rPr>
          <w:rFonts w:ascii="宋体" w:hAnsi="宋体" w:eastAsia="宋体" w:cs="宋体"/>
          <w:sz w:val="21"/>
          <w:szCs w:val="21"/>
        </w:rPr>
        <w:sectPr>
          <w:footerReference r:id="rId152" w:type="default"/>
          <w:pgSz w:w="11900" w:h="16820"/>
          <w:pgMar w:top="400" w:right="838" w:bottom="840" w:left="1460" w:header="0" w:footer="566" w:gutter="0"/>
          <w:cols w:space="720" w:num="1"/>
        </w:sectPr>
      </w:pPr>
    </w:p>
    <w:p w14:paraId="2DB3DCAD">
      <w:pPr>
        <w:pStyle w:val="2"/>
        <w:spacing w:before="117" w:line="222" w:lineRule="auto"/>
        <w:ind w:left="689"/>
        <w:rPr>
          <w:sz w:val="21"/>
          <w:szCs w:val="21"/>
        </w:rPr>
      </w:pPr>
      <w:r>
        <w:rPr>
          <w:spacing w:val="-2"/>
          <w:sz w:val="21"/>
          <w:szCs w:val="21"/>
        </w:rPr>
        <w:t>第七章筛检</w:t>
      </w:r>
    </w:p>
    <w:p w14:paraId="0D200389">
      <w:pPr>
        <w:spacing w:line="359" w:lineRule="auto"/>
        <w:rPr>
          <w:rFonts w:ascii="Arial"/>
          <w:sz w:val="21"/>
        </w:rPr>
      </w:pPr>
    </w:p>
    <w:p w14:paraId="2860F8BD">
      <w:pPr>
        <w:spacing w:line="359" w:lineRule="auto"/>
        <w:rPr>
          <w:rFonts w:ascii="Arial"/>
          <w:sz w:val="21"/>
        </w:rPr>
      </w:pPr>
    </w:p>
    <w:p w14:paraId="216D162C">
      <w:pPr>
        <w:pStyle w:val="2"/>
        <w:spacing w:before="85" w:line="223" w:lineRule="auto"/>
        <w:ind w:left="1103"/>
        <w:outlineLvl w:val="2"/>
        <w:rPr>
          <w:sz w:val="26"/>
          <w:szCs w:val="26"/>
        </w:rPr>
      </w:pPr>
      <w:bookmarkStart w:id="212" w:name="bookmark133"/>
      <w:bookmarkEnd w:id="212"/>
      <w:bookmarkStart w:id="213" w:name="bookmark474"/>
      <w:bookmarkEnd w:id="213"/>
      <w:r>
        <w:rPr>
          <w:b/>
          <w:bCs/>
          <w:spacing w:val="-23"/>
          <w:sz w:val="26"/>
          <w:szCs w:val="26"/>
        </w:rPr>
        <w:t>一</w:t>
      </w:r>
      <w:r>
        <w:rPr>
          <w:spacing w:val="-78"/>
          <w:sz w:val="26"/>
          <w:szCs w:val="26"/>
        </w:rPr>
        <w:t xml:space="preserve"> </w:t>
      </w:r>
      <w:r>
        <w:rPr>
          <w:b/>
          <w:bCs/>
          <w:spacing w:val="-23"/>
          <w:sz w:val="26"/>
          <w:szCs w:val="26"/>
        </w:rPr>
        <w:t>、收益</w:t>
      </w:r>
    </w:p>
    <w:p w14:paraId="6C775508">
      <w:pPr>
        <w:pStyle w:val="2"/>
        <w:spacing w:before="242" w:line="212" w:lineRule="auto"/>
        <w:ind w:left="1099"/>
        <w:rPr>
          <w:sz w:val="21"/>
          <w:szCs w:val="21"/>
        </w:rPr>
      </w:pPr>
      <w:r>
        <w:rPr>
          <w:spacing w:val="4"/>
          <w:sz w:val="21"/>
          <w:szCs w:val="21"/>
        </w:rPr>
        <w:t>(</w:t>
      </w:r>
      <w:r>
        <w:rPr>
          <w:spacing w:val="-42"/>
          <w:sz w:val="21"/>
          <w:szCs w:val="21"/>
        </w:rPr>
        <w:t xml:space="preserve"> </w:t>
      </w:r>
      <w:r>
        <w:rPr>
          <w:spacing w:val="4"/>
          <w:sz w:val="21"/>
          <w:szCs w:val="21"/>
        </w:rPr>
        <w:t>一</w:t>
      </w:r>
      <w:r>
        <w:rPr>
          <w:spacing w:val="-54"/>
          <w:sz w:val="21"/>
          <w:szCs w:val="21"/>
        </w:rPr>
        <w:t xml:space="preserve"> </w:t>
      </w:r>
      <w:r>
        <w:rPr>
          <w:spacing w:val="4"/>
          <w:sz w:val="21"/>
          <w:szCs w:val="21"/>
        </w:rPr>
        <w:t>)收益</w:t>
      </w:r>
      <w:r>
        <w:rPr>
          <w:rFonts w:ascii="Times New Roman" w:hAnsi="Times New Roman" w:eastAsia="Times New Roman" w:cs="Times New Roman"/>
          <w:spacing w:val="4"/>
          <w:sz w:val="21"/>
          <w:szCs w:val="21"/>
        </w:rPr>
        <w:t>(</w:t>
      </w:r>
      <w:r>
        <w:rPr>
          <w:rFonts w:ascii="Times New Roman" w:hAnsi="Times New Roman" w:eastAsia="Times New Roman" w:cs="Times New Roman"/>
          <w:sz w:val="21"/>
          <w:szCs w:val="21"/>
        </w:rPr>
        <w:t>yield</w:t>
      </w:r>
      <w:r>
        <w:rPr>
          <w:rFonts w:ascii="Times New Roman" w:hAnsi="Times New Roman" w:eastAsia="Times New Roman" w:cs="Times New Roman"/>
          <w:spacing w:val="4"/>
          <w:sz w:val="21"/>
          <w:szCs w:val="21"/>
        </w:rPr>
        <w:t xml:space="preserve">)  </w:t>
      </w:r>
      <w:r>
        <w:rPr>
          <w:spacing w:val="4"/>
          <w:sz w:val="21"/>
          <w:szCs w:val="21"/>
        </w:rPr>
        <w:t>的概念</w:t>
      </w:r>
    </w:p>
    <w:p w14:paraId="39A4B5D8">
      <w:pPr>
        <w:spacing w:before="110" w:line="326" w:lineRule="auto"/>
        <w:ind w:left="689" w:right="68" w:firstLine="409"/>
        <w:jc w:val="both"/>
        <w:rPr>
          <w:rFonts w:ascii="宋体" w:hAnsi="宋体" w:eastAsia="宋体" w:cs="宋体"/>
          <w:sz w:val="21"/>
          <w:szCs w:val="21"/>
        </w:rPr>
      </w:pPr>
      <w:r>
        <w:rPr>
          <w:rFonts w:ascii="宋体" w:hAnsi="宋体" w:eastAsia="宋体" w:cs="宋体"/>
          <w:spacing w:val="-4"/>
          <w:sz w:val="21"/>
          <w:szCs w:val="21"/>
        </w:rPr>
        <w:t>收益也称收获量，指经筛检后能使多少原来未发现的病人(或临床</w:t>
      </w:r>
      <w:r>
        <w:rPr>
          <w:rFonts w:ascii="宋体" w:hAnsi="宋体" w:eastAsia="宋体" w:cs="宋体"/>
          <w:spacing w:val="-5"/>
          <w:sz w:val="21"/>
          <w:szCs w:val="21"/>
        </w:rPr>
        <w:t>前期病人、高危人群)得到诊</w:t>
      </w:r>
      <w:r>
        <w:rPr>
          <w:rFonts w:ascii="宋体" w:hAnsi="宋体" w:eastAsia="宋体" w:cs="宋体"/>
          <w:sz w:val="21"/>
          <w:szCs w:val="21"/>
        </w:rPr>
        <w:t xml:space="preserve"> 断和治疗。该类指标反映人群在短期内因筛检得以早诊早治的获益情况。常用的指标有：①阳性</w:t>
      </w:r>
      <w:r>
        <w:rPr>
          <w:rFonts w:ascii="宋体" w:hAnsi="宋体" w:eastAsia="宋体" w:cs="宋体"/>
          <w:spacing w:val="17"/>
          <w:sz w:val="21"/>
          <w:szCs w:val="21"/>
        </w:rPr>
        <w:t xml:space="preserve"> </w:t>
      </w:r>
      <w:r>
        <w:rPr>
          <w:rFonts w:ascii="宋体" w:hAnsi="宋体" w:eastAsia="宋体" w:cs="宋体"/>
          <w:spacing w:val="-9"/>
          <w:sz w:val="21"/>
          <w:szCs w:val="21"/>
        </w:rPr>
        <w:t>预测值，是最常用的收益指标。该指标高，说明筛检出的阳性者中，真病人的比例高</w:t>
      </w:r>
      <w:r>
        <w:rPr>
          <w:rFonts w:ascii="宋体" w:hAnsi="宋体" w:eastAsia="宋体" w:cs="宋体"/>
          <w:spacing w:val="-10"/>
          <w:sz w:val="21"/>
          <w:szCs w:val="21"/>
        </w:rPr>
        <w:t>，筛检具有较高</w:t>
      </w:r>
      <w:r>
        <w:rPr>
          <w:rFonts w:ascii="宋体" w:hAnsi="宋体" w:eastAsia="宋体" w:cs="宋体"/>
          <w:sz w:val="21"/>
          <w:szCs w:val="21"/>
        </w:rPr>
        <w:t xml:space="preserve"> 的效率。②转诊率或筛检阳性检出率，即筛检阳性人数占筛检目标人群的比例。转诊率与筛检试</w:t>
      </w:r>
      <w:r>
        <w:rPr>
          <w:rFonts w:ascii="宋体" w:hAnsi="宋体" w:eastAsia="宋体" w:cs="宋体"/>
          <w:spacing w:val="17"/>
          <w:sz w:val="21"/>
          <w:szCs w:val="21"/>
        </w:rPr>
        <w:t xml:space="preserve"> </w:t>
      </w:r>
      <w:r>
        <w:rPr>
          <w:rFonts w:ascii="宋体" w:hAnsi="宋体" w:eastAsia="宋体" w:cs="宋体"/>
          <w:spacing w:val="-4"/>
          <w:sz w:val="21"/>
          <w:szCs w:val="21"/>
        </w:rPr>
        <w:t>验的灵敏度以及特异度有关，如果目标人群基数较大，该指标不宜太</w:t>
      </w:r>
      <w:r>
        <w:rPr>
          <w:rFonts w:ascii="宋体" w:hAnsi="宋体" w:eastAsia="宋体" w:cs="宋体"/>
          <w:spacing w:val="-5"/>
          <w:sz w:val="21"/>
          <w:szCs w:val="21"/>
        </w:rPr>
        <w:t>高，否则不符合卫生经济学原</w:t>
      </w:r>
      <w:r>
        <w:rPr>
          <w:rFonts w:ascii="宋体" w:hAnsi="宋体" w:eastAsia="宋体" w:cs="宋体"/>
          <w:sz w:val="21"/>
          <w:szCs w:val="21"/>
        </w:rPr>
        <w:t xml:space="preserve"> </w:t>
      </w:r>
      <w:r>
        <w:rPr>
          <w:rFonts w:ascii="宋体" w:hAnsi="宋体" w:eastAsia="宋体" w:cs="宋体"/>
          <w:spacing w:val="-2"/>
          <w:sz w:val="21"/>
          <w:szCs w:val="21"/>
        </w:rPr>
        <w:t>则。③早诊/早治率，即早期病例在筛检所发现的全部病例中所占的比例，如果筛检的早诊率显著</w:t>
      </w:r>
      <w:r>
        <w:rPr>
          <w:rFonts w:ascii="宋体" w:hAnsi="宋体" w:eastAsia="宋体" w:cs="宋体"/>
          <w:spacing w:val="3"/>
          <w:sz w:val="21"/>
          <w:szCs w:val="21"/>
        </w:rPr>
        <w:t xml:space="preserve"> </w:t>
      </w:r>
      <w:r>
        <w:rPr>
          <w:rFonts w:ascii="宋体" w:hAnsi="宋体" w:eastAsia="宋体" w:cs="宋体"/>
          <w:spacing w:val="-4"/>
          <w:sz w:val="21"/>
          <w:szCs w:val="21"/>
        </w:rPr>
        <w:t>高于正常医疗程序发现的早诊率，且对早期病例干预的</w:t>
      </w:r>
      <w:r>
        <w:rPr>
          <w:rFonts w:ascii="宋体" w:hAnsi="宋体" w:eastAsia="宋体" w:cs="宋体"/>
          <w:spacing w:val="-5"/>
          <w:sz w:val="21"/>
          <w:szCs w:val="21"/>
        </w:rPr>
        <w:t>卫生经济学效果明显优于晚期病例，则可认</w:t>
      </w:r>
      <w:r>
        <w:rPr>
          <w:rFonts w:ascii="宋体" w:hAnsi="宋体" w:eastAsia="宋体" w:cs="宋体"/>
          <w:sz w:val="21"/>
          <w:szCs w:val="21"/>
        </w:rPr>
        <w:t xml:space="preserve"> </w:t>
      </w:r>
      <w:r>
        <w:rPr>
          <w:rFonts w:ascii="宋体" w:hAnsi="宋体" w:eastAsia="宋体" w:cs="宋体"/>
          <w:spacing w:val="-5"/>
          <w:sz w:val="21"/>
          <w:szCs w:val="21"/>
        </w:rPr>
        <w:t>为筛检收益较好。</w:t>
      </w:r>
    </w:p>
    <w:p w14:paraId="652BA536">
      <w:pPr>
        <w:pStyle w:val="2"/>
        <w:spacing w:before="71" w:line="222" w:lineRule="auto"/>
        <w:ind w:left="1102"/>
        <w:rPr>
          <w:sz w:val="21"/>
          <w:szCs w:val="21"/>
        </w:rPr>
      </w:pPr>
      <w:r>
        <w:rPr>
          <w:b/>
          <w:bCs/>
          <w:spacing w:val="11"/>
          <w:sz w:val="21"/>
          <w:szCs w:val="21"/>
        </w:rPr>
        <w:t>(二)提高筛检收益的因素</w:t>
      </w:r>
    </w:p>
    <w:p w14:paraId="0497A7AA">
      <w:pPr>
        <w:pStyle w:val="2"/>
        <w:spacing w:before="79" w:line="306" w:lineRule="auto"/>
        <w:ind w:left="689" w:firstLine="409"/>
        <w:rPr>
          <w:rFonts w:ascii="宋体" w:hAnsi="宋体" w:eastAsia="宋体" w:cs="宋体"/>
          <w:sz w:val="21"/>
          <w:szCs w:val="21"/>
        </w:rPr>
      </w:pPr>
      <w:r>
        <w:rPr>
          <w:rFonts w:ascii="宋体" w:hAnsi="宋体" w:eastAsia="宋体" w:cs="宋体"/>
          <w:spacing w:val="-2"/>
          <w:sz w:val="21"/>
          <w:szCs w:val="21"/>
        </w:rPr>
        <w:t xml:space="preserve">1. </w:t>
      </w:r>
      <w:r>
        <w:rPr>
          <w:spacing w:val="-2"/>
          <w:sz w:val="21"/>
          <w:szCs w:val="21"/>
        </w:rPr>
        <w:t xml:space="preserve">高危人群 </w:t>
      </w:r>
      <w:r>
        <w:rPr>
          <w:rFonts w:ascii="宋体" w:hAnsi="宋体" w:eastAsia="宋体" w:cs="宋体"/>
          <w:spacing w:val="-2"/>
          <w:sz w:val="21"/>
          <w:szCs w:val="21"/>
        </w:rPr>
        <w:t>疾病在某些年龄、性别、种族及主</w:t>
      </w:r>
      <w:r>
        <w:rPr>
          <w:rFonts w:ascii="宋体" w:hAnsi="宋体" w:eastAsia="宋体" w:cs="宋体"/>
          <w:spacing w:val="-3"/>
          <w:sz w:val="21"/>
          <w:szCs w:val="21"/>
        </w:rPr>
        <w:t>要危险因素暴露特征人群中有较高的患病率，</w:t>
      </w:r>
      <w:r>
        <w:rPr>
          <w:rFonts w:ascii="宋体" w:hAnsi="宋体" w:eastAsia="宋体" w:cs="宋体"/>
          <w:sz w:val="21"/>
          <w:szCs w:val="21"/>
        </w:rPr>
        <w:t xml:space="preserve"> 在这些高危人群中开展筛检，可提高阳性预测值，也更符合低成本高效益的原则。如将40岁以上</w:t>
      </w:r>
      <w:r>
        <w:rPr>
          <w:rFonts w:ascii="宋体" w:hAnsi="宋体" w:eastAsia="宋体" w:cs="宋体"/>
          <w:spacing w:val="17"/>
          <w:sz w:val="21"/>
          <w:szCs w:val="21"/>
        </w:rPr>
        <w:t xml:space="preserve"> </w:t>
      </w:r>
      <w:r>
        <w:rPr>
          <w:rFonts w:ascii="宋体" w:hAnsi="宋体" w:eastAsia="宋体" w:cs="宋体"/>
          <w:spacing w:val="-4"/>
          <w:sz w:val="21"/>
          <w:szCs w:val="21"/>
        </w:rPr>
        <w:t>且具有一级亲属患肠癌家族史、肠息肉病史、慢性结直肠</w:t>
      </w:r>
      <w:r>
        <w:rPr>
          <w:rFonts w:ascii="宋体" w:hAnsi="宋体" w:eastAsia="宋体" w:cs="宋体"/>
          <w:spacing w:val="-5"/>
          <w:sz w:val="21"/>
          <w:szCs w:val="21"/>
        </w:rPr>
        <w:t>病史者定义为高危人群，在该人群中开展</w:t>
      </w:r>
      <w:r>
        <w:rPr>
          <w:rFonts w:ascii="宋体" w:hAnsi="宋体" w:eastAsia="宋体" w:cs="宋体"/>
          <w:sz w:val="21"/>
          <w:szCs w:val="21"/>
        </w:rPr>
        <w:t xml:space="preserve"> </w:t>
      </w:r>
      <w:r>
        <w:rPr>
          <w:rFonts w:ascii="宋体" w:hAnsi="宋体" w:eastAsia="宋体" w:cs="宋体"/>
          <w:spacing w:val="-9"/>
          <w:sz w:val="21"/>
          <w:szCs w:val="21"/>
        </w:rPr>
        <w:t>肠道镜检，可获得较高的阳性检出率。</w:t>
      </w:r>
    </w:p>
    <w:p w14:paraId="6D224300">
      <w:pPr>
        <w:pStyle w:val="2"/>
        <w:spacing w:before="119" w:line="290" w:lineRule="auto"/>
        <w:ind w:left="689" w:right="66" w:firstLine="409"/>
        <w:rPr>
          <w:rFonts w:ascii="宋体" w:hAnsi="宋体" w:eastAsia="宋体" w:cs="宋体"/>
          <w:sz w:val="21"/>
          <w:szCs w:val="21"/>
        </w:rPr>
      </w:pPr>
      <w:r>
        <w:rPr>
          <w:rFonts w:ascii="宋体" w:hAnsi="宋体" w:eastAsia="宋体" w:cs="宋体"/>
          <w:spacing w:val="-1"/>
          <w:sz w:val="21"/>
          <w:szCs w:val="21"/>
        </w:rPr>
        <w:t xml:space="preserve">2. </w:t>
      </w:r>
      <w:r>
        <w:rPr>
          <w:spacing w:val="-1"/>
          <w:sz w:val="21"/>
          <w:szCs w:val="21"/>
        </w:rPr>
        <w:t>选择灵敏度较高的筛检方法</w:t>
      </w:r>
      <w:r>
        <w:rPr>
          <w:spacing w:val="87"/>
          <w:sz w:val="21"/>
          <w:szCs w:val="21"/>
        </w:rPr>
        <w:t xml:space="preserve"> </w:t>
      </w:r>
      <w:r>
        <w:rPr>
          <w:rFonts w:ascii="宋体" w:hAnsi="宋体" w:eastAsia="宋体" w:cs="宋体"/>
          <w:spacing w:val="-1"/>
          <w:sz w:val="21"/>
          <w:szCs w:val="21"/>
        </w:rPr>
        <w:t>如果所筛检的疾病早期诊断意义重大，</w:t>
      </w:r>
      <w:r>
        <w:rPr>
          <w:rFonts w:ascii="宋体" w:hAnsi="宋体" w:eastAsia="宋体" w:cs="宋体"/>
          <w:spacing w:val="-2"/>
          <w:sz w:val="21"/>
          <w:szCs w:val="21"/>
        </w:rPr>
        <w:t>筛检的目的是尽可能</w:t>
      </w:r>
      <w:r>
        <w:rPr>
          <w:rFonts w:ascii="宋体" w:hAnsi="宋体" w:eastAsia="宋体" w:cs="宋体"/>
          <w:sz w:val="21"/>
          <w:szCs w:val="21"/>
        </w:rPr>
        <w:t xml:space="preserve"> </w:t>
      </w:r>
      <w:r>
        <w:rPr>
          <w:rFonts w:ascii="宋体" w:hAnsi="宋体" w:eastAsia="宋体" w:cs="宋体"/>
          <w:spacing w:val="-4"/>
          <w:sz w:val="21"/>
          <w:szCs w:val="21"/>
        </w:rPr>
        <w:t>不漏诊病例，应尽量选择高灵敏度的方法，可以得到</w:t>
      </w:r>
      <w:r>
        <w:rPr>
          <w:rFonts w:ascii="宋体" w:hAnsi="宋体" w:eastAsia="宋体" w:cs="宋体"/>
          <w:spacing w:val="-5"/>
          <w:sz w:val="21"/>
          <w:szCs w:val="21"/>
        </w:rPr>
        <w:t>较高的转诊率。但同时应注意，如果过度追求</w:t>
      </w:r>
      <w:r>
        <w:rPr>
          <w:rFonts w:ascii="宋体" w:hAnsi="宋体" w:eastAsia="宋体" w:cs="宋体"/>
          <w:sz w:val="21"/>
          <w:szCs w:val="21"/>
        </w:rPr>
        <w:t xml:space="preserve"> </w:t>
      </w:r>
      <w:r>
        <w:rPr>
          <w:rFonts w:ascii="宋体" w:hAnsi="宋体" w:eastAsia="宋体" w:cs="宋体"/>
          <w:spacing w:val="-6"/>
          <w:sz w:val="21"/>
          <w:szCs w:val="21"/>
        </w:rPr>
        <w:t>高灵敏度而损失特异度，则可能导致筛检的阳性预测值较低，筛检的卫生经济学成本效果比较低。</w:t>
      </w:r>
    </w:p>
    <w:p w14:paraId="33871C7E">
      <w:pPr>
        <w:pStyle w:val="2"/>
        <w:spacing w:before="129" w:line="308" w:lineRule="auto"/>
        <w:ind w:left="689" w:right="68" w:firstLine="409"/>
        <w:rPr>
          <w:rFonts w:ascii="宋体" w:hAnsi="宋体" w:eastAsia="宋体" w:cs="宋体"/>
          <w:sz w:val="21"/>
          <w:szCs w:val="21"/>
        </w:rPr>
      </w:pPr>
      <w:r>
        <w:rPr>
          <w:rFonts w:ascii="宋体" w:hAnsi="宋体" w:eastAsia="宋体" w:cs="宋体"/>
          <w:sz w:val="21"/>
          <w:szCs w:val="21"/>
        </w:rPr>
        <w:t>3.</w:t>
      </w:r>
      <w:r>
        <w:rPr>
          <w:rFonts w:ascii="宋体" w:hAnsi="宋体" w:eastAsia="宋体" w:cs="宋体"/>
          <w:spacing w:val="-22"/>
          <w:sz w:val="21"/>
          <w:szCs w:val="21"/>
        </w:rPr>
        <w:t xml:space="preserve"> </w:t>
      </w:r>
      <w:r>
        <w:rPr>
          <w:sz w:val="21"/>
          <w:szCs w:val="21"/>
        </w:rPr>
        <w:t>选择合理的筛检起始年龄和间隔时间</w:t>
      </w:r>
      <w:r>
        <w:rPr>
          <w:spacing w:val="65"/>
          <w:sz w:val="21"/>
          <w:szCs w:val="21"/>
        </w:rPr>
        <w:t xml:space="preserve"> </w:t>
      </w:r>
      <w:r>
        <w:rPr>
          <w:rFonts w:ascii="宋体" w:hAnsi="宋体" w:eastAsia="宋体" w:cs="宋体"/>
          <w:sz w:val="21"/>
          <w:szCs w:val="21"/>
        </w:rPr>
        <w:t>筛检的起始年龄和筛检</w:t>
      </w:r>
      <w:r>
        <w:rPr>
          <w:rFonts w:ascii="宋体" w:hAnsi="宋体" w:eastAsia="宋体" w:cs="宋体"/>
          <w:spacing w:val="-1"/>
          <w:sz w:val="21"/>
          <w:szCs w:val="21"/>
        </w:rPr>
        <w:t>间隔根据人群最大获益的时</w:t>
      </w:r>
      <w:r>
        <w:rPr>
          <w:rFonts w:ascii="宋体" w:hAnsi="宋体" w:eastAsia="宋体" w:cs="宋体"/>
          <w:sz w:val="21"/>
          <w:szCs w:val="21"/>
        </w:rPr>
        <w:t xml:space="preserve"> </w:t>
      </w:r>
      <w:r>
        <w:rPr>
          <w:rFonts w:ascii="宋体" w:hAnsi="宋体" w:eastAsia="宋体" w:cs="宋体"/>
          <w:spacing w:val="1"/>
          <w:sz w:val="21"/>
          <w:szCs w:val="21"/>
        </w:rPr>
        <w:t>点来确定。如我国女性乳腺癌的高发年龄段</w:t>
      </w:r>
      <w:r>
        <w:rPr>
          <w:rFonts w:ascii="宋体" w:hAnsi="宋体" w:eastAsia="宋体" w:cs="宋体"/>
          <w:sz w:val="21"/>
          <w:szCs w:val="21"/>
        </w:rPr>
        <w:t>为45～54岁，因此，现在的指南建议一般风险人群乳 腺癌筛查的起始年龄为40岁。筛检间隔要根据方法的准确性来调整，用灵敏度和特异度均高的方</w:t>
      </w:r>
      <w:r>
        <w:rPr>
          <w:rFonts w:ascii="宋体" w:hAnsi="宋体" w:eastAsia="宋体" w:cs="宋体"/>
          <w:spacing w:val="16"/>
          <w:sz w:val="21"/>
          <w:szCs w:val="21"/>
        </w:rPr>
        <w:t xml:space="preserve"> </w:t>
      </w:r>
      <w:r>
        <w:rPr>
          <w:rFonts w:ascii="宋体" w:hAnsi="宋体" w:eastAsia="宋体" w:cs="宋体"/>
          <w:spacing w:val="-4"/>
          <w:sz w:val="21"/>
          <w:szCs w:val="21"/>
        </w:rPr>
        <w:t>法，筛检间隔可较长；而灵敏度较低的方法，可以通过提高筛检频率</w:t>
      </w:r>
      <w:r>
        <w:rPr>
          <w:rFonts w:ascii="宋体" w:hAnsi="宋体" w:eastAsia="宋体" w:cs="宋体"/>
          <w:spacing w:val="-5"/>
          <w:sz w:val="21"/>
          <w:szCs w:val="21"/>
        </w:rPr>
        <w:t>来减少漏诊的情况。如用准确</w:t>
      </w:r>
      <w:r>
        <w:rPr>
          <w:rFonts w:ascii="宋体" w:hAnsi="宋体" w:eastAsia="宋体" w:cs="宋体"/>
          <w:sz w:val="21"/>
          <w:szCs w:val="21"/>
        </w:rPr>
        <w:t xml:space="preserve"> 性较高的细胞学检查联合</w:t>
      </w:r>
      <w:r>
        <w:rPr>
          <w:rFonts w:ascii="Times New Roman" w:hAnsi="Times New Roman" w:eastAsia="Times New Roman" w:cs="Times New Roman"/>
          <w:sz w:val="21"/>
          <w:szCs w:val="21"/>
        </w:rPr>
        <w:t>HPV-DNA</w:t>
      </w:r>
      <w:r>
        <w:rPr>
          <w:rFonts w:ascii="宋体" w:hAnsi="宋体" w:eastAsia="宋体" w:cs="宋体"/>
          <w:sz w:val="21"/>
          <w:szCs w:val="21"/>
        </w:rPr>
        <w:t>检测法筛检宫颈癌，阴性者可间隔5年后再行筛检；而仅采用</w:t>
      </w:r>
      <w:r>
        <w:rPr>
          <w:rFonts w:ascii="宋体" w:hAnsi="宋体" w:eastAsia="宋体" w:cs="宋体"/>
          <w:spacing w:val="15"/>
          <w:sz w:val="21"/>
          <w:szCs w:val="21"/>
        </w:rPr>
        <w:t xml:space="preserve"> </w:t>
      </w:r>
      <w:r>
        <w:rPr>
          <w:rFonts w:ascii="宋体" w:hAnsi="宋体" w:eastAsia="宋体" w:cs="宋体"/>
          <w:sz w:val="21"/>
          <w:szCs w:val="21"/>
        </w:rPr>
        <w:t>细胞学检查的阴性者筛检间隔时间仅为3年。</w:t>
      </w:r>
    </w:p>
    <w:p w14:paraId="5C4622A6">
      <w:pPr>
        <w:pStyle w:val="2"/>
        <w:spacing w:before="136" w:line="221" w:lineRule="auto"/>
        <w:ind w:left="1102"/>
        <w:rPr>
          <w:sz w:val="21"/>
          <w:szCs w:val="21"/>
        </w:rPr>
      </w:pPr>
      <w:r>
        <w:rPr>
          <w:b/>
          <w:bCs/>
          <w:spacing w:val="9"/>
          <w:sz w:val="21"/>
          <w:szCs w:val="21"/>
        </w:rPr>
        <w:t>(三)联合试验对收益的影响</w:t>
      </w:r>
    </w:p>
    <w:p w14:paraId="6962A8CF">
      <w:pPr>
        <w:spacing w:before="112" w:line="311" w:lineRule="auto"/>
        <w:ind w:left="689" w:right="77" w:firstLine="409"/>
        <w:rPr>
          <w:rFonts w:ascii="宋体" w:hAnsi="宋体" w:eastAsia="宋体" w:cs="宋体"/>
          <w:sz w:val="21"/>
          <w:szCs w:val="21"/>
        </w:rPr>
      </w:pPr>
      <w:r>
        <w:rPr>
          <w:rFonts w:ascii="宋体" w:hAnsi="宋体" w:eastAsia="宋体" w:cs="宋体"/>
          <w:spacing w:val="-4"/>
          <w:sz w:val="21"/>
          <w:szCs w:val="21"/>
        </w:rPr>
        <w:t>在实施筛检时，可采用两种或两种以上筛检试验</w:t>
      </w:r>
      <w:r>
        <w:rPr>
          <w:rFonts w:ascii="宋体" w:hAnsi="宋体" w:eastAsia="宋体" w:cs="宋体"/>
          <w:spacing w:val="-5"/>
          <w:sz w:val="21"/>
          <w:szCs w:val="21"/>
        </w:rPr>
        <w:t>检查同一受试对象，以提高筛检的灵敏度或特</w:t>
      </w:r>
      <w:r>
        <w:rPr>
          <w:rFonts w:ascii="宋体" w:hAnsi="宋体" w:eastAsia="宋体" w:cs="宋体"/>
          <w:sz w:val="21"/>
          <w:szCs w:val="21"/>
        </w:rPr>
        <w:t xml:space="preserve"> </w:t>
      </w:r>
      <w:r>
        <w:rPr>
          <w:rFonts w:ascii="宋体" w:hAnsi="宋体" w:eastAsia="宋体" w:cs="宋体"/>
          <w:spacing w:val="-8"/>
          <w:sz w:val="21"/>
          <w:szCs w:val="21"/>
        </w:rPr>
        <w:t>异度，增加筛检的收益，这种方式称为联合试验。根据联合的形式，分为串联试验与并联试验。</w:t>
      </w:r>
    </w:p>
    <w:p w14:paraId="303861BD">
      <w:pPr>
        <w:spacing w:before="7" w:line="312" w:lineRule="auto"/>
        <w:ind w:left="689" w:right="72" w:firstLine="409"/>
        <w:rPr>
          <w:rFonts w:ascii="宋体" w:hAnsi="宋体" w:eastAsia="宋体" w:cs="宋体"/>
          <w:sz w:val="21"/>
          <w:szCs w:val="21"/>
        </w:rPr>
      </w:pPr>
      <w:r>
        <w:rPr>
          <w:rFonts w:ascii="Times New Roman" w:hAnsi="Times New Roman" w:eastAsia="Times New Roman" w:cs="Times New Roman"/>
          <w:spacing w:val="-3"/>
          <w:sz w:val="21"/>
          <w:szCs w:val="21"/>
        </w:rPr>
        <w:t xml:space="preserve">1.   </w:t>
      </w:r>
      <w:r>
        <w:rPr>
          <w:rFonts w:ascii="宋体" w:hAnsi="宋体" w:eastAsia="宋体" w:cs="宋体"/>
          <w:spacing w:val="-3"/>
          <w:sz w:val="21"/>
          <w:szCs w:val="21"/>
        </w:rPr>
        <w:t>串联试验</w:t>
      </w:r>
      <w:r>
        <w:rPr>
          <w:rFonts w:ascii="Times New Roman" w:hAnsi="Times New Roman" w:eastAsia="Times New Roman" w:cs="Times New Roman"/>
          <w:spacing w:val="-3"/>
          <w:sz w:val="21"/>
          <w:szCs w:val="21"/>
        </w:rPr>
        <w:t xml:space="preserve">(serial   test)  </w:t>
      </w:r>
      <w:r>
        <w:rPr>
          <w:rFonts w:ascii="宋体" w:hAnsi="宋体" w:eastAsia="宋体" w:cs="宋体"/>
          <w:spacing w:val="-3"/>
          <w:sz w:val="21"/>
          <w:szCs w:val="21"/>
        </w:rPr>
        <w:t>也称序列试验，即一组筛检试验按一定的顺序相连</w:t>
      </w:r>
      <w:r>
        <w:rPr>
          <w:rFonts w:ascii="宋体" w:hAnsi="宋体" w:eastAsia="宋体" w:cs="宋体"/>
          <w:spacing w:val="-4"/>
          <w:sz w:val="21"/>
          <w:szCs w:val="21"/>
        </w:rPr>
        <w:t>，初筛阳性者进人</w:t>
      </w:r>
      <w:r>
        <w:rPr>
          <w:rFonts w:ascii="宋体" w:hAnsi="宋体" w:eastAsia="宋体" w:cs="宋体"/>
          <w:sz w:val="21"/>
          <w:szCs w:val="21"/>
        </w:rPr>
        <w:t xml:space="preserve"> 下一轮筛检，全部筛检试验结果均为阳性者才定为阳性。该法可以理解为初筛进一步聚焦高危人</w:t>
      </w:r>
      <w:r>
        <w:rPr>
          <w:rFonts w:ascii="宋体" w:hAnsi="宋体" w:eastAsia="宋体" w:cs="宋体"/>
          <w:spacing w:val="17"/>
          <w:sz w:val="21"/>
          <w:szCs w:val="21"/>
        </w:rPr>
        <w:t xml:space="preserve"> </w:t>
      </w:r>
      <w:r>
        <w:rPr>
          <w:rFonts w:ascii="宋体" w:hAnsi="宋体" w:eastAsia="宋体" w:cs="宋体"/>
          <w:spacing w:val="-4"/>
          <w:sz w:val="21"/>
          <w:szCs w:val="21"/>
        </w:rPr>
        <w:t>群，第二轮筛检再进一步发现临床意义的阳性。因此，初筛</w:t>
      </w:r>
      <w:r>
        <w:rPr>
          <w:rFonts w:ascii="宋体" w:hAnsi="宋体" w:eastAsia="宋体" w:cs="宋体"/>
          <w:spacing w:val="-5"/>
          <w:sz w:val="21"/>
          <w:szCs w:val="21"/>
        </w:rPr>
        <w:t>的方法尽量选择简单、易操作且灵敏度</w:t>
      </w:r>
      <w:r>
        <w:rPr>
          <w:rFonts w:ascii="宋体" w:hAnsi="宋体" w:eastAsia="宋体" w:cs="宋体"/>
          <w:sz w:val="21"/>
          <w:szCs w:val="21"/>
        </w:rPr>
        <w:t xml:space="preserve"> 较高的方法，第二轮的筛检则应选择灵敏度和特异度都较高的方法。该联合试验适用于筛检人群</w:t>
      </w:r>
      <w:r>
        <w:rPr>
          <w:rFonts w:ascii="宋体" w:hAnsi="宋体" w:eastAsia="宋体" w:cs="宋体"/>
          <w:spacing w:val="17"/>
          <w:sz w:val="21"/>
          <w:szCs w:val="21"/>
        </w:rPr>
        <w:t xml:space="preserve"> </w:t>
      </w:r>
      <w:r>
        <w:rPr>
          <w:rFonts w:ascii="宋体" w:hAnsi="宋体" w:eastAsia="宋体" w:cs="宋体"/>
          <w:spacing w:val="1"/>
          <w:sz w:val="21"/>
          <w:szCs w:val="21"/>
        </w:rPr>
        <w:t>较大，但发病率和患病率较低的疾病(如恶性</w:t>
      </w:r>
      <w:r>
        <w:rPr>
          <w:rFonts w:ascii="宋体" w:hAnsi="宋体" w:eastAsia="宋体" w:cs="宋体"/>
          <w:sz w:val="21"/>
          <w:szCs w:val="21"/>
        </w:rPr>
        <w:t>肿瘤)的筛检。例如在非结直肠癌高危人群中建议先 进行粪便潜血筛检</w:t>
      </w:r>
      <w:r>
        <w:rPr>
          <w:rFonts w:ascii="Times New Roman" w:hAnsi="Times New Roman" w:eastAsia="Times New Roman" w:cs="Times New Roman"/>
          <w:sz w:val="21"/>
          <w:szCs w:val="21"/>
        </w:rPr>
        <w:t>(FOBT),</w:t>
      </w:r>
      <w:r>
        <w:rPr>
          <w:rFonts w:ascii="Times New Roman" w:hAnsi="Times New Roman" w:eastAsia="Times New Roman" w:cs="Times New Roman"/>
          <w:spacing w:val="47"/>
          <w:w w:val="101"/>
          <w:sz w:val="21"/>
          <w:szCs w:val="21"/>
        </w:rPr>
        <w:t xml:space="preserve"> </w:t>
      </w:r>
      <w:r>
        <w:rPr>
          <w:rFonts w:ascii="宋体" w:hAnsi="宋体" w:eastAsia="宋体" w:cs="宋体"/>
          <w:sz w:val="21"/>
          <w:szCs w:val="21"/>
        </w:rPr>
        <w:t xml:space="preserve">再对阳性者进行肠镜检查，可以保证筛检具有较高的卫生经济学成本 </w:t>
      </w:r>
      <w:r>
        <w:rPr>
          <w:rFonts w:ascii="宋体" w:hAnsi="宋体" w:eastAsia="宋体" w:cs="宋体"/>
          <w:spacing w:val="-7"/>
          <w:sz w:val="21"/>
          <w:szCs w:val="21"/>
        </w:rPr>
        <w:t>效果比。相较单一方法，串联试验可提高特异度和阳性检出率，但会损失一定的灵敏度。</w:t>
      </w:r>
    </w:p>
    <w:p w14:paraId="391B0B52">
      <w:pPr>
        <w:spacing w:before="129" w:line="297" w:lineRule="auto"/>
        <w:ind w:left="689" w:right="74" w:firstLine="409"/>
        <w:rPr>
          <w:rFonts w:ascii="宋体" w:hAnsi="宋体" w:eastAsia="宋体" w:cs="宋体"/>
          <w:sz w:val="21"/>
          <w:szCs w:val="21"/>
        </w:rPr>
      </w:pPr>
      <w:r>
        <w:rPr>
          <w:rFonts w:ascii="Times New Roman" w:hAnsi="Times New Roman" w:eastAsia="Times New Roman" w:cs="Times New Roman"/>
          <w:spacing w:val="-2"/>
          <w:sz w:val="21"/>
          <w:szCs w:val="21"/>
        </w:rPr>
        <w:t xml:space="preserve">2.  </w:t>
      </w:r>
      <w:r>
        <w:rPr>
          <w:rFonts w:ascii="宋体" w:hAnsi="宋体" w:eastAsia="宋体" w:cs="宋体"/>
          <w:spacing w:val="-2"/>
          <w:sz w:val="21"/>
          <w:szCs w:val="21"/>
        </w:rPr>
        <w:t>并联试验</w:t>
      </w:r>
      <w:r>
        <w:rPr>
          <w:rFonts w:ascii="Times New Roman" w:hAnsi="Times New Roman" w:eastAsia="Times New Roman" w:cs="Times New Roman"/>
          <w:spacing w:val="-2"/>
          <w:sz w:val="21"/>
          <w:szCs w:val="21"/>
        </w:rPr>
        <w:t>(parallel   test)</w:t>
      </w:r>
      <w:r>
        <w:rPr>
          <w:rFonts w:ascii="Times New Roman" w:hAnsi="Times New Roman" w:eastAsia="Times New Roman" w:cs="Times New Roman"/>
          <w:spacing w:val="9"/>
          <w:sz w:val="21"/>
          <w:szCs w:val="21"/>
        </w:rPr>
        <w:t xml:space="preserve">  </w:t>
      </w:r>
      <w:r>
        <w:rPr>
          <w:rFonts w:ascii="宋体" w:hAnsi="宋体" w:eastAsia="宋体" w:cs="宋体"/>
          <w:spacing w:val="-2"/>
          <w:sz w:val="21"/>
          <w:szCs w:val="21"/>
        </w:rPr>
        <w:t>也称平行试验，即全部筛检试验同时平行开展，任何一项筛检试验</w:t>
      </w:r>
      <w:r>
        <w:rPr>
          <w:rFonts w:ascii="宋体" w:hAnsi="宋体" w:eastAsia="宋体" w:cs="宋体"/>
          <w:spacing w:val="1"/>
          <w:sz w:val="21"/>
          <w:szCs w:val="21"/>
        </w:rPr>
        <w:t xml:space="preserve"> 结果阳性就可判定为阳性。该方法的优点是</w:t>
      </w:r>
      <w:r>
        <w:rPr>
          <w:rFonts w:ascii="宋体" w:hAnsi="宋体" w:eastAsia="宋体" w:cs="宋体"/>
          <w:sz w:val="21"/>
          <w:szCs w:val="21"/>
        </w:rPr>
        <w:t xml:space="preserve">可以弥补两种方法灵敏度都不足的问题，提高筛检整 </w:t>
      </w:r>
      <w:r>
        <w:rPr>
          <w:rFonts w:ascii="宋体" w:hAnsi="宋体" w:eastAsia="宋体" w:cs="宋体"/>
          <w:spacing w:val="-4"/>
          <w:sz w:val="21"/>
          <w:szCs w:val="21"/>
        </w:rPr>
        <w:t>体的灵敏度，但会降低特异度。在设计并联筛检</w:t>
      </w:r>
      <w:r>
        <w:rPr>
          <w:rFonts w:ascii="宋体" w:hAnsi="宋体" w:eastAsia="宋体" w:cs="宋体"/>
          <w:spacing w:val="-5"/>
          <w:sz w:val="21"/>
          <w:szCs w:val="21"/>
        </w:rPr>
        <w:t>方案时，在考虑收益的时候，应充分考虑筛检方法</w:t>
      </w:r>
      <w:r>
        <w:rPr>
          <w:rFonts w:ascii="宋体" w:hAnsi="宋体" w:eastAsia="宋体" w:cs="宋体"/>
          <w:sz w:val="21"/>
          <w:szCs w:val="21"/>
        </w:rPr>
        <w:t xml:space="preserve"> </w:t>
      </w:r>
      <w:r>
        <w:rPr>
          <w:rFonts w:ascii="宋体" w:hAnsi="宋体" w:eastAsia="宋体" w:cs="宋体"/>
          <w:spacing w:val="-4"/>
          <w:sz w:val="21"/>
          <w:szCs w:val="21"/>
        </w:rPr>
        <w:t>的成本效益比。</w:t>
      </w:r>
    </w:p>
    <w:p w14:paraId="6F16E789">
      <w:pPr>
        <w:spacing w:line="297" w:lineRule="auto"/>
        <w:rPr>
          <w:rFonts w:ascii="宋体" w:hAnsi="宋体" w:eastAsia="宋体" w:cs="宋体"/>
          <w:sz w:val="21"/>
          <w:szCs w:val="21"/>
        </w:rPr>
        <w:sectPr>
          <w:footerReference r:id="rId153" w:type="default"/>
          <w:pgSz w:w="11900" w:h="16820"/>
          <w:pgMar w:top="400" w:right="1464" w:bottom="816" w:left="830" w:header="0" w:footer="663" w:gutter="0"/>
          <w:cols w:space="720" w:num="1"/>
        </w:sectPr>
      </w:pPr>
    </w:p>
    <w:p w14:paraId="3203ED91">
      <w:pPr>
        <w:pStyle w:val="2"/>
        <w:spacing w:before="164" w:line="222" w:lineRule="auto"/>
        <w:ind w:left="7892"/>
        <w:rPr>
          <w:sz w:val="21"/>
          <w:szCs w:val="21"/>
        </w:rPr>
      </w:pPr>
      <w:bookmarkStart w:id="214" w:name="bookmark475"/>
      <w:bookmarkEnd w:id="214"/>
      <w:r>
        <w:rPr>
          <w:b/>
          <w:bCs/>
          <w:spacing w:val="-9"/>
          <w:sz w:val="21"/>
          <w:szCs w:val="21"/>
        </w:rPr>
        <w:t>第七章筛检</w:t>
      </w:r>
    </w:p>
    <w:p w14:paraId="398EE70A">
      <w:pPr>
        <w:spacing w:line="263" w:lineRule="auto"/>
        <w:rPr>
          <w:rFonts w:ascii="Arial"/>
          <w:sz w:val="21"/>
        </w:rPr>
      </w:pPr>
    </w:p>
    <w:p w14:paraId="66C3ED83">
      <w:pPr>
        <w:spacing w:line="264" w:lineRule="auto"/>
        <w:rPr>
          <w:rFonts w:ascii="Arial"/>
          <w:sz w:val="21"/>
        </w:rPr>
      </w:pPr>
    </w:p>
    <w:p w14:paraId="242A8C80">
      <w:pPr>
        <w:spacing w:before="68" w:line="334" w:lineRule="auto"/>
        <w:ind w:right="674" w:firstLine="294"/>
        <w:rPr>
          <w:rFonts w:ascii="宋体" w:hAnsi="宋体" w:eastAsia="宋体" w:cs="宋体"/>
          <w:sz w:val="21"/>
          <w:szCs w:val="21"/>
        </w:rPr>
      </w:pPr>
      <w:r>
        <w:rPr>
          <w:rFonts w:ascii="宋体" w:hAnsi="宋体" w:eastAsia="宋体" w:cs="宋体"/>
          <w:spacing w:val="5"/>
          <w:sz w:val="21"/>
          <w:szCs w:val="21"/>
        </w:rPr>
        <w:t>【例7-2】联合应用血红蛋白检测法</w:t>
      </w:r>
      <w:r>
        <w:rPr>
          <w:rFonts w:ascii="Times New Roman" w:hAnsi="Times New Roman" w:eastAsia="Times New Roman" w:cs="Times New Roman"/>
          <w:spacing w:val="5"/>
          <w:sz w:val="21"/>
          <w:szCs w:val="21"/>
        </w:rPr>
        <w:t>(</w:t>
      </w:r>
      <w:r>
        <w:rPr>
          <w:rFonts w:ascii="Times New Roman" w:hAnsi="Times New Roman" w:eastAsia="Times New Roman" w:cs="Times New Roman"/>
          <w:sz w:val="21"/>
          <w:szCs w:val="21"/>
        </w:rPr>
        <w:t>FOB</w:t>
      </w:r>
      <w:r>
        <w:rPr>
          <w:rFonts w:ascii="Times New Roman" w:hAnsi="Times New Roman" w:eastAsia="Times New Roman" w:cs="Times New Roman"/>
          <w:spacing w:val="5"/>
          <w:sz w:val="21"/>
          <w:szCs w:val="21"/>
        </w:rPr>
        <w:t xml:space="preserve"> </w:t>
      </w:r>
      <w:r>
        <w:rPr>
          <w:rFonts w:ascii="宋体" w:hAnsi="宋体" w:eastAsia="宋体" w:cs="宋体"/>
          <w:spacing w:val="5"/>
          <w:sz w:val="21"/>
          <w:szCs w:val="21"/>
        </w:rPr>
        <w:t>法)和转铁蛋白检测法</w:t>
      </w:r>
      <w:r>
        <w:rPr>
          <w:rFonts w:ascii="Times New Roman" w:hAnsi="Times New Roman" w:eastAsia="Times New Roman" w:cs="Times New Roman"/>
          <w:spacing w:val="5"/>
          <w:sz w:val="21"/>
          <w:szCs w:val="21"/>
        </w:rPr>
        <w:t>(</w:t>
      </w:r>
      <w:r>
        <w:rPr>
          <w:rFonts w:ascii="Times New Roman" w:hAnsi="Times New Roman" w:eastAsia="Times New Roman" w:cs="Times New Roman"/>
          <w:sz w:val="21"/>
          <w:szCs w:val="21"/>
        </w:rPr>
        <w:t>TF</w:t>
      </w:r>
      <w:r>
        <w:rPr>
          <w:rFonts w:ascii="Times New Roman" w:hAnsi="Times New Roman" w:eastAsia="Times New Roman" w:cs="Times New Roman"/>
          <w:spacing w:val="5"/>
          <w:sz w:val="21"/>
          <w:szCs w:val="21"/>
        </w:rPr>
        <w:t xml:space="preserve"> </w:t>
      </w:r>
      <w:r>
        <w:rPr>
          <w:rFonts w:ascii="宋体" w:hAnsi="宋体" w:eastAsia="宋体" w:cs="宋体"/>
          <w:spacing w:val="5"/>
          <w:sz w:val="21"/>
          <w:szCs w:val="21"/>
        </w:rPr>
        <w:t>法)开展结直肠癌粪便潜</w:t>
      </w:r>
      <w:r>
        <w:rPr>
          <w:rFonts w:ascii="宋体" w:hAnsi="宋体" w:eastAsia="宋体" w:cs="宋体"/>
          <w:spacing w:val="16"/>
          <w:sz w:val="21"/>
          <w:szCs w:val="21"/>
        </w:rPr>
        <w:t xml:space="preserve"> </w:t>
      </w:r>
      <w:r>
        <w:rPr>
          <w:rFonts w:ascii="宋体" w:hAnsi="宋体" w:eastAsia="宋体" w:cs="宋体"/>
          <w:spacing w:val="3"/>
          <w:sz w:val="21"/>
          <w:szCs w:val="21"/>
        </w:rPr>
        <w:t>血筛检，假设特定的1000人中，结直肠癌患病率为10%,筛检结果见表7-7。</w:t>
      </w:r>
    </w:p>
    <w:p w14:paraId="02F57FA3">
      <w:pPr>
        <w:spacing w:before="183" w:line="219" w:lineRule="auto"/>
        <w:ind w:left="2399"/>
        <w:rPr>
          <w:rFonts w:ascii="宋体" w:hAnsi="宋体" w:eastAsia="宋体" w:cs="宋体"/>
          <w:sz w:val="21"/>
          <w:szCs w:val="21"/>
        </w:rPr>
      </w:pPr>
      <w:r>
        <w:rPr>
          <w:rFonts w:ascii="宋体" w:hAnsi="宋体" w:eastAsia="宋体" w:cs="宋体"/>
          <w:spacing w:val="-1"/>
          <w:sz w:val="21"/>
          <w:szCs w:val="21"/>
        </w:rPr>
        <w:t>表7-7 FOB法和TF法联合试验筛检大肠癌结果</w:t>
      </w:r>
    </w:p>
    <w:p w14:paraId="710AC541">
      <w:pPr>
        <w:spacing w:line="17" w:lineRule="exact"/>
      </w:pPr>
    </w:p>
    <w:tbl>
      <w:tblPr>
        <w:tblStyle w:val="5"/>
        <w:tblW w:w="8900"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0" w:type="dxa"/>
          <w:left w:w="0" w:type="dxa"/>
          <w:bottom w:w="0" w:type="dxa"/>
          <w:right w:w="0" w:type="dxa"/>
        </w:tblCellMar>
      </w:tblPr>
      <w:tblGrid>
        <w:gridCol w:w="1616"/>
        <w:gridCol w:w="1324"/>
        <w:gridCol w:w="1590"/>
        <w:gridCol w:w="2260"/>
        <w:gridCol w:w="2110"/>
      </w:tblGrid>
      <w:tr w14:paraId="3092D035">
        <w:trPr>
          <w:trHeight w:val="742" w:hRule="atLeast"/>
        </w:trPr>
        <w:tc>
          <w:tcPr>
            <w:tcW w:w="1616" w:type="dxa"/>
            <w:tcBorders>
              <w:top w:val="single" w:color="000000" w:sz="4" w:space="0"/>
              <w:bottom w:val="single" w:color="000000" w:sz="4" w:space="0"/>
            </w:tcBorders>
            <w:vAlign w:val="top"/>
          </w:tcPr>
          <w:p w14:paraId="778410D8">
            <w:pPr>
              <w:spacing w:line="399" w:lineRule="auto"/>
              <w:rPr>
                <w:rFonts w:ascii="Arial"/>
                <w:sz w:val="21"/>
              </w:rPr>
            </w:pPr>
          </w:p>
          <w:p w14:paraId="65A0FA52">
            <w:pPr>
              <w:pStyle w:val="6"/>
              <w:spacing w:before="68" w:line="225" w:lineRule="auto"/>
              <w:ind w:left="880"/>
              <w:rPr>
                <w:sz w:val="21"/>
                <w:szCs w:val="21"/>
              </w:rPr>
            </w:pPr>
            <w:r>
              <mc:AlternateContent>
                <mc:Choice Requires="wps">
                  <w:drawing>
                    <wp:anchor distT="0" distB="0" distL="0" distR="0" simplePos="0" relativeHeight="251812864" behindDoc="1" locked="0" layoutInCell="1" allowOverlap="1">
                      <wp:simplePos x="0" y="0"/>
                      <wp:positionH relativeFrom="column">
                        <wp:posOffset>0</wp:posOffset>
                      </wp:positionH>
                      <wp:positionV relativeFrom="paragraph">
                        <wp:posOffset>-16510</wp:posOffset>
                      </wp:positionV>
                      <wp:extent cx="1454785" cy="235585"/>
                      <wp:effectExtent l="0" t="0" r="0" b="0"/>
                      <wp:wrapNone/>
                      <wp:docPr id="492" name="Rect 492"/>
                      <wp:cNvGraphicFramePr/>
                      <a:graphic xmlns:a="http://schemas.openxmlformats.org/drawingml/2006/main">
                        <a:graphicData uri="http://schemas.microsoft.com/office/word/2010/wordprocessingShape">
                          <wps:wsp>
                            <wps:cNvSpPr/>
                            <wps:spPr>
                              <a:xfrm>
                                <a:off x="0" y="-16750"/>
                                <a:ext cx="1454785" cy="235584"/>
                              </a:xfrm>
                              <a:prstGeom prst="rect">
                                <a:avLst/>
                              </a:prstGeom>
                              <a:solidFill>
                                <a:srgbClr val="C3CFCE"/>
                              </a:solidFill>
                              <a:ln w="0">
                                <a:noFill/>
                              </a:ln>
                            </wps:spPr>
                            <wps:style>
                              <a:lnRef idx="0">
                                <a:schemeClr val="accent1"/>
                              </a:lnRef>
                              <a:fillRef idx="0">
                                <a:schemeClr val="accent1"/>
                              </a:fillRef>
                              <a:effectRef idx="0">
                                <a:schemeClr val="accent1"/>
                              </a:effectRef>
                              <a:fontRef idx="minor">
                                <a:schemeClr val="dk1"/>
                              </a:fontRef>
                            </wps:style>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rect id="Rect 492" o:spid="_x0000_s1026" o:spt="1" style="position:absolute;left:0pt;margin-left:0pt;margin-top:-1.3pt;height:18.55pt;width:114.55pt;z-index:-251503616;mso-width-relative:page;mso-height-relative:page;" fillcolor="#C3CFCE" filled="t" stroked="f" coordsize="21600,21600" o:gfxdata="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">
                      <v:fill on="t" focussize="0,0"/>
                      <v:stroke on="f" weight="0pt"/>
                      <v:imagedata o:title=""/>
                      <o:lock v:ext="edit" aspectratio="f"/>
                      <v:textbox inset="0mm,0mm,0mm,0mm"/>
                    </v:rect>
                  </w:pict>
                </mc:Fallback>
              </mc:AlternateContent>
            </w:r>
            <w:r>
              <w:rPr>
                <w:spacing w:val="-1"/>
                <w:sz w:val="21"/>
                <w:szCs w:val="21"/>
              </w:rPr>
              <w:t>FOB法</w:t>
            </w:r>
          </w:p>
        </w:tc>
        <w:tc>
          <w:tcPr>
            <w:tcW w:w="1324" w:type="dxa"/>
            <w:tcBorders>
              <w:top w:val="single" w:color="000000" w:sz="4" w:space="0"/>
              <w:bottom w:val="single" w:color="000000" w:sz="4" w:space="0"/>
            </w:tcBorders>
            <w:vAlign w:val="top"/>
          </w:tcPr>
          <w:p w14:paraId="034E1193">
            <w:pPr>
              <w:pStyle w:val="6"/>
              <w:spacing w:before="84" w:line="220" w:lineRule="auto"/>
              <w:ind w:left="223"/>
              <w:rPr>
                <w:sz w:val="21"/>
                <w:szCs w:val="21"/>
              </w:rPr>
            </w:pPr>
            <w:r>
              <mc:AlternateContent>
                <mc:Choice Requires="wps">
                  <w:drawing>
                    <wp:anchor distT="0" distB="0" distL="0" distR="0" simplePos="0" relativeHeight="251815936" behindDoc="1" locked="0" layoutInCell="1" allowOverlap="1">
                      <wp:simplePos x="0" y="0"/>
                      <wp:positionH relativeFrom="column">
                        <wp:posOffset>-1026160</wp:posOffset>
                      </wp:positionH>
                      <wp:positionV relativeFrom="paragraph">
                        <wp:posOffset>-2540</wp:posOffset>
                      </wp:positionV>
                      <wp:extent cx="2876550" cy="241300"/>
                      <wp:effectExtent l="0" t="0" r="0" b="0"/>
                      <wp:wrapNone/>
                      <wp:docPr id="494" name="Rect 494"/>
                      <wp:cNvGraphicFramePr/>
                      <a:graphic xmlns:a="http://schemas.openxmlformats.org/drawingml/2006/main">
                        <a:graphicData uri="http://schemas.microsoft.com/office/word/2010/wordprocessingShape">
                          <wps:wsp>
                            <wps:cNvSpPr/>
                            <wps:spPr>
                              <a:xfrm>
                                <a:off x="-1026160" y="-3137"/>
                                <a:ext cx="2876550" cy="241300"/>
                              </a:xfrm>
                              <a:prstGeom prst="rect">
                                <a:avLst/>
                              </a:prstGeom>
                              <a:solidFill>
                                <a:srgbClr val="C8CECB"/>
                              </a:solidFill>
                              <a:ln w="0">
                                <a:noFill/>
                              </a:ln>
                            </wps:spPr>
                            <wps:style>
                              <a:lnRef idx="0">
                                <a:schemeClr val="accent1"/>
                              </a:lnRef>
                              <a:fillRef idx="0">
                                <a:schemeClr val="accent1"/>
                              </a:fillRef>
                              <a:effectRef idx="0">
                                <a:schemeClr val="accent1"/>
                              </a:effectRef>
                              <a:fontRef idx="minor">
                                <a:schemeClr val="dk1"/>
                              </a:fontRef>
                            </wps:style>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rect id="Rect 494" o:spid="_x0000_s1026" o:spt="1" style="position:absolute;left:0pt;margin-left:-80.8pt;margin-top:-0.2pt;height:19pt;width:226.5pt;z-index:-251500544;mso-width-relative:page;mso-height-relative:page;" fillcolor="#C8CECB" filled="t" stroked="f" coordsize="21600,21600" o:gfxdata="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">
                      <v:fill on="t" focussize="0,0"/>
                      <v:stroke on="f" weight="0pt"/>
                      <v:imagedata o:title=""/>
                      <o:lock v:ext="edit" aspectratio="f"/>
                      <v:textbox inset="0mm,0mm,0mm,0mm"/>
                    </v:rect>
                  </w:pict>
                </mc:Fallback>
              </mc:AlternateContent>
            </w:r>
            <w:r>
              <w:rPr>
                <w:spacing w:val="3"/>
                <w:sz w:val="21"/>
                <w:szCs w:val="21"/>
              </w:rPr>
              <w:t>试验结果</w:t>
            </w:r>
          </w:p>
        </w:tc>
        <w:tc>
          <w:tcPr>
            <w:tcW w:w="1590" w:type="dxa"/>
            <w:tcBorders>
              <w:top w:val="single" w:color="000000" w:sz="4" w:space="0"/>
              <w:bottom w:val="single" w:color="000000" w:sz="4" w:space="0"/>
            </w:tcBorders>
            <w:vAlign w:val="top"/>
          </w:tcPr>
          <w:p w14:paraId="3721CC20">
            <w:pPr>
              <w:spacing w:line="399" w:lineRule="auto"/>
              <w:rPr>
                <w:rFonts w:ascii="Arial"/>
                <w:sz w:val="21"/>
              </w:rPr>
            </w:pPr>
          </w:p>
          <w:p w14:paraId="29F6F5D9">
            <w:pPr>
              <w:pStyle w:val="6"/>
              <w:spacing w:before="68" w:line="225" w:lineRule="auto"/>
              <w:ind w:left="260"/>
              <w:rPr>
                <w:sz w:val="21"/>
                <w:szCs w:val="21"/>
              </w:rPr>
            </w:pPr>
            <w:r>
              <mc:AlternateContent>
                <mc:Choice Requires="wps">
                  <w:drawing>
                    <wp:anchor distT="0" distB="0" distL="0" distR="0" simplePos="0" relativeHeight="251817984" behindDoc="1" locked="0" layoutInCell="1" allowOverlap="1">
                      <wp:simplePos x="0" y="0"/>
                      <wp:positionH relativeFrom="column">
                        <wp:posOffset>-412115</wp:posOffset>
                      </wp:positionH>
                      <wp:positionV relativeFrom="paragraph">
                        <wp:posOffset>-16510</wp:posOffset>
                      </wp:positionV>
                      <wp:extent cx="1422400" cy="235585"/>
                      <wp:effectExtent l="0" t="0" r="0" b="0"/>
                      <wp:wrapNone/>
                      <wp:docPr id="496" name="Rect 496"/>
                      <wp:cNvGraphicFramePr/>
                      <a:graphic xmlns:a="http://schemas.openxmlformats.org/drawingml/2006/main">
                        <a:graphicData uri="http://schemas.microsoft.com/office/word/2010/wordprocessingShape">
                          <wps:wsp>
                            <wps:cNvSpPr/>
                            <wps:spPr>
                              <a:xfrm>
                                <a:off x="-412727" y="-16750"/>
                                <a:ext cx="1422400" cy="235584"/>
                              </a:xfrm>
                              <a:prstGeom prst="rect">
                                <a:avLst/>
                              </a:prstGeom>
                              <a:solidFill>
                                <a:srgbClr val="C6C9C6"/>
                              </a:solidFill>
                              <a:ln w="0">
                                <a:noFill/>
                              </a:ln>
                            </wps:spPr>
                            <wps:style>
                              <a:lnRef idx="0">
                                <a:schemeClr val="accent1"/>
                              </a:lnRef>
                              <a:fillRef idx="0">
                                <a:schemeClr val="accent1"/>
                              </a:fillRef>
                              <a:effectRef idx="0">
                                <a:schemeClr val="accent1"/>
                              </a:effectRef>
                              <a:fontRef idx="minor">
                                <a:schemeClr val="dk1"/>
                              </a:fontRef>
                            </wps:style>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rect id="Rect 496" o:spid="_x0000_s1026" o:spt="1" style="position:absolute;left:0pt;margin-left:-32.45pt;margin-top:-1.3pt;height:18.55pt;width:112pt;z-index:-251498496;mso-width-relative:page;mso-height-relative:page;" fillcolor="#C6C9C6" filled="t" stroked="f" coordsize="21600,21600" o:gfxdata="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">
                      <v:fill on="t" focussize="0,0"/>
                      <v:stroke on="f" weight="0pt"/>
                      <v:imagedata o:title=""/>
                      <o:lock v:ext="edit" aspectratio="f"/>
                      <v:textbox inset="0mm,0mm,0mm,0mm"/>
                    </v:rect>
                  </w:pict>
                </mc:Fallback>
              </mc:AlternateContent>
            </w:r>
            <w:r>
              <w:rPr>
                <w:spacing w:val="-2"/>
                <w:sz w:val="21"/>
                <w:szCs w:val="21"/>
              </w:rPr>
              <w:t>TF法</w:t>
            </w:r>
          </w:p>
        </w:tc>
        <w:tc>
          <w:tcPr>
            <w:tcW w:w="2260" w:type="dxa"/>
            <w:tcBorders>
              <w:top w:val="single" w:color="000000" w:sz="4" w:space="0"/>
              <w:bottom w:val="single" w:color="000000" w:sz="4" w:space="0"/>
            </w:tcBorders>
            <w:shd w:val="clear" w:color="auto" w:fill="CFD0CB"/>
            <w:vAlign w:val="top"/>
          </w:tcPr>
          <w:p w14:paraId="02EB1142">
            <w:pPr>
              <w:pStyle w:val="6"/>
              <w:spacing w:before="274" w:line="220" w:lineRule="auto"/>
              <w:ind w:left="500"/>
              <w:rPr>
                <w:sz w:val="21"/>
                <w:szCs w:val="21"/>
              </w:rPr>
            </w:pPr>
            <w:r>
              <w:rPr>
                <w:spacing w:val="1"/>
                <w:sz w:val="21"/>
                <w:szCs w:val="21"/>
              </w:rPr>
              <w:t>结直肠癌病人</w:t>
            </w:r>
          </w:p>
        </w:tc>
        <w:tc>
          <w:tcPr>
            <w:tcW w:w="2110" w:type="dxa"/>
            <w:tcBorders>
              <w:top w:val="single" w:color="000000" w:sz="4" w:space="0"/>
              <w:bottom w:val="single" w:color="000000" w:sz="4" w:space="0"/>
            </w:tcBorders>
            <w:shd w:val="clear" w:color="auto" w:fill="D1D1CB"/>
            <w:vAlign w:val="top"/>
          </w:tcPr>
          <w:p w14:paraId="095D8D26">
            <w:pPr>
              <w:pStyle w:val="6"/>
              <w:spacing w:before="274" w:line="220" w:lineRule="auto"/>
              <w:ind w:left="419"/>
              <w:rPr>
                <w:sz w:val="21"/>
                <w:szCs w:val="21"/>
              </w:rPr>
            </w:pPr>
            <w:r>
              <w:rPr>
                <w:spacing w:val="1"/>
                <w:sz w:val="21"/>
                <w:szCs w:val="21"/>
              </w:rPr>
              <w:t>非结直肠癌者</w:t>
            </w:r>
          </w:p>
        </w:tc>
      </w:tr>
      <w:tr w14:paraId="5E3F5F70">
        <w:trPr>
          <w:trHeight w:val="368" w:hRule="atLeast"/>
        </w:trPr>
        <w:tc>
          <w:tcPr>
            <w:tcW w:w="1616" w:type="dxa"/>
            <w:tcBorders>
              <w:top w:val="single" w:color="000000" w:sz="4" w:space="0"/>
              <w:bottom w:val="single" w:color="000000" w:sz="4" w:space="0"/>
            </w:tcBorders>
            <w:vAlign w:val="top"/>
          </w:tcPr>
          <w:p w14:paraId="1B820161">
            <w:pPr>
              <w:pStyle w:val="6"/>
              <w:spacing w:before="102" w:line="225" w:lineRule="auto"/>
              <w:ind w:left="1090"/>
              <w:rPr>
                <w:sz w:val="21"/>
                <w:szCs w:val="21"/>
              </w:rPr>
            </w:pPr>
            <w:r>
              <w:rPr>
                <w:sz w:val="21"/>
                <w:szCs w:val="21"/>
              </w:rPr>
              <w:t>+</w:t>
            </w:r>
          </w:p>
        </w:tc>
        <w:tc>
          <w:tcPr>
            <w:tcW w:w="1324" w:type="dxa"/>
            <w:tcBorders>
              <w:top w:val="single" w:color="000000" w:sz="4" w:space="0"/>
              <w:bottom w:val="single" w:color="000000" w:sz="4" w:space="0"/>
            </w:tcBorders>
            <w:vAlign w:val="top"/>
          </w:tcPr>
          <w:p w14:paraId="5DCCA767">
            <w:pPr>
              <w:rPr>
                <w:rFonts w:ascii="Arial"/>
                <w:sz w:val="21"/>
              </w:rPr>
            </w:pPr>
          </w:p>
        </w:tc>
        <w:tc>
          <w:tcPr>
            <w:tcW w:w="1590" w:type="dxa"/>
            <w:tcBorders>
              <w:top w:val="single" w:color="000000" w:sz="4" w:space="0"/>
              <w:bottom w:val="single" w:color="000000" w:sz="4" w:space="0"/>
            </w:tcBorders>
            <w:vAlign w:val="top"/>
          </w:tcPr>
          <w:p w14:paraId="6E965D66">
            <w:pPr>
              <w:pStyle w:val="6"/>
              <w:spacing w:before="181" w:line="162" w:lineRule="exact"/>
              <w:ind w:left="359"/>
              <w:rPr>
                <w:sz w:val="21"/>
                <w:szCs w:val="21"/>
              </w:rPr>
            </w:pPr>
            <w:r>
              <w:rPr>
                <w:position w:val="-4"/>
                <w:sz w:val="21"/>
                <w:szCs w:val="21"/>
              </w:rPr>
              <w:t>一</w:t>
            </w:r>
          </w:p>
        </w:tc>
        <w:tc>
          <w:tcPr>
            <w:tcW w:w="2260" w:type="dxa"/>
            <w:tcBorders>
              <w:top w:val="single" w:color="000000" w:sz="4" w:space="0"/>
              <w:bottom w:val="single" w:color="000000" w:sz="4" w:space="0"/>
            </w:tcBorders>
            <w:vAlign w:val="top"/>
          </w:tcPr>
          <w:p w14:paraId="17448743">
            <w:pPr>
              <w:pStyle w:val="6"/>
              <w:spacing w:before="102" w:line="225" w:lineRule="auto"/>
              <w:ind w:left="1020"/>
              <w:rPr>
                <w:sz w:val="21"/>
                <w:szCs w:val="21"/>
              </w:rPr>
            </w:pPr>
            <w:r>
              <w:rPr>
                <w:spacing w:val="-6"/>
                <w:sz w:val="21"/>
                <w:szCs w:val="21"/>
              </w:rPr>
              <w:t>10</w:t>
            </w:r>
          </w:p>
        </w:tc>
        <w:tc>
          <w:tcPr>
            <w:tcW w:w="2110" w:type="dxa"/>
            <w:tcBorders>
              <w:top w:val="single" w:color="000000" w:sz="4" w:space="0"/>
              <w:bottom w:val="single" w:color="000000" w:sz="4" w:space="0"/>
            </w:tcBorders>
            <w:vAlign w:val="top"/>
          </w:tcPr>
          <w:p w14:paraId="1CF31156">
            <w:pPr>
              <w:pStyle w:val="6"/>
              <w:spacing w:before="102" w:line="225" w:lineRule="auto"/>
              <w:ind w:left="949"/>
              <w:rPr>
                <w:sz w:val="21"/>
                <w:szCs w:val="21"/>
              </w:rPr>
            </w:pPr>
            <w:r>
              <w:rPr>
                <w:spacing w:val="-3"/>
                <w:sz w:val="21"/>
                <w:szCs w:val="21"/>
              </w:rPr>
              <w:t>20</w:t>
            </w:r>
          </w:p>
        </w:tc>
      </w:tr>
      <w:tr w14:paraId="62F64D59">
        <w:trPr>
          <w:trHeight w:val="369" w:hRule="atLeast"/>
        </w:trPr>
        <w:tc>
          <w:tcPr>
            <w:tcW w:w="1616" w:type="dxa"/>
            <w:tcBorders>
              <w:top w:val="single" w:color="000000" w:sz="4" w:space="0"/>
              <w:bottom w:val="single" w:color="000000" w:sz="4" w:space="0"/>
            </w:tcBorders>
            <w:vAlign w:val="top"/>
          </w:tcPr>
          <w:p w14:paraId="00C70BE4">
            <w:pPr>
              <w:pStyle w:val="6"/>
              <w:spacing w:before="203" w:line="142" w:lineRule="exact"/>
              <w:ind w:left="1090"/>
              <w:rPr>
                <w:sz w:val="21"/>
                <w:szCs w:val="21"/>
              </w:rPr>
            </w:pPr>
            <w:r>
              <mc:AlternateContent>
                <mc:Choice Requires="wps">
                  <w:drawing>
                    <wp:anchor distT="0" distB="0" distL="0" distR="0" simplePos="0" relativeHeight="251816960" behindDoc="1" locked="0" layoutInCell="1" allowOverlap="1">
                      <wp:simplePos x="0" y="0"/>
                      <wp:positionH relativeFrom="column">
                        <wp:posOffset>0</wp:posOffset>
                      </wp:positionH>
                      <wp:positionV relativeFrom="paragraph">
                        <wp:posOffset>-3175</wp:posOffset>
                      </wp:positionV>
                      <wp:extent cx="1454785" cy="241935"/>
                      <wp:effectExtent l="0" t="0" r="0" b="0"/>
                      <wp:wrapNone/>
                      <wp:docPr id="498" name="Rect 498"/>
                      <wp:cNvGraphicFramePr/>
                      <a:graphic xmlns:a="http://schemas.openxmlformats.org/drawingml/2006/main">
                        <a:graphicData uri="http://schemas.microsoft.com/office/word/2010/wordprocessingShape">
                          <wps:wsp>
                            <wps:cNvSpPr/>
                            <wps:spPr>
                              <a:xfrm>
                                <a:off x="0" y="-3197"/>
                                <a:ext cx="1454785" cy="241934"/>
                              </a:xfrm>
                              <a:prstGeom prst="rect">
                                <a:avLst/>
                              </a:prstGeom>
                              <a:solidFill>
                                <a:srgbClr val="E1E4E9"/>
                              </a:solidFill>
                              <a:ln w="0">
                                <a:noFill/>
                              </a:ln>
                            </wps:spPr>
                            <wps:style>
                              <a:lnRef idx="0">
                                <a:schemeClr val="accent1"/>
                              </a:lnRef>
                              <a:fillRef idx="0">
                                <a:schemeClr val="accent1"/>
                              </a:fillRef>
                              <a:effectRef idx="0">
                                <a:schemeClr val="accent1"/>
                              </a:effectRef>
                              <a:fontRef idx="minor">
                                <a:schemeClr val="dk1"/>
                              </a:fontRef>
                            </wps:style>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rect id="Rect 498" o:spid="_x0000_s1026" o:spt="1" style="position:absolute;left:0pt;margin-left:0pt;margin-top:-0.25pt;height:19.05pt;width:114.55pt;z-index:-251499520;mso-width-relative:page;mso-height-relative:page;" fillcolor="#E1E4E9" filled="t" stroked="f" coordsize="21600,21600" o:gfxdata="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AAAAABkcnMvUEsBAhQAFAAAAAgA&#10;h07iQJpW15zTAAAABQEAAA8AAAAAAAAAAQAgAAAAIgAAAGRycy9kb3ducmV2LnhtbFBLAQIUABQA&#10;AAAIAIdO4kBWDf7wLgIAAGoEAAAOAAAAAAAAAAEAIAAAACIBAABkcnMvZTJvRG9jLnhtbFBLBQYA&#10;AAAABgAGAFkBAADCBQAAAAA=&#10;">
                      <v:fill on="t" focussize="0,0"/>
                      <v:stroke on="f" weight="0pt"/>
                      <v:imagedata o:title=""/>
                      <o:lock v:ext="edit" aspectratio="f"/>
                      <v:textbox inset="0mm,0mm,0mm,0mm"/>
                    </v:rect>
                  </w:pict>
                </mc:Fallback>
              </mc:AlternateContent>
            </w:r>
            <w:r>
              <w:rPr>
                <w:position w:val="-3"/>
                <w:sz w:val="21"/>
                <w:szCs w:val="21"/>
              </w:rPr>
              <w:t>-</w:t>
            </w:r>
          </w:p>
        </w:tc>
        <w:tc>
          <w:tcPr>
            <w:tcW w:w="1324" w:type="dxa"/>
            <w:tcBorders>
              <w:top w:val="single" w:color="000000" w:sz="4" w:space="0"/>
              <w:bottom w:val="single" w:color="000000" w:sz="4" w:space="0"/>
            </w:tcBorders>
            <w:vAlign w:val="top"/>
          </w:tcPr>
          <w:p w14:paraId="3EEC9B9B">
            <w:pPr>
              <w:rPr>
                <w:rFonts w:ascii="Arial"/>
                <w:sz w:val="21"/>
              </w:rPr>
            </w:pPr>
          </w:p>
        </w:tc>
        <w:tc>
          <w:tcPr>
            <w:tcW w:w="1590" w:type="dxa"/>
            <w:tcBorders>
              <w:top w:val="single" w:color="000000" w:sz="4" w:space="0"/>
              <w:bottom w:val="single" w:color="000000" w:sz="4" w:space="0"/>
            </w:tcBorders>
            <w:vAlign w:val="top"/>
          </w:tcPr>
          <w:p w14:paraId="0B8C23F2">
            <w:pPr>
              <w:pStyle w:val="6"/>
              <w:spacing w:before="104" w:line="224" w:lineRule="auto"/>
              <w:ind w:left="409"/>
              <w:rPr>
                <w:sz w:val="21"/>
                <w:szCs w:val="21"/>
              </w:rPr>
            </w:pPr>
            <w:r>
              <mc:AlternateContent>
                <mc:Choice Requires="wps">
                  <w:drawing>
                    <wp:anchor distT="0" distB="0" distL="0" distR="0" simplePos="0" relativeHeight="251814912" behindDoc="1" locked="0" layoutInCell="1" allowOverlap="1">
                      <wp:simplePos x="0" y="0"/>
                      <wp:positionH relativeFrom="column">
                        <wp:posOffset>-412115</wp:posOffset>
                      </wp:positionH>
                      <wp:positionV relativeFrom="paragraph">
                        <wp:posOffset>-3175</wp:posOffset>
                      </wp:positionV>
                      <wp:extent cx="1422400" cy="241935"/>
                      <wp:effectExtent l="0" t="0" r="0" b="0"/>
                      <wp:wrapNone/>
                      <wp:docPr id="500" name="Rect 500"/>
                      <wp:cNvGraphicFramePr/>
                      <a:graphic xmlns:a="http://schemas.openxmlformats.org/drawingml/2006/main">
                        <a:graphicData uri="http://schemas.microsoft.com/office/word/2010/wordprocessingShape">
                          <wps:wsp>
                            <wps:cNvSpPr/>
                            <wps:spPr>
                              <a:xfrm>
                                <a:off x="-412727" y="-3421"/>
                                <a:ext cx="1422400" cy="241934"/>
                              </a:xfrm>
                              <a:prstGeom prst="rect">
                                <a:avLst/>
                              </a:prstGeom>
                              <a:solidFill>
                                <a:srgbClr val="E0E0E1"/>
                              </a:solidFill>
                              <a:ln w="0">
                                <a:noFill/>
                              </a:ln>
                            </wps:spPr>
                            <wps:style>
                              <a:lnRef idx="0">
                                <a:schemeClr val="accent1"/>
                              </a:lnRef>
                              <a:fillRef idx="0">
                                <a:schemeClr val="accent1"/>
                              </a:fillRef>
                              <a:effectRef idx="0">
                                <a:schemeClr val="accent1"/>
                              </a:effectRef>
                              <a:fontRef idx="minor">
                                <a:schemeClr val="dk1"/>
                              </a:fontRef>
                            </wps:style>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rect id="Rect 500" o:spid="_x0000_s1026" o:spt="1" style="position:absolute;left:0pt;margin-left:-32.45pt;margin-top:-0.25pt;height:19.05pt;width:112pt;z-index:-251501568;mso-width-relative:page;mso-height-relative:page;" fillcolor="#E0E0E1" filled="t" stroked="f" coordsize="21600,21600" o:gfxdata="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">
                      <v:fill on="t" focussize="0,0"/>
                      <v:stroke on="f" weight="0pt"/>
                      <v:imagedata o:title=""/>
                      <o:lock v:ext="edit" aspectratio="f"/>
                      <v:textbox inset="0mm,0mm,0mm,0mm"/>
                    </v:rect>
                  </w:pict>
                </mc:Fallback>
              </mc:AlternateContent>
            </w:r>
            <w:r>
              <w:rPr>
                <w:sz w:val="21"/>
                <w:szCs w:val="21"/>
              </w:rPr>
              <w:t>+</w:t>
            </w:r>
          </w:p>
        </w:tc>
        <w:tc>
          <w:tcPr>
            <w:tcW w:w="2260" w:type="dxa"/>
            <w:tcBorders>
              <w:top w:val="single" w:color="000000" w:sz="4" w:space="0"/>
              <w:bottom w:val="single" w:color="000000" w:sz="4" w:space="0"/>
            </w:tcBorders>
            <w:shd w:val="clear" w:color="auto" w:fill="E4E3E2"/>
            <w:vAlign w:val="top"/>
          </w:tcPr>
          <w:p w14:paraId="3EC70450">
            <w:pPr>
              <w:pStyle w:val="6"/>
              <w:spacing w:before="104" w:line="224" w:lineRule="auto"/>
              <w:ind w:left="1020"/>
              <w:rPr>
                <w:sz w:val="21"/>
                <w:szCs w:val="21"/>
              </w:rPr>
            </w:pPr>
            <w:r>
              <w:rPr>
                <w:spacing w:val="-6"/>
                <w:sz w:val="21"/>
                <w:szCs w:val="21"/>
              </w:rPr>
              <w:t>15</w:t>
            </w:r>
          </w:p>
        </w:tc>
        <w:tc>
          <w:tcPr>
            <w:tcW w:w="2110" w:type="dxa"/>
            <w:tcBorders>
              <w:top w:val="single" w:color="000000" w:sz="4" w:space="0"/>
              <w:bottom w:val="single" w:color="000000" w:sz="4" w:space="0"/>
            </w:tcBorders>
            <w:shd w:val="clear" w:color="auto" w:fill="E5E4E2"/>
            <w:vAlign w:val="top"/>
          </w:tcPr>
          <w:p w14:paraId="65DCBEDA">
            <w:pPr>
              <w:pStyle w:val="6"/>
              <w:spacing w:before="104" w:line="224" w:lineRule="auto"/>
              <w:ind w:left="949"/>
              <w:rPr>
                <w:sz w:val="21"/>
                <w:szCs w:val="21"/>
              </w:rPr>
            </w:pPr>
            <w:r>
              <w:rPr>
                <w:spacing w:val="-4"/>
                <w:sz w:val="21"/>
                <w:szCs w:val="21"/>
              </w:rPr>
              <w:t>50</w:t>
            </w:r>
          </w:p>
        </w:tc>
      </w:tr>
      <w:tr w14:paraId="6ECF3D5C">
        <w:trPr>
          <w:trHeight w:val="369" w:hRule="atLeast"/>
        </w:trPr>
        <w:tc>
          <w:tcPr>
            <w:tcW w:w="1616" w:type="dxa"/>
            <w:tcBorders>
              <w:top w:val="single" w:color="000000" w:sz="4" w:space="0"/>
              <w:bottom w:val="single" w:color="000000" w:sz="4" w:space="0"/>
            </w:tcBorders>
            <w:vAlign w:val="top"/>
          </w:tcPr>
          <w:p w14:paraId="2A952BD8">
            <w:pPr>
              <w:pStyle w:val="6"/>
              <w:spacing w:before="105" w:line="223" w:lineRule="auto"/>
              <w:ind w:left="1090"/>
              <w:rPr>
                <w:sz w:val="21"/>
                <w:szCs w:val="21"/>
              </w:rPr>
            </w:pPr>
            <w:r>
              <w:rPr>
                <w:sz w:val="21"/>
                <w:szCs w:val="21"/>
              </w:rPr>
              <w:t>+</w:t>
            </w:r>
          </w:p>
        </w:tc>
        <w:tc>
          <w:tcPr>
            <w:tcW w:w="1324" w:type="dxa"/>
            <w:tcBorders>
              <w:top w:val="single" w:color="000000" w:sz="4" w:space="0"/>
              <w:bottom w:val="single" w:color="000000" w:sz="4" w:space="0"/>
            </w:tcBorders>
            <w:vAlign w:val="top"/>
          </w:tcPr>
          <w:p w14:paraId="5E8C44EE">
            <w:pPr>
              <w:rPr>
                <w:rFonts w:ascii="Arial"/>
                <w:sz w:val="21"/>
              </w:rPr>
            </w:pPr>
          </w:p>
        </w:tc>
        <w:tc>
          <w:tcPr>
            <w:tcW w:w="1590" w:type="dxa"/>
            <w:tcBorders>
              <w:top w:val="single" w:color="000000" w:sz="4" w:space="0"/>
              <w:bottom w:val="single" w:color="000000" w:sz="4" w:space="0"/>
            </w:tcBorders>
            <w:vAlign w:val="top"/>
          </w:tcPr>
          <w:p w14:paraId="00CAE14A">
            <w:pPr>
              <w:pStyle w:val="6"/>
              <w:spacing w:before="105" w:line="223" w:lineRule="auto"/>
              <w:ind w:left="409"/>
              <w:rPr>
                <w:sz w:val="21"/>
                <w:szCs w:val="21"/>
              </w:rPr>
            </w:pPr>
            <w:r>
              <w:rPr>
                <w:sz w:val="21"/>
                <w:szCs w:val="21"/>
              </w:rPr>
              <w:t>+</w:t>
            </w:r>
          </w:p>
        </w:tc>
        <w:tc>
          <w:tcPr>
            <w:tcW w:w="2260" w:type="dxa"/>
            <w:tcBorders>
              <w:top w:val="single" w:color="000000" w:sz="4" w:space="0"/>
              <w:bottom w:val="single" w:color="000000" w:sz="4" w:space="0"/>
            </w:tcBorders>
            <w:vAlign w:val="top"/>
          </w:tcPr>
          <w:p w14:paraId="270AA887">
            <w:pPr>
              <w:pStyle w:val="6"/>
              <w:spacing w:before="105" w:line="223" w:lineRule="auto"/>
              <w:ind w:left="1020"/>
              <w:rPr>
                <w:sz w:val="21"/>
                <w:szCs w:val="21"/>
              </w:rPr>
            </w:pPr>
            <w:r>
              <w:rPr>
                <w:spacing w:val="-4"/>
                <w:sz w:val="21"/>
                <w:szCs w:val="21"/>
              </w:rPr>
              <w:t>70</w:t>
            </w:r>
          </w:p>
        </w:tc>
        <w:tc>
          <w:tcPr>
            <w:tcW w:w="2110" w:type="dxa"/>
            <w:tcBorders>
              <w:top w:val="single" w:color="000000" w:sz="4" w:space="0"/>
              <w:bottom w:val="single" w:color="000000" w:sz="4" w:space="0"/>
            </w:tcBorders>
            <w:vAlign w:val="top"/>
          </w:tcPr>
          <w:p w14:paraId="488A2F5F">
            <w:pPr>
              <w:pStyle w:val="6"/>
              <w:spacing w:before="105" w:line="223" w:lineRule="auto"/>
              <w:ind w:left="949"/>
              <w:rPr>
                <w:sz w:val="21"/>
                <w:szCs w:val="21"/>
              </w:rPr>
            </w:pPr>
            <w:r>
              <w:rPr>
                <w:spacing w:val="-3"/>
                <w:sz w:val="21"/>
                <w:szCs w:val="21"/>
              </w:rPr>
              <w:t>80</w:t>
            </w:r>
          </w:p>
        </w:tc>
      </w:tr>
      <w:tr w14:paraId="3F02FD44">
        <w:trPr>
          <w:trHeight w:val="368" w:hRule="atLeast"/>
        </w:trPr>
        <w:tc>
          <w:tcPr>
            <w:tcW w:w="1616" w:type="dxa"/>
            <w:tcBorders>
              <w:top w:val="single" w:color="000000" w:sz="4" w:space="0"/>
              <w:bottom w:val="single" w:color="000000" w:sz="4" w:space="0"/>
            </w:tcBorders>
            <w:vAlign w:val="top"/>
          </w:tcPr>
          <w:p w14:paraId="5371671F">
            <w:pPr>
              <w:pStyle w:val="6"/>
              <w:spacing w:before="205" w:line="142" w:lineRule="exact"/>
              <w:ind w:left="1090"/>
              <w:rPr>
                <w:sz w:val="21"/>
                <w:szCs w:val="21"/>
              </w:rPr>
            </w:pPr>
            <w:r>
              <mc:AlternateContent>
                <mc:Choice Requires="wps">
                  <w:drawing>
                    <wp:anchor distT="0" distB="0" distL="0" distR="0" simplePos="0" relativeHeight="251811840" behindDoc="1" locked="0" layoutInCell="1" allowOverlap="1">
                      <wp:simplePos x="0" y="0"/>
                      <wp:positionH relativeFrom="column">
                        <wp:posOffset>0</wp:posOffset>
                      </wp:positionH>
                      <wp:positionV relativeFrom="paragraph">
                        <wp:posOffset>-1270</wp:posOffset>
                      </wp:positionV>
                      <wp:extent cx="1454785" cy="241300"/>
                      <wp:effectExtent l="0" t="0" r="0" b="0"/>
                      <wp:wrapNone/>
                      <wp:docPr id="502" name="Rect 502"/>
                      <wp:cNvGraphicFramePr/>
                      <a:graphic xmlns:a="http://schemas.openxmlformats.org/drawingml/2006/main">
                        <a:graphicData uri="http://schemas.microsoft.com/office/word/2010/wordprocessingShape">
                          <wps:wsp>
                            <wps:cNvSpPr/>
                            <wps:spPr>
                              <a:xfrm>
                                <a:off x="0" y="-1867"/>
                                <a:ext cx="1454785" cy="241300"/>
                              </a:xfrm>
                              <a:prstGeom prst="rect">
                                <a:avLst/>
                              </a:prstGeom>
                              <a:solidFill>
                                <a:srgbClr val="DCE1E6"/>
                              </a:solidFill>
                              <a:ln w="0">
                                <a:noFill/>
                              </a:ln>
                            </wps:spPr>
                            <wps:style>
                              <a:lnRef idx="0">
                                <a:schemeClr val="accent1"/>
                              </a:lnRef>
                              <a:fillRef idx="0">
                                <a:schemeClr val="accent1"/>
                              </a:fillRef>
                              <a:effectRef idx="0">
                                <a:schemeClr val="accent1"/>
                              </a:effectRef>
                              <a:fontRef idx="minor">
                                <a:schemeClr val="dk1"/>
                              </a:fontRef>
                            </wps:style>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rect id="Rect 502" o:spid="_x0000_s1026" o:spt="1" style="position:absolute;left:0pt;margin-left:0pt;margin-top:-0.1pt;height:19pt;width:114.55pt;z-index:-251504640;mso-width-relative:page;mso-height-relative:page;" fillcolor="#DCE1E6" filled="t" stroked="f" coordsize="21600,21600" o:gfxdata="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">
                      <v:fill on="t" focussize="0,0"/>
                      <v:stroke on="f" weight="0pt"/>
                      <v:imagedata o:title=""/>
                      <o:lock v:ext="edit" aspectratio="f"/>
                      <v:textbox inset="0mm,0mm,0mm,0mm"/>
                    </v:rect>
                  </w:pict>
                </mc:Fallback>
              </mc:AlternateContent>
            </w:r>
            <w:r>
              <w:rPr>
                <w:position w:val="-3"/>
                <w:sz w:val="21"/>
                <w:szCs w:val="21"/>
              </w:rPr>
              <w:t>-</w:t>
            </w:r>
          </w:p>
        </w:tc>
        <w:tc>
          <w:tcPr>
            <w:tcW w:w="1324" w:type="dxa"/>
            <w:tcBorders>
              <w:top w:val="single" w:color="000000" w:sz="4" w:space="0"/>
              <w:bottom w:val="single" w:color="000000" w:sz="4" w:space="0"/>
            </w:tcBorders>
            <w:vAlign w:val="top"/>
          </w:tcPr>
          <w:p w14:paraId="4679D462">
            <w:pPr>
              <w:rPr>
                <w:rFonts w:ascii="Arial"/>
                <w:sz w:val="21"/>
              </w:rPr>
            </w:pPr>
          </w:p>
        </w:tc>
        <w:tc>
          <w:tcPr>
            <w:tcW w:w="1590" w:type="dxa"/>
            <w:tcBorders>
              <w:top w:val="single" w:color="000000" w:sz="4" w:space="0"/>
              <w:bottom w:val="single" w:color="000000" w:sz="4" w:space="0"/>
            </w:tcBorders>
            <w:vAlign w:val="top"/>
          </w:tcPr>
          <w:p w14:paraId="3B410711">
            <w:pPr>
              <w:pStyle w:val="6"/>
              <w:spacing w:before="205" w:line="142" w:lineRule="exact"/>
              <w:ind w:left="409"/>
              <w:rPr>
                <w:sz w:val="21"/>
                <w:szCs w:val="21"/>
              </w:rPr>
            </w:pPr>
            <w:r>
              <mc:AlternateContent>
                <mc:Choice Requires="wps">
                  <w:drawing>
                    <wp:anchor distT="0" distB="0" distL="0" distR="0" simplePos="0" relativeHeight="251813888" behindDoc="1" locked="0" layoutInCell="1" allowOverlap="1">
                      <wp:simplePos x="0" y="0"/>
                      <wp:positionH relativeFrom="column">
                        <wp:posOffset>-412115</wp:posOffset>
                      </wp:positionH>
                      <wp:positionV relativeFrom="paragraph">
                        <wp:posOffset>-1270</wp:posOffset>
                      </wp:positionV>
                      <wp:extent cx="1422400" cy="241300"/>
                      <wp:effectExtent l="0" t="0" r="0" b="0"/>
                      <wp:wrapNone/>
                      <wp:docPr id="504" name="Rect 504"/>
                      <wp:cNvGraphicFramePr/>
                      <a:graphic xmlns:a="http://schemas.openxmlformats.org/drawingml/2006/main">
                        <a:graphicData uri="http://schemas.microsoft.com/office/word/2010/wordprocessingShape">
                          <wps:wsp>
                            <wps:cNvSpPr/>
                            <wps:spPr>
                              <a:xfrm>
                                <a:off x="-412727" y="-1867"/>
                                <a:ext cx="1422400" cy="241300"/>
                              </a:xfrm>
                              <a:prstGeom prst="rect">
                                <a:avLst/>
                              </a:prstGeom>
                              <a:solidFill>
                                <a:srgbClr val="DCDCDC"/>
                              </a:solidFill>
                              <a:ln w="0">
                                <a:noFill/>
                              </a:ln>
                            </wps:spPr>
                            <wps:style>
                              <a:lnRef idx="0">
                                <a:schemeClr val="accent1"/>
                              </a:lnRef>
                              <a:fillRef idx="0">
                                <a:schemeClr val="accent1"/>
                              </a:fillRef>
                              <a:effectRef idx="0">
                                <a:schemeClr val="accent1"/>
                              </a:effectRef>
                              <a:fontRef idx="minor">
                                <a:schemeClr val="dk1"/>
                              </a:fontRef>
                            </wps:style>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rect id="Rect 504" o:spid="_x0000_s1026" o:spt="1" style="position:absolute;left:0pt;margin-left:-32.45pt;margin-top:-0.1pt;height:19pt;width:112pt;z-index:-251502592;mso-width-relative:page;mso-height-relative:page;" fillcolor="#DCDCDC" filled="t" stroked="f" coordsize="21600,21600" o:gfxdata="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">
                      <v:fill on="t" focussize="0,0"/>
                      <v:stroke on="f" weight="0pt"/>
                      <v:imagedata o:title=""/>
                      <o:lock v:ext="edit" aspectratio="f"/>
                      <v:textbox inset="0mm,0mm,0mm,0mm"/>
                    </v:rect>
                  </w:pict>
                </mc:Fallback>
              </mc:AlternateContent>
            </w:r>
            <w:r>
              <w:rPr>
                <w:position w:val="-3"/>
                <w:sz w:val="21"/>
                <w:szCs w:val="21"/>
              </w:rPr>
              <w:t>-</w:t>
            </w:r>
          </w:p>
        </w:tc>
        <w:tc>
          <w:tcPr>
            <w:tcW w:w="2260" w:type="dxa"/>
            <w:tcBorders>
              <w:top w:val="single" w:color="000000" w:sz="4" w:space="0"/>
              <w:bottom w:val="single" w:color="000000" w:sz="4" w:space="0"/>
            </w:tcBorders>
            <w:shd w:val="clear" w:color="auto" w:fill="DDDCDB"/>
            <w:vAlign w:val="top"/>
          </w:tcPr>
          <w:p w14:paraId="78754D0F">
            <w:pPr>
              <w:pStyle w:val="6"/>
              <w:spacing w:before="106" w:line="221" w:lineRule="auto"/>
              <w:ind w:left="1070"/>
              <w:rPr>
                <w:sz w:val="21"/>
                <w:szCs w:val="21"/>
              </w:rPr>
            </w:pPr>
            <w:r>
              <w:rPr>
                <w:sz w:val="21"/>
                <w:szCs w:val="21"/>
              </w:rPr>
              <w:t>5</w:t>
            </w:r>
          </w:p>
        </w:tc>
        <w:tc>
          <w:tcPr>
            <w:tcW w:w="2110" w:type="dxa"/>
            <w:tcBorders>
              <w:top w:val="single" w:color="000000" w:sz="4" w:space="0"/>
              <w:bottom w:val="single" w:color="000000" w:sz="4" w:space="0"/>
            </w:tcBorders>
            <w:shd w:val="clear" w:color="auto" w:fill="E0DFDC"/>
            <w:vAlign w:val="top"/>
          </w:tcPr>
          <w:p w14:paraId="4E289EFA">
            <w:pPr>
              <w:pStyle w:val="6"/>
              <w:spacing w:before="106" w:line="221" w:lineRule="auto"/>
              <w:ind w:left="890"/>
              <w:rPr>
                <w:sz w:val="21"/>
                <w:szCs w:val="21"/>
              </w:rPr>
            </w:pPr>
            <w:r>
              <w:rPr>
                <w:spacing w:val="-3"/>
                <w:sz w:val="21"/>
                <w:szCs w:val="21"/>
              </w:rPr>
              <w:t>750</w:t>
            </w:r>
          </w:p>
        </w:tc>
      </w:tr>
      <w:tr w14:paraId="4DDDA605">
        <w:trPr>
          <w:trHeight w:val="364" w:hRule="atLeast"/>
        </w:trPr>
        <w:tc>
          <w:tcPr>
            <w:tcW w:w="1616" w:type="dxa"/>
            <w:tcBorders>
              <w:top w:val="single" w:color="000000" w:sz="4" w:space="0"/>
              <w:bottom w:val="single" w:color="000000" w:sz="4" w:space="0"/>
            </w:tcBorders>
            <w:vAlign w:val="top"/>
          </w:tcPr>
          <w:p w14:paraId="74C7AC9A">
            <w:pPr>
              <w:rPr>
                <w:rFonts w:ascii="Arial"/>
                <w:sz w:val="21"/>
              </w:rPr>
            </w:pPr>
          </w:p>
        </w:tc>
        <w:tc>
          <w:tcPr>
            <w:tcW w:w="1324" w:type="dxa"/>
            <w:tcBorders>
              <w:top w:val="single" w:color="000000" w:sz="4" w:space="0"/>
              <w:bottom w:val="single" w:color="000000" w:sz="4" w:space="0"/>
            </w:tcBorders>
            <w:vAlign w:val="top"/>
          </w:tcPr>
          <w:p w14:paraId="32E4519E">
            <w:pPr>
              <w:pStyle w:val="6"/>
              <w:spacing w:before="88" w:line="221" w:lineRule="auto"/>
              <w:ind w:left="434"/>
              <w:rPr>
                <w:sz w:val="21"/>
                <w:szCs w:val="21"/>
              </w:rPr>
            </w:pPr>
            <w:r>
              <w:rPr>
                <w:spacing w:val="-3"/>
                <w:sz w:val="21"/>
                <w:szCs w:val="21"/>
              </w:rPr>
              <w:t>合计</w:t>
            </w:r>
          </w:p>
        </w:tc>
        <w:tc>
          <w:tcPr>
            <w:tcW w:w="1590" w:type="dxa"/>
            <w:tcBorders>
              <w:top w:val="single" w:color="000000" w:sz="4" w:space="0"/>
              <w:bottom w:val="single" w:color="000000" w:sz="4" w:space="0"/>
            </w:tcBorders>
            <w:vAlign w:val="top"/>
          </w:tcPr>
          <w:p w14:paraId="5623C69D">
            <w:pPr>
              <w:rPr>
                <w:rFonts w:ascii="Arial"/>
                <w:sz w:val="21"/>
              </w:rPr>
            </w:pPr>
          </w:p>
        </w:tc>
        <w:tc>
          <w:tcPr>
            <w:tcW w:w="2260" w:type="dxa"/>
            <w:tcBorders>
              <w:top w:val="single" w:color="000000" w:sz="4" w:space="0"/>
              <w:bottom w:val="single" w:color="000000" w:sz="4" w:space="0"/>
            </w:tcBorders>
            <w:vAlign w:val="top"/>
          </w:tcPr>
          <w:p w14:paraId="7B8CA6AC">
            <w:pPr>
              <w:pStyle w:val="6"/>
              <w:spacing w:before="108" w:line="216" w:lineRule="auto"/>
              <w:ind w:left="969"/>
              <w:rPr>
                <w:sz w:val="21"/>
                <w:szCs w:val="21"/>
              </w:rPr>
            </w:pPr>
            <w:r>
              <w:rPr>
                <w:spacing w:val="-6"/>
                <w:sz w:val="21"/>
                <w:szCs w:val="21"/>
              </w:rPr>
              <w:t>100</w:t>
            </w:r>
          </w:p>
        </w:tc>
        <w:tc>
          <w:tcPr>
            <w:tcW w:w="2110" w:type="dxa"/>
            <w:tcBorders>
              <w:top w:val="single" w:color="000000" w:sz="4" w:space="0"/>
              <w:bottom w:val="single" w:color="000000" w:sz="4" w:space="0"/>
            </w:tcBorders>
            <w:vAlign w:val="top"/>
          </w:tcPr>
          <w:p w14:paraId="6027CDD5">
            <w:pPr>
              <w:pStyle w:val="6"/>
              <w:spacing w:before="108" w:line="216" w:lineRule="auto"/>
              <w:ind w:left="890"/>
              <w:rPr>
                <w:sz w:val="21"/>
                <w:szCs w:val="21"/>
              </w:rPr>
            </w:pPr>
            <w:r>
              <w:rPr>
                <w:spacing w:val="-3"/>
                <w:sz w:val="21"/>
                <w:szCs w:val="21"/>
              </w:rPr>
              <w:t>900</w:t>
            </w:r>
          </w:p>
        </w:tc>
      </w:tr>
    </w:tbl>
    <w:p w14:paraId="5FEB2A5C">
      <w:pPr>
        <w:spacing w:line="300" w:lineRule="auto"/>
        <w:rPr>
          <w:rFonts w:ascii="Arial"/>
          <w:sz w:val="21"/>
        </w:rPr>
      </w:pPr>
    </w:p>
    <w:p w14:paraId="2E8E190F">
      <w:pPr>
        <w:spacing w:before="68" w:line="216" w:lineRule="auto"/>
        <w:ind w:left="399"/>
        <w:rPr>
          <w:rFonts w:ascii="宋体" w:hAnsi="宋体" w:eastAsia="宋体" w:cs="宋体"/>
          <w:sz w:val="21"/>
          <w:szCs w:val="21"/>
        </w:rPr>
      </w:pPr>
      <w:r>
        <w:rPr>
          <w:rFonts w:ascii="Times New Roman" w:hAnsi="Times New Roman" w:eastAsia="Times New Roman" w:cs="Times New Roman"/>
          <w:sz w:val="21"/>
          <w:szCs w:val="21"/>
        </w:rPr>
        <w:t xml:space="preserve">FOB </w:t>
      </w:r>
      <w:r>
        <w:rPr>
          <w:rFonts w:ascii="宋体" w:hAnsi="宋体" w:eastAsia="宋体" w:cs="宋体"/>
          <w:spacing w:val="5"/>
          <w:sz w:val="21"/>
          <w:szCs w:val="21"/>
        </w:rPr>
        <w:t>法的灵敏度=80.0%,特异度=88.9%;</w:t>
      </w:r>
      <w:r>
        <w:rPr>
          <w:rFonts w:ascii="Times New Roman" w:hAnsi="Times New Roman" w:eastAsia="Times New Roman" w:cs="Times New Roman"/>
          <w:sz w:val="21"/>
          <w:szCs w:val="21"/>
        </w:rPr>
        <w:t>TF</w:t>
      </w:r>
      <w:r>
        <w:rPr>
          <w:rFonts w:ascii="Times New Roman" w:hAnsi="Times New Roman" w:eastAsia="Times New Roman" w:cs="Times New Roman"/>
          <w:spacing w:val="5"/>
          <w:sz w:val="21"/>
          <w:szCs w:val="21"/>
        </w:rPr>
        <w:t xml:space="preserve"> </w:t>
      </w:r>
      <w:r>
        <w:rPr>
          <w:rFonts w:ascii="宋体" w:hAnsi="宋体" w:eastAsia="宋体" w:cs="宋体"/>
          <w:spacing w:val="5"/>
          <w:sz w:val="21"/>
          <w:szCs w:val="21"/>
        </w:rPr>
        <w:t>法的灵敏度=85.0%,特异度=85.6%。</w:t>
      </w:r>
    </w:p>
    <w:p w14:paraId="61DFBBF4">
      <w:pPr>
        <w:spacing w:before="137" w:line="220" w:lineRule="auto"/>
        <w:ind w:left="399"/>
        <w:rPr>
          <w:rFonts w:ascii="宋体" w:hAnsi="宋体" w:eastAsia="宋体" w:cs="宋体"/>
          <w:sz w:val="21"/>
          <w:szCs w:val="21"/>
        </w:rPr>
      </w:pPr>
      <w:r>
        <w:rPr>
          <w:rFonts w:ascii="宋体" w:hAnsi="宋体" w:eastAsia="宋体" w:cs="宋体"/>
          <w:spacing w:val="20"/>
          <w:sz w:val="21"/>
          <w:szCs w:val="21"/>
        </w:rPr>
        <w:t>(1)串联试验</w:t>
      </w:r>
    </w:p>
    <w:p w14:paraId="621A5F53">
      <w:pPr>
        <w:spacing w:before="290" w:line="219" w:lineRule="auto"/>
        <w:ind w:left="1639"/>
        <w:rPr>
          <w:rFonts w:ascii="宋体" w:hAnsi="宋体" w:eastAsia="宋体" w:cs="宋体"/>
          <w:sz w:val="21"/>
          <w:szCs w:val="21"/>
        </w:rPr>
      </w:pPr>
      <w:r>
        <w:rPr>
          <w:rFonts w:ascii="宋体" w:hAnsi="宋体" w:eastAsia="宋体" w:cs="宋体"/>
          <w:spacing w:val="1"/>
          <w:sz w:val="21"/>
          <w:szCs w:val="21"/>
        </w:rPr>
        <w:t>灵敏度=70/100×100%=70.0%</w:t>
      </w:r>
    </w:p>
    <w:p w14:paraId="66AD46F3">
      <w:pPr>
        <w:spacing w:before="101" w:line="219" w:lineRule="auto"/>
        <w:ind w:left="1639"/>
        <w:rPr>
          <w:rFonts w:ascii="宋体" w:hAnsi="宋体" w:eastAsia="宋体" w:cs="宋体"/>
          <w:sz w:val="21"/>
          <w:szCs w:val="21"/>
        </w:rPr>
      </w:pPr>
      <w:r>
        <w:rPr>
          <w:rFonts w:ascii="宋体" w:hAnsi="宋体" w:eastAsia="宋体" w:cs="宋体"/>
          <w:spacing w:val="3"/>
          <w:sz w:val="21"/>
          <w:szCs w:val="21"/>
        </w:rPr>
        <w:t>特异度=(20+50+750)/900×100%</w:t>
      </w:r>
      <w:r>
        <w:rPr>
          <w:rFonts w:ascii="宋体" w:hAnsi="宋体" w:eastAsia="宋体" w:cs="宋体"/>
          <w:spacing w:val="2"/>
          <w:sz w:val="21"/>
          <w:szCs w:val="21"/>
        </w:rPr>
        <w:t>=91.1%</w:t>
      </w:r>
    </w:p>
    <w:p w14:paraId="213585D7">
      <w:pPr>
        <w:spacing w:before="120" w:line="219" w:lineRule="auto"/>
        <w:ind w:left="1639"/>
        <w:rPr>
          <w:rFonts w:ascii="宋体" w:hAnsi="宋体" w:eastAsia="宋体" w:cs="宋体"/>
          <w:sz w:val="21"/>
          <w:szCs w:val="21"/>
        </w:rPr>
      </w:pPr>
      <w:r>
        <w:rPr>
          <w:rFonts w:ascii="宋体" w:hAnsi="宋体" w:eastAsia="宋体" w:cs="宋体"/>
          <w:spacing w:val="4"/>
          <w:sz w:val="21"/>
          <w:szCs w:val="21"/>
        </w:rPr>
        <w:t>筛检阳性检出率=(70+80)/1000×100%=15.0%</w:t>
      </w:r>
    </w:p>
    <w:p w14:paraId="4ED77126">
      <w:pPr>
        <w:spacing w:before="121" w:line="219" w:lineRule="auto"/>
        <w:ind w:left="1639"/>
        <w:rPr>
          <w:rFonts w:ascii="宋体" w:hAnsi="宋体" w:eastAsia="宋体" w:cs="宋体"/>
          <w:sz w:val="21"/>
          <w:szCs w:val="21"/>
        </w:rPr>
      </w:pPr>
      <w:r>
        <w:rPr>
          <w:rFonts w:ascii="宋体" w:hAnsi="宋体" w:eastAsia="宋体" w:cs="宋体"/>
          <w:spacing w:val="3"/>
          <w:sz w:val="21"/>
          <w:szCs w:val="21"/>
        </w:rPr>
        <w:t>阳性预测值=70/(70+80)×10</w:t>
      </w:r>
      <w:r>
        <w:rPr>
          <w:rFonts w:ascii="宋体" w:hAnsi="宋体" w:eastAsia="宋体" w:cs="宋体"/>
          <w:spacing w:val="2"/>
          <w:sz w:val="21"/>
          <w:szCs w:val="21"/>
        </w:rPr>
        <w:t>0%=46.7%</w:t>
      </w:r>
    </w:p>
    <w:p w14:paraId="4CDA36A4">
      <w:pPr>
        <w:spacing w:before="301" w:line="219" w:lineRule="auto"/>
        <w:ind w:left="399"/>
        <w:rPr>
          <w:rFonts w:ascii="宋体" w:hAnsi="宋体" w:eastAsia="宋体" w:cs="宋体"/>
          <w:sz w:val="21"/>
          <w:szCs w:val="21"/>
        </w:rPr>
      </w:pPr>
      <w:r>
        <w:rPr>
          <w:rFonts w:ascii="宋体" w:hAnsi="宋体" w:eastAsia="宋体" w:cs="宋体"/>
          <w:spacing w:val="17"/>
          <w:sz w:val="21"/>
          <w:szCs w:val="21"/>
        </w:rPr>
        <w:t>(2)并联试验</w:t>
      </w:r>
    </w:p>
    <w:p w14:paraId="55B81EA5">
      <w:pPr>
        <w:spacing w:before="291" w:line="219" w:lineRule="auto"/>
        <w:ind w:left="1639"/>
        <w:rPr>
          <w:rFonts w:ascii="宋体" w:hAnsi="宋体" w:eastAsia="宋体" w:cs="宋体"/>
          <w:sz w:val="21"/>
          <w:szCs w:val="21"/>
        </w:rPr>
      </w:pPr>
      <w:r>
        <w:rPr>
          <w:rFonts w:ascii="宋体" w:hAnsi="宋体" w:eastAsia="宋体" w:cs="宋体"/>
          <w:spacing w:val="3"/>
          <w:sz w:val="21"/>
          <w:szCs w:val="21"/>
        </w:rPr>
        <w:t>灵敏度=(10+15+70)/100×100%=95.0%</w:t>
      </w:r>
    </w:p>
    <w:p w14:paraId="3261F308">
      <w:pPr>
        <w:spacing w:before="121" w:line="219" w:lineRule="auto"/>
        <w:ind w:left="1639"/>
        <w:rPr>
          <w:rFonts w:ascii="宋体" w:hAnsi="宋体" w:eastAsia="宋体" w:cs="宋体"/>
          <w:sz w:val="21"/>
          <w:szCs w:val="21"/>
        </w:rPr>
      </w:pPr>
      <w:r>
        <w:rPr>
          <w:rFonts w:ascii="宋体" w:hAnsi="宋体" w:eastAsia="宋体" w:cs="宋体"/>
          <w:spacing w:val="2"/>
          <w:sz w:val="21"/>
          <w:szCs w:val="21"/>
        </w:rPr>
        <w:t>特异度=750/900×100%=83.3%</w:t>
      </w:r>
    </w:p>
    <w:p w14:paraId="70EF09D6">
      <w:pPr>
        <w:spacing w:before="121" w:line="219" w:lineRule="auto"/>
        <w:ind w:left="1639"/>
        <w:rPr>
          <w:rFonts w:ascii="宋体" w:hAnsi="宋体" w:eastAsia="宋体" w:cs="宋体"/>
          <w:sz w:val="21"/>
          <w:szCs w:val="21"/>
        </w:rPr>
      </w:pPr>
      <w:r>
        <w:rPr>
          <w:rFonts w:ascii="宋体" w:hAnsi="宋体" w:eastAsia="宋体" w:cs="宋体"/>
          <w:spacing w:val="3"/>
          <w:sz w:val="21"/>
          <w:szCs w:val="21"/>
        </w:rPr>
        <w:t>筛检阳性检出率=(10+15+70+20+50+80)/1000×100%=24.5%</w:t>
      </w:r>
    </w:p>
    <w:p w14:paraId="4DD226B3">
      <w:pPr>
        <w:spacing w:before="111" w:line="219" w:lineRule="auto"/>
        <w:ind w:left="1639"/>
        <w:rPr>
          <w:rFonts w:ascii="宋体" w:hAnsi="宋体" w:eastAsia="宋体" w:cs="宋体"/>
          <w:sz w:val="21"/>
          <w:szCs w:val="21"/>
        </w:rPr>
      </w:pPr>
      <w:r>
        <w:rPr>
          <w:rFonts w:ascii="宋体" w:hAnsi="宋体" w:eastAsia="宋体" w:cs="宋体"/>
          <w:spacing w:val="3"/>
          <w:sz w:val="21"/>
          <w:szCs w:val="21"/>
        </w:rPr>
        <w:t>阳性预测值=(10+15+70)/(10+15+70+20+50+80)×</w:t>
      </w:r>
      <w:r>
        <w:rPr>
          <w:rFonts w:ascii="宋体" w:hAnsi="宋体" w:eastAsia="宋体" w:cs="宋体"/>
          <w:spacing w:val="2"/>
          <w:sz w:val="21"/>
          <w:szCs w:val="21"/>
        </w:rPr>
        <w:t>100%=38.8%</w:t>
      </w:r>
    </w:p>
    <w:p w14:paraId="1E7A1817">
      <w:pPr>
        <w:spacing w:line="360" w:lineRule="auto"/>
        <w:rPr>
          <w:rFonts w:ascii="Arial"/>
          <w:sz w:val="21"/>
        </w:rPr>
      </w:pPr>
    </w:p>
    <w:p w14:paraId="2BA2222A">
      <w:pPr>
        <w:pStyle w:val="2"/>
        <w:spacing w:before="84" w:line="221" w:lineRule="auto"/>
        <w:ind w:left="403"/>
        <w:outlineLvl w:val="2"/>
        <w:rPr>
          <w:sz w:val="26"/>
          <w:szCs w:val="26"/>
        </w:rPr>
      </w:pPr>
      <w:bookmarkStart w:id="215" w:name="bookmark134"/>
      <w:bookmarkEnd w:id="215"/>
      <w:r>
        <w:rPr>
          <w:b/>
          <w:bCs/>
          <w:spacing w:val="-7"/>
          <w:sz w:val="26"/>
          <w:szCs w:val="26"/>
        </w:rPr>
        <w:t>二、生物学效果评价</w:t>
      </w:r>
    </w:p>
    <w:p w14:paraId="3609C4E4">
      <w:pPr>
        <w:spacing w:before="253" w:line="317" w:lineRule="auto"/>
        <w:ind w:right="699" w:firstLine="399"/>
        <w:rPr>
          <w:rFonts w:ascii="宋体" w:hAnsi="宋体" w:eastAsia="宋体" w:cs="宋体"/>
          <w:sz w:val="21"/>
          <w:szCs w:val="21"/>
        </w:rPr>
      </w:pPr>
      <w:r>
        <w:rPr>
          <w:rFonts w:ascii="宋体" w:hAnsi="宋体" w:eastAsia="宋体" w:cs="宋体"/>
          <w:spacing w:val="1"/>
          <w:sz w:val="21"/>
          <w:szCs w:val="21"/>
        </w:rPr>
        <w:t>筛检作为政府主导的一项公共卫生服务措施，需要通过开展一系列流行病学研究获得筛检有</w:t>
      </w:r>
      <w:r>
        <w:rPr>
          <w:rFonts w:ascii="宋体" w:hAnsi="宋体" w:eastAsia="宋体" w:cs="宋体"/>
          <w:spacing w:val="9"/>
          <w:sz w:val="21"/>
          <w:szCs w:val="21"/>
        </w:rPr>
        <w:t xml:space="preserve"> </w:t>
      </w:r>
      <w:r>
        <w:rPr>
          <w:rFonts w:ascii="宋体" w:hAnsi="宋体" w:eastAsia="宋体" w:cs="宋体"/>
          <w:spacing w:val="-5"/>
          <w:sz w:val="21"/>
          <w:szCs w:val="21"/>
        </w:rPr>
        <w:t>效程度的生物学效果评价证据，还应同期开展安全性、卫生经济学和项目可持续性评价。</w:t>
      </w:r>
    </w:p>
    <w:p w14:paraId="770E5D55">
      <w:pPr>
        <w:pStyle w:val="2"/>
        <w:spacing w:before="24" w:line="222" w:lineRule="auto"/>
        <w:ind w:left="402"/>
        <w:rPr>
          <w:sz w:val="21"/>
          <w:szCs w:val="21"/>
        </w:rPr>
      </w:pPr>
      <w:r>
        <w:rPr>
          <w:b/>
          <w:bCs/>
          <w:spacing w:val="16"/>
          <w:sz w:val="21"/>
          <w:szCs w:val="21"/>
        </w:rPr>
        <w:t>(</w:t>
      </w:r>
      <w:r>
        <w:rPr>
          <w:spacing w:val="-59"/>
          <w:sz w:val="21"/>
          <w:szCs w:val="21"/>
        </w:rPr>
        <w:t xml:space="preserve"> </w:t>
      </w:r>
      <w:r>
        <w:rPr>
          <w:b/>
          <w:bCs/>
          <w:spacing w:val="16"/>
          <w:sz w:val="21"/>
          <w:szCs w:val="21"/>
        </w:rPr>
        <w:t>一)研究设计简述</w:t>
      </w:r>
    </w:p>
    <w:p w14:paraId="209C4868">
      <w:pPr>
        <w:spacing w:before="108" w:line="318" w:lineRule="auto"/>
        <w:ind w:right="636" w:firstLine="399"/>
        <w:jc w:val="both"/>
        <w:rPr>
          <w:rFonts w:ascii="宋体" w:hAnsi="宋体" w:eastAsia="宋体" w:cs="宋体"/>
          <w:sz w:val="21"/>
          <w:szCs w:val="21"/>
        </w:rPr>
      </w:pPr>
      <w:r>
        <w:rPr>
          <w:rFonts w:ascii="宋体" w:hAnsi="宋体" w:eastAsia="宋体" w:cs="宋体"/>
          <w:spacing w:val="-1"/>
          <w:sz w:val="21"/>
          <w:szCs w:val="21"/>
        </w:rPr>
        <w:t>根据筛检实施的不同阶段可能获得的成效，可将筛检效果评价分为近期收益(yield)、早</w:t>
      </w:r>
      <w:r>
        <w:rPr>
          <w:rFonts w:ascii="宋体" w:hAnsi="宋体" w:eastAsia="宋体" w:cs="宋体"/>
          <w:spacing w:val="-2"/>
          <w:sz w:val="21"/>
          <w:szCs w:val="21"/>
        </w:rPr>
        <w:t>中期</w:t>
      </w:r>
      <w:r>
        <w:rPr>
          <w:rFonts w:ascii="宋体" w:hAnsi="宋体" w:eastAsia="宋体" w:cs="宋体"/>
          <w:sz w:val="21"/>
          <w:szCs w:val="21"/>
        </w:rPr>
        <w:t xml:space="preserve"> 疾病中间结局改善，以及长远期人群终末结局风险(死亡)降低这三个</w:t>
      </w:r>
      <w:r>
        <w:rPr>
          <w:rFonts w:ascii="宋体" w:hAnsi="宋体" w:eastAsia="宋体" w:cs="宋体"/>
          <w:spacing w:val="-1"/>
          <w:sz w:val="21"/>
          <w:szCs w:val="21"/>
        </w:rPr>
        <w:t>人群获益阶段。 一项筛检项</w:t>
      </w:r>
      <w:r>
        <w:rPr>
          <w:rFonts w:ascii="宋体" w:hAnsi="宋体" w:eastAsia="宋体" w:cs="宋体"/>
          <w:sz w:val="21"/>
          <w:szCs w:val="21"/>
        </w:rPr>
        <w:t xml:space="preserve"> </w:t>
      </w:r>
      <w:r>
        <w:rPr>
          <w:rFonts w:ascii="宋体" w:hAnsi="宋体" w:eastAsia="宋体" w:cs="宋体"/>
          <w:spacing w:val="-1"/>
          <w:sz w:val="21"/>
          <w:szCs w:val="21"/>
        </w:rPr>
        <w:t>目应从流程设计到应用的不同阶段，逐级深入地开展如下流行病学研究：筛检流程</w:t>
      </w:r>
      <w:r>
        <w:rPr>
          <w:rFonts w:ascii="宋体" w:hAnsi="宋体" w:eastAsia="宋体" w:cs="宋体"/>
          <w:spacing w:val="-2"/>
          <w:sz w:val="21"/>
          <w:szCs w:val="21"/>
        </w:rPr>
        <w:t>有效性评价(现</w:t>
      </w:r>
      <w:r>
        <w:rPr>
          <w:rFonts w:ascii="宋体" w:hAnsi="宋体" w:eastAsia="宋体" w:cs="宋体"/>
          <w:sz w:val="21"/>
          <w:szCs w:val="21"/>
        </w:rPr>
        <w:t xml:space="preserve"> </w:t>
      </w:r>
      <w:r>
        <w:rPr>
          <w:rFonts w:ascii="宋体" w:hAnsi="宋体" w:eastAsia="宋体" w:cs="宋体"/>
          <w:spacing w:val="7"/>
          <w:sz w:val="21"/>
          <w:szCs w:val="21"/>
        </w:rPr>
        <w:t>场干预研究)→建立筛检示范区(扩大区域</w:t>
      </w:r>
      <w:r>
        <w:rPr>
          <w:rFonts w:ascii="宋体" w:hAnsi="宋体" w:eastAsia="宋体" w:cs="宋体"/>
          <w:spacing w:val="6"/>
          <w:sz w:val="21"/>
          <w:szCs w:val="21"/>
        </w:rPr>
        <w:t>的社区干预研究)→筛检效果验证与推广应用(观察性</w:t>
      </w:r>
      <w:r>
        <w:rPr>
          <w:rFonts w:ascii="宋体" w:hAnsi="宋体" w:eastAsia="宋体" w:cs="宋体"/>
          <w:sz w:val="21"/>
          <w:szCs w:val="21"/>
        </w:rPr>
        <w:t xml:space="preserve"> </w:t>
      </w:r>
      <w:r>
        <w:rPr>
          <w:rFonts w:ascii="宋体" w:hAnsi="宋体" w:eastAsia="宋体" w:cs="宋体"/>
          <w:spacing w:val="-2"/>
          <w:sz w:val="21"/>
          <w:szCs w:val="21"/>
        </w:rPr>
        <w:t>研究)。</w:t>
      </w:r>
    </w:p>
    <w:p w14:paraId="7F8E4B62">
      <w:pPr>
        <w:pStyle w:val="2"/>
        <w:spacing w:before="23" w:line="299" w:lineRule="auto"/>
        <w:ind w:right="565" w:firstLine="402"/>
        <w:rPr>
          <w:rFonts w:ascii="宋体" w:hAnsi="宋体" w:eastAsia="宋体" w:cs="宋体"/>
          <w:sz w:val="21"/>
          <w:szCs w:val="21"/>
        </w:rPr>
      </w:pPr>
      <w:r>
        <w:rPr>
          <w:rFonts w:ascii="宋体" w:hAnsi="宋体" w:eastAsia="宋体" w:cs="宋体"/>
          <w:b/>
          <w:bCs/>
          <w:sz w:val="21"/>
          <w:szCs w:val="21"/>
        </w:rPr>
        <w:t>1.</w:t>
      </w:r>
      <w:r>
        <w:rPr>
          <w:rFonts w:ascii="宋体" w:hAnsi="宋体" w:eastAsia="宋体" w:cs="宋体"/>
          <w:sz w:val="21"/>
          <w:szCs w:val="21"/>
        </w:rPr>
        <w:t xml:space="preserve"> </w:t>
      </w:r>
      <w:r>
        <w:rPr>
          <w:b/>
          <w:bCs/>
          <w:sz w:val="21"/>
          <w:szCs w:val="21"/>
        </w:rPr>
        <w:t>现场干预研究阶段</w:t>
      </w:r>
      <w:r>
        <w:rPr>
          <w:spacing w:val="82"/>
          <w:sz w:val="21"/>
          <w:szCs w:val="21"/>
        </w:rPr>
        <w:t xml:space="preserve"> </w:t>
      </w:r>
      <w:r>
        <w:rPr>
          <w:rFonts w:ascii="宋体" w:hAnsi="宋体" w:eastAsia="宋体" w:cs="宋体"/>
          <w:sz w:val="21"/>
          <w:szCs w:val="21"/>
        </w:rPr>
        <w:t>一般采用设计严谨的随机对照试验，将研究对象以个体或整群随机的 方式分为两组，干预组需要接受连续性筛检</w:t>
      </w:r>
      <w:r>
        <w:rPr>
          <w:rFonts w:ascii="Times New Roman" w:hAnsi="Times New Roman" w:eastAsia="Times New Roman" w:cs="Times New Roman"/>
          <w:sz w:val="21"/>
          <w:szCs w:val="21"/>
        </w:rPr>
        <w:t>(continuous   sc</w:t>
      </w:r>
      <w:r>
        <w:rPr>
          <w:rFonts w:ascii="Times New Roman" w:hAnsi="Times New Roman" w:eastAsia="Times New Roman" w:cs="Times New Roman"/>
          <w:spacing w:val="-1"/>
          <w:sz w:val="21"/>
          <w:szCs w:val="21"/>
        </w:rPr>
        <w:t>reening),</w:t>
      </w:r>
      <w:r>
        <w:rPr>
          <w:rFonts w:ascii="宋体" w:hAnsi="宋体" w:eastAsia="宋体" w:cs="宋体"/>
          <w:spacing w:val="-1"/>
          <w:sz w:val="21"/>
          <w:szCs w:val="21"/>
        </w:rPr>
        <w:t>对照组则接受常规的医疗服务，</w:t>
      </w:r>
      <w:r>
        <w:rPr>
          <w:rFonts w:ascii="宋体" w:hAnsi="宋体" w:eastAsia="宋体" w:cs="宋体"/>
          <w:sz w:val="21"/>
          <w:szCs w:val="21"/>
        </w:rPr>
        <w:t xml:space="preserve"> </w:t>
      </w:r>
      <w:r>
        <w:rPr>
          <w:rFonts w:ascii="宋体" w:hAnsi="宋体" w:eastAsia="宋体" w:cs="宋体"/>
          <w:spacing w:val="-3"/>
          <w:sz w:val="21"/>
          <w:szCs w:val="21"/>
        </w:rPr>
        <w:t>评价干预组的疾病早诊率、生存质量、疾病死亡专率等指标是否与</w:t>
      </w:r>
      <w:r>
        <w:rPr>
          <w:rFonts w:ascii="宋体" w:hAnsi="宋体" w:eastAsia="宋体" w:cs="宋体"/>
          <w:spacing w:val="-4"/>
          <w:sz w:val="21"/>
          <w:szCs w:val="21"/>
        </w:rPr>
        <w:t>对照组有差异。筛检项目干预研</w:t>
      </w:r>
      <w:r>
        <w:rPr>
          <w:rFonts w:ascii="宋体" w:hAnsi="宋体" w:eastAsia="宋体" w:cs="宋体"/>
          <w:sz w:val="21"/>
          <w:szCs w:val="21"/>
        </w:rPr>
        <w:t xml:space="preserve">  </w:t>
      </w:r>
      <w:r>
        <w:rPr>
          <w:rFonts w:ascii="宋体" w:hAnsi="宋体" w:eastAsia="宋体" w:cs="宋体"/>
          <w:spacing w:val="-3"/>
          <w:sz w:val="21"/>
          <w:szCs w:val="21"/>
        </w:rPr>
        <w:t>究往往需要庞大的样本量和较长的随访期，实施难度较大。</w:t>
      </w:r>
    </w:p>
    <w:p w14:paraId="7EDCE351">
      <w:pPr>
        <w:pStyle w:val="2"/>
        <w:spacing w:before="128" w:line="222" w:lineRule="auto"/>
        <w:ind w:left="402"/>
        <w:rPr>
          <w:rFonts w:ascii="宋体" w:hAnsi="宋体" w:eastAsia="宋体" w:cs="宋体"/>
          <w:sz w:val="21"/>
          <w:szCs w:val="21"/>
        </w:rPr>
      </w:pPr>
      <w:r>
        <w:rPr>
          <w:rFonts w:ascii="宋体" w:hAnsi="宋体" w:eastAsia="宋体" w:cs="宋体"/>
          <w:b/>
          <w:bCs/>
          <w:spacing w:val="-1"/>
          <w:sz w:val="21"/>
          <w:szCs w:val="21"/>
        </w:rPr>
        <w:t>2.</w:t>
      </w:r>
      <w:r>
        <w:rPr>
          <w:rFonts w:ascii="宋体" w:hAnsi="宋体" w:eastAsia="宋体" w:cs="宋体"/>
          <w:spacing w:val="-1"/>
          <w:sz w:val="21"/>
          <w:szCs w:val="21"/>
        </w:rPr>
        <w:t xml:space="preserve"> </w:t>
      </w:r>
      <w:r>
        <w:rPr>
          <w:b/>
          <w:bCs/>
          <w:spacing w:val="-1"/>
          <w:sz w:val="21"/>
          <w:szCs w:val="21"/>
        </w:rPr>
        <w:t>扩大区域的社区干预研究阶段</w:t>
      </w:r>
      <w:r>
        <w:rPr>
          <w:spacing w:val="101"/>
          <w:sz w:val="21"/>
          <w:szCs w:val="21"/>
        </w:rPr>
        <w:t xml:space="preserve"> </w:t>
      </w:r>
      <w:r>
        <w:rPr>
          <w:rFonts w:ascii="宋体" w:hAnsi="宋体" w:eastAsia="宋体" w:cs="宋体"/>
          <w:spacing w:val="-1"/>
          <w:sz w:val="21"/>
          <w:szCs w:val="21"/>
        </w:rPr>
        <w:t>该阶段采用多中心的社区试验研究，连续观察筛检地区的</w:t>
      </w:r>
    </w:p>
    <w:p w14:paraId="2914EA31">
      <w:pPr>
        <w:spacing w:line="222" w:lineRule="auto"/>
        <w:rPr>
          <w:rFonts w:ascii="宋体" w:hAnsi="宋体" w:eastAsia="宋体" w:cs="宋体"/>
          <w:sz w:val="21"/>
          <w:szCs w:val="21"/>
        </w:rPr>
        <w:sectPr>
          <w:footerReference r:id="rId154" w:type="default"/>
          <w:pgSz w:w="11900" w:h="16820"/>
          <w:pgMar w:top="400" w:right="869" w:bottom="856" w:left="1480" w:header="0" w:footer="667" w:gutter="0"/>
          <w:cols w:space="720" w:num="1"/>
        </w:sectPr>
      </w:pPr>
    </w:p>
    <w:p w14:paraId="70278C61">
      <w:pPr>
        <w:pStyle w:val="2"/>
        <w:spacing w:before="86" w:line="222" w:lineRule="auto"/>
        <w:ind w:left="649"/>
        <w:rPr>
          <w:sz w:val="20"/>
          <w:szCs w:val="20"/>
        </w:rPr>
      </w:pPr>
      <w:bookmarkStart w:id="216" w:name="bookmark476"/>
      <w:bookmarkEnd w:id="216"/>
      <w:r>
        <w:rPr>
          <w:spacing w:val="-11"/>
          <w:sz w:val="20"/>
          <w:szCs w:val="20"/>
        </w:rPr>
        <w:t>第七章 筛检</w:t>
      </w:r>
    </w:p>
    <w:p w14:paraId="2A422904">
      <w:pPr>
        <w:spacing w:line="275" w:lineRule="auto"/>
        <w:rPr>
          <w:rFonts w:ascii="Arial"/>
          <w:sz w:val="21"/>
        </w:rPr>
      </w:pPr>
    </w:p>
    <w:p w14:paraId="7A5CF42D">
      <w:pPr>
        <w:spacing w:line="276" w:lineRule="auto"/>
        <w:rPr>
          <w:rFonts w:ascii="Arial"/>
          <w:sz w:val="21"/>
        </w:rPr>
      </w:pPr>
    </w:p>
    <w:p w14:paraId="29D023C8">
      <w:pPr>
        <w:spacing w:before="65" w:line="352" w:lineRule="auto"/>
        <w:ind w:left="649" w:right="89"/>
        <w:rPr>
          <w:rFonts w:ascii="宋体" w:hAnsi="宋体" w:eastAsia="宋体" w:cs="宋体"/>
          <w:sz w:val="20"/>
          <w:szCs w:val="20"/>
        </w:rPr>
      </w:pPr>
      <w:r>
        <w:rPr>
          <w:rFonts w:ascii="宋体" w:hAnsi="宋体" w:eastAsia="宋体" w:cs="宋体"/>
          <w:spacing w:val="3"/>
          <w:sz w:val="20"/>
          <w:szCs w:val="20"/>
        </w:rPr>
        <w:t>人群疾病死亡专率、生命质量及生存期等指标的变化，卫生经济学效果指标，以及筛检和治疗的不</w:t>
      </w:r>
      <w:r>
        <w:rPr>
          <w:rFonts w:ascii="宋体" w:hAnsi="宋体" w:eastAsia="宋体" w:cs="宋体"/>
          <w:spacing w:val="10"/>
          <w:sz w:val="20"/>
          <w:szCs w:val="20"/>
        </w:rPr>
        <w:t xml:space="preserve"> </w:t>
      </w:r>
      <w:r>
        <w:rPr>
          <w:rFonts w:ascii="宋体" w:hAnsi="宋体" w:eastAsia="宋体" w:cs="宋体"/>
          <w:sz w:val="20"/>
          <w:szCs w:val="20"/>
        </w:rPr>
        <w:t>良反应事件发生情况等，探索筛检在实际环境中的运作机制。</w:t>
      </w:r>
    </w:p>
    <w:p w14:paraId="71B18F4A">
      <w:pPr>
        <w:pStyle w:val="2"/>
        <w:spacing w:before="7" w:line="342" w:lineRule="auto"/>
        <w:ind w:left="649" w:right="20" w:firstLine="430"/>
        <w:jc w:val="both"/>
        <w:rPr>
          <w:rFonts w:ascii="宋体" w:hAnsi="宋体" w:eastAsia="宋体" w:cs="宋体"/>
          <w:sz w:val="20"/>
          <w:szCs w:val="20"/>
        </w:rPr>
      </w:pPr>
      <w:r>
        <w:rPr>
          <w:rFonts w:ascii="宋体" w:hAnsi="宋体" w:eastAsia="宋体" w:cs="宋体"/>
          <w:spacing w:val="11"/>
          <w:sz w:val="20"/>
          <w:szCs w:val="20"/>
        </w:rPr>
        <w:t xml:space="preserve">3. </w:t>
      </w:r>
      <w:r>
        <w:rPr>
          <w:spacing w:val="11"/>
          <w:sz w:val="20"/>
          <w:szCs w:val="20"/>
        </w:rPr>
        <w:t>筛检效果验证与推广应用阶段</w:t>
      </w:r>
      <w:r>
        <w:rPr>
          <w:spacing w:val="81"/>
          <w:sz w:val="20"/>
          <w:szCs w:val="20"/>
        </w:rPr>
        <w:t xml:space="preserve"> </w:t>
      </w:r>
      <w:r>
        <w:rPr>
          <w:rFonts w:ascii="宋体" w:hAnsi="宋体" w:eastAsia="宋体" w:cs="宋体"/>
          <w:spacing w:val="11"/>
          <w:sz w:val="20"/>
          <w:szCs w:val="20"/>
        </w:rPr>
        <w:t>该阶段多采用观察性的</w:t>
      </w:r>
      <w:r>
        <w:rPr>
          <w:rFonts w:ascii="宋体" w:hAnsi="宋体" w:eastAsia="宋体" w:cs="宋体"/>
          <w:spacing w:val="10"/>
          <w:sz w:val="20"/>
          <w:szCs w:val="20"/>
        </w:rPr>
        <w:t>研究方法，开展这类研究的前提</w:t>
      </w:r>
      <w:r>
        <w:rPr>
          <w:rFonts w:ascii="宋体" w:hAnsi="宋体" w:eastAsia="宋体" w:cs="宋体"/>
          <w:sz w:val="20"/>
          <w:szCs w:val="20"/>
        </w:rPr>
        <w:t xml:space="preserve"> </w:t>
      </w:r>
      <w:r>
        <w:rPr>
          <w:rFonts w:ascii="宋体" w:hAnsi="宋体" w:eastAsia="宋体" w:cs="宋体"/>
          <w:spacing w:val="-2"/>
          <w:sz w:val="20"/>
          <w:szCs w:val="20"/>
        </w:rPr>
        <w:t>是，筛检项目已经在某些地区广泛推广，地区全人群健康档案齐全，有连续多年的、完整准确的筛检</w:t>
      </w:r>
      <w:r>
        <w:rPr>
          <w:rFonts w:ascii="宋体" w:hAnsi="宋体" w:eastAsia="宋体" w:cs="宋体"/>
          <w:spacing w:val="2"/>
          <w:sz w:val="20"/>
          <w:szCs w:val="20"/>
        </w:rPr>
        <w:t xml:space="preserve">  </w:t>
      </w:r>
      <w:r>
        <w:rPr>
          <w:rFonts w:ascii="宋体" w:hAnsi="宋体" w:eastAsia="宋体" w:cs="宋体"/>
          <w:spacing w:val="3"/>
          <w:sz w:val="20"/>
          <w:szCs w:val="20"/>
        </w:rPr>
        <w:t>和疾病登记信息。常用的方法包括：①历史性队列研究：通过比较既往参与筛检人群和不接受筛检</w:t>
      </w:r>
      <w:r>
        <w:rPr>
          <w:rFonts w:ascii="宋体" w:hAnsi="宋体" w:eastAsia="宋体" w:cs="宋体"/>
          <w:spacing w:val="8"/>
          <w:sz w:val="20"/>
          <w:szCs w:val="20"/>
        </w:rPr>
        <w:t xml:space="preserve"> </w:t>
      </w:r>
      <w:r>
        <w:rPr>
          <w:rFonts w:ascii="宋体" w:hAnsi="宋体" w:eastAsia="宋体" w:cs="宋体"/>
          <w:spacing w:val="5"/>
          <w:sz w:val="20"/>
          <w:szCs w:val="20"/>
        </w:rPr>
        <w:t>人群在随访一段时间后的疾病死亡专率、生存率的差异来说明筛检项目的效果。②病</w:t>
      </w:r>
      <w:r>
        <w:rPr>
          <w:rFonts w:ascii="宋体" w:hAnsi="宋体" w:eastAsia="宋体" w:cs="宋体"/>
          <w:spacing w:val="4"/>
          <w:sz w:val="20"/>
          <w:szCs w:val="20"/>
        </w:rPr>
        <w:t>例对照研究：</w:t>
      </w:r>
      <w:r>
        <w:rPr>
          <w:rFonts w:ascii="宋体" w:hAnsi="宋体" w:eastAsia="宋体" w:cs="宋体"/>
          <w:sz w:val="20"/>
          <w:szCs w:val="20"/>
        </w:rPr>
        <w:t xml:space="preserve"> </w:t>
      </w:r>
      <w:r>
        <w:rPr>
          <w:rFonts w:ascii="宋体" w:hAnsi="宋体" w:eastAsia="宋体" w:cs="宋体"/>
          <w:spacing w:val="5"/>
          <w:sz w:val="20"/>
          <w:szCs w:val="20"/>
        </w:rPr>
        <w:t>如病例选择在实施了筛检项目的地区人群的所有死亡病例的随机样本，对照选择同一源人群(包括</w:t>
      </w:r>
      <w:r>
        <w:rPr>
          <w:rFonts w:ascii="宋体" w:hAnsi="宋体" w:eastAsia="宋体" w:cs="宋体"/>
          <w:sz w:val="20"/>
          <w:szCs w:val="20"/>
        </w:rPr>
        <w:t xml:space="preserve">  </w:t>
      </w:r>
      <w:r>
        <w:rPr>
          <w:rFonts w:ascii="宋体" w:hAnsi="宋体" w:eastAsia="宋体" w:cs="宋体"/>
          <w:spacing w:val="6"/>
          <w:sz w:val="20"/>
          <w:szCs w:val="20"/>
        </w:rPr>
        <w:t>病人)的存活者的随机样本等，分析病例既往接受筛</w:t>
      </w:r>
      <w:r>
        <w:rPr>
          <w:rFonts w:ascii="宋体" w:hAnsi="宋体" w:eastAsia="宋体" w:cs="宋体"/>
          <w:spacing w:val="5"/>
          <w:sz w:val="20"/>
          <w:szCs w:val="20"/>
        </w:rPr>
        <w:t>检的比例是否低于对照组。③生态学研究：筛</w:t>
      </w:r>
      <w:r>
        <w:rPr>
          <w:rFonts w:ascii="宋体" w:hAnsi="宋体" w:eastAsia="宋体" w:cs="宋体"/>
          <w:sz w:val="20"/>
          <w:szCs w:val="20"/>
        </w:rPr>
        <w:t xml:space="preserve"> </w:t>
      </w:r>
      <w:r>
        <w:rPr>
          <w:rFonts w:ascii="宋体" w:hAnsi="宋体" w:eastAsia="宋体" w:cs="宋体"/>
          <w:spacing w:val="3"/>
          <w:sz w:val="20"/>
          <w:szCs w:val="20"/>
        </w:rPr>
        <w:t>检推广较长时间后，可应用生态学研究方法比较开展地区的疾病死亡专率是否低于未开展地区</w:t>
      </w:r>
      <w:r>
        <w:rPr>
          <w:rFonts w:ascii="宋体" w:hAnsi="宋体" w:eastAsia="宋体" w:cs="宋体"/>
          <w:spacing w:val="2"/>
          <w:sz w:val="20"/>
          <w:szCs w:val="20"/>
        </w:rPr>
        <w:t>，以</w:t>
      </w:r>
      <w:r>
        <w:rPr>
          <w:rFonts w:ascii="宋体" w:hAnsi="宋体" w:eastAsia="宋体" w:cs="宋体"/>
          <w:sz w:val="20"/>
          <w:szCs w:val="20"/>
        </w:rPr>
        <w:t xml:space="preserve">  </w:t>
      </w:r>
      <w:r>
        <w:rPr>
          <w:rFonts w:ascii="宋体" w:hAnsi="宋体" w:eastAsia="宋体" w:cs="宋体"/>
          <w:spacing w:val="5"/>
          <w:sz w:val="20"/>
          <w:szCs w:val="20"/>
        </w:rPr>
        <w:t>此说明筛检项目的长远效果。</w:t>
      </w:r>
    </w:p>
    <w:p w14:paraId="52B457F6">
      <w:pPr>
        <w:pStyle w:val="2"/>
        <w:spacing w:before="54" w:line="221" w:lineRule="auto"/>
        <w:ind w:left="1080"/>
        <w:rPr>
          <w:sz w:val="20"/>
          <w:szCs w:val="20"/>
        </w:rPr>
      </w:pPr>
      <w:r>
        <w:rPr>
          <w:spacing w:val="21"/>
          <w:sz w:val="20"/>
          <w:szCs w:val="20"/>
        </w:rPr>
        <w:t>(二)结局测量指标及效应指标</w:t>
      </w:r>
    </w:p>
    <w:p w14:paraId="02221C3E">
      <w:pPr>
        <w:spacing w:before="104" w:line="343" w:lineRule="auto"/>
        <w:ind w:left="649" w:right="89" w:firstLine="430"/>
        <w:jc w:val="both"/>
        <w:rPr>
          <w:rFonts w:ascii="宋体" w:hAnsi="宋体" w:eastAsia="宋体" w:cs="宋体"/>
          <w:sz w:val="20"/>
          <w:szCs w:val="20"/>
        </w:rPr>
      </w:pPr>
      <w:r>
        <w:rPr>
          <w:rFonts w:ascii="宋体" w:hAnsi="宋体" w:eastAsia="宋体" w:cs="宋体"/>
          <w:spacing w:val="8"/>
          <w:sz w:val="20"/>
          <w:szCs w:val="20"/>
        </w:rPr>
        <w:t>筛检项目生物学效果指标是根据筛检能改善疾病的</w:t>
      </w:r>
      <w:r>
        <w:rPr>
          <w:rFonts w:ascii="宋体" w:hAnsi="宋体" w:eastAsia="宋体" w:cs="宋体"/>
          <w:spacing w:val="7"/>
          <w:sz w:val="20"/>
          <w:szCs w:val="20"/>
        </w:rPr>
        <w:t>中间或终末结局状态(发病或预后)的观察</w:t>
      </w:r>
      <w:r>
        <w:rPr>
          <w:rFonts w:ascii="宋体" w:hAnsi="宋体" w:eastAsia="宋体" w:cs="宋体"/>
          <w:sz w:val="20"/>
          <w:szCs w:val="20"/>
        </w:rPr>
        <w:t xml:space="preserve"> </w:t>
      </w:r>
      <w:r>
        <w:rPr>
          <w:rFonts w:ascii="宋体" w:hAnsi="宋体" w:eastAsia="宋体" w:cs="宋体"/>
          <w:spacing w:val="3"/>
          <w:sz w:val="20"/>
          <w:szCs w:val="20"/>
        </w:rPr>
        <w:t>终点来设定的，通常采用率来测量。另外，筛检效果一般都是通过对比研究来体现的，故需要计算</w:t>
      </w:r>
      <w:r>
        <w:rPr>
          <w:rFonts w:ascii="宋体" w:hAnsi="宋体" w:eastAsia="宋体" w:cs="宋体"/>
          <w:spacing w:val="9"/>
          <w:sz w:val="20"/>
          <w:szCs w:val="20"/>
        </w:rPr>
        <w:t xml:space="preserve"> </w:t>
      </w:r>
      <w:r>
        <w:rPr>
          <w:rFonts w:ascii="宋体" w:hAnsi="宋体" w:eastAsia="宋体" w:cs="宋体"/>
          <w:spacing w:val="6"/>
          <w:sz w:val="20"/>
          <w:szCs w:val="20"/>
        </w:rPr>
        <w:t>相对比指标。</w:t>
      </w:r>
    </w:p>
    <w:p w14:paraId="63E15844">
      <w:pPr>
        <w:pStyle w:val="2"/>
        <w:spacing w:before="15" w:line="223" w:lineRule="auto"/>
        <w:ind w:left="1080"/>
        <w:rPr>
          <w:sz w:val="20"/>
          <w:szCs w:val="20"/>
        </w:rPr>
      </w:pPr>
      <w:r>
        <w:rPr>
          <w:rFonts w:ascii="宋体" w:hAnsi="宋体" w:eastAsia="宋体" w:cs="宋体"/>
          <w:spacing w:val="2"/>
          <w:sz w:val="20"/>
          <w:szCs w:val="20"/>
        </w:rPr>
        <w:t xml:space="preserve">1. </w:t>
      </w:r>
      <w:r>
        <w:rPr>
          <w:spacing w:val="2"/>
          <w:sz w:val="20"/>
          <w:szCs w:val="20"/>
        </w:rPr>
        <w:t>结局测量指标</w:t>
      </w:r>
    </w:p>
    <w:p w14:paraId="20DD4589">
      <w:pPr>
        <w:spacing w:before="147" w:line="301" w:lineRule="auto"/>
        <w:ind w:left="649" w:right="62" w:firstLine="430"/>
        <w:rPr>
          <w:rFonts w:ascii="宋体" w:hAnsi="宋体" w:eastAsia="宋体" w:cs="宋体"/>
          <w:sz w:val="20"/>
          <w:szCs w:val="20"/>
        </w:rPr>
      </w:pPr>
      <w:r>
        <w:rPr>
          <w:rFonts w:ascii="宋体" w:hAnsi="宋体" w:eastAsia="宋体" w:cs="宋体"/>
          <w:spacing w:val="6"/>
          <w:sz w:val="20"/>
          <w:szCs w:val="20"/>
        </w:rPr>
        <w:t>(1)疾病死亡专率：是评价筛检人群长远期获益的终点结</w:t>
      </w:r>
      <w:r>
        <w:rPr>
          <w:rFonts w:ascii="宋体" w:hAnsi="宋体" w:eastAsia="宋体" w:cs="宋体"/>
          <w:spacing w:val="5"/>
          <w:sz w:val="20"/>
          <w:szCs w:val="20"/>
        </w:rPr>
        <w:t>局指标，是筛检效果评价中最有说服</w:t>
      </w:r>
      <w:r>
        <w:rPr>
          <w:rFonts w:ascii="宋体" w:hAnsi="宋体" w:eastAsia="宋体" w:cs="宋体"/>
          <w:sz w:val="20"/>
          <w:szCs w:val="20"/>
        </w:rPr>
        <w:t xml:space="preserve"> </w:t>
      </w:r>
      <w:r>
        <w:rPr>
          <w:rFonts w:ascii="宋体" w:hAnsi="宋体" w:eastAsia="宋体" w:cs="宋体"/>
          <w:spacing w:val="4"/>
          <w:sz w:val="20"/>
          <w:szCs w:val="20"/>
        </w:rPr>
        <w:t>力的结论性指标。例如，</w:t>
      </w:r>
      <w:r>
        <w:rPr>
          <w:rFonts w:ascii="宋体" w:hAnsi="宋体" w:eastAsia="宋体" w:cs="宋体"/>
          <w:spacing w:val="-31"/>
          <w:sz w:val="20"/>
          <w:szCs w:val="20"/>
        </w:rPr>
        <w:t xml:space="preserve"> </w:t>
      </w:r>
      <w:r>
        <w:rPr>
          <w:rFonts w:ascii="宋体" w:hAnsi="宋体" w:eastAsia="宋体" w:cs="宋体"/>
          <w:spacing w:val="4"/>
          <w:sz w:val="20"/>
          <w:szCs w:val="20"/>
        </w:rPr>
        <w:t>一些国家曾经开展过用尿检香草扁桃酸</w:t>
      </w:r>
      <w:r>
        <w:rPr>
          <w:rFonts w:ascii="Times New Roman" w:hAnsi="Times New Roman" w:eastAsia="Times New Roman" w:cs="Times New Roman"/>
          <w:spacing w:val="4"/>
          <w:sz w:val="20"/>
          <w:szCs w:val="20"/>
        </w:rPr>
        <w:t>(</w:t>
      </w:r>
      <w:r>
        <w:rPr>
          <w:rFonts w:ascii="Times New Roman" w:hAnsi="Times New Roman" w:eastAsia="Times New Roman" w:cs="Times New Roman"/>
          <w:sz w:val="20"/>
          <w:szCs w:val="20"/>
        </w:rPr>
        <w:t>VMA</w:t>
      </w:r>
      <w:r>
        <w:rPr>
          <w:rFonts w:ascii="Times New Roman" w:hAnsi="Times New Roman" w:eastAsia="Times New Roman" w:cs="Times New Roman"/>
          <w:spacing w:val="4"/>
          <w:sz w:val="20"/>
          <w:szCs w:val="20"/>
        </w:rPr>
        <w:t xml:space="preserve">)  </w:t>
      </w:r>
      <w:r>
        <w:rPr>
          <w:rFonts w:ascii="宋体" w:hAnsi="宋体" w:eastAsia="宋体" w:cs="宋体"/>
          <w:spacing w:val="4"/>
          <w:sz w:val="20"/>
          <w:szCs w:val="20"/>
        </w:rPr>
        <w:t>的方法筛检儿童神经母细</w:t>
      </w:r>
      <w:r>
        <w:rPr>
          <w:rFonts w:ascii="宋体" w:hAnsi="宋体" w:eastAsia="宋体" w:cs="宋体"/>
          <w:sz w:val="20"/>
          <w:szCs w:val="20"/>
        </w:rPr>
        <w:t xml:space="preserve"> </w:t>
      </w:r>
      <w:r>
        <w:rPr>
          <w:rFonts w:ascii="宋体" w:hAnsi="宋体" w:eastAsia="宋体" w:cs="宋体"/>
          <w:spacing w:val="3"/>
          <w:sz w:val="20"/>
          <w:szCs w:val="20"/>
        </w:rPr>
        <w:t>胞瘤，在项目开展了数十年后由于没有观察到人群该病死亡率</w:t>
      </w:r>
      <w:r>
        <w:rPr>
          <w:rFonts w:ascii="宋体" w:hAnsi="宋体" w:eastAsia="宋体" w:cs="宋体"/>
          <w:spacing w:val="2"/>
          <w:sz w:val="20"/>
          <w:szCs w:val="20"/>
        </w:rPr>
        <w:t>随之下降而被终止。</w:t>
      </w:r>
    </w:p>
    <w:p w14:paraId="60F9067E">
      <w:pPr>
        <w:spacing w:before="122" w:line="311" w:lineRule="auto"/>
        <w:ind w:left="649" w:firstLine="430"/>
        <w:rPr>
          <w:rFonts w:ascii="宋体" w:hAnsi="宋体" w:eastAsia="宋体" w:cs="宋体"/>
          <w:sz w:val="20"/>
          <w:szCs w:val="20"/>
        </w:rPr>
      </w:pPr>
      <w:r>
        <w:rPr>
          <w:rFonts w:ascii="宋体" w:hAnsi="宋体" w:eastAsia="宋体" w:cs="宋体"/>
          <w:spacing w:val="6"/>
          <w:sz w:val="20"/>
          <w:szCs w:val="20"/>
        </w:rPr>
        <w:t>(2)其他效果指标：治愈率、复发率、病死率、生存率和生存时间等指</w:t>
      </w:r>
      <w:r>
        <w:rPr>
          <w:rFonts w:ascii="宋体" w:hAnsi="宋体" w:eastAsia="宋体" w:cs="宋体"/>
          <w:spacing w:val="5"/>
          <w:sz w:val="20"/>
          <w:szCs w:val="20"/>
        </w:rPr>
        <w:t>标是评价筛检人群早期</w:t>
      </w:r>
      <w:r>
        <w:rPr>
          <w:rFonts w:ascii="宋体" w:hAnsi="宋体" w:eastAsia="宋体" w:cs="宋体"/>
          <w:sz w:val="20"/>
          <w:szCs w:val="20"/>
        </w:rPr>
        <w:t xml:space="preserve"> </w:t>
      </w:r>
      <w:r>
        <w:rPr>
          <w:rFonts w:ascii="宋体" w:hAnsi="宋体" w:eastAsia="宋体" w:cs="宋体"/>
          <w:spacing w:val="8"/>
          <w:sz w:val="20"/>
          <w:szCs w:val="20"/>
        </w:rPr>
        <w:t>或中期获益的中间结局指标。如果经筛检的病例较未经筛检的病例复发率或病死率更低，生存率</w:t>
      </w:r>
      <w:r>
        <w:rPr>
          <w:rFonts w:ascii="宋体" w:hAnsi="宋体" w:eastAsia="宋体" w:cs="宋体"/>
          <w:spacing w:val="1"/>
          <w:sz w:val="20"/>
          <w:szCs w:val="20"/>
        </w:rPr>
        <w:t xml:space="preserve">  </w:t>
      </w:r>
      <w:r>
        <w:rPr>
          <w:rFonts w:ascii="宋体" w:hAnsi="宋体" w:eastAsia="宋体" w:cs="宋体"/>
          <w:spacing w:val="3"/>
          <w:sz w:val="20"/>
          <w:szCs w:val="20"/>
        </w:rPr>
        <w:t>较高或者生存时间更长，则说明筛检可能有效，常用1年、3年、5年生存率来评价癌症</w:t>
      </w:r>
      <w:r>
        <w:rPr>
          <w:rFonts w:ascii="宋体" w:hAnsi="宋体" w:eastAsia="宋体" w:cs="宋体"/>
          <w:spacing w:val="2"/>
          <w:sz w:val="20"/>
          <w:szCs w:val="20"/>
        </w:rPr>
        <w:t>的筛检计划。</w:t>
      </w:r>
      <w:r>
        <w:rPr>
          <w:rFonts w:ascii="宋体" w:hAnsi="宋体" w:eastAsia="宋体" w:cs="宋体"/>
          <w:sz w:val="20"/>
          <w:szCs w:val="20"/>
        </w:rPr>
        <w:t xml:space="preserve"> </w:t>
      </w:r>
      <w:r>
        <w:rPr>
          <w:rFonts w:ascii="宋体" w:hAnsi="宋体" w:eastAsia="宋体" w:cs="宋体"/>
          <w:spacing w:val="1"/>
          <w:sz w:val="20"/>
          <w:szCs w:val="20"/>
        </w:rPr>
        <w:t>但要注意，应用这类指标时应注意领先时间、病程长短等时间相关偏倚的影响。</w:t>
      </w:r>
    </w:p>
    <w:p w14:paraId="3F6B9F38">
      <w:pPr>
        <w:spacing w:before="141" w:line="302" w:lineRule="auto"/>
        <w:ind w:left="639" w:right="61" w:firstLine="440"/>
        <w:rPr>
          <w:rFonts w:ascii="宋体" w:hAnsi="宋体" w:eastAsia="宋体" w:cs="宋体"/>
          <w:sz w:val="20"/>
          <w:szCs w:val="20"/>
        </w:rPr>
      </w:pPr>
      <w:r>
        <w:rPr>
          <w:rFonts w:ascii="Times New Roman" w:hAnsi="Times New Roman" w:eastAsia="Times New Roman" w:cs="Times New Roman"/>
          <w:spacing w:val="7"/>
          <w:sz w:val="20"/>
          <w:szCs w:val="20"/>
        </w:rPr>
        <w:t xml:space="preserve">2.   </w:t>
      </w:r>
      <w:r>
        <w:rPr>
          <w:rFonts w:ascii="宋体" w:hAnsi="宋体" w:eastAsia="宋体" w:cs="宋体"/>
          <w:spacing w:val="7"/>
          <w:sz w:val="20"/>
          <w:szCs w:val="20"/>
        </w:rPr>
        <w:t>关联指标  随机对照试验中，常用指标</w:t>
      </w:r>
      <w:r>
        <w:rPr>
          <w:rFonts w:ascii="宋体" w:hAnsi="宋体" w:eastAsia="宋体" w:cs="宋体"/>
          <w:spacing w:val="6"/>
          <w:sz w:val="20"/>
          <w:szCs w:val="20"/>
        </w:rPr>
        <w:t>有效果指数</w:t>
      </w:r>
      <w:r>
        <w:rPr>
          <w:rFonts w:ascii="Times New Roman" w:hAnsi="Times New Roman" w:eastAsia="Times New Roman" w:cs="Times New Roman"/>
          <w:spacing w:val="6"/>
          <w:sz w:val="20"/>
          <w:szCs w:val="20"/>
        </w:rPr>
        <w:t>(</w:t>
      </w:r>
      <w:r>
        <w:rPr>
          <w:rFonts w:ascii="Times New Roman" w:hAnsi="Times New Roman" w:eastAsia="Times New Roman" w:cs="Times New Roman"/>
          <w:sz w:val="20"/>
          <w:szCs w:val="20"/>
        </w:rPr>
        <w:t>IE</w:t>
      </w:r>
      <w:r>
        <w:rPr>
          <w:rFonts w:ascii="Times New Roman" w:hAnsi="Times New Roman" w:eastAsia="Times New Roman" w:cs="Times New Roman"/>
          <w:spacing w:val="6"/>
          <w:sz w:val="20"/>
          <w:szCs w:val="20"/>
        </w:rPr>
        <w:t>)</w:t>
      </w:r>
      <w:r>
        <w:rPr>
          <w:rFonts w:ascii="Times New Roman" w:hAnsi="Times New Roman" w:eastAsia="Times New Roman" w:cs="Times New Roman"/>
          <w:spacing w:val="-28"/>
          <w:sz w:val="20"/>
          <w:szCs w:val="20"/>
        </w:rPr>
        <w:t xml:space="preserve"> </w:t>
      </w:r>
      <w:r>
        <w:rPr>
          <w:rFonts w:ascii="宋体" w:hAnsi="宋体" w:eastAsia="宋体" w:cs="宋体"/>
          <w:spacing w:val="6"/>
          <w:sz w:val="20"/>
          <w:szCs w:val="20"/>
        </w:rPr>
        <w:t>、保护率</w:t>
      </w:r>
      <w:r>
        <w:rPr>
          <w:rFonts w:ascii="Times New Roman" w:hAnsi="Times New Roman" w:eastAsia="Times New Roman" w:cs="Times New Roman"/>
          <w:spacing w:val="6"/>
          <w:sz w:val="20"/>
          <w:szCs w:val="20"/>
        </w:rPr>
        <w:t>(</w:t>
      </w:r>
      <w:r>
        <w:rPr>
          <w:rFonts w:ascii="Times New Roman" w:hAnsi="Times New Roman" w:eastAsia="Times New Roman" w:cs="Times New Roman"/>
          <w:sz w:val="20"/>
          <w:szCs w:val="20"/>
        </w:rPr>
        <w:t>PR</w:t>
      </w:r>
      <w:r>
        <w:rPr>
          <w:rFonts w:ascii="Times New Roman" w:hAnsi="Times New Roman" w:eastAsia="Times New Roman" w:cs="Times New Roman"/>
          <w:spacing w:val="6"/>
          <w:sz w:val="20"/>
          <w:szCs w:val="20"/>
        </w:rPr>
        <w:t>)</w:t>
      </w:r>
      <w:r>
        <w:rPr>
          <w:rFonts w:ascii="Times New Roman" w:hAnsi="Times New Roman" w:eastAsia="Times New Roman" w:cs="Times New Roman"/>
          <w:spacing w:val="-29"/>
          <w:sz w:val="20"/>
          <w:szCs w:val="20"/>
        </w:rPr>
        <w:t xml:space="preserve"> </w:t>
      </w:r>
      <w:r>
        <w:rPr>
          <w:rFonts w:ascii="宋体" w:hAnsi="宋体" w:eastAsia="宋体" w:cs="宋体"/>
          <w:spacing w:val="6"/>
          <w:sz w:val="20"/>
          <w:szCs w:val="20"/>
        </w:rPr>
        <w:t>、绝对危险度减少值</w:t>
      </w:r>
      <w:r>
        <w:rPr>
          <w:rFonts w:ascii="宋体" w:hAnsi="宋体" w:eastAsia="宋体" w:cs="宋体"/>
          <w:sz w:val="20"/>
          <w:szCs w:val="20"/>
        </w:rPr>
        <w:t xml:space="preserve"> </w:t>
      </w:r>
      <w:r>
        <w:rPr>
          <w:rFonts w:ascii="Times New Roman" w:hAnsi="Times New Roman" w:eastAsia="Times New Roman" w:cs="Times New Roman"/>
          <w:spacing w:val="1"/>
          <w:sz w:val="20"/>
          <w:szCs w:val="20"/>
        </w:rPr>
        <w:t>(</w:t>
      </w:r>
      <w:r>
        <w:rPr>
          <w:rFonts w:ascii="Times New Roman" w:hAnsi="Times New Roman" w:eastAsia="Times New Roman" w:cs="Times New Roman"/>
          <w:sz w:val="20"/>
          <w:szCs w:val="20"/>
        </w:rPr>
        <w:t>ARR</w:t>
      </w:r>
      <w:r>
        <w:rPr>
          <w:rFonts w:ascii="Times New Roman" w:hAnsi="Times New Roman" w:eastAsia="Times New Roman" w:cs="Times New Roman"/>
          <w:spacing w:val="1"/>
          <w:sz w:val="20"/>
          <w:szCs w:val="20"/>
        </w:rPr>
        <w:t xml:space="preserve">),   </w:t>
      </w:r>
      <w:r>
        <w:rPr>
          <w:rFonts w:ascii="宋体" w:hAnsi="宋体" w:eastAsia="宋体" w:cs="宋体"/>
          <w:spacing w:val="1"/>
          <w:sz w:val="20"/>
          <w:szCs w:val="20"/>
        </w:rPr>
        <w:t>计算及指标意义参见本书第六章“实验流行病学”。观察性研</w:t>
      </w:r>
      <w:r>
        <w:rPr>
          <w:rFonts w:ascii="宋体" w:hAnsi="宋体" w:eastAsia="宋体" w:cs="宋体"/>
          <w:sz w:val="20"/>
          <w:szCs w:val="20"/>
        </w:rPr>
        <w:t xml:space="preserve">究中，队列研究多用参加筛检 </w:t>
      </w:r>
      <w:r>
        <w:rPr>
          <w:rFonts w:ascii="宋体" w:hAnsi="宋体" w:eastAsia="宋体" w:cs="宋体"/>
          <w:spacing w:val="6"/>
          <w:sz w:val="20"/>
          <w:szCs w:val="20"/>
        </w:rPr>
        <w:t>人群和未参加人群的专病死亡率比</w:t>
      </w:r>
      <w:r>
        <w:rPr>
          <w:rFonts w:ascii="Times New Roman" w:hAnsi="Times New Roman" w:eastAsia="Times New Roman" w:cs="Times New Roman"/>
          <w:spacing w:val="6"/>
          <w:sz w:val="20"/>
          <w:szCs w:val="20"/>
        </w:rPr>
        <w:t>(</w:t>
      </w:r>
      <w:r>
        <w:rPr>
          <w:rFonts w:ascii="Times New Roman" w:hAnsi="Times New Roman" w:eastAsia="Times New Roman" w:cs="Times New Roman"/>
          <w:sz w:val="20"/>
          <w:szCs w:val="20"/>
        </w:rPr>
        <w:t>RR</w:t>
      </w:r>
      <w:r>
        <w:rPr>
          <w:rFonts w:ascii="Times New Roman" w:hAnsi="Times New Roman" w:eastAsia="Times New Roman" w:cs="Times New Roman"/>
          <w:spacing w:val="6"/>
          <w:sz w:val="20"/>
          <w:szCs w:val="20"/>
        </w:rPr>
        <w:t>)</w:t>
      </w:r>
      <w:r>
        <w:rPr>
          <w:rFonts w:ascii="Times New Roman" w:hAnsi="Times New Roman" w:eastAsia="Times New Roman" w:cs="Times New Roman"/>
          <w:spacing w:val="-13"/>
          <w:sz w:val="20"/>
          <w:szCs w:val="20"/>
        </w:rPr>
        <w:t xml:space="preserve"> </w:t>
      </w:r>
      <w:r>
        <w:rPr>
          <w:rFonts w:ascii="宋体" w:hAnsi="宋体" w:eastAsia="宋体" w:cs="宋体"/>
          <w:spacing w:val="6"/>
          <w:sz w:val="20"/>
          <w:szCs w:val="20"/>
        </w:rPr>
        <w:t>。</w:t>
      </w:r>
      <w:r>
        <w:rPr>
          <w:rFonts w:ascii="宋体" w:hAnsi="宋体" w:eastAsia="宋体" w:cs="宋体"/>
          <w:spacing w:val="-42"/>
          <w:sz w:val="20"/>
          <w:szCs w:val="20"/>
        </w:rPr>
        <w:t xml:space="preserve"> </w:t>
      </w:r>
      <w:r>
        <w:rPr>
          <w:rFonts w:ascii="宋体" w:hAnsi="宋体" w:eastAsia="宋体" w:cs="宋体"/>
          <w:spacing w:val="6"/>
          <w:sz w:val="20"/>
          <w:szCs w:val="20"/>
        </w:rPr>
        <w:t>病例对照研究的指标是死亡病例与对照组参与筛检的优</w:t>
      </w:r>
      <w:r>
        <w:rPr>
          <w:rFonts w:ascii="宋体" w:hAnsi="宋体" w:eastAsia="宋体" w:cs="宋体"/>
          <w:sz w:val="20"/>
          <w:szCs w:val="20"/>
        </w:rPr>
        <w:t xml:space="preserve"> </w:t>
      </w:r>
      <w:r>
        <w:rPr>
          <w:rFonts w:ascii="宋体" w:hAnsi="宋体" w:eastAsia="宋体" w:cs="宋体"/>
          <w:spacing w:val="-8"/>
          <w:sz w:val="20"/>
          <w:szCs w:val="20"/>
        </w:rPr>
        <w:t>势 比</w:t>
      </w:r>
      <w:r>
        <w:rPr>
          <w:rFonts w:ascii="Times New Roman" w:hAnsi="Times New Roman" w:eastAsia="Times New Roman" w:cs="Times New Roman"/>
          <w:spacing w:val="-8"/>
          <w:sz w:val="20"/>
          <w:szCs w:val="20"/>
        </w:rPr>
        <w:t>(OR)</w:t>
      </w:r>
      <w:r>
        <w:rPr>
          <w:rFonts w:ascii="宋体" w:hAnsi="宋体" w:eastAsia="宋体" w:cs="宋体"/>
          <w:spacing w:val="-8"/>
          <w:sz w:val="20"/>
          <w:szCs w:val="20"/>
        </w:rPr>
        <w:t>。</w:t>
      </w:r>
    </w:p>
    <w:p w14:paraId="017572F0">
      <w:pPr>
        <w:spacing w:before="191" w:line="298" w:lineRule="auto"/>
        <w:ind w:left="649" w:right="61" w:firstLine="430"/>
        <w:rPr>
          <w:rFonts w:ascii="宋体" w:hAnsi="宋体" w:eastAsia="宋体" w:cs="宋体"/>
          <w:sz w:val="20"/>
          <w:szCs w:val="20"/>
        </w:rPr>
      </w:pPr>
      <w:r>
        <w:rPr>
          <w:rFonts w:ascii="Times New Roman" w:hAnsi="Times New Roman" w:eastAsia="Times New Roman" w:cs="Times New Roman"/>
          <w:spacing w:val="5"/>
          <w:sz w:val="20"/>
          <w:szCs w:val="20"/>
        </w:rPr>
        <w:t xml:space="preserve">3.   </w:t>
      </w:r>
      <w:r>
        <w:rPr>
          <w:rFonts w:ascii="宋体" w:hAnsi="宋体" w:eastAsia="宋体" w:cs="宋体"/>
          <w:spacing w:val="5"/>
          <w:sz w:val="20"/>
          <w:szCs w:val="20"/>
        </w:rPr>
        <w:t>需要筛检人数</w:t>
      </w:r>
      <w:r>
        <w:rPr>
          <w:rFonts w:ascii="Times New Roman" w:hAnsi="Times New Roman" w:eastAsia="Times New Roman" w:cs="Times New Roman"/>
          <w:spacing w:val="5"/>
          <w:sz w:val="20"/>
          <w:szCs w:val="20"/>
        </w:rPr>
        <w:t>(</w:t>
      </w:r>
      <w:r>
        <w:rPr>
          <w:rFonts w:ascii="Times New Roman" w:hAnsi="Times New Roman" w:eastAsia="Times New Roman" w:cs="Times New Roman"/>
          <w:sz w:val="20"/>
          <w:szCs w:val="20"/>
        </w:rPr>
        <w:t>number</w:t>
      </w:r>
      <w:r>
        <w:rPr>
          <w:rFonts w:ascii="Times New Roman" w:hAnsi="Times New Roman" w:eastAsia="Times New Roman" w:cs="Times New Roman"/>
          <w:spacing w:val="5"/>
          <w:sz w:val="20"/>
          <w:szCs w:val="20"/>
        </w:rPr>
        <w:t xml:space="preserve">    </w:t>
      </w:r>
      <w:r>
        <w:rPr>
          <w:rFonts w:ascii="Times New Roman" w:hAnsi="Times New Roman" w:eastAsia="Times New Roman" w:cs="Times New Roman"/>
          <w:sz w:val="20"/>
          <w:szCs w:val="20"/>
        </w:rPr>
        <w:t>needed</w:t>
      </w:r>
      <w:r>
        <w:rPr>
          <w:rFonts w:ascii="Times New Roman" w:hAnsi="Times New Roman" w:eastAsia="Times New Roman" w:cs="Times New Roman"/>
          <w:spacing w:val="5"/>
          <w:sz w:val="20"/>
          <w:szCs w:val="20"/>
        </w:rPr>
        <w:t xml:space="preserve">    </w:t>
      </w:r>
      <w:r>
        <w:rPr>
          <w:rFonts w:ascii="Times New Roman" w:hAnsi="Times New Roman" w:eastAsia="Times New Roman" w:cs="Times New Roman"/>
          <w:sz w:val="20"/>
          <w:szCs w:val="20"/>
        </w:rPr>
        <w:t>to</w:t>
      </w:r>
      <w:r>
        <w:rPr>
          <w:rFonts w:ascii="Times New Roman" w:hAnsi="Times New Roman" w:eastAsia="Times New Roman" w:cs="Times New Roman"/>
          <w:spacing w:val="5"/>
          <w:sz w:val="20"/>
          <w:szCs w:val="20"/>
        </w:rPr>
        <w:t xml:space="preserve">    </w:t>
      </w:r>
      <w:r>
        <w:rPr>
          <w:rFonts w:ascii="Times New Roman" w:hAnsi="Times New Roman" w:eastAsia="Times New Roman" w:cs="Times New Roman"/>
          <w:sz w:val="20"/>
          <w:szCs w:val="20"/>
        </w:rPr>
        <w:t>screen</w:t>
      </w:r>
      <w:r>
        <w:rPr>
          <w:rFonts w:ascii="Times New Roman" w:hAnsi="Times New Roman" w:eastAsia="Times New Roman" w:cs="Times New Roman"/>
          <w:spacing w:val="5"/>
          <w:sz w:val="20"/>
          <w:szCs w:val="20"/>
        </w:rPr>
        <w:t>,</w:t>
      </w:r>
      <w:r>
        <w:rPr>
          <w:rFonts w:ascii="Times New Roman" w:hAnsi="Times New Roman" w:eastAsia="Times New Roman" w:cs="Times New Roman"/>
          <w:sz w:val="20"/>
          <w:szCs w:val="20"/>
        </w:rPr>
        <w:t>NNS</w:t>
      </w:r>
      <w:r>
        <w:rPr>
          <w:rFonts w:ascii="Times New Roman" w:hAnsi="Times New Roman" w:eastAsia="Times New Roman" w:cs="Times New Roman"/>
          <w:spacing w:val="5"/>
          <w:sz w:val="20"/>
          <w:szCs w:val="20"/>
        </w:rPr>
        <w:t>)</w:t>
      </w:r>
      <w:r>
        <w:rPr>
          <w:rFonts w:ascii="Times New Roman" w:hAnsi="Times New Roman" w:eastAsia="Times New Roman" w:cs="Times New Roman"/>
          <w:sz w:val="20"/>
          <w:szCs w:val="20"/>
        </w:rPr>
        <w:t>NNS</w:t>
      </w:r>
      <w:r>
        <w:rPr>
          <w:rFonts w:ascii="宋体" w:hAnsi="宋体" w:eastAsia="宋体" w:cs="宋体"/>
          <w:spacing w:val="5"/>
          <w:sz w:val="20"/>
          <w:szCs w:val="20"/>
        </w:rPr>
        <w:t>是指预防一例筛检目标疾病病例死亡</w:t>
      </w:r>
      <w:r>
        <w:rPr>
          <w:rFonts w:ascii="宋体" w:hAnsi="宋体" w:eastAsia="宋体" w:cs="宋体"/>
          <w:sz w:val="20"/>
          <w:szCs w:val="20"/>
        </w:rPr>
        <w:t xml:space="preserve"> </w:t>
      </w:r>
      <w:r>
        <w:rPr>
          <w:rFonts w:ascii="宋体" w:hAnsi="宋体" w:eastAsia="宋体" w:cs="宋体"/>
          <w:spacing w:val="8"/>
          <w:sz w:val="20"/>
          <w:szCs w:val="20"/>
        </w:rPr>
        <w:t>或不良事件发生所需要筛检的人数。计算式为对照组与筛检组的专病死亡或不良事件发生率之差</w:t>
      </w:r>
      <w:r>
        <w:rPr>
          <w:rFonts w:ascii="宋体" w:hAnsi="宋体" w:eastAsia="宋体" w:cs="宋体"/>
          <w:spacing w:val="3"/>
          <w:sz w:val="20"/>
          <w:szCs w:val="20"/>
        </w:rPr>
        <w:t xml:space="preserve"> </w:t>
      </w:r>
      <w:r>
        <w:rPr>
          <w:rFonts w:ascii="Times New Roman" w:hAnsi="Times New Roman" w:eastAsia="Times New Roman" w:cs="Times New Roman"/>
          <w:spacing w:val="1"/>
          <w:sz w:val="20"/>
          <w:szCs w:val="20"/>
        </w:rPr>
        <w:t>(</w:t>
      </w:r>
      <w:r>
        <w:rPr>
          <w:rFonts w:ascii="Times New Roman" w:hAnsi="Times New Roman" w:eastAsia="Times New Roman" w:cs="Times New Roman"/>
          <w:sz w:val="20"/>
          <w:szCs w:val="20"/>
        </w:rPr>
        <w:t>AR</w:t>
      </w:r>
      <w:r>
        <w:rPr>
          <w:rFonts w:ascii="Times New Roman" w:hAnsi="Times New Roman" w:eastAsia="Times New Roman" w:cs="Times New Roman"/>
          <w:spacing w:val="1"/>
          <w:sz w:val="20"/>
          <w:szCs w:val="20"/>
        </w:rPr>
        <w:t xml:space="preserve">),   </w:t>
      </w:r>
      <w:r>
        <w:rPr>
          <w:rFonts w:ascii="宋体" w:hAnsi="宋体" w:eastAsia="宋体" w:cs="宋体"/>
          <w:spacing w:val="1"/>
          <w:sz w:val="20"/>
          <w:szCs w:val="20"/>
        </w:rPr>
        <w:t>将</w:t>
      </w:r>
      <w:r>
        <w:rPr>
          <w:rFonts w:ascii="宋体" w:hAnsi="宋体" w:eastAsia="宋体" w:cs="宋体"/>
          <w:spacing w:val="-34"/>
          <w:sz w:val="20"/>
          <w:szCs w:val="20"/>
        </w:rPr>
        <w:t xml:space="preserve"> </w:t>
      </w:r>
      <w:r>
        <w:rPr>
          <w:rFonts w:ascii="Times New Roman" w:hAnsi="Times New Roman" w:eastAsia="Times New Roman" w:cs="Times New Roman"/>
          <w:sz w:val="20"/>
          <w:szCs w:val="20"/>
        </w:rPr>
        <w:t>AR</w:t>
      </w:r>
      <w:r>
        <w:rPr>
          <w:rFonts w:ascii="宋体" w:hAnsi="宋体" w:eastAsia="宋体" w:cs="宋体"/>
          <w:spacing w:val="1"/>
          <w:sz w:val="20"/>
          <w:szCs w:val="20"/>
        </w:rPr>
        <w:t>取倒数值，得</w:t>
      </w:r>
      <w:r>
        <w:rPr>
          <w:rFonts w:ascii="Times New Roman" w:hAnsi="Times New Roman" w:eastAsia="Times New Roman" w:cs="Times New Roman"/>
          <w:sz w:val="20"/>
          <w:szCs w:val="20"/>
        </w:rPr>
        <w:t>NNS</w:t>
      </w:r>
      <w:r>
        <w:rPr>
          <w:rFonts w:ascii="Times New Roman" w:hAnsi="Times New Roman" w:eastAsia="Times New Roman" w:cs="Times New Roman"/>
          <w:spacing w:val="1"/>
          <w:sz w:val="20"/>
          <w:szCs w:val="20"/>
        </w:rPr>
        <w:t>=1/</w:t>
      </w:r>
      <w:r>
        <w:rPr>
          <w:rFonts w:ascii="Times New Roman" w:hAnsi="Times New Roman" w:eastAsia="Times New Roman" w:cs="Times New Roman"/>
          <w:sz w:val="20"/>
          <w:szCs w:val="20"/>
        </w:rPr>
        <w:t>AR</w:t>
      </w:r>
      <w:r>
        <w:rPr>
          <w:rFonts w:ascii="宋体" w:hAnsi="宋体" w:eastAsia="宋体" w:cs="宋体"/>
          <w:spacing w:val="1"/>
          <w:sz w:val="20"/>
          <w:szCs w:val="20"/>
        </w:rPr>
        <w:t>。该指标数值越小越好。</w:t>
      </w:r>
    </w:p>
    <w:p w14:paraId="1E072D91">
      <w:pPr>
        <w:pStyle w:val="2"/>
        <w:spacing w:before="161" w:line="222" w:lineRule="auto"/>
        <w:ind w:left="1082"/>
        <w:rPr>
          <w:sz w:val="20"/>
          <w:szCs w:val="20"/>
        </w:rPr>
      </w:pPr>
      <w:r>
        <w:rPr>
          <w:b/>
          <w:bCs/>
          <w:spacing w:val="25"/>
          <w:sz w:val="20"/>
          <w:szCs w:val="20"/>
        </w:rPr>
        <w:t>(三)偏倚及其控制</w:t>
      </w:r>
    </w:p>
    <w:p w14:paraId="1A1F9BC7">
      <w:pPr>
        <w:pStyle w:val="2"/>
        <w:spacing w:before="100" w:line="324" w:lineRule="auto"/>
        <w:ind w:left="649" w:right="86" w:firstLine="430"/>
        <w:rPr>
          <w:rFonts w:ascii="宋体" w:hAnsi="宋体" w:eastAsia="宋体" w:cs="宋体"/>
          <w:sz w:val="20"/>
          <w:szCs w:val="20"/>
        </w:rPr>
      </w:pPr>
      <w:r>
        <w:rPr>
          <w:rFonts w:ascii="宋体" w:hAnsi="宋体" w:eastAsia="宋体" w:cs="宋体"/>
          <w:sz w:val="20"/>
          <w:szCs w:val="20"/>
        </w:rPr>
        <w:t>1. 领先时间偏倚</w:t>
      </w:r>
      <w:r>
        <w:rPr>
          <w:sz w:val="20"/>
          <w:szCs w:val="20"/>
        </w:rPr>
        <w:t>(</w:t>
      </w:r>
      <w:r>
        <w:rPr>
          <w:spacing w:val="-55"/>
          <w:sz w:val="20"/>
          <w:szCs w:val="20"/>
        </w:rPr>
        <w:t xml:space="preserve"> </w:t>
      </w:r>
      <w:r>
        <w:rPr>
          <w:rFonts w:ascii="宋体" w:hAnsi="宋体" w:eastAsia="宋体" w:cs="宋体"/>
          <w:sz w:val="20"/>
          <w:szCs w:val="20"/>
        </w:rPr>
        <w:t>lead time bias) 领先时</w:t>
      </w:r>
      <w:r>
        <w:rPr>
          <w:rFonts w:ascii="宋体" w:hAnsi="宋体" w:eastAsia="宋体" w:cs="宋体"/>
          <w:spacing w:val="-1"/>
          <w:sz w:val="20"/>
          <w:szCs w:val="20"/>
        </w:rPr>
        <w:t>间(lead time)是指临床前筛检诊断的时点</w:t>
      </w:r>
      <w:r>
        <w:rPr>
          <w:rFonts w:ascii="Times New Roman" w:hAnsi="Times New Roman" w:eastAsia="Times New Roman" w:cs="Times New Roman"/>
          <w:spacing w:val="-1"/>
          <w:sz w:val="20"/>
          <w:szCs w:val="20"/>
        </w:rPr>
        <w:t>(</w:t>
      </w:r>
      <w:r>
        <w:rPr>
          <w:rFonts w:ascii="宋体" w:hAnsi="宋体" w:eastAsia="宋体" w:cs="宋体"/>
          <w:spacing w:val="-1"/>
          <w:sz w:val="20"/>
          <w:szCs w:val="20"/>
        </w:rPr>
        <w:t>年龄</w:t>
      </w:r>
      <w:r>
        <w:rPr>
          <w:rFonts w:ascii="Times New Roman" w:hAnsi="Times New Roman" w:eastAsia="Times New Roman" w:cs="Times New Roman"/>
          <w:spacing w:val="-1"/>
          <w:sz w:val="20"/>
          <w:szCs w:val="20"/>
        </w:rPr>
        <w:t>)</w:t>
      </w:r>
      <w:r>
        <w:rPr>
          <w:rFonts w:ascii="宋体" w:hAnsi="宋体" w:eastAsia="宋体" w:cs="宋体"/>
          <w:spacing w:val="-1"/>
          <w:sz w:val="20"/>
          <w:szCs w:val="20"/>
        </w:rPr>
        <w:t>至</w:t>
      </w:r>
      <w:r>
        <w:rPr>
          <w:rFonts w:ascii="宋体" w:hAnsi="宋体" w:eastAsia="宋体" w:cs="宋体"/>
          <w:sz w:val="20"/>
          <w:szCs w:val="20"/>
        </w:rPr>
        <w:t xml:space="preserve"> </w:t>
      </w:r>
      <w:r>
        <w:rPr>
          <w:rFonts w:ascii="宋体" w:hAnsi="宋体" w:eastAsia="宋体" w:cs="宋体"/>
          <w:spacing w:val="8"/>
          <w:sz w:val="20"/>
          <w:szCs w:val="20"/>
        </w:rPr>
        <w:t>常规临床诊断时点(年龄)之间的时间间隔。如宫颈癌临床诊断的</w:t>
      </w:r>
      <w:r>
        <w:rPr>
          <w:rFonts w:ascii="宋体" w:hAnsi="宋体" w:eastAsia="宋体" w:cs="宋体"/>
          <w:spacing w:val="7"/>
          <w:sz w:val="20"/>
          <w:szCs w:val="20"/>
        </w:rPr>
        <w:t>平均年龄为50岁，如果患病人群</w:t>
      </w:r>
      <w:r>
        <w:rPr>
          <w:rFonts w:ascii="宋体" w:hAnsi="宋体" w:eastAsia="宋体" w:cs="宋体"/>
          <w:sz w:val="20"/>
          <w:szCs w:val="20"/>
        </w:rPr>
        <w:t xml:space="preserve"> </w:t>
      </w:r>
      <w:r>
        <w:rPr>
          <w:rFonts w:ascii="宋体" w:hAnsi="宋体" w:eastAsia="宋体" w:cs="宋体"/>
          <w:spacing w:val="10"/>
          <w:sz w:val="20"/>
          <w:szCs w:val="20"/>
        </w:rPr>
        <w:t>在30～50岁之间进行筛检，则平均诊断年龄可提前至45岁，领先时间为5年。</w:t>
      </w:r>
      <w:r>
        <w:rPr>
          <w:rFonts w:ascii="宋体" w:hAnsi="宋体" w:eastAsia="宋体" w:cs="宋体"/>
          <w:spacing w:val="9"/>
          <w:sz w:val="20"/>
          <w:szCs w:val="20"/>
        </w:rPr>
        <w:t>该间隔是疾病的自</w:t>
      </w:r>
      <w:r>
        <w:rPr>
          <w:rFonts w:ascii="宋体" w:hAnsi="宋体" w:eastAsia="宋体" w:cs="宋体"/>
          <w:sz w:val="20"/>
          <w:szCs w:val="20"/>
        </w:rPr>
        <w:t xml:space="preserve"> </w:t>
      </w:r>
      <w:r>
        <w:rPr>
          <w:rFonts w:ascii="宋体" w:hAnsi="宋体" w:eastAsia="宋体" w:cs="宋体"/>
          <w:spacing w:val="5"/>
          <w:sz w:val="20"/>
          <w:szCs w:val="20"/>
        </w:rPr>
        <w:t>然病程阶段，如果筛检只提前了发现疾病的时点，而并未改变筛检人群的死亡时点(年龄),也会观</w:t>
      </w:r>
      <w:r>
        <w:rPr>
          <w:rFonts w:ascii="宋体" w:hAnsi="宋体" w:eastAsia="宋体" w:cs="宋体"/>
          <w:spacing w:val="18"/>
          <w:sz w:val="20"/>
          <w:szCs w:val="20"/>
        </w:rPr>
        <w:t xml:space="preserve"> </w:t>
      </w:r>
      <w:r>
        <w:rPr>
          <w:rFonts w:ascii="宋体" w:hAnsi="宋体" w:eastAsia="宋体" w:cs="宋体"/>
          <w:spacing w:val="3"/>
          <w:sz w:val="20"/>
          <w:szCs w:val="20"/>
        </w:rPr>
        <w:t>察到筛检人群比不筛检人群生存时间更长的假象，即领先时间偏倚。因此，在以生命年为指标评价</w:t>
      </w:r>
      <w:r>
        <w:rPr>
          <w:rFonts w:ascii="宋体" w:hAnsi="宋体" w:eastAsia="宋体" w:cs="宋体"/>
          <w:spacing w:val="8"/>
          <w:sz w:val="20"/>
          <w:szCs w:val="20"/>
        </w:rPr>
        <w:t xml:space="preserve"> </w:t>
      </w:r>
      <w:r>
        <w:rPr>
          <w:rFonts w:ascii="宋体" w:hAnsi="宋体" w:eastAsia="宋体" w:cs="宋体"/>
          <w:spacing w:val="-2"/>
          <w:sz w:val="20"/>
          <w:szCs w:val="20"/>
        </w:rPr>
        <w:t>筛检效果时，应扣除领先时间，否则会高估筛检效果。</w:t>
      </w:r>
    </w:p>
    <w:p w14:paraId="6E3AF372">
      <w:pPr>
        <w:spacing w:before="162" w:line="302" w:lineRule="auto"/>
        <w:ind w:left="649" w:right="20" w:firstLine="430"/>
        <w:rPr>
          <w:rFonts w:ascii="宋体" w:hAnsi="宋体" w:eastAsia="宋体" w:cs="宋体"/>
          <w:sz w:val="20"/>
          <w:szCs w:val="20"/>
        </w:rPr>
      </w:pPr>
      <w:r>
        <w:rPr>
          <w:rFonts w:ascii="Times New Roman" w:hAnsi="Times New Roman" w:eastAsia="Times New Roman" w:cs="Times New Roman"/>
          <w:spacing w:val="7"/>
          <w:sz w:val="20"/>
          <w:szCs w:val="20"/>
        </w:rPr>
        <w:t>2.</w:t>
      </w:r>
      <w:r>
        <w:rPr>
          <w:rFonts w:ascii="Times New Roman" w:hAnsi="Times New Roman" w:eastAsia="Times New Roman" w:cs="Times New Roman"/>
          <w:spacing w:val="27"/>
          <w:w w:val="101"/>
          <w:sz w:val="20"/>
          <w:szCs w:val="20"/>
        </w:rPr>
        <w:t xml:space="preserve">  </w:t>
      </w:r>
      <w:r>
        <w:rPr>
          <w:rFonts w:ascii="宋体" w:hAnsi="宋体" w:eastAsia="宋体" w:cs="宋体"/>
          <w:spacing w:val="7"/>
          <w:sz w:val="20"/>
          <w:szCs w:val="20"/>
        </w:rPr>
        <w:t>病程偏倚</w:t>
      </w:r>
      <w:r>
        <w:rPr>
          <w:rFonts w:ascii="Times New Roman" w:hAnsi="Times New Roman" w:eastAsia="Times New Roman" w:cs="Times New Roman"/>
          <w:spacing w:val="7"/>
          <w:sz w:val="20"/>
          <w:szCs w:val="20"/>
        </w:rPr>
        <w:t>(</w:t>
      </w:r>
      <w:r>
        <w:rPr>
          <w:rFonts w:ascii="Times New Roman" w:hAnsi="Times New Roman" w:eastAsia="Times New Roman" w:cs="Times New Roman"/>
          <w:sz w:val="20"/>
          <w:szCs w:val="20"/>
        </w:rPr>
        <w:t>length</w:t>
      </w:r>
      <w:r>
        <w:rPr>
          <w:rFonts w:ascii="Times New Roman" w:hAnsi="Times New Roman" w:eastAsia="Times New Roman" w:cs="Times New Roman"/>
          <w:spacing w:val="7"/>
          <w:sz w:val="20"/>
          <w:szCs w:val="20"/>
        </w:rPr>
        <w:t xml:space="preserve">    </w:t>
      </w:r>
      <w:r>
        <w:rPr>
          <w:rFonts w:ascii="Times New Roman" w:hAnsi="Times New Roman" w:eastAsia="Times New Roman" w:cs="Times New Roman"/>
          <w:sz w:val="20"/>
          <w:szCs w:val="20"/>
        </w:rPr>
        <w:t>bias</w:t>
      </w:r>
      <w:r>
        <w:rPr>
          <w:rFonts w:ascii="Times New Roman" w:hAnsi="Times New Roman" w:eastAsia="Times New Roman" w:cs="Times New Roman"/>
          <w:spacing w:val="7"/>
          <w:sz w:val="20"/>
          <w:szCs w:val="20"/>
        </w:rPr>
        <w:t xml:space="preserve">)   </w:t>
      </w:r>
      <w:r>
        <w:rPr>
          <w:rFonts w:ascii="宋体" w:hAnsi="宋体" w:eastAsia="宋体" w:cs="宋体"/>
          <w:spacing w:val="7"/>
          <w:sz w:val="20"/>
          <w:szCs w:val="20"/>
        </w:rPr>
        <w:t>疾病被检出的可能性和疾病的进展速度有关。例如肺癌中非小细</w:t>
      </w:r>
      <w:r>
        <w:rPr>
          <w:rFonts w:ascii="宋体" w:hAnsi="宋体" w:eastAsia="宋体" w:cs="宋体"/>
          <w:sz w:val="20"/>
          <w:szCs w:val="20"/>
        </w:rPr>
        <w:t xml:space="preserve"> </w:t>
      </w:r>
      <w:r>
        <w:rPr>
          <w:rFonts w:ascii="宋体" w:hAnsi="宋体" w:eastAsia="宋体" w:cs="宋体"/>
          <w:spacing w:val="2"/>
          <w:sz w:val="20"/>
          <w:szCs w:val="20"/>
        </w:rPr>
        <w:t>胞癌恶性程度高，肿瘤增长速度快，在临床前期被筛检发现的机会较低；而腺癌的恶性程度低，筛</w:t>
      </w:r>
      <w:r>
        <w:rPr>
          <w:rFonts w:ascii="宋体" w:hAnsi="宋体" w:eastAsia="宋体" w:cs="宋体"/>
          <w:spacing w:val="6"/>
          <w:sz w:val="20"/>
          <w:szCs w:val="20"/>
        </w:rPr>
        <w:t xml:space="preserve">  </w:t>
      </w:r>
      <w:r>
        <w:rPr>
          <w:rFonts w:ascii="宋体" w:hAnsi="宋体" w:eastAsia="宋体" w:cs="宋体"/>
          <w:spacing w:val="10"/>
          <w:sz w:val="20"/>
          <w:szCs w:val="20"/>
        </w:rPr>
        <w:t>检能检出该亚类病人的概率较大。如果筛检组中</w:t>
      </w:r>
      <w:r>
        <w:rPr>
          <w:rFonts w:ascii="宋体" w:hAnsi="宋体" w:eastAsia="宋体" w:cs="宋体"/>
          <w:spacing w:val="9"/>
          <w:sz w:val="20"/>
          <w:szCs w:val="20"/>
        </w:rPr>
        <w:t>疾病进展缓慢的病人(肺腺癌病人)占较大比例，</w:t>
      </w:r>
    </w:p>
    <w:p w14:paraId="7C000D8E">
      <w:pPr>
        <w:spacing w:line="302" w:lineRule="auto"/>
        <w:rPr>
          <w:rFonts w:ascii="宋体" w:hAnsi="宋体" w:eastAsia="宋体" w:cs="宋体"/>
          <w:sz w:val="20"/>
          <w:szCs w:val="20"/>
        </w:rPr>
        <w:sectPr>
          <w:footerReference r:id="rId155" w:type="default"/>
          <w:pgSz w:w="11900" w:h="16820"/>
          <w:pgMar w:top="400" w:right="1519" w:bottom="817" w:left="899" w:header="0" w:footer="636" w:gutter="0"/>
          <w:cols w:space="720" w:num="1"/>
        </w:sectPr>
      </w:pPr>
    </w:p>
    <w:p w14:paraId="0E29D1D4">
      <w:pPr>
        <w:pStyle w:val="2"/>
        <w:spacing w:before="126" w:line="222" w:lineRule="auto"/>
        <w:ind w:left="7849"/>
        <w:rPr>
          <w:sz w:val="20"/>
          <w:szCs w:val="20"/>
        </w:rPr>
      </w:pPr>
      <w:r>
        <w:rPr>
          <w:spacing w:val="3"/>
          <w:sz w:val="20"/>
          <w:szCs w:val="20"/>
        </w:rPr>
        <w:t>第七章筛检</w:t>
      </w:r>
    </w:p>
    <w:p w14:paraId="71A621BF">
      <w:pPr>
        <w:spacing w:line="279" w:lineRule="auto"/>
        <w:rPr>
          <w:rFonts w:ascii="Arial"/>
          <w:sz w:val="21"/>
        </w:rPr>
      </w:pPr>
    </w:p>
    <w:p w14:paraId="41324993">
      <w:pPr>
        <w:spacing w:line="280" w:lineRule="auto"/>
        <w:rPr>
          <w:rFonts w:ascii="Arial"/>
          <w:sz w:val="21"/>
        </w:rPr>
      </w:pPr>
    </w:p>
    <w:p w14:paraId="71E14357">
      <w:pPr>
        <w:spacing w:before="65" w:line="336" w:lineRule="auto"/>
        <w:ind w:right="637"/>
        <w:rPr>
          <w:rFonts w:ascii="宋体" w:hAnsi="宋体" w:eastAsia="宋体" w:cs="宋体"/>
          <w:sz w:val="20"/>
          <w:szCs w:val="20"/>
        </w:rPr>
      </w:pPr>
      <w:r>
        <w:rPr>
          <w:rFonts w:ascii="宋体" w:hAnsi="宋体" w:eastAsia="宋体" w:cs="宋体"/>
          <w:spacing w:val="6"/>
          <w:sz w:val="20"/>
          <w:szCs w:val="20"/>
        </w:rPr>
        <w:t>可能观察到筛检组较未筛检组生存概率更高或生存时间更长。此时，筛检的</w:t>
      </w:r>
      <w:r>
        <w:rPr>
          <w:rFonts w:ascii="宋体" w:hAnsi="宋体" w:eastAsia="宋体" w:cs="宋体"/>
          <w:spacing w:val="5"/>
          <w:sz w:val="20"/>
          <w:szCs w:val="20"/>
        </w:rPr>
        <w:t>效果被高估了，即产生</w:t>
      </w:r>
      <w:r>
        <w:rPr>
          <w:rFonts w:ascii="宋体" w:hAnsi="宋体" w:eastAsia="宋体" w:cs="宋体"/>
          <w:sz w:val="20"/>
          <w:szCs w:val="20"/>
        </w:rPr>
        <w:t xml:space="preserve"> </w:t>
      </w:r>
      <w:r>
        <w:rPr>
          <w:rFonts w:ascii="宋体" w:hAnsi="宋体" w:eastAsia="宋体" w:cs="宋体"/>
          <w:spacing w:val="6"/>
          <w:sz w:val="20"/>
          <w:szCs w:val="20"/>
        </w:rPr>
        <w:t>了病程偏倚。</w:t>
      </w:r>
    </w:p>
    <w:p w14:paraId="436EE322">
      <w:pPr>
        <w:pStyle w:val="2"/>
        <w:spacing w:before="3" w:line="321" w:lineRule="auto"/>
        <w:ind w:right="611" w:firstLine="429"/>
        <w:rPr>
          <w:rFonts w:ascii="宋体" w:hAnsi="宋体" w:eastAsia="宋体" w:cs="宋体"/>
          <w:sz w:val="20"/>
          <w:szCs w:val="20"/>
        </w:rPr>
      </w:pPr>
      <w:r>
        <w:rPr>
          <w:rFonts w:ascii="Times New Roman" w:hAnsi="Times New Roman" w:eastAsia="Times New Roman" w:cs="Times New Roman"/>
          <w:spacing w:val="5"/>
          <w:sz w:val="20"/>
          <w:szCs w:val="20"/>
        </w:rPr>
        <w:t>3.</w:t>
      </w:r>
      <w:r>
        <w:rPr>
          <w:rFonts w:ascii="Times New Roman" w:hAnsi="Times New Roman" w:eastAsia="Times New Roman" w:cs="Times New Roman"/>
          <w:spacing w:val="24"/>
          <w:sz w:val="20"/>
          <w:szCs w:val="20"/>
        </w:rPr>
        <w:t xml:space="preserve">  </w:t>
      </w:r>
      <w:r>
        <w:rPr>
          <w:rFonts w:ascii="宋体" w:hAnsi="宋体" w:eastAsia="宋体" w:cs="宋体"/>
          <w:spacing w:val="5"/>
          <w:sz w:val="20"/>
          <w:szCs w:val="20"/>
        </w:rPr>
        <w:t>志愿者偏倚</w:t>
      </w:r>
      <w:r>
        <w:rPr>
          <w:spacing w:val="5"/>
          <w:sz w:val="20"/>
          <w:szCs w:val="20"/>
        </w:rPr>
        <w:t>(</w:t>
      </w:r>
      <w:r>
        <w:rPr>
          <w:rFonts w:ascii="Times New Roman" w:hAnsi="Times New Roman" w:eastAsia="Times New Roman" w:cs="Times New Roman"/>
          <w:sz w:val="20"/>
          <w:szCs w:val="20"/>
        </w:rPr>
        <w:t>volunteer</w:t>
      </w:r>
      <w:r>
        <w:rPr>
          <w:rFonts w:ascii="Times New Roman" w:hAnsi="Times New Roman" w:eastAsia="Times New Roman" w:cs="Times New Roman"/>
          <w:spacing w:val="5"/>
          <w:sz w:val="20"/>
          <w:szCs w:val="20"/>
        </w:rPr>
        <w:t xml:space="preserve">   </w:t>
      </w:r>
      <w:r>
        <w:rPr>
          <w:rFonts w:ascii="Times New Roman" w:hAnsi="Times New Roman" w:eastAsia="Times New Roman" w:cs="Times New Roman"/>
          <w:sz w:val="20"/>
          <w:szCs w:val="20"/>
        </w:rPr>
        <w:t>bias</w:t>
      </w:r>
      <w:r>
        <w:rPr>
          <w:rFonts w:ascii="Times New Roman" w:hAnsi="Times New Roman" w:eastAsia="Times New Roman" w:cs="Times New Roman"/>
          <w:spacing w:val="5"/>
          <w:sz w:val="20"/>
          <w:szCs w:val="20"/>
        </w:rPr>
        <w:t>)</w:t>
      </w:r>
      <w:r>
        <w:rPr>
          <w:rFonts w:ascii="Times New Roman" w:hAnsi="Times New Roman" w:eastAsia="Times New Roman" w:cs="Times New Roman"/>
          <w:spacing w:val="16"/>
          <w:sz w:val="20"/>
          <w:szCs w:val="20"/>
        </w:rPr>
        <w:t xml:space="preserve">  </w:t>
      </w:r>
      <w:r>
        <w:rPr>
          <w:rFonts w:ascii="宋体" w:hAnsi="宋体" w:eastAsia="宋体" w:cs="宋体"/>
          <w:spacing w:val="5"/>
          <w:sz w:val="20"/>
          <w:szCs w:val="20"/>
        </w:rPr>
        <w:t>健康行为可能决定筛检意愿，参加筛检者与不参加者相比可能</w:t>
      </w:r>
      <w:r>
        <w:rPr>
          <w:rFonts w:ascii="宋体" w:hAnsi="宋体" w:eastAsia="宋体" w:cs="宋体"/>
          <w:sz w:val="20"/>
          <w:szCs w:val="20"/>
        </w:rPr>
        <w:t xml:space="preserve"> </w:t>
      </w:r>
      <w:r>
        <w:rPr>
          <w:rFonts w:ascii="宋体" w:hAnsi="宋体" w:eastAsia="宋体" w:cs="宋体"/>
          <w:spacing w:val="1"/>
          <w:sz w:val="20"/>
          <w:szCs w:val="20"/>
        </w:rPr>
        <w:t>有更高的受教育程度、个人经济状况更好、更关注自身的健康、不良行为习惯的发生率较低，因此参</w:t>
      </w:r>
      <w:r>
        <w:rPr>
          <w:rFonts w:ascii="宋体" w:hAnsi="宋体" w:eastAsia="宋体" w:cs="宋体"/>
          <w:spacing w:val="4"/>
          <w:sz w:val="20"/>
          <w:szCs w:val="20"/>
        </w:rPr>
        <w:t xml:space="preserve"> </w:t>
      </w:r>
      <w:r>
        <w:rPr>
          <w:rFonts w:ascii="宋体" w:hAnsi="宋体" w:eastAsia="宋体" w:cs="宋体"/>
          <w:spacing w:val="6"/>
          <w:sz w:val="20"/>
          <w:szCs w:val="20"/>
        </w:rPr>
        <w:t>加筛检的人群总的发病或死亡风险可能低于不参加筛检人群；此外，主动参与筛检者对后续治疗的</w:t>
      </w:r>
      <w:r>
        <w:rPr>
          <w:rFonts w:ascii="宋体" w:hAnsi="宋体" w:eastAsia="宋体" w:cs="宋体"/>
          <w:spacing w:val="16"/>
          <w:sz w:val="20"/>
          <w:szCs w:val="20"/>
        </w:rPr>
        <w:t xml:space="preserve"> </w:t>
      </w:r>
      <w:r>
        <w:rPr>
          <w:rFonts w:ascii="宋体" w:hAnsi="宋体" w:eastAsia="宋体" w:cs="宋体"/>
          <w:spacing w:val="6"/>
          <w:sz w:val="20"/>
          <w:szCs w:val="20"/>
        </w:rPr>
        <w:t>顺应性更高。这些因素都可能使筛检人群的死亡风险低于不参与人群，导致筛检效</w:t>
      </w:r>
      <w:r>
        <w:rPr>
          <w:rFonts w:ascii="宋体" w:hAnsi="宋体" w:eastAsia="宋体" w:cs="宋体"/>
          <w:spacing w:val="5"/>
          <w:sz w:val="20"/>
          <w:szCs w:val="20"/>
        </w:rPr>
        <w:t>果被高估，即产</w:t>
      </w:r>
      <w:r>
        <w:rPr>
          <w:rFonts w:ascii="宋体" w:hAnsi="宋体" w:eastAsia="宋体" w:cs="宋体"/>
          <w:sz w:val="20"/>
          <w:szCs w:val="20"/>
        </w:rPr>
        <w:t xml:space="preserve"> </w:t>
      </w:r>
      <w:r>
        <w:rPr>
          <w:rFonts w:ascii="宋体" w:hAnsi="宋体" w:eastAsia="宋体" w:cs="宋体"/>
          <w:spacing w:val="11"/>
          <w:sz w:val="20"/>
          <w:szCs w:val="20"/>
        </w:rPr>
        <w:t>生了志愿者偏倚。</w:t>
      </w:r>
    </w:p>
    <w:p w14:paraId="63EB2F9B">
      <w:pPr>
        <w:spacing w:before="145" w:line="325" w:lineRule="auto"/>
        <w:ind w:right="630" w:firstLine="429"/>
        <w:rPr>
          <w:rFonts w:ascii="宋体" w:hAnsi="宋体" w:eastAsia="宋体" w:cs="宋体"/>
          <w:sz w:val="20"/>
          <w:szCs w:val="20"/>
        </w:rPr>
      </w:pPr>
      <w:r>
        <w:rPr>
          <w:rFonts w:ascii="宋体" w:hAnsi="宋体" w:eastAsia="宋体" w:cs="宋体"/>
          <w:spacing w:val="3"/>
          <w:sz w:val="20"/>
          <w:szCs w:val="20"/>
        </w:rPr>
        <w:t>4. 过度诊断偏倚(</w:t>
      </w:r>
      <w:r>
        <w:rPr>
          <w:rFonts w:ascii="宋体" w:hAnsi="宋体" w:eastAsia="宋体" w:cs="宋体"/>
          <w:sz w:val="20"/>
          <w:szCs w:val="20"/>
        </w:rPr>
        <w:t>over</w:t>
      </w:r>
      <w:r>
        <w:rPr>
          <w:rFonts w:ascii="宋体" w:hAnsi="宋体" w:eastAsia="宋体" w:cs="宋体"/>
          <w:spacing w:val="3"/>
          <w:sz w:val="20"/>
          <w:szCs w:val="20"/>
        </w:rPr>
        <w:t xml:space="preserve"> </w:t>
      </w:r>
      <w:r>
        <w:rPr>
          <w:rFonts w:ascii="宋体" w:hAnsi="宋体" w:eastAsia="宋体" w:cs="宋体"/>
          <w:sz w:val="20"/>
          <w:szCs w:val="20"/>
        </w:rPr>
        <w:t>diagnosis</w:t>
      </w:r>
      <w:r>
        <w:rPr>
          <w:rFonts w:ascii="宋体" w:hAnsi="宋体" w:eastAsia="宋体" w:cs="宋体"/>
          <w:spacing w:val="3"/>
          <w:sz w:val="20"/>
          <w:szCs w:val="20"/>
        </w:rPr>
        <w:t xml:space="preserve"> </w:t>
      </w:r>
      <w:r>
        <w:rPr>
          <w:rFonts w:ascii="宋体" w:hAnsi="宋体" w:eastAsia="宋体" w:cs="宋体"/>
          <w:sz w:val="20"/>
          <w:szCs w:val="20"/>
        </w:rPr>
        <w:t>bias</w:t>
      </w:r>
      <w:r>
        <w:rPr>
          <w:rFonts w:ascii="宋体" w:hAnsi="宋体" w:eastAsia="宋体" w:cs="宋体"/>
          <w:spacing w:val="3"/>
          <w:sz w:val="20"/>
          <w:szCs w:val="20"/>
        </w:rPr>
        <w:t>) 筛检发现的、提前诊断治疗但改善效果不明显的病例</w:t>
      </w:r>
      <w:r>
        <w:rPr>
          <w:rFonts w:ascii="宋体" w:hAnsi="宋体" w:eastAsia="宋体" w:cs="宋体"/>
          <w:spacing w:val="14"/>
          <w:sz w:val="20"/>
          <w:szCs w:val="20"/>
        </w:rPr>
        <w:t xml:space="preserve"> </w:t>
      </w:r>
      <w:r>
        <w:rPr>
          <w:rFonts w:ascii="宋体" w:hAnsi="宋体" w:eastAsia="宋体" w:cs="宋体"/>
          <w:spacing w:val="6"/>
          <w:sz w:val="20"/>
          <w:szCs w:val="20"/>
        </w:rPr>
        <w:t>会增加诊断治疗的负担，这种现象称为“过度诊断或治疗”。例如，筛</w:t>
      </w:r>
      <w:r>
        <w:rPr>
          <w:rFonts w:ascii="宋体" w:hAnsi="宋体" w:eastAsia="宋体" w:cs="宋体"/>
          <w:spacing w:val="5"/>
          <w:sz w:val="20"/>
          <w:szCs w:val="20"/>
        </w:rPr>
        <w:t>检出的病变正处在良性阶段</w:t>
      </w:r>
      <w:r>
        <w:rPr>
          <w:rFonts w:ascii="宋体" w:hAnsi="宋体" w:eastAsia="宋体" w:cs="宋体"/>
          <w:sz w:val="20"/>
          <w:szCs w:val="20"/>
        </w:rPr>
        <w:t xml:space="preserve"> </w:t>
      </w:r>
      <w:r>
        <w:rPr>
          <w:rFonts w:ascii="宋体" w:hAnsi="宋体" w:eastAsia="宋体" w:cs="宋体"/>
          <w:spacing w:val="7"/>
          <w:sz w:val="20"/>
          <w:szCs w:val="20"/>
        </w:rPr>
        <w:t>或可能逆转的微小疾病状态，如大多数宫颈癌的</w:t>
      </w:r>
      <w:r>
        <w:rPr>
          <w:rFonts w:ascii="Times New Roman" w:hAnsi="Times New Roman" w:eastAsia="Times New Roman" w:cs="Times New Roman"/>
          <w:sz w:val="20"/>
          <w:szCs w:val="20"/>
        </w:rPr>
        <w:t>CIN</w:t>
      </w:r>
      <w:r>
        <w:rPr>
          <w:rFonts w:ascii="Times New Roman" w:hAnsi="Times New Roman" w:eastAsia="Times New Roman" w:cs="Times New Roman"/>
          <w:spacing w:val="7"/>
          <w:sz w:val="20"/>
          <w:szCs w:val="20"/>
        </w:rPr>
        <w:t xml:space="preserve">   </w:t>
      </w:r>
      <w:r>
        <w:rPr>
          <w:rFonts w:ascii="Times New Roman" w:hAnsi="Times New Roman" w:eastAsia="Times New Roman" w:cs="Times New Roman"/>
          <w:sz w:val="20"/>
          <w:szCs w:val="20"/>
        </w:rPr>
        <w:t>I</w:t>
      </w:r>
      <w:r>
        <w:rPr>
          <w:rFonts w:ascii="宋体" w:hAnsi="宋体" w:eastAsia="宋体" w:cs="宋体"/>
          <w:spacing w:val="7"/>
          <w:sz w:val="20"/>
          <w:szCs w:val="20"/>
        </w:rPr>
        <w:t>阶段可自行康复</w:t>
      </w:r>
      <w:r>
        <w:rPr>
          <w:rFonts w:ascii="宋体" w:hAnsi="宋体" w:eastAsia="宋体" w:cs="宋体"/>
          <w:spacing w:val="6"/>
          <w:sz w:val="20"/>
          <w:szCs w:val="20"/>
        </w:rPr>
        <w:t>；或者病人病程停滞或进展</w:t>
      </w:r>
      <w:r>
        <w:rPr>
          <w:rFonts w:ascii="宋体" w:hAnsi="宋体" w:eastAsia="宋体" w:cs="宋体"/>
          <w:sz w:val="20"/>
          <w:szCs w:val="20"/>
        </w:rPr>
        <w:t xml:space="preserve"> </w:t>
      </w:r>
      <w:r>
        <w:rPr>
          <w:rFonts w:ascii="宋体" w:hAnsi="宋体" w:eastAsia="宋体" w:cs="宋体"/>
          <w:spacing w:val="2"/>
          <w:sz w:val="20"/>
          <w:szCs w:val="20"/>
        </w:rPr>
        <w:t>缓慢，如用</w:t>
      </w:r>
      <w:r>
        <w:rPr>
          <w:rFonts w:ascii="Times New Roman" w:hAnsi="Times New Roman" w:eastAsia="Times New Roman" w:cs="Times New Roman"/>
          <w:sz w:val="20"/>
          <w:szCs w:val="20"/>
        </w:rPr>
        <w:t>PSA</w:t>
      </w:r>
      <w:r>
        <w:rPr>
          <w:rFonts w:ascii="Times New Roman" w:hAnsi="Times New Roman" w:eastAsia="Times New Roman" w:cs="Times New Roman"/>
          <w:spacing w:val="44"/>
          <w:w w:val="101"/>
          <w:sz w:val="20"/>
          <w:szCs w:val="20"/>
        </w:rPr>
        <w:t xml:space="preserve"> </w:t>
      </w:r>
      <w:r>
        <w:rPr>
          <w:rFonts w:ascii="宋体" w:hAnsi="宋体" w:eastAsia="宋体" w:cs="宋体"/>
          <w:spacing w:val="2"/>
          <w:sz w:val="20"/>
          <w:szCs w:val="20"/>
        </w:rPr>
        <w:t>阳性筛检前列腺癌，多数老年前列腺癌病人疾病进展缓慢(即“惰性病例”),病人可</w:t>
      </w:r>
      <w:r>
        <w:rPr>
          <w:rFonts w:ascii="宋体" w:hAnsi="宋体" w:eastAsia="宋体" w:cs="宋体"/>
          <w:sz w:val="20"/>
          <w:szCs w:val="20"/>
        </w:rPr>
        <w:t xml:space="preserve"> </w:t>
      </w:r>
      <w:r>
        <w:rPr>
          <w:rFonts w:ascii="宋体" w:hAnsi="宋体" w:eastAsia="宋体" w:cs="宋体"/>
          <w:spacing w:val="6"/>
          <w:sz w:val="20"/>
          <w:szCs w:val="20"/>
        </w:rPr>
        <w:t>能在出现癌的临床症状前就死于其他竞争性疾病。如果“过度诊断或治疗</w:t>
      </w:r>
      <w:r>
        <w:rPr>
          <w:rFonts w:ascii="宋体" w:hAnsi="宋体" w:eastAsia="宋体" w:cs="宋体"/>
          <w:spacing w:val="5"/>
          <w:sz w:val="20"/>
          <w:szCs w:val="20"/>
        </w:rPr>
        <w:t>”病例被计入病人总体之</w:t>
      </w:r>
      <w:r>
        <w:rPr>
          <w:rFonts w:ascii="宋体" w:hAnsi="宋体" w:eastAsia="宋体" w:cs="宋体"/>
          <w:sz w:val="20"/>
          <w:szCs w:val="20"/>
        </w:rPr>
        <w:t xml:space="preserve"> </w:t>
      </w:r>
      <w:r>
        <w:rPr>
          <w:rFonts w:ascii="宋体" w:hAnsi="宋体" w:eastAsia="宋体" w:cs="宋体"/>
          <w:spacing w:val="5"/>
          <w:sz w:val="20"/>
          <w:szCs w:val="20"/>
        </w:rPr>
        <w:t>中，常常会导致经筛检发现的病人有较多的生存者或较长的平均生存期的假象，从而高估了筛检效</w:t>
      </w:r>
      <w:r>
        <w:rPr>
          <w:rFonts w:ascii="宋体" w:hAnsi="宋体" w:eastAsia="宋体" w:cs="宋体"/>
          <w:spacing w:val="12"/>
          <w:sz w:val="20"/>
          <w:szCs w:val="20"/>
        </w:rPr>
        <w:t xml:space="preserve"> </w:t>
      </w:r>
      <w:r>
        <w:rPr>
          <w:rFonts w:ascii="宋体" w:hAnsi="宋体" w:eastAsia="宋体" w:cs="宋体"/>
          <w:spacing w:val="3"/>
          <w:sz w:val="20"/>
          <w:szCs w:val="20"/>
        </w:rPr>
        <w:t>果，即产生了过度诊断偏倚。</w:t>
      </w:r>
    </w:p>
    <w:p w14:paraId="77B5C7B6">
      <w:pPr>
        <w:spacing w:line="246" w:lineRule="auto"/>
        <w:rPr>
          <w:rFonts w:ascii="Arial"/>
          <w:sz w:val="21"/>
        </w:rPr>
      </w:pPr>
    </w:p>
    <w:p w14:paraId="3AB63BA6">
      <w:pPr>
        <w:pStyle w:val="2"/>
        <w:spacing w:before="81" w:line="221" w:lineRule="auto"/>
        <w:ind w:left="433"/>
        <w:outlineLvl w:val="2"/>
        <w:rPr>
          <w:sz w:val="25"/>
          <w:szCs w:val="25"/>
        </w:rPr>
      </w:pPr>
      <w:bookmarkStart w:id="217" w:name="bookmark135"/>
      <w:bookmarkEnd w:id="217"/>
      <w:r>
        <w:rPr>
          <w:b/>
          <w:bCs/>
          <w:spacing w:val="-6"/>
          <w:sz w:val="25"/>
          <w:szCs w:val="25"/>
        </w:rPr>
        <w:t>三</w:t>
      </w:r>
      <w:r>
        <w:rPr>
          <w:spacing w:val="-57"/>
          <w:sz w:val="25"/>
          <w:szCs w:val="25"/>
        </w:rPr>
        <w:t xml:space="preserve"> </w:t>
      </w:r>
      <w:r>
        <w:rPr>
          <w:b/>
          <w:bCs/>
          <w:spacing w:val="-6"/>
          <w:sz w:val="25"/>
          <w:szCs w:val="25"/>
        </w:rPr>
        <w:t>、卫生经济学效果评价</w:t>
      </w:r>
    </w:p>
    <w:p w14:paraId="04242346">
      <w:pPr>
        <w:spacing w:before="246" w:line="344" w:lineRule="auto"/>
        <w:ind w:right="619" w:firstLine="429"/>
        <w:jc w:val="both"/>
        <w:rPr>
          <w:rFonts w:ascii="宋体" w:hAnsi="宋体" w:eastAsia="宋体" w:cs="宋体"/>
          <w:sz w:val="20"/>
          <w:szCs w:val="20"/>
        </w:rPr>
      </w:pPr>
      <w:r>
        <w:rPr>
          <w:rFonts w:ascii="宋体" w:hAnsi="宋体" w:eastAsia="宋体" w:cs="宋体"/>
          <w:spacing w:val="14"/>
          <w:sz w:val="20"/>
          <w:szCs w:val="20"/>
        </w:rPr>
        <w:t>疾病筛检是国家或地区的重要公共卫生服务项目，</w:t>
      </w:r>
      <w:r>
        <w:rPr>
          <w:rFonts w:ascii="宋体" w:hAnsi="宋体" w:eastAsia="宋体" w:cs="宋体"/>
          <w:sz w:val="20"/>
          <w:szCs w:val="20"/>
        </w:rPr>
        <w:t>WHO</w:t>
      </w:r>
      <w:r>
        <w:rPr>
          <w:rFonts w:ascii="宋体" w:hAnsi="宋体" w:eastAsia="宋体" w:cs="宋体"/>
          <w:spacing w:val="14"/>
          <w:sz w:val="20"/>
          <w:szCs w:val="20"/>
        </w:rPr>
        <w:t xml:space="preserve">  要求在实施</w:t>
      </w:r>
      <w:r>
        <w:rPr>
          <w:rFonts w:ascii="宋体" w:hAnsi="宋体" w:eastAsia="宋体" w:cs="宋体"/>
          <w:spacing w:val="13"/>
          <w:sz w:val="20"/>
          <w:szCs w:val="20"/>
        </w:rPr>
        <w:t>公共卫生服务项目过程</w:t>
      </w:r>
      <w:r>
        <w:rPr>
          <w:rFonts w:ascii="宋体" w:hAnsi="宋体" w:eastAsia="宋体" w:cs="宋体"/>
          <w:sz w:val="20"/>
          <w:szCs w:val="20"/>
        </w:rPr>
        <w:t xml:space="preserve"> </w:t>
      </w:r>
      <w:r>
        <w:rPr>
          <w:rFonts w:ascii="宋体" w:hAnsi="宋体" w:eastAsia="宋体" w:cs="宋体"/>
          <w:spacing w:val="8"/>
          <w:sz w:val="20"/>
          <w:szCs w:val="20"/>
        </w:rPr>
        <w:t>中，应开展相应的经济学评价，其目的在于优选出投入一定的资源(成本)后，获益(健</w:t>
      </w:r>
      <w:r>
        <w:rPr>
          <w:rFonts w:ascii="宋体" w:hAnsi="宋体" w:eastAsia="宋体" w:cs="宋体"/>
          <w:spacing w:val="7"/>
          <w:sz w:val="20"/>
          <w:szCs w:val="20"/>
        </w:rPr>
        <w:t>康产出或经</w:t>
      </w:r>
      <w:r>
        <w:rPr>
          <w:rFonts w:ascii="宋体" w:hAnsi="宋体" w:eastAsia="宋体" w:cs="宋体"/>
          <w:sz w:val="20"/>
          <w:szCs w:val="20"/>
        </w:rPr>
        <w:t xml:space="preserve"> </w:t>
      </w:r>
      <w:r>
        <w:rPr>
          <w:rFonts w:ascii="宋体" w:hAnsi="宋体" w:eastAsia="宋体" w:cs="宋体"/>
          <w:spacing w:val="4"/>
          <w:sz w:val="20"/>
          <w:szCs w:val="20"/>
        </w:rPr>
        <w:t>济产出)最大的筛检方案。筛检评估涉及成本、效果、效用和效益的综合分析。</w:t>
      </w:r>
    </w:p>
    <w:p w14:paraId="02D1C288">
      <w:pPr>
        <w:spacing w:line="280" w:lineRule="auto"/>
        <w:ind w:right="628" w:firstLine="429"/>
        <w:rPr>
          <w:rFonts w:ascii="宋体" w:hAnsi="宋体" w:eastAsia="宋体" w:cs="宋体"/>
          <w:sz w:val="20"/>
          <w:szCs w:val="20"/>
        </w:rPr>
      </w:pPr>
      <w:r>
        <w:rPr>
          <w:rFonts w:ascii="宋体" w:hAnsi="宋体" w:eastAsia="宋体" w:cs="宋体"/>
          <w:spacing w:val="5"/>
          <w:sz w:val="20"/>
          <w:szCs w:val="20"/>
        </w:rPr>
        <w:t>1. 成</w:t>
      </w:r>
      <w:r>
        <w:rPr>
          <w:rFonts w:ascii="宋体" w:hAnsi="宋体" w:eastAsia="宋体" w:cs="宋体"/>
          <w:spacing w:val="-22"/>
          <w:sz w:val="20"/>
          <w:szCs w:val="20"/>
        </w:rPr>
        <w:t xml:space="preserve"> </w:t>
      </w:r>
      <w:r>
        <w:rPr>
          <w:rFonts w:ascii="宋体" w:hAnsi="宋体" w:eastAsia="宋体" w:cs="宋体"/>
          <w:spacing w:val="5"/>
          <w:sz w:val="20"/>
          <w:szCs w:val="20"/>
        </w:rPr>
        <w:t>本(</w:t>
      </w:r>
      <w:r>
        <w:rPr>
          <w:rFonts w:ascii="宋体" w:hAnsi="宋体" w:eastAsia="宋体" w:cs="宋体"/>
          <w:sz w:val="20"/>
          <w:szCs w:val="20"/>
        </w:rPr>
        <w:t>cost</w:t>
      </w:r>
      <w:r>
        <w:rPr>
          <w:rFonts w:ascii="宋体" w:hAnsi="宋体" w:eastAsia="宋体" w:cs="宋体"/>
          <w:spacing w:val="5"/>
          <w:sz w:val="20"/>
          <w:szCs w:val="20"/>
        </w:rPr>
        <w:t>)</w:t>
      </w:r>
      <w:r>
        <w:rPr>
          <w:rFonts w:ascii="宋体" w:hAnsi="宋体" w:eastAsia="宋体" w:cs="宋体"/>
          <w:spacing w:val="53"/>
          <w:sz w:val="20"/>
          <w:szCs w:val="20"/>
        </w:rPr>
        <w:t xml:space="preserve"> </w:t>
      </w:r>
      <w:r>
        <w:rPr>
          <w:rFonts w:ascii="宋体" w:hAnsi="宋体" w:eastAsia="宋体" w:cs="宋体"/>
          <w:spacing w:val="5"/>
          <w:sz w:val="20"/>
          <w:szCs w:val="20"/>
        </w:rPr>
        <w:t>筛检成本是提供卫生服务过程中所消耗的资源。筛检成本</w:t>
      </w:r>
      <w:r>
        <w:rPr>
          <w:rFonts w:ascii="宋体" w:hAnsi="宋体" w:eastAsia="宋体" w:cs="宋体"/>
          <w:spacing w:val="4"/>
          <w:sz w:val="20"/>
          <w:szCs w:val="20"/>
        </w:rPr>
        <w:t>包括项目成本(项目</w:t>
      </w:r>
      <w:r>
        <w:rPr>
          <w:rFonts w:ascii="宋体" w:hAnsi="宋体" w:eastAsia="宋体" w:cs="宋体"/>
          <w:sz w:val="20"/>
          <w:szCs w:val="20"/>
        </w:rPr>
        <w:t xml:space="preserve"> </w:t>
      </w:r>
      <w:r>
        <w:rPr>
          <w:rFonts w:ascii="宋体" w:hAnsi="宋体" w:eastAsia="宋体" w:cs="宋体"/>
          <w:spacing w:val="-2"/>
          <w:sz w:val="20"/>
          <w:szCs w:val="20"/>
        </w:rPr>
        <w:t>培训、管理、组织的费用)、个人直接成本(诊治、交通或陪护等费用)和个人间接成本(误工损失)等。</w:t>
      </w:r>
    </w:p>
    <w:p w14:paraId="12732950">
      <w:pPr>
        <w:spacing w:before="129" w:line="305" w:lineRule="auto"/>
        <w:ind w:right="615" w:firstLine="432"/>
        <w:rPr>
          <w:rFonts w:ascii="宋体" w:hAnsi="宋体" w:eastAsia="宋体" w:cs="宋体"/>
          <w:sz w:val="20"/>
          <w:szCs w:val="20"/>
        </w:rPr>
      </w:pPr>
      <w:r>
        <w:rPr>
          <w:rFonts w:ascii="宋体" w:hAnsi="宋体" w:eastAsia="宋体" w:cs="宋体"/>
          <w:b/>
          <w:bCs/>
          <w:spacing w:val="1"/>
          <w:sz w:val="20"/>
          <w:szCs w:val="20"/>
        </w:rPr>
        <w:t>2.</w:t>
      </w:r>
      <w:r>
        <w:rPr>
          <w:rFonts w:ascii="宋体" w:hAnsi="宋体" w:eastAsia="宋体" w:cs="宋体"/>
          <w:spacing w:val="1"/>
          <w:sz w:val="20"/>
          <w:szCs w:val="20"/>
        </w:rPr>
        <w:t xml:space="preserve"> </w:t>
      </w:r>
      <w:r>
        <w:rPr>
          <w:rFonts w:ascii="宋体" w:hAnsi="宋体" w:eastAsia="宋体" w:cs="宋体"/>
          <w:b/>
          <w:bCs/>
          <w:spacing w:val="1"/>
          <w:sz w:val="20"/>
          <w:szCs w:val="20"/>
        </w:rPr>
        <w:t>成本-效果分析</w:t>
      </w:r>
      <w:r>
        <w:rPr>
          <w:rFonts w:ascii="宋体" w:hAnsi="宋体" w:eastAsia="宋体" w:cs="宋体"/>
          <w:spacing w:val="1"/>
          <w:sz w:val="20"/>
          <w:szCs w:val="20"/>
        </w:rPr>
        <w:t xml:space="preserve">  效</w:t>
      </w:r>
      <w:r>
        <w:rPr>
          <w:rFonts w:ascii="宋体" w:hAnsi="宋体" w:eastAsia="宋体" w:cs="宋体"/>
          <w:spacing w:val="-21"/>
          <w:sz w:val="20"/>
          <w:szCs w:val="20"/>
        </w:rPr>
        <w:t xml:space="preserve"> </w:t>
      </w:r>
      <w:r>
        <w:rPr>
          <w:rFonts w:ascii="宋体" w:hAnsi="宋体" w:eastAsia="宋体" w:cs="宋体"/>
          <w:spacing w:val="1"/>
          <w:sz w:val="20"/>
          <w:szCs w:val="20"/>
        </w:rPr>
        <w:t>果(</w:t>
      </w:r>
      <w:r>
        <w:rPr>
          <w:rFonts w:ascii="宋体" w:hAnsi="宋体" w:eastAsia="宋体" w:cs="宋体"/>
          <w:sz w:val="20"/>
          <w:szCs w:val="20"/>
        </w:rPr>
        <w:t>effectiveness</w:t>
      </w:r>
      <w:r>
        <w:rPr>
          <w:rFonts w:ascii="宋体" w:hAnsi="宋体" w:eastAsia="宋体" w:cs="宋体"/>
          <w:spacing w:val="1"/>
          <w:sz w:val="20"/>
          <w:szCs w:val="20"/>
        </w:rPr>
        <w:t>)指在筛检项目开展后，健康改善方面所取得的生物学</w:t>
      </w:r>
      <w:r>
        <w:rPr>
          <w:rFonts w:ascii="宋体" w:hAnsi="宋体" w:eastAsia="宋体" w:cs="宋体"/>
          <w:sz w:val="20"/>
          <w:szCs w:val="20"/>
        </w:rPr>
        <w:t xml:space="preserve"> </w:t>
      </w:r>
      <w:r>
        <w:rPr>
          <w:rFonts w:ascii="宋体" w:hAnsi="宋体" w:eastAsia="宋体" w:cs="宋体"/>
          <w:spacing w:val="3"/>
          <w:sz w:val="20"/>
          <w:szCs w:val="20"/>
        </w:rPr>
        <w:t>效果，如复发率、死亡率下降，生存期延长。评价指标为成本效果比</w:t>
      </w:r>
      <w:r>
        <w:rPr>
          <w:rFonts w:ascii="Times New Roman" w:hAnsi="Times New Roman" w:eastAsia="Times New Roman" w:cs="Times New Roman"/>
          <w:spacing w:val="3"/>
          <w:sz w:val="20"/>
          <w:szCs w:val="20"/>
        </w:rPr>
        <w:t>(</w:t>
      </w:r>
      <w:r>
        <w:rPr>
          <w:rFonts w:ascii="Times New Roman" w:hAnsi="Times New Roman" w:eastAsia="Times New Roman" w:cs="Times New Roman"/>
          <w:sz w:val="20"/>
          <w:szCs w:val="20"/>
        </w:rPr>
        <w:t>cost</w:t>
      </w:r>
      <w:r>
        <w:rPr>
          <w:rFonts w:ascii="Times New Roman" w:hAnsi="Times New Roman" w:eastAsia="Times New Roman" w:cs="Times New Roman"/>
          <w:spacing w:val="3"/>
          <w:sz w:val="20"/>
          <w:szCs w:val="20"/>
        </w:rPr>
        <w:t>-</w:t>
      </w:r>
      <w:r>
        <w:rPr>
          <w:rFonts w:ascii="Times New Roman" w:hAnsi="Times New Roman" w:eastAsia="Times New Roman" w:cs="Times New Roman"/>
          <w:sz w:val="20"/>
          <w:szCs w:val="20"/>
        </w:rPr>
        <w:t>effectiveness</w:t>
      </w:r>
      <w:r>
        <w:rPr>
          <w:rFonts w:ascii="Times New Roman" w:hAnsi="Times New Roman" w:eastAsia="Times New Roman" w:cs="Times New Roman"/>
          <w:spacing w:val="3"/>
          <w:sz w:val="20"/>
          <w:szCs w:val="20"/>
        </w:rPr>
        <w:t xml:space="preserve">      </w:t>
      </w:r>
      <w:r>
        <w:rPr>
          <w:rFonts w:ascii="Times New Roman" w:hAnsi="Times New Roman" w:eastAsia="Times New Roman" w:cs="Times New Roman"/>
          <w:sz w:val="20"/>
          <w:szCs w:val="20"/>
        </w:rPr>
        <w:t>ratio</w:t>
      </w:r>
      <w:r>
        <w:rPr>
          <w:rFonts w:ascii="Times New Roman" w:hAnsi="Times New Roman" w:eastAsia="Times New Roman" w:cs="Times New Roman"/>
          <w:spacing w:val="3"/>
          <w:sz w:val="20"/>
          <w:szCs w:val="20"/>
        </w:rPr>
        <w:t>,</w:t>
      </w:r>
      <w:r>
        <w:rPr>
          <w:rFonts w:ascii="Times New Roman" w:hAnsi="Times New Roman" w:eastAsia="Times New Roman" w:cs="Times New Roman"/>
          <w:sz w:val="20"/>
          <w:szCs w:val="20"/>
        </w:rPr>
        <w:t>CER</w:t>
      </w:r>
      <w:r>
        <w:rPr>
          <w:rFonts w:ascii="Times New Roman" w:hAnsi="Times New Roman" w:eastAsia="Times New Roman" w:cs="Times New Roman"/>
          <w:spacing w:val="3"/>
          <w:sz w:val="20"/>
          <w:szCs w:val="20"/>
        </w:rPr>
        <w:t>),</w:t>
      </w:r>
      <w:r>
        <w:rPr>
          <w:rFonts w:ascii="Times New Roman" w:hAnsi="Times New Roman" w:eastAsia="Times New Roman" w:cs="Times New Roman"/>
          <w:spacing w:val="4"/>
          <w:sz w:val="20"/>
          <w:szCs w:val="20"/>
        </w:rPr>
        <w:t xml:space="preserve"> </w:t>
      </w:r>
      <w:r>
        <w:rPr>
          <w:rFonts w:ascii="宋体" w:hAnsi="宋体" w:eastAsia="宋体" w:cs="宋体"/>
          <w:spacing w:val="5"/>
          <w:sz w:val="20"/>
          <w:szCs w:val="20"/>
        </w:rPr>
        <w:t>即每延长一年健康生命年所花费的成本。</w:t>
      </w:r>
      <w:r>
        <w:rPr>
          <w:rFonts w:ascii="宋体" w:hAnsi="宋体" w:eastAsia="宋体" w:cs="宋体"/>
          <w:spacing w:val="49"/>
          <w:sz w:val="20"/>
          <w:szCs w:val="20"/>
        </w:rPr>
        <w:t xml:space="preserve"> </w:t>
      </w:r>
      <w:r>
        <w:rPr>
          <w:rFonts w:ascii="宋体" w:hAnsi="宋体" w:eastAsia="宋体" w:cs="宋体"/>
          <w:spacing w:val="5"/>
          <w:sz w:val="20"/>
          <w:szCs w:val="20"/>
        </w:rPr>
        <w:t>一般认为，延长一</w:t>
      </w:r>
      <w:r>
        <w:rPr>
          <w:rFonts w:ascii="宋体" w:hAnsi="宋体" w:eastAsia="宋体" w:cs="宋体"/>
          <w:spacing w:val="4"/>
          <w:sz w:val="20"/>
          <w:szCs w:val="20"/>
        </w:rPr>
        <w:t>个健康生命年，筛检花费不超过3倍人</w:t>
      </w:r>
      <w:r>
        <w:rPr>
          <w:rFonts w:ascii="宋体" w:hAnsi="宋体" w:eastAsia="宋体" w:cs="宋体"/>
          <w:sz w:val="20"/>
          <w:szCs w:val="20"/>
        </w:rPr>
        <w:t xml:space="preserve"> </w:t>
      </w:r>
      <w:r>
        <w:rPr>
          <w:rFonts w:ascii="宋体" w:hAnsi="宋体" w:eastAsia="宋体" w:cs="宋体"/>
          <w:spacing w:val="8"/>
          <w:sz w:val="20"/>
          <w:szCs w:val="20"/>
        </w:rPr>
        <w:t>年均国内生产总值</w:t>
      </w:r>
      <w:r>
        <w:rPr>
          <w:rFonts w:ascii="Times New Roman" w:hAnsi="Times New Roman" w:eastAsia="Times New Roman" w:cs="Times New Roman"/>
          <w:spacing w:val="8"/>
          <w:sz w:val="20"/>
          <w:szCs w:val="20"/>
        </w:rPr>
        <w:t>(</w:t>
      </w:r>
      <w:r>
        <w:rPr>
          <w:rFonts w:ascii="Times New Roman" w:hAnsi="Times New Roman" w:eastAsia="Times New Roman" w:cs="Times New Roman"/>
          <w:sz w:val="20"/>
          <w:szCs w:val="20"/>
        </w:rPr>
        <w:t>GDP</w:t>
      </w:r>
      <w:r>
        <w:rPr>
          <w:rFonts w:ascii="Times New Roman" w:hAnsi="Times New Roman" w:eastAsia="Times New Roman" w:cs="Times New Roman"/>
          <w:spacing w:val="8"/>
          <w:sz w:val="20"/>
          <w:szCs w:val="20"/>
        </w:rPr>
        <w:t>)</w:t>
      </w:r>
      <w:r>
        <w:rPr>
          <w:rFonts w:ascii="Times New Roman" w:hAnsi="Times New Roman" w:eastAsia="Times New Roman" w:cs="Times New Roman"/>
          <w:spacing w:val="37"/>
          <w:w w:val="101"/>
          <w:sz w:val="20"/>
          <w:szCs w:val="20"/>
        </w:rPr>
        <w:t xml:space="preserve"> </w:t>
      </w:r>
      <w:r>
        <w:rPr>
          <w:rFonts w:ascii="宋体" w:hAnsi="宋体" w:eastAsia="宋体" w:cs="宋体"/>
          <w:spacing w:val="8"/>
          <w:sz w:val="20"/>
          <w:szCs w:val="20"/>
        </w:rPr>
        <w:t>是可接受的。</w:t>
      </w:r>
    </w:p>
    <w:p w14:paraId="65083F7B">
      <w:pPr>
        <w:pStyle w:val="2"/>
        <w:spacing w:before="148" w:line="310" w:lineRule="auto"/>
        <w:ind w:right="631" w:firstLine="432"/>
        <w:rPr>
          <w:rFonts w:ascii="宋体" w:hAnsi="宋体" w:eastAsia="宋体" w:cs="宋体"/>
          <w:sz w:val="20"/>
          <w:szCs w:val="20"/>
        </w:rPr>
      </w:pPr>
      <w:r>
        <w:rPr>
          <w:rFonts w:ascii="宋体" w:hAnsi="宋体" w:eastAsia="宋体" w:cs="宋体"/>
          <w:b/>
          <w:bCs/>
          <w:sz w:val="20"/>
          <w:szCs w:val="20"/>
        </w:rPr>
        <w:t>3.</w:t>
      </w:r>
      <w:r>
        <w:rPr>
          <w:rFonts w:ascii="宋体" w:hAnsi="宋体" w:eastAsia="宋体" w:cs="宋体"/>
          <w:sz w:val="20"/>
          <w:szCs w:val="20"/>
        </w:rPr>
        <w:t xml:space="preserve"> </w:t>
      </w:r>
      <w:r>
        <w:rPr>
          <w:b/>
          <w:bCs/>
          <w:sz w:val="20"/>
          <w:szCs w:val="20"/>
        </w:rPr>
        <w:t>成本-效用分析</w:t>
      </w:r>
      <w:r>
        <w:rPr>
          <w:spacing w:val="102"/>
          <w:sz w:val="20"/>
          <w:szCs w:val="20"/>
        </w:rPr>
        <w:t xml:space="preserve"> </w:t>
      </w:r>
      <w:r>
        <w:rPr>
          <w:rFonts w:ascii="宋体" w:hAnsi="宋体" w:eastAsia="宋体" w:cs="宋体"/>
          <w:sz w:val="20"/>
          <w:szCs w:val="20"/>
        </w:rPr>
        <w:t xml:space="preserve">效 用(utility)是综合了生物学效果、人们对结果的主观感受和功能状况的 </w:t>
      </w:r>
      <w:r>
        <w:rPr>
          <w:rFonts w:ascii="宋体" w:hAnsi="宋体" w:eastAsia="宋体" w:cs="宋体"/>
          <w:spacing w:val="-2"/>
          <w:sz w:val="20"/>
          <w:szCs w:val="20"/>
        </w:rPr>
        <w:t>指标。简单地说，它不仅关心病人能存活多久，还关心存活的质量。如以寿命年(life expectancy)作</w:t>
      </w:r>
      <w:r>
        <w:rPr>
          <w:rFonts w:ascii="宋体" w:hAnsi="宋体" w:eastAsia="宋体" w:cs="宋体"/>
          <w:spacing w:val="16"/>
          <w:sz w:val="20"/>
          <w:szCs w:val="20"/>
        </w:rPr>
        <w:t xml:space="preserve"> </w:t>
      </w:r>
      <w:r>
        <w:rPr>
          <w:rFonts w:ascii="宋体" w:hAnsi="宋体" w:eastAsia="宋体" w:cs="宋体"/>
          <w:spacing w:val="6"/>
          <w:sz w:val="20"/>
          <w:szCs w:val="20"/>
        </w:rPr>
        <w:t>为观察指标，考虑到疾病对病人生命质量的影响</w:t>
      </w:r>
      <w:r>
        <w:rPr>
          <w:rFonts w:ascii="宋体" w:hAnsi="宋体" w:eastAsia="宋体" w:cs="宋体"/>
          <w:spacing w:val="5"/>
          <w:sz w:val="20"/>
          <w:szCs w:val="20"/>
        </w:rPr>
        <w:t>，则应测量质量调整寿命年</w:t>
      </w:r>
      <w:r>
        <w:rPr>
          <w:rFonts w:ascii="Times New Roman" w:hAnsi="Times New Roman" w:eastAsia="Times New Roman" w:cs="Times New Roman"/>
          <w:spacing w:val="5"/>
          <w:sz w:val="20"/>
          <w:szCs w:val="20"/>
        </w:rPr>
        <w:t>(</w:t>
      </w:r>
      <w:r>
        <w:rPr>
          <w:rFonts w:ascii="Times New Roman" w:hAnsi="Times New Roman" w:eastAsia="Times New Roman" w:cs="Times New Roman"/>
          <w:sz w:val="20"/>
          <w:szCs w:val="20"/>
        </w:rPr>
        <w:t>QALY</w:t>
      </w:r>
      <w:r>
        <w:rPr>
          <w:rFonts w:ascii="Times New Roman" w:hAnsi="Times New Roman" w:eastAsia="Times New Roman" w:cs="Times New Roman"/>
          <w:spacing w:val="5"/>
          <w:sz w:val="20"/>
          <w:szCs w:val="20"/>
        </w:rPr>
        <w:t>)</w:t>
      </w:r>
      <w:r>
        <w:rPr>
          <w:rFonts w:ascii="Times New Roman" w:hAnsi="Times New Roman" w:eastAsia="Times New Roman" w:cs="Times New Roman"/>
          <w:spacing w:val="-23"/>
          <w:sz w:val="20"/>
          <w:szCs w:val="20"/>
        </w:rPr>
        <w:t xml:space="preserve"> </w:t>
      </w:r>
      <w:r>
        <w:rPr>
          <w:rFonts w:ascii="宋体" w:hAnsi="宋体" w:eastAsia="宋体" w:cs="宋体"/>
          <w:spacing w:val="5"/>
          <w:sz w:val="20"/>
          <w:szCs w:val="20"/>
        </w:rPr>
        <w:t>。成本-效用分</w:t>
      </w:r>
      <w:r>
        <w:rPr>
          <w:rFonts w:ascii="宋体" w:hAnsi="宋体" w:eastAsia="宋体" w:cs="宋体"/>
          <w:sz w:val="20"/>
          <w:szCs w:val="20"/>
        </w:rPr>
        <w:t xml:space="preserve"> </w:t>
      </w:r>
      <w:r>
        <w:rPr>
          <w:rFonts w:ascii="宋体" w:hAnsi="宋体" w:eastAsia="宋体" w:cs="宋体"/>
          <w:spacing w:val="-7"/>
          <w:sz w:val="20"/>
          <w:szCs w:val="20"/>
        </w:rPr>
        <w:t>析的指标为成本效用比(cost-utility ratio,CUR)。</w:t>
      </w:r>
    </w:p>
    <w:p w14:paraId="6067E600">
      <w:pPr>
        <w:pStyle w:val="2"/>
        <w:spacing w:before="129" w:line="295" w:lineRule="auto"/>
        <w:ind w:right="634" w:firstLine="429"/>
        <w:rPr>
          <w:rFonts w:ascii="宋体" w:hAnsi="宋体" w:eastAsia="宋体" w:cs="宋体"/>
          <w:sz w:val="20"/>
          <w:szCs w:val="20"/>
        </w:rPr>
      </w:pPr>
      <w:r>
        <w:rPr>
          <w:rFonts w:ascii="Times New Roman" w:hAnsi="Times New Roman" w:eastAsia="Times New Roman" w:cs="Times New Roman"/>
          <w:spacing w:val="11"/>
          <w:sz w:val="20"/>
          <w:szCs w:val="20"/>
        </w:rPr>
        <w:t xml:space="preserve">4.   </w:t>
      </w:r>
      <w:r>
        <w:rPr>
          <w:spacing w:val="11"/>
          <w:sz w:val="20"/>
          <w:szCs w:val="20"/>
        </w:rPr>
        <w:t>成本-效益分析</w:t>
      </w:r>
      <w:r>
        <w:rPr>
          <w:spacing w:val="99"/>
          <w:sz w:val="20"/>
          <w:szCs w:val="20"/>
        </w:rPr>
        <w:t xml:space="preserve"> </w:t>
      </w:r>
      <w:r>
        <w:rPr>
          <w:rFonts w:ascii="宋体" w:hAnsi="宋体" w:eastAsia="宋体" w:cs="宋体"/>
          <w:spacing w:val="11"/>
          <w:sz w:val="20"/>
          <w:szCs w:val="20"/>
        </w:rPr>
        <w:t>效 益</w:t>
      </w:r>
      <w:r>
        <w:rPr>
          <w:rFonts w:ascii="Times New Roman" w:hAnsi="Times New Roman" w:eastAsia="Times New Roman" w:cs="Times New Roman"/>
          <w:spacing w:val="11"/>
          <w:sz w:val="20"/>
          <w:szCs w:val="20"/>
        </w:rPr>
        <w:t>(</w:t>
      </w:r>
      <w:r>
        <w:rPr>
          <w:rFonts w:ascii="Times New Roman" w:hAnsi="Times New Roman" w:eastAsia="Times New Roman" w:cs="Times New Roman"/>
          <w:sz w:val="20"/>
          <w:szCs w:val="20"/>
        </w:rPr>
        <w:t>benefit</w:t>
      </w:r>
      <w:r>
        <w:rPr>
          <w:rFonts w:ascii="Times New Roman" w:hAnsi="Times New Roman" w:eastAsia="Times New Roman" w:cs="Times New Roman"/>
          <w:spacing w:val="11"/>
          <w:sz w:val="20"/>
          <w:szCs w:val="20"/>
        </w:rPr>
        <w:t xml:space="preserve">)   </w:t>
      </w:r>
      <w:r>
        <w:rPr>
          <w:rFonts w:ascii="宋体" w:hAnsi="宋体" w:eastAsia="宋体" w:cs="宋体"/>
          <w:spacing w:val="11"/>
          <w:sz w:val="20"/>
          <w:szCs w:val="20"/>
        </w:rPr>
        <w:t>是指将健康改善的结局用货币价值来衡量。成本效益比</w:t>
      </w:r>
      <w:r>
        <w:rPr>
          <w:rFonts w:ascii="宋体" w:hAnsi="宋体" w:eastAsia="宋体" w:cs="宋体"/>
          <w:sz w:val="20"/>
          <w:szCs w:val="20"/>
        </w:rPr>
        <w:t xml:space="preserve"> </w:t>
      </w:r>
      <w:r>
        <w:rPr>
          <w:rFonts w:ascii="Times New Roman" w:hAnsi="Times New Roman" w:eastAsia="Times New Roman" w:cs="Times New Roman"/>
          <w:spacing w:val="6"/>
          <w:sz w:val="20"/>
          <w:szCs w:val="20"/>
        </w:rPr>
        <w:t>(</w:t>
      </w:r>
      <w:r>
        <w:rPr>
          <w:rFonts w:ascii="Times New Roman" w:hAnsi="Times New Roman" w:eastAsia="Times New Roman" w:cs="Times New Roman"/>
          <w:sz w:val="20"/>
          <w:szCs w:val="20"/>
        </w:rPr>
        <w:t>cost</w:t>
      </w:r>
      <w:r>
        <w:rPr>
          <w:rFonts w:ascii="Times New Roman" w:hAnsi="Times New Roman" w:eastAsia="Times New Roman" w:cs="Times New Roman"/>
          <w:spacing w:val="6"/>
          <w:sz w:val="20"/>
          <w:szCs w:val="20"/>
        </w:rPr>
        <w:t>-</w:t>
      </w:r>
      <w:r>
        <w:rPr>
          <w:rFonts w:ascii="Times New Roman" w:hAnsi="Times New Roman" w:eastAsia="Times New Roman" w:cs="Times New Roman"/>
          <w:sz w:val="20"/>
          <w:szCs w:val="20"/>
        </w:rPr>
        <w:t>benefit</w:t>
      </w:r>
      <w:r>
        <w:rPr>
          <w:rFonts w:ascii="Times New Roman" w:hAnsi="Times New Roman" w:eastAsia="Times New Roman" w:cs="Times New Roman"/>
          <w:spacing w:val="6"/>
          <w:sz w:val="20"/>
          <w:szCs w:val="20"/>
        </w:rPr>
        <w:t xml:space="preserve">      </w:t>
      </w:r>
      <w:r>
        <w:rPr>
          <w:rFonts w:ascii="Times New Roman" w:hAnsi="Times New Roman" w:eastAsia="Times New Roman" w:cs="Times New Roman"/>
          <w:sz w:val="20"/>
          <w:szCs w:val="20"/>
        </w:rPr>
        <w:t>ratio</w:t>
      </w:r>
      <w:r>
        <w:rPr>
          <w:rFonts w:ascii="Times New Roman" w:hAnsi="Times New Roman" w:eastAsia="Times New Roman" w:cs="Times New Roman"/>
          <w:spacing w:val="6"/>
          <w:sz w:val="20"/>
          <w:szCs w:val="20"/>
        </w:rPr>
        <w:t>,</w:t>
      </w:r>
      <w:r>
        <w:rPr>
          <w:rFonts w:ascii="Times New Roman" w:hAnsi="Times New Roman" w:eastAsia="Times New Roman" w:cs="Times New Roman"/>
          <w:sz w:val="20"/>
          <w:szCs w:val="20"/>
        </w:rPr>
        <w:t>CBR</w:t>
      </w:r>
      <w:r>
        <w:rPr>
          <w:rFonts w:ascii="Times New Roman" w:hAnsi="Times New Roman" w:eastAsia="Times New Roman" w:cs="Times New Roman"/>
          <w:spacing w:val="6"/>
          <w:sz w:val="20"/>
          <w:szCs w:val="20"/>
        </w:rPr>
        <w:t>)</w:t>
      </w:r>
      <w:r>
        <w:rPr>
          <w:rFonts w:ascii="宋体" w:hAnsi="宋体" w:eastAsia="宋体" w:cs="宋体"/>
          <w:spacing w:val="6"/>
          <w:sz w:val="20"/>
          <w:szCs w:val="20"/>
        </w:rPr>
        <w:t>是公共卫生项目经济学评价中最佳的评价指标。需注意的是，货币价值可</w:t>
      </w:r>
      <w:r>
        <w:rPr>
          <w:rFonts w:ascii="宋体" w:hAnsi="宋体" w:eastAsia="宋体" w:cs="宋体"/>
          <w:spacing w:val="1"/>
          <w:sz w:val="20"/>
          <w:szCs w:val="20"/>
        </w:rPr>
        <w:t xml:space="preserve"> </w:t>
      </w:r>
      <w:r>
        <w:rPr>
          <w:rFonts w:ascii="宋体" w:hAnsi="宋体" w:eastAsia="宋体" w:cs="宋体"/>
          <w:spacing w:val="5"/>
          <w:sz w:val="20"/>
          <w:szCs w:val="20"/>
        </w:rPr>
        <w:t>能随时间变化而改变，因此需考虑货币的贴现和</w:t>
      </w:r>
      <w:r>
        <w:rPr>
          <w:rFonts w:ascii="宋体" w:hAnsi="宋体" w:eastAsia="宋体" w:cs="宋体"/>
          <w:spacing w:val="4"/>
          <w:sz w:val="20"/>
          <w:szCs w:val="20"/>
        </w:rPr>
        <w:t>利率的变化。</w:t>
      </w:r>
    </w:p>
    <w:p w14:paraId="4F8794A2">
      <w:pPr>
        <w:spacing w:before="160" w:line="305" w:lineRule="auto"/>
        <w:ind w:right="630" w:firstLine="429"/>
        <w:rPr>
          <w:rFonts w:ascii="宋体" w:hAnsi="宋体" w:eastAsia="宋体" w:cs="宋体"/>
          <w:sz w:val="20"/>
          <w:szCs w:val="20"/>
        </w:rPr>
      </w:pPr>
      <w:r>
        <w:rPr>
          <w:rFonts w:ascii="宋体" w:hAnsi="宋体" w:eastAsia="宋体" w:cs="宋体"/>
          <w:spacing w:val="-7"/>
          <w:sz w:val="20"/>
          <w:szCs w:val="20"/>
        </w:rPr>
        <w:t>5. 增量成本效果(或效用)比(incremental cost</w:t>
      </w:r>
      <w:r>
        <w:rPr>
          <w:rFonts w:ascii="宋体" w:hAnsi="宋体" w:eastAsia="宋体" w:cs="宋体"/>
          <w:spacing w:val="-8"/>
          <w:sz w:val="20"/>
          <w:szCs w:val="20"/>
        </w:rPr>
        <w:t>-effectivenesslutility ratio,ICER/ICUR) 该指标的</w:t>
      </w:r>
      <w:r>
        <w:rPr>
          <w:rFonts w:ascii="宋体" w:hAnsi="宋体" w:eastAsia="宋体" w:cs="宋体"/>
          <w:sz w:val="20"/>
          <w:szCs w:val="20"/>
        </w:rPr>
        <w:t xml:space="preserve"> </w:t>
      </w:r>
      <w:r>
        <w:rPr>
          <w:rFonts w:ascii="宋体" w:hAnsi="宋体" w:eastAsia="宋体" w:cs="宋体"/>
          <w:spacing w:val="9"/>
          <w:sz w:val="20"/>
          <w:szCs w:val="20"/>
        </w:rPr>
        <w:t>计算式为两种方法的成本差/健康结果差，即单位增量健康结果(如减少1例死</w:t>
      </w:r>
      <w:r>
        <w:rPr>
          <w:rFonts w:ascii="宋体" w:hAnsi="宋体" w:eastAsia="宋体" w:cs="宋体"/>
          <w:spacing w:val="8"/>
          <w:sz w:val="20"/>
          <w:szCs w:val="20"/>
        </w:rPr>
        <w:t>亡、增加1年</w:t>
      </w:r>
      <w:r>
        <w:rPr>
          <w:rFonts w:ascii="Times New Roman" w:hAnsi="Times New Roman" w:eastAsia="Times New Roman" w:cs="Times New Roman"/>
          <w:sz w:val="20"/>
          <w:szCs w:val="20"/>
        </w:rPr>
        <w:t>QALY</w:t>
      </w:r>
      <w:r>
        <w:rPr>
          <w:rFonts w:ascii="Times New Roman" w:hAnsi="Times New Roman" w:eastAsia="Times New Roman" w:cs="Times New Roman"/>
          <w:spacing w:val="8"/>
          <w:sz w:val="20"/>
          <w:szCs w:val="20"/>
        </w:rPr>
        <w:t>)</w:t>
      </w:r>
      <w:r>
        <w:rPr>
          <w:rFonts w:ascii="Times New Roman" w:hAnsi="Times New Roman" w:eastAsia="Times New Roman" w:cs="Times New Roman"/>
          <w:sz w:val="20"/>
          <w:szCs w:val="20"/>
        </w:rPr>
        <w:t xml:space="preserve">  </w:t>
      </w:r>
      <w:r>
        <w:rPr>
          <w:rFonts w:ascii="宋体" w:hAnsi="宋体" w:eastAsia="宋体" w:cs="宋体"/>
          <w:spacing w:val="10"/>
          <w:sz w:val="20"/>
          <w:szCs w:val="20"/>
        </w:rPr>
        <w:t>所需要付出的增量成本。该指标考虑了不同地区的经济发展水平和卫生服务支付能力。在评价多</w:t>
      </w:r>
      <w:r>
        <w:rPr>
          <w:rFonts w:ascii="宋体" w:hAnsi="宋体" w:eastAsia="宋体" w:cs="宋体"/>
          <w:spacing w:val="18"/>
          <w:sz w:val="20"/>
          <w:szCs w:val="20"/>
        </w:rPr>
        <w:t xml:space="preserve"> </w:t>
      </w:r>
      <w:r>
        <w:rPr>
          <w:rFonts w:ascii="宋体" w:hAnsi="宋体" w:eastAsia="宋体" w:cs="宋体"/>
          <w:spacing w:val="5"/>
          <w:sz w:val="20"/>
          <w:szCs w:val="20"/>
        </w:rPr>
        <w:t>个方案时，应该优先选择</w:t>
      </w:r>
      <w:r>
        <w:rPr>
          <w:rFonts w:ascii="Times New Roman" w:hAnsi="Times New Roman" w:eastAsia="Times New Roman" w:cs="Times New Roman"/>
          <w:sz w:val="20"/>
          <w:szCs w:val="20"/>
        </w:rPr>
        <w:t>ICER</w:t>
      </w:r>
      <w:r>
        <w:rPr>
          <w:rFonts w:ascii="Times New Roman" w:hAnsi="Times New Roman" w:eastAsia="Times New Roman" w:cs="Times New Roman"/>
          <w:spacing w:val="33"/>
          <w:sz w:val="20"/>
          <w:szCs w:val="20"/>
        </w:rPr>
        <w:t xml:space="preserve"> </w:t>
      </w:r>
      <w:r>
        <w:rPr>
          <w:rFonts w:ascii="宋体" w:hAnsi="宋体" w:eastAsia="宋体" w:cs="宋体"/>
          <w:spacing w:val="5"/>
          <w:sz w:val="20"/>
          <w:szCs w:val="20"/>
        </w:rPr>
        <w:t>提示的增加一定的投入能挽救更多生命的方案。</w:t>
      </w:r>
    </w:p>
    <w:p w14:paraId="44C9D79D">
      <w:pPr>
        <w:pStyle w:val="2"/>
        <w:spacing w:before="319" w:line="221" w:lineRule="auto"/>
        <w:ind w:left="493"/>
        <w:outlineLvl w:val="2"/>
        <w:rPr>
          <w:sz w:val="25"/>
          <w:szCs w:val="25"/>
        </w:rPr>
      </w:pPr>
      <w:bookmarkStart w:id="218" w:name="bookmark136"/>
      <w:bookmarkEnd w:id="218"/>
      <w:r>
        <w:rPr>
          <w:b/>
          <w:bCs/>
          <w:spacing w:val="-11"/>
          <w:sz w:val="25"/>
          <w:szCs w:val="25"/>
        </w:rPr>
        <w:t>四</w:t>
      </w:r>
      <w:r>
        <w:rPr>
          <w:spacing w:val="-47"/>
          <w:sz w:val="25"/>
          <w:szCs w:val="25"/>
        </w:rPr>
        <w:t xml:space="preserve"> </w:t>
      </w:r>
      <w:r>
        <w:rPr>
          <w:b/>
          <w:bCs/>
          <w:spacing w:val="-11"/>
          <w:sz w:val="25"/>
          <w:szCs w:val="25"/>
        </w:rPr>
        <w:t>、筛检的安全性、伦理问题及可持续性评价</w:t>
      </w:r>
    </w:p>
    <w:p w14:paraId="11D3253F">
      <w:pPr>
        <w:pStyle w:val="2"/>
        <w:spacing w:before="249" w:line="218" w:lineRule="auto"/>
        <w:ind w:left="429"/>
        <w:rPr>
          <w:rFonts w:ascii="宋体" w:hAnsi="宋体" w:eastAsia="宋体" w:cs="宋体"/>
          <w:sz w:val="20"/>
          <w:szCs w:val="20"/>
        </w:rPr>
      </w:pPr>
      <w:r>
        <w:rPr>
          <w:rFonts w:ascii="宋体" w:hAnsi="宋体" w:eastAsia="宋体" w:cs="宋体"/>
          <w:spacing w:val="1"/>
          <w:sz w:val="20"/>
          <w:szCs w:val="20"/>
        </w:rPr>
        <w:t xml:space="preserve">1. </w:t>
      </w:r>
      <w:r>
        <w:rPr>
          <w:spacing w:val="1"/>
          <w:sz w:val="20"/>
          <w:szCs w:val="20"/>
        </w:rPr>
        <w:t>安全性及伦理问题  安全性评价</w:t>
      </w:r>
      <w:r>
        <w:rPr>
          <w:rFonts w:ascii="宋体" w:hAnsi="宋体" w:eastAsia="宋体" w:cs="宋体"/>
          <w:spacing w:val="1"/>
          <w:sz w:val="20"/>
          <w:szCs w:val="20"/>
        </w:rPr>
        <w:t>(</w:t>
      </w:r>
      <w:r>
        <w:rPr>
          <w:rFonts w:ascii="宋体" w:hAnsi="宋体" w:eastAsia="宋体" w:cs="宋体"/>
          <w:sz w:val="20"/>
          <w:szCs w:val="20"/>
        </w:rPr>
        <w:t>safety</w:t>
      </w:r>
      <w:r>
        <w:rPr>
          <w:rFonts w:ascii="宋体" w:hAnsi="宋体" w:eastAsia="宋体" w:cs="宋体"/>
          <w:spacing w:val="1"/>
          <w:sz w:val="20"/>
          <w:szCs w:val="20"/>
        </w:rPr>
        <w:t xml:space="preserve"> </w:t>
      </w:r>
      <w:r>
        <w:rPr>
          <w:rFonts w:ascii="宋体" w:hAnsi="宋体" w:eastAsia="宋体" w:cs="宋体"/>
          <w:sz w:val="20"/>
          <w:szCs w:val="20"/>
        </w:rPr>
        <w:t>assessment)即评价人群获益是否远超过伤害，以及</w:t>
      </w:r>
    </w:p>
    <w:p w14:paraId="5587EBBF">
      <w:pPr>
        <w:spacing w:line="218" w:lineRule="auto"/>
        <w:rPr>
          <w:rFonts w:ascii="宋体" w:hAnsi="宋体" w:eastAsia="宋体" w:cs="宋体"/>
          <w:sz w:val="20"/>
          <w:szCs w:val="20"/>
        </w:rPr>
        <w:sectPr>
          <w:footerReference r:id="rId156" w:type="default"/>
          <w:pgSz w:w="11900" w:h="16820"/>
          <w:pgMar w:top="400" w:right="943" w:bottom="929" w:left="1470" w:header="0" w:footer="749" w:gutter="0"/>
          <w:cols w:space="720" w:num="1"/>
        </w:sectPr>
      </w:pPr>
    </w:p>
    <w:p w14:paraId="2163997F">
      <w:pPr>
        <w:pStyle w:val="2"/>
        <w:spacing w:before="146" w:line="222" w:lineRule="auto"/>
        <w:ind w:left="599"/>
        <w:rPr>
          <w:sz w:val="19"/>
          <w:szCs w:val="19"/>
        </w:rPr>
      </w:pPr>
      <w:r>
        <w:rPr>
          <w:spacing w:val="9"/>
          <w:sz w:val="19"/>
          <w:szCs w:val="19"/>
        </w:rPr>
        <w:t>第七章筛检</w:t>
      </w:r>
    </w:p>
    <w:p w14:paraId="5D5CBE3A">
      <w:pPr>
        <w:spacing w:line="282" w:lineRule="auto"/>
        <w:rPr>
          <w:rFonts w:ascii="Arial"/>
          <w:sz w:val="21"/>
        </w:rPr>
      </w:pPr>
    </w:p>
    <w:p w14:paraId="65AF22D3">
      <w:pPr>
        <w:spacing w:line="283" w:lineRule="auto"/>
        <w:rPr>
          <w:rFonts w:ascii="Arial"/>
          <w:sz w:val="21"/>
        </w:rPr>
      </w:pPr>
    </w:p>
    <w:p w14:paraId="0965D507">
      <w:pPr>
        <w:spacing w:before="62" w:line="218" w:lineRule="auto"/>
        <w:ind w:left="599"/>
        <w:rPr>
          <w:rFonts w:ascii="宋体" w:hAnsi="宋体" w:eastAsia="宋体" w:cs="宋体"/>
          <w:sz w:val="19"/>
          <w:szCs w:val="19"/>
        </w:rPr>
      </w:pPr>
      <w:r>
        <w:rPr>
          <w:rFonts w:ascii="宋体" w:hAnsi="宋体" w:eastAsia="宋体" w:cs="宋体"/>
          <w:spacing w:val="6"/>
          <w:sz w:val="19"/>
          <w:szCs w:val="19"/>
        </w:rPr>
        <w:t>伤害可接受的程度。评价伤害的指标为过度</w:t>
      </w:r>
      <w:r>
        <w:rPr>
          <w:rFonts w:ascii="宋体" w:hAnsi="宋体" w:eastAsia="宋体" w:cs="宋体"/>
          <w:spacing w:val="5"/>
          <w:sz w:val="19"/>
          <w:szCs w:val="19"/>
        </w:rPr>
        <w:t>诊断/治疗率、不良事件发生率。</w:t>
      </w:r>
    </w:p>
    <w:p w14:paraId="4406CE11">
      <w:pPr>
        <w:spacing w:before="133" w:line="364" w:lineRule="auto"/>
        <w:ind w:left="599" w:right="25" w:firstLine="399"/>
        <w:jc w:val="both"/>
        <w:rPr>
          <w:rFonts w:ascii="宋体" w:hAnsi="宋体" w:eastAsia="宋体" w:cs="宋体"/>
          <w:sz w:val="19"/>
          <w:szCs w:val="19"/>
        </w:rPr>
      </w:pPr>
      <w:r>
        <w:rPr>
          <w:rFonts w:ascii="宋体" w:hAnsi="宋体" w:eastAsia="宋体" w:cs="宋体"/>
          <w:spacing w:val="10"/>
          <w:sz w:val="19"/>
          <w:szCs w:val="19"/>
        </w:rPr>
        <w:t>筛检相关的伤害(</w:t>
      </w:r>
      <w:r>
        <w:rPr>
          <w:rFonts w:ascii="宋体" w:hAnsi="宋体" w:eastAsia="宋体" w:cs="宋体"/>
          <w:sz w:val="19"/>
          <w:szCs w:val="19"/>
        </w:rPr>
        <w:t>harm</w:t>
      </w:r>
      <w:r>
        <w:rPr>
          <w:rFonts w:ascii="宋体" w:hAnsi="宋体" w:eastAsia="宋体" w:cs="宋体"/>
          <w:spacing w:val="10"/>
          <w:sz w:val="19"/>
          <w:szCs w:val="19"/>
        </w:rPr>
        <w:t>) 包括三个方面。①筛检方法本身造成的伤害。②筛检的假阳性者可能</w:t>
      </w:r>
      <w:r>
        <w:rPr>
          <w:rFonts w:ascii="宋体" w:hAnsi="宋体" w:eastAsia="宋体" w:cs="宋体"/>
          <w:spacing w:val="3"/>
          <w:sz w:val="19"/>
          <w:szCs w:val="19"/>
        </w:rPr>
        <w:t xml:space="preserve"> </w:t>
      </w:r>
      <w:r>
        <w:rPr>
          <w:rFonts w:ascii="宋体" w:hAnsi="宋体" w:eastAsia="宋体" w:cs="宋体"/>
          <w:spacing w:val="9"/>
          <w:sz w:val="19"/>
          <w:szCs w:val="19"/>
        </w:rPr>
        <w:t>面临过度诊断的问题，可能会经历确诊前的焦虑情绪困扰。如用</w:t>
      </w:r>
      <w:r>
        <w:rPr>
          <w:rFonts w:ascii="宋体" w:hAnsi="宋体" w:eastAsia="宋体" w:cs="宋体"/>
          <w:sz w:val="19"/>
          <w:szCs w:val="19"/>
        </w:rPr>
        <w:t>PSA</w:t>
      </w:r>
      <w:r>
        <w:rPr>
          <w:rFonts w:ascii="宋体" w:hAnsi="宋体" w:eastAsia="宋体" w:cs="宋体"/>
          <w:spacing w:val="8"/>
          <w:sz w:val="19"/>
          <w:szCs w:val="19"/>
        </w:rPr>
        <w:t xml:space="preserve"> 筛检前列腺癌，76%的</w:t>
      </w:r>
      <w:r>
        <w:rPr>
          <w:rFonts w:ascii="宋体" w:hAnsi="宋体" w:eastAsia="宋体" w:cs="宋体"/>
          <w:sz w:val="19"/>
          <w:szCs w:val="19"/>
        </w:rPr>
        <w:t>PSA</w:t>
      </w:r>
      <w:r>
        <w:rPr>
          <w:rFonts w:ascii="宋体" w:hAnsi="宋体" w:eastAsia="宋体" w:cs="宋体"/>
          <w:spacing w:val="8"/>
          <w:sz w:val="19"/>
          <w:szCs w:val="19"/>
        </w:rPr>
        <w:t xml:space="preserve"> 升</w:t>
      </w:r>
      <w:r>
        <w:rPr>
          <w:rFonts w:ascii="宋体" w:hAnsi="宋体" w:eastAsia="宋体" w:cs="宋体"/>
          <w:sz w:val="19"/>
          <w:szCs w:val="19"/>
        </w:rPr>
        <w:t xml:space="preserve"> </w:t>
      </w:r>
      <w:r>
        <w:rPr>
          <w:rFonts w:ascii="宋体" w:hAnsi="宋体" w:eastAsia="宋体" w:cs="宋体"/>
          <w:spacing w:val="10"/>
          <w:sz w:val="19"/>
          <w:szCs w:val="19"/>
        </w:rPr>
        <w:t>高者中经穿刺活检没有发现癌症。③如果早期诊断的病例是“惰性病例”,随之</w:t>
      </w:r>
      <w:r>
        <w:rPr>
          <w:rFonts w:ascii="宋体" w:hAnsi="宋体" w:eastAsia="宋体" w:cs="宋体"/>
          <w:spacing w:val="9"/>
          <w:sz w:val="19"/>
          <w:szCs w:val="19"/>
        </w:rPr>
        <w:t>而来的治疗措施可</w:t>
      </w:r>
      <w:r>
        <w:rPr>
          <w:rFonts w:ascii="宋体" w:hAnsi="宋体" w:eastAsia="宋体" w:cs="宋体"/>
          <w:sz w:val="19"/>
          <w:szCs w:val="19"/>
        </w:rPr>
        <w:t xml:space="preserve"> </w:t>
      </w:r>
      <w:r>
        <w:rPr>
          <w:rFonts w:ascii="宋体" w:hAnsi="宋体" w:eastAsia="宋体" w:cs="宋体"/>
          <w:spacing w:val="13"/>
          <w:sz w:val="19"/>
          <w:szCs w:val="19"/>
        </w:rPr>
        <w:t>能会损伤其健康。如对进展缓慢的老年前列腺</w:t>
      </w:r>
      <w:r>
        <w:rPr>
          <w:rFonts w:ascii="宋体" w:hAnsi="宋体" w:eastAsia="宋体" w:cs="宋体"/>
          <w:spacing w:val="12"/>
          <w:sz w:val="19"/>
          <w:szCs w:val="19"/>
        </w:rPr>
        <w:t>癌病人进行手术治疗，手术造成的损伤可能比前列</w:t>
      </w:r>
      <w:r>
        <w:rPr>
          <w:rFonts w:ascii="宋体" w:hAnsi="宋体" w:eastAsia="宋体" w:cs="宋体"/>
          <w:sz w:val="19"/>
          <w:szCs w:val="19"/>
        </w:rPr>
        <w:t xml:space="preserve"> </w:t>
      </w:r>
      <w:r>
        <w:rPr>
          <w:rFonts w:ascii="宋体" w:hAnsi="宋体" w:eastAsia="宋体" w:cs="宋体"/>
          <w:spacing w:val="7"/>
          <w:sz w:val="19"/>
          <w:szCs w:val="19"/>
        </w:rPr>
        <w:t>腺癌本身对他们的健康损伤更大。</w:t>
      </w:r>
    </w:p>
    <w:p w14:paraId="1D1B87AA">
      <w:pPr>
        <w:spacing w:before="1" w:line="363" w:lineRule="auto"/>
        <w:ind w:left="599" w:right="31" w:firstLine="399"/>
        <w:rPr>
          <w:rFonts w:ascii="宋体" w:hAnsi="宋体" w:eastAsia="宋体" w:cs="宋体"/>
          <w:sz w:val="19"/>
          <w:szCs w:val="19"/>
        </w:rPr>
      </w:pPr>
      <w:r>
        <w:rPr>
          <w:rFonts w:ascii="宋体" w:hAnsi="宋体" w:eastAsia="宋体" w:cs="宋体"/>
          <w:spacing w:val="8"/>
          <w:sz w:val="19"/>
          <w:szCs w:val="19"/>
        </w:rPr>
        <w:t>筛检作为一种医学实践对参与者的影响可能存在不</w:t>
      </w:r>
      <w:r>
        <w:rPr>
          <w:rFonts w:ascii="宋体" w:hAnsi="宋体" w:eastAsia="宋体" w:cs="宋体"/>
          <w:spacing w:val="7"/>
          <w:sz w:val="19"/>
          <w:szCs w:val="19"/>
        </w:rPr>
        <w:t>确定性，必须遵循《赫尔辛基宣言》的医学</w:t>
      </w:r>
      <w:r>
        <w:rPr>
          <w:rFonts w:ascii="宋体" w:hAnsi="宋体" w:eastAsia="宋体" w:cs="宋体"/>
          <w:sz w:val="19"/>
          <w:szCs w:val="19"/>
        </w:rPr>
        <w:t xml:space="preserve"> 伦理学准则，即尊重个人意愿、有益无害、公正等一般伦理学原则。</w:t>
      </w:r>
    </w:p>
    <w:p w14:paraId="6D295DDB">
      <w:pPr>
        <w:spacing w:line="365" w:lineRule="auto"/>
        <w:ind w:left="599" w:right="41" w:firstLine="399"/>
        <w:rPr>
          <w:rFonts w:ascii="宋体" w:hAnsi="宋体" w:eastAsia="宋体" w:cs="宋体"/>
          <w:sz w:val="19"/>
          <w:szCs w:val="19"/>
        </w:rPr>
      </w:pPr>
      <w:r>
        <w:rPr>
          <w:rFonts w:ascii="宋体" w:hAnsi="宋体" w:eastAsia="宋体" w:cs="宋体"/>
          <w:spacing w:val="7"/>
          <w:sz w:val="19"/>
          <w:szCs w:val="19"/>
        </w:rPr>
        <w:t>第一，开展筛检研究前应提交伦理委员会审查及获得参与者的知情同意，充分告知筛检过程中</w:t>
      </w:r>
      <w:r>
        <w:rPr>
          <w:rFonts w:ascii="宋体" w:hAnsi="宋体" w:eastAsia="宋体" w:cs="宋体"/>
          <w:spacing w:val="11"/>
          <w:sz w:val="19"/>
          <w:szCs w:val="19"/>
        </w:rPr>
        <w:t xml:space="preserve"> </w:t>
      </w:r>
      <w:r>
        <w:rPr>
          <w:rFonts w:ascii="宋体" w:hAnsi="宋体" w:eastAsia="宋体" w:cs="宋体"/>
          <w:spacing w:val="3"/>
          <w:sz w:val="19"/>
          <w:szCs w:val="19"/>
        </w:rPr>
        <w:t>可能的有创检查、潜在的危害及处理的措施等。</w:t>
      </w:r>
    </w:p>
    <w:p w14:paraId="5D14A07D">
      <w:pPr>
        <w:spacing w:before="1" w:line="299" w:lineRule="auto"/>
        <w:ind w:left="599" w:right="14" w:firstLine="399"/>
        <w:rPr>
          <w:rFonts w:ascii="宋体" w:hAnsi="宋体" w:eastAsia="宋体" w:cs="宋体"/>
          <w:sz w:val="19"/>
          <w:szCs w:val="19"/>
        </w:rPr>
      </w:pPr>
      <w:r>
        <w:rPr>
          <w:rFonts w:ascii="宋体" w:hAnsi="宋体" w:eastAsia="宋体" w:cs="宋体"/>
          <w:spacing w:val="-1"/>
          <w:sz w:val="19"/>
          <w:szCs w:val="19"/>
        </w:rPr>
        <w:t>第二，应保护参与者的生命、健康、尊严、完整性、自主性、隐私和个人</w:t>
      </w:r>
      <w:r>
        <w:rPr>
          <w:rFonts w:ascii="宋体" w:hAnsi="宋体" w:eastAsia="宋体" w:cs="宋体"/>
          <w:spacing w:val="-2"/>
          <w:sz w:val="19"/>
          <w:szCs w:val="19"/>
        </w:rPr>
        <w:t>信息的保密，参与者有权</w:t>
      </w:r>
      <w:r>
        <w:rPr>
          <w:rFonts w:ascii="宋体" w:hAnsi="宋体" w:eastAsia="宋体" w:cs="宋体"/>
          <w:sz w:val="19"/>
          <w:szCs w:val="19"/>
        </w:rPr>
        <w:t xml:space="preserve"> </w:t>
      </w:r>
      <w:r>
        <w:rPr>
          <w:rFonts w:ascii="宋体" w:hAnsi="宋体" w:eastAsia="宋体" w:cs="宋体"/>
          <w:spacing w:val="8"/>
          <w:sz w:val="19"/>
          <w:szCs w:val="19"/>
        </w:rPr>
        <w:t>随时退出。</w:t>
      </w:r>
    </w:p>
    <w:p w14:paraId="59F9F743">
      <w:pPr>
        <w:spacing w:before="143" w:line="299" w:lineRule="auto"/>
        <w:ind w:left="599" w:right="31" w:firstLine="399"/>
        <w:rPr>
          <w:rFonts w:ascii="宋体" w:hAnsi="宋体" w:eastAsia="宋体" w:cs="宋体"/>
          <w:sz w:val="19"/>
          <w:szCs w:val="19"/>
        </w:rPr>
      </w:pPr>
      <w:r>
        <w:rPr>
          <w:rFonts w:ascii="宋体" w:hAnsi="宋体" w:eastAsia="宋体" w:cs="宋体"/>
          <w:spacing w:val="12"/>
          <w:sz w:val="19"/>
          <w:szCs w:val="19"/>
        </w:rPr>
        <w:t>第三，筛检应该是有益无害或收益远大于危害的。筛检试验原则上应安全可靠，无或低创伤</w:t>
      </w:r>
      <w:r>
        <w:rPr>
          <w:rFonts w:ascii="宋体" w:hAnsi="宋体" w:eastAsia="宋体" w:cs="宋体"/>
          <w:spacing w:val="18"/>
          <w:sz w:val="19"/>
          <w:szCs w:val="19"/>
        </w:rPr>
        <w:t xml:space="preserve"> </w:t>
      </w:r>
      <w:r>
        <w:rPr>
          <w:rFonts w:ascii="宋体" w:hAnsi="宋体" w:eastAsia="宋体" w:cs="宋体"/>
          <w:spacing w:val="2"/>
          <w:sz w:val="19"/>
          <w:szCs w:val="19"/>
        </w:rPr>
        <w:t>性、易于被群众接受，不会给被检者带来身体和精神上的伤</w:t>
      </w:r>
      <w:r>
        <w:rPr>
          <w:rFonts w:ascii="宋体" w:hAnsi="宋体" w:eastAsia="宋体" w:cs="宋体"/>
          <w:spacing w:val="1"/>
          <w:sz w:val="19"/>
          <w:szCs w:val="19"/>
        </w:rPr>
        <w:t>害。</w:t>
      </w:r>
    </w:p>
    <w:p w14:paraId="6319193B">
      <w:pPr>
        <w:spacing w:before="134" w:line="218" w:lineRule="auto"/>
        <w:ind w:right="28"/>
        <w:jc w:val="right"/>
        <w:rPr>
          <w:rFonts w:ascii="宋体" w:hAnsi="宋体" w:eastAsia="宋体" w:cs="宋体"/>
          <w:sz w:val="19"/>
          <w:szCs w:val="19"/>
        </w:rPr>
      </w:pPr>
      <w:r>
        <w:rPr>
          <w:rFonts w:ascii="宋体" w:hAnsi="宋体" w:eastAsia="宋体" w:cs="宋体"/>
          <w:spacing w:val="3"/>
          <w:sz w:val="19"/>
          <w:szCs w:val="19"/>
        </w:rPr>
        <w:t>第四，如果筛检的价值和安全性已确定，项目应公平、合理地对待每一个社会成员。</w:t>
      </w:r>
      <w:r>
        <w:rPr>
          <w:rFonts w:ascii="宋体" w:hAnsi="宋体" w:eastAsia="宋体" w:cs="宋体"/>
          <w:spacing w:val="2"/>
          <w:sz w:val="19"/>
          <w:szCs w:val="19"/>
        </w:rPr>
        <w:t>此外，考虑</w:t>
      </w:r>
    </w:p>
    <w:p w14:paraId="30EA13CF">
      <w:pPr>
        <w:spacing w:before="166" w:line="219" w:lineRule="auto"/>
        <w:ind w:left="599"/>
        <w:rPr>
          <w:rFonts w:ascii="宋体" w:hAnsi="宋体" w:eastAsia="宋体" w:cs="宋体"/>
          <w:sz w:val="19"/>
          <w:szCs w:val="19"/>
        </w:rPr>
      </w:pPr>
      <w:r>
        <w:rPr>
          <w:rFonts w:ascii="宋体" w:hAnsi="宋体" w:eastAsia="宋体" w:cs="宋体"/>
          <w:spacing w:val="4"/>
          <w:sz w:val="19"/>
          <w:szCs w:val="19"/>
        </w:rPr>
        <w:t>到筛检研究中对照人群的贡献，在筛检项目推广时，应优先在该人群中</w:t>
      </w:r>
      <w:r>
        <w:rPr>
          <w:rFonts w:ascii="宋体" w:hAnsi="宋体" w:eastAsia="宋体" w:cs="宋体"/>
          <w:spacing w:val="3"/>
          <w:sz w:val="19"/>
          <w:szCs w:val="19"/>
        </w:rPr>
        <w:t>实施。</w:t>
      </w:r>
    </w:p>
    <w:p w14:paraId="6E0D0F86">
      <w:pPr>
        <w:pStyle w:val="2"/>
        <w:spacing w:before="125" w:line="366" w:lineRule="auto"/>
        <w:ind w:left="599" w:right="28" w:firstLine="399"/>
        <w:jc w:val="both"/>
        <w:rPr>
          <w:rFonts w:ascii="宋体" w:hAnsi="宋体" w:eastAsia="宋体" w:cs="宋体"/>
          <w:sz w:val="19"/>
          <w:szCs w:val="19"/>
        </w:rPr>
      </w:pPr>
      <w:r>
        <w:rPr>
          <w:rFonts w:ascii="宋体" w:hAnsi="宋体" w:eastAsia="宋体" w:cs="宋体"/>
          <w:spacing w:val="10"/>
          <w:sz w:val="19"/>
          <w:szCs w:val="19"/>
        </w:rPr>
        <w:t xml:space="preserve">2. </w:t>
      </w:r>
      <w:r>
        <w:rPr>
          <w:spacing w:val="10"/>
          <w:sz w:val="19"/>
          <w:szCs w:val="19"/>
        </w:rPr>
        <w:t>政策、经济及人力支持环境疾病</w:t>
      </w:r>
      <w:r>
        <w:rPr>
          <w:rFonts w:ascii="宋体" w:hAnsi="宋体" w:eastAsia="宋体" w:cs="宋体"/>
          <w:spacing w:val="10"/>
          <w:sz w:val="19"/>
          <w:szCs w:val="19"/>
        </w:rPr>
        <w:t>筛检项目的可持续</w:t>
      </w:r>
      <w:r>
        <w:rPr>
          <w:rFonts w:ascii="宋体" w:hAnsi="宋体" w:eastAsia="宋体" w:cs="宋体"/>
          <w:spacing w:val="9"/>
          <w:sz w:val="19"/>
          <w:szCs w:val="19"/>
        </w:rPr>
        <w:t>性受国家政策支持、项目经费保障、筛</w:t>
      </w:r>
      <w:r>
        <w:rPr>
          <w:rFonts w:ascii="宋体" w:hAnsi="宋体" w:eastAsia="宋体" w:cs="宋体"/>
          <w:sz w:val="19"/>
          <w:szCs w:val="19"/>
        </w:rPr>
        <w:t xml:space="preserve"> </w:t>
      </w:r>
      <w:r>
        <w:rPr>
          <w:rFonts w:ascii="宋体" w:hAnsi="宋体" w:eastAsia="宋体" w:cs="宋体"/>
          <w:spacing w:val="8"/>
          <w:sz w:val="19"/>
          <w:szCs w:val="19"/>
        </w:rPr>
        <w:t>检人力资源配备、目标人群接受程度、医疗保障制度是否介入等因素</w:t>
      </w:r>
      <w:r>
        <w:rPr>
          <w:rFonts w:ascii="宋体" w:hAnsi="宋体" w:eastAsia="宋体" w:cs="宋体"/>
          <w:spacing w:val="7"/>
          <w:sz w:val="19"/>
          <w:szCs w:val="19"/>
        </w:rPr>
        <w:t>影响，可采用社会学定性和定</w:t>
      </w:r>
      <w:r>
        <w:rPr>
          <w:rFonts w:ascii="宋体" w:hAnsi="宋体" w:eastAsia="宋体" w:cs="宋体"/>
          <w:sz w:val="19"/>
          <w:szCs w:val="19"/>
        </w:rPr>
        <w:t xml:space="preserve"> </w:t>
      </w:r>
      <w:r>
        <w:rPr>
          <w:rFonts w:ascii="宋体" w:hAnsi="宋体" w:eastAsia="宋体" w:cs="宋体"/>
          <w:spacing w:val="8"/>
          <w:sz w:val="19"/>
          <w:szCs w:val="19"/>
        </w:rPr>
        <w:t>量研究方法来开展调查研究。</w:t>
      </w:r>
    </w:p>
    <w:p w14:paraId="7A4AE400">
      <w:pPr>
        <w:spacing w:line="369" w:lineRule="auto"/>
        <w:ind w:left="599" w:right="24" w:firstLine="399"/>
        <w:jc w:val="both"/>
        <w:rPr>
          <w:rFonts w:ascii="宋体" w:hAnsi="宋体" w:eastAsia="宋体" w:cs="宋体"/>
          <w:sz w:val="19"/>
          <w:szCs w:val="19"/>
        </w:rPr>
      </w:pPr>
      <w:r>
        <w:rPr>
          <w:rFonts w:ascii="宋体" w:hAnsi="宋体" w:eastAsia="宋体" w:cs="宋体"/>
          <w:spacing w:val="13"/>
          <w:sz w:val="19"/>
          <w:szCs w:val="19"/>
        </w:rPr>
        <w:t>政府主导体现在将防控措施以政策或法律的形式制度化。</w:t>
      </w:r>
      <w:r>
        <w:rPr>
          <w:rFonts w:ascii="宋体" w:hAnsi="宋体" w:eastAsia="宋体" w:cs="宋体"/>
          <w:spacing w:val="12"/>
          <w:sz w:val="19"/>
          <w:szCs w:val="19"/>
        </w:rPr>
        <w:t>在经费保障方面，通过医疗保障制</w:t>
      </w:r>
      <w:r>
        <w:rPr>
          <w:rFonts w:ascii="宋体" w:hAnsi="宋体" w:eastAsia="宋体" w:cs="宋体"/>
          <w:sz w:val="19"/>
          <w:szCs w:val="19"/>
        </w:rPr>
        <w:t xml:space="preserve"> </w:t>
      </w:r>
      <w:r>
        <w:rPr>
          <w:rFonts w:ascii="宋体" w:hAnsi="宋体" w:eastAsia="宋体" w:cs="宋体"/>
          <w:spacing w:val="8"/>
          <w:sz w:val="19"/>
          <w:szCs w:val="19"/>
        </w:rPr>
        <w:t>度介人，可实现卫生资源合理配置，保障筛检项目持续良性发展，并能推</w:t>
      </w:r>
      <w:r>
        <w:rPr>
          <w:rFonts w:ascii="宋体" w:hAnsi="宋体" w:eastAsia="宋体" w:cs="宋体"/>
          <w:spacing w:val="7"/>
          <w:sz w:val="19"/>
          <w:szCs w:val="19"/>
        </w:rPr>
        <w:t>动卫生系统及整个社会的</w:t>
      </w:r>
      <w:r>
        <w:rPr>
          <w:rFonts w:ascii="宋体" w:hAnsi="宋体" w:eastAsia="宋体" w:cs="宋体"/>
          <w:sz w:val="19"/>
          <w:szCs w:val="19"/>
        </w:rPr>
        <w:t xml:space="preserve"> </w:t>
      </w:r>
      <w:r>
        <w:rPr>
          <w:rFonts w:ascii="宋体" w:hAnsi="宋体" w:eastAsia="宋体" w:cs="宋体"/>
          <w:spacing w:val="8"/>
          <w:sz w:val="19"/>
          <w:szCs w:val="19"/>
        </w:rPr>
        <w:t>协调发展。在人力资源方面，国际上肿瘤筛检的成功经验表明，</w:t>
      </w:r>
      <w:r>
        <w:rPr>
          <w:rFonts w:ascii="宋体" w:hAnsi="宋体" w:eastAsia="宋体" w:cs="宋体"/>
          <w:spacing w:val="7"/>
          <w:sz w:val="19"/>
          <w:szCs w:val="19"/>
        </w:rPr>
        <w:t>开展健康教育、疾病初筛及登记管</w:t>
      </w:r>
      <w:r>
        <w:rPr>
          <w:rFonts w:ascii="宋体" w:hAnsi="宋体" w:eastAsia="宋体" w:cs="宋体"/>
          <w:sz w:val="19"/>
          <w:szCs w:val="19"/>
        </w:rPr>
        <w:t xml:space="preserve"> </w:t>
      </w:r>
      <w:r>
        <w:rPr>
          <w:rFonts w:ascii="宋体" w:hAnsi="宋体" w:eastAsia="宋体" w:cs="宋体"/>
          <w:spacing w:val="8"/>
          <w:sz w:val="19"/>
          <w:szCs w:val="19"/>
        </w:rPr>
        <w:t>理等工作是筛检工作可持续发展的重要保障。</w:t>
      </w:r>
    </w:p>
    <w:p w14:paraId="5D53A737">
      <w:pPr>
        <w:pStyle w:val="2"/>
        <w:spacing w:before="1" w:line="360" w:lineRule="auto"/>
        <w:ind w:left="599" w:right="51" w:firstLine="399"/>
        <w:jc w:val="both"/>
        <w:rPr>
          <w:rFonts w:ascii="宋体" w:hAnsi="宋体" w:eastAsia="宋体" w:cs="宋体"/>
          <w:sz w:val="19"/>
          <w:szCs w:val="19"/>
        </w:rPr>
      </w:pPr>
      <w:r>
        <w:rPr>
          <w:rFonts w:ascii="宋体" w:hAnsi="宋体" w:eastAsia="宋体" w:cs="宋体"/>
          <w:spacing w:val="11"/>
          <w:sz w:val="19"/>
          <w:szCs w:val="19"/>
        </w:rPr>
        <w:t xml:space="preserve">3. </w:t>
      </w:r>
      <w:r>
        <w:rPr>
          <w:spacing w:val="11"/>
          <w:sz w:val="19"/>
          <w:szCs w:val="19"/>
        </w:rPr>
        <w:t>人群接受度</w:t>
      </w:r>
      <w:r>
        <w:rPr>
          <w:spacing w:val="31"/>
          <w:sz w:val="19"/>
          <w:szCs w:val="19"/>
        </w:rPr>
        <w:t xml:space="preserve"> </w:t>
      </w:r>
      <w:r>
        <w:rPr>
          <w:rFonts w:ascii="宋体" w:hAnsi="宋体" w:eastAsia="宋体" w:cs="宋体"/>
          <w:spacing w:val="11"/>
          <w:sz w:val="19"/>
          <w:szCs w:val="19"/>
        </w:rPr>
        <w:t>除了有创的筛检方法可能影响人群接受程度外，目标人群对</w:t>
      </w:r>
      <w:r>
        <w:rPr>
          <w:rFonts w:ascii="宋体" w:hAnsi="宋体" w:eastAsia="宋体" w:cs="宋体"/>
          <w:spacing w:val="10"/>
          <w:sz w:val="19"/>
          <w:szCs w:val="19"/>
        </w:rPr>
        <w:t>疾病和筛检方法</w:t>
      </w:r>
      <w:r>
        <w:rPr>
          <w:rFonts w:ascii="宋体" w:hAnsi="宋体" w:eastAsia="宋体" w:cs="宋体"/>
          <w:sz w:val="19"/>
          <w:szCs w:val="19"/>
        </w:rPr>
        <w:t xml:space="preserve"> </w:t>
      </w:r>
      <w:r>
        <w:rPr>
          <w:rFonts w:ascii="宋体" w:hAnsi="宋体" w:eastAsia="宋体" w:cs="宋体"/>
          <w:spacing w:val="7"/>
          <w:sz w:val="19"/>
          <w:szCs w:val="19"/>
        </w:rPr>
        <w:t xml:space="preserve">的认知不足也可能影响筛检的覆盖面，直至影响筛检项目的可持续性和效果。因此，在开展推广筛 </w:t>
      </w:r>
      <w:r>
        <w:rPr>
          <w:rFonts w:ascii="宋体" w:hAnsi="宋体" w:eastAsia="宋体" w:cs="宋体"/>
          <w:spacing w:val="3"/>
          <w:sz w:val="19"/>
          <w:szCs w:val="19"/>
        </w:rPr>
        <w:t>检项目前，应对目标人群积极开展健康教育，提高人群依</w:t>
      </w:r>
      <w:r>
        <w:rPr>
          <w:rFonts w:ascii="宋体" w:hAnsi="宋体" w:eastAsia="宋体" w:cs="宋体"/>
          <w:spacing w:val="2"/>
          <w:sz w:val="19"/>
          <w:szCs w:val="19"/>
        </w:rPr>
        <w:t>从性，以保证项目可持续开展。</w:t>
      </w:r>
    </w:p>
    <w:p w14:paraId="61B69C67">
      <w:pPr>
        <w:spacing w:before="8" w:line="219" w:lineRule="auto"/>
        <w:jc w:val="right"/>
        <w:rPr>
          <w:rFonts w:ascii="宋体" w:hAnsi="宋体" w:eastAsia="宋体" w:cs="宋体"/>
          <w:sz w:val="19"/>
          <w:szCs w:val="19"/>
        </w:rPr>
      </w:pPr>
      <w:r>
        <w:rPr>
          <w:rFonts w:ascii="宋体" w:hAnsi="宋体" w:eastAsia="宋体" w:cs="宋体"/>
          <w:spacing w:val="18"/>
          <w:sz w:val="19"/>
          <w:szCs w:val="19"/>
        </w:rPr>
        <w:t>(李佳圆)</w:t>
      </w:r>
    </w:p>
    <w:p w14:paraId="520DBCBD">
      <w:pPr>
        <w:spacing w:before="11"/>
      </w:pPr>
    </w:p>
    <w:p w14:paraId="68EC26F4">
      <w:pPr>
        <w:spacing w:before="10"/>
      </w:pPr>
    </w:p>
    <w:p w14:paraId="05F16F1D">
      <w:pPr>
        <w:sectPr>
          <w:footerReference r:id="rId157" w:type="default"/>
          <w:pgSz w:w="11900" w:h="16820"/>
          <w:pgMar w:top="400" w:right="1708" w:bottom="752" w:left="1060" w:header="0" w:footer="581" w:gutter="0"/>
          <w:cols w:equalWidth="0" w:num="1">
            <w:col w:w="9132"/>
          </w:cols>
        </w:sectPr>
      </w:pPr>
    </w:p>
    <w:p w14:paraId="3F55F7C8">
      <w:pPr>
        <w:spacing w:line="291" w:lineRule="auto"/>
        <w:rPr>
          <w:rFonts w:ascii="Arial"/>
          <w:sz w:val="21"/>
        </w:rPr>
      </w:pPr>
    </w:p>
    <w:p w14:paraId="6A917BFB">
      <w:pPr>
        <w:pStyle w:val="2"/>
        <w:spacing w:before="82" w:line="222" w:lineRule="auto"/>
        <w:ind w:left="1049"/>
        <w:rPr>
          <w:sz w:val="25"/>
          <w:szCs w:val="25"/>
        </w:rPr>
      </w:pPr>
      <w:r>
        <w:rPr>
          <w:spacing w:val="-3"/>
          <w:sz w:val="25"/>
          <w:szCs w:val="25"/>
        </w:rPr>
        <w:t>思考题</w:t>
      </w:r>
    </w:p>
    <w:p w14:paraId="69FDE039">
      <w:pPr>
        <w:spacing w:before="75" w:line="219" w:lineRule="auto"/>
        <w:ind w:left="1809"/>
        <w:rPr>
          <w:rFonts w:ascii="宋体" w:hAnsi="宋体" w:eastAsia="宋体" w:cs="宋体"/>
          <w:sz w:val="19"/>
          <w:szCs w:val="19"/>
        </w:rPr>
      </w:pPr>
      <w:r>
        <w:rPr>
          <w:rFonts w:ascii="宋体" w:hAnsi="宋体" w:eastAsia="宋体" w:cs="宋体"/>
          <w:spacing w:val="10"/>
          <w:sz w:val="19"/>
          <w:szCs w:val="19"/>
        </w:rPr>
        <w:t>1.</w:t>
      </w:r>
      <w:r>
        <w:rPr>
          <w:rFonts w:ascii="宋体" w:hAnsi="宋体" w:eastAsia="宋体" w:cs="宋体"/>
          <w:spacing w:val="-36"/>
          <w:sz w:val="19"/>
          <w:szCs w:val="19"/>
        </w:rPr>
        <w:t xml:space="preserve"> </w:t>
      </w:r>
      <w:r>
        <w:rPr>
          <w:rFonts w:ascii="宋体" w:hAnsi="宋体" w:eastAsia="宋体" w:cs="宋体"/>
          <w:spacing w:val="10"/>
          <w:sz w:val="19"/>
          <w:szCs w:val="19"/>
        </w:rPr>
        <w:t>何谓筛检?简述筛检的目的。</w:t>
      </w:r>
    </w:p>
    <w:p w14:paraId="600B7600">
      <w:pPr>
        <w:spacing w:before="164" w:line="218" w:lineRule="auto"/>
        <w:ind w:left="1809"/>
        <w:rPr>
          <w:rFonts w:ascii="宋体" w:hAnsi="宋体" w:eastAsia="宋体" w:cs="宋体"/>
          <w:sz w:val="19"/>
          <w:szCs w:val="19"/>
        </w:rPr>
      </w:pPr>
      <w:r>
        <w:rPr>
          <w:rFonts w:ascii="宋体" w:hAnsi="宋体" w:eastAsia="宋体" w:cs="宋体"/>
          <w:spacing w:val="6"/>
          <w:sz w:val="19"/>
          <w:szCs w:val="19"/>
        </w:rPr>
        <w:t>2.</w:t>
      </w:r>
      <w:r>
        <w:rPr>
          <w:rFonts w:ascii="宋体" w:hAnsi="宋体" w:eastAsia="宋体" w:cs="宋体"/>
          <w:spacing w:val="-34"/>
          <w:sz w:val="19"/>
          <w:szCs w:val="19"/>
        </w:rPr>
        <w:t xml:space="preserve"> </w:t>
      </w:r>
      <w:r>
        <w:rPr>
          <w:rFonts w:ascii="宋体" w:hAnsi="宋体" w:eastAsia="宋体" w:cs="宋体"/>
          <w:spacing w:val="6"/>
          <w:sz w:val="19"/>
          <w:szCs w:val="19"/>
        </w:rPr>
        <w:t>筛检试验的评价应包括哪些方面?</w:t>
      </w:r>
    </w:p>
    <w:p w14:paraId="4EE18A12">
      <w:pPr>
        <w:spacing w:before="167" w:line="219" w:lineRule="auto"/>
        <w:ind w:left="1809"/>
        <w:rPr>
          <w:rFonts w:ascii="宋体" w:hAnsi="宋体" w:eastAsia="宋体" w:cs="宋体"/>
          <w:sz w:val="19"/>
          <w:szCs w:val="19"/>
        </w:rPr>
      </w:pPr>
      <w:r>
        <w:rPr>
          <w:rFonts w:ascii="宋体" w:hAnsi="宋体" w:eastAsia="宋体" w:cs="宋体"/>
          <w:spacing w:val="-1"/>
          <w:sz w:val="19"/>
          <w:szCs w:val="19"/>
        </w:rPr>
        <w:t>3.</w:t>
      </w:r>
      <w:r>
        <w:rPr>
          <w:rFonts w:ascii="宋体" w:hAnsi="宋体" w:eastAsia="宋体" w:cs="宋体"/>
          <w:spacing w:val="-24"/>
          <w:sz w:val="19"/>
          <w:szCs w:val="19"/>
        </w:rPr>
        <w:t xml:space="preserve"> </w:t>
      </w:r>
      <w:r>
        <w:rPr>
          <w:rFonts w:ascii="宋体" w:hAnsi="宋体" w:eastAsia="宋体" w:cs="宋体"/>
          <w:spacing w:val="-1"/>
          <w:sz w:val="19"/>
          <w:szCs w:val="19"/>
        </w:rPr>
        <w:t>简述灵敏度、特异度、患病率与预测值</w:t>
      </w:r>
      <w:r>
        <w:rPr>
          <w:rFonts w:ascii="宋体" w:hAnsi="宋体" w:eastAsia="宋体" w:cs="宋体"/>
          <w:spacing w:val="-2"/>
          <w:sz w:val="19"/>
          <w:szCs w:val="19"/>
        </w:rPr>
        <w:t>的关系。</w:t>
      </w:r>
    </w:p>
    <w:p w14:paraId="554A8359">
      <w:pPr>
        <w:spacing w:before="134" w:line="219" w:lineRule="auto"/>
        <w:ind w:left="1809"/>
        <w:rPr>
          <w:rFonts w:ascii="宋体" w:hAnsi="宋体" w:eastAsia="宋体" w:cs="宋体"/>
          <w:sz w:val="19"/>
          <w:szCs w:val="19"/>
        </w:rPr>
      </w:pPr>
      <w:r>
        <w:rPr>
          <w:rFonts w:ascii="宋体" w:hAnsi="宋体" w:eastAsia="宋体" w:cs="宋体"/>
          <w:spacing w:val="4"/>
          <w:sz w:val="19"/>
          <w:szCs w:val="19"/>
        </w:rPr>
        <w:t>4.</w:t>
      </w:r>
      <w:r>
        <w:rPr>
          <w:rFonts w:ascii="宋体" w:hAnsi="宋体" w:eastAsia="宋体" w:cs="宋体"/>
          <w:spacing w:val="-28"/>
          <w:sz w:val="19"/>
          <w:szCs w:val="19"/>
        </w:rPr>
        <w:t xml:space="preserve"> </w:t>
      </w:r>
      <w:r>
        <w:rPr>
          <w:rFonts w:ascii="宋体" w:hAnsi="宋体" w:eastAsia="宋体" w:cs="宋体"/>
          <w:spacing w:val="4"/>
          <w:sz w:val="19"/>
          <w:szCs w:val="19"/>
        </w:rPr>
        <w:t>简述如何提高筛检的收益。</w:t>
      </w:r>
    </w:p>
    <w:p w14:paraId="4977AB3F">
      <w:pPr>
        <w:spacing w:before="154" w:line="218" w:lineRule="auto"/>
        <w:ind w:left="1809"/>
        <w:rPr>
          <w:rFonts w:ascii="宋体" w:hAnsi="宋体" w:eastAsia="宋体" w:cs="宋体"/>
          <w:sz w:val="19"/>
          <w:szCs w:val="19"/>
        </w:rPr>
      </w:pPr>
      <w:r>
        <w:rPr>
          <w:rFonts w:ascii="宋体" w:hAnsi="宋体" w:eastAsia="宋体" w:cs="宋体"/>
          <w:spacing w:val="4"/>
          <w:sz w:val="19"/>
          <w:szCs w:val="19"/>
        </w:rPr>
        <w:t>5.</w:t>
      </w:r>
      <w:r>
        <w:rPr>
          <w:rFonts w:ascii="宋体" w:hAnsi="宋体" w:eastAsia="宋体" w:cs="宋体"/>
          <w:spacing w:val="-16"/>
          <w:sz w:val="19"/>
          <w:szCs w:val="19"/>
        </w:rPr>
        <w:t xml:space="preserve"> </w:t>
      </w:r>
      <w:r>
        <w:rPr>
          <w:rFonts w:ascii="宋体" w:hAnsi="宋体" w:eastAsia="宋体" w:cs="宋体"/>
          <w:spacing w:val="4"/>
          <w:sz w:val="19"/>
          <w:szCs w:val="19"/>
        </w:rPr>
        <w:t>简述筛检效果评价的几个方面。</w:t>
      </w:r>
    </w:p>
    <w:p w14:paraId="3AB02313">
      <w:pPr>
        <w:spacing w:before="157" w:line="184" w:lineRule="auto"/>
        <w:ind w:left="1809"/>
        <w:rPr>
          <w:rFonts w:ascii="宋体" w:hAnsi="宋体" w:eastAsia="宋体" w:cs="宋体"/>
          <w:sz w:val="19"/>
          <w:szCs w:val="19"/>
        </w:rPr>
      </w:pPr>
      <w:r>
        <w:rPr>
          <w:rFonts w:ascii="宋体" w:hAnsi="宋体" w:eastAsia="宋体" w:cs="宋体"/>
          <w:spacing w:val="6"/>
          <w:sz w:val="19"/>
          <w:szCs w:val="19"/>
        </w:rPr>
        <w:t>6.</w:t>
      </w:r>
      <w:r>
        <w:rPr>
          <w:rFonts w:ascii="宋体" w:hAnsi="宋体" w:eastAsia="宋体" w:cs="宋体"/>
          <w:spacing w:val="-22"/>
          <w:sz w:val="19"/>
          <w:szCs w:val="19"/>
        </w:rPr>
        <w:t xml:space="preserve"> </w:t>
      </w:r>
      <w:r>
        <w:rPr>
          <w:rFonts w:ascii="宋体" w:hAnsi="宋体" w:eastAsia="宋体" w:cs="宋体"/>
          <w:spacing w:val="6"/>
          <w:sz w:val="19"/>
          <w:szCs w:val="19"/>
        </w:rPr>
        <w:t>筛检流行病学研究中的主要偏倚有哪些?</w:t>
      </w:r>
    </w:p>
    <w:p w14:paraId="6F37588E">
      <w:pPr>
        <w:spacing w:line="14" w:lineRule="auto"/>
        <w:rPr>
          <w:rFonts w:ascii="Arial"/>
          <w:sz w:val="2"/>
        </w:rPr>
      </w:pPr>
      <w:r>
        <w:rPr>
          <w:rFonts w:ascii="Arial" w:hAnsi="Arial" w:eastAsia="Arial" w:cs="Arial"/>
          <w:sz w:val="2"/>
          <w:szCs w:val="2"/>
        </w:rPr>
        <w:br w:type="column"/>
      </w:r>
    </w:p>
    <w:p w14:paraId="3A7E35AF">
      <w:pPr>
        <w:spacing w:before="49" w:line="300" w:lineRule="exact"/>
        <w:rPr>
          <w:rFonts w:ascii="宋体" w:hAnsi="宋体" w:eastAsia="宋体" w:cs="宋体"/>
          <w:sz w:val="19"/>
          <w:szCs w:val="19"/>
        </w:rPr>
      </w:pPr>
      <w:r>
        <w:rPr>
          <w:rFonts w:ascii="宋体" w:hAnsi="宋体" w:eastAsia="宋体" w:cs="宋体"/>
          <w:spacing w:val="-3"/>
          <w:position w:val="2"/>
          <w:sz w:val="19"/>
          <w:szCs w:val="19"/>
        </w:rPr>
        <w:t>…………………</w:t>
      </w:r>
    </w:p>
    <w:p w14:paraId="235F8513">
      <w:pPr>
        <w:spacing w:line="300" w:lineRule="exact"/>
        <w:rPr>
          <w:rFonts w:ascii="宋体" w:hAnsi="宋体" w:eastAsia="宋体" w:cs="宋体"/>
          <w:sz w:val="19"/>
          <w:szCs w:val="19"/>
        </w:rPr>
        <w:sectPr>
          <w:type w:val="continuous"/>
          <w:pgSz w:w="11900" w:h="16820"/>
          <w:pgMar w:top="400" w:right="1708" w:bottom="752" w:left="1060" w:header="0" w:footer="581" w:gutter="0"/>
          <w:cols w:equalWidth="0" w:num="2">
            <w:col w:w="7660" w:space="100"/>
            <w:col w:w="1372"/>
          </w:cols>
        </w:sectPr>
      </w:pPr>
    </w:p>
    <w:p w14:paraId="19216371">
      <w:pPr>
        <w:spacing w:line="310" w:lineRule="auto"/>
        <w:rPr>
          <w:rFonts w:ascii="Arial"/>
          <w:sz w:val="21"/>
        </w:rPr>
      </w:pPr>
    </w:p>
    <w:p w14:paraId="0DDF05C4">
      <w:pPr>
        <w:spacing w:line="311" w:lineRule="auto"/>
        <w:rPr>
          <w:rFonts w:ascii="Arial"/>
          <w:sz w:val="21"/>
        </w:rPr>
      </w:pPr>
    </w:p>
    <w:p w14:paraId="6C774C61">
      <w:pPr>
        <w:spacing w:line="311" w:lineRule="auto"/>
        <w:rPr>
          <w:rFonts w:ascii="Arial"/>
          <w:sz w:val="21"/>
        </w:rPr>
      </w:pPr>
    </w:p>
    <w:p w14:paraId="3DE6E7AB">
      <w:pPr>
        <w:pStyle w:val="2"/>
        <w:spacing w:before="98" w:line="222" w:lineRule="auto"/>
        <w:ind w:left="4044"/>
        <w:outlineLvl w:val="0"/>
      </w:pPr>
      <w:r>
        <w:drawing>
          <wp:anchor distT="0" distB="0" distL="0" distR="0" simplePos="0" relativeHeight="251819008" behindDoc="0" locked="0" layoutInCell="1" allowOverlap="1">
            <wp:simplePos x="0" y="0"/>
            <wp:positionH relativeFrom="column">
              <wp:posOffset>5155565</wp:posOffset>
            </wp:positionH>
            <wp:positionV relativeFrom="paragraph">
              <wp:posOffset>70485</wp:posOffset>
            </wp:positionV>
            <wp:extent cx="584200" cy="609600"/>
            <wp:effectExtent l="0" t="0" r="0" b="0"/>
            <wp:wrapNone/>
            <wp:docPr id="506" name="IM 506"/>
            <wp:cNvGraphicFramePr/>
            <a:graphic xmlns:a="http://schemas.openxmlformats.org/drawingml/2006/main">
              <a:graphicData uri="http://schemas.openxmlformats.org/drawingml/2006/picture">
                <pic:pic xmlns:pic="http://schemas.openxmlformats.org/drawingml/2006/picture">
                  <pic:nvPicPr>
                    <pic:cNvPr id="506" name="IM 506"/>
                    <pic:cNvPicPr/>
                  </pic:nvPicPr>
                  <pic:blipFill>
                    <a:blip r:embed="rId592"/>
                    <a:stretch>
                      <a:fillRect/>
                    </a:stretch>
                  </pic:blipFill>
                  <pic:spPr>
                    <a:xfrm>
                      <a:off x="0" y="0"/>
                      <a:ext cx="584192" cy="609547"/>
                    </a:xfrm>
                    <a:prstGeom prst="rect">
                      <a:avLst/>
                    </a:prstGeom>
                  </pic:spPr>
                </pic:pic>
              </a:graphicData>
            </a:graphic>
          </wp:anchor>
        </w:drawing>
      </w:r>
      <w:bookmarkStart w:id="219" w:name="bookmark137"/>
      <w:bookmarkEnd w:id="219"/>
      <w:r>
        <w:rPr>
          <w:b/>
          <w:bCs/>
          <w:spacing w:val="-6"/>
        </w:rPr>
        <w:t>第八章</w:t>
      </w:r>
    </w:p>
    <w:p w14:paraId="4A633C07">
      <w:pPr>
        <w:pStyle w:val="2"/>
        <w:spacing w:before="101" w:line="221" w:lineRule="auto"/>
        <w:ind w:left="2496"/>
        <w:outlineLvl w:val="0"/>
        <w:rPr>
          <w:sz w:val="45"/>
          <w:szCs w:val="45"/>
        </w:rPr>
      </w:pPr>
      <w:bookmarkStart w:id="220" w:name="bookmark477"/>
      <w:bookmarkEnd w:id="220"/>
      <w:bookmarkStart w:id="221" w:name="bookmark137"/>
      <w:bookmarkEnd w:id="221"/>
      <w:r>
        <w:rPr>
          <w:b/>
          <w:bCs/>
          <w:spacing w:val="-6"/>
          <w:sz w:val="45"/>
          <w:szCs w:val="45"/>
        </w:rPr>
        <w:t>病因及其发现和推断</w:t>
      </w:r>
    </w:p>
    <w:p w14:paraId="3105FB42">
      <w:pPr>
        <w:spacing w:before="153" w:line="450" w:lineRule="exact"/>
        <w:ind w:firstLine="8999"/>
      </w:pPr>
      <w:r>
        <w:rPr>
          <w:position w:val="-9"/>
        </w:rPr>
        <w:drawing>
          <wp:inline distT="0" distB="0" distL="0" distR="0">
            <wp:extent cx="317500" cy="285750"/>
            <wp:effectExtent l="0" t="0" r="0" b="0"/>
            <wp:docPr id="508" name="IM 508"/>
            <wp:cNvGraphicFramePr/>
            <a:graphic xmlns:a="http://schemas.openxmlformats.org/drawingml/2006/main">
              <a:graphicData uri="http://schemas.openxmlformats.org/drawingml/2006/picture">
                <pic:pic xmlns:pic="http://schemas.openxmlformats.org/drawingml/2006/picture">
                  <pic:nvPicPr>
                    <pic:cNvPr id="508" name="IM 508"/>
                    <pic:cNvPicPr/>
                  </pic:nvPicPr>
                  <pic:blipFill>
                    <a:blip r:embed="rId593"/>
                    <a:stretch>
                      <a:fillRect/>
                    </a:stretch>
                  </pic:blipFill>
                  <pic:spPr>
                    <a:xfrm>
                      <a:off x="0" y="0"/>
                      <a:ext cx="317524" cy="285815"/>
                    </a:xfrm>
                    <a:prstGeom prst="rect">
                      <a:avLst/>
                    </a:prstGeom>
                  </pic:spPr>
                </pic:pic>
              </a:graphicData>
            </a:graphic>
          </wp:inline>
        </w:drawing>
      </w:r>
    </w:p>
    <w:p w14:paraId="4F85CDE9">
      <w:pPr>
        <w:spacing w:before="309" w:line="198" w:lineRule="auto"/>
        <w:ind w:left="1750"/>
        <w:rPr>
          <w:rFonts w:ascii="Arial" w:hAnsi="Arial" w:eastAsia="Arial" w:cs="Arial"/>
          <w:sz w:val="30"/>
          <w:szCs w:val="30"/>
        </w:rPr>
      </w:pPr>
      <w:r>
        <w:rPr>
          <w:rFonts w:ascii="Arial" w:hAnsi="Arial" w:eastAsia="Arial" w:cs="Arial"/>
          <w:b/>
          <w:bCs/>
          <w:spacing w:val="-4"/>
          <w:sz w:val="30"/>
          <w:szCs w:val="30"/>
        </w:rPr>
        <w:t>Chapter 8 Causes and</w:t>
      </w:r>
      <w:r>
        <w:rPr>
          <w:rFonts w:ascii="Arial" w:hAnsi="Arial" w:eastAsia="Arial" w:cs="Arial"/>
          <w:b/>
          <w:bCs/>
          <w:spacing w:val="13"/>
          <w:sz w:val="30"/>
          <w:szCs w:val="30"/>
        </w:rPr>
        <w:t xml:space="preserve"> </w:t>
      </w:r>
      <w:r>
        <w:rPr>
          <w:rFonts w:ascii="Arial" w:hAnsi="Arial" w:eastAsia="Arial" w:cs="Arial"/>
          <w:b/>
          <w:bCs/>
          <w:spacing w:val="-4"/>
          <w:sz w:val="30"/>
          <w:szCs w:val="30"/>
        </w:rPr>
        <w:t>Caus</w:t>
      </w:r>
      <w:r>
        <w:rPr>
          <w:rFonts w:ascii="Arial" w:hAnsi="Arial" w:eastAsia="Arial" w:cs="Arial"/>
          <w:b/>
          <w:bCs/>
          <w:spacing w:val="-5"/>
          <w:sz w:val="30"/>
          <w:szCs w:val="30"/>
        </w:rPr>
        <w:t>al</w:t>
      </w:r>
      <w:r>
        <w:rPr>
          <w:rFonts w:ascii="Arial" w:hAnsi="Arial" w:eastAsia="Arial" w:cs="Arial"/>
          <w:b/>
          <w:bCs/>
          <w:spacing w:val="18"/>
          <w:sz w:val="30"/>
          <w:szCs w:val="30"/>
        </w:rPr>
        <w:t xml:space="preserve"> </w:t>
      </w:r>
      <w:r>
        <w:rPr>
          <w:rFonts w:ascii="Arial" w:hAnsi="Arial" w:eastAsia="Arial" w:cs="Arial"/>
          <w:b/>
          <w:bCs/>
          <w:spacing w:val="-5"/>
          <w:sz w:val="30"/>
          <w:szCs w:val="30"/>
        </w:rPr>
        <w:t>Inference</w:t>
      </w:r>
    </w:p>
    <w:p w14:paraId="6AF444F8">
      <w:pPr>
        <w:spacing w:line="423" w:lineRule="auto"/>
        <w:rPr>
          <w:rFonts w:ascii="Arial"/>
          <w:sz w:val="21"/>
        </w:rPr>
      </w:pPr>
    </w:p>
    <w:p w14:paraId="40183A50">
      <w:pPr>
        <w:spacing w:before="60" w:line="365" w:lineRule="auto"/>
        <w:ind w:right="660" w:firstLine="419"/>
        <w:jc w:val="both"/>
        <w:rPr>
          <w:rFonts w:ascii="Times New Roman" w:hAnsi="Times New Roman" w:eastAsia="Times New Roman" w:cs="Times New Roman"/>
          <w:sz w:val="21"/>
          <w:szCs w:val="21"/>
        </w:rPr>
      </w:pPr>
      <w:r>
        <w:rPr>
          <w:rFonts w:ascii="Times New Roman" w:hAnsi="Times New Roman" w:eastAsia="Times New Roman" w:cs="Times New Roman"/>
          <w:sz w:val="21"/>
          <w:szCs w:val="21"/>
        </w:rPr>
        <w:t>A</w:t>
      </w:r>
      <w:r>
        <w:rPr>
          <w:rFonts w:ascii="Times New Roman" w:hAnsi="Times New Roman" w:eastAsia="Times New Roman" w:cs="Times New Roman"/>
          <w:spacing w:val="19"/>
          <w:w w:val="101"/>
          <w:sz w:val="21"/>
          <w:szCs w:val="21"/>
        </w:rPr>
        <w:t xml:space="preserve"> </w:t>
      </w:r>
      <w:r>
        <w:rPr>
          <w:rFonts w:ascii="Times New Roman" w:hAnsi="Times New Roman" w:eastAsia="Times New Roman" w:cs="Times New Roman"/>
          <w:sz w:val="21"/>
          <w:szCs w:val="21"/>
        </w:rPr>
        <w:t>cause</w:t>
      </w:r>
      <w:r>
        <w:rPr>
          <w:rFonts w:ascii="Times New Roman" w:hAnsi="Times New Roman" w:eastAsia="Times New Roman" w:cs="Times New Roman"/>
          <w:spacing w:val="19"/>
          <w:sz w:val="21"/>
          <w:szCs w:val="21"/>
        </w:rPr>
        <w:t xml:space="preserve"> </w:t>
      </w:r>
      <w:r>
        <w:rPr>
          <w:rFonts w:ascii="Times New Roman" w:hAnsi="Times New Roman" w:eastAsia="Times New Roman" w:cs="Times New Roman"/>
          <w:sz w:val="21"/>
          <w:szCs w:val="21"/>
        </w:rPr>
        <w:t>of disease</w:t>
      </w:r>
      <w:r>
        <w:rPr>
          <w:rFonts w:ascii="Times New Roman" w:hAnsi="Times New Roman" w:eastAsia="Times New Roman" w:cs="Times New Roman"/>
          <w:spacing w:val="17"/>
          <w:w w:val="101"/>
          <w:sz w:val="21"/>
          <w:szCs w:val="21"/>
        </w:rPr>
        <w:t xml:space="preserve"> </w:t>
      </w:r>
      <w:r>
        <w:rPr>
          <w:rFonts w:ascii="Times New Roman" w:hAnsi="Times New Roman" w:eastAsia="Times New Roman" w:cs="Times New Roman"/>
          <w:sz w:val="21"/>
          <w:szCs w:val="21"/>
        </w:rPr>
        <w:t>is</w:t>
      </w:r>
      <w:r>
        <w:rPr>
          <w:rFonts w:ascii="Times New Roman" w:hAnsi="Times New Roman" w:eastAsia="Times New Roman" w:cs="Times New Roman"/>
          <w:spacing w:val="19"/>
          <w:w w:val="101"/>
          <w:sz w:val="21"/>
          <w:szCs w:val="21"/>
        </w:rPr>
        <w:t xml:space="preserve"> </w:t>
      </w:r>
      <w:r>
        <w:rPr>
          <w:rFonts w:ascii="Times New Roman" w:hAnsi="Times New Roman" w:eastAsia="Times New Roman" w:cs="Times New Roman"/>
          <w:sz w:val="21"/>
          <w:szCs w:val="21"/>
        </w:rPr>
        <w:t>an</w:t>
      </w:r>
      <w:r>
        <w:rPr>
          <w:rFonts w:ascii="Times New Roman" w:hAnsi="Times New Roman" w:eastAsia="Times New Roman" w:cs="Times New Roman"/>
          <w:spacing w:val="19"/>
          <w:w w:val="101"/>
          <w:sz w:val="21"/>
          <w:szCs w:val="21"/>
        </w:rPr>
        <w:t xml:space="preserve"> </w:t>
      </w:r>
      <w:r>
        <w:rPr>
          <w:rFonts w:ascii="Times New Roman" w:hAnsi="Times New Roman" w:eastAsia="Times New Roman" w:cs="Times New Roman"/>
          <w:sz w:val="21"/>
          <w:szCs w:val="21"/>
        </w:rPr>
        <w:t>event,condition,or</w:t>
      </w:r>
      <w:r>
        <w:rPr>
          <w:rFonts w:ascii="Times New Roman" w:hAnsi="Times New Roman" w:eastAsia="Times New Roman" w:cs="Times New Roman"/>
          <w:spacing w:val="17"/>
          <w:w w:val="101"/>
          <w:sz w:val="21"/>
          <w:szCs w:val="21"/>
        </w:rPr>
        <w:t xml:space="preserve"> </w:t>
      </w:r>
      <w:r>
        <w:rPr>
          <w:rFonts w:ascii="Times New Roman" w:hAnsi="Times New Roman" w:eastAsia="Times New Roman" w:cs="Times New Roman"/>
          <w:sz w:val="21"/>
          <w:szCs w:val="21"/>
        </w:rPr>
        <w:t>character</w:t>
      </w:r>
      <w:r>
        <w:rPr>
          <w:rFonts w:ascii="Times New Roman" w:hAnsi="Times New Roman" w:eastAsia="Times New Roman" w:cs="Times New Roman"/>
          <w:spacing w:val="-1"/>
          <w:sz w:val="21"/>
          <w:szCs w:val="21"/>
        </w:rPr>
        <w:t>istic</w:t>
      </w:r>
      <w:r>
        <w:rPr>
          <w:rFonts w:ascii="Times New Roman" w:hAnsi="Times New Roman" w:eastAsia="Times New Roman" w:cs="Times New Roman"/>
          <w:spacing w:val="13"/>
          <w:w w:val="101"/>
          <w:sz w:val="21"/>
          <w:szCs w:val="21"/>
        </w:rPr>
        <w:t xml:space="preserve"> </w:t>
      </w:r>
      <w:r>
        <w:rPr>
          <w:rFonts w:ascii="Times New Roman" w:hAnsi="Times New Roman" w:eastAsia="Times New Roman" w:cs="Times New Roman"/>
          <w:spacing w:val="-1"/>
          <w:sz w:val="21"/>
          <w:szCs w:val="21"/>
        </w:rPr>
        <w:t>that plays</w:t>
      </w:r>
      <w:r>
        <w:rPr>
          <w:rFonts w:ascii="Times New Roman" w:hAnsi="Times New Roman" w:eastAsia="Times New Roman" w:cs="Times New Roman"/>
          <w:spacing w:val="19"/>
          <w:w w:val="101"/>
          <w:sz w:val="21"/>
          <w:szCs w:val="21"/>
        </w:rPr>
        <w:t xml:space="preserve"> </w:t>
      </w:r>
      <w:r>
        <w:rPr>
          <w:rFonts w:ascii="Times New Roman" w:hAnsi="Times New Roman" w:eastAsia="Times New Roman" w:cs="Times New Roman"/>
          <w:spacing w:val="-1"/>
          <w:sz w:val="21"/>
          <w:szCs w:val="21"/>
        </w:rPr>
        <w:t>an</w:t>
      </w:r>
      <w:r>
        <w:rPr>
          <w:rFonts w:ascii="Times New Roman" w:hAnsi="Times New Roman" w:eastAsia="Times New Roman" w:cs="Times New Roman"/>
          <w:spacing w:val="19"/>
          <w:w w:val="101"/>
          <w:sz w:val="21"/>
          <w:szCs w:val="21"/>
        </w:rPr>
        <w:t xml:space="preserve"> </w:t>
      </w:r>
      <w:r>
        <w:rPr>
          <w:rFonts w:ascii="Times New Roman" w:hAnsi="Times New Roman" w:eastAsia="Times New Roman" w:cs="Times New Roman"/>
          <w:spacing w:val="-1"/>
          <w:sz w:val="21"/>
          <w:szCs w:val="21"/>
        </w:rPr>
        <w:t>essential</w:t>
      </w:r>
      <w:r>
        <w:rPr>
          <w:rFonts w:ascii="Times New Roman" w:hAnsi="Times New Roman" w:eastAsia="Times New Roman" w:cs="Times New Roman"/>
          <w:spacing w:val="13"/>
          <w:sz w:val="21"/>
          <w:szCs w:val="21"/>
        </w:rPr>
        <w:t xml:space="preserve"> </w:t>
      </w:r>
      <w:r>
        <w:rPr>
          <w:rFonts w:ascii="Times New Roman" w:hAnsi="Times New Roman" w:eastAsia="Times New Roman" w:cs="Times New Roman"/>
          <w:spacing w:val="-1"/>
          <w:sz w:val="21"/>
          <w:szCs w:val="21"/>
        </w:rPr>
        <w:t>role</w:t>
      </w:r>
      <w:r>
        <w:rPr>
          <w:rFonts w:ascii="Times New Roman" w:hAnsi="Times New Roman" w:eastAsia="Times New Roman" w:cs="Times New Roman"/>
          <w:spacing w:val="18"/>
          <w:sz w:val="21"/>
          <w:szCs w:val="21"/>
        </w:rPr>
        <w:t xml:space="preserve"> </w:t>
      </w:r>
      <w:r>
        <w:rPr>
          <w:rFonts w:ascii="Times New Roman" w:hAnsi="Times New Roman" w:eastAsia="Times New Roman" w:cs="Times New Roman"/>
          <w:spacing w:val="-1"/>
          <w:sz w:val="21"/>
          <w:szCs w:val="21"/>
        </w:rPr>
        <w:t>in producing</w:t>
      </w:r>
      <w:r>
        <w:rPr>
          <w:rFonts w:ascii="Times New Roman" w:hAnsi="Times New Roman" w:eastAsia="Times New Roman" w:cs="Times New Roman"/>
          <w:spacing w:val="13"/>
          <w:w w:val="101"/>
          <w:sz w:val="21"/>
          <w:szCs w:val="21"/>
        </w:rPr>
        <w:t xml:space="preserve"> </w:t>
      </w:r>
      <w:r>
        <w:rPr>
          <w:rFonts w:ascii="Times New Roman" w:hAnsi="Times New Roman" w:eastAsia="Times New Roman" w:cs="Times New Roman"/>
          <w:spacing w:val="-1"/>
          <w:sz w:val="21"/>
          <w:szCs w:val="21"/>
        </w:rPr>
        <w:t>the</w:t>
      </w:r>
      <w:r>
        <w:rPr>
          <w:rFonts w:ascii="Times New Roman" w:hAnsi="Times New Roman" w:eastAsia="Times New Roman" w:cs="Times New Roman"/>
          <w:sz w:val="21"/>
          <w:szCs w:val="21"/>
        </w:rPr>
        <w:t xml:space="preserve"> occurrence</w:t>
      </w:r>
      <w:r>
        <w:rPr>
          <w:rFonts w:ascii="Times New Roman" w:hAnsi="Times New Roman" w:eastAsia="Times New Roman" w:cs="Times New Roman"/>
          <w:spacing w:val="24"/>
          <w:sz w:val="21"/>
          <w:szCs w:val="21"/>
        </w:rPr>
        <w:t xml:space="preserve"> </w:t>
      </w:r>
      <w:r>
        <w:rPr>
          <w:rFonts w:ascii="Times New Roman" w:hAnsi="Times New Roman" w:eastAsia="Times New Roman" w:cs="Times New Roman"/>
          <w:sz w:val="21"/>
          <w:szCs w:val="21"/>
        </w:rPr>
        <w:t>of a</w:t>
      </w:r>
      <w:r>
        <w:rPr>
          <w:rFonts w:ascii="Times New Roman" w:hAnsi="Times New Roman" w:eastAsia="Times New Roman" w:cs="Times New Roman"/>
          <w:spacing w:val="23"/>
          <w:sz w:val="21"/>
          <w:szCs w:val="21"/>
        </w:rPr>
        <w:t xml:space="preserve"> </w:t>
      </w:r>
      <w:r>
        <w:rPr>
          <w:rFonts w:ascii="Times New Roman" w:hAnsi="Times New Roman" w:eastAsia="Times New Roman" w:cs="Times New Roman"/>
          <w:sz w:val="21"/>
          <w:szCs w:val="21"/>
        </w:rPr>
        <w:t>disease.A</w:t>
      </w:r>
      <w:r>
        <w:rPr>
          <w:rFonts w:ascii="Times New Roman" w:hAnsi="Times New Roman" w:eastAsia="Times New Roman" w:cs="Times New Roman"/>
          <w:spacing w:val="23"/>
          <w:sz w:val="21"/>
          <w:szCs w:val="21"/>
        </w:rPr>
        <w:t xml:space="preserve"> </w:t>
      </w:r>
      <w:r>
        <w:rPr>
          <w:rFonts w:ascii="Times New Roman" w:hAnsi="Times New Roman" w:eastAsia="Times New Roman" w:cs="Times New Roman"/>
          <w:sz w:val="21"/>
          <w:szCs w:val="21"/>
        </w:rPr>
        <w:t>cause</w:t>
      </w:r>
      <w:r>
        <w:rPr>
          <w:rFonts w:ascii="Times New Roman" w:hAnsi="Times New Roman" w:eastAsia="Times New Roman" w:cs="Times New Roman"/>
          <w:spacing w:val="18"/>
          <w:sz w:val="21"/>
          <w:szCs w:val="21"/>
        </w:rPr>
        <w:t xml:space="preserve"> </w:t>
      </w:r>
      <w:r>
        <w:rPr>
          <w:rFonts w:ascii="Times New Roman" w:hAnsi="Times New Roman" w:eastAsia="Times New Roman" w:cs="Times New Roman"/>
          <w:sz w:val="21"/>
          <w:szCs w:val="21"/>
        </w:rPr>
        <w:t>must</w:t>
      </w:r>
      <w:r>
        <w:rPr>
          <w:rFonts w:ascii="Times New Roman" w:hAnsi="Times New Roman" w:eastAsia="Times New Roman" w:cs="Times New Roman"/>
          <w:spacing w:val="17"/>
          <w:w w:val="101"/>
          <w:sz w:val="21"/>
          <w:szCs w:val="21"/>
        </w:rPr>
        <w:t xml:space="preserve"> </w:t>
      </w:r>
      <w:r>
        <w:rPr>
          <w:rFonts w:ascii="Times New Roman" w:hAnsi="Times New Roman" w:eastAsia="Times New Roman" w:cs="Times New Roman"/>
          <w:sz w:val="21"/>
          <w:szCs w:val="21"/>
        </w:rPr>
        <w:t>meet</w:t>
      </w:r>
      <w:r>
        <w:rPr>
          <w:rFonts w:ascii="Times New Roman" w:hAnsi="Times New Roman" w:eastAsia="Times New Roman" w:cs="Times New Roman"/>
          <w:spacing w:val="18"/>
          <w:sz w:val="21"/>
          <w:szCs w:val="21"/>
        </w:rPr>
        <w:t xml:space="preserve"> </w:t>
      </w:r>
      <w:r>
        <w:rPr>
          <w:rFonts w:ascii="Times New Roman" w:hAnsi="Times New Roman" w:eastAsia="Times New Roman" w:cs="Times New Roman"/>
          <w:sz w:val="21"/>
          <w:szCs w:val="21"/>
        </w:rPr>
        <w:t>three</w:t>
      </w:r>
      <w:r>
        <w:rPr>
          <w:rFonts w:ascii="Times New Roman" w:hAnsi="Times New Roman" w:eastAsia="Times New Roman" w:cs="Times New Roman"/>
          <w:spacing w:val="15"/>
          <w:w w:val="101"/>
          <w:sz w:val="21"/>
          <w:szCs w:val="21"/>
        </w:rPr>
        <w:t xml:space="preserve"> </w:t>
      </w:r>
      <w:r>
        <w:rPr>
          <w:rFonts w:ascii="Times New Roman" w:hAnsi="Times New Roman" w:eastAsia="Times New Roman" w:cs="Times New Roman"/>
          <w:sz w:val="21"/>
          <w:szCs w:val="21"/>
        </w:rPr>
        <w:t>p</w:t>
      </w:r>
      <w:r>
        <w:rPr>
          <w:rFonts w:ascii="Times New Roman" w:hAnsi="Times New Roman" w:eastAsia="Times New Roman" w:cs="Times New Roman"/>
          <w:spacing w:val="-1"/>
          <w:sz w:val="21"/>
          <w:szCs w:val="21"/>
        </w:rPr>
        <w:t>rimary</w:t>
      </w:r>
      <w:r>
        <w:rPr>
          <w:rFonts w:ascii="Times New Roman" w:hAnsi="Times New Roman" w:eastAsia="Times New Roman" w:cs="Times New Roman"/>
          <w:spacing w:val="23"/>
          <w:w w:val="101"/>
          <w:sz w:val="21"/>
          <w:szCs w:val="21"/>
        </w:rPr>
        <w:t xml:space="preserve"> </w:t>
      </w:r>
      <w:r>
        <w:rPr>
          <w:rFonts w:ascii="Times New Roman" w:hAnsi="Times New Roman" w:eastAsia="Times New Roman" w:cs="Times New Roman"/>
          <w:spacing w:val="-1"/>
          <w:sz w:val="21"/>
          <w:szCs w:val="21"/>
        </w:rPr>
        <w:t>criteria:1)it</w:t>
      </w:r>
      <w:r>
        <w:rPr>
          <w:rFonts w:ascii="Times New Roman" w:hAnsi="Times New Roman" w:eastAsia="Times New Roman" w:cs="Times New Roman"/>
          <w:spacing w:val="17"/>
          <w:w w:val="101"/>
          <w:sz w:val="21"/>
          <w:szCs w:val="21"/>
        </w:rPr>
        <w:t xml:space="preserve"> </w:t>
      </w:r>
      <w:r>
        <w:rPr>
          <w:rFonts w:ascii="Times New Roman" w:hAnsi="Times New Roman" w:eastAsia="Times New Roman" w:cs="Times New Roman"/>
          <w:spacing w:val="-1"/>
          <w:sz w:val="21"/>
          <w:szCs w:val="21"/>
        </w:rPr>
        <w:t>must</w:t>
      </w:r>
      <w:r>
        <w:rPr>
          <w:rFonts w:ascii="Times New Roman" w:hAnsi="Times New Roman" w:eastAsia="Times New Roman" w:cs="Times New Roman"/>
          <w:spacing w:val="22"/>
          <w:w w:val="101"/>
          <w:sz w:val="21"/>
          <w:szCs w:val="21"/>
        </w:rPr>
        <w:t xml:space="preserve"> </w:t>
      </w:r>
      <w:r>
        <w:rPr>
          <w:rFonts w:ascii="Times New Roman" w:hAnsi="Times New Roman" w:eastAsia="Times New Roman" w:cs="Times New Roman"/>
          <w:spacing w:val="-1"/>
          <w:sz w:val="21"/>
          <w:szCs w:val="21"/>
        </w:rPr>
        <w:t>occur</w:t>
      </w:r>
      <w:r>
        <w:rPr>
          <w:rFonts w:ascii="Times New Roman" w:hAnsi="Times New Roman" w:eastAsia="Times New Roman" w:cs="Times New Roman"/>
          <w:spacing w:val="14"/>
          <w:w w:val="101"/>
          <w:sz w:val="21"/>
          <w:szCs w:val="21"/>
        </w:rPr>
        <w:t xml:space="preserve"> </w:t>
      </w:r>
      <w:r>
        <w:rPr>
          <w:rFonts w:ascii="Times New Roman" w:hAnsi="Times New Roman" w:eastAsia="Times New Roman" w:cs="Times New Roman"/>
          <w:spacing w:val="-1"/>
          <w:sz w:val="21"/>
          <w:szCs w:val="21"/>
        </w:rPr>
        <w:t>prior</w:t>
      </w:r>
      <w:r>
        <w:rPr>
          <w:rFonts w:ascii="Times New Roman" w:hAnsi="Times New Roman" w:eastAsia="Times New Roman" w:cs="Times New Roman"/>
          <w:spacing w:val="17"/>
          <w:sz w:val="21"/>
          <w:szCs w:val="21"/>
        </w:rPr>
        <w:t xml:space="preserve"> </w:t>
      </w:r>
      <w:r>
        <w:rPr>
          <w:rFonts w:ascii="Times New Roman" w:hAnsi="Times New Roman" w:eastAsia="Times New Roman" w:cs="Times New Roman"/>
          <w:spacing w:val="-1"/>
          <w:sz w:val="21"/>
          <w:szCs w:val="21"/>
        </w:rPr>
        <w:t>to</w:t>
      </w:r>
      <w:r>
        <w:rPr>
          <w:rFonts w:ascii="Times New Roman" w:hAnsi="Times New Roman" w:eastAsia="Times New Roman" w:cs="Times New Roman"/>
          <w:spacing w:val="18"/>
          <w:w w:val="101"/>
          <w:sz w:val="21"/>
          <w:szCs w:val="21"/>
        </w:rPr>
        <w:t xml:space="preserve"> </w:t>
      </w:r>
      <w:r>
        <w:rPr>
          <w:rFonts w:ascii="Times New Roman" w:hAnsi="Times New Roman" w:eastAsia="Times New Roman" w:cs="Times New Roman"/>
          <w:spacing w:val="-1"/>
          <w:sz w:val="21"/>
          <w:szCs w:val="21"/>
        </w:rPr>
        <w:t>the</w:t>
      </w:r>
      <w:r>
        <w:rPr>
          <w:rFonts w:ascii="Times New Roman" w:hAnsi="Times New Roman" w:eastAsia="Times New Roman" w:cs="Times New Roman"/>
          <w:spacing w:val="24"/>
          <w:sz w:val="21"/>
          <w:szCs w:val="21"/>
        </w:rPr>
        <w:t xml:space="preserve"> </w:t>
      </w:r>
      <w:r>
        <w:rPr>
          <w:rFonts w:ascii="Times New Roman" w:hAnsi="Times New Roman" w:eastAsia="Times New Roman" w:cs="Times New Roman"/>
          <w:spacing w:val="-1"/>
          <w:sz w:val="21"/>
          <w:szCs w:val="21"/>
        </w:rPr>
        <w:t>effect,2)this</w:t>
      </w:r>
      <w:r>
        <w:rPr>
          <w:rFonts w:ascii="Times New Roman" w:hAnsi="Times New Roman" w:eastAsia="Times New Roman" w:cs="Times New Roman"/>
          <w:sz w:val="21"/>
          <w:szCs w:val="21"/>
        </w:rPr>
        <w:t xml:space="preserve"> temporal relation of</w:t>
      </w:r>
      <w:r>
        <w:rPr>
          <w:rFonts w:ascii="Times New Roman" w:hAnsi="Times New Roman" w:eastAsia="Times New Roman" w:cs="Times New Roman"/>
          <w:spacing w:val="-12"/>
          <w:sz w:val="21"/>
          <w:szCs w:val="21"/>
        </w:rPr>
        <w:t xml:space="preserve"> </w:t>
      </w:r>
      <w:r>
        <w:rPr>
          <w:rFonts w:ascii="Times New Roman" w:hAnsi="Times New Roman" w:eastAsia="Times New Roman" w:cs="Times New Roman"/>
          <w:sz w:val="21"/>
          <w:szCs w:val="21"/>
        </w:rPr>
        <w:t>cause followed by effect must be repeatedly</w:t>
      </w:r>
      <w:r>
        <w:rPr>
          <w:rFonts w:ascii="Times New Roman" w:hAnsi="Times New Roman" w:eastAsia="Times New Roman" w:cs="Times New Roman"/>
          <w:spacing w:val="9"/>
          <w:sz w:val="21"/>
          <w:szCs w:val="21"/>
        </w:rPr>
        <w:t xml:space="preserve"> </w:t>
      </w:r>
      <w:r>
        <w:rPr>
          <w:rFonts w:ascii="Times New Roman" w:hAnsi="Times New Roman" w:eastAsia="Times New Roman" w:cs="Times New Roman"/>
          <w:sz w:val="21"/>
          <w:szCs w:val="21"/>
        </w:rPr>
        <w:t>observed,and</w:t>
      </w:r>
      <w:r>
        <w:rPr>
          <w:rFonts w:ascii="Times New Roman" w:hAnsi="Times New Roman" w:eastAsia="Times New Roman" w:cs="Times New Roman"/>
          <w:spacing w:val="11"/>
          <w:sz w:val="21"/>
          <w:szCs w:val="21"/>
        </w:rPr>
        <w:t xml:space="preserve"> </w:t>
      </w:r>
      <w:r>
        <w:rPr>
          <w:rFonts w:ascii="Times New Roman" w:hAnsi="Times New Roman" w:eastAsia="Times New Roman" w:cs="Times New Roman"/>
          <w:sz w:val="21"/>
          <w:szCs w:val="21"/>
        </w:rPr>
        <w:t>3)changes</w:t>
      </w:r>
      <w:r>
        <w:rPr>
          <w:rFonts w:ascii="Times New Roman" w:hAnsi="Times New Roman" w:eastAsia="Times New Roman" w:cs="Times New Roman"/>
          <w:spacing w:val="9"/>
          <w:sz w:val="21"/>
          <w:szCs w:val="21"/>
        </w:rPr>
        <w:t xml:space="preserve"> </w:t>
      </w:r>
      <w:r>
        <w:rPr>
          <w:rFonts w:ascii="Times New Roman" w:hAnsi="Times New Roman" w:eastAsia="Times New Roman" w:cs="Times New Roman"/>
          <w:sz w:val="21"/>
          <w:szCs w:val="21"/>
        </w:rPr>
        <w:t>in</w:t>
      </w:r>
      <w:r>
        <w:rPr>
          <w:rFonts w:ascii="Times New Roman" w:hAnsi="Times New Roman" w:eastAsia="Times New Roman" w:cs="Times New Roman"/>
          <w:spacing w:val="4"/>
          <w:sz w:val="21"/>
          <w:szCs w:val="21"/>
        </w:rPr>
        <w:t xml:space="preserve"> </w:t>
      </w:r>
      <w:r>
        <w:rPr>
          <w:rFonts w:ascii="Times New Roman" w:hAnsi="Times New Roman" w:eastAsia="Times New Roman" w:cs="Times New Roman"/>
          <w:sz w:val="21"/>
          <w:szCs w:val="21"/>
        </w:rPr>
        <w:t>the</w:t>
      </w:r>
      <w:r>
        <w:rPr>
          <w:rFonts w:ascii="Times New Roman" w:hAnsi="Times New Roman" w:eastAsia="Times New Roman" w:cs="Times New Roman"/>
          <w:spacing w:val="10"/>
          <w:sz w:val="21"/>
          <w:szCs w:val="21"/>
        </w:rPr>
        <w:t xml:space="preserve"> </w:t>
      </w:r>
      <w:r>
        <w:rPr>
          <w:rFonts w:ascii="Times New Roman" w:hAnsi="Times New Roman" w:eastAsia="Times New Roman" w:cs="Times New Roman"/>
          <w:sz w:val="21"/>
          <w:szCs w:val="21"/>
        </w:rPr>
        <w:t>effec</w:t>
      </w:r>
      <w:r>
        <w:rPr>
          <w:rFonts w:ascii="Times New Roman" w:hAnsi="Times New Roman" w:eastAsia="Times New Roman" w:cs="Times New Roman"/>
          <w:spacing w:val="-1"/>
          <w:sz w:val="21"/>
          <w:szCs w:val="21"/>
        </w:rPr>
        <w:t>t must</w:t>
      </w:r>
      <w:r>
        <w:rPr>
          <w:rFonts w:ascii="Times New Roman" w:hAnsi="Times New Roman" w:eastAsia="Times New Roman" w:cs="Times New Roman"/>
          <w:sz w:val="21"/>
          <w:szCs w:val="21"/>
        </w:rPr>
        <w:t xml:space="preserve"> </w:t>
      </w:r>
      <w:r>
        <w:rPr>
          <w:rFonts w:ascii="Times New Roman" w:hAnsi="Times New Roman" w:eastAsia="Times New Roman" w:cs="Times New Roman"/>
          <w:spacing w:val="-1"/>
          <w:sz w:val="21"/>
          <w:szCs w:val="21"/>
        </w:rPr>
        <w:t>be a consequence of</w:t>
      </w:r>
      <w:r>
        <w:rPr>
          <w:rFonts w:ascii="Times New Roman" w:hAnsi="Times New Roman" w:eastAsia="Times New Roman" w:cs="Times New Roman"/>
          <w:spacing w:val="-4"/>
          <w:sz w:val="21"/>
          <w:szCs w:val="21"/>
        </w:rPr>
        <w:t xml:space="preserve"> </w:t>
      </w:r>
      <w:r>
        <w:rPr>
          <w:rFonts w:ascii="Times New Roman" w:hAnsi="Times New Roman" w:eastAsia="Times New Roman" w:cs="Times New Roman"/>
          <w:spacing w:val="-1"/>
          <w:sz w:val="21"/>
          <w:szCs w:val="21"/>
        </w:rPr>
        <w:t>or explained by changes in the</w:t>
      </w:r>
      <w:r>
        <w:rPr>
          <w:rFonts w:ascii="Times New Roman" w:hAnsi="Times New Roman" w:eastAsia="Times New Roman" w:cs="Times New Roman"/>
          <w:spacing w:val="7"/>
          <w:sz w:val="21"/>
          <w:szCs w:val="21"/>
        </w:rPr>
        <w:t xml:space="preserve"> </w:t>
      </w:r>
      <w:r>
        <w:rPr>
          <w:rFonts w:ascii="Times New Roman" w:hAnsi="Times New Roman" w:eastAsia="Times New Roman" w:cs="Times New Roman"/>
          <w:spacing w:val="-1"/>
          <w:sz w:val="21"/>
          <w:szCs w:val="21"/>
        </w:rPr>
        <w:t>cause.Modern</w:t>
      </w:r>
      <w:r>
        <w:rPr>
          <w:rFonts w:ascii="Times New Roman" w:hAnsi="Times New Roman" w:eastAsia="Times New Roman" w:cs="Times New Roman"/>
          <w:spacing w:val="7"/>
          <w:sz w:val="21"/>
          <w:szCs w:val="21"/>
        </w:rPr>
        <w:t xml:space="preserve"> </w:t>
      </w:r>
      <w:r>
        <w:rPr>
          <w:rFonts w:ascii="Times New Roman" w:hAnsi="Times New Roman" w:eastAsia="Times New Roman" w:cs="Times New Roman"/>
          <w:spacing w:val="-1"/>
          <w:sz w:val="21"/>
          <w:szCs w:val="21"/>
        </w:rPr>
        <w:t>epidemiology recognizes that the</w:t>
      </w:r>
      <w:r>
        <w:rPr>
          <w:rFonts w:ascii="Times New Roman" w:hAnsi="Times New Roman" w:eastAsia="Times New Roman" w:cs="Times New Roman"/>
          <w:spacing w:val="6"/>
          <w:sz w:val="21"/>
          <w:szCs w:val="21"/>
        </w:rPr>
        <w:t xml:space="preserve"> </w:t>
      </w:r>
      <w:r>
        <w:rPr>
          <w:rFonts w:ascii="Times New Roman" w:hAnsi="Times New Roman" w:eastAsia="Times New Roman" w:cs="Times New Roman"/>
          <w:spacing w:val="-1"/>
          <w:sz w:val="21"/>
          <w:szCs w:val="21"/>
        </w:rPr>
        <w:t>cause</w:t>
      </w:r>
      <w:r>
        <w:rPr>
          <w:rFonts w:ascii="Times New Roman" w:hAnsi="Times New Roman" w:eastAsia="Times New Roman" w:cs="Times New Roman"/>
          <w:spacing w:val="7"/>
          <w:sz w:val="21"/>
          <w:szCs w:val="21"/>
        </w:rPr>
        <w:t xml:space="preserve"> </w:t>
      </w:r>
      <w:r>
        <w:rPr>
          <w:rFonts w:ascii="Times New Roman" w:hAnsi="Times New Roman" w:eastAsia="Times New Roman" w:cs="Times New Roman"/>
          <w:spacing w:val="-1"/>
          <w:sz w:val="21"/>
          <w:szCs w:val="21"/>
        </w:rPr>
        <w:t>of</w:t>
      </w:r>
      <w:r>
        <w:rPr>
          <w:rFonts w:ascii="Times New Roman" w:hAnsi="Times New Roman" w:eastAsia="Times New Roman" w:cs="Times New Roman"/>
          <w:sz w:val="21"/>
          <w:szCs w:val="21"/>
        </w:rPr>
        <w:t xml:space="preserve"> </w:t>
      </w:r>
      <w:r>
        <w:rPr>
          <w:rFonts w:ascii="Times New Roman" w:hAnsi="Times New Roman" w:eastAsia="Times New Roman" w:cs="Times New Roman"/>
          <w:spacing w:val="-1"/>
          <w:sz w:val="21"/>
          <w:szCs w:val="21"/>
        </w:rPr>
        <w:t>disease</w:t>
      </w:r>
      <w:r>
        <w:rPr>
          <w:rFonts w:ascii="Times New Roman" w:hAnsi="Times New Roman" w:eastAsia="Times New Roman" w:cs="Times New Roman"/>
          <w:spacing w:val="44"/>
          <w:w w:val="101"/>
          <w:sz w:val="21"/>
          <w:szCs w:val="21"/>
        </w:rPr>
        <w:t xml:space="preserve"> </w:t>
      </w:r>
      <w:r>
        <w:rPr>
          <w:rFonts w:ascii="Times New Roman" w:hAnsi="Times New Roman" w:eastAsia="Times New Roman" w:cs="Times New Roman"/>
          <w:spacing w:val="-1"/>
          <w:sz w:val="21"/>
          <w:szCs w:val="21"/>
        </w:rPr>
        <w:t>is</w:t>
      </w:r>
      <w:r>
        <w:rPr>
          <w:rFonts w:ascii="Times New Roman" w:hAnsi="Times New Roman" w:eastAsia="Times New Roman" w:cs="Times New Roman"/>
          <w:spacing w:val="25"/>
          <w:sz w:val="21"/>
          <w:szCs w:val="21"/>
        </w:rPr>
        <w:t xml:space="preserve"> </w:t>
      </w:r>
      <w:r>
        <w:rPr>
          <w:rFonts w:ascii="Times New Roman" w:hAnsi="Times New Roman" w:eastAsia="Times New Roman" w:cs="Times New Roman"/>
          <w:spacing w:val="-1"/>
          <w:sz w:val="21"/>
          <w:szCs w:val="21"/>
        </w:rPr>
        <w:t>multiple,and</w:t>
      </w:r>
      <w:r>
        <w:rPr>
          <w:rFonts w:ascii="Times New Roman" w:hAnsi="Times New Roman" w:eastAsia="Times New Roman" w:cs="Times New Roman"/>
          <w:spacing w:val="30"/>
          <w:w w:val="101"/>
          <w:sz w:val="21"/>
          <w:szCs w:val="21"/>
        </w:rPr>
        <w:t xml:space="preserve"> </w:t>
      </w:r>
      <w:r>
        <w:rPr>
          <w:rFonts w:ascii="Times New Roman" w:hAnsi="Times New Roman" w:eastAsia="Times New Roman" w:cs="Times New Roman"/>
          <w:spacing w:val="-1"/>
          <w:sz w:val="21"/>
          <w:szCs w:val="21"/>
        </w:rPr>
        <w:t>a</w:t>
      </w:r>
      <w:r>
        <w:rPr>
          <w:rFonts w:ascii="Times New Roman" w:hAnsi="Times New Roman" w:eastAsia="Times New Roman" w:cs="Times New Roman"/>
          <w:spacing w:val="33"/>
          <w:w w:val="101"/>
          <w:sz w:val="21"/>
          <w:szCs w:val="21"/>
        </w:rPr>
        <w:t xml:space="preserve"> </w:t>
      </w:r>
      <w:r>
        <w:rPr>
          <w:rFonts w:ascii="Times New Roman" w:hAnsi="Times New Roman" w:eastAsia="Times New Roman" w:cs="Times New Roman"/>
          <w:spacing w:val="-1"/>
          <w:sz w:val="21"/>
          <w:szCs w:val="21"/>
        </w:rPr>
        <w:t>single</w:t>
      </w:r>
      <w:r>
        <w:rPr>
          <w:rFonts w:ascii="Times New Roman" w:hAnsi="Times New Roman" w:eastAsia="Times New Roman" w:cs="Times New Roman"/>
          <w:spacing w:val="31"/>
          <w:w w:val="101"/>
          <w:sz w:val="21"/>
          <w:szCs w:val="21"/>
        </w:rPr>
        <w:t xml:space="preserve"> </w:t>
      </w:r>
      <w:r>
        <w:rPr>
          <w:rFonts w:ascii="Times New Roman" w:hAnsi="Times New Roman" w:eastAsia="Times New Roman" w:cs="Times New Roman"/>
          <w:spacing w:val="-1"/>
          <w:sz w:val="21"/>
          <w:szCs w:val="21"/>
        </w:rPr>
        <w:t>factor</w:t>
      </w:r>
      <w:r>
        <w:rPr>
          <w:rFonts w:ascii="Times New Roman" w:hAnsi="Times New Roman" w:eastAsia="Times New Roman" w:cs="Times New Roman"/>
          <w:spacing w:val="23"/>
          <w:w w:val="101"/>
          <w:sz w:val="21"/>
          <w:szCs w:val="21"/>
        </w:rPr>
        <w:t xml:space="preserve"> </w:t>
      </w:r>
      <w:r>
        <w:rPr>
          <w:rFonts w:ascii="Times New Roman" w:hAnsi="Times New Roman" w:eastAsia="Times New Roman" w:cs="Times New Roman"/>
          <w:spacing w:val="-1"/>
          <w:sz w:val="21"/>
          <w:szCs w:val="21"/>
        </w:rPr>
        <w:t>may</w:t>
      </w:r>
      <w:r>
        <w:rPr>
          <w:rFonts w:ascii="Times New Roman" w:hAnsi="Times New Roman" w:eastAsia="Times New Roman" w:cs="Times New Roman"/>
          <w:spacing w:val="23"/>
          <w:w w:val="101"/>
          <w:sz w:val="21"/>
          <w:szCs w:val="21"/>
        </w:rPr>
        <w:t xml:space="preserve"> </w:t>
      </w:r>
      <w:r>
        <w:rPr>
          <w:rFonts w:ascii="Times New Roman" w:hAnsi="Times New Roman" w:eastAsia="Times New Roman" w:cs="Times New Roman"/>
          <w:spacing w:val="-1"/>
          <w:sz w:val="21"/>
          <w:szCs w:val="21"/>
        </w:rPr>
        <w:t>be</w:t>
      </w:r>
      <w:r>
        <w:rPr>
          <w:rFonts w:ascii="Times New Roman" w:hAnsi="Times New Roman" w:eastAsia="Times New Roman" w:cs="Times New Roman"/>
          <w:spacing w:val="24"/>
          <w:w w:val="101"/>
          <w:sz w:val="21"/>
          <w:szCs w:val="21"/>
        </w:rPr>
        <w:t xml:space="preserve"> </w:t>
      </w:r>
      <w:r>
        <w:rPr>
          <w:rFonts w:ascii="Times New Roman" w:hAnsi="Times New Roman" w:eastAsia="Times New Roman" w:cs="Times New Roman"/>
          <w:spacing w:val="-1"/>
          <w:sz w:val="21"/>
          <w:szCs w:val="21"/>
        </w:rPr>
        <w:t>necessary</w:t>
      </w:r>
      <w:r>
        <w:rPr>
          <w:rFonts w:ascii="Times New Roman" w:hAnsi="Times New Roman" w:eastAsia="Times New Roman" w:cs="Times New Roman"/>
          <w:spacing w:val="30"/>
          <w:w w:val="101"/>
          <w:sz w:val="21"/>
          <w:szCs w:val="21"/>
        </w:rPr>
        <w:t xml:space="preserve"> </w:t>
      </w:r>
      <w:r>
        <w:rPr>
          <w:rFonts w:ascii="Times New Roman" w:hAnsi="Times New Roman" w:eastAsia="Times New Roman" w:cs="Times New Roman"/>
          <w:spacing w:val="-1"/>
          <w:sz w:val="21"/>
          <w:szCs w:val="21"/>
        </w:rPr>
        <w:t>or</w:t>
      </w:r>
      <w:r>
        <w:rPr>
          <w:rFonts w:ascii="Times New Roman" w:hAnsi="Times New Roman" w:eastAsia="Times New Roman" w:cs="Times New Roman"/>
          <w:spacing w:val="29"/>
          <w:w w:val="101"/>
          <w:sz w:val="21"/>
          <w:szCs w:val="21"/>
        </w:rPr>
        <w:t xml:space="preserve"> </w:t>
      </w:r>
      <w:r>
        <w:rPr>
          <w:rFonts w:ascii="Times New Roman" w:hAnsi="Times New Roman" w:eastAsia="Times New Roman" w:cs="Times New Roman"/>
          <w:spacing w:val="-1"/>
          <w:sz w:val="21"/>
          <w:szCs w:val="21"/>
        </w:rPr>
        <w:t>always</w:t>
      </w:r>
      <w:r>
        <w:rPr>
          <w:rFonts w:ascii="Times New Roman" w:hAnsi="Times New Roman" w:eastAsia="Times New Roman" w:cs="Times New Roman"/>
          <w:spacing w:val="24"/>
          <w:w w:val="101"/>
          <w:sz w:val="21"/>
          <w:szCs w:val="21"/>
        </w:rPr>
        <w:t xml:space="preserve"> </w:t>
      </w:r>
      <w:r>
        <w:rPr>
          <w:rFonts w:ascii="Times New Roman" w:hAnsi="Times New Roman" w:eastAsia="Times New Roman" w:cs="Times New Roman"/>
          <w:spacing w:val="-1"/>
          <w:sz w:val="21"/>
          <w:szCs w:val="21"/>
        </w:rPr>
        <w:t>needed(e.g.,for</w:t>
      </w:r>
      <w:r>
        <w:rPr>
          <w:rFonts w:ascii="Times New Roman" w:hAnsi="Times New Roman" w:eastAsia="Times New Roman" w:cs="Times New Roman"/>
          <w:spacing w:val="28"/>
          <w:sz w:val="21"/>
          <w:szCs w:val="21"/>
        </w:rPr>
        <w:t xml:space="preserve"> </w:t>
      </w:r>
      <w:r>
        <w:rPr>
          <w:rFonts w:ascii="Times New Roman" w:hAnsi="Times New Roman" w:eastAsia="Times New Roman" w:cs="Times New Roman"/>
          <w:spacing w:val="-1"/>
          <w:sz w:val="21"/>
          <w:szCs w:val="21"/>
        </w:rPr>
        <w:t>infectious</w:t>
      </w:r>
      <w:r>
        <w:rPr>
          <w:rFonts w:ascii="Times New Roman" w:hAnsi="Times New Roman" w:eastAsia="Times New Roman" w:cs="Times New Roman"/>
          <w:spacing w:val="30"/>
          <w:w w:val="101"/>
          <w:sz w:val="21"/>
          <w:szCs w:val="21"/>
        </w:rPr>
        <w:t xml:space="preserve"> </w:t>
      </w:r>
      <w:r>
        <w:rPr>
          <w:rFonts w:ascii="Times New Roman" w:hAnsi="Times New Roman" w:eastAsia="Times New Roman" w:cs="Times New Roman"/>
          <w:spacing w:val="-1"/>
          <w:sz w:val="21"/>
          <w:szCs w:val="21"/>
        </w:rPr>
        <w:t>disease)but</w:t>
      </w:r>
      <w:r>
        <w:rPr>
          <w:rFonts w:ascii="Times New Roman" w:hAnsi="Times New Roman" w:eastAsia="Times New Roman" w:cs="Times New Roman"/>
          <w:sz w:val="21"/>
          <w:szCs w:val="21"/>
        </w:rPr>
        <w:t xml:space="preserve"> </w:t>
      </w:r>
      <w:r>
        <w:rPr>
          <w:rFonts w:ascii="Times New Roman" w:hAnsi="Times New Roman" w:eastAsia="Times New Roman" w:cs="Times New Roman"/>
          <w:spacing w:val="-1"/>
          <w:sz w:val="21"/>
          <w:szCs w:val="21"/>
        </w:rPr>
        <w:t>is</w:t>
      </w:r>
      <w:r>
        <w:rPr>
          <w:rFonts w:ascii="Times New Roman" w:hAnsi="Times New Roman" w:eastAsia="Times New Roman" w:cs="Times New Roman"/>
          <w:spacing w:val="29"/>
          <w:sz w:val="21"/>
          <w:szCs w:val="21"/>
        </w:rPr>
        <w:t xml:space="preserve"> </w:t>
      </w:r>
      <w:r>
        <w:rPr>
          <w:rFonts w:ascii="Times New Roman" w:hAnsi="Times New Roman" w:eastAsia="Times New Roman" w:cs="Times New Roman"/>
          <w:spacing w:val="-1"/>
          <w:sz w:val="21"/>
          <w:szCs w:val="21"/>
        </w:rPr>
        <w:t>rarely</w:t>
      </w:r>
      <w:r>
        <w:rPr>
          <w:rFonts w:ascii="Times New Roman" w:hAnsi="Times New Roman" w:eastAsia="Times New Roman" w:cs="Times New Roman"/>
          <w:spacing w:val="27"/>
          <w:sz w:val="21"/>
          <w:szCs w:val="21"/>
        </w:rPr>
        <w:t xml:space="preserve"> </w:t>
      </w:r>
      <w:r>
        <w:rPr>
          <w:rFonts w:ascii="Times New Roman" w:hAnsi="Times New Roman" w:eastAsia="Times New Roman" w:cs="Times New Roman"/>
          <w:spacing w:val="-1"/>
          <w:sz w:val="21"/>
          <w:szCs w:val="21"/>
        </w:rPr>
        <w:t>sufficient</w:t>
      </w:r>
      <w:r>
        <w:rPr>
          <w:rFonts w:ascii="Times New Roman" w:hAnsi="Times New Roman" w:eastAsia="Times New Roman" w:cs="Times New Roman"/>
          <w:spacing w:val="18"/>
          <w:w w:val="101"/>
          <w:sz w:val="21"/>
          <w:szCs w:val="21"/>
        </w:rPr>
        <w:t xml:space="preserve"> </w:t>
      </w:r>
      <w:r>
        <w:rPr>
          <w:rFonts w:ascii="Times New Roman" w:hAnsi="Times New Roman" w:eastAsia="Times New Roman" w:cs="Times New Roman"/>
          <w:spacing w:val="-1"/>
          <w:sz w:val="21"/>
          <w:szCs w:val="21"/>
        </w:rPr>
        <w:t>to</w:t>
      </w:r>
      <w:r>
        <w:rPr>
          <w:rFonts w:ascii="Times New Roman" w:hAnsi="Times New Roman" w:eastAsia="Times New Roman" w:cs="Times New Roman"/>
          <w:spacing w:val="24"/>
          <w:sz w:val="21"/>
          <w:szCs w:val="21"/>
        </w:rPr>
        <w:t xml:space="preserve"> </w:t>
      </w:r>
      <w:r>
        <w:rPr>
          <w:rFonts w:ascii="Times New Roman" w:hAnsi="Times New Roman" w:eastAsia="Times New Roman" w:cs="Times New Roman"/>
          <w:spacing w:val="-1"/>
          <w:sz w:val="21"/>
          <w:szCs w:val="21"/>
        </w:rPr>
        <w:t>cause</w:t>
      </w:r>
      <w:r>
        <w:rPr>
          <w:rFonts w:ascii="Times New Roman" w:hAnsi="Times New Roman" w:eastAsia="Times New Roman" w:cs="Times New Roman"/>
          <w:spacing w:val="24"/>
          <w:sz w:val="21"/>
          <w:szCs w:val="21"/>
        </w:rPr>
        <w:t xml:space="preserve"> </w:t>
      </w:r>
      <w:r>
        <w:rPr>
          <w:rFonts w:ascii="Times New Roman" w:hAnsi="Times New Roman" w:eastAsia="Times New Roman" w:cs="Times New Roman"/>
          <w:spacing w:val="-1"/>
          <w:sz w:val="21"/>
          <w:szCs w:val="21"/>
        </w:rPr>
        <w:t>a</w:t>
      </w:r>
      <w:r>
        <w:rPr>
          <w:rFonts w:ascii="Times New Roman" w:hAnsi="Times New Roman" w:eastAsia="Times New Roman" w:cs="Times New Roman"/>
          <w:spacing w:val="24"/>
          <w:sz w:val="21"/>
          <w:szCs w:val="21"/>
        </w:rPr>
        <w:t xml:space="preserve"> </w:t>
      </w:r>
      <w:r>
        <w:rPr>
          <w:rFonts w:ascii="Times New Roman" w:hAnsi="Times New Roman" w:eastAsia="Times New Roman" w:cs="Times New Roman"/>
          <w:spacing w:val="-1"/>
          <w:sz w:val="21"/>
          <w:szCs w:val="21"/>
        </w:rPr>
        <w:t>disease.Causes</w:t>
      </w:r>
      <w:r>
        <w:rPr>
          <w:rFonts w:ascii="Times New Roman" w:hAnsi="Times New Roman" w:eastAsia="Times New Roman" w:cs="Times New Roman"/>
          <w:spacing w:val="23"/>
          <w:w w:val="101"/>
          <w:sz w:val="21"/>
          <w:szCs w:val="21"/>
        </w:rPr>
        <w:t xml:space="preserve"> </w:t>
      </w:r>
      <w:r>
        <w:rPr>
          <w:rFonts w:ascii="Times New Roman" w:hAnsi="Times New Roman" w:eastAsia="Times New Roman" w:cs="Times New Roman"/>
          <w:spacing w:val="-1"/>
          <w:sz w:val="21"/>
          <w:szCs w:val="21"/>
        </w:rPr>
        <w:t>of disease</w:t>
      </w:r>
      <w:r>
        <w:rPr>
          <w:rFonts w:ascii="Times New Roman" w:hAnsi="Times New Roman" w:eastAsia="Times New Roman" w:cs="Times New Roman"/>
          <w:spacing w:val="24"/>
          <w:sz w:val="21"/>
          <w:szCs w:val="21"/>
        </w:rPr>
        <w:t xml:space="preserve"> </w:t>
      </w:r>
      <w:r>
        <w:rPr>
          <w:rFonts w:ascii="Times New Roman" w:hAnsi="Times New Roman" w:eastAsia="Times New Roman" w:cs="Times New Roman"/>
          <w:spacing w:val="-1"/>
          <w:sz w:val="21"/>
          <w:szCs w:val="21"/>
        </w:rPr>
        <w:t>can</w:t>
      </w:r>
      <w:r>
        <w:rPr>
          <w:rFonts w:ascii="Times New Roman" w:hAnsi="Times New Roman" w:eastAsia="Times New Roman" w:cs="Times New Roman"/>
          <w:spacing w:val="16"/>
          <w:w w:val="101"/>
          <w:sz w:val="21"/>
          <w:szCs w:val="21"/>
        </w:rPr>
        <w:t xml:space="preserve"> </w:t>
      </w:r>
      <w:r>
        <w:rPr>
          <w:rFonts w:ascii="Times New Roman" w:hAnsi="Times New Roman" w:eastAsia="Times New Roman" w:cs="Times New Roman"/>
          <w:spacing w:val="-1"/>
          <w:sz w:val="21"/>
          <w:szCs w:val="21"/>
        </w:rPr>
        <w:t>be</w:t>
      </w:r>
      <w:r>
        <w:rPr>
          <w:rFonts w:ascii="Times New Roman" w:hAnsi="Times New Roman" w:eastAsia="Times New Roman" w:cs="Times New Roman"/>
          <w:spacing w:val="23"/>
          <w:w w:val="101"/>
          <w:sz w:val="21"/>
          <w:szCs w:val="21"/>
        </w:rPr>
        <w:t xml:space="preserve"> </w:t>
      </w:r>
      <w:r>
        <w:rPr>
          <w:rFonts w:ascii="Times New Roman" w:hAnsi="Times New Roman" w:eastAsia="Times New Roman" w:cs="Times New Roman"/>
          <w:spacing w:val="-1"/>
          <w:sz w:val="21"/>
          <w:szCs w:val="21"/>
        </w:rPr>
        <w:t>divided</w:t>
      </w:r>
      <w:r>
        <w:rPr>
          <w:rFonts w:ascii="Times New Roman" w:hAnsi="Times New Roman" w:eastAsia="Times New Roman" w:cs="Times New Roman"/>
          <w:spacing w:val="22"/>
          <w:w w:val="101"/>
          <w:sz w:val="21"/>
          <w:szCs w:val="21"/>
        </w:rPr>
        <w:t xml:space="preserve"> </w:t>
      </w:r>
      <w:r>
        <w:rPr>
          <w:rFonts w:ascii="Times New Roman" w:hAnsi="Times New Roman" w:eastAsia="Times New Roman" w:cs="Times New Roman"/>
          <w:spacing w:val="-1"/>
          <w:sz w:val="21"/>
          <w:szCs w:val="21"/>
        </w:rPr>
        <w:t>into</w:t>
      </w:r>
      <w:r>
        <w:rPr>
          <w:rFonts w:ascii="Times New Roman" w:hAnsi="Times New Roman" w:eastAsia="Times New Roman" w:cs="Times New Roman"/>
          <w:spacing w:val="25"/>
          <w:sz w:val="21"/>
          <w:szCs w:val="21"/>
        </w:rPr>
        <w:t xml:space="preserve"> </w:t>
      </w:r>
      <w:r>
        <w:rPr>
          <w:rFonts w:ascii="Times New Roman" w:hAnsi="Times New Roman" w:eastAsia="Times New Roman" w:cs="Times New Roman"/>
          <w:spacing w:val="-1"/>
          <w:sz w:val="21"/>
          <w:szCs w:val="21"/>
        </w:rPr>
        <w:t>four</w:t>
      </w:r>
      <w:r>
        <w:rPr>
          <w:rFonts w:ascii="Times New Roman" w:hAnsi="Times New Roman" w:eastAsia="Times New Roman" w:cs="Times New Roman"/>
          <w:spacing w:val="22"/>
          <w:w w:val="101"/>
          <w:sz w:val="21"/>
          <w:szCs w:val="21"/>
        </w:rPr>
        <w:t xml:space="preserve"> </w:t>
      </w:r>
      <w:r>
        <w:rPr>
          <w:rFonts w:ascii="Times New Roman" w:hAnsi="Times New Roman" w:eastAsia="Times New Roman" w:cs="Times New Roman"/>
          <w:spacing w:val="-1"/>
          <w:sz w:val="21"/>
          <w:szCs w:val="21"/>
        </w:rPr>
        <w:t>categories:necessary</w:t>
      </w:r>
      <w:r>
        <w:rPr>
          <w:rFonts w:ascii="Times New Roman" w:hAnsi="Times New Roman" w:eastAsia="Times New Roman" w:cs="Times New Roman"/>
          <w:spacing w:val="24"/>
          <w:sz w:val="21"/>
          <w:szCs w:val="21"/>
        </w:rPr>
        <w:t xml:space="preserve"> </w:t>
      </w:r>
      <w:r>
        <w:rPr>
          <w:rFonts w:ascii="Times New Roman" w:hAnsi="Times New Roman" w:eastAsia="Times New Roman" w:cs="Times New Roman"/>
          <w:spacing w:val="-1"/>
          <w:sz w:val="21"/>
          <w:szCs w:val="21"/>
        </w:rPr>
        <w:t>and</w:t>
      </w:r>
      <w:r>
        <w:rPr>
          <w:rFonts w:ascii="Times New Roman" w:hAnsi="Times New Roman" w:eastAsia="Times New Roman" w:cs="Times New Roman"/>
          <w:sz w:val="21"/>
          <w:szCs w:val="21"/>
        </w:rPr>
        <w:t xml:space="preserve"> sufficient,necessary</w:t>
      </w:r>
      <w:r>
        <w:rPr>
          <w:rFonts w:ascii="Times New Roman" w:hAnsi="Times New Roman" w:eastAsia="Times New Roman" w:cs="Times New Roman"/>
          <w:spacing w:val="47"/>
          <w:sz w:val="21"/>
          <w:szCs w:val="21"/>
        </w:rPr>
        <w:t xml:space="preserve"> </w:t>
      </w:r>
      <w:r>
        <w:rPr>
          <w:rFonts w:ascii="Times New Roman" w:hAnsi="Times New Roman" w:eastAsia="Times New Roman" w:cs="Times New Roman"/>
          <w:sz w:val="21"/>
          <w:szCs w:val="21"/>
        </w:rPr>
        <w:t>but</w:t>
      </w:r>
      <w:r>
        <w:rPr>
          <w:rFonts w:ascii="Times New Roman" w:hAnsi="Times New Roman" w:eastAsia="Times New Roman" w:cs="Times New Roman"/>
          <w:spacing w:val="48"/>
          <w:sz w:val="21"/>
          <w:szCs w:val="21"/>
        </w:rPr>
        <w:t xml:space="preserve"> </w:t>
      </w:r>
      <w:r>
        <w:rPr>
          <w:rFonts w:ascii="Times New Roman" w:hAnsi="Times New Roman" w:eastAsia="Times New Roman" w:cs="Times New Roman"/>
          <w:sz w:val="21"/>
          <w:szCs w:val="21"/>
        </w:rPr>
        <w:t>not  sufficient,sufficient</w:t>
      </w:r>
      <w:r>
        <w:rPr>
          <w:rFonts w:ascii="Times New Roman" w:hAnsi="Times New Roman" w:eastAsia="Times New Roman" w:cs="Times New Roman"/>
          <w:spacing w:val="46"/>
          <w:sz w:val="21"/>
          <w:szCs w:val="21"/>
        </w:rPr>
        <w:t xml:space="preserve"> </w:t>
      </w:r>
      <w:r>
        <w:rPr>
          <w:rFonts w:ascii="Times New Roman" w:hAnsi="Times New Roman" w:eastAsia="Times New Roman" w:cs="Times New Roman"/>
          <w:sz w:val="21"/>
          <w:szCs w:val="21"/>
        </w:rPr>
        <w:t>but  not</w:t>
      </w:r>
      <w:r>
        <w:rPr>
          <w:rFonts w:ascii="Times New Roman" w:hAnsi="Times New Roman" w:eastAsia="Times New Roman" w:cs="Times New Roman"/>
          <w:spacing w:val="47"/>
          <w:w w:val="101"/>
          <w:sz w:val="21"/>
          <w:szCs w:val="21"/>
        </w:rPr>
        <w:t xml:space="preserve"> </w:t>
      </w:r>
      <w:r>
        <w:rPr>
          <w:rFonts w:ascii="Times New Roman" w:hAnsi="Times New Roman" w:eastAsia="Times New Roman" w:cs="Times New Roman"/>
          <w:sz w:val="21"/>
          <w:szCs w:val="21"/>
        </w:rPr>
        <w:t>neces</w:t>
      </w:r>
      <w:r>
        <w:rPr>
          <w:rFonts w:ascii="Times New Roman" w:hAnsi="Times New Roman" w:eastAsia="Times New Roman" w:cs="Times New Roman"/>
          <w:spacing w:val="-1"/>
          <w:sz w:val="21"/>
          <w:szCs w:val="21"/>
        </w:rPr>
        <w:t>sary,and</w:t>
      </w:r>
      <w:r>
        <w:rPr>
          <w:rFonts w:ascii="Times New Roman" w:hAnsi="Times New Roman" w:eastAsia="Times New Roman" w:cs="Times New Roman"/>
          <w:spacing w:val="47"/>
          <w:w w:val="101"/>
          <w:sz w:val="21"/>
          <w:szCs w:val="21"/>
        </w:rPr>
        <w:t xml:space="preserve"> </w:t>
      </w:r>
      <w:r>
        <w:rPr>
          <w:rFonts w:ascii="Times New Roman" w:hAnsi="Times New Roman" w:eastAsia="Times New Roman" w:cs="Times New Roman"/>
          <w:spacing w:val="-1"/>
          <w:sz w:val="21"/>
          <w:szCs w:val="21"/>
        </w:rPr>
        <w:t>neither</w:t>
      </w:r>
      <w:r>
        <w:rPr>
          <w:rFonts w:ascii="Times New Roman" w:hAnsi="Times New Roman" w:eastAsia="Times New Roman" w:cs="Times New Roman"/>
          <w:spacing w:val="46"/>
          <w:w w:val="101"/>
          <w:sz w:val="21"/>
          <w:szCs w:val="21"/>
        </w:rPr>
        <w:t xml:space="preserve"> </w:t>
      </w:r>
      <w:r>
        <w:rPr>
          <w:rFonts w:ascii="Times New Roman" w:hAnsi="Times New Roman" w:eastAsia="Times New Roman" w:cs="Times New Roman"/>
          <w:spacing w:val="-1"/>
          <w:sz w:val="21"/>
          <w:szCs w:val="21"/>
        </w:rPr>
        <w:t>necessary</w:t>
      </w:r>
      <w:r>
        <w:rPr>
          <w:rFonts w:ascii="Times New Roman" w:hAnsi="Times New Roman" w:eastAsia="Times New Roman" w:cs="Times New Roman"/>
          <w:spacing w:val="48"/>
          <w:sz w:val="21"/>
          <w:szCs w:val="21"/>
        </w:rPr>
        <w:t xml:space="preserve"> </w:t>
      </w:r>
      <w:r>
        <w:rPr>
          <w:rFonts w:ascii="Times New Roman" w:hAnsi="Times New Roman" w:eastAsia="Times New Roman" w:cs="Times New Roman"/>
          <w:spacing w:val="-1"/>
          <w:sz w:val="21"/>
          <w:szCs w:val="21"/>
        </w:rPr>
        <w:t>nor  sufficient.</w:t>
      </w:r>
      <w:r>
        <w:rPr>
          <w:rFonts w:ascii="Times New Roman" w:hAnsi="Times New Roman" w:eastAsia="Times New Roman" w:cs="Times New Roman"/>
          <w:sz w:val="21"/>
          <w:szCs w:val="21"/>
        </w:rPr>
        <w:t xml:space="preserve"> </w:t>
      </w:r>
      <w:r>
        <w:rPr>
          <w:rFonts w:ascii="Times New Roman" w:hAnsi="Times New Roman" w:eastAsia="Times New Roman" w:cs="Times New Roman"/>
          <w:spacing w:val="-1"/>
          <w:sz w:val="21"/>
          <w:szCs w:val="21"/>
        </w:rPr>
        <w:t>Causal inference involves drawing a conclusion on the</w:t>
      </w:r>
      <w:r>
        <w:rPr>
          <w:rFonts w:ascii="Times New Roman" w:hAnsi="Times New Roman" w:eastAsia="Times New Roman" w:cs="Times New Roman"/>
          <w:spacing w:val="7"/>
          <w:sz w:val="21"/>
          <w:szCs w:val="21"/>
        </w:rPr>
        <w:t xml:space="preserve"> </w:t>
      </w:r>
      <w:r>
        <w:rPr>
          <w:rFonts w:ascii="Times New Roman" w:hAnsi="Times New Roman" w:eastAsia="Times New Roman" w:cs="Times New Roman"/>
          <w:spacing w:val="-1"/>
          <w:sz w:val="21"/>
          <w:szCs w:val="21"/>
        </w:rPr>
        <w:t>certainty</w:t>
      </w:r>
      <w:r>
        <w:rPr>
          <w:rFonts w:ascii="Times New Roman" w:hAnsi="Times New Roman" w:eastAsia="Times New Roman" w:cs="Times New Roman"/>
          <w:spacing w:val="7"/>
          <w:sz w:val="21"/>
          <w:szCs w:val="21"/>
        </w:rPr>
        <w:t xml:space="preserve"> </w:t>
      </w:r>
      <w:r>
        <w:rPr>
          <w:rFonts w:ascii="Times New Roman" w:hAnsi="Times New Roman" w:eastAsia="Times New Roman" w:cs="Times New Roman"/>
          <w:spacing w:val="-1"/>
          <w:sz w:val="21"/>
          <w:szCs w:val="21"/>
        </w:rPr>
        <w:t>ab</w:t>
      </w:r>
      <w:r>
        <w:rPr>
          <w:rFonts w:ascii="Times New Roman" w:hAnsi="Times New Roman" w:eastAsia="Times New Roman" w:cs="Times New Roman"/>
          <w:spacing w:val="-2"/>
          <w:sz w:val="21"/>
          <w:szCs w:val="21"/>
        </w:rPr>
        <w:t>out</w:t>
      </w:r>
      <w:r>
        <w:rPr>
          <w:rFonts w:ascii="Times New Roman" w:hAnsi="Times New Roman" w:eastAsia="Times New Roman" w:cs="Times New Roman"/>
          <w:spacing w:val="7"/>
          <w:sz w:val="21"/>
          <w:szCs w:val="21"/>
        </w:rPr>
        <w:t xml:space="preserve"> </w:t>
      </w:r>
      <w:r>
        <w:rPr>
          <w:rFonts w:ascii="Times New Roman" w:hAnsi="Times New Roman" w:eastAsia="Times New Roman" w:cs="Times New Roman"/>
          <w:spacing w:val="-2"/>
          <w:sz w:val="21"/>
          <w:szCs w:val="21"/>
        </w:rPr>
        <w:t>a</w:t>
      </w:r>
      <w:r>
        <w:rPr>
          <w:rFonts w:ascii="Times New Roman" w:hAnsi="Times New Roman" w:eastAsia="Times New Roman" w:cs="Times New Roman"/>
          <w:spacing w:val="6"/>
          <w:sz w:val="21"/>
          <w:szCs w:val="21"/>
        </w:rPr>
        <w:t xml:space="preserve"> </w:t>
      </w:r>
      <w:r>
        <w:rPr>
          <w:rFonts w:ascii="Times New Roman" w:hAnsi="Times New Roman" w:eastAsia="Times New Roman" w:cs="Times New Roman"/>
          <w:spacing w:val="-2"/>
          <w:sz w:val="21"/>
          <w:szCs w:val="21"/>
        </w:rPr>
        <w:t>cause based</w:t>
      </w:r>
      <w:r>
        <w:rPr>
          <w:rFonts w:ascii="Times New Roman" w:hAnsi="Times New Roman" w:eastAsia="Times New Roman" w:cs="Times New Roman"/>
          <w:spacing w:val="7"/>
          <w:sz w:val="21"/>
          <w:szCs w:val="21"/>
        </w:rPr>
        <w:t xml:space="preserve"> </w:t>
      </w:r>
      <w:r>
        <w:rPr>
          <w:rFonts w:ascii="Times New Roman" w:hAnsi="Times New Roman" w:eastAsia="Times New Roman" w:cs="Times New Roman"/>
          <w:spacing w:val="-2"/>
          <w:sz w:val="21"/>
          <w:szCs w:val="21"/>
        </w:rPr>
        <w:t>on</w:t>
      </w:r>
      <w:r>
        <w:rPr>
          <w:rFonts w:ascii="Times New Roman" w:hAnsi="Times New Roman" w:eastAsia="Times New Roman" w:cs="Times New Roman"/>
          <w:spacing w:val="7"/>
          <w:sz w:val="21"/>
          <w:szCs w:val="21"/>
        </w:rPr>
        <w:t xml:space="preserve"> </w:t>
      </w:r>
      <w:r>
        <w:rPr>
          <w:rFonts w:ascii="Times New Roman" w:hAnsi="Times New Roman" w:eastAsia="Times New Roman" w:cs="Times New Roman"/>
          <w:spacing w:val="-2"/>
          <w:sz w:val="21"/>
          <w:szCs w:val="21"/>
        </w:rPr>
        <w:t>epidemiological</w:t>
      </w:r>
      <w:r>
        <w:rPr>
          <w:rFonts w:ascii="Times New Roman" w:hAnsi="Times New Roman" w:eastAsia="Times New Roman" w:cs="Times New Roman"/>
          <w:spacing w:val="7"/>
          <w:sz w:val="21"/>
          <w:szCs w:val="21"/>
        </w:rPr>
        <w:t xml:space="preserve"> </w:t>
      </w:r>
      <w:r>
        <w:rPr>
          <w:rFonts w:ascii="Times New Roman" w:hAnsi="Times New Roman" w:eastAsia="Times New Roman" w:cs="Times New Roman"/>
          <w:spacing w:val="-2"/>
          <w:sz w:val="21"/>
          <w:szCs w:val="21"/>
        </w:rPr>
        <w:t>and</w:t>
      </w:r>
      <w:r>
        <w:rPr>
          <w:rFonts w:ascii="Times New Roman" w:hAnsi="Times New Roman" w:eastAsia="Times New Roman" w:cs="Times New Roman"/>
          <w:sz w:val="21"/>
          <w:szCs w:val="21"/>
        </w:rPr>
        <w:t xml:space="preserve"> </w:t>
      </w:r>
      <w:r>
        <w:rPr>
          <w:rFonts w:ascii="Times New Roman" w:hAnsi="Times New Roman" w:eastAsia="Times New Roman" w:cs="Times New Roman"/>
          <w:spacing w:val="-1"/>
          <w:sz w:val="21"/>
          <w:szCs w:val="21"/>
        </w:rPr>
        <w:t>other</w:t>
      </w:r>
      <w:r>
        <w:rPr>
          <w:rFonts w:ascii="Times New Roman" w:hAnsi="Times New Roman" w:eastAsia="Times New Roman" w:cs="Times New Roman"/>
          <w:spacing w:val="43"/>
          <w:sz w:val="21"/>
          <w:szCs w:val="21"/>
        </w:rPr>
        <w:t xml:space="preserve"> </w:t>
      </w:r>
      <w:r>
        <w:rPr>
          <w:rFonts w:ascii="Times New Roman" w:hAnsi="Times New Roman" w:eastAsia="Times New Roman" w:cs="Times New Roman"/>
          <w:spacing w:val="-1"/>
          <w:sz w:val="21"/>
          <w:szCs w:val="21"/>
        </w:rPr>
        <w:t>relevant</w:t>
      </w:r>
      <w:r>
        <w:rPr>
          <w:rFonts w:ascii="Times New Roman" w:hAnsi="Times New Roman" w:eastAsia="Times New Roman" w:cs="Times New Roman"/>
          <w:spacing w:val="33"/>
          <w:sz w:val="21"/>
          <w:szCs w:val="21"/>
        </w:rPr>
        <w:t xml:space="preserve"> </w:t>
      </w:r>
      <w:r>
        <w:rPr>
          <w:rFonts w:ascii="Times New Roman" w:hAnsi="Times New Roman" w:eastAsia="Times New Roman" w:cs="Times New Roman"/>
          <w:spacing w:val="-1"/>
          <w:sz w:val="21"/>
          <w:szCs w:val="21"/>
        </w:rPr>
        <w:t>evidence</w:t>
      </w:r>
      <w:r>
        <w:rPr>
          <w:rFonts w:ascii="Times New Roman" w:hAnsi="Times New Roman" w:eastAsia="Times New Roman" w:cs="Times New Roman"/>
          <w:spacing w:val="34"/>
          <w:sz w:val="21"/>
          <w:szCs w:val="21"/>
        </w:rPr>
        <w:t xml:space="preserve"> </w:t>
      </w:r>
      <w:r>
        <w:rPr>
          <w:rFonts w:ascii="Times New Roman" w:hAnsi="Times New Roman" w:eastAsia="Times New Roman" w:cs="Times New Roman"/>
          <w:spacing w:val="-1"/>
          <w:sz w:val="21"/>
          <w:szCs w:val="21"/>
        </w:rPr>
        <w:t>and</w:t>
      </w:r>
      <w:r>
        <w:rPr>
          <w:rFonts w:ascii="Times New Roman" w:hAnsi="Times New Roman" w:eastAsia="Times New Roman" w:cs="Times New Roman"/>
          <w:spacing w:val="27"/>
          <w:sz w:val="21"/>
          <w:szCs w:val="21"/>
        </w:rPr>
        <w:t xml:space="preserve"> </w:t>
      </w:r>
      <w:r>
        <w:rPr>
          <w:rFonts w:ascii="Times New Roman" w:hAnsi="Times New Roman" w:eastAsia="Times New Roman" w:cs="Times New Roman"/>
          <w:spacing w:val="-1"/>
          <w:sz w:val="21"/>
          <w:szCs w:val="21"/>
        </w:rPr>
        <w:t>knowledge</w:t>
      </w:r>
      <w:r>
        <w:rPr>
          <w:rFonts w:ascii="Times New Roman" w:hAnsi="Times New Roman" w:eastAsia="Times New Roman" w:cs="Times New Roman"/>
          <w:spacing w:val="33"/>
          <w:sz w:val="21"/>
          <w:szCs w:val="21"/>
        </w:rPr>
        <w:t xml:space="preserve"> </w:t>
      </w:r>
      <w:r>
        <w:rPr>
          <w:rFonts w:ascii="Times New Roman" w:hAnsi="Times New Roman" w:eastAsia="Times New Roman" w:cs="Times New Roman"/>
          <w:spacing w:val="-1"/>
          <w:sz w:val="21"/>
          <w:szCs w:val="21"/>
        </w:rPr>
        <w:t>currently</w:t>
      </w:r>
      <w:r>
        <w:rPr>
          <w:rFonts w:ascii="Times New Roman" w:hAnsi="Times New Roman" w:eastAsia="Times New Roman" w:cs="Times New Roman"/>
          <w:spacing w:val="33"/>
          <w:w w:val="101"/>
          <w:sz w:val="21"/>
          <w:szCs w:val="21"/>
        </w:rPr>
        <w:t xml:space="preserve"> </w:t>
      </w:r>
      <w:r>
        <w:rPr>
          <w:rFonts w:ascii="Times New Roman" w:hAnsi="Times New Roman" w:eastAsia="Times New Roman" w:cs="Times New Roman"/>
          <w:spacing w:val="-1"/>
          <w:sz w:val="21"/>
          <w:szCs w:val="21"/>
        </w:rPr>
        <w:t>available.Hill's</w:t>
      </w:r>
      <w:r>
        <w:rPr>
          <w:rFonts w:ascii="Times New Roman" w:hAnsi="Times New Roman" w:eastAsia="Times New Roman" w:cs="Times New Roman"/>
          <w:spacing w:val="33"/>
          <w:sz w:val="21"/>
          <w:szCs w:val="21"/>
        </w:rPr>
        <w:t xml:space="preserve"> </w:t>
      </w:r>
      <w:r>
        <w:rPr>
          <w:rFonts w:ascii="Times New Roman" w:hAnsi="Times New Roman" w:eastAsia="Times New Roman" w:cs="Times New Roman"/>
          <w:spacing w:val="-1"/>
          <w:sz w:val="21"/>
          <w:szCs w:val="21"/>
        </w:rPr>
        <w:t>criteria</w:t>
      </w:r>
      <w:r>
        <w:rPr>
          <w:rFonts w:ascii="Times New Roman" w:hAnsi="Times New Roman" w:eastAsia="Times New Roman" w:cs="Times New Roman"/>
          <w:spacing w:val="33"/>
          <w:w w:val="101"/>
          <w:sz w:val="21"/>
          <w:szCs w:val="21"/>
        </w:rPr>
        <w:t xml:space="preserve"> </w:t>
      </w:r>
      <w:r>
        <w:rPr>
          <w:rFonts w:ascii="Times New Roman" w:hAnsi="Times New Roman" w:eastAsia="Times New Roman" w:cs="Times New Roman"/>
          <w:spacing w:val="-1"/>
          <w:sz w:val="21"/>
          <w:szCs w:val="21"/>
        </w:rPr>
        <w:t>and</w:t>
      </w:r>
      <w:r>
        <w:rPr>
          <w:rFonts w:ascii="Times New Roman" w:hAnsi="Times New Roman" w:eastAsia="Times New Roman" w:cs="Times New Roman"/>
          <w:spacing w:val="36"/>
          <w:sz w:val="21"/>
          <w:szCs w:val="21"/>
        </w:rPr>
        <w:t xml:space="preserve"> </w:t>
      </w:r>
      <w:r>
        <w:rPr>
          <w:rFonts w:ascii="Times New Roman" w:hAnsi="Times New Roman" w:eastAsia="Times New Roman" w:cs="Times New Roman"/>
          <w:spacing w:val="-1"/>
          <w:sz w:val="21"/>
          <w:szCs w:val="21"/>
        </w:rPr>
        <w:t>systematic</w:t>
      </w:r>
      <w:r>
        <w:rPr>
          <w:rFonts w:ascii="Times New Roman" w:hAnsi="Times New Roman" w:eastAsia="Times New Roman" w:cs="Times New Roman"/>
          <w:spacing w:val="27"/>
          <w:sz w:val="21"/>
          <w:szCs w:val="21"/>
        </w:rPr>
        <w:t xml:space="preserve"> </w:t>
      </w:r>
      <w:r>
        <w:rPr>
          <w:rFonts w:ascii="Times New Roman" w:hAnsi="Times New Roman" w:eastAsia="Times New Roman" w:cs="Times New Roman"/>
          <w:spacing w:val="-1"/>
          <w:sz w:val="21"/>
          <w:szCs w:val="21"/>
        </w:rPr>
        <w:t>reviews,as</w:t>
      </w:r>
      <w:r>
        <w:rPr>
          <w:rFonts w:ascii="Times New Roman" w:hAnsi="Times New Roman" w:eastAsia="Times New Roman" w:cs="Times New Roman"/>
          <w:spacing w:val="27"/>
          <w:w w:val="101"/>
          <w:sz w:val="21"/>
          <w:szCs w:val="21"/>
        </w:rPr>
        <w:t xml:space="preserve"> </w:t>
      </w:r>
      <w:r>
        <w:rPr>
          <w:rFonts w:ascii="Times New Roman" w:hAnsi="Times New Roman" w:eastAsia="Times New Roman" w:cs="Times New Roman"/>
          <w:spacing w:val="-1"/>
          <w:sz w:val="21"/>
          <w:szCs w:val="21"/>
        </w:rPr>
        <w:t>more</w:t>
      </w:r>
      <w:r>
        <w:rPr>
          <w:rFonts w:ascii="Times New Roman" w:hAnsi="Times New Roman" w:eastAsia="Times New Roman" w:cs="Times New Roman"/>
          <w:sz w:val="21"/>
          <w:szCs w:val="21"/>
        </w:rPr>
        <w:t xml:space="preserve"> </w:t>
      </w:r>
      <w:r>
        <w:rPr>
          <w:rFonts w:ascii="Times New Roman" w:hAnsi="Times New Roman" w:eastAsia="Times New Roman" w:cs="Times New Roman"/>
          <w:spacing w:val="-1"/>
          <w:sz w:val="21"/>
          <w:szCs w:val="21"/>
        </w:rPr>
        <w:t>systematic</w:t>
      </w:r>
      <w:r>
        <w:rPr>
          <w:rFonts w:ascii="Times New Roman" w:hAnsi="Times New Roman" w:eastAsia="Times New Roman" w:cs="Times New Roman"/>
          <w:spacing w:val="47"/>
          <w:sz w:val="21"/>
          <w:szCs w:val="21"/>
        </w:rPr>
        <w:t xml:space="preserve"> </w:t>
      </w:r>
      <w:r>
        <w:rPr>
          <w:rFonts w:ascii="Times New Roman" w:hAnsi="Times New Roman" w:eastAsia="Times New Roman" w:cs="Times New Roman"/>
          <w:spacing w:val="-1"/>
          <w:sz w:val="21"/>
          <w:szCs w:val="21"/>
        </w:rPr>
        <w:t>and</w:t>
      </w:r>
      <w:r>
        <w:rPr>
          <w:rFonts w:ascii="Times New Roman" w:hAnsi="Times New Roman" w:eastAsia="Times New Roman" w:cs="Times New Roman"/>
          <w:spacing w:val="45"/>
          <w:w w:val="101"/>
          <w:sz w:val="21"/>
          <w:szCs w:val="21"/>
        </w:rPr>
        <w:t xml:space="preserve"> </w:t>
      </w:r>
      <w:r>
        <w:rPr>
          <w:rFonts w:ascii="Times New Roman" w:hAnsi="Times New Roman" w:eastAsia="Times New Roman" w:cs="Times New Roman"/>
          <w:spacing w:val="-1"/>
          <w:sz w:val="21"/>
          <w:szCs w:val="21"/>
        </w:rPr>
        <w:t>quantitative</w:t>
      </w:r>
      <w:r>
        <w:rPr>
          <w:rFonts w:ascii="Times New Roman" w:hAnsi="Times New Roman" w:eastAsia="Times New Roman" w:cs="Times New Roman"/>
          <w:spacing w:val="47"/>
          <w:sz w:val="21"/>
          <w:szCs w:val="21"/>
        </w:rPr>
        <w:t xml:space="preserve"> </w:t>
      </w:r>
      <w:r>
        <w:rPr>
          <w:rFonts w:ascii="Times New Roman" w:hAnsi="Times New Roman" w:eastAsia="Times New Roman" w:cs="Times New Roman"/>
          <w:spacing w:val="-1"/>
          <w:sz w:val="21"/>
          <w:szCs w:val="21"/>
        </w:rPr>
        <w:t>approaches,can</w:t>
      </w:r>
      <w:r>
        <w:rPr>
          <w:rFonts w:ascii="Times New Roman" w:hAnsi="Times New Roman" w:eastAsia="Times New Roman" w:cs="Times New Roman"/>
          <w:spacing w:val="39"/>
          <w:sz w:val="21"/>
          <w:szCs w:val="21"/>
        </w:rPr>
        <w:t xml:space="preserve"> </w:t>
      </w:r>
      <w:r>
        <w:rPr>
          <w:rFonts w:ascii="Times New Roman" w:hAnsi="Times New Roman" w:eastAsia="Times New Roman" w:cs="Times New Roman"/>
          <w:spacing w:val="-1"/>
          <w:sz w:val="21"/>
          <w:szCs w:val="21"/>
        </w:rPr>
        <w:t>be</w:t>
      </w:r>
      <w:r>
        <w:rPr>
          <w:rFonts w:ascii="Times New Roman" w:hAnsi="Times New Roman" w:eastAsia="Times New Roman" w:cs="Times New Roman"/>
          <w:spacing w:val="39"/>
          <w:w w:val="101"/>
          <w:sz w:val="21"/>
          <w:szCs w:val="21"/>
        </w:rPr>
        <w:t xml:space="preserve"> </w:t>
      </w:r>
      <w:r>
        <w:rPr>
          <w:rFonts w:ascii="Times New Roman" w:hAnsi="Times New Roman" w:eastAsia="Times New Roman" w:cs="Times New Roman"/>
          <w:spacing w:val="-1"/>
          <w:sz w:val="21"/>
          <w:szCs w:val="21"/>
        </w:rPr>
        <w:t>used</w:t>
      </w:r>
      <w:r>
        <w:rPr>
          <w:rFonts w:ascii="Times New Roman" w:hAnsi="Times New Roman" w:eastAsia="Times New Roman" w:cs="Times New Roman"/>
          <w:spacing w:val="45"/>
          <w:sz w:val="21"/>
          <w:szCs w:val="21"/>
        </w:rPr>
        <w:t xml:space="preserve"> </w:t>
      </w:r>
      <w:r>
        <w:rPr>
          <w:rFonts w:ascii="Times New Roman" w:hAnsi="Times New Roman" w:eastAsia="Times New Roman" w:cs="Times New Roman"/>
          <w:spacing w:val="-1"/>
          <w:sz w:val="21"/>
          <w:szCs w:val="21"/>
        </w:rPr>
        <w:t>in</w:t>
      </w:r>
      <w:r>
        <w:rPr>
          <w:rFonts w:ascii="Times New Roman" w:hAnsi="Times New Roman" w:eastAsia="Times New Roman" w:cs="Times New Roman"/>
          <w:spacing w:val="41"/>
          <w:sz w:val="21"/>
          <w:szCs w:val="21"/>
        </w:rPr>
        <w:t xml:space="preserve"> </w:t>
      </w:r>
      <w:r>
        <w:rPr>
          <w:rFonts w:ascii="Times New Roman" w:hAnsi="Times New Roman" w:eastAsia="Times New Roman" w:cs="Times New Roman"/>
          <w:spacing w:val="-1"/>
          <w:sz w:val="21"/>
          <w:szCs w:val="21"/>
        </w:rPr>
        <w:t>making</w:t>
      </w:r>
      <w:r>
        <w:rPr>
          <w:rFonts w:ascii="Times New Roman" w:hAnsi="Times New Roman" w:eastAsia="Times New Roman" w:cs="Times New Roman"/>
          <w:spacing w:val="50"/>
          <w:sz w:val="21"/>
          <w:szCs w:val="21"/>
        </w:rPr>
        <w:t xml:space="preserve"> </w:t>
      </w:r>
      <w:r>
        <w:rPr>
          <w:rFonts w:ascii="Times New Roman" w:hAnsi="Times New Roman" w:eastAsia="Times New Roman" w:cs="Times New Roman"/>
          <w:spacing w:val="-1"/>
          <w:sz w:val="21"/>
          <w:szCs w:val="21"/>
        </w:rPr>
        <w:t>such</w:t>
      </w:r>
      <w:r>
        <w:rPr>
          <w:rFonts w:ascii="Times New Roman" w:hAnsi="Times New Roman" w:eastAsia="Times New Roman" w:cs="Times New Roman"/>
          <w:spacing w:val="45"/>
          <w:sz w:val="21"/>
          <w:szCs w:val="21"/>
        </w:rPr>
        <w:t xml:space="preserve"> </w:t>
      </w:r>
      <w:r>
        <w:rPr>
          <w:rFonts w:ascii="Times New Roman" w:hAnsi="Times New Roman" w:eastAsia="Times New Roman" w:cs="Times New Roman"/>
          <w:spacing w:val="-1"/>
          <w:sz w:val="21"/>
          <w:szCs w:val="21"/>
        </w:rPr>
        <w:t>inference.Like</w:t>
      </w:r>
      <w:r>
        <w:rPr>
          <w:rFonts w:ascii="Times New Roman" w:hAnsi="Times New Roman" w:eastAsia="Times New Roman" w:cs="Times New Roman"/>
          <w:spacing w:val="47"/>
          <w:sz w:val="21"/>
          <w:szCs w:val="21"/>
        </w:rPr>
        <w:t xml:space="preserve"> </w:t>
      </w:r>
      <w:r>
        <w:rPr>
          <w:rFonts w:ascii="Times New Roman" w:hAnsi="Times New Roman" w:eastAsia="Times New Roman" w:cs="Times New Roman"/>
          <w:spacing w:val="-1"/>
          <w:sz w:val="21"/>
          <w:szCs w:val="21"/>
        </w:rPr>
        <w:t>any</w:t>
      </w:r>
      <w:r>
        <w:rPr>
          <w:rFonts w:ascii="Times New Roman" w:hAnsi="Times New Roman" w:eastAsia="Times New Roman" w:cs="Times New Roman"/>
          <w:spacing w:val="46"/>
          <w:w w:val="101"/>
          <w:sz w:val="21"/>
          <w:szCs w:val="21"/>
        </w:rPr>
        <w:t xml:space="preserve"> </w:t>
      </w:r>
      <w:r>
        <w:rPr>
          <w:rFonts w:ascii="Times New Roman" w:hAnsi="Times New Roman" w:eastAsia="Times New Roman" w:cs="Times New Roman"/>
          <w:spacing w:val="-1"/>
          <w:sz w:val="21"/>
          <w:szCs w:val="21"/>
        </w:rPr>
        <w:t>other</w:t>
      </w:r>
      <w:r>
        <w:rPr>
          <w:rFonts w:ascii="Times New Roman" w:hAnsi="Times New Roman" w:eastAsia="Times New Roman" w:cs="Times New Roman"/>
          <w:spacing w:val="48"/>
          <w:w w:val="101"/>
          <w:sz w:val="21"/>
          <w:szCs w:val="21"/>
        </w:rPr>
        <w:t xml:space="preserve"> </w:t>
      </w:r>
      <w:r>
        <w:rPr>
          <w:rFonts w:ascii="Times New Roman" w:hAnsi="Times New Roman" w:eastAsia="Times New Roman" w:cs="Times New Roman"/>
          <w:spacing w:val="-1"/>
          <w:sz w:val="21"/>
          <w:szCs w:val="21"/>
        </w:rPr>
        <w:t>scientific</w:t>
      </w:r>
      <w:r>
        <w:rPr>
          <w:rFonts w:ascii="Times New Roman" w:hAnsi="Times New Roman" w:eastAsia="Times New Roman" w:cs="Times New Roman"/>
          <w:sz w:val="21"/>
          <w:szCs w:val="21"/>
        </w:rPr>
        <w:t xml:space="preserve"> inference,causal</w:t>
      </w:r>
      <w:r>
        <w:rPr>
          <w:rFonts w:ascii="Times New Roman" w:hAnsi="Times New Roman" w:eastAsia="Times New Roman" w:cs="Times New Roman"/>
          <w:spacing w:val="49"/>
          <w:sz w:val="21"/>
          <w:szCs w:val="21"/>
        </w:rPr>
        <w:t xml:space="preserve"> </w:t>
      </w:r>
      <w:r>
        <w:rPr>
          <w:rFonts w:ascii="Times New Roman" w:hAnsi="Times New Roman" w:eastAsia="Times New Roman" w:cs="Times New Roman"/>
          <w:sz w:val="21"/>
          <w:szCs w:val="21"/>
        </w:rPr>
        <w:t>inferenc</w:t>
      </w:r>
      <w:r>
        <w:rPr>
          <w:rFonts w:ascii="Times New Roman" w:hAnsi="Times New Roman" w:eastAsia="Times New Roman" w:cs="Times New Roman"/>
          <w:spacing w:val="-1"/>
          <w:sz w:val="21"/>
          <w:szCs w:val="21"/>
        </w:rPr>
        <w:t>e</w:t>
      </w:r>
      <w:r>
        <w:rPr>
          <w:rFonts w:ascii="Times New Roman" w:hAnsi="Times New Roman" w:eastAsia="Times New Roman" w:cs="Times New Roman"/>
          <w:spacing w:val="49"/>
          <w:sz w:val="21"/>
          <w:szCs w:val="21"/>
        </w:rPr>
        <w:t xml:space="preserve"> </w:t>
      </w:r>
      <w:r>
        <w:rPr>
          <w:rFonts w:ascii="Times New Roman" w:hAnsi="Times New Roman" w:eastAsia="Times New Roman" w:cs="Times New Roman"/>
          <w:spacing w:val="-1"/>
          <w:sz w:val="21"/>
          <w:szCs w:val="21"/>
        </w:rPr>
        <w:t>can</w:t>
      </w:r>
      <w:r>
        <w:rPr>
          <w:rFonts w:ascii="Times New Roman" w:hAnsi="Times New Roman" w:eastAsia="Times New Roman" w:cs="Times New Roman"/>
          <w:spacing w:val="43"/>
          <w:w w:val="101"/>
          <w:sz w:val="21"/>
          <w:szCs w:val="21"/>
        </w:rPr>
        <w:t xml:space="preserve"> </w:t>
      </w:r>
      <w:r>
        <w:rPr>
          <w:rFonts w:ascii="Times New Roman" w:hAnsi="Times New Roman" w:eastAsia="Times New Roman" w:cs="Times New Roman"/>
          <w:spacing w:val="-1"/>
          <w:sz w:val="21"/>
          <w:szCs w:val="21"/>
        </w:rPr>
        <w:t>never</w:t>
      </w:r>
      <w:r>
        <w:rPr>
          <w:rFonts w:ascii="Times New Roman" w:hAnsi="Times New Roman" w:eastAsia="Times New Roman" w:cs="Times New Roman"/>
          <w:spacing w:val="41"/>
          <w:sz w:val="21"/>
          <w:szCs w:val="21"/>
        </w:rPr>
        <w:t xml:space="preserve"> </w:t>
      </w:r>
      <w:r>
        <w:rPr>
          <w:rFonts w:ascii="Times New Roman" w:hAnsi="Times New Roman" w:eastAsia="Times New Roman" w:cs="Times New Roman"/>
          <w:spacing w:val="-1"/>
          <w:sz w:val="21"/>
          <w:szCs w:val="21"/>
        </w:rPr>
        <w:t>be</w:t>
      </w:r>
      <w:r>
        <w:rPr>
          <w:rFonts w:ascii="Times New Roman" w:hAnsi="Times New Roman" w:eastAsia="Times New Roman" w:cs="Times New Roman"/>
          <w:spacing w:val="43"/>
          <w:w w:val="101"/>
          <w:sz w:val="21"/>
          <w:szCs w:val="21"/>
        </w:rPr>
        <w:t xml:space="preserve"> </w:t>
      </w:r>
      <w:r>
        <w:rPr>
          <w:rFonts w:ascii="Times New Roman" w:hAnsi="Times New Roman" w:eastAsia="Times New Roman" w:cs="Times New Roman"/>
          <w:spacing w:val="-1"/>
          <w:sz w:val="21"/>
          <w:szCs w:val="21"/>
        </w:rPr>
        <w:t>hundred</w:t>
      </w:r>
      <w:r>
        <w:rPr>
          <w:rFonts w:ascii="Times New Roman" w:hAnsi="Times New Roman" w:eastAsia="Times New Roman" w:cs="Times New Roman"/>
          <w:spacing w:val="41"/>
          <w:sz w:val="21"/>
          <w:szCs w:val="21"/>
        </w:rPr>
        <w:t xml:space="preserve"> </w:t>
      </w:r>
      <w:r>
        <w:rPr>
          <w:rFonts w:ascii="Times New Roman" w:hAnsi="Times New Roman" w:eastAsia="Times New Roman" w:cs="Times New Roman"/>
          <w:spacing w:val="-1"/>
          <w:sz w:val="21"/>
          <w:szCs w:val="21"/>
        </w:rPr>
        <w:t>percent</w:t>
      </w:r>
      <w:r>
        <w:rPr>
          <w:rFonts w:ascii="Times New Roman" w:hAnsi="Times New Roman" w:eastAsia="Times New Roman" w:cs="Times New Roman"/>
          <w:spacing w:val="49"/>
          <w:sz w:val="21"/>
          <w:szCs w:val="21"/>
        </w:rPr>
        <w:t xml:space="preserve"> </w:t>
      </w:r>
      <w:r>
        <w:rPr>
          <w:rFonts w:ascii="Times New Roman" w:hAnsi="Times New Roman" w:eastAsia="Times New Roman" w:cs="Times New Roman"/>
          <w:spacing w:val="-1"/>
          <w:sz w:val="21"/>
          <w:szCs w:val="21"/>
        </w:rPr>
        <w:t>complete</w:t>
      </w:r>
      <w:r>
        <w:rPr>
          <w:rFonts w:ascii="Times New Roman" w:hAnsi="Times New Roman" w:eastAsia="Times New Roman" w:cs="Times New Roman"/>
          <w:spacing w:val="50"/>
          <w:sz w:val="21"/>
          <w:szCs w:val="21"/>
        </w:rPr>
        <w:t xml:space="preserve"> </w:t>
      </w:r>
      <w:r>
        <w:rPr>
          <w:rFonts w:ascii="Times New Roman" w:hAnsi="Times New Roman" w:eastAsia="Times New Roman" w:cs="Times New Roman"/>
          <w:spacing w:val="-1"/>
          <w:sz w:val="21"/>
          <w:szCs w:val="21"/>
        </w:rPr>
        <w:t>and</w:t>
      </w:r>
      <w:r>
        <w:rPr>
          <w:rFonts w:ascii="Times New Roman" w:hAnsi="Times New Roman" w:eastAsia="Times New Roman" w:cs="Times New Roman"/>
          <w:spacing w:val="49"/>
          <w:sz w:val="21"/>
          <w:szCs w:val="21"/>
        </w:rPr>
        <w:t xml:space="preserve"> </w:t>
      </w:r>
      <w:r>
        <w:rPr>
          <w:rFonts w:ascii="Times New Roman" w:hAnsi="Times New Roman" w:eastAsia="Times New Roman" w:cs="Times New Roman"/>
          <w:spacing w:val="-1"/>
          <w:sz w:val="21"/>
          <w:szCs w:val="21"/>
        </w:rPr>
        <w:t>certain.The</w:t>
      </w:r>
      <w:r>
        <w:rPr>
          <w:rFonts w:ascii="Times New Roman" w:hAnsi="Times New Roman" w:eastAsia="Times New Roman" w:cs="Times New Roman"/>
          <w:spacing w:val="48"/>
          <w:sz w:val="21"/>
          <w:szCs w:val="21"/>
        </w:rPr>
        <w:t xml:space="preserve"> </w:t>
      </w:r>
      <w:r>
        <w:rPr>
          <w:rFonts w:ascii="Times New Roman" w:hAnsi="Times New Roman" w:eastAsia="Times New Roman" w:cs="Times New Roman"/>
          <w:spacing w:val="-1"/>
          <w:sz w:val="21"/>
          <w:szCs w:val="21"/>
        </w:rPr>
        <w:t>incompleteness</w:t>
      </w:r>
      <w:r>
        <w:rPr>
          <w:rFonts w:ascii="Times New Roman" w:hAnsi="Times New Roman" w:eastAsia="Times New Roman" w:cs="Times New Roman"/>
          <w:spacing w:val="50"/>
          <w:sz w:val="21"/>
          <w:szCs w:val="21"/>
        </w:rPr>
        <w:t xml:space="preserve"> </w:t>
      </w:r>
      <w:r>
        <w:rPr>
          <w:rFonts w:ascii="Times New Roman" w:hAnsi="Times New Roman" w:eastAsia="Times New Roman" w:cs="Times New Roman"/>
          <w:spacing w:val="-1"/>
          <w:sz w:val="21"/>
          <w:szCs w:val="21"/>
        </w:rPr>
        <w:t>and</w:t>
      </w:r>
      <w:r>
        <w:rPr>
          <w:rFonts w:ascii="Times New Roman" w:hAnsi="Times New Roman" w:eastAsia="Times New Roman" w:cs="Times New Roman"/>
          <w:sz w:val="21"/>
          <w:szCs w:val="21"/>
        </w:rPr>
        <w:t xml:space="preserve"> uncertainty</w:t>
      </w:r>
      <w:r>
        <w:rPr>
          <w:rFonts w:ascii="Times New Roman" w:hAnsi="Times New Roman" w:eastAsia="Times New Roman" w:cs="Times New Roman"/>
          <w:spacing w:val="31"/>
          <w:sz w:val="21"/>
          <w:szCs w:val="21"/>
        </w:rPr>
        <w:t xml:space="preserve"> </w:t>
      </w:r>
      <w:r>
        <w:rPr>
          <w:rFonts w:ascii="Times New Roman" w:hAnsi="Times New Roman" w:eastAsia="Times New Roman" w:cs="Times New Roman"/>
          <w:sz w:val="21"/>
          <w:szCs w:val="21"/>
        </w:rPr>
        <w:t>should,however,not</w:t>
      </w:r>
      <w:r>
        <w:rPr>
          <w:rFonts w:ascii="Times New Roman" w:hAnsi="Times New Roman" w:eastAsia="Times New Roman" w:cs="Times New Roman"/>
          <w:spacing w:val="20"/>
          <w:sz w:val="21"/>
          <w:szCs w:val="21"/>
        </w:rPr>
        <w:t xml:space="preserve"> </w:t>
      </w:r>
      <w:r>
        <w:rPr>
          <w:rFonts w:ascii="Times New Roman" w:hAnsi="Times New Roman" w:eastAsia="Times New Roman" w:cs="Times New Roman"/>
          <w:sz w:val="21"/>
          <w:szCs w:val="21"/>
        </w:rPr>
        <w:t>be</w:t>
      </w:r>
      <w:r>
        <w:rPr>
          <w:rFonts w:ascii="Times New Roman" w:hAnsi="Times New Roman" w:eastAsia="Times New Roman" w:cs="Times New Roman"/>
          <w:spacing w:val="20"/>
          <w:w w:val="101"/>
          <w:sz w:val="21"/>
          <w:szCs w:val="21"/>
        </w:rPr>
        <w:t xml:space="preserve"> </w:t>
      </w:r>
      <w:r>
        <w:rPr>
          <w:rFonts w:ascii="Times New Roman" w:hAnsi="Times New Roman" w:eastAsia="Times New Roman" w:cs="Times New Roman"/>
          <w:sz w:val="21"/>
          <w:szCs w:val="21"/>
        </w:rPr>
        <w:t>used</w:t>
      </w:r>
      <w:r>
        <w:rPr>
          <w:rFonts w:ascii="Times New Roman" w:hAnsi="Times New Roman" w:eastAsia="Times New Roman" w:cs="Times New Roman"/>
          <w:spacing w:val="27"/>
          <w:sz w:val="21"/>
          <w:szCs w:val="21"/>
        </w:rPr>
        <w:t xml:space="preserve"> </w:t>
      </w:r>
      <w:r>
        <w:rPr>
          <w:rFonts w:ascii="Times New Roman" w:hAnsi="Times New Roman" w:eastAsia="Times New Roman" w:cs="Times New Roman"/>
          <w:sz w:val="21"/>
          <w:szCs w:val="21"/>
        </w:rPr>
        <w:t>as</w:t>
      </w:r>
      <w:r>
        <w:rPr>
          <w:rFonts w:ascii="Times New Roman" w:hAnsi="Times New Roman" w:eastAsia="Times New Roman" w:cs="Times New Roman"/>
          <w:spacing w:val="28"/>
          <w:sz w:val="21"/>
          <w:szCs w:val="21"/>
        </w:rPr>
        <w:t xml:space="preserve"> </w:t>
      </w:r>
      <w:r>
        <w:rPr>
          <w:rFonts w:ascii="Times New Roman" w:hAnsi="Times New Roman" w:eastAsia="Times New Roman" w:cs="Times New Roman"/>
          <w:sz w:val="21"/>
          <w:szCs w:val="21"/>
        </w:rPr>
        <w:t>excus</w:t>
      </w:r>
      <w:r>
        <w:rPr>
          <w:rFonts w:ascii="Times New Roman" w:hAnsi="Times New Roman" w:eastAsia="Times New Roman" w:cs="Times New Roman"/>
          <w:spacing w:val="-1"/>
          <w:sz w:val="21"/>
          <w:szCs w:val="21"/>
        </w:rPr>
        <w:t>es</w:t>
      </w:r>
      <w:r>
        <w:rPr>
          <w:rFonts w:ascii="Times New Roman" w:hAnsi="Times New Roman" w:eastAsia="Times New Roman" w:cs="Times New Roman"/>
          <w:spacing w:val="28"/>
          <w:w w:val="101"/>
          <w:sz w:val="21"/>
          <w:szCs w:val="21"/>
        </w:rPr>
        <w:t xml:space="preserve"> </w:t>
      </w:r>
      <w:r>
        <w:rPr>
          <w:rFonts w:ascii="Times New Roman" w:hAnsi="Times New Roman" w:eastAsia="Times New Roman" w:cs="Times New Roman"/>
          <w:spacing w:val="-1"/>
          <w:sz w:val="21"/>
          <w:szCs w:val="21"/>
        </w:rPr>
        <w:t>for</w:t>
      </w:r>
      <w:r>
        <w:rPr>
          <w:rFonts w:ascii="Times New Roman" w:hAnsi="Times New Roman" w:eastAsia="Times New Roman" w:cs="Times New Roman"/>
          <w:spacing w:val="26"/>
          <w:sz w:val="21"/>
          <w:szCs w:val="21"/>
        </w:rPr>
        <w:t xml:space="preserve"> </w:t>
      </w:r>
      <w:r>
        <w:rPr>
          <w:rFonts w:ascii="Times New Roman" w:hAnsi="Times New Roman" w:eastAsia="Times New Roman" w:cs="Times New Roman"/>
          <w:spacing w:val="-1"/>
          <w:sz w:val="21"/>
          <w:szCs w:val="21"/>
        </w:rPr>
        <w:t>delaying</w:t>
      </w:r>
      <w:r>
        <w:rPr>
          <w:rFonts w:ascii="Times New Roman" w:hAnsi="Times New Roman" w:eastAsia="Times New Roman" w:cs="Times New Roman"/>
          <w:spacing w:val="21"/>
          <w:w w:val="101"/>
          <w:sz w:val="21"/>
          <w:szCs w:val="21"/>
        </w:rPr>
        <w:t xml:space="preserve"> </w:t>
      </w:r>
      <w:r>
        <w:rPr>
          <w:rFonts w:ascii="Times New Roman" w:hAnsi="Times New Roman" w:eastAsia="Times New Roman" w:cs="Times New Roman"/>
          <w:spacing w:val="-1"/>
          <w:sz w:val="21"/>
          <w:szCs w:val="21"/>
        </w:rPr>
        <w:t>necessary</w:t>
      </w:r>
      <w:r>
        <w:rPr>
          <w:rFonts w:ascii="Times New Roman" w:hAnsi="Times New Roman" w:eastAsia="Times New Roman" w:cs="Times New Roman"/>
          <w:spacing w:val="27"/>
          <w:sz w:val="21"/>
          <w:szCs w:val="21"/>
        </w:rPr>
        <w:t xml:space="preserve"> </w:t>
      </w:r>
      <w:r>
        <w:rPr>
          <w:rFonts w:ascii="Times New Roman" w:hAnsi="Times New Roman" w:eastAsia="Times New Roman" w:cs="Times New Roman"/>
          <w:spacing w:val="-1"/>
          <w:sz w:val="21"/>
          <w:szCs w:val="21"/>
        </w:rPr>
        <w:t>disease</w:t>
      </w:r>
      <w:r>
        <w:rPr>
          <w:rFonts w:ascii="Times New Roman" w:hAnsi="Times New Roman" w:eastAsia="Times New Roman" w:cs="Times New Roman"/>
          <w:spacing w:val="27"/>
          <w:w w:val="101"/>
          <w:sz w:val="21"/>
          <w:szCs w:val="21"/>
        </w:rPr>
        <w:t xml:space="preserve"> </w:t>
      </w:r>
      <w:r>
        <w:rPr>
          <w:rFonts w:ascii="Times New Roman" w:hAnsi="Times New Roman" w:eastAsia="Times New Roman" w:cs="Times New Roman"/>
          <w:spacing w:val="-1"/>
          <w:sz w:val="21"/>
          <w:szCs w:val="21"/>
        </w:rPr>
        <w:t>control</w:t>
      </w:r>
      <w:r>
        <w:rPr>
          <w:rFonts w:ascii="Times New Roman" w:hAnsi="Times New Roman" w:eastAsia="Times New Roman" w:cs="Times New Roman"/>
          <w:spacing w:val="27"/>
          <w:w w:val="101"/>
          <w:sz w:val="21"/>
          <w:szCs w:val="21"/>
        </w:rPr>
        <w:t xml:space="preserve"> </w:t>
      </w:r>
      <w:r>
        <w:rPr>
          <w:rFonts w:ascii="Times New Roman" w:hAnsi="Times New Roman" w:eastAsia="Times New Roman" w:cs="Times New Roman"/>
          <w:spacing w:val="-1"/>
          <w:sz w:val="21"/>
          <w:szCs w:val="21"/>
        </w:rPr>
        <w:t>actions judged</w:t>
      </w:r>
      <w:r>
        <w:rPr>
          <w:rFonts w:ascii="Times New Roman" w:hAnsi="Times New Roman" w:eastAsia="Times New Roman" w:cs="Times New Roman"/>
          <w:sz w:val="21"/>
          <w:szCs w:val="21"/>
        </w:rPr>
        <w:t xml:space="preserve"> appropriate based on current be</w:t>
      </w:r>
      <w:r>
        <w:rPr>
          <w:rFonts w:ascii="Times New Roman" w:hAnsi="Times New Roman" w:eastAsia="Times New Roman" w:cs="Times New Roman"/>
          <w:spacing w:val="-1"/>
          <w:sz w:val="21"/>
          <w:szCs w:val="21"/>
        </w:rPr>
        <w:t>st evidence.</w:t>
      </w:r>
    </w:p>
    <w:p w14:paraId="7FABC3E3">
      <w:pPr>
        <w:spacing w:line="319" w:lineRule="auto"/>
        <w:rPr>
          <w:rFonts w:ascii="Arial"/>
          <w:sz w:val="21"/>
        </w:rPr>
      </w:pPr>
    </w:p>
    <w:p w14:paraId="101B767F">
      <w:pPr>
        <w:spacing w:before="69" w:line="326" w:lineRule="auto"/>
        <w:ind w:right="663" w:firstLine="419"/>
        <w:jc w:val="both"/>
        <w:rPr>
          <w:rFonts w:ascii="宋体" w:hAnsi="宋体" w:eastAsia="宋体" w:cs="宋体"/>
          <w:sz w:val="21"/>
          <w:szCs w:val="21"/>
        </w:rPr>
      </w:pPr>
      <w:r>
        <w:rPr>
          <w:rFonts w:ascii="宋体" w:hAnsi="宋体" w:eastAsia="宋体" w:cs="宋体"/>
          <w:sz w:val="21"/>
          <w:szCs w:val="21"/>
        </w:rPr>
        <w:t>寻找和控制病因是预防疾病的前提，也是流行病学发展的开端，病因和因果关系的理论是流行</w:t>
      </w:r>
      <w:r>
        <w:rPr>
          <w:rFonts w:ascii="宋体" w:hAnsi="宋体" w:eastAsia="宋体" w:cs="宋体"/>
          <w:spacing w:val="9"/>
          <w:sz w:val="21"/>
          <w:szCs w:val="21"/>
        </w:rPr>
        <w:t xml:space="preserve"> </w:t>
      </w:r>
      <w:r>
        <w:rPr>
          <w:rFonts w:ascii="宋体" w:hAnsi="宋体" w:eastAsia="宋体" w:cs="宋体"/>
          <w:sz w:val="21"/>
          <w:szCs w:val="21"/>
        </w:rPr>
        <w:t>病学理论和实践的重要基础。探索病因、危险因素和评估干预措施的效果及安全性，都属于寻找和</w:t>
      </w:r>
      <w:r>
        <w:rPr>
          <w:rFonts w:ascii="宋体" w:hAnsi="宋体" w:eastAsia="宋体" w:cs="宋体"/>
          <w:spacing w:val="16"/>
          <w:sz w:val="21"/>
          <w:szCs w:val="21"/>
        </w:rPr>
        <w:t xml:space="preserve"> </w:t>
      </w:r>
      <w:r>
        <w:rPr>
          <w:rFonts w:ascii="宋体" w:hAnsi="宋体" w:eastAsia="宋体" w:cs="宋体"/>
          <w:sz w:val="21"/>
          <w:szCs w:val="21"/>
        </w:rPr>
        <w:t>验证因果关系的流行病学研究活动。流行病学研究设计，如病例对照研究、队</w:t>
      </w:r>
      <w:r>
        <w:rPr>
          <w:rFonts w:ascii="宋体" w:hAnsi="宋体" w:eastAsia="宋体" w:cs="宋体"/>
          <w:spacing w:val="-1"/>
          <w:sz w:val="21"/>
          <w:szCs w:val="21"/>
        </w:rPr>
        <w:t>列研究和随机对照试</w:t>
      </w:r>
      <w:r>
        <w:rPr>
          <w:rFonts w:ascii="宋体" w:hAnsi="宋体" w:eastAsia="宋体" w:cs="宋体"/>
          <w:sz w:val="21"/>
          <w:szCs w:val="21"/>
        </w:rPr>
        <w:t xml:space="preserve"> 验，都是在人群中探索与医学相关的因果关系的研究方法。因此，认识病因、疾病以及二者之间的</w:t>
      </w:r>
      <w:r>
        <w:rPr>
          <w:rFonts w:ascii="宋体" w:hAnsi="宋体" w:eastAsia="宋体" w:cs="宋体"/>
          <w:spacing w:val="15"/>
          <w:sz w:val="21"/>
          <w:szCs w:val="21"/>
        </w:rPr>
        <w:t xml:space="preserve"> </w:t>
      </w:r>
      <w:r>
        <w:rPr>
          <w:rFonts w:ascii="宋体" w:hAnsi="宋体" w:eastAsia="宋体" w:cs="宋体"/>
          <w:spacing w:val="-5"/>
          <w:sz w:val="21"/>
          <w:szCs w:val="21"/>
        </w:rPr>
        <w:t>因果关系，对理解和掌握流行病学的历史、概念、理论和方法十分重要。本章将以病因为主线，讨论</w:t>
      </w:r>
      <w:r>
        <w:rPr>
          <w:rFonts w:ascii="宋体" w:hAnsi="宋体" w:eastAsia="宋体" w:cs="宋体"/>
          <w:spacing w:val="18"/>
          <w:sz w:val="21"/>
          <w:szCs w:val="21"/>
        </w:rPr>
        <w:t xml:space="preserve"> </w:t>
      </w:r>
      <w:r>
        <w:rPr>
          <w:rFonts w:ascii="宋体" w:hAnsi="宋体" w:eastAsia="宋体" w:cs="宋体"/>
          <w:sz w:val="21"/>
          <w:szCs w:val="21"/>
        </w:rPr>
        <w:t>和分析因果关系的本质、病因模型的概念和意义以及病因的种类和区别，</w:t>
      </w:r>
      <w:r>
        <w:rPr>
          <w:rFonts w:ascii="宋体" w:hAnsi="宋体" w:eastAsia="宋体" w:cs="宋体"/>
          <w:spacing w:val="-1"/>
          <w:sz w:val="21"/>
          <w:szCs w:val="21"/>
        </w:rPr>
        <w:t>并分析病因理论与研究设</w:t>
      </w:r>
      <w:r>
        <w:rPr>
          <w:rFonts w:ascii="宋体" w:hAnsi="宋体" w:eastAsia="宋体" w:cs="宋体"/>
          <w:sz w:val="21"/>
          <w:szCs w:val="21"/>
        </w:rPr>
        <w:t xml:space="preserve"> 计的关系，继而回答上述有关问题。在此意义上讲，本章从理论框架上连接</w:t>
      </w:r>
      <w:r>
        <w:rPr>
          <w:rFonts w:ascii="宋体" w:hAnsi="宋体" w:eastAsia="宋体" w:cs="宋体"/>
          <w:spacing w:val="-1"/>
          <w:sz w:val="21"/>
          <w:szCs w:val="21"/>
        </w:rPr>
        <w:t>了流行病学理论和方法</w:t>
      </w:r>
      <w:r>
        <w:rPr>
          <w:rFonts w:ascii="宋体" w:hAnsi="宋体" w:eastAsia="宋体" w:cs="宋体"/>
          <w:sz w:val="21"/>
          <w:szCs w:val="21"/>
        </w:rPr>
        <w:t xml:space="preserve"> 各章的主要概念和理论，有助于全面理解和贯通流行病学的理论和方法学体系。</w:t>
      </w:r>
    </w:p>
    <w:p w14:paraId="631B9358">
      <w:pPr>
        <w:spacing w:line="413" w:lineRule="auto"/>
        <w:rPr>
          <w:rFonts w:ascii="Arial"/>
          <w:sz w:val="21"/>
        </w:rPr>
      </w:pPr>
    </w:p>
    <w:p w14:paraId="13947A86">
      <w:pPr>
        <w:pStyle w:val="2"/>
        <w:spacing w:before="98" w:line="221" w:lineRule="auto"/>
        <w:ind w:left="3494"/>
        <w:outlineLvl w:val="1"/>
      </w:pPr>
      <w:bookmarkStart w:id="222" w:name="bookmark138"/>
      <w:bookmarkEnd w:id="222"/>
      <w:r>
        <w:rPr>
          <w:b/>
          <w:bCs/>
          <w:spacing w:val="-4"/>
        </w:rPr>
        <w:t>第一节</w:t>
      </w:r>
      <w:r>
        <w:rPr>
          <w:spacing w:val="132"/>
        </w:rPr>
        <w:t xml:space="preserve"> </w:t>
      </w:r>
      <w:r>
        <w:rPr>
          <w:b/>
          <w:bCs/>
          <w:spacing w:val="-4"/>
        </w:rPr>
        <w:t>概</w:t>
      </w:r>
      <w:r>
        <w:rPr>
          <w:spacing w:val="-4"/>
        </w:rPr>
        <w:t xml:space="preserve">  </w:t>
      </w:r>
      <w:r>
        <w:rPr>
          <w:b/>
          <w:bCs/>
          <w:spacing w:val="-4"/>
        </w:rPr>
        <w:t>述</w:t>
      </w:r>
    </w:p>
    <w:p w14:paraId="29BF5CA3">
      <w:pPr>
        <w:spacing w:line="365" w:lineRule="auto"/>
        <w:rPr>
          <w:rFonts w:ascii="Arial"/>
          <w:sz w:val="21"/>
        </w:rPr>
      </w:pPr>
    </w:p>
    <w:p w14:paraId="23B59F22">
      <w:pPr>
        <w:pStyle w:val="2"/>
        <w:spacing w:before="86" w:line="222" w:lineRule="auto"/>
        <w:ind w:left="423"/>
        <w:outlineLvl w:val="2"/>
        <w:rPr>
          <w:sz w:val="26"/>
          <w:szCs w:val="26"/>
        </w:rPr>
      </w:pPr>
      <w:bookmarkStart w:id="223" w:name="bookmark139"/>
      <w:bookmarkEnd w:id="223"/>
      <w:r>
        <w:rPr>
          <w:b/>
          <w:bCs/>
          <w:spacing w:val="-12"/>
          <w:sz w:val="26"/>
          <w:szCs w:val="26"/>
        </w:rPr>
        <w:t>一</w:t>
      </w:r>
      <w:r>
        <w:rPr>
          <w:spacing w:val="-64"/>
          <w:sz w:val="26"/>
          <w:szCs w:val="26"/>
        </w:rPr>
        <w:t xml:space="preserve"> </w:t>
      </w:r>
      <w:r>
        <w:rPr>
          <w:b/>
          <w:bCs/>
          <w:spacing w:val="-12"/>
          <w:sz w:val="26"/>
          <w:szCs w:val="26"/>
        </w:rPr>
        <w:t>、病因与因果关系</w:t>
      </w:r>
    </w:p>
    <w:p w14:paraId="7C1463E8">
      <w:pPr>
        <w:spacing w:before="273" w:line="324" w:lineRule="auto"/>
        <w:ind w:right="664" w:firstLine="419"/>
        <w:jc w:val="both"/>
        <w:rPr>
          <w:rFonts w:ascii="宋体" w:hAnsi="宋体" w:eastAsia="宋体" w:cs="宋体"/>
          <w:sz w:val="21"/>
          <w:szCs w:val="21"/>
        </w:rPr>
      </w:pPr>
      <w:r>
        <w:rPr>
          <w:rFonts w:ascii="宋体" w:hAnsi="宋体" w:eastAsia="宋体" w:cs="宋体"/>
          <w:sz w:val="21"/>
          <w:szCs w:val="21"/>
        </w:rPr>
        <w:t>病</w:t>
      </w:r>
      <w:r>
        <w:rPr>
          <w:rFonts w:ascii="宋体" w:hAnsi="宋体" w:eastAsia="宋体" w:cs="宋体"/>
          <w:spacing w:val="-32"/>
          <w:sz w:val="21"/>
          <w:szCs w:val="21"/>
        </w:rPr>
        <w:t xml:space="preserve"> </w:t>
      </w:r>
      <w:r>
        <w:rPr>
          <w:rFonts w:ascii="宋体" w:hAnsi="宋体" w:eastAsia="宋体" w:cs="宋体"/>
          <w:sz w:val="21"/>
          <w:szCs w:val="21"/>
        </w:rPr>
        <w:t>因</w:t>
      </w:r>
      <w:r>
        <w:rPr>
          <w:rFonts w:ascii="Times New Roman" w:hAnsi="Times New Roman" w:eastAsia="Times New Roman" w:cs="Times New Roman"/>
          <w:sz w:val="21"/>
          <w:szCs w:val="21"/>
        </w:rPr>
        <w:t>(cause</w:t>
      </w:r>
      <w:r>
        <w:rPr>
          <w:rFonts w:ascii="Times New Roman" w:hAnsi="Times New Roman" w:eastAsia="Times New Roman" w:cs="Times New Roman"/>
          <w:spacing w:val="21"/>
          <w:w w:val="101"/>
          <w:sz w:val="21"/>
          <w:szCs w:val="21"/>
        </w:rPr>
        <w:t xml:space="preserve">  </w:t>
      </w:r>
      <w:r>
        <w:rPr>
          <w:rFonts w:ascii="Times New Roman" w:hAnsi="Times New Roman" w:eastAsia="Times New Roman" w:cs="Times New Roman"/>
          <w:sz w:val="21"/>
          <w:szCs w:val="21"/>
        </w:rPr>
        <w:t>of  disease)</w:t>
      </w:r>
      <w:r>
        <w:rPr>
          <w:rFonts w:ascii="宋体" w:hAnsi="宋体" w:eastAsia="宋体" w:cs="宋体"/>
          <w:sz w:val="21"/>
          <w:szCs w:val="21"/>
        </w:rPr>
        <w:t>是流行病学</w:t>
      </w:r>
      <w:r>
        <w:rPr>
          <w:rFonts w:ascii="宋体" w:hAnsi="宋体" w:eastAsia="宋体" w:cs="宋体"/>
          <w:spacing w:val="-1"/>
          <w:sz w:val="21"/>
          <w:szCs w:val="21"/>
        </w:rPr>
        <w:t>和预防医学的重要概念，是引起疾病发生的原因，即能够影</w:t>
      </w:r>
      <w:r>
        <w:rPr>
          <w:rFonts w:ascii="宋体" w:hAnsi="宋体" w:eastAsia="宋体" w:cs="宋体"/>
          <w:sz w:val="21"/>
          <w:szCs w:val="21"/>
        </w:rPr>
        <w:t xml:space="preserve"> </w:t>
      </w:r>
      <w:r>
        <w:rPr>
          <w:rFonts w:ascii="宋体" w:hAnsi="宋体" w:eastAsia="宋体" w:cs="宋体"/>
          <w:spacing w:val="5"/>
          <w:sz w:val="21"/>
          <w:szCs w:val="21"/>
        </w:rPr>
        <w:t>响未来疾病发生的因素或事件。流行病学起源于对传染性疾病病因的研究，认识病因是预防的前</w:t>
      </w:r>
      <w:r>
        <w:rPr>
          <w:rFonts w:ascii="宋体" w:hAnsi="宋体" w:eastAsia="宋体" w:cs="宋体"/>
          <w:spacing w:val="9"/>
          <w:sz w:val="21"/>
          <w:szCs w:val="21"/>
        </w:rPr>
        <w:t xml:space="preserve"> </w:t>
      </w:r>
      <w:r>
        <w:rPr>
          <w:rFonts w:ascii="宋体" w:hAnsi="宋体" w:eastAsia="宋体" w:cs="宋体"/>
          <w:sz w:val="21"/>
          <w:szCs w:val="21"/>
        </w:rPr>
        <w:t>提，没有病因研究就没有预防的可能，因此病因研究是预防医学发展的前提，也是公共卫生发展的</w:t>
      </w:r>
      <w:r>
        <w:rPr>
          <w:rFonts w:ascii="宋体" w:hAnsi="宋体" w:eastAsia="宋体" w:cs="宋体"/>
          <w:spacing w:val="15"/>
          <w:sz w:val="21"/>
          <w:szCs w:val="21"/>
        </w:rPr>
        <w:t xml:space="preserve"> </w:t>
      </w:r>
      <w:r>
        <w:rPr>
          <w:rFonts w:ascii="宋体" w:hAnsi="宋体" w:eastAsia="宋体" w:cs="宋体"/>
          <w:spacing w:val="4"/>
          <w:sz w:val="21"/>
          <w:szCs w:val="21"/>
        </w:rPr>
        <w:t>前提。</w:t>
      </w:r>
    </w:p>
    <w:p w14:paraId="729EE841">
      <w:pPr>
        <w:spacing w:before="20" w:line="219" w:lineRule="auto"/>
        <w:ind w:left="419"/>
        <w:rPr>
          <w:rFonts w:ascii="宋体" w:hAnsi="宋体" w:eastAsia="宋体" w:cs="宋体"/>
          <w:sz w:val="21"/>
          <w:szCs w:val="21"/>
        </w:rPr>
      </w:pPr>
      <w:r>
        <w:rPr>
          <w:rFonts w:ascii="宋体" w:hAnsi="宋体" w:eastAsia="宋体" w:cs="宋体"/>
          <w:spacing w:val="10"/>
          <w:sz w:val="21"/>
          <w:szCs w:val="21"/>
        </w:rPr>
        <w:t>现代科学的病因观主要是从认识传染病开始的。在20世纪中叶以前，人类的主要疾病是传</w:t>
      </w:r>
    </w:p>
    <w:p w14:paraId="66610071">
      <w:pPr>
        <w:spacing w:line="219" w:lineRule="auto"/>
        <w:rPr>
          <w:rFonts w:ascii="宋体" w:hAnsi="宋体" w:eastAsia="宋体" w:cs="宋体"/>
          <w:sz w:val="21"/>
          <w:szCs w:val="21"/>
        </w:rPr>
        <w:sectPr>
          <w:footerReference r:id="rId158" w:type="default"/>
          <w:pgSz w:w="11900" w:h="16820"/>
          <w:pgMar w:top="400" w:right="799" w:bottom="706" w:left="1390" w:header="0" w:footer="517" w:gutter="0"/>
          <w:cols w:space="720" w:num="1"/>
        </w:sectPr>
      </w:pPr>
    </w:p>
    <w:p w14:paraId="7529565A">
      <w:pPr>
        <w:spacing w:line="262" w:lineRule="auto"/>
        <w:rPr>
          <w:rFonts w:ascii="Arial"/>
          <w:sz w:val="21"/>
        </w:rPr>
      </w:pPr>
    </w:p>
    <w:p w14:paraId="799B39D8">
      <w:pPr>
        <w:pStyle w:val="2"/>
        <w:spacing w:before="62" w:line="221" w:lineRule="auto"/>
        <w:ind w:left="639"/>
        <w:rPr>
          <w:sz w:val="19"/>
          <w:szCs w:val="19"/>
        </w:rPr>
      </w:pPr>
      <w:bookmarkStart w:id="224" w:name="bookmark478"/>
      <w:bookmarkEnd w:id="224"/>
      <w:r>
        <w:rPr>
          <w:spacing w:val="-21"/>
          <w:w w:val="99"/>
          <w:sz w:val="19"/>
          <w:szCs w:val="19"/>
        </w:rPr>
        <w:t>第八章 病因及其发现和推断</w:t>
      </w:r>
    </w:p>
    <w:p w14:paraId="134697D0">
      <w:pPr>
        <w:spacing w:line="266" w:lineRule="auto"/>
        <w:rPr>
          <w:rFonts w:ascii="Arial"/>
          <w:sz w:val="21"/>
        </w:rPr>
      </w:pPr>
    </w:p>
    <w:p w14:paraId="40DB6A3A">
      <w:pPr>
        <w:spacing w:line="266" w:lineRule="auto"/>
        <w:rPr>
          <w:rFonts w:ascii="Arial"/>
          <w:sz w:val="21"/>
        </w:rPr>
      </w:pPr>
    </w:p>
    <w:p w14:paraId="462AEE99">
      <w:pPr>
        <w:spacing w:before="62" w:line="361" w:lineRule="auto"/>
        <w:ind w:left="639" w:right="78"/>
        <w:jc w:val="both"/>
        <w:rPr>
          <w:rFonts w:ascii="宋体" w:hAnsi="宋体" w:eastAsia="宋体" w:cs="宋体"/>
          <w:sz w:val="19"/>
          <w:szCs w:val="19"/>
        </w:rPr>
      </w:pPr>
      <w:r>
        <w:rPr>
          <w:rFonts w:ascii="宋体" w:hAnsi="宋体" w:eastAsia="宋体" w:cs="宋体"/>
          <w:spacing w:val="2"/>
          <w:sz w:val="19"/>
          <w:szCs w:val="19"/>
        </w:rPr>
        <w:t>染病，有关传染病的病因有两个著名的学说：瘴气说(</w:t>
      </w:r>
      <w:r>
        <w:rPr>
          <w:rFonts w:ascii="宋体" w:hAnsi="宋体" w:eastAsia="宋体" w:cs="宋体"/>
          <w:sz w:val="19"/>
          <w:szCs w:val="19"/>
        </w:rPr>
        <w:t>miasma</w:t>
      </w:r>
      <w:r>
        <w:rPr>
          <w:rFonts w:ascii="宋体" w:hAnsi="宋体" w:eastAsia="宋体" w:cs="宋体"/>
          <w:spacing w:val="51"/>
          <w:sz w:val="19"/>
          <w:szCs w:val="19"/>
        </w:rPr>
        <w:t xml:space="preserve"> </w:t>
      </w:r>
      <w:r>
        <w:rPr>
          <w:rFonts w:ascii="宋体" w:hAnsi="宋体" w:eastAsia="宋体" w:cs="宋体"/>
          <w:sz w:val="19"/>
          <w:szCs w:val="19"/>
        </w:rPr>
        <w:t>theory</w:t>
      </w:r>
      <w:r>
        <w:rPr>
          <w:rFonts w:ascii="宋体" w:hAnsi="宋体" w:eastAsia="宋体" w:cs="宋体"/>
          <w:spacing w:val="2"/>
          <w:sz w:val="19"/>
          <w:szCs w:val="19"/>
        </w:rPr>
        <w:t>)和后来居上的微生物说(</w:t>
      </w:r>
      <w:r>
        <w:rPr>
          <w:rFonts w:ascii="宋体" w:hAnsi="宋体" w:eastAsia="宋体" w:cs="宋体"/>
          <w:sz w:val="19"/>
          <w:szCs w:val="19"/>
        </w:rPr>
        <w:t>germ theory</w:t>
      </w:r>
      <w:r>
        <w:rPr>
          <w:rFonts w:ascii="宋体" w:hAnsi="宋体" w:eastAsia="宋体" w:cs="宋体"/>
          <w:spacing w:val="2"/>
          <w:sz w:val="19"/>
          <w:szCs w:val="19"/>
        </w:rPr>
        <w:t>)。广义的瘴气说认为传染病的流行与环境有关，尤其是空气。在人类对人体内部和微观世界</w:t>
      </w:r>
      <w:r>
        <w:rPr>
          <w:rFonts w:ascii="宋体" w:hAnsi="宋体" w:eastAsia="宋体" w:cs="宋体"/>
          <w:sz w:val="19"/>
          <w:szCs w:val="19"/>
        </w:rPr>
        <w:t xml:space="preserve"> 了解有限的年代，把病因指向人体外部的环境因素是必然的，这种“黑箱式”的策略曾对</w:t>
      </w:r>
      <w:r>
        <w:rPr>
          <w:rFonts w:ascii="宋体" w:hAnsi="宋体" w:eastAsia="宋体" w:cs="宋体"/>
          <w:spacing w:val="-1"/>
          <w:sz w:val="19"/>
          <w:szCs w:val="19"/>
        </w:rPr>
        <w:t>认识和控制</w:t>
      </w:r>
      <w:r>
        <w:rPr>
          <w:rFonts w:ascii="宋体" w:hAnsi="宋体" w:eastAsia="宋体" w:cs="宋体"/>
          <w:sz w:val="19"/>
          <w:szCs w:val="19"/>
        </w:rPr>
        <w:t xml:space="preserve"> </w:t>
      </w:r>
      <w:r>
        <w:rPr>
          <w:rFonts w:ascii="宋体" w:hAnsi="宋体" w:eastAsia="宋体" w:cs="宋体"/>
          <w:spacing w:val="5"/>
          <w:sz w:val="19"/>
          <w:szCs w:val="19"/>
        </w:rPr>
        <w:t>传染病作出了巨大贡献。</w:t>
      </w:r>
    </w:p>
    <w:p w14:paraId="41170071">
      <w:pPr>
        <w:spacing w:before="2" w:line="359" w:lineRule="auto"/>
        <w:ind w:left="639" w:firstLine="389"/>
        <w:jc w:val="both"/>
        <w:rPr>
          <w:rFonts w:ascii="宋体" w:hAnsi="宋体" w:eastAsia="宋体" w:cs="宋体"/>
          <w:sz w:val="19"/>
          <w:szCs w:val="19"/>
        </w:rPr>
      </w:pPr>
      <w:r>
        <w:rPr>
          <w:rFonts w:ascii="宋体" w:hAnsi="宋体" w:eastAsia="宋体" w:cs="宋体"/>
          <w:spacing w:val="9"/>
          <w:sz w:val="19"/>
          <w:szCs w:val="19"/>
        </w:rPr>
        <w:t>19世纪，细菌等病原微生物的发现使人类对传染病的病因有了新的</w:t>
      </w:r>
      <w:r>
        <w:rPr>
          <w:rFonts w:ascii="宋体" w:hAnsi="宋体" w:eastAsia="宋体" w:cs="宋体"/>
          <w:spacing w:val="8"/>
          <w:sz w:val="19"/>
          <w:szCs w:val="19"/>
        </w:rPr>
        <w:t>认识，使疾病病因的微生</w:t>
      </w:r>
      <w:r>
        <w:rPr>
          <w:rFonts w:ascii="宋体" w:hAnsi="宋体" w:eastAsia="宋体" w:cs="宋体"/>
          <w:sz w:val="19"/>
          <w:szCs w:val="19"/>
        </w:rPr>
        <w:t xml:space="preserve">  </w:t>
      </w:r>
      <w:r>
        <w:rPr>
          <w:rFonts w:ascii="宋体" w:hAnsi="宋体" w:eastAsia="宋体" w:cs="宋体"/>
          <w:spacing w:val="6"/>
          <w:sz w:val="19"/>
          <w:szCs w:val="19"/>
        </w:rPr>
        <w:t>物说得到了验证，该学说认为传染病的病因是微生物。微生物说的出现使瘴气说显得原始、笼统、</w:t>
      </w:r>
      <w:r>
        <w:rPr>
          <w:rFonts w:ascii="宋体" w:hAnsi="宋体" w:eastAsia="宋体" w:cs="宋体"/>
          <w:spacing w:val="5"/>
          <w:sz w:val="19"/>
          <w:szCs w:val="19"/>
        </w:rPr>
        <w:t xml:space="preserve"> </w:t>
      </w:r>
      <w:r>
        <w:rPr>
          <w:rFonts w:ascii="宋体" w:hAnsi="宋体" w:eastAsia="宋体" w:cs="宋体"/>
          <w:spacing w:val="9"/>
          <w:sz w:val="19"/>
          <w:szCs w:val="19"/>
        </w:rPr>
        <w:t>不得要领。随着微生物实验室研究的蓬勃发展，人类对病因认识的重点移向了人体内部</w:t>
      </w:r>
      <w:r>
        <w:rPr>
          <w:rFonts w:ascii="宋体" w:hAnsi="宋体" w:eastAsia="宋体" w:cs="宋体"/>
          <w:spacing w:val="8"/>
          <w:sz w:val="19"/>
          <w:szCs w:val="19"/>
        </w:rPr>
        <w:t>、微观和</w:t>
      </w:r>
      <w:r>
        <w:rPr>
          <w:rFonts w:ascii="宋体" w:hAnsi="宋体" w:eastAsia="宋体" w:cs="宋体"/>
          <w:sz w:val="19"/>
          <w:szCs w:val="19"/>
        </w:rPr>
        <w:t xml:space="preserve">  </w:t>
      </w:r>
      <w:r>
        <w:rPr>
          <w:rFonts w:ascii="宋体" w:hAnsi="宋体" w:eastAsia="宋体" w:cs="宋体"/>
          <w:spacing w:val="4"/>
          <w:sz w:val="19"/>
          <w:szCs w:val="19"/>
        </w:rPr>
        <w:t>机制。</w:t>
      </w:r>
    </w:p>
    <w:p w14:paraId="123180DB">
      <w:pPr>
        <w:spacing w:before="4" w:line="349" w:lineRule="auto"/>
        <w:ind w:left="639" w:right="80" w:firstLine="389"/>
        <w:jc w:val="both"/>
        <w:rPr>
          <w:rFonts w:ascii="宋体" w:hAnsi="宋体" w:eastAsia="宋体" w:cs="宋体"/>
          <w:sz w:val="19"/>
          <w:szCs w:val="19"/>
        </w:rPr>
      </w:pPr>
      <w:r>
        <w:rPr>
          <w:rFonts w:ascii="宋体" w:hAnsi="宋体" w:eastAsia="宋体" w:cs="宋体"/>
          <w:spacing w:val="4"/>
          <w:sz w:val="19"/>
          <w:szCs w:val="19"/>
        </w:rPr>
        <w:t>到20世纪中叶，在研究慢性病病因和预防策略方面，微生物说显得无所适从，而注重从外部寻</w:t>
      </w:r>
      <w:r>
        <w:rPr>
          <w:rFonts w:ascii="宋体" w:hAnsi="宋体" w:eastAsia="宋体" w:cs="宋体"/>
          <w:spacing w:val="2"/>
          <w:sz w:val="19"/>
          <w:szCs w:val="19"/>
        </w:rPr>
        <w:t xml:space="preserve"> </w:t>
      </w:r>
      <w:r>
        <w:rPr>
          <w:rFonts w:ascii="宋体" w:hAnsi="宋体" w:eastAsia="宋体" w:cs="宋体"/>
          <w:spacing w:val="4"/>
          <w:sz w:val="19"/>
          <w:szCs w:val="19"/>
        </w:rPr>
        <w:t>找病因的流行病学又一次发挥了作用，演变成在人群中研究疾病和健康一般规律的方法论，与生物</w:t>
      </w:r>
      <w:r>
        <w:rPr>
          <w:rFonts w:ascii="宋体" w:hAnsi="宋体" w:eastAsia="宋体" w:cs="宋体"/>
          <w:spacing w:val="6"/>
          <w:sz w:val="19"/>
          <w:szCs w:val="19"/>
        </w:rPr>
        <w:t xml:space="preserve"> </w:t>
      </w:r>
      <w:r>
        <w:rPr>
          <w:rFonts w:ascii="宋体" w:hAnsi="宋体" w:eastAsia="宋体" w:cs="宋体"/>
          <w:spacing w:val="4"/>
          <w:sz w:val="19"/>
          <w:szCs w:val="19"/>
        </w:rPr>
        <w:t>医学基础研究分庭抗礼，成为人类研究和认识健康与疾病的两个核心阵营。从本质上讲，病因和疾</w:t>
      </w:r>
      <w:r>
        <w:rPr>
          <w:rFonts w:ascii="宋体" w:hAnsi="宋体" w:eastAsia="宋体" w:cs="宋体"/>
          <w:spacing w:val="5"/>
          <w:sz w:val="19"/>
          <w:szCs w:val="19"/>
        </w:rPr>
        <w:t xml:space="preserve"> </w:t>
      </w:r>
      <w:r>
        <w:rPr>
          <w:rFonts w:ascii="宋体" w:hAnsi="宋体" w:eastAsia="宋体" w:cs="宋体"/>
          <w:sz w:val="19"/>
          <w:szCs w:val="19"/>
        </w:rPr>
        <w:t>病的关系，属于哲学上讲的因果关系</w:t>
      </w:r>
      <w:r>
        <w:rPr>
          <w:rFonts w:ascii="Times New Roman" w:hAnsi="Times New Roman" w:eastAsia="Times New Roman" w:cs="Times New Roman"/>
          <w:sz w:val="19"/>
          <w:szCs w:val="19"/>
        </w:rPr>
        <w:t>(causal    relation;cause-and-effect     association)</w:t>
      </w:r>
      <w:r>
        <w:rPr>
          <w:rFonts w:ascii="宋体" w:hAnsi="宋体" w:eastAsia="宋体" w:cs="宋体"/>
          <w:sz w:val="19"/>
          <w:szCs w:val="19"/>
        </w:rPr>
        <w:t>。病因是原因，疾</w:t>
      </w:r>
      <w:r>
        <w:rPr>
          <w:rFonts w:ascii="宋体" w:hAnsi="宋体" w:eastAsia="宋体" w:cs="宋体"/>
          <w:spacing w:val="11"/>
          <w:sz w:val="19"/>
          <w:szCs w:val="19"/>
        </w:rPr>
        <w:t xml:space="preserve"> </w:t>
      </w:r>
      <w:r>
        <w:rPr>
          <w:rFonts w:ascii="宋体" w:hAnsi="宋体" w:eastAsia="宋体" w:cs="宋体"/>
          <w:spacing w:val="9"/>
          <w:sz w:val="19"/>
          <w:szCs w:val="19"/>
        </w:rPr>
        <w:t>病是结果。因果关系是两个事物之间关系的一种，是一种由事物变化关联和时间因素</w:t>
      </w:r>
      <w:r>
        <w:rPr>
          <w:rFonts w:ascii="宋体" w:hAnsi="宋体" w:eastAsia="宋体" w:cs="宋体"/>
          <w:spacing w:val="8"/>
          <w:sz w:val="19"/>
          <w:szCs w:val="19"/>
        </w:rPr>
        <w:t>构成的复杂</w:t>
      </w:r>
      <w:r>
        <w:rPr>
          <w:rFonts w:ascii="宋体" w:hAnsi="宋体" w:eastAsia="宋体" w:cs="宋体"/>
          <w:sz w:val="19"/>
          <w:szCs w:val="19"/>
        </w:rPr>
        <w:t xml:space="preserve"> </w:t>
      </w:r>
      <w:r>
        <w:rPr>
          <w:rFonts w:ascii="宋体" w:hAnsi="宋体" w:eastAsia="宋体" w:cs="宋体"/>
          <w:spacing w:val="5"/>
          <w:sz w:val="19"/>
          <w:szCs w:val="19"/>
        </w:rPr>
        <w:t>的抽象关系。</w:t>
      </w:r>
    </w:p>
    <w:p w14:paraId="3B9F69D4">
      <w:pPr>
        <w:spacing w:before="71" w:line="341" w:lineRule="auto"/>
        <w:ind w:left="639" w:right="105" w:firstLine="389"/>
        <w:rPr>
          <w:rFonts w:ascii="宋体" w:hAnsi="宋体" w:eastAsia="宋体" w:cs="宋体"/>
          <w:sz w:val="19"/>
          <w:szCs w:val="19"/>
        </w:rPr>
      </w:pPr>
      <w:r>
        <w:rPr>
          <w:rFonts w:ascii="宋体" w:hAnsi="宋体" w:eastAsia="宋体" w:cs="宋体"/>
          <w:spacing w:val="8"/>
          <w:sz w:val="19"/>
          <w:szCs w:val="19"/>
        </w:rPr>
        <w:t>因果关系是人类认识世界与解释事物发展变化的一种方式，具有普遍的理论和实践意义。爱</w:t>
      </w:r>
      <w:r>
        <w:rPr>
          <w:rFonts w:ascii="宋体" w:hAnsi="宋体" w:eastAsia="宋体" w:cs="宋体"/>
          <w:spacing w:val="18"/>
          <w:sz w:val="19"/>
          <w:szCs w:val="19"/>
        </w:rPr>
        <w:t xml:space="preserve"> </w:t>
      </w:r>
      <w:r>
        <w:rPr>
          <w:rFonts w:ascii="宋体" w:hAnsi="宋体" w:eastAsia="宋体" w:cs="宋体"/>
          <w:spacing w:val="3"/>
          <w:sz w:val="19"/>
          <w:szCs w:val="19"/>
        </w:rPr>
        <w:t>因斯坦曾说，西方科学是建立在以因果律为基础的形式逻辑之上的。</w:t>
      </w:r>
    </w:p>
    <w:p w14:paraId="5337AE19">
      <w:pPr>
        <w:spacing w:before="1" w:line="363" w:lineRule="auto"/>
        <w:ind w:left="639" w:firstLine="389"/>
        <w:jc w:val="both"/>
        <w:rPr>
          <w:rFonts w:ascii="宋体" w:hAnsi="宋体" w:eastAsia="宋体" w:cs="宋体"/>
          <w:sz w:val="19"/>
          <w:szCs w:val="19"/>
        </w:rPr>
      </w:pPr>
      <w:r>
        <w:rPr>
          <w:rFonts w:ascii="宋体" w:hAnsi="宋体" w:eastAsia="宋体" w:cs="宋体"/>
          <w:spacing w:val="5"/>
          <w:sz w:val="19"/>
          <w:szCs w:val="19"/>
        </w:rPr>
        <w:t>什么是病因?美国病因理论专家</w:t>
      </w:r>
      <w:r>
        <w:rPr>
          <w:rFonts w:ascii="宋体" w:hAnsi="宋体" w:eastAsia="宋体" w:cs="宋体"/>
          <w:sz w:val="19"/>
          <w:szCs w:val="19"/>
        </w:rPr>
        <w:t>Mervyn</w:t>
      </w:r>
      <w:r>
        <w:rPr>
          <w:rFonts w:ascii="宋体" w:hAnsi="宋体" w:eastAsia="宋体" w:cs="宋体"/>
          <w:spacing w:val="5"/>
          <w:sz w:val="19"/>
          <w:szCs w:val="19"/>
        </w:rPr>
        <w:t xml:space="preserve"> </w:t>
      </w:r>
      <w:r>
        <w:rPr>
          <w:rFonts w:ascii="宋体" w:hAnsi="宋体" w:eastAsia="宋体" w:cs="宋体"/>
          <w:sz w:val="19"/>
          <w:szCs w:val="19"/>
        </w:rPr>
        <w:t>Susser</w:t>
      </w:r>
      <w:r>
        <w:rPr>
          <w:rFonts w:ascii="宋体" w:hAnsi="宋体" w:eastAsia="宋体" w:cs="宋体"/>
          <w:spacing w:val="5"/>
          <w:sz w:val="19"/>
          <w:szCs w:val="19"/>
        </w:rPr>
        <w:t>认为，病因就是可以引起变化的因素。《现代流</w:t>
      </w:r>
      <w:r>
        <w:rPr>
          <w:rFonts w:ascii="宋体" w:hAnsi="宋体" w:eastAsia="宋体" w:cs="宋体"/>
          <w:spacing w:val="1"/>
          <w:sz w:val="19"/>
          <w:szCs w:val="19"/>
        </w:rPr>
        <w:t xml:space="preserve"> </w:t>
      </w:r>
      <w:r>
        <w:rPr>
          <w:rFonts w:ascii="宋体" w:hAnsi="宋体" w:eastAsia="宋体" w:cs="宋体"/>
          <w:spacing w:val="3"/>
          <w:sz w:val="19"/>
          <w:szCs w:val="19"/>
        </w:rPr>
        <w:t>行病学》作者</w:t>
      </w:r>
      <w:r>
        <w:rPr>
          <w:rFonts w:ascii="Times New Roman" w:hAnsi="Times New Roman" w:eastAsia="Times New Roman" w:cs="Times New Roman"/>
          <w:sz w:val="19"/>
          <w:szCs w:val="19"/>
        </w:rPr>
        <w:t>Kenneth</w:t>
      </w:r>
      <w:r>
        <w:rPr>
          <w:rFonts w:ascii="Times New Roman" w:hAnsi="Times New Roman" w:eastAsia="Times New Roman" w:cs="Times New Roman"/>
          <w:spacing w:val="25"/>
          <w:sz w:val="19"/>
          <w:szCs w:val="19"/>
        </w:rPr>
        <w:t xml:space="preserve">  </w:t>
      </w:r>
      <w:r>
        <w:rPr>
          <w:rFonts w:ascii="Times New Roman" w:hAnsi="Times New Roman" w:eastAsia="Times New Roman" w:cs="Times New Roman"/>
          <w:sz w:val="19"/>
          <w:szCs w:val="19"/>
        </w:rPr>
        <w:t>Rothman</w:t>
      </w:r>
      <w:r>
        <w:rPr>
          <w:rFonts w:ascii="宋体" w:hAnsi="宋体" w:eastAsia="宋体" w:cs="宋体"/>
          <w:spacing w:val="3"/>
          <w:sz w:val="19"/>
          <w:szCs w:val="19"/>
        </w:rPr>
        <w:t>认为，病因就是那些对疾病发生起着核心作用的事件、特征和条件。</w:t>
      </w:r>
      <w:r>
        <w:rPr>
          <w:rFonts w:ascii="宋体" w:hAnsi="宋体" w:eastAsia="宋体" w:cs="宋体"/>
          <w:sz w:val="19"/>
          <w:szCs w:val="19"/>
        </w:rPr>
        <w:t xml:space="preserve"> </w:t>
      </w:r>
      <w:r>
        <w:rPr>
          <w:rFonts w:ascii="宋体" w:hAnsi="宋体" w:eastAsia="宋体" w:cs="宋体"/>
          <w:spacing w:val="4"/>
          <w:sz w:val="19"/>
          <w:szCs w:val="19"/>
        </w:rPr>
        <w:t>他们对病因的定义言简意赅，但是却不能直接用来指导如何在现实中发现和验证病因。</w:t>
      </w:r>
    </w:p>
    <w:p w14:paraId="04AFE386">
      <w:pPr>
        <w:spacing w:before="5" w:line="351" w:lineRule="auto"/>
        <w:ind w:left="639" w:right="83" w:firstLine="389"/>
        <w:jc w:val="both"/>
        <w:rPr>
          <w:rFonts w:ascii="宋体" w:hAnsi="宋体" w:eastAsia="宋体" w:cs="宋体"/>
          <w:sz w:val="19"/>
          <w:szCs w:val="19"/>
        </w:rPr>
      </w:pPr>
      <w:r>
        <w:rPr>
          <w:rFonts w:ascii="宋体" w:hAnsi="宋体" w:eastAsia="宋体" w:cs="宋体"/>
          <w:spacing w:val="8"/>
          <w:sz w:val="19"/>
          <w:szCs w:val="19"/>
        </w:rPr>
        <w:t>病因研究的原理可追溯得更远。18世纪英国哲学家</w:t>
      </w:r>
      <w:r>
        <w:rPr>
          <w:rFonts w:ascii="Times New Roman" w:hAnsi="Times New Roman" w:eastAsia="Times New Roman" w:cs="Times New Roman"/>
          <w:sz w:val="19"/>
          <w:szCs w:val="19"/>
        </w:rPr>
        <w:t>David</w:t>
      </w:r>
      <w:r>
        <w:rPr>
          <w:rFonts w:ascii="Times New Roman" w:hAnsi="Times New Roman" w:eastAsia="Times New Roman" w:cs="Times New Roman"/>
          <w:spacing w:val="43"/>
          <w:w w:val="101"/>
          <w:sz w:val="19"/>
          <w:szCs w:val="19"/>
        </w:rPr>
        <w:t xml:space="preserve"> </w:t>
      </w:r>
      <w:r>
        <w:rPr>
          <w:rFonts w:ascii="Times New Roman" w:hAnsi="Times New Roman" w:eastAsia="Times New Roman" w:cs="Times New Roman"/>
          <w:sz w:val="19"/>
          <w:szCs w:val="19"/>
        </w:rPr>
        <w:t>Hume</w:t>
      </w:r>
      <w:r>
        <w:rPr>
          <w:rFonts w:ascii="宋体" w:hAnsi="宋体" w:eastAsia="宋体" w:cs="宋体"/>
          <w:spacing w:val="8"/>
          <w:sz w:val="19"/>
          <w:szCs w:val="19"/>
        </w:rPr>
        <w:t>对因果关系进行过重要的系统</w:t>
      </w:r>
      <w:r>
        <w:rPr>
          <w:rFonts w:ascii="宋体" w:hAnsi="宋体" w:eastAsia="宋体" w:cs="宋体"/>
          <w:sz w:val="19"/>
          <w:szCs w:val="19"/>
        </w:rPr>
        <w:t xml:space="preserve"> </w:t>
      </w:r>
      <w:r>
        <w:rPr>
          <w:rFonts w:ascii="宋体" w:hAnsi="宋体" w:eastAsia="宋体" w:cs="宋体"/>
          <w:spacing w:val="8"/>
          <w:sz w:val="19"/>
          <w:szCs w:val="19"/>
        </w:rPr>
        <w:t>论述。他认为，因果关系是一个事件(果)在时间上总是随着另一个事件(因)发生而发生的规律性</w:t>
      </w:r>
      <w:r>
        <w:rPr>
          <w:rFonts w:ascii="宋体" w:hAnsi="宋体" w:eastAsia="宋体" w:cs="宋体"/>
          <w:spacing w:val="14"/>
          <w:sz w:val="19"/>
          <w:szCs w:val="19"/>
        </w:rPr>
        <w:t xml:space="preserve"> </w:t>
      </w:r>
      <w:r>
        <w:rPr>
          <w:rFonts w:ascii="宋体" w:hAnsi="宋体" w:eastAsia="宋体" w:cs="宋体"/>
          <w:spacing w:val="4"/>
          <w:sz w:val="19"/>
          <w:szCs w:val="19"/>
        </w:rPr>
        <w:t>关系，而且假如因事件没有发生，则果事件也一定不会发生。因果关系对人类的重要性在于因对果</w:t>
      </w:r>
      <w:r>
        <w:rPr>
          <w:rFonts w:ascii="宋体" w:hAnsi="宋体" w:eastAsia="宋体" w:cs="宋体"/>
          <w:spacing w:val="8"/>
          <w:sz w:val="19"/>
          <w:szCs w:val="19"/>
        </w:rPr>
        <w:t xml:space="preserve"> </w:t>
      </w:r>
      <w:r>
        <w:rPr>
          <w:rFonts w:ascii="宋体" w:hAnsi="宋体" w:eastAsia="宋体" w:cs="宋体"/>
          <w:spacing w:val="5"/>
          <w:sz w:val="19"/>
          <w:szCs w:val="19"/>
        </w:rPr>
        <w:t>的可预测性和可干预性。</w:t>
      </w:r>
      <w:r>
        <w:rPr>
          <w:rFonts w:ascii="宋体" w:hAnsi="宋体" w:eastAsia="宋体" w:cs="宋体"/>
          <w:spacing w:val="-34"/>
          <w:sz w:val="19"/>
          <w:szCs w:val="19"/>
        </w:rPr>
        <w:t xml:space="preserve"> </w:t>
      </w:r>
      <w:r>
        <w:rPr>
          <w:rFonts w:ascii="Times New Roman" w:hAnsi="Times New Roman" w:eastAsia="Times New Roman" w:cs="Times New Roman"/>
          <w:sz w:val="19"/>
          <w:szCs w:val="19"/>
        </w:rPr>
        <w:t>David   Hume</w:t>
      </w:r>
      <w:r>
        <w:rPr>
          <w:rFonts w:ascii="宋体" w:hAnsi="宋体" w:eastAsia="宋体" w:cs="宋体"/>
          <w:spacing w:val="5"/>
          <w:sz w:val="19"/>
          <w:szCs w:val="19"/>
        </w:rPr>
        <w:t>的分析是现代因果关系理论的转折点，是后继很多重要相关</w:t>
      </w:r>
      <w:r>
        <w:rPr>
          <w:rFonts w:ascii="宋体" w:hAnsi="宋体" w:eastAsia="宋体" w:cs="宋体"/>
          <w:sz w:val="19"/>
          <w:szCs w:val="19"/>
        </w:rPr>
        <w:t xml:space="preserve"> </w:t>
      </w:r>
      <w:r>
        <w:rPr>
          <w:rFonts w:ascii="宋体" w:hAnsi="宋体" w:eastAsia="宋体" w:cs="宋体"/>
          <w:spacing w:val="5"/>
          <w:sz w:val="19"/>
          <w:szCs w:val="19"/>
        </w:rPr>
        <w:t>工作的基础。</w:t>
      </w:r>
    </w:p>
    <w:p w14:paraId="4ADDE5FF">
      <w:pPr>
        <w:spacing w:before="25" w:line="345" w:lineRule="auto"/>
        <w:ind w:left="639" w:right="19" w:firstLine="389"/>
        <w:jc w:val="both"/>
        <w:rPr>
          <w:rFonts w:ascii="宋体" w:hAnsi="宋体" w:eastAsia="宋体" w:cs="宋体"/>
          <w:sz w:val="19"/>
          <w:szCs w:val="19"/>
        </w:rPr>
      </w:pPr>
      <w:r>
        <w:rPr>
          <w:rFonts w:ascii="宋体" w:hAnsi="宋体" w:eastAsia="宋体" w:cs="宋体"/>
          <w:spacing w:val="11"/>
          <w:sz w:val="19"/>
          <w:szCs w:val="19"/>
        </w:rPr>
        <w:t>什么样的关系才是因果关系?首先因事件必须发生在果事件之前。例如，误服足量砒霜一定</w:t>
      </w:r>
      <w:r>
        <w:rPr>
          <w:rFonts w:ascii="宋体" w:hAnsi="宋体" w:eastAsia="宋体" w:cs="宋体"/>
          <w:spacing w:val="16"/>
          <w:sz w:val="19"/>
          <w:szCs w:val="19"/>
        </w:rPr>
        <w:t xml:space="preserve"> </w:t>
      </w:r>
      <w:r>
        <w:rPr>
          <w:rFonts w:ascii="宋体" w:hAnsi="宋体" w:eastAsia="宋体" w:cs="宋体"/>
          <w:spacing w:val="1"/>
          <w:sz w:val="19"/>
          <w:szCs w:val="19"/>
        </w:rPr>
        <w:t>会致死，或者说砒霜可以引起死亡，砒霜是原因，死亡是结果。砒霜和死亡的关系的第一个特征是，</w:t>
      </w:r>
      <w:r>
        <w:rPr>
          <w:rFonts w:ascii="宋体" w:hAnsi="宋体" w:eastAsia="宋体" w:cs="宋体"/>
          <w:spacing w:val="10"/>
          <w:sz w:val="19"/>
          <w:szCs w:val="19"/>
        </w:rPr>
        <w:t xml:space="preserve"> </w:t>
      </w:r>
      <w:r>
        <w:rPr>
          <w:rFonts w:ascii="宋体" w:hAnsi="宋体" w:eastAsia="宋体" w:cs="宋体"/>
          <w:spacing w:val="5"/>
          <w:sz w:val="19"/>
          <w:szCs w:val="19"/>
        </w:rPr>
        <w:t>误服砒霜必须发生在死亡之前，这是事件发生的先后顺序，即时间顺</w:t>
      </w:r>
      <w:r>
        <w:rPr>
          <w:rFonts w:ascii="宋体" w:hAnsi="宋体" w:eastAsia="宋体" w:cs="宋体"/>
          <w:spacing w:val="4"/>
          <w:sz w:val="19"/>
          <w:szCs w:val="19"/>
        </w:rPr>
        <w:t>序</w:t>
      </w:r>
      <w:r>
        <w:rPr>
          <w:rFonts w:ascii="Times New Roman" w:hAnsi="Times New Roman" w:eastAsia="Times New Roman" w:cs="Times New Roman"/>
          <w:spacing w:val="4"/>
          <w:sz w:val="19"/>
          <w:szCs w:val="19"/>
        </w:rPr>
        <w:t>(</w:t>
      </w:r>
      <w:r>
        <w:rPr>
          <w:rFonts w:ascii="Times New Roman" w:hAnsi="Times New Roman" w:eastAsia="Times New Roman" w:cs="Times New Roman"/>
          <w:sz w:val="19"/>
          <w:szCs w:val="19"/>
        </w:rPr>
        <w:t>temporality</w:t>
      </w:r>
      <w:r>
        <w:rPr>
          <w:rFonts w:ascii="Times New Roman" w:hAnsi="Times New Roman" w:eastAsia="Times New Roman" w:cs="Times New Roman"/>
          <w:spacing w:val="4"/>
          <w:sz w:val="19"/>
          <w:szCs w:val="19"/>
        </w:rPr>
        <w:t xml:space="preserve">),  </w:t>
      </w:r>
      <w:r>
        <w:rPr>
          <w:rFonts w:ascii="宋体" w:hAnsi="宋体" w:eastAsia="宋体" w:cs="宋体"/>
          <w:spacing w:val="4"/>
          <w:sz w:val="19"/>
          <w:szCs w:val="19"/>
        </w:rPr>
        <w:t>是因果关系的</w:t>
      </w:r>
      <w:r>
        <w:rPr>
          <w:rFonts w:ascii="宋体" w:hAnsi="宋体" w:eastAsia="宋体" w:cs="宋体"/>
          <w:sz w:val="19"/>
          <w:szCs w:val="19"/>
        </w:rPr>
        <w:t xml:space="preserve"> </w:t>
      </w:r>
      <w:r>
        <w:rPr>
          <w:rFonts w:ascii="宋体" w:hAnsi="宋体" w:eastAsia="宋体" w:cs="宋体"/>
          <w:spacing w:val="5"/>
          <w:sz w:val="19"/>
          <w:szCs w:val="19"/>
        </w:rPr>
        <w:t>第一个基本特征。</w:t>
      </w:r>
    </w:p>
    <w:p w14:paraId="3B8544B3">
      <w:pPr>
        <w:spacing w:before="47" w:line="351" w:lineRule="auto"/>
        <w:ind w:left="639" w:right="86" w:firstLine="389"/>
        <w:jc w:val="both"/>
        <w:rPr>
          <w:rFonts w:ascii="宋体" w:hAnsi="宋体" w:eastAsia="宋体" w:cs="宋体"/>
          <w:sz w:val="19"/>
          <w:szCs w:val="19"/>
        </w:rPr>
      </w:pPr>
      <w:r>
        <w:rPr>
          <w:rFonts w:ascii="宋体" w:hAnsi="宋体" w:eastAsia="宋体" w:cs="宋体"/>
          <w:spacing w:val="4"/>
          <w:sz w:val="19"/>
          <w:szCs w:val="19"/>
        </w:rPr>
        <w:t>但是，依时间顺序先后发生的事件之间不一定都是因果关系。比如某人在北京打个喷嚏，2</w:t>
      </w:r>
      <w:r>
        <w:rPr>
          <w:rFonts w:ascii="宋体" w:hAnsi="宋体" w:eastAsia="宋体" w:cs="宋体"/>
          <w:spacing w:val="3"/>
          <w:sz w:val="19"/>
          <w:szCs w:val="19"/>
        </w:rPr>
        <w:t>0分</w:t>
      </w:r>
      <w:r>
        <w:rPr>
          <w:rFonts w:ascii="宋体" w:hAnsi="宋体" w:eastAsia="宋体" w:cs="宋体"/>
          <w:sz w:val="19"/>
          <w:szCs w:val="19"/>
        </w:rPr>
        <w:t xml:space="preserve"> </w:t>
      </w:r>
      <w:r>
        <w:rPr>
          <w:rFonts w:ascii="宋体" w:hAnsi="宋体" w:eastAsia="宋体" w:cs="宋体"/>
          <w:spacing w:val="4"/>
          <w:sz w:val="19"/>
          <w:szCs w:val="19"/>
        </w:rPr>
        <w:t>钟后南京发生地震，显然人们不会把这样两个事件的关系认作是因果关系。要成为因果关系，这个</w:t>
      </w:r>
      <w:r>
        <w:rPr>
          <w:rFonts w:ascii="宋体" w:hAnsi="宋体" w:eastAsia="宋体" w:cs="宋体"/>
          <w:spacing w:val="5"/>
          <w:sz w:val="19"/>
          <w:szCs w:val="19"/>
        </w:rPr>
        <w:t xml:space="preserve"> </w:t>
      </w:r>
      <w:r>
        <w:rPr>
          <w:rFonts w:ascii="宋体" w:hAnsi="宋体" w:eastAsia="宋体" w:cs="宋体"/>
          <w:spacing w:val="4"/>
          <w:sz w:val="19"/>
          <w:szCs w:val="19"/>
        </w:rPr>
        <w:t xml:space="preserve">关系还必须具有可重复性。可重复性指当因事件发生时，果事件一定或经常会发生。例如，误服砒 </w:t>
      </w:r>
      <w:r>
        <w:rPr>
          <w:rFonts w:ascii="宋体" w:hAnsi="宋体" w:eastAsia="宋体" w:cs="宋体"/>
          <w:spacing w:val="-3"/>
          <w:sz w:val="19"/>
          <w:szCs w:val="19"/>
        </w:rPr>
        <w:t>霜会致死，今年是这样，明年也是这样，中国人是这样，美国人也是这样，谁试了都不例外。</w:t>
      </w:r>
    </w:p>
    <w:p w14:paraId="5188A451">
      <w:pPr>
        <w:spacing w:before="7" w:line="348" w:lineRule="auto"/>
        <w:ind w:left="639" w:firstLine="389"/>
        <w:jc w:val="both"/>
        <w:rPr>
          <w:rFonts w:ascii="宋体" w:hAnsi="宋体" w:eastAsia="宋体" w:cs="宋体"/>
          <w:sz w:val="19"/>
          <w:szCs w:val="19"/>
        </w:rPr>
      </w:pPr>
      <w:r>
        <w:rPr>
          <w:rFonts w:ascii="宋体" w:hAnsi="宋体" w:eastAsia="宋体" w:cs="宋体"/>
          <w:spacing w:val="6"/>
          <w:sz w:val="19"/>
          <w:szCs w:val="19"/>
        </w:rPr>
        <w:t>然而，即使是两个事件之间的关系具有固定的先后时间顺序并且可重复，也不都是因果关系。</w:t>
      </w:r>
      <w:r>
        <w:rPr>
          <w:rFonts w:ascii="宋体" w:hAnsi="宋体" w:eastAsia="宋体" w:cs="宋体"/>
          <w:spacing w:val="7"/>
          <w:sz w:val="19"/>
          <w:szCs w:val="19"/>
        </w:rPr>
        <w:t xml:space="preserve"> </w:t>
      </w:r>
      <w:r>
        <w:rPr>
          <w:rFonts w:ascii="宋体" w:hAnsi="宋体" w:eastAsia="宋体" w:cs="宋体"/>
          <w:spacing w:val="4"/>
          <w:sz w:val="19"/>
          <w:szCs w:val="19"/>
        </w:rPr>
        <w:t>比如，鸡叫与日出的关系。鸡叫在先，日出在后，有时间顺序关系，</w:t>
      </w:r>
      <w:r>
        <w:rPr>
          <w:rFonts w:ascii="宋体" w:hAnsi="宋体" w:eastAsia="宋体" w:cs="宋体"/>
          <w:spacing w:val="3"/>
          <w:sz w:val="19"/>
          <w:szCs w:val="19"/>
        </w:rPr>
        <w:t>有很高的可重复性。然而，鸡</w:t>
      </w:r>
      <w:r>
        <w:rPr>
          <w:rFonts w:ascii="宋体" w:hAnsi="宋体" w:eastAsia="宋体" w:cs="宋体"/>
          <w:sz w:val="19"/>
          <w:szCs w:val="19"/>
        </w:rPr>
        <w:t xml:space="preserve">  </w:t>
      </w:r>
      <w:r>
        <w:rPr>
          <w:rFonts w:ascii="宋体" w:hAnsi="宋体" w:eastAsia="宋体" w:cs="宋体"/>
          <w:spacing w:val="9"/>
          <w:sz w:val="19"/>
          <w:szCs w:val="19"/>
        </w:rPr>
        <w:t>叫和日出的关系不是因果关系，因为即使世界上没有鸡，明</w:t>
      </w:r>
      <w:r>
        <w:rPr>
          <w:rFonts w:ascii="宋体" w:hAnsi="宋体" w:eastAsia="宋体" w:cs="宋体"/>
          <w:spacing w:val="8"/>
          <w:sz w:val="19"/>
          <w:szCs w:val="19"/>
        </w:rPr>
        <w:t>天太阳还是会出来，说明鸡叫对日出</w:t>
      </w:r>
      <w:r>
        <w:rPr>
          <w:rFonts w:ascii="宋体" w:hAnsi="宋体" w:eastAsia="宋体" w:cs="宋体"/>
          <w:sz w:val="19"/>
          <w:szCs w:val="19"/>
        </w:rPr>
        <w:t xml:space="preserve">  </w:t>
      </w:r>
      <w:r>
        <w:rPr>
          <w:rFonts w:ascii="宋体" w:hAnsi="宋体" w:eastAsia="宋体" w:cs="宋体"/>
          <w:spacing w:val="9"/>
          <w:sz w:val="19"/>
          <w:szCs w:val="19"/>
        </w:rPr>
        <w:t>没有影响，因此二者之间没有因果关系。建立因果关系，因事件和果</w:t>
      </w:r>
      <w:r>
        <w:rPr>
          <w:rFonts w:ascii="宋体" w:hAnsi="宋体" w:eastAsia="宋体" w:cs="宋体"/>
          <w:spacing w:val="8"/>
          <w:sz w:val="19"/>
          <w:szCs w:val="19"/>
        </w:rPr>
        <w:t>事件之间还必须存在因变性</w:t>
      </w:r>
      <w:r>
        <w:rPr>
          <w:rFonts w:ascii="宋体" w:hAnsi="宋体" w:eastAsia="宋体" w:cs="宋体"/>
          <w:sz w:val="19"/>
          <w:szCs w:val="19"/>
        </w:rPr>
        <w:t xml:space="preserve">  </w:t>
      </w:r>
      <w:r>
        <w:rPr>
          <w:rFonts w:ascii="宋体" w:hAnsi="宋体" w:eastAsia="宋体" w:cs="宋体"/>
          <w:spacing w:val="-3"/>
          <w:sz w:val="19"/>
          <w:szCs w:val="19"/>
        </w:rPr>
        <w:t>(consequential change),即果事件的变化是由因事件的变化引起的。</w:t>
      </w:r>
    </w:p>
    <w:p w14:paraId="6D05DF41">
      <w:pPr>
        <w:spacing w:before="18" w:line="368" w:lineRule="auto"/>
        <w:ind w:left="639" w:right="80" w:firstLine="389"/>
        <w:rPr>
          <w:rFonts w:ascii="宋体" w:hAnsi="宋体" w:eastAsia="宋体" w:cs="宋体"/>
          <w:sz w:val="19"/>
          <w:szCs w:val="19"/>
        </w:rPr>
      </w:pPr>
      <w:r>
        <w:rPr>
          <w:rFonts w:ascii="宋体" w:hAnsi="宋体" w:eastAsia="宋体" w:cs="宋体"/>
          <w:spacing w:val="8"/>
          <w:sz w:val="19"/>
          <w:szCs w:val="19"/>
        </w:rPr>
        <w:t>因变性必须通过改变因事件来观察果事件的变化而确定。例如，假设不吸烟者的终</w:t>
      </w:r>
      <w:r>
        <w:rPr>
          <w:rFonts w:ascii="宋体" w:hAnsi="宋体" w:eastAsia="宋体" w:cs="宋体"/>
          <w:spacing w:val="7"/>
          <w:sz w:val="19"/>
          <w:szCs w:val="19"/>
        </w:rPr>
        <w:t>生累积肺</w:t>
      </w:r>
      <w:r>
        <w:rPr>
          <w:rFonts w:ascii="宋体" w:hAnsi="宋体" w:eastAsia="宋体" w:cs="宋体"/>
          <w:sz w:val="19"/>
          <w:szCs w:val="19"/>
        </w:rPr>
        <w:t xml:space="preserve"> </w:t>
      </w:r>
      <w:r>
        <w:rPr>
          <w:rFonts w:ascii="宋体" w:hAnsi="宋体" w:eastAsia="宋体" w:cs="宋体"/>
          <w:spacing w:val="15"/>
          <w:sz w:val="19"/>
          <w:szCs w:val="19"/>
        </w:rPr>
        <w:t>癌发病率是1%,而吸烟者的肺癌发病率是11%,从不吸烟到</w:t>
      </w:r>
      <w:r>
        <w:rPr>
          <w:rFonts w:ascii="宋体" w:hAnsi="宋体" w:eastAsia="宋体" w:cs="宋体"/>
          <w:spacing w:val="14"/>
          <w:sz w:val="19"/>
          <w:szCs w:val="19"/>
        </w:rPr>
        <w:t>吸烟的变化引起了肺癌发病率10倍的</w:t>
      </w:r>
    </w:p>
    <w:p w14:paraId="58C861AB">
      <w:pPr>
        <w:spacing w:line="368" w:lineRule="auto"/>
        <w:rPr>
          <w:rFonts w:ascii="宋体" w:hAnsi="宋体" w:eastAsia="宋体" w:cs="宋体"/>
          <w:sz w:val="19"/>
          <w:szCs w:val="19"/>
        </w:rPr>
        <w:sectPr>
          <w:footerReference r:id="rId159" w:type="default"/>
          <w:pgSz w:w="11900" w:h="16820"/>
          <w:pgMar w:top="400" w:right="1725" w:bottom="882" w:left="1100" w:header="0" w:footer="711" w:gutter="0"/>
          <w:cols w:space="720" w:num="1"/>
        </w:sectPr>
      </w:pPr>
    </w:p>
    <w:p w14:paraId="49EBDF36">
      <w:pPr>
        <w:pStyle w:val="2"/>
        <w:spacing w:before="156" w:line="221" w:lineRule="auto"/>
        <w:ind w:left="6790"/>
        <w:rPr>
          <w:sz w:val="21"/>
          <w:szCs w:val="21"/>
        </w:rPr>
      </w:pPr>
      <w:bookmarkStart w:id="225" w:name="bookmark479"/>
      <w:bookmarkEnd w:id="225"/>
      <w:r>
        <w:rPr>
          <w:spacing w:val="-18"/>
          <w:w w:val="96"/>
          <w:sz w:val="21"/>
          <w:szCs w:val="21"/>
        </w:rPr>
        <w:t>第八章病因及其发现和推断</w:t>
      </w:r>
    </w:p>
    <w:p w14:paraId="6EB1AE3A">
      <w:pPr>
        <w:spacing w:line="267" w:lineRule="auto"/>
        <w:rPr>
          <w:rFonts w:ascii="Arial"/>
          <w:sz w:val="21"/>
        </w:rPr>
      </w:pPr>
    </w:p>
    <w:p w14:paraId="7EF9A2AD">
      <w:pPr>
        <w:spacing w:line="267" w:lineRule="auto"/>
        <w:rPr>
          <w:rFonts w:ascii="Arial"/>
          <w:sz w:val="21"/>
        </w:rPr>
      </w:pPr>
    </w:p>
    <w:p w14:paraId="4745C368">
      <w:pPr>
        <w:spacing w:before="69" w:line="321" w:lineRule="auto"/>
        <w:ind w:right="667"/>
        <w:rPr>
          <w:rFonts w:ascii="宋体" w:hAnsi="宋体" w:eastAsia="宋体" w:cs="宋体"/>
          <w:sz w:val="21"/>
          <w:szCs w:val="21"/>
        </w:rPr>
      </w:pPr>
      <w:r>
        <w:rPr>
          <w:rFonts w:ascii="宋体" w:hAnsi="宋体" w:eastAsia="宋体" w:cs="宋体"/>
          <w:spacing w:val="14"/>
          <w:sz w:val="21"/>
          <w:szCs w:val="21"/>
        </w:rPr>
        <w:t>增加。如果吸烟10支以下，肺癌的发病率为5%,10～30支</w:t>
      </w:r>
      <w:r>
        <w:rPr>
          <w:rFonts w:ascii="宋体" w:hAnsi="宋体" w:eastAsia="宋体" w:cs="宋体"/>
          <w:spacing w:val="13"/>
          <w:sz w:val="21"/>
          <w:szCs w:val="21"/>
        </w:rPr>
        <w:t>为10%,30支以上15%,随因的变化果</w:t>
      </w:r>
      <w:r>
        <w:rPr>
          <w:rFonts w:ascii="宋体" w:hAnsi="宋体" w:eastAsia="宋体" w:cs="宋体"/>
          <w:sz w:val="21"/>
          <w:szCs w:val="21"/>
        </w:rPr>
        <w:t xml:space="preserve"> </w:t>
      </w:r>
      <w:r>
        <w:rPr>
          <w:rFonts w:ascii="宋体" w:hAnsi="宋体" w:eastAsia="宋体" w:cs="宋体"/>
          <w:spacing w:val="2"/>
          <w:sz w:val="21"/>
          <w:szCs w:val="21"/>
        </w:rPr>
        <w:t>的变化则更加明显和确定。</w:t>
      </w:r>
    </w:p>
    <w:p w14:paraId="44BC3A6D">
      <w:pPr>
        <w:spacing w:line="334" w:lineRule="auto"/>
        <w:ind w:right="667" w:firstLine="409"/>
        <w:jc w:val="both"/>
        <w:rPr>
          <w:rFonts w:ascii="宋体" w:hAnsi="宋体" w:eastAsia="宋体" w:cs="宋体"/>
          <w:sz w:val="21"/>
          <w:szCs w:val="21"/>
        </w:rPr>
      </w:pPr>
      <w:r>
        <w:rPr>
          <w:rFonts w:ascii="宋体" w:hAnsi="宋体" w:eastAsia="宋体" w:cs="宋体"/>
          <w:spacing w:val="3"/>
          <w:sz w:val="21"/>
          <w:szCs w:val="21"/>
        </w:rPr>
        <w:t>然而，上述吸烟和肺癌的关系只能称为关联</w:t>
      </w:r>
      <w:r>
        <w:rPr>
          <w:rFonts w:ascii="Times New Roman" w:hAnsi="Times New Roman" w:eastAsia="Times New Roman" w:cs="Times New Roman"/>
          <w:spacing w:val="3"/>
          <w:sz w:val="21"/>
          <w:szCs w:val="21"/>
        </w:rPr>
        <w:t>(</w:t>
      </w:r>
      <w:r>
        <w:rPr>
          <w:rFonts w:ascii="Times New Roman" w:hAnsi="Times New Roman" w:eastAsia="Times New Roman" w:cs="Times New Roman"/>
          <w:sz w:val="21"/>
          <w:szCs w:val="21"/>
        </w:rPr>
        <w:t>association</w:t>
      </w:r>
      <w:r>
        <w:rPr>
          <w:rFonts w:ascii="Times New Roman" w:hAnsi="Times New Roman" w:eastAsia="Times New Roman" w:cs="Times New Roman"/>
          <w:spacing w:val="3"/>
          <w:sz w:val="21"/>
          <w:szCs w:val="21"/>
        </w:rPr>
        <w:t>),</w:t>
      </w:r>
      <w:r>
        <w:rPr>
          <w:rFonts w:ascii="Times New Roman" w:hAnsi="Times New Roman" w:eastAsia="Times New Roman" w:cs="Times New Roman"/>
          <w:spacing w:val="32"/>
          <w:sz w:val="21"/>
          <w:szCs w:val="21"/>
        </w:rPr>
        <w:t xml:space="preserve">  </w:t>
      </w:r>
      <w:r>
        <w:rPr>
          <w:rFonts w:ascii="宋体" w:hAnsi="宋体" w:eastAsia="宋体" w:cs="宋体"/>
          <w:spacing w:val="3"/>
          <w:sz w:val="21"/>
          <w:szCs w:val="21"/>
        </w:rPr>
        <w:t>关联是因果关系可观察的第二个特</w:t>
      </w:r>
      <w:r>
        <w:rPr>
          <w:rFonts w:ascii="宋体" w:hAnsi="宋体" w:eastAsia="宋体" w:cs="宋体"/>
          <w:sz w:val="21"/>
          <w:szCs w:val="21"/>
        </w:rPr>
        <w:t xml:space="preserve"> </w:t>
      </w:r>
      <w:r>
        <w:rPr>
          <w:rFonts w:ascii="宋体" w:hAnsi="宋体" w:eastAsia="宋体" w:cs="宋体"/>
          <w:spacing w:val="-2"/>
          <w:sz w:val="21"/>
          <w:szCs w:val="21"/>
        </w:rPr>
        <w:t>征。但是，关联不是严格意义的因变性，因为吸烟和非吸烟者肺癌发病率的差别可能是由吸烟以外</w:t>
      </w:r>
      <w:r>
        <w:rPr>
          <w:rFonts w:ascii="宋体" w:hAnsi="宋体" w:eastAsia="宋体" w:cs="宋体"/>
          <w:spacing w:val="17"/>
          <w:sz w:val="21"/>
          <w:szCs w:val="21"/>
        </w:rPr>
        <w:t xml:space="preserve"> </w:t>
      </w:r>
      <w:r>
        <w:rPr>
          <w:rFonts w:ascii="宋体" w:hAnsi="宋体" w:eastAsia="宋体" w:cs="宋体"/>
          <w:sz w:val="21"/>
          <w:szCs w:val="21"/>
        </w:rPr>
        <w:t>的因素(如混杂因素)造成的，而吸烟和肺癌可能并没</w:t>
      </w:r>
      <w:r>
        <w:rPr>
          <w:rFonts w:ascii="宋体" w:hAnsi="宋体" w:eastAsia="宋体" w:cs="宋体"/>
          <w:spacing w:val="-1"/>
          <w:sz w:val="21"/>
          <w:szCs w:val="21"/>
        </w:rPr>
        <w:t>有任何关系。</w:t>
      </w:r>
    </w:p>
    <w:p w14:paraId="66E4C7B9">
      <w:pPr>
        <w:spacing w:before="2" w:line="325" w:lineRule="auto"/>
        <w:ind w:right="575" w:firstLine="409"/>
        <w:jc w:val="both"/>
        <w:rPr>
          <w:rFonts w:ascii="宋体" w:hAnsi="宋体" w:eastAsia="宋体" w:cs="宋体"/>
          <w:sz w:val="21"/>
          <w:szCs w:val="21"/>
        </w:rPr>
      </w:pPr>
      <w:r>
        <w:rPr>
          <w:rFonts w:ascii="宋体" w:hAnsi="宋体" w:eastAsia="宋体" w:cs="宋体"/>
          <w:spacing w:val="4"/>
          <w:sz w:val="21"/>
          <w:szCs w:val="21"/>
        </w:rPr>
        <w:t>总之，因是果发生的先决条件，没有因的存在，果就不会发生</w:t>
      </w:r>
      <w:r>
        <w:rPr>
          <w:rFonts w:ascii="宋体" w:hAnsi="宋体" w:eastAsia="宋体" w:cs="宋体"/>
          <w:spacing w:val="3"/>
          <w:sz w:val="21"/>
          <w:szCs w:val="21"/>
        </w:rPr>
        <w:t>。因必须在时间上发生在果之</w:t>
      </w:r>
      <w:r>
        <w:rPr>
          <w:rFonts w:ascii="宋体" w:hAnsi="宋体" w:eastAsia="宋体" w:cs="宋体"/>
          <w:sz w:val="21"/>
          <w:szCs w:val="21"/>
        </w:rPr>
        <w:t xml:space="preserve">  前且引起果的发生，果必须随因的变化而变化。因此，因果关系必须同时满足以下三个基本条件：</w:t>
      </w:r>
      <w:r>
        <w:rPr>
          <w:rFonts w:ascii="宋体" w:hAnsi="宋体" w:eastAsia="宋体" w:cs="宋体"/>
          <w:spacing w:val="3"/>
          <w:sz w:val="21"/>
          <w:szCs w:val="21"/>
        </w:rPr>
        <w:t xml:space="preserve"> </w:t>
      </w:r>
      <w:r>
        <w:rPr>
          <w:rFonts w:ascii="宋体" w:hAnsi="宋体" w:eastAsia="宋体" w:cs="宋体"/>
          <w:spacing w:val="-4"/>
          <w:sz w:val="21"/>
          <w:szCs w:val="21"/>
        </w:rPr>
        <w:t>①时间顺序；②关联关系；③因变性。在流行病学研究里，时间顺序和关联</w:t>
      </w:r>
      <w:r>
        <w:rPr>
          <w:rFonts w:ascii="宋体" w:hAnsi="宋体" w:eastAsia="宋体" w:cs="宋体"/>
          <w:spacing w:val="-5"/>
          <w:sz w:val="21"/>
          <w:szCs w:val="21"/>
        </w:rPr>
        <w:t>关系是直接可以观察的，</w:t>
      </w:r>
      <w:r>
        <w:rPr>
          <w:rFonts w:ascii="宋体" w:hAnsi="宋体" w:eastAsia="宋体" w:cs="宋体"/>
          <w:sz w:val="21"/>
          <w:szCs w:val="21"/>
        </w:rPr>
        <w:t xml:space="preserve"> </w:t>
      </w:r>
      <w:r>
        <w:rPr>
          <w:rFonts w:ascii="宋体" w:hAnsi="宋体" w:eastAsia="宋体" w:cs="宋体"/>
          <w:spacing w:val="1"/>
          <w:sz w:val="21"/>
          <w:szCs w:val="21"/>
        </w:rPr>
        <w:t>因变性可通过排除其他因素的可能性来间接证明。</w:t>
      </w:r>
    </w:p>
    <w:p w14:paraId="541B0F8E">
      <w:pPr>
        <w:spacing w:before="1" w:line="330" w:lineRule="auto"/>
        <w:ind w:right="683" w:firstLine="409"/>
        <w:rPr>
          <w:rFonts w:ascii="宋体" w:hAnsi="宋体" w:eastAsia="宋体" w:cs="宋体"/>
          <w:sz w:val="21"/>
          <w:szCs w:val="21"/>
        </w:rPr>
      </w:pPr>
      <w:r>
        <w:rPr>
          <w:rFonts w:ascii="宋体" w:hAnsi="宋体" w:eastAsia="宋体" w:cs="宋体"/>
          <w:spacing w:val="-2"/>
          <w:sz w:val="21"/>
          <w:szCs w:val="21"/>
        </w:rPr>
        <w:t>医学实践中重要的因果关系主要包括：①病因和疾病的关系；②治疗和效果的关系；③治疗和</w:t>
      </w:r>
      <w:r>
        <w:rPr>
          <w:rFonts w:ascii="宋体" w:hAnsi="宋体" w:eastAsia="宋体" w:cs="宋体"/>
          <w:spacing w:val="8"/>
          <w:sz w:val="21"/>
          <w:szCs w:val="21"/>
        </w:rPr>
        <w:t xml:space="preserve"> 副作用(不良反应)的关系。</w:t>
      </w:r>
    </w:p>
    <w:p w14:paraId="04AB0A66">
      <w:pPr>
        <w:spacing w:line="335" w:lineRule="auto"/>
        <w:ind w:right="672" w:firstLine="409"/>
        <w:rPr>
          <w:rFonts w:ascii="宋体" w:hAnsi="宋体" w:eastAsia="宋体" w:cs="宋体"/>
          <w:sz w:val="21"/>
          <w:szCs w:val="21"/>
        </w:rPr>
      </w:pPr>
      <w:r>
        <w:rPr>
          <w:rFonts w:ascii="宋体" w:hAnsi="宋体" w:eastAsia="宋体" w:cs="宋体"/>
          <w:spacing w:val="-2"/>
          <w:sz w:val="21"/>
          <w:szCs w:val="21"/>
        </w:rPr>
        <w:t>因此，在人群中探索和确定医学中的因果关系是流行病学的核心内容，因果关系的特征奠定了</w:t>
      </w:r>
      <w:r>
        <w:rPr>
          <w:rFonts w:ascii="宋体" w:hAnsi="宋体" w:eastAsia="宋体" w:cs="宋体"/>
          <w:spacing w:val="18"/>
          <w:sz w:val="21"/>
          <w:szCs w:val="21"/>
        </w:rPr>
        <w:t xml:space="preserve"> </w:t>
      </w:r>
      <w:r>
        <w:rPr>
          <w:rFonts w:ascii="宋体" w:hAnsi="宋体" w:eastAsia="宋体" w:cs="宋体"/>
          <w:spacing w:val="2"/>
          <w:sz w:val="21"/>
          <w:szCs w:val="21"/>
        </w:rPr>
        <w:t>现代流行病学研究设计的理论基础。</w:t>
      </w:r>
    </w:p>
    <w:p w14:paraId="10F163D7">
      <w:pPr>
        <w:pStyle w:val="2"/>
        <w:spacing w:before="167" w:line="223" w:lineRule="auto"/>
        <w:ind w:left="413"/>
        <w:outlineLvl w:val="2"/>
        <w:rPr>
          <w:sz w:val="26"/>
          <w:szCs w:val="26"/>
        </w:rPr>
      </w:pPr>
      <w:bookmarkStart w:id="226" w:name="bookmark140"/>
      <w:bookmarkEnd w:id="226"/>
      <w:r>
        <w:rPr>
          <w:b/>
          <w:bCs/>
          <w:spacing w:val="-6"/>
          <w:sz w:val="26"/>
          <w:szCs w:val="26"/>
        </w:rPr>
        <w:t>二、因果关系的形式</w:t>
      </w:r>
    </w:p>
    <w:p w14:paraId="7C386840">
      <w:pPr>
        <w:pStyle w:val="2"/>
        <w:spacing w:before="244" w:line="308" w:lineRule="auto"/>
        <w:ind w:right="653" w:firstLine="409"/>
        <w:rPr>
          <w:rFonts w:ascii="宋体" w:hAnsi="宋体" w:eastAsia="宋体" w:cs="宋体"/>
          <w:sz w:val="21"/>
          <w:szCs w:val="21"/>
        </w:rPr>
      </w:pPr>
      <w:r>
        <w:rPr>
          <w:rFonts w:ascii="宋体" w:hAnsi="宋体" w:eastAsia="宋体" w:cs="宋体"/>
          <w:spacing w:val="1"/>
          <w:sz w:val="21"/>
          <w:szCs w:val="21"/>
        </w:rPr>
        <w:t xml:space="preserve">1. </w:t>
      </w:r>
      <w:r>
        <w:rPr>
          <w:spacing w:val="1"/>
          <w:sz w:val="21"/>
          <w:szCs w:val="21"/>
        </w:rPr>
        <w:t xml:space="preserve">单因单果  </w:t>
      </w:r>
      <w:r>
        <w:rPr>
          <w:rFonts w:ascii="宋体" w:hAnsi="宋体" w:eastAsia="宋体" w:cs="宋体"/>
          <w:spacing w:val="1"/>
          <w:sz w:val="21"/>
          <w:szCs w:val="21"/>
        </w:rPr>
        <w:t>即一种因素只引起一种疾病，一种疾病只由一种因素引起，该病因既是</w:t>
      </w:r>
      <w:r>
        <w:rPr>
          <w:rFonts w:ascii="宋体" w:hAnsi="宋体" w:eastAsia="宋体" w:cs="宋体"/>
          <w:sz w:val="21"/>
          <w:szCs w:val="21"/>
        </w:rPr>
        <w:t xml:space="preserve">必要的 </w:t>
      </w:r>
      <w:r>
        <w:rPr>
          <w:rFonts w:ascii="宋体" w:hAnsi="宋体" w:eastAsia="宋体" w:cs="宋体"/>
          <w:spacing w:val="3"/>
          <w:sz w:val="21"/>
          <w:szCs w:val="21"/>
        </w:rPr>
        <w:t>又是充分的(详见后文有关必要病因和充分病因的内容)。这是人类早期朴素的病因观，也是早期</w:t>
      </w:r>
      <w:r>
        <w:rPr>
          <w:rFonts w:ascii="宋体" w:hAnsi="宋体" w:eastAsia="宋体" w:cs="宋体"/>
          <w:spacing w:val="13"/>
          <w:sz w:val="21"/>
          <w:szCs w:val="21"/>
        </w:rPr>
        <w:t xml:space="preserve"> </w:t>
      </w:r>
      <w:r>
        <w:rPr>
          <w:rFonts w:ascii="宋体" w:hAnsi="宋体" w:eastAsia="宋体" w:cs="宋体"/>
          <w:spacing w:val="-1"/>
          <w:sz w:val="21"/>
          <w:szCs w:val="21"/>
        </w:rPr>
        <w:t>病因学说和推断方法的基础，如瘴气说和微生物</w:t>
      </w:r>
      <w:r>
        <w:rPr>
          <w:rFonts w:ascii="宋体" w:hAnsi="宋体" w:eastAsia="宋体" w:cs="宋体"/>
          <w:spacing w:val="-2"/>
          <w:sz w:val="21"/>
          <w:szCs w:val="21"/>
        </w:rPr>
        <w:t>说，又如穆勒</w:t>
      </w:r>
      <w:r>
        <w:rPr>
          <w:rFonts w:ascii="Times New Roman" w:hAnsi="Times New Roman" w:eastAsia="Times New Roman" w:cs="Times New Roman"/>
          <w:spacing w:val="-2"/>
          <w:sz w:val="21"/>
          <w:szCs w:val="21"/>
        </w:rPr>
        <w:t>(Mill)</w:t>
      </w:r>
      <w:r>
        <w:rPr>
          <w:rFonts w:ascii="Times New Roman" w:hAnsi="Times New Roman" w:eastAsia="Times New Roman" w:cs="Times New Roman"/>
          <w:spacing w:val="35"/>
          <w:w w:val="101"/>
          <w:sz w:val="21"/>
          <w:szCs w:val="21"/>
        </w:rPr>
        <w:t xml:space="preserve"> </w:t>
      </w:r>
      <w:r>
        <w:rPr>
          <w:rFonts w:ascii="宋体" w:hAnsi="宋体" w:eastAsia="宋体" w:cs="宋体"/>
          <w:spacing w:val="-2"/>
          <w:sz w:val="21"/>
          <w:szCs w:val="21"/>
        </w:rPr>
        <w:t>因果推断准则和科赫</w:t>
      </w:r>
      <w:r>
        <w:rPr>
          <w:rFonts w:ascii="Times New Roman" w:hAnsi="Times New Roman" w:eastAsia="Times New Roman" w:cs="Times New Roman"/>
          <w:spacing w:val="-2"/>
          <w:sz w:val="21"/>
          <w:szCs w:val="21"/>
        </w:rPr>
        <w:t>(Koch)</w:t>
      </w:r>
      <w:r>
        <w:rPr>
          <w:rFonts w:ascii="Times New Roman" w:hAnsi="Times New Roman" w:eastAsia="Times New Roman" w:cs="Times New Roman"/>
          <w:spacing w:val="41"/>
          <w:w w:val="101"/>
          <w:sz w:val="21"/>
          <w:szCs w:val="21"/>
        </w:rPr>
        <w:t xml:space="preserve"> </w:t>
      </w:r>
      <w:r>
        <w:rPr>
          <w:rFonts w:ascii="宋体" w:hAnsi="宋体" w:eastAsia="宋体" w:cs="宋体"/>
          <w:spacing w:val="-2"/>
          <w:sz w:val="21"/>
          <w:szCs w:val="21"/>
        </w:rPr>
        <w:t>病</w:t>
      </w:r>
      <w:r>
        <w:rPr>
          <w:rFonts w:ascii="宋体" w:hAnsi="宋体" w:eastAsia="宋体" w:cs="宋体"/>
          <w:sz w:val="21"/>
          <w:szCs w:val="21"/>
        </w:rPr>
        <w:t xml:space="preserve"> </w:t>
      </w:r>
      <w:r>
        <w:rPr>
          <w:rFonts w:ascii="宋体" w:hAnsi="宋体" w:eastAsia="宋体" w:cs="宋体"/>
          <w:spacing w:val="-6"/>
          <w:sz w:val="21"/>
          <w:szCs w:val="21"/>
        </w:rPr>
        <w:t>因法则。但是，现代病因理论认为，即使是存在必要病因的传染病，其病因也不是单一的，因为除了</w:t>
      </w:r>
      <w:r>
        <w:rPr>
          <w:rFonts w:ascii="宋体" w:hAnsi="宋体" w:eastAsia="宋体" w:cs="宋体"/>
          <w:sz w:val="21"/>
          <w:szCs w:val="21"/>
        </w:rPr>
        <w:t xml:space="preserve"> </w:t>
      </w:r>
      <w:r>
        <w:rPr>
          <w:rFonts w:ascii="宋体" w:hAnsi="宋体" w:eastAsia="宋体" w:cs="宋体"/>
          <w:spacing w:val="-2"/>
          <w:sz w:val="21"/>
          <w:szCs w:val="21"/>
        </w:rPr>
        <w:t>病原体外，还需要宿主易感性等因素，疾病才能发生。例如，感染了结核分枝杆菌后结核病是否发</w:t>
      </w:r>
      <w:r>
        <w:rPr>
          <w:rFonts w:ascii="宋体" w:hAnsi="宋体" w:eastAsia="宋体" w:cs="宋体"/>
          <w:spacing w:val="13"/>
          <w:sz w:val="21"/>
          <w:szCs w:val="21"/>
        </w:rPr>
        <w:t xml:space="preserve"> </w:t>
      </w:r>
      <w:r>
        <w:rPr>
          <w:rFonts w:ascii="宋体" w:hAnsi="宋体" w:eastAsia="宋体" w:cs="宋体"/>
          <w:spacing w:val="-10"/>
          <w:sz w:val="21"/>
          <w:szCs w:val="21"/>
        </w:rPr>
        <w:t>生，还取决于个人的体质、营养、健康状态等。</w:t>
      </w:r>
    </w:p>
    <w:p w14:paraId="76FECED7">
      <w:pPr>
        <w:pStyle w:val="2"/>
        <w:spacing w:before="120" w:line="290" w:lineRule="auto"/>
        <w:ind w:right="642" w:firstLine="409"/>
        <w:rPr>
          <w:rFonts w:ascii="宋体" w:hAnsi="宋体" w:eastAsia="宋体" w:cs="宋体"/>
          <w:sz w:val="21"/>
          <w:szCs w:val="21"/>
        </w:rPr>
      </w:pPr>
      <w:r>
        <w:rPr>
          <w:rFonts w:ascii="宋体" w:hAnsi="宋体" w:eastAsia="宋体" w:cs="宋体"/>
          <w:spacing w:val="1"/>
          <w:sz w:val="21"/>
          <w:szCs w:val="21"/>
        </w:rPr>
        <w:t xml:space="preserve">2. </w:t>
      </w:r>
      <w:r>
        <w:rPr>
          <w:spacing w:val="1"/>
          <w:sz w:val="21"/>
          <w:szCs w:val="21"/>
        </w:rPr>
        <w:t xml:space="preserve">单因多果  </w:t>
      </w:r>
      <w:r>
        <w:rPr>
          <w:rFonts w:ascii="宋体" w:hAnsi="宋体" w:eastAsia="宋体" w:cs="宋体"/>
          <w:spacing w:val="1"/>
          <w:sz w:val="21"/>
          <w:szCs w:val="21"/>
        </w:rPr>
        <w:t>即一个因素可引起多种疾病，单因多果的现象是常见的。比如，吸烟可引起肺</w:t>
      </w:r>
      <w:r>
        <w:rPr>
          <w:rFonts w:ascii="宋体" w:hAnsi="宋体" w:eastAsia="宋体" w:cs="宋体"/>
          <w:spacing w:val="7"/>
          <w:sz w:val="21"/>
          <w:szCs w:val="21"/>
        </w:rPr>
        <w:t xml:space="preserve"> </w:t>
      </w:r>
      <w:r>
        <w:rPr>
          <w:rFonts w:ascii="宋体" w:hAnsi="宋体" w:eastAsia="宋体" w:cs="宋体"/>
          <w:spacing w:val="-1"/>
          <w:sz w:val="21"/>
          <w:szCs w:val="21"/>
        </w:rPr>
        <w:t>癌、心脏病、慢性支气管炎等多种疾病。单因多果的关系揭示了病因的多效应性，提示阻断或控制</w:t>
      </w:r>
      <w:r>
        <w:rPr>
          <w:rFonts w:ascii="宋体" w:hAnsi="宋体" w:eastAsia="宋体" w:cs="宋体"/>
          <w:sz w:val="21"/>
          <w:szCs w:val="21"/>
        </w:rPr>
        <w:t xml:space="preserve"> </w:t>
      </w:r>
      <w:r>
        <w:rPr>
          <w:rFonts w:ascii="宋体" w:hAnsi="宋体" w:eastAsia="宋体" w:cs="宋体"/>
          <w:spacing w:val="2"/>
          <w:sz w:val="21"/>
          <w:szCs w:val="21"/>
        </w:rPr>
        <w:t>某个病因可以预防多种不同疾病的可能性。</w:t>
      </w:r>
    </w:p>
    <w:p w14:paraId="21403FF5">
      <w:pPr>
        <w:pStyle w:val="2"/>
        <w:spacing w:before="121" w:line="290" w:lineRule="auto"/>
        <w:ind w:right="575" w:firstLine="409"/>
        <w:rPr>
          <w:rFonts w:ascii="宋体" w:hAnsi="宋体" w:eastAsia="宋体" w:cs="宋体"/>
          <w:sz w:val="21"/>
          <w:szCs w:val="21"/>
        </w:rPr>
      </w:pPr>
      <w:r>
        <w:rPr>
          <w:rFonts w:ascii="宋体" w:hAnsi="宋体" w:eastAsia="宋体" w:cs="宋体"/>
          <w:spacing w:val="-2"/>
          <w:sz w:val="21"/>
          <w:szCs w:val="21"/>
        </w:rPr>
        <w:t xml:space="preserve">3. </w:t>
      </w:r>
      <w:r>
        <w:rPr>
          <w:spacing w:val="-2"/>
          <w:sz w:val="21"/>
          <w:szCs w:val="21"/>
        </w:rPr>
        <w:t>多因单果</w:t>
      </w:r>
      <w:r>
        <w:rPr>
          <w:spacing w:val="118"/>
          <w:sz w:val="21"/>
          <w:szCs w:val="21"/>
        </w:rPr>
        <w:t xml:space="preserve"> </w:t>
      </w:r>
      <w:r>
        <w:rPr>
          <w:rFonts w:ascii="宋体" w:hAnsi="宋体" w:eastAsia="宋体" w:cs="宋体"/>
          <w:spacing w:val="-2"/>
          <w:sz w:val="21"/>
          <w:szCs w:val="21"/>
        </w:rPr>
        <w:t>即多种因素可以引起一种疾病，多因单果的现象也是常见的。如，服毒、车祸、</w:t>
      </w:r>
      <w:r>
        <w:rPr>
          <w:rFonts w:ascii="宋体" w:hAnsi="宋体" w:eastAsia="宋体" w:cs="宋体"/>
          <w:sz w:val="21"/>
          <w:szCs w:val="21"/>
        </w:rPr>
        <w:t xml:space="preserve"> </w:t>
      </w:r>
      <w:r>
        <w:rPr>
          <w:rFonts w:ascii="宋体" w:hAnsi="宋体" w:eastAsia="宋体" w:cs="宋体"/>
          <w:spacing w:val="4"/>
          <w:sz w:val="21"/>
          <w:szCs w:val="21"/>
        </w:rPr>
        <w:t>疾病等均可以引起死亡。多因单果的关系揭示了疾病的多因性，提示为控</w:t>
      </w:r>
      <w:r>
        <w:rPr>
          <w:rFonts w:ascii="宋体" w:hAnsi="宋体" w:eastAsia="宋体" w:cs="宋体"/>
          <w:spacing w:val="3"/>
          <w:sz w:val="21"/>
          <w:szCs w:val="21"/>
        </w:rPr>
        <w:t>制某种疾病的发生和发</w:t>
      </w:r>
      <w:r>
        <w:rPr>
          <w:rFonts w:ascii="宋体" w:hAnsi="宋体" w:eastAsia="宋体" w:cs="宋体"/>
          <w:sz w:val="21"/>
          <w:szCs w:val="21"/>
        </w:rPr>
        <w:t xml:space="preserve"> </w:t>
      </w:r>
      <w:r>
        <w:rPr>
          <w:rFonts w:ascii="宋体" w:hAnsi="宋体" w:eastAsia="宋体" w:cs="宋体"/>
          <w:spacing w:val="4"/>
          <w:sz w:val="21"/>
          <w:szCs w:val="21"/>
        </w:rPr>
        <w:t>展可多管齐下的可能性。</w:t>
      </w:r>
    </w:p>
    <w:p w14:paraId="0C3115B0">
      <w:pPr>
        <w:spacing w:before="119" w:line="299" w:lineRule="auto"/>
        <w:ind w:right="662" w:firstLine="409"/>
        <w:rPr>
          <w:rFonts w:ascii="宋体" w:hAnsi="宋体" w:eastAsia="宋体" w:cs="宋体"/>
          <w:sz w:val="21"/>
          <w:szCs w:val="21"/>
        </w:rPr>
      </w:pPr>
      <w:r>
        <w:rPr>
          <w:rFonts w:ascii="宋体" w:hAnsi="宋体" w:eastAsia="宋体" w:cs="宋体"/>
          <w:spacing w:val="1"/>
          <w:sz w:val="21"/>
          <w:szCs w:val="21"/>
        </w:rPr>
        <w:t>4. 多因多果  由于单因多果和多因单果的存在，多因多果的现</w:t>
      </w:r>
      <w:r>
        <w:rPr>
          <w:rFonts w:ascii="宋体" w:hAnsi="宋体" w:eastAsia="宋体" w:cs="宋体"/>
          <w:sz w:val="21"/>
          <w:szCs w:val="21"/>
        </w:rPr>
        <w:t xml:space="preserve">象必然存在。如高血压、高血 </w:t>
      </w:r>
      <w:r>
        <w:rPr>
          <w:rFonts w:ascii="宋体" w:hAnsi="宋体" w:eastAsia="宋体" w:cs="宋体"/>
          <w:spacing w:val="4"/>
          <w:sz w:val="21"/>
          <w:szCs w:val="21"/>
        </w:rPr>
        <w:t>脂、吸烟等均可引起冠心病，同时也会引起脑</w:t>
      </w:r>
      <w:r>
        <w:rPr>
          <w:rFonts w:ascii="宋体" w:hAnsi="宋体" w:eastAsia="宋体" w:cs="宋体"/>
          <w:spacing w:val="3"/>
          <w:sz w:val="21"/>
          <w:szCs w:val="21"/>
        </w:rPr>
        <w:t>卒中等其他疾病。不同疾病的多个病因可以完全相</w:t>
      </w:r>
      <w:r>
        <w:rPr>
          <w:rFonts w:ascii="宋体" w:hAnsi="宋体" w:eastAsia="宋体" w:cs="宋体"/>
          <w:sz w:val="21"/>
          <w:szCs w:val="21"/>
        </w:rPr>
        <w:t xml:space="preserve"> </w:t>
      </w:r>
      <w:r>
        <w:rPr>
          <w:rFonts w:ascii="宋体" w:hAnsi="宋体" w:eastAsia="宋体" w:cs="宋体"/>
          <w:spacing w:val="-2"/>
          <w:sz w:val="21"/>
          <w:szCs w:val="21"/>
        </w:rPr>
        <w:t>同，但多数情况下只是部分相同。多因多果的病因现象增加了病因研究的复杂性和不确定性，同时</w:t>
      </w:r>
      <w:r>
        <w:rPr>
          <w:rFonts w:ascii="宋体" w:hAnsi="宋体" w:eastAsia="宋体" w:cs="宋体"/>
          <w:spacing w:val="17"/>
          <w:sz w:val="21"/>
          <w:szCs w:val="21"/>
        </w:rPr>
        <w:t xml:space="preserve"> </w:t>
      </w:r>
      <w:r>
        <w:rPr>
          <w:rFonts w:ascii="宋体" w:hAnsi="宋体" w:eastAsia="宋体" w:cs="宋体"/>
          <w:spacing w:val="2"/>
          <w:sz w:val="21"/>
          <w:szCs w:val="21"/>
        </w:rPr>
        <w:t>也揭示了多种途径预防疾病的可能性。</w:t>
      </w:r>
    </w:p>
    <w:p w14:paraId="294C8D96">
      <w:pPr>
        <w:spacing w:before="142" w:line="316" w:lineRule="auto"/>
        <w:ind w:right="575" w:firstLine="409"/>
        <w:jc w:val="both"/>
        <w:rPr>
          <w:rFonts w:ascii="宋体" w:hAnsi="宋体" w:eastAsia="宋体" w:cs="宋体"/>
          <w:sz w:val="21"/>
          <w:szCs w:val="21"/>
        </w:rPr>
      </w:pPr>
      <w:r>
        <w:rPr>
          <w:rFonts w:ascii="宋体" w:hAnsi="宋体" w:eastAsia="宋体" w:cs="宋体"/>
          <w:spacing w:val="-7"/>
          <w:sz w:val="21"/>
          <w:szCs w:val="21"/>
        </w:rPr>
        <w:t>因果关系的多样性、复杂性还体现在，不管是上述哪一类因果关系，都存在直接和间接病因：即</w:t>
      </w:r>
      <w:r>
        <w:rPr>
          <w:rFonts w:ascii="宋体" w:hAnsi="宋体" w:eastAsia="宋体" w:cs="宋体"/>
          <w:spacing w:val="7"/>
          <w:sz w:val="21"/>
          <w:szCs w:val="21"/>
        </w:rPr>
        <w:t xml:space="preserve">  </w:t>
      </w:r>
      <w:r>
        <w:rPr>
          <w:rFonts w:ascii="宋体" w:hAnsi="宋体" w:eastAsia="宋体" w:cs="宋体"/>
          <w:spacing w:val="-6"/>
          <w:sz w:val="21"/>
          <w:szCs w:val="21"/>
        </w:rPr>
        <w:t>有些病因可直接引起疾病的发生，而另一些病因则需通</w:t>
      </w:r>
      <w:r>
        <w:rPr>
          <w:rFonts w:ascii="宋体" w:hAnsi="宋体" w:eastAsia="宋体" w:cs="宋体"/>
          <w:spacing w:val="-7"/>
          <w:sz w:val="21"/>
          <w:szCs w:val="21"/>
        </w:rPr>
        <w:t>过作用于一个或多个其他病因，并由后者直接</w:t>
      </w:r>
      <w:r>
        <w:rPr>
          <w:rFonts w:ascii="宋体" w:hAnsi="宋体" w:eastAsia="宋体" w:cs="宋体"/>
          <w:sz w:val="21"/>
          <w:szCs w:val="21"/>
        </w:rPr>
        <w:t xml:space="preserve">  </w:t>
      </w:r>
      <w:r>
        <w:rPr>
          <w:rFonts w:ascii="宋体" w:hAnsi="宋体" w:eastAsia="宋体" w:cs="宋体"/>
          <w:spacing w:val="-9"/>
          <w:sz w:val="21"/>
          <w:szCs w:val="21"/>
        </w:rPr>
        <w:t>引起疾病的发生。最后引起疾病的病因称为直</w:t>
      </w:r>
      <w:r>
        <w:rPr>
          <w:rFonts w:ascii="宋体" w:hAnsi="宋体" w:eastAsia="宋体" w:cs="宋体"/>
          <w:spacing w:val="-10"/>
          <w:sz w:val="21"/>
          <w:szCs w:val="21"/>
        </w:rPr>
        <w:t>接病因(direct cause;immediate cause),直接病因以前的</w:t>
      </w:r>
      <w:r>
        <w:rPr>
          <w:rFonts w:ascii="宋体" w:hAnsi="宋体" w:eastAsia="宋体" w:cs="宋体"/>
          <w:sz w:val="21"/>
          <w:szCs w:val="21"/>
        </w:rPr>
        <w:t xml:space="preserve">  </w:t>
      </w:r>
      <w:r>
        <w:rPr>
          <w:rFonts w:ascii="宋体" w:hAnsi="宋体" w:eastAsia="宋体" w:cs="宋体"/>
          <w:spacing w:val="-1"/>
          <w:sz w:val="21"/>
          <w:szCs w:val="21"/>
        </w:rPr>
        <w:t>病因都称为间接病因</w:t>
      </w:r>
      <w:r>
        <w:rPr>
          <w:rFonts w:ascii="Times New Roman" w:hAnsi="Times New Roman" w:eastAsia="Times New Roman" w:cs="Times New Roman"/>
          <w:spacing w:val="-1"/>
          <w:sz w:val="21"/>
          <w:szCs w:val="21"/>
        </w:rPr>
        <w:t>(indirect</w:t>
      </w:r>
      <w:r>
        <w:rPr>
          <w:rFonts w:ascii="Times New Roman" w:hAnsi="Times New Roman" w:eastAsia="Times New Roman" w:cs="Times New Roman"/>
          <w:spacing w:val="13"/>
          <w:w w:val="101"/>
          <w:sz w:val="21"/>
          <w:szCs w:val="21"/>
        </w:rPr>
        <w:t xml:space="preserve">  </w:t>
      </w:r>
      <w:r>
        <w:rPr>
          <w:rFonts w:ascii="Times New Roman" w:hAnsi="Times New Roman" w:eastAsia="Times New Roman" w:cs="Times New Roman"/>
          <w:spacing w:val="-1"/>
          <w:sz w:val="21"/>
          <w:szCs w:val="21"/>
        </w:rPr>
        <w:t>cause;remote</w:t>
      </w:r>
      <w:r>
        <w:rPr>
          <w:rFonts w:ascii="Times New Roman" w:hAnsi="Times New Roman" w:eastAsia="Times New Roman" w:cs="Times New Roman"/>
          <w:spacing w:val="14"/>
          <w:sz w:val="21"/>
          <w:szCs w:val="21"/>
        </w:rPr>
        <w:t xml:space="preserve">  </w:t>
      </w:r>
      <w:r>
        <w:rPr>
          <w:rFonts w:ascii="Times New Roman" w:hAnsi="Times New Roman" w:eastAsia="Times New Roman" w:cs="Times New Roman"/>
          <w:spacing w:val="-1"/>
          <w:sz w:val="21"/>
          <w:szCs w:val="21"/>
        </w:rPr>
        <w:t>cause)</w:t>
      </w:r>
      <w:r>
        <w:rPr>
          <w:rFonts w:ascii="宋体" w:hAnsi="宋体" w:eastAsia="宋体" w:cs="宋体"/>
          <w:spacing w:val="-1"/>
          <w:sz w:val="21"/>
          <w:szCs w:val="21"/>
        </w:rPr>
        <w:t>。直接</w:t>
      </w:r>
      <w:r>
        <w:rPr>
          <w:rFonts w:ascii="宋体" w:hAnsi="宋体" w:eastAsia="宋体" w:cs="宋体"/>
          <w:spacing w:val="-2"/>
          <w:sz w:val="21"/>
          <w:szCs w:val="21"/>
        </w:rPr>
        <w:t>病因和间接病因的现象预示病因链的存在，</w:t>
      </w:r>
      <w:r>
        <w:rPr>
          <w:rFonts w:ascii="宋体" w:hAnsi="宋体" w:eastAsia="宋体" w:cs="宋体"/>
          <w:sz w:val="21"/>
          <w:szCs w:val="21"/>
        </w:rPr>
        <w:t xml:space="preserve"> </w:t>
      </w:r>
      <w:r>
        <w:rPr>
          <w:rFonts w:ascii="宋体" w:hAnsi="宋体" w:eastAsia="宋体" w:cs="宋体"/>
          <w:spacing w:val="-1"/>
          <w:sz w:val="21"/>
          <w:szCs w:val="21"/>
        </w:rPr>
        <w:t>也提示切断病因链的任何环节都可以达到预防疾病的目的，预示更多的预防疾病方略的可能性。</w:t>
      </w:r>
    </w:p>
    <w:p w14:paraId="12034ECC">
      <w:pPr>
        <w:pStyle w:val="2"/>
        <w:spacing w:before="201" w:line="223" w:lineRule="auto"/>
        <w:ind w:left="413"/>
        <w:outlineLvl w:val="2"/>
        <w:rPr>
          <w:sz w:val="26"/>
          <w:szCs w:val="26"/>
        </w:rPr>
      </w:pPr>
      <w:bookmarkStart w:id="227" w:name="bookmark141"/>
      <w:bookmarkEnd w:id="227"/>
      <w:r>
        <w:rPr>
          <w:b/>
          <w:bCs/>
          <w:spacing w:val="-7"/>
          <w:sz w:val="26"/>
          <w:szCs w:val="26"/>
        </w:rPr>
        <w:t>三、因果关系与相关关系</w:t>
      </w:r>
    </w:p>
    <w:p w14:paraId="4B3766FF">
      <w:pPr>
        <w:spacing w:before="223" w:line="212" w:lineRule="auto"/>
        <w:ind w:left="409"/>
        <w:rPr>
          <w:rFonts w:ascii="宋体" w:hAnsi="宋体" w:eastAsia="宋体" w:cs="宋体"/>
          <w:sz w:val="21"/>
          <w:szCs w:val="21"/>
        </w:rPr>
      </w:pPr>
      <w:r>
        <w:rPr>
          <w:rFonts w:ascii="宋体" w:hAnsi="宋体" w:eastAsia="宋体" w:cs="宋体"/>
          <w:spacing w:val="5"/>
          <w:sz w:val="21"/>
          <w:szCs w:val="21"/>
        </w:rPr>
        <w:t>相关关系</w:t>
      </w:r>
      <w:r>
        <w:rPr>
          <w:rFonts w:ascii="Times New Roman" w:hAnsi="Times New Roman" w:eastAsia="Times New Roman" w:cs="Times New Roman"/>
          <w:spacing w:val="5"/>
          <w:sz w:val="21"/>
          <w:szCs w:val="21"/>
        </w:rPr>
        <w:t>(</w:t>
      </w:r>
      <w:r>
        <w:rPr>
          <w:rFonts w:ascii="Times New Roman" w:hAnsi="Times New Roman" w:eastAsia="Times New Roman" w:cs="Times New Roman"/>
          <w:sz w:val="21"/>
          <w:szCs w:val="21"/>
        </w:rPr>
        <w:t>correlation</w:t>
      </w:r>
      <w:r>
        <w:rPr>
          <w:rFonts w:ascii="Times New Roman" w:hAnsi="Times New Roman" w:eastAsia="Times New Roman" w:cs="Times New Roman"/>
          <w:spacing w:val="5"/>
          <w:sz w:val="21"/>
          <w:szCs w:val="21"/>
        </w:rPr>
        <w:t xml:space="preserve">)  </w:t>
      </w:r>
      <w:r>
        <w:rPr>
          <w:rFonts w:ascii="宋体" w:hAnsi="宋体" w:eastAsia="宋体" w:cs="宋体"/>
          <w:spacing w:val="5"/>
          <w:sz w:val="21"/>
          <w:szCs w:val="21"/>
        </w:rPr>
        <w:t>指两个变量之间的线性关系，可以通过相关系数(如</w:t>
      </w:r>
      <w:r>
        <w:rPr>
          <w:rFonts w:ascii="Times New Roman" w:hAnsi="Times New Roman" w:eastAsia="Times New Roman" w:cs="Times New Roman"/>
          <w:sz w:val="21"/>
          <w:szCs w:val="21"/>
        </w:rPr>
        <w:t>Pearson</w:t>
      </w:r>
      <w:r>
        <w:rPr>
          <w:rFonts w:ascii="Times New Roman" w:hAnsi="Times New Roman" w:eastAsia="Times New Roman" w:cs="Times New Roman"/>
          <w:spacing w:val="23"/>
          <w:sz w:val="21"/>
          <w:szCs w:val="21"/>
        </w:rPr>
        <w:t xml:space="preserve"> </w:t>
      </w:r>
      <w:r>
        <w:rPr>
          <w:rFonts w:ascii="宋体" w:hAnsi="宋体" w:eastAsia="宋体" w:cs="宋体"/>
          <w:spacing w:val="5"/>
          <w:sz w:val="21"/>
          <w:szCs w:val="21"/>
        </w:rPr>
        <w:t>相关系数)</w:t>
      </w:r>
    </w:p>
    <w:p w14:paraId="46C541C1">
      <w:pPr>
        <w:spacing w:line="212" w:lineRule="auto"/>
        <w:rPr>
          <w:rFonts w:ascii="宋体" w:hAnsi="宋体" w:eastAsia="宋体" w:cs="宋体"/>
          <w:sz w:val="21"/>
          <w:szCs w:val="21"/>
        </w:rPr>
        <w:sectPr>
          <w:footerReference r:id="rId160" w:type="default"/>
          <w:pgSz w:w="11900" w:h="16820"/>
          <w:pgMar w:top="400" w:right="819" w:bottom="876" w:left="1450" w:header="0" w:footer="687" w:gutter="0"/>
          <w:cols w:space="720" w:num="1"/>
        </w:sectPr>
      </w:pPr>
    </w:p>
    <w:p w14:paraId="5899C932">
      <w:pPr>
        <w:pStyle w:val="2"/>
        <w:spacing w:before="46" w:line="221" w:lineRule="auto"/>
        <w:ind w:left="669"/>
        <w:rPr>
          <w:sz w:val="19"/>
          <w:szCs w:val="19"/>
        </w:rPr>
      </w:pPr>
      <w:r>
        <w:rPr>
          <w:spacing w:val="-10"/>
          <w:sz w:val="19"/>
          <w:szCs w:val="19"/>
        </w:rPr>
        <w:t>第八章病因及其发现和推断</w:t>
      </w:r>
    </w:p>
    <w:p w14:paraId="73BF2F6F">
      <w:pPr>
        <w:spacing w:line="282" w:lineRule="auto"/>
        <w:rPr>
          <w:rFonts w:ascii="Arial"/>
          <w:sz w:val="21"/>
        </w:rPr>
      </w:pPr>
    </w:p>
    <w:p w14:paraId="675F9EEB">
      <w:pPr>
        <w:spacing w:line="283" w:lineRule="auto"/>
        <w:rPr>
          <w:rFonts w:ascii="Arial"/>
          <w:sz w:val="21"/>
        </w:rPr>
      </w:pPr>
    </w:p>
    <w:p w14:paraId="6F287ABD">
      <w:pPr>
        <w:spacing w:before="61" w:line="367" w:lineRule="auto"/>
        <w:ind w:left="669" w:right="7"/>
        <w:jc w:val="both"/>
        <w:rPr>
          <w:rFonts w:ascii="宋体" w:hAnsi="宋体" w:eastAsia="宋体" w:cs="宋体"/>
          <w:sz w:val="19"/>
          <w:szCs w:val="19"/>
        </w:rPr>
      </w:pPr>
      <w:r>
        <w:rPr>
          <w:rFonts w:ascii="宋体" w:hAnsi="宋体" w:eastAsia="宋体" w:cs="宋体"/>
          <w:spacing w:val="1"/>
          <w:sz w:val="19"/>
          <w:szCs w:val="19"/>
        </w:rPr>
        <w:t>来量化，范围[-1,1],其中“1”表</w:t>
      </w:r>
      <w:r>
        <w:rPr>
          <w:rFonts w:ascii="宋体" w:hAnsi="宋体" w:eastAsia="宋体" w:cs="宋体"/>
          <w:sz w:val="19"/>
          <w:szCs w:val="19"/>
        </w:rPr>
        <w:t xml:space="preserve">示完全正相关，“-1”表示完全负相关，“0”表示无线性相关性。相 </w:t>
      </w:r>
      <w:r>
        <w:rPr>
          <w:rFonts w:ascii="宋体" w:hAnsi="宋体" w:eastAsia="宋体" w:cs="宋体"/>
          <w:spacing w:val="12"/>
          <w:sz w:val="19"/>
          <w:szCs w:val="19"/>
        </w:rPr>
        <w:t>关关系并不一定意味着因果关系。例如，冰淇</w:t>
      </w:r>
      <w:r>
        <w:rPr>
          <w:rFonts w:ascii="宋体" w:hAnsi="宋体" w:eastAsia="宋体" w:cs="宋体"/>
          <w:spacing w:val="11"/>
          <w:sz w:val="19"/>
          <w:szCs w:val="19"/>
        </w:rPr>
        <w:t>淋销量与溺水事件之间可能存在正相关关系，因为它</w:t>
      </w:r>
      <w:r>
        <w:rPr>
          <w:rFonts w:ascii="宋体" w:hAnsi="宋体" w:eastAsia="宋体" w:cs="宋体"/>
          <w:sz w:val="19"/>
          <w:szCs w:val="19"/>
        </w:rPr>
        <w:t xml:space="preserve"> </w:t>
      </w:r>
      <w:r>
        <w:rPr>
          <w:rFonts w:ascii="宋体" w:hAnsi="宋体" w:eastAsia="宋体" w:cs="宋体"/>
          <w:spacing w:val="10"/>
          <w:sz w:val="19"/>
          <w:szCs w:val="19"/>
        </w:rPr>
        <w:t>们都在夏季增加，但冰淇淋销量并不是溺水事件的直接原因。</w:t>
      </w:r>
    </w:p>
    <w:p w14:paraId="5F3D5213">
      <w:pPr>
        <w:spacing w:before="4" w:line="360" w:lineRule="auto"/>
        <w:ind w:left="669" w:right="12" w:firstLine="400"/>
        <w:jc w:val="both"/>
        <w:rPr>
          <w:rFonts w:ascii="宋体" w:hAnsi="宋体" w:eastAsia="宋体" w:cs="宋体"/>
          <w:sz w:val="19"/>
          <w:szCs w:val="19"/>
        </w:rPr>
      </w:pPr>
      <w:r>
        <w:rPr>
          <w:rFonts w:ascii="宋体" w:hAnsi="宋体" w:eastAsia="宋体" w:cs="宋体"/>
          <w:spacing w:val="12"/>
          <w:sz w:val="19"/>
          <w:szCs w:val="19"/>
        </w:rPr>
        <w:t>尽管相关关系并不一定意味着因果关系，但</w:t>
      </w:r>
      <w:r>
        <w:rPr>
          <w:rFonts w:ascii="宋体" w:hAnsi="宋体" w:eastAsia="宋体" w:cs="宋体"/>
          <w:spacing w:val="11"/>
          <w:sz w:val="19"/>
          <w:szCs w:val="19"/>
        </w:rPr>
        <w:t>因果关系通常会伴随着相关关系。换句话说，如果</w:t>
      </w:r>
      <w:r>
        <w:rPr>
          <w:rFonts w:ascii="宋体" w:hAnsi="宋体" w:eastAsia="宋体" w:cs="宋体"/>
          <w:sz w:val="19"/>
          <w:szCs w:val="19"/>
        </w:rPr>
        <w:t xml:space="preserve"> </w:t>
      </w:r>
      <w:r>
        <w:rPr>
          <w:rFonts w:ascii="宋体" w:hAnsi="宋体" w:eastAsia="宋体" w:cs="宋体"/>
          <w:spacing w:val="10"/>
          <w:sz w:val="19"/>
          <w:szCs w:val="19"/>
        </w:rPr>
        <w:t>两个变量之间存在因果关系，那么它们通常会表现出某种程度的相关关系。例如，如果吸烟导致肺</w:t>
      </w:r>
      <w:r>
        <w:rPr>
          <w:rFonts w:ascii="宋体" w:hAnsi="宋体" w:eastAsia="宋体" w:cs="宋体"/>
          <w:spacing w:val="16"/>
          <w:sz w:val="19"/>
          <w:szCs w:val="19"/>
        </w:rPr>
        <w:t xml:space="preserve"> </w:t>
      </w:r>
      <w:r>
        <w:rPr>
          <w:rFonts w:ascii="宋体" w:hAnsi="宋体" w:eastAsia="宋体" w:cs="宋体"/>
          <w:spacing w:val="11"/>
          <w:sz w:val="19"/>
          <w:szCs w:val="19"/>
        </w:rPr>
        <w:t>癌，那么吸烟与肺癌之间应该存在正相关关系。然而，相关关系</w:t>
      </w:r>
      <w:r>
        <w:rPr>
          <w:rFonts w:ascii="宋体" w:hAnsi="宋体" w:eastAsia="宋体" w:cs="宋体"/>
          <w:spacing w:val="10"/>
          <w:sz w:val="19"/>
          <w:szCs w:val="19"/>
        </w:rPr>
        <w:t>只是因果关系的必要条件之一，而</w:t>
      </w:r>
      <w:r>
        <w:rPr>
          <w:rFonts w:ascii="宋体" w:hAnsi="宋体" w:eastAsia="宋体" w:cs="宋体"/>
          <w:sz w:val="19"/>
          <w:szCs w:val="19"/>
        </w:rPr>
        <w:t xml:space="preserve"> </w:t>
      </w:r>
      <w:r>
        <w:rPr>
          <w:rFonts w:ascii="宋体" w:hAnsi="宋体" w:eastAsia="宋体" w:cs="宋体"/>
          <w:spacing w:val="11"/>
          <w:sz w:val="19"/>
          <w:szCs w:val="19"/>
        </w:rPr>
        <w:t>不是充分条件。也就是说，有因果关系的两个变量必须是相关的，但相关的两个变量不一定有因果</w:t>
      </w:r>
      <w:r>
        <w:rPr>
          <w:rFonts w:ascii="宋体" w:hAnsi="宋体" w:eastAsia="宋体" w:cs="宋体"/>
          <w:spacing w:val="17"/>
          <w:sz w:val="19"/>
          <w:szCs w:val="19"/>
        </w:rPr>
        <w:t xml:space="preserve"> </w:t>
      </w:r>
      <w:r>
        <w:rPr>
          <w:rFonts w:ascii="宋体" w:hAnsi="宋体" w:eastAsia="宋体" w:cs="宋体"/>
          <w:spacing w:val="15"/>
          <w:sz w:val="19"/>
          <w:szCs w:val="19"/>
        </w:rPr>
        <w:t>关系。</w:t>
      </w:r>
    </w:p>
    <w:p w14:paraId="3D34516D">
      <w:pPr>
        <w:spacing w:before="3" w:line="391" w:lineRule="auto"/>
        <w:ind w:left="669" w:right="16" w:firstLine="400"/>
        <w:rPr>
          <w:rFonts w:ascii="宋体" w:hAnsi="宋体" w:eastAsia="宋体" w:cs="宋体"/>
          <w:sz w:val="19"/>
          <w:szCs w:val="19"/>
        </w:rPr>
      </w:pPr>
      <w:r>
        <w:rPr>
          <w:rFonts w:ascii="宋体" w:hAnsi="宋体" w:eastAsia="宋体" w:cs="宋体"/>
          <w:spacing w:val="16"/>
          <w:sz w:val="19"/>
          <w:szCs w:val="19"/>
        </w:rPr>
        <w:t xml:space="preserve">下面将使用病因学说和病因模型的概念来更加详细地描述病因和病因之间以及病因和疾病之 </w:t>
      </w:r>
      <w:r>
        <w:rPr>
          <w:rFonts w:ascii="宋体" w:hAnsi="宋体" w:eastAsia="宋体" w:cs="宋体"/>
          <w:spacing w:val="12"/>
          <w:sz w:val="19"/>
          <w:szCs w:val="19"/>
        </w:rPr>
        <w:t>间的各种复杂关系。</w:t>
      </w:r>
    </w:p>
    <w:p w14:paraId="6A784079">
      <w:pPr>
        <w:pStyle w:val="2"/>
        <w:spacing w:before="333" w:line="221" w:lineRule="auto"/>
        <w:ind w:left="3174"/>
        <w:outlineLvl w:val="1"/>
        <w:rPr>
          <w:sz w:val="29"/>
          <w:szCs w:val="29"/>
        </w:rPr>
      </w:pPr>
      <w:bookmarkStart w:id="228" w:name="bookmark142"/>
      <w:bookmarkEnd w:id="228"/>
      <w:r>
        <w:rPr>
          <w:b/>
          <w:bCs/>
          <w:spacing w:val="-5"/>
          <w:sz w:val="29"/>
          <w:szCs w:val="29"/>
        </w:rPr>
        <w:t>第二节</w:t>
      </w:r>
      <w:r>
        <w:rPr>
          <w:spacing w:val="130"/>
          <w:sz w:val="29"/>
          <w:szCs w:val="29"/>
        </w:rPr>
        <w:t xml:space="preserve"> </w:t>
      </w:r>
      <w:r>
        <w:rPr>
          <w:b/>
          <w:bCs/>
          <w:spacing w:val="-5"/>
          <w:sz w:val="29"/>
          <w:szCs w:val="29"/>
        </w:rPr>
        <w:t>病因学说与病因模型</w:t>
      </w:r>
    </w:p>
    <w:p w14:paraId="60D4A606">
      <w:pPr>
        <w:spacing w:line="351" w:lineRule="auto"/>
        <w:rPr>
          <w:rFonts w:ascii="Arial"/>
          <w:sz w:val="21"/>
        </w:rPr>
      </w:pPr>
    </w:p>
    <w:p w14:paraId="6CFBB7E7">
      <w:pPr>
        <w:spacing w:before="61" w:line="363" w:lineRule="auto"/>
        <w:ind w:left="669" w:right="12" w:firstLine="400"/>
        <w:jc w:val="both"/>
        <w:rPr>
          <w:rFonts w:ascii="宋体" w:hAnsi="宋体" w:eastAsia="宋体" w:cs="宋体"/>
          <w:sz w:val="19"/>
          <w:szCs w:val="19"/>
        </w:rPr>
      </w:pPr>
      <w:r>
        <w:rPr>
          <w:rFonts w:ascii="宋体" w:hAnsi="宋体" w:eastAsia="宋体" w:cs="宋体"/>
          <w:spacing w:val="13"/>
          <w:sz w:val="19"/>
          <w:szCs w:val="19"/>
        </w:rPr>
        <w:t>病因学说指现代医学以前对病因本质的假说，而病因模型</w:t>
      </w:r>
      <w:r>
        <w:rPr>
          <w:rFonts w:ascii="Times New Roman" w:hAnsi="Times New Roman" w:eastAsia="Times New Roman" w:cs="Times New Roman"/>
          <w:spacing w:val="13"/>
          <w:sz w:val="19"/>
          <w:szCs w:val="19"/>
        </w:rPr>
        <w:t>(</w:t>
      </w:r>
      <w:r>
        <w:rPr>
          <w:rFonts w:ascii="Times New Roman" w:hAnsi="Times New Roman" w:eastAsia="Times New Roman" w:cs="Times New Roman"/>
          <w:sz w:val="19"/>
          <w:szCs w:val="19"/>
        </w:rPr>
        <w:t>causal</w:t>
      </w:r>
      <w:r>
        <w:rPr>
          <w:rFonts w:ascii="Times New Roman" w:hAnsi="Times New Roman" w:eastAsia="Times New Roman" w:cs="Times New Roman"/>
          <w:spacing w:val="13"/>
          <w:sz w:val="19"/>
          <w:szCs w:val="19"/>
        </w:rPr>
        <w:t xml:space="preserve">    </w:t>
      </w:r>
      <w:r>
        <w:rPr>
          <w:rFonts w:ascii="Times New Roman" w:hAnsi="Times New Roman" w:eastAsia="Times New Roman" w:cs="Times New Roman"/>
          <w:sz w:val="19"/>
          <w:szCs w:val="19"/>
        </w:rPr>
        <w:t>model</w:t>
      </w:r>
      <w:r>
        <w:rPr>
          <w:rFonts w:ascii="Times New Roman" w:hAnsi="Times New Roman" w:eastAsia="Times New Roman" w:cs="Times New Roman"/>
          <w:spacing w:val="13"/>
          <w:sz w:val="19"/>
          <w:szCs w:val="19"/>
        </w:rPr>
        <w:t>)</w:t>
      </w:r>
      <w:r>
        <w:rPr>
          <w:rFonts w:ascii="宋体" w:hAnsi="宋体" w:eastAsia="宋体" w:cs="宋体"/>
          <w:spacing w:val="13"/>
          <w:sz w:val="19"/>
          <w:szCs w:val="19"/>
        </w:rPr>
        <w:t>则是现代医学里用来</w:t>
      </w:r>
      <w:r>
        <w:rPr>
          <w:rFonts w:ascii="宋体" w:hAnsi="宋体" w:eastAsia="宋体" w:cs="宋体"/>
          <w:spacing w:val="10"/>
          <w:sz w:val="19"/>
          <w:szCs w:val="19"/>
        </w:rPr>
        <w:t xml:space="preserve"> </w:t>
      </w:r>
      <w:r>
        <w:rPr>
          <w:rFonts w:ascii="宋体" w:hAnsi="宋体" w:eastAsia="宋体" w:cs="宋体"/>
          <w:spacing w:val="11"/>
          <w:sz w:val="19"/>
          <w:szCs w:val="19"/>
        </w:rPr>
        <w:t>区分不同病因，并阐述不同病因彼此之间、不同病因与疾病的关系及其作用机制的理论框架。病因</w:t>
      </w:r>
      <w:r>
        <w:rPr>
          <w:rFonts w:ascii="宋体" w:hAnsi="宋体" w:eastAsia="宋体" w:cs="宋体"/>
          <w:spacing w:val="5"/>
          <w:sz w:val="19"/>
          <w:szCs w:val="19"/>
        </w:rPr>
        <w:t xml:space="preserve"> </w:t>
      </w:r>
      <w:r>
        <w:rPr>
          <w:rFonts w:ascii="宋体" w:hAnsi="宋体" w:eastAsia="宋体" w:cs="宋体"/>
          <w:spacing w:val="11"/>
          <w:sz w:val="19"/>
          <w:szCs w:val="19"/>
        </w:rPr>
        <w:t>模型的主要用途包括：①阐述病因之间的关系以及病因与疾病的关系；②指示病因的方向以揭示新</w:t>
      </w:r>
      <w:r>
        <w:rPr>
          <w:rFonts w:ascii="宋体" w:hAnsi="宋体" w:eastAsia="宋体" w:cs="宋体"/>
          <w:spacing w:val="14"/>
          <w:sz w:val="19"/>
          <w:szCs w:val="19"/>
        </w:rPr>
        <w:t xml:space="preserve"> </w:t>
      </w:r>
      <w:r>
        <w:rPr>
          <w:rFonts w:ascii="宋体" w:hAnsi="宋体" w:eastAsia="宋体" w:cs="宋体"/>
          <w:spacing w:val="16"/>
          <w:sz w:val="19"/>
          <w:szCs w:val="19"/>
        </w:rPr>
        <w:t>的病因；③说明病因的作用和解释流行病学概念及原理。它们都以发现新的病因或抓住</w:t>
      </w:r>
      <w:r>
        <w:rPr>
          <w:rFonts w:ascii="宋体" w:hAnsi="宋体" w:eastAsia="宋体" w:cs="宋体"/>
          <w:spacing w:val="15"/>
          <w:sz w:val="19"/>
          <w:szCs w:val="19"/>
        </w:rPr>
        <w:t>主要病因</w:t>
      </w:r>
      <w:r>
        <w:rPr>
          <w:rFonts w:ascii="宋体" w:hAnsi="宋体" w:eastAsia="宋体" w:cs="宋体"/>
          <w:sz w:val="19"/>
          <w:szCs w:val="19"/>
        </w:rPr>
        <w:t xml:space="preserve"> </w:t>
      </w:r>
      <w:r>
        <w:rPr>
          <w:rFonts w:ascii="宋体" w:hAnsi="宋体" w:eastAsia="宋体" w:cs="宋体"/>
          <w:spacing w:val="16"/>
          <w:sz w:val="19"/>
          <w:szCs w:val="19"/>
        </w:rPr>
        <w:t>从而制定更全面更有效的疾病预防策略为最终目的。病因模型是根据当时人类对疾病病因的认识</w:t>
      </w:r>
      <w:r>
        <w:rPr>
          <w:rFonts w:ascii="宋体" w:hAnsi="宋体" w:eastAsia="宋体" w:cs="宋体"/>
          <w:spacing w:val="8"/>
          <w:sz w:val="19"/>
          <w:szCs w:val="19"/>
        </w:rPr>
        <w:t xml:space="preserve"> </w:t>
      </w:r>
      <w:r>
        <w:rPr>
          <w:rFonts w:ascii="宋体" w:hAnsi="宋体" w:eastAsia="宋体" w:cs="宋体"/>
          <w:spacing w:val="11"/>
          <w:sz w:val="19"/>
          <w:szCs w:val="19"/>
        </w:rPr>
        <w:t>提出的，因此一个模型的提出具有一定的时代性，新的模型往往是旧模型的延续和改进。有代表性</w:t>
      </w:r>
      <w:r>
        <w:rPr>
          <w:rFonts w:ascii="宋体" w:hAnsi="宋体" w:eastAsia="宋体" w:cs="宋体"/>
          <w:spacing w:val="13"/>
          <w:sz w:val="19"/>
          <w:szCs w:val="19"/>
        </w:rPr>
        <w:t xml:space="preserve"> </w:t>
      </w:r>
      <w:r>
        <w:rPr>
          <w:rFonts w:ascii="宋体" w:hAnsi="宋体" w:eastAsia="宋体" w:cs="宋体"/>
          <w:spacing w:val="5"/>
          <w:sz w:val="19"/>
          <w:szCs w:val="19"/>
        </w:rPr>
        <w:t>的病因模型包括三角模型、轮状模型、生态模型、病因链、病因网、充分病因-组分病因模型。</w:t>
      </w:r>
    </w:p>
    <w:p w14:paraId="5F95FCEE">
      <w:pPr>
        <w:pStyle w:val="2"/>
        <w:spacing w:before="193" w:line="222" w:lineRule="auto"/>
        <w:ind w:left="1073"/>
        <w:outlineLvl w:val="2"/>
        <w:rPr>
          <w:sz w:val="25"/>
          <w:szCs w:val="25"/>
        </w:rPr>
      </w:pPr>
      <w:bookmarkStart w:id="229" w:name="bookmark144"/>
      <w:bookmarkEnd w:id="229"/>
      <w:r>
        <w:rPr>
          <w:b/>
          <w:bCs/>
          <w:spacing w:val="-12"/>
          <w:sz w:val="25"/>
          <w:szCs w:val="25"/>
        </w:rPr>
        <w:t>一</w:t>
      </w:r>
      <w:r>
        <w:rPr>
          <w:spacing w:val="-61"/>
          <w:sz w:val="25"/>
          <w:szCs w:val="25"/>
        </w:rPr>
        <w:t xml:space="preserve"> </w:t>
      </w:r>
      <w:r>
        <w:rPr>
          <w:b/>
          <w:bCs/>
          <w:spacing w:val="-12"/>
          <w:sz w:val="25"/>
          <w:szCs w:val="25"/>
        </w:rPr>
        <w:t>、传染病病因的三角模型</w:t>
      </w:r>
    </w:p>
    <w:p w14:paraId="2FED2E09">
      <w:pPr>
        <w:spacing w:line="246" w:lineRule="auto"/>
        <w:rPr>
          <w:rFonts w:ascii="Arial"/>
          <w:sz w:val="21"/>
        </w:rPr>
      </w:pPr>
    </w:p>
    <w:p w14:paraId="64615C51">
      <w:pPr>
        <w:spacing w:before="62" w:line="359" w:lineRule="auto"/>
        <w:ind w:left="669" w:right="8" w:firstLine="400"/>
        <w:jc w:val="both"/>
        <w:rPr>
          <w:rFonts w:ascii="宋体" w:hAnsi="宋体" w:eastAsia="宋体" w:cs="宋体"/>
          <w:sz w:val="19"/>
          <w:szCs w:val="19"/>
        </w:rPr>
      </w:pPr>
      <w:r>
        <w:rPr>
          <w:rFonts w:ascii="宋体" w:hAnsi="宋体" w:eastAsia="宋体" w:cs="宋体"/>
          <w:spacing w:val="16"/>
          <w:sz w:val="19"/>
          <w:szCs w:val="19"/>
        </w:rPr>
        <w:t>早期病因的瘴气说和微生物说属于单病因的学说。在人类认识和控制传染病的过程中，逐步</w:t>
      </w:r>
      <w:r>
        <w:rPr>
          <w:rFonts w:ascii="宋体" w:hAnsi="宋体" w:eastAsia="宋体" w:cs="宋体"/>
          <w:spacing w:val="18"/>
          <w:sz w:val="19"/>
          <w:szCs w:val="19"/>
        </w:rPr>
        <w:t xml:space="preserve"> </w:t>
      </w:r>
      <w:r>
        <w:rPr>
          <w:rFonts w:ascii="宋体" w:hAnsi="宋体" w:eastAsia="宋体" w:cs="宋体"/>
          <w:spacing w:val="15"/>
          <w:sz w:val="19"/>
          <w:szCs w:val="19"/>
        </w:rPr>
        <w:t>认识到疾病多病因的可能性。1954年，</w:t>
      </w:r>
      <w:r>
        <w:rPr>
          <w:rFonts w:ascii="宋体" w:hAnsi="宋体" w:eastAsia="宋体" w:cs="宋体"/>
          <w:sz w:val="19"/>
          <w:szCs w:val="19"/>
        </w:rPr>
        <w:t>John</w:t>
      </w:r>
      <w:r>
        <w:rPr>
          <w:rFonts w:ascii="宋体" w:hAnsi="宋体" w:eastAsia="宋体" w:cs="宋体"/>
          <w:spacing w:val="4"/>
          <w:sz w:val="19"/>
          <w:szCs w:val="19"/>
        </w:rPr>
        <w:t xml:space="preserve">  </w:t>
      </w:r>
      <w:r>
        <w:rPr>
          <w:rFonts w:ascii="宋体" w:hAnsi="宋体" w:eastAsia="宋体" w:cs="宋体"/>
          <w:sz w:val="19"/>
          <w:szCs w:val="19"/>
        </w:rPr>
        <w:t>Gordon</w:t>
      </w:r>
      <w:r>
        <w:rPr>
          <w:rFonts w:ascii="宋体" w:hAnsi="宋体" w:eastAsia="宋体" w:cs="宋体"/>
          <w:spacing w:val="15"/>
          <w:sz w:val="19"/>
          <w:szCs w:val="19"/>
        </w:rPr>
        <w:t>提</w:t>
      </w:r>
      <w:r>
        <w:rPr>
          <w:rFonts w:ascii="宋体" w:hAnsi="宋体" w:eastAsia="宋体" w:cs="宋体"/>
          <w:spacing w:val="14"/>
          <w:sz w:val="19"/>
          <w:szCs w:val="19"/>
        </w:rPr>
        <w:t>出了传染病流行的三角模型(</w:t>
      </w:r>
      <w:r>
        <w:rPr>
          <w:rFonts w:ascii="宋体" w:hAnsi="宋体" w:eastAsia="宋体" w:cs="宋体"/>
          <w:sz w:val="19"/>
          <w:szCs w:val="19"/>
        </w:rPr>
        <w:t xml:space="preserve">epidemiologic </w:t>
      </w:r>
      <w:r>
        <w:rPr>
          <w:rFonts w:ascii="Times New Roman" w:hAnsi="Times New Roman" w:eastAsia="Times New Roman" w:cs="Times New Roman"/>
          <w:sz w:val="19"/>
          <w:szCs w:val="19"/>
        </w:rPr>
        <w:t>triad</w:t>
      </w:r>
      <w:r>
        <w:rPr>
          <w:rFonts w:ascii="Times New Roman" w:hAnsi="Times New Roman" w:eastAsia="Times New Roman" w:cs="Times New Roman"/>
          <w:spacing w:val="9"/>
          <w:sz w:val="19"/>
          <w:szCs w:val="19"/>
        </w:rPr>
        <w:t>)</w:t>
      </w:r>
      <w:r>
        <w:rPr>
          <w:rFonts w:ascii="Times New Roman" w:hAnsi="Times New Roman" w:eastAsia="Times New Roman" w:cs="Times New Roman"/>
          <w:spacing w:val="-12"/>
          <w:sz w:val="19"/>
          <w:szCs w:val="19"/>
        </w:rPr>
        <w:t xml:space="preserve"> </w:t>
      </w:r>
      <w:r>
        <w:rPr>
          <w:rFonts w:ascii="宋体" w:hAnsi="宋体" w:eastAsia="宋体" w:cs="宋体"/>
          <w:spacing w:val="9"/>
          <w:sz w:val="19"/>
          <w:szCs w:val="19"/>
        </w:rPr>
        <w:t>。</w:t>
      </w:r>
      <w:r>
        <w:rPr>
          <w:rFonts w:ascii="宋体" w:hAnsi="宋体" w:eastAsia="宋体" w:cs="宋体"/>
          <w:spacing w:val="-54"/>
          <w:sz w:val="19"/>
          <w:szCs w:val="19"/>
        </w:rPr>
        <w:t xml:space="preserve"> </w:t>
      </w:r>
      <w:r>
        <w:rPr>
          <w:rFonts w:ascii="宋体" w:hAnsi="宋体" w:eastAsia="宋体" w:cs="宋体"/>
          <w:spacing w:val="9"/>
          <w:sz w:val="19"/>
          <w:szCs w:val="19"/>
        </w:rPr>
        <w:t>该模型明确提出，影响传染病在人群中发生和发展的因素是多重的，并将它们归结为三个方</w:t>
      </w:r>
      <w:r>
        <w:rPr>
          <w:rFonts w:ascii="宋体" w:hAnsi="宋体" w:eastAsia="宋体" w:cs="宋体"/>
          <w:sz w:val="19"/>
          <w:szCs w:val="19"/>
        </w:rPr>
        <w:t xml:space="preserve"> </w:t>
      </w:r>
      <w:r>
        <w:rPr>
          <w:rFonts w:ascii="宋体" w:hAnsi="宋体" w:eastAsia="宋体" w:cs="宋体"/>
          <w:spacing w:val="7"/>
          <w:sz w:val="19"/>
          <w:szCs w:val="19"/>
        </w:rPr>
        <w:t>面，即宿主</w:t>
      </w:r>
      <w:r>
        <w:rPr>
          <w:rFonts w:ascii="Times New Roman" w:hAnsi="Times New Roman" w:eastAsia="Times New Roman" w:cs="Times New Roman"/>
          <w:spacing w:val="7"/>
          <w:sz w:val="19"/>
          <w:szCs w:val="19"/>
        </w:rPr>
        <w:t>(</w:t>
      </w:r>
      <w:r>
        <w:rPr>
          <w:rFonts w:ascii="Times New Roman" w:hAnsi="Times New Roman" w:eastAsia="Times New Roman" w:cs="Times New Roman"/>
          <w:sz w:val="19"/>
          <w:szCs w:val="19"/>
        </w:rPr>
        <w:t>host</w:t>
      </w:r>
      <w:r>
        <w:rPr>
          <w:rFonts w:ascii="Times New Roman" w:hAnsi="Times New Roman" w:eastAsia="Times New Roman" w:cs="Times New Roman"/>
          <w:spacing w:val="7"/>
          <w:sz w:val="19"/>
          <w:szCs w:val="19"/>
        </w:rPr>
        <w:t>)</w:t>
      </w:r>
      <w:r>
        <w:rPr>
          <w:rFonts w:ascii="Times New Roman" w:hAnsi="Times New Roman" w:eastAsia="Times New Roman" w:cs="Times New Roman"/>
          <w:spacing w:val="-27"/>
          <w:sz w:val="19"/>
          <w:szCs w:val="19"/>
        </w:rPr>
        <w:t xml:space="preserve"> </w:t>
      </w:r>
      <w:r>
        <w:rPr>
          <w:rFonts w:ascii="宋体" w:hAnsi="宋体" w:eastAsia="宋体" w:cs="宋体"/>
          <w:spacing w:val="7"/>
          <w:sz w:val="19"/>
          <w:szCs w:val="19"/>
        </w:rPr>
        <w:t>、病原体</w:t>
      </w:r>
      <w:r>
        <w:rPr>
          <w:rFonts w:ascii="Times New Roman" w:hAnsi="Times New Roman" w:eastAsia="Times New Roman" w:cs="Times New Roman"/>
          <w:spacing w:val="7"/>
          <w:sz w:val="19"/>
          <w:szCs w:val="19"/>
        </w:rPr>
        <w:t>(</w:t>
      </w:r>
      <w:r>
        <w:rPr>
          <w:rFonts w:ascii="Times New Roman" w:hAnsi="Times New Roman" w:eastAsia="Times New Roman" w:cs="Times New Roman"/>
          <w:sz w:val="19"/>
          <w:szCs w:val="19"/>
        </w:rPr>
        <w:t>agent</w:t>
      </w:r>
      <w:r>
        <w:rPr>
          <w:rFonts w:ascii="Times New Roman" w:hAnsi="Times New Roman" w:eastAsia="Times New Roman" w:cs="Times New Roman"/>
          <w:spacing w:val="7"/>
          <w:sz w:val="19"/>
          <w:szCs w:val="19"/>
        </w:rPr>
        <w:t xml:space="preserve">)   </w:t>
      </w:r>
      <w:r>
        <w:rPr>
          <w:rFonts w:ascii="宋体" w:hAnsi="宋体" w:eastAsia="宋体" w:cs="宋体"/>
          <w:spacing w:val="7"/>
          <w:sz w:val="19"/>
          <w:szCs w:val="19"/>
        </w:rPr>
        <w:t>和环境</w:t>
      </w:r>
      <w:r>
        <w:rPr>
          <w:rFonts w:ascii="Times New Roman" w:hAnsi="Times New Roman" w:eastAsia="Times New Roman" w:cs="Times New Roman"/>
          <w:spacing w:val="7"/>
          <w:sz w:val="19"/>
          <w:szCs w:val="19"/>
        </w:rPr>
        <w:t>(</w:t>
      </w:r>
      <w:r>
        <w:rPr>
          <w:rFonts w:ascii="Times New Roman" w:hAnsi="Times New Roman" w:eastAsia="Times New Roman" w:cs="Times New Roman"/>
          <w:sz w:val="19"/>
          <w:szCs w:val="19"/>
        </w:rPr>
        <w:t>environment</w:t>
      </w:r>
      <w:r>
        <w:rPr>
          <w:rFonts w:ascii="Times New Roman" w:hAnsi="Times New Roman" w:eastAsia="Times New Roman" w:cs="Times New Roman"/>
          <w:spacing w:val="7"/>
          <w:sz w:val="19"/>
          <w:szCs w:val="19"/>
        </w:rPr>
        <w:t xml:space="preserve">),    </w:t>
      </w:r>
      <w:r>
        <w:rPr>
          <w:rFonts w:ascii="宋体" w:hAnsi="宋体" w:eastAsia="宋体" w:cs="宋体"/>
          <w:spacing w:val="7"/>
          <w:sz w:val="19"/>
          <w:szCs w:val="19"/>
        </w:rPr>
        <w:t>三者对传</w:t>
      </w:r>
      <w:r>
        <w:rPr>
          <w:rFonts w:ascii="宋体" w:hAnsi="宋体" w:eastAsia="宋体" w:cs="宋体"/>
          <w:spacing w:val="6"/>
          <w:sz w:val="19"/>
          <w:szCs w:val="19"/>
        </w:rPr>
        <w:t>染病流行缺一不可，其关系可用一</w:t>
      </w:r>
      <w:r>
        <w:rPr>
          <w:rFonts w:ascii="宋体" w:hAnsi="宋体" w:eastAsia="宋体" w:cs="宋体"/>
          <w:sz w:val="19"/>
          <w:szCs w:val="19"/>
        </w:rPr>
        <w:t xml:space="preserve"> </w:t>
      </w:r>
      <w:r>
        <w:rPr>
          <w:rFonts w:ascii="宋体" w:hAnsi="宋体" w:eastAsia="宋体" w:cs="宋体"/>
          <w:spacing w:val="12"/>
          <w:sz w:val="19"/>
          <w:szCs w:val="19"/>
        </w:rPr>
        <w:t>个等边三角形的平衡关系来描述，表明它们之</w:t>
      </w:r>
      <w:r>
        <w:rPr>
          <w:rFonts w:ascii="宋体" w:hAnsi="宋体" w:eastAsia="宋体" w:cs="宋体"/>
          <w:spacing w:val="11"/>
          <w:sz w:val="19"/>
          <w:szCs w:val="19"/>
        </w:rPr>
        <w:t>间相互平等、相互关联和相互制约的关系。在一定的</w:t>
      </w:r>
      <w:r>
        <w:rPr>
          <w:rFonts w:ascii="宋体" w:hAnsi="宋体" w:eastAsia="宋体" w:cs="宋体"/>
          <w:sz w:val="19"/>
          <w:szCs w:val="19"/>
        </w:rPr>
        <w:t xml:space="preserve"> </w:t>
      </w:r>
      <w:r>
        <w:rPr>
          <w:rFonts w:ascii="宋体" w:hAnsi="宋体" w:eastAsia="宋体" w:cs="宋体"/>
          <w:spacing w:val="10"/>
          <w:sz w:val="19"/>
          <w:szCs w:val="19"/>
        </w:rPr>
        <w:t>时间框架里，三者保持动态平衡，使人群疾病的发病率维持一个常</w:t>
      </w:r>
      <w:r>
        <w:rPr>
          <w:rFonts w:ascii="宋体" w:hAnsi="宋体" w:eastAsia="宋体" w:cs="宋体"/>
          <w:spacing w:val="9"/>
          <w:sz w:val="19"/>
          <w:szCs w:val="19"/>
        </w:rPr>
        <w:t>态，</w:t>
      </w:r>
      <w:r>
        <w:rPr>
          <w:rFonts w:ascii="宋体" w:hAnsi="宋体" w:eastAsia="宋体" w:cs="宋体"/>
          <w:spacing w:val="-24"/>
          <w:sz w:val="19"/>
          <w:szCs w:val="19"/>
        </w:rPr>
        <w:t xml:space="preserve"> </w:t>
      </w:r>
      <w:r>
        <w:rPr>
          <w:rFonts w:ascii="宋体" w:hAnsi="宋体" w:eastAsia="宋体" w:cs="宋体"/>
          <w:spacing w:val="9"/>
          <w:sz w:val="19"/>
          <w:szCs w:val="19"/>
        </w:rPr>
        <w:t>一旦三者中一个或一个以上</w:t>
      </w:r>
      <w:r>
        <w:rPr>
          <w:rFonts w:ascii="宋体" w:hAnsi="宋体" w:eastAsia="宋体" w:cs="宋体"/>
          <w:sz w:val="19"/>
          <w:szCs w:val="19"/>
        </w:rPr>
        <w:t xml:space="preserve"> </w:t>
      </w:r>
      <w:r>
        <w:rPr>
          <w:rFonts w:ascii="宋体" w:hAnsi="宋体" w:eastAsia="宋体" w:cs="宋体"/>
          <w:spacing w:val="11"/>
          <w:sz w:val="19"/>
          <w:szCs w:val="19"/>
        </w:rPr>
        <w:t>的因素发生了变化，破坏了这个平衡状态，人群疾病的发病率就会下降或者上升，甚至疾病消失或</w:t>
      </w:r>
    </w:p>
    <w:p w14:paraId="5A9A8EDF">
      <w:pPr>
        <w:spacing w:before="5" w:line="175" w:lineRule="auto"/>
        <w:ind w:left="669"/>
        <w:rPr>
          <w:rFonts w:ascii="宋体" w:hAnsi="宋体" w:eastAsia="宋体" w:cs="宋体"/>
          <w:sz w:val="19"/>
          <w:szCs w:val="19"/>
        </w:rPr>
      </w:pPr>
      <w:r>
        <w:rPr>
          <w:rFonts w:ascii="宋体" w:hAnsi="宋体" w:eastAsia="宋体" w:cs="宋体"/>
          <w:spacing w:val="10"/>
          <w:sz w:val="19"/>
          <w:szCs w:val="19"/>
        </w:rPr>
        <w:t>引起暴发流行(图8-1)。</w:t>
      </w:r>
    </w:p>
    <w:p w14:paraId="18BF563C">
      <w:pPr>
        <w:spacing w:line="175" w:lineRule="auto"/>
        <w:ind w:left="7690"/>
        <w:rPr>
          <w:rFonts w:ascii="宋体" w:hAnsi="宋体" w:eastAsia="宋体" w:cs="宋体"/>
          <w:sz w:val="19"/>
          <w:szCs w:val="19"/>
        </w:rPr>
      </w:pPr>
      <w:r>
        <w:rPr>
          <w:rFonts w:ascii="宋体" w:hAnsi="宋体" w:eastAsia="宋体" w:cs="宋体"/>
          <w:spacing w:val="-3"/>
          <w:sz w:val="19"/>
          <w:szCs w:val="19"/>
        </w:rPr>
        <w:t>宿主</w:t>
      </w:r>
    </w:p>
    <w:p w14:paraId="02056937">
      <w:pPr>
        <w:spacing w:line="175" w:lineRule="auto"/>
        <w:rPr>
          <w:rFonts w:ascii="宋体" w:hAnsi="宋体" w:eastAsia="宋体" w:cs="宋体"/>
          <w:sz w:val="19"/>
          <w:szCs w:val="19"/>
        </w:rPr>
        <w:sectPr>
          <w:footerReference r:id="rId161" w:type="default"/>
          <w:pgSz w:w="11900" w:h="16820"/>
          <w:pgMar w:top="400" w:right="1656" w:bottom="772" w:left="899" w:header="0" w:footer="601" w:gutter="0"/>
          <w:cols w:equalWidth="0" w:num="1">
            <w:col w:w="9344"/>
          </w:cols>
        </w:sectPr>
      </w:pPr>
    </w:p>
    <w:p w14:paraId="3109E20F">
      <w:pPr>
        <w:spacing w:before="52" w:line="359" w:lineRule="auto"/>
        <w:ind w:left="669" w:right="194" w:firstLine="400"/>
        <w:jc w:val="both"/>
        <w:rPr>
          <w:rFonts w:ascii="宋体" w:hAnsi="宋体" w:eastAsia="宋体" w:cs="宋体"/>
          <w:sz w:val="19"/>
          <w:szCs w:val="19"/>
        </w:rPr>
      </w:pPr>
      <w:r>
        <w:rPr>
          <w:rFonts w:ascii="宋体" w:hAnsi="宋体" w:eastAsia="宋体" w:cs="宋体"/>
          <w:spacing w:val="13"/>
          <w:sz w:val="19"/>
          <w:szCs w:val="19"/>
        </w:rPr>
        <w:t>例如，在环境因素和宿主不变的情况下，病原体毒力增</w:t>
      </w:r>
      <w:r>
        <w:rPr>
          <w:rFonts w:ascii="宋体" w:hAnsi="宋体" w:eastAsia="宋体" w:cs="宋体"/>
          <w:spacing w:val="2"/>
          <w:sz w:val="19"/>
          <w:szCs w:val="19"/>
        </w:rPr>
        <w:t xml:space="preserve"> </w:t>
      </w:r>
      <w:r>
        <w:rPr>
          <w:rFonts w:ascii="宋体" w:hAnsi="宋体" w:eastAsia="宋体" w:cs="宋体"/>
          <w:spacing w:val="13"/>
          <w:sz w:val="19"/>
          <w:szCs w:val="19"/>
        </w:rPr>
        <w:t>加，如甲型流感病毒发生变异出现新亚型时，病毒</w:t>
      </w:r>
      <w:r>
        <w:rPr>
          <w:rFonts w:ascii="宋体" w:hAnsi="宋体" w:eastAsia="宋体" w:cs="宋体"/>
          <w:spacing w:val="12"/>
          <w:sz w:val="19"/>
          <w:szCs w:val="19"/>
        </w:rPr>
        <w:t>的毒力和</w:t>
      </w:r>
      <w:r>
        <w:rPr>
          <w:rFonts w:ascii="宋体" w:hAnsi="宋体" w:eastAsia="宋体" w:cs="宋体"/>
          <w:sz w:val="19"/>
          <w:szCs w:val="19"/>
        </w:rPr>
        <w:t xml:space="preserve"> </w:t>
      </w:r>
      <w:r>
        <w:rPr>
          <w:rFonts w:ascii="宋体" w:hAnsi="宋体" w:eastAsia="宋体" w:cs="宋体"/>
          <w:spacing w:val="12"/>
          <w:sz w:val="19"/>
          <w:szCs w:val="19"/>
        </w:rPr>
        <w:t>致病性增加，则平衡遭到破坏，将使更多的人发病，造成人</w:t>
      </w:r>
      <w:r>
        <w:rPr>
          <w:rFonts w:ascii="宋体" w:hAnsi="宋体" w:eastAsia="宋体" w:cs="宋体"/>
          <w:spacing w:val="15"/>
          <w:sz w:val="19"/>
          <w:szCs w:val="19"/>
        </w:rPr>
        <w:t xml:space="preserve"> </w:t>
      </w:r>
      <w:r>
        <w:rPr>
          <w:rFonts w:ascii="宋体" w:hAnsi="宋体" w:eastAsia="宋体" w:cs="宋体"/>
          <w:spacing w:val="8"/>
          <w:sz w:val="19"/>
          <w:szCs w:val="19"/>
        </w:rPr>
        <w:t>群中流感病人增多，形成暴发或流行。</w:t>
      </w:r>
    </w:p>
    <w:p w14:paraId="73CC5DBA">
      <w:pPr>
        <w:spacing w:before="2" w:line="334" w:lineRule="auto"/>
        <w:ind w:left="669" w:right="197" w:firstLine="400"/>
        <w:jc w:val="both"/>
        <w:rPr>
          <w:rFonts w:ascii="宋体" w:hAnsi="宋体" w:eastAsia="宋体" w:cs="宋体"/>
          <w:sz w:val="19"/>
          <w:szCs w:val="19"/>
        </w:rPr>
      </w:pPr>
      <w:r>
        <w:rPr>
          <w:rFonts w:ascii="宋体" w:hAnsi="宋体" w:eastAsia="宋体" w:cs="宋体"/>
          <w:spacing w:val="21"/>
          <w:sz w:val="19"/>
          <w:szCs w:val="19"/>
        </w:rPr>
        <w:t>流行病学的主要任务就是寻找可以用来切断该三角中</w:t>
      </w:r>
      <w:r>
        <w:rPr>
          <w:rFonts w:ascii="宋体" w:hAnsi="宋体" w:eastAsia="宋体" w:cs="宋体"/>
          <w:spacing w:val="6"/>
          <w:sz w:val="19"/>
          <w:szCs w:val="19"/>
        </w:rPr>
        <w:t xml:space="preserve"> </w:t>
      </w:r>
      <w:r>
        <w:rPr>
          <w:rFonts w:ascii="宋体" w:hAnsi="宋体" w:eastAsia="宋体" w:cs="宋体"/>
          <w:spacing w:val="12"/>
          <w:sz w:val="19"/>
          <w:szCs w:val="19"/>
        </w:rPr>
        <w:t>任何一条(或多条)链索的措施，阻断任何两个因素之间的联</w:t>
      </w:r>
      <w:r>
        <w:rPr>
          <w:rFonts w:ascii="宋体" w:hAnsi="宋体" w:eastAsia="宋体" w:cs="宋体"/>
          <w:spacing w:val="2"/>
          <w:sz w:val="19"/>
          <w:szCs w:val="19"/>
        </w:rPr>
        <w:t xml:space="preserve"> </w:t>
      </w:r>
      <w:r>
        <w:rPr>
          <w:rFonts w:ascii="宋体" w:hAnsi="宋体" w:eastAsia="宋体" w:cs="宋体"/>
          <w:spacing w:val="13"/>
          <w:sz w:val="19"/>
          <w:szCs w:val="19"/>
        </w:rPr>
        <w:t>系，以此就可以控制疾病的流行。流行病学</w:t>
      </w:r>
      <w:r>
        <w:rPr>
          <w:rFonts w:ascii="宋体" w:hAnsi="宋体" w:eastAsia="宋体" w:cs="宋体"/>
          <w:spacing w:val="12"/>
          <w:sz w:val="19"/>
          <w:szCs w:val="19"/>
        </w:rPr>
        <w:t>的病因三角模型</w:t>
      </w:r>
      <w:r>
        <w:rPr>
          <w:rFonts w:ascii="宋体" w:hAnsi="宋体" w:eastAsia="宋体" w:cs="宋体"/>
          <w:sz w:val="19"/>
          <w:szCs w:val="19"/>
        </w:rPr>
        <w:t xml:space="preserve"> </w:t>
      </w:r>
      <w:r>
        <w:rPr>
          <w:rFonts w:ascii="宋体" w:hAnsi="宋体" w:eastAsia="宋体" w:cs="宋体"/>
          <w:spacing w:val="12"/>
          <w:sz w:val="19"/>
          <w:szCs w:val="19"/>
        </w:rPr>
        <w:t>是对传染病病因认识的总结，优于朴素的单病因学说，揭示</w:t>
      </w:r>
      <w:r>
        <w:rPr>
          <w:rFonts w:ascii="宋体" w:hAnsi="宋体" w:eastAsia="宋体" w:cs="宋体"/>
          <w:spacing w:val="15"/>
          <w:sz w:val="19"/>
          <w:szCs w:val="19"/>
        </w:rPr>
        <w:t xml:space="preserve"> </w:t>
      </w:r>
      <w:r>
        <w:rPr>
          <w:rFonts w:ascii="宋体" w:hAnsi="宋体" w:eastAsia="宋体" w:cs="宋体"/>
          <w:spacing w:val="12"/>
          <w:sz w:val="19"/>
          <w:szCs w:val="19"/>
        </w:rPr>
        <w:t>了在病原体之外存在可以用来预防和控制传染病的因素，是</w:t>
      </w:r>
    </w:p>
    <w:p w14:paraId="54A18304">
      <w:pPr>
        <w:spacing w:line="14" w:lineRule="auto"/>
        <w:rPr>
          <w:rFonts w:ascii="Arial"/>
          <w:sz w:val="2"/>
        </w:rPr>
      </w:pPr>
      <w:r>
        <w:rPr>
          <w:rFonts w:ascii="Arial" w:hAnsi="Arial" w:eastAsia="Arial" w:cs="Arial"/>
          <w:sz w:val="2"/>
          <w:szCs w:val="2"/>
        </w:rPr>
        <w:br w:type="column"/>
      </w:r>
    </w:p>
    <w:p w14:paraId="2F2B590D">
      <w:pPr>
        <w:spacing w:before="32" w:line="2640" w:lineRule="exact"/>
        <w:ind w:firstLine="99"/>
      </w:pPr>
      <w:r>
        <w:rPr>
          <w:position w:val="-52"/>
        </w:rPr>
        <w:drawing>
          <wp:inline distT="0" distB="0" distL="0" distR="0">
            <wp:extent cx="1885950" cy="1675765"/>
            <wp:effectExtent l="0" t="0" r="0" b="0"/>
            <wp:docPr id="510" name="IM 510"/>
            <wp:cNvGraphicFramePr/>
            <a:graphic xmlns:a="http://schemas.openxmlformats.org/drawingml/2006/main">
              <a:graphicData uri="http://schemas.openxmlformats.org/drawingml/2006/picture">
                <pic:pic xmlns:pic="http://schemas.openxmlformats.org/drawingml/2006/picture">
                  <pic:nvPicPr>
                    <pic:cNvPr id="510" name="IM 510"/>
                    <pic:cNvPicPr/>
                  </pic:nvPicPr>
                  <pic:blipFill>
                    <a:blip r:embed="rId594"/>
                    <a:stretch>
                      <a:fillRect/>
                    </a:stretch>
                  </pic:blipFill>
                  <pic:spPr>
                    <a:xfrm>
                      <a:off x="0" y="0"/>
                      <a:ext cx="1885951" cy="1676335"/>
                    </a:xfrm>
                    <a:prstGeom prst="rect">
                      <a:avLst/>
                    </a:prstGeom>
                  </pic:spPr>
                </pic:pic>
              </a:graphicData>
            </a:graphic>
          </wp:inline>
        </w:drawing>
      </w:r>
    </w:p>
    <w:p w14:paraId="69E00D6C">
      <w:pPr>
        <w:pStyle w:val="2"/>
        <w:spacing w:before="19" w:line="230" w:lineRule="auto"/>
        <w:jc w:val="right"/>
        <w:rPr>
          <w:sz w:val="16"/>
          <w:szCs w:val="16"/>
        </w:rPr>
      </w:pPr>
      <w:r>
        <w:rPr>
          <w:rFonts w:ascii="宋体" w:hAnsi="宋体" w:eastAsia="宋体" w:cs="宋体"/>
          <w:spacing w:val="-6"/>
          <w:sz w:val="19"/>
          <w:szCs w:val="19"/>
        </w:rPr>
        <w:t xml:space="preserve">病原体                         </w:t>
      </w:r>
      <w:r>
        <w:rPr>
          <w:spacing w:val="-6"/>
          <w:sz w:val="16"/>
          <w:szCs w:val="16"/>
        </w:rPr>
        <w:t>环境</w:t>
      </w:r>
    </w:p>
    <w:p w14:paraId="1738EA6E">
      <w:pPr>
        <w:pStyle w:val="2"/>
        <w:spacing w:before="129" w:line="187" w:lineRule="auto"/>
        <w:ind w:left="342"/>
        <w:rPr>
          <w:sz w:val="19"/>
          <w:szCs w:val="19"/>
        </w:rPr>
      </w:pPr>
      <w:r>
        <w:rPr>
          <w:b/>
          <w:bCs/>
          <w:spacing w:val="-4"/>
          <w:sz w:val="19"/>
          <w:szCs w:val="19"/>
        </w:rPr>
        <w:t>图8-1</w:t>
      </w:r>
      <w:r>
        <w:rPr>
          <w:spacing w:val="54"/>
          <w:sz w:val="19"/>
          <w:szCs w:val="19"/>
        </w:rPr>
        <w:t xml:space="preserve"> </w:t>
      </w:r>
      <w:r>
        <w:rPr>
          <w:b/>
          <w:bCs/>
          <w:spacing w:val="-4"/>
          <w:sz w:val="19"/>
          <w:szCs w:val="19"/>
        </w:rPr>
        <w:t>传染病病因的三角模型</w:t>
      </w:r>
    </w:p>
    <w:p w14:paraId="3A4F2100">
      <w:pPr>
        <w:spacing w:line="187" w:lineRule="auto"/>
        <w:rPr>
          <w:sz w:val="19"/>
          <w:szCs w:val="19"/>
        </w:rPr>
        <w:sectPr>
          <w:type w:val="continuous"/>
          <w:pgSz w:w="11900" w:h="16820"/>
          <w:pgMar w:top="400" w:right="1656" w:bottom="772" w:left="899" w:header="0" w:footer="601" w:gutter="0"/>
          <w:cols w:equalWidth="0" w:num="2">
            <w:col w:w="6141" w:space="100"/>
            <w:col w:w="3104"/>
          </w:cols>
        </w:sectPr>
      </w:pPr>
    </w:p>
    <w:p w14:paraId="5F458265">
      <w:pPr>
        <w:pStyle w:val="2"/>
        <w:spacing w:before="146" w:line="221" w:lineRule="auto"/>
        <w:ind w:left="6820"/>
        <w:rPr>
          <w:sz w:val="20"/>
          <w:szCs w:val="20"/>
        </w:rPr>
      </w:pPr>
      <w:r>
        <w:rPr>
          <w:spacing w:val="-14"/>
          <w:sz w:val="20"/>
          <w:szCs w:val="20"/>
        </w:rPr>
        <w:t>第八章病因及其发现和推断</w:t>
      </w:r>
    </w:p>
    <w:p w14:paraId="0EFA7FC2">
      <w:pPr>
        <w:spacing w:line="261" w:lineRule="auto"/>
        <w:rPr>
          <w:rFonts w:ascii="Arial"/>
          <w:sz w:val="21"/>
        </w:rPr>
      </w:pPr>
    </w:p>
    <w:p w14:paraId="79CD7046">
      <w:pPr>
        <w:spacing w:line="261" w:lineRule="auto"/>
        <w:rPr>
          <w:rFonts w:ascii="Arial"/>
          <w:sz w:val="21"/>
        </w:rPr>
      </w:pPr>
    </w:p>
    <w:p w14:paraId="33AEB67F">
      <w:pPr>
        <w:spacing w:before="65" w:line="219" w:lineRule="auto"/>
        <w:rPr>
          <w:rFonts w:ascii="宋体" w:hAnsi="宋体" w:eastAsia="宋体" w:cs="宋体"/>
          <w:sz w:val="20"/>
          <w:szCs w:val="20"/>
        </w:rPr>
      </w:pPr>
      <w:r>
        <w:rPr>
          <w:rFonts w:ascii="宋体" w:hAnsi="宋体" w:eastAsia="宋体" w:cs="宋体"/>
          <w:spacing w:val="12"/>
          <w:sz w:val="20"/>
          <w:szCs w:val="20"/>
        </w:rPr>
        <w:t>人类用来控制传染病的重要理论基础。</w:t>
      </w:r>
    </w:p>
    <w:p w14:paraId="67F80A8F">
      <w:pPr>
        <w:pStyle w:val="2"/>
        <w:spacing w:before="322" w:line="222" w:lineRule="auto"/>
        <w:ind w:left="443"/>
        <w:outlineLvl w:val="2"/>
        <w:rPr>
          <w:sz w:val="26"/>
          <w:szCs w:val="26"/>
        </w:rPr>
      </w:pPr>
      <w:bookmarkStart w:id="230" w:name="bookmark480"/>
      <w:bookmarkEnd w:id="230"/>
      <w:bookmarkStart w:id="231" w:name="bookmark145"/>
      <w:bookmarkEnd w:id="231"/>
      <w:r>
        <w:rPr>
          <w:b/>
          <w:bCs/>
          <w:spacing w:val="-5"/>
          <w:sz w:val="26"/>
          <w:szCs w:val="26"/>
        </w:rPr>
        <w:t>二、病因的轮状模型</w:t>
      </w:r>
    </w:p>
    <w:p w14:paraId="53B816AF">
      <w:pPr>
        <w:spacing w:before="280" w:line="342" w:lineRule="auto"/>
        <w:ind w:right="667" w:firstLine="439"/>
        <w:jc w:val="both"/>
        <w:rPr>
          <w:rFonts w:ascii="宋体" w:hAnsi="宋体" w:eastAsia="宋体" w:cs="宋体"/>
          <w:sz w:val="20"/>
          <w:szCs w:val="20"/>
        </w:rPr>
      </w:pPr>
      <w:r>
        <w:rPr>
          <w:rFonts w:ascii="宋体" w:hAnsi="宋体" w:eastAsia="宋体" w:cs="宋体"/>
          <w:spacing w:val="9"/>
          <w:sz w:val="20"/>
          <w:szCs w:val="20"/>
        </w:rPr>
        <w:t>到了20世纪中叶，面对慢性非传染性疾病，人们充分认识到，慢性病不像传染病那样存在明确</w:t>
      </w:r>
      <w:r>
        <w:rPr>
          <w:rFonts w:ascii="宋体" w:hAnsi="宋体" w:eastAsia="宋体" w:cs="宋体"/>
          <w:spacing w:val="16"/>
          <w:sz w:val="20"/>
          <w:szCs w:val="20"/>
        </w:rPr>
        <w:t xml:space="preserve"> </w:t>
      </w:r>
      <w:r>
        <w:rPr>
          <w:rFonts w:ascii="宋体" w:hAnsi="宋体" w:eastAsia="宋体" w:cs="宋体"/>
          <w:spacing w:val="10"/>
          <w:sz w:val="20"/>
          <w:szCs w:val="20"/>
        </w:rPr>
        <w:t>的病原体，而且慢性病的致病因素是多样的，且任何单一病因的作用都相对较小。病因的三角模型</w:t>
      </w:r>
      <w:r>
        <w:rPr>
          <w:rFonts w:ascii="宋体" w:hAnsi="宋体" w:eastAsia="宋体" w:cs="宋体"/>
          <w:spacing w:val="1"/>
          <w:sz w:val="20"/>
          <w:szCs w:val="20"/>
        </w:rPr>
        <w:t xml:space="preserve"> </w:t>
      </w:r>
      <w:r>
        <w:rPr>
          <w:rFonts w:ascii="宋体" w:hAnsi="宋体" w:eastAsia="宋体" w:cs="宋体"/>
          <w:spacing w:val="10"/>
          <w:sz w:val="20"/>
          <w:szCs w:val="20"/>
        </w:rPr>
        <w:t>承认一个疾病的病因是多重的，但是把病原体、宿主和环境分隔开来，把每个因素放在一个独立的</w:t>
      </w:r>
      <w:r>
        <w:rPr>
          <w:rFonts w:ascii="宋体" w:hAnsi="宋体" w:eastAsia="宋体" w:cs="宋体"/>
          <w:spacing w:val="4"/>
          <w:sz w:val="20"/>
          <w:szCs w:val="20"/>
        </w:rPr>
        <w:t xml:space="preserve"> </w:t>
      </w:r>
      <w:r>
        <w:rPr>
          <w:rFonts w:ascii="宋体" w:hAnsi="宋体" w:eastAsia="宋体" w:cs="宋体"/>
          <w:spacing w:val="5"/>
          <w:sz w:val="20"/>
          <w:szCs w:val="20"/>
        </w:rPr>
        <w:t>位置，把它们等量齐观，可能不适合慢性病病因的研究，没有体现直接病</w:t>
      </w:r>
      <w:r>
        <w:rPr>
          <w:rFonts w:ascii="宋体" w:hAnsi="宋体" w:eastAsia="宋体" w:cs="宋体"/>
          <w:spacing w:val="4"/>
          <w:sz w:val="20"/>
          <w:szCs w:val="20"/>
        </w:rPr>
        <w:t>因和间接病因的区别，不能</w:t>
      </w:r>
      <w:r>
        <w:rPr>
          <w:rFonts w:ascii="宋体" w:hAnsi="宋体" w:eastAsia="宋体" w:cs="宋体"/>
          <w:sz w:val="20"/>
          <w:szCs w:val="20"/>
        </w:rPr>
        <w:t xml:space="preserve"> </w:t>
      </w:r>
      <w:r>
        <w:rPr>
          <w:rFonts w:ascii="宋体" w:hAnsi="宋体" w:eastAsia="宋体" w:cs="宋体"/>
          <w:spacing w:val="13"/>
          <w:sz w:val="20"/>
          <w:szCs w:val="20"/>
        </w:rPr>
        <w:t>显示其间交叉复杂的关联，不利于在纷乱的慢性病</w:t>
      </w:r>
      <w:r>
        <w:rPr>
          <w:rFonts w:ascii="宋体" w:hAnsi="宋体" w:eastAsia="宋体" w:cs="宋体"/>
          <w:spacing w:val="12"/>
          <w:sz w:val="20"/>
          <w:szCs w:val="20"/>
        </w:rPr>
        <w:t>病因中抓住主要矛盾(详见有关病因链和病因网</w:t>
      </w:r>
      <w:r>
        <w:rPr>
          <w:rFonts w:ascii="宋体" w:hAnsi="宋体" w:eastAsia="宋体" w:cs="宋体"/>
          <w:sz w:val="20"/>
          <w:szCs w:val="20"/>
        </w:rPr>
        <w:t xml:space="preserve"> </w:t>
      </w:r>
      <w:r>
        <w:rPr>
          <w:rFonts w:ascii="宋体" w:hAnsi="宋体" w:eastAsia="宋体" w:cs="宋体"/>
          <w:spacing w:val="7"/>
          <w:sz w:val="20"/>
          <w:szCs w:val="20"/>
        </w:rPr>
        <w:t>的内容)。</w:t>
      </w:r>
    </w:p>
    <w:p w14:paraId="02EC316D">
      <w:pPr>
        <w:spacing w:before="12" w:line="342" w:lineRule="auto"/>
        <w:ind w:right="3926" w:firstLine="439"/>
        <w:jc w:val="both"/>
        <w:rPr>
          <w:rFonts w:ascii="宋体" w:hAnsi="宋体" w:eastAsia="宋体" w:cs="宋体"/>
          <w:sz w:val="20"/>
          <w:szCs w:val="20"/>
        </w:rPr>
      </w:pPr>
      <w:r>
        <mc:AlternateContent>
          <mc:Choice Requires="wps">
            <w:drawing>
              <wp:anchor distT="0" distB="0" distL="0" distR="0" simplePos="0" relativeHeight="251822080" behindDoc="0" locked="0" layoutInCell="1" allowOverlap="1">
                <wp:simplePos x="0" y="0"/>
                <wp:positionH relativeFrom="column">
                  <wp:posOffset>3915410</wp:posOffset>
                </wp:positionH>
                <wp:positionV relativeFrom="paragraph">
                  <wp:posOffset>461010</wp:posOffset>
                </wp:positionV>
                <wp:extent cx="481330" cy="227965"/>
                <wp:effectExtent l="0" t="0" r="0" b="0"/>
                <wp:wrapNone/>
                <wp:docPr id="512" name="TextBox 512"/>
                <wp:cNvGraphicFramePr/>
                <a:graphic xmlns:a="http://schemas.openxmlformats.org/drawingml/2006/main">
                  <a:graphicData uri="http://schemas.microsoft.com/office/word/2010/wordprocessingShape">
                    <wps:wsp>
                      <wps:cNvSpPr txBox="1"/>
                      <wps:spPr>
                        <a:xfrm rot="16200000">
                          <a:off x="3915456" y="461354"/>
                          <a:ext cx="481330" cy="227965"/>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159F544D">
                            <w:pPr>
                              <w:spacing w:before="64" w:line="220" w:lineRule="auto"/>
                              <w:jc w:val="right"/>
                              <w:rPr>
                                <w:rFonts w:ascii="宋体" w:hAnsi="宋体" w:eastAsia="宋体" w:cs="宋体"/>
                                <w:sz w:val="23"/>
                                <w:szCs w:val="23"/>
                              </w:rPr>
                            </w:pPr>
                            <w:r>
                              <w:rPr>
                                <w:rFonts w:ascii="宋体" w:hAnsi="宋体" w:eastAsia="宋体" w:cs="宋体"/>
                                <w:spacing w:val="-18"/>
                                <w:w w:val="84"/>
                                <w:sz w:val="23"/>
                                <w:szCs w:val="23"/>
                              </w:rPr>
                              <w:t>生物环</w:t>
                            </w:r>
                            <w:r>
                              <w:rPr>
                                <w:rFonts w:ascii="宋体" w:hAnsi="宋体" w:eastAsia="宋体" w:cs="宋体"/>
                                <w:spacing w:val="-10"/>
                                <w:w w:val="84"/>
                                <w:sz w:val="23"/>
                                <w:szCs w:val="23"/>
                              </w:rPr>
                              <w:t>境</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512" o:spid="_x0000_s1026" o:spt="202" type="#_x0000_t202" style="position:absolute;left:0pt;margin-left:308.3pt;margin-top:36.3pt;height:17.95pt;width:37.9pt;rotation:-5898240f;z-index:251822080;mso-width-relative:page;mso-height-relative:page;" filled="f" stroked="f" coordsize="21600,21600" o:gfxdata="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OXupU2AAAAAoBAAAP&#10;AAAAAAAAAAEAIAAAACIAAABkcnMvZG93bnJldi54bWxQSwECFAAUAAAACACHTuJAST5tQFECAACk&#10;BAAADgAAAAAAAAABACAAAAAnAQAAZHJzL2Uyb0RvYy54bWxQSwUGAAAAAAYABgBZAQAA6gUAAAAA&#10;">
                <v:fill on="f" focussize="0,0"/>
                <v:stroke on="f" weight="0pt" miterlimit="0" joinstyle="miter"/>
                <v:imagedata o:title=""/>
                <o:lock v:ext="edit" aspectratio="f"/>
                <v:textbox inset="0mm,0mm,0mm,0mm">
                  <w:txbxContent>
                    <w:p w14:paraId="159F544D">
                      <w:pPr>
                        <w:spacing w:before="64" w:line="220" w:lineRule="auto"/>
                        <w:jc w:val="right"/>
                        <w:rPr>
                          <w:rFonts w:ascii="宋体" w:hAnsi="宋体" w:eastAsia="宋体" w:cs="宋体"/>
                          <w:sz w:val="23"/>
                          <w:szCs w:val="23"/>
                        </w:rPr>
                      </w:pPr>
                      <w:r>
                        <w:rPr>
                          <w:rFonts w:ascii="宋体" w:hAnsi="宋体" w:eastAsia="宋体" w:cs="宋体"/>
                          <w:spacing w:val="-18"/>
                          <w:w w:val="84"/>
                          <w:sz w:val="23"/>
                          <w:szCs w:val="23"/>
                        </w:rPr>
                        <w:t>生物环</w:t>
                      </w:r>
                      <w:r>
                        <w:rPr>
                          <w:rFonts w:ascii="宋体" w:hAnsi="宋体" w:eastAsia="宋体" w:cs="宋体"/>
                          <w:spacing w:val="-10"/>
                          <w:w w:val="84"/>
                          <w:sz w:val="23"/>
                          <w:szCs w:val="23"/>
                        </w:rPr>
                        <w:t>境</w:t>
                      </w:r>
                    </w:p>
                  </w:txbxContent>
                </v:textbox>
              </v:shape>
            </w:pict>
          </mc:Fallback>
        </mc:AlternateContent>
      </w:r>
      <w:r>
        <mc:AlternateContent>
          <mc:Choice Requires="wps">
            <w:drawing>
              <wp:anchor distT="0" distB="0" distL="0" distR="0" simplePos="0" relativeHeight="251823104" behindDoc="0" locked="0" layoutInCell="1" allowOverlap="1">
                <wp:simplePos x="0" y="0"/>
                <wp:positionH relativeFrom="column">
                  <wp:posOffset>5158105</wp:posOffset>
                </wp:positionH>
                <wp:positionV relativeFrom="paragraph">
                  <wp:posOffset>549910</wp:posOffset>
                </wp:positionV>
                <wp:extent cx="481330" cy="199390"/>
                <wp:effectExtent l="0" t="0" r="0" b="0"/>
                <wp:wrapNone/>
                <wp:docPr id="514" name="TextBox 514"/>
                <wp:cNvGraphicFramePr/>
                <a:graphic xmlns:a="http://schemas.openxmlformats.org/drawingml/2006/main">
                  <a:graphicData uri="http://schemas.microsoft.com/office/word/2010/wordprocessingShape">
                    <wps:wsp>
                      <wps:cNvSpPr txBox="1"/>
                      <wps:spPr>
                        <a:xfrm rot="5400000">
                          <a:off x="5158599" y="550346"/>
                          <a:ext cx="481330" cy="199389"/>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1D67718C">
                            <w:pPr>
                              <w:spacing w:before="56" w:line="219" w:lineRule="auto"/>
                              <w:jc w:val="right"/>
                              <w:rPr>
                                <w:rFonts w:ascii="宋体" w:hAnsi="宋体" w:eastAsia="宋体" w:cs="宋体"/>
                                <w:sz w:val="20"/>
                                <w:szCs w:val="20"/>
                              </w:rPr>
                            </w:pPr>
                            <w:r>
                              <w:rPr>
                                <w:rFonts w:ascii="宋体" w:hAnsi="宋体" w:eastAsia="宋体" w:cs="宋体"/>
                                <w:spacing w:val="-17"/>
                                <w:w w:val="97"/>
                                <w:sz w:val="20"/>
                                <w:szCs w:val="20"/>
                              </w:rPr>
                              <w:t>社会环</w:t>
                            </w:r>
                            <w:r>
                              <w:rPr>
                                <w:rFonts w:ascii="宋体" w:hAnsi="宋体" w:eastAsia="宋体" w:cs="宋体"/>
                                <w:spacing w:val="-9"/>
                                <w:w w:val="97"/>
                                <w:sz w:val="20"/>
                                <w:szCs w:val="20"/>
                              </w:rPr>
                              <w:t>境</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514" o:spid="_x0000_s1026" o:spt="202" type="#_x0000_t202" style="position:absolute;left:0pt;margin-left:406.15pt;margin-top:43.3pt;height:15.7pt;width:37.9pt;rotation:5898240f;z-index:251823104;mso-width-relative:page;mso-height-relative:page;" filled="f" stroked="f" coordsize="21600,21600" o:gfxdata="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AdquDb1gAAAAoBAAAPAAAA&#10;AAAAAAEAIAAAACIAAABkcnMvZG93bnJldi54bWxQSwECFAAUAAAACACHTuJAFAN4nlACAACjBAAA&#10;DgAAAAAAAAABACAAAAAlAQAAZHJzL2Uyb0RvYy54bWxQSwUGAAAAAAYABgBZAQAA5wUAAAAA&#10;">
                <v:fill on="f" focussize="0,0"/>
                <v:stroke on="f" weight="0pt" miterlimit="0" joinstyle="miter"/>
                <v:imagedata o:title=""/>
                <o:lock v:ext="edit" aspectratio="f"/>
                <v:textbox inset="0mm,0mm,0mm,0mm">
                  <w:txbxContent>
                    <w:p w14:paraId="1D67718C">
                      <w:pPr>
                        <w:spacing w:before="56" w:line="219" w:lineRule="auto"/>
                        <w:jc w:val="right"/>
                        <w:rPr>
                          <w:rFonts w:ascii="宋体" w:hAnsi="宋体" w:eastAsia="宋体" w:cs="宋体"/>
                          <w:sz w:val="20"/>
                          <w:szCs w:val="20"/>
                        </w:rPr>
                      </w:pPr>
                      <w:r>
                        <w:rPr>
                          <w:rFonts w:ascii="宋体" w:hAnsi="宋体" w:eastAsia="宋体" w:cs="宋体"/>
                          <w:spacing w:val="-17"/>
                          <w:w w:val="97"/>
                          <w:sz w:val="20"/>
                          <w:szCs w:val="20"/>
                        </w:rPr>
                        <w:t>社会环</w:t>
                      </w:r>
                      <w:r>
                        <w:rPr>
                          <w:rFonts w:ascii="宋体" w:hAnsi="宋体" w:eastAsia="宋体" w:cs="宋体"/>
                          <w:spacing w:val="-9"/>
                          <w:w w:val="97"/>
                          <w:sz w:val="20"/>
                          <w:szCs w:val="20"/>
                        </w:rPr>
                        <w:t>境</w:t>
                      </w:r>
                    </w:p>
                  </w:txbxContent>
                </v:textbox>
              </v:shape>
            </w:pict>
          </mc:Fallback>
        </mc:AlternateContent>
      </w:r>
      <w:r>
        <w:pict>
          <v:shape id="_x0000_s1116" o:spid="_x0000_s1116" o:spt="202" type="#_x0000_t202" style="position:absolute;left:0pt;margin-left:356.5pt;margin-top:50.05pt;height:44.7pt;width:36.2pt;z-index:251821056;mso-width-relative:page;mso-height-relative:page;" filled="f" stroked="f" coordsize="21600,21600">
            <v:path/>
            <v:fill on="f" focussize="0,0"/>
            <v:stroke on="f"/>
            <v:imagedata o:title=""/>
            <o:lock v:ext="edit" aspectratio="f"/>
            <v:textbox inset="0mm,0mm,0mm,0mm">
              <w:txbxContent>
                <w:p w14:paraId="39D1C01B">
                  <w:pPr>
                    <w:spacing w:before="19" w:line="177" w:lineRule="auto"/>
                    <w:ind w:left="20"/>
                    <w:rPr>
                      <w:rFonts w:ascii="LiSu" w:hAnsi="LiSu" w:eastAsia="LiSu" w:cs="LiSu"/>
                      <w:sz w:val="20"/>
                      <w:szCs w:val="20"/>
                    </w:rPr>
                  </w:pPr>
                  <w:r>
                    <w:rPr>
                      <w:rFonts w:ascii="LiSu" w:hAnsi="LiSu" w:eastAsia="LiSu" w:cs="LiSu"/>
                      <w:spacing w:val="-7"/>
                      <w:w w:val="94"/>
                      <w:sz w:val="20"/>
                      <w:szCs w:val="20"/>
                    </w:rPr>
                    <w:t>宿</w:t>
                  </w:r>
                  <w:r>
                    <w:rPr>
                      <w:rFonts w:ascii="LiSu" w:hAnsi="LiSu" w:eastAsia="LiSu" w:cs="LiSu"/>
                      <w:spacing w:val="8"/>
                      <w:sz w:val="20"/>
                      <w:szCs w:val="20"/>
                    </w:rPr>
                    <w:t xml:space="preserve">   </w:t>
                  </w:r>
                  <w:r>
                    <w:rPr>
                      <w:rFonts w:ascii="LiSu" w:hAnsi="LiSu" w:eastAsia="LiSu" w:cs="LiSu"/>
                      <w:spacing w:val="-7"/>
                      <w:w w:val="94"/>
                      <w:sz w:val="20"/>
                      <w:szCs w:val="20"/>
                    </w:rPr>
                    <w:t>主</w:t>
                  </w:r>
                </w:p>
                <w:p w14:paraId="73604658">
                  <w:pPr>
                    <w:pStyle w:val="2"/>
                    <w:spacing w:before="228" w:line="200" w:lineRule="auto"/>
                    <w:ind w:left="189" w:right="172"/>
                    <w:rPr>
                      <w:sz w:val="20"/>
                      <w:szCs w:val="20"/>
                    </w:rPr>
                  </w:pPr>
                  <w:r>
                    <w:rPr>
                      <w:spacing w:val="-12"/>
                      <w:w w:val="96"/>
                      <w:sz w:val="20"/>
                      <w:szCs w:val="20"/>
                    </w:rPr>
                    <w:t>遗传</w:t>
                  </w:r>
                  <w:r>
                    <w:rPr>
                      <w:sz w:val="20"/>
                      <w:szCs w:val="20"/>
                    </w:rPr>
                    <w:t xml:space="preserve"> </w:t>
                  </w:r>
                  <w:r>
                    <w:rPr>
                      <w:spacing w:val="-22"/>
                      <w:sz w:val="20"/>
                      <w:szCs w:val="20"/>
                    </w:rPr>
                    <w:t>内核</w:t>
                  </w:r>
                </w:p>
              </w:txbxContent>
            </v:textbox>
          </v:shape>
        </w:pict>
      </w:r>
      <w:r>
        <w:pict>
          <v:shape id="_x0000_s1117" o:spid="_x0000_s1117" o:spt="202" type="#_x0000_t202" style="position:absolute;left:0pt;margin-left:359.45pt;margin-top:134.6pt;height:14.05pt;width:36.8pt;z-index:251824128;mso-width-relative:page;mso-height-relative:page;" filled="f" stroked="f" coordsize="21600,21600">
            <v:path/>
            <v:fill on="f" focussize="0,0"/>
            <v:stroke on="f"/>
            <v:imagedata o:title=""/>
            <o:lock v:ext="edit" aspectratio="f"/>
            <v:textbox inset="0mm,0mm,0mm,0mm">
              <w:txbxContent>
                <w:p w14:paraId="2ACF4073">
                  <w:pPr>
                    <w:pStyle w:val="2"/>
                    <w:spacing w:before="19" w:line="222" w:lineRule="auto"/>
                    <w:jc w:val="right"/>
                    <w:rPr>
                      <w:sz w:val="20"/>
                      <w:szCs w:val="20"/>
                    </w:rPr>
                  </w:pPr>
                  <w:r>
                    <w:rPr>
                      <w:spacing w:val="-16"/>
                      <w:w w:val="94"/>
                      <w:sz w:val="20"/>
                      <w:szCs w:val="20"/>
                    </w:rPr>
                    <w:t>理化环</w:t>
                  </w:r>
                  <w:r>
                    <w:rPr>
                      <w:spacing w:val="-8"/>
                      <w:w w:val="94"/>
                      <w:sz w:val="20"/>
                      <w:szCs w:val="20"/>
                    </w:rPr>
                    <w:t>境</w:t>
                  </w:r>
                </w:p>
              </w:txbxContent>
            </v:textbox>
          </v:shape>
        </w:pict>
      </w:r>
      <w:r>
        <w:drawing>
          <wp:anchor distT="0" distB="0" distL="0" distR="0" simplePos="0" relativeHeight="251820032" behindDoc="0" locked="0" layoutInCell="1" allowOverlap="1">
            <wp:simplePos x="0" y="0"/>
            <wp:positionH relativeFrom="column">
              <wp:posOffset>3790315</wp:posOffset>
            </wp:positionH>
            <wp:positionV relativeFrom="paragraph">
              <wp:posOffset>46990</wp:posOffset>
            </wp:positionV>
            <wp:extent cx="1955800" cy="2019300"/>
            <wp:effectExtent l="0" t="0" r="0" b="0"/>
            <wp:wrapNone/>
            <wp:docPr id="516" name="IM 516"/>
            <wp:cNvGraphicFramePr/>
            <a:graphic xmlns:a="http://schemas.openxmlformats.org/drawingml/2006/main">
              <a:graphicData uri="http://schemas.openxmlformats.org/drawingml/2006/picture">
                <pic:pic xmlns:pic="http://schemas.openxmlformats.org/drawingml/2006/picture">
                  <pic:nvPicPr>
                    <pic:cNvPr id="516" name="IM 516"/>
                    <pic:cNvPicPr/>
                  </pic:nvPicPr>
                  <pic:blipFill>
                    <a:blip r:embed="rId595"/>
                    <a:stretch>
                      <a:fillRect/>
                    </a:stretch>
                  </pic:blipFill>
                  <pic:spPr>
                    <a:xfrm>
                      <a:off x="0" y="0"/>
                      <a:ext cx="1955773" cy="2019292"/>
                    </a:xfrm>
                    <a:prstGeom prst="rect">
                      <a:avLst/>
                    </a:prstGeom>
                  </pic:spPr>
                </pic:pic>
              </a:graphicData>
            </a:graphic>
          </wp:anchor>
        </w:drawing>
      </w:r>
      <w:r>
        <w:rPr>
          <w:rFonts w:ascii="宋体" w:hAnsi="宋体" w:eastAsia="宋体" w:cs="宋体"/>
          <w:spacing w:val="11"/>
          <w:sz w:val="20"/>
          <w:szCs w:val="20"/>
        </w:rPr>
        <w:t>在三角病因模型的基础上，1985年</w:t>
      </w:r>
      <w:r>
        <w:rPr>
          <w:rFonts w:ascii="Times New Roman" w:hAnsi="Times New Roman" w:eastAsia="Times New Roman" w:cs="Times New Roman"/>
          <w:sz w:val="20"/>
          <w:szCs w:val="20"/>
        </w:rPr>
        <w:t>Mausner</w:t>
      </w:r>
      <w:r>
        <w:rPr>
          <w:rFonts w:ascii="Times New Roman" w:hAnsi="Times New Roman" w:eastAsia="Times New Roman" w:cs="Times New Roman"/>
          <w:spacing w:val="3"/>
          <w:sz w:val="20"/>
          <w:szCs w:val="20"/>
        </w:rPr>
        <w:t xml:space="preserve">  </w:t>
      </w:r>
      <w:r>
        <w:rPr>
          <w:rFonts w:ascii="宋体" w:hAnsi="宋体" w:eastAsia="宋体" w:cs="宋体"/>
          <w:spacing w:val="11"/>
          <w:sz w:val="20"/>
          <w:szCs w:val="20"/>
        </w:rPr>
        <w:t xml:space="preserve">和 </w:t>
      </w:r>
      <w:r>
        <w:rPr>
          <w:rFonts w:ascii="Times New Roman" w:hAnsi="Times New Roman" w:eastAsia="Times New Roman" w:cs="Times New Roman"/>
          <w:sz w:val="20"/>
          <w:szCs w:val="20"/>
        </w:rPr>
        <w:t>Kramer</w:t>
      </w:r>
      <w:r>
        <w:rPr>
          <w:rFonts w:ascii="Times New Roman" w:hAnsi="Times New Roman" w:eastAsia="Times New Roman" w:cs="Times New Roman"/>
          <w:spacing w:val="23"/>
          <w:w w:val="101"/>
          <w:sz w:val="20"/>
          <w:szCs w:val="20"/>
        </w:rPr>
        <w:t xml:space="preserve"> </w:t>
      </w:r>
      <w:r>
        <w:rPr>
          <w:rFonts w:ascii="宋体" w:hAnsi="宋体" w:eastAsia="宋体" w:cs="宋体"/>
          <w:spacing w:val="11"/>
          <w:sz w:val="20"/>
          <w:szCs w:val="20"/>
        </w:rPr>
        <w:t>提</w:t>
      </w:r>
      <w:r>
        <w:rPr>
          <w:rFonts w:ascii="宋体" w:hAnsi="宋体" w:eastAsia="宋体" w:cs="宋体"/>
          <w:sz w:val="20"/>
          <w:szCs w:val="20"/>
        </w:rPr>
        <w:t xml:space="preserve">  </w:t>
      </w:r>
      <w:r>
        <w:rPr>
          <w:rFonts w:ascii="宋体" w:hAnsi="宋体" w:eastAsia="宋体" w:cs="宋体"/>
          <w:spacing w:val="10"/>
          <w:sz w:val="20"/>
          <w:szCs w:val="20"/>
        </w:rPr>
        <w:t>出了病因的轮状模型</w:t>
      </w:r>
      <w:r>
        <w:rPr>
          <w:rFonts w:ascii="Times New Roman" w:hAnsi="Times New Roman" w:eastAsia="Times New Roman" w:cs="Times New Roman"/>
          <w:spacing w:val="10"/>
          <w:sz w:val="20"/>
          <w:szCs w:val="20"/>
        </w:rPr>
        <w:t>(</w:t>
      </w:r>
      <w:r>
        <w:rPr>
          <w:rFonts w:ascii="Times New Roman" w:hAnsi="Times New Roman" w:eastAsia="Times New Roman" w:cs="Times New Roman"/>
          <w:sz w:val="20"/>
          <w:szCs w:val="20"/>
        </w:rPr>
        <w:t>causation</w:t>
      </w:r>
      <w:r>
        <w:rPr>
          <w:rFonts w:ascii="Times New Roman" w:hAnsi="Times New Roman" w:eastAsia="Times New Roman" w:cs="Times New Roman"/>
          <w:spacing w:val="10"/>
          <w:sz w:val="20"/>
          <w:szCs w:val="20"/>
        </w:rPr>
        <w:t xml:space="preserve">     </w:t>
      </w:r>
      <w:r>
        <w:rPr>
          <w:rFonts w:ascii="Times New Roman" w:hAnsi="Times New Roman" w:eastAsia="Times New Roman" w:cs="Times New Roman"/>
          <w:sz w:val="20"/>
          <w:szCs w:val="20"/>
        </w:rPr>
        <w:t>wheel</w:t>
      </w:r>
      <w:r>
        <w:rPr>
          <w:rFonts w:ascii="Times New Roman" w:hAnsi="Times New Roman" w:eastAsia="Times New Roman" w:cs="Times New Roman"/>
          <w:spacing w:val="10"/>
          <w:sz w:val="20"/>
          <w:szCs w:val="20"/>
        </w:rPr>
        <w:t>)</w:t>
      </w:r>
      <w:r>
        <w:rPr>
          <w:rFonts w:ascii="宋体" w:hAnsi="宋体" w:eastAsia="宋体" w:cs="宋体"/>
          <w:spacing w:val="10"/>
          <w:sz w:val="20"/>
          <w:szCs w:val="20"/>
        </w:rPr>
        <w:t>。轮状模型把可患</w:t>
      </w:r>
      <w:r>
        <w:rPr>
          <w:rFonts w:ascii="宋体" w:hAnsi="宋体" w:eastAsia="宋体" w:cs="宋体"/>
          <w:spacing w:val="9"/>
          <w:sz w:val="20"/>
          <w:szCs w:val="20"/>
        </w:rPr>
        <w:t>病的</w:t>
      </w:r>
      <w:r>
        <w:rPr>
          <w:rFonts w:ascii="宋体" w:hAnsi="宋体" w:eastAsia="宋体" w:cs="宋体"/>
          <w:sz w:val="20"/>
          <w:szCs w:val="20"/>
        </w:rPr>
        <w:t xml:space="preserve">  </w:t>
      </w:r>
      <w:r>
        <w:rPr>
          <w:rFonts w:ascii="宋体" w:hAnsi="宋体" w:eastAsia="宋体" w:cs="宋体"/>
          <w:spacing w:val="14"/>
          <w:sz w:val="20"/>
          <w:szCs w:val="20"/>
        </w:rPr>
        <w:t>人或动物放到了中心的位置，周围是他们生活的物理、化学、</w:t>
      </w:r>
      <w:r>
        <w:rPr>
          <w:rFonts w:ascii="宋体" w:hAnsi="宋体" w:eastAsia="宋体" w:cs="宋体"/>
          <w:spacing w:val="1"/>
          <w:sz w:val="20"/>
          <w:szCs w:val="20"/>
        </w:rPr>
        <w:t xml:space="preserve"> </w:t>
      </w:r>
      <w:r>
        <w:rPr>
          <w:rFonts w:ascii="宋体" w:hAnsi="宋体" w:eastAsia="宋体" w:cs="宋体"/>
          <w:spacing w:val="10"/>
          <w:sz w:val="20"/>
          <w:szCs w:val="20"/>
        </w:rPr>
        <w:t>生物和社会环境，而传染病的致病因子只是生物环境的一个部</w:t>
      </w:r>
      <w:r>
        <w:rPr>
          <w:rFonts w:ascii="宋体" w:hAnsi="宋体" w:eastAsia="宋体" w:cs="宋体"/>
          <w:sz w:val="20"/>
          <w:szCs w:val="20"/>
        </w:rPr>
        <w:t xml:space="preserve">  </w:t>
      </w:r>
      <w:r>
        <w:rPr>
          <w:rFonts w:ascii="宋体" w:hAnsi="宋体" w:eastAsia="宋体" w:cs="宋体"/>
          <w:spacing w:val="13"/>
          <w:sz w:val="20"/>
          <w:szCs w:val="20"/>
        </w:rPr>
        <w:t>分(图8-2)。该模型用新的方式描述了宿主、致病因子和环境</w:t>
      </w:r>
      <w:r>
        <w:rPr>
          <w:rFonts w:ascii="宋体" w:hAnsi="宋体" w:eastAsia="宋体" w:cs="宋体"/>
          <w:spacing w:val="5"/>
          <w:sz w:val="20"/>
          <w:szCs w:val="20"/>
        </w:rPr>
        <w:t xml:space="preserve">  </w:t>
      </w:r>
      <w:r>
        <w:rPr>
          <w:rFonts w:ascii="宋体" w:hAnsi="宋体" w:eastAsia="宋体" w:cs="宋体"/>
          <w:spacing w:val="11"/>
          <w:sz w:val="20"/>
          <w:szCs w:val="20"/>
        </w:rPr>
        <w:t>的关系，认为环境、宿主和病原体不是对等和分离的</w:t>
      </w:r>
      <w:r>
        <w:rPr>
          <w:rFonts w:ascii="宋体" w:hAnsi="宋体" w:eastAsia="宋体" w:cs="宋体"/>
          <w:spacing w:val="10"/>
          <w:sz w:val="20"/>
          <w:szCs w:val="20"/>
        </w:rPr>
        <w:t>关系，它</w:t>
      </w:r>
      <w:r>
        <w:rPr>
          <w:rFonts w:ascii="宋体" w:hAnsi="宋体" w:eastAsia="宋体" w:cs="宋体"/>
          <w:sz w:val="20"/>
          <w:szCs w:val="20"/>
        </w:rPr>
        <w:t xml:space="preserve">  </w:t>
      </w:r>
      <w:r>
        <w:rPr>
          <w:rFonts w:ascii="宋体" w:hAnsi="宋体" w:eastAsia="宋体" w:cs="宋体"/>
          <w:spacing w:val="10"/>
          <w:sz w:val="20"/>
          <w:szCs w:val="20"/>
        </w:rPr>
        <w:t>们的重要性也有主次分别，并提示了直接病因和间接病因的存</w:t>
      </w:r>
      <w:r>
        <w:rPr>
          <w:rFonts w:ascii="宋体" w:hAnsi="宋体" w:eastAsia="宋体" w:cs="宋体"/>
          <w:spacing w:val="8"/>
          <w:sz w:val="20"/>
          <w:szCs w:val="20"/>
        </w:rPr>
        <w:t xml:space="preserve">  </w:t>
      </w:r>
      <w:r>
        <w:rPr>
          <w:rFonts w:ascii="宋体" w:hAnsi="宋体" w:eastAsia="宋体" w:cs="宋体"/>
          <w:spacing w:val="7"/>
          <w:sz w:val="20"/>
          <w:szCs w:val="20"/>
        </w:rPr>
        <w:t>在，以及远端病因和近端病因的区别。</w:t>
      </w:r>
    </w:p>
    <w:p w14:paraId="24C46C7A">
      <w:pPr>
        <w:spacing w:before="28" w:line="219" w:lineRule="auto"/>
        <w:ind w:left="439"/>
        <w:rPr>
          <w:rFonts w:ascii="宋体" w:hAnsi="宋体" w:eastAsia="宋体" w:cs="宋体"/>
          <w:sz w:val="20"/>
          <w:szCs w:val="20"/>
        </w:rPr>
      </w:pPr>
      <w:r>
        <w:rPr>
          <w:rFonts w:ascii="宋体" w:hAnsi="宋体" w:eastAsia="宋体" w:cs="宋体"/>
          <w:spacing w:val="10"/>
          <w:sz w:val="20"/>
          <w:szCs w:val="20"/>
        </w:rPr>
        <w:t>例如，对于以宿主的遗传背景为主要病因的疾病，如葡萄</w:t>
      </w:r>
    </w:p>
    <w:p w14:paraId="0E7F7572">
      <w:pPr>
        <w:pStyle w:val="2"/>
        <w:spacing w:before="150" w:line="222" w:lineRule="auto"/>
        <w:rPr>
          <w:sz w:val="20"/>
          <w:szCs w:val="20"/>
        </w:rPr>
      </w:pPr>
      <w:r>
        <w:rPr>
          <w:rFonts w:ascii="宋体" w:hAnsi="宋体" w:eastAsia="宋体" w:cs="宋体"/>
          <w:spacing w:val="11"/>
          <w:sz w:val="20"/>
          <w:szCs w:val="20"/>
        </w:rPr>
        <w:t>糖-6-磷酸脱氢酶缺乏症和1型糖尿病，遗传的作用相对比较</w:t>
      </w:r>
      <w:r>
        <w:rPr>
          <w:rFonts w:ascii="宋体" w:hAnsi="宋体" w:eastAsia="宋体" w:cs="宋体"/>
          <w:spacing w:val="10"/>
          <w:sz w:val="20"/>
          <w:szCs w:val="20"/>
        </w:rPr>
        <w:t xml:space="preserve">       </w:t>
      </w:r>
      <w:r>
        <w:rPr>
          <w:b/>
          <w:bCs/>
          <w:spacing w:val="10"/>
          <w:sz w:val="20"/>
          <w:szCs w:val="20"/>
        </w:rPr>
        <w:t>图8-2</w:t>
      </w:r>
      <w:r>
        <w:rPr>
          <w:spacing w:val="10"/>
          <w:sz w:val="20"/>
          <w:szCs w:val="20"/>
        </w:rPr>
        <w:t xml:space="preserve">  </w:t>
      </w:r>
      <w:r>
        <w:rPr>
          <w:b/>
          <w:bCs/>
          <w:spacing w:val="10"/>
          <w:sz w:val="20"/>
          <w:szCs w:val="20"/>
        </w:rPr>
        <w:t>病因的轮状模型</w:t>
      </w:r>
    </w:p>
    <w:p w14:paraId="2FE9AB5C">
      <w:pPr>
        <w:spacing w:before="112" w:line="219" w:lineRule="auto"/>
        <w:rPr>
          <w:rFonts w:ascii="宋体" w:hAnsi="宋体" w:eastAsia="宋体" w:cs="宋体"/>
          <w:sz w:val="20"/>
          <w:szCs w:val="20"/>
        </w:rPr>
      </w:pPr>
      <w:r>
        <w:rPr>
          <w:rFonts w:ascii="宋体" w:hAnsi="宋体" w:eastAsia="宋体" w:cs="宋体"/>
          <w:spacing w:val="3"/>
          <w:sz w:val="20"/>
          <w:szCs w:val="20"/>
        </w:rPr>
        <w:t>大；对于麻疹、疟疾等传染病，生物学致病因子是必要因素，起</w:t>
      </w:r>
    </w:p>
    <w:p w14:paraId="56EE0995">
      <w:pPr>
        <w:spacing w:before="154" w:line="219" w:lineRule="auto"/>
        <w:rPr>
          <w:rFonts w:ascii="宋体" w:hAnsi="宋体" w:eastAsia="宋体" w:cs="宋体"/>
          <w:sz w:val="20"/>
          <w:szCs w:val="20"/>
        </w:rPr>
      </w:pPr>
      <w:r>
        <w:rPr>
          <w:rFonts w:ascii="宋体" w:hAnsi="宋体" w:eastAsia="宋体" w:cs="宋体"/>
          <w:spacing w:val="8"/>
          <w:sz w:val="20"/>
          <w:szCs w:val="20"/>
        </w:rPr>
        <w:t>着不可缺少的作用；对于地方性疾病，人们居住的自然物理和化学环境则起着主要的作用。</w:t>
      </w:r>
    </w:p>
    <w:p w14:paraId="4A1C2AB3">
      <w:pPr>
        <w:spacing w:before="111" w:line="363" w:lineRule="auto"/>
        <w:ind w:right="670" w:firstLine="429"/>
        <w:rPr>
          <w:rFonts w:ascii="宋体" w:hAnsi="宋体" w:eastAsia="宋体" w:cs="宋体"/>
          <w:sz w:val="20"/>
          <w:szCs w:val="20"/>
        </w:rPr>
      </w:pPr>
      <w:r>
        <w:rPr>
          <w:rFonts w:ascii="宋体" w:hAnsi="宋体" w:eastAsia="宋体" w:cs="宋体"/>
          <w:spacing w:val="10"/>
          <w:sz w:val="20"/>
          <w:szCs w:val="20"/>
        </w:rPr>
        <w:t>早期的轮状模型是围绕传染病的三个因素展开的，对于慢性非传染性疾病，它们</w:t>
      </w:r>
      <w:r>
        <w:rPr>
          <w:rFonts w:ascii="宋体" w:hAnsi="宋体" w:eastAsia="宋体" w:cs="宋体"/>
          <w:spacing w:val="9"/>
          <w:sz w:val="20"/>
          <w:szCs w:val="20"/>
        </w:rPr>
        <w:t>揭示的病因的</w:t>
      </w:r>
      <w:r>
        <w:rPr>
          <w:rFonts w:ascii="宋体" w:hAnsi="宋体" w:eastAsia="宋体" w:cs="宋体"/>
          <w:sz w:val="20"/>
          <w:szCs w:val="20"/>
        </w:rPr>
        <w:t xml:space="preserve"> </w:t>
      </w:r>
      <w:r>
        <w:rPr>
          <w:rFonts w:ascii="宋体" w:hAnsi="宋体" w:eastAsia="宋体" w:cs="宋体"/>
          <w:spacing w:val="8"/>
          <w:sz w:val="20"/>
          <w:szCs w:val="20"/>
        </w:rPr>
        <w:t>范围存在局限性，因此是一个过渡性的模型。</w:t>
      </w:r>
    </w:p>
    <w:p w14:paraId="5A901AE3">
      <w:pPr>
        <w:pStyle w:val="2"/>
        <w:spacing w:before="134" w:line="222" w:lineRule="auto"/>
        <w:ind w:left="443"/>
        <w:outlineLvl w:val="2"/>
        <w:rPr>
          <w:sz w:val="26"/>
          <w:szCs w:val="26"/>
        </w:rPr>
      </w:pPr>
      <w:bookmarkStart w:id="232" w:name="bookmark146"/>
      <w:bookmarkEnd w:id="232"/>
      <w:r>
        <w:rPr>
          <w:b/>
          <w:bCs/>
          <w:spacing w:val="-5"/>
          <w:sz w:val="26"/>
          <w:szCs w:val="26"/>
        </w:rPr>
        <w:t>三、健康决定因素的生态模型</w:t>
      </w:r>
    </w:p>
    <w:p w14:paraId="4326542F">
      <w:pPr>
        <w:spacing w:before="245" w:line="342" w:lineRule="auto"/>
        <w:ind w:right="670" w:firstLine="439"/>
        <w:jc w:val="both"/>
        <w:rPr>
          <w:rFonts w:ascii="宋体" w:hAnsi="宋体" w:eastAsia="宋体" w:cs="宋体"/>
          <w:sz w:val="20"/>
          <w:szCs w:val="20"/>
        </w:rPr>
      </w:pPr>
      <w:r>
        <w:rPr>
          <w:rFonts w:ascii="宋体" w:hAnsi="宋体" w:eastAsia="宋体" w:cs="宋体"/>
          <w:spacing w:val="9"/>
          <w:sz w:val="20"/>
          <w:szCs w:val="20"/>
        </w:rPr>
        <w:t>1991年</w:t>
      </w:r>
      <w:r>
        <w:rPr>
          <w:rFonts w:ascii="Times New Roman" w:hAnsi="Times New Roman" w:eastAsia="Times New Roman" w:cs="Times New Roman"/>
          <w:sz w:val="20"/>
          <w:szCs w:val="20"/>
        </w:rPr>
        <w:t>Dahlgren</w:t>
      </w:r>
      <w:r>
        <w:rPr>
          <w:rFonts w:ascii="Times New Roman" w:hAnsi="Times New Roman" w:eastAsia="Times New Roman" w:cs="Times New Roman"/>
          <w:spacing w:val="62"/>
          <w:w w:val="101"/>
          <w:sz w:val="20"/>
          <w:szCs w:val="20"/>
        </w:rPr>
        <w:t xml:space="preserve"> </w:t>
      </w:r>
      <w:r>
        <w:rPr>
          <w:rFonts w:ascii="宋体" w:hAnsi="宋体" w:eastAsia="宋体" w:cs="宋体"/>
          <w:spacing w:val="9"/>
          <w:sz w:val="20"/>
          <w:szCs w:val="20"/>
        </w:rPr>
        <w:t>和</w:t>
      </w:r>
      <w:r>
        <w:rPr>
          <w:rFonts w:ascii="宋体" w:hAnsi="宋体" w:eastAsia="宋体" w:cs="宋体"/>
          <w:spacing w:val="-32"/>
          <w:sz w:val="20"/>
          <w:szCs w:val="20"/>
        </w:rPr>
        <w:t xml:space="preserve"> </w:t>
      </w:r>
      <w:r>
        <w:rPr>
          <w:rFonts w:ascii="Times New Roman" w:hAnsi="Times New Roman" w:eastAsia="Times New Roman" w:cs="Times New Roman"/>
          <w:sz w:val="20"/>
          <w:szCs w:val="20"/>
        </w:rPr>
        <w:t>Whitehead</w:t>
      </w:r>
      <w:r>
        <w:rPr>
          <w:rFonts w:ascii="Times New Roman" w:hAnsi="Times New Roman" w:eastAsia="Times New Roman" w:cs="Times New Roman"/>
          <w:spacing w:val="48"/>
          <w:sz w:val="20"/>
          <w:szCs w:val="20"/>
        </w:rPr>
        <w:t xml:space="preserve"> </w:t>
      </w:r>
      <w:r>
        <w:rPr>
          <w:rFonts w:ascii="宋体" w:hAnsi="宋体" w:eastAsia="宋体" w:cs="宋体"/>
          <w:spacing w:val="9"/>
          <w:sz w:val="20"/>
          <w:szCs w:val="20"/>
        </w:rPr>
        <w:t>从社会的角度，提出了健康决定因素的生态模型，是轮状模型的</w:t>
      </w:r>
      <w:r>
        <w:rPr>
          <w:rFonts w:ascii="宋体" w:hAnsi="宋体" w:eastAsia="宋体" w:cs="宋体"/>
          <w:sz w:val="20"/>
          <w:szCs w:val="20"/>
        </w:rPr>
        <w:t xml:space="preserve"> </w:t>
      </w:r>
      <w:r>
        <w:rPr>
          <w:rFonts w:ascii="宋体" w:hAnsi="宋体" w:eastAsia="宋体" w:cs="宋体"/>
          <w:spacing w:val="12"/>
          <w:sz w:val="20"/>
          <w:szCs w:val="20"/>
        </w:rPr>
        <w:t>进一步发展，也被称为生态病因模型</w:t>
      </w:r>
      <w:r>
        <w:rPr>
          <w:rFonts w:ascii="Times New Roman" w:hAnsi="Times New Roman" w:eastAsia="Times New Roman" w:cs="Times New Roman"/>
          <w:spacing w:val="12"/>
          <w:sz w:val="20"/>
          <w:szCs w:val="20"/>
        </w:rPr>
        <w:t>(</w:t>
      </w:r>
      <w:r>
        <w:rPr>
          <w:rFonts w:ascii="Times New Roman" w:hAnsi="Times New Roman" w:eastAsia="Times New Roman" w:cs="Times New Roman"/>
          <w:sz w:val="20"/>
          <w:szCs w:val="20"/>
        </w:rPr>
        <w:t>ecological</w:t>
      </w:r>
      <w:r>
        <w:rPr>
          <w:rFonts w:ascii="Times New Roman" w:hAnsi="Times New Roman" w:eastAsia="Times New Roman" w:cs="Times New Roman"/>
          <w:spacing w:val="12"/>
          <w:sz w:val="20"/>
          <w:szCs w:val="20"/>
        </w:rPr>
        <w:t xml:space="preserve">  </w:t>
      </w:r>
      <w:r>
        <w:rPr>
          <w:rFonts w:ascii="Times New Roman" w:hAnsi="Times New Roman" w:eastAsia="Times New Roman" w:cs="Times New Roman"/>
          <w:sz w:val="20"/>
          <w:szCs w:val="20"/>
        </w:rPr>
        <w:t>model</w:t>
      </w:r>
      <w:r>
        <w:rPr>
          <w:rFonts w:ascii="Times New Roman" w:hAnsi="Times New Roman" w:eastAsia="Times New Roman" w:cs="Times New Roman"/>
          <w:spacing w:val="12"/>
          <w:sz w:val="20"/>
          <w:szCs w:val="20"/>
        </w:rPr>
        <w:t xml:space="preserve">  </w:t>
      </w:r>
      <w:r>
        <w:rPr>
          <w:rFonts w:ascii="Times New Roman" w:hAnsi="Times New Roman" w:eastAsia="Times New Roman" w:cs="Times New Roman"/>
          <w:sz w:val="20"/>
          <w:szCs w:val="20"/>
        </w:rPr>
        <w:t>of</w:t>
      </w:r>
      <w:r>
        <w:rPr>
          <w:rFonts w:ascii="Times New Roman" w:hAnsi="Times New Roman" w:eastAsia="Times New Roman" w:cs="Times New Roman"/>
          <w:spacing w:val="5"/>
          <w:sz w:val="20"/>
          <w:szCs w:val="20"/>
        </w:rPr>
        <w:t xml:space="preserve">  </w:t>
      </w:r>
      <w:r>
        <w:rPr>
          <w:rFonts w:ascii="Times New Roman" w:hAnsi="Times New Roman" w:eastAsia="Times New Roman" w:cs="Times New Roman"/>
          <w:sz w:val="20"/>
          <w:szCs w:val="20"/>
        </w:rPr>
        <w:t>causation</w:t>
      </w:r>
      <w:r>
        <w:rPr>
          <w:rFonts w:ascii="Times New Roman" w:hAnsi="Times New Roman" w:eastAsia="Times New Roman" w:cs="Times New Roman"/>
          <w:spacing w:val="12"/>
          <w:sz w:val="20"/>
          <w:szCs w:val="20"/>
        </w:rPr>
        <w:t>)</w:t>
      </w:r>
      <w:r>
        <w:rPr>
          <w:rFonts w:ascii="宋体" w:hAnsi="宋体" w:eastAsia="宋体" w:cs="宋体"/>
          <w:spacing w:val="11"/>
          <w:sz w:val="20"/>
          <w:szCs w:val="20"/>
        </w:rPr>
        <w:t>(图8-3)。该模型的中心仍是人</w:t>
      </w:r>
      <w:r>
        <w:rPr>
          <w:rFonts w:ascii="宋体" w:hAnsi="宋体" w:eastAsia="宋体" w:cs="宋体"/>
          <w:sz w:val="20"/>
          <w:szCs w:val="20"/>
        </w:rPr>
        <w:t xml:space="preserve"> </w:t>
      </w:r>
      <w:r>
        <w:rPr>
          <w:rFonts w:ascii="宋体" w:hAnsi="宋体" w:eastAsia="宋体" w:cs="宋体"/>
          <w:spacing w:val="5"/>
          <w:sz w:val="20"/>
          <w:szCs w:val="20"/>
        </w:rPr>
        <w:t>体，包括一个人的性别、年龄、遗传等特征，然后将其他病因归类，并分成不同的层次，每层又包含</w:t>
      </w:r>
      <w:r>
        <w:rPr>
          <w:rFonts w:ascii="宋体" w:hAnsi="宋体" w:eastAsia="宋体" w:cs="宋体"/>
          <w:spacing w:val="8"/>
          <w:sz w:val="20"/>
          <w:szCs w:val="20"/>
        </w:rPr>
        <w:t xml:space="preserve"> </w:t>
      </w:r>
      <w:r>
        <w:rPr>
          <w:rFonts w:ascii="宋体" w:hAnsi="宋体" w:eastAsia="宋体" w:cs="宋体"/>
          <w:spacing w:val="15"/>
          <w:sz w:val="20"/>
          <w:szCs w:val="20"/>
        </w:rPr>
        <w:t>很多相关但不同的因素，并强调各种因素的相互作用对健康的影响。该模型具有早期疾病</w:t>
      </w:r>
      <w:r>
        <w:rPr>
          <w:rFonts w:ascii="宋体" w:hAnsi="宋体" w:eastAsia="宋体" w:cs="宋体"/>
          <w:spacing w:val="14"/>
          <w:sz w:val="20"/>
          <w:szCs w:val="20"/>
        </w:rPr>
        <w:t>轮状模</w:t>
      </w:r>
      <w:r>
        <w:rPr>
          <w:rFonts w:ascii="宋体" w:hAnsi="宋体" w:eastAsia="宋体" w:cs="宋体"/>
          <w:sz w:val="20"/>
          <w:szCs w:val="20"/>
        </w:rPr>
        <w:t xml:space="preserve"> </w:t>
      </w:r>
      <w:r>
        <w:rPr>
          <w:rFonts w:ascii="宋体" w:hAnsi="宋体" w:eastAsia="宋体" w:cs="宋体"/>
          <w:spacing w:val="15"/>
          <w:sz w:val="20"/>
          <w:szCs w:val="20"/>
        </w:rPr>
        <w:t>型的基本特征，但是健康决定因素的生态模型还意味着那些可影响健康但不影响发病的因</w:t>
      </w:r>
      <w:r>
        <w:rPr>
          <w:rFonts w:ascii="宋体" w:hAnsi="宋体" w:eastAsia="宋体" w:cs="宋体"/>
          <w:spacing w:val="14"/>
          <w:sz w:val="20"/>
          <w:szCs w:val="20"/>
        </w:rPr>
        <w:t>素也可</w:t>
      </w:r>
      <w:r>
        <w:rPr>
          <w:rFonts w:ascii="宋体" w:hAnsi="宋体" w:eastAsia="宋体" w:cs="宋体"/>
          <w:sz w:val="20"/>
          <w:szCs w:val="20"/>
        </w:rPr>
        <w:t xml:space="preserve"> </w:t>
      </w:r>
      <w:r>
        <w:rPr>
          <w:rFonts w:ascii="宋体" w:hAnsi="宋体" w:eastAsia="宋体" w:cs="宋体"/>
          <w:spacing w:val="1"/>
          <w:sz w:val="20"/>
          <w:szCs w:val="20"/>
        </w:rPr>
        <w:t>以被利用，进一步拓宽了“病因”的范围和领域。</w:t>
      </w:r>
    </w:p>
    <w:p w14:paraId="3B3AA55C">
      <w:pPr>
        <w:spacing w:before="5" w:line="337" w:lineRule="auto"/>
        <w:ind w:right="665" w:firstLine="439"/>
        <w:jc w:val="both"/>
        <w:rPr>
          <w:rFonts w:ascii="宋体" w:hAnsi="宋体" w:eastAsia="宋体" w:cs="宋体"/>
          <w:sz w:val="20"/>
          <w:szCs w:val="20"/>
        </w:rPr>
      </w:pPr>
      <w:r>
        <w:rPr>
          <w:rFonts w:ascii="宋体" w:hAnsi="宋体" w:eastAsia="宋体" w:cs="宋体"/>
          <w:spacing w:val="10"/>
          <w:sz w:val="20"/>
          <w:szCs w:val="20"/>
        </w:rPr>
        <w:t>该模型认为，个体特征是疾病发生的根本。例如，女性易患乳腺癌，</w:t>
      </w:r>
      <w:r>
        <w:rPr>
          <w:rFonts w:ascii="宋体" w:hAnsi="宋体" w:eastAsia="宋体" w:cs="宋体"/>
          <w:spacing w:val="9"/>
          <w:sz w:val="20"/>
          <w:szCs w:val="20"/>
        </w:rPr>
        <w:t>具有某些遗传特征的人易</w:t>
      </w:r>
      <w:r>
        <w:rPr>
          <w:rFonts w:ascii="宋体" w:hAnsi="宋体" w:eastAsia="宋体" w:cs="宋体"/>
          <w:sz w:val="20"/>
          <w:szCs w:val="20"/>
        </w:rPr>
        <w:t xml:space="preserve"> </w:t>
      </w:r>
      <w:r>
        <w:rPr>
          <w:rFonts w:ascii="宋体" w:hAnsi="宋体" w:eastAsia="宋体" w:cs="宋体"/>
          <w:spacing w:val="10"/>
          <w:sz w:val="20"/>
          <w:szCs w:val="20"/>
        </w:rPr>
        <w:t>患某种遗传性疾病。生物环境因素如细菌、病毒及其他微生物等是传染病的重要因素。从物</w:t>
      </w:r>
      <w:r>
        <w:rPr>
          <w:rFonts w:ascii="宋体" w:hAnsi="宋体" w:eastAsia="宋体" w:cs="宋体"/>
          <w:spacing w:val="9"/>
          <w:sz w:val="20"/>
          <w:szCs w:val="20"/>
        </w:rPr>
        <w:t>理、化</w:t>
      </w:r>
      <w:r>
        <w:rPr>
          <w:rFonts w:ascii="宋体" w:hAnsi="宋体" w:eastAsia="宋体" w:cs="宋体"/>
          <w:sz w:val="20"/>
          <w:szCs w:val="20"/>
        </w:rPr>
        <w:t xml:space="preserve"> </w:t>
      </w:r>
      <w:r>
        <w:rPr>
          <w:rFonts w:ascii="宋体" w:hAnsi="宋体" w:eastAsia="宋体" w:cs="宋体"/>
          <w:spacing w:val="1"/>
          <w:sz w:val="20"/>
          <w:szCs w:val="20"/>
        </w:rPr>
        <w:t>学环境角度看，营养素、天然有毒动植物、微量元素、水质、大气</w:t>
      </w:r>
      <w:r>
        <w:rPr>
          <w:rFonts w:ascii="宋体" w:hAnsi="宋体" w:eastAsia="宋体" w:cs="宋体"/>
          <w:sz w:val="20"/>
          <w:szCs w:val="20"/>
        </w:rPr>
        <w:t xml:space="preserve">污染、电离辐射、噪声等都与健康有 </w:t>
      </w:r>
      <w:r>
        <w:rPr>
          <w:rFonts w:ascii="宋体" w:hAnsi="宋体" w:eastAsia="宋体" w:cs="宋体"/>
          <w:spacing w:val="5"/>
          <w:sz w:val="20"/>
          <w:szCs w:val="20"/>
        </w:rPr>
        <w:t>关。从社会环境角度看，社会制度、经济、家庭、医疗服务体系、文化等都会影响健康和疾病的发生</w:t>
      </w:r>
      <w:r>
        <w:rPr>
          <w:rFonts w:ascii="宋体" w:hAnsi="宋体" w:eastAsia="宋体" w:cs="宋体"/>
          <w:spacing w:val="7"/>
          <w:sz w:val="20"/>
          <w:szCs w:val="20"/>
        </w:rPr>
        <w:t xml:space="preserve"> </w:t>
      </w:r>
      <w:r>
        <w:rPr>
          <w:rFonts w:ascii="宋体" w:hAnsi="宋体" w:eastAsia="宋体" w:cs="宋体"/>
          <w:spacing w:val="6"/>
          <w:sz w:val="20"/>
          <w:szCs w:val="20"/>
        </w:rPr>
        <w:t>和流行。而且这些因素相互影响、相互作用，共同决定人群的健康水平。</w:t>
      </w:r>
    </w:p>
    <w:p w14:paraId="660958CB">
      <w:pPr>
        <w:spacing w:before="2" w:line="351" w:lineRule="auto"/>
        <w:ind w:right="586" w:firstLine="439"/>
        <w:jc w:val="both"/>
        <w:rPr>
          <w:rFonts w:ascii="宋体" w:hAnsi="宋体" w:eastAsia="宋体" w:cs="宋体"/>
          <w:sz w:val="20"/>
          <w:szCs w:val="20"/>
        </w:rPr>
      </w:pPr>
      <w:r>
        <w:rPr>
          <w:rFonts w:ascii="宋体" w:hAnsi="宋体" w:eastAsia="宋体" w:cs="宋体"/>
          <w:spacing w:val="12"/>
          <w:sz w:val="20"/>
          <w:szCs w:val="20"/>
        </w:rPr>
        <w:t>该模型也表明了直接和间接病因的存在。直接病因和间接病因</w:t>
      </w:r>
      <w:r>
        <w:rPr>
          <w:rFonts w:ascii="宋体" w:hAnsi="宋体" w:eastAsia="宋体" w:cs="宋体"/>
          <w:spacing w:val="11"/>
          <w:sz w:val="20"/>
          <w:szCs w:val="20"/>
        </w:rPr>
        <w:t>只是相对疾病的“远近”而言。</w:t>
      </w:r>
      <w:r>
        <w:rPr>
          <w:rFonts w:ascii="宋体" w:hAnsi="宋体" w:eastAsia="宋体" w:cs="宋体"/>
          <w:sz w:val="20"/>
          <w:szCs w:val="20"/>
        </w:rPr>
        <w:t xml:space="preserve"> </w:t>
      </w:r>
      <w:r>
        <w:rPr>
          <w:rFonts w:ascii="宋体" w:hAnsi="宋体" w:eastAsia="宋体" w:cs="宋体"/>
          <w:spacing w:val="10"/>
          <w:sz w:val="20"/>
          <w:szCs w:val="20"/>
        </w:rPr>
        <w:t>例如，经济发展使人类有了更多的肉类食品，喜欢食用肉类食品会导致摄人过多的胆固醇，</w:t>
      </w:r>
      <w:r>
        <w:rPr>
          <w:rFonts w:ascii="宋体" w:hAnsi="宋体" w:eastAsia="宋体" w:cs="宋体"/>
          <w:spacing w:val="9"/>
          <w:sz w:val="20"/>
          <w:szCs w:val="20"/>
        </w:rPr>
        <w:t>胆固醇</w:t>
      </w:r>
      <w:r>
        <w:rPr>
          <w:rFonts w:ascii="宋体" w:hAnsi="宋体" w:eastAsia="宋体" w:cs="宋体"/>
          <w:sz w:val="20"/>
          <w:szCs w:val="20"/>
        </w:rPr>
        <w:t xml:space="preserve">  </w:t>
      </w:r>
      <w:r>
        <w:rPr>
          <w:rFonts w:ascii="宋体" w:hAnsi="宋体" w:eastAsia="宋体" w:cs="宋体"/>
          <w:spacing w:val="10"/>
          <w:sz w:val="20"/>
          <w:szCs w:val="20"/>
        </w:rPr>
        <w:t>会引起血管斑块形成，血管斑块可以引起血管狭窄甚至堵塞，血管狭窄和堵塞可以引起冠心病</w:t>
      </w:r>
      <w:r>
        <w:rPr>
          <w:rFonts w:ascii="宋体" w:hAnsi="宋体" w:eastAsia="宋体" w:cs="宋体"/>
          <w:spacing w:val="9"/>
          <w:sz w:val="20"/>
          <w:szCs w:val="20"/>
        </w:rPr>
        <w:t>，冠</w:t>
      </w:r>
    </w:p>
    <w:p w14:paraId="30828E52">
      <w:pPr>
        <w:spacing w:line="351" w:lineRule="auto"/>
        <w:rPr>
          <w:rFonts w:ascii="宋体" w:hAnsi="宋体" w:eastAsia="宋体" w:cs="宋体"/>
          <w:sz w:val="20"/>
          <w:szCs w:val="20"/>
        </w:rPr>
        <w:sectPr>
          <w:footerReference r:id="rId162" w:type="default"/>
          <w:pgSz w:w="11900" w:h="16820"/>
          <w:pgMar w:top="400" w:right="803" w:bottom="827" w:left="1390" w:header="0" w:footer="646" w:gutter="0"/>
          <w:cols w:space="720" w:num="1"/>
        </w:sectPr>
      </w:pPr>
    </w:p>
    <w:p w14:paraId="3C9EFC44">
      <w:pPr>
        <w:pStyle w:val="2"/>
        <w:spacing w:before="206" w:line="221" w:lineRule="auto"/>
        <w:ind w:left="720"/>
        <w:rPr>
          <w:sz w:val="20"/>
          <w:szCs w:val="20"/>
        </w:rPr>
      </w:pPr>
      <w:bookmarkStart w:id="233" w:name="bookmark481"/>
      <w:bookmarkEnd w:id="233"/>
      <w:r>
        <w:rPr>
          <w:spacing w:val="-20"/>
          <w:w w:val="94"/>
          <w:sz w:val="20"/>
          <w:szCs w:val="20"/>
        </w:rPr>
        <w:t>第八章 病因及其发现和推断</w:t>
      </w:r>
    </w:p>
    <w:p w14:paraId="1B3414E0">
      <w:pPr>
        <w:spacing w:before="53"/>
      </w:pPr>
    </w:p>
    <w:p w14:paraId="619F6FDF">
      <w:pPr>
        <w:spacing w:before="53"/>
      </w:pPr>
    </w:p>
    <w:p w14:paraId="2765ECD7">
      <w:pPr>
        <w:spacing w:before="53"/>
      </w:pPr>
    </w:p>
    <w:p w14:paraId="2BAA17E5">
      <w:pPr>
        <w:spacing w:before="53"/>
      </w:pPr>
    </w:p>
    <w:p w14:paraId="004A5B5E">
      <w:pPr>
        <w:sectPr>
          <w:footerReference r:id="rId163" w:type="default"/>
          <w:pgSz w:w="11900" w:h="16820"/>
          <w:pgMar w:top="400" w:right="1652" w:bottom="821" w:left="969" w:header="0" w:footer="560" w:gutter="0"/>
          <w:cols w:equalWidth="0" w:num="1">
            <w:col w:w="9279"/>
          </w:cols>
        </w:sectPr>
      </w:pPr>
    </w:p>
    <w:p w14:paraId="278FFE2D">
      <w:pPr>
        <w:spacing w:line="251" w:lineRule="auto"/>
        <w:rPr>
          <w:rFonts w:ascii="Arial"/>
          <w:sz w:val="21"/>
        </w:rPr>
      </w:pPr>
    </w:p>
    <w:p w14:paraId="02E78387">
      <w:pPr>
        <w:spacing w:line="252" w:lineRule="auto"/>
        <w:rPr>
          <w:rFonts w:ascii="Arial"/>
          <w:sz w:val="21"/>
        </w:rPr>
      </w:pPr>
    </w:p>
    <w:p w14:paraId="0D1B6119">
      <w:pPr>
        <w:spacing w:line="229" w:lineRule="exact"/>
        <w:ind w:firstLine="3210"/>
      </w:pPr>
      <w:r>
        <mc:AlternateContent>
          <mc:Choice Requires="wps">
            <w:drawing>
              <wp:anchor distT="0" distB="0" distL="0" distR="0" simplePos="0" relativeHeight="251827200" behindDoc="0" locked="0" layoutInCell="1" allowOverlap="1">
                <wp:simplePos x="0" y="0"/>
                <wp:positionH relativeFrom="column">
                  <wp:posOffset>1370330</wp:posOffset>
                </wp:positionH>
                <wp:positionV relativeFrom="paragraph">
                  <wp:posOffset>951865</wp:posOffset>
                </wp:positionV>
                <wp:extent cx="1029335" cy="407035"/>
                <wp:effectExtent l="0" t="0" r="0" b="0"/>
                <wp:wrapNone/>
                <wp:docPr id="518" name="TextBox 518"/>
                <wp:cNvGraphicFramePr/>
                <a:graphic xmlns:a="http://schemas.openxmlformats.org/drawingml/2006/main">
                  <a:graphicData uri="http://schemas.microsoft.com/office/word/2010/wordprocessingShape">
                    <wps:wsp>
                      <wps:cNvSpPr txBox="1"/>
                      <wps:spPr>
                        <a:xfrm rot="16200000">
                          <a:off x="1370834" y="952362"/>
                          <a:ext cx="1029335" cy="407034"/>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32E3C908">
                            <w:pPr>
                              <w:spacing w:before="93" w:line="527" w:lineRule="exact"/>
                              <w:jc w:val="right"/>
                              <w:rPr>
                                <w:rFonts w:ascii="宋体" w:hAnsi="宋体" w:eastAsia="宋体" w:cs="宋体"/>
                                <w:sz w:val="39"/>
                                <w:szCs w:val="39"/>
                              </w:rPr>
                            </w:pPr>
                            <w:r>
                              <w:rPr>
                                <w:rFonts w:ascii="宋体" w:hAnsi="宋体" w:eastAsia="宋体" w:cs="宋体"/>
                                <w:spacing w:val="-8"/>
                                <w:w w:val="34"/>
                                <w:position w:val="2"/>
                                <w:sz w:val="27"/>
                                <w:szCs w:val="27"/>
                              </w:rPr>
                              <w:t>食品加工</w:t>
                            </w:r>
                            <w:r>
                              <w:rPr>
                                <w:rFonts w:ascii="宋体" w:hAnsi="宋体" w:eastAsia="宋体" w:cs="宋体"/>
                                <w:spacing w:val="-8"/>
                                <w:w w:val="34"/>
                                <w:position w:val="2"/>
                                <w:sz w:val="24"/>
                                <w:szCs w:val="24"/>
                              </w:rPr>
                              <w:t>农业及</w:t>
                            </w:r>
                            <w:r>
                              <w:rPr>
                                <w:rFonts w:ascii="宋体" w:hAnsi="宋体" w:eastAsia="宋体" w:cs="宋体"/>
                                <w:spacing w:val="10"/>
                                <w:position w:val="2"/>
                                <w:sz w:val="24"/>
                                <w:szCs w:val="24"/>
                              </w:rPr>
                              <w:t xml:space="preserve">     </w:t>
                            </w:r>
                            <w:r>
                              <w:rPr>
                                <w:rFonts w:ascii="宋体" w:hAnsi="宋体" w:eastAsia="宋体" w:cs="宋体"/>
                                <w:spacing w:val="2"/>
                                <w:position w:val="2"/>
                                <w:sz w:val="39"/>
                                <w:szCs w:val="39"/>
                              </w:rPr>
                              <w:t>水</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518" o:spid="_x0000_s1026" o:spt="202" type="#_x0000_t202" style="position:absolute;left:0pt;margin-left:107.9pt;margin-top:74.95pt;height:32.05pt;width:81.05pt;rotation:-5898240f;z-index:251827200;mso-width-relative:page;mso-height-relative:page;" filled="f" stroked="f" coordsize="21600,21600" o:gfxdata="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Shy4oNkAAAALAQAA&#10;DwAAAAAAAAABACAAAAAiAAAAZHJzL2Rvd25yZXYueG1sUEsBAhQAFAAAAAgAh07iQO/kczhRAgAA&#10;pQQAAA4AAAAAAAAAAQAgAAAAKAEAAGRycy9lMm9Eb2MueG1sUEsFBgAAAAAGAAYAWQEAAOsFAAAA&#10;AA==&#10;">
                <v:fill on="f" focussize="0,0"/>
                <v:stroke on="f" weight="0pt" miterlimit="0" joinstyle="miter"/>
                <v:imagedata o:title=""/>
                <o:lock v:ext="edit" aspectratio="f"/>
                <v:textbox inset="0mm,0mm,0mm,0mm">
                  <w:txbxContent>
                    <w:p w14:paraId="32E3C908">
                      <w:pPr>
                        <w:spacing w:before="93" w:line="527" w:lineRule="exact"/>
                        <w:jc w:val="right"/>
                        <w:rPr>
                          <w:rFonts w:ascii="宋体" w:hAnsi="宋体" w:eastAsia="宋体" w:cs="宋体"/>
                          <w:sz w:val="39"/>
                          <w:szCs w:val="39"/>
                        </w:rPr>
                      </w:pPr>
                      <w:r>
                        <w:rPr>
                          <w:rFonts w:ascii="宋体" w:hAnsi="宋体" w:eastAsia="宋体" w:cs="宋体"/>
                          <w:spacing w:val="-8"/>
                          <w:w w:val="34"/>
                          <w:position w:val="2"/>
                          <w:sz w:val="27"/>
                          <w:szCs w:val="27"/>
                        </w:rPr>
                        <w:t>食品加工</w:t>
                      </w:r>
                      <w:r>
                        <w:rPr>
                          <w:rFonts w:ascii="宋体" w:hAnsi="宋体" w:eastAsia="宋体" w:cs="宋体"/>
                          <w:spacing w:val="-8"/>
                          <w:w w:val="34"/>
                          <w:position w:val="2"/>
                          <w:sz w:val="24"/>
                          <w:szCs w:val="24"/>
                        </w:rPr>
                        <w:t>农业及</w:t>
                      </w:r>
                      <w:r>
                        <w:rPr>
                          <w:rFonts w:ascii="宋体" w:hAnsi="宋体" w:eastAsia="宋体" w:cs="宋体"/>
                          <w:spacing w:val="10"/>
                          <w:position w:val="2"/>
                          <w:sz w:val="24"/>
                          <w:szCs w:val="24"/>
                        </w:rPr>
                        <w:t xml:space="preserve">     </w:t>
                      </w:r>
                      <w:r>
                        <w:rPr>
                          <w:rFonts w:ascii="宋体" w:hAnsi="宋体" w:eastAsia="宋体" w:cs="宋体"/>
                          <w:spacing w:val="2"/>
                          <w:position w:val="2"/>
                          <w:sz w:val="39"/>
                          <w:szCs w:val="39"/>
                        </w:rPr>
                        <w:t>水</w:t>
                      </w:r>
                    </w:p>
                  </w:txbxContent>
                </v:textbox>
              </v:shape>
            </w:pict>
          </mc:Fallback>
        </mc:AlternateContent>
      </w:r>
      <w:r>
        <w:rPr>
          <w:position w:val="-4"/>
        </w:rPr>
        <w:drawing>
          <wp:inline distT="0" distB="0" distL="0" distR="0">
            <wp:extent cx="469900" cy="145415"/>
            <wp:effectExtent l="0" t="0" r="0" b="0"/>
            <wp:docPr id="520" name="IM 520"/>
            <wp:cNvGraphicFramePr/>
            <a:graphic xmlns:a="http://schemas.openxmlformats.org/drawingml/2006/main">
              <a:graphicData uri="http://schemas.openxmlformats.org/drawingml/2006/picture">
                <pic:pic xmlns:pic="http://schemas.openxmlformats.org/drawingml/2006/picture">
                  <pic:nvPicPr>
                    <pic:cNvPr id="520" name="IM 520"/>
                    <pic:cNvPicPr/>
                  </pic:nvPicPr>
                  <pic:blipFill>
                    <a:blip r:embed="rId596"/>
                    <a:stretch>
                      <a:fillRect/>
                    </a:stretch>
                  </pic:blipFill>
                  <pic:spPr>
                    <a:xfrm>
                      <a:off x="0" y="0"/>
                      <a:ext cx="469938" cy="146005"/>
                    </a:xfrm>
                    <a:prstGeom prst="rect">
                      <a:avLst/>
                    </a:prstGeom>
                  </pic:spPr>
                </pic:pic>
              </a:graphicData>
            </a:graphic>
          </wp:inline>
        </w:drawing>
      </w:r>
    </w:p>
    <w:p w14:paraId="5B024F71">
      <w:pPr>
        <w:spacing w:before="2"/>
      </w:pPr>
    </w:p>
    <w:p w14:paraId="75D40000">
      <w:pPr>
        <w:spacing w:before="2"/>
      </w:pPr>
    </w:p>
    <w:p w14:paraId="4B86DDC1">
      <w:pPr>
        <w:spacing w:before="2"/>
      </w:pPr>
    </w:p>
    <w:p w14:paraId="632A2512">
      <w:pPr>
        <w:spacing w:before="2"/>
      </w:pPr>
    </w:p>
    <w:p w14:paraId="1AA447B2">
      <w:pPr>
        <w:spacing w:before="2"/>
      </w:pPr>
    </w:p>
    <w:p w14:paraId="31E0DF20">
      <w:pPr>
        <w:spacing w:before="2"/>
      </w:pPr>
    </w:p>
    <w:p w14:paraId="6126D7E8">
      <w:pPr>
        <w:spacing w:before="2"/>
      </w:pPr>
    </w:p>
    <w:p w14:paraId="134FD126">
      <w:pPr>
        <w:spacing w:before="2"/>
      </w:pPr>
    </w:p>
    <w:p w14:paraId="3AE9CBB9">
      <w:pPr>
        <w:spacing w:before="1"/>
      </w:pPr>
    </w:p>
    <w:p w14:paraId="1C3C431F">
      <w:pPr>
        <w:spacing w:before="1"/>
      </w:pPr>
    </w:p>
    <w:p w14:paraId="5607A796">
      <w:pPr>
        <w:spacing w:line="14" w:lineRule="auto"/>
        <w:rPr>
          <w:rFonts w:ascii="Arial"/>
          <w:sz w:val="2"/>
        </w:rPr>
      </w:pPr>
      <w:r>
        <w:rPr>
          <w:rFonts w:ascii="Arial" w:hAnsi="Arial" w:eastAsia="Arial" w:cs="Arial"/>
          <w:sz w:val="2"/>
          <w:szCs w:val="2"/>
        </w:rPr>
        <w:br w:type="column"/>
      </w:r>
    </w:p>
    <w:p w14:paraId="791D3359">
      <w:pPr>
        <w:spacing w:before="51" w:line="223" w:lineRule="auto"/>
        <w:rPr>
          <w:rFonts w:ascii="FangSong" w:hAnsi="FangSong" w:eastAsia="FangSong" w:cs="FangSong"/>
          <w:sz w:val="20"/>
          <w:szCs w:val="20"/>
        </w:rPr>
      </w:pPr>
      <w:r>
        <w:drawing>
          <wp:anchor distT="0" distB="0" distL="0" distR="0" simplePos="0" relativeHeight="251825152" behindDoc="1" locked="0" layoutInCell="1" allowOverlap="1">
            <wp:simplePos x="0" y="0"/>
            <wp:positionH relativeFrom="column">
              <wp:posOffset>-1263015</wp:posOffset>
            </wp:positionH>
            <wp:positionV relativeFrom="paragraph">
              <wp:posOffset>-454025</wp:posOffset>
            </wp:positionV>
            <wp:extent cx="3454400" cy="2705100"/>
            <wp:effectExtent l="0" t="0" r="0" b="0"/>
            <wp:wrapNone/>
            <wp:docPr id="522" name="IM 522"/>
            <wp:cNvGraphicFramePr/>
            <a:graphic xmlns:a="http://schemas.openxmlformats.org/drawingml/2006/main">
              <a:graphicData uri="http://schemas.openxmlformats.org/drawingml/2006/picture">
                <pic:pic xmlns:pic="http://schemas.openxmlformats.org/drawingml/2006/picture">
                  <pic:nvPicPr>
                    <pic:cNvPr id="522" name="IM 522"/>
                    <pic:cNvPicPr/>
                  </pic:nvPicPr>
                  <pic:blipFill>
                    <a:blip r:embed="rId597"/>
                    <a:stretch>
                      <a:fillRect/>
                    </a:stretch>
                  </pic:blipFill>
                  <pic:spPr>
                    <a:xfrm>
                      <a:off x="0" y="0"/>
                      <a:ext cx="3454378" cy="2705100"/>
                    </a:xfrm>
                    <a:prstGeom prst="rect">
                      <a:avLst/>
                    </a:prstGeom>
                  </pic:spPr>
                </pic:pic>
              </a:graphicData>
            </a:graphic>
          </wp:anchor>
        </w:drawing>
      </w:r>
      <w:r>
        <w:rPr>
          <w:rFonts w:ascii="FangSong" w:hAnsi="FangSong" w:eastAsia="FangSong" w:cs="FangSong"/>
          <w:position w:val="-8"/>
          <w:sz w:val="20"/>
          <w:szCs w:val="20"/>
        </w:rPr>
        <w:drawing>
          <wp:inline distT="0" distB="0" distL="0" distR="0">
            <wp:extent cx="146050" cy="100965"/>
            <wp:effectExtent l="0" t="0" r="0" b="0"/>
            <wp:docPr id="524" name="IM 524"/>
            <wp:cNvGraphicFramePr/>
            <a:graphic xmlns:a="http://schemas.openxmlformats.org/drawingml/2006/main">
              <a:graphicData uri="http://schemas.openxmlformats.org/drawingml/2006/picture">
                <pic:pic xmlns:pic="http://schemas.openxmlformats.org/drawingml/2006/picture">
                  <pic:nvPicPr>
                    <pic:cNvPr id="524" name="IM 524"/>
                    <pic:cNvPicPr/>
                  </pic:nvPicPr>
                  <pic:blipFill>
                    <a:blip r:embed="rId598"/>
                    <a:stretch>
                      <a:fillRect/>
                    </a:stretch>
                  </pic:blipFill>
                  <pic:spPr>
                    <a:xfrm>
                      <a:off x="0" y="0"/>
                      <a:ext cx="146067" cy="101573"/>
                    </a:xfrm>
                    <a:prstGeom prst="rect">
                      <a:avLst/>
                    </a:prstGeom>
                  </pic:spPr>
                </pic:pic>
              </a:graphicData>
            </a:graphic>
          </wp:inline>
        </w:drawing>
      </w:r>
      <w:r>
        <w:rPr>
          <w:rFonts w:ascii="FangSong" w:hAnsi="FangSong" w:eastAsia="FangSong" w:cs="FangSong"/>
          <w:spacing w:val="35"/>
          <w:sz w:val="20"/>
          <w:szCs w:val="20"/>
        </w:rPr>
        <w:t xml:space="preserve">  </w:t>
      </w:r>
      <w:r>
        <w:rPr>
          <w:rFonts w:ascii="FangSong" w:hAnsi="FangSong" w:eastAsia="FangSong" w:cs="FangSong"/>
          <w:spacing w:val="-12"/>
          <w:sz w:val="20"/>
          <w:szCs w:val="20"/>
        </w:rPr>
        <w:t>条件</w:t>
      </w:r>
    </w:p>
    <w:p w14:paraId="790F8FB2">
      <w:pPr>
        <w:spacing w:line="280" w:lineRule="auto"/>
        <w:rPr>
          <w:rFonts w:ascii="Arial"/>
          <w:sz w:val="21"/>
        </w:rPr>
      </w:pPr>
    </w:p>
    <w:p w14:paraId="1423FDB9">
      <w:pPr>
        <w:spacing w:before="65" w:line="298" w:lineRule="auto"/>
        <w:ind w:left="229" w:right="242" w:hanging="89"/>
        <w:rPr>
          <w:rFonts w:ascii="宋体" w:hAnsi="宋体" w:eastAsia="宋体" w:cs="宋体"/>
          <w:sz w:val="20"/>
          <w:szCs w:val="20"/>
        </w:rPr>
      </w:pPr>
      <w:r>
        <w:rPr>
          <w:rFonts w:ascii="宋体" w:hAnsi="宋体" w:eastAsia="宋体" w:cs="宋体"/>
          <w:spacing w:val="-39"/>
          <w:sz w:val="20"/>
          <w:szCs w:val="20"/>
        </w:rPr>
        <w:t>社会·社区网络</w:t>
      </w:r>
      <w:r>
        <w:rPr>
          <w:rFonts w:ascii="宋体" w:hAnsi="宋体" w:eastAsia="宋体" w:cs="宋体"/>
          <w:sz w:val="20"/>
          <w:szCs w:val="20"/>
        </w:rPr>
        <w:t xml:space="preserve"> </w:t>
      </w:r>
      <w:r>
        <w:rPr>
          <w:rFonts w:ascii="宋体" w:hAnsi="宋体" w:eastAsia="宋体" w:cs="宋体"/>
          <w:spacing w:val="-14"/>
          <w:w w:val="90"/>
          <w:sz w:val="20"/>
          <w:szCs w:val="20"/>
        </w:rPr>
        <w:t>个人生活方式</w:t>
      </w:r>
    </w:p>
    <w:p w14:paraId="5913B2BB">
      <w:pPr>
        <w:spacing w:line="250" w:lineRule="auto"/>
        <w:rPr>
          <w:rFonts w:ascii="Arial"/>
          <w:sz w:val="21"/>
        </w:rPr>
      </w:pPr>
    </w:p>
    <w:p w14:paraId="1ED510C6">
      <w:pPr>
        <w:spacing w:line="250" w:lineRule="auto"/>
        <w:rPr>
          <w:rFonts w:ascii="Arial"/>
          <w:sz w:val="21"/>
        </w:rPr>
      </w:pPr>
    </w:p>
    <w:p w14:paraId="1CF79CFC">
      <w:pPr>
        <w:spacing w:line="250" w:lineRule="auto"/>
        <w:rPr>
          <w:rFonts w:ascii="Arial"/>
          <w:sz w:val="21"/>
        </w:rPr>
      </w:pPr>
    </w:p>
    <w:p w14:paraId="7153BD2A">
      <w:pPr>
        <w:spacing w:line="251" w:lineRule="auto"/>
        <w:rPr>
          <w:rFonts w:ascii="Arial"/>
          <w:sz w:val="21"/>
        </w:rPr>
      </w:pPr>
    </w:p>
    <w:p w14:paraId="10034EF6">
      <w:pPr>
        <w:spacing w:line="251" w:lineRule="auto"/>
        <w:rPr>
          <w:rFonts w:ascii="Arial"/>
          <w:sz w:val="21"/>
        </w:rPr>
      </w:pPr>
    </w:p>
    <w:p w14:paraId="22F88927">
      <w:pPr>
        <w:spacing w:before="65" w:line="219" w:lineRule="auto"/>
        <w:ind w:left="230"/>
        <w:rPr>
          <w:rFonts w:ascii="宋体" w:hAnsi="宋体" w:eastAsia="宋体" w:cs="宋体"/>
          <w:sz w:val="20"/>
          <w:szCs w:val="20"/>
        </w:rPr>
      </w:pPr>
      <w:r>
        <w:rPr>
          <w:rFonts w:ascii="宋体" w:hAnsi="宋体" w:eastAsia="宋体" w:cs="宋体"/>
          <w:spacing w:val="-19"/>
          <w:w w:val="93"/>
          <w:sz w:val="20"/>
          <w:szCs w:val="20"/>
        </w:rPr>
        <w:t>年龄、性别和</w:t>
      </w:r>
    </w:p>
    <w:p w14:paraId="361873ED">
      <w:pPr>
        <w:spacing w:line="14" w:lineRule="auto"/>
        <w:rPr>
          <w:rFonts w:ascii="Arial"/>
          <w:sz w:val="2"/>
        </w:rPr>
      </w:pPr>
      <w:r>
        <w:rPr>
          <w:rFonts w:ascii="Arial" w:hAnsi="Arial" w:eastAsia="Arial" w:cs="Arial"/>
          <w:sz w:val="2"/>
          <w:szCs w:val="2"/>
        </w:rPr>
        <w:br w:type="column"/>
      </w:r>
    </w:p>
    <w:p w14:paraId="7809F6E5">
      <w:pPr>
        <w:spacing w:line="362" w:lineRule="auto"/>
        <w:rPr>
          <w:rFonts w:ascii="Arial"/>
          <w:sz w:val="21"/>
        </w:rPr>
      </w:pPr>
    </w:p>
    <w:p w14:paraId="174400CE">
      <w:pPr>
        <w:spacing w:line="440" w:lineRule="exact"/>
      </w:pPr>
      <w:r>
        <mc:AlternateContent>
          <mc:Choice Requires="wps">
            <w:drawing>
              <wp:anchor distT="0" distB="0" distL="0" distR="0" simplePos="0" relativeHeight="251828224" behindDoc="0" locked="0" layoutInCell="1" allowOverlap="1">
                <wp:simplePos x="0" y="0"/>
                <wp:positionH relativeFrom="column">
                  <wp:posOffset>459105</wp:posOffset>
                </wp:positionH>
                <wp:positionV relativeFrom="paragraph">
                  <wp:posOffset>897890</wp:posOffset>
                </wp:positionV>
                <wp:extent cx="475615" cy="305435"/>
                <wp:effectExtent l="0" t="0" r="0" b="0"/>
                <wp:wrapNone/>
                <wp:docPr id="526" name="TextBox 526"/>
                <wp:cNvGraphicFramePr/>
                <a:graphic xmlns:a="http://schemas.openxmlformats.org/drawingml/2006/main">
                  <a:graphicData uri="http://schemas.microsoft.com/office/word/2010/wordprocessingShape">
                    <wps:wsp>
                      <wps:cNvSpPr txBox="1"/>
                      <wps:spPr>
                        <a:xfrm rot="5400000">
                          <a:off x="459144" y="898108"/>
                          <a:ext cx="475615" cy="305434"/>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3742C60F">
                            <w:pPr>
                              <w:spacing w:before="81" w:line="219" w:lineRule="auto"/>
                              <w:jc w:val="right"/>
                              <w:rPr>
                                <w:rFonts w:ascii="宋体" w:hAnsi="宋体" w:eastAsia="宋体" w:cs="宋体"/>
                                <w:sz w:val="32"/>
                                <w:szCs w:val="32"/>
                              </w:rPr>
                            </w:pPr>
                            <w:r>
                              <w:rPr>
                                <w:rFonts w:ascii="宋体" w:hAnsi="宋体" w:eastAsia="宋体" w:cs="宋体"/>
                                <w:spacing w:val="-18"/>
                                <w:w w:val="60"/>
                                <w:sz w:val="32"/>
                                <w:szCs w:val="32"/>
                              </w:rPr>
                              <w:t>医疗</w:t>
                            </w:r>
                            <w:r>
                              <w:rPr>
                                <w:rFonts w:ascii="宋体" w:hAnsi="宋体" w:eastAsia="宋体" w:cs="宋体"/>
                                <w:spacing w:val="-17"/>
                                <w:w w:val="60"/>
                                <w:sz w:val="32"/>
                                <w:szCs w:val="32"/>
                              </w:rPr>
                              <w:t>服</w:t>
                            </w:r>
                            <w:r>
                              <w:rPr>
                                <w:rFonts w:ascii="宋体" w:hAnsi="宋体" w:eastAsia="宋体" w:cs="宋体"/>
                                <w:spacing w:val="-15"/>
                                <w:w w:val="60"/>
                                <w:sz w:val="32"/>
                                <w:szCs w:val="32"/>
                              </w:rPr>
                              <w:t>务</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526" o:spid="_x0000_s1026" o:spt="202" type="#_x0000_t202" style="position:absolute;left:0pt;margin-left:36.15pt;margin-top:70.7pt;height:24.05pt;width:37.45pt;rotation:5898240f;z-index:251828224;mso-width-relative:page;mso-height-relative:page;" filled="f" stroked="f" coordsize="21600,21600" o:gfxdata="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JzuBXzYAAAACgEAAA8A&#10;AAAAAAAAAQAgAAAAIgAAAGRycy9kb3ducmV2LnhtbFBLAQIUABQAAAAIAIdO4kCJjsayUAIAAKIE&#10;AAAOAAAAAAAAAAEAIAAAACcBAABkcnMvZTJvRG9jLnhtbFBLBQYAAAAABgAGAFkBAADpBQAAAAA=&#10;">
                <v:fill on="f" focussize="0,0"/>
                <v:stroke on="f" weight="0pt" miterlimit="0" joinstyle="miter"/>
                <v:imagedata o:title=""/>
                <o:lock v:ext="edit" aspectratio="f"/>
                <v:textbox inset="0mm,0mm,0mm,0mm">
                  <w:txbxContent>
                    <w:p w14:paraId="3742C60F">
                      <w:pPr>
                        <w:spacing w:before="81" w:line="219" w:lineRule="auto"/>
                        <w:jc w:val="right"/>
                        <w:rPr>
                          <w:rFonts w:ascii="宋体" w:hAnsi="宋体" w:eastAsia="宋体" w:cs="宋体"/>
                          <w:sz w:val="32"/>
                          <w:szCs w:val="32"/>
                        </w:rPr>
                      </w:pPr>
                      <w:r>
                        <w:rPr>
                          <w:rFonts w:ascii="宋体" w:hAnsi="宋体" w:eastAsia="宋体" w:cs="宋体"/>
                          <w:spacing w:val="-18"/>
                          <w:w w:val="60"/>
                          <w:sz w:val="32"/>
                          <w:szCs w:val="32"/>
                        </w:rPr>
                        <w:t>医疗</w:t>
                      </w:r>
                      <w:r>
                        <w:rPr>
                          <w:rFonts w:ascii="宋体" w:hAnsi="宋体" w:eastAsia="宋体" w:cs="宋体"/>
                          <w:spacing w:val="-17"/>
                          <w:w w:val="60"/>
                          <w:sz w:val="32"/>
                          <w:szCs w:val="32"/>
                        </w:rPr>
                        <w:t>服</w:t>
                      </w:r>
                      <w:r>
                        <w:rPr>
                          <w:rFonts w:ascii="宋体" w:hAnsi="宋体" w:eastAsia="宋体" w:cs="宋体"/>
                          <w:spacing w:val="-15"/>
                          <w:w w:val="60"/>
                          <w:sz w:val="32"/>
                          <w:szCs w:val="32"/>
                        </w:rPr>
                        <w:t>务</w:t>
                      </w:r>
                    </w:p>
                  </w:txbxContent>
                </v:textbox>
              </v:shape>
            </w:pict>
          </mc:Fallback>
        </mc:AlternateContent>
      </w:r>
      <w:r>
        <mc:AlternateContent>
          <mc:Choice Requires="wps">
            <w:drawing>
              <wp:anchor distT="0" distB="0" distL="0" distR="0" simplePos="0" relativeHeight="251829248" behindDoc="0" locked="0" layoutInCell="1" allowOverlap="1">
                <wp:simplePos x="0" y="0"/>
                <wp:positionH relativeFrom="column">
                  <wp:posOffset>212090</wp:posOffset>
                </wp:positionH>
                <wp:positionV relativeFrom="paragraph">
                  <wp:posOffset>443865</wp:posOffset>
                </wp:positionV>
                <wp:extent cx="468630" cy="165735"/>
                <wp:effectExtent l="0" t="0" r="0" b="0"/>
                <wp:wrapNone/>
                <wp:docPr id="528" name="TextBox 528"/>
                <wp:cNvGraphicFramePr/>
                <a:graphic xmlns:a="http://schemas.openxmlformats.org/drawingml/2006/main">
                  <a:graphicData uri="http://schemas.microsoft.com/office/word/2010/wordprocessingShape">
                    <wps:wsp>
                      <wps:cNvSpPr txBox="1"/>
                      <wps:spPr>
                        <a:xfrm rot="5400000">
                          <a:off x="212677" y="443866"/>
                          <a:ext cx="468630" cy="165735"/>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4DDECFE4">
                            <w:pPr>
                              <w:spacing w:before="50" w:line="219" w:lineRule="auto"/>
                              <w:ind w:left="20"/>
                              <w:rPr>
                                <w:rFonts w:ascii="宋体" w:hAnsi="宋体" w:eastAsia="宋体" w:cs="宋体"/>
                                <w:sz w:val="16"/>
                                <w:szCs w:val="16"/>
                              </w:rPr>
                            </w:pPr>
                            <w:r>
                              <w:rPr>
                                <w:rFonts w:ascii="宋体" w:hAnsi="宋体" w:eastAsia="宋体" w:cs="宋体"/>
                                <w:spacing w:val="-14"/>
                                <w:sz w:val="16"/>
                                <w:szCs w:val="16"/>
                              </w:rPr>
                              <w:t>水</w:t>
                            </w:r>
                            <w:r>
                              <w:rPr>
                                <w:rFonts w:ascii="宋体" w:hAnsi="宋体" w:eastAsia="宋体" w:cs="宋体"/>
                                <w:spacing w:val="3"/>
                                <w:sz w:val="16"/>
                                <w:szCs w:val="16"/>
                              </w:rPr>
                              <w:t xml:space="preserve"> </w:t>
                            </w:r>
                            <w:r>
                              <w:rPr>
                                <w:rFonts w:ascii="宋体" w:hAnsi="宋体" w:eastAsia="宋体" w:cs="宋体"/>
                                <w:spacing w:val="-14"/>
                                <w:sz w:val="16"/>
                                <w:szCs w:val="16"/>
                              </w:rPr>
                              <w:t>·</w:t>
                            </w:r>
                            <w:r>
                              <w:rPr>
                                <w:rFonts w:ascii="宋体" w:hAnsi="宋体" w:eastAsia="宋体" w:cs="宋体"/>
                                <w:spacing w:val="-51"/>
                                <w:sz w:val="16"/>
                                <w:szCs w:val="16"/>
                              </w:rPr>
                              <w:t xml:space="preserve"> </w:t>
                            </w:r>
                            <w:r>
                              <w:rPr>
                                <w:rFonts w:ascii="宋体" w:hAnsi="宋体" w:eastAsia="宋体" w:cs="宋体"/>
                                <w:spacing w:val="-14"/>
                                <w:sz w:val="16"/>
                                <w:szCs w:val="16"/>
                              </w:rPr>
                              <w:t>卫生</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528" o:spid="_x0000_s1026" o:spt="202" type="#_x0000_t202" style="position:absolute;left:0pt;margin-left:16.7pt;margin-top:34.95pt;height:13.05pt;width:36.9pt;rotation:5898240f;z-index:251829248;mso-width-relative:page;mso-height-relative:page;" filled="f" stroked="f" coordsize="21600,21600" o:gfxdata="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AzBsVu1gAAAAgBAAAPAAAA&#10;AAAAAAEAIAAAACIAAABkcnMvZG93bnJldi54bWxQSwECFAAUAAAACACHTuJA4HL/VFACAACiBAAA&#10;DgAAAAAAAAABACAAAAAlAQAAZHJzL2Uyb0RvYy54bWxQSwUGAAAAAAYABgBZAQAA5wUAAAAA&#10;">
                <v:fill on="f" focussize="0,0"/>
                <v:stroke on="f" weight="0pt" miterlimit="0" joinstyle="miter"/>
                <v:imagedata o:title=""/>
                <o:lock v:ext="edit" aspectratio="f"/>
                <v:textbox inset="0mm,0mm,0mm,0mm">
                  <w:txbxContent>
                    <w:p w14:paraId="4DDECFE4">
                      <w:pPr>
                        <w:spacing w:before="50" w:line="219" w:lineRule="auto"/>
                        <w:ind w:left="20"/>
                        <w:rPr>
                          <w:rFonts w:ascii="宋体" w:hAnsi="宋体" w:eastAsia="宋体" w:cs="宋体"/>
                          <w:sz w:val="16"/>
                          <w:szCs w:val="16"/>
                        </w:rPr>
                      </w:pPr>
                      <w:r>
                        <w:rPr>
                          <w:rFonts w:ascii="宋体" w:hAnsi="宋体" w:eastAsia="宋体" w:cs="宋体"/>
                          <w:spacing w:val="-14"/>
                          <w:sz w:val="16"/>
                          <w:szCs w:val="16"/>
                        </w:rPr>
                        <w:t>水</w:t>
                      </w:r>
                      <w:r>
                        <w:rPr>
                          <w:rFonts w:ascii="宋体" w:hAnsi="宋体" w:eastAsia="宋体" w:cs="宋体"/>
                          <w:spacing w:val="3"/>
                          <w:sz w:val="16"/>
                          <w:szCs w:val="16"/>
                        </w:rPr>
                        <w:t xml:space="preserve"> </w:t>
                      </w:r>
                      <w:r>
                        <w:rPr>
                          <w:rFonts w:ascii="宋体" w:hAnsi="宋体" w:eastAsia="宋体" w:cs="宋体"/>
                          <w:spacing w:val="-14"/>
                          <w:sz w:val="16"/>
                          <w:szCs w:val="16"/>
                        </w:rPr>
                        <w:t>·</w:t>
                      </w:r>
                      <w:r>
                        <w:rPr>
                          <w:rFonts w:ascii="宋体" w:hAnsi="宋体" w:eastAsia="宋体" w:cs="宋体"/>
                          <w:spacing w:val="-51"/>
                          <w:sz w:val="16"/>
                          <w:szCs w:val="16"/>
                        </w:rPr>
                        <w:t xml:space="preserve"> </w:t>
                      </w:r>
                      <w:r>
                        <w:rPr>
                          <w:rFonts w:ascii="宋体" w:hAnsi="宋体" w:eastAsia="宋体" w:cs="宋体"/>
                          <w:spacing w:val="-14"/>
                          <w:sz w:val="16"/>
                          <w:szCs w:val="16"/>
                        </w:rPr>
                        <w:t>卫生</w:t>
                      </w:r>
                    </w:p>
                  </w:txbxContent>
                </v:textbox>
              </v:shape>
            </w:pict>
          </mc:Fallback>
        </mc:AlternateContent>
      </w:r>
      <w:r>
        <mc:AlternateContent>
          <mc:Choice Requires="wps">
            <w:drawing>
              <wp:anchor distT="0" distB="0" distL="0" distR="0" simplePos="0" relativeHeight="251830272" behindDoc="0" locked="0" layoutInCell="1" allowOverlap="1">
                <wp:simplePos x="0" y="0"/>
                <wp:positionH relativeFrom="column">
                  <wp:posOffset>509270</wp:posOffset>
                </wp:positionH>
                <wp:positionV relativeFrom="paragraph">
                  <wp:posOffset>1517650</wp:posOffset>
                </wp:positionV>
                <wp:extent cx="262890" cy="236855"/>
                <wp:effectExtent l="0" t="0" r="0" b="0"/>
                <wp:wrapNone/>
                <wp:docPr id="530" name="TextBox 530"/>
                <wp:cNvGraphicFramePr/>
                <a:graphic xmlns:a="http://schemas.openxmlformats.org/drawingml/2006/main">
                  <a:graphicData uri="http://schemas.microsoft.com/office/word/2010/wordprocessingShape">
                    <wps:wsp>
                      <wps:cNvSpPr txBox="1"/>
                      <wps:spPr>
                        <a:xfrm rot="5400000">
                          <a:off x="509864" y="1518248"/>
                          <a:ext cx="262890" cy="236854"/>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3D0302DB">
                            <w:pPr>
                              <w:spacing w:before="66" w:line="220" w:lineRule="auto"/>
                              <w:jc w:val="right"/>
                              <w:rPr>
                                <w:rFonts w:ascii="宋体" w:hAnsi="宋体" w:eastAsia="宋体" w:cs="宋体"/>
                                <w:sz w:val="24"/>
                                <w:szCs w:val="24"/>
                              </w:rPr>
                            </w:pPr>
                            <w:r>
                              <w:rPr>
                                <w:rFonts w:ascii="宋体" w:hAnsi="宋体" w:eastAsia="宋体" w:cs="宋体"/>
                                <w:spacing w:val="-15"/>
                                <w:w w:val="84"/>
                                <w:sz w:val="24"/>
                                <w:szCs w:val="24"/>
                              </w:rPr>
                              <w:t>住房</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530" o:spid="_x0000_s1026" o:spt="202" type="#_x0000_t202" style="position:absolute;left:0pt;margin-left:40.1pt;margin-top:119.5pt;height:18.65pt;width:20.7pt;rotation:5898240f;z-index:251830272;mso-width-relative:page;mso-height-relative:page;" filled="f" stroked="f" coordsize="21600,21600" o:gfxdata="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E6aTxzYAAAACgEAAA8A&#10;AAAAAAAAAQAgAAAAIgAAAGRycy9kb3ducmV2LnhtbFBLAQIUABQAAAAIAIdO4kBtga1XUAIAAKME&#10;AAAOAAAAAAAAAAEAIAAAACcBAABkcnMvZTJvRG9jLnhtbFBLBQYAAAAABgAGAFkBAADpBQAAAAA=&#10;">
                <v:fill on="f" focussize="0,0"/>
                <v:stroke on="f" weight="0pt" miterlimit="0" joinstyle="miter"/>
                <v:imagedata o:title=""/>
                <o:lock v:ext="edit" aspectratio="f"/>
                <v:textbox inset="0mm,0mm,0mm,0mm">
                  <w:txbxContent>
                    <w:p w14:paraId="3D0302DB">
                      <w:pPr>
                        <w:spacing w:before="66" w:line="220" w:lineRule="auto"/>
                        <w:jc w:val="right"/>
                        <w:rPr>
                          <w:rFonts w:ascii="宋体" w:hAnsi="宋体" w:eastAsia="宋体" w:cs="宋体"/>
                          <w:sz w:val="24"/>
                          <w:szCs w:val="24"/>
                        </w:rPr>
                      </w:pPr>
                      <w:r>
                        <w:rPr>
                          <w:rFonts w:ascii="宋体" w:hAnsi="宋体" w:eastAsia="宋体" w:cs="宋体"/>
                          <w:spacing w:val="-15"/>
                          <w:w w:val="84"/>
                          <w:sz w:val="24"/>
                          <w:szCs w:val="24"/>
                        </w:rPr>
                        <w:t>住房</w:t>
                      </w:r>
                    </w:p>
                  </w:txbxContent>
                </v:textbox>
              </v:shape>
            </w:pict>
          </mc:Fallback>
        </mc:AlternateContent>
      </w:r>
      <w:r>
        <w:rPr>
          <w:position w:val="-8"/>
        </w:rPr>
        <w:drawing>
          <wp:inline distT="0" distB="0" distL="0" distR="0">
            <wp:extent cx="266065" cy="279400"/>
            <wp:effectExtent l="0" t="0" r="0" b="0"/>
            <wp:docPr id="532" name="IM 532"/>
            <wp:cNvGraphicFramePr/>
            <a:graphic xmlns:a="http://schemas.openxmlformats.org/drawingml/2006/main">
              <a:graphicData uri="http://schemas.openxmlformats.org/drawingml/2006/picture">
                <pic:pic xmlns:pic="http://schemas.openxmlformats.org/drawingml/2006/picture">
                  <pic:nvPicPr>
                    <pic:cNvPr id="532" name="IM 532"/>
                    <pic:cNvPicPr/>
                  </pic:nvPicPr>
                  <pic:blipFill>
                    <a:blip r:embed="rId599"/>
                    <a:stretch>
                      <a:fillRect/>
                    </a:stretch>
                  </pic:blipFill>
                  <pic:spPr>
                    <a:xfrm>
                      <a:off x="0" y="0"/>
                      <a:ext cx="266668" cy="279406"/>
                    </a:xfrm>
                    <a:prstGeom prst="rect">
                      <a:avLst/>
                    </a:prstGeom>
                  </pic:spPr>
                </pic:pic>
              </a:graphicData>
            </a:graphic>
          </wp:inline>
        </w:drawing>
      </w:r>
    </w:p>
    <w:p w14:paraId="47880996">
      <w:pPr>
        <w:spacing w:line="440" w:lineRule="exact"/>
        <w:sectPr>
          <w:type w:val="continuous"/>
          <w:pgSz w:w="11900" w:h="16820"/>
          <w:pgMar w:top="400" w:right="1652" w:bottom="821" w:left="969" w:header="0" w:footer="560" w:gutter="0"/>
          <w:cols w:equalWidth="0" w:num="3">
            <w:col w:w="4090" w:space="100"/>
            <w:col w:w="1511" w:space="100"/>
            <w:col w:w="3478"/>
          </w:cols>
        </w:sectPr>
      </w:pPr>
    </w:p>
    <w:p w14:paraId="1A8FC2B9">
      <w:pPr>
        <w:spacing w:line="243" w:lineRule="auto"/>
        <w:rPr>
          <w:rFonts w:ascii="Arial"/>
          <w:sz w:val="21"/>
        </w:rPr>
      </w:pPr>
    </w:p>
    <w:p w14:paraId="7721FE5D">
      <w:pPr>
        <w:spacing w:line="244" w:lineRule="auto"/>
        <w:rPr>
          <w:rFonts w:ascii="Arial"/>
          <w:sz w:val="21"/>
        </w:rPr>
      </w:pPr>
    </w:p>
    <w:p w14:paraId="59341616">
      <w:pPr>
        <w:pStyle w:val="2"/>
        <w:spacing w:before="65" w:line="222" w:lineRule="auto"/>
        <w:ind w:left="3599"/>
        <w:rPr>
          <w:sz w:val="20"/>
          <w:szCs w:val="20"/>
        </w:rPr>
      </w:pPr>
      <w:r>
        <w:rPr>
          <w:spacing w:val="-15"/>
          <w:sz w:val="20"/>
          <w:szCs w:val="20"/>
        </w:rPr>
        <w:t>图8-3</w:t>
      </w:r>
      <w:r>
        <w:rPr>
          <w:spacing w:val="72"/>
          <w:sz w:val="20"/>
          <w:szCs w:val="20"/>
        </w:rPr>
        <w:t xml:space="preserve"> </w:t>
      </w:r>
      <w:r>
        <w:rPr>
          <w:spacing w:val="-15"/>
          <w:sz w:val="20"/>
          <w:szCs w:val="20"/>
        </w:rPr>
        <w:t>健康决定因素的生态模型</w:t>
      </w:r>
    </w:p>
    <w:p w14:paraId="061BA49F">
      <w:pPr>
        <w:spacing w:line="379" w:lineRule="auto"/>
        <w:rPr>
          <w:rFonts w:ascii="Arial"/>
          <w:sz w:val="21"/>
        </w:rPr>
      </w:pPr>
    </w:p>
    <w:p w14:paraId="41108B6C">
      <w:pPr>
        <w:spacing w:before="65" w:line="340" w:lineRule="auto"/>
        <w:ind w:left="690" w:right="29" w:firstLine="9"/>
        <w:jc w:val="both"/>
        <w:rPr>
          <w:rFonts w:ascii="宋体" w:hAnsi="宋体" w:eastAsia="宋体" w:cs="宋体"/>
          <w:sz w:val="20"/>
          <w:szCs w:val="20"/>
        </w:rPr>
      </w:pPr>
      <w:r>
        <w:rPr>
          <w:rFonts w:ascii="宋体" w:hAnsi="宋体" w:eastAsia="宋体" w:cs="宋体"/>
          <w:spacing w:val="-1"/>
          <w:sz w:val="20"/>
          <w:szCs w:val="20"/>
        </w:rPr>
        <w:t>心病可以引起死亡。以死亡作为结果来看，冠心病是直接原因，食人过多</w:t>
      </w:r>
      <w:r>
        <w:rPr>
          <w:rFonts w:ascii="宋体" w:hAnsi="宋体" w:eastAsia="宋体" w:cs="宋体"/>
          <w:spacing w:val="-2"/>
          <w:sz w:val="20"/>
          <w:szCs w:val="20"/>
        </w:rPr>
        <w:t>的肉类食品则是近端间接</w:t>
      </w:r>
      <w:r>
        <w:rPr>
          <w:rFonts w:ascii="宋体" w:hAnsi="宋体" w:eastAsia="宋体" w:cs="宋体"/>
          <w:sz w:val="20"/>
          <w:szCs w:val="20"/>
        </w:rPr>
        <w:t xml:space="preserve"> </w:t>
      </w:r>
      <w:r>
        <w:rPr>
          <w:rFonts w:ascii="宋体" w:hAnsi="宋体" w:eastAsia="宋体" w:cs="宋体"/>
          <w:spacing w:val="4"/>
          <w:sz w:val="20"/>
          <w:szCs w:val="20"/>
        </w:rPr>
        <w:t>原因，而经济发展和西方饮食文化的影响是远端间接原因。健康决定因</w:t>
      </w:r>
      <w:r>
        <w:rPr>
          <w:rFonts w:ascii="宋体" w:hAnsi="宋体" w:eastAsia="宋体" w:cs="宋体"/>
          <w:spacing w:val="3"/>
          <w:sz w:val="20"/>
          <w:szCs w:val="20"/>
        </w:rPr>
        <w:t>素的生态模型最大限度地</w:t>
      </w:r>
      <w:r>
        <w:rPr>
          <w:rFonts w:ascii="宋体" w:hAnsi="宋体" w:eastAsia="宋体" w:cs="宋体"/>
          <w:sz w:val="20"/>
          <w:szCs w:val="20"/>
        </w:rPr>
        <w:t xml:space="preserve"> </w:t>
      </w:r>
      <w:r>
        <w:rPr>
          <w:rFonts w:ascii="宋体" w:hAnsi="宋体" w:eastAsia="宋体" w:cs="宋体"/>
          <w:spacing w:val="-1"/>
          <w:sz w:val="20"/>
          <w:szCs w:val="20"/>
        </w:rPr>
        <w:t>拓展了人类对各种可能病因的认识，也揭示了更多新的促进健康、预防疾病的方法。但是，在呈现</w:t>
      </w:r>
      <w:r>
        <w:rPr>
          <w:rFonts w:ascii="宋体" w:hAnsi="宋体" w:eastAsia="宋体" w:cs="宋体"/>
          <w:sz w:val="20"/>
          <w:szCs w:val="20"/>
        </w:rPr>
        <w:t xml:space="preserve"> </w:t>
      </w:r>
      <w:r>
        <w:rPr>
          <w:rFonts w:ascii="宋体" w:hAnsi="宋体" w:eastAsia="宋体" w:cs="宋体"/>
          <w:spacing w:val="-7"/>
          <w:sz w:val="20"/>
          <w:szCs w:val="20"/>
        </w:rPr>
        <w:t>病因之间的关系上，该模型还是笼统的、不完</w:t>
      </w:r>
      <w:r>
        <w:rPr>
          <w:rFonts w:ascii="宋体" w:hAnsi="宋体" w:eastAsia="宋体" w:cs="宋体"/>
          <w:spacing w:val="-8"/>
          <w:sz w:val="20"/>
          <w:szCs w:val="20"/>
        </w:rPr>
        <w:t>善的。</w:t>
      </w:r>
    </w:p>
    <w:p w14:paraId="4E9E5000">
      <w:pPr>
        <w:pStyle w:val="2"/>
        <w:spacing w:before="259" w:line="222" w:lineRule="auto"/>
        <w:ind w:left="1110"/>
        <w:outlineLvl w:val="2"/>
        <w:rPr>
          <w:sz w:val="20"/>
          <w:szCs w:val="20"/>
        </w:rPr>
      </w:pPr>
      <w:bookmarkStart w:id="234" w:name="bookmark147"/>
      <w:bookmarkEnd w:id="234"/>
      <w:r>
        <w:rPr>
          <w:spacing w:val="-15"/>
          <w:sz w:val="20"/>
          <w:szCs w:val="20"/>
        </w:rPr>
        <w:t>四</w:t>
      </w:r>
      <w:r>
        <w:rPr>
          <w:spacing w:val="19"/>
          <w:sz w:val="20"/>
          <w:szCs w:val="20"/>
        </w:rPr>
        <w:t xml:space="preserve"> </w:t>
      </w:r>
      <w:r>
        <w:rPr>
          <w:spacing w:val="-15"/>
          <w:sz w:val="20"/>
          <w:szCs w:val="20"/>
        </w:rPr>
        <w:t>、病 因</w:t>
      </w:r>
      <w:r>
        <w:rPr>
          <w:spacing w:val="-18"/>
          <w:sz w:val="20"/>
          <w:szCs w:val="20"/>
        </w:rPr>
        <w:t xml:space="preserve"> </w:t>
      </w:r>
      <w:r>
        <w:rPr>
          <w:spacing w:val="-15"/>
          <w:sz w:val="20"/>
          <w:szCs w:val="20"/>
        </w:rPr>
        <w:t>链</w:t>
      </w:r>
    </w:p>
    <w:p w14:paraId="72B28F39">
      <w:pPr>
        <w:spacing w:before="259" w:line="351" w:lineRule="auto"/>
        <w:ind w:left="680" w:right="14" w:firstLine="389"/>
        <w:rPr>
          <w:rFonts w:ascii="宋体" w:hAnsi="宋体" w:eastAsia="宋体" w:cs="宋体"/>
          <w:sz w:val="20"/>
          <w:szCs w:val="20"/>
        </w:rPr>
      </w:pPr>
      <w:r>
        <w:rPr>
          <w:rFonts w:ascii="宋体" w:hAnsi="宋体" w:eastAsia="宋体" w:cs="宋体"/>
          <w:sz w:val="20"/>
          <w:szCs w:val="20"/>
        </w:rPr>
        <w:t>在多病因学说里，一切可以负面影响健康的因素或事件都可以称为病因，</w:t>
      </w:r>
      <w:r>
        <w:rPr>
          <w:rFonts w:ascii="宋体" w:hAnsi="宋体" w:eastAsia="宋体" w:cs="宋体"/>
          <w:spacing w:val="-1"/>
          <w:sz w:val="20"/>
          <w:szCs w:val="20"/>
        </w:rPr>
        <w:t>而且无论是传染病还</w:t>
      </w:r>
      <w:r>
        <w:rPr>
          <w:rFonts w:ascii="宋体" w:hAnsi="宋体" w:eastAsia="宋体" w:cs="宋体"/>
          <w:sz w:val="20"/>
          <w:szCs w:val="20"/>
        </w:rPr>
        <w:t xml:space="preserve"> </w:t>
      </w:r>
      <w:r>
        <w:rPr>
          <w:rFonts w:ascii="宋体" w:hAnsi="宋体" w:eastAsia="宋体" w:cs="宋体"/>
          <w:spacing w:val="-6"/>
          <w:sz w:val="20"/>
          <w:szCs w:val="20"/>
        </w:rPr>
        <w:t>是慢性病，其病因都是多重的，病因与疾病、病因与病因之间存在复杂的关系。</w:t>
      </w:r>
    </w:p>
    <w:p w14:paraId="22199C2C">
      <w:pPr>
        <w:spacing w:before="3" w:line="345" w:lineRule="auto"/>
        <w:ind w:left="680" w:right="19" w:firstLine="399"/>
        <w:jc w:val="both"/>
        <w:rPr>
          <w:rFonts w:ascii="宋体" w:hAnsi="宋体" w:eastAsia="宋体" w:cs="宋体"/>
          <w:sz w:val="20"/>
          <w:szCs w:val="20"/>
        </w:rPr>
      </w:pPr>
      <w:r>
        <w:rPr>
          <w:rFonts w:ascii="宋体" w:hAnsi="宋体" w:eastAsia="宋体" w:cs="宋体"/>
          <w:spacing w:val="-5"/>
          <w:sz w:val="20"/>
          <w:szCs w:val="20"/>
        </w:rPr>
        <w:t>例如，一些因素对发病的作用是直接的，一些是间接的；一些因素</w:t>
      </w:r>
      <w:r>
        <w:rPr>
          <w:rFonts w:ascii="宋体" w:hAnsi="宋体" w:eastAsia="宋体" w:cs="宋体"/>
          <w:spacing w:val="-6"/>
          <w:sz w:val="20"/>
          <w:szCs w:val="20"/>
        </w:rPr>
        <w:t>的作用可能是独立的，而更多</w:t>
      </w:r>
      <w:r>
        <w:rPr>
          <w:rFonts w:ascii="宋体" w:hAnsi="宋体" w:eastAsia="宋体" w:cs="宋体"/>
          <w:sz w:val="20"/>
          <w:szCs w:val="20"/>
        </w:rPr>
        <w:t xml:space="preserve"> </w:t>
      </w:r>
      <w:r>
        <w:rPr>
          <w:rFonts w:ascii="宋体" w:hAnsi="宋体" w:eastAsia="宋体" w:cs="宋体"/>
          <w:spacing w:val="-1"/>
          <w:sz w:val="20"/>
          <w:szCs w:val="20"/>
        </w:rPr>
        <w:t>的是相互协同(或拮抗)的；各因素间互为因果，即有些是原始病因，有些是继发因素，它们相继发</w:t>
      </w:r>
      <w:r>
        <w:rPr>
          <w:rFonts w:ascii="宋体" w:hAnsi="宋体" w:eastAsia="宋体" w:cs="宋体"/>
          <w:spacing w:val="11"/>
          <w:sz w:val="20"/>
          <w:szCs w:val="20"/>
        </w:rPr>
        <w:t xml:space="preserve"> </w:t>
      </w:r>
      <w:r>
        <w:rPr>
          <w:rFonts w:ascii="宋体" w:hAnsi="宋体" w:eastAsia="宋体" w:cs="宋体"/>
          <w:spacing w:val="-1"/>
          <w:sz w:val="20"/>
          <w:szCs w:val="20"/>
        </w:rPr>
        <w:t>生作用，最终导致疾病的发生。时间上先后发生的互为因果的病因之间，以及这些病因与最终疾病</w:t>
      </w:r>
      <w:r>
        <w:rPr>
          <w:rFonts w:ascii="宋体" w:hAnsi="宋体" w:eastAsia="宋体" w:cs="宋体"/>
          <w:spacing w:val="5"/>
          <w:sz w:val="20"/>
          <w:szCs w:val="20"/>
        </w:rPr>
        <w:t xml:space="preserve"> </w:t>
      </w:r>
      <w:r>
        <w:rPr>
          <w:rFonts w:ascii="宋体" w:hAnsi="宋体" w:eastAsia="宋体" w:cs="宋体"/>
          <w:spacing w:val="-8"/>
          <w:sz w:val="20"/>
          <w:szCs w:val="20"/>
        </w:rPr>
        <w:t>之间的关系可以用病因链(chain of causation)来描述(图8-4)。</w:t>
      </w:r>
    </w:p>
    <w:p w14:paraId="450E1F6E">
      <w:pPr>
        <w:spacing w:before="101"/>
      </w:pPr>
    </w:p>
    <w:tbl>
      <w:tblPr>
        <w:tblStyle w:val="5"/>
        <w:tblW w:w="5322" w:type="dxa"/>
        <w:tblInd w:w="230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0" w:type="dxa"/>
          <w:left w:w="0" w:type="dxa"/>
          <w:bottom w:w="0" w:type="dxa"/>
          <w:right w:w="0" w:type="dxa"/>
        </w:tblCellMar>
      </w:tblPr>
      <w:tblGrid>
        <w:gridCol w:w="859"/>
        <w:gridCol w:w="1141"/>
        <w:gridCol w:w="1184"/>
        <w:gridCol w:w="1239"/>
        <w:gridCol w:w="899"/>
      </w:tblGrid>
      <w:tr w14:paraId="160C8563">
        <w:trPr>
          <w:trHeight w:val="555" w:hRule="atLeast"/>
        </w:trPr>
        <w:tc>
          <w:tcPr>
            <w:tcW w:w="859" w:type="dxa"/>
            <w:vAlign w:val="top"/>
          </w:tcPr>
          <w:p w14:paraId="12712E64">
            <w:pPr>
              <w:spacing w:before="1" w:line="185" w:lineRule="auto"/>
              <w:rPr>
                <w:rFonts w:ascii="黑体" w:hAnsi="黑体" w:eastAsia="黑体" w:cs="黑体"/>
                <w:sz w:val="20"/>
                <w:szCs w:val="20"/>
              </w:rPr>
            </w:pPr>
            <w:r>
              <w:drawing>
                <wp:anchor distT="0" distB="0" distL="0" distR="0" simplePos="0" relativeHeight="251826176" behindDoc="1" locked="0" layoutInCell="1" allowOverlap="1">
                  <wp:simplePos x="0" y="0"/>
                  <wp:positionH relativeFrom="column">
                    <wp:posOffset>-107950</wp:posOffset>
                  </wp:positionH>
                  <wp:positionV relativeFrom="paragraph">
                    <wp:posOffset>-73660</wp:posOffset>
                  </wp:positionV>
                  <wp:extent cx="3606800" cy="419100"/>
                  <wp:effectExtent l="0" t="0" r="0" b="0"/>
                  <wp:wrapNone/>
                  <wp:docPr id="534" name="IM 534"/>
                  <wp:cNvGraphicFramePr/>
                  <a:graphic xmlns:a="http://schemas.openxmlformats.org/drawingml/2006/main">
                    <a:graphicData uri="http://schemas.openxmlformats.org/drawingml/2006/picture">
                      <pic:pic xmlns:pic="http://schemas.openxmlformats.org/drawingml/2006/picture">
                        <pic:nvPicPr>
                          <pic:cNvPr id="534" name="IM 534"/>
                          <pic:cNvPicPr/>
                        </pic:nvPicPr>
                        <pic:blipFill>
                          <a:blip r:embed="rId600"/>
                          <a:stretch>
                            <a:fillRect/>
                          </a:stretch>
                        </pic:blipFill>
                        <pic:spPr>
                          <a:xfrm>
                            <a:off x="0" y="0"/>
                            <a:ext cx="3606868" cy="419110"/>
                          </a:xfrm>
                          <a:prstGeom prst="rect">
                            <a:avLst/>
                          </a:prstGeom>
                        </pic:spPr>
                      </pic:pic>
                    </a:graphicData>
                  </a:graphic>
                </wp:anchor>
              </w:drawing>
            </w:r>
            <w:r>
              <w:rPr>
                <w:rFonts w:ascii="黑体" w:hAnsi="黑体" w:eastAsia="黑体" w:cs="黑体"/>
                <w:spacing w:val="-15"/>
                <w:w w:val="98"/>
                <w:sz w:val="20"/>
                <w:szCs w:val="20"/>
              </w:rPr>
              <w:t>农业技</w:t>
            </w:r>
          </w:p>
          <w:p w14:paraId="4A73288A">
            <w:pPr>
              <w:pStyle w:val="6"/>
              <w:spacing w:before="1" w:line="217" w:lineRule="auto"/>
            </w:pPr>
            <w:r>
              <w:rPr>
                <w:spacing w:val="-16"/>
              </w:rPr>
              <w:t>术进步</w:t>
            </w:r>
          </w:p>
        </w:tc>
        <w:tc>
          <w:tcPr>
            <w:tcW w:w="1141" w:type="dxa"/>
            <w:vAlign w:val="top"/>
          </w:tcPr>
          <w:p w14:paraId="39C37155">
            <w:pPr>
              <w:spacing w:before="9" w:line="205" w:lineRule="auto"/>
              <w:ind w:left="340"/>
              <w:rPr>
                <w:rFonts w:ascii="黑体" w:hAnsi="黑体" w:eastAsia="黑体" w:cs="黑体"/>
                <w:sz w:val="20"/>
                <w:szCs w:val="20"/>
              </w:rPr>
            </w:pPr>
            <w:r>
              <w:rPr>
                <w:rFonts w:ascii="黑体" w:hAnsi="黑体" w:eastAsia="黑体" w:cs="黑体"/>
                <w:spacing w:val="-13"/>
                <w:w w:val="96"/>
                <w:sz w:val="20"/>
                <w:szCs w:val="20"/>
              </w:rPr>
              <w:t>食物供</w:t>
            </w:r>
          </w:p>
          <w:p w14:paraId="5200A34F">
            <w:pPr>
              <w:pStyle w:val="6"/>
              <w:spacing w:line="220" w:lineRule="auto"/>
              <w:ind w:left="331"/>
            </w:pPr>
            <w:r>
              <w:rPr>
                <w:spacing w:val="-15"/>
                <w:w w:val="97"/>
              </w:rPr>
              <w:t>应增加</w:t>
            </w:r>
          </w:p>
        </w:tc>
        <w:tc>
          <w:tcPr>
            <w:tcW w:w="1184" w:type="dxa"/>
            <w:vAlign w:val="top"/>
          </w:tcPr>
          <w:p w14:paraId="768BA7C0">
            <w:pPr>
              <w:pStyle w:val="6"/>
              <w:spacing w:before="30" w:line="171" w:lineRule="auto"/>
              <w:ind w:left="320"/>
            </w:pPr>
            <w:r>
              <w:rPr>
                <w:spacing w:val="-17"/>
              </w:rPr>
              <w:t>脂肪摄</w:t>
            </w:r>
          </w:p>
          <w:p w14:paraId="688136BB">
            <w:pPr>
              <w:spacing w:line="209" w:lineRule="auto"/>
              <w:ind w:left="330"/>
              <w:rPr>
                <w:rFonts w:ascii="黑体" w:hAnsi="黑体" w:eastAsia="黑体" w:cs="黑体"/>
                <w:sz w:val="20"/>
                <w:szCs w:val="20"/>
              </w:rPr>
            </w:pPr>
            <w:r>
              <w:rPr>
                <w:rFonts w:ascii="黑体" w:hAnsi="黑体" w:eastAsia="黑体" w:cs="黑体"/>
                <w:spacing w:val="-13"/>
                <w:w w:val="97"/>
                <w:sz w:val="20"/>
                <w:szCs w:val="20"/>
              </w:rPr>
              <w:t>入增加</w:t>
            </w:r>
          </w:p>
        </w:tc>
        <w:tc>
          <w:tcPr>
            <w:tcW w:w="1239" w:type="dxa"/>
            <w:vAlign w:val="top"/>
          </w:tcPr>
          <w:p w14:paraId="5413A1E9">
            <w:pPr>
              <w:spacing w:before="10" w:line="186" w:lineRule="auto"/>
              <w:ind w:left="346"/>
              <w:rPr>
                <w:rFonts w:ascii="黑体" w:hAnsi="黑体" w:eastAsia="黑体" w:cs="黑体"/>
                <w:sz w:val="20"/>
                <w:szCs w:val="20"/>
              </w:rPr>
            </w:pPr>
            <w:r>
              <w:rPr>
                <w:rFonts w:ascii="黑体" w:hAnsi="黑体" w:eastAsia="黑体" w:cs="黑体"/>
                <w:spacing w:val="-19"/>
                <w:sz w:val="20"/>
                <w:szCs w:val="20"/>
              </w:rPr>
              <w:t>血胆固</w:t>
            </w:r>
          </w:p>
          <w:p w14:paraId="4C255B10">
            <w:pPr>
              <w:pStyle w:val="6"/>
              <w:spacing w:line="217" w:lineRule="auto"/>
              <w:ind w:left="336"/>
            </w:pPr>
            <w:r>
              <w:rPr>
                <w:spacing w:val="-16"/>
                <w:w w:val="98"/>
              </w:rPr>
              <w:t>醇升高</w:t>
            </w:r>
          </w:p>
        </w:tc>
        <w:tc>
          <w:tcPr>
            <w:tcW w:w="899" w:type="dxa"/>
            <w:vAlign w:val="top"/>
          </w:tcPr>
          <w:p w14:paraId="6E4F698B">
            <w:pPr>
              <w:pStyle w:val="6"/>
              <w:spacing w:before="80" w:line="219" w:lineRule="auto"/>
              <w:jc w:val="right"/>
            </w:pPr>
            <w:r>
              <w:rPr>
                <w:spacing w:val="-21"/>
                <w:w w:val="96"/>
              </w:rPr>
              <w:t>冠心</w:t>
            </w:r>
            <w:r>
              <w:rPr>
                <w:spacing w:val="-15"/>
                <w:w w:val="96"/>
              </w:rPr>
              <w:t>病</w:t>
            </w:r>
          </w:p>
        </w:tc>
      </w:tr>
      <w:tr w14:paraId="54C6E460">
        <w:trPr>
          <w:trHeight w:val="327" w:hRule="atLeast"/>
        </w:trPr>
        <w:tc>
          <w:tcPr>
            <w:tcW w:w="859" w:type="dxa"/>
            <w:vAlign w:val="top"/>
          </w:tcPr>
          <w:p w14:paraId="29EA3296">
            <w:pPr>
              <w:rPr>
                <w:rFonts w:ascii="Arial"/>
                <w:sz w:val="21"/>
              </w:rPr>
            </w:pPr>
          </w:p>
        </w:tc>
        <w:tc>
          <w:tcPr>
            <w:tcW w:w="1141" w:type="dxa"/>
            <w:vAlign w:val="top"/>
          </w:tcPr>
          <w:p w14:paraId="7FBAEE09">
            <w:pPr>
              <w:spacing w:before="124" w:line="178" w:lineRule="auto"/>
              <w:ind w:left="581"/>
              <w:rPr>
                <w:rFonts w:ascii="黑体" w:hAnsi="黑体" w:eastAsia="黑体" w:cs="黑体"/>
                <w:sz w:val="20"/>
                <w:szCs w:val="20"/>
              </w:rPr>
            </w:pPr>
            <w:r>
              <w:rPr>
                <w:rFonts w:ascii="黑体" w:hAnsi="黑体" w:eastAsia="黑体" w:cs="黑体"/>
                <w:spacing w:val="-5"/>
                <w:sz w:val="20"/>
                <w:szCs w:val="20"/>
              </w:rPr>
              <w:t>图8-4</w:t>
            </w:r>
          </w:p>
        </w:tc>
        <w:tc>
          <w:tcPr>
            <w:tcW w:w="2423" w:type="dxa"/>
            <w:gridSpan w:val="2"/>
            <w:vAlign w:val="top"/>
          </w:tcPr>
          <w:p w14:paraId="249948CB">
            <w:pPr>
              <w:spacing w:before="124" w:line="178" w:lineRule="auto"/>
              <w:ind w:left="80"/>
              <w:rPr>
                <w:rFonts w:ascii="黑体" w:hAnsi="黑体" w:eastAsia="黑体" w:cs="黑体"/>
                <w:sz w:val="20"/>
                <w:szCs w:val="20"/>
              </w:rPr>
            </w:pPr>
            <w:r>
              <w:rPr>
                <w:rFonts w:ascii="黑体" w:hAnsi="黑体" w:eastAsia="黑体" w:cs="黑体"/>
                <w:spacing w:val="-20"/>
                <w:sz w:val="20"/>
                <w:szCs w:val="20"/>
              </w:rPr>
              <w:t>病因链：饮食与冠心病</w:t>
            </w:r>
          </w:p>
        </w:tc>
        <w:tc>
          <w:tcPr>
            <w:tcW w:w="899" w:type="dxa"/>
            <w:vAlign w:val="top"/>
          </w:tcPr>
          <w:p w14:paraId="5E143A44">
            <w:pPr>
              <w:rPr>
                <w:rFonts w:ascii="Arial"/>
                <w:sz w:val="21"/>
              </w:rPr>
            </w:pPr>
          </w:p>
        </w:tc>
      </w:tr>
    </w:tbl>
    <w:p w14:paraId="34BE48D9">
      <w:pPr>
        <w:spacing w:line="389" w:lineRule="auto"/>
        <w:rPr>
          <w:rFonts w:ascii="Arial"/>
          <w:sz w:val="21"/>
        </w:rPr>
      </w:pPr>
    </w:p>
    <w:p w14:paraId="3CB9438B">
      <w:pPr>
        <w:spacing w:before="65" w:line="348" w:lineRule="auto"/>
        <w:ind w:left="690" w:firstLine="399"/>
        <w:jc w:val="both"/>
        <w:rPr>
          <w:rFonts w:ascii="宋体" w:hAnsi="宋体" w:eastAsia="宋体" w:cs="宋体"/>
          <w:sz w:val="20"/>
          <w:szCs w:val="20"/>
        </w:rPr>
      </w:pPr>
      <w:r>
        <w:rPr>
          <w:rFonts w:ascii="宋体" w:hAnsi="宋体" w:eastAsia="宋体" w:cs="宋体"/>
          <w:spacing w:val="5"/>
          <w:sz w:val="20"/>
          <w:szCs w:val="20"/>
        </w:rPr>
        <w:t>例如，经济的发展和农业的进步为人类提供了充足的食物，</w:t>
      </w:r>
      <w:r>
        <w:rPr>
          <w:rFonts w:ascii="宋体" w:hAnsi="宋体" w:eastAsia="宋体" w:cs="宋体"/>
          <w:spacing w:val="4"/>
          <w:sz w:val="20"/>
          <w:szCs w:val="20"/>
        </w:rPr>
        <w:t>充足的食物改变了人们的饮食习</w:t>
      </w:r>
      <w:r>
        <w:rPr>
          <w:rFonts w:ascii="宋体" w:hAnsi="宋体" w:eastAsia="宋体" w:cs="宋体"/>
          <w:sz w:val="20"/>
          <w:szCs w:val="20"/>
        </w:rPr>
        <w:t xml:space="preserve"> </w:t>
      </w:r>
      <w:r>
        <w:rPr>
          <w:rFonts w:ascii="宋体" w:hAnsi="宋体" w:eastAsia="宋体" w:cs="宋体"/>
          <w:spacing w:val="-1"/>
          <w:sz w:val="20"/>
          <w:szCs w:val="20"/>
        </w:rPr>
        <w:t>惯，不良的饮食习惯可引起肥胖和高胆固醇血症，后者又可以引起冠心病。在这个病因链中，</w:t>
      </w:r>
      <w:r>
        <w:rPr>
          <w:rFonts w:ascii="宋体" w:hAnsi="宋体" w:eastAsia="宋体" w:cs="宋体"/>
          <w:spacing w:val="-2"/>
          <w:sz w:val="20"/>
          <w:szCs w:val="20"/>
        </w:rPr>
        <w:t>农业</w:t>
      </w:r>
      <w:r>
        <w:rPr>
          <w:rFonts w:ascii="宋体" w:hAnsi="宋体" w:eastAsia="宋体" w:cs="宋体"/>
          <w:sz w:val="20"/>
          <w:szCs w:val="20"/>
        </w:rPr>
        <w:t xml:space="preserve"> </w:t>
      </w:r>
      <w:r>
        <w:rPr>
          <w:rFonts w:ascii="宋体" w:hAnsi="宋体" w:eastAsia="宋体" w:cs="宋体"/>
          <w:spacing w:val="-3"/>
          <w:sz w:val="20"/>
          <w:szCs w:val="20"/>
        </w:rPr>
        <w:t>的发展可以是冠心病的远端因素，饮食习惯是中间因素，高胆固醇血症是近端因素。</w:t>
      </w:r>
    </w:p>
    <w:p w14:paraId="619728D6">
      <w:pPr>
        <w:spacing w:before="5" w:line="319" w:lineRule="auto"/>
        <w:ind w:left="659" w:right="4" w:firstLine="420"/>
        <w:jc w:val="both"/>
        <w:rPr>
          <w:rFonts w:ascii="宋体" w:hAnsi="宋体" w:eastAsia="宋体" w:cs="宋体"/>
          <w:sz w:val="20"/>
          <w:szCs w:val="20"/>
        </w:rPr>
      </w:pPr>
      <w:r>
        <w:rPr>
          <w:rFonts w:ascii="宋体" w:hAnsi="宋体" w:eastAsia="宋体" w:cs="宋体"/>
          <w:sz w:val="20"/>
          <w:szCs w:val="20"/>
        </w:rPr>
        <w:t>在一个病因链上，去除任何一个病因，就可以切断整个病因链，从而预防</w:t>
      </w:r>
      <w:r>
        <w:rPr>
          <w:rFonts w:ascii="宋体" w:hAnsi="宋体" w:eastAsia="宋体" w:cs="宋体"/>
          <w:spacing w:val="-1"/>
          <w:sz w:val="20"/>
          <w:szCs w:val="20"/>
        </w:rPr>
        <w:t>疾病通过此病因链发</w:t>
      </w:r>
      <w:r>
        <w:rPr>
          <w:rFonts w:ascii="宋体" w:hAnsi="宋体" w:eastAsia="宋体" w:cs="宋体"/>
          <w:sz w:val="20"/>
          <w:szCs w:val="20"/>
        </w:rPr>
        <w:t xml:space="preserve"> 生。因此不需要针对一个病因链上的所有因素进行干预，就能够达到预防的效果。比如，食用过多</w:t>
      </w:r>
      <w:r>
        <w:rPr>
          <w:rFonts w:ascii="宋体" w:hAnsi="宋体" w:eastAsia="宋体" w:cs="宋体"/>
          <w:spacing w:val="9"/>
          <w:sz w:val="20"/>
          <w:szCs w:val="20"/>
        </w:rPr>
        <w:t xml:space="preserve"> </w:t>
      </w:r>
      <w:r>
        <w:rPr>
          <w:rFonts w:ascii="宋体" w:hAnsi="宋体" w:eastAsia="宋体" w:cs="宋体"/>
          <w:sz w:val="20"/>
          <w:szCs w:val="20"/>
        </w:rPr>
        <w:t>的肉类食品可增加血胆固醇，高胆固醇血症可增加心血管疾病的风险，在这个病因链上就有两个可</w:t>
      </w:r>
      <w:r>
        <w:rPr>
          <w:rFonts w:ascii="宋体" w:hAnsi="宋体" w:eastAsia="宋体" w:cs="宋体"/>
          <w:spacing w:val="4"/>
          <w:sz w:val="20"/>
          <w:szCs w:val="20"/>
        </w:rPr>
        <w:t xml:space="preserve"> </w:t>
      </w:r>
      <w:r>
        <w:rPr>
          <w:rFonts w:ascii="宋体" w:hAnsi="宋体" w:eastAsia="宋体" w:cs="宋体"/>
          <w:sz w:val="20"/>
          <w:szCs w:val="20"/>
        </w:rPr>
        <w:t>阻断的节点，即食物中的肉类食品和高胆固醇血症，针对任何一个因素的措施都可能有效。这</w:t>
      </w:r>
      <w:r>
        <w:rPr>
          <w:rFonts w:ascii="宋体" w:hAnsi="宋体" w:eastAsia="宋体" w:cs="宋体"/>
          <w:spacing w:val="-1"/>
          <w:sz w:val="20"/>
          <w:szCs w:val="20"/>
        </w:rPr>
        <w:t>使得</w:t>
      </w:r>
      <w:r>
        <w:rPr>
          <w:rFonts w:ascii="宋体" w:hAnsi="宋体" w:eastAsia="宋体" w:cs="宋体"/>
          <w:sz w:val="20"/>
          <w:szCs w:val="20"/>
        </w:rPr>
        <w:t xml:space="preserve"> 切断一个病因链有了多种选择。另外，过去在寻找疾病预防策略的过程中，过</w:t>
      </w:r>
      <w:r>
        <w:rPr>
          <w:rFonts w:ascii="宋体" w:hAnsi="宋体" w:eastAsia="宋体" w:cs="宋体"/>
          <w:spacing w:val="-1"/>
          <w:sz w:val="20"/>
          <w:szCs w:val="20"/>
        </w:rPr>
        <w:t>于依赖对近端病因的</w:t>
      </w:r>
      <w:r>
        <w:rPr>
          <w:rFonts w:ascii="宋体" w:hAnsi="宋体" w:eastAsia="宋体" w:cs="宋体"/>
          <w:sz w:val="20"/>
          <w:szCs w:val="20"/>
        </w:rPr>
        <w:t xml:space="preserve"> 研究和控制，比如，对高脂血症的治疗。从病因链的角度看，改变人们的饮食</w:t>
      </w:r>
      <w:r>
        <w:rPr>
          <w:rFonts w:ascii="宋体" w:hAnsi="宋体" w:eastAsia="宋体" w:cs="宋体"/>
          <w:spacing w:val="-1"/>
          <w:sz w:val="20"/>
          <w:szCs w:val="20"/>
        </w:rPr>
        <w:t>习惯同样可以预防心</w:t>
      </w:r>
    </w:p>
    <w:p w14:paraId="40CE414C">
      <w:pPr>
        <w:spacing w:line="319" w:lineRule="auto"/>
        <w:rPr>
          <w:rFonts w:ascii="宋体" w:hAnsi="宋体" w:eastAsia="宋体" w:cs="宋体"/>
          <w:sz w:val="20"/>
          <w:szCs w:val="20"/>
        </w:rPr>
        <w:sectPr>
          <w:type w:val="continuous"/>
          <w:pgSz w:w="11900" w:h="16820"/>
          <w:pgMar w:top="400" w:right="1652" w:bottom="821" w:left="969" w:header="0" w:footer="560" w:gutter="0"/>
          <w:cols w:equalWidth="0" w:num="1">
            <w:col w:w="9279"/>
          </w:cols>
        </w:sectPr>
      </w:pPr>
    </w:p>
    <w:p w14:paraId="4608F3FD">
      <w:pPr>
        <w:pStyle w:val="2"/>
        <w:spacing w:before="166" w:line="221" w:lineRule="auto"/>
        <w:ind w:left="6840"/>
        <w:rPr>
          <w:sz w:val="20"/>
          <w:szCs w:val="20"/>
        </w:rPr>
      </w:pPr>
      <w:r>
        <w:rPr>
          <w:spacing w:val="-20"/>
          <w:sz w:val="20"/>
          <w:szCs w:val="20"/>
        </w:rPr>
        <w:t>第八章 病因及其发现和推断</w:t>
      </w:r>
    </w:p>
    <w:p w14:paraId="5933B565">
      <w:pPr>
        <w:spacing w:line="267" w:lineRule="auto"/>
        <w:rPr>
          <w:rFonts w:ascii="Arial"/>
          <w:sz w:val="21"/>
        </w:rPr>
      </w:pPr>
    </w:p>
    <w:p w14:paraId="47911559">
      <w:pPr>
        <w:spacing w:line="267" w:lineRule="auto"/>
        <w:rPr>
          <w:rFonts w:ascii="Arial"/>
          <w:sz w:val="21"/>
        </w:rPr>
      </w:pPr>
    </w:p>
    <w:p w14:paraId="04EBEEAC">
      <w:pPr>
        <w:spacing w:before="65" w:line="219" w:lineRule="auto"/>
        <w:rPr>
          <w:rFonts w:ascii="宋体" w:hAnsi="宋体" w:eastAsia="宋体" w:cs="宋体"/>
          <w:sz w:val="20"/>
          <w:szCs w:val="20"/>
        </w:rPr>
      </w:pPr>
      <w:r>
        <w:rPr>
          <w:rFonts w:ascii="宋体" w:hAnsi="宋体" w:eastAsia="宋体" w:cs="宋体"/>
          <w:spacing w:val="12"/>
          <w:sz w:val="20"/>
          <w:szCs w:val="20"/>
        </w:rPr>
        <w:t>血管疾病的发生，应引起更多的重视。</w:t>
      </w:r>
    </w:p>
    <w:p w14:paraId="133C1B61">
      <w:pPr>
        <w:spacing w:before="153" w:line="342" w:lineRule="auto"/>
        <w:ind w:right="676" w:firstLine="409"/>
        <w:jc w:val="both"/>
        <w:rPr>
          <w:rFonts w:ascii="宋体" w:hAnsi="宋体" w:eastAsia="宋体" w:cs="宋体"/>
          <w:sz w:val="20"/>
          <w:szCs w:val="20"/>
        </w:rPr>
      </w:pPr>
      <w:r>
        <w:rPr>
          <w:rFonts w:ascii="宋体" w:hAnsi="宋体" w:eastAsia="宋体" w:cs="宋体"/>
          <w:spacing w:val="15"/>
          <w:sz w:val="20"/>
          <w:szCs w:val="20"/>
        </w:rPr>
        <w:t>一个疾病可能有多个独立作用或相互影响的病因链。比如，心血管疾病可以通过三条分别以</w:t>
      </w:r>
      <w:r>
        <w:rPr>
          <w:rFonts w:ascii="宋体" w:hAnsi="宋体" w:eastAsia="宋体" w:cs="宋体"/>
          <w:spacing w:val="7"/>
          <w:sz w:val="20"/>
          <w:szCs w:val="20"/>
        </w:rPr>
        <w:t xml:space="preserve"> </w:t>
      </w:r>
      <w:r>
        <w:rPr>
          <w:rFonts w:ascii="宋体" w:hAnsi="宋体" w:eastAsia="宋体" w:cs="宋体"/>
          <w:spacing w:val="10"/>
          <w:sz w:val="20"/>
          <w:szCs w:val="20"/>
        </w:rPr>
        <w:t>高血脂、高血压和糖尿病作为中间病因的病因链发生，三个病因链又可能相互交叉，比如不良饮食</w:t>
      </w:r>
      <w:r>
        <w:rPr>
          <w:rFonts w:ascii="宋体" w:hAnsi="宋体" w:eastAsia="宋体" w:cs="宋体"/>
          <w:spacing w:val="8"/>
          <w:sz w:val="20"/>
          <w:szCs w:val="20"/>
        </w:rPr>
        <w:t xml:space="preserve"> 习惯可以同时是高血脂、高血压和糖尿病的病因，三条病因链就在不良饮食习惯上存在交会。</w:t>
      </w:r>
    </w:p>
    <w:p w14:paraId="245B7AE2">
      <w:pPr>
        <w:pStyle w:val="2"/>
        <w:spacing w:before="196" w:line="222" w:lineRule="auto"/>
        <w:ind w:left="413"/>
        <w:outlineLvl w:val="2"/>
        <w:rPr>
          <w:sz w:val="26"/>
          <w:szCs w:val="26"/>
        </w:rPr>
      </w:pPr>
      <w:bookmarkStart w:id="235" w:name="bookmark482"/>
      <w:bookmarkEnd w:id="235"/>
      <w:bookmarkStart w:id="236" w:name="bookmark148"/>
      <w:bookmarkEnd w:id="236"/>
      <w:r>
        <w:rPr>
          <w:b/>
          <w:bCs/>
          <w:spacing w:val="-10"/>
          <w:sz w:val="26"/>
          <w:szCs w:val="26"/>
        </w:rPr>
        <w:t>五</w:t>
      </w:r>
      <w:r>
        <w:rPr>
          <w:spacing w:val="-61"/>
          <w:sz w:val="26"/>
          <w:szCs w:val="26"/>
        </w:rPr>
        <w:t xml:space="preserve"> </w:t>
      </w:r>
      <w:r>
        <w:rPr>
          <w:b/>
          <w:bCs/>
          <w:spacing w:val="-10"/>
          <w:sz w:val="26"/>
          <w:szCs w:val="26"/>
        </w:rPr>
        <w:t>、病因网</w:t>
      </w:r>
    </w:p>
    <w:p w14:paraId="29976658">
      <w:pPr>
        <w:spacing w:before="249" w:line="344" w:lineRule="auto"/>
        <w:ind w:right="695" w:firstLine="409"/>
        <w:rPr>
          <w:rFonts w:ascii="宋体" w:hAnsi="宋体" w:eastAsia="宋体" w:cs="宋体"/>
          <w:sz w:val="20"/>
          <w:szCs w:val="20"/>
        </w:rPr>
      </w:pPr>
      <w:r>
        <w:rPr>
          <w:rFonts w:ascii="宋体" w:hAnsi="宋体" w:eastAsia="宋体" w:cs="宋体"/>
          <w:spacing w:val="15"/>
          <w:sz w:val="20"/>
          <w:szCs w:val="20"/>
        </w:rPr>
        <w:t>很少有疾病只有一个单一的病因链，事实上一个疾病往往存在多个独立的或相互关联的病因</w:t>
      </w:r>
      <w:r>
        <w:rPr>
          <w:rFonts w:ascii="宋体" w:hAnsi="宋体" w:eastAsia="宋体" w:cs="宋体"/>
          <w:spacing w:val="9"/>
          <w:sz w:val="20"/>
          <w:szCs w:val="20"/>
        </w:rPr>
        <w:t xml:space="preserve"> </w:t>
      </w:r>
      <w:r>
        <w:rPr>
          <w:rFonts w:ascii="宋体" w:hAnsi="宋体" w:eastAsia="宋体" w:cs="宋体"/>
          <w:spacing w:val="6"/>
          <w:sz w:val="20"/>
          <w:szCs w:val="20"/>
        </w:rPr>
        <w:t>链，同一疾病不同病因链相互连结、相互交错，形成一个更为复杂的完整的病因关系网，</w:t>
      </w:r>
      <w:r>
        <w:rPr>
          <w:rFonts w:ascii="宋体" w:hAnsi="宋体" w:eastAsia="宋体" w:cs="宋体"/>
          <w:sz w:val="20"/>
          <w:szCs w:val="20"/>
        </w:rPr>
        <w:t>MacMahon</w:t>
      </w:r>
      <w:r>
        <w:rPr>
          <w:rFonts w:ascii="宋体" w:hAnsi="宋体" w:eastAsia="宋体" w:cs="宋体"/>
          <w:spacing w:val="6"/>
          <w:sz w:val="20"/>
          <w:szCs w:val="20"/>
        </w:rPr>
        <w:t xml:space="preserve">  </w:t>
      </w:r>
      <w:r>
        <w:rPr>
          <w:rFonts w:ascii="宋体" w:hAnsi="宋体" w:eastAsia="宋体" w:cs="宋体"/>
          <w:spacing w:val="4"/>
          <w:sz w:val="20"/>
          <w:szCs w:val="20"/>
        </w:rPr>
        <w:t>把这个从病因到发病的联系的整体网状结构称为病因网(</w:t>
      </w:r>
      <w:r>
        <w:rPr>
          <w:rFonts w:ascii="宋体" w:hAnsi="宋体" w:eastAsia="宋体" w:cs="宋体"/>
          <w:sz w:val="20"/>
          <w:szCs w:val="20"/>
        </w:rPr>
        <w:t>web</w:t>
      </w:r>
      <w:r>
        <w:rPr>
          <w:rFonts w:ascii="宋体" w:hAnsi="宋体" w:eastAsia="宋体" w:cs="宋体"/>
          <w:spacing w:val="4"/>
          <w:sz w:val="20"/>
          <w:szCs w:val="20"/>
        </w:rPr>
        <w:t xml:space="preserve"> </w:t>
      </w:r>
      <w:r>
        <w:rPr>
          <w:rFonts w:ascii="宋体" w:hAnsi="宋体" w:eastAsia="宋体" w:cs="宋体"/>
          <w:sz w:val="20"/>
          <w:szCs w:val="20"/>
        </w:rPr>
        <w:t>of</w:t>
      </w:r>
      <w:r>
        <w:rPr>
          <w:rFonts w:ascii="宋体" w:hAnsi="宋体" w:eastAsia="宋体" w:cs="宋体"/>
          <w:spacing w:val="3"/>
          <w:sz w:val="20"/>
          <w:szCs w:val="20"/>
        </w:rPr>
        <w:t xml:space="preserve"> </w:t>
      </w:r>
      <w:r>
        <w:rPr>
          <w:rFonts w:ascii="宋体" w:hAnsi="宋体" w:eastAsia="宋体" w:cs="宋体"/>
          <w:sz w:val="20"/>
          <w:szCs w:val="20"/>
        </w:rPr>
        <w:t>causation</w:t>
      </w:r>
      <w:r>
        <w:rPr>
          <w:rFonts w:ascii="宋体" w:hAnsi="宋体" w:eastAsia="宋体" w:cs="宋体"/>
          <w:spacing w:val="3"/>
          <w:sz w:val="20"/>
          <w:szCs w:val="20"/>
        </w:rPr>
        <w:t>)。</w:t>
      </w:r>
    </w:p>
    <w:p w14:paraId="6EA1A464">
      <w:pPr>
        <w:spacing w:before="3" w:line="352" w:lineRule="auto"/>
        <w:ind w:right="636" w:firstLine="409"/>
        <w:jc w:val="both"/>
        <w:rPr>
          <w:rFonts w:ascii="宋体" w:hAnsi="宋体" w:eastAsia="宋体" w:cs="宋体"/>
          <w:sz w:val="20"/>
          <w:szCs w:val="20"/>
        </w:rPr>
      </w:pPr>
      <w:r>
        <w:rPr>
          <w:rFonts w:ascii="宋体" w:hAnsi="宋体" w:eastAsia="宋体" w:cs="宋体"/>
          <w:spacing w:val="6"/>
          <w:sz w:val="20"/>
          <w:szCs w:val="20"/>
        </w:rPr>
        <w:t>以冠心病的病因为例，吸烟、饮酒、饮食习惯和身体活动等生活习惯均可单独或联合影响血糖、</w:t>
      </w:r>
      <w:r>
        <w:rPr>
          <w:rFonts w:ascii="宋体" w:hAnsi="宋体" w:eastAsia="宋体" w:cs="宋体"/>
          <w:spacing w:val="17"/>
          <w:sz w:val="20"/>
          <w:szCs w:val="20"/>
        </w:rPr>
        <w:t xml:space="preserve"> </w:t>
      </w:r>
      <w:r>
        <w:rPr>
          <w:rFonts w:ascii="宋体" w:hAnsi="宋体" w:eastAsia="宋体" w:cs="宋体"/>
          <w:spacing w:val="5"/>
          <w:sz w:val="20"/>
          <w:szCs w:val="20"/>
        </w:rPr>
        <w:t>血脂、体重和血压，同时体重对血脂、血糖和血压也存在影响，血压、血脂和血糖又与动脉粥样硬化</w:t>
      </w:r>
      <w:r>
        <w:rPr>
          <w:rFonts w:ascii="宋体" w:hAnsi="宋体" w:eastAsia="宋体" w:cs="宋体"/>
          <w:spacing w:val="17"/>
          <w:sz w:val="20"/>
          <w:szCs w:val="20"/>
        </w:rPr>
        <w:t xml:space="preserve"> </w:t>
      </w:r>
      <w:r>
        <w:rPr>
          <w:rFonts w:ascii="宋体" w:hAnsi="宋体" w:eastAsia="宋体" w:cs="宋体"/>
          <w:spacing w:val="10"/>
          <w:sz w:val="20"/>
          <w:szCs w:val="20"/>
        </w:rPr>
        <w:t>有关，后者可直接引起冠心病的发生。这些因素相互作用、相互联合，</w:t>
      </w:r>
      <w:r>
        <w:rPr>
          <w:rFonts w:ascii="宋体" w:hAnsi="宋体" w:eastAsia="宋体" w:cs="宋体"/>
          <w:spacing w:val="9"/>
          <w:sz w:val="20"/>
          <w:szCs w:val="20"/>
        </w:rPr>
        <w:t>共同形成了冠心病的病因网</w:t>
      </w:r>
      <w:r>
        <w:rPr>
          <w:rFonts w:ascii="宋体" w:hAnsi="宋体" w:eastAsia="宋体" w:cs="宋体"/>
          <w:sz w:val="20"/>
          <w:szCs w:val="20"/>
        </w:rPr>
        <w:t xml:space="preserve"> </w:t>
      </w:r>
      <w:r>
        <w:rPr>
          <w:rFonts w:ascii="宋体" w:hAnsi="宋体" w:eastAsia="宋体" w:cs="宋体"/>
          <w:spacing w:val="9"/>
          <w:sz w:val="20"/>
          <w:szCs w:val="20"/>
        </w:rPr>
        <w:t>(图8-5)。</w:t>
      </w:r>
    </w:p>
    <w:p w14:paraId="7BE7A7E1">
      <w:pPr>
        <w:pStyle w:val="2"/>
        <w:spacing w:before="34" w:line="3310" w:lineRule="exact"/>
        <w:ind w:firstLine="1509"/>
      </w:pPr>
      <w:r>
        <w:rPr>
          <w:position w:val="-66"/>
        </w:rPr>
        <w:pict>
          <v:group id="_x0000_s1118" o:spid="_x0000_s1118" o:spt="203" style="height:165.55pt;width:304pt;" coordsize="6080,3311">
            <o:lock v:ext="edit"/>
            <v:shape id="_x0000_s1119" o:spid="_x0000_s1119" o:spt="75" type="#_x0000_t75" style="position:absolute;left:19;top:0;height:3311;width:6040;" filled="f" stroked="f" coordsize="21600,21600">
              <v:path/>
              <v:fill on="f" focussize="0,0"/>
              <v:stroke on="f"/>
              <v:imagedata r:id="rId601" o:title=""/>
              <o:lock v:ext="edit" aspectratio="t"/>
            </v:shape>
            <v:shape id="_x0000_s1120" o:spid="_x0000_s1120" o:spt="202" type="#_x0000_t202" style="position:absolute;left:210;top:45;height:3242;width:5890;" filled="f" stroked="f" coordsize="21600,21600">
              <v:path/>
              <v:fill on="f" focussize="0,0"/>
              <v:stroke on="f"/>
              <v:imagedata o:title=""/>
              <o:lock v:ext="edit" aspectratio="f"/>
              <v:textbox inset="0mm,0mm,0mm,0mm">
                <w:txbxContent>
                  <w:p w14:paraId="4F8F78D3">
                    <w:pPr>
                      <w:spacing w:before="19" w:line="158" w:lineRule="auto"/>
                      <w:ind w:left="20"/>
                      <w:rPr>
                        <w:rFonts w:ascii="宋体" w:hAnsi="宋体" w:eastAsia="宋体" w:cs="宋体"/>
                        <w:sz w:val="13"/>
                        <w:szCs w:val="13"/>
                      </w:rPr>
                    </w:pPr>
                    <w:r>
                      <w:rPr>
                        <w:rFonts w:ascii="宋体" w:hAnsi="宋体" w:eastAsia="宋体" w:cs="宋体"/>
                        <w:spacing w:val="-5"/>
                        <w:sz w:val="13"/>
                        <w:szCs w:val="13"/>
                      </w:rPr>
                      <w:t>饮</w:t>
                    </w:r>
                    <w:r>
                      <w:rPr>
                        <w:rFonts w:ascii="宋体" w:hAnsi="宋体" w:eastAsia="宋体" w:cs="宋体"/>
                        <w:spacing w:val="-17"/>
                        <w:sz w:val="13"/>
                        <w:szCs w:val="13"/>
                      </w:rPr>
                      <w:t xml:space="preserve"> </w:t>
                    </w:r>
                    <w:r>
                      <w:rPr>
                        <w:rFonts w:ascii="宋体" w:hAnsi="宋体" w:eastAsia="宋体" w:cs="宋体"/>
                        <w:spacing w:val="-5"/>
                        <w:sz w:val="13"/>
                        <w:szCs w:val="13"/>
                      </w:rPr>
                      <w:t>酒</w:t>
                    </w:r>
                    <w:r>
                      <w:rPr>
                        <w:rFonts w:ascii="宋体" w:hAnsi="宋体" w:eastAsia="宋体" w:cs="宋体"/>
                        <w:spacing w:val="-26"/>
                        <w:sz w:val="13"/>
                        <w:szCs w:val="13"/>
                      </w:rPr>
                      <w:t xml:space="preserve"> </w:t>
                    </w:r>
                    <w:r>
                      <w:rPr>
                        <w:rFonts w:ascii="宋体" w:hAnsi="宋体" w:eastAsia="宋体" w:cs="宋体"/>
                        <w:spacing w:val="-5"/>
                        <w:sz w:val="13"/>
                        <w:szCs w:val="13"/>
                      </w:rPr>
                      <w:t>、</w:t>
                    </w:r>
                  </w:p>
                  <w:p w14:paraId="049928EF">
                    <w:pPr>
                      <w:spacing w:line="202" w:lineRule="auto"/>
                      <w:ind w:left="4509"/>
                      <w:rPr>
                        <w:rFonts w:ascii="宋体" w:hAnsi="宋体" w:eastAsia="宋体" w:cs="宋体"/>
                        <w:sz w:val="20"/>
                        <w:szCs w:val="20"/>
                      </w:rPr>
                    </w:pPr>
                    <w:r>
                      <w:rPr>
                        <w:rFonts w:ascii="宋体" w:hAnsi="宋体" w:eastAsia="宋体" w:cs="宋体"/>
                        <w:spacing w:val="-17"/>
                        <w:w w:val="98"/>
                        <w:sz w:val="20"/>
                        <w:szCs w:val="20"/>
                      </w:rPr>
                      <w:t>动脉粥样硬化</w:t>
                    </w:r>
                  </w:p>
                  <w:p w14:paraId="79E4CCC2">
                    <w:pPr>
                      <w:spacing w:line="383" w:lineRule="auto"/>
                      <w:rPr>
                        <w:rFonts w:ascii="Arial"/>
                        <w:sz w:val="21"/>
                      </w:rPr>
                    </w:pPr>
                  </w:p>
                  <w:p w14:paraId="0E9177C1">
                    <w:pPr>
                      <w:spacing w:before="65" w:line="222" w:lineRule="auto"/>
                      <w:ind w:left="259"/>
                      <w:rPr>
                        <w:rFonts w:ascii="黑体" w:hAnsi="黑体" w:eastAsia="黑体" w:cs="黑体"/>
                        <w:sz w:val="20"/>
                        <w:szCs w:val="20"/>
                      </w:rPr>
                    </w:pPr>
                    <w:r>
                      <w:rPr>
                        <w:rFonts w:ascii="黑体" w:hAnsi="黑体" w:eastAsia="黑体" w:cs="黑体"/>
                        <w:spacing w:val="-5"/>
                        <w:sz w:val="20"/>
                        <w:szCs w:val="20"/>
                      </w:rPr>
                      <w:t>吸烟</w:t>
                    </w:r>
                  </w:p>
                  <w:p w14:paraId="25B628FA">
                    <w:pPr>
                      <w:spacing w:line="266" w:lineRule="auto"/>
                      <w:rPr>
                        <w:rFonts w:ascii="Arial"/>
                        <w:sz w:val="21"/>
                      </w:rPr>
                    </w:pPr>
                  </w:p>
                  <w:p w14:paraId="1A2AEDD6">
                    <w:pPr>
                      <w:spacing w:line="267" w:lineRule="auto"/>
                      <w:rPr>
                        <w:rFonts w:ascii="Arial"/>
                        <w:sz w:val="21"/>
                      </w:rPr>
                    </w:pPr>
                  </w:p>
                  <w:p w14:paraId="380D45FC">
                    <w:pPr>
                      <w:spacing w:line="267" w:lineRule="auto"/>
                      <w:rPr>
                        <w:rFonts w:ascii="Arial"/>
                        <w:sz w:val="21"/>
                      </w:rPr>
                    </w:pPr>
                  </w:p>
                  <w:p w14:paraId="72637823">
                    <w:pPr>
                      <w:spacing w:before="65" w:line="171" w:lineRule="auto"/>
                      <w:ind w:left="5329" w:right="20"/>
                      <w:rPr>
                        <w:rFonts w:ascii="宋体" w:hAnsi="宋体" w:eastAsia="宋体" w:cs="宋体"/>
                        <w:sz w:val="20"/>
                        <w:szCs w:val="20"/>
                      </w:rPr>
                    </w:pPr>
                    <w:r>
                      <w:rPr>
                        <w:rFonts w:ascii="黑体" w:hAnsi="黑体" w:eastAsia="黑体" w:cs="黑体"/>
                        <w:spacing w:val="-13"/>
                        <w:w w:val="94"/>
                        <w:sz w:val="20"/>
                        <w:szCs w:val="20"/>
                      </w:rPr>
                      <w:t>冠心病</w:t>
                    </w:r>
                    <w:r>
                      <w:rPr>
                        <w:rFonts w:ascii="黑体" w:hAnsi="黑体" w:eastAsia="黑体" w:cs="黑体"/>
                        <w:spacing w:val="3"/>
                        <w:sz w:val="20"/>
                        <w:szCs w:val="20"/>
                      </w:rPr>
                      <w:t xml:space="preserve"> </w:t>
                    </w:r>
                    <w:r>
                      <w:rPr>
                        <w:rFonts w:ascii="宋体" w:hAnsi="宋体" w:eastAsia="宋体" w:cs="宋体"/>
                        <w:spacing w:val="-21"/>
                        <w:sz w:val="20"/>
                        <w:szCs w:val="20"/>
                      </w:rPr>
                      <w:t>脑卒中</w:t>
                    </w:r>
                  </w:p>
                  <w:p w14:paraId="38E11B91">
                    <w:pPr>
                      <w:spacing w:before="1" w:line="209" w:lineRule="auto"/>
                      <w:ind w:left="1489"/>
                      <w:rPr>
                        <w:rFonts w:ascii="宋体" w:hAnsi="宋体" w:eastAsia="宋体" w:cs="宋体"/>
                        <w:sz w:val="20"/>
                        <w:szCs w:val="20"/>
                      </w:rPr>
                    </w:pPr>
                    <w:r>
                      <w:rPr>
                        <w:rFonts w:ascii="宋体" w:hAnsi="宋体" w:eastAsia="宋体" w:cs="宋体"/>
                        <w:spacing w:val="-18"/>
                        <w:sz w:val="20"/>
                        <w:szCs w:val="20"/>
                      </w:rPr>
                      <w:t>体重指数</w:t>
                    </w:r>
                  </w:p>
                  <w:p w14:paraId="21E5020B">
                    <w:pPr>
                      <w:spacing w:line="445" w:lineRule="auto"/>
                      <w:rPr>
                        <w:rFonts w:ascii="Arial"/>
                        <w:sz w:val="21"/>
                      </w:rPr>
                    </w:pPr>
                  </w:p>
                  <w:p w14:paraId="239D0306">
                    <w:pPr>
                      <w:spacing w:before="65" w:line="220" w:lineRule="auto"/>
                      <w:ind w:left="109"/>
                      <w:rPr>
                        <w:rFonts w:ascii="宋体" w:hAnsi="宋体" w:eastAsia="宋体" w:cs="宋体"/>
                        <w:sz w:val="20"/>
                        <w:szCs w:val="20"/>
                      </w:rPr>
                    </w:pPr>
                    <w:r>
                      <w:rPr>
                        <w:rFonts w:ascii="宋体" w:hAnsi="宋体" w:eastAsia="宋体" w:cs="宋体"/>
                        <w:spacing w:val="-8"/>
                        <w:sz w:val="20"/>
                        <w:szCs w:val="20"/>
                      </w:rPr>
                      <w:t>饮食</w:t>
                    </w:r>
                  </w:p>
                </w:txbxContent>
              </v:textbox>
            </v:shape>
            <v:shape id="_x0000_s1121" o:spid="_x0000_s1121" o:spt="202" type="#_x0000_t202" style="position:absolute;left:1720;top:478;height:480;width:387;" filled="f" stroked="f" coordsize="21600,21600">
              <v:path/>
              <v:fill on="f" focussize="0,0"/>
              <v:stroke on="f"/>
              <v:imagedata o:title=""/>
              <o:lock v:ext="edit" aspectratio="f"/>
              <v:textbox inset="0mm,0mm,0mm,0mm">
                <w:txbxContent>
                  <w:p w14:paraId="0740B9FB">
                    <w:pPr>
                      <w:spacing w:before="20" w:line="226" w:lineRule="auto"/>
                      <w:ind w:left="218" w:right="20" w:hanging="199"/>
                      <w:rPr>
                        <w:rFonts w:ascii="宋体" w:hAnsi="宋体" w:eastAsia="宋体" w:cs="宋体"/>
                        <w:sz w:val="20"/>
                        <w:szCs w:val="20"/>
                      </w:rPr>
                    </w:pPr>
                    <w:r>
                      <w:rPr>
                        <w:rFonts w:ascii="黑体" w:hAnsi="黑体" w:eastAsia="黑体" w:cs="黑体"/>
                        <w:spacing w:val="-12"/>
                        <w:w w:val="92"/>
                        <w:sz w:val="20"/>
                        <w:szCs w:val="20"/>
                      </w:rPr>
                      <w:t>血糖</w:t>
                    </w:r>
                    <w:r>
                      <w:rPr>
                        <w:rFonts w:ascii="黑体" w:hAnsi="黑体" w:eastAsia="黑体" w:cs="黑体"/>
                        <w:spacing w:val="2"/>
                        <w:sz w:val="20"/>
                        <w:szCs w:val="20"/>
                      </w:rPr>
                      <w:t xml:space="preserve"> </w:t>
                    </w:r>
                    <w:r>
                      <w:rPr>
                        <w:rFonts w:ascii="宋体" w:hAnsi="宋体" w:eastAsia="宋体" w:cs="宋体"/>
                        <w:spacing w:val="-75"/>
                        <w:sz w:val="20"/>
                        <w:szCs w:val="20"/>
                      </w:rPr>
                      <w:t>↑</w:t>
                    </w:r>
                  </w:p>
                </w:txbxContent>
              </v:textbox>
            </v:shape>
            <v:shape id="_x0000_s1122" o:spid="_x0000_s1122" o:spt="202" type="#_x0000_t202" style="position:absolute;left:-20;top:1987;height:240;width:773;" filled="f" stroked="f" coordsize="21600,21600">
              <v:path/>
              <v:fill on="f" focussize="0,0"/>
              <v:stroke on="f"/>
              <v:imagedata o:title=""/>
              <o:lock v:ext="edit" aspectratio="f"/>
              <v:textbox inset="0mm,0mm,0mm,0mm">
                <w:txbxContent>
                  <w:p w14:paraId="540561B5">
                    <w:pPr>
                      <w:spacing w:before="20" w:line="219" w:lineRule="auto"/>
                      <w:ind w:right="3"/>
                      <w:jc w:val="right"/>
                      <w:rPr>
                        <w:rFonts w:ascii="宋体" w:hAnsi="宋体" w:eastAsia="宋体" w:cs="宋体"/>
                        <w:sz w:val="20"/>
                        <w:szCs w:val="20"/>
                      </w:rPr>
                    </w:pPr>
                    <w:r>
                      <w:rPr>
                        <w:rFonts w:ascii="宋体" w:hAnsi="宋体" w:eastAsia="宋体" w:cs="宋体"/>
                        <w:spacing w:val="-13"/>
                        <w:sz w:val="20"/>
                        <w:szCs w:val="20"/>
                      </w:rPr>
                      <w:t>身体活动</w:t>
                    </w:r>
                  </w:p>
                </w:txbxContent>
              </v:textbox>
            </v:shape>
            <v:shape id="_x0000_s1123" o:spid="_x0000_s1123" o:spt="202" type="#_x0000_t202" style="position:absolute;left:3749;top:2087;height:242;width:395;" filled="f" stroked="f" coordsize="21600,21600">
              <v:path/>
              <v:fill on="f" focussize="0,0"/>
              <v:stroke on="f"/>
              <v:imagedata o:title=""/>
              <o:lock v:ext="edit" aspectratio="f"/>
              <v:textbox inset="0mm,0mm,0mm,0mm">
                <w:txbxContent>
                  <w:p w14:paraId="2C82C5F7">
                    <w:pPr>
                      <w:spacing w:before="20" w:line="222" w:lineRule="auto"/>
                      <w:jc w:val="right"/>
                      <w:rPr>
                        <w:rFonts w:ascii="黑体" w:hAnsi="黑体" w:eastAsia="黑体" w:cs="黑体"/>
                        <w:sz w:val="20"/>
                        <w:szCs w:val="20"/>
                      </w:rPr>
                    </w:pPr>
                    <w:r>
                      <w:rPr>
                        <w:rFonts w:ascii="黑体" w:hAnsi="黑体" w:eastAsia="黑体" w:cs="黑体"/>
                        <w:spacing w:val="-12"/>
                        <w:w w:val="94"/>
                        <w:sz w:val="20"/>
                        <w:szCs w:val="20"/>
                      </w:rPr>
                      <w:t>血压</w:t>
                    </w:r>
                  </w:p>
                </w:txbxContent>
              </v:textbox>
            </v:shape>
            <v:shape id="_x0000_s1124" o:spid="_x0000_s1124" o:spt="202" type="#_x0000_t202" style="position:absolute;left:3359;top:842;height:242;width:380;" filled="f" stroked="f" coordsize="21600,21600">
              <v:path/>
              <v:fill on="f" focussize="0,0"/>
              <v:stroke on="f"/>
              <v:imagedata o:title=""/>
              <o:lock v:ext="edit" aspectratio="f"/>
              <v:textbox inset="0mm,0mm,0mm,0mm">
                <w:txbxContent>
                  <w:p w14:paraId="7B4835DD">
                    <w:pPr>
                      <w:spacing w:before="19" w:line="227" w:lineRule="auto"/>
                      <w:jc w:val="right"/>
                      <w:rPr>
                        <w:rFonts w:ascii="黑体" w:hAnsi="黑体" w:eastAsia="黑体" w:cs="黑体"/>
                        <w:sz w:val="20"/>
                        <w:szCs w:val="20"/>
                      </w:rPr>
                    </w:pPr>
                    <w:r>
                      <w:rPr>
                        <w:rFonts w:ascii="黑体" w:hAnsi="黑体" w:eastAsia="黑体" w:cs="黑体"/>
                        <w:spacing w:val="-12"/>
                        <w:w w:val="91"/>
                        <w:sz w:val="20"/>
                        <w:szCs w:val="20"/>
                      </w:rPr>
                      <w:t>血脂</w:t>
                    </w:r>
                  </w:p>
                </w:txbxContent>
              </v:textbox>
            </v:shape>
            <w10:wrap type="none"/>
            <w10:anchorlock/>
          </v:group>
        </w:pict>
      </w:r>
    </w:p>
    <w:p w14:paraId="4B6AD382">
      <w:pPr>
        <w:pStyle w:val="2"/>
        <w:spacing w:before="154" w:line="221" w:lineRule="auto"/>
        <w:ind w:left="3412"/>
        <w:rPr>
          <w:sz w:val="20"/>
          <w:szCs w:val="20"/>
        </w:rPr>
      </w:pPr>
      <w:r>
        <w:rPr>
          <w:b/>
          <w:bCs/>
          <w:spacing w:val="-9"/>
          <w:sz w:val="20"/>
          <w:szCs w:val="20"/>
        </w:rPr>
        <w:t>图8-5</w:t>
      </w:r>
      <w:r>
        <w:rPr>
          <w:spacing w:val="79"/>
          <w:sz w:val="20"/>
          <w:szCs w:val="20"/>
        </w:rPr>
        <w:t xml:space="preserve"> </w:t>
      </w:r>
      <w:r>
        <w:rPr>
          <w:b/>
          <w:bCs/>
          <w:spacing w:val="-9"/>
          <w:sz w:val="20"/>
          <w:szCs w:val="20"/>
        </w:rPr>
        <w:t>心血管疾病的病因网</w:t>
      </w:r>
    </w:p>
    <w:p w14:paraId="7C76FB7C">
      <w:pPr>
        <w:spacing w:before="305" w:line="219" w:lineRule="auto"/>
        <w:ind w:left="409"/>
        <w:rPr>
          <w:rFonts w:ascii="宋体" w:hAnsi="宋体" w:eastAsia="宋体" w:cs="宋体"/>
          <w:sz w:val="20"/>
          <w:szCs w:val="20"/>
        </w:rPr>
      </w:pPr>
      <w:r>
        <w:rPr>
          <w:rFonts w:ascii="宋体" w:hAnsi="宋体" w:eastAsia="宋体" w:cs="宋体"/>
          <w:spacing w:val="13"/>
          <w:sz w:val="20"/>
          <w:szCs w:val="20"/>
        </w:rPr>
        <w:t>病因网的概念可以从理论上更清楚地解释疾病预</w:t>
      </w:r>
      <w:r>
        <w:rPr>
          <w:rFonts w:ascii="宋体" w:hAnsi="宋体" w:eastAsia="宋体" w:cs="宋体"/>
          <w:spacing w:val="12"/>
          <w:sz w:val="20"/>
          <w:szCs w:val="20"/>
        </w:rPr>
        <w:t>防中的很多现象。</w:t>
      </w:r>
    </w:p>
    <w:p w14:paraId="68DF643A">
      <w:pPr>
        <w:spacing w:before="122" w:line="276" w:lineRule="auto"/>
        <w:ind w:right="666" w:firstLine="409"/>
        <w:rPr>
          <w:rFonts w:ascii="宋体" w:hAnsi="宋体" w:eastAsia="宋体" w:cs="宋体"/>
          <w:sz w:val="20"/>
          <w:szCs w:val="20"/>
        </w:rPr>
      </w:pPr>
      <w:r>
        <w:rPr>
          <w:rFonts w:ascii="宋体" w:hAnsi="宋体" w:eastAsia="宋体" w:cs="宋体"/>
          <w:spacing w:val="13"/>
          <w:sz w:val="20"/>
          <w:szCs w:val="20"/>
        </w:rPr>
        <w:t>(1)去除一条病因链中的任何一个因素就可以完全切断整个病因链，从而预防</w:t>
      </w:r>
      <w:r>
        <w:rPr>
          <w:rFonts w:ascii="宋体" w:hAnsi="宋体" w:eastAsia="宋体" w:cs="宋体"/>
          <w:spacing w:val="12"/>
          <w:sz w:val="20"/>
          <w:szCs w:val="20"/>
        </w:rPr>
        <w:t>疾病通过此病因</w:t>
      </w:r>
      <w:r>
        <w:rPr>
          <w:rFonts w:ascii="宋体" w:hAnsi="宋体" w:eastAsia="宋体" w:cs="宋体"/>
          <w:sz w:val="20"/>
          <w:szCs w:val="20"/>
        </w:rPr>
        <w:t xml:space="preserve"> </w:t>
      </w:r>
      <w:r>
        <w:rPr>
          <w:rFonts w:ascii="宋体" w:hAnsi="宋体" w:eastAsia="宋体" w:cs="宋体"/>
          <w:spacing w:val="11"/>
          <w:sz w:val="20"/>
          <w:szCs w:val="20"/>
        </w:rPr>
        <w:t>链发生，这使得阻断病因链有了多种选择。</w:t>
      </w:r>
    </w:p>
    <w:p w14:paraId="0990A546">
      <w:pPr>
        <w:spacing w:before="163" w:line="280" w:lineRule="auto"/>
        <w:ind w:right="586" w:firstLine="409"/>
        <w:rPr>
          <w:rFonts w:ascii="宋体" w:hAnsi="宋体" w:eastAsia="宋体" w:cs="宋体"/>
          <w:sz w:val="20"/>
          <w:szCs w:val="20"/>
        </w:rPr>
      </w:pPr>
      <w:r>
        <w:rPr>
          <w:rFonts w:ascii="宋体" w:hAnsi="宋体" w:eastAsia="宋体" w:cs="宋体"/>
          <w:spacing w:val="15"/>
          <w:sz w:val="20"/>
          <w:szCs w:val="20"/>
        </w:rPr>
        <w:t>(2)不同的病因链对疾病发生的作用大小可能不同，有效的预防应切</w:t>
      </w:r>
      <w:r>
        <w:rPr>
          <w:rFonts w:ascii="宋体" w:hAnsi="宋体" w:eastAsia="宋体" w:cs="宋体"/>
          <w:spacing w:val="14"/>
          <w:sz w:val="20"/>
          <w:szCs w:val="20"/>
        </w:rPr>
        <w:t>断主要的病因链。比如，</w:t>
      </w:r>
      <w:r>
        <w:rPr>
          <w:rFonts w:ascii="宋体" w:hAnsi="宋体" w:eastAsia="宋体" w:cs="宋体"/>
          <w:sz w:val="20"/>
          <w:szCs w:val="20"/>
        </w:rPr>
        <w:t xml:space="preserve"> </w:t>
      </w:r>
      <w:r>
        <w:rPr>
          <w:rFonts w:ascii="宋体" w:hAnsi="宋体" w:eastAsia="宋体" w:cs="宋体"/>
          <w:spacing w:val="10"/>
          <w:sz w:val="20"/>
          <w:szCs w:val="20"/>
        </w:rPr>
        <w:t>吸烟是人群中发生肺癌的主要因素，控烟就成了预防肺癌的主要策略。</w:t>
      </w:r>
    </w:p>
    <w:p w14:paraId="2593E6AF">
      <w:pPr>
        <w:spacing w:before="123" w:line="311" w:lineRule="auto"/>
        <w:ind w:right="642" w:firstLine="409"/>
        <w:rPr>
          <w:rFonts w:ascii="宋体" w:hAnsi="宋体" w:eastAsia="宋体" w:cs="宋体"/>
          <w:sz w:val="20"/>
          <w:szCs w:val="20"/>
        </w:rPr>
      </w:pPr>
      <w:r>
        <w:rPr>
          <w:rFonts w:ascii="宋体" w:hAnsi="宋体" w:eastAsia="宋体" w:cs="宋体"/>
          <w:spacing w:val="19"/>
          <w:sz w:val="20"/>
          <w:szCs w:val="20"/>
        </w:rPr>
        <w:t>(3)不同的病因链可能独立地影响疾病的发生，同时切</w:t>
      </w:r>
      <w:r>
        <w:rPr>
          <w:rFonts w:ascii="宋体" w:hAnsi="宋体" w:eastAsia="宋体" w:cs="宋体"/>
          <w:spacing w:val="18"/>
          <w:sz w:val="20"/>
          <w:szCs w:val="20"/>
        </w:rPr>
        <w:t>断多个病因链必然可以预防更多的病</w:t>
      </w:r>
      <w:r>
        <w:rPr>
          <w:rFonts w:ascii="宋体" w:hAnsi="宋体" w:eastAsia="宋体" w:cs="宋体"/>
          <w:sz w:val="20"/>
          <w:szCs w:val="20"/>
        </w:rPr>
        <w:t xml:space="preserve"> </w:t>
      </w:r>
      <w:r>
        <w:rPr>
          <w:rFonts w:ascii="宋体" w:hAnsi="宋体" w:eastAsia="宋体" w:cs="宋体"/>
          <w:spacing w:val="5"/>
          <w:sz w:val="20"/>
          <w:szCs w:val="20"/>
        </w:rPr>
        <w:t>例。比如，高血压、高血脂、高血糖均可能独立地增加心血管疾病的风险，切断任何一个病因链，最</w:t>
      </w:r>
      <w:r>
        <w:rPr>
          <w:rFonts w:ascii="宋体" w:hAnsi="宋体" w:eastAsia="宋体" w:cs="宋体"/>
          <w:spacing w:val="18"/>
          <w:sz w:val="20"/>
          <w:szCs w:val="20"/>
        </w:rPr>
        <w:t xml:space="preserve"> </w:t>
      </w:r>
      <w:r>
        <w:rPr>
          <w:rFonts w:ascii="宋体" w:hAnsi="宋体" w:eastAsia="宋体" w:cs="宋体"/>
          <w:spacing w:val="14"/>
          <w:sz w:val="20"/>
          <w:szCs w:val="20"/>
        </w:rPr>
        <w:t>多可预防40%～50%的心血管疾病，但是针对三个病因链同时行动，如同时使用降血压、降血脂和</w:t>
      </w:r>
      <w:r>
        <w:rPr>
          <w:rFonts w:ascii="宋体" w:hAnsi="宋体" w:eastAsia="宋体" w:cs="宋体"/>
          <w:spacing w:val="15"/>
          <w:sz w:val="20"/>
          <w:szCs w:val="20"/>
        </w:rPr>
        <w:t xml:space="preserve"> 降血糖的药物，可将人群心血管疾病发病风险降低80%以上。</w:t>
      </w:r>
    </w:p>
    <w:p w14:paraId="72999F01">
      <w:pPr>
        <w:spacing w:before="153" w:line="333" w:lineRule="auto"/>
        <w:ind w:right="674" w:firstLine="409"/>
        <w:jc w:val="both"/>
        <w:rPr>
          <w:rFonts w:ascii="宋体" w:hAnsi="宋体" w:eastAsia="宋体" w:cs="宋体"/>
          <w:sz w:val="20"/>
          <w:szCs w:val="20"/>
        </w:rPr>
      </w:pPr>
      <w:r>
        <w:rPr>
          <w:rFonts w:ascii="宋体" w:hAnsi="宋体" w:eastAsia="宋体" w:cs="宋体"/>
          <w:spacing w:val="11"/>
          <w:sz w:val="20"/>
          <w:szCs w:val="20"/>
        </w:rPr>
        <w:t>然而，病因链和病因网就如同对病因机制的研究</w:t>
      </w:r>
      <w:r>
        <w:rPr>
          <w:rFonts w:ascii="宋体" w:hAnsi="宋体" w:eastAsia="宋体" w:cs="宋体"/>
          <w:spacing w:val="10"/>
          <w:sz w:val="20"/>
          <w:szCs w:val="20"/>
        </w:rPr>
        <w:t>，理论上十分复杂，理清各病因之间的关系需</w:t>
      </w:r>
      <w:r>
        <w:rPr>
          <w:rFonts w:ascii="宋体" w:hAnsi="宋体" w:eastAsia="宋体" w:cs="宋体"/>
          <w:sz w:val="20"/>
          <w:szCs w:val="20"/>
        </w:rPr>
        <w:t xml:space="preserve"> </w:t>
      </w:r>
      <w:r>
        <w:rPr>
          <w:rFonts w:ascii="宋体" w:hAnsi="宋体" w:eastAsia="宋体" w:cs="宋体"/>
          <w:spacing w:val="6"/>
          <w:sz w:val="20"/>
          <w:szCs w:val="20"/>
        </w:rPr>
        <w:t>要大量的流行病学研究。从实践意义上看，研究它们的价值是可疑的，</w:t>
      </w:r>
      <w:r>
        <w:rPr>
          <w:rFonts w:ascii="宋体" w:hAnsi="宋体" w:eastAsia="宋体" w:cs="宋体"/>
          <w:spacing w:val="79"/>
          <w:sz w:val="20"/>
          <w:szCs w:val="20"/>
        </w:rPr>
        <w:t xml:space="preserve"> </w:t>
      </w:r>
      <w:r>
        <w:rPr>
          <w:rFonts w:ascii="宋体" w:hAnsi="宋体" w:eastAsia="宋体" w:cs="宋体"/>
          <w:spacing w:val="6"/>
          <w:sz w:val="20"/>
          <w:szCs w:val="20"/>
        </w:rPr>
        <w:t>一条病因链上病因的数目可</w:t>
      </w:r>
      <w:r>
        <w:rPr>
          <w:rFonts w:ascii="宋体" w:hAnsi="宋体" w:eastAsia="宋体" w:cs="宋体"/>
          <w:sz w:val="20"/>
          <w:szCs w:val="20"/>
        </w:rPr>
        <w:t xml:space="preserve"> </w:t>
      </w:r>
      <w:r>
        <w:rPr>
          <w:rFonts w:ascii="宋体" w:hAnsi="宋体" w:eastAsia="宋体" w:cs="宋体"/>
          <w:spacing w:val="8"/>
          <w:sz w:val="20"/>
          <w:szCs w:val="20"/>
        </w:rPr>
        <w:t>以是无穷大的，这些意义不大的没有穷尽的研究，大</w:t>
      </w:r>
      <w:r>
        <w:rPr>
          <w:rFonts w:ascii="宋体" w:hAnsi="宋体" w:eastAsia="宋体" w:cs="宋体"/>
          <w:spacing w:val="7"/>
          <w:sz w:val="20"/>
          <w:szCs w:val="20"/>
        </w:rPr>
        <w:t>大增加了科学研究的负担。</w:t>
      </w:r>
    </w:p>
    <w:p w14:paraId="707A1D79">
      <w:pPr>
        <w:pStyle w:val="2"/>
        <w:spacing w:before="186" w:line="222" w:lineRule="auto"/>
        <w:ind w:left="413"/>
        <w:outlineLvl w:val="2"/>
        <w:rPr>
          <w:sz w:val="26"/>
          <w:szCs w:val="26"/>
        </w:rPr>
      </w:pPr>
      <w:bookmarkStart w:id="237" w:name="bookmark149"/>
      <w:bookmarkEnd w:id="237"/>
      <w:r>
        <w:rPr>
          <w:b/>
          <w:bCs/>
          <w:spacing w:val="-8"/>
          <w:sz w:val="26"/>
          <w:szCs w:val="26"/>
        </w:rPr>
        <w:t>六</w:t>
      </w:r>
      <w:r>
        <w:rPr>
          <w:spacing w:val="-63"/>
          <w:sz w:val="26"/>
          <w:szCs w:val="26"/>
        </w:rPr>
        <w:t xml:space="preserve"> </w:t>
      </w:r>
      <w:r>
        <w:rPr>
          <w:b/>
          <w:bCs/>
          <w:spacing w:val="-8"/>
          <w:sz w:val="26"/>
          <w:szCs w:val="26"/>
        </w:rPr>
        <w:t>、病因模型的比较</w:t>
      </w:r>
    </w:p>
    <w:p w14:paraId="5CAE3E96">
      <w:pPr>
        <w:spacing w:before="247" w:line="219" w:lineRule="auto"/>
        <w:ind w:left="409"/>
        <w:rPr>
          <w:rFonts w:ascii="宋体" w:hAnsi="宋体" w:eastAsia="宋体" w:cs="宋体"/>
          <w:sz w:val="20"/>
          <w:szCs w:val="20"/>
        </w:rPr>
      </w:pPr>
      <w:r>
        <w:rPr>
          <w:rFonts w:ascii="宋体" w:hAnsi="宋体" w:eastAsia="宋体" w:cs="宋体"/>
          <w:spacing w:val="16"/>
          <w:sz w:val="20"/>
          <w:szCs w:val="20"/>
        </w:rPr>
        <w:t>不同的病因模型反映了不同时期流行疾病的特征和人类对病因的认识水平。早期的病因假说</w:t>
      </w:r>
    </w:p>
    <w:p w14:paraId="6454B3FE">
      <w:pPr>
        <w:spacing w:line="219" w:lineRule="auto"/>
        <w:rPr>
          <w:rFonts w:ascii="宋体" w:hAnsi="宋体" w:eastAsia="宋体" w:cs="宋体"/>
          <w:sz w:val="20"/>
          <w:szCs w:val="20"/>
        </w:rPr>
        <w:sectPr>
          <w:footerReference r:id="rId164" w:type="default"/>
          <w:pgSz w:w="11900" w:h="16820"/>
          <w:pgMar w:top="400" w:right="793" w:bottom="829" w:left="1390" w:header="0" w:footer="649" w:gutter="0"/>
          <w:cols w:space="720" w:num="1"/>
        </w:sectPr>
      </w:pPr>
    </w:p>
    <w:p w14:paraId="794D6BCF">
      <w:pPr>
        <w:pStyle w:val="2"/>
        <w:spacing w:before="156" w:line="221" w:lineRule="auto"/>
        <w:ind w:left="679"/>
        <w:rPr>
          <w:sz w:val="19"/>
          <w:szCs w:val="19"/>
        </w:rPr>
      </w:pPr>
      <w:bookmarkStart w:id="238" w:name="bookmark483"/>
      <w:bookmarkEnd w:id="238"/>
      <w:r>
        <w:rPr>
          <w:spacing w:val="-17"/>
          <w:sz w:val="19"/>
          <w:szCs w:val="19"/>
        </w:rPr>
        <w:t>第八章 病因及其发现和推断</w:t>
      </w:r>
    </w:p>
    <w:p w14:paraId="47C3BBCD">
      <w:pPr>
        <w:spacing w:line="274" w:lineRule="auto"/>
        <w:rPr>
          <w:rFonts w:ascii="Arial"/>
          <w:sz w:val="21"/>
        </w:rPr>
      </w:pPr>
    </w:p>
    <w:p w14:paraId="081ACCEE">
      <w:pPr>
        <w:spacing w:line="275" w:lineRule="auto"/>
        <w:rPr>
          <w:rFonts w:ascii="Arial"/>
          <w:sz w:val="21"/>
        </w:rPr>
      </w:pPr>
    </w:p>
    <w:p w14:paraId="0EDCD22D">
      <w:pPr>
        <w:spacing w:before="62" w:line="354" w:lineRule="auto"/>
        <w:ind w:left="679" w:right="86"/>
        <w:jc w:val="both"/>
        <w:rPr>
          <w:rFonts w:ascii="宋体" w:hAnsi="宋体" w:eastAsia="宋体" w:cs="宋体"/>
          <w:sz w:val="19"/>
          <w:szCs w:val="19"/>
        </w:rPr>
      </w:pPr>
      <w:r>
        <w:rPr>
          <w:rFonts w:ascii="宋体" w:hAnsi="宋体" w:eastAsia="宋体" w:cs="宋体"/>
          <w:spacing w:val="18"/>
          <w:sz w:val="19"/>
          <w:szCs w:val="19"/>
        </w:rPr>
        <w:t>主要是针对传染性疾病，瘴气说和微生物说可以看成</w:t>
      </w:r>
      <w:r>
        <w:rPr>
          <w:rFonts w:ascii="宋体" w:hAnsi="宋体" w:eastAsia="宋体" w:cs="宋体"/>
          <w:spacing w:val="17"/>
          <w:sz w:val="19"/>
          <w:szCs w:val="19"/>
        </w:rPr>
        <w:t>是最简单的病因模型。病因的三角模型对早</w:t>
      </w:r>
      <w:r>
        <w:rPr>
          <w:rFonts w:ascii="宋体" w:hAnsi="宋体" w:eastAsia="宋体" w:cs="宋体"/>
          <w:sz w:val="19"/>
          <w:szCs w:val="19"/>
        </w:rPr>
        <w:t xml:space="preserve"> </w:t>
      </w:r>
      <w:r>
        <w:rPr>
          <w:rFonts w:ascii="宋体" w:hAnsi="宋体" w:eastAsia="宋体" w:cs="宋体"/>
          <w:spacing w:val="18"/>
          <w:sz w:val="19"/>
          <w:szCs w:val="19"/>
        </w:rPr>
        <w:t>期模糊的病因假说进行了明确的界定，也是对单一病因假说的否定和对多病因假说的肯定，使病</w:t>
      </w:r>
      <w:r>
        <w:rPr>
          <w:rFonts w:ascii="宋体" w:hAnsi="宋体" w:eastAsia="宋体" w:cs="宋体"/>
          <w:spacing w:val="6"/>
          <w:sz w:val="19"/>
          <w:szCs w:val="19"/>
        </w:rPr>
        <w:t xml:space="preserve"> </w:t>
      </w:r>
      <w:r>
        <w:rPr>
          <w:rFonts w:ascii="宋体" w:hAnsi="宋体" w:eastAsia="宋体" w:cs="宋体"/>
          <w:spacing w:val="13"/>
          <w:sz w:val="19"/>
          <w:szCs w:val="19"/>
        </w:rPr>
        <w:t>因的探索有了更多的方向，更有针对性，增加了预防和控制传染病的方略。慢性非传染性疾病的病 因不同于传染性疾病，前者的病因更多样化，经常没有一个像病原体那样的决定性病因。面对慢性</w:t>
      </w:r>
      <w:r>
        <w:rPr>
          <w:rFonts w:ascii="宋体" w:hAnsi="宋体" w:eastAsia="宋体" w:cs="宋体"/>
          <w:spacing w:val="7"/>
          <w:sz w:val="19"/>
          <w:szCs w:val="19"/>
        </w:rPr>
        <w:t xml:space="preserve"> </w:t>
      </w:r>
      <w:r>
        <w:rPr>
          <w:rFonts w:ascii="宋体" w:hAnsi="宋体" w:eastAsia="宋体" w:cs="宋体"/>
          <w:spacing w:val="3"/>
          <w:sz w:val="19"/>
          <w:szCs w:val="19"/>
        </w:rPr>
        <w:t>病，人类对病因的探索范围开始扩大，病因的概念也</w:t>
      </w:r>
      <w:r>
        <w:rPr>
          <w:rFonts w:ascii="宋体" w:hAnsi="宋体" w:eastAsia="宋体" w:cs="宋体"/>
          <w:spacing w:val="2"/>
          <w:sz w:val="19"/>
          <w:szCs w:val="19"/>
        </w:rPr>
        <w:t>开始“泛化”。</w:t>
      </w:r>
    </w:p>
    <w:p w14:paraId="71D158DD">
      <w:pPr>
        <w:spacing w:line="354" w:lineRule="auto"/>
        <w:rPr>
          <w:rFonts w:ascii="宋体" w:hAnsi="宋体" w:eastAsia="宋体" w:cs="宋体"/>
          <w:sz w:val="19"/>
          <w:szCs w:val="19"/>
        </w:rPr>
        <w:sectPr>
          <w:footerReference r:id="rId165" w:type="default"/>
          <w:pgSz w:w="11900" w:h="16820"/>
          <w:pgMar w:top="400" w:right="1549" w:bottom="800" w:left="840" w:header="0" w:footer="628" w:gutter="0"/>
          <w:cols w:equalWidth="0" w:num="1">
            <w:col w:w="9511"/>
          </w:cols>
        </w:sectPr>
      </w:pPr>
    </w:p>
    <w:p w14:paraId="5C121514">
      <w:pPr>
        <w:spacing w:before="38" w:line="369" w:lineRule="auto"/>
        <w:ind w:left="679" w:right="122" w:firstLine="440"/>
        <w:jc w:val="both"/>
        <w:rPr>
          <w:rFonts w:ascii="宋体" w:hAnsi="宋体" w:eastAsia="宋体" w:cs="宋体"/>
          <w:sz w:val="19"/>
          <w:szCs w:val="19"/>
        </w:rPr>
      </w:pPr>
      <w:r>
        <w:rPr>
          <w:rFonts w:ascii="宋体" w:hAnsi="宋体" w:eastAsia="宋体" w:cs="宋体"/>
          <w:spacing w:val="16"/>
          <w:sz w:val="19"/>
          <w:szCs w:val="19"/>
        </w:rPr>
        <w:t>病因的轮状模型和健康决定因素的生态模型是病因概</w:t>
      </w:r>
      <w:r>
        <w:rPr>
          <w:rFonts w:ascii="宋体" w:hAnsi="宋体" w:eastAsia="宋体" w:cs="宋体"/>
          <w:spacing w:val="18"/>
          <w:sz w:val="19"/>
          <w:szCs w:val="19"/>
        </w:rPr>
        <w:t xml:space="preserve"> </w:t>
      </w:r>
      <w:r>
        <w:rPr>
          <w:rFonts w:ascii="宋体" w:hAnsi="宋体" w:eastAsia="宋体" w:cs="宋体"/>
          <w:spacing w:val="16"/>
          <w:sz w:val="19"/>
          <w:szCs w:val="19"/>
        </w:rPr>
        <w:t>念扩展的典型产物，它们揭示了病因的多元性，大大扩展</w:t>
      </w:r>
      <w:r>
        <w:rPr>
          <w:rFonts w:ascii="宋体" w:hAnsi="宋体" w:eastAsia="宋体" w:cs="宋体"/>
          <w:spacing w:val="9"/>
          <w:sz w:val="19"/>
          <w:szCs w:val="19"/>
        </w:rPr>
        <w:t xml:space="preserve"> </w:t>
      </w:r>
      <w:r>
        <w:rPr>
          <w:rFonts w:ascii="宋体" w:hAnsi="宋体" w:eastAsia="宋体" w:cs="宋体"/>
          <w:spacing w:val="8"/>
          <w:sz w:val="19"/>
          <w:szCs w:val="19"/>
        </w:rPr>
        <w:t>了病因的范畴，使人类认识到了更多的、更深层次的、更有</w:t>
      </w:r>
      <w:r>
        <w:rPr>
          <w:rFonts w:ascii="宋体" w:hAnsi="宋体" w:eastAsia="宋体" w:cs="宋体"/>
          <w:spacing w:val="10"/>
          <w:sz w:val="19"/>
          <w:szCs w:val="19"/>
        </w:rPr>
        <w:t xml:space="preserve"> </w:t>
      </w:r>
      <w:r>
        <w:rPr>
          <w:rFonts w:ascii="宋体" w:hAnsi="宋体" w:eastAsia="宋体" w:cs="宋体"/>
          <w:spacing w:val="13"/>
          <w:sz w:val="19"/>
          <w:szCs w:val="19"/>
        </w:rPr>
        <w:t>效的控制慢性病的策略和方法。</w:t>
      </w:r>
    </w:p>
    <w:p w14:paraId="468D6BD1">
      <w:pPr>
        <w:spacing w:before="2" w:line="360" w:lineRule="auto"/>
        <w:ind w:left="679" w:right="116" w:firstLine="440"/>
        <w:jc w:val="both"/>
        <w:rPr>
          <w:rFonts w:ascii="宋体" w:hAnsi="宋体" w:eastAsia="宋体" w:cs="宋体"/>
          <w:sz w:val="19"/>
          <w:szCs w:val="19"/>
        </w:rPr>
      </w:pPr>
      <w:r>
        <w:rPr>
          <w:rFonts w:ascii="宋体" w:hAnsi="宋体" w:eastAsia="宋体" w:cs="宋体"/>
          <w:spacing w:val="26"/>
          <w:sz w:val="19"/>
          <w:szCs w:val="19"/>
        </w:rPr>
        <w:t>病因网则试图更好地展示病因之间以及病因与疾病</w:t>
      </w:r>
      <w:r>
        <w:rPr>
          <w:rFonts w:ascii="宋体" w:hAnsi="宋体" w:eastAsia="宋体" w:cs="宋体"/>
          <w:spacing w:val="10"/>
          <w:sz w:val="19"/>
          <w:szCs w:val="19"/>
        </w:rPr>
        <w:t xml:space="preserve"> </w:t>
      </w:r>
      <w:r>
        <w:rPr>
          <w:rFonts w:ascii="宋体" w:hAnsi="宋体" w:eastAsia="宋体" w:cs="宋体"/>
          <w:spacing w:val="8"/>
          <w:sz w:val="19"/>
          <w:szCs w:val="19"/>
        </w:rPr>
        <w:t xml:space="preserve">之间的复杂关系，如链式连接、协同作用、主次关系、远近 </w:t>
      </w:r>
      <w:r>
        <w:rPr>
          <w:rFonts w:ascii="宋体" w:hAnsi="宋体" w:eastAsia="宋体" w:cs="宋体"/>
          <w:spacing w:val="15"/>
          <w:sz w:val="19"/>
          <w:szCs w:val="19"/>
        </w:rPr>
        <w:t>关系等，揭示了抓一点(即一个病因)可以影响全局的可能</w:t>
      </w:r>
      <w:r>
        <w:rPr>
          <w:rFonts w:ascii="宋体" w:hAnsi="宋体" w:eastAsia="宋体" w:cs="宋体"/>
          <w:spacing w:val="18"/>
          <w:sz w:val="19"/>
          <w:szCs w:val="19"/>
        </w:rPr>
        <w:t xml:space="preserve"> </w:t>
      </w:r>
      <w:r>
        <w:rPr>
          <w:rFonts w:ascii="宋体" w:hAnsi="宋体" w:eastAsia="宋体" w:cs="宋体"/>
          <w:spacing w:val="16"/>
          <w:sz w:val="19"/>
          <w:szCs w:val="19"/>
        </w:rPr>
        <w:t>性，增加了预防慢性病的选择，也便于分清主次和发现主</w:t>
      </w:r>
      <w:r>
        <w:rPr>
          <w:rFonts w:ascii="宋体" w:hAnsi="宋体" w:eastAsia="宋体" w:cs="宋体"/>
          <w:spacing w:val="9"/>
          <w:sz w:val="19"/>
          <w:szCs w:val="19"/>
        </w:rPr>
        <w:t xml:space="preserve"> </w:t>
      </w:r>
      <w:r>
        <w:rPr>
          <w:rFonts w:ascii="宋体" w:hAnsi="宋体" w:eastAsia="宋体" w:cs="宋体"/>
          <w:spacing w:val="19"/>
          <w:sz w:val="19"/>
          <w:szCs w:val="19"/>
        </w:rPr>
        <w:t>要矛盾，更有效地预防和控制疾病。图8-6总结了各种病</w:t>
      </w:r>
      <w:r>
        <w:rPr>
          <w:rFonts w:ascii="宋体" w:hAnsi="宋体" w:eastAsia="宋体" w:cs="宋体"/>
          <w:spacing w:val="13"/>
          <w:sz w:val="19"/>
          <w:szCs w:val="19"/>
        </w:rPr>
        <w:t xml:space="preserve"> </w:t>
      </w:r>
      <w:r>
        <w:rPr>
          <w:rFonts w:ascii="宋体" w:hAnsi="宋体" w:eastAsia="宋体" w:cs="宋体"/>
          <w:spacing w:val="16"/>
          <w:sz w:val="19"/>
          <w:szCs w:val="19"/>
        </w:rPr>
        <w:t>因假说和模型发展演变的历史原因以及它们之间的区别和</w:t>
      </w:r>
      <w:r>
        <w:rPr>
          <w:rFonts w:ascii="宋体" w:hAnsi="宋体" w:eastAsia="宋体" w:cs="宋体"/>
          <w:spacing w:val="14"/>
          <w:sz w:val="19"/>
          <w:szCs w:val="19"/>
        </w:rPr>
        <w:t xml:space="preserve"> 相互关系。</w:t>
      </w:r>
    </w:p>
    <w:p w14:paraId="4CE580EA">
      <w:pPr>
        <w:spacing w:before="13" w:line="360" w:lineRule="auto"/>
        <w:ind w:left="679" w:right="110" w:firstLine="440"/>
        <w:jc w:val="both"/>
        <w:rPr>
          <w:rFonts w:ascii="宋体" w:hAnsi="宋体" w:eastAsia="宋体" w:cs="宋体"/>
          <w:sz w:val="19"/>
          <w:szCs w:val="19"/>
        </w:rPr>
      </w:pPr>
      <w:r>
        <w:rPr>
          <w:rFonts w:ascii="宋体" w:hAnsi="宋体" w:eastAsia="宋体" w:cs="宋体"/>
          <w:spacing w:val="12"/>
          <w:sz w:val="19"/>
          <w:szCs w:val="19"/>
        </w:rPr>
        <w:t>然而，不同于上述所有病因模型，充分病因-组分病因</w:t>
      </w:r>
      <w:r>
        <w:rPr>
          <w:rFonts w:ascii="宋体" w:hAnsi="宋体" w:eastAsia="宋体" w:cs="宋体"/>
          <w:spacing w:val="15"/>
          <w:sz w:val="19"/>
          <w:szCs w:val="19"/>
        </w:rPr>
        <w:t xml:space="preserve"> </w:t>
      </w:r>
      <w:r>
        <w:rPr>
          <w:rFonts w:ascii="宋体" w:hAnsi="宋体" w:eastAsia="宋体" w:cs="宋体"/>
          <w:spacing w:val="16"/>
          <w:sz w:val="19"/>
          <w:szCs w:val="19"/>
        </w:rPr>
        <w:t>模型另辟蹊径，深层次地剥离了病因之间及其与疾病间的</w:t>
      </w:r>
      <w:r>
        <w:rPr>
          <w:rFonts w:ascii="宋体" w:hAnsi="宋体" w:eastAsia="宋体" w:cs="宋体"/>
          <w:spacing w:val="13"/>
          <w:sz w:val="19"/>
          <w:szCs w:val="19"/>
        </w:rPr>
        <w:t xml:space="preserve"> </w:t>
      </w:r>
      <w:r>
        <w:rPr>
          <w:rFonts w:ascii="宋体" w:hAnsi="宋体" w:eastAsia="宋体" w:cs="宋体"/>
          <w:spacing w:val="17"/>
          <w:sz w:val="19"/>
          <w:szCs w:val="19"/>
        </w:rPr>
        <w:t>抽象关系，试图对病因进行更理性的分类并对它</w:t>
      </w:r>
      <w:r>
        <w:rPr>
          <w:rFonts w:ascii="宋体" w:hAnsi="宋体" w:eastAsia="宋体" w:cs="宋体"/>
          <w:spacing w:val="16"/>
          <w:sz w:val="19"/>
          <w:szCs w:val="19"/>
        </w:rPr>
        <w:t>们的作用</w:t>
      </w:r>
      <w:r>
        <w:rPr>
          <w:rFonts w:ascii="宋体" w:hAnsi="宋体" w:eastAsia="宋体" w:cs="宋体"/>
          <w:sz w:val="19"/>
          <w:szCs w:val="19"/>
        </w:rPr>
        <w:t xml:space="preserve"> </w:t>
      </w:r>
      <w:r>
        <w:rPr>
          <w:rFonts w:ascii="宋体" w:hAnsi="宋体" w:eastAsia="宋体" w:cs="宋体"/>
          <w:spacing w:val="14"/>
          <w:sz w:val="19"/>
          <w:szCs w:val="19"/>
        </w:rPr>
        <w:t>进行定位。</w:t>
      </w:r>
    </w:p>
    <w:p w14:paraId="37BC934E">
      <w:pPr>
        <w:spacing w:line="14" w:lineRule="auto"/>
        <w:rPr>
          <w:rFonts w:ascii="Arial"/>
          <w:sz w:val="2"/>
        </w:rPr>
      </w:pPr>
      <w:r>
        <w:rPr>
          <w:rFonts w:ascii="Arial" w:hAnsi="Arial" w:eastAsia="Arial" w:cs="Arial"/>
          <w:sz w:val="2"/>
          <w:szCs w:val="2"/>
        </w:rPr>
        <w:br w:type="column"/>
      </w:r>
    </w:p>
    <w:p w14:paraId="11BA5A67">
      <w:pPr>
        <w:spacing w:before="208" w:line="4800" w:lineRule="exact"/>
      </w:pPr>
      <w:r>
        <w:rPr>
          <w:position w:val="-96"/>
        </w:rPr>
        <w:pict>
          <v:group id="_x0000_s1125" o:spid="_x0000_s1125" o:spt="203" style="height:240.05pt;width:170.55pt;" coordsize="3411,4801">
            <o:lock v:ext="edit"/>
            <v:shape id="_x0000_s1126" o:spid="_x0000_s1126" o:spt="75" type="#_x0000_t75" style="position:absolute;left:0;top:0;height:4801;width:3411;" filled="f" stroked="f" coordsize="21600,21600">
              <v:path/>
              <v:fill on="f" focussize="0,0"/>
              <v:stroke on="f"/>
              <v:imagedata r:id="rId602" o:title=""/>
              <o:lock v:ext="edit" aspectratio="t"/>
            </v:shape>
            <v:shape id="_x0000_s1127" o:spid="_x0000_s1127" o:spt="202" type="#_x0000_t202" style="position:absolute;left:120;top:-12;height:4661;width:3237;" filled="f" stroked="f" coordsize="21600,21600">
              <v:path/>
              <v:fill on="f" focussize="0,0"/>
              <v:stroke on="f"/>
              <v:imagedata o:title=""/>
              <o:lock v:ext="edit" aspectratio="f"/>
              <v:textbox inset="0mm,0mm,0mm,0mm">
                <w:txbxContent>
                  <w:p w14:paraId="5DEB71DA">
                    <w:pPr>
                      <w:spacing w:before="19" w:line="219" w:lineRule="auto"/>
                      <w:ind w:left="1089"/>
                      <w:rPr>
                        <w:rFonts w:ascii="宋体" w:hAnsi="宋体" w:eastAsia="宋体" w:cs="宋体"/>
                        <w:sz w:val="19"/>
                        <w:szCs w:val="19"/>
                      </w:rPr>
                    </w:pPr>
                    <w:r>
                      <w:rPr>
                        <w:rFonts w:ascii="宋体" w:hAnsi="宋体" w:eastAsia="宋体" w:cs="宋体"/>
                        <w:spacing w:val="-19"/>
                        <w:sz w:val="19"/>
                        <w:szCs w:val="19"/>
                      </w:rPr>
                      <w:t>传染病的病因</w:t>
                    </w:r>
                  </w:p>
                  <w:p w14:paraId="7022029B">
                    <w:pPr>
                      <w:spacing w:line="290" w:lineRule="auto"/>
                      <w:rPr>
                        <w:rFonts w:ascii="Arial"/>
                        <w:sz w:val="21"/>
                      </w:rPr>
                    </w:pPr>
                  </w:p>
                  <w:p w14:paraId="417E58FF">
                    <w:pPr>
                      <w:spacing w:line="290" w:lineRule="auto"/>
                      <w:rPr>
                        <w:rFonts w:ascii="Arial"/>
                        <w:sz w:val="21"/>
                      </w:rPr>
                    </w:pPr>
                  </w:p>
                  <w:p w14:paraId="2B506633">
                    <w:pPr>
                      <w:spacing w:before="62" w:line="194" w:lineRule="auto"/>
                      <w:ind w:left="2020"/>
                      <w:rPr>
                        <w:rFonts w:ascii="宋体" w:hAnsi="宋体" w:eastAsia="宋体" w:cs="宋体"/>
                        <w:sz w:val="19"/>
                        <w:szCs w:val="19"/>
                      </w:rPr>
                    </w:pPr>
                    <w:r>
                      <w:rPr>
                        <w:rFonts w:ascii="宋体" w:hAnsi="宋体" w:eastAsia="宋体" w:cs="宋体"/>
                        <w:spacing w:val="-8"/>
                        <w:sz w:val="19"/>
                        <w:szCs w:val="19"/>
                      </w:rPr>
                      <w:t>微生物说</w:t>
                    </w:r>
                  </w:p>
                  <w:p w14:paraId="75AB04CC">
                    <w:pPr>
                      <w:spacing w:line="219" w:lineRule="auto"/>
                      <w:ind w:left="1839"/>
                      <w:rPr>
                        <w:rFonts w:ascii="宋体" w:hAnsi="宋体" w:eastAsia="宋体" w:cs="宋体"/>
                        <w:sz w:val="19"/>
                        <w:szCs w:val="19"/>
                      </w:rPr>
                    </w:pPr>
                    <w:r>
                      <w:rPr>
                        <w:rFonts w:ascii="宋体" w:hAnsi="宋体" w:eastAsia="宋体" w:cs="宋体"/>
                        <w:spacing w:val="-2"/>
                        <w:sz w:val="19"/>
                        <w:szCs w:val="19"/>
                      </w:rPr>
                      <w:t>(微观病因论)</w:t>
                    </w:r>
                  </w:p>
                  <w:p w14:paraId="18A007AA">
                    <w:pPr>
                      <w:spacing w:line="269" w:lineRule="auto"/>
                      <w:rPr>
                        <w:rFonts w:ascii="Arial"/>
                        <w:sz w:val="21"/>
                      </w:rPr>
                    </w:pPr>
                  </w:p>
                  <w:p w14:paraId="36F8405A">
                    <w:pPr>
                      <w:spacing w:line="269" w:lineRule="auto"/>
                      <w:rPr>
                        <w:rFonts w:ascii="Arial"/>
                        <w:sz w:val="21"/>
                      </w:rPr>
                    </w:pPr>
                  </w:p>
                  <w:p w14:paraId="1164FB7C">
                    <w:pPr>
                      <w:spacing w:line="269" w:lineRule="auto"/>
                      <w:rPr>
                        <w:rFonts w:ascii="Arial"/>
                        <w:sz w:val="21"/>
                      </w:rPr>
                    </w:pPr>
                  </w:p>
                  <w:p w14:paraId="2D2A7758">
                    <w:pPr>
                      <w:spacing w:before="62" w:line="202" w:lineRule="auto"/>
                      <w:ind w:left="49" w:right="99"/>
                      <w:rPr>
                        <w:rFonts w:ascii="宋体" w:hAnsi="宋体" w:eastAsia="宋体" w:cs="宋体"/>
                        <w:sz w:val="19"/>
                        <w:szCs w:val="19"/>
                      </w:rPr>
                    </w:pPr>
                    <w:r>
                      <w:rPr>
                        <w:rFonts w:ascii="宋体" w:hAnsi="宋体" w:eastAsia="宋体" w:cs="宋体"/>
                        <w:spacing w:val="-13"/>
                        <w:w w:val="97"/>
                        <w:sz w:val="19"/>
                        <w:szCs w:val="19"/>
                      </w:rPr>
                      <w:t>慢性非传染性疾病以及传染性疾病广泛存</w:t>
                    </w:r>
                    <w:r>
                      <w:rPr>
                        <w:rFonts w:ascii="宋体" w:hAnsi="宋体" w:eastAsia="宋体" w:cs="宋体"/>
                        <w:spacing w:val="2"/>
                        <w:sz w:val="19"/>
                        <w:szCs w:val="19"/>
                      </w:rPr>
                      <w:t xml:space="preserve"> </w:t>
                    </w:r>
                    <w:r>
                      <w:rPr>
                        <w:rFonts w:ascii="宋体" w:hAnsi="宋体" w:eastAsia="宋体" w:cs="宋体"/>
                        <w:spacing w:val="-14"/>
                        <w:sz w:val="19"/>
                        <w:szCs w:val="19"/>
                      </w:rPr>
                      <w:t>在“无因”发病和“有因”无病的现象</w:t>
                    </w:r>
                  </w:p>
                  <w:p w14:paraId="3B03FD17">
                    <w:pPr>
                      <w:spacing w:line="314" w:lineRule="auto"/>
                      <w:rPr>
                        <w:rFonts w:ascii="Arial"/>
                        <w:sz w:val="21"/>
                      </w:rPr>
                    </w:pPr>
                  </w:p>
                  <w:p w14:paraId="2083F39A">
                    <w:pPr>
                      <w:spacing w:line="315" w:lineRule="auto"/>
                      <w:rPr>
                        <w:rFonts w:ascii="Arial"/>
                        <w:sz w:val="21"/>
                      </w:rPr>
                    </w:pPr>
                  </w:p>
                  <w:p w14:paraId="7EA72812">
                    <w:pPr>
                      <w:spacing w:before="61" w:line="219" w:lineRule="auto"/>
                      <w:ind w:left="1079"/>
                      <w:rPr>
                        <w:rFonts w:ascii="宋体" w:hAnsi="宋体" w:eastAsia="宋体" w:cs="宋体"/>
                        <w:sz w:val="19"/>
                        <w:szCs w:val="19"/>
                      </w:rPr>
                    </w:pPr>
                    <w:r>
                      <w:rPr>
                        <w:rFonts w:ascii="宋体" w:hAnsi="宋体" w:eastAsia="宋体" w:cs="宋体"/>
                        <w:spacing w:val="-19"/>
                        <w:sz w:val="19"/>
                        <w:szCs w:val="19"/>
                      </w:rPr>
                      <w:t>现代多病因论</w:t>
                    </w:r>
                  </w:p>
                  <w:p w14:paraId="0034DCFA">
                    <w:pPr>
                      <w:spacing w:line="313" w:lineRule="auto"/>
                      <w:rPr>
                        <w:rFonts w:ascii="Arial"/>
                        <w:sz w:val="21"/>
                      </w:rPr>
                    </w:pPr>
                  </w:p>
                  <w:p w14:paraId="7B3743FF">
                    <w:pPr>
                      <w:spacing w:line="314" w:lineRule="auto"/>
                      <w:rPr>
                        <w:rFonts w:ascii="Arial"/>
                        <w:sz w:val="21"/>
                      </w:rPr>
                    </w:pPr>
                  </w:p>
                  <w:p w14:paraId="4DE7CE1D">
                    <w:pPr>
                      <w:spacing w:before="62" w:line="226" w:lineRule="auto"/>
                      <w:ind w:left="49" w:right="20" w:hanging="29"/>
                      <w:rPr>
                        <w:rFonts w:ascii="宋体" w:hAnsi="宋体" w:eastAsia="宋体" w:cs="宋体"/>
                        <w:sz w:val="19"/>
                        <w:szCs w:val="19"/>
                      </w:rPr>
                    </w:pPr>
                    <w:r>
                      <w:rPr>
                        <w:rFonts w:ascii="宋体" w:hAnsi="宋体" w:eastAsia="宋体" w:cs="宋体"/>
                        <w:spacing w:val="-8"/>
                        <w:sz w:val="19"/>
                        <w:szCs w:val="19"/>
                      </w:rPr>
                      <w:t>充分病因-组病因链及轮状模型及健康决</w:t>
                    </w:r>
                    <w:r>
                      <w:rPr>
                        <w:rFonts w:ascii="宋体" w:hAnsi="宋体" w:eastAsia="宋体" w:cs="宋体"/>
                        <w:spacing w:val="15"/>
                        <w:sz w:val="19"/>
                        <w:szCs w:val="19"/>
                      </w:rPr>
                      <w:t xml:space="preserve"> </w:t>
                    </w:r>
                    <w:r>
                      <w:rPr>
                        <w:rFonts w:ascii="宋体" w:hAnsi="宋体" w:eastAsia="宋体" w:cs="宋体"/>
                        <w:spacing w:val="-11"/>
                        <w:sz w:val="19"/>
                        <w:szCs w:val="19"/>
                      </w:rPr>
                      <w:t>分病因模型</w:t>
                    </w:r>
                    <w:r>
                      <w:rPr>
                        <w:rFonts w:ascii="宋体" w:hAnsi="宋体" w:eastAsia="宋体" w:cs="宋体"/>
                        <w:spacing w:val="11"/>
                        <w:sz w:val="19"/>
                        <w:szCs w:val="19"/>
                      </w:rPr>
                      <w:t xml:space="preserve">  </w:t>
                    </w:r>
                    <w:r>
                      <w:rPr>
                        <w:rFonts w:ascii="宋体" w:hAnsi="宋体" w:eastAsia="宋体" w:cs="宋体"/>
                        <w:spacing w:val="-11"/>
                        <w:sz w:val="19"/>
                        <w:szCs w:val="19"/>
                      </w:rPr>
                      <w:t>病因网 定因素的生态模型</w:t>
                    </w:r>
                  </w:p>
                </w:txbxContent>
              </v:textbox>
            </v:shape>
            <v:shape id="_x0000_s1128" o:spid="_x0000_s1128" o:spt="202" type="#_x0000_t202" style="position:absolute;left:410;top:857;height:430;width:1140;" filled="f" stroked="f" coordsize="21600,21600">
              <v:path/>
              <v:fill on="f" focussize="0,0"/>
              <v:stroke on="f"/>
              <v:imagedata o:title=""/>
              <o:lock v:ext="edit" aspectratio="f"/>
              <v:textbox inset="0mm,0mm,0mm,0mm">
                <w:txbxContent>
                  <w:p w14:paraId="23B7C610">
                    <w:pPr>
                      <w:spacing w:before="20" w:line="195" w:lineRule="auto"/>
                      <w:ind w:left="290"/>
                      <w:rPr>
                        <w:rFonts w:ascii="宋体" w:hAnsi="宋体" w:eastAsia="宋体" w:cs="宋体"/>
                        <w:sz w:val="19"/>
                        <w:szCs w:val="19"/>
                      </w:rPr>
                    </w:pPr>
                    <w:r>
                      <w:rPr>
                        <w:rFonts w:ascii="宋体" w:hAnsi="宋体" w:eastAsia="宋体" w:cs="宋体"/>
                        <w:spacing w:val="-10"/>
                        <w:sz w:val="19"/>
                        <w:szCs w:val="19"/>
                      </w:rPr>
                      <w:t>瘴气说</w:t>
                    </w:r>
                  </w:p>
                  <w:p w14:paraId="2F3C36E7">
                    <w:pPr>
                      <w:spacing w:line="220" w:lineRule="auto"/>
                      <w:ind w:left="20"/>
                      <w:rPr>
                        <w:rFonts w:ascii="宋体" w:hAnsi="宋体" w:eastAsia="宋体" w:cs="宋体"/>
                        <w:sz w:val="19"/>
                        <w:szCs w:val="19"/>
                      </w:rPr>
                    </w:pPr>
                    <w:r>
                      <w:rPr>
                        <w:rFonts w:ascii="宋体" w:hAnsi="宋体" w:eastAsia="宋体" w:cs="宋体"/>
                        <w:spacing w:val="-6"/>
                        <w:sz w:val="19"/>
                        <w:szCs w:val="19"/>
                      </w:rPr>
                      <w:t>(宏观病因论)</w:t>
                    </w:r>
                  </w:p>
                </w:txbxContent>
              </v:textbox>
            </v:shape>
            <w10:wrap type="none"/>
            <w10:anchorlock/>
          </v:group>
        </w:pict>
      </w:r>
    </w:p>
    <w:p w14:paraId="78FC94A4">
      <w:pPr>
        <w:pStyle w:val="2"/>
        <w:spacing w:before="126" w:line="221" w:lineRule="auto"/>
        <w:ind w:left="260"/>
        <w:rPr>
          <w:sz w:val="19"/>
          <w:szCs w:val="19"/>
        </w:rPr>
      </w:pPr>
      <w:r>
        <w:rPr>
          <w:sz w:val="19"/>
          <w:szCs w:val="19"/>
        </w:rPr>
        <w:t>图8-6</w:t>
      </w:r>
      <w:r>
        <w:rPr>
          <w:spacing w:val="84"/>
          <w:sz w:val="19"/>
          <w:szCs w:val="19"/>
        </w:rPr>
        <w:t xml:space="preserve"> </w:t>
      </w:r>
      <w:r>
        <w:rPr>
          <w:sz w:val="19"/>
          <w:szCs w:val="19"/>
        </w:rPr>
        <w:t>病因学说和病因模型的演变</w:t>
      </w:r>
    </w:p>
    <w:p w14:paraId="7E46E6E6">
      <w:pPr>
        <w:spacing w:line="221" w:lineRule="auto"/>
        <w:rPr>
          <w:sz w:val="19"/>
          <w:szCs w:val="19"/>
        </w:rPr>
        <w:sectPr>
          <w:type w:val="continuous"/>
          <w:pgSz w:w="11900" w:h="16820"/>
          <w:pgMar w:top="400" w:right="1549" w:bottom="800" w:left="840" w:header="0" w:footer="628" w:gutter="0"/>
          <w:cols w:equalWidth="0" w:num="2">
            <w:col w:w="6000" w:space="100"/>
            <w:col w:w="3411"/>
          </w:cols>
        </w:sectPr>
      </w:pPr>
    </w:p>
    <w:p w14:paraId="79EF9D71">
      <w:pPr>
        <w:spacing w:line="387" w:lineRule="auto"/>
        <w:rPr>
          <w:rFonts w:ascii="Arial"/>
          <w:sz w:val="21"/>
        </w:rPr>
      </w:pPr>
    </w:p>
    <w:p w14:paraId="3FBA3DFF">
      <w:pPr>
        <w:pStyle w:val="2"/>
        <w:spacing w:before="97" w:line="222" w:lineRule="auto"/>
        <w:ind w:left="2974"/>
        <w:outlineLvl w:val="1"/>
      </w:pPr>
      <w:bookmarkStart w:id="239" w:name="bookmark150"/>
      <w:bookmarkEnd w:id="239"/>
      <w:r>
        <w:rPr>
          <w:b/>
          <w:bCs/>
          <w:spacing w:val="-9"/>
        </w:rPr>
        <w:t>第三节</w:t>
      </w:r>
      <w:r>
        <w:rPr>
          <w:spacing w:val="101"/>
        </w:rPr>
        <w:t xml:space="preserve"> </w:t>
      </w:r>
      <w:r>
        <w:rPr>
          <w:b/>
          <w:bCs/>
          <w:spacing w:val="-9"/>
        </w:rPr>
        <w:t>充分病因-组分病因模型</w:t>
      </w:r>
    </w:p>
    <w:p w14:paraId="7FEFE6C7">
      <w:pPr>
        <w:spacing w:line="384" w:lineRule="auto"/>
        <w:rPr>
          <w:rFonts w:ascii="Arial"/>
          <w:sz w:val="21"/>
        </w:rPr>
      </w:pPr>
    </w:p>
    <w:p w14:paraId="17E0B6AD">
      <w:pPr>
        <w:pStyle w:val="2"/>
        <w:spacing w:before="82" w:line="221" w:lineRule="auto"/>
        <w:ind w:left="1123"/>
        <w:outlineLvl w:val="2"/>
        <w:rPr>
          <w:sz w:val="25"/>
          <w:szCs w:val="25"/>
        </w:rPr>
      </w:pPr>
      <w:bookmarkStart w:id="240" w:name="bookmark151"/>
      <w:bookmarkEnd w:id="240"/>
      <w:r>
        <w:rPr>
          <w:b/>
          <w:bCs/>
          <w:spacing w:val="-18"/>
          <w:sz w:val="25"/>
          <w:szCs w:val="25"/>
        </w:rPr>
        <w:t>一</w:t>
      </w:r>
      <w:r>
        <w:rPr>
          <w:spacing w:val="-56"/>
          <w:sz w:val="25"/>
          <w:szCs w:val="25"/>
        </w:rPr>
        <w:t xml:space="preserve"> </w:t>
      </w:r>
      <w:r>
        <w:rPr>
          <w:b/>
          <w:bCs/>
          <w:spacing w:val="-18"/>
          <w:sz w:val="25"/>
          <w:szCs w:val="25"/>
        </w:rPr>
        <w:t>、新的病因观</w:t>
      </w:r>
    </w:p>
    <w:p w14:paraId="76741A09">
      <w:pPr>
        <w:spacing w:before="264" w:line="360" w:lineRule="auto"/>
        <w:ind w:left="679" w:right="24" w:firstLine="440"/>
        <w:jc w:val="both"/>
        <w:rPr>
          <w:rFonts w:ascii="宋体" w:hAnsi="宋体" w:eastAsia="宋体" w:cs="宋体"/>
          <w:sz w:val="19"/>
          <w:szCs w:val="19"/>
        </w:rPr>
      </w:pPr>
      <w:r>
        <w:rPr>
          <w:rFonts w:ascii="宋体" w:hAnsi="宋体" w:eastAsia="宋体" w:cs="宋体"/>
          <w:spacing w:val="14"/>
          <w:sz w:val="19"/>
          <w:szCs w:val="19"/>
        </w:rPr>
        <w:t>早期的病因学说多是针对传染病的，自从人类发现了传染病的</w:t>
      </w:r>
      <w:r>
        <w:rPr>
          <w:rFonts w:ascii="宋体" w:hAnsi="宋体" w:eastAsia="宋体" w:cs="宋体"/>
          <w:spacing w:val="13"/>
          <w:sz w:val="19"/>
          <w:szCs w:val="19"/>
        </w:rPr>
        <w:t>病原体以后，病因的微生物说盛</w:t>
      </w:r>
      <w:r>
        <w:rPr>
          <w:rFonts w:ascii="宋体" w:hAnsi="宋体" w:eastAsia="宋体" w:cs="宋体"/>
          <w:sz w:val="19"/>
          <w:szCs w:val="19"/>
        </w:rPr>
        <w:t xml:space="preserve"> </w:t>
      </w:r>
      <w:r>
        <w:rPr>
          <w:rFonts w:ascii="宋体" w:hAnsi="宋体" w:eastAsia="宋体" w:cs="宋体"/>
          <w:spacing w:val="13"/>
          <w:sz w:val="19"/>
          <w:szCs w:val="19"/>
        </w:rPr>
        <w:t>行，成为主导的病因理论。判断病原体和疾病关系的科赫法则是微生物说的代表性理论，该法则认</w:t>
      </w:r>
      <w:r>
        <w:rPr>
          <w:rFonts w:ascii="宋体" w:hAnsi="宋体" w:eastAsia="宋体" w:cs="宋体"/>
          <w:spacing w:val="9"/>
          <w:sz w:val="19"/>
          <w:szCs w:val="19"/>
        </w:rPr>
        <w:t xml:space="preserve"> </w:t>
      </w:r>
      <w:r>
        <w:rPr>
          <w:rFonts w:ascii="宋体" w:hAnsi="宋体" w:eastAsia="宋体" w:cs="宋体"/>
          <w:spacing w:val="20"/>
          <w:sz w:val="19"/>
          <w:szCs w:val="19"/>
        </w:rPr>
        <w:t>为疾病的病因是单一的，即一个疾病只有一个病因(病原体),如果一个疾病的发生只需要</w:t>
      </w:r>
      <w:r>
        <w:rPr>
          <w:rFonts w:ascii="宋体" w:hAnsi="宋体" w:eastAsia="宋体" w:cs="宋体"/>
          <w:spacing w:val="19"/>
          <w:sz w:val="19"/>
          <w:szCs w:val="19"/>
        </w:rPr>
        <w:t>一个病</w:t>
      </w:r>
      <w:r>
        <w:rPr>
          <w:rFonts w:ascii="宋体" w:hAnsi="宋体" w:eastAsia="宋体" w:cs="宋体"/>
          <w:sz w:val="19"/>
          <w:szCs w:val="19"/>
        </w:rPr>
        <w:t xml:space="preserve"> </w:t>
      </w:r>
      <w:r>
        <w:rPr>
          <w:rFonts w:ascii="宋体" w:hAnsi="宋体" w:eastAsia="宋体" w:cs="宋体"/>
          <w:spacing w:val="15"/>
          <w:sz w:val="19"/>
          <w:szCs w:val="19"/>
        </w:rPr>
        <w:t>因，所有患该病的病人必然都会具有这个病因。该法则还认为，有了病因</w:t>
      </w:r>
      <w:r>
        <w:rPr>
          <w:rFonts w:ascii="宋体" w:hAnsi="宋体" w:eastAsia="宋体" w:cs="宋体"/>
          <w:spacing w:val="14"/>
          <w:sz w:val="19"/>
          <w:szCs w:val="19"/>
        </w:rPr>
        <w:t>疾病必然会发生。然而，</w:t>
      </w:r>
      <w:r>
        <w:rPr>
          <w:rFonts w:ascii="宋体" w:hAnsi="宋体" w:eastAsia="宋体" w:cs="宋体"/>
          <w:sz w:val="19"/>
          <w:szCs w:val="19"/>
        </w:rPr>
        <w:t xml:space="preserve"> </w:t>
      </w:r>
      <w:r>
        <w:rPr>
          <w:rFonts w:ascii="宋体" w:hAnsi="宋体" w:eastAsia="宋体" w:cs="宋体"/>
          <w:spacing w:val="18"/>
          <w:sz w:val="19"/>
          <w:szCs w:val="19"/>
        </w:rPr>
        <w:t>慢性非传染性疾病的病因对这个人类长期信奉的简单的病因理论构成了挑战。对于慢性非传染性</w:t>
      </w:r>
      <w:r>
        <w:rPr>
          <w:rFonts w:ascii="宋体" w:hAnsi="宋体" w:eastAsia="宋体" w:cs="宋体"/>
          <w:sz w:val="19"/>
          <w:szCs w:val="19"/>
        </w:rPr>
        <w:t xml:space="preserve"> </w:t>
      </w:r>
      <w:r>
        <w:rPr>
          <w:rFonts w:ascii="宋体" w:hAnsi="宋体" w:eastAsia="宋体" w:cs="宋体"/>
          <w:spacing w:val="18"/>
          <w:sz w:val="19"/>
          <w:szCs w:val="19"/>
        </w:rPr>
        <w:t>疾病来说，微生物说对瘴气说的挑战，刚好成了对自身的攻击。尤其在慢性非传染性疾病的病因</w:t>
      </w:r>
      <w:r>
        <w:rPr>
          <w:rFonts w:ascii="宋体" w:hAnsi="宋体" w:eastAsia="宋体" w:cs="宋体"/>
          <w:spacing w:val="12"/>
          <w:sz w:val="19"/>
          <w:szCs w:val="19"/>
        </w:rPr>
        <w:t xml:space="preserve"> </w:t>
      </w:r>
      <w:r>
        <w:rPr>
          <w:rFonts w:ascii="宋体" w:hAnsi="宋体" w:eastAsia="宋体" w:cs="宋体"/>
          <w:spacing w:val="13"/>
          <w:sz w:val="19"/>
          <w:szCs w:val="19"/>
        </w:rPr>
        <w:t>上，微生物说不能解释为什么有些人有某个病因却没有生病，也不能解释为什么有些人有了病却没</w:t>
      </w:r>
      <w:r>
        <w:rPr>
          <w:rFonts w:ascii="宋体" w:hAnsi="宋体" w:eastAsia="宋体" w:cs="宋体"/>
          <w:spacing w:val="8"/>
          <w:sz w:val="19"/>
          <w:szCs w:val="19"/>
        </w:rPr>
        <w:t xml:space="preserve"> </w:t>
      </w:r>
      <w:r>
        <w:rPr>
          <w:rFonts w:ascii="宋体" w:hAnsi="宋体" w:eastAsia="宋体" w:cs="宋体"/>
          <w:spacing w:val="15"/>
          <w:sz w:val="19"/>
          <w:szCs w:val="19"/>
        </w:rPr>
        <w:t>有某个病因。</w:t>
      </w:r>
    </w:p>
    <w:p w14:paraId="5198990C">
      <w:pPr>
        <w:spacing w:before="27" w:line="330" w:lineRule="auto"/>
        <w:ind w:left="679" w:right="42" w:firstLine="440"/>
        <w:jc w:val="both"/>
        <w:rPr>
          <w:rFonts w:ascii="宋体" w:hAnsi="宋体" w:eastAsia="宋体" w:cs="宋体"/>
          <w:sz w:val="19"/>
          <w:szCs w:val="19"/>
        </w:rPr>
      </w:pPr>
      <w:r>
        <w:rPr>
          <w:rFonts w:ascii="宋体" w:hAnsi="宋体" w:eastAsia="宋体" w:cs="宋体"/>
          <w:spacing w:val="9"/>
          <w:sz w:val="19"/>
          <w:szCs w:val="19"/>
        </w:rPr>
        <w:t>现代哲学认为，因和果的关系不是单一的，而是多重的、复杂的。举</w:t>
      </w:r>
      <w:r>
        <w:rPr>
          <w:rFonts w:ascii="宋体" w:hAnsi="宋体" w:eastAsia="宋体" w:cs="宋体"/>
          <w:spacing w:val="8"/>
          <w:sz w:val="19"/>
          <w:szCs w:val="19"/>
        </w:rPr>
        <w:t>例说明，假设我们希望在三</w:t>
      </w:r>
      <w:r>
        <w:rPr>
          <w:rFonts w:ascii="宋体" w:hAnsi="宋体" w:eastAsia="宋体" w:cs="宋体"/>
          <w:sz w:val="19"/>
          <w:szCs w:val="19"/>
        </w:rPr>
        <w:t xml:space="preserve"> </w:t>
      </w:r>
      <w:r>
        <w:rPr>
          <w:rFonts w:ascii="宋体" w:hAnsi="宋体" w:eastAsia="宋体" w:cs="宋体"/>
          <w:spacing w:val="13"/>
          <w:sz w:val="19"/>
          <w:szCs w:val="19"/>
        </w:rPr>
        <w:t>天内开车从北京到达上海，三天内到达上海是结果，开车是可以产生这个结果的决定因素，或者说</w:t>
      </w:r>
      <w:r>
        <w:rPr>
          <w:rFonts w:ascii="宋体" w:hAnsi="宋体" w:eastAsia="宋体" w:cs="宋体"/>
          <w:spacing w:val="8"/>
          <w:sz w:val="19"/>
          <w:szCs w:val="19"/>
        </w:rPr>
        <w:t xml:space="preserve"> </w:t>
      </w:r>
      <w:r>
        <w:rPr>
          <w:rFonts w:ascii="宋体" w:hAnsi="宋体" w:eastAsia="宋体" w:cs="宋体"/>
          <w:spacing w:val="18"/>
          <w:sz w:val="19"/>
          <w:szCs w:val="19"/>
        </w:rPr>
        <w:t>开车是原因，到达上海是结果。那么,是否有了汽车就一</w:t>
      </w:r>
      <w:r>
        <w:rPr>
          <w:rFonts w:ascii="宋体" w:hAnsi="宋体" w:eastAsia="宋体" w:cs="宋体"/>
          <w:spacing w:val="17"/>
          <w:sz w:val="19"/>
          <w:szCs w:val="19"/>
        </w:rPr>
        <w:t>定能在三天内到达上海呢?显然不是。我</w:t>
      </w:r>
      <w:r>
        <w:rPr>
          <w:rFonts w:ascii="宋体" w:hAnsi="宋体" w:eastAsia="宋体" w:cs="宋体"/>
          <w:sz w:val="19"/>
          <w:szCs w:val="19"/>
        </w:rPr>
        <w:t xml:space="preserve"> </w:t>
      </w:r>
      <w:r>
        <w:rPr>
          <w:rFonts w:ascii="宋体" w:hAnsi="宋体" w:eastAsia="宋体" w:cs="宋体"/>
          <w:spacing w:val="9"/>
          <w:sz w:val="19"/>
          <w:szCs w:val="19"/>
        </w:rPr>
        <w:t>们能否到达上海还取决于很多其他因素，比如，路况如</w:t>
      </w:r>
      <w:r>
        <w:rPr>
          <w:rFonts w:ascii="宋体" w:hAnsi="宋体" w:eastAsia="宋体" w:cs="宋体"/>
          <w:spacing w:val="8"/>
          <w:sz w:val="19"/>
          <w:szCs w:val="19"/>
        </w:rPr>
        <w:t>何，天气如何，司机的状况如何，汽车的状况</w:t>
      </w:r>
      <w:r>
        <w:rPr>
          <w:rFonts w:ascii="宋体" w:hAnsi="宋体" w:eastAsia="宋体" w:cs="宋体"/>
          <w:sz w:val="19"/>
          <w:szCs w:val="19"/>
        </w:rPr>
        <w:t xml:space="preserve"> </w:t>
      </w:r>
      <w:r>
        <w:rPr>
          <w:rFonts w:ascii="宋体" w:hAnsi="宋体" w:eastAsia="宋体" w:cs="宋体"/>
          <w:spacing w:val="14"/>
          <w:sz w:val="19"/>
          <w:szCs w:val="19"/>
        </w:rPr>
        <w:t>如何，等等。任何一个因素出了问题，都可能导致我们无法按时</w:t>
      </w:r>
      <w:r>
        <w:rPr>
          <w:rFonts w:ascii="宋体" w:hAnsi="宋体" w:eastAsia="宋体" w:cs="宋体"/>
          <w:spacing w:val="13"/>
          <w:sz w:val="19"/>
          <w:szCs w:val="19"/>
        </w:rPr>
        <w:t>到达目的地。换言之，所有这些可</w:t>
      </w:r>
      <w:r>
        <w:rPr>
          <w:rFonts w:ascii="宋体" w:hAnsi="宋体" w:eastAsia="宋体" w:cs="宋体"/>
          <w:sz w:val="19"/>
          <w:szCs w:val="19"/>
        </w:rPr>
        <w:t xml:space="preserve"> </w:t>
      </w:r>
      <w:r>
        <w:rPr>
          <w:rFonts w:ascii="宋体" w:hAnsi="宋体" w:eastAsia="宋体" w:cs="宋体"/>
          <w:spacing w:val="14"/>
          <w:sz w:val="19"/>
          <w:szCs w:val="19"/>
        </w:rPr>
        <w:t>能的因素都是按时到达上海的必要条件，缺一不可，只有当它们都同时</w:t>
      </w:r>
      <w:r>
        <w:rPr>
          <w:rFonts w:ascii="宋体" w:hAnsi="宋体" w:eastAsia="宋体" w:cs="宋体"/>
          <w:spacing w:val="13"/>
          <w:sz w:val="19"/>
          <w:szCs w:val="19"/>
        </w:rPr>
        <w:t>具备时，才能获得预期的结</w:t>
      </w:r>
    </w:p>
    <w:p w14:paraId="201E59F5">
      <w:pPr>
        <w:spacing w:line="330" w:lineRule="auto"/>
        <w:rPr>
          <w:rFonts w:ascii="宋体" w:hAnsi="宋体" w:eastAsia="宋体" w:cs="宋体"/>
          <w:sz w:val="19"/>
          <w:szCs w:val="19"/>
        </w:rPr>
        <w:sectPr>
          <w:type w:val="continuous"/>
          <w:pgSz w:w="11900" w:h="16820"/>
          <w:pgMar w:top="400" w:right="1549" w:bottom="800" w:left="840" w:header="0" w:footer="628" w:gutter="0"/>
          <w:cols w:equalWidth="0" w:num="1">
            <w:col w:w="9511"/>
          </w:cols>
        </w:sectPr>
      </w:pPr>
    </w:p>
    <w:p w14:paraId="62ED8A4D">
      <w:pPr>
        <w:pStyle w:val="2"/>
        <w:spacing w:before="296" w:line="221" w:lineRule="auto"/>
        <w:ind w:left="6820"/>
        <w:rPr>
          <w:sz w:val="20"/>
          <w:szCs w:val="20"/>
        </w:rPr>
      </w:pPr>
      <w:bookmarkStart w:id="241" w:name="bookmark484"/>
      <w:bookmarkEnd w:id="241"/>
      <w:r>
        <w:rPr>
          <w:spacing w:val="-15"/>
          <w:sz w:val="20"/>
          <w:szCs w:val="20"/>
        </w:rPr>
        <w:t>第八章病因及其发现和推断</w:t>
      </w:r>
    </w:p>
    <w:p w14:paraId="1874DD7C">
      <w:pPr>
        <w:spacing w:line="256" w:lineRule="auto"/>
        <w:rPr>
          <w:rFonts w:ascii="Arial"/>
          <w:sz w:val="21"/>
        </w:rPr>
      </w:pPr>
    </w:p>
    <w:p w14:paraId="64DAC8F2">
      <w:pPr>
        <w:spacing w:line="257" w:lineRule="auto"/>
        <w:rPr>
          <w:rFonts w:ascii="Arial"/>
          <w:sz w:val="21"/>
        </w:rPr>
      </w:pPr>
    </w:p>
    <w:p w14:paraId="436736EB">
      <w:pPr>
        <w:spacing w:before="65" w:line="337" w:lineRule="auto"/>
        <w:ind w:right="678"/>
        <w:rPr>
          <w:rFonts w:ascii="宋体" w:hAnsi="宋体" w:eastAsia="宋体" w:cs="宋体"/>
          <w:sz w:val="20"/>
          <w:szCs w:val="20"/>
        </w:rPr>
      </w:pPr>
      <w:r>
        <w:rPr>
          <w:rFonts w:ascii="宋体" w:hAnsi="宋体" w:eastAsia="宋体" w:cs="宋体"/>
          <w:spacing w:val="5"/>
          <w:sz w:val="20"/>
          <w:szCs w:val="20"/>
        </w:rPr>
        <w:t>果。但是，为了到达上海，开车不是唯一的选择，乘飞机或火车同样可以去上海，这样一来</w:t>
      </w:r>
      <w:r>
        <w:rPr>
          <w:rFonts w:ascii="宋体" w:hAnsi="宋体" w:eastAsia="宋体" w:cs="宋体"/>
          <w:spacing w:val="4"/>
          <w:sz w:val="20"/>
          <w:szCs w:val="20"/>
        </w:rPr>
        <w:t>，即使以</w:t>
      </w:r>
      <w:r>
        <w:rPr>
          <w:rFonts w:ascii="宋体" w:hAnsi="宋体" w:eastAsia="宋体" w:cs="宋体"/>
          <w:sz w:val="20"/>
          <w:szCs w:val="20"/>
        </w:rPr>
        <w:t xml:space="preserve"> </w:t>
      </w:r>
      <w:r>
        <w:rPr>
          <w:rFonts w:ascii="宋体" w:hAnsi="宋体" w:eastAsia="宋体" w:cs="宋体"/>
          <w:spacing w:val="6"/>
          <w:sz w:val="20"/>
          <w:szCs w:val="20"/>
        </w:rPr>
        <w:t>上所有与开车相关的条件都不存在，目的还是会实现，结果还是会发生。</w:t>
      </w:r>
    </w:p>
    <w:p w14:paraId="3C4B2430">
      <w:pPr>
        <w:spacing w:before="1" w:line="361" w:lineRule="auto"/>
        <w:ind w:right="667" w:firstLine="429"/>
        <w:jc w:val="both"/>
        <w:rPr>
          <w:rFonts w:ascii="宋体" w:hAnsi="宋体" w:eastAsia="宋体" w:cs="宋体"/>
          <w:sz w:val="20"/>
          <w:szCs w:val="20"/>
        </w:rPr>
      </w:pPr>
      <w:r>
        <w:rPr>
          <w:rFonts w:ascii="宋体" w:hAnsi="宋体" w:eastAsia="宋体" w:cs="宋体"/>
          <w:spacing w:val="10"/>
          <w:sz w:val="20"/>
          <w:szCs w:val="20"/>
        </w:rPr>
        <w:t>这个例子说明，同一个结果可以由多个不同的原因引起，而且单</w:t>
      </w:r>
      <w:r>
        <w:rPr>
          <w:rFonts w:ascii="宋体" w:hAnsi="宋体" w:eastAsia="宋体" w:cs="宋体"/>
          <w:spacing w:val="9"/>
          <w:sz w:val="20"/>
          <w:szCs w:val="20"/>
        </w:rPr>
        <w:t>一原因多不足以引起结果的发</w:t>
      </w:r>
      <w:r>
        <w:rPr>
          <w:rFonts w:ascii="宋体" w:hAnsi="宋体" w:eastAsia="宋体" w:cs="宋体"/>
          <w:sz w:val="20"/>
          <w:szCs w:val="20"/>
        </w:rPr>
        <w:t xml:space="preserve"> </w:t>
      </w:r>
      <w:r>
        <w:rPr>
          <w:rFonts w:ascii="宋体" w:hAnsi="宋体" w:eastAsia="宋体" w:cs="宋体"/>
          <w:spacing w:val="12"/>
          <w:sz w:val="20"/>
          <w:szCs w:val="20"/>
        </w:rPr>
        <w:t>生，还需其他因素的协同作用，结果才能发生。原因和结果的这种复杂关系可</w:t>
      </w:r>
      <w:r>
        <w:rPr>
          <w:rFonts w:ascii="宋体" w:hAnsi="宋体" w:eastAsia="宋体" w:cs="宋体"/>
          <w:spacing w:val="11"/>
          <w:sz w:val="20"/>
          <w:szCs w:val="20"/>
        </w:rPr>
        <w:t>以用充分病因-组分</w:t>
      </w:r>
      <w:r>
        <w:rPr>
          <w:rFonts w:ascii="宋体" w:hAnsi="宋体" w:eastAsia="宋体" w:cs="宋体"/>
          <w:sz w:val="20"/>
          <w:szCs w:val="20"/>
        </w:rPr>
        <w:t xml:space="preserve"> </w:t>
      </w:r>
      <w:r>
        <w:rPr>
          <w:rFonts w:ascii="宋体" w:hAnsi="宋体" w:eastAsia="宋体" w:cs="宋体"/>
          <w:spacing w:val="14"/>
          <w:sz w:val="20"/>
          <w:szCs w:val="20"/>
        </w:rPr>
        <w:t>病因模型来解释。</w:t>
      </w:r>
    </w:p>
    <w:p w14:paraId="62FEAD4D">
      <w:pPr>
        <w:pStyle w:val="2"/>
        <w:spacing w:before="124" w:line="222" w:lineRule="auto"/>
        <w:ind w:left="493"/>
        <w:outlineLvl w:val="2"/>
        <w:rPr>
          <w:sz w:val="26"/>
          <w:szCs w:val="26"/>
        </w:rPr>
      </w:pPr>
      <w:bookmarkStart w:id="242" w:name="bookmark152"/>
      <w:bookmarkEnd w:id="242"/>
      <w:r>
        <w:rPr>
          <w:b/>
          <w:bCs/>
          <w:spacing w:val="-5"/>
          <w:sz w:val="26"/>
          <w:szCs w:val="26"/>
        </w:rPr>
        <w:t>二、充分病因和组分病因</w:t>
      </w:r>
    </w:p>
    <w:p w14:paraId="3E7016ED">
      <w:pPr>
        <w:spacing w:before="273" w:line="341" w:lineRule="auto"/>
        <w:ind w:right="662" w:firstLine="429"/>
        <w:jc w:val="both"/>
        <w:rPr>
          <w:rFonts w:ascii="宋体" w:hAnsi="宋体" w:eastAsia="宋体" w:cs="宋体"/>
          <w:sz w:val="20"/>
          <w:szCs w:val="20"/>
        </w:rPr>
      </w:pPr>
      <w:r>
        <w:rPr>
          <w:rFonts w:ascii="宋体" w:hAnsi="宋体" w:eastAsia="宋体" w:cs="宋体"/>
          <w:spacing w:val="-3"/>
          <w:sz w:val="20"/>
          <w:szCs w:val="20"/>
        </w:rPr>
        <w:t>1976年，Kenneth  Rothman在《美国流行病学杂志》(American Journal of Epidemiology)</w:t>
      </w:r>
      <w:r>
        <w:rPr>
          <w:rFonts w:ascii="宋体" w:hAnsi="宋体" w:eastAsia="宋体" w:cs="宋体"/>
          <w:spacing w:val="-4"/>
          <w:sz w:val="20"/>
          <w:szCs w:val="20"/>
        </w:rPr>
        <w:t>对充分病</w:t>
      </w:r>
      <w:r>
        <w:rPr>
          <w:rFonts w:ascii="宋体" w:hAnsi="宋体" w:eastAsia="宋体" w:cs="宋体"/>
          <w:sz w:val="20"/>
          <w:szCs w:val="20"/>
        </w:rPr>
        <w:t xml:space="preserve"> </w:t>
      </w:r>
      <w:r>
        <w:rPr>
          <w:rFonts w:ascii="宋体" w:hAnsi="宋体" w:eastAsia="宋体" w:cs="宋体"/>
          <w:spacing w:val="9"/>
          <w:sz w:val="20"/>
          <w:szCs w:val="20"/>
        </w:rPr>
        <w:t>因-组分病因模型</w:t>
      </w:r>
      <w:r>
        <w:rPr>
          <w:rFonts w:ascii="Times New Roman" w:hAnsi="Times New Roman" w:eastAsia="Times New Roman" w:cs="Times New Roman"/>
          <w:spacing w:val="9"/>
          <w:sz w:val="20"/>
          <w:szCs w:val="20"/>
        </w:rPr>
        <w:t>(</w:t>
      </w:r>
      <w:r>
        <w:rPr>
          <w:rFonts w:ascii="Times New Roman" w:hAnsi="Times New Roman" w:eastAsia="Times New Roman" w:cs="Times New Roman"/>
          <w:sz w:val="20"/>
          <w:szCs w:val="20"/>
        </w:rPr>
        <w:t>sufficient</w:t>
      </w:r>
      <w:r>
        <w:rPr>
          <w:rFonts w:ascii="Times New Roman" w:hAnsi="Times New Roman" w:eastAsia="Times New Roman" w:cs="Times New Roman"/>
          <w:spacing w:val="9"/>
          <w:sz w:val="20"/>
          <w:szCs w:val="20"/>
        </w:rPr>
        <w:t>-</w:t>
      </w:r>
      <w:r>
        <w:rPr>
          <w:rFonts w:ascii="Times New Roman" w:hAnsi="Times New Roman" w:eastAsia="Times New Roman" w:cs="Times New Roman"/>
          <w:sz w:val="20"/>
          <w:szCs w:val="20"/>
        </w:rPr>
        <w:t>component</w:t>
      </w:r>
      <w:r>
        <w:rPr>
          <w:rFonts w:ascii="Times New Roman" w:hAnsi="Times New Roman" w:eastAsia="Times New Roman" w:cs="Times New Roman"/>
          <w:spacing w:val="21"/>
          <w:w w:val="101"/>
          <w:sz w:val="20"/>
          <w:szCs w:val="20"/>
        </w:rPr>
        <w:t xml:space="preserve">   </w:t>
      </w:r>
      <w:r>
        <w:rPr>
          <w:rFonts w:ascii="Times New Roman" w:hAnsi="Times New Roman" w:eastAsia="Times New Roman" w:cs="Times New Roman"/>
          <w:sz w:val="20"/>
          <w:szCs w:val="20"/>
        </w:rPr>
        <w:t>causal</w:t>
      </w:r>
      <w:r>
        <w:rPr>
          <w:rFonts w:ascii="Times New Roman" w:hAnsi="Times New Roman" w:eastAsia="Times New Roman" w:cs="Times New Roman"/>
          <w:spacing w:val="9"/>
          <w:sz w:val="20"/>
          <w:szCs w:val="20"/>
        </w:rPr>
        <w:t xml:space="preserve">   </w:t>
      </w:r>
      <w:r>
        <w:rPr>
          <w:rFonts w:ascii="Times New Roman" w:hAnsi="Times New Roman" w:eastAsia="Times New Roman" w:cs="Times New Roman"/>
          <w:sz w:val="20"/>
          <w:szCs w:val="20"/>
        </w:rPr>
        <w:t>model</w:t>
      </w:r>
      <w:r>
        <w:rPr>
          <w:rFonts w:ascii="Times New Roman" w:hAnsi="Times New Roman" w:eastAsia="Times New Roman" w:cs="Times New Roman"/>
          <w:spacing w:val="9"/>
          <w:sz w:val="20"/>
          <w:szCs w:val="20"/>
        </w:rPr>
        <w:t>)</w:t>
      </w:r>
      <w:r>
        <w:rPr>
          <w:rFonts w:ascii="宋体" w:hAnsi="宋体" w:eastAsia="宋体" w:cs="宋体"/>
          <w:spacing w:val="9"/>
          <w:sz w:val="20"/>
          <w:szCs w:val="20"/>
        </w:rPr>
        <w:t>进行了系统的阐述。该模型首先认为，疾病的</w:t>
      </w:r>
      <w:r>
        <w:rPr>
          <w:rFonts w:ascii="宋体" w:hAnsi="宋体" w:eastAsia="宋体" w:cs="宋体"/>
          <w:sz w:val="20"/>
          <w:szCs w:val="20"/>
        </w:rPr>
        <w:t xml:space="preserve"> </w:t>
      </w:r>
      <w:r>
        <w:rPr>
          <w:rFonts w:ascii="宋体" w:hAnsi="宋体" w:eastAsia="宋体" w:cs="宋体"/>
          <w:spacing w:val="10"/>
          <w:sz w:val="20"/>
          <w:szCs w:val="20"/>
        </w:rPr>
        <w:t>发生必须是由一个充分病因</w:t>
      </w:r>
      <w:r>
        <w:rPr>
          <w:rFonts w:ascii="Times New Roman" w:hAnsi="Times New Roman" w:eastAsia="Times New Roman" w:cs="Times New Roman"/>
          <w:spacing w:val="10"/>
          <w:sz w:val="20"/>
          <w:szCs w:val="20"/>
        </w:rPr>
        <w:t>(</w:t>
      </w:r>
      <w:r>
        <w:rPr>
          <w:rFonts w:ascii="Times New Roman" w:hAnsi="Times New Roman" w:eastAsia="Times New Roman" w:cs="Times New Roman"/>
          <w:sz w:val="20"/>
          <w:szCs w:val="20"/>
        </w:rPr>
        <w:t>sufficient</w:t>
      </w:r>
      <w:r>
        <w:rPr>
          <w:rFonts w:ascii="Times New Roman" w:hAnsi="Times New Roman" w:eastAsia="Times New Roman" w:cs="Times New Roman"/>
          <w:spacing w:val="10"/>
          <w:sz w:val="20"/>
          <w:szCs w:val="20"/>
        </w:rPr>
        <w:t xml:space="preserve">     </w:t>
      </w:r>
      <w:r>
        <w:rPr>
          <w:rFonts w:ascii="Times New Roman" w:hAnsi="Times New Roman" w:eastAsia="Times New Roman" w:cs="Times New Roman"/>
          <w:sz w:val="20"/>
          <w:szCs w:val="20"/>
        </w:rPr>
        <w:t>cause</w:t>
      </w:r>
      <w:r>
        <w:rPr>
          <w:rFonts w:ascii="Times New Roman" w:hAnsi="Times New Roman" w:eastAsia="Times New Roman" w:cs="Times New Roman"/>
          <w:spacing w:val="10"/>
          <w:sz w:val="20"/>
          <w:szCs w:val="20"/>
        </w:rPr>
        <w:t>)</w:t>
      </w:r>
      <w:r>
        <w:rPr>
          <w:rFonts w:ascii="宋体" w:hAnsi="宋体" w:eastAsia="宋体" w:cs="宋体"/>
          <w:spacing w:val="10"/>
          <w:sz w:val="20"/>
          <w:szCs w:val="20"/>
        </w:rPr>
        <w:t>引起的。充分病因是疾病发生的充分条件，其形成就</w:t>
      </w:r>
      <w:r>
        <w:rPr>
          <w:rFonts w:ascii="宋体" w:hAnsi="宋体" w:eastAsia="宋体" w:cs="宋体"/>
          <w:spacing w:val="5"/>
          <w:sz w:val="20"/>
          <w:szCs w:val="20"/>
        </w:rPr>
        <w:t xml:space="preserve"> </w:t>
      </w:r>
      <w:r>
        <w:rPr>
          <w:rFonts w:ascii="宋体" w:hAnsi="宋体" w:eastAsia="宋体" w:cs="宋体"/>
          <w:spacing w:val="8"/>
          <w:sz w:val="20"/>
          <w:szCs w:val="20"/>
        </w:rPr>
        <w:t>等于疾病的发生。</w:t>
      </w:r>
      <w:r>
        <w:rPr>
          <w:rFonts w:ascii="宋体" w:hAnsi="宋体" w:eastAsia="宋体" w:cs="宋体"/>
          <w:spacing w:val="-18"/>
          <w:sz w:val="20"/>
          <w:szCs w:val="20"/>
        </w:rPr>
        <w:t xml:space="preserve"> </w:t>
      </w:r>
      <w:r>
        <w:rPr>
          <w:rFonts w:ascii="宋体" w:hAnsi="宋体" w:eastAsia="宋体" w:cs="宋体"/>
          <w:spacing w:val="8"/>
          <w:sz w:val="20"/>
          <w:szCs w:val="20"/>
        </w:rPr>
        <w:t>一个充分病因可以由一个或多个组分组成，而且</w:t>
      </w:r>
      <w:r>
        <w:rPr>
          <w:rFonts w:ascii="宋体" w:hAnsi="宋体" w:eastAsia="宋体" w:cs="宋体"/>
          <w:spacing w:val="7"/>
          <w:sz w:val="20"/>
          <w:szCs w:val="20"/>
        </w:rPr>
        <w:t>它们缺一不可，任何一个组分病</w:t>
      </w:r>
      <w:r>
        <w:rPr>
          <w:rFonts w:ascii="宋体" w:hAnsi="宋体" w:eastAsia="宋体" w:cs="宋体"/>
          <w:sz w:val="20"/>
          <w:szCs w:val="20"/>
        </w:rPr>
        <w:t xml:space="preserve"> </w:t>
      </w:r>
      <w:r>
        <w:rPr>
          <w:rFonts w:ascii="宋体" w:hAnsi="宋体" w:eastAsia="宋体" w:cs="宋体"/>
          <w:spacing w:val="6"/>
          <w:sz w:val="20"/>
          <w:szCs w:val="20"/>
        </w:rPr>
        <w:t>因</w:t>
      </w:r>
      <w:r>
        <w:rPr>
          <w:rFonts w:ascii="宋体" w:hAnsi="宋体" w:eastAsia="宋体" w:cs="宋体"/>
          <w:spacing w:val="-57"/>
          <w:sz w:val="20"/>
          <w:szCs w:val="20"/>
        </w:rPr>
        <w:t xml:space="preserve"> </w:t>
      </w:r>
      <w:r>
        <w:rPr>
          <w:rFonts w:ascii="Times New Roman" w:hAnsi="Times New Roman" w:eastAsia="Times New Roman" w:cs="Times New Roman"/>
          <w:spacing w:val="6"/>
          <w:sz w:val="20"/>
          <w:szCs w:val="20"/>
        </w:rPr>
        <w:t>(</w:t>
      </w:r>
      <w:r>
        <w:rPr>
          <w:rFonts w:ascii="Times New Roman" w:hAnsi="Times New Roman" w:eastAsia="Times New Roman" w:cs="Times New Roman"/>
          <w:sz w:val="20"/>
          <w:szCs w:val="20"/>
        </w:rPr>
        <w:t>component</w:t>
      </w:r>
      <w:r>
        <w:rPr>
          <w:rFonts w:ascii="Times New Roman" w:hAnsi="Times New Roman" w:eastAsia="Times New Roman" w:cs="Times New Roman"/>
          <w:spacing w:val="6"/>
          <w:sz w:val="20"/>
          <w:szCs w:val="20"/>
        </w:rPr>
        <w:t xml:space="preserve">     </w:t>
      </w:r>
      <w:r>
        <w:rPr>
          <w:rFonts w:ascii="Times New Roman" w:hAnsi="Times New Roman" w:eastAsia="Times New Roman" w:cs="Times New Roman"/>
          <w:sz w:val="20"/>
          <w:szCs w:val="20"/>
        </w:rPr>
        <w:t>cause</w:t>
      </w:r>
      <w:r>
        <w:rPr>
          <w:rFonts w:ascii="Times New Roman" w:hAnsi="Times New Roman" w:eastAsia="Times New Roman" w:cs="Times New Roman"/>
          <w:spacing w:val="6"/>
          <w:sz w:val="20"/>
          <w:szCs w:val="20"/>
        </w:rPr>
        <w:t>)</w:t>
      </w:r>
      <w:r>
        <w:rPr>
          <w:rFonts w:ascii="宋体" w:hAnsi="宋体" w:eastAsia="宋体" w:cs="宋体"/>
          <w:spacing w:val="6"/>
          <w:sz w:val="20"/>
          <w:szCs w:val="20"/>
        </w:rPr>
        <w:t>缺失，疾病就不会发生。严格地讲，组分病因就是充分病因的一个组成</w:t>
      </w:r>
      <w:r>
        <w:rPr>
          <w:rFonts w:ascii="宋体" w:hAnsi="宋体" w:eastAsia="宋体" w:cs="宋体"/>
          <w:spacing w:val="5"/>
          <w:sz w:val="20"/>
          <w:szCs w:val="20"/>
        </w:rPr>
        <w:t>成员或</w:t>
      </w:r>
      <w:r>
        <w:rPr>
          <w:rFonts w:ascii="宋体" w:hAnsi="宋体" w:eastAsia="宋体" w:cs="宋体"/>
          <w:sz w:val="20"/>
          <w:szCs w:val="20"/>
        </w:rPr>
        <w:t xml:space="preserve"> </w:t>
      </w:r>
      <w:r>
        <w:rPr>
          <w:rFonts w:ascii="宋体" w:hAnsi="宋体" w:eastAsia="宋体" w:cs="宋体"/>
          <w:spacing w:val="10"/>
          <w:sz w:val="20"/>
          <w:szCs w:val="20"/>
        </w:rPr>
        <w:t>亚单位，充分病因是疾病发生所需要的最低条件或需要的组分病因</w:t>
      </w:r>
      <w:r>
        <w:rPr>
          <w:rFonts w:ascii="宋体" w:hAnsi="宋体" w:eastAsia="宋体" w:cs="宋体"/>
          <w:spacing w:val="9"/>
          <w:sz w:val="20"/>
          <w:szCs w:val="20"/>
        </w:rPr>
        <w:t>的最少组合。最少的意思是，少</w:t>
      </w:r>
      <w:r>
        <w:rPr>
          <w:rFonts w:ascii="宋体" w:hAnsi="宋体" w:eastAsia="宋体" w:cs="宋体"/>
          <w:sz w:val="20"/>
          <w:szCs w:val="20"/>
        </w:rPr>
        <w:t xml:space="preserve"> </w:t>
      </w:r>
      <w:r>
        <w:rPr>
          <w:rFonts w:ascii="宋体" w:hAnsi="宋体" w:eastAsia="宋体" w:cs="宋体"/>
          <w:spacing w:val="15"/>
          <w:sz w:val="20"/>
          <w:szCs w:val="20"/>
        </w:rPr>
        <w:t>一个则疾病不会发生，多一个对疾病发生也不必要。而且一个疾病可以由一个或多个充分病因引</w:t>
      </w:r>
    </w:p>
    <w:p w14:paraId="2485CB10">
      <w:pPr>
        <w:spacing w:before="9" w:line="219" w:lineRule="auto"/>
        <w:rPr>
          <w:rFonts w:ascii="宋体" w:hAnsi="宋体" w:eastAsia="宋体" w:cs="宋体"/>
          <w:sz w:val="20"/>
          <w:szCs w:val="20"/>
        </w:rPr>
      </w:pPr>
      <w:r>
        <w:rPr>
          <w:rFonts w:ascii="宋体" w:hAnsi="宋体" w:eastAsia="宋体" w:cs="宋体"/>
          <w:spacing w:val="10"/>
          <w:sz w:val="20"/>
          <w:szCs w:val="20"/>
        </w:rPr>
        <w:t>起，一个组分病因可以出现在一个疾病的一个或多个充分病因里。</w:t>
      </w:r>
    </w:p>
    <w:p w14:paraId="3C0CA44C">
      <w:pPr>
        <w:spacing w:before="117" w:line="338" w:lineRule="auto"/>
        <w:ind w:right="3757" w:firstLine="429"/>
        <w:jc w:val="both"/>
        <w:rPr>
          <w:rFonts w:ascii="宋体" w:hAnsi="宋体" w:eastAsia="宋体" w:cs="宋体"/>
          <w:sz w:val="20"/>
          <w:szCs w:val="20"/>
        </w:rPr>
      </w:pPr>
      <w:r>
        <w:drawing>
          <wp:anchor distT="0" distB="0" distL="0" distR="0" simplePos="0" relativeHeight="251831296" behindDoc="0" locked="0" layoutInCell="1" allowOverlap="1">
            <wp:simplePos x="0" y="0"/>
            <wp:positionH relativeFrom="column">
              <wp:posOffset>3937000</wp:posOffset>
            </wp:positionH>
            <wp:positionV relativeFrom="paragraph">
              <wp:posOffset>259715</wp:posOffset>
            </wp:positionV>
            <wp:extent cx="1803400" cy="1790700"/>
            <wp:effectExtent l="0" t="0" r="0" b="0"/>
            <wp:wrapNone/>
            <wp:docPr id="536" name="IM 536"/>
            <wp:cNvGraphicFramePr/>
            <a:graphic xmlns:a="http://schemas.openxmlformats.org/drawingml/2006/main">
              <a:graphicData uri="http://schemas.openxmlformats.org/drawingml/2006/picture">
                <pic:pic xmlns:pic="http://schemas.openxmlformats.org/drawingml/2006/picture">
                  <pic:nvPicPr>
                    <pic:cNvPr id="536" name="IM 536"/>
                    <pic:cNvPicPr/>
                  </pic:nvPicPr>
                  <pic:blipFill>
                    <a:blip r:embed="rId603"/>
                    <a:stretch>
                      <a:fillRect/>
                    </a:stretch>
                  </pic:blipFill>
                  <pic:spPr>
                    <a:xfrm>
                      <a:off x="0" y="0"/>
                      <a:ext cx="1803358" cy="1790725"/>
                    </a:xfrm>
                    <a:prstGeom prst="rect">
                      <a:avLst/>
                    </a:prstGeom>
                  </pic:spPr>
                </pic:pic>
              </a:graphicData>
            </a:graphic>
          </wp:anchor>
        </w:drawing>
      </w:r>
      <w:r>
        <w:rPr>
          <w:rFonts w:ascii="宋体" w:hAnsi="宋体" w:eastAsia="宋体" w:cs="宋体"/>
          <w:spacing w:val="18"/>
          <w:sz w:val="20"/>
          <w:szCs w:val="20"/>
        </w:rPr>
        <w:t>图8-7中描述了一个充分病因，它共有5个组分病因，分别</w:t>
      </w:r>
      <w:r>
        <w:rPr>
          <w:rFonts w:ascii="宋体" w:hAnsi="宋体" w:eastAsia="宋体" w:cs="宋体"/>
          <w:sz w:val="20"/>
          <w:szCs w:val="20"/>
        </w:rPr>
        <w:t xml:space="preserve"> </w:t>
      </w:r>
      <w:r>
        <w:rPr>
          <w:rFonts w:ascii="宋体" w:hAnsi="宋体" w:eastAsia="宋体" w:cs="宋体"/>
          <w:spacing w:val="6"/>
          <w:sz w:val="20"/>
          <w:szCs w:val="20"/>
        </w:rPr>
        <w:t>标</w:t>
      </w:r>
      <w:r>
        <w:rPr>
          <w:rFonts w:ascii="宋体" w:hAnsi="宋体" w:eastAsia="宋体" w:cs="宋体"/>
          <w:spacing w:val="-31"/>
          <w:sz w:val="20"/>
          <w:szCs w:val="20"/>
        </w:rPr>
        <w:t xml:space="preserve"> </w:t>
      </w:r>
      <w:r>
        <w:rPr>
          <w:rFonts w:ascii="宋体" w:hAnsi="宋体" w:eastAsia="宋体" w:cs="宋体"/>
          <w:spacing w:val="6"/>
          <w:sz w:val="20"/>
          <w:szCs w:val="20"/>
        </w:rPr>
        <w:t>为</w:t>
      </w:r>
      <w:r>
        <w:rPr>
          <w:rFonts w:ascii="Times New Roman" w:hAnsi="Times New Roman" w:eastAsia="Times New Roman" w:cs="Times New Roman"/>
          <w:spacing w:val="6"/>
          <w:sz w:val="20"/>
          <w:szCs w:val="20"/>
        </w:rPr>
        <w:t>A</w:t>
      </w:r>
      <w:r>
        <w:rPr>
          <w:rFonts w:ascii="宋体" w:hAnsi="宋体" w:eastAsia="宋体" w:cs="宋体"/>
          <w:spacing w:val="6"/>
          <w:sz w:val="20"/>
          <w:szCs w:val="20"/>
        </w:rPr>
        <w:t>、</w:t>
      </w:r>
      <w:r>
        <w:rPr>
          <w:rFonts w:ascii="Times New Roman" w:hAnsi="Times New Roman" w:eastAsia="Times New Roman" w:cs="Times New Roman"/>
          <w:spacing w:val="6"/>
          <w:sz w:val="20"/>
          <w:szCs w:val="20"/>
        </w:rPr>
        <w:t>B</w:t>
      </w:r>
      <w:r>
        <w:rPr>
          <w:rFonts w:ascii="Times New Roman" w:hAnsi="Times New Roman" w:eastAsia="Times New Roman" w:cs="Times New Roman"/>
          <w:spacing w:val="-30"/>
          <w:sz w:val="20"/>
          <w:szCs w:val="20"/>
        </w:rPr>
        <w:t xml:space="preserve"> </w:t>
      </w:r>
      <w:r>
        <w:rPr>
          <w:rFonts w:ascii="宋体" w:hAnsi="宋体" w:eastAsia="宋体" w:cs="宋体"/>
          <w:spacing w:val="6"/>
          <w:sz w:val="20"/>
          <w:szCs w:val="20"/>
        </w:rPr>
        <w:t>、</w:t>
      </w:r>
      <w:r>
        <w:rPr>
          <w:rFonts w:ascii="Times New Roman" w:hAnsi="Times New Roman" w:eastAsia="Times New Roman" w:cs="Times New Roman"/>
          <w:spacing w:val="6"/>
          <w:sz w:val="20"/>
          <w:szCs w:val="20"/>
        </w:rPr>
        <w:t>C</w:t>
      </w:r>
      <w:r>
        <w:rPr>
          <w:rFonts w:ascii="宋体" w:hAnsi="宋体" w:eastAsia="宋体" w:cs="宋体"/>
          <w:spacing w:val="6"/>
          <w:sz w:val="20"/>
          <w:szCs w:val="20"/>
        </w:rPr>
        <w:t>、</w:t>
      </w:r>
      <w:r>
        <w:rPr>
          <w:rFonts w:ascii="Times New Roman" w:hAnsi="Times New Roman" w:eastAsia="Times New Roman" w:cs="Times New Roman"/>
          <w:spacing w:val="6"/>
          <w:sz w:val="20"/>
          <w:szCs w:val="20"/>
        </w:rPr>
        <w:t>D</w:t>
      </w:r>
      <w:r>
        <w:rPr>
          <w:rFonts w:ascii="宋体" w:hAnsi="宋体" w:eastAsia="宋体" w:cs="宋体"/>
          <w:spacing w:val="6"/>
          <w:sz w:val="20"/>
          <w:szCs w:val="20"/>
        </w:rPr>
        <w:t>、</w:t>
      </w:r>
      <w:r>
        <w:rPr>
          <w:rFonts w:ascii="Times New Roman" w:hAnsi="Times New Roman" w:eastAsia="Times New Roman" w:cs="Times New Roman"/>
          <w:spacing w:val="6"/>
          <w:sz w:val="20"/>
          <w:szCs w:val="20"/>
        </w:rPr>
        <w:t>E</w:t>
      </w:r>
      <w:r>
        <w:rPr>
          <w:rFonts w:ascii="宋体" w:hAnsi="宋体" w:eastAsia="宋体" w:cs="宋体"/>
          <w:spacing w:val="6"/>
          <w:sz w:val="20"/>
          <w:szCs w:val="20"/>
        </w:rPr>
        <w:t>。在同一充分病因</w:t>
      </w:r>
      <w:r>
        <w:rPr>
          <w:rFonts w:ascii="宋体" w:hAnsi="宋体" w:eastAsia="宋体" w:cs="宋体"/>
          <w:spacing w:val="5"/>
          <w:sz w:val="20"/>
          <w:szCs w:val="20"/>
        </w:rPr>
        <w:t>里，组分病因彼此形成互</w:t>
      </w:r>
      <w:r>
        <w:rPr>
          <w:rFonts w:ascii="宋体" w:hAnsi="宋体" w:eastAsia="宋体" w:cs="宋体"/>
          <w:sz w:val="20"/>
          <w:szCs w:val="20"/>
        </w:rPr>
        <w:t xml:space="preserve"> 补，互为彼此的互补病因</w:t>
      </w:r>
      <w:r>
        <w:rPr>
          <w:rFonts w:ascii="Times New Roman" w:hAnsi="Times New Roman" w:eastAsia="Times New Roman" w:cs="Times New Roman"/>
          <w:sz w:val="20"/>
          <w:szCs w:val="20"/>
        </w:rPr>
        <w:t>(complementary      cau</w:t>
      </w:r>
      <w:r>
        <w:rPr>
          <w:rFonts w:ascii="Times New Roman" w:hAnsi="Times New Roman" w:eastAsia="Times New Roman" w:cs="Times New Roman"/>
          <w:spacing w:val="-1"/>
          <w:sz w:val="20"/>
          <w:szCs w:val="20"/>
        </w:rPr>
        <w:t>se),</w:t>
      </w:r>
      <w:r>
        <w:rPr>
          <w:rFonts w:ascii="宋体" w:hAnsi="宋体" w:eastAsia="宋体" w:cs="宋体"/>
          <w:spacing w:val="-1"/>
          <w:sz w:val="20"/>
          <w:szCs w:val="20"/>
        </w:rPr>
        <w:t>比 如</w:t>
      </w:r>
      <w:r>
        <w:rPr>
          <w:rFonts w:ascii="Times New Roman" w:hAnsi="Times New Roman" w:eastAsia="Times New Roman" w:cs="Times New Roman"/>
          <w:spacing w:val="-1"/>
          <w:sz w:val="20"/>
          <w:szCs w:val="20"/>
        </w:rPr>
        <w:t>B</w:t>
      </w:r>
      <w:r>
        <w:rPr>
          <w:rFonts w:ascii="宋体" w:hAnsi="宋体" w:eastAsia="宋体" w:cs="宋体"/>
          <w:spacing w:val="-1"/>
          <w:sz w:val="20"/>
          <w:szCs w:val="20"/>
        </w:rPr>
        <w:t>、</w:t>
      </w:r>
      <w:r>
        <w:rPr>
          <w:rFonts w:ascii="Times New Roman" w:hAnsi="Times New Roman" w:eastAsia="Times New Roman" w:cs="Times New Roman"/>
          <w:spacing w:val="-1"/>
          <w:sz w:val="20"/>
          <w:szCs w:val="20"/>
        </w:rPr>
        <w:t>C</w:t>
      </w:r>
      <w:r>
        <w:rPr>
          <w:rFonts w:ascii="宋体" w:hAnsi="宋体" w:eastAsia="宋体" w:cs="宋体"/>
          <w:spacing w:val="-1"/>
          <w:sz w:val="20"/>
          <w:szCs w:val="20"/>
        </w:rPr>
        <w:t>、</w:t>
      </w:r>
      <w:r>
        <w:rPr>
          <w:rFonts w:ascii="Times New Roman" w:hAnsi="Times New Roman" w:eastAsia="Times New Roman" w:cs="Times New Roman"/>
          <w:spacing w:val="-1"/>
          <w:sz w:val="20"/>
          <w:szCs w:val="20"/>
        </w:rPr>
        <w:t>D</w:t>
      </w:r>
      <w:r>
        <w:rPr>
          <w:rFonts w:ascii="宋体" w:hAnsi="宋体" w:eastAsia="宋体" w:cs="宋体"/>
          <w:spacing w:val="-1"/>
          <w:sz w:val="20"/>
          <w:szCs w:val="20"/>
        </w:rPr>
        <w:t>和</w:t>
      </w:r>
      <w:r>
        <w:rPr>
          <w:rFonts w:ascii="宋体" w:hAnsi="宋体" w:eastAsia="宋体" w:cs="宋体"/>
          <w:sz w:val="20"/>
          <w:szCs w:val="20"/>
        </w:rPr>
        <w:t xml:space="preserve"> </w:t>
      </w:r>
      <w:r>
        <w:rPr>
          <w:rFonts w:ascii="宋体" w:hAnsi="宋体" w:eastAsia="宋体" w:cs="宋体"/>
          <w:spacing w:val="6"/>
          <w:sz w:val="20"/>
          <w:szCs w:val="20"/>
        </w:rPr>
        <w:t>E</w:t>
      </w:r>
      <w:r>
        <w:rPr>
          <w:rFonts w:ascii="宋体" w:hAnsi="宋体" w:eastAsia="宋体" w:cs="宋体"/>
          <w:spacing w:val="-14"/>
          <w:sz w:val="20"/>
          <w:szCs w:val="20"/>
        </w:rPr>
        <w:t xml:space="preserve"> </w:t>
      </w:r>
      <w:r>
        <w:rPr>
          <w:rFonts w:ascii="宋体" w:hAnsi="宋体" w:eastAsia="宋体" w:cs="宋体"/>
          <w:spacing w:val="6"/>
          <w:sz w:val="20"/>
          <w:szCs w:val="20"/>
        </w:rPr>
        <w:t>为</w:t>
      </w:r>
      <w:r>
        <w:rPr>
          <w:rFonts w:ascii="宋体" w:hAnsi="宋体" w:eastAsia="宋体" w:cs="宋体"/>
          <w:spacing w:val="-40"/>
          <w:sz w:val="20"/>
          <w:szCs w:val="20"/>
        </w:rPr>
        <w:t xml:space="preserve"> </w:t>
      </w:r>
      <w:r>
        <w:rPr>
          <w:rFonts w:ascii="宋体" w:hAnsi="宋体" w:eastAsia="宋体" w:cs="宋体"/>
          <w:spacing w:val="6"/>
          <w:sz w:val="20"/>
          <w:szCs w:val="20"/>
        </w:rPr>
        <w:t>A 的互补病因，而A、C、D</w:t>
      </w:r>
      <w:r>
        <w:rPr>
          <w:rFonts w:ascii="宋体" w:hAnsi="宋体" w:eastAsia="宋体" w:cs="宋体"/>
          <w:spacing w:val="-49"/>
          <w:sz w:val="20"/>
          <w:szCs w:val="20"/>
        </w:rPr>
        <w:t xml:space="preserve"> </w:t>
      </w:r>
      <w:r>
        <w:rPr>
          <w:rFonts w:ascii="宋体" w:hAnsi="宋体" w:eastAsia="宋体" w:cs="宋体"/>
          <w:spacing w:val="6"/>
          <w:sz w:val="20"/>
          <w:szCs w:val="20"/>
        </w:rPr>
        <w:t>和</w:t>
      </w:r>
      <w:r>
        <w:rPr>
          <w:rFonts w:ascii="宋体" w:hAnsi="宋体" w:eastAsia="宋体" w:cs="宋体"/>
          <w:spacing w:val="-31"/>
          <w:sz w:val="20"/>
          <w:szCs w:val="20"/>
        </w:rPr>
        <w:t xml:space="preserve"> </w:t>
      </w:r>
      <w:r>
        <w:rPr>
          <w:rFonts w:ascii="宋体" w:hAnsi="宋体" w:eastAsia="宋体" w:cs="宋体"/>
          <w:spacing w:val="6"/>
          <w:sz w:val="20"/>
          <w:szCs w:val="20"/>
        </w:rPr>
        <w:t>E 则 为B</w:t>
      </w:r>
      <w:r>
        <w:rPr>
          <w:rFonts w:ascii="宋体" w:hAnsi="宋体" w:eastAsia="宋体" w:cs="宋体"/>
          <w:spacing w:val="-17"/>
          <w:sz w:val="20"/>
          <w:szCs w:val="20"/>
        </w:rPr>
        <w:t xml:space="preserve"> </w:t>
      </w:r>
      <w:r>
        <w:rPr>
          <w:rFonts w:ascii="宋体" w:hAnsi="宋体" w:eastAsia="宋体" w:cs="宋体"/>
          <w:spacing w:val="6"/>
          <w:sz w:val="20"/>
          <w:szCs w:val="20"/>
        </w:rPr>
        <w:t>的互补病因</w:t>
      </w:r>
      <w:r>
        <w:rPr>
          <w:rFonts w:ascii="宋体" w:hAnsi="宋体" w:eastAsia="宋体" w:cs="宋体"/>
          <w:spacing w:val="5"/>
          <w:sz w:val="20"/>
          <w:szCs w:val="20"/>
        </w:rPr>
        <w:t>。因为这</w:t>
      </w:r>
      <w:r>
        <w:rPr>
          <w:rFonts w:ascii="宋体" w:hAnsi="宋体" w:eastAsia="宋体" w:cs="宋体"/>
          <w:sz w:val="20"/>
          <w:szCs w:val="20"/>
        </w:rPr>
        <w:t xml:space="preserve"> </w:t>
      </w:r>
      <w:r>
        <w:rPr>
          <w:rFonts w:ascii="宋体" w:hAnsi="宋体" w:eastAsia="宋体" w:cs="宋体"/>
          <w:spacing w:val="2"/>
          <w:sz w:val="20"/>
          <w:szCs w:val="20"/>
        </w:rPr>
        <w:t>5个组分病因缺一不可，否则疾病不会发生，就此意义来讲，</w:t>
      </w:r>
      <w:r>
        <w:rPr>
          <w:rFonts w:ascii="宋体" w:hAnsi="宋体" w:eastAsia="宋体" w:cs="宋体"/>
          <w:spacing w:val="79"/>
          <w:sz w:val="20"/>
          <w:szCs w:val="20"/>
        </w:rPr>
        <w:t xml:space="preserve"> </w:t>
      </w:r>
      <w:r>
        <w:rPr>
          <w:rFonts w:ascii="宋体" w:hAnsi="宋体" w:eastAsia="宋体" w:cs="宋体"/>
          <w:spacing w:val="2"/>
          <w:sz w:val="20"/>
          <w:szCs w:val="20"/>
        </w:rPr>
        <w:t>一个</w:t>
      </w:r>
      <w:r>
        <w:rPr>
          <w:rFonts w:ascii="宋体" w:hAnsi="宋体" w:eastAsia="宋体" w:cs="宋体"/>
          <w:sz w:val="20"/>
          <w:szCs w:val="20"/>
        </w:rPr>
        <w:t xml:space="preserve"> </w:t>
      </w:r>
      <w:r>
        <w:rPr>
          <w:rFonts w:ascii="宋体" w:hAnsi="宋体" w:eastAsia="宋体" w:cs="宋体"/>
          <w:spacing w:val="19"/>
          <w:sz w:val="20"/>
          <w:szCs w:val="20"/>
        </w:rPr>
        <w:t>充分病因的每个组分病因对疾病发生的作用或贡献都是等同的</w:t>
      </w:r>
      <w:r>
        <w:rPr>
          <w:rFonts w:ascii="宋体" w:hAnsi="宋体" w:eastAsia="宋体" w:cs="宋体"/>
          <w:spacing w:val="1"/>
          <w:sz w:val="20"/>
          <w:szCs w:val="20"/>
        </w:rPr>
        <w:t xml:space="preserve"> </w:t>
      </w:r>
      <w:r>
        <w:rPr>
          <w:rFonts w:ascii="宋体" w:hAnsi="宋体" w:eastAsia="宋体" w:cs="宋体"/>
          <w:spacing w:val="11"/>
          <w:sz w:val="20"/>
          <w:szCs w:val="20"/>
        </w:rPr>
        <w:t>和必要的。因此，为了预防疾病，我们不需要知道所有的组分病</w:t>
      </w:r>
      <w:r>
        <w:rPr>
          <w:rFonts w:ascii="宋体" w:hAnsi="宋体" w:eastAsia="宋体" w:cs="宋体"/>
          <w:spacing w:val="4"/>
          <w:sz w:val="20"/>
          <w:szCs w:val="20"/>
        </w:rPr>
        <w:t xml:space="preserve"> </w:t>
      </w:r>
      <w:r>
        <w:rPr>
          <w:rFonts w:ascii="宋体" w:hAnsi="宋体" w:eastAsia="宋体" w:cs="宋体"/>
          <w:spacing w:val="12"/>
          <w:sz w:val="20"/>
          <w:szCs w:val="20"/>
        </w:rPr>
        <w:t>因，除去或阻断其中任何一个组分，就可以打散该充分病因，从</w:t>
      </w:r>
      <w:r>
        <w:rPr>
          <w:rFonts w:ascii="宋体" w:hAnsi="宋体" w:eastAsia="宋体" w:cs="宋体"/>
          <w:sz w:val="20"/>
          <w:szCs w:val="20"/>
        </w:rPr>
        <w:t xml:space="preserve"> </w:t>
      </w:r>
      <w:r>
        <w:rPr>
          <w:rFonts w:ascii="宋体" w:hAnsi="宋体" w:eastAsia="宋体" w:cs="宋体"/>
          <w:spacing w:val="14"/>
          <w:sz w:val="20"/>
          <w:szCs w:val="20"/>
        </w:rPr>
        <w:t>而预防通过该充分病因发生的所有病例。</w:t>
      </w:r>
    </w:p>
    <w:p w14:paraId="16E5C1B2">
      <w:pPr>
        <w:spacing w:before="2" w:line="340" w:lineRule="auto"/>
        <w:ind w:right="723" w:firstLine="429"/>
        <w:rPr>
          <w:rFonts w:ascii="宋体" w:hAnsi="宋体" w:eastAsia="宋体" w:cs="宋体"/>
          <w:sz w:val="20"/>
          <w:szCs w:val="20"/>
        </w:rPr>
      </w:pPr>
      <w:r>
        <w:rPr>
          <w:rFonts w:ascii="宋体" w:hAnsi="宋体" w:eastAsia="宋体" w:cs="宋体"/>
          <w:spacing w:val="6"/>
          <w:position w:val="-1"/>
          <w:sz w:val="20"/>
          <w:szCs w:val="20"/>
        </w:rPr>
        <w:t xml:space="preserve">组分病因对充分病因缺一不可，但这不等于说所有组分病因   </w:t>
      </w:r>
      <w:r>
        <w:rPr>
          <w:rFonts w:ascii="宋体" w:hAnsi="宋体" w:eastAsia="宋体" w:cs="宋体"/>
          <w:spacing w:val="6"/>
          <w:position w:val="2"/>
          <w:sz w:val="20"/>
          <w:szCs w:val="20"/>
        </w:rPr>
        <w:t>图8-7</w:t>
      </w:r>
      <w:r>
        <w:rPr>
          <w:rFonts w:ascii="宋体" w:hAnsi="宋体" w:eastAsia="宋体" w:cs="宋体"/>
          <w:spacing w:val="77"/>
          <w:position w:val="2"/>
          <w:sz w:val="20"/>
          <w:szCs w:val="20"/>
        </w:rPr>
        <w:t xml:space="preserve"> </w:t>
      </w:r>
      <w:r>
        <w:rPr>
          <w:rFonts w:ascii="宋体" w:hAnsi="宋体" w:eastAsia="宋体" w:cs="宋体"/>
          <w:spacing w:val="6"/>
          <w:position w:val="2"/>
          <w:sz w:val="20"/>
          <w:szCs w:val="20"/>
        </w:rPr>
        <w:t>充分病因-组分病因模型</w:t>
      </w:r>
      <w:r>
        <w:rPr>
          <w:rFonts w:ascii="宋体" w:hAnsi="宋体" w:eastAsia="宋体" w:cs="宋体"/>
          <w:position w:val="2"/>
          <w:sz w:val="20"/>
          <w:szCs w:val="20"/>
        </w:rPr>
        <w:t xml:space="preserve"> </w:t>
      </w:r>
      <w:r>
        <w:rPr>
          <w:rFonts w:ascii="宋体" w:hAnsi="宋体" w:eastAsia="宋体" w:cs="宋体"/>
          <w:spacing w:val="11"/>
          <w:sz w:val="20"/>
          <w:szCs w:val="20"/>
        </w:rPr>
        <w:t>必须同时存在，更可能的情况是，它们需要按照一定的时间顺序</w:t>
      </w:r>
    </w:p>
    <w:p w14:paraId="588BB2DA">
      <w:pPr>
        <w:spacing w:before="2" w:line="219" w:lineRule="auto"/>
        <w:rPr>
          <w:rFonts w:ascii="宋体" w:hAnsi="宋体" w:eastAsia="宋体" w:cs="宋体"/>
          <w:sz w:val="20"/>
          <w:szCs w:val="20"/>
        </w:rPr>
      </w:pPr>
      <w:r>
        <w:rPr>
          <w:rFonts w:ascii="宋体" w:hAnsi="宋体" w:eastAsia="宋体" w:cs="宋体"/>
          <w:spacing w:val="5"/>
          <w:sz w:val="20"/>
          <w:szCs w:val="20"/>
        </w:rPr>
        <w:t>逐次发生，当最后一个组分病因发生或出现时，充分病因形成，疾病发生。</w:t>
      </w:r>
    </w:p>
    <w:p w14:paraId="5A824A3C">
      <w:pPr>
        <w:spacing w:before="124" w:line="342" w:lineRule="auto"/>
        <w:ind w:right="596" w:firstLine="429"/>
        <w:jc w:val="both"/>
        <w:rPr>
          <w:rFonts w:ascii="宋体" w:hAnsi="宋体" w:eastAsia="宋体" w:cs="宋体"/>
          <w:sz w:val="20"/>
          <w:szCs w:val="20"/>
        </w:rPr>
      </w:pPr>
      <w:r>
        <w:rPr>
          <w:rFonts w:ascii="宋体" w:hAnsi="宋体" w:eastAsia="宋体" w:cs="宋体"/>
          <w:spacing w:val="9"/>
          <w:sz w:val="20"/>
          <w:szCs w:val="20"/>
        </w:rPr>
        <w:t>然而，能引起一个疾病发生的充分病因往往不止一个，或者说疾病的发生可以通过多个不同的</w:t>
      </w:r>
      <w:r>
        <w:rPr>
          <w:rFonts w:ascii="宋体" w:hAnsi="宋体" w:eastAsia="宋体" w:cs="宋体"/>
          <w:spacing w:val="7"/>
          <w:sz w:val="20"/>
          <w:szCs w:val="20"/>
        </w:rPr>
        <w:t xml:space="preserve">  </w:t>
      </w:r>
      <w:r>
        <w:rPr>
          <w:rFonts w:ascii="宋体" w:hAnsi="宋体" w:eastAsia="宋体" w:cs="宋体"/>
          <w:spacing w:val="17"/>
          <w:sz w:val="20"/>
          <w:szCs w:val="20"/>
        </w:rPr>
        <w:t>充分病因实现，同一疾病的充分病因也彼此互为互</w:t>
      </w:r>
      <w:r>
        <w:rPr>
          <w:rFonts w:ascii="宋体" w:hAnsi="宋体" w:eastAsia="宋体" w:cs="宋体"/>
          <w:spacing w:val="16"/>
          <w:sz w:val="20"/>
          <w:szCs w:val="20"/>
        </w:rPr>
        <w:t>补病因。图8-8描述了一个疾病三个不同的充</w:t>
      </w:r>
      <w:r>
        <w:rPr>
          <w:rFonts w:ascii="宋体" w:hAnsi="宋体" w:eastAsia="宋体" w:cs="宋体"/>
          <w:sz w:val="20"/>
          <w:szCs w:val="20"/>
        </w:rPr>
        <w:t xml:space="preserve">  </w:t>
      </w:r>
      <w:r>
        <w:rPr>
          <w:rFonts w:ascii="宋体" w:hAnsi="宋体" w:eastAsia="宋体" w:cs="宋体"/>
          <w:spacing w:val="4"/>
          <w:sz w:val="20"/>
          <w:szCs w:val="20"/>
        </w:rPr>
        <w:t>分病因，且假设该疾病只有三个充分病因。充分病因</w:t>
      </w:r>
      <w:r>
        <w:rPr>
          <w:rFonts w:ascii="Times New Roman" w:hAnsi="Times New Roman" w:eastAsia="Times New Roman" w:cs="Times New Roman"/>
          <w:spacing w:val="4"/>
          <w:sz w:val="20"/>
          <w:szCs w:val="20"/>
        </w:rPr>
        <w:t xml:space="preserve">I </w:t>
      </w:r>
      <w:r>
        <w:rPr>
          <w:rFonts w:ascii="宋体" w:hAnsi="宋体" w:eastAsia="宋体" w:cs="宋体"/>
          <w:spacing w:val="4"/>
          <w:sz w:val="20"/>
          <w:szCs w:val="20"/>
        </w:rPr>
        <w:t>有5个组分病因，它们分别是</w:t>
      </w:r>
      <w:r>
        <w:rPr>
          <w:rFonts w:ascii="Times New Roman" w:hAnsi="Times New Roman" w:eastAsia="Times New Roman" w:cs="Times New Roman"/>
          <w:spacing w:val="4"/>
          <w:sz w:val="20"/>
          <w:szCs w:val="20"/>
        </w:rPr>
        <w:t>A</w:t>
      </w:r>
      <w:r>
        <w:rPr>
          <w:rFonts w:ascii="宋体" w:hAnsi="宋体" w:eastAsia="宋体" w:cs="宋体"/>
          <w:spacing w:val="4"/>
          <w:sz w:val="20"/>
          <w:szCs w:val="20"/>
        </w:rPr>
        <w:t>、</w:t>
      </w:r>
      <w:r>
        <w:rPr>
          <w:rFonts w:ascii="Times New Roman" w:hAnsi="Times New Roman" w:eastAsia="Times New Roman" w:cs="Times New Roman"/>
          <w:spacing w:val="4"/>
          <w:sz w:val="20"/>
          <w:szCs w:val="20"/>
        </w:rPr>
        <w:t>B</w:t>
      </w:r>
      <w:r>
        <w:rPr>
          <w:rFonts w:ascii="宋体" w:hAnsi="宋体" w:eastAsia="宋体" w:cs="宋体"/>
          <w:spacing w:val="4"/>
          <w:sz w:val="20"/>
          <w:szCs w:val="20"/>
        </w:rPr>
        <w:t>、</w:t>
      </w:r>
      <w:r>
        <w:rPr>
          <w:rFonts w:ascii="Times New Roman" w:hAnsi="Times New Roman" w:eastAsia="Times New Roman" w:cs="Times New Roman"/>
          <w:spacing w:val="4"/>
          <w:sz w:val="20"/>
          <w:szCs w:val="20"/>
        </w:rPr>
        <w:t>C</w:t>
      </w:r>
      <w:r>
        <w:rPr>
          <w:rFonts w:ascii="宋体" w:hAnsi="宋体" w:eastAsia="宋体" w:cs="宋体"/>
          <w:spacing w:val="4"/>
          <w:sz w:val="20"/>
          <w:szCs w:val="20"/>
        </w:rPr>
        <w:t>、</w:t>
      </w:r>
      <w:r>
        <w:rPr>
          <w:rFonts w:ascii="Times New Roman" w:hAnsi="Times New Roman" w:eastAsia="Times New Roman" w:cs="Times New Roman"/>
          <w:spacing w:val="4"/>
          <w:sz w:val="20"/>
          <w:szCs w:val="20"/>
        </w:rPr>
        <w:t>D</w:t>
      </w:r>
      <w:r>
        <w:rPr>
          <w:rFonts w:ascii="宋体" w:hAnsi="宋体" w:eastAsia="宋体" w:cs="宋体"/>
          <w:spacing w:val="4"/>
          <w:sz w:val="20"/>
          <w:szCs w:val="20"/>
        </w:rPr>
        <w:t>、</w:t>
      </w:r>
      <w:r>
        <w:rPr>
          <w:rFonts w:ascii="Times New Roman" w:hAnsi="Times New Roman" w:eastAsia="Times New Roman" w:cs="Times New Roman"/>
          <w:spacing w:val="4"/>
          <w:sz w:val="20"/>
          <w:szCs w:val="20"/>
        </w:rPr>
        <w:t>E</w:t>
      </w:r>
      <w:r>
        <w:rPr>
          <w:rFonts w:ascii="宋体" w:hAnsi="宋体" w:eastAsia="宋体" w:cs="宋体"/>
          <w:spacing w:val="4"/>
          <w:sz w:val="20"/>
          <w:szCs w:val="20"/>
        </w:rPr>
        <w:t>。</w:t>
      </w:r>
    </w:p>
    <w:p w14:paraId="77C85855">
      <w:pPr>
        <w:spacing w:line="281" w:lineRule="auto"/>
        <w:rPr>
          <w:rFonts w:ascii="Arial"/>
          <w:sz w:val="21"/>
        </w:rPr>
      </w:pPr>
    </w:p>
    <w:p w14:paraId="13366D41">
      <w:pPr>
        <w:spacing w:before="65" w:line="229" w:lineRule="auto"/>
        <w:ind w:left="1849"/>
        <w:rPr>
          <w:rFonts w:ascii="宋体" w:hAnsi="宋体" w:eastAsia="宋体" w:cs="宋体"/>
          <w:sz w:val="20"/>
          <w:szCs w:val="20"/>
        </w:rPr>
      </w:pPr>
      <w:r>
        <w:rPr>
          <w:rFonts w:ascii="宋体" w:hAnsi="宋体" w:eastAsia="宋体" w:cs="宋体"/>
          <w:spacing w:val="-23"/>
          <w:sz w:val="20"/>
          <w:szCs w:val="20"/>
        </w:rPr>
        <w:t>充分病因</w:t>
      </w:r>
      <w:r>
        <w:rPr>
          <w:rFonts w:ascii="Times New Roman" w:hAnsi="Times New Roman" w:eastAsia="Times New Roman" w:cs="Times New Roman"/>
          <w:spacing w:val="-23"/>
          <w:sz w:val="20"/>
          <w:szCs w:val="20"/>
        </w:rPr>
        <w:t>I</w:t>
      </w:r>
      <w:r>
        <w:rPr>
          <w:rFonts w:ascii="Times New Roman" w:hAnsi="Times New Roman" w:eastAsia="Times New Roman" w:cs="Times New Roman"/>
          <w:spacing w:val="1"/>
          <w:sz w:val="20"/>
          <w:szCs w:val="20"/>
        </w:rPr>
        <w:t xml:space="preserve">                    </w:t>
      </w:r>
      <w:r>
        <w:rPr>
          <w:rFonts w:ascii="Times New Roman" w:hAnsi="Times New Roman" w:eastAsia="Times New Roman" w:cs="Times New Roman"/>
          <w:sz w:val="20"/>
          <w:szCs w:val="20"/>
        </w:rPr>
        <w:t xml:space="preserve">          </w:t>
      </w:r>
      <w:r>
        <w:rPr>
          <w:rFonts w:ascii="宋体" w:hAnsi="宋体" w:eastAsia="宋体" w:cs="宋体"/>
          <w:spacing w:val="-23"/>
          <w:sz w:val="20"/>
          <w:szCs w:val="20"/>
        </w:rPr>
        <w:t>充分病因Ⅱ</w:t>
      </w:r>
      <w:r>
        <w:rPr>
          <w:rFonts w:ascii="宋体" w:hAnsi="宋体" w:eastAsia="宋体" w:cs="宋体"/>
          <w:spacing w:val="4"/>
          <w:sz w:val="20"/>
          <w:szCs w:val="20"/>
        </w:rPr>
        <w:t xml:space="preserve">             </w:t>
      </w:r>
      <w:r>
        <w:rPr>
          <w:rFonts w:ascii="宋体" w:hAnsi="宋体" w:eastAsia="宋体" w:cs="宋体"/>
          <w:spacing w:val="-23"/>
          <w:sz w:val="20"/>
          <w:szCs w:val="20"/>
        </w:rPr>
        <w:t>充分病因Ⅲ</w:t>
      </w:r>
    </w:p>
    <w:p w14:paraId="6BFEAD91">
      <w:pPr>
        <w:spacing w:before="3" w:line="2180" w:lineRule="exact"/>
        <w:ind w:firstLine="1170"/>
      </w:pPr>
      <w:r>
        <w:rPr>
          <w:position w:val="-43"/>
        </w:rPr>
        <w:drawing>
          <wp:inline distT="0" distB="0" distL="0" distR="0">
            <wp:extent cx="4285615" cy="1384300"/>
            <wp:effectExtent l="0" t="0" r="0" b="0"/>
            <wp:docPr id="538" name="IM 538"/>
            <wp:cNvGraphicFramePr/>
            <a:graphic xmlns:a="http://schemas.openxmlformats.org/drawingml/2006/main">
              <a:graphicData uri="http://schemas.openxmlformats.org/drawingml/2006/picture">
                <pic:pic xmlns:pic="http://schemas.openxmlformats.org/drawingml/2006/picture">
                  <pic:nvPicPr>
                    <pic:cNvPr id="538" name="IM 538"/>
                    <pic:cNvPicPr/>
                  </pic:nvPicPr>
                  <pic:blipFill>
                    <a:blip r:embed="rId604"/>
                    <a:stretch>
                      <a:fillRect/>
                    </a:stretch>
                  </pic:blipFill>
                  <pic:spPr>
                    <a:xfrm>
                      <a:off x="0" y="0"/>
                      <a:ext cx="4286197" cy="1384325"/>
                    </a:xfrm>
                    <a:prstGeom prst="rect">
                      <a:avLst/>
                    </a:prstGeom>
                  </pic:spPr>
                </pic:pic>
              </a:graphicData>
            </a:graphic>
          </wp:inline>
        </w:drawing>
      </w:r>
    </w:p>
    <w:p w14:paraId="099CE5C0">
      <w:pPr>
        <w:pStyle w:val="2"/>
        <w:spacing w:before="144" w:line="221" w:lineRule="auto"/>
        <w:ind w:left="2442"/>
        <w:rPr>
          <w:sz w:val="20"/>
          <w:szCs w:val="20"/>
        </w:rPr>
      </w:pPr>
      <w:r>
        <w:rPr>
          <w:b/>
          <w:bCs/>
          <w:spacing w:val="-11"/>
          <w:sz w:val="20"/>
          <w:szCs w:val="20"/>
        </w:rPr>
        <w:t>图8-8</w:t>
      </w:r>
      <w:r>
        <w:rPr>
          <w:spacing w:val="-11"/>
          <w:sz w:val="20"/>
          <w:szCs w:val="20"/>
        </w:rPr>
        <w:t xml:space="preserve">  </w:t>
      </w:r>
      <w:r>
        <w:rPr>
          <w:b/>
          <w:bCs/>
          <w:spacing w:val="-11"/>
          <w:sz w:val="20"/>
          <w:szCs w:val="20"/>
        </w:rPr>
        <w:t>某疾病的三个充分病因及其组分病因的分布</w:t>
      </w:r>
    </w:p>
    <w:p w14:paraId="68188E8B">
      <w:pPr>
        <w:spacing w:line="221" w:lineRule="auto"/>
        <w:rPr>
          <w:sz w:val="20"/>
          <w:szCs w:val="20"/>
        </w:rPr>
        <w:sectPr>
          <w:footerReference r:id="rId166" w:type="default"/>
          <w:pgSz w:w="11900" w:h="16820"/>
          <w:pgMar w:top="400" w:right="783" w:bottom="839" w:left="1420" w:header="0" w:footer="659" w:gutter="0"/>
          <w:cols w:space="720" w:num="1"/>
        </w:sectPr>
      </w:pPr>
    </w:p>
    <w:p w14:paraId="3825C8CB">
      <w:pPr>
        <w:pStyle w:val="2"/>
        <w:spacing w:before="146" w:line="221" w:lineRule="auto"/>
        <w:ind w:left="689"/>
        <w:rPr>
          <w:sz w:val="19"/>
          <w:szCs w:val="19"/>
        </w:rPr>
      </w:pPr>
      <w:r>
        <w:rPr>
          <w:spacing w:val="-10"/>
          <w:sz w:val="19"/>
          <w:szCs w:val="19"/>
        </w:rPr>
        <w:t>第八章病因及其发现和推断</w:t>
      </w:r>
    </w:p>
    <w:p w14:paraId="6F7938F3">
      <w:pPr>
        <w:spacing w:line="294" w:lineRule="auto"/>
        <w:rPr>
          <w:rFonts w:ascii="Arial"/>
          <w:sz w:val="21"/>
        </w:rPr>
      </w:pPr>
    </w:p>
    <w:p w14:paraId="4BE259DE">
      <w:pPr>
        <w:spacing w:line="294" w:lineRule="auto"/>
        <w:rPr>
          <w:rFonts w:ascii="Arial"/>
          <w:sz w:val="21"/>
        </w:rPr>
      </w:pPr>
    </w:p>
    <w:p w14:paraId="3B4CBB9A">
      <w:pPr>
        <w:spacing w:before="62" w:line="359" w:lineRule="auto"/>
        <w:ind w:left="689" w:right="75"/>
        <w:jc w:val="both"/>
        <w:rPr>
          <w:rFonts w:ascii="宋体" w:hAnsi="宋体" w:eastAsia="宋体" w:cs="宋体"/>
          <w:sz w:val="19"/>
          <w:szCs w:val="19"/>
        </w:rPr>
      </w:pPr>
      <w:r>
        <w:rPr>
          <w:rFonts w:ascii="宋体" w:hAnsi="宋体" w:eastAsia="宋体" w:cs="宋体"/>
          <w:spacing w:val="10"/>
          <w:sz w:val="19"/>
          <w:szCs w:val="19"/>
        </w:rPr>
        <w:t>充分病因Ⅱ也有5个组分病因，它们分别是</w:t>
      </w:r>
      <w:r>
        <w:rPr>
          <w:rFonts w:ascii="Times New Roman" w:hAnsi="Times New Roman" w:eastAsia="Times New Roman" w:cs="Times New Roman"/>
          <w:spacing w:val="10"/>
          <w:sz w:val="19"/>
          <w:szCs w:val="19"/>
        </w:rPr>
        <w:t>A</w:t>
      </w:r>
      <w:r>
        <w:rPr>
          <w:rFonts w:ascii="宋体" w:hAnsi="宋体" w:eastAsia="宋体" w:cs="宋体"/>
          <w:spacing w:val="10"/>
          <w:sz w:val="19"/>
          <w:szCs w:val="19"/>
        </w:rPr>
        <w:t>、</w:t>
      </w:r>
      <w:r>
        <w:rPr>
          <w:rFonts w:ascii="Times New Roman" w:hAnsi="Times New Roman" w:eastAsia="Times New Roman" w:cs="Times New Roman"/>
          <w:spacing w:val="10"/>
          <w:sz w:val="19"/>
          <w:szCs w:val="19"/>
        </w:rPr>
        <w:t>B</w:t>
      </w:r>
      <w:r>
        <w:rPr>
          <w:rFonts w:ascii="宋体" w:hAnsi="宋体" w:eastAsia="宋体" w:cs="宋体"/>
          <w:spacing w:val="10"/>
          <w:sz w:val="19"/>
          <w:szCs w:val="19"/>
        </w:rPr>
        <w:t>、</w:t>
      </w:r>
      <w:r>
        <w:rPr>
          <w:rFonts w:ascii="Times New Roman" w:hAnsi="Times New Roman" w:eastAsia="Times New Roman" w:cs="Times New Roman"/>
          <w:spacing w:val="10"/>
          <w:sz w:val="19"/>
          <w:szCs w:val="19"/>
        </w:rPr>
        <w:t>F</w:t>
      </w:r>
      <w:r>
        <w:rPr>
          <w:rFonts w:ascii="宋体" w:hAnsi="宋体" w:eastAsia="宋体" w:cs="宋体"/>
          <w:spacing w:val="10"/>
          <w:sz w:val="19"/>
          <w:szCs w:val="19"/>
        </w:rPr>
        <w:t>、</w:t>
      </w:r>
      <w:r>
        <w:rPr>
          <w:rFonts w:ascii="Times New Roman" w:hAnsi="Times New Roman" w:eastAsia="Times New Roman" w:cs="Times New Roman"/>
          <w:spacing w:val="10"/>
          <w:sz w:val="19"/>
          <w:szCs w:val="19"/>
        </w:rPr>
        <w:t>G</w:t>
      </w:r>
      <w:r>
        <w:rPr>
          <w:rFonts w:ascii="宋体" w:hAnsi="宋体" w:eastAsia="宋体" w:cs="宋体"/>
          <w:spacing w:val="10"/>
          <w:sz w:val="19"/>
          <w:szCs w:val="19"/>
        </w:rPr>
        <w:t>、</w:t>
      </w:r>
      <w:r>
        <w:rPr>
          <w:rFonts w:ascii="Times New Roman" w:hAnsi="Times New Roman" w:eastAsia="Times New Roman" w:cs="Times New Roman"/>
          <w:spacing w:val="10"/>
          <w:sz w:val="19"/>
          <w:szCs w:val="19"/>
        </w:rPr>
        <w:t>H</w:t>
      </w:r>
      <w:r>
        <w:rPr>
          <w:rFonts w:ascii="宋体" w:hAnsi="宋体" w:eastAsia="宋体" w:cs="宋体"/>
          <w:spacing w:val="10"/>
          <w:sz w:val="19"/>
          <w:szCs w:val="19"/>
        </w:rPr>
        <w:t>。充分病因Ⅲ也有5个组分病因，它们分</w:t>
      </w:r>
      <w:r>
        <w:rPr>
          <w:rFonts w:ascii="宋体" w:hAnsi="宋体" w:eastAsia="宋体" w:cs="宋体"/>
          <w:spacing w:val="3"/>
          <w:sz w:val="19"/>
          <w:szCs w:val="19"/>
        </w:rPr>
        <w:t xml:space="preserve"> </w:t>
      </w:r>
      <w:r>
        <w:rPr>
          <w:rFonts w:ascii="宋体" w:hAnsi="宋体" w:eastAsia="宋体" w:cs="宋体"/>
          <w:spacing w:val="6"/>
          <w:sz w:val="19"/>
          <w:szCs w:val="19"/>
        </w:rPr>
        <w:t>别 是</w:t>
      </w:r>
      <w:r>
        <w:rPr>
          <w:rFonts w:ascii="Times New Roman" w:hAnsi="Times New Roman" w:eastAsia="Times New Roman" w:cs="Times New Roman"/>
          <w:spacing w:val="6"/>
          <w:sz w:val="19"/>
          <w:szCs w:val="19"/>
        </w:rPr>
        <w:t>B</w:t>
      </w:r>
      <w:r>
        <w:rPr>
          <w:rFonts w:ascii="宋体" w:hAnsi="宋体" w:eastAsia="宋体" w:cs="宋体"/>
          <w:spacing w:val="6"/>
          <w:sz w:val="19"/>
          <w:szCs w:val="19"/>
        </w:rPr>
        <w:t>、</w:t>
      </w:r>
      <w:r>
        <w:rPr>
          <w:rFonts w:ascii="Times New Roman" w:hAnsi="Times New Roman" w:eastAsia="Times New Roman" w:cs="Times New Roman"/>
          <w:spacing w:val="6"/>
          <w:sz w:val="19"/>
          <w:szCs w:val="19"/>
        </w:rPr>
        <w:t>F</w:t>
      </w:r>
      <w:r>
        <w:rPr>
          <w:rFonts w:ascii="宋体" w:hAnsi="宋体" w:eastAsia="宋体" w:cs="宋体"/>
          <w:spacing w:val="6"/>
          <w:sz w:val="19"/>
          <w:szCs w:val="19"/>
        </w:rPr>
        <w:t>、</w:t>
      </w:r>
      <w:r>
        <w:rPr>
          <w:rFonts w:ascii="Times New Roman" w:hAnsi="Times New Roman" w:eastAsia="Times New Roman" w:cs="Times New Roman"/>
          <w:spacing w:val="6"/>
          <w:sz w:val="19"/>
          <w:szCs w:val="19"/>
        </w:rPr>
        <w:t>Q</w:t>
      </w:r>
      <w:r>
        <w:rPr>
          <w:rFonts w:ascii="宋体" w:hAnsi="宋体" w:eastAsia="宋体" w:cs="宋体"/>
          <w:spacing w:val="6"/>
          <w:sz w:val="19"/>
          <w:szCs w:val="19"/>
        </w:rPr>
        <w:t>、</w:t>
      </w:r>
      <w:r>
        <w:rPr>
          <w:rFonts w:ascii="Times New Roman" w:hAnsi="Times New Roman" w:eastAsia="Times New Roman" w:cs="Times New Roman"/>
          <w:spacing w:val="6"/>
          <w:sz w:val="19"/>
          <w:szCs w:val="19"/>
        </w:rPr>
        <w:t>Y</w:t>
      </w:r>
      <w:r>
        <w:rPr>
          <w:rFonts w:ascii="宋体" w:hAnsi="宋体" w:eastAsia="宋体" w:cs="宋体"/>
          <w:spacing w:val="6"/>
          <w:sz w:val="19"/>
          <w:szCs w:val="19"/>
        </w:rPr>
        <w:t>、</w:t>
      </w:r>
      <w:r>
        <w:rPr>
          <w:rFonts w:ascii="Times New Roman" w:hAnsi="Times New Roman" w:eastAsia="Times New Roman" w:cs="Times New Roman"/>
          <w:spacing w:val="6"/>
          <w:sz w:val="19"/>
          <w:szCs w:val="19"/>
        </w:rPr>
        <w:t>Z</w:t>
      </w:r>
      <w:r>
        <w:rPr>
          <w:rFonts w:ascii="宋体" w:hAnsi="宋体" w:eastAsia="宋体" w:cs="宋体"/>
          <w:spacing w:val="6"/>
          <w:sz w:val="19"/>
          <w:szCs w:val="19"/>
        </w:rPr>
        <w:t>。图8-8所示的情况只是为了说明问题而进行的假设，现实中一个疾病充分病因</w:t>
      </w:r>
      <w:r>
        <w:rPr>
          <w:rFonts w:ascii="宋体" w:hAnsi="宋体" w:eastAsia="宋体" w:cs="宋体"/>
          <w:spacing w:val="17"/>
          <w:sz w:val="19"/>
          <w:szCs w:val="19"/>
        </w:rPr>
        <w:t xml:space="preserve"> </w:t>
      </w:r>
      <w:r>
        <w:rPr>
          <w:rFonts w:ascii="宋体" w:hAnsi="宋体" w:eastAsia="宋体" w:cs="宋体"/>
          <w:spacing w:val="13"/>
          <w:sz w:val="19"/>
          <w:szCs w:val="19"/>
        </w:rPr>
        <w:t>的总数不可能恰好是3个，</w:t>
      </w:r>
      <w:r>
        <w:rPr>
          <w:rFonts w:ascii="宋体" w:hAnsi="宋体" w:eastAsia="宋体" w:cs="宋体"/>
          <w:spacing w:val="78"/>
          <w:sz w:val="19"/>
          <w:szCs w:val="19"/>
        </w:rPr>
        <w:t xml:space="preserve"> </w:t>
      </w:r>
      <w:r>
        <w:rPr>
          <w:rFonts w:ascii="宋体" w:hAnsi="宋体" w:eastAsia="宋体" w:cs="宋体"/>
          <w:spacing w:val="13"/>
          <w:sz w:val="19"/>
          <w:szCs w:val="19"/>
        </w:rPr>
        <w:t>一个充分病因的组分病因也不可能恰好是5个，不同充分病因的组分病</w:t>
      </w:r>
      <w:r>
        <w:rPr>
          <w:rFonts w:ascii="宋体" w:hAnsi="宋体" w:eastAsia="宋体" w:cs="宋体"/>
          <w:sz w:val="19"/>
          <w:szCs w:val="19"/>
        </w:rPr>
        <w:t xml:space="preserve"> </w:t>
      </w:r>
      <w:r>
        <w:rPr>
          <w:rFonts w:ascii="宋体" w:hAnsi="宋体" w:eastAsia="宋体" w:cs="宋体"/>
          <w:spacing w:val="13"/>
          <w:sz w:val="19"/>
          <w:szCs w:val="19"/>
        </w:rPr>
        <w:t>因总数也不可能相等。</w:t>
      </w:r>
    </w:p>
    <w:p w14:paraId="58E606D6">
      <w:pPr>
        <w:spacing w:before="37" w:line="361" w:lineRule="auto"/>
        <w:ind w:left="689" w:firstLine="420"/>
        <w:jc w:val="both"/>
        <w:rPr>
          <w:rFonts w:ascii="宋体" w:hAnsi="宋体" w:eastAsia="宋体" w:cs="宋体"/>
          <w:sz w:val="19"/>
          <w:szCs w:val="19"/>
        </w:rPr>
      </w:pPr>
      <w:r>
        <w:rPr>
          <w:rFonts w:ascii="宋体" w:hAnsi="宋体" w:eastAsia="宋体" w:cs="宋体"/>
          <w:spacing w:val="9"/>
          <w:sz w:val="19"/>
          <w:szCs w:val="19"/>
        </w:rPr>
        <w:t>组分病因B</w:t>
      </w:r>
      <w:r>
        <w:rPr>
          <w:rFonts w:ascii="宋体" w:hAnsi="宋体" w:eastAsia="宋体" w:cs="宋体"/>
          <w:spacing w:val="-17"/>
          <w:sz w:val="19"/>
          <w:szCs w:val="19"/>
        </w:rPr>
        <w:t xml:space="preserve"> </w:t>
      </w:r>
      <w:r>
        <w:rPr>
          <w:rFonts w:ascii="宋体" w:hAnsi="宋体" w:eastAsia="宋体" w:cs="宋体"/>
          <w:spacing w:val="9"/>
          <w:sz w:val="19"/>
          <w:szCs w:val="19"/>
        </w:rPr>
        <w:t>是所有三个充分病因都需要的组</w:t>
      </w:r>
      <w:r>
        <w:rPr>
          <w:rFonts w:ascii="宋体" w:hAnsi="宋体" w:eastAsia="宋体" w:cs="宋体"/>
          <w:spacing w:val="8"/>
          <w:sz w:val="19"/>
          <w:szCs w:val="19"/>
        </w:rPr>
        <w:t>分，这样的组分病因叫必要病因(</w:t>
      </w:r>
      <w:r>
        <w:rPr>
          <w:rFonts w:ascii="宋体" w:hAnsi="宋体" w:eastAsia="宋体" w:cs="宋体"/>
          <w:sz w:val="19"/>
          <w:szCs w:val="19"/>
        </w:rPr>
        <w:t>necessary</w:t>
      </w:r>
      <w:r>
        <w:rPr>
          <w:rFonts w:ascii="宋体" w:hAnsi="宋体" w:eastAsia="宋体" w:cs="宋体"/>
          <w:spacing w:val="8"/>
          <w:sz w:val="19"/>
          <w:szCs w:val="19"/>
        </w:rPr>
        <w:t xml:space="preserve"> </w:t>
      </w:r>
      <w:r>
        <w:rPr>
          <w:rFonts w:ascii="宋体" w:hAnsi="宋体" w:eastAsia="宋体" w:cs="宋体"/>
          <w:sz w:val="19"/>
          <w:szCs w:val="19"/>
        </w:rPr>
        <w:t>cause</w:t>
      </w:r>
      <w:r>
        <w:rPr>
          <w:rFonts w:ascii="宋体" w:hAnsi="宋体" w:eastAsia="宋体" w:cs="宋体"/>
          <w:spacing w:val="8"/>
          <w:sz w:val="19"/>
          <w:szCs w:val="19"/>
        </w:rPr>
        <w:t>)。</w:t>
      </w:r>
      <w:r>
        <w:rPr>
          <w:rFonts w:ascii="宋体" w:hAnsi="宋体" w:eastAsia="宋体" w:cs="宋体"/>
          <w:sz w:val="19"/>
          <w:szCs w:val="19"/>
        </w:rPr>
        <w:t xml:space="preserve"> </w:t>
      </w:r>
      <w:r>
        <w:rPr>
          <w:rFonts w:ascii="宋体" w:hAnsi="宋体" w:eastAsia="宋体" w:cs="宋体"/>
          <w:spacing w:val="13"/>
          <w:sz w:val="19"/>
          <w:szCs w:val="19"/>
        </w:rPr>
        <w:t>这是因为如果此组分病因不存在，该疾病的任何一个充</w:t>
      </w:r>
      <w:r>
        <w:rPr>
          <w:rFonts w:ascii="宋体" w:hAnsi="宋体" w:eastAsia="宋体" w:cs="宋体"/>
          <w:spacing w:val="12"/>
          <w:sz w:val="19"/>
          <w:szCs w:val="19"/>
        </w:rPr>
        <w:t>分病因都不会形成，疾病就不会发生；如果</w:t>
      </w:r>
      <w:r>
        <w:rPr>
          <w:rFonts w:ascii="宋体" w:hAnsi="宋体" w:eastAsia="宋体" w:cs="宋体"/>
          <w:sz w:val="19"/>
          <w:szCs w:val="19"/>
        </w:rPr>
        <w:t xml:space="preserve">  </w:t>
      </w:r>
      <w:r>
        <w:rPr>
          <w:rFonts w:ascii="宋体" w:hAnsi="宋体" w:eastAsia="宋体" w:cs="宋体"/>
          <w:spacing w:val="9"/>
          <w:sz w:val="19"/>
          <w:szCs w:val="19"/>
        </w:rPr>
        <w:t>疾病已经发生了，该病因必然存在。最典型的必要病因就是传染病的病原</w:t>
      </w:r>
      <w:r>
        <w:rPr>
          <w:rFonts w:ascii="宋体" w:hAnsi="宋体" w:eastAsia="宋体" w:cs="宋体"/>
          <w:spacing w:val="8"/>
          <w:sz w:val="19"/>
          <w:szCs w:val="19"/>
        </w:rPr>
        <w:t>体。比如，</w:t>
      </w:r>
      <w:r>
        <w:rPr>
          <w:rFonts w:ascii="宋体" w:hAnsi="宋体" w:eastAsia="宋体" w:cs="宋体"/>
          <w:spacing w:val="66"/>
          <w:sz w:val="19"/>
          <w:szCs w:val="19"/>
        </w:rPr>
        <w:t xml:space="preserve"> </w:t>
      </w:r>
      <w:r>
        <w:rPr>
          <w:rFonts w:ascii="宋体" w:hAnsi="宋体" w:eastAsia="宋体" w:cs="宋体"/>
          <w:spacing w:val="8"/>
          <w:sz w:val="19"/>
          <w:szCs w:val="19"/>
        </w:rPr>
        <w:t>一个人从来都</w:t>
      </w:r>
      <w:r>
        <w:rPr>
          <w:rFonts w:ascii="宋体" w:hAnsi="宋体" w:eastAsia="宋体" w:cs="宋体"/>
          <w:sz w:val="19"/>
          <w:szCs w:val="19"/>
        </w:rPr>
        <w:t xml:space="preserve">  </w:t>
      </w:r>
      <w:r>
        <w:rPr>
          <w:rFonts w:ascii="宋体" w:hAnsi="宋体" w:eastAsia="宋体" w:cs="宋体"/>
          <w:spacing w:val="13"/>
          <w:sz w:val="19"/>
          <w:szCs w:val="19"/>
        </w:rPr>
        <w:t>没有感染过乙型肝炎病毒，他就不会得乙型肝炎</w:t>
      </w:r>
      <w:r>
        <w:rPr>
          <w:rFonts w:ascii="宋体" w:hAnsi="宋体" w:eastAsia="宋体" w:cs="宋体"/>
          <w:spacing w:val="12"/>
          <w:sz w:val="19"/>
          <w:szCs w:val="19"/>
        </w:rPr>
        <w:t>。对于预防传染病来说，疫苗之所以效果很好，就</w:t>
      </w:r>
      <w:r>
        <w:rPr>
          <w:rFonts w:ascii="宋体" w:hAnsi="宋体" w:eastAsia="宋体" w:cs="宋体"/>
          <w:sz w:val="19"/>
          <w:szCs w:val="19"/>
        </w:rPr>
        <w:t xml:space="preserve">  </w:t>
      </w:r>
      <w:r>
        <w:rPr>
          <w:rFonts w:ascii="宋体" w:hAnsi="宋体" w:eastAsia="宋体" w:cs="宋体"/>
          <w:spacing w:val="13"/>
          <w:sz w:val="19"/>
          <w:szCs w:val="19"/>
        </w:rPr>
        <w:t>是因为疫苗阻断了必要病因。但是，即使在必要病因未知的</w:t>
      </w:r>
      <w:r>
        <w:rPr>
          <w:rFonts w:ascii="宋体" w:hAnsi="宋体" w:eastAsia="宋体" w:cs="宋体"/>
          <w:spacing w:val="12"/>
          <w:sz w:val="19"/>
          <w:szCs w:val="19"/>
        </w:rPr>
        <w:t>情况下，还是可以通过阻断多个组分病</w:t>
      </w:r>
      <w:r>
        <w:rPr>
          <w:rFonts w:ascii="宋体" w:hAnsi="宋体" w:eastAsia="宋体" w:cs="宋体"/>
          <w:sz w:val="19"/>
          <w:szCs w:val="19"/>
        </w:rPr>
        <w:t xml:space="preserve">  </w:t>
      </w:r>
      <w:r>
        <w:rPr>
          <w:rFonts w:ascii="宋体" w:hAnsi="宋体" w:eastAsia="宋体" w:cs="宋体"/>
          <w:spacing w:val="13"/>
          <w:sz w:val="19"/>
          <w:szCs w:val="19"/>
        </w:rPr>
        <w:t>因从而阻断与其相关的充分病因来有效地预防传染病。</w:t>
      </w:r>
    </w:p>
    <w:p w14:paraId="1929F111">
      <w:pPr>
        <w:pStyle w:val="2"/>
        <w:spacing w:before="155" w:line="222" w:lineRule="auto"/>
        <w:ind w:left="1153"/>
        <w:outlineLvl w:val="2"/>
        <w:rPr>
          <w:sz w:val="25"/>
          <w:szCs w:val="25"/>
        </w:rPr>
      </w:pPr>
      <w:bookmarkStart w:id="243" w:name="bookmark153"/>
      <w:bookmarkEnd w:id="243"/>
      <w:r>
        <w:rPr>
          <w:b/>
          <w:bCs/>
          <w:spacing w:val="-4"/>
          <w:sz w:val="25"/>
          <w:szCs w:val="25"/>
        </w:rPr>
        <w:t>三、充分病因-组分病因模型的应用</w:t>
      </w:r>
    </w:p>
    <w:p w14:paraId="67466A23">
      <w:pPr>
        <w:spacing w:before="279" w:line="360" w:lineRule="auto"/>
        <w:ind w:left="689" w:right="50" w:firstLine="420"/>
        <w:jc w:val="both"/>
        <w:rPr>
          <w:rFonts w:ascii="宋体" w:hAnsi="宋体" w:eastAsia="宋体" w:cs="宋体"/>
          <w:sz w:val="19"/>
          <w:szCs w:val="19"/>
        </w:rPr>
      </w:pPr>
      <w:r>
        <w:rPr>
          <w:rFonts w:ascii="宋体" w:hAnsi="宋体" w:eastAsia="宋体" w:cs="宋体"/>
          <w:spacing w:val="17"/>
          <w:sz w:val="19"/>
          <w:szCs w:val="19"/>
        </w:rPr>
        <w:t>表8-1总结了充分病因、必要病因和互补病因的概念。根据病因的必要性</w:t>
      </w:r>
      <w:r>
        <w:rPr>
          <w:rFonts w:ascii="宋体" w:hAnsi="宋体" w:eastAsia="宋体" w:cs="宋体"/>
          <w:spacing w:val="16"/>
          <w:sz w:val="19"/>
          <w:szCs w:val="19"/>
        </w:rPr>
        <w:t>和充分性.可以把组</w:t>
      </w:r>
      <w:r>
        <w:rPr>
          <w:rFonts w:ascii="宋体" w:hAnsi="宋体" w:eastAsia="宋体" w:cs="宋体"/>
          <w:sz w:val="19"/>
          <w:szCs w:val="19"/>
        </w:rPr>
        <w:t xml:space="preserve"> </w:t>
      </w:r>
      <w:r>
        <w:rPr>
          <w:rFonts w:ascii="宋体" w:hAnsi="宋体" w:eastAsia="宋体" w:cs="宋体"/>
          <w:spacing w:val="12"/>
          <w:sz w:val="19"/>
          <w:szCs w:val="19"/>
        </w:rPr>
        <w:t>分病因分为四类(表8-2):①既必要又充分；②必要但非充分；③充分但</w:t>
      </w:r>
      <w:r>
        <w:rPr>
          <w:rFonts w:ascii="宋体" w:hAnsi="宋体" w:eastAsia="宋体" w:cs="宋体"/>
          <w:spacing w:val="11"/>
          <w:sz w:val="19"/>
          <w:szCs w:val="19"/>
        </w:rPr>
        <w:t>非必要；④既非必要又非充</w:t>
      </w:r>
      <w:r>
        <w:rPr>
          <w:rFonts w:ascii="宋体" w:hAnsi="宋体" w:eastAsia="宋体" w:cs="宋体"/>
          <w:sz w:val="19"/>
          <w:szCs w:val="19"/>
        </w:rPr>
        <w:t xml:space="preserve"> </w:t>
      </w:r>
      <w:r>
        <w:rPr>
          <w:rFonts w:ascii="宋体" w:hAnsi="宋体" w:eastAsia="宋体" w:cs="宋体"/>
          <w:spacing w:val="17"/>
          <w:sz w:val="19"/>
          <w:szCs w:val="19"/>
        </w:rPr>
        <w:t>分。既必要又充分的病因很少，天花病毒可能是为数不多的几种。没有天花病毒，天花不可能发</w:t>
      </w:r>
      <w:r>
        <w:rPr>
          <w:rFonts w:ascii="宋体" w:hAnsi="宋体" w:eastAsia="宋体" w:cs="宋体"/>
          <w:spacing w:val="13"/>
          <w:sz w:val="19"/>
          <w:szCs w:val="19"/>
        </w:rPr>
        <w:t xml:space="preserve"> </w:t>
      </w:r>
      <w:r>
        <w:rPr>
          <w:rFonts w:ascii="宋体" w:hAnsi="宋体" w:eastAsia="宋体" w:cs="宋体"/>
          <w:spacing w:val="17"/>
          <w:sz w:val="19"/>
          <w:szCs w:val="19"/>
        </w:rPr>
        <w:t>生；感染了天花病毒，天花几乎百分百发生。几乎所有的传染病病原体都属于必要但非充分的病</w:t>
      </w:r>
      <w:r>
        <w:rPr>
          <w:rFonts w:ascii="宋体" w:hAnsi="宋体" w:eastAsia="宋体" w:cs="宋体"/>
          <w:spacing w:val="18"/>
          <w:sz w:val="19"/>
          <w:szCs w:val="19"/>
        </w:rPr>
        <w:t xml:space="preserve"> </w:t>
      </w:r>
      <w:r>
        <w:rPr>
          <w:rFonts w:ascii="宋体" w:hAnsi="宋体" w:eastAsia="宋体" w:cs="宋体"/>
          <w:spacing w:val="7"/>
          <w:sz w:val="19"/>
          <w:szCs w:val="19"/>
        </w:rPr>
        <w:t>因，没有病原体，有关疾病永远不可能发生，但是感染了某病原体，该疾病也不一定发生，</w:t>
      </w:r>
      <w:r>
        <w:rPr>
          <w:rFonts w:ascii="宋体" w:hAnsi="宋体" w:eastAsia="宋体" w:cs="宋体"/>
          <w:spacing w:val="6"/>
          <w:sz w:val="19"/>
          <w:szCs w:val="19"/>
        </w:rPr>
        <w:t>如结核和</w:t>
      </w:r>
      <w:r>
        <w:rPr>
          <w:rFonts w:ascii="宋体" w:hAnsi="宋体" w:eastAsia="宋体" w:cs="宋体"/>
          <w:sz w:val="19"/>
          <w:szCs w:val="19"/>
        </w:rPr>
        <w:t xml:space="preserve">  </w:t>
      </w:r>
      <w:r>
        <w:rPr>
          <w:rFonts w:ascii="宋体" w:hAnsi="宋体" w:eastAsia="宋体" w:cs="宋体"/>
          <w:spacing w:val="13"/>
          <w:sz w:val="19"/>
          <w:szCs w:val="19"/>
        </w:rPr>
        <w:t>乙型肝炎。那些剧烈的严重威胁生命的事件多是死亡事件的充分但非必要的原因，比如飞机失事、</w:t>
      </w:r>
      <w:r>
        <w:rPr>
          <w:rFonts w:ascii="宋体" w:hAnsi="宋体" w:eastAsia="宋体" w:cs="宋体"/>
          <w:spacing w:val="14"/>
          <w:sz w:val="19"/>
          <w:szCs w:val="19"/>
        </w:rPr>
        <w:t xml:space="preserve"> </w:t>
      </w:r>
      <w:r>
        <w:rPr>
          <w:rFonts w:ascii="宋体" w:hAnsi="宋体" w:eastAsia="宋体" w:cs="宋体"/>
          <w:spacing w:val="6"/>
          <w:sz w:val="19"/>
          <w:szCs w:val="19"/>
        </w:rPr>
        <w:t>严重车祸、重大自然灾害等。 一旦事件发生，就足以致命；但是反过来</w:t>
      </w:r>
      <w:r>
        <w:rPr>
          <w:rFonts w:ascii="宋体" w:hAnsi="宋体" w:eastAsia="宋体" w:cs="宋体"/>
          <w:spacing w:val="5"/>
          <w:sz w:val="19"/>
          <w:szCs w:val="19"/>
        </w:rPr>
        <w:t>，以重大自然灾害为例，人们</w:t>
      </w:r>
      <w:r>
        <w:rPr>
          <w:rFonts w:ascii="宋体" w:hAnsi="宋体" w:eastAsia="宋体" w:cs="宋体"/>
          <w:sz w:val="19"/>
          <w:szCs w:val="19"/>
        </w:rPr>
        <w:t xml:space="preserve"> </w:t>
      </w:r>
      <w:r>
        <w:rPr>
          <w:rFonts w:ascii="宋体" w:hAnsi="宋体" w:eastAsia="宋体" w:cs="宋体"/>
          <w:spacing w:val="9"/>
          <w:sz w:val="19"/>
          <w:szCs w:val="19"/>
        </w:rPr>
        <w:t>也可能因为食物的匮乏、水源的污染、传染病的流行等其他原</w:t>
      </w:r>
      <w:r>
        <w:rPr>
          <w:rFonts w:ascii="宋体" w:hAnsi="宋体" w:eastAsia="宋体" w:cs="宋体"/>
          <w:spacing w:val="8"/>
          <w:sz w:val="19"/>
          <w:szCs w:val="19"/>
        </w:rPr>
        <w:t>因而死亡。</w:t>
      </w:r>
    </w:p>
    <w:p w14:paraId="3127CAD7">
      <w:pPr>
        <w:pStyle w:val="2"/>
        <w:spacing w:before="128" w:line="181" w:lineRule="auto"/>
        <w:ind w:left="2926"/>
        <w:rPr>
          <w:sz w:val="21"/>
          <w:szCs w:val="21"/>
        </w:rPr>
      </w:pPr>
      <w:r>
        <w:rPr>
          <w:spacing w:val="-10"/>
          <w:sz w:val="21"/>
          <w:szCs w:val="21"/>
        </w:rPr>
        <w:t>表 8</w:t>
      </w:r>
      <w:r>
        <w:rPr>
          <w:spacing w:val="-20"/>
          <w:sz w:val="21"/>
          <w:szCs w:val="21"/>
        </w:rPr>
        <w:t xml:space="preserve"> </w:t>
      </w:r>
      <w:r>
        <w:rPr>
          <w:spacing w:val="-10"/>
          <w:sz w:val="21"/>
          <w:szCs w:val="21"/>
        </w:rPr>
        <w:t>- 1 充</w:t>
      </w:r>
      <w:r>
        <w:rPr>
          <w:spacing w:val="-12"/>
          <w:sz w:val="21"/>
          <w:szCs w:val="21"/>
        </w:rPr>
        <w:t xml:space="preserve"> </w:t>
      </w:r>
      <w:r>
        <w:rPr>
          <w:spacing w:val="-10"/>
          <w:sz w:val="21"/>
          <w:szCs w:val="21"/>
        </w:rPr>
        <w:t>分</w:t>
      </w:r>
      <w:r>
        <w:rPr>
          <w:spacing w:val="-19"/>
          <w:sz w:val="21"/>
          <w:szCs w:val="21"/>
        </w:rPr>
        <w:t xml:space="preserve"> </w:t>
      </w:r>
      <w:r>
        <w:rPr>
          <w:spacing w:val="-10"/>
          <w:sz w:val="21"/>
          <w:szCs w:val="21"/>
        </w:rPr>
        <w:t>病 因</w:t>
      </w:r>
      <w:r>
        <w:rPr>
          <w:spacing w:val="-15"/>
          <w:sz w:val="21"/>
          <w:szCs w:val="21"/>
        </w:rPr>
        <w:t xml:space="preserve"> </w:t>
      </w:r>
      <w:r>
        <w:rPr>
          <w:spacing w:val="-10"/>
          <w:sz w:val="21"/>
          <w:szCs w:val="21"/>
        </w:rPr>
        <w:t>和</w:t>
      </w:r>
      <w:r>
        <w:rPr>
          <w:spacing w:val="-17"/>
          <w:sz w:val="21"/>
          <w:szCs w:val="21"/>
        </w:rPr>
        <w:t xml:space="preserve"> </w:t>
      </w:r>
      <w:r>
        <w:rPr>
          <w:spacing w:val="-10"/>
          <w:sz w:val="21"/>
          <w:szCs w:val="21"/>
        </w:rPr>
        <w:t>必</w:t>
      </w:r>
      <w:r>
        <w:rPr>
          <w:spacing w:val="-18"/>
          <w:sz w:val="21"/>
          <w:szCs w:val="21"/>
        </w:rPr>
        <w:t xml:space="preserve"> </w:t>
      </w:r>
      <w:r>
        <w:rPr>
          <w:spacing w:val="-10"/>
          <w:sz w:val="21"/>
          <w:szCs w:val="21"/>
        </w:rPr>
        <w:t>要</w:t>
      </w:r>
      <w:r>
        <w:rPr>
          <w:spacing w:val="-19"/>
          <w:sz w:val="21"/>
          <w:szCs w:val="21"/>
        </w:rPr>
        <w:t xml:space="preserve"> </w:t>
      </w:r>
      <w:r>
        <w:rPr>
          <w:spacing w:val="-10"/>
          <w:sz w:val="21"/>
          <w:szCs w:val="21"/>
        </w:rPr>
        <w:t>病 因 的</w:t>
      </w:r>
      <w:r>
        <w:rPr>
          <w:spacing w:val="-19"/>
          <w:sz w:val="21"/>
          <w:szCs w:val="21"/>
        </w:rPr>
        <w:t xml:space="preserve"> </w:t>
      </w:r>
      <w:r>
        <w:rPr>
          <w:spacing w:val="-10"/>
          <w:sz w:val="21"/>
          <w:szCs w:val="21"/>
        </w:rPr>
        <w:t>定</w:t>
      </w:r>
      <w:r>
        <w:rPr>
          <w:spacing w:val="-11"/>
          <w:sz w:val="21"/>
          <w:szCs w:val="21"/>
        </w:rPr>
        <w:t xml:space="preserve"> 义</w:t>
      </w:r>
    </w:p>
    <w:tbl>
      <w:tblPr>
        <w:tblStyle w:val="5"/>
        <w:tblW w:w="8699" w:type="dxa"/>
        <w:tblInd w:w="689"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0" w:type="dxa"/>
          <w:left w:w="0" w:type="dxa"/>
          <w:bottom w:w="0" w:type="dxa"/>
          <w:right w:w="0" w:type="dxa"/>
        </w:tblCellMar>
      </w:tblPr>
      <w:tblGrid>
        <w:gridCol w:w="1810"/>
        <w:gridCol w:w="6889"/>
      </w:tblGrid>
      <w:tr w14:paraId="7641B422">
        <w:trPr>
          <w:trHeight w:val="378" w:hRule="atLeast"/>
        </w:trPr>
        <w:tc>
          <w:tcPr>
            <w:tcW w:w="1810" w:type="dxa"/>
            <w:tcBorders>
              <w:top w:val="single" w:color="000000" w:sz="4" w:space="0"/>
              <w:bottom w:val="single" w:color="000000" w:sz="4" w:space="0"/>
            </w:tcBorders>
            <w:vAlign w:val="top"/>
          </w:tcPr>
          <w:p w14:paraId="31C2EA55">
            <w:pPr>
              <w:spacing w:before="203" w:line="164" w:lineRule="exact"/>
              <w:ind w:left="687"/>
              <w:rPr>
                <w:rFonts w:ascii="黑体" w:hAnsi="黑体" w:eastAsia="黑体" w:cs="黑体"/>
                <w:sz w:val="20"/>
                <w:szCs w:val="20"/>
              </w:rPr>
            </w:pPr>
            <w:r>
              <w:drawing>
                <wp:anchor distT="0" distB="0" distL="0" distR="0" simplePos="0" relativeHeight="251833344" behindDoc="1" locked="0" layoutInCell="1" allowOverlap="1">
                  <wp:simplePos x="0" y="0"/>
                  <wp:positionH relativeFrom="column">
                    <wp:posOffset>18415</wp:posOffset>
                  </wp:positionH>
                  <wp:positionV relativeFrom="paragraph">
                    <wp:posOffset>53975</wp:posOffset>
                  </wp:positionV>
                  <wp:extent cx="5499100" cy="247650"/>
                  <wp:effectExtent l="0" t="0" r="0" b="0"/>
                  <wp:wrapNone/>
                  <wp:docPr id="540" name="IM 540"/>
                  <wp:cNvGraphicFramePr/>
                  <a:graphic xmlns:a="http://schemas.openxmlformats.org/drawingml/2006/main">
                    <a:graphicData uri="http://schemas.openxmlformats.org/drawingml/2006/picture">
                      <pic:pic xmlns:pic="http://schemas.openxmlformats.org/drawingml/2006/picture">
                        <pic:nvPicPr>
                          <pic:cNvPr id="540" name="IM 540"/>
                          <pic:cNvPicPr/>
                        </pic:nvPicPr>
                        <pic:blipFill>
                          <a:blip r:embed="rId605"/>
                          <a:stretch>
                            <a:fillRect/>
                          </a:stretch>
                        </pic:blipFill>
                        <pic:spPr>
                          <a:xfrm>
                            <a:off x="0" y="0"/>
                            <a:ext cx="5499091" cy="247685"/>
                          </a:xfrm>
                          <a:prstGeom prst="rect">
                            <a:avLst/>
                          </a:prstGeom>
                        </pic:spPr>
                      </pic:pic>
                    </a:graphicData>
                  </a:graphic>
                </wp:anchor>
              </w:drawing>
            </w:r>
            <w:r>
              <w:rPr>
                <w:rFonts w:ascii="黑体" w:hAnsi="黑体" w:eastAsia="黑体" w:cs="黑体"/>
                <w:spacing w:val="-3"/>
                <w:position w:val="-1"/>
                <w:sz w:val="20"/>
                <w:szCs w:val="20"/>
              </w:rPr>
              <w:t>病</w:t>
            </w:r>
            <w:r>
              <w:rPr>
                <w:rFonts w:ascii="黑体" w:hAnsi="黑体" w:eastAsia="黑体" w:cs="黑体"/>
                <w:spacing w:val="47"/>
                <w:position w:val="-1"/>
                <w:sz w:val="20"/>
                <w:szCs w:val="20"/>
              </w:rPr>
              <w:t xml:space="preserve"> </w:t>
            </w:r>
            <w:r>
              <w:rPr>
                <w:rFonts w:ascii="黑体" w:hAnsi="黑体" w:eastAsia="黑体" w:cs="黑体"/>
                <w:spacing w:val="-3"/>
                <w:position w:val="-1"/>
                <w:sz w:val="20"/>
                <w:szCs w:val="20"/>
              </w:rPr>
              <w:t>因</w:t>
            </w:r>
          </w:p>
        </w:tc>
        <w:tc>
          <w:tcPr>
            <w:tcW w:w="6889" w:type="dxa"/>
            <w:tcBorders>
              <w:top w:val="single" w:color="000000" w:sz="4" w:space="0"/>
              <w:bottom w:val="single" w:color="000000" w:sz="2" w:space="0"/>
            </w:tcBorders>
            <w:vAlign w:val="top"/>
          </w:tcPr>
          <w:p w14:paraId="667064AC">
            <w:pPr>
              <w:spacing w:before="194" w:line="169" w:lineRule="auto"/>
              <w:ind w:left="3339"/>
              <w:rPr>
                <w:rFonts w:ascii="黑体" w:hAnsi="黑体" w:eastAsia="黑体" w:cs="黑体"/>
                <w:sz w:val="19"/>
                <w:szCs w:val="19"/>
              </w:rPr>
            </w:pPr>
            <w:r>
              <w:rPr>
                <w:rFonts w:ascii="黑体" w:hAnsi="黑体" w:eastAsia="黑体" w:cs="黑体"/>
                <w:spacing w:val="-3"/>
                <w:sz w:val="19"/>
                <w:szCs w:val="19"/>
              </w:rPr>
              <w:t>定</w:t>
            </w:r>
            <w:r>
              <w:rPr>
                <w:rFonts w:ascii="黑体" w:hAnsi="黑体" w:eastAsia="黑体" w:cs="黑体"/>
                <w:spacing w:val="38"/>
                <w:sz w:val="19"/>
                <w:szCs w:val="19"/>
              </w:rPr>
              <w:t xml:space="preserve"> </w:t>
            </w:r>
            <w:r>
              <w:rPr>
                <w:rFonts w:ascii="黑体" w:hAnsi="黑体" w:eastAsia="黑体" w:cs="黑体"/>
                <w:spacing w:val="-3"/>
                <w:sz w:val="19"/>
                <w:szCs w:val="19"/>
              </w:rPr>
              <w:t>义</w:t>
            </w:r>
          </w:p>
        </w:tc>
      </w:tr>
      <w:tr w14:paraId="051BDBAA">
        <w:trPr>
          <w:trHeight w:val="1067" w:hRule="atLeast"/>
        </w:trPr>
        <w:tc>
          <w:tcPr>
            <w:tcW w:w="1810" w:type="dxa"/>
            <w:tcBorders>
              <w:top w:val="single" w:color="000000" w:sz="4" w:space="0"/>
            </w:tcBorders>
            <w:vAlign w:val="top"/>
          </w:tcPr>
          <w:p w14:paraId="73B9A720">
            <w:pPr>
              <w:pStyle w:val="6"/>
              <w:spacing w:before="185" w:line="220" w:lineRule="auto"/>
              <w:ind w:left="130"/>
              <w:rPr>
                <w:sz w:val="19"/>
                <w:szCs w:val="19"/>
              </w:rPr>
            </w:pPr>
            <w:r>
              <w:rPr>
                <w:spacing w:val="-2"/>
                <w:sz w:val="19"/>
                <w:szCs w:val="19"/>
              </w:rPr>
              <w:t>组分病因</w:t>
            </w:r>
          </w:p>
          <w:p w14:paraId="67E80875">
            <w:pPr>
              <w:pStyle w:val="6"/>
              <w:spacing w:before="133" w:line="220" w:lineRule="auto"/>
              <w:ind w:left="130"/>
              <w:rPr>
                <w:sz w:val="19"/>
                <w:szCs w:val="19"/>
              </w:rPr>
            </w:pPr>
            <w:r>
              <w:rPr>
                <w:spacing w:val="-2"/>
                <w:sz w:val="19"/>
                <w:szCs w:val="19"/>
              </w:rPr>
              <w:t>充分病因</w:t>
            </w:r>
          </w:p>
        </w:tc>
        <w:tc>
          <w:tcPr>
            <w:tcW w:w="6889" w:type="dxa"/>
            <w:tcBorders>
              <w:top w:val="single" w:color="000000" w:sz="2" w:space="0"/>
            </w:tcBorders>
            <w:vAlign w:val="top"/>
          </w:tcPr>
          <w:p w14:paraId="05D7148B">
            <w:pPr>
              <w:pStyle w:val="6"/>
              <w:spacing w:before="185" w:line="219" w:lineRule="auto"/>
              <w:ind w:left="260"/>
              <w:rPr>
                <w:sz w:val="19"/>
                <w:szCs w:val="19"/>
              </w:rPr>
            </w:pPr>
            <w:r>
              <w:rPr>
                <w:spacing w:val="-6"/>
                <w:sz w:val="19"/>
                <w:szCs w:val="19"/>
              </w:rPr>
              <w:t>充分病因的构成成分或亚单位，人们常说的病因(如吸烟)都是</w:t>
            </w:r>
            <w:r>
              <w:rPr>
                <w:spacing w:val="-7"/>
                <w:sz w:val="19"/>
                <w:szCs w:val="19"/>
              </w:rPr>
              <w:t>组分病因</w:t>
            </w:r>
          </w:p>
          <w:p w14:paraId="58CD866B">
            <w:pPr>
              <w:pStyle w:val="6"/>
              <w:spacing w:before="144" w:line="244" w:lineRule="auto"/>
              <w:ind w:left="260" w:right="112"/>
              <w:rPr>
                <w:sz w:val="19"/>
                <w:szCs w:val="19"/>
              </w:rPr>
            </w:pPr>
            <w:r>
              <w:rPr>
                <w:spacing w:val="-4"/>
                <w:sz w:val="19"/>
                <w:szCs w:val="19"/>
              </w:rPr>
              <w:t>由一个或多个组分病因构成，是疾病发生所需要的最低条件或组分病因的最少组</w:t>
            </w:r>
            <w:r>
              <w:rPr>
                <w:spacing w:val="5"/>
                <w:sz w:val="19"/>
                <w:szCs w:val="19"/>
              </w:rPr>
              <w:t xml:space="preserve"> </w:t>
            </w:r>
            <w:r>
              <w:rPr>
                <w:spacing w:val="-9"/>
                <w:sz w:val="19"/>
                <w:szCs w:val="19"/>
              </w:rPr>
              <w:t>合，充分病因形成就等于疾病发生</w:t>
            </w:r>
          </w:p>
        </w:tc>
      </w:tr>
      <w:tr w14:paraId="5BD19486">
        <w:trPr>
          <w:trHeight w:val="605" w:hRule="atLeast"/>
        </w:trPr>
        <w:tc>
          <w:tcPr>
            <w:tcW w:w="1810" w:type="dxa"/>
            <w:vAlign w:val="top"/>
          </w:tcPr>
          <w:p w14:paraId="66928A4B">
            <w:pPr>
              <w:pStyle w:val="6"/>
              <w:spacing w:before="119" w:line="221" w:lineRule="auto"/>
              <w:ind w:left="130"/>
              <w:rPr>
                <w:sz w:val="19"/>
                <w:szCs w:val="19"/>
              </w:rPr>
            </w:pPr>
            <w:r>
              <w:rPr>
                <w:spacing w:val="-2"/>
                <w:sz w:val="19"/>
                <w:szCs w:val="19"/>
              </w:rPr>
              <w:t>必要病因</w:t>
            </w:r>
          </w:p>
        </w:tc>
        <w:tc>
          <w:tcPr>
            <w:tcW w:w="6889" w:type="dxa"/>
            <w:vAlign w:val="top"/>
          </w:tcPr>
          <w:p w14:paraId="3709466A">
            <w:pPr>
              <w:pStyle w:val="6"/>
              <w:spacing w:before="127" w:line="227" w:lineRule="auto"/>
              <w:ind w:left="260" w:right="89"/>
              <w:rPr>
                <w:sz w:val="19"/>
                <w:szCs w:val="19"/>
              </w:rPr>
            </w:pPr>
            <w:r>
              <w:rPr>
                <w:spacing w:val="-8"/>
                <w:sz w:val="19"/>
                <w:szCs w:val="19"/>
              </w:rPr>
              <w:t>是一个疾病发生必需的组分病因，是该疾病所有充</w:t>
            </w:r>
            <w:r>
              <w:rPr>
                <w:spacing w:val="-9"/>
                <w:sz w:val="19"/>
                <w:szCs w:val="19"/>
              </w:rPr>
              <w:t>分病因都需要的组分病因；若该</w:t>
            </w:r>
            <w:r>
              <w:rPr>
                <w:sz w:val="19"/>
                <w:szCs w:val="19"/>
              </w:rPr>
              <w:t xml:space="preserve"> </w:t>
            </w:r>
            <w:r>
              <w:rPr>
                <w:spacing w:val="-11"/>
                <w:sz w:val="19"/>
                <w:szCs w:val="19"/>
              </w:rPr>
              <w:t>病因不存在，疾病就不会发生，因此所有病人都具有该病因</w:t>
            </w:r>
          </w:p>
        </w:tc>
      </w:tr>
      <w:tr w14:paraId="5B4DE192">
        <w:trPr>
          <w:trHeight w:val="363" w:hRule="atLeast"/>
        </w:trPr>
        <w:tc>
          <w:tcPr>
            <w:tcW w:w="1810" w:type="dxa"/>
            <w:vAlign w:val="top"/>
          </w:tcPr>
          <w:p w14:paraId="70C6C5CC">
            <w:pPr>
              <w:pStyle w:val="6"/>
              <w:spacing w:before="144" w:line="203" w:lineRule="auto"/>
              <w:ind w:right="6"/>
              <w:jc w:val="right"/>
              <w:rPr>
                <w:sz w:val="19"/>
                <w:szCs w:val="19"/>
              </w:rPr>
            </w:pPr>
            <w:r>
              <w:drawing>
                <wp:anchor distT="0" distB="0" distL="0" distR="0" simplePos="0" relativeHeight="251832320" behindDoc="1" locked="0" layoutInCell="1" allowOverlap="1">
                  <wp:simplePos x="0" y="0"/>
                  <wp:positionH relativeFrom="column">
                    <wp:posOffset>24765</wp:posOffset>
                  </wp:positionH>
                  <wp:positionV relativeFrom="paragraph">
                    <wp:posOffset>28575</wp:posOffset>
                  </wp:positionV>
                  <wp:extent cx="5480050" cy="234950"/>
                  <wp:effectExtent l="0" t="0" r="0" b="0"/>
                  <wp:wrapNone/>
                  <wp:docPr id="542" name="IM 542"/>
                  <wp:cNvGraphicFramePr/>
                  <a:graphic xmlns:a="http://schemas.openxmlformats.org/drawingml/2006/main">
                    <a:graphicData uri="http://schemas.openxmlformats.org/drawingml/2006/picture">
                      <pic:pic xmlns:pic="http://schemas.openxmlformats.org/drawingml/2006/picture">
                        <pic:nvPicPr>
                          <pic:cNvPr id="542" name="IM 542"/>
                          <pic:cNvPicPr/>
                        </pic:nvPicPr>
                        <pic:blipFill>
                          <a:blip r:embed="rId606"/>
                          <a:stretch>
                            <a:fillRect/>
                          </a:stretch>
                        </pic:blipFill>
                        <pic:spPr>
                          <a:xfrm>
                            <a:off x="0" y="0"/>
                            <a:ext cx="5480049" cy="234975"/>
                          </a:xfrm>
                          <a:prstGeom prst="rect">
                            <a:avLst/>
                          </a:prstGeom>
                        </pic:spPr>
                      </pic:pic>
                    </a:graphicData>
                  </a:graphic>
                </wp:anchor>
              </w:drawing>
            </w:r>
            <w:r>
              <w:rPr>
                <w:spacing w:val="-5"/>
                <w:sz w:val="19"/>
                <w:szCs w:val="19"/>
              </w:rPr>
              <w:t>组分病因的互补病因</w:t>
            </w:r>
          </w:p>
        </w:tc>
        <w:tc>
          <w:tcPr>
            <w:tcW w:w="6889" w:type="dxa"/>
            <w:vAlign w:val="top"/>
          </w:tcPr>
          <w:p w14:paraId="08C1B57F">
            <w:pPr>
              <w:pStyle w:val="6"/>
              <w:spacing w:before="143" w:line="204" w:lineRule="auto"/>
              <w:ind w:left="260"/>
              <w:rPr>
                <w:sz w:val="19"/>
                <w:szCs w:val="19"/>
              </w:rPr>
            </w:pPr>
            <w:r>
              <w:rPr>
                <w:spacing w:val="-5"/>
                <w:sz w:val="19"/>
                <w:szCs w:val="19"/>
              </w:rPr>
              <w:t>在同一个充分病因里的组分病因互为互补组分病因</w:t>
            </w:r>
          </w:p>
        </w:tc>
      </w:tr>
      <w:tr w14:paraId="212D3178">
        <w:trPr>
          <w:trHeight w:val="268" w:hRule="atLeast"/>
        </w:trPr>
        <w:tc>
          <w:tcPr>
            <w:tcW w:w="1810" w:type="dxa"/>
            <w:tcBorders>
              <w:bottom w:val="single" w:color="000000" w:sz="2" w:space="0"/>
            </w:tcBorders>
            <w:vAlign w:val="top"/>
          </w:tcPr>
          <w:p w14:paraId="2F6BA565">
            <w:pPr>
              <w:pStyle w:val="6"/>
              <w:spacing w:before="140" w:line="197" w:lineRule="auto"/>
              <w:ind w:right="10"/>
              <w:jc w:val="right"/>
              <w:rPr>
                <w:sz w:val="11"/>
                <w:szCs w:val="11"/>
              </w:rPr>
            </w:pPr>
            <w:r>
              <w:rPr>
                <w:spacing w:val="24"/>
                <w:w w:val="146"/>
                <w:sz w:val="11"/>
                <w:szCs w:val="11"/>
              </w:rPr>
              <w:t>充分病因的互补病因</w:t>
            </w:r>
          </w:p>
        </w:tc>
        <w:tc>
          <w:tcPr>
            <w:tcW w:w="6889" w:type="dxa"/>
            <w:vMerge w:val="restart"/>
            <w:tcBorders>
              <w:bottom w:val="nil"/>
            </w:tcBorders>
            <w:vAlign w:val="top"/>
          </w:tcPr>
          <w:p w14:paraId="2832068D">
            <w:pPr>
              <w:pStyle w:val="6"/>
              <w:spacing w:before="141" w:line="165" w:lineRule="auto"/>
              <w:ind w:left="175"/>
            </w:pPr>
            <w:r>
              <w:rPr>
                <w:spacing w:val="45"/>
              </w:rPr>
              <w:t>同一疾病的所有充分病因互为互补充分病因</w:t>
            </w:r>
          </w:p>
        </w:tc>
      </w:tr>
      <w:tr w14:paraId="2B1562E7">
        <w:trPr>
          <w:trHeight w:val="57" w:hRule="atLeast"/>
        </w:trPr>
        <w:tc>
          <w:tcPr>
            <w:tcW w:w="1810" w:type="dxa"/>
            <w:vAlign w:val="top"/>
          </w:tcPr>
          <w:p w14:paraId="0B3D04BE">
            <w:pPr>
              <w:spacing w:line="47" w:lineRule="exact"/>
              <w:rPr>
                <w:rFonts w:ascii="Arial"/>
                <w:sz w:val="4"/>
              </w:rPr>
            </w:pPr>
          </w:p>
        </w:tc>
        <w:tc>
          <w:tcPr>
            <w:tcW w:w="6889" w:type="dxa"/>
            <w:vMerge w:val="continue"/>
            <w:tcBorders>
              <w:top w:val="nil"/>
              <w:bottom w:val="single" w:color="000000" w:sz="4" w:space="0"/>
            </w:tcBorders>
            <w:vAlign w:val="top"/>
          </w:tcPr>
          <w:p w14:paraId="37BFEB6B">
            <w:pPr>
              <w:rPr>
                <w:rFonts w:ascii="Arial"/>
                <w:sz w:val="21"/>
              </w:rPr>
            </w:pPr>
          </w:p>
        </w:tc>
      </w:tr>
    </w:tbl>
    <w:p w14:paraId="565583DB">
      <w:pPr>
        <w:rPr>
          <w:rFonts w:ascii="Arial"/>
          <w:sz w:val="21"/>
        </w:rPr>
      </w:pPr>
    </w:p>
    <w:p w14:paraId="2AD5977F">
      <w:pPr>
        <w:spacing w:line="119" w:lineRule="exact"/>
      </w:pPr>
    </w:p>
    <w:p w14:paraId="0CDB75AF">
      <w:pPr>
        <w:spacing w:line="119" w:lineRule="exact"/>
        <w:sectPr>
          <w:headerReference r:id="rId167" w:type="default"/>
          <w:footerReference r:id="rId168" w:type="default"/>
          <w:pgSz w:w="11900" w:h="16820"/>
          <w:pgMar w:top="400" w:right="1545" w:bottom="812" w:left="870" w:header="0" w:footer="641" w:gutter="0"/>
          <w:cols w:equalWidth="0" w:num="1">
            <w:col w:w="9485"/>
          </w:cols>
        </w:sectPr>
      </w:pPr>
    </w:p>
    <w:p w14:paraId="5B625C3F">
      <w:pPr>
        <w:spacing w:before="39" w:line="221" w:lineRule="auto"/>
        <w:ind w:left="3699"/>
        <w:rPr>
          <w:rFonts w:ascii="宋体" w:hAnsi="宋体" w:eastAsia="宋体" w:cs="宋体"/>
          <w:sz w:val="19"/>
          <w:szCs w:val="19"/>
        </w:rPr>
      </w:pPr>
      <w:r>
        <w:rPr>
          <w:rFonts w:ascii="宋体" w:hAnsi="宋体" w:eastAsia="宋体" w:cs="宋体"/>
          <w:spacing w:val="4"/>
          <w:sz w:val="19"/>
          <w:szCs w:val="19"/>
        </w:rPr>
        <w:t>表8-2</w:t>
      </w:r>
    </w:p>
    <w:p w14:paraId="6005A922">
      <w:pPr>
        <w:spacing w:line="14" w:lineRule="auto"/>
        <w:rPr>
          <w:rFonts w:ascii="Arial"/>
          <w:sz w:val="2"/>
        </w:rPr>
      </w:pPr>
      <w:r>
        <w:rPr>
          <w:rFonts w:ascii="Arial" w:hAnsi="Arial" w:eastAsia="Arial" w:cs="Arial"/>
          <w:sz w:val="2"/>
          <w:szCs w:val="2"/>
        </w:rPr>
        <w:br w:type="column"/>
      </w:r>
    </w:p>
    <w:p w14:paraId="2749BA35">
      <w:pPr>
        <w:spacing w:before="36" w:line="219" w:lineRule="auto"/>
        <w:rPr>
          <w:rFonts w:ascii="宋体" w:hAnsi="宋体" w:eastAsia="宋体" w:cs="宋体"/>
          <w:sz w:val="19"/>
          <w:szCs w:val="19"/>
        </w:rPr>
      </w:pPr>
      <w:r>
        <w:rPr>
          <w:rFonts w:ascii="宋体" w:hAnsi="宋体" w:eastAsia="宋体" w:cs="宋体"/>
          <w:spacing w:val="1"/>
          <w:sz w:val="19"/>
          <w:szCs w:val="19"/>
        </w:rPr>
        <w:t>组分病因的分类和举例</w:t>
      </w:r>
    </w:p>
    <w:p w14:paraId="0CC2D98E">
      <w:pPr>
        <w:spacing w:line="219" w:lineRule="auto"/>
        <w:rPr>
          <w:rFonts w:ascii="宋体" w:hAnsi="宋体" w:eastAsia="宋体" w:cs="宋体"/>
          <w:sz w:val="19"/>
          <w:szCs w:val="19"/>
        </w:rPr>
        <w:sectPr>
          <w:type w:val="continuous"/>
          <w:pgSz w:w="11900" w:h="16820"/>
          <w:pgMar w:top="400" w:right="1545" w:bottom="812" w:left="870" w:header="0" w:footer="641" w:gutter="0"/>
          <w:cols w:equalWidth="0" w:num="2">
            <w:col w:w="4390" w:space="100"/>
            <w:col w:w="4995"/>
          </w:cols>
        </w:sectPr>
      </w:pPr>
    </w:p>
    <w:p w14:paraId="46B73056">
      <w:pPr>
        <w:spacing w:line="18" w:lineRule="exact"/>
      </w:pPr>
    </w:p>
    <w:tbl>
      <w:tblPr>
        <w:tblStyle w:val="5"/>
        <w:tblW w:w="8659" w:type="dxa"/>
        <w:tblInd w:w="729"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0" w:type="dxa"/>
          <w:left w:w="0" w:type="dxa"/>
          <w:bottom w:w="0" w:type="dxa"/>
          <w:right w:w="0" w:type="dxa"/>
        </w:tblCellMar>
      </w:tblPr>
      <w:tblGrid>
        <w:gridCol w:w="1740"/>
        <w:gridCol w:w="1000"/>
        <w:gridCol w:w="950"/>
        <w:gridCol w:w="4969"/>
      </w:tblGrid>
      <w:tr w14:paraId="16FE3836">
        <w:trPr>
          <w:trHeight w:val="383" w:hRule="atLeast"/>
        </w:trPr>
        <w:tc>
          <w:tcPr>
            <w:tcW w:w="1740" w:type="dxa"/>
            <w:tcBorders>
              <w:top w:val="single" w:color="000000" w:sz="4" w:space="0"/>
              <w:bottom w:val="single" w:color="000000" w:sz="4" w:space="0"/>
            </w:tcBorders>
            <w:shd w:val="clear" w:color="auto" w:fill="C2C9CB"/>
            <w:vAlign w:val="top"/>
          </w:tcPr>
          <w:p w14:paraId="777D75F0">
            <w:pPr>
              <w:pStyle w:val="6"/>
              <w:spacing w:before="102" w:line="219" w:lineRule="auto"/>
              <w:ind w:left="300"/>
              <w:rPr>
                <w:sz w:val="19"/>
                <w:szCs w:val="19"/>
              </w:rPr>
            </w:pPr>
            <w:r>
              <w:rPr>
                <w:spacing w:val="-2"/>
                <w:sz w:val="19"/>
                <w:szCs w:val="19"/>
              </w:rPr>
              <w:t>组分病因分类</w:t>
            </w:r>
          </w:p>
        </w:tc>
        <w:tc>
          <w:tcPr>
            <w:tcW w:w="1000" w:type="dxa"/>
            <w:tcBorders>
              <w:top w:val="single" w:color="000000" w:sz="4" w:space="0"/>
              <w:bottom w:val="single" w:color="000000" w:sz="4" w:space="0"/>
            </w:tcBorders>
            <w:shd w:val="clear" w:color="auto" w:fill="C1C5C6"/>
            <w:vAlign w:val="top"/>
          </w:tcPr>
          <w:p w14:paraId="361FF50D">
            <w:pPr>
              <w:pStyle w:val="6"/>
              <w:spacing w:before="103" w:line="221" w:lineRule="auto"/>
              <w:ind w:left="210"/>
              <w:rPr>
                <w:sz w:val="19"/>
                <w:szCs w:val="19"/>
              </w:rPr>
            </w:pPr>
            <w:r>
              <w:rPr>
                <w:spacing w:val="-3"/>
                <w:sz w:val="19"/>
                <w:szCs w:val="19"/>
              </w:rPr>
              <w:t>必要性</w:t>
            </w:r>
          </w:p>
        </w:tc>
        <w:tc>
          <w:tcPr>
            <w:tcW w:w="950" w:type="dxa"/>
            <w:tcBorders>
              <w:top w:val="single" w:color="000000" w:sz="4" w:space="0"/>
              <w:bottom w:val="single" w:color="000000" w:sz="4" w:space="0"/>
            </w:tcBorders>
            <w:shd w:val="clear" w:color="auto" w:fill="C2C6C4"/>
            <w:vAlign w:val="top"/>
          </w:tcPr>
          <w:p w14:paraId="3D09F4EC">
            <w:pPr>
              <w:pStyle w:val="6"/>
              <w:spacing w:before="103" w:line="220" w:lineRule="auto"/>
              <w:ind w:left="190"/>
              <w:rPr>
                <w:sz w:val="19"/>
                <w:szCs w:val="19"/>
              </w:rPr>
            </w:pPr>
            <w:r>
              <w:rPr>
                <w:spacing w:val="-3"/>
                <w:sz w:val="19"/>
                <w:szCs w:val="19"/>
              </w:rPr>
              <w:t>充分性</w:t>
            </w:r>
          </w:p>
        </w:tc>
        <w:tc>
          <w:tcPr>
            <w:tcW w:w="4969" w:type="dxa"/>
            <w:tcBorders>
              <w:top w:val="single" w:color="000000" w:sz="4" w:space="0"/>
              <w:bottom w:val="single" w:color="000000" w:sz="4" w:space="0"/>
            </w:tcBorders>
            <w:shd w:val="clear" w:color="auto" w:fill="C1C6C1"/>
            <w:vAlign w:val="top"/>
          </w:tcPr>
          <w:p w14:paraId="028D3C47">
            <w:pPr>
              <w:pStyle w:val="6"/>
              <w:spacing w:before="101" w:line="219" w:lineRule="auto"/>
              <w:ind w:left="70"/>
              <w:rPr>
                <w:sz w:val="19"/>
                <w:szCs w:val="19"/>
              </w:rPr>
            </w:pPr>
            <w:r>
              <w:rPr>
                <w:spacing w:val="-2"/>
                <w:sz w:val="19"/>
                <w:szCs w:val="19"/>
              </w:rPr>
              <w:t>举例和注解</w:t>
            </w:r>
          </w:p>
        </w:tc>
      </w:tr>
      <w:tr w14:paraId="2139E0C8">
        <w:trPr>
          <w:trHeight w:val="339" w:hRule="atLeast"/>
        </w:trPr>
        <w:tc>
          <w:tcPr>
            <w:tcW w:w="1740" w:type="dxa"/>
            <w:tcBorders>
              <w:top w:val="single" w:color="000000" w:sz="4" w:space="0"/>
              <w:bottom w:val="single" w:color="000000" w:sz="4" w:space="0"/>
            </w:tcBorders>
            <w:vAlign w:val="top"/>
          </w:tcPr>
          <w:p w14:paraId="68831EFF">
            <w:pPr>
              <w:pStyle w:val="6"/>
              <w:spacing w:before="80" w:line="220" w:lineRule="auto"/>
              <w:ind w:left="390"/>
              <w:rPr>
                <w:sz w:val="19"/>
                <w:szCs w:val="19"/>
              </w:rPr>
            </w:pPr>
            <w:r>
              <w:rPr>
                <w:spacing w:val="-2"/>
                <w:sz w:val="19"/>
                <w:szCs w:val="19"/>
              </w:rPr>
              <w:t>必要且充分</w:t>
            </w:r>
          </w:p>
        </w:tc>
        <w:tc>
          <w:tcPr>
            <w:tcW w:w="1000" w:type="dxa"/>
            <w:tcBorders>
              <w:top w:val="single" w:color="000000" w:sz="4" w:space="0"/>
              <w:bottom w:val="single" w:color="000000" w:sz="4" w:space="0"/>
            </w:tcBorders>
            <w:vAlign w:val="top"/>
          </w:tcPr>
          <w:p w14:paraId="61A66B48">
            <w:pPr>
              <w:pStyle w:val="6"/>
              <w:spacing w:before="98" w:line="224" w:lineRule="auto"/>
              <w:ind w:left="450"/>
              <w:rPr>
                <w:sz w:val="19"/>
                <w:szCs w:val="19"/>
              </w:rPr>
            </w:pPr>
            <w:r>
              <w:rPr>
                <w:sz w:val="19"/>
                <w:szCs w:val="19"/>
              </w:rPr>
              <w:t>+</w:t>
            </w:r>
          </w:p>
        </w:tc>
        <w:tc>
          <w:tcPr>
            <w:tcW w:w="950" w:type="dxa"/>
            <w:tcBorders>
              <w:top w:val="single" w:color="000000" w:sz="4" w:space="0"/>
              <w:bottom w:val="single" w:color="000000" w:sz="4" w:space="0"/>
            </w:tcBorders>
            <w:vAlign w:val="top"/>
          </w:tcPr>
          <w:p w14:paraId="1B8CC0E3">
            <w:pPr>
              <w:pStyle w:val="6"/>
              <w:spacing w:before="98" w:line="224" w:lineRule="auto"/>
              <w:ind w:left="420"/>
              <w:rPr>
                <w:sz w:val="19"/>
                <w:szCs w:val="19"/>
              </w:rPr>
            </w:pPr>
            <w:r>
              <w:rPr>
                <w:sz w:val="19"/>
                <w:szCs w:val="19"/>
              </w:rPr>
              <w:t>+</w:t>
            </w:r>
          </w:p>
        </w:tc>
        <w:tc>
          <w:tcPr>
            <w:tcW w:w="4969" w:type="dxa"/>
            <w:tcBorders>
              <w:top w:val="single" w:color="000000" w:sz="4" w:space="0"/>
              <w:bottom w:val="single" w:color="000000" w:sz="4" w:space="0"/>
            </w:tcBorders>
            <w:vAlign w:val="top"/>
          </w:tcPr>
          <w:p w14:paraId="0B18DB9C">
            <w:pPr>
              <w:pStyle w:val="6"/>
              <w:spacing w:before="79" w:line="219" w:lineRule="auto"/>
              <w:ind w:left="70"/>
              <w:rPr>
                <w:sz w:val="19"/>
                <w:szCs w:val="19"/>
              </w:rPr>
            </w:pPr>
            <w:r>
              <w:rPr>
                <w:spacing w:val="1"/>
                <w:sz w:val="19"/>
                <w:szCs w:val="19"/>
              </w:rPr>
              <w:t>天花病毒与天花，这类病因很少</w:t>
            </w:r>
          </w:p>
        </w:tc>
      </w:tr>
      <w:tr w14:paraId="44284FDD">
        <w:trPr>
          <w:trHeight w:val="617" w:hRule="atLeast"/>
        </w:trPr>
        <w:tc>
          <w:tcPr>
            <w:tcW w:w="1740" w:type="dxa"/>
            <w:tcBorders>
              <w:top w:val="single" w:color="000000" w:sz="4" w:space="0"/>
              <w:bottom w:val="single" w:color="000000" w:sz="4" w:space="0"/>
            </w:tcBorders>
            <w:shd w:val="clear" w:color="auto" w:fill="E4E3E8"/>
            <w:vAlign w:val="top"/>
          </w:tcPr>
          <w:p w14:paraId="48DE07F3">
            <w:pPr>
              <w:pStyle w:val="6"/>
              <w:spacing w:before="221" w:line="220" w:lineRule="auto"/>
              <w:ind w:left="390"/>
              <w:rPr>
                <w:sz w:val="19"/>
                <w:szCs w:val="19"/>
              </w:rPr>
            </w:pPr>
            <w:r>
              <w:rPr>
                <w:spacing w:val="-2"/>
                <w:sz w:val="19"/>
                <w:szCs w:val="19"/>
              </w:rPr>
              <w:t>必要非充分</w:t>
            </w:r>
          </w:p>
        </w:tc>
        <w:tc>
          <w:tcPr>
            <w:tcW w:w="1000" w:type="dxa"/>
            <w:tcBorders>
              <w:top w:val="single" w:color="000000" w:sz="4" w:space="0"/>
              <w:bottom w:val="single" w:color="000000" w:sz="4" w:space="0"/>
            </w:tcBorders>
            <w:shd w:val="clear" w:color="auto" w:fill="E2E1E5"/>
            <w:vAlign w:val="top"/>
          </w:tcPr>
          <w:p w14:paraId="1DE13CD6">
            <w:pPr>
              <w:pStyle w:val="6"/>
              <w:spacing w:before="239" w:line="269" w:lineRule="exact"/>
              <w:ind w:left="450"/>
              <w:rPr>
                <w:sz w:val="19"/>
                <w:szCs w:val="19"/>
              </w:rPr>
            </w:pPr>
            <w:r>
              <w:rPr>
                <w:position w:val="1"/>
                <w:sz w:val="19"/>
                <w:szCs w:val="19"/>
              </w:rPr>
              <w:t>+</w:t>
            </w:r>
          </w:p>
        </w:tc>
        <w:tc>
          <w:tcPr>
            <w:tcW w:w="950" w:type="dxa"/>
            <w:tcBorders>
              <w:top w:val="single" w:color="000000" w:sz="4" w:space="0"/>
              <w:bottom w:val="single" w:color="000000" w:sz="4" w:space="0"/>
            </w:tcBorders>
            <w:shd w:val="clear" w:color="auto" w:fill="E4E4E7"/>
            <w:vAlign w:val="top"/>
          </w:tcPr>
          <w:p w14:paraId="15D50E35">
            <w:pPr>
              <w:rPr>
                <w:rFonts w:ascii="Arial"/>
                <w:sz w:val="21"/>
              </w:rPr>
            </w:pPr>
          </w:p>
        </w:tc>
        <w:tc>
          <w:tcPr>
            <w:tcW w:w="4969" w:type="dxa"/>
            <w:tcBorders>
              <w:top w:val="single" w:color="000000" w:sz="4" w:space="0"/>
              <w:bottom w:val="single" w:color="000000" w:sz="4" w:space="0"/>
            </w:tcBorders>
            <w:shd w:val="clear" w:color="auto" w:fill="E5E3E2"/>
            <w:vAlign w:val="top"/>
          </w:tcPr>
          <w:p w14:paraId="3A5B6EB3">
            <w:pPr>
              <w:pStyle w:val="6"/>
              <w:spacing w:before="98" w:line="247" w:lineRule="auto"/>
              <w:ind w:left="80" w:right="18"/>
              <w:rPr>
                <w:sz w:val="19"/>
                <w:szCs w:val="19"/>
              </w:rPr>
            </w:pPr>
            <w:r>
              <w:rPr>
                <w:sz w:val="19"/>
                <w:szCs w:val="19"/>
              </w:rPr>
              <w:t>HIV</w:t>
            </w:r>
            <w:r>
              <w:rPr>
                <w:spacing w:val="1"/>
                <w:sz w:val="19"/>
                <w:szCs w:val="19"/>
              </w:rPr>
              <w:t>感染和艾滋病，感染了</w:t>
            </w:r>
            <w:r>
              <w:rPr>
                <w:sz w:val="19"/>
                <w:szCs w:val="19"/>
              </w:rPr>
              <w:t>HIV</w:t>
            </w:r>
            <w:r>
              <w:rPr>
                <w:spacing w:val="1"/>
                <w:sz w:val="19"/>
                <w:szCs w:val="19"/>
              </w:rPr>
              <w:t xml:space="preserve">,在有效干预的情况下，不一 </w:t>
            </w:r>
            <w:r>
              <w:rPr>
                <w:spacing w:val="2"/>
                <w:sz w:val="19"/>
                <w:szCs w:val="19"/>
              </w:rPr>
              <w:t>定得艾滋病</w:t>
            </w:r>
          </w:p>
        </w:tc>
      </w:tr>
      <w:tr w14:paraId="4201D819">
        <w:trPr>
          <w:trHeight w:val="368" w:hRule="atLeast"/>
        </w:trPr>
        <w:tc>
          <w:tcPr>
            <w:tcW w:w="1740" w:type="dxa"/>
            <w:tcBorders>
              <w:top w:val="single" w:color="000000" w:sz="4" w:space="0"/>
              <w:bottom w:val="single" w:color="000000" w:sz="4" w:space="0"/>
            </w:tcBorders>
            <w:vAlign w:val="top"/>
          </w:tcPr>
          <w:p w14:paraId="240897D7">
            <w:pPr>
              <w:pStyle w:val="6"/>
              <w:spacing w:before="94" w:line="220" w:lineRule="auto"/>
              <w:ind w:left="390"/>
              <w:rPr>
                <w:sz w:val="19"/>
                <w:szCs w:val="19"/>
              </w:rPr>
            </w:pPr>
            <w:r>
              <w:rPr>
                <w:spacing w:val="-2"/>
                <w:sz w:val="19"/>
                <w:szCs w:val="19"/>
              </w:rPr>
              <w:t>充分非必要</w:t>
            </w:r>
          </w:p>
        </w:tc>
        <w:tc>
          <w:tcPr>
            <w:tcW w:w="1000" w:type="dxa"/>
            <w:tcBorders>
              <w:top w:val="single" w:color="000000" w:sz="4" w:space="0"/>
              <w:bottom w:val="single" w:color="000000" w:sz="4" w:space="0"/>
            </w:tcBorders>
            <w:vAlign w:val="top"/>
          </w:tcPr>
          <w:p w14:paraId="08241256">
            <w:pPr>
              <w:pStyle w:val="6"/>
              <w:spacing w:before="184" w:line="147" w:lineRule="exact"/>
              <w:ind w:left="400"/>
              <w:rPr>
                <w:sz w:val="19"/>
                <w:szCs w:val="19"/>
              </w:rPr>
            </w:pPr>
            <w:r>
              <w:rPr>
                <w:position w:val="-4"/>
                <w:sz w:val="19"/>
                <w:szCs w:val="19"/>
              </w:rPr>
              <w:t>一</w:t>
            </w:r>
          </w:p>
        </w:tc>
        <w:tc>
          <w:tcPr>
            <w:tcW w:w="950" w:type="dxa"/>
            <w:tcBorders>
              <w:top w:val="single" w:color="000000" w:sz="4" w:space="0"/>
              <w:bottom w:val="single" w:color="000000" w:sz="4" w:space="0"/>
            </w:tcBorders>
            <w:vAlign w:val="top"/>
          </w:tcPr>
          <w:p w14:paraId="30D33210">
            <w:pPr>
              <w:pStyle w:val="6"/>
              <w:spacing w:before="113" w:line="238" w:lineRule="auto"/>
              <w:ind w:left="420"/>
              <w:rPr>
                <w:sz w:val="19"/>
                <w:szCs w:val="19"/>
              </w:rPr>
            </w:pPr>
            <w:r>
              <w:rPr>
                <w:sz w:val="19"/>
                <w:szCs w:val="19"/>
              </w:rPr>
              <w:t>+</w:t>
            </w:r>
          </w:p>
        </w:tc>
        <w:tc>
          <w:tcPr>
            <w:tcW w:w="4969" w:type="dxa"/>
            <w:tcBorders>
              <w:top w:val="single" w:color="000000" w:sz="4" w:space="0"/>
              <w:bottom w:val="single" w:color="000000" w:sz="4" w:space="0"/>
            </w:tcBorders>
            <w:vAlign w:val="top"/>
          </w:tcPr>
          <w:p w14:paraId="32449C38">
            <w:pPr>
              <w:pStyle w:val="6"/>
              <w:spacing w:before="92" w:line="219" w:lineRule="auto"/>
              <w:ind w:left="70"/>
              <w:rPr>
                <w:sz w:val="19"/>
                <w:szCs w:val="19"/>
              </w:rPr>
            </w:pPr>
            <w:r>
              <w:rPr>
                <w:spacing w:val="1"/>
                <w:sz w:val="19"/>
                <w:szCs w:val="19"/>
              </w:rPr>
              <w:t>飞机失事与死亡，但死亡有多种原因</w:t>
            </w:r>
          </w:p>
        </w:tc>
      </w:tr>
      <w:tr w14:paraId="44116950">
        <w:trPr>
          <w:trHeight w:val="373" w:hRule="atLeast"/>
        </w:trPr>
        <w:tc>
          <w:tcPr>
            <w:tcW w:w="1740" w:type="dxa"/>
            <w:tcBorders>
              <w:top w:val="single" w:color="000000" w:sz="4" w:space="0"/>
              <w:bottom w:val="single" w:color="000000" w:sz="4" w:space="0"/>
            </w:tcBorders>
            <w:shd w:val="clear" w:color="auto" w:fill="DCDDE1"/>
            <w:vAlign w:val="top"/>
          </w:tcPr>
          <w:p w14:paraId="1CDFDD1B">
            <w:pPr>
              <w:pStyle w:val="6"/>
              <w:spacing w:before="96" w:line="220" w:lineRule="auto"/>
              <w:ind w:left="300"/>
              <w:rPr>
                <w:sz w:val="19"/>
                <w:szCs w:val="19"/>
              </w:rPr>
            </w:pPr>
            <w:r>
              <w:rPr>
                <w:spacing w:val="-2"/>
                <w:sz w:val="19"/>
                <w:szCs w:val="19"/>
              </w:rPr>
              <w:t>非必要非充分</w:t>
            </w:r>
          </w:p>
        </w:tc>
        <w:tc>
          <w:tcPr>
            <w:tcW w:w="1000" w:type="dxa"/>
            <w:tcBorders>
              <w:top w:val="single" w:color="000000" w:sz="4" w:space="0"/>
              <w:bottom w:val="single" w:color="000000" w:sz="4" w:space="0"/>
            </w:tcBorders>
            <w:shd w:val="clear" w:color="auto" w:fill="DCDBE0"/>
            <w:vAlign w:val="top"/>
          </w:tcPr>
          <w:p w14:paraId="493B7C34">
            <w:pPr>
              <w:pStyle w:val="6"/>
              <w:spacing w:before="204" w:line="129" w:lineRule="exact"/>
              <w:ind w:left="450"/>
              <w:rPr>
                <w:sz w:val="19"/>
                <w:szCs w:val="19"/>
              </w:rPr>
            </w:pPr>
            <w:r>
              <w:rPr>
                <w:position w:val="-3"/>
                <w:sz w:val="19"/>
                <w:szCs w:val="19"/>
              </w:rPr>
              <w:t>-</w:t>
            </w:r>
          </w:p>
        </w:tc>
        <w:tc>
          <w:tcPr>
            <w:tcW w:w="950" w:type="dxa"/>
            <w:tcBorders>
              <w:top w:val="single" w:color="000000" w:sz="4" w:space="0"/>
              <w:bottom w:val="single" w:color="000000" w:sz="4" w:space="0"/>
            </w:tcBorders>
            <w:shd w:val="clear" w:color="auto" w:fill="DCDDE2"/>
            <w:vAlign w:val="top"/>
          </w:tcPr>
          <w:p w14:paraId="05C002ED">
            <w:pPr>
              <w:pStyle w:val="6"/>
              <w:spacing w:before="186" w:line="147" w:lineRule="exact"/>
              <w:ind w:left="380"/>
              <w:rPr>
                <w:sz w:val="19"/>
                <w:szCs w:val="19"/>
              </w:rPr>
            </w:pPr>
            <w:r>
              <w:rPr>
                <w:position w:val="-4"/>
                <w:sz w:val="19"/>
                <w:szCs w:val="19"/>
              </w:rPr>
              <w:t>一</w:t>
            </w:r>
          </w:p>
        </w:tc>
        <w:tc>
          <w:tcPr>
            <w:tcW w:w="4969" w:type="dxa"/>
            <w:tcBorders>
              <w:top w:val="single" w:color="000000" w:sz="4" w:space="0"/>
              <w:bottom w:val="single" w:color="000000" w:sz="4" w:space="0"/>
            </w:tcBorders>
            <w:shd w:val="clear" w:color="auto" w:fill="DCDCDB"/>
            <w:vAlign w:val="top"/>
          </w:tcPr>
          <w:p w14:paraId="3F06D780">
            <w:pPr>
              <w:pStyle w:val="6"/>
              <w:spacing w:before="94" w:line="219" w:lineRule="auto"/>
              <w:ind w:left="70"/>
              <w:rPr>
                <w:sz w:val="19"/>
                <w:szCs w:val="19"/>
              </w:rPr>
            </w:pPr>
            <w:r>
              <w:rPr>
                <w:sz w:val="19"/>
                <w:szCs w:val="19"/>
              </w:rPr>
              <w:t>高血脂和冠心病，以及绝大多数慢性非传染性疾病的病因</w:t>
            </w:r>
          </w:p>
        </w:tc>
      </w:tr>
    </w:tbl>
    <w:p w14:paraId="5BDE171F">
      <w:pPr>
        <w:spacing w:line="369" w:lineRule="auto"/>
        <w:rPr>
          <w:rFonts w:ascii="Arial"/>
          <w:sz w:val="21"/>
        </w:rPr>
      </w:pPr>
    </w:p>
    <w:p w14:paraId="78F736F5">
      <w:pPr>
        <w:spacing w:before="62" w:line="281" w:lineRule="auto"/>
        <w:ind w:left="689" w:right="82" w:firstLine="420"/>
        <w:rPr>
          <w:rFonts w:ascii="宋体" w:hAnsi="宋体" w:eastAsia="宋体" w:cs="宋体"/>
          <w:sz w:val="19"/>
          <w:szCs w:val="19"/>
        </w:rPr>
      </w:pPr>
      <w:r>
        <w:rPr>
          <w:rFonts w:ascii="宋体" w:hAnsi="宋体" w:eastAsia="宋体" w:cs="宋体"/>
          <w:spacing w:val="10"/>
          <w:sz w:val="19"/>
          <w:szCs w:val="19"/>
        </w:rPr>
        <w:t>充分病因-组分病因模型回答了病因学说的两个重要的悖论，</w:t>
      </w:r>
      <w:r>
        <w:rPr>
          <w:rFonts w:ascii="宋体" w:hAnsi="宋体" w:eastAsia="宋体" w:cs="宋体"/>
          <w:spacing w:val="77"/>
          <w:sz w:val="19"/>
          <w:szCs w:val="19"/>
        </w:rPr>
        <w:t xml:space="preserve"> </w:t>
      </w:r>
      <w:r>
        <w:rPr>
          <w:rFonts w:ascii="宋体" w:hAnsi="宋体" w:eastAsia="宋体" w:cs="宋体"/>
          <w:spacing w:val="10"/>
          <w:sz w:val="19"/>
          <w:szCs w:val="19"/>
        </w:rPr>
        <w:t>一是为什么没有某个病因疾病却</w:t>
      </w:r>
      <w:r>
        <w:rPr>
          <w:rFonts w:ascii="宋体" w:hAnsi="宋体" w:eastAsia="宋体" w:cs="宋体"/>
          <w:sz w:val="19"/>
          <w:szCs w:val="19"/>
        </w:rPr>
        <w:t xml:space="preserve"> </w:t>
      </w:r>
      <w:r>
        <w:rPr>
          <w:rFonts w:ascii="宋体" w:hAnsi="宋体" w:eastAsia="宋体" w:cs="宋体"/>
          <w:spacing w:val="17"/>
          <w:sz w:val="19"/>
          <w:szCs w:val="19"/>
        </w:rPr>
        <w:t>发生了，二是某个病因存在但疾病却没有发生。前者是因为绝大多数慢性非传染性疾病没有明显</w:t>
      </w:r>
    </w:p>
    <w:p w14:paraId="1B6D2717">
      <w:pPr>
        <w:spacing w:line="281" w:lineRule="auto"/>
        <w:rPr>
          <w:rFonts w:ascii="宋体" w:hAnsi="宋体" w:eastAsia="宋体" w:cs="宋体"/>
          <w:sz w:val="19"/>
          <w:szCs w:val="19"/>
        </w:rPr>
        <w:sectPr>
          <w:type w:val="continuous"/>
          <w:pgSz w:w="11900" w:h="16820"/>
          <w:pgMar w:top="400" w:right="1545" w:bottom="812" w:left="870" w:header="0" w:footer="641" w:gutter="0"/>
          <w:cols w:equalWidth="0" w:num="1">
            <w:col w:w="9485"/>
          </w:cols>
        </w:sectPr>
      </w:pPr>
    </w:p>
    <w:p w14:paraId="1C524729">
      <w:pPr>
        <w:pStyle w:val="2"/>
        <w:spacing w:before="196" w:line="221" w:lineRule="auto"/>
        <w:ind w:left="6820"/>
        <w:rPr>
          <w:sz w:val="20"/>
          <w:szCs w:val="20"/>
        </w:rPr>
      </w:pPr>
      <w:bookmarkStart w:id="244" w:name="bookmark485"/>
      <w:bookmarkEnd w:id="244"/>
      <w:r>
        <w:rPr>
          <w:spacing w:val="-23"/>
          <w:sz w:val="20"/>
          <w:szCs w:val="20"/>
        </w:rPr>
        <w:t>第八章 病因及其发现和推断</w:t>
      </w:r>
    </w:p>
    <w:p w14:paraId="2031EE2F">
      <w:pPr>
        <w:spacing w:line="271" w:lineRule="auto"/>
        <w:rPr>
          <w:rFonts w:ascii="Arial"/>
          <w:sz w:val="21"/>
        </w:rPr>
      </w:pPr>
    </w:p>
    <w:p w14:paraId="534B739D">
      <w:pPr>
        <w:spacing w:line="272" w:lineRule="auto"/>
        <w:rPr>
          <w:rFonts w:ascii="Arial"/>
          <w:sz w:val="21"/>
        </w:rPr>
      </w:pPr>
    </w:p>
    <w:p w14:paraId="0E0B8806">
      <w:pPr>
        <w:spacing w:before="65" w:line="342" w:lineRule="auto"/>
        <w:ind w:right="657"/>
        <w:jc w:val="both"/>
        <w:rPr>
          <w:rFonts w:ascii="宋体" w:hAnsi="宋体" w:eastAsia="宋体" w:cs="宋体"/>
          <w:sz w:val="20"/>
          <w:szCs w:val="20"/>
        </w:rPr>
      </w:pPr>
      <w:r>
        <w:rPr>
          <w:rFonts w:ascii="宋体" w:hAnsi="宋体" w:eastAsia="宋体" w:cs="宋体"/>
          <w:spacing w:val="10"/>
          <w:sz w:val="20"/>
          <w:szCs w:val="20"/>
        </w:rPr>
        <w:t>的必要病因，疾病可以通过不同于所关注病因</w:t>
      </w:r>
      <w:r>
        <w:rPr>
          <w:rFonts w:ascii="宋体" w:hAnsi="宋体" w:eastAsia="宋体" w:cs="宋体"/>
          <w:spacing w:val="9"/>
          <w:sz w:val="20"/>
          <w:szCs w:val="20"/>
        </w:rPr>
        <w:t>的其他充分病因实现。比如酗酒是肝硬化的病因，但</w:t>
      </w:r>
      <w:r>
        <w:rPr>
          <w:rFonts w:ascii="宋体" w:hAnsi="宋体" w:eastAsia="宋体" w:cs="宋体"/>
          <w:sz w:val="20"/>
          <w:szCs w:val="20"/>
        </w:rPr>
        <w:t xml:space="preserve"> </w:t>
      </w:r>
      <w:r>
        <w:rPr>
          <w:rFonts w:ascii="宋体" w:hAnsi="宋体" w:eastAsia="宋体" w:cs="宋体"/>
          <w:spacing w:val="10"/>
          <w:sz w:val="20"/>
          <w:szCs w:val="20"/>
        </w:rPr>
        <w:t>是不饮酒的人同样可能患肝硬化，因为肝硬化还</w:t>
      </w:r>
      <w:r>
        <w:rPr>
          <w:rFonts w:ascii="宋体" w:hAnsi="宋体" w:eastAsia="宋体" w:cs="宋体"/>
          <w:spacing w:val="9"/>
          <w:sz w:val="20"/>
          <w:szCs w:val="20"/>
        </w:rPr>
        <w:t>可以通过其他充分病因而发生，如乙型肝炎病毒感</w:t>
      </w:r>
      <w:r>
        <w:rPr>
          <w:rFonts w:ascii="宋体" w:hAnsi="宋体" w:eastAsia="宋体" w:cs="宋体"/>
          <w:sz w:val="20"/>
          <w:szCs w:val="20"/>
        </w:rPr>
        <w:t xml:space="preserve"> </w:t>
      </w:r>
      <w:r>
        <w:rPr>
          <w:rFonts w:ascii="宋体" w:hAnsi="宋体" w:eastAsia="宋体" w:cs="宋体"/>
          <w:spacing w:val="10"/>
          <w:sz w:val="20"/>
          <w:szCs w:val="20"/>
        </w:rPr>
        <w:t>染。第二个悖论是因为关注的病因不是充分病因</w:t>
      </w:r>
      <w:r>
        <w:rPr>
          <w:rFonts w:ascii="宋体" w:hAnsi="宋体" w:eastAsia="宋体" w:cs="宋体"/>
          <w:spacing w:val="9"/>
          <w:sz w:val="20"/>
          <w:szCs w:val="20"/>
        </w:rPr>
        <w:t>，只有当其互补病因都存在时，疾病才会发生。绝</w:t>
      </w:r>
      <w:r>
        <w:rPr>
          <w:rFonts w:ascii="宋体" w:hAnsi="宋体" w:eastAsia="宋体" w:cs="宋体"/>
          <w:sz w:val="20"/>
          <w:szCs w:val="20"/>
        </w:rPr>
        <w:t xml:space="preserve"> </w:t>
      </w:r>
      <w:r>
        <w:rPr>
          <w:rFonts w:ascii="宋体" w:hAnsi="宋体" w:eastAsia="宋体" w:cs="宋体"/>
          <w:spacing w:val="10"/>
          <w:sz w:val="20"/>
          <w:szCs w:val="20"/>
        </w:rPr>
        <w:t>大部分慢性非传染性疾病的病因都属于这类病</w:t>
      </w:r>
      <w:r>
        <w:rPr>
          <w:rFonts w:ascii="宋体" w:hAnsi="宋体" w:eastAsia="宋体" w:cs="宋体"/>
          <w:spacing w:val="9"/>
          <w:sz w:val="20"/>
          <w:szCs w:val="20"/>
        </w:rPr>
        <w:t>因，如吸烟可以引起肺癌，但是绝大多数吸烟者一生</w:t>
      </w:r>
      <w:r>
        <w:rPr>
          <w:rFonts w:ascii="宋体" w:hAnsi="宋体" w:eastAsia="宋体" w:cs="宋体"/>
          <w:sz w:val="20"/>
          <w:szCs w:val="20"/>
        </w:rPr>
        <w:t xml:space="preserve"> </w:t>
      </w:r>
      <w:r>
        <w:rPr>
          <w:rFonts w:ascii="宋体" w:hAnsi="宋体" w:eastAsia="宋体" w:cs="宋体"/>
          <w:spacing w:val="12"/>
          <w:sz w:val="20"/>
          <w:szCs w:val="20"/>
        </w:rPr>
        <w:t>也不会患上肺癌。</w:t>
      </w:r>
    </w:p>
    <w:p w14:paraId="30F31275">
      <w:pPr>
        <w:spacing w:before="6" w:line="351" w:lineRule="auto"/>
        <w:ind w:right="634" w:firstLine="429"/>
        <w:rPr>
          <w:rFonts w:ascii="宋体" w:hAnsi="宋体" w:eastAsia="宋体" w:cs="宋体"/>
          <w:sz w:val="20"/>
          <w:szCs w:val="20"/>
        </w:rPr>
      </w:pPr>
      <w:r>
        <w:rPr>
          <w:rFonts w:ascii="宋体" w:hAnsi="宋体" w:eastAsia="宋体" w:cs="宋体"/>
          <w:spacing w:val="15"/>
          <w:sz w:val="20"/>
          <w:szCs w:val="20"/>
        </w:rPr>
        <w:t>对于慢性非传染性疾病来说，目前所知道的所有病因和危险因素几乎都属于既非必要又非充</w:t>
      </w:r>
      <w:r>
        <w:rPr>
          <w:rFonts w:ascii="宋体" w:hAnsi="宋体" w:eastAsia="宋体" w:cs="宋体"/>
          <w:spacing w:val="1"/>
          <w:sz w:val="20"/>
          <w:szCs w:val="20"/>
        </w:rPr>
        <w:t xml:space="preserve"> </w:t>
      </w:r>
      <w:r>
        <w:rPr>
          <w:rFonts w:ascii="宋体" w:hAnsi="宋体" w:eastAsia="宋体" w:cs="宋体"/>
          <w:spacing w:val="7"/>
          <w:sz w:val="20"/>
          <w:szCs w:val="20"/>
        </w:rPr>
        <w:t>分的病因。比如，有高血压不一定得心血管疾病，没有高血压也可能得心血管疾病。</w:t>
      </w:r>
    </w:p>
    <w:p w14:paraId="5CFE42E3">
      <w:pPr>
        <w:spacing w:before="5" w:line="332" w:lineRule="auto"/>
        <w:ind w:right="654" w:firstLine="429"/>
        <w:jc w:val="both"/>
        <w:rPr>
          <w:rFonts w:ascii="宋体" w:hAnsi="宋体" w:eastAsia="宋体" w:cs="宋体"/>
          <w:sz w:val="20"/>
          <w:szCs w:val="20"/>
        </w:rPr>
      </w:pPr>
      <w:r>
        <w:rPr>
          <w:rFonts w:ascii="宋体" w:hAnsi="宋体" w:eastAsia="宋体" w:cs="宋体"/>
          <w:spacing w:val="9"/>
          <w:sz w:val="20"/>
          <w:szCs w:val="20"/>
        </w:rPr>
        <w:t>但是，这并不意味着我们对慢性病的预防就无从下手。恰恰相反，因为任何一个组分病因对于</w:t>
      </w:r>
      <w:r>
        <w:rPr>
          <w:rFonts w:ascii="宋体" w:hAnsi="宋体" w:eastAsia="宋体" w:cs="宋体"/>
          <w:spacing w:val="11"/>
          <w:sz w:val="20"/>
          <w:szCs w:val="20"/>
        </w:rPr>
        <w:t xml:space="preserve"> </w:t>
      </w:r>
      <w:r>
        <w:rPr>
          <w:rFonts w:ascii="宋体" w:hAnsi="宋体" w:eastAsia="宋体" w:cs="宋体"/>
          <w:spacing w:val="15"/>
          <w:sz w:val="20"/>
          <w:szCs w:val="20"/>
        </w:rPr>
        <w:t>需要它的充分病因都是必要病因，所以除去</w:t>
      </w:r>
      <w:r>
        <w:rPr>
          <w:rFonts w:ascii="宋体" w:hAnsi="宋体" w:eastAsia="宋体" w:cs="宋体"/>
          <w:spacing w:val="14"/>
          <w:sz w:val="20"/>
          <w:szCs w:val="20"/>
        </w:rPr>
        <w:t>任何一个组分病因就等于除去了与其相关的所有充分</w:t>
      </w:r>
      <w:r>
        <w:rPr>
          <w:rFonts w:ascii="宋体" w:hAnsi="宋体" w:eastAsia="宋体" w:cs="宋体"/>
          <w:sz w:val="20"/>
          <w:szCs w:val="20"/>
        </w:rPr>
        <w:t xml:space="preserve"> </w:t>
      </w:r>
      <w:r>
        <w:rPr>
          <w:rFonts w:ascii="宋体" w:hAnsi="宋体" w:eastAsia="宋体" w:cs="宋体"/>
          <w:spacing w:val="15"/>
          <w:sz w:val="20"/>
          <w:szCs w:val="20"/>
        </w:rPr>
        <w:t>病因，因此也就预防了所有可通过这些充分病</w:t>
      </w:r>
      <w:r>
        <w:rPr>
          <w:rFonts w:ascii="宋体" w:hAnsi="宋体" w:eastAsia="宋体" w:cs="宋体"/>
          <w:spacing w:val="14"/>
          <w:sz w:val="20"/>
          <w:szCs w:val="20"/>
        </w:rPr>
        <w:t>因而发生的病例。如果一个组分病因参与了一个或</w:t>
      </w:r>
      <w:r>
        <w:rPr>
          <w:rFonts w:ascii="宋体" w:hAnsi="宋体" w:eastAsia="宋体" w:cs="宋体"/>
          <w:sz w:val="20"/>
          <w:szCs w:val="20"/>
        </w:rPr>
        <w:t xml:space="preserve"> </w:t>
      </w:r>
      <w:r>
        <w:rPr>
          <w:rFonts w:ascii="宋体" w:hAnsi="宋体" w:eastAsia="宋体" w:cs="宋体"/>
          <w:spacing w:val="9"/>
          <w:sz w:val="20"/>
          <w:szCs w:val="20"/>
        </w:rPr>
        <w:t>多个主要的充分病因，除去这个组分病因就可以预防大部分的病例。比如，如果可以在一个人群中</w:t>
      </w:r>
      <w:r>
        <w:rPr>
          <w:rFonts w:ascii="宋体" w:hAnsi="宋体" w:eastAsia="宋体" w:cs="宋体"/>
          <w:spacing w:val="13"/>
          <w:sz w:val="20"/>
          <w:szCs w:val="20"/>
        </w:rPr>
        <w:t xml:space="preserve"> </w:t>
      </w:r>
      <w:r>
        <w:rPr>
          <w:rFonts w:ascii="宋体" w:hAnsi="宋体" w:eastAsia="宋体" w:cs="宋体"/>
          <w:spacing w:val="5"/>
          <w:sz w:val="20"/>
          <w:szCs w:val="20"/>
        </w:rPr>
        <w:t>彻底根除吸烟，那么就可以预防绝大多数的肺癌病例，据此推测，吸烟是肺</w:t>
      </w:r>
      <w:r>
        <w:rPr>
          <w:rFonts w:ascii="宋体" w:hAnsi="宋体" w:eastAsia="宋体" w:cs="宋体"/>
          <w:spacing w:val="4"/>
          <w:sz w:val="20"/>
          <w:szCs w:val="20"/>
        </w:rPr>
        <w:t>癌主要的组分病因，预防</w:t>
      </w:r>
      <w:r>
        <w:rPr>
          <w:rFonts w:ascii="宋体" w:hAnsi="宋体" w:eastAsia="宋体" w:cs="宋体"/>
          <w:sz w:val="20"/>
          <w:szCs w:val="20"/>
        </w:rPr>
        <w:t xml:space="preserve"> </w:t>
      </w:r>
      <w:r>
        <w:rPr>
          <w:rFonts w:ascii="宋体" w:hAnsi="宋体" w:eastAsia="宋体" w:cs="宋体"/>
          <w:spacing w:val="11"/>
          <w:sz w:val="20"/>
          <w:szCs w:val="20"/>
        </w:rPr>
        <w:t>已经抓住了主要矛盾。</w:t>
      </w:r>
    </w:p>
    <w:p w14:paraId="06BFD73F">
      <w:pPr>
        <w:spacing w:before="37" w:line="353" w:lineRule="auto"/>
        <w:ind w:right="657" w:firstLine="429"/>
        <w:rPr>
          <w:rFonts w:ascii="宋体" w:hAnsi="宋体" w:eastAsia="宋体" w:cs="宋体"/>
          <w:sz w:val="20"/>
          <w:szCs w:val="20"/>
        </w:rPr>
      </w:pPr>
      <w:r>
        <w:rPr>
          <w:rFonts w:ascii="宋体" w:hAnsi="宋体" w:eastAsia="宋体" w:cs="宋体"/>
          <w:spacing w:val="9"/>
          <w:sz w:val="20"/>
          <w:szCs w:val="20"/>
        </w:rPr>
        <w:t xml:space="preserve">另外，该病因模型还可以用来解释很多流行病学的核心概念，如发病率、暴露或治疗作用的大 </w:t>
      </w:r>
      <w:r>
        <w:rPr>
          <w:rFonts w:ascii="宋体" w:hAnsi="宋体" w:eastAsia="宋体" w:cs="宋体"/>
          <w:sz w:val="20"/>
          <w:szCs w:val="20"/>
        </w:rPr>
        <w:t>小、效应修饰作用、归因危险度、疾病潜隐期等。</w:t>
      </w:r>
    </w:p>
    <w:p w14:paraId="078B253C">
      <w:pPr>
        <w:spacing w:line="322" w:lineRule="auto"/>
        <w:rPr>
          <w:rFonts w:ascii="Arial"/>
          <w:sz w:val="21"/>
        </w:rPr>
      </w:pPr>
    </w:p>
    <w:p w14:paraId="53D084DE">
      <w:pPr>
        <w:pStyle w:val="2"/>
        <w:spacing w:before="98" w:line="221" w:lineRule="auto"/>
        <w:ind w:left="2624"/>
        <w:outlineLvl w:val="1"/>
      </w:pPr>
      <w:bookmarkStart w:id="245" w:name="bookmark154"/>
      <w:bookmarkEnd w:id="245"/>
      <w:r>
        <w:rPr>
          <w:b/>
          <w:bCs/>
          <w:spacing w:val="-6"/>
        </w:rPr>
        <w:t>第四节</w:t>
      </w:r>
      <w:r>
        <w:rPr>
          <w:spacing w:val="140"/>
        </w:rPr>
        <w:t xml:space="preserve"> </w:t>
      </w:r>
      <w:r>
        <w:rPr>
          <w:b/>
          <w:bCs/>
          <w:spacing w:val="-6"/>
        </w:rPr>
        <w:t>发现和验证因果关系</w:t>
      </w:r>
    </w:p>
    <w:p w14:paraId="1759BD16">
      <w:pPr>
        <w:spacing w:line="364" w:lineRule="auto"/>
        <w:rPr>
          <w:rFonts w:ascii="Arial"/>
          <w:sz w:val="21"/>
        </w:rPr>
      </w:pPr>
    </w:p>
    <w:p w14:paraId="3ABCB70B">
      <w:pPr>
        <w:pStyle w:val="2"/>
        <w:spacing w:before="85" w:line="222" w:lineRule="auto"/>
        <w:ind w:left="483"/>
        <w:outlineLvl w:val="2"/>
        <w:rPr>
          <w:sz w:val="26"/>
          <w:szCs w:val="26"/>
        </w:rPr>
      </w:pPr>
      <w:bookmarkStart w:id="246" w:name="bookmark155"/>
      <w:bookmarkEnd w:id="246"/>
      <w:r>
        <w:rPr>
          <w:b/>
          <w:bCs/>
          <w:spacing w:val="-11"/>
          <w:sz w:val="26"/>
          <w:szCs w:val="26"/>
        </w:rPr>
        <w:t>一</w:t>
      </w:r>
      <w:r>
        <w:rPr>
          <w:spacing w:val="-73"/>
          <w:sz w:val="26"/>
          <w:szCs w:val="26"/>
        </w:rPr>
        <w:t xml:space="preserve"> </w:t>
      </w:r>
      <w:r>
        <w:rPr>
          <w:b/>
          <w:bCs/>
          <w:spacing w:val="-11"/>
          <w:sz w:val="26"/>
          <w:szCs w:val="26"/>
        </w:rPr>
        <w:t>、提出因果假设</w:t>
      </w:r>
    </w:p>
    <w:p w14:paraId="4B37DB09">
      <w:pPr>
        <w:spacing w:before="291" w:line="332" w:lineRule="auto"/>
        <w:ind w:right="606" w:firstLine="429"/>
        <w:rPr>
          <w:rFonts w:ascii="宋体" w:hAnsi="宋体" w:eastAsia="宋体" w:cs="宋体"/>
          <w:sz w:val="20"/>
          <w:szCs w:val="20"/>
        </w:rPr>
      </w:pPr>
      <w:r>
        <w:rPr>
          <w:rFonts w:ascii="宋体" w:hAnsi="宋体" w:eastAsia="宋体" w:cs="宋体"/>
          <w:spacing w:val="14"/>
          <w:sz w:val="20"/>
          <w:szCs w:val="20"/>
        </w:rPr>
        <w:t>病因模型仅仅指出了病因存在的范围以及病因之间和病因与疾病之间的关系，但并不能用来</w:t>
      </w:r>
      <w:r>
        <w:rPr>
          <w:rFonts w:ascii="宋体" w:hAnsi="宋体" w:eastAsia="宋体" w:cs="宋体"/>
          <w:spacing w:val="17"/>
          <w:sz w:val="20"/>
          <w:szCs w:val="20"/>
        </w:rPr>
        <w:t xml:space="preserve"> </w:t>
      </w:r>
      <w:r>
        <w:rPr>
          <w:rFonts w:ascii="宋体" w:hAnsi="宋体" w:eastAsia="宋体" w:cs="宋体"/>
          <w:spacing w:val="12"/>
          <w:sz w:val="20"/>
          <w:szCs w:val="20"/>
        </w:rPr>
        <w:t>作为现实中发现病因的方法。因果关系是一个抽象的概念， 一个不可直接观</w:t>
      </w:r>
      <w:r>
        <w:rPr>
          <w:rFonts w:ascii="宋体" w:hAnsi="宋体" w:eastAsia="宋体" w:cs="宋体"/>
          <w:spacing w:val="11"/>
          <w:sz w:val="20"/>
          <w:szCs w:val="20"/>
        </w:rPr>
        <w:t>察的现象，只能通过</w:t>
      </w:r>
      <w:r>
        <w:rPr>
          <w:rFonts w:ascii="宋体" w:hAnsi="宋体" w:eastAsia="宋体" w:cs="宋体"/>
          <w:sz w:val="20"/>
          <w:szCs w:val="20"/>
        </w:rPr>
        <w:t xml:space="preserve"> </w:t>
      </w:r>
      <w:r>
        <w:rPr>
          <w:rFonts w:ascii="宋体" w:hAnsi="宋体" w:eastAsia="宋体" w:cs="宋体"/>
          <w:spacing w:val="14"/>
          <w:sz w:val="20"/>
          <w:szCs w:val="20"/>
        </w:rPr>
        <w:t>对其特征的观察而进行推论。时间顺序、关联关系和因变性是因果关系的三个必要特征，因此也</w:t>
      </w:r>
      <w:r>
        <w:rPr>
          <w:rFonts w:ascii="宋体" w:hAnsi="宋体" w:eastAsia="宋体" w:cs="宋体"/>
          <w:spacing w:val="2"/>
          <w:sz w:val="20"/>
          <w:szCs w:val="20"/>
        </w:rPr>
        <w:t xml:space="preserve"> </w:t>
      </w:r>
      <w:r>
        <w:rPr>
          <w:rFonts w:ascii="宋体" w:hAnsi="宋体" w:eastAsia="宋体" w:cs="宋体"/>
          <w:spacing w:val="18"/>
          <w:sz w:val="20"/>
          <w:szCs w:val="20"/>
        </w:rPr>
        <w:t>是寻找因果关系的理论基础。在如何观察因果关系三个条件存在与否的问题上，1843年英国哲</w:t>
      </w:r>
      <w:r>
        <w:rPr>
          <w:rFonts w:ascii="宋体" w:hAnsi="宋体" w:eastAsia="宋体" w:cs="宋体"/>
          <w:spacing w:val="17"/>
          <w:sz w:val="20"/>
          <w:szCs w:val="20"/>
        </w:rPr>
        <w:t xml:space="preserve"> </w:t>
      </w:r>
      <w:r>
        <w:rPr>
          <w:rFonts w:ascii="宋体" w:hAnsi="宋体" w:eastAsia="宋体" w:cs="宋体"/>
          <w:spacing w:val="8"/>
          <w:sz w:val="20"/>
          <w:szCs w:val="20"/>
        </w:rPr>
        <w:t>学家约翰</w:t>
      </w:r>
      <w:r>
        <w:rPr>
          <w:rFonts w:ascii="宋体" w:hAnsi="宋体" w:eastAsia="宋体" w:cs="宋体"/>
          <w:spacing w:val="-20"/>
          <w:sz w:val="20"/>
          <w:szCs w:val="20"/>
        </w:rPr>
        <w:t xml:space="preserve"> </w:t>
      </w:r>
      <w:r>
        <w:rPr>
          <w:rFonts w:ascii="宋体" w:hAnsi="宋体" w:eastAsia="宋体" w:cs="宋体"/>
          <w:spacing w:val="8"/>
          <w:sz w:val="20"/>
          <w:szCs w:val="20"/>
        </w:rPr>
        <w:t>·穆勒</w:t>
      </w:r>
      <w:r>
        <w:rPr>
          <w:rFonts w:ascii="Times New Roman" w:hAnsi="Times New Roman" w:eastAsia="Times New Roman" w:cs="Times New Roman"/>
          <w:spacing w:val="8"/>
          <w:sz w:val="20"/>
          <w:szCs w:val="20"/>
        </w:rPr>
        <w:t>(</w:t>
      </w:r>
      <w:r>
        <w:rPr>
          <w:rFonts w:ascii="Times New Roman" w:hAnsi="Times New Roman" w:eastAsia="Times New Roman" w:cs="Times New Roman"/>
          <w:sz w:val="20"/>
          <w:szCs w:val="20"/>
        </w:rPr>
        <w:t>John</w:t>
      </w:r>
      <w:r>
        <w:rPr>
          <w:rFonts w:ascii="Times New Roman" w:hAnsi="Times New Roman" w:eastAsia="Times New Roman" w:cs="Times New Roman"/>
          <w:spacing w:val="8"/>
          <w:sz w:val="20"/>
          <w:szCs w:val="20"/>
        </w:rPr>
        <w:t xml:space="preserve">   </w:t>
      </w:r>
      <w:r>
        <w:rPr>
          <w:rFonts w:ascii="Times New Roman" w:hAnsi="Times New Roman" w:eastAsia="Times New Roman" w:cs="Times New Roman"/>
          <w:sz w:val="20"/>
          <w:szCs w:val="20"/>
        </w:rPr>
        <w:t>Stuart</w:t>
      </w:r>
      <w:r>
        <w:rPr>
          <w:rFonts w:ascii="Times New Roman" w:hAnsi="Times New Roman" w:eastAsia="Times New Roman" w:cs="Times New Roman"/>
          <w:spacing w:val="8"/>
          <w:sz w:val="20"/>
          <w:szCs w:val="20"/>
        </w:rPr>
        <w:t xml:space="preserve">   </w:t>
      </w:r>
      <w:r>
        <w:rPr>
          <w:rFonts w:ascii="Times New Roman" w:hAnsi="Times New Roman" w:eastAsia="Times New Roman" w:cs="Times New Roman"/>
          <w:sz w:val="20"/>
          <w:szCs w:val="20"/>
        </w:rPr>
        <w:t>Mill</w:t>
      </w:r>
      <w:r>
        <w:rPr>
          <w:rFonts w:ascii="Times New Roman" w:hAnsi="Times New Roman" w:eastAsia="Times New Roman" w:cs="Times New Roman"/>
          <w:spacing w:val="8"/>
          <w:sz w:val="20"/>
          <w:szCs w:val="20"/>
        </w:rPr>
        <w:t>)</w:t>
      </w:r>
      <w:r>
        <w:rPr>
          <w:rFonts w:ascii="宋体" w:hAnsi="宋体" w:eastAsia="宋体" w:cs="宋体"/>
          <w:spacing w:val="8"/>
          <w:sz w:val="20"/>
          <w:szCs w:val="20"/>
        </w:rPr>
        <w:t>提出了研究因果关系的</w:t>
      </w:r>
      <w:r>
        <w:rPr>
          <w:rFonts w:ascii="宋体" w:hAnsi="宋体" w:eastAsia="宋体" w:cs="宋体"/>
          <w:spacing w:val="7"/>
          <w:sz w:val="20"/>
          <w:szCs w:val="20"/>
        </w:rPr>
        <w:t>5个逻辑归纳法则，简称穆勒法则</w:t>
      </w:r>
      <w:r>
        <w:rPr>
          <w:rFonts w:ascii="Times New Roman" w:hAnsi="Times New Roman" w:eastAsia="Times New Roman" w:cs="Times New Roman"/>
          <w:spacing w:val="7"/>
          <w:sz w:val="20"/>
          <w:szCs w:val="20"/>
        </w:rPr>
        <w:t>(</w:t>
      </w:r>
      <w:r>
        <w:rPr>
          <w:rFonts w:ascii="Times New Roman" w:hAnsi="Times New Roman" w:eastAsia="Times New Roman" w:cs="Times New Roman"/>
          <w:sz w:val="20"/>
          <w:szCs w:val="20"/>
        </w:rPr>
        <w:t>Mill</w:t>
      </w:r>
      <w:r>
        <w:rPr>
          <w:rFonts w:ascii="Times New Roman" w:hAnsi="Times New Roman" w:eastAsia="Times New Roman" w:cs="Times New Roman"/>
          <w:spacing w:val="7"/>
          <w:sz w:val="20"/>
          <w:szCs w:val="20"/>
        </w:rPr>
        <w:t>'s</w:t>
      </w:r>
      <w:r>
        <w:rPr>
          <w:rFonts w:ascii="Times New Roman" w:hAnsi="Times New Roman" w:eastAsia="Times New Roman" w:cs="Times New Roman"/>
          <w:sz w:val="20"/>
          <w:szCs w:val="20"/>
        </w:rPr>
        <w:t xml:space="preserve">     </w:t>
      </w:r>
      <w:r>
        <w:rPr>
          <w:rFonts w:ascii="宋体" w:hAnsi="宋体" w:eastAsia="宋体" w:cs="宋体"/>
          <w:sz w:val="20"/>
          <w:szCs w:val="20"/>
        </w:rPr>
        <w:t>canons</w:t>
      </w:r>
      <w:r>
        <w:rPr>
          <w:rFonts w:ascii="宋体" w:hAnsi="宋体" w:eastAsia="宋体" w:cs="宋体"/>
          <w:spacing w:val="10"/>
          <w:sz w:val="20"/>
          <w:szCs w:val="20"/>
        </w:rPr>
        <w:t>),它们分别是求同法、求异法、同异共求法、共变法和剩余法。这些法则是依据因果关系的</w:t>
      </w:r>
      <w:r>
        <w:rPr>
          <w:rFonts w:ascii="宋体" w:hAnsi="宋体" w:eastAsia="宋体" w:cs="宋体"/>
          <w:spacing w:val="4"/>
          <w:sz w:val="20"/>
          <w:szCs w:val="20"/>
        </w:rPr>
        <w:t xml:space="preserve"> </w:t>
      </w:r>
      <w:r>
        <w:rPr>
          <w:rFonts w:ascii="宋体" w:hAnsi="宋体" w:eastAsia="宋体" w:cs="宋体"/>
          <w:spacing w:val="13"/>
          <w:sz w:val="20"/>
          <w:szCs w:val="20"/>
        </w:rPr>
        <w:t>基本特征提出的，为现实中发现和验证因果</w:t>
      </w:r>
      <w:r>
        <w:rPr>
          <w:rFonts w:ascii="宋体" w:hAnsi="宋体" w:eastAsia="宋体" w:cs="宋体"/>
          <w:spacing w:val="12"/>
          <w:sz w:val="20"/>
          <w:szCs w:val="20"/>
        </w:rPr>
        <w:t>关系提供了可依的法则(表8-3)。所谓发现因果关系，</w:t>
      </w:r>
      <w:r>
        <w:rPr>
          <w:rFonts w:ascii="宋体" w:hAnsi="宋体" w:eastAsia="宋体" w:cs="宋体"/>
          <w:sz w:val="20"/>
          <w:szCs w:val="20"/>
        </w:rPr>
        <w:t xml:space="preserve"> </w:t>
      </w:r>
      <w:r>
        <w:rPr>
          <w:rFonts w:ascii="宋体" w:hAnsi="宋体" w:eastAsia="宋体" w:cs="宋体"/>
          <w:spacing w:val="10"/>
          <w:sz w:val="20"/>
          <w:szCs w:val="20"/>
        </w:rPr>
        <w:t>就是依据穆勒法则，设计研究方案，并依此收</w:t>
      </w:r>
      <w:r>
        <w:rPr>
          <w:rFonts w:ascii="宋体" w:hAnsi="宋体" w:eastAsia="宋体" w:cs="宋体"/>
          <w:spacing w:val="9"/>
          <w:sz w:val="20"/>
          <w:szCs w:val="20"/>
        </w:rPr>
        <w:t>集有关因果关系三个条件存在的证据，最后对证据进</w:t>
      </w:r>
      <w:r>
        <w:rPr>
          <w:rFonts w:ascii="宋体" w:hAnsi="宋体" w:eastAsia="宋体" w:cs="宋体"/>
          <w:sz w:val="20"/>
          <w:szCs w:val="20"/>
        </w:rPr>
        <w:t xml:space="preserve"> </w:t>
      </w:r>
      <w:r>
        <w:rPr>
          <w:rFonts w:ascii="宋体" w:hAnsi="宋体" w:eastAsia="宋体" w:cs="宋体"/>
          <w:spacing w:val="8"/>
          <w:sz w:val="20"/>
          <w:szCs w:val="20"/>
        </w:rPr>
        <w:t>行评估，推论因果关系存在的可能性(图8-9)。</w:t>
      </w:r>
    </w:p>
    <w:p w14:paraId="6423A6A4">
      <w:pPr>
        <w:spacing w:before="211" w:line="219" w:lineRule="auto"/>
        <w:ind w:left="2370"/>
        <w:rPr>
          <w:rFonts w:ascii="宋体" w:hAnsi="宋体" w:eastAsia="宋体" w:cs="宋体"/>
          <w:sz w:val="20"/>
          <w:szCs w:val="20"/>
        </w:rPr>
      </w:pPr>
      <w:r>
        <w:rPr>
          <w:rFonts w:ascii="宋体" w:hAnsi="宋体" w:eastAsia="宋体" w:cs="宋体"/>
          <w:spacing w:val="-1"/>
          <w:sz w:val="20"/>
          <w:szCs w:val="20"/>
        </w:rPr>
        <w:t>表8-3穆勒法则与其对应的流行病学研究设计理念</w:t>
      </w:r>
    </w:p>
    <w:tbl>
      <w:tblPr>
        <w:tblStyle w:val="5"/>
        <w:tblW w:w="9039"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0" w:type="dxa"/>
          <w:left w:w="0" w:type="dxa"/>
          <w:bottom w:w="0" w:type="dxa"/>
          <w:right w:w="0" w:type="dxa"/>
        </w:tblCellMar>
      </w:tblPr>
      <w:tblGrid>
        <w:gridCol w:w="3020"/>
        <w:gridCol w:w="6019"/>
      </w:tblGrid>
      <w:tr w14:paraId="22C18207">
        <w:trPr>
          <w:trHeight w:val="383" w:hRule="atLeast"/>
        </w:trPr>
        <w:tc>
          <w:tcPr>
            <w:tcW w:w="3020" w:type="dxa"/>
            <w:tcBorders>
              <w:top w:val="single" w:color="000000" w:sz="4" w:space="0"/>
              <w:bottom w:val="single" w:color="000000" w:sz="4" w:space="0"/>
            </w:tcBorders>
            <w:shd w:val="clear" w:color="auto" w:fill="B6BFB9"/>
            <w:vAlign w:val="top"/>
          </w:tcPr>
          <w:p w14:paraId="1D97C27A">
            <w:pPr>
              <w:pStyle w:val="6"/>
              <w:spacing w:before="91" w:line="219" w:lineRule="auto"/>
              <w:ind w:left="1110"/>
            </w:pPr>
            <w:r>
              <w:rPr>
                <w:spacing w:val="4"/>
              </w:rPr>
              <w:t>穆勒法则</w:t>
            </w:r>
          </w:p>
        </w:tc>
        <w:tc>
          <w:tcPr>
            <w:tcW w:w="6019" w:type="dxa"/>
            <w:tcBorders>
              <w:top w:val="single" w:color="000000" w:sz="4" w:space="0"/>
              <w:bottom w:val="single" w:color="000000" w:sz="4" w:space="0"/>
            </w:tcBorders>
            <w:shd w:val="clear" w:color="auto" w:fill="B7B9AF"/>
            <w:vAlign w:val="top"/>
          </w:tcPr>
          <w:p w14:paraId="1BE7729C">
            <w:pPr>
              <w:pStyle w:val="6"/>
              <w:spacing w:before="91" w:line="219" w:lineRule="auto"/>
              <w:ind w:left="2109"/>
            </w:pPr>
            <w:r>
              <w:rPr>
                <w:spacing w:val="-1"/>
              </w:rPr>
              <w:t>对应的研究设计理念</w:t>
            </w:r>
          </w:p>
        </w:tc>
      </w:tr>
      <w:tr w14:paraId="2FCDD75D">
        <w:trPr>
          <w:trHeight w:val="348" w:hRule="atLeast"/>
        </w:trPr>
        <w:tc>
          <w:tcPr>
            <w:tcW w:w="3020" w:type="dxa"/>
            <w:tcBorders>
              <w:top w:val="single" w:color="000000" w:sz="4" w:space="0"/>
              <w:bottom w:val="single" w:color="000000" w:sz="4" w:space="0"/>
            </w:tcBorders>
            <w:vAlign w:val="top"/>
          </w:tcPr>
          <w:p w14:paraId="1F37B065">
            <w:pPr>
              <w:pStyle w:val="6"/>
              <w:spacing w:before="81" w:line="221" w:lineRule="auto"/>
              <w:ind w:left="1209"/>
            </w:pPr>
            <w:r>
              <w:rPr>
                <w:spacing w:val="-3"/>
              </w:rPr>
              <w:t>求同法</w:t>
            </w:r>
          </w:p>
        </w:tc>
        <w:tc>
          <w:tcPr>
            <w:tcW w:w="6019" w:type="dxa"/>
            <w:tcBorders>
              <w:top w:val="single" w:color="000000" w:sz="4" w:space="0"/>
              <w:bottom w:val="single" w:color="000000" w:sz="4" w:space="0"/>
            </w:tcBorders>
            <w:vAlign w:val="top"/>
          </w:tcPr>
          <w:p w14:paraId="274DEB18">
            <w:pPr>
              <w:pStyle w:val="6"/>
              <w:spacing w:before="80" w:line="219" w:lineRule="auto"/>
              <w:ind w:left="1809"/>
            </w:pPr>
            <w:r>
              <w:rPr>
                <w:spacing w:val="-1"/>
              </w:rPr>
              <w:t>病例系列：病人共有的因素</w:t>
            </w:r>
          </w:p>
        </w:tc>
      </w:tr>
      <w:tr w14:paraId="6CE7E7ED">
        <w:trPr>
          <w:trHeight w:val="328" w:hRule="atLeast"/>
        </w:trPr>
        <w:tc>
          <w:tcPr>
            <w:tcW w:w="3020" w:type="dxa"/>
            <w:tcBorders>
              <w:top w:val="single" w:color="000000" w:sz="4" w:space="0"/>
              <w:bottom w:val="single" w:color="000000" w:sz="4" w:space="0"/>
            </w:tcBorders>
            <w:shd w:val="clear" w:color="auto" w:fill="D9DDDF"/>
            <w:vAlign w:val="top"/>
          </w:tcPr>
          <w:p w14:paraId="0C09591B">
            <w:pPr>
              <w:pStyle w:val="6"/>
              <w:spacing w:before="72" w:line="219" w:lineRule="auto"/>
              <w:ind w:left="1209"/>
            </w:pPr>
            <w:r>
              <w:rPr>
                <w:spacing w:val="-3"/>
              </w:rPr>
              <w:t>求异法</w:t>
            </w:r>
          </w:p>
        </w:tc>
        <w:tc>
          <w:tcPr>
            <w:tcW w:w="6019" w:type="dxa"/>
            <w:tcBorders>
              <w:top w:val="single" w:color="000000" w:sz="4" w:space="0"/>
              <w:bottom w:val="single" w:color="000000" w:sz="4" w:space="0"/>
            </w:tcBorders>
            <w:shd w:val="clear" w:color="auto" w:fill="DBDCDA"/>
            <w:vAlign w:val="top"/>
          </w:tcPr>
          <w:p w14:paraId="6BC5C9C0">
            <w:pPr>
              <w:pStyle w:val="6"/>
              <w:spacing w:before="72" w:line="219" w:lineRule="auto"/>
              <w:ind w:left="959"/>
            </w:pPr>
            <w:r>
              <w:rPr>
                <w:spacing w:val="-1"/>
              </w:rPr>
              <w:t>病例-对照的概念：病人有、非病人缺少的因素</w:t>
            </w:r>
          </w:p>
        </w:tc>
      </w:tr>
      <w:tr w14:paraId="78F3DFC5">
        <w:trPr>
          <w:trHeight w:val="349" w:hRule="atLeast"/>
        </w:trPr>
        <w:tc>
          <w:tcPr>
            <w:tcW w:w="3020" w:type="dxa"/>
            <w:tcBorders>
              <w:top w:val="single" w:color="000000" w:sz="4" w:space="0"/>
              <w:bottom w:val="single" w:color="000000" w:sz="4" w:space="0"/>
            </w:tcBorders>
            <w:vAlign w:val="top"/>
          </w:tcPr>
          <w:p w14:paraId="63339A1A">
            <w:pPr>
              <w:pStyle w:val="6"/>
              <w:spacing w:before="84" w:line="219" w:lineRule="auto"/>
              <w:ind w:left="1009"/>
            </w:pPr>
            <w:r>
              <w:rPr>
                <w:spacing w:val="1"/>
              </w:rPr>
              <w:t>同异共求法</w:t>
            </w:r>
          </w:p>
        </w:tc>
        <w:tc>
          <w:tcPr>
            <w:tcW w:w="6019" w:type="dxa"/>
            <w:tcBorders>
              <w:top w:val="single" w:color="000000" w:sz="4" w:space="0"/>
              <w:bottom w:val="single" w:color="000000" w:sz="4" w:space="0"/>
            </w:tcBorders>
            <w:vAlign w:val="top"/>
          </w:tcPr>
          <w:p w14:paraId="358E0AF1">
            <w:pPr>
              <w:pStyle w:val="6"/>
              <w:spacing w:before="82" w:line="219" w:lineRule="auto"/>
              <w:ind w:left="1909"/>
            </w:pPr>
            <w:r>
              <w:rPr>
                <w:spacing w:val="-1"/>
              </w:rPr>
              <w:t>病例对照研究，队列研究</w:t>
            </w:r>
          </w:p>
        </w:tc>
      </w:tr>
      <w:tr w14:paraId="4F5730CC">
        <w:trPr>
          <w:trHeight w:val="348" w:hRule="atLeast"/>
        </w:trPr>
        <w:tc>
          <w:tcPr>
            <w:tcW w:w="3020" w:type="dxa"/>
            <w:tcBorders>
              <w:top w:val="single" w:color="000000" w:sz="4" w:space="0"/>
              <w:bottom w:val="single" w:color="000000" w:sz="4" w:space="0"/>
            </w:tcBorders>
            <w:shd w:val="clear" w:color="auto" w:fill="D1D4D6"/>
            <w:vAlign w:val="top"/>
          </w:tcPr>
          <w:p w14:paraId="5A46A382">
            <w:pPr>
              <w:pStyle w:val="6"/>
              <w:spacing w:before="85" w:line="219" w:lineRule="auto"/>
              <w:ind w:left="1209"/>
            </w:pPr>
            <w:r>
              <w:rPr>
                <w:spacing w:val="-2"/>
              </w:rPr>
              <w:t>共变法</w:t>
            </w:r>
          </w:p>
        </w:tc>
        <w:tc>
          <w:tcPr>
            <w:tcW w:w="6019" w:type="dxa"/>
            <w:tcBorders>
              <w:top w:val="single" w:color="000000" w:sz="4" w:space="0"/>
              <w:bottom w:val="single" w:color="000000" w:sz="4" w:space="0"/>
            </w:tcBorders>
            <w:shd w:val="clear" w:color="auto" w:fill="D8D8D5"/>
            <w:vAlign w:val="top"/>
          </w:tcPr>
          <w:p w14:paraId="3190EE76">
            <w:pPr>
              <w:pStyle w:val="6"/>
              <w:spacing w:before="83" w:line="219" w:lineRule="auto"/>
              <w:ind w:left="2359"/>
            </w:pPr>
            <w:r>
              <w:rPr>
                <w:spacing w:val="2"/>
              </w:rPr>
              <w:t>剂量-反应关系</w:t>
            </w:r>
          </w:p>
        </w:tc>
      </w:tr>
      <w:tr w14:paraId="433B5501">
        <w:trPr>
          <w:trHeight w:val="344" w:hRule="atLeast"/>
        </w:trPr>
        <w:tc>
          <w:tcPr>
            <w:tcW w:w="3020" w:type="dxa"/>
            <w:tcBorders>
              <w:top w:val="single" w:color="000000" w:sz="4" w:space="0"/>
              <w:bottom w:val="single" w:color="000000" w:sz="4" w:space="0"/>
            </w:tcBorders>
            <w:vAlign w:val="top"/>
          </w:tcPr>
          <w:p w14:paraId="71486915">
            <w:pPr>
              <w:pStyle w:val="6"/>
              <w:spacing w:before="77" w:line="219" w:lineRule="auto"/>
              <w:ind w:left="1209"/>
            </w:pPr>
            <w:r>
              <w:rPr>
                <w:spacing w:val="-2"/>
              </w:rPr>
              <w:t>剩余法</w:t>
            </w:r>
          </w:p>
        </w:tc>
        <w:tc>
          <w:tcPr>
            <w:tcW w:w="6019" w:type="dxa"/>
            <w:tcBorders>
              <w:top w:val="single" w:color="000000" w:sz="4" w:space="0"/>
              <w:bottom w:val="single" w:color="000000" w:sz="4" w:space="0"/>
            </w:tcBorders>
            <w:vAlign w:val="top"/>
          </w:tcPr>
          <w:p w14:paraId="6D5043FF">
            <w:pPr>
              <w:pStyle w:val="6"/>
              <w:spacing w:before="77" w:line="219" w:lineRule="auto"/>
              <w:ind w:left="1509"/>
            </w:pPr>
            <w:r>
              <w:rPr>
                <w:spacing w:val="1"/>
              </w:rPr>
              <w:t>个案发生原因推测，主要病因推测</w:t>
            </w:r>
          </w:p>
        </w:tc>
      </w:tr>
    </w:tbl>
    <w:p w14:paraId="375B7408">
      <w:pPr>
        <w:spacing w:before="1" w:line="344" w:lineRule="auto"/>
        <w:rPr>
          <w:rFonts w:ascii="Arial"/>
          <w:sz w:val="21"/>
        </w:rPr>
      </w:pPr>
    </w:p>
    <w:p w14:paraId="44DB3371">
      <w:pPr>
        <w:spacing w:before="65" w:line="325" w:lineRule="auto"/>
        <w:ind w:right="658" w:firstLine="429"/>
        <w:rPr>
          <w:rFonts w:ascii="宋体" w:hAnsi="宋体" w:eastAsia="宋体" w:cs="宋体"/>
          <w:sz w:val="20"/>
          <w:szCs w:val="20"/>
        </w:rPr>
      </w:pPr>
      <w:r>
        <w:rPr>
          <w:rFonts w:ascii="宋体" w:hAnsi="宋体" w:eastAsia="宋体" w:cs="宋体"/>
          <w:spacing w:val="14"/>
          <w:sz w:val="20"/>
          <w:szCs w:val="20"/>
        </w:rPr>
        <w:t>因果关系的三个条件是寻找病因的理论基础，穆勒法则是现实中寻找病因的可操作的逻辑法</w:t>
      </w:r>
      <w:r>
        <w:rPr>
          <w:rFonts w:ascii="宋体" w:hAnsi="宋体" w:eastAsia="宋体" w:cs="宋体"/>
          <w:spacing w:val="16"/>
          <w:sz w:val="20"/>
          <w:szCs w:val="20"/>
        </w:rPr>
        <w:t xml:space="preserve"> </w:t>
      </w:r>
      <w:r>
        <w:rPr>
          <w:rFonts w:ascii="宋体" w:hAnsi="宋体" w:eastAsia="宋体" w:cs="宋体"/>
          <w:spacing w:val="15"/>
          <w:sz w:val="20"/>
          <w:szCs w:val="20"/>
        </w:rPr>
        <w:t>则。从设计上讲，探索因果关系的流行病学</w:t>
      </w:r>
      <w:r>
        <w:rPr>
          <w:rFonts w:ascii="宋体" w:hAnsi="宋体" w:eastAsia="宋体" w:cs="宋体"/>
          <w:spacing w:val="14"/>
          <w:sz w:val="20"/>
          <w:szCs w:val="20"/>
        </w:rPr>
        <w:t>研究就是依据穆勒法则在人群中收集有关因果关系三</w:t>
      </w:r>
    </w:p>
    <w:p w14:paraId="57EAAEE9">
      <w:pPr>
        <w:spacing w:line="325" w:lineRule="auto"/>
        <w:rPr>
          <w:rFonts w:ascii="宋体" w:hAnsi="宋体" w:eastAsia="宋体" w:cs="宋体"/>
          <w:sz w:val="20"/>
          <w:szCs w:val="20"/>
        </w:rPr>
        <w:sectPr>
          <w:headerReference r:id="rId169" w:type="default"/>
          <w:footerReference r:id="rId170" w:type="default"/>
          <w:pgSz w:w="11900" w:h="16820"/>
          <w:pgMar w:top="400" w:right="813" w:bottom="899" w:left="1420" w:header="0" w:footer="719" w:gutter="0"/>
          <w:cols w:space="720" w:num="1"/>
        </w:sectPr>
      </w:pPr>
    </w:p>
    <w:p w14:paraId="39BC8A51">
      <w:pPr>
        <w:pStyle w:val="2"/>
        <w:spacing w:before="196" w:line="221" w:lineRule="auto"/>
        <w:ind w:left="679"/>
        <w:rPr>
          <w:sz w:val="19"/>
          <w:szCs w:val="19"/>
        </w:rPr>
      </w:pPr>
      <w:r>
        <w:rPr>
          <w:spacing w:val="-15"/>
          <w:sz w:val="19"/>
          <w:szCs w:val="19"/>
        </w:rPr>
        <w:t>第八章 病因及其发现和推断</w:t>
      </w:r>
    </w:p>
    <w:p w14:paraId="2F1B6F6B">
      <w:pPr>
        <w:spacing w:before="21"/>
      </w:pPr>
    </w:p>
    <w:p w14:paraId="212F58AD">
      <w:pPr>
        <w:spacing w:before="21"/>
      </w:pPr>
    </w:p>
    <w:p w14:paraId="4ADBEF21">
      <w:pPr>
        <w:sectPr>
          <w:headerReference r:id="rId171" w:type="default"/>
          <w:footerReference r:id="rId172" w:type="default"/>
          <w:pgSz w:w="11900" w:h="16820"/>
          <w:pgMar w:top="400" w:right="1534" w:bottom="842" w:left="890" w:header="0" w:footer="671" w:gutter="0"/>
          <w:cols w:equalWidth="0" w:num="1">
            <w:col w:w="9476"/>
          </w:cols>
        </w:sectPr>
      </w:pPr>
    </w:p>
    <w:p w14:paraId="36F19667">
      <w:pPr>
        <w:spacing w:before="107" w:line="219" w:lineRule="auto"/>
        <w:ind w:left="679"/>
        <w:rPr>
          <w:rFonts w:ascii="宋体" w:hAnsi="宋体" w:eastAsia="宋体" w:cs="宋体"/>
          <w:sz w:val="19"/>
          <w:szCs w:val="19"/>
        </w:rPr>
      </w:pPr>
      <w:r>
        <w:rPr>
          <w:rFonts w:ascii="宋体" w:hAnsi="宋体" w:eastAsia="宋体" w:cs="宋体"/>
          <w:spacing w:val="12"/>
          <w:sz w:val="19"/>
          <w:szCs w:val="19"/>
        </w:rPr>
        <w:t>个基本条件存在证据的方法(见表8-3)。</w:t>
      </w:r>
    </w:p>
    <w:p w14:paraId="437188F4">
      <w:pPr>
        <w:pStyle w:val="2"/>
        <w:spacing w:before="312" w:line="221" w:lineRule="auto"/>
        <w:ind w:left="1103"/>
        <w:outlineLvl w:val="2"/>
        <w:rPr>
          <w:sz w:val="24"/>
          <w:szCs w:val="24"/>
        </w:rPr>
      </w:pPr>
      <w:bookmarkStart w:id="247" w:name="bookmark156"/>
      <w:bookmarkEnd w:id="247"/>
      <w:r>
        <w:rPr>
          <w:b/>
          <w:bCs/>
          <w:spacing w:val="-2"/>
          <w:sz w:val="24"/>
          <w:szCs w:val="24"/>
        </w:rPr>
        <w:t>二</w:t>
      </w:r>
      <w:r>
        <w:rPr>
          <w:spacing w:val="-41"/>
          <w:sz w:val="24"/>
          <w:szCs w:val="24"/>
        </w:rPr>
        <w:t xml:space="preserve"> </w:t>
      </w:r>
      <w:r>
        <w:rPr>
          <w:b/>
          <w:bCs/>
          <w:spacing w:val="-2"/>
          <w:sz w:val="24"/>
          <w:szCs w:val="24"/>
        </w:rPr>
        <w:t>、因果推断的逻辑方法</w:t>
      </w:r>
    </w:p>
    <w:p w14:paraId="02AA66BF">
      <w:pPr>
        <w:pStyle w:val="2"/>
        <w:spacing w:before="255" w:line="223" w:lineRule="auto"/>
        <w:ind w:left="1103"/>
        <w:rPr>
          <w:sz w:val="24"/>
          <w:szCs w:val="24"/>
        </w:rPr>
      </w:pPr>
      <w:r>
        <w:rPr>
          <w:b/>
          <w:bCs/>
          <w:spacing w:val="-2"/>
          <w:sz w:val="24"/>
          <w:szCs w:val="24"/>
        </w:rPr>
        <w:t>(一)求同法</w:t>
      </w:r>
    </w:p>
    <w:p w14:paraId="127491E3">
      <w:pPr>
        <w:spacing w:before="99" w:line="363" w:lineRule="auto"/>
        <w:ind w:left="679" w:right="179" w:firstLine="420"/>
        <w:jc w:val="both"/>
        <w:rPr>
          <w:rFonts w:ascii="宋体" w:hAnsi="宋体" w:eastAsia="宋体" w:cs="宋体"/>
          <w:sz w:val="19"/>
          <w:szCs w:val="19"/>
        </w:rPr>
      </w:pPr>
      <w:r>
        <w:rPr>
          <w:rFonts w:ascii="宋体" w:hAnsi="宋体" w:eastAsia="宋体" w:cs="宋体"/>
          <w:spacing w:val="3"/>
          <w:sz w:val="19"/>
          <w:szCs w:val="19"/>
        </w:rPr>
        <w:t>求同法</w:t>
      </w:r>
      <w:r>
        <w:rPr>
          <w:rFonts w:ascii="Times New Roman" w:hAnsi="Times New Roman" w:eastAsia="Times New Roman" w:cs="Times New Roman"/>
          <w:spacing w:val="3"/>
          <w:sz w:val="19"/>
          <w:szCs w:val="19"/>
        </w:rPr>
        <w:t>(</w:t>
      </w:r>
      <w:r>
        <w:rPr>
          <w:rFonts w:ascii="Times New Roman" w:hAnsi="Times New Roman" w:eastAsia="Times New Roman" w:cs="Times New Roman"/>
          <w:sz w:val="19"/>
          <w:szCs w:val="19"/>
        </w:rPr>
        <w:t>method</w:t>
      </w:r>
      <w:r>
        <w:rPr>
          <w:rFonts w:ascii="Times New Roman" w:hAnsi="Times New Roman" w:eastAsia="Times New Roman" w:cs="Times New Roman"/>
          <w:spacing w:val="3"/>
          <w:sz w:val="19"/>
          <w:szCs w:val="19"/>
        </w:rPr>
        <w:t xml:space="preserve">  </w:t>
      </w:r>
      <w:r>
        <w:rPr>
          <w:rFonts w:ascii="Times New Roman" w:hAnsi="Times New Roman" w:eastAsia="Times New Roman" w:cs="Times New Roman"/>
          <w:sz w:val="19"/>
          <w:szCs w:val="19"/>
        </w:rPr>
        <w:t>of</w:t>
      </w:r>
      <w:r>
        <w:rPr>
          <w:rFonts w:ascii="Times New Roman" w:hAnsi="Times New Roman" w:eastAsia="Times New Roman" w:cs="Times New Roman"/>
          <w:spacing w:val="3"/>
          <w:sz w:val="19"/>
          <w:szCs w:val="19"/>
        </w:rPr>
        <w:t xml:space="preserve">  </w:t>
      </w:r>
      <w:r>
        <w:rPr>
          <w:rFonts w:ascii="Times New Roman" w:hAnsi="Times New Roman" w:eastAsia="Times New Roman" w:cs="Times New Roman"/>
          <w:sz w:val="19"/>
          <w:szCs w:val="19"/>
        </w:rPr>
        <w:t>agreement</w:t>
      </w:r>
      <w:r>
        <w:rPr>
          <w:rFonts w:ascii="Times New Roman" w:hAnsi="Times New Roman" w:eastAsia="Times New Roman" w:cs="Times New Roman"/>
          <w:spacing w:val="3"/>
          <w:sz w:val="19"/>
          <w:szCs w:val="19"/>
        </w:rPr>
        <w:t>)</w:t>
      </w:r>
      <w:r>
        <w:rPr>
          <w:rFonts w:ascii="宋体" w:hAnsi="宋体" w:eastAsia="宋体" w:cs="宋体"/>
          <w:spacing w:val="3"/>
          <w:sz w:val="19"/>
          <w:szCs w:val="19"/>
        </w:rPr>
        <w:t>认为，考察某现象出现的不</w:t>
      </w:r>
      <w:r>
        <w:rPr>
          <w:rFonts w:ascii="宋体" w:hAnsi="宋体" w:eastAsia="宋体" w:cs="宋体"/>
          <w:spacing w:val="10"/>
          <w:sz w:val="19"/>
          <w:szCs w:val="19"/>
        </w:rPr>
        <w:t xml:space="preserve"> </w:t>
      </w:r>
      <w:r>
        <w:rPr>
          <w:rFonts w:ascii="宋体" w:hAnsi="宋体" w:eastAsia="宋体" w:cs="宋体"/>
          <w:spacing w:val="9"/>
          <w:sz w:val="19"/>
          <w:szCs w:val="19"/>
        </w:rPr>
        <w:t>同场合，如果各个不同场合除一个条件相同外，其他条件都</w:t>
      </w:r>
      <w:r>
        <w:rPr>
          <w:rFonts w:ascii="宋体" w:hAnsi="宋体" w:eastAsia="宋体" w:cs="宋体"/>
          <w:spacing w:val="3"/>
          <w:sz w:val="19"/>
          <w:szCs w:val="19"/>
        </w:rPr>
        <w:t xml:space="preserve"> </w:t>
      </w:r>
      <w:r>
        <w:rPr>
          <w:rFonts w:ascii="宋体" w:hAnsi="宋体" w:eastAsia="宋体" w:cs="宋体"/>
          <w:spacing w:val="11"/>
          <w:sz w:val="19"/>
          <w:szCs w:val="19"/>
        </w:rPr>
        <w:t>不同，那么,这个相同的条件可能就是某研究现象的原因。</w:t>
      </w:r>
    </w:p>
    <w:p w14:paraId="257AE82D">
      <w:pPr>
        <w:spacing w:before="1" w:line="361" w:lineRule="auto"/>
        <w:ind w:left="679" w:right="175" w:firstLine="420"/>
        <w:jc w:val="both"/>
        <w:rPr>
          <w:rFonts w:ascii="宋体" w:hAnsi="宋体" w:eastAsia="宋体" w:cs="宋体"/>
          <w:sz w:val="19"/>
          <w:szCs w:val="19"/>
        </w:rPr>
      </w:pPr>
      <w:r>
        <w:rPr>
          <w:rFonts w:ascii="宋体" w:hAnsi="宋体" w:eastAsia="宋体" w:cs="宋体"/>
          <w:spacing w:val="17"/>
          <w:sz w:val="19"/>
          <w:szCs w:val="19"/>
        </w:rPr>
        <w:t>在病因研究中，如果所有患同一疾病的病人都</w:t>
      </w:r>
      <w:r>
        <w:rPr>
          <w:rFonts w:ascii="宋体" w:hAnsi="宋体" w:eastAsia="宋体" w:cs="宋体"/>
          <w:spacing w:val="16"/>
          <w:sz w:val="19"/>
          <w:szCs w:val="19"/>
        </w:rPr>
        <w:t>具有某</w:t>
      </w:r>
      <w:r>
        <w:rPr>
          <w:rFonts w:ascii="宋体" w:hAnsi="宋体" w:eastAsia="宋体" w:cs="宋体"/>
          <w:sz w:val="19"/>
          <w:szCs w:val="19"/>
        </w:rPr>
        <w:t xml:space="preserve"> </w:t>
      </w:r>
      <w:r>
        <w:rPr>
          <w:rFonts w:ascii="宋体" w:hAnsi="宋体" w:eastAsia="宋体" w:cs="宋体"/>
          <w:spacing w:val="17"/>
          <w:sz w:val="19"/>
          <w:szCs w:val="19"/>
        </w:rPr>
        <w:t>一共同的因素，而且其他因素并非每个病人都有，那么该</w:t>
      </w:r>
      <w:r>
        <w:rPr>
          <w:rFonts w:ascii="宋体" w:hAnsi="宋体" w:eastAsia="宋体" w:cs="宋体"/>
          <w:spacing w:val="3"/>
          <w:sz w:val="19"/>
          <w:szCs w:val="19"/>
        </w:rPr>
        <w:t xml:space="preserve"> </w:t>
      </w:r>
      <w:r>
        <w:rPr>
          <w:rFonts w:ascii="宋体" w:hAnsi="宋体" w:eastAsia="宋体" w:cs="宋体"/>
          <w:spacing w:val="17"/>
          <w:sz w:val="19"/>
          <w:szCs w:val="19"/>
        </w:rPr>
        <w:t>因素就可能是该疾病的病因。例如，发现所有腹泻的学生</w:t>
      </w:r>
      <w:r>
        <w:rPr>
          <w:rFonts w:ascii="宋体" w:hAnsi="宋体" w:eastAsia="宋体" w:cs="宋体"/>
          <w:spacing w:val="2"/>
          <w:sz w:val="19"/>
          <w:szCs w:val="19"/>
        </w:rPr>
        <w:t xml:space="preserve"> </w:t>
      </w:r>
      <w:r>
        <w:rPr>
          <w:rFonts w:ascii="宋体" w:hAnsi="宋体" w:eastAsia="宋体" w:cs="宋体"/>
          <w:spacing w:val="17"/>
          <w:sz w:val="19"/>
          <w:szCs w:val="19"/>
        </w:rPr>
        <w:t>当天中午都在同一食堂吃过酸奶，因此酸奶可能是腹泻的</w:t>
      </w:r>
      <w:r>
        <w:rPr>
          <w:rFonts w:ascii="宋体" w:hAnsi="宋体" w:eastAsia="宋体" w:cs="宋体"/>
          <w:spacing w:val="8"/>
          <w:sz w:val="19"/>
          <w:szCs w:val="19"/>
        </w:rPr>
        <w:t xml:space="preserve"> </w:t>
      </w:r>
      <w:r>
        <w:rPr>
          <w:rFonts w:ascii="宋体" w:hAnsi="宋体" w:eastAsia="宋体" w:cs="宋体"/>
          <w:spacing w:val="15"/>
          <w:sz w:val="19"/>
          <w:szCs w:val="19"/>
        </w:rPr>
        <w:t>病因。</w:t>
      </w:r>
    </w:p>
    <w:p w14:paraId="620DB133">
      <w:pPr>
        <w:spacing w:before="30" w:line="360" w:lineRule="auto"/>
        <w:ind w:left="679" w:right="160" w:firstLine="420"/>
        <w:rPr>
          <w:rFonts w:ascii="宋体" w:hAnsi="宋体" w:eastAsia="宋体" w:cs="宋体"/>
          <w:sz w:val="19"/>
          <w:szCs w:val="19"/>
        </w:rPr>
      </w:pPr>
      <w:r>
        <w:rPr>
          <w:rFonts w:ascii="宋体" w:hAnsi="宋体" w:eastAsia="宋体" w:cs="宋体"/>
          <w:spacing w:val="9"/>
          <w:sz w:val="19"/>
          <w:szCs w:val="19"/>
        </w:rPr>
        <w:t>但是，该法则中“其他因素都不同”的假设在现实中很</w:t>
      </w:r>
      <w:r>
        <w:rPr>
          <w:rFonts w:ascii="宋体" w:hAnsi="宋体" w:eastAsia="宋体" w:cs="宋体"/>
          <w:spacing w:val="2"/>
          <w:sz w:val="19"/>
          <w:szCs w:val="19"/>
        </w:rPr>
        <w:t xml:space="preserve"> </w:t>
      </w:r>
      <w:r>
        <w:rPr>
          <w:rFonts w:ascii="宋体" w:hAnsi="宋体" w:eastAsia="宋体" w:cs="宋体"/>
          <w:spacing w:val="9"/>
          <w:sz w:val="19"/>
          <w:szCs w:val="19"/>
        </w:rPr>
        <w:t>难成立，患同一疾病的病人共有的因素会很多，它们中绝大</w:t>
      </w:r>
    </w:p>
    <w:p w14:paraId="46DE70DA">
      <w:pPr>
        <w:spacing w:line="14" w:lineRule="auto"/>
        <w:rPr>
          <w:rFonts w:ascii="Arial"/>
          <w:sz w:val="2"/>
        </w:rPr>
      </w:pPr>
      <w:r>
        <w:rPr>
          <w:rFonts w:ascii="Arial" w:hAnsi="Arial" w:eastAsia="Arial" w:cs="Arial"/>
          <w:sz w:val="2"/>
          <w:szCs w:val="2"/>
        </w:rPr>
        <w:br w:type="column"/>
      </w:r>
    </w:p>
    <w:p w14:paraId="1EF4E8FF">
      <w:pPr>
        <w:spacing w:before="36" w:line="217" w:lineRule="auto"/>
        <w:ind w:left="1128" w:right="531" w:hanging="599"/>
        <w:rPr>
          <w:rFonts w:ascii="宋体" w:hAnsi="宋体" w:eastAsia="宋体" w:cs="宋体"/>
          <w:sz w:val="18"/>
          <w:szCs w:val="18"/>
        </w:rPr>
      </w:pPr>
      <w:r>
        <w:rPr>
          <w:rFonts w:ascii="宋体" w:hAnsi="宋体" w:eastAsia="宋体" w:cs="宋体"/>
          <w:spacing w:val="-6"/>
          <w:sz w:val="18"/>
          <w:szCs w:val="18"/>
        </w:rPr>
        <w:t>研究病因的基础：因果关系的</w:t>
      </w:r>
      <w:r>
        <w:rPr>
          <w:rFonts w:ascii="宋体" w:hAnsi="宋体" w:eastAsia="宋体" w:cs="宋体"/>
          <w:spacing w:val="10"/>
          <w:sz w:val="18"/>
          <w:szCs w:val="18"/>
        </w:rPr>
        <w:t xml:space="preserve"> </w:t>
      </w:r>
      <w:r>
        <w:rPr>
          <w:rFonts w:ascii="宋体" w:hAnsi="宋体" w:eastAsia="宋体" w:cs="宋体"/>
          <w:spacing w:val="-1"/>
          <w:sz w:val="18"/>
          <w:szCs w:val="18"/>
        </w:rPr>
        <w:t>三个基本条件</w:t>
      </w:r>
    </w:p>
    <w:p w14:paraId="4C4562CD">
      <w:pPr>
        <w:spacing w:line="295" w:lineRule="auto"/>
        <w:rPr>
          <w:rFonts w:ascii="Arial"/>
          <w:sz w:val="21"/>
        </w:rPr>
      </w:pPr>
    </w:p>
    <w:p w14:paraId="0B4AF9F9">
      <w:pPr>
        <w:spacing w:line="296" w:lineRule="auto"/>
        <w:rPr>
          <w:rFonts w:ascii="Arial"/>
          <w:sz w:val="21"/>
        </w:rPr>
      </w:pPr>
    </w:p>
    <w:p w14:paraId="09BB01D6">
      <w:pPr>
        <w:spacing w:before="62" w:line="219" w:lineRule="auto"/>
        <w:ind w:left="609"/>
        <w:rPr>
          <w:rFonts w:ascii="宋体" w:hAnsi="宋体" w:eastAsia="宋体" w:cs="宋体"/>
          <w:sz w:val="19"/>
          <w:szCs w:val="19"/>
        </w:rPr>
      </w:pPr>
      <w:r>
        <w:rPr>
          <w:rFonts w:ascii="宋体" w:hAnsi="宋体" w:eastAsia="宋体" w:cs="宋体"/>
          <w:spacing w:val="-15"/>
          <w:sz w:val="19"/>
          <w:szCs w:val="19"/>
        </w:rPr>
        <w:t>发现病因的法则：穆勒法则</w:t>
      </w:r>
    </w:p>
    <w:p w14:paraId="77622F0C">
      <w:pPr>
        <w:spacing w:line="321" w:lineRule="auto"/>
        <w:rPr>
          <w:rFonts w:ascii="Arial"/>
          <w:sz w:val="21"/>
        </w:rPr>
      </w:pPr>
    </w:p>
    <w:p w14:paraId="1E768278">
      <w:pPr>
        <w:spacing w:line="321" w:lineRule="auto"/>
        <w:rPr>
          <w:rFonts w:ascii="Arial"/>
          <w:sz w:val="21"/>
        </w:rPr>
      </w:pPr>
    </w:p>
    <w:p w14:paraId="6F004CD3">
      <w:pPr>
        <w:spacing w:before="59" w:line="215" w:lineRule="auto"/>
        <w:rPr>
          <w:rFonts w:ascii="宋体" w:hAnsi="宋体" w:eastAsia="宋体" w:cs="宋体"/>
          <w:sz w:val="18"/>
          <w:szCs w:val="18"/>
        </w:rPr>
      </w:pPr>
      <w:r>
        <w:rPr>
          <w:rFonts w:ascii="宋体" w:hAnsi="宋体" w:eastAsia="宋体" w:cs="宋体"/>
          <w:spacing w:val="-7"/>
          <w:sz w:val="18"/>
          <w:szCs w:val="18"/>
        </w:rPr>
        <w:t>发现病因的研究方法：发现传染病病原体的</w:t>
      </w:r>
    </w:p>
    <w:p w14:paraId="672DE407">
      <w:pPr>
        <w:spacing w:line="215" w:lineRule="auto"/>
        <w:ind w:left="359"/>
        <w:rPr>
          <w:rFonts w:ascii="宋体" w:hAnsi="宋体" w:eastAsia="宋体" w:cs="宋体"/>
          <w:sz w:val="18"/>
          <w:szCs w:val="18"/>
        </w:rPr>
      </w:pPr>
      <w:r>
        <w:rPr>
          <w:rFonts w:ascii="宋体" w:hAnsi="宋体" w:eastAsia="宋体" w:cs="宋体"/>
          <w:spacing w:val="-7"/>
          <w:sz w:val="18"/>
          <w:szCs w:val="18"/>
        </w:rPr>
        <w:t>科赫法则，发现慢性非传染性疾病</w:t>
      </w:r>
    </w:p>
    <w:p w14:paraId="6B236EBF">
      <w:pPr>
        <w:spacing w:line="218" w:lineRule="auto"/>
        <w:ind w:left="699"/>
        <w:rPr>
          <w:rFonts w:ascii="宋体" w:hAnsi="宋体" w:eastAsia="宋体" w:cs="宋体"/>
          <w:sz w:val="18"/>
          <w:szCs w:val="18"/>
        </w:rPr>
      </w:pPr>
      <w:r>
        <w:rPr>
          <w:rFonts w:ascii="宋体" w:hAnsi="宋体" w:eastAsia="宋体" w:cs="宋体"/>
          <w:spacing w:val="-6"/>
          <w:sz w:val="18"/>
          <w:szCs w:val="18"/>
        </w:rPr>
        <w:t>多重病因的流行病学研究</w:t>
      </w:r>
    </w:p>
    <w:p w14:paraId="29CFC38C">
      <w:pPr>
        <w:spacing w:line="303" w:lineRule="auto"/>
        <w:rPr>
          <w:rFonts w:ascii="Arial"/>
          <w:sz w:val="21"/>
        </w:rPr>
      </w:pPr>
    </w:p>
    <w:p w14:paraId="231A77F4">
      <w:pPr>
        <w:spacing w:line="303" w:lineRule="auto"/>
        <w:rPr>
          <w:rFonts w:ascii="Arial"/>
          <w:sz w:val="21"/>
        </w:rPr>
      </w:pPr>
    </w:p>
    <w:p w14:paraId="07E1803A">
      <w:pPr>
        <w:spacing w:before="58" w:line="218" w:lineRule="auto"/>
        <w:ind w:left="598" w:right="185" w:hanging="299"/>
        <w:rPr>
          <w:rFonts w:ascii="宋体" w:hAnsi="宋体" w:eastAsia="宋体" w:cs="宋体"/>
          <w:sz w:val="18"/>
          <w:szCs w:val="18"/>
        </w:rPr>
      </w:pPr>
      <w:r>
        <w:rPr>
          <w:rFonts w:ascii="宋体" w:hAnsi="宋体" w:eastAsia="宋体" w:cs="宋体"/>
          <w:spacing w:val="-8"/>
          <w:sz w:val="18"/>
          <w:szCs w:val="18"/>
        </w:rPr>
        <w:t>病因推断：希尔的9条病因推断准则、</w:t>
      </w:r>
      <w:r>
        <w:rPr>
          <w:rFonts w:ascii="宋体" w:hAnsi="宋体" w:eastAsia="宋体" w:cs="宋体"/>
          <w:spacing w:val="14"/>
          <w:sz w:val="18"/>
          <w:szCs w:val="18"/>
        </w:rPr>
        <w:t xml:space="preserve"> </w:t>
      </w:r>
      <w:r>
        <w:rPr>
          <w:rFonts w:ascii="宋体" w:hAnsi="宋体" w:eastAsia="宋体" w:cs="宋体"/>
          <w:spacing w:val="-8"/>
          <w:sz w:val="18"/>
          <w:szCs w:val="18"/>
        </w:rPr>
        <w:t>系统综述、</w:t>
      </w:r>
      <w:r>
        <w:rPr>
          <w:rFonts w:ascii="Times New Roman" w:hAnsi="Times New Roman" w:eastAsia="Times New Roman" w:cs="Times New Roman"/>
          <w:spacing w:val="-8"/>
          <w:sz w:val="18"/>
          <w:szCs w:val="18"/>
        </w:rPr>
        <w:t>GRADE</w:t>
      </w:r>
      <w:r>
        <w:rPr>
          <w:rFonts w:ascii="宋体" w:hAnsi="宋体" w:eastAsia="宋体" w:cs="宋体"/>
          <w:spacing w:val="-8"/>
          <w:sz w:val="18"/>
          <w:szCs w:val="18"/>
        </w:rPr>
        <w:t>的推论原则</w:t>
      </w:r>
    </w:p>
    <w:p w14:paraId="0C13E6A3">
      <w:pPr>
        <w:spacing w:before="135" w:line="282" w:lineRule="auto"/>
        <w:ind w:right="57" w:firstLine="139"/>
        <w:rPr>
          <w:rFonts w:ascii="宋体" w:hAnsi="宋体" w:eastAsia="宋体" w:cs="宋体"/>
          <w:sz w:val="19"/>
          <w:szCs w:val="19"/>
        </w:rPr>
      </w:pPr>
      <w:r>
        <w:rPr>
          <w:rFonts w:ascii="宋体" w:hAnsi="宋体" w:eastAsia="宋体" w:cs="宋体"/>
          <w:spacing w:val="-4"/>
          <w:sz w:val="19"/>
          <w:szCs w:val="19"/>
        </w:rPr>
        <w:t>图8-9</w:t>
      </w:r>
      <w:r>
        <w:rPr>
          <w:rFonts w:ascii="宋体" w:hAnsi="宋体" w:eastAsia="宋体" w:cs="宋体"/>
          <w:spacing w:val="63"/>
          <w:sz w:val="19"/>
          <w:szCs w:val="19"/>
        </w:rPr>
        <w:t xml:space="preserve"> </w:t>
      </w:r>
      <w:r>
        <w:rPr>
          <w:rFonts w:ascii="宋体" w:hAnsi="宋体" w:eastAsia="宋体" w:cs="宋体"/>
          <w:spacing w:val="-4"/>
          <w:sz w:val="19"/>
          <w:szCs w:val="19"/>
        </w:rPr>
        <w:t>研究病因的理论、法则与方法</w:t>
      </w:r>
      <w:r>
        <w:rPr>
          <w:rFonts w:ascii="宋体" w:hAnsi="宋体" w:eastAsia="宋体" w:cs="宋体"/>
          <w:sz w:val="19"/>
          <w:szCs w:val="19"/>
        </w:rPr>
        <w:t xml:space="preserve">  </w:t>
      </w:r>
      <w:r>
        <w:rPr>
          <w:rFonts w:ascii="宋体" w:hAnsi="宋体" w:eastAsia="宋体" w:cs="宋体"/>
          <w:spacing w:val="-6"/>
          <w:sz w:val="19"/>
          <w:szCs w:val="19"/>
        </w:rPr>
        <w:t>GRADE.</w:t>
      </w:r>
      <w:r>
        <w:rPr>
          <w:rFonts w:ascii="宋体" w:hAnsi="宋体" w:eastAsia="宋体" w:cs="宋体"/>
          <w:spacing w:val="71"/>
          <w:sz w:val="19"/>
          <w:szCs w:val="19"/>
        </w:rPr>
        <w:t xml:space="preserve"> </w:t>
      </w:r>
      <w:r>
        <w:rPr>
          <w:rFonts w:ascii="宋体" w:hAnsi="宋体" w:eastAsia="宋体" w:cs="宋体"/>
          <w:spacing w:val="-6"/>
          <w:sz w:val="19"/>
          <w:szCs w:val="19"/>
        </w:rPr>
        <w:t>国际医学推荐分级的研究、开发</w:t>
      </w:r>
      <w:r>
        <w:rPr>
          <w:rFonts w:ascii="宋体" w:hAnsi="宋体" w:eastAsia="宋体" w:cs="宋体"/>
          <w:sz w:val="19"/>
          <w:szCs w:val="19"/>
        </w:rPr>
        <w:t xml:space="preserve"> </w:t>
      </w:r>
      <w:r>
        <w:rPr>
          <w:rFonts w:ascii="宋体" w:hAnsi="宋体" w:eastAsia="宋体" w:cs="宋体"/>
          <w:spacing w:val="-7"/>
          <w:sz w:val="19"/>
          <w:szCs w:val="19"/>
        </w:rPr>
        <w:t>和评估。</w:t>
      </w:r>
    </w:p>
    <w:p w14:paraId="026984F8">
      <w:pPr>
        <w:spacing w:line="282" w:lineRule="auto"/>
        <w:rPr>
          <w:rFonts w:ascii="宋体" w:hAnsi="宋体" w:eastAsia="宋体" w:cs="宋体"/>
          <w:sz w:val="19"/>
          <w:szCs w:val="19"/>
        </w:rPr>
        <w:sectPr>
          <w:type w:val="continuous"/>
          <w:pgSz w:w="11900" w:h="16820"/>
          <w:pgMar w:top="400" w:right="1534" w:bottom="842" w:left="890" w:header="0" w:footer="671" w:gutter="0"/>
          <w:cols w:equalWidth="0" w:num="2">
            <w:col w:w="6041" w:space="100"/>
            <w:col w:w="3336"/>
          </w:cols>
        </w:sectPr>
      </w:pPr>
    </w:p>
    <w:p w14:paraId="051B884D">
      <w:pPr>
        <w:spacing w:line="340" w:lineRule="auto"/>
        <w:ind w:left="679" w:right="84"/>
        <w:rPr>
          <w:rFonts w:ascii="宋体" w:hAnsi="宋体" w:eastAsia="宋体" w:cs="宋体"/>
          <w:sz w:val="19"/>
          <w:szCs w:val="19"/>
        </w:rPr>
      </w:pPr>
      <w:r>
        <w:rPr>
          <w:rFonts w:ascii="宋体" w:hAnsi="宋体" w:eastAsia="宋体" w:cs="宋体"/>
          <w:spacing w:val="15"/>
          <w:sz w:val="19"/>
          <w:szCs w:val="19"/>
        </w:rPr>
        <w:t>多数不是某疾病的病因。比如，腹泻的学生当天在同一食堂都吃过另外3</w:t>
      </w:r>
      <w:r>
        <w:rPr>
          <w:rFonts w:ascii="宋体" w:hAnsi="宋体" w:eastAsia="宋体" w:cs="宋体"/>
          <w:spacing w:val="14"/>
          <w:sz w:val="19"/>
          <w:szCs w:val="19"/>
        </w:rPr>
        <w:t>种食物，该法则并不能肯</w:t>
      </w:r>
      <w:r>
        <w:rPr>
          <w:rFonts w:ascii="宋体" w:hAnsi="宋体" w:eastAsia="宋体" w:cs="宋体"/>
          <w:sz w:val="19"/>
          <w:szCs w:val="19"/>
        </w:rPr>
        <w:t xml:space="preserve"> </w:t>
      </w:r>
      <w:r>
        <w:rPr>
          <w:rFonts w:ascii="宋体" w:hAnsi="宋体" w:eastAsia="宋体" w:cs="宋体"/>
          <w:spacing w:val="12"/>
          <w:sz w:val="19"/>
          <w:szCs w:val="19"/>
        </w:rPr>
        <w:t>定酸奶是学生腹泻的原因。因此，不能就依此一项法则确定因果关系的存在。</w:t>
      </w:r>
    </w:p>
    <w:p w14:paraId="20CBC415">
      <w:pPr>
        <w:pStyle w:val="2"/>
        <w:spacing w:line="223" w:lineRule="auto"/>
        <w:ind w:left="1103"/>
        <w:rPr>
          <w:sz w:val="24"/>
          <w:szCs w:val="24"/>
        </w:rPr>
      </w:pPr>
      <w:r>
        <w:rPr>
          <w:b/>
          <w:bCs/>
          <w:spacing w:val="-10"/>
          <w:sz w:val="24"/>
          <w:szCs w:val="24"/>
        </w:rPr>
        <w:t>(二)求异法</w:t>
      </w:r>
    </w:p>
    <w:p w14:paraId="44798DAE">
      <w:pPr>
        <w:spacing w:before="120" w:line="355" w:lineRule="auto"/>
        <w:ind w:left="679" w:right="48" w:firstLine="420"/>
        <w:rPr>
          <w:rFonts w:ascii="宋体" w:hAnsi="宋体" w:eastAsia="宋体" w:cs="宋体"/>
          <w:sz w:val="19"/>
          <w:szCs w:val="19"/>
        </w:rPr>
      </w:pPr>
      <w:r>
        <w:rPr>
          <w:rFonts w:ascii="宋体" w:hAnsi="宋体" w:eastAsia="宋体" w:cs="宋体"/>
          <w:spacing w:val="11"/>
          <w:sz w:val="19"/>
          <w:szCs w:val="19"/>
        </w:rPr>
        <w:t>求异法</w:t>
      </w:r>
      <w:r>
        <w:rPr>
          <w:rFonts w:ascii="Times New Roman" w:hAnsi="Times New Roman" w:eastAsia="Times New Roman" w:cs="Times New Roman"/>
          <w:spacing w:val="11"/>
          <w:sz w:val="19"/>
          <w:szCs w:val="19"/>
        </w:rPr>
        <w:t>(</w:t>
      </w:r>
      <w:r>
        <w:rPr>
          <w:rFonts w:ascii="Times New Roman" w:hAnsi="Times New Roman" w:eastAsia="Times New Roman" w:cs="Times New Roman"/>
          <w:sz w:val="19"/>
          <w:szCs w:val="19"/>
        </w:rPr>
        <w:t>method</w:t>
      </w:r>
      <w:r>
        <w:rPr>
          <w:rFonts w:ascii="Times New Roman" w:hAnsi="Times New Roman" w:eastAsia="Times New Roman" w:cs="Times New Roman"/>
          <w:spacing w:val="17"/>
          <w:w w:val="101"/>
          <w:sz w:val="19"/>
          <w:szCs w:val="19"/>
        </w:rPr>
        <w:t xml:space="preserve">  </w:t>
      </w:r>
      <w:r>
        <w:rPr>
          <w:rFonts w:ascii="Times New Roman" w:hAnsi="Times New Roman" w:eastAsia="Times New Roman" w:cs="Times New Roman"/>
          <w:sz w:val="19"/>
          <w:szCs w:val="19"/>
        </w:rPr>
        <w:t>of</w:t>
      </w:r>
      <w:r>
        <w:rPr>
          <w:rFonts w:ascii="Times New Roman" w:hAnsi="Times New Roman" w:eastAsia="Times New Roman" w:cs="Times New Roman"/>
          <w:spacing w:val="11"/>
          <w:sz w:val="19"/>
          <w:szCs w:val="19"/>
        </w:rPr>
        <w:t xml:space="preserve">  </w:t>
      </w:r>
      <w:r>
        <w:rPr>
          <w:rFonts w:ascii="Times New Roman" w:hAnsi="Times New Roman" w:eastAsia="Times New Roman" w:cs="Times New Roman"/>
          <w:sz w:val="19"/>
          <w:szCs w:val="19"/>
        </w:rPr>
        <w:t>difference</w:t>
      </w:r>
      <w:r>
        <w:rPr>
          <w:rFonts w:ascii="Times New Roman" w:hAnsi="Times New Roman" w:eastAsia="Times New Roman" w:cs="Times New Roman"/>
          <w:spacing w:val="11"/>
          <w:sz w:val="19"/>
          <w:szCs w:val="19"/>
        </w:rPr>
        <w:t>)</w:t>
      </w:r>
      <w:r>
        <w:rPr>
          <w:rFonts w:ascii="宋体" w:hAnsi="宋体" w:eastAsia="宋体" w:cs="宋体"/>
          <w:spacing w:val="11"/>
          <w:sz w:val="19"/>
          <w:szCs w:val="19"/>
        </w:rPr>
        <w:t>认为，比较某现象出现的场合和不出现的场合，如果除场合这一点</w:t>
      </w:r>
      <w:r>
        <w:rPr>
          <w:rFonts w:ascii="宋体" w:hAnsi="宋体" w:eastAsia="宋体" w:cs="宋体"/>
          <w:sz w:val="19"/>
          <w:szCs w:val="19"/>
        </w:rPr>
        <w:t xml:space="preserve"> </w:t>
      </w:r>
      <w:r>
        <w:rPr>
          <w:rFonts w:ascii="宋体" w:hAnsi="宋体" w:eastAsia="宋体" w:cs="宋体"/>
          <w:spacing w:val="8"/>
          <w:sz w:val="19"/>
          <w:szCs w:val="19"/>
        </w:rPr>
        <w:t>不同外，其他情况都相同，那么这个不同点就是这个现象的原因。</w:t>
      </w:r>
    </w:p>
    <w:p w14:paraId="7D61D18F">
      <w:pPr>
        <w:spacing w:before="2" w:line="359" w:lineRule="auto"/>
        <w:ind w:left="679" w:right="52" w:firstLine="420"/>
        <w:jc w:val="both"/>
        <w:rPr>
          <w:rFonts w:ascii="宋体" w:hAnsi="宋体" w:eastAsia="宋体" w:cs="宋体"/>
          <w:sz w:val="19"/>
          <w:szCs w:val="19"/>
        </w:rPr>
      </w:pPr>
      <w:r>
        <w:rPr>
          <w:rFonts w:ascii="宋体" w:hAnsi="宋体" w:eastAsia="宋体" w:cs="宋体"/>
          <w:spacing w:val="13"/>
          <w:sz w:val="19"/>
          <w:szCs w:val="19"/>
        </w:rPr>
        <w:t>在病因研究中，如果未患某病的个体与患有某病的个体相比，除了某一因素以外，其他因</w:t>
      </w:r>
      <w:r>
        <w:rPr>
          <w:rFonts w:ascii="宋体" w:hAnsi="宋体" w:eastAsia="宋体" w:cs="宋体"/>
          <w:spacing w:val="12"/>
          <w:sz w:val="19"/>
          <w:szCs w:val="19"/>
        </w:rPr>
        <w:t>素均</w:t>
      </w:r>
      <w:r>
        <w:rPr>
          <w:rFonts w:ascii="宋体" w:hAnsi="宋体" w:eastAsia="宋体" w:cs="宋体"/>
          <w:sz w:val="19"/>
          <w:szCs w:val="19"/>
        </w:rPr>
        <w:t xml:space="preserve"> </w:t>
      </w:r>
      <w:r>
        <w:rPr>
          <w:rFonts w:ascii="宋体" w:hAnsi="宋体" w:eastAsia="宋体" w:cs="宋体"/>
          <w:spacing w:val="13"/>
          <w:sz w:val="19"/>
          <w:szCs w:val="19"/>
        </w:rPr>
        <w:t>相同，那么这个因素可能是该病的病因。求同法关注的</w:t>
      </w:r>
      <w:r>
        <w:rPr>
          <w:rFonts w:ascii="宋体" w:hAnsi="宋体" w:eastAsia="宋体" w:cs="宋体"/>
          <w:spacing w:val="12"/>
          <w:sz w:val="19"/>
          <w:szCs w:val="19"/>
        </w:rPr>
        <w:t>是患某病的人是否都具有某共同特征，求异</w:t>
      </w:r>
      <w:r>
        <w:rPr>
          <w:rFonts w:ascii="宋体" w:hAnsi="宋体" w:eastAsia="宋体" w:cs="宋体"/>
          <w:sz w:val="19"/>
          <w:szCs w:val="19"/>
        </w:rPr>
        <w:t xml:space="preserve"> </w:t>
      </w:r>
      <w:r>
        <w:rPr>
          <w:rFonts w:ascii="宋体" w:hAnsi="宋体" w:eastAsia="宋体" w:cs="宋体"/>
          <w:spacing w:val="11"/>
          <w:sz w:val="19"/>
          <w:szCs w:val="19"/>
        </w:rPr>
        <w:t>法则是通过比较病人和非病人在某特征上的差异。比如两个同学一同就餐，</w:t>
      </w:r>
      <w:r>
        <w:rPr>
          <w:rFonts w:ascii="宋体" w:hAnsi="宋体" w:eastAsia="宋体" w:cs="宋体"/>
          <w:spacing w:val="-17"/>
          <w:sz w:val="19"/>
          <w:szCs w:val="19"/>
        </w:rPr>
        <w:t xml:space="preserve"> </w:t>
      </w:r>
      <w:r>
        <w:rPr>
          <w:rFonts w:ascii="宋体" w:hAnsi="宋体" w:eastAsia="宋体" w:cs="宋体"/>
          <w:spacing w:val="11"/>
          <w:sz w:val="19"/>
          <w:szCs w:val="19"/>
        </w:rPr>
        <w:t>一个同学发生腹泻，另</w:t>
      </w:r>
      <w:r>
        <w:rPr>
          <w:rFonts w:ascii="宋体" w:hAnsi="宋体" w:eastAsia="宋体" w:cs="宋体"/>
          <w:sz w:val="19"/>
          <w:szCs w:val="19"/>
        </w:rPr>
        <w:t xml:space="preserve"> </w:t>
      </w:r>
      <w:r>
        <w:rPr>
          <w:rFonts w:ascii="宋体" w:hAnsi="宋体" w:eastAsia="宋体" w:cs="宋体"/>
          <w:spacing w:val="11"/>
          <w:sz w:val="19"/>
          <w:szCs w:val="19"/>
        </w:rPr>
        <w:t>一个没有，两个同学那餐饭吃的唯一不同的食物是酸奶</w:t>
      </w:r>
      <w:r>
        <w:rPr>
          <w:rFonts w:ascii="宋体" w:hAnsi="宋体" w:eastAsia="宋体" w:cs="宋体"/>
          <w:spacing w:val="10"/>
          <w:sz w:val="19"/>
          <w:szCs w:val="19"/>
        </w:rPr>
        <w:t>，那么酸奶可能是导致腹泻的原因。</w:t>
      </w:r>
    </w:p>
    <w:p w14:paraId="42C2FA30">
      <w:pPr>
        <w:spacing w:before="3" w:line="360" w:lineRule="auto"/>
        <w:ind w:left="679" w:firstLine="420"/>
        <w:jc w:val="both"/>
        <w:rPr>
          <w:rFonts w:ascii="宋体" w:hAnsi="宋体" w:eastAsia="宋体" w:cs="宋体"/>
          <w:sz w:val="19"/>
          <w:szCs w:val="19"/>
        </w:rPr>
      </w:pPr>
      <w:r>
        <w:rPr>
          <w:rFonts w:ascii="宋体" w:hAnsi="宋体" w:eastAsia="宋体" w:cs="宋体"/>
          <w:spacing w:val="12"/>
          <w:sz w:val="19"/>
          <w:szCs w:val="19"/>
        </w:rPr>
        <w:t>同样，求异法中病人和非病人之间“其他因素都相同”的假设在现实中也很难成立。比如，两</w:t>
      </w:r>
      <w:r>
        <w:rPr>
          <w:rFonts w:ascii="宋体" w:hAnsi="宋体" w:eastAsia="宋体" w:cs="宋体"/>
          <w:spacing w:val="2"/>
          <w:sz w:val="19"/>
          <w:szCs w:val="19"/>
        </w:rPr>
        <w:t xml:space="preserve">  </w:t>
      </w:r>
      <w:r>
        <w:rPr>
          <w:rFonts w:ascii="宋体" w:hAnsi="宋体" w:eastAsia="宋体" w:cs="宋体"/>
          <w:spacing w:val="19"/>
          <w:sz w:val="19"/>
          <w:szCs w:val="19"/>
        </w:rPr>
        <w:t>个同学在其他很多方面可能都不一样，求异法不能排除这些因素而肯定酸奶是这次腹泻的原因。</w:t>
      </w:r>
      <w:r>
        <w:rPr>
          <w:rFonts w:ascii="宋体" w:hAnsi="宋体" w:eastAsia="宋体" w:cs="宋体"/>
          <w:spacing w:val="16"/>
          <w:sz w:val="19"/>
          <w:szCs w:val="19"/>
        </w:rPr>
        <w:t xml:space="preserve"> </w:t>
      </w:r>
      <w:r>
        <w:rPr>
          <w:rFonts w:ascii="宋体" w:hAnsi="宋体" w:eastAsia="宋体" w:cs="宋体"/>
          <w:spacing w:val="18"/>
          <w:sz w:val="19"/>
          <w:szCs w:val="19"/>
        </w:rPr>
        <w:t>更重要的是，该法则没有要求这个差异是可</w:t>
      </w:r>
      <w:r>
        <w:rPr>
          <w:rFonts w:ascii="宋体" w:hAnsi="宋体" w:eastAsia="宋体" w:cs="宋体"/>
          <w:spacing w:val="17"/>
          <w:sz w:val="19"/>
          <w:szCs w:val="19"/>
        </w:rPr>
        <w:t>重复的，因此也不能就依此一项法则确定因果关系的</w:t>
      </w:r>
      <w:r>
        <w:rPr>
          <w:rFonts w:ascii="宋体" w:hAnsi="宋体" w:eastAsia="宋体" w:cs="宋体"/>
          <w:sz w:val="19"/>
          <w:szCs w:val="19"/>
        </w:rPr>
        <w:t xml:space="preserve">  </w:t>
      </w:r>
      <w:r>
        <w:rPr>
          <w:rFonts w:ascii="宋体" w:hAnsi="宋体" w:eastAsia="宋体" w:cs="宋体"/>
          <w:spacing w:val="15"/>
          <w:sz w:val="19"/>
          <w:szCs w:val="19"/>
        </w:rPr>
        <w:t>存在。</w:t>
      </w:r>
    </w:p>
    <w:p w14:paraId="3C429671">
      <w:pPr>
        <w:pStyle w:val="2"/>
        <w:spacing w:before="33" w:line="223" w:lineRule="auto"/>
        <w:ind w:left="1102"/>
        <w:rPr>
          <w:sz w:val="19"/>
          <w:szCs w:val="19"/>
        </w:rPr>
      </w:pPr>
      <w:r>
        <w:rPr>
          <w:b/>
          <w:bCs/>
          <w:spacing w:val="-16"/>
          <w:sz w:val="19"/>
          <w:szCs w:val="19"/>
        </w:rPr>
        <w:t>(</w:t>
      </w:r>
      <w:r>
        <w:rPr>
          <w:spacing w:val="-34"/>
          <w:sz w:val="19"/>
          <w:szCs w:val="19"/>
        </w:rPr>
        <w:t xml:space="preserve"> </w:t>
      </w:r>
      <w:r>
        <w:rPr>
          <w:b/>
          <w:bCs/>
          <w:spacing w:val="-16"/>
          <w:sz w:val="19"/>
          <w:szCs w:val="19"/>
        </w:rPr>
        <w:t>三</w:t>
      </w:r>
      <w:r>
        <w:rPr>
          <w:spacing w:val="-45"/>
          <w:sz w:val="19"/>
          <w:szCs w:val="19"/>
        </w:rPr>
        <w:t xml:space="preserve"> </w:t>
      </w:r>
      <w:r>
        <w:rPr>
          <w:b/>
          <w:bCs/>
          <w:spacing w:val="-16"/>
          <w:sz w:val="19"/>
          <w:szCs w:val="19"/>
        </w:rPr>
        <w:t>)</w:t>
      </w:r>
      <w:r>
        <w:rPr>
          <w:spacing w:val="-32"/>
          <w:sz w:val="19"/>
          <w:szCs w:val="19"/>
        </w:rPr>
        <w:t xml:space="preserve"> </w:t>
      </w:r>
      <w:r>
        <w:rPr>
          <w:b/>
          <w:bCs/>
          <w:spacing w:val="-16"/>
          <w:sz w:val="19"/>
          <w:szCs w:val="19"/>
        </w:rPr>
        <w:t>同</w:t>
      </w:r>
      <w:r>
        <w:rPr>
          <w:spacing w:val="-39"/>
          <w:sz w:val="19"/>
          <w:szCs w:val="19"/>
        </w:rPr>
        <w:t xml:space="preserve"> </w:t>
      </w:r>
      <w:r>
        <w:rPr>
          <w:b/>
          <w:bCs/>
          <w:spacing w:val="-16"/>
          <w:sz w:val="19"/>
          <w:szCs w:val="19"/>
        </w:rPr>
        <w:t>异</w:t>
      </w:r>
      <w:r>
        <w:rPr>
          <w:spacing w:val="-40"/>
          <w:sz w:val="19"/>
          <w:szCs w:val="19"/>
        </w:rPr>
        <w:t xml:space="preserve"> </w:t>
      </w:r>
      <w:r>
        <w:rPr>
          <w:b/>
          <w:bCs/>
          <w:spacing w:val="-16"/>
          <w:sz w:val="19"/>
          <w:szCs w:val="19"/>
        </w:rPr>
        <w:t>共</w:t>
      </w:r>
      <w:r>
        <w:rPr>
          <w:spacing w:val="-41"/>
          <w:sz w:val="19"/>
          <w:szCs w:val="19"/>
        </w:rPr>
        <w:t xml:space="preserve"> </w:t>
      </w:r>
      <w:r>
        <w:rPr>
          <w:b/>
          <w:bCs/>
          <w:spacing w:val="-16"/>
          <w:sz w:val="19"/>
          <w:szCs w:val="19"/>
        </w:rPr>
        <w:t>求</w:t>
      </w:r>
      <w:r>
        <w:rPr>
          <w:spacing w:val="-40"/>
          <w:sz w:val="19"/>
          <w:szCs w:val="19"/>
        </w:rPr>
        <w:t xml:space="preserve"> </w:t>
      </w:r>
      <w:r>
        <w:rPr>
          <w:b/>
          <w:bCs/>
          <w:spacing w:val="-16"/>
          <w:sz w:val="19"/>
          <w:szCs w:val="19"/>
        </w:rPr>
        <w:t>法</w:t>
      </w:r>
    </w:p>
    <w:p w14:paraId="5D355A9B">
      <w:pPr>
        <w:spacing w:before="81" w:line="373" w:lineRule="auto"/>
        <w:ind w:left="679" w:right="87" w:firstLine="420"/>
        <w:jc w:val="both"/>
        <w:rPr>
          <w:rFonts w:ascii="宋体" w:hAnsi="宋体" w:eastAsia="宋体" w:cs="宋体"/>
          <w:sz w:val="19"/>
          <w:szCs w:val="19"/>
        </w:rPr>
      </w:pPr>
      <w:r>
        <w:rPr>
          <w:rFonts w:ascii="宋体" w:hAnsi="宋体" w:eastAsia="宋体" w:cs="宋体"/>
          <w:spacing w:val="11"/>
          <w:sz w:val="19"/>
          <w:szCs w:val="19"/>
        </w:rPr>
        <w:t>同异共求法</w:t>
      </w:r>
      <w:r>
        <w:rPr>
          <w:rFonts w:ascii="Times New Roman" w:hAnsi="Times New Roman" w:eastAsia="Times New Roman" w:cs="Times New Roman"/>
          <w:spacing w:val="11"/>
          <w:sz w:val="19"/>
          <w:szCs w:val="19"/>
        </w:rPr>
        <w:t>(</w:t>
      </w:r>
      <w:r>
        <w:rPr>
          <w:rFonts w:ascii="Times New Roman" w:hAnsi="Times New Roman" w:eastAsia="Times New Roman" w:cs="Times New Roman"/>
          <w:sz w:val="19"/>
          <w:szCs w:val="19"/>
        </w:rPr>
        <w:t>joint</w:t>
      </w:r>
      <w:r>
        <w:rPr>
          <w:rFonts w:ascii="Times New Roman" w:hAnsi="Times New Roman" w:eastAsia="Times New Roman" w:cs="Times New Roman"/>
          <w:spacing w:val="17"/>
          <w:w w:val="101"/>
          <w:sz w:val="19"/>
          <w:szCs w:val="19"/>
        </w:rPr>
        <w:t xml:space="preserve">  </w:t>
      </w:r>
      <w:r>
        <w:rPr>
          <w:rFonts w:ascii="Times New Roman" w:hAnsi="Times New Roman" w:eastAsia="Times New Roman" w:cs="Times New Roman"/>
          <w:sz w:val="19"/>
          <w:szCs w:val="19"/>
        </w:rPr>
        <w:t>methods</w:t>
      </w:r>
      <w:r>
        <w:rPr>
          <w:rFonts w:ascii="Times New Roman" w:hAnsi="Times New Roman" w:eastAsia="Times New Roman" w:cs="Times New Roman"/>
          <w:spacing w:val="18"/>
          <w:sz w:val="19"/>
          <w:szCs w:val="19"/>
        </w:rPr>
        <w:t xml:space="preserve">  </w:t>
      </w:r>
      <w:r>
        <w:rPr>
          <w:rFonts w:ascii="Times New Roman" w:hAnsi="Times New Roman" w:eastAsia="Times New Roman" w:cs="Times New Roman"/>
          <w:sz w:val="19"/>
          <w:szCs w:val="19"/>
        </w:rPr>
        <w:t>of</w:t>
      </w:r>
      <w:r>
        <w:rPr>
          <w:rFonts w:ascii="Times New Roman" w:hAnsi="Times New Roman" w:eastAsia="Times New Roman" w:cs="Times New Roman"/>
          <w:spacing w:val="11"/>
          <w:sz w:val="19"/>
          <w:szCs w:val="19"/>
        </w:rPr>
        <w:t xml:space="preserve">  </w:t>
      </w:r>
      <w:r>
        <w:rPr>
          <w:rFonts w:ascii="Times New Roman" w:hAnsi="Times New Roman" w:eastAsia="Times New Roman" w:cs="Times New Roman"/>
          <w:sz w:val="19"/>
          <w:szCs w:val="19"/>
        </w:rPr>
        <w:t>agreement</w:t>
      </w:r>
      <w:r>
        <w:rPr>
          <w:rFonts w:ascii="Times New Roman" w:hAnsi="Times New Roman" w:eastAsia="Times New Roman" w:cs="Times New Roman"/>
          <w:spacing w:val="18"/>
          <w:w w:val="101"/>
          <w:sz w:val="19"/>
          <w:szCs w:val="19"/>
        </w:rPr>
        <w:t xml:space="preserve">  </w:t>
      </w:r>
      <w:r>
        <w:rPr>
          <w:rFonts w:ascii="Times New Roman" w:hAnsi="Times New Roman" w:eastAsia="Times New Roman" w:cs="Times New Roman"/>
          <w:sz w:val="19"/>
          <w:szCs w:val="19"/>
        </w:rPr>
        <w:t>and</w:t>
      </w:r>
      <w:r>
        <w:rPr>
          <w:rFonts w:ascii="Times New Roman" w:hAnsi="Times New Roman" w:eastAsia="Times New Roman" w:cs="Times New Roman"/>
          <w:spacing w:val="17"/>
          <w:w w:val="101"/>
          <w:sz w:val="19"/>
          <w:szCs w:val="19"/>
        </w:rPr>
        <w:t xml:space="preserve">  </w:t>
      </w:r>
      <w:r>
        <w:rPr>
          <w:rFonts w:ascii="Times New Roman" w:hAnsi="Times New Roman" w:eastAsia="Times New Roman" w:cs="Times New Roman"/>
          <w:sz w:val="19"/>
          <w:szCs w:val="19"/>
        </w:rPr>
        <w:t>difference</w:t>
      </w:r>
      <w:r>
        <w:rPr>
          <w:rFonts w:ascii="Times New Roman" w:hAnsi="Times New Roman" w:eastAsia="Times New Roman" w:cs="Times New Roman"/>
          <w:spacing w:val="11"/>
          <w:sz w:val="19"/>
          <w:szCs w:val="19"/>
        </w:rPr>
        <w:t>,</w:t>
      </w:r>
      <w:r>
        <w:rPr>
          <w:rFonts w:ascii="宋体" w:hAnsi="宋体" w:eastAsia="宋体" w:cs="宋体"/>
          <w:spacing w:val="11"/>
          <w:sz w:val="19"/>
          <w:szCs w:val="19"/>
        </w:rPr>
        <w:t>简称共求法)认为，如果某被考察的现象</w:t>
      </w:r>
      <w:r>
        <w:rPr>
          <w:rFonts w:ascii="宋体" w:hAnsi="宋体" w:eastAsia="宋体" w:cs="宋体"/>
          <w:sz w:val="19"/>
          <w:szCs w:val="19"/>
        </w:rPr>
        <w:t xml:space="preserve"> </w:t>
      </w:r>
      <w:r>
        <w:rPr>
          <w:rFonts w:ascii="宋体" w:hAnsi="宋体" w:eastAsia="宋体" w:cs="宋体"/>
          <w:spacing w:val="18"/>
          <w:sz w:val="19"/>
          <w:szCs w:val="19"/>
        </w:rPr>
        <w:t xml:space="preserve">出现的各种场合只有一个共同的因素(求同),而这个被考察的现象不出现的各个场合都没有这个 </w:t>
      </w:r>
      <w:r>
        <w:rPr>
          <w:rFonts w:ascii="宋体" w:hAnsi="宋体" w:eastAsia="宋体" w:cs="宋体"/>
          <w:spacing w:val="16"/>
          <w:sz w:val="19"/>
          <w:szCs w:val="19"/>
        </w:rPr>
        <w:t>共同的因素(求同),那么,这个共同的因素(多次求异)就是</w:t>
      </w:r>
      <w:r>
        <w:rPr>
          <w:rFonts w:ascii="宋体" w:hAnsi="宋体" w:eastAsia="宋体" w:cs="宋体"/>
          <w:spacing w:val="15"/>
          <w:sz w:val="19"/>
          <w:szCs w:val="19"/>
        </w:rPr>
        <w:t>被考察现象的原因。</w:t>
      </w:r>
    </w:p>
    <w:p w14:paraId="05CC3059">
      <w:pPr>
        <w:spacing w:line="361" w:lineRule="auto"/>
        <w:ind w:left="679" w:right="75" w:firstLine="420"/>
        <w:jc w:val="both"/>
        <w:rPr>
          <w:rFonts w:ascii="宋体" w:hAnsi="宋体" w:eastAsia="宋体" w:cs="宋体"/>
          <w:sz w:val="19"/>
          <w:szCs w:val="19"/>
        </w:rPr>
      </w:pPr>
      <w:r>
        <w:rPr>
          <w:rFonts w:ascii="宋体" w:hAnsi="宋体" w:eastAsia="宋体" w:cs="宋体"/>
          <w:spacing w:val="8"/>
          <w:sz w:val="19"/>
          <w:szCs w:val="19"/>
        </w:rPr>
        <w:t>在病因研究中，当患病个体中均具有而且只具有一个共</w:t>
      </w:r>
      <w:r>
        <w:rPr>
          <w:rFonts w:ascii="宋体" w:hAnsi="宋体" w:eastAsia="宋体" w:cs="宋体"/>
          <w:spacing w:val="7"/>
          <w:sz w:val="19"/>
          <w:szCs w:val="19"/>
        </w:rPr>
        <w:t>同因素，非患病个体中均没有该因素，即</w:t>
      </w:r>
      <w:r>
        <w:rPr>
          <w:rFonts w:ascii="宋体" w:hAnsi="宋体" w:eastAsia="宋体" w:cs="宋体"/>
          <w:sz w:val="19"/>
          <w:szCs w:val="19"/>
        </w:rPr>
        <w:t xml:space="preserve"> </w:t>
      </w:r>
      <w:r>
        <w:rPr>
          <w:rFonts w:ascii="宋体" w:hAnsi="宋体" w:eastAsia="宋体" w:cs="宋体"/>
          <w:spacing w:val="8"/>
          <w:sz w:val="19"/>
          <w:szCs w:val="19"/>
        </w:rPr>
        <w:t>患病组和非患病组相比，唯一区别就是该因素时，那么该因素有可能是该病病因。例如，发现腹泻的</w:t>
      </w:r>
      <w:r>
        <w:rPr>
          <w:rFonts w:ascii="宋体" w:hAnsi="宋体" w:eastAsia="宋体" w:cs="宋体"/>
          <w:spacing w:val="2"/>
          <w:sz w:val="19"/>
          <w:szCs w:val="19"/>
        </w:rPr>
        <w:t xml:space="preserve"> </w:t>
      </w:r>
      <w:r>
        <w:rPr>
          <w:rFonts w:ascii="宋体" w:hAnsi="宋体" w:eastAsia="宋体" w:cs="宋体"/>
          <w:spacing w:val="11"/>
          <w:sz w:val="19"/>
          <w:szCs w:val="19"/>
        </w:rPr>
        <w:t>学生都吃过酸奶，而在同一食堂就餐但没发生腹泻的学生都没有吃酸奶，酸奶</w:t>
      </w:r>
      <w:r>
        <w:rPr>
          <w:rFonts w:ascii="宋体" w:hAnsi="宋体" w:eastAsia="宋体" w:cs="宋体"/>
          <w:spacing w:val="10"/>
          <w:sz w:val="19"/>
          <w:szCs w:val="19"/>
        </w:rPr>
        <w:t>可能是腹泻的病因。</w:t>
      </w:r>
    </w:p>
    <w:p w14:paraId="337569B5">
      <w:pPr>
        <w:spacing w:before="4" w:line="340" w:lineRule="auto"/>
        <w:ind w:left="679" w:right="85" w:firstLine="420"/>
        <w:jc w:val="both"/>
        <w:rPr>
          <w:rFonts w:ascii="宋体" w:hAnsi="宋体" w:eastAsia="宋体" w:cs="宋体"/>
          <w:sz w:val="19"/>
          <w:szCs w:val="19"/>
        </w:rPr>
      </w:pPr>
      <w:r>
        <w:rPr>
          <w:rFonts w:ascii="宋体" w:hAnsi="宋体" w:eastAsia="宋体" w:cs="宋体"/>
          <w:spacing w:val="17"/>
          <w:sz w:val="19"/>
          <w:szCs w:val="19"/>
        </w:rPr>
        <w:t>共求法不是求同法和求异法简单的联合使用，它是围绕同一个可疑因素的两次求同和多次求</w:t>
      </w:r>
      <w:r>
        <w:rPr>
          <w:rFonts w:ascii="宋体" w:hAnsi="宋体" w:eastAsia="宋体" w:cs="宋体"/>
          <w:spacing w:val="8"/>
          <w:sz w:val="19"/>
          <w:szCs w:val="19"/>
        </w:rPr>
        <w:t xml:space="preserve"> </w:t>
      </w:r>
      <w:r>
        <w:rPr>
          <w:rFonts w:ascii="宋体" w:hAnsi="宋体" w:eastAsia="宋体" w:cs="宋体"/>
          <w:spacing w:val="17"/>
          <w:sz w:val="19"/>
          <w:szCs w:val="19"/>
        </w:rPr>
        <w:t>异的联合使用。共求法是在同一个研究中引入对照的逻辑基础，大大提高了求同法或求异法初步</w:t>
      </w:r>
      <w:r>
        <w:rPr>
          <w:rFonts w:ascii="宋体" w:hAnsi="宋体" w:eastAsia="宋体" w:cs="宋体"/>
          <w:spacing w:val="14"/>
          <w:sz w:val="19"/>
          <w:szCs w:val="19"/>
        </w:rPr>
        <w:t xml:space="preserve"> </w:t>
      </w:r>
      <w:r>
        <w:rPr>
          <w:rFonts w:ascii="宋体" w:hAnsi="宋体" w:eastAsia="宋体" w:cs="宋体"/>
          <w:spacing w:val="13"/>
          <w:sz w:val="19"/>
          <w:szCs w:val="19"/>
        </w:rPr>
        <w:t>锁定的原因的可能性。</w:t>
      </w:r>
    </w:p>
    <w:p w14:paraId="05659A13">
      <w:pPr>
        <w:pStyle w:val="2"/>
        <w:spacing w:before="1" w:line="221" w:lineRule="auto"/>
        <w:ind w:left="1103"/>
        <w:rPr>
          <w:sz w:val="24"/>
          <w:szCs w:val="24"/>
        </w:rPr>
      </w:pPr>
      <w:r>
        <w:rPr>
          <w:b/>
          <w:bCs/>
          <w:spacing w:val="-10"/>
          <w:sz w:val="24"/>
          <w:szCs w:val="24"/>
        </w:rPr>
        <w:t>(四)共变法</w:t>
      </w:r>
    </w:p>
    <w:p w14:paraId="209B6A30">
      <w:pPr>
        <w:spacing w:before="112" w:line="198" w:lineRule="auto"/>
        <w:ind w:left="1070"/>
        <w:rPr>
          <w:rFonts w:ascii="宋体" w:hAnsi="宋体" w:eastAsia="宋体" w:cs="宋体"/>
          <w:sz w:val="19"/>
          <w:szCs w:val="19"/>
        </w:rPr>
      </w:pPr>
      <w:r>
        <w:rPr>
          <w:rFonts w:ascii="宋体" w:hAnsi="宋体" w:eastAsia="宋体" w:cs="宋体"/>
          <w:spacing w:val="8"/>
          <w:sz w:val="19"/>
          <w:szCs w:val="19"/>
        </w:rPr>
        <w:t>共变法</w:t>
      </w:r>
      <w:r>
        <w:rPr>
          <w:rFonts w:ascii="Times New Roman" w:hAnsi="Times New Roman" w:eastAsia="Times New Roman" w:cs="Times New Roman"/>
          <w:spacing w:val="8"/>
          <w:sz w:val="19"/>
          <w:szCs w:val="19"/>
        </w:rPr>
        <w:t>(</w:t>
      </w:r>
      <w:r>
        <w:rPr>
          <w:rFonts w:ascii="Times New Roman" w:hAnsi="Times New Roman" w:eastAsia="Times New Roman" w:cs="Times New Roman"/>
          <w:sz w:val="19"/>
          <w:szCs w:val="19"/>
        </w:rPr>
        <w:t>method</w:t>
      </w:r>
      <w:r>
        <w:rPr>
          <w:rFonts w:ascii="Times New Roman" w:hAnsi="Times New Roman" w:eastAsia="Times New Roman" w:cs="Times New Roman"/>
          <w:spacing w:val="6"/>
          <w:sz w:val="19"/>
          <w:szCs w:val="19"/>
        </w:rPr>
        <w:t xml:space="preserve">   </w:t>
      </w:r>
      <w:r>
        <w:rPr>
          <w:rFonts w:ascii="Times New Roman" w:hAnsi="Times New Roman" w:eastAsia="Times New Roman" w:cs="Times New Roman"/>
          <w:sz w:val="19"/>
          <w:szCs w:val="19"/>
        </w:rPr>
        <w:t>of</w:t>
      </w:r>
      <w:r>
        <w:rPr>
          <w:rFonts w:ascii="Times New Roman" w:hAnsi="Times New Roman" w:eastAsia="Times New Roman" w:cs="Times New Roman"/>
          <w:spacing w:val="15"/>
          <w:w w:val="101"/>
          <w:sz w:val="19"/>
          <w:szCs w:val="19"/>
        </w:rPr>
        <w:t xml:space="preserve">  </w:t>
      </w:r>
      <w:r>
        <w:rPr>
          <w:rFonts w:ascii="Times New Roman" w:hAnsi="Times New Roman" w:eastAsia="Times New Roman" w:cs="Times New Roman"/>
          <w:sz w:val="19"/>
          <w:szCs w:val="19"/>
        </w:rPr>
        <w:t>concomitant</w:t>
      </w:r>
      <w:r>
        <w:rPr>
          <w:rFonts w:ascii="Times New Roman" w:hAnsi="Times New Roman" w:eastAsia="Times New Roman" w:cs="Times New Roman"/>
          <w:spacing w:val="22"/>
          <w:w w:val="101"/>
          <w:sz w:val="19"/>
          <w:szCs w:val="19"/>
        </w:rPr>
        <w:t xml:space="preserve">  </w:t>
      </w:r>
      <w:r>
        <w:rPr>
          <w:rFonts w:ascii="Times New Roman" w:hAnsi="Times New Roman" w:eastAsia="Times New Roman" w:cs="Times New Roman"/>
          <w:sz w:val="19"/>
          <w:szCs w:val="19"/>
        </w:rPr>
        <w:t>variations</w:t>
      </w:r>
      <w:r>
        <w:rPr>
          <w:rFonts w:ascii="Times New Roman" w:hAnsi="Times New Roman" w:eastAsia="Times New Roman" w:cs="Times New Roman"/>
          <w:spacing w:val="8"/>
          <w:sz w:val="19"/>
          <w:szCs w:val="19"/>
        </w:rPr>
        <w:t>)</w:t>
      </w:r>
      <w:r>
        <w:rPr>
          <w:rFonts w:ascii="宋体" w:hAnsi="宋体" w:eastAsia="宋体" w:cs="宋体"/>
          <w:spacing w:val="8"/>
          <w:sz w:val="19"/>
          <w:szCs w:val="19"/>
        </w:rPr>
        <w:t>认为，当某一现象存在一种变异或发生一种变化时，另</w:t>
      </w:r>
    </w:p>
    <w:p w14:paraId="4103C7FA">
      <w:pPr>
        <w:spacing w:line="198" w:lineRule="auto"/>
        <w:rPr>
          <w:rFonts w:ascii="宋体" w:hAnsi="宋体" w:eastAsia="宋体" w:cs="宋体"/>
          <w:sz w:val="19"/>
          <w:szCs w:val="19"/>
        </w:rPr>
        <w:sectPr>
          <w:type w:val="continuous"/>
          <w:pgSz w:w="11900" w:h="16820"/>
          <w:pgMar w:top="400" w:right="1534" w:bottom="842" w:left="890" w:header="0" w:footer="671" w:gutter="0"/>
          <w:cols w:equalWidth="0" w:num="1">
            <w:col w:w="9476"/>
          </w:cols>
        </w:sectPr>
      </w:pPr>
    </w:p>
    <w:p w14:paraId="3526FA48">
      <w:pPr>
        <w:spacing w:line="249" w:lineRule="auto"/>
        <w:rPr>
          <w:rFonts w:ascii="Arial"/>
          <w:sz w:val="21"/>
        </w:rPr>
      </w:pPr>
    </w:p>
    <w:p w14:paraId="37F46D18">
      <w:pPr>
        <w:pStyle w:val="2"/>
        <w:spacing w:before="65" w:line="221" w:lineRule="auto"/>
        <w:ind w:left="6750"/>
        <w:rPr>
          <w:sz w:val="20"/>
          <w:szCs w:val="20"/>
        </w:rPr>
      </w:pPr>
      <w:bookmarkStart w:id="248" w:name="bookmark486"/>
      <w:bookmarkEnd w:id="248"/>
      <w:r>
        <w:rPr>
          <w:spacing w:val="-17"/>
          <w:sz w:val="20"/>
          <w:szCs w:val="20"/>
        </w:rPr>
        <w:t>第八章病因及其发现和推断</w:t>
      </w:r>
    </w:p>
    <w:p w14:paraId="58591119">
      <w:pPr>
        <w:spacing w:line="275" w:lineRule="auto"/>
        <w:rPr>
          <w:rFonts w:ascii="Arial"/>
          <w:sz w:val="21"/>
        </w:rPr>
      </w:pPr>
    </w:p>
    <w:p w14:paraId="57290D0D">
      <w:pPr>
        <w:spacing w:line="275" w:lineRule="auto"/>
        <w:rPr>
          <w:rFonts w:ascii="Arial"/>
          <w:sz w:val="21"/>
        </w:rPr>
      </w:pPr>
    </w:p>
    <w:p w14:paraId="2906B58A">
      <w:pPr>
        <w:spacing w:before="65" w:line="352" w:lineRule="auto"/>
        <w:ind w:right="654"/>
        <w:rPr>
          <w:rFonts w:ascii="宋体" w:hAnsi="宋体" w:eastAsia="宋体" w:cs="宋体"/>
          <w:sz w:val="20"/>
          <w:szCs w:val="20"/>
        </w:rPr>
      </w:pPr>
      <w:r>
        <w:rPr>
          <w:rFonts w:ascii="宋体" w:hAnsi="宋体" w:eastAsia="宋体" w:cs="宋体"/>
          <w:spacing w:val="10"/>
          <w:sz w:val="20"/>
          <w:szCs w:val="20"/>
        </w:rPr>
        <w:t>一现象相应存在变异或随之发生变化，且不论后者的变异和变化是什么,那</w:t>
      </w:r>
      <w:r>
        <w:rPr>
          <w:rFonts w:ascii="宋体" w:hAnsi="宋体" w:eastAsia="宋体" w:cs="宋体"/>
          <w:spacing w:val="9"/>
          <w:sz w:val="20"/>
          <w:szCs w:val="20"/>
        </w:rPr>
        <w:t>么二者间可能存在因果</w:t>
      </w:r>
      <w:r>
        <w:rPr>
          <w:rFonts w:ascii="宋体" w:hAnsi="宋体" w:eastAsia="宋体" w:cs="宋体"/>
          <w:sz w:val="20"/>
          <w:szCs w:val="20"/>
        </w:rPr>
        <w:t xml:space="preserve"> </w:t>
      </w:r>
      <w:r>
        <w:rPr>
          <w:rFonts w:ascii="宋体" w:hAnsi="宋体" w:eastAsia="宋体" w:cs="宋体"/>
          <w:spacing w:val="13"/>
          <w:sz w:val="20"/>
          <w:szCs w:val="20"/>
        </w:rPr>
        <w:t>关系。</w:t>
      </w:r>
    </w:p>
    <w:p w14:paraId="39106E2D">
      <w:pPr>
        <w:spacing w:before="1" w:line="332" w:lineRule="auto"/>
        <w:ind w:right="636" w:firstLine="439"/>
        <w:rPr>
          <w:rFonts w:ascii="宋体" w:hAnsi="宋体" w:eastAsia="宋体" w:cs="宋体"/>
          <w:sz w:val="20"/>
          <w:szCs w:val="20"/>
        </w:rPr>
      </w:pPr>
      <w:r>
        <w:rPr>
          <w:rFonts w:ascii="宋体" w:hAnsi="宋体" w:eastAsia="宋体" w:cs="宋体"/>
          <w:spacing w:val="7"/>
          <w:sz w:val="20"/>
          <w:szCs w:val="20"/>
        </w:rPr>
        <w:t>最简单的变化是从无到有或从有到无，这是共求法里已经解决的问题。因此，共变法强调的是</w:t>
      </w:r>
      <w:r>
        <w:rPr>
          <w:rFonts w:ascii="宋体" w:hAnsi="宋体" w:eastAsia="宋体" w:cs="宋体"/>
          <w:spacing w:val="12"/>
          <w:sz w:val="20"/>
          <w:szCs w:val="20"/>
        </w:rPr>
        <w:t xml:space="preserve"> </w:t>
      </w:r>
      <w:r>
        <w:rPr>
          <w:rFonts w:ascii="宋体" w:hAnsi="宋体" w:eastAsia="宋体" w:cs="宋体"/>
          <w:spacing w:val="8"/>
          <w:sz w:val="20"/>
          <w:szCs w:val="20"/>
        </w:rPr>
        <w:t>对剂量-反应关系的考量。当剂量-反应关系存在时，因果关系存在的可能性更大。</w:t>
      </w:r>
    </w:p>
    <w:p w14:paraId="6B432860">
      <w:pPr>
        <w:spacing w:before="1" w:line="340" w:lineRule="auto"/>
        <w:ind w:right="657" w:firstLine="439"/>
        <w:rPr>
          <w:rFonts w:ascii="宋体" w:hAnsi="宋体" w:eastAsia="宋体" w:cs="宋体"/>
          <w:sz w:val="20"/>
          <w:szCs w:val="20"/>
        </w:rPr>
      </w:pPr>
      <w:r>
        <w:rPr>
          <w:rFonts w:ascii="宋体" w:hAnsi="宋体" w:eastAsia="宋体" w:cs="宋体"/>
          <w:spacing w:val="12"/>
          <w:sz w:val="20"/>
          <w:szCs w:val="20"/>
        </w:rPr>
        <w:t>上述例子中如果吃酸奶多比吃酸奶少的学生腹泻更严重或者发生率更高，说明共变关</w:t>
      </w:r>
      <w:r>
        <w:rPr>
          <w:rFonts w:ascii="宋体" w:hAnsi="宋体" w:eastAsia="宋体" w:cs="宋体"/>
          <w:spacing w:val="11"/>
          <w:sz w:val="20"/>
          <w:szCs w:val="20"/>
        </w:rPr>
        <w:t>系的存</w:t>
      </w:r>
      <w:r>
        <w:rPr>
          <w:rFonts w:ascii="宋体" w:hAnsi="宋体" w:eastAsia="宋体" w:cs="宋体"/>
          <w:sz w:val="20"/>
          <w:szCs w:val="20"/>
        </w:rPr>
        <w:t xml:space="preserve"> </w:t>
      </w:r>
      <w:r>
        <w:rPr>
          <w:rFonts w:ascii="宋体" w:hAnsi="宋体" w:eastAsia="宋体" w:cs="宋体"/>
          <w:spacing w:val="6"/>
          <w:sz w:val="20"/>
          <w:szCs w:val="20"/>
        </w:rPr>
        <w:t>在，因果关系存在的可能性更大。</w:t>
      </w:r>
    </w:p>
    <w:p w14:paraId="0B894C1E">
      <w:pPr>
        <w:pStyle w:val="2"/>
        <w:spacing w:line="222" w:lineRule="auto"/>
        <w:ind w:left="443"/>
        <w:rPr>
          <w:sz w:val="25"/>
          <w:szCs w:val="25"/>
        </w:rPr>
      </w:pPr>
      <w:r>
        <w:rPr>
          <w:b/>
          <w:bCs/>
          <w:spacing w:val="-4"/>
          <w:sz w:val="25"/>
          <w:szCs w:val="25"/>
        </w:rPr>
        <w:t>(五)剩余法</w:t>
      </w:r>
    </w:p>
    <w:p w14:paraId="05EB4433">
      <w:pPr>
        <w:spacing w:before="52" w:line="340" w:lineRule="auto"/>
        <w:ind w:right="649" w:firstLine="439"/>
        <w:jc w:val="both"/>
        <w:rPr>
          <w:rFonts w:ascii="宋体" w:hAnsi="宋体" w:eastAsia="宋体" w:cs="宋体"/>
          <w:sz w:val="20"/>
          <w:szCs w:val="20"/>
        </w:rPr>
      </w:pPr>
      <w:r>
        <w:rPr>
          <w:rFonts w:ascii="宋体" w:hAnsi="宋体" w:eastAsia="宋体" w:cs="宋体"/>
          <w:spacing w:val="5"/>
          <w:sz w:val="20"/>
          <w:szCs w:val="20"/>
        </w:rPr>
        <w:t>剩余法</w:t>
      </w:r>
      <w:r>
        <w:rPr>
          <w:rFonts w:ascii="Times New Roman" w:hAnsi="Times New Roman" w:eastAsia="Times New Roman" w:cs="Times New Roman"/>
          <w:spacing w:val="5"/>
          <w:sz w:val="20"/>
          <w:szCs w:val="20"/>
        </w:rPr>
        <w:t>(</w:t>
      </w:r>
      <w:r>
        <w:rPr>
          <w:rFonts w:ascii="Times New Roman" w:hAnsi="Times New Roman" w:eastAsia="Times New Roman" w:cs="Times New Roman"/>
          <w:sz w:val="20"/>
          <w:szCs w:val="20"/>
        </w:rPr>
        <w:t>method</w:t>
      </w:r>
      <w:r>
        <w:rPr>
          <w:rFonts w:ascii="Times New Roman" w:hAnsi="Times New Roman" w:eastAsia="Times New Roman" w:cs="Times New Roman"/>
          <w:spacing w:val="18"/>
          <w:sz w:val="20"/>
          <w:szCs w:val="20"/>
        </w:rPr>
        <w:t xml:space="preserve">  </w:t>
      </w:r>
      <w:r>
        <w:rPr>
          <w:rFonts w:ascii="Times New Roman" w:hAnsi="Times New Roman" w:eastAsia="Times New Roman" w:cs="Times New Roman"/>
          <w:sz w:val="20"/>
          <w:szCs w:val="20"/>
        </w:rPr>
        <w:t>of</w:t>
      </w:r>
      <w:r>
        <w:rPr>
          <w:rFonts w:ascii="Times New Roman" w:hAnsi="Times New Roman" w:eastAsia="Times New Roman" w:cs="Times New Roman"/>
          <w:spacing w:val="5"/>
          <w:sz w:val="20"/>
          <w:szCs w:val="20"/>
        </w:rPr>
        <w:t xml:space="preserve">  </w:t>
      </w:r>
      <w:r>
        <w:rPr>
          <w:rFonts w:ascii="Times New Roman" w:hAnsi="Times New Roman" w:eastAsia="Times New Roman" w:cs="Times New Roman"/>
          <w:sz w:val="20"/>
          <w:szCs w:val="20"/>
        </w:rPr>
        <w:t>residue</w:t>
      </w:r>
      <w:r>
        <w:rPr>
          <w:rFonts w:ascii="Times New Roman" w:hAnsi="Times New Roman" w:eastAsia="Times New Roman" w:cs="Times New Roman"/>
          <w:spacing w:val="5"/>
          <w:sz w:val="20"/>
          <w:szCs w:val="20"/>
        </w:rPr>
        <w:t>)</w:t>
      </w:r>
      <w:r>
        <w:rPr>
          <w:rFonts w:ascii="宋体" w:hAnsi="宋体" w:eastAsia="宋体" w:cs="宋体"/>
          <w:spacing w:val="5"/>
          <w:sz w:val="20"/>
          <w:szCs w:val="20"/>
        </w:rPr>
        <w:t>认为，如果某一复合现象已确</w:t>
      </w:r>
      <w:r>
        <w:rPr>
          <w:rFonts w:ascii="宋体" w:hAnsi="宋体" w:eastAsia="宋体" w:cs="宋体"/>
          <w:spacing w:val="4"/>
          <w:sz w:val="20"/>
          <w:szCs w:val="20"/>
        </w:rPr>
        <w:t>定是由某种复合原因引起的，把其中已</w:t>
      </w:r>
      <w:r>
        <w:rPr>
          <w:rFonts w:ascii="宋体" w:hAnsi="宋体" w:eastAsia="宋体" w:cs="宋体"/>
          <w:sz w:val="20"/>
          <w:szCs w:val="20"/>
        </w:rPr>
        <w:t xml:space="preserve"> </w:t>
      </w:r>
      <w:r>
        <w:rPr>
          <w:rFonts w:ascii="宋体" w:hAnsi="宋体" w:eastAsia="宋体" w:cs="宋体"/>
          <w:spacing w:val="10"/>
          <w:sz w:val="20"/>
          <w:szCs w:val="20"/>
        </w:rPr>
        <w:t>确认有因果联系的部分减去，那么,剩余部分也必有因果联系。例如，居</w:t>
      </w:r>
      <w:r>
        <w:rPr>
          <w:rFonts w:ascii="宋体" w:hAnsi="宋体" w:eastAsia="宋体" w:cs="宋体"/>
          <w:spacing w:val="9"/>
          <w:sz w:val="20"/>
          <w:szCs w:val="20"/>
        </w:rPr>
        <w:t>里夫人及其丈夫为了研究</w:t>
      </w:r>
      <w:r>
        <w:rPr>
          <w:rFonts w:ascii="宋体" w:hAnsi="宋体" w:eastAsia="宋体" w:cs="宋体"/>
          <w:sz w:val="20"/>
          <w:szCs w:val="20"/>
        </w:rPr>
        <w:t xml:space="preserve"> </w:t>
      </w:r>
      <w:r>
        <w:rPr>
          <w:rFonts w:ascii="宋体" w:hAnsi="宋体" w:eastAsia="宋体" w:cs="宋体"/>
          <w:spacing w:val="7"/>
          <w:sz w:val="20"/>
          <w:szCs w:val="20"/>
        </w:rPr>
        <w:t>一批沥青铀矿样品中是否含有值得提炼的铀，对其含铀量进行了测定，并发现有几块样品的放射性</w:t>
      </w:r>
      <w:r>
        <w:rPr>
          <w:rFonts w:ascii="宋体" w:hAnsi="宋体" w:eastAsia="宋体" w:cs="宋体"/>
          <w:spacing w:val="15"/>
          <w:sz w:val="20"/>
          <w:szCs w:val="20"/>
        </w:rPr>
        <w:t xml:space="preserve"> </w:t>
      </w:r>
      <w:r>
        <w:rPr>
          <w:rFonts w:ascii="宋体" w:hAnsi="宋体" w:eastAsia="宋体" w:cs="宋体"/>
          <w:spacing w:val="7"/>
          <w:sz w:val="20"/>
          <w:szCs w:val="20"/>
        </w:rPr>
        <w:t>甚至比纯铀的还要大。利用剩余法推测，在这些沥青铀矿中一定存在别的放射性元素，而且这些未</w:t>
      </w:r>
      <w:r>
        <w:rPr>
          <w:rFonts w:ascii="宋体" w:hAnsi="宋体" w:eastAsia="宋体" w:cs="宋体"/>
          <w:spacing w:val="17"/>
          <w:sz w:val="20"/>
          <w:szCs w:val="20"/>
        </w:rPr>
        <w:t xml:space="preserve"> </w:t>
      </w:r>
      <w:r>
        <w:rPr>
          <w:rFonts w:ascii="宋体" w:hAnsi="宋体" w:eastAsia="宋体" w:cs="宋体"/>
          <w:spacing w:val="7"/>
          <w:sz w:val="20"/>
          <w:szCs w:val="20"/>
        </w:rPr>
        <w:t>知的放射性元素含量非常低，用普通的化学分析法测不出来。量低且放射性强，说明该元素的放射</w:t>
      </w:r>
      <w:r>
        <w:rPr>
          <w:rFonts w:ascii="宋体" w:hAnsi="宋体" w:eastAsia="宋体" w:cs="宋体"/>
          <w:spacing w:val="15"/>
          <w:sz w:val="20"/>
          <w:szCs w:val="20"/>
        </w:rPr>
        <w:t xml:space="preserve"> </w:t>
      </w:r>
      <w:r>
        <w:rPr>
          <w:rFonts w:ascii="宋体" w:hAnsi="宋体" w:eastAsia="宋体" w:cs="宋体"/>
          <w:spacing w:val="8"/>
          <w:sz w:val="20"/>
          <w:szCs w:val="20"/>
        </w:rPr>
        <w:t>性远远高于铀。据此推理，又经过多年的努力，他们终于</w:t>
      </w:r>
      <w:r>
        <w:rPr>
          <w:rFonts w:ascii="宋体" w:hAnsi="宋体" w:eastAsia="宋体" w:cs="宋体"/>
          <w:spacing w:val="7"/>
          <w:sz w:val="20"/>
          <w:szCs w:val="20"/>
        </w:rPr>
        <w:t>在这些沥青铀矿样品里发现了放射性比铀</w:t>
      </w:r>
      <w:r>
        <w:rPr>
          <w:rFonts w:ascii="宋体" w:hAnsi="宋体" w:eastAsia="宋体" w:cs="宋体"/>
          <w:sz w:val="20"/>
          <w:szCs w:val="20"/>
        </w:rPr>
        <w:t xml:space="preserve"> </w:t>
      </w:r>
      <w:r>
        <w:rPr>
          <w:rFonts w:ascii="宋体" w:hAnsi="宋体" w:eastAsia="宋体" w:cs="宋体"/>
          <w:spacing w:val="20"/>
          <w:sz w:val="20"/>
          <w:szCs w:val="20"/>
        </w:rPr>
        <w:t>强400倍的钋。</w:t>
      </w:r>
    </w:p>
    <w:p w14:paraId="19BB4D1B">
      <w:pPr>
        <w:spacing w:before="5" w:line="341" w:lineRule="auto"/>
        <w:ind w:right="646" w:firstLine="439"/>
        <w:jc w:val="both"/>
        <w:rPr>
          <w:rFonts w:ascii="宋体" w:hAnsi="宋体" w:eastAsia="宋体" w:cs="宋体"/>
          <w:sz w:val="20"/>
          <w:szCs w:val="20"/>
        </w:rPr>
      </w:pPr>
      <w:r>
        <w:rPr>
          <w:rFonts w:ascii="宋体" w:hAnsi="宋体" w:eastAsia="宋体" w:cs="宋体"/>
          <w:spacing w:val="7"/>
          <w:sz w:val="20"/>
          <w:szCs w:val="20"/>
        </w:rPr>
        <w:t>在病因研究中，剩余法很少可用作直接发现病因的逻辑指导，但对于判</w:t>
      </w:r>
      <w:r>
        <w:rPr>
          <w:rFonts w:ascii="宋体" w:hAnsi="宋体" w:eastAsia="宋体" w:cs="宋体"/>
          <w:spacing w:val="6"/>
          <w:sz w:val="20"/>
          <w:szCs w:val="20"/>
        </w:rPr>
        <w:t>断是否已经发现了一个</w:t>
      </w:r>
      <w:r>
        <w:rPr>
          <w:rFonts w:ascii="宋体" w:hAnsi="宋体" w:eastAsia="宋体" w:cs="宋体"/>
          <w:sz w:val="20"/>
          <w:szCs w:val="20"/>
        </w:rPr>
        <w:t xml:space="preserve"> </w:t>
      </w:r>
      <w:r>
        <w:rPr>
          <w:rFonts w:ascii="宋体" w:hAnsi="宋体" w:eastAsia="宋体" w:cs="宋体"/>
          <w:spacing w:val="14"/>
          <w:sz w:val="20"/>
          <w:szCs w:val="20"/>
        </w:rPr>
        <w:t>疾病的主要病因却有帮助。如果发现一个疾病的多个已知病因的累积归因危险度百分比很低(如</w:t>
      </w:r>
      <w:r>
        <w:rPr>
          <w:rFonts w:ascii="宋体" w:hAnsi="宋体" w:eastAsia="宋体" w:cs="宋体"/>
          <w:spacing w:val="15"/>
          <w:sz w:val="20"/>
          <w:szCs w:val="20"/>
        </w:rPr>
        <w:t xml:space="preserve"> </w:t>
      </w:r>
      <w:r>
        <w:rPr>
          <w:rFonts w:ascii="宋体" w:hAnsi="宋体" w:eastAsia="宋体" w:cs="宋体"/>
          <w:spacing w:val="10"/>
          <w:sz w:val="20"/>
          <w:szCs w:val="20"/>
        </w:rPr>
        <w:t>低于10%),说明不能由这些已知病因解释的“剩余</w:t>
      </w:r>
      <w:r>
        <w:rPr>
          <w:rFonts w:ascii="宋体" w:hAnsi="宋体" w:eastAsia="宋体" w:cs="宋体"/>
          <w:spacing w:val="9"/>
          <w:sz w:val="20"/>
          <w:szCs w:val="20"/>
        </w:rPr>
        <w:t>”病例占大多数，由此可推测该疾病的重要病因</w:t>
      </w:r>
      <w:r>
        <w:rPr>
          <w:rFonts w:ascii="宋体" w:hAnsi="宋体" w:eastAsia="宋体" w:cs="宋体"/>
          <w:sz w:val="20"/>
          <w:szCs w:val="20"/>
        </w:rPr>
        <w:t xml:space="preserve"> </w:t>
      </w:r>
      <w:r>
        <w:rPr>
          <w:rFonts w:ascii="宋体" w:hAnsi="宋体" w:eastAsia="宋体" w:cs="宋体"/>
          <w:spacing w:val="8"/>
          <w:sz w:val="20"/>
          <w:szCs w:val="20"/>
        </w:rPr>
        <w:t>还没有被发现，探索新病因的研究是有意义的。相反，如</w:t>
      </w:r>
      <w:r>
        <w:rPr>
          <w:rFonts w:ascii="宋体" w:hAnsi="宋体" w:eastAsia="宋体" w:cs="宋体"/>
          <w:spacing w:val="7"/>
          <w:sz w:val="20"/>
          <w:szCs w:val="20"/>
        </w:rPr>
        <w:t>果发现一个疾病的多个已知病因的累积归</w:t>
      </w:r>
      <w:r>
        <w:rPr>
          <w:rFonts w:ascii="宋体" w:hAnsi="宋体" w:eastAsia="宋体" w:cs="宋体"/>
          <w:sz w:val="20"/>
          <w:szCs w:val="20"/>
        </w:rPr>
        <w:t xml:space="preserve"> </w:t>
      </w:r>
      <w:r>
        <w:rPr>
          <w:rFonts w:ascii="宋体" w:hAnsi="宋体" w:eastAsia="宋体" w:cs="宋体"/>
          <w:spacing w:val="9"/>
          <w:sz w:val="20"/>
          <w:szCs w:val="20"/>
        </w:rPr>
        <w:t>因危险度百分比接近100%,说明不能由这些病因解释的“剩余”病例已经很少，由此可推测已发现</w:t>
      </w:r>
      <w:r>
        <w:rPr>
          <w:rFonts w:ascii="宋体" w:hAnsi="宋体" w:eastAsia="宋体" w:cs="宋体"/>
          <w:spacing w:val="11"/>
          <w:sz w:val="20"/>
          <w:szCs w:val="20"/>
        </w:rPr>
        <w:t xml:space="preserve"> </w:t>
      </w:r>
      <w:r>
        <w:rPr>
          <w:rFonts w:ascii="宋体" w:hAnsi="宋体" w:eastAsia="宋体" w:cs="宋体"/>
          <w:spacing w:val="7"/>
          <w:sz w:val="20"/>
          <w:szCs w:val="20"/>
        </w:rPr>
        <w:t>的病因是该疾病的主要病因，如果它们又都是容易干预的因素，探索新病因的研究的意义</w:t>
      </w:r>
      <w:r>
        <w:rPr>
          <w:rFonts w:ascii="宋体" w:hAnsi="宋体" w:eastAsia="宋体" w:cs="宋体"/>
          <w:spacing w:val="6"/>
          <w:sz w:val="20"/>
          <w:szCs w:val="20"/>
        </w:rPr>
        <w:t>已经不太</w:t>
      </w:r>
      <w:r>
        <w:rPr>
          <w:rFonts w:ascii="宋体" w:hAnsi="宋体" w:eastAsia="宋体" w:cs="宋体"/>
          <w:sz w:val="20"/>
          <w:szCs w:val="20"/>
        </w:rPr>
        <w:t xml:space="preserve"> </w:t>
      </w:r>
      <w:r>
        <w:rPr>
          <w:rFonts w:ascii="宋体" w:hAnsi="宋体" w:eastAsia="宋体" w:cs="宋体"/>
          <w:spacing w:val="13"/>
          <w:sz w:val="20"/>
          <w:szCs w:val="20"/>
        </w:rPr>
        <w:t>大了。</w:t>
      </w:r>
    </w:p>
    <w:p w14:paraId="2E580D5B">
      <w:pPr>
        <w:spacing w:before="1" w:line="324" w:lineRule="auto"/>
        <w:ind w:right="566" w:firstLine="439"/>
        <w:jc w:val="both"/>
        <w:rPr>
          <w:rFonts w:ascii="宋体" w:hAnsi="宋体" w:eastAsia="宋体" w:cs="宋体"/>
          <w:sz w:val="20"/>
          <w:szCs w:val="20"/>
        </w:rPr>
      </w:pPr>
      <w:r>
        <w:rPr>
          <w:rFonts w:ascii="宋体" w:hAnsi="宋体" w:eastAsia="宋体" w:cs="宋体"/>
          <w:spacing w:val="9"/>
          <w:sz w:val="20"/>
          <w:szCs w:val="20"/>
        </w:rPr>
        <w:t>剩余法也可以用于推测个案事件发生的原因。例如，如果心血管疾病发生原因主要是高血压、</w:t>
      </w:r>
      <w:r>
        <w:rPr>
          <w:rFonts w:ascii="宋体" w:hAnsi="宋体" w:eastAsia="宋体" w:cs="宋体"/>
          <w:sz w:val="20"/>
          <w:szCs w:val="20"/>
        </w:rPr>
        <w:t xml:space="preserve"> </w:t>
      </w:r>
      <w:r>
        <w:rPr>
          <w:rFonts w:ascii="宋体" w:hAnsi="宋体" w:eastAsia="宋体" w:cs="宋体"/>
          <w:spacing w:val="7"/>
          <w:sz w:val="20"/>
          <w:szCs w:val="20"/>
        </w:rPr>
        <w:t>高血脂和糖尿病，如果一个人已经发生了冠心病，但他既没有高血脂也没有糖尿病，那么该病</w:t>
      </w:r>
      <w:r>
        <w:rPr>
          <w:rFonts w:ascii="宋体" w:hAnsi="宋体" w:eastAsia="宋体" w:cs="宋体"/>
          <w:spacing w:val="6"/>
          <w:sz w:val="20"/>
          <w:szCs w:val="20"/>
        </w:rPr>
        <w:t>人很</w:t>
      </w:r>
      <w:r>
        <w:rPr>
          <w:rFonts w:ascii="宋体" w:hAnsi="宋体" w:eastAsia="宋体" w:cs="宋体"/>
          <w:sz w:val="20"/>
          <w:szCs w:val="20"/>
        </w:rPr>
        <w:t xml:space="preserve">  </w:t>
      </w:r>
      <w:r>
        <w:rPr>
          <w:rFonts w:ascii="宋体" w:hAnsi="宋体" w:eastAsia="宋体" w:cs="宋体"/>
          <w:spacing w:val="11"/>
          <w:sz w:val="20"/>
          <w:szCs w:val="20"/>
        </w:rPr>
        <w:t>可能有高血压。</w:t>
      </w:r>
    </w:p>
    <w:p w14:paraId="0475AB14">
      <w:pPr>
        <w:pStyle w:val="2"/>
        <w:spacing w:before="223" w:line="222" w:lineRule="auto"/>
        <w:ind w:left="443"/>
        <w:outlineLvl w:val="2"/>
        <w:rPr>
          <w:sz w:val="25"/>
          <w:szCs w:val="25"/>
        </w:rPr>
      </w:pPr>
      <w:bookmarkStart w:id="249" w:name="bookmark157"/>
      <w:bookmarkEnd w:id="249"/>
      <w:r>
        <w:rPr>
          <w:b/>
          <w:bCs/>
          <w:spacing w:val="-6"/>
          <w:sz w:val="25"/>
          <w:szCs w:val="25"/>
        </w:rPr>
        <w:t>三</w:t>
      </w:r>
      <w:r>
        <w:rPr>
          <w:spacing w:val="-57"/>
          <w:sz w:val="25"/>
          <w:szCs w:val="25"/>
        </w:rPr>
        <w:t xml:space="preserve"> </w:t>
      </w:r>
      <w:r>
        <w:rPr>
          <w:b/>
          <w:bCs/>
          <w:spacing w:val="-6"/>
          <w:sz w:val="25"/>
          <w:szCs w:val="25"/>
        </w:rPr>
        <w:t>、验证因果假设</w:t>
      </w:r>
    </w:p>
    <w:p w14:paraId="4032C4E7">
      <w:pPr>
        <w:spacing w:before="252" w:line="325" w:lineRule="auto"/>
        <w:ind w:right="639" w:firstLine="439"/>
        <w:jc w:val="both"/>
        <w:rPr>
          <w:rFonts w:ascii="宋体" w:hAnsi="宋体" w:eastAsia="宋体" w:cs="宋体"/>
          <w:sz w:val="20"/>
          <w:szCs w:val="20"/>
        </w:rPr>
      </w:pPr>
      <w:r>
        <w:rPr>
          <w:rFonts w:ascii="宋体" w:hAnsi="宋体" w:eastAsia="宋体" w:cs="宋体"/>
          <w:spacing w:val="7"/>
          <w:sz w:val="20"/>
          <w:szCs w:val="20"/>
        </w:rPr>
        <w:t>求同法是病例系列的原理，求异法引人了对照的概念，但二者结论的可靠性较低，主要可以用</w:t>
      </w:r>
      <w:r>
        <w:rPr>
          <w:rFonts w:ascii="宋体" w:hAnsi="宋体" w:eastAsia="宋体" w:cs="宋体"/>
          <w:spacing w:val="6"/>
          <w:sz w:val="20"/>
          <w:szCs w:val="20"/>
        </w:rPr>
        <w:t xml:space="preserve"> </w:t>
      </w:r>
      <w:r>
        <w:rPr>
          <w:rFonts w:ascii="宋体" w:hAnsi="宋体" w:eastAsia="宋体" w:cs="宋体"/>
          <w:spacing w:val="8"/>
          <w:sz w:val="20"/>
          <w:szCs w:val="20"/>
        </w:rPr>
        <w:t>来产生假设。共求法奠定了病例对照研究、队列研究和随机对照试验的理论基础</w:t>
      </w:r>
      <w:r>
        <w:rPr>
          <w:rFonts w:ascii="宋体" w:hAnsi="宋体" w:eastAsia="宋体" w:cs="宋体"/>
          <w:spacing w:val="7"/>
          <w:sz w:val="20"/>
          <w:szCs w:val="20"/>
        </w:rPr>
        <w:t>，是进一步验证假</w:t>
      </w:r>
      <w:r>
        <w:rPr>
          <w:rFonts w:ascii="宋体" w:hAnsi="宋体" w:eastAsia="宋体" w:cs="宋体"/>
          <w:sz w:val="20"/>
          <w:szCs w:val="20"/>
        </w:rPr>
        <w:t xml:space="preserve"> </w:t>
      </w:r>
      <w:r>
        <w:rPr>
          <w:rFonts w:ascii="宋体" w:hAnsi="宋体" w:eastAsia="宋体" w:cs="宋体"/>
          <w:spacing w:val="12"/>
          <w:sz w:val="20"/>
          <w:szCs w:val="20"/>
        </w:rPr>
        <w:t>设的准则。</w:t>
      </w:r>
    </w:p>
    <w:p w14:paraId="6533CC60">
      <w:pPr>
        <w:spacing w:before="42" w:line="325" w:lineRule="auto"/>
        <w:ind w:right="638" w:firstLine="439"/>
        <w:jc w:val="both"/>
        <w:rPr>
          <w:rFonts w:ascii="宋体" w:hAnsi="宋体" w:eastAsia="宋体" w:cs="宋体"/>
          <w:sz w:val="20"/>
          <w:szCs w:val="20"/>
        </w:rPr>
      </w:pPr>
      <w:r>
        <w:rPr>
          <w:rFonts w:ascii="宋体" w:hAnsi="宋体" w:eastAsia="宋体" w:cs="宋体"/>
          <w:spacing w:val="7"/>
          <w:sz w:val="20"/>
          <w:szCs w:val="20"/>
        </w:rPr>
        <w:t>但是，鉴于穆勒法则提出的年代以及当时人们对因果关系的认识，原始的求同法、求异法和共</w:t>
      </w:r>
      <w:r>
        <w:rPr>
          <w:rFonts w:ascii="宋体" w:hAnsi="宋体" w:eastAsia="宋体" w:cs="宋体"/>
          <w:spacing w:val="10"/>
          <w:sz w:val="20"/>
          <w:szCs w:val="20"/>
        </w:rPr>
        <w:t xml:space="preserve"> </w:t>
      </w:r>
      <w:r>
        <w:rPr>
          <w:rFonts w:ascii="宋体" w:hAnsi="宋体" w:eastAsia="宋体" w:cs="宋体"/>
          <w:spacing w:val="14"/>
          <w:sz w:val="20"/>
          <w:szCs w:val="20"/>
        </w:rPr>
        <w:t>求法可能只适用于研究完全病因(或既必要又充分的病因),如天花病毒。天花病人一定感染过天</w:t>
      </w:r>
      <w:r>
        <w:rPr>
          <w:rFonts w:ascii="宋体" w:hAnsi="宋体" w:eastAsia="宋体" w:cs="宋体"/>
          <w:spacing w:val="16"/>
          <w:sz w:val="20"/>
          <w:szCs w:val="20"/>
        </w:rPr>
        <w:t xml:space="preserve"> </w:t>
      </w:r>
      <w:r>
        <w:rPr>
          <w:rFonts w:ascii="宋体" w:hAnsi="宋体" w:eastAsia="宋体" w:cs="宋体"/>
          <w:spacing w:val="8"/>
          <w:sz w:val="20"/>
          <w:szCs w:val="20"/>
        </w:rPr>
        <w:t>花病毒，从未得过天花就一定没有感染过天</w:t>
      </w:r>
      <w:r>
        <w:rPr>
          <w:rFonts w:ascii="宋体" w:hAnsi="宋体" w:eastAsia="宋体" w:cs="宋体"/>
          <w:spacing w:val="7"/>
          <w:sz w:val="20"/>
          <w:szCs w:val="20"/>
        </w:rPr>
        <w:t>花病毒，因为其他病原体不会引起天花，天花也没有隐</w:t>
      </w:r>
      <w:r>
        <w:rPr>
          <w:rFonts w:ascii="宋体" w:hAnsi="宋体" w:eastAsia="宋体" w:cs="宋体"/>
          <w:sz w:val="20"/>
          <w:szCs w:val="20"/>
        </w:rPr>
        <w:t xml:space="preserve"> </w:t>
      </w:r>
      <w:r>
        <w:rPr>
          <w:rFonts w:ascii="宋体" w:hAnsi="宋体" w:eastAsia="宋体" w:cs="宋体"/>
          <w:spacing w:val="14"/>
          <w:sz w:val="20"/>
          <w:szCs w:val="20"/>
        </w:rPr>
        <w:t>性感染。</w:t>
      </w:r>
    </w:p>
    <w:p w14:paraId="56D90A83">
      <w:pPr>
        <w:spacing w:before="41" w:line="335" w:lineRule="auto"/>
        <w:ind w:right="651" w:firstLine="439"/>
        <w:jc w:val="both"/>
        <w:rPr>
          <w:rFonts w:ascii="宋体" w:hAnsi="宋体" w:eastAsia="宋体" w:cs="宋体"/>
          <w:sz w:val="20"/>
          <w:szCs w:val="20"/>
        </w:rPr>
      </w:pPr>
      <w:r>
        <w:rPr>
          <w:rFonts w:ascii="宋体" w:hAnsi="宋体" w:eastAsia="宋体" w:cs="宋体"/>
          <w:spacing w:val="7"/>
          <w:sz w:val="20"/>
          <w:szCs w:val="20"/>
        </w:rPr>
        <w:t>然而，根据现代医学对疾病病因的认识，尤其是对于慢性非传染性疾病，几</w:t>
      </w:r>
      <w:r>
        <w:rPr>
          <w:rFonts w:ascii="宋体" w:hAnsi="宋体" w:eastAsia="宋体" w:cs="宋体"/>
          <w:spacing w:val="6"/>
          <w:sz w:val="20"/>
          <w:szCs w:val="20"/>
        </w:rPr>
        <w:t>乎所有的病因都是</w:t>
      </w:r>
      <w:r>
        <w:rPr>
          <w:rFonts w:ascii="宋体" w:hAnsi="宋体" w:eastAsia="宋体" w:cs="宋体"/>
          <w:sz w:val="20"/>
          <w:szCs w:val="20"/>
        </w:rPr>
        <w:t xml:space="preserve"> </w:t>
      </w:r>
      <w:r>
        <w:rPr>
          <w:rFonts w:ascii="宋体" w:hAnsi="宋体" w:eastAsia="宋体" w:cs="宋体"/>
          <w:spacing w:val="12"/>
          <w:sz w:val="20"/>
          <w:szCs w:val="20"/>
        </w:rPr>
        <w:t>既不必要也不充分的组分病因，而且一种疾病又存在多种充分病因，因此穆勒原始的求同法、求</w:t>
      </w:r>
      <w:r>
        <w:rPr>
          <w:rFonts w:ascii="宋体" w:hAnsi="宋体" w:eastAsia="宋体" w:cs="宋体"/>
          <w:spacing w:val="14"/>
          <w:sz w:val="20"/>
          <w:szCs w:val="20"/>
        </w:rPr>
        <w:t xml:space="preserve"> </w:t>
      </w:r>
      <w:r>
        <w:rPr>
          <w:rFonts w:ascii="宋体" w:hAnsi="宋体" w:eastAsia="宋体" w:cs="宋体"/>
          <w:spacing w:val="13"/>
          <w:sz w:val="20"/>
          <w:szCs w:val="20"/>
        </w:rPr>
        <w:t>异法和共求法中最基本的假设是不成立的，不</w:t>
      </w:r>
      <w:r>
        <w:rPr>
          <w:rFonts w:ascii="宋体" w:hAnsi="宋体" w:eastAsia="宋体" w:cs="宋体"/>
          <w:spacing w:val="12"/>
          <w:sz w:val="20"/>
          <w:szCs w:val="20"/>
        </w:rPr>
        <w:t>能用来有效地确证或否定一个因素是否为某疾病的</w:t>
      </w:r>
      <w:r>
        <w:rPr>
          <w:rFonts w:ascii="宋体" w:hAnsi="宋体" w:eastAsia="宋体" w:cs="宋体"/>
          <w:sz w:val="20"/>
          <w:szCs w:val="20"/>
        </w:rPr>
        <w:t xml:space="preserve"> </w:t>
      </w:r>
      <w:r>
        <w:rPr>
          <w:rFonts w:ascii="宋体" w:hAnsi="宋体" w:eastAsia="宋体" w:cs="宋体"/>
          <w:spacing w:val="13"/>
          <w:sz w:val="20"/>
          <w:szCs w:val="20"/>
        </w:rPr>
        <w:t>原因。</w:t>
      </w:r>
    </w:p>
    <w:p w14:paraId="5ABC9E36">
      <w:pPr>
        <w:spacing w:before="1" w:line="344" w:lineRule="auto"/>
        <w:ind w:right="646" w:firstLine="439"/>
        <w:rPr>
          <w:rFonts w:ascii="宋体" w:hAnsi="宋体" w:eastAsia="宋体" w:cs="宋体"/>
          <w:sz w:val="20"/>
          <w:szCs w:val="20"/>
        </w:rPr>
      </w:pPr>
      <w:r>
        <w:rPr>
          <w:rFonts w:ascii="宋体" w:hAnsi="宋体" w:eastAsia="宋体" w:cs="宋体"/>
          <w:spacing w:val="12"/>
          <w:sz w:val="20"/>
          <w:szCs w:val="20"/>
        </w:rPr>
        <w:t>所以必须进行以下修订，才能具有更大的现实意义：如果很多同一疾病的病人都具有某一因</w:t>
      </w:r>
      <w:r>
        <w:rPr>
          <w:rFonts w:ascii="宋体" w:hAnsi="宋体" w:eastAsia="宋体" w:cs="宋体"/>
          <w:spacing w:val="9"/>
          <w:sz w:val="20"/>
          <w:szCs w:val="20"/>
        </w:rPr>
        <w:t xml:space="preserve"> </w:t>
      </w:r>
      <w:r>
        <w:rPr>
          <w:rFonts w:ascii="宋体" w:hAnsi="宋体" w:eastAsia="宋体" w:cs="宋体"/>
          <w:spacing w:val="12"/>
          <w:sz w:val="20"/>
          <w:szCs w:val="20"/>
        </w:rPr>
        <w:t>素，多数未患某疾病的人都没有该因素，而且该因素的发生频率在患病者和非患病者之间存在差</w:t>
      </w:r>
    </w:p>
    <w:p w14:paraId="4E76AA69">
      <w:pPr>
        <w:spacing w:line="344" w:lineRule="auto"/>
        <w:rPr>
          <w:rFonts w:ascii="宋体" w:hAnsi="宋体" w:eastAsia="宋体" w:cs="宋体"/>
          <w:sz w:val="20"/>
          <w:szCs w:val="20"/>
        </w:rPr>
        <w:sectPr>
          <w:headerReference r:id="rId173" w:type="default"/>
          <w:footerReference r:id="rId174" w:type="default"/>
          <w:pgSz w:w="11900" w:h="16820"/>
          <w:pgMar w:top="400" w:right="863" w:bottom="859" w:left="1460" w:header="0" w:footer="679" w:gutter="0"/>
          <w:cols w:space="720" w:num="1"/>
        </w:sectPr>
      </w:pPr>
    </w:p>
    <w:p w14:paraId="244DF7D7">
      <w:pPr>
        <w:pStyle w:val="2"/>
        <w:spacing w:before="136" w:line="221" w:lineRule="auto"/>
        <w:ind w:left="679"/>
        <w:rPr>
          <w:sz w:val="20"/>
          <w:szCs w:val="20"/>
        </w:rPr>
      </w:pPr>
      <w:bookmarkStart w:id="250" w:name="bookmark487"/>
      <w:bookmarkEnd w:id="250"/>
      <w:r>
        <w:rPr>
          <w:spacing w:val="-16"/>
          <w:w w:val="98"/>
          <w:sz w:val="20"/>
          <w:szCs w:val="20"/>
        </w:rPr>
        <w:t>第八章病因及其发现和推断</w:t>
      </w:r>
    </w:p>
    <w:p w14:paraId="07833C0B">
      <w:pPr>
        <w:spacing w:line="280" w:lineRule="auto"/>
        <w:rPr>
          <w:rFonts w:ascii="Arial"/>
          <w:sz w:val="21"/>
        </w:rPr>
      </w:pPr>
    </w:p>
    <w:p w14:paraId="37083D0B">
      <w:pPr>
        <w:spacing w:line="281" w:lineRule="auto"/>
        <w:rPr>
          <w:rFonts w:ascii="Arial"/>
          <w:sz w:val="21"/>
        </w:rPr>
      </w:pPr>
    </w:p>
    <w:p w14:paraId="502155C4">
      <w:pPr>
        <w:spacing w:before="65" w:line="337" w:lineRule="auto"/>
        <w:ind w:left="679" w:right="82"/>
        <w:rPr>
          <w:rFonts w:ascii="宋体" w:hAnsi="宋体" w:eastAsia="宋体" w:cs="宋体"/>
          <w:sz w:val="20"/>
          <w:szCs w:val="20"/>
        </w:rPr>
      </w:pPr>
      <w:r>
        <w:rPr>
          <w:rFonts w:ascii="宋体" w:hAnsi="宋体" w:eastAsia="宋体" w:cs="宋体"/>
          <w:spacing w:val="-5"/>
          <w:sz w:val="20"/>
          <w:szCs w:val="20"/>
        </w:rPr>
        <w:t>异，该因素很可能是该病的病因。这个修正的核心是将“所有”改成了“很多”或“多数”,穆勒法则</w:t>
      </w:r>
      <w:r>
        <w:rPr>
          <w:rFonts w:ascii="宋体" w:hAnsi="宋体" w:eastAsia="宋体" w:cs="宋体"/>
          <w:spacing w:val="1"/>
          <w:sz w:val="20"/>
          <w:szCs w:val="20"/>
        </w:rPr>
        <w:t xml:space="preserve"> </w:t>
      </w:r>
      <w:r>
        <w:rPr>
          <w:rFonts w:ascii="宋体" w:hAnsi="宋体" w:eastAsia="宋体" w:cs="宋体"/>
          <w:sz w:val="20"/>
          <w:szCs w:val="20"/>
        </w:rPr>
        <w:t>因此就从决定论走向了概率论，病因和疾病的关系</w:t>
      </w:r>
      <w:r>
        <w:rPr>
          <w:rFonts w:ascii="宋体" w:hAnsi="宋体" w:eastAsia="宋体" w:cs="宋体"/>
          <w:spacing w:val="-1"/>
          <w:sz w:val="20"/>
          <w:szCs w:val="20"/>
        </w:rPr>
        <w:t>也就从必然变成了或然。</w:t>
      </w:r>
    </w:p>
    <w:p w14:paraId="62BD9788">
      <w:pPr>
        <w:spacing w:before="13" w:line="333" w:lineRule="auto"/>
        <w:ind w:left="679" w:firstLine="410"/>
        <w:jc w:val="both"/>
        <w:rPr>
          <w:rFonts w:ascii="宋体" w:hAnsi="宋体" w:eastAsia="宋体" w:cs="宋体"/>
          <w:sz w:val="20"/>
          <w:szCs w:val="20"/>
        </w:rPr>
      </w:pPr>
      <w:r>
        <w:rPr>
          <w:rFonts w:ascii="宋体" w:hAnsi="宋体" w:eastAsia="宋体" w:cs="宋体"/>
          <w:spacing w:val="1"/>
          <w:sz w:val="20"/>
          <w:szCs w:val="20"/>
        </w:rPr>
        <w:t>为了确证因果关系的存在，在利用穆勒法则研究因果关系时，必须明确两个事件在时间方向上</w:t>
      </w:r>
      <w:r>
        <w:rPr>
          <w:rFonts w:ascii="宋体" w:hAnsi="宋体" w:eastAsia="宋体" w:cs="宋体"/>
          <w:spacing w:val="8"/>
          <w:sz w:val="20"/>
          <w:szCs w:val="20"/>
        </w:rPr>
        <w:t xml:space="preserve">  </w:t>
      </w:r>
      <w:r>
        <w:rPr>
          <w:rFonts w:ascii="宋体" w:hAnsi="宋体" w:eastAsia="宋体" w:cs="宋体"/>
          <w:spacing w:val="4"/>
          <w:sz w:val="20"/>
          <w:szCs w:val="20"/>
        </w:rPr>
        <w:t>的关系。队列研究设计正是切中并解决了穆勒法则里时间和方向不</w:t>
      </w:r>
      <w:r>
        <w:rPr>
          <w:rFonts w:ascii="宋体" w:hAnsi="宋体" w:eastAsia="宋体" w:cs="宋体"/>
          <w:spacing w:val="3"/>
          <w:sz w:val="20"/>
          <w:szCs w:val="20"/>
        </w:rPr>
        <w:t>明的问题。队列研究从因开始，</w:t>
      </w:r>
      <w:r>
        <w:rPr>
          <w:rFonts w:ascii="宋体" w:hAnsi="宋体" w:eastAsia="宋体" w:cs="宋体"/>
          <w:sz w:val="20"/>
          <w:szCs w:val="20"/>
        </w:rPr>
        <w:t xml:space="preserve"> </w:t>
      </w:r>
      <w:r>
        <w:rPr>
          <w:rFonts w:ascii="宋体" w:hAnsi="宋体" w:eastAsia="宋体" w:cs="宋体"/>
          <w:spacing w:val="2"/>
          <w:sz w:val="20"/>
          <w:szCs w:val="20"/>
        </w:rPr>
        <w:t>在果没有发生的情况下，观察果随后的发生情况，然后</w:t>
      </w:r>
      <w:r>
        <w:rPr>
          <w:rFonts w:ascii="宋体" w:hAnsi="宋体" w:eastAsia="宋体" w:cs="宋体"/>
          <w:spacing w:val="1"/>
          <w:sz w:val="20"/>
          <w:szCs w:val="20"/>
        </w:rPr>
        <w:t>看果是否随因的不同而不同。因此，队列研</w:t>
      </w:r>
      <w:r>
        <w:rPr>
          <w:rFonts w:ascii="宋体" w:hAnsi="宋体" w:eastAsia="宋体" w:cs="宋体"/>
          <w:sz w:val="20"/>
          <w:szCs w:val="20"/>
        </w:rPr>
        <w:t xml:space="preserve">  </w:t>
      </w:r>
      <w:r>
        <w:rPr>
          <w:rFonts w:ascii="宋体" w:hAnsi="宋体" w:eastAsia="宋体" w:cs="宋体"/>
          <w:spacing w:val="2"/>
          <w:sz w:val="20"/>
          <w:szCs w:val="20"/>
        </w:rPr>
        <w:t>究观察的关联关系具备了因先果后的时间顺序关系，提供了因果关系中时间顺序证</w:t>
      </w:r>
      <w:r>
        <w:rPr>
          <w:rFonts w:ascii="宋体" w:hAnsi="宋体" w:eastAsia="宋体" w:cs="宋体"/>
          <w:spacing w:val="1"/>
          <w:sz w:val="20"/>
          <w:szCs w:val="20"/>
        </w:rPr>
        <w:t>据，发现的病因</w:t>
      </w:r>
      <w:r>
        <w:rPr>
          <w:rFonts w:ascii="宋体" w:hAnsi="宋体" w:eastAsia="宋体" w:cs="宋体"/>
          <w:sz w:val="20"/>
          <w:szCs w:val="20"/>
        </w:rPr>
        <w:t xml:space="preserve"> </w:t>
      </w:r>
      <w:r>
        <w:rPr>
          <w:rFonts w:ascii="宋体" w:hAnsi="宋体" w:eastAsia="宋体" w:cs="宋体"/>
          <w:spacing w:val="3"/>
          <w:sz w:val="20"/>
          <w:szCs w:val="20"/>
        </w:rPr>
        <w:t>就更可能是真实的。</w:t>
      </w:r>
    </w:p>
    <w:p w14:paraId="179E9AB9">
      <w:pPr>
        <w:spacing w:before="65" w:line="342" w:lineRule="auto"/>
        <w:ind w:left="679" w:right="50" w:firstLine="410"/>
        <w:jc w:val="both"/>
        <w:rPr>
          <w:rFonts w:ascii="宋体" w:hAnsi="宋体" w:eastAsia="宋体" w:cs="宋体"/>
          <w:sz w:val="20"/>
          <w:szCs w:val="20"/>
        </w:rPr>
      </w:pPr>
      <w:r>
        <w:rPr>
          <w:rFonts w:ascii="宋体" w:hAnsi="宋体" w:eastAsia="宋体" w:cs="宋体"/>
          <w:spacing w:val="2"/>
          <w:sz w:val="20"/>
          <w:szCs w:val="20"/>
        </w:rPr>
        <w:t>然而，即使是队列研究发现的关联关系，也不能排除另外一种可能，即观察到的果随着因发生</w:t>
      </w:r>
      <w:r>
        <w:rPr>
          <w:rFonts w:ascii="宋体" w:hAnsi="宋体" w:eastAsia="宋体" w:cs="宋体"/>
          <w:spacing w:val="16"/>
          <w:sz w:val="20"/>
          <w:szCs w:val="20"/>
        </w:rPr>
        <w:t xml:space="preserve"> </w:t>
      </w:r>
      <w:r>
        <w:rPr>
          <w:rFonts w:ascii="宋体" w:hAnsi="宋体" w:eastAsia="宋体" w:cs="宋体"/>
          <w:spacing w:val="2"/>
          <w:sz w:val="20"/>
          <w:szCs w:val="20"/>
        </w:rPr>
        <w:t>的变化不是由因引起的，而是由其他因素造成的。一个</w:t>
      </w:r>
      <w:r>
        <w:rPr>
          <w:rFonts w:ascii="宋体" w:hAnsi="宋体" w:eastAsia="宋体" w:cs="宋体"/>
          <w:spacing w:val="1"/>
          <w:sz w:val="20"/>
          <w:szCs w:val="20"/>
        </w:rPr>
        <w:t>最明显的情况可能就是混杂，即暴露组和非</w:t>
      </w:r>
      <w:r>
        <w:rPr>
          <w:rFonts w:ascii="宋体" w:hAnsi="宋体" w:eastAsia="宋体" w:cs="宋体"/>
          <w:sz w:val="20"/>
          <w:szCs w:val="20"/>
        </w:rPr>
        <w:t xml:space="preserve"> </w:t>
      </w:r>
      <w:r>
        <w:rPr>
          <w:rFonts w:ascii="宋体" w:hAnsi="宋体" w:eastAsia="宋体" w:cs="宋体"/>
          <w:spacing w:val="6"/>
          <w:sz w:val="20"/>
          <w:szCs w:val="20"/>
        </w:rPr>
        <w:t>暴露组发病率的区别不是由可疑病因引起的，而是由两组之间其他致病因素的不可比造成的。解</w:t>
      </w:r>
      <w:r>
        <w:rPr>
          <w:rFonts w:ascii="宋体" w:hAnsi="宋体" w:eastAsia="宋体" w:cs="宋体"/>
          <w:spacing w:val="13"/>
          <w:sz w:val="20"/>
          <w:szCs w:val="20"/>
        </w:rPr>
        <w:t xml:space="preserve"> </w:t>
      </w:r>
      <w:r>
        <w:rPr>
          <w:rFonts w:ascii="宋体" w:hAnsi="宋体" w:eastAsia="宋体" w:cs="宋体"/>
          <w:spacing w:val="2"/>
          <w:sz w:val="20"/>
          <w:szCs w:val="20"/>
        </w:rPr>
        <w:t>决的办法就是控制混杂，但是观察性的队列研究对混杂的控制程度是有</w:t>
      </w:r>
      <w:r>
        <w:rPr>
          <w:rFonts w:ascii="宋体" w:hAnsi="宋体" w:eastAsia="宋体" w:cs="宋体"/>
          <w:spacing w:val="1"/>
          <w:sz w:val="20"/>
          <w:szCs w:val="20"/>
        </w:rPr>
        <w:t>限的，而且当混杂因素未知</w:t>
      </w:r>
      <w:r>
        <w:rPr>
          <w:rFonts w:ascii="宋体" w:hAnsi="宋体" w:eastAsia="宋体" w:cs="宋体"/>
          <w:sz w:val="20"/>
          <w:szCs w:val="20"/>
        </w:rPr>
        <w:t xml:space="preserve"> </w:t>
      </w:r>
      <w:r>
        <w:rPr>
          <w:rFonts w:ascii="宋体" w:hAnsi="宋体" w:eastAsia="宋体" w:cs="宋体"/>
          <w:spacing w:val="2"/>
          <w:sz w:val="20"/>
          <w:szCs w:val="20"/>
        </w:rPr>
        <w:t>时无法进行。暴露组和非暴露组发病率区别的另一</w:t>
      </w:r>
      <w:r>
        <w:rPr>
          <w:rFonts w:ascii="宋体" w:hAnsi="宋体" w:eastAsia="宋体" w:cs="宋体"/>
          <w:spacing w:val="1"/>
          <w:sz w:val="20"/>
          <w:szCs w:val="20"/>
        </w:rPr>
        <w:t>个解释是偏倚，包括选择偏倚和信息偏倚，是所</w:t>
      </w:r>
      <w:r>
        <w:rPr>
          <w:rFonts w:ascii="宋体" w:hAnsi="宋体" w:eastAsia="宋体" w:cs="宋体"/>
          <w:sz w:val="20"/>
          <w:szCs w:val="20"/>
        </w:rPr>
        <w:t xml:space="preserve"> </w:t>
      </w:r>
      <w:r>
        <w:rPr>
          <w:rFonts w:ascii="宋体" w:hAnsi="宋体" w:eastAsia="宋体" w:cs="宋体"/>
          <w:spacing w:val="1"/>
          <w:sz w:val="20"/>
          <w:szCs w:val="20"/>
        </w:rPr>
        <w:t>有流行病学研究都可能存在的。</w:t>
      </w:r>
    </w:p>
    <w:p w14:paraId="38760838">
      <w:pPr>
        <w:spacing w:before="15" w:line="334" w:lineRule="auto"/>
        <w:ind w:left="679" w:right="69" w:firstLine="410"/>
        <w:jc w:val="both"/>
        <w:rPr>
          <w:rFonts w:ascii="宋体" w:hAnsi="宋体" w:eastAsia="宋体" w:cs="宋体"/>
          <w:sz w:val="20"/>
          <w:szCs w:val="20"/>
        </w:rPr>
      </w:pPr>
      <w:r>
        <w:rPr>
          <w:rFonts w:ascii="宋体" w:hAnsi="宋体" w:eastAsia="宋体" w:cs="宋体"/>
          <w:spacing w:val="7"/>
          <w:sz w:val="20"/>
          <w:szCs w:val="20"/>
        </w:rPr>
        <w:t>随机对照试验与队列研究最重要的区别是比较组形成方式的不同。在队列研究里，研究</w:t>
      </w:r>
      <w:r>
        <w:rPr>
          <w:rFonts w:ascii="宋体" w:hAnsi="宋体" w:eastAsia="宋体" w:cs="宋体"/>
          <w:spacing w:val="6"/>
          <w:sz w:val="20"/>
          <w:szCs w:val="20"/>
        </w:rPr>
        <w:t>只能</w:t>
      </w:r>
      <w:r>
        <w:rPr>
          <w:rFonts w:ascii="宋体" w:hAnsi="宋体" w:eastAsia="宋体" w:cs="宋体"/>
          <w:sz w:val="20"/>
          <w:szCs w:val="20"/>
        </w:rPr>
        <w:t xml:space="preserve"> </w:t>
      </w:r>
      <w:r>
        <w:rPr>
          <w:rFonts w:ascii="宋体" w:hAnsi="宋体" w:eastAsia="宋体" w:cs="宋体"/>
          <w:spacing w:val="6"/>
          <w:sz w:val="20"/>
          <w:szCs w:val="20"/>
        </w:rPr>
        <w:t>观察自然形成的暴露人群和非暴露人群，自然形成的比较组不能保证它们之间其他可能影响结果</w:t>
      </w:r>
      <w:r>
        <w:rPr>
          <w:rFonts w:ascii="宋体" w:hAnsi="宋体" w:eastAsia="宋体" w:cs="宋体"/>
          <w:spacing w:val="18"/>
          <w:sz w:val="20"/>
          <w:szCs w:val="20"/>
        </w:rPr>
        <w:t xml:space="preserve"> </w:t>
      </w:r>
      <w:r>
        <w:rPr>
          <w:rFonts w:ascii="宋体" w:hAnsi="宋体" w:eastAsia="宋体" w:cs="宋体"/>
          <w:spacing w:val="1"/>
          <w:sz w:val="20"/>
          <w:szCs w:val="20"/>
        </w:rPr>
        <w:t>的因素是可比的。随机对照试验利用随机分组的方法，保证了比较组之间的可比性，最大程度控制</w:t>
      </w:r>
      <w:r>
        <w:rPr>
          <w:rFonts w:ascii="宋体" w:hAnsi="宋体" w:eastAsia="宋体" w:cs="宋体"/>
          <w:spacing w:val="13"/>
          <w:sz w:val="20"/>
          <w:szCs w:val="20"/>
        </w:rPr>
        <w:t xml:space="preserve"> </w:t>
      </w:r>
      <w:r>
        <w:rPr>
          <w:rFonts w:ascii="宋体" w:hAnsi="宋体" w:eastAsia="宋体" w:cs="宋体"/>
          <w:spacing w:val="2"/>
          <w:sz w:val="20"/>
          <w:szCs w:val="20"/>
        </w:rPr>
        <w:t>了混杂，发现的因果关系的可靠性高于队列研究。因此，</w:t>
      </w:r>
      <w:r>
        <w:rPr>
          <w:rFonts w:ascii="宋体" w:hAnsi="宋体" w:eastAsia="宋体" w:cs="宋体"/>
          <w:spacing w:val="1"/>
          <w:sz w:val="20"/>
          <w:szCs w:val="20"/>
        </w:rPr>
        <w:t>随机对照试验是在人群中验证因果关系最</w:t>
      </w:r>
      <w:r>
        <w:rPr>
          <w:rFonts w:ascii="宋体" w:hAnsi="宋体" w:eastAsia="宋体" w:cs="宋体"/>
          <w:sz w:val="20"/>
          <w:szCs w:val="20"/>
        </w:rPr>
        <w:t xml:space="preserve"> 可靠的方法。</w:t>
      </w:r>
    </w:p>
    <w:p w14:paraId="6F8479BC">
      <w:pPr>
        <w:spacing w:before="52" w:line="333" w:lineRule="auto"/>
        <w:ind w:left="679" w:right="65" w:firstLine="410"/>
        <w:jc w:val="both"/>
        <w:rPr>
          <w:rFonts w:ascii="宋体" w:hAnsi="宋体" w:eastAsia="宋体" w:cs="宋体"/>
          <w:sz w:val="20"/>
          <w:szCs w:val="20"/>
        </w:rPr>
      </w:pPr>
      <w:r>
        <w:rPr>
          <w:rFonts w:ascii="宋体" w:hAnsi="宋体" w:eastAsia="宋体" w:cs="宋体"/>
          <w:spacing w:val="5"/>
          <w:sz w:val="20"/>
          <w:szCs w:val="20"/>
        </w:rPr>
        <w:t>但是，由于伦理上的考虑，研究者只能人为</w:t>
      </w:r>
      <w:r>
        <w:rPr>
          <w:rFonts w:ascii="宋体" w:hAnsi="宋体" w:eastAsia="宋体" w:cs="宋体"/>
          <w:spacing w:val="4"/>
          <w:sz w:val="20"/>
          <w:szCs w:val="20"/>
        </w:rPr>
        <w:t>地向人群施加有益的因素(如治疗或去除一个致病</w:t>
      </w:r>
      <w:r>
        <w:rPr>
          <w:rFonts w:ascii="宋体" w:hAnsi="宋体" w:eastAsia="宋体" w:cs="宋体"/>
          <w:sz w:val="20"/>
          <w:szCs w:val="20"/>
        </w:rPr>
        <w:t xml:space="preserve"> </w:t>
      </w:r>
      <w:r>
        <w:rPr>
          <w:rFonts w:ascii="宋体" w:hAnsi="宋体" w:eastAsia="宋体" w:cs="宋体"/>
          <w:spacing w:val="9"/>
          <w:sz w:val="20"/>
          <w:szCs w:val="20"/>
        </w:rPr>
        <w:t>因素的干预),不能施加有害的因素(如致病因素</w:t>
      </w:r>
      <w:r>
        <w:rPr>
          <w:rFonts w:ascii="宋体" w:hAnsi="宋体" w:eastAsia="宋体" w:cs="宋体"/>
          <w:spacing w:val="8"/>
          <w:sz w:val="20"/>
          <w:szCs w:val="20"/>
        </w:rPr>
        <w:t>),因此随机对照试验只能用来评估治疗和干预的</w:t>
      </w:r>
      <w:r>
        <w:rPr>
          <w:rFonts w:ascii="宋体" w:hAnsi="宋体" w:eastAsia="宋体" w:cs="宋体"/>
          <w:sz w:val="20"/>
          <w:szCs w:val="20"/>
        </w:rPr>
        <w:t xml:space="preserve"> </w:t>
      </w:r>
      <w:r>
        <w:rPr>
          <w:rFonts w:ascii="宋体" w:hAnsi="宋体" w:eastAsia="宋体" w:cs="宋体"/>
          <w:spacing w:val="2"/>
          <w:sz w:val="20"/>
          <w:szCs w:val="20"/>
        </w:rPr>
        <w:t>效果，不能用来直接研究疾病的病因。队列研究是在人</w:t>
      </w:r>
      <w:r>
        <w:rPr>
          <w:rFonts w:ascii="宋体" w:hAnsi="宋体" w:eastAsia="宋体" w:cs="宋体"/>
          <w:spacing w:val="1"/>
          <w:sz w:val="20"/>
          <w:szCs w:val="20"/>
        </w:rPr>
        <w:t>群中验证病因的最可靠的方法，也常用于研</w:t>
      </w:r>
      <w:r>
        <w:rPr>
          <w:rFonts w:ascii="宋体" w:hAnsi="宋体" w:eastAsia="宋体" w:cs="宋体"/>
          <w:sz w:val="20"/>
          <w:szCs w:val="20"/>
        </w:rPr>
        <w:t xml:space="preserve"> </w:t>
      </w:r>
      <w:r>
        <w:rPr>
          <w:rFonts w:ascii="宋体" w:hAnsi="宋体" w:eastAsia="宋体" w:cs="宋体"/>
          <w:spacing w:val="3"/>
          <w:sz w:val="20"/>
          <w:szCs w:val="20"/>
        </w:rPr>
        <w:t>究治疗的不良反应。</w:t>
      </w:r>
    </w:p>
    <w:p w14:paraId="77BEDED5">
      <w:pPr>
        <w:spacing w:before="43" w:line="342" w:lineRule="auto"/>
        <w:ind w:left="679" w:right="73" w:firstLine="410"/>
        <w:jc w:val="both"/>
        <w:rPr>
          <w:rFonts w:ascii="宋体" w:hAnsi="宋体" w:eastAsia="宋体" w:cs="宋体"/>
          <w:sz w:val="20"/>
          <w:szCs w:val="20"/>
        </w:rPr>
      </w:pPr>
      <w:r>
        <w:rPr>
          <w:rFonts w:ascii="宋体" w:hAnsi="宋体" w:eastAsia="宋体" w:cs="宋体"/>
          <w:spacing w:val="6"/>
          <w:sz w:val="20"/>
          <w:szCs w:val="20"/>
        </w:rPr>
        <w:t>以上分析可见，穆勒法则是流行病学研究设计的逻辑基础，也提示了不同研究设计的使用顺</w:t>
      </w:r>
      <w:r>
        <w:rPr>
          <w:rFonts w:ascii="宋体" w:hAnsi="宋体" w:eastAsia="宋体" w:cs="宋体"/>
          <w:spacing w:val="17"/>
          <w:sz w:val="20"/>
          <w:szCs w:val="20"/>
        </w:rPr>
        <w:t xml:space="preserve"> </w:t>
      </w:r>
      <w:r>
        <w:rPr>
          <w:rFonts w:ascii="宋体" w:hAnsi="宋体" w:eastAsia="宋体" w:cs="宋体"/>
          <w:spacing w:val="9"/>
          <w:sz w:val="20"/>
          <w:szCs w:val="20"/>
        </w:rPr>
        <w:t>序。求同法(如由此衍生的病例系列研究)可用于形成病因假设。共</w:t>
      </w:r>
      <w:r>
        <w:rPr>
          <w:rFonts w:ascii="宋体" w:hAnsi="宋体" w:eastAsia="宋体" w:cs="宋体"/>
          <w:spacing w:val="8"/>
          <w:sz w:val="20"/>
          <w:szCs w:val="20"/>
        </w:rPr>
        <w:t>求法和共变法(如由其衍生的</w:t>
      </w:r>
      <w:r>
        <w:rPr>
          <w:rFonts w:ascii="宋体" w:hAnsi="宋体" w:eastAsia="宋体" w:cs="宋体"/>
          <w:sz w:val="20"/>
          <w:szCs w:val="20"/>
        </w:rPr>
        <w:t xml:space="preserve"> </w:t>
      </w:r>
      <w:r>
        <w:rPr>
          <w:rFonts w:ascii="宋体" w:hAnsi="宋体" w:eastAsia="宋体" w:cs="宋体"/>
          <w:spacing w:val="4"/>
          <w:sz w:val="20"/>
          <w:szCs w:val="20"/>
        </w:rPr>
        <w:t>病例对照研究)可以用来初步验证病因的存在。对照来自求异法，也是共求法和共变法必然包含的</w:t>
      </w:r>
      <w:r>
        <w:rPr>
          <w:rFonts w:ascii="宋体" w:hAnsi="宋体" w:eastAsia="宋体" w:cs="宋体"/>
          <w:spacing w:val="2"/>
          <w:sz w:val="20"/>
          <w:szCs w:val="20"/>
        </w:rPr>
        <w:t xml:space="preserve"> </w:t>
      </w:r>
      <w:r>
        <w:rPr>
          <w:rFonts w:ascii="宋体" w:hAnsi="宋体" w:eastAsia="宋体" w:cs="宋体"/>
          <w:spacing w:val="7"/>
          <w:sz w:val="20"/>
          <w:szCs w:val="20"/>
        </w:rPr>
        <w:t>一个概念，是研究因果关系不可缺少的准则。队列研究和随机对照试验有机</w:t>
      </w:r>
      <w:r>
        <w:rPr>
          <w:rFonts w:ascii="宋体" w:hAnsi="宋体" w:eastAsia="宋体" w:cs="宋体"/>
          <w:spacing w:val="6"/>
          <w:sz w:val="20"/>
          <w:szCs w:val="20"/>
        </w:rPr>
        <w:t>融合了穆勒的四个法</w:t>
      </w:r>
      <w:r>
        <w:rPr>
          <w:rFonts w:ascii="宋体" w:hAnsi="宋体" w:eastAsia="宋体" w:cs="宋体"/>
          <w:sz w:val="20"/>
          <w:szCs w:val="20"/>
        </w:rPr>
        <w:t xml:space="preserve"> 则，并同时考证了因和果的时间顺序和因变性，是在人群中验证因果关系最可靠的方法。</w:t>
      </w:r>
    </w:p>
    <w:p w14:paraId="2F7B2635">
      <w:pPr>
        <w:spacing w:before="4" w:line="342" w:lineRule="auto"/>
        <w:ind w:left="679" w:right="71" w:firstLine="410"/>
        <w:jc w:val="both"/>
        <w:rPr>
          <w:rFonts w:ascii="宋体" w:hAnsi="宋体" w:eastAsia="宋体" w:cs="宋体"/>
          <w:sz w:val="20"/>
          <w:szCs w:val="20"/>
        </w:rPr>
      </w:pPr>
      <w:r>
        <w:rPr>
          <w:rFonts w:ascii="宋体" w:hAnsi="宋体" w:eastAsia="宋体" w:cs="宋体"/>
          <w:spacing w:val="7"/>
          <w:sz w:val="20"/>
          <w:szCs w:val="20"/>
        </w:rPr>
        <w:t>总之，推论因果关系三个条件存在与否的穆勒法则就是寻找病因的逻辑法则，收集这</w:t>
      </w:r>
      <w:r>
        <w:rPr>
          <w:rFonts w:ascii="宋体" w:hAnsi="宋体" w:eastAsia="宋体" w:cs="宋体"/>
          <w:spacing w:val="6"/>
          <w:sz w:val="20"/>
          <w:szCs w:val="20"/>
        </w:rPr>
        <w:t>三个条</w:t>
      </w:r>
      <w:r>
        <w:rPr>
          <w:rFonts w:ascii="宋体" w:hAnsi="宋体" w:eastAsia="宋体" w:cs="宋体"/>
          <w:sz w:val="20"/>
          <w:szCs w:val="20"/>
        </w:rPr>
        <w:t xml:space="preserve"> </w:t>
      </w:r>
      <w:r>
        <w:rPr>
          <w:rFonts w:ascii="宋体" w:hAnsi="宋体" w:eastAsia="宋体" w:cs="宋体"/>
          <w:spacing w:val="7"/>
          <w:sz w:val="20"/>
          <w:szCs w:val="20"/>
        </w:rPr>
        <w:t>件存在证据的方法就是寻找病因的研究，依据研究结果判断这</w:t>
      </w:r>
      <w:r>
        <w:rPr>
          <w:rFonts w:ascii="宋体" w:hAnsi="宋体" w:eastAsia="宋体" w:cs="宋体"/>
          <w:spacing w:val="6"/>
          <w:sz w:val="20"/>
          <w:szCs w:val="20"/>
        </w:rPr>
        <w:t>三个条件存在与否的程序就是病因</w:t>
      </w:r>
      <w:r>
        <w:rPr>
          <w:rFonts w:ascii="宋体" w:hAnsi="宋体" w:eastAsia="宋体" w:cs="宋体"/>
          <w:sz w:val="20"/>
          <w:szCs w:val="20"/>
        </w:rPr>
        <w:t xml:space="preserve"> </w:t>
      </w:r>
      <w:r>
        <w:rPr>
          <w:rFonts w:ascii="宋体" w:hAnsi="宋体" w:eastAsia="宋体" w:cs="宋体"/>
          <w:spacing w:val="4"/>
          <w:sz w:val="20"/>
          <w:szCs w:val="20"/>
        </w:rPr>
        <w:t>推断的过程(见图8-9)。流行病学研究就是按照穆勒法则的原理，在人群中收集病因三个条件的证</w:t>
      </w:r>
      <w:r>
        <w:rPr>
          <w:rFonts w:ascii="宋体" w:hAnsi="宋体" w:eastAsia="宋体" w:cs="宋体"/>
          <w:spacing w:val="7"/>
          <w:sz w:val="20"/>
          <w:szCs w:val="20"/>
        </w:rPr>
        <w:t xml:space="preserve"> </w:t>
      </w:r>
      <w:r>
        <w:rPr>
          <w:rFonts w:ascii="宋体" w:hAnsi="宋体" w:eastAsia="宋体" w:cs="宋体"/>
          <w:spacing w:val="1"/>
          <w:sz w:val="20"/>
          <w:szCs w:val="20"/>
        </w:rPr>
        <w:t>据，并以此推论医学中因果关系的存在(见表8-3)。</w:t>
      </w:r>
    </w:p>
    <w:p w14:paraId="4B653A57">
      <w:pPr>
        <w:spacing w:line="277" w:lineRule="auto"/>
        <w:rPr>
          <w:rFonts w:ascii="Arial"/>
          <w:sz w:val="21"/>
        </w:rPr>
      </w:pPr>
    </w:p>
    <w:p w14:paraId="03A8799B">
      <w:pPr>
        <w:pStyle w:val="2"/>
        <w:spacing w:before="94" w:line="222" w:lineRule="auto"/>
        <w:ind w:left="3604"/>
        <w:outlineLvl w:val="1"/>
        <w:rPr>
          <w:sz w:val="29"/>
          <w:szCs w:val="29"/>
        </w:rPr>
      </w:pPr>
      <w:bookmarkStart w:id="251" w:name="bookmark158"/>
      <w:bookmarkEnd w:id="251"/>
      <w:r>
        <w:rPr>
          <w:b/>
          <w:bCs/>
          <w:spacing w:val="-6"/>
          <w:sz w:val="29"/>
          <w:szCs w:val="29"/>
        </w:rPr>
        <w:t>第五节</w:t>
      </w:r>
      <w:r>
        <w:rPr>
          <w:spacing w:val="133"/>
          <w:sz w:val="29"/>
          <w:szCs w:val="29"/>
        </w:rPr>
        <w:t xml:space="preserve"> </w:t>
      </w:r>
      <w:r>
        <w:rPr>
          <w:b/>
          <w:bCs/>
          <w:spacing w:val="-6"/>
          <w:sz w:val="29"/>
          <w:szCs w:val="29"/>
        </w:rPr>
        <w:t>因果关系推论</w:t>
      </w:r>
    </w:p>
    <w:p w14:paraId="54CE64B8">
      <w:pPr>
        <w:spacing w:line="343" w:lineRule="auto"/>
        <w:rPr>
          <w:rFonts w:ascii="Arial"/>
          <w:sz w:val="21"/>
        </w:rPr>
      </w:pPr>
    </w:p>
    <w:p w14:paraId="29DAD353">
      <w:pPr>
        <w:spacing w:before="66" w:line="334" w:lineRule="auto"/>
        <w:ind w:left="679" w:right="63" w:firstLine="410"/>
        <w:jc w:val="both"/>
        <w:rPr>
          <w:rFonts w:ascii="宋体" w:hAnsi="宋体" w:eastAsia="宋体" w:cs="宋体"/>
          <w:sz w:val="20"/>
          <w:szCs w:val="20"/>
        </w:rPr>
      </w:pPr>
      <w:r>
        <w:rPr>
          <w:rFonts w:ascii="宋体" w:hAnsi="宋体" w:eastAsia="宋体" w:cs="宋体"/>
          <w:spacing w:val="7"/>
          <w:sz w:val="20"/>
          <w:szCs w:val="20"/>
        </w:rPr>
        <w:t>探索因果关系的流行病学研究是在人群中寻找因果关系三个基本条件的研究。和其他研究一</w:t>
      </w:r>
      <w:r>
        <w:rPr>
          <w:rFonts w:ascii="宋体" w:hAnsi="宋体" w:eastAsia="宋体" w:cs="宋体"/>
          <w:sz w:val="20"/>
          <w:szCs w:val="20"/>
        </w:rPr>
        <w:t xml:space="preserve"> </w:t>
      </w:r>
      <w:r>
        <w:rPr>
          <w:rFonts w:ascii="宋体" w:hAnsi="宋体" w:eastAsia="宋体" w:cs="宋体"/>
          <w:spacing w:val="2"/>
          <w:sz w:val="20"/>
          <w:szCs w:val="20"/>
        </w:rPr>
        <w:t>样，所有流行病学研究都不可能完全排除误差存在的可能性，即使队列研究和随机对照试验也不例</w:t>
      </w:r>
      <w:r>
        <w:rPr>
          <w:rFonts w:ascii="宋体" w:hAnsi="宋体" w:eastAsia="宋体" w:cs="宋体"/>
          <w:spacing w:val="9"/>
          <w:sz w:val="20"/>
          <w:szCs w:val="20"/>
        </w:rPr>
        <w:t xml:space="preserve"> </w:t>
      </w:r>
      <w:r>
        <w:rPr>
          <w:rFonts w:ascii="宋体" w:hAnsi="宋体" w:eastAsia="宋体" w:cs="宋体"/>
          <w:spacing w:val="2"/>
          <w:sz w:val="20"/>
          <w:szCs w:val="20"/>
        </w:rPr>
        <w:t>外。根据研究设计和研究过程的特征，对研究中误差及其大小进行评估</w:t>
      </w:r>
      <w:r>
        <w:rPr>
          <w:rFonts w:ascii="宋体" w:hAnsi="宋体" w:eastAsia="宋体" w:cs="宋体"/>
          <w:spacing w:val="1"/>
          <w:sz w:val="20"/>
          <w:szCs w:val="20"/>
        </w:rPr>
        <w:t>，并利用现有其他证据和知</w:t>
      </w:r>
      <w:r>
        <w:rPr>
          <w:rFonts w:ascii="宋体" w:hAnsi="宋体" w:eastAsia="宋体" w:cs="宋体"/>
          <w:sz w:val="20"/>
          <w:szCs w:val="20"/>
        </w:rPr>
        <w:t xml:space="preserve"> </w:t>
      </w:r>
      <w:r>
        <w:rPr>
          <w:rFonts w:ascii="宋体" w:hAnsi="宋体" w:eastAsia="宋体" w:cs="宋体"/>
          <w:spacing w:val="2"/>
          <w:sz w:val="20"/>
          <w:szCs w:val="20"/>
        </w:rPr>
        <w:t>识进一步判断研究结果的合理性，最后对因果关系存在的可能性作出判断，这就是流行病学研究推</w:t>
      </w:r>
      <w:r>
        <w:rPr>
          <w:rFonts w:ascii="宋体" w:hAnsi="宋体" w:eastAsia="宋体" w:cs="宋体"/>
          <w:spacing w:val="1"/>
          <w:sz w:val="20"/>
          <w:szCs w:val="20"/>
        </w:rPr>
        <w:t xml:space="preserve"> </w:t>
      </w:r>
      <w:r>
        <w:rPr>
          <w:rFonts w:ascii="宋体" w:hAnsi="宋体" w:eastAsia="宋体" w:cs="宋体"/>
          <w:spacing w:val="3"/>
          <w:sz w:val="20"/>
          <w:szCs w:val="20"/>
        </w:rPr>
        <w:t>论因果关系的程序。</w:t>
      </w:r>
    </w:p>
    <w:p w14:paraId="0C2F4ACE">
      <w:pPr>
        <w:spacing w:line="334" w:lineRule="auto"/>
        <w:rPr>
          <w:rFonts w:ascii="宋体" w:hAnsi="宋体" w:eastAsia="宋体" w:cs="宋体"/>
          <w:sz w:val="20"/>
          <w:szCs w:val="20"/>
        </w:rPr>
        <w:sectPr>
          <w:footerReference r:id="rId175" w:type="default"/>
          <w:pgSz w:w="11900" w:h="16820"/>
          <w:pgMar w:top="400" w:right="1560" w:bottom="819" w:left="899" w:header="0" w:footer="639" w:gutter="0"/>
          <w:cols w:space="720" w:num="1"/>
        </w:sectPr>
      </w:pPr>
    </w:p>
    <w:p w14:paraId="1EBAECF5">
      <w:pPr>
        <w:spacing w:line="249" w:lineRule="auto"/>
        <w:rPr>
          <w:rFonts w:ascii="Arial"/>
          <w:sz w:val="21"/>
        </w:rPr>
      </w:pPr>
    </w:p>
    <w:p w14:paraId="6435DB0B">
      <w:pPr>
        <w:pStyle w:val="2"/>
        <w:spacing w:before="65" w:line="221" w:lineRule="auto"/>
        <w:ind w:left="6859"/>
        <w:rPr>
          <w:sz w:val="20"/>
          <w:szCs w:val="20"/>
        </w:rPr>
      </w:pPr>
      <w:r>
        <w:rPr>
          <w:spacing w:val="-14"/>
          <w:sz w:val="20"/>
          <w:szCs w:val="20"/>
        </w:rPr>
        <w:t>第八章病因及其发现和推断</w:t>
      </w:r>
    </w:p>
    <w:p w14:paraId="7FBD7ED1">
      <w:pPr>
        <w:spacing w:line="351" w:lineRule="auto"/>
        <w:rPr>
          <w:rFonts w:ascii="Arial"/>
          <w:sz w:val="21"/>
        </w:rPr>
      </w:pPr>
    </w:p>
    <w:p w14:paraId="0841A758">
      <w:pPr>
        <w:spacing w:line="352" w:lineRule="auto"/>
        <w:rPr>
          <w:rFonts w:ascii="Arial"/>
          <w:sz w:val="21"/>
        </w:rPr>
      </w:pPr>
    </w:p>
    <w:p w14:paraId="5A72D519">
      <w:pPr>
        <w:pStyle w:val="2"/>
        <w:spacing w:before="81" w:line="221" w:lineRule="auto"/>
        <w:ind w:left="453"/>
        <w:outlineLvl w:val="2"/>
        <w:rPr>
          <w:sz w:val="25"/>
          <w:szCs w:val="25"/>
        </w:rPr>
      </w:pPr>
      <w:bookmarkStart w:id="252" w:name="bookmark488"/>
      <w:bookmarkEnd w:id="252"/>
      <w:bookmarkStart w:id="253" w:name="bookmark159"/>
      <w:bookmarkEnd w:id="253"/>
      <w:r>
        <w:rPr>
          <w:b/>
          <w:bCs/>
          <w:spacing w:val="4"/>
          <w:sz w:val="25"/>
          <w:szCs w:val="25"/>
        </w:rPr>
        <w:t>一</w:t>
      </w:r>
      <w:r>
        <w:rPr>
          <w:spacing w:val="-52"/>
          <w:sz w:val="25"/>
          <w:szCs w:val="25"/>
        </w:rPr>
        <w:t xml:space="preserve"> </w:t>
      </w:r>
      <w:r>
        <w:rPr>
          <w:b/>
          <w:bCs/>
          <w:spacing w:val="4"/>
          <w:sz w:val="25"/>
          <w:szCs w:val="25"/>
        </w:rPr>
        <w:t>、科学推论的一般原则</w:t>
      </w:r>
    </w:p>
    <w:p w14:paraId="766FEF2B">
      <w:pPr>
        <w:spacing w:before="211" w:line="212" w:lineRule="auto"/>
        <w:ind w:left="449"/>
        <w:rPr>
          <w:rFonts w:ascii="宋体" w:hAnsi="宋体" w:eastAsia="宋体" w:cs="宋体"/>
          <w:sz w:val="20"/>
          <w:szCs w:val="20"/>
        </w:rPr>
      </w:pPr>
      <w:r>
        <w:rPr>
          <w:rFonts w:ascii="宋体" w:hAnsi="宋体" w:eastAsia="宋体" w:cs="宋体"/>
          <w:spacing w:val="9"/>
          <w:sz w:val="20"/>
          <w:szCs w:val="20"/>
        </w:rPr>
        <w:t>科</w:t>
      </w:r>
      <w:r>
        <w:rPr>
          <w:rFonts w:ascii="宋体" w:hAnsi="宋体" w:eastAsia="宋体" w:cs="宋体"/>
          <w:spacing w:val="-37"/>
          <w:sz w:val="20"/>
          <w:szCs w:val="20"/>
        </w:rPr>
        <w:t xml:space="preserve"> </w:t>
      </w:r>
      <w:r>
        <w:rPr>
          <w:rFonts w:ascii="宋体" w:hAnsi="宋体" w:eastAsia="宋体" w:cs="宋体"/>
          <w:spacing w:val="9"/>
          <w:sz w:val="20"/>
          <w:szCs w:val="20"/>
        </w:rPr>
        <w:t>学</w:t>
      </w:r>
      <w:r>
        <w:rPr>
          <w:rFonts w:ascii="宋体" w:hAnsi="宋体" w:eastAsia="宋体" w:cs="宋体"/>
          <w:spacing w:val="-43"/>
          <w:sz w:val="20"/>
          <w:szCs w:val="20"/>
        </w:rPr>
        <w:t xml:space="preserve"> </w:t>
      </w:r>
      <w:r>
        <w:rPr>
          <w:rFonts w:ascii="宋体" w:hAnsi="宋体" w:eastAsia="宋体" w:cs="宋体"/>
          <w:spacing w:val="9"/>
          <w:sz w:val="20"/>
          <w:szCs w:val="20"/>
        </w:rPr>
        <w:t>推</w:t>
      </w:r>
      <w:r>
        <w:rPr>
          <w:rFonts w:ascii="宋体" w:hAnsi="宋体" w:eastAsia="宋体" w:cs="宋体"/>
          <w:spacing w:val="-41"/>
          <w:sz w:val="20"/>
          <w:szCs w:val="20"/>
        </w:rPr>
        <w:t xml:space="preserve"> </w:t>
      </w:r>
      <w:r>
        <w:rPr>
          <w:rFonts w:ascii="宋体" w:hAnsi="宋体" w:eastAsia="宋体" w:cs="宋体"/>
          <w:spacing w:val="9"/>
          <w:sz w:val="20"/>
          <w:szCs w:val="20"/>
        </w:rPr>
        <w:t>论</w:t>
      </w:r>
      <w:r>
        <w:rPr>
          <w:rFonts w:ascii="Times New Roman" w:hAnsi="Times New Roman" w:eastAsia="Times New Roman" w:cs="Times New Roman"/>
          <w:spacing w:val="9"/>
          <w:sz w:val="20"/>
          <w:szCs w:val="20"/>
        </w:rPr>
        <w:t>(</w:t>
      </w:r>
      <w:r>
        <w:rPr>
          <w:rFonts w:ascii="Times New Roman" w:hAnsi="Times New Roman" w:eastAsia="Times New Roman" w:cs="Times New Roman"/>
          <w:sz w:val="20"/>
          <w:szCs w:val="20"/>
        </w:rPr>
        <w:t>scientific</w:t>
      </w:r>
      <w:r>
        <w:rPr>
          <w:rFonts w:ascii="Times New Roman" w:hAnsi="Times New Roman" w:eastAsia="Times New Roman" w:cs="Times New Roman"/>
          <w:spacing w:val="9"/>
          <w:sz w:val="20"/>
          <w:szCs w:val="20"/>
        </w:rPr>
        <w:t xml:space="preserve">       </w:t>
      </w:r>
      <w:r>
        <w:rPr>
          <w:rFonts w:ascii="Times New Roman" w:hAnsi="Times New Roman" w:eastAsia="Times New Roman" w:cs="Times New Roman"/>
          <w:sz w:val="20"/>
          <w:szCs w:val="20"/>
        </w:rPr>
        <w:t>inference</w:t>
      </w:r>
      <w:r>
        <w:rPr>
          <w:rFonts w:ascii="Times New Roman" w:hAnsi="Times New Roman" w:eastAsia="Times New Roman" w:cs="Times New Roman"/>
          <w:spacing w:val="9"/>
          <w:sz w:val="20"/>
          <w:szCs w:val="20"/>
        </w:rPr>
        <w:t>)</w:t>
      </w:r>
      <w:r>
        <w:rPr>
          <w:rFonts w:ascii="宋体" w:hAnsi="宋体" w:eastAsia="宋体" w:cs="宋体"/>
          <w:spacing w:val="9"/>
          <w:sz w:val="20"/>
          <w:szCs w:val="20"/>
        </w:rPr>
        <w:t>是依据科学研究的结果对事物的本质或普遍规律进行的推断。</w:t>
      </w:r>
    </w:p>
    <w:p w14:paraId="4075DD8B">
      <w:pPr>
        <w:spacing w:before="201" w:line="218" w:lineRule="auto"/>
        <w:rPr>
          <w:rFonts w:ascii="宋体" w:hAnsi="宋体" w:eastAsia="宋体" w:cs="宋体"/>
          <w:sz w:val="20"/>
          <w:szCs w:val="20"/>
        </w:rPr>
      </w:pPr>
      <w:r>
        <w:rPr>
          <w:rFonts w:ascii="宋体" w:hAnsi="宋体" w:eastAsia="宋体" w:cs="宋体"/>
          <w:spacing w:val="9"/>
          <w:sz w:val="20"/>
          <w:szCs w:val="20"/>
        </w:rPr>
        <w:t>科学推论需要遵循一定的原则、按照一定的程序，推</w:t>
      </w:r>
      <w:r>
        <w:rPr>
          <w:rFonts w:ascii="宋体" w:hAnsi="宋体" w:eastAsia="宋体" w:cs="宋体"/>
          <w:spacing w:val="8"/>
          <w:sz w:val="20"/>
          <w:szCs w:val="20"/>
        </w:rPr>
        <w:t>论的一个重要部分是对结论正确性的评估。</w:t>
      </w:r>
    </w:p>
    <w:p w14:paraId="1266BD1C">
      <w:pPr>
        <w:spacing w:before="134" w:line="333" w:lineRule="auto"/>
        <w:ind w:right="556" w:firstLine="449"/>
        <w:jc w:val="both"/>
        <w:rPr>
          <w:rFonts w:ascii="宋体" w:hAnsi="宋体" w:eastAsia="宋体" w:cs="宋体"/>
          <w:sz w:val="20"/>
          <w:szCs w:val="20"/>
        </w:rPr>
      </w:pPr>
      <w:r>
        <w:rPr>
          <w:rFonts w:ascii="宋体" w:hAnsi="宋体" w:eastAsia="宋体" w:cs="宋体"/>
          <w:spacing w:val="12"/>
          <w:sz w:val="20"/>
          <w:szCs w:val="20"/>
        </w:rPr>
        <w:t>首先，推论有三个层次一是根据某具体研究进行的推论，二是根据所有同类研究进行的推论，</w:t>
      </w:r>
      <w:r>
        <w:rPr>
          <w:rFonts w:ascii="宋体" w:hAnsi="宋体" w:eastAsia="宋体" w:cs="宋体"/>
          <w:spacing w:val="7"/>
          <w:sz w:val="20"/>
          <w:szCs w:val="20"/>
        </w:rPr>
        <w:t xml:space="preserve"> </w:t>
      </w:r>
      <w:r>
        <w:rPr>
          <w:rFonts w:ascii="宋体" w:hAnsi="宋体" w:eastAsia="宋体" w:cs="宋体"/>
          <w:spacing w:val="12"/>
          <w:sz w:val="20"/>
          <w:szCs w:val="20"/>
        </w:rPr>
        <w:t>三是根据所有有关证据进行的推论(表8-4)。在单个研究层面上，推论结果的正确性首先取决于研</w:t>
      </w:r>
      <w:r>
        <w:rPr>
          <w:rFonts w:ascii="宋体" w:hAnsi="宋体" w:eastAsia="宋体" w:cs="宋体"/>
          <w:spacing w:val="8"/>
          <w:sz w:val="20"/>
          <w:szCs w:val="20"/>
        </w:rPr>
        <w:t xml:space="preserve">  </w:t>
      </w:r>
      <w:r>
        <w:rPr>
          <w:rFonts w:ascii="宋体" w:hAnsi="宋体" w:eastAsia="宋体" w:cs="宋体"/>
          <w:spacing w:val="10"/>
          <w:sz w:val="20"/>
          <w:szCs w:val="20"/>
        </w:rPr>
        <w:t>究的相关性和设计类型。比如，动物实验发现的病因未必能外推到人类。再如，病例系列研究可以</w:t>
      </w:r>
      <w:r>
        <w:rPr>
          <w:rFonts w:ascii="宋体" w:hAnsi="宋体" w:eastAsia="宋体" w:cs="宋体"/>
          <w:spacing w:val="8"/>
          <w:sz w:val="20"/>
          <w:szCs w:val="20"/>
        </w:rPr>
        <w:t xml:space="preserve">  </w:t>
      </w:r>
      <w:r>
        <w:rPr>
          <w:rFonts w:ascii="宋体" w:hAnsi="宋体" w:eastAsia="宋体" w:cs="宋体"/>
          <w:spacing w:val="11"/>
          <w:sz w:val="20"/>
          <w:szCs w:val="20"/>
        </w:rPr>
        <w:t>用来探索病因，但是由于其设计框架的问题，无论研究的其他方面多</w:t>
      </w:r>
      <w:r>
        <w:rPr>
          <w:rFonts w:ascii="宋体" w:hAnsi="宋体" w:eastAsia="宋体" w:cs="宋体"/>
          <w:spacing w:val="10"/>
          <w:sz w:val="20"/>
          <w:szCs w:val="20"/>
        </w:rPr>
        <w:t>么严谨，其因果关系的推论也</w:t>
      </w:r>
      <w:r>
        <w:rPr>
          <w:rFonts w:ascii="宋体" w:hAnsi="宋体" w:eastAsia="宋体" w:cs="宋体"/>
          <w:sz w:val="20"/>
          <w:szCs w:val="20"/>
        </w:rPr>
        <w:t xml:space="preserve">  </w:t>
      </w:r>
      <w:r>
        <w:rPr>
          <w:rFonts w:ascii="宋体" w:hAnsi="宋体" w:eastAsia="宋体" w:cs="宋体"/>
          <w:spacing w:val="15"/>
          <w:sz w:val="20"/>
          <w:szCs w:val="20"/>
        </w:rPr>
        <w:t>不可能十分可靠。如果是一项高质量的随机对照试验，其发现的因果关系应是迄今可获得的最可</w:t>
      </w:r>
      <w:r>
        <w:rPr>
          <w:rFonts w:ascii="宋体" w:hAnsi="宋体" w:eastAsia="宋体" w:cs="宋体"/>
          <w:spacing w:val="3"/>
          <w:sz w:val="20"/>
          <w:szCs w:val="20"/>
        </w:rPr>
        <w:t xml:space="preserve">  </w:t>
      </w:r>
      <w:r>
        <w:rPr>
          <w:rFonts w:ascii="宋体" w:hAnsi="宋体" w:eastAsia="宋体" w:cs="宋体"/>
          <w:spacing w:val="6"/>
          <w:sz w:val="20"/>
          <w:szCs w:val="20"/>
        </w:rPr>
        <w:t>靠的结果。其次，推论的正确性取决于研究的方法学质量和样本量，研究质量越高，</w:t>
      </w:r>
      <w:r>
        <w:rPr>
          <w:rFonts w:ascii="宋体" w:hAnsi="宋体" w:eastAsia="宋体" w:cs="宋体"/>
          <w:spacing w:val="5"/>
          <w:sz w:val="20"/>
          <w:szCs w:val="20"/>
        </w:rPr>
        <w:t>样本量越大，推</w:t>
      </w:r>
      <w:r>
        <w:rPr>
          <w:rFonts w:ascii="宋体" w:hAnsi="宋体" w:eastAsia="宋体" w:cs="宋体"/>
          <w:sz w:val="20"/>
          <w:szCs w:val="20"/>
        </w:rPr>
        <w:t xml:space="preserve">  </w:t>
      </w:r>
      <w:r>
        <w:rPr>
          <w:rFonts w:ascii="宋体" w:hAnsi="宋体" w:eastAsia="宋体" w:cs="宋体"/>
          <w:spacing w:val="11"/>
          <w:sz w:val="20"/>
          <w:szCs w:val="20"/>
        </w:rPr>
        <w:t>论结果的正确性就越高。研究质量的重要性大于样本量，如果</w:t>
      </w:r>
      <w:r>
        <w:rPr>
          <w:rFonts w:ascii="宋体" w:hAnsi="宋体" w:eastAsia="宋体" w:cs="宋体"/>
          <w:spacing w:val="10"/>
          <w:sz w:val="20"/>
          <w:szCs w:val="20"/>
        </w:rPr>
        <w:t>质量很低，无论样本量多大，结果都</w:t>
      </w:r>
      <w:r>
        <w:rPr>
          <w:rFonts w:ascii="宋体" w:hAnsi="宋体" w:eastAsia="宋体" w:cs="宋体"/>
          <w:sz w:val="20"/>
          <w:szCs w:val="20"/>
        </w:rPr>
        <w:t xml:space="preserve">  </w:t>
      </w:r>
      <w:r>
        <w:rPr>
          <w:rFonts w:ascii="宋体" w:hAnsi="宋体" w:eastAsia="宋体" w:cs="宋体"/>
          <w:spacing w:val="16"/>
          <w:sz w:val="20"/>
          <w:szCs w:val="20"/>
        </w:rPr>
        <w:t>是不可信的。</w:t>
      </w:r>
    </w:p>
    <w:p w14:paraId="1113E61F">
      <w:pPr>
        <w:pStyle w:val="2"/>
        <w:spacing w:before="181" w:line="221" w:lineRule="auto"/>
        <w:ind w:left="2912"/>
        <w:rPr>
          <w:sz w:val="20"/>
          <w:szCs w:val="20"/>
        </w:rPr>
      </w:pPr>
      <w:r>
        <w:rPr>
          <w:b/>
          <w:bCs/>
          <w:spacing w:val="-8"/>
          <w:sz w:val="20"/>
          <w:szCs w:val="20"/>
        </w:rPr>
        <w:t>表8-4</w:t>
      </w:r>
      <w:r>
        <w:rPr>
          <w:spacing w:val="92"/>
          <w:sz w:val="20"/>
          <w:szCs w:val="20"/>
        </w:rPr>
        <w:t xml:space="preserve"> </w:t>
      </w:r>
      <w:r>
        <w:rPr>
          <w:b/>
          <w:bCs/>
          <w:spacing w:val="-8"/>
          <w:sz w:val="20"/>
          <w:szCs w:val="20"/>
        </w:rPr>
        <w:t>病因推断的三个层次和两个方面</w:t>
      </w:r>
    </w:p>
    <w:p w14:paraId="5ACDF824">
      <w:pPr>
        <w:spacing w:line="47" w:lineRule="exact"/>
      </w:pPr>
    </w:p>
    <w:tbl>
      <w:tblPr>
        <w:tblStyle w:val="5"/>
        <w:tblW w:w="9099"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0" w:type="dxa"/>
          <w:left w:w="0" w:type="dxa"/>
          <w:bottom w:w="0" w:type="dxa"/>
          <w:right w:w="0" w:type="dxa"/>
        </w:tblCellMar>
      </w:tblPr>
      <w:tblGrid>
        <w:gridCol w:w="3798"/>
        <w:gridCol w:w="5301"/>
      </w:tblGrid>
      <w:tr w14:paraId="2A8F262F">
        <w:trPr>
          <w:trHeight w:val="253" w:hRule="atLeast"/>
        </w:trPr>
        <w:tc>
          <w:tcPr>
            <w:tcW w:w="3798" w:type="dxa"/>
            <w:tcBorders>
              <w:top w:val="single" w:color="000000" w:sz="8" w:space="0"/>
              <w:bottom w:val="single" w:color="000000" w:sz="4" w:space="0"/>
            </w:tcBorders>
            <w:vAlign w:val="top"/>
          </w:tcPr>
          <w:p w14:paraId="00215034">
            <w:pPr>
              <w:spacing w:before="77" w:line="165" w:lineRule="exact"/>
              <w:ind w:left="1668"/>
              <w:rPr>
                <w:rFonts w:ascii="黑体" w:hAnsi="黑体" w:eastAsia="黑体" w:cs="黑体"/>
                <w:sz w:val="20"/>
                <w:szCs w:val="20"/>
              </w:rPr>
            </w:pPr>
            <w:r>
              <w:drawing>
                <wp:anchor distT="0" distB="0" distL="0" distR="0" simplePos="0" relativeHeight="251834368" behindDoc="1" locked="0" layoutInCell="1" allowOverlap="1">
                  <wp:simplePos x="0" y="0"/>
                  <wp:positionH relativeFrom="column">
                    <wp:posOffset>12065</wp:posOffset>
                  </wp:positionH>
                  <wp:positionV relativeFrom="paragraph">
                    <wp:posOffset>-12700</wp:posOffset>
                  </wp:positionV>
                  <wp:extent cx="5740400" cy="254000"/>
                  <wp:effectExtent l="0" t="0" r="0" b="0"/>
                  <wp:wrapNone/>
                  <wp:docPr id="544" name="IM 544"/>
                  <wp:cNvGraphicFramePr/>
                  <a:graphic xmlns:a="http://schemas.openxmlformats.org/drawingml/2006/main">
                    <a:graphicData uri="http://schemas.openxmlformats.org/drawingml/2006/picture">
                      <pic:pic xmlns:pic="http://schemas.openxmlformats.org/drawingml/2006/picture">
                        <pic:nvPicPr>
                          <pic:cNvPr id="544" name="IM 544"/>
                          <pic:cNvPicPr/>
                        </pic:nvPicPr>
                        <pic:blipFill>
                          <a:blip r:embed="rId607"/>
                          <a:stretch>
                            <a:fillRect/>
                          </a:stretch>
                        </pic:blipFill>
                        <pic:spPr>
                          <a:xfrm>
                            <a:off x="0" y="0"/>
                            <a:ext cx="5740370" cy="254094"/>
                          </a:xfrm>
                          <a:prstGeom prst="rect">
                            <a:avLst/>
                          </a:prstGeom>
                        </pic:spPr>
                      </pic:pic>
                    </a:graphicData>
                  </a:graphic>
                </wp:anchor>
              </w:drawing>
            </w:r>
            <w:r>
              <w:rPr>
                <w:rFonts w:ascii="黑体" w:hAnsi="黑体" w:eastAsia="黑体" w:cs="黑体"/>
                <w:spacing w:val="-4"/>
                <w:position w:val="-1"/>
                <w:sz w:val="20"/>
                <w:szCs w:val="20"/>
              </w:rPr>
              <w:t>维</w:t>
            </w:r>
            <w:r>
              <w:rPr>
                <w:rFonts w:ascii="黑体" w:hAnsi="黑体" w:eastAsia="黑体" w:cs="黑体"/>
                <w:spacing w:val="46"/>
                <w:position w:val="-1"/>
                <w:sz w:val="20"/>
                <w:szCs w:val="20"/>
              </w:rPr>
              <w:t xml:space="preserve"> </w:t>
            </w:r>
            <w:r>
              <w:rPr>
                <w:rFonts w:ascii="黑体" w:hAnsi="黑体" w:eastAsia="黑体" w:cs="黑体"/>
                <w:spacing w:val="-4"/>
                <w:position w:val="-1"/>
                <w:sz w:val="20"/>
                <w:szCs w:val="20"/>
              </w:rPr>
              <w:t>度</w:t>
            </w:r>
          </w:p>
        </w:tc>
        <w:tc>
          <w:tcPr>
            <w:tcW w:w="5301" w:type="dxa"/>
            <w:tcBorders>
              <w:top w:val="single" w:color="000000" w:sz="8" w:space="0"/>
              <w:bottom w:val="single" w:color="000000" w:sz="2" w:space="0"/>
            </w:tcBorders>
            <w:vAlign w:val="top"/>
          </w:tcPr>
          <w:p w14:paraId="1FA0A25B">
            <w:pPr>
              <w:spacing w:before="68" w:line="170" w:lineRule="auto"/>
              <w:ind w:left="2137"/>
              <w:rPr>
                <w:rFonts w:ascii="黑体" w:hAnsi="黑体" w:eastAsia="黑体" w:cs="黑体"/>
                <w:sz w:val="19"/>
                <w:szCs w:val="19"/>
              </w:rPr>
            </w:pPr>
            <w:r>
              <w:rPr>
                <w:rFonts w:ascii="黑体" w:hAnsi="黑体" w:eastAsia="黑体" w:cs="黑体"/>
                <w:spacing w:val="-8"/>
                <w:sz w:val="19"/>
                <w:szCs w:val="19"/>
              </w:rPr>
              <w:t>病</w:t>
            </w:r>
            <w:r>
              <w:rPr>
                <w:rFonts w:ascii="黑体" w:hAnsi="黑体" w:eastAsia="黑体" w:cs="黑体"/>
                <w:spacing w:val="34"/>
                <w:w w:val="101"/>
                <w:sz w:val="19"/>
                <w:szCs w:val="19"/>
              </w:rPr>
              <w:t xml:space="preserve"> </w:t>
            </w:r>
            <w:r>
              <w:rPr>
                <w:rFonts w:ascii="黑体" w:hAnsi="黑体" w:eastAsia="黑体" w:cs="黑体"/>
                <w:spacing w:val="-8"/>
                <w:sz w:val="19"/>
                <w:szCs w:val="19"/>
              </w:rPr>
              <w:t>因</w:t>
            </w:r>
            <w:r>
              <w:rPr>
                <w:rFonts w:ascii="黑体" w:hAnsi="黑体" w:eastAsia="黑体" w:cs="黑体"/>
                <w:spacing w:val="20"/>
                <w:sz w:val="19"/>
                <w:szCs w:val="19"/>
              </w:rPr>
              <w:t xml:space="preserve"> </w:t>
            </w:r>
            <w:r>
              <w:rPr>
                <w:rFonts w:ascii="黑体" w:hAnsi="黑体" w:eastAsia="黑体" w:cs="黑体"/>
                <w:spacing w:val="-8"/>
                <w:sz w:val="19"/>
                <w:szCs w:val="19"/>
              </w:rPr>
              <w:t>推</w:t>
            </w:r>
            <w:r>
              <w:rPr>
                <w:rFonts w:ascii="黑体" w:hAnsi="黑体" w:eastAsia="黑体" w:cs="黑体"/>
                <w:spacing w:val="30"/>
                <w:sz w:val="19"/>
                <w:szCs w:val="19"/>
              </w:rPr>
              <w:t xml:space="preserve"> </w:t>
            </w:r>
            <w:r>
              <w:rPr>
                <w:rFonts w:ascii="黑体" w:hAnsi="黑体" w:eastAsia="黑体" w:cs="黑体"/>
                <w:spacing w:val="-8"/>
                <w:sz w:val="19"/>
                <w:szCs w:val="19"/>
              </w:rPr>
              <w:t>断</w:t>
            </w:r>
          </w:p>
        </w:tc>
      </w:tr>
      <w:tr w14:paraId="3864CE46">
        <w:trPr>
          <w:trHeight w:val="107" w:hRule="atLeast"/>
        </w:trPr>
        <w:tc>
          <w:tcPr>
            <w:tcW w:w="3798" w:type="dxa"/>
            <w:tcBorders>
              <w:top w:val="single" w:color="000000" w:sz="4" w:space="0"/>
            </w:tcBorders>
            <w:vAlign w:val="top"/>
          </w:tcPr>
          <w:p w14:paraId="038C25D4">
            <w:pPr>
              <w:spacing w:line="97" w:lineRule="exact"/>
              <w:rPr>
                <w:rFonts w:ascii="Arial"/>
                <w:sz w:val="8"/>
              </w:rPr>
            </w:pPr>
          </w:p>
        </w:tc>
        <w:tc>
          <w:tcPr>
            <w:tcW w:w="5301" w:type="dxa"/>
            <w:tcBorders>
              <w:top w:val="single" w:color="000000" w:sz="2" w:space="0"/>
            </w:tcBorders>
            <w:vAlign w:val="top"/>
          </w:tcPr>
          <w:p w14:paraId="7961809E">
            <w:pPr>
              <w:spacing w:line="97" w:lineRule="exact"/>
              <w:rPr>
                <w:rFonts w:ascii="Arial"/>
                <w:sz w:val="8"/>
              </w:rPr>
            </w:pPr>
          </w:p>
        </w:tc>
      </w:tr>
      <w:tr w14:paraId="588676B9">
        <w:trPr>
          <w:trHeight w:val="1040" w:hRule="atLeast"/>
        </w:trPr>
        <w:tc>
          <w:tcPr>
            <w:tcW w:w="3798" w:type="dxa"/>
            <w:vAlign w:val="top"/>
          </w:tcPr>
          <w:p w14:paraId="7C6BD237">
            <w:pPr>
              <w:pStyle w:val="6"/>
              <w:spacing w:before="68" w:line="219" w:lineRule="auto"/>
              <w:ind w:left="1119"/>
            </w:pPr>
            <w:r>
              <w:rPr>
                <w:spacing w:val="-4"/>
              </w:rPr>
              <w:t>病因推断的三个层次</w:t>
            </w:r>
          </w:p>
        </w:tc>
        <w:tc>
          <w:tcPr>
            <w:tcW w:w="5301" w:type="dxa"/>
            <w:vAlign w:val="top"/>
          </w:tcPr>
          <w:p w14:paraId="5CACF069">
            <w:pPr>
              <w:pStyle w:val="6"/>
              <w:spacing w:before="67" w:line="296" w:lineRule="auto"/>
              <w:ind w:left="1461" w:right="1360"/>
            </w:pPr>
            <w:r>
              <w:rPr>
                <w:spacing w:val="-7"/>
              </w:rPr>
              <w:t>单个研究内(真实性)的推论</w:t>
            </w:r>
            <w:r>
              <w:rPr>
                <w:spacing w:val="4"/>
              </w:rPr>
              <w:t xml:space="preserve">  </w:t>
            </w:r>
            <w:r>
              <w:rPr>
                <w:spacing w:val="-10"/>
              </w:rPr>
              <w:t>基于现有所有同类研究的推论</w:t>
            </w:r>
            <w:r>
              <w:rPr>
                <w:spacing w:val="8"/>
              </w:rPr>
              <w:t xml:space="preserve"> </w:t>
            </w:r>
            <w:r>
              <w:rPr>
                <w:spacing w:val="-10"/>
              </w:rPr>
              <w:t>基于所有有关证据的推论</w:t>
            </w:r>
          </w:p>
        </w:tc>
      </w:tr>
      <w:tr w14:paraId="0B19E163">
        <w:trPr>
          <w:trHeight w:val="628" w:hRule="atLeast"/>
        </w:trPr>
        <w:tc>
          <w:tcPr>
            <w:tcW w:w="3798" w:type="dxa"/>
            <w:tcBorders>
              <w:bottom w:val="single" w:color="000000" w:sz="4" w:space="0"/>
            </w:tcBorders>
            <w:vAlign w:val="top"/>
          </w:tcPr>
          <w:p w14:paraId="73E9B0C0">
            <w:pPr>
              <w:pStyle w:val="6"/>
              <w:spacing w:before="78" w:line="219" w:lineRule="auto"/>
              <w:ind w:left="1119"/>
            </w:pPr>
            <w:r>
              <w:drawing>
                <wp:anchor distT="0" distB="0" distL="0" distR="0" simplePos="0" relativeHeight="251835392" behindDoc="1" locked="0" layoutInCell="1" allowOverlap="1">
                  <wp:simplePos x="0" y="0"/>
                  <wp:positionH relativeFrom="column">
                    <wp:posOffset>24765</wp:posOffset>
                  </wp:positionH>
                  <wp:positionV relativeFrom="paragraph">
                    <wp:posOffset>6350</wp:posOffset>
                  </wp:positionV>
                  <wp:extent cx="5727700" cy="450850"/>
                  <wp:effectExtent l="0" t="0" r="0" b="0"/>
                  <wp:wrapNone/>
                  <wp:docPr id="546" name="IM 546"/>
                  <wp:cNvGraphicFramePr/>
                  <a:graphic xmlns:a="http://schemas.openxmlformats.org/drawingml/2006/main">
                    <a:graphicData uri="http://schemas.openxmlformats.org/drawingml/2006/picture">
                      <pic:pic xmlns:pic="http://schemas.openxmlformats.org/drawingml/2006/picture">
                        <pic:nvPicPr>
                          <pic:cNvPr id="546" name="IM 546"/>
                          <pic:cNvPicPr/>
                        </pic:nvPicPr>
                        <pic:blipFill>
                          <a:blip r:embed="rId608"/>
                          <a:stretch>
                            <a:fillRect/>
                          </a:stretch>
                        </pic:blipFill>
                        <pic:spPr>
                          <a:xfrm>
                            <a:off x="0" y="0"/>
                            <a:ext cx="5727675" cy="450832"/>
                          </a:xfrm>
                          <a:prstGeom prst="rect">
                            <a:avLst/>
                          </a:prstGeom>
                        </pic:spPr>
                      </pic:pic>
                    </a:graphicData>
                  </a:graphic>
                </wp:anchor>
              </w:drawing>
            </w:r>
            <w:r>
              <w:rPr>
                <w:spacing w:val="-4"/>
              </w:rPr>
              <w:t>病因推断的两个方面</w:t>
            </w:r>
          </w:p>
        </w:tc>
        <w:tc>
          <w:tcPr>
            <w:tcW w:w="5301" w:type="dxa"/>
            <w:tcBorders>
              <w:bottom w:val="single" w:color="000000" w:sz="4" w:space="0"/>
            </w:tcBorders>
            <w:vAlign w:val="top"/>
          </w:tcPr>
          <w:p w14:paraId="639E038D">
            <w:pPr>
              <w:pStyle w:val="6"/>
              <w:spacing w:before="78" w:line="220" w:lineRule="auto"/>
              <w:ind w:left="1461"/>
            </w:pPr>
            <w:r>
              <w:rPr>
                <w:spacing w:val="-7"/>
              </w:rPr>
              <w:t>对定性结论的推论</w:t>
            </w:r>
          </w:p>
          <w:p w14:paraId="15E518AC">
            <w:pPr>
              <w:pStyle w:val="6"/>
              <w:spacing w:before="122" w:line="165" w:lineRule="auto"/>
              <w:ind w:left="918"/>
            </w:pPr>
            <w:r>
              <w:rPr>
                <w:spacing w:val="-11"/>
              </w:rPr>
              <w:t>对</w:t>
            </w:r>
            <w:r>
              <w:rPr>
                <w:spacing w:val="20"/>
              </w:rPr>
              <w:t xml:space="preserve"> </w:t>
            </w:r>
            <w:r>
              <w:rPr>
                <w:spacing w:val="-11"/>
              </w:rPr>
              <w:t>定</w:t>
            </w:r>
            <w:r>
              <w:rPr>
                <w:spacing w:val="13"/>
              </w:rPr>
              <w:t xml:space="preserve"> </w:t>
            </w:r>
            <w:r>
              <w:rPr>
                <w:spacing w:val="-11"/>
              </w:rPr>
              <w:t>量</w:t>
            </w:r>
            <w:r>
              <w:rPr>
                <w:spacing w:val="17"/>
              </w:rPr>
              <w:t xml:space="preserve"> </w:t>
            </w:r>
            <w:r>
              <w:rPr>
                <w:spacing w:val="-11"/>
              </w:rPr>
              <w:t>结</w:t>
            </w:r>
            <w:r>
              <w:rPr>
                <w:spacing w:val="16"/>
              </w:rPr>
              <w:t xml:space="preserve"> </w:t>
            </w:r>
            <w:r>
              <w:rPr>
                <w:spacing w:val="-11"/>
              </w:rPr>
              <w:t>果</w:t>
            </w:r>
            <w:r>
              <w:rPr>
                <w:spacing w:val="29"/>
              </w:rPr>
              <w:t xml:space="preserve"> </w:t>
            </w:r>
            <w:r>
              <w:rPr>
                <w:spacing w:val="-11"/>
              </w:rPr>
              <w:t>的</w:t>
            </w:r>
            <w:r>
              <w:rPr>
                <w:spacing w:val="13"/>
              </w:rPr>
              <w:t xml:space="preserve"> </w:t>
            </w:r>
            <w:r>
              <w:rPr>
                <w:spacing w:val="-11"/>
              </w:rPr>
              <w:t>推</w:t>
            </w:r>
            <w:r>
              <w:rPr>
                <w:spacing w:val="14"/>
              </w:rPr>
              <w:t xml:space="preserve"> </w:t>
            </w:r>
            <w:r>
              <w:rPr>
                <w:spacing w:val="-11"/>
              </w:rPr>
              <w:t>论</w:t>
            </w:r>
          </w:p>
        </w:tc>
      </w:tr>
    </w:tbl>
    <w:p w14:paraId="4F5B1E6D">
      <w:pPr>
        <w:spacing w:line="371" w:lineRule="auto"/>
        <w:rPr>
          <w:rFonts w:ascii="Arial"/>
          <w:sz w:val="21"/>
        </w:rPr>
      </w:pPr>
    </w:p>
    <w:p w14:paraId="7B732889">
      <w:pPr>
        <w:spacing w:before="65" w:line="344" w:lineRule="auto"/>
        <w:ind w:right="648" w:firstLine="449"/>
        <w:rPr>
          <w:rFonts w:ascii="宋体" w:hAnsi="宋体" w:eastAsia="宋体" w:cs="宋体"/>
          <w:sz w:val="20"/>
          <w:szCs w:val="20"/>
        </w:rPr>
      </w:pPr>
      <w:r>
        <w:rPr>
          <w:rFonts w:ascii="宋体" w:hAnsi="宋体" w:eastAsia="宋体" w:cs="宋体"/>
          <w:spacing w:val="10"/>
          <w:sz w:val="20"/>
          <w:szCs w:val="20"/>
        </w:rPr>
        <w:t>下面将围绕基于单个研究及所有证据的推论，讨论因果关系推论的原则、程序和对结</w:t>
      </w:r>
      <w:r>
        <w:rPr>
          <w:rFonts w:ascii="宋体" w:hAnsi="宋体" w:eastAsia="宋体" w:cs="宋体"/>
          <w:spacing w:val="9"/>
          <w:sz w:val="20"/>
          <w:szCs w:val="20"/>
        </w:rPr>
        <w:t>论正确性</w:t>
      </w:r>
      <w:r>
        <w:rPr>
          <w:rFonts w:ascii="宋体" w:hAnsi="宋体" w:eastAsia="宋体" w:cs="宋体"/>
          <w:sz w:val="20"/>
          <w:szCs w:val="20"/>
        </w:rPr>
        <w:t xml:space="preserve"> </w:t>
      </w:r>
      <w:r>
        <w:rPr>
          <w:rFonts w:ascii="宋体" w:hAnsi="宋体" w:eastAsia="宋体" w:cs="宋体"/>
          <w:spacing w:val="12"/>
          <w:sz w:val="20"/>
          <w:szCs w:val="20"/>
        </w:rPr>
        <w:t>的判断。</w:t>
      </w:r>
    </w:p>
    <w:p w14:paraId="601507E9">
      <w:pPr>
        <w:pStyle w:val="2"/>
        <w:spacing w:before="182" w:line="222" w:lineRule="auto"/>
        <w:ind w:left="453"/>
        <w:outlineLvl w:val="2"/>
        <w:rPr>
          <w:sz w:val="25"/>
          <w:szCs w:val="25"/>
        </w:rPr>
      </w:pPr>
      <w:bookmarkStart w:id="254" w:name="bookmark160"/>
      <w:bookmarkEnd w:id="254"/>
      <w:r>
        <w:rPr>
          <w:b/>
          <w:bCs/>
          <w:spacing w:val="3"/>
          <w:sz w:val="25"/>
          <w:szCs w:val="25"/>
        </w:rPr>
        <w:t>二</w:t>
      </w:r>
      <w:r>
        <w:rPr>
          <w:spacing w:val="-56"/>
          <w:sz w:val="25"/>
          <w:szCs w:val="25"/>
        </w:rPr>
        <w:t xml:space="preserve"> </w:t>
      </w:r>
      <w:r>
        <w:rPr>
          <w:b/>
          <w:bCs/>
          <w:spacing w:val="3"/>
          <w:sz w:val="25"/>
          <w:szCs w:val="25"/>
        </w:rPr>
        <w:t>、评价单个研究的真实性</w:t>
      </w:r>
    </w:p>
    <w:p w14:paraId="69A9E28D">
      <w:pPr>
        <w:spacing w:before="241" w:line="329" w:lineRule="auto"/>
        <w:ind w:right="636" w:firstLine="449"/>
        <w:jc w:val="both"/>
        <w:rPr>
          <w:rFonts w:ascii="宋体" w:hAnsi="宋体" w:eastAsia="宋体" w:cs="宋体"/>
          <w:sz w:val="20"/>
          <w:szCs w:val="20"/>
        </w:rPr>
      </w:pPr>
      <w:r>
        <w:rPr>
          <w:rFonts w:ascii="宋体" w:hAnsi="宋体" w:eastAsia="宋体" w:cs="宋体"/>
          <w:spacing w:val="14"/>
          <w:sz w:val="20"/>
          <w:szCs w:val="20"/>
        </w:rPr>
        <w:t>即使是依据多项研究进行推论，原始研究的真实性</w:t>
      </w:r>
      <w:r>
        <w:rPr>
          <w:rFonts w:ascii="Times New Roman" w:hAnsi="Times New Roman" w:eastAsia="Times New Roman" w:cs="Times New Roman"/>
          <w:spacing w:val="14"/>
          <w:sz w:val="20"/>
          <w:szCs w:val="20"/>
        </w:rPr>
        <w:t>(</w:t>
      </w:r>
      <w:r>
        <w:rPr>
          <w:rFonts w:ascii="Times New Roman" w:hAnsi="Times New Roman" w:eastAsia="Times New Roman" w:cs="Times New Roman"/>
          <w:sz w:val="20"/>
          <w:szCs w:val="20"/>
        </w:rPr>
        <w:t>validity</w:t>
      </w:r>
      <w:r>
        <w:rPr>
          <w:rFonts w:ascii="Times New Roman" w:hAnsi="Times New Roman" w:eastAsia="Times New Roman" w:cs="Times New Roman"/>
          <w:spacing w:val="14"/>
          <w:sz w:val="20"/>
          <w:szCs w:val="20"/>
        </w:rPr>
        <w:t>)</w:t>
      </w:r>
      <w:r>
        <w:rPr>
          <w:rFonts w:ascii="Times New Roman" w:hAnsi="Times New Roman" w:eastAsia="Times New Roman" w:cs="Times New Roman"/>
          <w:spacing w:val="1"/>
          <w:sz w:val="20"/>
          <w:szCs w:val="20"/>
        </w:rPr>
        <w:t xml:space="preserve">   </w:t>
      </w:r>
      <w:r>
        <w:rPr>
          <w:rFonts w:ascii="宋体" w:hAnsi="宋体" w:eastAsia="宋体" w:cs="宋体"/>
          <w:spacing w:val="14"/>
          <w:sz w:val="20"/>
          <w:szCs w:val="20"/>
        </w:rPr>
        <w:t>仍然</w:t>
      </w:r>
      <w:r>
        <w:rPr>
          <w:rFonts w:ascii="宋体" w:hAnsi="宋体" w:eastAsia="宋体" w:cs="宋体"/>
          <w:spacing w:val="13"/>
          <w:sz w:val="20"/>
          <w:szCs w:val="20"/>
        </w:rPr>
        <w:t>是推论正确性的基础决定因</w:t>
      </w:r>
      <w:r>
        <w:rPr>
          <w:rFonts w:ascii="宋体" w:hAnsi="宋体" w:eastAsia="宋体" w:cs="宋体"/>
          <w:spacing w:val="2"/>
          <w:sz w:val="20"/>
          <w:szCs w:val="20"/>
        </w:rPr>
        <w:t xml:space="preserve"> </w:t>
      </w:r>
      <w:r>
        <w:rPr>
          <w:rFonts w:ascii="宋体" w:hAnsi="宋体" w:eastAsia="宋体" w:cs="宋体"/>
          <w:spacing w:val="11"/>
          <w:sz w:val="20"/>
          <w:szCs w:val="20"/>
        </w:rPr>
        <w:t>素，因此对原始研究真实性的评估是推论的</w:t>
      </w:r>
      <w:r>
        <w:rPr>
          <w:rFonts w:ascii="宋体" w:hAnsi="宋体" w:eastAsia="宋体" w:cs="宋体"/>
          <w:spacing w:val="10"/>
          <w:sz w:val="20"/>
          <w:szCs w:val="20"/>
        </w:rPr>
        <w:t>前提。同理，评估一项研究的真实性也是流行病学病因</w:t>
      </w:r>
      <w:r>
        <w:rPr>
          <w:rFonts w:ascii="宋体" w:hAnsi="宋体" w:eastAsia="宋体" w:cs="宋体"/>
          <w:sz w:val="20"/>
          <w:szCs w:val="20"/>
        </w:rPr>
        <w:t xml:space="preserve"> </w:t>
      </w:r>
      <w:r>
        <w:rPr>
          <w:rFonts w:ascii="宋体" w:hAnsi="宋体" w:eastAsia="宋体" w:cs="宋体"/>
          <w:spacing w:val="16"/>
          <w:sz w:val="20"/>
          <w:szCs w:val="20"/>
        </w:rPr>
        <w:t>推断的基础。</w:t>
      </w:r>
    </w:p>
    <w:p w14:paraId="4FE4360D">
      <w:pPr>
        <w:pStyle w:val="2"/>
        <w:spacing w:before="1" w:line="221" w:lineRule="auto"/>
        <w:ind w:left="453"/>
        <w:rPr>
          <w:sz w:val="25"/>
          <w:szCs w:val="25"/>
        </w:rPr>
      </w:pPr>
      <w:r>
        <w:rPr>
          <w:b/>
          <w:bCs/>
          <w:spacing w:val="-10"/>
          <w:sz w:val="25"/>
          <w:szCs w:val="25"/>
        </w:rPr>
        <w:t>(一)真实性和研究质量</w:t>
      </w:r>
    </w:p>
    <w:p w14:paraId="7BFBE8E3">
      <w:pPr>
        <w:spacing w:before="91" w:line="336" w:lineRule="auto"/>
        <w:ind w:right="641" w:firstLine="449"/>
        <w:jc w:val="both"/>
        <w:rPr>
          <w:rFonts w:ascii="宋体" w:hAnsi="宋体" w:eastAsia="宋体" w:cs="宋体"/>
          <w:sz w:val="20"/>
          <w:szCs w:val="20"/>
        </w:rPr>
      </w:pPr>
      <w:r>
        <w:rPr>
          <w:rFonts w:ascii="宋体" w:hAnsi="宋体" w:eastAsia="宋体" w:cs="宋体"/>
          <w:spacing w:val="14"/>
          <w:sz w:val="20"/>
          <w:szCs w:val="20"/>
        </w:rPr>
        <w:t>这里的真实性特指一项研究的内部真实性</w:t>
      </w:r>
      <w:r>
        <w:rPr>
          <w:rFonts w:ascii="Times New Roman" w:hAnsi="Times New Roman" w:eastAsia="Times New Roman" w:cs="Times New Roman"/>
          <w:spacing w:val="14"/>
          <w:sz w:val="20"/>
          <w:szCs w:val="20"/>
        </w:rPr>
        <w:t>(</w:t>
      </w:r>
      <w:r>
        <w:rPr>
          <w:rFonts w:ascii="Times New Roman" w:hAnsi="Times New Roman" w:eastAsia="Times New Roman" w:cs="Times New Roman"/>
          <w:sz w:val="20"/>
          <w:szCs w:val="20"/>
        </w:rPr>
        <w:t>internal</w:t>
      </w:r>
      <w:r>
        <w:rPr>
          <w:rFonts w:ascii="Times New Roman" w:hAnsi="Times New Roman" w:eastAsia="Times New Roman" w:cs="Times New Roman"/>
          <w:spacing w:val="14"/>
          <w:sz w:val="20"/>
          <w:szCs w:val="20"/>
        </w:rPr>
        <w:t xml:space="preserve">     </w:t>
      </w:r>
      <w:r>
        <w:rPr>
          <w:rFonts w:ascii="Times New Roman" w:hAnsi="Times New Roman" w:eastAsia="Times New Roman" w:cs="Times New Roman"/>
          <w:sz w:val="20"/>
          <w:szCs w:val="20"/>
        </w:rPr>
        <w:t>validity</w:t>
      </w:r>
      <w:r>
        <w:rPr>
          <w:rFonts w:ascii="Times New Roman" w:hAnsi="Times New Roman" w:eastAsia="Times New Roman" w:cs="Times New Roman"/>
          <w:spacing w:val="14"/>
          <w:sz w:val="20"/>
          <w:szCs w:val="20"/>
        </w:rPr>
        <w:t>),</w:t>
      </w:r>
      <w:r>
        <w:rPr>
          <w:rFonts w:ascii="宋体" w:hAnsi="宋体" w:eastAsia="宋体" w:cs="宋体"/>
          <w:spacing w:val="14"/>
          <w:sz w:val="20"/>
          <w:szCs w:val="20"/>
        </w:rPr>
        <w:t>即在研究条</w:t>
      </w:r>
      <w:r>
        <w:rPr>
          <w:rFonts w:ascii="宋体" w:hAnsi="宋体" w:eastAsia="宋体" w:cs="宋体"/>
          <w:spacing w:val="13"/>
          <w:sz w:val="20"/>
          <w:szCs w:val="20"/>
        </w:rPr>
        <w:t>件下测量值与实际值</w:t>
      </w:r>
      <w:r>
        <w:rPr>
          <w:rFonts w:ascii="宋体" w:hAnsi="宋体" w:eastAsia="宋体" w:cs="宋体"/>
          <w:sz w:val="20"/>
          <w:szCs w:val="20"/>
        </w:rPr>
        <w:t xml:space="preserve"> </w:t>
      </w:r>
      <w:r>
        <w:rPr>
          <w:rFonts w:ascii="宋体" w:hAnsi="宋体" w:eastAsia="宋体" w:cs="宋体"/>
          <w:spacing w:val="12"/>
          <w:sz w:val="20"/>
          <w:szCs w:val="20"/>
        </w:rPr>
        <w:t>相符合的程度。研究的目的在于求得真实，观察与真实之间的差别称为偏倚或系统误差。</w:t>
      </w:r>
      <w:r>
        <w:rPr>
          <w:rFonts w:ascii="宋体" w:hAnsi="宋体" w:eastAsia="宋体" w:cs="宋体"/>
          <w:spacing w:val="56"/>
          <w:sz w:val="20"/>
          <w:szCs w:val="20"/>
        </w:rPr>
        <w:t xml:space="preserve"> </w:t>
      </w:r>
      <w:r>
        <w:rPr>
          <w:rFonts w:ascii="宋体" w:hAnsi="宋体" w:eastAsia="宋体" w:cs="宋体"/>
          <w:spacing w:val="11"/>
          <w:sz w:val="20"/>
          <w:szCs w:val="20"/>
        </w:rPr>
        <w:t>一项研</w:t>
      </w:r>
      <w:r>
        <w:rPr>
          <w:rFonts w:ascii="宋体" w:hAnsi="宋体" w:eastAsia="宋体" w:cs="宋体"/>
          <w:sz w:val="20"/>
          <w:szCs w:val="20"/>
        </w:rPr>
        <w:t xml:space="preserve"> </w:t>
      </w:r>
      <w:r>
        <w:rPr>
          <w:rFonts w:ascii="宋体" w:hAnsi="宋体" w:eastAsia="宋体" w:cs="宋体"/>
          <w:spacing w:val="16"/>
          <w:sz w:val="20"/>
          <w:szCs w:val="20"/>
        </w:rPr>
        <w:t>究的偏倚与其结果的内部真实性成反比。决定研究结果内部真实性的是研究的</w:t>
      </w:r>
      <w:r>
        <w:rPr>
          <w:rFonts w:ascii="宋体" w:hAnsi="宋体" w:eastAsia="宋体" w:cs="宋体"/>
          <w:spacing w:val="15"/>
          <w:sz w:val="20"/>
          <w:szCs w:val="20"/>
        </w:rPr>
        <w:t>方法学质量，或简</w:t>
      </w:r>
      <w:r>
        <w:rPr>
          <w:rFonts w:ascii="宋体" w:hAnsi="宋体" w:eastAsia="宋体" w:cs="宋体"/>
          <w:sz w:val="20"/>
          <w:szCs w:val="20"/>
        </w:rPr>
        <w:t xml:space="preserve"> </w:t>
      </w:r>
      <w:r>
        <w:rPr>
          <w:rFonts w:ascii="宋体" w:hAnsi="宋体" w:eastAsia="宋体" w:cs="宋体"/>
          <w:spacing w:val="8"/>
          <w:sz w:val="20"/>
          <w:szCs w:val="20"/>
        </w:rPr>
        <w:t>称研究质量</w:t>
      </w:r>
      <w:r>
        <w:rPr>
          <w:rFonts w:ascii="Times New Roman" w:hAnsi="Times New Roman" w:eastAsia="Times New Roman" w:cs="Times New Roman"/>
          <w:spacing w:val="8"/>
          <w:sz w:val="20"/>
          <w:szCs w:val="20"/>
        </w:rPr>
        <w:t>(</w:t>
      </w:r>
      <w:r>
        <w:rPr>
          <w:rFonts w:ascii="Times New Roman" w:hAnsi="Times New Roman" w:eastAsia="Times New Roman" w:cs="Times New Roman"/>
          <w:sz w:val="20"/>
          <w:szCs w:val="20"/>
        </w:rPr>
        <w:t>methodological</w:t>
      </w:r>
      <w:r>
        <w:rPr>
          <w:rFonts w:ascii="Times New Roman" w:hAnsi="Times New Roman" w:eastAsia="Times New Roman" w:cs="Times New Roman"/>
          <w:spacing w:val="8"/>
          <w:sz w:val="20"/>
          <w:szCs w:val="20"/>
        </w:rPr>
        <w:t xml:space="preserve">    </w:t>
      </w:r>
      <w:r>
        <w:rPr>
          <w:rFonts w:ascii="Times New Roman" w:hAnsi="Times New Roman" w:eastAsia="Times New Roman" w:cs="Times New Roman"/>
          <w:sz w:val="20"/>
          <w:szCs w:val="20"/>
        </w:rPr>
        <w:t>quality</w:t>
      </w:r>
      <w:r>
        <w:rPr>
          <w:rFonts w:ascii="Times New Roman" w:hAnsi="Times New Roman" w:eastAsia="Times New Roman" w:cs="Times New Roman"/>
          <w:spacing w:val="8"/>
          <w:sz w:val="20"/>
          <w:szCs w:val="20"/>
        </w:rPr>
        <w:t>)</w:t>
      </w:r>
      <w:r>
        <w:rPr>
          <w:rFonts w:ascii="宋体" w:hAnsi="宋体" w:eastAsia="宋体" w:cs="宋体"/>
          <w:spacing w:val="8"/>
          <w:sz w:val="20"/>
          <w:szCs w:val="20"/>
        </w:rPr>
        <w:t>。研究质量是对研究偏倚控制程度的总体衡量。因此，研究质量</w:t>
      </w:r>
      <w:r>
        <w:rPr>
          <w:rFonts w:ascii="宋体" w:hAnsi="宋体" w:eastAsia="宋体" w:cs="宋体"/>
          <w:spacing w:val="11"/>
          <w:sz w:val="20"/>
          <w:szCs w:val="20"/>
        </w:rPr>
        <w:t xml:space="preserve"> </w:t>
      </w:r>
      <w:r>
        <w:rPr>
          <w:rFonts w:ascii="宋体" w:hAnsi="宋体" w:eastAsia="宋体" w:cs="宋体"/>
          <w:spacing w:val="5"/>
          <w:sz w:val="20"/>
          <w:szCs w:val="20"/>
        </w:rPr>
        <w:t>决定研究结果的真实性，质量越高，偏倚就越小，结果的真实性就越高，结论正确的可能性就越大。</w:t>
      </w:r>
    </w:p>
    <w:p w14:paraId="3366C41F">
      <w:pPr>
        <w:pStyle w:val="2"/>
        <w:spacing w:before="27" w:line="222" w:lineRule="auto"/>
        <w:ind w:left="452"/>
        <w:rPr>
          <w:sz w:val="20"/>
          <w:szCs w:val="20"/>
        </w:rPr>
      </w:pPr>
      <w:r>
        <w:rPr>
          <w:b/>
          <w:bCs/>
          <w:spacing w:val="31"/>
          <w:sz w:val="20"/>
          <w:szCs w:val="20"/>
        </w:rPr>
        <w:t>(二)决定研究质量的因素</w:t>
      </w:r>
    </w:p>
    <w:p w14:paraId="0B0062A1">
      <w:pPr>
        <w:spacing w:before="92" w:line="311" w:lineRule="auto"/>
        <w:ind w:right="640" w:firstLine="449"/>
        <w:rPr>
          <w:rFonts w:ascii="宋体" w:hAnsi="宋体" w:eastAsia="宋体" w:cs="宋体"/>
          <w:sz w:val="20"/>
          <w:szCs w:val="20"/>
        </w:rPr>
      </w:pPr>
      <w:r>
        <w:rPr>
          <w:rFonts w:ascii="宋体" w:hAnsi="宋体" w:eastAsia="宋体" w:cs="宋体"/>
          <w:spacing w:val="8"/>
          <w:sz w:val="20"/>
          <w:szCs w:val="20"/>
        </w:rPr>
        <w:t>1. 研究的质量由研究的偏倚控制措施决定。研究设计是一项研究控制偏倚最基本的方法，</w:t>
      </w:r>
      <w:r>
        <w:rPr>
          <w:rFonts w:ascii="宋体" w:hAnsi="宋体" w:eastAsia="宋体" w:cs="宋体"/>
          <w:spacing w:val="73"/>
          <w:sz w:val="20"/>
          <w:szCs w:val="20"/>
        </w:rPr>
        <w:t xml:space="preserve"> </w:t>
      </w:r>
      <w:r>
        <w:rPr>
          <w:rFonts w:ascii="宋体" w:hAnsi="宋体" w:eastAsia="宋体" w:cs="宋体"/>
          <w:spacing w:val="8"/>
          <w:sz w:val="20"/>
          <w:szCs w:val="20"/>
        </w:rPr>
        <w:t>一</w:t>
      </w:r>
      <w:r>
        <w:rPr>
          <w:rFonts w:ascii="宋体" w:hAnsi="宋体" w:eastAsia="宋体" w:cs="宋体"/>
          <w:sz w:val="20"/>
          <w:szCs w:val="20"/>
        </w:rPr>
        <w:t xml:space="preserve"> </w:t>
      </w:r>
      <w:r>
        <w:rPr>
          <w:rFonts w:ascii="宋体" w:hAnsi="宋体" w:eastAsia="宋体" w:cs="宋体"/>
          <w:spacing w:val="11"/>
          <w:sz w:val="20"/>
          <w:szCs w:val="20"/>
        </w:rPr>
        <w:t>项研究的质量首先取决于研究设计的种类。比如，评价疗效</w:t>
      </w:r>
      <w:r>
        <w:rPr>
          <w:rFonts w:ascii="宋体" w:hAnsi="宋体" w:eastAsia="宋体" w:cs="宋体"/>
          <w:spacing w:val="10"/>
          <w:sz w:val="20"/>
          <w:szCs w:val="20"/>
        </w:rPr>
        <w:t>时，从设计上讲，随机对照试验的质量</w:t>
      </w:r>
      <w:r>
        <w:rPr>
          <w:rFonts w:ascii="宋体" w:hAnsi="宋体" w:eastAsia="宋体" w:cs="宋体"/>
          <w:sz w:val="20"/>
          <w:szCs w:val="20"/>
        </w:rPr>
        <w:t xml:space="preserve"> </w:t>
      </w:r>
      <w:r>
        <w:rPr>
          <w:rFonts w:ascii="宋体" w:hAnsi="宋体" w:eastAsia="宋体" w:cs="宋体"/>
          <w:spacing w:val="11"/>
          <w:sz w:val="20"/>
          <w:szCs w:val="20"/>
        </w:rPr>
        <w:t>一般高于非随机的对照试验，后者又高于病例对照研究；对于病因研究，队列研</w:t>
      </w:r>
      <w:r>
        <w:rPr>
          <w:rFonts w:ascii="宋体" w:hAnsi="宋体" w:eastAsia="宋体" w:cs="宋体"/>
          <w:spacing w:val="10"/>
          <w:sz w:val="20"/>
          <w:szCs w:val="20"/>
        </w:rPr>
        <w:t>究的质量高于病例</w:t>
      </w:r>
      <w:r>
        <w:rPr>
          <w:rFonts w:ascii="宋体" w:hAnsi="宋体" w:eastAsia="宋体" w:cs="宋体"/>
          <w:sz w:val="20"/>
          <w:szCs w:val="20"/>
        </w:rPr>
        <w:t xml:space="preserve"> </w:t>
      </w:r>
      <w:r>
        <w:rPr>
          <w:rFonts w:ascii="宋体" w:hAnsi="宋体" w:eastAsia="宋体" w:cs="宋体"/>
          <w:spacing w:val="8"/>
          <w:sz w:val="20"/>
          <w:szCs w:val="20"/>
        </w:rPr>
        <w:t>对照研究，后者又高于病例系列研究。</w:t>
      </w:r>
    </w:p>
    <w:p w14:paraId="11939DAB">
      <w:pPr>
        <w:spacing w:before="123" w:line="219" w:lineRule="auto"/>
        <w:ind w:left="449"/>
        <w:rPr>
          <w:rFonts w:ascii="宋体" w:hAnsi="宋体" w:eastAsia="宋体" w:cs="宋体"/>
          <w:sz w:val="20"/>
          <w:szCs w:val="20"/>
        </w:rPr>
      </w:pPr>
      <w:r>
        <w:rPr>
          <w:rFonts w:ascii="宋体" w:hAnsi="宋体" w:eastAsia="宋体" w:cs="宋体"/>
          <w:spacing w:val="8"/>
          <w:sz w:val="20"/>
          <w:szCs w:val="20"/>
        </w:rPr>
        <w:t>2.</w:t>
      </w:r>
      <w:r>
        <w:rPr>
          <w:rFonts w:ascii="宋体" w:hAnsi="宋体" w:eastAsia="宋体" w:cs="宋体"/>
          <w:spacing w:val="-21"/>
          <w:sz w:val="20"/>
          <w:szCs w:val="20"/>
        </w:rPr>
        <w:t xml:space="preserve"> </w:t>
      </w:r>
      <w:r>
        <w:rPr>
          <w:rFonts w:ascii="宋体" w:hAnsi="宋体" w:eastAsia="宋体" w:cs="宋体"/>
          <w:spacing w:val="8"/>
          <w:sz w:val="20"/>
          <w:szCs w:val="20"/>
        </w:rPr>
        <w:t>研究的质量进一步取决于流行病学研究的一般偏倚控制措施，如收集资料的准确性、组间测</w:t>
      </w:r>
    </w:p>
    <w:p w14:paraId="3265498E">
      <w:pPr>
        <w:spacing w:line="219" w:lineRule="auto"/>
        <w:rPr>
          <w:rFonts w:ascii="宋体" w:hAnsi="宋体" w:eastAsia="宋体" w:cs="宋体"/>
          <w:sz w:val="20"/>
          <w:szCs w:val="20"/>
        </w:rPr>
        <w:sectPr>
          <w:footerReference r:id="rId176" w:type="default"/>
          <w:pgSz w:w="11900" w:h="16820"/>
          <w:pgMar w:top="400" w:right="813" w:bottom="869" w:left="1380" w:header="0" w:footer="689" w:gutter="0"/>
          <w:cols w:space="720" w:num="1"/>
        </w:sectPr>
      </w:pPr>
    </w:p>
    <w:p w14:paraId="290D3CCD">
      <w:pPr>
        <w:pStyle w:val="2"/>
        <w:spacing w:before="86" w:line="221" w:lineRule="auto"/>
        <w:ind w:left="649"/>
        <w:rPr>
          <w:sz w:val="19"/>
          <w:szCs w:val="19"/>
        </w:rPr>
      </w:pPr>
      <w:bookmarkStart w:id="255" w:name="bookmark489"/>
      <w:bookmarkEnd w:id="255"/>
      <w:r>
        <w:rPr>
          <w:spacing w:val="-10"/>
          <w:sz w:val="19"/>
          <w:szCs w:val="19"/>
        </w:rPr>
        <w:t>第八章病因及其发现和推断</w:t>
      </w:r>
    </w:p>
    <w:p w14:paraId="73374371">
      <w:pPr>
        <w:spacing w:line="278" w:lineRule="auto"/>
        <w:rPr>
          <w:rFonts w:ascii="Arial"/>
          <w:sz w:val="21"/>
        </w:rPr>
      </w:pPr>
    </w:p>
    <w:p w14:paraId="7D73E0A3">
      <w:pPr>
        <w:spacing w:line="279" w:lineRule="auto"/>
        <w:rPr>
          <w:rFonts w:ascii="Arial"/>
          <w:sz w:val="21"/>
        </w:rPr>
      </w:pPr>
    </w:p>
    <w:p w14:paraId="34D45C98">
      <w:pPr>
        <w:spacing w:before="62" w:line="219" w:lineRule="auto"/>
        <w:ind w:left="649"/>
        <w:rPr>
          <w:rFonts w:ascii="宋体" w:hAnsi="宋体" w:eastAsia="宋体" w:cs="宋体"/>
          <w:sz w:val="19"/>
          <w:szCs w:val="19"/>
        </w:rPr>
      </w:pPr>
      <w:r>
        <w:rPr>
          <w:rFonts w:ascii="宋体" w:hAnsi="宋体" w:eastAsia="宋体" w:cs="宋体"/>
          <w:spacing w:val="4"/>
          <w:sz w:val="19"/>
          <w:szCs w:val="19"/>
        </w:rPr>
        <w:t>量的一致性、样本的代表性、减少失访、足够的观察时间等。</w:t>
      </w:r>
    </w:p>
    <w:p w14:paraId="2DBADE3A">
      <w:pPr>
        <w:spacing w:before="183" w:line="307" w:lineRule="auto"/>
        <w:ind w:left="649" w:right="86" w:firstLine="410"/>
        <w:rPr>
          <w:rFonts w:ascii="宋体" w:hAnsi="宋体" w:eastAsia="宋体" w:cs="宋体"/>
          <w:sz w:val="19"/>
          <w:szCs w:val="19"/>
        </w:rPr>
      </w:pPr>
      <w:r>
        <w:rPr>
          <w:rFonts w:ascii="宋体" w:hAnsi="宋体" w:eastAsia="宋体" w:cs="宋体"/>
          <w:spacing w:val="10"/>
          <w:sz w:val="19"/>
          <w:szCs w:val="19"/>
        </w:rPr>
        <w:t>3.</w:t>
      </w:r>
      <w:r>
        <w:rPr>
          <w:rFonts w:ascii="宋体" w:hAnsi="宋体" w:eastAsia="宋体" w:cs="宋体"/>
          <w:spacing w:val="-8"/>
          <w:sz w:val="19"/>
          <w:szCs w:val="19"/>
        </w:rPr>
        <w:t xml:space="preserve"> </w:t>
      </w:r>
      <w:r>
        <w:rPr>
          <w:rFonts w:ascii="宋体" w:hAnsi="宋体" w:eastAsia="宋体" w:cs="宋体"/>
          <w:spacing w:val="10"/>
          <w:sz w:val="19"/>
          <w:szCs w:val="19"/>
        </w:rPr>
        <w:t>研究的质量还取决于一类研究设计特有的偏倚控制措施，比如临床试验可使用随机分组、分</w:t>
      </w:r>
      <w:r>
        <w:rPr>
          <w:rFonts w:ascii="宋体" w:hAnsi="宋体" w:eastAsia="宋体" w:cs="宋体"/>
          <w:sz w:val="19"/>
          <w:szCs w:val="19"/>
        </w:rPr>
        <w:t xml:space="preserve"> </w:t>
      </w:r>
      <w:r>
        <w:rPr>
          <w:rFonts w:ascii="宋体" w:hAnsi="宋体" w:eastAsia="宋体" w:cs="宋体"/>
          <w:spacing w:val="12"/>
          <w:sz w:val="19"/>
          <w:szCs w:val="19"/>
        </w:rPr>
        <w:t>组隐匿、盲法、维持原随机分组的意向治疗分析等偏倚控制措施。但一项研究不一定采取所有这些</w:t>
      </w:r>
      <w:r>
        <w:rPr>
          <w:rFonts w:ascii="宋体" w:hAnsi="宋体" w:eastAsia="宋体" w:cs="宋体"/>
          <w:spacing w:val="2"/>
          <w:sz w:val="19"/>
          <w:szCs w:val="19"/>
        </w:rPr>
        <w:t xml:space="preserve"> </w:t>
      </w:r>
      <w:r>
        <w:rPr>
          <w:rFonts w:ascii="宋体" w:hAnsi="宋体" w:eastAsia="宋体" w:cs="宋体"/>
          <w:spacing w:val="5"/>
          <w:sz w:val="19"/>
          <w:szCs w:val="19"/>
        </w:rPr>
        <w:t>措施。使用得越多，偏倚控制就越好，质量就越高。</w:t>
      </w:r>
    </w:p>
    <w:p w14:paraId="4C7D6D9E">
      <w:pPr>
        <w:spacing w:before="122" w:line="218" w:lineRule="auto"/>
        <w:ind w:left="1060"/>
        <w:rPr>
          <w:rFonts w:ascii="宋体" w:hAnsi="宋体" w:eastAsia="宋体" w:cs="宋体"/>
          <w:sz w:val="19"/>
          <w:szCs w:val="19"/>
        </w:rPr>
      </w:pPr>
      <w:r>
        <w:rPr>
          <w:rFonts w:ascii="宋体" w:hAnsi="宋体" w:eastAsia="宋体" w:cs="宋体"/>
          <w:spacing w:val="11"/>
          <w:sz w:val="19"/>
          <w:szCs w:val="19"/>
        </w:rPr>
        <w:t>4.</w:t>
      </w:r>
      <w:r>
        <w:rPr>
          <w:rFonts w:ascii="宋体" w:hAnsi="宋体" w:eastAsia="宋体" w:cs="宋体"/>
          <w:spacing w:val="-38"/>
          <w:sz w:val="19"/>
          <w:szCs w:val="19"/>
        </w:rPr>
        <w:t xml:space="preserve"> </w:t>
      </w:r>
      <w:r>
        <w:rPr>
          <w:rFonts w:ascii="宋体" w:hAnsi="宋体" w:eastAsia="宋体" w:cs="宋体"/>
          <w:spacing w:val="11"/>
          <w:sz w:val="19"/>
          <w:szCs w:val="19"/>
        </w:rPr>
        <w:t>样本量决定抽样误差的大小，决定结果估计的精确性，本质上也是研究</w:t>
      </w:r>
      <w:r>
        <w:rPr>
          <w:rFonts w:ascii="宋体" w:hAnsi="宋体" w:eastAsia="宋体" w:cs="宋体"/>
          <w:spacing w:val="10"/>
          <w:sz w:val="19"/>
          <w:szCs w:val="19"/>
        </w:rPr>
        <w:t>结果与真实接近程度</w:t>
      </w:r>
    </w:p>
    <w:p w14:paraId="1B19CDC2">
      <w:pPr>
        <w:spacing w:line="187" w:lineRule="exact"/>
      </w:pPr>
    </w:p>
    <w:tbl>
      <w:tblPr>
        <w:tblStyle w:val="5"/>
        <w:tblW w:w="8714" w:type="dxa"/>
        <w:tblInd w:w="649"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0" w:type="dxa"/>
          <w:left w:w="0" w:type="dxa"/>
          <w:bottom w:w="0" w:type="dxa"/>
          <w:right w:w="0" w:type="dxa"/>
        </w:tblCellMar>
      </w:tblPr>
      <w:tblGrid>
        <w:gridCol w:w="5733"/>
        <w:gridCol w:w="1573"/>
        <w:gridCol w:w="1408"/>
      </w:tblGrid>
      <w:tr w14:paraId="1D49CA96">
        <w:trPr>
          <w:trHeight w:val="703" w:hRule="atLeast"/>
        </w:trPr>
        <w:tc>
          <w:tcPr>
            <w:tcW w:w="5733" w:type="dxa"/>
            <w:vAlign w:val="top"/>
          </w:tcPr>
          <w:p w14:paraId="124E7639">
            <w:pPr>
              <w:pStyle w:val="6"/>
              <w:spacing w:line="219" w:lineRule="auto"/>
              <w:rPr>
                <w:sz w:val="19"/>
                <w:szCs w:val="19"/>
              </w:rPr>
            </w:pPr>
            <w:r>
              <w:rPr>
                <w:spacing w:val="15"/>
                <w:sz w:val="19"/>
                <w:szCs w:val="19"/>
              </w:rPr>
              <w:t>的决定因素之一。</w:t>
            </w:r>
          </w:p>
          <w:p w14:paraId="6D2377EE">
            <w:pPr>
              <w:pStyle w:val="6"/>
              <w:spacing w:before="170" w:line="218" w:lineRule="auto"/>
              <w:ind w:left="412"/>
              <w:rPr>
                <w:sz w:val="19"/>
                <w:szCs w:val="19"/>
              </w:rPr>
            </w:pPr>
            <w:r>
              <w:rPr>
                <w:b/>
                <w:bCs/>
                <w:spacing w:val="28"/>
                <w:sz w:val="19"/>
                <w:szCs w:val="19"/>
              </w:rPr>
              <w:t>(三)评价研究质量的方法</w:t>
            </w:r>
          </w:p>
        </w:tc>
        <w:tc>
          <w:tcPr>
            <w:tcW w:w="1573" w:type="dxa"/>
            <w:vAlign w:val="top"/>
          </w:tcPr>
          <w:p w14:paraId="3DE75E2B">
            <w:pPr>
              <w:spacing w:line="422" w:lineRule="auto"/>
              <w:rPr>
                <w:rFonts w:ascii="Arial"/>
                <w:sz w:val="21"/>
              </w:rPr>
            </w:pPr>
          </w:p>
          <w:p w14:paraId="3DD958A4">
            <w:pPr>
              <w:pStyle w:val="6"/>
              <w:spacing w:before="62" w:line="200" w:lineRule="auto"/>
              <w:ind w:left="266"/>
              <w:rPr>
                <w:sz w:val="19"/>
                <w:szCs w:val="19"/>
              </w:rPr>
            </w:pPr>
            <w:r>
              <w:rPr>
                <w:spacing w:val="-16"/>
                <w:sz w:val="19"/>
                <w:szCs w:val="19"/>
              </w:rPr>
              <w:t>队列研究</w:t>
            </w:r>
          </w:p>
        </w:tc>
        <w:tc>
          <w:tcPr>
            <w:tcW w:w="1408" w:type="dxa"/>
            <w:vAlign w:val="top"/>
          </w:tcPr>
          <w:p w14:paraId="60D30215">
            <w:pPr>
              <w:spacing w:line="422" w:lineRule="auto"/>
              <w:rPr>
                <w:rFonts w:ascii="Arial"/>
                <w:sz w:val="21"/>
              </w:rPr>
            </w:pPr>
          </w:p>
          <w:p w14:paraId="6BA1A912">
            <w:pPr>
              <w:pStyle w:val="6"/>
              <w:spacing w:before="62" w:line="200" w:lineRule="auto"/>
              <w:ind w:left="626"/>
              <w:rPr>
                <w:sz w:val="19"/>
                <w:szCs w:val="19"/>
              </w:rPr>
            </w:pPr>
            <w:r>
              <w:rPr>
                <w:b/>
                <w:bCs/>
                <w:spacing w:val="-12"/>
                <w:sz w:val="19"/>
                <w:szCs w:val="19"/>
              </w:rPr>
              <w:t>最高质量</w:t>
            </w:r>
          </w:p>
        </w:tc>
      </w:tr>
      <w:tr w14:paraId="29B7A003">
        <w:trPr>
          <w:trHeight w:val="311" w:hRule="atLeast"/>
        </w:trPr>
        <w:tc>
          <w:tcPr>
            <w:tcW w:w="5733" w:type="dxa"/>
            <w:vAlign w:val="top"/>
          </w:tcPr>
          <w:p w14:paraId="2D9C74B2">
            <w:pPr>
              <w:pStyle w:val="6"/>
              <w:spacing w:before="25" w:line="218" w:lineRule="auto"/>
              <w:ind w:left="410"/>
              <w:rPr>
                <w:sz w:val="19"/>
                <w:szCs w:val="19"/>
              </w:rPr>
            </w:pPr>
            <w:r>
              <w:rPr>
                <w:spacing w:val="17"/>
                <w:sz w:val="19"/>
                <w:szCs w:val="19"/>
              </w:rPr>
              <w:t>评价一项研究的质量就是对该研究设计和偏倚控制措施进</w:t>
            </w:r>
          </w:p>
        </w:tc>
        <w:tc>
          <w:tcPr>
            <w:tcW w:w="1573" w:type="dxa"/>
            <w:vAlign w:val="top"/>
          </w:tcPr>
          <w:p w14:paraId="33940F8D">
            <w:pPr>
              <w:rPr>
                <w:rFonts w:ascii="Arial"/>
                <w:sz w:val="21"/>
              </w:rPr>
            </w:pPr>
          </w:p>
        </w:tc>
        <w:tc>
          <w:tcPr>
            <w:tcW w:w="1408" w:type="dxa"/>
            <w:vAlign w:val="top"/>
          </w:tcPr>
          <w:p w14:paraId="18A01CEE">
            <w:pPr>
              <w:rPr>
                <w:rFonts w:ascii="Arial"/>
                <w:sz w:val="21"/>
              </w:rPr>
            </w:pPr>
          </w:p>
        </w:tc>
      </w:tr>
      <w:tr w14:paraId="7C654417">
        <w:trPr>
          <w:trHeight w:val="2185" w:hRule="atLeast"/>
        </w:trPr>
        <w:tc>
          <w:tcPr>
            <w:tcW w:w="5733" w:type="dxa"/>
            <w:vAlign w:val="top"/>
          </w:tcPr>
          <w:p w14:paraId="1BFEF7A4">
            <w:pPr>
              <w:pStyle w:val="6"/>
              <w:spacing w:before="94" w:line="337" w:lineRule="auto"/>
              <w:ind w:right="136"/>
              <w:jc w:val="both"/>
              <w:rPr>
                <w:sz w:val="19"/>
                <w:szCs w:val="19"/>
              </w:rPr>
            </w:pPr>
            <w:r>
              <w:rPr>
                <w:spacing w:val="7"/>
                <w:sz w:val="19"/>
                <w:szCs w:val="19"/>
              </w:rPr>
              <w:t>行分析和评价。</w:t>
            </w:r>
            <w:r>
              <w:rPr>
                <w:spacing w:val="-23"/>
                <w:sz w:val="19"/>
                <w:szCs w:val="19"/>
              </w:rPr>
              <w:t xml:space="preserve"> </w:t>
            </w:r>
            <w:r>
              <w:rPr>
                <w:spacing w:val="7"/>
                <w:sz w:val="19"/>
                <w:szCs w:val="19"/>
              </w:rPr>
              <w:t>一个简单、快速、粗略的评价方法是根据研究设</w:t>
            </w:r>
            <w:r>
              <w:rPr>
                <w:sz w:val="19"/>
                <w:szCs w:val="19"/>
              </w:rPr>
              <w:t xml:space="preserve"> </w:t>
            </w:r>
            <w:r>
              <w:rPr>
                <w:spacing w:val="16"/>
                <w:sz w:val="19"/>
                <w:szCs w:val="19"/>
              </w:rPr>
              <w:t>计的类型，将研究质量(或研究提供的证据质量)进行分级。图</w:t>
            </w:r>
            <w:r>
              <w:rPr>
                <w:spacing w:val="17"/>
                <w:sz w:val="19"/>
                <w:szCs w:val="19"/>
              </w:rPr>
              <w:t xml:space="preserve"> </w:t>
            </w:r>
            <w:r>
              <w:rPr>
                <w:spacing w:val="16"/>
                <w:sz w:val="19"/>
                <w:szCs w:val="19"/>
              </w:rPr>
              <w:t>8-10是对病因证据的分级，不同研究提供的证</w:t>
            </w:r>
            <w:r>
              <w:rPr>
                <w:spacing w:val="15"/>
                <w:sz w:val="19"/>
                <w:szCs w:val="19"/>
              </w:rPr>
              <w:t>据质量自下而上</w:t>
            </w:r>
            <w:r>
              <w:rPr>
                <w:sz w:val="19"/>
                <w:szCs w:val="19"/>
              </w:rPr>
              <w:t xml:space="preserve"> </w:t>
            </w:r>
            <w:r>
              <w:rPr>
                <w:spacing w:val="15"/>
                <w:sz w:val="19"/>
                <w:szCs w:val="19"/>
              </w:rPr>
              <w:t>逐渐递增。证据分级</w:t>
            </w:r>
            <w:r>
              <w:rPr>
                <w:rFonts w:ascii="Times New Roman" w:hAnsi="Times New Roman" w:eastAsia="Times New Roman" w:cs="Times New Roman"/>
                <w:spacing w:val="15"/>
                <w:sz w:val="19"/>
                <w:szCs w:val="19"/>
              </w:rPr>
              <w:t>(</w:t>
            </w:r>
            <w:r>
              <w:rPr>
                <w:rFonts w:ascii="Times New Roman" w:hAnsi="Times New Roman" w:eastAsia="Times New Roman" w:cs="Times New Roman"/>
                <w:sz w:val="19"/>
                <w:szCs w:val="19"/>
              </w:rPr>
              <w:t>hierarchy</w:t>
            </w:r>
            <w:r>
              <w:rPr>
                <w:rFonts w:ascii="Times New Roman" w:hAnsi="Times New Roman" w:eastAsia="Times New Roman" w:cs="Times New Roman"/>
                <w:spacing w:val="4"/>
                <w:sz w:val="19"/>
                <w:szCs w:val="19"/>
              </w:rPr>
              <w:t xml:space="preserve">    </w:t>
            </w:r>
            <w:r>
              <w:rPr>
                <w:rFonts w:ascii="Times New Roman" w:hAnsi="Times New Roman" w:eastAsia="Times New Roman" w:cs="Times New Roman"/>
                <w:sz w:val="19"/>
                <w:szCs w:val="19"/>
              </w:rPr>
              <w:t>of</w:t>
            </w:r>
            <w:r>
              <w:rPr>
                <w:rFonts w:ascii="Times New Roman" w:hAnsi="Times New Roman" w:eastAsia="Times New Roman" w:cs="Times New Roman"/>
                <w:spacing w:val="15"/>
                <w:sz w:val="19"/>
                <w:szCs w:val="19"/>
              </w:rPr>
              <w:t xml:space="preserve">   </w:t>
            </w:r>
            <w:r>
              <w:rPr>
                <w:rFonts w:ascii="Times New Roman" w:hAnsi="Times New Roman" w:eastAsia="Times New Roman" w:cs="Times New Roman"/>
                <w:sz w:val="19"/>
                <w:szCs w:val="19"/>
              </w:rPr>
              <w:t>evidence</w:t>
            </w:r>
            <w:r>
              <w:rPr>
                <w:rFonts w:ascii="Times New Roman" w:hAnsi="Times New Roman" w:eastAsia="Times New Roman" w:cs="Times New Roman"/>
                <w:spacing w:val="15"/>
                <w:sz w:val="19"/>
                <w:szCs w:val="19"/>
              </w:rPr>
              <w:t>)</w:t>
            </w:r>
            <w:r>
              <w:rPr>
                <w:spacing w:val="15"/>
                <w:sz w:val="19"/>
                <w:szCs w:val="19"/>
              </w:rPr>
              <w:t>是快速评估真实性</w:t>
            </w:r>
            <w:r>
              <w:rPr>
                <w:sz w:val="19"/>
                <w:szCs w:val="19"/>
              </w:rPr>
              <w:t xml:space="preserve"> </w:t>
            </w:r>
            <w:r>
              <w:rPr>
                <w:spacing w:val="17"/>
                <w:sz w:val="19"/>
                <w:szCs w:val="19"/>
              </w:rPr>
              <w:t>常用的参考工具。对于疗效证据的分级，队列研究上面还有随</w:t>
            </w:r>
            <w:r>
              <w:rPr>
                <w:sz w:val="19"/>
                <w:szCs w:val="19"/>
              </w:rPr>
              <w:t xml:space="preserve"> </w:t>
            </w:r>
            <w:r>
              <w:rPr>
                <w:spacing w:val="10"/>
                <w:sz w:val="19"/>
                <w:szCs w:val="19"/>
              </w:rPr>
              <w:t>机对照试验。</w:t>
            </w:r>
          </w:p>
        </w:tc>
        <w:tc>
          <w:tcPr>
            <w:tcW w:w="2981" w:type="dxa"/>
            <w:gridSpan w:val="2"/>
            <w:vAlign w:val="top"/>
          </w:tcPr>
          <w:p w14:paraId="48AA7A8D">
            <w:pPr>
              <w:pStyle w:val="6"/>
              <w:spacing w:before="95" w:line="219" w:lineRule="auto"/>
              <w:ind w:left="266"/>
              <w:rPr>
                <w:sz w:val="19"/>
                <w:szCs w:val="19"/>
              </w:rPr>
            </w:pPr>
            <w:r>
              <w:rPr>
                <w:spacing w:val="-17"/>
                <w:sz w:val="19"/>
                <w:szCs w:val="19"/>
              </w:rPr>
              <w:t>病例对照研究</w:t>
            </w:r>
          </w:p>
          <w:p w14:paraId="3AF03EA4">
            <w:pPr>
              <w:spacing w:line="340" w:lineRule="auto"/>
              <w:rPr>
                <w:rFonts w:ascii="Arial"/>
                <w:sz w:val="21"/>
              </w:rPr>
            </w:pPr>
          </w:p>
          <w:p w14:paraId="6FA62632">
            <w:pPr>
              <w:pStyle w:val="6"/>
              <w:spacing w:before="62" w:line="219" w:lineRule="auto"/>
              <w:ind w:left="266"/>
              <w:rPr>
                <w:sz w:val="19"/>
                <w:szCs w:val="19"/>
              </w:rPr>
            </w:pPr>
            <w:r>
              <w:rPr>
                <w:spacing w:val="-15"/>
                <w:sz w:val="19"/>
                <w:szCs w:val="19"/>
              </w:rPr>
              <w:t>横断面研究</w:t>
            </w:r>
          </w:p>
          <w:p w14:paraId="590D8C3E">
            <w:pPr>
              <w:spacing w:line="341" w:lineRule="auto"/>
              <w:rPr>
                <w:rFonts w:ascii="Arial"/>
                <w:sz w:val="21"/>
              </w:rPr>
            </w:pPr>
          </w:p>
          <w:p w14:paraId="1F65C1BB">
            <w:pPr>
              <w:pStyle w:val="6"/>
              <w:spacing w:before="62" w:line="219" w:lineRule="auto"/>
              <w:ind w:left="266"/>
              <w:rPr>
                <w:sz w:val="19"/>
                <w:szCs w:val="19"/>
              </w:rPr>
            </w:pPr>
            <w:r>
              <w:rPr>
                <w:spacing w:val="-16"/>
                <w:sz w:val="19"/>
                <w:szCs w:val="19"/>
              </w:rPr>
              <w:t>病例系列研究</w:t>
            </w:r>
            <w:r>
              <w:rPr>
                <w:spacing w:val="6"/>
                <w:sz w:val="19"/>
                <w:szCs w:val="19"/>
              </w:rPr>
              <w:t xml:space="preserve">         </w:t>
            </w:r>
            <w:r>
              <w:rPr>
                <w:spacing w:val="-16"/>
                <w:sz w:val="19"/>
                <w:szCs w:val="19"/>
              </w:rPr>
              <w:t>最低质量</w:t>
            </w:r>
          </w:p>
          <w:p w14:paraId="72435B1E">
            <w:pPr>
              <w:spacing w:before="164" w:line="222" w:lineRule="auto"/>
              <w:jc w:val="right"/>
              <w:rPr>
                <w:rFonts w:ascii="黑体" w:hAnsi="黑体" w:eastAsia="黑体" w:cs="黑体"/>
                <w:sz w:val="19"/>
                <w:szCs w:val="19"/>
              </w:rPr>
            </w:pPr>
            <w:r>
              <w:rPr>
                <w:rFonts w:ascii="黑体" w:hAnsi="黑体" w:eastAsia="黑体" w:cs="黑体"/>
                <w:spacing w:val="1"/>
                <w:sz w:val="19"/>
                <w:szCs w:val="19"/>
              </w:rPr>
              <w:t>图8-10</w:t>
            </w:r>
            <w:r>
              <w:rPr>
                <w:rFonts w:ascii="黑体" w:hAnsi="黑体" w:eastAsia="黑体" w:cs="黑体"/>
                <w:spacing w:val="71"/>
                <w:w w:val="101"/>
                <w:sz w:val="19"/>
                <w:szCs w:val="19"/>
              </w:rPr>
              <w:t xml:space="preserve"> </w:t>
            </w:r>
            <w:r>
              <w:rPr>
                <w:rFonts w:ascii="黑体" w:hAnsi="黑体" w:eastAsia="黑体" w:cs="黑体"/>
                <w:spacing w:val="1"/>
                <w:sz w:val="19"/>
                <w:szCs w:val="19"/>
              </w:rPr>
              <w:t>研究设计与病因证据质量</w:t>
            </w:r>
          </w:p>
        </w:tc>
      </w:tr>
    </w:tbl>
    <w:p w14:paraId="71F2BF86">
      <w:pPr>
        <w:spacing w:before="178" w:line="360" w:lineRule="auto"/>
        <w:ind w:left="649" w:right="79" w:firstLine="410"/>
        <w:jc w:val="both"/>
        <w:rPr>
          <w:rFonts w:ascii="宋体" w:hAnsi="宋体" w:eastAsia="宋体" w:cs="宋体"/>
          <w:sz w:val="19"/>
          <w:szCs w:val="19"/>
        </w:rPr>
      </w:pPr>
      <w:r>
        <w:rPr>
          <w:rFonts w:ascii="宋体" w:hAnsi="宋体" w:eastAsia="宋体" w:cs="宋体"/>
          <w:spacing w:val="18"/>
          <w:sz w:val="19"/>
          <w:szCs w:val="19"/>
        </w:rPr>
        <w:t>将证据更加详细地分级在理论上是可行的，</w:t>
      </w:r>
      <w:r>
        <w:rPr>
          <w:rFonts w:ascii="宋体" w:hAnsi="宋体" w:eastAsia="宋体" w:cs="宋体"/>
          <w:spacing w:val="17"/>
          <w:sz w:val="19"/>
          <w:szCs w:val="19"/>
        </w:rPr>
        <w:t>但详细证据分级方法的可重复性和实用价值有待</w:t>
      </w:r>
      <w:r>
        <w:rPr>
          <w:rFonts w:ascii="宋体" w:hAnsi="宋体" w:eastAsia="宋体" w:cs="宋体"/>
          <w:sz w:val="19"/>
          <w:szCs w:val="19"/>
        </w:rPr>
        <w:t xml:space="preserve"> </w:t>
      </w:r>
      <w:r>
        <w:rPr>
          <w:rFonts w:ascii="宋体" w:hAnsi="宋体" w:eastAsia="宋体" w:cs="宋体"/>
          <w:spacing w:val="16"/>
          <w:sz w:val="19"/>
          <w:szCs w:val="19"/>
        </w:rPr>
        <w:t>研究。</w:t>
      </w:r>
      <w:r>
        <w:rPr>
          <w:rFonts w:ascii="宋体" w:hAnsi="宋体" w:eastAsia="宋体" w:cs="宋体"/>
          <w:spacing w:val="-39"/>
          <w:sz w:val="19"/>
          <w:szCs w:val="19"/>
        </w:rPr>
        <w:t xml:space="preserve"> </w:t>
      </w:r>
      <w:r>
        <w:rPr>
          <w:rFonts w:ascii="宋体" w:hAnsi="宋体" w:eastAsia="宋体" w:cs="宋体"/>
          <w:spacing w:val="16"/>
          <w:sz w:val="19"/>
          <w:szCs w:val="19"/>
        </w:rPr>
        <w:t>一般认为将研究质量分为3～5级就可以满足病因推断的需要。比如</w:t>
      </w:r>
      <w:r>
        <w:rPr>
          <w:rFonts w:ascii="宋体" w:hAnsi="宋体" w:eastAsia="宋体" w:cs="宋体"/>
          <w:spacing w:val="15"/>
          <w:sz w:val="19"/>
          <w:szCs w:val="19"/>
        </w:rPr>
        <w:t>：①高质量：本研究的</w:t>
      </w:r>
      <w:r>
        <w:rPr>
          <w:rFonts w:ascii="宋体" w:hAnsi="宋体" w:eastAsia="宋体" w:cs="宋体"/>
          <w:sz w:val="19"/>
          <w:szCs w:val="19"/>
        </w:rPr>
        <w:t xml:space="preserve"> </w:t>
      </w:r>
      <w:r>
        <w:rPr>
          <w:rFonts w:ascii="宋体" w:hAnsi="宋体" w:eastAsia="宋体" w:cs="宋体"/>
          <w:spacing w:val="13"/>
          <w:sz w:val="19"/>
          <w:szCs w:val="19"/>
        </w:rPr>
        <w:t>结论很可能是正确的；②中等质量：未来研究有可</w:t>
      </w:r>
      <w:r>
        <w:rPr>
          <w:rFonts w:ascii="宋体" w:hAnsi="宋体" w:eastAsia="宋体" w:cs="宋体"/>
          <w:spacing w:val="12"/>
          <w:sz w:val="19"/>
          <w:szCs w:val="19"/>
        </w:rPr>
        <w:t>能会改变本研究的结论；③低质量：未来研究很</w:t>
      </w:r>
      <w:r>
        <w:rPr>
          <w:rFonts w:ascii="宋体" w:hAnsi="宋体" w:eastAsia="宋体" w:cs="宋体"/>
          <w:sz w:val="19"/>
          <w:szCs w:val="19"/>
        </w:rPr>
        <w:t xml:space="preserve"> </w:t>
      </w:r>
      <w:r>
        <w:rPr>
          <w:rFonts w:ascii="宋体" w:hAnsi="宋体" w:eastAsia="宋体" w:cs="宋体"/>
          <w:spacing w:val="9"/>
          <w:sz w:val="19"/>
          <w:szCs w:val="19"/>
        </w:rPr>
        <w:t>有可能会改变本研究的结论；④很低质量：</w:t>
      </w:r>
      <w:r>
        <w:rPr>
          <w:rFonts w:ascii="宋体" w:hAnsi="宋体" w:eastAsia="宋体" w:cs="宋体"/>
          <w:spacing w:val="8"/>
          <w:sz w:val="19"/>
          <w:szCs w:val="19"/>
        </w:rPr>
        <w:t>本研究的结论很可能是错误的。</w:t>
      </w:r>
    </w:p>
    <w:p w14:paraId="0C454434">
      <w:pPr>
        <w:pStyle w:val="2"/>
        <w:spacing w:before="267" w:line="222" w:lineRule="auto"/>
        <w:ind w:left="1062"/>
        <w:outlineLvl w:val="2"/>
        <w:rPr>
          <w:sz w:val="19"/>
          <w:szCs w:val="19"/>
        </w:rPr>
      </w:pPr>
      <w:bookmarkStart w:id="256" w:name="bookmark161"/>
      <w:bookmarkEnd w:id="256"/>
      <w:r>
        <w:rPr>
          <w:b/>
          <w:bCs/>
          <w:spacing w:val="-13"/>
          <w:sz w:val="19"/>
          <w:szCs w:val="19"/>
        </w:rPr>
        <w:t>三</w:t>
      </w:r>
      <w:r>
        <w:rPr>
          <w:spacing w:val="32"/>
          <w:sz w:val="19"/>
          <w:szCs w:val="19"/>
        </w:rPr>
        <w:t xml:space="preserve"> </w:t>
      </w:r>
      <w:r>
        <w:rPr>
          <w:b/>
          <w:bCs/>
          <w:spacing w:val="-13"/>
          <w:sz w:val="19"/>
          <w:szCs w:val="19"/>
        </w:rPr>
        <w:t>、综</w:t>
      </w:r>
      <w:r>
        <w:rPr>
          <w:spacing w:val="-32"/>
          <w:sz w:val="19"/>
          <w:szCs w:val="19"/>
        </w:rPr>
        <w:t xml:space="preserve"> </w:t>
      </w:r>
      <w:r>
        <w:rPr>
          <w:b/>
          <w:bCs/>
          <w:spacing w:val="-13"/>
          <w:sz w:val="19"/>
          <w:szCs w:val="19"/>
        </w:rPr>
        <w:t>合</w:t>
      </w:r>
      <w:r>
        <w:rPr>
          <w:spacing w:val="-29"/>
          <w:sz w:val="19"/>
          <w:szCs w:val="19"/>
        </w:rPr>
        <w:t xml:space="preserve"> </w:t>
      </w:r>
      <w:r>
        <w:rPr>
          <w:b/>
          <w:bCs/>
          <w:spacing w:val="-13"/>
          <w:sz w:val="19"/>
          <w:szCs w:val="19"/>
        </w:rPr>
        <w:t>所</w:t>
      </w:r>
      <w:r>
        <w:rPr>
          <w:spacing w:val="-32"/>
          <w:sz w:val="19"/>
          <w:szCs w:val="19"/>
        </w:rPr>
        <w:t xml:space="preserve"> </w:t>
      </w:r>
      <w:r>
        <w:rPr>
          <w:b/>
          <w:bCs/>
          <w:spacing w:val="-13"/>
          <w:sz w:val="19"/>
          <w:szCs w:val="19"/>
        </w:rPr>
        <w:t>有</w:t>
      </w:r>
      <w:r>
        <w:rPr>
          <w:spacing w:val="-33"/>
          <w:sz w:val="19"/>
          <w:szCs w:val="19"/>
        </w:rPr>
        <w:t xml:space="preserve"> </w:t>
      </w:r>
      <w:r>
        <w:rPr>
          <w:b/>
          <w:bCs/>
          <w:spacing w:val="-13"/>
          <w:sz w:val="19"/>
          <w:szCs w:val="19"/>
        </w:rPr>
        <w:t>证</w:t>
      </w:r>
      <w:r>
        <w:rPr>
          <w:spacing w:val="-31"/>
          <w:sz w:val="19"/>
          <w:szCs w:val="19"/>
        </w:rPr>
        <w:t xml:space="preserve"> </w:t>
      </w:r>
      <w:r>
        <w:rPr>
          <w:b/>
          <w:bCs/>
          <w:spacing w:val="-13"/>
          <w:sz w:val="19"/>
          <w:szCs w:val="19"/>
        </w:rPr>
        <w:t>据</w:t>
      </w:r>
      <w:r>
        <w:rPr>
          <w:spacing w:val="-22"/>
          <w:sz w:val="19"/>
          <w:szCs w:val="19"/>
        </w:rPr>
        <w:t xml:space="preserve"> </w:t>
      </w:r>
      <w:r>
        <w:rPr>
          <w:b/>
          <w:bCs/>
          <w:spacing w:val="-13"/>
          <w:sz w:val="19"/>
          <w:szCs w:val="19"/>
        </w:rPr>
        <w:t>的</w:t>
      </w:r>
      <w:r>
        <w:rPr>
          <w:spacing w:val="-33"/>
          <w:sz w:val="19"/>
          <w:szCs w:val="19"/>
        </w:rPr>
        <w:t xml:space="preserve"> </w:t>
      </w:r>
      <w:r>
        <w:rPr>
          <w:b/>
          <w:bCs/>
          <w:spacing w:val="-13"/>
          <w:sz w:val="19"/>
          <w:szCs w:val="19"/>
        </w:rPr>
        <w:t>推</w:t>
      </w:r>
      <w:r>
        <w:rPr>
          <w:spacing w:val="-31"/>
          <w:sz w:val="19"/>
          <w:szCs w:val="19"/>
        </w:rPr>
        <w:t xml:space="preserve"> </w:t>
      </w:r>
      <w:r>
        <w:rPr>
          <w:b/>
          <w:bCs/>
          <w:spacing w:val="-13"/>
          <w:sz w:val="19"/>
          <w:szCs w:val="19"/>
        </w:rPr>
        <w:t>论</w:t>
      </w:r>
      <w:r>
        <w:rPr>
          <w:spacing w:val="-40"/>
          <w:sz w:val="19"/>
          <w:szCs w:val="19"/>
        </w:rPr>
        <w:t xml:space="preserve"> </w:t>
      </w:r>
      <w:r>
        <w:rPr>
          <w:b/>
          <w:bCs/>
          <w:spacing w:val="-13"/>
          <w:sz w:val="19"/>
          <w:szCs w:val="19"/>
        </w:rPr>
        <w:t>：</w:t>
      </w:r>
      <w:r>
        <w:rPr>
          <w:spacing w:val="-33"/>
          <w:sz w:val="19"/>
          <w:szCs w:val="19"/>
        </w:rPr>
        <w:t xml:space="preserve"> </w:t>
      </w:r>
      <w:r>
        <w:rPr>
          <w:b/>
          <w:bCs/>
          <w:spacing w:val="-13"/>
          <w:sz w:val="19"/>
          <w:szCs w:val="19"/>
        </w:rPr>
        <w:t>希</w:t>
      </w:r>
      <w:r>
        <w:rPr>
          <w:spacing w:val="-30"/>
          <w:sz w:val="19"/>
          <w:szCs w:val="19"/>
        </w:rPr>
        <w:t xml:space="preserve"> </w:t>
      </w:r>
      <w:r>
        <w:rPr>
          <w:b/>
          <w:bCs/>
          <w:spacing w:val="-13"/>
          <w:sz w:val="19"/>
          <w:szCs w:val="19"/>
        </w:rPr>
        <w:t>尔</w:t>
      </w:r>
      <w:r>
        <w:rPr>
          <w:spacing w:val="-22"/>
          <w:sz w:val="19"/>
          <w:szCs w:val="19"/>
        </w:rPr>
        <w:t xml:space="preserve"> </w:t>
      </w:r>
      <w:r>
        <w:rPr>
          <w:b/>
          <w:bCs/>
          <w:spacing w:val="-13"/>
          <w:sz w:val="19"/>
          <w:szCs w:val="19"/>
        </w:rPr>
        <w:t>的</w:t>
      </w:r>
      <w:r>
        <w:rPr>
          <w:spacing w:val="-34"/>
          <w:sz w:val="19"/>
          <w:szCs w:val="19"/>
        </w:rPr>
        <w:t xml:space="preserve"> </w:t>
      </w:r>
      <w:r>
        <w:rPr>
          <w:b/>
          <w:bCs/>
          <w:spacing w:val="-13"/>
          <w:sz w:val="19"/>
          <w:szCs w:val="19"/>
        </w:rPr>
        <w:t>病</w:t>
      </w:r>
      <w:r>
        <w:rPr>
          <w:spacing w:val="-13"/>
          <w:sz w:val="19"/>
          <w:szCs w:val="19"/>
        </w:rPr>
        <w:t xml:space="preserve"> </w:t>
      </w:r>
      <w:r>
        <w:rPr>
          <w:b/>
          <w:bCs/>
          <w:spacing w:val="-13"/>
          <w:sz w:val="19"/>
          <w:szCs w:val="19"/>
        </w:rPr>
        <w:t>因</w:t>
      </w:r>
      <w:r>
        <w:rPr>
          <w:spacing w:val="-34"/>
          <w:sz w:val="19"/>
          <w:szCs w:val="19"/>
        </w:rPr>
        <w:t xml:space="preserve"> </w:t>
      </w:r>
      <w:r>
        <w:rPr>
          <w:b/>
          <w:bCs/>
          <w:spacing w:val="-13"/>
          <w:sz w:val="19"/>
          <w:szCs w:val="19"/>
        </w:rPr>
        <w:t>推</w:t>
      </w:r>
      <w:r>
        <w:rPr>
          <w:spacing w:val="-25"/>
          <w:sz w:val="19"/>
          <w:szCs w:val="19"/>
        </w:rPr>
        <w:t xml:space="preserve"> </w:t>
      </w:r>
      <w:r>
        <w:rPr>
          <w:b/>
          <w:bCs/>
          <w:spacing w:val="-13"/>
          <w:sz w:val="19"/>
          <w:szCs w:val="19"/>
        </w:rPr>
        <w:t>断</w:t>
      </w:r>
      <w:r>
        <w:rPr>
          <w:spacing w:val="-31"/>
          <w:sz w:val="19"/>
          <w:szCs w:val="19"/>
        </w:rPr>
        <w:t xml:space="preserve"> </w:t>
      </w:r>
      <w:r>
        <w:rPr>
          <w:b/>
          <w:bCs/>
          <w:spacing w:val="-13"/>
          <w:sz w:val="19"/>
          <w:szCs w:val="19"/>
        </w:rPr>
        <w:t>准</w:t>
      </w:r>
      <w:r>
        <w:rPr>
          <w:spacing w:val="-33"/>
          <w:sz w:val="19"/>
          <w:szCs w:val="19"/>
        </w:rPr>
        <w:t xml:space="preserve"> </w:t>
      </w:r>
      <w:r>
        <w:rPr>
          <w:b/>
          <w:bCs/>
          <w:spacing w:val="-13"/>
          <w:sz w:val="19"/>
          <w:szCs w:val="19"/>
        </w:rPr>
        <w:t>则</w:t>
      </w:r>
    </w:p>
    <w:p w14:paraId="5F9842BC">
      <w:pPr>
        <w:spacing w:before="255" w:line="364" w:lineRule="auto"/>
        <w:ind w:left="649" w:right="86" w:firstLine="410"/>
        <w:rPr>
          <w:rFonts w:ascii="宋体" w:hAnsi="宋体" w:eastAsia="宋体" w:cs="宋体"/>
          <w:sz w:val="19"/>
          <w:szCs w:val="19"/>
        </w:rPr>
      </w:pPr>
      <w:r>
        <w:rPr>
          <w:rFonts w:ascii="宋体" w:hAnsi="宋体" w:eastAsia="宋体" w:cs="宋体"/>
          <w:spacing w:val="17"/>
          <w:sz w:val="19"/>
          <w:szCs w:val="19"/>
        </w:rPr>
        <w:t>因果关系推断就是判定两个因素之间是否存在真实的因果关系，是科学推论的一种。病因推</w:t>
      </w:r>
      <w:r>
        <w:rPr>
          <w:rFonts w:ascii="宋体" w:hAnsi="宋体" w:eastAsia="宋体" w:cs="宋体"/>
          <w:spacing w:val="16"/>
          <w:sz w:val="19"/>
          <w:szCs w:val="19"/>
        </w:rPr>
        <w:t xml:space="preserve"> </w:t>
      </w:r>
      <w:r>
        <w:rPr>
          <w:rFonts w:ascii="宋体" w:hAnsi="宋体" w:eastAsia="宋体" w:cs="宋体"/>
          <w:spacing w:val="11"/>
          <w:sz w:val="19"/>
          <w:szCs w:val="19"/>
        </w:rPr>
        <w:t>断是因果关系推断的一种，即判定某因素是否为某疾病真正的病因。</w:t>
      </w:r>
    </w:p>
    <w:p w14:paraId="542046E9">
      <w:pPr>
        <w:spacing w:before="3" w:line="370" w:lineRule="auto"/>
        <w:ind w:left="649" w:firstLine="410"/>
        <w:jc w:val="both"/>
        <w:rPr>
          <w:rFonts w:ascii="宋体" w:hAnsi="宋体" w:eastAsia="宋体" w:cs="宋体"/>
          <w:sz w:val="19"/>
          <w:szCs w:val="19"/>
        </w:rPr>
      </w:pPr>
      <w:r>
        <w:rPr>
          <w:rFonts w:ascii="宋体" w:hAnsi="宋体" w:eastAsia="宋体" w:cs="宋体"/>
          <w:spacing w:val="15"/>
          <w:sz w:val="19"/>
          <w:szCs w:val="19"/>
        </w:rPr>
        <w:t>全面的病因推断必须基于目前所有相关的研</w:t>
      </w:r>
      <w:r>
        <w:rPr>
          <w:rFonts w:ascii="宋体" w:hAnsi="宋体" w:eastAsia="宋体" w:cs="宋体"/>
          <w:spacing w:val="14"/>
          <w:sz w:val="19"/>
          <w:szCs w:val="19"/>
        </w:rPr>
        <w:t>究，在人群中进行的流行病学研究提供了最重要、</w:t>
      </w:r>
      <w:r>
        <w:rPr>
          <w:rFonts w:ascii="宋体" w:hAnsi="宋体" w:eastAsia="宋体" w:cs="宋体"/>
          <w:sz w:val="19"/>
          <w:szCs w:val="19"/>
        </w:rPr>
        <w:t xml:space="preserve"> </w:t>
      </w:r>
      <w:r>
        <w:rPr>
          <w:rFonts w:ascii="宋体" w:hAnsi="宋体" w:eastAsia="宋体" w:cs="宋体"/>
          <w:spacing w:val="17"/>
          <w:sz w:val="19"/>
          <w:szCs w:val="19"/>
        </w:rPr>
        <w:t>最直接的证据，而其他研究(如体外和动物研究)的证据可用于形成病因假设或作为人群研究的补</w:t>
      </w:r>
      <w:r>
        <w:rPr>
          <w:rFonts w:ascii="宋体" w:hAnsi="宋体" w:eastAsia="宋体" w:cs="宋体"/>
          <w:sz w:val="19"/>
          <w:szCs w:val="19"/>
        </w:rPr>
        <w:t xml:space="preserve">  </w:t>
      </w:r>
      <w:r>
        <w:rPr>
          <w:rFonts w:ascii="宋体" w:hAnsi="宋体" w:eastAsia="宋体" w:cs="宋体"/>
          <w:spacing w:val="16"/>
          <w:sz w:val="19"/>
          <w:szCs w:val="19"/>
        </w:rPr>
        <w:t>充证据。</w:t>
      </w:r>
    </w:p>
    <w:p w14:paraId="538203A8">
      <w:pPr>
        <w:spacing w:before="6" w:line="219" w:lineRule="auto"/>
        <w:ind w:left="1060"/>
        <w:rPr>
          <w:rFonts w:ascii="宋体" w:hAnsi="宋体" w:eastAsia="宋体" w:cs="宋体"/>
          <w:sz w:val="19"/>
          <w:szCs w:val="19"/>
        </w:rPr>
      </w:pPr>
      <w:r>
        <w:rPr>
          <w:rFonts w:ascii="宋体" w:hAnsi="宋体" w:eastAsia="宋体" w:cs="宋体"/>
          <w:spacing w:val="9"/>
          <w:sz w:val="19"/>
          <w:szCs w:val="19"/>
        </w:rPr>
        <w:t>严格来讲，因果关系推断包括两个层面：</w:t>
      </w:r>
      <w:r>
        <w:rPr>
          <w:rFonts w:ascii="宋体" w:hAnsi="宋体" w:eastAsia="宋体" w:cs="宋体"/>
          <w:spacing w:val="83"/>
          <w:sz w:val="19"/>
          <w:szCs w:val="19"/>
        </w:rPr>
        <w:t xml:space="preserve"> </w:t>
      </w:r>
      <w:r>
        <w:rPr>
          <w:rFonts w:ascii="宋体" w:hAnsi="宋体" w:eastAsia="宋体" w:cs="宋体"/>
          <w:spacing w:val="9"/>
          <w:sz w:val="19"/>
          <w:szCs w:val="19"/>
        </w:rPr>
        <w:t>一是两个事件之间是否存在因果关系，二是该因果关</w:t>
      </w:r>
    </w:p>
    <w:p w14:paraId="32CA0E47">
      <w:pPr>
        <w:spacing w:line="95" w:lineRule="exact"/>
      </w:pPr>
    </w:p>
    <w:p w14:paraId="57FE17DD">
      <w:pPr>
        <w:spacing w:line="95" w:lineRule="exact"/>
        <w:sectPr>
          <w:footerReference r:id="rId177" w:type="default"/>
          <w:pgSz w:w="11900" w:h="16820"/>
          <w:pgMar w:top="400" w:right="1545" w:bottom="822" w:left="909" w:header="0" w:footer="651" w:gutter="0"/>
          <w:cols w:equalWidth="0" w:num="1">
            <w:col w:w="9445"/>
          </w:cols>
        </w:sectPr>
      </w:pPr>
    </w:p>
    <w:p w14:paraId="4009D68C">
      <w:pPr>
        <w:spacing w:before="39" w:line="357" w:lineRule="auto"/>
        <w:ind w:left="649" w:right="162"/>
        <w:jc w:val="both"/>
        <w:rPr>
          <w:rFonts w:ascii="宋体" w:hAnsi="宋体" w:eastAsia="宋体" w:cs="宋体"/>
          <w:sz w:val="19"/>
          <w:szCs w:val="19"/>
        </w:rPr>
      </w:pPr>
      <w:r>
        <w:rPr>
          <w:rFonts w:ascii="宋体" w:hAnsi="宋体" w:eastAsia="宋体" w:cs="宋体"/>
          <w:spacing w:val="13"/>
          <w:sz w:val="19"/>
          <w:szCs w:val="19"/>
        </w:rPr>
        <w:t>系的强弱。前者是对定性结论的推断，后者是对定量结</w:t>
      </w:r>
      <w:r>
        <w:rPr>
          <w:rFonts w:ascii="宋体" w:hAnsi="宋体" w:eastAsia="宋体" w:cs="宋体"/>
          <w:spacing w:val="18"/>
          <w:sz w:val="19"/>
          <w:szCs w:val="19"/>
        </w:rPr>
        <w:t xml:space="preserve"> </w:t>
      </w:r>
      <w:r>
        <w:rPr>
          <w:rFonts w:ascii="宋体" w:hAnsi="宋体" w:eastAsia="宋体" w:cs="宋体"/>
          <w:spacing w:val="14"/>
          <w:sz w:val="19"/>
          <w:szCs w:val="19"/>
        </w:rPr>
        <w:t>论的推断，相对更难。目前常讲的因果推断主要指定性</w:t>
      </w:r>
      <w:r>
        <w:rPr>
          <w:rFonts w:ascii="宋体" w:hAnsi="宋体" w:eastAsia="宋体" w:cs="宋体"/>
          <w:spacing w:val="10"/>
          <w:sz w:val="19"/>
          <w:szCs w:val="19"/>
        </w:rPr>
        <w:t xml:space="preserve"> </w:t>
      </w:r>
      <w:r>
        <w:rPr>
          <w:rFonts w:ascii="宋体" w:hAnsi="宋体" w:eastAsia="宋体" w:cs="宋体"/>
          <w:spacing w:val="15"/>
          <w:sz w:val="19"/>
          <w:szCs w:val="19"/>
        </w:rPr>
        <w:t>推断。希尔</w:t>
      </w:r>
      <w:r>
        <w:rPr>
          <w:rFonts w:ascii="Times New Roman" w:hAnsi="Times New Roman" w:eastAsia="Times New Roman" w:cs="Times New Roman"/>
          <w:spacing w:val="15"/>
          <w:sz w:val="19"/>
          <w:szCs w:val="19"/>
        </w:rPr>
        <w:t>(</w:t>
      </w:r>
      <w:r>
        <w:rPr>
          <w:rFonts w:ascii="Times New Roman" w:hAnsi="Times New Roman" w:eastAsia="Times New Roman" w:cs="Times New Roman"/>
          <w:sz w:val="19"/>
          <w:szCs w:val="19"/>
        </w:rPr>
        <w:t>Hill</w:t>
      </w:r>
      <w:r>
        <w:rPr>
          <w:rFonts w:ascii="Times New Roman" w:hAnsi="Times New Roman" w:eastAsia="Times New Roman" w:cs="Times New Roman"/>
          <w:spacing w:val="15"/>
          <w:sz w:val="19"/>
          <w:szCs w:val="19"/>
        </w:rPr>
        <w:t>)</w:t>
      </w:r>
      <w:r>
        <w:rPr>
          <w:rFonts w:ascii="Times New Roman" w:hAnsi="Times New Roman" w:eastAsia="Times New Roman" w:cs="Times New Roman"/>
          <w:spacing w:val="23"/>
          <w:sz w:val="19"/>
          <w:szCs w:val="19"/>
        </w:rPr>
        <w:t xml:space="preserve">  </w:t>
      </w:r>
      <w:r>
        <w:rPr>
          <w:rFonts w:ascii="宋体" w:hAnsi="宋体" w:eastAsia="宋体" w:cs="宋体"/>
          <w:spacing w:val="15"/>
          <w:sz w:val="19"/>
          <w:szCs w:val="19"/>
        </w:rPr>
        <w:t>的九个条件是依据多项研究进行病因</w:t>
      </w:r>
      <w:r>
        <w:rPr>
          <w:rFonts w:ascii="宋体" w:hAnsi="宋体" w:eastAsia="宋体" w:cs="宋体"/>
          <w:sz w:val="19"/>
          <w:szCs w:val="19"/>
        </w:rPr>
        <w:t xml:space="preserve"> </w:t>
      </w:r>
      <w:r>
        <w:rPr>
          <w:rFonts w:ascii="宋体" w:hAnsi="宋体" w:eastAsia="宋体" w:cs="宋体"/>
          <w:spacing w:val="12"/>
          <w:sz w:val="19"/>
          <w:szCs w:val="19"/>
        </w:rPr>
        <w:t>推断时常用的准则。</w:t>
      </w:r>
    </w:p>
    <w:p w14:paraId="37AA376F">
      <w:pPr>
        <w:spacing w:line="358" w:lineRule="auto"/>
        <w:ind w:left="649" w:right="180" w:firstLine="410"/>
        <w:jc w:val="both"/>
        <w:rPr>
          <w:rFonts w:ascii="宋体" w:hAnsi="宋体" w:eastAsia="宋体" w:cs="宋体"/>
          <w:sz w:val="19"/>
          <w:szCs w:val="19"/>
        </w:rPr>
      </w:pPr>
      <w:r>
        <w:rPr>
          <w:rFonts w:ascii="宋体" w:hAnsi="宋体" w:eastAsia="宋体" w:cs="宋体"/>
          <w:spacing w:val="9"/>
          <w:sz w:val="19"/>
          <w:szCs w:val="19"/>
        </w:rPr>
        <w:t>1962年，</w:t>
      </w:r>
      <w:r>
        <w:rPr>
          <w:rFonts w:ascii="Times New Roman" w:hAnsi="Times New Roman" w:eastAsia="Times New Roman" w:cs="Times New Roman"/>
          <w:sz w:val="19"/>
          <w:szCs w:val="19"/>
        </w:rPr>
        <w:t>Doll</w:t>
      </w:r>
      <w:r>
        <w:rPr>
          <w:rFonts w:ascii="Times New Roman" w:hAnsi="Times New Roman" w:eastAsia="Times New Roman" w:cs="Times New Roman"/>
          <w:spacing w:val="39"/>
          <w:w w:val="102"/>
          <w:sz w:val="19"/>
          <w:szCs w:val="19"/>
        </w:rPr>
        <w:t xml:space="preserve"> </w:t>
      </w:r>
      <w:r>
        <w:rPr>
          <w:rFonts w:ascii="宋体" w:hAnsi="宋体" w:eastAsia="宋体" w:cs="宋体"/>
          <w:spacing w:val="9"/>
          <w:sz w:val="19"/>
          <w:szCs w:val="19"/>
        </w:rPr>
        <w:t>和</w:t>
      </w:r>
      <w:r>
        <w:rPr>
          <w:rFonts w:ascii="宋体" w:hAnsi="宋体" w:eastAsia="宋体" w:cs="宋体"/>
          <w:spacing w:val="-37"/>
          <w:sz w:val="19"/>
          <w:szCs w:val="19"/>
        </w:rPr>
        <w:t xml:space="preserve"> </w:t>
      </w:r>
      <w:r>
        <w:rPr>
          <w:rFonts w:ascii="Times New Roman" w:hAnsi="Times New Roman" w:eastAsia="Times New Roman" w:cs="Times New Roman"/>
          <w:sz w:val="19"/>
          <w:szCs w:val="19"/>
        </w:rPr>
        <w:t>Hill</w:t>
      </w:r>
      <w:r>
        <w:rPr>
          <w:rFonts w:ascii="Times New Roman" w:hAnsi="Times New Roman" w:eastAsia="Times New Roman" w:cs="Times New Roman"/>
          <w:spacing w:val="1"/>
          <w:sz w:val="19"/>
          <w:szCs w:val="19"/>
        </w:rPr>
        <w:t xml:space="preserve">  </w:t>
      </w:r>
      <w:r>
        <w:rPr>
          <w:rFonts w:ascii="宋体" w:hAnsi="宋体" w:eastAsia="宋体" w:cs="宋体"/>
          <w:spacing w:val="9"/>
          <w:sz w:val="19"/>
          <w:szCs w:val="19"/>
        </w:rPr>
        <w:t>提出用流行病学研究结果判断</w:t>
      </w:r>
      <w:r>
        <w:rPr>
          <w:rFonts w:ascii="宋体" w:hAnsi="宋体" w:eastAsia="宋体" w:cs="宋体"/>
          <w:spacing w:val="1"/>
          <w:sz w:val="19"/>
          <w:szCs w:val="19"/>
        </w:rPr>
        <w:t xml:space="preserve"> </w:t>
      </w:r>
      <w:r>
        <w:rPr>
          <w:rFonts w:ascii="宋体" w:hAnsi="宋体" w:eastAsia="宋体" w:cs="宋体"/>
          <w:spacing w:val="3"/>
          <w:sz w:val="19"/>
          <w:szCs w:val="19"/>
        </w:rPr>
        <w:t>病因的5条标准。1965年，</w:t>
      </w:r>
      <w:r>
        <w:rPr>
          <w:rFonts w:ascii="Times New Roman" w:hAnsi="Times New Roman" w:eastAsia="Times New Roman" w:cs="Times New Roman"/>
          <w:sz w:val="19"/>
          <w:szCs w:val="19"/>
        </w:rPr>
        <w:t>Hill</w:t>
      </w:r>
      <w:r>
        <w:rPr>
          <w:rFonts w:ascii="Times New Roman" w:hAnsi="Times New Roman" w:eastAsia="Times New Roman" w:cs="Times New Roman"/>
          <w:spacing w:val="25"/>
          <w:sz w:val="19"/>
          <w:szCs w:val="19"/>
        </w:rPr>
        <w:t xml:space="preserve">  </w:t>
      </w:r>
      <w:r>
        <w:rPr>
          <w:rFonts w:ascii="宋体" w:hAnsi="宋体" w:eastAsia="宋体" w:cs="宋体"/>
          <w:spacing w:val="3"/>
          <w:sz w:val="19"/>
          <w:szCs w:val="19"/>
        </w:rPr>
        <w:t>又将此标准增加为9条，见</w:t>
      </w:r>
      <w:r>
        <w:rPr>
          <w:rFonts w:ascii="宋体" w:hAnsi="宋体" w:eastAsia="宋体" w:cs="宋体"/>
          <w:sz w:val="19"/>
          <w:szCs w:val="19"/>
        </w:rPr>
        <w:t xml:space="preserve"> </w:t>
      </w:r>
      <w:r>
        <w:rPr>
          <w:rFonts w:ascii="宋体" w:hAnsi="宋体" w:eastAsia="宋体" w:cs="宋体"/>
          <w:spacing w:val="2"/>
          <w:sz w:val="19"/>
          <w:szCs w:val="19"/>
        </w:rPr>
        <w:t>表8-5。如今，该标准常被简称为希尔准则</w:t>
      </w:r>
      <w:r>
        <w:rPr>
          <w:rFonts w:ascii="Times New Roman" w:hAnsi="Times New Roman" w:eastAsia="Times New Roman" w:cs="Times New Roman"/>
          <w:spacing w:val="1"/>
          <w:sz w:val="19"/>
          <w:szCs w:val="19"/>
        </w:rPr>
        <w:t>(</w:t>
      </w:r>
      <w:r>
        <w:rPr>
          <w:rFonts w:ascii="Times New Roman" w:hAnsi="Times New Roman" w:eastAsia="Times New Roman" w:cs="Times New Roman"/>
          <w:sz w:val="19"/>
          <w:szCs w:val="19"/>
        </w:rPr>
        <w:t>Hill</w:t>
      </w:r>
      <w:r>
        <w:rPr>
          <w:rFonts w:ascii="Times New Roman" w:hAnsi="Times New Roman" w:eastAsia="Times New Roman" w:cs="Times New Roman"/>
          <w:spacing w:val="1"/>
          <w:sz w:val="19"/>
          <w:szCs w:val="19"/>
        </w:rPr>
        <w:t>'</w:t>
      </w:r>
      <w:r>
        <w:rPr>
          <w:rFonts w:ascii="Times New Roman" w:hAnsi="Times New Roman" w:eastAsia="Times New Roman" w:cs="Times New Roman"/>
          <w:sz w:val="19"/>
          <w:szCs w:val="19"/>
        </w:rPr>
        <w:t>s</w:t>
      </w:r>
      <w:r>
        <w:rPr>
          <w:rFonts w:ascii="Times New Roman" w:hAnsi="Times New Roman" w:eastAsia="Times New Roman" w:cs="Times New Roman"/>
          <w:spacing w:val="1"/>
          <w:sz w:val="19"/>
          <w:szCs w:val="19"/>
        </w:rPr>
        <w:t xml:space="preserve">    </w:t>
      </w:r>
      <w:r>
        <w:rPr>
          <w:rFonts w:ascii="Times New Roman" w:hAnsi="Times New Roman" w:eastAsia="Times New Roman" w:cs="Times New Roman"/>
          <w:sz w:val="19"/>
          <w:szCs w:val="19"/>
        </w:rPr>
        <w:t>criteria</w:t>
      </w:r>
      <w:r>
        <w:rPr>
          <w:rFonts w:ascii="Times New Roman" w:hAnsi="Times New Roman" w:eastAsia="Times New Roman" w:cs="Times New Roman"/>
          <w:spacing w:val="1"/>
          <w:sz w:val="19"/>
          <w:szCs w:val="19"/>
        </w:rPr>
        <w:t>),</w:t>
      </w:r>
      <w:r>
        <w:rPr>
          <w:rFonts w:ascii="Times New Roman" w:hAnsi="Times New Roman" w:eastAsia="Times New Roman" w:cs="Times New Roman"/>
          <w:sz w:val="19"/>
          <w:szCs w:val="19"/>
        </w:rPr>
        <w:t xml:space="preserve"> </w:t>
      </w:r>
      <w:r>
        <w:rPr>
          <w:rFonts w:ascii="宋体" w:hAnsi="宋体" w:eastAsia="宋体" w:cs="宋体"/>
          <w:spacing w:val="14"/>
          <w:sz w:val="19"/>
          <w:szCs w:val="19"/>
        </w:rPr>
        <w:t>仍广泛地用作人群研究中判断因果关系的标准。</w:t>
      </w:r>
    </w:p>
    <w:p w14:paraId="6BF7803A">
      <w:pPr>
        <w:pStyle w:val="2"/>
        <w:spacing w:before="5" w:line="335" w:lineRule="auto"/>
        <w:ind w:left="649" w:right="158" w:firstLine="410"/>
        <w:jc w:val="both"/>
        <w:rPr>
          <w:rFonts w:ascii="宋体" w:hAnsi="宋体" w:eastAsia="宋体" w:cs="宋体"/>
          <w:sz w:val="19"/>
          <w:szCs w:val="19"/>
        </w:rPr>
      </w:pPr>
      <w:r>
        <w:rPr>
          <w:rFonts w:ascii="Times New Roman" w:hAnsi="Times New Roman" w:eastAsia="Times New Roman" w:cs="Times New Roman"/>
          <w:spacing w:val="13"/>
          <w:sz w:val="19"/>
          <w:szCs w:val="19"/>
        </w:rPr>
        <w:t xml:space="preserve">1.   </w:t>
      </w:r>
      <w:r>
        <w:rPr>
          <w:rFonts w:ascii="宋体" w:hAnsi="宋体" w:eastAsia="宋体" w:cs="宋体"/>
          <w:spacing w:val="13"/>
          <w:sz w:val="19"/>
          <w:szCs w:val="19"/>
        </w:rPr>
        <w:t>时间顺序</w:t>
      </w:r>
      <w:r>
        <w:rPr>
          <w:spacing w:val="13"/>
          <w:sz w:val="19"/>
          <w:szCs w:val="19"/>
        </w:rPr>
        <w:t>(</w:t>
      </w:r>
      <w:r>
        <w:rPr>
          <w:sz w:val="19"/>
          <w:szCs w:val="19"/>
        </w:rPr>
        <w:t>te</w:t>
      </w:r>
      <w:r>
        <w:rPr>
          <w:rFonts w:ascii="Times New Roman" w:hAnsi="Times New Roman" w:eastAsia="Times New Roman" w:cs="Times New Roman"/>
          <w:sz w:val="19"/>
          <w:szCs w:val="19"/>
        </w:rPr>
        <w:t>mporality</w:t>
      </w:r>
      <w:r>
        <w:rPr>
          <w:rFonts w:ascii="Times New Roman" w:hAnsi="Times New Roman" w:eastAsia="Times New Roman" w:cs="Times New Roman"/>
          <w:spacing w:val="13"/>
          <w:sz w:val="19"/>
          <w:szCs w:val="19"/>
        </w:rPr>
        <w:t xml:space="preserve">)      </w:t>
      </w:r>
      <w:r>
        <w:rPr>
          <w:rFonts w:ascii="宋体" w:hAnsi="宋体" w:eastAsia="宋体" w:cs="宋体"/>
          <w:spacing w:val="13"/>
          <w:sz w:val="19"/>
          <w:szCs w:val="19"/>
        </w:rPr>
        <w:t>时间顺序指因必须先</w:t>
      </w:r>
      <w:r>
        <w:rPr>
          <w:rFonts w:ascii="宋体" w:hAnsi="宋体" w:eastAsia="宋体" w:cs="宋体"/>
          <w:spacing w:val="14"/>
          <w:sz w:val="19"/>
          <w:szCs w:val="19"/>
        </w:rPr>
        <w:t xml:space="preserve"> </w:t>
      </w:r>
      <w:r>
        <w:rPr>
          <w:rFonts w:ascii="宋体" w:hAnsi="宋体" w:eastAsia="宋体" w:cs="宋体"/>
          <w:spacing w:val="13"/>
          <w:sz w:val="19"/>
          <w:szCs w:val="19"/>
        </w:rPr>
        <w:t>于果发生的时间关系，是判断因果关系的必要条件。时</w:t>
      </w:r>
      <w:r>
        <w:rPr>
          <w:rFonts w:ascii="宋体" w:hAnsi="宋体" w:eastAsia="宋体" w:cs="宋体"/>
          <w:spacing w:val="18"/>
          <w:sz w:val="19"/>
          <w:szCs w:val="19"/>
        </w:rPr>
        <w:t xml:space="preserve"> </w:t>
      </w:r>
      <w:r>
        <w:rPr>
          <w:rFonts w:ascii="宋体" w:hAnsi="宋体" w:eastAsia="宋体" w:cs="宋体"/>
          <w:spacing w:val="14"/>
          <w:sz w:val="19"/>
          <w:szCs w:val="19"/>
        </w:rPr>
        <w:t>间顺序是任何一项流行病学研究必须提供的证据</w:t>
      </w:r>
      <w:r>
        <w:rPr>
          <w:rFonts w:ascii="宋体" w:hAnsi="宋体" w:eastAsia="宋体" w:cs="宋体"/>
          <w:spacing w:val="13"/>
          <w:sz w:val="19"/>
          <w:szCs w:val="19"/>
        </w:rPr>
        <w:t>，它寓</w:t>
      </w:r>
      <w:r>
        <w:rPr>
          <w:rFonts w:ascii="宋体" w:hAnsi="宋体" w:eastAsia="宋体" w:cs="宋体"/>
          <w:sz w:val="19"/>
          <w:szCs w:val="19"/>
        </w:rPr>
        <w:t xml:space="preserve"> </w:t>
      </w:r>
      <w:r>
        <w:rPr>
          <w:rFonts w:ascii="宋体" w:hAnsi="宋体" w:eastAsia="宋体" w:cs="宋体"/>
          <w:spacing w:val="14"/>
          <w:sz w:val="19"/>
          <w:szCs w:val="19"/>
        </w:rPr>
        <w:t>于研究设计之中。例如，在队列研究伊始，</w:t>
      </w:r>
      <w:r>
        <w:rPr>
          <w:rFonts w:ascii="宋体" w:hAnsi="宋体" w:eastAsia="宋体" w:cs="宋体"/>
          <w:spacing w:val="13"/>
          <w:sz w:val="19"/>
          <w:szCs w:val="19"/>
        </w:rPr>
        <w:t>可疑病因已</w:t>
      </w:r>
      <w:r>
        <w:rPr>
          <w:rFonts w:ascii="宋体" w:hAnsi="宋体" w:eastAsia="宋体" w:cs="宋体"/>
          <w:sz w:val="19"/>
          <w:szCs w:val="19"/>
        </w:rPr>
        <w:t xml:space="preserve"> </w:t>
      </w:r>
      <w:r>
        <w:rPr>
          <w:rFonts w:ascii="宋体" w:hAnsi="宋体" w:eastAsia="宋体" w:cs="宋体"/>
          <w:spacing w:val="14"/>
          <w:sz w:val="19"/>
          <w:szCs w:val="19"/>
        </w:rPr>
        <w:t>经存在，但结果事件还没有发生。在时间顺序的可信度</w:t>
      </w:r>
    </w:p>
    <w:p w14:paraId="134487E2">
      <w:pPr>
        <w:spacing w:line="14" w:lineRule="auto"/>
        <w:rPr>
          <w:rFonts w:ascii="Arial"/>
          <w:sz w:val="2"/>
        </w:rPr>
      </w:pPr>
      <w:r>
        <w:rPr>
          <w:rFonts w:ascii="Arial" w:hAnsi="Arial" w:eastAsia="Arial" w:cs="Arial"/>
          <w:sz w:val="2"/>
          <w:szCs w:val="2"/>
        </w:rPr>
        <w:br w:type="column"/>
      </w:r>
    </w:p>
    <w:p w14:paraId="52E3827A">
      <w:pPr>
        <w:pStyle w:val="2"/>
        <w:spacing w:before="278" w:line="222" w:lineRule="auto"/>
        <w:ind w:left="162"/>
        <w:rPr>
          <w:sz w:val="19"/>
          <w:szCs w:val="19"/>
        </w:rPr>
      </w:pPr>
      <w:r>
        <w:drawing>
          <wp:anchor distT="0" distB="0" distL="0" distR="0" simplePos="0" relativeHeight="251837440" behindDoc="0" locked="0" layoutInCell="1" allowOverlap="1">
            <wp:simplePos x="0" y="0"/>
            <wp:positionH relativeFrom="column">
              <wp:posOffset>0</wp:posOffset>
            </wp:positionH>
            <wp:positionV relativeFrom="paragraph">
              <wp:posOffset>290195</wp:posOffset>
            </wp:positionV>
            <wp:extent cx="2266950" cy="6350"/>
            <wp:effectExtent l="0" t="0" r="0" b="0"/>
            <wp:wrapNone/>
            <wp:docPr id="548" name="IM 548"/>
            <wp:cNvGraphicFramePr/>
            <a:graphic xmlns:a="http://schemas.openxmlformats.org/drawingml/2006/main">
              <a:graphicData uri="http://schemas.openxmlformats.org/drawingml/2006/picture">
                <pic:pic xmlns:pic="http://schemas.openxmlformats.org/drawingml/2006/picture">
                  <pic:nvPicPr>
                    <pic:cNvPr id="548" name="IM 548"/>
                    <pic:cNvPicPr/>
                  </pic:nvPicPr>
                  <pic:blipFill>
                    <a:blip r:embed="rId609"/>
                    <a:stretch>
                      <a:fillRect/>
                    </a:stretch>
                  </pic:blipFill>
                  <pic:spPr>
                    <a:xfrm>
                      <a:off x="0" y="0"/>
                      <a:ext cx="2266950" cy="6350"/>
                    </a:xfrm>
                    <a:prstGeom prst="rect">
                      <a:avLst/>
                    </a:prstGeom>
                  </pic:spPr>
                </pic:pic>
              </a:graphicData>
            </a:graphic>
          </wp:anchor>
        </w:drawing>
      </w:r>
      <w:r>
        <w:rPr>
          <w:spacing w:val="-9"/>
          <w:sz w:val="19"/>
          <w:szCs w:val="19"/>
        </w:rPr>
        <w:t>表</w:t>
      </w:r>
      <w:r>
        <w:rPr>
          <w:spacing w:val="-25"/>
          <w:sz w:val="19"/>
          <w:szCs w:val="19"/>
        </w:rPr>
        <w:t xml:space="preserve"> </w:t>
      </w:r>
      <w:r>
        <w:rPr>
          <w:spacing w:val="-9"/>
          <w:sz w:val="19"/>
          <w:szCs w:val="19"/>
        </w:rPr>
        <w:t>8</w:t>
      </w:r>
      <w:r>
        <w:rPr>
          <w:spacing w:val="-34"/>
          <w:sz w:val="19"/>
          <w:szCs w:val="19"/>
        </w:rPr>
        <w:t xml:space="preserve"> </w:t>
      </w:r>
      <w:r>
        <w:rPr>
          <w:spacing w:val="-9"/>
          <w:sz w:val="19"/>
          <w:szCs w:val="19"/>
        </w:rPr>
        <w:t>-</w:t>
      </w:r>
      <w:r>
        <w:rPr>
          <w:spacing w:val="-35"/>
          <w:sz w:val="19"/>
          <w:szCs w:val="19"/>
        </w:rPr>
        <w:t xml:space="preserve"> </w:t>
      </w:r>
      <w:r>
        <w:rPr>
          <w:spacing w:val="-9"/>
          <w:sz w:val="19"/>
          <w:szCs w:val="19"/>
        </w:rPr>
        <w:t>5</w:t>
      </w:r>
      <w:r>
        <w:rPr>
          <w:spacing w:val="-32"/>
          <w:sz w:val="19"/>
          <w:szCs w:val="19"/>
        </w:rPr>
        <w:t xml:space="preserve"> </w:t>
      </w:r>
      <w:r>
        <w:rPr>
          <w:spacing w:val="-9"/>
          <w:sz w:val="19"/>
          <w:szCs w:val="19"/>
        </w:rPr>
        <w:t>希</w:t>
      </w:r>
      <w:r>
        <w:rPr>
          <w:spacing w:val="-29"/>
          <w:sz w:val="19"/>
          <w:szCs w:val="19"/>
        </w:rPr>
        <w:t xml:space="preserve"> </w:t>
      </w:r>
      <w:r>
        <w:rPr>
          <w:spacing w:val="-9"/>
          <w:sz w:val="19"/>
          <w:szCs w:val="19"/>
        </w:rPr>
        <w:t>尔</w:t>
      </w:r>
      <w:r>
        <w:rPr>
          <w:spacing w:val="-33"/>
          <w:sz w:val="19"/>
          <w:szCs w:val="19"/>
        </w:rPr>
        <w:t xml:space="preserve"> </w:t>
      </w:r>
      <w:r>
        <w:rPr>
          <w:spacing w:val="-9"/>
          <w:sz w:val="19"/>
          <w:szCs w:val="19"/>
        </w:rPr>
        <w:t>病 因</w:t>
      </w:r>
      <w:r>
        <w:rPr>
          <w:spacing w:val="-32"/>
          <w:sz w:val="19"/>
          <w:szCs w:val="19"/>
        </w:rPr>
        <w:t xml:space="preserve"> </w:t>
      </w:r>
      <w:r>
        <w:rPr>
          <w:spacing w:val="-9"/>
          <w:sz w:val="19"/>
          <w:szCs w:val="19"/>
        </w:rPr>
        <w:t>推</w:t>
      </w:r>
      <w:r>
        <w:rPr>
          <w:spacing w:val="-23"/>
          <w:sz w:val="19"/>
          <w:szCs w:val="19"/>
        </w:rPr>
        <w:t xml:space="preserve"> </w:t>
      </w:r>
      <w:r>
        <w:rPr>
          <w:spacing w:val="-9"/>
          <w:sz w:val="19"/>
          <w:szCs w:val="19"/>
        </w:rPr>
        <w:t>断</w:t>
      </w:r>
      <w:r>
        <w:rPr>
          <w:spacing w:val="-20"/>
          <w:sz w:val="19"/>
          <w:szCs w:val="19"/>
        </w:rPr>
        <w:t xml:space="preserve"> </w:t>
      </w:r>
      <w:r>
        <w:rPr>
          <w:spacing w:val="-9"/>
          <w:sz w:val="19"/>
          <w:szCs w:val="19"/>
        </w:rPr>
        <w:t>的</w:t>
      </w:r>
      <w:r>
        <w:rPr>
          <w:spacing w:val="-36"/>
          <w:sz w:val="19"/>
          <w:szCs w:val="19"/>
        </w:rPr>
        <w:t xml:space="preserve"> </w:t>
      </w:r>
      <w:r>
        <w:rPr>
          <w:spacing w:val="-9"/>
          <w:sz w:val="19"/>
          <w:szCs w:val="19"/>
        </w:rPr>
        <w:t>9</w:t>
      </w:r>
      <w:r>
        <w:rPr>
          <w:spacing w:val="-30"/>
          <w:sz w:val="19"/>
          <w:szCs w:val="19"/>
        </w:rPr>
        <w:t xml:space="preserve"> </w:t>
      </w:r>
      <w:r>
        <w:rPr>
          <w:spacing w:val="-9"/>
          <w:sz w:val="19"/>
          <w:szCs w:val="19"/>
        </w:rPr>
        <w:t>条</w:t>
      </w:r>
      <w:r>
        <w:rPr>
          <w:spacing w:val="-35"/>
          <w:sz w:val="19"/>
          <w:szCs w:val="19"/>
        </w:rPr>
        <w:t xml:space="preserve"> </w:t>
      </w:r>
      <w:r>
        <w:rPr>
          <w:spacing w:val="-9"/>
          <w:sz w:val="19"/>
          <w:szCs w:val="19"/>
        </w:rPr>
        <w:t>标</w:t>
      </w:r>
      <w:r>
        <w:rPr>
          <w:spacing w:val="-29"/>
          <w:sz w:val="19"/>
          <w:szCs w:val="19"/>
        </w:rPr>
        <w:t xml:space="preserve"> </w:t>
      </w:r>
      <w:r>
        <w:rPr>
          <w:spacing w:val="-9"/>
          <w:sz w:val="19"/>
          <w:szCs w:val="19"/>
        </w:rPr>
        <w:t>准</w:t>
      </w:r>
    </w:p>
    <w:p w14:paraId="7DFA5273">
      <w:pPr>
        <w:spacing w:before="161" w:line="219" w:lineRule="auto"/>
        <w:ind w:left="1263"/>
        <w:rPr>
          <w:rFonts w:ascii="宋体" w:hAnsi="宋体" w:eastAsia="宋体" w:cs="宋体"/>
          <w:sz w:val="19"/>
          <w:szCs w:val="19"/>
        </w:rPr>
      </w:pPr>
      <w:r>
        <w:drawing>
          <wp:anchor distT="0" distB="0" distL="0" distR="0" simplePos="0" relativeHeight="251838464" behindDoc="0" locked="0" layoutInCell="1" allowOverlap="1">
            <wp:simplePos x="0" y="0"/>
            <wp:positionH relativeFrom="column">
              <wp:posOffset>18415</wp:posOffset>
            </wp:positionH>
            <wp:positionV relativeFrom="paragraph">
              <wp:posOffset>216535</wp:posOffset>
            </wp:positionV>
            <wp:extent cx="2247900" cy="6350"/>
            <wp:effectExtent l="0" t="0" r="0" b="0"/>
            <wp:wrapNone/>
            <wp:docPr id="550" name="IM 550"/>
            <wp:cNvGraphicFramePr/>
            <a:graphic xmlns:a="http://schemas.openxmlformats.org/drawingml/2006/main">
              <a:graphicData uri="http://schemas.openxmlformats.org/drawingml/2006/picture">
                <pic:pic xmlns:pic="http://schemas.openxmlformats.org/drawingml/2006/picture">
                  <pic:nvPicPr>
                    <pic:cNvPr id="550" name="IM 550"/>
                    <pic:cNvPicPr/>
                  </pic:nvPicPr>
                  <pic:blipFill>
                    <a:blip r:embed="rId610"/>
                    <a:stretch>
                      <a:fillRect/>
                    </a:stretch>
                  </pic:blipFill>
                  <pic:spPr>
                    <a:xfrm>
                      <a:off x="0" y="0"/>
                      <a:ext cx="2247907" cy="6350"/>
                    </a:xfrm>
                    <a:prstGeom prst="rect">
                      <a:avLst/>
                    </a:prstGeom>
                  </pic:spPr>
                </pic:pic>
              </a:graphicData>
            </a:graphic>
          </wp:anchor>
        </w:drawing>
      </w:r>
      <w:r>
        <w:drawing>
          <wp:anchor distT="0" distB="0" distL="0" distR="0" simplePos="0" relativeHeight="251836416" behindDoc="1" locked="0" layoutInCell="1" allowOverlap="1">
            <wp:simplePos x="0" y="0"/>
            <wp:positionH relativeFrom="column">
              <wp:posOffset>24765</wp:posOffset>
            </wp:positionH>
            <wp:positionV relativeFrom="paragraph">
              <wp:posOffset>27305</wp:posOffset>
            </wp:positionV>
            <wp:extent cx="2228850" cy="260350"/>
            <wp:effectExtent l="0" t="0" r="0" b="0"/>
            <wp:wrapNone/>
            <wp:docPr id="552" name="IM 552"/>
            <wp:cNvGraphicFramePr/>
            <a:graphic xmlns:a="http://schemas.openxmlformats.org/drawingml/2006/main">
              <a:graphicData uri="http://schemas.openxmlformats.org/drawingml/2006/picture">
                <pic:pic xmlns:pic="http://schemas.openxmlformats.org/drawingml/2006/picture">
                  <pic:nvPicPr>
                    <pic:cNvPr id="552" name="IM 552"/>
                    <pic:cNvPicPr/>
                  </pic:nvPicPr>
                  <pic:blipFill>
                    <a:blip r:embed="rId611"/>
                    <a:stretch>
                      <a:fillRect/>
                    </a:stretch>
                  </pic:blipFill>
                  <pic:spPr>
                    <a:xfrm>
                      <a:off x="0" y="0"/>
                      <a:ext cx="2228864" cy="260395"/>
                    </a:xfrm>
                    <a:prstGeom prst="rect">
                      <a:avLst/>
                    </a:prstGeom>
                  </pic:spPr>
                </pic:pic>
              </a:graphicData>
            </a:graphic>
          </wp:anchor>
        </w:drawing>
      </w:r>
      <w:r>
        <w:rPr>
          <w:rFonts w:ascii="宋体" w:hAnsi="宋体" w:eastAsia="宋体" w:cs="宋体"/>
          <w:spacing w:val="-8"/>
          <w:sz w:val="19"/>
          <w:szCs w:val="19"/>
        </w:rPr>
        <w:t>判</w:t>
      </w:r>
      <w:r>
        <w:rPr>
          <w:rFonts w:ascii="宋体" w:hAnsi="宋体" w:eastAsia="宋体" w:cs="宋体"/>
          <w:spacing w:val="29"/>
          <w:sz w:val="19"/>
          <w:szCs w:val="19"/>
        </w:rPr>
        <w:t xml:space="preserve"> </w:t>
      </w:r>
      <w:r>
        <w:rPr>
          <w:rFonts w:ascii="宋体" w:hAnsi="宋体" w:eastAsia="宋体" w:cs="宋体"/>
          <w:spacing w:val="-8"/>
          <w:sz w:val="19"/>
          <w:szCs w:val="19"/>
        </w:rPr>
        <w:t>断</w:t>
      </w:r>
      <w:r>
        <w:rPr>
          <w:rFonts w:ascii="宋体" w:hAnsi="宋体" w:eastAsia="宋体" w:cs="宋体"/>
          <w:spacing w:val="23"/>
          <w:sz w:val="19"/>
          <w:szCs w:val="19"/>
        </w:rPr>
        <w:t xml:space="preserve"> </w:t>
      </w:r>
      <w:r>
        <w:rPr>
          <w:rFonts w:ascii="宋体" w:hAnsi="宋体" w:eastAsia="宋体" w:cs="宋体"/>
          <w:spacing w:val="-8"/>
          <w:sz w:val="19"/>
          <w:szCs w:val="19"/>
        </w:rPr>
        <w:t>标</w:t>
      </w:r>
      <w:r>
        <w:rPr>
          <w:rFonts w:ascii="宋体" w:hAnsi="宋体" w:eastAsia="宋体" w:cs="宋体"/>
          <w:spacing w:val="23"/>
          <w:sz w:val="19"/>
          <w:szCs w:val="19"/>
        </w:rPr>
        <w:t xml:space="preserve"> </w:t>
      </w:r>
      <w:r>
        <w:rPr>
          <w:rFonts w:ascii="宋体" w:hAnsi="宋体" w:eastAsia="宋体" w:cs="宋体"/>
          <w:spacing w:val="-8"/>
          <w:sz w:val="19"/>
          <w:szCs w:val="19"/>
        </w:rPr>
        <w:t>准</w:t>
      </w:r>
    </w:p>
    <w:p w14:paraId="5FC23F33">
      <w:pPr>
        <w:spacing w:before="145" w:line="220" w:lineRule="auto"/>
        <w:ind w:left="699"/>
        <w:rPr>
          <w:rFonts w:ascii="宋体" w:hAnsi="宋体" w:eastAsia="宋体" w:cs="宋体"/>
          <w:sz w:val="19"/>
          <w:szCs w:val="19"/>
        </w:rPr>
      </w:pPr>
      <w:r>
        <w:rPr>
          <w:rFonts w:ascii="宋体" w:hAnsi="宋体" w:eastAsia="宋体" w:cs="宋体"/>
          <w:spacing w:val="-2"/>
          <w:sz w:val="19"/>
          <w:szCs w:val="19"/>
        </w:rPr>
        <w:t>1.</w:t>
      </w:r>
      <w:r>
        <w:rPr>
          <w:rFonts w:ascii="宋体" w:hAnsi="宋体" w:eastAsia="宋体" w:cs="宋体"/>
          <w:spacing w:val="-43"/>
          <w:sz w:val="19"/>
          <w:szCs w:val="19"/>
        </w:rPr>
        <w:t xml:space="preserve"> </w:t>
      </w:r>
      <w:r>
        <w:rPr>
          <w:rFonts w:ascii="宋体" w:hAnsi="宋体" w:eastAsia="宋体" w:cs="宋体"/>
          <w:spacing w:val="-2"/>
          <w:sz w:val="19"/>
          <w:szCs w:val="19"/>
        </w:rPr>
        <w:t>时间顺序</w:t>
      </w:r>
    </w:p>
    <w:p w14:paraId="4287A756">
      <w:pPr>
        <w:spacing w:before="56" w:line="390" w:lineRule="exact"/>
        <w:ind w:firstLine="49"/>
      </w:pPr>
      <w:r>
        <w:rPr>
          <w:position w:val="-7"/>
        </w:rPr>
        <w:pict>
          <v:group id="_x0000_s1129" o:spid="_x0000_s1129" o:spt="203" style="height:19.55pt;width:175.05pt;" coordsize="3501,390">
            <o:lock v:ext="edit"/>
            <v:shape id="_x0000_s1130" o:spid="_x0000_s1130" o:spt="75" type="#_x0000_t75" style="position:absolute;left:0;top:0;height:390;width:3501;" filled="f" stroked="f" coordsize="21600,21600">
              <v:path/>
              <v:fill on="f" focussize="0,0"/>
              <v:stroke on="f"/>
              <v:imagedata r:id="rId612" o:title=""/>
              <o:lock v:ext="edit" aspectratio="t"/>
            </v:shape>
            <v:shape id="_x0000_s1131" o:spid="_x0000_s1131" o:spt="202" type="#_x0000_t202" style="position:absolute;left:-20;top:-20;height:430;width:3541;" filled="f" stroked="f" coordsize="21600,21600">
              <v:path/>
              <v:fill on="f" focussize="0,0"/>
              <v:stroke on="f"/>
              <v:imagedata o:title=""/>
              <o:lock v:ext="edit" aspectratio="f"/>
              <v:textbox inset="0mm,0mm,0mm,0mm">
                <w:txbxContent>
                  <w:p w14:paraId="4AF48243">
                    <w:pPr>
                      <w:spacing w:before="118" w:line="220" w:lineRule="auto"/>
                      <w:ind w:left="669"/>
                      <w:rPr>
                        <w:rFonts w:ascii="宋体" w:hAnsi="宋体" w:eastAsia="宋体" w:cs="宋体"/>
                        <w:sz w:val="19"/>
                        <w:szCs w:val="19"/>
                      </w:rPr>
                    </w:pPr>
                    <w:r>
                      <w:rPr>
                        <w:rFonts w:ascii="宋体" w:hAnsi="宋体" w:eastAsia="宋体" w:cs="宋体"/>
                        <w:spacing w:val="-3"/>
                        <w:sz w:val="19"/>
                        <w:szCs w:val="19"/>
                      </w:rPr>
                      <w:t>2.</w:t>
                    </w:r>
                    <w:r>
                      <w:rPr>
                        <w:rFonts w:ascii="宋体" w:hAnsi="宋体" w:eastAsia="宋体" w:cs="宋体"/>
                        <w:spacing w:val="-46"/>
                        <w:sz w:val="19"/>
                        <w:szCs w:val="19"/>
                      </w:rPr>
                      <w:t xml:space="preserve"> </w:t>
                    </w:r>
                    <w:r>
                      <w:rPr>
                        <w:rFonts w:ascii="宋体" w:hAnsi="宋体" w:eastAsia="宋体" w:cs="宋体"/>
                        <w:spacing w:val="-3"/>
                        <w:sz w:val="19"/>
                        <w:szCs w:val="19"/>
                      </w:rPr>
                      <w:t>关联强度</w:t>
                    </w:r>
                  </w:p>
                </w:txbxContent>
              </v:textbox>
            </v:shape>
            <w10:wrap type="none"/>
            <w10:anchorlock/>
          </v:group>
        </w:pict>
      </w:r>
    </w:p>
    <w:p w14:paraId="164A18AE">
      <w:pPr>
        <w:spacing w:before="86" w:line="219" w:lineRule="auto"/>
        <w:ind w:left="699"/>
        <w:rPr>
          <w:rFonts w:ascii="宋体" w:hAnsi="宋体" w:eastAsia="宋体" w:cs="宋体"/>
          <w:sz w:val="19"/>
          <w:szCs w:val="19"/>
        </w:rPr>
      </w:pPr>
      <w:r>
        <w:rPr>
          <w:rFonts w:ascii="宋体" w:hAnsi="宋体" w:eastAsia="宋体" w:cs="宋体"/>
          <w:sz w:val="19"/>
          <w:szCs w:val="19"/>
        </w:rPr>
        <w:t>3.</w:t>
      </w:r>
      <w:r>
        <w:rPr>
          <w:rFonts w:ascii="宋体" w:hAnsi="宋体" w:eastAsia="宋体" w:cs="宋体"/>
          <w:spacing w:val="-44"/>
          <w:sz w:val="19"/>
          <w:szCs w:val="19"/>
        </w:rPr>
        <w:t xml:space="preserve"> </w:t>
      </w:r>
      <w:r>
        <w:rPr>
          <w:rFonts w:ascii="宋体" w:hAnsi="宋体" w:eastAsia="宋体" w:cs="宋体"/>
          <w:sz w:val="19"/>
          <w:szCs w:val="19"/>
        </w:rPr>
        <w:t>剂量-反应关系</w:t>
      </w:r>
    </w:p>
    <w:p w14:paraId="49728058">
      <w:pPr>
        <w:spacing w:before="48" w:line="390" w:lineRule="exact"/>
        <w:ind w:firstLine="29"/>
      </w:pPr>
      <w:r>
        <w:rPr>
          <w:position w:val="-7"/>
        </w:rPr>
        <w:pict>
          <v:group id="_x0000_s1132" o:spid="_x0000_s1132" o:spt="203" style="height:19.5pt;width:175.55pt;" coordsize="3511,390">
            <o:lock v:ext="edit"/>
            <v:shape id="_x0000_s1133" o:spid="_x0000_s1133" o:spt="75" type="#_x0000_t75" style="position:absolute;left:0;top:0;height:390;width:3511;" filled="f" stroked="f" coordsize="21600,21600">
              <v:path/>
              <v:fill on="f" focussize="0,0"/>
              <v:stroke on="f"/>
              <v:imagedata r:id="rId613" o:title=""/>
              <o:lock v:ext="edit" aspectratio="t"/>
            </v:shape>
            <v:shape id="_x0000_s1134" o:spid="_x0000_s1134" o:spt="202" type="#_x0000_t202" style="position:absolute;left:-20;top:-20;height:430;width:3551;" filled="f" stroked="f" coordsize="21600,21600">
              <v:path/>
              <v:fill on="f" focussize="0,0"/>
              <v:stroke on="f"/>
              <v:imagedata o:title=""/>
              <o:lock v:ext="edit" aspectratio="f"/>
              <v:textbox inset="0mm,0mm,0mm,0mm">
                <w:txbxContent>
                  <w:p w14:paraId="781F3CF0">
                    <w:pPr>
                      <w:spacing w:before="128" w:line="220" w:lineRule="auto"/>
                      <w:ind w:left="689"/>
                      <w:rPr>
                        <w:rFonts w:ascii="宋体" w:hAnsi="宋体" w:eastAsia="宋体" w:cs="宋体"/>
                        <w:sz w:val="19"/>
                        <w:szCs w:val="19"/>
                      </w:rPr>
                    </w:pPr>
                    <w:r>
                      <w:rPr>
                        <w:rFonts w:ascii="宋体" w:hAnsi="宋体" w:eastAsia="宋体" w:cs="宋体"/>
                        <w:spacing w:val="-3"/>
                        <w:sz w:val="19"/>
                        <w:szCs w:val="19"/>
                      </w:rPr>
                      <w:t>4.</w:t>
                    </w:r>
                    <w:r>
                      <w:rPr>
                        <w:rFonts w:ascii="宋体" w:hAnsi="宋体" w:eastAsia="宋体" w:cs="宋体"/>
                        <w:spacing w:val="-44"/>
                        <w:sz w:val="19"/>
                        <w:szCs w:val="19"/>
                      </w:rPr>
                      <w:t xml:space="preserve"> </w:t>
                    </w:r>
                    <w:r>
                      <w:rPr>
                        <w:rFonts w:ascii="宋体" w:hAnsi="宋体" w:eastAsia="宋体" w:cs="宋体"/>
                        <w:spacing w:val="-3"/>
                        <w:sz w:val="19"/>
                        <w:szCs w:val="19"/>
                      </w:rPr>
                      <w:t>结果的一致性</w:t>
                    </w:r>
                  </w:p>
                </w:txbxContent>
              </v:textbox>
            </v:shape>
            <w10:wrap type="none"/>
            <w10:anchorlock/>
          </v:group>
        </w:pict>
      </w:r>
    </w:p>
    <w:p w14:paraId="500998CA">
      <w:pPr>
        <w:spacing w:before="88" w:line="219" w:lineRule="auto"/>
        <w:ind w:left="699"/>
        <w:rPr>
          <w:rFonts w:ascii="宋体" w:hAnsi="宋体" w:eastAsia="宋体" w:cs="宋体"/>
          <w:sz w:val="19"/>
          <w:szCs w:val="19"/>
        </w:rPr>
      </w:pPr>
      <w:r>
        <w:rPr>
          <w:rFonts w:ascii="宋体" w:hAnsi="宋体" w:eastAsia="宋体" w:cs="宋体"/>
          <w:spacing w:val="-4"/>
          <w:sz w:val="19"/>
          <w:szCs w:val="19"/>
        </w:rPr>
        <w:t>5.</w:t>
      </w:r>
      <w:r>
        <w:rPr>
          <w:rFonts w:ascii="宋体" w:hAnsi="宋体" w:eastAsia="宋体" w:cs="宋体"/>
          <w:spacing w:val="-41"/>
          <w:sz w:val="19"/>
          <w:szCs w:val="19"/>
        </w:rPr>
        <w:t xml:space="preserve"> </w:t>
      </w:r>
      <w:r>
        <w:rPr>
          <w:rFonts w:ascii="宋体" w:hAnsi="宋体" w:eastAsia="宋体" w:cs="宋体"/>
          <w:spacing w:val="-4"/>
          <w:sz w:val="19"/>
          <w:szCs w:val="19"/>
        </w:rPr>
        <w:t>实验证据</w:t>
      </w:r>
    </w:p>
    <w:p w14:paraId="0BE21333">
      <w:pPr>
        <w:spacing w:before="47" w:line="390" w:lineRule="exact"/>
        <w:ind w:firstLine="39"/>
      </w:pPr>
      <w:r>
        <w:rPr>
          <w:position w:val="-7"/>
        </w:rPr>
        <w:pict>
          <v:group id="_x0000_s1135" o:spid="_x0000_s1135" o:spt="203" style="height:19.5pt;width:175.05pt;" coordsize="3501,390">
            <o:lock v:ext="edit"/>
            <v:shape id="_x0000_s1136" o:spid="_x0000_s1136" o:spt="75" type="#_x0000_t75" style="position:absolute;left:0;top:0;height:390;width:3501;" filled="f" stroked="f" coordsize="21600,21600">
              <v:path/>
              <v:fill on="f" focussize="0,0"/>
              <v:stroke on="f"/>
              <v:imagedata r:id="rId614" o:title=""/>
              <o:lock v:ext="edit" aspectratio="t"/>
            </v:shape>
            <v:shape id="_x0000_s1137" o:spid="_x0000_s1137" o:spt="202" type="#_x0000_t202" style="position:absolute;left:-20;top:-20;height:430;width:3541;" filled="f" stroked="f" coordsize="21600,21600">
              <v:path/>
              <v:fill on="f" focussize="0,0"/>
              <v:stroke on="f"/>
              <v:imagedata o:title=""/>
              <o:lock v:ext="edit" aspectratio="f"/>
              <v:textbox inset="0mm,0mm,0mm,0mm">
                <w:txbxContent>
                  <w:p w14:paraId="7E2727E2">
                    <w:pPr>
                      <w:spacing w:before="128" w:line="221" w:lineRule="auto"/>
                      <w:ind w:left="679"/>
                      <w:rPr>
                        <w:rFonts w:ascii="宋体" w:hAnsi="宋体" w:eastAsia="宋体" w:cs="宋体"/>
                        <w:sz w:val="19"/>
                        <w:szCs w:val="19"/>
                      </w:rPr>
                    </w:pPr>
                    <w:r>
                      <w:rPr>
                        <w:rFonts w:ascii="宋体" w:hAnsi="宋体" w:eastAsia="宋体" w:cs="宋体"/>
                        <w:spacing w:val="2"/>
                        <w:sz w:val="19"/>
                        <w:szCs w:val="19"/>
                      </w:rPr>
                      <w:t>6.生物学合理性</w:t>
                    </w:r>
                  </w:p>
                </w:txbxContent>
              </v:textbox>
            </v:shape>
            <w10:wrap type="none"/>
            <w10:anchorlock/>
          </v:group>
        </w:pict>
      </w:r>
    </w:p>
    <w:p w14:paraId="53BB5D39">
      <w:pPr>
        <w:spacing w:before="88" w:line="220" w:lineRule="auto"/>
        <w:ind w:left="699"/>
        <w:rPr>
          <w:rFonts w:ascii="宋体" w:hAnsi="宋体" w:eastAsia="宋体" w:cs="宋体"/>
          <w:sz w:val="19"/>
          <w:szCs w:val="19"/>
        </w:rPr>
      </w:pPr>
      <w:r>
        <w:rPr>
          <w:rFonts w:ascii="宋体" w:hAnsi="宋体" w:eastAsia="宋体" w:cs="宋体"/>
          <w:spacing w:val="-3"/>
          <w:sz w:val="19"/>
          <w:szCs w:val="19"/>
        </w:rPr>
        <w:t>7.</w:t>
      </w:r>
      <w:r>
        <w:rPr>
          <w:rFonts w:ascii="宋体" w:hAnsi="宋体" w:eastAsia="宋体" w:cs="宋体"/>
          <w:spacing w:val="-51"/>
          <w:sz w:val="19"/>
          <w:szCs w:val="19"/>
        </w:rPr>
        <w:t xml:space="preserve"> </w:t>
      </w:r>
      <w:r>
        <w:rPr>
          <w:rFonts w:ascii="宋体" w:hAnsi="宋体" w:eastAsia="宋体" w:cs="宋体"/>
          <w:spacing w:val="-3"/>
          <w:sz w:val="19"/>
          <w:szCs w:val="19"/>
        </w:rPr>
        <w:t>生物学一致性</w:t>
      </w:r>
    </w:p>
    <w:p w14:paraId="7F170873">
      <w:pPr>
        <w:spacing w:before="65" w:line="370" w:lineRule="exact"/>
        <w:ind w:firstLine="39"/>
      </w:pPr>
      <w:r>
        <w:rPr>
          <w:position w:val="-7"/>
        </w:rPr>
        <w:pict>
          <v:group id="_x0000_s1138" o:spid="_x0000_s1138" o:spt="203" style="height:18.5pt;width:175.05pt;" coordsize="3501,370">
            <o:lock v:ext="edit"/>
            <v:shape id="_x0000_s1139" o:spid="_x0000_s1139" o:spt="75" type="#_x0000_t75" style="position:absolute;left:0;top:0;height:370;width:3501;" filled="f" stroked="f" coordsize="21600,21600">
              <v:path/>
              <v:fill on="f" focussize="0,0"/>
              <v:stroke on="f"/>
              <v:imagedata r:id="rId615" o:title=""/>
              <o:lock v:ext="edit" aspectratio="t"/>
            </v:shape>
            <v:shape id="_x0000_s1140" o:spid="_x0000_s1140" o:spt="202" type="#_x0000_t202" style="position:absolute;left:-20;top:-20;height:410;width:3541;" filled="f" stroked="f" coordsize="21600,21600">
              <v:path/>
              <v:fill on="f" focussize="0,0"/>
              <v:stroke on="f"/>
              <v:imagedata o:title=""/>
              <o:lock v:ext="edit" aspectratio="f"/>
              <v:textbox inset="0mm,0mm,0mm,0mm">
                <w:txbxContent>
                  <w:p w14:paraId="67B0225A">
                    <w:pPr>
                      <w:spacing w:before="107" w:line="219" w:lineRule="auto"/>
                      <w:ind w:left="679"/>
                      <w:rPr>
                        <w:rFonts w:ascii="宋体" w:hAnsi="宋体" w:eastAsia="宋体" w:cs="宋体"/>
                        <w:sz w:val="19"/>
                        <w:szCs w:val="19"/>
                      </w:rPr>
                    </w:pPr>
                    <w:r>
                      <w:rPr>
                        <w:rFonts w:ascii="宋体" w:hAnsi="宋体" w:eastAsia="宋体" w:cs="宋体"/>
                        <w:spacing w:val="-3"/>
                        <w:sz w:val="19"/>
                        <w:szCs w:val="19"/>
                      </w:rPr>
                      <w:t>8.</w:t>
                    </w:r>
                    <w:r>
                      <w:rPr>
                        <w:rFonts w:ascii="宋体" w:hAnsi="宋体" w:eastAsia="宋体" w:cs="宋体"/>
                        <w:spacing w:val="-56"/>
                        <w:sz w:val="19"/>
                        <w:szCs w:val="19"/>
                      </w:rPr>
                      <w:t xml:space="preserve"> </w:t>
                    </w:r>
                    <w:r>
                      <w:rPr>
                        <w:rFonts w:ascii="宋体" w:hAnsi="宋体" w:eastAsia="宋体" w:cs="宋体"/>
                        <w:spacing w:val="-3"/>
                        <w:sz w:val="19"/>
                        <w:szCs w:val="19"/>
                      </w:rPr>
                      <w:t>特异性</w:t>
                    </w:r>
                  </w:p>
                </w:txbxContent>
              </v:textbox>
            </v:shape>
            <w10:wrap type="none"/>
            <w10:anchorlock/>
          </v:group>
        </w:pict>
      </w:r>
    </w:p>
    <w:p w14:paraId="34DCDD75">
      <w:pPr>
        <w:spacing w:before="89" w:line="220" w:lineRule="auto"/>
        <w:ind w:left="699"/>
        <w:rPr>
          <w:rFonts w:ascii="宋体" w:hAnsi="宋体" w:eastAsia="宋体" w:cs="宋体"/>
          <w:sz w:val="19"/>
          <w:szCs w:val="19"/>
        </w:rPr>
      </w:pPr>
      <w:r>
        <w:rPr>
          <w:rFonts w:ascii="宋体" w:hAnsi="宋体" w:eastAsia="宋体" w:cs="宋体"/>
          <w:spacing w:val="3"/>
          <w:sz w:val="19"/>
          <w:szCs w:val="19"/>
        </w:rPr>
        <w:t>9.相似性</w:t>
      </w:r>
    </w:p>
    <w:p w14:paraId="48378333">
      <w:pPr>
        <w:spacing w:before="55" w:line="380" w:lineRule="exact"/>
        <w:ind w:firstLine="29"/>
      </w:pPr>
      <w:r>
        <w:rPr>
          <w:position w:val="-7"/>
        </w:rPr>
        <w:pict>
          <v:group id="_x0000_s1141" o:spid="_x0000_s1141" o:spt="203" style="height:19pt;width:175pt;" coordsize="3500,380">
            <o:lock v:ext="edit"/>
            <v:shape id="_x0000_s1142" o:spid="_x0000_s1142" o:spt="75" type="#_x0000_t75" style="position:absolute;left:0;top:0;height:380;width:3500;" filled="f" stroked="f" coordsize="21600,21600">
              <v:path/>
              <v:fill on="f" focussize="0,0"/>
              <v:stroke on="f"/>
              <v:imagedata r:id="rId616" o:title=""/>
              <o:lock v:ext="edit" aspectratio="t"/>
            </v:shape>
            <v:shape id="_x0000_s1143" o:spid="_x0000_s1143" o:spt="202" type="#_x0000_t202" style="position:absolute;left:-20;top:-20;height:420;width:3540;" filled="f" stroked="f" coordsize="21600,21600">
              <v:path/>
              <v:fill on="f" focussize="0,0"/>
              <v:stroke on="f"/>
              <v:imagedata o:title=""/>
              <o:lock v:ext="edit" aspectratio="f"/>
              <v:textbox inset="0mm,0mm,0mm,0mm">
                <w:txbxContent>
                  <w:p w14:paraId="618F8668">
                    <w:pPr>
                      <w:spacing w:before="74" w:line="212" w:lineRule="auto"/>
                      <w:ind w:left="372"/>
                      <w:rPr>
                        <w:rFonts w:ascii="Times New Roman" w:hAnsi="Times New Roman" w:eastAsia="Times New Roman" w:cs="Times New Roman"/>
                        <w:sz w:val="22"/>
                        <w:szCs w:val="22"/>
                      </w:rPr>
                    </w:pPr>
                    <w:r>
                      <w:rPr>
                        <w:rFonts w:ascii="Times New Roman" w:hAnsi="Times New Roman" w:eastAsia="Times New Roman" w:cs="Times New Roman"/>
                        <w:spacing w:val="-9"/>
                        <w:sz w:val="22"/>
                        <w:szCs w:val="22"/>
                      </w:rPr>
                      <w:t>[</w:t>
                    </w:r>
                    <w:r>
                      <w:rPr>
                        <w:rFonts w:ascii="宋体" w:hAnsi="宋体" w:eastAsia="宋体" w:cs="宋体"/>
                        <w:spacing w:val="-9"/>
                        <w:sz w:val="22"/>
                        <w:szCs w:val="22"/>
                      </w:rPr>
                      <w:t>预</w:t>
                    </w:r>
                    <w:r>
                      <w:rPr>
                        <w:rFonts w:ascii="宋体" w:hAnsi="宋体" w:eastAsia="宋体" w:cs="宋体"/>
                        <w:spacing w:val="-30"/>
                        <w:sz w:val="22"/>
                        <w:szCs w:val="22"/>
                      </w:rPr>
                      <w:t xml:space="preserve"> </w:t>
                    </w:r>
                    <w:r>
                      <w:rPr>
                        <w:rFonts w:ascii="宋体" w:hAnsi="宋体" w:eastAsia="宋体" w:cs="宋体"/>
                        <w:spacing w:val="-9"/>
                        <w:sz w:val="22"/>
                        <w:szCs w:val="22"/>
                      </w:rPr>
                      <w:t>测</w:t>
                    </w:r>
                    <w:r>
                      <w:rPr>
                        <w:rFonts w:ascii="宋体" w:hAnsi="宋体" w:eastAsia="宋体" w:cs="宋体"/>
                        <w:spacing w:val="-42"/>
                        <w:sz w:val="22"/>
                        <w:szCs w:val="22"/>
                      </w:rPr>
                      <w:t xml:space="preserve"> </w:t>
                    </w:r>
                    <w:r>
                      <w:rPr>
                        <w:rFonts w:ascii="宋体" w:hAnsi="宋体" w:eastAsia="宋体" w:cs="宋体"/>
                        <w:spacing w:val="-9"/>
                        <w:sz w:val="22"/>
                        <w:szCs w:val="22"/>
                      </w:rPr>
                      <w:t>力</w:t>
                    </w:r>
                    <w:r>
                      <w:rPr>
                        <w:rFonts w:ascii="Times New Roman" w:hAnsi="Times New Roman" w:eastAsia="Times New Roman" w:cs="Times New Roman"/>
                        <w:spacing w:val="-9"/>
                        <w:sz w:val="22"/>
                        <w:szCs w:val="22"/>
                      </w:rPr>
                      <w:t>(</w:t>
                    </w:r>
                    <w:r>
                      <w:rPr>
                        <w:rFonts w:ascii="Times New Roman" w:hAnsi="Times New Roman" w:eastAsia="Times New Roman" w:cs="Times New Roman"/>
                        <w:spacing w:val="15"/>
                        <w:w w:val="101"/>
                        <w:sz w:val="22"/>
                        <w:szCs w:val="22"/>
                      </w:rPr>
                      <w:t xml:space="preserve"> </w:t>
                    </w:r>
                    <w:r>
                      <w:rPr>
                        <w:rFonts w:ascii="Times New Roman" w:hAnsi="Times New Roman" w:eastAsia="Times New Roman" w:cs="Times New Roman"/>
                        <w:spacing w:val="-9"/>
                        <w:sz w:val="22"/>
                        <w:szCs w:val="22"/>
                      </w:rPr>
                      <w:t>S u</w:t>
                    </w:r>
                    <w:r>
                      <w:rPr>
                        <w:rFonts w:ascii="Times New Roman" w:hAnsi="Times New Roman" w:eastAsia="Times New Roman" w:cs="Times New Roman"/>
                        <w:spacing w:val="12"/>
                        <w:sz w:val="22"/>
                        <w:szCs w:val="22"/>
                      </w:rPr>
                      <w:t xml:space="preserve"> </w:t>
                    </w:r>
                    <w:r>
                      <w:rPr>
                        <w:rFonts w:ascii="Times New Roman" w:hAnsi="Times New Roman" w:eastAsia="Times New Roman" w:cs="Times New Roman"/>
                        <w:spacing w:val="-9"/>
                        <w:sz w:val="22"/>
                        <w:szCs w:val="22"/>
                      </w:rPr>
                      <w:t>s</w:t>
                    </w:r>
                    <w:r>
                      <w:rPr>
                        <w:rFonts w:ascii="Times New Roman" w:hAnsi="Times New Roman" w:eastAsia="Times New Roman" w:cs="Times New Roman"/>
                        <w:spacing w:val="12"/>
                        <w:sz w:val="22"/>
                        <w:szCs w:val="22"/>
                      </w:rPr>
                      <w:t xml:space="preserve"> </w:t>
                    </w:r>
                    <w:r>
                      <w:rPr>
                        <w:rFonts w:ascii="Times New Roman" w:hAnsi="Times New Roman" w:eastAsia="Times New Roman" w:cs="Times New Roman"/>
                        <w:spacing w:val="-9"/>
                        <w:sz w:val="22"/>
                        <w:szCs w:val="22"/>
                      </w:rPr>
                      <w:t>s</w:t>
                    </w:r>
                    <w:r>
                      <w:rPr>
                        <w:rFonts w:ascii="Times New Roman" w:hAnsi="Times New Roman" w:eastAsia="Times New Roman" w:cs="Times New Roman"/>
                        <w:spacing w:val="10"/>
                        <w:sz w:val="22"/>
                        <w:szCs w:val="22"/>
                      </w:rPr>
                      <w:t xml:space="preserve"> </w:t>
                    </w:r>
                    <w:r>
                      <w:rPr>
                        <w:rFonts w:ascii="Times New Roman" w:hAnsi="Times New Roman" w:eastAsia="Times New Roman" w:cs="Times New Roman"/>
                        <w:spacing w:val="-9"/>
                        <w:sz w:val="22"/>
                        <w:szCs w:val="22"/>
                      </w:rPr>
                      <w:t>e r</w:t>
                    </w:r>
                    <w:r>
                      <w:rPr>
                        <w:rFonts w:ascii="Times New Roman" w:hAnsi="Times New Roman" w:eastAsia="Times New Roman" w:cs="Times New Roman"/>
                        <w:spacing w:val="12"/>
                        <w:sz w:val="22"/>
                        <w:szCs w:val="22"/>
                      </w:rPr>
                      <w:t xml:space="preserve"> </w:t>
                    </w:r>
                    <w:r>
                      <w:rPr>
                        <w:rFonts w:ascii="Times New Roman" w:hAnsi="Times New Roman" w:eastAsia="Times New Roman" w:cs="Times New Roman"/>
                        <w:spacing w:val="-9"/>
                        <w:sz w:val="22"/>
                        <w:szCs w:val="22"/>
                      </w:rPr>
                      <w:t>,</w:t>
                    </w:r>
                    <w:r>
                      <w:rPr>
                        <w:rFonts w:ascii="Times New Roman" w:hAnsi="Times New Roman" w:eastAsia="Times New Roman" w:cs="Times New Roman"/>
                        <w:spacing w:val="27"/>
                        <w:w w:val="101"/>
                        <w:sz w:val="22"/>
                        <w:szCs w:val="22"/>
                      </w:rPr>
                      <w:t xml:space="preserve"> </w:t>
                    </w:r>
                    <w:r>
                      <w:rPr>
                        <w:rFonts w:ascii="Times New Roman" w:hAnsi="Times New Roman" w:eastAsia="Times New Roman" w:cs="Times New Roman"/>
                        <w:spacing w:val="-9"/>
                        <w:sz w:val="22"/>
                        <w:szCs w:val="22"/>
                      </w:rPr>
                      <w:t>1</w:t>
                    </w:r>
                    <w:r>
                      <w:rPr>
                        <w:rFonts w:ascii="Times New Roman" w:hAnsi="Times New Roman" w:eastAsia="Times New Roman" w:cs="Times New Roman"/>
                        <w:spacing w:val="10"/>
                        <w:sz w:val="22"/>
                        <w:szCs w:val="22"/>
                      </w:rPr>
                      <w:t xml:space="preserve"> </w:t>
                    </w:r>
                    <w:r>
                      <w:rPr>
                        <w:rFonts w:ascii="Times New Roman" w:hAnsi="Times New Roman" w:eastAsia="Times New Roman" w:cs="Times New Roman"/>
                        <w:spacing w:val="-9"/>
                        <w:sz w:val="22"/>
                        <w:szCs w:val="22"/>
                      </w:rPr>
                      <w:t>9</w:t>
                    </w:r>
                    <w:r>
                      <w:rPr>
                        <w:rFonts w:ascii="Times New Roman" w:hAnsi="Times New Roman" w:eastAsia="Times New Roman" w:cs="Times New Roman"/>
                        <w:spacing w:val="10"/>
                        <w:sz w:val="22"/>
                        <w:szCs w:val="22"/>
                      </w:rPr>
                      <w:t xml:space="preserve"> </w:t>
                    </w:r>
                    <w:r>
                      <w:rPr>
                        <w:rFonts w:ascii="Times New Roman" w:hAnsi="Times New Roman" w:eastAsia="Times New Roman" w:cs="Times New Roman"/>
                        <w:spacing w:val="-9"/>
                        <w:sz w:val="22"/>
                        <w:szCs w:val="22"/>
                      </w:rPr>
                      <w:t>9</w:t>
                    </w:r>
                    <w:r>
                      <w:rPr>
                        <w:rFonts w:ascii="Times New Roman" w:hAnsi="Times New Roman" w:eastAsia="Times New Roman" w:cs="Times New Roman"/>
                        <w:spacing w:val="28"/>
                        <w:sz w:val="22"/>
                        <w:szCs w:val="22"/>
                      </w:rPr>
                      <w:t xml:space="preserve"> </w:t>
                    </w:r>
                    <w:r>
                      <w:rPr>
                        <w:rFonts w:ascii="Times New Roman" w:hAnsi="Times New Roman" w:eastAsia="Times New Roman" w:cs="Times New Roman"/>
                        <w:spacing w:val="-9"/>
                        <w:sz w:val="22"/>
                        <w:szCs w:val="22"/>
                      </w:rPr>
                      <w:t>1</w:t>
                    </w:r>
                    <w:r>
                      <w:rPr>
                        <w:rFonts w:ascii="Times New Roman" w:hAnsi="Times New Roman" w:eastAsia="Times New Roman" w:cs="Times New Roman"/>
                        <w:spacing w:val="6"/>
                        <w:sz w:val="22"/>
                        <w:szCs w:val="22"/>
                      </w:rPr>
                      <w:t xml:space="preserve"> </w:t>
                    </w:r>
                    <w:r>
                      <w:rPr>
                        <w:rFonts w:ascii="Times New Roman" w:hAnsi="Times New Roman" w:eastAsia="Times New Roman" w:cs="Times New Roman"/>
                        <w:spacing w:val="-9"/>
                        <w:sz w:val="22"/>
                        <w:szCs w:val="22"/>
                      </w:rPr>
                      <w:t>)</w:t>
                    </w:r>
                    <w:r>
                      <w:rPr>
                        <w:rFonts w:ascii="Times New Roman" w:hAnsi="Times New Roman" w:eastAsia="Times New Roman" w:cs="Times New Roman"/>
                        <w:spacing w:val="9"/>
                        <w:sz w:val="22"/>
                        <w:szCs w:val="22"/>
                      </w:rPr>
                      <w:t xml:space="preserve"> </w:t>
                    </w:r>
                    <w:r>
                      <w:rPr>
                        <w:rFonts w:ascii="Times New Roman" w:hAnsi="Times New Roman" w:eastAsia="Times New Roman" w:cs="Times New Roman"/>
                        <w:spacing w:val="-9"/>
                        <w:sz w:val="22"/>
                        <w:szCs w:val="22"/>
                      </w:rPr>
                      <w:t>]</w:t>
                    </w:r>
                  </w:p>
                </w:txbxContent>
              </v:textbox>
            </v:shape>
            <w10:wrap type="none"/>
            <w10:anchorlock/>
          </v:group>
        </w:pict>
      </w:r>
    </w:p>
    <w:p w14:paraId="3513564D">
      <w:pPr>
        <w:spacing w:line="380" w:lineRule="exact"/>
        <w:sectPr>
          <w:type w:val="continuous"/>
          <w:pgSz w:w="11900" w:h="16820"/>
          <w:pgMar w:top="400" w:right="1545" w:bottom="822" w:left="909" w:header="0" w:footer="651" w:gutter="0"/>
          <w:cols w:equalWidth="0" w:num="2">
            <w:col w:w="5721" w:space="100"/>
            <w:col w:w="3625"/>
          </w:cols>
        </w:sectPr>
      </w:pPr>
    </w:p>
    <w:p w14:paraId="7E160787">
      <w:pPr>
        <w:pStyle w:val="2"/>
        <w:spacing w:before="186" w:line="221" w:lineRule="auto"/>
        <w:ind w:left="6689"/>
        <w:rPr>
          <w:sz w:val="20"/>
          <w:szCs w:val="20"/>
        </w:rPr>
      </w:pPr>
      <w:bookmarkStart w:id="257" w:name="bookmark490"/>
      <w:bookmarkEnd w:id="257"/>
      <w:r>
        <w:rPr>
          <w:spacing w:val="-17"/>
          <w:sz w:val="20"/>
          <w:szCs w:val="20"/>
        </w:rPr>
        <w:t>第八章病因及其发现和推断</w:t>
      </w:r>
    </w:p>
    <w:p w14:paraId="0A0A1C39">
      <w:pPr>
        <w:spacing w:line="281" w:lineRule="auto"/>
        <w:rPr>
          <w:rFonts w:ascii="Arial"/>
          <w:sz w:val="21"/>
        </w:rPr>
      </w:pPr>
    </w:p>
    <w:p w14:paraId="29874AF0">
      <w:pPr>
        <w:spacing w:line="281" w:lineRule="auto"/>
        <w:rPr>
          <w:rFonts w:ascii="Arial"/>
          <w:sz w:val="21"/>
        </w:rPr>
      </w:pPr>
    </w:p>
    <w:p w14:paraId="36908857">
      <w:pPr>
        <w:spacing w:before="65" w:line="219" w:lineRule="auto"/>
        <w:rPr>
          <w:rFonts w:ascii="宋体" w:hAnsi="宋体" w:eastAsia="宋体" w:cs="宋体"/>
          <w:sz w:val="20"/>
          <w:szCs w:val="20"/>
        </w:rPr>
      </w:pPr>
      <w:r>
        <w:rPr>
          <w:rFonts w:ascii="宋体" w:hAnsi="宋体" w:eastAsia="宋体" w:cs="宋体"/>
          <w:sz w:val="20"/>
          <w:szCs w:val="20"/>
        </w:rPr>
        <w:t>上，临床试验、队列研究、病例对照研究和横断面研究依次降低。</w:t>
      </w:r>
    </w:p>
    <w:p w14:paraId="07C3AB5A">
      <w:pPr>
        <w:spacing w:before="111" w:line="321" w:lineRule="auto"/>
        <w:ind w:right="596" w:firstLine="419"/>
        <w:rPr>
          <w:rFonts w:ascii="宋体" w:hAnsi="宋体" w:eastAsia="宋体" w:cs="宋体"/>
          <w:sz w:val="20"/>
          <w:szCs w:val="20"/>
        </w:rPr>
      </w:pPr>
      <w:r>
        <w:rPr>
          <w:rFonts w:ascii="Times New Roman" w:hAnsi="Times New Roman" w:eastAsia="Times New Roman" w:cs="Times New Roman"/>
          <w:spacing w:val="7"/>
          <w:sz w:val="20"/>
          <w:szCs w:val="20"/>
        </w:rPr>
        <w:t>2.</w:t>
      </w:r>
      <w:r>
        <w:rPr>
          <w:rFonts w:ascii="Times New Roman" w:hAnsi="Times New Roman" w:eastAsia="Times New Roman" w:cs="Times New Roman"/>
          <w:spacing w:val="1"/>
          <w:sz w:val="20"/>
          <w:szCs w:val="20"/>
        </w:rPr>
        <w:t xml:space="preserve">   </w:t>
      </w:r>
      <w:r>
        <w:rPr>
          <w:rFonts w:ascii="宋体" w:hAnsi="宋体" w:eastAsia="宋体" w:cs="宋体"/>
          <w:spacing w:val="7"/>
          <w:sz w:val="20"/>
          <w:szCs w:val="20"/>
        </w:rPr>
        <w:t>关联强度</w:t>
      </w:r>
      <w:r>
        <w:rPr>
          <w:rFonts w:ascii="Times New Roman" w:hAnsi="Times New Roman" w:eastAsia="Times New Roman" w:cs="Times New Roman"/>
          <w:spacing w:val="7"/>
          <w:sz w:val="20"/>
          <w:szCs w:val="20"/>
        </w:rPr>
        <w:t>(</w:t>
      </w:r>
      <w:r>
        <w:rPr>
          <w:rFonts w:ascii="Times New Roman" w:hAnsi="Times New Roman" w:eastAsia="Times New Roman" w:cs="Times New Roman"/>
          <w:sz w:val="20"/>
          <w:szCs w:val="20"/>
        </w:rPr>
        <w:t>stren</w:t>
      </w:r>
      <w:r>
        <w:rPr>
          <w:rFonts w:ascii="Times New Roman" w:hAnsi="Times New Roman" w:eastAsia="Times New Roman" w:cs="Times New Roman"/>
          <w:spacing w:val="7"/>
          <w:sz w:val="20"/>
          <w:szCs w:val="20"/>
        </w:rPr>
        <w:t xml:space="preserve">  </w:t>
      </w:r>
      <w:r>
        <w:rPr>
          <w:rFonts w:ascii="Times New Roman" w:hAnsi="Times New Roman" w:eastAsia="Times New Roman" w:cs="Times New Roman"/>
          <w:sz w:val="20"/>
          <w:szCs w:val="20"/>
        </w:rPr>
        <w:t>gth</w:t>
      </w:r>
      <w:r>
        <w:rPr>
          <w:rFonts w:ascii="Times New Roman" w:hAnsi="Times New Roman" w:eastAsia="Times New Roman" w:cs="Times New Roman"/>
          <w:spacing w:val="7"/>
          <w:sz w:val="20"/>
          <w:szCs w:val="20"/>
        </w:rPr>
        <w:t xml:space="preserve">   </w:t>
      </w:r>
      <w:r>
        <w:rPr>
          <w:rFonts w:ascii="Times New Roman" w:hAnsi="Times New Roman" w:eastAsia="Times New Roman" w:cs="Times New Roman"/>
          <w:sz w:val="20"/>
          <w:szCs w:val="20"/>
        </w:rPr>
        <w:t>ofassociation</w:t>
      </w:r>
      <w:r>
        <w:rPr>
          <w:rFonts w:ascii="Times New Roman" w:hAnsi="Times New Roman" w:eastAsia="Times New Roman" w:cs="Times New Roman"/>
          <w:spacing w:val="7"/>
          <w:sz w:val="20"/>
          <w:szCs w:val="20"/>
        </w:rPr>
        <w:t xml:space="preserve">)  </w:t>
      </w:r>
      <w:r>
        <w:rPr>
          <w:rFonts w:ascii="宋体" w:hAnsi="宋体" w:eastAsia="宋体" w:cs="宋体"/>
          <w:spacing w:val="7"/>
          <w:sz w:val="20"/>
          <w:szCs w:val="20"/>
        </w:rPr>
        <w:t>关联强度是用</w:t>
      </w:r>
      <w:r>
        <w:rPr>
          <w:rFonts w:ascii="宋体" w:hAnsi="宋体" w:eastAsia="宋体" w:cs="宋体"/>
          <w:spacing w:val="6"/>
          <w:sz w:val="20"/>
          <w:szCs w:val="20"/>
        </w:rPr>
        <w:t>来评价病因和疾病之间关联度高低的指标。</w:t>
      </w:r>
      <w:r>
        <w:rPr>
          <w:rFonts w:ascii="宋体" w:hAnsi="宋体" w:eastAsia="宋体" w:cs="宋体"/>
          <w:spacing w:val="2"/>
          <w:sz w:val="20"/>
          <w:szCs w:val="20"/>
        </w:rPr>
        <w:t xml:space="preserve"> </w:t>
      </w:r>
      <w:r>
        <w:rPr>
          <w:rFonts w:ascii="宋体" w:hAnsi="宋体" w:eastAsia="宋体" w:cs="宋体"/>
          <w:spacing w:val="7"/>
          <w:sz w:val="20"/>
          <w:szCs w:val="20"/>
        </w:rPr>
        <w:t>一般用相对危险指标衡量，如相对危险度和比</w:t>
      </w:r>
      <w:r>
        <w:rPr>
          <w:rFonts w:ascii="宋体" w:hAnsi="宋体" w:eastAsia="宋体" w:cs="宋体"/>
          <w:spacing w:val="6"/>
          <w:sz w:val="20"/>
          <w:szCs w:val="20"/>
        </w:rPr>
        <w:t>值比。两个因素间关联强度越高，二者间存在因果关</w:t>
      </w:r>
      <w:r>
        <w:rPr>
          <w:rFonts w:ascii="宋体" w:hAnsi="宋体" w:eastAsia="宋体" w:cs="宋体"/>
          <w:sz w:val="20"/>
          <w:szCs w:val="20"/>
        </w:rPr>
        <w:t xml:space="preserve">  </w:t>
      </w:r>
      <w:r>
        <w:rPr>
          <w:rFonts w:ascii="宋体" w:hAnsi="宋体" w:eastAsia="宋体" w:cs="宋体"/>
          <w:spacing w:val="9"/>
          <w:sz w:val="20"/>
          <w:szCs w:val="20"/>
        </w:rPr>
        <w:t>联的可能性就越大。比如，吸烟和肺癌之间的相对危险度约为</w:t>
      </w:r>
      <w:r>
        <w:rPr>
          <w:rFonts w:ascii="宋体" w:hAnsi="宋体" w:eastAsia="宋体" w:cs="宋体"/>
          <w:spacing w:val="8"/>
          <w:sz w:val="20"/>
          <w:szCs w:val="20"/>
        </w:rPr>
        <w:t>13,是极少见的高关联强度，因此认</w:t>
      </w:r>
      <w:r>
        <w:rPr>
          <w:rFonts w:ascii="宋体" w:hAnsi="宋体" w:eastAsia="宋体" w:cs="宋体"/>
          <w:sz w:val="20"/>
          <w:szCs w:val="20"/>
        </w:rPr>
        <w:t xml:space="preserve">  </w:t>
      </w:r>
      <w:r>
        <w:rPr>
          <w:rFonts w:ascii="宋体" w:hAnsi="宋体" w:eastAsia="宋体" w:cs="宋体"/>
          <w:spacing w:val="11"/>
          <w:sz w:val="20"/>
          <w:szCs w:val="20"/>
        </w:rPr>
        <w:t>为吸烟是肺癌病因的可能性很大。关联强度指标也是任何一项关于因果关系的流行病学研究必须</w:t>
      </w:r>
      <w:r>
        <w:rPr>
          <w:rFonts w:ascii="宋体" w:hAnsi="宋体" w:eastAsia="宋体" w:cs="宋体"/>
          <w:spacing w:val="8"/>
          <w:sz w:val="20"/>
          <w:szCs w:val="20"/>
        </w:rPr>
        <w:t xml:space="preserve">  </w:t>
      </w:r>
      <w:r>
        <w:rPr>
          <w:rFonts w:ascii="宋体" w:hAnsi="宋体" w:eastAsia="宋体" w:cs="宋体"/>
          <w:spacing w:val="11"/>
          <w:sz w:val="20"/>
          <w:szCs w:val="20"/>
        </w:rPr>
        <w:t>提供的信息。</w:t>
      </w:r>
    </w:p>
    <w:p w14:paraId="637782AE">
      <w:pPr>
        <w:spacing w:before="141" w:line="290" w:lineRule="auto"/>
        <w:ind w:right="688" w:firstLine="419"/>
        <w:rPr>
          <w:rFonts w:ascii="宋体" w:hAnsi="宋体" w:eastAsia="宋体" w:cs="宋体"/>
          <w:sz w:val="20"/>
          <w:szCs w:val="20"/>
        </w:rPr>
      </w:pPr>
      <w:r>
        <w:rPr>
          <w:rFonts w:ascii="宋体" w:hAnsi="宋体" w:eastAsia="宋体" w:cs="宋体"/>
          <w:spacing w:val="7"/>
          <w:sz w:val="20"/>
          <w:szCs w:val="20"/>
        </w:rPr>
        <w:t>3. 剂量-反应关系</w:t>
      </w:r>
      <w:r>
        <w:rPr>
          <w:rFonts w:ascii="Times New Roman" w:hAnsi="Times New Roman" w:eastAsia="Times New Roman" w:cs="Times New Roman"/>
          <w:spacing w:val="7"/>
          <w:sz w:val="20"/>
          <w:szCs w:val="20"/>
        </w:rPr>
        <w:t>(</w:t>
      </w:r>
      <w:r>
        <w:rPr>
          <w:rFonts w:ascii="Times New Roman" w:hAnsi="Times New Roman" w:eastAsia="Times New Roman" w:cs="Times New Roman"/>
          <w:sz w:val="20"/>
          <w:szCs w:val="20"/>
        </w:rPr>
        <w:t>dose</w:t>
      </w:r>
      <w:r>
        <w:rPr>
          <w:rFonts w:ascii="Times New Roman" w:hAnsi="Times New Roman" w:eastAsia="Times New Roman" w:cs="Times New Roman"/>
          <w:spacing w:val="7"/>
          <w:sz w:val="20"/>
          <w:szCs w:val="20"/>
        </w:rPr>
        <w:t>-</w:t>
      </w:r>
      <w:r>
        <w:rPr>
          <w:rFonts w:ascii="Times New Roman" w:hAnsi="Times New Roman" w:eastAsia="Times New Roman" w:cs="Times New Roman"/>
          <w:sz w:val="20"/>
          <w:szCs w:val="20"/>
        </w:rPr>
        <w:t>response</w:t>
      </w:r>
      <w:r>
        <w:rPr>
          <w:rFonts w:ascii="Times New Roman" w:hAnsi="Times New Roman" w:eastAsia="Times New Roman" w:cs="Times New Roman"/>
          <w:spacing w:val="7"/>
          <w:sz w:val="20"/>
          <w:szCs w:val="20"/>
        </w:rPr>
        <w:t xml:space="preserve">  </w:t>
      </w:r>
      <w:r>
        <w:rPr>
          <w:rFonts w:ascii="Times New Roman" w:hAnsi="Times New Roman" w:eastAsia="Times New Roman" w:cs="Times New Roman"/>
          <w:sz w:val="20"/>
          <w:szCs w:val="20"/>
        </w:rPr>
        <w:t>rel</w:t>
      </w:r>
      <w:r>
        <w:rPr>
          <w:rFonts w:ascii="宋体" w:hAnsi="宋体" w:eastAsia="宋体" w:cs="宋体"/>
          <w:sz w:val="20"/>
          <w:szCs w:val="20"/>
        </w:rPr>
        <w:t>ationship</w:t>
      </w:r>
      <w:r>
        <w:rPr>
          <w:rFonts w:ascii="宋体" w:hAnsi="宋体" w:eastAsia="宋体" w:cs="宋体"/>
          <w:spacing w:val="7"/>
          <w:sz w:val="20"/>
          <w:szCs w:val="20"/>
        </w:rPr>
        <w:t>) 指疾病的发病率随可疑病因的强度</w:t>
      </w:r>
      <w:r>
        <w:rPr>
          <w:rFonts w:ascii="宋体" w:hAnsi="宋体" w:eastAsia="宋体" w:cs="宋体"/>
          <w:spacing w:val="6"/>
          <w:sz w:val="20"/>
          <w:szCs w:val="20"/>
        </w:rPr>
        <w:t>或数量的变</w:t>
      </w:r>
      <w:r>
        <w:rPr>
          <w:rFonts w:ascii="宋体" w:hAnsi="宋体" w:eastAsia="宋体" w:cs="宋体"/>
          <w:sz w:val="20"/>
          <w:szCs w:val="20"/>
        </w:rPr>
        <w:t xml:space="preserve"> </w:t>
      </w:r>
      <w:r>
        <w:rPr>
          <w:rFonts w:ascii="宋体" w:hAnsi="宋体" w:eastAsia="宋体" w:cs="宋体"/>
          <w:spacing w:val="9"/>
          <w:sz w:val="20"/>
          <w:szCs w:val="20"/>
        </w:rPr>
        <w:t>化而变化的现象。剂量-反应关系的存在进一步支持因果关系的存在。</w:t>
      </w:r>
    </w:p>
    <w:p w14:paraId="269E07C6">
      <w:pPr>
        <w:spacing w:before="132" w:line="219" w:lineRule="auto"/>
        <w:ind w:left="419"/>
        <w:rPr>
          <w:rFonts w:ascii="宋体" w:hAnsi="宋体" w:eastAsia="宋体" w:cs="宋体"/>
          <w:sz w:val="20"/>
          <w:szCs w:val="20"/>
        </w:rPr>
      </w:pPr>
      <w:r>
        <w:rPr>
          <w:rFonts w:ascii="宋体" w:hAnsi="宋体" w:eastAsia="宋体" w:cs="宋体"/>
          <w:spacing w:val="6"/>
          <w:sz w:val="20"/>
          <w:szCs w:val="20"/>
        </w:rPr>
        <w:t>时间顺序、关联强度和剂量-反应关系指标都是一项流行病学研究内部即可提供的信息。</w:t>
      </w:r>
    </w:p>
    <w:p w14:paraId="218B1BF2">
      <w:pPr>
        <w:pStyle w:val="2"/>
        <w:spacing w:before="112" w:line="294" w:lineRule="auto"/>
        <w:ind w:right="686" w:firstLine="419"/>
        <w:rPr>
          <w:rFonts w:ascii="宋体" w:hAnsi="宋体" w:eastAsia="宋体" w:cs="宋体"/>
          <w:sz w:val="20"/>
          <w:szCs w:val="20"/>
        </w:rPr>
      </w:pPr>
      <w:r>
        <w:rPr>
          <w:rFonts w:ascii="Times New Roman" w:hAnsi="Times New Roman" w:eastAsia="Times New Roman" w:cs="Times New Roman"/>
          <w:spacing w:val="4"/>
          <w:sz w:val="20"/>
          <w:szCs w:val="20"/>
        </w:rPr>
        <w:t>4.</w:t>
      </w:r>
      <w:r>
        <w:rPr>
          <w:rFonts w:ascii="Times New Roman" w:hAnsi="Times New Roman" w:eastAsia="Times New Roman" w:cs="Times New Roman"/>
          <w:spacing w:val="22"/>
          <w:w w:val="101"/>
          <w:sz w:val="20"/>
          <w:szCs w:val="20"/>
        </w:rPr>
        <w:t xml:space="preserve">  </w:t>
      </w:r>
      <w:r>
        <w:rPr>
          <w:rFonts w:ascii="宋体" w:hAnsi="宋体" w:eastAsia="宋体" w:cs="宋体"/>
          <w:spacing w:val="4"/>
          <w:sz w:val="20"/>
          <w:szCs w:val="20"/>
        </w:rPr>
        <w:t>结果的一致性</w:t>
      </w:r>
      <w:r>
        <w:rPr>
          <w:spacing w:val="4"/>
          <w:sz w:val="20"/>
          <w:szCs w:val="20"/>
        </w:rPr>
        <w:t>(</w:t>
      </w:r>
      <w:r>
        <w:rPr>
          <w:spacing w:val="-55"/>
          <w:sz w:val="20"/>
          <w:szCs w:val="20"/>
        </w:rPr>
        <w:t xml:space="preserve"> </w:t>
      </w:r>
      <w:r>
        <w:rPr>
          <w:rFonts w:ascii="Times New Roman" w:hAnsi="Times New Roman" w:eastAsia="Times New Roman" w:cs="Times New Roman"/>
          <w:sz w:val="20"/>
          <w:szCs w:val="20"/>
        </w:rPr>
        <w:t>consistency</w:t>
      </w:r>
      <w:r>
        <w:rPr>
          <w:rFonts w:ascii="Times New Roman" w:hAnsi="Times New Roman" w:eastAsia="Times New Roman" w:cs="Times New Roman"/>
          <w:spacing w:val="4"/>
          <w:sz w:val="20"/>
          <w:szCs w:val="20"/>
        </w:rPr>
        <w:t xml:space="preserve">)     </w:t>
      </w:r>
      <w:r>
        <w:rPr>
          <w:rFonts w:ascii="宋体" w:hAnsi="宋体" w:eastAsia="宋体" w:cs="宋体"/>
          <w:spacing w:val="4"/>
          <w:sz w:val="20"/>
          <w:szCs w:val="20"/>
        </w:rPr>
        <w:t>指同类研究结果的一致性，一致性越高，因果关系的可能性就</w:t>
      </w:r>
      <w:r>
        <w:rPr>
          <w:rFonts w:ascii="宋体" w:hAnsi="宋体" w:eastAsia="宋体" w:cs="宋体"/>
          <w:sz w:val="20"/>
          <w:szCs w:val="20"/>
        </w:rPr>
        <w:t xml:space="preserve"> </w:t>
      </w:r>
      <w:r>
        <w:rPr>
          <w:rFonts w:ascii="宋体" w:hAnsi="宋体" w:eastAsia="宋体" w:cs="宋体"/>
          <w:spacing w:val="6"/>
          <w:sz w:val="20"/>
          <w:szCs w:val="20"/>
        </w:rPr>
        <w:t>越大。评估一致性需要比较不同的研究，不能在一个研究内得出一致性的结论。</w:t>
      </w:r>
    </w:p>
    <w:p w14:paraId="1A757135">
      <w:pPr>
        <w:spacing w:before="112" w:line="291" w:lineRule="auto"/>
        <w:ind w:right="688" w:firstLine="419"/>
        <w:rPr>
          <w:rFonts w:ascii="宋体" w:hAnsi="宋体" w:eastAsia="宋体" w:cs="宋体"/>
          <w:sz w:val="20"/>
          <w:szCs w:val="20"/>
        </w:rPr>
      </w:pPr>
      <w:r>
        <w:rPr>
          <w:rFonts w:ascii="Times New Roman" w:hAnsi="Times New Roman" w:eastAsia="Times New Roman" w:cs="Times New Roman"/>
          <w:spacing w:val="6"/>
          <w:sz w:val="20"/>
          <w:szCs w:val="20"/>
        </w:rPr>
        <w:t xml:space="preserve">5.   </w:t>
      </w:r>
      <w:r>
        <w:rPr>
          <w:rFonts w:ascii="宋体" w:hAnsi="宋体" w:eastAsia="宋体" w:cs="宋体"/>
          <w:spacing w:val="6"/>
          <w:sz w:val="20"/>
          <w:szCs w:val="20"/>
        </w:rPr>
        <w:t>实验证据</w:t>
      </w:r>
      <w:r>
        <w:rPr>
          <w:rFonts w:ascii="Times New Roman" w:hAnsi="Times New Roman" w:eastAsia="Times New Roman" w:cs="Times New Roman"/>
          <w:spacing w:val="6"/>
          <w:sz w:val="20"/>
          <w:szCs w:val="20"/>
        </w:rPr>
        <w:t>(</w:t>
      </w:r>
      <w:r>
        <w:rPr>
          <w:rFonts w:ascii="Times New Roman" w:hAnsi="Times New Roman" w:eastAsia="Times New Roman" w:cs="Times New Roman"/>
          <w:sz w:val="20"/>
          <w:szCs w:val="20"/>
        </w:rPr>
        <w:t>experim</w:t>
      </w:r>
      <w:r>
        <w:rPr>
          <w:rFonts w:ascii="Times New Roman" w:hAnsi="Times New Roman" w:eastAsia="Times New Roman" w:cs="Times New Roman"/>
          <w:spacing w:val="27"/>
          <w:w w:val="101"/>
          <w:sz w:val="20"/>
          <w:szCs w:val="20"/>
        </w:rPr>
        <w:t xml:space="preserve"> </w:t>
      </w:r>
      <w:r>
        <w:rPr>
          <w:rFonts w:ascii="Times New Roman" w:hAnsi="Times New Roman" w:eastAsia="Times New Roman" w:cs="Times New Roman"/>
          <w:sz w:val="20"/>
          <w:szCs w:val="20"/>
        </w:rPr>
        <w:t>ental</w:t>
      </w:r>
      <w:r>
        <w:rPr>
          <w:rFonts w:ascii="Times New Roman" w:hAnsi="Times New Roman" w:eastAsia="Times New Roman" w:cs="Times New Roman"/>
          <w:spacing w:val="6"/>
          <w:sz w:val="20"/>
          <w:szCs w:val="20"/>
        </w:rPr>
        <w:t xml:space="preserve">    </w:t>
      </w:r>
      <w:r>
        <w:rPr>
          <w:rFonts w:ascii="Times New Roman" w:hAnsi="Times New Roman" w:eastAsia="Times New Roman" w:cs="Times New Roman"/>
          <w:sz w:val="20"/>
          <w:szCs w:val="20"/>
        </w:rPr>
        <w:t>evidence</w:t>
      </w:r>
      <w:r>
        <w:rPr>
          <w:rFonts w:ascii="Times New Roman" w:hAnsi="Times New Roman" w:eastAsia="Times New Roman" w:cs="Times New Roman"/>
          <w:spacing w:val="6"/>
          <w:sz w:val="20"/>
          <w:szCs w:val="20"/>
        </w:rPr>
        <w:t xml:space="preserve">)   </w:t>
      </w:r>
      <w:r>
        <w:rPr>
          <w:rFonts w:ascii="宋体" w:hAnsi="宋体" w:eastAsia="宋体" w:cs="宋体"/>
          <w:spacing w:val="6"/>
          <w:sz w:val="20"/>
          <w:szCs w:val="20"/>
        </w:rPr>
        <w:t>实验证据指关于某关联的实验</w:t>
      </w:r>
      <w:r>
        <w:rPr>
          <w:rFonts w:ascii="宋体" w:hAnsi="宋体" w:eastAsia="宋体" w:cs="宋体"/>
          <w:spacing w:val="5"/>
          <w:sz w:val="20"/>
          <w:szCs w:val="20"/>
        </w:rPr>
        <w:t>研究证据。例如，用随机</w:t>
      </w:r>
      <w:r>
        <w:rPr>
          <w:rFonts w:ascii="宋体" w:hAnsi="宋体" w:eastAsia="宋体" w:cs="宋体"/>
          <w:sz w:val="20"/>
          <w:szCs w:val="20"/>
        </w:rPr>
        <w:t xml:space="preserve"> </w:t>
      </w:r>
      <w:r>
        <w:rPr>
          <w:rFonts w:ascii="宋体" w:hAnsi="宋体" w:eastAsia="宋体" w:cs="宋体"/>
          <w:spacing w:val="5"/>
          <w:sz w:val="20"/>
          <w:szCs w:val="20"/>
        </w:rPr>
        <w:t>对照试验证明在人群中减少吸烟可以降低肺癌的发病率，就是实验证据。</w:t>
      </w:r>
    </w:p>
    <w:p w14:paraId="76041CF2">
      <w:pPr>
        <w:pStyle w:val="2"/>
        <w:spacing w:before="110" w:line="291" w:lineRule="auto"/>
        <w:ind w:right="687" w:firstLine="419"/>
        <w:rPr>
          <w:rFonts w:ascii="宋体" w:hAnsi="宋体" w:eastAsia="宋体" w:cs="宋体"/>
          <w:sz w:val="20"/>
          <w:szCs w:val="20"/>
        </w:rPr>
      </w:pPr>
      <w:r>
        <w:rPr>
          <w:rFonts w:ascii="Times New Roman" w:hAnsi="Times New Roman" w:eastAsia="Times New Roman" w:cs="Times New Roman"/>
          <w:spacing w:val="7"/>
          <w:sz w:val="20"/>
          <w:szCs w:val="20"/>
        </w:rPr>
        <w:t>6.</w:t>
      </w:r>
      <w:r>
        <w:rPr>
          <w:rFonts w:ascii="Times New Roman" w:hAnsi="Times New Roman" w:eastAsia="Times New Roman" w:cs="Times New Roman"/>
          <w:spacing w:val="19"/>
          <w:w w:val="101"/>
          <w:sz w:val="20"/>
          <w:szCs w:val="20"/>
        </w:rPr>
        <w:t xml:space="preserve">  </w:t>
      </w:r>
      <w:r>
        <w:rPr>
          <w:spacing w:val="7"/>
          <w:sz w:val="20"/>
          <w:szCs w:val="20"/>
        </w:rPr>
        <w:t>生物学合理性</w:t>
      </w:r>
      <w:r>
        <w:rPr>
          <w:rFonts w:ascii="Times New Roman" w:hAnsi="Times New Roman" w:eastAsia="Times New Roman" w:cs="Times New Roman"/>
          <w:spacing w:val="7"/>
          <w:sz w:val="20"/>
          <w:szCs w:val="20"/>
        </w:rPr>
        <w:t>(</w:t>
      </w:r>
      <w:r>
        <w:rPr>
          <w:rFonts w:ascii="Times New Roman" w:hAnsi="Times New Roman" w:eastAsia="Times New Roman" w:cs="Times New Roman"/>
          <w:sz w:val="20"/>
          <w:szCs w:val="20"/>
        </w:rPr>
        <w:t>plausibility</w:t>
      </w:r>
      <w:r>
        <w:rPr>
          <w:rFonts w:ascii="Times New Roman" w:hAnsi="Times New Roman" w:eastAsia="Times New Roman" w:cs="Times New Roman"/>
          <w:spacing w:val="7"/>
          <w:sz w:val="20"/>
          <w:szCs w:val="20"/>
        </w:rPr>
        <w:t xml:space="preserve">)     </w:t>
      </w:r>
      <w:r>
        <w:rPr>
          <w:rFonts w:ascii="宋体" w:hAnsi="宋体" w:eastAsia="宋体" w:cs="宋体"/>
          <w:spacing w:val="7"/>
          <w:sz w:val="20"/>
          <w:szCs w:val="20"/>
        </w:rPr>
        <w:t>生物学合理性指某病因假设与该疾病相关的</w:t>
      </w:r>
      <w:r>
        <w:rPr>
          <w:rFonts w:ascii="宋体" w:hAnsi="宋体" w:eastAsia="宋体" w:cs="宋体"/>
          <w:spacing w:val="6"/>
          <w:sz w:val="20"/>
          <w:szCs w:val="20"/>
        </w:rPr>
        <w:t>事实、知识和理论</w:t>
      </w:r>
      <w:r>
        <w:rPr>
          <w:rFonts w:ascii="宋体" w:hAnsi="宋体" w:eastAsia="宋体" w:cs="宋体"/>
          <w:sz w:val="20"/>
          <w:szCs w:val="20"/>
        </w:rPr>
        <w:t xml:space="preserve"> </w:t>
      </w:r>
      <w:r>
        <w:rPr>
          <w:rFonts w:ascii="宋体" w:hAnsi="宋体" w:eastAsia="宋体" w:cs="宋体"/>
          <w:spacing w:val="4"/>
          <w:sz w:val="20"/>
          <w:szCs w:val="20"/>
        </w:rPr>
        <w:t>相符合或一致的程度，或前者与后者不相悖的程度。生物学合理性越高，因果关系的可能就越大。</w:t>
      </w:r>
    </w:p>
    <w:p w14:paraId="6AD5463C">
      <w:pPr>
        <w:pStyle w:val="2"/>
        <w:spacing w:before="110" w:line="302" w:lineRule="auto"/>
        <w:ind w:right="681" w:firstLine="419"/>
        <w:rPr>
          <w:rFonts w:ascii="宋体" w:hAnsi="宋体" w:eastAsia="宋体" w:cs="宋体"/>
          <w:sz w:val="20"/>
          <w:szCs w:val="20"/>
        </w:rPr>
      </w:pPr>
      <w:r>
        <w:rPr>
          <w:rFonts w:ascii="Times New Roman" w:hAnsi="Times New Roman" w:eastAsia="Times New Roman" w:cs="Times New Roman"/>
          <w:spacing w:val="8"/>
          <w:sz w:val="20"/>
          <w:szCs w:val="20"/>
        </w:rPr>
        <w:t>7.</w:t>
      </w:r>
      <w:r>
        <w:rPr>
          <w:rFonts w:ascii="Times New Roman" w:hAnsi="Times New Roman" w:eastAsia="Times New Roman" w:cs="Times New Roman"/>
          <w:spacing w:val="24"/>
          <w:sz w:val="20"/>
          <w:szCs w:val="20"/>
        </w:rPr>
        <w:t xml:space="preserve">  </w:t>
      </w:r>
      <w:r>
        <w:rPr>
          <w:spacing w:val="8"/>
          <w:sz w:val="20"/>
          <w:szCs w:val="20"/>
        </w:rPr>
        <w:t>生物学一致性</w:t>
      </w:r>
      <w:r>
        <w:rPr>
          <w:rFonts w:ascii="Times New Roman" w:hAnsi="Times New Roman" w:eastAsia="Times New Roman" w:cs="Times New Roman"/>
          <w:spacing w:val="8"/>
          <w:sz w:val="20"/>
          <w:szCs w:val="20"/>
        </w:rPr>
        <w:t>(</w:t>
      </w:r>
      <w:r>
        <w:rPr>
          <w:rFonts w:ascii="Times New Roman" w:hAnsi="Times New Roman" w:eastAsia="Times New Roman" w:cs="Times New Roman"/>
          <w:spacing w:val="-9"/>
          <w:sz w:val="20"/>
          <w:szCs w:val="20"/>
        </w:rPr>
        <w:t xml:space="preserve"> </w:t>
      </w:r>
      <w:r>
        <w:rPr>
          <w:rFonts w:ascii="Times New Roman" w:hAnsi="Times New Roman" w:eastAsia="Times New Roman" w:cs="Times New Roman"/>
          <w:sz w:val="20"/>
          <w:szCs w:val="20"/>
        </w:rPr>
        <w:t>coherence</w:t>
      </w:r>
      <w:r>
        <w:rPr>
          <w:rFonts w:ascii="Times New Roman" w:hAnsi="Times New Roman" w:eastAsia="Times New Roman" w:cs="Times New Roman"/>
          <w:spacing w:val="8"/>
          <w:sz w:val="20"/>
          <w:szCs w:val="20"/>
        </w:rPr>
        <w:t xml:space="preserve">)     </w:t>
      </w:r>
      <w:r>
        <w:rPr>
          <w:rFonts w:ascii="宋体" w:hAnsi="宋体" w:eastAsia="宋体" w:cs="宋体"/>
          <w:spacing w:val="8"/>
          <w:sz w:val="20"/>
          <w:szCs w:val="20"/>
        </w:rPr>
        <w:t>生物学一致性指某病因假设与现有更一般的生物医</w:t>
      </w:r>
      <w:r>
        <w:rPr>
          <w:rFonts w:ascii="宋体" w:hAnsi="宋体" w:eastAsia="宋体" w:cs="宋体"/>
          <w:spacing w:val="7"/>
          <w:sz w:val="20"/>
          <w:szCs w:val="20"/>
        </w:rPr>
        <w:t>学事实、知</w:t>
      </w:r>
      <w:r>
        <w:rPr>
          <w:rFonts w:ascii="宋体" w:hAnsi="宋体" w:eastAsia="宋体" w:cs="宋体"/>
          <w:sz w:val="20"/>
          <w:szCs w:val="20"/>
        </w:rPr>
        <w:t xml:space="preserve"> </w:t>
      </w:r>
      <w:r>
        <w:rPr>
          <w:rFonts w:ascii="宋体" w:hAnsi="宋体" w:eastAsia="宋体" w:cs="宋体"/>
          <w:spacing w:val="7"/>
          <w:sz w:val="20"/>
          <w:szCs w:val="20"/>
        </w:rPr>
        <w:t>识和理论相符合或一致的程度，或前者可以</w:t>
      </w:r>
      <w:r>
        <w:rPr>
          <w:rFonts w:ascii="宋体" w:hAnsi="宋体" w:eastAsia="宋体" w:cs="宋体"/>
          <w:spacing w:val="6"/>
          <w:sz w:val="20"/>
          <w:szCs w:val="20"/>
        </w:rPr>
        <w:t>被后者解释的程度。生物学一致性越高，因果关系的可</w:t>
      </w:r>
      <w:r>
        <w:rPr>
          <w:rFonts w:ascii="宋体" w:hAnsi="宋体" w:eastAsia="宋体" w:cs="宋体"/>
          <w:sz w:val="20"/>
          <w:szCs w:val="20"/>
        </w:rPr>
        <w:t xml:space="preserve"> </w:t>
      </w:r>
      <w:r>
        <w:rPr>
          <w:rFonts w:ascii="宋体" w:hAnsi="宋体" w:eastAsia="宋体" w:cs="宋体"/>
          <w:spacing w:val="4"/>
          <w:sz w:val="20"/>
          <w:szCs w:val="20"/>
        </w:rPr>
        <w:t>能就越大。有人认为，生物学合理性和生物学一致性十分近似，</w:t>
      </w:r>
      <w:r>
        <w:rPr>
          <w:rFonts w:ascii="宋体" w:hAnsi="宋体" w:eastAsia="宋体" w:cs="宋体"/>
          <w:spacing w:val="3"/>
          <w:sz w:val="20"/>
          <w:szCs w:val="20"/>
        </w:rPr>
        <w:t>可以合二为一。</w:t>
      </w:r>
    </w:p>
    <w:p w14:paraId="1072BCA8">
      <w:pPr>
        <w:spacing w:before="137" w:line="302" w:lineRule="auto"/>
        <w:ind w:right="662" w:firstLine="419"/>
        <w:rPr>
          <w:rFonts w:ascii="宋体" w:hAnsi="宋体" w:eastAsia="宋体" w:cs="宋体"/>
          <w:sz w:val="20"/>
          <w:szCs w:val="20"/>
        </w:rPr>
      </w:pPr>
      <w:r>
        <w:rPr>
          <w:rFonts w:ascii="Times New Roman" w:hAnsi="Times New Roman" w:eastAsia="Times New Roman" w:cs="Times New Roman"/>
          <w:spacing w:val="6"/>
          <w:sz w:val="20"/>
          <w:szCs w:val="20"/>
        </w:rPr>
        <w:t>8.</w:t>
      </w:r>
      <w:r>
        <w:rPr>
          <w:rFonts w:ascii="Times New Roman" w:hAnsi="Times New Roman" w:eastAsia="Times New Roman" w:cs="Times New Roman"/>
          <w:spacing w:val="1"/>
          <w:sz w:val="20"/>
          <w:szCs w:val="20"/>
        </w:rPr>
        <w:t xml:space="preserve">   </w:t>
      </w:r>
      <w:r>
        <w:rPr>
          <w:rFonts w:ascii="宋体" w:hAnsi="宋体" w:eastAsia="宋体" w:cs="宋体"/>
          <w:spacing w:val="6"/>
          <w:sz w:val="20"/>
          <w:szCs w:val="20"/>
        </w:rPr>
        <w:t>特</w:t>
      </w:r>
      <w:r>
        <w:rPr>
          <w:rFonts w:ascii="宋体" w:hAnsi="宋体" w:eastAsia="宋体" w:cs="宋体"/>
          <w:spacing w:val="-42"/>
          <w:sz w:val="20"/>
          <w:szCs w:val="20"/>
        </w:rPr>
        <w:t xml:space="preserve"> </w:t>
      </w:r>
      <w:r>
        <w:rPr>
          <w:rFonts w:ascii="宋体" w:hAnsi="宋体" w:eastAsia="宋体" w:cs="宋体"/>
          <w:spacing w:val="6"/>
          <w:sz w:val="20"/>
          <w:szCs w:val="20"/>
        </w:rPr>
        <w:t>异</w:t>
      </w:r>
      <w:r>
        <w:rPr>
          <w:rFonts w:ascii="宋体" w:hAnsi="宋体" w:eastAsia="宋体" w:cs="宋体"/>
          <w:spacing w:val="-42"/>
          <w:sz w:val="20"/>
          <w:szCs w:val="20"/>
        </w:rPr>
        <w:t xml:space="preserve"> </w:t>
      </w:r>
      <w:r>
        <w:rPr>
          <w:rFonts w:ascii="宋体" w:hAnsi="宋体" w:eastAsia="宋体" w:cs="宋体"/>
          <w:spacing w:val="6"/>
          <w:sz w:val="20"/>
          <w:szCs w:val="20"/>
        </w:rPr>
        <w:t>性</w:t>
      </w:r>
      <w:r>
        <w:rPr>
          <w:rFonts w:ascii="Times New Roman" w:hAnsi="Times New Roman" w:eastAsia="Times New Roman" w:cs="Times New Roman"/>
          <w:spacing w:val="6"/>
          <w:sz w:val="20"/>
          <w:szCs w:val="20"/>
        </w:rPr>
        <w:t>(</w:t>
      </w:r>
      <w:r>
        <w:rPr>
          <w:rFonts w:ascii="Times New Roman" w:hAnsi="Times New Roman" w:eastAsia="Times New Roman" w:cs="Times New Roman"/>
          <w:sz w:val="20"/>
          <w:szCs w:val="20"/>
        </w:rPr>
        <w:t>specificity</w:t>
      </w:r>
      <w:r>
        <w:rPr>
          <w:rFonts w:ascii="Times New Roman" w:hAnsi="Times New Roman" w:eastAsia="Times New Roman" w:cs="Times New Roman"/>
          <w:spacing w:val="6"/>
          <w:sz w:val="20"/>
          <w:szCs w:val="20"/>
        </w:rPr>
        <w:t xml:space="preserve">)     </w:t>
      </w:r>
      <w:r>
        <w:rPr>
          <w:rFonts w:ascii="宋体" w:hAnsi="宋体" w:eastAsia="宋体" w:cs="宋体"/>
          <w:spacing w:val="6"/>
          <w:sz w:val="20"/>
          <w:szCs w:val="20"/>
        </w:rPr>
        <w:t>特异性指病因和疾病之间的排他性或特异程度。如果一种病</w:t>
      </w:r>
      <w:r>
        <w:rPr>
          <w:rFonts w:ascii="宋体" w:hAnsi="宋体" w:eastAsia="宋体" w:cs="宋体"/>
          <w:spacing w:val="5"/>
          <w:sz w:val="20"/>
          <w:szCs w:val="20"/>
        </w:rPr>
        <w:t>因只能引</w:t>
      </w:r>
      <w:r>
        <w:rPr>
          <w:rFonts w:ascii="宋体" w:hAnsi="宋体" w:eastAsia="宋体" w:cs="宋体"/>
          <w:sz w:val="20"/>
          <w:szCs w:val="20"/>
        </w:rPr>
        <w:t xml:space="preserve"> </w:t>
      </w:r>
      <w:r>
        <w:rPr>
          <w:rFonts w:ascii="宋体" w:hAnsi="宋体" w:eastAsia="宋体" w:cs="宋体"/>
          <w:spacing w:val="7"/>
          <w:sz w:val="20"/>
          <w:szCs w:val="20"/>
        </w:rPr>
        <w:t>起一种疾病，或只在某特殊人群内引起疾病，且</w:t>
      </w:r>
      <w:r>
        <w:rPr>
          <w:rFonts w:ascii="宋体" w:hAnsi="宋体" w:eastAsia="宋体" w:cs="宋体"/>
          <w:spacing w:val="6"/>
          <w:sz w:val="20"/>
          <w:szCs w:val="20"/>
        </w:rPr>
        <w:t>该疾病只有一种病因，则该病因与疾病的关系具有</w:t>
      </w:r>
      <w:r>
        <w:rPr>
          <w:rFonts w:ascii="宋体" w:hAnsi="宋体" w:eastAsia="宋体" w:cs="宋体"/>
          <w:sz w:val="20"/>
          <w:szCs w:val="20"/>
        </w:rPr>
        <w:t xml:space="preserve"> </w:t>
      </w:r>
      <w:r>
        <w:rPr>
          <w:rFonts w:ascii="宋体" w:hAnsi="宋体" w:eastAsia="宋体" w:cs="宋体"/>
          <w:spacing w:val="5"/>
          <w:sz w:val="20"/>
          <w:szCs w:val="20"/>
        </w:rPr>
        <w:t>高度特异性。特异性越高，因果关系的可能就越大。</w:t>
      </w:r>
    </w:p>
    <w:p w14:paraId="078F2E35">
      <w:pPr>
        <w:spacing w:before="118" w:line="302" w:lineRule="auto"/>
        <w:ind w:right="667" w:firstLine="419"/>
        <w:rPr>
          <w:rFonts w:ascii="宋体" w:hAnsi="宋体" w:eastAsia="宋体" w:cs="宋体"/>
          <w:sz w:val="20"/>
          <w:szCs w:val="20"/>
        </w:rPr>
      </w:pPr>
      <w:r>
        <w:rPr>
          <w:rFonts w:ascii="Times New Roman" w:hAnsi="Times New Roman" w:eastAsia="Times New Roman" w:cs="Times New Roman"/>
          <w:spacing w:val="6"/>
          <w:sz w:val="20"/>
          <w:szCs w:val="20"/>
        </w:rPr>
        <w:t>9.</w:t>
      </w:r>
      <w:r>
        <w:rPr>
          <w:rFonts w:ascii="Times New Roman" w:hAnsi="Times New Roman" w:eastAsia="Times New Roman" w:cs="Times New Roman"/>
          <w:spacing w:val="24"/>
          <w:sz w:val="20"/>
          <w:szCs w:val="20"/>
        </w:rPr>
        <w:t xml:space="preserve">  </w:t>
      </w:r>
      <w:r>
        <w:rPr>
          <w:rFonts w:ascii="宋体" w:hAnsi="宋体" w:eastAsia="宋体" w:cs="宋体"/>
          <w:spacing w:val="6"/>
          <w:sz w:val="20"/>
          <w:szCs w:val="20"/>
        </w:rPr>
        <w:t>相</w:t>
      </w:r>
      <w:r>
        <w:rPr>
          <w:rFonts w:ascii="宋体" w:hAnsi="宋体" w:eastAsia="宋体" w:cs="宋体"/>
          <w:spacing w:val="-46"/>
          <w:sz w:val="20"/>
          <w:szCs w:val="20"/>
        </w:rPr>
        <w:t xml:space="preserve"> </w:t>
      </w:r>
      <w:r>
        <w:rPr>
          <w:rFonts w:ascii="宋体" w:hAnsi="宋体" w:eastAsia="宋体" w:cs="宋体"/>
          <w:spacing w:val="6"/>
          <w:sz w:val="20"/>
          <w:szCs w:val="20"/>
        </w:rPr>
        <w:t>似</w:t>
      </w:r>
      <w:r>
        <w:rPr>
          <w:rFonts w:ascii="宋体" w:hAnsi="宋体" w:eastAsia="宋体" w:cs="宋体"/>
          <w:spacing w:val="-42"/>
          <w:sz w:val="20"/>
          <w:szCs w:val="20"/>
        </w:rPr>
        <w:t xml:space="preserve"> </w:t>
      </w:r>
      <w:r>
        <w:rPr>
          <w:rFonts w:ascii="宋体" w:hAnsi="宋体" w:eastAsia="宋体" w:cs="宋体"/>
          <w:spacing w:val="6"/>
          <w:sz w:val="20"/>
          <w:szCs w:val="20"/>
        </w:rPr>
        <w:t>性</w:t>
      </w:r>
      <w:r>
        <w:rPr>
          <w:rFonts w:ascii="Times New Roman" w:hAnsi="Times New Roman" w:eastAsia="Times New Roman" w:cs="Times New Roman"/>
          <w:spacing w:val="6"/>
          <w:sz w:val="20"/>
          <w:szCs w:val="20"/>
        </w:rPr>
        <w:t>(</w:t>
      </w:r>
      <w:r>
        <w:rPr>
          <w:rFonts w:ascii="Times New Roman" w:hAnsi="Times New Roman" w:eastAsia="Times New Roman" w:cs="Times New Roman"/>
          <w:sz w:val="20"/>
          <w:szCs w:val="20"/>
        </w:rPr>
        <w:t>analogy</w:t>
      </w:r>
      <w:r>
        <w:rPr>
          <w:rFonts w:ascii="Times New Roman" w:hAnsi="Times New Roman" w:eastAsia="Times New Roman" w:cs="Times New Roman"/>
          <w:spacing w:val="6"/>
          <w:sz w:val="20"/>
          <w:szCs w:val="20"/>
        </w:rPr>
        <w:t xml:space="preserve">)     </w:t>
      </w:r>
      <w:r>
        <w:rPr>
          <w:rFonts w:ascii="宋体" w:hAnsi="宋体" w:eastAsia="宋体" w:cs="宋体"/>
          <w:spacing w:val="6"/>
          <w:sz w:val="20"/>
          <w:szCs w:val="20"/>
        </w:rPr>
        <w:t>相似性指存在已知的类似的病因和疾病的因果关系，可</w:t>
      </w:r>
      <w:r>
        <w:rPr>
          <w:rFonts w:ascii="宋体" w:hAnsi="宋体" w:eastAsia="宋体" w:cs="宋体"/>
          <w:spacing w:val="5"/>
          <w:sz w:val="20"/>
          <w:szCs w:val="20"/>
        </w:rPr>
        <w:t>以类比的因果关</w:t>
      </w:r>
      <w:r>
        <w:rPr>
          <w:rFonts w:ascii="宋体" w:hAnsi="宋体" w:eastAsia="宋体" w:cs="宋体"/>
          <w:sz w:val="20"/>
          <w:szCs w:val="20"/>
        </w:rPr>
        <w:t xml:space="preserve"> </w:t>
      </w:r>
      <w:r>
        <w:rPr>
          <w:rFonts w:ascii="宋体" w:hAnsi="宋体" w:eastAsia="宋体" w:cs="宋体"/>
          <w:spacing w:val="7"/>
          <w:sz w:val="20"/>
          <w:szCs w:val="20"/>
        </w:rPr>
        <w:t>系的存在，将增加新的因果关系的可能性。例如，如果已</w:t>
      </w:r>
      <w:r>
        <w:rPr>
          <w:rFonts w:ascii="宋体" w:hAnsi="宋体" w:eastAsia="宋体" w:cs="宋体"/>
          <w:spacing w:val="6"/>
          <w:sz w:val="20"/>
          <w:szCs w:val="20"/>
        </w:rPr>
        <w:t>知某化学物质有致癌作用，当发现另一种</w:t>
      </w:r>
      <w:r>
        <w:rPr>
          <w:rFonts w:ascii="宋体" w:hAnsi="宋体" w:eastAsia="宋体" w:cs="宋体"/>
          <w:sz w:val="20"/>
          <w:szCs w:val="20"/>
        </w:rPr>
        <w:t xml:space="preserve"> </w:t>
      </w:r>
      <w:r>
        <w:rPr>
          <w:rFonts w:ascii="宋体" w:hAnsi="宋体" w:eastAsia="宋体" w:cs="宋体"/>
          <w:spacing w:val="6"/>
          <w:sz w:val="20"/>
          <w:szCs w:val="20"/>
        </w:rPr>
        <w:t>类似的化学物质与同一种癌症也存在关联时，类似的化学物质也可致癌的可能性将加大。</w:t>
      </w:r>
    </w:p>
    <w:p w14:paraId="4DCDFE0C">
      <w:pPr>
        <w:pStyle w:val="2"/>
        <w:spacing w:before="118" w:line="317" w:lineRule="auto"/>
        <w:ind w:right="686" w:firstLine="419"/>
        <w:rPr>
          <w:rFonts w:ascii="宋体" w:hAnsi="宋体" w:eastAsia="宋体" w:cs="宋体"/>
          <w:sz w:val="20"/>
          <w:szCs w:val="20"/>
        </w:rPr>
      </w:pPr>
      <w:r>
        <w:rPr>
          <w:rFonts w:ascii="Times New Roman" w:hAnsi="Times New Roman" w:eastAsia="Times New Roman" w:cs="Times New Roman"/>
          <w:spacing w:val="5"/>
          <w:sz w:val="20"/>
          <w:szCs w:val="20"/>
        </w:rPr>
        <w:t>10.</w:t>
      </w:r>
      <w:r>
        <w:rPr>
          <w:rFonts w:ascii="Times New Roman" w:hAnsi="Times New Roman" w:eastAsia="Times New Roman" w:cs="Times New Roman"/>
          <w:spacing w:val="2"/>
          <w:sz w:val="20"/>
          <w:szCs w:val="20"/>
        </w:rPr>
        <w:t xml:space="preserve">    </w:t>
      </w:r>
      <w:r>
        <w:rPr>
          <w:rFonts w:ascii="宋体" w:hAnsi="宋体" w:eastAsia="宋体" w:cs="宋体"/>
          <w:spacing w:val="5"/>
          <w:sz w:val="20"/>
          <w:szCs w:val="20"/>
        </w:rPr>
        <w:t>预</w:t>
      </w:r>
      <w:r>
        <w:rPr>
          <w:rFonts w:ascii="宋体" w:hAnsi="宋体" w:eastAsia="宋体" w:cs="宋体"/>
          <w:spacing w:val="-42"/>
          <w:sz w:val="20"/>
          <w:szCs w:val="20"/>
        </w:rPr>
        <w:t xml:space="preserve"> </w:t>
      </w:r>
      <w:r>
        <w:rPr>
          <w:rFonts w:ascii="宋体" w:hAnsi="宋体" w:eastAsia="宋体" w:cs="宋体"/>
          <w:spacing w:val="5"/>
          <w:sz w:val="20"/>
          <w:szCs w:val="20"/>
        </w:rPr>
        <w:t>测</w:t>
      </w:r>
      <w:r>
        <w:rPr>
          <w:rFonts w:ascii="宋体" w:hAnsi="宋体" w:eastAsia="宋体" w:cs="宋体"/>
          <w:spacing w:val="-41"/>
          <w:sz w:val="20"/>
          <w:szCs w:val="20"/>
        </w:rPr>
        <w:t xml:space="preserve"> </w:t>
      </w:r>
      <w:r>
        <w:rPr>
          <w:rFonts w:ascii="宋体" w:hAnsi="宋体" w:eastAsia="宋体" w:cs="宋体"/>
          <w:spacing w:val="5"/>
          <w:sz w:val="20"/>
          <w:szCs w:val="20"/>
        </w:rPr>
        <w:t>力</w:t>
      </w:r>
      <w:r>
        <w:rPr>
          <w:spacing w:val="5"/>
          <w:sz w:val="20"/>
          <w:szCs w:val="20"/>
        </w:rPr>
        <w:t>(</w:t>
      </w:r>
      <w:r>
        <w:rPr>
          <w:sz w:val="20"/>
          <w:szCs w:val="20"/>
        </w:rPr>
        <w:t>pr</w:t>
      </w:r>
      <w:r>
        <w:rPr>
          <w:rFonts w:ascii="Times New Roman" w:hAnsi="Times New Roman" w:eastAsia="Times New Roman" w:cs="Times New Roman"/>
          <w:sz w:val="20"/>
          <w:szCs w:val="20"/>
        </w:rPr>
        <w:t>edictive</w:t>
      </w:r>
      <w:r>
        <w:rPr>
          <w:rFonts w:ascii="Times New Roman" w:hAnsi="Times New Roman" w:eastAsia="Times New Roman" w:cs="Times New Roman"/>
          <w:spacing w:val="5"/>
          <w:sz w:val="20"/>
          <w:szCs w:val="20"/>
        </w:rPr>
        <w:t xml:space="preserve">     </w:t>
      </w:r>
      <w:r>
        <w:rPr>
          <w:rFonts w:ascii="Times New Roman" w:hAnsi="Times New Roman" w:eastAsia="Times New Roman" w:cs="Times New Roman"/>
          <w:sz w:val="20"/>
          <w:szCs w:val="20"/>
        </w:rPr>
        <w:t>performance</w:t>
      </w:r>
      <w:r>
        <w:rPr>
          <w:rFonts w:ascii="Times New Roman" w:hAnsi="Times New Roman" w:eastAsia="Times New Roman" w:cs="Times New Roman"/>
          <w:spacing w:val="5"/>
          <w:sz w:val="20"/>
          <w:szCs w:val="20"/>
        </w:rPr>
        <w:t xml:space="preserve">)   </w:t>
      </w:r>
      <w:r>
        <w:rPr>
          <w:rFonts w:ascii="宋体" w:hAnsi="宋体" w:eastAsia="宋体" w:cs="宋体"/>
          <w:spacing w:val="5"/>
          <w:sz w:val="20"/>
          <w:szCs w:val="20"/>
        </w:rPr>
        <w:t>在希尔准则的基础上，1991年美国流行病学家</w:t>
      </w:r>
      <w:r>
        <w:rPr>
          <w:rFonts w:ascii="Times New Roman" w:hAnsi="Times New Roman" w:eastAsia="Times New Roman" w:cs="Times New Roman"/>
          <w:sz w:val="20"/>
          <w:szCs w:val="20"/>
        </w:rPr>
        <w:t>Mervyn  Susser</w:t>
      </w:r>
      <w:r>
        <w:rPr>
          <w:rFonts w:ascii="Times New Roman" w:hAnsi="Times New Roman" w:eastAsia="Times New Roman" w:cs="Times New Roman"/>
          <w:spacing w:val="6"/>
          <w:sz w:val="20"/>
          <w:szCs w:val="20"/>
        </w:rPr>
        <w:t xml:space="preserve">  </w:t>
      </w:r>
      <w:r>
        <w:rPr>
          <w:rFonts w:ascii="宋体" w:hAnsi="宋体" w:eastAsia="宋体" w:cs="宋体"/>
          <w:spacing w:val="6"/>
          <w:sz w:val="20"/>
          <w:szCs w:val="20"/>
        </w:rPr>
        <w:t>增加了“预测力”一项，使该准则共有10项标准。这是一项十分重要的补充。在科学</w:t>
      </w:r>
      <w:r>
        <w:rPr>
          <w:rFonts w:ascii="宋体" w:hAnsi="宋体" w:eastAsia="宋体" w:cs="宋体"/>
          <w:spacing w:val="5"/>
          <w:sz w:val="20"/>
          <w:szCs w:val="20"/>
        </w:rPr>
        <w:t>上，对</w:t>
      </w:r>
      <w:r>
        <w:rPr>
          <w:rFonts w:ascii="宋体" w:hAnsi="宋体" w:eastAsia="宋体" w:cs="宋体"/>
          <w:sz w:val="20"/>
          <w:szCs w:val="20"/>
        </w:rPr>
        <w:t xml:space="preserve"> </w:t>
      </w:r>
      <w:r>
        <w:rPr>
          <w:rFonts w:ascii="宋体" w:hAnsi="宋体" w:eastAsia="宋体" w:cs="宋体"/>
          <w:spacing w:val="7"/>
          <w:sz w:val="20"/>
          <w:szCs w:val="20"/>
        </w:rPr>
        <w:t>一个理论最有力的检验方法就是评估它的预测</w:t>
      </w:r>
      <w:r>
        <w:rPr>
          <w:rFonts w:ascii="宋体" w:hAnsi="宋体" w:eastAsia="宋体" w:cs="宋体"/>
          <w:spacing w:val="6"/>
          <w:sz w:val="20"/>
          <w:szCs w:val="20"/>
        </w:rPr>
        <w:t>能力，简单地说，就是利用该理论提出一个对未来或</w:t>
      </w:r>
      <w:r>
        <w:rPr>
          <w:rFonts w:ascii="宋体" w:hAnsi="宋体" w:eastAsia="宋体" w:cs="宋体"/>
          <w:sz w:val="20"/>
          <w:szCs w:val="20"/>
        </w:rPr>
        <w:t xml:space="preserve"> </w:t>
      </w:r>
      <w:r>
        <w:rPr>
          <w:rFonts w:ascii="宋体" w:hAnsi="宋体" w:eastAsia="宋体" w:cs="宋体"/>
          <w:spacing w:val="7"/>
          <w:sz w:val="20"/>
          <w:szCs w:val="20"/>
        </w:rPr>
        <w:t>是过去的预测，然后再收集数据评估预测的</w:t>
      </w:r>
      <w:r>
        <w:rPr>
          <w:rFonts w:ascii="宋体" w:hAnsi="宋体" w:eastAsia="宋体" w:cs="宋体"/>
          <w:spacing w:val="6"/>
          <w:sz w:val="20"/>
          <w:szCs w:val="20"/>
        </w:rPr>
        <w:t>正确性。比如，观察性研究发现高血压可能是心血管疾</w:t>
      </w:r>
      <w:r>
        <w:rPr>
          <w:rFonts w:ascii="宋体" w:hAnsi="宋体" w:eastAsia="宋体" w:cs="宋体"/>
          <w:sz w:val="20"/>
          <w:szCs w:val="20"/>
        </w:rPr>
        <w:t xml:space="preserve"> </w:t>
      </w:r>
      <w:r>
        <w:rPr>
          <w:rFonts w:ascii="宋体" w:hAnsi="宋体" w:eastAsia="宋体" w:cs="宋体"/>
          <w:spacing w:val="6"/>
          <w:sz w:val="20"/>
          <w:szCs w:val="20"/>
        </w:rPr>
        <w:t>病的病因，依此可以预测降低血压可以减少心血管疾病的发生，这个预测的确得到了抗高血压药物</w:t>
      </w:r>
      <w:r>
        <w:rPr>
          <w:rFonts w:ascii="宋体" w:hAnsi="宋体" w:eastAsia="宋体" w:cs="宋体"/>
          <w:spacing w:val="1"/>
          <w:sz w:val="20"/>
          <w:szCs w:val="20"/>
        </w:rPr>
        <w:t xml:space="preserve"> </w:t>
      </w:r>
      <w:r>
        <w:rPr>
          <w:rFonts w:ascii="宋体" w:hAnsi="宋体" w:eastAsia="宋体" w:cs="宋体"/>
          <w:spacing w:val="5"/>
          <w:sz w:val="20"/>
          <w:szCs w:val="20"/>
        </w:rPr>
        <w:t>随机对照试验的支持，进一步证明了高血压是心血管疾病的病因的假说。</w:t>
      </w:r>
    </w:p>
    <w:p w14:paraId="601AD580">
      <w:pPr>
        <w:spacing w:before="164" w:line="333" w:lineRule="auto"/>
        <w:ind w:right="616" w:firstLine="419"/>
        <w:jc w:val="both"/>
        <w:rPr>
          <w:rFonts w:ascii="宋体" w:hAnsi="宋体" w:eastAsia="宋体" w:cs="宋体"/>
          <w:sz w:val="20"/>
          <w:szCs w:val="20"/>
        </w:rPr>
      </w:pPr>
      <w:r>
        <w:rPr>
          <w:rFonts w:ascii="宋体" w:hAnsi="宋体" w:eastAsia="宋体" w:cs="宋体"/>
          <w:spacing w:val="9"/>
          <w:sz w:val="20"/>
          <w:szCs w:val="20"/>
        </w:rPr>
        <w:t>总之，以上10个标准中，存在关联(包括剂量-反</w:t>
      </w:r>
      <w:r>
        <w:rPr>
          <w:rFonts w:ascii="宋体" w:hAnsi="宋体" w:eastAsia="宋体" w:cs="宋体"/>
          <w:spacing w:val="8"/>
          <w:sz w:val="20"/>
          <w:szCs w:val="20"/>
        </w:rPr>
        <w:t>应关系)以及关联的时间特征是判断因果关系</w:t>
      </w:r>
      <w:r>
        <w:rPr>
          <w:rFonts w:ascii="宋体" w:hAnsi="宋体" w:eastAsia="宋体" w:cs="宋体"/>
          <w:sz w:val="20"/>
          <w:szCs w:val="20"/>
        </w:rPr>
        <w:t xml:space="preserve"> </w:t>
      </w:r>
      <w:r>
        <w:rPr>
          <w:rFonts w:ascii="宋体" w:hAnsi="宋体" w:eastAsia="宋体" w:cs="宋体"/>
          <w:spacing w:val="8"/>
          <w:sz w:val="20"/>
          <w:szCs w:val="20"/>
        </w:rPr>
        <w:t>的必要条件和特异条件。必要的意思是它们必须存在，如果不存在，就可以否定因果关系的存在；</w:t>
      </w:r>
      <w:r>
        <w:rPr>
          <w:rFonts w:ascii="宋体" w:hAnsi="宋体" w:eastAsia="宋体" w:cs="宋体"/>
          <w:spacing w:val="4"/>
          <w:sz w:val="20"/>
          <w:szCs w:val="20"/>
        </w:rPr>
        <w:t xml:space="preserve"> </w:t>
      </w:r>
      <w:r>
        <w:rPr>
          <w:rFonts w:ascii="宋体" w:hAnsi="宋体" w:eastAsia="宋体" w:cs="宋体"/>
          <w:spacing w:val="7"/>
          <w:sz w:val="20"/>
          <w:szCs w:val="20"/>
        </w:rPr>
        <w:t>特异的意思是这两个条件是确立因果关系特有的</w:t>
      </w:r>
      <w:r>
        <w:rPr>
          <w:rFonts w:ascii="宋体" w:hAnsi="宋体" w:eastAsia="宋体" w:cs="宋体"/>
          <w:spacing w:val="6"/>
          <w:sz w:val="20"/>
          <w:szCs w:val="20"/>
        </w:rPr>
        <w:t>条件，是每一项病因研究必须提供的信息，但不是</w:t>
      </w:r>
      <w:r>
        <w:rPr>
          <w:rFonts w:ascii="宋体" w:hAnsi="宋体" w:eastAsia="宋体" w:cs="宋体"/>
          <w:sz w:val="20"/>
          <w:szCs w:val="20"/>
        </w:rPr>
        <w:t xml:space="preserve"> </w:t>
      </w:r>
      <w:r>
        <w:rPr>
          <w:rFonts w:ascii="宋体" w:hAnsi="宋体" w:eastAsia="宋体" w:cs="宋体"/>
          <w:spacing w:val="9"/>
          <w:sz w:val="20"/>
          <w:szCs w:val="20"/>
        </w:rPr>
        <w:t>论证其他问题的必要条件，如论证诊断的准确性时则不需要。而其他7项条件是有关研</w:t>
      </w:r>
      <w:r>
        <w:rPr>
          <w:rFonts w:ascii="宋体" w:hAnsi="宋体" w:eastAsia="宋体" w:cs="宋体"/>
          <w:spacing w:val="8"/>
          <w:sz w:val="20"/>
          <w:szCs w:val="20"/>
        </w:rPr>
        <w:t>究之间的信</w:t>
      </w:r>
      <w:r>
        <w:rPr>
          <w:rFonts w:ascii="宋体" w:hAnsi="宋体" w:eastAsia="宋体" w:cs="宋体"/>
          <w:sz w:val="20"/>
          <w:szCs w:val="20"/>
        </w:rPr>
        <w:t xml:space="preserve"> </w:t>
      </w:r>
      <w:r>
        <w:rPr>
          <w:rFonts w:ascii="宋体" w:hAnsi="宋体" w:eastAsia="宋体" w:cs="宋体"/>
          <w:spacing w:val="7"/>
          <w:sz w:val="20"/>
          <w:szCs w:val="20"/>
        </w:rPr>
        <w:t>息或流行病学研究之外的信息，是非特异的条件</w:t>
      </w:r>
      <w:r>
        <w:rPr>
          <w:rFonts w:ascii="宋体" w:hAnsi="宋体" w:eastAsia="宋体" w:cs="宋体"/>
          <w:spacing w:val="6"/>
          <w:sz w:val="20"/>
          <w:szCs w:val="20"/>
        </w:rPr>
        <w:t>，是科学推论中使用的一般性标准。其中结果的一</w:t>
      </w:r>
      <w:r>
        <w:rPr>
          <w:rFonts w:ascii="宋体" w:hAnsi="宋体" w:eastAsia="宋体" w:cs="宋体"/>
          <w:sz w:val="20"/>
          <w:szCs w:val="20"/>
        </w:rPr>
        <w:t xml:space="preserve"> </w:t>
      </w:r>
      <w:r>
        <w:rPr>
          <w:rFonts w:ascii="宋体" w:hAnsi="宋体" w:eastAsia="宋体" w:cs="宋体"/>
          <w:spacing w:val="9"/>
          <w:sz w:val="20"/>
          <w:szCs w:val="20"/>
        </w:rPr>
        <w:t>致性最为重要，它们又是非必要的条件，即缺乏任何一项或所有7项，都不足以否定因果关系的存</w:t>
      </w:r>
      <w:r>
        <w:rPr>
          <w:rFonts w:ascii="宋体" w:hAnsi="宋体" w:eastAsia="宋体" w:cs="宋体"/>
          <w:spacing w:val="10"/>
          <w:sz w:val="20"/>
          <w:szCs w:val="20"/>
        </w:rPr>
        <w:t xml:space="preserve"> </w:t>
      </w:r>
      <w:r>
        <w:rPr>
          <w:rFonts w:ascii="宋体" w:hAnsi="宋体" w:eastAsia="宋体" w:cs="宋体"/>
          <w:spacing w:val="11"/>
          <w:sz w:val="20"/>
          <w:szCs w:val="20"/>
        </w:rPr>
        <w:t>在。另外，所有10项条件都不是充分条件，即使两个事件的关系满足了所有10项条件，也不能百</w:t>
      </w:r>
      <w:r>
        <w:rPr>
          <w:rFonts w:ascii="宋体" w:hAnsi="宋体" w:eastAsia="宋体" w:cs="宋体"/>
          <w:sz w:val="20"/>
          <w:szCs w:val="20"/>
        </w:rPr>
        <w:t xml:space="preserve"> </w:t>
      </w:r>
      <w:r>
        <w:rPr>
          <w:rFonts w:ascii="宋体" w:hAnsi="宋体" w:eastAsia="宋体" w:cs="宋体"/>
          <w:spacing w:val="10"/>
          <w:sz w:val="20"/>
          <w:szCs w:val="20"/>
        </w:rPr>
        <w:t>分百肯定它是因果关系。</w:t>
      </w:r>
    </w:p>
    <w:p w14:paraId="5A3D0600">
      <w:pPr>
        <w:spacing w:before="53" w:line="219" w:lineRule="auto"/>
        <w:ind w:left="419"/>
        <w:rPr>
          <w:rFonts w:ascii="宋体" w:hAnsi="宋体" w:eastAsia="宋体" w:cs="宋体"/>
          <w:sz w:val="20"/>
          <w:szCs w:val="20"/>
        </w:rPr>
      </w:pPr>
      <w:r>
        <w:rPr>
          <w:rFonts w:ascii="宋体" w:hAnsi="宋体" w:eastAsia="宋体" w:cs="宋体"/>
          <w:spacing w:val="11"/>
          <w:sz w:val="20"/>
          <w:szCs w:val="20"/>
        </w:rPr>
        <w:t>希尔准则存在几个明显的重要的缺陷：第一，没有考虑收集的原始研究是否全面和完整。第</w:t>
      </w:r>
    </w:p>
    <w:p w14:paraId="7195309F">
      <w:pPr>
        <w:spacing w:line="219" w:lineRule="auto"/>
        <w:rPr>
          <w:rFonts w:ascii="宋体" w:hAnsi="宋体" w:eastAsia="宋体" w:cs="宋体"/>
          <w:sz w:val="20"/>
          <w:szCs w:val="20"/>
        </w:rPr>
        <w:sectPr>
          <w:footerReference r:id="rId178" w:type="default"/>
          <w:pgSz w:w="11900" w:h="16820"/>
          <w:pgMar w:top="400" w:right="853" w:bottom="869" w:left="1480" w:header="0" w:footer="689" w:gutter="0"/>
          <w:cols w:space="720" w:num="1"/>
        </w:sectPr>
      </w:pPr>
    </w:p>
    <w:p w14:paraId="17C44D95">
      <w:pPr>
        <w:pStyle w:val="2"/>
        <w:spacing w:before="156" w:line="221" w:lineRule="auto"/>
        <w:ind w:left="709"/>
        <w:rPr>
          <w:sz w:val="20"/>
          <w:szCs w:val="20"/>
        </w:rPr>
      </w:pPr>
      <w:r>
        <w:rPr>
          <w:spacing w:val="-16"/>
          <w:w w:val="98"/>
          <w:sz w:val="20"/>
          <w:szCs w:val="20"/>
        </w:rPr>
        <w:t>第八章病因及其发现和推断</w:t>
      </w:r>
    </w:p>
    <w:p w14:paraId="2202201B">
      <w:pPr>
        <w:spacing w:line="267" w:lineRule="auto"/>
        <w:rPr>
          <w:rFonts w:ascii="Arial"/>
          <w:sz w:val="21"/>
        </w:rPr>
      </w:pPr>
    </w:p>
    <w:p w14:paraId="40863A1A">
      <w:pPr>
        <w:spacing w:line="268" w:lineRule="auto"/>
        <w:rPr>
          <w:rFonts w:ascii="Arial"/>
          <w:sz w:val="21"/>
        </w:rPr>
      </w:pPr>
    </w:p>
    <w:p w14:paraId="0F913BBE">
      <w:pPr>
        <w:spacing w:before="65" w:line="342" w:lineRule="auto"/>
        <w:ind w:left="709" w:right="79"/>
        <w:jc w:val="both"/>
        <w:rPr>
          <w:rFonts w:ascii="宋体" w:hAnsi="宋体" w:eastAsia="宋体" w:cs="宋体"/>
          <w:sz w:val="20"/>
          <w:szCs w:val="20"/>
        </w:rPr>
      </w:pPr>
      <w:r>
        <w:rPr>
          <w:rFonts w:ascii="宋体" w:hAnsi="宋体" w:eastAsia="宋体" w:cs="宋体"/>
          <w:spacing w:val="7"/>
          <w:sz w:val="20"/>
          <w:szCs w:val="20"/>
        </w:rPr>
        <w:t xml:space="preserve">二，对原始研究证据的真实性(即原始研究的方法学质量)没有考评。如果两个因素之间符合所有 </w:t>
      </w:r>
      <w:r>
        <w:rPr>
          <w:rFonts w:ascii="宋体" w:hAnsi="宋体" w:eastAsia="宋体" w:cs="宋体"/>
          <w:spacing w:val="2"/>
          <w:sz w:val="20"/>
          <w:szCs w:val="20"/>
        </w:rPr>
        <w:t>10项条件，提示二者很可能存在因果关系，但是如果关于这些条件的证据是不可信的</w:t>
      </w:r>
      <w:r>
        <w:rPr>
          <w:rFonts w:ascii="宋体" w:hAnsi="宋体" w:eastAsia="宋体" w:cs="宋体"/>
          <w:spacing w:val="1"/>
          <w:sz w:val="20"/>
          <w:szCs w:val="20"/>
        </w:rPr>
        <w:t>，则没有理由</w:t>
      </w:r>
      <w:r>
        <w:rPr>
          <w:rFonts w:ascii="宋体" w:hAnsi="宋体" w:eastAsia="宋体" w:cs="宋体"/>
          <w:sz w:val="20"/>
          <w:szCs w:val="20"/>
        </w:rPr>
        <w:t xml:space="preserve"> </w:t>
      </w:r>
      <w:r>
        <w:rPr>
          <w:rFonts w:ascii="宋体" w:hAnsi="宋体" w:eastAsia="宋体" w:cs="宋体"/>
          <w:spacing w:val="8"/>
          <w:sz w:val="20"/>
          <w:szCs w:val="20"/>
        </w:rPr>
        <w:t>相信该因果关系的存在。第三，希尔准则将</w:t>
      </w:r>
      <w:r>
        <w:rPr>
          <w:rFonts w:ascii="宋体" w:hAnsi="宋体" w:eastAsia="宋体" w:cs="宋体"/>
          <w:spacing w:val="7"/>
          <w:sz w:val="20"/>
          <w:szCs w:val="20"/>
        </w:rPr>
        <w:t>一个研究内提供的信息以及可在研究间观察到的信息</w:t>
      </w:r>
      <w:r>
        <w:rPr>
          <w:rFonts w:ascii="宋体" w:hAnsi="宋体" w:eastAsia="宋体" w:cs="宋体"/>
          <w:sz w:val="20"/>
          <w:szCs w:val="20"/>
        </w:rPr>
        <w:t xml:space="preserve"> </w:t>
      </w:r>
      <w:r>
        <w:rPr>
          <w:rFonts w:ascii="宋体" w:hAnsi="宋体" w:eastAsia="宋体" w:cs="宋体"/>
          <w:spacing w:val="1"/>
          <w:sz w:val="20"/>
          <w:szCs w:val="20"/>
        </w:rPr>
        <w:t>和流行病学研究以外的信息混为一谈，认为它们是同</w:t>
      </w:r>
      <w:r>
        <w:rPr>
          <w:rFonts w:ascii="宋体" w:hAnsi="宋体" w:eastAsia="宋体" w:cs="宋体"/>
          <w:sz w:val="20"/>
          <w:szCs w:val="20"/>
        </w:rPr>
        <w:t>等重要的。第四，在非特异的标准中，</w:t>
      </w:r>
      <w:r>
        <w:rPr>
          <w:rFonts w:ascii="宋体" w:hAnsi="宋体" w:eastAsia="宋体" w:cs="宋体"/>
          <w:spacing w:val="-16"/>
          <w:sz w:val="20"/>
          <w:szCs w:val="20"/>
        </w:rPr>
        <w:t xml:space="preserve"> </w:t>
      </w:r>
      <w:r>
        <w:rPr>
          <w:rFonts w:ascii="宋体" w:hAnsi="宋体" w:eastAsia="宋体" w:cs="宋体"/>
          <w:sz w:val="20"/>
          <w:szCs w:val="20"/>
        </w:rPr>
        <w:t xml:space="preserve">一致性 </w:t>
      </w:r>
      <w:r>
        <w:rPr>
          <w:rFonts w:ascii="宋体" w:hAnsi="宋体" w:eastAsia="宋体" w:cs="宋体"/>
          <w:spacing w:val="3"/>
          <w:sz w:val="20"/>
          <w:szCs w:val="20"/>
        </w:rPr>
        <w:t>是最关键的条件，但是希尔对什么是一致性没有</w:t>
      </w:r>
      <w:r>
        <w:rPr>
          <w:rFonts w:ascii="宋体" w:hAnsi="宋体" w:eastAsia="宋体" w:cs="宋体"/>
          <w:spacing w:val="2"/>
          <w:sz w:val="20"/>
          <w:szCs w:val="20"/>
        </w:rPr>
        <w:t>量化的界定，因此很难判断。况且，缺乏一致性可</w:t>
      </w:r>
      <w:r>
        <w:rPr>
          <w:rFonts w:ascii="宋体" w:hAnsi="宋体" w:eastAsia="宋体" w:cs="宋体"/>
          <w:sz w:val="20"/>
          <w:szCs w:val="20"/>
        </w:rPr>
        <w:t xml:space="preserve"> </w:t>
      </w:r>
      <w:r>
        <w:rPr>
          <w:rFonts w:ascii="宋体" w:hAnsi="宋体" w:eastAsia="宋体" w:cs="宋体"/>
          <w:spacing w:val="3"/>
          <w:sz w:val="20"/>
          <w:szCs w:val="20"/>
        </w:rPr>
        <w:t>能是交互作用造成的，交互作用的存在支持了病因推断的特异性标准，因此</w:t>
      </w:r>
      <w:r>
        <w:rPr>
          <w:rFonts w:ascii="宋体" w:hAnsi="宋体" w:eastAsia="宋体" w:cs="宋体"/>
          <w:spacing w:val="2"/>
          <w:sz w:val="20"/>
          <w:szCs w:val="20"/>
        </w:rPr>
        <w:t>一致性不好不一定是因</w:t>
      </w:r>
      <w:r>
        <w:rPr>
          <w:rFonts w:ascii="宋体" w:hAnsi="宋体" w:eastAsia="宋体" w:cs="宋体"/>
          <w:sz w:val="20"/>
          <w:szCs w:val="20"/>
        </w:rPr>
        <w:t xml:space="preserve"> </w:t>
      </w:r>
      <w:r>
        <w:rPr>
          <w:rFonts w:ascii="宋体" w:hAnsi="宋体" w:eastAsia="宋体" w:cs="宋体"/>
          <w:spacing w:val="-2"/>
          <w:sz w:val="20"/>
          <w:szCs w:val="20"/>
        </w:rPr>
        <w:t>果关系不存在，甚至很可能相反，不可一概而论。</w:t>
      </w:r>
    </w:p>
    <w:p w14:paraId="18810A96">
      <w:pPr>
        <w:pStyle w:val="2"/>
        <w:spacing w:before="211" w:line="221" w:lineRule="auto"/>
        <w:ind w:left="1113"/>
        <w:outlineLvl w:val="2"/>
        <w:rPr>
          <w:sz w:val="24"/>
          <w:szCs w:val="24"/>
        </w:rPr>
      </w:pPr>
      <w:bookmarkStart w:id="258" w:name="bookmark162"/>
      <w:bookmarkEnd w:id="258"/>
      <w:r>
        <w:rPr>
          <w:b/>
          <w:bCs/>
          <w:spacing w:val="-7"/>
          <w:sz w:val="24"/>
          <w:szCs w:val="24"/>
        </w:rPr>
        <w:t>四</w:t>
      </w:r>
      <w:r>
        <w:rPr>
          <w:spacing w:val="-38"/>
          <w:sz w:val="24"/>
          <w:szCs w:val="24"/>
        </w:rPr>
        <w:t xml:space="preserve"> </w:t>
      </w:r>
      <w:r>
        <w:rPr>
          <w:b/>
          <w:bCs/>
          <w:spacing w:val="-7"/>
          <w:sz w:val="24"/>
          <w:szCs w:val="24"/>
        </w:rPr>
        <w:t>、综合所有证据的推论：系统综述</w:t>
      </w:r>
    </w:p>
    <w:p w14:paraId="500A8822">
      <w:pPr>
        <w:spacing w:before="287" w:line="341" w:lineRule="auto"/>
        <w:ind w:left="709" w:right="89" w:firstLine="400"/>
        <w:jc w:val="both"/>
        <w:rPr>
          <w:rFonts w:ascii="宋体" w:hAnsi="宋体" w:eastAsia="宋体" w:cs="宋体"/>
          <w:sz w:val="20"/>
          <w:szCs w:val="20"/>
        </w:rPr>
      </w:pPr>
      <w:r>
        <w:rPr>
          <w:rFonts w:ascii="宋体" w:hAnsi="宋体" w:eastAsia="宋体" w:cs="宋体"/>
          <w:spacing w:val="8"/>
          <w:sz w:val="20"/>
          <w:szCs w:val="20"/>
        </w:rPr>
        <w:t>20世纪末，循证医学出现，把医学领域因果关</w:t>
      </w:r>
      <w:r>
        <w:rPr>
          <w:rFonts w:ascii="宋体" w:hAnsi="宋体" w:eastAsia="宋体" w:cs="宋体"/>
          <w:spacing w:val="7"/>
          <w:sz w:val="20"/>
          <w:szCs w:val="20"/>
        </w:rPr>
        <w:t>系的研究和推论推向了新的阶段。循证医学呼</w:t>
      </w:r>
      <w:r>
        <w:rPr>
          <w:rFonts w:ascii="宋体" w:hAnsi="宋体" w:eastAsia="宋体" w:cs="宋体"/>
          <w:sz w:val="20"/>
          <w:szCs w:val="20"/>
        </w:rPr>
        <w:t xml:space="preserve"> </w:t>
      </w:r>
      <w:r>
        <w:rPr>
          <w:rFonts w:ascii="宋体" w:hAnsi="宋体" w:eastAsia="宋体" w:cs="宋体"/>
          <w:spacing w:val="3"/>
          <w:sz w:val="20"/>
          <w:szCs w:val="20"/>
        </w:rPr>
        <w:t>吁，临床决策必须基于现有最佳的证据，这些证</w:t>
      </w:r>
      <w:r>
        <w:rPr>
          <w:rFonts w:ascii="宋体" w:hAnsi="宋体" w:eastAsia="宋体" w:cs="宋体"/>
          <w:spacing w:val="2"/>
          <w:sz w:val="20"/>
          <w:szCs w:val="20"/>
        </w:rPr>
        <w:t>据主要指在人群中进行的医学应用型研究。依据证</w:t>
      </w:r>
      <w:r>
        <w:rPr>
          <w:rFonts w:ascii="宋体" w:hAnsi="宋体" w:eastAsia="宋体" w:cs="宋体"/>
          <w:sz w:val="20"/>
          <w:szCs w:val="20"/>
        </w:rPr>
        <w:t xml:space="preserve"> </w:t>
      </w:r>
      <w:r>
        <w:rPr>
          <w:rFonts w:ascii="宋体" w:hAnsi="宋体" w:eastAsia="宋体" w:cs="宋体"/>
          <w:spacing w:val="3"/>
          <w:sz w:val="20"/>
          <w:szCs w:val="20"/>
        </w:rPr>
        <w:t>据进行实践，首先必须对证据的真实性进行评估</w:t>
      </w:r>
      <w:r>
        <w:rPr>
          <w:rFonts w:ascii="宋体" w:hAnsi="宋体" w:eastAsia="宋体" w:cs="宋体"/>
          <w:spacing w:val="2"/>
          <w:sz w:val="20"/>
          <w:szCs w:val="20"/>
        </w:rPr>
        <w:t>。但是，循证医学首先关注的不是病因，而是治疗</w:t>
      </w:r>
      <w:r>
        <w:rPr>
          <w:rFonts w:ascii="宋体" w:hAnsi="宋体" w:eastAsia="宋体" w:cs="宋体"/>
          <w:sz w:val="20"/>
          <w:szCs w:val="20"/>
        </w:rPr>
        <w:t xml:space="preserve"> </w:t>
      </w:r>
      <w:r>
        <w:rPr>
          <w:rFonts w:ascii="宋体" w:hAnsi="宋体" w:eastAsia="宋体" w:cs="宋体"/>
          <w:spacing w:val="3"/>
          <w:sz w:val="20"/>
          <w:szCs w:val="20"/>
        </w:rPr>
        <w:t>的效果和副作用，治疗与其产生的效果和副作用的关</w:t>
      </w:r>
      <w:r>
        <w:rPr>
          <w:rFonts w:ascii="宋体" w:hAnsi="宋体" w:eastAsia="宋体" w:cs="宋体"/>
          <w:spacing w:val="2"/>
          <w:sz w:val="20"/>
          <w:szCs w:val="20"/>
        </w:rPr>
        <w:t>系也是因果关系，因此循证医学关注的主要是</w:t>
      </w:r>
      <w:r>
        <w:rPr>
          <w:rFonts w:ascii="宋体" w:hAnsi="宋体" w:eastAsia="宋体" w:cs="宋体"/>
          <w:sz w:val="20"/>
          <w:szCs w:val="20"/>
        </w:rPr>
        <w:t xml:space="preserve"> </w:t>
      </w:r>
      <w:r>
        <w:rPr>
          <w:rFonts w:ascii="宋体" w:hAnsi="宋体" w:eastAsia="宋体" w:cs="宋体"/>
          <w:spacing w:val="3"/>
          <w:sz w:val="20"/>
          <w:szCs w:val="20"/>
        </w:rPr>
        <w:t>随机对照临床试验，推断的是治疗与其效应之间的因</w:t>
      </w:r>
      <w:r>
        <w:rPr>
          <w:rFonts w:ascii="宋体" w:hAnsi="宋体" w:eastAsia="宋体" w:cs="宋体"/>
          <w:spacing w:val="2"/>
          <w:sz w:val="20"/>
          <w:szCs w:val="20"/>
        </w:rPr>
        <w:t>果关系。其次，提出循证医学和参与相关研究</w:t>
      </w:r>
      <w:r>
        <w:rPr>
          <w:rFonts w:ascii="宋体" w:hAnsi="宋体" w:eastAsia="宋体" w:cs="宋体"/>
          <w:sz w:val="20"/>
          <w:szCs w:val="20"/>
        </w:rPr>
        <w:t xml:space="preserve"> </w:t>
      </w:r>
      <w:r>
        <w:rPr>
          <w:rFonts w:ascii="宋体" w:hAnsi="宋体" w:eastAsia="宋体" w:cs="宋体"/>
          <w:spacing w:val="7"/>
          <w:sz w:val="20"/>
          <w:szCs w:val="20"/>
        </w:rPr>
        <w:t>的不是传统关注病因研究的公共卫生领域的流行病学家，而是关注临床医学人群研究的临床流行</w:t>
      </w:r>
      <w:r>
        <w:rPr>
          <w:rFonts w:ascii="宋体" w:hAnsi="宋体" w:eastAsia="宋体" w:cs="宋体"/>
          <w:spacing w:val="15"/>
          <w:sz w:val="20"/>
          <w:szCs w:val="20"/>
        </w:rPr>
        <w:t xml:space="preserve"> </w:t>
      </w:r>
      <w:r>
        <w:rPr>
          <w:rFonts w:ascii="宋体" w:hAnsi="宋体" w:eastAsia="宋体" w:cs="宋体"/>
          <w:spacing w:val="5"/>
          <w:sz w:val="20"/>
          <w:szCs w:val="20"/>
        </w:rPr>
        <w:t>病学家。</w:t>
      </w:r>
    </w:p>
    <w:p w14:paraId="39A61D59">
      <w:pPr>
        <w:spacing w:before="7" w:line="344" w:lineRule="auto"/>
        <w:ind w:left="709" w:firstLine="400"/>
        <w:jc w:val="both"/>
        <w:rPr>
          <w:rFonts w:ascii="宋体" w:hAnsi="宋体" w:eastAsia="宋体" w:cs="宋体"/>
          <w:sz w:val="20"/>
          <w:szCs w:val="20"/>
        </w:rPr>
      </w:pPr>
      <w:r>
        <w:rPr>
          <w:rFonts w:ascii="宋体" w:hAnsi="宋体" w:eastAsia="宋体" w:cs="宋体"/>
          <w:spacing w:val="2"/>
          <w:sz w:val="20"/>
          <w:szCs w:val="20"/>
        </w:rPr>
        <w:t>循证医学采纳了新的系统综述</w:t>
      </w:r>
      <w:r>
        <w:rPr>
          <w:rFonts w:ascii="Times New Roman" w:hAnsi="Times New Roman" w:eastAsia="Times New Roman" w:cs="Times New Roman"/>
          <w:spacing w:val="2"/>
          <w:sz w:val="20"/>
          <w:szCs w:val="20"/>
        </w:rPr>
        <w:t>(</w:t>
      </w:r>
      <w:r>
        <w:rPr>
          <w:rFonts w:ascii="Times New Roman" w:hAnsi="Times New Roman" w:eastAsia="Times New Roman" w:cs="Times New Roman"/>
          <w:sz w:val="20"/>
          <w:szCs w:val="20"/>
        </w:rPr>
        <w:t>systematic</w:t>
      </w:r>
      <w:r>
        <w:rPr>
          <w:rFonts w:ascii="Times New Roman" w:hAnsi="Times New Roman" w:eastAsia="Times New Roman" w:cs="Times New Roman"/>
          <w:spacing w:val="2"/>
          <w:sz w:val="20"/>
          <w:szCs w:val="20"/>
        </w:rPr>
        <w:t xml:space="preserve">   </w:t>
      </w:r>
      <w:r>
        <w:rPr>
          <w:rFonts w:ascii="Times New Roman" w:hAnsi="Times New Roman" w:eastAsia="Times New Roman" w:cs="Times New Roman"/>
          <w:sz w:val="20"/>
          <w:szCs w:val="20"/>
        </w:rPr>
        <w:t>review</w:t>
      </w:r>
      <w:r>
        <w:rPr>
          <w:rFonts w:ascii="Times New Roman" w:hAnsi="Times New Roman" w:eastAsia="Times New Roman" w:cs="Times New Roman"/>
          <w:spacing w:val="2"/>
          <w:sz w:val="20"/>
          <w:szCs w:val="20"/>
        </w:rPr>
        <w:t>)</w:t>
      </w:r>
      <w:r>
        <w:rPr>
          <w:rFonts w:ascii="宋体" w:hAnsi="宋体" w:eastAsia="宋体" w:cs="宋体"/>
          <w:spacing w:val="2"/>
          <w:sz w:val="20"/>
          <w:szCs w:val="20"/>
        </w:rPr>
        <w:t>和</w:t>
      </w:r>
      <w:r>
        <w:rPr>
          <w:rFonts w:ascii="宋体" w:hAnsi="宋体" w:eastAsia="宋体" w:cs="宋体"/>
          <w:spacing w:val="-18"/>
          <w:sz w:val="20"/>
          <w:szCs w:val="20"/>
        </w:rPr>
        <w:t xml:space="preserve"> </w:t>
      </w:r>
      <w:r>
        <w:rPr>
          <w:rFonts w:ascii="Times New Roman" w:hAnsi="Times New Roman" w:eastAsia="Times New Roman" w:cs="Times New Roman"/>
          <w:sz w:val="20"/>
          <w:szCs w:val="20"/>
        </w:rPr>
        <w:t>Meta</w:t>
      </w:r>
      <w:r>
        <w:rPr>
          <w:rFonts w:ascii="Times New Roman" w:hAnsi="Times New Roman" w:eastAsia="Times New Roman" w:cs="Times New Roman"/>
          <w:spacing w:val="2"/>
          <w:sz w:val="20"/>
          <w:szCs w:val="20"/>
        </w:rPr>
        <w:t xml:space="preserve"> </w:t>
      </w:r>
      <w:r>
        <w:rPr>
          <w:rFonts w:ascii="宋体" w:hAnsi="宋体" w:eastAsia="宋体" w:cs="宋体"/>
          <w:spacing w:val="2"/>
          <w:sz w:val="20"/>
          <w:szCs w:val="20"/>
        </w:rPr>
        <w:t>分</w:t>
      </w:r>
      <w:r>
        <w:rPr>
          <w:rFonts w:ascii="宋体" w:hAnsi="宋体" w:eastAsia="宋体" w:cs="宋体"/>
          <w:spacing w:val="-32"/>
          <w:sz w:val="20"/>
          <w:szCs w:val="20"/>
        </w:rPr>
        <w:t xml:space="preserve"> </w:t>
      </w:r>
      <w:r>
        <w:rPr>
          <w:rFonts w:ascii="宋体" w:hAnsi="宋体" w:eastAsia="宋体" w:cs="宋体"/>
          <w:spacing w:val="2"/>
          <w:sz w:val="20"/>
          <w:szCs w:val="20"/>
        </w:rPr>
        <w:t>析</w:t>
      </w:r>
      <w:r>
        <w:rPr>
          <w:rFonts w:ascii="Times New Roman" w:hAnsi="Times New Roman" w:eastAsia="Times New Roman" w:cs="Times New Roman"/>
          <w:spacing w:val="2"/>
          <w:sz w:val="20"/>
          <w:szCs w:val="20"/>
        </w:rPr>
        <w:t>(</w:t>
      </w:r>
      <w:r>
        <w:rPr>
          <w:rFonts w:ascii="Times New Roman" w:hAnsi="Times New Roman" w:eastAsia="Times New Roman" w:cs="Times New Roman"/>
          <w:sz w:val="20"/>
          <w:szCs w:val="20"/>
        </w:rPr>
        <w:t>meta</w:t>
      </w:r>
      <w:r>
        <w:rPr>
          <w:rFonts w:ascii="Times New Roman" w:hAnsi="Times New Roman" w:eastAsia="Times New Roman" w:cs="Times New Roman"/>
          <w:spacing w:val="2"/>
          <w:sz w:val="20"/>
          <w:szCs w:val="20"/>
        </w:rPr>
        <w:t>-</w:t>
      </w:r>
      <w:r>
        <w:rPr>
          <w:rFonts w:ascii="Times New Roman" w:hAnsi="Times New Roman" w:eastAsia="Times New Roman" w:cs="Times New Roman"/>
          <w:sz w:val="20"/>
          <w:szCs w:val="20"/>
        </w:rPr>
        <w:t>analysis</w:t>
      </w:r>
      <w:r>
        <w:rPr>
          <w:rFonts w:ascii="Times New Roman" w:hAnsi="Times New Roman" w:eastAsia="Times New Roman" w:cs="Times New Roman"/>
          <w:spacing w:val="2"/>
          <w:sz w:val="20"/>
          <w:szCs w:val="20"/>
        </w:rPr>
        <w:t>)</w:t>
      </w:r>
      <w:r>
        <w:rPr>
          <w:rFonts w:ascii="Times New Roman" w:hAnsi="Times New Roman" w:eastAsia="Times New Roman" w:cs="Times New Roman"/>
          <w:spacing w:val="13"/>
          <w:w w:val="101"/>
          <w:sz w:val="20"/>
          <w:szCs w:val="20"/>
        </w:rPr>
        <w:t xml:space="preserve">  </w:t>
      </w:r>
      <w:r>
        <w:rPr>
          <w:rFonts w:ascii="宋体" w:hAnsi="宋体" w:eastAsia="宋体" w:cs="宋体"/>
          <w:spacing w:val="2"/>
          <w:sz w:val="20"/>
          <w:szCs w:val="20"/>
        </w:rPr>
        <w:t>提供的思路和方</w:t>
      </w:r>
      <w:r>
        <w:rPr>
          <w:rFonts w:ascii="宋体" w:hAnsi="宋体" w:eastAsia="宋体" w:cs="宋体"/>
          <w:sz w:val="20"/>
          <w:szCs w:val="20"/>
        </w:rPr>
        <w:t xml:space="preserve">  </w:t>
      </w:r>
      <w:r>
        <w:rPr>
          <w:rFonts w:ascii="宋体" w:hAnsi="宋体" w:eastAsia="宋体" w:cs="宋体"/>
          <w:spacing w:val="5"/>
          <w:sz w:val="20"/>
          <w:szCs w:val="20"/>
        </w:rPr>
        <w:t>法。系统综述加强了对原始研究收集的系统性以及对结果定量</w:t>
      </w:r>
      <w:r>
        <w:rPr>
          <w:rFonts w:ascii="宋体" w:hAnsi="宋体" w:eastAsia="宋体" w:cs="宋体"/>
          <w:spacing w:val="4"/>
          <w:sz w:val="20"/>
          <w:szCs w:val="20"/>
        </w:rPr>
        <w:t>的推论，并在原始研究结果真实性、</w:t>
      </w:r>
      <w:r>
        <w:rPr>
          <w:rFonts w:ascii="宋体" w:hAnsi="宋体" w:eastAsia="宋体" w:cs="宋体"/>
          <w:sz w:val="20"/>
          <w:szCs w:val="20"/>
        </w:rPr>
        <w:t xml:space="preserve"> </w:t>
      </w:r>
      <w:r>
        <w:rPr>
          <w:rFonts w:ascii="宋体" w:hAnsi="宋体" w:eastAsia="宋体" w:cs="宋体"/>
          <w:spacing w:val="3"/>
          <w:sz w:val="20"/>
          <w:szCs w:val="20"/>
        </w:rPr>
        <w:t>精确性和一致性方面，系统地提出了一套统一的</w:t>
      </w:r>
      <w:r>
        <w:rPr>
          <w:rFonts w:ascii="宋体" w:hAnsi="宋体" w:eastAsia="宋体" w:cs="宋体"/>
          <w:spacing w:val="2"/>
          <w:sz w:val="20"/>
          <w:szCs w:val="20"/>
        </w:rPr>
        <w:t>定量评估方法。然而，殊途同归，原始研究和系统</w:t>
      </w:r>
      <w:r>
        <w:rPr>
          <w:rFonts w:ascii="宋体" w:hAnsi="宋体" w:eastAsia="宋体" w:cs="宋体"/>
          <w:sz w:val="20"/>
          <w:szCs w:val="20"/>
        </w:rPr>
        <w:t xml:space="preserve">  综述的设计和分析要素里包含了希尔的主要准则，如时间顺序、关联强度</w:t>
      </w:r>
      <w:r>
        <w:rPr>
          <w:rFonts w:ascii="宋体" w:hAnsi="宋体" w:eastAsia="宋体" w:cs="宋体"/>
          <w:spacing w:val="-1"/>
          <w:sz w:val="20"/>
          <w:szCs w:val="20"/>
        </w:rPr>
        <w:t>、剂量-反应关系、实验证</w:t>
      </w:r>
      <w:r>
        <w:rPr>
          <w:rFonts w:ascii="宋体" w:hAnsi="宋体" w:eastAsia="宋体" w:cs="宋体"/>
          <w:sz w:val="20"/>
          <w:szCs w:val="20"/>
        </w:rPr>
        <w:t xml:space="preserve">  </w:t>
      </w:r>
      <w:r>
        <w:rPr>
          <w:rFonts w:ascii="宋体" w:hAnsi="宋体" w:eastAsia="宋体" w:cs="宋体"/>
          <w:spacing w:val="5"/>
          <w:sz w:val="20"/>
          <w:szCs w:val="20"/>
        </w:rPr>
        <w:t>据、一致性等。时间顺序是随机对照试验的设计特征决定的，关联强度和剂量-反应</w:t>
      </w:r>
      <w:r>
        <w:rPr>
          <w:rFonts w:ascii="宋体" w:hAnsi="宋体" w:eastAsia="宋体" w:cs="宋体"/>
          <w:spacing w:val="4"/>
          <w:sz w:val="20"/>
          <w:szCs w:val="20"/>
        </w:rPr>
        <w:t>关系反映在随</w:t>
      </w:r>
      <w:r>
        <w:rPr>
          <w:rFonts w:ascii="宋体" w:hAnsi="宋体" w:eastAsia="宋体" w:cs="宋体"/>
          <w:sz w:val="20"/>
          <w:szCs w:val="20"/>
        </w:rPr>
        <w:t xml:space="preserve">  </w:t>
      </w:r>
      <w:r>
        <w:rPr>
          <w:rFonts w:ascii="宋体" w:hAnsi="宋体" w:eastAsia="宋体" w:cs="宋体"/>
          <w:spacing w:val="4"/>
          <w:sz w:val="20"/>
          <w:szCs w:val="20"/>
        </w:rPr>
        <w:t>机对照试验的结果里，它们是进行因果关系推断的必要因素，因为每项随机对照试验都必须具备，</w:t>
      </w:r>
      <w:r>
        <w:rPr>
          <w:rFonts w:ascii="宋体" w:hAnsi="宋体" w:eastAsia="宋体" w:cs="宋体"/>
          <w:spacing w:val="7"/>
          <w:sz w:val="20"/>
          <w:szCs w:val="20"/>
        </w:rPr>
        <w:t xml:space="preserve"> </w:t>
      </w:r>
      <w:r>
        <w:rPr>
          <w:rFonts w:ascii="宋体" w:hAnsi="宋体" w:eastAsia="宋体" w:cs="宋体"/>
          <w:spacing w:val="3"/>
          <w:sz w:val="20"/>
          <w:szCs w:val="20"/>
        </w:rPr>
        <w:t>因此无须进行再评估。对于实验证据，随机对照试验提供的就是人群的</w:t>
      </w:r>
      <w:r>
        <w:rPr>
          <w:rFonts w:ascii="宋体" w:hAnsi="宋体" w:eastAsia="宋体" w:cs="宋体"/>
          <w:spacing w:val="2"/>
          <w:sz w:val="20"/>
          <w:szCs w:val="20"/>
        </w:rPr>
        <w:t>实验证据。对于一致性，系</w:t>
      </w:r>
      <w:r>
        <w:rPr>
          <w:rFonts w:ascii="宋体" w:hAnsi="宋体" w:eastAsia="宋体" w:cs="宋体"/>
          <w:sz w:val="20"/>
          <w:szCs w:val="20"/>
        </w:rPr>
        <w:t xml:space="preserve">  </w:t>
      </w:r>
      <w:r>
        <w:rPr>
          <w:rFonts w:ascii="宋体" w:hAnsi="宋体" w:eastAsia="宋体" w:cs="宋体"/>
          <w:spacing w:val="5"/>
          <w:sz w:val="20"/>
          <w:szCs w:val="20"/>
        </w:rPr>
        <w:t>统综述更是采用了定量的评估方法，即异质性检验。系统综</w:t>
      </w:r>
      <w:r>
        <w:rPr>
          <w:rFonts w:ascii="宋体" w:hAnsi="宋体" w:eastAsia="宋体" w:cs="宋体"/>
          <w:spacing w:val="4"/>
          <w:sz w:val="20"/>
          <w:szCs w:val="20"/>
        </w:rPr>
        <w:t>述还提出了对异质性原因的探究方法，</w:t>
      </w:r>
      <w:r>
        <w:rPr>
          <w:rFonts w:ascii="宋体" w:hAnsi="宋体" w:eastAsia="宋体" w:cs="宋体"/>
          <w:sz w:val="20"/>
          <w:szCs w:val="20"/>
        </w:rPr>
        <w:t xml:space="preserve"> </w:t>
      </w:r>
      <w:r>
        <w:rPr>
          <w:rFonts w:ascii="宋体" w:hAnsi="宋体" w:eastAsia="宋体" w:cs="宋体"/>
          <w:spacing w:val="3"/>
          <w:sz w:val="20"/>
          <w:szCs w:val="20"/>
        </w:rPr>
        <w:t>是新的贡献。</w:t>
      </w:r>
    </w:p>
    <w:p w14:paraId="4F4AAD87">
      <w:pPr>
        <w:spacing w:before="21" w:line="333" w:lineRule="auto"/>
        <w:ind w:left="709" w:right="85" w:firstLine="400"/>
        <w:jc w:val="both"/>
        <w:rPr>
          <w:rFonts w:ascii="宋体" w:hAnsi="宋体" w:eastAsia="宋体" w:cs="宋体"/>
          <w:sz w:val="20"/>
          <w:szCs w:val="20"/>
        </w:rPr>
      </w:pPr>
      <w:r>
        <w:rPr>
          <w:rFonts w:ascii="宋体" w:hAnsi="宋体" w:eastAsia="宋体" w:cs="宋体"/>
          <w:spacing w:val="3"/>
          <w:sz w:val="20"/>
          <w:szCs w:val="20"/>
        </w:rPr>
        <w:t>系统综述可以说是对希尔准则的科学的、系统的、定量的应用</w:t>
      </w:r>
      <w:r>
        <w:rPr>
          <w:rFonts w:ascii="宋体" w:hAnsi="宋体" w:eastAsia="宋体" w:cs="宋体"/>
          <w:spacing w:val="2"/>
          <w:sz w:val="20"/>
          <w:szCs w:val="20"/>
        </w:rPr>
        <w:t>和发展，并明确提出对原始研究</w:t>
      </w:r>
      <w:r>
        <w:rPr>
          <w:rFonts w:ascii="宋体" w:hAnsi="宋体" w:eastAsia="宋体" w:cs="宋体"/>
          <w:sz w:val="20"/>
          <w:szCs w:val="20"/>
        </w:rPr>
        <w:t xml:space="preserve"> </w:t>
      </w:r>
      <w:r>
        <w:rPr>
          <w:rFonts w:ascii="宋体" w:hAnsi="宋体" w:eastAsia="宋体" w:cs="宋体"/>
          <w:spacing w:val="7"/>
          <w:sz w:val="20"/>
          <w:szCs w:val="20"/>
        </w:rPr>
        <w:t>质量进行严格的评估。作为一种总结和评估研究文献的方法，系统综述也可能出现偏倚，降低其</w:t>
      </w:r>
      <w:r>
        <w:rPr>
          <w:rFonts w:ascii="宋体" w:hAnsi="宋体" w:eastAsia="宋体" w:cs="宋体"/>
          <w:spacing w:val="13"/>
          <w:sz w:val="20"/>
          <w:szCs w:val="20"/>
        </w:rPr>
        <w:t xml:space="preserve"> </w:t>
      </w:r>
      <w:r>
        <w:rPr>
          <w:rFonts w:ascii="宋体" w:hAnsi="宋体" w:eastAsia="宋体" w:cs="宋体"/>
          <w:spacing w:val="3"/>
          <w:sz w:val="20"/>
          <w:szCs w:val="20"/>
        </w:rPr>
        <w:t>结论的可靠性。如何依据系统综述进行因果关</w:t>
      </w:r>
      <w:r>
        <w:rPr>
          <w:rFonts w:ascii="宋体" w:hAnsi="宋体" w:eastAsia="宋体" w:cs="宋体"/>
          <w:spacing w:val="2"/>
          <w:sz w:val="20"/>
          <w:szCs w:val="20"/>
        </w:rPr>
        <w:t>系推论，针对这个问题，近些年国际上开发了一些评</w:t>
      </w:r>
      <w:r>
        <w:rPr>
          <w:rFonts w:ascii="宋体" w:hAnsi="宋体" w:eastAsia="宋体" w:cs="宋体"/>
          <w:sz w:val="20"/>
          <w:szCs w:val="20"/>
        </w:rPr>
        <w:t xml:space="preserve"> 估系统综述真实性的工具，如国际医学推荐分级的研究、开发和评估(Grading of Recommendations</w:t>
      </w:r>
      <w:r>
        <w:rPr>
          <w:rFonts w:ascii="宋体" w:hAnsi="宋体" w:eastAsia="宋体" w:cs="宋体"/>
          <w:spacing w:val="13"/>
          <w:sz w:val="20"/>
          <w:szCs w:val="20"/>
        </w:rPr>
        <w:t xml:space="preserve"> </w:t>
      </w:r>
      <w:r>
        <w:rPr>
          <w:rFonts w:ascii="宋体" w:hAnsi="宋体" w:eastAsia="宋体" w:cs="宋体"/>
          <w:spacing w:val="-1"/>
          <w:sz w:val="20"/>
          <w:szCs w:val="20"/>
        </w:rPr>
        <w:t>Assessment,Development and Evaluation,G</w:t>
      </w:r>
      <w:r>
        <w:rPr>
          <w:rFonts w:ascii="宋体" w:hAnsi="宋体" w:eastAsia="宋体" w:cs="宋体"/>
          <w:spacing w:val="-2"/>
          <w:sz w:val="20"/>
          <w:szCs w:val="20"/>
        </w:rPr>
        <w:t>RADE)工作组的工作，其对真实性影响因素的讨论和分析</w:t>
      </w:r>
      <w:r>
        <w:rPr>
          <w:rFonts w:ascii="宋体" w:hAnsi="宋体" w:eastAsia="宋体" w:cs="宋体"/>
          <w:sz w:val="20"/>
          <w:szCs w:val="20"/>
        </w:rPr>
        <w:t xml:space="preserve"> </w:t>
      </w:r>
      <w:r>
        <w:rPr>
          <w:rFonts w:ascii="宋体" w:hAnsi="宋体" w:eastAsia="宋体" w:cs="宋体"/>
          <w:spacing w:val="3"/>
          <w:sz w:val="20"/>
          <w:szCs w:val="20"/>
        </w:rPr>
        <w:t>很值得参考。</w:t>
      </w:r>
    </w:p>
    <w:p w14:paraId="178CB7B6">
      <w:pPr>
        <w:pStyle w:val="2"/>
        <w:spacing w:before="232" w:line="222" w:lineRule="auto"/>
        <w:ind w:left="1113"/>
        <w:outlineLvl w:val="2"/>
        <w:rPr>
          <w:sz w:val="24"/>
          <w:szCs w:val="24"/>
        </w:rPr>
      </w:pPr>
      <w:bookmarkStart w:id="259" w:name="bookmark163"/>
      <w:bookmarkEnd w:id="259"/>
      <w:r>
        <w:rPr>
          <w:b/>
          <w:bCs/>
          <w:spacing w:val="-3"/>
          <w:sz w:val="24"/>
          <w:szCs w:val="24"/>
        </w:rPr>
        <w:t>五</w:t>
      </w:r>
      <w:r>
        <w:rPr>
          <w:spacing w:val="-42"/>
          <w:sz w:val="24"/>
          <w:szCs w:val="24"/>
        </w:rPr>
        <w:t xml:space="preserve"> </w:t>
      </w:r>
      <w:r>
        <w:rPr>
          <w:b/>
          <w:bCs/>
          <w:spacing w:val="-3"/>
          <w:sz w:val="24"/>
          <w:szCs w:val="24"/>
        </w:rPr>
        <w:t>、病因推断的困难</w:t>
      </w:r>
    </w:p>
    <w:p w14:paraId="497E0FD6">
      <w:pPr>
        <w:spacing w:before="294" w:line="333" w:lineRule="auto"/>
        <w:ind w:left="709" w:right="90" w:firstLine="400"/>
        <w:jc w:val="both"/>
        <w:rPr>
          <w:rFonts w:ascii="宋体" w:hAnsi="宋体" w:eastAsia="宋体" w:cs="宋体"/>
          <w:sz w:val="20"/>
          <w:szCs w:val="20"/>
        </w:rPr>
      </w:pPr>
      <w:r>
        <w:rPr>
          <w:rFonts w:ascii="宋体" w:hAnsi="宋体" w:eastAsia="宋体" w:cs="宋体"/>
          <w:spacing w:val="5"/>
          <w:sz w:val="20"/>
          <w:szCs w:val="20"/>
        </w:rPr>
        <w:t>有关病因推断，希尔曾说，“我提出的9个准则没有一项可以对</w:t>
      </w:r>
      <w:r>
        <w:rPr>
          <w:rFonts w:ascii="宋体" w:hAnsi="宋体" w:eastAsia="宋体" w:cs="宋体"/>
          <w:spacing w:val="4"/>
          <w:sz w:val="20"/>
          <w:szCs w:val="20"/>
        </w:rPr>
        <w:t>因果关系的存在与否提出确定</w:t>
      </w:r>
      <w:r>
        <w:rPr>
          <w:rFonts w:ascii="宋体" w:hAnsi="宋体" w:eastAsia="宋体" w:cs="宋体"/>
          <w:sz w:val="20"/>
          <w:szCs w:val="20"/>
        </w:rPr>
        <w:t xml:space="preserve"> </w:t>
      </w:r>
      <w:r>
        <w:rPr>
          <w:rFonts w:ascii="宋体" w:hAnsi="宋体" w:eastAsia="宋体" w:cs="宋体"/>
          <w:spacing w:val="7"/>
          <w:sz w:val="20"/>
          <w:szCs w:val="20"/>
        </w:rPr>
        <w:t>无疑的证据”。因果关系最多不过是一个尝试性的主观上的推论。任何科学工作都不是完美无缺</w:t>
      </w:r>
      <w:r>
        <w:rPr>
          <w:rFonts w:ascii="宋体" w:hAnsi="宋体" w:eastAsia="宋体" w:cs="宋体"/>
          <w:spacing w:val="12"/>
          <w:sz w:val="20"/>
          <w:szCs w:val="20"/>
        </w:rPr>
        <w:t xml:space="preserve"> </w:t>
      </w:r>
      <w:r>
        <w:rPr>
          <w:rFonts w:ascii="宋体" w:hAnsi="宋体" w:eastAsia="宋体" w:cs="宋体"/>
          <w:spacing w:val="2"/>
          <w:sz w:val="20"/>
          <w:szCs w:val="20"/>
        </w:rPr>
        <w:t xml:space="preserve">的，所有科学证据都可能被颠覆或修正，科学推论永远都带着不确定性，我们永远无法确切地知道 </w:t>
      </w:r>
      <w:r>
        <w:rPr>
          <w:rFonts w:ascii="宋体" w:hAnsi="宋体" w:eastAsia="宋体" w:cs="宋体"/>
          <w:spacing w:val="3"/>
          <w:sz w:val="20"/>
          <w:szCs w:val="20"/>
        </w:rPr>
        <w:t>一项研究结果的真实性。但是，证据的不确定性并</w:t>
      </w:r>
      <w:r>
        <w:rPr>
          <w:rFonts w:ascii="宋体" w:hAnsi="宋体" w:eastAsia="宋体" w:cs="宋体"/>
          <w:spacing w:val="2"/>
          <w:sz w:val="20"/>
          <w:szCs w:val="20"/>
        </w:rPr>
        <w:t>不赋予我们可以无视现有证据的权利，不能作为</w:t>
      </w:r>
      <w:r>
        <w:rPr>
          <w:rFonts w:ascii="宋体" w:hAnsi="宋体" w:eastAsia="宋体" w:cs="宋体"/>
          <w:sz w:val="20"/>
          <w:szCs w:val="20"/>
        </w:rPr>
        <w:t xml:space="preserve"> </w:t>
      </w:r>
      <w:r>
        <w:rPr>
          <w:rFonts w:ascii="宋体" w:hAnsi="宋体" w:eastAsia="宋体" w:cs="宋体"/>
          <w:spacing w:val="6"/>
          <w:sz w:val="20"/>
          <w:szCs w:val="20"/>
        </w:rPr>
        <w:t>延迟必要行动的理由和借口。</w:t>
      </w:r>
    </w:p>
    <w:p w14:paraId="7169D078">
      <w:pPr>
        <w:spacing w:before="28" w:line="219" w:lineRule="auto"/>
        <w:ind w:left="1110"/>
        <w:rPr>
          <w:rFonts w:ascii="宋体" w:hAnsi="宋体" w:eastAsia="宋体" w:cs="宋体"/>
          <w:sz w:val="20"/>
          <w:szCs w:val="20"/>
        </w:rPr>
      </w:pPr>
      <w:r>
        <w:rPr>
          <w:rFonts w:ascii="宋体" w:hAnsi="宋体" w:eastAsia="宋体" w:cs="宋体"/>
          <w:spacing w:val="3"/>
          <w:sz w:val="20"/>
          <w:szCs w:val="20"/>
        </w:rPr>
        <w:t>如今，我们的确开发了一套更完善、更合理的因果关系推论系统和准则，</w:t>
      </w:r>
      <w:r>
        <w:rPr>
          <w:rFonts w:ascii="宋体" w:hAnsi="宋体" w:eastAsia="宋体" w:cs="宋体"/>
          <w:spacing w:val="2"/>
          <w:sz w:val="20"/>
          <w:szCs w:val="20"/>
        </w:rPr>
        <w:t>但是在方法变得更加</w:t>
      </w:r>
    </w:p>
    <w:p w14:paraId="01D20392">
      <w:pPr>
        <w:spacing w:line="219" w:lineRule="auto"/>
        <w:rPr>
          <w:rFonts w:ascii="宋体" w:hAnsi="宋体" w:eastAsia="宋体" w:cs="宋体"/>
          <w:sz w:val="20"/>
          <w:szCs w:val="20"/>
        </w:rPr>
        <w:sectPr>
          <w:footerReference r:id="rId179" w:type="default"/>
          <w:pgSz w:w="11900" w:h="16820"/>
          <w:pgMar w:top="400" w:right="1539" w:bottom="839" w:left="850" w:header="0" w:footer="659" w:gutter="0"/>
          <w:cols w:space="720" w:num="1"/>
        </w:sectPr>
      </w:pPr>
    </w:p>
    <w:p w14:paraId="72877EFC">
      <w:pPr>
        <w:spacing w:line="339" w:lineRule="auto"/>
        <w:rPr>
          <w:rFonts w:ascii="Arial"/>
          <w:sz w:val="21"/>
        </w:rPr>
      </w:pPr>
    </w:p>
    <w:p w14:paraId="24A4E0E7">
      <w:pPr>
        <w:pStyle w:val="2"/>
        <w:spacing w:before="65" w:line="221" w:lineRule="auto"/>
        <w:ind w:left="6800"/>
        <w:rPr>
          <w:sz w:val="20"/>
          <w:szCs w:val="20"/>
        </w:rPr>
      </w:pPr>
      <w:r>
        <w:rPr>
          <w:spacing w:val="-21"/>
          <w:sz w:val="20"/>
          <w:szCs w:val="20"/>
        </w:rPr>
        <w:t>第八章 病因及其发现和推断</w:t>
      </w:r>
    </w:p>
    <w:p w14:paraId="2F3C408B">
      <w:pPr>
        <w:spacing w:line="277" w:lineRule="auto"/>
        <w:rPr>
          <w:rFonts w:ascii="Arial"/>
          <w:sz w:val="21"/>
        </w:rPr>
      </w:pPr>
    </w:p>
    <w:p w14:paraId="767374CF">
      <w:pPr>
        <w:spacing w:line="277" w:lineRule="auto"/>
        <w:rPr>
          <w:rFonts w:ascii="Arial"/>
          <w:sz w:val="21"/>
        </w:rPr>
      </w:pPr>
    </w:p>
    <w:p w14:paraId="097D7EC3">
      <w:pPr>
        <w:spacing w:before="65" w:line="338" w:lineRule="auto"/>
        <w:ind w:right="596"/>
        <w:jc w:val="both"/>
        <w:rPr>
          <w:rFonts w:ascii="宋体" w:hAnsi="宋体" w:eastAsia="宋体" w:cs="宋体"/>
          <w:sz w:val="20"/>
          <w:szCs w:val="20"/>
        </w:rPr>
      </w:pPr>
      <w:r>
        <w:rPr>
          <w:rFonts w:ascii="宋体" w:hAnsi="宋体" w:eastAsia="宋体" w:cs="宋体"/>
          <w:spacing w:val="5"/>
          <w:sz w:val="20"/>
          <w:szCs w:val="20"/>
        </w:rPr>
        <w:t>细致和量化的同时，人们再一次认识到，科学推论的本质是主观的、模</w:t>
      </w:r>
      <w:r>
        <w:rPr>
          <w:rFonts w:ascii="宋体" w:hAnsi="宋体" w:eastAsia="宋体" w:cs="宋体"/>
          <w:spacing w:val="4"/>
          <w:sz w:val="20"/>
          <w:szCs w:val="20"/>
        </w:rPr>
        <w:t>糊的，且带有不确定性，严谨</w:t>
      </w:r>
      <w:r>
        <w:rPr>
          <w:rFonts w:ascii="宋体" w:hAnsi="宋体" w:eastAsia="宋体" w:cs="宋体"/>
          <w:sz w:val="20"/>
          <w:szCs w:val="20"/>
        </w:rPr>
        <w:t xml:space="preserve"> </w:t>
      </w:r>
      <w:r>
        <w:rPr>
          <w:rFonts w:ascii="宋体" w:hAnsi="宋体" w:eastAsia="宋体" w:cs="宋体"/>
          <w:spacing w:val="15"/>
          <w:sz w:val="20"/>
          <w:szCs w:val="20"/>
        </w:rPr>
        <w:t>的方法和量化的结果未必能相应地增加我们</w:t>
      </w:r>
      <w:r>
        <w:rPr>
          <w:rFonts w:ascii="宋体" w:hAnsi="宋体" w:eastAsia="宋体" w:cs="宋体"/>
          <w:spacing w:val="14"/>
          <w:sz w:val="20"/>
          <w:szCs w:val="20"/>
        </w:rPr>
        <w:t>对决策的信心。因为在如何利用证据真实性进行决策</w:t>
      </w:r>
      <w:r>
        <w:rPr>
          <w:rFonts w:ascii="宋体" w:hAnsi="宋体" w:eastAsia="宋体" w:cs="宋体"/>
          <w:sz w:val="20"/>
          <w:szCs w:val="20"/>
        </w:rPr>
        <w:t xml:space="preserve"> </w:t>
      </w:r>
      <w:r>
        <w:rPr>
          <w:rFonts w:ascii="宋体" w:hAnsi="宋体" w:eastAsia="宋体" w:cs="宋体"/>
          <w:spacing w:val="10"/>
          <w:sz w:val="20"/>
          <w:szCs w:val="20"/>
        </w:rPr>
        <w:t>的问题上，我们远没有找到满意的答案。比如，当证</w:t>
      </w:r>
      <w:r>
        <w:rPr>
          <w:rFonts w:ascii="宋体" w:hAnsi="宋体" w:eastAsia="宋体" w:cs="宋体"/>
          <w:spacing w:val="9"/>
          <w:sz w:val="20"/>
          <w:szCs w:val="20"/>
        </w:rPr>
        <w:t>据质量达到什么水平，我们就可以肯定地说结</w:t>
      </w:r>
      <w:r>
        <w:rPr>
          <w:rFonts w:ascii="宋体" w:hAnsi="宋体" w:eastAsia="宋体" w:cs="宋体"/>
          <w:sz w:val="20"/>
          <w:szCs w:val="20"/>
        </w:rPr>
        <w:t xml:space="preserve"> </w:t>
      </w:r>
      <w:r>
        <w:rPr>
          <w:rFonts w:ascii="宋体" w:hAnsi="宋体" w:eastAsia="宋体" w:cs="宋体"/>
          <w:spacing w:val="22"/>
          <w:sz w:val="20"/>
          <w:szCs w:val="20"/>
        </w:rPr>
        <w:t>果是真实的?证据真实性是如何影响决策的?证据真实性的差别对决策的影响是什么?</w:t>
      </w:r>
      <w:r>
        <w:rPr>
          <w:rFonts w:ascii="宋体" w:hAnsi="宋体" w:eastAsia="宋体" w:cs="宋体"/>
          <w:spacing w:val="21"/>
          <w:sz w:val="20"/>
          <w:szCs w:val="20"/>
        </w:rPr>
        <w:t>在满意回</w:t>
      </w:r>
      <w:r>
        <w:rPr>
          <w:rFonts w:ascii="宋体" w:hAnsi="宋体" w:eastAsia="宋体" w:cs="宋体"/>
          <w:sz w:val="20"/>
          <w:szCs w:val="20"/>
        </w:rPr>
        <w:t xml:space="preserve"> </w:t>
      </w:r>
      <w:r>
        <w:rPr>
          <w:rFonts w:ascii="宋体" w:hAnsi="宋体" w:eastAsia="宋体" w:cs="宋体"/>
          <w:spacing w:val="10"/>
          <w:sz w:val="20"/>
          <w:szCs w:val="20"/>
        </w:rPr>
        <w:t>答这些问题之前，追求更精确、更定量的证据评估</w:t>
      </w:r>
      <w:r>
        <w:rPr>
          <w:rFonts w:ascii="宋体" w:hAnsi="宋体" w:eastAsia="宋体" w:cs="宋体"/>
          <w:spacing w:val="9"/>
          <w:sz w:val="20"/>
          <w:szCs w:val="20"/>
        </w:rPr>
        <w:t>似乎有点盲目。在这些方面，系统综述也不是最</w:t>
      </w:r>
      <w:r>
        <w:rPr>
          <w:rFonts w:ascii="宋体" w:hAnsi="宋体" w:eastAsia="宋体" w:cs="宋体"/>
          <w:sz w:val="20"/>
          <w:szCs w:val="20"/>
        </w:rPr>
        <w:t xml:space="preserve"> </w:t>
      </w:r>
      <w:r>
        <w:rPr>
          <w:rFonts w:ascii="宋体" w:hAnsi="宋体" w:eastAsia="宋体" w:cs="宋体"/>
          <w:spacing w:val="10"/>
          <w:sz w:val="20"/>
          <w:szCs w:val="20"/>
        </w:rPr>
        <w:t>后答案，也许我们永远也不会有最后的答案，因为证据只是影响决策的因素之一，其他因素包括资</w:t>
      </w:r>
      <w:r>
        <w:rPr>
          <w:rFonts w:ascii="宋体" w:hAnsi="宋体" w:eastAsia="宋体" w:cs="宋体"/>
          <w:sz w:val="20"/>
          <w:szCs w:val="20"/>
        </w:rPr>
        <w:t xml:space="preserve"> </w:t>
      </w:r>
      <w:r>
        <w:rPr>
          <w:rFonts w:ascii="宋体" w:hAnsi="宋体" w:eastAsia="宋体" w:cs="宋体"/>
          <w:spacing w:val="8"/>
          <w:sz w:val="20"/>
          <w:szCs w:val="20"/>
        </w:rPr>
        <w:t>源的多少和人们的价值取向，而且同一证据在不同决策中的作用是变化的，不是固定不变的。</w:t>
      </w:r>
    </w:p>
    <w:p w14:paraId="1CEFCF7B">
      <w:pPr>
        <w:pStyle w:val="2"/>
        <w:spacing w:line="223" w:lineRule="auto"/>
        <w:ind w:left="8290"/>
        <w:rPr>
          <w:sz w:val="26"/>
          <w:szCs w:val="26"/>
        </w:rPr>
      </w:pPr>
      <w:r>
        <w:rPr>
          <w:spacing w:val="5"/>
          <w:sz w:val="26"/>
          <w:szCs w:val="26"/>
        </w:rPr>
        <w:t>(毛琛)</w:t>
      </w:r>
    </w:p>
    <w:p w14:paraId="51111213">
      <w:pPr>
        <w:spacing w:line="272" w:lineRule="auto"/>
        <w:rPr>
          <w:rFonts w:ascii="Arial"/>
          <w:sz w:val="21"/>
        </w:rPr>
      </w:pPr>
    </w:p>
    <w:p w14:paraId="00CC4B09">
      <w:pPr>
        <w:spacing w:line="410" w:lineRule="exact"/>
        <w:ind w:firstLine="6319"/>
      </w:pPr>
      <w:r>
        <w:rPr>
          <w:position w:val="-8"/>
        </w:rPr>
        <w:drawing>
          <wp:inline distT="0" distB="0" distL="0" distR="0">
            <wp:extent cx="1809750" cy="260350"/>
            <wp:effectExtent l="0" t="0" r="0" b="0"/>
            <wp:docPr id="554" name="IM 554"/>
            <wp:cNvGraphicFramePr/>
            <a:graphic xmlns:a="http://schemas.openxmlformats.org/drawingml/2006/main">
              <a:graphicData uri="http://schemas.openxmlformats.org/drawingml/2006/picture">
                <pic:pic xmlns:pic="http://schemas.openxmlformats.org/drawingml/2006/picture">
                  <pic:nvPicPr>
                    <pic:cNvPr id="554" name="IM 554"/>
                    <pic:cNvPicPr/>
                  </pic:nvPicPr>
                  <pic:blipFill>
                    <a:blip r:embed="rId617"/>
                    <a:stretch>
                      <a:fillRect/>
                    </a:stretch>
                  </pic:blipFill>
                  <pic:spPr>
                    <a:xfrm>
                      <a:off x="0" y="0"/>
                      <a:ext cx="1809781" cy="260395"/>
                    </a:xfrm>
                    <a:prstGeom prst="rect">
                      <a:avLst/>
                    </a:prstGeom>
                  </pic:spPr>
                </pic:pic>
              </a:graphicData>
            </a:graphic>
          </wp:inline>
        </w:drawing>
      </w:r>
    </w:p>
    <w:p w14:paraId="4BA1318A">
      <w:pPr>
        <w:pStyle w:val="2"/>
        <w:spacing w:before="177" w:line="222" w:lineRule="auto"/>
        <w:ind w:left="483"/>
        <w:rPr>
          <w:sz w:val="26"/>
          <w:szCs w:val="26"/>
        </w:rPr>
      </w:pPr>
      <w:r>
        <w:rPr>
          <w:b/>
          <w:bCs/>
          <w:spacing w:val="2"/>
          <w:sz w:val="26"/>
          <w:szCs w:val="26"/>
        </w:rPr>
        <w:t>思考题</w:t>
      </w:r>
    </w:p>
    <w:p w14:paraId="14A7C7F8">
      <w:pPr>
        <w:pStyle w:val="2"/>
        <w:spacing w:before="67" w:line="222" w:lineRule="auto"/>
        <w:ind w:left="1289"/>
        <w:rPr>
          <w:rFonts w:ascii="宋体" w:hAnsi="宋体" w:eastAsia="宋体" w:cs="宋体"/>
          <w:sz w:val="20"/>
          <w:szCs w:val="20"/>
        </w:rPr>
      </w:pPr>
      <w:r>
        <w:rPr>
          <w:rFonts w:ascii="宋体" w:hAnsi="宋体" w:eastAsia="宋体" w:cs="宋体"/>
          <w:spacing w:val="15"/>
          <w:sz w:val="20"/>
          <w:szCs w:val="20"/>
        </w:rPr>
        <w:t>1.</w:t>
      </w:r>
      <w:r>
        <w:rPr>
          <w:rFonts w:ascii="宋体" w:hAnsi="宋体" w:eastAsia="宋体" w:cs="宋体"/>
          <w:spacing w:val="-27"/>
          <w:sz w:val="20"/>
          <w:szCs w:val="20"/>
        </w:rPr>
        <w:t xml:space="preserve"> </w:t>
      </w:r>
      <w:r>
        <w:rPr>
          <w:rFonts w:ascii="宋体" w:hAnsi="宋体" w:eastAsia="宋体" w:cs="宋体"/>
          <w:spacing w:val="15"/>
          <w:sz w:val="20"/>
          <w:szCs w:val="20"/>
        </w:rPr>
        <w:t>什么是病因?</w:t>
      </w:r>
      <w:r>
        <w:rPr>
          <w:rFonts w:ascii="宋体" w:hAnsi="宋体" w:eastAsia="宋体" w:cs="宋体"/>
          <w:spacing w:val="-50"/>
          <w:sz w:val="20"/>
          <w:szCs w:val="20"/>
        </w:rPr>
        <w:t xml:space="preserve"> </w:t>
      </w:r>
      <w:r>
        <w:rPr>
          <w:spacing w:val="15"/>
          <w:sz w:val="20"/>
          <w:szCs w:val="20"/>
        </w:rPr>
        <w:t>什</w:t>
      </w:r>
      <w:r>
        <w:rPr>
          <w:rFonts w:ascii="宋体" w:hAnsi="宋体" w:eastAsia="宋体" w:cs="宋体"/>
          <w:spacing w:val="15"/>
          <w:sz w:val="20"/>
          <w:szCs w:val="20"/>
        </w:rPr>
        <w:t>么是因果关系?试论因果关系在医</w:t>
      </w:r>
      <w:r>
        <w:rPr>
          <w:rFonts w:ascii="宋体" w:hAnsi="宋体" w:eastAsia="宋体" w:cs="宋体"/>
          <w:spacing w:val="14"/>
          <w:sz w:val="20"/>
          <w:szCs w:val="20"/>
        </w:rPr>
        <w:t>学研究中的重要性。</w:t>
      </w:r>
    </w:p>
    <w:p w14:paraId="587F1C02">
      <w:pPr>
        <w:spacing w:before="131" w:line="290" w:lineRule="auto"/>
        <w:ind w:left="1559" w:right="610" w:hanging="270"/>
        <w:rPr>
          <w:rFonts w:ascii="宋体" w:hAnsi="宋体" w:eastAsia="宋体" w:cs="宋体"/>
          <w:sz w:val="20"/>
          <w:szCs w:val="20"/>
        </w:rPr>
      </w:pPr>
      <w:r>
        <w:rPr>
          <w:rFonts w:ascii="宋体" w:hAnsi="宋体" w:eastAsia="宋体" w:cs="宋体"/>
          <w:spacing w:val="9"/>
          <w:sz w:val="20"/>
          <w:szCs w:val="20"/>
        </w:rPr>
        <w:t>2.</w:t>
      </w:r>
      <w:r>
        <w:rPr>
          <w:rFonts w:ascii="宋体" w:hAnsi="宋体" w:eastAsia="宋体" w:cs="宋体"/>
          <w:spacing w:val="-26"/>
          <w:sz w:val="20"/>
          <w:szCs w:val="20"/>
        </w:rPr>
        <w:t xml:space="preserve"> </w:t>
      </w:r>
      <w:r>
        <w:rPr>
          <w:rFonts w:ascii="宋体" w:hAnsi="宋体" w:eastAsia="宋体" w:cs="宋体"/>
          <w:spacing w:val="9"/>
          <w:sz w:val="20"/>
          <w:szCs w:val="20"/>
        </w:rPr>
        <w:t>试述各种病因模型(充分病因-组分病因模型除外)的原理、特征、优缺点、应用和</w:t>
      </w:r>
      <w:r>
        <w:rPr>
          <w:rFonts w:ascii="宋体" w:hAnsi="宋体" w:eastAsia="宋体" w:cs="宋体"/>
          <w:sz w:val="20"/>
          <w:szCs w:val="20"/>
        </w:rPr>
        <w:t xml:space="preserve"> </w:t>
      </w:r>
      <w:r>
        <w:rPr>
          <w:rFonts w:ascii="宋体" w:hAnsi="宋体" w:eastAsia="宋体" w:cs="宋体"/>
          <w:spacing w:val="10"/>
          <w:sz w:val="20"/>
          <w:szCs w:val="20"/>
        </w:rPr>
        <w:t>相互关系。</w:t>
      </w:r>
    </w:p>
    <w:p w14:paraId="22B5FE39">
      <w:pPr>
        <w:spacing w:before="141" w:line="219" w:lineRule="auto"/>
        <w:ind w:left="1289"/>
        <w:rPr>
          <w:rFonts w:ascii="宋体" w:hAnsi="宋体" w:eastAsia="宋体" w:cs="宋体"/>
          <w:sz w:val="20"/>
          <w:szCs w:val="20"/>
        </w:rPr>
      </w:pPr>
      <w:r>
        <w:rPr>
          <w:rFonts w:ascii="宋体" w:hAnsi="宋体" w:eastAsia="宋体" w:cs="宋体"/>
          <w:spacing w:val="4"/>
          <w:sz w:val="20"/>
          <w:szCs w:val="20"/>
        </w:rPr>
        <w:t>3.</w:t>
      </w:r>
      <w:r>
        <w:rPr>
          <w:rFonts w:ascii="宋体" w:hAnsi="宋体" w:eastAsia="宋体" w:cs="宋体"/>
          <w:spacing w:val="-26"/>
          <w:sz w:val="20"/>
          <w:szCs w:val="20"/>
        </w:rPr>
        <w:t xml:space="preserve"> </w:t>
      </w:r>
      <w:r>
        <w:rPr>
          <w:rFonts w:ascii="宋体" w:hAnsi="宋体" w:eastAsia="宋体" w:cs="宋体"/>
          <w:spacing w:val="4"/>
          <w:sz w:val="20"/>
          <w:szCs w:val="20"/>
        </w:rPr>
        <w:t>利用充分病因-组分病因模型，解释什么是充分病因、组分病因、必要病因。</w:t>
      </w:r>
    </w:p>
    <w:p w14:paraId="4C722ABB">
      <w:pPr>
        <w:pStyle w:val="2"/>
        <w:spacing w:before="111" w:line="287" w:lineRule="auto"/>
        <w:ind w:left="1569" w:right="588" w:hanging="280"/>
        <w:rPr>
          <w:rFonts w:ascii="宋体" w:hAnsi="宋体" w:eastAsia="宋体" w:cs="宋体"/>
          <w:sz w:val="20"/>
          <w:szCs w:val="20"/>
        </w:rPr>
      </w:pPr>
      <w:r>
        <w:rPr>
          <w:rFonts w:ascii="宋体" w:hAnsi="宋体" w:eastAsia="宋体" w:cs="宋体"/>
          <w:spacing w:val="10"/>
          <w:sz w:val="20"/>
          <w:szCs w:val="20"/>
        </w:rPr>
        <w:t>4.</w:t>
      </w:r>
      <w:r>
        <w:rPr>
          <w:rFonts w:ascii="宋体" w:hAnsi="宋体" w:eastAsia="宋体" w:cs="宋体"/>
          <w:spacing w:val="-33"/>
          <w:sz w:val="20"/>
          <w:szCs w:val="20"/>
        </w:rPr>
        <w:t xml:space="preserve"> </w:t>
      </w:r>
      <w:r>
        <w:rPr>
          <w:spacing w:val="10"/>
          <w:sz w:val="20"/>
          <w:szCs w:val="20"/>
        </w:rPr>
        <w:t>为 什</w:t>
      </w:r>
      <w:r>
        <w:rPr>
          <w:rFonts w:ascii="宋体" w:hAnsi="宋体" w:eastAsia="宋体" w:cs="宋体"/>
          <w:spacing w:val="10"/>
          <w:sz w:val="20"/>
          <w:szCs w:val="20"/>
        </w:rPr>
        <w:t>么希尔说，他的九个病因推断准则没有一个单一可以用来肯定因果关系的存</w:t>
      </w:r>
      <w:r>
        <w:rPr>
          <w:rFonts w:ascii="宋体" w:hAnsi="宋体" w:eastAsia="宋体" w:cs="宋体"/>
          <w:sz w:val="20"/>
          <w:szCs w:val="20"/>
        </w:rPr>
        <w:t xml:space="preserve"> </w:t>
      </w:r>
      <w:r>
        <w:rPr>
          <w:rFonts w:ascii="宋体" w:hAnsi="宋体" w:eastAsia="宋体" w:cs="宋体"/>
          <w:spacing w:val="7"/>
          <w:sz w:val="20"/>
          <w:szCs w:val="20"/>
        </w:rPr>
        <w:t>在，而且即使符合所有九个准则，也不</w:t>
      </w:r>
      <w:r>
        <w:rPr>
          <w:spacing w:val="7"/>
          <w:sz w:val="20"/>
          <w:szCs w:val="20"/>
        </w:rPr>
        <w:t>能肯定因果关系</w:t>
      </w:r>
      <w:r>
        <w:rPr>
          <w:rFonts w:ascii="宋体" w:hAnsi="宋体" w:eastAsia="宋体" w:cs="宋体"/>
          <w:spacing w:val="7"/>
          <w:sz w:val="20"/>
          <w:szCs w:val="20"/>
        </w:rPr>
        <w:t>必</w:t>
      </w:r>
      <w:r>
        <w:rPr>
          <w:rFonts w:ascii="宋体" w:hAnsi="宋体" w:eastAsia="宋体" w:cs="宋体"/>
          <w:spacing w:val="6"/>
          <w:sz w:val="20"/>
          <w:szCs w:val="20"/>
        </w:rPr>
        <w:t>然存在?</w:t>
      </w:r>
    </w:p>
    <w:p w14:paraId="7F15FB02">
      <w:pPr>
        <w:spacing w:before="129" w:line="219" w:lineRule="auto"/>
        <w:ind w:left="1289"/>
        <w:rPr>
          <w:rFonts w:ascii="宋体" w:hAnsi="宋体" w:eastAsia="宋体" w:cs="宋体"/>
          <w:sz w:val="20"/>
          <w:szCs w:val="20"/>
        </w:rPr>
      </w:pPr>
      <w:r>
        <w:rPr>
          <w:rFonts w:ascii="宋体" w:hAnsi="宋体" w:eastAsia="宋体" w:cs="宋体"/>
          <w:spacing w:val="10"/>
          <w:sz w:val="20"/>
          <w:szCs w:val="20"/>
        </w:rPr>
        <w:t>5.</w:t>
      </w:r>
      <w:r>
        <w:rPr>
          <w:rFonts w:ascii="宋体" w:hAnsi="宋体" w:eastAsia="宋体" w:cs="宋体"/>
          <w:spacing w:val="-48"/>
          <w:sz w:val="20"/>
          <w:szCs w:val="20"/>
        </w:rPr>
        <w:t xml:space="preserve"> </w:t>
      </w:r>
      <w:r>
        <w:rPr>
          <w:rFonts w:ascii="宋体" w:hAnsi="宋体" w:eastAsia="宋体" w:cs="宋体"/>
          <w:spacing w:val="10"/>
          <w:sz w:val="20"/>
          <w:szCs w:val="20"/>
        </w:rPr>
        <w:t>试述健康决定因素的生态模型对慢性病控制的</w:t>
      </w:r>
      <w:r>
        <w:rPr>
          <w:rFonts w:ascii="宋体" w:hAnsi="宋体" w:eastAsia="宋体" w:cs="宋体"/>
          <w:spacing w:val="9"/>
          <w:sz w:val="20"/>
          <w:szCs w:val="20"/>
        </w:rPr>
        <w:t>意义。</w:t>
      </w:r>
    </w:p>
    <w:p w14:paraId="6FCEC0E2">
      <w:pPr>
        <w:spacing w:line="219" w:lineRule="auto"/>
        <w:rPr>
          <w:rFonts w:ascii="宋体" w:hAnsi="宋体" w:eastAsia="宋体" w:cs="宋体"/>
          <w:sz w:val="20"/>
          <w:szCs w:val="20"/>
        </w:rPr>
        <w:sectPr>
          <w:footerReference r:id="rId180" w:type="default"/>
          <w:pgSz w:w="11900" w:h="16820"/>
          <w:pgMar w:top="400" w:right="873" w:bottom="789" w:left="1400" w:header="0" w:footer="609" w:gutter="0"/>
          <w:cols w:space="720" w:num="1"/>
        </w:sectPr>
      </w:pPr>
    </w:p>
    <w:p w14:paraId="0CFCDCF4">
      <w:pPr>
        <w:spacing w:line="343" w:lineRule="auto"/>
        <w:rPr>
          <w:rFonts w:ascii="Arial"/>
          <w:sz w:val="21"/>
        </w:rPr>
      </w:pPr>
    </w:p>
    <w:p w14:paraId="0026ECD2">
      <w:pPr>
        <w:spacing w:line="344" w:lineRule="auto"/>
        <w:rPr>
          <w:rFonts w:ascii="Arial"/>
          <w:sz w:val="21"/>
        </w:rPr>
      </w:pPr>
    </w:p>
    <w:p w14:paraId="0FEDEA3B">
      <w:pPr>
        <w:pStyle w:val="2"/>
        <w:spacing w:before="94" w:line="222" w:lineRule="auto"/>
        <w:ind w:left="4664"/>
        <w:outlineLvl w:val="0"/>
        <w:rPr>
          <w:sz w:val="29"/>
          <w:szCs w:val="29"/>
        </w:rPr>
      </w:pPr>
      <w:r>
        <w:drawing>
          <wp:anchor distT="0" distB="0" distL="0" distR="0" simplePos="0" relativeHeight="251839488" behindDoc="0" locked="0" layoutInCell="1" allowOverlap="1">
            <wp:simplePos x="0" y="0"/>
            <wp:positionH relativeFrom="column">
              <wp:posOffset>437515</wp:posOffset>
            </wp:positionH>
            <wp:positionV relativeFrom="paragraph">
              <wp:posOffset>62230</wp:posOffset>
            </wp:positionV>
            <wp:extent cx="571500" cy="622300"/>
            <wp:effectExtent l="0" t="0" r="0" b="0"/>
            <wp:wrapNone/>
            <wp:docPr id="556" name="IM 556"/>
            <wp:cNvGraphicFramePr/>
            <a:graphic xmlns:a="http://schemas.openxmlformats.org/drawingml/2006/main">
              <a:graphicData uri="http://schemas.openxmlformats.org/drawingml/2006/picture">
                <pic:pic xmlns:pic="http://schemas.openxmlformats.org/drawingml/2006/picture">
                  <pic:nvPicPr>
                    <pic:cNvPr id="556" name="IM 556"/>
                    <pic:cNvPicPr/>
                  </pic:nvPicPr>
                  <pic:blipFill>
                    <a:blip r:embed="rId618"/>
                    <a:stretch>
                      <a:fillRect/>
                    </a:stretch>
                  </pic:blipFill>
                  <pic:spPr>
                    <a:xfrm>
                      <a:off x="0" y="0"/>
                      <a:ext cx="571498" cy="622258"/>
                    </a:xfrm>
                    <a:prstGeom prst="rect">
                      <a:avLst/>
                    </a:prstGeom>
                  </pic:spPr>
                </pic:pic>
              </a:graphicData>
            </a:graphic>
          </wp:anchor>
        </w:drawing>
      </w:r>
      <w:bookmarkStart w:id="260" w:name="bookmark164"/>
      <w:bookmarkEnd w:id="260"/>
      <w:r>
        <w:rPr>
          <w:b/>
          <w:bCs/>
          <w:spacing w:val="-6"/>
          <w:sz w:val="29"/>
          <w:szCs w:val="29"/>
        </w:rPr>
        <w:t>第九章</w:t>
      </w:r>
    </w:p>
    <w:p w14:paraId="0CB7E413">
      <w:pPr>
        <w:pStyle w:val="2"/>
        <w:spacing w:before="123" w:line="221" w:lineRule="auto"/>
        <w:ind w:left="4226"/>
        <w:outlineLvl w:val="0"/>
        <w:rPr>
          <w:sz w:val="44"/>
          <w:szCs w:val="44"/>
        </w:rPr>
      </w:pPr>
      <w:bookmarkStart w:id="261" w:name="bookmark164"/>
      <w:bookmarkEnd w:id="261"/>
      <w:r>
        <w:rPr>
          <w:b/>
          <w:bCs/>
          <w:spacing w:val="-3"/>
          <w:sz w:val="44"/>
          <w:szCs w:val="44"/>
        </w:rPr>
        <w:t>预防策略</w:t>
      </w:r>
    </w:p>
    <w:p w14:paraId="1F274E42">
      <w:pPr>
        <w:spacing w:before="155" w:line="450" w:lineRule="exact"/>
        <w:ind w:firstLine="220"/>
      </w:pPr>
      <w:r>
        <w:rPr>
          <w:position w:val="-8"/>
        </w:rPr>
        <w:drawing>
          <wp:inline distT="0" distB="0" distL="0" distR="0">
            <wp:extent cx="716915" cy="285115"/>
            <wp:effectExtent l="0" t="0" r="0" b="0"/>
            <wp:docPr id="558" name="IM 558"/>
            <wp:cNvGraphicFramePr/>
            <a:graphic xmlns:a="http://schemas.openxmlformats.org/drawingml/2006/main">
              <a:graphicData uri="http://schemas.openxmlformats.org/drawingml/2006/picture">
                <pic:pic xmlns:pic="http://schemas.openxmlformats.org/drawingml/2006/picture">
                  <pic:nvPicPr>
                    <pic:cNvPr id="558" name="IM 558"/>
                    <pic:cNvPicPr/>
                  </pic:nvPicPr>
                  <pic:blipFill>
                    <a:blip r:embed="rId619"/>
                    <a:stretch>
                      <a:fillRect/>
                    </a:stretch>
                  </pic:blipFill>
                  <pic:spPr>
                    <a:xfrm>
                      <a:off x="0" y="0"/>
                      <a:ext cx="717489" cy="285708"/>
                    </a:xfrm>
                    <a:prstGeom prst="rect">
                      <a:avLst/>
                    </a:prstGeom>
                  </pic:spPr>
                </pic:pic>
              </a:graphicData>
            </a:graphic>
          </wp:inline>
        </w:drawing>
      </w:r>
    </w:p>
    <w:p w14:paraId="3FABB280">
      <w:pPr>
        <w:rPr>
          <w:rFonts w:ascii="Arial"/>
          <w:sz w:val="21"/>
        </w:rPr>
      </w:pPr>
    </w:p>
    <w:p w14:paraId="16506563">
      <w:pPr>
        <w:spacing w:before="83" w:line="198" w:lineRule="auto"/>
        <w:ind w:left="2890"/>
        <w:rPr>
          <w:rFonts w:ascii="Arial" w:hAnsi="Arial" w:eastAsia="Arial" w:cs="Arial"/>
          <w:sz w:val="29"/>
          <w:szCs w:val="29"/>
        </w:rPr>
      </w:pPr>
      <w:r>
        <w:rPr>
          <w:rFonts w:ascii="Arial" w:hAnsi="Arial" w:eastAsia="Arial" w:cs="Arial"/>
          <w:b/>
          <w:bCs/>
          <w:spacing w:val="-4"/>
          <w:sz w:val="29"/>
          <w:szCs w:val="29"/>
        </w:rPr>
        <w:t>Chapter 9 Strategy for Pr</w:t>
      </w:r>
      <w:r>
        <w:rPr>
          <w:rFonts w:ascii="Arial" w:hAnsi="Arial" w:eastAsia="Arial" w:cs="Arial"/>
          <w:b/>
          <w:bCs/>
          <w:spacing w:val="-5"/>
          <w:sz w:val="29"/>
          <w:szCs w:val="29"/>
        </w:rPr>
        <w:t>evention</w:t>
      </w:r>
    </w:p>
    <w:p w14:paraId="1AC6EE65">
      <w:pPr>
        <w:spacing w:line="443" w:lineRule="auto"/>
        <w:rPr>
          <w:rFonts w:ascii="Arial"/>
          <w:sz w:val="21"/>
        </w:rPr>
      </w:pPr>
    </w:p>
    <w:p w14:paraId="20006F47">
      <w:pPr>
        <w:spacing w:before="57" w:line="382" w:lineRule="auto"/>
        <w:ind w:left="699" w:right="79" w:firstLine="430"/>
        <w:jc w:val="both"/>
        <w:rPr>
          <w:rFonts w:ascii="Times New Roman" w:hAnsi="Times New Roman" w:eastAsia="Times New Roman" w:cs="Times New Roman"/>
          <w:sz w:val="20"/>
          <w:szCs w:val="20"/>
        </w:rPr>
      </w:pPr>
      <w:r>
        <w:rPr>
          <w:rFonts w:ascii="Times New Roman" w:hAnsi="Times New Roman" w:eastAsia="Times New Roman" w:cs="Times New Roman"/>
          <w:sz w:val="20"/>
          <w:szCs w:val="20"/>
        </w:rPr>
        <w:t>Health</w:t>
      </w:r>
      <w:r>
        <w:rPr>
          <w:rFonts w:ascii="Times New Roman" w:hAnsi="Times New Roman" w:eastAsia="Times New Roman" w:cs="Times New Roman"/>
          <w:spacing w:val="21"/>
          <w:sz w:val="20"/>
          <w:szCs w:val="20"/>
        </w:rPr>
        <w:t xml:space="preserve">  </w:t>
      </w:r>
      <w:r>
        <w:rPr>
          <w:rFonts w:ascii="Times New Roman" w:hAnsi="Times New Roman" w:eastAsia="Times New Roman" w:cs="Times New Roman"/>
          <w:sz w:val="20"/>
          <w:szCs w:val="20"/>
        </w:rPr>
        <w:t>is</w:t>
      </w:r>
      <w:r>
        <w:rPr>
          <w:rFonts w:ascii="Times New Roman" w:hAnsi="Times New Roman" w:eastAsia="Times New Roman" w:cs="Times New Roman"/>
          <w:spacing w:val="21"/>
          <w:sz w:val="20"/>
          <w:szCs w:val="20"/>
        </w:rPr>
        <w:t xml:space="preserve">  </w:t>
      </w:r>
      <w:r>
        <w:rPr>
          <w:rFonts w:ascii="Times New Roman" w:hAnsi="Times New Roman" w:eastAsia="Times New Roman" w:cs="Times New Roman"/>
          <w:sz w:val="20"/>
          <w:szCs w:val="20"/>
        </w:rPr>
        <w:t>a</w:t>
      </w:r>
      <w:r>
        <w:rPr>
          <w:rFonts w:ascii="Times New Roman" w:hAnsi="Times New Roman" w:eastAsia="Times New Roman" w:cs="Times New Roman"/>
          <w:spacing w:val="21"/>
          <w:sz w:val="20"/>
          <w:szCs w:val="20"/>
        </w:rPr>
        <w:t xml:space="preserve">  </w:t>
      </w:r>
      <w:r>
        <w:rPr>
          <w:rFonts w:ascii="Times New Roman" w:hAnsi="Times New Roman" w:eastAsia="Times New Roman" w:cs="Times New Roman"/>
          <w:sz w:val="20"/>
          <w:szCs w:val="20"/>
        </w:rPr>
        <w:t>dynamic</w:t>
      </w:r>
      <w:r>
        <w:rPr>
          <w:rFonts w:ascii="Times New Roman" w:hAnsi="Times New Roman" w:eastAsia="Times New Roman" w:cs="Times New Roman"/>
          <w:spacing w:val="23"/>
          <w:sz w:val="20"/>
          <w:szCs w:val="20"/>
        </w:rPr>
        <w:t xml:space="preserve">  </w:t>
      </w:r>
      <w:r>
        <w:rPr>
          <w:rFonts w:ascii="Times New Roman" w:hAnsi="Times New Roman" w:eastAsia="Times New Roman" w:cs="Times New Roman"/>
          <w:sz w:val="20"/>
          <w:szCs w:val="20"/>
        </w:rPr>
        <w:t>state</w:t>
      </w:r>
      <w:r>
        <w:rPr>
          <w:rFonts w:ascii="Times New Roman" w:hAnsi="Times New Roman" w:eastAsia="Times New Roman" w:cs="Times New Roman"/>
          <w:spacing w:val="21"/>
          <w:sz w:val="20"/>
          <w:szCs w:val="20"/>
        </w:rPr>
        <w:t xml:space="preserve">  </w:t>
      </w:r>
      <w:r>
        <w:rPr>
          <w:rFonts w:ascii="Times New Roman" w:hAnsi="Times New Roman" w:eastAsia="Times New Roman" w:cs="Times New Roman"/>
          <w:sz w:val="20"/>
          <w:szCs w:val="20"/>
        </w:rPr>
        <w:t>of  complete   ph</w:t>
      </w:r>
      <w:r>
        <w:rPr>
          <w:rFonts w:ascii="Times New Roman" w:hAnsi="Times New Roman" w:eastAsia="Times New Roman" w:cs="Times New Roman"/>
          <w:spacing w:val="-1"/>
          <w:sz w:val="20"/>
          <w:szCs w:val="20"/>
        </w:rPr>
        <w:t>ysical,mental,spiritual,and   social</w:t>
      </w:r>
      <w:r>
        <w:rPr>
          <w:rFonts w:ascii="Times New Roman" w:hAnsi="Times New Roman" w:eastAsia="Times New Roman" w:cs="Times New Roman"/>
          <w:spacing w:val="18"/>
          <w:sz w:val="20"/>
          <w:szCs w:val="20"/>
        </w:rPr>
        <w:t xml:space="preserve">  </w:t>
      </w:r>
      <w:r>
        <w:rPr>
          <w:rFonts w:ascii="Times New Roman" w:hAnsi="Times New Roman" w:eastAsia="Times New Roman" w:cs="Times New Roman"/>
          <w:spacing w:val="-1"/>
          <w:sz w:val="20"/>
          <w:szCs w:val="20"/>
        </w:rPr>
        <w:t>well-being</w:t>
      </w:r>
      <w:r>
        <w:rPr>
          <w:rFonts w:ascii="Times New Roman" w:hAnsi="Times New Roman" w:eastAsia="Times New Roman" w:cs="Times New Roman"/>
          <w:spacing w:val="21"/>
          <w:w w:val="101"/>
          <w:sz w:val="20"/>
          <w:szCs w:val="20"/>
        </w:rPr>
        <w:t xml:space="preserve">  </w:t>
      </w:r>
      <w:r>
        <w:rPr>
          <w:rFonts w:ascii="Times New Roman" w:hAnsi="Times New Roman" w:eastAsia="Times New Roman" w:cs="Times New Roman"/>
          <w:spacing w:val="-1"/>
          <w:sz w:val="20"/>
          <w:szCs w:val="20"/>
        </w:rPr>
        <w:t>and</w:t>
      </w:r>
      <w:r>
        <w:rPr>
          <w:rFonts w:ascii="Times New Roman" w:hAnsi="Times New Roman" w:eastAsia="Times New Roman" w:cs="Times New Roman"/>
          <w:spacing w:val="18"/>
          <w:sz w:val="20"/>
          <w:szCs w:val="20"/>
        </w:rPr>
        <w:t xml:space="preserve">  </w:t>
      </w:r>
      <w:r>
        <w:rPr>
          <w:rFonts w:ascii="Times New Roman" w:hAnsi="Times New Roman" w:eastAsia="Times New Roman" w:cs="Times New Roman"/>
          <w:spacing w:val="-1"/>
          <w:sz w:val="20"/>
          <w:szCs w:val="20"/>
        </w:rPr>
        <w:t>not</w:t>
      </w:r>
      <w:r>
        <w:rPr>
          <w:rFonts w:ascii="Times New Roman" w:hAnsi="Times New Roman" w:eastAsia="Times New Roman" w:cs="Times New Roman"/>
          <w:sz w:val="20"/>
          <w:szCs w:val="20"/>
        </w:rPr>
        <w:t xml:space="preserve"> merely  the  absence  of  disease</w:t>
      </w:r>
      <w:r>
        <w:rPr>
          <w:rFonts w:ascii="Times New Roman" w:hAnsi="Times New Roman" w:eastAsia="Times New Roman" w:cs="Times New Roman"/>
          <w:spacing w:val="7"/>
          <w:sz w:val="20"/>
          <w:szCs w:val="20"/>
        </w:rPr>
        <w:t xml:space="preserve">  </w:t>
      </w:r>
      <w:r>
        <w:rPr>
          <w:rFonts w:ascii="Times New Roman" w:hAnsi="Times New Roman" w:eastAsia="Times New Roman" w:cs="Times New Roman"/>
          <w:sz w:val="20"/>
          <w:szCs w:val="20"/>
        </w:rPr>
        <w:t>or  infirmity.It</w:t>
      </w:r>
      <w:r>
        <w:rPr>
          <w:rFonts w:ascii="Times New Roman" w:hAnsi="Times New Roman" w:eastAsia="Times New Roman" w:cs="Times New Roman"/>
          <w:spacing w:val="7"/>
          <w:sz w:val="20"/>
          <w:szCs w:val="20"/>
        </w:rPr>
        <w:t xml:space="preserve">  </w:t>
      </w:r>
      <w:r>
        <w:rPr>
          <w:rFonts w:ascii="Times New Roman" w:hAnsi="Times New Roman" w:eastAsia="Times New Roman" w:cs="Times New Roman"/>
          <w:sz w:val="20"/>
          <w:szCs w:val="20"/>
        </w:rPr>
        <w:t>is</w:t>
      </w:r>
      <w:r>
        <w:rPr>
          <w:rFonts w:ascii="Times New Roman" w:hAnsi="Times New Roman" w:eastAsia="Times New Roman" w:cs="Times New Roman"/>
          <w:spacing w:val="7"/>
          <w:sz w:val="20"/>
          <w:szCs w:val="20"/>
        </w:rPr>
        <w:t xml:space="preserve">  </w:t>
      </w:r>
      <w:r>
        <w:rPr>
          <w:rFonts w:ascii="Times New Roman" w:hAnsi="Times New Roman" w:eastAsia="Times New Roman" w:cs="Times New Roman"/>
          <w:sz w:val="20"/>
          <w:szCs w:val="20"/>
        </w:rPr>
        <w:t>also</w:t>
      </w:r>
      <w:r>
        <w:rPr>
          <w:rFonts w:ascii="Times New Roman" w:hAnsi="Times New Roman" w:eastAsia="Times New Roman" w:cs="Times New Roman"/>
          <w:spacing w:val="5"/>
          <w:sz w:val="20"/>
          <w:szCs w:val="20"/>
        </w:rPr>
        <w:t xml:space="preserve">  </w:t>
      </w:r>
      <w:r>
        <w:rPr>
          <w:rFonts w:ascii="Times New Roman" w:hAnsi="Times New Roman" w:eastAsia="Times New Roman" w:cs="Times New Roman"/>
          <w:sz w:val="20"/>
          <w:szCs w:val="20"/>
        </w:rPr>
        <w:t>the</w:t>
      </w:r>
      <w:r>
        <w:rPr>
          <w:rFonts w:ascii="Times New Roman" w:hAnsi="Times New Roman" w:eastAsia="Times New Roman" w:cs="Times New Roman"/>
          <w:spacing w:val="8"/>
          <w:sz w:val="20"/>
          <w:szCs w:val="20"/>
        </w:rPr>
        <w:t xml:space="preserve">  </w:t>
      </w:r>
      <w:r>
        <w:rPr>
          <w:rFonts w:ascii="Times New Roman" w:hAnsi="Times New Roman" w:eastAsia="Times New Roman" w:cs="Times New Roman"/>
          <w:sz w:val="20"/>
          <w:szCs w:val="20"/>
        </w:rPr>
        <w:t>outcome</w:t>
      </w:r>
      <w:r>
        <w:rPr>
          <w:rFonts w:ascii="Times New Roman" w:hAnsi="Times New Roman" w:eastAsia="Times New Roman" w:cs="Times New Roman"/>
          <w:spacing w:val="7"/>
          <w:sz w:val="20"/>
          <w:szCs w:val="20"/>
        </w:rPr>
        <w:t xml:space="preserve">  </w:t>
      </w:r>
      <w:r>
        <w:rPr>
          <w:rFonts w:ascii="Times New Roman" w:hAnsi="Times New Roman" w:eastAsia="Times New Roman" w:cs="Times New Roman"/>
          <w:sz w:val="20"/>
          <w:szCs w:val="20"/>
        </w:rPr>
        <w:t>of  the</w:t>
      </w:r>
      <w:r>
        <w:rPr>
          <w:rFonts w:ascii="Times New Roman" w:hAnsi="Times New Roman" w:eastAsia="Times New Roman" w:cs="Times New Roman"/>
          <w:spacing w:val="8"/>
          <w:sz w:val="20"/>
          <w:szCs w:val="20"/>
        </w:rPr>
        <w:t xml:space="preserve">  </w:t>
      </w:r>
      <w:r>
        <w:rPr>
          <w:rFonts w:ascii="Times New Roman" w:hAnsi="Times New Roman" w:eastAsia="Times New Roman" w:cs="Times New Roman"/>
          <w:sz w:val="20"/>
          <w:szCs w:val="20"/>
        </w:rPr>
        <w:t>combined</w:t>
      </w:r>
      <w:r>
        <w:rPr>
          <w:rFonts w:ascii="Times New Roman" w:hAnsi="Times New Roman" w:eastAsia="Times New Roman" w:cs="Times New Roman"/>
          <w:spacing w:val="7"/>
          <w:sz w:val="20"/>
          <w:szCs w:val="20"/>
        </w:rPr>
        <w:t xml:space="preserve">  </w:t>
      </w:r>
      <w:r>
        <w:rPr>
          <w:rFonts w:ascii="Times New Roman" w:hAnsi="Times New Roman" w:eastAsia="Times New Roman" w:cs="Times New Roman"/>
          <w:sz w:val="20"/>
          <w:szCs w:val="20"/>
        </w:rPr>
        <w:t>effects</w:t>
      </w:r>
      <w:r>
        <w:rPr>
          <w:rFonts w:ascii="Times New Roman" w:hAnsi="Times New Roman" w:eastAsia="Times New Roman" w:cs="Times New Roman"/>
          <w:spacing w:val="7"/>
          <w:sz w:val="20"/>
          <w:szCs w:val="20"/>
        </w:rPr>
        <w:t xml:space="preserve">  </w:t>
      </w:r>
      <w:r>
        <w:rPr>
          <w:rFonts w:ascii="Times New Roman" w:hAnsi="Times New Roman" w:eastAsia="Times New Roman" w:cs="Times New Roman"/>
          <w:sz w:val="20"/>
          <w:szCs w:val="20"/>
        </w:rPr>
        <w:t>o</w:t>
      </w:r>
      <w:r>
        <w:rPr>
          <w:rFonts w:ascii="Times New Roman" w:hAnsi="Times New Roman" w:eastAsia="Times New Roman" w:cs="Times New Roman"/>
          <w:spacing w:val="-1"/>
          <w:sz w:val="20"/>
          <w:szCs w:val="20"/>
        </w:rPr>
        <w:t>f  factors</w:t>
      </w:r>
      <w:r>
        <w:rPr>
          <w:rFonts w:ascii="Times New Roman" w:hAnsi="Times New Roman" w:eastAsia="Times New Roman" w:cs="Times New Roman"/>
          <w:spacing w:val="1"/>
          <w:sz w:val="20"/>
          <w:szCs w:val="20"/>
        </w:rPr>
        <w:t xml:space="preserve"> </w:t>
      </w:r>
      <w:r>
        <w:rPr>
          <w:rFonts w:ascii="Times New Roman" w:hAnsi="Times New Roman" w:eastAsia="Times New Roman" w:cs="Times New Roman"/>
          <w:sz w:val="20"/>
          <w:szCs w:val="20"/>
        </w:rPr>
        <w:t>related</w:t>
      </w:r>
      <w:r>
        <w:rPr>
          <w:rFonts w:ascii="Times New Roman" w:hAnsi="Times New Roman" w:eastAsia="Times New Roman" w:cs="Times New Roman"/>
          <w:spacing w:val="13"/>
          <w:sz w:val="20"/>
          <w:szCs w:val="20"/>
        </w:rPr>
        <w:t xml:space="preserve">   </w:t>
      </w:r>
      <w:r>
        <w:rPr>
          <w:rFonts w:ascii="Times New Roman" w:hAnsi="Times New Roman" w:eastAsia="Times New Roman" w:cs="Times New Roman"/>
          <w:sz w:val="20"/>
          <w:szCs w:val="20"/>
        </w:rPr>
        <w:t>to</w:t>
      </w:r>
      <w:r>
        <w:rPr>
          <w:rFonts w:ascii="Times New Roman" w:hAnsi="Times New Roman" w:eastAsia="Times New Roman" w:cs="Times New Roman"/>
          <w:spacing w:val="13"/>
          <w:w w:val="101"/>
          <w:sz w:val="20"/>
          <w:szCs w:val="20"/>
        </w:rPr>
        <w:t xml:space="preserve">   </w:t>
      </w:r>
      <w:r>
        <w:rPr>
          <w:rFonts w:ascii="Times New Roman" w:hAnsi="Times New Roman" w:eastAsia="Times New Roman" w:cs="Times New Roman"/>
          <w:sz w:val="20"/>
          <w:szCs w:val="20"/>
        </w:rPr>
        <w:t>the</w:t>
      </w:r>
      <w:r>
        <w:rPr>
          <w:rFonts w:ascii="Times New Roman" w:hAnsi="Times New Roman" w:eastAsia="Times New Roman" w:cs="Times New Roman"/>
          <w:spacing w:val="14"/>
          <w:sz w:val="20"/>
          <w:szCs w:val="20"/>
        </w:rPr>
        <w:t xml:space="preserve">   </w:t>
      </w:r>
      <w:r>
        <w:rPr>
          <w:rFonts w:ascii="Times New Roman" w:hAnsi="Times New Roman" w:eastAsia="Times New Roman" w:cs="Times New Roman"/>
          <w:sz w:val="20"/>
          <w:szCs w:val="20"/>
        </w:rPr>
        <w:t>individual,environment,and   public    health    sup</w:t>
      </w:r>
      <w:r>
        <w:rPr>
          <w:rFonts w:ascii="Times New Roman" w:hAnsi="Times New Roman" w:eastAsia="Times New Roman" w:cs="Times New Roman"/>
          <w:spacing w:val="-1"/>
          <w:sz w:val="20"/>
          <w:szCs w:val="20"/>
        </w:rPr>
        <w:t>port    services.Disease    and    disability</w:t>
      </w:r>
      <w:r>
        <w:rPr>
          <w:rFonts w:ascii="Times New Roman" w:hAnsi="Times New Roman" w:eastAsia="Times New Roman" w:cs="Times New Roman"/>
          <w:spacing w:val="1"/>
          <w:sz w:val="20"/>
          <w:szCs w:val="20"/>
        </w:rPr>
        <w:t xml:space="preserve"> </w:t>
      </w:r>
      <w:r>
        <w:rPr>
          <w:rFonts w:ascii="Times New Roman" w:hAnsi="Times New Roman" w:eastAsia="Times New Roman" w:cs="Times New Roman"/>
          <w:sz w:val="20"/>
          <w:szCs w:val="20"/>
        </w:rPr>
        <w:t>prevention  is</w:t>
      </w:r>
      <w:r>
        <w:rPr>
          <w:rFonts w:ascii="Times New Roman" w:hAnsi="Times New Roman" w:eastAsia="Times New Roman" w:cs="Times New Roman"/>
          <w:spacing w:val="47"/>
          <w:sz w:val="20"/>
          <w:szCs w:val="20"/>
        </w:rPr>
        <w:t xml:space="preserve"> </w:t>
      </w:r>
      <w:r>
        <w:rPr>
          <w:rFonts w:ascii="Times New Roman" w:hAnsi="Times New Roman" w:eastAsia="Times New Roman" w:cs="Times New Roman"/>
          <w:sz w:val="20"/>
          <w:szCs w:val="20"/>
        </w:rPr>
        <w:t>the</w:t>
      </w:r>
      <w:r>
        <w:rPr>
          <w:rFonts w:ascii="Times New Roman" w:hAnsi="Times New Roman" w:eastAsia="Times New Roman" w:cs="Times New Roman"/>
          <w:spacing w:val="46"/>
          <w:w w:val="101"/>
          <w:sz w:val="20"/>
          <w:szCs w:val="20"/>
        </w:rPr>
        <w:t xml:space="preserve"> </w:t>
      </w:r>
      <w:r>
        <w:rPr>
          <w:rFonts w:ascii="Times New Roman" w:hAnsi="Times New Roman" w:eastAsia="Times New Roman" w:cs="Times New Roman"/>
          <w:sz w:val="20"/>
          <w:szCs w:val="20"/>
        </w:rPr>
        <w:t>main</w:t>
      </w:r>
      <w:r>
        <w:rPr>
          <w:rFonts w:ascii="Times New Roman" w:hAnsi="Times New Roman" w:eastAsia="Times New Roman" w:cs="Times New Roman"/>
          <w:spacing w:val="44"/>
          <w:w w:val="101"/>
          <w:sz w:val="20"/>
          <w:szCs w:val="20"/>
        </w:rPr>
        <w:t xml:space="preserve"> </w:t>
      </w:r>
      <w:r>
        <w:rPr>
          <w:rFonts w:ascii="Times New Roman" w:hAnsi="Times New Roman" w:eastAsia="Times New Roman" w:cs="Times New Roman"/>
          <w:sz w:val="20"/>
          <w:szCs w:val="20"/>
        </w:rPr>
        <w:t>purpose  of</w:t>
      </w:r>
      <w:r>
        <w:rPr>
          <w:rFonts w:ascii="Times New Roman" w:hAnsi="Times New Roman" w:eastAsia="Times New Roman" w:cs="Times New Roman"/>
          <w:spacing w:val="24"/>
          <w:sz w:val="20"/>
          <w:szCs w:val="20"/>
        </w:rPr>
        <w:t xml:space="preserve"> </w:t>
      </w:r>
      <w:r>
        <w:rPr>
          <w:rFonts w:ascii="Times New Roman" w:hAnsi="Times New Roman" w:eastAsia="Times New Roman" w:cs="Times New Roman"/>
          <w:sz w:val="20"/>
          <w:szCs w:val="20"/>
        </w:rPr>
        <w:t>public</w:t>
      </w:r>
      <w:r>
        <w:rPr>
          <w:rFonts w:ascii="Times New Roman" w:hAnsi="Times New Roman" w:eastAsia="Times New Roman" w:cs="Times New Roman"/>
          <w:spacing w:val="46"/>
          <w:sz w:val="20"/>
          <w:szCs w:val="20"/>
        </w:rPr>
        <w:t xml:space="preserve"> </w:t>
      </w:r>
      <w:r>
        <w:rPr>
          <w:rFonts w:ascii="Times New Roman" w:hAnsi="Times New Roman" w:eastAsia="Times New Roman" w:cs="Times New Roman"/>
          <w:sz w:val="20"/>
          <w:szCs w:val="20"/>
        </w:rPr>
        <w:t>health</w:t>
      </w:r>
      <w:r>
        <w:rPr>
          <w:rFonts w:ascii="Times New Roman" w:hAnsi="Times New Roman" w:eastAsia="Times New Roman" w:cs="Times New Roman"/>
          <w:spacing w:val="46"/>
          <w:sz w:val="20"/>
          <w:szCs w:val="20"/>
        </w:rPr>
        <w:t xml:space="preserve"> </w:t>
      </w:r>
      <w:r>
        <w:rPr>
          <w:rFonts w:ascii="Times New Roman" w:hAnsi="Times New Roman" w:eastAsia="Times New Roman" w:cs="Times New Roman"/>
          <w:sz w:val="20"/>
          <w:szCs w:val="20"/>
        </w:rPr>
        <w:t>when  the  definition  of</w:t>
      </w:r>
      <w:r>
        <w:rPr>
          <w:rFonts w:ascii="Times New Roman" w:hAnsi="Times New Roman" w:eastAsia="Times New Roman" w:cs="Times New Roman"/>
          <w:spacing w:val="26"/>
          <w:sz w:val="20"/>
          <w:szCs w:val="20"/>
        </w:rPr>
        <w:t xml:space="preserve"> </w:t>
      </w:r>
      <w:r>
        <w:rPr>
          <w:rFonts w:ascii="Times New Roman" w:hAnsi="Times New Roman" w:eastAsia="Times New Roman" w:cs="Times New Roman"/>
          <w:sz w:val="20"/>
          <w:szCs w:val="20"/>
        </w:rPr>
        <w:t>health  is  sim</w:t>
      </w:r>
      <w:r>
        <w:rPr>
          <w:rFonts w:ascii="Times New Roman" w:hAnsi="Times New Roman" w:eastAsia="Times New Roman" w:cs="Times New Roman"/>
          <w:spacing w:val="-1"/>
          <w:sz w:val="20"/>
          <w:szCs w:val="20"/>
        </w:rPr>
        <w:t>ply  understood  as</w:t>
      </w:r>
      <w:r>
        <w:rPr>
          <w:rFonts w:ascii="Times New Roman" w:hAnsi="Times New Roman" w:eastAsia="Times New Roman" w:cs="Times New Roman"/>
          <w:sz w:val="20"/>
          <w:szCs w:val="20"/>
        </w:rPr>
        <w:t xml:space="preserve"> lacking</w:t>
      </w:r>
      <w:r>
        <w:rPr>
          <w:rFonts w:ascii="Times New Roman" w:hAnsi="Times New Roman" w:eastAsia="Times New Roman" w:cs="Times New Roman"/>
          <w:spacing w:val="14"/>
          <w:w w:val="101"/>
          <w:sz w:val="20"/>
          <w:szCs w:val="20"/>
        </w:rPr>
        <w:t xml:space="preserve"> </w:t>
      </w:r>
      <w:r>
        <w:rPr>
          <w:rFonts w:ascii="Times New Roman" w:hAnsi="Times New Roman" w:eastAsia="Times New Roman" w:cs="Times New Roman"/>
          <w:sz w:val="20"/>
          <w:szCs w:val="20"/>
        </w:rPr>
        <w:t>biological</w:t>
      </w:r>
      <w:r>
        <w:rPr>
          <w:rFonts w:ascii="Times New Roman" w:hAnsi="Times New Roman" w:eastAsia="Times New Roman" w:cs="Times New Roman"/>
          <w:spacing w:val="21"/>
          <w:sz w:val="20"/>
          <w:szCs w:val="20"/>
        </w:rPr>
        <w:t xml:space="preserve"> </w:t>
      </w:r>
      <w:r>
        <w:rPr>
          <w:rFonts w:ascii="Times New Roman" w:hAnsi="Times New Roman" w:eastAsia="Times New Roman" w:cs="Times New Roman"/>
          <w:sz w:val="20"/>
          <w:szCs w:val="20"/>
        </w:rPr>
        <w:t>disease.The</w:t>
      </w:r>
      <w:r>
        <w:rPr>
          <w:rFonts w:ascii="Times New Roman" w:hAnsi="Times New Roman" w:eastAsia="Times New Roman" w:cs="Times New Roman"/>
          <w:spacing w:val="16"/>
          <w:w w:val="101"/>
          <w:sz w:val="20"/>
          <w:szCs w:val="20"/>
        </w:rPr>
        <w:t xml:space="preserve"> </w:t>
      </w:r>
      <w:r>
        <w:rPr>
          <w:rFonts w:ascii="Times New Roman" w:hAnsi="Times New Roman" w:eastAsia="Times New Roman" w:cs="Times New Roman"/>
          <w:sz w:val="20"/>
          <w:szCs w:val="20"/>
        </w:rPr>
        <w:t>three</w:t>
      </w:r>
      <w:r>
        <w:rPr>
          <w:rFonts w:ascii="Times New Roman" w:hAnsi="Times New Roman" w:eastAsia="Times New Roman" w:cs="Times New Roman"/>
          <w:spacing w:val="20"/>
          <w:sz w:val="20"/>
          <w:szCs w:val="20"/>
        </w:rPr>
        <w:t xml:space="preserve"> </w:t>
      </w:r>
      <w:r>
        <w:rPr>
          <w:rFonts w:ascii="Times New Roman" w:hAnsi="Times New Roman" w:eastAsia="Times New Roman" w:cs="Times New Roman"/>
          <w:sz w:val="20"/>
          <w:szCs w:val="20"/>
        </w:rPr>
        <w:t>l</w:t>
      </w:r>
      <w:r>
        <w:rPr>
          <w:rFonts w:ascii="Times New Roman" w:hAnsi="Times New Roman" w:eastAsia="Times New Roman" w:cs="Times New Roman"/>
          <w:spacing w:val="-1"/>
          <w:sz w:val="20"/>
          <w:szCs w:val="20"/>
        </w:rPr>
        <w:t>evels</w:t>
      </w:r>
      <w:r>
        <w:rPr>
          <w:rFonts w:ascii="Times New Roman" w:hAnsi="Times New Roman" w:eastAsia="Times New Roman" w:cs="Times New Roman"/>
          <w:spacing w:val="21"/>
          <w:w w:val="101"/>
          <w:sz w:val="20"/>
          <w:szCs w:val="20"/>
        </w:rPr>
        <w:t xml:space="preserve"> </w:t>
      </w:r>
      <w:r>
        <w:rPr>
          <w:rFonts w:ascii="Times New Roman" w:hAnsi="Times New Roman" w:eastAsia="Times New Roman" w:cs="Times New Roman"/>
          <w:spacing w:val="-1"/>
          <w:sz w:val="20"/>
          <w:szCs w:val="20"/>
        </w:rPr>
        <w:t>of disease</w:t>
      </w:r>
      <w:r>
        <w:rPr>
          <w:rFonts w:ascii="Times New Roman" w:hAnsi="Times New Roman" w:eastAsia="Times New Roman" w:cs="Times New Roman"/>
          <w:spacing w:val="14"/>
          <w:sz w:val="20"/>
          <w:szCs w:val="20"/>
        </w:rPr>
        <w:t xml:space="preserve"> </w:t>
      </w:r>
      <w:r>
        <w:rPr>
          <w:rFonts w:ascii="Times New Roman" w:hAnsi="Times New Roman" w:eastAsia="Times New Roman" w:cs="Times New Roman"/>
          <w:spacing w:val="-1"/>
          <w:sz w:val="20"/>
          <w:szCs w:val="20"/>
        </w:rPr>
        <w:t>prevention</w:t>
      </w:r>
      <w:r>
        <w:rPr>
          <w:rFonts w:ascii="Times New Roman" w:hAnsi="Times New Roman" w:eastAsia="Times New Roman" w:cs="Times New Roman"/>
          <w:spacing w:val="21"/>
          <w:w w:val="101"/>
          <w:sz w:val="20"/>
          <w:szCs w:val="20"/>
        </w:rPr>
        <w:t xml:space="preserve"> </w:t>
      </w:r>
      <w:r>
        <w:rPr>
          <w:rFonts w:ascii="Times New Roman" w:hAnsi="Times New Roman" w:eastAsia="Times New Roman" w:cs="Times New Roman"/>
          <w:spacing w:val="-1"/>
          <w:sz w:val="20"/>
          <w:szCs w:val="20"/>
        </w:rPr>
        <w:t>are</w:t>
      </w:r>
      <w:r>
        <w:rPr>
          <w:rFonts w:ascii="Times New Roman" w:hAnsi="Times New Roman" w:eastAsia="Times New Roman" w:cs="Times New Roman"/>
          <w:spacing w:val="21"/>
          <w:sz w:val="20"/>
          <w:szCs w:val="20"/>
        </w:rPr>
        <w:t xml:space="preserve"> </w:t>
      </w:r>
      <w:r>
        <w:rPr>
          <w:rFonts w:ascii="Times New Roman" w:hAnsi="Times New Roman" w:eastAsia="Times New Roman" w:cs="Times New Roman"/>
          <w:spacing w:val="-1"/>
          <w:sz w:val="20"/>
          <w:szCs w:val="20"/>
        </w:rPr>
        <w:t>classified</w:t>
      </w:r>
      <w:r>
        <w:rPr>
          <w:rFonts w:ascii="Times New Roman" w:hAnsi="Times New Roman" w:eastAsia="Times New Roman" w:cs="Times New Roman"/>
          <w:spacing w:val="21"/>
          <w:sz w:val="20"/>
          <w:szCs w:val="20"/>
        </w:rPr>
        <w:t xml:space="preserve"> </w:t>
      </w:r>
      <w:r>
        <w:rPr>
          <w:rFonts w:ascii="Times New Roman" w:hAnsi="Times New Roman" w:eastAsia="Times New Roman" w:cs="Times New Roman"/>
          <w:spacing w:val="-1"/>
          <w:sz w:val="20"/>
          <w:szCs w:val="20"/>
        </w:rPr>
        <w:t>according</w:t>
      </w:r>
      <w:r>
        <w:rPr>
          <w:rFonts w:ascii="Times New Roman" w:hAnsi="Times New Roman" w:eastAsia="Times New Roman" w:cs="Times New Roman"/>
          <w:spacing w:val="16"/>
          <w:w w:val="101"/>
          <w:sz w:val="20"/>
          <w:szCs w:val="20"/>
        </w:rPr>
        <w:t xml:space="preserve"> </w:t>
      </w:r>
      <w:r>
        <w:rPr>
          <w:rFonts w:ascii="Times New Roman" w:hAnsi="Times New Roman" w:eastAsia="Times New Roman" w:cs="Times New Roman"/>
          <w:spacing w:val="-1"/>
          <w:sz w:val="20"/>
          <w:szCs w:val="20"/>
        </w:rPr>
        <w:t>to</w:t>
      </w:r>
      <w:r>
        <w:rPr>
          <w:rFonts w:ascii="Times New Roman" w:hAnsi="Times New Roman" w:eastAsia="Times New Roman" w:cs="Times New Roman"/>
          <w:spacing w:val="15"/>
          <w:w w:val="101"/>
          <w:sz w:val="20"/>
          <w:szCs w:val="20"/>
        </w:rPr>
        <w:t xml:space="preserve"> </w:t>
      </w:r>
      <w:r>
        <w:rPr>
          <w:rFonts w:ascii="Times New Roman" w:hAnsi="Times New Roman" w:eastAsia="Times New Roman" w:cs="Times New Roman"/>
          <w:spacing w:val="-1"/>
          <w:sz w:val="20"/>
          <w:szCs w:val="20"/>
        </w:rPr>
        <w:t>which</w:t>
      </w:r>
      <w:r>
        <w:rPr>
          <w:rFonts w:ascii="Times New Roman" w:hAnsi="Times New Roman" w:eastAsia="Times New Roman" w:cs="Times New Roman"/>
          <w:spacing w:val="24"/>
          <w:w w:val="101"/>
          <w:sz w:val="20"/>
          <w:szCs w:val="20"/>
        </w:rPr>
        <w:t xml:space="preserve"> </w:t>
      </w:r>
      <w:r>
        <w:rPr>
          <w:rFonts w:ascii="Times New Roman" w:hAnsi="Times New Roman" w:eastAsia="Times New Roman" w:cs="Times New Roman"/>
          <w:spacing w:val="-1"/>
          <w:sz w:val="20"/>
          <w:szCs w:val="20"/>
        </w:rPr>
        <w:t>stage</w:t>
      </w:r>
      <w:r>
        <w:rPr>
          <w:rFonts w:ascii="Times New Roman" w:hAnsi="Times New Roman" w:eastAsia="Times New Roman" w:cs="Times New Roman"/>
          <w:spacing w:val="21"/>
          <w:sz w:val="20"/>
          <w:szCs w:val="20"/>
        </w:rPr>
        <w:t xml:space="preserve"> </w:t>
      </w:r>
      <w:r>
        <w:rPr>
          <w:rFonts w:ascii="Times New Roman" w:hAnsi="Times New Roman" w:eastAsia="Times New Roman" w:cs="Times New Roman"/>
          <w:spacing w:val="-1"/>
          <w:sz w:val="20"/>
          <w:szCs w:val="20"/>
        </w:rPr>
        <w:t>our</w:t>
      </w:r>
      <w:r>
        <w:rPr>
          <w:rFonts w:ascii="Times New Roman" w:hAnsi="Times New Roman" w:eastAsia="Times New Roman" w:cs="Times New Roman"/>
          <w:sz w:val="20"/>
          <w:szCs w:val="20"/>
        </w:rPr>
        <w:t xml:space="preserve"> preventive</w:t>
      </w:r>
      <w:r>
        <w:rPr>
          <w:rFonts w:ascii="Times New Roman" w:hAnsi="Times New Roman" w:eastAsia="Times New Roman" w:cs="Times New Roman"/>
          <w:spacing w:val="43"/>
          <w:w w:val="101"/>
          <w:sz w:val="20"/>
          <w:szCs w:val="20"/>
        </w:rPr>
        <w:t xml:space="preserve"> </w:t>
      </w:r>
      <w:r>
        <w:rPr>
          <w:rFonts w:ascii="Times New Roman" w:hAnsi="Times New Roman" w:eastAsia="Times New Roman" w:cs="Times New Roman"/>
          <w:sz w:val="20"/>
          <w:szCs w:val="20"/>
        </w:rPr>
        <w:t>action</w:t>
      </w:r>
      <w:r>
        <w:rPr>
          <w:rFonts w:ascii="Times New Roman" w:hAnsi="Times New Roman" w:eastAsia="Times New Roman" w:cs="Times New Roman"/>
          <w:spacing w:val="41"/>
          <w:sz w:val="20"/>
          <w:szCs w:val="20"/>
        </w:rPr>
        <w:t xml:space="preserve"> </w:t>
      </w:r>
      <w:r>
        <w:rPr>
          <w:rFonts w:ascii="Times New Roman" w:hAnsi="Times New Roman" w:eastAsia="Times New Roman" w:cs="Times New Roman"/>
          <w:sz w:val="20"/>
          <w:szCs w:val="20"/>
        </w:rPr>
        <w:t>is</w:t>
      </w:r>
      <w:r>
        <w:rPr>
          <w:rFonts w:ascii="Times New Roman" w:hAnsi="Times New Roman" w:eastAsia="Times New Roman" w:cs="Times New Roman"/>
          <w:spacing w:val="38"/>
          <w:sz w:val="20"/>
          <w:szCs w:val="20"/>
        </w:rPr>
        <w:t xml:space="preserve"> </w:t>
      </w:r>
      <w:r>
        <w:rPr>
          <w:rFonts w:ascii="Times New Roman" w:hAnsi="Times New Roman" w:eastAsia="Times New Roman" w:cs="Times New Roman"/>
          <w:sz w:val="20"/>
          <w:szCs w:val="20"/>
        </w:rPr>
        <w:t>taken</w:t>
      </w:r>
      <w:r>
        <w:rPr>
          <w:rFonts w:ascii="Times New Roman" w:hAnsi="Times New Roman" w:eastAsia="Times New Roman" w:cs="Times New Roman"/>
          <w:spacing w:val="41"/>
          <w:sz w:val="20"/>
          <w:szCs w:val="20"/>
        </w:rPr>
        <w:t xml:space="preserve"> </w:t>
      </w:r>
      <w:r>
        <w:rPr>
          <w:rFonts w:ascii="Times New Roman" w:hAnsi="Times New Roman" w:eastAsia="Times New Roman" w:cs="Times New Roman"/>
          <w:sz w:val="20"/>
          <w:szCs w:val="20"/>
        </w:rPr>
        <w:t>in</w:t>
      </w:r>
      <w:r>
        <w:rPr>
          <w:rFonts w:ascii="Times New Roman" w:hAnsi="Times New Roman" w:eastAsia="Times New Roman" w:cs="Times New Roman"/>
          <w:spacing w:val="37"/>
          <w:w w:val="101"/>
          <w:sz w:val="20"/>
          <w:szCs w:val="20"/>
        </w:rPr>
        <w:t xml:space="preserve"> </w:t>
      </w:r>
      <w:r>
        <w:rPr>
          <w:rFonts w:ascii="Times New Roman" w:hAnsi="Times New Roman" w:eastAsia="Times New Roman" w:cs="Times New Roman"/>
          <w:sz w:val="20"/>
          <w:szCs w:val="20"/>
        </w:rPr>
        <w:t>the</w:t>
      </w:r>
      <w:r>
        <w:rPr>
          <w:rFonts w:ascii="Times New Roman" w:hAnsi="Times New Roman" w:eastAsia="Times New Roman" w:cs="Times New Roman"/>
          <w:spacing w:val="37"/>
          <w:sz w:val="20"/>
          <w:szCs w:val="20"/>
        </w:rPr>
        <w:t xml:space="preserve"> </w:t>
      </w:r>
      <w:r>
        <w:rPr>
          <w:rFonts w:ascii="Times New Roman" w:hAnsi="Times New Roman" w:eastAsia="Times New Roman" w:cs="Times New Roman"/>
          <w:sz w:val="20"/>
          <w:szCs w:val="20"/>
        </w:rPr>
        <w:t>natural</w:t>
      </w:r>
      <w:r>
        <w:rPr>
          <w:rFonts w:ascii="Times New Roman" w:hAnsi="Times New Roman" w:eastAsia="Times New Roman" w:cs="Times New Roman"/>
          <w:spacing w:val="37"/>
          <w:sz w:val="20"/>
          <w:szCs w:val="20"/>
        </w:rPr>
        <w:t xml:space="preserve"> </w:t>
      </w:r>
      <w:r>
        <w:rPr>
          <w:rFonts w:ascii="Times New Roman" w:hAnsi="Times New Roman" w:eastAsia="Times New Roman" w:cs="Times New Roman"/>
          <w:sz w:val="20"/>
          <w:szCs w:val="20"/>
        </w:rPr>
        <w:t>history</w:t>
      </w:r>
      <w:r>
        <w:rPr>
          <w:rFonts w:ascii="Times New Roman" w:hAnsi="Times New Roman" w:eastAsia="Times New Roman" w:cs="Times New Roman"/>
          <w:spacing w:val="42"/>
          <w:sz w:val="20"/>
          <w:szCs w:val="20"/>
        </w:rPr>
        <w:t xml:space="preserve"> </w:t>
      </w:r>
      <w:r>
        <w:rPr>
          <w:rFonts w:ascii="Times New Roman" w:hAnsi="Times New Roman" w:eastAsia="Times New Roman" w:cs="Times New Roman"/>
          <w:sz w:val="20"/>
          <w:szCs w:val="20"/>
        </w:rPr>
        <w:t>of</w:t>
      </w:r>
      <w:r>
        <w:rPr>
          <w:rFonts w:ascii="Times New Roman" w:hAnsi="Times New Roman" w:eastAsia="Times New Roman" w:cs="Times New Roman"/>
          <w:spacing w:val="22"/>
          <w:sz w:val="20"/>
          <w:szCs w:val="20"/>
        </w:rPr>
        <w:t xml:space="preserve"> </w:t>
      </w:r>
      <w:r>
        <w:rPr>
          <w:rFonts w:ascii="Times New Roman" w:hAnsi="Times New Roman" w:eastAsia="Times New Roman" w:cs="Times New Roman"/>
          <w:sz w:val="20"/>
          <w:szCs w:val="20"/>
        </w:rPr>
        <w:t>disease.However,as</w:t>
      </w:r>
      <w:r>
        <w:rPr>
          <w:rFonts w:ascii="Times New Roman" w:hAnsi="Times New Roman" w:eastAsia="Times New Roman" w:cs="Times New Roman"/>
          <w:spacing w:val="37"/>
          <w:w w:val="101"/>
          <w:sz w:val="20"/>
          <w:szCs w:val="20"/>
        </w:rPr>
        <w:t xml:space="preserve"> </w:t>
      </w:r>
      <w:r>
        <w:rPr>
          <w:rFonts w:ascii="Times New Roman" w:hAnsi="Times New Roman" w:eastAsia="Times New Roman" w:cs="Times New Roman"/>
          <w:spacing w:val="-1"/>
          <w:sz w:val="20"/>
          <w:szCs w:val="20"/>
        </w:rPr>
        <w:t>the</w:t>
      </w:r>
      <w:r>
        <w:rPr>
          <w:rFonts w:ascii="Times New Roman" w:hAnsi="Times New Roman" w:eastAsia="Times New Roman" w:cs="Times New Roman"/>
          <w:spacing w:val="42"/>
          <w:sz w:val="20"/>
          <w:szCs w:val="20"/>
        </w:rPr>
        <w:t xml:space="preserve"> </w:t>
      </w:r>
      <w:r>
        <w:rPr>
          <w:rFonts w:ascii="Times New Roman" w:hAnsi="Times New Roman" w:eastAsia="Times New Roman" w:cs="Times New Roman"/>
          <w:spacing w:val="-1"/>
          <w:sz w:val="20"/>
          <w:szCs w:val="20"/>
        </w:rPr>
        <w:t>definition</w:t>
      </w:r>
      <w:r>
        <w:rPr>
          <w:rFonts w:ascii="Times New Roman" w:hAnsi="Times New Roman" w:eastAsia="Times New Roman" w:cs="Times New Roman"/>
          <w:spacing w:val="42"/>
          <w:w w:val="101"/>
          <w:sz w:val="20"/>
          <w:szCs w:val="20"/>
        </w:rPr>
        <w:t xml:space="preserve"> </w:t>
      </w:r>
      <w:r>
        <w:rPr>
          <w:rFonts w:ascii="Times New Roman" w:hAnsi="Times New Roman" w:eastAsia="Times New Roman" w:cs="Times New Roman"/>
          <w:spacing w:val="-1"/>
          <w:sz w:val="20"/>
          <w:szCs w:val="20"/>
        </w:rPr>
        <w:t>of</w:t>
      </w:r>
      <w:r>
        <w:rPr>
          <w:rFonts w:ascii="Times New Roman" w:hAnsi="Times New Roman" w:eastAsia="Times New Roman" w:cs="Times New Roman"/>
          <w:spacing w:val="16"/>
          <w:w w:val="101"/>
          <w:sz w:val="20"/>
          <w:szCs w:val="20"/>
        </w:rPr>
        <w:t xml:space="preserve"> </w:t>
      </w:r>
      <w:r>
        <w:rPr>
          <w:rFonts w:ascii="Times New Roman" w:hAnsi="Times New Roman" w:eastAsia="Times New Roman" w:cs="Times New Roman"/>
          <w:spacing w:val="-1"/>
          <w:sz w:val="20"/>
          <w:szCs w:val="20"/>
        </w:rPr>
        <w:t>what</w:t>
      </w:r>
      <w:r>
        <w:rPr>
          <w:rFonts w:ascii="Times New Roman" w:hAnsi="Times New Roman" w:eastAsia="Times New Roman" w:cs="Times New Roman"/>
          <w:spacing w:val="42"/>
          <w:sz w:val="20"/>
          <w:szCs w:val="20"/>
        </w:rPr>
        <w:t xml:space="preserve"> </w:t>
      </w:r>
      <w:r>
        <w:rPr>
          <w:rFonts w:ascii="Times New Roman" w:hAnsi="Times New Roman" w:eastAsia="Times New Roman" w:cs="Times New Roman"/>
          <w:spacing w:val="-1"/>
          <w:sz w:val="20"/>
          <w:szCs w:val="20"/>
        </w:rPr>
        <w:t>constitutes</w:t>
      </w:r>
      <w:r>
        <w:rPr>
          <w:rFonts w:ascii="Times New Roman" w:hAnsi="Times New Roman" w:eastAsia="Times New Roman" w:cs="Times New Roman"/>
          <w:sz w:val="20"/>
          <w:szCs w:val="20"/>
        </w:rPr>
        <w:t xml:space="preserve"> health</w:t>
      </w:r>
      <w:r>
        <w:rPr>
          <w:rFonts w:ascii="Times New Roman" w:hAnsi="Times New Roman" w:eastAsia="Times New Roman" w:cs="Times New Roman"/>
          <w:spacing w:val="34"/>
          <w:sz w:val="20"/>
          <w:szCs w:val="20"/>
        </w:rPr>
        <w:t xml:space="preserve"> </w:t>
      </w:r>
      <w:r>
        <w:rPr>
          <w:rFonts w:ascii="Times New Roman" w:hAnsi="Times New Roman" w:eastAsia="Times New Roman" w:cs="Times New Roman"/>
          <w:sz w:val="20"/>
          <w:szCs w:val="20"/>
        </w:rPr>
        <w:t>is</w:t>
      </w:r>
      <w:r>
        <w:rPr>
          <w:rFonts w:ascii="Times New Roman" w:hAnsi="Times New Roman" w:eastAsia="Times New Roman" w:cs="Times New Roman"/>
          <w:spacing w:val="36"/>
          <w:sz w:val="20"/>
          <w:szCs w:val="20"/>
        </w:rPr>
        <w:t xml:space="preserve"> </w:t>
      </w:r>
      <w:r>
        <w:rPr>
          <w:rFonts w:ascii="Times New Roman" w:hAnsi="Times New Roman" w:eastAsia="Times New Roman" w:cs="Times New Roman"/>
          <w:sz w:val="20"/>
          <w:szCs w:val="20"/>
        </w:rPr>
        <w:t>expanded,active</w:t>
      </w:r>
      <w:r>
        <w:rPr>
          <w:rFonts w:ascii="Times New Roman" w:hAnsi="Times New Roman" w:eastAsia="Times New Roman" w:cs="Times New Roman"/>
          <w:spacing w:val="29"/>
          <w:w w:val="101"/>
          <w:sz w:val="20"/>
          <w:szCs w:val="20"/>
        </w:rPr>
        <w:t xml:space="preserve"> </w:t>
      </w:r>
      <w:r>
        <w:rPr>
          <w:rFonts w:ascii="Times New Roman" w:hAnsi="Times New Roman" w:eastAsia="Times New Roman" w:cs="Times New Roman"/>
          <w:sz w:val="20"/>
          <w:szCs w:val="20"/>
        </w:rPr>
        <w:t>health</w:t>
      </w:r>
      <w:r>
        <w:rPr>
          <w:rFonts w:ascii="Times New Roman" w:hAnsi="Times New Roman" w:eastAsia="Times New Roman" w:cs="Times New Roman"/>
          <w:spacing w:val="30"/>
          <w:sz w:val="20"/>
          <w:szCs w:val="20"/>
        </w:rPr>
        <w:t xml:space="preserve"> </w:t>
      </w:r>
      <w:r>
        <w:rPr>
          <w:rFonts w:ascii="Times New Roman" w:hAnsi="Times New Roman" w:eastAsia="Times New Roman" w:cs="Times New Roman"/>
          <w:sz w:val="20"/>
          <w:szCs w:val="20"/>
        </w:rPr>
        <w:t>maintenance</w:t>
      </w:r>
      <w:r>
        <w:rPr>
          <w:rFonts w:ascii="Times New Roman" w:hAnsi="Times New Roman" w:eastAsia="Times New Roman" w:cs="Times New Roman"/>
          <w:spacing w:val="35"/>
          <w:w w:val="101"/>
          <w:sz w:val="20"/>
          <w:szCs w:val="20"/>
        </w:rPr>
        <w:t xml:space="preserve"> </w:t>
      </w:r>
      <w:r>
        <w:rPr>
          <w:rFonts w:ascii="Times New Roman" w:hAnsi="Times New Roman" w:eastAsia="Times New Roman" w:cs="Times New Roman"/>
          <w:sz w:val="20"/>
          <w:szCs w:val="20"/>
        </w:rPr>
        <w:t>and</w:t>
      </w:r>
      <w:r>
        <w:rPr>
          <w:rFonts w:ascii="Times New Roman" w:hAnsi="Times New Roman" w:eastAsia="Times New Roman" w:cs="Times New Roman"/>
          <w:spacing w:val="27"/>
          <w:w w:val="101"/>
          <w:sz w:val="20"/>
          <w:szCs w:val="20"/>
        </w:rPr>
        <w:t xml:space="preserve"> </w:t>
      </w:r>
      <w:r>
        <w:rPr>
          <w:rFonts w:ascii="Times New Roman" w:hAnsi="Times New Roman" w:eastAsia="Times New Roman" w:cs="Times New Roman"/>
          <w:sz w:val="20"/>
          <w:szCs w:val="20"/>
        </w:rPr>
        <w:t>promotion</w:t>
      </w:r>
      <w:r>
        <w:rPr>
          <w:rFonts w:ascii="Times New Roman" w:hAnsi="Times New Roman" w:eastAsia="Times New Roman" w:cs="Times New Roman"/>
          <w:spacing w:val="29"/>
          <w:w w:val="101"/>
          <w:sz w:val="20"/>
          <w:szCs w:val="20"/>
        </w:rPr>
        <w:t xml:space="preserve"> </w:t>
      </w:r>
      <w:r>
        <w:rPr>
          <w:rFonts w:ascii="Times New Roman" w:hAnsi="Times New Roman" w:eastAsia="Times New Roman" w:cs="Times New Roman"/>
          <w:sz w:val="20"/>
          <w:szCs w:val="20"/>
        </w:rPr>
        <w:t>have</w:t>
      </w:r>
      <w:r>
        <w:rPr>
          <w:rFonts w:ascii="Times New Roman" w:hAnsi="Times New Roman" w:eastAsia="Times New Roman" w:cs="Times New Roman"/>
          <w:spacing w:val="35"/>
          <w:w w:val="101"/>
          <w:sz w:val="20"/>
          <w:szCs w:val="20"/>
        </w:rPr>
        <w:t xml:space="preserve"> </w:t>
      </w:r>
      <w:r>
        <w:rPr>
          <w:rFonts w:ascii="Times New Roman" w:hAnsi="Times New Roman" w:eastAsia="Times New Roman" w:cs="Times New Roman"/>
          <w:sz w:val="20"/>
          <w:szCs w:val="20"/>
        </w:rPr>
        <w:t>also</w:t>
      </w:r>
      <w:r>
        <w:rPr>
          <w:rFonts w:ascii="Times New Roman" w:hAnsi="Times New Roman" w:eastAsia="Times New Roman" w:cs="Times New Roman"/>
          <w:spacing w:val="28"/>
          <w:sz w:val="20"/>
          <w:szCs w:val="20"/>
        </w:rPr>
        <w:t xml:space="preserve"> </w:t>
      </w:r>
      <w:r>
        <w:rPr>
          <w:rFonts w:ascii="Times New Roman" w:hAnsi="Times New Roman" w:eastAsia="Times New Roman" w:cs="Times New Roman"/>
          <w:sz w:val="20"/>
          <w:szCs w:val="20"/>
        </w:rPr>
        <w:t>become</w:t>
      </w:r>
      <w:r>
        <w:rPr>
          <w:rFonts w:ascii="Times New Roman" w:hAnsi="Times New Roman" w:eastAsia="Times New Roman" w:cs="Times New Roman"/>
          <w:spacing w:val="28"/>
          <w:sz w:val="20"/>
          <w:szCs w:val="20"/>
        </w:rPr>
        <w:t xml:space="preserve"> </w:t>
      </w:r>
      <w:r>
        <w:rPr>
          <w:rFonts w:ascii="Times New Roman" w:hAnsi="Times New Roman" w:eastAsia="Times New Roman" w:cs="Times New Roman"/>
          <w:sz w:val="20"/>
          <w:szCs w:val="20"/>
        </w:rPr>
        <w:t>purp</w:t>
      </w:r>
      <w:r>
        <w:rPr>
          <w:rFonts w:ascii="Times New Roman" w:hAnsi="Times New Roman" w:eastAsia="Times New Roman" w:cs="Times New Roman"/>
          <w:spacing w:val="-1"/>
          <w:sz w:val="20"/>
          <w:szCs w:val="20"/>
        </w:rPr>
        <w:t>oses</w:t>
      </w:r>
      <w:r>
        <w:rPr>
          <w:rFonts w:ascii="Times New Roman" w:hAnsi="Times New Roman" w:eastAsia="Times New Roman" w:cs="Times New Roman"/>
          <w:spacing w:val="35"/>
          <w:sz w:val="20"/>
          <w:szCs w:val="20"/>
        </w:rPr>
        <w:t xml:space="preserve"> </w:t>
      </w:r>
      <w:r>
        <w:rPr>
          <w:rFonts w:ascii="Times New Roman" w:hAnsi="Times New Roman" w:eastAsia="Times New Roman" w:cs="Times New Roman"/>
          <w:spacing w:val="-1"/>
          <w:sz w:val="20"/>
          <w:szCs w:val="20"/>
        </w:rPr>
        <w:t>of public</w:t>
      </w:r>
      <w:r>
        <w:rPr>
          <w:rFonts w:ascii="Times New Roman" w:hAnsi="Times New Roman" w:eastAsia="Times New Roman" w:cs="Times New Roman"/>
          <w:spacing w:val="29"/>
          <w:w w:val="101"/>
          <w:sz w:val="20"/>
          <w:szCs w:val="20"/>
        </w:rPr>
        <w:t xml:space="preserve"> </w:t>
      </w:r>
      <w:r>
        <w:rPr>
          <w:rFonts w:ascii="Times New Roman" w:hAnsi="Times New Roman" w:eastAsia="Times New Roman" w:cs="Times New Roman"/>
          <w:spacing w:val="-1"/>
          <w:sz w:val="20"/>
          <w:szCs w:val="20"/>
        </w:rPr>
        <w:t>health.</w:t>
      </w:r>
      <w:r>
        <w:rPr>
          <w:rFonts w:ascii="Times New Roman" w:hAnsi="Times New Roman" w:eastAsia="Times New Roman" w:cs="Times New Roman"/>
          <w:sz w:val="20"/>
          <w:szCs w:val="20"/>
        </w:rPr>
        <w:t xml:space="preserve"> </w:t>
      </w:r>
      <w:r>
        <w:rPr>
          <w:rFonts w:ascii="Times New Roman" w:hAnsi="Times New Roman" w:eastAsia="Times New Roman" w:cs="Times New Roman"/>
          <w:spacing w:val="-1"/>
          <w:sz w:val="20"/>
          <w:szCs w:val="20"/>
        </w:rPr>
        <w:t>This</w:t>
      </w:r>
      <w:r>
        <w:rPr>
          <w:rFonts w:ascii="Times New Roman" w:hAnsi="Times New Roman" w:eastAsia="Times New Roman" w:cs="Times New Roman"/>
          <w:spacing w:val="61"/>
          <w:sz w:val="20"/>
          <w:szCs w:val="20"/>
        </w:rPr>
        <w:t xml:space="preserve"> </w:t>
      </w:r>
      <w:r>
        <w:rPr>
          <w:rFonts w:ascii="Times New Roman" w:hAnsi="Times New Roman" w:eastAsia="Times New Roman" w:cs="Times New Roman"/>
          <w:spacing w:val="-1"/>
          <w:sz w:val="20"/>
          <w:szCs w:val="20"/>
        </w:rPr>
        <w:t>is</w:t>
      </w:r>
      <w:r>
        <w:rPr>
          <w:rFonts w:ascii="Times New Roman" w:hAnsi="Times New Roman" w:eastAsia="Times New Roman" w:cs="Times New Roman"/>
          <w:spacing w:val="40"/>
          <w:sz w:val="20"/>
          <w:szCs w:val="20"/>
        </w:rPr>
        <w:t xml:space="preserve"> </w:t>
      </w:r>
      <w:r>
        <w:rPr>
          <w:rFonts w:ascii="Times New Roman" w:hAnsi="Times New Roman" w:eastAsia="Times New Roman" w:cs="Times New Roman"/>
          <w:spacing w:val="-1"/>
          <w:sz w:val="20"/>
          <w:szCs w:val="20"/>
        </w:rPr>
        <w:t>most</w:t>
      </w:r>
      <w:r>
        <w:rPr>
          <w:rFonts w:ascii="Times New Roman" w:hAnsi="Times New Roman" w:eastAsia="Times New Roman" w:cs="Times New Roman"/>
          <w:spacing w:val="45"/>
          <w:w w:val="101"/>
          <w:sz w:val="20"/>
          <w:szCs w:val="20"/>
        </w:rPr>
        <w:t xml:space="preserve"> </w:t>
      </w:r>
      <w:r>
        <w:rPr>
          <w:rFonts w:ascii="Times New Roman" w:hAnsi="Times New Roman" w:eastAsia="Times New Roman" w:cs="Times New Roman"/>
          <w:spacing w:val="-1"/>
          <w:sz w:val="20"/>
          <w:szCs w:val="20"/>
        </w:rPr>
        <w:t>effectively</w:t>
      </w:r>
      <w:r>
        <w:rPr>
          <w:rFonts w:ascii="Times New Roman" w:hAnsi="Times New Roman" w:eastAsia="Times New Roman" w:cs="Times New Roman"/>
          <w:spacing w:val="45"/>
          <w:sz w:val="20"/>
          <w:szCs w:val="20"/>
        </w:rPr>
        <w:t xml:space="preserve"> </w:t>
      </w:r>
      <w:r>
        <w:rPr>
          <w:rFonts w:ascii="Times New Roman" w:hAnsi="Times New Roman" w:eastAsia="Times New Roman" w:cs="Times New Roman"/>
          <w:spacing w:val="-1"/>
          <w:sz w:val="20"/>
          <w:szCs w:val="20"/>
        </w:rPr>
        <w:t>carried</w:t>
      </w:r>
      <w:r>
        <w:rPr>
          <w:rFonts w:ascii="Times New Roman" w:hAnsi="Times New Roman" w:eastAsia="Times New Roman" w:cs="Times New Roman"/>
          <w:spacing w:val="44"/>
          <w:w w:val="101"/>
          <w:sz w:val="20"/>
          <w:szCs w:val="20"/>
        </w:rPr>
        <w:t xml:space="preserve"> </w:t>
      </w:r>
      <w:r>
        <w:rPr>
          <w:rFonts w:ascii="Times New Roman" w:hAnsi="Times New Roman" w:eastAsia="Times New Roman" w:cs="Times New Roman"/>
          <w:spacing w:val="-1"/>
          <w:sz w:val="20"/>
          <w:szCs w:val="20"/>
        </w:rPr>
        <w:t>out</w:t>
      </w:r>
      <w:r>
        <w:rPr>
          <w:rFonts w:ascii="Times New Roman" w:hAnsi="Times New Roman" w:eastAsia="Times New Roman" w:cs="Times New Roman"/>
          <w:spacing w:val="38"/>
          <w:sz w:val="20"/>
          <w:szCs w:val="20"/>
        </w:rPr>
        <w:t xml:space="preserve"> </w:t>
      </w:r>
      <w:r>
        <w:rPr>
          <w:rFonts w:ascii="Times New Roman" w:hAnsi="Times New Roman" w:eastAsia="Times New Roman" w:cs="Times New Roman"/>
          <w:spacing w:val="-1"/>
          <w:sz w:val="20"/>
          <w:szCs w:val="20"/>
        </w:rPr>
        <w:t>by</w:t>
      </w:r>
      <w:r>
        <w:rPr>
          <w:rFonts w:ascii="Times New Roman" w:hAnsi="Times New Roman" w:eastAsia="Times New Roman" w:cs="Times New Roman"/>
          <w:spacing w:val="45"/>
          <w:w w:val="101"/>
          <w:sz w:val="20"/>
          <w:szCs w:val="20"/>
        </w:rPr>
        <w:t xml:space="preserve"> </w:t>
      </w:r>
      <w:r>
        <w:rPr>
          <w:rFonts w:ascii="Times New Roman" w:hAnsi="Times New Roman" w:eastAsia="Times New Roman" w:cs="Times New Roman"/>
          <w:spacing w:val="-1"/>
          <w:sz w:val="20"/>
          <w:szCs w:val="20"/>
        </w:rPr>
        <w:t>a</w:t>
      </w:r>
      <w:r>
        <w:rPr>
          <w:rFonts w:ascii="Times New Roman" w:hAnsi="Times New Roman" w:eastAsia="Times New Roman" w:cs="Times New Roman"/>
          <w:spacing w:val="39"/>
          <w:w w:val="101"/>
          <w:sz w:val="20"/>
          <w:szCs w:val="20"/>
        </w:rPr>
        <w:t xml:space="preserve"> </w:t>
      </w:r>
      <w:r>
        <w:rPr>
          <w:rFonts w:ascii="Times New Roman" w:hAnsi="Times New Roman" w:eastAsia="Times New Roman" w:cs="Times New Roman"/>
          <w:spacing w:val="-1"/>
          <w:sz w:val="20"/>
          <w:szCs w:val="20"/>
        </w:rPr>
        <w:t>health</w:t>
      </w:r>
      <w:r>
        <w:rPr>
          <w:rFonts w:ascii="Times New Roman" w:hAnsi="Times New Roman" w:eastAsia="Times New Roman" w:cs="Times New Roman"/>
          <w:spacing w:val="38"/>
          <w:sz w:val="20"/>
          <w:szCs w:val="20"/>
        </w:rPr>
        <w:t xml:space="preserve"> </w:t>
      </w:r>
      <w:r>
        <w:rPr>
          <w:rFonts w:ascii="Times New Roman" w:hAnsi="Times New Roman" w:eastAsia="Times New Roman" w:cs="Times New Roman"/>
          <w:spacing w:val="-1"/>
          <w:sz w:val="20"/>
          <w:szCs w:val="20"/>
        </w:rPr>
        <w:t>promotion</w:t>
      </w:r>
      <w:r>
        <w:rPr>
          <w:rFonts w:ascii="Times New Roman" w:hAnsi="Times New Roman" w:eastAsia="Times New Roman" w:cs="Times New Roman"/>
          <w:spacing w:val="45"/>
          <w:w w:val="101"/>
          <w:sz w:val="20"/>
          <w:szCs w:val="20"/>
        </w:rPr>
        <w:t xml:space="preserve"> </w:t>
      </w:r>
      <w:r>
        <w:rPr>
          <w:rFonts w:ascii="Times New Roman" w:hAnsi="Times New Roman" w:eastAsia="Times New Roman" w:cs="Times New Roman"/>
          <w:spacing w:val="-1"/>
          <w:sz w:val="20"/>
          <w:szCs w:val="20"/>
        </w:rPr>
        <w:t>and</w:t>
      </w:r>
      <w:r>
        <w:rPr>
          <w:rFonts w:ascii="Times New Roman" w:hAnsi="Times New Roman" w:eastAsia="Times New Roman" w:cs="Times New Roman"/>
          <w:spacing w:val="37"/>
          <w:w w:val="101"/>
          <w:sz w:val="20"/>
          <w:szCs w:val="20"/>
        </w:rPr>
        <w:t xml:space="preserve"> </w:t>
      </w:r>
      <w:r>
        <w:rPr>
          <w:rFonts w:ascii="Times New Roman" w:hAnsi="Times New Roman" w:eastAsia="Times New Roman" w:cs="Times New Roman"/>
          <w:spacing w:val="-1"/>
          <w:sz w:val="20"/>
          <w:szCs w:val="20"/>
        </w:rPr>
        <w:t>protective</w:t>
      </w:r>
      <w:r>
        <w:rPr>
          <w:rFonts w:ascii="Times New Roman" w:hAnsi="Times New Roman" w:eastAsia="Times New Roman" w:cs="Times New Roman"/>
          <w:spacing w:val="45"/>
          <w:w w:val="101"/>
          <w:sz w:val="20"/>
          <w:szCs w:val="20"/>
        </w:rPr>
        <w:t xml:space="preserve"> </w:t>
      </w:r>
      <w:r>
        <w:rPr>
          <w:rFonts w:ascii="Times New Roman" w:hAnsi="Times New Roman" w:eastAsia="Times New Roman" w:cs="Times New Roman"/>
          <w:spacing w:val="-1"/>
          <w:sz w:val="20"/>
          <w:szCs w:val="20"/>
        </w:rPr>
        <w:t>approach.Two</w:t>
      </w:r>
      <w:r>
        <w:rPr>
          <w:rFonts w:ascii="Times New Roman" w:hAnsi="Times New Roman" w:eastAsia="Times New Roman" w:cs="Times New Roman"/>
          <w:spacing w:val="45"/>
          <w:w w:val="101"/>
          <w:sz w:val="20"/>
          <w:szCs w:val="20"/>
        </w:rPr>
        <w:t xml:space="preserve"> </w:t>
      </w:r>
      <w:r>
        <w:rPr>
          <w:rFonts w:ascii="Times New Roman" w:hAnsi="Times New Roman" w:eastAsia="Times New Roman" w:cs="Times New Roman"/>
          <w:spacing w:val="-1"/>
          <w:sz w:val="20"/>
          <w:szCs w:val="20"/>
        </w:rPr>
        <w:t>complementary</w:t>
      </w:r>
      <w:r>
        <w:rPr>
          <w:rFonts w:ascii="Times New Roman" w:hAnsi="Times New Roman" w:eastAsia="Times New Roman" w:cs="Times New Roman"/>
          <w:sz w:val="20"/>
          <w:szCs w:val="20"/>
        </w:rPr>
        <w:t xml:space="preserve"> strategies</w:t>
      </w:r>
      <w:r>
        <w:rPr>
          <w:rFonts w:ascii="Times New Roman" w:hAnsi="Times New Roman" w:eastAsia="Times New Roman" w:cs="Times New Roman"/>
          <w:spacing w:val="16"/>
          <w:sz w:val="20"/>
          <w:szCs w:val="20"/>
        </w:rPr>
        <w:t xml:space="preserve">  </w:t>
      </w:r>
      <w:r>
        <w:rPr>
          <w:rFonts w:ascii="Times New Roman" w:hAnsi="Times New Roman" w:eastAsia="Times New Roman" w:cs="Times New Roman"/>
          <w:sz w:val="20"/>
          <w:szCs w:val="20"/>
        </w:rPr>
        <w:t>are</w:t>
      </w:r>
      <w:r>
        <w:rPr>
          <w:rFonts w:ascii="Times New Roman" w:hAnsi="Times New Roman" w:eastAsia="Times New Roman" w:cs="Times New Roman"/>
          <w:spacing w:val="12"/>
          <w:sz w:val="20"/>
          <w:szCs w:val="20"/>
        </w:rPr>
        <w:t xml:space="preserve">  </w:t>
      </w:r>
      <w:r>
        <w:rPr>
          <w:rFonts w:ascii="Times New Roman" w:hAnsi="Times New Roman" w:eastAsia="Times New Roman" w:cs="Times New Roman"/>
          <w:sz w:val="20"/>
          <w:szCs w:val="20"/>
        </w:rPr>
        <w:t>used</w:t>
      </w:r>
      <w:r>
        <w:rPr>
          <w:rFonts w:ascii="Times New Roman" w:hAnsi="Times New Roman" w:eastAsia="Times New Roman" w:cs="Times New Roman"/>
          <w:spacing w:val="13"/>
          <w:sz w:val="20"/>
          <w:szCs w:val="20"/>
        </w:rPr>
        <w:t xml:space="preserve">  </w:t>
      </w:r>
      <w:r>
        <w:rPr>
          <w:rFonts w:ascii="Times New Roman" w:hAnsi="Times New Roman" w:eastAsia="Times New Roman" w:cs="Times New Roman"/>
          <w:sz w:val="20"/>
          <w:szCs w:val="20"/>
        </w:rPr>
        <w:t>when  primary  prevention   is   implemented:high-risk</w:t>
      </w:r>
      <w:r>
        <w:rPr>
          <w:rFonts w:ascii="Times New Roman" w:hAnsi="Times New Roman" w:eastAsia="Times New Roman" w:cs="Times New Roman"/>
          <w:spacing w:val="16"/>
          <w:w w:val="101"/>
          <w:sz w:val="20"/>
          <w:szCs w:val="20"/>
        </w:rPr>
        <w:t xml:space="preserve">  </w:t>
      </w:r>
      <w:r>
        <w:rPr>
          <w:rFonts w:ascii="Times New Roman" w:hAnsi="Times New Roman" w:eastAsia="Times New Roman" w:cs="Times New Roman"/>
          <w:sz w:val="20"/>
          <w:szCs w:val="20"/>
        </w:rPr>
        <w:t>strategy</w:t>
      </w:r>
      <w:r>
        <w:rPr>
          <w:rFonts w:ascii="Times New Roman" w:hAnsi="Times New Roman" w:eastAsia="Times New Roman" w:cs="Times New Roman"/>
          <w:spacing w:val="15"/>
          <w:w w:val="101"/>
          <w:sz w:val="20"/>
          <w:szCs w:val="20"/>
        </w:rPr>
        <w:t xml:space="preserve">  </w:t>
      </w:r>
      <w:r>
        <w:rPr>
          <w:rFonts w:ascii="Times New Roman" w:hAnsi="Times New Roman" w:eastAsia="Times New Roman" w:cs="Times New Roman"/>
          <w:sz w:val="20"/>
          <w:szCs w:val="20"/>
        </w:rPr>
        <w:t>a</w:t>
      </w:r>
      <w:r>
        <w:rPr>
          <w:rFonts w:ascii="Times New Roman" w:hAnsi="Times New Roman" w:eastAsia="Times New Roman" w:cs="Times New Roman"/>
          <w:spacing w:val="-1"/>
          <w:sz w:val="20"/>
          <w:szCs w:val="20"/>
        </w:rPr>
        <w:t>nd  population-based</w:t>
      </w:r>
      <w:r>
        <w:rPr>
          <w:rFonts w:ascii="Times New Roman" w:hAnsi="Times New Roman" w:eastAsia="Times New Roman" w:cs="Times New Roman"/>
          <w:sz w:val="20"/>
          <w:szCs w:val="20"/>
        </w:rPr>
        <w:t xml:space="preserve"> </w:t>
      </w:r>
      <w:r>
        <w:rPr>
          <w:rFonts w:ascii="Times New Roman" w:hAnsi="Times New Roman" w:eastAsia="Times New Roman" w:cs="Times New Roman"/>
          <w:spacing w:val="-2"/>
          <w:sz w:val="20"/>
          <w:szCs w:val="20"/>
        </w:rPr>
        <w:t>strategy.</w:t>
      </w:r>
    </w:p>
    <w:p w14:paraId="69A590CD">
      <w:pPr>
        <w:spacing w:line="378" w:lineRule="auto"/>
        <w:rPr>
          <w:rFonts w:ascii="Arial"/>
          <w:sz w:val="21"/>
        </w:rPr>
      </w:pPr>
    </w:p>
    <w:p w14:paraId="2EE53984">
      <w:pPr>
        <w:spacing w:before="66" w:line="351" w:lineRule="auto"/>
        <w:ind w:left="699" w:firstLine="430"/>
        <w:jc w:val="both"/>
        <w:rPr>
          <w:rFonts w:ascii="宋体" w:hAnsi="宋体" w:eastAsia="宋体" w:cs="宋体"/>
          <w:sz w:val="20"/>
          <w:szCs w:val="20"/>
        </w:rPr>
      </w:pPr>
      <w:r>
        <w:rPr>
          <w:rFonts w:ascii="宋体" w:hAnsi="宋体" w:eastAsia="宋体" w:cs="宋体"/>
          <w:spacing w:val="9"/>
          <w:sz w:val="20"/>
          <w:szCs w:val="20"/>
        </w:rPr>
        <w:t>健康是促进人全面发展的必然要求，是经济社会发展的基础条件，是民族昌盛</w:t>
      </w:r>
      <w:r>
        <w:rPr>
          <w:rFonts w:ascii="宋体" w:hAnsi="宋体" w:eastAsia="宋体" w:cs="宋体"/>
          <w:spacing w:val="8"/>
          <w:sz w:val="20"/>
          <w:szCs w:val="20"/>
        </w:rPr>
        <w:t>和国家富强的</w:t>
      </w:r>
      <w:r>
        <w:rPr>
          <w:rFonts w:ascii="宋体" w:hAnsi="宋体" w:eastAsia="宋体" w:cs="宋体"/>
          <w:sz w:val="20"/>
          <w:szCs w:val="20"/>
        </w:rPr>
        <w:t xml:space="preserve">  </w:t>
      </w:r>
      <w:r>
        <w:rPr>
          <w:rFonts w:ascii="宋体" w:hAnsi="宋体" w:eastAsia="宋体" w:cs="宋体"/>
          <w:spacing w:val="6"/>
          <w:sz w:val="20"/>
          <w:szCs w:val="20"/>
        </w:rPr>
        <w:t>重要标志，也是广大人民群众的共同追求。公共卫生是以保障和促进公众健康为宗旨的公共事业。</w:t>
      </w:r>
      <w:r>
        <w:rPr>
          <w:rFonts w:ascii="宋体" w:hAnsi="宋体" w:eastAsia="宋体" w:cs="宋体"/>
          <w:spacing w:val="10"/>
          <w:sz w:val="20"/>
          <w:szCs w:val="20"/>
        </w:rPr>
        <w:t xml:space="preserve"> </w:t>
      </w:r>
      <w:r>
        <w:rPr>
          <w:rFonts w:ascii="宋体" w:hAnsi="宋体" w:eastAsia="宋体" w:cs="宋体"/>
          <w:spacing w:val="4"/>
          <w:sz w:val="20"/>
          <w:szCs w:val="20"/>
        </w:rPr>
        <w:t xml:space="preserve">通过国家和社会共同努力，预防和控制疾病与伤残，改善与健康相关的自然和社会环境，提供预防  保健与必要的医疗服务，培养公众健康素养，创建人人享有健康的社会。实现公共卫生宗旨的核心  </w:t>
      </w:r>
      <w:r>
        <w:rPr>
          <w:rFonts w:ascii="宋体" w:hAnsi="宋体" w:eastAsia="宋体" w:cs="宋体"/>
          <w:spacing w:val="2"/>
          <w:sz w:val="20"/>
          <w:szCs w:val="20"/>
        </w:rPr>
        <w:t>和基础，是制定和实施有效的促进健康的预防策略及措施。</w:t>
      </w:r>
    </w:p>
    <w:p w14:paraId="30074B19">
      <w:pPr>
        <w:spacing w:line="377" w:lineRule="auto"/>
        <w:rPr>
          <w:rFonts w:ascii="Arial"/>
          <w:sz w:val="21"/>
        </w:rPr>
      </w:pPr>
    </w:p>
    <w:p w14:paraId="5C13532F">
      <w:pPr>
        <w:pStyle w:val="2"/>
        <w:spacing w:before="94" w:line="221" w:lineRule="auto"/>
        <w:ind w:left="2844"/>
        <w:outlineLvl w:val="1"/>
        <w:rPr>
          <w:sz w:val="29"/>
          <w:szCs w:val="29"/>
        </w:rPr>
      </w:pPr>
      <w:bookmarkStart w:id="262" w:name="bookmark165"/>
      <w:bookmarkEnd w:id="262"/>
      <w:r>
        <w:rPr>
          <w:b/>
          <w:bCs/>
          <w:spacing w:val="-8"/>
          <w:sz w:val="29"/>
          <w:szCs w:val="29"/>
        </w:rPr>
        <w:t>第一节</w:t>
      </w:r>
      <w:r>
        <w:rPr>
          <w:spacing w:val="129"/>
          <w:sz w:val="29"/>
          <w:szCs w:val="29"/>
        </w:rPr>
        <w:t xml:space="preserve"> </w:t>
      </w:r>
      <w:r>
        <w:rPr>
          <w:b/>
          <w:bCs/>
          <w:spacing w:val="-8"/>
          <w:sz w:val="29"/>
          <w:szCs w:val="29"/>
        </w:rPr>
        <w:t>健康、影响因素及医学模式</w:t>
      </w:r>
    </w:p>
    <w:p w14:paraId="7048FAF6">
      <w:pPr>
        <w:spacing w:line="414" w:lineRule="auto"/>
        <w:rPr>
          <w:rFonts w:ascii="Arial"/>
          <w:sz w:val="21"/>
        </w:rPr>
      </w:pPr>
    </w:p>
    <w:p w14:paraId="1A213825">
      <w:pPr>
        <w:pStyle w:val="2"/>
        <w:spacing w:before="79" w:line="224" w:lineRule="auto"/>
        <w:ind w:left="1133"/>
        <w:outlineLvl w:val="2"/>
        <w:rPr>
          <w:sz w:val="24"/>
          <w:szCs w:val="24"/>
        </w:rPr>
      </w:pPr>
      <w:bookmarkStart w:id="263" w:name="bookmark166"/>
      <w:bookmarkEnd w:id="263"/>
      <w:r>
        <w:rPr>
          <w:b/>
          <w:bCs/>
          <w:spacing w:val="-7"/>
          <w:sz w:val="24"/>
          <w:szCs w:val="24"/>
        </w:rPr>
        <w:t>一</w:t>
      </w:r>
      <w:r>
        <w:rPr>
          <w:spacing w:val="-41"/>
          <w:sz w:val="24"/>
          <w:szCs w:val="24"/>
        </w:rPr>
        <w:t xml:space="preserve"> </w:t>
      </w:r>
      <w:r>
        <w:rPr>
          <w:b/>
          <w:bCs/>
          <w:spacing w:val="-7"/>
          <w:sz w:val="24"/>
          <w:szCs w:val="24"/>
        </w:rPr>
        <w:t>、健康</w:t>
      </w:r>
    </w:p>
    <w:p w14:paraId="2223D0AC">
      <w:pPr>
        <w:pStyle w:val="2"/>
        <w:spacing w:before="242" w:line="223" w:lineRule="auto"/>
        <w:ind w:left="1130"/>
        <w:rPr>
          <w:sz w:val="24"/>
          <w:szCs w:val="24"/>
        </w:rPr>
      </w:pPr>
      <w:r>
        <w:rPr>
          <w:spacing w:val="-3"/>
          <w:sz w:val="24"/>
          <w:szCs w:val="24"/>
        </w:rPr>
        <w:t>(一)个体健康</w:t>
      </w:r>
    </w:p>
    <w:p w14:paraId="5937A4BB">
      <w:pPr>
        <w:spacing w:before="137" w:line="341" w:lineRule="auto"/>
        <w:ind w:left="699" w:right="91" w:firstLine="430"/>
        <w:rPr>
          <w:rFonts w:ascii="宋体" w:hAnsi="宋体" w:eastAsia="宋体" w:cs="宋体"/>
          <w:sz w:val="20"/>
          <w:szCs w:val="20"/>
        </w:rPr>
      </w:pPr>
      <w:r>
        <w:rPr>
          <w:rFonts w:ascii="宋体" w:hAnsi="宋体" w:eastAsia="宋体" w:cs="宋体"/>
          <w:spacing w:val="-4"/>
          <w:sz w:val="20"/>
          <w:szCs w:val="20"/>
        </w:rPr>
        <w:t>1986年，</w:t>
      </w:r>
      <w:r>
        <w:rPr>
          <w:rFonts w:ascii="Times New Roman" w:hAnsi="Times New Roman" w:eastAsia="Times New Roman" w:cs="Times New Roman"/>
          <w:spacing w:val="-4"/>
          <w:sz w:val="20"/>
          <w:szCs w:val="20"/>
        </w:rPr>
        <w:t xml:space="preserve">WHO </w:t>
      </w:r>
      <w:r>
        <w:rPr>
          <w:rFonts w:ascii="宋体" w:hAnsi="宋体" w:eastAsia="宋体" w:cs="宋体"/>
          <w:spacing w:val="-4"/>
          <w:sz w:val="20"/>
          <w:szCs w:val="20"/>
        </w:rPr>
        <w:t>在其发表的《健康促进渥太华宪章》中，对健康的定义为“要实现身体、心理和社</w:t>
      </w:r>
      <w:r>
        <w:rPr>
          <w:rFonts w:ascii="宋体" w:hAnsi="宋体" w:eastAsia="宋体" w:cs="宋体"/>
          <w:spacing w:val="3"/>
          <w:sz w:val="20"/>
          <w:szCs w:val="20"/>
        </w:rPr>
        <w:t xml:space="preserve"> </w:t>
      </w:r>
      <w:r>
        <w:rPr>
          <w:rFonts w:ascii="宋体" w:hAnsi="宋体" w:eastAsia="宋体" w:cs="宋体"/>
          <w:sz w:val="20"/>
          <w:szCs w:val="20"/>
        </w:rPr>
        <w:t>会幸福的完好状态，人们必须要有能力识别和实现愿望、满足需求</w:t>
      </w:r>
      <w:r>
        <w:rPr>
          <w:rFonts w:ascii="宋体" w:hAnsi="宋体" w:eastAsia="宋体" w:cs="宋体"/>
          <w:spacing w:val="-1"/>
          <w:sz w:val="20"/>
          <w:szCs w:val="20"/>
        </w:rPr>
        <w:t>以及改善或适应环境”。</w:t>
      </w:r>
    </w:p>
    <w:p w14:paraId="2E481F9D">
      <w:pPr>
        <w:pStyle w:val="2"/>
        <w:spacing w:before="1" w:line="220" w:lineRule="auto"/>
        <w:ind w:left="1130"/>
        <w:rPr>
          <w:sz w:val="20"/>
          <w:szCs w:val="20"/>
        </w:rPr>
      </w:pPr>
      <w:r>
        <w:rPr>
          <w:spacing w:val="31"/>
          <w:sz w:val="20"/>
          <w:szCs w:val="20"/>
        </w:rPr>
        <w:t>(二)人群健康</w:t>
      </w:r>
    </w:p>
    <w:p w14:paraId="2DAE1085">
      <w:pPr>
        <w:spacing w:before="152" w:line="341" w:lineRule="auto"/>
        <w:ind w:left="699" w:firstLine="430"/>
        <w:jc w:val="both"/>
        <w:rPr>
          <w:rFonts w:ascii="宋体" w:hAnsi="宋体" w:eastAsia="宋体" w:cs="宋体"/>
          <w:sz w:val="20"/>
          <w:szCs w:val="20"/>
        </w:rPr>
      </w:pPr>
      <w:r>
        <w:rPr>
          <w:rFonts w:ascii="宋体" w:hAnsi="宋体" w:eastAsia="宋体" w:cs="宋体"/>
          <w:spacing w:val="5"/>
          <w:sz w:val="20"/>
          <w:szCs w:val="20"/>
        </w:rPr>
        <w:t>健康不仅是每个个体的特征，也可以作为一个场所、</w:t>
      </w:r>
      <w:r>
        <w:rPr>
          <w:rFonts w:ascii="宋体" w:hAnsi="宋体" w:eastAsia="宋体" w:cs="宋体"/>
          <w:spacing w:val="-53"/>
          <w:sz w:val="20"/>
          <w:szCs w:val="20"/>
        </w:rPr>
        <w:t xml:space="preserve"> </w:t>
      </w:r>
      <w:r>
        <w:rPr>
          <w:rFonts w:ascii="宋体" w:hAnsi="宋体" w:eastAsia="宋体" w:cs="宋体"/>
          <w:spacing w:val="5"/>
          <w:sz w:val="20"/>
          <w:szCs w:val="20"/>
        </w:rPr>
        <w:t>一个地区</w:t>
      </w:r>
      <w:r>
        <w:rPr>
          <w:rFonts w:ascii="宋体" w:hAnsi="宋体" w:eastAsia="宋体" w:cs="宋体"/>
          <w:spacing w:val="4"/>
          <w:sz w:val="20"/>
          <w:szCs w:val="20"/>
        </w:rPr>
        <w:t>或一个国家中整个人群的特征，</w:t>
      </w:r>
      <w:r>
        <w:rPr>
          <w:rFonts w:ascii="宋体" w:hAnsi="宋体" w:eastAsia="宋体" w:cs="宋体"/>
          <w:sz w:val="20"/>
          <w:szCs w:val="20"/>
        </w:rPr>
        <w:t xml:space="preserve"> </w:t>
      </w:r>
      <w:r>
        <w:rPr>
          <w:rFonts w:ascii="宋体" w:hAnsi="宋体" w:eastAsia="宋体" w:cs="宋体"/>
          <w:spacing w:val="5"/>
          <w:sz w:val="20"/>
          <w:szCs w:val="20"/>
        </w:rPr>
        <w:t>即人群健康</w:t>
      </w:r>
      <w:r>
        <w:rPr>
          <w:rFonts w:ascii="Times New Roman" w:hAnsi="Times New Roman" w:eastAsia="Times New Roman" w:cs="Times New Roman"/>
          <w:spacing w:val="5"/>
          <w:sz w:val="20"/>
          <w:szCs w:val="20"/>
        </w:rPr>
        <w:t>(</w:t>
      </w:r>
      <w:r>
        <w:rPr>
          <w:rFonts w:ascii="Times New Roman" w:hAnsi="Times New Roman" w:eastAsia="Times New Roman" w:cs="Times New Roman"/>
          <w:sz w:val="20"/>
          <w:szCs w:val="20"/>
        </w:rPr>
        <w:t>population</w:t>
      </w:r>
      <w:r>
        <w:rPr>
          <w:rFonts w:ascii="Times New Roman" w:hAnsi="Times New Roman" w:eastAsia="Times New Roman" w:cs="Times New Roman"/>
          <w:spacing w:val="5"/>
          <w:sz w:val="20"/>
          <w:szCs w:val="20"/>
        </w:rPr>
        <w:t xml:space="preserve">    </w:t>
      </w:r>
      <w:r>
        <w:rPr>
          <w:rFonts w:ascii="Times New Roman" w:hAnsi="Times New Roman" w:eastAsia="Times New Roman" w:cs="Times New Roman"/>
          <w:sz w:val="20"/>
          <w:szCs w:val="20"/>
        </w:rPr>
        <w:t>health</w:t>
      </w:r>
      <w:r>
        <w:rPr>
          <w:rFonts w:ascii="Times New Roman" w:hAnsi="Times New Roman" w:eastAsia="Times New Roman" w:cs="Times New Roman"/>
          <w:spacing w:val="5"/>
          <w:sz w:val="20"/>
          <w:szCs w:val="20"/>
        </w:rPr>
        <w:t>)</w:t>
      </w:r>
      <w:r>
        <w:rPr>
          <w:rFonts w:ascii="宋体" w:hAnsi="宋体" w:eastAsia="宋体" w:cs="宋体"/>
          <w:spacing w:val="5"/>
          <w:sz w:val="20"/>
          <w:szCs w:val="20"/>
        </w:rPr>
        <w:t>或集体健康</w:t>
      </w:r>
      <w:r>
        <w:rPr>
          <w:rFonts w:ascii="Times New Roman" w:hAnsi="Times New Roman" w:eastAsia="Times New Roman" w:cs="Times New Roman"/>
          <w:spacing w:val="5"/>
          <w:sz w:val="20"/>
          <w:szCs w:val="20"/>
        </w:rPr>
        <w:t>(</w:t>
      </w:r>
      <w:r>
        <w:rPr>
          <w:rFonts w:ascii="Times New Roman" w:hAnsi="Times New Roman" w:eastAsia="Times New Roman" w:cs="Times New Roman"/>
          <w:sz w:val="20"/>
          <w:szCs w:val="20"/>
        </w:rPr>
        <w:t>collective</w:t>
      </w:r>
      <w:r>
        <w:rPr>
          <w:rFonts w:ascii="Times New Roman" w:hAnsi="Times New Roman" w:eastAsia="Times New Roman" w:cs="Times New Roman"/>
          <w:spacing w:val="5"/>
          <w:sz w:val="20"/>
          <w:szCs w:val="20"/>
        </w:rPr>
        <w:t xml:space="preserve">   </w:t>
      </w:r>
      <w:r>
        <w:rPr>
          <w:rFonts w:ascii="Times New Roman" w:hAnsi="Times New Roman" w:eastAsia="Times New Roman" w:cs="Times New Roman"/>
          <w:spacing w:val="4"/>
          <w:sz w:val="20"/>
          <w:szCs w:val="20"/>
        </w:rPr>
        <w:t xml:space="preserve">   </w:t>
      </w:r>
      <w:r>
        <w:rPr>
          <w:rFonts w:ascii="Times New Roman" w:hAnsi="Times New Roman" w:eastAsia="Times New Roman" w:cs="Times New Roman"/>
          <w:sz w:val="20"/>
          <w:szCs w:val="20"/>
        </w:rPr>
        <w:t>health</w:t>
      </w:r>
      <w:r>
        <w:rPr>
          <w:rFonts w:ascii="Times New Roman" w:hAnsi="Times New Roman" w:eastAsia="Times New Roman" w:cs="Times New Roman"/>
          <w:spacing w:val="4"/>
          <w:sz w:val="20"/>
          <w:szCs w:val="20"/>
        </w:rPr>
        <w:t>)</w:t>
      </w:r>
      <w:r>
        <w:rPr>
          <w:rFonts w:ascii="宋体" w:hAnsi="宋体" w:eastAsia="宋体" w:cs="宋体"/>
          <w:spacing w:val="4"/>
          <w:sz w:val="20"/>
          <w:szCs w:val="20"/>
        </w:rPr>
        <w:t>。人群健康特征可以由个体特征直接</w:t>
      </w:r>
      <w:r>
        <w:rPr>
          <w:rFonts w:ascii="宋体" w:hAnsi="宋体" w:eastAsia="宋体" w:cs="宋体"/>
          <w:sz w:val="20"/>
          <w:szCs w:val="20"/>
        </w:rPr>
        <w:t xml:space="preserve">  </w:t>
      </w:r>
      <w:r>
        <w:rPr>
          <w:rFonts w:ascii="宋体" w:hAnsi="宋体" w:eastAsia="宋体" w:cs="宋体"/>
          <w:spacing w:val="2"/>
          <w:sz w:val="20"/>
          <w:szCs w:val="20"/>
        </w:rPr>
        <w:t>衍生而来。另有一些人群特征，虽然源自个体特征，但被看作是一种全新的属性，如群体免疫</w:t>
      </w:r>
      <w:r>
        <w:rPr>
          <w:rFonts w:ascii="Times New Roman" w:hAnsi="Times New Roman" w:eastAsia="Times New Roman" w:cs="Times New Roman"/>
          <w:spacing w:val="2"/>
          <w:sz w:val="20"/>
          <w:szCs w:val="20"/>
        </w:rPr>
        <w:t>(</w:t>
      </w:r>
      <w:r>
        <w:rPr>
          <w:rFonts w:ascii="Times New Roman" w:hAnsi="Times New Roman" w:eastAsia="Times New Roman" w:cs="Times New Roman"/>
          <w:sz w:val="20"/>
          <w:szCs w:val="20"/>
        </w:rPr>
        <w:t>herd</w:t>
      </w:r>
      <w:r>
        <w:rPr>
          <w:rFonts w:ascii="Times New Roman" w:hAnsi="Times New Roman" w:eastAsia="Times New Roman" w:cs="Times New Roman"/>
          <w:spacing w:val="1"/>
          <w:sz w:val="20"/>
          <w:szCs w:val="20"/>
        </w:rPr>
        <w:t xml:space="preserve">    </w:t>
      </w:r>
      <w:r>
        <w:rPr>
          <w:rFonts w:ascii="宋体" w:hAnsi="宋体" w:eastAsia="宋体" w:cs="宋体"/>
          <w:sz w:val="20"/>
          <w:szCs w:val="20"/>
        </w:rPr>
        <w:t>immunity</w:t>
      </w:r>
      <w:r>
        <w:rPr>
          <w:rFonts w:ascii="宋体" w:hAnsi="宋体" w:eastAsia="宋体" w:cs="宋体"/>
          <w:spacing w:val="7"/>
          <w:sz w:val="20"/>
          <w:szCs w:val="20"/>
        </w:rPr>
        <w:t>)。如果一个社区中有足够多的个体具备某种传染病的免疫力，最终会因为易感者的数量</w:t>
      </w:r>
      <w:r>
        <w:rPr>
          <w:rFonts w:ascii="宋体" w:hAnsi="宋体" w:eastAsia="宋体" w:cs="宋体"/>
          <w:spacing w:val="1"/>
          <w:sz w:val="20"/>
          <w:szCs w:val="20"/>
        </w:rPr>
        <w:t xml:space="preserve">  </w:t>
      </w:r>
      <w:r>
        <w:rPr>
          <w:rFonts w:ascii="宋体" w:hAnsi="宋体" w:eastAsia="宋体" w:cs="宋体"/>
          <w:spacing w:val="9"/>
          <w:sz w:val="20"/>
          <w:szCs w:val="20"/>
        </w:rPr>
        <w:t>太少而无法实现该病的持续传播。这个社区中那些没有免疫力的个体也会因为群体免疫水平的人</w:t>
      </w:r>
      <w:r>
        <w:rPr>
          <w:rFonts w:ascii="宋体" w:hAnsi="宋体" w:eastAsia="宋体" w:cs="宋体"/>
          <w:sz w:val="20"/>
          <w:szCs w:val="20"/>
        </w:rPr>
        <w:t xml:space="preserve">  </w:t>
      </w:r>
      <w:r>
        <w:rPr>
          <w:rFonts w:ascii="宋体" w:hAnsi="宋体" w:eastAsia="宋体" w:cs="宋体"/>
          <w:spacing w:val="4"/>
          <w:sz w:val="20"/>
          <w:szCs w:val="20"/>
        </w:rPr>
        <w:t>群特征而具有很低的感染该病的风险，决定个体疾病风险的不是个人的易感状态，而受这个人群群</w:t>
      </w:r>
      <w:r>
        <w:rPr>
          <w:rFonts w:ascii="宋体" w:hAnsi="宋体" w:eastAsia="宋体" w:cs="宋体"/>
          <w:spacing w:val="2"/>
          <w:sz w:val="20"/>
          <w:szCs w:val="20"/>
        </w:rPr>
        <w:t xml:space="preserve">  </w:t>
      </w:r>
      <w:r>
        <w:rPr>
          <w:rFonts w:ascii="宋体" w:hAnsi="宋体" w:eastAsia="宋体" w:cs="宋体"/>
          <w:spacing w:val="8"/>
          <w:sz w:val="20"/>
          <w:szCs w:val="20"/>
        </w:rPr>
        <w:t>体免疫水平特征影响。</w:t>
      </w:r>
    </w:p>
    <w:p w14:paraId="6D35D0B9">
      <w:pPr>
        <w:spacing w:line="341" w:lineRule="auto"/>
        <w:rPr>
          <w:rFonts w:ascii="宋体" w:hAnsi="宋体" w:eastAsia="宋体" w:cs="宋体"/>
          <w:sz w:val="20"/>
          <w:szCs w:val="20"/>
        </w:rPr>
        <w:sectPr>
          <w:footerReference r:id="rId181" w:type="default"/>
          <w:pgSz w:w="11900" w:h="16820"/>
          <w:pgMar w:top="400" w:right="1500" w:bottom="809" w:left="830" w:header="0" w:footer="629" w:gutter="0"/>
          <w:cols w:space="720" w:num="1"/>
        </w:sectPr>
      </w:pPr>
    </w:p>
    <w:p w14:paraId="2CC77495">
      <w:pPr>
        <w:spacing w:line="309" w:lineRule="auto"/>
        <w:rPr>
          <w:rFonts w:ascii="Arial"/>
          <w:sz w:val="21"/>
        </w:rPr>
      </w:pPr>
    </w:p>
    <w:p w14:paraId="2B7E2BBD">
      <w:pPr>
        <w:pStyle w:val="2"/>
        <w:spacing w:before="62" w:line="221" w:lineRule="auto"/>
        <w:ind w:left="7612"/>
        <w:rPr>
          <w:sz w:val="19"/>
          <w:szCs w:val="19"/>
        </w:rPr>
      </w:pPr>
      <w:r>
        <w:rPr>
          <w:b/>
          <w:bCs/>
          <w:spacing w:val="2"/>
          <w:sz w:val="19"/>
          <w:szCs w:val="19"/>
        </w:rPr>
        <w:t>第九章预防策略</w:t>
      </w:r>
    </w:p>
    <w:p w14:paraId="006D5A6C">
      <w:pPr>
        <w:spacing w:line="348" w:lineRule="auto"/>
        <w:rPr>
          <w:rFonts w:ascii="Arial"/>
          <w:sz w:val="21"/>
        </w:rPr>
      </w:pPr>
    </w:p>
    <w:p w14:paraId="54D1BD0A">
      <w:pPr>
        <w:spacing w:line="349" w:lineRule="auto"/>
        <w:rPr>
          <w:rFonts w:ascii="Arial"/>
          <w:sz w:val="21"/>
        </w:rPr>
      </w:pPr>
    </w:p>
    <w:p w14:paraId="101B9D0D">
      <w:pPr>
        <w:pStyle w:val="2"/>
        <w:spacing w:before="84" w:line="222" w:lineRule="auto"/>
        <w:ind w:left="423"/>
        <w:outlineLvl w:val="2"/>
        <w:rPr>
          <w:sz w:val="26"/>
          <w:szCs w:val="26"/>
        </w:rPr>
      </w:pPr>
      <w:bookmarkStart w:id="264" w:name="bookmark167"/>
      <w:bookmarkEnd w:id="264"/>
      <w:r>
        <w:rPr>
          <w:b/>
          <w:bCs/>
          <w:spacing w:val="-2"/>
          <w:sz w:val="26"/>
          <w:szCs w:val="26"/>
        </w:rPr>
        <w:t>二、影响健康的因素</w:t>
      </w:r>
    </w:p>
    <w:p w14:paraId="2094A7F7">
      <w:pPr>
        <w:spacing w:before="257" w:line="350" w:lineRule="auto"/>
        <w:ind w:right="662" w:firstLine="419"/>
        <w:jc w:val="both"/>
        <w:rPr>
          <w:rFonts w:ascii="宋体" w:hAnsi="宋体" w:eastAsia="宋体" w:cs="宋体"/>
          <w:sz w:val="19"/>
          <w:szCs w:val="19"/>
        </w:rPr>
      </w:pPr>
      <w:r>
        <w:rPr>
          <w:rFonts w:ascii="宋体" w:hAnsi="宋体" w:eastAsia="宋体" w:cs="宋体"/>
          <w:spacing w:val="25"/>
          <w:sz w:val="19"/>
          <w:szCs w:val="19"/>
        </w:rPr>
        <w:t>健康是众多因素综合作用的结果。1974年，</w:t>
      </w:r>
      <w:r>
        <w:rPr>
          <w:rFonts w:ascii="宋体" w:hAnsi="宋体" w:eastAsia="宋体" w:cs="宋体"/>
          <w:spacing w:val="24"/>
          <w:sz w:val="19"/>
          <w:szCs w:val="19"/>
        </w:rPr>
        <w:t>加拿大卫生部部长</w:t>
      </w:r>
      <w:r>
        <w:rPr>
          <w:rFonts w:ascii="宋体" w:hAnsi="宋体" w:eastAsia="宋体" w:cs="宋体"/>
          <w:sz w:val="19"/>
          <w:szCs w:val="19"/>
        </w:rPr>
        <w:t>Lalonde</w:t>
      </w:r>
      <w:r>
        <w:rPr>
          <w:rFonts w:ascii="宋体" w:hAnsi="宋体" w:eastAsia="宋体" w:cs="宋体"/>
          <w:spacing w:val="24"/>
          <w:sz w:val="19"/>
          <w:szCs w:val="19"/>
        </w:rPr>
        <w:t xml:space="preserve"> 的报告《从新视角看</w:t>
      </w:r>
      <w:r>
        <w:rPr>
          <w:rFonts w:ascii="宋体" w:hAnsi="宋体" w:eastAsia="宋体" w:cs="宋体"/>
          <w:sz w:val="19"/>
          <w:szCs w:val="19"/>
        </w:rPr>
        <w:t xml:space="preserve"> </w:t>
      </w:r>
      <w:r>
        <w:rPr>
          <w:rFonts w:ascii="宋体" w:hAnsi="宋体" w:eastAsia="宋体" w:cs="宋体"/>
          <w:spacing w:val="19"/>
          <w:sz w:val="19"/>
          <w:szCs w:val="19"/>
        </w:rPr>
        <w:t>加拿大人民的健康》中提出了影响健康的四个领域，即人体生物学、环境、</w:t>
      </w:r>
      <w:r>
        <w:rPr>
          <w:rFonts w:ascii="宋体" w:hAnsi="宋体" w:eastAsia="宋体" w:cs="宋体"/>
          <w:spacing w:val="18"/>
          <w:sz w:val="19"/>
          <w:szCs w:val="19"/>
        </w:rPr>
        <w:t>生活方式和卫生保健体</w:t>
      </w:r>
      <w:r>
        <w:rPr>
          <w:rFonts w:ascii="宋体" w:hAnsi="宋体" w:eastAsia="宋体" w:cs="宋体"/>
          <w:sz w:val="19"/>
          <w:szCs w:val="19"/>
        </w:rPr>
        <w:t xml:space="preserve"> </w:t>
      </w:r>
      <w:r>
        <w:rPr>
          <w:rFonts w:ascii="宋体" w:hAnsi="宋体" w:eastAsia="宋体" w:cs="宋体"/>
          <w:spacing w:val="12"/>
          <w:sz w:val="19"/>
          <w:szCs w:val="19"/>
        </w:rPr>
        <w:t>系。1985年，</w:t>
      </w:r>
      <w:r>
        <w:rPr>
          <w:rFonts w:ascii="Times New Roman" w:hAnsi="Times New Roman" w:eastAsia="Times New Roman" w:cs="Times New Roman"/>
          <w:sz w:val="19"/>
          <w:szCs w:val="19"/>
        </w:rPr>
        <w:t>Hancock</w:t>
      </w:r>
      <w:r>
        <w:rPr>
          <w:rFonts w:ascii="Times New Roman" w:hAnsi="Times New Roman" w:eastAsia="Times New Roman" w:cs="Times New Roman"/>
          <w:spacing w:val="5"/>
          <w:sz w:val="19"/>
          <w:szCs w:val="19"/>
        </w:rPr>
        <w:t xml:space="preserve">   </w:t>
      </w:r>
      <w:r>
        <w:rPr>
          <w:rFonts w:ascii="宋体" w:hAnsi="宋体" w:eastAsia="宋体" w:cs="宋体"/>
          <w:spacing w:val="12"/>
          <w:sz w:val="19"/>
          <w:szCs w:val="19"/>
        </w:rPr>
        <w:t>与</w:t>
      </w:r>
      <w:r>
        <w:rPr>
          <w:rFonts w:ascii="宋体" w:hAnsi="宋体" w:eastAsia="宋体" w:cs="宋体"/>
          <w:spacing w:val="-14"/>
          <w:sz w:val="19"/>
          <w:szCs w:val="19"/>
        </w:rPr>
        <w:t xml:space="preserve"> </w:t>
      </w:r>
      <w:r>
        <w:rPr>
          <w:rFonts w:ascii="Times New Roman" w:hAnsi="Times New Roman" w:eastAsia="Times New Roman" w:cs="Times New Roman"/>
          <w:sz w:val="19"/>
          <w:szCs w:val="19"/>
        </w:rPr>
        <w:t>Perkins</w:t>
      </w:r>
      <w:r>
        <w:rPr>
          <w:rFonts w:ascii="Times New Roman" w:hAnsi="Times New Roman" w:eastAsia="Times New Roman" w:cs="Times New Roman"/>
          <w:spacing w:val="19"/>
          <w:w w:val="101"/>
          <w:sz w:val="19"/>
          <w:szCs w:val="19"/>
        </w:rPr>
        <w:t xml:space="preserve">  </w:t>
      </w:r>
      <w:r>
        <w:rPr>
          <w:rFonts w:ascii="宋体" w:hAnsi="宋体" w:eastAsia="宋体" w:cs="宋体"/>
          <w:spacing w:val="12"/>
          <w:sz w:val="19"/>
          <w:szCs w:val="19"/>
        </w:rPr>
        <w:t>提出了人类生态系统模型</w:t>
      </w:r>
      <w:r>
        <w:rPr>
          <w:rFonts w:ascii="Times New Roman" w:hAnsi="Times New Roman" w:eastAsia="Times New Roman" w:cs="Times New Roman"/>
          <w:spacing w:val="12"/>
          <w:sz w:val="19"/>
          <w:szCs w:val="19"/>
        </w:rPr>
        <w:t>(</w:t>
      </w:r>
      <w:r>
        <w:rPr>
          <w:rFonts w:ascii="Times New Roman" w:hAnsi="Times New Roman" w:eastAsia="Times New Roman" w:cs="Times New Roman"/>
          <w:sz w:val="19"/>
          <w:szCs w:val="19"/>
        </w:rPr>
        <w:t>model</w:t>
      </w:r>
      <w:r>
        <w:rPr>
          <w:rFonts w:ascii="Times New Roman" w:hAnsi="Times New Roman" w:eastAsia="Times New Roman" w:cs="Times New Roman"/>
          <w:spacing w:val="12"/>
          <w:sz w:val="19"/>
          <w:szCs w:val="19"/>
        </w:rPr>
        <w:t xml:space="preserve">  </w:t>
      </w:r>
      <w:r>
        <w:rPr>
          <w:rFonts w:ascii="Times New Roman" w:hAnsi="Times New Roman" w:eastAsia="Times New Roman" w:cs="Times New Roman"/>
          <w:sz w:val="19"/>
          <w:szCs w:val="19"/>
        </w:rPr>
        <w:t>of</w:t>
      </w:r>
      <w:r>
        <w:rPr>
          <w:rFonts w:ascii="Times New Roman" w:hAnsi="Times New Roman" w:eastAsia="Times New Roman" w:cs="Times New Roman"/>
          <w:spacing w:val="12"/>
          <w:sz w:val="19"/>
          <w:szCs w:val="19"/>
        </w:rPr>
        <w:t xml:space="preserve">  </w:t>
      </w:r>
      <w:r>
        <w:rPr>
          <w:rFonts w:ascii="Times New Roman" w:hAnsi="Times New Roman" w:eastAsia="Times New Roman" w:cs="Times New Roman"/>
          <w:sz w:val="19"/>
          <w:szCs w:val="19"/>
        </w:rPr>
        <w:t>the</w:t>
      </w:r>
      <w:r>
        <w:rPr>
          <w:rFonts w:ascii="Times New Roman" w:hAnsi="Times New Roman" w:eastAsia="Times New Roman" w:cs="Times New Roman"/>
          <w:spacing w:val="12"/>
          <w:sz w:val="19"/>
          <w:szCs w:val="19"/>
        </w:rPr>
        <w:t xml:space="preserve">  </w:t>
      </w:r>
      <w:r>
        <w:rPr>
          <w:rFonts w:ascii="Times New Roman" w:hAnsi="Times New Roman" w:eastAsia="Times New Roman" w:cs="Times New Roman"/>
          <w:sz w:val="19"/>
          <w:szCs w:val="19"/>
        </w:rPr>
        <w:t>human</w:t>
      </w:r>
      <w:r>
        <w:rPr>
          <w:rFonts w:ascii="Times New Roman" w:hAnsi="Times New Roman" w:eastAsia="Times New Roman" w:cs="Times New Roman"/>
          <w:spacing w:val="12"/>
          <w:sz w:val="19"/>
          <w:szCs w:val="19"/>
        </w:rPr>
        <w:t xml:space="preserve">  </w:t>
      </w:r>
      <w:r>
        <w:rPr>
          <w:rFonts w:ascii="Times New Roman" w:hAnsi="Times New Roman" w:eastAsia="Times New Roman" w:cs="Times New Roman"/>
          <w:sz w:val="19"/>
          <w:szCs w:val="19"/>
        </w:rPr>
        <w:t>ecosystem</w:t>
      </w:r>
      <w:r>
        <w:rPr>
          <w:rFonts w:ascii="Times New Roman" w:hAnsi="Times New Roman" w:eastAsia="Times New Roman" w:cs="Times New Roman"/>
          <w:spacing w:val="12"/>
          <w:sz w:val="19"/>
          <w:szCs w:val="19"/>
        </w:rPr>
        <w:t>;</w:t>
      </w:r>
      <w:r>
        <w:rPr>
          <w:rFonts w:ascii="Times New Roman" w:hAnsi="Times New Roman" w:eastAsia="Times New Roman" w:cs="Times New Roman"/>
          <w:sz w:val="19"/>
          <w:szCs w:val="19"/>
        </w:rPr>
        <w:t>mandala</w:t>
      </w:r>
      <w:r>
        <w:rPr>
          <w:rFonts w:ascii="Times New Roman" w:hAnsi="Times New Roman" w:eastAsia="Times New Roman" w:cs="Times New Roman"/>
          <w:spacing w:val="12"/>
          <w:sz w:val="19"/>
          <w:szCs w:val="19"/>
        </w:rPr>
        <w:t xml:space="preserve">  </w:t>
      </w:r>
      <w:r>
        <w:rPr>
          <w:rFonts w:ascii="Times New Roman" w:hAnsi="Times New Roman" w:eastAsia="Times New Roman" w:cs="Times New Roman"/>
          <w:sz w:val="19"/>
          <w:szCs w:val="19"/>
        </w:rPr>
        <w:t xml:space="preserve">of </w:t>
      </w:r>
      <w:r>
        <w:rPr>
          <w:rFonts w:ascii="宋体" w:hAnsi="宋体" w:eastAsia="宋体" w:cs="宋体"/>
          <w:sz w:val="19"/>
          <w:szCs w:val="19"/>
        </w:rPr>
        <w:t>health</w:t>
      </w:r>
      <w:r>
        <w:rPr>
          <w:rFonts w:ascii="宋体" w:hAnsi="宋体" w:eastAsia="宋体" w:cs="宋体"/>
          <w:spacing w:val="14"/>
          <w:sz w:val="19"/>
          <w:szCs w:val="19"/>
        </w:rPr>
        <w:t>)。如图9-1所示，模型的中心表示个体健康，包括生理、心理和精神三个层面。影响个体健康</w:t>
      </w:r>
      <w:r>
        <w:rPr>
          <w:rFonts w:ascii="宋体" w:hAnsi="宋体" w:eastAsia="宋体" w:cs="宋体"/>
          <w:spacing w:val="15"/>
          <w:sz w:val="19"/>
          <w:szCs w:val="19"/>
        </w:rPr>
        <w:t xml:space="preserve"> </w:t>
      </w:r>
      <w:r>
        <w:rPr>
          <w:rFonts w:ascii="宋体" w:hAnsi="宋体" w:eastAsia="宋体" w:cs="宋体"/>
          <w:spacing w:val="18"/>
          <w:sz w:val="19"/>
          <w:szCs w:val="19"/>
        </w:rPr>
        <w:t>的因素用三个嵌套的环形表示，即家庭、社区和人造环境、文化和生物圈。在家庭和社区水平，影</w:t>
      </w:r>
      <w:r>
        <w:rPr>
          <w:rFonts w:ascii="宋体" w:hAnsi="宋体" w:eastAsia="宋体" w:cs="宋体"/>
          <w:spacing w:val="13"/>
          <w:sz w:val="19"/>
          <w:szCs w:val="19"/>
        </w:rPr>
        <w:t xml:space="preserve"> </w:t>
      </w:r>
      <w:r>
        <w:rPr>
          <w:rFonts w:ascii="宋体" w:hAnsi="宋体" w:eastAsia="宋体" w:cs="宋体"/>
          <w:spacing w:val="23"/>
          <w:sz w:val="19"/>
          <w:szCs w:val="19"/>
        </w:rPr>
        <w:t>响因素又被分为四组，即个体行为(生活方式)、人体生物学、物质环境</w:t>
      </w:r>
      <w:r>
        <w:rPr>
          <w:rFonts w:ascii="宋体" w:hAnsi="宋体" w:eastAsia="宋体" w:cs="宋体"/>
          <w:spacing w:val="22"/>
          <w:sz w:val="19"/>
          <w:szCs w:val="19"/>
        </w:rPr>
        <w:t>和心理社会经济环境。除</w:t>
      </w:r>
      <w:r>
        <w:rPr>
          <w:rFonts w:ascii="宋体" w:hAnsi="宋体" w:eastAsia="宋体" w:cs="宋体"/>
          <w:sz w:val="19"/>
          <w:szCs w:val="19"/>
        </w:rPr>
        <w:t xml:space="preserve"> </w:t>
      </w:r>
      <w:r>
        <w:rPr>
          <w:rFonts w:ascii="宋体" w:hAnsi="宋体" w:eastAsia="宋体" w:cs="宋体"/>
          <w:spacing w:val="20"/>
          <w:sz w:val="19"/>
          <w:szCs w:val="19"/>
        </w:rPr>
        <w:t>此之外，上述四组因素之间还有三个特别的联系：</w:t>
      </w:r>
      <w:r>
        <w:rPr>
          <w:rFonts w:ascii="宋体" w:hAnsi="宋体" w:eastAsia="宋体" w:cs="宋体"/>
          <w:spacing w:val="79"/>
          <w:sz w:val="19"/>
          <w:szCs w:val="19"/>
        </w:rPr>
        <w:t xml:space="preserve"> </w:t>
      </w:r>
      <w:r>
        <w:rPr>
          <w:rFonts w:ascii="宋体" w:hAnsi="宋体" w:eastAsia="宋体" w:cs="宋体"/>
          <w:spacing w:val="20"/>
          <w:sz w:val="19"/>
          <w:szCs w:val="19"/>
        </w:rPr>
        <w:t>一是以诊</w:t>
      </w:r>
      <w:r>
        <w:rPr>
          <w:rFonts w:ascii="宋体" w:hAnsi="宋体" w:eastAsia="宋体" w:cs="宋体"/>
          <w:spacing w:val="19"/>
          <w:sz w:val="19"/>
          <w:szCs w:val="19"/>
        </w:rPr>
        <w:t>疗疾病为目的的医疗体系，主要关注</w:t>
      </w:r>
      <w:r>
        <w:rPr>
          <w:rFonts w:ascii="宋体" w:hAnsi="宋体" w:eastAsia="宋体" w:cs="宋体"/>
          <w:sz w:val="19"/>
          <w:szCs w:val="19"/>
        </w:rPr>
        <w:t xml:space="preserve"> </w:t>
      </w:r>
      <w:r>
        <w:rPr>
          <w:rFonts w:ascii="宋体" w:hAnsi="宋体" w:eastAsia="宋体" w:cs="宋体"/>
          <w:spacing w:val="24"/>
          <w:sz w:val="19"/>
          <w:szCs w:val="19"/>
        </w:rPr>
        <w:t>人体生物学和个体行为；二是工作场所中的物质环境和心理社会经济</w:t>
      </w:r>
      <w:r>
        <w:rPr>
          <w:rFonts w:ascii="宋体" w:hAnsi="宋体" w:eastAsia="宋体" w:cs="宋体"/>
          <w:spacing w:val="23"/>
          <w:sz w:val="19"/>
          <w:szCs w:val="19"/>
        </w:rPr>
        <w:t>环境对个体健康的影响；三</w:t>
      </w:r>
      <w:r>
        <w:rPr>
          <w:rFonts w:ascii="宋体" w:hAnsi="宋体" w:eastAsia="宋体" w:cs="宋体"/>
          <w:sz w:val="19"/>
          <w:szCs w:val="19"/>
        </w:rPr>
        <w:t xml:space="preserve"> </w:t>
      </w:r>
      <w:r>
        <w:rPr>
          <w:rFonts w:ascii="宋体" w:hAnsi="宋体" w:eastAsia="宋体" w:cs="宋体"/>
          <w:spacing w:val="24"/>
          <w:sz w:val="19"/>
          <w:szCs w:val="19"/>
        </w:rPr>
        <w:t>是生活方式，它是在特定社区和文化背景下个体行为与心理社会经济环</w:t>
      </w:r>
      <w:r>
        <w:rPr>
          <w:rFonts w:ascii="宋体" w:hAnsi="宋体" w:eastAsia="宋体" w:cs="宋体"/>
          <w:spacing w:val="23"/>
          <w:sz w:val="19"/>
          <w:szCs w:val="19"/>
        </w:rPr>
        <w:t>境交互作用的结果。这个</w:t>
      </w:r>
      <w:r>
        <w:rPr>
          <w:rFonts w:ascii="宋体" w:hAnsi="宋体" w:eastAsia="宋体" w:cs="宋体"/>
          <w:sz w:val="19"/>
          <w:szCs w:val="19"/>
        </w:rPr>
        <w:t xml:space="preserve"> </w:t>
      </w:r>
      <w:r>
        <w:rPr>
          <w:rFonts w:ascii="宋体" w:hAnsi="宋体" w:eastAsia="宋体" w:cs="宋体"/>
          <w:spacing w:val="19"/>
          <w:sz w:val="19"/>
          <w:szCs w:val="19"/>
        </w:rPr>
        <w:t>模型是动态的，不同环的形状和大小可根据不同时代、不同社会中不同影响因</w:t>
      </w:r>
      <w:r>
        <w:rPr>
          <w:rFonts w:ascii="宋体" w:hAnsi="宋体" w:eastAsia="宋体" w:cs="宋体"/>
          <w:spacing w:val="18"/>
          <w:sz w:val="19"/>
          <w:szCs w:val="19"/>
        </w:rPr>
        <w:t>素的相对作用大小而</w:t>
      </w:r>
      <w:r>
        <w:rPr>
          <w:rFonts w:ascii="宋体" w:hAnsi="宋体" w:eastAsia="宋体" w:cs="宋体"/>
          <w:sz w:val="19"/>
          <w:szCs w:val="19"/>
        </w:rPr>
        <w:t xml:space="preserve"> </w:t>
      </w:r>
      <w:r>
        <w:rPr>
          <w:rFonts w:ascii="宋体" w:hAnsi="宋体" w:eastAsia="宋体" w:cs="宋体"/>
          <w:spacing w:val="11"/>
          <w:sz w:val="19"/>
          <w:szCs w:val="19"/>
        </w:rPr>
        <w:t>改变</w:t>
      </w:r>
      <w:r>
        <w:rPr>
          <w:rFonts w:ascii="宋体" w:hAnsi="宋体" w:eastAsia="宋体" w:cs="宋体"/>
          <w:spacing w:val="-47"/>
          <w:sz w:val="19"/>
          <w:szCs w:val="19"/>
        </w:rPr>
        <w:t xml:space="preserve"> </w:t>
      </w:r>
      <w:r>
        <w:rPr>
          <w:rFonts w:ascii="宋体" w:hAnsi="宋体" w:eastAsia="宋体" w:cs="宋体"/>
          <w:spacing w:val="11"/>
          <w:sz w:val="19"/>
          <w:szCs w:val="19"/>
        </w:rPr>
        <w:t>。</w:t>
      </w:r>
    </w:p>
    <w:p w14:paraId="5BC69A6A">
      <w:pPr>
        <w:pStyle w:val="2"/>
        <w:spacing w:before="120" w:line="5180" w:lineRule="exact"/>
        <w:ind w:firstLine="1999"/>
      </w:pPr>
      <w:r>
        <w:rPr>
          <w:position w:val="-103"/>
        </w:rPr>
        <w:pict>
          <v:group id="_x0000_s1144" o:spid="_x0000_s1144" o:spt="203" style="height:259pt;width:253pt;" coordsize="5060,5180">
            <o:lock v:ext="edit"/>
            <v:shape id="_x0000_s1145" o:spid="_x0000_s1145" o:spt="75" type="#_x0000_t75" style="position:absolute;left:0;top:0;height:5180;width:5060;" filled="f" stroked="f" coordsize="21600,21600">
              <v:path/>
              <v:fill on="f" focussize="0,0"/>
              <v:stroke on="f"/>
              <v:imagedata r:id="rId620" o:title=""/>
              <o:lock v:ext="edit" aspectratio="t"/>
            </v:shape>
            <v:shape id="_x0000_s1146" o:spid="_x0000_s1146" o:spt="202" type="#_x0000_t202" style="position:absolute;left:730;top:126;height:4962;width:2496;" filled="f" stroked="f" coordsize="21600,21600">
              <v:path/>
              <v:fill on="f" focussize="0,0"/>
              <v:stroke on="f"/>
              <v:imagedata o:title=""/>
              <o:lock v:ext="edit" aspectratio="f"/>
              <v:textbox inset="0mm,0mm,0mm,0mm">
                <w:txbxContent>
                  <w:p w14:paraId="22137F23">
                    <w:pPr>
                      <w:spacing w:before="20" w:line="222" w:lineRule="auto"/>
                      <w:ind w:left="1670"/>
                      <w:rPr>
                        <w:rFonts w:ascii="FangSong" w:hAnsi="FangSong" w:eastAsia="FangSong" w:cs="FangSong"/>
                        <w:sz w:val="19"/>
                        <w:szCs w:val="19"/>
                      </w:rPr>
                    </w:pPr>
                    <w:r>
                      <w:rPr>
                        <w:rFonts w:ascii="FangSong" w:hAnsi="FangSong" w:eastAsia="FangSong" w:cs="FangSong"/>
                        <w:spacing w:val="-4"/>
                        <w:sz w:val="19"/>
                        <w:szCs w:val="19"/>
                      </w:rPr>
                      <w:t>文化</w:t>
                    </w:r>
                  </w:p>
                  <w:p w14:paraId="3E02F980">
                    <w:pPr>
                      <w:spacing w:before="181" w:line="312" w:lineRule="auto"/>
                      <w:ind w:left="1490" w:right="319" w:firstLine="180"/>
                      <w:rPr>
                        <w:rFonts w:ascii="宋体" w:hAnsi="宋体" w:eastAsia="宋体" w:cs="宋体"/>
                        <w:sz w:val="19"/>
                        <w:szCs w:val="19"/>
                      </w:rPr>
                    </w:pPr>
                    <w:r>
                      <w:rPr>
                        <w:rFonts w:ascii="FangSong" w:hAnsi="FangSong" w:eastAsia="FangSong" w:cs="FangSong"/>
                        <w:spacing w:val="-7"/>
                        <w:sz w:val="19"/>
                        <w:szCs w:val="19"/>
                      </w:rPr>
                      <w:t>社区</w:t>
                    </w:r>
                    <w:r>
                      <w:rPr>
                        <w:rFonts w:ascii="FangSong" w:hAnsi="FangSong" w:eastAsia="FangSong" w:cs="FangSong"/>
                        <w:sz w:val="19"/>
                        <w:szCs w:val="19"/>
                      </w:rPr>
                      <w:t xml:space="preserve">  </w:t>
                    </w:r>
                    <w:r>
                      <w:rPr>
                        <w:rFonts w:ascii="宋体" w:hAnsi="宋体" w:eastAsia="宋体" w:cs="宋体"/>
                        <w:spacing w:val="-14"/>
                        <w:w w:val="97"/>
                        <w:sz w:val="19"/>
                        <w:szCs w:val="19"/>
                      </w:rPr>
                      <w:t>生活方式</w:t>
                    </w:r>
                  </w:p>
                  <w:p w14:paraId="55DE299D">
                    <w:pPr>
                      <w:spacing w:line="285" w:lineRule="auto"/>
                      <w:rPr>
                        <w:rFonts w:ascii="Arial"/>
                        <w:sz w:val="21"/>
                      </w:rPr>
                    </w:pPr>
                  </w:p>
                  <w:p w14:paraId="7601615F">
                    <w:pPr>
                      <w:spacing w:before="61" w:line="230" w:lineRule="auto"/>
                      <w:ind w:left="530"/>
                      <w:rPr>
                        <w:rFonts w:ascii="宋体" w:hAnsi="宋体" w:eastAsia="宋体" w:cs="宋体"/>
                        <w:sz w:val="19"/>
                        <w:szCs w:val="19"/>
                      </w:rPr>
                    </w:pPr>
                    <w:r>
                      <w:rPr>
                        <w:rFonts w:ascii="宋体" w:hAnsi="宋体" w:eastAsia="宋体" w:cs="宋体"/>
                        <w:spacing w:val="-11"/>
                        <w:sz w:val="19"/>
                        <w:szCs w:val="19"/>
                      </w:rPr>
                      <w:t>个体行为     家庭</w:t>
                    </w:r>
                  </w:p>
                  <w:p w14:paraId="0FE168B8">
                    <w:pPr>
                      <w:spacing w:before="262" w:line="219" w:lineRule="auto"/>
                      <w:ind w:left="1670"/>
                      <w:rPr>
                        <w:rFonts w:ascii="宋体" w:hAnsi="宋体" w:eastAsia="宋体" w:cs="宋体"/>
                        <w:sz w:val="19"/>
                        <w:szCs w:val="19"/>
                      </w:rPr>
                    </w:pPr>
                    <w:r>
                      <w:rPr>
                        <w:rFonts w:ascii="宋体" w:hAnsi="宋体" w:eastAsia="宋体" w:cs="宋体"/>
                        <w:spacing w:val="-10"/>
                        <w:sz w:val="19"/>
                        <w:szCs w:val="19"/>
                      </w:rPr>
                      <w:t>精神</w:t>
                    </w:r>
                  </w:p>
                  <w:p w14:paraId="16709D7C">
                    <w:pPr>
                      <w:spacing w:before="156" w:line="180" w:lineRule="auto"/>
                      <w:ind w:left="47"/>
                      <w:rPr>
                        <w:rFonts w:ascii="宋体" w:hAnsi="宋体" w:eastAsia="宋体" w:cs="宋体"/>
                        <w:sz w:val="19"/>
                        <w:szCs w:val="19"/>
                      </w:rPr>
                    </w:pPr>
                    <w:r>
                      <w:rPr>
                        <w:rFonts w:ascii="宋体" w:hAnsi="宋体" w:eastAsia="宋体" w:cs="宋体"/>
                        <w:i/>
                        <w:iCs/>
                        <w:spacing w:val="-17"/>
                        <w:w w:val="98"/>
                        <w:sz w:val="19"/>
                        <w:szCs w:val="19"/>
                      </w:rPr>
                      <w:t>医疗</w:t>
                    </w:r>
                  </w:p>
                  <w:p w14:paraId="5F350128">
                    <w:pPr>
                      <w:spacing w:line="229" w:lineRule="auto"/>
                      <w:ind w:left="20"/>
                      <w:rPr>
                        <w:rFonts w:ascii="宋体" w:hAnsi="宋体" w:eastAsia="宋体" w:cs="宋体"/>
                        <w:sz w:val="19"/>
                        <w:szCs w:val="19"/>
                      </w:rPr>
                    </w:pPr>
                    <w:r>
                      <w:rPr>
                        <w:rFonts w:ascii="黑体" w:hAnsi="黑体" w:eastAsia="黑体" w:cs="黑体"/>
                        <w:spacing w:val="-2"/>
                        <w:sz w:val="19"/>
                        <w:szCs w:val="19"/>
                      </w:rPr>
                      <w:t xml:space="preserve">体系         </w:t>
                    </w:r>
                    <w:r>
                      <w:rPr>
                        <w:rFonts w:ascii="宋体" w:hAnsi="宋体" w:eastAsia="宋体" w:cs="宋体"/>
                        <w:spacing w:val="-2"/>
                        <w:sz w:val="19"/>
                        <w:szCs w:val="19"/>
                      </w:rPr>
                      <w:t>生理</w:t>
                    </w:r>
                    <w:r>
                      <w:rPr>
                        <w:rFonts w:ascii="宋体" w:hAnsi="宋体" w:eastAsia="宋体" w:cs="宋体"/>
                        <w:spacing w:val="14"/>
                        <w:sz w:val="19"/>
                        <w:szCs w:val="19"/>
                      </w:rPr>
                      <w:t xml:space="preserve">    </w:t>
                    </w:r>
                    <w:r>
                      <w:rPr>
                        <w:rFonts w:ascii="宋体" w:hAnsi="宋体" w:eastAsia="宋体" w:cs="宋体"/>
                        <w:spacing w:val="-2"/>
                        <w:sz w:val="19"/>
                        <w:szCs w:val="19"/>
                      </w:rPr>
                      <w:t>心</w:t>
                    </w:r>
                    <w:r>
                      <w:rPr>
                        <w:rFonts w:ascii="宋体" w:hAnsi="宋体" w:eastAsia="宋体" w:cs="宋体"/>
                        <w:spacing w:val="-31"/>
                        <w:sz w:val="19"/>
                        <w:szCs w:val="19"/>
                      </w:rPr>
                      <w:t xml:space="preserve"> </w:t>
                    </w:r>
                    <w:r>
                      <w:rPr>
                        <w:rFonts w:ascii="宋体" w:hAnsi="宋体" w:eastAsia="宋体" w:cs="宋体"/>
                        <w:spacing w:val="-2"/>
                        <w:sz w:val="19"/>
                        <w:szCs w:val="19"/>
                      </w:rPr>
                      <w:t>理</w:t>
                    </w:r>
                  </w:p>
                  <w:p w14:paraId="7118AB04">
                    <w:pPr>
                      <w:spacing w:line="306" w:lineRule="auto"/>
                      <w:rPr>
                        <w:rFonts w:ascii="Arial"/>
                        <w:sz w:val="21"/>
                      </w:rPr>
                    </w:pPr>
                  </w:p>
                  <w:p w14:paraId="2373B3A4">
                    <w:pPr>
                      <w:spacing w:before="63" w:line="191" w:lineRule="auto"/>
                      <w:ind w:left="679"/>
                      <w:rPr>
                        <w:rFonts w:ascii="黑体" w:hAnsi="黑体" w:eastAsia="黑体" w:cs="黑体"/>
                        <w:sz w:val="19"/>
                        <w:szCs w:val="19"/>
                      </w:rPr>
                    </w:pPr>
                    <w:r>
                      <w:rPr>
                        <w:rFonts w:ascii="黑体" w:hAnsi="黑体" w:eastAsia="黑体" w:cs="黑体"/>
                        <w:spacing w:val="-3"/>
                        <w:sz w:val="19"/>
                        <w:szCs w:val="19"/>
                      </w:rPr>
                      <w:t>人体</w:t>
                    </w:r>
                  </w:p>
                  <w:p w14:paraId="721640C3">
                    <w:pPr>
                      <w:spacing w:line="220" w:lineRule="auto"/>
                      <w:ind w:left="570"/>
                      <w:rPr>
                        <w:rFonts w:ascii="黑体" w:hAnsi="黑体" w:eastAsia="黑体" w:cs="黑体"/>
                        <w:sz w:val="19"/>
                        <w:szCs w:val="19"/>
                      </w:rPr>
                    </w:pPr>
                    <w:r>
                      <w:rPr>
                        <w:rFonts w:ascii="黑体" w:hAnsi="黑体" w:eastAsia="黑体" w:cs="黑体"/>
                        <w:spacing w:val="-6"/>
                        <w:sz w:val="19"/>
                        <w:szCs w:val="19"/>
                      </w:rPr>
                      <w:t>生物学</w:t>
                    </w:r>
                  </w:p>
                  <w:p w14:paraId="17FB43B3">
                    <w:pPr>
                      <w:spacing w:line="353" w:lineRule="auto"/>
                      <w:rPr>
                        <w:rFonts w:ascii="Arial"/>
                        <w:sz w:val="21"/>
                      </w:rPr>
                    </w:pPr>
                  </w:p>
                  <w:p w14:paraId="10FCCD82">
                    <w:pPr>
                      <w:spacing w:line="353" w:lineRule="auto"/>
                      <w:rPr>
                        <w:rFonts w:ascii="Arial"/>
                        <w:sz w:val="21"/>
                      </w:rPr>
                    </w:pPr>
                  </w:p>
                  <w:p w14:paraId="0D5CD6B0">
                    <w:pPr>
                      <w:spacing w:before="63" w:line="222" w:lineRule="auto"/>
                      <w:ind w:left="1509"/>
                      <w:rPr>
                        <w:rFonts w:ascii="黑体" w:hAnsi="黑体" w:eastAsia="黑体" w:cs="黑体"/>
                        <w:sz w:val="19"/>
                        <w:szCs w:val="19"/>
                      </w:rPr>
                    </w:pPr>
                    <w:r>
                      <w:rPr>
                        <w:rFonts w:ascii="黑体" w:hAnsi="黑体" w:eastAsia="黑体" w:cs="黑体"/>
                        <w:spacing w:val="-12"/>
                        <w:sz w:val="19"/>
                        <w:szCs w:val="19"/>
                      </w:rPr>
                      <w:t>人造环境</w:t>
                    </w:r>
                  </w:p>
                  <w:p w14:paraId="2BCB00D3">
                    <w:pPr>
                      <w:spacing w:before="234" w:line="221" w:lineRule="auto"/>
                      <w:ind w:left="1579"/>
                      <w:rPr>
                        <w:rFonts w:ascii="宋体" w:hAnsi="宋体" w:eastAsia="宋体" w:cs="宋体"/>
                        <w:sz w:val="19"/>
                        <w:szCs w:val="19"/>
                      </w:rPr>
                    </w:pPr>
                    <w:r>
                      <w:rPr>
                        <w:rFonts w:ascii="宋体" w:hAnsi="宋体" w:eastAsia="宋体" w:cs="宋体"/>
                        <w:spacing w:val="-10"/>
                        <w:sz w:val="19"/>
                        <w:szCs w:val="19"/>
                      </w:rPr>
                      <w:t>生物圈</w:t>
                    </w:r>
                  </w:p>
                </w:txbxContent>
              </v:textbox>
            </v:shape>
            <v:shape id="_x0000_s1147" o:spid="_x0000_s1147" o:spt="202" type="#_x0000_t202" style="position:absolute;left:3330;top:1240;height:798;width:412;" filled="f" stroked="f" coordsize="21600,21600">
              <v:path/>
              <v:fill on="f" focussize="0,0"/>
              <v:stroke on="f"/>
              <v:imagedata o:title=""/>
              <o:lock v:ext="edit" aspectratio="f"/>
              <v:textbox inset="0mm,0mm,0mm,0mm">
                <w:txbxContent>
                  <w:p w14:paraId="053CF558">
                    <w:pPr>
                      <w:spacing w:before="20" w:line="185" w:lineRule="auto"/>
                      <w:ind w:left="20" w:right="21"/>
                      <w:rPr>
                        <w:rFonts w:ascii="宋体" w:hAnsi="宋体" w:eastAsia="宋体" w:cs="宋体"/>
                        <w:sz w:val="19"/>
                        <w:szCs w:val="19"/>
                      </w:rPr>
                    </w:pPr>
                    <w:r>
                      <w:rPr>
                        <w:rFonts w:ascii="黑体" w:hAnsi="黑体" w:eastAsia="黑体" w:cs="黑体"/>
                        <w:spacing w:val="-5"/>
                        <w:sz w:val="19"/>
                        <w:szCs w:val="19"/>
                      </w:rPr>
                      <w:t>心理</w:t>
                    </w:r>
                    <w:r>
                      <w:rPr>
                        <w:rFonts w:ascii="黑体" w:hAnsi="黑体" w:eastAsia="黑体" w:cs="黑体"/>
                        <w:sz w:val="19"/>
                        <w:szCs w:val="19"/>
                      </w:rPr>
                      <w:t xml:space="preserve"> </w:t>
                    </w:r>
                    <w:r>
                      <w:rPr>
                        <w:rFonts w:ascii="宋体" w:hAnsi="宋体" w:eastAsia="宋体" w:cs="宋体"/>
                        <w:spacing w:val="-5"/>
                        <w:sz w:val="19"/>
                        <w:szCs w:val="19"/>
                      </w:rPr>
                      <w:t>社会</w:t>
                    </w:r>
                  </w:p>
                  <w:p w14:paraId="1CFF69B5">
                    <w:pPr>
                      <w:spacing w:before="1" w:line="200" w:lineRule="auto"/>
                      <w:ind w:left="20" w:right="20"/>
                      <w:rPr>
                        <w:rFonts w:ascii="宋体" w:hAnsi="宋体" w:eastAsia="宋体" w:cs="宋体"/>
                        <w:sz w:val="19"/>
                        <w:szCs w:val="19"/>
                      </w:rPr>
                    </w:pPr>
                    <w:r>
                      <w:rPr>
                        <w:rFonts w:ascii="黑体" w:hAnsi="黑体" w:eastAsia="黑体" w:cs="黑体"/>
                        <w:spacing w:val="-5"/>
                        <w:sz w:val="19"/>
                        <w:szCs w:val="19"/>
                      </w:rPr>
                      <w:t>经济</w:t>
                    </w:r>
                    <w:r>
                      <w:rPr>
                        <w:rFonts w:ascii="黑体" w:hAnsi="黑体" w:eastAsia="黑体" w:cs="黑体"/>
                        <w:sz w:val="19"/>
                        <w:szCs w:val="19"/>
                      </w:rPr>
                      <w:t xml:space="preserve"> </w:t>
                    </w:r>
                    <w:r>
                      <w:rPr>
                        <w:rFonts w:ascii="宋体" w:hAnsi="宋体" w:eastAsia="宋体" w:cs="宋体"/>
                        <w:spacing w:val="-4"/>
                        <w:sz w:val="19"/>
                        <w:szCs w:val="19"/>
                      </w:rPr>
                      <w:t>环境</w:t>
                    </w:r>
                  </w:p>
                </w:txbxContent>
              </v:textbox>
            </v:shape>
            <v:shape id="_x0000_s1148" o:spid="_x0000_s1148" o:spt="202" type="#_x0000_t202" style="position:absolute;left:3330;top:3248;height:410;width:412;" filled="f" stroked="f" coordsize="21600,21600">
              <v:path/>
              <v:fill on="f" focussize="0,0"/>
              <v:stroke on="f"/>
              <v:imagedata o:title=""/>
              <o:lock v:ext="edit" aspectratio="f"/>
              <v:textbox inset="0mm,0mm,0mm,0mm">
                <w:txbxContent>
                  <w:p w14:paraId="41B1F4B6">
                    <w:pPr>
                      <w:spacing w:before="20" w:line="197" w:lineRule="auto"/>
                      <w:ind w:left="20" w:right="20"/>
                      <w:rPr>
                        <w:rFonts w:ascii="宋体" w:hAnsi="宋体" w:eastAsia="宋体" w:cs="宋体"/>
                        <w:sz w:val="19"/>
                        <w:szCs w:val="19"/>
                      </w:rPr>
                    </w:pPr>
                    <w:r>
                      <w:rPr>
                        <w:rFonts w:ascii="宋体" w:hAnsi="宋体" w:eastAsia="宋体" w:cs="宋体"/>
                        <w:spacing w:val="-4"/>
                        <w:sz w:val="19"/>
                        <w:szCs w:val="19"/>
                      </w:rPr>
                      <w:t>物质</w:t>
                    </w:r>
                    <w:r>
                      <w:rPr>
                        <w:rFonts w:ascii="宋体" w:hAnsi="宋体" w:eastAsia="宋体" w:cs="宋体"/>
                        <w:sz w:val="19"/>
                        <w:szCs w:val="19"/>
                      </w:rPr>
                      <w:t xml:space="preserve"> </w:t>
                    </w:r>
                    <w:r>
                      <w:rPr>
                        <w:rFonts w:ascii="宋体" w:hAnsi="宋体" w:eastAsia="宋体" w:cs="宋体"/>
                        <w:spacing w:val="-4"/>
                        <w:sz w:val="19"/>
                        <w:szCs w:val="19"/>
                      </w:rPr>
                      <w:t>环境</w:t>
                    </w:r>
                  </w:p>
                </w:txbxContent>
              </v:textbox>
            </v:shape>
            <v:shape id="_x0000_s1149" o:spid="_x0000_s1149" o:spt="202" type="#_x0000_t202" style="position:absolute;left:4010;top:2513;height:235;width:402;" filled="f" stroked="f" coordsize="21600,21600">
              <v:path/>
              <v:fill on="f" focussize="0,0"/>
              <v:stroke on="f"/>
              <v:imagedata o:title=""/>
              <o:lock v:ext="edit" aspectratio="f"/>
              <v:textbox inset="0mm,0mm,0mm,0mm">
                <w:txbxContent>
                  <w:p w14:paraId="7D8D48E4">
                    <w:pPr>
                      <w:spacing w:before="20" w:line="220" w:lineRule="auto"/>
                      <w:ind w:left="20"/>
                      <w:rPr>
                        <w:rFonts w:ascii="FangSong" w:hAnsi="FangSong" w:eastAsia="FangSong" w:cs="FangSong"/>
                        <w:sz w:val="19"/>
                        <w:szCs w:val="19"/>
                      </w:rPr>
                    </w:pPr>
                    <w:r>
                      <w:rPr>
                        <w:rFonts w:ascii="FangSong" w:hAnsi="FangSong" w:eastAsia="FangSong" w:cs="FangSong"/>
                        <w:spacing w:val="-5"/>
                        <w:sz w:val="19"/>
                        <w:szCs w:val="19"/>
                      </w:rPr>
                      <w:t>工作</w:t>
                    </w:r>
                  </w:p>
                </w:txbxContent>
              </v:textbox>
            </v:shape>
            <w10:wrap type="none"/>
            <w10:anchorlock/>
          </v:group>
        </w:pict>
      </w:r>
    </w:p>
    <w:p w14:paraId="09F6AF67">
      <w:pPr>
        <w:pStyle w:val="2"/>
        <w:spacing w:before="133" w:line="221" w:lineRule="auto"/>
        <w:ind w:left="3472"/>
        <w:rPr>
          <w:sz w:val="19"/>
          <w:szCs w:val="19"/>
        </w:rPr>
      </w:pPr>
      <w:r>
        <w:rPr>
          <w:b/>
          <w:bCs/>
          <w:sz w:val="19"/>
          <w:szCs w:val="19"/>
        </w:rPr>
        <w:t>图9-1</w:t>
      </w:r>
      <w:r>
        <w:rPr>
          <w:spacing w:val="76"/>
          <w:sz w:val="19"/>
          <w:szCs w:val="19"/>
        </w:rPr>
        <w:t xml:space="preserve"> </w:t>
      </w:r>
      <w:r>
        <w:rPr>
          <w:b/>
          <w:bCs/>
          <w:sz w:val="19"/>
          <w:szCs w:val="19"/>
        </w:rPr>
        <w:t>人类生态系统模型</w:t>
      </w:r>
    </w:p>
    <w:p w14:paraId="6B5D4E5A">
      <w:pPr>
        <w:spacing w:before="56" w:line="212" w:lineRule="auto"/>
        <w:ind w:left="3459"/>
        <w:rPr>
          <w:rFonts w:ascii="Times New Roman" w:hAnsi="Times New Roman" w:eastAsia="Times New Roman" w:cs="Times New Roman"/>
          <w:sz w:val="19"/>
          <w:szCs w:val="19"/>
        </w:rPr>
      </w:pPr>
      <w:r>
        <w:rPr>
          <w:rFonts w:ascii="Times New Roman" w:hAnsi="Times New Roman" w:eastAsia="Times New Roman" w:cs="Times New Roman"/>
          <w:spacing w:val="-1"/>
          <w:sz w:val="19"/>
          <w:szCs w:val="19"/>
        </w:rPr>
        <w:t xml:space="preserve">(Hancock </w:t>
      </w:r>
      <w:r>
        <w:rPr>
          <w:rFonts w:ascii="宋体" w:hAnsi="宋体" w:eastAsia="宋体" w:cs="宋体"/>
          <w:spacing w:val="-1"/>
          <w:sz w:val="19"/>
          <w:szCs w:val="19"/>
        </w:rPr>
        <w:t>和</w:t>
      </w:r>
      <w:r>
        <w:rPr>
          <w:rFonts w:ascii="宋体" w:hAnsi="宋体" w:eastAsia="宋体" w:cs="宋体"/>
          <w:spacing w:val="-43"/>
          <w:sz w:val="19"/>
          <w:szCs w:val="19"/>
        </w:rPr>
        <w:t xml:space="preserve"> </w:t>
      </w:r>
      <w:r>
        <w:rPr>
          <w:rFonts w:ascii="Times New Roman" w:hAnsi="Times New Roman" w:eastAsia="Times New Roman" w:cs="Times New Roman"/>
          <w:spacing w:val="-1"/>
          <w:sz w:val="19"/>
          <w:szCs w:val="19"/>
        </w:rPr>
        <w:t>Perkins,1985)</w:t>
      </w:r>
    </w:p>
    <w:p w14:paraId="1E55A003">
      <w:pPr>
        <w:spacing w:line="299" w:lineRule="auto"/>
        <w:rPr>
          <w:rFonts w:ascii="Arial"/>
          <w:sz w:val="21"/>
        </w:rPr>
      </w:pPr>
    </w:p>
    <w:p w14:paraId="1F6FEE27">
      <w:pPr>
        <w:spacing w:before="62" w:line="358" w:lineRule="auto"/>
        <w:ind w:right="567" w:firstLine="419"/>
        <w:jc w:val="both"/>
        <w:rPr>
          <w:rFonts w:ascii="宋体" w:hAnsi="宋体" w:eastAsia="宋体" w:cs="宋体"/>
          <w:sz w:val="19"/>
          <w:szCs w:val="19"/>
        </w:rPr>
      </w:pPr>
      <w:r>
        <w:rPr>
          <w:rFonts w:ascii="宋体" w:hAnsi="宋体" w:eastAsia="宋体" w:cs="宋体"/>
          <w:spacing w:val="8"/>
          <w:sz w:val="19"/>
          <w:szCs w:val="19"/>
        </w:rPr>
        <w:t>近</w:t>
      </w:r>
      <w:r>
        <w:rPr>
          <w:rFonts w:ascii="宋体" w:hAnsi="宋体" w:eastAsia="宋体" w:cs="宋体"/>
          <w:spacing w:val="-35"/>
          <w:sz w:val="19"/>
          <w:szCs w:val="19"/>
        </w:rPr>
        <w:t xml:space="preserve"> </w:t>
      </w:r>
      <w:r>
        <w:rPr>
          <w:rFonts w:ascii="宋体" w:hAnsi="宋体" w:eastAsia="宋体" w:cs="宋体"/>
          <w:spacing w:val="8"/>
          <w:sz w:val="19"/>
          <w:szCs w:val="19"/>
        </w:rPr>
        <w:t>年</w:t>
      </w:r>
      <w:r>
        <w:rPr>
          <w:rFonts w:ascii="宋体" w:hAnsi="宋体" w:eastAsia="宋体" w:cs="宋体"/>
          <w:spacing w:val="-36"/>
          <w:sz w:val="19"/>
          <w:szCs w:val="19"/>
        </w:rPr>
        <w:t xml:space="preserve"> </w:t>
      </w:r>
      <w:r>
        <w:rPr>
          <w:rFonts w:ascii="宋体" w:hAnsi="宋体" w:eastAsia="宋体" w:cs="宋体"/>
          <w:spacing w:val="8"/>
          <w:sz w:val="19"/>
          <w:szCs w:val="19"/>
        </w:rPr>
        <w:t>来</w:t>
      </w:r>
      <w:r>
        <w:rPr>
          <w:rFonts w:ascii="宋体" w:hAnsi="宋体" w:eastAsia="宋体" w:cs="宋体"/>
          <w:spacing w:val="-43"/>
          <w:sz w:val="19"/>
          <w:szCs w:val="19"/>
        </w:rPr>
        <w:t xml:space="preserve"> </w:t>
      </w:r>
      <w:r>
        <w:rPr>
          <w:rFonts w:ascii="宋体" w:hAnsi="宋体" w:eastAsia="宋体" w:cs="宋体"/>
          <w:spacing w:val="8"/>
          <w:sz w:val="19"/>
          <w:szCs w:val="19"/>
        </w:rPr>
        <w:t>，</w:t>
      </w:r>
      <w:r>
        <w:rPr>
          <w:rFonts w:ascii="Times New Roman" w:hAnsi="Times New Roman" w:eastAsia="Times New Roman" w:cs="Times New Roman"/>
          <w:sz w:val="19"/>
          <w:szCs w:val="19"/>
        </w:rPr>
        <w:t>WHO</w:t>
      </w:r>
      <w:r>
        <w:rPr>
          <w:rFonts w:ascii="Times New Roman" w:hAnsi="Times New Roman" w:eastAsia="Times New Roman" w:cs="Times New Roman"/>
          <w:spacing w:val="8"/>
          <w:sz w:val="19"/>
          <w:szCs w:val="19"/>
        </w:rPr>
        <w:t xml:space="preserve">  </w:t>
      </w:r>
      <w:r>
        <w:rPr>
          <w:rFonts w:ascii="宋体" w:hAnsi="宋体" w:eastAsia="宋体" w:cs="宋体"/>
          <w:spacing w:val="8"/>
          <w:sz w:val="19"/>
          <w:szCs w:val="19"/>
        </w:rPr>
        <w:t>又提出健康的决定因素</w:t>
      </w:r>
      <w:r>
        <w:rPr>
          <w:rFonts w:ascii="Times New Roman" w:hAnsi="Times New Roman" w:eastAsia="Times New Roman" w:cs="Times New Roman"/>
          <w:spacing w:val="8"/>
          <w:sz w:val="19"/>
          <w:szCs w:val="19"/>
        </w:rPr>
        <w:t>(</w:t>
      </w:r>
      <w:r>
        <w:rPr>
          <w:rFonts w:ascii="Times New Roman" w:hAnsi="Times New Roman" w:eastAsia="Times New Roman" w:cs="Times New Roman"/>
          <w:sz w:val="19"/>
          <w:szCs w:val="19"/>
        </w:rPr>
        <w:t>determinants</w:t>
      </w:r>
      <w:r>
        <w:rPr>
          <w:rFonts w:ascii="Times New Roman" w:hAnsi="Times New Roman" w:eastAsia="Times New Roman" w:cs="Times New Roman"/>
          <w:spacing w:val="8"/>
          <w:sz w:val="19"/>
          <w:szCs w:val="19"/>
        </w:rPr>
        <w:t xml:space="preserve">     </w:t>
      </w:r>
      <w:r>
        <w:rPr>
          <w:rFonts w:ascii="Times New Roman" w:hAnsi="Times New Roman" w:eastAsia="Times New Roman" w:cs="Times New Roman"/>
          <w:sz w:val="19"/>
          <w:szCs w:val="19"/>
        </w:rPr>
        <w:t>of</w:t>
      </w:r>
      <w:r>
        <w:rPr>
          <w:rFonts w:ascii="Times New Roman" w:hAnsi="Times New Roman" w:eastAsia="Times New Roman" w:cs="Times New Roman"/>
          <w:spacing w:val="8"/>
          <w:sz w:val="19"/>
          <w:szCs w:val="19"/>
        </w:rPr>
        <w:t xml:space="preserve">     </w:t>
      </w:r>
      <w:r>
        <w:rPr>
          <w:rFonts w:ascii="Times New Roman" w:hAnsi="Times New Roman" w:eastAsia="Times New Roman" w:cs="Times New Roman"/>
          <w:sz w:val="19"/>
          <w:szCs w:val="19"/>
        </w:rPr>
        <w:t>health</w:t>
      </w:r>
      <w:r>
        <w:rPr>
          <w:rFonts w:ascii="Times New Roman" w:hAnsi="Times New Roman" w:eastAsia="Times New Roman" w:cs="Times New Roman"/>
          <w:spacing w:val="8"/>
          <w:sz w:val="19"/>
          <w:szCs w:val="19"/>
        </w:rPr>
        <w:t>,</w:t>
      </w:r>
      <w:r>
        <w:rPr>
          <w:rFonts w:ascii="Times New Roman" w:hAnsi="Times New Roman" w:eastAsia="Times New Roman" w:cs="Times New Roman"/>
          <w:sz w:val="19"/>
          <w:szCs w:val="19"/>
        </w:rPr>
        <w:t>DoH</w:t>
      </w:r>
      <w:r>
        <w:rPr>
          <w:rFonts w:ascii="Times New Roman" w:hAnsi="Times New Roman" w:eastAsia="Times New Roman" w:cs="Times New Roman"/>
          <w:spacing w:val="7"/>
          <w:sz w:val="19"/>
          <w:szCs w:val="19"/>
        </w:rPr>
        <w:t>)</w:t>
      </w:r>
      <w:r>
        <w:rPr>
          <w:rFonts w:ascii="宋体" w:hAnsi="宋体" w:eastAsia="宋体" w:cs="宋体"/>
          <w:spacing w:val="7"/>
          <w:sz w:val="19"/>
          <w:szCs w:val="19"/>
        </w:rPr>
        <w:t>包括：收入和社会状况，受</w:t>
      </w:r>
      <w:r>
        <w:rPr>
          <w:rFonts w:ascii="宋体" w:hAnsi="宋体" w:eastAsia="宋体" w:cs="宋体"/>
          <w:sz w:val="19"/>
          <w:szCs w:val="19"/>
        </w:rPr>
        <w:t xml:space="preserve"> </w:t>
      </w:r>
      <w:r>
        <w:rPr>
          <w:rFonts w:ascii="宋体" w:hAnsi="宋体" w:eastAsia="宋体" w:cs="宋体"/>
          <w:spacing w:val="12"/>
          <w:sz w:val="19"/>
          <w:szCs w:val="19"/>
        </w:rPr>
        <w:t>教育水平，饮用水、空气、工作场所、住宅、社区和道路等各种环境，社会支持网络，</w:t>
      </w:r>
      <w:r>
        <w:rPr>
          <w:rFonts w:ascii="宋体" w:hAnsi="宋体" w:eastAsia="宋体" w:cs="宋体"/>
          <w:spacing w:val="11"/>
          <w:sz w:val="19"/>
          <w:szCs w:val="19"/>
        </w:rPr>
        <w:t>个体遗传特征，</w:t>
      </w:r>
      <w:r>
        <w:rPr>
          <w:rFonts w:ascii="宋体" w:hAnsi="宋体" w:eastAsia="宋体" w:cs="宋体"/>
          <w:sz w:val="19"/>
          <w:szCs w:val="19"/>
        </w:rPr>
        <w:t xml:space="preserve"> </w:t>
      </w:r>
      <w:r>
        <w:rPr>
          <w:rFonts w:ascii="宋体" w:hAnsi="宋体" w:eastAsia="宋体" w:cs="宋体"/>
          <w:spacing w:val="12"/>
          <w:sz w:val="19"/>
          <w:szCs w:val="19"/>
        </w:rPr>
        <w:t>卫生服务，性别等。</w:t>
      </w:r>
    </w:p>
    <w:p w14:paraId="26610EB5">
      <w:pPr>
        <w:spacing w:before="15" w:line="219" w:lineRule="auto"/>
        <w:ind w:left="419"/>
        <w:rPr>
          <w:rFonts w:ascii="宋体" w:hAnsi="宋体" w:eastAsia="宋体" w:cs="宋体"/>
          <w:sz w:val="19"/>
          <w:szCs w:val="19"/>
        </w:rPr>
      </w:pPr>
      <w:r>
        <w:rPr>
          <w:rFonts w:ascii="宋体" w:hAnsi="宋体" w:eastAsia="宋体" w:cs="宋体"/>
          <w:spacing w:val="18"/>
          <w:sz w:val="19"/>
          <w:szCs w:val="19"/>
        </w:rPr>
        <w:t>参考众多分类，我们将影响健康的因素归纳为以下三大类：</w:t>
      </w:r>
    </w:p>
    <w:p w14:paraId="49DACDDF">
      <w:pPr>
        <w:pStyle w:val="2"/>
        <w:spacing w:before="152" w:line="223" w:lineRule="auto"/>
        <w:ind w:left="422"/>
        <w:rPr>
          <w:sz w:val="19"/>
          <w:szCs w:val="19"/>
        </w:rPr>
      </w:pPr>
      <w:r>
        <w:rPr>
          <w:b/>
          <w:bCs/>
          <w:spacing w:val="-16"/>
          <w:sz w:val="19"/>
          <w:szCs w:val="19"/>
        </w:rPr>
        <w:t>(</w:t>
      </w:r>
      <w:r>
        <w:rPr>
          <w:spacing w:val="-18"/>
          <w:sz w:val="19"/>
          <w:szCs w:val="19"/>
        </w:rPr>
        <w:t xml:space="preserve"> </w:t>
      </w:r>
      <w:r>
        <w:rPr>
          <w:b/>
          <w:bCs/>
          <w:spacing w:val="-16"/>
          <w:sz w:val="19"/>
          <w:szCs w:val="19"/>
        </w:rPr>
        <w:t>一</w:t>
      </w:r>
      <w:r>
        <w:rPr>
          <w:spacing w:val="-28"/>
          <w:sz w:val="19"/>
          <w:szCs w:val="19"/>
        </w:rPr>
        <w:t xml:space="preserve"> </w:t>
      </w:r>
      <w:r>
        <w:rPr>
          <w:b/>
          <w:bCs/>
          <w:spacing w:val="-16"/>
          <w:sz w:val="19"/>
          <w:szCs w:val="19"/>
        </w:rPr>
        <w:t>)</w:t>
      </w:r>
      <w:r>
        <w:rPr>
          <w:spacing w:val="-26"/>
          <w:sz w:val="19"/>
          <w:szCs w:val="19"/>
        </w:rPr>
        <w:t xml:space="preserve"> </w:t>
      </w:r>
      <w:r>
        <w:rPr>
          <w:b/>
          <w:bCs/>
          <w:spacing w:val="-16"/>
          <w:sz w:val="19"/>
          <w:szCs w:val="19"/>
        </w:rPr>
        <w:t>个</w:t>
      </w:r>
      <w:r>
        <w:rPr>
          <w:spacing w:val="-27"/>
          <w:sz w:val="19"/>
          <w:szCs w:val="19"/>
        </w:rPr>
        <w:t xml:space="preserve"> </w:t>
      </w:r>
      <w:r>
        <w:rPr>
          <w:b/>
          <w:bCs/>
          <w:spacing w:val="-16"/>
          <w:sz w:val="19"/>
          <w:szCs w:val="19"/>
        </w:rPr>
        <w:t>体</w:t>
      </w:r>
      <w:r>
        <w:rPr>
          <w:spacing w:val="-13"/>
          <w:sz w:val="19"/>
          <w:szCs w:val="19"/>
        </w:rPr>
        <w:t xml:space="preserve"> </w:t>
      </w:r>
      <w:r>
        <w:rPr>
          <w:b/>
          <w:bCs/>
          <w:spacing w:val="-16"/>
          <w:sz w:val="19"/>
          <w:szCs w:val="19"/>
        </w:rPr>
        <w:t>因</w:t>
      </w:r>
      <w:r>
        <w:rPr>
          <w:spacing w:val="-21"/>
          <w:sz w:val="19"/>
          <w:szCs w:val="19"/>
        </w:rPr>
        <w:t xml:space="preserve"> </w:t>
      </w:r>
      <w:r>
        <w:rPr>
          <w:b/>
          <w:bCs/>
          <w:spacing w:val="-16"/>
          <w:sz w:val="19"/>
          <w:szCs w:val="19"/>
        </w:rPr>
        <w:t>素</w:t>
      </w:r>
    </w:p>
    <w:p w14:paraId="23971CBC">
      <w:pPr>
        <w:pStyle w:val="2"/>
        <w:spacing w:before="68" w:line="355" w:lineRule="auto"/>
        <w:ind w:right="587" w:firstLine="422"/>
        <w:rPr>
          <w:rFonts w:ascii="宋体" w:hAnsi="宋体" w:eastAsia="宋体" w:cs="宋体"/>
          <w:sz w:val="19"/>
          <w:szCs w:val="19"/>
        </w:rPr>
      </w:pPr>
      <w:r>
        <w:rPr>
          <w:rFonts w:ascii="宋体" w:hAnsi="宋体" w:eastAsia="宋体" w:cs="宋体"/>
          <w:b/>
          <w:bCs/>
          <w:spacing w:val="9"/>
          <w:sz w:val="19"/>
          <w:szCs w:val="19"/>
        </w:rPr>
        <w:t>1.</w:t>
      </w:r>
      <w:r>
        <w:rPr>
          <w:rFonts w:ascii="宋体" w:hAnsi="宋体" w:eastAsia="宋体" w:cs="宋体"/>
          <w:spacing w:val="9"/>
          <w:sz w:val="19"/>
          <w:szCs w:val="19"/>
        </w:rPr>
        <w:t xml:space="preserve"> </w:t>
      </w:r>
      <w:r>
        <w:rPr>
          <w:b/>
          <w:bCs/>
          <w:spacing w:val="9"/>
          <w:sz w:val="19"/>
          <w:szCs w:val="19"/>
        </w:rPr>
        <w:t>遗传和生物学因素</w:t>
      </w:r>
      <w:r>
        <w:rPr>
          <w:spacing w:val="75"/>
          <w:sz w:val="19"/>
          <w:szCs w:val="19"/>
        </w:rPr>
        <w:t xml:space="preserve"> </w:t>
      </w:r>
      <w:r>
        <w:rPr>
          <w:rFonts w:ascii="宋体" w:hAnsi="宋体" w:eastAsia="宋体" w:cs="宋体"/>
          <w:spacing w:val="9"/>
          <w:sz w:val="19"/>
          <w:szCs w:val="19"/>
        </w:rPr>
        <w:t>如遗传基因、性别、年龄、生</w:t>
      </w:r>
      <w:r>
        <w:rPr>
          <w:rFonts w:ascii="宋体" w:hAnsi="宋体" w:eastAsia="宋体" w:cs="宋体"/>
          <w:spacing w:val="8"/>
          <w:sz w:val="19"/>
          <w:szCs w:val="19"/>
        </w:rPr>
        <w:t>长发育、衰老、营养状态、体格、心理特征、</w:t>
      </w:r>
      <w:r>
        <w:rPr>
          <w:rFonts w:ascii="宋体" w:hAnsi="宋体" w:eastAsia="宋体" w:cs="宋体"/>
          <w:sz w:val="19"/>
          <w:szCs w:val="19"/>
        </w:rPr>
        <w:t xml:space="preserve"> </w:t>
      </w:r>
      <w:r>
        <w:rPr>
          <w:rFonts w:ascii="宋体" w:hAnsi="宋体" w:eastAsia="宋体" w:cs="宋体"/>
          <w:spacing w:val="16"/>
          <w:sz w:val="19"/>
          <w:szCs w:val="19"/>
        </w:rPr>
        <w:t>获得性免疫、既往疾病史等。</w:t>
      </w:r>
    </w:p>
    <w:p w14:paraId="3C2B7C79">
      <w:pPr>
        <w:pStyle w:val="2"/>
        <w:spacing w:before="1" w:line="393" w:lineRule="auto"/>
        <w:ind w:right="653" w:firstLine="422"/>
        <w:rPr>
          <w:rFonts w:ascii="宋体" w:hAnsi="宋体" w:eastAsia="宋体" w:cs="宋体"/>
          <w:sz w:val="19"/>
          <w:szCs w:val="19"/>
        </w:rPr>
      </w:pPr>
      <w:r>
        <w:rPr>
          <w:rFonts w:ascii="宋体" w:hAnsi="宋体" w:eastAsia="宋体" w:cs="宋体"/>
          <w:b/>
          <w:bCs/>
          <w:spacing w:val="11"/>
          <w:sz w:val="19"/>
          <w:szCs w:val="19"/>
        </w:rPr>
        <w:t>2.</w:t>
      </w:r>
      <w:r>
        <w:rPr>
          <w:rFonts w:ascii="宋体" w:hAnsi="宋体" w:eastAsia="宋体" w:cs="宋体"/>
          <w:spacing w:val="34"/>
          <w:sz w:val="19"/>
          <w:szCs w:val="19"/>
        </w:rPr>
        <w:t xml:space="preserve"> </w:t>
      </w:r>
      <w:r>
        <w:rPr>
          <w:b/>
          <w:bCs/>
          <w:spacing w:val="11"/>
          <w:sz w:val="19"/>
          <w:szCs w:val="19"/>
        </w:rPr>
        <w:t>生活方式因素</w:t>
      </w:r>
      <w:r>
        <w:rPr>
          <w:spacing w:val="85"/>
          <w:sz w:val="19"/>
          <w:szCs w:val="19"/>
        </w:rPr>
        <w:t xml:space="preserve"> </w:t>
      </w:r>
      <w:r>
        <w:rPr>
          <w:rFonts w:ascii="宋体" w:hAnsi="宋体" w:eastAsia="宋体" w:cs="宋体"/>
          <w:spacing w:val="11"/>
          <w:sz w:val="19"/>
          <w:szCs w:val="19"/>
        </w:rPr>
        <w:t>如个体的卫生习惯，对饮食、烟草、酒、毒品、身体活动、系安全带等各</w:t>
      </w:r>
      <w:r>
        <w:rPr>
          <w:rFonts w:ascii="宋体" w:hAnsi="宋体" w:eastAsia="宋体" w:cs="宋体"/>
          <w:spacing w:val="10"/>
          <w:sz w:val="19"/>
          <w:szCs w:val="19"/>
        </w:rPr>
        <w:t>类生</w:t>
      </w:r>
      <w:r>
        <w:rPr>
          <w:rFonts w:ascii="宋体" w:hAnsi="宋体" w:eastAsia="宋体" w:cs="宋体"/>
          <w:sz w:val="19"/>
          <w:szCs w:val="19"/>
        </w:rPr>
        <w:t xml:space="preserve"> </w:t>
      </w:r>
      <w:r>
        <w:rPr>
          <w:rFonts w:ascii="宋体" w:hAnsi="宋体" w:eastAsia="宋体" w:cs="宋体"/>
          <w:spacing w:val="22"/>
          <w:sz w:val="19"/>
          <w:szCs w:val="19"/>
        </w:rPr>
        <w:t>活方式的选择。</w:t>
      </w:r>
    </w:p>
    <w:p w14:paraId="5C44009E">
      <w:pPr>
        <w:spacing w:line="393" w:lineRule="auto"/>
        <w:rPr>
          <w:rFonts w:ascii="宋体" w:hAnsi="宋体" w:eastAsia="宋体" w:cs="宋体"/>
          <w:sz w:val="19"/>
          <w:szCs w:val="19"/>
        </w:rPr>
        <w:sectPr>
          <w:footerReference r:id="rId182" w:type="default"/>
          <w:pgSz w:w="11900" w:h="16820"/>
          <w:pgMar w:top="400" w:right="837" w:bottom="832" w:left="1410" w:header="0" w:footer="661" w:gutter="0"/>
          <w:cols w:space="720" w:num="1"/>
        </w:sectPr>
      </w:pPr>
    </w:p>
    <w:p w14:paraId="791890C5">
      <w:pPr>
        <w:pStyle w:val="2"/>
        <w:spacing w:line="220" w:lineRule="auto"/>
        <w:ind w:left="699"/>
        <w:rPr>
          <w:sz w:val="20"/>
          <w:szCs w:val="20"/>
        </w:rPr>
      </w:pPr>
      <w:bookmarkStart w:id="265" w:name="bookmark491"/>
      <w:bookmarkEnd w:id="265"/>
      <w:r>
        <w:rPr>
          <w:spacing w:val="-9"/>
          <w:sz w:val="20"/>
          <w:szCs w:val="20"/>
        </w:rPr>
        <w:t>第九章预防策略</w:t>
      </w:r>
    </w:p>
    <w:p w14:paraId="45A1AB47">
      <w:pPr>
        <w:spacing w:line="291" w:lineRule="auto"/>
        <w:rPr>
          <w:rFonts w:ascii="Arial"/>
          <w:sz w:val="21"/>
        </w:rPr>
      </w:pPr>
    </w:p>
    <w:p w14:paraId="5B2C9841">
      <w:pPr>
        <w:spacing w:line="291" w:lineRule="auto"/>
        <w:rPr>
          <w:rFonts w:ascii="Arial"/>
          <w:sz w:val="21"/>
        </w:rPr>
      </w:pPr>
    </w:p>
    <w:p w14:paraId="4519423B">
      <w:pPr>
        <w:pStyle w:val="2"/>
        <w:spacing w:before="65" w:line="222" w:lineRule="auto"/>
        <w:ind w:left="1130"/>
        <w:rPr>
          <w:rFonts w:ascii="宋体" w:hAnsi="宋体" w:eastAsia="宋体" w:cs="宋体"/>
          <w:sz w:val="20"/>
          <w:szCs w:val="20"/>
        </w:rPr>
      </w:pPr>
      <w:r>
        <w:rPr>
          <w:rFonts w:ascii="宋体" w:hAnsi="宋体" w:eastAsia="宋体" w:cs="宋体"/>
          <w:spacing w:val="-5"/>
          <w:sz w:val="20"/>
          <w:szCs w:val="20"/>
        </w:rPr>
        <w:t xml:space="preserve">3. </w:t>
      </w:r>
      <w:r>
        <w:rPr>
          <w:spacing w:val="-5"/>
          <w:sz w:val="20"/>
          <w:szCs w:val="20"/>
        </w:rPr>
        <w:t>社会经济状况因素</w:t>
      </w:r>
      <w:r>
        <w:rPr>
          <w:spacing w:val="66"/>
          <w:sz w:val="20"/>
          <w:szCs w:val="20"/>
        </w:rPr>
        <w:t xml:space="preserve"> </w:t>
      </w:r>
      <w:r>
        <w:rPr>
          <w:rFonts w:ascii="宋体" w:hAnsi="宋体" w:eastAsia="宋体" w:cs="宋体"/>
          <w:spacing w:val="-5"/>
          <w:sz w:val="20"/>
          <w:szCs w:val="20"/>
        </w:rPr>
        <w:t>如收入、受教育程度、职</w:t>
      </w:r>
      <w:r>
        <w:rPr>
          <w:rFonts w:ascii="宋体" w:hAnsi="宋体" w:eastAsia="宋体" w:cs="宋体"/>
          <w:spacing w:val="-6"/>
          <w:sz w:val="20"/>
          <w:szCs w:val="20"/>
        </w:rPr>
        <w:t>业、财产等。</w:t>
      </w:r>
    </w:p>
    <w:p w14:paraId="006675F7">
      <w:pPr>
        <w:pStyle w:val="2"/>
        <w:spacing w:before="149" w:line="222" w:lineRule="auto"/>
        <w:ind w:left="1130"/>
        <w:rPr>
          <w:sz w:val="20"/>
          <w:szCs w:val="20"/>
        </w:rPr>
      </w:pPr>
      <w:r>
        <w:rPr>
          <w:spacing w:val="29"/>
          <w:sz w:val="20"/>
          <w:szCs w:val="20"/>
        </w:rPr>
        <w:t>(二)环境因素</w:t>
      </w:r>
    </w:p>
    <w:p w14:paraId="1F941E12">
      <w:pPr>
        <w:pStyle w:val="2"/>
        <w:spacing w:before="119" w:line="222" w:lineRule="auto"/>
        <w:ind w:left="1130"/>
        <w:rPr>
          <w:rFonts w:ascii="宋体" w:hAnsi="宋体" w:eastAsia="宋体" w:cs="宋体"/>
          <w:sz w:val="20"/>
          <w:szCs w:val="20"/>
        </w:rPr>
      </w:pPr>
      <w:r>
        <w:rPr>
          <w:rFonts w:ascii="宋体" w:hAnsi="宋体" w:eastAsia="宋体" w:cs="宋体"/>
          <w:spacing w:val="-5"/>
          <w:sz w:val="20"/>
          <w:szCs w:val="20"/>
        </w:rPr>
        <w:t xml:space="preserve">1. </w:t>
      </w:r>
      <w:r>
        <w:rPr>
          <w:spacing w:val="-5"/>
          <w:sz w:val="20"/>
          <w:szCs w:val="20"/>
        </w:rPr>
        <w:t>自然环境</w:t>
      </w:r>
      <w:r>
        <w:rPr>
          <w:spacing w:val="75"/>
          <w:sz w:val="20"/>
          <w:szCs w:val="20"/>
        </w:rPr>
        <w:t xml:space="preserve"> </w:t>
      </w:r>
      <w:r>
        <w:rPr>
          <w:rFonts w:ascii="宋体" w:hAnsi="宋体" w:eastAsia="宋体" w:cs="宋体"/>
          <w:spacing w:val="-5"/>
          <w:sz w:val="20"/>
          <w:szCs w:val="20"/>
        </w:rPr>
        <w:t>如空气、水、土壤、食物等，同时考虑其生物的、化学的和物理的构成和属性。</w:t>
      </w:r>
    </w:p>
    <w:p w14:paraId="7295519A">
      <w:pPr>
        <w:spacing w:before="88" w:line="212" w:lineRule="auto"/>
        <w:ind w:right="24"/>
        <w:jc w:val="right"/>
        <w:rPr>
          <w:rFonts w:ascii="宋体" w:hAnsi="宋体" w:eastAsia="宋体" w:cs="宋体"/>
          <w:sz w:val="20"/>
          <w:szCs w:val="20"/>
        </w:rPr>
      </w:pPr>
      <w:r>
        <w:rPr>
          <w:rFonts w:ascii="Times New Roman" w:hAnsi="Times New Roman" w:eastAsia="Times New Roman" w:cs="Times New Roman"/>
          <w:sz w:val="20"/>
          <w:szCs w:val="20"/>
        </w:rPr>
        <w:t>2.</w:t>
      </w:r>
      <w:r>
        <w:rPr>
          <w:rFonts w:ascii="Times New Roman" w:hAnsi="Times New Roman" w:eastAsia="Times New Roman" w:cs="Times New Roman"/>
          <w:spacing w:val="22"/>
          <w:w w:val="101"/>
          <w:sz w:val="20"/>
          <w:szCs w:val="20"/>
        </w:rPr>
        <w:t xml:space="preserve">  </w:t>
      </w:r>
      <w:r>
        <w:rPr>
          <w:rFonts w:ascii="宋体" w:hAnsi="宋体" w:eastAsia="宋体" w:cs="宋体"/>
          <w:sz w:val="20"/>
          <w:szCs w:val="20"/>
        </w:rPr>
        <w:t>建成环境</w:t>
      </w:r>
      <w:r>
        <w:rPr>
          <w:rFonts w:ascii="Times New Roman" w:hAnsi="Times New Roman" w:eastAsia="Times New Roman" w:cs="Times New Roman"/>
          <w:sz w:val="20"/>
          <w:szCs w:val="20"/>
        </w:rPr>
        <w:t>(built   environment)</w:t>
      </w:r>
      <w:r>
        <w:rPr>
          <w:rFonts w:ascii="Times New Roman" w:hAnsi="Times New Roman" w:eastAsia="Times New Roman" w:cs="Times New Roman"/>
          <w:spacing w:val="11"/>
          <w:sz w:val="20"/>
          <w:szCs w:val="20"/>
        </w:rPr>
        <w:t xml:space="preserve">  </w:t>
      </w:r>
      <w:r>
        <w:rPr>
          <w:rFonts w:ascii="宋体" w:hAnsi="宋体" w:eastAsia="宋体" w:cs="宋体"/>
          <w:sz w:val="20"/>
          <w:szCs w:val="20"/>
        </w:rPr>
        <w:t>指人为建设或改造的建筑物、场所、设施等，</w:t>
      </w:r>
      <w:r>
        <w:rPr>
          <w:rFonts w:ascii="宋体" w:hAnsi="宋体" w:eastAsia="宋体" w:cs="宋体"/>
          <w:spacing w:val="-1"/>
          <w:sz w:val="20"/>
          <w:szCs w:val="20"/>
        </w:rPr>
        <w:t>如城市规划与土</w:t>
      </w:r>
    </w:p>
    <w:p w14:paraId="6C8D2036">
      <w:pPr>
        <w:spacing w:before="193" w:line="219" w:lineRule="auto"/>
        <w:ind w:left="699"/>
        <w:rPr>
          <w:rFonts w:ascii="宋体" w:hAnsi="宋体" w:eastAsia="宋体" w:cs="宋体"/>
          <w:sz w:val="20"/>
          <w:szCs w:val="20"/>
        </w:rPr>
      </w:pPr>
      <w:r>
        <w:rPr>
          <w:rFonts w:ascii="宋体" w:hAnsi="宋体" w:eastAsia="宋体" w:cs="宋体"/>
          <w:spacing w:val="-11"/>
          <w:sz w:val="20"/>
          <w:szCs w:val="20"/>
        </w:rPr>
        <w:t>地利用、道路、交通运输系统、公园、绿地、娱乐设施、住宅、工业和商业场所等。</w:t>
      </w:r>
    </w:p>
    <w:p w14:paraId="0F2CD6A6">
      <w:pPr>
        <w:pStyle w:val="2"/>
        <w:spacing w:before="123" w:line="359" w:lineRule="auto"/>
        <w:ind w:left="699" w:right="25" w:firstLine="430"/>
        <w:rPr>
          <w:rFonts w:ascii="宋体" w:hAnsi="宋体" w:eastAsia="宋体" w:cs="宋体"/>
          <w:sz w:val="20"/>
          <w:szCs w:val="20"/>
        </w:rPr>
      </w:pPr>
      <w:r>
        <w:rPr>
          <w:rFonts w:ascii="宋体" w:hAnsi="宋体" w:eastAsia="宋体" w:cs="宋体"/>
          <w:spacing w:val="2"/>
          <w:sz w:val="20"/>
          <w:szCs w:val="20"/>
        </w:rPr>
        <w:t xml:space="preserve">3. </w:t>
      </w:r>
      <w:r>
        <w:rPr>
          <w:spacing w:val="2"/>
          <w:sz w:val="20"/>
          <w:szCs w:val="20"/>
        </w:rPr>
        <w:t xml:space="preserve">社会和经济环境 </w:t>
      </w:r>
      <w:r>
        <w:rPr>
          <w:rFonts w:ascii="宋体" w:hAnsi="宋体" w:eastAsia="宋体" w:cs="宋体"/>
          <w:spacing w:val="2"/>
          <w:sz w:val="20"/>
          <w:szCs w:val="20"/>
        </w:rPr>
        <w:t>如由家庭成员、朋友、同事和社区</w:t>
      </w:r>
      <w:r>
        <w:rPr>
          <w:rFonts w:ascii="宋体" w:hAnsi="宋体" w:eastAsia="宋体" w:cs="宋体"/>
          <w:spacing w:val="1"/>
          <w:sz w:val="20"/>
          <w:szCs w:val="20"/>
        </w:rPr>
        <w:t>成员构成的社会支持网络，以及社会文</w:t>
      </w:r>
      <w:r>
        <w:rPr>
          <w:rFonts w:ascii="宋体" w:hAnsi="宋体" w:eastAsia="宋体" w:cs="宋体"/>
          <w:sz w:val="20"/>
          <w:szCs w:val="20"/>
        </w:rPr>
        <w:t xml:space="preserve"> </w:t>
      </w:r>
      <w:r>
        <w:rPr>
          <w:rFonts w:ascii="宋体" w:hAnsi="宋体" w:eastAsia="宋体" w:cs="宋体"/>
          <w:spacing w:val="-8"/>
          <w:sz w:val="20"/>
          <w:szCs w:val="20"/>
        </w:rPr>
        <w:t>化、风俗习惯、宗教信仰、犯罪水平、经济体制</w:t>
      </w:r>
      <w:r>
        <w:rPr>
          <w:rFonts w:ascii="宋体" w:hAnsi="宋体" w:eastAsia="宋体" w:cs="宋体"/>
          <w:spacing w:val="-9"/>
          <w:sz w:val="20"/>
          <w:szCs w:val="20"/>
        </w:rPr>
        <w:t>和政策等。</w:t>
      </w:r>
    </w:p>
    <w:p w14:paraId="204B92EA">
      <w:pPr>
        <w:pStyle w:val="2"/>
        <w:spacing w:before="27" w:line="221" w:lineRule="auto"/>
        <w:ind w:left="1132"/>
        <w:rPr>
          <w:sz w:val="20"/>
          <w:szCs w:val="20"/>
        </w:rPr>
      </w:pPr>
      <w:r>
        <w:rPr>
          <w:b/>
          <w:bCs/>
          <w:spacing w:val="23"/>
          <w:sz w:val="20"/>
          <w:szCs w:val="20"/>
        </w:rPr>
        <w:t>(三)卫生服务因素</w:t>
      </w:r>
    </w:p>
    <w:p w14:paraId="6B9FF088">
      <w:pPr>
        <w:spacing w:before="83" w:line="352" w:lineRule="auto"/>
        <w:ind w:left="699" w:right="20" w:firstLine="430"/>
        <w:jc w:val="both"/>
        <w:rPr>
          <w:rFonts w:ascii="宋体" w:hAnsi="宋体" w:eastAsia="宋体" w:cs="宋体"/>
          <w:sz w:val="20"/>
          <w:szCs w:val="20"/>
        </w:rPr>
      </w:pPr>
      <w:r>
        <w:rPr>
          <w:rFonts w:ascii="宋体" w:hAnsi="宋体" w:eastAsia="宋体" w:cs="宋体"/>
          <w:spacing w:val="2"/>
          <w:sz w:val="20"/>
          <w:szCs w:val="20"/>
        </w:rPr>
        <w:t>如卫生服务的质量、可获得性、可及性和可负担性，服务提供者的能力等。</w:t>
      </w:r>
      <w:r>
        <w:rPr>
          <w:rFonts w:ascii="宋体" w:hAnsi="宋体" w:eastAsia="宋体" w:cs="宋体"/>
          <w:spacing w:val="1"/>
          <w:sz w:val="20"/>
          <w:szCs w:val="20"/>
        </w:rPr>
        <w:t>另外，影响健康的</w:t>
      </w:r>
      <w:r>
        <w:rPr>
          <w:rFonts w:ascii="宋体" w:hAnsi="宋体" w:eastAsia="宋体" w:cs="宋体"/>
          <w:sz w:val="20"/>
          <w:szCs w:val="20"/>
        </w:rPr>
        <w:t xml:space="preserve"> </w:t>
      </w:r>
      <w:r>
        <w:rPr>
          <w:rFonts w:ascii="宋体" w:hAnsi="宋体" w:eastAsia="宋体" w:cs="宋体"/>
          <w:spacing w:val="6"/>
          <w:sz w:val="20"/>
          <w:szCs w:val="20"/>
        </w:rPr>
        <w:t>因素还可以根据其在病因链上的位置分为近端、中间和远端因素。也有学者把远端因素称为病因</w:t>
      </w:r>
      <w:r>
        <w:rPr>
          <w:rFonts w:ascii="宋体" w:hAnsi="宋体" w:eastAsia="宋体" w:cs="宋体"/>
          <w:spacing w:val="17"/>
          <w:sz w:val="20"/>
          <w:szCs w:val="20"/>
        </w:rPr>
        <w:t xml:space="preserve"> </w:t>
      </w:r>
      <w:r>
        <w:rPr>
          <w:rFonts w:ascii="宋体" w:hAnsi="宋体" w:eastAsia="宋体" w:cs="宋体"/>
          <w:spacing w:val="7"/>
          <w:sz w:val="20"/>
          <w:szCs w:val="20"/>
        </w:rPr>
        <w:t>的原因。医学领域一贯更关注靠近病因链近端的因素。而远端因素以各类环境因素为</w:t>
      </w:r>
      <w:r>
        <w:rPr>
          <w:rFonts w:ascii="宋体" w:hAnsi="宋体" w:eastAsia="宋体" w:cs="宋体"/>
          <w:spacing w:val="6"/>
          <w:sz w:val="20"/>
          <w:szCs w:val="20"/>
        </w:rPr>
        <w:t>主，这些因</w:t>
      </w:r>
      <w:r>
        <w:rPr>
          <w:rFonts w:ascii="宋体" w:hAnsi="宋体" w:eastAsia="宋体" w:cs="宋体"/>
          <w:sz w:val="20"/>
          <w:szCs w:val="20"/>
        </w:rPr>
        <w:t xml:space="preserve"> </w:t>
      </w:r>
      <w:r>
        <w:rPr>
          <w:rFonts w:ascii="宋体" w:hAnsi="宋体" w:eastAsia="宋体" w:cs="宋体"/>
          <w:spacing w:val="7"/>
          <w:sz w:val="20"/>
          <w:szCs w:val="20"/>
        </w:rPr>
        <w:t>素决定了个体暴露于某些近端因素的机会。因此，对国民</w:t>
      </w:r>
      <w:r>
        <w:rPr>
          <w:rFonts w:ascii="宋体" w:hAnsi="宋体" w:eastAsia="宋体" w:cs="宋体"/>
          <w:spacing w:val="6"/>
          <w:sz w:val="20"/>
          <w:szCs w:val="20"/>
        </w:rPr>
        <w:t>健康影响最大的决策大多不是来自政府</w:t>
      </w:r>
      <w:r>
        <w:rPr>
          <w:rFonts w:ascii="宋体" w:hAnsi="宋体" w:eastAsia="宋体" w:cs="宋体"/>
          <w:sz w:val="20"/>
          <w:szCs w:val="20"/>
        </w:rPr>
        <w:t xml:space="preserve"> </w:t>
      </w:r>
      <w:r>
        <w:rPr>
          <w:rFonts w:ascii="宋体" w:hAnsi="宋体" w:eastAsia="宋体" w:cs="宋体"/>
          <w:spacing w:val="-6"/>
          <w:sz w:val="20"/>
          <w:szCs w:val="20"/>
        </w:rPr>
        <w:t>的卫生部门，而更多的是来自财政、劳动保障、教育、农业、环</w:t>
      </w:r>
      <w:r>
        <w:rPr>
          <w:rFonts w:ascii="宋体" w:hAnsi="宋体" w:eastAsia="宋体" w:cs="宋体"/>
          <w:spacing w:val="-7"/>
          <w:sz w:val="20"/>
          <w:szCs w:val="20"/>
        </w:rPr>
        <w:t>境、建设、公安等部门。</w:t>
      </w:r>
    </w:p>
    <w:p w14:paraId="15D63AB6">
      <w:pPr>
        <w:pStyle w:val="2"/>
        <w:spacing w:before="231" w:line="221" w:lineRule="auto"/>
        <w:ind w:left="1212"/>
        <w:outlineLvl w:val="2"/>
        <w:rPr>
          <w:sz w:val="20"/>
          <w:szCs w:val="20"/>
        </w:rPr>
      </w:pPr>
      <w:bookmarkStart w:id="266" w:name="bookmark168"/>
      <w:bookmarkEnd w:id="266"/>
      <w:r>
        <w:rPr>
          <w:b/>
          <w:bCs/>
          <w:spacing w:val="-12"/>
          <w:sz w:val="20"/>
          <w:szCs w:val="20"/>
        </w:rPr>
        <w:t>三</w:t>
      </w:r>
      <w:r>
        <w:rPr>
          <w:spacing w:val="-12"/>
          <w:sz w:val="20"/>
          <w:szCs w:val="20"/>
        </w:rPr>
        <w:t xml:space="preserve"> </w:t>
      </w:r>
      <w:r>
        <w:rPr>
          <w:b/>
          <w:bCs/>
          <w:spacing w:val="-12"/>
          <w:sz w:val="20"/>
          <w:szCs w:val="20"/>
        </w:rPr>
        <w:t>、医</w:t>
      </w:r>
      <w:r>
        <w:rPr>
          <w:spacing w:val="-12"/>
          <w:sz w:val="20"/>
          <w:szCs w:val="20"/>
        </w:rPr>
        <w:t xml:space="preserve"> </w:t>
      </w:r>
      <w:r>
        <w:rPr>
          <w:b/>
          <w:bCs/>
          <w:spacing w:val="-12"/>
          <w:sz w:val="20"/>
          <w:szCs w:val="20"/>
        </w:rPr>
        <w:t>学</w:t>
      </w:r>
      <w:r>
        <w:rPr>
          <w:spacing w:val="-25"/>
          <w:sz w:val="20"/>
          <w:szCs w:val="20"/>
        </w:rPr>
        <w:t xml:space="preserve"> </w:t>
      </w:r>
      <w:r>
        <w:rPr>
          <w:b/>
          <w:bCs/>
          <w:spacing w:val="-12"/>
          <w:sz w:val="20"/>
          <w:szCs w:val="20"/>
        </w:rPr>
        <w:t>模</w:t>
      </w:r>
      <w:r>
        <w:rPr>
          <w:spacing w:val="-20"/>
          <w:sz w:val="20"/>
          <w:szCs w:val="20"/>
        </w:rPr>
        <w:t xml:space="preserve"> </w:t>
      </w:r>
      <w:r>
        <w:rPr>
          <w:b/>
          <w:bCs/>
          <w:spacing w:val="-12"/>
          <w:sz w:val="20"/>
          <w:szCs w:val="20"/>
        </w:rPr>
        <w:t>式</w:t>
      </w:r>
    </w:p>
    <w:p w14:paraId="73179A11">
      <w:pPr>
        <w:spacing w:before="264" w:line="340" w:lineRule="auto"/>
        <w:ind w:left="699" w:right="25" w:firstLine="430"/>
        <w:rPr>
          <w:rFonts w:ascii="宋体" w:hAnsi="宋体" w:eastAsia="宋体" w:cs="宋体"/>
          <w:sz w:val="20"/>
          <w:szCs w:val="20"/>
        </w:rPr>
      </w:pPr>
      <w:r>
        <w:rPr>
          <w:rFonts w:ascii="宋体" w:hAnsi="宋体" w:eastAsia="宋体" w:cs="宋体"/>
          <w:spacing w:val="5"/>
          <w:sz w:val="20"/>
          <w:szCs w:val="20"/>
        </w:rPr>
        <w:t>19世纪晚期，生物医学模式</w:t>
      </w:r>
      <w:r>
        <w:rPr>
          <w:rFonts w:ascii="Times New Roman" w:hAnsi="Times New Roman" w:eastAsia="Times New Roman" w:cs="Times New Roman"/>
          <w:spacing w:val="5"/>
          <w:sz w:val="20"/>
          <w:szCs w:val="20"/>
        </w:rPr>
        <w:t>(</w:t>
      </w:r>
      <w:r>
        <w:rPr>
          <w:rFonts w:ascii="Times New Roman" w:hAnsi="Times New Roman" w:eastAsia="Times New Roman" w:cs="Times New Roman"/>
          <w:sz w:val="20"/>
          <w:szCs w:val="20"/>
        </w:rPr>
        <w:t>biomedical</w:t>
      </w:r>
      <w:r>
        <w:rPr>
          <w:rFonts w:ascii="Times New Roman" w:hAnsi="Times New Roman" w:eastAsia="Times New Roman" w:cs="Times New Roman"/>
          <w:spacing w:val="5"/>
          <w:sz w:val="20"/>
          <w:szCs w:val="20"/>
        </w:rPr>
        <w:t xml:space="preserve">   </w:t>
      </w:r>
      <w:r>
        <w:rPr>
          <w:rFonts w:ascii="Times New Roman" w:hAnsi="Times New Roman" w:eastAsia="Times New Roman" w:cs="Times New Roman"/>
          <w:sz w:val="20"/>
          <w:szCs w:val="20"/>
        </w:rPr>
        <w:t>model</w:t>
      </w:r>
      <w:r>
        <w:rPr>
          <w:rFonts w:ascii="Times New Roman" w:hAnsi="Times New Roman" w:eastAsia="Times New Roman" w:cs="Times New Roman"/>
          <w:spacing w:val="5"/>
          <w:sz w:val="20"/>
          <w:szCs w:val="20"/>
        </w:rPr>
        <w:t>)</w:t>
      </w:r>
      <w:r>
        <w:rPr>
          <w:rFonts w:ascii="宋体" w:hAnsi="宋体" w:eastAsia="宋体" w:cs="宋体"/>
          <w:spacing w:val="5"/>
          <w:sz w:val="20"/>
          <w:szCs w:val="20"/>
        </w:rPr>
        <w:t>应运而生，并在20世纪初快速取代了统治医学</w:t>
      </w:r>
      <w:r>
        <w:rPr>
          <w:rFonts w:ascii="宋体" w:hAnsi="宋体" w:eastAsia="宋体" w:cs="宋体"/>
          <w:spacing w:val="3"/>
          <w:sz w:val="20"/>
          <w:szCs w:val="20"/>
        </w:rPr>
        <w:t xml:space="preserve"> </w:t>
      </w:r>
      <w:r>
        <w:rPr>
          <w:rFonts w:ascii="宋体" w:hAnsi="宋体" w:eastAsia="宋体" w:cs="宋体"/>
          <w:spacing w:val="2"/>
          <w:sz w:val="20"/>
          <w:szCs w:val="20"/>
        </w:rPr>
        <w:t>界两个多世纪的体液学说。至抗生素诞生后，生物医学模式无疑成了主流的医学</w:t>
      </w:r>
      <w:r>
        <w:rPr>
          <w:rFonts w:ascii="宋体" w:hAnsi="宋体" w:eastAsia="宋体" w:cs="宋体"/>
          <w:spacing w:val="1"/>
          <w:sz w:val="20"/>
          <w:szCs w:val="20"/>
        </w:rPr>
        <w:t>模式。然而，自20</w:t>
      </w:r>
      <w:r>
        <w:rPr>
          <w:rFonts w:ascii="宋体" w:hAnsi="宋体" w:eastAsia="宋体" w:cs="宋体"/>
          <w:sz w:val="20"/>
          <w:szCs w:val="20"/>
        </w:rPr>
        <w:t xml:space="preserve"> </w:t>
      </w:r>
      <w:r>
        <w:rPr>
          <w:rFonts w:ascii="宋体" w:hAnsi="宋体" w:eastAsia="宋体" w:cs="宋体"/>
          <w:spacing w:val="6"/>
          <w:sz w:val="20"/>
          <w:szCs w:val="20"/>
        </w:rPr>
        <w:t>世纪60年代起，生物医学模式逐渐受到一些学者的质疑，人们越来越认识到，虽然生物医学</w:t>
      </w:r>
      <w:r>
        <w:rPr>
          <w:rFonts w:ascii="宋体" w:hAnsi="宋体" w:eastAsia="宋体" w:cs="宋体"/>
          <w:spacing w:val="5"/>
          <w:sz w:val="20"/>
          <w:szCs w:val="20"/>
        </w:rPr>
        <w:t>模式</w:t>
      </w:r>
      <w:r>
        <w:rPr>
          <w:rFonts w:ascii="宋体" w:hAnsi="宋体" w:eastAsia="宋体" w:cs="宋体"/>
          <w:sz w:val="20"/>
          <w:szCs w:val="20"/>
        </w:rPr>
        <w:t xml:space="preserve"> </w:t>
      </w:r>
      <w:r>
        <w:rPr>
          <w:rFonts w:ascii="宋体" w:hAnsi="宋体" w:eastAsia="宋体" w:cs="宋体"/>
          <w:spacing w:val="6"/>
          <w:sz w:val="20"/>
          <w:szCs w:val="20"/>
        </w:rPr>
        <w:t>促进了疾病治疗的发展，但是不利于维护和促进健康。生物-心理-社会医学模式</w:t>
      </w:r>
      <w:r>
        <w:rPr>
          <w:rFonts w:ascii="Times New Roman" w:hAnsi="Times New Roman" w:eastAsia="Times New Roman" w:cs="Times New Roman"/>
          <w:spacing w:val="6"/>
          <w:sz w:val="20"/>
          <w:szCs w:val="20"/>
        </w:rPr>
        <w:t>(</w:t>
      </w:r>
      <w:r>
        <w:rPr>
          <w:rFonts w:ascii="Times New Roman" w:hAnsi="Times New Roman" w:eastAsia="Times New Roman" w:cs="Times New Roman"/>
          <w:sz w:val="20"/>
          <w:szCs w:val="20"/>
        </w:rPr>
        <w:t>biopsychosocial</w:t>
      </w:r>
      <w:r>
        <w:rPr>
          <w:rFonts w:ascii="Times New Roman" w:hAnsi="Times New Roman" w:eastAsia="Times New Roman" w:cs="Times New Roman"/>
          <w:spacing w:val="2"/>
          <w:sz w:val="20"/>
          <w:szCs w:val="20"/>
        </w:rPr>
        <w:t xml:space="preserve">   </w:t>
      </w:r>
      <w:r>
        <w:rPr>
          <w:rFonts w:ascii="Times New Roman" w:hAnsi="Times New Roman" w:eastAsia="Times New Roman" w:cs="Times New Roman"/>
          <w:sz w:val="20"/>
          <w:szCs w:val="20"/>
        </w:rPr>
        <w:t xml:space="preserve">model) </w:t>
      </w:r>
      <w:r>
        <w:rPr>
          <w:rFonts w:ascii="宋体" w:hAnsi="宋体" w:eastAsia="宋体" w:cs="宋体"/>
          <w:sz w:val="20"/>
          <w:szCs w:val="20"/>
        </w:rPr>
        <w:t>开始受到重视。</w:t>
      </w:r>
    </w:p>
    <w:p w14:paraId="768EA0D5">
      <w:pPr>
        <w:pStyle w:val="2"/>
        <w:spacing w:before="75" w:line="221" w:lineRule="auto"/>
        <w:ind w:left="1132"/>
        <w:rPr>
          <w:sz w:val="20"/>
          <w:szCs w:val="20"/>
        </w:rPr>
      </w:pPr>
      <w:r>
        <w:rPr>
          <w:b/>
          <w:bCs/>
          <w:spacing w:val="15"/>
          <w:sz w:val="20"/>
          <w:szCs w:val="20"/>
        </w:rPr>
        <w:t>(</w:t>
      </w:r>
      <w:r>
        <w:rPr>
          <w:spacing w:val="-53"/>
          <w:sz w:val="20"/>
          <w:szCs w:val="20"/>
        </w:rPr>
        <w:t xml:space="preserve"> </w:t>
      </w:r>
      <w:r>
        <w:rPr>
          <w:b/>
          <w:bCs/>
          <w:spacing w:val="15"/>
          <w:sz w:val="20"/>
          <w:szCs w:val="20"/>
        </w:rPr>
        <w:t>一)生物医学模式</w:t>
      </w:r>
    </w:p>
    <w:p w14:paraId="324B8EBD">
      <w:pPr>
        <w:spacing w:before="125" w:line="346" w:lineRule="auto"/>
        <w:ind w:left="699" w:right="27" w:firstLine="430"/>
        <w:rPr>
          <w:rFonts w:ascii="宋体" w:hAnsi="宋体" w:eastAsia="宋体" w:cs="宋体"/>
          <w:sz w:val="20"/>
          <w:szCs w:val="20"/>
        </w:rPr>
      </w:pPr>
      <w:r>
        <w:rPr>
          <w:rFonts w:ascii="宋体" w:hAnsi="宋体" w:eastAsia="宋体" w:cs="宋体"/>
          <w:spacing w:val="7"/>
          <w:sz w:val="20"/>
          <w:szCs w:val="20"/>
        </w:rPr>
        <w:t>生物医学模式是建立在经典的西方医学基础之上，尤其是细菌论</w:t>
      </w:r>
      <w:r>
        <w:rPr>
          <w:rFonts w:ascii="宋体" w:hAnsi="宋体" w:eastAsia="宋体" w:cs="宋体"/>
          <w:spacing w:val="6"/>
          <w:sz w:val="20"/>
          <w:szCs w:val="20"/>
        </w:rPr>
        <w:t>基础之上的医学模式。其重</w:t>
      </w:r>
      <w:r>
        <w:rPr>
          <w:rFonts w:ascii="宋体" w:hAnsi="宋体" w:eastAsia="宋体" w:cs="宋体"/>
          <w:sz w:val="20"/>
          <w:szCs w:val="20"/>
        </w:rPr>
        <w:t xml:space="preserve"> </w:t>
      </w:r>
      <w:r>
        <w:rPr>
          <w:rFonts w:ascii="宋体" w:hAnsi="宋体" w:eastAsia="宋体" w:cs="宋体"/>
          <w:spacing w:val="-2"/>
          <w:sz w:val="20"/>
          <w:szCs w:val="20"/>
        </w:rPr>
        <w:t>视疾病的生物学因素，并用该理论来解释、诊断、治疗和预防疾病以及制定卫生保健制度。</w:t>
      </w:r>
    </w:p>
    <w:p w14:paraId="1DDFF54E">
      <w:pPr>
        <w:spacing w:before="4" w:line="351" w:lineRule="auto"/>
        <w:ind w:left="699" w:firstLine="430"/>
        <w:jc w:val="both"/>
        <w:rPr>
          <w:rFonts w:ascii="宋体" w:hAnsi="宋体" w:eastAsia="宋体" w:cs="宋体"/>
          <w:sz w:val="20"/>
          <w:szCs w:val="20"/>
        </w:rPr>
      </w:pPr>
      <w:r>
        <w:rPr>
          <w:rFonts w:ascii="宋体" w:hAnsi="宋体" w:eastAsia="宋体" w:cs="宋体"/>
          <w:spacing w:val="2"/>
          <w:sz w:val="20"/>
          <w:szCs w:val="20"/>
        </w:rPr>
        <w:t>在生物医学模式下，所谓健康就是没有疾病。而疾病是由于生物学因素，如细菌、病毒等病原</w:t>
      </w:r>
      <w:r>
        <w:rPr>
          <w:rFonts w:ascii="宋体" w:hAnsi="宋体" w:eastAsia="宋体" w:cs="宋体"/>
          <w:spacing w:val="13"/>
          <w:sz w:val="20"/>
          <w:szCs w:val="20"/>
        </w:rPr>
        <w:t xml:space="preserve"> </w:t>
      </w:r>
      <w:r>
        <w:rPr>
          <w:rFonts w:ascii="宋体" w:hAnsi="宋体" w:eastAsia="宋体" w:cs="宋体"/>
          <w:spacing w:val="2"/>
          <w:sz w:val="20"/>
          <w:szCs w:val="20"/>
        </w:rPr>
        <w:t>体的作用，或者是机体的生物功能失常导致的结果。通过医学措施(如药物、手术等)可以恢复机体</w:t>
      </w:r>
      <w:r>
        <w:rPr>
          <w:rFonts w:ascii="宋体" w:hAnsi="宋体" w:eastAsia="宋体" w:cs="宋体"/>
          <w:spacing w:val="9"/>
          <w:sz w:val="20"/>
          <w:szCs w:val="20"/>
        </w:rPr>
        <w:t xml:space="preserve"> </w:t>
      </w:r>
      <w:r>
        <w:rPr>
          <w:rFonts w:ascii="宋体" w:hAnsi="宋体" w:eastAsia="宋体" w:cs="宋体"/>
          <w:spacing w:val="2"/>
          <w:sz w:val="20"/>
          <w:szCs w:val="20"/>
        </w:rPr>
        <w:t>健康。在医治过程中，医务人员处于权威地位，病人处于被动状态，治疗的是疾病而不是病人。卫</w:t>
      </w:r>
      <w:r>
        <w:rPr>
          <w:rFonts w:ascii="宋体" w:hAnsi="宋体" w:eastAsia="宋体" w:cs="宋体"/>
          <w:spacing w:val="12"/>
          <w:sz w:val="20"/>
          <w:szCs w:val="20"/>
        </w:rPr>
        <w:t xml:space="preserve"> </w:t>
      </w:r>
      <w:r>
        <w:rPr>
          <w:rFonts w:ascii="宋体" w:hAnsi="宋体" w:eastAsia="宋体" w:cs="宋体"/>
          <w:spacing w:val="7"/>
          <w:sz w:val="20"/>
          <w:szCs w:val="20"/>
        </w:rPr>
        <w:t>生服务的发展方向以治疗疾病和伤残为主。在生物医学模式下，人们对机体的了解有了极大的改</w:t>
      </w:r>
      <w:r>
        <w:rPr>
          <w:rFonts w:ascii="宋体" w:hAnsi="宋体" w:eastAsia="宋体" w:cs="宋体"/>
          <w:spacing w:val="3"/>
          <w:sz w:val="20"/>
          <w:szCs w:val="20"/>
        </w:rPr>
        <w:t xml:space="preserve"> </w:t>
      </w:r>
      <w:r>
        <w:rPr>
          <w:rFonts w:ascii="宋体" w:hAnsi="宋体" w:eastAsia="宋体" w:cs="宋体"/>
          <w:spacing w:val="-2"/>
          <w:sz w:val="20"/>
          <w:szCs w:val="20"/>
        </w:rPr>
        <w:t>善，很多过去是致命的疾病得以治疗，人的期望寿命逐步</w:t>
      </w:r>
      <w:r>
        <w:rPr>
          <w:rFonts w:ascii="宋体" w:hAnsi="宋体" w:eastAsia="宋体" w:cs="宋体"/>
          <w:spacing w:val="-3"/>
          <w:sz w:val="20"/>
          <w:szCs w:val="20"/>
        </w:rPr>
        <w:t>提高。</w:t>
      </w:r>
    </w:p>
    <w:p w14:paraId="7688FC22">
      <w:pPr>
        <w:pStyle w:val="2"/>
        <w:spacing w:before="1" w:line="221" w:lineRule="auto"/>
        <w:ind w:left="1132"/>
        <w:rPr>
          <w:sz w:val="20"/>
          <w:szCs w:val="20"/>
        </w:rPr>
      </w:pPr>
      <w:r>
        <w:rPr>
          <w:b/>
          <w:bCs/>
          <w:spacing w:val="19"/>
          <w:sz w:val="20"/>
          <w:szCs w:val="20"/>
        </w:rPr>
        <w:t>(二)生物-心理-社会医学模式</w:t>
      </w:r>
    </w:p>
    <w:p w14:paraId="7D0E138F">
      <w:pPr>
        <w:spacing w:before="114" w:line="351" w:lineRule="auto"/>
        <w:ind w:left="699" w:firstLine="430"/>
        <w:rPr>
          <w:rFonts w:ascii="宋体" w:hAnsi="宋体" w:eastAsia="宋体" w:cs="宋体"/>
          <w:sz w:val="20"/>
          <w:szCs w:val="20"/>
        </w:rPr>
      </w:pPr>
      <w:r>
        <w:rPr>
          <w:rFonts w:ascii="宋体" w:hAnsi="宋体" w:eastAsia="宋体" w:cs="宋体"/>
          <w:spacing w:val="2"/>
          <w:sz w:val="20"/>
          <w:szCs w:val="20"/>
        </w:rPr>
        <w:t>生物-心理-社会医学模式是从生物、心理和社会等方面来观察、分析和思考，并且处理疾病和</w:t>
      </w:r>
      <w:r>
        <w:rPr>
          <w:rFonts w:ascii="宋体" w:hAnsi="宋体" w:eastAsia="宋体" w:cs="宋体"/>
          <w:spacing w:val="11"/>
          <w:sz w:val="20"/>
          <w:szCs w:val="20"/>
        </w:rPr>
        <w:t xml:space="preserve"> </w:t>
      </w:r>
      <w:r>
        <w:rPr>
          <w:rFonts w:ascii="宋体" w:hAnsi="宋体" w:eastAsia="宋体" w:cs="宋体"/>
          <w:spacing w:val="3"/>
          <w:sz w:val="20"/>
          <w:szCs w:val="20"/>
        </w:rPr>
        <w:t>健康问题的科学观和方法论。</w:t>
      </w:r>
    </w:p>
    <w:p w14:paraId="6E916148">
      <w:pPr>
        <w:spacing w:before="4" w:line="342" w:lineRule="auto"/>
        <w:ind w:left="699" w:right="4" w:firstLine="430"/>
        <w:jc w:val="both"/>
        <w:rPr>
          <w:rFonts w:ascii="宋体" w:hAnsi="宋体" w:eastAsia="宋体" w:cs="宋体"/>
          <w:sz w:val="20"/>
          <w:szCs w:val="20"/>
        </w:rPr>
      </w:pPr>
      <w:r>
        <w:rPr>
          <w:rFonts w:ascii="宋体" w:hAnsi="宋体" w:eastAsia="宋体" w:cs="宋体"/>
          <w:spacing w:val="2"/>
          <w:sz w:val="20"/>
          <w:szCs w:val="20"/>
        </w:rPr>
        <w:t>在生物-心理-社会医学模式下，健康是一个积极的概念，涵盖生理、心理、精神和社会四个层</w:t>
      </w:r>
      <w:r>
        <w:rPr>
          <w:rFonts w:ascii="宋体" w:hAnsi="宋体" w:eastAsia="宋体" w:cs="宋体"/>
          <w:spacing w:val="6"/>
          <w:sz w:val="20"/>
          <w:szCs w:val="20"/>
        </w:rPr>
        <w:t xml:space="preserve"> </w:t>
      </w:r>
      <w:r>
        <w:rPr>
          <w:rFonts w:ascii="宋体" w:hAnsi="宋体" w:eastAsia="宋体" w:cs="宋体"/>
          <w:spacing w:val="3"/>
          <w:sz w:val="20"/>
          <w:szCs w:val="20"/>
        </w:rPr>
        <w:t>面。影响健康的因素不只是个体生物学因素，还包括</w:t>
      </w:r>
      <w:r>
        <w:rPr>
          <w:rFonts w:ascii="宋体" w:hAnsi="宋体" w:eastAsia="宋体" w:cs="宋体"/>
          <w:spacing w:val="2"/>
          <w:sz w:val="20"/>
          <w:szCs w:val="20"/>
        </w:rPr>
        <w:t>生活方式因素及外界各种环境因素，是多种因</w:t>
      </w:r>
      <w:r>
        <w:rPr>
          <w:rFonts w:ascii="宋体" w:hAnsi="宋体" w:eastAsia="宋体" w:cs="宋体"/>
          <w:sz w:val="20"/>
          <w:szCs w:val="20"/>
        </w:rPr>
        <w:t xml:space="preserve"> </w:t>
      </w:r>
      <w:r>
        <w:rPr>
          <w:rFonts w:ascii="宋体" w:hAnsi="宋体" w:eastAsia="宋体" w:cs="宋体"/>
          <w:spacing w:val="2"/>
          <w:sz w:val="20"/>
          <w:szCs w:val="20"/>
        </w:rPr>
        <w:t>素综合作用的结果。在这种认识的基础上，疾病的预防、管理和康复及健康促进要比疾病治疗更为</w:t>
      </w:r>
      <w:r>
        <w:rPr>
          <w:rFonts w:ascii="宋体" w:hAnsi="宋体" w:eastAsia="宋体" w:cs="宋体"/>
          <w:spacing w:val="12"/>
          <w:sz w:val="20"/>
          <w:szCs w:val="20"/>
        </w:rPr>
        <w:t xml:space="preserve"> </w:t>
      </w:r>
      <w:r>
        <w:rPr>
          <w:rFonts w:ascii="宋体" w:hAnsi="宋体" w:eastAsia="宋体" w:cs="宋体"/>
          <w:spacing w:val="2"/>
          <w:sz w:val="20"/>
          <w:szCs w:val="20"/>
        </w:rPr>
        <w:t>重要。单纯依靠医学措施远不足以实现这样的目标，政策、经济措施、环境工程措施等可能发挥更</w:t>
      </w:r>
      <w:r>
        <w:rPr>
          <w:rFonts w:ascii="宋体" w:hAnsi="宋体" w:eastAsia="宋体" w:cs="宋体"/>
          <w:spacing w:val="12"/>
          <w:sz w:val="20"/>
          <w:szCs w:val="20"/>
        </w:rPr>
        <w:t xml:space="preserve"> </w:t>
      </w:r>
      <w:r>
        <w:rPr>
          <w:rFonts w:ascii="宋体" w:hAnsi="宋体" w:eastAsia="宋体" w:cs="宋体"/>
          <w:spacing w:val="8"/>
          <w:sz w:val="20"/>
          <w:szCs w:val="20"/>
        </w:rPr>
        <w:t>大的作用。</w:t>
      </w:r>
    </w:p>
    <w:p w14:paraId="7AC94E02">
      <w:pPr>
        <w:spacing w:line="342" w:lineRule="auto"/>
        <w:rPr>
          <w:rFonts w:ascii="宋体" w:hAnsi="宋体" w:eastAsia="宋体" w:cs="宋体"/>
          <w:sz w:val="20"/>
          <w:szCs w:val="20"/>
        </w:rPr>
        <w:sectPr>
          <w:footerReference r:id="rId183" w:type="default"/>
          <w:pgSz w:w="11900" w:h="16820"/>
          <w:pgMar w:top="376" w:right="1623" w:bottom="809" w:left="850" w:header="0" w:footer="629" w:gutter="0"/>
          <w:cols w:space="720" w:num="1"/>
        </w:sectPr>
      </w:pPr>
    </w:p>
    <w:p w14:paraId="27FDC3F9">
      <w:pPr>
        <w:pStyle w:val="2"/>
        <w:spacing w:before="243" w:line="221" w:lineRule="auto"/>
        <w:ind w:left="7662"/>
        <w:rPr>
          <w:sz w:val="19"/>
          <w:szCs w:val="19"/>
        </w:rPr>
      </w:pPr>
      <w:r>
        <w:rPr>
          <w:b/>
          <w:bCs/>
          <w:spacing w:val="1"/>
          <w:sz w:val="19"/>
          <w:szCs w:val="19"/>
        </w:rPr>
        <w:t>第九章预防策略</w:t>
      </w:r>
    </w:p>
    <w:p w14:paraId="6A3DECA5">
      <w:pPr>
        <w:spacing w:line="250" w:lineRule="auto"/>
        <w:rPr>
          <w:rFonts w:ascii="Arial"/>
          <w:sz w:val="21"/>
        </w:rPr>
      </w:pPr>
    </w:p>
    <w:p w14:paraId="1A61CBA1">
      <w:pPr>
        <w:spacing w:line="250" w:lineRule="auto"/>
        <w:rPr>
          <w:rFonts w:ascii="Arial"/>
          <w:sz w:val="21"/>
        </w:rPr>
      </w:pPr>
    </w:p>
    <w:p w14:paraId="5DF49FE8">
      <w:pPr>
        <w:spacing w:line="250" w:lineRule="auto"/>
        <w:rPr>
          <w:rFonts w:ascii="Arial"/>
          <w:sz w:val="21"/>
        </w:rPr>
      </w:pPr>
    </w:p>
    <w:p w14:paraId="77103ADA">
      <w:pPr>
        <w:spacing w:line="250" w:lineRule="auto"/>
        <w:rPr>
          <w:rFonts w:ascii="Arial"/>
          <w:sz w:val="21"/>
        </w:rPr>
      </w:pPr>
    </w:p>
    <w:p w14:paraId="18FC1E6B">
      <w:pPr>
        <w:pStyle w:val="2"/>
        <w:spacing w:before="98" w:line="221" w:lineRule="auto"/>
        <w:ind w:left="2954"/>
        <w:outlineLvl w:val="1"/>
      </w:pPr>
      <w:bookmarkStart w:id="267" w:name="bookmark492"/>
      <w:bookmarkEnd w:id="267"/>
      <w:bookmarkStart w:id="268" w:name="bookmark169"/>
      <w:bookmarkEnd w:id="268"/>
      <w:r>
        <w:rPr>
          <w:b/>
          <w:bCs/>
          <w:spacing w:val="-6"/>
        </w:rPr>
        <w:t>第二节</w:t>
      </w:r>
      <w:r>
        <w:rPr>
          <w:spacing w:val="133"/>
        </w:rPr>
        <w:t xml:space="preserve"> </w:t>
      </w:r>
      <w:r>
        <w:rPr>
          <w:b/>
          <w:bCs/>
          <w:spacing w:val="-6"/>
        </w:rPr>
        <w:t>预防策略与措施</w:t>
      </w:r>
    </w:p>
    <w:p w14:paraId="538B4CB9">
      <w:pPr>
        <w:spacing w:line="386" w:lineRule="auto"/>
        <w:rPr>
          <w:rFonts w:ascii="Arial"/>
          <w:sz w:val="21"/>
        </w:rPr>
      </w:pPr>
    </w:p>
    <w:p w14:paraId="64B3A30B">
      <w:pPr>
        <w:pStyle w:val="2"/>
        <w:spacing w:before="82" w:line="222" w:lineRule="auto"/>
        <w:ind w:left="433"/>
        <w:outlineLvl w:val="2"/>
        <w:rPr>
          <w:sz w:val="25"/>
          <w:szCs w:val="25"/>
        </w:rPr>
      </w:pPr>
      <w:bookmarkStart w:id="269" w:name="bookmark170"/>
      <w:bookmarkEnd w:id="269"/>
      <w:r>
        <w:rPr>
          <w:b/>
          <w:bCs/>
          <w:spacing w:val="-3"/>
          <w:sz w:val="25"/>
          <w:szCs w:val="25"/>
        </w:rPr>
        <w:t>一</w:t>
      </w:r>
      <w:r>
        <w:rPr>
          <w:spacing w:val="-39"/>
          <w:sz w:val="25"/>
          <w:szCs w:val="25"/>
        </w:rPr>
        <w:t xml:space="preserve"> </w:t>
      </w:r>
      <w:r>
        <w:rPr>
          <w:b/>
          <w:bCs/>
          <w:spacing w:val="-3"/>
          <w:sz w:val="25"/>
          <w:szCs w:val="25"/>
        </w:rPr>
        <w:t>、策略与措施</w:t>
      </w:r>
    </w:p>
    <w:p w14:paraId="4FB18F6A">
      <w:pPr>
        <w:spacing w:before="260" w:line="363" w:lineRule="auto"/>
        <w:ind w:right="625" w:firstLine="429"/>
        <w:jc w:val="both"/>
        <w:rPr>
          <w:rFonts w:ascii="宋体" w:hAnsi="宋体" w:eastAsia="宋体" w:cs="宋体"/>
          <w:sz w:val="19"/>
          <w:szCs w:val="19"/>
        </w:rPr>
      </w:pPr>
      <w:r>
        <w:rPr>
          <w:rFonts w:ascii="宋体" w:hAnsi="宋体" w:eastAsia="宋体" w:cs="宋体"/>
          <w:spacing w:val="14"/>
          <w:sz w:val="19"/>
          <w:szCs w:val="19"/>
        </w:rPr>
        <w:t>策 略</w:t>
      </w:r>
      <w:r>
        <w:rPr>
          <w:rFonts w:ascii="Times New Roman" w:hAnsi="Times New Roman" w:eastAsia="Times New Roman" w:cs="Times New Roman"/>
          <w:spacing w:val="14"/>
          <w:sz w:val="19"/>
          <w:szCs w:val="19"/>
        </w:rPr>
        <w:t>(</w:t>
      </w:r>
      <w:r>
        <w:rPr>
          <w:rFonts w:ascii="Times New Roman" w:hAnsi="Times New Roman" w:eastAsia="Times New Roman" w:cs="Times New Roman"/>
          <w:sz w:val="19"/>
          <w:szCs w:val="19"/>
        </w:rPr>
        <w:t>strategy</w:t>
      </w:r>
      <w:r>
        <w:rPr>
          <w:rFonts w:ascii="Times New Roman" w:hAnsi="Times New Roman" w:eastAsia="Times New Roman" w:cs="Times New Roman"/>
          <w:spacing w:val="14"/>
          <w:sz w:val="19"/>
          <w:szCs w:val="19"/>
        </w:rPr>
        <w:t xml:space="preserve">)   </w:t>
      </w:r>
      <w:r>
        <w:rPr>
          <w:rFonts w:ascii="宋体" w:hAnsi="宋体" w:eastAsia="宋体" w:cs="宋体"/>
          <w:spacing w:val="14"/>
          <w:sz w:val="19"/>
          <w:szCs w:val="19"/>
        </w:rPr>
        <w:t>是为了实现某一特定目标而制定的引领全局的指导思想、行动方针，是</w:t>
      </w:r>
      <w:r>
        <w:rPr>
          <w:rFonts w:ascii="宋体" w:hAnsi="宋体" w:eastAsia="宋体" w:cs="宋体"/>
          <w:spacing w:val="13"/>
          <w:sz w:val="19"/>
          <w:szCs w:val="19"/>
        </w:rPr>
        <w:t>战略性和</w:t>
      </w:r>
      <w:r>
        <w:rPr>
          <w:rFonts w:ascii="宋体" w:hAnsi="宋体" w:eastAsia="宋体" w:cs="宋体"/>
          <w:sz w:val="19"/>
          <w:szCs w:val="19"/>
        </w:rPr>
        <w:t xml:space="preserve"> </w:t>
      </w:r>
      <w:r>
        <w:rPr>
          <w:rFonts w:ascii="宋体" w:hAnsi="宋体" w:eastAsia="宋体" w:cs="宋体"/>
          <w:spacing w:val="20"/>
          <w:sz w:val="19"/>
          <w:szCs w:val="19"/>
        </w:rPr>
        <w:t>全局性的；而措施是为了实现预期目标所采取的具体方法、步骤，是具体防制手段，是</w:t>
      </w:r>
      <w:r>
        <w:rPr>
          <w:rFonts w:ascii="宋体" w:hAnsi="宋体" w:eastAsia="宋体" w:cs="宋体"/>
          <w:spacing w:val="19"/>
          <w:sz w:val="19"/>
          <w:szCs w:val="19"/>
        </w:rPr>
        <w:t>战术性和局</w:t>
      </w:r>
      <w:r>
        <w:rPr>
          <w:rFonts w:ascii="宋体" w:hAnsi="宋体" w:eastAsia="宋体" w:cs="宋体"/>
          <w:sz w:val="19"/>
          <w:szCs w:val="19"/>
        </w:rPr>
        <w:t xml:space="preserve"> </w:t>
      </w:r>
      <w:r>
        <w:rPr>
          <w:rFonts w:ascii="宋体" w:hAnsi="宋体" w:eastAsia="宋体" w:cs="宋体"/>
          <w:spacing w:val="20"/>
          <w:sz w:val="19"/>
          <w:szCs w:val="19"/>
        </w:rPr>
        <w:t>部的。策略与措施密切相关，相互影响。只有在有效策略的指导下，采</w:t>
      </w:r>
      <w:r>
        <w:rPr>
          <w:rFonts w:ascii="宋体" w:hAnsi="宋体" w:eastAsia="宋体" w:cs="宋体"/>
          <w:spacing w:val="19"/>
          <w:sz w:val="19"/>
          <w:szCs w:val="19"/>
        </w:rPr>
        <w:t>取对疾病或健康问题行之有</w:t>
      </w:r>
      <w:r>
        <w:rPr>
          <w:rFonts w:ascii="宋体" w:hAnsi="宋体" w:eastAsia="宋体" w:cs="宋体"/>
          <w:sz w:val="19"/>
          <w:szCs w:val="19"/>
        </w:rPr>
        <w:t xml:space="preserve"> </w:t>
      </w:r>
      <w:r>
        <w:rPr>
          <w:rFonts w:ascii="宋体" w:hAnsi="宋体" w:eastAsia="宋体" w:cs="宋体"/>
          <w:spacing w:val="20"/>
          <w:sz w:val="19"/>
          <w:szCs w:val="19"/>
        </w:rPr>
        <w:t>效的一系列必要的措施，才能达到预期的效果。以全球消灭天花行</w:t>
      </w:r>
      <w:r>
        <w:rPr>
          <w:rFonts w:ascii="宋体" w:hAnsi="宋体" w:eastAsia="宋体" w:cs="宋体"/>
          <w:spacing w:val="19"/>
          <w:sz w:val="19"/>
          <w:szCs w:val="19"/>
        </w:rPr>
        <w:t>动为例，可以说明策略的有效性</w:t>
      </w:r>
      <w:r>
        <w:rPr>
          <w:rFonts w:ascii="宋体" w:hAnsi="宋体" w:eastAsia="宋体" w:cs="宋体"/>
          <w:sz w:val="19"/>
          <w:szCs w:val="19"/>
        </w:rPr>
        <w:t xml:space="preserve"> </w:t>
      </w:r>
      <w:r>
        <w:rPr>
          <w:rFonts w:ascii="宋体" w:hAnsi="宋体" w:eastAsia="宋体" w:cs="宋体"/>
          <w:spacing w:val="20"/>
          <w:sz w:val="19"/>
          <w:szCs w:val="19"/>
        </w:rPr>
        <w:t>对既定目标能否实现起着关键的作用，详见第十一章第四节。当</w:t>
      </w:r>
      <w:r>
        <w:rPr>
          <w:rFonts w:ascii="宋体" w:hAnsi="宋体" w:eastAsia="宋体" w:cs="宋体"/>
          <w:spacing w:val="19"/>
          <w:sz w:val="19"/>
          <w:szCs w:val="19"/>
        </w:rPr>
        <w:t>然，不考虑措施可行性和有效性所</w:t>
      </w:r>
      <w:r>
        <w:rPr>
          <w:rFonts w:ascii="宋体" w:hAnsi="宋体" w:eastAsia="宋体" w:cs="宋体"/>
          <w:sz w:val="19"/>
          <w:szCs w:val="19"/>
        </w:rPr>
        <w:t xml:space="preserve"> </w:t>
      </w:r>
      <w:r>
        <w:rPr>
          <w:rFonts w:ascii="宋体" w:hAnsi="宋体" w:eastAsia="宋体" w:cs="宋体"/>
          <w:spacing w:val="20"/>
          <w:sz w:val="19"/>
          <w:szCs w:val="19"/>
        </w:rPr>
        <w:t>制定的策略，也很难实现预期目标。另外，虽然措施服从于策略，</w:t>
      </w:r>
      <w:r>
        <w:rPr>
          <w:rFonts w:ascii="宋体" w:hAnsi="宋体" w:eastAsia="宋体" w:cs="宋体"/>
          <w:spacing w:val="19"/>
          <w:sz w:val="19"/>
          <w:szCs w:val="19"/>
        </w:rPr>
        <w:t>但一些措施的发展有时也会促进</w:t>
      </w:r>
      <w:r>
        <w:rPr>
          <w:rFonts w:ascii="宋体" w:hAnsi="宋体" w:eastAsia="宋体" w:cs="宋体"/>
          <w:sz w:val="19"/>
          <w:szCs w:val="19"/>
        </w:rPr>
        <w:t xml:space="preserve"> </w:t>
      </w:r>
      <w:r>
        <w:rPr>
          <w:rFonts w:ascii="宋体" w:hAnsi="宋体" w:eastAsia="宋体" w:cs="宋体"/>
          <w:spacing w:val="19"/>
          <w:sz w:val="19"/>
          <w:szCs w:val="19"/>
        </w:rPr>
        <w:t>策略的改变。例如，针对某些传染病(如麻疹、脊髓灰质炎等)的疫苗的研制成功和推广，改变了相</w:t>
      </w:r>
      <w:r>
        <w:rPr>
          <w:rFonts w:ascii="宋体" w:hAnsi="宋体" w:eastAsia="宋体" w:cs="宋体"/>
          <w:spacing w:val="18"/>
          <w:sz w:val="19"/>
          <w:szCs w:val="19"/>
        </w:rPr>
        <w:t xml:space="preserve"> </w:t>
      </w:r>
      <w:r>
        <w:rPr>
          <w:rFonts w:ascii="宋体" w:hAnsi="宋体" w:eastAsia="宋体" w:cs="宋体"/>
          <w:spacing w:val="23"/>
          <w:sz w:val="19"/>
          <w:szCs w:val="19"/>
        </w:rPr>
        <w:t>应疾病的预防策略。</w:t>
      </w:r>
    </w:p>
    <w:p w14:paraId="7014A757">
      <w:pPr>
        <w:pStyle w:val="2"/>
        <w:spacing w:before="179" w:line="221" w:lineRule="auto"/>
        <w:ind w:left="513"/>
        <w:outlineLvl w:val="2"/>
        <w:rPr>
          <w:sz w:val="25"/>
          <w:szCs w:val="25"/>
        </w:rPr>
      </w:pPr>
      <w:bookmarkStart w:id="270" w:name="bookmark171"/>
      <w:bookmarkEnd w:id="270"/>
      <w:r>
        <w:rPr>
          <w:b/>
          <w:bCs/>
          <w:spacing w:val="-5"/>
          <w:sz w:val="25"/>
          <w:szCs w:val="25"/>
        </w:rPr>
        <w:t>二</w:t>
      </w:r>
      <w:r>
        <w:rPr>
          <w:spacing w:val="-57"/>
          <w:sz w:val="25"/>
          <w:szCs w:val="25"/>
        </w:rPr>
        <w:t xml:space="preserve"> </w:t>
      </w:r>
      <w:r>
        <w:rPr>
          <w:b/>
          <w:bCs/>
          <w:spacing w:val="-5"/>
          <w:sz w:val="25"/>
          <w:szCs w:val="25"/>
        </w:rPr>
        <w:t>、疾病预防</w:t>
      </w:r>
    </w:p>
    <w:p w14:paraId="62697835">
      <w:pPr>
        <w:spacing w:before="293" w:line="342" w:lineRule="auto"/>
        <w:ind w:right="619" w:firstLine="429"/>
        <w:jc w:val="both"/>
        <w:rPr>
          <w:rFonts w:ascii="宋体" w:hAnsi="宋体" w:eastAsia="宋体" w:cs="宋体"/>
          <w:sz w:val="19"/>
          <w:szCs w:val="19"/>
        </w:rPr>
      </w:pPr>
      <w:r>
        <w:rPr>
          <w:rFonts w:ascii="宋体" w:hAnsi="宋体" w:eastAsia="宋体" w:cs="宋体"/>
          <w:spacing w:val="20"/>
          <w:sz w:val="19"/>
          <w:szCs w:val="19"/>
        </w:rPr>
        <w:t>与传统的疾病预防理念相比，全球疾病预防</w:t>
      </w:r>
      <w:r>
        <w:rPr>
          <w:rFonts w:ascii="宋体" w:hAnsi="宋体" w:eastAsia="宋体" w:cs="宋体"/>
          <w:spacing w:val="19"/>
          <w:sz w:val="19"/>
          <w:szCs w:val="19"/>
        </w:rPr>
        <w:t>策略发生了一些转变。例如，从关注疾病转向关注</w:t>
      </w:r>
      <w:r>
        <w:rPr>
          <w:rFonts w:ascii="宋体" w:hAnsi="宋体" w:eastAsia="宋体" w:cs="宋体"/>
          <w:sz w:val="19"/>
          <w:szCs w:val="19"/>
        </w:rPr>
        <w:t xml:space="preserve"> </w:t>
      </w:r>
      <w:r>
        <w:rPr>
          <w:rFonts w:ascii="宋体" w:hAnsi="宋体" w:eastAsia="宋体" w:cs="宋体"/>
          <w:spacing w:val="20"/>
          <w:sz w:val="19"/>
          <w:szCs w:val="19"/>
        </w:rPr>
        <w:t>危险因素，从关注近端危险因素转向关注远端危险因素，强调常见危险因素控制；预防策略上突出</w:t>
      </w:r>
      <w:r>
        <w:rPr>
          <w:rFonts w:ascii="宋体" w:hAnsi="宋体" w:eastAsia="宋体" w:cs="宋体"/>
          <w:spacing w:val="2"/>
          <w:sz w:val="19"/>
          <w:szCs w:val="19"/>
        </w:rPr>
        <w:t xml:space="preserve"> </w:t>
      </w:r>
      <w:r>
        <w:rPr>
          <w:rFonts w:ascii="宋体" w:hAnsi="宋体" w:eastAsia="宋体" w:cs="宋体"/>
          <w:spacing w:val="19"/>
          <w:sz w:val="19"/>
          <w:szCs w:val="19"/>
        </w:rPr>
        <w:t>了一级预防、全人群策略和整合的危险因素管理的重要性；大力开展监测</w:t>
      </w:r>
      <w:r>
        <w:rPr>
          <w:rFonts w:ascii="宋体" w:hAnsi="宋体" w:eastAsia="宋体" w:cs="宋体"/>
          <w:spacing w:val="18"/>
          <w:sz w:val="19"/>
          <w:szCs w:val="19"/>
        </w:rPr>
        <w:t>活动，实现真正意义的循</w:t>
      </w:r>
      <w:r>
        <w:rPr>
          <w:rFonts w:ascii="宋体" w:hAnsi="宋体" w:eastAsia="宋体" w:cs="宋体"/>
          <w:sz w:val="19"/>
          <w:szCs w:val="19"/>
        </w:rPr>
        <w:t xml:space="preserve"> </w:t>
      </w:r>
      <w:r>
        <w:rPr>
          <w:rFonts w:ascii="宋体" w:hAnsi="宋体" w:eastAsia="宋体" w:cs="宋体"/>
          <w:spacing w:val="22"/>
          <w:sz w:val="19"/>
          <w:szCs w:val="19"/>
        </w:rPr>
        <w:t>证决策等。</w:t>
      </w:r>
    </w:p>
    <w:p w14:paraId="62ECBFE9">
      <w:pPr>
        <w:pStyle w:val="2"/>
        <w:spacing w:before="1" w:line="220" w:lineRule="auto"/>
        <w:ind w:left="433"/>
        <w:rPr>
          <w:sz w:val="25"/>
          <w:szCs w:val="25"/>
        </w:rPr>
      </w:pPr>
      <w:r>
        <w:rPr>
          <w:b/>
          <w:bCs/>
          <w:spacing w:val="1"/>
          <w:sz w:val="25"/>
          <w:szCs w:val="25"/>
        </w:rPr>
        <w:t>(一)概述</w:t>
      </w:r>
    </w:p>
    <w:p w14:paraId="57FBED5F">
      <w:pPr>
        <w:pStyle w:val="2"/>
        <w:spacing w:before="150" w:line="298" w:lineRule="auto"/>
        <w:ind w:right="587" w:firstLine="432"/>
        <w:rPr>
          <w:rFonts w:ascii="Times New Roman" w:hAnsi="Times New Roman" w:eastAsia="Times New Roman" w:cs="Times New Roman"/>
          <w:sz w:val="19"/>
          <w:szCs w:val="19"/>
        </w:rPr>
      </w:pPr>
      <w:r>
        <w:rPr>
          <w:rFonts w:ascii="宋体" w:hAnsi="宋体" w:eastAsia="宋体" w:cs="宋体"/>
          <w:b/>
          <w:bCs/>
          <w:spacing w:val="18"/>
          <w:sz w:val="19"/>
          <w:szCs w:val="19"/>
        </w:rPr>
        <w:t>1.</w:t>
      </w:r>
      <w:r>
        <w:rPr>
          <w:rFonts w:ascii="宋体" w:hAnsi="宋体" w:eastAsia="宋体" w:cs="宋体"/>
          <w:spacing w:val="18"/>
          <w:sz w:val="19"/>
          <w:szCs w:val="19"/>
        </w:rPr>
        <w:t xml:space="preserve"> </w:t>
      </w:r>
      <w:r>
        <w:rPr>
          <w:b/>
          <w:bCs/>
          <w:spacing w:val="18"/>
          <w:sz w:val="19"/>
          <w:szCs w:val="19"/>
        </w:rPr>
        <w:t>疾病预防</w:t>
      </w:r>
      <w:r>
        <w:rPr>
          <w:spacing w:val="78"/>
          <w:sz w:val="19"/>
          <w:szCs w:val="19"/>
        </w:rPr>
        <w:t xml:space="preserve"> </w:t>
      </w:r>
      <w:r>
        <w:rPr>
          <w:rFonts w:ascii="宋体" w:hAnsi="宋体" w:eastAsia="宋体" w:cs="宋体"/>
          <w:spacing w:val="18"/>
          <w:sz w:val="19"/>
          <w:szCs w:val="19"/>
        </w:rPr>
        <w:t>疾病预防，即预防疾病(或伤</w:t>
      </w:r>
      <w:r>
        <w:rPr>
          <w:rFonts w:ascii="宋体" w:hAnsi="宋体" w:eastAsia="宋体" w:cs="宋体"/>
          <w:spacing w:val="17"/>
          <w:sz w:val="19"/>
          <w:szCs w:val="19"/>
        </w:rPr>
        <w:t>害)和残疾发生，阻止或延缓其发展的一系列活动。</w:t>
      </w:r>
      <w:r>
        <w:rPr>
          <w:rFonts w:ascii="宋体" w:hAnsi="宋体" w:eastAsia="宋体" w:cs="宋体"/>
          <w:sz w:val="19"/>
          <w:szCs w:val="19"/>
        </w:rPr>
        <w:t xml:space="preserve"> </w:t>
      </w:r>
      <w:r>
        <w:rPr>
          <w:rFonts w:ascii="宋体" w:hAnsi="宋体" w:eastAsia="宋体" w:cs="宋体"/>
          <w:spacing w:val="26"/>
          <w:sz w:val="19"/>
          <w:szCs w:val="19"/>
        </w:rPr>
        <w:t>预防的主要目的是消灭或消除疾病(或伤害),或将疾病(或伤害)和残疾</w:t>
      </w:r>
      <w:r>
        <w:rPr>
          <w:rFonts w:ascii="宋体" w:hAnsi="宋体" w:eastAsia="宋体" w:cs="宋体"/>
          <w:spacing w:val="25"/>
          <w:sz w:val="19"/>
          <w:szCs w:val="19"/>
        </w:rPr>
        <w:t>对生活质量的影响降到最</w:t>
      </w:r>
      <w:r>
        <w:rPr>
          <w:rFonts w:ascii="宋体" w:hAnsi="宋体" w:eastAsia="宋体" w:cs="宋体"/>
          <w:sz w:val="19"/>
          <w:szCs w:val="19"/>
        </w:rPr>
        <w:t xml:space="preserve"> </w:t>
      </w:r>
      <w:r>
        <w:rPr>
          <w:rFonts w:ascii="宋体" w:hAnsi="宋体" w:eastAsia="宋体" w:cs="宋体"/>
          <w:spacing w:val="16"/>
          <w:sz w:val="19"/>
          <w:szCs w:val="19"/>
        </w:rPr>
        <w:t>低，如果这些难以实现，至少推迟疾病的发生，或延缓疾病和残疾的</w:t>
      </w:r>
      <w:r>
        <w:rPr>
          <w:rFonts w:ascii="宋体" w:hAnsi="宋体" w:eastAsia="宋体" w:cs="宋体"/>
          <w:spacing w:val="15"/>
          <w:sz w:val="19"/>
          <w:szCs w:val="19"/>
        </w:rPr>
        <w:t>发展。其中，消灭</w:t>
      </w:r>
      <w:r>
        <w:rPr>
          <w:rFonts w:ascii="Times New Roman" w:hAnsi="Times New Roman" w:eastAsia="Times New Roman" w:cs="Times New Roman"/>
          <w:spacing w:val="15"/>
          <w:sz w:val="19"/>
          <w:szCs w:val="19"/>
        </w:rPr>
        <w:t>(</w:t>
      </w:r>
      <w:r>
        <w:rPr>
          <w:rFonts w:ascii="Times New Roman" w:hAnsi="Times New Roman" w:eastAsia="Times New Roman" w:cs="Times New Roman"/>
          <w:sz w:val="19"/>
          <w:szCs w:val="19"/>
        </w:rPr>
        <w:t>eradication</w:t>
      </w:r>
      <w:r>
        <w:rPr>
          <w:rFonts w:ascii="Times New Roman" w:hAnsi="Times New Roman" w:eastAsia="Times New Roman" w:cs="Times New Roman"/>
          <w:spacing w:val="15"/>
          <w:sz w:val="19"/>
          <w:szCs w:val="19"/>
        </w:rPr>
        <w:t>)</w:t>
      </w:r>
    </w:p>
    <w:p w14:paraId="2497D96B">
      <w:pPr>
        <w:spacing w:before="163" w:line="307" w:lineRule="auto"/>
        <w:ind w:right="632"/>
        <w:rPr>
          <w:rFonts w:ascii="宋体" w:hAnsi="宋体" w:eastAsia="宋体" w:cs="宋体"/>
          <w:sz w:val="19"/>
          <w:szCs w:val="19"/>
        </w:rPr>
      </w:pPr>
      <w:r>
        <w:rPr>
          <w:rFonts w:ascii="宋体" w:hAnsi="宋体" w:eastAsia="宋体" w:cs="宋体"/>
          <w:spacing w:val="19"/>
          <w:sz w:val="19"/>
          <w:szCs w:val="19"/>
        </w:rPr>
        <w:t>是指通过监测和围堵等措施，消灭传染病病原体，从而终止疾病传播。截至目前，全球只有天花一</w:t>
      </w:r>
      <w:r>
        <w:rPr>
          <w:rFonts w:ascii="宋体" w:hAnsi="宋体" w:eastAsia="宋体" w:cs="宋体"/>
          <w:spacing w:val="12"/>
          <w:sz w:val="19"/>
          <w:szCs w:val="19"/>
        </w:rPr>
        <w:t xml:space="preserve"> </w:t>
      </w:r>
      <w:r>
        <w:rPr>
          <w:rFonts w:ascii="宋体" w:hAnsi="宋体" w:eastAsia="宋体" w:cs="宋体"/>
          <w:spacing w:val="19"/>
          <w:sz w:val="19"/>
          <w:szCs w:val="19"/>
        </w:rPr>
        <w:t>种疾病得以消灭。消除(</w:t>
      </w:r>
      <w:r>
        <w:rPr>
          <w:rFonts w:ascii="宋体" w:hAnsi="宋体" w:eastAsia="宋体" w:cs="宋体"/>
          <w:sz w:val="19"/>
          <w:szCs w:val="19"/>
        </w:rPr>
        <w:t>elimination</w:t>
      </w:r>
      <w:r>
        <w:rPr>
          <w:rFonts w:ascii="宋体" w:hAnsi="宋体" w:eastAsia="宋体" w:cs="宋体"/>
          <w:spacing w:val="19"/>
          <w:sz w:val="19"/>
          <w:szCs w:val="19"/>
        </w:rPr>
        <w:t>)是将疾病的传播减少到事先规定的一个非常低的水平，但不是</w:t>
      </w:r>
      <w:r>
        <w:rPr>
          <w:rFonts w:ascii="宋体" w:hAnsi="宋体" w:eastAsia="宋体" w:cs="宋体"/>
          <w:spacing w:val="12"/>
          <w:sz w:val="19"/>
          <w:szCs w:val="19"/>
        </w:rPr>
        <w:t xml:space="preserve"> </w:t>
      </w:r>
      <w:r>
        <w:rPr>
          <w:rFonts w:ascii="宋体" w:hAnsi="宋体" w:eastAsia="宋体" w:cs="宋体"/>
          <w:spacing w:val="11"/>
          <w:sz w:val="19"/>
          <w:szCs w:val="19"/>
        </w:rPr>
        <w:t>消灭某</w:t>
      </w:r>
      <w:r>
        <w:rPr>
          <w:rFonts w:ascii="宋体" w:hAnsi="宋体" w:eastAsia="宋体" w:cs="宋体"/>
          <w:spacing w:val="-49"/>
          <w:sz w:val="19"/>
          <w:szCs w:val="19"/>
        </w:rPr>
        <w:t xml:space="preserve"> </w:t>
      </w:r>
      <w:r>
        <w:rPr>
          <w:rFonts w:ascii="宋体" w:hAnsi="宋体" w:eastAsia="宋体" w:cs="宋体"/>
          <w:spacing w:val="11"/>
          <w:sz w:val="19"/>
          <w:szCs w:val="19"/>
        </w:rPr>
        <w:t>一</w:t>
      </w:r>
      <w:r>
        <w:rPr>
          <w:rFonts w:ascii="宋体" w:hAnsi="宋体" w:eastAsia="宋体" w:cs="宋体"/>
          <w:spacing w:val="-55"/>
          <w:sz w:val="19"/>
          <w:szCs w:val="19"/>
        </w:rPr>
        <w:t xml:space="preserve"> </w:t>
      </w:r>
      <w:r>
        <w:rPr>
          <w:rFonts w:ascii="宋体" w:hAnsi="宋体" w:eastAsia="宋体" w:cs="宋体"/>
          <w:spacing w:val="11"/>
          <w:sz w:val="19"/>
          <w:szCs w:val="19"/>
        </w:rPr>
        <w:t>疾病。</w:t>
      </w:r>
    </w:p>
    <w:p w14:paraId="3A8E081F">
      <w:pPr>
        <w:pStyle w:val="2"/>
        <w:spacing w:before="168" w:line="318" w:lineRule="auto"/>
        <w:ind w:right="587" w:firstLine="432"/>
        <w:rPr>
          <w:rFonts w:ascii="宋体" w:hAnsi="宋体" w:eastAsia="宋体" w:cs="宋体"/>
          <w:sz w:val="19"/>
          <w:szCs w:val="19"/>
        </w:rPr>
      </w:pPr>
      <w:r>
        <w:rPr>
          <w:rFonts w:ascii="宋体" w:hAnsi="宋体" w:eastAsia="宋体" w:cs="宋体"/>
          <w:b/>
          <w:bCs/>
          <w:spacing w:val="5"/>
          <w:sz w:val="19"/>
          <w:szCs w:val="19"/>
        </w:rPr>
        <w:t>2.</w:t>
      </w:r>
      <w:r>
        <w:rPr>
          <w:rFonts w:ascii="宋体" w:hAnsi="宋体" w:eastAsia="宋体" w:cs="宋体"/>
          <w:spacing w:val="5"/>
          <w:sz w:val="19"/>
          <w:szCs w:val="19"/>
        </w:rPr>
        <w:t xml:space="preserve"> </w:t>
      </w:r>
      <w:r>
        <w:rPr>
          <w:b/>
          <w:bCs/>
          <w:spacing w:val="5"/>
          <w:sz w:val="19"/>
          <w:szCs w:val="19"/>
        </w:rPr>
        <w:t>疾病自然史</w:t>
      </w:r>
      <w:r>
        <w:rPr>
          <w:spacing w:val="5"/>
          <w:sz w:val="19"/>
          <w:szCs w:val="19"/>
        </w:rPr>
        <w:t xml:space="preserve">  </w:t>
      </w:r>
      <w:r>
        <w:rPr>
          <w:rFonts w:ascii="宋体" w:hAnsi="宋体" w:eastAsia="宋体" w:cs="宋体"/>
          <w:spacing w:val="5"/>
          <w:sz w:val="19"/>
          <w:szCs w:val="19"/>
        </w:rPr>
        <w:t>如图9-2所示，疾病自然史大致可以分为易感</w:t>
      </w:r>
      <w:r>
        <w:rPr>
          <w:rFonts w:ascii="宋体" w:hAnsi="宋体" w:eastAsia="宋体" w:cs="宋体"/>
          <w:spacing w:val="4"/>
          <w:sz w:val="19"/>
          <w:szCs w:val="19"/>
        </w:rPr>
        <w:t>期(</w:t>
      </w:r>
      <w:r>
        <w:rPr>
          <w:rFonts w:ascii="宋体" w:hAnsi="宋体" w:eastAsia="宋体" w:cs="宋体"/>
          <w:sz w:val="19"/>
          <w:szCs w:val="19"/>
        </w:rPr>
        <w:t>stage</w:t>
      </w:r>
      <w:r>
        <w:rPr>
          <w:rFonts w:ascii="宋体" w:hAnsi="宋体" w:eastAsia="宋体" w:cs="宋体"/>
          <w:spacing w:val="4"/>
          <w:sz w:val="19"/>
          <w:szCs w:val="19"/>
        </w:rPr>
        <w:t xml:space="preserve"> </w:t>
      </w:r>
      <w:r>
        <w:rPr>
          <w:rFonts w:ascii="宋体" w:hAnsi="宋体" w:eastAsia="宋体" w:cs="宋体"/>
          <w:sz w:val="19"/>
          <w:szCs w:val="19"/>
        </w:rPr>
        <w:t>of</w:t>
      </w:r>
      <w:r>
        <w:rPr>
          <w:rFonts w:ascii="宋体" w:hAnsi="宋体" w:eastAsia="宋体" w:cs="宋体"/>
          <w:spacing w:val="4"/>
          <w:sz w:val="19"/>
          <w:szCs w:val="19"/>
        </w:rPr>
        <w:t xml:space="preserve"> </w:t>
      </w:r>
      <w:r>
        <w:rPr>
          <w:rFonts w:ascii="宋体" w:hAnsi="宋体" w:eastAsia="宋体" w:cs="宋体"/>
          <w:sz w:val="19"/>
          <w:szCs w:val="19"/>
        </w:rPr>
        <w:t>susceptibility</w:t>
      </w:r>
      <w:r>
        <w:rPr>
          <w:rFonts w:ascii="宋体" w:hAnsi="宋体" w:eastAsia="宋体" w:cs="宋体"/>
          <w:spacing w:val="4"/>
          <w:sz w:val="19"/>
          <w:szCs w:val="19"/>
        </w:rPr>
        <w:t>)、临 床</w:t>
      </w:r>
      <w:r>
        <w:rPr>
          <w:rFonts w:ascii="宋体" w:hAnsi="宋体" w:eastAsia="宋体" w:cs="宋体"/>
          <w:sz w:val="19"/>
          <w:szCs w:val="19"/>
        </w:rPr>
        <w:t xml:space="preserve"> </w:t>
      </w:r>
      <w:r>
        <w:rPr>
          <w:rFonts w:ascii="宋体" w:hAnsi="宋体" w:eastAsia="宋体" w:cs="宋体"/>
          <w:spacing w:val="-1"/>
          <w:sz w:val="19"/>
          <w:szCs w:val="19"/>
        </w:rPr>
        <w:t>前 期</w:t>
      </w:r>
      <w:r>
        <w:rPr>
          <w:rFonts w:ascii="Times New Roman" w:hAnsi="Times New Roman" w:eastAsia="Times New Roman" w:cs="Times New Roman"/>
          <w:spacing w:val="-1"/>
          <w:sz w:val="19"/>
          <w:szCs w:val="19"/>
        </w:rPr>
        <w:t>(preclinical    phase;stage    of    subclinical    disease)</w:t>
      </w:r>
      <w:r>
        <w:rPr>
          <w:rFonts w:ascii="宋体" w:hAnsi="宋体" w:eastAsia="宋体" w:cs="宋体"/>
          <w:spacing w:val="-1"/>
          <w:sz w:val="19"/>
          <w:szCs w:val="19"/>
        </w:rPr>
        <w:t>、临</w:t>
      </w:r>
      <w:r>
        <w:rPr>
          <w:rFonts w:ascii="宋体" w:hAnsi="宋体" w:eastAsia="宋体" w:cs="宋体"/>
          <w:spacing w:val="-39"/>
          <w:sz w:val="19"/>
          <w:szCs w:val="19"/>
        </w:rPr>
        <w:t xml:space="preserve"> </w:t>
      </w:r>
      <w:r>
        <w:rPr>
          <w:rFonts w:ascii="宋体" w:hAnsi="宋体" w:eastAsia="宋体" w:cs="宋体"/>
          <w:spacing w:val="-1"/>
          <w:sz w:val="19"/>
          <w:szCs w:val="19"/>
        </w:rPr>
        <w:t>床</w:t>
      </w:r>
      <w:r>
        <w:rPr>
          <w:rFonts w:ascii="宋体" w:hAnsi="宋体" w:eastAsia="宋体" w:cs="宋体"/>
          <w:spacing w:val="-35"/>
          <w:sz w:val="19"/>
          <w:szCs w:val="19"/>
        </w:rPr>
        <w:t xml:space="preserve"> </w:t>
      </w:r>
      <w:r>
        <w:rPr>
          <w:rFonts w:ascii="宋体" w:hAnsi="宋体" w:eastAsia="宋体" w:cs="宋体"/>
          <w:spacing w:val="-1"/>
          <w:sz w:val="19"/>
          <w:szCs w:val="19"/>
        </w:rPr>
        <w:t>期</w:t>
      </w:r>
      <w:r>
        <w:rPr>
          <w:rFonts w:ascii="Times New Roman" w:hAnsi="Times New Roman" w:eastAsia="Times New Roman" w:cs="Times New Roman"/>
          <w:spacing w:val="-1"/>
          <w:sz w:val="19"/>
          <w:szCs w:val="19"/>
        </w:rPr>
        <w:t>(stage   of  clinical   disease)</w:t>
      </w:r>
      <w:r>
        <w:rPr>
          <w:rFonts w:ascii="宋体" w:hAnsi="宋体" w:eastAsia="宋体" w:cs="宋体"/>
          <w:spacing w:val="-1"/>
          <w:sz w:val="19"/>
          <w:szCs w:val="19"/>
        </w:rPr>
        <w:t>和康复期</w:t>
      </w:r>
      <w:r>
        <w:rPr>
          <w:rFonts w:ascii="Times New Roman" w:hAnsi="Times New Roman" w:eastAsia="Times New Roman" w:cs="Times New Roman"/>
          <w:spacing w:val="-1"/>
          <w:sz w:val="19"/>
          <w:szCs w:val="19"/>
        </w:rPr>
        <w:t>(stage   of</w:t>
      </w:r>
      <w:r>
        <w:rPr>
          <w:rFonts w:ascii="Times New Roman" w:hAnsi="Times New Roman" w:eastAsia="Times New Roman" w:cs="Times New Roman"/>
          <w:sz w:val="19"/>
          <w:szCs w:val="19"/>
        </w:rPr>
        <w:t xml:space="preserve">  recovery</w:t>
      </w:r>
      <w:r>
        <w:rPr>
          <w:rFonts w:ascii="Times New Roman" w:hAnsi="Times New Roman" w:eastAsia="Times New Roman" w:cs="Times New Roman"/>
          <w:spacing w:val="18"/>
          <w:sz w:val="19"/>
          <w:szCs w:val="19"/>
        </w:rPr>
        <w:t>)</w:t>
      </w:r>
      <w:r>
        <w:rPr>
          <w:rFonts w:ascii="Times New Roman" w:hAnsi="Times New Roman" w:eastAsia="Times New Roman" w:cs="Times New Roman"/>
          <w:spacing w:val="-22"/>
          <w:sz w:val="19"/>
          <w:szCs w:val="19"/>
        </w:rPr>
        <w:t xml:space="preserve"> </w:t>
      </w:r>
      <w:r>
        <w:rPr>
          <w:rFonts w:ascii="宋体" w:hAnsi="宋体" w:eastAsia="宋体" w:cs="宋体"/>
          <w:spacing w:val="18"/>
          <w:sz w:val="19"/>
          <w:szCs w:val="19"/>
        </w:rPr>
        <w:t>。 在临床前期，慢性非传染性疾病用诱导期</w:t>
      </w:r>
      <w:r>
        <w:rPr>
          <w:rFonts w:ascii="Times New Roman" w:hAnsi="Times New Roman" w:eastAsia="Times New Roman" w:cs="Times New Roman"/>
          <w:spacing w:val="18"/>
          <w:sz w:val="19"/>
          <w:szCs w:val="19"/>
        </w:rPr>
        <w:t>(</w:t>
      </w:r>
      <w:r>
        <w:rPr>
          <w:rFonts w:ascii="Times New Roman" w:hAnsi="Times New Roman" w:eastAsia="Times New Roman" w:cs="Times New Roman"/>
          <w:sz w:val="19"/>
          <w:szCs w:val="19"/>
        </w:rPr>
        <w:t>induction</w:t>
      </w:r>
      <w:r>
        <w:rPr>
          <w:rFonts w:ascii="Times New Roman" w:hAnsi="Times New Roman" w:eastAsia="Times New Roman" w:cs="Times New Roman"/>
          <w:spacing w:val="18"/>
          <w:sz w:val="19"/>
          <w:szCs w:val="19"/>
        </w:rPr>
        <w:t xml:space="preserve">     </w:t>
      </w:r>
      <w:r>
        <w:rPr>
          <w:rFonts w:ascii="Times New Roman" w:hAnsi="Times New Roman" w:eastAsia="Times New Roman" w:cs="Times New Roman"/>
          <w:sz w:val="19"/>
          <w:szCs w:val="19"/>
        </w:rPr>
        <w:t>period</w:t>
      </w:r>
      <w:r>
        <w:rPr>
          <w:rFonts w:ascii="Times New Roman" w:hAnsi="Times New Roman" w:eastAsia="Times New Roman" w:cs="Times New Roman"/>
          <w:spacing w:val="18"/>
          <w:sz w:val="19"/>
          <w:szCs w:val="19"/>
        </w:rPr>
        <w:t>)</w:t>
      </w:r>
      <w:r>
        <w:rPr>
          <w:rFonts w:ascii="宋体" w:hAnsi="宋体" w:eastAsia="宋体" w:cs="宋体"/>
          <w:spacing w:val="18"/>
          <w:sz w:val="19"/>
          <w:szCs w:val="19"/>
        </w:rPr>
        <w:t>表示从</w:t>
      </w:r>
      <w:r>
        <w:rPr>
          <w:rFonts w:ascii="宋体" w:hAnsi="宋体" w:eastAsia="宋体" w:cs="宋体"/>
          <w:spacing w:val="17"/>
          <w:sz w:val="19"/>
          <w:szCs w:val="19"/>
        </w:rPr>
        <w:t>暴露于病因因子到疾</w:t>
      </w:r>
      <w:r>
        <w:rPr>
          <w:rFonts w:ascii="宋体" w:hAnsi="宋体" w:eastAsia="宋体" w:cs="宋体"/>
          <w:sz w:val="19"/>
          <w:szCs w:val="19"/>
        </w:rPr>
        <w:t xml:space="preserve"> </w:t>
      </w:r>
      <w:r>
        <w:rPr>
          <w:rFonts w:ascii="宋体" w:hAnsi="宋体" w:eastAsia="宋体" w:cs="宋体"/>
          <w:spacing w:val="16"/>
          <w:sz w:val="19"/>
          <w:szCs w:val="19"/>
        </w:rPr>
        <w:t>病开始所经历的时间，传染病的临床前期涉及潜伏期、潜隐期的概念，具体将在第十一章进行介绍。</w:t>
      </w:r>
    </w:p>
    <w:p w14:paraId="48182C7C">
      <w:pPr>
        <w:spacing w:before="84"/>
      </w:pPr>
    </w:p>
    <w:tbl>
      <w:tblPr>
        <w:tblStyle w:val="5"/>
        <w:tblW w:w="5968" w:type="dxa"/>
        <w:tblInd w:w="1629"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0" w:type="dxa"/>
          <w:left w:w="0" w:type="dxa"/>
          <w:bottom w:w="0" w:type="dxa"/>
          <w:right w:w="0" w:type="dxa"/>
        </w:tblCellMar>
      </w:tblPr>
      <w:tblGrid>
        <w:gridCol w:w="1347"/>
        <w:gridCol w:w="3275"/>
        <w:gridCol w:w="1346"/>
      </w:tblGrid>
      <w:tr w14:paraId="10D13AB4">
        <w:trPr>
          <w:trHeight w:val="1455" w:hRule="atLeast"/>
        </w:trPr>
        <w:tc>
          <w:tcPr>
            <w:tcW w:w="1347" w:type="dxa"/>
            <w:vAlign w:val="top"/>
          </w:tcPr>
          <w:p w14:paraId="3B5AFE83">
            <w:pPr>
              <w:spacing w:before="188" w:line="223" w:lineRule="auto"/>
              <w:ind w:left="892"/>
              <w:rPr>
                <w:rFonts w:ascii="黑体" w:hAnsi="黑体" w:eastAsia="黑体" w:cs="黑体"/>
                <w:sz w:val="19"/>
                <w:szCs w:val="19"/>
              </w:rPr>
            </w:pPr>
            <w:r>
              <w:rPr>
                <w:rFonts w:ascii="黑体" w:hAnsi="黑体" w:eastAsia="黑体" w:cs="黑体"/>
                <w:b/>
                <w:bCs/>
                <w:spacing w:val="-5"/>
                <w:sz w:val="19"/>
                <w:szCs w:val="19"/>
              </w:rPr>
              <w:t>暴露</w:t>
            </w:r>
          </w:p>
        </w:tc>
        <w:tc>
          <w:tcPr>
            <w:tcW w:w="3275" w:type="dxa"/>
            <w:vAlign w:val="top"/>
          </w:tcPr>
          <w:p w14:paraId="7902535D">
            <w:pPr>
              <w:pStyle w:val="6"/>
              <w:spacing w:line="184" w:lineRule="auto"/>
              <w:ind w:left="1523"/>
              <w:rPr>
                <w:sz w:val="19"/>
                <w:szCs w:val="19"/>
              </w:rPr>
            </w:pPr>
            <w:r>
              <w:rPr>
                <w:spacing w:val="-16"/>
                <w:sz w:val="19"/>
                <w:szCs w:val="19"/>
              </w:rPr>
              <w:t>出现症状</w:t>
            </w:r>
          </w:p>
          <w:p w14:paraId="03104193">
            <w:pPr>
              <w:pStyle w:val="6"/>
              <w:spacing w:line="219" w:lineRule="auto"/>
              <w:ind w:left="1583"/>
              <w:rPr>
                <w:sz w:val="19"/>
                <w:szCs w:val="19"/>
              </w:rPr>
            </w:pPr>
            <w:r>
              <w:rPr>
                <w:spacing w:val="-7"/>
                <w:sz w:val="19"/>
                <w:szCs w:val="19"/>
              </w:rPr>
              <w:t>和体征</w:t>
            </w:r>
          </w:p>
          <w:p w14:paraId="5AFE9A04">
            <w:pPr>
              <w:pStyle w:val="6"/>
              <w:spacing w:before="154" w:line="391" w:lineRule="exact"/>
              <w:ind w:left="83"/>
            </w:pPr>
            <w:r>
              <w:rPr>
                <w:spacing w:val="-19"/>
                <w:position w:val="4"/>
                <w:sz w:val="19"/>
                <w:szCs w:val="19"/>
              </w:rPr>
              <w:t xml:space="preserve">—潜伏期/潜隐期一       </w:t>
            </w:r>
            <w:r>
              <w:fldChar w:fldCharType="begin"/>
            </w:r>
            <w:r>
              <w:instrText xml:space="preserve">EQ \* jc3 \* hps19 \o\al(\s\up 4(</w:instrText>
            </w:r>
            <w:r>
              <w:rPr>
                <w:w w:val="90"/>
                <w:position w:val="4"/>
                <w:sz w:val="19"/>
                <w:szCs w:val="19"/>
              </w:rPr>
              <w:instrText xml:space="preserve">临</w:instrText>
            </w:r>
            <w:r>
              <w:instrText xml:space="preserve">),</w:instrText>
            </w:r>
            <w:r>
              <w:rPr>
                <w:rFonts w:ascii="黑体" w:hAnsi="黑体" w:eastAsia="黑体" w:cs="黑体"/>
                <w:w w:val="90"/>
                <w:position w:val="-7"/>
                <w:sz w:val="19"/>
                <w:szCs w:val="19"/>
              </w:rPr>
              <w:instrText xml:space="preserve">诊</w:instrText>
            </w:r>
            <w:r>
              <w:instrText xml:space="preserve">)</w:instrText>
            </w:r>
            <w:r>
              <w:fldChar w:fldCharType="end"/>
            </w:r>
            <w:r>
              <w:fldChar w:fldCharType="begin"/>
            </w:r>
            <w:r>
              <w:instrText xml:space="preserve">EQ \* jc3 \* hps19 \o\al(\s\up 4(</w:instrText>
            </w:r>
            <w:r>
              <w:rPr>
                <w:position w:val="4"/>
                <w:sz w:val="19"/>
                <w:szCs w:val="19"/>
              </w:rPr>
              <w:instrText xml:space="preserve">床</w:instrText>
            </w:r>
            <w:r>
              <w:instrText xml:space="preserve">),</w:instrText>
            </w:r>
            <w:r>
              <w:rPr>
                <w:rFonts w:ascii="黑体" w:hAnsi="黑体" w:eastAsia="黑体" w:cs="黑体"/>
                <w:w w:val="93"/>
                <w:position w:val="-7"/>
                <w:sz w:val="19"/>
                <w:szCs w:val="19"/>
              </w:rPr>
              <w:instrText xml:space="preserve">断</w:instrText>
            </w:r>
            <w:r>
              <w:instrText xml:space="preserve">)</w:instrText>
            </w:r>
            <w:r>
              <w:fldChar w:fldCharType="end"/>
            </w:r>
          </w:p>
          <w:p w14:paraId="49B24686">
            <w:pPr>
              <w:pStyle w:val="6"/>
              <w:spacing w:before="169" w:line="220" w:lineRule="auto"/>
              <w:ind w:left="172"/>
              <w:rPr>
                <w:sz w:val="19"/>
                <w:szCs w:val="19"/>
              </w:rPr>
            </w:pPr>
            <w:r>
              <w:rPr>
                <w:spacing w:val="-8"/>
                <w:sz w:val="19"/>
                <w:szCs w:val="19"/>
              </w:rPr>
              <w:t>诱导期一</w:t>
            </w:r>
          </w:p>
        </w:tc>
        <w:tc>
          <w:tcPr>
            <w:tcW w:w="1346" w:type="dxa"/>
            <w:vAlign w:val="top"/>
          </w:tcPr>
          <w:p w14:paraId="31D2E7CC">
            <w:pPr>
              <w:rPr>
                <w:rFonts w:ascii="Arial"/>
                <w:sz w:val="21"/>
              </w:rPr>
            </w:pPr>
          </w:p>
        </w:tc>
      </w:tr>
      <w:tr w14:paraId="56A78F5E">
        <w:trPr>
          <w:trHeight w:val="625" w:hRule="atLeast"/>
        </w:trPr>
        <w:tc>
          <w:tcPr>
            <w:tcW w:w="1347" w:type="dxa"/>
            <w:vAlign w:val="top"/>
          </w:tcPr>
          <w:p w14:paraId="679D9B02">
            <w:pPr>
              <w:pStyle w:val="6"/>
              <w:spacing w:before="215" w:line="220" w:lineRule="auto"/>
              <w:ind w:left="39"/>
              <w:rPr>
                <w:sz w:val="19"/>
                <w:szCs w:val="19"/>
              </w:rPr>
            </w:pPr>
            <w:r>
              <w:rPr>
                <w:spacing w:val="-5"/>
                <w:sz w:val="19"/>
                <w:szCs w:val="19"/>
              </w:rPr>
              <w:t>易感期</w:t>
            </w:r>
          </w:p>
        </w:tc>
        <w:tc>
          <w:tcPr>
            <w:tcW w:w="3275" w:type="dxa"/>
            <w:vAlign w:val="top"/>
          </w:tcPr>
          <w:p w14:paraId="5F68F60F">
            <w:pPr>
              <w:pStyle w:val="6"/>
              <w:spacing w:before="215" w:line="219" w:lineRule="auto"/>
              <w:ind w:left="462"/>
              <w:rPr>
                <w:sz w:val="19"/>
                <w:szCs w:val="19"/>
              </w:rPr>
            </w:pPr>
            <w:r>
              <w:rPr>
                <w:spacing w:val="-9"/>
                <w:sz w:val="19"/>
                <w:szCs w:val="19"/>
              </w:rPr>
              <w:t>临床前期             临床期</w:t>
            </w:r>
          </w:p>
        </w:tc>
        <w:tc>
          <w:tcPr>
            <w:tcW w:w="1346" w:type="dxa"/>
            <w:vAlign w:val="top"/>
          </w:tcPr>
          <w:p w14:paraId="4A6FAD23">
            <w:pPr>
              <w:pStyle w:val="6"/>
              <w:spacing w:before="134" w:line="196" w:lineRule="auto"/>
              <w:jc w:val="right"/>
              <w:rPr>
                <w:sz w:val="19"/>
                <w:szCs w:val="19"/>
              </w:rPr>
            </w:pPr>
            <w:r>
              <w:rPr>
                <w:spacing w:val="-20"/>
                <w:w w:val="98"/>
                <w:sz w:val="19"/>
                <w:szCs w:val="19"/>
              </w:rPr>
              <w:t>康复期</w:t>
            </w:r>
            <w:r>
              <w:rPr>
                <w:spacing w:val="-19"/>
                <w:w w:val="98"/>
                <w:sz w:val="19"/>
                <w:szCs w:val="19"/>
              </w:rPr>
              <w:t>、残疾</w:t>
            </w:r>
            <w:r>
              <w:rPr>
                <w:spacing w:val="-9"/>
                <w:w w:val="98"/>
                <w:sz w:val="19"/>
                <w:szCs w:val="19"/>
              </w:rPr>
              <w:t>或</w:t>
            </w:r>
          </w:p>
          <w:p w14:paraId="2B759D92">
            <w:pPr>
              <w:pStyle w:val="6"/>
              <w:spacing w:line="220" w:lineRule="auto"/>
              <w:ind w:left="558"/>
              <w:rPr>
                <w:sz w:val="19"/>
                <w:szCs w:val="19"/>
              </w:rPr>
            </w:pPr>
            <w:r>
              <w:rPr>
                <w:spacing w:val="-3"/>
                <w:sz w:val="19"/>
                <w:szCs w:val="19"/>
              </w:rPr>
              <w:t>死亡</w:t>
            </w:r>
          </w:p>
        </w:tc>
      </w:tr>
      <w:tr w14:paraId="65165BDE">
        <w:trPr>
          <w:trHeight w:val="285" w:hRule="atLeast"/>
        </w:trPr>
        <w:tc>
          <w:tcPr>
            <w:tcW w:w="1347" w:type="dxa"/>
            <w:vAlign w:val="top"/>
          </w:tcPr>
          <w:p w14:paraId="0D935C9E">
            <w:pPr>
              <w:pStyle w:val="6"/>
              <w:spacing w:before="100" w:line="170" w:lineRule="auto"/>
              <w:rPr>
                <w:sz w:val="19"/>
                <w:szCs w:val="19"/>
              </w:rPr>
            </w:pPr>
            <w:r>
              <w:rPr>
                <w:spacing w:val="-3"/>
                <w:sz w:val="19"/>
                <w:szCs w:val="19"/>
              </w:rPr>
              <w:t>第一级</w:t>
            </w:r>
          </w:p>
        </w:tc>
        <w:tc>
          <w:tcPr>
            <w:tcW w:w="3275" w:type="dxa"/>
            <w:vAlign w:val="top"/>
          </w:tcPr>
          <w:p w14:paraId="4E7AA38C">
            <w:pPr>
              <w:pStyle w:val="6"/>
              <w:spacing w:before="99" w:line="171" w:lineRule="auto"/>
              <w:ind w:left="1243"/>
              <w:rPr>
                <w:rFonts w:ascii="黑体" w:hAnsi="黑体" w:eastAsia="黑体" w:cs="黑体"/>
                <w:sz w:val="19"/>
                <w:szCs w:val="19"/>
              </w:rPr>
            </w:pPr>
            <w:r>
              <w:rPr>
                <w:spacing w:val="-9"/>
                <w:sz w:val="19"/>
                <w:szCs w:val="19"/>
              </w:rPr>
              <w:t xml:space="preserve">第二级       </w:t>
            </w:r>
            <w:r>
              <w:rPr>
                <w:rFonts w:ascii="黑体" w:hAnsi="黑体" w:eastAsia="黑体" w:cs="黑体"/>
                <w:spacing w:val="-9"/>
                <w:sz w:val="19"/>
                <w:szCs w:val="19"/>
              </w:rPr>
              <w:t>第三级</w:t>
            </w:r>
          </w:p>
        </w:tc>
        <w:tc>
          <w:tcPr>
            <w:tcW w:w="1346" w:type="dxa"/>
            <w:vAlign w:val="top"/>
          </w:tcPr>
          <w:p w14:paraId="5941679C">
            <w:pPr>
              <w:rPr>
                <w:rFonts w:ascii="Arial"/>
                <w:sz w:val="21"/>
              </w:rPr>
            </w:pPr>
          </w:p>
        </w:tc>
      </w:tr>
      <w:tr w14:paraId="6C002D2E">
        <w:trPr>
          <w:trHeight w:val="576" w:hRule="atLeast"/>
        </w:trPr>
        <w:tc>
          <w:tcPr>
            <w:tcW w:w="1347" w:type="dxa"/>
            <w:vAlign w:val="top"/>
          </w:tcPr>
          <w:p w14:paraId="1C8FECB0">
            <w:pPr>
              <w:spacing w:line="214" w:lineRule="auto"/>
              <w:ind w:left="89"/>
              <w:rPr>
                <w:rFonts w:ascii="黑体" w:hAnsi="黑体" w:eastAsia="黑体" w:cs="黑体"/>
                <w:sz w:val="19"/>
                <w:szCs w:val="19"/>
              </w:rPr>
            </w:pPr>
            <w:r>
              <w:rPr>
                <w:rFonts w:ascii="黑体" w:hAnsi="黑体" w:eastAsia="黑体" w:cs="黑体"/>
                <w:spacing w:val="-3"/>
                <w:sz w:val="19"/>
                <w:szCs w:val="19"/>
              </w:rPr>
              <w:t>预防</w:t>
            </w:r>
          </w:p>
        </w:tc>
        <w:tc>
          <w:tcPr>
            <w:tcW w:w="3275" w:type="dxa"/>
            <w:vAlign w:val="top"/>
          </w:tcPr>
          <w:p w14:paraId="0E47745A">
            <w:pPr>
              <w:spacing w:line="214" w:lineRule="auto"/>
              <w:ind w:left="1333"/>
              <w:rPr>
                <w:rFonts w:ascii="黑体" w:hAnsi="黑体" w:eastAsia="黑体" w:cs="黑体"/>
                <w:sz w:val="19"/>
                <w:szCs w:val="19"/>
              </w:rPr>
            </w:pPr>
            <w:r>
              <w:rPr>
                <w:rFonts w:ascii="黑体" w:hAnsi="黑体" w:eastAsia="黑体" w:cs="黑体"/>
                <w:spacing w:val="-8"/>
                <w:sz w:val="19"/>
                <w:szCs w:val="19"/>
              </w:rPr>
              <w:t>预防</w:t>
            </w:r>
            <w:r>
              <w:rPr>
                <w:rFonts w:ascii="黑体" w:hAnsi="黑体" w:eastAsia="黑体" w:cs="黑体"/>
                <w:spacing w:val="3"/>
                <w:sz w:val="19"/>
                <w:szCs w:val="19"/>
              </w:rPr>
              <w:t xml:space="preserve">        </w:t>
            </w:r>
            <w:r>
              <w:rPr>
                <w:rFonts w:ascii="黑体" w:hAnsi="黑体" w:eastAsia="黑体" w:cs="黑体"/>
                <w:spacing w:val="-8"/>
                <w:sz w:val="19"/>
                <w:szCs w:val="19"/>
              </w:rPr>
              <w:t>预防</w:t>
            </w:r>
          </w:p>
          <w:p w14:paraId="0100E8EE">
            <w:pPr>
              <w:spacing w:before="162" w:line="177" w:lineRule="auto"/>
              <w:ind w:left="143"/>
              <w:rPr>
                <w:rFonts w:ascii="黑体" w:hAnsi="黑体" w:eastAsia="黑体" w:cs="黑体"/>
                <w:sz w:val="19"/>
                <w:szCs w:val="19"/>
              </w:rPr>
            </w:pPr>
            <w:r>
              <w:rPr>
                <w:rFonts w:ascii="黑体" w:hAnsi="黑体" w:eastAsia="黑体" w:cs="黑体"/>
                <w:spacing w:val="3"/>
                <w:sz w:val="19"/>
                <w:szCs w:val="19"/>
              </w:rPr>
              <w:t>图9-2</w:t>
            </w:r>
            <w:r>
              <w:rPr>
                <w:rFonts w:ascii="黑体" w:hAnsi="黑体" w:eastAsia="黑体" w:cs="黑体"/>
                <w:spacing w:val="75"/>
                <w:sz w:val="19"/>
                <w:szCs w:val="19"/>
              </w:rPr>
              <w:t xml:space="preserve"> </w:t>
            </w:r>
            <w:r>
              <w:rPr>
                <w:rFonts w:ascii="黑体" w:hAnsi="黑体" w:eastAsia="黑体" w:cs="黑体"/>
                <w:spacing w:val="3"/>
                <w:sz w:val="19"/>
                <w:szCs w:val="19"/>
              </w:rPr>
              <w:t>疾病自然史和疾病预防阶段</w:t>
            </w:r>
          </w:p>
        </w:tc>
        <w:tc>
          <w:tcPr>
            <w:tcW w:w="1346" w:type="dxa"/>
            <w:vAlign w:val="top"/>
          </w:tcPr>
          <w:p w14:paraId="0A3258F6">
            <w:pPr>
              <w:rPr>
                <w:rFonts w:ascii="Arial"/>
                <w:sz w:val="21"/>
              </w:rPr>
            </w:pPr>
          </w:p>
        </w:tc>
      </w:tr>
    </w:tbl>
    <w:p w14:paraId="4DA6AA11">
      <w:pPr>
        <w:spacing w:line="238" w:lineRule="exact"/>
        <w:rPr>
          <w:rFonts w:ascii="Arial"/>
          <w:sz w:val="20"/>
        </w:rPr>
      </w:pPr>
    </w:p>
    <w:p w14:paraId="0962955C">
      <w:pPr>
        <w:spacing w:line="238" w:lineRule="exact"/>
        <w:rPr>
          <w:rFonts w:ascii="Arial" w:hAnsi="Arial" w:eastAsia="Arial" w:cs="Arial"/>
          <w:sz w:val="20"/>
          <w:szCs w:val="20"/>
        </w:rPr>
        <w:sectPr>
          <w:headerReference r:id="rId184" w:type="default"/>
          <w:footerReference r:id="rId185" w:type="default"/>
          <w:pgSz w:w="11900" w:h="16820"/>
          <w:pgMar w:top="400" w:right="847" w:bottom="812" w:left="1400" w:header="0" w:footer="641" w:gutter="0"/>
          <w:cols w:space="720" w:num="1"/>
        </w:sectPr>
      </w:pPr>
    </w:p>
    <w:p w14:paraId="14FB8C6F">
      <w:pPr>
        <w:pStyle w:val="2"/>
        <w:spacing w:before="166" w:line="221" w:lineRule="auto"/>
        <w:ind w:left="629"/>
        <w:rPr>
          <w:sz w:val="19"/>
          <w:szCs w:val="19"/>
        </w:rPr>
      </w:pPr>
      <w:r>
        <w:rPr>
          <w:spacing w:val="-6"/>
          <w:sz w:val="19"/>
          <w:szCs w:val="19"/>
        </w:rPr>
        <w:t>第九章预防策略</w:t>
      </w:r>
    </w:p>
    <w:p w14:paraId="74DF225D">
      <w:pPr>
        <w:spacing w:line="292" w:lineRule="auto"/>
        <w:rPr>
          <w:rFonts w:ascii="Arial"/>
          <w:sz w:val="21"/>
        </w:rPr>
      </w:pPr>
    </w:p>
    <w:p w14:paraId="7525869A">
      <w:pPr>
        <w:spacing w:line="292" w:lineRule="auto"/>
        <w:rPr>
          <w:rFonts w:ascii="Arial"/>
          <w:sz w:val="21"/>
        </w:rPr>
      </w:pPr>
    </w:p>
    <w:p w14:paraId="20CB4B72">
      <w:pPr>
        <w:pStyle w:val="2"/>
        <w:spacing w:before="62" w:line="221" w:lineRule="auto"/>
        <w:ind w:left="1032"/>
        <w:rPr>
          <w:sz w:val="19"/>
          <w:szCs w:val="19"/>
        </w:rPr>
      </w:pPr>
      <w:bookmarkStart w:id="271" w:name="bookmark493"/>
      <w:bookmarkEnd w:id="271"/>
      <w:r>
        <w:rPr>
          <w:b/>
          <w:bCs/>
          <w:spacing w:val="24"/>
          <w:sz w:val="19"/>
          <w:szCs w:val="19"/>
        </w:rPr>
        <w:t>(二)疾病的三级预防</w:t>
      </w:r>
    </w:p>
    <w:p w14:paraId="15878D81">
      <w:pPr>
        <w:spacing w:before="107" w:line="361" w:lineRule="auto"/>
        <w:ind w:left="629" w:firstLine="399"/>
        <w:jc w:val="both"/>
        <w:rPr>
          <w:rFonts w:ascii="宋体" w:hAnsi="宋体" w:eastAsia="宋体" w:cs="宋体"/>
          <w:sz w:val="19"/>
          <w:szCs w:val="19"/>
        </w:rPr>
      </w:pPr>
      <w:r>
        <w:rPr>
          <w:rFonts w:ascii="宋体" w:hAnsi="宋体" w:eastAsia="宋体" w:cs="宋体"/>
          <w:spacing w:val="11"/>
          <w:sz w:val="19"/>
          <w:szCs w:val="19"/>
        </w:rPr>
        <w:t>20世纪60年代美国哈佛大学</w:t>
      </w:r>
      <w:r>
        <w:rPr>
          <w:rFonts w:ascii="宋体" w:hAnsi="宋体" w:eastAsia="宋体" w:cs="宋体"/>
          <w:sz w:val="19"/>
          <w:szCs w:val="19"/>
        </w:rPr>
        <w:t>Kaplan</w:t>
      </w:r>
      <w:r>
        <w:rPr>
          <w:rFonts w:ascii="宋体" w:hAnsi="宋体" w:eastAsia="宋体" w:cs="宋体"/>
          <w:spacing w:val="-51"/>
          <w:sz w:val="19"/>
          <w:szCs w:val="19"/>
        </w:rPr>
        <w:t xml:space="preserve"> </w:t>
      </w:r>
      <w:r>
        <w:rPr>
          <w:rFonts w:ascii="宋体" w:hAnsi="宋体" w:eastAsia="宋体" w:cs="宋体"/>
          <w:spacing w:val="11"/>
          <w:sz w:val="19"/>
          <w:szCs w:val="19"/>
        </w:rPr>
        <w:t>提出了三级预防理论。三级预防是以全民为</w:t>
      </w:r>
      <w:r>
        <w:rPr>
          <w:rFonts w:ascii="宋体" w:hAnsi="宋体" w:eastAsia="宋体" w:cs="宋体"/>
          <w:spacing w:val="10"/>
          <w:sz w:val="19"/>
          <w:szCs w:val="19"/>
        </w:rPr>
        <w:t>对象，以健康</w:t>
      </w:r>
      <w:r>
        <w:rPr>
          <w:rFonts w:ascii="宋体" w:hAnsi="宋体" w:eastAsia="宋体" w:cs="宋体"/>
          <w:sz w:val="19"/>
          <w:szCs w:val="19"/>
        </w:rPr>
        <w:t xml:space="preserve">  </w:t>
      </w:r>
      <w:r>
        <w:rPr>
          <w:rFonts w:ascii="宋体" w:hAnsi="宋体" w:eastAsia="宋体" w:cs="宋体"/>
          <w:spacing w:val="7"/>
          <w:sz w:val="19"/>
          <w:szCs w:val="19"/>
        </w:rPr>
        <w:t>为目标，以预防疾病为中心的预防保健原则，是预防医学工作的基本原则与核心策略。随着现代医</w:t>
      </w:r>
      <w:r>
        <w:rPr>
          <w:rFonts w:ascii="宋体" w:hAnsi="宋体" w:eastAsia="宋体" w:cs="宋体"/>
          <w:sz w:val="19"/>
          <w:szCs w:val="19"/>
        </w:rPr>
        <w:t xml:space="preserve">  </w:t>
      </w:r>
      <w:r>
        <w:rPr>
          <w:rFonts w:ascii="宋体" w:hAnsi="宋体" w:eastAsia="宋体" w:cs="宋体"/>
          <w:spacing w:val="4"/>
          <w:sz w:val="19"/>
          <w:szCs w:val="19"/>
        </w:rPr>
        <w:t>学的发展，预防医学和临床医学也在相互渗透和相互促进，现代预防的概念已融入疾病发生、发</w:t>
      </w:r>
      <w:r>
        <w:rPr>
          <w:rFonts w:ascii="宋体" w:hAnsi="宋体" w:eastAsia="宋体" w:cs="宋体"/>
          <w:spacing w:val="3"/>
          <w:sz w:val="19"/>
          <w:szCs w:val="19"/>
        </w:rPr>
        <w:t>展、</w:t>
      </w:r>
      <w:r>
        <w:rPr>
          <w:rFonts w:ascii="宋体" w:hAnsi="宋体" w:eastAsia="宋体" w:cs="宋体"/>
          <w:sz w:val="19"/>
          <w:szCs w:val="19"/>
        </w:rPr>
        <w:t xml:space="preserve"> </w:t>
      </w:r>
      <w:r>
        <w:rPr>
          <w:rFonts w:ascii="宋体" w:hAnsi="宋体" w:eastAsia="宋体" w:cs="宋体"/>
          <w:spacing w:val="12"/>
          <w:sz w:val="19"/>
          <w:szCs w:val="19"/>
        </w:rPr>
        <w:t>转归的全过程。针对疾病的不同阶段，在目标人群中按照三个</w:t>
      </w:r>
      <w:r>
        <w:rPr>
          <w:rFonts w:ascii="宋体" w:hAnsi="宋体" w:eastAsia="宋体" w:cs="宋体"/>
          <w:spacing w:val="11"/>
          <w:sz w:val="19"/>
          <w:szCs w:val="19"/>
        </w:rPr>
        <w:t>等级采取相应的公共卫生分级预防</w:t>
      </w:r>
      <w:r>
        <w:rPr>
          <w:rFonts w:ascii="宋体" w:hAnsi="宋体" w:eastAsia="宋体" w:cs="宋体"/>
          <w:sz w:val="19"/>
          <w:szCs w:val="19"/>
        </w:rPr>
        <w:t xml:space="preserve">  </w:t>
      </w:r>
      <w:r>
        <w:rPr>
          <w:rFonts w:ascii="宋体" w:hAnsi="宋体" w:eastAsia="宋体" w:cs="宋体"/>
          <w:spacing w:val="4"/>
          <w:sz w:val="19"/>
          <w:szCs w:val="19"/>
        </w:rPr>
        <w:t>措施，包括防止疾病的发生，阻止或延缓其发展，最大限度地减少疾病造成的危害，称为三级预防。</w:t>
      </w:r>
      <w:r>
        <w:rPr>
          <w:rFonts w:ascii="宋体" w:hAnsi="宋体" w:eastAsia="宋体" w:cs="宋体"/>
          <w:spacing w:val="17"/>
          <w:sz w:val="19"/>
          <w:szCs w:val="19"/>
        </w:rPr>
        <w:t xml:space="preserve"> </w:t>
      </w:r>
      <w:r>
        <w:rPr>
          <w:rFonts w:ascii="宋体" w:hAnsi="宋体" w:eastAsia="宋体" w:cs="宋体"/>
          <w:spacing w:val="9"/>
          <w:sz w:val="19"/>
          <w:szCs w:val="19"/>
        </w:rPr>
        <w:t>三级预防为现代医学科学理论和卫生实践提出了发展方向，是建立现代健康观和维护健康的</w:t>
      </w:r>
      <w:r>
        <w:rPr>
          <w:rFonts w:ascii="宋体" w:hAnsi="宋体" w:eastAsia="宋体" w:cs="宋体"/>
          <w:spacing w:val="8"/>
          <w:sz w:val="19"/>
          <w:szCs w:val="19"/>
        </w:rPr>
        <w:t>需要。</w:t>
      </w:r>
      <w:r>
        <w:rPr>
          <w:rFonts w:ascii="宋体" w:hAnsi="宋体" w:eastAsia="宋体" w:cs="宋体"/>
          <w:sz w:val="19"/>
          <w:szCs w:val="19"/>
        </w:rPr>
        <w:t xml:space="preserve"> </w:t>
      </w:r>
      <w:r>
        <w:rPr>
          <w:rFonts w:ascii="宋体" w:hAnsi="宋体" w:eastAsia="宋体" w:cs="宋体"/>
          <w:spacing w:val="12"/>
          <w:sz w:val="19"/>
          <w:szCs w:val="19"/>
        </w:rPr>
        <w:t>三级预防理论认为健康的动态平衡受众多因素影响，通</w:t>
      </w:r>
      <w:r>
        <w:rPr>
          <w:rFonts w:ascii="宋体" w:hAnsi="宋体" w:eastAsia="宋体" w:cs="宋体"/>
          <w:spacing w:val="11"/>
          <w:sz w:val="19"/>
          <w:szCs w:val="19"/>
        </w:rPr>
        <w:t>过干预这些因素可以维护健康。健康一疾</w:t>
      </w:r>
      <w:r>
        <w:rPr>
          <w:rFonts w:ascii="宋体" w:hAnsi="宋体" w:eastAsia="宋体" w:cs="宋体"/>
          <w:sz w:val="19"/>
          <w:szCs w:val="19"/>
        </w:rPr>
        <w:t xml:space="preserve">  </w:t>
      </w:r>
      <w:r>
        <w:rPr>
          <w:rFonts w:ascii="宋体" w:hAnsi="宋体" w:eastAsia="宋体" w:cs="宋体"/>
          <w:spacing w:val="7"/>
          <w:sz w:val="19"/>
          <w:szCs w:val="19"/>
        </w:rPr>
        <w:t>病是一个连续谱，人们可以通过三级预防手段来调控这个连续谱，即用三级预防的思维方</w:t>
      </w:r>
      <w:r>
        <w:rPr>
          <w:rFonts w:ascii="宋体" w:hAnsi="宋体" w:eastAsia="宋体" w:cs="宋体"/>
          <w:spacing w:val="6"/>
          <w:sz w:val="19"/>
          <w:szCs w:val="19"/>
        </w:rPr>
        <w:t>式，对影</w:t>
      </w:r>
      <w:r>
        <w:rPr>
          <w:rFonts w:ascii="宋体" w:hAnsi="宋体" w:eastAsia="宋体" w:cs="宋体"/>
          <w:sz w:val="19"/>
          <w:szCs w:val="19"/>
        </w:rPr>
        <w:t xml:space="preserve">  </w:t>
      </w:r>
      <w:r>
        <w:rPr>
          <w:rFonts w:ascii="宋体" w:hAnsi="宋体" w:eastAsia="宋体" w:cs="宋体"/>
          <w:spacing w:val="12"/>
          <w:sz w:val="19"/>
          <w:szCs w:val="19"/>
        </w:rPr>
        <w:t>响健康的环境因素、生活行为方式、卫生服务和生物因素</w:t>
      </w:r>
      <w:r>
        <w:rPr>
          <w:rFonts w:ascii="宋体" w:hAnsi="宋体" w:eastAsia="宋体" w:cs="宋体"/>
          <w:spacing w:val="11"/>
          <w:sz w:val="19"/>
          <w:szCs w:val="19"/>
        </w:rPr>
        <w:t>进行研究和干预，使维护健康做到事半</w:t>
      </w:r>
      <w:r>
        <w:rPr>
          <w:rFonts w:ascii="宋体" w:hAnsi="宋体" w:eastAsia="宋体" w:cs="宋体"/>
          <w:sz w:val="19"/>
          <w:szCs w:val="19"/>
        </w:rPr>
        <w:t xml:space="preserve">  </w:t>
      </w:r>
      <w:r>
        <w:rPr>
          <w:rFonts w:ascii="宋体" w:hAnsi="宋体" w:eastAsia="宋体" w:cs="宋体"/>
          <w:spacing w:val="8"/>
          <w:sz w:val="19"/>
          <w:szCs w:val="19"/>
        </w:rPr>
        <w:t>功倍。</w:t>
      </w:r>
    </w:p>
    <w:p w14:paraId="3DD2B500">
      <w:pPr>
        <w:pStyle w:val="2"/>
        <w:spacing w:line="365" w:lineRule="auto"/>
        <w:ind w:left="629" w:right="20" w:firstLine="399"/>
        <w:jc w:val="both"/>
        <w:rPr>
          <w:rFonts w:ascii="宋体" w:hAnsi="宋体" w:eastAsia="宋体" w:cs="宋体"/>
          <w:sz w:val="19"/>
          <w:szCs w:val="19"/>
        </w:rPr>
      </w:pPr>
      <w:r>
        <w:rPr>
          <w:rFonts w:ascii="Times New Roman" w:hAnsi="Times New Roman" w:eastAsia="Times New Roman" w:cs="Times New Roman"/>
          <w:spacing w:val="8"/>
          <w:sz w:val="19"/>
          <w:szCs w:val="19"/>
        </w:rPr>
        <w:t>1.</w:t>
      </w:r>
      <w:r>
        <w:rPr>
          <w:rFonts w:ascii="Times New Roman" w:hAnsi="Times New Roman" w:eastAsia="Times New Roman" w:cs="Times New Roman"/>
          <w:spacing w:val="17"/>
          <w:w w:val="101"/>
          <w:sz w:val="19"/>
          <w:szCs w:val="19"/>
        </w:rPr>
        <w:t xml:space="preserve">  </w:t>
      </w:r>
      <w:r>
        <w:rPr>
          <w:spacing w:val="8"/>
          <w:sz w:val="19"/>
          <w:szCs w:val="19"/>
        </w:rPr>
        <w:t xml:space="preserve">第一级预防  </w:t>
      </w:r>
      <w:r>
        <w:rPr>
          <w:rFonts w:ascii="宋体" w:hAnsi="宋体" w:eastAsia="宋体" w:cs="宋体"/>
          <w:spacing w:val="8"/>
          <w:sz w:val="19"/>
          <w:szCs w:val="19"/>
        </w:rPr>
        <w:t>第一级预防</w:t>
      </w:r>
      <w:r>
        <w:rPr>
          <w:rFonts w:ascii="Times New Roman" w:hAnsi="Times New Roman" w:eastAsia="Times New Roman" w:cs="Times New Roman"/>
          <w:spacing w:val="8"/>
          <w:sz w:val="19"/>
          <w:szCs w:val="19"/>
        </w:rPr>
        <w:t>(</w:t>
      </w:r>
      <w:r>
        <w:rPr>
          <w:rFonts w:ascii="Times New Roman" w:hAnsi="Times New Roman" w:eastAsia="Times New Roman" w:cs="Times New Roman"/>
          <w:sz w:val="19"/>
          <w:szCs w:val="19"/>
        </w:rPr>
        <w:t>primary</w:t>
      </w:r>
      <w:r>
        <w:rPr>
          <w:rFonts w:ascii="Times New Roman" w:hAnsi="Times New Roman" w:eastAsia="Times New Roman" w:cs="Times New Roman"/>
          <w:spacing w:val="8"/>
          <w:sz w:val="19"/>
          <w:szCs w:val="19"/>
        </w:rPr>
        <w:t xml:space="preserve">    </w:t>
      </w:r>
      <w:r>
        <w:rPr>
          <w:rFonts w:ascii="Times New Roman" w:hAnsi="Times New Roman" w:eastAsia="Times New Roman" w:cs="Times New Roman"/>
          <w:sz w:val="19"/>
          <w:szCs w:val="19"/>
        </w:rPr>
        <w:t>prevention</w:t>
      </w:r>
      <w:r>
        <w:rPr>
          <w:rFonts w:ascii="Times New Roman" w:hAnsi="Times New Roman" w:eastAsia="Times New Roman" w:cs="Times New Roman"/>
          <w:spacing w:val="8"/>
          <w:sz w:val="19"/>
          <w:szCs w:val="19"/>
        </w:rPr>
        <w:t>),</w:t>
      </w:r>
      <w:r>
        <w:rPr>
          <w:rFonts w:ascii="宋体" w:hAnsi="宋体" w:eastAsia="宋体" w:cs="宋体"/>
          <w:spacing w:val="8"/>
          <w:sz w:val="19"/>
          <w:szCs w:val="19"/>
        </w:rPr>
        <w:t>又称病因预防，是</w:t>
      </w:r>
      <w:r>
        <w:rPr>
          <w:rFonts w:ascii="宋体" w:hAnsi="宋体" w:eastAsia="宋体" w:cs="宋体"/>
          <w:spacing w:val="7"/>
          <w:sz w:val="19"/>
          <w:szCs w:val="19"/>
        </w:rPr>
        <w:t>指在疾病(或伤害)和残疾</w:t>
      </w:r>
      <w:r>
        <w:rPr>
          <w:rFonts w:ascii="宋体" w:hAnsi="宋体" w:eastAsia="宋体" w:cs="宋体"/>
          <w:sz w:val="19"/>
          <w:szCs w:val="19"/>
        </w:rPr>
        <w:t xml:space="preserve"> </w:t>
      </w:r>
      <w:r>
        <w:rPr>
          <w:rFonts w:ascii="宋体" w:hAnsi="宋体" w:eastAsia="宋体" w:cs="宋体"/>
          <w:spacing w:val="9"/>
          <w:sz w:val="19"/>
          <w:szCs w:val="19"/>
        </w:rPr>
        <w:t>尚未发生时针对病因或危险因素采取措施，</w:t>
      </w:r>
      <w:r>
        <w:rPr>
          <w:rFonts w:ascii="宋体" w:hAnsi="宋体" w:eastAsia="宋体" w:cs="宋体"/>
          <w:spacing w:val="8"/>
          <w:sz w:val="19"/>
          <w:szCs w:val="19"/>
        </w:rPr>
        <w:t>降低有害暴露的水平，增强个体对抗有害暴露的能力，</w:t>
      </w:r>
      <w:r>
        <w:rPr>
          <w:rFonts w:ascii="宋体" w:hAnsi="宋体" w:eastAsia="宋体" w:cs="宋体"/>
          <w:sz w:val="19"/>
          <w:szCs w:val="19"/>
        </w:rPr>
        <w:t xml:space="preserve"> </w:t>
      </w:r>
      <w:r>
        <w:rPr>
          <w:rFonts w:ascii="宋体" w:hAnsi="宋体" w:eastAsia="宋体" w:cs="宋体"/>
          <w:spacing w:val="12"/>
          <w:sz w:val="19"/>
          <w:szCs w:val="19"/>
        </w:rPr>
        <w:t>预防疾病(或伤害)的发生，或至少推迟疾病的发生。第一级预防应该是消灭或消</w:t>
      </w:r>
      <w:r>
        <w:rPr>
          <w:rFonts w:ascii="宋体" w:hAnsi="宋体" w:eastAsia="宋体" w:cs="宋体"/>
          <w:spacing w:val="11"/>
          <w:sz w:val="19"/>
          <w:szCs w:val="19"/>
        </w:rPr>
        <w:t>除疾病(或伤害)</w:t>
      </w:r>
      <w:r>
        <w:rPr>
          <w:rFonts w:ascii="宋体" w:hAnsi="宋体" w:eastAsia="宋体" w:cs="宋体"/>
          <w:sz w:val="19"/>
          <w:szCs w:val="19"/>
        </w:rPr>
        <w:t xml:space="preserve"> </w:t>
      </w:r>
      <w:r>
        <w:rPr>
          <w:rFonts w:ascii="宋体" w:hAnsi="宋体" w:eastAsia="宋体" w:cs="宋体"/>
          <w:spacing w:val="9"/>
          <w:sz w:val="19"/>
          <w:szCs w:val="19"/>
        </w:rPr>
        <w:t>的根本措施。</w:t>
      </w:r>
    </w:p>
    <w:p w14:paraId="479A70B1">
      <w:pPr>
        <w:spacing w:before="2" w:line="352" w:lineRule="auto"/>
        <w:ind w:left="629" w:firstLine="399"/>
        <w:jc w:val="both"/>
        <w:rPr>
          <w:rFonts w:ascii="宋体" w:hAnsi="宋体" w:eastAsia="宋体" w:cs="宋体"/>
          <w:sz w:val="19"/>
          <w:szCs w:val="19"/>
        </w:rPr>
      </w:pPr>
      <w:r>
        <w:rPr>
          <w:rFonts w:ascii="宋体" w:hAnsi="宋体" w:eastAsia="宋体" w:cs="宋体"/>
          <w:spacing w:val="9"/>
          <w:sz w:val="19"/>
          <w:szCs w:val="19"/>
        </w:rPr>
        <w:t>实现第一级预防可以采取多类措施，如预防环境中的有害暴露</w:t>
      </w:r>
      <w:r>
        <w:rPr>
          <w:rFonts w:ascii="宋体" w:hAnsi="宋体" w:eastAsia="宋体" w:cs="宋体"/>
          <w:spacing w:val="8"/>
          <w:sz w:val="19"/>
          <w:szCs w:val="19"/>
        </w:rPr>
        <w:t>(如对生牛乳采用巴氏灭菌法)、</w:t>
      </w:r>
      <w:r>
        <w:rPr>
          <w:rFonts w:ascii="宋体" w:hAnsi="宋体" w:eastAsia="宋体" w:cs="宋体"/>
          <w:sz w:val="19"/>
          <w:szCs w:val="19"/>
        </w:rPr>
        <w:t xml:space="preserve"> </w:t>
      </w:r>
      <w:r>
        <w:rPr>
          <w:rFonts w:ascii="宋体" w:hAnsi="宋体" w:eastAsia="宋体" w:cs="宋体"/>
          <w:spacing w:val="14"/>
          <w:sz w:val="19"/>
          <w:szCs w:val="19"/>
        </w:rPr>
        <w:t>提高机体抵抗力(如免疫接种)、教育个体改变危</w:t>
      </w:r>
      <w:r>
        <w:rPr>
          <w:rFonts w:ascii="宋体" w:hAnsi="宋体" w:eastAsia="宋体" w:cs="宋体"/>
          <w:spacing w:val="13"/>
          <w:sz w:val="19"/>
          <w:szCs w:val="19"/>
        </w:rPr>
        <w:t>险行为(如戒烟、限酒、合理膳食和增加身体活</w:t>
      </w:r>
      <w:r>
        <w:rPr>
          <w:rFonts w:ascii="宋体" w:hAnsi="宋体" w:eastAsia="宋体" w:cs="宋体"/>
          <w:sz w:val="19"/>
          <w:szCs w:val="19"/>
        </w:rPr>
        <w:t xml:space="preserve">  </w:t>
      </w:r>
      <w:r>
        <w:rPr>
          <w:rFonts w:ascii="宋体" w:hAnsi="宋体" w:eastAsia="宋体" w:cs="宋体"/>
          <w:spacing w:val="14"/>
          <w:sz w:val="19"/>
          <w:szCs w:val="19"/>
        </w:rPr>
        <w:t>动)等。</w:t>
      </w:r>
    </w:p>
    <w:p w14:paraId="78BABDA1">
      <w:pPr>
        <w:spacing w:before="4" w:line="363" w:lineRule="auto"/>
        <w:ind w:left="629" w:right="66" w:firstLine="399"/>
        <w:rPr>
          <w:rFonts w:ascii="宋体" w:hAnsi="宋体" w:eastAsia="宋体" w:cs="宋体"/>
          <w:sz w:val="19"/>
          <w:szCs w:val="19"/>
        </w:rPr>
      </w:pPr>
      <w:r>
        <w:rPr>
          <w:rFonts w:ascii="宋体" w:hAnsi="宋体" w:eastAsia="宋体" w:cs="宋体"/>
          <w:spacing w:val="17"/>
          <w:sz w:val="19"/>
          <w:szCs w:val="19"/>
        </w:rPr>
        <w:t>有些学者从第一级预防中进一步划分出部分实</w:t>
      </w:r>
      <w:r>
        <w:rPr>
          <w:rFonts w:ascii="宋体" w:hAnsi="宋体" w:eastAsia="宋体" w:cs="宋体"/>
          <w:spacing w:val="16"/>
          <w:sz w:val="19"/>
          <w:szCs w:val="19"/>
        </w:rPr>
        <w:t>践，称之为根本预防或初始预防</w:t>
      </w:r>
      <w:r>
        <w:rPr>
          <w:rFonts w:ascii="Times New Roman" w:hAnsi="Times New Roman" w:eastAsia="Times New Roman" w:cs="Times New Roman"/>
          <w:spacing w:val="16"/>
          <w:sz w:val="19"/>
          <w:szCs w:val="19"/>
        </w:rPr>
        <w:t>(</w:t>
      </w:r>
      <w:r>
        <w:rPr>
          <w:rFonts w:ascii="Times New Roman" w:hAnsi="Times New Roman" w:eastAsia="Times New Roman" w:cs="Times New Roman"/>
          <w:sz w:val="19"/>
          <w:szCs w:val="19"/>
        </w:rPr>
        <w:t>primordial     prevention</w:t>
      </w:r>
      <w:r>
        <w:rPr>
          <w:rFonts w:ascii="Times New Roman" w:hAnsi="Times New Roman" w:eastAsia="Times New Roman" w:cs="Times New Roman"/>
          <w:spacing w:val="3"/>
          <w:sz w:val="19"/>
          <w:szCs w:val="19"/>
        </w:rPr>
        <w:t>)</w:t>
      </w:r>
      <w:r>
        <w:rPr>
          <w:rFonts w:ascii="Times New Roman" w:hAnsi="Times New Roman" w:eastAsia="Times New Roman" w:cs="Times New Roman"/>
          <w:spacing w:val="-17"/>
          <w:sz w:val="19"/>
          <w:szCs w:val="19"/>
        </w:rPr>
        <w:t xml:space="preserve"> </w:t>
      </w:r>
      <w:r>
        <w:rPr>
          <w:rFonts w:ascii="宋体" w:hAnsi="宋体" w:eastAsia="宋体" w:cs="宋体"/>
          <w:spacing w:val="3"/>
          <w:sz w:val="19"/>
          <w:szCs w:val="19"/>
        </w:rPr>
        <w:t>。</w:t>
      </w:r>
      <w:r>
        <w:rPr>
          <w:rFonts w:ascii="Times New Roman" w:hAnsi="Times New Roman" w:eastAsia="Times New Roman" w:cs="Times New Roman"/>
          <w:sz w:val="19"/>
          <w:szCs w:val="19"/>
        </w:rPr>
        <w:t>Last</w:t>
      </w:r>
      <w:r>
        <w:rPr>
          <w:rFonts w:ascii="Times New Roman" w:hAnsi="Times New Roman" w:eastAsia="Times New Roman" w:cs="Times New Roman"/>
          <w:spacing w:val="3"/>
          <w:sz w:val="19"/>
          <w:szCs w:val="19"/>
        </w:rPr>
        <w:t xml:space="preserve">    </w:t>
      </w:r>
      <w:r>
        <w:rPr>
          <w:rFonts w:ascii="宋体" w:hAnsi="宋体" w:eastAsia="宋体" w:cs="宋体"/>
          <w:spacing w:val="3"/>
          <w:sz w:val="19"/>
          <w:szCs w:val="19"/>
        </w:rPr>
        <w:t>主编的《流行病学词典》(第4版)给出它的定义为：“根本预防是公共卫生和健康</w:t>
      </w:r>
      <w:r>
        <w:rPr>
          <w:rFonts w:ascii="宋体" w:hAnsi="宋体" w:eastAsia="宋体" w:cs="宋体"/>
          <w:sz w:val="19"/>
          <w:szCs w:val="19"/>
        </w:rPr>
        <w:t xml:space="preserve"> </w:t>
      </w:r>
      <w:r>
        <w:rPr>
          <w:rFonts w:ascii="宋体" w:hAnsi="宋体" w:eastAsia="宋体" w:cs="宋体"/>
          <w:spacing w:val="3"/>
          <w:sz w:val="19"/>
          <w:szCs w:val="19"/>
        </w:rPr>
        <w:t>促进的任务，即采取行动和措施以阻止来自环境、经济</w:t>
      </w:r>
      <w:r>
        <w:rPr>
          <w:rFonts w:ascii="宋体" w:hAnsi="宋体" w:eastAsia="宋体" w:cs="宋体"/>
          <w:spacing w:val="2"/>
          <w:sz w:val="19"/>
          <w:szCs w:val="19"/>
        </w:rPr>
        <w:t>、社会、行为、文化生活等方面能够增加疾病</w:t>
      </w:r>
      <w:r>
        <w:rPr>
          <w:rFonts w:ascii="宋体" w:hAnsi="宋体" w:eastAsia="宋体" w:cs="宋体"/>
          <w:sz w:val="19"/>
          <w:szCs w:val="19"/>
        </w:rPr>
        <w:t xml:space="preserve"> </w:t>
      </w:r>
      <w:r>
        <w:rPr>
          <w:rFonts w:ascii="宋体" w:hAnsi="宋体" w:eastAsia="宋体" w:cs="宋体"/>
          <w:spacing w:val="9"/>
          <w:sz w:val="19"/>
          <w:szCs w:val="19"/>
        </w:rPr>
        <w:t>危险性的因素的出现和流行。”</w:t>
      </w:r>
    </w:p>
    <w:p w14:paraId="24B17F11">
      <w:pPr>
        <w:spacing w:before="30" w:line="351" w:lineRule="auto"/>
        <w:ind w:left="629" w:firstLine="399"/>
        <w:jc w:val="both"/>
        <w:rPr>
          <w:rFonts w:ascii="宋体" w:hAnsi="宋体" w:eastAsia="宋体" w:cs="宋体"/>
          <w:sz w:val="19"/>
          <w:szCs w:val="19"/>
        </w:rPr>
      </w:pPr>
      <w:r>
        <w:rPr>
          <w:rFonts w:ascii="宋体" w:hAnsi="宋体" w:eastAsia="宋体" w:cs="宋体"/>
          <w:spacing w:val="7"/>
          <w:sz w:val="19"/>
          <w:szCs w:val="19"/>
        </w:rPr>
        <w:t>国内有学者在此基础上，结合我国公共卫生实践，提出了零级预防的</w:t>
      </w:r>
      <w:r>
        <w:rPr>
          <w:rFonts w:ascii="宋体" w:hAnsi="宋体" w:eastAsia="宋体" w:cs="宋体"/>
          <w:spacing w:val="6"/>
          <w:sz w:val="19"/>
          <w:szCs w:val="19"/>
        </w:rPr>
        <w:t>概念。零级预防是指以政</w:t>
      </w:r>
      <w:r>
        <w:rPr>
          <w:rFonts w:ascii="宋体" w:hAnsi="宋体" w:eastAsia="宋体" w:cs="宋体"/>
          <w:sz w:val="19"/>
          <w:szCs w:val="19"/>
        </w:rPr>
        <w:t xml:space="preserve">  </w:t>
      </w:r>
      <w:r>
        <w:rPr>
          <w:rFonts w:ascii="宋体" w:hAnsi="宋体" w:eastAsia="宋体" w:cs="宋体"/>
          <w:spacing w:val="3"/>
          <w:sz w:val="19"/>
          <w:szCs w:val="19"/>
        </w:rPr>
        <w:t>府为主体，多部门参与，通过制定法规、政</w:t>
      </w:r>
      <w:r>
        <w:rPr>
          <w:rFonts w:ascii="宋体" w:hAnsi="宋体" w:eastAsia="宋体" w:cs="宋体"/>
          <w:spacing w:val="2"/>
          <w:sz w:val="19"/>
          <w:szCs w:val="19"/>
        </w:rPr>
        <w:t>策或指南，并采取措施，防止可能引发公共卫生事件的各</w:t>
      </w:r>
      <w:r>
        <w:rPr>
          <w:rFonts w:ascii="宋体" w:hAnsi="宋体" w:eastAsia="宋体" w:cs="宋体"/>
          <w:sz w:val="19"/>
          <w:szCs w:val="19"/>
        </w:rPr>
        <w:t xml:space="preserve">  </w:t>
      </w:r>
      <w:r>
        <w:rPr>
          <w:rFonts w:ascii="宋体" w:hAnsi="宋体" w:eastAsia="宋体" w:cs="宋体"/>
          <w:spacing w:val="12"/>
          <w:sz w:val="19"/>
          <w:szCs w:val="19"/>
        </w:rPr>
        <w:t>种不良因素的出现。其核心是通过制定科学的政策、立法</w:t>
      </w:r>
      <w:r>
        <w:rPr>
          <w:rFonts w:ascii="宋体" w:hAnsi="宋体" w:eastAsia="宋体" w:cs="宋体"/>
          <w:spacing w:val="11"/>
          <w:sz w:val="19"/>
          <w:szCs w:val="19"/>
        </w:rPr>
        <w:t>和有效的实施，改变危险因素赖以产生</w:t>
      </w:r>
      <w:r>
        <w:rPr>
          <w:rFonts w:ascii="宋体" w:hAnsi="宋体" w:eastAsia="宋体" w:cs="宋体"/>
          <w:sz w:val="19"/>
          <w:szCs w:val="19"/>
        </w:rPr>
        <w:t xml:space="preserve">  </w:t>
      </w:r>
      <w:r>
        <w:rPr>
          <w:rFonts w:ascii="宋体" w:hAnsi="宋体" w:eastAsia="宋体" w:cs="宋体"/>
          <w:spacing w:val="9"/>
          <w:sz w:val="19"/>
          <w:szCs w:val="19"/>
        </w:rPr>
        <w:t>和发展的自然和社会环境，从而避免或限制这些因素的发生。这可以看成是预防工作的关口</w:t>
      </w:r>
      <w:r>
        <w:rPr>
          <w:rFonts w:ascii="宋体" w:hAnsi="宋体" w:eastAsia="宋体" w:cs="宋体"/>
          <w:spacing w:val="8"/>
          <w:sz w:val="19"/>
          <w:szCs w:val="19"/>
        </w:rPr>
        <w:t>前移。</w:t>
      </w:r>
      <w:r>
        <w:rPr>
          <w:rFonts w:ascii="宋体" w:hAnsi="宋体" w:eastAsia="宋体" w:cs="宋体"/>
          <w:sz w:val="19"/>
          <w:szCs w:val="19"/>
        </w:rPr>
        <w:t xml:space="preserve"> </w:t>
      </w:r>
      <w:r>
        <w:rPr>
          <w:rFonts w:ascii="宋体" w:hAnsi="宋体" w:eastAsia="宋体" w:cs="宋体"/>
          <w:spacing w:val="7"/>
          <w:sz w:val="19"/>
          <w:szCs w:val="19"/>
        </w:rPr>
        <w:t>在人群层面，零级预防是防止社会危险因素流行的策略。对个人而言，是在最初起始环节</w:t>
      </w:r>
      <w:r>
        <w:rPr>
          <w:rFonts w:ascii="宋体" w:hAnsi="宋体" w:eastAsia="宋体" w:cs="宋体"/>
          <w:spacing w:val="6"/>
          <w:sz w:val="19"/>
          <w:szCs w:val="19"/>
        </w:rPr>
        <w:t>根本性预</w:t>
      </w:r>
      <w:r>
        <w:rPr>
          <w:rFonts w:ascii="宋体" w:hAnsi="宋体" w:eastAsia="宋体" w:cs="宋体"/>
          <w:sz w:val="19"/>
          <w:szCs w:val="19"/>
        </w:rPr>
        <w:t xml:space="preserve">  </w:t>
      </w:r>
      <w:r>
        <w:rPr>
          <w:rFonts w:ascii="宋体" w:hAnsi="宋体" w:eastAsia="宋体" w:cs="宋体"/>
          <w:spacing w:val="6"/>
          <w:sz w:val="19"/>
          <w:szCs w:val="19"/>
        </w:rPr>
        <w:t>防其危险因素。</w:t>
      </w:r>
    </w:p>
    <w:p w14:paraId="08D633B4">
      <w:pPr>
        <w:spacing w:before="18" w:line="362" w:lineRule="auto"/>
        <w:ind w:left="629" w:right="62" w:firstLine="399"/>
        <w:jc w:val="both"/>
        <w:rPr>
          <w:rFonts w:ascii="宋体" w:hAnsi="宋体" w:eastAsia="宋体" w:cs="宋体"/>
          <w:sz w:val="19"/>
          <w:szCs w:val="19"/>
        </w:rPr>
      </w:pPr>
      <w:r>
        <w:rPr>
          <w:rFonts w:ascii="宋体" w:hAnsi="宋体" w:eastAsia="宋体" w:cs="宋体"/>
          <w:spacing w:val="3"/>
          <w:sz w:val="19"/>
          <w:szCs w:val="19"/>
        </w:rPr>
        <w:t>(1)高危人群策略：又称为高危策略(</w:t>
      </w:r>
      <w:r>
        <w:rPr>
          <w:rFonts w:ascii="宋体" w:hAnsi="宋体" w:eastAsia="宋体" w:cs="宋体"/>
          <w:sz w:val="19"/>
          <w:szCs w:val="19"/>
        </w:rPr>
        <w:t>high</w:t>
      </w:r>
      <w:r>
        <w:rPr>
          <w:rFonts w:ascii="宋体" w:hAnsi="宋体" w:eastAsia="宋体" w:cs="宋体"/>
          <w:spacing w:val="3"/>
          <w:sz w:val="19"/>
          <w:szCs w:val="19"/>
        </w:rPr>
        <w:t>-</w:t>
      </w:r>
      <w:r>
        <w:rPr>
          <w:rFonts w:ascii="宋体" w:hAnsi="宋体" w:eastAsia="宋体" w:cs="宋体"/>
          <w:sz w:val="19"/>
          <w:szCs w:val="19"/>
        </w:rPr>
        <w:t>risk</w:t>
      </w:r>
      <w:r>
        <w:rPr>
          <w:rFonts w:ascii="宋体" w:hAnsi="宋体" w:eastAsia="宋体" w:cs="宋体"/>
          <w:spacing w:val="3"/>
          <w:sz w:val="19"/>
          <w:szCs w:val="19"/>
        </w:rPr>
        <w:t xml:space="preserve"> </w:t>
      </w:r>
      <w:r>
        <w:rPr>
          <w:rFonts w:ascii="宋体" w:hAnsi="宋体" w:eastAsia="宋体" w:cs="宋体"/>
          <w:sz w:val="19"/>
          <w:szCs w:val="19"/>
        </w:rPr>
        <w:t>strategy</w:t>
      </w:r>
      <w:r>
        <w:rPr>
          <w:rFonts w:ascii="宋体" w:hAnsi="宋体" w:eastAsia="宋体" w:cs="宋体"/>
          <w:spacing w:val="3"/>
          <w:sz w:val="19"/>
          <w:szCs w:val="19"/>
        </w:rPr>
        <w:t>),是以临床医学思维为导向的、</w:t>
      </w:r>
      <w:r>
        <w:rPr>
          <w:rFonts w:ascii="宋体" w:hAnsi="宋体" w:eastAsia="宋体" w:cs="宋体"/>
          <w:spacing w:val="2"/>
          <w:sz w:val="19"/>
          <w:szCs w:val="19"/>
        </w:rPr>
        <w:t>实现第</w:t>
      </w:r>
      <w:r>
        <w:rPr>
          <w:rFonts w:ascii="宋体" w:hAnsi="宋体" w:eastAsia="宋体" w:cs="宋体"/>
          <w:sz w:val="19"/>
          <w:szCs w:val="19"/>
        </w:rPr>
        <w:t xml:space="preserve"> </w:t>
      </w:r>
      <w:r>
        <w:rPr>
          <w:rFonts w:ascii="宋体" w:hAnsi="宋体" w:eastAsia="宋体" w:cs="宋体"/>
          <w:spacing w:val="12"/>
          <w:sz w:val="19"/>
          <w:szCs w:val="19"/>
        </w:rPr>
        <w:t>一级预防的策略。高危策略是对未来发病风险高的一小部</w:t>
      </w:r>
      <w:r>
        <w:rPr>
          <w:rFonts w:ascii="宋体" w:hAnsi="宋体" w:eastAsia="宋体" w:cs="宋体"/>
          <w:spacing w:val="11"/>
          <w:sz w:val="19"/>
          <w:szCs w:val="19"/>
        </w:rPr>
        <w:t>分个体，针对致病危险因素采取有针对</w:t>
      </w:r>
      <w:r>
        <w:rPr>
          <w:rFonts w:ascii="宋体" w:hAnsi="宋体" w:eastAsia="宋体" w:cs="宋体"/>
          <w:sz w:val="19"/>
          <w:szCs w:val="19"/>
        </w:rPr>
        <w:t xml:space="preserve"> </w:t>
      </w:r>
      <w:r>
        <w:rPr>
          <w:rFonts w:ascii="宋体" w:hAnsi="宋体" w:eastAsia="宋体" w:cs="宋体"/>
          <w:spacing w:val="7"/>
          <w:sz w:val="19"/>
          <w:szCs w:val="19"/>
        </w:rPr>
        <w:t>性的措施，降低危险暴露水平及其未来发病的风险。例如，定期对成人进行心血管疾病</w:t>
      </w:r>
      <w:r>
        <w:rPr>
          <w:rFonts w:ascii="宋体" w:hAnsi="宋体" w:eastAsia="宋体" w:cs="宋体"/>
          <w:spacing w:val="6"/>
          <w:sz w:val="19"/>
          <w:szCs w:val="19"/>
        </w:rPr>
        <w:t>危险因素评</w:t>
      </w:r>
      <w:r>
        <w:rPr>
          <w:rFonts w:ascii="宋体" w:hAnsi="宋体" w:eastAsia="宋体" w:cs="宋体"/>
          <w:sz w:val="19"/>
          <w:szCs w:val="19"/>
        </w:rPr>
        <w:t xml:space="preserve"> </w:t>
      </w:r>
      <w:r>
        <w:rPr>
          <w:rFonts w:ascii="宋体" w:hAnsi="宋体" w:eastAsia="宋体" w:cs="宋体"/>
          <w:spacing w:val="9"/>
          <w:sz w:val="19"/>
          <w:szCs w:val="19"/>
        </w:rPr>
        <w:t>估，对未来10年发生冠心病风险显著高的个体进行有针对性的危险因素干预(如戒烟限</w:t>
      </w:r>
      <w:r>
        <w:rPr>
          <w:rFonts w:ascii="宋体" w:hAnsi="宋体" w:eastAsia="宋体" w:cs="宋体"/>
          <w:spacing w:val="8"/>
          <w:sz w:val="19"/>
          <w:szCs w:val="19"/>
        </w:rPr>
        <w:t>酒、适量运</w:t>
      </w:r>
      <w:r>
        <w:rPr>
          <w:rFonts w:ascii="宋体" w:hAnsi="宋体" w:eastAsia="宋体" w:cs="宋体"/>
          <w:sz w:val="19"/>
          <w:szCs w:val="19"/>
        </w:rPr>
        <w:t xml:space="preserve"> </w:t>
      </w:r>
      <w:r>
        <w:rPr>
          <w:rFonts w:ascii="宋体" w:hAnsi="宋体" w:eastAsia="宋体" w:cs="宋体"/>
          <w:spacing w:val="-2"/>
          <w:sz w:val="19"/>
          <w:szCs w:val="19"/>
        </w:rPr>
        <w:t>动、控制体重、维持心理状态稳定等)。</w:t>
      </w:r>
    </w:p>
    <w:p w14:paraId="7EED3875">
      <w:pPr>
        <w:spacing w:before="6" w:line="360" w:lineRule="auto"/>
        <w:ind w:left="629" w:firstLine="399"/>
        <w:jc w:val="both"/>
        <w:rPr>
          <w:rFonts w:ascii="宋体" w:hAnsi="宋体" w:eastAsia="宋体" w:cs="宋体"/>
          <w:sz w:val="19"/>
          <w:szCs w:val="19"/>
        </w:rPr>
      </w:pPr>
      <w:r>
        <w:rPr>
          <w:rFonts w:ascii="宋体" w:hAnsi="宋体" w:eastAsia="宋体" w:cs="宋体"/>
          <w:spacing w:val="7"/>
          <w:sz w:val="19"/>
          <w:szCs w:val="19"/>
        </w:rPr>
        <w:t>由于医疗资源有限，医疗卫生实际是一个实行限量供应的系统，需要优</w:t>
      </w:r>
      <w:r>
        <w:rPr>
          <w:rFonts w:ascii="宋体" w:hAnsi="宋体" w:eastAsia="宋体" w:cs="宋体"/>
          <w:spacing w:val="6"/>
          <w:sz w:val="19"/>
          <w:szCs w:val="19"/>
        </w:rPr>
        <w:t>先考虑那些最有可能受</w:t>
      </w:r>
      <w:r>
        <w:rPr>
          <w:rFonts w:ascii="宋体" w:hAnsi="宋体" w:eastAsia="宋体" w:cs="宋体"/>
          <w:sz w:val="19"/>
          <w:szCs w:val="19"/>
        </w:rPr>
        <w:t xml:space="preserve">  </w:t>
      </w:r>
      <w:r>
        <w:rPr>
          <w:rFonts w:ascii="宋体" w:hAnsi="宋体" w:eastAsia="宋体" w:cs="宋体"/>
          <w:spacing w:val="9"/>
          <w:sz w:val="19"/>
          <w:szCs w:val="19"/>
        </w:rPr>
        <w:t>益或可能受益最多的群体。高危策略对资源的利用可能更符合成本效益原则。但是，进食、</w:t>
      </w:r>
      <w:r>
        <w:rPr>
          <w:rFonts w:ascii="宋体" w:hAnsi="宋体" w:eastAsia="宋体" w:cs="宋体"/>
          <w:spacing w:val="8"/>
          <w:sz w:val="19"/>
          <w:szCs w:val="19"/>
        </w:rPr>
        <w:t>吸烟、</w:t>
      </w:r>
      <w:r>
        <w:rPr>
          <w:rFonts w:ascii="宋体" w:hAnsi="宋体" w:eastAsia="宋体" w:cs="宋体"/>
          <w:sz w:val="19"/>
          <w:szCs w:val="19"/>
        </w:rPr>
        <w:t xml:space="preserve"> </w:t>
      </w:r>
      <w:r>
        <w:rPr>
          <w:rFonts w:ascii="宋体" w:hAnsi="宋体" w:eastAsia="宋体" w:cs="宋体"/>
          <w:spacing w:val="14"/>
          <w:sz w:val="19"/>
          <w:szCs w:val="19"/>
        </w:rPr>
        <w:t>运动等多数生活方式在很大程度上受到我们所在社会的行为规范</w:t>
      </w:r>
      <w:r>
        <w:rPr>
          <w:rFonts w:ascii="宋体" w:hAnsi="宋体" w:eastAsia="宋体" w:cs="宋体"/>
          <w:spacing w:val="13"/>
          <w:sz w:val="19"/>
          <w:szCs w:val="19"/>
        </w:rPr>
        <w:t>及周围人的行为的影响和限制。</w:t>
      </w:r>
      <w:r>
        <w:rPr>
          <w:rFonts w:ascii="宋体" w:hAnsi="宋体" w:eastAsia="宋体" w:cs="宋体"/>
          <w:sz w:val="19"/>
          <w:szCs w:val="19"/>
        </w:rPr>
        <w:t xml:space="preserve"> </w:t>
      </w:r>
      <w:r>
        <w:rPr>
          <w:rFonts w:ascii="宋体" w:hAnsi="宋体" w:eastAsia="宋体" w:cs="宋体"/>
          <w:spacing w:val="12"/>
          <w:sz w:val="19"/>
          <w:szCs w:val="19"/>
        </w:rPr>
        <w:t>而高危策略在本质上是要求少数人在行为上必须与众不同，这无</w:t>
      </w:r>
      <w:r>
        <w:rPr>
          <w:rFonts w:ascii="宋体" w:hAnsi="宋体" w:eastAsia="宋体" w:cs="宋体"/>
          <w:spacing w:val="11"/>
          <w:sz w:val="19"/>
          <w:szCs w:val="19"/>
        </w:rPr>
        <w:t>疑限制了这种策略的效果。如果</w:t>
      </w:r>
      <w:r>
        <w:rPr>
          <w:rFonts w:ascii="宋体" w:hAnsi="宋体" w:eastAsia="宋体" w:cs="宋体"/>
          <w:sz w:val="19"/>
          <w:szCs w:val="19"/>
        </w:rPr>
        <w:t xml:space="preserve">  </w:t>
      </w:r>
      <w:r>
        <w:rPr>
          <w:rFonts w:ascii="宋体" w:hAnsi="宋体" w:eastAsia="宋体" w:cs="宋体"/>
          <w:spacing w:val="7"/>
          <w:sz w:val="19"/>
          <w:szCs w:val="19"/>
        </w:rPr>
        <w:t>某种疾病的绝大部分病例都发生在一小组很容易识别的人群中，针对这组人群的干预很有效、人们</w:t>
      </w:r>
      <w:r>
        <w:rPr>
          <w:rFonts w:ascii="宋体" w:hAnsi="宋体" w:eastAsia="宋体" w:cs="宋体"/>
          <w:spacing w:val="1"/>
          <w:sz w:val="19"/>
          <w:szCs w:val="19"/>
        </w:rPr>
        <w:t xml:space="preserve">  </w:t>
      </w:r>
      <w:r>
        <w:rPr>
          <w:rFonts w:ascii="宋体" w:hAnsi="宋体" w:eastAsia="宋体" w:cs="宋体"/>
          <w:spacing w:val="3"/>
          <w:sz w:val="19"/>
          <w:szCs w:val="19"/>
        </w:rPr>
        <w:t>负担得起、可以接受，那么高危策略就足以控制这个疾病。但是，当</w:t>
      </w:r>
      <w:r>
        <w:rPr>
          <w:rFonts w:ascii="宋体" w:hAnsi="宋体" w:eastAsia="宋体" w:cs="宋体"/>
          <w:spacing w:val="2"/>
          <w:sz w:val="19"/>
          <w:szCs w:val="19"/>
        </w:rPr>
        <w:t>问题的根源，即之前提到的病因</w:t>
      </w:r>
    </w:p>
    <w:p w14:paraId="0DAD9DE3">
      <w:pPr>
        <w:spacing w:line="360" w:lineRule="auto"/>
        <w:rPr>
          <w:rFonts w:ascii="宋体" w:hAnsi="宋体" w:eastAsia="宋体" w:cs="宋体"/>
          <w:sz w:val="19"/>
          <w:szCs w:val="19"/>
        </w:rPr>
        <w:sectPr>
          <w:headerReference r:id="rId186" w:type="default"/>
          <w:footerReference r:id="rId187" w:type="default"/>
          <w:pgSz w:w="11900" w:h="16820"/>
          <w:pgMar w:top="400" w:right="1664" w:bottom="882" w:left="1050" w:header="0" w:footer="711" w:gutter="0"/>
          <w:cols w:space="720" w:num="1"/>
        </w:sectPr>
      </w:pPr>
    </w:p>
    <w:p w14:paraId="4AD2FAFF">
      <w:pPr>
        <w:spacing w:line="269" w:lineRule="auto"/>
        <w:rPr>
          <w:rFonts w:ascii="Arial"/>
          <w:sz w:val="21"/>
        </w:rPr>
      </w:pPr>
    </w:p>
    <w:p w14:paraId="33BD0855">
      <w:pPr>
        <w:pStyle w:val="2"/>
        <w:spacing w:before="65" w:line="221" w:lineRule="auto"/>
        <w:ind w:left="7680"/>
        <w:rPr>
          <w:sz w:val="20"/>
          <w:szCs w:val="20"/>
        </w:rPr>
      </w:pPr>
      <w:r>
        <w:rPr>
          <w:spacing w:val="-1"/>
          <w:sz w:val="20"/>
          <w:szCs w:val="20"/>
        </w:rPr>
        <w:t>第九章预防策略</w:t>
      </w:r>
    </w:p>
    <w:p w14:paraId="5FABA16C">
      <w:pPr>
        <w:spacing w:line="261" w:lineRule="auto"/>
        <w:rPr>
          <w:rFonts w:ascii="Arial"/>
          <w:sz w:val="21"/>
        </w:rPr>
      </w:pPr>
    </w:p>
    <w:p w14:paraId="458B8D1A">
      <w:pPr>
        <w:spacing w:line="261" w:lineRule="auto"/>
        <w:rPr>
          <w:rFonts w:ascii="Arial"/>
          <w:sz w:val="21"/>
        </w:rPr>
      </w:pPr>
    </w:p>
    <w:p w14:paraId="50A90E06">
      <w:pPr>
        <w:spacing w:before="65" w:line="350" w:lineRule="auto"/>
        <w:ind w:right="668"/>
        <w:rPr>
          <w:rFonts w:ascii="宋体" w:hAnsi="宋体" w:eastAsia="宋体" w:cs="宋体"/>
          <w:sz w:val="20"/>
          <w:szCs w:val="20"/>
        </w:rPr>
      </w:pPr>
      <w:r>
        <w:rPr>
          <w:rFonts w:ascii="宋体" w:hAnsi="宋体" w:eastAsia="宋体" w:cs="宋体"/>
          <w:spacing w:val="10"/>
          <w:sz w:val="20"/>
          <w:szCs w:val="20"/>
        </w:rPr>
        <w:t>的原因波及整个人群时，仅仅治疗那些病人和显著易感的个体，即冰山的一角，高危策略将是治标</w:t>
      </w:r>
      <w:r>
        <w:rPr>
          <w:rFonts w:ascii="宋体" w:hAnsi="宋体" w:eastAsia="宋体" w:cs="宋体"/>
          <w:spacing w:val="16"/>
          <w:sz w:val="20"/>
          <w:szCs w:val="20"/>
        </w:rPr>
        <w:t xml:space="preserve"> </w:t>
      </w:r>
      <w:r>
        <w:rPr>
          <w:rFonts w:ascii="宋体" w:hAnsi="宋体" w:eastAsia="宋体" w:cs="宋体"/>
          <w:spacing w:val="12"/>
          <w:sz w:val="20"/>
          <w:szCs w:val="20"/>
        </w:rPr>
        <w:t>不治本的策略。</w:t>
      </w:r>
    </w:p>
    <w:p w14:paraId="29409AA4">
      <w:pPr>
        <w:spacing w:before="3" w:line="338" w:lineRule="auto"/>
        <w:ind w:right="635" w:firstLine="419"/>
        <w:jc w:val="both"/>
        <w:rPr>
          <w:rFonts w:ascii="宋体" w:hAnsi="宋体" w:eastAsia="宋体" w:cs="宋体"/>
          <w:sz w:val="20"/>
          <w:szCs w:val="20"/>
        </w:rPr>
      </w:pPr>
      <w:r>
        <w:rPr>
          <w:rFonts w:ascii="宋体" w:hAnsi="宋体" w:eastAsia="宋体" w:cs="宋体"/>
          <w:spacing w:val="11"/>
          <w:sz w:val="20"/>
          <w:szCs w:val="20"/>
        </w:rPr>
        <w:t>(2)全人群策略：全人群策略</w:t>
      </w:r>
      <w:r>
        <w:rPr>
          <w:rFonts w:ascii="Times New Roman" w:hAnsi="Times New Roman" w:eastAsia="Times New Roman" w:cs="Times New Roman"/>
          <w:spacing w:val="11"/>
          <w:sz w:val="20"/>
          <w:szCs w:val="20"/>
        </w:rPr>
        <w:t>(</w:t>
      </w:r>
      <w:r>
        <w:rPr>
          <w:rFonts w:ascii="Times New Roman" w:hAnsi="Times New Roman" w:eastAsia="Times New Roman" w:cs="Times New Roman"/>
          <w:sz w:val="20"/>
          <w:szCs w:val="20"/>
        </w:rPr>
        <w:t>population</w:t>
      </w:r>
      <w:r>
        <w:rPr>
          <w:rFonts w:ascii="Times New Roman" w:hAnsi="Times New Roman" w:eastAsia="Times New Roman" w:cs="Times New Roman"/>
          <w:spacing w:val="11"/>
          <w:sz w:val="20"/>
          <w:szCs w:val="20"/>
        </w:rPr>
        <w:t>-</w:t>
      </w:r>
      <w:r>
        <w:rPr>
          <w:rFonts w:ascii="Times New Roman" w:hAnsi="Times New Roman" w:eastAsia="Times New Roman" w:cs="Times New Roman"/>
          <w:sz w:val="20"/>
          <w:szCs w:val="20"/>
        </w:rPr>
        <w:t>based</w:t>
      </w:r>
      <w:r>
        <w:rPr>
          <w:rFonts w:ascii="Times New Roman" w:hAnsi="Times New Roman" w:eastAsia="Times New Roman" w:cs="Times New Roman"/>
          <w:spacing w:val="11"/>
          <w:sz w:val="20"/>
          <w:szCs w:val="20"/>
        </w:rPr>
        <w:t xml:space="preserve">    </w:t>
      </w:r>
      <w:r>
        <w:rPr>
          <w:rFonts w:ascii="Times New Roman" w:hAnsi="Times New Roman" w:eastAsia="Times New Roman" w:cs="Times New Roman"/>
          <w:sz w:val="20"/>
          <w:szCs w:val="20"/>
        </w:rPr>
        <w:t>strategy</w:t>
      </w:r>
      <w:r>
        <w:rPr>
          <w:rFonts w:ascii="Times New Roman" w:hAnsi="Times New Roman" w:eastAsia="Times New Roman" w:cs="Times New Roman"/>
          <w:spacing w:val="11"/>
          <w:sz w:val="20"/>
          <w:szCs w:val="20"/>
        </w:rPr>
        <w:t>)</w:t>
      </w:r>
      <w:r>
        <w:rPr>
          <w:rFonts w:ascii="宋体" w:hAnsi="宋体" w:eastAsia="宋体" w:cs="宋体"/>
          <w:spacing w:val="11"/>
          <w:sz w:val="20"/>
          <w:szCs w:val="20"/>
        </w:rPr>
        <w:t>是以公共卫生思维为导向的、实现</w:t>
      </w:r>
      <w:r>
        <w:rPr>
          <w:rFonts w:ascii="宋体" w:hAnsi="宋体" w:eastAsia="宋体" w:cs="宋体"/>
          <w:spacing w:val="10"/>
          <w:sz w:val="20"/>
          <w:szCs w:val="20"/>
        </w:rPr>
        <w:t>第一</w:t>
      </w:r>
      <w:r>
        <w:rPr>
          <w:rFonts w:ascii="宋体" w:hAnsi="宋体" w:eastAsia="宋体" w:cs="宋体"/>
          <w:sz w:val="20"/>
          <w:szCs w:val="20"/>
        </w:rPr>
        <w:t xml:space="preserve"> </w:t>
      </w:r>
      <w:r>
        <w:rPr>
          <w:rFonts w:ascii="宋体" w:hAnsi="宋体" w:eastAsia="宋体" w:cs="宋体"/>
          <w:spacing w:val="11"/>
          <w:sz w:val="20"/>
          <w:szCs w:val="20"/>
        </w:rPr>
        <w:t>级预防的策略。全人群策略不需要确定哪些个体未来发生疾病的</w:t>
      </w:r>
      <w:r>
        <w:rPr>
          <w:rFonts w:ascii="宋体" w:hAnsi="宋体" w:eastAsia="宋体" w:cs="宋体"/>
          <w:spacing w:val="10"/>
          <w:sz w:val="20"/>
          <w:szCs w:val="20"/>
        </w:rPr>
        <w:t>风险高、哪些风险低，而是通过消</w:t>
      </w:r>
      <w:r>
        <w:rPr>
          <w:rFonts w:ascii="宋体" w:hAnsi="宋体" w:eastAsia="宋体" w:cs="宋体"/>
          <w:sz w:val="20"/>
          <w:szCs w:val="20"/>
        </w:rPr>
        <w:t xml:space="preserve"> </w:t>
      </w:r>
      <w:r>
        <w:rPr>
          <w:rFonts w:ascii="宋体" w:hAnsi="宋体" w:eastAsia="宋体" w:cs="宋体"/>
          <w:spacing w:val="11"/>
          <w:sz w:val="20"/>
          <w:szCs w:val="20"/>
        </w:rPr>
        <w:t>除有害暴露，尤其是那些个体难以觉察或控制的环境暴露，或针对</w:t>
      </w:r>
      <w:r>
        <w:rPr>
          <w:rFonts w:ascii="宋体" w:hAnsi="宋体" w:eastAsia="宋体" w:cs="宋体"/>
          <w:spacing w:val="10"/>
          <w:sz w:val="20"/>
          <w:szCs w:val="20"/>
        </w:rPr>
        <w:t>人群中有害暴露的决定因素，即</w:t>
      </w:r>
      <w:r>
        <w:rPr>
          <w:rFonts w:ascii="宋体" w:hAnsi="宋体" w:eastAsia="宋体" w:cs="宋体"/>
          <w:sz w:val="20"/>
          <w:szCs w:val="20"/>
        </w:rPr>
        <w:t xml:space="preserve"> </w:t>
      </w:r>
      <w:r>
        <w:rPr>
          <w:rFonts w:ascii="宋体" w:hAnsi="宋体" w:eastAsia="宋体" w:cs="宋体"/>
          <w:spacing w:val="8"/>
          <w:sz w:val="20"/>
          <w:szCs w:val="20"/>
        </w:rPr>
        <w:t>病因的原因采取措施，降低整个人群有害暴露</w:t>
      </w:r>
      <w:r>
        <w:rPr>
          <w:rFonts w:ascii="宋体" w:hAnsi="宋体" w:eastAsia="宋体" w:cs="宋体"/>
          <w:spacing w:val="7"/>
          <w:sz w:val="20"/>
          <w:szCs w:val="20"/>
        </w:rPr>
        <w:t>的水平，进而降低人群总的疾病负担。</w:t>
      </w:r>
    </w:p>
    <w:p w14:paraId="38E8E973">
      <w:pPr>
        <w:spacing w:before="21" w:line="339" w:lineRule="auto"/>
        <w:ind w:right="661" w:firstLine="419"/>
        <w:rPr>
          <w:rFonts w:ascii="宋体" w:hAnsi="宋体" w:eastAsia="宋体" w:cs="宋体"/>
          <w:sz w:val="20"/>
          <w:szCs w:val="20"/>
        </w:rPr>
      </w:pPr>
      <w:r>
        <w:rPr>
          <w:rFonts w:ascii="宋体" w:hAnsi="宋体" w:eastAsia="宋体" w:cs="宋体"/>
          <w:spacing w:val="19"/>
          <w:sz w:val="20"/>
          <w:szCs w:val="20"/>
        </w:rPr>
        <w:t>图9-3中以虚线表示当前人群中未来10年心血管疾病风险的分布曲线。如果以25%作为高风</w:t>
      </w:r>
      <w:r>
        <w:rPr>
          <w:rFonts w:ascii="宋体" w:hAnsi="宋体" w:eastAsia="宋体" w:cs="宋体"/>
          <w:spacing w:val="11"/>
          <w:sz w:val="20"/>
          <w:szCs w:val="20"/>
        </w:rPr>
        <w:t xml:space="preserve"> </w:t>
      </w:r>
      <w:r>
        <w:rPr>
          <w:rFonts w:ascii="宋体" w:hAnsi="宋体" w:eastAsia="宋体" w:cs="宋体"/>
          <w:spacing w:val="16"/>
          <w:sz w:val="20"/>
          <w:szCs w:val="20"/>
        </w:rPr>
        <w:t>险的界值，则高危策略关注的就是超过这一界值的高危</w:t>
      </w:r>
      <w:r>
        <w:rPr>
          <w:rFonts w:ascii="宋体" w:hAnsi="宋体" w:eastAsia="宋体" w:cs="宋体"/>
          <w:spacing w:val="15"/>
          <w:sz w:val="20"/>
          <w:szCs w:val="20"/>
        </w:rPr>
        <w:t>人群。而全人群策略是期望将整个人群的</w:t>
      </w:r>
      <w:r>
        <w:rPr>
          <w:rFonts w:ascii="宋体" w:hAnsi="宋体" w:eastAsia="宋体" w:cs="宋体"/>
          <w:sz w:val="20"/>
          <w:szCs w:val="20"/>
        </w:rPr>
        <w:t xml:space="preserve"> </w:t>
      </w:r>
      <w:r>
        <w:rPr>
          <w:rFonts w:ascii="宋体" w:hAnsi="宋体" w:eastAsia="宋体" w:cs="宋体"/>
          <w:spacing w:val="7"/>
          <w:sz w:val="20"/>
          <w:szCs w:val="20"/>
        </w:rPr>
        <w:t>风险分布曲线向着低风险的方向平移。</w:t>
      </w:r>
      <w:r>
        <w:rPr>
          <w:rFonts w:ascii="宋体" w:hAnsi="宋体" w:eastAsia="宋体" w:cs="宋体"/>
          <w:spacing w:val="50"/>
          <w:sz w:val="20"/>
          <w:szCs w:val="20"/>
        </w:rPr>
        <w:t xml:space="preserve"> </w:t>
      </w:r>
      <w:r>
        <w:rPr>
          <w:rFonts w:ascii="宋体" w:hAnsi="宋体" w:eastAsia="宋体" w:cs="宋体"/>
          <w:spacing w:val="7"/>
          <w:sz w:val="20"/>
          <w:szCs w:val="20"/>
        </w:rPr>
        <w:t>一方面，这将促使部分甚至全部高危个体移出高危区域，异</w:t>
      </w:r>
      <w:r>
        <w:rPr>
          <w:rFonts w:ascii="宋体" w:hAnsi="宋体" w:eastAsia="宋体" w:cs="宋体"/>
          <w:sz w:val="20"/>
          <w:szCs w:val="20"/>
        </w:rPr>
        <w:t xml:space="preserve"> </w:t>
      </w:r>
      <w:r>
        <w:rPr>
          <w:rFonts w:ascii="宋体" w:hAnsi="宋体" w:eastAsia="宋体" w:cs="宋体"/>
          <w:spacing w:val="16"/>
          <w:sz w:val="20"/>
          <w:szCs w:val="20"/>
        </w:rPr>
        <w:t>常值的发生率也会相应降低。整个人群分布曲线即使</w:t>
      </w:r>
      <w:r>
        <w:rPr>
          <w:rFonts w:ascii="宋体" w:hAnsi="宋体" w:eastAsia="宋体" w:cs="宋体"/>
          <w:spacing w:val="15"/>
          <w:sz w:val="20"/>
          <w:szCs w:val="20"/>
        </w:rPr>
        <w:t>只是发生很小幅度的平移，对落人分布曲线</w:t>
      </w:r>
      <w:r>
        <w:rPr>
          <w:rFonts w:ascii="宋体" w:hAnsi="宋体" w:eastAsia="宋体" w:cs="宋体"/>
          <w:sz w:val="20"/>
          <w:szCs w:val="20"/>
        </w:rPr>
        <w:t xml:space="preserve"> </w:t>
      </w:r>
      <w:r>
        <w:rPr>
          <w:rFonts w:ascii="宋体" w:hAnsi="宋体" w:eastAsia="宋体" w:cs="宋体"/>
          <w:spacing w:val="19"/>
          <w:sz w:val="20"/>
          <w:szCs w:val="20"/>
        </w:rPr>
        <w:t>高危尾部的人数也会产生巨大的影响。英国流行病学</w:t>
      </w:r>
      <w:r>
        <w:rPr>
          <w:rFonts w:ascii="宋体" w:hAnsi="宋体" w:eastAsia="宋体" w:cs="宋体"/>
          <w:spacing w:val="18"/>
          <w:sz w:val="20"/>
          <w:szCs w:val="20"/>
        </w:rPr>
        <w:t>家</w:t>
      </w:r>
      <w:r>
        <w:rPr>
          <w:rFonts w:ascii="宋体" w:hAnsi="宋体" w:eastAsia="宋体" w:cs="宋体"/>
          <w:sz w:val="20"/>
          <w:szCs w:val="20"/>
        </w:rPr>
        <w:t>Rose</w:t>
      </w:r>
      <w:r>
        <w:rPr>
          <w:rFonts w:ascii="宋体" w:hAnsi="宋体" w:eastAsia="宋体" w:cs="宋体"/>
          <w:spacing w:val="-14"/>
          <w:sz w:val="20"/>
          <w:szCs w:val="20"/>
        </w:rPr>
        <w:t xml:space="preserve"> </w:t>
      </w:r>
      <w:r>
        <w:rPr>
          <w:rFonts w:ascii="宋体" w:hAnsi="宋体" w:eastAsia="宋体" w:cs="宋体"/>
          <w:spacing w:val="18"/>
          <w:sz w:val="20"/>
          <w:szCs w:val="20"/>
        </w:rPr>
        <w:t>根据英国20～59岁成人数据分析人</w:t>
      </w:r>
      <w:r>
        <w:rPr>
          <w:rFonts w:ascii="宋体" w:hAnsi="宋体" w:eastAsia="宋体" w:cs="宋体"/>
          <w:sz w:val="20"/>
          <w:szCs w:val="20"/>
        </w:rPr>
        <w:t xml:space="preserve"> </w:t>
      </w:r>
      <w:r>
        <w:rPr>
          <w:rFonts w:ascii="宋体" w:hAnsi="宋体" w:eastAsia="宋体" w:cs="宋体"/>
          <w:spacing w:val="17"/>
          <w:sz w:val="20"/>
          <w:szCs w:val="20"/>
        </w:rPr>
        <w:t>群血压均值降低多少可以实现异常率下降25</w:t>
      </w:r>
      <w:r>
        <w:rPr>
          <w:rFonts w:ascii="宋体" w:hAnsi="宋体" w:eastAsia="宋体" w:cs="宋体"/>
          <w:spacing w:val="16"/>
          <w:sz w:val="20"/>
          <w:szCs w:val="20"/>
        </w:rPr>
        <w:t>%。部分结果显示：人群收缩压均值只要降低4</w:t>
      </w:r>
      <w:r>
        <w:rPr>
          <w:rFonts w:ascii="宋体" w:hAnsi="宋体" w:eastAsia="宋体" w:cs="宋体"/>
          <w:sz w:val="20"/>
          <w:szCs w:val="20"/>
        </w:rPr>
        <w:t xml:space="preserve">mmHg  </w:t>
      </w:r>
      <w:r>
        <w:rPr>
          <w:rFonts w:ascii="宋体" w:hAnsi="宋体" w:eastAsia="宋体" w:cs="宋体"/>
          <w:spacing w:val="14"/>
          <w:sz w:val="20"/>
          <w:szCs w:val="20"/>
        </w:rPr>
        <w:t>(即降低3%),需要治疗的高血压(≥140</w:t>
      </w:r>
      <w:r>
        <w:rPr>
          <w:rFonts w:ascii="Times New Roman" w:hAnsi="Times New Roman" w:eastAsia="Times New Roman" w:cs="Times New Roman"/>
          <w:sz w:val="20"/>
          <w:szCs w:val="20"/>
        </w:rPr>
        <w:t>mmHg</w:t>
      </w:r>
      <w:r>
        <w:rPr>
          <w:rFonts w:ascii="Times New Roman" w:hAnsi="Times New Roman" w:eastAsia="Times New Roman" w:cs="Times New Roman"/>
          <w:spacing w:val="14"/>
          <w:sz w:val="20"/>
          <w:szCs w:val="20"/>
        </w:rPr>
        <w:t xml:space="preserve">) </w:t>
      </w:r>
      <w:r>
        <w:rPr>
          <w:rFonts w:ascii="宋体" w:hAnsi="宋体" w:eastAsia="宋体" w:cs="宋体"/>
          <w:spacing w:val="14"/>
          <w:sz w:val="20"/>
          <w:szCs w:val="20"/>
        </w:rPr>
        <w:t>病人就可以减少1/4。</w:t>
      </w:r>
    </w:p>
    <w:p w14:paraId="4D1A6A5E">
      <w:pPr>
        <w:spacing w:before="222" w:line="3563" w:lineRule="exact"/>
        <w:ind w:firstLine="1599"/>
      </w:pPr>
      <w:r>
        <mc:AlternateContent>
          <mc:Choice Requires="wps">
            <w:drawing>
              <wp:anchor distT="0" distB="0" distL="0" distR="0" simplePos="0" relativeHeight="251840512" behindDoc="0" locked="0" layoutInCell="1" allowOverlap="1">
                <wp:simplePos x="0" y="0"/>
                <wp:positionH relativeFrom="column">
                  <wp:posOffset>951865</wp:posOffset>
                </wp:positionH>
                <wp:positionV relativeFrom="paragraph">
                  <wp:posOffset>904875</wp:posOffset>
                </wp:positionV>
                <wp:extent cx="688340" cy="174625"/>
                <wp:effectExtent l="0" t="0" r="0" b="0"/>
                <wp:wrapNone/>
                <wp:docPr id="560" name="TextBox 560"/>
                <wp:cNvGraphicFramePr/>
                <a:graphic xmlns:a="http://schemas.openxmlformats.org/drawingml/2006/main">
                  <a:graphicData uri="http://schemas.microsoft.com/office/word/2010/wordprocessingShape">
                    <wps:wsp>
                      <wps:cNvSpPr txBox="1"/>
                      <wps:spPr>
                        <a:xfrm rot="16200000">
                          <a:off x="952338" y="905435"/>
                          <a:ext cx="688340" cy="174625"/>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1A2E25EB">
                            <w:pPr>
                              <w:spacing w:before="52" w:line="219" w:lineRule="auto"/>
                              <w:ind w:left="20"/>
                              <w:rPr>
                                <w:rFonts w:ascii="宋体" w:hAnsi="宋体" w:eastAsia="宋体" w:cs="宋体"/>
                                <w:sz w:val="17"/>
                                <w:szCs w:val="17"/>
                              </w:rPr>
                            </w:pPr>
                            <w:r>
                              <w:rPr>
                                <w:rFonts w:ascii="宋体" w:hAnsi="宋体" w:eastAsia="宋体" w:cs="宋体"/>
                                <w:spacing w:val="18"/>
                                <w:sz w:val="17"/>
                                <w:szCs w:val="17"/>
                              </w:rPr>
                              <w:t>人群百分比%</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560" o:spid="_x0000_s1026" o:spt="202" type="#_x0000_t202" style="position:absolute;left:0pt;margin-left:74.95pt;margin-top:71.25pt;height:13.75pt;width:54.2pt;rotation:-5898240f;z-index:251840512;mso-width-relative:page;mso-height-relative:page;" filled="f" stroked="f" coordsize="21600,21600" o:gfxdata="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nWGtMNkAAAALAQAADwAA&#10;AAAAAAABACAAAAAiAAAAZHJzL2Rvd25yZXYueG1sUEsBAhQAFAAAAAgAh07iQGt+xipOAgAAowQA&#10;AA4AAAAAAAAAAQAgAAAAKAEAAGRycy9lMm9Eb2MueG1sUEsFBgAAAAAGAAYAWQEAAOgFAAAAAA==&#10;">
                <v:fill on="f" focussize="0,0"/>
                <v:stroke on="f" weight="0pt" miterlimit="0" joinstyle="miter"/>
                <v:imagedata o:title=""/>
                <o:lock v:ext="edit" aspectratio="f"/>
                <v:textbox inset="0mm,0mm,0mm,0mm">
                  <w:txbxContent>
                    <w:p w14:paraId="1A2E25EB">
                      <w:pPr>
                        <w:spacing w:before="52" w:line="219" w:lineRule="auto"/>
                        <w:ind w:left="20"/>
                        <w:rPr>
                          <w:rFonts w:ascii="宋体" w:hAnsi="宋体" w:eastAsia="宋体" w:cs="宋体"/>
                          <w:sz w:val="17"/>
                          <w:szCs w:val="17"/>
                        </w:rPr>
                      </w:pPr>
                      <w:r>
                        <w:rPr>
                          <w:rFonts w:ascii="宋体" w:hAnsi="宋体" w:eastAsia="宋体" w:cs="宋体"/>
                          <w:spacing w:val="18"/>
                          <w:sz w:val="17"/>
                          <w:szCs w:val="17"/>
                        </w:rPr>
                        <w:t>人群百分比%</w:t>
                      </w:r>
                    </w:p>
                  </w:txbxContent>
                </v:textbox>
              </v:shape>
            </w:pict>
          </mc:Fallback>
        </mc:AlternateContent>
      </w:r>
      <w:r>
        <w:rPr>
          <w:position w:val="-71"/>
        </w:rPr>
        <w:pict>
          <v:group id="_x0000_s1150" o:spid="_x0000_s1150" o:spt="203" style="height:178.15pt;width:294.85pt;" coordsize="5897,3562">
            <o:lock v:ext="edit"/>
            <v:shape id="_x0000_s1151" o:spid="_x0000_s1151" o:spt="75" type="#_x0000_t75" style="position:absolute;left:0;top:1;height:3561;width:5520;" filled="f" stroked="f" coordsize="21600,21600">
              <v:path/>
              <v:fill on="f" focussize="0,0"/>
              <v:stroke on="f"/>
              <v:imagedata r:id="rId621" o:title=""/>
              <o:lock v:ext="edit" aspectratio="t"/>
            </v:shape>
            <v:shape id="_x0000_s1152" o:spid="_x0000_s1152" o:spt="202" type="#_x0000_t202" style="position:absolute;left:520;top:-20;height:3562;width:5397;" filled="f" stroked="f" coordsize="21600,21600">
              <v:path/>
              <v:fill on="f" focussize="0,0"/>
              <v:stroke on="f"/>
              <v:imagedata o:title=""/>
              <o:lock v:ext="edit" aspectratio="f"/>
              <v:textbox inset="0mm,0mm,0mm,0mm">
                <w:txbxContent>
                  <w:p w14:paraId="5EB4359F">
                    <w:pPr>
                      <w:spacing w:before="20" w:line="207" w:lineRule="auto"/>
                      <w:ind w:left="4990" w:right="20"/>
                      <w:rPr>
                        <w:rFonts w:ascii="宋体" w:hAnsi="宋体" w:eastAsia="宋体" w:cs="宋体"/>
                        <w:sz w:val="20"/>
                        <w:szCs w:val="20"/>
                      </w:rPr>
                    </w:pPr>
                    <w:r>
                      <w:rPr>
                        <w:rFonts w:ascii="宋体" w:hAnsi="宋体" w:eastAsia="宋体" w:cs="宋体"/>
                        <w:spacing w:val="-7"/>
                        <w:sz w:val="20"/>
                        <w:szCs w:val="20"/>
                      </w:rPr>
                      <w:t>高危</w:t>
                    </w:r>
                    <w:r>
                      <w:rPr>
                        <w:rFonts w:ascii="宋体" w:hAnsi="宋体" w:eastAsia="宋体" w:cs="宋体"/>
                        <w:sz w:val="20"/>
                        <w:szCs w:val="20"/>
                      </w:rPr>
                      <w:t xml:space="preserve"> </w:t>
                    </w:r>
                    <w:r>
                      <w:rPr>
                        <w:rFonts w:ascii="宋体" w:hAnsi="宋体" w:eastAsia="宋体" w:cs="宋体"/>
                        <w:spacing w:val="-8"/>
                        <w:sz w:val="20"/>
                        <w:szCs w:val="20"/>
                      </w:rPr>
                      <w:t>策略</w:t>
                    </w:r>
                  </w:p>
                  <w:p w14:paraId="3A6442E1">
                    <w:pPr>
                      <w:spacing w:before="189" w:line="219" w:lineRule="auto"/>
                      <w:ind w:left="1770"/>
                      <w:rPr>
                        <w:rFonts w:ascii="宋体" w:hAnsi="宋体" w:eastAsia="宋体" w:cs="宋体"/>
                        <w:sz w:val="20"/>
                        <w:szCs w:val="20"/>
                      </w:rPr>
                    </w:pPr>
                    <w:r>
                      <w:rPr>
                        <w:rFonts w:ascii="宋体" w:hAnsi="宋体" w:eastAsia="宋体" w:cs="宋体"/>
                        <w:spacing w:val="-20"/>
                        <w:sz w:val="20"/>
                        <w:szCs w:val="20"/>
                      </w:rPr>
                      <w:t>理想分布曲线</w:t>
                    </w:r>
                  </w:p>
                  <w:p w14:paraId="29F038E1">
                    <w:pPr>
                      <w:spacing w:line="284" w:lineRule="auto"/>
                      <w:rPr>
                        <w:rFonts w:ascii="Arial"/>
                        <w:sz w:val="21"/>
                      </w:rPr>
                    </w:pPr>
                  </w:p>
                  <w:p w14:paraId="7CB2BFC4">
                    <w:pPr>
                      <w:spacing w:line="284" w:lineRule="auto"/>
                      <w:rPr>
                        <w:rFonts w:ascii="Arial"/>
                        <w:sz w:val="21"/>
                      </w:rPr>
                    </w:pPr>
                  </w:p>
                  <w:p w14:paraId="0D6B08F2">
                    <w:pPr>
                      <w:spacing w:line="284" w:lineRule="auto"/>
                      <w:rPr>
                        <w:rFonts w:ascii="Arial"/>
                        <w:sz w:val="21"/>
                      </w:rPr>
                    </w:pPr>
                  </w:p>
                  <w:p w14:paraId="79D9739E">
                    <w:pPr>
                      <w:spacing w:before="65" w:line="219" w:lineRule="auto"/>
                      <w:ind w:left="3369"/>
                      <w:rPr>
                        <w:rFonts w:ascii="宋体" w:hAnsi="宋体" w:eastAsia="宋体" w:cs="宋体"/>
                        <w:sz w:val="20"/>
                        <w:szCs w:val="20"/>
                      </w:rPr>
                    </w:pPr>
                    <w:r>
                      <w:rPr>
                        <w:rFonts w:ascii="宋体" w:hAnsi="宋体" w:eastAsia="宋体" w:cs="宋体"/>
                        <w:spacing w:val="-22"/>
                        <w:sz w:val="20"/>
                        <w:szCs w:val="20"/>
                      </w:rPr>
                      <w:t>当前分布曲线</w:t>
                    </w:r>
                  </w:p>
                  <w:p w14:paraId="31EE9787">
                    <w:pPr>
                      <w:spacing w:line="254" w:lineRule="auto"/>
                      <w:rPr>
                        <w:rFonts w:ascii="Arial"/>
                        <w:sz w:val="21"/>
                      </w:rPr>
                    </w:pPr>
                  </w:p>
                  <w:p w14:paraId="6C8ADCA1">
                    <w:pPr>
                      <w:spacing w:line="255" w:lineRule="auto"/>
                      <w:rPr>
                        <w:rFonts w:ascii="Arial"/>
                        <w:sz w:val="21"/>
                      </w:rPr>
                    </w:pPr>
                  </w:p>
                  <w:p w14:paraId="063E264A">
                    <w:pPr>
                      <w:spacing w:line="255" w:lineRule="auto"/>
                      <w:rPr>
                        <w:rFonts w:ascii="Arial"/>
                        <w:sz w:val="21"/>
                      </w:rPr>
                    </w:pPr>
                  </w:p>
                  <w:p w14:paraId="3945F2DE">
                    <w:pPr>
                      <w:spacing w:before="65" w:line="219" w:lineRule="auto"/>
                      <w:ind w:left="3349"/>
                      <w:rPr>
                        <w:rFonts w:ascii="宋体" w:hAnsi="宋体" w:eastAsia="宋体" w:cs="宋体"/>
                        <w:sz w:val="20"/>
                        <w:szCs w:val="20"/>
                      </w:rPr>
                    </w:pPr>
                    <w:r>
                      <w:rPr>
                        <w:rFonts w:ascii="宋体" w:hAnsi="宋体" w:eastAsia="宋体" w:cs="宋体"/>
                        <w:spacing w:val="-4"/>
                        <w:sz w:val="20"/>
                        <w:szCs w:val="20"/>
                      </w:rPr>
                      <w:t>高危</w:t>
                    </w:r>
                  </w:p>
                  <w:p w14:paraId="5A62DB39">
                    <w:pPr>
                      <w:spacing w:line="265" w:lineRule="auto"/>
                      <w:rPr>
                        <w:rFonts w:ascii="Arial"/>
                        <w:sz w:val="21"/>
                      </w:rPr>
                    </w:pPr>
                  </w:p>
                  <w:p w14:paraId="1B6BE140">
                    <w:pPr>
                      <w:spacing w:before="40" w:line="203" w:lineRule="auto"/>
                      <w:ind w:left="20"/>
                      <w:rPr>
                        <w:rFonts w:ascii="Times New Roman" w:hAnsi="Times New Roman" w:eastAsia="Times New Roman" w:cs="Times New Roman"/>
                        <w:sz w:val="14"/>
                        <w:szCs w:val="14"/>
                      </w:rPr>
                    </w:pPr>
                    <w:r>
                      <w:rPr>
                        <w:rFonts w:ascii="Times New Roman" w:hAnsi="Times New Roman" w:eastAsia="Times New Roman" w:cs="Times New Roman"/>
                        <w:spacing w:val="-2"/>
                        <w:sz w:val="14"/>
                        <w:szCs w:val="14"/>
                      </w:rPr>
                      <w:t>0</w:t>
                    </w:r>
                    <w:r>
                      <w:rPr>
                        <w:rFonts w:ascii="Times New Roman" w:hAnsi="Times New Roman" w:eastAsia="Times New Roman" w:cs="Times New Roman"/>
                        <w:spacing w:val="1"/>
                        <w:sz w:val="14"/>
                        <w:szCs w:val="14"/>
                      </w:rPr>
                      <w:t xml:space="preserve">               </w:t>
                    </w:r>
                    <w:r>
                      <w:rPr>
                        <w:rFonts w:ascii="Times New Roman" w:hAnsi="Times New Roman" w:eastAsia="Times New Roman" w:cs="Times New Roman"/>
                        <w:spacing w:val="-2"/>
                        <w:sz w:val="14"/>
                        <w:szCs w:val="14"/>
                      </w:rPr>
                      <w:t>5               10</w:t>
                    </w:r>
                    <w:r>
                      <w:rPr>
                        <w:rFonts w:ascii="Times New Roman" w:hAnsi="Times New Roman" w:eastAsia="Times New Roman" w:cs="Times New Roman"/>
                        <w:spacing w:val="2"/>
                        <w:sz w:val="14"/>
                        <w:szCs w:val="14"/>
                      </w:rPr>
                      <w:t xml:space="preserve">             </w:t>
                    </w:r>
                    <w:r>
                      <w:rPr>
                        <w:rFonts w:ascii="Times New Roman" w:hAnsi="Times New Roman" w:eastAsia="Times New Roman" w:cs="Times New Roman"/>
                        <w:spacing w:val="-2"/>
                        <w:sz w:val="14"/>
                        <w:szCs w:val="14"/>
                      </w:rPr>
                      <w:t>15             20</w:t>
                    </w:r>
                    <w:r>
                      <w:rPr>
                        <w:rFonts w:ascii="Times New Roman" w:hAnsi="Times New Roman" w:eastAsia="Times New Roman" w:cs="Times New Roman"/>
                        <w:spacing w:val="2"/>
                        <w:sz w:val="14"/>
                        <w:szCs w:val="14"/>
                      </w:rPr>
                      <w:t xml:space="preserve">              </w:t>
                    </w:r>
                    <w:r>
                      <w:rPr>
                        <w:rFonts w:ascii="Times New Roman" w:hAnsi="Times New Roman" w:eastAsia="Times New Roman" w:cs="Times New Roman"/>
                        <w:spacing w:val="-2"/>
                        <w:sz w:val="14"/>
                        <w:szCs w:val="14"/>
                      </w:rPr>
                      <w:t xml:space="preserve">25             30              35      </w:t>
                    </w:r>
                    <w:r>
                      <w:rPr>
                        <w:rFonts w:ascii="Times New Roman" w:hAnsi="Times New Roman" w:eastAsia="Times New Roman" w:cs="Times New Roman"/>
                        <w:spacing w:val="-3"/>
                        <w:sz w:val="14"/>
                        <w:szCs w:val="14"/>
                      </w:rPr>
                      <w:t xml:space="preserve">       40</w:t>
                    </w:r>
                  </w:p>
                </w:txbxContent>
              </v:textbox>
            </v:shape>
            <v:shape id="_x0000_s1153" o:spid="_x0000_s1153" o:spt="202" type="#_x0000_t202" style="position:absolute;left:-19;top:49;height:460;width:577;" filled="f" stroked="f" coordsize="21600,21600">
              <v:path/>
              <v:fill on="f" focussize="0,0"/>
              <v:stroke on="f"/>
              <v:imagedata o:title=""/>
              <o:lock v:ext="edit" aspectratio="f"/>
              <v:textbox inset="0mm,0mm,0mm,0mm">
                <w:txbxContent>
                  <w:p w14:paraId="110E904E">
                    <w:pPr>
                      <w:spacing w:before="19" w:line="212" w:lineRule="auto"/>
                      <w:ind w:left="108" w:right="20" w:hanging="89"/>
                      <w:rPr>
                        <w:rFonts w:ascii="宋体" w:hAnsi="宋体" w:eastAsia="宋体" w:cs="宋体"/>
                        <w:sz w:val="20"/>
                        <w:szCs w:val="20"/>
                      </w:rPr>
                    </w:pPr>
                    <w:r>
                      <w:rPr>
                        <w:rFonts w:ascii="宋体" w:hAnsi="宋体" w:eastAsia="宋体" w:cs="宋体"/>
                        <w:spacing w:val="-15"/>
                        <w:w w:val="97"/>
                        <w:sz w:val="20"/>
                        <w:szCs w:val="20"/>
                      </w:rPr>
                      <w:t>全人群</w:t>
                    </w:r>
                    <w:r>
                      <w:rPr>
                        <w:rFonts w:ascii="宋体" w:hAnsi="宋体" w:eastAsia="宋体" w:cs="宋体"/>
                        <w:sz w:val="20"/>
                        <w:szCs w:val="20"/>
                      </w:rPr>
                      <w:t xml:space="preserve"> </w:t>
                    </w:r>
                    <w:r>
                      <w:rPr>
                        <w:rFonts w:ascii="宋体" w:hAnsi="宋体" w:eastAsia="宋体" w:cs="宋体"/>
                        <w:spacing w:val="-8"/>
                        <w:sz w:val="20"/>
                        <w:szCs w:val="20"/>
                      </w:rPr>
                      <w:t>策略</w:t>
                    </w:r>
                  </w:p>
                </w:txbxContent>
              </v:textbox>
            </v:shape>
            <w10:wrap type="none"/>
            <w10:anchorlock/>
          </v:group>
        </w:pict>
      </w:r>
    </w:p>
    <w:p w14:paraId="36595E76">
      <w:pPr>
        <w:spacing w:before="38" w:line="219" w:lineRule="auto"/>
        <w:ind w:left="3669"/>
        <w:rPr>
          <w:rFonts w:ascii="宋体" w:hAnsi="宋体" w:eastAsia="宋体" w:cs="宋体"/>
          <w:sz w:val="20"/>
          <w:szCs w:val="20"/>
        </w:rPr>
      </w:pPr>
      <w:r>
        <w:rPr>
          <w:rFonts w:ascii="宋体" w:hAnsi="宋体" w:eastAsia="宋体" w:cs="宋体"/>
          <w:spacing w:val="-18"/>
          <w:w w:val="98"/>
          <w:sz w:val="20"/>
          <w:szCs w:val="20"/>
        </w:rPr>
        <w:t>未来10年心血管病风险/%</w:t>
      </w:r>
    </w:p>
    <w:p w14:paraId="0DAB3AFF">
      <w:pPr>
        <w:pStyle w:val="2"/>
        <w:spacing w:before="168" w:line="221" w:lineRule="auto"/>
        <w:ind w:left="3242"/>
        <w:rPr>
          <w:sz w:val="20"/>
          <w:szCs w:val="20"/>
        </w:rPr>
      </w:pPr>
      <w:r>
        <w:rPr>
          <w:b/>
          <w:bCs/>
          <w:spacing w:val="-7"/>
          <w:sz w:val="20"/>
          <w:szCs w:val="20"/>
        </w:rPr>
        <w:t>图9-3</w:t>
      </w:r>
      <w:r>
        <w:rPr>
          <w:spacing w:val="97"/>
          <w:sz w:val="20"/>
          <w:szCs w:val="20"/>
        </w:rPr>
        <w:t xml:space="preserve"> </w:t>
      </w:r>
      <w:r>
        <w:rPr>
          <w:b/>
          <w:bCs/>
          <w:spacing w:val="-7"/>
          <w:sz w:val="20"/>
          <w:szCs w:val="20"/>
        </w:rPr>
        <w:t>全人群策略与高危策略</w:t>
      </w:r>
    </w:p>
    <w:p w14:paraId="00C00ECF">
      <w:pPr>
        <w:spacing w:before="53" w:line="192" w:lineRule="auto"/>
        <w:ind w:left="3969"/>
        <w:rPr>
          <w:rFonts w:ascii="Times New Roman" w:hAnsi="Times New Roman" w:eastAsia="Times New Roman" w:cs="Times New Roman"/>
          <w:sz w:val="20"/>
          <w:szCs w:val="20"/>
        </w:rPr>
      </w:pPr>
      <w:r>
        <w:rPr>
          <w:rFonts w:ascii="Times New Roman" w:hAnsi="Times New Roman" w:eastAsia="Times New Roman" w:cs="Times New Roman"/>
          <w:spacing w:val="-1"/>
          <w:sz w:val="20"/>
          <w:szCs w:val="20"/>
        </w:rPr>
        <w:t>(WHO,2005)</w:t>
      </w:r>
    </w:p>
    <w:p w14:paraId="554B1ABB">
      <w:pPr>
        <w:spacing w:line="340" w:lineRule="auto"/>
        <w:rPr>
          <w:rFonts w:ascii="Arial"/>
          <w:sz w:val="21"/>
        </w:rPr>
      </w:pPr>
    </w:p>
    <w:p w14:paraId="5A16DEC5">
      <w:pPr>
        <w:spacing w:before="66" w:line="333" w:lineRule="auto"/>
        <w:ind w:right="665" w:firstLine="419"/>
        <w:jc w:val="both"/>
        <w:rPr>
          <w:rFonts w:ascii="宋体" w:hAnsi="宋体" w:eastAsia="宋体" w:cs="宋体"/>
          <w:sz w:val="20"/>
          <w:szCs w:val="20"/>
        </w:rPr>
      </w:pPr>
      <w:r>
        <w:rPr>
          <w:rFonts w:ascii="宋体" w:hAnsi="宋体" w:eastAsia="宋体" w:cs="宋体"/>
          <w:spacing w:val="9"/>
          <w:sz w:val="20"/>
          <w:szCs w:val="20"/>
        </w:rPr>
        <w:t>另一方面，根据</w:t>
      </w:r>
      <w:r>
        <w:rPr>
          <w:rFonts w:ascii="Times New Roman" w:hAnsi="Times New Roman" w:eastAsia="Times New Roman" w:cs="Times New Roman"/>
          <w:sz w:val="20"/>
          <w:szCs w:val="20"/>
        </w:rPr>
        <w:t>Rose</w:t>
      </w:r>
      <w:r>
        <w:rPr>
          <w:rFonts w:ascii="Times New Roman" w:hAnsi="Times New Roman" w:eastAsia="Times New Roman" w:cs="Times New Roman"/>
          <w:spacing w:val="28"/>
          <w:w w:val="101"/>
          <w:sz w:val="20"/>
          <w:szCs w:val="20"/>
        </w:rPr>
        <w:t xml:space="preserve"> </w:t>
      </w:r>
      <w:r>
        <w:rPr>
          <w:rFonts w:ascii="宋体" w:hAnsi="宋体" w:eastAsia="宋体" w:cs="宋体"/>
          <w:spacing w:val="9"/>
          <w:sz w:val="20"/>
          <w:szCs w:val="20"/>
        </w:rPr>
        <w:t>的风险悖论理论，大部分的病例是出自低或中等暴露水平的人群，仅小部</w:t>
      </w:r>
      <w:r>
        <w:rPr>
          <w:rFonts w:ascii="宋体" w:hAnsi="宋体" w:eastAsia="宋体" w:cs="宋体"/>
          <w:sz w:val="20"/>
          <w:szCs w:val="20"/>
        </w:rPr>
        <w:t xml:space="preserve"> </w:t>
      </w:r>
      <w:r>
        <w:rPr>
          <w:rFonts w:ascii="宋体" w:hAnsi="宋体" w:eastAsia="宋体" w:cs="宋体"/>
          <w:spacing w:val="15"/>
          <w:sz w:val="20"/>
          <w:szCs w:val="20"/>
        </w:rPr>
        <w:t>分病例来自高暴露、高风险人群。换句话说，分布在曲线中段的大部分人仅暴露于小幅增加的风</w:t>
      </w:r>
      <w:r>
        <w:rPr>
          <w:rFonts w:ascii="宋体" w:hAnsi="宋体" w:eastAsia="宋体" w:cs="宋体"/>
          <w:spacing w:val="18"/>
          <w:sz w:val="20"/>
          <w:szCs w:val="20"/>
        </w:rPr>
        <w:t xml:space="preserve"> </w:t>
      </w:r>
      <w:r>
        <w:rPr>
          <w:rFonts w:ascii="宋体" w:hAnsi="宋体" w:eastAsia="宋体" w:cs="宋体"/>
          <w:spacing w:val="10"/>
          <w:sz w:val="20"/>
          <w:szCs w:val="20"/>
        </w:rPr>
        <w:t>险，但是相比那些位于分布在尾端、风险很高的小部分人，前者贡献的病例更多。当采取全人群策</w:t>
      </w:r>
      <w:r>
        <w:rPr>
          <w:rFonts w:ascii="宋体" w:hAnsi="宋体" w:eastAsia="宋体" w:cs="宋体"/>
          <w:spacing w:val="17"/>
          <w:sz w:val="20"/>
          <w:szCs w:val="20"/>
        </w:rPr>
        <w:t xml:space="preserve"> </w:t>
      </w:r>
      <w:r>
        <w:rPr>
          <w:rFonts w:ascii="宋体" w:hAnsi="宋体" w:eastAsia="宋体" w:cs="宋体"/>
          <w:spacing w:val="10"/>
          <w:sz w:val="20"/>
          <w:szCs w:val="20"/>
        </w:rPr>
        <w:t>略时，由于更多的人受益，即使平均每个人因预防而获得的收益微不足道，但是给整个人群带来的</w:t>
      </w:r>
      <w:r>
        <w:rPr>
          <w:rFonts w:ascii="宋体" w:hAnsi="宋体" w:eastAsia="宋体" w:cs="宋体"/>
          <w:spacing w:val="4"/>
          <w:sz w:val="20"/>
          <w:szCs w:val="20"/>
        </w:rPr>
        <w:t xml:space="preserve"> </w:t>
      </w:r>
      <w:r>
        <w:rPr>
          <w:rFonts w:ascii="宋体" w:hAnsi="宋体" w:eastAsia="宋体" w:cs="宋体"/>
          <w:spacing w:val="2"/>
          <w:sz w:val="20"/>
          <w:szCs w:val="20"/>
        </w:rPr>
        <w:t>总健康收益非常可观，这类似于商业中的“薄利多销”。相应的预防悖论就是，</w:t>
      </w:r>
      <w:r>
        <w:rPr>
          <w:rFonts w:ascii="宋体" w:hAnsi="宋体" w:eastAsia="宋体" w:cs="宋体"/>
          <w:spacing w:val="61"/>
          <w:sz w:val="20"/>
          <w:szCs w:val="20"/>
        </w:rPr>
        <w:t xml:space="preserve"> </w:t>
      </w:r>
      <w:r>
        <w:rPr>
          <w:rFonts w:ascii="宋体" w:hAnsi="宋体" w:eastAsia="宋体" w:cs="宋体"/>
          <w:spacing w:val="2"/>
          <w:sz w:val="20"/>
          <w:szCs w:val="20"/>
        </w:rPr>
        <w:t>一项预防措施可以为</w:t>
      </w:r>
      <w:r>
        <w:rPr>
          <w:rFonts w:ascii="宋体" w:hAnsi="宋体" w:eastAsia="宋体" w:cs="宋体"/>
          <w:sz w:val="20"/>
          <w:szCs w:val="20"/>
        </w:rPr>
        <w:t xml:space="preserve"> </w:t>
      </w:r>
      <w:r>
        <w:rPr>
          <w:rFonts w:ascii="宋体" w:hAnsi="宋体" w:eastAsia="宋体" w:cs="宋体"/>
          <w:spacing w:val="9"/>
          <w:sz w:val="20"/>
          <w:szCs w:val="20"/>
        </w:rPr>
        <w:t>整个社区带来巨大的收益，而平均每个个体却所得甚少。</w:t>
      </w:r>
    </w:p>
    <w:p w14:paraId="222E202E">
      <w:pPr>
        <w:spacing w:before="6" w:line="340" w:lineRule="auto"/>
        <w:ind w:right="669" w:firstLine="419"/>
        <w:rPr>
          <w:rFonts w:ascii="宋体" w:hAnsi="宋体" w:eastAsia="宋体" w:cs="宋体"/>
          <w:sz w:val="20"/>
          <w:szCs w:val="20"/>
        </w:rPr>
      </w:pPr>
      <w:r>
        <w:rPr>
          <w:rFonts w:ascii="宋体" w:hAnsi="宋体" w:eastAsia="宋体" w:cs="宋体"/>
          <w:spacing w:val="10"/>
          <w:sz w:val="20"/>
          <w:szCs w:val="20"/>
        </w:rPr>
        <w:t>高危策略和全人群策略各有各的优势和不足，并不是非此即彼的关系，在解决很多问题的过程</w:t>
      </w:r>
      <w:r>
        <w:rPr>
          <w:rFonts w:ascii="宋体" w:hAnsi="宋体" w:eastAsia="宋体" w:cs="宋体"/>
          <w:spacing w:val="15"/>
          <w:sz w:val="20"/>
          <w:szCs w:val="20"/>
        </w:rPr>
        <w:t xml:space="preserve"> </w:t>
      </w:r>
      <w:r>
        <w:rPr>
          <w:rFonts w:ascii="宋体" w:hAnsi="宋体" w:eastAsia="宋体" w:cs="宋体"/>
          <w:spacing w:val="2"/>
          <w:sz w:val="20"/>
          <w:szCs w:val="20"/>
        </w:rPr>
        <w:t>中，两种策略是互为补充、协同作用的。</w:t>
      </w:r>
    </w:p>
    <w:p w14:paraId="34BFF88D">
      <w:pPr>
        <w:pStyle w:val="2"/>
        <w:spacing w:before="1" w:line="348" w:lineRule="auto"/>
        <w:ind w:right="596" w:firstLine="419"/>
        <w:jc w:val="both"/>
        <w:rPr>
          <w:rFonts w:ascii="宋体" w:hAnsi="宋体" w:eastAsia="宋体" w:cs="宋体"/>
          <w:sz w:val="20"/>
          <w:szCs w:val="20"/>
        </w:rPr>
      </w:pPr>
      <w:r>
        <w:rPr>
          <w:rFonts w:ascii="Times New Roman" w:hAnsi="Times New Roman" w:eastAsia="Times New Roman" w:cs="Times New Roman"/>
          <w:b/>
          <w:bCs/>
          <w:spacing w:val="1"/>
          <w:sz w:val="20"/>
          <w:szCs w:val="20"/>
        </w:rPr>
        <w:t xml:space="preserve">2.   </w:t>
      </w:r>
      <w:r>
        <w:rPr>
          <w:b/>
          <w:bCs/>
          <w:spacing w:val="1"/>
          <w:sz w:val="20"/>
          <w:szCs w:val="20"/>
        </w:rPr>
        <w:t>第二级预防</w:t>
      </w:r>
      <w:r>
        <w:rPr>
          <w:spacing w:val="82"/>
          <w:sz w:val="20"/>
          <w:szCs w:val="20"/>
        </w:rPr>
        <w:t xml:space="preserve"> </w:t>
      </w:r>
      <w:r>
        <w:rPr>
          <w:rFonts w:ascii="宋体" w:hAnsi="宋体" w:eastAsia="宋体" w:cs="宋体"/>
          <w:spacing w:val="1"/>
          <w:sz w:val="20"/>
          <w:szCs w:val="20"/>
        </w:rPr>
        <w:t>第二级预防</w:t>
      </w:r>
      <w:r>
        <w:rPr>
          <w:rFonts w:ascii="Times New Roman" w:hAnsi="Times New Roman" w:eastAsia="Times New Roman" w:cs="Times New Roman"/>
          <w:spacing w:val="1"/>
          <w:sz w:val="20"/>
          <w:szCs w:val="20"/>
        </w:rPr>
        <w:t>(</w:t>
      </w:r>
      <w:r>
        <w:rPr>
          <w:rFonts w:ascii="Times New Roman" w:hAnsi="Times New Roman" w:eastAsia="Times New Roman" w:cs="Times New Roman"/>
          <w:sz w:val="20"/>
          <w:szCs w:val="20"/>
        </w:rPr>
        <w:t>secondary</w:t>
      </w:r>
      <w:r>
        <w:rPr>
          <w:rFonts w:ascii="Times New Roman" w:hAnsi="Times New Roman" w:eastAsia="Times New Roman" w:cs="Times New Roman"/>
          <w:spacing w:val="1"/>
          <w:sz w:val="20"/>
          <w:szCs w:val="20"/>
        </w:rPr>
        <w:t xml:space="preserve">     </w:t>
      </w:r>
      <w:r>
        <w:rPr>
          <w:rFonts w:ascii="Times New Roman" w:hAnsi="Times New Roman" w:eastAsia="Times New Roman" w:cs="Times New Roman"/>
          <w:sz w:val="20"/>
          <w:szCs w:val="20"/>
        </w:rPr>
        <w:t>prevention</w:t>
      </w:r>
      <w:r>
        <w:rPr>
          <w:rFonts w:ascii="Times New Roman" w:hAnsi="Times New Roman" w:eastAsia="Times New Roman" w:cs="Times New Roman"/>
          <w:spacing w:val="1"/>
          <w:sz w:val="20"/>
          <w:szCs w:val="20"/>
        </w:rPr>
        <w:t>),</w:t>
      </w:r>
      <w:r>
        <w:rPr>
          <w:rFonts w:ascii="宋体" w:hAnsi="宋体" w:eastAsia="宋体" w:cs="宋体"/>
          <w:spacing w:val="1"/>
          <w:sz w:val="20"/>
          <w:szCs w:val="20"/>
        </w:rPr>
        <w:t>又称“三早”预防，即早发现、早诊断、早治</w:t>
      </w:r>
      <w:r>
        <w:rPr>
          <w:rFonts w:ascii="宋体" w:hAnsi="宋体" w:eastAsia="宋体" w:cs="宋体"/>
          <w:sz w:val="20"/>
          <w:szCs w:val="20"/>
        </w:rPr>
        <w:t xml:space="preserve"> </w:t>
      </w:r>
      <w:r>
        <w:rPr>
          <w:rFonts w:ascii="宋体" w:hAnsi="宋体" w:eastAsia="宋体" w:cs="宋体"/>
          <w:spacing w:val="12"/>
          <w:sz w:val="20"/>
          <w:szCs w:val="20"/>
        </w:rPr>
        <w:t>疗。第二级预防是在疾病早期，症状体征尚未表现出来或难以觉察时，通过及早发现并诊断疾病，</w:t>
      </w:r>
      <w:r>
        <w:rPr>
          <w:rFonts w:ascii="宋体" w:hAnsi="宋体" w:eastAsia="宋体" w:cs="宋体"/>
          <w:spacing w:val="2"/>
          <w:sz w:val="20"/>
          <w:szCs w:val="20"/>
        </w:rPr>
        <w:t xml:space="preserve"> </w:t>
      </w:r>
      <w:r>
        <w:rPr>
          <w:rFonts w:ascii="宋体" w:hAnsi="宋体" w:eastAsia="宋体" w:cs="宋体"/>
          <w:spacing w:val="10"/>
          <w:sz w:val="20"/>
          <w:szCs w:val="20"/>
        </w:rPr>
        <w:t>及时给予适当的治疗，病人将有更大的机会实现治愈；或者如果疾病无法治愈，可以通过治疗阻止</w:t>
      </w:r>
      <w:r>
        <w:rPr>
          <w:rFonts w:ascii="宋体" w:hAnsi="宋体" w:eastAsia="宋体" w:cs="宋体"/>
          <w:spacing w:val="18"/>
          <w:sz w:val="20"/>
          <w:szCs w:val="20"/>
        </w:rPr>
        <w:t xml:space="preserve"> </w:t>
      </w:r>
      <w:r>
        <w:rPr>
          <w:rFonts w:ascii="宋体" w:hAnsi="宋体" w:eastAsia="宋体" w:cs="宋体"/>
          <w:spacing w:val="10"/>
          <w:sz w:val="20"/>
          <w:szCs w:val="20"/>
        </w:rPr>
        <w:t>疾病发展到更严重的阶段或至少减缓发展进程，减少对</w:t>
      </w:r>
      <w:r>
        <w:rPr>
          <w:rFonts w:ascii="宋体" w:hAnsi="宋体" w:eastAsia="宋体" w:cs="宋体"/>
          <w:spacing w:val="9"/>
          <w:sz w:val="20"/>
          <w:szCs w:val="20"/>
        </w:rPr>
        <w:t>更复杂的治疗措施的需要。</w:t>
      </w:r>
    </w:p>
    <w:p w14:paraId="11DC4878">
      <w:pPr>
        <w:spacing w:line="348" w:lineRule="auto"/>
        <w:rPr>
          <w:rFonts w:ascii="宋体" w:hAnsi="宋体" w:eastAsia="宋体" w:cs="宋体"/>
          <w:sz w:val="20"/>
          <w:szCs w:val="20"/>
        </w:rPr>
        <w:sectPr>
          <w:footerReference r:id="rId188" w:type="default"/>
          <w:pgSz w:w="11900" w:h="16820"/>
          <w:pgMar w:top="400" w:right="783" w:bottom="807" w:left="1400" w:header="0" w:footer="626" w:gutter="0"/>
          <w:cols w:space="720" w:num="1"/>
        </w:sectPr>
      </w:pPr>
    </w:p>
    <w:p w14:paraId="2A74BAF8">
      <w:pPr>
        <w:pStyle w:val="2"/>
        <w:spacing w:before="296" w:line="221" w:lineRule="auto"/>
        <w:ind w:left="649"/>
        <w:rPr>
          <w:sz w:val="20"/>
          <w:szCs w:val="20"/>
        </w:rPr>
      </w:pPr>
      <w:bookmarkStart w:id="272" w:name="bookmark494"/>
      <w:bookmarkEnd w:id="272"/>
      <w:r>
        <w:rPr>
          <w:spacing w:val="-9"/>
          <w:sz w:val="20"/>
          <w:szCs w:val="20"/>
        </w:rPr>
        <w:t>第九章预防策略</w:t>
      </w:r>
    </w:p>
    <w:p w14:paraId="20612FBB">
      <w:pPr>
        <w:spacing w:line="282" w:lineRule="auto"/>
        <w:rPr>
          <w:rFonts w:ascii="Arial"/>
          <w:sz w:val="21"/>
        </w:rPr>
      </w:pPr>
    </w:p>
    <w:p w14:paraId="0A3AD5DA">
      <w:pPr>
        <w:spacing w:line="283" w:lineRule="auto"/>
        <w:rPr>
          <w:rFonts w:ascii="Arial"/>
          <w:sz w:val="21"/>
        </w:rPr>
      </w:pPr>
    </w:p>
    <w:p w14:paraId="772BC0DE">
      <w:pPr>
        <w:spacing w:before="65" w:line="333" w:lineRule="auto"/>
        <w:ind w:left="649" w:firstLine="390"/>
        <w:jc w:val="both"/>
        <w:rPr>
          <w:rFonts w:ascii="宋体" w:hAnsi="宋体" w:eastAsia="宋体" w:cs="宋体"/>
          <w:sz w:val="20"/>
          <w:szCs w:val="20"/>
        </w:rPr>
      </w:pPr>
      <w:r>
        <w:rPr>
          <w:rFonts w:ascii="宋体" w:hAnsi="宋体" w:eastAsia="宋体" w:cs="宋体"/>
          <w:sz w:val="20"/>
          <w:szCs w:val="20"/>
        </w:rPr>
        <w:t>疾病的早发现可通过筛检、常规诊断、定期体检等实现。例如，在50岁以</w:t>
      </w:r>
      <w:r>
        <w:rPr>
          <w:rFonts w:ascii="宋体" w:hAnsi="宋体" w:eastAsia="宋体" w:cs="宋体"/>
          <w:spacing w:val="-1"/>
          <w:sz w:val="20"/>
          <w:szCs w:val="20"/>
        </w:rPr>
        <w:t>上成人中通过大便潜</w:t>
      </w:r>
      <w:r>
        <w:rPr>
          <w:rFonts w:ascii="宋体" w:hAnsi="宋体" w:eastAsia="宋体" w:cs="宋体"/>
          <w:sz w:val="20"/>
          <w:szCs w:val="20"/>
        </w:rPr>
        <w:t xml:space="preserve">  血试验、乙状结肠镜检查或结肠镜检查筛检结直肠癌。很多慢性病的病因</w:t>
      </w:r>
      <w:r>
        <w:rPr>
          <w:rFonts w:ascii="宋体" w:hAnsi="宋体" w:eastAsia="宋体" w:cs="宋体"/>
          <w:spacing w:val="-1"/>
          <w:sz w:val="20"/>
          <w:szCs w:val="20"/>
        </w:rPr>
        <w:t>尚不完全清楚，要完全实</w:t>
      </w:r>
      <w:r>
        <w:rPr>
          <w:rFonts w:ascii="宋体" w:hAnsi="宋体" w:eastAsia="宋体" w:cs="宋体"/>
          <w:sz w:val="20"/>
          <w:szCs w:val="20"/>
        </w:rPr>
        <w:t xml:space="preserve">  </w:t>
      </w:r>
      <w:r>
        <w:rPr>
          <w:rFonts w:ascii="宋体" w:hAnsi="宋体" w:eastAsia="宋体" w:cs="宋体"/>
          <w:spacing w:val="2"/>
          <w:sz w:val="20"/>
          <w:szCs w:val="20"/>
        </w:rPr>
        <w:t>现第一级预防非常困难。而慢性病的发生多为致病因素长期作用的结果，早发现是有可能实现的。</w:t>
      </w:r>
      <w:r>
        <w:rPr>
          <w:rFonts w:ascii="宋体" w:hAnsi="宋体" w:eastAsia="宋体" w:cs="宋体"/>
          <w:spacing w:val="13"/>
          <w:sz w:val="20"/>
          <w:szCs w:val="20"/>
        </w:rPr>
        <w:t xml:space="preserve"> </w:t>
      </w:r>
      <w:r>
        <w:rPr>
          <w:rFonts w:ascii="宋体" w:hAnsi="宋体" w:eastAsia="宋体" w:cs="宋体"/>
          <w:spacing w:val="-5"/>
          <w:sz w:val="20"/>
          <w:szCs w:val="20"/>
        </w:rPr>
        <w:t>因此，在很多慢性病的预防中，第二级预防至关重要。</w:t>
      </w:r>
    </w:p>
    <w:p w14:paraId="29CAA08F">
      <w:pPr>
        <w:pStyle w:val="2"/>
        <w:spacing w:before="30" w:line="347" w:lineRule="auto"/>
        <w:ind w:left="649" w:right="107" w:firstLine="390"/>
        <w:jc w:val="both"/>
        <w:rPr>
          <w:rFonts w:ascii="宋体" w:hAnsi="宋体" w:eastAsia="宋体" w:cs="宋体"/>
          <w:sz w:val="20"/>
          <w:szCs w:val="20"/>
        </w:rPr>
      </w:pPr>
      <w:r>
        <w:rPr>
          <w:rFonts w:ascii="Times New Roman" w:hAnsi="Times New Roman" w:eastAsia="Times New Roman" w:cs="Times New Roman"/>
          <w:spacing w:val="5"/>
          <w:sz w:val="20"/>
          <w:szCs w:val="20"/>
        </w:rPr>
        <w:t>3.</w:t>
      </w:r>
      <w:r>
        <w:rPr>
          <w:rFonts w:ascii="Times New Roman" w:hAnsi="Times New Roman" w:eastAsia="Times New Roman" w:cs="Times New Roman"/>
          <w:spacing w:val="14"/>
          <w:sz w:val="20"/>
          <w:szCs w:val="20"/>
        </w:rPr>
        <w:t xml:space="preserve">  </w:t>
      </w:r>
      <w:r>
        <w:rPr>
          <w:spacing w:val="5"/>
          <w:sz w:val="20"/>
          <w:szCs w:val="20"/>
        </w:rPr>
        <w:t>第三级预防</w:t>
      </w:r>
      <w:r>
        <w:rPr>
          <w:spacing w:val="69"/>
          <w:sz w:val="20"/>
          <w:szCs w:val="20"/>
        </w:rPr>
        <w:t xml:space="preserve"> </w:t>
      </w:r>
      <w:r>
        <w:rPr>
          <w:rFonts w:ascii="宋体" w:hAnsi="宋体" w:eastAsia="宋体" w:cs="宋体"/>
          <w:spacing w:val="5"/>
          <w:sz w:val="20"/>
          <w:szCs w:val="20"/>
        </w:rPr>
        <w:t>第三级预防</w:t>
      </w:r>
      <w:r>
        <w:rPr>
          <w:rFonts w:ascii="Times New Roman" w:hAnsi="Times New Roman" w:eastAsia="Times New Roman" w:cs="Times New Roman"/>
          <w:spacing w:val="5"/>
          <w:sz w:val="20"/>
          <w:szCs w:val="20"/>
        </w:rPr>
        <w:t>(</w:t>
      </w:r>
      <w:r>
        <w:rPr>
          <w:rFonts w:ascii="Times New Roman" w:hAnsi="Times New Roman" w:eastAsia="Times New Roman" w:cs="Times New Roman"/>
          <w:sz w:val="20"/>
          <w:szCs w:val="20"/>
        </w:rPr>
        <w:t>tertiary</w:t>
      </w:r>
      <w:r>
        <w:rPr>
          <w:rFonts w:ascii="Times New Roman" w:hAnsi="Times New Roman" w:eastAsia="Times New Roman" w:cs="Times New Roman"/>
          <w:spacing w:val="5"/>
          <w:sz w:val="20"/>
          <w:szCs w:val="20"/>
        </w:rPr>
        <w:t xml:space="preserve">   </w:t>
      </w:r>
      <w:r>
        <w:rPr>
          <w:rFonts w:ascii="Times New Roman" w:hAnsi="Times New Roman" w:eastAsia="Times New Roman" w:cs="Times New Roman"/>
          <w:sz w:val="20"/>
          <w:szCs w:val="20"/>
        </w:rPr>
        <w:t>prevention</w:t>
      </w:r>
      <w:r>
        <w:rPr>
          <w:rFonts w:ascii="Times New Roman" w:hAnsi="Times New Roman" w:eastAsia="Times New Roman" w:cs="Times New Roman"/>
          <w:spacing w:val="5"/>
          <w:sz w:val="20"/>
          <w:szCs w:val="20"/>
        </w:rPr>
        <w:t>),</w:t>
      </w:r>
      <w:r>
        <w:rPr>
          <w:rFonts w:ascii="宋体" w:hAnsi="宋体" w:eastAsia="宋体" w:cs="宋体"/>
          <w:spacing w:val="5"/>
          <w:sz w:val="20"/>
          <w:szCs w:val="20"/>
        </w:rPr>
        <w:t>又称临床预防或疾病管理。第三级预防发生</w:t>
      </w:r>
      <w:r>
        <w:rPr>
          <w:rFonts w:ascii="宋体" w:hAnsi="宋体" w:eastAsia="宋体" w:cs="宋体"/>
          <w:sz w:val="20"/>
          <w:szCs w:val="20"/>
        </w:rPr>
        <w:t xml:space="preserve"> 在疾病的症状体征明显表现出来之后。在疾病早期，通过适当的治疗缓解症状</w:t>
      </w:r>
      <w:r>
        <w:rPr>
          <w:rFonts w:ascii="宋体" w:hAnsi="宋体" w:eastAsia="宋体" w:cs="宋体"/>
          <w:spacing w:val="-1"/>
          <w:sz w:val="20"/>
          <w:szCs w:val="20"/>
        </w:rPr>
        <w:t>，预防疾病进一步恶</w:t>
      </w:r>
      <w:r>
        <w:rPr>
          <w:rFonts w:ascii="宋体" w:hAnsi="宋体" w:eastAsia="宋体" w:cs="宋体"/>
          <w:sz w:val="20"/>
          <w:szCs w:val="20"/>
        </w:rPr>
        <w:t xml:space="preserve"> 化，预防急性事件的发生和复发，预防合并症和残疾的发生。到了疾病晚期</w:t>
      </w:r>
      <w:r>
        <w:rPr>
          <w:rFonts w:ascii="宋体" w:hAnsi="宋体" w:eastAsia="宋体" w:cs="宋体"/>
          <w:spacing w:val="-1"/>
          <w:sz w:val="20"/>
          <w:szCs w:val="20"/>
        </w:rPr>
        <w:t>，通过早期发现和管理</w:t>
      </w:r>
      <w:r>
        <w:rPr>
          <w:rFonts w:ascii="宋体" w:hAnsi="宋体" w:eastAsia="宋体" w:cs="宋体"/>
          <w:sz w:val="20"/>
          <w:szCs w:val="20"/>
        </w:rPr>
        <w:t xml:space="preserve"> 合并症，对已经发生的残疾进行康复治疗，最大限度地恢复个体的机体功能</w:t>
      </w:r>
      <w:r>
        <w:rPr>
          <w:rFonts w:ascii="宋体" w:hAnsi="宋体" w:eastAsia="宋体" w:cs="宋体"/>
          <w:spacing w:val="-1"/>
          <w:sz w:val="20"/>
          <w:szCs w:val="20"/>
        </w:rPr>
        <w:t>和社会功能，提高生活</w:t>
      </w:r>
      <w:r>
        <w:rPr>
          <w:rFonts w:ascii="宋体" w:hAnsi="宋体" w:eastAsia="宋体" w:cs="宋体"/>
          <w:sz w:val="20"/>
          <w:szCs w:val="20"/>
        </w:rPr>
        <w:t xml:space="preserve"> </w:t>
      </w:r>
      <w:r>
        <w:rPr>
          <w:rFonts w:ascii="宋体" w:hAnsi="宋体" w:eastAsia="宋体" w:cs="宋体"/>
          <w:spacing w:val="-1"/>
          <w:sz w:val="20"/>
          <w:szCs w:val="20"/>
        </w:rPr>
        <w:t>质量，延长寿命。第三级预防旨在降低疾病和残疾给个体、家庭和社会带来的负担。</w:t>
      </w:r>
    </w:p>
    <w:p w14:paraId="2F9EDE13">
      <w:pPr>
        <w:pStyle w:val="2"/>
        <w:spacing w:before="221" w:line="222" w:lineRule="auto"/>
        <w:ind w:left="1042"/>
        <w:outlineLvl w:val="2"/>
        <w:rPr>
          <w:sz w:val="20"/>
          <w:szCs w:val="20"/>
        </w:rPr>
      </w:pPr>
      <w:bookmarkStart w:id="273" w:name="bookmark172"/>
      <w:bookmarkEnd w:id="273"/>
      <w:r>
        <w:rPr>
          <w:b/>
          <w:bCs/>
          <w:spacing w:val="31"/>
          <w:sz w:val="20"/>
          <w:szCs w:val="20"/>
        </w:rPr>
        <w:t>三</w:t>
      </w:r>
      <w:r>
        <w:rPr>
          <w:spacing w:val="31"/>
          <w:sz w:val="20"/>
          <w:szCs w:val="20"/>
        </w:rPr>
        <w:t xml:space="preserve"> </w:t>
      </w:r>
      <w:r>
        <w:rPr>
          <w:b/>
          <w:bCs/>
          <w:spacing w:val="31"/>
          <w:sz w:val="20"/>
          <w:szCs w:val="20"/>
        </w:rPr>
        <w:t>、健康保护与健康促进</w:t>
      </w:r>
    </w:p>
    <w:p w14:paraId="59C6CE86">
      <w:pPr>
        <w:spacing w:before="281" w:line="342" w:lineRule="auto"/>
        <w:ind w:left="649" w:right="20" w:firstLine="390"/>
        <w:jc w:val="both"/>
        <w:rPr>
          <w:rFonts w:ascii="宋体" w:hAnsi="宋体" w:eastAsia="宋体" w:cs="宋体"/>
          <w:sz w:val="20"/>
          <w:szCs w:val="20"/>
        </w:rPr>
      </w:pPr>
      <w:r>
        <w:rPr>
          <w:rFonts w:ascii="宋体" w:hAnsi="宋体" w:eastAsia="宋体" w:cs="宋体"/>
          <w:spacing w:val="2"/>
          <w:sz w:val="20"/>
          <w:szCs w:val="20"/>
        </w:rPr>
        <w:t>随着健康内涵的发展，公共卫生的目标已不再只是预防疾病，还包括积极地维护和促进健康。</w:t>
      </w:r>
      <w:r>
        <w:rPr>
          <w:rFonts w:ascii="宋体" w:hAnsi="宋体" w:eastAsia="宋体" w:cs="宋体"/>
          <w:spacing w:val="6"/>
          <w:sz w:val="20"/>
          <w:szCs w:val="20"/>
        </w:rPr>
        <w:t xml:space="preserve"> </w:t>
      </w:r>
      <w:r>
        <w:rPr>
          <w:rFonts w:ascii="宋体" w:hAnsi="宋体" w:eastAsia="宋体" w:cs="宋体"/>
          <w:spacing w:val="-11"/>
          <w:sz w:val="20"/>
          <w:szCs w:val="20"/>
        </w:rPr>
        <w:t>而实现这一目标的主要策略包括健康保护(health protection)、健康教育(health education)、健康管理</w:t>
      </w:r>
      <w:r>
        <w:rPr>
          <w:rFonts w:ascii="宋体" w:hAnsi="宋体" w:eastAsia="宋体" w:cs="宋体"/>
          <w:spacing w:val="3"/>
          <w:sz w:val="20"/>
          <w:szCs w:val="20"/>
        </w:rPr>
        <w:t xml:space="preserve">  </w:t>
      </w:r>
      <w:r>
        <w:rPr>
          <w:rFonts w:ascii="宋体" w:hAnsi="宋体" w:eastAsia="宋体" w:cs="宋体"/>
          <w:spacing w:val="1"/>
          <w:sz w:val="20"/>
          <w:szCs w:val="20"/>
        </w:rPr>
        <w:t>和健康促进</w:t>
      </w:r>
      <w:r>
        <w:rPr>
          <w:rFonts w:ascii="Times New Roman" w:hAnsi="Times New Roman" w:eastAsia="Times New Roman" w:cs="Times New Roman"/>
          <w:spacing w:val="1"/>
          <w:sz w:val="20"/>
          <w:szCs w:val="20"/>
        </w:rPr>
        <w:t>(</w:t>
      </w:r>
      <w:r>
        <w:rPr>
          <w:rFonts w:ascii="Times New Roman" w:hAnsi="Times New Roman" w:eastAsia="Times New Roman" w:cs="Times New Roman"/>
          <w:sz w:val="20"/>
          <w:szCs w:val="20"/>
        </w:rPr>
        <w:t>health</w:t>
      </w:r>
      <w:r>
        <w:rPr>
          <w:rFonts w:ascii="Times New Roman" w:hAnsi="Times New Roman" w:eastAsia="Times New Roman" w:cs="Times New Roman"/>
          <w:spacing w:val="19"/>
          <w:sz w:val="20"/>
          <w:szCs w:val="20"/>
        </w:rPr>
        <w:t xml:space="preserve">  </w:t>
      </w:r>
      <w:r>
        <w:rPr>
          <w:rFonts w:ascii="Times New Roman" w:hAnsi="Times New Roman" w:eastAsia="Times New Roman" w:cs="Times New Roman"/>
          <w:sz w:val="20"/>
          <w:szCs w:val="20"/>
        </w:rPr>
        <w:t>promotion</w:t>
      </w:r>
      <w:r>
        <w:rPr>
          <w:rFonts w:ascii="Times New Roman" w:hAnsi="Times New Roman" w:eastAsia="Times New Roman" w:cs="Times New Roman"/>
          <w:spacing w:val="1"/>
          <w:sz w:val="20"/>
          <w:szCs w:val="20"/>
        </w:rPr>
        <w:t>)</w:t>
      </w:r>
      <w:r>
        <w:rPr>
          <w:rFonts w:ascii="宋体" w:hAnsi="宋体" w:eastAsia="宋体" w:cs="宋体"/>
          <w:spacing w:val="1"/>
          <w:sz w:val="20"/>
          <w:szCs w:val="20"/>
        </w:rPr>
        <w:t>等。</w:t>
      </w:r>
    </w:p>
    <w:p w14:paraId="66B85501">
      <w:pPr>
        <w:pStyle w:val="2"/>
        <w:spacing w:before="6" w:line="222" w:lineRule="auto"/>
        <w:ind w:left="1042"/>
        <w:rPr>
          <w:sz w:val="20"/>
          <w:szCs w:val="20"/>
        </w:rPr>
      </w:pPr>
      <w:r>
        <w:rPr>
          <w:b/>
          <w:bCs/>
          <w:spacing w:val="12"/>
          <w:sz w:val="20"/>
          <w:szCs w:val="20"/>
        </w:rPr>
        <w:t>(</w:t>
      </w:r>
      <w:r>
        <w:rPr>
          <w:spacing w:val="-46"/>
          <w:sz w:val="20"/>
          <w:szCs w:val="20"/>
        </w:rPr>
        <w:t xml:space="preserve"> </w:t>
      </w:r>
      <w:r>
        <w:rPr>
          <w:b/>
          <w:bCs/>
          <w:spacing w:val="12"/>
          <w:sz w:val="20"/>
          <w:szCs w:val="20"/>
        </w:rPr>
        <w:t>一</w:t>
      </w:r>
      <w:r>
        <w:rPr>
          <w:spacing w:val="-55"/>
          <w:sz w:val="20"/>
          <w:szCs w:val="20"/>
        </w:rPr>
        <w:t xml:space="preserve"> </w:t>
      </w:r>
      <w:r>
        <w:rPr>
          <w:b/>
          <w:bCs/>
          <w:spacing w:val="12"/>
          <w:sz w:val="20"/>
          <w:szCs w:val="20"/>
        </w:rPr>
        <w:t>)健康保护</w:t>
      </w:r>
    </w:p>
    <w:p w14:paraId="4D96BC40">
      <w:pPr>
        <w:pStyle w:val="2"/>
        <w:spacing w:before="144" w:line="304" w:lineRule="auto"/>
        <w:ind w:left="649" w:right="86" w:firstLine="390"/>
        <w:rPr>
          <w:rFonts w:ascii="宋体" w:hAnsi="宋体" w:eastAsia="宋体" w:cs="宋体"/>
          <w:sz w:val="20"/>
          <w:szCs w:val="20"/>
        </w:rPr>
      </w:pPr>
      <w:r>
        <w:rPr>
          <w:rFonts w:ascii="宋体" w:hAnsi="宋体" w:eastAsia="宋体" w:cs="宋体"/>
          <w:spacing w:val="5"/>
          <w:sz w:val="20"/>
          <w:szCs w:val="20"/>
        </w:rPr>
        <w:t xml:space="preserve">1. </w:t>
      </w:r>
      <w:r>
        <w:rPr>
          <w:spacing w:val="5"/>
          <w:sz w:val="20"/>
          <w:szCs w:val="20"/>
        </w:rPr>
        <w:t xml:space="preserve">健康保护的概念 </w:t>
      </w:r>
      <w:r>
        <w:rPr>
          <w:rFonts w:ascii="宋体" w:hAnsi="宋体" w:eastAsia="宋体" w:cs="宋体"/>
          <w:spacing w:val="5"/>
          <w:sz w:val="20"/>
          <w:szCs w:val="20"/>
        </w:rPr>
        <w:t>健康保护又称健康防护，即采取有针对性</w:t>
      </w:r>
      <w:r>
        <w:rPr>
          <w:rFonts w:ascii="宋体" w:hAnsi="宋体" w:eastAsia="宋体" w:cs="宋体"/>
          <w:spacing w:val="4"/>
          <w:sz w:val="20"/>
          <w:szCs w:val="20"/>
        </w:rPr>
        <w:t>的措施保护个体或人群免受来</w:t>
      </w:r>
      <w:r>
        <w:rPr>
          <w:rFonts w:ascii="宋体" w:hAnsi="宋体" w:eastAsia="宋体" w:cs="宋体"/>
          <w:sz w:val="20"/>
          <w:szCs w:val="20"/>
        </w:rPr>
        <w:t xml:space="preserve"> 自外界环境的有害物质(如生物、物理、化学类有害物质)对健康的威胁。健康保护广泛涉及众多健</w:t>
      </w:r>
      <w:r>
        <w:rPr>
          <w:rFonts w:ascii="宋体" w:hAnsi="宋体" w:eastAsia="宋体" w:cs="宋体"/>
          <w:spacing w:val="6"/>
          <w:sz w:val="20"/>
          <w:szCs w:val="20"/>
        </w:rPr>
        <w:t xml:space="preserve"> </w:t>
      </w:r>
      <w:r>
        <w:rPr>
          <w:rFonts w:ascii="宋体" w:hAnsi="宋体" w:eastAsia="宋体" w:cs="宋体"/>
          <w:spacing w:val="-9"/>
          <w:sz w:val="20"/>
          <w:szCs w:val="20"/>
        </w:rPr>
        <w:t>康相关领域：传染病、慢性非传染性疾病、职业卫生、环境卫生、食品卫生、学校卫生、意外伤害、突</w:t>
      </w:r>
      <w:r>
        <w:rPr>
          <w:rFonts w:ascii="宋体" w:hAnsi="宋体" w:eastAsia="宋体" w:cs="宋体"/>
          <w:spacing w:val="17"/>
          <w:sz w:val="20"/>
          <w:szCs w:val="20"/>
        </w:rPr>
        <w:t xml:space="preserve"> </w:t>
      </w:r>
      <w:r>
        <w:rPr>
          <w:rFonts w:ascii="宋体" w:hAnsi="宋体" w:eastAsia="宋体" w:cs="宋体"/>
          <w:spacing w:val="2"/>
          <w:sz w:val="20"/>
          <w:szCs w:val="20"/>
        </w:rPr>
        <w:t>发公共卫生事件应急准备和处理等。</w:t>
      </w:r>
    </w:p>
    <w:p w14:paraId="6ADDCB3A">
      <w:pPr>
        <w:spacing w:before="161" w:line="304" w:lineRule="auto"/>
        <w:ind w:left="649" w:right="82" w:firstLine="390"/>
        <w:rPr>
          <w:rFonts w:ascii="宋体" w:hAnsi="宋体" w:eastAsia="宋体" w:cs="宋体"/>
          <w:sz w:val="20"/>
          <w:szCs w:val="20"/>
        </w:rPr>
      </w:pPr>
      <w:r>
        <w:rPr>
          <w:rFonts w:ascii="宋体" w:hAnsi="宋体" w:eastAsia="宋体" w:cs="宋体"/>
          <w:sz w:val="20"/>
          <w:szCs w:val="20"/>
        </w:rPr>
        <w:t>2. 健康保护措施 健康保护措施中既包括医学类措施，如免疫接种、预防性用药；也包括环境</w:t>
      </w:r>
      <w:r>
        <w:rPr>
          <w:rFonts w:ascii="宋体" w:hAnsi="宋体" w:eastAsia="宋体" w:cs="宋体"/>
          <w:spacing w:val="17"/>
          <w:sz w:val="20"/>
          <w:szCs w:val="20"/>
        </w:rPr>
        <w:t xml:space="preserve"> </w:t>
      </w:r>
      <w:r>
        <w:rPr>
          <w:rFonts w:ascii="宋体" w:hAnsi="宋体" w:eastAsia="宋体" w:cs="宋体"/>
          <w:sz w:val="20"/>
          <w:szCs w:val="20"/>
        </w:rPr>
        <w:t>工程措施、经济措施、法律措施等。当然，也有些学者将健康保护特指</w:t>
      </w:r>
      <w:r>
        <w:rPr>
          <w:rFonts w:ascii="宋体" w:hAnsi="宋体" w:eastAsia="宋体" w:cs="宋体"/>
          <w:spacing w:val="-1"/>
          <w:sz w:val="20"/>
          <w:szCs w:val="20"/>
        </w:rPr>
        <w:t>为后一类措施。很多健康保</w:t>
      </w:r>
      <w:r>
        <w:rPr>
          <w:rFonts w:ascii="宋体" w:hAnsi="宋体" w:eastAsia="宋体" w:cs="宋体"/>
          <w:sz w:val="20"/>
          <w:szCs w:val="20"/>
        </w:rPr>
        <w:t xml:space="preserve"> 护措施是个体能力所不及的，也非医疗卫生部门可独自实施的，需要政府和社会的共同努力。努力</w:t>
      </w:r>
      <w:r>
        <w:rPr>
          <w:rFonts w:ascii="宋体" w:hAnsi="宋体" w:eastAsia="宋体" w:cs="宋体"/>
          <w:spacing w:val="16"/>
          <w:sz w:val="20"/>
          <w:szCs w:val="20"/>
        </w:rPr>
        <w:t xml:space="preserve"> </w:t>
      </w:r>
      <w:r>
        <w:rPr>
          <w:rFonts w:ascii="宋体" w:hAnsi="宋体" w:eastAsia="宋体" w:cs="宋体"/>
          <w:spacing w:val="2"/>
          <w:sz w:val="20"/>
          <w:szCs w:val="20"/>
        </w:rPr>
        <w:t>的方向主要包括以下几个方面。</w:t>
      </w:r>
    </w:p>
    <w:p w14:paraId="719062D6">
      <w:pPr>
        <w:spacing w:before="165" w:line="294" w:lineRule="auto"/>
        <w:ind w:left="649" w:right="88" w:firstLine="390"/>
        <w:rPr>
          <w:rFonts w:ascii="宋体" w:hAnsi="宋体" w:eastAsia="宋体" w:cs="宋体"/>
          <w:sz w:val="20"/>
          <w:szCs w:val="20"/>
        </w:rPr>
      </w:pPr>
      <w:r>
        <w:rPr>
          <w:rFonts w:ascii="宋体" w:hAnsi="宋体" w:eastAsia="宋体" w:cs="宋体"/>
          <w:spacing w:val="8"/>
          <w:sz w:val="20"/>
          <w:szCs w:val="20"/>
        </w:rPr>
        <w:t>(1)消除外界环境中的有害物质或将其控制到不会对人体健康造成有害影</w:t>
      </w:r>
      <w:r>
        <w:rPr>
          <w:rFonts w:ascii="宋体" w:hAnsi="宋体" w:eastAsia="宋体" w:cs="宋体"/>
          <w:spacing w:val="7"/>
          <w:sz w:val="20"/>
          <w:szCs w:val="20"/>
        </w:rPr>
        <w:t>响的水平。如经巴</w:t>
      </w:r>
      <w:r>
        <w:rPr>
          <w:rFonts w:ascii="宋体" w:hAnsi="宋体" w:eastAsia="宋体" w:cs="宋体"/>
          <w:sz w:val="20"/>
          <w:szCs w:val="20"/>
        </w:rPr>
        <w:t xml:space="preserve"> 氏杀菌等工序对生牛乳进行消毒；建筑行业采用无危害或危害较小的建筑材料</w:t>
      </w:r>
      <w:r>
        <w:rPr>
          <w:rFonts w:ascii="宋体" w:hAnsi="宋体" w:eastAsia="宋体" w:cs="宋体"/>
          <w:spacing w:val="-1"/>
          <w:sz w:val="20"/>
          <w:szCs w:val="20"/>
        </w:rPr>
        <w:t>，采取不产生或少产</w:t>
      </w:r>
      <w:r>
        <w:rPr>
          <w:rFonts w:ascii="宋体" w:hAnsi="宋体" w:eastAsia="宋体" w:cs="宋体"/>
          <w:sz w:val="20"/>
          <w:szCs w:val="20"/>
        </w:rPr>
        <w:t xml:space="preserve"> 生粉尘的施工工艺、施工设备和工具；勤洗手是个人卫生</w:t>
      </w:r>
      <w:r>
        <w:rPr>
          <w:rFonts w:ascii="宋体" w:hAnsi="宋体" w:eastAsia="宋体" w:cs="宋体"/>
          <w:spacing w:val="-1"/>
          <w:sz w:val="20"/>
          <w:szCs w:val="20"/>
        </w:rPr>
        <w:t>和感染控制的措施之一。</w:t>
      </w:r>
    </w:p>
    <w:p w14:paraId="486A080C">
      <w:pPr>
        <w:spacing w:before="142" w:line="281" w:lineRule="auto"/>
        <w:ind w:left="649" w:right="90" w:firstLine="390"/>
        <w:rPr>
          <w:rFonts w:ascii="宋体" w:hAnsi="宋体" w:eastAsia="宋体" w:cs="宋体"/>
          <w:sz w:val="20"/>
          <w:szCs w:val="20"/>
        </w:rPr>
      </w:pPr>
      <w:r>
        <w:rPr>
          <w:rFonts w:ascii="宋体" w:hAnsi="宋体" w:eastAsia="宋体" w:cs="宋体"/>
          <w:spacing w:val="8"/>
          <w:sz w:val="20"/>
          <w:szCs w:val="20"/>
        </w:rPr>
        <w:t>(2)为个体提供保护屏障。如施工机械的驾驶室或操作室密闭隔离，</w:t>
      </w:r>
      <w:r>
        <w:rPr>
          <w:rFonts w:ascii="宋体" w:hAnsi="宋体" w:eastAsia="宋体" w:cs="宋体"/>
          <w:spacing w:val="7"/>
          <w:sz w:val="20"/>
          <w:szCs w:val="20"/>
        </w:rPr>
        <w:t>并在进风口设置滤尘装</w:t>
      </w:r>
      <w:r>
        <w:rPr>
          <w:rFonts w:ascii="宋体" w:hAnsi="宋体" w:eastAsia="宋体" w:cs="宋体"/>
          <w:sz w:val="20"/>
          <w:szCs w:val="20"/>
        </w:rPr>
        <w:t xml:space="preserve"> </w:t>
      </w:r>
      <w:r>
        <w:rPr>
          <w:rFonts w:ascii="宋体" w:hAnsi="宋体" w:eastAsia="宋体" w:cs="宋体"/>
          <w:spacing w:val="-4"/>
          <w:sz w:val="20"/>
          <w:szCs w:val="20"/>
        </w:rPr>
        <w:t>置；使用个人防护用品如防护服、防护手套和防护眼</w:t>
      </w:r>
      <w:r>
        <w:rPr>
          <w:rFonts w:ascii="宋体" w:hAnsi="宋体" w:eastAsia="宋体" w:cs="宋体"/>
          <w:spacing w:val="-5"/>
          <w:sz w:val="20"/>
          <w:szCs w:val="20"/>
        </w:rPr>
        <w:t>镜等。</w:t>
      </w:r>
    </w:p>
    <w:p w14:paraId="43EE9111">
      <w:pPr>
        <w:spacing w:before="141" w:line="310" w:lineRule="auto"/>
        <w:ind w:left="649" w:right="40" w:firstLine="390"/>
        <w:rPr>
          <w:rFonts w:ascii="宋体" w:hAnsi="宋体" w:eastAsia="宋体" w:cs="宋体"/>
          <w:sz w:val="20"/>
          <w:szCs w:val="20"/>
        </w:rPr>
      </w:pPr>
      <w:r>
        <w:rPr>
          <w:rFonts w:ascii="宋体" w:hAnsi="宋体" w:eastAsia="宋体" w:cs="宋体"/>
          <w:spacing w:val="3"/>
          <w:sz w:val="20"/>
          <w:szCs w:val="20"/>
        </w:rPr>
        <w:t>(3)增强个体对抗有害物质的能力，或暴露后采取措施以预防发病或减</w:t>
      </w:r>
      <w:r>
        <w:rPr>
          <w:rFonts w:ascii="宋体" w:hAnsi="宋体" w:eastAsia="宋体" w:cs="宋体"/>
          <w:spacing w:val="2"/>
          <w:sz w:val="20"/>
          <w:szCs w:val="20"/>
        </w:rPr>
        <w:t>轻发病时的症状。如接</w:t>
      </w:r>
      <w:r>
        <w:rPr>
          <w:rFonts w:ascii="宋体" w:hAnsi="宋体" w:eastAsia="宋体" w:cs="宋体"/>
          <w:sz w:val="20"/>
          <w:szCs w:val="20"/>
        </w:rPr>
        <w:t xml:space="preserve"> 种疫苗、免疫血清或免疫球蛋白；被患狂犬病的动物或疑似携带狂犬病毒的动</w:t>
      </w:r>
      <w:r>
        <w:rPr>
          <w:rFonts w:ascii="宋体" w:hAnsi="宋体" w:eastAsia="宋体" w:cs="宋体"/>
          <w:spacing w:val="-1"/>
          <w:sz w:val="20"/>
          <w:szCs w:val="20"/>
        </w:rPr>
        <w:t>物咬伤后，一般要求</w:t>
      </w:r>
      <w:r>
        <w:rPr>
          <w:rFonts w:ascii="宋体" w:hAnsi="宋体" w:eastAsia="宋体" w:cs="宋体"/>
          <w:sz w:val="20"/>
          <w:szCs w:val="20"/>
        </w:rPr>
        <w:t xml:space="preserve"> 在暴露后24小时内进行第一次接种，若咬伤在上肢、头部或伤势较重，宜同时</w:t>
      </w:r>
      <w:r>
        <w:rPr>
          <w:rFonts w:ascii="宋体" w:hAnsi="宋体" w:eastAsia="宋体" w:cs="宋体"/>
          <w:spacing w:val="-1"/>
          <w:sz w:val="20"/>
          <w:szCs w:val="20"/>
        </w:rPr>
        <w:t>注射抗狂犬病血清或</w:t>
      </w:r>
      <w:r>
        <w:rPr>
          <w:rFonts w:ascii="宋体" w:hAnsi="宋体" w:eastAsia="宋体" w:cs="宋体"/>
          <w:sz w:val="20"/>
          <w:szCs w:val="20"/>
        </w:rPr>
        <w:t xml:space="preserve"> </w:t>
      </w:r>
      <w:r>
        <w:rPr>
          <w:rFonts w:ascii="宋体" w:hAnsi="宋体" w:eastAsia="宋体" w:cs="宋体"/>
          <w:spacing w:val="1"/>
          <w:sz w:val="20"/>
          <w:szCs w:val="20"/>
        </w:rPr>
        <w:t>特异性免疫球蛋白进行被动免疫；医护、公安等人员因职业原因不慎暴露于</w:t>
      </w:r>
      <w:r>
        <w:rPr>
          <w:rFonts w:ascii="宋体" w:hAnsi="宋体" w:eastAsia="宋体" w:cs="宋体"/>
          <w:sz w:val="20"/>
          <w:szCs w:val="20"/>
        </w:rPr>
        <w:t>HIV</w:t>
      </w:r>
      <w:r>
        <w:rPr>
          <w:rFonts w:ascii="宋体" w:hAnsi="宋体" w:eastAsia="宋体" w:cs="宋体"/>
          <w:spacing w:val="1"/>
          <w:sz w:val="20"/>
          <w:szCs w:val="20"/>
        </w:rPr>
        <w:t xml:space="preserve"> 感染者的体液时，</w:t>
      </w:r>
      <w:r>
        <w:rPr>
          <w:rFonts w:ascii="宋体" w:hAnsi="宋体" w:eastAsia="宋体" w:cs="宋体"/>
          <w:spacing w:val="17"/>
          <w:sz w:val="20"/>
          <w:szCs w:val="20"/>
        </w:rPr>
        <w:t xml:space="preserve"> </w:t>
      </w:r>
      <w:r>
        <w:rPr>
          <w:rFonts w:ascii="宋体" w:hAnsi="宋体" w:eastAsia="宋体" w:cs="宋体"/>
          <w:sz w:val="20"/>
          <w:szCs w:val="20"/>
        </w:rPr>
        <w:t>可经短期抗逆转录病毒治疗降低</w:t>
      </w:r>
      <w:r>
        <w:rPr>
          <w:rFonts w:ascii="Times New Roman" w:hAnsi="Times New Roman" w:eastAsia="Times New Roman" w:cs="Times New Roman"/>
          <w:sz w:val="20"/>
          <w:szCs w:val="20"/>
        </w:rPr>
        <w:t>HIV</w:t>
      </w:r>
      <w:r>
        <w:rPr>
          <w:rFonts w:ascii="Times New Roman" w:hAnsi="Times New Roman" w:eastAsia="Times New Roman" w:cs="Times New Roman"/>
          <w:spacing w:val="-12"/>
          <w:sz w:val="20"/>
          <w:szCs w:val="20"/>
        </w:rPr>
        <w:t xml:space="preserve"> </w:t>
      </w:r>
      <w:r>
        <w:rPr>
          <w:rFonts w:ascii="宋体" w:hAnsi="宋体" w:eastAsia="宋体" w:cs="宋体"/>
          <w:sz w:val="20"/>
          <w:szCs w:val="20"/>
        </w:rPr>
        <w:t>感染的可能性，即预防性用药。</w:t>
      </w:r>
    </w:p>
    <w:p w14:paraId="34BED322">
      <w:pPr>
        <w:pStyle w:val="2"/>
        <w:spacing w:before="170" w:line="223" w:lineRule="auto"/>
        <w:ind w:left="1042"/>
        <w:rPr>
          <w:sz w:val="20"/>
          <w:szCs w:val="20"/>
        </w:rPr>
      </w:pPr>
      <w:r>
        <w:rPr>
          <w:b/>
          <w:bCs/>
          <w:spacing w:val="23"/>
          <w:sz w:val="20"/>
          <w:szCs w:val="20"/>
        </w:rPr>
        <w:t>(二)健康教育</w:t>
      </w:r>
    </w:p>
    <w:p w14:paraId="7E0BFC13">
      <w:pPr>
        <w:spacing w:before="128" w:line="333" w:lineRule="auto"/>
        <w:ind w:left="649" w:right="20" w:firstLine="390"/>
        <w:jc w:val="both"/>
        <w:rPr>
          <w:rFonts w:ascii="宋体" w:hAnsi="宋体" w:eastAsia="宋体" w:cs="宋体"/>
          <w:sz w:val="20"/>
          <w:szCs w:val="20"/>
        </w:rPr>
      </w:pPr>
      <w:r>
        <w:rPr>
          <w:rFonts w:ascii="宋体" w:hAnsi="宋体" w:eastAsia="宋体" w:cs="宋体"/>
          <w:spacing w:val="3"/>
          <w:sz w:val="20"/>
          <w:szCs w:val="20"/>
        </w:rPr>
        <w:t>健康教育是通过信息传播和行为干预，帮助个体和群体掌</w:t>
      </w:r>
      <w:r>
        <w:rPr>
          <w:rFonts w:ascii="宋体" w:hAnsi="宋体" w:eastAsia="宋体" w:cs="宋体"/>
          <w:spacing w:val="3"/>
          <w:sz w:val="20"/>
          <w:szCs w:val="20"/>
          <w:u w:val="single" w:color="auto"/>
        </w:rPr>
        <w:t>握卫生</w:t>
      </w:r>
      <w:r>
        <w:rPr>
          <w:rFonts w:ascii="宋体" w:hAnsi="宋体" w:eastAsia="宋体" w:cs="宋体"/>
          <w:spacing w:val="3"/>
          <w:sz w:val="20"/>
          <w:szCs w:val="20"/>
        </w:rPr>
        <w:t>保健知识，树立健康</w:t>
      </w:r>
      <w:r>
        <w:rPr>
          <w:rFonts w:ascii="宋体" w:hAnsi="宋体" w:eastAsia="宋体" w:cs="宋体"/>
          <w:spacing w:val="2"/>
          <w:sz w:val="20"/>
          <w:szCs w:val="20"/>
        </w:rPr>
        <w:t>观念.在</w:t>
      </w:r>
      <w:r>
        <w:rPr>
          <w:rFonts w:ascii="宋体" w:hAnsi="宋体" w:eastAsia="宋体" w:cs="宋体"/>
          <w:sz w:val="20"/>
          <w:szCs w:val="20"/>
        </w:rPr>
        <w:t xml:space="preserve"> 获得信息、提升认识的前提下，自愿采纳有利于健康的行为和生活方式</w:t>
      </w:r>
      <w:r>
        <w:rPr>
          <w:rFonts w:ascii="宋体" w:hAnsi="宋体" w:eastAsia="宋体" w:cs="宋体"/>
          <w:spacing w:val="-1"/>
          <w:sz w:val="20"/>
          <w:szCs w:val="20"/>
        </w:rPr>
        <w:t>的教育活动与过程。健康教</w:t>
      </w:r>
      <w:r>
        <w:rPr>
          <w:rFonts w:ascii="宋体" w:hAnsi="宋体" w:eastAsia="宋体" w:cs="宋体"/>
          <w:sz w:val="20"/>
          <w:szCs w:val="20"/>
        </w:rPr>
        <w:t xml:space="preserve">  </w:t>
      </w:r>
      <w:r>
        <w:rPr>
          <w:rFonts w:ascii="宋体" w:hAnsi="宋体" w:eastAsia="宋体" w:cs="宋体"/>
          <w:spacing w:val="5"/>
          <w:sz w:val="20"/>
          <w:szCs w:val="20"/>
        </w:rPr>
        <w:t>育更注重使受教育的对象产生内化的过程，突出了个体在改变行为方面的自愿性。健康</w:t>
      </w:r>
      <w:r>
        <w:rPr>
          <w:rFonts w:ascii="宋体" w:hAnsi="宋体" w:eastAsia="宋体" w:cs="宋体"/>
          <w:spacing w:val="4"/>
          <w:sz w:val="20"/>
          <w:szCs w:val="20"/>
        </w:rPr>
        <w:t>教育在三</w:t>
      </w:r>
      <w:r>
        <w:rPr>
          <w:rFonts w:ascii="宋体" w:hAnsi="宋体" w:eastAsia="宋体" w:cs="宋体"/>
          <w:sz w:val="20"/>
          <w:szCs w:val="20"/>
        </w:rPr>
        <w:t xml:space="preserve"> </w:t>
      </w:r>
      <w:r>
        <w:rPr>
          <w:rFonts w:ascii="宋体" w:hAnsi="宋体" w:eastAsia="宋体" w:cs="宋体"/>
          <w:spacing w:val="2"/>
          <w:sz w:val="20"/>
          <w:szCs w:val="20"/>
        </w:rPr>
        <w:t>级预防中都可以发挥作用。例如，告诉公众结核病的基本症状，鼓励在出现可疑</w:t>
      </w:r>
      <w:r>
        <w:rPr>
          <w:rFonts w:ascii="宋体" w:hAnsi="宋体" w:eastAsia="宋体" w:cs="宋体"/>
          <w:spacing w:val="1"/>
          <w:sz w:val="20"/>
          <w:szCs w:val="20"/>
        </w:rPr>
        <w:t>症状时及时就诊；</w:t>
      </w:r>
      <w:r>
        <w:rPr>
          <w:rFonts w:ascii="宋体" w:hAnsi="宋体" w:eastAsia="宋体" w:cs="宋体"/>
          <w:sz w:val="20"/>
          <w:szCs w:val="20"/>
        </w:rPr>
        <w:t xml:space="preserve"> </w:t>
      </w:r>
      <w:r>
        <w:rPr>
          <w:rFonts w:ascii="宋体" w:hAnsi="宋体" w:eastAsia="宋体" w:cs="宋体"/>
          <w:spacing w:val="-3"/>
          <w:sz w:val="20"/>
          <w:szCs w:val="20"/>
        </w:rPr>
        <w:t>针对结核病人，要告知治疗管理的基本知识，提高规范治疗的依从性。</w:t>
      </w:r>
    </w:p>
    <w:p w14:paraId="733C7D9B">
      <w:pPr>
        <w:spacing w:line="333" w:lineRule="auto"/>
        <w:rPr>
          <w:rFonts w:ascii="宋体" w:hAnsi="宋体" w:eastAsia="宋体" w:cs="宋体"/>
          <w:sz w:val="20"/>
          <w:szCs w:val="20"/>
        </w:rPr>
        <w:sectPr>
          <w:footerReference r:id="rId189" w:type="default"/>
          <w:pgSz w:w="11900" w:h="16820"/>
          <w:pgMar w:top="400" w:right="1589" w:bottom="717" w:left="959" w:header="0" w:footer="536" w:gutter="0"/>
          <w:cols w:space="720" w:num="1"/>
        </w:sectPr>
      </w:pPr>
    </w:p>
    <w:p w14:paraId="75B26FAA">
      <w:pPr>
        <w:pStyle w:val="2"/>
        <w:spacing w:before="125" w:line="221" w:lineRule="auto"/>
        <w:ind w:left="7559"/>
        <w:rPr>
          <w:sz w:val="17"/>
          <w:szCs w:val="17"/>
        </w:rPr>
      </w:pPr>
      <w:r>
        <w:rPr>
          <w:spacing w:val="26"/>
          <w:sz w:val="17"/>
          <w:szCs w:val="17"/>
        </w:rPr>
        <w:t>第九章预防策略</w:t>
      </w:r>
    </w:p>
    <w:p w14:paraId="2A90C76B">
      <w:pPr>
        <w:spacing w:line="282" w:lineRule="auto"/>
        <w:rPr>
          <w:rFonts w:ascii="Arial"/>
          <w:sz w:val="21"/>
        </w:rPr>
      </w:pPr>
    </w:p>
    <w:p w14:paraId="03C91370">
      <w:pPr>
        <w:spacing w:line="283" w:lineRule="auto"/>
        <w:rPr>
          <w:rFonts w:ascii="Arial"/>
          <w:sz w:val="21"/>
        </w:rPr>
      </w:pPr>
    </w:p>
    <w:p w14:paraId="2BED6ABF">
      <w:pPr>
        <w:pStyle w:val="2"/>
        <w:spacing w:before="68" w:line="223" w:lineRule="auto"/>
        <w:ind w:left="432"/>
        <w:rPr>
          <w:sz w:val="21"/>
          <w:szCs w:val="21"/>
        </w:rPr>
      </w:pPr>
      <w:bookmarkStart w:id="274" w:name="bookmark495"/>
      <w:bookmarkEnd w:id="274"/>
      <w:r>
        <w:rPr>
          <w:b/>
          <w:bCs/>
          <w:spacing w:val="19"/>
          <w:sz w:val="21"/>
          <w:szCs w:val="21"/>
        </w:rPr>
        <w:t>(三)健康管理</w:t>
      </w:r>
    </w:p>
    <w:p w14:paraId="4098F92E">
      <w:pPr>
        <w:spacing w:before="106" w:line="330" w:lineRule="auto"/>
        <w:ind w:right="624" w:firstLine="429"/>
        <w:jc w:val="both"/>
        <w:rPr>
          <w:rFonts w:ascii="宋体" w:hAnsi="宋体" w:eastAsia="宋体" w:cs="宋体"/>
          <w:sz w:val="21"/>
          <w:szCs w:val="21"/>
        </w:rPr>
      </w:pPr>
      <w:r>
        <w:rPr>
          <w:rFonts w:ascii="宋体" w:hAnsi="宋体" w:eastAsia="宋体" w:cs="宋体"/>
          <w:spacing w:val="2"/>
          <w:sz w:val="21"/>
          <w:szCs w:val="21"/>
        </w:rPr>
        <w:t>健康管理是对个人或人群的健康危险因素进行全面监管的过程，其目的是以最小的投入获取</w:t>
      </w:r>
      <w:r>
        <w:rPr>
          <w:rFonts w:ascii="宋体" w:hAnsi="宋体" w:eastAsia="宋体" w:cs="宋体"/>
          <w:spacing w:val="9"/>
          <w:sz w:val="21"/>
          <w:szCs w:val="21"/>
        </w:rPr>
        <w:t xml:space="preserve"> </w:t>
      </w:r>
      <w:r>
        <w:rPr>
          <w:rFonts w:ascii="宋体" w:hAnsi="宋体" w:eastAsia="宋体" w:cs="宋体"/>
          <w:spacing w:val="-3"/>
          <w:sz w:val="21"/>
          <w:szCs w:val="21"/>
        </w:rPr>
        <w:t>最大的健康。与一般健康教育不同的是，健康管理是根据个人的健康状况来进行评价，即根据个人</w:t>
      </w:r>
      <w:r>
        <w:rPr>
          <w:rFonts w:ascii="宋体" w:hAnsi="宋体" w:eastAsia="宋体" w:cs="宋体"/>
          <w:spacing w:val="16"/>
          <w:sz w:val="21"/>
          <w:szCs w:val="21"/>
        </w:rPr>
        <w:t xml:space="preserve"> </w:t>
      </w:r>
      <w:r>
        <w:rPr>
          <w:rFonts w:ascii="宋体" w:hAnsi="宋体" w:eastAsia="宋体" w:cs="宋体"/>
          <w:spacing w:val="-3"/>
          <w:sz w:val="21"/>
          <w:szCs w:val="21"/>
        </w:rPr>
        <w:t>的疾病危险因素，由医师进行个体指导，动态追踪危险因素并及时进行干预。目前，健康管理主要</w:t>
      </w:r>
      <w:r>
        <w:rPr>
          <w:rFonts w:ascii="宋体" w:hAnsi="宋体" w:eastAsia="宋体" w:cs="宋体"/>
          <w:spacing w:val="18"/>
          <w:sz w:val="21"/>
          <w:szCs w:val="21"/>
        </w:rPr>
        <w:t xml:space="preserve"> </w:t>
      </w:r>
      <w:r>
        <w:rPr>
          <w:rFonts w:ascii="宋体" w:hAnsi="宋体" w:eastAsia="宋体" w:cs="宋体"/>
          <w:spacing w:val="-1"/>
          <w:sz w:val="21"/>
          <w:szCs w:val="21"/>
        </w:rPr>
        <w:t>用于慢性非传染性疾病的预防。</w:t>
      </w:r>
    </w:p>
    <w:p w14:paraId="61C251FC">
      <w:pPr>
        <w:spacing w:before="3" w:line="325" w:lineRule="auto"/>
        <w:ind w:right="618" w:firstLine="429"/>
        <w:jc w:val="both"/>
        <w:rPr>
          <w:rFonts w:ascii="宋体" w:hAnsi="宋体" w:eastAsia="宋体" w:cs="宋体"/>
          <w:sz w:val="21"/>
          <w:szCs w:val="21"/>
        </w:rPr>
      </w:pPr>
      <w:r>
        <w:rPr>
          <w:rFonts w:ascii="宋体" w:hAnsi="宋体" w:eastAsia="宋体" w:cs="宋体"/>
          <w:spacing w:val="-3"/>
          <w:sz w:val="21"/>
          <w:szCs w:val="21"/>
        </w:rPr>
        <w:t>健康管理是在健康学理论指导下，集医学科学、管理科学与信息科学于一体，重点研究健康的</w:t>
      </w:r>
      <w:r>
        <w:rPr>
          <w:rFonts w:ascii="宋体" w:hAnsi="宋体" w:eastAsia="宋体" w:cs="宋体"/>
          <w:spacing w:val="8"/>
          <w:sz w:val="21"/>
          <w:szCs w:val="21"/>
        </w:rPr>
        <w:t xml:space="preserve"> </w:t>
      </w:r>
      <w:r>
        <w:rPr>
          <w:rFonts w:ascii="宋体" w:hAnsi="宋体" w:eastAsia="宋体" w:cs="宋体"/>
          <w:spacing w:val="-7"/>
          <w:sz w:val="21"/>
          <w:szCs w:val="21"/>
        </w:rPr>
        <w:t>概念、内涵与评价标准，健康危险因素监测与控制，健康干预方法与</w:t>
      </w:r>
      <w:r>
        <w:rPr>
          <w:rFonts w:ascii="宋体" w:hAnsi="宋体" w:eastAsia="宋体" w:cs="宋体"/>
          <w:spacing w:val="-8"/>
          <w:sz w:val="21"/>
          <w:szCs w:val="21"/>
        </w:rPr>
        <w:t>手段，健康管理服务模式与实施</w:t>
      </w:r>
      <w:r>
        <w:rPr>
          <w:rFonts w:ascii="宋体" w:hAnsi="宋体" w:eastAsia="宋体" w:cs="宋体"/>
          <w:sz w:val="21"/>
          <w:szCs w:val="21"/>
        </w:rPr>
        <w:t xml:space="preserve"> </w:t>
      </w:r>
      <w:r>
        <w:rPr>
          <w:rFonts w:ascii="宋体" w:hAnsi="宋体" w:eastAsia="宋体" w:cs="宋体"/>
          <w:spacing w:val="-3"/>
          <w:sz w:val="21"/>
          <w:szCs w:val="21"/>
        </w:rPr>
        <w:t>路径，健康信息技术与标准等。健康管理服务的主要内容包括：健康体检、健康检测、健康风险评</w:t>
      </w:r>
      <w:r>
        <w:rPr>
          <w:rFonts w:ascii="宋体" w:hAnsi="宋体" w:eastAsia="宋体" w:cs="宋体"/>
          <w:spacing w:val="16"/>
          <w:sz w:val="21"/>
          <w:szCs w:val="21"/>
        </w:rPr>
        <w:t xml:space="preserve"> </w:t>
      </w:r>
      <w:r>
        <w:rPr>
          <w:rFonts w:ascii="宋体" w:hAnsi="宋体" w:eastAsia="宋体" w:cs="宋体"/>
          <w:spacing w:val="-6"/>
          <w:sz w:val="21"/>
          <w:szCs w:val="21"/>
        </w:rPr>
        <w:t>估与干预、健康教育与咨询服务、健康监测与医学物联网服务、慢性病风险筛查与跟踪管理。</w:t>
      </w:r>
    </w:p>
    <w:p w14:paraId="06A3DA82">
      <w:pPr>
        <w:pStyle w:val="2"/>
        <w:spacing w:before="36" w:line="224" w:lineRule="auto"/>
        <w:ind w:left="432"/>
        <w:rPr>
          <w:sz w:val="21"/>
          <w:szCs w:val="21"/>
        </w:rPr>
      </w:pPr>
      <w:r>
        <w:rPr>
          <w:b/>
          <w:bCs/>
          <w:spacing w:val="23"/>
          <w:sz w:val="21"/>
          <w:szCs w:val="21"/>
        </w:rPr>
        <w:t>(四)健康促进</w:t>
      </w:r>
    </w:p>
    <w:p w14:paraId="3D6DC668">
      <w:pPr>
        <w:spacing w:before="95" w:line="318" w:lineRule="auto"/>
        <w:ind w:right="620" w:firstLine="429"/>
        <w:jc w:val="both"/>
        <w:rPr>
          <w:rFonts w:ascii="宋体" w:hAnsi="宋体" w:eastAsia="宋体" w:cs="宋体"/>
          <w:sz w:val="21"/>
          <w:szCs w:val="21"/>
        </w:rPr>
      </w:pPr>
      <w:r>
        <w:rPr>
          <w:rFonts w:ascii="宋体" w:hAnsi="宋体" w:eastAsia="宋体" w:cs="宋体"/>
          <w:spacing w:val="2"/>
          <w:sz w:val="21"/>
          <w:szCs w:val="21"/>
        </w:rPr>
        <w:t>健康促进是增强人们控制健康影响因素、改善自身健康的能力的过程。它是一个综合的社会</w:t>
      </w:r>
      <w:r>
        <w:rPr>
          <w:rFonts w:ascii="宋体" w:hAnsi="宋体" w:eastAsia="宋体" w:cs="宋体"/>
          <w:spacing w:val="8"/>
          <w:sz w:val="21"/>
          <w:szCs w:val="21"/>
        </w:rPr>
        <w:t xml:space="preserve"> </w:t>
      </w:r>
      <w:r>
        <w:rPr>
          <w:rFonts w:ascii="宋体" w:hAnsi="宋体" w:eastAsia="宋体" w:cs="宋体"/>
          <w:spacing w:val="-3"/>
          <w:sz w:val="21"/>
          <w:szCs w:val="21"/>
        </w:rPr>
        <w:t>和政治活动过程，不仅包括直接改善个体行为和加强生活技能的健康教育，使人们知道如何保持健</w:t>
      </w:r>
      <w:r>
        <w:rPr>
          <w:rFonts w:ascii="宋体" w:hAnsi="宋体" w:eastAsia="宋体" w:cs="宋体"/>
          <w:spacing w:val="16"/>
          <w:sz w:val="21"/>
          <w:szCs w:val="21"/>
        </w:rPr>
        <w:t xml:space="preserve"> </w:t>
      </w:r>
      <w:r>
        <w:rPr>
          <w:rFonts w:ascii="宋体" w:hAnsi="宋体" w:eastAsia="宋体" w:cs="宋体"/>
          <w:spacing w:val="-7"/>
          <w:sz w:val="21"/>
          <w:szCs w:val="21"/>
        </w:rPr>
        <w:t>康；还包括通过政策、立法、经济手段和其他形式的环境工程，改善社会、经济和</w:t>
      </w:r>
      <w:r>
        <w:rPr>
          <w:rFonts w:ascii="宋体" w:hAnsi="宋体" w:eastAsia="宋体" w:cs="宋体"/>
          <w:spacing w:val="-8"/>
          <w:sz w:val="21"/>
          <w:szCs w:val="21"/>
        </w:rPr>
        <w:t>环境条件以减少它</w:t>
      </w:r>
      <w:r>
        <w:rPr>
          <w:rFonts w:ascii="宋体" w:hAnsi="宋体" w:eastAsia="宋体" w:cs="宋体"/>
          <w:sz w:val="21"/>
          <w:szCs w:val="21"/>
        </w:rPr>
        <w:t xml:space="preserve"> </w:t>
      </w:r>
      <w:r>
        <w:rPr>
          <w:rFonts w:ascii="宋体" w:hAnsi="宋体" w:eastAsia="宋体" w:cs="宋体"/>
          <w:spacing w:val="-3"/>
          <w:sz w:val="21"/>
          <w:szCs w:val="21"/>
        </w:rPr>
        <w:t>们对大众和个体健康的不利影响的社会行动，从而营造社会支持性的环境，促使人们实施维护和改</w:t>
      </w:r>
      <w:r>
        <w:rPr>
          <w:rFonts w:ascii="宋体" w:hAnsi="宋体" w:eastAsia="宋体" w:cs="宋体"/>
          <w:spacing w:val="16"/>
          <w:sz w:val="21"/>
          <w:szCs w:val="21"/>
        </w:rPr>
        <w:t xml:space="preserve"> </w:t>
      </w:r>
      <w:r>
        <w:rPr>
          <w:rFonts w:ascii="宋体" w:hAnsi="宋体" w:eastAsia="宋体" w:cs="宋体"/>
          <w:spacing w:val="-2"/>
          <w:sz w:val="21"/>
          <w:szCs w:val="21"/>
        </w:rPr>
        <w:t>善健康的行为。</w:t>
      </w:r>
    </w:p>
    <w:p w14:paraId="4237ABD5">
      <w:pPr>
        <w:spacing w:before="1" w:line="255" w:lineRule="auto"/>
        <w:ind w:right="529" w:firstLine="429"/>
        <w:rPr>
          <w:rFonts w:ascii="宋体" w:hAnsi="宋体" w:eastAsia="宋体" w:cs="宋体"/>
          <w:sz w:val="21"/>
          <w:szCs w:val="21"/>
        </w:rPr>
      </w:pPr>
      <w:r>
        <w:rPr>
          <w:rFonts w:ascii="宋体" w:hAnsi="宋体" w:eastAsia="宋体" w:cs="宋体"/>
          <w:spacing w:val="7"/>
          <w:sz w:val="21"/>
          <w:szCs w:val="21"/>
        </w:rPr>
        <w:t>国外学者</w:t>
      </w:r>
      <w:r>
        <w:rPr>
          <w:rFonts w:ascii="宋体" w:hAnsi="宋体" w:eastAsia="宋体" w:cs="宋体"/>
          <w:sz w:val="21"/>
          <w:szCs w:val="21"/>
        </w:rPr>
        <w:t>Tannahill</w:t>
      </w:r>
      <w:r>
        <w:rPr>
          <w:rFonts w:ascii="宋体" w:hAnsi="宋体" w:eastAsia="宋体" w:cs="宋体"/>
          <w:spacing w:val="7"/>
          <w:sz w:val="21"/>
          <w:szCs w:val="21"/>
        </w:rPr>
        <w:t>于1988年提出了一个健康促进的模型(图9-4),得到医学界的广泛认可。</w:t>
      </w:r>
      <w:r>
        <w:rPr>
          <w:rFonts w:ascii="宋体" w:hAnsi="宋体" w:eastAsia="宋体" w:cs="宋体"/>
          <w:spacing w:val="9"/>
          <w:sz w:val="21"/>
          <w:szCs w:val="21"/>
        </w:rPr>
        <w:t xml:space="preserve"> </w:t>
      </w:r>
      <w:r>
        <w:rPr>
          <w:rFonts w:ascii="宋体" w:hAnsi="宋体" w:eastAsia="宋体" w:cs="宋体"/>
          <w:spacing w:val="2"/>
          <w:sz w:val="21"/>
          <w:szCs w:val="21"/>
        </w:rPr>
        <w:t>他将健康促进置于健康保护和健康教育的策略之上，即健康促进涵盖了三种策略，以医学干预措</w:t>
      </w:r>
    </w:p>
    <w:p w14:paraId="7C703B85">
      <w:pPr>
        <w:spacing w:line="255" w:lineRule="auto"/>
        <w:rPr>
          <w:rFonts w:ascii="宋体" w:hAnsi="宋体" w:eastAsia="宋体" w:cs="宋体"/>
          <w:sz w:val="21"/>
          <w:szCs w:val="21"/>
        </w:rPr>
        <w:sectPr>
          <w:footerReference r:id="rId190" w:type="default"/>
          <w:pgSz w:w="11900" w:h="16820"/>
          <w:pgMar w:top="400" w:right="904" w:bottom="808" w:left="1450" w:header="0" w:footer="655" w:gutter="0"/>
          <w:cols w:equalWidth="0" w:num="1">
            <w:col w:w="9546"/>
          </w:cols>
        </w:sectPr>
      </w:pPr>
    </w:p>
    <w:p w14:paraId="4D8CF578">
      <w:pPr>
        <w:spacing w:before="42" w:line="275" w:lineRule="auto"/>
        <w:ind w:right="190"/>
        <w:rPr>
          <w:rFonts w:ascii="宋体" w:hAnsi="宋体" w:eastAsia="宋体" w:cs="宋体"/>
          <w:sz w:val="21"/>
          <w:szCs w:val="21"/>
        </w:rPr>
      </w:pPr>
      <w:r>
        <w:rPr>
          <w:rFonts w:ascii="宋体" w:hAnsi="宋体" w:eastAsia="宋体" w:cs="宋体"/>
          <w:spacing w:val="-6"/>
          <w:sz w:val="21"/>
          <w:szCs w:val="21"/>
        </w:rPr>
        <w:t>施为主的预防、健康教育，以及以立法、经济或社会</w:t>
      </w:r>
      <w:r>
        <w:rPr>
          <w:rFonts w:ascii="宋体" w:hAnsi="宋体" w:eastAsia="宋体" w:cs="宋体"/>
          <w:spacing w:val="15"/>
          <w:sz w:val="21"/>
          <w:szCs w:val="21"/>
        </w:rPr>
        <w:t xml:space="preserve"> </w:t>
      </w:r>
      <w:r>
        <w:rPr>
          <w:rFonts w:ascii="宋体" w:hAnsi="宋体" w:eastAsia="宋体" w:cs="宋体"/>
          <w:spacing w:val="4"/>
          <w:sz w:val="21"/>
          <w:szCs w:val="21"/>
        </w:rPr>
        <w:t>措施为主的健康保护。三种策略之间不是截然分开</w:t>
      </w:r>
    </w:p>
    <w:p w14:paraId="303CDF0A">
      <w:pPr>
        <w:pStyle w:val="2"/>
        <w:spacing w:before="304" w:line="333" w:lineRule="auto"/>
        <w:ind w:right="114"/>
        <w:jc w:val="both"/>
        <w:rPr>
          <w:rFonts w:ascii="宋体" w:hAnsi="宋体" w:eastAsia="宋体" w:cs="宋体"/>
          <w:sz w:val="17"/>
          <w:szCs w:val="17"/>
        </w:rPr>
      </w:pPr>
      <w:r>
        <w:rPr>
          <w:rFonts w:ascii="宋体" w:hAnsi="宋体" w:eastAsia="宋体" w:cs="宋体"/>
          <w:spacing w:val="4"/>
          <w:sz w:val="21"/>
          <w:szCs w:val="21"/>
        </w:rPr>
        <w:t>的，有一定的重叠。如图9-4所示，1为以预防为目</w:t>
      </w:r>
      <w:r>
        <w:rPr>
          <w:rFonts w:ascii="宋体" w:hAnsi="宋体" w:eastAsia="宋体" w:cs="宋体"/>
          <w:spacing w:val="3"/>
          <w:sz w:val="21"/>
          <w:szCs w:val="21"/>
        </w:rPr>
        <w:t xml:space="preserve"> </w:t>
      </w:r>
      <w:r>
        <w:rPr>
          <w:rFonts w:ascii="宋体" w:hAnsi="宋体" w:eastAsia="宋体" w:cs="宋体"/>
          <w:spacing w:val="-11"/>
          <w:sz w:val="21"/>
          <w:szCs w:val="21"/>
        </w:rPr>
        <w:t>的的医学服务，如免疫接种、宫颈癌筛检、药物戒烟；</w:t>
      </w:r>
      <w:r>
        <w:rPr>
          <w:rFonts w:ascii="宋体" w:hAnsi="宋体" w:eastAsia="宋体" w:cs="宋体"/>
          <w:spacing w:val="8"/>
          <w:sz w:val="21"/>
          <w:szCs w:val="21"/>
        </w:rPr>
        <w:t xml:space="preserve"> </w:t>
      </w:r>
      <w:r>
        <w:rPr>
          <w:rFonts w:ascii="宋体" w:hAnsi="宋体" w:eastAsia="宋体" w:cs="宋体"/>
          <w:spacing w:val="-1"/>
          <w:sz w:val="21"/>
          <w:szCs w:val="21"/>
        </w:rPr>
        <w:t>2为以预防为目的的健康教育，如提供戒烟信息和建</w:t>
      </w:r>
      <w:r>
        <w:rPr>
          <w:rFonts w:ascii="宋体" w:hAnsi="宋体" w:eastAsia="宋体" w:cs="宋体"/>
          <w:spacing w:val="11"/>
          <w:sz w:val="21"/>
          <w:szCs w:val="21"/>
        </w:rPr>
        <w:t xml:space="preserve"> </w:t>
      </w:r>
      <w:r>
        <w:rPr>
          <w:rFonts w:ascii="宋体" w:hAnsi="宋体" w:eastAsia="宋体" w:cs="宋体"/>
          <w:spacing w:val="-5"/>
          <w:sz w:val="21"/>
          <w:szCs w:val="21"/>
        </w:rPr>
        <w:t>议；3为以预防为目的的健康保护，如饮水加氟；4为</w:t>
      </w:r>
      <w:r>
        <w:rPr>
          <w:rFonts w:ascii="宋体" w:hAnsi="宋体" w:eastAsia="宋体" w:cs="宋体"/>
          <w:sz w:val="21"/>
          <w:szCs w:val="21"/>
        </w:rPr>
        <w:t xml:space="preserve"> </w:t>
      </w:r>
      <w:r>
        <w:rPr>
          <w:rFonts w:ascii="宋体" w:hAnsi="宋体" w:eastAsia="宋体" w:cs="宋体"/>
          <w:spacing w:val="4"/>
          <w:sz w:val="21"/>
          <w:szCs w:val="21"/>
        </w:rPr>
        <w:t>通过健康教育实现以预防为目的的健康保护，如游</w:t>
      </w:r>
      <w:r>
        <w:rPr>
          <w:rFonts w:ascii="宋体" w:hAnsi="宋体" w:eastAsia="宋体" w:cs="宋体"/>
          <w:spacing w:val="1"/>
          <w:sz w:val="21"/>
          <w:szCs w:val="21"/>
        </w:rPr>
        <w:t xml:space="preserve"> </w:t>
      </w:r>
      <w:r>
        <w:rPr>
          <w:spacing w:val="-1"/>
          <w:sz w:val="21"/>
          <w:szCs w:val="21"/>
        </w:rPr>
        <w:t>说进行机动车安全带立法；5为积极的健康教育，如</w:t>
      </w:r>
      <w:r>
        <w:rPr>
          <w:spacing w:val="10"/>
          <w:sz w:val="21"/>
          <w:szCs w:val="21"/>
        </w:rPr>
        <w:t xml:space="preserve"> </w:t>
      </w:r>
      <w:r>
        <w:rPr>
          <w:rFonts w:ascii="宋体" w:hAnsi="宋体" w:eastAsia="宋体" w:cs="宋体"/>
          <w:spacing w:val="2"/>
          <w:sz w:val="21"/>
          <w:szCs w:val="21"/>
        </w:rPr>
        <w:t>对青少年进行生活技能教育；6为积极的健康保护，</w:t>
      </w:r>
      <w:r>
        <w:rPr>
          <w:rFonts w:ascii="宋体" w:hAnsi="宋体" w:eastAsia="宋体" w:cs="宋体"/>
          <w:spacing w:val="13"/>
          <w:sz w:val="21"/>
          <w:szCs w:val="21"/>
        </w:rPr>
        <w:t xml:space="preserve"> </w:t>
      </w:r>
      <w:r>
        <w:rPr>
          <w:rFonts w:ascii="宋体" w:hAnsi="宋体" w:eastAsia="宋体" w:cs="宋体"/>
          <w:spacing w:val="-1"/>
          <w:sz w:val="21"/>
          <w:szCs w:val="21"/>
        </w:rPr>
        <w:t>如工作场所禁烟政策；7为通过健康教育实现积极的</w:t>
      </w:r>
      <w:r>
        <w:rPr>
          <w:rFonts w:ascii="宋体" w:hAnsi="宋体" w:eastAsia="宋体" w:cs="宋体"/>
          <w:spacing w:val="10"/>
          <w:sz w:val="21"/>
          <w:szCs w:val="21"/>
        </w:rPr>
        <w:t xml:space="preserve"> </w:t>
      </w:r>
      <w:r>
        <w:rPr>
          <w:rFonts w:ascii="宋体" w:hAnsi="宋体" w:eastAsia="宋体" w:cs="宋体"/>
          <w:spacing w:val="4"/>
          <w:sz w:val="21"/>
          <w:szCs w:val="21"/>
        </w:rPr>
        <w:t>健康保护，如游说进行烟草广告立法。1～4</w:t>
      </w:r>
      <w:r>
        <w:rPr>
          <w:rFonts w:ascii="宋体" w:hAnsi="宋体" w:eastAsia="宋体" w:cs="宋体"/>
          <w:spacing w:val="3"/>
          <w:sz w:val="21"/>
          <w:szCs w:val="21"/>
        </w:rPr>
        <w:t>的主要</w:t>
      </w:r>
      <w:r>
        <w:rPr>
          <w:rFonts w:ascii="宋体" w:hAnsi="宋体" w:eastAsia="宋体" w:cs="宋体"/>
          <w:sz w:val="21"/>
          <w:szCs w:val="21"/>
        </w:rPr>
        <w:t xml:space="preserve"> </w:t>
      </w:r>
      <w:r>
        <w:rPr>
          <w:rFonts w:ascii="宋体" w:hAnsi="宋体" w:eastAsia="宋体" w:cs="宋体"/>
          <w:spacing w:val="3"/>
          <w:sz w:val="21"/>
          <w:szCs w:val="21"/>
        </w:rPr>
        <w:t>目的仍然限于传统的疾病预防。而5～7则是以积极</w:t>
      </w:r>
      <w:r>
        <w:rPr>
          <w:rFonts w:ascii="宋体" w:hAnsi="宋体" w:eastAsia="宋体" w:cs="宋体"/>
          <w:sz w:val="21"/>
          <w:szCs w:val="21"/>
        </w:rPr>
        <w:t xml:space="preserve">  </w:t>
      </w:r>
      <w:r>
        <w:rPr>
          <w:rFonts w:ascii="宋体" w:hAnsi="宋体" w:eastAsia="宋体" w:cs="宋体"/>
          <w:spacing w:val="33"/>
          <w:sz w:val="17"/>
          <w:szCs w:val="17"/>
        </w:rPr>
        <w:t>的健康促进为目的，不特别针对某种疾病。</w:t>
      </w:r>
    </w:p>
    <w:p w14:paraId="10491B2E">
      <w:pPr>
        <w:spacing w:line="53" w:lineRule="exact"/>
      </w:pPr>
    </w:p>
    <w:p w14:paraId="390E43A3">
      <w:pPr>
        <w:spacing w:line="14" w:lineRule="auto"/>
        <w:rPr>
          <w:rFonts w:ascii="Arial"/>
          <w:sz w:val="2"/>
        </w:rPr>
      </w:pPr>
      <w:r>
        <w:rPr>
          <w:rFonts w:ascii="Arial" w:hAnsi="Arial" w:eastAsia="Arial" w:cs="Arial"/>
          <w:sz w:val="2"/>
          <w:szCs w:val="2"/>
        </w:rPr>
        <w:br w:type="column"/>
      </w:r>
    </w:p>
    <w:p w14:paraId="2DCB6CDF">
      <w:pPr>
        <w:spacing w:line="360" w:lineRule="auto"/>
        <w:rPr>
          <w:rFonts w:ascii="Arial"/>
          <w:sz w:val="21"/>
        </w:rPr>
      </w:pPr>
    </w:p>
    <w:p w14:paraId="620B1A66">
      <w:pPr>
        <w:pStyle w:val="2"/>
        <w:spacing w:before="1" w:line="3849" w:lineRule="exact"/>
      </w:pPr>
      <w:r>
        <w:rPr>
          <w:position w:val="-76"/>
        </w:rPr>
        <w:pict>
          <v:group id="_x0000_s1154" o:spid="_x0000_s1154" o:spt="203" style="height:192.5pt;width:197.5pt;" coordsize="3950,3850">
            <o:lock v:ext="edit"/>
            <v:shape id="_x0000_s1155" o:spid="_x0000_s1155" o:spt="75" type="#_x0000_t75" style="position:absolute;left:0;top:0;height:3850;width:3950;" filled="f" stroked="f" coordsize="21600,21600">
              <v:path/>
              <v:fill on="f" focussize="0,0"/>
              <v:stroke on="f"/>
              <v:imagedata r:id="rId622" o:title=""/>
              <o:lock v:ext="edit" aspectratio="t"/>
            </v:shape>
            <v:shape id="_x0000_s1156" o:spid="_x0000_s1156" o:spt="202" type="#_x0000_t202" style="position:absolute;left:389;top:363;height:2963;width:3167;" filled="f" stroked="f" coordsize="21600,21600">
              <v:path/>
              <v:fill on="f" focussize="0,0"/>
              <v:stroke on="f"/>
              <v:imagedata o:title=""/>
              <o:lock v:ext="edit" aspectratio="f"/>
              <v:textbox inset="0mm,0mm,0mm,0mm">
                <w:txbxContent>
                  <w:p w14:paraId="5F4E0260">
                    <w:pPr>
                      <w:spacing w:before="20" w:line="185" w:lineRule="auto"/>
                      <w:ind w:left="1539"/>
                      <w:rPr>
                        <w:rFonts w:ascii="Times New Roman" w:hAnsi="Times New Roman" w:eastAsia="Times New Roman" w:cs="Times New Roman"/>
                        <w:sz w:val="17"/>
                        <w:szCs w:val="17"/>
                      </w:rPr>
                    </w:pPr>
                    <w:r>
                      <w:rPr>
                        <w:rFonts w:ascii="Times New Roman" w:hAnsi="Times New Roman" w:eastAsia="Times New Roman" w:cs="Times New Roman"/>
                        <w:sz w:val="17"/>
                        <w:szCs w:val="17"/>
                      </w:rPr>
                      <w:t>5</w:t>
                    </w:r>
                  </w:p>
                  <w:p w14:paraId="665F480D">
                    <w:pPr>
                      <w:spacing w:line="285" w:lineRule="auto"/>
                      <w:rPr>
                        <w:rFonts w:ascii="Arial"/>
                        <w:sz w:val="21"/>
                      </w:rPr>
                    </w:pPr>
                  </w:p>
                  <w:p w14:paraId="29D4C064">
                    <w:pPr>
                      <w:spacing w:before="55" w:line="219" w:lineRule="auto"/>
                      <w:ind w:left="1259"/>
                      <w:rPr>
                        <w:rFonts w:ascii="宋体" w:hAnsi="宋体" w:eastAsia="宋体" w:cs="宋体"/>
                        <w:sz w:val="17"/>
                        <w:szCs w:val="17"/>
                      </w:rPr>
                    </w:pPr>
                    <w:r>
                      <w:rPr>
                        <w:rFonts w:ascii="宋体" w:hAnsi="宋体" w:eastAsia="宋体" w:cs="宋体"/>
                        <w:spacing w:val="-2"/>
                        <w:sz w:val="17"/>
                        <w:szCs w:val="17"/>
                      </w:rPr>
                      <w:t>健康教育</w:t>
                    </w:r>
                  </w:p>
                  <w:p w14:paraId="18D97DC6">
                    <w:pPr>
                      <w:spacing w:line="290" w:lineRule="auto"/>
                      <w:rPr>
                        <w:rFonts w:ascii="Arial"/>
                        <w:sz w:val="21"/>
                      </w:rPr>
                    </w:pPr>
                  </w:p>
                  <w:p w14:paraId="503463DB">
                    <w:pPr>
                      <w:spacing w:line="290" w:lineRule="auto"/>
                      <w:rPr>
                        <w:rFonts w:ascii="Arial"/>
                        <w:sz w:val="21"/>
                      </w:rPr>
                    </w:pPr>
                  </w:p>
                  <w:p w14:paraId="5E46DE81">
                    <w:pPr>
                      <w:spacing w:before="49" w:line="188" w:lineRule="auto"/>
                      <w:ind w:left="1080"/>
                      <w:rPr>
                        <w:rFonts w:ascii="Times New Roman" w:hAnsi="Times New Roman" w:eastAsia="Times New Roman" w:cs="Times New Roman"/>
                        <w:sz w:val="17"/>
                        <w:szCs w:val="17"/>
                      </w:rPr>
                    </w:pPr>
                    <w:r>
                      <w:rPr>
                        <w:rFonts w:ascii="Times New Roman" w:hAnsi="Times New Roman" w:eastAsia="Times New Roman" w:cs="Times New Roman"/>
                        <w:spacing w:val="-2"/>
                        <w:sz w:val="17"/>
                        <w:szCs w:val="17"/>
                      </w:rPr>
                      <w:t>2</w:t>
                    </w:r>
                    <w:r>
                      <w:rPr>
                        <w:rFonts w:ascii="Times New Roman" w:hAnsi="Times New Roman" w:eastAsia="Times New Roman" w:cs="Times New Roman"/>
                        <w:sz w:val="17"/>
                        <w:szCs w:val="17"/>
                      </w:rPr>
                      <w:t xml:space="preserve">                       </w:t>
                    </w:r>
                    <w:r>
                      <w:rPr>
                        <w:rFonts w:ascii="Times New Roman" w:hAnsi="Times New Roman" w:eastAsia="Times New Roman" w:cs="Times New Roman"/>
                        <w:spacing w:val="-2"/>
                        <w:sz w:val="17"/>
                        <w:szCs w:val="17"/>
                      </w:rPr>
                      <w:t>7</w:t>
                    </w:r>
                  </w:p>
                  <w:p w14:paraId="12C018EB">
                    <w:pPr>
                      <w:spacing w:before="187" w:line="188" w:lineRule="auto"/>
                      <w:ind w:right="12"/>
                      <w:jc w:val="right"/>
                      <w:rPr>
                        <w:rFonts w:ascii="Times New Roman" w:hAnsi="Times New Roman" w:eastAsia="Times New Roman" w:cs="Times New Roman"/>
                        <w:sz w:val="17"/>
                        <w:szCs w:val="17"/>
                      </w:rPr>
                    </w:pPr>
                    <w:r>
                      <w:rPr>
                        <w:rFonts w:ascii="Times New Roman" w:hAnsi="Times New Roman" w:eastAsia="Times New Roman" w:cs="Times New Roman"/>
                        <w:spacing w:val="-2"/>
                        <w:sz w:val="17"/>
                        <w:szCs w:val="17"/>
                      </w:rPr>
                      <w:t>4</w:t>
                    </w:r>
                    <w:r>
                      <w:rPr>
                        <w:rFonts w:ascii="Times New Roman" w:hAnsi="Times New Roman" w:eastAsia="Times New Roman" w:cs="Times New Roman"/>
                        <w:sz w:val="17"/>
                        <w:szCs w:val="17"/>
                      </w:rPr>
                      <w:t xml:space="preserve">                                  </w:t>
                    </w:r>
                    <w:r>
                      <w:rPr>
                        <w:rFonts w:ascii="Times New Roman" w:hAnsi="Times New Roman" w:eastAsia="Times New Roman" w:cs="Times New Roman"/>
                        <w:spacing w:val="-2"/>
                        <w:sz w:val="17"/>
                        <w:szCs w:val="17"/>
                      </w:rPr>
                      <w:t>6</w:t>
                    </w:r>
                  </w:p>
                  <w:p w14:paraId="74AAC79C">
                    <w:pPr>
                      <w:spacing w:before="180" w:line="221" w:lineRule="auto"/>
                      <w:ind w:left="369"/>
                      <w:rPr>
                        <w:rFonts w:ascii="黑体" w:hAnsi="黑体" w:eastAsia="黑体" w:cs="黑体"/>
                        <w:sz w:val="17"/>
                        <w:szCs w:val="17"/>
                      </w:rPr>
                    </w:pPr>
                    <w:r>
                      <w:rPr>
                        <w:rFonts w:ascii="黑体" w:hAnsi="黑体" w:eastAsia="黑体" w:cs="黑体"/>
                        <w:spacing w:val="1"/>
                        <w:sz w:val="17"/>
                        <w:szCs w:val="17"/>
                      </w:rPr>
                      <w:t>预防                  健康保护</w:t>
                    </w:r>
                  </w:p>
                  <w:p w14:paraId="1582E003">
                    <w:pPr>
                      <w:spacing w:before="2" w:line="166" w:lineRule="auto"/>
                      <w:ind w:left="1539"/>
                      <w:rPr>
                        <w:rFonts w:ascii="Times New Roman" w:hAnsi="Times New Roman" w:eastAsia="Times New Roman" w:cs="Times New Roman"/>
                        <w:sz w:val="17"/>
                        <w:szCs w:val="17"/>
                      </w:rPr>
                    </w:pPr>
                    <w:r>
                      <w:rPr>
                        <w:rFonts w:ascii="Times New Roman" w:hAnsi="Times New Roman" w:eastAsia="Times New Roman" w:cs="Times New Roman"/>
                        <w:sz w:val="17"/>
                        <w:szCs w:val="17"/>
                      </w:rPr>
                      <w:t>3</w:t>
                    </w:r>
                  </w:p>
                  <w:p w14:paraId="276D9A51">
                    <w:pPr>
                      <w:spacing w:line="191" w:lineRule="auto"/>
                      <w:ind w:left="20"/>
                      <w:rPr>
                        <w:rFonts w:ascii="宋体" w:hAnsi="宋体" w:eastAsia="宋体" w:cs="宋体"/>
                        <w:sz w:val="17"/>
                        <w:szCs w:val="17"/>
                      </w:rPr>
                    </w:pPr>
                    <w:r>
                      <w:rPr>
                        <w:rFonts w:ascii="宋体" w:hAnsi="宋体" w:eastAsia="宋体" w:cs="宋体"/>
                        <w:spacing w:val="3"/>
                        <w:position w:val="1"/>
                        <w:sz w:val="17"/>
                        <w:szCs w:val="17"/>
                      </w:rPr>
                      <w:t>(通过医学干预</w:t>
                    </w:r>
                    <w:r>
                      <w:rPr>
                        <w:rFonts w:ascii="宋体" w:hAnsi="宋体" w:eastAsia="宋体" w:cs="宋体"/>
                        <w:spacing w:val="8"/>
                        <w:position w:val="1"/>
                        <w:sz w:val="17"/>
                        <w:szCs w:val="17"/>
                      </w:rPr>
                      <w:t xml:space="preserve">          </w:t>
                    </w:r>
                    <w:r>
                      <w:rPr>
                        <w:rFonts w:ascii="宋体" w:hAnsi="宋体" w:eastAsia="宋体" w:cs="宋体"/>
                        <w:spacing w:val="3"/>
                        <w:position w:val="-2"/>
                        <w:sz w:val="17"/>
                        <w:szCs w:val="17"/>
                      </w:rPr>
                      <w:t>(通过立法、</w:t>
                    </w:r>
                  </w:p>
                  <w:p w14:paraId="09074F93">
                    <w:pPr>
                      <w:spacing w:line="211" w:lineRule="auto"/>
                      <w:ind w:left="280"/>
                      <w:rPr>
                        <w:rFonts w:ascii="宋体" w:hAnsi="宋体" w:eastAsia="宋体" w:cs="宋体"/>
                        <w:sz w:val="17"/>
                        <w:szCs w:val="17"/>
                      </w:rPr>
                    </w:pPr>
                    <w:r>
                      <w:rPr>
                        <w:rFonts w:ascii="宋体" w:hAnsi="宋体" w:eastAsia="宋体" w:cs="宋体"/>
                        <w:spacing w:val="-1"/>
                        <w:sz w:val="17"/>
                        <w:szCs w:val="17"/>
                      </w:rPr>
                      <w:t>措</w:t>
                    </w:r>
                    <w:r>
                      <w:rPr>
                        <w:rFonts w:ascii="宋体" w:hAnsi="宋体" w:eastAsia="宋体" w:cs="宋体"/>
                        <w:spacing w:val="-36"/>
                        <w:sz w:val="17"/>
                        <w:szCs w:val="17"/>
                      </w:rPr>
                      <w:t xml:space="preserve"> </w:t>
                    </w:r>
                    <w:r>
                      <w:rPr>
                        <w:rFonts w:ascii="宋体" w:hAnsi="宋体" w:eastAsia="宋体" w:cs="宋体"/>
                        <w:spacing w:val="-1"/>
                        <w:sz w:val="17"/>
                        <w:szCs w:val="17"/>
                      </w:rPr>
                      <w:t>施</w:t>
                    </w:r>
                    <w:r>
                      <w:rPr>
                        <w:rFonts w:ascii="宋体" w:hAnsi="宋体" w:eastAsia="宋体" w:cs="宋体"/>
                        <w:spacing w:val="-38"/>
                        <w:sz w:val="17"/>
                        <w:szCs w:val="17"/>
                      </w:rPr>
                      <w:t xml:space="preserve"> </w:t>
                    </w:r>
                    <w:r>
                      <w:rPr>
                        <w:rFonts w:ascii="宋体" w:hAnsi="宋体" w:eastAsia="宋体" w:cs="宋体"/>
                        <w:spacing w:val="-1"/>
                        <w:sz w:val="17"/>
                        <w:szCs w:val="17"/>
                      </w:rPr>
                      <w:t>)</w:t>
                    </w:r>
                    <w:r>
                      <w:rPr>
                        <w:rFonts w:ascii="宋体" w:hAnsi="宋体" w:eastAsia="宋体" w:cs="宋体"/>
                        <w:spacing w:val="2"/>
                        <w:sz w:val="17"/>
                        <w:szCs w:val="17"/>
                      </w:rPr>
                      <w:t xml:space="preserve">               </w:t>
                    </w:r>
                    <w:r>
                      <w:rPr>
                        <w:rFonts w:ascii="宋体" w:hAnsi="宋体" w:eastAsia="宋体" w:cs="宋体"/>
                        <w:spacing w:val="-1"/>
                        <w:sz w:val="17"/>
                        <w:szCs w:val="17"/>
                      </w:rPr>
                      <w:t>经济或社会</w:t>
                    </w:r>
                  </w:p>
                  <w:p w14:paraId="5578CFC3">
                    <w:pPr>
                      <w:spacing w:before="10" w:line="220" w:lineRule="auto"/>
                      <w:ind w:left="2290"/>
                      <w:rPr>
                        <w:rFonts w:ascii="宋体" w:hAnsi="宋体" w:eastAsia="宋体" w:cs="宋体"/>
                        <w:sz w:val="17"/>
                        <w:szCs w:val="17"/>
                      </w:rPr>
                    </w:pPr>
                    <w:r>
                      <w:rPr>
                        <w:rFonts w:ascii="宋体" w:hAnsi="宋体" w:eastAsia="宋体" w:cs="宋体"/>
                        <w:spacing w:val="-5"/>
                        <w:sz w:val="17"/>
                        <w:szCs w:val="17"/>
                      </w:rPr>
                      <w:t>措</w:t>
                    </w:r>
                    <w:r>
                      <w:rPr>
                        <w:rFonts w:ascii="宋体" w:hAnsi="宋体" w:eastAsia="宋体" w:cs="宋体"/>
                        <w:spacing w:val="-39"/>
                        <w:sz w:val="17"/>
                        <w:szCs w:val="17"/>
                      </w:rPr>
                      <w:t xml:space="preserve"> </w:t>
                    </w:r>
                    <w:r>
                      <w:rPr>
                        <w:rFonts w:ascii="宋体" w:hAnsi="宋体" w:eastAsia="宋体" w:cs="宋体"/>
                        <w:spacing w:val="-5"/>
                        <w:sz w:val="17"/>
                        <w:szCs w:val="17"/>
                      </w:rPr>
                      <w:t>施</w:t>
                    </w:r>
                    <w:r>
                      <w:rPr>
                        <w:rFonts w:ascii="宋体" w:hAnsi="宋体" w:eastAsia="宋体" w:cs="宋体"/>
                        <w:spacing w:val="-38"/>
                        <w:sz w:val="17"/>
                        <w:szCs w:val="17"/>
                      </w:rPr>
                      <w:t xml:space="preserve"> </w:t>
                    </w:r>
                    <w:r>
                      <w:rPr>
                        <w:rFonts w:ascii="宋体" w:hAnsi="宋体" w:eastAsia="宋体" w:cs="宋体"/>
                        <w:spacing w:val="-5"/>
                        <w:sz w:val="17"/>
                        <w:szCs w:val="17"/>
                      </w:rPr>
                      <w:t>)</w:t>
                    </w:r>
                  </w:p>
                </w:txbxContent>
              </v:textbox>
            </v:shape>
            <v:shape id="_x0000_s1157" o:spid="_x0000_s1157" o:spt="202" type="#_x0000_t202" style="position:absolute;left:689;top:1994;height:140;width:79;" filled="f" stroked="f" coordsize="21600,21600">
              <v:path/>
              <v:fill on="f" focussize="0,0"/>
              <v:stroke on="f"/>
              <v:imagedata o:title=""/>
              <o:lock v:ext="edit" aspectratio="f"/>
              <v:textbox inset="0mm,0mm,0mm,0mm">
                <w:txbxContent>
                  <w:p w14:paraId="4E44EAC7">
                    <w:pPr>
                      <w:spacing w:before="19" w:line="241" w:lineRule="auto"/>
                      <w:ind w:left="20"/>
                      <w:rPr>
                        <w:rFonts w:ascii="宋体" w:hAnsi="宋体" w:eastAsia="宋体" w:cs="宋体"/>
                        <w:sz w:val="10"/>
                        <w:szCs w:val="10"/>
                      </w:rPr>
                    </w:pPr>
                    <w:r>
                      <w:rPr>
                        <w:rFonts w:ascii="宋体" w:hAnsi="宋体" w:eastAsia="宋体" w:cs="宋体"/>
                        <w:sz w:val="10"/>
                        <w:szCs w:val="10"/>
                      </w:rPr>
                      <w:t>1</w:t>
                    </w:r>
                  </w:p>
                </w:txbxContent>
              </v:textbox>
            </v:shape>
            <w10:wrap type="none"/>
            <w10:anchorlock/>
          </v:group>
        </w:pict>
      </w:r>
    </w:p>
    <w:p w14:paraId="431C96FF">
      <w:pPr>
        <w:spacing w:before="162" w:line="219" w:lineRule="auto"/>
        <w:ind w:left="689"/>
        <w:rPr>
          <w:rFonts w:ascii="宋体" w:hAnsi="宋体" w:eastAsia="宋体" w:cs="宋体"/>
          <w:sz w:val="17"/>
          <w:szCs w:val="17"/>
        </w:rPr>
      </w:pPr>
      <w:r>
        <w:rPr>
          <w:rFonts w:ascii="宋体" w:hAnsi="宋体" w:eastAsia="宋体" w:cs="宋体"/>
          <w:spacing w:val="5"/>
          <w:sz w:val="17"/>
          <w:szCs w:val="17"/>
        </w:rPr>
        <w:t>图9</w:t>
      </w:r>
      <w:r>
        <w:rPr>
          <w:rFonts w:ascii="宋体" w:hAnsi="宋体" w:eastAsia="宋体" w:cs="宋体"/>
          <w:spacing w:val="-49"/>
          <w:sz w:val="17"/>
          <w:szCs w:val="17"/>
        </w:rPr>
        <w:t xml:space="preserve"> </w:t>
      </w:r>
      <w:r>
        <w:rPr>
          <w:rFonts w:ascii="宋体" w:hAnsi="宋体" w:eastAsia="宋体" w:cs="宋体"/>
          <w:spacing w:val="5"/>
          <w:sz w:val="17"/>
          <w:szCs w:val="17"/>
        </w:rPr>
        <w:t>-</w:t>
      </w:r>
      <w:r>
        <w:rPr>
          <w:rFonts w:ascii="宋体" w:hAnsi="宋体" w:eastAsia="宋体" w:cs="宋体"/>
          <w:spacing w:val="-48"/>
          <w:sz w:val="17"/>
          <w:szCs w:val="17"/>
        </w:rPr>
        <w:t xml:space="preserve"> </w:t>
      </w:r>
      <w:r>
        <w:rPr>
          <w:rFonts w:ascii="宋体" w:hAnsi="宋体" w:eastAsia="宋体" w:cs="宋体"/>
          <w:spacing w:val="5"/>
          <w:sz w:val="17"/>
          <w:szCs w:val="17"/>
        </w:rPr>
        <w:t>4</w:t>
      </w:r>
      <w:r>
        <w:rPr>
          <w:rFonts w:ascii="宋体" w:hAnsi="宋体" w:eastAsia="宋体" w:cs="宋体"/>
          <w:spacing w:val="81"/>
          <w:sz w:val="17"/>
          <w:szCs w:val="17"/>
        </w:rPr>
        <w:t xml:space="preserve"> </w:t>
      </w:r>
      <w:r>
        <w:rPr>
          <w:rFonts w:ascii="Times New Roman" w:hAnsi="Times New Roman" w:eastAsia="Times New Roman" w:cs="Times New Roman"/>
          <w:sz w:val="17"/>
          <w:szCs w:val="17"/>
        </w:rPr>
        <w:t xml:space="preserve">Tannahill     </w:t>
      </w:r>
      <w:r>
        <w:rPr>
          <w:rFonts w:ascii="宋体" w:hAnsi="宋体" w:eastAsia="宋体" w:cs="宋体"/>
          <w:spacing w:val="5"/>
          <w:sz w:val="17"/>
          <w:szCs w:val="17"/>
        </w:rPr>
        <w:t>健康促进模型</w:t>
      </w:r>
    </w:p>
    <w:p w14:paraId="517E4E34">
      <w:pPr>
        <w:spacing w:before="131" w:line="192" w:lineRule="auto"/>
        <w:ind w:left="1279"/>
        <w:rPr>
          <w:rFonts w:ascii="Times New Roman" w:hAnsi="Times New Roman" w:eastAsia="Times New Roman" w:cs="Times New Roman"/>
          <w:sz w:val="17"/>
          <w:szCs w:val="17"/>
        </w:rPr>
      </w:pPr>
      <w:r>
        <w:rPr>
          <w:rFonts w:ascii="Times New Roman" w:hAnsi="Times New Roman" w:eastAsia="Times New Roman" w:cs="Times New Roman"/>
          <w:spacing w:val="-1"/>
          <w:sz w:val="17"/>
          <w:szCs w:val="17"/>
        </w:rPr>
        <w:t>(Tannahill,1988)</w:t>
      </w:r>
    </w:p>
    <w:p w14:paraId="7FA354DE">
      <w:pPr>
        <w:spacing w:line="192" w:lineRule="auto"/>
        <w:rPr>
          <w:rFonts w:ascii="Times New Roman" w:hAnsi="Times New Roman" w:eastAsia="Times New Roman" w:cs="Times New Roman"/>
          <w:sz w:val="17"/>
          <w:szCs w:val="17"/>
        </w:rPr>
        <w:sectPr>
          <w:type w:val="continuous"/>
          <w:pgSz w:w="11900" w:h="16820"/>
          <w:pgMar w:top="400" w:right="904" w:bottom="808" w:left="1450" w:header="0" w:footer="655" w:gutter="0"/>
          <w:cols w:equalWidth="0" w:num="2">
            <w:col w:w="4901" w:space="100"/>
            <w:col w:w="4546"/>
          </w:cols>
        </w:sectPr>
      </w:pPr>
    </w:p>
    <w:p w14:paraId="3F3D6FC2">
      <w:pPr>
        <w:spacing w:line="336" w:lineRule="auto"/>
        <w:rPr>
          <w:rFonts w:ascii="Arial"/>
          <w:sz w:val="21"/>
        </w:rPr>
      </w:pPr>
    </w:p>
    <w:p w14:paraId="20BAC366">
      <w:pPr>
        <w:pStyle w:val="2"/>
        <w:spacing w:before="98" w:line="218" w:lineRule="auto"/>
        <w:ind w:left="2134"/>
        <w:outlineLvl w:val="1"/>
      </w:pPr>
      <w:bookmarkStart w:id="275" w:name="bookmark173"/>
      <w:bookmarkEnd w:id="275"/>
      <w:r>
        <w:rPr>
          <w:b/>
          <w:bCs/>
          <w:spacing w:val="-9"/>
        </w:rPr>
        <w:t>第三节</w:t>
      </w:r>
      <w:r>
        <w:rPr>
          <w:spacing w:val="143"/>
        </w:rPr>
        <w:t xml:space="preserve"> </w:t>
      </w:r>
      <w:r>
        <w:rPr>
          <w:b/>
          <w:bCs/>
          <w:spacing w:val="-9"/>
        </w:rPr>
        <w:t>国内外疾病预防策略与实践</w:t>
      </w:r>
    </w:p>
    <w:p w14:paraId="3E837084">
      <w:pPr>
        <w:spacing w:line="448" w:lineRule="auto"/>
        <w:rPr>
          <w:rFonts w:ascii="Arial"/>
          <w:sz w:val="21"/>
        </w:rPr>
      </w:pPr>
    </w:p>
    <w:p w14:paraId="100B3C6A">
      <w:pPr>
        <w:pStyle w:val="2"/>
        <w:spacing w:before="68" w:line="222" w:lineRule="auto"/>
        <w:ind w:left="432"/>
        <w:outlineLvl w:val="2"/>
        <w:rPr>
          <w:sz w:val="21"/>
          <w:szCs w:val="21"/>
        </w:rPr>
      </w:pPr>
      <w:bookmarkStart w:id="276" w:name="bookmark174"/>
      <w:bookmarkEnd w:id="276"/>
      <w:r>
        <w:rPr>
          <w:b/>
          <w:bCs/>
          <w:spacing w:val="30"/>
          <w:sz w:val="21"/>
          <w:szCs w:val="21"/>
        </w:rPr>
        <w:t>一</w:t>
      </w:r>
      <w:r>
        <w:rPr>
          <w:spacing w:val="30"/>
          <w:sz w:val="21"/>
          <w:szCs w:val="21"/>
        </w:rPr>
        <w:t xml:space="preserve"> </w:t>
      </w:r>
      <w:r>
        <w:rPr>
          <w:b/>
          <w:bCs/>
          <w:spacing w:val="30"/>
          <w:sz w:val="21"/>
          <w:szCs w:val="21"/>
        </w:rPr>
        <w:t>、当代全球主要健康策略</w:t>
      </w:r>
    </w:p>
    <w:p w14:paraId="7D094B4C">
      <w:pPr>
        <w:spacing w:before="249" w:line="346" w:lineRule="auto"/>
        <w:ind w:right="623" w:firstLine="429"/>
        <w:jc w:val="both"/>
        <w:rPr>
          <w:rFonts w:ascii="宋体" w:hAnsi="宋体" w:eastAsia="宋体" w:cs="宋体"/>
          <w:sz w:val="17"/>
          <w:szCs w:val="17"/>
        </w:rPr>
      </w:pPr>
      <w:r>
        <w:rPr>
          <w:rFonts w:ascii="宋体" w:hAnsi="宋体" w:eastAsia="宋体" w:cs="宋体"/>
          <w:spacing w:val="2"/>
          <w:sz w:val="21"/>
          <w:szCs w:val="21"/>
        </w:rPr>
        <w:t>1977年第30届世界卫生大会</w:t>
      </w:r>
      <w:r>
        <w:rPr>
          <w:rFonts w:ascii="Times New Roman" w:hAnsi="Times New Roman" w:eastAsia="Times New Roman" w:cs="Times New Roman"/>
          <w:spacing w:val="2"/>
          <w:sz w:val="21"/>
          <w:szCs w:val="21"/>
        </w:rPr>
        <w:t>(</w:t>
      </w:r>
      <w:r>
        <w:rPr>
          <w:rFonts w:ascii="Times New Roman" w:hAnsi="Times New Roman" w:eastAsia="Times New Roman" w:cs="Times New Roman"/>
          <w:sz w:val="21"/>
          <w:szCs w:val="21"/>
        </w:rPr>
        <w:t>World</w:t>
      </w:r>
      <w:r>
        <w:rPr>
          <w:rFonts w:ascii="Times New Roman" w:hAnsi="Times New Roman" w:eastAsia="Times New Roman" w:cs="Times New Roman"/>
          <w:spacing w:val="2"/>
          <w:sz w:val="21"/>
          <w:szCs w:val="21"/>
        </w:rPr>
        <w:t xml:space="preserve">  </w:t>
      </w:r>
      <w:r>
        <w:rPr>
          <w:rFonts w:ascii="Times New Roman" w:hAnsi="Times New Roman" w:eastAsia="Times New Roman" w:cs="Times New Roman"/>
          <w:sz w:val="21"/>
          <w:szCs w:val="21"/>
        </w:rPr>
        <w:t>Health</w:t>
      </w:r>
      <w:r>
        <w:rPr>
          <w:rFonts w:ascii="Times New Roman" w:hAnsi="Times New Roman" w:eastAsia="Times New Roman" w:cs="Times New Roman"/>
          <w:spacing w:val="2"/>
          <w:sz w:val="21"/>
          <w:szCs w:val="21"/>
        </w:rPr>
        <w:t xml:space="preserve">  </w:t>
      </w:r>
      <w:r>
        <w:rPr>
          <w:rFonts w:ascii="Times New Roman" w:hAnsi="Times New Roman" w:eastAsia="Times New Roman" w:cs="Times New Roman"/>
          <w:sz w:val="21"/>
          <w:szCs w:val="21"/>
        </w:rPr>
        <w:t>Assembly</w:t>
      </w:r>
      <w:r>
        <w:rPr>
          <w:rFonts w:ascii="Times New Roman" w:hAnsi="Times New Roman" w:eastAsia="Times New Roman" w:cs="Times New Roman"/>
          <w:spacing w:val="2"/>
          <w:sz w:val="21"/>
          <w:szCs w:val="21"/>
        </w:rPr>
        <w:t>,</w:t>
      </w:r>
      <w:r>
        <w:rPr>
          <w:rFonts w:ascii="Times New Roman" w:hAnsi="Times New Roman" w:eastAsia="Times New Roman" w:cs="Times New Roman"/>
          <w:sz w:val="21"/>
          <w:szCs w:val="21"/>
        </w:rPr>
        <w:t>WHA</w:t>
      </w:r>
      <w:r>
        <w:rPr>
          <w:rFonts w:ascii="Times New Roman" w:hAnsi="Times New Roman" w:eastAsia="Times New Roman" w:cs="Times New Roman"/>
          <w:spacing w:val="2"/>
          <w:sz w:val="21"/>
          <w:szCs w:val="21"/>
        </w:rPr>
        <w:t>)</w:t>
      </w:r>
      <w:r>
        <w:rPr>
          <w:rFonts w:ascii="宋体" w:hAnsi="宋体" w:eastAsia="宋体" w:cs="宋体"/>
          <w:spacing w:val="2"/>
          <w:sz w:val="21"/>
          <w:szCs w:val="21"/>
        </w:rPr>
        <w:t>上</w:t>
      </w:r>
      <w:r>
        <w:rPr>
          <w:rFonts w:ascii="宋体" w:hAnsi="宋体" w:eastAsia="宋体" w:cs="宋体"/>
          <w:spacing w:val="-54"/>
          <w:sz w:val="21"/>
          <w:szCs w:val="21"/>
        </w:rPr>
        <w:t xml:space="preserve"> </w:t>
      </w:r>
      <w:r>
        <w:rPr>
          <w:rFonts w:ascii="宋体" w:hAnsi="宋体" w:eastAsia="宋体" w:cs="宋体"/>
          <w:spacing w:val="1"/>
          <w:sz w:val="21"/>
          <w:szCs w:val="21"/>
        </w:rPr>
        <w:t>，</w:t>
      </w:r>
      <w:r>
        <w:rPr>
          <w:rFonts w:ascii="Times New Roman" w:hAnsi="Times New Roman" w:eastAsia="Times New Roman" w:cs="Times New Roman"/>
          <w:sz w:val="21"/>
          <w:szCs w:val="21"/>
        </w:rPr>
        <w:t>WHO</w:t>
      </w:r>
      <w:r>
        <w:rPr>
          <w:rFonts w:ascii="宋体" w:hAnsi="宋体" w:eastAsia="宋体" w:cs="宋体"/>
          <w:spacing w:val="1"/>
          <w:sz w:val="21"/>
          <w:szCs w:val="21"/>
        </w:rPr>
        <w:t>的成员国一致通过了一</w:t>
      </w:r>
      <w:r>
        <w:rPr>
          <w:rFonts w:ascii="宋体" w:hAnsi="宋体" w:eastAsia="宋体" w:cs="宋体"/>
          <w:sz w:val="21"/>
          <w:szCs w:val="21"/>
        </w:rPr>
        <w:t xml:space="preserve"> </w:t>
      </w:r>
      <w:r>
        <w:rPr>
          <w:rFonts w:ascii="宋体" w:hAnsi="宋体" w:eastAsia="宋体" w:cs="宋体"/>
          <w:spacing w:val="2"/>
          <w:sz w:val="21"/>
          <w:szCs w:val="21"/>
        </w:rPr>
        <w:t>项全球性战略目标：2000年人人享有健康。这种健康状况可以让个体过上社会和经济两方面都卓</w:t>
      </w:r>
      <w:r>
        <w:rPr>
          <w:rFonts w:ascii="宋体" w:hAnsi="宋体" w:eastAsia="宋体" w:cs="宋体"/>
          <w:spacing w:val="12"/>
          <w:sz w:val="21"/>
          <w:szCs w:val="21"/>
        </w:rPr>
        <w:t xml:space="preserve"> </w:t>
      </w:r>
      <w:r>
        <w:rPr>
          <w:rFonts w:ascii="宋体" w:hAnsi="宋体" w:eastAsia="宋体" w:cs="宋体"/>
          <w:spacing w:val="31"/>
          <w:sz w:val="17"/>
          <w:szCs w:val="17"/>
        </w:rPr>
        <w:t>有成效的生活</w:t>
      </w:r>
      <w:r>
        <w:rPr>
          <w:rFonts w:ascii="宋体" w:hAnsi="宋体" w:eastAsia="宋体" w:cs="宋体"/>
          <w:spacing w:val="-34"/>
          <w:sz w:val="17"/>
          <w:szCs w:val="17"/>
        </w:rPr>
        <w:t xml:space="preserve"> </w:t>
      </w:r>
      <w:r>
        <w:rPr>
          <w:rFonts w:ascii="宋体" w:hAnsi="宋体" w:eastAsia="宋体" w:cs="宋体"/>
          <w:spacing w:val="31"/>
          <w:sz w:val="17"/>
          <w:szCs w:val="17"/>
        </w:rPr>
        <w:t>。</w:t>
      </w:r>
    </w:p>
    <w:p w14:paraId="03681F8A">
      <w:pPr>
        <w:spacing w:before="37" w:line="184" w:lineRule="auto"/>
        <w:ind w:left="429"/>
        <w:rPr>
          <w:rFonts w:ascii="宋体" w:hAnsi="宋体" w:eastAsia="宋体" w:cs="宋体"/>
          <w:sz w:val="21"/>
          <w:szCs w:val="21"/>
        </w:rPr>
      </w:pPr>
      <w:r>
        <w:rPr>
          <w:rFonts w:ascii="宋体" w:hAnsi="宋体" w:eastAsia="宋体" w:cs="宋体"/>
          <w:spacing w:val="5"/>
          <w:sz w:val="21"/>
          <w:szCs w:val="21"/>
        </w:rPr>
        <w:t>1978年由</w:t>
      </w:r>
      <w:r>
        <w:rPr>
          <w:rFonts w:ascii="Times New Roman" w:hAnsi="Times New Roman" w:eastAsia="Times New Roman" w:cs="Times New Roman"/>
          <w:sz w:val="21"/>
          <w:szCs w:val="21"/>
        </w:rPr>
        <w:t>WHO</w:t>
      </w:r>
      <w:r>
        <w:rPr>
          <w:rFonts w:ascii="Times New Roman" w:hAnsi="Times New Roman" w:eastAsia="Times New Roman" w:cs="Times New Roman"/>
          <w:spacing w:val="5"/>
          <w:sz w:val="21"/>
          <w:szCs w:val="21"/>
        </w:rPr>
        <w:t xml:space="preserve"> </w:t>
      </w:r>
      <w:r>
        <w:rPr>
          <w:rFonts w:ascii="宋体" w:hAnsi="宋体" w:eastAsia="宋体" w:cs="宋体"/>
          <w:spacing w:val="5"/>
          <w:sz w:val="21"/>
          <w:szCs w:val="21"/>
        </w:rPr>
        <w:t>和联合国儿童基金会在阿拉木图组</w:t>
      </w:r>
      <w:r>
        <w:rPr>
          <w:rFonts w:ascii="宋体" w:hAnsi="宋体" w:eastAsia="宋体" w:cs="宋体"/>
          <w:spacing w:val="4"/>
          <w:sz w:val="21"/>
          <w:szCs w:val="21"/>
        </w:rPr>
        <w:t>织召开的国际初级卫生保健会议上通过了</w:t>
      </w:r>
    </w:p>
    <w:p w14:paraId="184DD88E">
      <w:pPr>
        <w:spacing w:line="184" w:lineRule="auto"/>
        <w:rPr>
          <w:rFonts w:ascii="宋体" w:hAnsi="宋体" w:eastAsia="宋体" w:cs="宋体"/>
          <w:sz w:val="21"/>
          <w:szCs w:val="21"/>
        </w:rPr>
        <w:sectPr>
          <w:type w:val="continuous"/>
          <w:pgSz w:w="11900" w:h="16820"/>
          <w:pgMar w:top="400" w:right="904" w:bottom="808" w:left="1450" w:header="0" w:footer="655" w:gutter="0"/>
          <w:cols w:equalWidth="0" w:num="1">
            <w:col w:w="9546"/>
          </w:cols>
        </w:sectPr>
      </w:pPr>
    </w:p>
    <w:p w14:paraId="5FE5844D">
      <w:pPr>
        <w:pStyle w:val="2"/>
        <w:spacing w:before="136" w:line="221" w:lineRule="auto"/>
        <w:ind w:left="669"/>
        <w:rPr>
          <w:sz w:val="20"/>
          <w:szCs w:val="20"/>
        </w:rPr>
      </w:pPr>
      <w:r>
        <w:rPr>
          <w:spacing w:val="-16"/>
          <w:sz w:val="20"/>
          <w:szCs w:val="20"/>
        </w:rPr>
        <w:t>第九章 预防策略</w:t>
      </w:r>
    </w:p>
    <w:p w14:paraId="0DBB2DDD">
      <w:pPr>
        <w:spacing w:line="276" w:lineRule="auto"/>
        <w:rPr>
          <w:rFonts w:ascii="Arial"/>
          <w:sz w:val="21"/>
        </w:rPr>
      </w:pPr>
    </w:p>
    <w:p w14:paraId="447E1C30">
      <w:pPr>
        <w:spacing w:line="276" w:lineRule="auto"/>
        <w:rPr>
          <w:rFonts w:ascii="Arial"/>
          <w:sz w:val="21"/>
        </w:rPr>
      </w:pPr>
    </w:p>
    <w:p w14:paraId="24637306">
      <w:pPr>
        <w:spacing w:before="65" w:line="348" w:lineRule="auto"/>
        <w:ind w:left="669" w:right="92" w:hanging="100"/>
        <w:jc w:val="both"/>
        <w:rPr>
          <w:rFonts w:ascii="宋体" w:hAnsi="宋体" w:eastAsia="宋体" w:cs="宋体"/>
          <w:sz w:val="20"/>
          <w:szCs w:val="20"/>
        </w:rPr>
      </w:pPr>
      <w:r>
        <w:rPr>
          <w:rFonts w:ascii="宋体" w:hAnsi="宋体" w:eastAsia="宋体" w:cs="宋体"/>
          <w:sz w:val="20"/>
          <w:szCs w:val="20"/>
        </w:rPr>
        <w:t>《阿拉木图宣言》,正式提出了“初级卫生保健”</w:t>
      </w:r>
      <w:r>
        <w:rPr>
          <w:rFonts w:ascii="Times New Roman" w:hAnsi="Times New Roman" w:eastAsia="Times New Roman" w:cs="Times New Roman"/>
          <w:sz w:val="20"/>
          <w:szCs w:val="20"/>
        </w:rPr>
        <w:t>(primary   health   care,PHC)</w:t>
      </w:r>
      <w:r>
        <w:rPr>
          <w:rFonts w:ascii="宋体" w:hAnsi="宋体" w:eastAsia="宋体" w:cs="宋体"/>
          <w:sz w:val="20"/>
          <w:szCs w:val="20"/>
        </w:rPr>
        <w:t xml:space="preserve">(也可译作基础医疗卫生服 </w:t>
      </w:r>
      <w:r>
        <w:rPr>
          <w:rFonts w:ascii="宋体" w:hAnsi="宋体" w:eastAsia="宋体" w:cs="宋体"/>
          <w:spacing w:val="7"/>
          <w:sz w:val="20"/>
          <w:szCs w:val="20"/>
        </w:rPr>
        <w:t>务)这个概念，并明确指出初级卫生保健是实现“2000年人人享有健康”这个战</w:t>
      </w:r>
      <w:r>
        <w:rPr>
          <w:rFonts w:ascii="宋体" w:hAnsi="宋体" w:eastAsia="宋体" w:cs="宋体"/>
          <w:spacing w:val="6"/>
          <w:sz w:val="20"/>
          <w:szCs w:val="20"/>
        </w:rPr>
        <w:t>略目标的基本策略</w:t>
      </w:r>
      <w:r>
        <w:rPr>
          <w:rFonts w:ascii="宋体" w:hAnsi="宋体" w:eastAsia="宋体" w:cs="宋体"/>
          <w:sz w:val="20"/>
          <w:szCs w:val="20"/>
        </w:rPr>
        <w:t xml:space="preserve"> </w:t>
      </w:r>
      <w:r>
        <w:rPr>
          <w:rFonts w:ascii="宋体" w:hAnsi="宋体" w:eastAsia="宋体" w:cs="宋体"/>
          <w:spacing w:val="5"/>
          <w:sz w:val="20"/>
          <w:szCs w:val="20"/>
        </w:rPr>
        <w:t>和关键途径。这次会议被公认为现代公共卫生的里程碑。</w:t>
      </w:r>
    </w:p>
    <w:p w14:paraId="20C79EAF">
      <w:pPr>
        <w:spacing w:before="3" w:line="342" w:lineRule="auto"/>
        <w:ind w:left="669" w:firstLine="419"/>
        <w:jc w:val="both"/>
        <w:rPr>
          <w:rFonts w:ascii="宋体" w:hAnsi="宋体" w:eastAsia="宋体" w:cs="宋体"/>
          <w:sz w:val="20"/>
          <w:szCs w:val="20"/>
        </w:rPr>
      </w:pPr>
      <w:r>
        <w:rPr>
          <w:rFonts w:ascii="宋体" w:hAnsi="宋体" w:eastAsia="宋体" w:cs="宋体"/>
          <w:spacing w:val="10"/>
          <w:sz w:val="20"/>
          <w:szCs w:val="20"/>
        </w:rPr>
        <w:t>初级卫生保健指的是那些国家和地区能够负担得起的基本的卫生保健服务，这些服务采用的</w:t>
      </w:r>
      <w:r>
        <w:rPr>
          <w:rFonts w:ascii="宋体" w:hAnsi="宋体" w:eastAsia="宋体" w:cs="宋体"/>
          <w:spacing w:val="7"/>
          <w:sz w:val="20"/>
          <w:szCs w:val="20"/>
        </w:rPr>
        <w:t xml:space="preserve">  </w:t>
      </w:r>
      <w:r>
        <w:rPr>
          <w:rFonts w:ascii="宋体" w:hAnsi="宋体" w:eastAsia="宋体" w:cs="宋体"/>
          <w:spacing w:val="10"/>
          <w:sz w:val="20"/>
          <w:szCs w:val="20"/>
        </w:rPr>
        <w:t>方法和技术是可行、科学上合理且能为社会所接受的。社区中的每个个体和家庭都能获得这些基</w:t>
      </w:r>
      <w:r>
        <w:rPr>
          <w:rFonts w:ascii="宋体" w:hAnsi="宋体" w:eastAsia="宋体" w:cs="宋体"/>
          <w:spacing w:val="3"/>
          <w:sz w:val="20"/>
          <w:szCs w:val="20"/>
        </w:rPr>
        <w:t xml:space="preserve">  </w:t>
      </w:r>
      <w:r>
        <w:rPr>
          <w:rFonts w:ascii="宋体" w:hAnsi="宋体" w:eastAsia="宋体" w:cs="宋体"/>
          <w:spacing w:val="7"/>
          <w:sz w:val="20"/>
          <w:szCs w:val="20"/>
        </w:rPr>
        <w:t>本的服务。针对不同国家和地区中的主要卫生问题，初级卫生保健系统应能提供相应的健康促进、</w:t>
      </w:r>
      <w:r>
        <w:rPr>
          <w:rFonts w:ascii="宋体" w:hAnsi="宋体" w:eastAsia="宋体" w:cs="宋体"/>
          <w:spacing w:val="18"/>
          <w:sz w:val="20"/>
          <w:szCs w:val="20"/>
        </w:rPr>
        <w:t xml:space="preserve"> </w:t>
      </w:r>
      <w:r>
        <w:rPr>
          <w:rFonts w:ascii="宋体" w:hAnsi="宋体" w:eastAsia="宋体" w:cs="宋体"/>
          <w:spacing w:val="-4"/>
          <w:sz w:val="20"/>
          <w:szCs w:val="20"/>
        </w:rPr>
        <w:t>疾病预防、诊断、治疗和康复服务。</w:t>
      </w:r>
    </w:p>
    <w:p w14:paraId="3BD6CACC">
      <w:pPr>
        <w:spacing w:before="35" w:line="343" w:lineRule="auto"/>
        <w:ind w:left="669" w:right="89" w:firstLine="419"/>
        <w:jc w:val="both"/>
        <w:rPr>
          <w:rFonts w:ascii="宋体" w:hAnsi="宋体" w:eastAsia="宋体" w:cs="宋体"/>
          <w:sz w:val="20"/>
          <w:szCs w:val="20"/>
        </w:rPr>
      </w:pPr>
      <w:r>
        <w:rPr>
          <w:rFonts w:ascii="宋体" w:hAnsi="宋体" w:eastAsia="宋体" w:cs="宋体"/>
          <w:spacing w:val="5"/>
          <w:sz w:val="20"/>
          <w:szCs w:val="20"/>
        </w:rPr>
        <w:t>1981年第34届世界卫生大会上通过了《2000年</w:t>
      </w:r>
      <w:r>
        <w:rPr>
          <w:rFonts w:ascii="宋体" w:hAnsi="宋体" w:eastAsia="宋体" w:cs="宋体"/>
          <w:spacing w:val="4"/>
          <w:sz w:val="20"/>
          <w:szCs w:val="20"/>
        </w:rPr>
        <w:t>人人享有健康的全球策略》。其中还增加了“使</w:t>
      </w:r>
      <w:r>
        <w:rPr>
          <w:rFonts w:ascii="宋体" w:hAnsi="宋体" w:eastAsia="宋体" w:cs="宋体"/>
          <w:sz w:val="20"/>
          <w:szCs w:val="20"/>
        </w:rPr>
        <w:t xml:space="preserve"> </w:t>
      </w:r>
      <w:r>
        <w:rPr>
          <w:rFonts w:ascii="宋体" w:hAnsi="宋体" w:eastAsia="宋体" w:cs="宋体"/>
          <w:spacing w:val="5"/>
          <w:sz w:val="20"/>
          <w:szCs w:val="20"/>
        </w:rPr>
        <w:t>用一切可能的方法，通过影响生活方式、控制物质和心理社会环境来预防和控制非传染性疾病和促</w:t>
      </w:r>
      <w:r>
        <w:rPr>
          <w:rFonts w:ascii="宋体" w:hAnsi="宋体" w:eastAsia="宋体" w:cs="宋体"/>
          <w:spacing w:val="12"/>
          <w:sz w:val="20"/>
          <w:szCs w:val="20"/>
        </w:rPr>
        <w:t xml:space="preserve"> </w:t>
      </w:r>
      <w:r>
        <w:rPr>
          <w:rFonts w:ascii="宋体" w:hAnsi="宋体" w:eastAsia="宋体" w:cs="宋体"/>
          <w:spacing w:val="-4"/>
          <w:sz w:val="20"/>
          <w:szCs w:val="20"/>
        </w:rPr>
        <w:t>进心理健康”的内容。</w:t>
      </w:r>
    </w:p>
    <w:p w14:paraId="242D22E1">
      <w:pPr>
        <w:spacing w:before="2" w:line="336" w:lineRule="auto"/>
        <w:ind w:left="669" w:right="91" w:firstLine="419"/>
        <w:rPr>
          <w:rFonts w:ascii="宋体" w:hAnsi="宋体" w:eastAsia="宋体" w:cs="宋体"/>
          <w:sz w:val="20"/>
          <w:szCs w:val="20"/>
        </w:rPr>
      </w:pPr>
      <w:r>
        <w:rPr>
          <w:rFonts w:ascii="宋体" w:hAnsi="宋体" w:eastAsia="宋体" w:cs="宋体"/>
          <w:spacing w:val="3"/>
          <w:sz w:val="20"/>
          <w:szCs w:val="20"/>
        </w:rPr>
        <w:t>1986年在加拿大渥太华召开了首届国际</w:t>
      </w:r>
      <w:r>
        <w:rPr>
          <w:rFonts w:ascii="宋体" w:hAnsi="宋体" w:eastAsia="宋体" w:cs="宋体"/>
          <w:spacing w:val="2"/>
          <w:sz w:val="20"/>
          <w:szCs w:val="20"/>
        </w:rPr>
        <w:t>健康促进大会，通过了《健康促进渥太华宪章》,正式提</w:t>
      </w:r>
      <w:r>
        <w:rPr>
          <w:rFonts w:ascii="宋体" w:hAnsi="宋体" w:eastAsia="宋体" w:cs="宋体"/>
          <w:sz w:val="20"/>
          <w:szCs w:val="20"/>
        </w:rPr>
        <w:t xml:space="preserve"> </w:t>
      </w:r>
      <w:r>
        <w:rPr>
          <w:rFonts w:ascii="宋体" w:hAnsi="宋体" w:eastAsia="宋体" w:cs="宋体"/>
          <w:spacing w:val="4"/>
          <w:sz w:val="20"/>
          <w:szCs w:val="20"/>
        </w:rPr>
        <w:t>出了健康促进的基本概念和理论，对于健康促进的发展具有里程碑意义。</w:t>
      </w:r>
    </w:p>
    <w:p w14:paraId="7049B057">
      <w:pPr>
        <w:pStyle w:val="2"/>
        <w:spacing w:before="191" w:line="221" w:lineRule="auto"/>
        <w:ind w:left="1093"/>
        <w:outlineLvl w:val="2"/>
        <w:rPr>
          <w:sz w:val="25"/>
          <w:szCs w:val="25"/>
        </w:rPr>
      </w:pPr>
      <w:bookmarkStart w:id="277" w:name="bookmark175"/>
      <w:bookmarkEnd w:id="277"/>
      <w:r>
        <w:rPr>
          <w:b/>
          <w:bCs/>
          <w:spacing w:val="-6"/>
          <w:sz w:val="25"/>
          <w:szCs w:val="25"/>
        </w:rPr>
        <w:t>二、我国预防为主卫生工作方针的发展</w:t>
      </w:r>
    </w:p>
    <w:p w14:paraId="30852EDB">
      <w:pPr>
        <w:spacing w:before="262" w:line="343" w:lineRule="auto"/>
        <w:ind w:left="669" w:right="90" w:firstLine="419"/>
        <w:jc w:val="both"/>
        <w:rPr>
          <w:rFonts w:ascii="宋体" w:hAnsi="宋体" w:eastAsia="宋体" w:cs="宋体"/>
          <w:sz w:val="20"/>
          <w:szCs w:val="20"/>
        </w:rPr>
      </w:pPr>
      <w:r>
        <w:rPr>
          <w:rFonts w:ascii="宋体" w:hAnsi="宋体" w:eastAsia="宋体" w:cs="宋体"/>
          <w:spacing w:val="-7"/>
          <w:sz w:val="20"/>
          <w:szCs w:val="20"/>
        </w:rPr>
        <w:t>我国朴素的预防医学思想起源很早。《黄帝内经》之《素问</w:t>
      </w:r>
      <w:r>
        <w:rPr>
          <w:rFonts w:ascii="宋体" w:hAnsi="宋体" w:eastAsia="宋体" w:cs="宋体"/>
          <w:spacing w:val="-18"/>
          <w:sz w:val="20"/>
          <w:szCs w:val="20"/>
        </w:rPr>
        <w:t xml:space="preserve"> </w:t>
      </w:r>
      <w:r>
        <w:rPr>
          <w:rFonts w:ascii="宋体" w:hAnsi="宋体" w:eastAsia="宋体" w:cs="宋体"/>
          <w:spacing w:val="-7"/>
          <w:sz w:val="20"/>
          <w:szCs w:val="20"/>
        </w:rPr>
        <w:t>·</w:t>
      </w:r>
      <w:r>
        <w:rPr>
          <w:rFonts w:ascii="宋体" w:hAnsi="宋体" w:eastAsia="宋体" w:cs="宋体"/>
          <w:spacing w:val="-74"/>
          <w:sz w:val="20"/>
          <w:szCs w:val="20"/>
        </w:rPr>
        <w:t xml:space="preserve"> </w:t>
      </w:r>
      <w:r>
        <w:rPr>
          <w:rFonts w:ascii="宋体" w:hAnsi="宋体" w:eastAsia="宋体" w:cs="宋体"/>
          <w:spacing w:val="-7"/>
          <w:sz w:val="20"/>
          <w:szCs w:val="20"/>
        </w:rPr>
        <w:t>四气调神大论》中这样描述：“是故</w:t>
      </w:r>
      <w:r>
        <w:rPr>
          <w:rFonts w:ascii="宋体" w:hAnsi="宋体" w:eastAsia="宋体" w:cs="宋体"/>
          <w:sz w:val="20"/>
          <w:szCs w:val="20"/>
        </w:rPr>
        <w:t xml:space="preserve"> </w:t>
      </w:r>
      <w:r>
        <w:rPr>
          <w:rFonts w:ascii="宋体" w:hAnsi="宋体" w:eastAsia="宋体" w:cs="宋体"/>
          <w:spacing w:val="1"/>
          <w:sz w:val="20"/>
          <w:szCs w:val="20"/>
        </w:rPr>
        <w:t>圣人不治已病治未病，不治已乱治未乱，此之谓也。夫病已成而后</w:t>
      </w:r>
      <w:r>
        <w:rPr>
          <w:rFonts w:ascii="宋体" w:hAnsi="宋体" w:eastAsia="宋体" w:cs="宋体"/>
          <w:sz w:val="20"/>
          <w:szCs w:val="20"/>
        </w:rPr>
        <w:t xml:space="preserve">药之，乱已成而后治之，譬犹渴而 </w:t>
      </w:r>
      <w:r>
        <w:rPr>
          <w:rFonts w:ascii="宋体" w:hAnsi="宋体" w:eastAsia="宋体" w:cs="宋体"/>
          <w:spacing w:val="-2"/>
          <w:sz w:val="20"/>
          <w:szCs w:val="20"/>
        </w:rPr>
        <w:t>穿井，斗而铸锥，不亦晚乎!”即不要等病了才来治病，要防患于未然，未雨绸缪，这是一种积极的预</w:t>
      </w:r>
      <w:r>
        <w:rPr>
          <w:rFonts w:ascii="宋体" w:hAnsi="宋体" w:eastAsia="宋体" w:cs="宋体"/>
          <w:spacing w:val="17"/>
          <w:sz w:val="20"/>
          <w:szCs w:val="20"/>
        </w:rPr>
        <w:t xml:space="preserve"> </w:t>
      </w:r>
      <w:r>
        <w:rPr>
          <w:rFonts w:ascii="宋体" w:hAnsi="宋体" w:eastAsia="宋体" w:cs="宋体"/>
          <w:spacing w:val="5"/>
          <w:sz w:val="20"/>
          <w:szCs w:val="20"/>
        </w:rPr>
        <w:t>防思想。在东晋时期，已有应用狂犬脑敷于被狂</w:t>
      </w:r>
      <w:r>
        <w:rPr>
          <w:rFonts w:ascii="宋体" w:hAnsi="宋体" w:eastAsia="宋体" w:cs="宋体"/>
          <w:spacing w:val="4"/>
          <w:sz w:val="20"/>
          <w:szCs w:val="20"/>
        </w:rPr>
        <w:t>犬咬伤的伤口来预防狂犬病的记载。</w:t>
      </w:r>
    </w:p>
    <w:p w14:paraId="5B959E12">
      <w:pPr>
        <w:spacing w:before="3" w:line="342" w:lineRule="auto"/>
        <w:ind w:left="669" w:right="19" w:firstLine="419"/>
        <w:jc w:val="both"/>
        <w:rPr>
          <w:rFonts w:ascii="宋体" w:hAnsi="宋体" w:eastAsia="宋体" w:cs="宋体"/>
          <w:sz w:val="20"/>
          <w:szCs w:val="20"/>
        </w:rPr>
      </w:pPr>
      <w:r>
        <w:rPr>
          <w:rFonts w:ascii="宋体" w:hAnsi="宋体" w:eastAsia="宋体" w:cs="宋体"/>
          <w:spacing w:val="9"/>
          <w:sz w:val="20"/>
          <w:szCs w:val="20"/>
        </w:rPr>
        <w:t>1932年至1937年间，我国著名的公共卫生学家陈志潜教授在晏阳初的密切配合下，在河北省</w:t>
      </w:r>
      <w:r>
        <w:rPr>
          <w:rFonts w:ascii="宋体" w:hAnsi="宋体" w:eastAsia="宋体" w:cs="宋体"/>
          <w:sz w:val="20"/>
          <w:szCs w:val="20"/>
        </w:rPr>
        <w:t xml:space="preserve">  </w:t>
      </w:r>
      <w:r>
        <w:rPr>
          <w:rFonts w:ascii="宋体" w:hAnsi="宋体" w:eastAsia="宋体" w:cs="宋体"/>
          <w:spacing w:val="12"/>
          <w:sz w:val="20"/>
          <w:szCs w:val="20"/>
        </w:rPr>
        <w:t>定县开展了一项农村卫生项目，目的是设计出一个对中国农民提供保健和现代医疗的</w:t>
      </w:r>
      <w:r>
        <w:rPr>
          <w:rFonts w:ascii="宋体" w:hAnsi="宋体" w:eastAsia="宋体" w:cs="宋体"/>
          <w:spacing w:val="11"/>
          <w:sz w:val="20"/>
          <w:szCs w:val="20"/>
        </w:rPr>
        <w:t>模式体系。</w:t>
      </w:r>
      <w:r>
        <w:rPr>
          <w:rFonts w:ascii="宋体" w:hAnsi="宋体" w:eastAsia="宋体" w:cs="宋体"/>
          <w:sz w:val="20"/>
          <w:szCs w:val="20"/>
        </w:rPr>
        <w:t xml:space="preserve"> </w:t>
      </w:r>
      <w:r>
        <w:rPr>
          <w:rFonts w:ascii="宋体" w:hAnsi="宋体" w:eastAsia="宋体" w:cs="宋体"/>
          <w:spacing w:val="5"/>
          <w:sz w:val="20"/>
          <w:szCs w:val="20"/>
        </w:rPr>
        <w:t>这个系统所要解决的是来自一个贫穷的、教育落后的、以农业为主的社会的问题。它关注的重点不</w:t>
      </w:r>
      <w:r>
        <w:rPr>
          <w:rFonts w:ascii="宋体" w:hAnsi="宋体" w:eastAsia="宋体" w:cs="宋体"/>
          <w:spacing w:val="14"/>
          <w:sz w:val="20"/>
          <w:szCs w:val="20"/>
        </w:rPr>
        <w:t xml:space="preserve"> </w:t>
      </w:r>
      <w:r>
        <w:rPr>
          <w:rFonts w:ascii="宋体" w:hAnsi="宋体" w:eastAsia="宋体" w:cs="宋体"/>
          <w:spacing w:val="5"/>
          <w:sz w:val="20"/>
          <w:szCs w:val="20"/>
        </w:rPr>
        <w:t>是个体的病人，而首先考虑的是经济落后的整个社区。项目从现场调查开始，搜集当地健康与社会</w:t>
      </w:r>
      <w:r>
        <w:rPr>
          <w:rFonts w:ascii="宋体" w:hAnsi="宋体" w:eastAsia="宋体" w:cs="宋体"/>
          <w:spacing w:val="12"/>
          <w:sz w:val="20"/>
          <w:szCs w:val="20"/>
        </w:rPr>
        <w:t xml:space="preserve"> </w:t>
      </w:r>
      <w:r>
        <w:rPr>
          <w:rFonts w:ascii="宋体" w:hAnsi="宋体" w:eastAsia="宋体" w:cs="宋体"/>
          <w:spacing w:val="10"/>
          <w:sz w:val="20"/>
          <w:szCs w:val="20"/>
        </w:rPr>
        <w:t>经济状况的基本信息作为制定卫生规划的基础，这种做法是没有先例的。然后充分考虑了当地经</w:t>
      </w:r>
      <w:r>
        <w:rPr>
          <w:rFonts w:ascii="宋体" w:hAnsi="宋体" w:eastAsia="宋体" w:cs="宋体"/>
          <w:spacing w:val="7"/>
          <w:sz w:val="20"/>
          <w:szCs w:val="20"/>
        </w:rPr>
        <w:t xml:space="preserve"> </w:t>
      </w:r>
      <w:r>
        <w:rPr>
          <w:rFonts w:ascii="宋体" w:hAnsi="宋体" w:eastAsia="宋体" w:cs="宋体"/>
          <w:spacing w:val="2"/>
          <w:sz w:val="20"/>
          <w:szCs w:val="20"/>
        </w:rPr>
        <w:t>济贫困的现状，建立起一个综合的以村为基础的县、乡、村三级卫生保健服务体系。现场工作包括：</w:t>
      </w:r>
      <w:r>
        <w:rPr>
          <w:rFonts w:ascii="宋体" w:hAnsi="宋体" w:eastAsia="宋体" w:cs="宋体"/>
          <w:spacing w:val="11"/>
          <w:sz w:val="20"/>
          <w:szCs w:val="20"/>
        </w:rPr>
        <w:t xml:space="preserve"> </w:t>
      </w:r>
      <w:r>
        <w:rPr>
          <w:rFonts w:ascii="宋体" w:hAnsi="宋体" w:eastAsia="宋体" w:cs="宋体"/>
          <w:spacing w:val="5"/>
          <w:sz w:val="20"/>
          <w:szCs w:val="20"/>
        </w:rPr>
        <w:t>建立了出生和死亡的统计登记制度；提供医学救助；通过水井改建和消毒处理，供给卫生合格的饮</w:t>
      </w:r>
      <w:r>
        <w:rPr>
          <w:rFonts w:ascii="宋体" w:hAnsi="宋体" w:eastAsia="宋体" w:cs="宋体"/>
          <w:spacing w:val="12"/>
          <w:sz w:val="20"/>
          <w:szCs w:val="20"/>
        </w:rPr>
        <w:t xml:space="preserve"> </w:t>
      </w:r>
      <w:r>
        <w:rPr>
          <w:rFonts w:ascii="宋体" w:hAnsi="宋体" w:eastAsia="宋体" w:cs="宋体"/>
          <w:spacing w:val="1"/>
          <w:sz w:val="20"/>
          <w:szCs w:val="20"/>
        </w:rPr>
        <w:t>用水；修建公共厕所，改善环境卫生；建立公共浴室，改善个</w:t>
      </w:r>
      <w:r>
        <w:rPr>
          <w:rFonts w:ascii="宋体" w:hAnsi="宋体" w:eastAsia="宋体" w:cs="宋体"/>
          <w:sz w:val="20"/>
          <w:szCs w:val="20"/>
        </w:rPr>
        <w:t xml:space="preserve">人卫生；针对传染病开展预防接种；针 </w:t>
      </w:r>
      <w:r>
        <w:rPr>
          <w:rFonts w:ascii="宋体" w:hAnsi="宋体" w:eastAsia="宋体" w:cs="宋体"/>
          <w:spacing w:val="11"/>
          <w:sz w:val="20"/>
          <w:szCs w:val="20"/>
        </w:rPr>
        <w:t>对全部小学生及不同的成年人群提供健康教育；提供计划生育</w:t>
      </w:r>
      <w:r>
        <w:rPr>
          <w:rFonts w:ascii="宋体" w:hAnsi="宋体" w:eastAsia="宋体" w:cs="宋体"/>
          <w:spacing w:val="10"/>
          <w:sz w:val="20"/>
          <w:szCs w:val="20"/>
        </w:rPr>
        <w:t>服务等。定县的经验和卫生保健服</w:t>
      </w:r>
      <w:r>
        <w:rPr>
          <w:rFonts w:ascii="宋体" w:hAnsi="宋体" w:eastAsia="宋体" w:cs="宋体"/>
          <w:sz w:val="20"/>
          <w:szCs w:val="20"/>
        </w:rPr>
        <w:t xml:space="preserve"> </w:t>
      </w:r>
      <w:r>
        <w:rPr>
          <w:rFonts w:ascii="宋体" w:hAnsi="宋体" w:eastAsia="宋体" w:cs="宋体"/>
          <w:spacing w:val="10"/>
          <w:sz w:val="20"/>
          <w:szCs w:val="20"/>
        </w:rPr>
        <w:t>务体系在我国是史无前例的，它为中国乃至世界的卫生工作留下了一笔宝贵的财富。定县实践的</w:t>
      </w:r>
      <w:r>
        <w:rPr>
          <w:rFonts w:ascii="宋体" w:hAnsi="宋体" w:eastAsia="宋体" w:cs="宋体"/>
          <w:spacing w:val="14"/>
          <w:sz w:val="20"/>
          <w:szCs w:val="20"/>
        </w:rPr>
        <w:t xml:space="preserve"> </w:t>
      </w:r>
      <w:r>
        <w:rPr>
          <w:rFonts w:ascii="宋体" w:hAnsi="宋体" w:eastAsia="宋体" w:cs="宋体"/>
          <w:spacing w:val="5"/>
          <w:sz w:val="20"/>
          <w:szCs w:val="20"/>
        </w:rPr>
        <w:t>核心理念与健康促进理论非常类似，但是却早于后者半个世纪付诸实践。</w:t>
      </w:r>
    </w:p>
    <w:p w14:paraId="56CB8600">
      <w:pPr>
        <w:spacing w:before="25" w:line="342" w:lineRule="auto"/>
        <w:ind w:left="669" w:firstLine="419"/>
        <w:jc w:val="both"/>
        <w:rPr>
          <w:rFonts w:ascii="宋体" w:hAnsi="宋体" w:eastAsia="宋体" w:cs="宋体"/>
          <w:sz w:val="20"/>
          <w:szCs w:val="20"/>
        </w:rPr>
      </w:pPr>
      <w:r>
        <w:rPr>
          <w:rFonts w:ascii="宋体" w:hAnsi="宋体" w:eastAsia="宋体" w:cs="宋体"/>
          <w:spacing w:val="9"/>
          <w:sz w:val="20"/>
          <w:szCs w:val="20"/>
        </w:rPr>
        <w:t>新中国成立后，预防为主一贯作为新中国卫生工作的方针之一。1949年10月，军委卫生部召</w:t>
      </w:r>
      <w:r>
        <w:rPr>
          <w:rFonts w:ascii="宋体" w:hAnsi="宋体" w:eastAsia="宋体" w:cs="宋体"/>
          <w:spacing w:val="5"/>
          <w:sz w:val="20"/>
          <w:szCs w:val="20"/>
        </w:rPr>
        <w:t xml:space="preserve">  开了全国卫生行政会议，在研究全国卫生工作建设总方针时，根据革命战争不同阶段曾提出的“对</w:t>
      </w:r>
      <w:r>
        <w:rPr>
          <w:rFonts w:ascii="宋体" w:hAnsi="宋体" w:eastAsia="宋体" w:cs="宋体"/>
          <w:spacing w:val="6"/>
          <w:sz w:val="20"/>
          <w:szCs w:val="20"/>
        </w:rPr>
        <w:t xml:space="preserve">  </w:t>
      </w:r>
      <w:r>
        <w:rPr>
          <w:rFonts w:ascii="宋体" w:hAnsi="宋体" w:eastAsia="宋体" w:cs="宋体"/>
          <w:spacing w:val="-4"/>
          <w:sz w:val="20"/>
          <w:szCs w:val="20"/>
        </w:rPr>
        <w:t>于疾病着重预防”“预防在先”“预防第一”等指导思想，确定了“预防为主”的卫生工作方针。1950</w:t>
      </w:r>
      <w:r>
        <w:rPr>
          <w:rFonts w:ascii="宋体" w:hAnsi="宋体" w:eastAsia="宋体" w:cs="宋体"/>
          <w:spacing w:val="8"/>
          <w:sz w:val="20"/>
          <w:szCs w:val="20"/>
        </w:rPr>
        <w:t xml:space="preserve">  </w:t>
      </w:r>
      <w:r>
        <w:rPr>
          <w:rFonts w:ascii="宋体" w:hAnsi="宋体" w:eastAsia="宋体" w:cs="宋体"/>
          <w:spacing w:val="3"/>
          <w:sz w:val="20"/>
          <w:szCs w:val="20"/>
        </w:rPr>
        <w:t>年第一届全国卫生会议上确定了“面向工农兵、预防为主、团结中西</w:t>
      </w:r>
      <w:r>
        <w:rPr>
          <w:rFonts w:ascii="宋体" w:hAnsi="宋体" w:eastAsia="宋体" w:cs="宋体"/>
          <w:spacing w:val="2"/>
          <w:sz w:val="20"/>
          <w:szCs w:val="20"/>
        </w:rPr>
        <w:t>医”为新中国卫生工作的方针。</w:t>
      </w:r>
      <w:r>
        <w:rPr>
          <w:rFonts w:ascii="宋体" w:hAnsi="宋体" w:eastAsia="宋体" w:cs="宋体"/>
          <w:sz w:val="20"/>
          <w:szCs w:val="20"/>
        </w:rPr>
        <w:t xml:space="preserve"> </w:t>
      </w:r>
      <w:r>
        <w:rPr>
          <w:rFonts w:ascii="宋体" w:hAnsi="宋体" w:eastAsia="宋体" w:cs="宋体"/>
          <w:spacing w:val="7"/>
          <w:sz w:val="20"/>
          <w:szCs w:val="20"/>
        </w:rPr>
        <w:t>1952年第二届全国卫生会议上又增加了“卫生工作与群众运动相结合”,成为新中国卫生工作四大</w:t>
      </w:r>
      <w:r>
        <w:rPr>
          <w:rFonts w:ascii="宋体" w:hAnsi="宋体" w:eastAsia="宋体" w:cs="宋体"/>
          <w:spacing w:val="6"/>
          <w:sz w:val="20"/>
          <w:szCs w:val="20"/>
        </w:rPr>
        <w:t xml:space="preserve">  </w:t>
      </w:r>
      <w:r>
        <w:rPr>
          <w:rFonts w:ascii="宋体" w:hAnsi="宋体" w:eastAsia="宋体" w:cs="宋体"/>
          <w:spacing w:val="5"/>
          <w:sz w:val="20"/>
          <w:szCs w:val="20"/>
        </w:rPr>
        <w:t>方针。鉴于新中国成立初期落后的卫生状况，党从经济建设和国防建设的角度出发，发起爱国卫生</w:t>
      </w:r>
      <w:r>
        <w:rPr>
          <w:rFonts w:ascii="宋体" w:hAnsi="宋体" w:eastAsia="宋体" w:cs="宋体"/>
          <w:spacing w:val="6"/>
          <w:sz w:val="20"/>
          <w:szCs w:val="20"/>
        </w:rPr>
        <w:t xml:space="preserve">  </w:t>
      </w:r>
      <w:r>
        <w:rPr>
          <w:rFonts w:ascii="宋体" w:hAnsi="宋体" w:eastAsia="宋体" w:cs="宋体"/>
          <w:spacing w:val="-4"/>
          <w:sz w:val="20"/>
          <w:szCs w:val="20"/>
        </w:rPr>
        <w:t>运动，要求发动群众，坚持标本兼治，以治本为主。灭鼠、灭蝇、灭蚊、灭蚤及消灭其他病媒昆虫，此</w:t>
      </w:r>
      <w:r>
        <w:rPr>
          <w:rFonts w:ascii="宋体" w:hAnsi="宋体" w:eastAsia="宋体" w:cs="宋体"/>
          <w:spacing w:val="3"/>
          <w:sz w:val="20"/>
          <w:szCs w:val="20"/>
        </w:rPr>
        <w:t xml:space="preserve">  为治标。在治本方面，以改水、改厕、管粪为重点。同时，广泛开展</w:t>
      </w:r>
      <w:r>
        <w:rPr>
          <w:rFonts w:ascii="宋体" w:hAnsi="宋体" w:eastAsia="宋体" w:cs="宋体"/>
          <w:spacing w:val="2"/>
          <w:sz w:val="20"/>
          <w:szCs w:val="20"/>
        </w:rPr>
        <w:t>卫生宣传教育，加强卫生管理、</w:t>
      </w:r>
      <w:r>
        <w:rPr>
          <w:rFonts w:ascii="宋体" w:hAnsi="宋体" w:eastAsia="宋体" w:cs="宋体"/>
          <w:sz w:val="20"/>
          <w:szCs w:val="20"/>
        </w:rPr>
        <w:t xml:space="preserve"> </w:t>
      </w:r>
      <w:r>
        <w:rPr>
          <w:rFonts w:ascii="宋体" w:hAnsi="宋体" w:eastAsia="宋体" w:cs="宋体"/>
          <w:sz w:val="20"/>
          <w:szCs w:val="20"/>
          <w:u w:val="single" w:color="auto"/>
        </w:rPr>
        <w:t>卫生</w:t>
      </w:r>
      <w:r>
        <w:rPr>
          <w:rFonts w:ascii="宋体" w:hAnsi="宋体" w:eastAsia="宋体" w:cs="宋体"/>
          <w:sz w:val="20"/>
          <w:szCs w:val="20"/>
        </w:rPr>
        <w:t>监督。很快，鼠疫、霍乱等烈性传染病的流行得以控制。爱国卫生运动是“政府主导、多部门协</w:t>
      </w:r>
      <w:r>
        <w:rPr>
          <w:rFonts w:ascii="宋体" w:hAnsi="宋体" w:eastAsia="宋体" w:cs="宋体"/>
          <w:spacing w:val="5"/>
          <w:sz w:val="20"/>
          <w:szCs w:val="20"/>
        </w:rPr>
        <w:t xml:space="preserve">  </w:t>
      </w:r>
      <w:r>
        <w:rPr>
          <w:rFonts w:ascii="宋体" w:hAnsi="宋体" w:eastAsia="宋体" w:cs="宋体"/>
          <w:spacing w:val="6"/>
          <w:sz w:val="20"/>
          <w:szCs w:val="20"/>
        </w:rPr>
        <w:t>作、全社会参与”解决卫生问题的独具中国特色的公共</w:t>
      </w:r>
      <w:r>
        <w:rPr>
          <w:rFonts w:ascii="宋体" w:hAnsi="宋体" w:eastAsia="宋体" w:cs="宋体"/>
          <w:spacing w:val="5"/>
          <w:sz w:val="20"/>
          <w:szCs w:val="20"/>
          <w:u w:val="single" w:color="auto"/>
        </w:rPr>
        <w:t>卫生</w:t>
      </w:r>
      <w:r>
        <w:rPr>
          <w:rFonts w:ascii="宋体" w:hAnsi="宋体" w:eastAsia="宋体" w:cs="宋体"/>
          <w:spacing w:val="5"/>
          <w:sz w:val="20"/>
          <w:szCs w:val="20"/>
        </w:rPr>
        <w:t>实践创举。这次运动也初步创出了中国</w:t>
      </w:r>
    </w:p>
    <w:p w14:paraId="44C3BAC9">
      <w:pPr>
        <w:spacing w:line="342" w:lineRule="auto"/>
        <w:rPr>
          <w:rFonts w:ascii="宋体" w:hAnsi="宋体" w:eastAsia="宋体" w:cs="宋体"/>
          <w:sz w:val="20"/>
          <w:szCs w:val="20"/>
        </w:rPr>
        <w:sectPr>
          <w:footerReference r:id="rId191" w:type="default"/>
          <w:pgSz w:w="11900" w:h="16820"/>
          <w:pgMar w:top="400" w:right="1479" w:bottom="807" w:left="830" w:header="0" w:footer="626" w:gutter="0"/>
          <w:cols w:space="720" w:num="1"/>
        </w:sectPr>
      </w:pPr>
    </w:p>
    <w:p w14:paraId="165008CB">
      <w:pPr>
        <w:pStyle w:val="2"/>
        <w:spacing w:before="196" w:line="221" w:lineRule="auto"/>
        <w:ind w:left="7729"/>
        <w:rPr>
          <w:sz w:val="20"/>
          <w:szCs w:val="20"/>
        </w:rPr>
      </w:pPr>
      <w:bookmarkStart w:id="278" w:name="bookmark496"/>
      <w:bookmarkEnd w:id="278"/>
      <w:r>
        <w:rPr>
          <w:spacing w:val="-5"/>
          <w:sz w:val="20"/>
          <w:szCs w:val="20"/>
        </w:rPr>
        <w:t>第九章预防策略</w:t>
      </w:r>
    </w:p>
    <w:p w14:paraId="30028E58">
      <w:pPr>
        <w:spacing w:line="287" w:lineRule="auto"/>
        <w:rPr>
          <w:rFonts w:ascii="Arial"/>
          <w:sz w:val="21"/>
        </w:rPr>
      </w:pPr>
    </w:p>
    <w:p w14:paraId="45A302F7">
      <w:pPr>
        <w:spacing w:line="287" w:lineRule="auto"/>
        <w:rPr>
          <w:rFonts w:ascii="Arial"/>
          <w:sz w:val="21"/>
        </w:rPr>
      </w:pPr>
    </w:p>
    <w:p w14:paraId="2DA7E859">
      <w:pPr>
        <w:spacing w:before="65" w:line="220" w:lineRule="auto"/>
        <w:ind w:left="100"/>
        <w:rPr>
          <w:rFonts w:ascii="宋体" w:hAnsi="宋体" w:eastAsia="宋体" w:cs="宋体"/>
          <w:sz w:val="20"/>
          <w:szCs w:val="20"/>
        </w:rPr>
      </w:pPr>
      <w:r>
        <w:rPr>
          <w:rFonts w:ascii="宋体" w:hAnsi="宋体" w:eastAsia="宋体" w:cs="宋体"/>
          <w:spacing w:val="13"/>
          <w:sz w:val="20"/>
          <w:szCs w:val="20"/>
        </w:rPr>
        <w:t>式的卫生工作方法。</w:t>
      </w:r>
    </w:p>
    <w:p w14:paraId="376C4EFD">
      <w:pPr>
        <w:spacing w:before="131" w:line="341" w:lineRule="auto"/>
        <w:ind w:left="99" w:right="644" w:firstLine="429"/>
        <w:jc w:val="both"/>
        <w:rPr>
          <w:rFonts w:ascii="宋体" w:hAnsi="宋体" w:eastAsia="宋体" w:cs="宋体"/>
          <w:sz w:val="20"/>
          <w:szCs w:val="20"/>
        </w:rPr>
      </w:pPr>
      <w:r>
        <w:rPr>
          <w:rFonts w:ascii="宋体" w:hAnsi="宋体" w:eastAsia="宋体" w:cs="宋体"/>
          <w:spacing w:val="13"/>
          <w:sz w:val="20"/>
          <w:szCs w:val="20"/>
        </w:rPr>
        <w:t>1991年第七届全国人民代表大会第四次会议通过的《中华人民共和国国民经济和社会发展十</w:t>
      </w:r>
      <w:r>
        <w:rPr>
          <w:rFonts w:ascii="宋体" w:hAnsi="宋体" w:eastAsia="宋体" w:cs="宋体"/>
          <w:spacing w:val="12"/>
          <w:sz w:val="20"/>
          <w:szCs w:val="20"/>
        </w:rPr>
        <w:t xml:space="preserve"> </w:t>
      </w:r>
      <w:r>
        <w:rPr>
          <w:rFonts w:ascii="宋体" w:hAnsi="宋体" w:eastAsia="宋体" w:cs="宋体"/>
          <w:spacing w:val="4"/>
          <w:sz w:val="20"/>
          <w:szCs w:val="20"/>
        </w:rPr>
        <w:t>年规划和第八个五年计划纲要》中，再次确立了我国新时期</w:t>
      </w:r>
      <w:r>
        <w:rPr>
          <w:rFonts w:ascii="宋体" w:hAnsi="宋体" w:eastAsia="宋体" w:cs="宋体"/>
          <w:spacing w:val="4"/>
          <w:sz w:val="20"/>
          <w:szCs w:val="20"/>
          <w:u w:val="single" w:color="auto"/>
        </w:rPr>
        <w:t>卫生工</w:t>
      </w:r>
      <w:r>
        <w:rPr>
          <w:rFonts w:ascii="宋体" w:hAnsi="宋体" w:eastAsia="宋体" w:cs="宋体"/>
          <w:spacing w:val="4"/>
          <w:sz w:val="20"/>
          <w:szCs w:val="20"/>
        </w:rPr>
        <w:t>作方针为“预防为主</w:t>
      </w:r>
      <w:r>
        <w:rPr>
          <w:rFonts w:ascii="宋体" w:hAnsi="宋体" w:eastAsia="宋体" w:cs="宋体"/>
          <w:spacing w:val="3"/>
          <w:sz w:val="20"/>
          <w:szCs w:val="20"/>
        </w:rPr>
        <w:t>、依靠科技进</w:t>
      </w:r>
      <w:r>
        <w:rPr>
          <w:rFonts w:ascii="宋体" w:hAnsi="宋体" w:eastAsia="宋体" w:cs="宋体"/>
          <w:sz w:val="20"/>
          <w:szCs w:val="20"/>
        </w:rPr>
        <w:t xml:space="preserve"> </w:t>
      </w:r>
      <w:r>
        <w:rPr>
          <w:rFonts w:ascii="宋体" w:hAnsi="宋体" w:eastAsia="宋体" w:cs="宋体"/>
          <w:spacing w:val="6"/>
          <w:sz w:val="20"/>
          <w:szCs w:val="20"/>
        </w:rPr>
        <w:t>步、动员全社会参与、中西医并重、为人民健康服务”,同时把医疗卫生工作的重点放在农村。1997</w:t>
      </w:r>
      <w:r>
        <w:rPr>
          <w:rFonts w:ascii="宋体" w:hAnsi="宋体" w:eastAsia="宋体" w:cs="宋体"/>
          <w:spacing w:val="15"/>
          <w:sz w:val="20"/>
          <w:szCs w:val="20"/>
        </w:rPr>
        <w:t xml:space="preserve"> </w:t>
      </w:r>
      <w:r>
        <w:rPr>
          <w:rFonts w:ascii="宋体" w:hAnsi="宋体" w:eastAsia="宋体" w:cs="宋体"/>
          <w:spacing w:val="4"/>
          <w:sz w:val="20"/>
          <w:szCs w:val="20"/>
        </w:rPr>
        <w:t>年发布的《中共中央、国务院关于卫生改革与发展的决定》提出新时期卫生工作的方针为：“以农村</w:t>
      </w:r>
      <w:r>
        <w:rPr>
          <w:rFonts w:ascii="宋体" w:hAnsi="宋体" w:eastAsia="宋体" w:cs="宋体"/>
          <w:spacing w:val="12"/>
          <w:sz w:val="20"/>
          <w:szCs w:val="20"/>
        </w:rPr>
        <w:t xml:space="preserve"> </w:t>
      </w:r>
      <w:r>
        <w:rPr>
          <w:rFonts w:ascii="宋体" w:hAnsi="宋体" w:eastAsia="宋体" w:cs="宋体"/>
          <w:spacing w:val="4"/>
          <w:sz w:val="20"/>
          <w:szCs w:val="20"/>
        </w:rPr>
        <w:t>为重点，预防为主，中西医并重，依靠科技与教育，动员全社会参与，为人民健康服务，为社会主义</w:t>
      </w:r>
      <w:r>
        <w:rPr>
          <w:rFonts w:ascii="宋体" w:hAnsi="宋体" w:eastAsia="宋体" w:cs="宋体"/>
          <w:spacing w:val="13"/>
          <w:sz w:val="20"/>
          <w:szCs w:val="20"/>
        </w:rPr>
        <w:t xml:space="preserve"> </w:t>
      </w:r>
      <w:r>
        <w:rPr>
          <w:rFonts w:ascii="宋体" w:hAnsi="宋体" w:eastAsia="宋体" w:cs="宋体"/>
          <w:spacing w:val="10"/>
          <w:sz w:val="20"/>
          <w:szCs w:val="20"/>
        </w:rPr>
        <w:t>现代化建设服务。”</w:t>
      </w:r>
    </w:p>
    <w:p w14:paraId="71B59EB4">
      <w:pPr>
        <w:spacing w:before="1" w:line="345" w:lineRule="auto"/>
        <w:ind w:right="536" w:firstLine="529"/>
        <w:jc w:val="both"/>
        <w:rPr>
          <w:rFonts w:ascii="宋体" w:hAnsi="宋体" w:eastAsia="宋体" w:cs="宋体"/>
          <w:sz w:val="20"/>
          <w:szCs w:val="20"/>
        </w:rPr>
      </w:pPr>
      <w:r>
        <w:rPr>
          <w:rFonts w:ascii="宋体" w:hAnsi="宋体" w:eastAsia="宋体" w:cs="宋体"/>
          <w:spacing w:val="6"/>
          <w:sz w:val="20"/>
          <w:szCs w:val="20"/>
        </w:rPr>
        <w:t>2012年8月发布了《“健康中国2020”战略研究报告》,该报告提</w:t>
      </w:r>
      <w:r>
        <w:rPr>
          <w:rFonts w:ascii="宋体" w:hAnsi="宋体" w:eastAsia="宋体" w:cs="宋体"/>
          <w:spacing w:val="5"/>
          <w:sz w:val="20"/>
          <w:szCs w:val="20"/>
        </w:rPr>
        <w:t>出了“健康中国”的战略思想。</w:t>
      </w:r>
      <w:r>
        <w:rPr>
          <w:rFonts w:ascii="宋体" w:hAnsi="宋体" w:eastAsia="宋体" w:cs="宋体"/>
          <w:sz w:val="20"/>
          <w:szCs w:val="20"/>
        </w:rPr>
        <w:t xml:space="preserve"> </w:t>
      </w:r>
      <w:r>
        <w:rPr>
          <w:rFonts w:ascii="宋体" w:hAnsi="宋体" w:eastAsia="宋体" w:cs="宋体"/>
          <w:spacing w:val="7"/>
          <w:sz w:val="20"/>
          <w:szCs w:val="20"/>
        </w:rPr>
        <w:t>“健康中国”战略是一项旨在全面提高全民健康水平</w:t>
      </w:r>
      <w:r>
        <w:rPr>
          <w:rFonts w:ascii="宋体" w:hAnsi="宋体" w:eastAsia="宋体" w:cs="宋体"/>
          <w:spacing w:val="6"/>
          <w:sz w:val="20"/>
          <w:szCs w:val="20"/>
        </w:rPr>
        <w:t>的国家战略，是在准确判断世界和中国卫生改革</w:t>
      </w:r>
      <w:r>
        <w:rPr>
          <w:rFonts w:ascii="宋体" w:hAnsi="宋体" w:eastAsia="宋体" w:cs="宋体"/>
          <w:sz w:val="20"/>
          <w:szCs w:val="20"/>
        </w:rPr>
        <w:t xml:space="preserve">  </w:t>
      </w:r>
      <w:r>
        <w:rPr>
          <w:rFonts w:ascii="宋体" w:hAnsi="宋体" w:eastAsia="宋体" w:cs="宋体"/>
          <w:spacing w:val="12"/>
          <w:sz w:val="20"/>
          <w:szCs w:val="20"/>
        </w:rPr>
        <w:t>发展大势的基础上，在深化医药卫生体制改革实践中形成的一项需求牵引型的国民</w:t>
      </w:r>
      <w:r>
        <w:rPr>
          <w:rFonts w:ascii="宋体" w:hAnsi="宋体" w:eastAsia="宋体" w:cs="宋体"/>
          <w:spacing w:val="11"/>
          <w:sz w:val="20"/>
          <w:szCs w:val="20"/>
        </w:rPr>
        <w:t>健康发展战略。</w:t>
      </w:r>
    </w:p>
    <w:p w14:paraId="7509BC9A">
      <w:pPr>
        <w:spacing w:before="1" w:line="348" w:lineRule="auto"/>
        <w:ind w:left="99" w:right="556" w:firstLine="429"/>
        <w:jc w:val="both"/>
        <w:rPr>
          <w:rFonts w:ascii="宋体" w:hAnsi="宋体" w:eastAsia="宋体" w:cs="宋体"/>
          <w:sz w:val="16"/>
          <w:szCs w:val="16"/>
        </w:rPr>
      </w:pPr>
      <w:r>
        <w:rPr>
          <w:rFonts w:ascii="宋体" w:hAnsi="宋体" w:eastAsia="宋体" w:cs="宋体"/>
          <w:spacing w:val="3"/>
          <w:sz w:val="20"/>
          <w:szCs w:val="20"/>
        </w:rPr>
        <w:t>2016年10月，中共中央、国务院印发的《“健康中国2030”规划纲要》提出，推进健康中国建设</w:t>
      </w:r>
      <w:r>
        <w:rPr>
          <w:rFonts w:ascii="宋体" w:hAnsi="宋体" w:eastAsia="宋体" w:cs="宋体"/>
          <w:spacing w:val="8"/>
          <w:sz w:val="20"/>
          <w:szCs w:val="20"/>
        </w:rPr>
        <w:t xml:space="preserve">  </w:t>
      </w:r>
      <w:r>
        <w:rPr>
          <w:rFonts w:ascii="宋体" w:hAnsi="宋体" w:eastAsia="宋体" w:cs="宋体"/>
          <w:spacing w:val="9"/>
          <w:sz w:val="20"/>
          <w:szCs w:val="20"/>
        </w:rPr>
        <w:t>的指导思想包括：坚持以人民为中心的发展思想，牢固树立和贯彻落实新发展理念，坚持正确的卫</w:t>
      </w:r>
      <w:r>
        <w:rPr>
          <w:rFonts w:ascii="宋体" w:hAnsi="宋体" w:eastAsia="宋体" w:cs="宋体"/>
          <w:sz w:val="20"/>
          <w:szCs w:val="20"/>
        </w:rPr>
        <w:t xml:space="preserve">  </w:t>
      </w:r>
      <w:r>
        <w:rPr>
          <w:rFonts w:ascii="宋体" w:hAnsi="宋体" w:eastAsia="宋体" w:cs="宋体"/>
          <w:spacing w:val="4"/>
          <w:sz w:val="20"/>
          <w:szCs w:val="20"/>
        </w:rPr>
        <w:t>生与健康工作方针，以提高人民健康水平为核心，以体制机制改革创新为动力，以普及健康生活、优</w:t>
      </w:r>
      <w:r>
        <w:rPr>
          <w:rFonts w:ascii="宋体" w:hAnsi="宋体" w:eastAsia="宋体" w:cs="宋体"/>
          <w:spacing w:val="5"/>
          <w:sz w:val="20"/>
          <w:szCs w:val="20"/>
        </w:rPr>
        <w:t xml:space="preserve">  </w:t>
      </w:r>
      <w:r>
        <w:rPr>
          <w:rFonts w:ascii="宋体" w:hAnsi="宋体" w:eastAsia="宋体" w:cs="宋体"/>
          <w:spacing w:val="4"/>
          <w:sz w:val="20"/>
          <w:szCs w:val="20"/>
        </w:rPr>
        <w:t>化健康服务、完善健康保障、建设健康环境、发展健康产业为重点，把健康融人所有政策，加快转变</w:t>
      </w:r>
      <w:r>
        <w:rPr>
          <w:rFonts w:ascii="宋体" w:hAnsi="宋体" w:eastAsia="宋体" w:cs="宋体"/>
          <w:spacing w:val="5"/>
          <w:sz w:val="20"/>
          <w:szCs w:val="20"/>
        </w:rPr>
        <w:t xml:space="preserve">  </w:t>
      </w:r>
      <w:r>
        <w:rPr>
          <w:rFonts w:ascii="宋体" w:hAnsi="宋体" w:eastAsia="宋体" w:cs="宋体"/>
          <w:spacing w:val="6"/>
          <w:sz w:val="20"/>
          <w:szCs w:val="20"/>
        </w:rPr>
        <w:t>健康领域发展方式，全方位、全周期维护和保障人民健康，大幅提高健康水平，显著改善健康公平。</w:t>
      </w:r>
      <w:r>
        <w:rPr>
          <w:rFonts w:ascii="宋体" w:hAnsi="宋体" w:eastAsia="宋体" w:cs="宋体"/>
          <w:spacing w:val="14"/>
          <w:sz w:val="20"/>
          <w:szCs w:val="20"/>
        </w:rPr>
        <w:t xml:space="preserve"> </w:t>
      </w:r>
      <w:r>
        <w:rPr>
          <w:rFonts w:ascii="宋体" w:hAnsi="宋体" w:eastAsia="宋体" w:cs="宋体"/>
          <w:spacing w:val="4"/>
          <w:sz w:val="20"/>
          <w:szCs w:val="20"/>
        </w:rPr>
        <w:t>遵循健康优先、改革创新、科学发展、公平公正的原则。强调坚持“以基层为重点，以改革创新为动</w:t>
      </w:r>
      <w:r>
        <w:rPr>
          <w:rFonts w:ascii="宋体" w:hAnsi="宋体" w:eastAsia="宋体" w:cs="宋体"/>
          <w:spacing w:val="8"/>
          <w:sz w:val="20"/>
          <w:szCs w:val="20"/>
        </w:rPr>
        <w:t xml:space="preserve">  </w:t>
      </w:r>
      <w:r>
        <w:rPr>
          <w:rFonts w:ascii="宋体" w:hAnsi="宋体" w:eastAsia="宋体" w:cs="宋体"/>
          <w:sz w:val="20"/>
          <w:szCs w:val="20"/>
        </w:rPr>
        <w:t>力，预防为主，中西医并重，将健康融人所有政策，人民共建共享”的卫生与健康工作方针，即“38字</w:t>
      </w:r>
      <w:r>
        <w:rPr>
          <w:rFonts w:ascii="宋体" w:hAnsi="宋体" w:eastAsia="宋体" w:cs="宋体"/>
          <w:spacing w:val="8"/>
          <w:sz w:val="20"/>
          <w:szCs w:val="20"/>
        </w:rPr>
        <w:t xml:space="preserve"> </w:t>
      </w:r>
      <w:r>
        <w:rPr>
          <w:rFonts w:ascii="宋体" w:hAnsi="宋体" w:eastAsia="宋体" w:cs="宋体"/>
          <w:i/>
          <w:iCs/>
          <w:spacing w:val="10"/>
          <w:sz w:val="16"/>
          <w:szCs w:val="16"/>
        </w:rPr>
        <w:t>方针”。</w:t>
      </w:r>
    </w:p>
    <w:p w14:paraId="1077F1C5">
      <w:pPr>
        <w:spacing w:before="2" w:line="339" w:lineRule="auto"/>
        <w:ind w:left="99" w:right="496" w:firstLine="429"/>
        <w:rPr>
          <w:rFonts w:ascii="宋体" w:hAnsi="宋体" w:eastAsia="宋体" w:cs="宋体"/>
          <w:sz w:val="20"/>
          <w:szCs w:val="20"/>
        </w:rPr>
      </w:pPr>
      <w:r>
        <w:rPr>
          <w:rFonts w:ascii="宋体" w:hAnsi="宋体" w:eastAsia="宋体" w:cs="宋体"/>
          <w:spacing w:val="13"/>
          <w:sz w:val="20"/>
          <w:szCs w:val="20"/>
        </w:rPr>
        <w:t>2019年7月，国务院成立健康中国行动推进委员会，统筹推进《健康</w:t>
      </w:r>
      <w:r>
        <w:rPr>
          <w:rFonts w:ascii="宋体" w:hAnsi="宋体" w:eastAsia="宋体" w:cs="宋体"/>
          <w:spacing w:val="12"/>
          <w:sz w:val="20"/>
          <w:szCs w:val="20"/>
        </w:rPr>
        <w:t>中国行动(2019—2030)》</w:t>
      </w:r>
      <w:r>
        <w:rPr>
          <w:rFonts w:ascii="宋体" w:hAnsi="宋体" w:eastAsia="宋体" w:cs="宋体"/>
          <w:sz w:val="20"/>
          <w:szCs w:val="20"/>
        </w:rPr>
        <w:t xml:space="preserve"> </w:t>
      </w:r>
      <w:r>
        <w:rPr>
          <w:rFonts w:ascii="宋体" w:hAnsi="宋体" w:eastAsia="宋体" w:cs="宋体"/>
          <w:spacing w:val="10"/>
          <w:sz w:val="20"/>
          <w:szCs w:val="20"/>
        </w:rPr>
        <w:t>组织实施、监测和考核相关工作。该行动的基</w:t>
      </w:r>
      <w:r>
        <w:rPr>
          <w:rFonts w:ascii="宋体" w:hAnsi="宋体" w:eastAsia="宋体" w:cs="宋体"/>
          <w:spacing w:val="9"/>
          <w:sz w:val="20"/>
          <w:szCs w:val="20"/>
        </w:rPr>
        <w:t>本路径为普及健康知识、参与健康行动、提供健康服</w:t>
      </w:r>
      <w:r>
        <w:rPr>
          <w:rFonts w:ascii="宋体" w:hAnsi="宋体" w:eastAsia="宋体" w:cs="宋体"/>
          <w:sz w:val="20"/>
          <w:szCs w:val="20"/>
        </w:rPr>
        <w:t xml:space="preserve">  </w:t>
      </w:r>
      <w:r>
        <w:rPr>
          <w:rFonts w:ascii="宋体" w:hAnsi="宋体" w:eastAsia="宋体" w:cs="宋体"/>
          <w:spacing w:val="6"/>
          <w:sz w:val="20"/>
          <w:szCs w:val="20"/>
        </w:rPr>
        <w:t>务、延长健康寿命；针对重大疾病和一些突出问题，聚焦重点人群，实施15项重大行动(健康知识普</w:t>
      </w:r>
      <w:r>
        <w:rPr>
          <w:rFonts w:ascii="宋体" w:hAnsi="宋体" w:eastAsia="宋体" w:cs="宋体"/>
          <w:spacing w:val="8"/>
          <w:sz w:val="20"/>
          <w:szCs w:val="20"/>
        </w:rPr>
        <w:t xml:space="preserve">  </w:t>
      </w:r>
      <w:r>
        <w:rPr>
          <w:rFonts w:ascii="宋体" w:hAnsi="宋体" w:eastAsia="宋体" w:cs="宋体"/>
          <w:sz w:val="20"/>
          <w:szCs w:val="20"/>
        </w:rPr>
        <w:t>及、合理膳食、全民健身、控烟、心理健康促进、健康环境促进、妇幼健康促进、</w:t>
      </w:r>
      <w:r>
        <w:rPr>
          <w:rFonts w:ascii="宋体" w:hAnsi="宋体" w:eastAsia="宋体" w:cs="宋体"/>
          <w:spacing w:val="-1"/>
          <w:sz w:val="20"/>
          <w:szCs w:val="20"/>
        </w:rPr>
        <w:t>中小学健康促进、职</w:t>
      </w:r>
      <w:r>
        <w:rPr>
          <w:rFonts w:ascii="宋体" w:hAnsi="宋体" w:eastAsia="宋体" w:cs="宋体"/>
          <w:sz w:val="20"/>
          <w:szCs w:val="20"/>
        </w:rPr>
        <w:t xml:space="preserve">  </w:t>
      </w:r>
      <w:r>
        <w:rPr>
          <w:rFonts w:ascii="宋体" w:hAnsi="宋体" w:eastAsia="宋体" w:cs="宋体"/>
          <w:spacing w:val="4"/>
          <w:sz w:val="20"/>
          <w:szCs w:val="20"/>
        </w:rPr>
        <w:t>业健康保护、老年健康促进、心血管疾病防治、癌症防治、慢性呼吸系统疾病防治、糖尿病防治、传</w:t>
      </w:r>
      <w:r>
        <w:rPr>
          <w:rFonts w:ascii="宋体" w:hAnsi="宋体" w:eastAsia="宋体" w:cs="宋体"/>
          <w:spacing w:val="6"/>
          <w:sz w:val="20"/>
          <w:szCs w:val="20"/>
        </w:rPr>
        <w:t xml:space="preserve">  </w:t>
      </w:r>
      <w:r>
        <w:rPr>
          <w:rFonts w:ascii="宋体" w:hAnsi="宋体" w:eastAsia="宋体" w:cs="宋体"/>
          <w:spacing w:val="9"/>
          <w:sz w:val="20"/>
          <w:szCs w:val="20"/>
        </w:rPr>
        <w:t>染病及地方病防控),政府、社会、个人协同推进，建立健全健康教育体系，引导</w:t>
      </w:r>
      <w:r>
        <w:rPr>
          <w:rFonts w:ascii="宋体" w:hAnsi="宋体" w:eastAsia="宋体" w:cs="宋体"/>
          <w:spacing w:val="8"/>
          <w:sz w:val="20"/>
          <w:szCs w:val="20"/>
        </w:rPr>
        <w:t>群众建立正确健康</w:t>
      </w:r>
      <w:r>
        <w:rPr>
          <w:rFonts w:ascii="宋体" w:hAnsi="宋体" w:eastAsia="宋体" w:cs="宋体"/>
          <w:sz w:val="20"/>
          <w:szCs w:val="20"/>
        </w:rPr>
        <w:t xml:space="preserve">  </w:t>
      </w:r>
      <w:r>
        <w:rPr>
          <w:rFonts w:ascii="宋体" w:hAnsi="宋体" w:eastAsia="宋体" w:cs="宋体"/>
          <w:spacing w:val="5"/>
          <w:sz w:val="20"/>
          <w:szCs w:val="20"/>
        </w:rPr>
        <w:t>观，形成有利于健康的生活方式、生态环境和社会环境，促进以治病为</w:t>
      </w:r>
      <w:r>
        <w:rPr>
          <w:rFonts w:ascii="宋体" w:hAnsi="宋体" w:eastAsia="宋体" w:cs="宋体"/>
          <w:spacing w:val="4"/>
          <w:sz w:val="20"/>
          <w:szCs w:val="20"/>
        </w:rPr>
        <w:t>中心向以健康为中心转变，提</w:t>
      </w:r>
      <w:r>
        <w:rPr>
          <w:rFonts w:ascii="宋体" w:hAnsi="宋体" w:eastAsia="宋体" w:cs="宋体"/>
          <w:sz w:val="20"/>
          <w:szCs w:val="20"/>
        </w:rPr>
        <w:t xml:space="preserve">  </w:t>
      </w:r>
      <w:r>
        <w:rPr>
          <w:rFonts w:ascii="宋体" w:hAnsi="宋体" w:eastAsia="宋体" w:cs="宋体"/>
          <w:spacing w:val="11"/>
          <w:sz w:val="20"/>
          <w:szCs w:val="20"/>
        </w:rPr>
        <w:t>高人民健康水平。总体目标为，到2030年，全民健康素养水</w:t>
      </w:r>
      <w:r>
        <w:rPr>
          <w:rFonts w:ascii="宋体" w:hAnsi="宋体" w:eastAsia="宋体" w:cs="宋体"/>
          <w:spacing w:val="10"/>
          <w:sz w:val="20"/>
          <w:szCs w:val="20"/>
        </w:rPr>
        <w:t>平大幅提升，健康生活方式基本普及，</w:t>
      </w:r>
      <w:r>
        <w:rPr>
          <w:rFonts w:ascii="宋体" w:hAnsi="宋体" w:eastAsia="宋体" w:cs="宋体"/>
          <w:sz w:val="20"/>
          <w:szCs w:val="20"/>
        </w:rPr>
        <w:t xml:space="preserve"> </w:t>
      </w:r>
      <w:r>
        <w:rPr>
          <w:rFonts w:ascii="宋体" w:hAnsi="宋体" w:eastAsia="宋体" w:cs="宋体"/>
          <w:spacing w:val="9"/>
          <w:sz w:val="20"/>
          <w:szCs w:val="20"/>
        </w:rPr>
        <w:t>居民主要健康影响因素得到有效控制，因重大慢性病导致</w:t>
      </w:r>
      <w:r>
        <w:rPr>
          <w:rFonts w:ascii="宋体" w:hAnsi="宋体" w:eastAsia="宋体" w:cs="宋体"/>
          <w:spacing w:val="8"/>
          <w:sz w:val="20"/>
          <w:szCs w:val="20"/>
        </w:rPr>
        <w:t>的过早死亡率明显降低，人均健康预期寿</w:t>
      </w:r>
      <w:r>
        <w:rPr>
          <w:rFonts w:ascii="宋体" w:hAnsi="宋体" w:eastAsia="宋体" w:cs="宋体"/>
          <w:sz w:val="20"/>
          <w:szCs w:val="20"/>
        </w:rPr>
        <w:t xml:space="preserve">  </w:t>
      </w:r>
      <w:r>
        <w:rPr>
          <w:rFonts w:ascii="宋体" w:hAnsi="宋体" w:eastAsia="宋体" w:cs="宋体"/>
          <w:spacing w:val="4"/>
          <w:sz w:val="20"/>
          <w:szCs w:val="20"/>
        </w:rPr>
        <w:t>命得到较大提高，居民主要健康指标水平进人高收入国家行列，健康公平基本实现，实现《“健康中</w:t>
      </w:r>
      <w:r>
        <w:rPr>
          <w:rFonts w:ascii="宋体" w:hAnsi="宋体" w:eastAsia="宋体" w:cs="宋体"/>
          <w:spacing w:val="2"/>
          <w:sz w:val="20"/>
          <w:szCs w:val="20"/>
        </w:rPr>
        <w:t xml:space="preserve">  </w:t>
      </w:r>
      <w:r>
        <w:rPr>
          <w:rFonts w:ascii="宋体" w:hAnsi="宋体" w:eastAsia="宋体" w:cs="宋体"/>
          <w:spacing w:val="1"/>
          <w:sz w:val="20"/>
          <w:szCs w:val="20"/>
        </w:rPr>
        <w:t>国2030”规划纲要》有关目标。</w:t>
      </w:r>
    </w:p>
    <w:p w14:paraId="0E60D790">
      <w:pPr>
        <w:spacing w:line="220" w:lineRule="auto"/>
        <w:ind w:left="8370"/>
        <w:rPr>
          <w:rFonts w:ascii="宋体" w:hAnsi="宋体" w:eastAsia="宋体" w:cs="宋体"/>
          <w:sz w:val="26"/>
          <w:szCs w:val="26"/>
        </w:rPr>
      </w:pPr>
      <w:r>
        <w:rPr>
          <w:rFonts w:ascii="宋体" w:hAnsi="宋体" w:eastAsia="宋体" w:cs="宋体"/>
          <w:spacing w:val="6"/>
          <w:sz w:val="26"/>
          <w:szCs w:val="26"/>
        </w:rPr>
        <w:t>(席波)</w:t>
      </w:r>
    </w:p>
    <w:p w14:paraId="35E0D748">
      <w:pPr>
        <w:spacing w:line="245" w:lineRule="auto"/>
        <w:rPr>
          <w:rFonts w:ascii="Arial"/>
          <w:sz w:val="21"/>
        </w:rPr>
      </w:pPr>
    </w:p>
    <w:p w14:paraId="3FE56D29">
      <w:pPr>
        <w:spacing w:line="245" w:lineRule="auto"/>
        <w:rPr>
          <w:rFonts w:ascii="Arial"/>
          <w:sz w:val="21"/>
        </w:rPr>
      </w:pPr>
      <w:r>
        <w:drawing>
          <wp:anchor distT="0" distB="0" distL="0" distR="0" simplePos="0" relativeHeight="251841536" behindDoc="0" locked="0" layoutInCell="1" allowOverlap="1">
            <wp:simplePos x="0" y="0"/>
            <wp:positionH relativeFrom="column">
              <wp:posOffset>107315</wp:posOffset>
            </wp:positionH>
            <wp:positionV relativeFrom="paragraph">
              <wp:posOffset>153670</wp:posOffset>
            </wp:positionV>
            <wp:extent cx="5575300" cy="12700"/>
            <wp:effectExtent l="0" t="0" r="0" b="0"/>
            <wp:wrapNone/>
            <wp:docPr id="562" name="IM 562"/>
            <wp:cNvGraphicFramePr/>
            <a:graphic xmlns:a="http://schemas.openxmlformats.org/drawingml/2006/main">
              <a:graphicData uri="http://schemas.openxmlformats.org/drawingml/2006/picture">
                <pic:pic xmlns:pic="http://schemas.openxmlformats.org/drawingml/2006/picture">
                  <pic:nvPicPr>
                    <pic:cNvPr id="562" name="IM 562"/>
                    <pic:cNvPicPr/>
                  </pic:nvPicPr>
                  <pic:blipFill>
                    <a:blip r:embed="rId623"/>
                    <a:stretch>
                      <a:fillRect/>
                    </a:stretch>
                  </pic:blipFill>
                  <pic:spPr>
                    <a:xfrm>
                      <a:off x="0" y="0"/>
                      <a:ext cx="5575260" cy="12603"/>
                    </a:xfrm>
                    <a:prstGeom prst="rect">
                      <a:avLst/>
                    </a:prstGeom>
                  </pic:spPr>
                </pic:pic>
              </a:graphicData>
            </a:graphic>
          </wp:anchor>
        </w:drawing>
      </w:r>
    </w:p>
    <w:p w14:paraId="7410344C">
      <w:pPr>
        <w:spacing w:line="246" w:lineRule="auto"/>
        <w:rPr>
          <w:rFonts w:ascii="Arial"/>
          <w:sz w:val="21"/>
        </w:rPr>
      </w:pPr>
    </w:p>
    <w:p w14:paraId="79DBFD19">
      <w:pPr>
        <w:pStyle w:val="2"/>
        <w:spacing w:before="85" w:line="222" w:lineRule="auto"/>
        <w:ind w:left="533"/>
        <w:rPr>
          <w:sz w:val="26"/>
          <w:szCs w:val="26"/>
        </w:rPr>
      </w:pPr>
      <w:r>
        <w:rPr>
          <w:b/>
          <w:bCs/>
          <w:spacing w:val="2"/>
          <w:sz w:val="26"/>
          <w:szCs w:val="26"/>
        </w:rPr>
        <w:t>思考题</w:t>
      </w:r>
    </w:p>
    <w:p w14:paraId="12FC671E">
      <w:pPr>
        <w:spacing w:before="68" w:line="219" w:lineRule="auto"/>
        <w:ind w:left="1399"/>
        <w:rPr>
          <w:rFonts w:ascii="宋体" w:hAnsi="宋体" w:eastAsia="宋体" w:cs="宋体"/>
          <w:sz w:val="20"/>
          <w:szCs w:val="20"/>
        </w:rPr>
      </w:pPr>
      <w:r>
        <w:rPr>
          <w:rFonts w:ascii="宋体" w:hAnsi="宋体" w:eastAsia="宋体" w:cs="宋体"/>
          <w:spacing w:val="9"/>
          <w:sz w:val="20"/>
          <w:szCs w:val="20"/>
        </w:rPr>
        <w:t>1.</w:t>
      </w:r>
      <w:r>
        <w:rPr>
          <w:rFonts w:ascii="宋体" w:hAnsi="宋体" w:eastAsia="宋体" w:cs="宋体"/>
          <w:spacing w:val="-26"/>
          <w:sz w:val="20"/>
          <w:szCs w:val="20"/>
        </w:rPr>
        <w:t xml:space="preserve"> </w:t>
      </w:r>
      <w:r>
        <w:rPr>
          <w:rFonts w:ascii="宋体" w:hAnsi="宋体" w:eastAsia="宋体" w:cs="宋体"/>
          <w:spacing w:val="9"/>
          <w:sz w:val="20"/>
          <w:szCs w:val="20"/>
        </w:rPr>
        <w:t>高危人群策略和全人群策略的优势和局限性有哪些?</w:t>
      </w:r>
    </w:p>
    <w:p w14:paraId="3CD162AC">
      <w:pPr>
        <w:spacing w:before="144" w:line="220" w:lineRule="auto"/>
        <w:ind w:left="1399"/>
        <w:rPr>
          <w:rFonts w:ascii="宋体" w:hAnsi="宋体" w:eastAsia="宋体" w:cs="宋体"/>
          <w:sz w:val="20"/>
          <w:szCs w:val="20"/>
        </w:rPr>
      </w:pPr>
      <w:r>
        <w:rPr>
          <w:rFonts w:ascii="宋体" w:hAnsi="宋体" w:eastAsia="宋体" w:cs="宋体"/>
          <w:spacing w:val="10"/>
          <w:sz w:val="20"/>
          <w:szCs w:val="20"/>
        </w:rPr>
        <w:t>2.</w:t>
      </w:r>
      <w:r>
        <w:rPr>
          <w:rFonts w:ascii="宋体" w:hAnsi="宋体" w:eastAsia="宋体" w:cs="宋体"/>
          <w:spacing w:val="-30"/>
          <w:sz w:val="20"/>
          <w:szCs w:val="20"/>
        </w:rPr>
        <w:t xml:space="preserve"> </w:t>
      </w:r>
      <w:r>
        <w:rPr>
          <w:rFonts w:ascii="宋体" w:hAnsi="宋体" w:eastAsia="宋体" w:cs="宋体"/>
          <w:spacing w:val="10"/>
          <w:sz w:val="20"/>
          <w:szCs w:val="20"/>
        </w:rPr>
        <w:t>如何理解我国新时期卫生工作方针?</w:t>
      </w:r>
    </w:p>
    <w:p w14:paraId="7CD9041C">
      <w:pPr>
        <w:spacing w:before="121" w:line="219" w:lineRule="auto"/>
        <w:ind w:left="1399"/>
        <w:rPr>
          <w:rFonts w:ascii="宋体" w:hAnsi="宋体" w:eastAsia="宋体" w:cs="宋体"/>
          <w:sz w:val="20"/>
          <w:szCs w:val="20"/>
        </w:rPr>
      </w:pPr>
      <w:r>
        <w:rPr>
          <w:rFonts w:ascii="宋体" w:hAnsi="宋体" w:eastAsia="宋体" w:cs="宋体"/>
          <w:spacing w:val="10"/>
          <w:sz w:val="20"/>
          <w:szCs w:val="20"/>
        </w:rPr>
        <w:t>3.</w:t>
      </w:r>
      <w:r>
        <w:rPr>
          <w:rFonts w:ascii="宋体" w:hAnsi="宋体" w:eastAsia="宋体" w:cs="宋体"/>
          <w:spacing w:val="-31"/>
          <w:sz w:val="20"/>
          <w:szCs w:val="20"/>
        </w:rPr>
        <w:t xml:space="preserve"> </w:t>
      </w:r>
      <w:r>
        <w:rPr>
          <w:rFonts w:ascii="宋体" w:hAnsi="宋体" w:eastAsia="宋体" w:cs="宋体"/>
          <w:spacing w:val="10"/>
          <w:sz w:val="20"/>
          <w:szCs w:val="20"/>
        </w:rPr>
        <w:t>如何解读健康中国战略?</w:t>
      </w:r>
    </w:p>
    <w:p w14:paraId="3CF1B683">
      <w:pPr>
        <w:spacing w:line="219" w:lineRule="auto"/>
        <w:rPr>
          <w:rFonts w:ascii="宋体" w:hAnsi="宋体" w:eastAsia="宋体" w:cs="宋体"/>
          <w:sz w:val="20"/>
          <w:szCs w:val="20"/>
        </w:rPr>
        <w:sectPr>
          <w:footerReference r:id="rId192" w:type="default"/>
          <w:pgSz w:w="11900" w:h="16820"/>
          <w:pgMar w:top="400" w:right="853" w:bottom="829" w:left="1310" w:header="0" w:footer="649" w:gutter="0"/>
          <w:cols w:space="720" w:num="1"/>
        </w:sectPr>
      </w:pPr>
    </w:p>
    <w:p w14:paraId="28F8CB5D">
      <w:pPr>
        <w:spacing w:line="289" w:lineRule="auto"/>
        <w:rPr>
          <w:rFonts w:ascii="Arial"/>
          <w:sz w:val="21"/>
        </w:rPr>
      </w:pPr>
    </w:p>
    <w:p w14:paraId="3DAA9858">
      <w:pPr>
        <w:spacing w:line="289" w:lineRule="auto"/>
        <w:rPr>
          <w:rFonts w:ascii="Arial"/>
          <w:sz w:val="21"/>
        </w:rPr>
      </w:pPr>
      <w:r>
        <w:drawing>
          <wp:anchor distT="0" distB="0" distL="0" distR="0" simplePos="0" relativeHeight="251842560" behindDoc="0" locked="0" layoutInCell="1" allowOverlap="1">
            <wp:simplePos x="0" y="0"/>
            <wp:positionH relativeFrom="column">
              <wp:posOffset>443865</wp:posOffset>
            </wp:positionH>
            <wp:positionV relativeFrom="paragraph">
              <wp:posOffset>233680</wp:posOffset>
            </wp:positionV>
            <wp:extent cx="571500" cy="622300"/>
            <wp:effectExtent l="0" t="0" r="0" b="0"/>
            <wp:wrapNone/>
            <wp:docPr id="564" name="IM 564"/>
            <wp:cNvGraphicFramePr/>
            <a:graphic xmlns:a="http://schemas.openxmlformats.org/drawingml/2006/main">
              <a:graphicData uri="http://schemas.openxmlformats.org/drawingml/2006/picture">
                <pic:pic xmlns:pic="http://schemas.openxmlformats.org/drawingml/2006/picture">
                  <pic:nvPicPr>
                    <pic:cNvPr id="564" name="IM 564"/>
                    <pic:cNvPicPr/>
                  </pic:nvPicPr>
                  <pic:blipFill>
                    <a:blip r:embed="rId624"/>
                    <a:stretch>
                      <a:fillRect/>
                    </a:stretch>
                  </pic:blipFill>
                  <pic:spPr>
                    <a:xfrm>
                      <a:off x="0" y="0"/>
                      <a:ext cx="571498" cy="622257"/>
                    </a:xfrm>
                    <a:prstGeom prst="rect">
                      <a:avLst/>
                    </a:prstGeom>
                  </pic:spPr>
                </pic:pic>
              </a:graphicData>
            </a:graphic>
          </wp:anchor>
        </w:drawing>
      </w:r>
    </w:p>
    <w:p w14:paraId="328DAFD3">
      <w:pPr>
        <w:pStyle w:val="2"/>
        <w:spacing w:before="94" w:line="222" w:lineRule="auto"/>
        <w:ind w:left="4654"/>
        <w:outlineLvl w:val="0"/>
        <w:rPr>
          <w:sz w:val="29"/>
          <w:szCs w:val="29"/>
        </w:rPr>
      </w:pPr>
      <w:bookmarkStart w:id="279" w:name="bookmark176"/>
      <w:bookmarkEnd w:id="279"/>
      <w:r>
        <w:rPr>
          <w:b/>
          <w:bCs/>
          <w:spacing w:val="4"/>
          <w:sz w:val="29"/>
          <w:szCs w:val="29"/>
        </w:rPr>
        <w:t>第十章</w:t>
      </w:r>
    </w:p>
    <w:p w14:paraId="2DB8DB8A">
      <w:pPr>
        <w:pStyle w:val="2"/>
        <w:spacing w:before="149" w:line="224" w:lineRule="auto"/>
        <w:ind w:left="3796"/>
        <w:outlineLvl w:val="0"/>
        <w:rPr>
          <w:sz w:val="44"/>
          <w:szCs w:val="44"/>
        </w:rPr>
      </w:pPr>
      <w:bookmarkStart w:id="280" w:name="bookmark176"/>
      <w:bookmarkEnd w:id="280"/>
      <w:r>
        <w:rPr>
          <w:b/>
          <w:bCs/>
          <w:spacing w:val="-5"/>
          <w:sz w:val="44"/>
          <w:szCs w:val="44"/>
        </w:rPr>
        <w:t>公共卫生监测</w:t>
      </w:r>
    </w:p>
    <w:p w14:paraId="777FC9FC">
      <w:pPr>
        <w:spacing w:before="91" w:line="450" w:lineRule="exact"/>
        <w:ind w:firstLine="240"/>
      </w:pPr>
      <w:r>
        <w:rPr>
          <w:position w:val="-8"/>
        </w:rPr>
        <w:drawing>
          <wp:inline distT="0" distB="0" distL="0" distR="0">
            <wp:extent cx="329565" cy="285115"/>
            <wp:effectExtent l="0" t="0" r="0" b="0"/>
            <wp:docPr id="566" name="IM 566"/>
            <wp:cNvGraphicFramePr/>
            <a:graphic xmlns:a="http://schemas.openxmlformats.org/drawingml/2006/main">
              <a:graphicData uri="http://schemas.openxmlformats.org/drawingml/2006/picture">
                <pic:pic xmlns:pic="http://schemas.openxmlformats.org/drawingml/2006/picture">
                  <pic:nvPicPr>
                    <pic:cNvPr id="566" name="IM 566"/>
                    <pic:cNvPicPr/>
                  </pic:nvPicPr>
                  <pic:blipFill>
                    <a:blip r:embed="rId625"/>
                    <a:stretch>
                      <a:fillRect/>
                    </a:stretch>
                  </pic:blipFill>
                  <pic:spPr>
                    <a:xfrm>
                      <a:off x="0" y="0"/>
                      <a:ext cx="330143" cy="285708"/>
                    </a:xfrm>
                    <a:prstGeom prst="rect">
                      <a:avLst/>
                    </a:prstGeom>
                  </pic:spPr>
                </pic:pic>
              </a:graphicData>
            </a:graphic>
          </wp:inline>
        </w:drawing>
      </w:r>
    </w:p>
    <w:p w14:paraId="24242410">
      <w:pPr>
        <w:spacing w:line="274" w:lineRule="auto"/>
        <w:rPr>
          <w:rFonts w:ascii="Arial"/>
          <w:sz w:val="21"/>
        </w:rPr>
      </w:pPr>
    </w:p>
    <w:p w14:paraId="26056ADF">
      <w:pPr>
        <w:spacing w:before="83" w:line="198" w:lineRule="auto"/>
        <w:ind w:left="2600"/>
        <w:rPr>
          <w:rFonts w:ascii="Arial" w:hAnsi="Arial" w:eastAsia="Arial" w:cs="Arial"/>
          <w:sz w:val="29"/>
          <w:szCs w:val="29"/>
        </w:rPr>
      </w:pPr>
      <w:r>
        <w:rPr>
          <w:rFonts w:ascii="Arial" w:hAnsi="Arial" w:eastAsia="Arial" w:cs="Arial"/>
          <w:b/>
          <w:bCs/>
          <w:spacing w:val="-7"/>
          <w:sz w:val="29"/>
          <w:szCs w:val="29"/>
        </w:rPr>
        <w:t>Chapter</w:t>
      </w:r>
      <w:r>
        <w:rPr>
          <w:rFonts w:ascii="Arial" w:hAnsi="Arial" w:eastAsia="Arial" w:cs="Arial"/>
          <w:b/>
          <w:bCs/>
          <w:spacing w:val="31"/>
          <w:w w:val="101"/>
          <w:sz w:val="29"/>
          <w:szCs w:val="29"/>
        </w:rPr>
        <w:t xml:space="preserve"> </w:t>
      </w:r>
      <w:r>
        <w:rPr>
          <w:rFonts w:ascii="Arial" w:hAnsi="Arial" w:eastAsia="Arial" w:cs="Arial"/>
          <w:b/>
          <w:bCs/>
          <w:spacing w:val="-7"/>
          <w:sz w:val="29"/>
          <w:szCs w:val="29"/>
        </w:rPr>
        <w:t>10</w:t>
      </w:r>
      <w:r>
        <w:rPr>
          <w:rFonts w:ascii="Arial" w:hAnsi="Arial" w:eastAsia="Arial" w:cs="Arial"/>
          <w:b/>
          <w:bCs/>
          <w:spacing w:val="17"/>
          <w:sz w:val="29"/>
          <w:szCs w:val="29"/>
        </w:rPr>
        <w:t xml:space="preserve"> </w:t>
      </w:r>
      <w:r>
        <w:rPr>
          <w:rFonts w:ascii="Arial" w:hAnsi="Arial" w:eastAsia="Arial" w:cs="Arial"/>
          <w:b/>
          <w:bCs/>
          <w:spacing w:val="-7"/>
          <w:sz w:val="29"/>
          <w:szCs w:val="29"/>
        </w:rPr>
        <w:t>Public</w:t>
      </w:r>
      <w:r>
        <w:rPr>
          <w:rFonts w:ascii="Arial" w:hAnsi="Arial" w:eastAsia="Arial" w:cs="Arial"/>
          <w:b/>
          <w:bCs/>
          <w:spacing w:val="18"/>
          <w:sz w:val="29"/>
          <w:szCs w:val="29"/>
        </w:rPr>
        <w:t xml:space="preserve"> </w:t>
      </w:r>
      <w:r>
        <w:rPr>
          <w:rFonts w:ascii="Arial" w:hAnsi="Arial" w:eastAsia="Arial" w:cs="Arial"/>
          <w:b/>
          <w:bCs/>
          <w:spacing w:val="-7"/>
          <w:sz w:val="29"/>
          <w:szCs w:val="29"/>
        </w:rPr>
        <w:t>Health Surveillance</w:t>
      </w:r>
    </w:p>
    <w:p w14:paraId="193F9BCC">
      <w:pPr>
        <w:spacing w:line="418" w:lineRule="auto"/>
        <w:rPr>
          <w:rFonts w:ascii="Arial"/>
          <w:sz w:val="21"/>
        </w:rPr>
      </w:pPr>
    </w:p>
    <w:p w14:paraId="71073D94">
      <w:pPr>
        <w:spacing w:before="58" w:line="383" w:lineRule="auto"/>
        <w:ind w:left="699" w:right="28" w:firstLine="410"/>
        <w:jc w:val="both"/>
        <w:rPr>
          <w:rFonts w:ascii="Times New Roman" w:hAnsi="Times New Roman" w:eastAsia="Times New Roman" w:cs="Times New Roman"/>
          <w:sz w:val="20"/>
          <w:szCs w:val="20"/>
        </w:rPr>
      </w:pPr>
      <w:r>
        <w:rPr>
          <w:rFonts w:ascii="Times New Roman" w:hAnsi="Times New Roman" w:eastAsia="Times New Roman" w:cs="Times New Roman"/>
          <w:sz w:val="20"/>
          <w:szCs w:val="20"/>
        </w:rPr>
        <w:t>Public</w:t>
      </w:r>
      <w:r>
        <w:rPr>
          <w:rFonts w:ascii="Times New Roman" w:hAnsi="Times New Roman" w:eastAsia="Times New Roman" w:cs="Times New Roman"/>
          <w:spacing w:val="31"/>
          <w:sz w:val="20"/>
          <w:szCs w:val="20"/>
        </w:rPr>
        <w:t xml:space="preserve"> </w:t>
      </w:r>
      <w:r>
        <w:rPr>
          <w:rFonts w:ascii="Times New Roman" w:hAnsi="Times New Roman" w:eastAsia="Times New Roman" w:cs="Times New Roman"/>
          <w:sz w:val="20"/>
          <w:szCs w:val="20"/>
        </w:rPr>
        <w:t>health</w:t>
      </w:r>
      <w:r>
        <w:rPr>
          <w:rFonts w:ascii="Times New Roman" w:hAnsi="Times New Roman" w:eastAsia="Times New Roman" w:cs="Times New Roman"/>
          <w:spacing w:val="39"/>
          <w:w w:val="101"/>
          <w:sz w:val="20"/>
          <w:szCs w:val="20"/>
        </w:rPr>
        <w:t xml:space="preserve"> </w:t>
      </w:r>
      <w:r>
        <w:rPr>
          <w:rFonts w:ascii="Times New Roman" w:hAnsi="Times New Roman" w:eastAsia="Times New Roman" w:cs="Times New Roman"/>
          <w:sz w:val="20"/>
          <w:szCs w:val="20"/>
        </w:rPr>
        <w:t>surveillance</w:t>
      </w:r>
      <w:r>
        <w:rPr>
          <w:rFonts w:ascii="Times New Roman" w:hAnsi="Times New Roman" w:eastAsia="Times New Roman" w:cs="Times New Roman"/>
          <w:spacing w:val="35"/>
          <w:sz w:val="20"/>
          <w:szCs w:val="20"/>
        </w:rPr>
        <w:t xml:space="preserve"> </w:t>
      </w:r>
      <w:r>
        <w:rPr>
          <w:rFonts w:ascii="Times New Roman" w:hAnsi="Times New Roman" w:eastAsia="Times New Roman" w:cs="Times New Roman"/>
          <w:sz w:val="20"/>
          <w:szCs w:val="20"/>
        </w:rPr>
        <w:t>is</w:t>
      </w:r>
      <w:r>
        <w:rPr>
          <w:rFonts w:ascii="Times New Roman" w:hAnsi="Times New Roman" w:eastAsia="Times New Roman" w:cs="Times New Roman"/>
          <w:spacing w:val="37"/>
          <w:sz w:val="20"/>
          <w:szCs w:val="20"/>
        </w:rPr>
        <w:t xml:space="preserve"> </w:t>
      </w:r>
      <w:r>
        <w:rPr>
          <w:rFonts w:ascii="Times New Roman" w:hAnsi="Times New Roman" w:eastAsia="Times New Roman" w:cs="Times New Roman"/>
          <w:sz w:val="20"/>
          <w:szCs w:val="20"/>
        </w:rPr>
        <w:t>an</w:t>
      </w:r>
      <w:r>
        <w:rPr>
          <w:rFonts w:ascii="Times New Roman" w:hAnsi="Times New Roman" w:eastAsia="Times New Roman" w:cs="Times New Roman"/>
          <w:spacing w:val="35"/>
          <w:w w:val="101"/>
          <w:sz w:val="20"/>
          <w:szCs w:val="20"/>
        </w:rPr>
        <w:t xml:space="preserve"> </w:t>
      </w:r>
      <w:r>
        <w:rPr>
          <w:rFonts w:ascii="Times New Roman" w:hAnsi="Times New Roman" w:eastAsia="Times New Roman" w:cs="Times New Roman"/>
          <w:sz w:val="20"/>
          <w:szCs w:val="20"/>
        </w:rPr>
        <w:t>important</w:t>
      </w:r>
      <w:r>
        <w:rPr>
          <w:rFonts w:ascii="Times New Roman" w:hAnsi="Times New Roman" w:eastAsia="Times New Roman" w:cs="Times New Roman"/>
          <w:spacing w:val="28"/>
          <w:w w:val="101"/>
          <w:sz w:val="20"/>
          <w:szCs w:val="20"/>
        </w:rPr>
        <w:t xml:space="preserve"> </w:t>
      </w:r>
      <w:r>
        <w:rPr>
          <w:rFonts w:ascii="Times New Roman" w:hAnsi="Times New Roman" w:eastAsia="Times New Roman" w:cs="Times New Roman"/>
          <w:sz w:val="20"/>
          <w:szCs w:val="20"/>
        </w:rPr>
        <w:t>part</w:t>
      </w:r>
      <w:r>
        <w:rPr>
          <w:rFonts w:ascii="Times New Roman" w:hAnsi="Times New Roman" w:eastAsia="Times New Roman" w:cs="Times New Roman"/>
          <w:spacing w:val="36"/>
          <w:sz w:val="20"/>
          <w:szCs w:val="20"/>
        </w:rPr>
        <w:t xml:space="preserve"> </w:t>
      </w:r>
      <w:r>
        <w:rPr>
          <w:rFonts w:ascii="Times New Roman" w:hAnsi="Times New Roman" w:eastAsia="Times New Roman" w:cs="Times New Roman"/>
          <w:sz w:val="20"/>
          <w:szCs w:val="20"/>
        </w:rPr>
        <w:t>of public</w:t>
      </w:r>
      <w:r>
        <w:rPr>
          <w:rFonts w:ascii="Times New Roman" w:hAnsi="Times New Roman" w:eastAsia="Times New Roman" w:cs="Times New Roman"/>
          <w:spacing w:val="31"/>
          <w:sz w:val="20"/>
          <w:szCs w:val="20"/>
        </w:rPr>
        <w:t xml:space="preserve"> </w:t>
      </w:r>
      <w:r>
        <w:rPr>
          <w:rFonts w:ascii="Times New Roman" w:hAnsi="Times New Roman" w:eastAsia="Times New Roman" w:cs="Times New Roman"/>
          <w:sz w:val="20"/>
          <w:szCs w:val="20"/>
        </w:rPr>
        <w:t>health</w:t>
      </w:r>
      <w:r>
        <w:rPr>
          <w:rFonts w:ascii="Times New Roman" w:hAnsi="Times New Roman" w:eastAsia="Times New Roman" w:cs="Times New Roman"/>
          <w:spacing w:val="29"/>
          <w:sz w:val="20"/>
          <w:szCs w:val="20"/>
        </w:rPr>
        <w:t xml:space="preserve"> </w:t>
      </w:r>
      <w:r>
        <w:rPr>
          <w:rFonts w:ascii="Times New Roman" w:hAnsi="Times New Roman" w:eastAsia="Times New Roman" w:cs="Times New Roman"/>
          <w:sz w:val="20"/>
          <w:szCs w:val="20"/>
        </w:rPr>
        <w:t>practice,and</w:t>
      </w:r>
      <w:r>
        <w:rPr>
          <w:rFonts w:ascii="Times New Roman" w:hAnsi="Times New Roman" w:eastAsia="Times New Roman" w:cs="Times New Roman"/>
          <w:spacing w:val="36"/>
          <w:w w:val="101"/>
          <w:sz w:val="20"/>
          <w:szCs w:val="20"/>
        </w:rPr>
        <w:t xml:space="preserve"> </w:t>
      </w:r>
      <w:r>
        <w:rPr>
          <w:rFonts w:ascii="Times New Roman" w:hAnsi="Times New Roman" w:eastAsia="Times New Roman" w:cs="Times New Roman"/>
          <w:sz w:val="20"/>
          <w:szCs w:val="20"/>
        </w:rPr>
        <w:t>a</w:t>
      </w:r>
      <w:r>
        <w:rPr>
          <w:rFonts w:ascii="Times New Roman" w:hAnsi="Times New Roman" w:eastAsia="Times New Roman" w:cs="Times New Roman"/>
          <w:spacing w:val="29"/>
          <w:sz w:val="20"/>
          <w:szCs w:val="20"/>
        </w:rPr>
        <w:t xml:space="preserve"> </w:t>
      </w:r>
      <w:r>
        <w:rPr>
          <w:rFonts w:ascii="Times New Roman" w:hAnsi="Times New Roman" w:eastAsia="Times New Roman" w:cs="Times New Roman"/>
          <w:sz w:val="20"/>
          <w:szCs w:val="20"/>
        </w:rPr>
        <w:t>p</w:t>
      </w:r>
      <w:r>
        <w:rPr>
          <w:rFonts w:ascii="Times New Roman" w:hAnsi="Times New Roman" w:eastAsia="Times New Roman" w:cs="Times New Roman"/>
          <w:spacing w:val="-1"/>
          <w:sz w:val="20"/>
          <w:szCs w:val="20"/>
        </w:rPr>
        <w:t>rocess</w:t>
      </w:r>
      <w:r>
        <w:rPr>
          <w:rFonts w:ascii="Times New Roman" w:hAnsi="Times New Roman" w:eastAsia="Times New Roman" w:cs="Times New Roman"/>
          <w:spacing w:val="36"/>
          <w:w w:val="101"/>
          <w:sz w:val="20"/>
          <w:szCs w:val="20"/>
        </w:rPr>
        <w:t xml:space="preserve"> </w:t>
      </w:r>
      <w:r>
        <w:rPr>
          <w:rFonts w:ascii="Times New Roman" w:hAnsi="Times New Roman" w:eastAsia="Times New Roman" w:cs="Times New Roman"/>
          <w:spacing w:val="-1"/>
          <w:sz w:val="20"/>
          <w:szCs w:val="20"/>
        </w:rPr>
        <w:t>of</w:t>
      </w:r>
      <w:r>
        <w:rPr>
          <w:rFonts w:ascii="Times New Roman" w:hAnsi="Times New Roman" w:eastAsia="Times New Roman" w:cs="Times New Roman"/>
          <w:spacing w:val="16"/>
          <w:sz w:val="20"/>
          <w:szCs w:val="20"/>
        </w:rPr>
        <w:t xml:space="preserve"> </w:t>
      </w:r>
      <w:r>
        <w:rPr>
          <w:rFonts w:ascii="Times New Roman" w:hAnsi="Times New Roman" w:eastAsia="Times New Roman" w:cs="Times New Roman"/>
          <w:spacing w:val="-1"/>
          <w:sz w:val="20"/>
          <w:szCs w:val="20"/>
        </w:rPr>
        <w:t>collecting,</w:t>
      </w:r>
      <w:r>
        <w:rPr>
          <w:rFonts w:ascii="Times New Roman" w:hAnsi="Times New Roman" w:eastAsia="Times New Roman" w:cs="Times New Roman"/>
          <w:sz w:val="20"/>
          <w:szCs w:val="20"/>
        </w:rPr>
        <w:t xml:space="preserve"> analyzing,interpreting,providing</w:t>
      </w:r>
      <w:r>
        <w:rPr>
          <w:rFonts w:ascii="Times New Roman" w:hAnsi="Times New Roman" w:eastAsia="Times New Roman" w:cs="Times New Roman"/>
          <w:spacing w:val="41"/>
          <w:w w:val="101"/>
          <w:sz w:val="20"/>
          <w:szCs w:val="20"/>
        </w:rPr>
        <w:t xml:space="preserve"> </w:t>
      </w:r>
      <w:r>
        <w:rPr>
          <w:rFonts w:ascii="Times New Roman" w:hAnsi="Times New Roman" w:eastAsia="Times New Roman" w:cs="Times New Roman"/>
          <w:sz w:val="20"/>
          <w:szCs w:val="20"/>
        </w:rPr>
        <w:t>feedback</w:t>
      </w:r>
      <w:r>
        <w:rPr>
          <w:rFonts w:ascii="Times New Roman" w:hAnsi="Times New Roman" w:eastAsia="Times New Roman" w:cs="Times New Roman"/>
          <w:spacing w:val="39"/>
          <w:w w:val="101"/>
          <w:sz w:val="20"/>
          <w:szCs w:val="20"/>
        </w:rPr>
        <w:t xml:space="preserve"> </w:t>
      </w:r>
      <w:r>
        <w:rPr>
          <w:rFonts w:ascii="Times New Roman" w:hAnsi="Times New Roman" w:eastAsia="Times New Roman" w:cs="Times New Roman"/>
          <w:spacing w:val="-1"/>
          <w:sz w:val="20"/>
          <w:szCs w:val="20"/>
        </w:rPr>
        <w:t>and</w:t>
      </w:r>
      <w:r>
        <w:rPr>
          <w:rFonts w:ascii="Times New Roman" w:hAnsi="Times New Roman" w:eastAsia="Times New Roman" w:cs="Times New Roman"/>
          <w:spacing w:val="33"/>
          <w:w w:val="101"/>
          <w:sz w:val="20"/>
          <w:szCs w:val="20"/>
        </w:rPr>
        <w:t xml:space="preserve"> </w:t>
      </w:r>
      <w:r>
        <w:rPr>
          <w:rFonts w:ascii="Times New Roman" w:hAnsi="Times New Roman" w:eastAsia="Times New Roman" w:cs="Times New Roman"/>
          <w:spacing w:val="-1"/>
          <w:sz w:val="20"/>
          <w:szCs w:val="20"/>
        </w:rPr>
        <w:t>using</w:t>
      </w:r>
      <w:r>
        <w:rPr>
          <w:rFonts w:ascii="Times New Roman" w:hAnsi="Times New Roman" w:eastAsia="Times New Roman" w:cs="Times New Roman"/>
          <w:spacing w:val="33"/>
          <w:sz w:val="20"/>
          <w:szCs w:val="20"/>
        </w:rPr>
        <w:t xml:space="preserve"> </w:t>
      </w:r>
      <w:r>
        <w:rPr>
          <w:rFonts w:ascii="Times New Roman" w:hAnsi="Times New Roman" w:eastAsia="Times New Roman" w:cs="Times New Roman"/>
          <w:spacing w:val="-1"/>
          <w:sz w:val="20"/>
          <w:szCs w:val="20"/>
        </w:rPr>
        <w:t>public</w:t>
      </w:r>
      <w:r>
        <w:rPr>
          <w:rFonts w:ascii="Times New Roman" w:hAnsi="Times New Roman" w:eastAsia="Times New Roman" w:cs="Times New Roman"/>
          <w:spacing w:val="34"/>
          <w:w w:val="101"/>
          <w:sz w:val="20"/>
          <w:szCs w:val="20"/>
        </w:rPr>
        <w:t xml:space="preserve"> </w:t>
      </w:r>
      <w:r>
        <w:rPr>
          <w:rFonts w:ascii="Times New Roman" w:hAnsi="Times New Roman" w:eastAsia="Times New Roman" w:cs="Times New Roman"/>
          <w:spacing w:val="-1"/>
          <w:sz w:val="20"/>
          <w:szCs w:val="20"/>
        </w:rPr>
        <w:t>health</w:t>
      </w:r>
      <w:r>
        <w:rPr>
          <w:rFonts w:ascii="Times New Roman" w:hAnsi="Times New Roman" w:eastAsia="Times New Roman" w:cs="Times New Roman"/>
          <w:spacing w:val="39"/>
          <w:w w:val="101"/>
          <w:sz w:val="20"/>
          <w:szCs w:val="20"/>
        </w:rPr>
        <w:t xml:space="preserve"> </w:t>
      </w:r>
      <w:r>
        <w:rPr>
          <w:rFonts w:ascii="Times New Roman" w:hAnsi="Times New Roman" w:eastAsia="Times New Roman" w:cs="Times New Roman"/>
          <w:spacing w:val="-1"/>
          <w:sz w:val="20"/>
          <w:szCs w:val="20"/>
        </w:rPr>
        <w:t>information</w:t>
      </w:r>
      <w:r>
        <w:rPr>
          <w:rFonts w:ascii="Times New Roman" w:hAnsi="Times New Roman" w:eastAsia="Times New Roman" w:cs="Times New Roman"/>
          <w:spacing w:val="39"/>
          <w:sz w:val="20"/>
          <w:szCs w:val="20"/>
        </w:rPr>
        <w:t xml:space="preserve"> </w:t>
      </w:r>
      <w:r>
        <w:rPr>
          <w:rFonts w:ascii="Times New Roman" w:hAnsi="Times New Roman" w:eastAsia="Times New Roman" w:cs="Times New Roman"/>
          <w:spacing w:val="-1"/>
          <w:sz w:val="20"/>
          <w:szCs w:val="20"/>
        </w:rPr>
        <w:t>in</w:t>
      </w:r>
      <w:r>
        <w:rPr>
          <w:rFonts w:ascii="Times New Roman" w:hAnsi="Times New Roman" w:eastAsia="Times New Roman" w:cs="Times New Roman"/>
          <w:spacing w:val="40"/>
          <w:w w:val="101"/>
          <w:sz w:val="20"/>
          <w:szCs w:val="20"/>
        </w:rPr>
        <w:t xml:space="preserve"> </w:t>
      </w:r>
      <w:r>
        <w:rPr>
          <w:rFonts w:ascii="Times New Roman" w:hAnsi="Times New Roman" w:eastAsia="Times New Roman" w:cs="Times New Roman"/>
          <w:spacing w:val="-1"/>
          <w:sz w:val="20"/>
          <w:szCs w:val="20"/>
        </w:rPr>
        <w:t>a</w:t>
      </w:r>
      <w:r>
        <w:rPr>
          <w:rFonts w:ascii="Times New Roman" w:hAnsi="Times New Roman" w:eastAsia="Times New Roman" w:cs="Times New Roman"/>
          <w:spacing w:val="39"/>
          <w:w w:val="101"/>
          <w:sz w:val="20"/>
          <w:szCs w:val="20"/>
        </w:rPr>
        <w:t xml:space="preserve"> </w:t>
      </w:r>
      <w:r>
        <w:rPr>
          <w:rFonts w:ascii="Times New Roman" w:hAnsi="Times New Roman" w:eastAsia="Times New Roman" w:cs="Times New Roman"/>
          <w:spacing w:val="-1"/>
          <w:sz w:val="20"/>
          <w:szCs w:val="20"/>
        </w:rPr>
        <w:t>long-term,continuing,</w:t>
      </w:r>
      <w:r>
        <w:rPr>
          <w:rFonts w:ascii="Times New Roman" w:hAnsi="Times New Roman" w:eastAsia="Times New Roman" w:cs="Times New Roman"/>
          <w:sz w:val="20"/>
          <w:szCs w:val="20"/>
        </w:rPr>
        <w:t xml:space="preserve"> and</w:t>
      </w:r>
      <w:r>
        <w:rPr>
          <w:rFonts w:ascii="Times New Roman" w:hAnsi="Times New Roman" w:eastAsia="Times New Roman" w:cs="Times New Roman"/>
          <w:spacing w:val="29"/>
          <w:w w:val="101"/>
          <w:sz w:val="20"/>
          <w:szCs w:val="20"/>
        </w:rPr>
        <w:t xml:space="preserve"> </w:t>
      </w:r>
      <w:r>
        <w:rPr>
          <w:rFonts w:ascii="Times New Roman" w:hAnsi="Times New Roman" w:eastAsia="Times New Roman" w:cs="Times New Roman"/>
          <w:sz w:val="20"/>
          <w:szCs w:val="20"/>
        </w:rPr>
        <w:t>systematic</w:t>
      </w:r>
      <w:r>
        <w:rPr>
          <w:rFonts w:ascii="Times New Roman" w:hAnsi="Times New Roman" w:eastAsia="Times New Roman" w:cs="Times New Roman"/>
          <w:spacing w:val="21"/>
          <w:sz w:val="20"/>
          <w:szCs w:val="20"/>
        </w:rPr>
        <w:t xml:space="preserve"> </w:t>
      </w:r>
      <w:r>
        <w:rPr>
          <w:rFonts w:ascii="Times New Roman" w:hAnsi="Times New Roman" w:eastAsia="Times New Roman" w:cs="Times New Roman"/>
          <w:sz w:val="20"/>
          <w:szCs w:val="20"/>
        </w:rPr>
        <w:t>manner.Surveillance</w:t>
      </w:r>
      <w:r>
        <w:rPr>
          <w:rFonts w:ascii="Times New Roman" w:hAnsi="Times New Roman" w:eastAsia="Times New Roman" w:cs="Times New Roman"/>
          <w:spacing w:val="25"/>
          <w:w w:val="101"/>
          <w:sz w:val="20"/>
          <w:szCs w:val="20"/>
        </w:rPr>
        <w:t xml:space="preserve"> </w:t>
      </w:r>
      <w:r>
        <w:rPr>
          <w:rFonts w:ascii="Times New Roman" w:hAnsi="Times New Roman" w:eastAsia="Times New Roman" w:cs="Times New Roman"/>
          <w:sz w:val="20"/>
          <w:szCs w:val="20"/>
        </w:rPr>
        <w:t>i</w:t>
      </w:r>
      <w:r>
        <w:rPr>
          <w:rFonts w:ascii="Times New Roman" w:hAnsi="Times New Roman" w:eastAsia="Times New Roman" w:cs="Times New Roman"/>
          <w:spacing w:val="-1"/>
          <w:sz w:val="20"/>
          <w:szCs w:val="20"/>
        </w:rPr>
        <w:t>nformation</w:t>
      </w:r>
      <w:r>
        <w:rPr>
          <w:rFonts w:ascii="Times New Roman" w:hAnsi="Times New Roman" w:eastAsia="Times New Roman" w:cs="Times New Roman"/>
          <w:spacing w:val="26"/>
          <w:w w:val="101"/>
          <w:sz w:val="20"/>
          <w:szCs w:val="20"/>
        </w:rPr>
        <w:t xml:space="preserve"> </w:t>
      </w:r>
      <w:r>
        <w:rPr>
          <w:rFonts w:ascii="Times New Roman" w:hAnsi="Times New Roman" w:eastAsia="Times New Roman" w:cs="Times New Roman"/>
          <w:spacing w:val="-1"/>
          <w:sz w:val="20"/>
          <w:szCs w:val="20"/>
        </w:rPr>
        <w:t>can</w:t>
      </w:r>
      <w:r>
        <w:rPr>
          <w:rFonts w:ascii="Times New Roman" w:hAnsi="Times New Roman" w:eastAsia="Times New Roman" w:cs="Times New Roman"/>
          <w:spacing w:val="19"/>
          <w:w w:val="101"/>
          <w:sz w:val="20"/>
          <w:szCs w:val="20"/>
        </w:rPr>
        <w:t xml:space="preserve"> </w:t>
      </w:r>
      <w:r>
        <w:rPr>
          <w:rFonts w:ascii="Times New Roman" w:hAnsi="Times New Roman" w:eastAsia="Times New Roman" w:cs="Times New Roman"/>
          <w:spacing w:val="-1"/>
          <w:sz w:val="20"/>
          <w:szCs w:val="20"/>
        </w:rPr>
        <w:t>be</w:t>
      </w:r>
      <w:r>
        <w:rPr>
          <w:rFonts w:ascii="Times New Roman" w:hAnsi="Times New Roman" w:eastAsia="Times New Roman" w:cs="Times New Roman"/>
          <w:spacing w:val="20"/>
          <w:sz w:val="20"/>
          <w:szCs w:val="20"/>
        </w:rPr>
        <w:t xml:space="preserve"> </w:t>
      </w:r>
      <w:r>
        <w:rPr>
          <w:rFonts w:ascii="Times New Roman" w:hAnsi="Times New Roman" w:eastAsia="Times New Roman" w:cs="Times New Roman"/>
          <w:spacing w:val="-1"/>
          <w:sz w:val="20"/>
          <w:szCs w:val="20"/>
        </w:rPr>
        <w:t>used</w:t>
      </w:r>
      <w:r>
        <w:rPr>
          <w:rFonts w:ascii="Times New Roman" w:hAnsi="Times New Roman" w:eastAsia="Times New Roman" w:cs="Times New Roman"/>
          <w:spacing w:val="21"/>
          <w:sz w:val="20"/>
          <w:szCs w:val="20"/>
        </w:rPr>
        <w:t xml:space="preserve"> </w:t>
      </w:r>
      <w:r>
        <w:rPr>
          <w:rFonts w:ascii="Times New Roman" w:hAnsi="Times New Roman" w:eastAsia="Times New Roman" w:cs="Times New Roman"/>
          <w:spacing w:val="-1"/>
          <w:sz w:val="20"/>
          <w:szCs w:val="20"/>
        </w:rPr>
        <w:t>to</w:t>
      </w:r>
      <w:r>
        <w:rPr>
          <w:rFonts w:ascii="Times New Roman" w:hAnsi="Times New Roman" w:eastAsia="Times New Roman" w:cs="Times New Roman"/>
          <w:spacing w:val="27"/>
          <w:sz w:val="20"/>
          <w:szCs w:val="20"/>
        </w:rPr>
        <w:t xml:space="preserve"> </w:t>
      </w:r>
      <w:r>
        <w:rPr>
          <w:rFonts w:ascii="Times New Roman" w:hAnsi="Times New Roman" w:eastAsia="Times New Roman" w:cs="Times New Roman"/>
          <w:spacing w:val="-1"/>
          <w:sz w:val="20"/>
          <w:szCs w:val="20"/>
        </w:rPr>
        <w:t>assess</w:t>
      </w:r>
      <w:r>
        <w:rPr>
          <w:rFonts w:ascii="Times New Roman" w:hAnsi="Times New Roman" w:eastAsia="Times New Roman" w:cs="Times New Roman"/>
          <w:spacing w:val="21"/>
          <w:w w:val="101"/>
          <w:sz w:val="20"/>
          <w:szCs w:val="20"/>
        </w:rPr>
        <w:t xml:space="preserve"> </w:t>
      </w:r>
      <w:r>
        <w:rPr>
          <w:rFonts w:ascii="Times New Roman" w:hAnsi="Times New Roman" w:eastAsia="Times New Roman" w:cs="Times New Roman"/>
          <w:spacing w:val="-1"/>
          <w:sz w:val="20"/>
          <w:szCs w:val="20"/>
        </w:rPr>
        <w:t>the</w:t>
      </w:r>
      <w:r>
        <w:rPr>
          <w:rFonts w:ascii="Times New Roman" w:hAnsi="Times New Roman" w:eastAsia="Times New Roman" w:cs="Times New Roman"/>
          <w:spacing w:val="29"/>
          <w:w w:val="101"/>
          <w:sz w:val="20"/>
          <w:szCs w:val="20"/>
        </w:rPr>
        <w:t xml:space="preserve"> </w:t>
      </w:r>
      <w:r>
        <w:rPr>
          <w:rFonts w:ascii="Times New Roman" w:hAnsi="Times New Roman" w:eastAsia="Times New Roman" w:cs="Times New Roman"/>
          <w:spacing w:val="-1"/>
          <w:sz w:val="20"/>
          <w:szCs w:val="20"/>
        </w:rPr>
        <w:t>status</w:t>
      </w:r>
      <w:r>
        <w:rPr>
          <w:rFonts w:ascii="Times New Roman" w:hAnsi="Times New Roman" w:eastAsia="Times New Roman" w:cs="Times New Roman"/>
          <w:spacing w:val="26"/>
          <w:w w:val="101"/>
          <w:sz w:val="20"/>
          <w:szCs w:val="20"/>
        </w:rPr>
        <w:t xml:space="preserve"> </w:t>
      </w:r>
      <w:r>
        <w:rPr>
          <w:rFonts w:ascii="Times New Roman" w:hAnsi="Times New Roman" w:eastAsia="Times New Roman" w:cs="Times New Roman"/>
          <w:spacing w:val="-1"/>
          <w:sz w:val="20"/>
          <w:szCs w:val="20"/>
        </w:rPr>
        <w:t>of a</w:t>
      </w:r>
      <w:r>
        <w:rPr>
          <w:rFonts w:ascii="Times New Roman" w:hAnsi="Times New Roman" w:eastAsia="Times New Roman" w:cs="Times New Roman"/>
          <w:spacing w:val="19"/>
          <w:sz w:val="20"/>
          <w:szCs w:val="20"/>
        </w:rPr>
        <w:t xml:space="preserve"> </w:t>
      </w:r>
      <w:r>
        <w:rPr>
          <w:rFonts w:ascii="Times New Roman" w:hAnsi="Times New Roman" w:eastAsia="Times New Roman" w:cs="Times New Roman"/>
          <w:spacing w:val="-1"/>
          <w:sz w:val="20"/>
          <w:szCs w:val="20"/>
        </w:rPr>
        <w:t>particular</w:t>
      </w:r>
      <w:r>
        <w:rPr>
          <w:rFonts w:ascii="Times New Roman" w:hAnsi="Times New Roman" w:eastAsia="Times New Roman" w:cs="Times New Roman"/>
          <w:spacing w:val="25"/>
          <w:sz w:val="20"/>
          <w:szCs w:val="20"/>
        </w:rPr>
        <w:t xml:space="preserve"> </w:t>
      </w:r>
      <w:r>
        <w:rPr>
          <w:rFonts w:ascii="Times New Roman" w:hAnsi="Times New Roman" w:eastAsia="Times New Roman" w:cs="Times New Roman"/>
          <w:spacing w:val="-1"/>
          <w:sz w:val="20"/>
          <w:szCs w:val="20"/>
        </w:rPr>
        <w:t>disease</w:t>
      </w:r>
      <w:r>
        <w:rPr>
          <w:rFonts w:ascii="Times New Roman" w:hAnsi="Times New Roman" w:eastAsia="Times New Roman" w:cs="Times New Roman"/>
          <w:spacing w:val="26"/>
          <w:w w:val="101"/>
          <w:sz w:val="20"/>
          <w:szCs w:val="20"/>
        </w:rPr>
        <w:t xml:space="preserve"> </w:t>
      </w:r>
      <w:r>
        <w:rPr>
          <w:rFonts w:ascii="Times New Roman" w:hAnsi="Times New Roman" w:eastAsia="Times New Roman" w:cs="Times New Roman"/>
          <w:spacing w:val="-1"/>
          <w:sz w:val="20"/>
          <w:szCs w:val="20"/>
        </w:rPr>
        <w:t>or</w:t>
      </w:r>
      <w:r>
        <w:rPr>
          <w:rFonts w:ascii="Times New Roman" w:hAnsi="Times New Roman" w:eastAsia="Times New Roman" w:cs="Times New Roman"/>
          <w:sz w:val="20"/>
          <w:szCs w:val="20"/>
        </w:rPr>
        <w:t xml:space="preserve"> public</w:t>
      </w:r>
      <w:r>
        <w:rPr>
          <w:rFonts w:ascii="Times New Roman" w:hAnsi="Times New Roman" w:eastAsia="Times New Roman" w:cs="Times New Roman"/>
          <w:spacing w:val="34"/>
          <w:sz w:val="20"/>
          <w:szCs w:val="20"/>
        </w:rPr>
        <w:t xml:space="preserve"> </w:t>
      </w:r>
      <w:r>
        <w:rPr>
          <w:rFonts w:ascii="Times New Roman" w:hAnsi="Times New Roman" w:eastAsia="Times New Roman" w:cs="Times New Roman"/>
          <w:sz w:val="20"/>
          <w:szCs w:val="20"/>
        </w:rPr>
        <w:t>health</w:t>
      </w:r>
      <w:r>
        <w:rPr>
          <w:rFonts w:ascii="Times New Roman" w:hAnsi="Times New Roman" w:eastAsia="Times New Roman" w:cs="Times New Roman"/>
          <w:spacing w:val="31"/>
          <w:w w:val="101"/>
          <w:sz w:val="20"/>
          <w:szCs w:val="20"/>
        </w:rPr>
        <w:t xml:space="preserve"> </w:t>
      </w:r>
      <w:r>
        <w:rPr>
          <w:rFonts w:ascii="Times New Roman" w:hAnsi="Times New Roman" w:eastAsia="Times New Roman" w:cs="Times New Roman"/>
          <w:sz w:val="20"/>
          <w:szCs w:val="20"/>
        </w:rPr>
        <w:t>problem</w:t>
      </w:r>
      <w:r>
        <w:rPr>
          <w:rFonts w:ascii="Times New Roman" w:hAnsi="Times New Roman" w:eastAsia="Times New Roman" w:cs="Times New Roman"/>
          <w:spacing w:val="38"/>
          <w:sz w:val="20"/>
          <w:szCs w:val="20"/>
        </w:rPr>
        <w:t xml:space="preserve"> </w:t>
      </w:r>
      <w:r>
        <w:rPr>
          <w:rFonts w:ascii="Times New Roman" w:hAnsi="Times New Roman" w:eastAsia="Times New Roman" w:cs="Times New Roman"/>
          <w:sz w:val="20"/>
          <w:szCs w:val="20"/>
        </w:rPr>
        <w:t>in</w:t>
      </w:r>
      <w:r>
        <w:rPr>
          <w:rFonts w:ascii="Times New Roman" w:hAnsi="Times New Roman" w:eastAsia="Times New Roman" w:cs="Times New Roman"/>
          <w:spacing w:val="39"/>
          <w:w w:val="101"/>
          <w:sz w:val="20"/>
          <w:szCs w:val="20"/>
        </w:rPr>
        <w:t xml:space="preserve"> </w:t>
      </w:r>
      <w:r>
        <w:rPr>
          <w:rFonts w:ascii="Times New Roman" w:hAnsi="Times New Roman" w:eastAsia="Times New Roman" w:cs="Times New Roman"/>
          <w:sz w:val="20"/>
          <w:szCs w:val="20"/>
        </w:rPr>
        <w:t>a</w:t>
      </w:r>
      <w:r>
        <w:rPr>
          <w:rFonts w:ascii="Times New Roman" w:hAnsi="Times New Roman" w:eastAsia="Times New Roman" w:cs="Times New Roman"/>
          <w:spacing w:val="39"/>
          <w:sz w:val="20"/>
          <w:szCs w:val="20"/>
        </w:rPr>
        <w:t xml:space="preserve"> </w:t>
      </w:r>
      <w:r>
        <w:rPr>
          <w:rFonts w:ascii="Times New Roman" w:hAnsi="Times New Roman" w:eastAsia="Times New Roman" w:cs="Times New Roman"/>
          <w:sz w:val="20"/>
          <w:szCs w:val="20"/>
        </w:rPr>
        <w:t>certain</w:t>
      </w:r>
      <w:r>
        <w:rPr>
          <w:rFonts w:ascii="Times New Roman" w:hAnsi="Times New Roman" w:eastAsia="Times New Roman" w:cs="Times New Roman"/>
          <w:spacing w:val="39"/>
          <w:sz w:val="20"/>
          <w:szCs w:val="20"/>
        </w:rPr>
        <w:t xml:space="preserve"> </w:t>
      </w:r>
      <w:r>
        <w:rPr>
          <w:rFonts w:ascii="Times New Roman" w:hAnsi="Times New Roman" w:eastAsia="Times New Roman" w:cs="Times New Roman"/>
          <w:sz w:val="20"/>
          <w:szCs w:val="20"/>
        </w:rPr>
        <w:t>area,to</w:t>
      </w:r>
      <w:r>
        <w:rPr>
          <w:rFonts w:ascii="Times New Roman" w:hAnsi="Times New Roman" w:eastAsia="Times New Roman" w:cs="Times New Roman"/>
          <w:spacing w:val="32"/>
          <w:sz w:val="20"/>
          <w:szCs w:val="20"/>
        </w:rPr>
        <w:t xml:space="preserve"> </w:t>
      </w:r>
      <w:r>
        <w:rPr>
          <w:rFonts w:ascii="Times New Roman" w:hAnsi="Times New Roman" w:eastAsia="Times New Roman" w:cs="Times New Roman"/>
          <w:sz w:val="20"/>
          <w:szCs w:val="20"/>
        </w:rPr>
        <w:t>p</w:t>
      </w:r>
      <w:r>
        <w:rPr>
          <w:rFonts w:ascii="Times New Roman" w:hAnsi="Times New Roman" w:eastAsia="Times New Roman" w:cs="Times New Roman"/>
          <w:spacing w:val="-1"/>
          <w:sz w:val="20"/>
          <w:szCs w:val="20"/>
        </w:rPr>
        <w:t>redict</w:t>
      </w:r>
      <w:r>
        <w:rPr>
          <w:rFonts w:ascii="Times New Roman" w:hAnsi="Times New Roman" w:eastAsia="Times New Roman" w:cs="Times New Roman"/>
          <w:spacing w:val="33"/>
          <w:w w:val="101"/>
          <w:sz w:val="20"/>
          <w:szCs w:val="20"/>
        </w:rPr>
        <w:t xml:space="preserve"> </w:t>
      </w:r>
      <w:r>
        <w:rPr>
          <w:rFonts w:ascii="Times New Roman" w:hAnsi="Times New Roman" w:eastAsia="Times New Roman" w:cs="Times New Roman"/>
          <w:spacing w:val="-1"/>
          <w:sz w:val="20"/>
          <w:szCs w:val="20"/>
        </w:rPr>
        <w:t>the</w:t>
      </w:r>
      <w:r>
        <w:rPr>
          <w:rFonts w:ascii="Times New Roman" w:hAnsi="Times New Roman" w:eastAsia="Times New Roman" w:cs="Times New Roman"/>
          <w:spacing w:val="38"/>
          <w:sz w:val="20"/>
          <w:szCs w:val="20"/>
        </w:rPr>
        <w:t xml:space="preserve"> </w:t>
      </w:r>
      <w:r>
        <w:rPr>
          <w:rFonts w:ascii="Times New Roman" w:hAnsi="Times New Roman" w:eastAsia="Times New Roman" w:cs="Times New Roman"/>
          <w:spacing w:val="-1"/>
          <w:sz w:val="20"/>
          <w:szCs w:val="20"/>
        </w:rPr>
        <w:t>likelihood</w:t>
      </w:r>
      <w:r>
        <w:rPr>
          <w:rFonts w:ascii="Times New Roman" w:hAnsi="Times New Roman" w:eastAsia="Times New Roman" w:cs="Times New Roman"/>
          <w:spacing w:val="39"/>
          <w:sz w:val="20"/>
          <w:szCs w:val="20"/>
        </w:rPr>
        <w:t xml:space="preserve"> </w:t>
      </w:r>
      <w:r>
        <w:rPr>
          <w:rFonts w:ascii="Times New Roman" w:hAnsi="Times New Roman" w:eastAsia="Times New Roman" w:cs="Times New Roman"/>
          <w:spacing w:val="-1"/>
          <w:sz w:val="20"/>
          <w:szCs w:val="20"/>
        </w:rPr>
        <w:t>and</w:t>
      </w:r>
      <w:r>
        <w:rPr>
          <w:rFonts w:ascii="Times New Roman" w:hAnsi="Times New Roman" w:eastAsia="Times New Roman" w:cs="Times New Roman"/>
          <w:spacing w:val="41"/>
          <w:w w:val="101"/>
          <w:sz w:val="20"/>
          <w:szCs w:val="20"/>
        </w:rPr>
        <w:t xml:space="preserve"> </w:t>
      </w:r>
      <w:r>
        <w:rPr>
          <w:rFonts w:ascii="Times New Roman" w:hAnsi="Times New Roman" w:eastAsia="Times New Roman" w:cs="Times New Roman"/>
          <w:spacing w:val="-1"/>
          <w:sz w:val="20"/>
          <w:szCs w:val="20"/>
        </w:rPr>
        <w:t>scale</w:t>
      </w:r>
      <w:r>
        <w:rPr>
          <w:rFonts w:ascii="Times New Roman" w:hAnsi="Times New Roman" w:eastAsia="Times New Roman" w:cs="Times New Roman"/>
          <w:spacing w:val="39"/>
          <w:sz w:val="20"/>
          <w:szCs w:val="20"/>
        </w:rPr>
        <w:t xml:space="preserve"> </w:t>
      </w:r>
      <w:r>
        <w:rPr>
          <w:rFonts w:ascii="Times New Roman" w:hAnsi="Times New Roman" w:eastAsia="Times New Roman" w:cs="Times New Roman"/>
          <w:spacing w:val="-1"/>
          <w:sz w:val="20"/>
          <w:szCs w:val="20"/>
        </w:rPr>
        <w:t>of</w:t>
      </w:r>
      <w:r>
        <w:rPr>
          <w:rFonts w:ascii="Times New Roman" w:hAnsi="Times New Roman" w:eastAsia="Times New Roman" w:cs="Times New Roman"/>
          <w:spacing w:val="14"/>
          <w:sz w:val="20"/>
          <w:szCs w:val="20"/>
        </w:rPr>
        <w:t xml:space="preserve"> </w:t>
      </w:r>
      <w:r>
        <w:rPr>
          <w:rFonts w:ascii="Times New Roman" w:hAnsi="Times New Roman" w:eastAsia="Times New Roman" w:cs="Times New Roman"/>
          <w:spacing w:val="-1"/>
          <w:sz w:val="20"/>
          <w:szCs w:val="20"/>
        </w:rPr>
        <w:t>the</w:t>
      </w:r>
      <w:r>
        <w:rPr>
          <w:rFonts w:ascii="Times New Roman" w:hAnsi="Times New Roman" w:eastAsia="Times New Roman" w:cs="Times New Roman"/>
          <w:spacing w:val="38"/>
          <w:w w:val="101"/>
          <w:sz w:val="20"/>
          <w:szCs w:val="20"/>
        </w:rPr>
        <w:t xml:space="preserve"> </w:t>
      </w:r>
      <w:r>
        <w:rPr>
          <w:rFonts w:ascii="Times New Roman" w:hAnsi="Times New Roman" w:eastAsia="Times New Roman" w:cs="Times New Roman"/>
          <w:spacing w:val="-1"/>
          <w:sz w:val="20"/>
          <w:szCs w:val="20"/>
        </w:rPr>
        <w:t>occurrence</w:t>
      </w:r>
      <w:r>
        <w:rPr>
          <w:rFonts w:ascii="Times New Roman" w:hAnsi="Times New Roman" w:eastAsia="Times New Roman" w:cs="Times New Roman"/>
          <w:spacing w:val="39"/>
          <w:sz w:val="20"/>
          <w:szCs w:val="20"/>
        </w:rPr>
        <w:t xml:space="preserve"> </w:t>
      </w:r>
      <w:r>
        <w:rPr>
          <w:rFonts w:ascii="Times New Roman" w:hAnsi="Times New Roman" w:eastAsia="Times New Roman" w:cs="Times New Roman"/>
          <w:spacing w:val="-1"/>
          <w:sz w:val="20"/>
          <w:szCs w:val="20"/>
        </w:rPr>
        <w:t>of</w:t>
      </w:r>
      <w:r>
        <w:rPr>
          <w:rFonts w:ascii="Times New Roman" w:hAnsi="Times New Roman" w:eastAsia="Times New Roman" w:cs="Times New Roman"/>
          <w:spacing w:val="19"/>
          <w:sz w:val="20"/>
          <w:szCs w:val="20"/>
        </w:rPr>
        <w:t xml:space="preserve"> </w:t>
      </w:r>
      <w:r>
        <w:rPr>
          <w:rFonts w:ascii="Times New Roman" w:hAnsi="Times New Roman" w:eastAsia="Times New Roman" w:cs="Times New Roman"/>
          <w:spacing w:val="-1"/>
          <w:sz w:val="20"/>
          <w:szCs w:val="20"/>
        </w:rPr>
        <w:t>a</w:t>
      </w:r>
      <w:r>
        <w:rPr>
          <w:rFonts w:ascii="Times New Roman" w:hAnsi="Times New Roman" w:eastAsia="Times New Roman" w:cs="Times New Roman"/>
          <w:spacing w:val="33"/>
          <w:w w:val="101"/>
          <w:sz w:val="20"/>
          <w:szCs w:val="20"/>
        </w:rPr>
        <w:t xml:space="preserve"> </w:t>
      </w:r>
      <w:r>
        <w:rPr>
          <w:rFonts w:ascii="Times New Roman" w:hAnsi="Times New Roman" w:eastAsia="Times New Roman" w:cs="Times New Roman"/>
          <w:spacing w:val="-1"/>
          <w:sz w:val="20"/>
          <w:szCs w:val="20"/>
        </w:rPr>
        <w:t>health</w:t>
      </w:r>
      <w:r>
        <w:rPr>
          <w:rFonts w:ascii="Times New Roman" w:hAnsi="Times New Roman" w:eastAsia="Times New Roman" w:cs="Times New Roman"/>
          <w:sz w:val="20"/>
          <w:szCs w:val="20"/>
        </w:rPr>
        <w:t xml:space="preserve"> event,to</w:t>
      </w:r>
      <w:r>
        <w:rPr>
          <w:rFonts w:ascii="Times New Roman" w:hAnsi="Times New Roman" w:eastAsia="Times New Roman" w:cs="Times New Roman"/>
          <w:spacing w:val="49"/>
          <w:sz w:val="20"/>
          <w:szCs w:val="20"/>
        </w:rPr>
        <w:t xml:space="preserve"> </w:t>
      </w:r>
      <w:r>
        <w:rPr>
          <w:rFonts w:ascii="Times New Roman" w:hAnsi="Times New Roman" w:eastAsia="Times New Roman" w:cs="Times New Roman"/>
          <w:sz w:val="20"/>
          <w:szCs w:val="20"/>
        </w:rPr>
        <w:t>provide  hypotheses  for  causes  and  influencing  factors  of</w:t>
      </w:r>
      <w:r>
        <w:rPr>
          <w:rFonts w:ascii="Times New Roman" w:hAnsi="Times New Roman" w:eastAsia="Times New Roman" w:cs="Times New Roman"/>
          <w:spacing w:val="29"/>
          <w:sz w:val="20"/>
          <w:szCs w:val="20"/>
        </w:rPr>
        <w:t xml:space="preserve"> </w:t>
      </w:r>
      <w:r>
        <w:rPr>
          <w:rFonts w:ascii="Times New Roman" w:hAnsi="Times New Roman" w:eastAsia="Times New Roman" w:cs="Times New Roman"/>
          <w:sz w:val="20"/>
          <w:szCs w:val="20"/>
        </w:rPr>
        <w:t>public  health</w:t>
      </w:r>
      <w:r>
        <w:rPr>
          <w:rFonts w:ascii="Times New Roman" w:hAnsi="Times New Roman" w:eastAsia="Times New Roman" w:cs="Times New Roman"/>
          <w:spacing w:val="2"/>
          <w:sz w:val="20"/>
          <w:szCs w:val="20"/>
        </w:rPr>
        <w:t xml:space="preserve">  </w:t>
      </w:r>
      <w:r>
        <w:rPr>
          <w:rFonts w:ascii="Times New Roman" w:hAnsi="Times New Roman" w:eastAsia="Times New Roman" w:cs="Times New Roman"/>
          <w:sz w:val="20"/>
          <w:szCs w:val="20"/>
        </w:rPr>
        <w:t>incidents,t</w:t>
      </w:r>
      <w:r>
        <w:rPr>
          <w:rFonts w:ascii="Times New Roman" w:hAnsi="Times New Roman" w:eastAsia="Times New Roman" w:cs="Times New Roman"/>
          <w:spacing w:val="-1"/>
          <w:sz w:val="20"/>
          <w:szCs w:val="20"/>
        </w:rPr>
        <w:t>o  provide</w:t>
      </w:r>
      <w:r>
        <w:rPr>
          <w:rFonts w:ascii="Times New Roman" w:hAnsi="Times New Roman" w:eastAsia="Times New Roman" w:cs="Times New Roman"/>
          <w:spacing w:val="4"/>
          <w:sz w:val="20"/>
          <w:szCs w:val="20"/>
        </w:rPr>
        <w:t xml:space="preserve">  </w:t>
      </w:r>
      <w:r>
        <w:rPr>
          <w:rFonts w:ascii="Times New Roman" w:hAnsi="Times New Roman" w:eastAsia="Times New Roman" w:cs="Times New Roman"/>
          <w:spacing w:val="-1"/>
          <w:sz w:val="20"/>
          <w:szCs w:val="20"/>
        </w:rPr>
        <w:t>a</w:t>
      </w:r>
      <w:r>
        <w:rPr>
          <w:rFonts w:ascii="Times New Roman" w:hAnsi="Times New Roman" w:eastAsia="Times New Roman" w:cs="Times New Roman"/>
          <w:sz w:val="20"/>
          <w:szCs w:val="20"/>
        </w:rPr>
        <w:t xml:space="preserve"> reference</w:t>
      </w:r>
      <w:r>
        <w:rPr>
          <w:rFonts w:ascii="Times New Roman" w:hAnsi="Times New Roman" w:eastAsia="Times New Roman" w:cs="Times New Roman"/>
          <w:spacing w:val="19"/>
          <w:w w:val="101"/>
          <w:sz w:val="20"/>
          <w:szCs w:val="20"/>
        </w:rPr>
        <w:t xml:space="preserve"> </w:t>
      </w:r>
      <w:r>
        <w:rPr>
          <w:rFonts w:ascii="Times New Roman" w:hAnsi="Times New Roman" w:eastAsia="Times New Roman" w:cs="Times New Roman"/>
          <w:sz w:val="20"/>
          <w:szCs w:val="20"/>
        </w:rPr>
        <w:t>for</w:t>
      </w:r>
      <w:r>
        <w:rPr>
          <w:rFonts w:ascii="Times New Roman" w:hAnsi="Times New Roman" w:eastAsia="Times New Roman" w:cs="Times New Roman"/>
          <w:spacing w:val="17"/>
          <w:w w:val="101"/>
          <w:sz w:val="20"/>
          <w:szCs w:val="20"/>
        </w:rPr>
        <w:t xml:space="preserve"> </w:t>
      </w:r>
      <w:r>
        <w:rPr>
          <w:rFonts w:ascii="Times New Roman" w:hAnsi="Times New Roman" w:eastAsia="Times New Roman" w:cs="Times New Roman"/>
          <w:sz w:val="20"/>
          <w:szCs w:val="20"/>
        </w:rPr>
        <w:t>developing</w:t>
      </w:r>
      <w:r>
        <w:rPr>
          <w:rFonts w:ascii="Times New Roman" w:hAnsi="Times New Roman" w:eastAsia="Times New Roman" w:cs="Times New Roman"/>
          <w:spacing w:val="19"/>
          <w:sz w:val="20"/>
          <w:szCs w:val="20"/>
        </w:rPr>
        <w:t xml:space="preserve"> </w:t>
      </w:r>
      <w:r>
        <w:rPr>
          <w:rFonts w:ascii="Times New Roman" w:hAnsi="Times New Roman" w:eastAsia="Times New Roman" w:cs="Times New Roman"/>
          <w:sz w:val="20"/>
          <w:szCs w:val="20"/>
        </w:rPr>
        <w:t>appropriate</w:t>
      </w:r>
      <w:r>
        <w:rPr>
          <w:rFonts w:ascii="Times New Roman" w:hAnsi="Times New Roman" w:eastAsia="Times New Roman" w:cs="Times New Roman"/>
          <w:spacing w:val="18"/>
          <w:w w:val="101"/>
          <w:sz w:val="20"/>
          <w:szCs w:val="20"/>
        </w:rPr>
        <w:t xml:space="preserve"> </w:t>
      </w:r>
      <w:r>
        <w:rPr>
          <w:rFonts w:ascii="Times New Roman" w:hAnsi="Times New Roman" w:eastAsia="Times New Roman" w:cs="Times New Roman"/>
          <w:sz w:val="20"/>
          <w:szCs w:val="20"/>
        </w:rPr>
        <w:t>co</w:t>
      </w:r>
      <w:r>
        <w:rPr>
          <w:rFonts w:ascii="Times New Roman" w:hAnsi="Times New Roman" w:eastAsia="Times New Roman" w:cs="Times New Roman"/>
          <w:spacing w:val="-1"/>
          <w:sz w:val="20"/>
          <w:szCs w:val="20"/>
        </w:rPr>
        <w:t>ntrol</w:t>
      </w:r>
      <w:r>
        <w:rPr>
          <w:rFonts w:ascii="Times New Roman" w:hAnsi="Times New Roman" w:eastAsia="Times New Roman" w:cs="Times New Roman"/>
          <w:spacing w:val="13"/>
          <w:w w:val="101"/>
          <w:sz w:val="20"/>
          <w:szCs w:val="20"/>
        </w:rPr>
        <w:t xml:space="preserve"> </w:t>
      </w:r>
      <w:r>
        <w:rPr>
          <w:rFonts w:ascii="Times New Roman" w:hAnsi="Times New Roman" w:eastAsia="Times New Roman" w:cs="Times New Roman"/>
          <w:spacing w:val="-1"/>
          <w:sz w:val="20"/>
          <w:szCs w:val="20"/>
        </w:rPr>
        <w:t>measures,and</w:t>
      </w:r>
      <w:r>
        <w:rPr>
          <w:rFonts w:ascii="Times New Roman" w:hAnsi="Times New Roman" w:eastAsia="Times New Roman" w:cs="Times New Roman"/>
          <w:spacing w:val="13"/>
          <w:sz w:val="20"/>
          <w:szCs w:val="20"/>
        </w:rPr>
        <w:t xml:space="preserve"> </w:t>
      </w:r>
      <w:r>
        <w:rPr>
          <w:rFonts w:ascii="Times New Roman" w:hAnsi="Times New Roman" w:eastAsia="Times New Roman" w:cs="Times New Roman"/>
          <w:spacing w:val="-1"/>
          <w:sz w:val="20"/>
          <w:szCs w:val="20"/>
        </w:rPr>
        <w:t>to provide</w:t>
      </w:r>
      <w:r>
        <w:rPr>
          <w:rFonts w:ascii="Times New Roman" w:hAnsi="Times New Roman" w:eastAsia="Times New Roman" w:cs="Times New Roman"/>
          <w:spacing w:val="19"/>
          <w:w w:val="101"/>
          <w:sz w:val="20"/>
          <w:szCs w:val="20"/>
        </w:rPr>
        <w:t xml:space="preserve"> </w:t>
      </w:r>
      <w:r>
        <w:rPr>
          <w:rFonts w:ascii="Times New Roman" w:hAnsi="Times New Roman" w:eastAsia="Times New Roman" w:cs="Times New Roman"/>
          <w:spacing w:val="-1"/>
          <w:sz w:val="20"/>
          <w:szCs w:val="20"/>
        </w:rPr>
        <w:t>evidence</w:t>
      </w:r>
      <w:r>
        <w:rPr>
          <w:rFonts w:ascii="Times New Roman" w:hAnsi="Times New Roman" w:eastAsia="Times New Roman" w:cs="Times New Roman"/>
          <w:spacing w:val="19"/>
          <w:w w:val="101"/>
          <w:sz w:val="20"/>
          <w:szCs w:val="20"/>
        </w:rPr>
        <w:t xml:space="preserve"> </w:t>
      </w:r>
      <w:r>
        <w:rPr>
          <w:rFonts w:ascii="Times New Roman" w:hAnsi="Times New Roman" w:eastAsia="Times New Roman" w:cs="Times New Roman"/>
          <w:spacing w:val="-1"/>
          <w:sz w:val="20"/>
          <w:szCs w:val="20"/>
        </w:rPr>
        <w:t>for</w:t>
      </w:r>
      <w:r>
        <w:rPr>
          <w:rFonts w:ascii="Times New Roman" w:hAnsi="Times New Roman" w:eastAsia="Times New Roman" w:cs="Times New Roman"/>
          <w:spacing w:val="18"/>
          <w:sz w:val="20"/>
          <w:szCs w:val="20"/>
        </w:rPr>
        <w:t xml:space="preserve"> </w:t>
      </w:r>
      <w:r>
        <w:rPr>
          <w:rFonts w:ascii="Times New Roman" w:hAnsi="Times New Roman" w:eastAsia="Times New Roman" w:cs="Times New Roman"/>
          <w:spacing w:val="-1"/>
          <w:sz w:val="20"/>
          <w:szCs w:val="20"/>
        </w:rPr>
        <w:t>evaluating</w:t>
      </w:r>
      <w:r>
        <w:rPr>
          <w:rFonts w:ascii="Times New Roman" w:hAnsi="Times New Roman" w:eastAsia="Times New Roman" w:cs="Times New Roman"/>
          <w:spacing w:val="13"/>
          <w:w w:val="101"/>
          <w:sz w:val="20"/>
          <w:szCs w:val="20"/>
        </w:rPr>
        <w:t xml:space="preserve"> </w:t>
      </w:r>
      <w:r>
        <w:rPr>
          <w:rFonts w:ascii="Times New Roman" w:hAnsi="Times New Roman" w:eastAsia="Times New Roman" w:cs="Times New Roman"/>
          <w:spacing w:val="-1"/>
          <w:sz w:val="20"/>
          <w:szCs w:val="20"/>
        </w:rPr>
        <w:t>the</w:t>
      </w:r>
      <w:r>
        <w:rPr>
          <w:rFonts w:ascii="Times New Roman" w:hAnsi="Times New Roman" w:eastAsia="Times New Roman" w:cs="Times New Roman"/>
          <w:spacing w:val="19"/>
          <w:sz w:val="20"/>
          <w:szCs w:val="20"/>
        </w:rPr>
        <w:t xml:space="preserve"> </w:t>
      </w:r>
      <w:r>
        <w:rPr>
          <w:rFonts w:ascii="Times New Roman" w:hAnsi="Times New Roman" w:eastAsia="Times New Roman" w:cs="Times New Roman"/>
          <w:spacing w:val="-1"/>
          <w:sz w:val="20"/>
          <w:szCs w:val="20"/>
        </w:rPr>
        <w:t>adequacy</w:t>
      </w:r>
      <w:r>
        <w:rPr>
          <w:rFonts w:ascii="Times New Roman" w:hAnsi="Times New Roman" w:eastAsia="Times New Roman" w:cs="Times New Roman"/>
          <w:sz w:val="20"/>
          <w:szCs w:val="20"/>
        </w:rPr>
        <w:t xml:space="preserve"> and effectiveness of</w:t>
      </w:r>
      <w:r>
        <w:rPr>
          <w:rFonts w:ascii="Times New Roman" w:hAnsi="Times New Roman" w:eastAsia="Times New Roman" w:cs="Times New Roman"/>
          <w:spacing w:val="-9"/>
          <w:sz w:val="20"/>
          <w:szCs w:val="20"/>
        </w:rPr>
        <w:t xml:space="preserve"> </w:t>
      </w:r>
      <w:r>
        <w:rPr>
          <w:rFonts w:ascii="Times New Roman" w:hAnsi="Times New Roman" w:eastAsia="Times New Roman" w:cs="Times New Roman"/>
          <w:sz w:val="20"/>
          <w:szCs w:val="20"/>
        </w:rPr>
        <w:t>control measures.This chapter focuses on the basic concept</w:t>
      </w:r>
      <w:r>
        <w:rPr>
          <w:rFonts w:ascii="Times New Roman" w:hAnsi="Times New Roman" w:eastAsia="Times New Roman" w:cs="Times New Roman"/>
          <w:spacing w:val="7"/>
          <w:sz w:val="20"/>
          <w:szCs w:val="20"/>
        </w:rPr>
        <w:t xml:space="preserve"> </w:t>
      </w:r>
      <w:r>
        <w:rPr>
          <w:rFonts w:ascii="Times New Roman" w:hAnsi="Times New Roman" w:eastAsia="Times New Roman" w:cs="Times New Roman"/>
          <w:sz w:val="20"/>
          <w:szCs w:val="20"/>
        </w:rPr>
        <w:t>and purpose</w:t>
      </w:r>
      <w:r>
        <w:rPr>
          <w:rFonts w:ascii="Times New Roman" w:hAnsi="Times New Roman" w:eastAsia="Times New Roman" w:cs="Times New Roman"/>
          <w:spacing w:val="7"/>
          <w:sz w:val="20"/>
          <w:szCs w:val="20"/>
        </w:rPr>
        <w:t xml:space="preserve"> </w:t>
      </w:r>
      <w:r>
        <w:rPr>
          <w:rFonts w:ascii="Times New Roman" w:hAnsi="Times New Roman" w:eastAsia="Times New Roman" w:cs="Times New Roman"/>
          <w:sz w:val="20"/>
          <w:szCs w:val="20"/>
        </w:rPr>
        <w:t>of</w:t>
      </w:r>
      <w:r>
        <w:rPr>
          <w:rFonts w:ascii="Times New Roman" w:hAnsi="Times New Roman" w:eastAsia="Times New Roman" w:cs="Times New Roman"/>
          <w:spacing w:val="-21"/>
          <w:sz w:val="20"/>
          <w:szCs w:val="20"/>
        </w:rPr>
        <w:t xml:space="preserve"> </w:t>
      </w:r>
      <w:r>
        <w:rPr>
          <w:rFonts w:ascii="Times New Roman" w:hAnsi="Times New Roman" w:eastAsia="Times New Roman" w:cs="Times New Roman"/>
          <w:sz w:val="20"/>
          <w:szCs w:val="20"/>
        </w:rPr>
        <w:t>public health surveillance,main  surveillance</w:t>
      </w:r>
      <w:r>
        <w:rPr>
          <w:rFonts w:ascii="Times New Roman" w:hAnsi="Times New Roman" w:eastAsia="Times New Roman" w:cs="Times New Roman"/>
          <w:spacing w:val="45"/>
          <w:sz w:val="20"/>
          <w:szCs w:val="20"/>
        </w:rPr>
        <w:t xml:space="preserve"> </w:t>
      </w:r>
      <w:r>
        <w:rPr>
          <w:rFonts w:ascii="Times New Roman" w:hAnsi="Times New Roman" w:eastAsia="Times New Roman" w:cs="Times New Roman"/>
          <w:sz w:val="20"/>
          <w:szCs w:val="20"/>
        </w:rPr>
        <w:t>types  and  c</w:t>
      </w:r>
      <w:r>
        <w:rPr>
          <w:rFonts w:ascii="Times New Roman" w:hAnsi="Times New Roman" w:eastAsia="Times New Roman" w:cs="Times New Roman"/>
          <w:spacing w:val="-1"/>
          <w:sz w:val="20"/>
          <w:szCs w:val="20"/>
        </w:rPr>
        <w:t>ontents,the</w:t>
      </w:r>
      <w:r>
        <w:rPr>
          <w:rFonts w:ascii="Times New Roman" w:hAnsi="Times New Roman" w:eastAsia="Times New Roman" w:cs="Times New Roman"/>
          <w:spacing w:val="42"/>
          <w:sz w:val="20"/>
          <w:szCs w:val="20"/>
        </w:rPr>
        <w:t xml:space="preserve"> </w:t>
      </w:r>
      <w:r>
        <w:rPr>
          <w:rFonts w:ascii="Times New Roman" w:hAnsi="Times New Roman" w:eastAsia="Times New Roman" w:cs="Times New Roman"/>
          <w:spacing w:val="-1"/>
          <w:sz w:val="20"/>
          <w:szCs w:val="20"/>
        </w:rPr>
        <w:t>basic</w:t>
      </w:r>
      <w:r>
        <w:rPr>
          <w:rFonts w:ascii="Times New Roman" w:hAnsi="Times New Roman" w:eastAsia="Times New Roman" w:cs="Times New Roman"/>
          <w:spacing w:val="43"/>
          <w:w w:val="101"/>
          <w:sz w:val="20"/>
          <w:szCs w:val="20"/>
        </w:rPr>
        <w:t xml:space="preserve"> </w:t>
      </w:r>
      <w:r>
        <w:rPr>
          <w:rFonts w:ascii="Times New Roman" w:hAnsi="Times New Roman" w:eastAsia="Times New Roman" w:cs="Times New Roman"/>
          <w:spacing w:val="-1"/>
          <w:sz w:val="20"/>
          <w:szCs w:val="20"/>
        </w:rPr>
        <w:t>ways  and</w:t>
      </w:r>
      <w:r>
        <w:rPr>
          <w:rFonts w:ascii="Times New Roman" w:hAnsi="Times New Roman" w:eastAsia="Times New Roman" w:cs="Times New Roman"/>
          <w:spacing w:val="44"/>
          <w:sz w:val="20"/>
          <w:szCs w:val="20"/>
        </w:rPr>
        <w:t xml:space="preserve"> </w:t>
      </w:r>
      <w:r>
        <w:rPr>
          <w:rFonts w:ascii="Times New Roman" w:hAnsi="Times New Roman" w:eastAsia="Times New Roman" w:cs="Times New Roman"/>
          <w:spacing w:val="-1"/>
          <w:sz w:val="20"/>
          <w:szCs w:val="20"/>
        </w:rPr>
        <w:t>means  of</w:t>
      </w:r>
      <w:r>
        <w:rPr>
          <w:rFonts w:ascii="Times New Roman" w:hAnsi="Times New Roman" w:eastAsia="Times New Roman" w:cs="Times New Roman"/>
          <w:spacing w:val="31"/>
          <w:w w:val="101"/>
          <w:sz w:val="20"/>
          <w:szCs w:val="20"/>
        </w:rPr>
        <w:t xml:space="preserve"> </w:t>
      </w:r>
      <w:r>
        <w:rPr>
          <w:rFonts w:ascii="Times New Roman" w:hAnsi="Times New Roman" w:eastAsia="Times New Roman" w:cs="Times New Roman"/>
          <w:spacing w:val="-1"/>
          <w:sz w:val="20"/>
          <w:szCs w:val="20"/>
        </w:rPr>
        <w:t>surveillance,and  quality</w:t>
      </w:r>
      <w:r>
        <w:rPr>
          <w:rFonts w:ascii="Times New Roman" w:hAnsi="Times New Roman" w:eastAsia="Times New Roman" w:cs="Times New Roman"/>
          <w:sz w:val="20"/>
          <w:szCs w:val="20"/>
        </w:rPr>
        <w:t xml:space="preserve"> evaluation of</w:t>
      </w:r>
      <w:r>
        <w:rPr>
          <w:rFonts w:ascii="Times New Roman" w:hAnsi="Times New Roman" w:eastAsia="Times New Roman" w:cs="Times New Roman"/>
          <w:spacing w:val="-14"/>
          <w:sz w:val="20"/>
          <w:szCs w:val="20"/>
        </w:rPr>
        <w:t xml:space="preserve"> </w:t>
      </w:r>
      <w:r>
        <w:rPr>
          <w:rFonts w:ascii="Times New Roman" w:hAnsi="Times New Roman" w:eastAsia="Times New Roman" w:cs="Times New Roman"/>
          <w:sz w:val="20"/>
          <w:szCs w:val="20"/>
        </w:rPr>
        <w:t>a surveillanc</w:t>
      </w:r>
      <w:r>
        <w:rPr>
          <w:rFonts w:ascii="Times New Roman" w:hAnsi="Times New Roman" w:eastAsia="Times New Roman" w:cs="Times New Roman"/>
          <w:spacing w:val="-1"/>
          <w:sz w:val="20"/>
          <w:szCs w:val="20"/>
        </w:rPr>
        <w:t>e</w:t>
      </w:r>
      <w:r>
        <w:rPr>
          <w:rFonts w:ascii="Times New Roman" w:hAnsi="Times New Roman" w:eastAsia="Times New Roman" w:cs="Times New Roman"/>
          <w:spacing w:val="10"/>
          <w:sz w:val="20"/>
          <w:szCs w:val="20"/>
        </w:rPr>
        <w:t xml:space="preserve"> </w:t>
      </w:r>
      <w:r>
        <w:rPr>
          <w:rFonts w:ascii="Times New Roman" w:hAnsi="Times New Roman" w:eastAsia="Times New Roman" w:cs="Times New Roman"/>
          <w:spacing w:val="-1"/>
          <w:sz w:val="20"/>
          <w:szCs w:val="20"/>
        </w:rPr>
        <w:t>system.</w:t>
      </w:r>
    </w:p>
    <w:p w14:paraId="0DBD3168">
      <w:pPr>
        <w:spacing w:line="383" w:lineRule="auto"/>
        <w:rPr>
          <w:rFonts w:ascii="Arial"/>
          <w:sz w:val="21"/>
        </w:rPr>
      </w:pPr>
    </w:p>
    <w:p w14:paraId="0EDB01BA">
      <w:pPr>
        <w:spacing w:before="66" w:line="352" w:lineRule="auto"/>
        <w:ind w:left="699" w:right="9" w:firstLine="410"/>
        <w:jc w:val="both"/>
        <w:rPr>
          <w:rFonts w:ascii="宋体" w:hAnsi="宋体" w:eastAsia="宋体" w:cs="宋体"/>
          <w:sz w:val="20"/>
          <w:szCs w:val="20"/>
        </w:rPr>
      </w:pPr>
      <w:r>
        <w:rPr>
          <w:rFonts w:ascii="宋体" w:hAnsi="宋体" w:eastAsia="宋体" w:cs="宋体"/>
          <w:spacing w:val="3"/>
          <w:sz w:val="20"/>
          <w:szCs w:val="20"/>
        </w:rPr>
        <w:t>公共卫生监测是公共卫生实践的重要组成部分，其监测内容一般包括疾病、死亡、</w:t>
      </w:r>
      <w:r>
        <w:rPr>
          <w:rFonts w:ascii="宋体" w:hAnsi="宋体" w:eastAsia="宋体" w:cs="宋体"/>
          <w:spacing w:val="2"/>
          <w:sz w:val="20"/>
          <w:szCs w:val="20"/>
        </w:rPr>
        <w:t>突发公共卫</w:t>
      </w:r>
      <w:r>
        <w:rPr>
          <w:rFonts w:ascii="宋体" w:hAnsi="宋体" w:eastAsia="宋体" w:cs="宋体"/>
          <w:sz w:val="20"/>
          <w:szCs w:val="20"/>
        </w:rPr>
        <w:t xml:space="preserve"> </w:t>
      </w:r>
      <w:r>
        <w:rPr>
          <w:rFonts w:ascii="宋体" w:hAnsi="宋体" w:eastAsia="宋体" w:cs="宋体"/>
          <w:spacing w:val="3"/>
          <w:sz w:val="20"/>
          <w:szCs w:val="20"/>
        </w:rPr>
        <w:t>生事件、健康危险因素等。公共卫生监测所获得的信息</w:t>
      </w:r>
      <w:r>
        <w:rPr>
          <w:rFonts w:ascii="宋体" w:hAnsi="宋体" w:eastAsia="宋体" w:cs="宋体"/>
          <w:spacing w:val="2"/>
          <w:sz w:val="20"/>
          <w:szCs w:val="20"/>
        </w:rPr>
        <w:t>是制定、完善和评价疾病预防控制及其他公</w:t>
      </w:r>
      <w:r>
        <w:rPr>
          <w:rFonts w:ascii="宋体" w:hAnsi="宋体" w:eastAsia="宋体" w:cs="宋体"/>
          <w:sz w:val="20"/>
          <w:szCs w:val="20"/>
        </w:rPr>
        <w:t xml:space="preserve"> </w:t>
      </w:r>
      <w:r>
        <w:rPr>
          <w:rFonts w:ascii="宋体" w:hAnsi="宋体" w:eastAsia="宋体" w:cs="宋体"/>
          <w:spacing w:val="7"/>
          <w:sz w:val="20"/>
          <w:szCs w:val="20"/>
        </w:rPr>
        <w:t>共卫生措施与策略的科学依据。公共卫生实践的发展，推动着公共卫生监测内容的不断丰富及监</w:t>
      </w:r>
      <w:r>
        <w:rPr>
          <w:rFonts w:ascii="宋体" w:hAnsi="宋体" w:eastAsia="宋体" w:cs="宋体"/>
          <w:spacing w:val="13"/>
          <w:sz w:val="20"/>
          <w:szCs w:val="20"/>
        </w:rPr>
        <w:t xml:space="preserve"> </w:t>
      </w:r>
      <w:r>
        <w:rPr>
          <w:rFonts w:ascii="宋体" w:hAnsi="宋体" w:eastAsia="宋体" w:cs="宋体"/>
          <w:spacing w:val="4"/>
          <w:sz w:val="20"/>
          <w:szCs w:val="20"/>
        </w:rPr>
        <w:t>测方法的不断完善。</w:t>
      </w:r>
    </w:p>
    <w:p w14:paraId="031605B5">
      <w:pPr>
        <w:spacing w:line="405" w:lineRule="auto"/>
        <w:rPr>
          <w:rFonts w:ascii="Arial"/>
          <w:sz w:val="21"/>
        </w:rPr>
      </w:pPr>
    </w:p>
    <w:p w14:paraId="7D1ED58D">
      <w:pPr>
        <w:pStyle w:val="2"/>
        <w:spacing w:before="95" w:line="221" w:lineRule="auto"/>
        <w:ind w:left="4054"/>
        <w:outlineLvl w:val="1"/>
        <w:rPr>
          <w:sz w:val="29"/>
          <w:szCs w:val="29"/>
        </w:rPr>
      </w:pPr>
      <w:bookmarkStart w:id="281" w:name="bookmark177"/>
      <w:bookmarkEnd w:id="281"/>
      <w:r>
        <w:rPr>
          <w:b/>
          <w:bCs/>
          <w:spacing w:val="-14"/>
          <w:sz w:val="29"/>
          <w:szCs w:val="29"/>
        </w:rPr>
        <w:t>第</w:t>
      </w:r>
      <w:r>
        <w:rPr>
          <w:spacing w:val="29"/>
          <w:sz w:val="29"/>
          <w:szCs w:val="29"/>
        </w:rPr>
        <w:t xml:space="preserve"> </w:t>
      </w:r>
      <w:r>
        <w:rPr>
          <w:b/>
          <w:bCs/>
          <w:spacing w:val="-14"/>
          <w:sz w:val="29"/>
          <w:szCs w:val="29"/>
        </w:rPr>
        <w:t>一</w:t>
      </w:r>
      <w:r>
        <w:rPr>
          <w:spacing w:val="27"/>
          <w:sz w:val="29"/>
          <w:szCs w:val="29"/>
        </w:rPr>
        <w:t xml:space="preserve"> </w:t>
      </w:r>
      <w:r>
        <w:rPr>
          <w:b/>
          <w:bCs/>
          <w:spacing w:val="-14"/>
          <w:sz w:val="29"/>
          <w:szCs w:val="29"/>
        </w:rPr>
        <w:t>节</w:t>
      </w:r>
      <w:r>
        <w:rPr>
          <w:spacing w:val="18"/>
          <w:sz w:val="29"/>
          <w:szCs w:val="29"/>
        </w:rPr>
        <w:t xml:space="preserve"> </w:t>
      </w:r>
      <w:r>
        <w:rPr>
          <w:b/>
          <w:bCs/>
          <w:spacing w:val="-14"/>
          <w:sz w:val="29"/>
          <w:szCs w:val="29"/>
        </w:rPr>
        <w:t>概</w:t>
      </w:r>
      <w:r>
        <w:rPr>
          <w:spacing w:val="20"/>
          <w:sz w:val="29"/>
          <w:szCs w:val="29"/>
        </w:rPr>
        <w:t xml:space="preserve"> </w:t>
      </w:r>
      <w:r>
        <w:rPr>
          <w:b/>
          <w:bCs/>
          <w:spacing w:val="-14"/>
          <w:sz w:val="29"/>
          <w:szCs w:val="29"/>
        </w:rPr>
        <w:t>述</w:t>
      </w:r>
    </w:p>
    <w:p w14:paraId="4B7D64D6">
      <w:pPr>
        <w:spacing w:line="463" w:lineRule="auto"/>
        <w:rPr>
          <w:rFonts w:ascii="Arial"/>
          <w:sz w:val="21"/>
        </w:rPr>
      </w:pPr>
    </w:p>
    <w:p w14:paraId="00053C15">
      <w:pPr>
        <w:pStyle w:val="2"/>
        <w:spacing w:before="65" w:line="221" w:lineRule="auto"/>
        <w:ind w:left="1112"/>
        <w:outlineLvl w:val="2"/>
        <w:rPr>
          <w:sz w:val="20"/>
          <w:szCs w:val="20"/>
        </w:rPr>
      </w:pPr>
      <w:bookmarkStart w:id="282" w:name="bookmark178"/>
      <w:bookmarkEnd w:id="282"/>
      <w:r>
        <w:rPr>
          <w:b/>
          <w:bCs/>
          <w:spacing w:val="-14"/>
          <w:sz w:val="20"/>
          <w:szCs w:val="20"/>
        </w:rPr>
        <w:t>一</w:t>
      </w:r>
      <w:r>
        <w:rPr>
          <w:spacing w:val="27"/>
          <w:sz w:val="20"/>
          <w:szCs w:val="20"/>
        </w:rPr>
        <w:t xml:space="preserve"> </w:t>
      </w:r>
      <w:r>
        <w:rPr>
          <w:b/>
          <w:bCs/>
          <w:spacing w:val="-14"/>
          <w:sz w:val="20"/>
          <w:szCs w:val="20"/>
        </w:rPr>
        <w:t>、基</w:t>
      </w:r>
      <w:r>
        <w:rPr>
          <w:spacing w:val="-21"/>
          <w:sz w:val="20"/>
          <w:szCs w:val="20"/>
        </w:rPr>
        <w:t xml:space="preserve"> </w:t>
      </w:r>
      <w:r>
        <w:rPr>
          <w:b/>
          <w:bCs/>
          <w:spacing w:val="-14"/>
          <w:sz w:val="20"/>
          <w:szCs w:val="20"/>
        </w:rPr>
        <w:t>本</w:t>
      </w:r>
      <w:r>
        <w:rPr>
          <w:spacing w:val="-24"/>
          <w:sz w:val="20"/>
          <w:szCs w:val="20"/>
        </w:rPr>
        <w:t xml:space="preserve"> </w:t>
      </w:r>
      <w:r>
        <w:rPr>
          <w:b/>
          <w:bCs/>
          <w:spacing w:val="-14"/>
          <w:sz w:val="20"/>
          <w:szCs w:val="20"/>
        </w:rPr>
        <w:t>概</w:t>
      </w:r>
      <w:r>
        <w:rPr>
          <w:spacing w:val="-21"/>
          <w:sz w:val="20"/>
          <w:szCs w:val="20"/>
        </w:rPr>
        <w:t xml:space="preserve"> </w:t>
      </w:r>
      <w:r>
        <w:rPr>
          <w:b/>
          <w:bCs/>
          <w:spacing w:val="-14"/>
          <w:sz w:val="20"/>
          <w:szCs w:val="20"/>
        </w:rPr>
        <w:t>念</w:t>
      </w:r>
    </w:p>
    <w:p w14:paraId="453644E8">
      <w:pPr>
        <w:spacing w:line="256" w:lineRule="auto"/>
        <w:rPr>
          <w:rFonts w:ascii="Arial"/>
          <w:sz w:val="21"/>
        </w:rPr>
      </w:pPr>
    </w:p>
    <w:p w14:paraId="7DE965BD">
      <w:pPr>
        <w:pStyle w:val="2"/>
        <w:spacing w:before="66" w:line="223" w:lineRule="auto"/>
        <w:ind w:left="1112"/>
        <w:rPr>
          <w:sz w:val="20"/>
          <w:szCs w:val="20"/>
        </w:rPr>
      </w:pPr>
      <w:r>
        <w:rPr>
          <w:b/>
          <w:bCs/>
          <w:spacing w:val="19"/>
          <w:sz w:val="20"/>
          <w:szCs w:val="20"/>
        </w:rPr>
        <w:t>(</w:t>
      </w:r>
      <w:r>
        <w:rPr>
          <w:spacing w:val="-58"/>
          <w:sz w:val="20"/>
          <w:szCs w:val="20"/>
        </w:rPr>
        <w:t xml:space="preserve"> </w:t>
      </w:r>
      <w:r>
        <w:rPr>
          <w:b/>
          <w:bCs/>
          <w:spacing w:val="19"/>
          <w:sz w:val="20"/>
          <w:szCs w:val="20"/>
        </w:rPr>
        <w:t>一)公共卫生监测的定义</w:t>
      </w:r>
    </w:p>
    <w:p w14:paraId="222DE83E">
      <w:pPr>
        <w:spacing w:before="98" w:line="356" w:lineRule="auto"/>
        <w:ind w:left="699" w:firstLine="410"/>
        <w:jc w:val="both"/>
        <w:rPr>
          <w:rFonts w:ascii="宋体" w:hAnsi="宋体" w:eastAsia="宋体" w:cs="宋体"/>
          <w:sz w:val="20"/>
          <w:szCs w:val="20"/>
        </w:rPr>
      </w:pPr>
      <w:r>
        <w:rPr>
          <w:rFonts w:ascii="宋体" w:hAnsi="宋体" w:eastAsia="宋体" w:cs="宋体"/>
          <w:spacing w:val="1"/>
          <w:sz w:val="20"/>
          <w:szCs w:val="20"/>
        </w:rPr>
        <w:t>公共卫生监测</w:t>
      </w:r>
      <w:r>
        <w:rPr>
          <w:rFonts w:ascii="Times New Roman" w:hAnsi="Times New Roman" w:eastAsia="Times New Roman" w:cs="Times New Roman"/>
          <w:spacing w:val="1"/>
          <w:sz w:val="20"/>
          <w:szCs w:val="20"/>
        </w:rPr>
        <w:t>(</w:t>
      </w:r>
      <w:r>
        <w:rPr>
          <w:rFonts w:ascii="Times New Roman" w:hAnsi="Times New Roman" w:eastAsia="Times New Roman" w:cs="Times New Roman"/>
          <w:sz w:val="20"/>
          <w:szCs w:val="20"/>
        </w:rPr>
        <w:t>public</w:t>
      </w:r>
      <w:r>
        <w:rPr>
          <w:rFonts w:ascii="Times New Roman" w:hAnsi="Times New Roman" w:eastAsia="Times New Roman" w:cs="Times New Roman"/>
          <w:spacing w:val="1"/>
          <w:sz w:val="20"/>
          <w:szCs w:val="20"/>
        </w:rPr>
        <w:t xml:space="preserve">  </w:t>
      </w:r>
      <w:r>
        <w:rPr>
          <w:rFonts w:ascii="Times New Roman" w:hAnsi="Times New Roman" w:eastAsia="Times New Roman" w:cs="Times New Roman"/>
          <w:sz w:val="20"/>
          <w:szCs w:val="20"/>
        </w:rPr>
        <w:t>health</w:t>
      </w:r>
      <w:r>
        <w:rPr>
          <w:rFonts w:ascii="Times New Roman" w:hAnsi="Times New Roman" w:eastAsia="Times New Roman" w:cs="Times New Roman"/>
          <w:spacing w:val="1"/>
          <w:sz w:val="20"/>
          <w:szCs w:val="20"/>
        </w:rPr>
        <w:t xml:space="preserve">  </w:t>
      </w:r>
      <w:r>
        <w:rPr>
          <w:rFonts w:ascii="Times New Roman" w:hAnsi="Times New Roman" w:eastAsia="Times New Roman" w:cs="Times New Roman"/>
          <w:sz w:val="20"/>
          <w:szCs w:val="20"/>
        </w:rPr>
        <w:t>surveillance</w:t>
      </w:r>
      <w:r>
        <w:rPr>
          <w:rFonts w:ascii="Times New Roman" w:hAnsi="Times New Roman" w:eastAsia="Times New Roman" w:cs="Times New Roman"/>
          <w:spacing w:val="1"/>
          <w:sz w:val="20"/>
          <w:szCs w:val="20"/>
        </w:rPr>
        <w:t>)</w:t>
      </w:r>
      <w:r>
        <w:rPr>
          <w:rFonts w:ascii="宋体" w:hAnsi="宋体" w:eastAsia="宋体" w:cs="宋体"/>
          <w:spacing w:val="1"/>
          <w:sz w:val="20"/>
          <w:szCs w:val="20"/>
        </w:rPr>
        <w:t>是指长期、连续、系统地收集人群中有关公共卫生问题</w:t>
      </w:r>
      <w:r>
        <w:rPr>
          <w:rFonts w:ascii="宋体" w:hAnsi="宋体" w:eastAsia="宋体" w:cs="宋体"/>
          <w:spacing w:val="3"/>
          <w:sz w:val="20"/>
          <w:szCs w:val="20"/>
        </w:rPr>
        <w:t xml:space="preserve"> </w:t>
      </w:r>
      <w:r>
        <w:rPr>
          <w:rFonts w:ascii="宋体" w:hAnsi="宋体" w:eastAsia="宋体" w:cs="宋体"/>
          <w:spacing w:val="2"/>
          <w:sz w:val="20"/>
          <w:szCs w:val="20"/>
        </w:rPr>
        <w:t xml:space="preserve">的资料，经过科学分析和解释后，获得重要的公共卫生信息，并及时反馈给需要这些信息的个人或 </w:t>
      </w:r>
      <w:r>
        <w:rPr>
          <w:rFonts w:ascii="宋体" w:hAnsi="宋体" w:eastAsia="宋体" w:cs="宋体"/>
          <w:spacing w:val="3"/>
          <w:sz w:val="20"/>
          <w:szCs w:val="20"/>
        </w:rPr>
        <w:t>机构，用以指导制定、完善和评价公共卫生干预策略与</w:t>
      </w:r>
      <w:r>
        <w:rPr>
          <w:rFonts w:ascii="宋体" w:hAnsi="宋体" w:eastAsia="宋体" w:cs="宋体"/>
          <w:spacing w:val="2"/>
          <w:sz w:val="20"/>
          <w:szCs w:val="20"/>
        </w:rPr>
        <w:t>措施的过程。其目的是为决策者提供决策依</w:t>
      </w:r>
      <w:r>
        <w:rPr>
          <w:rFonts w:ascii="宋体" w:hAnsi="宋体" w:eastAsia="宋体" w:cs="宋体"/>
          <w:sz w:val="20"/>
          <w:szCs w:val="20"/>
        </w:rPr>
        <w:t xml:space="preserve"> </w:t>
      </w:r>
      <w:r>
        <w:rPr>
          <w:rFonts w:ascii="宋体" w:hAnsi="宋体" w:eastAsia="宋体" w:cs="宋体"/>
          <w:spacing w:val="-6"/>
          <w:sz w:val="20"/>
          <w:szCs w:val="20"/>
        </w:rPr>
        <w:t>据，并评价决策效果。简单地说，公共卫生监测是一个</w:t>
      </w:r>
      <w:r>
        <w:rPr>
          <w:rFonts w:ascii="宋体" w:hAnsi="宋体" w:eastAsia="宋体" w:cs="宋体"/>
          <w:spacing w:val="-7"/>
          <w:sz w:val="20"/>
          <w:szCs w:val="20"/>
        </w:rPr>
        <w:t>长期、连续、系统地收集、分析、解释、反馈及</w:t>
      </w:r>
      <w:r>
        <w:rPr>
          <w:rFonts w:ascii="宋体" w:hAnsi="宋体" w:eastAsia="宋体" w:cs="宋体"/>
          <w:sz w:val="20"/>
          <w:szCs w:val="20"/>
        </w:rPr>
        <w:t xml:space="preserve"> </w:t>
      </w:r>
      <w:r>
        <w:rPr>
          <w:rFonts w:ascii="宋体" w:hAnsi="宋体" w:eastAsia="宋体" w:cs="宋体"/>
          <w:spacing w:val="2"/>
          <w:sz w:val="20"/>
          <w:szCs w:val="20"/>
        </w:rPr>
        <w:t>利用公共卫生信息的过程。</w:t>
      </w:r>
    </w:p>
    <w:p w14:paraId="5A527939">
      <w:pPr>
        <w:spacing w:before="24" w:line="342" w:lineRule="auto"/>
        <w:ind w:left="699" w:right="7" w:firstLine="410"/>
        <w:jc w:val="both"/>
        <w:rPr>
          <w:rFonts w:ascii="宋体" w:hAnsi="宋体" w:eastAsia="宋体" w:cs="宋体"/>
          <w:sz w:val="20"/>
          <w:szCs w:val="20"/>
        </w:rPr>
      </w:pPr>
      <w:r>
        <w:rPr>
          <w:rFonts w:ascii="宋体" w:hAnsi="宋体" w:eastAsia="宋体" w:cs="宋体"/>
          <w:spacing w:val="2"/>
          <w:sz w:val="20"/>
          <w:szCs w:val="20"/>
        </w:rPr>
        <w:t>在公共卫生领域，最早的监测活动主要针对疾病与死亡，尤其是传染性疾病，因此称为疾病监</w:t>
      </w:r>
      <w:r>
        <w:rPr>
          <w:rFonts w:ascii="宋体" w:hAnsi="宋体" w:eastAsia="宋体" w:cs="宋体"/>
          <w:spacing w:val="15"/>
          <w:sz w:val="20"/>
          <w:szCs w:val="20"/>
        </w:rPr>
        <w:t xml:space="preserve"> </w:t>
      </w:r>
      <w:r>
        <w:rPr>
          <w:rFonts w:ascii="宋体" w:hAnsi="宋体" w:eastAsia="宋体" w:cs="宋体"/>
          <w:spacing w:val="-7"/>
          <w:sz w:val="20"/>
          <w:szCs w:val="20"/>
        </w:rPr>
        <w:t>测(surveillance of disease)。疾病监测是现代疾病预防控制工作</w:t>
      </w:r>
      <w:r>
        <w:rPr>
          <w:rFonts w:ascii="宋体" w:hAnsi="宋体" w:eastAsia="宋体" w:cs="宋体"/>
          <w:spacing w:val="-8"/>
          <w:sz w:val="20"/>
          <w:szCs w:val="20"/>
        </w:rPr>
        <w:t>中最基本和最重要的内容之一，是制</w:t>
      </w:r>
      <w:r>
        <w:rPr>
          <w:rFonts w:ascii="宋体" w:hAnsi="宋体" w:eastAsia="宋体" w:cs="宋体"/>
          <w:sz w:val="20"/>
          <w:szCs w:val="20"/>
        </w:rPr>
        <w:t xml:space="preserve"> </w:t>
      </w:r>
      <w:r>
        <w:rPr>
          <w:rFonts w:ascii="宋体" w:hAnsi="宋体" w:eastAsia="宋体" w:cs="宋体"/>
          <w:spacing w:val="8"/>
          <w:sz w:val="20"/>
          <w:szCs w:val="20"/>
        </w:rPr>
        <w:t>定与完善疾病预防控制策略和措施的科学依据和基础。随着人类疾病谱与死因谱</w:t>
      </w:r>
      <w:r>
        <w:rPr>
          <w:rFonts w:ascii="宋体" w:hAnsi="宋体" w:eastAsia="宋体" w:cs="宋体"/>
          <w:spacing w:val="7"/>
          <w:sz w:val="20"/>
          <w:szCs w:val="20"/>
        </w:rPr>
        <w:t>的改变，监测工</w:t>
      </w:r>
      <w:r>
        <w:rPr>
          <w:rFonts w:ascii="宋体" w:hAnsi="宋体" w:eastAsia="宋体" w:cs="宋体"/>
          <w:sz w:val="20"/>
          <w:szCs w:val="20"/>
        </w:rPr>
        <w:t xml:space="preserve"> </w:t>
      </w:r>
      <w:r>
        <w:rPr>
          <w:rFonts w:ascii="宋体" w:hAnsi="宋体" w:eastAsia="宋体" w:cs="宋体"/>
          <w:spacing w:val="3"/>
          <w:sz w:val="20"/>
          <w:szCs w:val="20"/>
        </w:rPr>
        <w:t>作的内容逐渐从传染病扩展到慢性非传染性疾病</w:t>
      </w:r>
      <w:r>
        <w:rPr>
          <w:rFonts w:ascii="宋体" w:hAnsi="宋体" w:eastAsia="宋体" w:cs="宋体"/>
          <w:spacing w:val="2"/>
          <w:sz w:val="20"/>
          <w:szCs w:val="20"/>
        </w:rPr>
        <w:t>、伤害、行为危险因素、环境因素、社会决定因素</w:t>
      </w:r>
      <w:r>
        <w:rPr>
          <w:rFonts w:ascii="宋体" w:hAnsi="宋体" w:eastAsia="宋体" w:cs="宋体"/>
          <w:sz w:val="20"/>
          <w:szCs w:val="20"/>
        </w:rPr>
        <w:t xml:space="preserve"> </w:t>
      </w:r>
      <w:r>
        <w:rPr>
          <w:rFonts w:ascii="宋体" w:hAnsi="宋体" w:eastAsia="宋体" w:cs="宋体"/>
          <w:spacing w:val="-2"/>
          <w:sz w:val="20"/>
          <w:szCs w:val="20"/>
        </w:rPr>
        <w:t>等，从单纯的生物医学角度发展到生物、心理、社</w:t>
      </w:r>
      <w:r>
        <w:rPr>
          <w:rFonts w:ascii="宋体" w:hAnsi="宋体" w:eastAsia="宋体" w:cs="宋体"/>
          <w:spacing w:val="-3"/>
          <w:sz w:val="20"/>
          <w:szCs w:val="20"/>
        </w:rPr>
        <w:t>会的各个方面，其内涵更加丰富。</w:t>
      </w:r>
    </w:p>
    <w:p w14:paraId="19D8E3C7">
      <w:pPr>
        <w:pStyle w:val="2"/>
        <w:spacing w:before="33" w:line="221" w:lineRule="auto"/>
        <w:ind w:left="1112"/>
        <w:rPr>
          <w:sz w:val="20"/>
          <w:szCs w:val="20"/>
        </w:rPr>
      </w:pPr>
      <w:r>
        <w:rPr>
          <w:b/>
          <w:bCs/>
          <w:spacing w:val="23"/>
          <w:sz w:val="20"/>
          <w:szCs w:val="20"/>
        </w:rPr>
        <w:t>(二)监测相关的基本概念</w:t>
      </w:r>
    </w:p>
    <w:p w14:paraId="04EE6DA0">
      <w:pPr>
        <w:pStyle w:val="2"/>
        <w:spacing w:before="123" w:line="212" w:lineRule="auto"/>
        <w:ind w:right="31"/>
        <w:jc w:val="right"/>
        <w:rPr>
          <w:rFonts w:ascii="宋体" w:hAnsi="宋体" w:eastAsia="宋体" w:cs="宋体"/>
          <w:sz w:val="20"/>
          <w:szCs w:val="20"/>
        </w:rPr>
      </w:pPr>
      <w:r>
        <w:rPr>
          <w:rFonts w:ascii="Times New Roman" w:hAnsi="Times New Roman" w:eastAsia="Times New Roman" w:cs="Times New Roman"/>
          <w:spacing w:val="7"/>
          <w:sz w:val="20"/>
          <w:szCs w:val="20"/>
        </w:rPr>
        <w:t>1.</w:t>
      </w:r>
      <w:r>
        <w:rPr>
          <w:rFonts w:ascii="Times New Roman" w:hAnsi="Times New Roman" w:eastAsia="Times New Roman" w:cs="Times New Roman"/>
          <w:spacing w:val="1"/>
          <w:sz w:val="20"/>
          <w:szCs w:val="20"/>
        </w:rPr>
        <w:t xml:space="preserve">   </w:t>
      </w:r>
      <w:r>
        <w:rPr>
          <w:spacing w:val="7"/>
          <w:sz w:val="20"/>
          <w:szCs w:val="20"/>
        </w:rPr>
        <w:t>被动监测</w:t>
      </w:r>
      <w:r>
        <w:rPr>
          <w:spacing w:val="2"/>
          <w:sz w:val="20"/>
          <w:szCs w:val="20"/>
        </w:rPr>
        <w:t xml:space="preserve">  </w:t>
      </w:r>
      <w:r>
        <w:rPr>
          <w:rFonts w:ascii="宋体" w:hAnsi="宋体" w:eastAsia="宋体" w:cs="宋体"/>
          <w:spacing w:val="7"/>
          <w:sz w:val="20"/>
          <w:szCs w:val="20"/>
        </w:rPr>
        <w:t>被动监测</w:t>
      </w:r>
      <w:r>
        <w:rPr>
          <w:rFonts w:ascii="Times New Roman" w:hAnsi="Times New Roman" w:eastAsia="Times New Roman" w:cs="Times New Roman"/>
          <w:spacing w:val="7"/>
          <w:sz w:val="20"/>
          <w:szCs w:val="20"/>
        </w:rPr>
        <w:t>(</w:t>
      </w:r>
      <w:r>
        <w:rPr>
          <w:rFonts w:ascii="Times New Roman" w:hAnsi="Times New Roman" w:eastAsia="Times New Roman" w:cs="Times New Roman"/>
          <w:sz w:val="20"/>
          <w:szCs w:val="20"/>
        </w:rPr>
        <w:t>passive</w:t>
      </w:r>
      <w:r>
        <w:rPr>
          <w:rFonts w:ascii="Times New Roman" w:hAnsi="Times New Roman" w:eastAsia="Times New Roman" w:cs="Times New Roman"/>
          <w:spacing w:val="7"/>
          <w:sz w:val="20"/>
          <w:szCs w:val="20"/>
        </w:rPr>
        <w:t xml:space="preserve">     </w:t>
      </w:r>
      <w:r>
        <w:rPr>
          <w:rFonts w:ascii="Times New Roman" w:hAnsi="Times New Roman" w:eastAsia="Times New Roman" w:cs="Times New Roman"/>
          <w:sz w:val="20"/>
          <w:szCs w:val="20"/>
        </w:rPr>
        <w:t>surveillanee</w:t>
      </w:r>
      <w:r>
        <w:rPr>
          <w:rFonts w:ascii="Times New Roman" w:hAnsi="Times New Roman" w:eastAsia="Times New Roman" w:cs="Times New Roman"/>
          <w:spacing w:val="7"/>
          <w:sz w:val="20"/>
          <w:szCs w:val="20"/>
        </w:rPr>
        <w:t>)</w:t>
      </w:r>
      <w:r>
        <w:rPr>
          <w:rFonts w:ascii="宋体" w:hAnsi="宋体" w:eastAsia="宋体" w:cs="宋体"/>
          <w:spacing w:val="7"/>
          <w:sz w:val="20"/>
          <w:szCs w:val="20"/>
        </w:rPr>
        <w:t>是指下级单位常规地向</w:t>
      </w:r>
      <w:r>
        <w:rPr>
          <w:rFonts w:ascii="宋体" w:hAnsi="宋体" w:eastAsia="宋体" w:cs="宋体"/>
          <w:spacing w:val="6"/>
          <w:sz w:val="20"/>
          <w:szCs w:val="20"/>
        </w:rPr>
        <w:t>上级机构报告监测资料</w:t>
      </w:r>
    </w:p>
    <w:p w14:paraId="328A0E08">
      <w:pPr>
        <w:spacing w:line="212" w:lineRule="auto"/>
        <w:rPr>
          <w:rFonts w:ascii="宋体" w:hAnsi="宋体" w:eastAsia="宋体" w:cs="宋体"/>
          <w:sz w:val="20"/>
          <w:szCs w:val="20"/>
        </w:rPr>
        <w:sectPr>
          <w:footerReference r:id="rId193" w:type="default"/>
          <w:pgSz w:w="11900" w:h="16820"/>
          <w:pgMar w:top="400" w:right="1611" w:bottom="839" w:left="850" w:header="0" w:footer="659" w:gutter="0"/>
          <w:cols w:space="720" w:num="1"/>
        </w:sectPr>
      </w:pPr>
    </w:p>
    <w:p w14:paraId="3D440543">
      <w:pPr>
        <w:pStyle w:val="2"/>
        <w:spacing w:before="6" w:line="222" w:lineRule="auto"/>
        <w:ind w:left="7279"/>
        <w:rPr>
          <w:sz w:val="20"/>
          <w:szCs w:val="20"/>
        </w:rPr>
      </w:pPr>
      <w:r>
        <w:rPr>
          <w:spacing w:val="-18"/>
          <w:sz w:val="20"/>
          <w:szCs w:val="20"/>
        </w:rPr>
        <w:t>第十章 公共卫生监测</w:t>
      </w:r>
    </w:p>
    <w:p w14:paraId="7878513F">
      <w:pPr>
        <w:spacing w:line="274" w:lineRule="auto"/>
        <w:rPr>
          <w:rFonts w:ascii="Arial"/>
          <w:sz w:val="21"/>
        </w:rPr>
      </w:pPr>
    </w:p>
    <w:p w14:paraId="673E1E8A">
      <w:pPr>
        <w:spacing w:line="274" w:lineRule="auto"/>
        <w:rPr>
          <w:rFonts w:ascii="Arial"/>
          <w:sz w:val="21"/>
        </w:rPr>
      </w:pPr>
    </w:p>
    <w:p w14:paraId="30C9B957">
      <w:pPr>
        <w:spacing w:before="65" w:line="342" w:lineRule="auto"/>
        <w:ind w:right="626"/>
        <w:jc w:val="both"/>
        <w:rPr>
          <w:rFonts w:ascii="宋体" w:hAnsi="宋体" w:eastAsia="宋体" w:cs="宋体"/>
          <w:sz w:val="20"/>
          <w:szCs w:val="20"/>
        </w:rPr>
      </w:pPr>
      <w:r>
        <w:rPr>
          <w:rFonts w:ascii="宋体" w:hAnsi="宋体" w:eastAsia="宋体" w:cs="宋体"/>
          <w:spacing w:val="11"/>
          <w:sz w:val="20"/>
          <w:szCs w:val="20"/>
        </w:rPr>
        <w:t>(包括结构化与非结构化数据),而上级单位被动地接受。被动监测主要是依据相关的法律法规要求</w:t>
      </w:r>
      <w:r>
        <w:rPr>
          <w:rFonts w:ascii="宋体" w:hAnsi="宋体" w:eastAsia="宋体" w:cs="宋体"/>
          <w:spacing w:val="14"/>
          <w:sz w:val="20"/>
          <w:szCs w:val="20"/>
        </w:rPr>
        <w:t xml:space="preserve"> </w:t>
      </w:r>
      <w:r>
        <w:rPr>
          <w:rFonts w:ascii="宋体" w:hAnsi="宋体" w:eastAsia="宋体" w:cs="宋体"/>
          <w:spacing w:val="9"/>
          <w:sz w:val="20"/>
          <w:szCs w:val="20"/>
        </w:rPr>
        <w:t>而进行，我国的法定传染病报告信息系统、突发公共卫生事件报告系统、药品</w:t>
      </w:r>
      <w:r>
        <w:rPr>
          <w:rFonts w:ascii="宋体" w:hAnsi="宋体" w:eastAsia="宋体" w:cs="宋体"/>
          <w:spacing w:val="8"/>
          <w:sz w:val="20"/>
          <w:szCs w:val="20"/>
        </w:rPr>
        <w:t>不良反应监测自发报</w:t>
      </w:r>
      <w:r>
        <w:rPr>
          <w:rFonts w:ascii="宋体" w:hAnsi="宋体" w:eastAsia="宋体" w:cs="宋体"/>
          <w:sz w:val="20"/>
          <w:szCs w:val="20"/>
        </w:rPr>
        <w:t xml:space="preserve"> </w:t>
      </w:r>
      <w:r>
        <w:rPr>
          <w:rFonts w:ascii="宋体" w:hAnsi="宋体" w:eastAsia="宋体" w:cs="宋体"/>
          <w:spacing w:val="12"/>
          <w:sz w:val="20"/>
          <w:szCs w:val="20"/>
        </w:rPr>
        <w:t>告系统等多属于被动监测范畴。</w:t>
      </w:r>
    </w:p>
    <w:p w14:paraId="2C9F01B8">
      <w:pPr>
        <w:pStyle w:val="2"/>
        <w:spacing w:line="323" w:lineRule="auto"/>
        <w:ind w:right="629" w:firstLine="429"/>
        <w:rPr>
          <w:rFonts w:ascii="宋体" w:hAnsi="宋体" w:eastAsia="宋体" w:cs="宋体"/>
          <w:sz w:val="20"/>
          <w:szCs w:val="20"/>
        </w:rPr>
      </w:pPr>
      <w:r>
        <w:rPr>
          <w:rFonts w:ascii="Times New Roman" w:hAnsi="Times New Roman" w:eastAsia="Times New Roman" w:cs="Times New Roman"/>
          <w:b/>
          <w:bCs/>
          <w:spacing w:val="7"/>
          <w:sz w:val="20"/>
          <w:szCs w:val="20"/>
        </w:rPr>
        <w:t>2.</w:t>
      </w:r>
      <w:r>
        <w:rPr>
          <w:rFonts w:ascii="Times New Roman" w:hAnsi="Times New Roman" w:eastAsia="Times New Roman" w:cs="Times New Roman"/>
          <w:b/>
          <w:bCs/>
          <w:spacing w:val="25"/>
          <w:sz w:val="20"/>
          <w:szCs w:val="20"/>
        </w:rPr>
        <w:t xml:space="preserve">  </w:t>
      </w:r>
      <w:r>
        <w:rPr>
          <w:b/>
          <w:bCs/>
          <w:spacing w:val="7"/>
          <w:sz w:val="20"/>
          <w:szCs w:val="20"/>
        </w:rPr>
        <w:t>主动监测</w:t>
      </w:r>
      <w:r>
        <w:rPr>
          <w:spacing w:val="7"/>
          <w:sz w:val="20"/>
          <w:szCs w:val="20"/>
        </w:rPr>
        <w:t xml:space="preserve">  </w:t>
      </w:r>
      <w:r>
        <w:rPr>
          <w:rFonts w:ascii="宋体" w:hAnsi="宋体" w:eastAsia="宋体" w:cs="宋体"/>
          <w:spacing w:val="7"/>
          <w:sz w:val="20"/>
          <w:szCs w:val="20"/>
        </w:rPr>
        <w:t>主动监测</w:t>
      </w:r>
      <w:r>
        <w:rPr>
          <w:rFonts w:ascii="Times New Roman" w:hAnsi="Times New Roman" w:eastAsia="Times New Roman" w:cs="Times New Roman"/>
          <w:spacing w:val="7"/>
          <w:sz w:val="20"/>
          <w:szCs w:val="20"/>
        </w:rPr>
        <w:t>(</w:t>
      </w:r>
      <w:r>
        <w:rPr>
          <w:rFonts w:ascii="Times New Roman" w:hAnsi="Times New Roman" w:eastAsia="Times New Roman" w:cs="Times New Roman"/>
          <w:sz w:val="20"/>
          <w:szCs w:val="20"/>
        </w:rPr>
        <w:t>active</w:t>
      </w:r>
      <w:r>
        <w:rPr>
          <w:rFonts w:ascii="Times New Roman" w:hAnsi="Times New Roman" w:eastAsia="Times New Roman" w:cs="Times New Roman"/>
          <w:spacing w:val="7"/>
          <w:sz w:val="20"/>
          <w:szCs w:val="20"/>
        </w:rPr>
        <w:t xml:space="preserve">    </w:t>
      </w:r>
      <w:r>
        <w:rPr>
          <w:rFonts w:ascii="Times New Roman" w:hAnsi="Times New Roman" w:eastAsia="Times New Roman" w:cs="Times New Roman"/>
          <w:sz w:val="20"/>
          <w:szCs w:val="20"/>
        </w:rPr>
        <w:t>surveillance</w:t>
      </w:r>
      <w:r>
        <w:rPr>
          <w:rFonts w:ascii="Times New Roman" w:hAnsi="Times New Roman" w:eastAsia="Times New Roman" w:cs="Times New Roman"/>
          <w:spacing w:val="7"/>
          <w:sz w:val="20"/>
          <w:szCs w:val="20"/>
        </w:rPr>
        <w:t>)</w:t>
      </w:r>
      <w:r>
        <w:rPr>
          <w:rFonts w:ascii="宋体" w:hAnsi="宋体" w:eastAsia="宋体" w:cs="宋体"/>
          <w:spacing w:val="7"/>
          <w:sz w:val="20"/>
          <w:szCs w:val="20"/>
        </w:rPr>
        <w:t>是指根据疾病防控、健康促进等公共卫生问题的特</w:t>
      </w:r>
      <w:r>
        <w:rPr>
          <w:rFonts w:ascii="宋体" w:hAnsi="宋体" w:eastAsia="宋体" w:cs="宋体"/>
          <w:sz w:val="20"/>
          <w:szCs w:val="20"/>
        </w:rPr>
        <w:t xml:space="preserve"> </w:t>
      </w:r>
      <w:r>
        <w:rPr>
          <w:rFonts w:ascii="宋体" w:hAnsi="宋体" w:eastAsia="宋体" w:cs="宋体"/>
          <w:spacing w:val="14"/>
          <w:sz w:val="20"/>
          <w:szCs w:val="20"/>
        </w:rPr>
        <w:t>殊需要，由上级单位专门组织调查或统一部署监</w:t>
      </w:r>
      <w:r>
        <w:rPr>
          <w:rFonts w:ascii="宋体" w:hAnsi="宋体" w:eastAsia="宋体" w:cs="宋体"/>
          <w:spacing w:val="13"/>
          <w:sz w:val="20"/>
          <w:szCs w:val="20"/>
        </w:rPr>
        <w:t>测软件工具主动识别收集资料。我国的传染病智</w:t>
      </w:r>
      <w:r>
        <w:rPr>
          <w:rFonts w:ascii="宋体" w:hAnsi="宋体" w:eastAsia="宋体" w:cs="宋体"/>
          <w:sz w:val="20"/>
          <w:szCs w:val="20"/>
        </w:rPr>
        <w:t xml:space="preserve"> </w:t>
      </w:r>
      <w:r>
        <w:rPr>
          <w:rFonts w:ascii="宋体" w:hAnsi="宋体" w:eastAsia="宋体" w:cs="宋体"/>
          <w:spacing w:val="9"/>
          <w:sz w:val="20"/>
          <w:szCs w:val="20"/>
        </w:rPr>
        <w:t>能监测预警前置软件、免疫接种率监测、传染病漏报调查以及对某些重点</w:t>
      </w:r>
      <w:r>
        <w:rPr>
          <w:rFonts w:ascii="宋体" w:hAnsi="宋体" w:eastAsia="宋体" w:cs="宋体"/>
          <w:spacing w:val="8"/>
          <w:sz w:val="20"/>
          <w:szCs w:val="20"/>
        </w:rPr>
        <w:t>疾病(如不明原因发热)的</w:t>
      </w:r>
      <w:r>
        <w:rPr>
          <w:rFonts w:ascii="宋体" w:hAnsi="宋体" w:eastAsia="宋体" w:cs="宋体"/>
          <w:sz w:val="20"/>
          <w:szCs w:val="20"/>
        </w:rPr>
        <w:t xml:space="preserve"> </w:t>
      </w:r>
      <w:r>
        <w:rPr>
          <w:rFonts w:ascii="宋体" w:hAnsi="宋体" w:eastAsia="宋体" w:cs="宋体"/>
          <w:spacing w:val="6"/>
          <w:sz w:val="20"/>
          <w:szCs w:val="20"/>
        </w:rPr>
        <w:t>监测等，则多属于主动监测范畴。</w:t>
      </w:r>
    </w:p>
    <w:p w14:paraId="5C93E2E9">
      <w:pPr>
        <w:pStyle w:val="2"/>
        <w:spacing w:before="117" w:line="317" w:lineRule="auto"/>
        <w:ind w:right="621" w:firstLine="429"/>
        <w:rPr>
          <w:rFonts w:ascii="宋体" w:hAnsi="宋体" w:eastAsia="宋体" w:cs="宋体"/>
          <w:sz w:val="20"/>
          <w:szCs w:val="20"/>
        </w:rPr>
      </w:pPr>
      <w:r>
        <w:rPr>
          <w:rFonts w:ascii="Times New Roman" w:hAnsi="Times New Roman" w:eastAsia="Times New Roman" w:cs="Times New Roman"/>
          <w:b/>
          <w:bCs/>
          <w:spacing w:val="12"/>
          <w:sz w:val="20"/>
          <w:szCs w:val="20"/>
        </w:rPr>
        <w:t xml:space="preserve">3.   </w:t>
      </w:r>
      <w:r>
        <w:rPr>
          <w:b/>
          <w:bCs/>
          <w:spacing w:val="12"/>
          <w:sz w:val="20"/>
          <w:szCs w:val="20"/>
        </w:rPr>
        <w:t>常规监测报告</w:t>
      </w:r>
      <w:r>
        <w:rPr>
          <w:spacing w:val="50"/>
          <w:sz w:val="20"/>
          <w:szCs w:val="20"/>
        </w:rPr>
        <w:t xml:space="preserve"> </w:t>
      </w:r>
      <w:r>
        <w:rPr>
          <w:rFonts w:ascii="宋体" w:hAnsi="宋体" w:eastAsia="宋体" w:cs="宋体"/>
          <w:spacing w:val="12"/>
          <w:sz w:val="20"/>
          <w:szCs w:val="20"/>
        </w:rPr>
        <w:t>常规监测报告</w:t>
      </w:r>
      <w:r>
        <w:rPr>
          <w:rFonts w:ascii="Times New Roman" w:hAnsi="Times New Roman" w:eastAsia="Times New Roman" w:cs="Times New Roman"/>
          <w:spacing w:val="12"/>
          <w:sz w:val="20"/>
          <w:szCs w:val="20"/>
        </w:rPr>
        <w:t>(</w:t>
      </w:r>
      <w:r>
        <w:rPr>
          <w:rFonts w:ascii="Times New Roman" w:hAnsi="Times New Roman" w:eastAsia="Times New Roman" w:cs="Times New Roman"/>
          <w:sz w:val="20"/>
          <w:szCs w:val="20"/>
        </w:rPr>
        <w:t>routine</w:t>
      </w:r>
      <w:r>
        <w:rPr>
          <w:rFonts w:ascii="Times New Roman" w:hAnsi="Times New Roman" w:eastAsia="Times New Roman" w:cs="Times New Roman"/>
          <w:spacing w:val="12"/>
          <w:sz w:val="20"/>
          <w:szCs w:val="20"/>
        </w:rPr>
        <w:t xml:space="preserve">   </w:t>
      </w:r>
      <w:r>
        <w:rPr>
          <w:rFonts w:ascii="Times New Roman" w:hAnsi="Times New Roman" w:eastAsia="Times New Roman" w:cs="Times New Roman"/>
          <w:sz w:val="20"/>
          <w:szCs w:val="20"/>
        </w:rPr>
        <w:t>surveillance</w:t>
      </w:r>
      <w:r>
        <w:rPr>
          <w:rFonts w:ascii="Times New Roman" w:hAnsi="Times New Roman" w:eastAsia="Times New Roman" w:cs="Times New Roman"/>
          <w:spacing w:val="12"/>
          <w:sz w:val="20"/>
          <w:szCs w:val="20"/>
        </w:rPr>
        <w:t xml:space="preserve">   </w:t>
      </w:r>
      <w:r>
        <w:rPr>
          <w:rFonts w:ascii="Times New Roman" w:hAnsi="Times New Roman" w:eastAsia="Times New Roman" w:cs="Times New Roman"/>
          <w:sz w:val="20"/>
          <w:szCs w:val="20"/>
        </w:rPr>
        <w:t>report</w:t>
      </w:r>
      <w:r>
        <w:rPr>
          <w:rFonts w:ascii="Times New Roman" w:hAnsi="Times New Roman" w:eastAsia="Times New Roman" w:cs="Times New Roman"/>
          <w:spacing w:val="12"/>
          <w:sz w:val="20"/>
          <w:szCs w:val="20"/>
        </w:rPr>
        <w:t>)</w:t>
      </w:r>
      <w:r>
        <w:rPr>
          <w:rFonts w:ascii="宋体" w:hAnsi="宋体" w:eastAsia="宋体" w:cs="宋体"/>
          <w:spacing w:val="12"/>
          <w:sz w:val="20"/>
          <w:szCs w:val="20"/>
        </w:rPr>
        <w:t>是指针对卫生行政部门所规定的</w:t>
      </w:r>
      <w:r>
        <w:rPr>
          <w:rFonts w:ascii="宋体" w:hAnsi="宋体" w:eastAsia="宋体" w:cs="宋体"/>
          <w:sz w:val="20"/>
          <w:szCs w:val="20"/>
        </w:rPr>
        <w:t xml:space="preserve"> </w:t>
      </w:r>
      <w:r>
        <w:rPr>
          <w:rFonts w:ascii="宋体" w:hAnsi="宋体" w:eastAsia="宋体" w:cs="宋体"/>
          <w:spacing w:val="19"/>
          <w:sz w:val="20"/>
          <w:szCs w:val="20"/>
        </w:rPr>
        <w:t>疾病或各种健康相关问题进行的常规监测与报告。如我国的传染病信息报告，明确了法定报告</w:t>
      </w:r>
      <w:r>
        <w:rPr>
          <w:rFonts w:ascii="宋体" w:hAnsi="宋体" w:eastAsia="宋体" w:cs="宋体"/>
          <w:spacing w:val="4"/>
          <w:sz w:val="20"/>
          <w:szCs w:val="20"/>
        </w:rPr>
        <w:t xml:space="preserve"> </w:t>
      </w:r>
      <w:r>
        <w:rPr>
          <w:rFonts w:ascii="宋体" w:hAnsi="宋体" w:eastAsia="宋体" w:cs="宋体"/>
          <w:spacing w:val="14"/>
          <w:sz w:val="20"/>
          <w:szCs w:val="20"/>
        </w:rPr>
        <w:t>传染病病种，报告范围覆盖全国，各级各类医疗机构执行首诊负责制，依法</w:t>
      </w:r>
      <w:r>
        <w:rPr>
          <w:rFonts w:ascii="宋体" w:hAnsi="宋体" w:eastAsia="宋体" w:cs="宋体"/>
          <w:spacing w:val="13"/>
          <w:sz w:val="20"/>
          <w:szCs w:val="20"/>
        </w:rPr>
        <w:t>依规及时报告法定传</w:t>
      </w:r>
      <w:r>
        <w:rPr>
          <w:rFonts w:ascii="宋体" w:hAnsi="宋体" w:eastAsia="宋体" w:cs="宋体"/>
          <w:sz w:val="20"/>
          <w:szCs w:val="20"/>
        </w:rPr>
        <w:t xml:space="preserve"> </w:t>
      </w:r>
      <w:r>
        <w:rPr>
          <w:rFonts w:ascii="宋体" w:hAnsi="宋体" w:eastAsia="宋体" w:cs="宋体"/>
          <w:spacing w:val="16"/>
          <w:sz w:val="20"/>
          <w:szCs w:val="20"/>
        </w:rPr>
        <w:t>染病。</w:t>
      </w:r>
    </w:p>
    <w:p w14:paraId="3DFF0AD2">
      <w:pPr>
        <w:pStyle w:val="2"/>
        <w:spacing w:before="140" w:line="321" w:lineRule="auto"/>
        <w:ind w:right="638" w:firstLine="429"/>
        <w:rPr>
          <w:rFonts w:ascii="宋体" w:hAnsi="宋体" w:eastAsia="宋体" w:cs="宋体"/>
          <w:sz w:val="20"/>
          <w:szCs w:val="20"/>
        </w:rPr>
      </w:pPr>
      <w:r>
        <w:rPr>
          <w:rFonts w:ascii="Times New Roman" w:hAnsi="Times New Roman" w:eastAsia="Times New Roman" w:cs="Times New Roman"/>
          <w:b/>
          <w:bCs/>
          <w:spacing w:val="7"/>
          <w:sz w:val="20"/>
          <w:szCs w:val="20"/>
        </w:rPr>
        <w:t xml:space="preserve">4.   </w:t>
      </w:r>
      <w:r>
        <w:rPr>
          <w:b/>
          <w:bCs/>
          <w:spacing w:val="7"/>
          <w:sz w:val="20"/>
          <w:szCs w:val="20"/>
        </w:rPr>
        <w:t>哨点监测</w:t>
      </w:r>
      <w:r>
        <w:rPr>
          <w:spacing w:val="7"/>
          <w:sz w:val="20"/>
          <w:szCs w:val="20"/>
        </w:rPr>
        <w:t xml:space="preserve">  </w:t>
      </w:r>
      <w:r>
        <w:rPr>
          <w:rFonts w:ascii="宋体" w:hAnsi="宋体" w:eastAsia="宋体" w:cs="宋体"/>
          <w:spacing w:val="7"/>
          <w:sz w:val="20"/>
          <w:szCs w:val="20"/>
        </w:rPr>
        <w:t>哨点监测</w:t>
      </w:r>
      <w:r>
        <w:rPr>
          <w:rFonts w:ascii="Times New Roman" w:hAnsi="Times New Roman" w:eastAsia="Times New Roman" w:cs="Times New Roman"/>
          <w:spacing w:val="7"/>
          <w:sz w:val="20"/>
          <w:szCs w:val="20"/>
        </w:rPr>
        <w:t>(</w:t>
      </w:r>
      <w:r>
        <w:rPr>
          <w:rFonts w:ascii="Times New Roman" w:hAnsi="Times New Roman" w:eastAsia="Times New Roman" w:cs="Times New Roman"/>
          <w:sz w:val="20"/>
          <w:szCs w:val="20"/>
        </w:rPr>
        <w:t>sentinel</w:t>
      </w:r>
      <w:r>
        <w:rPr>
          <w:rFonts w:ascii="Times New Roman" w:hAnsi="Times New Roman" w:eastAsia="Times New Roman" w:cs="Times New Roman"/>
          <w:spacing w:val="7"/>
          <w:sz w:val="20"/>
          <w:szCs w:val="20"/>
        </w:rPr>
        <w:t xml:space="preserve">   </w:t>
      </w:r>
      <w:r>
        <w:rPr>
          <w:rFonts w:ascii="Times New Roman" w:hAnsi="Times New Roman" w:eastAsia="Times New Roman" w:cs="Times New Roman"/>
          <w:spacing w:val="6"/>
          <w:sz w:val="20"/>
          <w:szCs w:val="20"/>
        </w:rPr>
        <w:t xml:space="preserve">  </w:t>
      </w:r>
      <w:r>
        <w:rPr>
          <w:rFonts w:ascii="Times New Roman" w:hAnsi="Times New Roman" w:eastAsia="Times New Roman" w:cs="Times New Roman"/>
          <w:sz w:val="20"/>
          <w:szCs w:val="20"/>
        </w:rPr>
        <w:t>surveillance</w:t>
      </w:r>
      <w:r>
        <w:rPr>
          <w:rFonts w:ascii="Times New Roman" w:hAnsi="Times New Roman" w:eastAsia="Times New Roman" w:cs="Times New Roman"/>
          <w:spacing w:val="6"/>
          <w:sz w:val="20"/>
          <w:szCs w:val="20"/>
        </w:rPr>
        <w:t>)</w:t>
      </w:r>
      <w:r>
        <w:rPr>
          <w:rFonts w:ascii="宋体" w:hAnsi="宋体" w:eastAsia="宋体" w:cs="宋体"/>
          <w:spacing w:val="6"/>
          <w:sz w:val="20"/>
          <w:szCs w:val="20"/>
        </w:rPr>
        <w:t>是为了更清楚地了解某些疾病在不同地区、不同</w:t>
      </w:r>
      <w:r>
        <w:rPr>
          <w:rFonts w:ascii="宋体" w:hAnsi="宋体" w:eastAsia="宋体" w:cs="宋体"/>
          <w:sz w:val="20"/>
          <w:szCs w:val="20"/>
        </w:rPr>
        <w:t xml:space="preserve"> </w:t>
      </w:r>
      <w:r>
        <w:rPr>
          <w:rFonts w:ascii="宋体" w:hAnsi="宋体" w:eastAsia="宋体" w:cs="宋体"/>
          <w:spacing w:val="11"/>
          <w:sz w:val="20"/>
          <w:szCs w:val="20"/>
        </w:rPr>
        <w:t>人群的分布以及相应的影响因素等，根据被监测疾病的流行特点，选择若干有代表性的地区和/或</w:t>
      </w:r>
      <w:r>
        <w:rPr>
          <w:rFonts w:ascii="宋体" w:hAnsi="宋体" w:eastAsia="宋体" w:cs="宋体"/>
          <w:spacing w:val="5"/>
          <w:sz w:val="20"/>
          <w:szCs w:val="20"/>
        </w:rPr>
        <w:t xml:space="preserve"> </w:t>
      </w:r>
      <w:r>
        <w:rPr>
          <w:rFonts w:ascii="宋体" w:hAnsi="宋体" w:eastAsia="宋体" w:cs="宋体"/>
          <w:spacing w:val="8"/>
          <w:sz w:val="20"/>
          <w:szCs w:val="20"/>
        </w:rPr>
        <w:t>人群，按统一的监测方案连续地开展监测。最典型的是艾滋病哨点监测，选择有代表性的地区和艾</w:t>
      </w:r>
      <w:r>
        <w:rPr>
          <w:rFonts w:ascii="宋体" w:hAnsi="宋体" w:eastAsia="宋体" w:cs="宋体"/>
          <w:spacing w:val="14"/>
          <w:sz w:val="20"/>
          <w:szCs w:val="20"/>
        </w:rPr>
        <w:t xml:space="preserve"> </w:t>
      </w:r>
      <w:r>
        <w:rPr>
          <w:rFonts w:ascii="宋体" w:hAnsi="宋体" w:eastAsia="宋体" w:cs="宋体"/>
          <w:spacing w:val="8"/>
          <w:sz w:val="20"/>
          <w:szCs w:val="20"/>
        </w:rPr>
        <w:t>滋病相关高危人群，开展</w:t>
      </w:r>
      <w:r>
        <w:rPr>
          <w:rFonts w:ascii="Times New Roman" w:hAnsi="Times New Roman" w:eastAsia="Times New Roman" w:cs="Times New Roman"/>
          <w:sz w:val="20"/>
          <w:szCs w:val="20"/>
        </w:rPr>
        <w:t>HIV</w:t>
      </w:r>
      <w:r>
        <w:rPr>
          <w:rFonts w:ascii="Times New Roman" w:hAnsi="Times New Roman" w:eastAsia="Times New Roman" w:cs="Times New Roman"/>
          <w:spacing w:val="43"/>
          <w:sz w:val="20"/>
          <w:szCs w:val="20"/>
        </w:rPr>
        <w:t xml:space="preserve"> </w:t>
      </w:r>
      <w:r>
        <w:rPr>
          <w:rFonts w:ascii="宋体" w:hAnsi="宋体" w:eastAsia="宋体" w:cs="宋体"/>
          <w:spacing w:val="8"/>
          <w:sz w:val="20"/>
          <w:szCs w:val="20"/>
        </w:rPr>
        <w:t>抗体检测，同时收集监测人群与艾滋病传播相关的高危行为信息，从</w:t>
      </w:r>
      <w:r>
        <w:rPr>
          <w:rFonts w:ascii="宋体" w:hAnsi="宋体" w:eastAsia="宋体" w:cs="宋体"/>
          <w:sz w:val="20"/>
          <w:szCs w:val="20"/>
        </w:rPr>
        <w:t xml:space="preserve"> </w:t>
      </w:r>
      <w:r>
        <w:rPr>
          <w:rFonts w:ascii="宋体" w:hAnsi="宋体" w:eastAsia="宋体" w:cs="宋体"/>
          <w:spacing w:val="9"/>
          <w:sz w:val="20"/>
          <w:szCs w:val="20"/>
        </w:rPr>
        <w:t>而获得不同地区、不同人群</w:t>
      </w:r>
      <w:r>
        <w:rPr>
          <w:rFonts w:ascii="宋体" w:hAnsi="宋体" w:eastAsia="宋体" w:cs="宋体"/>
          <w:sz w:val="20"/>
          <w:szCs w:val="20"/>
        </w:rPr>
        <w:t>HIV</w:t>
      </w:r>
      <w:r>
        <w:rPr>
          <w:rFonts w:ascii="宋体" w:hAnsi="宋体" w:eastAsia="宋体" w:cs="宋体"/>
          <w:spacing w:val="9"/>
          <w:sz w:val="20"/>
          <w:szCs w:val="20"/>
        </w:rPr>
        <w:t xml:space="preserve"> 感染状况和行为危险因素</w:t>
      </w:r>
      <w:r>
        <w:rPr>
          <w:rFonts w:ascii="宋体" w:hAnsi="宋体" w:eastAsia="宋体" w:cs="宋体"/>
          <w:spacing w:val="8"/>
          <w:sz w:val="20"/>
          <w:szCs w:val="20"/>
        </w:rPr>
        <w:t>及变化趋势的资料。</w:t>
      </w:r>
    </w:p>
    <w:p w14:paraId="1493E1F7">
      <w:pPr>
        <w:spacing w:line="256" w:lineRule="auto"/>
        <w:rPr>
          <w:rFonts w:ascii="Arial"/>
          <w:sz w:val="21"/>
        </w:rPr>
      </w:pPr>
    </w:p>
    <w:p w14:paraId="45986391">
      <w:pPr>
        <w:pStyle w:val="2"/>
        <w:spacing w:before="84" w:line="223" w:lineRule="auto"/>
        <w:ind w:left="433"/>
        <w:outlineLvl w:val="2"/>
        <w:rPr>
          <w:sz w:val="26"/>
          <w:szCs w:val="26"/>
        </w:rPr>
      </w:pPr>
      <w:bookmarkStart w:id="283" w:name="bookmark179"/>
      <w:bookmarkEnd w:id="283"/>
      <w:r>
        <w:rPr>
          <w:b/>
          <w:bCs/>
          <w:spacing w:val="-5"/>
          <w:sz w:val="26"/>
          <w:szCs w:val="26"/>
        </w:rPr>
        <w:t>二、目的和意义</w:t>
      </w:r>
    </w:p>
    <w:p w14:paraId="14D97380">
      <w:pPr>
        <w:spacing w:before="238" w:line="343" w:lineRule="auto"/>
        <w:ind w:right="642" w:firstLine="429"/>
        <w:jc w:val="both"/>
        <w:rPr>
          <w:rFonts w:ascii="宋体" w:hAnsi="宋体" w:eastAsia="宋体" w:cs="宋体"/>
          <w:sz w:val="20"/>
          <w:szCs w:val="20"/>
        </w:rPr>
      </w:pPr>
      <w:r>
        <w:rPr>
          <w:rFonts w:ascii="宋体" w:hAnsi="宋体" w:eastAsia="宋体" w:cs="宋体"/>
          <w:spacing w:val="9"/>
          <w:sz w:val="20"/>
          <w:szCs w:val="20"/>
        </w:rPr>
        <w:t>公共卫生监测信息主要包括人口特征资料与疾病信息、</w:t>
      </w:r>
      <w:r>
        <w:rPr>
          <w:rFonts w:ascii="宋体" w:hAnsi="宋体" w:eastAsia="宋体" w:cs="宋体"/>
          <w:spacing w:val="8"/>
          <w:sz w:val="20"/>
          <w:szCs w:val="20"/>
        </w:rPr>
        <w:t>医疗卫生数据、各类环境监测数据、动</w:t>
      </w:r>
      <w:r>
        <w:rPr>
          <w:rFonts w:ascii="宋体" w:hAnsi="宋体" w:eastAsia="宋体" w:cs="宋体"/>
          <w:sz w:val="20"/>
          <w:szCs w:val="20"/>
        </w:rPr>
        <w:t xml:space="preserve"> </w:t>
      </w:r>
      <w:r>
        <w:rPr>
          <w:rFonts w:ascii="宋体" w:hAnsi="宋体" w:eastAsia="宋体" w:cs="宋体"/>
          <w:spacing w:val="8"/>
          <w:sz w:val="20"/>
          <w:szCs w:val="20"/>
        </w:rPr>
        <w:t>物相关数据以及其他与公共卫生有关的信息。通过对监测信息的收集、分析和利用，可以实现以下</w:t>
      </w:r>
      <w:r>
        <w:rPr>
          <w:rFonts w:ascii="宋体" w:hAnsi="宋体" w:eastAsia="宋体" w:cs="宋体"/>
          <w:spacing w:val="18"/>
          <w:sz w:val="20"/>
          <w:szCs w:val="20"/>
        </w:rPr>
        <w:t xml:space="preserve"> </w:t>
      </w:r>
      <w:r>
        <w:rPr>
          <w:rFonts w:ascii="宋体" w:hAnsi="宋体" w:eastAsia="宋体" w:cs="宋体"/>
          <w:spacing w:val="12"/>
          <w:sz w:val="20"/>
          <w:szCs w:val="20"/>
        </w:rPr>
        <w:t>两方面的目的。</w:t>
      </w:r>
    </w:p>
    <w:p w14:paraId="34D2E7B8">
      <w:pPr>
        <w:pStyle w:val="2"/>
        <w:spacing w:before="1" w:line="220" w:lineRule="auto"/>
        <w:ind w:left="433"/>
        <w:rPr>
          <w:sz w:val="23"/>
          <w:szCs w:val="23"/>
        </w:rPr>
      </w:pPr>
      <w:r>
        <w:rPr>
          <w:b/>
          <w:bCs/>
          <w:spacing w:val="-5"/>
          <w:sz w:val="23"/>
          <w:szCs w:val="23"/>
        </w:rPr>
        <w:t>(一)描述与健康相关事件的分布特征和变化趋势</w:t>
      </w:r>
    </w:p>
    <w:p w14:paraId="28D44E7A">
      <w:pPr>
        <w:spacing w:before="108" w:line="344" w:lineRule="auto"/>
        <w:ind w:right="649" w:firstLine="429"/>
        <w:rPr>
          <w:rFonts w:ascii="宋体" w:hAnsi="宋体" w:eastAsia="宋体" w:cs="宋体"/>
          <w:sz w:val="20"/>
          <w:szCs w:val="20"/>
        </w:rPr>
      </w:pPr>
      <w:r>
        <w:rPr>
          <w:rFonts w:ascii="宋体" w:hAnsi="宋体" w:eastAsia="宋体" w:cs="宋体"/>
          <w:spacing w:val="8"/>
          <w:sz w:val="20"/>
          <w:szCs w:val="20"/>
        </w:rPr>
        <w:t>通过连续、系统的公共卫生监测，可以全面了解特定地区或特定人群中健康相关事件的分布特</w:t>
      </w:r>
      <w:r>
        <w:rPr>
          <w:rFonts w:ascii="宋体" w:hAnsi="宋体" w:eastAsia="宋体" w:cs="宋体"/>
          <w:spacing w:val="18"/>
          <w:sz w:val="20"/>
          <w:szCs w:val="20"/>
        </w:rPr>
        <w:t xml:space="preserve"> </w:t>
      </w:r>
      <w:r>
        <w:rPr>
          <w:rFonts w:ascii="宋体" w:hAnsi="宋体" w:eastAsia="宋体" w:cs="宋体"/>
          <w:spacing w:val="6"/>
          <w:sz w:val="20"/>
          <w:szCs w:val="20"/>
        </w:rPr>
        <w:t>征及其变化趋势，从而有助于解决以下问题：</w:t>
      </w:r>
    </w:p>
    <w:p w14:paraId="40D45F20">
      <w:pPr>
        <w:pStyle w:val="2"/>
        <w:spacing w:before="2" w:line="293" w:lineRule="auto"/>
        <w:ind w:right="645" w:firstLine="432"/>
        <w:rPr>
          <w:rFonts w:ascii="宋体" w:hAnsi="宋体" w:eastAsia="宋体" w:cs="宋体"/>
          <w:sz w:val="20"/>
          <w:szCs w:val="20"/>
        </w:rPr>
      </w:pPr>
      <w:r>
        <w:rPr>
          <w:rFonts w:ascii="宋体" w:hAnsi="宋体" w:eastAsia="宋体" w:cs="宋体"/>
          <w:b/>
          <w:bCs/>
          <w:spacing w:val="10"/>
          <w:sz w:val="20"/>
          <w:szCs w:val="20"/>
        </w:rPr>
        <w:t>1.</w:t>
      </w:r>
      <w:r>
        <w:rPr>
          <w:rFonts w:ascii="宋体" w:hAnsi="宋体" w:eastAsia="宋体" w:cs="宋体"/>
          <w:spacing w:val="10"/>
          <w:sz w:val="20"/>
          <w:szCs w:val="20"/>
        </w:rPr>
        <w:t xml:space="preserve"> </w:t>
      </w:r>
      <w:r>
        <w:rPr>
          <w:b/>
          <w:bCs/>
          <w:spacing w:val="10"/>
          <w:sz w:val="20"/>
          <w:szCs w:val="20"/>
        </w:rPr>
        <w:t>定量评估公共卫生问题的严重性，确定主要公共卫</w:t>
      </w:r>
      <w:r>
        <w:rPr>
          <w:b/>
          <w:bCs/>
          <w:spacing w:val="9"/>
          <w:sz w:val="20"/>
          <w:szCs w:val="20"/>
        </w:rPr>
        <w:t>生问题</w:t>
      </w:r>
      <w:r>
        <w:rPr>
          <w:spacing w:val="94"/>
          <w:sz w:val="20"/>
          <w:szCs w:val="20"/>
        </w:rPr>
        <w:t xml:space="preserve"> </w:t>
      </w:r>
      <w:r>
        <w:rPr>
          <w:rFonts w:ascii="宋体" w:hAnsi="宋体" w:eastAsia="宋体" w:cs="宋体"/>
          <w:spacing w:val="9"/>
          <w:sz w:val="20"/>
          <w:szCs w:val="20"/>
        </w:rPr>
        <w:t>决策者在制定正确的、有针对</w:t>
      </w:r>
      <w:r>
        <w:rPr>
          <w:rFonts w:ascii="宋体" w:hAnsi="宋体" w:eastAsia="宋体" w:cs="宋体"/>
          <w:sz w:val="20"/>
          <w:szCs w:val="20"/>
        </w:rPr>
        <w:t xml:space="preserve"> </w:t>
      </w:r>
      <w:r>
        <w:rPr>
          <w:rFonts w:ascii="宋体" w:hAnsi="宋体" w:eastAsia="宋体" w:cs="宋体"/>
          <w:spacing w:val="9"/>
          <w:sz w:val="20"/>
          <w:szCs w:val="20"/>
        </w:rPr>
        <w:t>性的公共卫生政策、规划或措施时，必须掌握公共卫生问题的分布特征，并从中确</w:t>
      </w:r>
      <w:r>
        <w:rPr>
          <w:rFonts w:ascii="宋体" w:hAnsi="宋体" w:eastAsia="宋体" w:cs="宋体"/>
          <w:spacing w:val="8"/>
          <w:sz w:val="20"/>
          <w:szCs w:val="20"/>
        </w:rPr>
        <w:t>定当前或今后一</w:t>
      </w:r>
      <w:r>
        <w:rPr>
          <w:rFonts w:ascii="宋体" w:hAnsi="宋体" w:eastAsia="宋体" w:cs="宋体"/>
          <w:sz w:val="20"/>
          <w:szCs w:val="20"/>
        </w:rPr>
        <w:t xml:space="preserve"> </w:t>
      </w:r>
      <w:r>
        <w:rPr>
          <w:rFonts w:ascii="宋体" w:hAnsi="宋体" w:eastAsia="宋体" w:cs="宋体"/>
          <w:spacing w:val="11"/>
          <w:sz w:val="20"/>
          <w:szCs w:val="20"/>
        </w:rPr>
        <w:t>段时期的主要问题。</w:t>
      </w:r>
    </w:p>
    <w:p w14:paraId="661EE6DC">
      <w:pPr>
        <w:pStyle w:val="2"/>
        <w:spacing w:before="170" w:line="311" w:lineRule="auto"/>
        <w:ind w:right="648" w:firstLine="432"/>
        <w:rPr>
          <w:rFonts w:ascii="宋体" w:hAnsi="宋体" w:eastAsia="宋体" w:cs="宋体"/>
          <w:sz w:val="20"/>
          <w:szCs w:val="20"/>
        </w:rPr>
      </w:pPr>
      <w:r>
        <w:rPr>
          <w:rFonts w:ascii="宋体" w:hAnsi="宋体" w:eastAsia="宋体" w:cs="宋体"/>
          <w:b/>
          <w:bCs/>
          <w:spacing w:val="9"/>
          <w:sz w:val="20"/>
          <w:szCs w:val="20"/>
        </w:rPr>
        <w:t>2.</w:t>
      </w:r>
      <w:r>
        <w:rPr>
          <w:rFonts w:ascii="宋体" w:hAnsi="宋体" w:eastAsia="宋体" w:cs="宋体"/>
          <w:spacing w:val="9"/>
          <w:sz w:val="20"/>
          <w:szCs w:val="20"/>
        </w:rPr>
        <w:t xml:space="preserve"> </w:t>
      </w:r>
      <w:r>
        <w:rPr>
          <w:rFonts w:ascii="宋体" w:hAnsi="宋体" w:eastAsia="宋体" w:cs="宋体"/>
          <w:b/>
          <w:bCs/>
          <w:spacing w:val="9"/>
          <w:sz w:val="20"/>
          <w:szCs w:val="20"/>
        </w:rPr>
        <w:t>发现健康相关事件分布中的异常情况，</w:t>
      </w:r>
      <w:r>
        <w:rPr>
          <w:rFonts w:ascii="宋体" w:hAnsi="宋体" w:eastAsia="宋体" w:cs="宋体"/>
          <w:b/>
          <w:bCs/>
          <w:spacing w:val="8"/>
          <w:sz w:val="20"/>
          <w:szCs w:val="20"/>
        </w:rPr>
        <w:t>及时调查原因并采取干预措施，有效遏制不良健康</w:t>
      </w:r>
      <w:r>
        <w:rPr>
          <w:rFonts w:ascii="宋体" w:hAnsi="宋体" w:eastAsia="宋体" w:cs="宋体"/>
          <w:sz w:val="20"/>
          <w:szCs w:val="20"/>
        </w:rPr>
        <w:t xml:space="preserve"> </w:t>
      </w:r>
      <w:r>
        <w:rPr>
          <w:b/>
          <w:bCs/>
          <w:spacing w:val="8"/>
          <w:sz w:val="20"/>
          <w:szCs w:val="20"/>
        </w:rPr>
        <w:t>事件的发展和蔓延</w:t>
      </w:r>
      <w:r>
        <w:rPr>
          <w:spacing w:val="8"/>
          <w:sz w:val="20"/>
          <w:szCs w:val="20"/>
        </w:rPr>
        <w:t xml:space="preserve">  </w:t>
      </w:r>
      <w:r>
        <w:rPr>
          <w:rFonts w:ascii="宋体" w:hAnsi="宋体" w:eastAsia="宋体" w:cs="宋体"/>
          <w:spacing w:val="8"/>
          <w:sz w:val="20"/>
          <w:szCs w:val="20"/>
        </w:rPr>
        <w:t>长期、连续的监测，有助于发现健康相关事件分布中出现的异常变化，可快速</w:t>
      </w:r>
      <w:r>
        <w:rPr>
          <w:rFonts w:ascii="宋体" w:hAnsi="宋体" w:eastAsia="宋体" w:cs="宋体"/>
          <w:spacing w:val="7"/>
          <w:sz w:val="20"/>
          <w:szCs w:val="20"/>
        </w:rPr>
        <w:t xml:space="preserve"> </w:t>
      </w:r>
      <w:r>
        <w:rPr>
          <w:rFonts w:ascii="宋体" w:hAnsi="宋体" w:eastAsia="宋体" w:cs="宋体"/>
          <w:spacing w:val="10"/>
          <w:sz w:val="20"/>
          <w:szCs w:val="20"/>
        </w:rPr>
        <w:t>地向卫生机构和相关单位发出预警，及时组织和开展必要的流行病学调查。</w:t>
      </w:r>
      <w:r>
        <w:rPr>
          <w:rFonts w:ascii="宋体" w:hAnsi="宋体" w:eastAsia="宋体" w:cs="宋体"/>
          <w:spacing w:val="57"/>
          <w:sz w:val="20"/>
          <w:szCs w:val="20"/>
        </w:rPr>
        <w:t xml:space="preserve"> </w:t>
      </w:r>
      <w:r>
        <w:rPr>
          <w:rFonts w:ascii="宋体" w:hAnsi="宋体" w:eastAsia="宋体" w:cs="宋体"/>
          <w:spacing w:val="10"/>
          <w:sz w:val="20"/>
          <w:szCs w:val="20"/>
        </w:rPr>
        <w:t>一旦确定疫情的暴发</w:t>
      </w:r>
      <w:r>
        <w:rPr>
          <w:rFonts w:ascii="宋体" w:hAnsi="宋体" w:eastAsia="宋体" w:cs="宋体"/>
          <w:sz w:val="20"/>
          <w:szCs w:val="20"/>
        </w:rPr>
        <w:t xml:space="preserve"> </w:t>
      </w:r>
      <w:r>
        <w:rPr>
          <w:rFonts w:ascii="宋体" w:hAnsi="宋体" w:eastAsia="宋体" w:cs="宋体"/>
          <w:spacing w:val="7"/>
          <w:sz w:val="20"/>
          <w:szCs w:val="20"/>
        </w:rPr>
        <w:t>或流行，可采取相应的干预措施以控制疫情的进一</w:t>
      </w:r>
      <w:r>
        <w:rPr>
          <w:rFonts w:ascii="宋体" w:hAnsi="宋体" w:eastAsia="宋体" w:cs="宋体"/>
          <w:spacing w:val="6"/>
          <w:sz w:val="20"/>
          <w:szCs w:val="20"/>
        </w:rPr>
        <w:t>步蔓延。</w:t>
      </w:r>
    </w:p>
    <w:p w14:paraId="1C1B762A">
      <w:pPr>
        <w:pStyle w:val="2"/>
        <w:spacing w:before="140" w:line="276" w:lineRule="auto"/>
        <w:ind w:right="646" w:firstLine="432"/>
        <w:rPr>
          <w:rFonts w:ascii="宋体" w:hAnsi="宋体" w:eastAsia="宋体" w:cs="宋体"/>
          <w:sz w:val="20"/>
          <w:szCs w:val="20"/>
        </w:rPr>
      </w:pPr>
      <w:r>
        <w:rPr>
          <w:rFonts w:ascii="宋体" w:hAnsi="宋体" w:eastAsia="宋体" w:cs="宋体"/>
          <w:b/>
          <w:bCs/>
          <w:spacing w:val="9"/>
          <w:sz w:val="20"/>
          <w:szCs w:val="20"/>
        </w:rPr>
        <w:t>3.</w:t>
      </w:r>
      <w:r>
        <w:rPr>
          <w:rFonts w:ascii="宋体" w:hAnsi="宋体" w:eastAsia="宋体" w:cs="宋体"/>
          <w:spacing w:val="9"/>
          <w:sz w:val="20"/>
          <w:szCs w:val="20"/>
        </w:rPr>
        <w:t xml:space="preserve"> </w:t>
      </w:r>
      <w:r>
        <w:rPr>
          <w:b/>
          <w:bCs/>
          <w:spacing w:val="9"/>
          <w:sz w:val="20"/>
          <w:szCs w:val="20"/>
        </w:rPr>
        <w:t>预测健康相关事件的发展趋势，正确估计卫生服务需求</w:t>
      </w:r>
      <w:r>
        <w:rPr>
          <w:spacing w:val="9"/>
          <w:sz w:val="20"/>
          <w:szCs w:val="20"/>
        </w:rPr>
        <w:t xml:space="preserve">  </w:t>
      </w:r>
      <w:r>
        <w:rPr>
          <w:rFonts w:ascii="宋体" w:hAnsi="宋体" w:eastAsia="宋体" w:cs="宋体"/>
          <w:spacing w:val="9"/>
          <w:sz w:val="20"/>
          <w:szCs w:val="20"/>
        </w:rPr>
        <w:t>通过动态的监测和数据分析，有</w:t>
      </w:r>
      <w:r>
        <w:rPr>
          <w:rFonts w:ascii="宋体" w:hAnsi="宋体" w:eastAsia="宋体" w:cs="宋体"/>
          <w:spacing w:val="4"/>
          <w:sz w:val="20"/>
          <w:szCs w:val="20"/>
        </w:rPr>
        <w:t xml:space="preserve"> </w:t>
      </w:r>
      <w:r>
        <w:rPr>
          <w:rFonts w:ascii="宋体" w:hAnsi="宋体" w:eastAsia="宋体" w:cs="宋体"/>
          <w:spacing w:val="7"/>
          <w:sz w:val="20"/>
          <w:szCs w:val="20"/>
        </w:rPr>
        <w:t>助于预测相关事件的发展趋势和规模，从而正确估计对卫生服务的需求。</w:t>
      </w:r>
    </w:p>
    <w:p w14:paraId="7A028909">
      <w:pPr>
        <w:pStyle w:val="2"/>
        <w:spacing w:before="121" w:line="321" w:lineRule="auto"/>
        <w:ind w:right="647" w:firstLine="432"/>
        <w:rPr>
          <w:rFonts w:ascii="宋体" w:hAnsi="宋体" w:eastAsia="宋体" w:cs="宋体"/>
          <w:sz w:val="20"/>
          <w:szCs w:val="20"/>
        </w:rPr>
      </w:pPr>
      <w:r>
        <w:rPr>
          <w:rFonts w:ascii="宋体" w:hAnsi="宋体" w:eastAsia="宋体" w:cs="宋体"/>
          <w:b/>
          <w:bCs/>
          <w:spacing w:val="10"/>
          <w:sz w:val="20"/>
          <w:szCs w:val="20"/>
        </w:rPr>
        <w:t>4.</w:t>
      </w:r>
      <w:r>
        <w:rPr>
          <w:rFonts w:ascii="宋体" w:hAnsi="宋体" w:eastAsia="宋体" w:cs="宋体"/>
          <w:spacing w:val="10"/>
          <w:sz w:val="20"/>
          <w:szCs w:val="20"/>
        </w:rPr>
        <w:t xml:space="preserve"> </w:t>
      </w:r>
      <w:r>
        <w:rPr>
          <w:b/>
          <w:bCs/>
          <w:spacing w:val="10"/>
          <w:sz w:val="20"/>
          <w:szCs w:val="20"/>
        </w:rPr>
        <w:t>研究疾病的影响因素，确定高危人群</w:t>
      </w:r>
      <w:r>
        <w:rPr>
          <w:spacing w:val="97"/>
          <w:sz w:val="20"/>
          <w:szCs w:val="20"/>
        </w:rPr>
        <w:t xml:space="preserve"> </w:t>
      </w:r>
      <w:r>
        <w:rPr>
          <w:rFonts w:ascii="宋体" w:hAnsi="宋体" w:eastAsia="宋体" w:cs="宋体"/>
          <w:spacing w:val="10"/>
          <w:sz w:val="20"/>
          <w:szCs w:val="20"/>
        </w:rPr>
        <w:t>公共卫生监测的内容除了疾病外，还包括行为危险</w:t>
      </w:r>
      <w:r>
        <w:rPr>
          <w:rFonts w:ascii="宋体" w:hAnsi="宋体" w:eastAsia="宋体" w:cs="宋体"/>
          <w:sz w:val="20"/>
          <w:szCs w:val="20"/>
        </w:rPr>
        <w:t xml:space="preserve"> </w:t>
      </w:r>
      <w:r>
        <w:rPr>
          <w:rFonts w:ascii="宋体" w:hAnsi="宋体" w:eastAsia="宋体" w:cs="宋体"/>
          <w:spacing w:val="4"/>
          <w:sz w:val="20"/>
          <w:szCs w:val="20"/>
        </w:rPr>
        <w:t>因素、环境污染物、食品安全与营养缺乏或过剩等多个方面，对这些信息的分析，有助于确定影响疾</w:t>
      </w:r>
      <w:r>
        <w:rPr>
          <w:rFonts w:ascii="宋体" w:hAnsi="宋体" w:eastAsia="宋体" w:cs="宋体"/>
          <w:spacing w:val="1"/>
          <w:sz w:val="20"/>
          <w:szCs w:val="20"/>
        </w:rPr>
        <w:t xml:space="preserve"> </w:t>
      </w:r>
      <w:r>
        <w:rPr>
          <w:rFonts w:ascii="宋体" w:hAnsi="宋体" w:eastAsia="宋体" w:cs="宋体"/>
          <w:spacing w:val="9"/>
          <w:sz w:val="20"/>
          <w:szCs w:val="20"/>
        </w:rPr>
        <w:t>病发生发展的各种因素，并借此确定相应疾病的高危人群，为制定有针对性</w:t>
      </w:r>
      <w:r>
        <w:rPr>
          <w:rFonts w:ascii="宋体" w:hAnsi="宋体" w:eastAsia="宋体" w:cs="宋体"/>
          <w:spacing w:val="8"/>
          <w:sz w:val="20"/>
          <w:szCs w:val="20"/>
        </w:rPr>
        <w:t>的干预措施及合理有效</w:t>
      </w:r>
      <w:r>
        <w:rPr>
          <w:rFonts w:ascii="宋体" w:hAnsi="宋体" w:eastAsia="宋体" w:cs="宋体"/>
          <w:sz w:val="20"/>
          <w:szCs w:val="20"/>
        </w:rPr>
        <w:t xml:space="preserve"> </w:t>
      </w:r>
      <w:r>
        <w:rPr>
          <w:rFonts w:ascii="宋体" w:hAnsi="宋体" w:eastAsia="宋体" w:cs="宋体"/>
          <w:spacing w:val="10"/>
          <w:sz w:val="20"/>
          <w:szCs w:val="20"/>
        </w:rPr>
        <w:t>的策略提供科学依据。</w:t>
      </w:r>
    </w:p>
    <w:p w14:paraId="13CBD8FE">
      <w:pPr>
        <w:spacing w:before="139" w:line="218" w:lineRule="auto"/>
        <w:ind w:left="432"/>
        <w:rPr>
          <w:rFonts w:ascii="宋体" w:hAnsi="宋体" w:eastAsia="宋体" w:cs="宋体"/>
          <w:sz w:val="20"/>
          <w:szCs w:val="20"/>
        </w:rPr>
      </w:pPr>
      <w:r>
        <w:rPr>
          <w:rFonts w:ascii="宋体" w:hAnsi="宋体" w:eastAsia="宋体" w:cs="宋体"/>
          <w:b/>
          <w:bCs/>
          <w:spacing w:val="25"/>
          <w:sz w:val="20"/>
          <w:szCs w:val="20"/>
        </w:rPr>
        <w:t>(二)评价公共卫生干预策略和措施的效果</w:t>
      </w:r>
    </w:p>
    <w:p w14:paraId="0520B9AA">
      <w:pPr>
        <w:spacing w:before="117" w:line="219" w:lineRule="auto"/>
        <w:ind w:left="429"/>
        <w:rPr>
          <w:rFonts w:ascii="宋体" w:hAnsi="宋体" w:eastAsia="宋体" w:cs="宋体"/>
          <w:sz w:val="20"/>
          <w:szCs w:val="20"/>
        </w:rPr>
      </w:pPr>
      <w:r>
        <w:rPr>
          <w:rFonts w:ascii="宋体" w:hAnsi="宋体" w:eastAsia="宋体" w:cs="宋体"/>
          <w:spacing w:val="10"/>
          <w:sz w:val="20"/>
          <w:szCs w:val="20"/>
        </w:rPr>
        <w:t>由于公共</w:t>
      </w:r>
      <w:r>
        <w:rPr>
          <w:rFonts w:ascii="宋体" w:hAnsi="宋体" w:eastAsia="宋体" w:cs="宋体"/>
          <w:spacing w:val="10"/>
          <w:sz w:val="20"/>
          <w:szCs w:val="20"/>
          <w:u w:val="single" w:color="auto"/>
        </w:rPr>
        <w:t>卫生监</w:t>
      </w:r>
      <w:r>
        <w:rPr>
          <w:rFonts w:ascii="宋体" w:hAnsi="宋体" w:eastAsia="宋体" w:cs="宋体"/>
          <w:spacing w:val="10"/>
          <w:sz w:val="20"/>
          <w:szCs w:val="20"/>
        </w:rPr>
        <w:t>测是连续、系统地进行观察.因此，疾病或相关事件的变化趋势可以为干预策</w:t>
      </w:r>
    </w:p>
    <w:p w14:paraId="2C2BFCB8">
      <w:pPr>
        <w:spacing w:line="219" w:lineRule="auto"/>
        <w:rPr>
          <w:rFonts w:ascii="宋体" w:hAnsi="宋体" w:eastAsia="宋体" w:cs="宋体"/>
          <w:sz w:val="20"/>
          <w:szCs w:val="20"/>
        </w:rPr>
        <w:sectPr>
          <w:footerReference r:id="rId194" w:type="default"/>
          <w:pgSz w:w="11900" w:h="16820"/>
          <w:pgMar w:top="400" w:right="863" w:bottom="909" w:left="1410" w:header="0" w:footer="729" w:gutter="0"/>
          <w:cols w:space="720" w:num="1"/>
        </w:sectPr>
      </w:pPr>
    </w:p>
    <w:p w14:paraId="7D5ECC18">
      <w:pPr>
        <w:pStyle w:val="2"/>
        <w:spacing w:line="221" w:lineRule="auto"/>
        <w:ind w:left="669"/>
        <w:rPr>
          <w:sz w:val="20"/>
          <w:szCs w:val="20"/>
        </w:rPr>
      </w:pPr>
      <w:r>
        <w:rPr>
          <w:spacing w:val="-14"/>
          <w:sz w:val="20"/>
          <w:szCs w:val="20"/>
        </w:rPr>
        <w:t>第十章公共</w:t>
      </w:r>
      <w:r>
        <w:rPr>
          <w:spacing w:val="-14"/>
          <w:sz w:val="20"/>
          <w:szCs w:val="20"/>
          <w:u w:val="single" w:color="auto"/>
        </w:rPr>
        <w:t>卫生监</w:t>
      </w:r>
      <w:r>
        <w:rPr>
          <w:spacing w:val="-14"/>
          <w:sz w:val="20"/>
          <w:szCs w:val="20"/>
        </w:rPr>
        <w:t>测</w:t>
      </w:r>
    </w:p>
    <w:p w14:paraId="399E97C5">
      <w:pPr>
        <w:spacing w:line="285" w:lineRule="auto"/>
        <w:rPr>
          <w:rFonts w:ascii="Arial"/>
          <w:sz w:val="21"/>
        </w:rPr>
      </w:pPr>
    </w:p>
    <w:p w14:paraId="6EDD7CE2">
      <w:pPr>
        <w:spacing w:line="285" w:lineRule="auto"/>
        <w:rPr>
          <w:rFonts w:ascii="Arial"/>
          <w:sz w:val="21"/>
        </w:rPr>
      </w:pPr>
    </w:p>
    <w:p w14:paraId="3D49C436">
      <w:pPr>
        <w:spacing w:before="65" w:line="218" w:lineRule="auto"/>
        <w:ind w:left="669"/>
        <w:rPr>
          <w:rFonts w:ascii="宋体" w:hAnsi="宋体" w:eastAsia="宋体" w:cs="宋体"/>
          <w:sz w:val="20"/>
          <w:szCs w:val="20"/>
        </w:rPr>
      </w:pPr>
      <w:r>
        <w:rPr>
          <w:rFonts w:ascii="宋体" w:hAnsi="宋体" w:eastAsia="宋体" w:cs="宋体"/>
          <w:spacing w:val="3"/>
          <w:sz w:val="20"/>
          <w:szCs w:val="20"/>
        </w:rPr>
        <w:t>略和措施的效果评价提供最直接可靠的依据。</w:t>
      </w:r>
    </w:p>
    <w:p w14:paraId="42770232">
      <w:pPr>
        <w:spacing w:before="144" w:line="352" w:lineRule="auto"/>
        <w:ind w:left="669" w:firstLine="420"/>
        <w:jc w:val="both"/>
        <w:rPr>
          <w:rFonts w:ascii="宋体" w:hAnsi="宋体" w:eastAsia="宋体" w:cs="宋体"/>
          <w:sz w:val="20"/>
          <w:szCs w:val="20"/>
        </w:rPr>
      </w:pPr>
      <w:r>
        <w:rPr>
          <w:rFonts w:ascii="宋体" w:hAnsi="宋体" w:eastAsia="宋体" w:cs="宋体"/>
          <w:sz w:val="20"/>
          <w:szCs w:val="20"/>
        </w:rPr>
        <w:t>例如，始建于1995年的全国碘缺乏病防治监测系统，通过对碘盐和碘缺乏病</w:t>
      </w:r>
      <w:r>
        <w:rPr>
          <w:rFonts w:ascii="宋体" w:hAnsi="宋体" w:eastAsia="宋体" w:cs="宋体"/>
          <w:spacing w:val="-1"/>
          <w:sz w:val="20"/>
          <w:szCs w:val="20"/>
        </w:rPr>
        <w:t>的监测，</w:t>
      </w:r>
      <w:r>
        <w:rPr>
          <w:rFonts w:ascii="宋体" w:hAnsi="宋体" w:eastAsia="宋体" w:cs="宋体"/>
          <w:spacing w:val="-35"/>
          <w:sz w:val="20"/>
          <w:szCs w:val="20"/>
        </w:rPr>
        <w:t xml:space="preserve"> </w:t>
      </w:r>
      <w:r>
        <w:rPr>
          <w:rFonts w:ascii="宋体" w:hAnsi="宋体" w:eastAsia="宋体" w:cs="宋体"/>
          <w:spacing w:val="-1"/>
          <w:sz w:val="20"/>
          <w:szCs w:val="20"/>
        </w:rPr>
        <w:t>一方面证</w:t>
      </w:r>
      <w:r>
        <w:rPr>
          <w:rFonts w:ascii="宋体" w:hAnsi="宋体" w:eastAsia="宋体" w:cs="宋体"/>
          <w:sz w:val="20"/>
          <w:szCs w:val="20"/>
        </w:rPr>
        <w:t xml:space="preserve"> </w:t>
      </w:r>
      <w:r>
        <w:rPr>
          <w:rFonts w:ascii="宋体" w:hAnsi="宋体" w:eastAsia="宋体" w:cs="宋体"/>
          <w:spacing w:val="4"/>
          <w:sz w:val="20"/>
          <w:szCs w:val="20"/>
        </w:rPr>
        <w:t>实碘盐的供给对减少和消除碘缺乏病具有显</w:t>
      </w:r>
      <w:r>
        <w:rPr>
          <w:rFonts w:ascii="宋体" w:hAnsi="宋体" w:eastAsia="宋体" w:cs="宋体"/>
          <w:spacing w:val="3"/>
          <w:sz w:val="20"/>
          <w:szCs w:val="20"/>
        </w:rPr>
        <w:t>著效果，同时还能评价不同地区干预措施的执行情况；</w:t>
      </w:r>
      <w:r>
        <w:rPr>
          <w:rFonts w:ascii="宋体" w:hAnsi="宋体" w:eastAsia="宋体" w:cs="宋体"/>
          <w:sz w:val="20"/>
          <w:szCs w:val="20"/>
        </w:rPr>
        <w:t xml:space="preserve"> </w:t>
      </w:r>
      <w:r>
        <w:rPr>
          <w:rFonts w:ascii="宋体" w:hAnsi="宋体" w:eastAsia="宋体" w:cs="宋体"/>
          <w:spacing w:val="4"/>
          <w:sz w:val="20"/>
          <w:szCs w:val="20"/>
        </w:rPr>
        <w:t>另一方面为进一步合理调整碘盐含碘量及供给范围提供了科学依据。</w:t>
      </w:r>
    </w:p>
    <w:p w14:paraId="35243094">
      <w:pPr>
        <w:spacing w:line="275" w:lineRule="auto"/>
        <w:rPr>
          <w:rFonts w:ascii="Arial"/>
          <w:sz w:val="21"/>
        </w:rPr>
      </w:pPr>
    </w:p>
    <w:p w14:paraId="75243AC8">
      <w:pPr>
        <w:pStyle w:val="2"/>
        <w:spacing w:before="97" w:line="221" w:lineRule="auto"/>
        <w:ind w:left="3734"/>
        <w:outlineLvl w:val="1"/>
      </w:pPr>
      <w:bookmarkStart w:id="284" w:name="bookmark180"/>
      <w:bookmarkEnd w:id="284"/>
      <w:bookmarkStart w:id="285" w:name="bookmark497"/>
      <w:bookmarkEnd w:id="285"/>
      <w:r>
        <w:rPr>
          <w:b/>
          <w:bCs/>
          <w:spacing w:val="-14"/>
        </w:rPr>
        <w:t>第二节</w:t>
      </w:r>
      <w:r>
        <w:rPr>
          <w:spacing w:val="122"/>
        </w:rPr>
        <w:t xml:space="preserve"> </w:t>
      </w:r>
      <w:r>
        <w:rPr>
          <w:b/>
          <w:bCs/>
          <w:spacing w:val="-14"/>
        </w:rPr>
        <w:t>种类与内容</w:t>
      </w:r>
    </w:p>
    <w:p w14:paraId="420682A9">
      <w:pPr>
        <w:spacing w:line="346" w:lineRule="auto"/>
        <w:rPr>
          <w:rFonts w:ascii="Arial"/>
          <w:sz w:val="21"/>
        </w:rPr>
      </w:pPr>
    </w:p>
    <w:p w14:paraId="6CF28049">
      <w:pPr>
        <w:spacing w:before="65" w:line="343" w:lineRule="auto"/>
        <w:ind w:left="669" w:right="65" w:firstLine="420"/>
        <w:jc w:val="both"/>
        <w:rPr>
          <w:rFonts w:ascii="宋体" w:hAnsi="宋体" w:eastAsia="宋体" w:cs="宋体"/>
          <w:sz w:val="20"/>
          <w:szCs w:val="20"/>
        </w:rPr>
      </w:pPr>
      <w:r>
        <w:rPr>
          <w:rFonts w:ascii="宋体" w:hAnsi="宋体" w:eastAsia="宋体" w:cs="宋体"/>
          <w:spacing w:val="7"/>
          <w:sz w:val="20"/>
          <w:szCs w:val="20"/>
        </w:rPr>
        <w:t>随着公共卫生活动的发展，公共卫生监测的种类和内</w:t>
      </w:r>
      <w:r>
        <w:rPr>
          <w:rFonts w:ascii="宋体" w:hAnsi="宋体" w:eastAsia="宋体" w:cs="宋体"/>
          <w:spacing w:val="6"/>
          <w:sz w:val="20"/>
          <w:szCs w:val="20"/>
        </w:rPr>
        <w:t>容不断丰富。目前，公共卫生监测的种</w:t>
      </w:r>
      <w:r>
        <w:rPr>
          <w:rFonts w:ascii="宋体" w:hAnsi="宋体" w:eastAsia="宋体" w:cs="宋体"/>
          <w:sz w:val="20"/>
          <w:szCs w:val="20"/>
        </w:rPr>
        <w:t xml:space="preserve"> </w:t>
      </w:r>
      <w:r>
        <w:rPr>
          <w:rFonts w:ascii="宋体" w:hAnsi="宋体" w:eastAsia="宋体" w:cs="宋体"/>
          <w:spacing w:val="-3"/>
          <w:sz w:val="20"/>
          <w:szCs w:val="20"/>
        </w:rPr>
        <w:t>类主要包括疾病监测、死因监测、医院感染监测、症状监测、行为危险因素监测以及环境、食品与营</w:t>
      </w:r>
      <w:r>
        <w:rPr>
          <w:rFonts w:ascii="宋体" w:hAnsi="宋体" w:eastAsia="宋体" w:cs="宋体"/>
          <w:spacing w:val="13"/>
          <w:sz w:val="20"/>
          <w:szCs w:val="20"/>
        </w:rPr>
        <w:t xml:space="preserve"> </w:t>
      </w:r>
      <w:r>
        <w:rPr>
          <w:rFonts w:ascii="宋体" w:hAnsi="宋体" w:eastAsia="宋体" w:cs="宋体"/>
          <w:spacing w:val="-2"/>
          <w:sz w:val="20"/>
          <w:szCs w:val="20"/>
        </w:rPr>
        <w:t>养、药物不良反应等其他公共卫生监测。</w:t>
      </w:r>
    </w:p>
    <w:p w14:paraId="0B363FA3">
      <w:pPr>
        <w:pStyle w:val="2"/>
        <w:spacing w:before="241" w:line="221" w:lineRule="auto"/>
        <w:ind w:left="1092"/>
        <w:outlineLvl w:val="3"/>
        <w:rPr>
          <w:sz w:val="20"/>
          <w:szCs w:val="20"/>
        </w:rPr>
      </w:pPr>
      <w:bookmarkStart w:id="286" w:name="bookmark181"/>
      <w:bookmarkEnd w:id="286"/>
      <w:r>
        <w:rPr>
          <w:b/>
          <w:bCs/>
          <w:spacing w:val="-15"/>
          <w:sz w:val="20"/>
          <w:szCs w:val="20"/>
        </w:rPr>
        <w:t>一</w:t>
      </w:r>
      <w:r>
        <w:rPr>
          <w:spacing w:val="27"/>
          <w:sz w:val="20"/>
          <w:szCs w:val="20"/>
        </w:rPr>
        <w:t xml:space="preserve"> </w:t>
      </w:r>
      <w:r>
        <w:rPr>
          <w:b/>
          <w:bCs/>
          <w:spacing w:val="-15"/>
          <w:sz w:val="20"/>
          <w:szCs w:val="20"/>
        </w:rPr>
        <w:t>、疾</w:t>
      </w:r>
      <w:r>
        <w:rPr>
          <w:spacing w:val="-26"/>
          <w:sz w:val="20"/>
          <w:szCs w:val="20"/>
        </w:rPr>
        <w:t xml:space="preserve"> </w:t>
      </w:r>
      <w:r>
        <w:rPr>
          <w:b/>
          <w:bCs/>
          <w:spacing w:val="-15"/>
          <w:sz w:val="20"/>
          <w:szCs w:val="20"/>
        </w:rPr>
        <w:t>病</w:t>
      </w:r>
      <w:r>
        <w:rPr>
          <w:spacing w:val="-24"/>
          <w:sz w:val="20"/>
          <w:szCs w:val="20"/>
        </w:rPr>
        <w:t xml:space="preserve"> </w:t>
      </w:r>
      <w:r>
        <w:rPr>
          <w:b/>
          <w:bCs/>
          <w:spacing w:val="-15"/>
          <w:sz w:val="20"/>
          <w:szCs w:val="20"/>
        </w:rPr>
        <w:t>监</w:t>
      </w:r>
      <w:r>
        <w:rPr>
          <w:spacing w:val="-25"/>
          <w:sz w:val="20"/>
          <w:szCs w:val="20"/>
        </w:rPr>
        <w:t xml:space="preserve"> </w:t>
      </w:r>
      <w:r>
        <w:rPr>
          <w:b/>
          <w:bCs/>
          <w:spacing w:val="-15"/>
          <w:sz w:val="20"/>
          <w:szCs w:val="20"/>
        </w:rPr>
        <w:t>测</w:t>
      </w:r>
    </w:p>
    <w:p w14:paraId="7481E972">
      <w:pPr>
        <w:spacing w:before="284" w:line="344" w:lineRule="auto"/>
        <w:ind w:left="669" w:right="70" w:firstLine="420"/>
        <w:jc w:val="both"/>
        <w:rPr>
          <w:rFonts w:ascii="宋体" w:hAnsi="宋体" w:eastAsia="宋体" w:cs="宋体"/>
          <w:sz w:val="20"/>
          <w:szCs w:val="20"/>
        </w:rPr>
      </w:pPr>
      <w:r>
        <w:rPr>
          <w:rFonts w:ascii="宋体" w:hAnsi="宋体" w:eastAsia="宋体" w:cs="宋体"/>
          <w:spacing w:val="1"/>
          <w:sz w:val="20"/>
          <w:szCs w:val="20"/>
        </w:rPr>
        <w:t>从流行病学研究健康问题的视角来看，疾病监测属于针对结果的监测，包括针对传染病和慢性</w:t>
      </w:r>
      <w:r>
        <w:rPr>
          <w:rFonts w:ascii="宋体" w:hAnsi="宋体" w:eastAsia="宋体" w:cs="宋体"/>
          <w:spacing w:val="15"/>
          <w:sz w:val="20"/>
          <w:szCs w:val="20"/>
        </w:rPr>
        <w:t xml:space="preserve"> </w:t>
      </w:r>
      <w:r>
        <w:rPr>
          <w:rFonts w:ascii="宋体" w:hAnsi="宋体" w:eastAsia="宋体" w:cs="宋体"/>
          <w:spacing w:val="7"/>
          <w:sz w:val="20"/>
          <w:szCs w:val="20"/>
        </w:rPr>
        <w:t>非传染性疾病的发病、死亡(含死因)的监</w:t>
      </w:r>
      <w:r>
        <w:rPr>
          <w:rFonts w:ascii="宋体" w:hAnsi="宋体" w:eastAsia="宋体" w:cs="宋体"/>
          <w:spacing w:val="6"/>
          <w:sz w:val="20"/>
          <w:szCs w:val="20"/>
        </w:rPr>
        <w:t>测。这些监测需要对相应的疾病以及死亡有明确的诊断</w:t>
      </w:r>
      <w:r>
        <w:rPr>
          <w:rFonts w:ascii="宋体" w:hAnsi="宋体" w:eastAsia="宋体" w:cs="宋体"/>
          <w:sz w:val="20"/>
          <w:szCs w:val="20"/>
        </w:rPr>
        <w:t xml:space="preserve"> </w:t>
      </w:r>
      <w:r>
        <w:rPr>
          <w:rFonts w:ascii="宋体" w:hAnsi="宋体" w:eastAsia="宋体" w:cs="宋体"/>
          <w:spacing w:val="6"/>
          <w:sz w:val="20"/>
          <w:szCs w:val="20"/>
        </w:rPr>
        <w:t>结果。</w:t>
      </w:r>
    </w:p>
    <w:p w14:paraId="66781EDF">
      <w:pPr>
        <w:pStyle w:val="2"/>
        <w:spacing w:before="19" w:line="222" w:lineRule="auto"/>
        <w:ind w:left="1092"/>
        <w:rPr>
          <w:sz w:val="20"/>
          <w:szCs w:val="20"/>
        </w:rPr>
      </w:pPr>
      <w:r>
        <w:rPr>
          <w:b/>
          <w:bCs/>
          <w:spacing w:val="13"/>
          <w:sz w:val="20"/>
          <w:szCs w:val="20"/>
        </w:rPr>
        <w:t>(</w:t>
      </w:r>
      <w:r>
        <w:rPr>
          <w:spacing w:val="-53"/>
          <w:sz w:val="20"/>
          <w:szCs w:val="20"/>
        </w:rPr>
        <w:t xml:space="preserve"> </w:t>
      </w:r>
      <w:r>
        <w:rPr>
          <w:b/>
          <w:bCs/>
          <w:spacing w:val="13"/>
          <w:sz w:val="20"/>
          <w:szCs w:val="20"/>
        </w:rPr>
        <w:t>一</w:t>
      </w:r>
      <w:r>
        <w:rPr>
          <w:spacing w:val="-59"/>
          <w:sz w:val="20"/>
          <w:szCs w:val="20"/>
        </w:rPr>
        <w:t xml:space="preserve"> </w:t>
      </w:r>
      <w:r>
        <w:rPr>
          <w:b/>
          <w:bCs/>
          <w:spacing w:val="13"/>
          <w:sz w:val="20"/>
          <w:szCs w:val="20"/>
        </w:rPr>
        <w:t>)传染病监测</w:t>
      </w:r>
    </w:p>
    <w:p w14:paraId="3B6BE16E">
      <w:pPr>
        <w:spacing w:before="120" w:line="342" w:lineRule="auto"/>
        <w:ind w:left="669" w:right="68" w:firstLine="420"/>
        <w:jc w:val="both"/>
        <w:rPr>
          <w:rFonts w:ascii="宋体" w:hAnsi="宋体" w:eastAsia="宋体" w:cs="宋体"/>
          <w:sz w:val="20"/>
          <w:szCs w:val="20"/>
        </w:rPr>
      </w:pPr>
      <w:r>
        <w:rPr>
          <w:rFonts w:ascii="宋体" w:hAnsi="宋体" w:eastAsia="宋体" w:cs="宋体"/>
          <w:spacing w:val="4"/>
          <w:sz w:val="20"/>
          <w:szCs w:val="20"/>
        </w:rPr>
        <w:t>2005年，世界卫生大会审议通过了历经多次修订的《国际卫生条例》[</w:t>
      </w:r>
      <w:r>
        <w:rPr>
          <w:rFonts w:ascii="宋体" w:hAnsi="宋体" w:eastAsia="宋体" w:cs="宋体"/>
          <w:sz w:val="20"/>
          <w:szCs w:val="20"/>
        </w:rPr>
        <w:t>International</w:t>
      </w:r>
      <w:r>
        <w:rPr>
          <w:rFonts w:ascii="宋体" w:hAnsi="宋体" w:eastAsia="宋体" w:cs="宋体"/>
          <w:spacing w:val="4"/>
          <w:sz w:val="20"/>
          <w:szCs w:val="20"/>
        </w:rPr>
        <w:t xml:space="preserve"> </w:t>
      </w:r>
      <w:r>
        <w:rPr>
          <w:rFonts w:ascii="宋体" w:hAnsi="宋体" w:eastAsia="宋体" w:cs="宋体"/>
          <w:sz w:val="20"/>
          <w:szCs w:val="20"/>
        </w:rPr>
        <w:t>Health</w:t>
      </w:r>
      <w:r>
        <w:rPr>
          <w:rFonts w:ascii="宋体" w:hAnsi="宋体" w:eastAsia="宋体" w:cs="宋体"/>
          <w:spacing w:val="18"/>
          <w:sz w:val="20"/>
          <w:szCs w:val="20"/>
        </w:rPr>
        <w:t xml:space="preserve"> </w:t>
      </w:r>
      <w:r>
        <w:rPr>
          <w:rFonts w:ascii="宋体" w:hAnsi="宋体" w:eastAsia="宋体" w:cs="宋体"/>
          <w:sz w:val="20"/>
          <w:szCs w:val="20"/>
        </w:rPr>
        <w:t>Regulations</w:t>
      </w:r>
      <w:r>
        <w:rPr>
          <w:rFonts w:ascii="宋体" w:hAnsi="宋体" w:eastAsia="宋体" w:cs="宋体"/>
          <w:spacing w:val="8"/>
          <w:sz w:val="20"/>
          <w:szCs w:val="20"/>
        </w:rPr>
        <w:t>,</w:t>
      </w:r>
      <w:r>
        <w:rPr>
          <w:rFonts w:ascii="宋体" w:hAnsi="宋体" w:eastAsia="宋体" w:cs="宋体"/>
          <w:sz w:val="20"/>
          <w:szCs w:val="20"/>
        </w:rPr>
        <w:t>IHR</w:t>
      </w:r>
      <w:r>
        <w:rPr>
          <w:rFonts w:ascii="宋体" w:hAnsi="宋体" w:eastAsia="宋体" w:cs="宋体"/>
          <w:spacing w:val="8"/>
          <w:sz w:val="20"/>
          <w:szCs w:val="20"/>
        </w:rPr>
        <w:t>(2005)],该条例于2007年6月15日开始执行。</w:t>
      </w:r>
      <w:r>
        <w:rPr>
          <w:rFonts w:ascii="宋体" w:hAnsi="宋体" w:eastAsia="宋体" w:cs="宋体"/>
          <w:spacing w:val="-40"/>
          <w:sz w:val="20"/>
          <w:szCs w:val="20"/>
        </w:rPr>
        <w:t xml:space="preserve"> </w:t>
      </w:r>
      <w:r>
        <w:rPr>
          <w:rFonts w:ascii="宋体" w:hAnsi="宋体" w:eastAsia="宋体" w:cs="宋体"/>
          <w:sz w:val="20"/>
          <w:szCs w:val="20"/>
        </w:rPr>
        <w:t>IHR</w:t>
      </w:r>
      <w:r>
        <w:rPr>
          <w:rFonts w:ascii="宋体" w:hAnsi="宋体" w:eastAsia="宋体" w:cs="宋体"/>
          <w:spacing w:val="8"/>
          <w:sz w:val="20"/>
          <w:szCs w:val="20"/>
        </w:rPr>
        <w:t>(2005)</w:t>
      </w:r>
      <w:r>
        <w:rPr>
          <w:rFonts w:ascii="宋体" w:hAnsi="宋体" w:eastAsia="宋体" w:cs="宋体"/>
          <w:spacing w:val="59"/>
          <w:sz w:val="20"/>
          <w:szCs w:val="20"/>
        </w:rPr>
        <w:t xml:space="preserve"> </w:t>
      </w:r>
      <w:r>
        <w:rPr>
          <w:rFonts w:ascii="宋体" w:hAnsi="宋体" w:eastAsia="宋体" w:cs="宋体"/>
          <w:spacing w:val="8"/>
          <w:sz w:val="20"/>
          <w:szCs w:val="20"/>
        </w:rPr>
        <w:t>是一部具有</w:t>
      </w:r>
      <w:r>
        <w:rPr>
          <w:rFonts w:ascii="宋体" w:hAnsi="宋体" w:eastAsia="宋体" w:cs="宋体"/>
          <w:spacing w:val="7"/>
          <w:sz w:val="20"/>
          <w:szCs w:val="20"/>
        </w:rPr>
        <w:t>普遍约束</w:t>
      </w:r>
      <w:r>
        <w:rPr>
          <w:rFonts w:ascii="宋体" w:hAnsi="宋体" w:eastAsia="宋体" w:cs="宋体"/>
          <w:sz w:val="20"/>
          <w:szCs w:val="20"/>
        </w:rPr>
        <w:t xml:space="preserve"> </w:t>
      </w:r>
      <w:r>
        <w:rPr>
          <w:rFonts w:ascii="宋体" w:hAnsi="宋体" w:eastAsia="宋体" w:cs="宋体"/>
          <w:spacing w:val="2"/>
          <w:sz w:val="20"/>
          <w:szCs w:val="20"/>
        </w:rPr>
        <w:t>力的国际卫生法，它规定了四种必须通报的情况，包括：疾病在国际传播风险增</w:t>
      </w:r>
      <w:r>
        <w:rPr>
          <w:rFonts w:ascii="宋体" w:hAnsi="宋体" w:eastAsia="宋体" w:cs="宋体"/>
          <w:spacing w:val="1"/>
          <w:sz w:val="20"/>
          <w:szCs w:val="20"/>
        </w:rPr>
        <w:t>加、疾病对公共卫</w:t>
      </w:r>
      <w:r>
        <w:rPr>
          <w:rFonts w:ascii="宋体" w:hAnsi="宋体" w:eastAsia="宋体" w:cs="宋体"/>
          <w:sz w:val="20"/>
          <w:szCs w:val="20"/>
        </w:rPr>
        <w:t xml:space="preserve"> </w:t>
      </w:r>
      <w:r>
        <w:rPr>
          <w:rFonts w:ascii="宋体" w:hAnsi="宋体" w:eastAsia="宋体" w:cs="宋体"/>
          <w:spacing w:val="2"/>
          <w:sz w:val="20"/>
          <w:szCs w:val="20"/>
        </w:rPr>
        <w:t>生构成风险、疾病在特定地区暴发以及其他对公共卫生构成威胁的事件。根据此规</w:t>
      </w:r>
      <w:r>
        <w:rPr>
          <w:rFonts w:ascii="宋体" w:hAnsi="宋体" w:eastAsia="宋体" w:cs="宋体"/>
          <w:spacing w:val="1"/>
          <w:sz w:val="20"/>
          <w:szCs w:val="20"/>
        </w:rPr>
        <w:t>定，</w:t>
      </w:r>
      <w:r>
        <w:rPr>
          <w:rFonts w:ascii="Times New Roman" w:hAnsi="Times New Roman" w:eastAsia="Times New Roman" w:cs="Times New Roman"/>
          <w:sz w:val="20"/>
          <w:szCs w:val="20"/>
        </w:rPr>
        <w:t>WHO</w:t>
      </w:r>
      <w:r>
        <w:rPr>
          <w:rFonts w:ascii="Times New Roman" w:hAnsi="Times New Roman" w:eastAsia="Times New Roman" w:cs="Times New Roman"/>
          <w:spacing w:val="45"/>
          <w:w w:val="101"/>
          <w:sz w:val="20"/>
          <w:szCs w:val="20"/>
        </w:rPr>
        <w:t xml:space="preserve"> </w:t>
      </w:r>
      <w:r>
        <w:rPr>
          <w:rFonts w:ascii="宋体" w:hAnsi="宋体" w:eastAsia="宋体" w:cs="宋体"/>
          <w:spacing w:val="1"/>
          <w:sz w:val="20"/>
          <w:szCs w:val="20"/>
        </w:rPr>
        <w:t>可适</w:t>
      </w:r>
      <w:r>
        <w:rPr>
          <w:rFonts w:ascii="宋体" w:hAnsi="宋体" w:eastAsia="宋体" w:cs="宋体"/>
          <w:sz w:val="20"/>
          <w:szCs w:val="20"/>
        </w:rPr>
        <w:t xml:space="preserve"> </w:t>
      </w:r>
      <w:r>
        <w:rPr>
          <w:rFonts w:ascii="宋体" w:hAnsi="宋体" w:eastAsia="宋体" w:cs="宋体"/>
          <w:spacing w:val="4"/>
          <w:sz w:val="20"/>
          <w:szCs w:val="20"/>
        </w:rPr>
        <w:t>时地提出必须通报的、全球预警和应对的传染性疾</w:t>
      </w:r>
      <w:r>
        <w:rPr>
          <w:rFonts w:ascii="宋体" w:hAnsi="宋体" w:eastAsia="宋体" w:cs="宋体"/>
          <w:spacing w:val="3"/>
          <w:sz w:val="20"/>
          <w:szCs w:val="20"/>
        </w:rPr>
        <w:t>病，包括新亚型病毒引起的人类流感(如2009年</w:t>
      </w:r>
      <w:r>
        <w:rPr>
          <w:rFonts w:ascii="宋体" w:hAnsi="宋体" w:eastAsia="宋体" w:cs="宋体"/>
          <w:sz w:val="20"/>
          <w:szCs w:val="20"/>
        </w:rPr>
        <w:t xml:space="preserve"> </w:t>
      </w:r>
      <w:r>
        <w:rPr>
          <w:rFonts w:ascii="宋体" w:hAnsi="宋体" w:eastAsia="宋体" w:cs="宋体"/>
          <w:spacing w:val="4"/>
          <w:sz w:val="20"/>
          <w:szCs w:val="20"/>
        </w:rPr>
        <w:t>大流行的甲型</w:t>
      </w:r>
      <w:r>
        <w:rPr>
          <w:rFonts w:ascii="Times New Roman" w:hAnsi="Times New Roman" w:eastAsia="Times New Roman" w:cs="Times New Roman"/>
          <w:spacing w:val="4"/>
          <w:sz w:val="20"/>
          <w:szCs w:val="20"/>
        </w:rPr>
        <w:t>H1N1</w:t>
      </w:r>
      <w:r>
        <w:rPr>
          <w:rFonts w:ascii="Times New Roman" w:hAnsi="Times New Roman" w:eastAsia="Times New Roman" w:cs="Times New Roman"/>
          <w:spacing w:val="14"/>
          <w:sz w:val="20"/>
          <w:szCs w:val="20"/>
        </w:rPr>
        <w:t xml:space="preserve"> </w:t>
      </w:r>
      <w:r>
        <w:rPr>
          <w:rFonts w:ascii="宋体" w:hAnsi="宋体" w:eastAsia="宋体" w:cs="宋体"/>
          <w:spacing w:val="4"/>
          <w:sz w:val="20"/>
          <w:szCs w:val="20"/>
        </w:rPr>
        <w:t>流感)、野毒株引起的脊髓灰质炎、严重急性呼吸综合征</w:t>
      </w:r>
      <w:r>
        <w:rPr>
          <w:rFonts w:ascii="Times New Roman" w:hAnsi="Times New Roman" w:eastAsia="Times New Roman" w:cs="Times New Roman"/>
          <w:spacing w:val="4"/>
          <w:sz w:val="20"/>
          <w:szCs w:val="20"/>
        </w:rPr>
        <w:t>(</w:t>
      </w:r>
      <w:r>
        <w:rPr>
          <w:rFonts w:ascii="Times New Roman" w:hAnsi="Times New Roman" w:eastAsia="Times New Roman" w:cs="Times New Roman"/>
          <w:sz w:val="20"/>
          <w:szCs w:val="20"/>
        </w:rPr>
        <w:t>SARS</w:t>
      </w:r>
      <w:r>
        <w:rPr>
          <w:rFonts w:ascii="Times New Roman" w:hAnsi="Times New Roman" w:eastAsia="Times New Roman" w:cs="Times New Roman"/>
          <w:spacing w:val="4"/>
          <w:sz w:val="20"/>
          <w:szCs w:val="20"/>
        </w:rPr>
        <w:t>)</w:t>
      </w:r>
      <w:r>
        <w:rPr>
          <w:rFonts w:ascii="Times New Roman" w:hAnsi="Times New Roman" w:eastAsia="Times New Roman" w:cs="Times New Roman"/>
          <w:spacing w:val="-29"/>
          <w:sz w:val="20"/>
          <w:szCs w:val="20"/>
        </w:rPr>
        <w:t xml:space="preserve"> </w:t>
      </w:r>
      <w:r>
        <w:rPr>
          <w:rFonts w:ascii="宋体" w:hAnsi="宋体" w:eastAsia="宋体" w:cs="宋体"/>
          <w:spacing w:val="4"/>
          <w:sz w:val="20"/>
          <w:szCs w:val="20"/>
        </w:rPr>
        <w:t>、埃博拉病毒</w:t>
      </w:r>
      <w:r>
        <w:rPr>
          <w:rFonts w:ascii="宋体" w:hAnsi="宋体" w:eastAsia="宋体" w:cs="宋体"/>
          <w:sz w:val="20"/>
          <w:szCs w:val="20"/>
        </w:rPr>
        <w:t xml:space="preserve"> </w:t>
      </w:r>
      <w:r>
        <w:rPr>
          <w:rFonts w:ascii="宋体" w:hAnsi="宋体" w:eastAsia="宋体" w:cs="宋体"/>
          <w:spacing w:val="-15"/>
          <w:sz w:val="20"/>
          <w:szCs w:val="20"/>
        </w:rPr>
        <w:t>病、登革热、猴痘、天花等。</w:t>
      </w:r>
    </w:p>
    <w:p w14:paraId="317E9E34">
      <w:pPr>
        <w:spacing w:before="56" w:line="343" w:lineRule="auto"/>
        <w:ind w:left="669" w:right="68" w:firstLine="420"/>
        <w:jc w:val="both"/>
        <w:rPr>
          <w:rFonts w:ascii="宋体" w:hAnsi="宋体" w:eastAsia="宋体" w:cs="宋体"/>
          <w:sz w:val="20"/>
          <w:szCs w:val="20"/>
        </w:rPr>
      </w:pPr>
      <w:r>
        <w:rPr>
          <w:rFonts w:ascii="宋体" w:hAnsi="宋体" w:eastAsia="宋体" w:cs="宋体"/>
          <w:spacing w:val="-1"/>
          <w:sz w:val="20"/>
          <w:szCs w:val="20"/>
        </w:rPr>
        <w:t>根据《传染病防治法》,法定传染病按危害程度及其对应的管理严格程度分为甲类传染病、乙类</w:t>
      </w:r>
      <w:r>
        <w:rPr>
          <w:rFonts w:ascii="宋体" w:hAnsi="宋体" w:eastAsia="宋体" w:cs="宋体"/>
          <w:sz w:val="20"/>
          <w:szCs w:val="20"/>
        </w:rPr>
        <w:t xml:space="preserve"> </w:t>
      </w:r>
      <w:r>
        <w:rPr>
          <w:rFonts w:ascii="宋体" w:hAnsi="宋体" w:eastAsia="宋体" w:cs="宋体"/>
          <w:spacing w:val="1"/>
          <w:sz w:val="20"/>
          <w:szCs w:val="20"/>
        </w:rPr>
        <w:t>传染病、丙类传染病，以及突发原因不明的传染病等其他传染病。凡发现有法定传染病病例，所有</w:t>
      </w:r>
      <w:r>
        <w:rPr>
          <w:rFonts w:ascii="宋体" w:hAnsi="宋体" w:eastAsia="宋体" w:cs="宋体"/>
          <w:spacing w:val="16"/>
          <w:sz w:val="20"/>
          <w:szCs w:val="20"/>
        </w:rPr>
        <w:t xml:space="preserve"> </w:t>
      </w:r>
      <w:r>
        <w:rPr>
          <w:rFonts w:ascii="宋体" w:hAnsi="宋体" w:eastAsia="宋体" w:cs="宋体"/>
          <w:spacing w:val="7"/>
          <w:sz w:val="20"/>
          <w:szCs w:val="20"/>
        </w:rPr>
        <w:t>责任机构及其执行职务的人员都应根据疾病种类，在相应规定时</w:t>
      </w:r>
      <w:r>
        <w:rPr>
          <w:rFonts w:ascii="宋体" w:hAnsi="宋体" w:eastAsia="宋体" w:cs="宋体"/>
          <w:spacing w:val="6"/>
          <w:sz w:val="20"/>
          <w:szCs w:val="20"/>
        </w:rPr>
        <w:t>间内进行网络直报。具体内容详</w:t>
      </w:r>
      <w:r>
        <w:rPr>
          <w:rFonts w:ascii="宋体" w:hAnsi="宋体" w:eastAsia="宋体" w:cs="宋体"/>
          <w:sz w:val="20"/>
          <w:szCs w:val="20"/>
        </w:rPr>
        <w:t xml:space="preserve"> </w:t>
      </w:r>
      <w:r>
        <w:rPr>
          <w:rFonts w:ascii="宋体" w:hAnsi="宋体" w:eastAsia="宋体" w:cs="宋体"/>
          <w:spacing w:val="2"/>
          <w:sz w:val="20"/>
          <w:szCs w:val="20"/>
        </w:rPr>
        <w:t>见本书第十一章。需要说明的是，无论是全球预警应对还是国内法定传染病目录，</w:t>
      </w:r>
      <w:r>
        <w:rPr>
          <w:rFonts w:ascii="宋体" w:hAnsi="宋体" w:eastAsia="宋体" w:cs="宋体"/>
          <w:spacing w:val="1"/>
          <w:sz w:val="20"/>
          <w:szCs w:val="20"/>
        </w:rPr>
        <w:t>都会随着新发传</w:t>
      </w:r>
      <w:r>
        <w:rPr>
          <w:rFonts w:ascii="宋体" w:hAnsi="宋体" w:eastAsia="宋体" w:cs="宋体"/>
          <w:sz w:val="20"/>
          <w:szCs w:val="20"/>
        </w:rPr>
        <w:t xml:space="preserve"> </w:t>
      </w:r>
      <w:r>
        <w:rPr>
          <w:rFonts w:ascii="宋体" w:hAnsi="宋体" w:eastAsia="宋体" w:cs="宋体"/>
          <w:spacing w:val="3"/>
          <w:sz w:val="20"/>
          <w:szCs w:val="20"/>
        </w:rPr>
        <w:t>染病的出现以及传染病的流行与控制情况而调</w:t>
      </w:r>
      <w:r>
        <w:rPr>
          <w:rFonts w:ascii="宋体" w:hAnsi="宋体" w:eastAsia="宋体" w:cs="宋体"/>
          <w:spacing w:val="2"/>
          <w:sz w:val="20"/>
          <w:szCs w:val="20"/>
        </w:rPr>
        <w:t>整变化。</w:t>
      </w:r>
    </w:p>
    <w:p w14:paraId="238BFEA1">
      <w:pPr>
        <w:spacing w:before="23" w:line="343" w:lineRule="auto"/>
        <w:ind w:left="669" w:right="67" w:firstLine="420"/>
        <w:jc w:val="both"/>
        <w:rPr>
          <w:rFonts w:ascii="宋体" w:hAnsi="宋体" w:eastAsia="宋体" w:cs="宋体"/>
          <w:sz w:val="20"/>
          <w:szCs w:val="20"/>
        </w:rPr>
      </w:pPr>
      <w:r>
        <w:rPr>
          <w:rFonts w:ascii="宋体" w:hAnsi="宋体" w:eastAsia="宋体" w:cs="宋体"/>
          <w:spacing w:val="1"/>
          <w:sz w:val="20"/>
          <w:szCs w:val="20"/>
        </w:rPr>
        <w:t>传染病监测的主要内容有：①及时发现、诊断并报告病例，以便追踪和控制；②了解病例的三</w:t>
      </w:r>
      <w:r>
        <w:rPr>
          <w:rFonts w:ascii="宋体" w:hAnsi="宋体" w:eastAsia="宋体" w:cs="宋体"/>
          <w:spacing w:val="15"/>
          <w:sz w:val="20"/>
          <w:szCs w:val="20"/>
        </w:rPr>
        <w:t xml:space="preserve"> </w:t>
      </w:r>
      <w:r>
        <w:rPr>
          <w:rFonts w:ascii="宋体" w:hAnsi="宋体" w:eastAsia="宋体" w:cs="宋体"/>
          <w:spacing w:val="2"/>
          <w:sz w:val="20"/>
          <w:szCs w:val="20"/>
        </w:rPr>
        <w:t>间分布特征，及时确定流行或暴发的存在，以便启动暴发调查并控制疫情；③开展预警</w:t>
      </w:r>
      <w:r>
        <w:rPr>
          <w:rFonts w:ascii="宋体" w:hAnsi="宋体" w:eastAsia="宋体" w:cs="宋体"/>
          <w:spacing w:val="1"/>
          <w:sz w:val="20"/>
          <w:szCs w:val="20"/>
        </w:rPr>
        <w:t>预报，有助</w:t>
      </w:r>
      <w:r>
        <w:rPr>
          <w:rFonts w:ascii="宋体" w:hAnsi="宋体" w:eastAsia="宋体" w:cs="宋体"/>
          <w:sz w:val="20"/>
          <w:szCs w:val="20"/>
        </w:rPr>
        <w:t xml:space="preserve"> </w:t>
      </w:r>
      <w:r>
        <w:rPr>
          <w:rFonts w:ascii="宋体" w:hAnsi="宋体" w:eastAsia="宋体" w:cs="宋体"/>
          <w:spacing w:val="4"/>
          <w:sz w:val="20"/>
          <w:szCs w:val="20"/>
        </w:rPr>
        <w:t>于发现新发传染病或新的公共卫生问题；④监测人群免疫水平、病原体</w:t>
      </w:r>
      <w:r>
        <w:rPr>
          <w:rFonts w:ascii="宋体" w:hAnsi="宋体" w:eastAsia="宋体" w:cs="宋体"/>
          <w:spacing w:val="3"/>
          <w:sz w:val="20"/>
          <w:szCs w:val="20"/>
        </w:rPr>
        <w:t>的血清型和/或基因型、毒</w:t>
      </w:r>
      <w:r>
        <w:rPr>
          <w:rFonts w:ascii="宋体" w:hAnsi="宋体" w:eastAsia="宋体" w:cs="宋体"/>
          <w:sz w:val="20"/>
          <w:szCs w:val="20"/>
        </w:rPr>
        <w:t xml:space="preserve"> </w:t>
      </w:r>
      <w:r>
        <w:rPr>
          <w:rFonts w:ascii="宋体" w:hAnsi="宋体" w:eastAsia="宋体" w:cs="宋体"/>
          <w:spacing w:val="-3"/>
          <w:sz w:val="20"/>
          <w:szCs w:val="20"/>
        </w:rPr>
        <w:t>力、耐药性及其变异，以及动物宿主和媒介昆虫的种类、分布、病原体携带状况等，了解疾病的变化</w:t>
      </w:r>
      <w:r>
        <w:rPr>
          <w:rFonts w:ascii="宋体" w:hAnsi="宋体" w:eastAsia="宋体" w:cs="宋体"/>
          <w:spacing w:val="9"/>
          <w:sz w:val="20"/>
          <w:szCs w:val="20"/>
        </w:rPr>
        <w:t xml:space="preserve"> </w:t>
      </w:r>
      <w:r>
        <w:rPr>
          <w:rFonts w:ascii="宋体" w:hAnsi="宋体" w:eastAsia="宋体" w:cs="宋体"/>
          <w:spacing w:val="2"/>
          <w:sz w:val="20"/>
          <w:szCs w:val="20"/>
        </w:rPr>
        <w:t>趋势，识别高危人群或地区，为干预策略与措施的制定和调整提供信息；⑤监</w:t>
      </w:r>
      <w:r>
        <w:rPr>
          <w:rFonts w:ascii="宋体" w:hAnsi="宋体" w:eastAsia="宋体" w:cs="宋体"/>
          <w:spacing w:val="1"/>
          <w:sz w:val="20"/>
          <w:szCs w:val="20"/>
        </w:rPr>
        <w:t>测公共卫生干预策略</w:t>
      </w:r>
      <w:r>
        <w:rPr>
          <w:rFonts w:ascii="宋体" w:hAnsi="宋体" w:eastAsia="宋体" w:cs="宋体"/>
          <w:sz w:val="20"/>
          <w:szCs w:val="20"/>
        </w:rPr>
        <w:t xml:space="preserve"> </w:t>
      </w:r>
      <w:r>
        <w:rPr>
          <w:rFonts w:ascii="宋体" w:hAnsi="宋体" w:eastAsia="宋体" w:cs="宋体"/>
          <w:spacing w:val="3"/>
          <w:sz w:val="20"/>
          <w:szCs w:val="20"/>
        </w:rPr>
        <w:t>与措施的进展与效果。</w:t>
      </w:r>
    </w:p>
    <w:p w14:paraId="5B9AA52D">
      <w:pPr>
        <w:pStyle w:val="2"/>
        <w:spacing w:before="19" w:line="221" w:lineRule="auto"/>
        <w:ind w:left="1092"/>
        <w:rPr>
          <w:sz w:val="20"/>
          <w:szCs w:val="20"/>
        </w:rPr>
      </w:pPr>
      <w:r>
        <w:rPr>
          <w:b/>
          <w:bCs/>
          <w:spacing w:val="19"/>
          <w:sz w:val="20"/>
          <w:szCs w:val="20"/>
        </w:rPr>
        <w:t>(二)慢性非传染性疾病监测</w:t>
      </w:r>
    </w:p>
    <w:p w14:paraId="7D2C9A10">
      <w:pPr>
        <w:spacing w:before="135" w:line="334" w:lineRule="auto"/>
        <w:ind w:left="669" w:right="70" w:firstLine="420"/>
        <w:rPr>
          <w:rFonts w:ascii="宋体" w:hAnsi="宋体" w:eastAsia="宋体" w:cs="宋体"/>
          <w:sz w:val="20"/>
          <w:szCs w:val="20"/>
        </w:rPr>
      </w:pPr>
      <w:r>
        <w:rPr>
          <w:rFonts w:ascii="宋体" w:hAnsi="宋体" w:eastAsia="宋体" w:cs="宋体"/>
          <w:spacing w:val="6"/>
          <w:sz w:val="20"/>
          <w:szCs w:val="20"/>
        </w:rPr>
        <w:t>慢性非传染性疾病监测病种根据各国及各地区的主要卫生问题或监测目的不同而异，主要包</w:t>
      </w:r>
      <w:r>
        <w:rPr>
          <w:rFonts w:ascii="宋体" w:hAnsi="宋体" w:eastAsia="宋体" w:cs="宋体"/>
          <w:spacing w:val="17"/>
          <w:sz w:val="20"/>
          <w:szCs w:val="20"/>
        </w:rPr>
        <w:t xml:space="preserve"> </w:t>
      </w:r>
      <w:r>
        <w:rPr>
          <w:rFonts w:ascii="宋体" w:hAnsi="宋体" w:eastAsia="宋体" w:cs="宋体"/>
          <w:spacing w:val="-8"/>
          <w:sz w:val="20"/>
          <w:szCs w:val="20"/>
        </w:rPr>
        <w:t>括恶性肿瘤、心血管疾病、糖尿病、精神疾病、职业病、出生缺陷等。</w:t>
      </w:r>
    </w:p>
    <w:p w14:paraId="4A1DFDBC">
      <w:pPr>
        <w:spacing w:before="25" w:line="334" w:lineRule="auto"/>
        <w:ind w:left="669" w:right="49" w:firstLine="420"/>
        <w:rPr>
          <w:rFonts w:ascii="宋体" w:hAnsi="宋体" w:eastAsia="宋体" w:cs="宋体"/>
          <w:sz w:val="20"/>
          <w:szCs w:val="20"/>
        </w:rPr>
      </w:pPr>
      <w:r>
        <w:rPr>
          <w:rFonts w:ascii="宋体" w:hAnsi="宋体" w:eastAsia="宋体" w:cs="宋体"/>
          <w:spacing w:val="4"/>
          <w:sz w:val="20"/>
          <w:szCs w:val="20"/>
        </w:rPr>
        <w:t>从1984年起，</w:t>
      </w:r>
      <w:r>
        <w:rPr>
          <w:rFonts w:ascii="Times New Roman" w:hAnsi="Times New Roman" w:eastAsia="Times New Roman" w:cs="Times New Roman"/>
          <w:sz w:val="20"/>
          <w:szCs w:val="20"/>
        </w:rPr>
        <w:t>WHO</w:t>
      </w:r>
      <w:r>
        <w:rPr>
          <w:rFonts w:ascii="Times New Roman" w:hAnsi="Times New Roman" w:eastAsia="Times New Roman" w:cs="Times New Roman"/>
          <w:spacing w:val="4"/>
          <w:sz w:val="20"/>
          <w:szCs w:val="20"/>
        </w:rPr>
        <w:t xml:space="preserve"> </w:t>
      </w:r>
      <w:r>
        <w:rPr>
          <w:rFonts w:ascii="宋体" w:hAnsi="宋体" w:eastAsia="宋体" w:cs="宋体"/>
          <w:spacing w:val="4"/>
          <w:sz w:val="20"/>
          <w:szCs w:val="20"/>
        </w:rPr>
        <w:t>资助全球多个国家开展心血管疾病及其决定</w:t>
      </w:r>
      <w:r>
        <w:rPr>
          <w:rFonts w:ascii="宋体" w:hAnsi="宋体" w:eastAsia="宋体" w:cs="宋体"/>
          <w:spacing w:val="3"/>
          <w:sz w:val="20"/>
          <w:szCs w:val="20"/>
        </w:rPr>
        <w:t>因素监测方案，其主要目的是</w:t>
      </w:r>
      <w:r>
        <w:rPr>
          <w:rFonts w:ascii="宋体" w:hAnsi="宋体" w:eastAsia="宋体" w:cs="宋体"/>
          <w:sz w:val="20"/>
          <w:szCs w:val="20"/>
        </w:rPr>
        <w:t xml:space="preserve"> </w:t>
      </w:r>
      <w:r>
        <w:rPr>
          <w:rFonts w:ascii="宋体" w:hAnsi="宋体" w:eastAsia="宋体" w:cs="宋体"/>
          <w:spacing w:val="2"/>
          <w:sz w:val="20"/>
          <w:szCs w:val="20"/>
        </w:rPr>
        <w:t>监测心血管疾病的发生和死亡情况，以及相关的危险因素、卫生服务和社会经济</w:t>
      </w:r>
      <w:r>
        <w:rPr>
          <w:rFonts w:ascii="宋体" w:hAnsi="宋体" w:eastAsia="宋体" w:cs="宋体"/>
          <w:spacing w:val="1"/>
          <w:sz w:val="20"/>
          <w:szCs w:val="20"/>
        </w:rPr>
        <w:t>发展的变化，以便</w:t>
      </w:r>
    </w:p>
    <w:p w14:paraId="53086EF0">
      <w:pPr>
        <w:spacing w:line="334" w:lineRule="auto"/>
        <w:rPr>
          <w:rFonts w:ascii="宋体" w:hAnsi="宋体" w:eastAsia="宋体" w:cs="宋体"/>
          <w:sz w:val="20"/>
          <w:szCs w:val="20"/>
        </w:rPr>
        <w:sectPr>
          <w:footerReference r:id="rId195" w:type="default"/>
          <w:pgSz w:w="11900" w:h="16820"/>
          <w:pgMar w:top="327" w:right="1580" w:bottom="859" w:left="899" w:header="0" w:footer="679" w:gutter="0"/>
          <w:cols w:space="720" w:num="1"/>
        </w:sectPr>
      </w:pPr>
    </w:p>
    <w:p w14:paraId="60B96DE7">
      <w:pPr>
        <w:pStyle w:val="2"/>
        <w:spacing w:before="286" w:line="222" w:lineRule="auto"/>
        <w:ind w:left="7319"/>
        <w:rPr>
          <w:sz w:val="20"/>
          <w:szCs w:val="20"/>
        </w:rPr>
      </w:pPr>
      <w:r>
        <w:rPr>
          <w:spacing w:val="-18"/>
          <w:sz w:val="20"/>
          <w:szCs w:val="20"/>
        </w:rPr>
        <w:t>第十章 公共卫生监测</w:t>
      </w:r>
    </w:p>
    <w:p w14:paraId="27A53C59">
      <w:pPr>
        <w:spacing w:line="275" w:lineRule="auto"/>
        <w:rPr>
          <w:rFonts w:ascii="Arial"/>
          <w:sz w:val="21"/>
        </w:rPr>
      </w:pPr>
    </w:p>
    <w:p w14:paraId="5B0DAA30">
      <w:pPr>
        <w:spacing w:line="276" w:lineRule="auto"/>
        <w:rPr>
          <w:rFonts w:ascii="Arial"/>
          <w:sz w:val="21"/>
        </w:rPr>
      </w:pPr>
    </w:p>
    <w:p w14:paraId="2276BEB3">
      <w:pPr>
        <w:spacing w:before="65" w:line="334" w:lineRule="auto"/>
        <w:ind w:right="609"/>
        <w:jc w:val="both"/>
        <w:rPr>
          <w:rFonts w:ascii="宋体" w:hAnsi="宋体" w:eastAsia="宋体" w:cs="宋体"/>
          <w:sz w:val="20"/>
          <w:szCs w:val="20"/>
        </w:rPr>
      </w:pPr>
      <w:r>
        <w:rPr>
          <w:rFonts w:ascii="宋体" w:hAnsi="宋体" w:eastAsia="宋体" w:cs="宋体"/>
          <w:spacing w:val="10"/>
          <w:sz w:val="20"/>
          <w:szCs w:val="20"/>
        </w:rPr>
        <w:t>采取有效行动，减少心血管疾病的死亡。我国从20世纪后期陆续开展了心血管疾病</w:t>
      </w:r>
      <w:r>
        <w:rPr>
          <w:rFonts w:ascii="宋体" w:hAnsi="宋体" w:eastAsia="宋体" w:cs="宋体"/>
          <w:spacing w:val="9"/>
          <w:sz w:val="20"/>
          <w:szCs w:val="20"/>
        </w:rPr>
        <w:t>、恶性肿瘤、出</w:t>
      </w:r>
      <w:r>
        <w:rPr>
          <w:rFonts w:ascii="宋体" w:hAnsi="宋体" w:eastAsia="宋体" w:cs="宋体"/>
          <w:sz w:val="20"/>
          <w:szCs w:val="20"/>
        </w:rPr>
        <w:t xml:space="preserve"> </w:t>
      </w:r>
      <w:r>
        <w:rPr>
          <w:rFonts w:ascii="宋体" w:hAnsi="宋体" w:eastAsia="宋体" w:cs="宋体"/>
          <w:spacing w:val="13"/>
          <w:sz w:val="20"/>
          <w:szCs w:val="20"/>
        </w:rPr>
        <w:t>生缺陷等慢性非传染性疾病的监测工作。国家癌症中心</w:t>
      </w:r>
      <w:r>
        <w:rPr>
          <w:rFonts w:ascii="Times New Roman" w:hAnsi="Times New Roman" w:eastAsia="Times New Roman" w:cs="Times New Roman"/>
          <w:spacing w:val="13"/>
          <w:sz w:val="20"/>
          <w:szCs w:val="20"/>
        </w:rPr>
        <w:t>(</w:t>
      </w:r>
      <w:r>
        <w:rPr>
          <w:rFonts w:ascii="Times New Roman" w:hAnsi="Times New Roman" w:eastAsia="Times New Roman" w:cs="Times New Roman"/>
          <w:sz w:val="20"/>
          <w:szCs w:val="20"/>
        </w:rPr>
        <w:t>National</w:t>
      </w:r>
      <w:r>
        <w:rPr>
          <w:rFonts w:ascii="Times New Roman" w:hAnsi="Times New Roman" w:eastAsia="Times New Roman" w:cs="Times New Roman"/>
          <w:spacing w:val="5"/>
          <w:sz w:val="20"/>
          <w:szCs w:val="20"/>
        </w:rPr>
        <w:t xml:space="preserve">    </w:t>
      </w:r>
      <w:r>
        <w:rPr>
          <w:rFonts w:ascii="Times New Roman" w:hAnsi="Times New Roman" w:eastAsia="Times New Roman" w:cs="Times New Roman"/>
          <w:sz w:val="20"/>
          <w:szCs w:val="20"/>
        </w:rPr>
        <w:t>Cancer</w:t>
      </w:r>
      <w:r>
        <w:rPr>
          <w:rFonts w:ascii="Times New Roman" w:hAnsi="Times New Roman" w:eastAsia="Times New Roman" w:cs="Times New Roman"/>
          <w:spacing w:val="1"/>
          <w:sz w:val="20"/>
          <w:szCs w:val="20"/>
        </w:rPr>
        <w:t xml:space="preserve">    </w:t>
      </w:r>
      <w:r>
        <w:rPr>
          <w:rFonts w:ascii="Times New Roman" w:hAnsi="Times New Roman" w:eastAsia="Times New Roman" w:cs="Times New Roman"/>
          <w:sz w:val="20"/>
          <w:szCs w:val="20"/>
        </w:rPr>
        <w:t>Center</w:t>
      </w:r>
      <w:r>
        <w:rPr>
          <w:rFonts w:ascii="Times New Roman" w:hAnsi="Times New Roman" w:eastAsia="Times New Roman" w:cs="Times New Roman"/>
          <w:spacing w:val="13"/>
          <w:sz w:val="20"/>
          <w:szCs w:val="20"/>
        </w:rPr>
        <w:t>,</w:t>
      </w:r>
      <w:r>
        <w:rPr>
          <w:rFonts w:ascii="Times New Roman" w:hAnsi="Times New Roman" w:eastAsia="Times New Roman" w:cs="Times New Roman"/>
          <w:sz w:val="20"/>
          <w:szCs w:val="20"/>
        </w:rPr>
        <w:t>NCC</w:t>
      </w:r>
      <w:r>
        <w:rPr>
          <w:rFonts w:ascii="Times New Roman" w:hAnsi="Times New Roman" w:eastAsia="Times New Roman" w:cs="Times New Roman"/>
          <w:spacing w:val="13"/>
          <w:sz w:val="20"/>
          <w:szCs w:val="20"/>
        </w:rPr>
        <w:t>)</w:t>
      </w:r>
      <w:r>
        <w:rPr>
          <w:rFonts w:ascii="宋体" w:hAnsi="宋体" w:eastAsia="宋体" w:cs="宋体"/>
          <w:spacing w:val="13"/>
          <w:sz w:val="20"/>
          <w:szCs w:val="20"/>
        </w:rPr>
        <w:t>基于最新的</w:t>
      </w:r>
      <w:r>
        <w:rPr>
          <w:rFonts w:ascii="宋体" w:hAnsi="宋体" w:eastAsia="宋体" w:cs="宋体"/>
          <w:spacing w:val="2"/>
          <w:sz w:val="20"/>
          <w:szCs w:val="20"/>
        </w:rPr>
        <w:t xml:space="preserve"> </w:t>
      </w:r>
      <w:r>
        <w:rPr>
          <w:rFonts w:ascii="宋体" w:hAnsi="宋体" w:eastAsia="宋体" w:cs="宋体"/>
          <w:spacing w:val="21"/>
          <w:sz w:val="20"/>
          <w:szCs w:val="20"/>
        </w:rPr>
        <w:t>肿瘤登记及随访监测数据，定期报告我国恶性肿瘤发病和</w:t>
      </w:r>
      <w:r>
        <w:rPr>
          <w:rFonts w:ascii="宋体" w:hAnsi="宋体" w:eastAsia="宋体" w:cs="宋体"/>
          <w:spacing w:val="20"/>
          <w:sz w:val="20"/>
          <w:szCs w:val="20"/>
        </w:rPr>
        <w:t>死亡情况。随着肿瘤登记数据质量和</w:t>
      </w:r>
      <w:r>
        <w:rPr>
          <w:rFonts w:ascii="宋体" w:hAnsi="宋体" w:eastAsia="宋体" w:cs="宋体"/>
          <w:sz w:val="20"/>
          <w:szCs w:val="20"/>
        </w:rPr>
        <w:t xml:space="preserve"> </w:t>
      </w:r>
      <w:r>
        <w:rPr>
          <w:rFonts w:ascii="宋体" w:hAnsi="宋体" w:eastAsia="宋体" w:cs="宋体"/>
          <w:spacing w:val="20"/>
          <w:sz w:val="20"/>
          <w:szCs w:val="20"/>
        </w:rPr>
        <w:t>规范程度的不断提高，全国癌症报告能够为肿瘤防控和国家健康战略的实施提供更客观的基础</w:t>
      </w:r>
      <w:r>
        <w:rPr>
          <w:rFonts w:ascii="宋体" w:hAnsi="宋体" w:eastAsia="宋体" w:cs="宋体"/>
          <w:sz w:val="20"/>
          <w:szCs w:val="20"/>
        </w:rPr>
        <w:t xml:space="preserve"> </w:t>
      </w:r>
      <w:r>
        <w:rPr>
          <w:rFonts w:ascii="宋体" w:hAnsi="宋体" w:eastAsia="宋体" w:cs="宋体"/>
          <w:spacing w:val="13"/>
          <w:sz w:val="20"/>
          <w:szCs w:val="20"/>
        </w:rPr>
        <w:t>数据。</w:t>
      </w:r>
    </w:p>
    <w:p w14:paraId="10AACC90">
      <w:pPr>
        <w:pStyle w:val="2"/>
        <w:spacing w:line="222" w:lineRule="auto"/>
        <w:ind w:left="433"/>
        <w:rPr>
          <w:sz w:val="25"/>
          <w:szCs w:val="25"/>
        </w:rPr>
      </w:pPr>
      <w:r>
        <w:rPr>
          <w:b/>
          <w:bCs/>
          <w:spacing w:val="-9"/>
          <w:sz w:val="25"/>
          <w:szCs w:val="25"/>
        </w:rPr>
        <w:t>(三)医院感染监测</w:t>
      </w:r>
    </w:p>
    <w:p w14:paraId="3860753D">
      <w:pPr>
        <w:spacing w:before="106" w:line="336" w:lineRule="auto"/>
        <w:ind w:right="613" w:firstLine="429"/>
        <w:jc w:val="both"/>
        <w:rPr>
          <w:rFonts w:ascii="宋体" w:hAnsi="宋体" w:eastAsia="宋体" w:cs="宋体"/>
          <w:sz w:val="20"/>
          <w:szCs w:val="20"/>
        </w:rPr>
      </w:pPr>
      <w:r>
        <w:rPr>
          <w:rFonts w:ascii="宋体" w:hAnsi="宋体" w:eastAsia="宋体" w:cs="宋体"/>
          <w:spacing w:val="1"/>
          <w:sz w:val="20"/>
          <w:szCs w:val="20"/>
        </w:rPr>
        <w:t>医院感染监测</w:t>
      </w:r>
      <w:r>
        <w:rPr>
          <w:rFonts w:ascii="Times New Roman" w:hAnsi="Times New Roman" w:eastAsia="Times New Roman" w:cs="Times New Roman"/>
          <w:spacing w:val="1"/>
          <w:sz w:val="20"/>
          <w:szCs w:val="20"/>
        </w:rPr>
        <w:t>(</w:t>
      </w:r>
      <w:r>
        <w:rPr>
          <w:rFonts w:ascii="Times New Roman" w:hAnsi="Times New Roman" w:eastAsia="Times New Roman" w:cs="Times New Roman"/>
          <w:sz w:val="20"/>
          <w:szCs w:val="20"/>
        </w:rPr>
        <w:t>healthcare</w:t>
      </w:r>
      <w:r>
        <w:rPr>
          <w:rFonts w:ascii="Times New Roman" w:hAnsi="Times New Roman" w:eastAsia="Times New Roman" w:cs="Times New Roman"/>
          <w:spacing w:val="1"/>
          <w:sz w:val="20"/>
          <w:szCs w:val="20"/>
        </w:rPr>
        <w:t xml:space="preserve">   </w:t>
      </w:r>
      <w:r>
        <w:rPr>
          <w:rFonts w:ascii="Times New Roman" w:hAnsi="Times New Roman" w:eastAsia="Times New Roman" w:cs="Times New Roman"/>
          <w:sz w:val="20"/>
          <w:szCs w:val="20"/>
        </w:rPr>
        <w:t>associated</w:t>
      </w:r>
      <w:r>
        <w:rPr>
          <w:rFonts w:ascii="Times New Roman" w:hAnsi="Times New Roman" w:eastAsia="Times New Roman" w:cs="Times New Roman"/>
          <w:spacing w:val="1"/>
          <w:sz w:val="20"/>
          <w:szCs w:val="20"/>
        </w:rPr>
        <w:t xml:space="preserve">   </w:t>
      </w:r>
      <w:r>
        <w:rPr>
          <w:rFonts w:ascii="Times New Roman" w:hAnsi="Times New Roman" w:eastAsia="Times New Roman" w:cs="Times New Roman"/>
          <w:sz w:val="20"/>
          <w:szCs w:val="20"/>
        </w:rPr>
        <w:t>infection</w:t>
      </w:r>
      <w:r>
        <w:rPr>
          <w:rFonts w:ascii="Times New Roman" w:hAnsi="Times New Roman" w:eastAsia="Times New Roman" w:cs="Times New Roman"/>
          <w:spacing w:val="1"/>
          <w:sz w:val="20"/>
          <w:szCs w:val="20"/>
        </w:rPr>
        <w:t xml:space="preserve">    </w:t>
      </w:r>
      <w:r>
        <w:rPr>
          <w:rFonts w:ascii="Times New Roman" w:hAnsi="Times New Roman" w:eastAsia="Times New Roman" w:cs="Times New Roman"/>
          <w:sz w:val="20"/>
          <w:szCs w:val="20"/>
        </w:rPr>
        <w:t>surveillance</w:t>
      </w:r>
      <w:r>
        <w:rPr>
          <w:rFonts w:ascii="Times New Roman" w:hAnsi="Times New Roman" w:eastAsia="Times New Roman" w:cs="Times New Roman"/>
          <w:spacing w:val="1"/>
          <w:sz w:val="20"/>
          <w:szCs w:val="20"/>
        </w:rPr>
        <w:t>)</w:t>
      </w:r>
      <w:r>
        <w:rPr>
          <w:rFonts w:ascii="宋体" w:hAnsi="宋体" w:eastAsia="宋体" w:cs="宋体"/>
          <w:spacing w:val="1"/>
          <w:sz w:val="20"/>
          <w:szCs w:val="20"/>
        </w:rPr>
        <w:t>是指长期、系统、连续地收集、分析医</w:t>
      </w:r>
      <w:r>
        <w:rPr>
          <w:rFonts w:ascii="宋体" w:hAnsi="宋体" w:eastAsia="宋体" w:cs="宋体"/>
          <w:spacing w:val="2"/>
          <w:sz w:val="20"/>
          <w:szCs w:val="20"/>
        </w:rPr>
        <w:t xml:space="preserve"> </w:t>
      </w:r>
      <w:r>
        <w:rPr>
          <w:rFonts w:ascii="宋体" w:hAnsi="宋体" w:eastAsia="宋体" w:cs="宋体"/>
          <w:spacing w:val="10"/>
          <w:sz w:val="20"/>
          <w:szCs w:val="20"/>
        </w:rPr>
        <w:t>院感染在特定人群(主要是住院病人)中的发生、分</w:t>
      </w:r>
      <w:r>
        <w:rPr>
          <w:rFonts w:ascii="宋体" w:hAnsi="宋体" w:eastAsia="宋体" w:cs="宋体"/>
          <w:spacing w:val="9"/>
          <w:sz w:val="20"/>
          <w:szCs w:val="20"/>
        </w:rPr>
        <w:t>布及其影响因素，并将监测结果报送和反馈给有</w:t>
      </w:r>
      <w:r>
        <w:rPr>
          <w:rFonts w:ascii="宋体" w:hAnsi="宋体" w:eastAsia="宋体" w:cs="宋体"/>
          <w:sz w:val="20"/>
          <w:szCs w:val="20"/>
        </w:rPr>
        <w:t xml:space="preserve"> </w:t>
      </w:r>
      <w:r>
        <w:rPr>
          <w:rFonts w:ascii="宋体" w:hAnsi="宋体" w:eastAsia="宋体" w:cs="宋体"/>
          <w:spacing w:val="10"/>
          <w:sz w:val="20"/>
          <w:szCs w:val="20"/>
        </w:rPr>
        <w:t>关部门和科室，为医院感染的预防、控制和管理提供科学依据。20</w:t>
      </w:r>
      <w:r>
        <w:rPr>
          <w:rFonts w:ascii="宋体" w:hAnsi="宋体" w:eastAsia="宋体" w:cs="宋体"/>
          <w:spacing w:val="9"/>
          <w:sz w:val="20"/>
          <w:szCs w:val="20"/>
        </w:rPr>
        <w:t>23年国家卫生健康委员会发布了</w:t>
      </w:r>
      <w:r>
        <w:rPr>
          <w:rFonts w:ascii="宋体" w:hAnsi="宋体" w:eastAsia="宋体" w:cs="宋体"/>
          <w:sz w:val="20"/>
          <w:szCs w:val="20"/>
        </w:rPr>
        <w:t xml:space="preserve"> </w:t>
      </w:r>
      <w:r>
        <w:rPr>
          <w:rFonts w:ascii="宋体" w:hAnsi="宋体" w:eastAsia="宋体" w:cs="宋体"/>
          <w:spacing w:val="11"/>
          <w:sz w:val="20"/>
          <w:szCs w:val="20"/>
        </w:rPr>
        <w:t>最新的《医院感染监测标准》</w:t>
      </w:r>
      <w:r>
        <w:rPr>
          <w:rFonts w:ascii="Times New Roman" w:hAnsi="Times New Roman" w:eastAsia="Times New Roman" w:cs="Times New Roman"/>
          <w:spacing w:val="11"/>
          <w:sz w:val="20"/>
          <w:szCs w:val="20"/>
        </w:rPr>
        <w:t>(</w:t>
      </w:r>
      <w:r>
        <w:rPr>
          <w:rFonts w:ascii="Times New Roman" w:hAnsi="Times New Roman" w:eastAsia="Times New Roman" w:cs="Times New Roman"/>
          <w:sz w:val="20"/>
          <w:szCs w:val="20"/>
        </w:rPr>
        <w:t>WS</w:t>
      </w:r>
      <w:r>
        <w:rPr>
          <w:rFonts w:ascii="Times New Roman" w:hAnsi="Times New Roman" w:eastAsia="Times New Roman" w:cs="Times New Roman"/>
          <w:spacing w:val="11"/>
          <w:sz w:val="20"/>
          <w:szCs w:val="20"/>
        </w:rPr>
        <w:t>/T     312—2023),</w:t>
      </w:r>
      <w:r>
        <w:rPr>
          <w:rFonts w:ascii="宋体" w:hAnsi="宋体" w:eastAsia="宋体" w:cs="宋体"/>
          <w:spacing w:val="11"/>
          <w:sz w:val="20"/>
          <w:szCs w:val="20"/>
        </w:rPr>
        <w:t>于2024年2月1日起实施。该标准规定了医院感</w:t>
      </w:r>
      <w:r>
        <w:rPr>
          <w:rFonts w:ascii="宋体" w:hAnsi="宋体" w:eastAsia="宋体" w:cs="宋体"/>
          <w:spacing w:val="13"/>
          <w:sz w:val="20"/>
          <w:szCs w:val="20"/>
        </w:rPr>
        <w:t xml:space="preserve"> </w:t>
      </w:r>
      <w:r>
        <w:rPr>
          <w:rFonts w:ascii="宋体" w:hAnsi="宋体" w:eastAsia="宋体" w:cs="宋体"/>
          <w:spacing w:val="15"/>
          <w:sz w:val="20"/>
          <w:szCs w:val="20"/>
        </w:rPr>
        <w:t>染监测的管理与要求、监测方法及内容、监测报告指标及监测质量的控制，相关内容详见本书第</w:t>
      </w:r>
      <w:r>
        <w:rPr>
          <w:rFonts w:ascii="宋体" w:hAnsi="宋体" w:eastAsia="宋体" w:cs="宋体"/>
          <w:spacing w:val="12"/>
          <w:sz w:val="20"/>
          <w:szCs w:val="20"/>
        </w:rPr>
        <w:t xml:space="preserve"> </w:t>
      </w:r>
      <w:r>
        <w:rPr>
          <w:rFonts w:ascii="宋体" w:hAnsi="宋体" w:eastAsia="宋体" w:cs="宋体"/>
          <w:spacing w:val="14"/>
          <w:sz w:val="20"/>
          <w:szCs w:val="20"/>
        </w:rPr>
        <w:t>十二章。</w:t>
      </w:r>
    </w:p>
    <w:p w14:paraId="13C6671B">
      <w:pPr>
        <w:pStyle w:val="2"/>
        <w:spacing w:before="1" w:line="223" w:lineRule="auto"/>
        <w:ind w:left="433"/>
        <w:rPr>
          <w:sz w:val="25"/>
          <w:szCs w:val="25"/>
        </w:rPr>
      </w:pPr>
      <w:r>
        <w:rPr>
          <w:b/>
          <w:bCs/>
          <w:spacing w:val="-4"/>
          <w:sz w:val="25"/>
          <w:szCs w:val="25"/>
        </w:rPr>
        <w:t>(四)死因监测</w:t>
      </w:r>
    </w:p>
    <w:p w14:paraId="2FCB7BC9">
      <w:pPr>
        <w:spacing w:before="118" w:line="333" w:lineRule="auto"/>
        <w:ind w:right="616" w:firstLine="429"/>
        <w:jc w:val="both"/>
        <w:rPr>
          <w:rFonts w:ascii="宋体" w:hAnsi="宋体" w:eastAsia="宋体" w:cs="宋体"/>
          <w:sz w:val="20"/>
          <w:szCs w:val="20"/>
        </w:rPr>
      </w:pPr>
      <w:r>
        <w:rPr>
          <w:rFonts w:ascii="宋体" w:hAnsi="宋体" w:eastAsia="宋体" w:cs="宋体"/>
          <w:spacing w:val="15"/>
          <w:sz w:val="20"/>
          <w:szCs w:val="20"/>
        </w:rPr>
        <w:t>死因监测的目的是了解人群的死亡率分布和死亡原因。人群死因</w:t>
      </w:r>
      <w:r>
        <w:rPr>
          <w:rFonts w:ascii="宋体" w:hAnsi="宋体" w:eastAsia="宋体" w:cs="宋体"/>
          <w:spacing w:val="14"/>
          <w:sz w:val="20"/>
          <w:szCs w:val="20"/>
        </w:rPr>
        <w:t>信息是卫生信息的重要组成</w:t>
      </w:r>
      <w:r>
        <w:rPr>
          <w:rFonts w:ascii="宋体" w:hAnsi="宋体" w:eastAsia="宋体" w:cs="宋体"/>
          <w:sz w:val="20"/>
          <w:szCs w:val="20"/>
        </w:rPr>
        <w:t xml:space="preserve"> </w:t>
      </w:r>
      <w:r>
        <w:rPr>
          <w:rFonts w:ascii="宋体" w:hAnsi="宋体" w:eastAsia="宋体" w:cs="宋体"/>
          <w:spacing w:val="10"/>
          <w:sz w:val="20"/>
          <w:szCs w:val="20"/>
        </w:rPr>
        <w:t>部分，死因构成、死亡水平及其变化趋势可反映一个国家或地区人群健康状况及卫生保健水平，是</w:t>
      </w:r>
      <w:r>
        <w:rPr>
          <w:rFonts w:ascii="宋体" w:hAnsi="宋体" w:eastAsia="宋体" w:cs="宋体"/>
          <w:spacing w:val="9"/>
          <w:sz w:val="20"/>
          <w:szCs w:val="20"/>
        </w:rPr>
        <w:t xml:space="preserve"> </w:t>
      </w:r>
      <w:r>
        <w:rPr>
          <w:rFonts w:ascii="宋体" w:hAnsi="宋体" w:eastAsia="宋体" w:cs="宋体"/>
          <w:spacing w:val="14"/>
          <w:sz w:val="20"/>
          <w:szCs w:val="20"/>
        </w:rPr>
        <w:t>确定不同时期主要死因及疾病防治重点的依据。</w:t>
      </w:r>
    </w:p>
    <w:p w14:paraId="0D11EB78">
      <w:pPr>
        <w:spacing w:before="14" w:line="335" w:lineRule="auto"/>
        <w:ind w:right="546" w:firstLine="429"/>
        <w:jc w:val="both"/>
        <w:rPr>
          <w:rFonts w:ascii="宋体" w:hAnsi="宋体" w:eastAsia="宋体" w:cs="宋体"/>
          <w:sz w:val="20"/>
          <w:szCs w:val="20"/>
        </w:rPr>
      </w:pPr>
      <w:r>
        <w:rPr>
          <w:rFonts w:ascii="宋体" w:hAnsi="宋体" w:eastAsia="宋体" w:cs="宋体"/>
          <w:spacing w:val="27"/>
          <w:sz w:val="20"/>
          <w:szCs w:val="20"/>
        </w:rPr>
        <w:t>我国于1978年建立的全国疾病监测系统持续监测全国人群的死亡水平和疾病模式变化。</w:t>
      </w:r>
      <w:r>
        <w:rPr>
          <w:rFonts w:ascii="宋体" w:hAnsi="宋体" w:eastAsia="宋体" w:cs="宋体"/>
          <w:sz w:val="20"/>
          <w:szCs w:val="20"/>
        </w:rPr>
        <w:t xml:space="preserve"> </w:t>
      </w:r>
      <w:r>
        <w:rPr>
          <w:rFonts w:ascii="宋体" w:hAnsi="宋体" w:eastAsia="宋体" w:cs="宋体"/>
          <w:spacing w:val="20"/>
          <w:sz w:val="20"/>
          <w:szCs w:val="20"/>
        </w:rPr>
        <w:t>2013年，通过对死因统计系统与疾病监测</w:t>
      </w:r>
      <w:r>
        <w:rPr>
          <w:rFonts w:ascii="宋体" w:hAnsi="宋体" w:eastAsia="宋体" w:cs="宋体"/>
          <w:spacing w:val="19"/>
          <w:sz w:val="20"/>
          <w:szCs w:val="20"/>
        </w:rPr>
        <w:t>系统进行整合，建立了具有省级代表性的全国死因监</w:t>
      </w:r>
      <w:r>
        <w:rPr>
          <w:rFonts w:ascii="宋体" w:hAnsi="宋体" w:eastAsia="宋体" w:cs="宋体"/>
          <w:sz w:val="20"/>
          <w:szCs w:val="20"/>
        </w:rPr>
        <w:t xml:space="preserve"> </w:t>
      </w:r>
      <w:r>
        <w:rPr>
          <w:rFonts w:ascii="宋体" w:hAnsi="宋体" w:eastAsia="宋体" w:cs="宋体"/>
          <w:spacing w:val="20"/>
          <w:sz w:val="20"/>
          <w:szCs w:val="20"/>
        </w:rPr>
        <w:t>测系统，为获得各省(自治区、直辖市)人群</w:t>
      </w:r>
      <w:r>
        <w:rPr>
          <w:rFonts w:ascii="宋体" w:hAnsi="宋体" w:eastAsia="宋体" w:cs="宋体"/>
          <w:spacing w:val="19"/>
          <w:sz w:val="20"/>
          <w:szCs w:val="20"/>
        </w:rPr>
        <w:t>死亡水平、死因模式和期望寿命等健康相关指标奠</w:t>
      </w:r>
      <w:r>
        <w:rPr>
          <w:rFonts w:ascii="宋体" w:hAnsi="宋体" w:eastAsia="宋体" w:cs="宋体"/>
          <w:sz w:val="20"/>
          <w:szCs w:val="20"/>
        </w:rPr>
        <w:t xml:space="preserve">  </w:t>
      </w:r>
      <w:r>
        <w:rPr>
          <w:rFonts w:ascii="宋体" w:hAnsi="宋体" w:eastAsia="宋体" w:cs="宋体"/>
          <w:spacing w:val="19"/>
          <w:sz w:val="20"/>
          <w:szCs w:val="20"/>
        </w:rPr>
        <w:t>定了基础。中国疾病预防控制中心分别于2</w:t>
      </w:r>
      <w:r>
        <w:rPr>
          <w:rFonts w:ascii="宋体" w:hAnsi="宋体" w:eastAsia="宋体" w:cs="宋体"/>
          <w:spacing w:val="18"/>
          <w:sz w:val="20"/>
          <w:szCs w:val="20"/>
        </w:rPr>
        <w:t>005年和2007年制定下发了《全国疾病监测系统死因</w:t>
      </w:r>
      <w:r>
        <w:rPr>
          <w:rFonts w:ascii="宋体" w:hAnsi="宋体" w:eastAsia="宋体" w:cs="宋体"/>
          <w:sz w:val="20"/>
          <w:szCs w:val="20"/>
        </w:rPr>
        <w:t xml:space="preserve"> </w:t>
      </w:r>
      <w:r>
        <w:rPr>
          <w:rFonts w:ascii="宋体" w:hAnsi="宋体" w:eastAsia="宋体" w:cs="宋体"/>
          <w:spacing w:val="12"/>
          <w:sz w:val="20"/>
          <w:szCs w:val="20"/>
        </w:rPr>
        <w:t>监测工作规范(试行)》和《全国死因登记信息网</w:t>
      </w:r>
      <w:r>
        <w:rPr>
          <w:rFonts w:ascii="宋体" w:hAnsi="宋体" w:eastAsia="宋体" w:cs="宋体"/>
          <w:spacing w:val="11"/>
          <w:sz w:val="20"/>
          <w:szCs w:val="20"/>
        </w:rPr>
        <w:t>络报告工作规范(试行)》,使死因监测工作更加规</w:t>
      </w:r>
      <w:r>
        <w:rPr>
          <w:rFonts w:ascii="宋体" w:hAnsi="宋体" w:eastAsia="宋体" w:cs="宋体"/>
          <w:sz w:val="20"/>
          <w:szCs w:val="20"/>
        </w:rPr>
        <w:t xml:space="preserve">  </w:t>
      </w:r>
      <w:r>
        <w:rPr>
          <w:rFonts w:ascii="宋体" w:hAnsi="宋体" w:eastAsia="宋体" w:cs="宋体"/>
          <w:spacing w:val="15"/>
          <w:sz w:val="20"/>
          <w:szCs w:val="20"/>
        </w:rPr>
        <w:t>范。其中《死亡医学证明书》是社会管理和死因的重要凭证，正确的根本死因判定</w:t>
      </w:r>
      <w:r>
        <w:rPr>
          <w:rFonts w:ascii="宋体" w:hAnsi="宋体" w:eastAsia="宋体" w:cs="宋体"/>
          <w:spacing w:val="14"/>
          <w:sz w:val="20"/>
          <w:szCs w:val="20"/>
        </w:rPr>
        <w:t>是死因监测的</w:t>
      </w:r>
      <w:r>
        <w:rPr>
          <w:rFonts w:ascii="宋体" w:hAnsi="宋体" w:eastAsia="宋体" w:cs="宋体"/>
          <w:sz w:val="20"/>
          <w:szCs w:val="20"/>
        </w:rPr>
        <w:t xml:space="preserve">  </w:t>
      </w:r>
      <w:r>
        <w:rPr>
          <w:rFonts w:ascii="宋体" w:hAnsi="宋体" w:eastAsia="宋体" w:cs="宋体"/>
          <w:spacing w:val="13"/>
          <w:sz w:val="20"/>
          <w:szCs w:val="20"/>
        </w:rPr>
        <w:t>基础。</w:t>
      </w:r>
    </w:p>
    <w:p w14:paraId="0533778B">
      <w:pPr>
        <w:pStyle w:val="2"/>
        <w:spacing w:before="179" w:line="221" w:lineRule="auto"/>
        <w:ind w:left="433"/>
        <w:outlineLvl w:val="3"/>
        <w:rPr>
          <w:sz w:val="25"/>
          <w:szCs w:val="25"/>
        </w:rPr>
      </w:pPr>
      <w:bookmarkStart w:id="287" w:name="bookmark182"/>
      <w:bookmarkEnd w:id="287"/>
      <w:r>
        <w:rPr>
          <w:b/>
          <w:bCs/>
          <w:spacing w:val="-7"/>
          <w:sz w:val="25"/>
          <w:szCs w:val="25"/>
        </w:rPr>
        <w:t>二</w:t>
      </w:r>
      <w:r>
        <w:rPr>
          <w:spacing w:val="-38"/>
          <w:sz w:val="25"/>
          <w:szCs w:val="25"/>
        </w:rPr>
        <w:t xml:space="preserve"> </w:t>
      </w:r>
      <w:r>
        <w:rPr>
          <w:b/>
          <w:bCs/>
          <w:spacing w:val="-7"/>
          <w:sz w:val="25"/>
          <w:szCs w:val="25"/>
        </w:rPr>
        <w:t>、症状监测</w:t>
      </w:r>
    </w:p>
    <w:p w14:paraId="314C7C5A">
      <w:pPr>
        <w:spacing w:before="252" w:line="332" w:lineRule="auto"/>
        <w:ind w:right="617" w:firstLine="429"/>
        <w:jc w:val="both"/>
        <w:rPr>
          <w:rFonts w:ascii="宋体" w:hAnsi="宋体" w:eastAsia="宋体" w:cs="宋体"/>
          <w:sz w:val="20"/>
          <w:szCs w:val="20"/>
        </w:rPr>
      </w:pPr>
      <w:r>
        <w:rPr>
          <w:rFonts w:ascii="宋体" w:hAnsi="宋体" w:eastAsia="宋体" w:cs="宋体"/>
          <w:spacing w:val="5"/>
          <w:sz w:val="20"/>
          <w:szCs w:val="20"/>
        </w:rPr>
        <w:t>症状监测</w:t>
      </w:r>
      <w:r>
        <w:rPr>
          <w:rFonts w:ascii="Times New Roman" w:hAnsi="Times New Roman" w:eastAsia="Times New Roman" w:cs="Times New Roman"/>
          <w:spacing w:val="5"/>
          <w:sz w:val="20"/>
          <w:szCs w:val="20"/>
        </w:rPr>
        <w:t>(</w:t>
      </w:r>
      <w:r>
        <w:rPr>
          <w:rFonts w:ascii="Times New Roman" w:hAnsi="Times New Roman" w:eastAsia="Times New Roman" w:cs="Times New Roman"/>
          <w:sz w:val="20"/>
          <w:szCs w:val="20"/>
        </w:rPr>
        <w:t>syndromic</w:t>
      </w:r>
      <w:r>
        <w:rPr>
          <w:rFonts w:ascii="Times New Roman" w:hAnsi="Times New Roman" w:eastAsia="Times New Roman" w:cs="Times New Roman"/>
          <w:spacing w:val="5"/>
          <w:sz w:val="20"/>
          <w:szCs w:val="20"/>
        </w:rPr>
        <w:t xml:space="preserve">     </w:t>
      </w:r>
      <w:r>
        <w:rPr>
          <w:rFonts w:ascii="Times New Roman" w:hAnsi="Times New Roman" w:eastAsia="Times New Roman" w:cs="Times New Roman"/>
          <w:sz w:val="20"/>
          <w:szCs w:val="20"/>
        </w:rPr>
        <w:t>surveillance</w:t>
      </w:r>
      <w:r>
        <w:rPr>
          <w:rFonts w:ascii="Times New Roman" w:hAnsi="Times New Roman" w:eastAsia="Times New Roman" w:cs="Times New Roman"/>
          <w:spacing w:val="5"/>
          <w:sz w:val="20"/>
          <w:szCs w:val="20"/>
        </w:rPr>
        <w:t>)</w:t>
      </w:r>
      <w:r>
        <w:rPr>
          <w:rFonts w:ascii="宋体" w:hAnsi="宋体" w:eastAsia="宋体" w:cs="宋体"/>
          <w:spacing w:val="5"/>
          <w:sz w:val="20"/>
          <w:szCs w:val="20"/>
        </w:rPr>
        <w:t>又称为综合征监测或症候群监测，是指通过长期、连续、系统</w:t>
      </w:r>
      <w:r>
        <w:rPr>
          <w:rFonts w:ascii="宋体" w:hAnsi="宋体" w:eastAsia="宋体" w:cs="宋体"/>
          <w:spacing w:val="4"/>
          <w:sz w:val="20"/>
          <w:szCs w:val="20"/>
        </w:rPr>
        <w:t xml:space="preserve"> </w:t>
      </w:r>
      <w:r>
        <w:rPr>
          <w:rFonts w:ascii="宋体" w:hAnsi="宋体" w:eastAsia="宋体" w:cs="宋体"/>
          <w:spacing w:val="15"/>
          <w:sz w:val="20"/>
          <w:szCs w:val="20"/>
        </w:rPr>
        <w:t>地收集特定临床症候群或与疾病相关现象的发生频率，从而对某</w:t>
      </w:r>
      <w:r>
        <w:rPr>
          <w:rFonts w:ascii="宋体" w:hAnsi="宋体" w:eastAsia="宋体" w:cs="宋体"/>
          <w:spacing w:val="14"/>
          <w:sz w:val="20"/>
          <w:szCs w:val="20"/>
        </w:rPr>
        <w:t>类疾病的发生或流行进行早期探</w:t>
      </w:r>
      <w:r>
        <w:rPr>
          <w:rFonts w:ascii="宋体" w:hAnsi="宋体" w:eastAsia="宋体" w:cs="宋体"/>
          <w:sz w:val="20"/>
          <w:szCs w:val="20"/>
        </w:rPr>
        <w:t xml:space="preserve"> </w:t>
      </w:r>
      <w:r>
        <w:rPr>
          <w:rFonts w:ascii="宋体" w:hAnsi="宋体" w:eastAsia="宋体" w:cs="宋体"/>
          <w:spacing w:val="10"/>
          <w:sz w:val="20"/>
          <w:szCs w:val="20"/>
        </w:rPr>
        <w:t>查、预警和作出快速反应的监测方法。症状监测尤其适用于新发疾病，其病因未明，临床上尚无明</w:t>
      </w:r>
      <w:r>
        <w:rPr>
          <w:rFonts w:ascii="宋体" w:hAnsi="宋体" w:eastAsia="宋体" w:cs="宋体"/>
          <w:sz w:val="20"/>
          <w:szCs w:val="20"/>
        </w:rPr>
        <w:t xml:space="preserve"> </w:t>
      </w:r>
      <w:r>
        <w:rPr>
          <w:rFonts w:ascii="宋体" w:hAnsi="宋体" w:eastAsia="宋体" w:cs="宋体"/>
          <w:spacing w:val="10"/>
          <w:sz w:val="20"/>
          <w:szCs w:val="20"/>
        </w:rPr>
        <w:t>确诊断方法来判断病例。常用的症状监测主要有流感症状(咳嗽、喷嚏等)监测、发热监测、</w:t>
      </w:r>
      <w:r>
        <w:rPr>
          <w:rFonts w:ascii="宋体" w:hAnsi="宋体" w:eastAsia="宋体" w:cs="宋体"/>
          <w:spacing w:val="9"/>
          <w:sz w:val="20"/>
          <w:szCs w:val="20"/>
        </w:rPr>
        <w:t>腹泻监</w:t>
      </w:r>
      <w:r>
        <w:rPr>
          <w:rFonts w:ascii="宋体" w:hAnsi="宋体" w:eastAsia="宋体" w:cs="宋体"/>
          <w:sz w:val="20"/>
          <w:szCs w:val="20"/>
        </w:rPr>
        <w:t xml:space="preserve"> </w:t>
      </w:r>
      <w:r>
        <w:rPr>
          <w:rFonts w:ascii="宋体" w:hAnsi="宋体" w:eastAsia="宋体" w:cs="宋体"/>
          <w:spacing w:val="7"/>
          <w:sz w:val="20"/>
          <w:szCs w:val="20"/>
        </w:rPr>
        <w:t>测等。针对流感样病例</w:t>
      </w:r>
      <w:r>
        <w:rPr>
          <w:rFonts w:ascii="Times New Roman" w:hAnsi="Times New Roman" w:eastAsia="Times New Roman" w:cs="Times New Roman"/>
          <w:spacing w:val="7"/>
          <w:sz w:val="20"/>
          <w:szCs w:val="20"/>
        </w:rPr>
        <w:t>(</w:t>
      </w:r>
      <w:r>
        <w:rPr>
          <w:rFonts w:ascii="Times New Roman" w:hAnsi="Times New Roman" w:eastAsia="Times New Roman" w:cs="Times New Roman"/>
          <w:sz w:val="20"/>
          <w:szCs w:val="20"/>
        </w:rPr>
        <w:t>influenza</w:t>
      </w:r>
      <w:r>
        <w:rPr>
          <w:rFonts w:ascii="Times New Roman" w:hAnsi="Times New Roman" w:eastAsia="Times New Roman" w:cs="Times New Roman"/>
          <w:spacing w:val="7"/>
          <w:sz w:val="20"/>
          <w:szCs w:val="20"/>
        </w:rPr>
        <w:t>-</w:t>
      </w:r>
      <w:r>
        <w:rPr>
          <w:rFonts w:ascii="Times New Roman" w:hAnsi="Times New Roman" w:eastAsia="Times New Roman" w:cs="Times New Roman"/>
          <w:sz w:val="20"/>
          <w:szCs w:val="20"/>
        </w:rPr>
        <w:t>like</w:t>
      </w:r>
      <w:r>
        <w:rPr>
          <w:rFonts w:ascii="Times New Roman" w:hAnsi="Times New Roman" w:eastAsia="Times New Roman" w:cs="Times New Roman"/>
          <w:spacing w:val="7"/>
          <w:sz w:val="20"/>
          <w:szCs w:val="20"/>
        </w:rPr>
        <w:t xml:space="preserve">      </w:t>
      </w:r>
      <w:r>
        <w:rPr>
          <w:rFonts w:ascii="Times New Roman" w:hAnsi="Times New Roman" w:eastAsia="Times New Roman" w:cs="Times New Roman"/>
          <w:sz w:val="20"/>
          <w:szCs w:val="20"/>
        </w:rPr>
        <w:t>illness</w:t>
      </w:r>
      <w:r>
        <w:rPr>
          <w:rFonts w:ascii="Times New Roman" w:hAnsi="Times New Roman" w:eastAsia="Times New Roman" w:cs="Times New Roman"/>
          <w:spacing w:val="7"/>
          <w:sz w:val="20"/>
          <w:szCs w:val="20"/>
        </w:rPr>
        <w:t>,</w:t>
      </w:r>
      <w:r>
        <w:rPr>
          <w:rFonts w:ascii="Times New Roman" w:hAnsi="Times New Roman" w:eastAsia="Times New Roman" w:cs="Times New Roman"/>
          <w:sz w:val="20"/>
          <w:szCs w:val="20"/>
        </w:rPr>
        <w:t>ILI</w:t>
      </w:r>
      <w:r>
        <w:rPr>
          <w:rFonts w:ascii="Times New Roman" w:hAnsi="Times New Roman" w:eastAsia="Times New Roman" w:cs="Times New Roman"/>
          <w:spacing w:val="7"/>
          <w:sz w:val="20"/>
          <w:szCs w:val="20"/>
        </w:rPr>
        <w:t>)</w:t>
      </w:r>
      <w:r>
        <w:rPr>
          <w:rFonts w:ascii="宋体" w:hAnsi="宋体" w:eastAsia="宋体" w:cs="宋体"/>
          <w:spacing w:val="7"/>
          <w:sz w:val="20"/>
          <w:szCs w:val="20"/>
        </w:rPr>
        <w:t>的监测，</w:t>
      </w:r>
      <w:r>
        <w:rPr>
          <w:rFonts w:ascii="宋体" w:hAnsi="宋体" w:eastAsia="宋体" w:cs="宋体"/>
          <w:spacing w:val="6"/>
          <w:sz w:val="20"/>
          <w:szCs w:val="20"/>
        </w:rPr>
        <w:t>其实质属于症状监测。</w:t>
      </w:r>
    </w:p>
    <w:p w14:paraId="6A0748CD">
      <w:pPr>
        <w:spacing w:before="54" w:line="333" w:lineRule="auto"/>
        <w:ind w:right="546" w:firstLine="429"/>
        <w:jc w:val="both"/>
        <w:rPr>
          <w:rFonts w:ascii="宋体" w:hAnsi="宋体" w:eastAsia="宋体" w:cs="宋体"/>
          <w:sz w:val="20"/>
          <w:szCs w:val="20"/>
        </w:rPr>
      </w:pPr>
      <w:r>
        <w:rPr>
          <w:rFonts w:ascii="宋体" w:hAnsi="宋体" w:eastAsia="宋体" w:cs="宋体"/>
          <w:spacing w:val="19"/>
          <w:sz w:val="20"/>
          <w:szCs w:val="20"/>
        </w:rPr>
        <w:t>症状监测基于非特异症状而进行，不依赖特定的诊断。监测内容不仅有临床症状(如发热、</w:t>
      </w:r>
      <w:r>
        <w:rPr>
          <w:rFonts w:ascii="宋体" w:hAnsi="宋体" w:eastAsia="宋体" w:cs="宋体"/>
          <w:spacing w:val="18"/>
          <w:sz w:val="20"/>
          <w:szCs w:val="20"/>
        </w:rPr>
        <w:t xml:space="preserve"> </w:t>
      </w:r>
      <w:r>
        <w:rPr>
          <w:rFonts w:ascii="宋体" w:hAnsi="宋体" w:eastAsia="宋体" w:cs="宋体"/>
          <w:spacing w:val="17"/>
          <w:sz w:val="20"/>
          <w:szCs w:val="20"/>
        </w:rPr>
        <w:t>腹泻、呼吸道症状等),还有许多与疾病相关</w:t>
      </w:r>
      <w:r>
        <w:rPr>
          <w:rFonts w:ascii="宋体" w:hAnsi="宋体" w:eastAsia="宋体" w:cs="宋体"/>
          <w:spacing w:val="16"/>
          <w:sz w:val="20"/>
          <w:szCs w:val="20"/>
        </w:rPr>
        <w:t>的现象，包括：①医院急诊室或门诊病人就医情况；</w:t>
      </w:r>
      <w:r>
        <w:rPr>
          <w:rFonts w:ascii="宋体" w:hAnsi="宋体" w:eastAsia="宋体" w:cs="宋体"/>
          <w:sz w:val="20"/>
          <w:szCs w:val="20"/>
        </w:rPr>
        <w:t xml:space="preserve"> </w:t>
      </w:r>
      <w:r>
        <w:rPr>
          <w:rFonts w:ascii="宋体" w:hAnsi="宋体" w:eastAsia="宋体" w:cs="宋体"/>
          <w:spacing w:val="21"/>
          <w:sz w:val="20"/>
          <w:szCs w:val="20"/>
        </w:rPr>
        <w:t>②药店非处方药(如维生素C、感冒药、止泻药等)的销售情况</w:t>
      </w:r>
      <w:r>
        <w:rPr>
          <w:rFonts w:ascii="宋体" w:hAnsi="宋体" w:eastAsia="宋体" w:cs="宋体"/>
          <w:spacing w:val="20"/>
          <w:sz w:val="20"/>
          <w:szCs w:val="20"/>
        </w:rPr>
        <w:t>；③医疗相关用品(如医用口罩、</w:t>
      </w:r>
      <w:r>
        <w:rPr>
          <w:rFonts w:ascii="宋体" w:hAnsi="宋体" w:eastAsia="宋体" w:cs="宋体"/>
          <w:sz w:val="20"/>
          <w:szCs w:val="20"/>
        </w:rPr>
        <w:t xml:space="preserve"> </w:t>
      </w:r>
      <w:r>
        <w:rPr>
          <w:rFonts w:ascii="宋体" w:hAnsi="宋体" w:eastAsia="宋体" w:cs="宋体"/>
          <w:spacing w:val="22"/>
          <w:sz w:val="20"/>
          <w:szCs w:val="20"/>
        </w:rPr>
        <w:t>卫生纸巾等)的销售量；④学校或单位的缺勤率；⑤动物患病或死亡情况；⑥生物媒介变化情</w:t>
      </w:r>
      <w:r>
        <w:rPr>
          <w:rFonts w:ascii="宋体" w:hAnsi="宋体" w:eastAsia="宋体" w:cs="宋体"/>
          <w:spacing w:val="8"/>
          <w:sz w:val="20"/>
          <w:szCs w:val="20"/>
        </w:rPr>
        <w:t xml:space="preserve">  </w:t>
      </w:r>
      <w:r>
        <w:rPr>
          <w:rFonts w:ascii="宋体" w:hAnsi="宋体" w:eastAsia="宋体" w:cs="宋体"/>
          <w:spacing w:val="13"/>
          <w:sz w:val="20"/>
          <w:szCs w:val="20"/>
        </w:rPr>
        <w:t>况等。</w:t>
      </w:r>
    </w:p>
    <w:p w14:paraId="7BA82BDE">
      <w:pPr>
        <w:spacing w:before="33" w:line="334" w:lineRule="auto"/>
        <w:ind w:right="636" w:firstLine="429"/>
        <w:jc w:val="both"/>
        <w:rPr>
          <w:rFonts w:ascii="宋体" w:hAnsi="宋体" w:eastAsia="宋体" w:cs="宋体"/>
          <w:sz w:val="20"/>
          <w:szCs w:val="20"/>
        </w:rPr>
      </w:pPr>
      <w:r>
        <w:rPr>
          <w:rFonts w:ascii="宋体" w:hAnsi="宋体" w:eastAsia="宋体" w:cs="宋体"/>
          <w:spacing w:val="10"/>
          <w:sz w:val="20"/>
          <w:szCs w:val="20"/>
        </w:rPr>
        <w:t>由于症状或症候群本身不具特异性，不同疾病</w:t>
      </w:r>
      <w:r>
        <w:rPr>
          <w:rFonts w:ascii="宋体" w:hAnsi="宋体" w:eastAsia="宋体" w:cs="宋体"/>
          <w:spacing w:val="9"/>
          <w:sz w:val="20"/>
          <w:szCs w:val="20"/>
        </w:rPr>
        <w:t>可出现相似的症状，可能导致高估某种疾病的疫</w:t>
      </w:r>
      <w:r>
        <w:rPr>
          <w:rFonts w:ascii="宋体" w:hAnsi="宋体" w:eastAsia="宋体" w:cs="宋体"/>
          <w:sz w:val="20"/>
          <w:szCs w:val="20"/>
        </w:rPr>
        <w:t xml:space="preserve"> </w:t>
      </w:r>
      <w:r>
        <w:rPr>
          <w:rFonts w:ascii="宋体" w:hAnsi="宋体" w:eastAsia="宋体" w:cs="宋体"/>
          <w:spacing w:val="10"/>
          <w:sz w:val="20"/>
          <w:szCs w:val="20"/>
        </w:rPr>
        <w:t>情，从而造成不必要的恐慌和经济损失。但是，由于症状的出现总是</w:t>
      </w:r>
      <w:r>
        <w:rPr>
          <w:rFonts w:ascii="宋体" w:hAnsi="宋体" w:eastAsia="宋体" w:cs="宋体"/>
          <w:spacing w:val="9"/>
          <w:sz w:val="20"/>
          <w:szCs w:val="20"/>
        </w:rPr>
        <w:t>先于疾病的确诊，通过症状监</w:t>
      </w:r>
      <w:r>
        <w:rPr>
          <w:rFonts w:ascii="宋体" w:hAnsi="宋体" w:eastAsia="宋体" w:cs="宋体"/>
          <w:sz w:val="20"/>
          <w:szCs w:val="20"/>
        </w:rPr>
        <w:t xml:space="preserve"> </w:t>
      </w:r>
      <w:r>
        <w:rPr>
          <w:rFonts w:ascii="宋体" w:hAnsi="宋体" w:eastAsia="宋体" w:cs="宋体"/>
          <w:spacing w:val="9"/>
          <w:sz w:val="20"/>
          <w:szCs w:val="20"/>
        </w:rPr>
        <w:t>测可提高监测系统的敏感性，尤其在应对食源性疾病、生物恐怖等突发公共卫生事件时，症状监测</w:t>
      </w:r>
      <w:r>
        <w:rPr>
          <w:rFonts w:ascii="宋体" w:hAnsi="宋体" w:eastAsia="宋体" w:cs="宋体"/>
          <w:spacing w:val="18"/>
          <w:sz w:val="20"/>
          <w:szCs w:val="20"/>
        </w:rPr>
        <w:t xml:space="preserve"> </w:t>
      </w:r>
      <w:r>
        <w:rPr>
          <w:rFonts w:ascii="宋体" w:hAnsi="宋体" w:eastAsia="宋体" w:cs="宋体"/>
          <w:spacing w:val="9"/>
          <w:sz w:val="20"/>
          <w:szCs w:val="20"/>
        </w:rPr>
        <w:t>发挥了较为重要的作用，因此受到越来越多的重视。</w:t>
      </w:r>
    </w:p>
    <w:p w14:paraId="57E981A4">
      <w:pPr>
        <w:spacing w:line="334" w:lineRule="auto"/>
        <w:rPr>
          <w:rFonts w:ascii="宋体" w:hAnsi="宋体" w:eastAsia="宋体" w:cs="宋体"/>
          <w:sz w:val="20"/>
          <w:szCs w:val="20"/>
        </w:rPr>
        <w:sectPr>
          <w:footerReference r:id="rId196" w:type="default"/>
          <w:pgSz w:w="11900" w:h="16820"/>
          <w:pgMar w:top="400" w:right="843" w:bottom="869" w:left="1400" w:header="0" w:footer="689" w:gutter="0"/>
          <w:cols w:space="720" w:num="1"/>
        </w:sectPr>
      </w:pPr>
    </w:p>
    <w:p w14:paraId="6AC83833">
      <w:pPr>
        <w:pStyle w:val="2"/>
        <w:spacing w:line="221" w:lineRule="auto"/>
        <w:ind w:left="689"/>
        <w:rPr>
          <w:sz w:val="20"/>
          <w:szCs w:val="20"/>
        </w:rPr>
      </w:pPr>
      <w:r>
        <w:rPr>
          <w:spacing w:val="-17"/>
          <w:sz w:val="20"/>
          <w:szCs w:val="20"/>
        </w:rPr>
        <w:t>第十章 公共卫生监测</w:t>
      </w:r>
    </w:p>
    <w:p w14:paraId="7470FBA2">
      <w:pPr>
        <w:spacing w:line="241" w:lineRule="auto"/>
        <w:rPr>
          <w:rFonts w:ascii="Arial"/>
          <w:sz w:val="21"/>
        </w:rPr>
      </w:pPr>
    </w:p>
    <w:p w14:paraId="6A38B5F4">
      <w:pPr>
        <w:spacing w:line="242" w:lineRule="auto"/>
        <w:rPr>
          <w:rFonts w:ascii="Arial"/>
          <w:sz w:val="21"/>
        </w:rPr>
      </w:pPr>
    </w:p>
    <w:p w14:paraId="4662E9FD">
      <w:pPr>
        <w:spacing w:line="242" w:lineRule="auto"/>
        <w:rPr>
          <w:rFonts w:ascii="Arial"/>
          <w:sz w:val="21"/>
        </w:rPr>
      </w:pPr>
    </w:p>
    <w:p w14:paraId="67FBBD62">
      <w:pPr>
        <w:pStyle w:val="2"/>
        <w:spacing w:before="78" w:line="222" w:lineRule="auto"/>
        <w:ind w:left="1123"/>
        <w:outlineLvl w:val="3"/>
        <w:rPr>
          <w:sz w:val="24"/>
          <w:szCs w:val="24"/>
        </w:rPr>
      </w:pPr>
      <w:bookmarkStart w:id="288" w:name="bookmark183"/>
      <w:bookmarkEnd w:id="288"/>
      <w:bookmarkStart w:id="289" w:name="bookmark498"/>
      <w:bookmarkEnd w:id="289"/>
      <w:r>
        <w:rPr>
          <w:b/>
          <w:bCs/>
          <w:spacing w:val="2"/>
          <w:sz w:val="24"/>
          <w:szCs w:val="24"/>
        </w:rPr>
        <w:t>三</w:t>
      </w:r>
      <w:r>
        <w:rPr>
          <w:spacing w:val="-45"/>
          <w:sz w:val="24"/>
          <w:szCs w:val="24"/>
        </w:rPr>
        <w:t xml:space="preserve"> </w:t>
      </w:r>
      <w:r>
        <w:rPr>
          <w:b/>
          <w:bCs/>
          <w:spacing w:val="2"/>
          <w:sz w:val="24"/>
          <w:szCs w:val="24"/>
        </w:rPr>
        <w:t>、行为危险因素监测</w:t>
      </w:r>
    </w:p>
    <w:p w14:paraId="0B481B46">
      <w:pPr>
        <w:spacing w:before="293" w:line="352" w:lineRule="auto"/>
        <w:ind w:left="689" w:firstLine="429"/>
        <w:jc w:val="both"/>
        <w:rPr>
          <w:rFonts w:ascii="宋体" w:hAnsi="宋体" w:eastAsia="宋体" w:cs="宋体"/>
          <w:sz w:val="20"/>
          <w:szCs w:val="20"/>
        </w:rPr>
      </w:pPr>
      <w:r>
        <w:rPr>
          <w:rFonts w:ascii="宋体" w:hAnsi="宋体" w:eastAsia="宋体" w:cs="宋体"/>
          <w:spacing w:val="6"/>
          <w:sz w:val="20"/>
          <w:szCs w:val="20"/>
        </w:rPr>
        <w:t>行为危险因素监测是针对健康相关行为危险因素流行状况及其变化趋势的监测。</w:t>
      </w:r>
      <w:r>
        <w:rPr>
          <w:rFonts w:ascii="宋体" w:hAnsi="宋体" w:eastAsia="宋体" w:cs="宋体"/>
          <w:spacing w:val="53"/>
          <w:sz w:val="20"/>
          <w:szCs w:val="20"/>
        </w:rPr>
        <w:t xml:space="preserve"> </w:t>
      </w:r>
      <w:r>
        <w:rPr>
          <w:rFonts w:ascii="宋体" w:hAnsi="宋体" w:eastAsia="宋体" w:cs="宋体"/>
          <w:spacing w:val="6"/>
          <w:sz w:val="20"/>
          <w:szCs w:val="20"/>
        </w:rPr>
        <w:t>一般的行为，</w:t>
      </w:r>
      <w:r>
        <w:rPr>
          <w:rFonts w:ascii="宋体" w:hAnsi="宋体" w:eastAsia="宋体" w:cs="宋体"/>
          <w:sz w:val="20"/>
          <w:szCs w:val="20"/>
        </w:rPr>
        <w:t xml:space="preserve"> </w:t>
      </w:r>
      <w:r>
        <w:rPr>
          <w:rFonts w:ascii="宋体" w:hAnsi="宋体" w:eastAsia="宋体" w:cs="宋体"/>
          <w:spacing w:val="8"/>
          <w:sz w:val="20"/>
          <w:szCs w:val="20"/>
        </w:rPr>
        <w:t>在没有确定与特定疾病存在因果关联时，只是一些非特异性的行为或现象，对这些</w:t>
      </w:r>
      <w:r>
        <w:rPr>
          <w:rFonts w:ascii="宋体" w:hAnsi="宋体" w:eastAsia="宋体" w:cs="宋体"/>
          <w:spacing w:val="7"/>
          <w:sz w:val="20"/>
          <w:szCs w:val="20"/>
        </w:rPr>
        <w:t>行为的监测，往</w:t>
      </w:r>
      <w:r>
        <w:rPr>
          <w:rFonts w:ascii="宋体" w:hAnsi="宋体" w:eastAsia="宋体" w:cs="宋体"/>
          <w:sz w:val="20"/>
          <w:szCs w:val="20"/>
        </w:rPr>
        <w:t xml:space="preserve">  </w:t>
      </w:r>
      <w:r>
        <w:rPr>
          <w:rFonts w:ascii="宋体" w:hAnsi="宋体" w:eastAsia="宋体" w:cs="宋体"/>
          <w:spacing w:val="8"/>
          <w:sz w:val="20"/>
          <w:szCs w:val="20"/>
        </w:rPr>
        <w:t>往是为了探寻病因线索；而针对明确的行为危险因素(如吸烟)的监</w:t>
      </w:r>
      <w:r>
        <w:rPr>
          <w:rFonts w:ascii="宋体" w:hAnsi="宋体" w:eastAsia="宋体" w:cs="宋体"/>
          <w:spacing w:val="7"/>
          <w:sz w:val="20"/>
          <w:szCs w:val="20"/>
        </w:rPr>
        <w:t>测，则能对相关疾病或公共卫生</w:t>
      </w:r>
      <w:r>
        <w:rPr>
          <w:rFonts w:ascii="宋体" w:hAnsi="宋体" w:eastAsia="宋体" w:cs="宋体"/>
          <w:sz w:val="20"/>
          <w:szCs w:val="20"/>
        </w:rPr>
        <w:t xml:space="preserve">  </w:t>
      </w:r>
      <w:r>
        <w:rPr>
          <w:rFonts w:ascii="宋体" w:hAnsi="宋体" w:eastAsia="宋体" w:cs="宋体"/>
          <w:spacing w:val="7"/>
          <w:sz w:val="20"/>
          <w:szCs w:val="20"/>
        </w:rPr>
        <w:t>事件的发生进行一定程度的预测。</w:t>
      </w:r>
    </w:p>
    <w:p w14:paraId="4998BD83">
      <w:pPr>
        <w:spacing w:before="37" w:line="342" w:lineRule="auto"/>
        <w:ind w:left="689" w:firstLine="429"/>
        <w:jc w:val="both"/>
        <w:rPr>
          <w:rFonts w:ascii="宋体" w:hAnsi="宋体" w:eastAsia="宋体" w:cs="宋体"/>
          <w:sz w:val="20"/>
          <w:szCs w:val="20"/>
        </w:rPr>
      </w:pPr>
      <w:r>
        <w:rPr>
          <w:rFonts w:ascii="宋体" w:hAnsi="宋体" w:eastAsia="宋体" w:cs="宋体"/>
          <w:spacing w:val="8"/>
          <w:sz w:val="20"/>
          <w:szCs w:val="20"/>
        </w:rPr>
        <w:t>随着疾病模式的改变，慢性非传染性疾病、伤害</w:t>
      </w:r>
      <w:r>
        <w:rPr>
          <w:rFonts w:ascii="宋体" w:hAnsi="宋体" w:eastAsia="宋体" w:cs="宋体"/>
          <w:spacing w:val="7"/>
          <w:sz w:val="20"/>
          <w:szCs w:val="20"/>
        </w:rPr>
        <w:t>和性传播疾病逐渐成为影响人类健康的主要卫</w:t>
      </w:r>
      <w:r>
        <w:rPr>
          <w:rFonts w:ascii="宋体" w:hAnsi="宋体" w:eastAsia="宋体" w:cs="宋体"/>
          <w:sz w:val="20"/>
          <w:szCs w:val="20"/>
        </w:rPr>
        <w:t xml:space="preserve">  </w:t>
      </w:r>
      <w:r>
        <w:rPr>
          <w:rFonts w:ascii="宋体" w:hAnsi="宋体" w:eastAsia="宋体" w:cs="宋体"/>
          <w:spacing w:val="10"/>
          <w:sz w:val="20"/>
          <w:szCs w:val="20"/>
        </w:rPr>
        <w:t>生问题，这些疾病与个人生活行为密切相关，促进行为的改变成为预防控制这些疾病的主要策略。</w:t>
      </w:r>
      <w:r>
        <w:rPr>
          <w:rFonts w:ascii="宋体" w:hAnsi="宋体" w:eastAsia="宋体" w:cs="宋体"/>
          <w:sz w:val="20"/>
          <w:szCs w:val="20"/>
        </w:rPr>
        <w:t xml:space="preserve"> </w:t>
      </w:r>
      <w:r>
        <w:rPr>
          <w:rFonts w:ascii="宋体" w:hAnsi="宋体" w:eastAsia="宋体" w:cs="宋体"/>
          <w:spacing w:val="8"/>
          <w:sz w:val="20"/>
          <w:szCs w:val="20"/>
        </w:rPr>
        <w:t>因此，行为危险因素监测已经成为公共卫生监测的重要组成部分，越来越多的国家建立</w:t>
      </w:r>
      <w:r>
        <w:rPr>
          <w:rFonts w:ascii="宋体" w:hAnsi="宋体" w:eastAsia="宋体" w:cs="宋体"/>
          <w:spacing w:val="7"/>
          <w:sz w:val="20"/>
          <w:szCs w:val="20"/>
        </w:rPr>
        <w:t>了本国的行</w:t>
      </w:r>
      <w:r>
        <w:rPr>
          <w:rFonts w:ascii="宋体" w:hAnsi="宋体" w:eastAsia="宋体" w:cs="宋体"/>
          <w:sz w:val="20"/>
          <w:szCs w:val="20"/>
        </w:rPr>
        <w:t xml:space="preserve">  </w:t>
      </w:r>
      <w:r>
        <w:rPr>
          <w:rFonts w:ascii="宋体" w:hAnsi="宋体" w:eastAsia="宋体" w:cs="宋体"/>
          <w:spacing w:val="8"/>
          <w:sz w:val="20"/>
          <w:szCs w:val="20"/>
        </w:rPr>
        <w:t>为危险因素监测系统。此外，在各类疾病监测中，行为监测常常是其重要组成部</w:t>
      </w:r>
      <w:r>
        <w:rPr>
          <w:rFonts w:ascii="宋体" w:hAnsi="宋体" w:eastAsia="宋体" w:cs="宋体"/>
          <w:spacing w:val="7"/>
          <w:sz w:val="20"/>
          <w:szCs w:val="20"/>
        </w:rPr>
        <w:t>分。例如，在慢性</w:t>
      </w:r>
      <w:r>
        <w:rPr>
          <w:rFonts w:ascii="宋体" w:hAnsi="宋体" w:eastAsia="宋体" w:cs="宋体"/>
          <w:sz w:val="20"/>
          <w:szCs w:val="20"/>
        </w:rPr>
        <w:t xml:space="preserve">  </w:t>
      </w:r>
      <w:r>
        <w:rPr>
          <w:rFonts w:ascii="宋体" w:hAnsi="宋体" w:eastAsia="宋体" w:cs="宋体"/>
          <w:spacing w:val="11"/>
          <w:sz w:val="20"/>
          <w:szCs w:val="20"/>
        </w:rPr>
        <w:t>非传染性疾病监测中同时关注与生活方式相关的行为因素(如</w:t>
      </w:r>
      <w:r>
        <w:rPr>
          <w:rFonts w:ascii="宋体" w:hAnsi="宋体" w:eastAsia="宋体" w:cs="宋体"/>
          <w:spacing w:val="10"/>
          <w:sz w:val="20"/>
          <w:szCs w:val="20"/>
        </w:rPr>
        <w:t>吸烟、不良饮食习惯等);在艾滋病监</w:t>
      </w:r>
      <w:r>
        <w:rPr>
          <w:rFonts w:ascii="宋体" w:hAnsi="宋体" w:eastAsia="宋体" w:cs="宋体"/>
          <w:sz w:val="20"/>
          <w:szCs w:val="20"/>
        </w:rPr>
        <w:t xml:space="preserve"> </w:t>
      </w:r>
      <w:r>
        <w:rPr>
          <w:rFonts w:ascii="宋体" w:hAnsi="宋体" w:eastAsia="宋体" w:cs="宋体"/>
          <w:spacing w:val="4"/>
          <w:sz w:val="20"/>
          <w:szCs w:val="20"/>
        </w:rPr>
        <w:t>测中关注特定人群的不安全性行为、吸毒等。</w:t>
      </w:r>
    </w:p>
    <w:p w14:paraId="0BEA4864">
      <w:pPr>
        <w:pStyle w:val="2"/>
        <w:spacing w:before="193" w:line="222" w:lineRule="auto"/>
        <w:ind w:left="1123"/>
        <w:outlineLvl w:val="3"/>
        <w:rPr>
          <w:sz w:val="24"/>
          <w:szCs w:val="24"/>
        </w:rPr>
      </w:pPr>
      <w:bookmarkStart w:id="290" w:name="bookmark184"/>
      <w:bookmarkEnd w:id="290"/>
      <w:r>
        <w:rPr>
          <w:b/>
          <w:bCs/>
          <w:spacing w:val="-1"/>
          <w:sz w:val="24"/>
          <w:szCs w:val="24"/>
        </w:rPr>
        <w:t>四</w:t>
      </w:r>
      <w:r>
        <w:rPr>
          <w:spacing w:val="-35"/>
          <w:sz w:val="24"/>
          <w:szCs w:val="24"/>
        </w:rPr>
        <w:t xml:space="preserve"> </w:t>
      </w:r>
      <w:r>
        <w:rPr>
          <w:b/>
          <w:bCs/>
          <w:spacing w:val="-1"/>
          <w:sz w:val="24"/>
          <w:szCs w:val="24"/>
        </w:rPr>
        <w:t>、其他公共卫生监测</w:t>
      </w:r>
    </w:p>
    <w:p w14:paraId="575B6754">
      <w:pPr>
        <w:spacing w:before="303" w:line="352" w:lineRule="auto"/>
        <w:ind w:left="689" w:right="59" w:firstLine="429"/>
        <w:jc w:val="both"/>
        <w:rPr>
          <w:rFonts w:ascii="宋体" w:hAnsi="宋体" w:eastAsia="宋体" w:cs="宋体"/>
          <w:sz w:val="20"/>
          <w:szCs w:val="20"/>
        </w:rPr>
      </w:pPr>
      <w:r>
        <w:rPr>
          <w:rFonts w:ascii="宋体" w:hAnsi="宋体" w:eastAsia="宋体" w:cs="宋体"/>
          <w:spacing w:val="3"/>
          <w:sz w:val="20"/>
          <w:szCs w:val="20"/>
        </w:rPr>
        <w:t>其他公共卫生监测包括伤害监测、环境监测、食品卫生监测、营养监测、学校卫生监测、药品不</w:t>
      </w:r>
      <w:r>
        <w:rPr>
          <w:rFonts w:ascii="宋体" w:hAnsi="宋体" w:eastAsia="宋体" w:cs="宋体"/>
          <w:spacing w:val="13"/>
          <w:sz w:val="20"/>
          <w:szCs w:val="20"/>
        </w:rPr>
        <w:t xml:space="preserve"> 良反应监测等。这些监测既可分属于不同的学科，又常常同时包含多个学科的内</w:t>
      </w:r>
      <w:r>
        <w:rPr>
          <w:rFonts w:ascii="宋体" w:hAnsi="宋体" w:eastAsia="宋体" w:cs="宋体"/>
          <w:spacing w:val="12"/>
          <w:sz w:val="20"/>
          <w:szCs w:val="20"/>
        </w:rPr>
        <w:t>容。为了解决不</w:t>
      </w:r>
      <w:r>
        <w:rPr>
          <w:rFonts w:ascii="宋体" w:hAnsi="宋体" w:eastAsia="宋体" w:cs="宋体"/>
          <w:sz w:val="20"/>
          <w:szCs w:val="20"/>
        </w:rPr>
        <w:t xml:space="preserve"> </w:t>
      </w:r>
      <w:r>
        <w:rPr>
          <w:rFonts w:ascii="宋体" w:hAnsi="宋体" w:eastAsia="宋体" w:cs="宋体"/>
          <w:spacing w:val="5"/>
          <w:sz w:val="20"/>
          <w:szCs w:val="20"/>
        </w:rPr>
        <w:t>同的问题，达到特定的目标，可以有选择地开展不同内容的</w:t>
      </w:r>
      <w:r>
        <w:rPr>
          <w:rFonts w:ascii="宋体" w:hAnsi="宋体" w:eastAsia="宋体" w:cs="宋体"/>
          <w:spacing w:val="4"/>
          <w:sz w:val="20"/>
          <w:szCs w:val="20"/>
        </w:rPr>
        <w:t>公共卫生监测。</w:t>
      </w:r>
    </w:p>
    <w:p w14:paraId="13FA009E">
      <w:pPr>
        <w:spacing w:line="340" w:lineRule="auto"/>
        <w:rPr>
          <w:rFonts w:ascii="Arial"/>
          <w:sz w:val="21"/>
        </w:rPr>
      </w:pPr>
    </w:p>
    <w:p w14:paraId="78693EF3">
      <w:pPr>
        <w:pStyle w:val="2"/>
        <w:spacing w:before="101" w:line="221" w:lineRule="auto"/>
        <w:ind w:left="3874"/>
        <w:outlineLvl w:val="1"/>
        <w:rPr>
          <w:sz w:val="31"/>
          <w:szCs w:val="31"/>
        </w:rPr>
      </w:pPr>
      <w:bookmarkStart w:id="291" w:name="bookmark185"/>
      <w:bookmarkEnd w:id="291"/>
      <w:r>
        <w:rPr>
          <w:b/>
          <w:bCs/>
          <w:spacing w:val="21"/>
          <w:sz w:val="31"/>
          <w:szCs w:val="31"/>
        </w:rPr>
        <w:t>第三节方法与程序</w:t>
      </w:r>
    </w:p>
    <w:p w14:paraId="1B81B265">
      <w:pPr>
        <w:spacing w:line="377" w:lineRule="auto"/>
        <w:rPr>
          <w:rFonts w:ascii="Arial"/>
          <w:sz w:val="21"/>
        </w:rPr>
      </w:pPr>
    </w:p>
    <w:p w14:paraId="0DF84573">
      <w:pPr>
        <w:pStyle w:val="2"/>
        <w:spacing w:before="79" w:line="221" w:lineRule="auto"/>
        <w:ind w:left="1123"/>
        <w:outlineLvl w:val="3"/>
        <w:rPr>
          <w:sz w:val="24"/>
          <w:szCs w:val="24"/>
        </w:rPr>
      </w:pPr>
      <w:bookmarkStart w:id="292" w:name="bookmark186"/>
      <w:bookmarkEnd w:id="292"/>
      <w:r>
        <w:rPr>
          <w:b/>
          <w:bCs/>
          <w:spacing w:val="1"/>
          <w:sz w:val="24"/>
          <w:szCs w:val="24"/>
        </w:rPr>
        <w:t>一</w:t>
      </w:r>
      <w:r>
        <w:rPr>
          <w:spacing w:val="-47"/>
          <w:sz w:val="24"/>
          <w:szCs w:val="24"/>
        </w:rPr>
        <w:t xml:space="preserve"> </w:t>
      </w:r>
      <w:r>
        <w:rPr>
          <w:b/>
          <w:bCs/>
          <w:spacing w:val="1"/>
          <w:sz w:val="24"/>
          <w:szCs w:val="24"/>
        </w:rPr>
        <w:t>、监测方法</w:t>
      </w:r>
    </w:p>
    <w:p w14:paraId="44EE42F3">
      <w:pPr>
        <w:pStyle w:val="2"/>
        <w:spacing w:before="262" w:line="221" w:lineRule="auto"/>
        <w:ind w:left="1123"/>
        <w:rPr>
          <w:sz w:val="24"/>
          <w:szCs w:val="24"/>
        </w:rPr>
      </w:pPr>
      <w:r>
        <w:rPr>
          <w:b/>
          <w:bCs/>
          <w:spacing w:val="-1"/>
          <w:sz w:val="24"/>
          <w:szCs w:val="24"/>
        </w:rPr>
        <w:t>(一)监测方式</w:t>
      </w:r>
    </w:p>
    <w:p w14:paraId="25368473">
      <w:pPr>
        <w:spacing w:before="147" w:line="331" w:lineRule="auto"/>
        <w:ind w:left="689" w:right="62" w:firstLine="429"/>
        <w:rPr>
          <w:rFonts w:ascii="宋体" w:hAnsi="宋体" w:eastAsia="宋体" w:cs="宋体"/>
          <w:sz w:val="20"/>
          <w:szCs w:val="20"/>
        </w:rPr>
      </w:pPr>
      <w:r>
        <w:rPr>
          <w:rFonts w:ascii="宋体" w:hAnsi="宋体" w:eastAsia="宋体" w:cs="宋体"/>
          <w:spacing w:val="8"/>
          <w:sz w:val="20"/>
          <w:szCs w:val="20"/>
        </w:rPr>
        <w:t xml:space="preserve">开展公共卫生监测工作需要建立专门的监测系统，它应具备相应的行政和技术条件，并确保运 </w:t>
      </w:r>
      <w:r>
        <w:rPr>
          <w:rFonts w:ascii="宋体" w:hAnsi="宋体" w:eastAsia="宋体" w:cs="宋体"/>
          <w:spacing w:val="6"/>
          <w:sz w:val="20"/>
          <w:szCs w:val="20"/>
        </w:rPr>
        <w:t>作所需的经费。监测系统可根据不同的监测</w:t>
      </w:r>
      <w:r>
        <w:rPr>
          <w:rFonts w:ascii="宋体" w:hAnsi="宋体" w:eastAsia="宋体" w:cs="宋体"/>
          <w:spacing w:val="5"/>
          <w:sz w:val="20"/>
          <w:szCs w:val="20"/>
        </w:rPr>
        <w:t>内容、目的和要求，采用不同的监测方式。</w:t>
      </w:r>
    </w:p>
    <w:p w14:paraId="11847C0E">
      <w:pPr>
        <w:pStyle w:val="2"/>
        <w:spacing w:before="4" w:line="315" w:lineRule="auto"/>
        <w:ind w:left="689" w:firstLine="429"/>
        <w:rPr>
          <w:rFonts w:ascii="宋体" w:hAnsi="宋体" w:eastAsia="宋体" w:cs="宋体"/>
          <w:sz w:val="20"/>
          <w:szCs w:val="20"/>
        </w:rPr>
      </w:pPr>
      <w:r>
        <w:rPr>
          <w:rFonts w:ascii="Times New Roman" w:hAnsi="Times New Roman" w:eastAsia="Times New Roman" w:cs="Times New Roman"/>
          <w:spacing w:val="7"/>
          <w:sz w:val="20"/>
          <w:szCs w:val="20"/>
        </w:rPr>
        <w:t xml:space="preserve">1.   </w:t>
      </w:r>
      <w:r>
        <w:rPr>
          <w:spacing w:val="7"/>
          <w:sz w:val="20"/>
          <w:szCs w:val="20"/>
        </w:rPr>
        <w:t>基于人群的监测</w:t>
      </w:r>
      <w:r>
        <w:rPr>
          <w:rFonts w:ascii="Times New Roman" w:hAnsi="Times New Roman" w:eastAsia="Times New Roman" w:cs="Times New Roman"/>
          <w:spacing w:val="7"/>
          <w:sz w:val="20"/>
          <w:szCs w:val="20"/>
        </w:rPr>
        <w:t>(</w:t>
      </w:r>
      <w:r>
        <w:rPr>
          <w:rFonts w:ascii="Times New Roman" w:hAnsi="Times New Roman" w:eastAsia="Times New Roman" w:cs="Times New Roman"/>
          <w:sz w:val="20"/>
          <w:szCs w:val="20"/>
        </w:rPr>
        <w:t>population</w:t>
      </w:r>
      <w:r>
        <w:rPr>
          <w:rFonts w:ascii="Times New Roman" w:hAnsi="Times New Roman" w:eastAsia="Times New Roman" w:cs="Times New Roman"/>
          <w:spacing w:val="7"/>
          <w:sz w:val="20"/>
          <w:szCs w:val="20"/>
        </w:rPr>
        <w:t>-</w:t>
      </w:r>
      <w:r>
        <w:rPr>
          <w:rFonts w:ascii="Times New Roman" w:hAnsi="Times New Roman" w:eastAsia="Times New Roman" w:cs="Times New Roman"/>
          <w:sz w:val="20"/>
          <w:szCs w:val="20"/>
        </w:rPr>
        <w:t>based</w:t>
      </w:r>
      <w:r>
        <w:rPr>
          <w:rFonts w:ascii="Times New Roman" w:hAnsi="Times New Roman" w:eastAsia="Times New Roman" w:cs="Times New Roman"/>
          <w:spacing w:val="7"/>
          <w:sz w:val="20"/>
          <w:szCs w:val="20"/>
        </w:rPr>
        <w:t xml:space="preserve">      </w:t>
      </w:r>
      <w:r>
        <w:rPr>
          <w:rFonts w:ascii="Times New Roman" w:hAnsi="Times New Roman" w:eastAsia="Times New Roman" w:cs="Times New Roman"/>
          <w:sz w:val="20"/>
          <w:szCs w:val="20"/>
        </w:rPr>
        <w:t>surveillance</w:t>
      </w:r>
      <w:r>
        <w:rPr>
          <w:rFonts w:ascii="Times New Roman" w:hAnsi="Times New Roman" w:eastAsia="Times New Roman" w:cs="Times New Roman"/>
          <w:spacing w:val="7"/>
          <w:sz w:val="20"/>
          <w:szCs w:val="20"/>
        </w:rPr>
        <w:t xml:space="preserve">)   </w:t>
      </w:r>
      <w:r>
        <w:rPr>
          <w:rFonts w:ascii="宋体" w:hAnsi="宋体" w:eastAsia="宋体" w:cs="宋体"/>
          <w:spacing w:val="7"/>
          <w:sz w:val="20"/>
          <w:szCs w:val="20"/>
        </w:rPr>
        <w:t>是指以特定人群为现场开展工作，监测特</w:t>
      </w:r>
      <w:r>
        <w:rPr>
          <w:rFonts w:ascii="宋体" w:hAnsi="宋体" w:eastAsia="宋体" w:cs="宋体"/>
          <w:spacing w:val="15"/>
          <w:sz w:val="20"/>
          <w:szCs w:val="20"/>
        </w:rPr>
        <w:t xml:space="preserve"> </w:t>
      </w:r>
      <w:r>
        <w:rPr>
          <w:rFonts w:ascii="宋体" w:hAnsi="宋体" w:eastAsia="宋体" w:cs="宋体"/>
          <w:spacing w:val="14"/>
          <w:sz w:val="20"/>
          <w:szCs w:val="20"/>
        </w:rPr>
        <w:t>定疾病的动态变化。这种监测不仅可以覆盖整个目</w:t>
      </w:r>
      <w:r>
        <w:rPr>
          <w:rFonts w:ascii="宋体" w:hAnsi="宋体" w:eastAsia="宋体" w:cs="宋体"/>
          <w:spacing w:val="13"/>
          <w:sz w:val="20"/>
          <w:szCs w:val="20"/>
        </w:rPr>
        <w:t>标人群的常规监测报告，还可以通过监测点或</w:t>
      </w:r>
      <w:r>
        <w:rPr>
          <w:rFonts w:ascii="宋体" w:hAnsi="宋体" w:eastAsia="宋体" w:cs="宋体"/>
          <w:sz w:val="20"/>
          <w:szCs w:val="20"/>
        </w:rPr>
        <w:t xml:space="preserve"> </w:t>
      </w:r>
      <w:r>
        <w:rPr>
          <w:rFonts w:ascii="宋体" w:hAnsi="宋体" w:eastAsia="宋体" w:cs="宋体"/>
          <w:spacing w:val="5"/>
          <w:sz w:val="20"/>
          <w:szCs w:val="20"/>
        </w:rPr>
        <w:t>哨点监测来实现。具有良好代表性的监测点监测能获得比较准确、可靠、及时的资料，其耗费更低、</w:t>
      </w:r>
      <w:r>
        <w:rPr>
          <w:rFonts w:ascii="宋体" w:hAnsi="宋体" w:eastAsia="宋体" w:cs="宋体"/>
          <w:spacing w:val="9"/>
          <w:sz w:val="20"/>
          <w:szCs w:val="20"/>
        </w:rPr>
        <w:t xml:space="preserve"> 效率更高。行为危险因素、群体免疫水平以及慢性非传染性</w:t>
      </w:r>
      <w:r>
        <w:rPr>
          <w:rFonts w:ascii="宋体" w:hAnsi="宋体" w:eastAsia="宋体" w:cs="宋体"/>
          <w:spacing w:val="8"/>
          <w:sz w:val="20"/>
          <w:szCs w:val="20"/>
        </w:rPr>
        <w:t>疾病的监测多采用这种方式。</w:t>
      </w:r>
    </w:p>
    <w:p w14:paraId="573AC03D">
      <w:pPr>
        <w:pStyle w:val="2"/>
        <w:spacing w:before="121" w:line="313" w:lineRule="auto"/>
        <w:ind w:left="689" w:firstLine="429"/>
        <w:rPr>
          <w:rFonts w:ascii="宋体" w:hAnsi="宋体" w:eastAsia="宋体" w:cs="宋体"/>
          <w:sz w:val="20"/>
          <w:szCs w:val="20"/>
        </w:rPr>
      </w:pPr>
      <w:r>
        <w:rPr>
          <w:rFonts w:ascii="Times New Roman" w:hAnsi="Times New Roman" w:eastAsia="Times New Roman" w:cs="Times New Roman"/>
          <w:spacing w:val="6"/>
          <w:sz w:val="20"/>
          <w:szCs w:val="20"/>
        </w:rPr>
        <w:t xml:space="preserve">2.   </w:t>
      </w:r>
      <w:r>
        <w:rPr>
          <w:spacing w:val="6"/>
          <w:sz w:val="20"/>
          <w:szCs w:val="20"/>
        </w:rPr>
        <w:t>基于医院的监测</w:t>
      </w:r>
      <w:r>
        <w:rPr>
          <w:rFonts w:ascii="Times New Roman" w:hAnsi="Times New Roman" w:eastAsia="Times New Roman" w:cs="Times New Roman"/>
          <w:spacing w:val="6"/>
          <w:sz w:val="20"/>
          <w:szCs w:val="20"/>
        </w:rPr>
        <w:t>(</w:t>
      </w:r>
      <w:r>
        <w:rPr>
          <w:rFonts w:ascii="Times New Roman" w:hAnsi="Times New Roman" w:eastAsia="Times New Roman" w:cs="Times New Roman"/>
          <w:sz w:val="20"/>
          <w:szCs w:val="20"/>
        </w:rPr>
        <w:t>hospital</w:t>
      </w:r>
      <w:r>
        <w:rPr>
          <w:rFonts w:ascii="Times New Roman" w:hAnsi="Times New Roman" w:eastAsia="Times New Roman" w:cs="Times New Roman"/>
          <w:spacing w:val="6"/>
          <w:sz w:val="20"/>
          <w:szCs w:val="20"/>
        </w:rPr>
        <w:t>-</w:t>
      </w:r>
      <w:r>
        <w:rPr>
          <w:rFonts w:ascii="Times New Roman" w:hAnsi="Times New Roman" w:eastAsia="Times New Roman" w:cs="Times New Roman"/>
          <w:sz w:val="20"/>
          <w:szCs w:val="20"/>
        </w:rPr>
        <w:t>based</w:t>
      </w:r>
      <w:r>
        <w:rPr>
          <w:rFonts w:ascii="Times New Roman" w:hAnsi="Times New Roman" w:eastAsia="Times New Roman" w:cs="Times New Roman"/>
          <w:spacing w:val="6"/>
          <w:sz w:val="20"/>
          <w:szCs w:val="20"/>
        </w:rPr>
        <w:t xml:space="preserve">     </w:t>
      </w:r>
      <w:r>
        <w:rPr>
          <w:rFonts w:ascii="Times New Roman" w:hAnsi="Times New Roman" w:eastAsia="Times New Roman" w:cs="Times New Roman"/>
          <w:sz w:val="20"/>
          <w:szCs w:val="20"/>
        </w:rPr>
        <w:t>surveillance</w:t>
      </w:r>
      <w:r>
        <w:rPr>
          <w:rFonts w:ascii="Times New Roman" w:hAnsi="Times New Roman" w:eastAsia="Times New Roman" w:cs="Times New Roman"/>
          <w:spacing w:val="6"/>
          <w:sz w:val="20"/>
          <w:szCs w:val="20"/>
        </w:rPr>
        <w:t xml:space="preserve">)   </w:t>
      </w:r>
      <w:r>
        <w:rPr>
          <w:rFonts w:ascii="宋体" w:hAnsi="宋体" w:eastAsia="宋体" w:cs="宋体"/>
          <w:spacing w:val="6"/>
          <w:sz w:val="20"/>
          <w:szCs w:val="20"/>
        </w:rPr>
        <w:t>是指以医院为</w:t>
      </w:r>
      <w:r>
        <w:rPr>
          <w:rFonts w:ascii="宋体" w:hAnsi="宋体" w:eastAsia="宋体" w:cs="宋体"/>
          <w:spacing w:val="5"/>
          <w:sz w:val="20"/>
          <w:szCs w:val="20"/>
        </w:rPr>
        <w:t>现场、以病人为对象开展工作，</w:t>
      </w:r>
      <w:r>
        <w:rPr>
          <w:rFonts w:ascii="宋体" w:hAnsi="宋体" w:eastAsia="宋体" w:cs="宋体"/>
          <w:sz w:val="20"/>
          <w:szCs w:val="20"/>
        </w:rPr>
        <w:t xml:space="preserve"> </w:t>
      </w:r>
      <w:r>
        <w:rPr>
          <w:rFonts w:ascii="宋体" w:hAnsi="宋体" w:eastAsia="宋体" w:cs="宋体"/>
          <w:spacing w:val="8"/>
          <w:sz w:val="20"/>
          <w:szCs w:val="20"/>
        </w:rPr>
        <w:t>主要是对医院感染、传染性疾病、病原体耐药、慢性非传染性疾病以及出生缺陷等进行监测。</w:t>
      </w:r>
      <w:r>
        <w:rPr>
          <w:rFonts w:ascii="宋体" w:hAnsi="宋体" w:eastAsia="宋体" w:cs="宋体"/>
          <w:spacing w:val="7"/>
          <w:sz w:val="20"/>
          <w:szCs w:val="20"/>
        </w:rPr>
        <w:t>法定</w:t>
      </w:r>
      <w:r>
        <w:rPr>
          <w:rFonts w:ascii="宋体" w:hAnsi="宋体" w:eastAsia="宋体" w:cs="宋体"/>
          <w:sz w:val="20"/>
          <w:szCs w:val="20"/>
        </w:rPr>
        <w:t xml:space="preserve">  </w:t>
      </w:r>
      <w:r>
        <w:rPr>
          <w:rFonts w:ascii="宋体" w:hAnsi="宋体" w:eastAsia="宋体" w:cs="宋体"/>
          <w:spacing w:val="10"/>
          <w:sz w:val="20"/>
          <w:szCs w:val="20"/>
        </w:rPr>
        <w:t>传染病报告监测系统及药物不良反应的被动监测均属于基于医院的监测。</w:t>
      </w:r>
    </w:p>
    <w:p w14:paraId="7721CF16">
      <w:pPr>
        <w:pStyle w:val="2"/>
        <w:spacing w:before="141" w:line="302" w:lineRule="auto"/>
        <w:ind w:left="689" w:right="52" w:firstLine="429"/>
        <w:rPr>
          <w:rFonts w:ascii="宋体" w:hAnsi="宋体" w:eastAsia="宋体" w:cs="宋体"/>
          <w:sz w:val="20"/>
          <w:szCs w:val="20"/>
        </w:rPr>
      </w:pPr>
      <w:r>
        <w:rPr>
          <w:rFonts w:ascii="Times New Roman" w:hAnsi="Times New Roman" w:eastAsia="Times New Roman" w:cs="Times New Roman"/>
          <w:spacing w:val="9"/>
          <w:sz w:val="20"/>
          <w:szCs w:val="20"/>
        </w:rPr>
        <w:t xml:space="preserve">3.   </w:t>
      </w:r>
      <w:r>
        <w:rPr>
          <w:spacing w:val="9"/>
          <w:sz w:val="20"/>
          <w:szCs w:val="20"/>
        </w:rPr>
        <w:t>基于实验室的监测</w:t>
      </w:r>
      <w:r>
        <w:rPr>
          <w:rFonts w:ascii="Times New Roman" w:hAnsi="Times New Roman" w:eastAsia="Times New Roman" w:cs="Times New Roman"/>
          <w:spacing w:val="9"/>
          <w:sz w:val="20"/>
          <w:szCs w:val="20"/>
        </w:rPr>
        <w:t>(</w:t>
      </w:r>
      <w:r>
        <w:rPr>
          <w:rFonts w:ascii="Times New Roman" w:hAnsi="Times New Roman" w:eastAsia="Times New Roman" w:cs="Times New Roman"/>
          <w:sz w:val="20"/>
          <w:szCs w:val="20"/>
        </w:rPr>
        <w:t>laboratory</w:t>
      </w:r>
      <w:r>
        <w:rPr>
          <w:rFonts w:ascii="Times New Roman" w:hAnsi="Times New Roman" w:eastAsia="Times New Roman" w:cs="Times New Roman"/>
          <w:spacing w:val="9"/>
          <w:sz w:val="20"/>
          <w:szCs w:val="20"/>
        </w:rPr>
        <w:t>-</w:t>
      </w:r>
      <w:r>
        <w:rPr>
          <w:rFonts w:ascii="Times New Roman" w:hAnsi="Times New Roman" w:eastAsia="Times New Roman" w:cs="Times New Roman"/>
          <w:sz w:val="20"/>
          <w:szCs w:val="20"/>
        </w:rPr>
        <w:t>based</w:t>
      </w:r>
      <w:r>
        <w:rPr>
          <w:rFonts w:ascii="Times New Roman" w:hAnsi="Times New Roman" w:eastAsia="Times New Roman" w:cs="Times New Roman"/>
          <w:spacing w:val="9"/>
          <w:sz w:val="20"/>
          <w:szCs w:val="20"/>
        </w:rPr>
        <w:t xml:space="preserve">      </w:t>
      </w:r>
      <w:r>
        <w:rPr>
          <w:rFonts w:ascii="Times New Roman" w:hAnsi="Times New Roman" w:eastAsia="Times New Roman" w:cs="Times New Roman"/>
          <w:sz w:val="20"/>
          <w:szCs w:val="20"/>
        </w:rPr>
        <w:t>surveillance</w:t>
      </w:r>
      <w:r>
        <w:rPr>
          <w:rFonts w:ascii="Times New Roman" w:hAnsi="Times New Roman" w:eastAsia="Times New Roman" w:cs="Times New Roman"/>
          <w:spacing w:val="9"/>
          <w:sz w:val="20"/>
          <w:szCs w:val="20"/>
        </w:rPr>
        <w:t>)</w:t>
      </w:r>
      <w:r>
        <w:rPr>
          <w:rFonts w:ascii="Times New Roman" w:hAnsi="Times New Roman" w:eastAsia="Times New Roman" w:cs="Times New Roman"/>
          <w:spacing w:val="21"/>
          <w:w w:val="101"/>
          <w:sz w:val="20"/>
          <w:szCs w:val="20"/>
        </w:rPr>
        <w:t xml:space="preserve">  </w:t>
      </w:r>
      <w:r>
        <w:rPr>
          <w:rFonts w:ascii="宋体" w:hAnsi="宋体" w:eastAsia="宋体" w:cs="宋体"/>
          <w:spacing w:val="9"/>
          <w:sz w:val="20"/>
          <w:szCs w:val="20"/>
        </w:rPr>
        <w:t>主要是指利用实验室方法对病原体或其</w:t>
      </w:r>
      <w:r>
        <w:rPr>
          <w:rFonts w:ascii="宋体" w:hAnsi="宋体" w:eastAsia="宋体" w:cs="宋体"/>
          <w:sz w:val="20"/>
          <w:szCs w:val="20"/>
        </w:rPr>
        <w:t xml:space="preserve"> </w:t>
      </w:r>
      <w:r>
        <w:rPr>
          <w:rFonts w:ascii="宋体" w:hAnsi="宋体" w:eastAsia="宋体" w:cs="宋体"/>
          <w:spacing w:val="9"/>
          <w:sz w:val="20"/>
          <w:szCs w:val="20"/>
        </w:rPr>
        <w:t>他致病因素开展监测。例如，流感病毒实验室监测系统主要开展流感病毒</w:t>
      </w:r>
      <w:r>
        <w:rPr>
          <w:rFonts w:ascii="宋体" w:hAnsi="宋体" w:eastAsia="宋体" w:cs="宋体"/>
          <w:spacing w:val="8"/>
          <w:sz w:val="20"/>
          <w:szCs w:val="20"/>
        </w:rPr>
        <w:t>分离与分型鉴定工作，以</w:t>
      </w:r>
      <w:r>
        <w:rPr>
          <w:rFonts w:ascii="宋体" w:hAnsi="宋体" w:eastAsia="宋体" w:cs="宋体"/>
          <w:sz w:val="20"/>
          <w:szCs w:val="20"/>
        </w:rPr>
        <w:t xml:space="preserve"> </w:t>
      </w:r>
      <w:r>
        <w:rPr>
          <w:rFonts w:ascii="宋体" w:hAnsi="宋体" w:eastAsia="宋体" w:cs="宋体"/>
          <w:spacing w:val="9"/>
          <w:sz w:val="20"/>
          <w:szCs w:val="20"/>
        </w:rPr>
        <w:t>监测病毒流行株及亚型的变化。</w:t>
      </w:r>
    </w:p>
    <w:p w14:paraId="5EC55CBB">
      <w:pPr>
        <w:pStyle w:val="2"/>
        <w:spacing w:before="109" w:line="318" w:lineRule="auto"/>
        <w:ind w:left="689" w:right="41" w:firstLine="432"/>
        <w:rPr>
          <w:rFonts w:ascii="宋体" w:hAnsi="宋体" w:eastAsia="宋体" w:cs="宋体"/>
          <w:sz w:val="20"/>
          <w:szCs w:val="20"/>
        </w:rPr>
      </w:pPr>
      <w:r>
        <w:rPr>
          <w:rFonts w:ascii="宋体" w:hAnsi="宋体" w:eastAsia="宋体" w:cs="宋体"/>
          <w:b/>
          <w:bCs/>
          <w:sz w:val="20"/>
          <w:szCs w:val="20"/>
        </w:rPr>
        <w:t>4.</w:t>
      </w:r>
      <w:r>
        <w:rPr>
          <w:rFonts w:ascii="宋体" w:hAnsi="宋体" w:eastAsia="宋体" w:cs="宋体"/>
          <w:sz w:val="20"/>
          <w:szCs w:val="20"/>
        </w:rPr>
        <w:t xml:space="preserve"> </w:t>
      </w:r>
      <w:r>
        <w:rPr>
          <w:b/>
          <w:bCs/>
          <w:sz w:val="20"/>
          <w:szCs w:val="20"/>
        </w:rPr>
        <w:t>基于案例的监测</w:t>
      </w:r>
      <w:r>
        <w:rPr>
          <w:rFonts w:ascii="宋体" w:hAnsi="宋体" w:eastAsia="宋体" w:cs="宋体"/>
          <w:b/>
          <w:bCs/>
          <w:sz w:val="20"/>
          <w:szCs w:val="20"/>
        </w:rPr>
        <w:t>(</w:t>
      </w:r>
      <w:r>
        <w:rPr>
          <w:rFonts w:ascii="宋体" w:hAnsi="宋体" w:eastAsia="宋体" w:cs="宋体"/>
          <w:spacing w:val="-60"/>
          <w:sz w:val="20"/>
          <w:szCs w:val="20"/>
        </w:rPr>
        <w:t xml:space="preserve"> </w:t>
      </w:r>
      <w:r>
        <w:rPr>
          <w:rFonts w:ascii="Arial" w:hAnsi="Arial" w:eastAsia="Arial" w:cs="Arial"/>
          <w:sz w:val="20"/>
          <w:szCs w:val="20"/>
        </w:rPr>
        <w:t>case</w:t>
      </w:r>
      <w:r>
        <w:rPr>
          <w:rFonts w:ascii="宋体" w:hAnsi="宋体" w:eastAsia="宋体" w:cs="宋体"/>
          <w:sz w:val="20"/>
          <w:szCs w:val="20"/>
        </w:rPr>
        <w:t>-based survei</w:t>
      </w:r>
      <w:r>
        <w:rPr>
          <w:rFonts w:ascii="宋体" w:hAnsi="宋体" w:eastAsia="宋体" w:cs="宋体"/>
          <w:spacing w:val="-1"/>
          <w:sz w:val="20"/>
          <w:szCs w:val="20"/>
        </w:rPr>
        <w:t>llance) 是指以疾病预防控制系统为主的，联合临床医疗</w:t>
      </w:r>
      <w:r>
        <w:rPr>
          <w:rFonts w:ascii="宋体" w:hAnsi="宋体" w:eastAsia="宋体" w:cs="宋体"/>
          <w:sz w:val="20"/>
          <w:szCs w:val="20"/>
        </w:rPr>
        <w:t xml:space="preserve"> </w:t>
      </w:r>
      <w:r>
        <w:rPr>
          <w:rFonts w:ascii="宋体" w:hAnsi="宋体" w:eastAsia="宋体" w:cs="宋体"/>
          <w:spacing w:val="12"/>
          <w:sz w:val="20"/>
          <w:szCs w:val="20"/>
        </w:rPr>
        <w:t>机构和其他健康保健单位对特殊的个案病例和聚集性病例的监测，也称为基于事件的监测</w:t>
      </w:r>
      <w:r>
        <w:rPr>
          <w:rFonts w:ascii="Times New Roman" w:hAnsi="Times New Roman" w:eastAsia="Times New Roman" w:cs="Times New Roman"/>
          <w:spacing w:val="12"/>
          <w:sz w:val="20"/>
          <w:szCs w:val="20"/>
        </w:rPr>
        <w:t>(</w:t>
      </w:r>
      <w:r>
        <w:rPr>
          <w:rFonts w:ascii="Times New Roman" w:hAnsi="Times New Roman" w:eastAsia="Times New Roman" w:cs="Times New Roman"/>
          <w:sz w:val="20"/>
          <w:szCs w:val="20"/>
        </w:rPr>
        <w:t>event</w:t>
      </w:r>
      <w:r>
        <w:rPr>
          <w:rFonts w:ascii="Times New Roman" w:hAnsi="Times New Roman" w:eastAsia="Times New Roman" w:cs="Times New Roman"/>
          <w:spacing w:val="12"/>
          <w:sz w:val="20"/>
          <w:szCs w:val="20"/>
        </w:rPr>
        <w:t>-</w:t>
      </w:r>
      <w:r>
        <w:rPr>
          <w:rFonts w:ascii="Times New Roman" w:hAnsi="Times New Roman" w:eastAsia="Times New Roman" w:cs="Times New Roman"/>
          <w:spacing w:val="2"/>
          <w:sz w:val="20"/>
          <w:szCs w:val="20"/>
        </w:rPr>
        <w:t xml:space="preserve">   </w:t>
      </w:r>
      <w:r>
        <w:rPr>
          <w:rFonts w:ascii="Times New Roman" w:hAnsi="Times New Roman" w:eastAsia="Times New Roman" w:cs="Times New Roman"/>
          <w:sz w:val="20"/>
          <w:szCs w:val="20"/>
        </w:rPr>
        <w:t>based</w:t>
      </w:r>
      <w:r>
        <w:rPr>
          <w:rFonts w:ascii="Times New Roman" w:hAnsi="Times New Roman" w:eastAsia="Times New Roman" w:cs="Times New Roman"/>
          <w:spacing w:val="7"/>
          <w:sz w:val="20"/>
          <w:szCs w:val="20"/>
        </w:rPr>
        <w:t xml:space="preserve">    </w:t>
      </w:r>
      <w:r>
        <w:rPr>
          <w:rFonts w:ascii="Times New Roman" w:hAnsi="Times New Roman" w:eastAsia="Times New Roman" w:cs="Times New Roman"/>
          <w:sz w:val="20"/>
          <w:szCs w:val="20"/>
        </w:rPr>
        <w:t>surveillance</w:t>
      </w:r>
      <w:r>
        <w:rPr>
          <w:rFonts w:ascii="Times New Roman" w:hAnsi="Times New Roman" w:eastAsia="Times New Roman" w:cs="Times New Roman"/>
          <w:spacing w:val="7"/>
          <w:sz w:val="20"/>
          <w:szCs w:val="20"/>
        </w:rPr>
        <w:t>)</w:t>
      </w:r>
      <w:r>
        <w:rPr>
          <w:rFonts w:ascii="宋体" w:hAnsi="宋体" w:eastAsia="宋体" w:cs="宋体"/>
          <w:spacing w:val="7"/>
          <w:sz w:val="20"/>
          <w:szCs w:val="20"/>
        </w:rPr>
        <w:t>。统计疾病暴发的事件数常常比统计单个病例更容易、更实用，尤其对有潜</w:t>
      </w:r>
      <w:r>
        <w:rPr>
          <w:rFonts w:ascii="宋体" w:hAnsi="宋体" w:eastAsia="宋体" w:cs="宋体"/>
          <w:spacing w:val="6"/>
          <w:sz w:val="20"/>
          <w:szCs w:val="20"/>
        </w:rPr>
        <w:t>在暴</w:t>
      </w:r>
      <w:r>
        <w:rPr>
          <w:rFonts w:ascii="宋体" w:hAnsi="宋体" w:eastAsia="宋体" w:cs="宋体"/>
          <w:sz w:val="20"/>
          <w:szCs w:val="20"/>
        </w:rPr>
        <w:t xml:space="preserve"> </w:t>
      </w:r>
      <w:r>
        <w:rPr>
          <w:rFonts w:ascii="宋体" w:hAnsi="宋体" w:eastAsia="宋体" w:cs="宋体"/>
          <w:spacing w:val="9"/>
          <w:sz w:val="20"/>
          <w:szCs w:val="20"/>
        </w:rPr>
        <w:t>发危险、报告质量较差或临床类型多样的疾病更是如</w:t>
      </w:r>
      <w:r>
        <w:rPr>
          <w:rFonts w:ascii="宋体" w:hAnsi="宋体" w:eastAsia="宋体" w:cs="宋体"/>
          <w:spacing w:val="8"/>
          <w:sz w:val="20"/>
          <w:szCs w:val="20"/>
        </w:rPr>
        <w:t>此。突发公共卫生事件监测、食品安全事件监</w:t>
      </w:r>
    </w:p>
    <w:p w14:paraId="172BF209">
      <w:pPr>
        <w:spacing w:line="318" w:lineRule="auto"/>
        <w:rPr>
          <w:rFonts w:ascii="宋体" w:hAnsi="宋体" w:eastAsia="宋体" w:cs="宋体"/>
          <w:sz w:val="20"/>
          <w:szCs w:val="20"/>
        </w:rPr>
        <w:sectPr>
          <w:footerReference r:id="rId197" w:type="default"/>
          <w:pgSz w:w="11900" w:h="16820"/>
          <w:pgMar w:top="367" w:right="1429" w:bottom="809" w:left="750" w:header="0" w:footer="629" w:gutter="0"/>
          <w:cols w:space="720" w:num="1"/>
        </w:sectPr>
      </w:pPr>
    </w:p>
    <w:p w14:paraId="13A7E36B">
      <w:pPr>
        <w:pStyle w:val="2"/>
        <w:spacing w:before="296" w:line="222" w:lineRule="auto"/>
        <w:ind w:left="7189"/>
        <w:rPr>
          <w:sz w:val="20"/>
          <w:szCs w:val="20"/>
        </w:rPr>
      </w:pPr>
      <w:r>
        <w:rPr>
          <w:spacing w:val="-10"/>
          <w:sz w:val="20"/>
          <w:szCs w:val="20"/>
        </w:rPr>
        <w:t>第十章公共</w:t>
      </w:r>
      <w:r>
        <w:rPr>
          <w:spacing w:val="-10"/>
          <w:sz w:val="20"/>
          <w:szCs w:val="20"/>
          <w:u w:val="single" w:color="auto"/>
        </w:rPr>
        <w:t>卫生监测</w:t>
      </w:r>
    </w:p>
    <w:p w14:paraId="44E2911A">
      <w:pPr>
        <w:spacing w:line="266" w:lineRule="auto"/>
        <w:rPr>
          <w:rFonts w:ascii="Arial"/>
          <w:sz w:val="21"/>
        </w:rPr>
      </w:pPr>
    </w:p>
    <w:p w14:paraId="187D9AB7">
      <w:pPr>
        <w:spacing w:line="266" w:lineRule="auto"/>
        <w:rPr>
          <w:rFonts w:ascii="Arial"/>
          <w:sz w:val="21"/>
        </w:rPr>
      </w:pPr>
    </w:p>
    <w:p w14:paraId="0BB87CE2">
      <w:pPr>
        <w:spacing w:before="65" w:line="219" w:lineRule="auto"/>
        <w:rPr>
          <w:rFonts w:ascii="宋体" w:hAnsi="宋体" w:eastAsia="宋体" w:cs="宋体"/>
          <w:sz w:val="20"/>
          <w:szCs w:val="20"/>
        </w:rPr>
      </w:pPr>
      <w:r>
        <w:rPr>
          <w:rFonts w:ascii="宋体" w:hAnsi="宋体" w:eastAsia="宋体" w:cs="宋体"/>
          <w:spacing w:val="12"/>
          <w:sz w:val="20"/>
          <w:szCs w:val="20"/>
        </w:rPr>
        <w:t>测等都属于基于案例的监测。</w:t>
      </w:r>
    </w:p>
    <w:p w14:paraId="5A28E695">
      <w:pPr>
        <w:pStyle w:val="2"/>
        <w:spacing w:before="98" w:line="221" w:lineRule="auto"/>
        <w:ind w:left="433"/>
        <w:rPr>
          <w:sz w:val="24"/>
          <w:szCs w:val="24"/>
        </w:rPr>
      </w:pPr>
      <w:bookmarkStart w:id="293" w:name="bookmark499"/>
      <w:bookmarkEnd w:id="293"/>
      <w:r>
        <w:rPr>
          <w:b/>
          <w:bCs/>
          <w:spacing w:val="-5"/>
          <w:sz w:val="24"/>
          <w:szCs w:val="24"/>
        </w:rPr>
        <w:t>(二)监测方法与技术</w:t>
      </w:r>
    </w:p>
    <w:p w14:paraId="6BCD2C33">
      <w:pPr>
        <w:spacing w:before="124" w:line="334" w:lineRule="auto"/>
        <w:ind w:right="600" w:firstLine="429"/>
        <w:jc w:val="both"/>
        <w:rPr>
          <w:rFonts w:ascii="宋体" w:hAnsi="宋体" w:eastAsia="宋体" w:cs="宋体"/>
          <w:sz w:val="20"/>
          <w:szCs w:val="20"/>
        </w:rPr>
      </w:pPr>
      <w:r>
        <w:rPr>
          <w:rFonts w:ascii="宋体" w:hAnsi="宋体" w:eastAsia="宋体" w:cs="宋体"/>
          <w:spacing w:val="11"/>
          <w:sz w:val="20"/>
          <w:szCs w:val="20"/>
        </w:rPr>
        <w:t>在监测过程中正确利用监测方法与技术，有助于提高监测的质量和效率。随着现代信息科技</w:t>
      </w:r>
      <w:r>
        <w:rPr>
          <w:rFonts w:ascii="宋体" w:hAnsi="宋体" w:eastAsia="宋体" w:cs="宋体"/>
          <w:spacing w:val="7"/>
          <w:sz w:val="20"/>
          <w:szCs w:val="20"/>
        </w:rPr>
        <w:t xml:space="preserve"> </w:t>
      </w:r>
      <w:r>
        <w:rPr>
          <w:rFonts w:ascii="宋体" w:hAnsi="宋体" w:eastAsia="宋体" w:cs="宋体"/>
          <w:spacing w:val="2"/>
          <w:sz w:val="20"/>
          <w:szCs w:val="20"/>
        </w:rPr>
        <w:t>的发展，公共卫生监测中越来越多地应用计算机网络、地理信息系统、人工智能等技术，大大提高了</w:t>
      </w:r>
      <w:r>
        <w:rPr>
          <w:rFonts w:ascii="宋体" w:hAnsi="宋体" w:eastAsia="宋体" w:cs="宋体"/>
          <w:spacing w:val="7"/>
          <w:sz w:val="20"/>
          <w:szCs w:val="20"/>
        </w:rPr>
        <w:t xml:space="preserve"> 监测系统的工作效率，也使公共卫生策略的制</w:t>
      </w:r>
      <w:r>
        <w:rPr>
          <w:rFonts w:ascii="宋体" w:hAnsi="宋体" w:eastAsia="宋体" w:cs="宋体"/>
          <w:spacing w:val="6"/>
          <w:sz w:val="20"/>
          <w:szCs w:val="20"/>
        </w:rPr>
        <w:t>定和干预措施的实施更加及时。除了病例登记、记录</w:t>
      </w:r>
      <w:r>
        <w:rPr>
          <w:rFonts w:ascii="宋体" w:hAnsi="宋体" w:eastAsia="宋体" w:cs="宋体"/>
          <w:sz w:val="20"/>
          <w:szCs w:val="20"/>
        </w:rPr>
        <w:t xml:space="preserve"> </w:t>
      </w:r>
      <w:r>
        <w:rPr>
          <w:rFonts w:ascii="宋体" w:hAnsi="宋体" w:eastAsia="宋体" w:cs="宋体"/>
          <w:spacing w:val="7"/>
          <w:sz w:val="20"/>
          <w:szCs w:val="20"/>
        </w:rPr>
        <w:t>连接等常规方法外，目前常用的监测方法与</w:t>
      </w:r>
      <w:r>
        <w:rPr>
          <w:rFonts w:ascii="宋体" w:hAnsi="宋体" w:eastAsia="宋体" w:cs="宋体"/>
          <w:spacing w:val="6"/>
          <w:sz w:val="20"/>
          <w:szCs w:val="20"/>
        </w:rPr>
        <w:t>分析技术有：</w:t>
      </w:r>
    </w:p>
    <w:p w14:paraId="7657EAC2">
      <w:pPr>
        <w:pStyle w:val="2"/>
        <w:spacing w:before="15" w:line="311" w:lineRule="auto"/>
        <w:ind w:right="576" w:firstLine="429"/>
        <w:rPr>
          <w:rFonts w:ascii="宋体" w:hAnsi="宋体" w:eastAsia="宋体" w:cs="宋体"/>
          <w:sz w:val="20"/>
          <w:szCs w:val="20"/>
        </w:rPr>
      </w:pPr>
      <w:r>
        <w:rPr>
          <w:rFonts w:ascii="宋体" w:hAnsi="宋体" w:eastAsia="宋体" w:cs="宋体"/>
          <w:spacing w:val="-2"/>
          <w:sz w:val="20"/>
          <w:szCs w:val="20"/>
        </w:rPr>
        <w:t>1. 无关联匿名监测</w:t>
      </w:r>
      <w:r>
        <w:rPr>
          <w:spacing w:val="-2"/>
          <w:sz w:val="20"/>
          <w:szCs w:val="20"/>
        </w:rPr>
        <w:t>(un</w:t>
      </w:r>
      <w:r>
        <w:rPr>
          <w:rFonts w:ascii="宋体" w:hAnsi="宋体" w:eastAsia="宋体" w:cs="宋体"/>
          <w:spacing w:val="-2"/>
          <w:sz w:val="20"/>
          <w:szCs w:val="20"/>
        </w:rPr>
        <w:t>related su</w:t>
      </w:r>
      <w:r>
        <w:rPr>
          <w:rFonts w:ascii="宋体" w:hAnsi="宋体" w:eastAsia="宋体" w:cs="宋体"/>
          <w:spacing w:val="-3"/>
          <w:sz w:val="20"/>
          <w:szCs w:val="20"/>
        </w:rPr>
        <w:t>rveillance)</w:t>
      </w:r>
      <w:r>
        <w:rPr>
          <w:rFonts w:ascii="宋体" w:hAnsi="宋体" w:eastAsia="宋体" w:cs="宋体"/>
          <w:spacing w:val="34"/>
          <w:sz w:val="20"/>
          <w:szCs w:val="20"/>
        </w:rPr>
        <w:t xml:space="preserve"> </w:t>
      </w:r>
      <w:r>
        <w:rPr>
          <w:rFonts w:ascii="宋体" w:hAnsi="宋体" w:eastAsia="宋体" w:cs="宋体"/>
          <w:spacing w:val="-3"/>
          <w:sz w:val="20"/>
          <w:szCs w:val="20"/>
        </w:rPr>
        <w:t>当监测的目的仅仅是了解人群中某病的流行状况，</w:t>
      </w:r>
      <w:r>
        <w:rPr>
          <w:rFonts w:ascii="宋体" w:hAnsi="宋体" w:eastAsia="宋体" w:cs="宋体"/>
          <w:sz w:val="20"/>
          <w:szCs w:val="20"/>
        </w:rPr>
        <w:t xml:space="preserve"> </w:t>
      </w:r>
      <w:r>
        <w:rPr>
          <w:rFonts w:ascii="宋体" w:hAnsi="宋体" w:eastAsia="宋体" w:cs="宋体"/>
          <w:spacing w:val="7"/>
          <w:sz w:val="20"/>
          <w:szCs w:val="20"/>
        </w:rPr>
        <w:t>而不是要发现具体病例时，可利用其他研究所收</w:t>
      </w:r>
      <w:r>
        <w:rPr>
          <w:rFonts w:ascii="宋体" w:hAnsi="宋体" w:eastAsia="宋体" w:cs="宋体"/>
          <w:spacing w:val="6"/>
          <w:sz w:val="20"/>
          <w:szCs w:val="20"/>
        </w:rPr>
        <w:t>集的资料，在不识别个体的情况下开展监测，称为</w:t>
      </w:r>
      <w:r>
        <w:rPr>
          <w:rFonts w:ascii="宋体" w:hAnsi="宋体" w:eastAsia="宋体" w:cs="宋体"/>
          <w:sz w:val="20"/>
          <w:szCs w:val="20"/>
        </w:rPr>
        <w:t xml:space="preserve"> </w:t>
      </w:r>
      <w:r>
        <w:rPr>
          <w:rFonts w:ascii="宋体" w:hAnsi="宋体" w:eastAsia="宋体" w:cs="宋体"/>
          <w:spacing w:val="6"/>
          <w:sz w:val="20"/>
          <w:szCs w:val="20"/>
        </w:rPr>
        <w:t>无关联匿名监测。例如收集医院检验科血样，在不识别个人身份的情况下，进行</w:t>
      </w:r>
      <w:r>
        <w:rPr>
          <w:rFonts w:ascii="Times New Roman" w:hAnsi="Times New Roman" w:eastAsia="Times New Roman" w:cs="Times New Roman"/>
          <w:sz w:val="20"/>
          <w:szCs w:val="20"/>
        </w:rPr>
        <w:t>HIV</w:t>
      </w:r>
      <w:r>
        <w:rPr>
          <w:rFonts w:ascii="Times New Roman" w:hAnsi="Times New Roman" w:eastAsia="Times New Roman" w:cs="Times New Roman"/>
          <w:spacing w:val="39"/>
          <w:w w:val="101"/>
          <w:sz w:val="20"/>
          <w:szCs w:val="20"/>
        </w:rPr>
        <w:t xml:space="preserve"> </w:t>
      </w:r>
      <w:r>
        <w:rPr>
          <w:rFonts w:ascii="宋体" w:hAnsi="宋体" w:eastAsia="宋体" w:cs="宋体"/>
          <w:spacing w:val="6"/>
          <w:sz w:val="20"/>
          <w:szCs w:val="20"/>
        </w:rPr>
        <w:t>抗体检测，以</w:t>
      </w:r>
      <w:r>
        <w:rPr>
          <w:rFonts w:ascii="宋体" w:hAnsi="宋体" w:eastAsia="宋体" w:cs="宋体"/>
          <w:sz w:val="20"/>
          <w:szCs w:val="20"/>
        </w:rPr>
        <w:t xml:space="preserve"> </w:t>
      </w:r>
      <w:r>
        <w:rPr>
          <w:rFonts w:ascii="宋体" w:hAnsi="宋体" w:eastAsia="宋体" w:cs="宋体"/>
          <w:spacing w:val="9"/>
          <w:sz w:val="20"/>
          <w:szCs w:val="20"/>
        </w:rPr>
        <w:t>了解医院就诊人群的</w:t>
      </w:r>
      <w:r>
        <w:rPr>
          <w:rFonts w:ascii="Times New Roman" w:hAnsi="Times New Roman" w:eastAsia="Times New Roman" w:cs="Times New Roman"/>
          <w:sz w:val="20"/>
          <w:szCs w:val="20"/>
        </w:rPr>
        <w:t>HIV</w:t>
      </w:r>
      <w:r>
        <w:rPr>
          <w:rFonts w:ascii="Times New Roman" w:hAnsi="Times New Roman" w:eastAsia="Times New Roman" w:cs="Times New Roman"/>
          <w:spacing w:val="9"/>
          <w:sz w:val="20"/>
          <w:szCs w:val="20"/>
        </w:rPr>
        <w:t xml:space="preserve"> </w:t>
      </w:r>
      <w:r>
        <w:rPr>
          <w:rFonts w:ascii="宋体" w:hAnsi="宋体" w:eastAsia="宋体" w:cs="宋体"/>
          <w:spacing w:val="9"/>
          <w:sz w:val="20"/>
          <w:szCs w:val="20"/>
        </w:rPr>
        <w:t>感染率。这种监测可在一定程度上减少伦理学问题。</w:t>
      </w:r>
    </w:p>
    <w:p w14:paraId="657F3A29">
      <w:pPr>
        <w:pStyle w:val="2"/>
        <w:spacing w:before="83" w:line="328" w:lineRule="auto"/>
        <w:ind w:right="546" w:firstLine="429"/>
        <w:rPr>
          <w:rFonts w:ascii="宋体" w:hAnsi="宋体" w:eastAsia="宋体" w:cs="宋体"/>
          <w:sz w:val="20"/>
          <w:szCs w:val="20"/>
        </w:rPr>
      </w:pPr>
      <w:r>
        <w:rPr>
          <w:rFonts w:ascii="宋体" w:hAnsi="宋体" w:eastAsia="宋体" w:cs="宋体"/>
          <w:spacing w:val="2"/>
          <w:sz w:val="20"/>
          <w:szCs w:val="20"/>
        </w:rPr>
        <w:t xml:space="preserve">2. </w:t>
      </w:r>
      <w:r>
        <w:rPr>
          <w:spacing w:val="2"/>
          <w:sz w:val="20"/>
          <w:szCs w:val="20"/>
        </w:rPr>
        <w:t>在线收集监测信息</w:t>
      </w:r>
      <w:r>
        <w:rPr>
          <w:spacing w:val="80"/>
          <w:sz w:val="20"/>
          <w:szCs w:val="20"/>
        </w:rPr>
        <w:t xml:space="preserve"> </w:t>
      </w:r>
      <w:r>
        <w:rPr>
          <w:rFonts w:ascii="宋体" w:hAnsi="宋体" w:eastAsia="宋体" w:cs="宋体"/>
          <w:spacing w:val="2"/>
          <w:sz w:val="20"/>
          <w:szCs w:val="20"/>
        </w:rPr>
        <w:t>利用计算机辅助电话调查系统</w:t>
      </w:r>
      <w:r>
        <w:rPr>
          <w:rFonts w:ascii="Arial" w:hAnsi="Arial" w:eastAsia="Arial" w:cs="Arial"/>
          <w:spacing w:val="2"/>
          <w:sz w:val="20"/>
          <w:szCs w:val="20"/>
        </w:rPr>
        <w:t>(</w:t>
      </w:r>
      <w:r>
        <w:rPr>
          <w:rFonts w:ascii="Arial" w:hAnsi="Arial" w:eastAsia="Arial" w:cs="Arial"/>
          <w:sz w:val="20"/>
          <w:szCs w:val="20"/>
        </w:rPr>
        <w:t>computer</w:t>
      </w:r>
      <w:r>
        <w:rPr>
          <w:rFonts w:ascii="Arial" w:hAnsi="Arial" w:eastAsia="Arial" w:cs="Arial"/>
          <w:spacing w:val="2"/>
          <w:sz w:val="20"/>
          <w:szCs w:val="20"/>
        </w:rPr>
        <w:t xml:space="preserve"> </w:t>
      </w:r>
      <w:r>
        <w:rPr>
          <w:rFonts w:ascii="Arial" w:hAnsi="Arial" w:eastAsia="Arial" w:cs="Arial"/>
          <w:sz w:val="20"/>
          <w:szCs w:val="20"/>
        </w:rPr>
        <w:t>assisted</w:t>
      </w:r>
      <w:r>
        <w:rPr>
          <w:rFonts w:ascii="Arial" w:hAnsi="Arial" w:eastAsia="Arial" w:cs="Arial"/>
          <w:spacing w:val="2"/>
          <w:sz w:val="20"/>
          <w:szCs w:val="20"/>
        </w:rPr>
        <w:t xml:space="preserve"> </w:t>
      </w:r>
      <w:r>
        <w:rPr>
          <w:rFonts w:ascii="Arial" w:hAnsi="Arial" w:eastAsia="Arial" w:cs="Arial"/>
          <w:sz w:val="20"/>
          <w:szCs w:val="20"/>
        </w:rPr>
        <w:t>telephone</w:t>
      </w:r>
      <w:r>
        <w:rPr>
          <w:rFonts w:ascii="Arial" w:hAnsi="Arial" w:eastAsia="Arial" w:cs="Arial"/>
          <w:spacing w:val="2"/>
          <w:sz w:val="20"/>
          <w:szCs w:val="20"/>
        </w:rPr>
        <w:t xml:space="preserve"> </w:t>
      </w:r>
      <w:r>
        <w:rPr>
          <w:rFonts w:ascii="Arial" w:hAnsi="Arial" w:eastAsia="Arial" w:cs="Arial"/>
          <w:sz w:val="20"/>
          <w:szCs w:val="20"/>
        </w:rPr>
        <w:t xml:space="preserve">interviewing  </w:t>
      </w:r>
      <w:r>
        <w:rPr>
          <w:rFonts w:ascii="宋体" w:hAnsi="宋体" w:eastAsia="宋体" w:cs="宋体"/>
          <w:sz w:val="20"/>
          <w:szCs w:val="20"/>
        </w:rPr>
        <w:t>system</w:t>
      </w:r>
      <w:r>
        <w:rPr>
          <w:rFonts w:ascii="宋体" w:hAnsi="宋体" w:eastAsia="宋体" w:cs="宋体"/>
          <w:spacing w:val="14"/>
          <w:sz w:val="20"/>
          <w:szCs w:val="20"/>
        </w:rPr>
        <w:t>,</w:t>
      </w:r>
      <w:r>
        <w:rPr>
          <w:rFonts w:ascii="宋体" w:hAnsi="宋体" w:eastAsia="宋体" w:cs="宋体"/>
          <w:sz w:val="20"/>
          <w:szCs w:val="20"/>
        </w:rPr>
        <w:t>CATI</w:t>
      </w:r>
      <w:r>
        <w:rPr>
          <w:rFonts w:ascii="宋体" w:hAnsi="宋体" w:eastAsia="宋体" w:cs="宋体"/>
          <w:spacing w:val="3"/>
          <w:sz w:val="20"/>
          <w:szCs w:val="20"/>
        </w:rPr>
        <w:t xml:space="preserve">  </w:t>
      </w:r>
      <w:r>
        <w:rPr>
          <w:rFonts w:ascii="宋体" w:hAnsi="宋体" w:eastAsia="宋体" w:cs="宋体"/>
          <w:spacing w:val="14"/>
          <w:sz w:val="20"/>
          <w:szCs w:val="20"/>
        </w:rPr>
        <w:t>系统)和网络调查。前者将通信技术与计算机信息处理</w:t>
      </w:r>
      <w:r>
        <w:rPr>
          <w:rFonts w:ascii="宋体" w:hAnsi="宋体" w:eastAsia="宋体" w:cs="宋体"/>
          <w:spacing w:val="13"/>
          <w:sz w:val="20"/>
          <w:szCs w:val="20"/>
        </w:rPr>
        <w:t>技术应用于传统的电话访问</w:t>
      </w:r>
      <w:r>
        <w:rPr>
          <w:rFonts w:ascii="宋体" w:hAnsi="宋体" w:eastAsia="宋体" w:cs="宋体"/>
          <w:sz w:val="20"/>
          <w:szCs w:val="20"/>
        </w:rPr>
        <w:t xml:space="preserve"> </w:t>
      </w:r>
      <w:r>
        <w:rPr>
          <w:rFonts w:ascii="宋体" w:hAnsi="宋体" w:eastAsia="宋体" w:cs="宋体"/>
          <w:spacing w:val="8"/>
          <w:sz w:val="20"/>
          <w:szCs w:val="20"/>
        </w:rPr>
        <w:t>中，后者又称在线调查，通过互联网及其调查系统将传统的纸质调查与分析方法在线化、智能化。</w:t>
      </w:r>
      <w:r>
        <w:rPr>
          <w:rFonts w:ascii="宋体" w:hAnsi="宋体" w:eastAsia="宋体" w:cs="宋体"/>
          <w:spacing w:val="5"/>
          <w:sz w:val="20"/>
          <w:szCs w:val="20"/>
        </w:rPr>
        <w:t xml:space="preserve"> </w:t>
      </w:r>
      <w:r>
        <w:rPr>
          <w:rFonts w:ascii="宋体" w:hAnsi="宋体" w:eastAsia="宋体" w:cs="宋体"/>
          <w:spacing w:val="7"/>
          <w:sz w:val="20"/>
          <w:szCs w:val="20"/>
        </w:rPr>
        <w:t>此类调查方式可极大地扩大调查人数及地域范</w:t>
      </w:r>
      <w:r>
        <w:rPr>
          <w:rFonts w:ascii="宋体" w:hAnsi="宋体" w:eastAsia="宋体" w:cs="宋体"/>
          <w:spacing w:val="6"/>
          <w:sz w:val="20"/>
          <w:szCs w:val="20"/>
        </w:rPr>
        <w:t>围，节约调查时间与费用，所得数据可被各种统计软</w:t>
      </w:r>
      <w:r>
        <w:rPr>
          <w:rFonts w:ascii="宋体" w:hAnsi="宋体" w:eastAsia="宋体" w:cs="宋体"/>
          <w:sz w:val="20"/>
          <w:szCs w:val="20"/>
        </w:rPr>
        <w:t xml:space="preserve"> </w:t>
      </w:r>
      <w:r>
        <w:rPr>
          <w:rFonts w:ascii="宋体" w:hAnsi="宋体" w:eastAsia="宋体" w:cs="宋体"/>
          <w:spacing w:val="8"/>
          <w:sz w:val="20"/>
          <w:szCs w:val="20"/>
        </w:rPr>
        <w:t>件直接使用，从而提高数据管理与统计分析效率。</w:t>
      </w:r>
    </w:p>
    <w:p w14:paraId="265F7E00">
      <w:pPr>
        <w:pStyle w:val="2"/>
        <w:spacing w:before="124" w:line="313" w:lineRule="auto"/>
        <w:ind w:right="609" w:firstLine="429"/>
        <w:rPr>
          <w:rFonts w:ascii="宋体" w:hAnsi="宋体" w:eastAsia="宋体" w:cs="宋体"/>
          <w:sz w:val="20"/>
          <w:szCs w:val="20"/>
        </w:rPr>
      </w:pPr>
      <w:r>
        <w:rPr>
          <w:rFonts w:ascii="宋体" w:hAnsi="宋体" w:eastAsia="宋体" w:cs="宋体"/>
          <w:spacing w:val="8"/>
          <w:sz w:val="20"/>
          <w:szCs w:val="20"/>
        </w:rPr>
        <w:t xml:space="preserve">3. </w:t>
      </w:r>
      <w:r>
        <w:rPr>
          <w:spacing w:val="8"/>
          <w:sz w:val="20"/>
          <w:szCs w:val="20"/>
        </w:rPr>
        <w:t xml:space="preserve">网络直报系统  </w:t>
      </w:r>
      <w:r>
        <w:rPr>
          <w:rFonts w:ascii="宋体" w:hAnsi="宋体" w:eastAsia="宋体" w:cs="宋体"/>
          <w:spacing w:val="8"/>
          <w:sz w:val="20"/>
          <w:szCs w:val="20"/>
        </w:rPr>
        <w:t>随着计算机网络技术的飞速发展和普及，公共卫生监测中越来越多地建立</w:t>
      </w:r>
      <w:r>
        <w:rPr>
          <w:rFonts w:ascii="宋体" w:hAnsi="宋体" w:eastAsia="宋体" w:cs="宋体"/>
          <w:spacing w:val="3"/>
          <w:sz w:val="20"/>
          <w:szCs w:val="20"/>
        </w:rPr>
        <w:t xml:space="preserve"> </w:t>
      </w:r>
      <w:r>
        <w:rPr>
          <w:rFonts w:ascii="宋体" w:hAnsi="宋体" w:eastAsia="宋体" w:cs="宋体"/>
          <w:spacing w:val="11"/>
          <w:sz w:val="20"/>
          <w:szCs w:val="20"/>
        </w:rPr>
        <w:t>和采用网络直报系统，即从医疗卫生机构源头直接采集数据。我国的突发公共卫生事件监测系统</w:t>
      </w:r>
      <w:r>
        <w:rPr>
          <w:rFonts w:ascii="宋体" w:hAnsi="宋体" w:eastAsia="宋体" w:cs="宋体"/>
          <w:spacing w:val="16"/>
          <w:sz w:val="20"/>
          <w:szCs w:val="20"/>
        </w:rPr>
        <w:t xml:space="preserve"> </w:t>
      </w:r>
      <w:r>
        <w:rPr>
          <w:rFonts w:ascii="宋体" w:hAnsi="宋体" w:eastAsia="宋体" w:cs="宋体"/>
          <w:spacing w:val="2"/>
          <w:sz w:val="20"/>
          <w:szCs w:val="20"/>
        </w:rPr>
        <w:t>和法定传染病报告信息系统，已从县、乡一级实现网络直报，大大缩短了信息传递的时间，</w:t>
      </w:r>
      <w:r>
        <w:rPr>
          <w:rFonts w:ascii="宋体" w:hAnsi="宋体" w:eastAsia="宋体" w:cs="宋体"/>
          <w:spacing w:val="1"/>
          <w:sz w:val="20"/>
          <w:szCs w:val="20"/>
        </w:rPr>
        <w:t>为数据的</w:t>
      </w:r>
      <w:r>
        <w:rPr>
          <w:rFonts w:ascii="宋体" w:hAnsi="宋体" w:eastAsia="宋体" w:cs="宋体"/>
          <w:sz w:val="20"/>
          <w:szCs w:val="20"/>
        </w:rPr>
        <w:t xml:space="preserve"> </w:t>
      </w:r>
      <w:r>
        <w:rPr>
          <w:rFonts w:ascii="宋体" w:hAnsi="宋体" w:eastAsia="宋体" w:cs="宋体"/>
          <w:spacing w:val="12"/>
          <w:sz w:val="20"/>
          <w:szCs w:val="20"/>
        </w:rPr>
        <w:t>快速处理奠定了基础。随着人工智能技术的发展，通</w:t>
      </w:r>
      <w:r>
        <w:rPr>
          <w:rFonts w:ascii="宋体" w:hAnsi="宋体" w:eastAsia="宋体" w:cs="宋体"/>
          <w:spacing w:val="11"/>
          <w:sz w:val="20"/>
          <w:szCs w:val="20"/>
        </w:rPr>
        <w:t>过结合医院信息系统实时地收集和分析病例</w:t>
      </w:r>
      <w:r>
        <w:rPr>
          <w:rFonts w:ascii="宋体" w:hAnsi="宋体" w:eastAsia="宋体" w:cs="宋体"/>
          <w:sz w:val="20"/>
          <w:szCs w:val="20"/>
        </w:rPr>
        <w:t xml:space="preserve"> </w:t>
      </w:r>
      <w:r>
        <w:rPr>
          <w:rFonts w:ascii="宋体" w:hAnsi="宋体" w:eastAsia="宋体" w:cs="宋体"/>
          <w:spacing w:val="7"/>
          <w:sz w:val="20"/>
          <w:szCs w:val="20"/>
        </w:rPr>
        <w:t>数据，利用智能化技术来提高监测信息的准确性和时</w:t>
      </w:r>
      <w:r>
        <w:rPr>
          <w:rFonts w:ascii="宋体" w:hAnsi="宋体" w:eastAsia="宋体" w:cs="宋体"/>
          <w:spacing w:val="6"/>
          <w:sz w:val="20"/>
          <w:szCs w:val="20"/>
        </w:rPr>
        <w:t>效性，从而实现自动监测和智能预警，形成医</w:t>
      </w:r>
      <w:r>
        <w:rPr>
          <w:rFonts w:ascii="宋体" w:hAnsi="宋体" w:eastAsia="宋体" w:cs="宋体"/>
          <w:sz w:val="20"/>
          <w:szCs w:val="20"/>
        </w:rPr>
        <w:t xml:space="preserve"> </w:t>
      </w:r>
      <w:r>
        <w:rPr>
          <w:rFonts w:ascii="宋体" w:hAnsi="宋体" w:eastAsia="宋体" w:cs="宋体"/>
          <w:spacing w:val="12"/>
          <w:sz w:val="20"/>
          <w:szCs w:val="20"/>
        </w:rPr>
        <w:t>院内传染病监测预警工作闭环。</w:t>
      </w:r>
    </w:p>
    <w:p w14:paraId="7E1E6E79">
      <w:pPr>
        <w:pStyle w:val="2"/>
        <w:spacing w:before="164" w:line="304" w:lineRule="auto"/>
        <w:ind w:right="614" w:firstLine="429"/>
        <w:rPr>
          <w:rFonts w:ascii="宋体" w:hAnsi="宋体" w:eastAsia="宋体" w:cs="宋体"/>
          <w:sz w:val="20"/>
          <w:szCs w:val="20"/>
        </w:rPr>
      </w:pPr>
      <w:r>
        <w:rPr>
          <w:rFonts w:ascii="宋体" w:hAnsi="宋体" w:eastAsia="宋体" w:cs="宋体"/>
          <w:spacing w:val="8"/>
          <w:sz w:val="20"/>
          <w:szCs w:val="20"/>
        </w:rPr>
        <w:t xml:space="preserve">4. </w:t>
      </w:r>
      <w:r>
        <w:rPr>
          <w:spacing w:val="8"/>
          <w:sz w:val="20"/>
          <w:szCs w:val="20"/>
        </w:rPr>
        <w:t xml:space="preserve">自动预警技术  </w:t>
      </w:r>
      <w:r>
        <w:rPr>
          <w:rFonts w:ascii="宋体" w:hAnsi="宋体" w:eastAsia="宋体" w:cs="宋体"/>
          <w:spacing w:val="8"/>
          <w:sz w:val="20"/>
          <w:szCs w:val="20"/>
        </w:rPr>
        <w:t>基于大数据，利用数学模型和计算机信息技术，通过特定的算法确定预警</w:t>
      </w:r>
      <w:r>
        <w:rPr>
          <w:rFonts w:ascii="宋体" w:hAnsi="宋体" w:eastAsia="宋体" w:cs="宋体"/>
          <w:spacing w:val="3"/>
          <w:sz w:val="20"/>
          <w:szCs w:val="20"/>
        </w:rPr>
        <w:t xml:space="preserve"> </w:t>
      </w:r>
      <w:r>
        <w:rPr>
          <w:rFonts w:ascii="宋体" w:hAnsi="宋体" w:eastAsia="宋体" w:cs="宋体"/>
          <w:spacing w:val="8"/>
          <w:sz w:val="20"/>
          <w:szCs w:val="20"/>
        </w:rPr>
        <w:t>阈值，自动探测发现监测中的异常信息(高于阈值),从而发出预警信号，以便相关部门和可能受事</w:t>
      </w:r>
      <w:r>
        <w:rPr>
          <w:rFonts w:ascii="宋体" w:hAnsi="宋体" w:eastAsia="宋体" w:cs="宋体"/>
          <w:spacing w:val="6"/>
          <w:sz w:val="20"/>
          <w:szCs w:val="20"/>
        </w:rPr>
        <w:t xml:space="preserve"> </w:t>
      </w:r>
      <w:r>
        <w:rPr>
          <w:rFonts w:ascii="宋体" w:hAnsi="宋体" w:eastAsia="宋体" w:cs="宋体"/>
          <w:spacing w:val="12"/>
          <w:sz w:val="20"/>
          <w:szCs w:val="20"/>
        </w:rPr>
        <w:t>件影响的人群及时作出响应。值得注意的是</w:t>
      </w:r>
      <w:r>
        <w:rPr>
          <w:rFonts w:ascii="宋体" w:hAnsi="宋体" w:eastAsia="宋体" w:cs="宋体"/>
          <w:spacing w:val="11"/>
          <w:sz w:val="20"/>
          <w:szCs w:val="20"/>
        </w:rPr>
        <w:t>，预警阈值的高低直接影响预警信号的灵敏度和特异</w:t>
      </w:r>
      <w:r>
        <w:rPr>
          <w:rFonts w:ascii="宋体" w:hAnsi="宋体" w:eastAsia="宋体" w:cs="宋体"/>
          <w:sz w:val="20"/>
          <w:szCs w:val="20"/>
        </w:rPr>
        <w:t xml:space="preserve"> </w:t>
      </w:r>
      <w:r>
        <w:rPr>
          <w:rFonts w:ascii="宋体" w:hAnsi="宋体" w:eastAsia="宋体" w:cs="宋体"/>
          <w:spacing w:val="4"/>
          <w:sz w:val="20"/>
          <w:szCs w:val="20"/>
        </w:rPr>
        <w:t>度，对预警信号所提示的可疑事件需要进一步分</w:t>
      </w:r>
      <w:r>
        <w:rPr>
          <w:rFonts w:ascii="宋体" w:hAnsi="宋体" w:eastAsia="宋体" w:cs="宋体"/>
          <w:spacing w:val="3"/>
          <w:sz w:val="20"/>
          <w:szCs w:val="20"/>
        </w:rPr>
        <w:t>析、核实。</w:t>
      </w:r>
    </w:p>
    <w:p w14:paraId="6CAB183F">
      <w:pPr>
        <w:spacing w:before="121" w:line="290" w:lineRule="auto"/>
        <w:ind w:right="609" w:firstLine="429"/>
        <w:rPr>
          <w:rFonts w:ascii="宋体" w:hAnsi="宋体" w:eastAsia="宋体" w:cs="宋体"/>
          <w:sz w:val="20"/>
          <w:szCs w:val="20"/>
        </w:rPr>
      </w:pPr>
      <w:r>
        <w:rPr>
          <w:rFonts w:ascii="Times New Roman" w:hAnsi="Times New Roman" w:eastAsia="Times New Roman" w:cs="Times New Roman"/>
          <w:spacing w:val="4"/>
          <w:sz w:val="20"/>
          <w:szCs w:val="20"/>
        </w:rPr>
        <w:t xml:space="preserve">5.   </w:t>
      </w:r>
      <w:r>
        <w:rPr>
          <w:rFonts w:ascii="宋体" w:hAnsi="宋体" w:eastAsia="宋体" w:cs="宋体"/>
          <w:spacing w:val="4"/>
          <w:sz w:val="20"/>
          <w:szCs w:val="20"/>
        </w:rPr>
        <w:t>地理信息系统(</w:t>
      </w:r>
      <w:r>
        <w:rPr>
          <w:rFonts w:ascii="宋体" w:hAnsi="宋体" w:eastAsia="宋体" w:cs="宋体"/>
          <w:spacing w:val="-58"/>
          <w:sz w:val="20"/>
          <w:szCs w:val="20"/>
        </w:rPr>
        <w:t xml:space="preserve"> </w:t>
      </w:r>
      <w:r>
        <w:rPr>
          <w:rFonts w:ascii="Times New Roman" w:hAnsi="Times New Roman" w:eastAsia="Times New Roman" w:cs="Times New Roman"/>
          <w:sz w:val="20"/>
          <w:szCs w:val="20"/>
        </w:rPr>
        <w:t>geographic</w:t>
      </w:r>
      <w:r>
        <w:rPr>
          <w:rFonts w:ascii="Times New Roman" w:hAnsi="Times New Roman" w:eastAsia="Times New Roman" w:cs="Times New Roman"/>
          <w:spacing w:val="20"/>
          <w:w w:val="101"/>
          <w:sz w:val="20"/>
          <w:szCs w:val="20"/>
        </w:rPr>
        <w:t xml:space="preserve">  </w:t>
      </w:r>
      <w:r>
        <w:rPr>
          <w:rFonts w:ascii="Times New Roman" w:hAnsi="Times New Roman" w:eastAsia="Times New Roman" w:cs="Times New Roman"/>
          <w:sz w:val="20"/>
          <w:szCs w:val="20"/>
        </w:rPr>
        <w:t>information</w:t>
      </w:r>
      <w:r>
        <w:rPr>
          <w:rFonts w:ascii="Times New Roman" w:hAnsi="Times New Roman" w:eastAsia="Times New Roman" w:cs="Times New Roman"/>
          <w:spacing w:val="22"/>
          <w:sz w:val="20"/>
          <w:szCs w:val="20"/>
        </w:rPr>
        <w:t xml:space="preserve">  </w:t>
      </w:r>
      <w:r>
        <w:rPr>
          <w:rFonts w:ascii="Times New Roman" w:hAnsi="Times New Roman" w:eastAsia="Times New Roman" w:cs="Times New Roman"/>
          <w:sz w:val="20"/>
          <w:szCs w:val="20"/>
        </w:rPr>
        <w:t>system</w:t>
      </w:r>
      <w:r>
        <w:rPr>
          <w:rFonts w:ascii="Times New Roman" w:hAnsi="Times New Roman" w:eastAsia="Times New Roman" w:cs="Times New Roman"/>
          <w:spacing w:val="4"/>
          <w:sz w:val="20"/>
          <w:szCs w:val="20"/>
        </w:rPr>
        <w:t>,</w:t>
      </w:r>
      <w:r>
        <w:rPr>
          <w:rFonts w:ascii="Times New Roman" w:hAnsi="Times New Roman" w:eastAsia="Times New Roman" w:cs="Times New Roman"/>
          <w:sz w:val="20"/>
          <w:szCs w:val="20"/>
        </w:rPr>
        <w:t>GIS</w:t>
      </w:r>
      <w:r>
        <w:rPr>
          <w:rFonts w:ascii="Times New Roman" w:hAnsi="Times New Roman" w:eastAsia="Times New Roman" w:cs="Times New Roman"/>
          <w:spacing w:val="4"/>
          <w:sz w:val="20"/>
          <w:szCs w:val="20"/>
        </w:rPr>
        <w:t xml:space="preserve">)  </w:t>
      </w:r>
      <w:r>
        <w:rPr>
          <w:rFonts w:ascii="宋体" w:hAnsi="宋体" w:eastAsia="宋体" w:cs="宋体"/>
          <w:spacing w:val="4"/>
          <w:sz w:val="20"/>
          <w:szCs w:val="20"/>
        </w:rPr>
        <w:t>利 用</w:t>
      </w:r>
      <w:r>
        <w:rPr>
          <w:rFonts w:ascii="Times New Roman" w:hAnsi="Times New Roman" w:eastAsia="Times New Roman" w:cs="Times New Roman"/>
          <w:sz w:val="20"/>
          <w:szCs w:val="20"/>
        </w:rPr>
        <w:t>GIS</w:t>
      </w:r>
      <w:r>
        <w:rPr>
          <w:rFonts w:ascii="Times New Roman" w:hAnsi="Times New Roman" w:eastAsia="Times New Roman" w:cs="Times New Roman"/>
          <w:spacing w:val="4"/>
          <w:sz w:val="20"/>
          <w:szCs w:val="20"/>
        </w:rPr>
        <w:t xml:space="preserve"> </w:t>
      </w:r>
      <w:r>
        <w:rPr>
          <w:rFonts w:ascii="宋体" w:hAnsi="宋体" w:eastAsia="宋体" w:cs="宋体"/>
          <w:spacing w:val="4"/>
          <w:sz w:val="20"/>
          <w:szCs w:val="20"/>
        </w:rPr>
        <w:t>可使公共</w:t>
      </w:r>
      <w:r>
        <w:rPr>
          <w:rFonts w:ascii="宋体" w:hAnsi="宋体" w:eastAsia="宋体" w:cs="宋体"/>
          <w:spacing w:val="4"/>
          <w:sz w:val="20"/>
          <w:szCs w:val="20"/>
          <w:u w:val="single" w:color="auto"/>
        </w:rPr>
        <w:t>卫生监</w:t>
      </w:r>
      <w:r>
        <w:rPr>
          <w:rFonts w:ascii="宋体" w:hAnsi="宋体" w:eastAsia="宋体" w:cs="宋体"/>
          <w:spacing w:val="4"/>
          <w:sz w:val="20"/>
          <w:szCs w:val="20"/>
        </w:rPr>
        <w:t>测数据</w:t>
      </w:r>
      <w:r>
        <w:rPr>
          <w:rFonts w:ascii="宋体" w:hAnsi="宋体" w:eastAsia="宋体" w:cs="宋体"/>
          <w:spacing w:val="3"/>
          <w:sz w:val="20"/>
          <w:szCs w:val="20"/>
        </w:rPr>
        <w:t>在地区</w:t>
      </w:r>
      <w:r>
        <w:rPr>
          <w:rFonts w:ascii="宋体" w:hAnsi="宋体" w:eastAsia="宋体" w:cs="宋体"/>
          <w:sz w:val="20"/>
          <w:szCs w:val="20"/>
        </w:rPr>
        <w:t xml:space="preserve"> </w:t>
      </w:r>
      <w:r>
        <w:rPr>
          <w:rFonts w:ascii="宋体" w:hAnsi="宋体" w:eastAsia="宋体" w:cs="宋体"/>
          <w:spacing w:val="5"/>
          <w:sz w:val="20"/>
          <w:szCs w:val="20"/>
        </w:rPr>
        <w:t>分布上更加形象化，有助于分析地理环境、气候因素等对公共卫生</w:t>
      </w:r>
      <w:r>
        <w:rPr>
          <w:rFonts w:ascii="宋体" w:hAnsi="宋体" w:eastAsia="宋体" w:cs="宋体"/>
          <w:spacing w:val="4"/>
          <w:sz w:val="20"/>
          <w:szCs w:val="20"/>
        </w:rPr>
        <w:t>问题的影响。</w:t>
      </w:r>
    </w:p>
    <w:p w14:paraId="04083F67">
      <w:pPr>
        <w:pStyle w:val="2"/>
        <w:spacing w:before="100" w:line="222" w:lineRule="auto"/>
        <w:ind w:left="433"/>
        <w:rPr>
          <w:sz w:val="24"/>
          <w:szCs w:val="24"/>
        </w:rPr>
      </w:pPr>
      <w:r>
        <w:rPr>
          <w:b/>
          <w:bCs/>
          <w:spacing w:val="-6"/>
          <w:sz w:val="24"/>
          <w:szCs w:val="24"/>
        </w:rPr>
        <w:t>(三)监测中的注意事项</w:t>
      </w:r>
    </w:p>
    <w:p w14:paraId="5181B412">
      <w:pPr>
        <w:pStyle w:val="2"/>
        <w:spacing w:before="115" w:line="331" w:lineRule="auto"/>
        <w:ind w:right="609" w:firstLine="429"/>
        <w:jc w:val="both"/>
        <w:rPr>
          <w:rFonts w:ascii="宋体" w:hAnsi="宋体" w:eastAsia="宋体" w:cs="宋体"/>
          <w:sz w:val="20"/>
          <w:szCs w:val="20"/>
        </w:rPr>
      </w:pPr>
      <w:r>
        <w:rPr>
          <w:rFonts w:ascii="宋体" w:hAnsi="宋体" w:eastAsia="宋体" w:cs="宋体"/>
          <w:spacing w:val="9"/>
          <w:sz w:val="20"/>
          <w:szCs w:val="20"/>
        </w:rPr>
        <w:t xml:space="preserve">1. </w:t>
      </w:r>
      <w:r>
        <w:rPr>
          <w:spacing w:val="9"/>
          <w:sz w:val="20"/>
          <w:szCs w:val="20"/>
        </w:rPr>
        <w:t>病例定义和监测病例</w:t>
      </w:r>
      <w:r>
        <w:rPr>
          <w:spacing w:val="96"/>
          <w:sz w:val="20"/>
          <w:szCs w:val="20"/>
        </w:rPr>
        <w:t xml:space="preserve"> </w:t>
      </w:r>
      <w:r>
        <w:rPr>
          <w:rFonts w:ascii="宋体" w:hAnsi="宋体" w:eastAsia="宋体" w:cs="宋体"/>
          <w:spacing w:val="9"/>
          <w:sz w:val="20"/>
          <w:szCs w:val="20"/>
        </w:rPr>
        <w:t>在大规模的监测工作中，若要严格按照</w:t>
      </w:r>
      <w:r>
        <w:rPr>
          <w:rFonts w:ascii="宋体" w:hAnsi="宋体" w:eastAsia="宋体" w:cs="宋体"/>
          <w:spacing w:val="8"/>
          <w:sz w:val="20"/>
          <w:szCs w:val="20"/>
        </w:rPr>
        <w:t>临床诊断标准来确定某病病</w:t>
      </w:r>
      <w:r>
        <w:rPr>
          <w:rFonts w:ascii="宋体" w:hAnsi="宋体" w:eastAsia="宋体" w:cs="宋体"/>
          <w:sz w:val="20"/>
          <w:szCs w:val="20"/>
        </w:rPr>
        <w:t xml:space="preserve"> </w:t>
      </w:r>
      <w:r>
        <w:rPr>
          <w:rFonts w:ascii="宋体" w:hAnsi="宋体" w:eastAsia="宋体" w:cs="宋体"/>
          <w:spacing w:val="2"/>
          <w:sz w:val="20"/>
          <w:szCs w:val="20"/>
        </w:rPr>
        <w:t>例，常常难以操作，因此确定一个统一的、操作性强的监测标准极为重要，采用监测标准定义</w:t>
      </w:r>
      <w:r>
        <w:rPr>
          <w:rFonts w:ascii="宋体" w:hAnsi="宋体" w:eastAsia="宋体" w:cs="宋体"/>
          <w:spacing w:val="1"/>
          <w:sz w:val="20"/>
          <w:szCs w:val="20"/>
        </w:rPr>
        <w:t>的病例</w:t>
      </w:r>
      <w:r>
        <w:rPr>
          <w:rFonts w:ascii="宋体" w:hAnsi="宋体" w:eastAsia="宋体" w:cs="宋体"/>
          <w:sz w:val="20"/>
          <w:szCs w:val="20"/>
        </w:rPr>
        <w:t xml:space="preserve"> </w:t>
      </w:r>
      <w:r>
        <w:rPr>
          <w:rFonts w:ascii="宋体" w:hAnsi="宋体" w:eastAsia="宋体" w:cs="宋体"/>
          <w:spacing w:val="11"/>
          <w:sz w:val="20"/>
          <w:szCs w:val="20"/>
        </w:rPr>
        <w:t>称为监测病例。例如，流感监测时的流感样病例</w:t>
      </w:r>
      <w:r>
        <w:rPr>
          <w:rFonts w:ascii="Times New Roman" w:hAnsi="Times New Roman" w:eastAsia="Times New Roman" w:cs="Times New Roman"/>
          <w:spacing w:val="10"/>
          <w:sz w:val="20"/>
          <w:szCs w:val="20"/>
        </w:rPr>
        <w:t>(</w:t>
      </w:r>
      <w:r>
        <w:rPr>
          <w:rFonts w:ascii="Times New Roman" w:hAnsi="Times New Roman" w:eastAsia="Times New Roman" w:cs="Times New Roman"/>
          <w:sz w:val="20"/>
          <w:szCs w:val="20"/>
        </w:rPr>
        <w:t>ILI</w:t>
      </w:r>
      <w:r>
        <w:rPr>
          <w:rFonts w:ascii="Times New Roman" w:hAnsi="Times New Roman" w:eastAsia="Times New Roman" w:cs="Times New Roman"/>
          <w:spacing w:val="10"/>
          <w:sz w:val="20"/>
          <w:szCs w:val="20"/>
        </w:rPr>
        <w:t xml:space="preserve">),   </w:t>
      </w:r>
      <w:r>
        <w:rPr>
          <w:rFonts w:ascii="宋体" w:hAnsi="宋体" w:eastAsia="宋体" w:cs="宋体"/>
          <w:spacing w:val="10"/>
          <w:sz w:val="20"/>
          <w:szCs w:val="20"/>
        </w:rPr>
        <w:t>是指发热(体温≥38℃)伴咳嗽或咽痛之一</w:t>
      </w:r>
      <w:r>
        <w:rPr>
          <w:rFonts w:ascii="宋体" w:hAnsi="宋体" w:eastAsia="宋体" w:cs="宋体"/>
          <w:sz w:val="20"/>
          <w:szCs w:val="20"/>
        </w:rPr>
        <w:t xml:space="preserve"> </w:t>
      </w:r>
      <w:r>
        <w:rPr>
          <w:rFonts w:ascii="宋体" w:hAnsi="宋体" w:eastAsia="宋体" w:cs="宋体"/>
          <w:spacing w:val="6"/>
          <w:sz w:val="20"/>
          <w:szCs w:val="20"/>
        </w:rPr>
        <w:t>者，不一定需要病原学检验。</w:t>
      </w:r>
    </w:p>
    <w:p w14:paraId="32B0E0BA">
      <w:pPr>
        <w:spacing w:before="43" w:line="334" w:lineRule="auto"/>
        <w:ind w:right="610" w:firstLine="429"/>
        <w:rPr>
          <w:rFonts w:ascii="宋体" w:hAnsi="宋体" w:eastAsia="宋体" w:cs="宋体"/>
          <w:sz w:val="20"/>
          <w:szCs w:val="20"/>
        </w:rPr>
      </w:pPr>
      <w:r>
        <w:rPr>
          <w:rFonts w:ascii="宋体" w:hAnsi="宋体" w:eastAsia="宋体" w:cs="宋体"/>
          <w:spacing w:val="11"/>
          <w:sz w:val="20"/>
          <w:szCs w:val="20"/>
        </w:rPr>
        <w:t>我国法定传染病报告的病例中有很多都属于监测病例。在疾病监测中应尽可能提高实际病例</w:t>
      </w:r>
      <w:r>
        <w:rPr>
          <w:rFonts w:ascii="宋体" w:hAnsi="宋体" w:eastAsia="宋体" w:cs="宋体"/>
          <w:spacing w:val="15"/>
          <w:sz w:val="20"/>
          <w:szCs w:val="20"/>
        </w:rPr>
        <w:t xml:space="preserve"> </w:t>
      </w:r>
      <w:r>
        <w:rPr>
          <w:rFonts w:ascii="宋体" w:hAnsi="宋体" w:eastAsia="宋体" w:cs="宋体"/>
          <w:spacing w:val="6"/>
          <w:sz w:val="20"/>
          <w:szCs w:val="20"/>
        </w:rPr>
        <w:t>在监测病例中的比例，并在一定程度上能估计这个比例。</w:t>
      </w:r>
    </w:p>
    <w:p w14:paraId="624500DD">
      <w:pPr>
        <w:pStyle w:val="2"/>
        <w:spacing w:before="4" w:line="296" w:lineRule="auto"/>
        <w:ind w:right="618" w:firstLine="432"/>
        <w:rPr>
          <w:rFonts w:ascii="宋体" w:hAnsi="宋体" w:eastAsia="宋体" w:cs="宋体"/>
          <w:sz w:val="20"/>
          <w:szCs w:val="20"/>
        </w:rPr>
      </w:pPr>
      <w:r>
        <w:rPr>
          <w:rFonts w:ascii="宋体" w:hAnsi="宋体" w:eastAsia="宋体" w:cs="宋体"/>
          <w:b/>
          <w:bCs/>
          <w:spacing w:val="7"/>
          <w:sz w:val="20"/>
          <w:szCs w:val="20"/>
        </w:rPr>
        <w:t>2.</w:t>
      </w:r>
      <w:r>
        <w:rPr>
          <w:rFonts w:ascii="宋体" w:hAnsi="宋体" w:eastAsia="宋体" w:cs="宋体"/>
          <w:spacing w:val="7"/>
          <w:sz w:val="20"/>
          <w:szCs w:val="20"/>
        </w:rPr>
        <w:t xml:space="preserve"> </w:t>
      </w:r>
      <w:r>
        <w:rPr>
          <w:b/>
          <w:bCs/>
          <w:spacing w:val="7"/>
          <w:sz w:val="20"/>
          <w:szCs w:val="20"/>
        </w:rPr>
        <w:t>监测信息的深入、及时分析和交流共享</w:t>
      </w:r>
      <w:r>
        <w:rPr>
          <w:spacing w:val="7"/>
          <w:sz w:val="20"/>
          <w:szCs w:val="20"/>
        </w:rPr>
        <w:t xml:space="preserve">  </w:t>
      </w:r>
      <w:r>
        <w:rPr>
          <w:rFonts w:ascii="宋体" w:hAnsi="宋体" w:eastAsia="宋体" w:cs="宋体"/>
          <w:spacing w:val="7"/>
          <w:sz w:val="20"/>
          <w:szCs w:val="20"/>
        </w:rPr>
        <w:t>利用自动分析技术可更高效、清晰地分析监测数</w:t>
      </w:r>
      <w:r>
        <w:rPr>
          <w:rFonts w:ascii="宋体" w:hAnsi="宋体" w:eastAsia="宋体" w:cs="宋体"/>
          <w:spacing w:val="3"/>
          <w:sz w:val="20"/>
          <w:szCs w:val="20"/>
        </w:rPr>
        <w:t xml:space="preserve"> </w:t>
      </w:r>
      <w:r>
        <w:rPr>
          <w:rFonts w:ascii="宋体" w:hAnsi="宋体" w:eastAsia="宋体" w:cs="宋体"/>
          <w:spacing w:val="7"/>
          <w:sz w:val="20"/>
          <w:szCs w:val="20"/>
        </w:rPr>
        <w:t>据，从中获取更有意义的信息；而自动预警</w:t>
      </w:r>
      <w:r>
        <w:rPr>
          <w:rFonts w:ascii="宋体" w:hAnsi="宋体" w:eastAsia="宋体" w:cs="宋体"/>
          <w:spacing w:val="6"/>
          <w:sz w:val="20"/>
          <w:szCs w:val="20"/>
        </w:rPr>
        <w:t>技术则可以根据监测数据和分析信息发出及时有效的预</w:t>
      </w:r>
      <w:r>
        <w:rPr>
          <w:rFonts w:ascii="宋体" w:hAnsi="宋体" w:eastAsia="宋体" w:cs="宋体"/>
          <w:sz w:val="20"/>
          <w:szCs w:val="20"/>
        </w:rPr>
        <w:t xml:space="preserve"> </w:t>
      </w:r>
      <w:r>
        <w:rPr>
          <w:rFonts w:ascii="宋体" w:hAnsi="宋体" w:eastAsia="宋体" w:cs="宋体"/>
          <w:spacing w:val="7"/>
          <w:sz w:val="20"/>
          <w:szCs w:val="20"/>
        </w:rPr>
        <w:t>警。不同的监测系统间实现一定权限内的数据信息共享和交流，可极大地提高监测</w:t>
      </w:r>
      <w:r>
        <w:rPr>
          <w:rFonts w:ascii="宋体" w:hAnsi="宋体" w:eastAsia="宋体" w:cs="宋体"/>
          <w:spacing w:val="6"/>
          <w:sz w:val="20"/>
          <w:szCs w:val="20"/>
        </w:rPr>
        <w:t>工作的效益。</w:t>
      </w:r>
    </w:p>
    <w:p w14:paraId="770B71E0">
      <w:pPr>
        <w:pStyle w:val="2"/>
        <w:spacing w:before="131" w:line="285" w:lineRule="auto"/>
        <w:ind w:right="609" w:firstLine="429"/>
        <w:rPr>
          <w:rFonts w:ascii="宋体" w:hAnsi="宋体" w:eastAsia="宋体" w:cs="宋体"/>
          <w:sz w:val="20"/>
          <w:szCs w:val="20"/>
        </w:rPr>
      </w:pPr>
      <w:r>
        <w:rPr>
          <w:rFonts w:ascii="宋体" w:hAnsi="宋体" w:eastAsia="宋体" w:cs="宋体"/>
          <w:spacing w:val="6"/>
          <w:sz w:val="20"/>
          <w:szCs w:val="20"/>
        </w:rPr>
        <w:t xml:space="preserve">3. </w:t>
      </w:r>
      <w:r>
        <w:rPr>
          <w:spacing w:val="6"/>
          <w:sz w:val="20"/>
          <w:szCs w:val="20"/>
        </w:rPr>
        <w:t>保密制度</w:t>
      </w:r>
      <w:r>
        <w:rPr>
          <w:spacing w:val="81"/>
          <w:sz w:val="20"/>
          <w:szCs w:val="20"/>
        </w:rPr>
        <w:t xml:space="preserve"> </w:t>
      </w:r>
      <w:r>
        <w:rPr>
          <w:rFonts w:ascii="宋体" w:hAnsi="宋体" w:eastAsia="宋体" w:cs="宋体"/>
          <w:spacing w:val="6"/>
          <w:sz w:val="20"/>
          <w:szCs w:val="20"/>
        </w:rPr>
        <w:t>许多疾病涉及个人隐私，因此在</w:t>
      </w:r>
      <w:r>
        <w:rPr>
          <w:rFonts w:ascii="宋体" w:hAnsi="宋体" w:eastAsia="宋体" w:cs="宋体"/>
          <w:spacing w:val="5"/>
          <w:sz w:val="20"/>
          <w:szCs w:val="20"/>
        </w:rPr>
        <w:t>开展监测时要遵守保密制度。</w:t>
      </w:r>
      <w:r>
        <w:rPr>
          <w:rFonts w:ascii="宋体" w:hAnsi="宋体" w:eastAsia="宋体" w:cs="宋体"/>
          <w:spacing w:val="48"/>
          <w:sz w:val="20"/>
          <w:szCs w:val="20"/>
        </w:rPr>
        <w:t xml:space="preserve"> </w:t>
      </w:r>
      <w:r>
        <w:rPr>
          <w:rFonts w:ascii="宋体" w:hAnsi="宋体" w:eastAsia="宋体" w:cs="宋体"/>
          <w:spacing w:val="5"/>
          <w:sz w:val="20"/>
          <w:szCs w:val="20"/>
        </w:rPr>
        <w:t>一方面维护监测</w:t>
      </w:r>
      <w:r>
        <w:rPr>
          <w:rFonts w:ascii="宋体" w:hAnsi="宋体" w:eastAsia="宋体" w:cs="宋体"/>
          <w:sz w:val="20"/>
          <w:szCs w:val="20"/>
        </w:rPr>
        <w:t xml:space="preserve"> </w:t>
      </w:r>
      <w:r>
        <w:rPr>
          <w:rFonts w:ascii="宋体" w:hAnsi="宋体" w:eastAsia="宋体" w:cs="宋体"/>
          <w:spacing w:val="7"/>
          <w:sz w:val="20"/>
          <w:szCs w:val="20"/>
        </w:rPr>
        <w:t>对象的尊严和权益，另一方面增强社会公众对监测活动</w:t>
      </w:r>
      <w:r>
        <w:rPr>
          <w:rFonts w:ascii="宋体" w:hAnsi="宋体" w:eastAsia="宋体" w:cs="宋体"/>
          <w:spacing w:val="6"/>
          <w:sz w:val="20"/>
          <w:szCs w:val="20"/>
        </w:rPr>
        <w:t>的信任感和参与意识。</w:t>
      </w:r>
    </w:p>
    <w:p w14:paraId="323ED076">
      <w:pPr>
        <w:spacing w:line="285" w:lineRule="auto"/>
        <w:rPr>
          <w:rFonts w:ascii="宋体" w:hAnsi="宋体" w:eastAsia="宋体" w:cs="宋体"/>
          <w:sz w:val="20"/>
          <w:szCs w:val="20"/>
        </w:rPr>
        <w:sectPr>
          <w:footerReference r:id="rId198" w:type="default"/>
          <w:pgSz w:w="11900" w:h="16820"/>
          <w:pgMar w:top="400" w:right="913" w:bottom="869" w:left="1489" w:header="0" w:footer="689" w:gutter="0"/>
          <w:cols w:space="720" w:num="1"/>
        </w:sectPr>
      </w:pPr>
    </w:p>
    <w:p w14:paraId="3D5511FD">
      <w:pPr>
        <w:pStyle w:val="2"/>
        <w:spacing w:before="76" w:line="222" w:lineRule="auto"/>
        <w:ind w:left="609"/>
        <w:rPr>
          <w:sz w:val="20"/>
          <w:szCs w:val="20"/>
        </w:rPr>
      </w:pPr>
      <w:r>
        <w:rPr>
          <w:spacing w:val="-21"/>
          <w:w w:val="98"/>
          <w:sz w:val="20"/>
          <w:szCs w:val="20"/>
        </w:rPr>
        <w:t>第十篁 公共</w:t>
      </w:r>
      <w:r>
        <w:rPr>
          <w:spacing w:val="-21"/>
          <w:w w:val="98"/>
          <w:sz w:val="20"/>
          <w:szCs w:val="20"/>
          <w:u w:val="single" w:color="auto"/>
        </w:rPr>
        <w:t>卫生前期</w:t>
      </w:r>
    </w:p>
    <w:p w14:paraId="3EA26505">
      <w:pPr>
        <w:spacing w:line="347" w:lineRule="auto"/>
        <w:rPr>
          <w:rFonts w:ascii="Arial"/>
          <w:sz w:val="21"/>
        </w:rPr>
      </w:pPr>
    </w:p>
    <w:p w14:paraId="76C4B39C">
      <w:pPr>
        <w:spacing w:line="348" w:lineRule="auto"/>
        <w:rPr>
          <w:rFonts w:ascii="Arial"/>
          <w:sz w:val="21"/>
        </w:rPr>
      </w:pPr>
    </w:p>
    <w:p w14:paraId="4C756E82">
      <w:pPr>
        <w:pStyle w:val="2"/>
        <w:spacing w:before="78" w:line="222" w:lineRule="auto"/>
        <w:ind w:left="1023"/>
        <w:outlineLvl w:val="3"/>
        <w:rPr>
          <w:sz w:val="24"/>
          <w:szCs w:val="24"/>
        </w:rPr>
      </w:pPr>
      <w:bookmarkStart w:id="294" w:name="bookmark187"/>
      <w:bookmarkEnd w:id="294"/>
      <w:r>
        <w:rPr>
          <w:b/>
          <w:bCs/>
          <w:spacing w:val="-3"/>
          <w:sz w:val="24"/>
          <w:szCs w:val="24"/>
        </w:rPr>
        <w:t>二、基本程序</w:t>
      </w:r>
    </w:p>
    <w:p w14:paraId="662663A9">
      <w:pPr>
        <w:spacing w:before="284" w:line="344" w:lineRule="auto"/>
        <w:ind w:left="609" w:right="114" w:firstLine="410"/>
        <w:rPr>
          <w:rFonts w:ascii="宋体" w:hAnsi="宋体" w:eastAsia="宋体" w:cs="宋体"/>
          <w:sz w:val="20"/>
          <w:szCs w:val="20"/>
        </w:rPr>
      </w:pPr>
      <w:r>
        <w:rPr>
          <w:rFonts w:ascii="宋体" w:hAnsi="宋体" w:eastAsia="宋体" w:cs="宋体"/>
          <w:spacing w:val="3"/>
          <w:sz w:val="20"/>
          <w:szCs w:val="20"/>
        </w:rPr>
        <w:t>公共</w:t>
      </w:r>
      <w:r>
        <w:rPr>
          <w:rFonts w:ascii="宋体" w:hAnsi="宋体" w:eastAsia="宋体" w:cs="宋体"/>
          <w:spacing w:val="3"/>
          <w:sz w:val="20"/>
          <w:szCs w:val="20"/>
          <w:u w:val="single" w:color="auto"/>
        </w:rPr>
        <w:t>卫生检</w:t>
      </w:r>
      <w:r>
        <w:rPr>
          <w:rFonts w:ascii="宋体" w:hAnsi="宋体" w:eastAsia="宋体" w:cs="宋体"/>
          <w:spacing w:val="3"/>
          <w:sz w:val="20"/>
          <w:szCs w:val="20"/>
        </w:rPr>
        <w:t>测的程序包括数据收集、数据管理与分析、信息交流与反馈以及信息利用4个基本</w:t>
      </w:r>
      <w:r>
        <w:rPr>
          <w:rFonts w:ascii="宋体" w:hAnsi="宋体" w:eastAsia="宋体" w:cs="宋体"/>
          <w:spacing w:val="15"/>
          <w:sz w:val="20"/>
          <w:szCs w:val="20"/>
        </w:rPr>
        <w:t xml:space="preserve"> </w:t>
      </w:r>
      <w:r>
        <w:rPr>
          <w:rFonts w:ascii="宋体" w:hAnsi="宋体" w:eastAsia="宋体" w:cs="宋体"/>
          <w:spacing w:val="-3"/>
          <w:sz w:val="20"/>
          <w:szCs w:val="20"/>
        </w:rPr>
        <w:t>过程，</w:t>
      </w:r>
    </w:p>
    <w:p w14:paraId="4821EEB3">
      <w:pPr>
        <w:pStyle w:val="2"/>
        <w:spacing w:line="220" w:lineRule="auto"/>
        <w:ind w:left="1022"/>
        <w:rPr>
          <w:sz w:val="20"/>
          <w:szCs w:val="20"/>
        </w:rPr>
      </w:pPr>
      <w:r>
        <w:rPr>
          <w:b/>
          <w:bCs/>
          <w:spacing w:val="16"/>
          <w:sz w:val="20"/>
          <w:szCs w:val="20"/>
        </w:rPr>
        <w:t>(一)系统收集相关数据</w:t>
      </w:r>
    </w:p>
    <w:p w14:paraId="76ADB95B">
      <w:pPr>
        <w:spacing w:before="154" w:line="341" w:lineRule="auto"/>
        <w:ind w:left="609" w:right="63" w:firstLine="410"/>
        <w:rPr>
          <w:rFonts w:ascii="宋体" w:hAnsi="宋体" w:eastAsia="宋体" w:cs="宋体"/>
          <w:sz w:val="20"/>
          <w:szCs w:val="20"/>
        </w:rPr>
      </w:pPr>
      <w:r>
        <w:rPr>
          <w:rFonts w:ascii="宋体" w:hAnsi="宋体" w:eastAsia="宋体" w:cs="宋体"/>
          <w:sz w:val="20"/>
          <w:szCs w:val="20"/>
        </w:rPr>
        <w:t>服据不同监测系统的特定目的，采用统一的标准、方法以及规范、系统全面地收集相关监测数</w:t>
      </w:r>
      <w:r>
        <w:rPr>
          <w:rFonts w:ascii="宋体" w:hAnsi="宋体" w:eastAsia="宋体" w:cs="宋体"/>
          <w:spacing w:val="17"/>
          <w:sz w:val="20"/>
          <w:szCs w:val="20"/>
        </w:rPr>
        <w:t xml:space="preserve"> </w:t>
      </w:r>
      <w:r>
        <w:rPr>
          <w:rFonts w:ascii="宋体" w:hAnsi="宋体" w:eastAsia="宋体" w:cs="宋体"/>
          <w:spacing w:val="-7"/>
          <w:sz w:val="20"/>
          <w:szCs w:val="20"/>
        </w:rPr>
        <w:t>据，主要包括：①人口学资料；②人群疾病发病或死亡的资料；③实验室检测的病原学和血清学资料；</w:t>
      </w:r>
    </w:p>
    <w:p w14:paraId="23233C3A">
      <w:pPr>
        <w:spacing w:before="1" w:line="217" w:lineRule="auto"/>
        <w:ind w:left="609"/>
        <w:rPr>
          <w:rFonts w:ascii="宋体" w:hAnsi="宋体" w:eastAsia="宋体" w:cs="宋体"/>
          <w:sz w:val="20"/>
          <w:szCs w:val="20"/>
        </w:rPr>
      </w:pPr>
      <w:r>
        <w:rPr>
          <w:rFonts w:ascii="宋体" w:hAnsi="宋体" w:eastAsia="宋体" w:cs="宋体"/>
          <w:spacing w:val="-4"/>
          <w:sz w:val="20"/>
          <w:szCs w:val="20"/>
        </w:rPr>
        <w:t>④危险因素调查资料；⑤干预措施记录资料；⑥专题调查报告；⑦其他有关资料，如气象资料等。</w:t>
      </w:r>
    </w:p>
    <w:p w14:paraId="763C2C12">
      <w:pPr>
        <w:pStyle w:val="2"/>
        <w:spacing w:before="144" w:line="222" w:lineRule="auto"/>
        <w:ind w:left="1022"/>
        <w:rPr>
          <w:sz w:val="20"/>
          <w:szCs w:val="20"/>
        </w:rPr>
      </w:pPr>
      <w:r>
        <w:rPr>
          <w:b/>
          <w:bCs/>
          <w:spacing w:val="18"/>
          <w:sz w:val="20"/>
          <w:szCs w:val="20"/>
        </w:rPr>
        <w:t>(二)管理和分析数据</w:t>
      </w:r>
    </w:p>
    <w:p w14:paraId="4BC119B7">
      <w:pPr>
        <w:spacing w:before="121" w:line="351" w:lineRule="auto"/>
        <w:ind w:left="609" w:right="116" w:firstLine="410"/>
        <w:jc w:val="both"/>
        <w:rPr>
          <w:rFonts w:ascii="宋体" w:hAnsi="宋体" w:eastAsia="宋体" w:cs="宋体"/>
          <w:sz w:val="20"/>
          <w:szCs w:val="20"/>
        </w:rPr>
      </w:pPr>
      <w:r>
        <w:rPr>
          <w:rFonts w:ascii="宋体" w:hAnsi="宋体" w:eastAsia="宋体" w:cs="宋体"/>
          <w:spacing w:val="5"/>
          <w:sz w:val="20"/>
          <w:szCs w:val="20"/>
        </w:rPr>
        <w:t>数据管理是指对收集到的原始数据认真核对与整理，同时了解其来源和收集方法，以保证数</w:t>
      </w:r>
      <w:r>
        <w:rPr>
          <w:rFonts w:ascii="宋体" w:hAnsi="宋体" w:eastAsia="宋体" w:cs="宋体"/>
          <w:spacing w:val="17"/>
          <w:sz w:val="20"/>
          <w:szCs w:val="20"/>
        </w:rPr>
        <w:t xml:space="preserve"> </w:t>
      </w:r>
      <w:r>
        <w:rPr>
          <w:rFonts w:ascii="宋体" w:hAnsi="宋体" w:eastAsia="宋体" w:cs="宋体"/>
          <w:spacing w:val="6"/>
          <w:sz w:val="20"/>
          <w:szCs w:val="20"/>
        </w:rPr>
        <w:t>据的完整性和准确性。建立动态个人电子疾病档案是实现全病程疾病监测和管理的</w:t>
      </w:r>
      <w:r>
        <w:rPr>
          <w:rFonts w:ascii="宋体" w:hAnsi="宋体" w:eastAsia="宋体" w:cs="宋体"/>
          <w:spacing w:val="5"/>
          <w:sz w:val="20"/>
          <w:szCs w:val="20"/>
        </w:rPr>
        <w:t>主要数据管理</w:t>
      </w:r>
      <w:r>
        <w:rPr>
          <w:rFonts w:ascii="宋体" w:hAnsi="宋体" w:eastAsia="宋体" w:cs="宋体"/>
          <w:sz w:val="20"/>
          <w:szCs w:val="20"/>
        </w:rPr>
        <w:t xml:space="preserve"> </w:t>
      </w:r>
      <w:r>
        <w:rPr>
          <w:rFonts w:ascii="宋体" w:hAnsi="宋体" w:eastAsia="宋体" w:cs="宋体"/>
          <w:spacing w:val="3"/>
          <w:sz w:val="20"/>
          <w:szCs w:val="20"/>
        </w:rPr>
        <w:t>手段。</w:t>
      </w:r>
    </w:p>
    <w:p w14:paraId="34BE1BB8">
      <w:pPr>
        <w:spacing w:before="4" w:line="351" w:lineRule="auto"/>
        <w:ind w:left="609" w:right="107" w:firstLine="410"/>
        <w:jc w:val="both"/>
        <w:rPr>
          <w:rFonts w:ascii="宋体" w:hAnsi="宋体" w:eastAsia="宋体" w:cs="宋体"/>
          <w:sz w:val="20"/>
          <w:szCs w:val="20"/>
        </w:rPr>
      </w:pPr>
      <w:r>
        <w:rPr>
          <w:rFonts w:ascii="宋体" w:hAnsi="宋体" w:eastAsia="宋体" w:cs="宋体"/>
          <w:spacing w:val="6"/>
          <w:sz w:val="20"/>
          <w:szCs w:val="20"/>
        </w:rPr>
        <w:t>数据分析是指利用统计学方法把各种数据转化为有关的指标并加以解释，进而揭示出所监测</w:t>
      </w:r>
      <w:r>
        <w:rPr>
          <w:rFonts w:ascii="宋体" w:hAnsi="宋体" w:eastAsia="宋体" w:cs="宋体"/>
          <w:spacing w:val="5"/>
          <w:sz w:val="20"/>
          <w:szCs w:val="20"/>
        </w:rPr>
        <w:t xml:space="preserve"> </w:t>
      </w:r>
      <w:r>
        <w:rPr>
          <w:rFonts w:ascii="宋体" w:hAnsi="宋体" w:eastAsia="宋体" w:cs="宋体"/>
          <w:spacing w:val="1"/>
          <w:sz w:val="20"/>
          <w:szCs w:val="20"/>
        </w:rPr>
        <w:t>的公共卫生问题的分布特征、变化规律及趋势、影响因素等</w:t>
      </w:r>
      <w:r>
        <w:rPr>
          <w:rFonts w:ascii="宋体" w:hAnsi="宋体" w:eastAsia="宋体" w:cs="宋体"/>
          <w:sz w:val="20"/>
          <w:szCs w:val="20"/>
        </w:rPr>
        <w:t xml:space="preserve">。在数据分析过程中，一方面要注意根 </w:t>
      </w:r>
      <w:r>
        <w:rPr>
          <w:rFonts w:ascii="宋体" w:hAnsi="宋体" w:eastAsia="宋体" w:cs="宋体"/>
          <w:spacing w:val="1"/>
          <w:sz w:val="20"/>
          <w:szCs w:val="20"/>
        </w:rPr>
        <w:t>据数据的性质正确选择统计学方法、对数据进行充分的挖掘和利用；另一方面要考虑各种事件对监</w:t>
      </w:r>
      <w:r>
        <w:rPr>
          <w:rFonts w:ascii="宋体" w:hAnsi="宋体" w:eastAsia="宋体" w:cs="宋体"/>
          <w:spacing w:val="4"/>
          <w:sz w:val="20"/>
          <w:szCs w:val="20"/>
        </w:rPr>
        <w:t xml:space="preserve"> </w:t>
      </w:r>
      <w:r>
        <w:rPr>
          <w:rFonts w:ascii="宋体" w:hAnsi="宋体" w:eastAsia="宋体" w:cs="宋体"/>
          <w:spacing w:val="-6"/>
          <w:sz w:val="20"/>
          <w:szCs w:val="20"/>
        </w:rPr>
        <w:t>测结果的影响，从面对统计分析结果作出正确、合理的解释。</w:t>
      </w:r>
    </w:p>
    <w:p w14:paraId="38B88E23">
      <w:pPr>
        <w:pStyle w:val="2"/>
        <w:spacing w:before="1" w:line="221" w:lineRule="auto"/>
        <w:ind w:left="1022"/>
        <w:rPr>
          <w:sz w:val="20"/>
          <w:szCs w:val="20"/>
        </w:rPr>
      </w:pPr>
      <w:r>
        <w:rPr>
          <w:b/>
          <w:bCs/>
          <w:spacing w:val="16"/>
          <w:sz w:val="20"/>
          <w:szCs w:val="20"/>
        </w:rPr>
        <w:t>(三)信息的交流与反馈</w:t>
      </w:r>
    </w:p>
    <w:p w14:paraId="330E7309">
      <w:pPr>
        <w:spacing w:before="147" w:line="350" w:lineRule="auto"/>
        <w:ind w:left="609" w:right="106" w:firstLine="410"/>
        <w:jc w:val="both"/>
        <w:rPr>
          <w:rFonts w:ascii="宋体" w:hAnsi="宋体" w:eastAsia="宋体" w:cs="宋体"/>
          <w:sz w:val="20"/>
          <w:szCs w:val="20"/>
        </w:rPr>
      </w:pPr>
      <w:r>
        <w:rPr>
          <w:rFonts w:ascii="宋体" w:hAnsi="宋体" w:eastAsia="宋体" w:cs="宋体"/>
          <w:spacing w:val="-2"/>
          <w:sz w:val="20"/>
          <w:szCs w:val="20"/>
        </w:rPr>
        <w:t>監测信息可以定期发布，例如：WHO  定期将各方面的监测数据加以整理与分析，编印成《疫情</w:t>
      </w:r>
      <w:r>
        <w:rPr>
          <w:rFonts w:ascii="宋体" w:hAnsi="宋体" w:eastAsia="宋体" w:cs="宋体"/>
          <w:spacing w:val="14"/>
          <w:sz w:val="20"/>
          <w:szCs w:val="20"/>
        </w:rPr>
        <w:t xml:space="preserve"> </w:t>
      </w:r>
      <w:r>
        <w:rPr>
          <w:rFonts w:ascii="宋体" w:hAnsi="宋体" w:eastAsia="宋体" w:cs="宋体"/>
          <w:spacing w:val="1"/>
          <w:sz w:val="20"/>
          <w:szCs w:val="20"/>
        </w:rPr>
        <w:t>周报》</w:t>
      </w:r>
      <w:r>
        <w:rPr>
          <w:rFonts w:ascii="Times New Roman" w:hAnsi="Times New Roman" w:eastAsia="Times New Roman" w:cs="Times New Roman"/>
          <w:spacing w:val="1"/>
          <w:sz w:val="20"/>
          <w:szCs w:val="20"/>
        </w:rPr>
        <w:t>(</w:t>
      </w:r>
      <w:r>
        <w:rPr>
          <w:rFonts w:ascii="Times New Roman" w:hAnsi="Times New Roman" w:eastAsia="Times New Roman" w:cs="Times New Roman"/>
          <w:sz w:val="20"/>
          <w:szCs w:val="20"/>
        </w:rPr>
        <w:t>The</w:t>
      </w:r>
      <w:r>
        <w:rPr>
          <w:rFonts w:ascii="Times New Roman" w:hAnsi="Times New Roman" w:eastAsia="Times New Roman" w:cs="Times New Roman"/>
          <w:spacing w:val="21"/>
          <w:sz w:val="20"/>
          <w:szCs w:val="20"/>
        </w:rPr>
        <w:t xml:space="preserve"> </w:t>
      </w:r>
      <w:r>
        <w:rPr>
          <w:rFonts w:ascii="Times New Roman" w:hAnsi="Times New Roman" w:eastAsia="Times New Roman" w:cs="Times New Roman"/>
          <w:sz w:val="20"/>
          <w:szCs w:val="20"/>
        </w:rPr>
        <w:t>Weddy</w:t>
      </w:r>
      <w:r>
        <w:rPr>
          <w:rFonts w:ascii="Times New Roman" w:hAnsi="Times New Roman" w:eastAsia="Times New Roman" w:cs="Times New Roman"/>
          <w:spacing w:val="18"/>
          <w:w w:val="101"/>
          <w:sz w:val="20"/>
          <w:szCs w:val="20"/>
        </w:rPr>
        <w:t xml:space="preserve"> </w:t>
      </w:r>
      <w:r>
        <w:rPr>
          <w:rFonts w:ascii="Times New Roman" w:hAnsi="Times New Roman" w:eastAsia="Times New Roman" w:cs="Times New Roman"/>
          <w:sz w:val="20"/>
          <w:szCs w:val="20"/>
        </w:rPr>
        <w:t>Epidemiologioaf</w:t>
      </w:r>
      <w:r>
        <w:rPr>
          <w:rFonts w:ascii="Times New Roman" w:hAnsi="Times New Roman" w:eastAsia="Times New Roman" w:cs="Times New Roman"/>
          <w:spacing w:val="1"/>
          <w:sz w:val="20"/>
          <w:szCs w:val="20"/>
        </w:rPr>
        <w:t xml:space="preserve"> </w:t>
      </w:r>
      <w:r>
        <w:rPr>
          <w:rFonts w:ascii="Times New Roman" w:hAnsi="Times New Roman" w:eastAsia="Times New Roman" w:cs="Times New Roman"/>
          <w:sz w:val="20"/>
          <w:szCs w:val="20"/>
        </w:rPr>
        <w:t>Record</w:t>
      </w:r>
      <w:r>
        <w:rPr>
          <w:rFonts w:ascii="Times New Roman" w:hAnsi="Times New Roman" w:eastAsia="Times New Roman" w:cs="Times New Roman"/>
          <w:spacing w:val="1"/>
          <w:sz w:val="20"/>
          <w:szCs w:val="20"/>
        </w:rPr>
        <w:t>,</w:t>
      </w:r>
      <w:r>
        <w:rPr>
          <w:rFonts w:ascii="Times New Roman" w:hAnsi="Times New Roman" w:eastAsia="Times New Roman" w:cs="Times New Roman"/>
          <w:sz w:val="20"/>
          <w:szCs w:val="20"/>
        </w:rPr>
        <w:t>WER</w:t>
      </w:r>
      <w:r>
        <w:rPr>
          <w:rFonts w:ascii="Times New Roman" w:hAnsi="Times New Roman" w:eastAsia="Times New Roman" w:cs="Times New Roman"/>
          <w:spacing w:val="1"/>
          <w:sz w:val="20"/>
          <w:szCs w:val="20"/>
        </w:rPr>
        <w:t>)</w:t>
      </w:r>
      <w:r>
        <w:rPr>
          <w:rFonts w:ascii="宋体" w:hAnsi="宋体" w:eastAsia="宋体" w:cs="宋体"/>
          <w:spacing w:val="1"/>
          <w:sz w:val="20"/>
          <w:szCs w:val="20"/>
        </w:rPr>
        <w:t>和多种刊物向世界各地发放；由中国疾病预防控制</w:t>
      </w:r>
      <w:r>
        <w:rPr>
          <w:rFonts w:ascii="宋体" w:hAnsi="宋体" w:eastAsia="宋体" w:cs="宋体"/>
          <w:sz w:val="20"/>
          <w:szCs w:val="20"/>
        </w:rPr>
        <w:t xml:space="preserve"> </w:t>
      </w:r>
      <w:r>
        <w:rPr>
          <w:rFonts w:ascii="宋体" w:hAnsi="宋体" w:eastAsia="宋体" w:cs="宋体"/>
          <w:spacing w:val="3"/>
          <w:sz w:val="20"/>
          <w:szCs w:val="20"/>
        </w:rPr>
        <w:t xml:space="preserve">中心公开出版发行的期刊《疾病监测》,及时反映全国法定报告传染病的发病和死亡情况及疫情动 </w:t>
      </w:r>
      <w:r>
        <w:rPr>
          <w:rFonts w:ascii="宋体" w:hAnsi="宋体" w:eastAsia="宋体" w:cs="宋体"/>
          <w:spacing w:val="-3"/>
          <w:sz w:val="20"/>
          <w:szCs w:val="20"/>
        </w:rPr>
        <w:t>态，并交流各地疾病监测工作经验，此外，我国</w:t>
      </w:r>
      <w:r>
        <w:rPr>
          <w:rFonts w:ascii="宋体" w:hAnsi="宋体" w:eastAsia="宋体" w:cs="宋体"/>
          <w:spacing w:val="-4"/>
          <w:sz w:val="20"/>
          <w:szCs w:val="20"/>
        </w:rPr>
        <w:t>已有专门的监测日报、周报、月报、年报制度，专业</w:t>
      </w:r>
      <w:r>
        <w:rPr>
          <w:rFonts w:ascii="宋体" w:hAnsi="宋体" w:eastAsia="宋体" w:cs="宋体"/>
          <w:sz w:val="20"/>
          <w:szCs w:val="20"/>
        </w:rPr>
        <w:t xml:space="preserve"> </w:t>
      </w:r>
      <w:r>
        <w:rPr>
          <w:rFonts w:ascii="宋体" w:hAnsi="宋体" w:eastAsia="宋体" w:cs="宋体"/>
          <w:spacing w:val="1"/>
          <w:sz w:val="20"/>
          <w:szCs w:val="20"/>
        </w:rPr>
        <w:t>人员可利用互联网实时获得。</w:t>
      </w:r>
    </w:p>
    <w:p w14:paraId="2CE268E9">
      <w:pPr>
        <w:spacing w:before="9" w:line="343" w:lineRule="auto"/>
        <w:ind w:left="609" w:right="89" w:firstLine="410"/>
        <w:jc w:val="both"/>
        <w:rPr>
          <w:rFonts w:ascii="宋体" w:hAnsi="宋体" w:eastAsia="宋体" w:cs="宋体"/>
          <w:sz w:val="20"/>
          <w:szCs w:val="20"/>
        </w:rPr>
      </w:pPr>
      <w:r>
        <w:rPr>
          <w:rFonts w:ascii="宋体" w:hAnsi="宋体" w:eastAsia="宋体" w:cs="宋体"/>
          <w:spacing w:val="7"/>
          <w:sz w:val="20"/>
          <w:szCs w:val="20"/>
        </w:rPr>
        <w:t>信息反馈是把公共卫生监测和公共卫生干预连接起来</w:t>
      </w:r>
      <w:r>
        <w:rPr>
          <w:rFonts w:ascii="宋体" w:hAnsi="宋体" w:eastAsia="宋体" w:cs="宋体"/>
          <w:spacing w:val="6"/>
          <w:sz w:val="20"/>
          <w:szCs w:val="20"/>
        </w:rPr>
        <w:t>的桥梁。监测系统必须建立有效的信息</w:t>
      </w:r>
      <w:r>
        <w:rPr>
          <w:rFonts w:ascii="宋体" w:hAnsi="宋体" w:eastAsia="宋体" w:cs="宋体"/>
          <w:sz w:val="20"/>
          <w:szCs w:val="20"/>
        </w:rPr>
        <w:t xml:space="preserve"> </w:t>
      </w:r>
      <w:r>
        <w:rPr>
          <w:rFonts w:ascii="宋体" w:hAnsi="宋体" w:eastAsia="宋体" w:cs="宋体"/>
          <w:spacing w:val="1"/>
          <w:sz w:val="20"/>
          <w:szCs w:val="20"/>
        </w:rPr>
        <w:t>反馈渠道，使所有应该了解信息的单位和个人能够及时获得信息，从而迅速应对公共卫生问题。信</w:t>
      </w:r>
      <w:r>
        <w:rPr>
          <w:rFonts w:ascii="宋体" w:hAnsi="宋体" w:eastAsia="宋体" w:cs="宋体"/>
          <w:spacing w:val="10"/>
          <w:sz w:val="20"/>
          <w:szCs w:val="20"/>
        </w:rPr>
        <w:t xml:space="preserve"> </w:t>
      </w:r>
      <w:r>
        <w:rPr>
          <w:rFonts w:ascii="宋体" w:hAnsi="宋体" w:eastAsia="宋体" w:cs="宋体"/>
          <w:spacing w:val="6"/>
          <w:sz w:val="20"/>
          <w:szCs w:val="20"/>
        </w:rPr>
        <w:t>息反馈分为纵向和横向两个维度。纵向反馈包括向上反馈给卫生行政部门及其领导，向下反馈给</w:t>
      </w:r>
      <w:r>
        <w:rPr>
          <w:rFonts w:ascii="宋体" w:hAnsi="宋体" w:eastAsia="宋体" w:cs="宋体"/>
          <w:spacing w:val="15"/>
          <w:sz w:val="20"/>
          <w:szCs w:val="20"/>
        </w:rPr>
        <w:t xml:space="preserve"> </w:t>
      </w:r>
      <w:r>
        <w:rPr>
          <w:rFonts w:ascii="宋体" w:hAnsi="宋体" w:eastAsia="宋体" w:cs="宋体"/>
          <w:spacing w:val="1"/>
          <w:sz w:val="20"/>
          <w:szCs w:val="20"/>
        </w:rPr>
        <w:t>下级监测机构及其工作人员；横向反馈包括反馈给有关的医疗卫生机构及其专家，以及反馈给相关</w:t>
      </w:r>
      <w:r>
        <w:rPr>
          <w:rFonts w:ascii="宋体" w:hAnsi="宋体" w:eastAsia="宋体" w:cs="宋体"/>
          <w:spacing w:val="5"/>
          <w:sz w:val="20"/>
          <w:szCs w:val="20"/>
        </w:rPr>
        <w:t xml:space="preserve"> </w:t>
      </w:r>
      <w:r>
        <w:rPr>
          <w:rFonts w:ascii="宋体" w:hAnsi="宋体" w:eastAsia="宋体" w:cs="宋体"/>
          <w:spacing w:val="1"/>
          <w:sz w:val="20"/>
          <w:szCs w:val="20"/>
        </w:rPr>
        <w:t>社区及其居民：信息反馈的内容及方式应视对象不同而异。</w:t>
      </w:r>
    </w:p>
    <w:p w14:paraId="6C7963D9">
      <w:pPr>
        <w:pStyle w:val="2"/>
        <w:spacing w:before="41" w:line="222" w:lineRule="auto"/>
        <w:ind w:left="1022"/>
        <w:rPr>
          <w:sz w:val="20"/>
          <w:szCs w:val="20"/>
        </w:rPr>
      </w:pPr>
      <w:r>
        <w:rPr>
          <w:b/>
          <w:bCs/>
          <w:spacing w:val="21"/>
          <w:sz w:val="20"/>
          <w:szCs w:val="20"/>
        </w:rPr>
        <w:t>(四)信息的利用</w:t>
      </w:r>
    </w:p>
    <w:p w14:paraId="2EA0D50A">
      <w:pPr>
        <w:spacing w:before="132" w:line="343" w:lineRule="auto"/>
        <w:ind w:left="609" w:right="94" w:firstLine="410"/>
        <w:jc w:val="both"/>
        <w:rPr>
          <w:rFonts w:ascii="宋体" w:hAnsi="宋体" w:eastAsia="宋体" w:cs="宋体"/>
          <w:sz w:val="20"/>
          <w:szCs w:val="20"/>
        </w:rPr>
      </w:pPr>
      <w:r>
        <w:rPr>
          <w:rFonts w:ascii="宋体" w:hAnsi="宋体" w:eastAsia="宋体" w:cs="宋体"/>
          <w:spacing w:val="1"/>
          <w:sz w:val="20"/>
          <w:szCs w:val="20"/>
        </w:rPr>
        <w:t>通过监测获得的信息可以用来描述公共卫生问题的分布特征、确定流行的存在、预测流行的趋</w:t>
      </w:r>
      <w:r>
        <w:rPr>
          <w:rFonts w:ascii="宋体" w:hAnsi="宋体" w:eastAsia="宋体" w:cs="宋体"/>
          <w:spacing w:val="15"/>
          <w:sz w:val="20"/>
          <w:szCs w:val="20"/>
        </w:rPr>
        <w:t xml:space="preserve"> </w:t>
      </w:r>
      <w:r>
        <w:rPr>
          <w:rFonts w:ascii="宋体" w:hAnsi="宋体" w:eastAsia="宋体" w:cs="宋体"/>
          <w:spacing w:val="2"/>
          <w:sz w:val="20"/>
          <w:szCs w:val="20"/>
        </w:rPr>
        <w:t>势、评价于预的效果，为开展公共卫生活动提供决策依据</w:t>
      </w:r>
      <w:r>
        <w:rPr>
          <w:rFonts w:ascii="宋体" w:hAnsi="宋体" w:eastAsia="宋体" w:cs="宋体"/>
          <w:spacing w:val="1"/>
          <w:sz w:val="20"/>
          <w:szCs w:val="20"/>
        </w:rPr>
        <w:t>。充分利用监测信息，及时制定公共卫生</w:t>
      </w:r>
      <w:r>
        <w:rPr>
          <w:rFonts w:ascii="宋体" w:hAnsi="宋体" w:eastAsia="宋体" w:cs="宋体"/>
          <w:sz w:val="20"/>
          <w:szCs w:val="20"/>
        </w:rPr>
        <w:t xml:space="preserve"> </w:t>
      </w:r>
      <w:r>
        <w:rPr>
          <w:rFonts w:ascii="宋体" w:hAnsi="宋体" w:eastAsia="宋体" w:cs="宋体"/>
          <w:spacing w:val="-6"/>
          <w:sz w:val="20"/>
          <w:szCs w:val="20"/>
        </w:rPr>
        <w:t>策略，并采取有效的干预措施，是公共卫生监测的最终目的。</w:t>
      </w:r>
    </w:p>
    <w:p w14:paraId="76AB4063">
      <w:pPr>
        <w:pStyle w:val="2"/>
        <w:spacing w:before="232" w:line="221" w:lineRule="auto"/>
        <w:ind w:left="1022"/>
        <w:outlineLvl w:val="3"/>
        <w:rPr>
          <w:sz w:val="20"/>
          <w:szCs w:val="20"/>
        </w:rPr>
      </w:pPr>
      <w:bookmarkStart w:id="295" w:name="bookmark188"/>
      <w:bookmarkEnd w:id="295"/>
      <w:r>
        <w:rPr>
          <w:b/>
          <w:bCs/>
          <w:spacing w:val="30"/>
          <w:sz w:val="20"/>
          <w:szCs w:val="20"/>
        </w:rPr>
        <w:t>三</w:t>
      </w:r>
      <w:r>
        <w:rPr>
          <w:spacing w:val="30"/>
          <w:sz w:val="20"/>
          <w:szCs w:val="20"/>
        </w:rPr>
        <w:t xml:space="preserve"> </w:t>
      </w:r>
      <w:r>
        <w:rPr>
          <w:b/>
          <w:bCs/>
          <w:spacing w:val="30"/>
          <w:sz w:val="20"/>
          <w:szCs w:val="20"/>
        </w:rPr>
        <w:t>、公共卫生监测系统的评价</w:t>
      </w:r>
    </w:p>
    <w:p w14:paraId="2EB8750D">
      <w:pPr>
        <w:spacing w:before="303" w:line="342" w:lineRule="auto"/>
        <w:ind w:left="609" w:right="115" w:firstLine="410"/>
        <w:rPr>
          <w:rFonts w:ascii="宋体" w:hAnsi="宋体" w:eastAsia="宋体" w:cs="宋体"/>
          <w:sz w:val="20"/>
          <w:szCs w:val="20"/>
        </w:rPr>
      </w:pPr>
      <w:r>
        <w:rPr>
          <w:rFonts w:ascii="宋体" w:hAnsi="宋体" w:eastAsia="宋体" w:cs="宋体"/>
          <w:spacing w:val="1"/>
          <w:sz w:val="20"/>
          <w:szCs w:val="20"/>
        </w:rPr>
        <w:t>为了提升公共卫生监测系统的有效性，更好地为公共卫生活动服务，需要定期评价公</w:t>
      </w:r>
      <w:r>
        <w:rPr>
          <w:rFonts w:ascii="宋体" w:hAnsi="宋体" w:eastAsia="宋体" w:cs="宋体"/>
          <w:sz w:val="20"/>
          <w:szCs w:val="20"/>
        </w:rPr>
        <w:t xml:space="preserve">共卫生监 </w:t>
      </w:r>
      <w:r>
        <w:rPr>
          <w:rFonts w:ascii="宋体" w:hAnsi="宋体" w:eastAsia="宋体" w:cs="宋体"/>
          <w:spacing w:val="-3"/>
          <w:sz w:val="20"/>
          <w:szCs w:val="20"/>
        </w:rPr>
        <w:t>测系统的质量与效益，以进一步改进和完善监测系统。</w:t>
      </w:r>
    </w:p>
    <w:p w14:paraId="6EAE3073">
      <w:pPr>
        <w:spacing w:before="1" w:line="341" w:lineRule="auto"/>
        <w:ind w:left="609" w:right="65" w:firstLine="410"/>
        <w:jc w:val="both"/>
        <w:rPr>
          <w:rFonts w:ascii="宋体" w:hAnsi="宋体" w:eastAsia="宋体" w:cs="宋体"/>
          <w:sz w:val="20"/>
          <w:szCs w:val="20"/>
        </w:rPr>
      </w:pPr>
      <w:r>
        <w:rPr>
          <w:rFonts w:ascii="宋体" w:hAnsi="宋体" w:eastAsia="宋体" w:cs="宋体"/>
          <w:spacing w:val="2"/>
          <w:sz w:val="20"/>
          <w:szCs w:val="20"/>
        </w:rPr>
        <w:t>监测系统的质量评价包括完整性、精准性、时效性和系统性四个要素。监测系统的效益评价则</w:t>
      </w:r>
      <w:r>
        <w:rPr>
          <w:rFonts w:ascii="宋体" w:hAnsi="宋体" w:eastAsia="宋体" w:cs="宋体"/>
          <w:spacing w:val="5"/>
          <w:sz w:val="20"/>
          <w:szCs w:val="20"/>
        </w:rPr>
        <w:t xml:space="preserve"> </w:t>
      </w:r>
      <w:r>
        <w:rPr>
          <w:rFonts w:ascii="宋体" w:hAnsi="宋体" w:eastAsia="宋体" w:cs="宋体"/>
          <w:spacing w:val="4"/>
          <w:sz w:val="20"/>
          <w:szCs w:val="20"/>
        </w:rPr>
        <w:t>包括卫生经济学的成本-效益、成本-效用与成本-效果分析，阳性预测值、可接</w:t>
      </w:r>
      <w:r>
        <w:rPr>
          <w:rFonts w:ascii="宋体" w:hAnsi="宋体" w:eastAsia="宋体" w:cs="宋体"/>
          <w:spacing w:val="3"/>
          <w:sz w:val="20"/>
          <w:szCs w:val="20"/>
        </w:rPr>
        <w:t>受性以及监测系统</w:t>
      </w:r>
      <w:r>
        <w:rPr>
          <w:rFonts w:ascii="宋体" w:hAnsi="宋体" w:eastAsia="宋体" w:cs="宋体"/>
          <w:sz w:val="20"/>
          <w:szCs w:val="20"/>
        </w:rPr>
        <w:t xml:space="preserve"> </w:t>
      </w:r>
      <w:r>
        <w:rPr>
          <w:rFonts w:ascii="宋体" w:hAnsi="宋体" w:eastAsia="宋体" w:cs="宋体"/>
          <w:spacing w:val="-2"/>
          <w:sz w:val="20"/>
          <w:szCs w:val="20"/>
        </w:rPr>
        <w:t>间的互联与共享功能等指标。</w:t>
      </w:r>
    </w:p>
    <w:p w14:paraId="26D63BB2">
      <w:pPr>
        <w:pStyle w:val="2"/>
        <w:spacing w:line="221" w:lineRule="auto"/>
        <w:jc w:val="right"/>
        <w:rPr>
          <w:sz w:val="24"/>
          <w:szCs w:val="24"/>
        </w:rPr>
      </w:pPr>
      <w:r>
        <w:rPr>
          <w:b/>
          <w:bCs/>
          <w:spacing w:val="20"/>
          <w:sz w:val="24"/>
          <w:szCs w:val="24"/>
        </w:rPr>
        <w:t>(王蓓)</w:t>
      </w:r>
    </w:p>
    <w:p w14:paraId="02DC61DE">
      <w:pPr>
        <w:spacing w:line="221" w:lineRule="auto"/>
        <w:rPr>
          <w:sz w:val="24"/>
          <w:szCs w:val="24"/>
        </w:rPr>
        <w:sectPr>
          <w:footerReference r:id="rId199" w:type="default"/>
          <w:pgSz w:w="11900" w:h="16820"/>
          <w:pgMar w:top="400" w:right="1556" w:bottom="709" w:left="969" w:header="0" w:footer="529" w:gutter="0"/>
          <w:cols w:space="720" w:num="1"/>
        </w:sectPr>
      </w:pPr>
    </w:p>
    <w:p w14:paraId="40BBF032">
      <w:pPr>
        <w:spacing w:line="322" w:lineRule="auto"/>
        <w:rPr>
          <w:rFonts w:ascii="Arial"/>
          <w:sz w:val="21"/>
        </w:rPr>
      </w:pPr>
    </w:p>
    <w:p w14:paraId="6CBB05B6">
      <w:pPr>
        <w:pStyle w:val="2"/>
        <w:spacing w:before="59" w:line="219" w:lineRule="auto"/>
        <w:ind w:left="6826"/>
        <w:rPr>
          <w:sz w:val="18"/>
          <w:szCs w:val="18"/>
        </w:rPr>
      </w:pPr>
      <w:r>
        <w:rPr>
          <w:spacing w:val="1"/>
          <w:sz w:val="18"/>
          <w:szCs w:val="18"/>
        </w:rPr>
        <w:t>婴今莺</w:t>
      </w:r>
      <w:r>
        <w:rPr>
          <w:spacing w:val="22"/>
          <w:sz w:val="18"/>
          <w:szCs w:val="18"/>
        </w:rPr>
        <w:t xml:space="preserve"> </w:t>
      </w:r>
      <w:r>
        <w:rPr>
          <w:spacing w:val="1"/>
          <w:sz w:val="18"/>
          <w:szCs w:val="18"/>
        </w:rPr>
        <w:t>分类卫生建勋</w:t>
      </w:r>
    </w:p>
    <w:p w14:paraId="0EB063B8">
      <w:pPr>
        <w:spacing w:line="257" w:lineRule="auto"/>
        <w:rPr>
          <w:rFonts w:ascii="Arial"/>
          <w:sz w:val="21"/>
        </w:rPr>
      </w:pPr>
    </w:p>
    <w:p w14:paraId="65BF2DEE">
      <w:pPr>
        <w:spacing w:line="257" w:lineRule="auto"/>
        <w:rPr>
          <w:rFonts w:ascii="Arial"/>
          <w:sz w:val="21"/>
        </w:rPr>
      </w:pPr>
    </w:p>
    <w:p w14:paraId="449CE9F1">
      <w:pPr>
        <w:spacing w:line="257" w:lineRule="auto"/>
        <w:rPr>
          <w:rFonts w:ascii="Arial"/>
          <w:sz w:val="21"/>
        </w:rPr>
      </w:pPr>
    </w:p>
    <w:p w14:paraId="7C6B82B8">
      <w:pPr>
        <w:spacing w:line="258" w:lineRule="auto"/>
        <w:rPr>
          <w:rFonts w:ascii="Arial"/>
          <w:sz w:val="21"/>
        </w:rPr>
      </w:pPr>
    </w:p>
    <w:p w14:paraId="4091A18E">
      <w:pPr>
        <w:pStyle w:val="2"/>
        <w:spacing w:before="84" w:line="222" w:lineRule="auto"/>
        <w:rPr>
          <w:sz w:val="26"/>
          <w:szCs w:val="26"/>
        </w:rPr>
      </w:pPr>
      <w:bookmarkStart w:id="296" w:name="bookmark500"/>
      <w:bookmarkEnd w:id="296"/>
      <w:r>
        <w:rPr>
          <w:b/>
          <w:bCs/>
          <w:spacing w:val="-5"/>
          <w:sz w:val="26"/>
          <w:szCs w:val="26"/>
        </w:rPr>
        <w:t>思考题</w:t>
      </w:r>
    </w:p>
    <w:p w14:paraId="5C236A43">
      <w:pPr>
        <w:spacing w:before="79" w:line="219" w:lineRule="auto"/>
        <w:ind w:left="826"/>
        <w:rPr>
          <w:rFonts w:ascii="宋体" w:hAnsi="宋体" w:eastAsia="宋体" w:cs="宋体"/>
          <w:sz w:val="21"/>
          <w:szCs w:val="21"/>
        </w:rPr>
      </w:pPr>
      <w:r>
        <w:rPr>
          <w:rFonts w:ascii="宋体" w:hAnsi="宋体" w:eastAsia="宋体" w:cs="宋体"/>
          <w:spacing w:val="6"/>
          <w:sz w:val="21"/>
          <w:szCs w:val="21"/>
        </w:rPr>
        <w:t>1.</w:t>
      </w:r>
      <w:r>
        <w:rPr>
          <w:rFonts w:ascii="宋体" w:hAnsi="宋体" w:eastAsia="宋体" w:cs="宋体"/>
          <w:spacing w:val="-43"/>
          <w:sz w:val="21"/>
          <w:szCs w:val="21"/>
        </w:rPr>
        <w:t xml:space="preserve"> </w:t>
      </w:r>
      <w:r>
        <w:rPr>
          <w:rFonts w:ascii="宋体" w:hAnsi="宋体" w:eastAsia="宋体" w:cs="宋体"/>
          <w:spacing w:val="6"/>
          <w:sz w:val="21"/>
          <w:szCs w:val="21"/>
        </w:rPr>
        <w:t>什么是公共卫生监测?</w:t>
      </w:r>
    </w:p>
    <w:p w14:paraId="2A7A2FED">
      <w:pPr>
        <w:spacing w:before="149" w:line="219" w:lineRule="auto"/>
        <w:ind w:left="796"/>
        <w:rPr>
          <w:rFonts w:ascii="宋体" w:hAnsi="宋体" w:eastAsia="宋体" w:cs="宋体"/>
          <w:sz w:val="21"/>
          <w:szCs w:val="21"/>
        </w:rPr>
      </w:pPr>
      <w:r>
        <w:rPr>
          <w:rFonts w:ascii="宋体" w:hAnsi="宋体" w:eastAsia="宋体" w:cs="宋体"/>
          <w:spacing w:val="-4"/>
          <w:sz w:val="21"/>
          <w:szCs w:val="21"/>
        </w:rPr>
        <w:t>2.</w:t>
      </w:r>
      <w:r>
        <w:rPr>
          <w:rFonts w:ascii="宋体" w:hAnsi="宋体" w:eastAsia="宋体" w:cs="宋体"/>
          <w:spacing w:val="-19"/>
          <w:sz w:val="21"/>
          <w:szCs w:val="21"/>
        </w:rPr>
        <w:t xml:space="preserve"> </w:t>
      </w:r>
      <w:r>
        <w:rPr>
          <w:rFonts w:ascii="宋体" w:hAnsi="宋体" w:eastAsia="宋体" w:cs="宋体"/>
          <w:spacing w:val="-4"/>
          <w:sz w:val="21"/>
          <w:szCs w:val="21"/>
        </w:rPr>
        <w:t>简述公</w:t>
      </w:r>
      <w:r>
        <w:rPr>
          <w:rFonts w:ascii="宋体" w:hAnsi="宋体" w:eastAsia="宋体" w:cs="宋体"/>
          <w:spacing w:val="-4"/>
          <w:sz w:val="21"/>
          <w:szCs w:val="21"/>
          <w:u w:val="single" w:color="auto"/>
        </w:rPr>
        <w:t>共卫生监</w:t>
      </w:r>
      <w:r>
        <w:rPr>
          <w:rFonts w:ascii="宋体" w:hAnsi="宋体" w:eastAsia="宋体" w:cs="宋体"/>
          <w:spacing w:val="-4"/>
          <w:sz w:val="21"/>
          <w:szCs w:val="21"/>
        </w:rPr>
        <w:t>测的舀的，意炎友具主要内容。</w:t>
      </w:r>
    </w:p>
    <w:p w14:paraId="14895107">
      <w:pPr>
        <w:spacing w:before="112" w:line="219" w:lineRule="auto"/>
        <w:ind w:left="796"/>
        <w:rPr>
          <w:rFonts w:ascii="宋体" w:hAnsi="宋体" w:eastAsia="宋体" w:cs="宋体"/>
          <w:sz w:val="21"/>
          <w:szCs w:val="21"/>
        </w:rPr>
      </w:pPr>
      <w:r>
        <w:rPr>
          <w:rFonts w:ascii="宋体" w:hAnsi="宋体" w:eastAsia="宋体" w:cs="宋体"/>
          <w:spacing w:val="-2"/>
          <w:sz w:val="21"/>
          <w:szCs w:val="21"/>
        </w:rPr>
        <w:t>3.</w:t>
      </w:r>
      <w:r>
        <w:rPr>
          <w:rFonts w:ascii="宋体" w:hAnsi="宋体" w:eastAsia="宋体" w:cs="宋体"/>
          <w:spacing w:val="-29"/>
          <w:sz w:val="21"/>
          <w:szCs w:val="21"/>
        </w:rPr>
        <w:t xml:space="preserve"> </w:t>
      </w:r>
      <w:r>
        <w:rPr>
          <w:rFonts w:ascii="宋体" w:hAnsi="宋体" w:eastAsia="宋体" w:cs="宋体"/>
          <w:spacing w:val="-2"/>
          <w:sz w:val="21"/>
          <w:szCs w:val="21"/>
        </w:rPr>
        <w:t>公共卫生监测的种类、方式及方法有哪些?</w:t>
      </w:r>
    </w:p>
    <w:p w14:paraId="5DAF2F2B">
      <w:pPr>
        <w:spacing w:line="219" w:lineRule="auto"/>
        <w:rPr>
          <w:rFonts w:ascii="宋体" w:hAnsi="宋体" w:eastAsia="宋体" w:cs="宋体"/>
          <w:sz w:val="21"/>
          <w:szCs w:val="21"/>
        </w:rPr>
        <w:sectPr>
          <w:footerReference r:id="rId200" w:type="default"/>
          <w:pgSz w:w="11900" w:h="16820"/>
          <w:pgMar w:top="400" w:right="1561" w:bottom="785" w:left="1153" w:header="0" w:footer="623" w:gutter="0"/>
          <w:cols w:space="720" w:num="1"/>
        </w:sectPr>
      </w:pPr>
    </w:p>
    <w:p w14:paraId="37040FA9">
      <w:pPr>
        <w:spacing w:line="254" w:lineRule="auto"/>
        <w:rPr>
          <w:rFonts w:ascii="Arial"/>
          <w:sz w:val="21"/>
        </w:rPr>
      </w:pPr>
    </w:p>
    <w:p w14:paraId="2AD9D41E">
      <w:pPr>
        <w:spacing w:line="254" w:lineRule="auto"/>
        <w:rPr>
          <w:rFonts w:ascii="Arial"/>
          <w:sz w:val="21"/>
        </w:rPr>
      </w:pPr>
    </w:p>
    <w:p w14:paraId="00848AE3">
      <w:pPr>
        <w:spacing w:line="255" w:lineRule="auto"/>
        <w:rPr>
          <w:rFonts w:ascii="Arial"/>
          <w:sz w:val="21"/>
        </w:rPr>
      </w:pPr>
    </w:p>
    <w:p w14:paraId="6A5EDADA">
      <w:pPr>
        <w:spacing w:line="255" w:lineRule="auto"/>
        <w:rPr>
          <w:rFonts w:ascii="Arial"/>
          <w:sz w:val="21"/>
        </w:rPr>
      </w:pPr>
      <w:r>
        <w:drawing>
          <wp:anchor distT="0" distB="0" distL="0" distR="0" simplePos="0" relativeHeight="251843584" behindDoc="0" locked="0" layoutInCell="1" allowOverlap="1">
            <wp:simplePos x="0" y="0"/>
            <wp:positionH relativeFrom="column">
              <wp:posOffset>107950</wp:posOffset>
            </wp:positionH>
            <wp:positionV relativeFrom="paragraph">
              <wp:posOffset>178435</wp:posOffset>
            </wp:positionV>
            <wp:extent cx="844550" cy="1009650"/>
            <wp:effectExtent l="0" t="0" r="0" b="0"/>
            <wp:wrapNone/>
            <wp:docPr id="568" name="IM 568"/>
            <wp:cNvGraphicFramePr/>
            <a:graphic xmlns:a="http://schemas.openxmlformats.org/drawingml/2006/main">
              <a:graphicData uri="http://schemas.openxmlformats.org/drawingml/2006/picture">
                <pic:pic xmlns:pic="http://schemas.openxmlformats.org/drawingml/2006/picture">
                  <pic:nvPicPr>
                    <pic:cNvPr id="568" name="IM 568"/>
                    <pic:cNvPicPr/>
                  </pic:nvPicPr>
                  <pic:blipFill>
                    <a:blip r:embed="rId626"/>
                    <a:stretch>
                      <a:fillRect/>
                    </a:stretch>
                  </pic:blipFill>
                  <pic:spPr>
                    <a:xfrm>
                      <a:off x="0" y="0"/>
                      <a:ext cx="844514" cy="1009644"/>
                    </a:xfrm>
                    <a:prstGeom prst="rect">
                      <a:avLst/>
                    </a:prstGeom>
                  </pic:spPr>
                </pic:pic>
              </a:graphicData>
            </a:graphic>
          </wp:anchor>
        </w:drawing>
      </w:r>
    </w:p>
    <w:p w14:paraId="23B7F414">
      <w:pPr>
        <w:pStyle w:val="2"/>
        <w:spacing w:before="91" w:line="222" w:lineRule="auto"/>
        <w:ind w:left="4404"/>
        <w:outlineLvl w:val="0"/>
        <w:rPr>
          <w:sz w:val="28"/>
          <w:szCs w:val="28"/>
        </w:rPr>
      </w:pPr>
      <w:bookmarkStart w:id="297" w:name="bookmark189"/>
      <w:bookmarkEnd w:id="297"/>
      <w:r>
        <w:rPr>
          <w:b/>
          <w:bCs/>
          <w:sz w:val="28"/>
          <w:szCs w:val="28"/>
        </w:rPr>
        <w:t>第十一章</w:t>
      </w:r>
    </w:p>
    <w:p w14:paraId="73EDC3FE">
      <w:pPr>
        <w:pStyle w:val="2"/>
        <w:spacing w:before="135" w:line="221" w:lineRule="auto"/>
        <w:ind w:left="3496"/>
        <w:outlineLvl w:val="0"/>
        <w:rPr>
          <w:sz w:val="43"/>
          <w:szCs w:val="43"/>
        </w:rPr>
      </w:pPr>
      <w:bookmarkStart w:id="298" w:name="bookmark189"/>
      <w:bookmarkEnd w:id="298"/>
      <w:bookmarkStart w:id="299" w:name="bookmark501"/>
      <w:bookmarkEnd w:id="299"/>
      <w:r>
        <w:rPr>
          <w:b/>
          <w:bCs/>
          <w:spacing w:val="-2"/>
          <w:sz w:val="43"/>
          <w:szCs w:val="43"/>
        </w:rPr>
        <w:t>传染病流行病学</w:t>
      </w:r>
    </w:p>
    <w:p w14:paraId="71DA18F9">
      <w:pPr>
        <w:spacing w:line="351" w:lineRule="auto"/>
        <w:rPr>
          <w:rFonts w:ascii="Arial"/>
          <w:sz w:val="21"/>
        </w:rPr>
      </w:pPr>
    </w:p>
    <w:p w14:paraId="512DC358">
      <w:pPr>
        <w:spacing w:line="352" w:lineRule="auto"/>
        <w:rPr>
          <w:rFonts w:ascii="Arial"/>
          <w:sz w:val="21"/>
        </w:rPr>
      </w:pPr>
    </w:p>
    <w:p w14:paraId="5E618F78">
      <w:pPr>
        <w:spacing w:before="80" w:line="382" w:lineRule="exact"/>
        <w:ind w:left="2080"/>
        <w:rPr>
          <w:rFonts w:ascii="Arial" w:hAnsi="Arial" w:eastAsia="Arial" w:cs="Arial"/>
          <w:sz w:val="28"/>
          <w:szCs w:val="28"/>
        </w:rPr>
      </w:pPr>
      <w:r>
        <w:rPr>
          <w:rFonts w:ascii="Arial" w:hAnsi="Arial" w:eastAsia="Arial" w:cs="Arial"/>
          <w:spacing w:val="-2"/>
          <w:position w:val="4"/>
          <w:sz w:val="28"/>
          <w:szCs w:val="28"/>
        </w:rPr>
        <w:t>Chapter  11</w:t>
      </w:r>
      <w:r>
        <w:rPr>
          <w:rFonts w:ascii="Arial" w:hAnsi="Arial" w:eastAsia="Arial" w:cs="Arial"/>
          <w:spacing w:val="14"/>
          <w:position w:val="4"/>
          <w:sz w:val="28"/>
          <w:szCs w:val="28"/>
        </w:rPr>
        <w:t xml:space="preserve">  </w:t>
      </w:r>
      <w:r>
        <w:rPr>
          <w:rFonts w:ascii="Arial" w:hAnsi="Arial" w:eastAsia="Arial" w:cs="Arial"/>
          <w:spacing w:val="-2"/>
          <w:position w:val="4"/>
          <w:sz w:val="28"/>
          <w:szCs w:val="28"/>
        </w:rPr>
        <w:t>Infectious</w:t>
      </w:r>
      <w:r>
        <w:rPr>
          <w:rFonts w:ascii="Arial" w:hAnsi="Arial" w:eastAsia="Arial" w:cs="Arial"/>
          <w:spacing w:val="12"/>
          <w:position w:val="4"/>
          <w:sz w:val="28"/>
          <w:szCs w:val="28"/>
        </w:rPr>
        <w:t xml:space="preserve">  </w:t>
      </w:r>
      <w:r>
        <w:rPr>
          <w:rFonts w:ascii="Arial" w:hAnsi="Arial" w:eastAsia="Arial" w:cs="Arial"/>
          <w:spacing w:val="-2"/>
          <w:position w:val="4"/>
          <w:sz w:val="28"/>
          <w:szCs w:val="28"/>
        </w:rPr>
        <w:t>Disease</w:t>
      </w:r>
      <w:r>
        <w:rPr>
          <w:rFonts w:ascii="Arial" w:hAnsi="Arial" w:eastAsia="Arial" w:cs="Arial"/>
          <w:spacing w:val="12"/>
          <w:position w:val="4"/>
          <w:sz w:val="28"/>
          <w:szCs w:val="28"/>
        </w:rPr>
        <w:t xml:space="preserve">  </w:t>
      </w:r>
      <w:r>
        <w:rPr>
          <w:rFonts w:ascii="Arial" w:hAnsi="Arial" w:eastAsia="Arial" w:cs="Arial"/>
          <w:spacing w:val="-2"/>
          <w:position w:val="4"/>
          <w:sz w:val="28"/>
          <w:szCs w:val="28"/>
        </w:rPr>
        <w:t>Epidemio</w:t>
      </w:r>
      <w:r>
        <w:rPr>
          <w:rFonts w:ascii="Arial" w:hAnsi="Arial" w:eastAsia="Arial" w:cs="Arial"/>
          <w:spacing w:val="-3"/>
          <w:position w:val="4"/>
          <w:sz w:val="28"/>
          <w:szCs w:val="28"/>
        </w:rPr>
        <w:t>logy</w:t>
      </w:r>
    </w:p>
    <w:p w14:paraId="2E50A654">
      <w:pPr>
        <w:spacing w:line="395" w:lineRule="auto"/>
        <w:rPr>
          <w:rFonts w:ascii="Arial"/>
          <w:sz w:val="21"/>
        </w:rPr>
      </w:pPr>
    </w:p>
    <w:p w14:paraId="264A21E6">
      <w:pPr>
        <w:spacing w:before="57" w:line="371" w:lineRule="auto"/>
        <w:ind w:left="619" w:right="74" w:firstLine="410"/>
        <w:jc w:val="both"/>
        <w:rPr>
          <w:rFonts w:ascii="Times New Roman" w:hAnsi="Times New Roman" w:eastAsia="Times New Roman" w:cs="Times New Roman"/>
          <w:sz w:val="20"/>
          <w:szCs w:val="20"/>
        </w:rPr>
      </w:pPr>
      <w:r>
        <w:rPr>
          <w:rFonts w:ascii="Times New Roman" w:hAnsi="Times New Roman" w:eastAsia="Times New Roman" w:cs="Times New Roman"/>
          <w:sz w:val="20"/>
          <w:szCs w:val="20"/>
        </w:rPr>
        <w:t>Infectious</w:t>
      </w:r>
      <w:r>
        <w:rPr>
          <w:rFonts w:ascii="Times New Roman" w:hAnsi="Times New Roman" w:eastAsia="Times New Roman" w:cs="Times New Roman"/>
          <w:spacing w:val="17"/>
          <w:w w:val="101"/>
          <w:sz w:val="20"/>
          <w:szCs w:val="20"/>
        </w:rPr>
        <w:t xml:space="preserve"> </w:t>
      </w:r>
      <w:r>
        <w:rPr>
          <w:rFonts w:ascii="Times New Roman" w:hAnsi="Times New Roman" w:eastAsia="Times New Roman" w:cs="Times New Roman"/>
          <w:sz w:val="20"/>
          <w:szCs w:val="20"/>
        </w:rPr>
        <w:t>diseases result</w:t>
      </w:r>
      <w:r>
        <w:rPr>
          <w:rFonts w:ascii="Times New Roman" w:hAnsi="Times New Roman" w:eastAsia="Times New Roman" w:cs="Times New Roman"/>
          <w:spacing w:val="17"/>
          <w:w w:val="101"/>
          <w:sz w:val="20"/>
          <w:szCs w:val="20"/>
        </w:rPr>
        <w:t xml:space="preserve"> </w:t>
      </w:r>
      <w:r>
        <w:rPr>
          <w:rFonts w:ascii="Times New Roman" w:hAnsi="Times New Roman" w:eastAsia="Times New Roman" w:cs="Times New Roman"/>
          <w:sz w:val="20"/>
          <w:szCs w:val="20"/>
        </w:rPr>
        <w:t>from human</w:t>
      </w:r>
      <w:r>
        <w:rPr>
          <w:rFonts w:ascii="Times New Roman" w:hAnsi="Times New Roman" w:eastAsia="Times New Roman" w:cs="Times New Roman"/>
          <w:spacing w:val="18"/>
          <w:sz w:val="20"/>
          <w:szCs w:val="20"/>
        </w:rPr>
        <w:t xml:space="preserve"> </w:t>
      </w:r>
      <w:r>
        <w:rPr>
          <w:rFonts w:ascii="Times New Roman" w:hAnsi="Times New Roman" w:eastAsia="Times New Roman" w:cs="Times New Roman"/>
          <w:sz w:val="20"/>
          <w:szCs w:val="20"/>
        </w:rPr>
        <w:t>exposure</w:t>
      </w:r>
      <w:r>
        <w:rPr>
          <w:rFonts w:ascii="Times New Roman" w:hAnsi="Times New Roman" w:eastAsia="Times New Roman" w:cs="Times New Roman"/>
          <w:spacing w:val="12"/>
          <w:sz w:val="20"/>
          <w:szCs w:val="20"/>
        </w:rPr>
        <w:t xml:space="preserve"> </w:t>
      </w:r>
      <w:r>
        <w:rPr>
          <w:rFonts w:ascii="Times New Roman" w:hAnsi="Times New Roman" w:eastAsia="Times New Roman" w:cs="Times New Roman"/>
          <w:sz w:val="20"/>
          <w:szCs w:val="20"/>
        </w:rPr>
        <w:t>to</w:t>
      </w:r>
      <w:r>
        <w:rPr>
          <w:rFonts w:ascii="Times New Roman" w:hAnsi="Times New Roman" w:eastAsia="Times New Roman" w:cs="Times New Roman"/>
          <w:spacing w:val="18"/>
          <w:sz w:val="20"/>
          <w:szCs w:val="20"/>
        </w:rPr>
        <w:t xml:space="preserve"> </w:t>
      </w:r>
      <w:r>
        <w:rPr>
          <w:rFonts w:ascii="Times New Roman" w:hAnsi="Times New Roman" w:eastAsia="Times New Roman" w:cs="Times New Roman"/>
          <w:sz w:val="20"/>
          <w:szCs w:val="20"/>
        </w:rPr>
        <w:t>a wide range</w:t>
      </w:r>
      <w:r>
        <w:rPr>
          <w:rFonts w:ascii="Times New Roman" w:hAnsi="Times New Roman" w:eastAsia="Times New Roman" w:cs="Times New Roman"/>
          <w:spacing w:val="17"/>
          <w:sz w:val="20"/>
          <w:szCs w:val="20"/>
        </w:rPr>
        <w:t xml:space="preserve"> </w:t>
      </w:r>
      <w:r>
        <w:rPr>
          <w:rFonts w:ascii="Times New Roman" w:hAnsi="Times New Roman" w:eastAsia="Times New Roman" w:cs="Times New Roman"/>
          <w:sz w:val="20"/>
          <w:szCs w:val="20"/>
        </w:rPr>
        <w:t>of infectious</w:t>
      </w:r>
      <w:r>
        <w:rPr>
          <w:rFonts w:ascii="Times New Roman" w:hAnsi="Times New Roman" w:eastAsia="Times New Roman" w:cs="Times New Roman"/>
          <w:spacing w:val="17"/>
          <w:w w:val="101"/>
          <w:sz w:val="20"/>
          <w:szCs w:val="20"/>
        </w:rPr>
        <w:t xml:space="preserve"> </w:t>
      </w:r>
      <w:r>
        <w:rPr>
          <w:rFonts w:ascii="Times New Roman" w:hAnsi="Times New Roman" w:eastAsia="Times New Roman" w:cs="Times New Roman"/>
          <w:sz w:val="20"/>
          <w:szCs w:val="20"/>
        </w:rPr>
        <w:t>agent</w:t>
      </w:r>
      <w:r>
        <w:rPr>
          <w:rFonts w:ascii="Times New Roman" w:hAnsi="Times New Roman" w:eastAsia="Times New Roman" w:cs="Times New Roman"/>
          <w:spacing w:val="-1"/>
          <w:sz w:val="20"/>
          <w:szCs w:val="20"/>
        </w:rPr>
        <w:t>s</w:t>
      </w:r>
      <w:r>
        <w:rPr>
          <w:rFonts w:ascii="Times New Roman" w:hAnsi="Times New Roman" w:eastAsia="Times New Roman" w:cs="Times New Roman"/>
          <w:spacing w:val="12"/>
          <w:w w:val="101"/>
          <w:sz w:val="20"/>
          <w:szCs w:val="20"/>
        </w:rPr>
        <w:t xml:space="preserve"> </w:t>
      </w:r>
      <w:r>
        <w:rPr>
          <w:rFonts w:ascii="Times New Roman" w:hAnsi="Times New Roman" w:eastAsia="Times New Roman" w:cs="Times New Roman"/>
          <w:spacing w:val="-1"/>
          <w:sz w:val="20"/>
          <w:szCs w:val="20"/>
        </w:rPr>
        <w:t>that</w:t>
      </w:r>
      <w:r>
        <w:rPr>
          <w:rFonts w:ascii="Times New Roman" w:hAnsi="Times New Roman" w:eastAsia="Times New Roman" w:cs="Times New Roman"/>
          <w:spacing w:val="17"/>
          <w:sz w:val="20"/>
          <w:szCs w:val="20"/>
        </w:rPr>
        <w:t xml:space="preserve"> </w:t>
      </w:r>
      <w:r>
        <w:rPr>
          <w:rFonts w:ascii="Times New Roman" w:hAnsi="Times New Roman" w:eastAsia="Times New Roman" w:cs="Times New Roman"/>
          <w:spacing w:val="-1"/>
          <w:sz w:val="20"/>
          <w:szCs w:val="20"/>
        </w:rPr>
        <w:t>arise</w:t>
      </w:r>
      <w:r>
        <w:rPr>
          <w:rFonts w:ascii="Times New Roman" w:hAnsi="Times New Roman" w:eastAsia="Times New Roman" w:cs="Times New Roman"/>
          <w:spacing w:val="12"/>
          <w:w w:val="101"/>
          <w:sz w:val="20"/>
          <w:szCs w:val="20"/>
        </w:rPr>
        <w:t xml:space="preserve"> </w:t>
      </w:r>
      <w:r>
        <w:rPr>
          <w:rFonts w:ascii="Times New Roman" w:hAnsi="Times New Roman" w:eastAsia="Times New Roman" w:cs="Times New Roman"/>
          <w:spacing w:val="-1"/>
          <w:sz w:val="20"/>
          <w:szCs w:val="20"/>
        </w:rPr>
        <w:t>through</w:t>
      </w:r>
      <w:r>
        <w:rPr>
          <w:rFonts w:ascii="Times New Roman" w:hAnsi="Times New Roman" w:eastAsia="Times New Roman" w:cs="Times New Roman"/>
          <w:sz w:val="20"/>
          <w:szCs w:val="20"/>
        </w:rPr>
        <w:t xml:space="preserve"> transmission</w:t>
      </w:r>
      <w:r>
        <w:rPr>
          <w:rFonts w:ascii="Times New Roman" w:hAnsi="Times New Roman" w:eastAsia="Times New Roman" w:cs="Times New Roman"/>
          <w:spacing w:val="39"/>
          <w:w w:val="101"/>
          <w:sz w:val="20"/>
          <w:szCs w:val="20"/>
        </w:rPr>
        <w:t xml:space="preserve"> </w:t>
      </w:r>
      <w:r>
        <w:rPr>
          <w:rFonts w:ascii="Times New Roman" w:hAnsi="Times New Roman" w:eastAsia="Times New Roman" w:cs="Times New Roman"/>
          <w:sz w:val="20"/>
          <w:szCs w:val="20"/>
        </w:rPr>
        <w:t>from</w:t>
      </w:r>
      <w:r>
        <w:rPr>
          <w:rFonts w:ascii="Times New Roman" w:hAnsi="Times New Roman" w:eastAsia="Times New Roman" w:cs="Times New Roman"/>
          <w:spacing w:val="39"/>
          <w:sz w:val="20"/>
          <w:szCs w:val="20"/>
        </w:rPr>
        <w:t xml:space="preserve"> </w:t>
      </w:r>
      <w:r>
        <w:rPr>
          <w:rFonts w:ascii="Times New Roman" w:hAnsi="Times New Roman" w:eastAsia="Times New Roman" w:cs="Times New Roman"/>
          <w:sz w:val="20"/>
          <w:szCs w:val="20"/>
        </w:rPr>
        <w:t>an</w:t>
      </w:r>
      <w:r>
        <w:rPr>
          <w:rFonts w:ascii="Times New Roman" w:hAnsi="Times New Roman" w:eastAsia="Times New Roman" w:cs="Times New Roman"/>
          <w:spacing w:val="37"/>
          <w:sz w:val="20"/>
          <w:szCs w:val="20"/>
        </w:rPr>
        <w:t xml:space="preserve"> </w:t>
      </w:r>
      <w:r>
        <w:rPr>
          <w:rFonts w:ascii="Times New Roman" w:hAnsi="Times New Roman" w:eastAsia="Times New Roman" w:cs="Times New Roman"/>
          <w:sz w:val="20"/>
          <w:szCs w:val="20"/>
        </w:rPr>
        <w:t>infected</w:t>
      </w:r>
      <w:r>
        <w:rPr>
          <w:rFonts w:ascii="Times New Roman" w:hAnsi="Times New Roman" w:eastAsia="Times New Roman" w:cs="Times New Roman"/>
          <w:spacing w:val="31"/>
          <w:sz w:val="20"/>
          <w:szCs w:val="20"/>
        </w:rPr>
        <w:t xml:space="preserve"> </w:t>
      </w:r>
      <w:r>
        <w:rPr>
          <w:rFonts w:ascii="Times New Roman" w:hAnsi="Times New Roman" w:eastAsia="Times New Roman" w:cs="Times New Roman"/>
          <w:sz w:val="20"/>
          <w:szCs w:val="20"/>
        </w:rPr>
        <w:t>person,ani</w:t>
      </w:r>
      <w:r>
        <w:rPr>
          <w:rFonts w:ascii="Times New Roman" w:hAnsi="Times New Roman" w:eastAsia="Times New Roman" w:cs="Times New Roman"/>
          <w:spacing w:val="-1"/>
          <w:sz w:val="20"/>
          <w:szCs w:val="20"/>
        </w:rPr>
        <w:t>mal,or</w:t>
      </w:r>
      <w:r>
        <w:rPr>
          <w:rFonts w:ascii="Times New Roman" w:hAnsi="Times New Roman" w:eastAsia="Times New Roman" w:cs="Times New Roman"/>
          <w:spacing w:val="31"/>
          <w:w w:val="101"/>
          <w:sz w:val="20"/>
          <w:szCs w:val="20"/>
        </w:rPr>
        <w:t xml:space="preserve"> </w:t>
      </w:r>
      <w:r>
        <w:rPr>
          <w:rFonts w:ascii="Times New Roman" w:hAnsi="Times New Roman" w:eastAsia="Times New Roman" w:cs="Times New Roman"/>
          <w:spacing w:val="-1"/>
          <w:sz w:val="20"/>
          <w:szCs w:val="20"/>
        </w:rPr>
        <w:t>reservoir</w:t>
      </w:r>
      <w:r>
        <w:rPr>
          <w:rFonts w:ascii="Times New Roman" w:hAnsi="Times New Roman" w:eastAsia="Times New Roman" w:cs="Times New Roman"/>
          <w:spacing w:val="32"/>
          <w:sz w:val="20"/>
          <w:szCs w:val="20"/>
        </w:rPr>
        <w:t xml:space="preserve"> </w:t>
      </w:r>
      <w:r>
        <w:rPr>
          <w:rFonts w:ascii="Times New Roman" w:hAnsi="Times New Roman" w:eastAsia="Times New Roman" w:cs="Times New Roman"/>
          <w:spacing w:val="-1"/>
          <w:sz w:val="20"/>
          <w:szCs w:val="20"/>
        </w:rPr>
        <w:t>to</w:t>
      </w:r>
      <w:r>
        <w:rPr>
          <w:rFonts w:ascii="Times New Roman" w:hAnsi="Times New Roman" w:eastAsia="Times New Roman" w:cs="Times New Roman"/>
          <w:spacing w:val="38"/>
          <w:w w:val="101"/>
          <w:sz w:val="20"/>
          <w:szCs w:val="20"/>
        </w:rPr>
        <w:t xml:space="preserve"> </w:t>
      </w:r>
      <w:r>
        <w:rPr>
          <w:rFonts w:ascii="Times New Roman" w:hAnsi="Times New Roman" w:eastAsia="Times New Roman" w:cs="Times New Roman"/>
          <w:spacing w:val="-1"/>
          <w:sz w:val="20"/>
          <w:szCs w:val="20"/>
        </w:rPr>
        <w:t>a</w:t>
      </w:r>
      <w:r>
        <w:rPr>
          <w:rFonts w:ascii="Times New Roman" w:hAnsi="Times New Roman" w:eastAsia="Times New Roman" w:cs="Times New Roman"/>
          <w:spacing w:val="41"/>
          <w:w w:val="101"/>
          <w:sz w:val="20"/>
          <w:szCs w:val="20"/>
        </w:rPr>
        <w:t xml:space="preserve"> </w:t>
      </w:r>
      <w:r>
        <w:rPr>
          <w:rFonts w:ascii="Times New Roman" w:hAnsi="Times New Roman" w:eastAsia="Times New Roman" w:cs="Times New Roman"/>
          <w:spacing w:val="-1"/>
          <w:sz w:val="20"/>
          <w:szCs w:val="20"/>
        </w:rPr>
        <w:t>susceptible</w:t>
      </w:r>
      <w:r>
        <w:rPr>
          <w:rFonts w:ascii="Times New Roman" w:hAnsi="Times New Roman" w:eastAsia="Times New Roman" w:cs="Times New Roman"/>
          <w:spacing w:val="32"/>
          <w:w w:val="101"/>
          <w:sz w:val="20"/>
          <w:szCs w:val="20"/>
        </w:rPr>
        <w:t xml:space="preserve"> </w:t>
      </w:r>
      <w:r>
        <w:rPr>
          <w:rFonts w:ascii="Times New Roman" w:hAnsi="Times New Roman" w:eastAsia="Times New Roman" w:cs="Times New Roman"/>
          <w:spacing w:val="-1"/>
          <w:sz w:val="20"/>
          <w:szCs w:val="20"/>
        </w:rPr>
        <w:t>host.Infectious</w:t>
      </w:r>
      <w:r>
        <w:rPr>
          <w:rFonts w:ascii="Times New Roman" w:hAnsi="Times New Roman" w:eastAsia="Times New Roman" w:cs="Times New Roman"/>
          <w:spacing w:val="38"/>
          <w:sz w:val="20"/>
          <w:szCs w:val="20"/>
        </w:rPr>
        <w:t xml:space="preserve"> </w:t>
      </w:r>
      <w:r>
        <w:rPr>
          <w:rFonts w:ascii="Times New Roman" w:hAnsi="Times New Roman" w:eastAsia="Times New Roman" w:cs="Times New Roman"/>
          <w:spacing w:val="-1"/>
          <w:sz w:val="20"/>
          <w:szCs w:val="20"/>
        </w:rPr>
        <w:t>diseases</w:t>
      </w:r>
      <w:r>
        <w:rPr>
          <w:rFonts w:ascii="Times New Roman" w:hAnsi="Times New Roman" w:eastAsia="Times New Roman" w:cs="Times New Roman"/>
          <w:spacing w:val="33"/>
          <w:sz w:val="20"/>
          <w:szCs w:val="20"/>
        </w:rPr>
        <w:t xml:space="preserve"> </w:t>
      </w:r>
      <w:r>
        <w:rPr>
          <w:rFonts w:ascii="Times New Roman" w:hAnsi="Times New Roman" w:eastAsia="Times New Roman" w:cs="Times New Roman"/>
          <w:spacing w:val="-1"/>
          <w:sz w:val="20"/>
          <w:szCs w:val="20"/>
        </w:rPr>
        <w:t>remain</w:t>
      </w:r>
      <w:r>
        <w:rPr>
          <w:rFonts w:ascii="Times New Roman" w:hAnsi="Times New Roman" w:eastAsia="Times New Roman" w:cs="Times New Roman"/>
          <w:sz w:val="20"/>
          <w:szCs w:val="20"/>
        </w:rPr>
        <w:t xml:space="preserve"> one</w:t>
      </w:r>
      <w:r>
        <w:rPr>
          <w:rFonts w:ascii="Times New Roman" w:hAnsi="Times New Roman" w:eastAsia="Times New Roman" w:cs="Times New Roman"/>
          <w:spacing w:val="45"/>
          <w:w w:val="101"/>
          <w:sz w:val="20"/>
          <w:szCs w:val="20"/>
        </w:rPr>
        <w:t xml:space="preserve"> </w:t>
      </w:r>
      <w:r>
        <w:rPr>
          <w:rFonts w:ascii="Times New Roman" w:hAnsi="Times New Roman" w:eastAsia="Times New Roman" w:cs="Times New Roman"/>
          <w:sz w:val="20"/>
          <w:szCs w:val="20"/>
        </w:rPr>
        <w:t>of</w:t>
      </w:r>
      <w:r>
        <w:rPr>
          <w:rFonts w:ascii="Times New Roman" w:hAnsi="Times New Roman" w:eastAsia="Times New Roman" w:cs="Times New Roman"/>
          <w:spacing w:val="20"/>
          <w:sz w:val="20"/>
          <w:szCs w:val="20"/>
        </w:rPr>
        <w:t xml:space="preserve"> </w:t>
      </w:r>
      <w:r>
        <w:rPr>
          <w:rFonts w:ascii="Times New Roman" w:hAnsi="Times New Roman" w:eastAsia="Times New Roman" w:cs="Times New Roman"/>
          <w:sz w:val="20"/>
          <w:szCs w:val="20"/>
        </w:rPr>
        <w:t>the</w:t>
      </w:r>
      <w:r>
        <w:rPr>
          <w:rFonts w:ascii="Times New Roman" w:hAnsi="Times New Roman" w:eastAsia="Times New Roman" w:cs="Times New Roman"/>
          <w:spacing w:val="40"/>
          <w:w w:val="101"/>
          <w:sz w:val="20"/>
          <w:szCs w:val="20"/>
        </w:rPr>
        <w:t xml:space="preserve"> </w:t>
      </w:r>
      <w:r>
        <w:rPr>
          <w:rFonts w:ascii="Times New Roman" w:hAnsi="Times New Roman" w:eastAsia="Times New Roman" w:cs="Times New Roman"/>
          <w:sz w:val="20"/>
          <w:szCs w:val="20"/>
        </w:rPr>
        <w:t>key</w:t>
      </w:r>
      <w:r>
        <w:rPr>
          <w:rFonts w:ascii="Times New Roman" w:hAnsi="Times New Roman" w:eastAsia="Times New Roman" w:cs="Times New Roman"/>
          <w:spacing w:val="44"/>
          <w:sz w:val="20"/>
          <w:szCs w:val="20"/>
        </w:rPr>
        <w:t xml:space="preserve"> </w:t>
      </w:r>
      <w:r>
        <w:rPr>
          <w:rFonts w:ascii="Times New Roman" w:hAnsi="Times New Roman" w:eastAsia="Times New Roman" w:cs="Times New Roman"/>
          <w:sz w:val="20"/>
          <w:szCs w:val="20"/>
        </w:rPr>
        <w:t>issues</w:t>
      </w:r>
      <w:r>
        <w:rPr>
          <w:rFonts w:ascii="Times New Roman" w:hAnsi="Times New Roman" w:eastAsia="Times New Roman" w:cs="Times New Roman"/>
          <w:spacing w:val="44"/>
          <w:w w:val="101"/>
          <w:sz w:val="20"/>
          <w:szCs w:val="20"/>
        </w:rPr>
        <w:t xml:space="preserve"> </w:t>
      </w:r>
      <w:r>
        <w:rPr>
          <w:rFonts w:ascii="Times New Roman" w:hAnsi="Times New Roman" w:eastAsia="Times New Roman" w:cs="Times New Roman"/>
          <w:sz w:val="20"/>
          <w:szCs w:val="20"/>
        </w:rPr>
        <w:t>in</w:t>
      </w:r>
      <w:r>
        <w:rPr>
          <w:rFonts w:ascii="Times New Roman" w:hAnsi="Times New Roman" w:eastAsia="Times New Roman" w:cs="Times New Roman"/>
          <w:spacing w:val="44"/>
          <w:w w:val="101"/>
          <w:sz w:val="20"/>
          <w:szCs w:val="20"/>
        </w:rPr>
        <w:t xml:space="preserve"> </w:t>
      </w:r>
      <w:r>
        <w:rPr>
          <w:rFonts w:ascii="Times New Roman" w:hAnsi="Times New Roman" w:eastAsia="Times New Roman" w:cs="Times New Roman"/>
          <w:sz w:val="20"/>
          <w:szCs w:val="20"/>
        </w:rPr>
        <w:t>global</w:t>
      </w:r>
      <w:r>
        <w:rPr>
          <w:rFonts w:ascii="Times New Roman" w:hAnsi="Times New Roman" w:eastAsia="Times New Roman" w:cs="Times New Roman"/>
          <w:spacing w:val="38"/>
          <w:sz w:val="20"/>
          <w:szCs w:val="20"/>
        </w:rPr>
        <w:t xml:space="preserve"> </w:t>
      </w:r>
      <w:r>
        <w:rPr>
          <w:rFonts w:ascii="Times New Roman" w:hAnsi="Times New Roman" w:eastAsia="Times New Roman" w:cs="Times New Roman"/>
          <w:spacing w:val="-1"/>
          <w:sz w:val="20"/>
          <w:szCs w:val="20"/>
        </w:rPr>
        <w:t>public</w:t>
      </w:r>
      <w:r>
        <w:rPr>
          <w:rFonts w:ascii="Times New Roman" w:hAnsi="Times New Roman" w:eastAsia="Times New Roman" w:cs="Times New Roman"/>
          <w:spacing w:val="40"/>
          <w:sz w:val="20"/>
          <w:szCs w:val="20"/>
        </w:rPr>
        <w:t xml:space="preserve"> </w:t>
      </w:r>
      <w:r>
        <w:rPr>
          <w:rFonts w:ascii="Times New Roman" w:hAnsi="Times New Roman" w:eastAsia="Times New Roman" w:cs="Times New Roman"/>
          <w:spacing w:val="-1"/>
          <w:sz w:val="20"/>
          <w:szCs w:val="20"/>
        </w:rPr>
        <w:t>health.The</w:t>
      </w:r>
      <w:r>
        <w:rPr>
          <w:rFonts w:ascii="Times New Roman" w:hAnsi="Times New Roman" w:eastAsia="Times New Roman" w:cs="Times New Roman"/>
          <w:spacing w:val="44"/>
          <w:w w:val="101"/>
          <w:sz w:val="20"/>
          <w:szCs w:val="20"/>
        </w:rPr>
        <w:t xml:space="preserve"> </w:t>
      </w:r>
      <w:r>
        <w:rPr>
          <w:rFonts w:ascii="Times New Roman" w:hAnsi="Times New Roman" w:eastAsia="Times New Roman" w:cs="Times New Roman"/>
          <w:spacing w:val="-1"/>
          <w:sz w:val="20"/>
          <w:szCs w:val="20"/>
        </w:rPr>
        <w:t>infectious</w:t>
      </w:r>
      <w:r>
        <w:rPr>
          <w:rFonts w:ascii="Times New Roman" w:hAnsi="Times New Roman" w:eastAsia="Times New Roman" w:cs="Times New Roman"/>
          <w:spacing w:val="45"/>
          <w:sz w:val="20"/>
          <w:szCs w:val="20"/>
        </w:rPr>
        <w:t xml:space="preserve"> </w:t>
      </w:r>
      <w:r>
        <w:rPr>
          <w:rFonts w:ascii="Times New Roman" w:hAnsi="Times New Roman" w:eastAsia="Times New Roman" w:cs="Times New Roman"/>
          <w:spacing w:val="-1"/>
          <w:sz w:val="20"/>
          <w:szCs w:val="20"/>
        </w:rPr>
        <w:t>disease</w:t>
      </w:r>
      <w:r>
        <w:rPr>
          <w:rFonts w:ascii="Times New Roman" w:hAnsi="Times New Roman" w:eastAsia="Times New Roman" w:cs="Times New Roman"/>
          <w:spacing w:val="46"/>
          <w:sz w:val="20"/>
          <w:szCs w:val="20"/>
        </w:rPr>
        <w:t xml:space="preserve"> </w:t>
      </w:r>
      <w:r>
        <w:rPr>
          <w:rFonts w:ascii="Times New Roman" w:hAnsi="Times New Roman" w:eastAsia="Times New Roman" w:cs="Times New Roman"/>
          <w:spacing w:val="-1"/>
          <w:sz w:val="20"/>
          <w:szCs w:val="20"/>
        </w:rPr>
        <w:t>epidemiology</w:t>
      </w:r>
      <w:r>
        <w:rPr>
          <w:rFonts w:ascii="Times New Roman" w:hAnsi="Times New Roman" w:eastAsia="Times New Roman" w:cs="Times New Roman"/>
          <w:spacing w:val="48"/>
          <w:sz w:val="20"/>
          <w:szCs w:val="20"/>
        </w:rPr>
        <w:t xml:space="preserve"> </w:t>
      </w:r>
      <w:r>
        <w:rPr>
          <w:rFonts w:ascii="Times New Roman" w:hAnsi="Times New Roman" w:eastAsia="Times New Roman" w:cs="Times New Roman"/>
          <w:spacing w:val="-1"/>
          <w:sz w:val="20"/>
          <w:szCs w:val="20"/>
        </w:rPr>
        <w:t>studies</w:t>
      </w:r>
      <w:r>
        <w:rPr>
          <w:rFonts w:ascii="Times New Roman" w:hAnsi="Times New Roman" w:eastAsia="Times New Roman" w:cs="Times New Roman"/>
          <w:spacing w:val="40"/>
          <w:w w:val="101"/>
          <w:sz w:val="20"/>
          <w:szCs w:val="20"/>
        </w:rPr>
        <w:t xml:space="preserve"> </w:t>
      </w:r>
      <w:r>
        <w:rPr>
          <w:rFonts w:ascii="Times New Roman" w:hAnsi="Times New Roman" w:eastAsia="Times New Roman" w:cs="Times New Roman"/>
          <w:spacing w:val="-1"/>
          <w:sz w:val="20"/>
          <w:szCs w:val="20"/>
        </w:rPr>
        <w:t>mainly</w:t>
      </w:r>
      <w:r>
        <w:rPr>
          <w:rFonts w:ascii="Times New Roman" w:hAnsi="Times New Roman" w:eastAsia="Times New Roman" w:cs="Times New Roman"/>
          <w:spacing w:val="46"/>
          <w:sz w:val="20"/>
          <w:szCs w:val="20"/>
        </w:rPr>
        <w:t xml:space="preserve"> </w:t>
      </w:r>
      <w:r>
        <w:rPr>
          <w:rFonts w:ascii="Times New Roman" w:hAnsi="Times New Roman" w:eastAsia="Times New Roman" w:cs="Times New Roman"/>
          <w:spacing w:val="-1"/>
          <w:sz w:val="20"/>
          <w:szCs w:val="20"/>
        </w:rPr>
        <w:t>focus</w:t>
      </w:r>
      <w:r>
        <w:rPr>
          <w:rFonts w:ascii="Times New Roman" w:hAnsi="Times New Roman" w:eastAsia="Times New Roman" w:cs="Times New Roman"/>
          <w:sz w:val="20"/>
          <w:szCs w:val="20"/>
        </w:rPr>
        <w:t xml:space="preserve"> on:1)the  etiology  of  infectious  diseases,and  the  occurrence</w:t>
      </w:r>
      <w:r>
        <w:rPr>
          <w:rFonts w:ascii="Times New Roman" w:hAnsi="Times New Roman" w:eastAsia="Times New Roman" w:cs="Times New Roman"/>
          <w:spacing w:val="6"/>
          <w:sz w:val="20"/>
          <w:szCs w:val="20"/>
        </w:rPr>
        <w:t xml:space="preserve">  </w:t>
      </w:r>
      <w:r>
        <w:rPr>
          <w:rFonts w:ascii="Times New Roman" w:hAnsi="Times New Roman" w:eastAsia="Times New Roman" w:cs="Times New Roman"/>
          <w:sz w:val="20"/>
          <w:szCs w:val="20"/>
        </w:rPr>
        <w:t>and</w:t>
      </w:r>
      <w:r>
        <w:rPr>
          <w:rFonts w:ascii="Times New Roman" w:hAnsi="Times New Roman" w:eastAsia="Times New Roman" w:cs="Times New Roman"/>
          <w:spacing w:val="3"/>
          <w:sz w:val="20"/>
          <w:szCs w:val="20"/>
        </w:rPr>
        <w:t xml:space="preserve">  </w:t>
      </w:r>
      <w:r>
        <w:rPr>
          <w:rFonts w:ascii="Times New Roman" w:hAnsi="Times New Roman" w:eastAsia="Times New Roman" w:cs="Times New Roman"/>
          <w:sz w:val="20"/>
          <w:szCs w:val="20"/>
        </w:rPr>
        <w:t>transmission</w:t>
      </w:r>
      <w:r>
        <w:rPr>
          <w:rFonts w:ascii="Times New Roman" w:hAnsi="Times New Roman" w:eastAsia="Times New Roman" w:cs="Times New Roman"/>
          <w:spacing w:val="6"/>
          <w:sz w:val="20"/>
          <w:szCs w:val="20"/>
        </w:rPr>
        <w:t xml:space="preserve">  </w:t>
      </w:r>
      <w:r>
        <w:rPr>
          <w:rFonts w:ascii="Times New Roman" w:hAnsi="Times New Roman" w:eastAsia="Times New Roman" w:cs="Times New Roman"/>
          <w:sz w:val="20"/>
          <w:szCs w:val="20"/>
        </w:rPr>
        <w:t>of  infectious  diseases</w:t>
      </w:r>
      <w:r>
        <w:rPr>
          <w:rFonts w:ascii="Times New Roman" w:hAnsi="Times New Roman" w:eastAsia="Times New Roman" w:cs="Times New Roman"/>
          <w:spacing w:val="5"/>
          <w:sz w:val="20"/>
          <w:szCs w:val="20"/>
        </w:rPr>
        <w:t xml:space="preserve">  </w:t>
      </w:r>
      <w:r>
        <w:rPr>
          <w:rFonts w:ascii="Times New Roman" w:hAnsi="Times New Roman" w:eastAsia="Times New Roman" w:cs="Times New Roman"/>
          <w:sz w:val="20"/>
          <w:szCs w:val="20"/>
        </w:rPr>
        <w:t>in a  population;2)the  natural</w:t>
      </w:r>
      <w:r>
        <w:rPr>
          <w:rFonts w:ascii="Times New Roman" w:hAnsi="Times New Roman" w:eastAsia="Times New Roman" w:cs="Times New Roman"/>
          <w:spacing w:val="11"/>
          <w:sz w:val="20"/>
          <w:szCs w:val="20"/>
        </w:rPr>
        <w:t xml:space="preserve">  </w:t>
      </w:r>
      <w:r>
        <w:rPr>
          <w:rFonts w:ascii="Times New Roman" w:hAnsi="Times New Roman" w:eastAsia="Times New Roman" w:cs="Times New Roman"/>
          <w:sz w:val="20"/>
          <w:szCs w:val="20"/>
        </w:rPr>
        <w:t>and   social  factors</w:t>
      </w:r>
      <w:r>
        <w:rPr>
          <w:rFonts w:ascii="Times New Roman" w:hAnsi="Times New Roman" w:eastAsia="Times New Roman" w:cs="Times New Roman"/>
          <w:spacing w:val="9"/>
          <w:sz w:val="20"/>
          <w:szCs w:val="20"/>
        </w:rPr>
        <w:t xml:space="preserve">  </w:t>
      </w:r>
      <w:r>
        <w:rPr>
          <w:rFonts w:ascii="Times New Roman" w:hAnsi="Times New Roman" w:eastAsia="Times New Roman" w:cs="Times New Roman"/>
          <w:sz w:val="20"/>
          <w:szCs w:val="20"/>
        </w:rPr>
        <w:t>that</w:t>
      </w:r>
      <w:r>
        <w:rPr>
          <w:rFonts w:ascii="Times New Roman" w:hAnsi="Times New Roman" w:eastAsia="Times New Roman" w:cs="Times New Roman"/>
          <w:spacing w:val="11"/>
          <w:sz w:val="20"/>
          <w:szCs w:val="20"/>
        </w:rPr>
        <w:t xml:space="preserve">  </w:t>
      </w:r>
      <w:r>
        <w:rPr>
          <w:rFonts w:ascii="Times New Roman" w:hAnsi="Times New Roman" w:eastAsia="Times New Roman" w:cs="Times New Roman"/>
          <w:sz w:val="20"/>
          <w:szCs w:val="20"/>
        </w:rPr>
        <w:t>affect</w:t>
      </w:r>
      <w:r>
        <w:rPr>
          <w:rFonts w:ascii="Times New Roman" w:hAnsi="Times New Roman" w:eastAsia="Times New Roman" w:cs="Times New Roman"/>
          <w:spacing w:val="9"/>
          <w:sz w:val="20"/>
          <w:szCs w:val="20"/>
        </w:rPr>
        <w:t xml:space="preserve">  </w:t>
      </w:r>
      <w:r>
        <w:rPr>
          <w:rFonts w:ascii="Times New Roman" w:hAnsi="Times New Roman" w:eastAsia="Times New Roman" w:cs="Times New Roman"/>
          <w:sz w:val="20"/>
          <w:szCs w:val="20"/>
        </w:rPr>
        <w:t>the</w:t>
      </w:r>
      <w:r>
        <w:rPr>
          <w:rFonts w:ascii="Times New Roman" w:hAnsi="Times New Roman" w:eastAsia="Times New Roman" w:cs="Times New Roman"/>
          <w:spacing w:val="9"/>
          <w:sz w:val="20"/>
          <w:szCs w:val="20"/>
        </w:rPr>
        <w:t xml:space="preserve">  </w:t>
      </w:r>
      <w:r>
        <w:rPr>
          <w:rFonts w:ascii="Times New Roman" w:hAnsi="Times New Roman" w:eastAsia="Times New Roman" w:cs="Times New Roman"/>
          <w:sz w:val="20"/>
          <w:szCs w:val="20"/>
        </w:rPr>
        <w:t>transmission</w:t>
      </w:r>
      <w:r>
        <w:rPr>
          <w:rFonts w:ascii="Times New Roman" w:hAnsi="Times New Roman" w:eastAsia="Times New Roman" w:cs="Times New Roman"/>
          <w:spacing w:val="11"/>
          <w:sz w:val="20"/>
          <w:szCs w:val="20"/>
        </w:rPr>
        <w:t xml:space="preserve">  </w:t>
      </w:r>
      <w:r>
        <w:rPr>
          <w:rFonts w:ascii="Times New Roman" w:hAnsi="Times New Roman" w:eastAsia="Times New Roman" w:cs="Times New Roman"/>
          <w:sz w:val="20"/>
          <w:szCs w:val="20"/>
        </w:rPr>
        <w:t>of  in</w:t>
      </w:r>
      <w:r>
        <w:rPr>
          <w:rFonts w:ascii="Times New Roman" w:hAnsi="Times New Roman" w:eastAsia="Times New Roman" w:cs="Times New Roman"/>
          <w:spacing w:val="-1"/>
          <w:sz w:val="20"/>
          <w:szCs w:val="20"/>
        </w:rPr>
        <w:t>fectious</w:t>
      </w:r>
      <w:r>
        <w:rPr>
          <w:rFonts w:ascii="Times New Roman" w:hAnsi="Times New Roman" w:eastAsia="Times New Roman" w:cs="Times New Roman"/>
          <w:spacing w:val="11"/>
          <w:sz w:val="20"/>
          <w:szCs w:val="20"/>
        </w:rPr>
        <w:t xml:space="preserve">  </w:t>
      </w:r>
      <w:r>
        <w:rPr>
          <w:rFonts w:ascii="Times New Roman" w:hAnsi="Times New Roman" w:eastAsia="Times New Roman" w:cs="Times New Roman"/>
          <w:spacing w:val="-1"/>
          <w:sz w:val="20"/>
          <w:szCs w:val="20"/>
        </w:rPr>
        <w:t>diseases;3)the</w:t>
      </w:r>
      <w:r>
        <w:rPr>
          <w:rFonts w:ascii="Times New Roman" w:hAnsi="Times New Roman" w:eastAsia="Times New Roman" w:cs="Times New Roman"/>
          <w:spacing w:val="1"/>
          <w:sz w:val="20"/>
          <w:szCs w:val="20"/>
        </w:rPr>
        <w:t xml:space="preserve"> </w:t>
      </w:r>
      <w:r>
        <w:rPr>
          <w:rFonts w:ascii="Times New Roman" w:hAnsi="Times New Roman" w:eastAsia="Times New Roman" w:cs="Times New Roman"/>
          <w:sz w:val="20"/>
          <w:szCs w:val="20"/>
        </w:rPr>
        <w:t>preventive  strategies  and  countermeasures  to</w:t>
      </w:r>
      <w:r>
        <w:rPr>
          <w:rFonts w:ascii="Times New Roman" w:hAnsi="Times New Roman" w:eastAsia="Times New Roman" w:cs="Times New Roman"/>
          <w:spacing w:val="2"/>
          <w:sz w:val="20"/>
          <w:szCs w:val="20"/>
        </w:rPr>
        <w:t xml:space="preserve">  </w:t>
      </w:r>
      <w:r>
        <w:rPr>
          <w:rFonts w:ascii="Times New Roman" w:hAnsi="Times New Roman" w:eastAsia="Times New Roman" w:cs="Times New Roman"/>
          <w:sz w:val="20"/>
          <w:szCs w:val="20"/>
        </w:rPr>
        <w:t>block</w:t>
      </w:r>
      <w:r>
        <w:rPr>
          <w:rFonts w:ascii="Times New Roman" w:hAnsi="Times New Roman" w:eastAsia="Times New Roman" w:cs="Times New Roman"/>
          <w:spacing w:val="3"/>
          <w:sz w:val="20"/>
          <w:szCs w:val="20"/>
        </w:rPr>
        <w:t xml:space="preserve">  </w:t>
      </w:r>
      <w:r>
        <w:rPr>
          <w:rFonts w:ascii="Times New Roman" w:hAnsi="Times New Roman" w:eastAsia="Times New Roman" w:cs="Times New Roman"/>
          <w:sz w:val="20"/>
          <w:szCs w:val="20"/>
        </w:rPr>
        <w:t>the</w:t>
      </w:r>
      <w:r>
        <w:rPr>
          <w:rFonts w:ascii="Times New Roman" w:hAnsi="Times New Roman" w:eastAsia="Times New Roman" w:cs="Times New Roman"/>
          <w:spacing w:val="3"/>
          <w:sz w:val="20"/>
          <w:szCs w:val="20"/>
        </w:rPr>
        <w:t xml:space="preserve">  </w:t>
      </w:r>
      <w:r>
        <w:rPr>
          <w:rFonts w:ascii="Times New Roman" w:hAnsi="Times New Roman" w:eastAsia="Times New Roman" w:cs="Times New Roman"/>
          <w:sz w:val="20"/>
          <w:szCs w:val="20"/>
        </w:rPr>
        <w:t>transmission</w:t>
      </w:r>
      <w:r>
        <w:rPr>
          <w:rFonts w:ascii="Times New Roman" w:hAnsi="Times New Roman" w:eastAsia="Times New Roman" w:cs="Times New Roman"/>
          <w:spacing w:val="3"/>
          <w:sz w:val="20"/>
          <w:szCs w:val="20"/>
        </w:rPr>
        <w:t xml:space="preserve">  </w:t>
      </w:r>
      <w:r>
        <w:rPr>
          <w:rFonts w:ascii="Times New Roman" w:hAnsi="Times New Roman" w:eastAsia="Times New Roman" w:cs="Times New Roman"/>
          <w:sz w:val="20"/>
          <w:szCs w:val="20"/>
        </w:rPr>
        <w:t>route</w:t>
      </w:r>
      <w:r>
        <w:rPr>
          <w:rFonts w:ascii="Times New Roman" w:hAnsi="Times New Roman" w:eastAsia="Times New Roman" w:cs="Times New Roman"/>
          <w:spacing w:val="6"/>
          <w:sz w:val="20"/>
          <w:szCs w:val="20"/>
        </w:rPr>
        <w:t xml:space="preserve">  </w:t>
      </w:r>
      <w:r>
        <w:rPr>
          <w:rFonts w:ascii="Times New Roman" w:hAnsi="Times New Roman" w:eastAsia="Times New Roman" w:cs="Times New Roman"/>
          <w:sz w:val="20"/>
          <w:szCs w:val="20"/>
        </w:rPr>
        <w:t>and</w:t>
      </w:r>
      <w:r>
        <w:rPr>
          <w:rFonts w:ascii="Times New Roman" w:hAnsi="Times New Roman" w:eastAsia="Times New Roman" w:cs="Times New Roman"/>
          <w:spacing w:val="2"/>
          <w:sz w:val="20"/>
          <w:szCs w:val="20"/>
        </w:rPr>
        <w:t xml:space="preserve">  </w:t>
      </w:r>
      <w:r>
        <w:rPr>
          <w:rFonts w:ascii="Times New Roman" w:hAnsi="Times New Roman" w:eastAsia="Times New Roman" w:cs="Times New Roman"/>
          <w:sz w:val="20"/>
          <w:szCs w:val="20"/>
        </w:rPr>
        <w:t>protect</w:t>
      </w:r>
      <w:r>
        <w:rPr>
          <w:rFonts w:ascii="Times New Roman" w:hAnsi="Times New Roman" w:eastAsia="Times New Roman" w:cs="Times New Roman"/>
          <w:spacing w:val="3"/>
          <w:sz w:val="20"/>
          <w:szCs w:val="20"/>
        </w:rPr>
        <w:t xml:space="preserve">  </w:t>
      </w:r>
      <w:r>
        <w:rPr>
          <w:rFonts w:ascii="Times New Roman" w:hAnsi="Times New Roman" w:eastAsia="Times New Roman" w:cs="Times New Roman"/>
          <w:sz w:val="20"/>
          <w:szCs w:val="20"/>
        </w:rPr>
        <w:t>the</w:t>
      </w:r>
      <w:r>
        <w:rPr>
          <w:rFonts w:ascii="Times New Roman" w:hAnsi="Times New Roman" w:eastAsia="Times New Roman" w:cs="Times New Roman"/>
          <w:spacing w:val="8"/>
          <w:sz w:val="20"/>
          <w:szCs w:val="20"/>
        </w:rPr>
        <w:t xml:space="preserve">  </w:t>
      </w:r>
      <w:r>
        <w:rPr>
          <w:rFonts w:ascii="Times New Roman" w:hAnsi="Times New Roman" w:eastAsia="Times New Roman" w:cs="Times New Roman"/>
          <w:spacing w:val="-1"/>
          <w:sz w:val="20"/>
          <w:szCs w:val="20"/>
        </w:rPr>
        <w:t>susceptible</w:t>
      </w:r>
      <w:r>
        <w:rPr>
          <w:rFonts w:ascii="Times New Roman" w:hAnsi="Times New Roman" w:eastAsia="Times New Roman" w:cs="Times New Roman"/>
          <w:sz w:val="20"/>
          <w:szCs w:val="20"/>
        </w:rPr>
        <w:t xml:space="preserve"> population;and</w:t>
      </w:r>
      <w:r>
        <w:rPr>
          <w:rFonts w:ascii="Times New Roman" w:hAnsi="Times New Roman" w:eastAsia="Times New Roman" w:cs="Times New Roman"/>
          <w:spacing w:val="17"/>
          <w:sz w:val="20"/>
          <w:szCs w:val="20"/>
        </w:rPr>
        <w:t xml:space="preserve"> </w:t>
      </w:r>
      <w:r>
        <w:rPr>
          <w:rFonts w:ascii="Times New Roman" w:hAnsi="Times New Roman" w:eastAsia="Times New Roman" w:cs="Times New Roman"/>
          <w:sz w:val="20"/>
          <w:szCs w:val="20"/>
        </w:rPr>
        <w:t>4)evaluating</w:t>
      </w:r>
      <w:r>
        <w:rPr>
          <w:rFonts w:ascii="Times New Roman" w:hAnsi="Times New Roman" w:eastAsia="Times New Roman" w:cs="Times New Roman"/>
          <w:spacing w:val="16"/>
          <w:sz w:val="20"/>
          <w:szCs w:val="20"/>
        </w:rPr>
        <w:t xml:space="preserve"> </w:t>
      </w:r>
      <w:r>
        <w:rPr>
          <w:rFonts w:ascii="Times New Roman" w:hAnsi="Times New Roman" w:eastAsia="Times New Roman" w:cs="Times New Roman"/>
          <w:sz w:val="20"/>
          <w:szCs w:val="20"/>
        </w:rPr>
        <w:t>the</w:t>
      </w:r>
      <w:r>
        <w:rPr>
          <w:rFonts w:ascii="Times New Roman" w:hAnsi="Times New Roman" w:eastAsia="Times New Roman" w:cs="Times New Roman"/>
          <w:spacing w:val="21"/>
          <w:sz w:val="20"/>
          <w:szCs w:val="20"/>
        </w:rPr>
        <w:t xml:space="preserve"> </w:t>
      </w:r>
      <w:r>
        <w:rPr>
          <w:rFonts w:ascii="Times New Roman" w:hAnsi="Times New Roman" w:eastAsia="Times New Roman" w:cs="Times New Roman"/>
          <w:sz w:val="20"/>
          <w:szCs w:val="20"/>
        </w:rPr>
        <w:t>effectiveness</w:t>
      </w:r>
      <w:r>
        <w:rPr>
          <w:rFonts w:ascii="Times New Roman" w:hAnsi="Times New Roman" w:eastAsia="Times New Roman" w:cs="Times New Roman"/>
          <w:spacing w:val="21"/>
          <w:sz w:val="20"/>
          <w:szCs w:val="20"/>
        </w:rPr>
        <w:t xml:space="preserve"> </w:t>
      </w:r>
      <w:r>
        <w:rPr>
          <w:rFonts w:ascii="Times New Roman" w:hAnsi="Times New Roman" w:eastAsia="Times New Roman" w:cs="Times New Roman"/>
          <w:spacing w:val="-1"/>
          <w:sz w:val="20"/>
          <w:szCs w:val="20"/>
        </w:rPr>
        <w:t>of preventive</w:t>
      </w:r>
      <w:r>
        <w:rPr>
          <w:rFonts w:ascii="Times New Roman" w:hAnsi="Times New Roman" w:eastAsia="Times New Roman" w:cs="Times New Roman"/>
          <w:spacing w:val="21"/>
          <w:sz w:val="20"/>
          <w:szCs w:val="20"/>
        </w:rPr>
        <w:t xml:space="preserve"> </w:t>
      </w:r>
      <w:r>
        <w:rPr>
          <w:rFonts w:ascii="Times New Roman" w:hAnsi="Times New Roman" w:eastAsia="Times New Roman" w:cs="Times New Roman"/>
          <w:spacing w:val="-1"/>
          <w:sz w:val="20"/>
          <w:szCs w:val="20"/>
        </w:rPr>
        <w:t>and</w:t>
      </w:r>
      <w:r>
        <w:rPr>
          <w:rFonts w:ascii="Times New Roman" w:hAnsi="Times New Roman" w:eastAsia="Times New Roman" w:cs="Times New Roman"/>
          <w:spacing w:val="20"/>
          <w:w w:val="101"/>
          <w:sz w:val="20"/>
          <w:szCs w:val="20"/>
        </w:rPr>
        <w:t xml:space="preserve"> </w:t>
      </w:r>
      <w:r>
        <w:rPr>
          <w:rFonts w:ascii="Times New Roman" w:hAnsi="Times New Roman" w:eastAsia="Times New Roman" w:cs="Times New Roman"/>
          <w:spacing w:val="-1"/>
          <w:sz w:val="20"/>
          <w:szCs w:val="20"/>
        </w:rPr>
        <w:t>control</w:t>
      </w:r>
      <w:r>
        <w:rPr>
          <w:rFonts w:ascii="Times New Roman" w:hAnsi="Times New Roman" w:eastAsia="Times New Roman" w:cs="Times New Roman"/>
          <w:spacing w:val="23"/>
          <w:w w:val="101"/>
          <w:sz w:val="20"/>
          <w:szCs w:val="20"/>
        </w:rPr>
        <w:t xml:space="preserve"> </w:t>
      </w:r>
      <w:r>
        <w:rPr>
          <w:rFonts w:ascii="Times New Roman" w:hAnsi="Times New Roman" w:eastAsia="Times New Roman" w:cs="Times New Roman"/>
          <w:spacing w:val="-1"/>
          <w:sz w:val="20"/>
          <w:szCs w:val="20"/>
        </w:rPr>
        <w:t>strategies</w:t>
      </w:r>
      <w:r>
        <w:rPr>
          <w:rFonts w:ascii="Times New Roman" w:hAnsi="Times New Roman" w:eastAsia="Times New Roman" w:cs="Times New Roman"/>
          <w:spacing w:val="21"/>
          <w:sz w:val="20"/>
          <w:szCs w:val="20"/>
        </w:rPr>
        <w:t xml:space="preserve"> </w:t>
      </w:r>
      <w:r>
        <w:rPr>
          <w:rFonts w:ascii="Times New Roman" w:hAnsi="Times New Roman" w:eastAsia="Times New Roman" w:cs="Times New Roman"/>
          <w:spacing w:val="-1"/>
          <w:sz w:val="20"/>
          <w:szCs w:val="20"/>
        </w:rPr>
        <w:t>and</w:t>
      </w:r>
      <w:r>
        <w:rPr>
          <w:rFonts w:ascii="Times New Roman" w:hAnsi="Times New Roman" w:eastAsia="Times New Roman" w:cs="Times New Roman"/>
          <w:spacing w:val="15"/>
          <w:sz w:val="20"/>
          <w:szCs w:val="20"/>
        </w:rPr>
        <w:t xml:space="preserve"> </w:t>
      </w:r>
      <w:r>
        <w:rPr>
          <w:rFonts w:ascii="Times New Roman" w:hAnsi="Times New Roman" w:eastAsia="Times New Roman" w:cs="Times New Roman"/>
          <w:spacing w:val="-1"/>
          <w:sz w:val="20"/>
          <w:szCs w:val="20"/>
        </w:rPr>
        <w:t>measures.</w:t>
      </w:r>
    </w:p>
    <w:p w14:paraId="533B222F">
      <w:pPr>
        <w:spacing w:line="326" w:lineRule="auto"/>
        <w:rPr>
          <w:rFonts w:ascii="Arial"/>
          <w:sz w:val="21"/>
        </w:rPr>
      </w:pPr>
    </w:p>
    <w:p w14:paraId="71D379EE">
      <w:pPr>
        <w:pStyle w:val="2"/>
        <w:spacing w:before="91" w:line="221" w:lineRule="auto"/>
        <w:ind w:left="3963"/>
        <w:outlineLvl w:val="2"/>
        <w:rPr>
          <w:sz w:val="28"/>
          <w:szCs w:val="28"/>
        </w:rPr>
      </w:pPr>
      <w:bookmarkStart w:id="300" w:name="bookmark190"/>
      <w:bookmarkEnd w:id="300"/>
      <w:r>
        <w:rPr>
          <w:b/>
          <w:bCs/>
          <w:spacing w:val="-1"/>
          <w:sz w:val="28"/>
          <w:szCs w:val="28"/>
        </w:rPr>
        <w:t>第一节</w:t>
      </w:r>
      <w:r>
        <w:rPr>
          <w:spacing w:val="-1"/>
          <w:sz w:val="28"/>
          <w:szCs w:val="28"/>
        </w:rPr>
        <w:t xml:space="preserve">  </w:t>
      </w:r>
      <w:r>
        <w:rPr>
          <w:b/>
          <w:bCs/>
          <w:spacing w:val="-1"/>
          <w:sz w:val="28"/>
          <w:szCs w:val="28"/>
        </w:rPr>
        <w:t>概</w:t>
      </w:r>
      <w:r>
        <w:rPr>
          <w:spacing w:val="-1"/>
          <w:sz w:val="28"/>
          <w:szCs w:val="28"/>
        </w:rPr>
        <w:t xml:space="preserve">  </w:t>
      </w:r>
      <w:r>
        <w:rPr>
          <w:b/>
          <w:bCs/>
          <w:spacing w:val="-1"/>
          <w:sz w:val="28"/>
          <w:szCs w:val="28"/>
        </w:rPr>
        <w:t>述</w:t>
      </w:r>
    </w:p>
    <w:p w14:paraId="01F28F47">
      <w:pPr>
        <w:spacing w:line="336" w:lineRule="auto"/>
        <w:rPr>
          <w:rFonts w:ascii="Arial"/>
          <w:sz w:val="21"/>
        </w:rPr>
      </w:pPr>
    </w:p>
    <w:p w14:paraId="5399F736">
      <w:pPr>
        <w:spacing w:before="65" w:line="347" w:lineRule="auto"/>
        <w:ind w:left="619" w:firstLine="410"/>
        <w:jc w:val="both"/>
        <w:rPr>
          <w:rFonts w:ascii="宋体" w:hAnsi="宋体" w:eastAsia="宋体" w:cs="宋体"/>
          <w:sz w:val="20"/>
          <w:szCs w:val="20"/>
        </w:rPr>
      </w:pPr>
      <w:r>
        <w:rPr>
          <w:rFonts w:ascii="宋体" w:hAnsi="宋体" w:eastAsia="宋体" w:cs="宋体"/>
          <w:spacing w:val="3"/>
          <w:sz w:val="20"/>
          <w:szCs w:val="20"/>
        </w:rPr>
        <w:t>传染病</w:t>
      </w:r>
      <w:r>
        <w:rPr>
          <w:rFonts w:ascii="Times New Roman" w:hAnsi="Times New Roman" w:eastAsia="Times New Roman" w:cs="Times New Roman"/>
          <w:spacing w:val="3"/>
          <w:sz w:val="20"/>
          <w:szCs w:val="20"/>
        </w:rPr>
        <w:t>(</w:t>
      </w:r>
      <w:r>
        <w:rPr>
          <w:rFonts w:ascii="Times New Roman" w:hAnsi="Times New Roman" w:eastAsia="Times New Roman" w:cs="Times New Roman"/>
          <w:sz w:val="20"/>
          <w:szCs w:val="20"/>
        </w:rPr>
        <w:t>infectious    disease</w:t>
      </w:r>
      <w:r>
        <w:rPr>
          <w:rFonts w:ascii="Times New Roman" w:hAnsi="Times New Roman" w:eastAsia="Times New Roman" w:cs="Times New Roman"/>
          <w:spacing w:val="3"/>
          <w:sz w:val="20"/>
          <w:szCs w:val="20"/>
        </w:rPr>
        <w:t>;</w:t>
      </w:r>
      <w:r>
        <w:rPr>
          <w:rFonts w:ascii="Times New Roman" w:hAnsi="Times New Roman" w:eastAsia="Times New Roman" w:cs="Times New Roman"/>
          <w:sz w:val="20"/>
          <w:szCs w:val="20"/>
        </w:rPr>
        <w:t>communicable</w:t>
      </w:r>
      <w:r>
        <w:rPr>
          <w:rFonts w:ascii="Times New Roman" w:hAnsi="Times New Roman" w:eastAsia="Times New Roman" w:cs="Times New Roman"/>
          <w:spacing w:val="1"/>
          <w:sz w:val="20"/>
          <w:szCs w:val="20"/>
        </w:rPr>
        <w:t xml:space="preserve">    </w:t>
      </w:r>
      <w:r>
        <w:rPr>
          <w:rFonts w:ascii="Times New Roman" w:hAnsi="Times New Roman" w:eastAsia="Times New Roman" w:cs="Times New Roman"/>
          <w:sz w:val="20"/>
          <w:szCs w:val="20"/>
        </w:rPr>
        <w:t>disease</w:t>
      </w:r>
      <w:r>
        <w:rPr>
          <w:rFonts w:ascii="Times New Roman" w:hAnsi="Times New Roman" w:eastAsia="Times New Roman" w:cs="Times New Roman"/>
          <w:spacing w:val="3"/>
          <w:sz w:val="20"/>
          <w:szCs w:val="20"/>
        </w:rPr>
        <w:t>)</w:t>
      </w:r>
      <w:r>
        <w:rPr>
          <w:rFonts w:ascii="宋体" w:hAnsi="宋体" w:eastAsia="宋体" w:cs="宋体"/>
          <w:spacing w:val="3"/>
          <w:sz w:val="20"/>
          <w:szCs w:val="20"/>
        </w:rPr>
        <w:t>是由病原体(如细菌、病毒、寄生</w:t>
      </w:r>
      <w:r>
        <w:rPr>
          <w:rFonts w:ascii="宋体" w:hAnsi="宋体" w:eastAsia="宋体" w:cs="宋体"/>
          <w:spacing w:val="2"/>
          <w:sz w:val="20"/>
          <w:szCs w:val="20"/>
        </w:rPr>
        <w:t>虫)引起的，</w:t>
      </w:r>
      <w:r>
        <w:rPr>
          <w:rFonts w:ascii="宋体" w:hAnsi="宋体" w:eastAsia="宋体" w:cs="宋体"/>
          <w:sz w:val="20"/>
          <w:szCs w:val="20"/>
        </w:rPr>
        <w:t xml:space="preserve"> </w:t>
      </w:r>
      <w:r>
        <w:rPr>
          <w:rFonts w:ascii="宋体" w:hAnsi="宋体" w:eastAsia="宋体" w:cs="宋体"/>
          <w:spacing w:val="8"/>
          <w:sz w:val="20"/>
          <w:szCs w:val="20"/>
        </w:rPr>
        <w:t>能在人与人、动物与动物以及人与动物之间传播的疾病。病原体通过感染</w:t>
      </w:r>
      <w:r>
        <w:rPr>
          <w:rFonts w:ascii="宋体" w:hAnsi="宋体" w:eastAsia="宋体" w:cs="宋体"/>
          <w:spacing w:val="7"/>
          <w:sz w:val="20"/>
          <w:szCs w:val="20"/>
        </w:rPr>
        <w:t>的人或动物直接或间接</w:t>
      </w:r>
      <w:r>
        <w:rPr>
          <w:rFonts w:ascii="宋体" w:hAnsi="宋体" w:eastAsia="宋体" w:cs="宋体"/>
          <w:sz w:val="20"/>
          <w:szCs w:val="20"/>
        </w:rPr>
        <w:t xml:space="preserve"> </w:t>
      </w:r>
      <w:r>
        <w:rPr>
          <w:rFonts w:ascii="宋体" w:hAnsi="宋体" w:eastAsia="宋体" w:cs="宋体"/>
          <w:spacing w:val="-1"/>
          <w:sz w:val="20"/>
          <w:szCs w:val="20"/>
        </w:rPr>
        <w:t>地传播，感染易感者。历史上，天花、鼠疫、</w:t>
      </w:r>
      <w:r>
        <w:rPr>
          <w:rFonts w:ascii="宋体" w:hAnsi="宋体" w:eastAsia="宋体" w:cs="宋体"/>
          <w:spacing w:val="-2"/>
          <w:sz w:val="20"/>
          <w:szCs w:val="20"/>
        </w:rPr>
        <w:t>霍乱、流感等传染病给人类带来了巨大的灾难。传染病</w:t>
      </w:r>
      <w:r>
        <w:rPr>
          <w:rFonts w:ascii="宋体" w:hAnsi="宋体" w:eastAsia="宋体" w:cs="宋体"/>
          <w:sz w:val="20"/>
          <w:szCs w:val="20"/>
        </w:rPr>
        <w:t xml:space="preserve"> </w:t>
      </w:r>
      <w:r>
        <w:rPr>
          <w:rFonts w:ascii="宋体" w:hAnsi="宋体" w:eastAsia="宋体" w:cs="宋体"/>
          <w:spacing w:val="5"/>
          <w:sz w:val="20"/>
          <w:szCs w:val="20"/>
        </w:rPr>
        <w:t>流行病学就是在此背景下应运而生的，旨在研究传染病在人</w:t>
      </w:r>
      <w:r>
        <w:rPr>
          <w:rFonts w:ascii="宋体" w:hAnsi="宋体" w:eastAsia="宋体" w:cs="宋体"/>
          <w:spacing w:val="4"/>
          <w:sz w:val="20"/>
          <w:szCs w:val="20"/>
        </w:rPr>
        <w:t>群中的发生、发展规律及其影响因素，</w:t>
      </w:r>
      <w:r>
        <w:rPr>
          <w:rFonts w:ascii="宋体" w:hAnsi="宋体" w:eastAsia="宋体" w:cs="宋体"/>
          <w:sz w:val="20"/>
          <w:szCs w:val="20"/>
        </w:rPr>
        <w:t xml:space="preserve"> </w:t>
      </w:r>
      <w:r>
        <w:rPr>
          <w:rFonts w:ascii="宋体" w:hAnsi="宋体" w:eastAsia="宋体" w:cs="宋体"/>
          <w:spacing w:val="-2"/>
          <w:sz w:val="20"/>
          <w:szCs w:val="20"/>
        </w:rPr>
        <w:t>并制定预防、控制和消灭传染病的策略和措施。</w:t>
      </w:r>
    </w:p>
    <w:p w14:paraId="05942372">
      <w:pPr>
        <w:pStyle w:val="2"/>
        <w:spacing w:before="220" w:line="221" w:lineRule="auto"/>
        <w:ind w:left="1032"/>
        <w:outlineLvl w:val="4"/>
        <w:rPr>
          <w:sz w:val="20"/>
          <w:szCs w:val="20"/>
        </w:rPr>
      </w:pPr>
      <w:bookmarkStart w:id="301" w:name="bookmark191"/>
      <w:bookmarkEnd w:id="301"/>
      <w:r>
        <w:rPr>
          <w:b/>
          <w:bCs/>
          <w:spacing w:val="27"/>
          <w:sz w:val="20"/>
          <w:szCs w:val="20"/>
        </w:rPr>
        <w:t>一</w:t>
      </w:r>
      <w:r>
        <w:rPr>
          <w:spacing w:val="27"/>
          <w:sz w:val="20"/>
          <w:szCs w:val="20"/>
        </w:rPr>
        <w:t xml:space="preserve"> </w:t>
      </w:r>
      <w:r>
        <w:rPr>
          <w:b/>
          <w:bCs/>
          <w:spacing w:val="27"/>
          <w:sz w:val="20"/>
          <w:szCs w:val="20"/>
        </w:rPr>
        <w:t>、传染病流行简史</w:t>
      </w:r>
    </w:p>
    <w:p w14:paraId="60402F88">
      <w:pPr>
        <w:spacing w:before="285" w:line="333" w:lineRule="auto"/>
        <w:ind w:left="619" w:right="49" w:firstLine="410"/>
        <w:jc w:val="both"/>
        <w:rPr>
          <w:rFonts w:ascii="宋体" w:hAnsi="宋体" w:eastAsia="宋体" w:cs="宋体"/>
          <w:sz w:val="20"/>
          <w:szCs w:val="20"/>
        </w:rPr>
      </w:pPr>
      <w:r>
        <w:rPr>
          <w:rFonts w:ascii="宋体" w:hAnsi="宋体" w:eastAsia="宋体" w:cs="宋体"/>
          <w:spacing w:val="6"/>
          <w:sz w:val="20"/>
          <w:szCs w:val="20"/>
        </w:rPr>
        <w:t>大约在1万年前，人类生产方式从狩猎和采集转为农耕，伴随着大规模的人群</w:t>
      </w:r>
      <w:r>
        <w:rPr>
          <w:rFonts w:ascii="宋体" w:hAnsi="宋体" w:eastAsia="宋体" w:cs="宋体"/>
          <w:spacing w:val="5"/>
          <w:sz w:val="20"/>
          <w:szCs w:val="20"/>
        </w:rPr>
        <w:t>聚居以及与动物</w:t>
      </w:r>
      <w:r>
        <w:rPr>
          <w:rFonts w:ascii="宋体" w:hAnsi="宋体" w:eastAsia="宋体" w:cs="宋体"/>
          <w:sz w:val="20"/>
          <w:szCs w:val="20"/>
        </w:rPr>
        <w:t xml:space="preserve"> </w:t>
      </w:r>
      <w:r>
        <w:rPr>
          <w:rFonts w:ascii="宋体" w:hAnsi="宋体" w:eastAsia="宋体" w:cs="宋体"/>
          <w:spacing w:val="5"/>
          <w:sz w:val="20"/>
          <w:szCs w:val="20"/>
        </w:rPr>
        <w:t>的密切接触，传染病频发且规模剧增。文献记载中，频现多种烈性传染病造成的重大灾难。公元6</w:t>
      </w:r>
      <w:r>
        <w:rPr>
          <w:rFonts w:ascii="宋体" w:hAnsi="宋体" w:eastAsia="宋体" w:cs="宋体"/>
          <w:spacing w:val="14"/>
          <w:sz w:val="20"/>
          <w:szCs w:val="20"/>
        </w:rPr>
        <w:t xml:space="preserve"> </w:t>
      </w:r>
      <w:r>
        <w:rPr>
          <w:rFonts w:ascii="宋体" w:hAnsi="宋体" w:eastAsia="宋体" w:cs="宋体"/>
          <w:spacing w:val="10"/>
          <w:sz w:val="20"/>
          <w:szCs w:val="20"/>
        </w:rPr>
        <w:t>世纪，人类有文献记载的第一次鼠疫大流行持续近60年，死亡总数近1亿人。第二次世界性鼠疫</w:t>
      </w:r>
      <w:r>
        <w:rPr>
          <w:rFonts w:ascii="宋体" w:hAnsi="宋体" w:eastAsia="宋体" w:cs="宋体"/>
          <w:sz w:val="20"/>
          <w:szCs w:val="20"/>
        </w:rPr>
        <w:t xml:space="preserve"> </w:t>
      </w:r>
      <w:r>
        <w:rPr>
          <w:rFonts w:ascii="宋体" w:hAnsi="宋体" w:eastAsia="宋体" w:cs="宋体"/>
          <w:spacing w:val="3"/>
          <w:sz w:val="20"/>
          <w:szCs w:val="20"/>
        </w:rPr>
        <w:t>大流行发生于1347—1351年，史称“黑死病”,使欧洲</w:t>
      </w:r>
      <w:r>
        <w:rPr>
          <w:rFonts w:ascii="宋体" w:hAnsi="宋体" w:eastAsia="宋体" w:cs="宋体"/>
          <w:spacing w:val="2"/>
          <w:sz w:val="20"/>
          <w:szCs w:val="20"/>
        </w:rPr>
        <w:t>人口减少了近1/4。15世纪，欧洲殖民者将天</w:t>
      </w:r>
      <w:r>
        <w:rPr>
          <w:rFonts w:ascii="宋体" w:hAnsi="宋体" w:eastAsia="宋体" w:cs="宋体"/>
          <w:sz w:val="20"/>
          <w:szCs w:val="20"/>
        </w:rPr>
        <w:t xml:space="preserve"> </w:t>
      </w:r>
      <w:r>
        <w:rPr>
          <w:rFonts w:ascii="宋体" w:hAnsi="宋体" w:eastAsia="宋体" w:cs="宋体"/>
          <w:spacing w:val="5"/>
          <w:sz w:val="20"/>
          <w:szCs w:val="20"/>
        </w:rPr>
        <w:t>花、麻疹、鼠疫等传入美洲，使美洲土著人口减少了90%。17—18世纪，天花肆虐欧洲，死亡</w:t>
      </w:r>
      <w:r>
        <w:rPr>
          <w:rFonts w:ascii="宋体" w:hAnsi="宋体" w:eastAsia="宋体" w:cs="宋体"/>
          <w:spacing w:val="4"/>
          <w:sz w:val="20"/>
          <w:szCs w:val="20"/>
        </w:rPr>
        <w:t>人数</w:t>
      </w:r>
      <w:r>
        <w:rPr>
          <w:rFonts w:ascii="宋体" w:hAnsi="宋体" w:eastAsia="宋体" w:cs="宋体"/>
          <w:sz w:val="20"/>
          <w:szCs w:val="20"/>
        </w:rPr>
        <w:t xml:space="preserve"> </w:t>
      </w:r>
      <w:r>
        <w:rPr>
          <w:rFonts w:ascii="宋体" w:hAnsi="宋体" w:eastAsia="宋体" w:cs="宋体"/>
          <w:spacing w:val="9"/>
          <w:sz w:val="20"/>
          <w:szCs w:val="20"/>
        </w:rPr>
        <w:t>高达1.5亿。1918年，第一次世界大战引发全球流感大流行，死亡人数逾2000万，远超战场死亡</w:t>
      </w:r>
      <w:r>
        <w:rPr>
          <w:rFonts w:ascii="宋体" w:hAnsi="宋体" w:eastAsia="宋体" w:cs="宋体"/>
          <w:spacing w:val="4"/>
          <w:sz w:val="20"/>
          <w:szCs w:val="20"/>
        </w:rPr>
        <w:t xml:space="preserve"> </w:t>
      </w:r>
      <w:r>
        <w:rPr>
          <w:rFonts w:ascii="宋体" w:hAnsi="宋体" w:eastAsia="宋体" w:cs="宋体"/>
          <w:spacing w:val="6"/>
          <w:sz w:val="20"/>
          <w:szCs w:val="20"/>
        </w:rPr>
        <w:t>人数。</w:t>
      </w:r>
    </w:p>
    <w:p w14:paraId="6896F9A6">
      <w:pPr>
        <w:spacing w:before="72" w:line="329" w:lineRule="auto"/>
        <w:ind w:left="619" w:right="49" w:firstLine="410"/>
        <w:jc w:val="both"/>
        <w:rPr>
          <w:rFonts w:ascii="宋体" w:hAnsi="宋体" w:eastAsia="宋体" w:cs="宋体"/>
          <w:sz w:val="20"/>
          <w:szCs w:val="20"/>
        </w:rPr>
      </w:pPr>
      <w:r>
        <w:rPr>
          <w:rFonts w:ascii="宋体" w:hAnsi="宋体" w:eastAsia="宋体" w:cs="宋体"/>
          <w:spacing w:val="3"/>
          <w:sz w:val="20"/>
          <w:szCs w:val="20"/>
        </w:rPr>
        <w:t>20世纪以来，随着人类生活水平和卫生条件的改善，尤其是疫苗和抗生素的应用使全球</w:t>
      </w:r>
      <w:r>
        <w:rPr>
          <w:rFonts w:ascii="宋体" w:hAnsi="宋体" w:eastAsia="宋体" w:cs="宋体"/>
          <w:spacing w:val="2"/>
          <w:sz w:val="20"/>
          <w:szCs w:val="20"/>
        </w:rPr>
        <w:t>传染病</w:t>
      </w:r>
      <w:r>
        <w:rPr>
          <w:rFonts w:ascii="宋体" w:hAnsi="宋体" w:eastAsia="宋体" w:cs="宋体"/>
          <w:sz w:val="20"/>
          <w:szCs w:val="20"/>
        </w:rPr>
        <w:t xml:space="preserve"> </w:t>
      </w:r>
      <w:r>
        <w:rPr>
          <w:rFonts w:ascii="宋体" w:hAnsi="宋体" w:eastAsia="宋体" w:cs="宋体"/>
          <w:spacing w:val="17"/>
          <w:sz w:val="20"/>
          <w:szCs w:val="20"/>
        </w:rPr>
        <w:t>死亡占比从19世纪的50%～60%降至20世纪中后期的不足10%。1990—2021年间，全</w:t>
      </w:r>
      <w:r>
        <w:rPr>
          <w:rFonts w:ascii="宋体" w:hAnsi="宋体" w:eastAsia="宋体" w:cs="宋体"/>
          <w:spacing w:val="16"/>
          <w:sz w:val="20"/>
          <w:szCs w:val="20"/>
        </w:rPr>
        <w:t>球由早死</w:t>
      </w:r>
      <w:r>
        <w:rPr>
          <w:rFonts w:ascii="宋体" w:hAnsi="宋体" w:eastAsia="宋体" w:cs="宋体"/>
          <w:sz w:val="20"/>
          <w:szCs w:val="20"/>
        </w:rPr>
        <w:t xml:space="preserve"> </w:t>
      </w:r>
      <w:r>
        <w:rPr>
          <w:rFonts w:ascii="宋体" w:hAnsi="宋体" w:eastAsia="宋体" w:cs="宋体"/>
          <w:spacing w:val="4"/>
          <w:sz w:val="20"/>
          <w:szCs w:val="20"/>
        </w:rPr>
        <w:t>所致寿命损失年的前十大原因逐渐从以传染病为主转为以非传染性疾病为主。然而，</w:t>
      </w:r>
      <w:r>
        <w:rPr>
          <w:rFonts w:ascii="宋体" w:hAnsi="宋体" w:eastAsia="宋体" w:cs="宋体"/>
          <w:spacing w:val="81"/>
          <w:sz w:val="20"/>
          <w:szCs w:val="20"/>
        </w:rPr>
        <w:t xml:space="preserve"> </w:t>
      </w:r>
      <w:r>
        <w:rPr>
          <w:rFonts w:ascii="宋体" w:hAnsi="宋体" w:eastAsia="宋体" w:cs="宋体"/>
          <w:spacing w:val="4"/>
          <w:sz w:val="20"/>
          <w:szCs w:val="20"/>
        </w:rPr>
        <w:t>一些古老传</w:t>
      </w:r>
      <w:r>
        <w:rPr>
          <w:rFonts w:ascii="宋体" w:hAnsi="宋体" w:eastAsia="宋体" w:cs="宋体"/>
          <w:sz w:val="20"/>
          <w:szCs w:val="20"/>
        </w:rPr>
        <w:t xml:space="preserve"> </w:t>
      </w:r>
      <w:r>
        <w:rPr>
          <w:rFonts w:ascii="宋体" w:hAnsi="宋体" w:eastAsia="宋体" w:cs="宋体"/>
          <w:spacing w:val="-2"/>
          <w:sz w:val="20"/>
          <w:szCs w:val="20"/>
        </w:rPr>
        <w:t>染病的“死灰复燃”和新发传染病的出现，以及全球化进程导致的传染病扩散速度空前加快，世界各</w:t>
      </w:r>
      <w:r>
        <w:rPr>
          <w:rFonts w:ascii="宋体" w:hAnsi="宋体" w:eastAsia="宋体" w:cs="宋体"/>
          <w:spacing w:val="16"/>
          <w:sz w:val="20"/>
          <w:szCs w:val="20"/>
        </w:rPr>
        <w:t xml:space="preserve"> </w:t>
      </w:r>
      <w:r>
        <w:rPr>
          <w:rFonts w:ascii="宋体" w:hAnsi="宋体" w:eastAsia="宋体" w:cs="宋体"/>
          <w:spacing w:val="3"/>
          <w:sz w:val="20"/>
          <w:szCs w:val="20"/>
        </w:rPr>
        <w:t>地传染病的发病和死亡出现较明显的回升，传染病的威胁重新引起高度关注。2021年，新型</w:t>
      </w:r>
      <w:r>
        <w:rPr>
          <w:rFonts w:ascii="宋体" w:hAnsi="宋体" w:eastAsia="宋体" w:cs="宋体"/>
          <w:spacing w:val="2"/>
          <w:sz w:val="20"/>
          <w:szCs w:val="20"/>
        </w:rPr>
        <w:t>冠状病</w:t>
      </w:r>
      <w:r>
        <w:rPr>
          <w:rFonts w:ascii="宋体" w:hAnsi="宋体" w:eastAsia="宋体" w:cs="宋体"/>
          <w:sz w:val="20"/>
          <w:szCs w:val="20"/>
        </w:rPr>
        <w:t xml:space="preserve"> </w:t>
      </w:r>
      <w:r>
        <w:rPr>
          <w:rFonts w:ascii="宋体" w:hAnsi="宋体" w:eastAsia="宋体" w:cs="宋体"/>
          <w:spacing w:val="5"/>
          <w:sz w:val="20"/>
          <w:szCs w:val="20"/>
        </w:rPr>
        <w:t>毒感染</w:t>
      </w:r>
      <w:r>
        <w:rPr>
          <w:rFonts w:ascii="Times New Roman" w:hAnsi="Times New Roman" w:eastAsia="Times New Roman" w:cs="Times New Roman"/>
          <w:spacing w:val="5"/>
          <w:sz w:val="20"/>
          <w:szCs w:val="20"/>
        </w:rPr>
        <w:t>(</w:t>
      </w:r>
      <w:r>
        <w:rPr>
          <w:rFonts w:ascii="Times New Roman" w:hAnsi="Times New Roman" w:eastAsia="Times New Roman" w:cs="Times New Roman"/>
          <w:sz w:val="20"/>
          <w:szCs w:val="20"/>
        </w:rPr>
        <w:t>COVID</w:t>
      </w:r>
      <w:r>
        <w:rPr>
          <w:rFonts w:ascii="Times New Roman" w:hAnsi="Times New Roman" w:eastAsia="Times New Roman" w:cs="Times New Roman"/>
          <w:spacing w:val="5"/>
          <w:sz w:val="20"/>
          <w:szCs w:val="20"/>
        </w:rPr>
        <w:t>-19)</w:t>
      </w:r>
      <w:r>
        <w:rPr>
          <w:rFonts w:ascii="Times New Roman" w:hAnsi="Times New Roman" w:eastAsia="Times New Roman" w:cs="Times New Roman"/>
          <w:spacing w:val="-14"/>
          <w:sz w:val="20"/>
          <w:szCs w:val="20"/>
        </w:rPr>
        <w:t xml:space="preserve"> </w:t>
      </w:r>
      <w:r>
        <w:rPr>
          <w:rFonts w:ascii="宋体" w:hAnsi="宋体" w:eastAsia="宋体" w:cs="宋体"/>
          <w:spacing w:val="5"/>
          <w:sz w:val="20"/>
          <w:szCs w:val="20"/>
        </w:rPr>
        <w:t>大流行使单一传染病重新占据寿命损失原因榜的首位(表11-1</w:t>
      </w:r>
      <w:r>
        <w:rPr>
          <w:rFonts w:ascii="宋体" w:hAnsi="宋体" w:eastAsia="宋体" w:cs="宋体"/>
          <w:spacing w:val="4"/>
          <w:sz w:val="20"/>
          <w:szCs w:val="20"/>
        </w:rPr>
        <w:t>)。</w:t>
      </w:r>
    </w:p>
    <w:p w14:paraId="4E655CEA">
      <w:pPr>
        <w:spacing w:before="84" w:line="334" w:lineRule="auto"/>
        <w:ind w:left="619" w:right="69" w:firstLine="410"/>
        <w:rPr>
          <w:rFonts w:ascii="宋体" w:hAnsi="宋体" w:eastAsia="宋体" w:cs="宋体"/>
          <w:sz w:val="20"/>
          <w:szCs w:val="20"/>
        </w:rPr>
      </w:pPr>
      <w:r>
        <w:rPr>
          <w:rFonts w:ascii="宋体" w:hAnsi="宋体" w:eastAsia="宋体" w:cs="宋体"/>
          <w:spacing w:val="-2"/>
          <w:sz w:val="20"/>
          <w:szCs w:val="20"/>
        </w:rPr>
        <w:t>1949年新中国成立时，天花、鼠疫、霍乱、疟疾、血吸虫病等传染病在我国肆虐，严重危害人民</w:t>
      </w:r>
      <w:r>
        <w:rPr>
          <w:rFonts w:ascii="宋体" w:hAnsi="宋体" w:eastAsia="宋体" w:cs="宋体"/>
          <w:spacing w:val="7"/>
          <w:sz w:val="20"/>
          <w:szCs w:val="20"/>
        </w:rPr>
        <w:t xml:space="preserve"> </w:t>
      </w:r>
      <w:r>
        <w:rPr>
          <w:rFonts w:ascii="宋体" w:hAnsi="宋体" w:eastAsia="宋体" w:cs="宋体"/>
          <w:spacing w:val="3"/>
          <w:sz w:val="20"/>
          <w:szCs w:val="20"/>
        </w:rPr>
        <w:t>群众的健康。70余年来，我国政府高度重视，陆续出台一系列方针政策和法律法规，组</w:t>
      </w:r>
      <w:r>
        <w:rPr>
          <w:rFonts w:ascii="宋体" w:hAnsi="宋体" w:eastAsia="宋体" w:cs="宋体"/>
          <w:spacing w:val="2"/>
          <w:sz w:val="20"/>
          <w:szCs w:val="20"/>
        </w:rPr>
        <w:t>织全国力量</w:t>
      </w:r>
    </w:p>
    <w:p w14:paraId="7C7E6165">
      <w:pPr>
        <w:spacing w:line="334" w:lineRule="auto"/>
        <w:rPr>
          <w:rFonts w:ascii="宋体" w:hAnsi="宋体" w:eastAsia="宋体" w:cs="宋体"/>
          <w:sz w:val="20"/>
          <w:szCs w:val="20"/>
        </w:rPr>
        <w:sectPr>
          <w:footerReference r:id="rId201" w:type="default"/>
          <w:pgSz w:w="11900" w:h="16820"/>
          <w:pgMar w:top="400" w:right="1540" w:bottom="829" w:left="939" w:header="0" w:footer="649" w:gutter="0"/>
          <w:cols w:space="720" w:num="1"/>
        </w:sectPr>
      </w:pPr>
    </w:p>
    <w:p w14:paraId="5B9BF40D">
      <w:pPr>
        <w:pStyle w:val="2"/>
        <w:spacing w:before="216" w:line="221" w:lineRule="auto"/>
        <w:ind w:left="6959"/>
        <w:rPr>
          <w:sz w:val="21"/>
          <w:szCs w:val="21"/>
        </w:rPr>
      </w:pPr>
      <w:bookmarkStart w:id="302" w:name="bookmark502"/>
      <w:bookmarkEnd w:id="302"/>
      <w:r>
        <w:rPr>
          <w:spacing w:val="-15"/>
          <w:w w:val="96"/>
          <w:sz w:val="21"/>
          <w:szCs w:val="21"/>
        </w:rPr>
        <w:t>第十一章传染病流行病学</w:t>
      </w:r>
    </w:p>
    <w:p w14:paraId="40748FAC">
      <w:pPr>
        <w:spacing w:before="93"/>
      </w:pPr>
    </w:p>
    <w:p w14:paraId="49BF5CB6">
      <w:pPr>
        <w:spacing w:before="93"/>
      </w:pPr>
    </w:p>
    <w:p w14:paraId="287F3CB2">
      <w:pPr>
        <w:sectPr>
          <w:footerReference r:id="rId202" w:type="default"/>
          <w:pgSz w:w="11900" w:h="16820"/>
          <w:pgMar w:top="400" w:right="819" w:bottom="826" w:left="1450" w:header="0" w:footer="637" w:gutter="0"/>
          <w:cols w:equalWidth="0" w:num="1">
            <w:col w:w="9631"/>
          </w:cols>
        </w:sectPr>
      </w:pPr>
    </w:p>
    <w:p w14:paraId="0199B40E">
      <w:pPr>
        <w:spacing w:before="28" w:line="221" w:lineRule="auto"/>
        <w:ind w:left="870"/>
        <w:rPr>
          <w:rFonts w:ascii="宋体" w:hAnsi="宋体" w:eastAsia="宋体" w:cs="宋体"/>
          <w:sz w:val="14"/>
          <w:szCs w:val="14"/>
        </w:rPr>
      </w:pPr>
      <w:r>
        <w:rPr>
          <w:rFonts w:ascii="宋体" w:hAnsi="宋体" w:eastAsia="宋体" w:cs="宋体"/>
          <w:spacing w:val="-1"/>
          <w:sz w:val="14"/>
          <w:szCs w:val="14"/>
        </w:rPr>
        <w:t>表11-1199</w:t>
      </w:r>
    </w:p>
    <w:p w14:paraId="70473EE1">
      <w:pPr>
        <w:spacing w:line="14" w:lineRule="auto"/>
        <w:rPr>
          <w:rFonts w:ascii="Arial"/>
          <w:sz w:val="2"/>
        </w:rPr>
      </w:pPr>
      <w:r>
        <w:rPr>
          <w:rFonts w:ascii="Arial" w:hAnsi="Arial" w:eastAsia="Arial" w:cs="Arial"/>
          <w:sz w:val="2"/>
          <w:szCs w:val="2"/>
        </w:rPr>
        <w:br w:type="column"/>
      </w:r>
    </w:p>
    <w:p w14:paraId="49989652">
      <w:pPr>
        <w:spacing w:before="26" w:line="219" w:lineRule="auto"/>
        <w:rPr>
          <w:rFonts w:ascii="宋体" w:hAnsi="宋体" w:eastAsia="宋体" w:cs="宋体"/>
          <w:sz w:val="14"/>
          <w:szCs w:val="14"/>
        </w:rPr>
      </w:pPr>
      <w:r>
        <w:rPr>
          <w:rFonts w:ascii="宋体" w:hAnsi="宋体" w:eastAsia="宋体" w:cs="宋体"/>
          <w:spacing w:val="-1"/>
          <w:sz w:val="14"/>
          <w:szCs w:val="14"/>
        </w:rPr>
        <w:t>0年、2005年、2015</w:t>
      </w:r>
    </w:p>
    <w:p w14:paraId="3AABBA24">
      <w:pPr>
        <w:spacing w:line="14" w:lineRule="auto"/>
        <w:rPr>
          <w:rFonts w:ascii="Arial"/>
          <w:sz w:val="2"/>
        </w:rPr>
      </w:pPr>
      <w:r>
        <w:rPr>
          <w:rFonts w:ascii="Arial" w:hAnsi="Arial" w:eastAsia="Arial" w:cs="Arial"/>
          <w:sz w:val="2"/>
          <w:szCs w:val="2"/>
        </w:rPr>
        <w:br w:type="column"/>
      </w:r>
    </w:p>
    <w:p w14:paraId="00F27747">
      <w:pPr>
        <w:spacing w:before="26" w:line="219" w:lineRule="auto"/>
        <w:rPr>
          <w:rFonts w:ascii="宋体" w:hAnsi="宋体" w:eastAsia="宋体" w:cs="宋体"/>
          <w:sz w:val="14"/>
          <w:szCs w:val="14"/>
        </w:rPr>
      </w:pPr>
      <w:r>
        <w:rPr>
          <w:rFonts w:ascii="宋体" w:hAnsi="宋体" w:eastAsia="宋体" w:cs="宋体"/>
          <w:spacing w:val="-1"/>
          <w:sz w:val="14"/>
          <w:szCs w:val="14"/>
        </w:rPr>
        <w:t>年和2021年全球寿命损</w:t>
      </w:r>
    </w:p>
    <w:p w14:paraId="5B22582A">
      <w:pPr>
        <w:spacing w:line="14" w:lineRule="auto"/>
        <w:rPr>
          <w:rFonts w:ascii="Arial"/>
          <w:sz w:val="2"/>
        </w:rPr>
      </w:pPr>
      <w:r>
        <w:rPr>
          <w:rFonts w:ascii="Arial" w:hAnsi="Arial" w:eastAsia="Arial" w:cs="Arial"/>
          <w:sz w:val="2"/>
          <w:szCs w:val="2"/>
        </w:rPr>
        <w:br w:type="column"/>
      </w:r>
    </w:p>
    <w:p w14:paraId="7C6D4675">
      <w:pPr>
        <w:spacing w:before="26" w:line="219" w:lineRule="auto"/>
        <w:rPr>
          <w:rFonts w:ascii="宋体" w:hAnsi="宋体" w:eastAsia="宋体" w:cs="宋体"/>
          <w:sz w:val="14"/>
          <w:szCs w:val="14"/>
        </w:rPr>
      </w:pPr>
      <w:r>
        <w:rPr>
          <w:rFonts w:ascii="宋体" w:hAnsi="宋体" w:eastAsia="宋体" w:cs="宋体"/>
          <w:spacing w:val="2"/>
          <w:sz w:val="14"/>
          <w:szCs w:val="14"/>
        </w:rPr>
        <w:t>失年的十大原因</w:t>
      </w:r>
    </w:p>
    <w:p w14:paraId="4DCD0687">
      <w:pPr>
        <w:spacing w:line="219" w:lineRule="auto"/>
        <w:rPr>
          <w:rFonts w:ascii="宋体" w:hAnsi="宋体" w:eastAsia="宋体" w:cs="宋体"/>
          <w:sz w:val="14"/>
          <w:szCs w:val="14"/>
        </w:rPr>
        <w:sectPr>
          <w:type w:val="continuous"/>
          <w:pgSz w:w="11900" w:h="16820"/>
          <w:pgMar w:top="400" w:right="819" w:bottom="826" w:left="1450" w:header="0" w:footer="637" w:gutter="0"/>
          <w:cols w:equalWidth="0" w:num="4">
            <w:col w:w="2590" w:space="100"/>
            <w:col w:w="1760" w:space="100"/>
            <w:col w:w="1861" w:space="100"/>
            <w:col w:w="3121"/>
          </w:cols>
        </w:sectPr>
      </w:pPr>
    </w:p>
    <w:p w14:paraId="1C4499C7">
      <w:pPr>
        <w:spacing w:line="60" w:lineRule="exact"/>
      </w:pPr>
    </w:p>
    <w:tbl>
      <w:tblPr>
        <w:tblStyle w:val="5"/>
        <w:tblW w:w="9039" w:type="dxa"/>
        <w:tblInd w:w="29"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0" w:type="dxa"/>
          <w:left w:w="0" w:type="dxa"/>
          <w:bottom w:w="0" w:type="dxa"/>
          <w:right w:w="0" w:type="dxa"/>
        </w:tblCellMar>
      </w:tblPr>
      <w:tblGrid>
        <w:gridCol w:w="730"/>
        <w:gridCol w:w="1780"/>
        <w:gridCol w:w="1840"/>
        <w:gridCol w:w="1970"/>
        <w:gridCol w:w="2719"/>
      </w:tblGrid>
      <w:tr w14:paraId="6CE5EA75">
        <w:trPr>
          <w:trHeight w:val="375" w:hRule="atLeast"/>
        </w:trPr>
        <w:tc>
          <w:tcPr>
            <w:tcW w:w="730" w:type="dxa"/>
            <w:tcBorders>
              <w:top w:val="single" w:color="000000" w:sz="4" w:space="0"/>
              <w:bottom w:val="single" w:color="000000" w:sz="4" w:space="0"/>
            </w:tcBorders>
            <w:shd w:val="clear" w:color="auto" w:fill="B0C2BD"/>
            <w:vAlign w:val="top"/>
          </w:tcPr>
          <w:p w14:paraId="04508C10">
            <w:pPr>
              <w:pStyle w:val="6"/>
              <w:spacing w:before="121" w:line="221" w:lineRule="auto"/>
              <w:ind w:left="220"/>
              <w:rPr>
                <w:sz w:val="14"/>
                <w:szCs w:val="14"/>
              </w:rPr>
            </w:pPr>
            <w:r>
              <w:rPr>
                <w:spacing w:val="-2"/>
                <w:sz w:val="14"/>
                <w:szCs w:val="14"/>
              </w:rPr>
              <w:t>序号</w:t>
            </w:r>
          </w:p>
        </w:tc>
        <w:tc>
          <w:tcPr>
            <w:tcW w:w="1780" w:type="dxa"/>
            <w:tcBorders>
              <w:top w:val="single" w:color="000000" w:sz="4" w:space="0"/>
              <w:bottom w:val="single" w:color="000000" w:sz="4" w:space="0"/>
            </w:tcBorders>
            <w:shd w:val="clear" w:color="auto" w:fill="C1D0CE"/>
            <w:vAlign w:val="top"/>
          </w:tcPr>
          <w:p w14:paraId="0FFD9598">
            <w:pPr>
              <w:pStyle w:val="6"/>
              <w:spacing w:before="120" w:line="219" w:lineRule="auto"/>
              <w:ind w:left="110"/>
              <w:rPr>
                <w:sz w:val="14"/>
                <w:szCs w:val="14"/>
              </w:rPr>
            </w:pPr>
            <w:r>
              <w:rPr>
                <w:spacing w:val="1"/>
                <w:sz w:val="14"/>
                <w:szCs w:val="14"/>
              </w:rPr>
              <w:t>1990年</w:t>
            </w:r>
          </w:p>
        </w:tc>
        <w:tc>
          <w:tcPr>
            <w:tcW w:w="1840" w:type="dxa"/>
            <w:tcBorders>
              <w:top w:val="single" w:color="000000" w:sz="4" w:space="0"/>
              <w:bottom w:val="single" w:color="000000" w:sz="4" w:space="0"/>
            </w:tcBorders>
            <w:shd w:val="clear" w:color="auto" w:fill="B9BFB5"/>
            <w:vAlign w:val="top"/>
          </w:tcPr>
          <w:p w14:paraId="353F592A">
            <w:pPr>
              <w:pStyle w:val="6"/>
              <w:spacing w:before="120" w:line="219" w:lineRule="auto"/>
              <w:ind w:left="150"/>
              <w:rPr>
                <w:sz w:val="14"/>
                <w:szCs w:val="14"/>
              </w:rPr>
            </w:pPr>
            <w:r>
              <w:rPr>
                <w:spacing w:val="-1"/>
                <w:sz w:val="14"/>
                <w:szCs w:val="14"/>
              </w:rPr>
              <w:t>2005年</w:t>
            </w:r>
          </w:p>
        </w:tc>
        <w:tc>
          <w:tcPr>
            <w:tcW w:w="1970" w:type="dxa"/>
            <w:tcBorders>
              <w:top w:val="single" w:color="000000" w:sz="4" w:space="0"/>
              <w:bottom w:val="single" w:color="000000" w:sz="4" w:space="0"/>
            </w:tcBorders>
            <w:shd w:val="clear" w:color="auto" w:fill="C0C1B5"/>
            <w:vAlign w:val="top"/>
          </w:tcPr>
          <w:p w14:paraId="60C43B5C">
            <w:pPr>
              <w:pStyle w:val="6"/>
              <w:spacing w:before="120" w:line="219" w:lineRule="auto"/>
              <w:ind w:left="169"/>
              <w:rPr>
                <w:sz w:val="14"/>
                <w:szCs w:val="14"/>
              </w:rPr>
            </w:pPr>
            <w:r>
              <w:rPr>
                <w:spacing w:val="-1"/>
                <w:sz w:val="14"/>
                <w:szCs w:val="14"/>
              </w:rPr>
              <w:t>2015年</w:t>
            </w:r>
          </w:p>
        </w:tc>
        <w:tc>
          <w:tcPr>
            <w:tcW w:w="2719" w:type="dxa"/>
            <w:tcBorders>
              <w:top w:val="single" w:color="000000" w:sz="4" w:space="0"/>
              <w:bottom w:val="single" w:color="000000" w:sz="4" w:space="0"/>
            </w:tcBorders>
            <w:shd w:val="clear" w:color="auto" w:fill="BCBFAF"/>
            <w:vAlign w:val="top"/>
          </w:tcPr>
          <w:p w14:paraId="2729FCA9">
            <w:pPr>
              <w:pStyle w:val="6"/>
              <w:spacing w:before="120" w:line="219" w:lineRule="auto"/>
              <w:ind w:left="160"/>
              <w:rPr>
                <w:sz w:val="14"/>
                <w:szCs w:val="14"/>
              </w:rPr>
            </w:pPr>
            <w:r>
              <w:rPr>
                <w:spacing w:val="-1"/>
                <w:sz w:val="14"/>
                <w:szCs w:val="14"/>
              </w:rPr>
              <w:t>2021年</w:t>
            </w:r>
          </w:p>
        </w:tc>
      </w:tr>
      <w:tr w14:paraId="644FBA9C">
        <w:trPr>
          <w:trHeight w:val="380" w:hRule="atLeast"/>
        </w:trPr>
        <w:tc>
          <w:tcPr>
            <w:tcW w:w="730" w:type="dxa"/>
            <w:tcBorders>
              <w:top w:val="single" w:color="000000" w:sz="4" w:space="0"/>
              <w:bottom w:val="single" w:color="000000" w:sz="4" w:space="0"/>
            </w:tcBorders>
            <w:vAlign w:val="top"/>
          </w:tcPr>
          <w:p w14:paraId="3F36E60A">
            <w:pPr>
              <w:pStyle w:val="6"/>
              <w:spacing w:before="129" w:line="241" w:lineRule="auto"/>
              <w:ind w:left="329"/>
              <w:rPr>
                <w:sz w:val="14"/>
                <w:szCs w:val="14"/>
              </w:rPr>
            </w:pPr>
            <w:r>
              <w:rPr>
                <w:sz w:val="14"/>
                <w:szCs w:val="14"/>
              </w:rPr>
              <w:t>1</w:t>
            </w:r>
          </w:p>
        </w:tc>
        <w:tc>
          <w:tcPr>
            <w:tcW w:w="1780" w:type="dxa"/>
            <w:tcBorders>
              <w:top w:val="single" w:color="000000" w:sz="4" w:space="0"/>
              <w:bottom w:val="single" w:color="000000" w:sz="4" w:space="0"/>
            </w:tcBorders>
            <w:vAlign w:val="top"/>
          </w:tcPr>
          <w:p w14:paraId="3CF5D5F5">
            <w:pPr>
              <w:pStyle w:val="6"/>
              <w:spacing w:before="116" w:line="220" w:lineRule="auto"/>
              <w:ind w:left="110"/>
              <w:rPr>
                <w:sz w:val="14"/>
                <w:szCs w:val="14"/>
              </w:rPr>
            </w:pPr>
            <w:r>
              <w:rPr>
                <w:spacing w:val="-2"/>
                <w:sz w:val="14"/>
                <w:szCs w:val="14"/>
              </w:rPr>
              <w:t>下呼吸道感染</w:t>
            </w:r>
          </w:p>
        </w:tc>
        <w:tc>
          <w:tcPr>
            <w:tcW w:w="1840" w:type="dxa"/>
            <w:tcBorders>
              <w:top w:val="single" w:color="000000" w:sz="4" w:space="0"/>
              <w:bottom w:val="single" w:color="000000" w:sz="4" w:space="0"/>
            </w:tcBorders>
            <w:vAlign w:val="top"/>
          </w:tcPr>
          <w:p w14:paraId="52B9E980">
            <w:pPr>
              <w:pStyle w:val="6"/>
              <w:spacing w:before="116" w:line="220" w:lineRule="auto"/>
              <w:ind w:left="150"/>
              <w:rPr>
                <w:sz w:val="14"/>
                <w:szCs w:val="14"/>
              </w:rPr>
            </w:pPr>
            <w:r>
              <w:rPr>
                <w:spacing w:val="-1"/>
                <w:sz w:val="14"/>
                <w:szCs w:val="14"/>
              </w:rPr>
              <w:t>缺血性心脏病</w:t>
            </w:r>
          </w:p>
        </w:tc>
        <w:tc>
          <w:tcPr>
            <w:tcW w:w="1970" w:type="dxa"/>
            <w:tcBorders>
              <w:top w:val="single" w:color="000000" w:sz="4" w:space="0"/>
              <w:bottom w:val="single" w:color="000000" w:sz="4" w:space="0"/>
            </w:tcBorders>
            <w:vAlign w:val="top"/>
          </w:tcPr>
          <w:p w14:paraId="25F2E2C1">
            <w:pPr>
              <w:pStyle w:val="6"/>
              <w:spacing w:before="116" w:line="220" w:lineRule="auto"/>
              <w:ind w:left="169"/>
              <w:rPr>
                <w:sz w:val="14"/>
                <w:szCs w:val="14"/>
              </w:rPr>
            </w:pPr>
            <w:r>
              <w:rPr>
                <w:spacing w:val="-1"/>
                <w:sz w:val="14"/>
                <w:szCs w:val="14"/>
              </w:rPr>
              <w:t>缺血性心脏病</w:t>
            </w:r>
          </w:p>
        </w:tc>
        <w:tc>
          <w:tcPr>
            <w:tcW w:w="2719" w:type="dxa"/>
            <w:tcBorders>
              <w:top w:val="single" w:color="000000" w:sz="4" w:space="0"/>
              <w:bottom w:val="single" w:color="000000" w:sz="4" w:space="0"/>
            </w:tcBorders>
            <w:vAlign w:val="top"/>
          </w:tcPr>
          <w:p w14:paraId="1C1D46A7">
            <w:pPr>
              <w:pStyle w:val="6"/>
              <w:spacing w:before="115" w:line="219" w:lineRule="auto"/>
              <w:ind w:left="160"/>
              <w:rPr>
                <w:sz w:val="14"/>
                <w:szCs w:val="14"/>
              </w:rPr>
            </w:pPr>
            <w:r>
              <w:rPr>
                <w:spacing w:val="-1"/>
                <w:sz w:val="14"/>
                <w:szCs w:val="14"/>
              </w:rPr>
              <w:t>新型冠状病毒感染</w:t>
            </w:r>
          </w:p>
        </w:tc>
      </w:tr>
      <w:tr w14:paraId="76B64841">
        <w:trPr>
          <w:trHeight w:val="390" w:hRule="atLeast"/>
        </w:trPr>
        <w:tc>
          <w:tcPr>
            <w:tcW w:w="730" w:type="dxa"/>
            <w:tcBorders>
              <w:top w:val="single" w:color="000000" w:sz="4" w:space="0"/>
              <w:bottom w:val="single" w:color="000000" w:sz="4" w:space="0"/>
            </w:tcBorders>
            <w:shd w:val="clear" w:color="auto" w:fill="DAE7EA"/>
            <w:vAlign w:val="top"/>
          </w:tcPr>
          <w:p w14:paraId="511BEAC7">
            <w:pPr>
              <w:pStyle w:val="6"/>
              <w:spacing w:before="139" w:line="241" w:lineRule="auto"/>
              <w:ind w:left="329"/>
              <w:rPr>
                <w:sz w:val="14"/>
                <w:szCs w:val="14"/>
              </w:rPr>
            </w:pPr>
            <w:r>
              <w:rPr>
                <w:sz w:val="14"/>
                <w:szCs w:val="14"/>
              </w:rPr>
              <w:t>2</w:t>
            </w:r>
          </w:p>
        </w:tc>
        <w:tc>
          <w:tcPr>
            <w:tcW w:w="1780" w:type="dxa"/>
            <w:tcBorders>
              <w:top w:val="single" w:color="000000" w:sz="4" w:space="0"/>
              <w:bottom w:val="single" w:color="000000" w:sz="4" w:space="0"/>
            </w:tcBorders>
            <w:shd w:val="clear" w:color="auto" w:fill="DFDFE2"/>
            <w:vAlign w:val="top"/>
          </w:tcPr>
          <w:p w14:paraId="19ED65D2">
            <w:pPr>
              <w:pStyle w:val="6"/>
              <w:spacing w:before="125" w:line="219" w:lineRule="auto"/>
              <w:ind w:left="110"/>
              <w:rPr>
                <w:sz w:val="14"/>
                <w:szCs w:val="14"/>
              </w:rPr>
            </w:pPr>
            <w:r>
              <w:rPr>
                <w:spacing w:val="-1"/>
                <w:sz w:val="14"/>
                <w:szCs w:val="14"/>
              </w:rPr>
              <w:t>新生儿早产综合征</w:t>
            </w:r>
          </w:p>
        </w:tc>
        <w:tc>
          <w:tcPr>
            <w:tcW w:w="1840" w:type="dxa"/>
            <w:tcBorders>
              <w:top w:val="single" w:color="000000" w:sz="4" w:space="0"/>
              <w:bottom w:val="single" w:color="000000" w:sz="4" w:space="0"/>
            </w:tcBorders>
            <w:shd w:val="clear" w:color="auto" w:fill="DCDDDB"/>
            <w:vAlign w:val="top"/>
          </w:tcPr>
          <w:p w14:paraId="78B76D16">
            <w:pPr>
              <w:pStyle w:val="6"/>
              <w:spacing w:before="126" w:line="220" w:lineRule="auto"/>
              <w:ind w:left="150"/>
              <w:rPr>
                <w:sz w:val="14"/>
                <w:szCs w:val="14"/>
              </w:rPr>
            </w:pPr>
            <w:r>
              <w:rPr>
                <w:spacing w:val="-2"/>
                <w:sz w:val="14"/>
                <w:szCs w:val="14"/>
              </w:rPr>
              <w:t>下呼吸道感染</w:t>
            </w:r>
          </w:p>
        </w:tc>
        <w:tc>
          <w:tcPr>
            <w:tcW w:w="1970" w:type="dxa"/>
            <w:tcBorders>
              <w:top w:val="single" w:color="000000" w:sz="4" w:space="0"/>
              <w:bottom w:val="single" w:color="000000" w:sz="4" w:space="0"/>
            </w:tcBorders>
            <w:shd w:val="clear" w:color="auto" w:fill="E4E4E1"/>
            <w:vAlign w:val="top"/>
          </w:tcPr>
          <w:p w14:paraId="415B31A0">
            <w:pPr>
              <w:pStyle w:val="6"/>
              <w:spacing w:before="125" w:line="219" w:lineRule="auto"/>
              <w:ind w:left="169"/>
              <w:rPr>
                <w:sz w:val="14"/>
                <w:szCs w:val="14"/>
              </w:rPr>
            </w:pPr>
            <w:r>
              <w:rPr>
                <w:spacing w:val="-1"/>
                <w:sz w:val="14"/>
                <w:szCs w:val="14"/>
              </w:rPr>
              <w:t>脑血管疾病</w:t>
            </w:r>
          </w:p>
        </w:tc>
        <w:tc>
          <w:tcPr>
            <w:tcW w:w="2719" w:type="dxa"/>
            <w:tcBorders>
              <w:top w:val="single" w:color="000000" w:sz="4" w:space="0"/>
              <w:bottom w:val="single" w:color="000000" w:sz="4" w:space="0"/>
            </w:tcBorders>
            <w:shd w:val="clear" w:color="auto" w:fill="DDDCD5"/>
            <w:vAlign w:val="top"/>
          </w:tcPr>
          <w:p w14:paraId="6AB1F724">
            <w:pPr>
              <w:pStyle w:val="6"/>
              <w:spacing w:before="126" w:line="220" w:lineRule="auto"/>
              <w:ind w:left="160"/>
              <w:rPr>
                <w:sz w:val="14"/>
                <w:szCs w:val="14"/>
              </w:rPr>
            </w:pPr>
            <w:r>
              <w:rPr>
                <w:spacing w:val="-1"/>
                <w:sz w:val="14"/>
                <w:szCs w:val="14"/>
              </w:rPr>
              <w:t>缺血性心脏病</w:t>
            </w:r>
          </w:p>
        </w:tc>
      </w:tr>
      <w:tr w14:paraId="641FAC77">
        <w:trPr>
          <w:trHeight w:val="390" w:hRule="atLeast"/>
        </w:trPr>
        <w:tc>
          <w:tcPr>
            <w:tcW w:w="730" w:type="dxa"/>
            <w:tcBorders>
              <w:top w:val="single" w:color="000000" w:sz="4" w:space="0"/>
              <w:bottom w:val="single" w:color="000000" w:sz="4" w:space="0"/>
            </w:tcBorders>
            <w:vAlign w:val="top"/>
          </w:tcPr>
          <w:p w14:paraId="7B6C2642">
            <w:pPr>
              <w:pStyle w:val="6"/>
              <w:spacing w:before="139"/>
              <w:ind w:left="329"/>
              <w:rPr>
                <w:sz w:val="14"/>
                <w:szCs w:val="14"/>
              </w:rPr>
            </w:pPr>
            <w:r>
              <w:rPr>
                <w:sz w:val="14"/>
                <w:szCs w:val="14"/>
              </w:rPr>
              <w:t>3</w:t>
            </w:r>
          </w:p>
        </w:tc>
        <w:tc>
          <w:tcPr>
            <w:tcW w:w="1780" w:type="dxa"/>
            <w:tcBorders>
              <w:top w:val="single" w:color="000000" w:sz="4" w:space="0"/>
              <w:bottom w:val="single" w:color="000000" w:sz="4" w:space="0"/>
            </w:tcBorders>
            <w:vAlign w:val="top"/>
          </w:tcPr>
          <w:p w14:paraId="48E8A772">
            <w:pPr>
              <w:pStyle w:val="6"/>
              <w:spacing w:before="125" w:line="219" w:lineRule="auto"/>
              <w:ind w:left="110"/>
              <w:rPr>
                <w:sz w:val="14"/>
                <w:szCs w:val="14"/>
              </w:rPr>
            </w:pPr>
            <w:r>
              <w:rPr>
                <w:spacing w:val="-2"/>
                <w:sz w:val="14"/>
                <w:szCs w:val="14"/>
              </w:rPr>
              <w:t>腹泻病</w:t>
            </w:r>
          </w:p>
        </w:tc>
        <w:tc>
          <w:tcPr>
            <w:tcW w:w="1840" w:type="dxa"/>
            <w:tcBorders>
              <w:top w:val="single" w:color="000000" w:sz="4" w:space="0"/>
              <w:bottom w:val="single" w:color="000000" w:sz="4" w:space="0"/>
            </w:tcBorders>
            <w:vAlign w:val="top"/>
          </w:tcPr>
          <w:p w14:paraId="50C8ED3B">
            <w:pPr>
              <w:pStyle w:val="6"/>
              <w:spacing w:before="125" w:line="219" w:lineRule="auto"/>
              <w:ind w:left="150"/>
              <w:rPr>
                <w:sz w:val="14"/>
                <w:szCs w:val="14"/>
              </w:rPr>
            </w:pPr>
            <w:r>
              <w:rPr>
                <w:spacing w:val="-1"/>
                <w:sz w:val="14"/>
                <w:szCs w:val="14"/>
              </w:rPr>
              <w:t>脑血管疾病</w:t>
            </w:r>
          </w:p>
        </w:tc>
        <w:tc>
          <w:tcPr>
            <w:tcW w:w="1970" w:type="dxa"/>
            <w:tcBorders>
              <w:top w:val="single" w:color="000000" w:sz="4" w:space="0"/>
              <w:bottom w:val="single" w:color="000000" w:sz="4" w:space="0"/>
            </w:tcBorders>
            <w:vAlign w:val="top"/>
          </w:tcPr>
          <w:p w14:paraId="4313799A">
            <w:pPr>
              <w:pStyle w:val="6"/>
              <w:spacing w:before="126" w:line="220" w:lineRule="auto"/>
              <w:ind w:left="169"/>
              <w:rPr>
                <w:sz w:val="14"/>
                <w:szCs w:val="14"/>
              </w:rPr>
            </w:pPr>
            <w:r>
              <w:rPr>
                <w:spacing w:val="-2"/>
                <w:sz w:val="14"/>
                <w:szCs w:val="14"/>
              </w:rPr>
              <w:t>下呼吸道感染</w:t>
            </w:r>
          </w:p>
        </w:tc>
        <w:tc>
          <w:tcPr>
            <w:tcW w:w="2719" w:type="dxa"/>
            <w:tcBorders>
              <w:top w:val="single" w:color="000000" w:sz="4" w:space="0"/>
              <w:bottom w:val="single" w:color="000000" w:sz="4" w:space="0"/>
            </w:tcBorders>
            <w:vAlign w:val="top"/>
          </w:tcPr>
          <w:p w14:paraId="01835149">
            <w:pPr>
              <w:pStyle w:val="6"/>
              <w:spacing w:before="125" w:line="219" w:lineRule="auto"/>
              <w:ind w:left="160"/>
              <w:rPr>
                <w:sz w:val="14"/>
                <w:szCs w:val="14"/>
              </w:rPr>
            </w:pPr>
            <w:r>
              <w:rPr>
                <w:spacing w:val="-1"/>
                <w:sz w:val="14"/>
                <w:szCs w:val="14"/>
              </w:rPr>
              <w:t>新生儿疾病</w:t>
            </w:r>
          </w:p>
        </w:tc>
      </w:tr>
      <w:tr w14:paraId="330AD26D">
        <w:trPr>
          <w:trHeight w:val="380" w:hRule="atLeast"/>
        </w:trPr>
        <w:tc>
          <w:tcPr>
            <w:tcW w:w="730" w:type="dxa"/>
            <w:tcBorders>
              <w:top w:val="single" w:color="000000" w:sz="4" w:space="0"/>
              <w:bottom w:val="single" w:color="000000" w:sz="4" w:space="0"/>
            </w:tcBorders>
            <w:shd w:val="clear" w:color="auto" w:fill="D2DADE"/>
            <w:vAlign w:val="top"/>
          </w:tcPr>
          <w:p w14:paraId="6B31174F">
            <w:pPr>
              <w:pStyle w:val="6"/>
              <w:spacing w:before="129" w:line="241" w:lineRule="auto"/>
              <w:ind w:left="329"/>
              <w:rPr>
                <w:sz w:val="14"/>
                <w:szCs w:val="14"/>
              </w:rPr>
            </w:pPr>
            <w:r>
              <w:rPr>
                <w:sz w:val="14"/>
                <w:szCs w:val="14"/>
              </w:rPr>
              <w:t>4</w:t>
            </w:r>
          </w:p>
        </w:tc>
        <w:tc>
          <w:tcPr>
            <w:tcW w:w="1780" w:type="dxa"/>
            <w:tcBorders>
              <w:top w:val="single" w:color="000000" w:sz="4" w:space="0"/>
              <w:bottom w:val="single" w:color="000000" w:sz="4" w:space="0"/>
            </w:tcBorders>
            <w:shd w:val="clear" w:color="auto" w:fill="DEE0E4"/>
            <w:vAlign w:val="top"/>
          </w:tcPr>
          <w:p w14:paraId="1A1A0012">
            <w:pPr>
              <w:pStyle w:val="6"/>
              <w:spacing w:before="116" w:line="220" w:lineRule="auto"/>
              <w:ind w:left="110"/>
              <w:rPr>
                <w:sz w:val="14"/>
                <w:szCs w:val="14"/>
              </w:rPr>
            </w:pPr>
            <w:r>
              <w:rPr>
                <w:spacing w:val="-1"/>
                <w:sz w:val="14"/>
                <w:szCs w:val="14"/>
              </w:rPr>
              <w:t>缺血性心脏病</w:t>
            </w:r>
          </w:p>
        </w:tc>
        <w:tc>
          <w:tcPr>
            <w:tcW w:w="1840" w:type="dxa"/>
            <w:tcBorders>
              <w:top w:val="single" w:color="000000" w:sz="4" w:space="0"/>
              <w:bottom w:val="single" w:color="000000" w:sz="4" w:space="0"/>
            </w:tcBorders>
            <w:shd w:val="clear" w:color="auto" w:fill="E4E4E2"/>
            <w:vAlign w:val="top"/>
          </w:tcPr>
          <w:p w14:paraId="5E75053D">
            <w:pPr>
              <w:pStyle w:val="6"/>
              <w:spacing w:before="116" w:line="221" w:lineRule="auto"/>
              <w:ind w:left="150"/>
              <w:rPr>
                <w:sz w:val="14"/>
                <w:szCs w:val="14"/>
              </w:rPr>
            </w:pPr>
            <w:r>
              <w:rPr>
                <w:spacing w:val="-2"/>
                <w:sz w:val="14"/>
                <w:szCs w:val="14"/>
              </w:rPr>
              <w:t>艾滋病</w:t>
            </w:r>
          </w:p>
        </w:tc>
        <w:tc>
          <w:tcPr>
            <w:tcW w:w="1970" w:type="dxa"/>
            <w:tcBorders>
              <w:top w:val="single" w:color="000000" w:sz="4" w:space="0"/>
              <w:bottom w:val="single" w:color="000000" w:sz="4" w:space="0"/>
            </w:tcBorders>
            <w:shd w:val="clear" w:color="auto" w:fill="E6E4E2"/>
            <w:vAlign w:val="top"/>
          </w:tcPr>
          <w:p w14:paraId="4559C684">
            <w:pPr>
              <w:pStyle w:val="6"/>
              <w:spacing w:before="115" w:line="219" w:lineRule="auto"/>
              <w:ind w:left="169"/>
              <w:rPr>
                <w:sz w:val="14"/>
                <w:szCs w:val="14"/>
              </w:rPr>
            </w:pPr>
            <w:r>
              <w:rPr>
                <w:spacing w:val="-1"/>
                <w:sz w:val="14"/>
                <w:szCs w:val="14"/>
              </w:rPr>
              <w:t>新生儿早产综合征</w:t>
            </w:r>
          </w:p>
        </w:tc>
        <w:tc>
          <w:tcPr>
            <w:tcW w:w="2719" w:type="dxa"/>
            <w:tcBorders>
              <w:top w:val="single" w:color="000000" w:sz="4" w:space="0"/>
              <w:bottom w:val="single" w:color="000000" w:sz="4" w:space="0"/>
            </w:tcBorders>
            <w:shd w:val="clear" w:color="auto" w:fill="E5E4DC"/>
            <w:vAlign w:val="top"/>
          </w:tcPr>
          <w:p w14:paraId="0B971F38">
            <w:pPr>
              <w:pStyle w:val="6"/>
              <w:spacing w:before="116" w:line="220" w:lineRule="auto"/>
              <w:ind w:left="160"/>
              <w:rPr>
                <w:sz w:val="14"/>
                <w:szCs w:val="14"/>
              </w:rPr>
            </w:pPr>
            <w:r>
              <w:rPr>
                <w:spacing w:val="5"/>
                <w:sz w:val="14"/>
                <w:szCs w:val="14"/>
              </w:rPr>
              <w:t>脑卒中</w:t>
            </w:r>
          </w:p>
        </w:tc>
      </w:tr>
      <w:tr w14:paraId="5EC48D17">
        <w:trPr>
          <w:trHeight w:val="390" w:hRule="atLeast"/>
        </w:trPr>
        <w:tc>
          <w:tcPr>
            <w:tcW w:w="730" w:type="dxa"/>
            <w:tcBorders>
              <w:top w:val="single" w:color="000000" w:sz="4" w:space="0"/>
              <w:bottom w:val="single" w:color="000000" w:sz="4" w:space="0"/>
            </w:tcBorders>
            <w:vAlign w:val="top"/>
          </w:tcPr>
          <w:p w14:paraId="6871F8BF">
            <w:pPr>
              <w:pStyle w:val="6"/>
              <w:spacing w:before="139"/>
              <w:ind w:left="329"/>
              <w:rPr>
                <w:sz w:val="14"/>
                <w:szCs w:val="14"/>
              </w:rPr>
            </w:pPr>
            <w:r>
              <w:rPr>
                <w:sz w:val="14"/>
                <w:szCs w:val="14"/>
              </w:rPr>
              <w:t>5</w:t>
            </w:r>
          </w:p>
        </w:tc>
        <w:tc>
          <w:tcPr>
            <w:tcW w:w="1780" w:type="dxa"/>
            <w:tcBorders>
              <w:top w:val="single" w:color="000000" w:sz="4" w:space="0"/>
              <w:bottom w:val="single" w:color="000000" w:sz="4" w:space="0"/>
            </w:tcBorders>
            <w:vAlign w:val="top"/>
          </w:tcPr>
          <w:p w14:paraId="6AD113BA">
            <w:pPr>
              <w:pStyle w:val="6"/>
              <w:spacing w:before="125" w:line="219" w:lineRule="auto"/>
              <w:ind w:left="110"/>
              <w:rPr>
                <w:sz w:val="14"/>
                <w:szCs w:val="14"/>
              </w:rPr>
            </w:pPr>
            <w:r>
              <w:rPr>
                <w:spacing w:val="-1"/>
                <w:sz w:val="14"/>
                <w:szCs w:val="14"/>
              </w:rPr>
              <w:t>脑血管疾病</w:t>
            </w:r>
          </w:p>
        </w:tc>
        <w:tc>
          <w:tcPr>
            <w:tcW w:w="1840" w:type="dxa"/>
            <w:tcBorders>
              <w:top w:val="single" w:color="000000" w:sz="4" w:space="0"/>
              <w:bottom w:val="single" w:color="000000" w:sz="4" w:space="0"/>
            </w:tcBorders>
            <w:vAlign w:val="top"/>
          </w:tcPr>
          <w:p w14:paraId="6274BFFB">
            <w:pPr>
              <w:pStyle w:val="6"/>
              <w:spacing w:before="125" w:line="219" w:lineRule="auto"/>
              <w:ind w:left="150"/>
              <w:rPr>
                <w:sz w:val="14"/>
                <w:szCs w:val="14"/>
              </w:rPr>
            </w:pPr>
            <w:r>
              <w:rPr>
                <w:spacing w:val="-1"/>
                <w:sz w:val="14"/>
                <w:szCs w:val="14"/>
              </w:rPr>
              <w:t>新生儿早产综合征</w:t>
            </w:r>
          </w:p>
        </w:tc>
        <w:tc>
          <w:tcPr>
            <w:tcW w:w="1970" w:type="dxa"/>
            <w:tcBorders>
              <w:top w:val="single" w:color="000000" w:sz="4" w:space="0"/>
              <w:bottom w:val="single" w:color="000000" w:sz="4" w:space="0"/>
            </w:tcBorders>
            <w:vAlign w:val="top"/>
          </w:tcPr>
          <w:p w14:paraId="6B1C2505">
            <w:pPr>
              <w:pStyle w:val="6"/>
              <w:spacing w:before="125" w:line="219" w:lineRule="auto"/>
              <w:ind w:left="169"/>
              <w:rPr>
                <w:sz w:val="14"/>
                <w:szCs w:val="14"/>
              </w:rPr>
            </w:pPr>
            <w:r>
              <w:rPr>
                <w:spacing w:val="-2"/>
                <w:sz w:val="14"/>
                <w:szCs w:val="14"/>
              </w:rPr>
              <w:t>腹泻病</w:t>
            </w:r>
          </w:p>
        </w:tc>
        <w:tc>
          <w:tcPr>
            <w:tcW w:w="2719" w:type="dxa"/>
            <w:tcBorders>
              <w:top w:val="single" w:color="000000" w:sz="4" w:space="0"/>
              <w:bottom w:val="single" w:color="000000" w:sz="4" w:space="0"/>
            </w:tcBorders>
            <w:vAlign w:val="top"/>
          </w:tcPr>
          <w:p w14:paraId="614F0EF6">
            <w:pPr>
              <w:pStyle w:val="6"/>
              <w:spacing w:before="126" w:line="220" w:lineRule="auto"/>
              <w:ind w:left="160"/>
              <w:rPr>
                <w:sz w:val="14"/>
                <w:szCs w:val="14"/>
              </w:rPr>
            </w:pPr>
            <w:r>
              <w:rPr>
                <w:spacing w:val="-2"/>
                <w:sz w:val="14"/>
                <w:szCs w:val="14"/>
              </w:rPr>
              <w:t>下呼吸道感染</w:t>
            </w:r>
          </w:p>
        </w:tc>
      </w:tr>
      <w:tr w14:paraId="3D5E864E">
        <w:trPr>
          <w:trHeight w:val="400" w:hRule="atLeast"/>
        </w:trPr>
        <w:tc>
          <w:tcPr>
            <w:tcW w:w="730" w:type="dxa"/>
            <w:tcBorders>
              <w:top w:val="single" w:color="000000" w:sz="4" w:space="0"/>
              <w:bottom w:val="single" w:color="000000" w:sz="4" w:space="0"/>
            </w:tcBorders>
            <w:shd w:val="clear" w:color="auto" w:fill="D8E2E6"/>
            <w:vAlign w:val="top"/>
          </w:tcPr>
          <w:p w14:paraId="15EAE477">
            <w:pPr>
              <w:pStyle w:val="6"/>
              <w:spacing w:before="139"/>
              <w:ind w:left="329"/>
              <w:rPr>
                <w:sz w:val="14"/>
                <w:szCs w:val="14"/>
              </w:rPr>
            </w:pPr>
            <w:r>
              <w:rPr>
                <w:sz w:val="14"/>
                <w:szCs w:val="14"/>
              </w:rPr>
              <w:t>6</w:t>
            </w:r>
          </w:p>
        </w:tc>
        <w:tc>
          <w:tcPr>
            <w:tcW w:w="1780" w:type="dxa"/>
            <w:tcBorders>
              <w:top w:val="single" w:color="000000" w:sz="4" w:space="0"/>
              <w:bottom w:val="single" w:color="000000" w:sz="4" w:space="0"/>
            </w:tcBorders>
            <w:shd w:val="clear" w:color="auto" w:fill="DEE0E3"/>
            <w:vAlign w:val="top"/>
          </w:tcPr>
          <w:p w14:paraId="5B173D47">
            <w:pPr>
              <w:pStyle w:val="6"/>
              <w:spacing w:before="125" w:line="219" w:lineRule="auto"/>
              <w:ind w:left="110"/>
              <w:rPr>
                <w:sz w:val="14"/>
                <w:szCs w:val="14"/>
              </w:rPr>
            </w:pPr>
            <w:r>
              <w:rPr>
                <w:spacing w:val="-1"/>
                <w:sz w:val="14"/>
                <w:szCs w:val="14"/>
              </w:rPr>
              <w:t>新生儿脑病</w:t>
            </w:r>
          </w:p>
        </w:tc>
        <w:tc>
          <w:tcPr>
            <w:tcW w:w="1840" w:type="dxa"/>
            <w:tcBorders>
              <w:top w:val="single" w:color="000000" w:sz="4" w:space="0"/>
              <w:bottom w:val="single" w:color="000000" w:sz="4" w:space="0"/>
            </w:tcBorders>
            <w:shd w:val="clear" w:color="auto" w:fill="E0E0DE"/>
            <w:vAlign w:val="top"/>
          </w:tcPr>
          <w:p w14:paraId="7772B64A">
            <w:pPr>
              <w:pStyle w:val="6"/>
              <w:spacing w:before="125" w:line="219" w:lineRule="auto"/>
              <w:ind w:left="150"/>
              <w:rPr>
                <w:sz w:val="14"/>
                <w:szCs w:val="14"/>
              </w:rPr>
            </w:pPr>
            <w:r>
              <w:rPr>
                <w:spacing w:val="-2"/>
                <w:sz w:val="14"/>
                <w:szCs w:val="14"/>
              </w:rPr>
              <w:t>腹泻病</w:t>
            </w:r>
          </w:p>
        </w:tc>
        <w:tc>
          <w:tcPr>
            <w:tcW w:w="1970" w:type="dxa"/>
            <w:tcBorders>
              <w:top w:val="single" w:color="000000" w:sz="4" w:space="0"/>
              <w:bottom w:val="single" w:color="000000" w:sz="4" w:space="0"/>
            </w:tcBorders>
            <w:shd w:val="clear" w:color="auto" w:fill="E0E0DC"/>
            <w:vAlign w:val="top"/>
          </w:tcPr>
          <w:p w14:paraId="22211BED">
            <w:pPr>
              <w:pStyle w:val="6"/>
              <w:spacing w:before="125" w:line="219" w:lineRule="auto"/>
              <w:ind w:left="169"/>
              <w:rPr>
                <w:sz w:val="14"/>
                <w:szCs w:val="14"/>
              </w:rPr>
            </w:pPr>
            <w:r>
              <w:rPr>
                <w:spacing w:val="-1"/>
                <w:sz w:val="14"/>
                <w:szCs w:val="14"/>
              </w:rPr>
              <w:t>新生儿脑病</w:t>
            </w:r>
          </w:p>
        </w:tc>
        <w:tc>
          <w:tcPr>
            <w:tcW w:w="2719" w:type="dxa"/>
            <w:tcBorders>
              <w:top w:val="single" w:color="000000" w:sz="4" w:space="0"/>
              <w:bottom w:val="single" w:color="000000" w:sz="4" w:space="0"/>
            </w:tcBorders>
            <w:shd w:val="clear" w:color="auto" w:fill="DDDCD5"/>
            <w:vAlign w:val="top"/>
          </w:tcPr>
          <w:p w14:paraId="6428F6DA">
            <w:pPr>
              <w:pStyle w:val="6"/>
              <w:spacing w:before="126" w:line="220" w:lineRule="auto"/>
              <w:ind w:left="160"/>
              <w:rPr>
                <w:sz w:val="14"/>
                <w:szCs w:val="14"/>
              </w:rPr>
            </w:pPr>
            <w:r>
              <w:rPr>
                <w:spacing w:val="-1"/>
                <w:sz w:val="14"/>
                <w:szCs w:val="14"/>
              </w:rPr>
              <w:t>慢性阻塞性肺疾病</w:t>
            </w:r>
          </w:p>
        </w:tc>
      </w:tr>
      <w:tr w14:paraId="7441C2F2">
        <w:trPr>
          <w:trHeight w:val="370" w:hRule="atLeast"/>
        </w:trPr>
        <w:tc>
          <w:tcPr>
            <w:tcW w:w="730" w:type="dxa"/>
            <w:tcBorders>
              <w:top w:val="single" w:color="000000" w:sz="4" w:space="0"/>
              <w:bottom w:val="single" w:color="000000" w:sz="4" w:space="0"/>
            </w:tcBorders>
            <w:vAlign w:val="top"/>
          </w:tcPr>
          <w:p w14:paraId="3CAE5247">
            <w:pPr>
              <w:pStyle w:val="6"/>
              <w:spacing w:before="129"/>
              <w:ind w:left="329"/>
              <w:rPr>
                <w:sz w:val="14"/>
                <w:szCs w:val="14"/>
              </w:rPr>
            </w:pPr>
            <w:r>
              <w:rPr>
                <w:sz w:val="14"/>
                <w:szCs w:val="14"/>
              </w:rPr>
              <w:t>7</w:t>
            </w:r>
          </w:p>
        </w:tc>
        <w:tc>
          <w:tcPr>
            <w:tcW w:w="1780" w:type="dxa"/>
            <w:tcBorders>
              <w:top w:val="single" w:color="000000" w:sz="4" w:space="0"/>
              <w:bottom w:val="single" w:color="000000" w:sz="4" w:space="0"/>
            </w:tcBorders>
            <w:vAlign w:val="top"/>
          </w:tcPr>
          <w:p w14:paraId="62D9D1E9">
            <w:pPr>
              <w:pStyle w:val="6"/>
              <w:spacing w:before="116" w:line="220" w:lineRule="auto"/>
              <w:ind w:left="110"/>
              <w:rPr>
                <w:sz w:val="14"/>
                <w:szCs w:val="14"/>
              </w:rPr>
            </w:pPr>
            <w:r>
              <w:rPr>
                <w:spacing w:val="-2"/>
                <w:sz w:val="14"/>
                <w:szCs w:val="14"/>
              </w:rPr>
              <w:t>疟疾</w:t>
            </w:r>
          </w:p>
        </w:tc>
        <w:tc>
          <w:tcPr>
            <w:tcW w:w="1840" w:type="dxa"/>
            <w:tcBorders>
              <w:top w:val="single" w:color="000000" w:sz="4" w:space="0"/>
              <w:bottom w:val="single" w:color="000000" w:sz="4" w:space="0"/>
            </w:tcBorders>
            <w:vAlign w:val="top"/>
          </w:tcPr>
          <w:p w14:paraId="6092F05E">
            <w:pPr>
              <w:pStyle w:val="6"/>
              <w:spacing w:before="116" w:line="220" w:lineRule="auto"/>
              <w:ind w:left="150"/>
              <w:rPr>
                <w:sz w:val="14"/>
                <w:szCs w:val="14"/>
              </w:rPr>
            </w:pPr>
            <w:r>
              <w:rPr>
                <w:spacing w:val="-2"/>
                <w:sz w:val="14"/>
                <w:szCs w:val="14"/>
              </w:rPr>
              <w:t>疟疾</w:t>
            </w:r>
          </w:p>
        </w:tc>
        <w:tc>
          <w:tcPr>
            <w:tcW w:w="1970" w:type="dxa"/>
            <w:tcBorders>
              <w:top w:val="single" w:color="000000" w:sz="4" w:space="0"/>
              <w:bottom w:val="single" w:color="000000" w:sz="4" w:space="0"/>
            </w:tcBorders>
            <w:vAlign w:val="top"/>
          </w:tcPr>
          <w:p w14:paraId="5ACF9583">
            <w:pPr>
              <w:pStyle w:val="6"/>
              <w:spacing w:before="116" w:line="221" w:lineRule="auto"/>
              <w:ind w:left="169"/>
              <w:rPr>
                <w:sz w:val="14"/>
                <w:szCs w:val="14"/>
              </w:rPr>
            </w:pPr>
            <w:r>
              <w:rPr>
                <w:spacing w:val="-2"/>
                <w:sz w:val="14"/>
                <w:szCs w:val="14"/>
              </w:rPr>
              <w:t>艾滋病</w:t>
            </w:r>
          </w:p>
        </w:tc>
        <w:tc>
          <w:tcPr>
            <w:tcW w:w="2719" w:type="dxa"/>
            <w:tcBorders>
              <w:top w:val="single" w:color="000000" w:sz="4" w:space="0"/>
              <w:bottom w:val="single" w:color="000000" w:sz="4" w:space="0"/>
            </w:tcBorders>
            <w:vAlign w:val="top"/>
          </w:tcPr>
          <w:p w14:paraId="49C8610D">
            <w:pPr>
              <w:pStyle w:val="6"/>
              <w:spacing w:before="115" w:line="219" w:lineRule="auto"/>
              <w:ind w:left="160"/>
              <w:rPr>
                <w:sz w:val="14"/>
                <w:szCs w:val="14"/>
              </w:rPr>
            </w:pPr>
            <w:r>
              <w:rPr>
                <w:spacing w:val="-1"/>
                <w:sz w:val="14"/>
                <w:szCs w:val="14"/>
              </w:rPr>
              <w:t>道路伤害</w:t>
            </w:r>
          </w:p>
        </w:tc>
      </w:tr>
      <w:tr w14:paraId="451C3CA4">
        <w:trPr>
          <w:trHeight w:val="400" w:hRule="atLeast"/>
        </w:trPr>
        <w:tc>
          <w:tcPr>
            <w:tcW w:w="730" w:type="dxa"/>
            <w:tcBorders>
              <w:top w:val="single" w:color="000000" w:sz="4" w:space="0"/>
              <w:bottom w:val="single" w:color="000000" w:sz="4" w:space="0"/>
            </w:tcBorders>
            <w:shd w:val="clear" w:color="auto" w:fill="D7E3E6"/>
            <w:vAlign w:val="top"/>
          </w:tcPr>
          <w:p w14:paraId="564F3393">
            <w:pPr>
              <w:pStyle w:val="6"/>
              <w:spacing w:before="139"/>
              <w:ind w:left="329"/>
              <w:rPr>
                <w:sz w:val="14"/>
                <w:szCs w:val="14"/>
              </w:rPr>
            </w:pPr>
            <w:r>
              <w:rPr>
                <w:sz w:val="14"/>
                <w:szCs w:val="14"/>
              </w:rPr>
              <w:t>8</w:t>
            </w:r>
          </w:p>
        </w:tc>
        <w:tc>
          <w:tcPr>
            <w:tcW w:w="1780" w:type="dxa"/>
            <w:tcBorders>
              <w:top w:val="single" w:color="000000" w:sz="4" w:space="0"/>
              <w:bottom w:val="single" w:color="000000" w:sz="4" w:space="0"/>
            </w:tcBorders>
            <w:shd w:val="clear" w:color="auto" w:fill="DCE2E3"/>
            <w:vAlign w:val="top"/>
          </w:tcPr>
          <w:p w14:paraId="65940550">
            <w:pPr>
              <w:pStyle w:val="6"/>
              <w:spacing w:before="126" w:line="221" w:lineRule="auto"/>
              <w:ind w:left="110"/>
              <w:rPr>
                <w:sz w:val="14"/>
                <w:szCs w:val="14"/>
              </w:rPr>
            </w:pPr>
            <w:r>
              <w:rPr>
                <w:spacing w:val="-2"/>
                <w:sz w:val="14"/>
                <w:szCs w:val="14"/>
              </w:rPr>
              <w:t>麻疹</w:t>
            </w:r>
          </w:p>
        </w:tc>
        <w:tc>
          <w:tcPr>
            <w:tcW w:w="1840" w:type="dxa"/>
            <w:tcBorders>
              <w:top w:val="single" w:color="000000" w:sz="4" w:space="0"/>
              <w:bottom w:val="single" w:color="000000" w:sz="4" w:space="0"/>
            </w:tcBorders>
            <w:shd w:val="clear" w:color="auto" w:fill="D8D8D6"/>
            <w:vAlign w:val="top"/>
          </w:tcPr>
          <w:p w14:paraId="77CF2506">
            <w:pPr>
              <w:pStyle w:val="6"/>
              <w:spacing w:before="125" w:line="219" w:lineRule="auto"/>
              <w:ind w:left="150"/>
              <w:rPr>
                <w:sz w:val="14"/>
                <w:szCs w:val="14"/>
              </w:rPr>
            </w:pPr>
            <w:r>
              <w:rPr>
                <w:spacing w:val="-1"/>
                <w:sz w:val="14"/>
                <w:szCs w:val="14"/>
              </w:rPr>
              <w:t>新生儿脑病</w:t>
            </w:r>
          </w:p>
        </w:tc>
        <w:tc>
          <w:tcPr>
            <w:tcW w:w="1970" w:type="dxa"/>
            <w:tcBorders>
              <w:top w:val="single" w:color="000000" w:sz="4" w:space="0"/>
              <w:bottom w:val="single" w:color="000000" w:sz="4" w:space="0"/>
            </w:tcBorders>
            <w:shd w:val="clear" w:color="auto" w:fill="D9D8D4"/>
            <w:vAlign w:val="top"/>
          </w:tcPr>
          <w:p w14:paraId="096C6C39">
            <w:pPr>
              <w:pStyle w:val="6"/>
              <w:spacing w:before="125" w:line="219" w:lineRule="auto"/>
              <w:ind w:left="169"/>
              <w:rPr>
                <w:sz w:val="14"/>
                <w:szCs w:val="14"/>
              </w:rPr>
            </w:pPr>
            <w:r>
              <w:rPr>
                <w:spacing w:val="-1"/>
                <w:sz w:val="14"/>
                <w:szCs w:val="14"/>
              </w:rPr>
              <w:t>道路伤害</w:t>
            </w:r>
          </w:p>
        </w:tc>
        <w:tc>
          <w:tcPr>
            <w:tcW w:w="2719" w:type="dxa"/>
            <w:tcBorders>
              <w:top w:val="single" w:color="000000" w:sz="4" w:space="0"/>
              <w:bottom w:val="single" w:color="000000" w:sz="4" w:space="0"/>
            </w:tcBorders>
            <w:shd w:val="clear" w:color="auto" w:fill="D9D8D1"/>
            <w:vAlign w:val="top"/>
          </w:tcPr>
          <w:p w14:paraId="5D50E849">
            <w:pPr>
              <w:pStyle w:val="6"/>
              <w:spacing w:before="126" w:line="220" w:lineRule="auto"/>
              <w:ind w:left="160"/>
              <w:rPr>
                <w:sz w:val="14"/>
                <w:szCs w:val="14"/>
              </w:rPr>
            </w:pPr>
            <w:r>
              <w:rPr>
                <w:spacing w:val="-2"/>
                <w:sz w:val="14"/>
                <w:szCs w:val="14"/>
              </w:rPr>
              <w:t>疟疾</w:t>
            </w:r>
          </w:p>
        </w:tc>
      </w:tr>
      <w:tr w14:paraId="419BE06C">
        <w:trPr>
          <w:trHeight w:val="360" w:hRule="atLeast"/>
        </w:trPr>
        <w:tc>
          <w:tcPr>
            <w:tcW w:w="730" w:type="dxa"/>
            <w:tcBorders>
              <w:top w:val="single" w:color="000000" w:sz="4" w:space="0"/>
              <w:bottom w:val="single" w:color="000000" w:sz="4" w:space="0"/>
            </w:tcBorders>
            <w:vAlign w:val="top"/>
          </w:tcPr>
          <w:p w14:paraId="4EB4A000">
            <w:pPr>
              <w:pStyle w:val="6"/>
              <w:spacing w:before="119"/>
              <w:ind w:left="329"/>
              <w:rPr>
                <w:sz w:val="14"/>
                <w:szCs w:val="14"/>
              </w:rPr>
            </w:pPr>
            <w:r>
              <w:rPr>
                <w:sz w:val="14"/>
                <w:szCs w:val="14"/>
              </w:rPr>
              <w:t>9</w:t>
            </w:r>
          </w:p>
        </w:tc>
        <w:tc>
          <w:tcPr>
            <w:tcW w:w="1780" w:type="dxa"/>
            <w:tcBorders>
              <w:top w:val="single" w:color="000000" w:sz="4" w:space="0"/>
              <w:bottom w:val="single" w:color="000000" w:sz="4" w:space="0"/>
            </w:tcBorders>
            <w:vAlign w:val="top"/>
          </w:tcPr>
          <w:p w14:paraId="737EA0BB">
            <w:pPr>
              <w:pStyle w:val="6"/>
              <w:spacing w:before="105" w:line="219" w:lineRule="auto"/>
              <w:ind w:left="110"/>
              <w:rPr>
                <w:sz w:val="14"/>
                <w:szCs w:val="14"/>
              </w:rPr>
            </w:pPr>
            <w:r>
              <w:rPr>
                <w:spacing w:val="-2"/>
                <w:sz w:val="14"/>
                <w:szCs w:val="14"/>
              </w:rPr>
              <w:t>先天缺陷</w:t>
            </w:r>
          </w:p>
        </w:tc>
        <w:tc>
          <w:tcPr>
            <w:tcW w:w="1840" w:type="dxa"/>
            <w:tcBorders>
              <w:top w:val="single" w:color="000000" w:sz="4" w:space="0"/>
              <w:bottom w:val="single" w:color="000000" w:sz="4" w:space="0"/>
            </w:tcBorders>
            <w:vAlign w:val="top"/>
          </w:tcPr>
          <w:p w14:paraId="18BBC4EA">
            <w:pPr>
              <w:pStyle w:val="6"/>
              <w:spacing w:before="105" w:line="219" w:lineRule="auto"/>
              <w:ind w:left="150"/>
              <w:rPr>
                <w:sz w:val="14"/>
                <w:szCs w:val="14"/>
              </w:rPr>
            </w:pPr>
            <w:r>
              <w:rPr>
                <w:spacing w:val="-1"/>
                <w:sz w:val="14"/>
                <w:szCs w:val="14"/>
              </w:rPr>
              <w:t>道路伤害</w:t>
            </w:r>
          </w:p>
        </w:tc>
        <w:tc>
          <w:tcPr>
            <w:tcW w:w="1970" w:type="dxa"/>
            <w:tcBorders>
              <w:top w:val="single" w:color="000000" w:sz="4" w:space="0"/>
              <w:bottom w:val="single" w:color="000000" w:sz="4" w:space="0"/>
            </w:tcBorders>
            <w:vAlign w:val="top"/>
          </w:tcPr>
          <w:p w14:paraId="772532D6">
            <w:pPr>
              <w:pStyle w:val="6"/>
              <w:spacing w:before="106" w:line="220" w:lineRule="auto"/>
              <w:ind w:left="169"/>
              <w:rPr>
                <w:sz w:val="14"/>
                <w:szCs w:val="14"/>
              </w:rPr>
            </w:pPr>
            <w:r>
              <w:rPr>
                <w:spacing w:val="-2"/>
                <w:sz w:val="14"/>
                <w:szCs w:val="14"/>
              </w:rPr>
              <w:t>疟疾</w:t>
            </w:r>
          </w:p>
        </w:tc>
        <w:tc>
          <w:tcPr>
            <w:tcW w:w="2719" w:type="dxa"/>
            <w:tcBorders>
              <w:top w:val="single" w:color="000000" w:sz="4" w:space="0"/>
              <w:bottom w:val="single" w:color="000000" w:sz="4" w:space="0"/>
            </w:tcBorders>
            <w:vAlign w:val="top"/>
          </w:tcPr>
          <w:p w14:paraId="031AEC6C">
            <w:pPr>
              <w:pStyle w:val="6"/>
              <w:spacing w:before="105" w:line="219" w:lineRule="auto"/>
              <w:ind w:left="160"/>
              <w:rPr>
                <w:sz w:val="14"/>
                <w:szCs w:val="14"/>
              </w:rPr>
            </w:pPr>
            <w:r>
              <w:rPr>
                <w:spacing w:val="-2"/>
                <w:sz w:val="14"/>
                <w:szCs w:val="14"/>
              </w:rPr>
              <w:t>腹泻病</w:t>
            </w:r>
          </w:p>
        </w:tc>
      </w:tr>
      <w:tr w14:paraId="4756E6D0">
        <w:trPr>
          <w:trHeight w:val="390" w:hRule="atLeast"/>
        </w:trPr>
        <w:tc>
          <w:tcPr>
            <w:tcW w:w="730" w:type="dxa"/>
            <w:tcBorders>
              <w:top w:val="single" w:color="000000" w:sz="4" w:space="0"/>
              <w:bottom w:val="single" w:color="000000" w:sz="4" w:space="0"/>
            </w:tcBorders>
            <w:shd w:val="clear" w:color="auto" w:fill="DBE6EA"/>
            <w:vAlign w:val="top"/>
          </w:tcPr>
          <w:p w14:paraId="3CD0B152">
            <w:pPr>
              <w:pStyle w:val="6"/>
              <w:spacing w:before="139"/>
              <w:ind w:left="290"/>
              <w:rPr>
                <w:sz w:val="14"/>
                <w:szCs w:val="14"/>
              </w:rPr>
            </w:pPr>
            <w:r>
              <w:rPr>
                <w:spacing w:val="-4"/>
                <w:sz w:val="14"/>
                <w:szCs w:val="14"/>
              </w:rPr>
              <w:t>10</w:t>
            </w:r>
          </w:p>
        </w:tc>
        <w:tc>
          <w:tcPr>
            <w:tcW w:w="1780" w:type="dxa"/>
            <w:tcBorders>
              <w:top w:val="single" w:color="000000" w:sz="4" w:space="0"/>
              <w:bottom w:val="single" w:color="000000" w:sz="4" w:space="0"/>
            </w:tcBorders>
            <w:shd w:val="clear" w:color="auto" w:fill="DFE6E7"/>
            <w:vAlign w:val="top"/>
          </w:tcPr>
          <w:p w14:paraId="07339F0E">
            <w:pPr>
              <w:pStyle w:val="6"/>
              <w:spacing w:before="125" w:line="219" w:lineRule="auto"/>
              <w:ind w:left="110"/>
              <w:rPr>
                <w:sz w:val="14"/>
                <w:szCs w:val="14"/>
              </w:rPr>
            </w:pPr>
            <w:r>
              <w:rPr>
                <w:spacing w:val="-1"/>
                <w:sz w:val="14"/>
                <w:szCs w:val="14"/>
              </w:rPr>
              <w:t>道路伤害</w:t>
            </w:r>
          </w:p>
        </w:tc>
        <w:tc>
          <w:tcPr>
            <w:tcW w:w="1840" w:type="dxa"/>
            <w:tcBorders>
              <w:top w:val="single" w:color="000000" w:sz="4" w:space="0"/>
              <w:bottom w:val="single" w:color="000000" w:sz="4" w:space="0"/>
            </w:tcBorders>
            <w:shd w:val="clear" w:color="auto" w:fill="DEE0E0"/>
            <w:vAlign w:val="top"/>
          </w:tcPr>
          <w:p w14:paraId="0271682B">
            <w:pPr>
              <w:pStyle w:val="6"/>
              <w:spacing w:before="126" w:line="220" w:lineRule="auto"/>
              <w:ind w:left="150"/>
              <w:rPr>
                <w:sz w:val="14"/>
                <w:szCs w:val="14"/>
              </w:rPr>
            </w:pPr>
            <w:r>
              <w:rPr>
                <w:spacing w:val="-1"/>
                <w:sz w:val="14"/>
                <w:szCs w:val="14"/>
              </w:rPr>
              <w:t>慢性阻塞性肺疾病</w:t>
            </w:r>
          </w:p>
        </w:tc>
        <w:tc>
          <w:tcPr>
            <w:tcW w:w="1970" w:type="dxa"/>
            <w:tcBorders>
              <w:top w:val="single" w:color="000000" w:sz="4" w:space="0"/>
              <w:bottom w:val="single" w:color="000000" w:sz="4" w:space="0"/>
            </w:tcBorders>
            <w:shd w:val="clear" w:color="auto" w:fill="DFE1DC"/>
            <w:vAlign w:val="top"/>
          </w:tcPr>
          <w:p w14:paraId="053D64CD">
            <w:pPr>
              <w:pStyle w:val="6"/>
              <w:spacing w:before="126" w:line="220" w:lineRule="auto"/>
              <w:ind w:left="169"/>
              <w:rPr>
                <w:sz w:val="14"/>
                <w:szCs w:val="14"/>
              </w:rPr>
            </w:pPr>
            <w:r>
              <w:rPr>
                <w:spacing w:val="-1"/>
                <w:sz w:val="14"/>
                <w:szCs w:val="14"/>
              </w:rPr>
              <w:t>慢性阻塞性肺疾病</w:t>
            </w:r>
          </w:p>
        </w:tc>
        <w:tc>
          <w:tcPr>
            <w:tcW w:w="2719" w:type="dxa"/>
            <w:tcBorders>
              <w:top w:val="single" w:color="000000" w:sz="4" w:space="0"/>
              <w:bottom w:val="single" w:color="000000" w:sz="4" w:space="0"/>
            </w:tcBorders>
            <w:shd w:val="clear" w:color="auto" w:fill="D5D4CE"/>
            <w:vAlign w:val="top"/>
          </w:tcPr>
          <w:p w14:paraId="2DDDF002">
            <w:pPr>
              <w:pStyle w:val="6"/>
              <w:spacing w:before="126" w:line="220" w:lineRule="auto"/>
              <w:ind w:left="160"/>
              <w:rPr>
                <w:sz w:val="14"/>
                <w:szCs w:val="14"/>
              </w:rPr>
            </w:pPr>
            <w:r>
              <w:rPr>
                <w:spacing w:val="-1"/>
                <w:sz w:val="14"/>
                <w:szCs w:val="14"/>
              </w:rPr>
              <w:t>肝硬化和其他慢性肝脏疾病</w:t>
            </w:r>
          </w:p>
        </w:tc>
      </w:tr>
      <w:tr w14:paraId="0241E876">
        <w:trPr>
          <w:trHeight w:val="217" w:hRule="atLeast"/>
        </w:trPr>
        <w:tc>
          <w:tcPr>
            <w:tcW w:w="9039" w:type="dxa"/>
            <w:gridSpan w:val="5"/>
            <w:tcBorders>
              <w:top w:val="single" w:color="000000" w:sz="4" w:space="0"/>
            </w:tcBorders>
            <w:vAlign w:val="top"/>
          </w:tcPr>
          <w:p w14:paraId="46D7666E">
            <w:pPr>
              <w:pStyle w:val="6"/>
              <w:spacing w:before="73" w:line="176" w:lineRule="auto"/>
              <w:jc w:val="right"/>
              <w:rPr>
                <w:sz w:val="14"/>
                <w:szCs w:val="14"/>
              </w:rPr>
            </w:pPr>
            <w:r>
              <w:rPr>
                <w:spacing w:val="-3"/>
                <w:sz w:val="14"/>
                <w:szCs w:val="14"/>
              </w:rPr>
              <w:t>(GBD</w:t>
            </w:r>
            <w:r>
              <w:rPr>
                <w:spacing w:val="45"/>
                <w:sz w:val="14"/>
                <w:szCs w:val="14"/>
              </w:rPr>
              <w:t xml:space="preserve"> </w:t>
            </w:r>
            <w:r>
              <w:rPr>
                <w:spacing w:val="-3"/>
                <w:sz w:val="14"/>
                <w:szCs w:val="14"/>
              </w:rPr>
              <w:t xml:space="preserve">20                      21 Causes of Death </w:t>
            </w:r>
            <w:r>
              <w:rPr>
                <w:spacing w:val="-4"/>
                <w:sz w:val="14"/>
                <w:szCs w:val="14"/>
              </w:rPr>
              <w:t>Collaborators,2024)</w:t>
            </w:r>
          </w:p>
        </w:tc>
      </w:tr>
    </w:tbl>
    <w:p w14:paraId="1EF1270C">
      <w:pPr>
        <w:spacing w:line="309" w:lineRule="auto"/>
        <w:rPr>
          <w:rFonts w:ascii="Arial"/>
          <w:sz w:val="21"/>
        </w:rPr>
      </w:pPr>
    </w:p>
    <w:p w14:paraId="7B5ECD97">
      <w:pPr>
        <w:spacing w:before="69" w:line="322" w:lineRule="auto"/>
        <w:ind w:right="619"/>
        <w:jc w:val="both"/>
        <w:rPr>
          <w:rFonts w:ascii="宋体" w:hAnsi="宋体" w:eastAsia="宋体" w:cs="宋体"/>
          <w:sz w:val="21"/>
          <w:szCs w:val="21"/>
        </w:rPr>
      </w:pPr>
      <w:r>
        <w:rPr>
          <w:rFonts w:ascii="宋体" w:hAnsi="宋体" w:eastAsia="宋体" w:cs="宋体"/>
          <w:spacing w:val="-1"/>
          <w:sz w:val="21"/>
          <w:szCs w:val="21"/>
        </w:rPr>
        <w:t>进行传染病防治，取得了举世瞩目的成就。传统传染病大规模的暴发、流行已经较少出现，大多数</w:t>
      </w:r>
      <w:r>
        <w:rPr>
          <w:rFonts w:ascii="宋体" w:hAnsi="宋体" w:eastAsia="宋体" w:cs="宋体"/>
          <w:sz w:val="21"/>
          <w:szCs w:val="21"/>
        </w:rPr>
        <w:t xml:space="preserve"> </w:t>
      </w:r>
      <w:r>
        <w:rPr>
          <w:rFonts w:ascii="宋体" w:hAnsi="宋体" w:eastAsia="宋体" w:cs="宋体"/>
          <w:spacing w:val="4"/>
          <w:sz w:val="21"/>
          <w:szCs w:val="21"/>
        </w:rPr>
        <w:t>法定报告管理的传染病的发病和死亡水平迅速下降，并且在较长一段时期内维持在低水平。天花</w:t>
      </w:r>
      <w:r>
        <w:rPr>
          <w:rFonts w:ascii="宋体" w:hAnsi="宋体" w:eastAsia="宋体" w:cs="宋体"/>
          <w:sz w:val="21"/>
          <w:szCs w:val="21"/>
        </w:rPr>
        <w:t xml:space="preserve"> </w:t>
      </w:r>
      <w:r>
        <w:rPr>
          <w:rFonts w:ascii="宋体" w:hAnsi="宋体" w:eastAsia="宋体" w:cs="宋体"/>
          <w:spacing w:val="-10"/>
          <w:sz w:val="21"/>
          <w:szCs w:val="21"/>
        </w:rPr>
        <w:t>被消灭，脊髓灰质炎、丝虫病、麻风病、新生儿破伤风、疟疾被消除。麻疹、白喉、百</w:t>
      </w:r>
      <w:r>
        <w:rPr>
          <w:rFonts w:ascii="宋体" w:hAnsi="宋体" w:eastAsia="宋体" w:cs="宋体"/>
          <w:spacing w:val="-11"/>
          <w:sz w:val="21"/>
          <w:szCs w:val="21"/>
        </w:rPr>
        <w:t>日咳、流脑、乙</w:t>
      </w:r>
      <w:r>
        <w:rPr>
          <w:rFonts w:ascii="宋体" w:hAnsi="宋体" w:eastAsia="宋体" w:cs="宋体"/>
          <w:sz w:val="21"/>
          <w:szCs w:val="21"/>
        </w:rPr>
        <w:t xml:space="preserve"> </w:t>
      </w:r>
      <w:r>
        <w:rPr>
          <w:rFonts w:ascii="宋体" w:hAnsi="宋体" w:eastAsia="宋体" w:cs="宋体"/>
          <w:spacing w:val="-1"/>
          <w:sz w:val="21"/>
          <w:szCs w:val="21"/>
        </w:rPr>
        <w:t>脑、甲型肝炎(简称甲肝)、流行性腮腺炎、风疹等疫苗可预防疾病的发病和死亡水平均大幅降低并</w:t>
      </w:r>
      <w:r>
        <w:rPr>
          <w:rFonts w:ascii="宋体" w:hAnsi="宋体" w:eastAsia="宋体" w:cs="宋体"/>
          <w:spacing w:val="2"/>
          <w:sz w:val="21"/>
          <w:szCs w:val="21"/>
        </w:rPr>
        <w:t xml:space="preserve"> </w:t>
      </w:r>
      <w:r>
        <w:rPr>
          <w:rFonts w:ascii="宋体" w:hAnsi="宋体" w:eastAsia="宋体" w:cs="宋体"/>
          <w:spacing w:val="-1"/>
          <w:sz w:val="21"/>
          <w:szCs w:val="21"/>
        </w:rPr>
        <w:t>维持在低水平。儿童乙肝感染率和发病率明显下降，达到控制阶段性目标。霍乱、伤寒等肠道传染</w:t>
      </w:r>
      <w:r>
        <w:rPr>
          <w:rFonts w:ascii="宋体" w:hAnsi="宋体" w:eastAsia="宋体" w:cs="宋体"/>
          <w:sz w:val="21"/>
          <w:szCs w:val="21"/>
        </w:rPr>
        <w:t xml:space="preserve"> </w:t>
      </w:r>
      <w:r>
        <w:rPr>
          <w:rFonts w:ascii="宋体" w:hAnsi="宋体" w:eastAsia="宋体" w:cs="宋体"/>
          <w:spacing w:val="-5"/>
          <w:sz w:val="21"/>
          <w:szCs w:val="21"/>
        </w:rPr>
        <w:t>病，钩端螺旋体病、血吸虫病等自然疫源性传染病，以及斑疹伤寒、黑热病</w:t>
      </w:r>
      <w:r>
        <w:rPr>
          <w:rFonts w:ascii="宋体" w:hAnsi="宋体" w:eastAsia="宋体" w:cs="宋体"/>
          <w:spacing w:val="-6"/>
          <w:sz w:val="21"/>
          <w:szCs w:val="21"/>
        </w:rPr>
        <w:t>等虫媒传染病发病水平降</w:t>
      </w:r>
      <w:r>
        <w:rPr>
          <w:rFonts w:ascii="宋体" w:hAnsi="宋体" w:eastAsia="宋体" w:cs="宋体"/>
          <w:sz w:val="21"/>
          <w:szCs w:val="21"/>
        </w:rPr>
        <w:t xml:space="preserve"> </w:t>
      </w:r>
      <w:r>
        <w:rPr>
          <w:rFonts w:ascii="宋体" w:hAnsi="宋体" w:eastAsia="宋体" w:cs="宋体"/>
          <w:spacing w:val="4"/>
          <w:sz w:val="21"/>
          <w:szCs w:val="21"/>
        </w:rPr>
        <w:t>至历史最低，有些甚至接近完全消除。传染病在死因顺位中的排名从1952年的首</w:t>
      </w:r>
      <w:r>
        <w:rPr>
          <w:rFonts w:ascii="宋体" w:hAnsi="宋体" w:eastAsia="宋体" w:cs="宋体"/>
          <w:spacing w:val="3"/>
          <w:sz w:val="21"/>
          <w:szCs w:val="21"/>
        </w:rPr>
        <w:t>位降至2021年的</w:t>
      </w:r>
      <w:r>
        <w:rPr>
          <w:rFonts w:ascii="宋体" w:hAnsi="宋体" w:eastAsia="宋体" w:cs="宋体"/>
          <w:sz w:val="21"/>
          <w:szCs w:val="21"/>
        </w:rPr>
        <w:t xml:space="preserve"> 第九位，传染病防治的成效对提升国民健康水平和期望寿命贡献巨大。</w:t>
      </w:r>
    </w:p>
    <w:p w14:paraId="798119F4">
      <w:pPr>
        <w:pStyle w:val="2"/>
        <w:spacing w:before="177" w:line="221" w:lineRule="auto"/>
        <w:ind w:left="413"/>
        <w:outlineLvl w:val="4"/>
        <w:rPr>
          <w:sz w:val="26"/>
          <w:szCs w:val="26"/>
        </w:rPr>
      </w:pPr>
      <w:bookmarkStart w:id="303" w:name="bookmark192"/>
      <w:bookmarkEnd w:id="303"/>
      <w:r>
        <w:rPr>
          <w:b/>
          <w:bCs/>
          <w:spacing w:val="-10"/>
          <w:sz w:val="26"/>
          <w:szCs w:val="26"/>
        </w:rPr>
        <w:t>二</w:t>
      </w:r>
      <w:r>
        <w:rPr>
          <w:spacing w:val="-55"/>
          <w:sz w:val="26"/>
          <w:szCs w:val="26"/>
        </w:rPr>
        <w:t xml:space="preserve"> </w:t>
      </w:r>
      <w:r>
        <w:rPr>
          <w:b/>
          <w:bCs/>
          <w:spacing w:val="-10"/>
          <w:sz w:val="26"/>
          <w:szCs w:val="26"/>
        </w:rPr>
        <w:t>、当前传染病流行特征概述</w:t>
      </w:r>
    </w:p>
    <w:p w14:paraId="6F5A64FD">
      <w:pPr>
        <w:pStyle w:val="2"/>
        <w:spacing w:before="257" w:line="220" w:lineRule="auto"/>
        <w:ind w:left="412"/>
        <w:rPr>
          <w:sz w:val="21"/>
          <w:szCs w:val="21"/>
        </w:rPr>
      </w:pPr>
      <w:r>
        <w:rPr>
          <w:b/>
          <w:bCs/>
          <w:spacing w:val="20"/>
          <w:sz w:val="21"/>
          <w:szCs w:val="21"/>
        </w:rPr>
        <w:t>(一)传统传染病“死灰复燃”</w:t>
      </w:r>
    </w:p>
    <w:p w14:paraId="5939A494">
      <w:pPr>
        <w:spacing w:before="105" w:line="324" w:lineRule="auto"/>
        <w:ind w:right="545" w:firstLine="409"/>
        <w:jc w:val="both"/>
        <w:rPr>
          <w:rFonts w:ascii="宋体" w:hAnsi="宋体" w:eastAsia="宋体" w:cs="宋体"/>
          <w:sz w:val="21"/>
          <w:szCs w:val="21"/>
        </w:rPr>
      </w:pPr>
      <w:r>
        <w:rPr>
          <w:rFonts w:ascii="宋体" w:hAnsi="宋体" w:eastAsia="宋体" w:cs="宋体"/>
          <w:spacing w:val="6"/>
          <w:sz w:val="21"/>
          <w:szCs w:val="21"/>
        </w:rPr>
        <w:t>结核病的发病率20余年来持续升高，2021年全球新发肺结核1060万例，死亡160万例，居全</w:t>
      </w:r>
      <w:r>
        <w:rPr>
          <w:rFonts w:ascii="宋体" w:hAnsi="宋体" w:eastAsia="宋体" w:cs="宋体"/>
          <w:spacing w:val="3"/>
          <w:sz w:val="21"/>
          <w:szCs w:val="21"/>
        </w:rPr>
        <w:t xml:space="preserve">  </w:t>
      </w:r>
      <w:r>
        <w:rPr>
          <w:rFonts w:ascii="宋体" w:hAnsi="宋体" w:eastAsia="宋体" w:cs="宋体"/>
          <w:spacing w:val="1"/>
          <w:sz w:val="21"/>
          <w:szCs w:val="21"/>
        </w:rPr>
        <w:t>球疾病死因第十三位、传染病死因第二位。2022年，全球霍乱病例和相关死亡人数激增。2021年，</w:t>
      </w:r>
      <w:r>
        <w:rPr>
          <w:rFonts w:ascii="宋体" w:hAnsi="宋体" w:eastAsia="宋体" w:cs="宋体"/>
          <w:spacing w:val="7"/>
          <w:sz w:val="21"/>
          <w:szCs w:val="21"/>
        </w:rPr>
        <w:t xml:space="preserve"> </w:t>
      </w:r>
      <w:r>
        <w:rPr>
          <w:rFonts w:ascii="宋体" w:hAnsi="宋体" w:eastAsia="宋体" w:cs="宋体"/>
          <w:spacing w:val="4"/>
          <w:sz w:val="21"/>
          <w:szCs w:val="21"/>
        </w:rPr>
        <w:t>全球新感染疟疾病例2.47亿，威胁全球100多个国家和地区。</w:t>
      </w:r>
    </w:p>
    <w:p w14:paraId="0E8C97B2">
      <w:pPr>
        <w:pStyle w:val="2"/>
        <w:spacing w:before="1" w:line="220" w:lineRule="auto"/>
        <w:ind w:left="412"/>
        <w:rPr>
          <w:sz w:val="21"/>
          <w:szCs w:val="21"/>
        </w:rPr>
      </w:pPr>
      <w:r>
        <w:rPr>
          <w:b/>
          <w:bCs/>
          <w:spacing w:val="23"/>
          <w:sz w:val="21"/>
          <w:szCs w:val="21"/>
        </w:rPr>
        <w:t>(二)新发传染病频发</w:t>
      </w:r>
    </w:p>
    <w:p w14:paraId="06E8DA0C">
      <w:pPr>
        <w:spacing w:before="90" w:line="325" w:lineRule="auto"/>
        <w:ind w:right="617" w:firstLine="409"/>
        <w:jc w:val="both"/>
        <w:rPr>
          <w:rFonts w:ascii="宋体" w:hAnsi="宋体" w:eastAsia="宋体" w:cs="宋体"/>
          <w:sz w:val="21"/>
          <w:szCs w:val="21"/>
        </w:rPr>
      </w:pPr>
      <w:r>
        <w:rPr>
          <w:rFonts w:ascii="宋体" w:hAnsi="宋体" w:eastAsia="宋体" w:cs="宋体"/>
          <w:spacing w:val="-1"/>
          <w:sz w:val="21"/>
          <w:szCs w:val="21"/>
        </w:rPr>
        <w:t>新发传染病</w:t>
      </w:r>
      <w:r>
        <w:rPr>
          <w:rFonts w:ascii="Times New Roman" w:hAnsi="Times New Roman" w:eastAsia="Times New Roman" w:cs="Times New Roman"/>
          <w:spacing w:val="-1"/>
          <w:sz w:val="21"/>
          <w:szCs w:val="21"/>
        </w:rPr>
        <w:t>(emerging</w:t>
      </w:r>
      <w:r>
        <w:rPr>
          <w:rFonts w:ascii="Times New Roman" w:hAnsi="Times New Roman" w:eastAsia="Times New Roman" w:cs="Times New Roman"/>
          <w:spacing w:val="50"/>
          <w:w w:val="101"/>
          <w:sz w:val="21"/>
          <w:szCs w:val="21"/>
        </w:rPr>
        <w:t xml:space="preserve"> </w:t>
      </w:r>
      <w:r>
        <w:rPr>
          <w:rFonts w:ascii="Times New Roman" w:hAnsi="Times New Roman" w:eastAsia="Times New Roman" w:cs="Times New Roman"/>
          <w:spacing w:val="-1"/>
          <w:sz w:val="21"/>
          <w:szCs w:val="21"/>
        </w:rPr>
        <w:t>infectious</w:t>
      </w:r>
      <w:r>
        <w:rPr>
          <w:rFonts w:ascii="Times New Roman" w:hAnsi="Times New Roman" w:eastAsia="Times New Roman" w:cs="Times New Roman"/>
          <w:spacing w:val="50"/>
          <w:w w:val="101"/>
          <w:sz w:val="21"/>
          <w:szCs w:val="21"/>
        </w:rPr>
        <w:t xml:space="preserve"> </w:t>
      </w:r>
      <w:r>
        <w:rPr>
          <w:rFonts w:ascii="Times New Roman" w:hAnsi="Times New Roman" w:eastAsia="Times New Roman" w:cs="Times New Roman"/>
          <w:spacing w:val="-1"/>
          <w:sz w:val="21"/>
          <w:szCs w:val="21"/>
        </w:rPr>
        <w:t>disease)</w:t>
      </w:r>
      <w:r>
        <w:rPr>
          <w:rFonts w:ascii="宋体" w:hAnsi="宋体" w:eastAsia="宋体" w:cs="宋体"/>
          <w:spacing w:val="-2"/>
          <w:sz w:val="21"/>
          <w:szCs w:val="21"/>
        </w:rPr>
        <w:t>指人群中新出现的，或过去存在于人群中但其发病率突</w:t>
      </w:r>
      <w:r>
        <w:rPr>
          <w:rFonts w:ascii="宋体" w:hAnsi="宋体" w:eastAsia="宋体" w:cs="宋体"/>
          <w:sz w:val="21"/>
          <w:szCs w:val="21"/>
        </w:rPr>
        <w:t xml:space="preserve"> </w:t>
      </w:r>
      <w:r>
        <w:rPr>
          <w:rFonts w:ascii="宋体" w:hAnsi="宋体" w:eastAsia="宋体" w:cs="宋体"/>
          <w:spacing w:val="4"/>
          <w:sz w:val="21"/>
          <w:szCs w:val="21"/>
        </w:rPr>
        <w:t>然增加或者地域分布突然扩大的传染性疾病。新发传染病可分为三类：①曾被认定为非传染病而</w:t>
      </w:r>
      <w:r>
        <w:rPr>
          <w:rFonts w:ascii="宋体" w:hAnsi="宋体" w:eastAsia="宋体" w:cs="宋体"/>
          <w:spacing w:val="1"/>
          <w:sz w:val="21"/>
          <w:szCs w:val="21"/>
        </w:rPr>
        <w:t xml:space="preserve"> </w:t>
      </w:r>
      <w:r>
        <w:rPr>
          <w:rFonts w:ascii="宋体" w:hAnsi="宋体" w:eastAsia="宋体" w:cs="宋体"/>
          <w:spacing w:val="-5"/>
          <w:sz w:val="21"/>
          <w:szCs w:val="21"/>
        </w:rPr>
        <w:t>后被重新定义的传染病，如幽门螺杆菌相关消化性溃疡、</w:t>
      </w:r>
      <w:r>
        <w:rPr>
          <w:rFonts w:ascii="Times New Roman" w:hAnsi="Times New Roman" w:eastAsia="Times New Roman" w:cs="Times New Roman"/>
          <w:spacing w:val="-5"/>
          <w:sz w:val="21"/>
          <w:szCs w:val="21"/>
        </w:rPr>
        <w:t xml:space="preserve">T </w:t>
      </w:r>
      <w:r>
        <w:rPr>
          <w:rFonts w:ascii="宋体" w:hAnsi="宋体" w:eastAsia="宋体" w:cs="宋体"/>
          <w:spacing w:val="-5"/>
          <w:sz w:val="21"/>
          <w:szCs w:val="21"/>
        </w:rPr>
        <w:t>细胞白血病等；②已存在的、近代才被清</w:t>
      </w:r>
      <w:r>
        <w:rPr>
          <w:rFonts w:ascii="宋体" w:hAnsi="宋体" w:eastAsia="宋体" w:cs="宋体"/>
          <w:spacing w:val="3"/>
          <w:sz w:val="21"/>
          <w:szCs w:val="21"/>
        </w:rPr>
        <w:t xml:space="preserve"> </w:t>
      </w:r>
      <w:r>
        <w:rPr>
          <w:rFonts w:ascii="宋体" w:hAnsi="宋体" w:eastAsia="宋体" w:cs="宋体"/>
          <w:sz w:val="21"/>
          <w:szCs w:val="21"/>
        </w:rPr>
        <w:t>晰认知的传染病，如丙型和戊型病毒性肝炎、军团病等</w:t>
      </w:r>
      <w:r>
        <w:rPr>
          <w:rFonts w:ascii="宋体" w:hAnsi="宋体" w:eastAsia="宋体" w:cs="宋体"/>
          <w:spacing w:val="-1"/>
          <w:sz w:val="21"/>
          <w:szCs w:val="21"/>
        </w:rPr>
        <w:t>；③由新出现的病原体导致的以往不存在的</w:t>
      </w:r>
      <w:r>
        <w:rPr>
          <w:rFonts w:ascii="宋体" w:hAnsi="宋体" w:eastAsia="宋体" w:cs="宋体"/>
          <w:sz w:val="21"/>
          <w:szCs w:val="21"/>
        </w:rPr>
        <w:t xml:space="preserve"> </w:t>
      </w:r>
      <w:r>
        <w:rPr>
          <w:rFonts w:ascii="宋体" w:hAnsi="宋体" w:eastAsia="宋体" w:cs="宋体"/>
          <w:spacing w:val="-4"/>
          <w:sz w:val="21"/>
          <w:szCs w:val="21"/>
        </w:rPr>
        <w:t>新传染病，如艾滋病、埃博拉病毒病、新型冠状病毒感染</w:t>
      </w:r>
      <w:r>
        <w:rPr>
          <w:rFonts w:ascii="Times New Roman" w:hAnsi="Times New Roman" w:eastAsia="Times New Roman" w:cs="Times New Roman"/>
          <w:spacing w:val="-4"/>
          <w:sz w:val="21"/>
          <w:szCs w:val="21"/>
        </w:rPr>
        <w:t>(COV</w:t>
      </w:r>
      <w:r>
        <w:rPr>
          <w:rFonts w:ascii="Times New Roman" w:hAnsi="Times New Roman" w:eastAsia="Times New Roman" w:cs="Times New Roman"/>
          <w:spacing w:val="-5"/>
          <w:sz w:val="21"/>
          <w:szCs w:val="21"/>
        </w:rPr>
        <w:t xml:space="preserve">ID-19) </w:t>
      </w:r>
      <w:r>
        <w:rPr>
          <w:rFonts w:ascii="宋体" w:hAnsi="宋体" w:eastAsia="宋体" w:cs="宋体"/>
          <w:spacing w:val="-5"/>
          <w:sz w:val="21"/>
          <w:szCs w:val="21"/>
        </w:rPr>
        <w:t>等。</w:t>
      </w:r>
    </w:p>
    <w:p w14:paraId="285C18B5">
      <w:pPr>
        <w:pStyle w:val="2"/>
        <w:spacing w:before="20" w:line="221" w:lineRule="auto"/>
        <w:ind w:left="412"/>
        <w:rPr>
          <w:sz w:val="21"/>
          <w:szCs w:val="21"/>
        </w:rPr>
      </w:pPr>
      <w:r>
        <w:rPr>
          <w:b/>
          <w:bCs/>
          <w:spacing w:val="17"/>
          <w:sz w:val="21"/>
          <w:szCs w:val="21"/>
        </w:rPr>
        <w:t>(三)部分病原体感染可以导致特定肿瘤</w:t>
      </w:r>
    </w:p>
    <w:p w14:paraId="77E19E3A">
      <w:pPr>
        <w:spacing w:before="100" w:line="289" w:lineRule="auto"/>
        <w:ind w:right="618" w:firstLine="409"/>
        <w:jc w:val="both"/>
        <w:rPr>
          <w:rFonts w:ascii="宋体" w:hAnsi="宋体" w:eastAsia="宋体" w:cs="宋体"/>
          <w:sz w:val="21"/>
          <w:szCs w:val="21"/>
        </w:rPr>
      </w:pPr>
      <w:r>
        <w:rPr>
          <w:rFonts w:ascii="宋体" w:hAnsi="宋体" w:eastAsia="宋体" w:cs="宋体"/>
          <w:spacing w:val="3"/>
          <w:sz w:val="21"/>
          <w:szCs w:val="21"/>
        </w:rPr>
        <w:t>大量研究证实某些病原体与特定肿瘤存在因果关系。据</w:t>
      </w:r>
      <w:r>
        <w:rPr>
          <w:rFonts w:ascii="Times New Roman" w:hAnsi="Times New Roman" w:eastAsia="Times New Roman" w:cs="Times New Roman"/>
          <w:sz w:val="21"/>
          <w:szCs w:val="21"/>
        </w:rPr>
        <w:t>WHO</w:t>
      </w:r>
      <w:r>
        <w:rPr>
          <w:rFonts w:ascii="宋体" w:hAnsi="宋体" w:eastAsia="宋体" w:cs="宋体"/>
          <w:spacing w:val="3"/>
          <w:sz w:val="21"/>
          <w:szCs w:val="21"/>
        </w:rPr>
        <w:t>估计，2018年全球确诊的癌症中</w:t>
      </w:r>
      <w:r>
        <w:rPr>
          <w:rFonts w:ascii="宋体" w:hAnsi="宋体" w:eastAsia="宋体" w:cs="宋体"/>
          <w:sz w:val="21"/>
          <w:szCs w:val="21"/>
        </w:rPr>
        <w:t xml:space="preserve"> </w:t>
      </w:r>
      <w:r>
        <w:rPr>
          <w:rFonts w:ascii="宋体" w:hAnsi="宋体" w:eastAsia="宋体" w:cs="宋体"/>
          <w:spacing w:val="4"/>
          <w:sz w:val="21"/>
          <w:szCs w:val="21"/>
        </w:rPr>
        <w:t>约有13%可归因于致癌性感染。在国际癌症研究署(</w:t>
      </w:r>
      <w:r>
        <w:rPr>
          <w:rFonts w:ascii="宋体" w:hAnsi="宋体" w:eastAsia="宋体" w:cs="宋体"/>
          <w:sz w:val="21"/>
          <w:szCs w:val="21"/>
        </w:rPr>
        <w:t>IARC</w:t>
      </w:r>
      <w:r>
        <w:rPr>
          <w:rFonts w:ascii="宋体" w:hAnsi="宋体" w:eastAsia="宋体" w:cs="宋体"/>
          <w:spacing w:val="4"/>
          <w:sz w:val="21"/>
          <w:szCs w:val="21"/>
        </w:rPr>
        <w:t>) 发布的报告中，被认为已有</w:t>
      </w:r>
      <w:r>
        <w:rPr>
          <w:rFonts w:ascii="宋体" w:hAnsi="宋体" w:eastAsia="宋体" w:cs="宋体"/>
          <w:spacing w:val="3"/>
          <w:sz w:val="21"/>
          <w:szCs w:val="21"/>
        </w:rPr>
        <w:t>充分科学证</w:t>
      </w:r>
      <w:r>
        <w:rPr>
          <w:rFonts w:ascii="宋体" w:hAnsi="宋体" w:eastAsia="宋体" w:cs="宋体"/>
          <w:sz w:val="21"/>
          <w:szCs w:val="21"/>
        </w:rPr>
        <w:t xml:space="preserve"> </w:t>
      </w:r>
      <w:r>
        <w:rPr>
          <w:rFonts w:ascii="宋体" w:hAnsi="宋体" w:eastAsia="宋体" w:cs="宋体"/>
          <w:spacing w:val="2"/>
          <w:sz w:val="21"/>
          <w:szCs w:val="21"/>
        </w:rPr>
        <w:t>据表明对人类有致癌性而被归为I类致癌物的病原</w:t>
      </w:r>
      <w:r>
        <w:rPr>
          <w:rFonts w:ascii="宋体" w:hAnsi="宋体" w:eastAsia="宋体" w:cs="宋体"/>
          <w:spacing w:val="1"/>
          <w:sz w:val="21"/>
          <w:szCs w:val="21"/>
        </w:rPr>
        <w:t>体及相关肿瘤主要包括：①乙型与丙型肝炎病毒</w:t>
      </w:r>
      <w:r>
        <w:rPr>
          <w:rFonts w:ascii="宋体" w:hAnsi="宋体" w:eastAsia="宋体" w:cs="宋体"/>
          <w:sz w:val="21"/>
          <w:szCs w:val="21"/>
        </w:rPr>
        <w:t xml:space="preserve"> </w:t>
      </w:r>
      <w:r>
        <w:rPr>
          <w:rFonts w:ascii="宋体" w:hAnsi="宋体" w:eastAsia="宋体" w:cs="宋体"/>
          <w:spacing w:val="-6"/>
          <w:sz w:val="21"/>
          <w:szCs w:val="21"/>
        </w:rPr>
        <w:t>与肝癌；②高危型人乳头瘤病毒</w:t>
      </w:r>
      <w:r>
        <w:rPr>
          <w:rFonts w:ascii="Times New Roman" w:hAnsi="Times New Roman" w:eastAsia="Times New Roman" w:cs="Times New Roman"/>
          <w:spacing w:val="-6"/>
          <w:sz w:val="21"/>
          <w:szCs w:val="21"/>
        </w:rPr>
        <w:t>(HPV)</w:t>
      </w:r>
      <w:r>
        <w:rPr>
          <w:rFonts w:ascii="Times New Roman" w:hAnsi="Times New Roman" w:eastAsia="Times New Roman" w:cs="Times New Roman"/>
          <w:spacing w:val="57"/>
          <w:sz w:val="21"/>
          <w:szCs w:val="21"/>
        </w:rPr>
        <w:t xml:space="preserve"> </w:t>
      </w:r>
      <w:r>
        <w:rPr>
          <w:rFonts w:ascii="宋体" w:hAnsi="宋体" w:eastAsia="宋体" w:cs="宋体"/>
          <w:spacing w:val="-6"/>
          <w:sz w:val="21"/>
          <w:szCs w:val="21"/>
        </w:rPr>
        <w:t>与宫颈癌、肛门癌、阴道癌、阴茎癌、口咽癌；③人类疱疹病</w:t>
      </w:r>
    </w:p>
    <w:p w14:paraId="781CD06C">
      <w:pPr>
        <w:spacing w:line="289" w:lineRule="auto"/>
        <w:rPr>
          <w:rFonts w:ascii="宋体" w:hAnsi="宋体" w:eastAsia="宋体" w:cs="宋体"/>
          <w:sz w:val="21"/>
          <w:szCs w:val="21"/>
        </w:rPr>
        <w:sectPr>
          <w:type w:val="continuous"/>
          <w:pgSz w:w="11900" w:h="16820"/>
          <w:pgMar w:top="400" w:right="819" w:bottom="826" w:left="1450" w:header="0" w:footer="637" w:gutter="0"/>
          <w:cols w:equalWidth="0" w:num="1">
            <w:col w:w="9631"/>
          </w:cols>
        </w:sectPr>
      </w:pPr>
    </w:p>
    <w:p w14:paraId="46C5F758">
      <w:pPr>
        <w:pStyle w:val="2"/>
        <w:spacing w:before="26" w:line="221" w:lineRule="auto"/>
        <w:ind w:left="689"/>
        <w:rPr>
          <w:sz w:val="21"/>
          <w:szCs w:val="21"/>
        </w:rPr>
      </w:pPr>
      <w:bookmarkStart w:id="304" w:name="bookmark503"/>
      <w:bookmarkEnd w:id="304"/>
      <w:r>
        <w:rPr>
          <w:spacing w:val="-19"/>
          <w:w w:val="95"/>
          <w:sz w:val="21"/>
          <w:szCs w:val="21"/>
        </w:rPr>
        <w:t>第十一章 传染病流行病学</w:t>
      </w:r>
    </w:p>
    <w:p w14:paraId="79E25F96">
      <w:pPr>
        <w:spacing w:line="256" w:lineRule="auto"/>
        <w:rPr>
          <w:rFonts w:ascii="Arial"/>
          <w:sz w:val="21"/>
        </w:rPr>
      </w:pPr>
    </w:p>
    <w:p w14:paraId="67BFFFBB">
      <w:pPr>
        <w:spacing w:line="257" w:lineRule="auto"/>
        <w:rPr>
          <w:rFonts w:ascii="Arial"/>
          <w:sz w:val="21"/>
        </w:rPr>
      </w:pPr>
    </w:p>
    <w:p w14:paraId="08F62282">
      <w:pPr>
        <w:spacing w:before="69" w:line="336" w:lineRule="auto"/>
        <w:ind w:left="689" w:right="108"/>
        <w:jc w:val="both"/>
        <w:rPr>
          <w:rFonts w:ascii="宋体" w:hAnsi="宋体" w:eastAsia="宋体" w:cs="宋体"/>
          <w:sz w:val="21"/>
          <w:szCs w:val="21"/>
        </w:rPr>
      </w:pPr>
      <w:r>
        <w:rPr>
          <w:rFonts w:ascii="宋体" w:hAnsi="宋体" w:eastAsia="宋体" w:cs="宋体"/>
          <w:spacing w:val="-2"/>
          <w:sz w:val="21"/>
          <w:szCs w:val="21"/>
        </w:rPr>
        <w:t>毒</w:t>
      </w:r>
      <w:r>
        <w:rPr>
          <w:rFonts w:ascii="宋体" w:hAnsi="宋体" w:eastAsia="宋体" w:cs="宋体"/>
          <w:spacing w:val="-29"/>
          <w:sz w:val="21"/>
          <w:szCs w:val="21"/>
        </w:rPr>
        <w:t xml:space="preserve"> </w:t>
      </w:r>
      <w:r>
        <w:rPr>
          <w:rFonts w:ascii="宋体" w:hAnsi="宋体" w:eastAsia="宋体" w:cs="宋体"/>
          <w:spacing w:val="-2"/>
          <w:sz w:val="21"/>
          <w:szCs w:val="21"/>
        </w:rPr>
        <w:t>4</w:t>
      </w:r>
      <w:r>
        <w:rPr>
          <w:rFonts w:ascii="宋体" w:hAnsi="宋体" w:eastAsia="宋体" w:cs="宋体"/>
          <w:spacing w:val="-21"/>
          <w:sz w:val="21"/>
          <w:szCs w:val="21"/>
        </w:rPr>
        <w:t xml:space="preserve"> </w:t>
      </w:r>
      <w:r>
        <w:rPr>
          <w:rFonts w:ascii="宋体" w:hAnsi="宋体" w:eastAsia="宋体" w:cs="宋体"/>
          <w:spacing w:val="-2"/>
          <w:sz w:val="21"/>
          <w:szCs w:val="21"/>
        </w:rPr>
        <w:t>型</w:t>
      </w:r>
      <w:r>
        <w:rPr>
          <w:rFonts w:ascii="Times New Roman" w:hAnsi="Times New Roman" w:eastAsia="Times New Roman" w:cs="Times New Roman"/>
          <w:spacing w:val="-2"/>
          <w:sz w:val="21"/>
          <w:szCs w:val="21"/>
        </w:rPr>
        <w:t xml:space="preserve">(HHV-4,  </w:t>
      </w:r>
      <w:r>
        <w:rPr>
          <w:rFonts w:ascii="宋体" w:hAnsi="宋体" w:eastAsia="宋体" w:cs="宋体"/>
          <w:spacing w:val="-2"/>
          <w:sz w:val="21"/>
          <w:szCs w:val="21"/>
        </w:rPr>
        <w:t>又称</w:t>
      </w:r>
      <w:r>
        <w:rPr>
          <w:rFonts w:ascii="Times New Roman" w:hAnsi="Times New Roman" w:eastAsia="Times New Roman" w:cs="Times New Roman"/>
          <w:spacing w:val="-2"/>
          <w:sz w:val="21"/>
          <w:szCs w:val="21"/>
        </w:rPr>
        <w:t xml:space="preserve">EB </w:t>
      </w:r>
      <w:r>
        <w:rPr>
          <w:rFonts w:ascii="宋体" w:hAnsi="宋体" w:eastAsia="宋体" w:cs="宋体"/>
          <w:spacing w:val="-2"/>
          <w:sz w:val="21"/>
          <w:szCs w:val="21"/>
        </w:rPr>
        <w:t>病毒，</w:t>
      </w:r>
      <w:r>
        <w:rPr>
          <w:rFonts w:ascii="Times New Roman" w:hAnsi="Times New Roman" w:eastAsia="Times New Roman" w:cs="Times New Roman"/>
          <w:spacing w:val="-2"/>
          <w:sz w:val="21"/>
          <w:szCs w:val="21"/>
        </w:rPr>
        <w:t>EBV)</w:t>
      </w:r>
      <w:r>
        <w:rPr>
          <w:rFonts w:ascii="宋体" w:hAnsi="宋体" w:eastAsia="宋体" w:cs="宋体"/>
          <w:spacing w:val="-2"/>
          <w:sz w:val="21"/>
          <w:szCs w:val="21"/>
        </w:rPr>
        <w:t>与伯基特淋巴瘤、鼻咽癌；④人类疱疹病毒8型</w:t>
      </w:r>
      <w:r>
        <w:rPr>
          <w:rFonts w:ascii="Times New Roman" w:hAnsi="Times New Roman" w:eastAsia="Times New Roman" w:cs="Times New Roman"/>
          <w:spacing w:val="-2"/>
          <w:sz w:val="21"/>
          <w:szCs w:val="21"/>
        </w:rPr>
        <w:t>(HHV-8</w:t>
      </w:r>
      <w:r>
        <w:rPr>
          <w:rFonts w:ascii="Times New Roman" w:hAnsi="Times New Roman" w:eastAsia="Times New Roman" w:cs="Times New Roman"/>
          <w:spacing w:val="-3"/>
          <w:sz w:val="21"/>
          <w:szCs w:val="21"/>
        </w:rPr>
        <w:t xml:space="preserve">)  </w:t>
      </w:r>
      <w:r>
        <w:rPr>
          <w:rFonts w:ascii="宋体" w:hAnsi="宋体" w:eastAsia="宋体" w:cs="宋体"/>
          <w:spacing w:val="-3"/>
          <w:sz w:val="21"/>
          <w:szCs w:val="21"/>
        </w:rPr>
        <w:t>与卡</w:t>
      </w:r>
      <w:r>
        <w:rPr>
          <w:rFonts w:ascii="宋体" w:hAnsi="宋体" w:eastAsia="宋体" w:cs="宋体"/>
          <w:sz w:val="21"/>
          <w:szCs w:val="21"/>
        </w:rPr>
        <w:t xml:space="preserve"> </w:t>
      </w:r>
      <w:r>
        <w:rPr>
          <w:rFonts w:ascii="宋体" w:hAnsi="宋体" w:eastAsia="宋体" w:cs="宋体"/>
          <w:spacing w:val="2"/>
          <w:sz w:val="21"/>
          <w:szCs w:val="21"/>
        </w:rPr>
        <w:t>波西肉瘤和多发性骨髓瘤；⑤人类免疫缺陷病毒1型</w:t>
      </w:r>
      <w:r>
        <w:rPr>
          <w:rFonts w:ascii="Times New Roman" w:hAnsi="Times New Roman" w:eastAsia="Times New Roman" w:cs="Times New Roman"/>
          <w:spacing w:val="2"/>
          <w:sz w:val="21"/>
          <w:szCs w:val="21"/>
        </w:rPr>
        <w:t>(</w:t>
      </w:r>
      <w:r>
        <w:rPr>
          <w:rFonts w:ascii="Times New Roman" w:hAnsi="Times New Roman" w:eastAsia="Times New Roman" w:cs="Times New Roman"/>
          <w:sz w:val="21"/>
          <w:szCs w:val="21"/>
        </w:rPr>
        <w:t>HIV</w:t>
      </w:r>
      <w:r>
        <w:rPr>
          <w:rFonts w:ascii="Times New Roman" w:hAnsi="Times New Roman" w:eastAsia="Times New Roman" w:cs="Times New Roman"/>
          <w:spacing w:val="2"/>
          <w:sz w:val="21"/>
          <w:szCs w:val="21"/>
        </w:rPr>
        <w:t xml:space="preserve">-1)  </w:t>
      </w:r>
      <w:r>
        <w:rPr>
          <w:rFonts w:ascii="宋体" w:hAnsi="宋体" w:eastAsia="宋体" w:cs="宋体"/>
          <w:spacing w:val="1"/>
          <w:sz w:val="21"/>
          <w:szCs w:val="21"/>
        </w:rPr>
        <w:t>与卡波西肉瘤等多种肿瘤；⑥人类</w:t>
      </w:r>
      <w:r>
        <w:rPr>
          <w:rFonts w:ascii="Times New Roman" w:hAnsi="Times New Roman" w:eastAsia="Times New Roman" w:cs="Times New Roman"/>
          <w:spacing w:val="1"/>
          <w:sz w:val="21"/>
          <w:szCs w:val="21"/>
        </w:rPr>
        <w:t>T</w:t>
      </w:r>
      <w:r>
        <w:rPr>
          <w:rFonts w:ascii="Times New Roman" w:hAnsi="Times New Roman" w:eastAsia="Times New Roman" w:cs="Times New Roman"/>
          <w:sz w:val="21"/>
          <w:szCs w:val="21"/>
        </w:rPr>
        <w:t xml:space="preserve"> </w:t>
      </w:r>
      <w:r>
        <w:rPr>
          <w:rFonts w:ascii="宋体" w:hAnsi="宋体" w:eastAsia="宋体" w:cs="宋体"/>
          <w:sz w:val="21"/>
          <w:szCs w:val="21"/>
        </w:rPr>
        <w:t>细胞白血病病毒1型</w:t>
      </w:r>
      <w:r>
        <w:rPr>
          <w:rFonts w:ascii="Times New Roman" w:hAnsi="Times New Roman" w:eastAsia="Times New Roman" w:cs="Times New Roman"/>
          <w:sz w:val="21"/>
          <w:szCs w:val="21"/>
        </w:rPr>
        <w:t xml:space="preserve">(HTLV-1) </w:t>
      </w:r>
      <w:r>
        <w:rPr>
          <w:rFonts w:ascii="宋体" w:hAnsi="宋体" w:eastAsia="宋体" w:cs="宋体"/>
          <w:sz w:val="21"/>
          <w:szCs w:val="21"/>
        </w:rPr>
        <w:t>与成人</w:t>
      </w:r>
      <w:r>
        <w:rPr>
          <w:rFonts w:ascii="Times New Roman" w:hAnsi="Times New Roman" w:eastAsia="Times New Roman" w:cs="Times New Roman"/>
          <w:sz w:val="21"/>
          <w:szCs w:val="21"/>
        </w:rPr>
        <w:t xml:space="preserve">T </w:t>
      </w:r>
      <w:r>
        <w:rPr>
          <w:rFonts w:ascii="宋体" w:hAnsi="宋体" w:eastAsia="宋体" w:cs="宋体"/>
          <w:sz w:val="21"/>
          <w:szCs w:val="21"/>
        </w:rPr>
        <w:t>细胞白血病/淋巴瘤；⑦泰国肝吸虫与胆管癌；⑧血吸虫与</w:t>
      </w:r>
      <w:r>
        <w:rPr>
          <w:rFonts w:ascii="宋体" w:hAnsi="宋体" w:eastAsia="宋体" w:cs="宋体"/>
          <w:spacing w:val="17"/>
          <w:sz w:val="21"/>
          <w:szCs w:val="21"/>
        </w:rPr>
        <w:t xml:space="preserve"> </w:t>
      </w:r>
      <w:r>
        <w:rPr>
          <w:rFonts w:ascii="宋体" w:hAnsi="宋体" w:eastAsia="宋体" w:cs="宋体"/>
          <w:spacing w:val="-7"/>
          <w:sz w:val="21"/>
          <w:szCs w:val="21"/>
        </w:rPr>
        <w:t>膀胱癌；⑨幽门螺杆菌与胃癌。</w:t>
      </w:r>
    </w:p>
    <w:p w14:paraId="41E2A1F6">
      <w:pPr>
        <w:pStyle w:val="2"/>
        <w:spacing w:before="21" w:line="221" w:lineRule="auto"/>
        <w:ind w:left="1102"/>
        <w:rPr>
          <w:sz w:val="21"/>
          <w:szCs w:val="21"/>
        </w:rPr>
      </w:pPr>
      <w:r>
        <w:rPr>
          <w:b/>
          <w:bCs/>
          <w:spacing w:val="10"/>
          <w:sz w:val="21"/>
          <w:szCs w:val="21"/>
        </w:rPr>
        <w:t>(四)传染病暴发伴随社会经济与生物安全问题</w:t>
      </w:r>
    </w:p>
    <w:p w14:paraId="70BB1601">
      <w:pPr>
        <w:spacing w:before="123" w:line="326" w:lineRule="auto"/>
        <w:ind w:left="689" w:right="94" w:firstLine="409"/>
        <w:jc w:val="both"/>
        <w:rPr>
          <w:rFonts w:ascii="宋体" w:hAnsi="宋体" w:eastAsia="宋体" w:cs="宋体"/>
          <w:sz w:val="21"/>
          <w:szCs w:val="21"/>
        </w:rPr>
      </w:pPr>
      <w:r>
        <w:rPr>
          <w:rFonts w:ascii="宋体" w:hAnsi="宋体" w:eastAsia="宋体" w:cs="宋体"/>
          <w:spacing w:val="2"/>
          <w:sz w:val="21"/>
          <w:szCs w:val="21"/>
        </w:rPr>
        <w:t>传染病暴发可对全球和地区经济造成严重影响。当疫情涉及多个国家和地区时，可能引发国</w:t>
      </w:r>
      <w:r>
        <w:rPr>
          <w:rFonts w:ascii="宋体" w:hAnsi="宋体" w:eastAsia="宋体" w:cs="宋体"/>
          <w:spacing w:val="10"/>
          <w:sz w:val="21"/>
          <w:szCs w:val="21"/>
        </w:rPr>
        <w:t xml:space="preserve"> </w:t>
      </w:r>
      <w:r>
        <w:rPr>
          <w:rFonts w:ascii="宋体" w:hAnsi="宋体" w:eastAsia="宋体" w:cs="宋体"/>
          <w:sz w:val="21"/>
          <w:szCs w:val="21"/>
        </w:rPr>
        <w:t>际关系紧张和冲突，如2020年以来的</w:t>
      </w:r>
      <w:r>
        <w:rPr>
          <w:rFonts w:ascii="Times New Roman" w:hAnsi="Times New Roman" w:eastAsia="Times New Roman" w:cs="Times New Roman"/>
          <w:sz w:val="21"/>
          <w:szCs w:val="21"/>
        </w:rPr>
        <w:t>COVID-19</w:t>
      </w:r>
      <w:r>
        <w:rPr>
          <w:rFonts w:ascii="宋体" w:hAnsi="宋体" w:eastAsia="宋体" w:cs="宋体"/>
          <w:sz w:val="21"/>
          <w:szCs w:val="21"/>
        </w:rPr>
        <w:t>全球大流行对</w:t>
      </w:r>
      <w:r>
        <w:rPr>
          <w:rFonts w:ascii="宋体" w:hAnsi="宋体" w:eastAsia="宋体" w:cs="宋体"/>
          <w:spacing w:val="-1"/>
          <w:sz w:val="21"/>
          <w:szCs w:val="21"/>
        </w:rPr>
        <w:t>社会稳定、经济发展、国际关系都带</w:t>
      </w:r>
      <w:r>
        <w:rPr>
          <w:rFonts w:ascii="宋体" w:hAnsi="宋体" w:eastAsia="宋体" w:cs="宋体"/>
          <w:sz w:val="21"/>
          <w:szCs w:val="21"/>
        </w:rPr>
        <w:t xml:space="preserve"> </w:t>
      </w:r>
      <w:r>
        <w:rPr>
          <w:rFonts w:ascii="宋体" w:hAnsi="宋体" w:eastAsia="宋体" w:cs="宋体"/>
          <w:spacing w:val="2"/>
          <w:sz w:val="21"/>
          <w:szCs w:val="21"/>
        </w:rPr>
        <w:t>来巨大冲击。传染病的暴发往往伴随着病原体在人群与环境中的迅速积累，并可因病原体泄漏而</w:t>
      </w:r>
      <w:r>
        <w:rPr>
          <w:rFonts w:ascii="宋体" w:hAnsi="宋体" w:eastAsia="宋体" w:cs="宋体"/>
          <w:spacing w:val="6"/>
          <w:sz w:val="21"/>
          <w:szCs w:val="21"/>
        </w:rPr>
        <w:t xml:space="preserve"> </w:t>
      </w:r>
      <w:r>
        <w:rPr>
          <w:rFonts w:ascii="宋体" w:hAnsi="宋体" w:eastAsia="宋体" w:cs="宋体"/>
          <w:spacing w:val="-5"/>
          <w:sz w:val="21"/>
          <w:szCs w:val="21"/>
        </w:rPr>
        <w:t>引发或加剧传播，由此带来的生物安全问题也越来越受到重视。</w:t>
      </w:r>
    </w:p>
    <w:p w14:paraId="4A2B5B2A">
      <w:pPr>
        <w:pStyle w:val="2"/>
        <w:spacing w:before="22" w:line="221" w:lineRule="auto"/>
        <w:ind w:left="1102"/>
        <w:rPr>
          <w:sz w:val="21"/>
          <w:szCs w:val="21"/>
        </w:rPr>
      </w:pPr>
      <w:r>
        <w:rPr>
          <w:b/>
          <w:bCs/>
          <w:spacing w:val="13"/>
          <w:sz w:val="21"/>
          <w:szCs w:val="21"/>
        </w:rPr>
        <w:t>(五)传染病大流行并非小概率事件</w:t>
      </w:r>
    </w:p>
    <w:p w14:paraId="6C49BDEB">
      <w:pPr>
        <w:spacing w:before="121" w:line="328" w:lineRule="auto"/>
        <w:ind w:left="584" w:firstLine="514"/>
        <w:jc w:val="both"/>
        <w:rPr>
          <w:rFonts w:ascii="宋体" w:hAnsi="宋体" w:eastAsia="宋体" w:cs="宋体"/>
          <w:sz w:val="21"/>
          <w:szCs w:val="21"/>
        </w:rPr>
      </w:pPr>
      <w:r>
        <w:rPr>
          <w:rFonts w:ascii="宋体" w:hAnsi="宋体" w:eastAsia="宋体" w:cs="宋体"/>
          <w:spacing w:val="3"/>
          <w:sz w:val="21"/>
          <w:szCs w:val="21"/>
        </w:rPr>
        <w:t>随着人类的活动范围不断扩大以及公共交通工</w:t>
      </w:r>
      <w:r>
        <w:rPr>
          <w:rFonts w:ascii="宋体" w:hAnsi="宋体" w:eastAsia="宋体" w:cs="宋体"/>
          <w:spacing w:val="2"/>
          <w:sz w:val="21"/>
          <w:szCs w:val="21"/>
        </w:rPr>
        <w:t>具的高密度使用，病原体可以在更短时间内在</w:t>
      </w:r>
      <w:r>
        <w:rPr>
          <w:rFonts w:ascii="宋体" w:hAnsi="宋体" w:eastAsia="宋体" w:cs="宋体"/>
          <w:sz w:val="21"/>
          <w:szCs w:val="21"/>
        </w:rPr>
        <w:t xml:space="preserve">  全球迅速传播。全球气候变化、生态退化、环境污染等也可能导致动物</w:t>
      </w:r>
      <w:r>
        <w:rPr>
          <w:rFonts w:ascii="宋体" w:hAnsi="宋体" w:eastAsia="宋体" w:cs="宋体"/>
          <w:spacing w:val="-1"/>
          <w:sz w:val="21"/>
          <w:szCs w:val="21"/>
        </w:rPr>
        <w:t>种群聚集或栖息地改变、病</w:t>
      </w:r>
      <w:r>
        <w:rPr>
          <w:rFonts w:ascii="宋体" w:hAnsi="宋体" w:eastAsia="宋体" w:cs="宋体"/>
          <w:sz w:val="21"/>
          <w:szCs w:val="21"/>
        </w:rPr>
        <w:t xml:space="preserve">  </w:t>
      </w:r>
      <w:r>
        <w:rPr>
          <w:rFonts w:ascii="宋体" w:hAnsi="宋体" w:eastAsia="宋体" w:cs="宋体"/>
          <w:spacing w:val="2"/>
          <w:sz w:val="21"/>
          <w:szCs w:val="21"/>
        </w:rPr>
        <w:t>原微生物构成变化，从而增加传染病的流行概率。因此，传染病大流行并非小概率</w:t>
      </w:r>
      <w:r>
        <w:rPr>
          <w:rFonts w:ascii="宋体" w:hAnsi="宋体" w:eastAsia="宋体" w:cs="宋体"/>
          <w:spacing w:val="1"/>
          <w:sz w:val="21"/>
          <w:szCs w:val="21"/>
        </w:rPr>
        <w:t>事件。近年来，</w:t>
      </w:r>
      <w:r>
        <w:rPr>
          <w:rFonts w:ascii="宋体" w:hAnsi="宋体" w:eastAsia="宋体" w:cs="宋体"/>
          <w:sz w:val="21"/>
          <w:szCs w:val="21"/>
        </w:rPr>
        <w:t xml:space="preserve"> </w:t>
      </w:r>
      <w:r>
        <w:rPr>
          <w:rFonts w:ascii="宋体" w:hAnsi="宋体" w:eastAsia="宋体" w:cs="宋体"/>
          <w:spacing w:val="-2"/>
          <w:sz w:val="21"/>
          <w:szCs w:val="21"/>
        </w:rPr>
        <w:t>“同一健康</w:t>
      </w:r>
      <w:r>
        <w:rPr>
          <w:rFonts w:ascii="Times New Roman" w:hAnsi="Times New Roman" w:eastAsia="Times New Roman" w:cs="Times New Roman"/>
          <w:spacing w:val="-2"/>
          <w:sz w:val="21"/>
          <w:szCs w:val="21"/>
        </w:rPr>
        <w:t>(One  Health)”</w:t>
      </w:r>
      <w:r>
        <w:rPr>
          <w:rFonts w:ascii="宋体" w:hAnsi="宋体" w:eastAsia="宋体" w:cs="宋体"/>
          <w:spacing w:val="-2"/>
          <w:sz w:val="21"/>
          <w:szCs w:val="21"/>
        </w:rPr>
        <w:t>理念日益得到认同，强调世界各地及人与动物的密切相关。</w:t>
      </w:r>
    </w:p>
    <w:p w14:paraId="4181A6DF">
      <w:pPr>
        <w:spacing w:line="264" w:lineRule="auto"/>
        <w:rPr>
          <w:rFonts w:ascii="Arial"/>
          <w:sz w:val="21"/>
        </w:rPr>
      </w:pPr>
    </w:p>
    <w:p w14:paraId="4B4E58FD">
      <w:pPr>
        <w:pStyle w:val="2"/>
        <w:spacing w:before="101" w:line="222" w:lineRule="auto"/>
        <w:ind w:left="3954"/>
        <w:outlineLvl w:val="2"/>
        <w:rPr>
          <w:sz w:val="31"/>
          <w:szCs w:val="31"/>
        </w:rPr>
      </w:pPr>
      <w:bookmarkStart w:id="305" w:name="bookmark193"/>
      <w:bookmarkEnd w:id="305"/>
      <w:r>
        <w:rPr>
          <w:b/>
          <w:bCs/>
          <w:spacing w:val="24"/>
          <w:sz w:val="31"/>
          <w:szCs w:val="31"/>
        </w:rPr>
        <w:t>第二节传染过程</w:t>
      </w:r>
    </w:p>
    <w:p w14:paraId="4D4BD046">
      <w:pPr>
        <w:spacing w:line="304" w:lineRule="auto"/>
        <w:rPr>
          <w:rFonts w:ascii="Arial"/>
          <w:sz w:val="21"/>
        </w:rPr>
      </w:pPr>
    </w:p>
    <w:p w14:paraId="12F17CCA">
      <w:pPr>
        <w:spacing w:before="69" w:line="355" w:lineRule="auto"/>
        <w:ind w:left="689" w:right="91" w:firstLine="409"/>
        <w:rPr>
          <w:rFonts w:ascii="宋体" w:hAnsi="宋体" w:eastAsia="宋体" w:cs="宋体"/>
          <w:sz w:val="21"/>
          <w:szCs w:val="21"/>
        </w:rPr>
      </w:pPr>
      <w:r>
        <w:rPr>
          <w:rFonts w:ascii="宋体" w:hAnsi="宋体" w:eastAsia="宋体" w:cs="宋体"/>
          <w:spacing w:val="-2"/>
          <w:sz w:val="21"/>
          <w:szCs w:val="21"/>
        </w:rPr>
        <w:t>传染过程</w:t>
      </w:r>
      <w:r>
        <w:rPr>
          <w:rFonts w:ascii="Times New Roman" w:hAnsi="Times New Roman" w:eastAsia="Times New Roman" w:cs="Times New Roman"/>
          <w:spacing w:val="-2"/>
          <w:sz w:val="21"/>
          <w:szCs w:val="21"/>
        </w:rPr>
        <w:t>(infection   process)</w:t>
      </w:r>
      <w:r>
        <w:rPr>
          <w:rFonts w:ascii="宋体" w:hAnsi="宋体" w:eastAsia="宋体" w:cs="宋体"/>
          <w:spacing w:val="-2"/>
          <w:sz w:val="21"/>
          <w:szCs w:val="21"/>
        </w:rPr>
        <w:t>指病原体进入宿主机体后，与机体相互作用、相互斗争的过程，亦</w:t>
      </w:r>
      <w:r>
        <w:rPr>
          <w:rFonts w:ascii="宋体" w:hAnsi="宋体" w:eastAsia="宋体" w:cs="宋体"/>
          <w:spacing w:val="7"/>
          <w:sz w:val="21"/>
          <w:szCs w:val="21"/>
        </w:rPr>
        <w:t xml:space="preserve"> </w:t>
      </w:r>
      <w:r>
        <w:rPr>
          <w:rFonts w:ascii="宋体" w:hAnsi="宋体" w:eastAsia="宋体" w:cs="宋体"/>
          <w:spacing w:val="-5"/>
          <w:sz w:val="21"/>
          <w:szCs w:val="21"/>
        </w:rPr>
        <w:t>即传染发生、发展直至结束的整个过程。传染过程是个体现象。</w:t>
      </w:r>
    </w:p>
    <w:p w14:paraId="142035B8">
      <w:pPr>
        <w:pStyle w:val="2"/>
        <w:spacing w:before="166" w:line="222" w:lineRule="auto"/>
        <w:ind w:left="1103"/>
        <w:outlineLvl w:val="4"/>
        <w:rPr>
          <w:sz w:val="26"/>
          <w:szCs w:val="26"/>
        </w:rPr>
      </w:pPr>
      <w:bookmarkStart w:id="306" w:name="bookmark194"/>
      <w:bookmarkEnd w:id="306"/>
      <w:r>
        <w:rPr>
          <w:b/>
          <w:bCs/>
          <w:spacing w:val="-14"/>
          <w:sz w:val="26"/>
          <w:szCs w:val="26"/>
        </w:rPr>
        <w:t>一、病原体</w:t>
      </w:r>
    </w:p>
    <w:p w14:paraId="1CBF0C6F">
      <w:pPr>
        <w:spacing w:before="234" w:line="352" w:lineRule="auto"/>
        <w:ind w:left="689" w:right="68" w:firstLine="409"/>
        <w:rPr>
          <w:rFonts w:ascii="宋体" w:hAnsi="宋体" w:eastAsia="宋体" w:cs="宋体"/>
          <w:sz w:val="21"/>
          <w:szCs w:val="21"/>
        </w:rPr>
      </w:pPr>
      <w:r>
        <w:rPr>
          <w:rFonts w:ascii="宋体" w:hAnsi="宋体" w:eastAsia="宋体" w:cs="宋体"/>
          <w:spacing w:val="-5"/>
          <w:sz w:val="21"/>
          <w:szCs w:val="21"/>
        </w:rPr>
        <w:t>病原体</w:t>
      </w:r>
      <w:r>
        <w:rPr>
          <w:rFonts w:ascii="Times New Roman" w:hAnsi="Times New Roman" w:eastAsia="Times New Roman" w:cs="Times New Roman"/>
          <w:spacing w:val="-5"/>
          <w:sz w:val="21"/>
          <w:szCs w:val="21"/>
        </w:rPr>
        <w:t>(pathogen)</w:t>
      </w:r>
      <w:r>
        <w:rPr>
          <w:rFonts w:ascii="Times New Roman" w:hAnsi="Times New Roman" w:eastAsia="Times New Roman" w:cs="Times New Roman"/>
          <w:spacing w:val="28"/>
          <w:w w:val="101"/>
          <w:sz w:val="21"/>
          <w:szCs w:val="21"/>
        </w:rPr>
        <w:t xml:space="preserve"> </w:t>
      </w:r>
      <w:r>
        <w:rPr>
          <w:rFonts w:ascii="宋体" w:hAnsi="宋体" w:eastAsia="宋体" w:cs="宋体"/>
          <w:spacing w:val="-5"/>
          <w:sz w:val="21"/>
          <w:szCs w:val="21"/>
        </w:rPr>
        <w:t>是指能够使宿主致病的各类生物，包括病毒、细菌、立克次体、支原体、衣原</w:t>
      </w:r>
      <w:r>
        <w:rPr>
          <w:rFonts w:ascii="宋体" w:hAnsi="宋体" w:eastAsia="宋体" w:cs="宋体"/>
          <w:sz w:val="21"/>
          <w:szCs w:val="21"/>
        </w:rPr>
        <w:t xml:space="preserve"> </w:t>
      </w:r>
      <w:r>
        <w:rPr>
          <w:rFonts w:ascii="宋体" w:hAnsi="宋体" w:eastAsia="宋体" w:cs="宋体"/>
          <w:spacing w:val="-8"/>
          <w:sz w:val="21"/>
          <w:szCs w:val="21"/>
        </w:rPr>
        <w:t>体、螺旋体、真菌以及肮粒等各种微生物以及寄生虫等。</w:t>
      </w:r>
    </w:p>
    <w:p w14:paraId="721B1103">
      <w:pPr>
        <w:pStyle w:val="2"/>
        <w:spacing w:before="1" w:line="221" w:lineRule="auto"/>
        <w:ind w:left="1102"/>
        <w:rPr>
          <w:sz w:val="21"/>
          <w:szCs w:val="21"/>
        </w:rPr>
      </w:pPr>
      <w:r>
        <w:rPr>
          <w:b/>
          <w:bCs/>
          <w:spacing w:val="17"/>
          <w:sz w:val="21"/>
          <w:szCs w:val="21"/>
        </w:rPr>
        <w:t>(一)病原体的特性</w:t>
      </w:r>
    </w:p>
    <w:p w14:paraId="0366D234">
      <w:pPr>
        <w:pStyle w:val="2"/>
        <w:spacing w:before="79" w:line="302" w:lineRule="auto"/>
        <w:ind w:left="689" w:right="68" w:firstLine="409"/>
        <w:rPr>
          <w:rFonts w:ascii="宋体" w:hAnsi="宋体" w:eastAsia="宋体" w:cs="宋体"/>
          <w:sz w:val="21"/>
          <w:szCs w:val="21"/>
        </w:rPr>
      </w:pPr>
      <w:r>
        <w:rPr>
          <w:rFonts w:ascii="Times New Roman" w:hAnsi="Times New Roman" w:eastAsia="Times New Roman" w:cs="Times New Roman"/>
          <w:sz w:val="21"/>
          <w:szCs w:val="21"/>
        </w:rPr>
        <w:t>1.</w:t>
      </w:r>
      <w:r>
        <w:rPr>
          <w:rFonts w:ascii="Times New Roman" w:hAnsi="Times New Roman" w:eastAsia="Times New Roman" w:cs="Times New Roman"/>
          <w:spacing w:val="21"/>
          <w:sz w:val="21"/>
          <w:szCs w:val="21"/>
        </w:rPr>
        <w:t xml:space="preserve">  </w:t>
      </w:r>
      <w:r>
        <w:rPr>
          <w:sz w:val="21"/>
          <w:szCs w:val="21"/>
        </w:rPr>
        <w:t>传染力</w:t>
      </w:r>
      <w:r>
        <w:rPr>
          <w:rFonts w:ascii="Times New Roman" w:hAnsi="Times New Roman" w:eastAsia="Times New Roman" w:cs="Times New Roman"/>
          <w:sz w:val="21"/>
          <w:szCs w:val="21"/>
        </w:rPr>
        <w:t xml:space="preserve">(infectivity)     </w:t>
      </w:r>
      <w:r>
        <w:rPr>
          <w:rFonts w:ascii="宋体" w:hAnsi="宋体" w:eastAsia="宋体" w:cs="宋体"/>
          <w:sz w:val="21"/>
          <w:szCs w:val="21"/>
        </w:rPr>
        <w:t xml:space="preserve">指病原体侵人宿主体内生存繁殖，引起感染的能力。常用二代发病率 </w:t>
      </w:r>
      <w:r>
        <w:rPr>
          <w:rFonts w:ascii="Times New Roman" w:hAnsi="Times New Roman" w:eastAsia="Times New Roman" w:cs="Times New Roman"/>
          <w:sz w:val="21"/>
          <w:szCs w:val="21"/>
        </w:rPr>
        <w:t>(secondary</w:t>
      </w:r>
      <w:r>
        <w:rPr>
          <w:rFonts w:ascii="Times New Roman" w:hAnsi="Times New Roman" w:eastAsia="Times New Roman" w:cs="Times New Roman"/>
          <w:spacing w:val="19"/>
          <w:w w:val="101"/>
          <w:sz w:val="21"/>
          <w:szCs w:val="21"/>
        </w:rPr>
        <w:t xml:space="preserve">  </w:t>
      </w:r>
      <w:r>
        <w:rPr>
          <w:rFonts w:ascii="Times New Roman" w:hAnsi="Times New Roman" w:eastAsia="Times New Roman" w:cs="Times New Roman"/>
          <w:sz w:val="21"/>
          <w:szCs w:val="21"/>
        </w:rPr>
        <w:t>attack</w:t>
      </w:r>
      <w:r>
        <w:rPr>
          <w:rFonts w:ascii="Times New Roman" w:hAnsi="Times New Roman" w:eastAsia="Times New Roman" w:cs="Times New Roman"/>
          <w:spacing w:val="15"/>
          <w:sz w:val="21"/>
          <w:szCs w:val="21"/>
        </w:rPr>
        <w:t xml:space="preserve">  </w:t>
      </w:r>
      <w:r>
        <w:rPr>
          <w:rFonts w:ascii="Times New Roman" w:hAnsi="Times New Roman" w:eastAsia="Times New Roman" w:cs="Times New Roman"/>
          <w:sz w:val="21"/>
          <w:szCs w:val="21"/>
        </w:rPr>
        <w:t>rate,SAR,</w:t>
      </w:r>
      <w:r>
        <w:rPr>
          <w:rFonts w:ascii="宋体" w:hAnsi="宋体" w:eastAsia="宋体" w:cs="宋体"/>
          <w:sz w:val="21"/>
          <w:szCs w:val="21"/>
        </w:rPr>
        <w:t xml:space="preserve">亦称续发率)来测量。不同病原体的传染力有很大差异，如麻疹病毒的 </w:t>
      </w:r>
      <w:r>
        <w:rPr>
          <w:rFonts w:ascii="宋体" w:hAnsi="宋体" w:eastAsia="宋体" w:cs="宋体"/>
          <w:spacing w:val="-6"/>
          <w:sz w:val="21"/>
          <w:szCs w:val="21"/>
        </w:rPr>
        <w:t>传染力强，而麻风分枝杆菌的传染力相对较弱。</w:t>
      </w:r>
    </w:p>
    <w:p w14:paraId="480CE2A7">
      <w:pPr>
        <w:pStyle w:val="2"/>
        <w:spacing w:before="108" w:line="311" w:lineRule="auto"/>
        <w:ind w:left="689" w:right="96" w:firstLine="409"/>
        <w:rPr>
          <w:rFonts w:ascii="宋体" w:hAnsi="宋体" w:eastAsia="宋体" w:cs="宋体"/>
          <w:sz w:val="21"/>
          <w:szCs w:val="21"/>
        </w:rPr>
      </w:pPr>
      <w:r>
        <w:rPr>
          <w:rFonts w:ascii="Times New Roman" w:hAnsi="Times New Roman" w:eastAsia="Times New Roman" w:cs="Times New Roman"/>
          <w:b/>
          <w:bCs/>
          <w:spacing w:val="4"/>
          <w:sz w:val="21"/>
          <w:szCs w:val="21"/>
        </w:rPr>
        <w:t>2.</w:t>
      </w:r>
      <w:r>
        <w:rPr>
          <w:rFonts w:ascii="Times New Roman" w:hAnsi="Times New Roman" w:eastAsia="Times New Roman" w:cs="Times New Roman"/>
          <w:b/>
          <w:bCs/>
          <w:spacing w:val="17"/>
          <w:w w:val="101"/>
          <w:sz w:val="21"/>
          <w:szCs w:val="21"/>
        </w:rPr>
        <w:t xml:space="preserve">  </w:t>
      </w:r>
      <w:r>
        <w:rPr>
          <w:b/>
          <w:bCs/>
          <w:spacing w:val="4"/>
          <w:sz w:val="21"/>
          <w:szCs w:val="21"/>
        </w:rPr>
        <w:t>致病力</w:t>
      </w:r>
      <w:r>
        <w:rPr>
          <w:rFonts w:ascii="宋体" w:hAnsi="宋体" w:eastAsia="宋体" w:cs="宋体"/>
          <w:b/>
          <w:bCs/>
          <w:spacing w:val="4"/>
          <w:sz w:val="21"/>
          <w:szCs w:val="21"/>
        </w:rPr>
        <w:t>(</w:t>
      </w:r>
      <w:r>
        <w:rPr>
          <w:rFonts w:ascii="Times New Roman" w:hAnsi="Times New Roman" w:eastAsia="Times New Roman" w:cs="Times New Roman"/>
          <w:sz w:val="21"/>
          <w:szCs w:val="21"/>
        </w:rPr>
        <w:t>pathogenicity</w:t>
      </w:r>
      <w:r>
        <w:rPr>
          <w:rFonts w:ascii="Times New Roman" w:hAnsi="Times New Roman" w:eastAsia="Times New Roman" w:cs="Times New Roman"/>
          <w:spacing w:val="4"/>
          <w:sz w:val="21"/>
          <w:szCs w:val="21"/>
        </w:rPr>
        <w:t xml:space="preserve">)    </w:t>
      </w:r>
      <w:r>
        <w:rPr>
          <w:rFonts w:ascii="宋体" w:hAnsi="宋体" w:eastAsia="宋体" w:cs="宋体"/>
          <w:spacing w:val="4"/>
          <w:sz w:val="21"/>
          <w:szCs w:val="21"/>
        </w:rPr>
        <w:t>指病原体侵入宿主后引起疾病的能力。致病力受到宿主和</w:t>
      </w:r>
      <w:r>
        <w:rPr>
          <w:rFonts w:ascii="宋体" w:hAnsi="宋体" w:eastAsia="宋体" w:cs="宋体"/>
          <w:spacing w:val="3"/>
          <w:sz w:val="21"/>
          <w:szCs w:val="21"/>
        </w:rPr>
        <w:t>病原体</w:t>
      </w:r>
      <w:r>
        <w:rPr>
          <w:rFonts w:ascii="宋体" w:hAnsi="宋体" w:eastAsia="宋体" w:cs="宋体"/>
          <w:sz w:val="21"/>
          <w:szCs w:val="21"/>
        </w:rPr>
        <w:t xml:space="preserve"> </w:t>
      </w:r>
      <w:r>
        <w:rPr>
          <w:rFonts w:ascii="宋体" w:hAnsi="宋体" w:eastAsia="宋体" w:cs="宋体"/>
          <w:spacing w:val="7"/>
          <w:sz w:val="21"/>
          <w:szCs w:val="21"/>
        </w:rPr>
        <w:t>等诸多因素的影响。与病原体相关的致病力取决于病原体入侵剂量、在体内的繁殖速度、所致</w:t>
      </w:r>
      <w:r>
        <w:rPr>
          <w:rFonts w:ascii="宋体" w:hAnsi="宋体" w:eastAsia="宋体" w:cs="宋体"/>
          <w:spacing w:val="10"/>
          <w:sz w:val="21"/>
          <w:szCs w:val="21"/>
        </w:rPr>
        <w:t xml:space="preserve"> </w:t>
      </w:r>
      <w:r>
        <w:rPr>
          <w:rFonts w:ascii="宋体" w:hAnsi="宋体" w:eastAsia="宋体" w:cs="宋体"/>
          <w:spacing w:val="7"/>
          <w:sz w:val="21"/>
          <w:szCs w:val="21"/>
        </w:rPr>
        <w:t>组织损伤的程度以及病原体产生毒素的毒性等。致病力可用暴露者中发生临床疾病者的比例来</w:t>
      </w:r>
      <w:r>
        <w:rPr>
          <w:rFonts w:ascii="宋体" w:hAnsi="宋体" w:eastAsia="宋体" w:cs="宋体"/>
          <w:spacing w:val="10"/>
          <w:sz w:val="21"/>
          <w:szCs w:val="21"/>
        </w:rPr>
        <w:t xml:space="preserve"> </w:t>
      </w:r>
      <w:r>
        <w:rPr>
          <w:rFonts w:ascii="宋体" w:hAnsi="宋体" w:eastAsia="宋体" w:cs="宋体"/>
          <w:spacing w:val="15"/>
          <w:sz w:val="21"/>
          <w:szCs w:val="21"/>
        </w:rPr>
        <w:t>衡量。</w:t>
      </w:r>
    </w:p>
    <w:p w14:paraId="71F16F66">
      <w:pPr>
        <w:spacing w:before="115" w:line="277" w:lineRule="auto"/>
        <w:ind w:left="689" w:right="97" w:firstLine="409"/>
        <w:rPr>
          <w:rFonts w:ascii="宋体" w:hAnsi="宋体" w:eastAsia="宋体" w:cs="宋体"/>
          <w:sz w:val="21"/>
          <w:szCs w:val="21"/>
        </w:rPr>
      </w:pPr>
      <w:r>
        <w:rPr>
          <w:rFonts w:ascii="Times New Roman" w:hAnsi="Times New Roman" w:eastAsia="Times New Roman" w:cs="Times New Roman"/>
          <w:b/>
          <w:bCs/>
          <w:spacing w:val="1"/>
          <w:sz w:val="21"/>
          <w:szCs w:val="21"/>
        </w:rPr>
        <w:t>3.</w:t>
      </w:r>
      <w:r>
        <w:rPr>
          <w:rFonts w:ascii="Times New Roman" w:hAnsi="Times New Roman" w:eastAsia="Times New Roman" w:cs="Times New Roman"/>
          <w:b/>
          <w:bCs/>
          <w:spacing w:val="21"/>
          <w:w w:val="101"/>
          <w:sz w:val="21"/>
          <w:szCs w:val="21"/>
        </w:rPr>
        <w:t xml:space="preserve">  </w:t>
      </w:r>
      <w:r>
        <w:rPr>
          <w:rFonts w:ascii="宋体" w:hAnsi="宋体" w:eastAsia="宋体" w:cs="宋体"/>
          <w:b/>
          <w:bCs/>
          <w:spacing w:val="1"/>
          <w:sz w:val="21"/>
          <w:szCs w:val="21"/>
        </w:rPr>
        <w:t>毒力(</w:t>
      </w:r>
      <w:r>
        <w:rPr>
          <w:rFonts w:ascii="宋体" w:hAnsi="宋体" w:eastAsia="宋体" w:cs="宋体"/>
          <w:spacing w:val="-58"/>
          <w:sz w:val="21"/>
          <w:szCs w:val="21"/>
        </w:rPr>
        <w:t xml:space="preserve"> </w:t>
      </w:r>
      <w:r>
        <w:rPr>
          <w:rFonts w:ascii="Times New Roman" w:hAnsi="Times New Roman" w:eastAsia="Times New Roman" w:cs="Times New Roman"/>
          <w:sz w:val="21"/>
          <w:szCs w:val="21"/>
        </w:rPr>
        <w:t>virulence</w:t>
      </w:r>
      <w:r>
        <w:rPr>
          <w:rFonts w:ascii="Times New Roman" w:hAnsi="Times New Roman" w:eastAsia="Times New Roman" w:cs="Times New Roman"/>
          <w:spacing w:val="1"/>
          <w:sz w:val="21"/>
          <w:szCs w:val="21"/>
        </w:rPr>
        <w:t xml:space="preserve">)    </w:t>
      </w:r>
      <w:r>
        <w:rPr>
          <w:rFonts w:ascii="宋体" w:hAnsi="宋体" w:eastAsia="宋体" w:cs="宋体"/>
          <w:spacing w:val="1"/>
          <w:sz w:val="21"/>
          <w:szCs w:val="21"/>
        </w:rPr>
        <w:t>指病原体感染机体后引起严重病变的能力。毒力强调引起疾病的严重程</w:t>
      </w:r>
      <w:r>
        <w:rPr>
          <w:rFonts w:ascii="宋体" w:hAnsi="宋体" w:eastAsia="宋体" w:cs="宋体"/>
          <w:sz w:val="21"/>
          <w:szCs w:val="21"/>
        </w:rPr>
        <w:t xml:space="preserve"> </w:t>
      </w:r>
      <w:r>
        <w:rPr>
          <w:rFonts w:ascii="宋体" w:hAnsi="宋体" w:eastAsia="宋体" w:cs="宋体"/>
          <w:spacing w:val="-6"/>
          <w:sz w:val="21"/>
          <w:szCs w:val="21"/>
        </w:rPr>
        <w:t>度，可用病死率和重症病例比例来评价。</w:t>
      </w:r>
    </w:p>
    <w:p w14:paraId="40A47384">
      <w:pPr>
        <w:pStyle w:val="2"/>
        <w:spacing w:before="120" w:line="290" w:lineRule="auto"/>
        <w:ind w:left="689" w:firstLine="409"/>
        <w:rPr>
          <w:rFonts w:ascii="宋体" w:hAnsi="宋体" w:eastAsia="宋体" w:cs="宋体"/>
          <w:sz w:val="21"/>
          <w:szCs w:val="21"/>
        </w:rPr>
      </w:pPr>
      <w:r>
        <w:rPr>
          <w:rFonts w:ascii="Times New Roman" w:hAnsi="Times New Roman" w:eastAsia="Times New Roman" w:cs="Times New Roman"/>
          <w:spacing w:val="2"/>
          <w:sz w:val="21"/>
          <w:szCs w:val="21"/>
        </w:rPr>
        <w:t>4.</w:t>
      </w:r>
      <w:r>
        <w:rPr>
          <w:rFonts w:ascii="Times New Roman" w:hAnsi="Times New Roman" w:eastAsia="Times New Roman" w:cs="Times New Roman"/>
          <w:spacing w:val="15"/>
          <w:w w:val="101"/>
          <w:sz w:val="21"/>
          <w:szCs w:val="21"/>
        </w:rPr>
        <w:t xml:space="preserve">  </w:t>
      </w:r>
      <w:r>
        <w:rPr>
          <w:spacing w:val="2"/>
          <w:sz w:val="21"/>
          <w:szCs w:val="21"/>
        </w:rPr>
        <w:t>免疫原性</w:t>
      </w:r>
      <w:r>
        <w:rPr>
          <w:rFonts w:ascii="Times New Roman" w:hAnsi="Times New Roman" w:eastAsia="Times New Roman" w:cs="Times New Roman"/>
          <w:spacing w:val="2"/>
          <w:sz w:val="21"/>
          <w:szCs w:val="21"/>
        </w:rPr>
        <w:t>(</w:t>
      </w:r>
      <w:r>
        <w:rPr>
          <w:rFonts w:ascii="Times New Roman" w:hAnsi="Times New Roman" w:eastAsia="Times New Roman" w:cs="Times New Roman"/>
          <w:sz w:val="21"/>
          <w:szCs w:val="21"/>
        </w:rPr>
        <w:t>immunogenicity</w:t>
      </w:r>
      <w:r>
        <w:rPr>
          <w:rFonts w:ascii="Times New Roman" w:hAnsi="Times New Roman" w:eastAsia="Times New Roman" w:cs="Times New Roman"/>
          <w:spacing w:val="2"/>
          <w:sz w:val="21"/>
          <w:szCs w:val="21"/>
        </w:rPr>
        <w:t xml:space="preserve">)    </w:t>
      </w:r>
      <w:r>
        <w:rPr>
          <w:rFonts w:ascii="宋体" w:hAnsi="宋体" w:eastAsia="宋体" w:cs="宋体"/>
          <w:spacing w:val="2"/>
          <w:sz w:val="21"/>
          <w:szCs w:val="21"/>
        </w:rPr>
        <w:t>指抗原(表位)作用于</w:t>
      </w:r>
      <w:r>
        <w:rPr>
          <w:rFonts w:ascii="Times New Roman" w:hAnsi="Times New Roman" w:eastAsia="Times New Roman" w:cs="Times New Roman"/>
          <w:spacing w:val="2"/>
          <w:sz w:val="21"/>
          <w:szCs w:val="21"/>
        </w:rPr>
        <w:t>T</w:t>
      </w:r>
      <w:r>
        <w:rPr>
          <w:rFonts w:ascii="Times New Roman" w:hAnsi="Times New Roman" w:eastAsia="Times New Roman" w:cs="Times New Roman"/>
          <w:spacing w:val="16"/>
          <w:sz w:val="21"/>
          <w:szCs w:val="21"/>
        </w:rPr>
        <w:t xml:space="preserve"> </w:t>
      </w:r>
      <w:r>
        <w:rPr>
          <w:rFonts w:ascii="宋体" w:hAnsi="宋体" w:eastAsia="宋体" w:cs="宋体"/>
          <w:spacing w:val="2"/>
          <w:sz w:val="21"/>
          <w:szCs w:val="21"/>
        </w:rPr>
        <w:t>细胞、</w:t>
      </w:r>
      <w:r>
        <w:rPr>
          <w:rFonts w:ascii="Times New Roman" w:hAnsi="Times New Roman" w:eastAsia="Times New Roman" w:cs="Times New Roman"/>
          <w:spacing w:val="2"/>
          <w:sz w:val="21"/>
          <w:szCs w:val="21"/>
        </w:rPr>
        <w:t xml:space="preserve">B </w:t>
      </w:r>
      <w:r>
        <w:rPr>
          <w:rFonts w:ascii="宋体" w:hAnsi="宋体" w:eastAsia="宋体" w:cs="宋体"/>
          <w:spacing w:val="2"/>
          <w:sz w:val="21"/>
          <w:szCs w:val="21"/>
        </w:rPr>
        <w:t>细胞的抗原识</w:t>
      </w:r>
      <w:r>
        <w:rPr>
          <w:rFonts w:ascii="宋体" w:hAnsi="宋体" w:eastAsia="宋体" w:cs="宋体"/>
          <w:spacing w:val="1"/>
          <w:sz w:val="21"/>
          <w:szCs w:val="21"/>
        </w:rPr>
        <w:t>别受体</w:t>
      </w:r>
      <w:r>
        <w:rPr>
          <w:rFonts w:ascii="Times New Roman" w:hAnsi="Times New Roman" w:eastAsia="Times New Roman" w:cs="Times New Roman"/>
          <w:spacing w:val="1"/>
          <w:sz w:val="21"/>
          <w:szCs w:val="21"/>
        </w:rPr>
        <w:t xml:space="preserve">(T  </w:t>
      </w:r>
      <w:r>
        <w:rPr>
          <w:rFonts w:ascii="宋体" w:hAnsi="宋体" w:eastAsia="宋体" w:cs="宋体"/>
          <w:spacing w:val="1"/>
          <w:sz w:val="21"/>
          <w:szCs w:val="21"/>
        </w:rPr>
        <w:t>细胞</w:t>
      </w:r>
      <w:r>
        <w:rPr>
          <w:rFonts w:ascii="宋体" w:hAnsi="宋体" w:eastAsia="宋体" w:cs="宋体"/>
          <w:sz w:val="21"/>
          <w:szCs w:val="21"/>
        </w:rPr>
        <w:t xml:space="preserve">  </w:t>
      </w:r>
      <w:r>
        <w:rPr>
          <w:rFonts w:ascii="宋体" w:hAnsi="宋体" w:eastAsia="宋体" w:cs="宋体"/>
          <w:spacing w:val="-4"/>
          <w:sz w:val="21"/>
          <w:szCs w:val="21"/>
        </w:rPr>
        <w:t>受体、</w:t>
      </w:r>
      <w:r>
        <w:rPr>
          <w:rFonts w:ascii="Times New Roman" w:hAnsi="Times New Roman" w:eastAsia="Times New Roman" w:cs="Times New Roman"/>
          <w:spacing w:val="-4"/>
          <w:sz w:val="21"/>
          <w:szCs w:val="21"/>
        </w:rPr>
        <w:t>B</w:t>
      </w:r>
      <w:r>
        <w:rPr>
          <w:rFonts w:ascii="宋体" w:hAnsi="宋体" w:eastAsia="宋体" w:cs="宋体"/>
          <w:spacing w:val="-4"/>
          <w:sz w:val="21"/>
          <w:szCs w:val="21"/>
        </w:rPr>
        <w:t>细胞受体),促使其增殖、分化，并产生免疫效应物质(特异性抗体和致敏淋巴细胞)的特性。</w:t>
      </w:r>
      <w:r>
        <w:rPr>
          <w:rFonts w:ascii="宋体" w:hAnsi="宋体" w:eastAsia="宋体" w:cs="宋体"/>
          <w:spacing w:val="17"/>
          <w:sz w:val="21"/>
          <w:szCs w:val="21"/>
        </w:rPr>
        <w:t xml:space="preserve"> </w:t>
      </w:r>
      <w:r>
        <w:rPr>
          <w:rFonts w:ascii="宋体" w:hAnsi="宋体" w:eastAsia="宋体" w:cs="宋体"/>
          <w:spacing w:val="-2"/>
          <w:sz w:val="21"/>
          <w:szCs w:val="21"/>
        </w:rPr>
        <w:t>免疫原性可用抗体阳转率和抗体平均滴度来评价。</w:t>
      </w:r>
    </w:p>
    <w:p w14:paraId="012F8E24">
      <w:pPr>
        <w:pStyle w:val="2"/>
        <w:spacing w:before="140" w:line="222" w:lineRule="auto"/>
        <w:ind w:left="1102"/>
        <w:rPr>
          <w:sz w:val="21"/>
          <w:szCs w:val="21"/>
        </w:rPr>
      </w:pPr>
      <w:r>
        <w:rPr>
          <w:b/>
          <w:bCs/>
          <w:spacing w:val="22"/>
          <w:sz w:val="21"/>
          <w:szCs w:val="21"/>
        </w:rPr>
        <w:t>(二)病原体变异</w:t>
      </w:r>
    </w:p>
    <w:p w14:paraId="75914F8C">
      <w:pPr>
        <w:spacing w:before="122" w:line="335" w:lineRule="auto"/>
        <w:ind w:left="689" w:right="96" w:firstLine="409"/>
        <w:rPr>
          <w:rFonts w:ascii="宋体" w:hAnsi="宋体" w:eastAsia="宋体" w:cs="宋体"/>
          <w:sz w:val="21"/>
          <w:szCs w:val="21"/>
        </w:rPr>
      </w:pPr>
      <w:r>
        <w:rPr>
          <w:rFonts w:ascii="宋体" w:hAnsi="宋体" w:eastAsia="宋体" w:cs="宋体"/>
          <w:spacing w:val="2"/>
          <w:sz w:val="21"/>
          <w:szCs w:val="21"/>
        </w:rPr>
        <w:t>病原体在与环境相互作用的过程中，能够发生不同程度的变异，有些变异可导致其生物学特</w:t>
      </w:r>
      <w:r>
        <w:rPr>
          <w:rFonts w:ascii="宋体" w:hAnsi="宋体" w:eastAsia="宋体" w:cs="宋体"/>
          <w:spacing w:val="16"/>
          <w:sz w:val="21"/>
          <w:szCs w:val="21"/>
        </w:rPr>
        <w:t xml:space="preserve"> </w:t>
      </w:r>
      <w:r>
        <w:rPr>
          <w:rFonts w:ascii="宋体" w:hAnsi="宋体" w:eastAsia="宋体" w:cs="宋体"/>
          <w:spacing w:val="-3"/>
          <w:sz w:val="21"/>
          <w:szCs w:val="21"/>
        </w:rPr>
        <w:t>性和流行病学意义发生明显变化，对传染病的流行、防控和治疗具有重要意义。甲型流感病毒、新</w:t>
      </w:r>
    </w:p>
    <w:p w14:paraId="1A0E33FD">
      <w:pPr>
        <w:spacing w:line="335" w:lineRule="auto"/>
        <w:rPr>
          <w:rFonts w:ascii="宋体" w:hAnsi="宋体" w:eastAsia="宋体" w:cs="宋体"/>
          <w:sz w:val="21"/>
          <w:szCs w:val="21"/>
        </w:rPr>
        <w:sectPr>
          <w:footerReference r:id="rId203" w:type="default"/>
          <w:pgSz w:w="11900" w:h="16820"/>
          <w:pgMar w:top="400" w:right="1404" w:bottom="766" w:left="800" w:header="0" w:footer="577" w:gutter="0"/>
          <w:cols w:space="720" w:num="1"/>
        </w:sectPr>
      </w:pPr>
    </w:p>
    <w:p w14:paraId="76A63288">
      <w:pPr>
        <w:pStyle w:val="2"/>
        <w:spacing w:before="296" w:line="221" w:lineRule="auto"/>
        <w:ind w:left="6790"/>
        <w:rPr>
          <w:sz w:val="20"/>
          <w:szCs w:val="20"/>
        </w:rPr>
      </w:pPr>
      <w:bookmarkStart w:id="307" w:name="bookmark504"/>
      <w:bookmarkEnd w:id="307"/>
      <w:r>
        <w:rPr>
          <w:spacing w:val="-15"/>
          <w:sz w:val="20"/>
          <w:szCs w:val="20"/>
        </w:rPr>
        <w:t>第十一章传染病流行病学</w:t>
      </w:r>
    </w:p>
    <w:p w14:paraId="3A5F3082">
      <w:pPr>
        <w:spacing w:line="265" w:lineRule="auto"/>
        <w:rPr>
          <w:rFonts w:ascii="Arial"/>
          <w:sz w:val="21"/>
        </w:rPr>
      </w:pPr>
    </w:p>
    <w:p w14:paraId="3D31E2F5">
      <w:pPr>
        <w:spacing w:line="266" w:lineRule="auto"/>
        <w:rPr>
          <w:rFonts w:ascii="Arial"/>
          <w:sz w:val="21"/>
        </w:rPr>
      </w:pPr>
    </w:p>
    <w:p w14:paraId="41F39C9C">
      <w:pPr>
        <w:spacing w:before="65" w:line="356" w:lineRule="auto"/>
        <w:ind w:right="632"/>
        <w:rPr>
          <w:rFonts w:ascii="宋体" w:hAnsi="宋体" w:eastAsia="宋体" w:cs="宋体"/>
          <w:sz w:val="20"/>
          <w:szCs w:val="20"/>
        </w:rPr>
      </w:pPr>
      <w:r>
        <w:rPr>
          <w:rFonts w:ascii="宋体" w:hAnsi="宋体" w:eastAsia="宋体" w:cs="宋体"/>
          <w:spacing w:val="8"/>
          <w:sz w:val="20"/>
          <w:szCs w:val="20"/>
        </w:rPr>
        <w:t>型冠状病毒</w:t>
      </w:r>
      <w:r>
        <w:rPr>
          <w:rFonts w:ascii="Times New Roman" w:hAnsi="Times New Roman" w:eastAsia="Times New Roman" w:cs="Times New Roman"/>
          <w:spacing w:val="8"/>
          <w:sz w:val="20"/>
          <w:szCs w:val="20"/>
        </w:rPr>
        <w:t>(</w:t>
      </w:r>
      <w:r>
        <w:rPr>
          <w:rFonts w:ascii="Times New Roman" w:hAnsi="Times New Roman" w:eastAsia="Times New Roman" w:cs="Times New Roman"/>
          <w:sz w:val="20"/>
          <w:szCs w:val="20"/>
        </w:rPr>
        <w:t>SARS</w:t>
      </w:r>
      <w:r>
        <w:rPr>
          <w:rFonts w:ascii="Times New Roman" w:hAnsi="Times New Roman" w:eastAsia="Times New Roman" w:cs="Times New Roman"/>
          <w:spacing w:val="8"/>
          <w:sz w:val="20"/>
          <w:szCs w:val="20"/>
        </w:rPr>
        <w:t>-</w:t>
      </w:r>
      <w:r>
        <w:rPr>
          <w:rFonts w:ascii="Times New Roman" w:hAnsi="Times New Roman" w:eastAsia="Times New Roman" w:cs="Times New Roman"/>
          <w:sz w:val="20"/>
          <w:szCs w:val="20"/>
        </w:rPr>
        <w:t>CoV</w:t>
      </w:r>
      <w:r>
        <w:rPr>
          <w:rFonts w:ascii="Times New Roman" w:hAnsi="Times New Roman" w:eastAsia="Times New Roman" w:cs="Times New Roman"/>
          <w:spacing w:val="8"/>
          <w:sz w:val="20"/>
          <w:szCs w:val="20"/>
        </w:rPr>
        <w:t>-2)</w:t>
      </w:r>
      <w:r>
        <w:rPr>
          <w:rFonts w:ascii="Times New Roman" w:hAnsi="Times New Roman" w:eastAsia="Times New Roman" w:cs="Times New Roman"/>
          <w:spacing w:val="-28"/>
          <w:sz w:val="20"/>
          <w:szCs w:val="20"/>
        </w:rPr>
        <w:t xml:space="preserve"> </w:t>
      </w:r>
      <w:r>
        <w:rPr>
          <w:rFonts w:ascii="宋体" w:hAnsi="宋体" w:eastAsia="宋体" w:cs="宋体"/>
          <w:spacing w:val="8"/>
          <w:sz w:val="20"/>
          <w:szCs w:val="20"/>
        </w:rPr>
        <w:t>、</w:t>
      </w:r>
      <w:r>
        <w:rPr>
          <w:rFonts w:ascii="宋体" w:hAnsi="宋体" w:eastAsia="宋体" w:cs="宋体"/>
          <w:spacing w:val="-56"/>
          <w:sz w:val="20"/>
          <w:szCs w:val="20"/>
        </w:rPr>
        <w:t xml:space="preserve"> </w:t>
      </w:r>
      <w:r>
        <w:rPr>
          <w:rFonts w:ascii="宋体" w:hAnsi="宋体" w:eastAsia="宋体" w:cs="宋体"/>
          <w:spacing w:val="8"/>
          <w:sz w:val="20"/>
          <w:szCs w:val="20"/>
        </w:rPr>
        <w:t>人类免疫缺陷病毒</w:t>
      </w:r>
      <w:r>
        <w:rPr>
          <w:rFonts w:ascii="Times New Roman" w:hAnsi="Times New Roman" w:eastAsia="Times New Roman" w:cs="Times New Roman"/>
          <w:spacing w:val="7"/>
          <w:sz w:val="20"/>
          <w:szCs w:val="20"/>
        </w:rPr>
        <w:t>(</w:t>
      </w:r>
      <w:r>
        <w:rPr>
          <w:rFonts w:ascii="Times New Roman" w:hAnsi="Times New Roman" w:eastAsia="Times New Roman" w:cs="Times New Roman"/>
          <w:sz w:val="20"/>
          <w:szCs w:val="20"/>
        </w:rPr>
        <w:t>HIV</w:t>
      </w:r>
      <w:r>
        <w:rPr>
          <w:rFonts w:ascii="Times New Roman" w:hAnsi="Times New Roman" w:eastAsia="Times New Roman" w:cs="Times New Roman"/>
          <w:spacing w:val="7"/>
          <w:sz w:val="20"/>
          <w:szCs w:val="20"/>
        </w:rPr>
        <w:t xml:space="preserve">)  </w:t>
      </w:r>
      <w:r>
        <w:rPr>
          <w:rFonts w:ascii="宋体" w:hAnsi="宋体" w:eastAsia="宋体" w:cs="宋体"/>
          <w:spacing w:val="7"/>
          <w:sz w:val="20"/>
          <w:szCs w:val="20"/>
        </w:rPr>
        <w:t>等均是常见的变异较快、变异幅度较大的病</w:t>
      </w:r>
      <w:r>
        <w:rPr>
          <w:rFonts w:ascii="宋体" w:hAnsi="宋体" w:eastAsia="宋体" w:cs="宋体"/>
          <w:sz w:val="20"/>
          <w:szCs w:val="20"/>
        </w:rPr>
        <w:t xml:space="preserve"> </w:t>
      </w:r>
      <w:r>
        <w:rPr>
          <w:rFonts w:ascii="宋体" w:hAnsi="宋体" w:eastAsia="宋体" w:cs="宋体"/>
          <w:spacing w:val="13"/>
          <w:sz w:val="20"/>
          <w:szCs w:val="20"/>
        </w:rPr>
        <w:t>原体。</w:t>
      </w:r>
    </w:p>
    <w:p w14:paraId="38060978">
      <w:pPr>
        <w:pStyle w:val="2"/>
        <w:spacing w:before="1" w:line="271" w:lineRule="auto"/>
        <w:ind w:right="669" w:firstLine="409"/>
        <w:rPr>
          <w:rFonts w:ascii="宋体" w:hAnsi="宋体" w:eastAsia="宋体" w:cs="宋体"/>
          <w:sz w:val="20"/>
          <w:szCs w:val="20"/>
        </w:rPr>
      </w:pPr>
      <w:r>
        <w:rPr>
          <w:rFonts w:ascii="宋体" w:hAnsi="宋体" w:eastAsia="宋体" w:cs="宋体"/>
          <w:spacing w:val="9"/>
          <w:sz w:val="20"/>
          <w:szCs w:val="20"/>
        </w:rPr>
        <w:t>1.</w:t>
      </w:r>
      <w:r>
        <w:rPr>
          <w:rFonts w:ascii="宋体" w:hAnsi="宋体" w:eastAsia="宋体" w:cs="宋体"/>
          <w:spacing w:val="-3"/>
          <w:sz w:val="20"/>
          <w:szCs w:val="20"/>
        </w:rPr>
        <w:t xml:space="preserve"> </w:t>
      </w:r>
      <w:r>
        <w:rPr>
          <w:spacing w:val="9"/>
          <w:sz w:val="20"/>
          <w:szCs w:val="20"/>
        </w:rPr>
        <w:t xml:space="preserve">抗原性变异 </w:t>
      </w:r>
      <w:r>
        <w:rPr>
          <w:rFonts w:ascii="宋体" w:hAnsi="宋体" w:eastAsia="宋体" w:cs="宋体"/>
          <w:spacing w:val="9"/>
          <w:sz w:val="20"/>
          <w:szCs w:val="20"/>
        </w:rPr>
        <w:t>病原体的基因突变导致其抗原性发生改变，使人群原来获得的特异性免疫力</w:t>
      </w:r>
      <w:r>
        <w:rPr>
          <w:rFonts w:ascii="宋体" w:hAnsi="宋体" w:eastAsia="宋体" w:cs="宋体"/>
          <w:sz w:val="20"/>
          <w:szCs w:val="20"/>
        </w:rPr>
        <w:t xml:space="preserve"> </w:t>
      </w:r>
      <w:r>
        <w:rPr>
          <w:rFonts w:ascii="宋体" w:hAnsi="宋体" w:eastAsia="宋体" w:cs="宋体"/>
          <w:spacing w:val="3"/>
          <w:sz w:val="20"/>
          <w:szCs w:val="20"/>
        </w:rPr>
        <w:t>失去作用，导致疾病发生流行。例如流感病毒的血凝素抗原变异引起流感流行，甚至大流行。</w:t>
      </w:r>
    </w:p>
    <w:p w14:paraId="4E3C9A7B">
      <w:pPr>
        <w:pStyle w:val="2"/>
        <w:spacing w:before="152" w:line="275" w:lineRule="auto"/>
        <w:ind w:right="629" w:firstLine="409"/>
        <w:rPr>
          <w:rFonts w:ascii="宋体" w:hAnsi="宋体" w:eastAsia="宋体" w:cs="宋体"/>
          <w:sz w:val="20"/>
          <w:szCs w:val="20"/>
        </w:rPr>
      </w:pPr>
      <w:r>
        <w:rPr>
          <w:rFonts w:ascii="宋体" w:hAnsi="宋体" w:eastAsia="宋体" w:cs="宋体"/>
          <w:spacing w:val="10"/>
          <w:sz w:val="20"/>
          <w:szCs w:val="20"/>
        </w:rPr>
        <w:t xml:space="preserve">2. </w:t>
      </w:r>
      <w:r>
        <w:rPr>
          <w:spacing w:val="10"/>
          <w:sz w:val="20"/>
          <w:szCs w:val="20"/>
        </w:rPr>
        <w:t xml:space="preserve">毒力变异 </w:t>
      </w:r>
      <w:r>
        <w:rPr>
          <w:rFonts w:ascii="宋体" w:hAnsi="宋体" w:eastAsia="宋体" w:cs="宋体"/>
          <w:spacing w:val="10"/>
          <w:sz w:val="20"/>
          <w:szCs w:val="20"/>
        </w:rPr>
        <w:t>受环境因素影响，病原体的毒力可发生变异</w:t>
      </w:r>
      <w:r>
        <w:rPr>
          <w:rFonts w:ascii="宋体" w:hAnsi="宋体" w:eastAsia="宋体" w:cs="宋体"/>
          <w:spacing w:val="9"/>
          <w:sz w:val="20"/>
          <w:szCs w:val="20"/>
        </w:rPr>
        <w:t>，包括毒力增强和毒力减弱。病原</w:t>
      </w:r>
      <w:r>
        <w:rPr>
          <w:rFonts w:ascii="宋体" w:hAnsi="宋体" w:eastAsia="宋体" w:cs="宋体"/>
          <w:sz w:val="20"/>
          <w:szCs w:val="20"/>
        </w:rPr>
        <w:t xml:space="preserve"> </w:t>
      </w:r>
      <w:r>
        <w:rPr>
          <w:rFonts w:ascii="宋体" w:hAnsi="宋体" w:eastAsia="宋体" w:cs="宋体"/>
          <w:spacing w:val="4"/>
          <w:sz w:val="20"/>
          <w:szCs w:val="20"/>
        </w:rPr>
        <w:t>体的减毒株可用于制备疫苗、预防传染病。</w:t>
      </w:r>
    </w:p>
    <w:p w14:paraId="6133FE07">
      <w:pPr>
        <w:pStyle w:val="2"/>
        <w:spacing w:before="134" w:line="294" w:lineRule="auto"/>
        <w:ind w:right="634" w:firstLine="409"/>
        <w:rPr>
          <w:rFonts w:ascii="宋体" w:hAnsi="宋体" w:eastAsia="宋体" w:cs="宋体"/>
          <w:sz w:val="20"/>
          <w:szCs w:val="20"/>
        </w:rPr>
      </w:pPr>
      <w:r>
        <w:rPr>
          <w:rFonts w:ascii="宋体" w:hAnsi="宋体" w:eastAsia="宋体" w:cs="宋体"/>
          <w:spacing w:val="14"/>
          <w:sz w:val="20"/>
          <w:szCs w:val="20"/>
        </w:rPr>
        <w:t xml:space="preserve">3. </w:t>
      </w:r>
      <w:r>
        <w:rPr>
          <w:spacing w:val="14"/>
          <w:sz w:val="20"/>
          <w:szCs w:val="20"/>
        </w:rPr>
        <w:t xml:space="preserve">耐药性变异 </w:t>
      </w:r>
      <w:r>
        <w:rPr>
          <w:rFonts w:ascii="宋体" w:hAnsi="宋体" w:eastAsia="宋体" w:cs="宋体"/>
          <w:spacing w:val="14"/>
          <w:sz w:val="20"/>
          <w:szCs w:val="20"/>
        </w:rPr>
        <w:t>病原体从对某种抗菌(抗病毒)药物敏感变为不敏感或耐药。此变异可通过</w:t>
      </w:r>
      <w:r>
        <w:rPr>
          <w:rFonts w:ascii="宋体" w:hAnsi="宋体" w:eastAsia="宋体" w:cs="宋体"/>
          <w:spacing w:val="9"/>
          <w:sz w:val="20"/>
          <w:szCs w:val="20"/>
        </w:rPr>
        <w:t xml:space="preserve"> </w:t>
      </w:r>
      <w:r>
        <w:rPr>
          <w:rFonts w:ascii="宋体" w:hAnsi="宋体" w:eastAsia="宋体" w:cs="宋体"/>
          <w:spacing w:val="10"/>
          <w:sz w:val="20"/>
          <w:szCs w:val="20"/>
        </w:rPr>
        <w:t>耐药基因或基因突变传给后代，也可通过微生物共生而转移给其他微生物。</w:t>
      </w:r>
      <w:r>
        <w:rPr>
          <w:rFonts w:ascii="宋体" w:hAnsi="宋体" w:eastAsia="宋体" w:cs="宋体"/>
          <w:spacing w:val="9"/>
          <w:sz w:val="20"/>
          <w:szCs w:val="20"/>
        </w:rPr>
        <w:t>病原体的耐药性变异</w:t>
      </w:r>
      <w:r>
        <w:rPr>
          <w:rFonts w:ascii="宋体" w:hAnsi="宋体" w:eastAsia="宋体" w:cs="宋体"/>
          <w:sz w:val="20"/>
          <w:szCs w:val="20"/>
        </w:rPr>
        <w:t xml:space="preserve"> </w:t>
      </w:r>
      <w:r>
        <w:rPr>
          <w:rFonts w:ascii="宋体" w:hAnsi="宋体" w:eastAsia="宋体" w:cs="宋体"/>
          <w:spacing w:val="3"/>
          <w:sz w:val="20"/>
          <w:szCs w:val="20"/>
        </w:rPr>
        <w:t>已成为全球性问题，是多种传染病难以控制或复燃的重要原因，如耐多</w:t>
      </w:r>
      <w:r>
        <w:rPr>
          <w:rFonts w:ascii="宋体" w:hAnsi="宋体" w:eastAsia="宋体" w:cs="宋体"/>
          <w:spacing w:val="2"/>
          <w:sz w:val="20"/>
          <w:szCs w:val="20"/>
        </w:rPr>
        <w:t>药结核分枝杆菌。</w:t>
      </w:r>
    </w:p>
    <w:p w14:paraId="783A6EFD">
      <w:pPr>
        <w:pStyle w:val="2"/>
        <w:spacing w:before="121" w:line="222" w:lineRule="auto"/>
        <w:ind w:left="413"/>
        <w:rPr>
          <w:sz w:val="23"/>
          <w:szCs w:val="23"/>
        </w:rPr>
      </w:pPr>
      <w:r>
        <w:rPr>
          <w:b/>
          <w:bCs/>
          <w:spacing w:val="-6"/>
          <w:sz w:val="23"/>
          <w:szCs w:val="23"/>
        </w:rPr>
        <w:t>(三)病原体在宿主体外的生存力</w:t>
      </w:r>
    </w:p>
    <w:p w14:paraId="6869CA6D">
      <w:pPr>
        <w:spacing w:before="116" w:line="344" w:lineRule="auto"/>
        <w:ind w:right="636" w:firstLine="409"/>
        <w:rPr>
          <w:rFonts w:ascii="宋体" w:hAnsi="宋体" w:eastAsia="宋体" w:cs="宋体"/>
          <w:sz w:val="20"/>
          <w:szCs w:val="20"/>
        </w:rPr>
      </w:pPr>
      <w:r>
        <w:rPr>
          <w:rFonts w:ascii="宋体" w:hAnsi="宋体" w:eastAsia="宋体" w:cs="宋体"/>
          <w:spacing w:val="10"/>
          <w:sz w:val="20"/>
          <w:szCs w:val="20"/>
        </w:rPr>
        <w:t>病原体在宿主体外的生存能力影响传染病流行。大多数病原体在外界的生存力较弱，但也有</w:t>
      </w:r>
      <w:r>
        <w:rPr>
          <w:rFonts w:ascii="宋体" w:hAnsi="宋体" w:eastAsia="宋体" w:cs="宋体"/>
          <w:sz w:val="20"/>
          <w:szCs w:val="20"/>
        </w:rPr>
        <w:t xml:space="preserve"> 一些病原体有较强的生存力，如能形成芽胞的细菌、结核分枝杆菌、肮粒等。</w:t>
      </w:r>
    </w:p>
    <w:p w14:paraId="6E778DD6">
      <w:pPr>
        <w:pStyle w:val="2"/>
        <w:spacing w:before="165" w:line="224" w:lineRule="auto"/>
        <w:ind w:left="413"/>
        <w:outlineLvl w:val="4"/>
        <w:rPr>
          <w:sz w:val="26"/>
          <w:szCs w:val="26"/>
        </w:rPr>
      </w:pPr>
      <w:bookmarkStart w:id="308" w:name="bookmark195"/>
      <w:bookmarkEnd w:id="308"/>
      <w:r>
        <w:rPr>
          <w:b/>
          <w:bCs/>
          <w:spacing w:val="-6"/>
          <w:sz w:val="26"/>
          <w:szCs w:val="26"/>
        </w:rPr>
        <w:t>二、宿主</w:t>
      </w:r>
    </w:p>
    <w:p w14:paraId="5582569F">
      <w:pPr>
        <w:spacing w:before="253" w:line="335" w:lineRule="auto"/>
        <w:ind w:right="635" w:firstLine="409"/>
        <w:jc w:val="both"/>
        <w:rPr>
          <w:rFonts w:ascii="宋体" w:hAnsi="宋体" w:eastAsia="宋体" w:cs="宋体"/>
          <w:sz w:val="20"/>
          <w:szCs w:val="20"/>
        </w:rPr>
      </w:pPr>
      <w:r>
        <w:rPr>
          <w:rFonts w:ascii="宋体" w:hAnsi="宋体" w:eastAsia="宋体" w:cs="宋体"/>
          <w:spacing w:val="8"/>
          <w:sz w:val="20"/>
          <w:szCs w:val="20"/>
        </w:rPr>
        <w:t>宿</w:t>
      </w:r>
      <w:r>
        <w:rPr>
          <w:rFonts w:ascii="宋体" w:hAnsi="宋体" w:eastAsia="宋体" w:cs="宋体"/>
          <w:spacing w:val="-15"/>
          <w:sz w:val="20"/>
          <w:szCs w:val="20"/>
        </w:rPr>
        <w:t xml:space="preserve"> </w:t>
      </w:r>
      <w:r>
        <w:rPr>
          <w:rFonts w:ascii="宋体" w:hAnsi="宋体" w:eastAsia="宋体" w:cs="宋体"/>
          <w:spacing w:val="8"/>
          <w:sz w:val="20"/>
          <w:szCs w:val="20"/>
        </w:rPr>
        <w:t>主(</w:t>
      </w:r>
      <w:r>
        <w:rPr>
          <w:rFonts w:ascii="宋体" w:hAnsi="宋体" w:eastAsia="宋体" w:cs="宋体"/>
          <w:sz w:val="20"/>
          <w:szCs w:val="20"/>
        </w:rPr>
        <w:t>host</w:t>
      </w:r>
      <w:r>
        <w:rPr>
          <w:rFonts w:ascii="宋体" w:hAnsi="宋体" w:eastAsia="宋体" w:cs="宋体"/>
          <w:spacing w:val="8"/>
          <w:sz w:val="20"/>
          <w:szCs w:val="20"/>
        </w:rPr>
        <w:t>)是指在自然条件下能被病原体寄生的人或动物。宿主也能通过自身的防御机制来</w:t>
      </w:r>
      <w:r>
        <w:rPr>
          <w:rFonts w:ascii="宋体" w:hAnsi="宋体" w:eastAsia="宋体" w:cs="宋体"/>
          <w:sz w:val="20"/>
          <w:szCs w:val="20"/>
        </w:rPr>
        <w:t xml:space="preserve"> </w:t>
      </w:r>
      <w:r>
        <w:rPr>
          <w:rFonts w:ascii="宋体" w:hAnsi="宋体" w:eastAsia="宋体" w:cs="宋体"/>
          <w:spacing w:val="5"/>
          <w:sz w:val="20"/>
          <w:szCs w:val="20"/>
        </w:rPr>
        <w:t>抵御、中和外来人侵。当机体具有足够的免疫力时，病原体难以侵人，或难以在宿主体</w:t>
      </w:r>
      <w:r>
        <w:rPr>
          <w:rFonts w:ascii="宋体" w:hAnsi="宋体" w:eastAsia="宋体" w:cs="宋体"/>
          <w:spacing w:val="4"/>
          <w:sz w:val="20"/>
          <w:szCs w:val="20"/>
        </w:rPr>
        <w:t>内生存、繁</w:t>
      </w:r>
      <w:r>
        <w:rPr>
          <w:rFonts w:ascii="宋体" w:hAnsi="宋体" w:eastAsia="宋体" w:cs="宋体"/>
          <w:sz w:val="20"/>
          <w:szCs w:val="20"/>
        </w:rPr>
        <w:t xml:space="preserve"> 殖、引起感染和疾病。</w:t>
      </w:r>
    </w:p>
    <w:p w14:paraId="0445C9AB">
      <w:pPr>
        <w:pStyle w:val="2"/>
        <w:spacing w:before="18" w:line="221" w:lineRule="auto"/>
        <w:ind w:left="412"/>
        <w:rPr>
          <w:sz w:val="20"/>
          <w:szCs w:val="20"/>
        </w:rPr>
      </w:pPr>
      <w:r>
        <w:rPr>
          <w:b/>
          <w:bCs/>
          <w:spacing w:val="17"/>
          <w:sz w:val="20"/>
          <w:szCs w:val="20"/>
        </w:rPr>
        <w:t>(</w:t>
      </w:r>
      <w:r>
        <w:rPr>
          <w:spacing w:val="-53"/>
          <w:sz w:val="20"/>
          <w:szCs w:val="20"/>
        </w:rPr>
        <w:t xml:space="preserve"> </w:t>
      </w:r>
      <w:r>
        <w:rPr>
          <w:b/>
          <w:bCs/>
          <w:spacing w:val="17"/>
          <w:sz w:val="20"/>
          <w:szCs w:val="20"/>
        </w:rPr>
        <w:t>一</w:t>
      </w:r>
      <w:r>
        <w:rPr>
          <w:spacing w:val="-59"/>
          <w:sz w:val="20"/>
          <w:szCs w:val="20"/>
        </w:rPr>
        <w:t xml:space="preserve"> </w:t>
      </w:r>
      <w:r>
        <w:rPr>
          <w:b/>
          <w:bCs/>
          <w:spacing w:val="17"/>
          <w:sz w:val="20"/>
          <w:szCs w:val="20"/>
        </w:rPr>
        <w:t>)宿主的防御机制</w:t>
      </w:r>
    </w:p>
    <w:p w14:paraId="2F8F0576">
      <w:pPr>
        <w:pStyle w:val="2"/>
        <w:spacing w:before="127" w:line="316" w:lineRule="auto"/>
        <w:ind w:right="635" w:firstLine="409"/>
        <w:rPr>
          <w:rFonts w:ascii="宋体" w:hAnsi="宋体" w:eastAsia="宋体" w:cs="宋体"/>
          <w:sz w:val="20"/>
          <w:szCs w:val="20"/>
        </w:rPr>
      </w:pPr>
      <w:r>
        <w:rPr>
          <w:rFonts w:ascii="宋体" w:hAnsi="宋体" w:eastAsia="宋体" w:cs="宋体"/>
          <w:spacing w:val="7"/>
          <w:sz w:val="20"/>
          <w:szCs w:val="20"/>
        </w:rPr>
        <w:t xml:space="preserve">1. </w:t>
      </w:r>
      <w:r>
        <w:rPr>
          <w:spacing w:val="7"/>
          <w:sz w:val="20"/>
          <w:szCs w:val="20"/>
        </w:rPr>
        <w:t>皮肤黏膜屏障</w:t>
      </w:r>
      <w:r>
        <w:rPr>
          <w:spacing w:val="88"/>
          <w:sz w:val="20"/>
          <w:szCs w:val="20"/>
        </w:rPr>
        <w:t xml:space="preserve"> </w:t>
      </w:r>
      <w:r>
        <w:rPr>
          <w:rFonts w:ascii="宋体" w:hAnsi="宋体" w:eastAsia="宋体" w:cs="宋体"/>
          <w:spacing w:val="7"/>
          <w:sz w:val="20"/>
          <w:szCs w:val="20"/>
        </w:rPr>
        <w:t>机体的皮肤和内脏腔壁黏膜形成完整的屏障，作为人体的第一道防线，阻</w:t>
      </w:r>
      <w:r>
        <w:rPr>
          <w:rFonts w:ascii="宋体" w:hAnsi="宋体" w:eastAsia="宋体" w:cs="宋体"/>
          <w:sz w:val="20"/>
          <w:szCs w:val="20"/>
        </w:rPr>
        <w:t xml:space="preserve"> </w:t>
      </w:r>
      <w:r>
        <w:rPr>
          <w:rFonts w:ascii="宋体" w:hAnsi="宋体" w:eastAsia="宋体" w:cs="宋体"/>
          <w:spacing w:val="5"/>
          <w:sz w:val="20"/>
          <w:szCs w:val="20"/>
        </w:rPr>
        <w:t>拦病原体侵入体内，起到保护层的作用。典型的黏膜覆盖有能对抗微生物的分泌物</w:t>
      </w:r>
      <w:r>
        <w:rPr>
          <w:rFonts w:ascii="宋体" w:hAnsi="宋体" w:eastAsia="宋体" w:cs="宋体"/>
          <w:spacing w:val="4"/>
          <w:sz w:val="20"/>
          <w:szCs w:val="20"/>
        </w:rPr>
        <w:t>。例如，眼黏膜</w:t>
      </w:r>
      <w:r>
        <w:rPr>
          <w:rFonts w:ascii="宋体" w:hAnsi="宋体" w:eastAsia="宋体" w:cs="宋体"/>
          <w:sz w:val="20"/>
          <w:szCs w:val="20"/>
        </w:rPr>
        <w:t xml:space="preserve"> </w:t>
      </w:r>
      <w:r>
        <w:rPr>
          <w:rFonts w:ascii="宋体" w:hAnsi="宋体" w:eastAsia="宋体" w:cs="宋体"/>
          <w:spacing w:val="5"/>
          <w:sz w:val="20"/>
          <w:szCs w:val="20"/>
        </w:rPr>
        <w:t>由含溶酶的泪水浸润，能杀灭细菌而保护眼免于感染；鼻腔及气道的内壁上覆有</w:t>
      </w:r>
      <w:r>
        <w:rPr>
          <w:rFonts w:ascii="宋体" w:hAnsi="宋体" w:eastAsia="宋体" w:cs="宋体"/>
          <w:spacing w:val="4"/>
          <w:sz w:val="20"/>
          <w:szCs w:val="20"/>
        </w:rPr>
        <w:t>黏液，空气中的微</w:t>
      </w:r>
      <w:r>
        <w:rPr>
          <w:rFonts w:ascii="宋体" w:hAnsi="宋体" w:eastAsia="宋体" w:cs="宋体"/>
          <w:sz w:val="20"/>
          <w:szCs w:val="20"/>
        </w:rPr>
        <w:t xml:space="preserve"> </w:t>
      </w:r>
      <w:r>
        <w:rPr>
          <w:rFonts w:ascii="宋体" w:hAnsi="宋体" w:eastAsia="宋体" w:cs="宋体"/>
          <w:spacing w:val="5"/>
          <w:sz w:val="20"/>
          <w:szCs w:val="20"/>
        </w:rPr>
        <w:t>生物黏附到黏液而被咳出或从鼻腔排出，气道内壁上的纤毛可协助黏液的排出；</w:t>
      </w:r>
      <w:r>
        <w:rPr>
          <w:rFonts w:ascii="宋体" w:hAnsi="宋体" w:eastAsia="宋体" w:cs="宋体"/>
          <w:spacing w:val="4"/>
          <w:sz w:val="20"/>
          <w:szCs w:val="20"/>
        </w:rPr>
        <w:t>消化道的胃酸、胰</w:t>
      </w:r>
      <w:r>
        <w:rPr>
          <w:rFonts w:ascii="宋体" w:hAnsi="宋体" w:eastAsia="宋体" w:cs="宋体"/>
          <w:sz w:val="20"/>
          <w:szCs w:val="20"/>
        </w:rPr>
        <w:t xml:space="preserve"> </w:t>
      </w:r>
      <w:r>
        <w:rPr>
          <w:rFonts w:ascii="宋体" w:hAnsi="宋体" w:eastAsia="宋体" w:cs="宋体"/>
          <w:spacing w:val="5"/>
          <w:sz w:val="20"/>
          <w:szCs w:val="20"/>
        </w:rPr>
        <w:t>酶、胆汁和肠道分泌物可杀死细菌或阻止其繁殖；腔道黏膜表面还有众多的正常微生</w:t>
      </w:r>
      <w:r>
        <w:rPr>
          <w:rFonts w:ascii="宋体" w:hAnsi="宋体" w:eastAsia="宋体" w:cs="宋体"/>
          <w:spacing w:val="4"/>
          <w:sz w:val="20"/>
          <w:szCs w:val="20"/>
        </w:rPr>
        <w:t>物丛，可以协</w:t>
      </w:r>
      <w:r>
        <w:rPr>
          <w:rFonts w:ascii="宋体" w:hAnsi="宋体" w:eastAsia="宋体" w:cs="宋体"/>
          <w:sz w:val="20"/>
          <w:szCs w:val="20"/>
        </w:rPr>
        <w:t xml:space="preserve"> </w:t>
      </w:r>
      <w:r>
        <w:rPr>
          <w:rFonts w:ascii="宋体" w:hAnsi="宋体" w:eastAsia="宋体" w:cs="宋体"/>
          <w:spacing w:val="9"/>
          <w:sz w:val="20"/>
          <w:szCs w:val="20"/>
        </w:rPr>
        <w:t>助阻止和限制外来病原体的侵袭。当人体皮肤或黏膜受到损伤时，机体抵抗病原体人侵的能力下</w:t>
      </w:r>
      <w:r>
        <w:rPr>
          <w:rFonts w:ascii="宋体" w:hAnsi="宋体" w:eastAsia="宋体" w:cs="宋体"/>
          <w:spacing w:val="14"/>
          <w:sz w:val="20"/>
          <w:szCs w:val="20"/>
        </w:rPr>
        <w:t xml:space="preserve"> </w:t>
      </w:r>
      <w:r>
        <w:rPr>
          <w:rFonts w:ascii="宋体" w:hAnsi="宋体" w:eastAsia="宋体" w:cs="宋体"/>
          <w:spacing w:val="1"/>
          <w:sz w:val="20"/>
          <w:szCs w:val="20"/>
        </w:rPr>
        <w:t>降，容易发生感染。</w:t>
      </w:r>
    </w:p>
    <w:p w14:paraId="02C4F319">
      <w:pPr>
        <w:spacing w:before="170" w:line="219" w:lineRule="auto"/>
        <w:ind w:left="412"/>
        <w:rPr>
          <w:rFonts w:ascii="宋体" w:hAnsi="宋体" w:eastAsia="宋体" w:cs="宋体"/>
          <w:sz w:val="20"/>
          <w:szCs w:val="20"/>
        </w:rPr>
      </w:pPr>
      <w:r>
        <w:rPr>
          <w:rFonts w:ascii="宋体" w:hAnsi="宋体" w:eastAsia="宋体" w:cs="宋体"/>
          <w:b/>
          <w:bCs/>
          <w:spacing w:val="5"/>
          <w:sz w:val="20"/>
          <w:szCs w:val="20"/>
        </w:rPr>
        <w:t>2.</w:t>
      </w:r>
      <w:r>
        <w:rPr>
          <w:rFonts w:ascii="宋体" w:hAnsi="宋体" w:eastAsia="宋体" w:cs="宋体"/>
          <w:spacing w:val="5"/>
          <w:sz w:val="20"/>
          <w:szCs w:val="20"/>
        </w:rPr>
        <w:t xml:space="preserve"> </w:t>
      </w:r>
      <w:r>
        <w:rPr>
          <w:rFonts w:ascii="宋体" w:hAnsi="宋体" w:eastAsia="宋体" w:cs="宋体"/>
          <w:b/>
          <w:bCs/>
          <w:spacing w:val="5"/>
          <w:sz w:val="20"/>
          <w:szCs w:val="20"/>
        </w:rPr>
        <w:t>内部屏障</w:t>
      </w:r>
    </w:p>
    <w:p w14:paraId="4D3FCC27">
      <w:pPr>
        <w:spacing w:before="125" w:line="275" w:lineRule="auto"/>
        <w:ind w:right="546" w:firstLine="409"/>
        <w:rPr>
          <w:rFonts w:ascii="宋体" w:hAnsi="宋体" w:eastAsia="宋体" w:cs="宋体"/>
          <w:sz w:val="20"/>
          <w:szCs w:val="20"/>
        </w:rPr>
      </w:pPr>
      <w:r>
        <w:rPr>
          <w:rFonts w:ascii="宋体" w:hAnsi="宋体" w:eastAsia="宋体" w:cs="宋体"/>
          <w:spacing w:val="4"/>
          <w:sz w:val="20"/>
          <w:szCs w:val="20"/>
        </w:rPr>
        <w:t>(1)吞噬作用：机体组织中存在吞噬细胞，有吞噬、清理进入机体内的微生物和清理衰老细胞、</w:t>
      </w:r>
      <w:r>
        <w:rPr>
          <w:rFonts w:ascii="宋体" w:hAnsi="宋体" w:eastAsia="宋体" w:cs="宋体"/>
          <w:spacing w:val="17"/>
          <w:sz w:val="20"/>
          <w:szCs w:val="20"/>
        </w:rPr>
        <w:t xml:space="preserve"> </w:t>
      </w:r>
      <w:r>
        <w:rPr>
          <w:rFonts w:ascii="宋体" w:hAnsi="宋体" w:eastAsia="宋体" w:cs="宋体"/>
          <w:spacing w:val="7"/>
          <w:sz w:val="20"/>
          <w:szCs w:val="20"/>
        </w:rPr>
        <w:t>识别肿瘤细胞的作用。它们担负着机体的非特异性防御功能。</w:t>
      </w:r>
    </w:p>
    <w:p w14:paraId="369BEF36">
      <w:pPr>
        <w:spacing w:before="133" w:line="281" w:lineRule="auto"/>
        <w:ind w:right="566" w:firstLine="409"/>
        <w:rPr>
          <w:rFonts w:ascii="宋体" w:hAnsi="宋体" w:eastAsia="宋体" w:cs="宋体"/>
          <w:sz w:val="20"/>
          <w:szCs w:val="20"/>
        </w:rPr>
      </w:pPr>
      <w:r>
        <w:rPr>
          <w:rFonts w:ascii="宋体" w:hAnsi="宋体" w:eastAsia="宋体" w:cs="宋体"/>
          <w:spacing w:val="-1"/>
          <w:sz w:val="20"/>
          <w:szCs w:val="20"/>
        </w:rPr>
        <w:t>(2)体液的屏障作用：体液中的补体、溶菌酶、防御素、乙型溶素、吞噬细胞杀菌素、干扰素等，</w:t>
      </w:r>
      <w:r>
        <w:rPr>
          <w:rFonts w:ascii="宋体" w:hAnsi="宋体" w:eastAsia="宋体" w:cs="宋体"/>
          <w:spacing w:val="13"/>
          <w:sz w:val="20"/>
          <w:szCs w:val="20"/>
        </w:rPr>
        <w:t xml:space="preserve"> </w:t>
      </w:r>
      <w:r>
        <w:rPr>
          <w:rFonts w:ascii="宋体" w:hAnsi="宋体" w:eastAsia="宋体" w:cs="宋体"/>
          <w:spacing w:val="9"/>
          <w:sz w:val="20"/>
          <w:szCs w:val="20"/>
        </w:rPr>
        <w:t>可以在抗感染中发挥作用。</w:t>
      </w:r>
    </w:p>
    <w:p w14:paraId="5463E59D">
      <w:pPr>
        <w:pStyle w:val="2"/>
        <w:spacing w:before="131" w:line="222" w:lineRule="auto"/>
        <w:ind w:left="409"/>
        <w:rPr>
          <w:rFonts w:ascii="宋体" w:hAnsi="宋体" w:eastAsia="宋体" w:cs="宋体"/>
          <w:sz w:val="20"/>
          <w:szCs w:val="20"/>
        </w:rPr>
      </w:pPr>
      <w:r>
        <w:rPr>
          <w:rFonts w:ascii="宋体" w:hAnsi="宋体" w:eastAsia="宋体" w:cs="宋体"/>
          <w:spacing w:val="6"/>
          <w:sz w:val="20"/>
          <w:szCs w:val="20"/>
        </w:rPr>
        <w:t xml:space="preserve">3. </w:t>
      </w:r>
      <w:r>
        <w:rPr>
          <w:spacing w:val="6"/>
          <w:sz w:val="20"/>
          <w:szCs w:val="20"/>
        </w:rPr>
        <w:t>特异性免疫反应</w:t>
      </w:r>
      <w:r>
        <w:rPr>
          <w:spacing w:val="85"/>
          <w:sz w:val="20"/>
          <w:szCs w:val="20"/>
        </w:rPr>
        <w:t xml:space="preserve"> </w:t>
      </w:r>
      <w:r>
        <w:rPr>
          <w:rFonts w:ascii="宋体" w:hAnsi="宋体" w:eastAsia="宋体" w:cs="宋体"/>
          <w:spacing w:val="6"/>
          <w:sz w:val="20"/>
          <w:szCs w:val="20"/>
        </w:rPr>
        <w:t>特异性免疫反应包括体液免疫和细胞免疫。</w:t>
      </w:r>
    </w:p>
    <w:p w14:paraId="432662F8">
      <w:pPr>
        <w:spacing w:before="111" w:line="310" w:lineRule="auto"/>
        <w:ind w:right="633" w:firstLine="409"/>
        <w:rPr>
          <w:rFonts w:ascii="宋体" w:hAnsi="宋体" w:eastAsia="宋体" w:cs="宋体"/>
          <w:sz w:val="20"/>
          <w:szCs w:val="20"/>
        </w:rPr>
      </w:pPr>
      <w:r>
        <w:rPr>
          <w:rFonts w:ascii="宋体" w:hAnsi="宋体" w:eastAsia="宋体" w:cs="宋体"/>
          <w:spacing w:val="7"/>
          <w:sz w:val="20"/>
          <w:szCs w:val="20"/>
        </w:rPr>
        <w:t>(1)体液免疫：由</w:t>
      </w:r>
      <w:r>
        <w:rPr>
          <w:rFonts w:ascii="Times New Roman" w:hAnsi="Times New Roman" w:eastAsia="Times New Roman" w:cs="Times New Roman"/>
          <w:spacing w:val="7"/>
          <w:sz w:val="20"/>
          <w:szCs w:val="20"/>
        </w:rPr>
        <w:t xml:space="preserve">B </w:t>
      </w:r>
      <w:r>
        <w:rPr>
          <w:rFonts w:ascii="宋体" w:hAnsi="宋体" w:eastAsia="宋体" w:cs="宋体"/>
          <w:spacing w:val="7"/>
          <w:sz w:val="20"/>
          <w:szCs w:val="20"/>
        </w:rPr>
        <w:t>细胞介导，主要通过产生抗体而发挥效应。病原体进入</w:t>
      </w:r>
      <w:r>
        <w:rPr>
          <w:rFonts w:ascii="宋体" w:hAnsi="宋体" w:eastAsia="宋体" w:cs="宋体"/>
          <w:spacing w:val="6"/>
          <w:sz w:val="20"/>
          <w:szCs w:val="20"/>
        </w:rPr>
        <w:t>体内后，刺激</w:t>
      </w:r>
      <w:r>
        <w:rPr>
          <w:rFonts w:ascii="Times New Roman" w:hAnsi="Times New Roman" w:eastAsia="Times New Roman" w:cs="Times New Roman"/>
          <w:spacing w:val="6"/>
          <w:sz w:val="20"/>
          <w:szCs w:val="20"/>
        </w:rPr>
        <w:t>B</w:t>
      </w:r>
      <w:r>
        <w:rPr>
          <w:rFonts w:ascii="Times New Roman" w:hAnsi="Times New Roman" w:eastAsia="Times New Roman" w:cs="Times New Roman"/>
          <w:spacing w:val="-10"/>
          <w:sz w:val="20"/>
          <w:szCs w:val="20"/>
        </w:rPr>
        <w:t xml:space="preserve"> </w:t>
      </w:r>
      <w:r>
        <w:rPr>
          <w:rFonts w:ascii="宋体" w:hAnsi="宋体" w:eastAsia="宋体" w:cs="宋体"/>
          <w:spacing w:val="6"/>
          <w:sz w:val="20"/>
          <w:szCs w:val="20"/>
        </w:rPr>
        <w:t>细</w:t>
      </w:r>
      <w:r>
        <w:rPr>
          <w:rFonts w:ascii="宋体" w:hAnsi="宋体" w:eastAsia="宋体" w:cs="宋体"/>
          <w:sz w:val="20"/>
          <w:szCs w:val="20"/>
        </w:rPr>
        <w:t xml:space="preserve"> </w:t>
      </w:r>
      <w:r>
        <w:rPr>
          <w:rFonts w:ascii="宋体" w:hAnsi="宋体" w:eastAsia="宋体" w:cs="宋体"/>
          <w:spacing w:val="10"/>
          <w:sz w:val="20"/>
          <w:szCs w:val="20"/>
        </w:rPr>
        <w:t>胞产生特异性抗体，其中能降低病原体传染力或致病力的称为中和抗体或保</w:t>
      </w:r>
      <w:r>
        <w:rPr>
          <w:rFonts w:ascii="宋体" w:hAnsi="宋体" w:eastAsia="宋体" w:cs="宋体"/>
          <w:spacing w:val="9"/>
          <w:sz w:val="20"/>
          <w:szCs w:val="20"/>
        </w:rPr>
        <w:t>护性抗体。感染早期</w:t>
      </w:r>
      <w:r>
        <w:rPr>
          <w:rFonts w:ascii="宋体" w:hAnsi="宋体" w:eastAsia="宋体" w:cs="宋体"/>
          <w:sz w:val="20"/>
          <w:szCs w:val="20"/>
        </w:rPr>
        <w:t xml:space="preserve"> </w:t>
      </w:r>
      <w:r>
        <w:rPr>
          <w:rFonts w:ascii="宋体" w:hAnsi="宋体" w:eastAsia="宋体" w:cs="宋体"/>
          <w:spacing w:val="5"/>
          <w:sz w:val="20"/>
          <w:szCs w:val="20"/>
        </w:rPr>
        <w:t>首先产生免疫球蛋白</w:t>
      </w:r>
      <w:r>
        <w:rPr>
          <w:rFonts w:ascii="Times New Roman" w:hAnsi="Times New Roman" w:eastAsia="Times New Roman" w:cs="Times New Roman"/>
          <w:spacing w:val="5"/>
          <w:sz w:val="20"/>
          <w:szCs w:val="20"/>
        </w:rPr>
        <w:t>M(</w:t>
      </w:r>
      <w:r>
        <w:rPr>
          <w:rFonts w:ascii="Times New Roman" w:hAnsi="Times New Roman" w:eastAsia="Times New Roman" w:cs="Times New Roman"/>
          <w:sz w:val="20"/>
          <w:szCs w:val="20"/>
        </w:rPr>
        <w:t>IgM</w:t>
      </w:r>
      <w:r>
        <w:rPr>
          <w:rFonts w:ascii="Times New Roman" w:hAnsi="Times New Roman" w:eastAsia="Times New Roman" w:cs="Times New Roman"/>
          <w:spacing w:val="5"/>
          <w:sz w:val="20"/>
          <w:szCs w:val="20"/>
        </w:rPr>
        <w:t>)</w:t>
      </w:r>
      <w:r>
        <w:rPr>
          <w:rFonts w:ascii="Times New Roman" w:hAnsi="Times New Roman" w:eastAsia="Times New Roman" w:cs="Times New Roman"/>
          <w:spacing w:val="38"/>
          <w:sz w:val="20"/>
          <w:szCs w:val="20"/>
        </w:rPr>
        <w:t xml:space="preserve"> </w:t>
      </w:r>
      <w:r>
        <w:rPr>
          <w:rFonts w:ascii="宋体" w:hAnsi="宋体" w:eastAsia="宋体" w:cs="宋体"/>
          <w:spacing w:val="5"/>
          <w:sz w:val="20"/>
          <w:szCs w:val="20"/>
        </w:rPr>
        <w:t>抗体，然后出现</w:t>
      </w:r>
      <w:r>
        <w:rPr>
          <w:rFonts w:ascii="宋体" w:hAnsi="宋体" w:eastAsia="宋体" w:cs="宋体"/>
          <w:spacing w:val="4"/>
          <w:sz w:val="20"/>
          <w:szCs w:val="20"/>
        </w:rPr>
        <w:t>免疫球蛋白</w:t>
      </w:r>
      <w:r>
        <w:rPr>
          <w:rFonts w:ascii="Times New Roman" w:hAnsi="Times New Roman" w:eastAsia="Times New Roman" w:cs="Times New Roman"/>
          <w:spacing w:val="4"/>
          <w:sz w:val="20"/>
          <w:szCs w:val="20"/>
        </w:rPr>
        <w:t>G(</w:t>
      </w:r>
      <w:r>
        <w:rPr>
          <w:rFonts w:ascii="Times New Roman" w:hAnsi="Times New Roman" w:eastAsia="Times New Roman" w:cs="Times New Roman"/>
          <w:sz w:val="20"/>
          <w:szCs w:val="20"/>
        </w:rPr>
        <w:t>IgG</w:t>
      </w:r>
      <w:r>
        <w:rPr>
          <w:rFonts w:ascii="Times New Roman" w:hAnsi="Times New Roman" w:eastAsia="Times New Roman" w:cs="Times New Roman"/>
          <w:spacing w:val="4"/>
          <w:sz w:val="20"/>
          <w:szCs w:val="20"/>
        </w:rPr>
        <w:t>)</w:t>
      </w:r>
      <w:r>
        <w:rPr>
          <w:rFonts w:ascii="Times New Roman" w:hAnsi="Times New Roman" w:eastAsia="Times New Roman" w:cs="Times New Roman"/>
          <w:spacing w:val="38"/>
          <w:sz w:val="20"/>
          <w:szCs w:val="20"/>
        </w:rPr>
        <w:t xml:space="preserve"> </w:t>
      </w:r>
      <w:r>
        <w:rPr>
          <w:rFonts w:ascii="宋体" w:hAnsi="宋体" w:eastAsia="宋体" w:cs="宋体"/>
          <w:spacing w:val="4"/>
          <w:sz w:val="20"/>
          <w:szCs w:val="20"/>
        </w:rPr>
        <w:t>抗体，此顺序有助于区别近期感染</w:t>
      </w:r>
      <w:r>
        <w:rPr>
          <w:rFonts w:ascii="宋体" w:hAnsi="宋体" w:eastAsia="宋体" w:cs="宋体"/>
          <w:sz w:val="20"/>
          <w:szCs w:val="20"/>
        </w:rPr>
        <w:t xml:space="preserve"> </w:t>
      </w:r>
      <w:r>
        <w:rPr>
          <w:rFonts w:ascii="宋体" w:hAnsi="宋体" w:eastAsia="宋体" w:cs="宋体"/>
          <w:spacing w:val="4"/>
          <w:sz w:val="20"/>
          <w:szCs w:val="20"/>
        </w:rPr>
        <w:t>和既往感染。</w:t>
      </w:r>
      <w:r>
        <w:rPr>
          <w:rFonts w:ascii="宋体" w:hAnsi="宋体" w:eastAsia="宋体" w:cs="宋体"/>
          <w:spacing w:val="-43"/>
          <w:sz w:val="20"/>
          <w:szCs w:val="20"/>
        </w:rPr>
        <w:t xml:space="preserve"> </w:t>
      </w:r>
      <w:r>
        <w:rPr>
          <w:rFonts w:ascii="Times New Roman" w:hAnsi="Times New Roman" w:eastAsia="Times New Roman" w:cs="Times New Roman"/>
          <w:sz w:val="20"/>
          <w:szCs w:val="20"/>
        </w:rPr>
        <w:t>IgG</w:t>
      </w:r>
      <w:r>
        <w:rPr>
          <w:rFonts w:ascii="Times New Roman" w:hAnsi="Times New Roman" w:eastAsia="Times New Roman" w:cs="Times New Roman"/>
          <w:spacing w:val="24"/>
          <w:w w:val="101"/>
          <w:sz w:val="20"/>
          <w:szCs w:val="20"/>
        </w:rPr>
        <w:t xml:space="preserve"> </w:t>
      </w:r>
      <w:r>
        <w:rPr>
          <w:rFonts w:ascii="宋体" w:hAnsi="宋体" w:eastAsia="宋体" w:cs="宋体"/>
          <w:spacing w:val="4"/>
          <w:sz w:val="20"/>
          <w:szCs w:val="20"/>
        </w:rPr>
        <w:t>抗体持续时间比较长，也是机体免疫回忆应答的主要效应分子，通常在预防再次</w:t>
      </w:r>
      <w:r>
        <w:rPr>
          <w:rFonts w:ascii="宋体" w:hAnsi="宋体" w:eastAsia="宋体" w:cs="宋体"/>
          <w:sz w:val="20"/>
          <w:szCs w:val="20"/>
        </w:rPr>
        <w:t xml:space="preserve"> </w:t>
      </w:r>
      <w:r>
        <w:rPr>
          <w:rFonts w:ascii="宋体" w:hAnsi="宋体" w:eastAsia="宋体" w:cs="宋体"/>
          <w:spacing w:val="11"/>
          <w:sz w:val="20"/>
          <w:szCs w:val="20"/>
        </w:rPr>
        <w:t>感染中发挥主要作用。</w:t>
      </w:r>
    </w:p>
    <w:p w14:paraId="39AC19FA">
      <w:pPr>
        <w:spacing w:before="140" w:line="301" w:lineRule="auto"/>
        <w:ind w:right="637" w:firstLine="409"/>
        <w:rPr>
          <w:rFonts w:ascii="宋体" w:hAnsi="宋体" w:eastAsia="宋体" w:cs="宋体"/>
          <w:sz w:val="20"/>
          <w:szCs w:val="20"/>
        </w:rPr>
      </w:pPr>
      <w:r>
        <w:rPr>
          <w:rFonts w:ascii="宋体" w:hAnsi="宋体" w:eastAsia="宋体" w:cs="宋体"/>
          <w:spacing w:val="5"/>
          <w:sz w:val="20"/>
          <w:szCs w:val="20"/>
        </w:rPr>
        <w:t>(2)细胞免疫：由</w:t>
      </w:r>
      <w:r>
        <w:rPr>
          <w:rFonts w:ascii="Times New Roman" w:hAnsi="Times New Roman" w:eastAsia="Times New Roman" w:cs="Times New Roman"/>
          <w:spacing w:val="5"/>
          <w:sz w:val="20"/>
          <w:szCs w:val="20"/>
        </w:rPr>
        <w:t>T</w:t>
      </w:r>
      <w:r>
        <w:rPr>
          <w:rFonts w:ascii="Times New Roman" w:hAnsi="Times New Roman" w:eastAsia="Times New Roman" w:cs="Times New Roman"/>
          <w:spacing w:val="27"/>
          <w:sz w:val="20"/>
          <w:szCs w:val="20"/>
        </w:rPr>
        <w:t xml:space="preserve"> </w:t>
      </w:r>
      <w:r>
        <w:rPr>
          <w:rFonts w:ascii="宋体" w:hAnsi="宋体" w:eastAsia="宋体" w:cs="宋体"/>
          <w:spacing w:val="5"/>
          <w:sz w:val="20"/>
          <w:szCs w:val="20"/>
        </w:rPr>
        <w:t>细胞介导。</w:t>
      </w:r>
      <w:r>
        <w:rPr>
          <w:rFonts w:ascii="Times New Roman" w:hAnsi="Times New Roman" w:eastAsia="Times New Roman" w:cs="Times New Roman"/>
          <w:spacing w:val="5"/>
          <w:sz w:val="20"/>
          <w:szCs w:val="20"/>
        </w:rPr>
        <w:t>T</w:t>
      </w:r>
      <w:r>
        <w:rPr>
          <w:rFonts w:ascii="Times New Roman" w:hAnsi="Times New Roman" w:eastAsia="Times New Roman" w:cs="Times New Roman"/>
          <w:spacing w:val="34"/>
          <w:sz w:val="20"/>
          <w:szCs w:val="20"/>
        </w:rPr>
        <w:t xml:space="preserve"> </w:t>
      </w:r>
      <w:r>
        <w:rPr>
          <w:rFonts w:ascii="宋体" w:hAnsi="宋体" w:eastAsia="宋体" w:cs="宋体"/>
          <w:spacing w:val="5"/>
          <w:sz w:val="20"/>
          <w:szCs w:val="20"/>
        </w:rPr>
        <w:t>细胞受抗原刺激后，增殖、分化、转化为致敏</w:t>
      </w:r>
      <w:r>
        <w:rPr>
          <w:rFonts w:ascii="Times New Roman" w:hAnsi="Times New Roman" w:eastAsia="Times New Roman" w:cs="Times New Roman"/>
          <w:spacing w:val="5"/>
          <w:sz w:val="20"/>
          <w:szCs w:val="20"/>
        </w:rPr>
        <w:t xml:space="preserve">T </w:t>
      </w:r>
      <w:r>
        <w:rPr>
          <w:rFonts w:ascii="宋体" w:hAnsi="宋体" w:eastAsia="宋体" w:cs="宋体"/>
          <w:spacing w:val="5"/>
          <w:sz w:val="20"/>
          <w:szCs w:val="20"/>
        </w:rPr>
        <w:t>细胞(也叫效</w:t>
      </w:r>
      <w:r>
        <w:rPr>
          <w:rFonts w:ascii="宋体" w:hAnsi="宋体" w:eastAsia="宋体" w:cs="宋体"/>
          <w:sz w:val="20"/>
          <w:szCs w:val="20"/>
        </w:rPr>
        <w:t xml:space="preserve"> </w:t>
      </w:r>
      <w:r>
        <w:rPr>
          <w:rFonts w:ascii="宋体" w:hAnsi="宋体" w:eastAsia="宋体" w:cs="宋体"/>
          <w:spacing w:val="8"/>
          <w:sz w:val="20"/>
          <w:szCs w:val="20"/>
        </w:rPr>
        <w:t>应</w:t>
      </w:r>
      <w:r>
        <w:rPr>
          <w:rFonts w:ascii="Times New Roman" w:hAnsi="Times New Roman" w:eastAsia="Times New Roman" w:cs="Times New Roman"/>
          <w:spacing w:val="8"/>
          <w:sz w:val="20"/>
          <w:szCs w:val="20"/>
        </w:rPr>
        <w:t>T</w:t>
      </w:r>
      <w:r>
        <w:rPr>
          <w:rFonts w:ascii="Times New Roman" w:hAnsi="Times New Roman" w:eastAsia="Times New Roman" w:cs="Times New Roman"/>
          <w:spacing w:val="24"/>
          <w:w w:val="101"/>
          <w:sz w:val="20"/>
          <w:szCs w:val="20"/>
        </w:rPr>
        <w:t xml:space="preserve"> </w:t>
      </w:r>
      <w:r>
        <w:rPr>
          <w:rFonts w:ascii="宋体" w:hAnsi="宋体" w:eastAsia="宋体" w:cs="宋体"/>
          <w:spacing w:val="8"/>
          <w:sz w:val="20"/>
          <w:szCs w:val="20"/>
        </w:rPr>
        <w:t>细胞)。有些致敏</w:t>
      </w:r>
      <w:r>
        <w:rPr>
          <w:rFonts w:ascii="Times New Roman" w:hAnsi="Times New Roman" w:eastAsia="Times New Roman" w:cs="Times New Roman"/>
          <w:spacing w:val="8"/>
          <w:sz w:val="20"/>
          <w:szCs w:val="20"/>
        </w:rPr>
        <w:t xml:space="preserve">T </w:t>
      </w:r>
      <w:r>
        <w:rPr>
          <w:rFonts w:ascii="宋体" w:hAnsi="宋体" w:eastAsia="宋体" w:cs="宋体"/>
          <w:spacing w:val="8"/>
          <w:sz w:val="20"/>
          <w:szCs w:val="20"/>
        </w:rPr>
        <w:t>细胞可以辅助抗体的产生，而另一些致敏</w:t>
      </w:r>
      <w:r>
        <w:rPr>
          <w:rFonts w:ascii="Times New Roman" w:hAnsi="Times New Roman" w:eastAsia="Times New Roman" w:cs="Times New Roman"/>
          <w:spacing w:val="8"/>
          <w:sz w:val="20"/>
          <w:szCs w:val="20"/>
        </w:rPr>
        <w:t xml:space="preserve">T </w:t>
      </w:r>
      <w:r>
        <w:rPr>
          <w:rFonts w:ascii="宋体" w:hAnsi="宋体" w:eastAsia="宋体" w:cs="宋体"/>
          <w:spacing w:val="8"/>
          <w:sz w:val="20"/>
          <w:szCs w:val="20"/>
        </w:rPr>
        <w:t>细胞对感</w:t>
      </w:r>
      <w:r>
        <w:rPr>
          <w:rFonts w:ascii="宋体" w:hAnsi="宋体" w:eastAsia="宋体" w:cs="宋体"/>
          <w:spacing w:val="7"/>
          <w:sz w:val="20"/>
          <w:szCs w:val="20"/>
        </w:rPr>
        <w:t>染细胞有直接杀伤作</w:t>
      </w:r>
      <w:r>
        <w:rPr>
          <w:rFonts w:ascii="宋体" w:hAnsi="宋体" w:eastAsia="宋体" w:cs="宋体"/>
          <w:sz w:val="20"/>
          <w:szCs w:val="20"/>
        </w:rPr>
        <w:t xml:space="preserve"> </w:t>
      </w:r>
      <w:r>
        <w:rPr>
          <w:rFonts w:ascii="宋体" w:hAnsi="宋体" w:eastAsia="宋体" w:cs="宋体"/>
          <w:spacing w:val="4"/>
          <w:sz w:val="20"/>
          <w:szCs w:val="20"/>
        </w:rPr>
        <w:t>用，其所释放的细胞因子也有协同杀伤作用。</w:t>
      </w:r>
    </w:p>
    <w:p w14:paraId="3ECF0C7B">
      <w:pPr>
        <w:spacing w:line="301" w:lineRule="auto"/>
        <w:rPr>
          <w:rFonts w:ascii="宋体" w:hAnsi="宋体" w:eastAsia="宋体" w:cs="宋体"/>
          <w:sz w:val="20"/>
          <w:szCs w:val="20"/>
        </w:rPr>
        <w:sectPr>
          <w:footerReference r:id="rId204" w:type="default"/>
          <w:pgSz w:w="11900" w:h="16820"/>
          <w:pgMar w:top="400" w:right="943" w:bottom="879" w:left="1509" w:header="0" w:footer="699" w:gutter="0"/>
          <w:cols w:space="720" w:num="1"/>
        </w:sectPr>
      </w:pPr>
    </w:p>
    <w:p w14:paraId="0039B8E4">
      <w:pPr>
        <w:pStyle w:val="2"/>
        <w:spacing w:before="66" w:line="221" w:lineRule="auto"/>
        <w:ind w:left="679"/>
        <w:rPr>
          <w:sz w:val="19"/>
          <w:szCs w:val="19"/>
        </w:rPr>
      </w:pPr>
      <w:r>
        <w:rPr>
          <w:spacing w:val="-13"/>
          <w:sz w:val="19"/>
          <w:szCs w:val="19"/>
        </w:rPr>
        <w:t>第十一章 传染病流行病学</w:t>
      </w:r>
    </w:p>
    <w:p w14:paraId="243BA555">
      <w:pPr>
        <w:spacing w:line="260" w:lineRule="auto"/>
        <w:rPr>
          <w:rFonts w:ascii="Arial"/>
          <w:sz w:val="21"/>
        </w:rPr>
      </w:pPr>
    </w:p>
    <w:p w14:paraId="2ECD5861">
      <w:pPr>
        <w:spacing w:line="260" w:lineRule="auto"/>
        <w:rPr>
          <w:rFonts w:ascii="Arial"/>
          <w:sz w:val="21"/>
        </w:rPr>
      </w:pPr>
    </w:p>
    <w:p w14:paraId="68D0393E">
      <w:pPr>
        <w:pStyle w:val="2"/>
        <w:spacing w:before="78" w:line="222" w:lineRule="auto"/>
        <w:ind w:left="1103"/>
        <w:rPr>
          <w:sz w:val="24"/>
          <w:szCs w:val="24"/>
        </w:rPr>
      </w:pPr>
      <w:r>
        <w:rPr>
          <w:b/>
          <w:bCs/>
          <w:spacing w:val="-14"/>
          <w:sz w:val="24"/>
          <w:szCs w:val="24"/>
        </w:rPr>
        <w:t>(二)宿主的遗传易感性</w:t>
      </w:r>
    </w:p>
    <w:p w14:paraId="3AA7B175">
      <w:pPr>
        <w:spacing w:before="113" w:line="356" w:lineRule="auto"/>
        <w:ind w:left="679" w:right="137" w:firstLine="419"/>
        <w:jc w:val="both"/>
        <w:rPr>
          <w:rFonts w:ascii="宋体" w:hAnsi="宋体" w:eastAsia="宋体" w:cs="宋体"/>
          <w:sz w:val="19"/>
          <w:szCs w:val="19"/>
        </w:rPr>
      </w:pPr>
      <w:r>
        <w:rPr>
          <w:rFonts w:ascii="宋体" w:hAnsi="宋体" w:eastAsia="宋体" w:cs="宋体"/>
          <w:spacing w:val="20"/>
          <w:sz w:val="19"/>
          <w:szCs w:val="19"/>
        </w:rPr>
        <w:t>病原体和宿主之间的相互作用是一个非常复杂的过程，是否感染以及感染后的临床表现受多</w:t>
      </w:r>
      <w:r>
        <w:rPr>
          <w:rFonts w:ascii="宋体" w:hAnsi="宋体" w:eastAsia="宋体" w:cs="宋体"/>
          <w:spacing w:val="6"/>
          <w:sz w:val="19"/>
          <w:szCs w:val="19"/>
        </w:rPr>
        <w:t xml:space="preserve"> </w:t>
      </w:r>
      <w:r>
        <w:rPr>
          <w:rFonts w:ascii="宋体" w:hAnsi="宋体" w:eastAsia="宋体" w:cs="宋体"/>
          <w:spacing w:val="15"/>
          <w:sz w:val="19"/>
          <w:szCs w:val="19"/>
        </w:rPr>
        <w:t>种因素影响，除了上述病原体的各种因素以及宿主的健康状况之外，宿主的遗传因素也可能发挥重</w:t>
      </w:r>
      <w:r>
        <w:rPr>
          <w:rFonts w:ascii="宋体" w:hAnsi="宋体" w:eastAsia="宋体" w:cs="宋体"/>
          <w:spacing w:val="2"/>
          <w:sz w:val="19"/>
          <w:szCs w:val="19"/>
        </w:rPr>
        <w:t xml:space="preserve"> </w:t>
      </w:r>
      <w:r>
        <w:rPr>
          <w:rFonts w:ascii="宋体" w:hAnsi="宋体" w:eastAsia="宋体" w:cs="宋体"/>
          <w:spacing w:val="18"/>
          <w:sz w:val="19"/>
          <w:szCs w:val="19"/>
        </w:rPr>
        <w:t>要作用。</w:t>
      </w:r>
    </w:p>
    <w:p w14:paraId="0E0794BA">
      <w:pPr>
        <w:pStyle w:val="2"/>
        <w:spacing w:line="222" w:lineRule="auto"/>
        <w:ind w:left="1103"/>
        <w:rPr>
          <w:sz w:val="24"/>
          <w:szCs w:val="24"/>
        </w:rPr>
      </w:pPr>
      <w:r>
        <w:rPr>
          <w:b/>
          <w:bCs/>
          <w:spacing w:val="-11"/>
          <w:sz w:val="24"/>
          <w:szCs w:val="24"/>
        </w:rPr>
        <w:t>(三)宿主的其他因素</w:t>
      </w:r>
    </w:p>
    <w:p w14:paraId="78461C4C">
      <w:pPr>
        <w:spacing w:before="121" w:line="381" w:lineRule="auto"/>
        <w:ind w:left="679" w:right="147" w:firstLine="419"/>
        <w:rPr>
          <w:rFonts w:ascii="宋体" w:hAnsi="宋体" w:eastAsia="宋体" w:cs="宋体"/>
          <w:sz w:val="19"/>
          <w:szCs w:val="19"/>
        </w:rPr>
      </w:pPr>
      <w:r>
        <w:rPr>
          <w:rFonts w:ascii="宋体" w:hAnsi="宋体" w:eastAsia="宋体" w:cs="宋体"/>
          <w:spacing w:val="15"/>
          <w:sz w:val="19"/>
          <w:szCs w:val="19"/>
        </w:rPr>
        <w:t>宿主的年龄、免疫水平、营养状况、职业、个人习惯和生活方式等都可以</w:t>
      </w:r>
      <w:r>
        <w:rPr>
          <w:rFonts w:ascii="宋体" w:hAnsi="宋体" w:eastAsia="宋体" w:cs="宋体"/>
          <w:spacing w:val="14"/>
          <w:sz w:val="19"/>
          <w:szCs w:val="19"/>
        </w:rPr>
        <w:t>影响其对病原体的反</w:t>
      </w:r>
      <w:r>
        <w:rPr>
          <w:rFonts w:ascii="宋体" w:hAnsi="宋体" w:eastAsia="宋体" w:cs="宋体"/>
          <w:sz w:val="19"/>
          <w:szCs w:val="19"/>
        </w:rPr>
        <w:t xml:space="preserve"> </w:t>
      </w:r>
      <w:r>
        <w:rPr>
          <w:rFonts w:ascii="宋体" w:hAnsi="宋体" w:eastAsia="宋体" w:cs="宋体"/>
          <w:spacing w:val="16"/>
          <w:sz w:val="19"/>
          <w:szCs w:val="19"/>
        </w:rPr>
        <w:t>应。预防接种能使机体产生特异性抗体和/或细胞免</w:t>
      </w:r>
      <w:r>
        <w:rPr>
          <w:rFonts w:ascii="宋体" w:hAnsi="宋体" w:eastAsia="宋体" w:cs="宋体"/>
          <w:spacing w:val="15"/>
          <w:sz w:val="19"/>
          <w:szCs w:val="19"/>
        </w:rPr>
        <w:t>疫反应，增强宿主对某种传染病的抵抗能力。</w:t>
      </w:r>
    </w:p>
    <w:p w14:paraId="79EBFC99">
      <w:pPr>
        <w:pStyle w:val="2"/>
        <w:spacing w:before="143" w:line="221" w:lineRule="auto"/>
        <w:ind w:left="1103"/>
        <w:outlineLvl w:val="4"/>
        <w:rPr>
          <w:sz w:val="24"/>
          <w:szCs w:val="24"/>
        </w:rPr>
      </w:pPr>
      <w:bookmarkStart w:id="309" w:name="bookmark196"/>
      <w:bookmarkEnd w:id="309"/>
      <w:r>
        <w:rPr>
          <w:b/>
          <w:bCs/>
          <w:spacing w:val="-11"/>
          <w:sz w:val="24"/>
          <w:szCs w:val="24"/>
        </w:rPr>
        <w:t>三</w:t>
      </w:r>
      <w:r>
        <w:rPr>
          <w:spacing w:val="-37"/>
          <w:sz w:val="24"/>
          <w:szCs w:val="24"/>
        </w:rPr>
        <w:t xml:space="preserve"> </w:t>
      </w:r>
      <w:r>
        <w:rPr>
          <w:b/>
          <w:bCs/>
          <w:spacing w:val="-11"/>
          <w:sz w:val="24"/>
          <w:szCs w:val="24"/>
        </w:rPr>
        <w:t>、感染谱</w:t>
      </w:r>
    </w:p>
    <w:p w14:paraId="6CEF1E2B">
      <w:pPr>
        <w:rPr>
          <w:rFonts w:ascii="Arial"/>
          <w:sz w:val="21"/>
        </w:rPr>
      </w:pPr>
    </w:p>
    <w:p w14:paraId="2CC8CF33">
      <w:pPr>
        <w:spacing w:before="62" w:line="359" w:lineRule="auto"/>
        <w:ind w:left="679" w:right="59" w:firstLine="419"/>
        <w:jc w:val="both"/>
        <w:rPr>
          <w:rFonts w:ascii="宋体" w:hAnsi="宋体" w:eastAsia="宋体" w:cs="宋体"/>
          <w:sz w:val="19"/>
          <w:szCs w:val="19"/>
        </w:rPr>
      </w:pPr>
      <w:r>
        <w:rPr>
          <w:rFonts w:ascii="宋体" w:hAnsi="宋体" w:eastAsia="宋体" w:cs="宋体"/>
          <w:spacing w:val="15"/>
          <w:sz w:val="19"/>
          <w:szCs w:val="19"/>
        </w:rPr>
        <w:t>宿主暴露于病原体后，经过传染过程，可以产生不同的结局。传染过程的</w:t>
      </w:r>
      <w:r>
        <w:rPr>
          <w:rFonts w:ascii="宋体" w:hAnsi="宋体" w:eastAsia="宋体" w:cs="宋体"/>
          <w:spacing w:val="14"/>
          <w:sz w:val="19"/>
          <w:szCs w:val="19"/>
        </w:rPr>
        <w:t>结局可以通过感染谱</w:t>
      </w:r>
      <w:r>
        <w:rPr>
          <w:rFonts w:ascii="宋体" w:hAnsi="宋体" w:eastAsia="宋体" w:cs="宋体"/>
          <w:sz w:val="19"/>
          <w:szCs w:val="19"/>
        </w:rPr>
        <w:t xml:space="preserve">  </w:t>
      </w:r>
      <w:r>
        <w:rPr>
          <w:rFonts w:ascii="宋体" w:hAnsi="宋体" w:eastAsia="宋体" w:cs="宋体"/>
          <w:spacing w:val="12"/>
          <w:sz w:val="19"/>
          <w:szCs w:val="19"/>
        </w:rPr>
        <w:t>反映。感染谱</w:t>
      </w:r>
      <w:r>
        <w:rPr>
          <w:rFonts w:ascii="Times New Roman" w:hAnsi="Times New Roman" w:eastAsia="Times New Roman" w:cs="Times New Roman"/>
          <w:spacing w:val="12"/>
          <w:sz w:val="19"/>
          <w:szCs w:val="19"/>
        </w:rPr>
        <w:t>(</w:t>
      </w:r>
      <w:r>
        <w:rPr>
          <w:rFonts w:ascii="Times New Roman" w:hAnsi="Times New Roman" w:eastAsia="Times New Roman" w:cs="Times New Roman"/>
          <w:sz w:val="19"/>
          <w:szCs w:val="19"/>
        </w:rPr>
        <w:t>spectrum</w:t>
      </w:r>
      <w:r>
        <w:rPr>
          <w:rFonts w:ascii="Times New Roman" w:hAnsi="Times New Roman" w:eastAsia="Times New Roman" w:cs="Times New Roman"/>
          <w:spacing w:val="25"/>
          <w:w w:val="101"/>
          <w:sz w:val="19"/>
          <w:szCs w:val="19"/>
        </w:rPr>
        <w:t xml:space="preserve">  </w:t>
      </w:r>
      <w:r>
        <w:rPr>
          <w:rFonts w:ascii="Times New Roman" w:hAnsi="Times New Roman" w:eastAsia="Times New Roman" w:cs="Times New Roman"/>
          <w:sz w:val="19"/>
          <w:szCs w:val="19"/>
        </w:rPr>
        <w:t>of</w:t>
      </w:r>
      <w:r>
        <w:rPr>
          <w:rFonts w:ascii="Times New Roman" w:hAnsi="Times New Roman" w:eastAsia="Times New Roman" w:cs="Times New Roman"/>
          <w:spacing w:val="12"/>
          <w:sz w:val="19"/>
          <w:szCs w:val="19"/>
        </w:rPr>
        <w:t xml:space="preserve">  </w:t>
      </w:r>
      <w:r>
        <w:rPr>
          <w:rFonts w:ascii="Times New Roman" w:hAnsi="Times New Roman" w:eastAsia="Times New Roman" w:cs="Times New Roman"/>
          <w:sz w:val="19"/>
          <w:szCs w:val="19"/>
        </w:rPr>
        <w:t>infection</w:t>
      </w:r>
      <w:r>
        <w:rPr>
          <w:rFonts w:ascii="Times New Roman" w:hAnsi="Times New Roman" w:eastAsia="Times New Roman" w:cs="Times New Roman"/>
          <w:spacing w:val="12"/>
          <w:sz w:val="19"/>
          <w:szCs w:val="19"/>
        </w:rPr>
        <w:t>)</w:t>
      </w:r>
      <w:r>
        <w:rPr>
          <w:rFonts w:ascii="宋体" w:hAnsi="宋体" w:eastAsia="宋体" w:cs="宋体"/>
          <w:spacing w:val="12"/>
          <w:sz w:val="19"/>
          <w:szCs w:val="19"/>
        </w:rPr>
        <w:t>又称感染梯度</w:t>
      </w:r>
      <w:r>
        <w:rPr>
          <w:rFonts w:ascii="Times New Roman" w:hAnsi="Times New Roman" w:eastAsia="Times New Roman" w:cs="Times New Roman"/>
          <w:spacing w:val="12"/>
          <w:sz w:val="19"/>
          <w:szCs w:val="19"/>
        </w:rPr>
        <w:t>(</w:t>
      </w:r>
      <w:r>
        <w:rPr>
          <w:rFonts w:ascii="Times New Roman" w:hAnsi="Times New Roman" w:eastAsia="Times New Roman" w:cs="Times New Roman"/>
          <w:sz w:val="19"/>
          <w:szCs w:val="19"/>
        </w:rPr>
        <w:t>gradient</w:t>
      </w:r>
      <w:r>
        <w:rPr>
          <w:rFonts w:ascii="Times New Roman" w:hAnsi="Times New Roman" w:eastAsia="Times New Roman" w:cs="Times New Roman"/>
          <w:spacing w:val="12"/>
          <w:sz w:val="19"/>
          <w:szCs w:val="19"/>
        </w:rPr>
        <w:t xml:space="preserve">   </w:t>
      </w:r>
      <w:r>
        <w:rPr>
          <w:rFonts w:ascii="Times New Roman" w:hAnsi="Times New Roman" w:eastAsia="Times New Roman" w:cs="Times New Roman"/>
          <w:sz w:val="19"/>
          <w:szCs w:val="19"/>
        </w:rPr>
        <w:t>of</w:t>
      </w:r>
      <w:r>
        <w:rPr>
          <w:rFonts w:ascii="Times New Roman" w:hAnsi="Times New Roman" w:eastAsia="Times New Roman" w:cs="Times New Roman"/>
          <w:spacing w:val="12"/>
          <w:sz w:val="19"/>
          <w:szCs w:val="19"/>
        </w:rPr>
        <w:t xml:space="preserve">   </w:t>
      </w:r>
      <w:r>
        <w:rPr>
          <w:rFonts w:ascii="Times New Roman" w:hAnsi="Times New Roman" w:eastAsia="Times New Roman" w:cs="Times New Roman"/>
          <w:sz w:val="19"/>
          <w:szCs w:val="19"/>
        </w:rPr>
        <w:t>infection</w:t>
      </w:r>
      <w:r>
        <w:rPr>
          <w:rFonts w:ascii="Times New Roman" w:hAnsi="Times New Roman" w:eastAsia="Times New Roman" w:cs="Times New Roman"/>
          <w:spacing w:val="12"/>
          <w:sz w:val="19"/>
          <w:szCs w:val="19"/>
        </w:rPr>
        <w:t>),</w:t>
      </w:r>
      <w:r>
        <w:rPr>
          <w:rFonts w:ascii="宋体" w:hAnsi="宋体" w:eastAsia="宋体" w:cs="宋体"/>
          <w:spacing w:val="12"/>
          <w:sz w:val="19"/>
          <w:szCs w:val="19"/>
        </w:rPr>
        <w:t>是指机体感染病原体后，经</w:t>
      </w:r>
      <w:r>
        <w:rPr>
          <w:rFonts w:ascii="宋体" w:hAnsi="宋体" w:eastAsia="宋体" w:cs="宋体"/>
          <w:sz w:val="19"/>
          <w:szCs w:val="19"/>
        </w:rPr>
        <w:t xml:space="preserve">  </w:t>
      </w:r>
      <w:r>
        <w:rPr>
          <w:rFonts w:ascii="宋体" w:hAnsi="宋体" w:eastAsia="宋体" w:cs="宋体"/>
          <w:spacing w:val="20"/>
          <w:sz w:val="19"/>
          <w:szCs w:val="19"/>
        </w:rPr>
        <w:t>过传染过程所呈现出的各种临床表现的集合。病原体侵入机体后出现临床症状和体征的感染</w:t>
      </w:r>
      <w:r>
        <w:rPr>
          <w:rFonts w:ascii="宋体" w:hAnsi="宋体" w:eastAsia="宋体" w:cs="宋体"/>
          <w:spacing w:val="19"/>
          <w:sz w:val="19"/>
          <w:szCs w:val="19"/>
        </w:rPr>
        <w:t>称为</w:t>
      </w:r>
      <w:r>
        <w:rPr>
          <w:rFonts w:ascii="宋体" w:hAnsi="宋体" w:eastAsia="宋体" w:cs="宋体"/>
          <w:sz w:val="19"/>
          <w:szCs w:val="19"/>
        </w:rPr>
        <w:t xml:space="preserve">  </w:t>
      </w:r>
      <w:r>
        <w:rPr>
          <w:rFonts w:ascii="宋体" w:hAnsi="宋体" w:eastAsia="宋体" w:cs="宋体"/>
          <w:spacing w:val="12"/>
          <w:sz w:val="19"/>
          <w:szCs w:val="19"/>
        </w:rPr>
        <w:t>显性感染</w:t>
      </w:r>
      <w:r>
        <w:rPr>
          <w:rFonts w:ascii="Times New Roman" w:hAnsi="Times New Roman" w:eastAsia="Times New Roman" w:cs="Times New Roman"/>
          <w:spacing w:val="12"/>
          <w:sz w:val="19"/>
          <w:szCs w:val="19"/>
        </w:rPr>
        <w:t>(</w:t>
      </w:r>
      <w:r>
        <w:rPr>
          <w:rFonts w:ascii="Times New Roman" w:hAnsi="Times New Roman" w:eastAsia="Times New Roman" w:cs="Times New Roman"/>
          <w:sz w:val="19"/>
          <w:szCs w:val="19"/>
        </w:rPr>
        <w:t>overt</w:t>
      </w:r>
      <w:r>
        <w:rPr>
          <w:rFonts w:ascii="Times New Roman" w:hAnsi="Times New Roman" w:eastAsia="Times New Roman" w:cs="Times New Roman"/>
          <w:spacing w:val="12"/>
          <w:sz w:val="19"/>
          <w:szCs w:val="19"/>
        </w:rPr>
        <w:t xml:space="preserve">    </w:t>
      </w:r>
      <w:r>
        <w:rPr>
          <w:rFonts w:ascii="Times New Roman" w:hAnsi="Times New Roman" w:eastAsia="Times New Roman" w:cs="Times New Roman"/>
          <w:sz w:val="19"/>
          <w:szCs w:val="19"/>
        </w:rPr>
        <w:t>infection</w:t>
      </w:r>
      <w:r>
        <w:rPr>
          <w:rFonts w:ascii="Times New Roman" w:hAnsi="Times New Roman" w:eastAsia="Times New Roman" w:cs="Times New Roman"/>
          <w:spacing w:val="12"/>
          <w:sz w:val="19"/>
          <w:szCs w:val="19"/>
        </w:rPr>
        <w:t>),</w:t>
      </w:r>
      <w:r>
        <w:rPr>
          <w:rFonts w:ascii="宋体" w:hAnsi="宋体" w:eastAsia="宋体" w:cs="宋体"/>
          <w:spacing w:val="12"/>
          <w:sz w:val="19"/>
          <w:szCs w:val="19"/>
        </w:rPr>
        <w:t>又称临床感染</w:t>
      </w:r>
      <w:r>
        <w:rPr>
          <w:rFonts w:ascii="Times New Roman" w:hAnsi="Times New Roman" w:eastAsia="Times New Roman" w:cs="Times New Roman"/>
          <w:spacing w:val="12"/>
          <w:sz w:val="19"/>
          <w:szCs w:val="19"/>
        </w:rPr>
        <w:t>(</w:t>
      </w:r>
      <w:r>
        <w:rPr>
          <w:rFonts w:ascii="Times New Roman" w:hAnsi="Times New Roman" w:eastAsia="Times New Roman" w:cs="Times New Roman"/>
          <w:sz w:val="19"/>
          <w:szCs w:val="19"/>
        </w:rPr>
        <w:t>clinical</w:t>
      </w:r>
      <w:r>
        <w:rPr>
          <w:rFonts w:ascii="Times New Roman" w:hAnsi="Times New Roman" w:eastAsia="Times New Roman" w:cs="Times New Roman"/>
          <w:spacing w:val="12"/>
          <w:sz w:val="19"/>
          <w:szCs w:val="19"/>
        </w:rPr>
        <w:t xml:space="preserve">      </w:t>
      </w:r>
      <w:r>
        <w:rPr>
          <w:rFonts w:ascii="Times New Roman" w:hAnsi="Times New Roman" w:eastAsia="Times New Roman" w:cs="Times New Roman"/>
          <w:sz w:val="19"/>
          <w:szCs w:val="19"/>
        </w:rPr>
        <w:t>infection</w:t>
      </w:r>
      <w:r>
        <w:rPr>
          <w:rFonts w:ascii="Times New Roman" w:hAnsi="Times New Roman" w:eastAsia="Times New Roman" w:cs="Times New Roman"/>
          <w:spacing w:val="12"/>
          <w:sz w:val="19"/>
          <w:szCs w:val="19"/>
        </w:rPr>
        <w:t>)</w:t>
      </w:r>
      <w:r>
        <w:rPr>
          <w:rFonts w:ascii="宋体" w:hAnsi="宋体" w:eastAsia="宋体" w:cs="宋体"/>
          <w:spacing w:val="12"/>
          <w:sz w:val="19"/>
          <w:szCs w:val="19"/>
        </w:rPr>
        <w:t>。病原体侵入机体后不</w:t>
      </w:r>
      <w:r>
        <w:rPr>
          <w:rFonts w:ascii="宋体" w:hAnsi="宋体" w:eastAsia="宋体" w:cs="宋体"/>
          <w:spacing w:val="11"/>
          <w:sz w:val="19"/>
          <w:szCs w:val="19"/>
        </w:rPr>
        <w:t>引起症状或体征，</w:t>
      </w:r>
      <w:r>
        <w:rPr>
          <w:rFonts w:ascii="宋体" w:hAnsi="宋体" w:eastAsia="宋体" w:cs="宋体"/>
          <w:sz w:val="19"/>
          <w:szCs w:val="19"/>
        </w:rPr>
        <w:t xml:space="preserve"> </w:t>
      </w:r>
      <w:r>
        <w:rPr>
          <w:rFonts w:ascii="宋体" w:hAnsi="宋体" w:eastAsia="宋体" w:cs="宋体"/>
          <w:spacing w:val="11"/>
          <w:sz w:val="19"/>
          <w:szCs w:val="19"/>
        </w:rPr>
        <w:t>但可通过分离病原体、检测病原体核酸或特</w:t>
      </w:r>
      <w:r>
        <w:rPr>
          <w:rFonts w:ascii="宋体" w:hAnsi="宋体" w:eastAsia="宋体" w:cs="宋体"/>
          <w:spacing w:val="10"/>
          <w:sz w:val="19"/>
          <w:szCs w:val="19"/>
        </w:rPr>
        <w:t>异性抗体等发现的感染称为隐性感染(</w:t>
      </w:r>
      <w:r>
        <w:rPr>
          <w:rFonts w:ascii="宋体" w:hAnsi="宋体" w:eastAsia="宋体" w:cs="宋体"/>
          <w:sz w:val="19"/>
          <w:szCs w:val="19"/>
        </w:rPr>
        <w:t>covert</w:t>
      </w:r>
      <w:r>
        <w:rPr>
          <w:rFonts w:ascii="宋体" w:hAnsi="宋体" w:eastAsia="宋体" w:cs="宋体"/>
          <w:spacing w:val="10"/>
          <w:sz w:val="19"/>
          <w:szCs w:val="19"/>
        </w:rPr>
        <w:t xml:space="preserve"> </w:t>
      </w:r>
      <w:r>
        <w:rPr>
          <w:rFonts w:ascii="宋体" w:hAnsi="宋体" w:eastAsia="宋体" w:cs="宋体"/>
          <w:sz w:val="19"/>
          <w:szCs w:val="19"/>
        </w:rPr>
        <w:t>infection</w:t>
      </w:r>
      <w:r>
        <w:rPr>
          <w:rFonts w:ascii="宋体" w:hAnsi="宋体" w:eastAsia="宋体" w:cs="宋体"/>
          <w:spacing w:val="10"/>
          <w:sz w:val="19"/>
          <w:szCs w:val="19"/>
        </w:rPr>
        <w:t>),</w:t>
      </w:r>
      <w:r>
        <w:rPr>
          <w:rFonts w:ascii="宋体" w:hAnsi="宋体" w:eastAsia="宋体" w:cs="宋体"/>
          <w:sz w:val="19"/>
          <w:szCs w:val="19"/>
        </w:rPr>
        <w:t xml:space="preserve"> </w:t>
      </w:r>
      <w:r>
        <w:rPr>
          <w:rFonts w:ascii="宋体" w:hAnsi="宋体" w:eastAsia="宋体" w:cs="宋体"/>
          <w:spacing w:val="7"/>
          <w:sz w:val="19"/>
          <w:szCs w:val="19"/>
        </w:rPr>
        <w:t>又称亚临床感染</w:t>
      </w:r>
      <w:r>
        <w:rPr>
          <w:rFonts w:ascii="Times New Roman" w:hAnsi="Times New Roman" w:eastAsia="Times New Roman" w:cs="Times New Roman"/>
          <w:spacing w:val="7"/>
          <w:sz w:val="19"/>
          <w:szCs w:val="19"/>
        </w:rPr>
        <w:t>(</w:t>
      </w:r>
      <w:r>
        <w:rPr>
          <w:rFonts w:ascii="Times New Roman" w:hAnsi="Times New Roman" w:eastAsia="Times New Roman" w:cs="Times New Roman"/>
          <w:sz w:val="19"/>
          <w:szCs w:val="19"/>
        </w:rPr>
        <w:t>subclinical</w:t>
      </w:r>
      <w:r>
        <w:rPr>
          <w:rFonts w:ascii="Times New Roman" w:hAnsi="Times New Roman" w:eastAsia="Times New Roman" w:cs="Times New Roman"/>
          <w:spacing w:val="7"/>
          <w:sz w:val="19"/>
          <w:szCs w:val="19"/>
        </w:rPr>
        <w:t xml:space="preserve">       </w:t>
      </w:r>
      <w:r>
        <w:rPr>
          <w:rFonts w:ascii="Times New Roman" w:hAnsi="Times New Roman" w:eastAsia="Times New Roman" w:cs="Times New Roman"/>
          <w:sz w:val="19"/>
          <w:szCs w:val="19"/>
        </w:rPr>
        <w:t>infection</w:t>
      </w:r>
      <w:r>
        <w:rPr>
          <w:rFonts w:ascii="Times New Roman" w:hAnsi="Times New Roman" w:eastAsia="Times New Roman" w:cs="Times New Roman"/>
          <w:spacing w:val="7"/>
          <w:sz w:val="19"/>
          <w:szCs w:val="19"/>
        </w:rPr>
        <w:t>)</w:t>
      </w:r>
      <w:r>
        <w:rPr>
          <w:rFonts w:ascii="宋体" w:hAnsi="宋体" w:eastAsia="宋体" w:cs="宋体"/>
          <w:spacing w:val="7"/>
          <w:sz w:val="19"/>
          <w:szCs w:val="19"/>
        </w:rPr>
        <w:t>、无症状感染</w:t>
      </w:r>
      <w:r>
        <w:rPr>
          <w:rFonts w:ascii="Times New Roman" w:hAnsi="Times New Roman" w:eastAsia="Times New Roman" w:cs="Times New Roman"/>
          <w:spacing w:val="7"/>
          <w:sz w:val="19"/>
          <w:szCs w:val="19"/>
        </w:rPr>
        <w:t>(</w:t>
      </w:r>
      <w:r>
        <w:rPr>
          <w:rFonts w:ascii="Times New Roman" w:hAnsi="Times New Roman" w:eastAsia="Times New Roman" w:cs="Times New Roman"/>
          <w:sz w:val="19"/>
          <w:szCs w:val="19"/>
        </w:rPr>
        <w:t>asymptomatic</w:t>
      </w:r>
      <w:r>
        <w:rPr>
          <w:rFonts w:ascii="Times New Roman" w:hAnsi="Times New Roman" w:eastAsia="Times New Roman" w:cs="Times New Roman"/>
          <w:spacing w:val="7"/>
          <w:sz w:val="19"/>
          <w:szCs w:val="19"/>
        </w:rPr>
        <w:t xml:space="preserve">       </w:t>
      </w:r>
      <w:r>
        <w:rPr>
          <w:rFonts w:ascii="Times New Roman" w:hAnsi="Times New Roman" w:eastAsia="Times New Roman" w:cs="Times New Roman"/>
          <w:sz w:val="19"/>
          <w:szCs w:val="19"/>
        </w:rPr>
        <w:t>infection</w:t>
      </w:r>
      <w:r>
        <w:rPr>
          <w:rFonts w:ascii="Times New Roman" w:hAnsi="Times New Roman" w:eastAsia="Times New Roman" w:cs="Times New Roman"/>
          <w:spacing w:val="7"/>
          <w:sz w:val="19"/>
          <w:szCs w:val="19"/>
        </w:rPr>
        <w:t>)</w:t>
      </w:r>
      <w:r>
        <w:rPr>
          <w:rFonts w:ascii="宋体" w:hAnsi="宋体" w:eastAsia="宋体" w:cs="宋体"/>
          <w:spacing w:val="7"/>
          <w:sz w:val="19"/>
          <w:szCs w:val="19"/>
        </w:rPr>
        <w:t>。不同病原体所致疾病</w:t>
      </w:r>
      <w:r>
        <w:rPr>
          <w:rFonts w:ascii="宋体" w:hAnsi="宋体" w:eastAsia="宋体" w:cs="宋体"/>
          <w:spacing w:val="3"/>
          <w:sz w:val="19"/>
          <w:szCs w:val="19"/>
        </w:rPr>
        <w:t xml:space="preserve">  </w:t>
      </w:r>
      <w:r>
        <w:rPr>
          <w:rFonts w:ascii="宋体" w:hAnsi="宋体" w:eastAsia="宋体" w:cs="宋体"/>
          <w:spacing w:val="20"/>
          <w:sz w:val="19"/>
          <w:szCs w:val="19"/>
        </w:rPr>
        <w:t>的显性与隐性感染的比例不同，宿主的抵抗力和免疫力可以影响疾病的严重程度。了解感染</w:t>
      </w:r>
      <w:r>
        <w:rPr>
          <w:rFonts w:ascii="宋体" w:hAnsi="宋体" w:eastAsia="宋体" w:cs="宋体"/>
          <w:spacing w:val="19"/>
          <w:sz w:val="19"/>
          <w:szCs w:val="19"/>
        </w:rPr>
        <w:t>谱有</w:t>
      </w:r>
      <w:r>
        <w:rPr>
          <w:rFonts w:ascii="宋体" w:hAnsi="宋体" w:eastAsia="宋体" w:cs="宋体"/>
          <w:sz w:val="19"/>
          <w:szCs w:val="19"/>
        </w:rPr>
        <w:t xml:space="preserve">  </w:t>
      </w:r>
      <w:r>
        <w:rPr>
          <w:rFonts w:ascii="宋体" w:hAnsi="宋体" w:eastAsia="宋体" w:cs="宋体"/>
          <w:spacing w:val="20"/>
          <w:sz w:val="19"/>
          <w:szCs w:val="19"/>
        </w:rPr>
        <w:t>助于制定相应的防治对策与措施。隔离病人对以隐性感染为主的传染病的作用甚微，而对以显性</w:t>
      </w:r>
      <w:r>
        <w:rPr>
          <w:rFonts w:ascii="宋体" w:hAnsi="宋体" w:eastAsia="宋体" w:cs="宋体"/>
          <w:spacing w:val="16"/>
          <w:sz w:val="19"/>
          <w:szCs w:val="19"/>
        </w:rPr>
        <w:t xml:space="preserve"> </w:t>
      </w:r>
      <w:r>
        <w:rPr>
          <w:rFonts w:ascii="宋体" w:hAnsi="宋体" w:eastAsia="宋体" w:cs="宋体"/>
          <w:spacing w:val="13"/>
          <w:sz w:val="19"/>
          <w:szCs w:val="19"/>
        </w:rPr>
        <w:t>感染为主的传染病则较为有效。</w:t>
      </w:r>
    </w:p>
    <w:p w14:paraId="51D9C289">
      <w:pPr>
        <w:spacing w:line="265" w:lineRule="auto"/>
        <w:rPr>
          <w:rFonts w:ascii="Arial"/>
          <w:sz w:val="21"/>
        </w:rPr>
      </w:pPr>
    </w:p>
    <w:p w14:paraId="6FF60D84">
      <w:pPr>
        <w:pStyle w:val="2"/>
        <w:spacing w:before="98" w:line="221" w:lineRule="auto"/>
        <w:ind w:left="3924"/>
        <w:outlineLvl w:val="2"/>
      </w:pPr>
      <w:bookmarkStart w:id="310" w:name="bookmark197"/>
      <w:bookmarkEnd w:id="310"/>
      <w:r>
        <w:rPr>
          <w:b/>
          <w:bCs/>
          <w:spacing w:val="-7"/>
        </w:rPr>
        <w:t>第三节</w:t>
      </w:r>
      <w:r>
        <w:rPr>
          <w:spacing w:val="134"/>
        </w:rPr>
        <w:t xml:space="preserve"> </w:t>
      </w:r>
      <w:r>
        <w:rPr>
          <w:b/>
          <w:bCs/>
          <w:spacing w:val="-7"/>
        </w:rPr>
        <w:t>流行过程</w:t>
      </w:r>
    </w:p>
    <w:p w14:paraId="62A10492">
      <w:pPr>
        <w:spacing w:line="360" w:lineRule="auto"/>
        <w:rPr>
          <w:rFonts w:ascii="Arial"/>
          <w:sz w:val="21"/>
        </w:rPr>
      </w:pPr>
    </w:p>
    <w:p w14:paraId="4A55C019">
      <w:pPr>
        <w:spacing w:before="62" w:line="364" w:lineRule="auto"/>
        <w:ind w:left="679" w:right="40" w:firstLine="419"/>
        <w:jc w:val="both"/>
        <w:rPr>
          <w:rFonts w:ascii="宋体" w:hAnsi="宋体" w:eastAsia="宋体" w:cs="宋体"/>
          <w:sz w:val="19"/>
          <w:szCs w:val="19"/>
        </w:rPr>
      </w:pPr>
      <w:r>
        <w:rPr>
          <w:rFonts w:ascii="宋体" w:hAnsi="宋体" w:eastAsia="宋体" w:cs="宋体"/>
          <w:spacing w:val="15"/>
          <w:sz w:val="19"/>
          <w:szCs w:val="19"/>
        </w:rPr>
        <w:t>流行过程</w:t>
      </w:r>
      <w:r>
        <w:rPr>
          <w:rFonts w:ascii="Times New Roman" w:hAnsi="Times New Roman" w:eastAsia="Times New Roman" w:cs="Times New Roman"/>
          <w:spacing w:val="15"/>
          <w:sz w:val="19"/>
          <w:szCs w:val="19"/>
        </w:rPr>
        <w:t>(</w:t>
      </w:r>
      <w:r>
        <w:rPr>
          <w:rFonts w:ascii="Times New Roman" w:hAnsi="Times New Roman" w:eastAsia="Times New Roman" w:cs="Times New Roman"/>
          <w:sz w:val="19"/>
          <w:szCs w:val="19"/>
        </w:rPr>
        <w:t>epidemic</w:t>
      </w:r>
      <w:r>
        <w:rPr>
          <w:rFonts w:ascii="Times New Roman" w:hAnsi="Times New Roman" w:eastAsia="Times New Roman" w:cs="Times New Roman"/>
          <w:spacing w:val="15"/>
          <w:sz w:val="19"/>
          <w:szCs w:val="19"/>
        </w:rPr>
        <w:t xml:space="preserve">     </w:t>
      </w:r>
      <w:r>
        <w:rPr>
          <w:rFonts w:ascii="Times New Roman" w:hAnsi="Times New Roman" w:eastAsia="Times New Roman" w:cs="Times New Roman"/>
          <w:sz w:val="19"/>
          <w:szCs w:val="19"/>
        </w:rPr>
        <w:t>process</w:t>
      </w:r>
      <w:r>
        <w:rPr>
          <w:rFonts w:ascii="Times New Roman" w:hAnsi="Times New Roman" w:eastAsia="Times New Roman" w:cs="Times New Roman"/>
          <w:spacing w:val="15"/>
          <w:sz w:val="19"/>
          <w:szCs w:val="19"/>
        </w:rPr>
        <w:t>)</w:t>
      </w:r>
      <w:r>
        <w:rPr>
          <w:rFonts w:ascii="宋体" w:hAnsi="宋体" w:eastAsia="宋体" w:cs="宋体"/>
          <w:spacing w:val="15"/>
          <w:sz w:val="19"/>
          <w:szCs w:val="19"/>
        </w:rPr>
        <w:t>是指病原体从传染源排出，经过一定的传播途径侵人易感者机体，</w:t>
      </w:r>
      <w:r>
        <w:rPr>
          <w:rFonts w:ascii="宋体" w:hAnsi="宋体" w:eastAsia="宋体" w:cs="宋体"/>
          <w:spacing w:val="3"/>
          <w:sz w:val="19"/>
          <w:szCs w:val="19"/>
        </w:rPr>
        <w:t xml:space="preserve"> </w:t>
      </w:r>
      <w:r>
        <w:rPr>
          <w:rFonts w:ascii="宋体" w:hAnsi="宋体" w:eastAsia="宋体" w:cs="宋体"/>
          <w:spacing w:val="16"/>
          <w:sz w:val="19"/>
          <w:szCs w:val="19"/>
        </w:rPr>
        <w:t>形成新的感染并不断发生、发展的过程。传染</w:t>
      </w:r>
      <w:r>
        <w:rPr>
          <w:rFonts w:ascii="宋体" w:hAnsi="宋体" w:eastAsia="宋体" w:cs="宋体"/>
          <w:spacing w:val="15"/>
          <w:sz w:val="19"/>
          <w:szCs w:val="19"/>
        </w:rPr>
        <w:t>过程描述的是传染病在个体体内的过程，而流行过程</w:t>
      </w:r>
      <w:r>
        <w:rPr>
          <w:rFonts w:ascii="宋体" w:hAnsi="宋体" w:eastAsia="宋体" w:cs="宋体"/>
          <w:sz w:val="19"/>
          <w:szCs w:val="19"/>
        </w:rPr>
        <w:t xml:space="preserve">  </w:t>
      </w:r>
      <w:r>
        <w:rPr>
          <w:rFonts w:ascii="宋体" w:hAnsi="宋体" w:eastAsia="宋体" w:cs="宋体"/>
          <w:spacing w:val="17"/>
          <w:sz w:val="19"/>
          <w:szCs w:val="19"/>
        </w:rPr>
        <w:t>则描述传染病在人群中的群体现象。流行过程需具备传染源、传播途径和易感人群三个基本环节，</w:t>
      </w:r>
      <w:r>
        <w:rPr>
          <w:rFonts w:ascii="宋体" w:hAnsi="宋体" w:eastAsia="宋体" w:cs="宋体"/>
          <w:spacing w:val="3"/>
          <w:sz w:val="19"/>
          <w:szCs w:val="19"/>
        </w:rPr>
        <w:t xml:space="preserve"> </w:t>
      </w:r>
      <w:r>
        <w:rPr>
          <w:rFonts w:ascii="宋体" w:hAnsi="宋体" w:eastAsia="宋体" w:cs="宋体"/>
          <w:spacing w:val="18"/>
          <w:sz w:val="19"/>
          <w:szCs w:val="19"/>
        </w:rPr>
        <w:t>三者相互依赖，共同影响传染病的流行。缺少任何</w:t>
      </w:r>
      <w:r>
        <w:rPr>
          <w:rFonts w:ascii="宋体" w:hAnsi="宋体" w:eastAsia="宋体" w:cs="宋体"/>
          <w:spacing w:val="17"/>
          <w:sz w:val="19"/>
          <w:szCs w:val="19"/>
        </w:rPr>
        <w:t>一个环节，传染病就不能在人群中传播和流行。</w:t>
      </w:r>
      <w:r>
        <w:rPr>
          <w:rFonts w:ascii="宋体" w:hAnsi="宋体" w:eastAsia="宋体" w:cs="宋体"/>
          <w:sz w:val="19"/>
          <w:szCs w:val="19"/>
        </w:rPr>
        <w:t xml:space="preserve"> </w:t>
      </w:r>
      <w:r>
        <w:rPr>
          <w:rFonts w:ascii="宋体" w:hAnsi="宋体" w:eastAsia="宋体" w:cs="宋体"/>
          <w:spacing w:val="14"/>
          <w:sz w:val="19"/>
          <w:szCs w:val="19"/>
        </w:rPr>
        <w:t>此外，传染病的流行强度还受到自然因素和社会因素</w:t>
      </w:r>
      <w:r>
        <w:rPr>
          <w:rFonts w:ascii="宋体" w:hAnsi="宋体" w:eastAsia="宋体" w:cs="宋体"/>
          <w:spacing w:val="13"/>
          <w:sz w:val="19"/>
          <w:szCs w:val="19"/>
        </w:rPr>
        <w:t>的影响。</w:t>
      </w:r>
    </w:p>
    <w:p w14:paraId="249204D5">
      <w:pPr>
        <w:pStyle w:val="2"/>
        <w:spacing w:before="185" w:line="223" w:lineRule="auto"/>
        <w:ind w:left="1103"/>
        <w:outlineLvl w:val="4"/>
        <w:rPr>
          <w:sz w:val="24"/>
          <w:szCs w:val="24"/>
        </w:rPr>
      </w:pPr>
      <w:bookmarkStart w:id="311" w:name="bookmark198"/>
      <w:bookmarkEnd w:id="311"/>
      <w:r>
        <w:rPr>
          <w:b/>
          <w:bCs/>
          <w:spacing w:val="-7"/>
          <w:sz w:val="24"/>
          <w:szCs w:val="24"/>
        </w:rPr>
        <w:t>一</w:t>
      </w:r>
      <w:r>
        <w:rPr>
          <w:spacing w:val="-37"/>
          <w:sz w:val="24"/>
          <w:szCs w:val="24"/>
        </w:rPr>
        <w:t xml:space="preserve"> </w:t>
      </w:r>
      <w:r>
        <w:rPr>
          <w:b/>
          <w:bCs/>
          <w:spacing w:val="-7"/>
          <w:sz w:val="24"/>
          <w:szCs w:val="24"/>
        </w:rPr>
        <w:t>、基本环节</w:t>
      </w:r>
    </w:p>
    <w:p w14:paraId="08C3A2EF">
      <w:pPr>
        <w:pStyle w:val="2"/>
        <w:spacing w:before="241" w:line="221" w:lineRule="auto"/>
        <w:ind w:left="1099"/>
        <w:rPr>
          <w:sz w:val="24"/>
          <w:szCs w:val="24"/>
        </w:rPr>
      </w:pPr>
      <w:r>
        <w:rPr>
          <w:spacing w:val="1"/>
          <w:sz w:val="24"/>
          <w:szCs w:val="24"/>
        </w:rPr>
        <w:t>(一)传染源</w:t>
      </w:r>
    </w:p>
    <w:p w14:paraId="77DCDC24">
      <w:pPr>
        <w:spacing w:before="132" w:line="343" w:lineRule="auto"/>
        <w:ind w:left="679" w:right="84" w:firstLine="419"/>
        <w:rPr>
          <w:rFonts w:ascii="宋体" w:hAnsi="宋体" w:eastAsia="宋体" w:cs="宋体"/>
          <w:sz w:val="19"/>
          <w:szCs w:val="19"/>
        </w:rPr>
      </w:pPr>
      <w:r>
        <w:rPr>
          <w:rFonts w:ascii="宋体" w:hAnsi="宋体" w:eastAsia="宋体" w:cs="宋体"/>
          <w:spacing w:val="11"/>
          <w:sz w:val="19"/>
          <w:szCs w:val="19"/>
        </w:rPr>
        <w:t>传染源</w:t>
      </w:r>
      <w:r>
        <w:rPr>
          <w:rFonts w:ascii="Times New Roman" w:hAnsi="Times New Roman" w:eastAsia="Times New Roman" w:cs="Times New Roman"/>
          <w:spacing w:val="11"/>
          <w:sz w:val="19"/>
          <w:szCs w:val="19"/>
        </w:rPr>
        <w:t>(</w:t>
      </w:r>
      <w:r>
        <w:rPr>
          <w:rFonts w:ascii="Times New Roman" w:hAnsi="Times New Roman" w:eastAsia="Times New Roman" w:cs="Times New Roman"/>
          <w:sz w:val="19"/>
          <w:szCs w:val="19"/>
        </w:rPr>
        <w:t>source</w:t>
      </w:r>
      <w:r>
        <w:rPr>
          <w:rFonts w:ascii="Times New Roman" w:hAnsi="Times New Roman" w:eastAsia="Times New Roman" w:cs="Times New Roman"/>
          <w:spacing w:val="11"/>
          <w:sz w:val="19"/>
          <w:szCs w:val="19"/>
        </w:rPr>
        <w:t xml:space="preserve">   </w:t>
      </w:r>
      <w:r>
        <w:rPr>
          <w:rFonts w:ascii="Times New Roman" w:hAnsi="Times New Roman" w:eastAsia="Times New Roman" w:cs="Times New Roman"/>
          <w:sz w:val="19"/>
          <w:szCs w:val="19"/>
        </w:rPr>
        <w:t>of</w:t>
      </w:r>
      <w:r>
        <w:rPr>
          <w:rFonts w:ascii="Times New Roman" w:hAnsi="Times New Roman" w:eastAsia="Times New Roman" w:cs="Times New Roman"/>
          <w:spacing w:val="11"/>
          <w:sz w:val="19"/>
          <w:szCs w:val="19"/>
        </w:rPr>
        <w:t xml:space="preserve">   </w:t>
      </w:r>
      <w:r>
        <w:rPr>
          <w:rFonts w:ascii="Times New Roman" w:hAnsi="Times New Roman" w:eastAsia="Times New Roman" w:cs="Times New Roman"/>
          <w:sz w:val="19"/>
          <w:szCs w:val="19"/>
        </w:rPr>
        <w:t>infection</w:t>
      </w:r>
      <w:r>
        <w:rPr>
          <w:rFonts w:ascii="Times New Roman" w:hAnsi="Times New Roman" w:eastAsia="Times New Roman" w:cs="Times New Roman"/>
          <w:spacing w:val="11"/>
          <w:sz w:val="19"/>
          <w:szCs w:val="19"/>
        </w:rPr>
        <w:t>)</w:t>
      </w:r>
      <w:r>
        <w:rPr>
          <w:rFonts w:ascii="宋体" w:hAnsi="宋体" w:eastAsia="宋体" w:cs="宋体"/>
          <w:spacing w:val="11"/>
          <w:sz w:val="19"/>
          <w:szCs w:val="19"/>
        </w:rPr>
        <w:t>是指体内有病原体生长、繁殖，并能排出病原体的人和动物，</w:t>
      </w:r>
      <w:r>
        <w:rPr>
          <w:rFonts w:ascii="宋体" w:hAnsi="宋体" w:eastAsia="宋体" w:cs="宋体"/>
          <w:spacing w:val="10"/>
          <w:sz w:val="19"/>
          <w:szCs w:val="19"/>
        </w:rPr>
        <w:t>包括传</w:t>
      </w:r>
      <w:r>
        <w:rPr>
          <w:rFonts w:ascii="宋体" w:hAnsi="宋体" w:eastAsia="宋体" w:cs="宋体"/>
          <w:sz w:val="19"/>
          <w:szCs w:val="19"/>
        </w:rPr>
        <w:t xml:space="preserve"> </w:t>
      </w:r>
      <w:r>
        <w:rPr>
          <w:rFonts w:ascii="宋体" w:hAnsi="宋体" w:eastAsia="宋体" w:cs="宋体"/>
          <w:spacing w:val="12"/>
          <w:sz w:val="19"/>
          <w:szCs w:val="19"/>
        </w:rPr>
        <w:t>染病病人、病原携带者和受感染的动物，是引起新感染的病原体源头。</w:t>
      </w:r>
    </w:p>
    <w:p w14:paraId="4E10657F">
      <w:pPr>
        <w:pStyle w:val="2"/>
        <w:spacing w:before="63" w:line="340" w:lineRule="auto"/>
        <w:ind w:left="679" w:right="139" w:firstLine="419"/>
        <w:rPr>
          <w:rFonts w:ascii="宋体" w:hAnsi="宋体" w:eastAsia="宋体" w:cs="宋体"/>
          <w:sz w:val="19"/>
          <w:szCs w:val="19"/>
        </w:rPr>
      </w:pPr>
      <w:r>
        <w:rPr>
          <w:rFonts w:ascii="宋体" w:hAnsi="宋体" w:eastAsia="宋体" w:cs="宋体"/>
          <w:spacing w:val="10"/>
          <w:sz w:val="19"/>
          <w:szCs w:val="19"/>
        </w:rPr>
        <w:t xml:space="preserve">1. </w:t>
      </w:r>
      <w:r>
        <w:rPr>
          <w:spacing w:val="10"/>
          <w:sz w:val="19"/>
          <w:szCs w:val="19"/>
        </w:rPr>
        <w:t>病 人</w:t>
      </w:r>
      <w:r>
        <w:rPr>
          <w:spacing w:val="89"/>
          <w:sz w:val="19"/>
          <w:szCs w:val="19"/>
        </w:rPr>
        <w:t xml:space="preserve"> </w:t>
      </w:r>
      <w:r>
        <w:rPr>
          <w:rFonts w:ascii="宋体" w:hAnsi="宋体" w:eastAsia="宋体" w:cs="宋体"/>
          <w:spacing w:val="10"/>
          <w:sz w:val="19"/>
          <w:szCs w:val="19"/>
        </w:rPr>
        <w:t>病人在疾病进程中的某个阶段，其体内会存在大量病原体，且某些症状如咳嗽、腹泻</w:t>
      </w:r>
      <w:r>
        <w:rPr>
          <w:rFonts w:ascii="宋体" w:hAnsi="宋体" w:eastAsia="宋体" w:cs="宋体"/>
          <w:sz w:val="19"/>
          <w:szCs w:val="19"/>
        </w:rPr>
        <w:t xml:space="preserve"> </w:t>
      </w:r>
      <w:r>
        <w:rPr>
          <w:rFonts w:ascii="宋体" w:hAnsi="宋体" w:eastAsia="宋体" w:cs="宋体"/>
          <w:spacing w:val="14"/>
          <w:sz w:val="19"/>
          <w:szCs w:val="19"/>
        </w:rPr>
        <w:t>等又有利于病原体排出，此时病人成为最重要的传染源。</w:t>
      </w:r>
    </w:p>
    <w:p w14:paraId="0F5CE54A">
      <w:pPr>
        <w:spacing w:before="19" w:line="366" w:lineRule="auto"/>
        <w:ind w:left="679" w:right="39" w:firstLine="419"/>
        <w:jc w:val="both"/>
        <w:rPr>
          <w:rFonts w:ascii="宋体" w:hAnsi="宋体" w:eastAsia="宋体" w:cs="宋体"/>
          <w:sz w:val="19"/>
          <w:szCs w:val="19"/>
        </w:rPr>
      </w:pPr>
      <w:r>
        <w:rPr>
          <w:rFonts w:ascii="宋体" w:hAnsi="宋体" w:eastAsia="宋体" w:cs="宋体"/>
          <w:spacing w:val="13"/>
          <w:sz w:val="19"/>
          <w:szCs w:val="19"/>
        </w:rPr>
        <w:t>(</w:t>
      </w:r>
      <w:r>
        <w:rPr>
          <w:rFonts w:ascii="宋体" w:hAnsi="宋体" w:eastAsia="宋体" w:cs="宋体"/>
          <w:spacing w:val="-20"/>
          <w:sz w:val="19"/>
          <w:szCs w:val="19"/>
        </w:rPr>
        <w:t xml:space="preserve"> </w:t>
      </w:r>
      <w:r>
        <w:rPr>
          <w:rFonts w:ascii="宋体" w:hAnsi="宋体" w:eastAsia="宋体" w:cs="宋体"/>
          <w:spacing w:val="13"/>
          <w:sz w:val="19"/>
          <w:szCs w:val="19"/>
        </w:rPr>
        <w:t>1</w:t>
      </w:r>
      <w:r>
        <w:rPr>
          <w:rFonts w:ascii="宋体" w:hAnsi="宋体" w:eastAsia="宋体" w:cs="宋体"/>
          <w:spacing w:val="-33"/>
          <w:sz w:val="19"/>
          <w:szCs w:val="19"/>
        </w:rPr>
        <w:t xml:space="preserve"> </w:t>
      </w:r>
      <w:r>
        <w:rPr>
          <w:rFonts w:ascii="宋体" w:hAnsi="宋体" w:eastAsia="宋体" w:cs="宋体"/>
          <w:spacing w:val="13"/>
          <w:sz w:val="19"/>
          <w:szCs w:val="19"/>
        </w:rPr>
        <w:t>)</w:t>
      </w:r>
      <w:r>
        <w:rPr>
          <w:rFonts w:ascii="宋体" w:hAnsi="宋体" w:eastAsia="宋体" w:cs="宋体"/>
          <w:spacing w:val="-35"/>
          <w:sz w:val="19"/>
          <w:szCs w:val="19"/>
        </w:rPr>
        <w:t xml:space="preserve"> </w:t>
      </w:r>
      <w:r>
        <w:rPr>
          <w:rFonts w:ascii="宋体" w:hAnsi="宋体" w:eastAsia="宋体" w:cs="宋体"/>
          <w:spacing w:val="13"/>
          <w:sz w:val="19"/>
          <w:szCs w:val="19"/>
        </w:rPr>
        <w:t>潜</w:t>
      </w:r>
      <w:r>
        <w:rPr>
          <w:rFonts w:ascii="宋体" w:hAnsi="宋体" w:eastAsia="宋体" w:cs="宋体"/>
          <w:spacing w:val="-34"/>
          <w:sz w:val="19"/>
          <w:szCs w:val="19"/>
        </w:rPr>
        <w:t xml:space="preserve"> </w:t>
      </w:r>
      <w:r>
        <w:rPr>
          <w:rFonts w:ascii="宋体" w:hAnsi="宋体" w:eastAsia="宋体" w:cs="宋体"/>
          <w:spacing w:val="13"/>
          <w:sz w:val="19"/>
          <w:szCs w:val="19"/>
        </w:rPr>
        <w:t>伏</w:t>
      </w:r>
      <w:r>
        <w:rPr>
          <w:rFonts w:ascii="宋体" w:hAnsi="宋体" w:eastAsia="宋体" w:cs="宋体"/>
          <w:spacing w:val="-32"/>
          <w:sz w:val="19"/>
          <w:szCs w:val="19"/>
        </w:rPr>
        <w:t xml:space="preserve"> </w:t>
      </w:r>
      <w:r>
        <w:rPr>
          <w:rFonts w:ascii="宋体" w:hAnsi="宋体" w:eastAsia="宋体" w:cs="宋体"/>
          <w:spacing w:val="13"/>
          <w:sz w:val="19"/>
          <w:szCs w:val="19"/>
        </w:rPr>
        <w:t>期</w:t>
      </w:r>
      <w:r>
        <w:rPr>
          <w:rFonts w:ascii="Times New Roman" w:hAnsi="Times New Roman" w:eastAsia="Times New Roman" w:cs="Times New Roman"/>
          <w:spacing w:val="13"/>
          <w:sz w:val="19"/>
          <w:szCs w:val="19"/>
        </w:rPr>
        <w:t>(</w:t>
      </w:r>
      <w:r>
        <w:rPr>
          <w:rFonts w:ascii="Times New Roman" w:hAnsi="Times New Roman" w:eastAsia="Times New Roman" w:cs="Times New Roman"/>
          <w:sz w:val="19"/>
          <w:szCs w:val="19"/>
        </w:rPr>
        <w:t>incubation</w:t>
      </w:r>
      <w:r>
        <w:rPr>
          <w:rFonts w:ascii="Times New Roman" w:hAnsi="Times New Roman" w:eastAsia="Times New Roman" w:cs="Times New Roman"/>
          <w:spacing w:val="13"/>
          <w:sz w:val="19"/>
          <w:szCs w:val="19"/>
        </w:rPr>
        <w:t xml:space="preserve">       </w:t>
      </w:r>
      <w:r>
        <w:rPr>
          <w:rFonts w:ascii="Times New Roman" w:hAnsi="Times New Roman" w:eastAsia="Times New Roman" w:cs="Times New Roman"/>
          <w:sz w:val="19"/>
          <w:szCs w:val="19"/>
        </w:rPr>
        <w:t>period</w:t>
      </w:r>
      <w:r>
        <w:rPr>
          <w:rFonts w:ascii="Times New Roman" w:hAnsi="Times New Roman" w:eastAsia="Times New Roman" w:cs="Times New Roman"/>
          <w:spacing w:val="13"/>
          <w:sz w:val="19"/>
          <w:szCs w:val="19"/>
        </w:rPr>
        <w:t>):</w:t>
      </w:r>
      <w:r>
        <w:rPr>
          <w:rFonts w:ascii="宋体" w:hAnsi="宋体" w:eastAsia="宋体" w:cs="宋体"/>
          <w:spacing w:val="13"/>
          <w:sz w:val="19"/>
          <w:szCs w:val="19"/>
        </w:rPr>
        <w:t>是指从病原体侵人机体到最早出现临床症状或体征的一</w:t>
      </w:r>
      <w:r>
        <w:rPr>
          <w:rFonts w:ascii="宋体" w:hAnsi="宋体" w:eastAsia="宋体" w:cs="宋体"/>
          <w:spacing w:val="12"/>
          <w:sz w:val="19"/>
          <w:szCs w:val="19"/>
        </w:rPr>
        <w:t>段时</w:t>
      </w:r>
      <w:r>
        <w:rPr>
          <w:rFonts w:ascii="宋体" w:hAnsi="宋体" w:eastAsia="宋体" w:cs="宋体"/>
          <w:sz w:val="19"/>
          <w:szCs w:val="19"/>
        </w:rPr>
        <w:t xml:space="preserve"> </w:t>
      </w:r>
      <w:r>
        <w:rPr>
          <w:rFonts w:ascii="宋体" w:hAnsi="宋体" w:eastAsia="宋体" w:cs="宋体"/>
          <w:spacing w:val="18"/>
          <w:sz w:val="19"/>
          <w:szCs w:val="19"/>
        </w:rPr>
        <w:t>间。不同传染病的潜伏期长短不等，短者只有数小时</w:t>
      </w:r>
      <w:r>
        <w:rPr>
          <w:rFonts w:ascii="宋体" w:hAnsi="宋体" w:eastAsia="宋体" w:cs="宋体"/>
          <w:spacing w:val="17"/>
          <w:sz w:val="19"/>
          <w:szCs w:val="19"/>
        </w:rPr>
        <w:t>，如细菌性痢疾；长者可达数年甚至数十年，</w:t>
      </w:r>
      <w:r>
        <w:rPr>
          <w:rFonts w:ascii="宋体" w:hAnsi="宋体" w:eastAsia="宋体" w:cs="宋体"/>
          <w:sz w:val="19"/>
          <w:szCs w:val="19"/>
        </w:rPr>
        <w:t xml:space="preserve"> </w:t>
      </w:r>
      <w:r>
        <w:rPr>
          <w:rFonts w:ascii="宋体" w:hAnsi="宋体" w:eastAsia="宋体" w:cs="宋体"/>
          <w:spacing w:val="13"/>
          <w:sz w:val="19"/>
          <w:szCs w:val="19"/>
        </w:rPr>
        <w:t>如艾滋病。同一种传染病的潜伏期长短相对稳定，主要与进入机体的病原体数量</w:t>
      </w:r>
      <w:r>
        <w:rPr>
          <w:rFonts w:ascii="宋体" w:hAnsi="宋体" w:eastAsia="宋体" w:cs="宋体"/>
          <w:spacing w:val="12"/>
          <w:sz w:val="19"/>
          <w:szCs w:val="19"/>
        </w:rPr>
        <w:t>、毒力、繁殖能力、</w:t>
      </w:r>
      <w:r>
        <w:rPr>
          <w:rFonts w:ascii="宋体" w:hAnsi="宋体" w:eastAsia="宋体" w:cs="宋体"/>
          <w:sz w:val="19"/>
          <w:szCs w:val="19"/>
        </w:rPr>
        <w:t xml:space="preserve"> </w:t>
      </w:r>
      <w:r>
        <w:rPr>
          <w:rFonts w:ascii="宋体" w:hAnsi="宋体" w:eastAsia="宋体" w:cs="宋体"/>
          <w:spacing w:val="16"/>
          <w:sz w:val="19"/>
          <w:szCs w:val="19"/>
        </w:rPr>
        <w:t>侵入途径和部位及机体抵抗力有关。有些传染病在潜伏期即可排出病原体，具有传染性。</w:t>
      </w:r>
    </w:p>
    <w:p w14:paraId="33ECA4E6">
      <w:pPr>
        <w:spacing w:before="4" w:line="217" w:lineRule="auto"/>
        <w:jc w:val="right"/>
        <w:rPr>
          <w:rFonts w:ascii="宋体" w:hAnsi="宋体" w:eastAsia="宋体" w:cs="宋体"/>
          <w:sz w:val="19"/>
          <w:szCs w:val="19"/>
        </w:rPr>
      </w:pPr>
      <w:r>
        <w:rPr>
          <w:rFonts w:ascii="宋体" w:hAnsi="宋体" w:eastAsia="宋体" w:cs="宋体"/>
          <w:spacing w:val="24"/>
          <w:sz w:val="19"/>
          <w:szCs w:val="19"/>
        </w:rPr>
        <w:t>潜伏期的流行病学意义及用途为：①判断病人被感染</w:t>
      </w:r>
      <w:r>
        <w:rPr>
          <w:rFonts w:ascii="宋体" w:hAnsi="宋体" w:eastAsia="宋体" w:cs="宋体"/>
          <w:spacing w:val="23"/>
          <w:sz w:val="19"/>
          <w:szCs w:val="19"/>
        </w:rPr>
        <w:t>的时间，追溯传染源，确定传播途径；</w:t>
      </w:r>
    </w:p>
    <w:p w14:paraId="25FFF26C">
      <w:pPr>
        <w:spacing w:before="137" w:line="217" w:lineRule="auto"/>
        <w:ind w:left="679"/>
        <w:rPr>
          <w:rFonts w:ascii="宋体" w:hAnsi="宋体" w:eastAsia="宋体" w:cs="宋体"/>
          <w:sz w:val="19"/>
          <w:szCs w:val="19"/>
        </w:rPr>
      </w:pPr>
      <w:r>
        <w:rPr>
          <w:rFonts w:ascii="宋体" w:hAnsi="宋体" w:eastAsia="宋体" w:cs="宋体"/>
          <w:spacing w:val="17"/>
          <w:sz w:val="19"/>
          <w:szCs w:val="19"/>
        </w:rPr>
        <w:t>②确定接触者的隔离和医学观察期限，</w:t>
      </w:r>
      <w:r>
        <w:rPr>
          <w:rFonts w:ascii="宋体" w:hAnsi="宋体" w:eastAsia="宋体" w:cs="宋体"/>
          <w:spacing w:val="74"/>
          <w:sz w:val="19"/>
          <w:szCs w:val="19"/>
        </w:rPr>
        <w:t xml:space="preserve"> </w:t>
      </w:r>
      <w:r>
        <w:rPr>
          <w:rFonts w:ascii="宋体" w:hAnsi="宋体" w:eastAsia="宋体" w:cs="宋体"/>
          <w:spacing w:val="17"/>
          <w:sz w:val="19"/>
          <w:szCs w:val="19"/>
        </w:rPr>
        <w:t>一般为平均潜伏期加1～2天，危害严重的传染病可</w:t>
      </w:r>
      <w:r>
        <w:rPr>
          <w:rFonts w:ascii="宋体" w:hAnsi="宋体" w:eastAsia="宋体" w:cs="宋体"/>
          <w:spacing w:val="16"/>
          <w:sz w:val="19"/>
          <w:szCs w:val="19"/>
        </w:rPr>
        <w:t>按最长</w:t>
      </w:r>
    </w:p>
    <w:p w14:paraId="70F56926">
      <w:pPr>
        <w:spacing w:line="217" w:lineRule="auto"/>
        <w:rPr>
          <w:rFonts w:ascii="宋体" w:hAnsi="宋体" w:eastAsia="宋体" w:cs="宋体"/>
          <w:sz w:val="19"/>
          <w:szCs w:val="19"/>
        </w:rPr>
        <w:sectPr>
          <w:footerReference r:id="rId205" w:type="default"/>
          <w:pgSz w:w="11900" w:h="16820"/>
          <w:pgMar w:top="400" w:right="1455" w:bottom="822" w:left="800" w:header="0" w:footer="651" w:gutter="0"/>
          <w:cols w:space="720" w:num="1"/>
        </w:sectPr>
      </w:pPr>
    </w:p>
    <w:p w14:paraId="769205C2">
      <w:pPr>
        <w:spacing w:line="242" w:lineRule="auto"/>
        <w:rPr>
          <w:rFonts w:ascii="Arial"/>
          <w:sz w:val="21"/>
        </w:rPr>
      </w:pPr>
    </w:p>
    <w:p w14:paraId="1E628CBE">
      <w:pPr>
        <w:pStyle w:val="2"/>
        <w:spacing w:before="62" w:line="221" w:lineRule="auto"/>
        <w:ind w:left="6929"/>
        <w:rPr>
          <w:sz w:val="19"/>
          <w:szCs w:val="19"/>
        </w:rPr>
      </w:pPr>
      <w:bookmarkStart w:id="312" w:name="bookmark505"/>
      <w:bookmarkEnd w:id="312"/>
      <w:r>
        <w:rPr>
          <w:spacing w:val="-5"/>
          <w:sz w:val="19"/>
          <w:szCs w:val="19"/>
        </w:rPr>
        <w:t>第十一章传染病流行病学</w:t>
      </w:r>
    </w:p>
    <w:p w14:paraId="7A4D1FE8">
      <w:pPr>
        <w:spacing w:line="288" w:lineRule="auto"/>
        <w:rPr>
          <w:rFonts w:ascii="Arial"/>
          <w:sz w:val="21"/>
        </w:rPr>
      </w:pPr>
    </w:p>
    <w:p w14:paraId="7D7016D6">
      <w:pPr>
        <w:spacing w:line="288" w:lineRule="auto"/>
        <w:rPr>
          <w:rFonts w:ascii="Arial"/>
          <w:sz w:val="21"/>
        </w:rPr>
      </w:pPr>
    </w:p>
    <w:p w14:paraId="574884F1">
      <w:pPr>
        <w:spacing w:before="62" w:line="350" w:lineRule="auto"/>
        <w:ind w:right="607"/>
        <w:jc w:val="both"/>
        <w:rPr>
          <w:rFonts w:ascii="宋体" w:hAnsi="宋体" w:eastAsia="宋体" w:cs="宋体"/>
          <w:sz w:val="19"/>
          <w:szCs w:val="19"/>
        </w:rPr>
      </w:pPr>
      <w:r>
        <w:rPr>
          <w:rFonts w:ascii="宋体" w:hAnsi="宋体" w:eastAsia="宋体" w:cs="宋体"/>
          <w:spacing w:val="20"/>
          <w:sz w:val="19"/>
          <w:szCs w:val="19"/>
        </w:rPr>
        <w:t>潜伏期处理；③确定预防接种时间；④评价防制措施的效果</w:t>
      </w:r>
      <w:r>
        <w:rPr>
          <w:rFonts w:ascii="宋体" w:hAnsi="宋体" w:eastAsia="宋体" w:cs="宋体"/>
          <w:spacing w:val="19"/>
          <w:sz w:val="19"/>
          <w:szCs w:val="19"/>
        </w:rPr>
        <w:t>，如发病数经过一个潜伏期明显下降，</w:t>
      </w:r>
      <w:r>
        <w:rPr>
          <w:rFonts w:ascii="宋体" w:hAnsi="宋体" w:eastAsia="宋体" w:cs="宋体"/>
          <w:sz w:val="19"/>
          <w:szCs w:val="19"/>
        </w:rPr>
        <w:t xml:space="preserve"> </w:t>
      </w:r>
      <w:r>
        <w:rPr>
          <w:rFonts w:ascii="宋体" w:hAnsi="宋体" w:eastAsia="宋体" w:cs="宋体"/>
          <w:spacing w:val="15"/>
          <w:sz w:val="19"/>
          <w:szCs w:val="19"/>
        </w:rPr>
        <w:t>则可认为采取的措施可能有效；⑤潜伏期的长</w:t>
      </w:r>
      <w:r>
        <w:rPr>
          <w:rFonts w:ascii="宋体" w:hAnsi="宋体" w:eastAsia="宋体" w:cs="宋体"/>
          <w:spacing w:val="14"/>
          <w:sz w:val="19"/>
          <w:szCs w:val="19"/>
        </w:rPr>
        <w:t>短会影响疾病的流行特征，</w:t>
      </w:r>
      <w:r>
        <w:rPr>
          <w:rFonts w:ascii="宋体" w:hAnsi="宋体" w:eastAsia="宋体" w:cs="宋体"/>
          <w:spacing w:val="72"/>
          <w:sz w:val="19"/>
          <w:szCs w:val="19"/>
        </w:rPr>
        <w:t xml:space="preserve"> </w:t>
      </w:r>
      <w:r>
        <w:rPr>
          <w:rFonts w:ascii="宋体" w:hAnsi="宋体" w:eastAsia="宋体" w:cs="宋体"/>
          <w:spacing w:val="14"/>
          <w:sz w:val="19"/>
          <w:szCs w:val="19"/>
        </w:rPr>
        <w:t>一般潜伏期短的传染病常</w:t>
      </w:r>
      <w:r>
        <w:rPr>
          <w:rFonts w:ascii="宋体" w:hAnsi="宋体" w:eastAsia="宋体" w:cs="宋体"/>
          <w:sz w:val="19"/>
          <w:szCs w:val="19"/>
        </w:rPr>
        <w:t xml:space="preserve"> </w:t>
      </w:r>
      <w:r>
        <w:rPr>
          <w:rFonts w:ascii="宋体" w:hAnsi="宋体" w:eastAsia="宋体" w:cs="宋体"/>
          <w:spacing w:val="15"/>
          <w:sz w:val="19"/>
          <w:szCs w:val="19"/>
        </w:rPr>
        <w:t>以暴发形式出现，潜伏期长的传染病则多表现为散发，流行持续时间较长。</w:t>
      </w:r>
    </w:p>
    <w:p w14:paraId="53E42046">
      <w:pPr>
        <w:spacing w:line="294" w:lineRule="auto"/>
        <w:ind w:right="659" w:firstLine="399"/>
        <w:rPr>
          <w:rFonts w:ascii="宋体" w:hAnsi="宋体" w:eastAsia="宋体" w:cs="宋体"/>
          <w:sz w:val="19"/>
          <w:szCs w:val="19"/>
        </w:rPr>
      </w:pPr>
      <w:r>
        <w:rPr>
          <w:rFonts w:ascii="宋体" w:hAnsi="宋体" w:eastAsia="宋体" w:cs="宋体"/>
          <w:spacing w:val="7"/>
          <w:sz w:val="19"/>
          <w:szCs w:val="19"/>
        </w:rPr>
        <w:t>(</w:t>
      </w:r>
      <w:r>
        <w:rPr>
          <w:rFonts w:ascii="宋体" w:hAnsi="宋体" w:eastAsia="宋体" w:cs="宋体"/>
          <w:spacing w:val="-34"/>
          <w:sz w:val="19"/>
          <w:szCs w:val="19"/>
        </w:rPr>
        <w:t xml:space="preserve"> </w:t>
      </w:r>
      <w:r>
        <w:rPr>
          <w:rFonts w:ascii="宋体" w:hAnsi="宋体" w:eastAsia="宋体" w:cs="宋体"/>
          <w:spacing w:val="7"/>
          <w:sz w:val="19"/>
          <w:szCs w:val="19"/>
        </w:rPr>
        <w:t>2</w:t>
      </w:r>
      <w:r>
        <w:rPr>
          <w:rFonts w:ascii="宋体" w:hAnsi="宋体" w:eastAsia="宋体" w:cs="宋体"/>
          <w:spacing w:val="-36"/>
          <w:sz w:val="19"/>
          <w:szCs w:val="19"/>
        </w:rPr>
        <w:t xml:space="preserve"> </w:t>
      </w:r>
      <w:r>
        <w:rPr>
          <w:rFonts w:ascii="宋体" w:hAnsi="宋体" w:eastAsia="宋体" w:cs="宋体"/>
          <w:spacing w:val="7"/>
          <w:sz w:val="19"/>
          <w:szCs w:val="19"/>
        </w:rPr>
        <w:t>)</w:t>
      </w:r>
      <w:r>
        <w:rPr>
          <w:rFonts w:ascii="宋体" w:hAnsi="宋体" w:eastAsia="宋体" w:cs="宋体"/>
          <w:spacing w:val="-26"/>
          <w:sz w:val="19"/>
          <w:szCs w:val="19"/>
        </w:rPr>
        <w:t xml:space="preserve"> </w:t>
      </w:r>
      <w:r>
        <w:rPr>
          <w:rFonts w:ascii="宋体" w:hAnsi="宋体" w:eastAsia="宋体" w:cs="宋体"/>
          <w:spacing w:val="7"/>
          <w:sz w:val="19"/>
          <w:szCs w:val="19"/>
        </w:rPr>
        <w:t>临</w:t>
      </w:r>
      <w:r>
        <w:rPr>
          <w:rFonts w:ascii="宋体" w:hAnsi="宋体" w:eastAsia="宋体" w:cs="宋体"/>
          <w:spacing w:val="-38"/>
          <w:sz w:val="19"/>
          <w:szCs w:val="19"/>
        </w:rPr>
        <w:t xml:space="preserve"> </w:t>
      </w:r>
      <w:r>
        <w:rPr>
          <w:rFonts w:ascii="宋体" w:hAnsi="宋体" w:eastAsia="宋体" w:cs="宋体"/>
          <w:spacing w:val="7"/>
          <w:sz w:val="19"/>
          <w:szCs w:val="19"/>
        </w:rPr>
        <w:t>床</w:t>
      </w:r>
      <w:r>
        <w:rPr>
          <w:rFonts w:ascii="宋体" w:hAnsi="宋体" w:eastAsia="宋体" w:cs="宋体"/>
          <w:spacing w:val="-36"/>
          <w:sz w:val="19"/>
          <w:szCs w:val="19"/>
        </w:rPr>
        <w:t xml:space="preserve"> </w:t>
      </w:r>
      <w:r>
        <w:rPr>
          <w:rFonts w:ascii="宋体" w:hAnsi="宋体" w:eastAsia="宋体" w:cs="宋体"/>
          <w:spacing w:val="7"/>
          <w:sz w:val="19"/>
          <w:szCs w:val="19"/>
        </w:rPr>
        <w:t>症</w:t>
      </w:r>
      <w:r>
        <w:rPr>
          <w:rFonts w:ascii="宋体" w:hAnsi="宋体" w:eastAsia="宋体" w:cs="宋体"/>
          <w:spacing w:val="-36"/>
          <w:sz w:val="19"/>
          <w:szCs w:val="19"/>
        </w:rPr>
        <w:t xml:space="preserve"> </w:t>
      </w:r>
      <w:r>
        <w:rPr>
          <w:rFonts w:ascii="宋体" w:hAnsi="宋体" w:eastAsia="宋体" w:cs="宋体"/>
          <w:spacing w:val="7"/>
          <w:sz w:val="19"/>
          <w:szCs w:val="19"/>
        </w:rPr>
        <w:t>状</w:t>
      </w:r>
      <w:r>
        <w:rPr>
          <w:rFonts w:ascii="宋体" w:hAnsi="宋体" w:eastAsia="宋体" w:cs="宋体"/>
          <w:spacing w:val="-34"/>
          <w:sz w:val="19"/>
          <w:szCs w:val="19"/>
        </w:rPr>
        <w:t xml:space="preserve"> </w:t>
      </w:r>
      <w:r>
        <w:rPr>
          <w:rFonts w:ascii="宋体" w:hAnsi="宋体" w:eastAsia="宋体" w:cs="宋体"/>
          <w:spacing w:val="7"/>
          <w:sz w:val="19"/>
          <w:szCs w:val="19"/>
        </w:rPr>
        <w:t>期</w:t>
      </w:r>
      <w:r>
        <w:rPr>
          <w:rFonts w:ascii="Times New Roman" w:hAnsi="Times New Roman" w:eastAsia="Times New Roman" w:cs="Times New Roman"/>
          <w:spacing w:val="7"/>
          <w:sz w:val="19"/>
          <w:szCs w:val="19"/>
        </w:rPr>
        <w:t>(</w:t>
      </w:r>
      <w:r>
        <w:rPr>
          <w:rFonts w:ascii="Times New Roman" w:hAnsi="Times New Roman" w:eastAsia="Times New Roman" w:cs="Times New Roman"/>
          <w:sz w:val="19"/>
          <w:szCs w:val="19"/>
        </w:rPr>
        <w:t>clinical</w:t>
      </w:r>
      <w:r>
        <w:rPr>
          <w:rFonts w:ascii="Times New Roman" w:hAnsi="Times New Roman" w:eastAsia="Times New Roman" w:cs="Times New Roman"/>
          <w:spacing w:val="7"/>
          <w:sz w:val="19"/>
          <w:szCs w:val="19"/>
        </w:rPr>
        <w:t xml:space="preserve">       </w:t>
      </w:r>
      <w:r>
        <w:rPr>
          <w:rFonts w:ascii="Times New Roman" w:hAnsi="Times New Roman" w:eastAsia="Times New Roman" w:cs="Times New Roman"/>
          <w:sz w:val="19"/>
          <w:szCs w:val="19"/>
        </w:rPr>
        <w:t>stage</w:t>
      </w:r>
      <w:r>
        <w:rPr>
          <w:rFonts w:ascii="Times New Roman" w:hAnsi="Times New Roman" w:eastAsia="Times New Roman" w:cs="Times New Roman"/>
          <w:spacing w:val="7"/>
          <w:sz w:val="19"/>
          <w:szCs w:val="19"/>
        </w:rPr>
        <w:t>):</w:t>
      </w:r>
      <w:r>
        <w:rPr>
          <w:rFonts w:ascii="宋体" w:hAnsi="宋体" w:eastAsia="宋体" w:cs="宋体"/>
          <w:spacing w:val="7"/>
          <w:sz w:val="19"/>
          <w:szCs w:val="19"/>
        </w:rPr>
        <w:t>指病人出现特异性临床症状和体征的时期，此时病人</w:t>
      </w:r>
      <w:r>
        <w:rPr>
          <w:rFonts w:ascii="宋体" w:hAnsi="宋体" w:eastAsia="宋体" w:cs="宋体"/>
          <w:spacing w:val="6"/>
          <w:sz w:val="19"/>
          <w:szCs w:val="19"/>
        </w:rPr>
        <w:t>体内的病</w:t>
      </w:r>
      <w:r>
        <w:rPr>
          <w:rFonts w:ascii="宋体" w:hAnsi="宋体" w:eastAsia="宋体" w:cs="宋体"/>
          <w:sz w:val="19"/>
          <w:szCs w:val="19"/>
        </w:rPr>
        <w:t xml:space="preserve"> </w:t>
      </w:r>
      <w:r>
        <w:rPr>
          <w:rFonts w:ascii="宋体" w:hAnsi="宋体" w:eastAsia="宋体" w:cs="宋体"/>
          <w:spacing w:val="15"/>
          <w:sz w:val="19"/>
          <w:szCs w:val="19"/>
        </w:rPr>
        <w:t>原体大量生长繁殖，又有许多利于病原体排出的临床症状，是传染性最强的时期。</w:t>
      </w:r>
    </w:p>
    <w:p w14:paraId="4375126E">
      <w:pPr>
        <w:spacing w:before="155" w:line="306" w:lineRule="auto"/>
        <w:ind w:right="657" w:firstLine="399"/>
        <w:rPr>
          <w:rFonts w:ascii="宋体" w:hAnsi="宋体" w:eastAsia="宋体" w:cs="宋体"/>
          <w:sz w:val="19"/>
          <w:szCs w:val="19"/>
        </w:rPr>
      </w:pPr>
      <w:r>
        <w:rPr>
          <w:rFonts w:ascii="宋体" w:hAnsi="宋体" w:eastAsia="宋体" w:cs="宋体"/>
          <w:spacing w:val="8"/>
          <w:sz w:val="19"/>
          <w:szCs w:val="19"/>
        </w:rPr>
        <w:t>(</w:t>
      </w:r>
      <w:r>
        <w:rPr>
          <w:rFonts w:ascii="宋体" w:hAnsi="宋体" w:eastAsia="宋体" w:cs="宋体"/>
          <w:spacing w:val="-19"/>
          <w:sz w:val="19"/>
          <w:szCs w:val="19"/>
        </w:rPr>
        <w:t xml:space="preserve"> </w:t>
      </w:r>
      <w:r>
        <w:rPr>
          <w:rFonts w:ascii="宋体" w:hAnsi="宋体" w:eastAsia="宋体" w:cs="宋体"/>
          <w:spacing w:val="8"/>
          <w:sz w:val="19"/>
          <w:szCs w:val="19"/>
        </w:rPr>
        <w:t>3</w:t>
      </w:r>
      <w:r>
        <w:rPr>
          <w:rFonts w:ascii="宋体" w:hAnsi="宋体" w:eastAsia="宋体" w:cs="宋体"/>
          <w:spacing w:val="-31"/>
          <w:sz w:val="19"/>
          <w:szCs w:val="19"/>
        </w:rPr>
        <w:t xml:space="preserve"> </w:t>
      </w:r>
      <w:r>
        <w:rPr>
          <w:rFonts w:ascii="宋体" w:hAnsi="宋体" w:eastAsia="宋体" w:cs="宋体"/>
          <w:spacing w:val="8"/>
          <w:sz w:val="19"/>
          <w:szCs w:val="19"/>
        </w:rPr>
        <w:t>)</w:t>
      </w:r>
      <w:r>
        <w:rPr>
          <w:rFonts w:ascii="宋体" w:hAnsi="宋体" w:eastAsia="宋体" w:cs="宋体"/>
          <w:spacing w:val="-30"/>
          <w:sz w:val="19"/>
          <w:szCs w:val="19"/>
        </w:rPr>
        <w:t xml:space="preserve"> </w:t>
      </w:r>
      <w:r>
        <w:rPr>
          <w:rFonts w:ascii="宋体" w:hAnsi="宋体" w:eastAsia="宋体" w:cs="宋体"/>
          <w:spacing w:val="8"/>
          <w:sz w:val="19"/>
          <w:szCs w:val="19"/>
        </w:rPr>
        <w:t>恢</w:t>
      </w:r>
      <w:r>
        <w:rPr>
          <w:rFonts w:ascii="宋体" w:hAnsi="宋体" w:eastAsia="宋体" w:cs="宋体"/>
          <w:spacing w:val="-27"/>
          <w:sz w:val="19"/>
          <w:szCs w:val="19"/>
        </w:rPr>
        <w:t xml:space="preserve"> </w:t>
      </w:r>
      <w:r>
        <w:rPr>
          <w:rFonts w:ascii="宋体" w:hAnsi="宋体" w:eastAsia="宋体" w:cs="宋体"/>
          <w:spacing w:val="8"/>
          <w:sz w:val="19"/>
          <w:szCs w:val="19"/>
        </w:rPr>
        <w:t>复</w:t>
      </w:r>
      <w:r>
        <w:rPr>
          <w:rFonts w:ascii="宋体" w:hAnsi="宋体" w:eastAsia="宋体" w:cs="宋体"/>
          <w:spacing w:val="-30"/>
          <w:sz w:val="19"/>
          <w:szCs w:val="19"/>
        </w:rPr>
        <w:t xml:space="preserve"> </w:t>
      </w:r>
      <w:r>
        <w:rPr>
          <w:rFonts w:ascii="宋体" w:hAnsi="宋体" w:eastAsia="宋体" w:cs="宋体"/>
          <w:spacing w:val="8"/>
          <w:sz w:val="19"/>
          <w:szCs w:val="19"/>
        </w:rPr>
        <w:t>期</w:t>
      </w:r>
      <w:r>
        <w:rPr>
          <w:rFonts w:ascii="Times New Roman" w:hAnsi="Times New Roman" w:eastAsia="Times New Roman" w:cs="Times New Roman"/>
          <w:spacing w:val="8"/>
          <w:sz w:val="19"/>
          <w:szCs w:val="19"/>
        </w:rPr>
        <w:t>(</w:t>
      </w:r>
      <w:r>
        <w:rPr>
          <w:rFonts w:ascii="Times New Roman" w:hAnsi="Times New Roman" w:eastAsia="Times New Roman" w:cs="Times New Roman"/>
          <w:sz w:val="19"/>
          <w:szCs w:val="19"/>
        </w:rPr>
        <w:t>convalescence</w:t>
      </w:r>
      <w:r>
        <w:rPr>
          <w:rFonts w:ascii="Times New Roman" w:hAnsi="Times New Roman" w:eastAsia="Times New Roman" w:cs="Times New Roman"/>
          <w:spacing w:val="8"/>
          <w:sz w:val="19"/>
          <w:szCs w:val="19"/>
        </w:rPr>
        <w:t xml:space="preserve">       </w:t>
      </w:r>
      <w:r>
        <w:rPr>
          <w:rFonts w:ascii="Times New Roman" w:hAnsi="Times New Roman" w:eastAsia="Times New Roman" w:cs="Times New Roman"/>
          <w:sz w:val="19"/>
          <w:szCs w:val="19"/>
        </w:rPr>
        <w:t>period</w:t>
      </w:r>
      <w:r>
        <w:rPr>
          <w:rFonts w:ascii="Times New Roman" w:hAnsi="Times New Roman" w:eastAsia="Times New Roman" w:cs="Times New Roman"/>
          <w:spacing w:val="8"/>
          <w:sz w:val="19"/>
          <w:szCs w:val="19"/>
        </w:rPr>
        <w:t>):</w:t>
      </w:r>
      <w:r>
        <w:rPr>
          <w:rFonts w:ascii="宋体" w:hAnsi="宋体" w:eastAsia="宋体" w:cs="宋体"/>
          <w:spacing w:val="8"/>
          <w:sz w:val="19"/>
          <w:szCs w:val="19"/>
        </w:rPr>
        <w:t>是病人的临床症状消失、机体逐渐恢复的时期。此期病人的</w:t>
      </w:r>
      <w:r>
        <w:rPr>
          <w:rFonts w:ascii="宋体" w:hAnsi="宋体" w:eastAsia="宋体" w:cs="宋体"/>
          <w:sz w:val="19"/>
          <w:szCs w:val="19"/>
        </w:rPr>
        <w:t xml:space="preserve"> </w:t>
      </w:r>
      <w:r>
        <w:rPr>
          <w:rFonts w:ascii="宋体" w:hAnsi="宋体" w:eastAsia="宋体" w:cs="宋体"/>
          <w:spacing w:val="14"/>
          <w:sz w:val="19"/>
          <w:szCs w:val="19"/>
        </w:rPr>
        <w:t>免疫力大多已处于较高水平，体内病原体基本被清除。但</w:t>
      </w:r>
      <w:r>
        <w:rPr>
          <w:rFonts w:ascii="宋体" w:hAnsi="宋体" w:eastAsia="宋体" w:cs="宋体"/>
          <w:spacing w:val="13"/>
          <w:sz w:val="19"/>
          <w:szCs w:val="19"/>
        </w:rPr>
        <w:t>有些传染病病人，如伤寒、结核病等，在恢</w:t>
      </w:r>
      <w:r>
        <w:rPr>
          <w:rFonts w:ascii="宋体" w:hAnsi="宋体" w:eastAsia="宋体" w:cs="宋体"/>
          <w:sz w:val="19"/>
          <w:szCs w:val="19"/>
        </w:rPr>
        <w:t xml:space="preserve"> </w:t>
      </w:r>
      <w:r>
        <w:rPr>
          <w:rFonts w:ascii="宋体" w:hAnsi="宋体" w:eastAsia="宋体" w:cs="宋体"/>
          <w:spacing w:val="20"/>
          <w:sz w:val="19"/>
          <w:szCs w:val="19"/>
        </w:rPr>
        <w:t>复期仍可排出病原体，甚至可成为终身传染源。</w:t>
      </w:r>
    </w:p>
    <w:p w14:paraId="001BA856">
      <w:pPr>
        <w:spacing w:before="144" w:line="359" w:lineRule="auto"/>
        <w:ind w:right="663" w:firstLine="399"/>
        <w:rPr>
          <w:rFonts w:ascii="宋体" w:hAnsi="宋体" w:eastAsia="宋体" w:cs="宋体"/>
          <w:sz w:val="19"/>
          <w:szCs w:val="19"/>
        </w:rPr>
      </w:pPr>
      <w:r>
        <w:rPr>
          <w:rFonts w:ascii="Times New Roman" w:hAnsi="Times New Roman" w:eastAsia="Times New Roman" w:cs="Times New Roman"/>
          <w:spacing w:val="12"/>
          <w:sz w:val="19"/>
          <w:szCs w:val="19"/>
        </w:rPr>
        <w:t xml:space="preserve">2.   </w:t>
      </w:r>
      <w:r>
        <w:rPr>
          <w:rFonts w:ascii="宋体" w:hAnsi="宋体" w:eastAsia="宋体" w:cs="宋体"/>
          <w:spacing w:val="12"/>
          <w:sz w:val="19"/>
          <w:szCs w:val="19"/>
        </w:rPr>
        <w:t>病</w:t>
      </w:r>
      <w:r>
        <w:rPr>
          <w:rFonts w:ascii="宋体" w:hAnsi="宋体" w:eastAsia="宋体" w:cs="宋体"/>
          <w:spacing w:val="-35"/>
          <w:sz w:val="19"/>
          <w:szCs w:val="19"/>
        </w:rPr>
        <w:t xml:space="preserve"> </w:t>
      </w:r>
      <w:r>
        <w:rPr>
          <w:rFonts w:ascii="宋体" w:hAnsi="宋体" w:eastAsia="宋体" w:cs="宋体"/>
          <w:spacing w:val="12"/>
          <w:sz w:val="19"/>
          <w:szCs w:val="19"/>
        </w:rPr>
        <w:t>原</w:t>
      </w:r>
      <w:r>
        <w:rPr>
          <w:rFonts w:ascii="宋体" w:hAnsi="宋体" w:eastAsia="宋体" w:cs="宋体"/>
          <w:spacing w:val="-38"/>
          <w:sz w:val="19"/>
          <w:szCs w:val="19"/>
        </w:rPr>
        <w:t xml:space="preserve"> </w:t>
      </w:r>
      <w:r>
        <w:rPr>
          <w:rFonts w:ascii="宋体" w:hAnsi="宋体" w:eastAsia="宋体" w:cs="宋体"/>
          <w:spacing w:val="12"/>
          <w:sz w:val="19"/>
          <w:szCs w:val="19"/>
        </w:rPr>
        <w:t>携</w:t>
      </w:r>
      <w:r>
        <w:rPr>
          <w:rFonts w:ascii="宋体" w:hAnsi="宋体" w:eastAsia="宋体" w:cs="宋体"/>
          <w:spacing w:val="-34"/>
          <w:sz w:val="19"/>
          <w:szCs w:val="19"/>
        </w:rPr>
        <w:t xml:space="preserve"> </w:t>
      </w:r>
      <w:r>
        <w:rPr>
          <w:rFonts w:ascii="宋体" w:hAnsi="宋体" w:eastAsia="宋体" w:cs="宋体"/>
          <w:spacing w:val="12"/>
          <w:sz w:val="19"/>
          <w:szCs w:val="19"/>
        </w:rPr>
        <w:t>带</w:t>
      </w:r>
      <w:r>
        <w:rPr>
          <w:rFonts w:ascii="宋体" w:hAnsi="宋体" w:eastAsia="宋体" w:cs="宋体"/>
          <w:spacing w:val="-37"/>
          <w:sz w:val="19"/>
          <w:szCs w:val="19"/>
        </w:rPr>
        <w:t xml:space="preserve"> </w:t>
      </w:r>
      <w:r>
        <w:rPr>
          <w:rFonts w:ascii="宋体" w:hAnsi="宋体" w:eastAsia="宋体" w:cs="宋体"/>
          <w:spacing w:val="12"/>
          <w:sz w:val="19"/>
          <w:szCs w:val="19"/>
        </w:rPr>
        <w:t>者</w:t>
      </w:r>
      <w:r>
        <w:rPr>
          <w:rFonts w:ascii="Times New Roman" w:hAnsi="Times New Roman" w:eastAsia="Times New Roman" w:cs="Times New Roman"/>
          <w:spacing w:val="12"/>
          <w:sz w:val="19"/>
          <w:szCs w:val="19"/>
        </w:rPr>
        <w:t>(</w:t>
      </w:r>
      <w:r>
        <w:rPr>
          <w:rFonts w:ascii="Times New Roman" w:hAnsi="Times New Roman" w:eastAsia="Times New Roman" w:cs="Times New Roman"/>
          <w:sz w:val="19"/>
          <w:szCs w:val="19"/>
        </w:rPr>
        <w:t>carrier</w:t>
      </w:r>
      <w:r>
        <w:rPr>
          <w:rFonts w:ascii="Times New Roman" w:hAnsi="Times New Roman" w:eastAsia="Times New Roman" w:cs="Times New Roman"/>
          <w:spacing w:val="12"/>
          <w:sz w:val="19"/>
          <w:szCs w:val="19"/>
        </w:rPr>
        <w:t xml:space="preserve">)        </w:t>
      </w:r>
      <w:r>
        <w:rPr>
          <w:rFonts w:ascii="宋体" w:hAnsi="宋体" w:eastAsia="宋体" w:cs="宋体"/>
          <w:spacing w:val="12"/>
          <w:sz w:val="19"/>
          <w:szCs w:val="19"/>
        </w:rPr>
        <w:t>是指感染病原体后无临床症状但能排</w:t>
      </w:r>
      <w:r>
        <w:rPr>
          <w:rFonts w:ascii="宋体" w:hAnsi="宋体" w:eastAsia="宋体" w:cs="宋体"/>
          <w:spacing w:val="11"/>
          <w:sz w:val="19"/>
          <w:szCs w:val="19"/>
        </w:rPr>
        <w:t>出病原体的人，有时又称无症</w:t>
      </w:r>
      <w:r>
        <w:rPr>
          <w:rFonts w:ascii="宋体" w:hAnsi="宋体" w:eastAsia="宋体" w:cs="宋体"/>
          <w:sz w:val="19"/>
          <w:szCs w:val="19"/>
        </w:rPr>
        <w:t xml:space="preserve"> </w:t>
      </w:r>
      <w:r>
        <w:rPr>
          <w:rFonts w:ascii="宋体" w:hAnsi="宋体" w:eastAsia="宋体" w:cs="宋体"/>
          <w:spacing w:val="19"/>
          <w:sz w:val="19"/>
          <w:szCs w:val="19"/>
        </w:rPr>
        <w:t>状感染者，包括隐性感染者和处于潜伏期或恢复期的显性感染者。</w:t>
      </w:r>
    </w:p>
    <w:p w14:paraId="15B80003">
      <w:pPr>
        <w:spacing w:before="1" w:line="290" w:lineRule="auto"/>
        <w:ind w:right="664" w:firstLine="399"/>
        <w:rPr>
          <w:rFonts w:ascii="宋体" w:hAnsi="宋体" w:eastAsia="宋体" w:cs="宋体"/>
          <w:sz w:val="19"/>
          <w:szCs w:val="19"/>
        </w:rPr>
      </w:pPr>
      <w:r>
        <w:rPr>
          <w:rFonts w:ascii="宋体" w:hAnsi="宋体" w:eastAsia="宋体" w:cs="宋体"/>
          <w:spacing w:val="17"/>
          <w:sz w:val="19"/>
          <w:szCs w:val="19"/>
        </w:rPr>
        <w:t>(1)潜伏期病原携带者</w:t>
      </w:r>
      <w:r>
        <w:rPr>
          <w:rFonts w:ascii="Times New Roman" w:hAnsi="Times New Roman" w:eastAsia="Times New Roman" w:cs="Times New Roman"/>
          <w:spacing w:val="17"/>
          <w:sz w:val="19"/>
          <w:szCs w:val="19"/>
        </w:rPr>
        <w:t>(</w:t>
      </w:r>
      <w:r>
        <w:rPr>
          <w:rFonts w:ascii="Times New Roman" w:hAnsi="Times New Roman" w:eastAsia="Times New Roman" w:cs="Times New Roman"/>
          <w:sz w:val="19"/>
          <w:szCs w:val="19"/>
        </w:rPr>
        <w:t>incubatory</w:t>
      </w:r>
      <w:r>
        <w:rPr>
          <w:rFonts w:ascii="Times New Roman" w:hAnsi="Times New Roman" w:eastAsia="Times New Roman" w:cs="Times New Roman"/>
          <w:spacing w:val="17"/>
          <w:sz w:val="19"/>
          <w:szCs w:val="19"/>
        </w:rPr>
        <w:t xml:space="preserve">      </w:t>
      </w:r>
      <w:r>
        <w:rPr>
          <w:rFonts w:ascii="Times New Roman" w:hAnsi="Times New Roman" w:eastAsia="Times New Roman" w:cs="Times New Roman"/>
          <w:sz w:val="19"/>
          <w:szCs w:val="19"/>
        </w:rPr>
        <w:t>carrier</w:t>
      </w:r>
      <w:r>
        <w:rPr>
          <w:rFonts w:ascii="Times New Roman" w:hAnsi="Times New Roman" w:eastAsia="Times New Roman" w:cs="Times New Roman"/>
          <w:spacing w:val="17"/>
          <w:sz w:val="19"/>
          <w:szCs w:val="19"/>
        </w:rPr>
        <w:t>):</w:t>
      </w:r>
      <w:r>
        <w:rPr>
          <w:rFonts w:ascii="宋体" w:hAnsi="宋体" w:eastAsia="宋体" w:cs="宋体"/>
          <w:spacing w:val="17"/>
          <w:sz w:val="19"/>
          <w:szCs w:val="19"/>
        </w:rPr>
        <w:t>指潜伏期内可向体外排出病原体的人，如</w:t>
      </w:r>
      <w:r>
        <w:rPr>
          <w:rFonts w:ascii="Times New Roman" w:hAnsi="Times New Roman" w:eastAsia="Times New Roman" w:cs="Times New Roman"/>
          <w:sz w:val="19"/>
          <w:szCs w:val="19"/>
        </w:rPr>
        <w:t>HIV</w:t>
      </w:r>
      <w:r>
        <w:rPr>
          <w:rFonts w:ascii="Times New Roman" w:hAnsi="Times New Roman" w:eastAsia="Times New Roman" w:cs="Times New Roman"/>
          <w:spacing w:val="38"/>
          <w:sz w:val="19"/>
          <w:szCs w:val="19"/>
        </w:rPr>
        <w:t xml:space="preserve"> </w:t>
      </w:r>
      <w:r>
        <w:rPr>
          <w:rFonts w:ascii="宋体" w:hAnsi="宋体" w:eastAsia="宋体" w:cs="宋体"/>
          <w:spacing w:val="17"/>
          <w:sz w:val="19"/>
          <w:szCs w:val="19"/>
        </w:rPr>
        <w:t>感</w:t>
      </w:r>
      <w:r>
        <w:rPr>
          <w:rFonts w:ascii="宋体" w:hAnsi="宋体" w:eastAsia="宋体" w:cs="宋体"/>
          <w:spacing w:val="-19"/>
          <w:sz w:val="19"/>
          <w:szCs w:val="19"/>
        </w:rPr>
        <w:t xml:space="preserve"> </w:t>
      </w:r>
      <w:r>
        <w:rPr>
          <w:rFonts w:ascii="宋体" w:hAnsi="宋体" w:eastAsia="宋体" w:cs="宋体"/>
          <w:spacing w:val="17"/>
          <w:sz w:val="19"/>
          <w:szCs w:val="19"/>
        </w:rPr>
        <w:t>染</w:t>
      </w:r>
      <w:r>
        <w:rPr>
          <w:rFonts w:ascii="宋体" w:hAnsi="宋体" w:eastAsia="宋体" w:cs="宋体"/>
          <w:sz w:val="19"/>
          <w:szCs w:val="19"/>
        </w:rPr>
        <w:t xml:space="preserve"> </w:t>
      </w:r>
      <w:r>
        <w:rPr>
          <w:rFonts w:ascii="宋体" w:hAnsi="宋体" w:eastAsia="宋体" w:cs="宋体"/>
          <w:spacing w:val="13"/>
          <w:sz w:val="19"/>
          <w:szCs w:val="19"/>
        </w:rPr>
        <w:t>者等</w:t>
      </w:r>
      <w:r>
        <w:rPr>
          <w:rFonts w:ascii="宋体" w:hAnsi="宋体" w:eastAsia="宋体" w:cs="宋体"/>
          <w:spacing w:val="-43"/>
          <w:sz w:val="19"/>
          <w:szCs w:val="19"/>
        </w:rPr>
        <w:t xml:space="preserve"> </w:t>
      </w:r>
      <w:r>
        <w:rPr>
          <w:rFonts w:ascii="宋体" w:hAnsi="宋体" w:eastAsia="宋体" w:cs="宋体"/>
          <w:spacing w:val="13"/>
          <w:sz w:val="19"/>
          <w:szCs w:val="19"/>
        </w:rPr>
        <w:t>。</w:t>
      </w:r>
    </w:p>
    <w:p w14:paraId="2D2B6D03">
      <w:pPr>
        <w:spacing w:before="156" w:line="324" w:lineRule="auto"/>
        <w:ind w:right="659" w:firstLine="399"/>
        <w:rPr>
          <w:rFonts w:ascii="宋体" w:hAnsi="宋体" w:eastAsia="宋体" w:cs="宋体"/>
          <w:sz w:val="19"/>
          <w:szCs w:val="19"/>
        </w:rPr>
      </w:pPr>
      <w:r>
        <w:rPr>
          <w:rFonts w:ascii="宋体" w:hAnsi="宋体" w:eastAsia="宋体" w:cs="宋体"/>
          <w:spacing w:val="16"/>
          <w:sz w:val="19"/>
          <w:szCs w:val="19"/>
        </w:rPr>
        <w:t>(2)恢复期病原携带者(</w:t>
      </w:r>
      <w:r>
        <w:rPr>
          <w:rFonts w:ascii="宋体" w:hAnsi="宋体" w:eastAsia="宋体" w:cs="宋体"/>
          <w:sz w:val="19"/>
          <w:szCs w:val="19"/>
        </w:rPr>
        <w:t>convalescent</w:t>
      </w:r>
      <w:r>
        <w:rPr>
          <w:rFonts w:ascii="宋体" w:hAnsi="宋体" w:eastAsia="宋体" w:cs="宋体"/>
          <w:spacing w:val="16"/>
          <w:sz w:val="19"/>
          <w:szCs w:val="19"/>
        </w:rPr>
        <w:t xml:space="preserve"> </w:t>
      </w:r>
      <w:r>
        <w:rPr>
          <w:rFonts w:ascii="宋体" w:hAnsi="宋体" w:eastAsia="宋体" w:cs="宋体"/>
          <w:sz w:val="19"/>
          <w:szCs w:val="19"/>
        </w:rPr>
        <w:t>carrier</w:t>
      </w:r>
      <w:r>
        <w:rPr>
          <w:rFonts w:ascii="宋体" w:hAnsi="宋体" w:eastAsia="宋体" w:cs="宋体"/>
          <w:spacing w:val="16"/>
          <w:sz w:val="19"/>
          <w:szCs w:val="19"/>
        </w:rPr>
        <w:t>):指临床症状消失后仍能在一定时间内向外排出病</w:t>
      </w:r>
      <w:r>
        <w:rPr>
          <w:rFonts w:ascii="宋体" w:hAnsi="宋体" w:eastAsia="宋体" w:cs="宋体"/>
          <w:spacing w:val="6"/>
          <w:sz w:val="19"/>
          <w:szCs w:val="19"/>
        </w:rPr>
        <w:t xml:space="preserve"> </w:t>
      </w:r>
      <w:r>
        <w:rPr>
          <w:rFonts w:ascii="宋体" w:hAnsi="宋体" w:eastAsia="宋体" w:cs="宋体"/>
          <w:spacing w:val="10"/>
          <w:sz w:val="19"/>
          <w:szCs w:val="19"/>
        </w:rPr>
        <w:t>原体的人，如伤寒、霍乱等疾病恢复期病人。</w:t>
      </w:r>
      <w:r>
        <w:rPr>
          <w:rFonts w:ascii="宋体" w:hAnsi="宋体" w:eastAsia="宋体" w:cs="宋体"/>
          <w:spacing w:val="61"/>
          <w:sz w:val="19"/>
          <w:szCs w:val="19"/>
        </w:rPr>
        <w:t xml:space="preserve"> </w:t>
      </w:r>
      <w:r>
        <w:rPr>
          <w:rFonts w:ascii="宋体" w:hAnsi="宋体" w:eastAsia="宋体" w:cs="宋体"/>
          <w:spacing w:val="10"/>
          <w:sz w:val="19"/>
          <w:szCs w:val="19"/>
        </w:rPr>
        <w:t>一般来说，恢复期病原体携带状态持续时间较短，但个</w:t>
      </w:r>
      <w:r>
        <w:rPr>
          <w:rFonts w:ascii="宋体" w:hAnsi="宋体" w:eastAsia="宋体" w:cs="宋体"/>
          <w:sz w:val="19"/>
          <w:szCs w:val="19"/>
        </w:rPr>
        <w:t xml:space="preserve"> </w:t>
      </w:r>
      <w:r>
        <w:rPr>
          <w:rFonts w:ascii="宋体" w:hAnsi="宋体" w:eastAsia="宋体" w:cs="宋体"/>
          <w:spacing w:val="21"/>
          <w:sz w:val="19"/>
          <w:szCs w:val="19"/>
        </w:rPr>
        <w:t>别携带者可维持较长时间，甚至终身。通常将临床症</w:t>
      </w:r>
      <w:r>
        <w:rPr>
          <w:rFonts w:ascii="宋体" w:hAnsi="宋体" w:eastAsia="宋体" w:cs="宋体"/>
          <w:spacing w:val="20"/>
          <w:sz w:val="19"/>
          <w:szCs w:val="19"/>
        </w:rPr>
        <w:t>状消失后3个月内仍可排出病原体的人称为暂</w:t>
      </w:r>
      <w:r>
        <w:rPr>
          <w:rFonts w:ascii="宋体" w:hAnsi="宋体" w:eastAsia="宋体" w:cs="宋体"/>
          <w:sz w:val="19"/>
          <w:szCs w:val="19"/>
        </w:rPr>
        <w:t xml:space="preserve"> </w:t>
      </w:r>
      <w:r>
        <w:rPr>
          <w:rFonts w:ascii="宋体" w:hAnsi="宋体" w:eastAsia="宋体" w:cs="宋体"/>
          <w:spacing w:val="20"/>
          <w:sz w:val="19"/>
          <w:szCs w:val="19"/>
        </w:rPr>
        <w:t>时性病原携带者，超过3个月者称为慢性病原携带者。后者常有间歇性排出病原体的现象。</w:t>
      </w:r>
    </w:p>
    <w:p w14:paraId="57FDBB16">
      <w:pPr>
        <w:spacing w:before="114" w:line="329" w:lineRule="auto"/>
        <w:ind w:right="657" w:firstLine="399"/>
        <w:rPr>
          <w:rFonts w:ascii="宋体" w:hAnsi="宋体" w:eastAsia="宋体" w:cs="宋体"/>
          <w:sz w:val="19"/>
          <w:szCs w:val="19"/>
        </w:rPr>
      </w:pPr>
      <w:r>
        <w:rPr>
          <w:rFonts w:ascii="宋体" w:hAnsi="宋体" w:eastAsia="宋体" w:cs="宋体"/>
          <w:spacing w:val="7"/>
          <w:sz w:val="19"/>
          <w:szCs w:val="19"/>
        </w:rPr>
        <w:t>(</w:t>
      </w:r>
      <w:r>
        <w:rPr>
          <w:rFonts w:ascii="宋体" w:hAnsi="宋体" w:eastAsia="宋体" w:cs="宋体"/>
          <w:spacing w:val="-29"/>
          <w:sz w:val="19"/>
          <w:szCs w:val="19"/>
        </w:rPr>
        <w:t xml:space="preserve"> </w:t>
      </w:r>
      <w:r>
        <w:rPr>
          <w:rFonts w:ascii="宋体" w:hAnsi="宋体" w:eastAsia="宋体" w:cs="宋体"/>
          <w:spacing w:val="7"/>
          <w:sz w:val="19"/>
          <w:szCs w:val="19"/>
        </w:rPr>
        <w:t>3</w:t>
      </w:r>
      <w:r>
        <w:rPr>
          <w:rFonts w:ascii="宋体" w:hAnsi="宋体" w:eastAsia="宋体" w:cs="宋体"/>
          <w:spacing w:val="-39"/>
          <w:sz w:val="19"/>
          <w:szCs w:val="19"/>
        </w:rPr>
        <w:t xml:space="preserve"> </w:t>
      </w:r>
      <w:r>
        <w:rPr>
          <w:rFonts w:ascii="宋体" w:hAnsi="宋体" w:eastAsia="宋体" w:cs="宋体"/>
          <w:spacing w:val="7"/>
          <w:sz w:val="19"/>
          <w:szCs w:val="19"/>
        </w:rPr>
        <w:t>)</w:t>
      </w:r>
      <w:r>
        <w:rPr>
          <w:rFonts w:ascii="宋体" w:hAnsi="宋体" w:eastAsia="宋体" w:cs="宋体"/>
          <w:spacing w:val="-41"/>
          <w:sz w:val="19"/>
          <w:szCs w:val="19"/>
        </w:rPr>
        <w:t xml:space="preserve"> </w:t>
      </w:r>
      <w:r>
        <w:rPr>
          <w:rFonts w:ascii="宋体" w:hAnsi="宋体" w:eastAsia="宋体" w:cs="宋体"/>
          <w:spacing w:val="7"/>
          <w:sz w:val="19"/>
          <w:szCs w:val="19"/>
        </w:rPr>
        <w:t>健</w:t>
      </w:r>
      <w:r>
        <w:rPr>
          <w:rFonts w:ascii="宋体" w:hAnsi="宋体" w:eastAsia="宋体" w:cs="宋体"/>
          <w:spacing w:val="-41"/>
          <w:sz w:val="19"/>
          <w:szCs w:val="19"/>
        </w:rPr>
        <w:t xml:space="preserve"> </w:t>
      </w:r>
      <w:r>
        <w:rPr>
          <w:rFonts w:ascii="宋体" w:hAnsi="宋体" w:eastAsia="宋体" w:cs="宋体"/>
          <w:spacing w:val="7"/>
          <w:sz w:val="19"/>
          <w:szCs w:val="19"/>
        </w:rPr>
        <w:t>康</w:t>
      </w:r>
      <w:r>
        <w:rPr>
          <w:rFonts w:ascii="宋体" w:hAnsi="宋体" w:eastAsia="宋体" w:cs="宋体"/>
          <w:spacing w:val="-41"/>
          <w:sz w:val="19"/>
          <w:szCs w:val="19"/>
        </w:rPr>
        <w:t xml:space="preserve"> </w:t>
      </w:r>
      <w:r>
        <w:rPr>
          <w:rFonts w:ascii="宋体" w:hAnsi="宋体" w:eastAsia="宋体" w:cs="宋体"/>
          <w:spacing w:val="7"/>
          <w:sz w:val="19"/>
          <w:szCs w:val="19"/>
        </w:rPr>
        <w:t>病</w:t>
      </w:r>
      <w:r>
        <w:rPr>
          <w:rFonts w:ascii="宋体" w:hAnsi="宋体" w:eastAsia="宋体" w:cs="宋体"/>
          <w:spacing w:val="-36"/>
          <w:sz w:val="19"/>
          <w:szCs w:val="19"/>
        </w:rPr>
        <w:t xml:space="preserve"> </w:t>
      </w:r>
      <w:r>
        <w:rPr>
          <w:rFonts w:ascii="宋体" w:hAnsi="宋体" w:eastAsia="宋体" w:cs="宋体"/>
          <w:spacing w:val="7"/>
          <w:sz w:val="19"/>
          <w:szCs w:val="19"/>
        </w:rPr>
        <w:t>原</w:t>
      </w:r>
      <w:r>
        <w:rPr>
          <w:rFonts w:ascii="宋体" w:hAnsi="宋体" w:eastAsia="宋体" w:cs="宋体"/>
          <w:spacing w:val="-40"/>
          <w:sz w:val="19"/>
          <w:szCs w:val="19"/>
        </w:rPr>
        <w:t xml:space="preserve"> </w:t>
      </w:r>
      <w:r>
        <w:rPr>
          <w:rFonts w:ascii="宋体" w:hAnsi="宋体" w:eastAsia="宋体" w:cs="宋体"/>
          <w:spacing w:val="7"/>
          <w:sz w:val="19"/>
          <w:szCs w:val="19"/>
        </w:rPr>
        <w:t>携</w:t>
      </w:r>
      <w:r>
        <w:rPr>
          <w:rFonts w:ascii="宋体" w:hAnsi="宋体" w:eastAsia="宋体" w:cs="宋体"/>
          <w:spacing w:val="-35"/>
          <w:sz w:val="19"/>
          <w:szCs w:val="19"/>
        </w:rPr>
        <w:t xml:space="preserve"> </w:t>
      </w:r>
      <w:r>
        <w:rPr>
          <w:rFonts w:ascii="宋体" w:hAnsi="宋体" w:eastAsia="宋体" w:cs="宋体"/>
          <w:spacing w:val="7"/>
          <w:sz w:val="19"/>
          <w:szCs w:val="19"/>
        </w:rPr>
        <w:t>带</w:t>
      </w:r>
      <w:r>
        <w:rPr>
          <w:rFonts w:ascii="宋体" w:hAnsi="宋体" w:eastAsia="宋体" w:cs="宋体"/>
          <w:spacing w:val="-39"/>
          <w:sz w:val="19"/>
          <w:szCs w:val="19"/>
        </w:rPr>
        <w:t xml:space="preserve"> </w:t>
      </w:r>
      <w:r>
        <w:rPr>
          <w:rFonts w:ascii="宋体" w:hAnsi="宋体" w:eastAsia="宋体" w:cs="宋体"/>
          <w:spacing w:val="7"/>
          <w:sz w:val="19"/>
          <w:szCs w:val="19"/>
        </w:rPr>
        <w:t>者</w:t>
      </w:r>
      <w:r>
        <w:rPr>
          <w:rFonts w:ascii="Times New Roman" w:hAnsi="Times New Roman" w:eastAsia="Times New Roman" w:cs="Times New Roman"/>
          <w:spacing w:val="7"/>
          <w:sz w:val="19"/>
          <w:szCs w:val="19"/>
        </w:rPr>
        <w:t>(</w:t>
      </w:r>
      <w:r>
        <w:rPr>
          <w:rFonts w:ascii="Times New Roman" w:hAnsi="Times New Roman" w:eastAsia="Times New Roman" w:cs="Times New Roman"/>
          <w:sz w:val="19"/>
          <w:szCs w:val="19"/>
        </w:rPr>
        <w:t>healthy</w:t>
      </w:r>
      <w:r>
        <w:rPr>
          <w:rFonts w:ascii="Times New Roman" w:hAnsi="Times New Roman" w:eastAsia="Times New Roman" w:cs="Times New Roman"/>
          <w:spacing w:val="7"/>
          <w:sz w:val="19"/>
          <w:szCs w:val="19"/>
        </w:rPr>
        <w:t xml:space="preserve">       </w:t>
      </w:r>
      <w:r>
        <w:rPr>
          <w:rFonts w:ascii="Times New Roman" w:hAnsi="Times New Roman" w:eastAsia="Times New Roman" w:cs="Times New Roman"/>
          <w:sz w:val="19"/>
          <w:szCs w:val="19"/>
        </w:rPr>
        <w:t>carrier</w:t>
      </w:r>
      <w:r>
        <w:rPr>
          <w:rFonts w:ascii="Times New Roman" w:hAnsi="Times New Roman" w:eastAsia="Times New Roman" w:cs="Times New Roman"/>
          <w:spacing w:val="7"/>
          <w:sz w:val="19"/>
          <w:szCs w:val="19"/>
        </w:rPr>
        <w:t>):</w:t>
      </w:r>
      <w:r>
        <w:rPr>
          <w:rFonts w:ascii="宋体" w:hAnsi="宋体" w:eastAsia="宋体" w:cs="宋体"/>
          <w:spacing w:val="7"/>
          <w:sz w:val="19"/>
          <w:szCs w:val="19"/>
        </w:rPr>
        <w:t>又称隐性感染者，指在较长时间内未出现传染病相关临</w:t>
      </w:r>
      <w:r>
        <w:rPr>
          <w:rFonts w:ascii="宋体" w:hAnsi="宋体" w:eastAsia="宋体" w:cs="宋体"/>
          <w:sz w:val="19"/>
          <w:szCs w:val="19"/>
        </w:rPr>
        <w:t xml:space="preserve"> </w:t>
      </w:r>
      <w:r>
        <w:rPr>
          <w:rFonts w:ascii="宋体" w:hAnsi="宋体" w:eastAsia="宋体" w:cs="宋体"/>
          <w:spacing w:val="23"/>
          <w:sz w:val="19"/>
          <w:szCs w:val="19"/>
        </w:rPr>
        <w:t>床症状但能排出病原体的人。大多数人感染病原体后会出现一定的病理损伤，严格来讲不应称为</w:t>
      </w:r>
      <w:r>
        <w:rPr>
          <w:rFonts w:ascii="宋体" w:hAnsi="宋体" w:eastAsia="宋体" w:cs="宋体"/>
          <w:spacing w:val="12"/>
          <w:sz w:val="19"/>
          <w:szCs w:val="19"/>
        </w:rPr>
        <w:t xml:space="preserve"> </w:t>
      </w:r>
      <w:r>
        <w:rPr>
          <w:rFonts w:ascii="宋体" w:hAnsi="宋体" w:eastAsia="宋体" w:cs="宋体"/>
          <w:spacing w:val="18"/>
          <w:sz w:val="19"/>
          <w:szCs w:val="19"/>
        </w:rPr>
        <w:t>健康者，但因其没有临床表现，在人群中不易区分，常以健康病原携带者进行表述。对于某些传染</w:t>
      </w:r>
      <w:r>
        <w:rPr>
          <w:rFonts w:ascii="宋体" w:hAnsi="宋体" w:eastAsia="宋体" w:cs="宋体"/>
          <w:spacing w:val="13"/>
          <w:sz w:val="19"/>
          <w:szCs w:val="19"/>
        </w:rPr>
        <w:t xml:space="preserve"> </w:t>
      </w:r>
      <w:r>
        <w:rPr>
          <w:rFonts w:ascii="宋体" w:hAnsi="宋体" w:eastAsia="宋体" w:cs="宋体"/>
          <w:spacing w:val="12"/>
          <w:sz w:val="19"/>
          <w:szCs w:val="19"/>
        </w:rPr>
        <w:t>病，如乙型肝炎、丙型肝炎等，健康病原携带者数量较多，是非常重要的传染源。</w:t>
      </w:r>
    </w:p>
    <w:p w14:paraId="4D317D01">
      <w:pPr>
        <w:spacing w:before="147" w:line="351" w:lineRule="auto"/>
        <w:ind w:right="577" w:firstLine="399"/>
        <w:jc w:val="both"/>
        <w:rPr>
          <w:rFonts w:ascii="宋体" w:hAnsi="宋体" w:eastAsia="宋体" w:cs="宋体"/>
          <w:sz w:val="19"/>
          <w:szCs w:val="19"/>
        </w:rPr>
      </w:pPr>
      <w:r>
        <w:rPr>
          <w:rFonts w:ascii="宋体" w:hAnsi="宋体" w:eastAsia="宋体" w:cs="宋体"/>
          <w:spacing w:val="16"/>
          <w:sz w:val="19"/>
          <w:szCs w:val="19"/>
        </w:rPr>
        <w:t>病原携带者作为传染源的意义取决于其类型、排出病原体的数量及持续时间、</w:t>
      </w:r>
      <w:r>
        <w:rPr>
          <w:rFonts w:ascii="宋体" w:hAnsi="宋体" w:eastAsia="宋体" w:cs="宋体"/>
          <w:spacing w:val="15"/>
          <w:sz w:val="19"/>
          <w:szCs w:val="19"/>
        </w:rPr>
        <w:t>职业、行为习惯、</w:t>
      </w:r>
      <w:r>
        <w:rPr>
          <w:rFonts w:ascii="宋体" w:hAnsi="宋体" w:eastAsia="宋体" w:cs="宋体"/>
          <w:sz w:val="19"/>
          <w:szCs w:val="19"/>
        </w:rPr>
        <w:t xml:space="preserve"> </w:t>
      </w:r>
      <w:r>
        <w:rPr>
          <w:rFonts w:ascii="宋体" w:hAnsi="宋体" w:eastAsia="宋体" w:cs="宋体"/>
          <w:spacing w:val="19"/>
          <w:sz w:val="19"/>
          <w:szCs w:val="19"/>
        </w:rPr>
        <w:t>生活环境、活动范围和卫生防疫措施等。在饮食服务、供水、托幼等机构工</w:t>
      </w:r>
      <w:r>
        <w:rPr>
          <w:rFonts w:ascii="宋体" w:hAnsi="宋体" w:eastAsia="宋体" w:cs="宋体"/>
          <w:spacing w:val="18"/>
          <w:sz w:val="19"/>
          <w:szCs w:val="19"/>
        </w:rPr>
        <w:t>作的病原携带者对人群</w:t>
      </w:r>
      <w:r>
        <w:rPr>
          <w:rFonts w:ascii="宋体" w:hAnsi="宋体" w:eastAsia="宋体" w:cs="宋体"/>
          <w:sz w:val="19"/>
          <w:szCs w:val="19"/>
        </w:rPr>
        <w:t xml:space="preserve"> </w:t>
      </w:r>
      <w:r>
        <w:rPr>
          <w:rFonts w:ascii="宋体" w:hAnsi="宋体" w:eastAsia="宋体" w:cs="宋体"/>
          <w:spacing w:val="11"/>
          <w:sz w:val="19"/>
          <w:szCs w:val="19"/>
        </w:rPr>
        <w:t>健康的威胁非常大，“伤寒玛丽”就是著名的实例。</w:t>
      </w:r>
    </w:p>
    <w:p w14:paraId="20D16164">
      <w:pPr>
        <w:spacing w:before="14" w:line="345" w:lineRule="auto"/>
        <w:ind w:right="664" w:firstLine="399"/>
        <w:rPr>
          <w:rFonts w:ascii="宋体" w:hAnsi="宋体" w:eastAsia="宋体" w:cs="宋体"/>
          <w:sz w:val="19"/>
          <w:szCs w:val="19"/>
        </w:rPr>
      </w:pPr>
      <w:r>
        <w:rPr>
          <w:rFonts w:ascii="宋体" w:hAnsi="宋体" w:eastAsia="宋体" w:cs="宋体"/>
          <w:spacing w:val="24"/>
          <w:sz w:val="19"/>
          <w:szCs w:val="19"/>
        </w:rPr>
        <w:t>病人和病原携带者在感染进程中，根据传染力的变化又可以分为潜隐期和传染期两个</w:t>
      </w:r>
      <w:r>
        <w:rPr>
          <w:rFonts w:ascii="宋体" w:hAnsi="宋体" w:eastAsia="宋体" w:cs="宋体"/>
          <w:spacing w:val="23"/>
          <w:sz w:val="19"/>
          <w:szCs w:val="19"/>
        </w:rPr>
        <w:t>主要阶</w:t>
      </w:r>
      <w:r>
        <w:rPr>
          <w:rFonts w:ascii="宋体" w:hAnsi="宋体" w:eastAsia="宋体" w:cs="宋体"/>
          <w:sz w:val="19"/>
          <w:szCs w:val="19"/>
        </w:rPr>
        <w:t xml:space="preserve"> </w:t>
      </w:r>
      <w:r>
        <w:rPr>
          <w:rFonts w:ascii="宋体" w:hAnsi="宋体" w:eastAsia="宋体" w:cs="宋体"/>
          <w:spacing w:val="16"/>
          <w:sz w:val="19"/>
          <w:szCs w:val="19"/>
        </w:rPr>
        <w:t>段(图11-1)。</w:t>
      </w:r>
    </w:p>
    <w:p w14:paraId="41433627">
      <w:pPr>
        <w:spacing w:before="1" w:line="370" w:lineRule="auto"/>
        <w:ind w:right="662" w:firstLine="399"/>
        <w:rPr>
          <w:rFonts w:ascii="宋体" w:hAnsi="宋体" w:eastAsia="宋体" w:cs="宋体"/>
          <w:sz w:val="19"/>
          <w:szCs w:val="19"/>
        </w:rPr>
      </w:pPr>
      <w:r>
        <w:rPr>
          <w:rFonts w:ascii="宋体" w:hAnsi="宋体" w:eastAsia="宋体" w:cs="宋体"/>
          <w:spacing w:val="12"/>
          <w:sz w:val="19"/>
          <w:szCs w:val="19"/>
        </w:rPr>
        <w:t>潜</w:t>
      </w:r>
      <w:r>
        <w:rPr>
          <w:rFonts w:ascii="宋体" w:hAnsi="宋体" w:eastAsia="宋体" w:cs="宋体"/>
          <w:spacing w:val="-9"/>
          <w:sz w:val="19"/>
          <w:szCs w:val="19"/>
        </w:rPr>
        <w:t xml:space="preserve"> </w:t>
      </w:r>
      <w:r>
        <w:rPr>
          <w:rFonts w:ascii="宋体" w:hAnsi="宋体" w:eastAsia="宋体" w:cs="宋体"/>
          <w:spacing w:val="12"/>
          <w:sz w:val="19"/>
          <w:szCs w:val="19"/>
        </w:rPr>
        <w:t>隐</w:t>
      </w:r>
      <w:r>
        <w:rPr>
          <w:rFonts w:ascii="宋体" w:hAnsi="宋体" w:eastAsia="宋体" w:cs="宋体"/>
          <w:spacing w:val="-30"/>
          <w:sz w:val="19"/>
          <w:szCs w:val="19"/>
        </w:rPr>
        <w:t xml:space="preserve"> </w:t>
      </w:r>
      <w:r>
        <w:rPr>
          <w:rFonts w:ascii="宋体" w:hAnsi="宋体" w:eastAsia="宋体" w:cs="宋体"/>
          <w:spacing w:val="12"/>
          <w:sz w:val="19"/>
          <w:szCs w:val="19"/>
        </w:rPr>
        <w:t>期</w:t>
      </w:r>
      <w:r>
        <w:rPr>
          <w:rFonts w:ascii="Times New Roman" w:hAnsi="Times New Roman" w:eastAsia="Times New Roman" w:cs="Times New Roman"/>
          <w:spacing w:val="12"/>
          <w:sz w:val="19"/>
          <w:szCs w:val="19"/>
        </w:rPr>
        <w:t>(</w:t>
      </w:r>
      <w:r>
        <w:rPr>
          <w:rFonts w:ascii="Times New Roman" w:hAnsi="Times New Roman" w:eastAsia="Times New Roman" w:cs="Times New Roman"/>
          <w:sz w:val="19"/>
          <w:szCs w:val="19"/>
        </w:rPr>
        <w:t>latent</w:t>
      </w:r>
      <w:r>
        <w:rPr>
          <w:rFonts w:ascii="Times New Roman" w:hAnsi="Times New Roman" w:eastAsia="Times New Roman" w:cs="Times New Roman"/>
          <w:spacing w:val="12"/>
          <w:sz w:val="19"/>
          <w:szCs w:val="19"/>
        </w:rPr>
        <w:t xml:space="preserve">       </w:t>
      </w:r>
      <w:r>
        <w:rPr>
          <w:rFonts w:ascii="Times New Roman" w:hAnsi="Times New Roman" w:eastAsia="Times New Roman" w:cs="Times New Roman"/>
          <w:sz w:val="19"/>
          <w:szCs w:val="19"/>
        </w:rPr>
        <w:t>period</w:t>
      </w:r>
      <w:r>
        <w:rPr>
          <w:rFonts w:ascii="Times New Roman" w:hAnsi="Times New Roman" w:eastAsia="Times New Roman" w:cs="Times New Roman"/>
          <w:spacing w:val="12"/>
          <w:sz w:val="19"/>
          <w:szCs w:val="19"/>
        </w:rPr>
        <w:t>):</w:t>
      </w:r>
      <w:r>
        <w:rPr>
          <w:rFonts w:ascii="宋体" w:hAnsi="宋体" w:eastAsia="宋体" w:cs="宋体"/>
          <w:spacing w:val="12"/>
          <w:sz w:val="19"/>
          <w:szCs w:val="19"/>
        </w:rPr>
        <w:t>宿主感染病原体之后，并不是立即具有传染性，从病原体侵入宿主到该</w:t>
      </w:r>
      <w:r>
        <w:rPr>
          <w:rFonts w:ascii="宋体" w:hAnsi="宋体" w:eastAsia="宋体" w:cs="宋体"/>
          <w:sz w:val="19"/>
          <w:szCs w:val="19"/>
        </w:rPr>
        <w:t xml:space="preserve"> </w:t>
      </w:r>
      <w:r>
        <w:rPr>
          <w:rFonts w:ascii="宋体" w:hAnsi="宋体" w:eastAsia="宋体" w:cs="宋体"/>
          <w:spacing w:val="23"/>
          <w:sz w:val="19"/>
          <w:szCs w:val="19"/>
        </w:rPr>
        <w:t>宿主可以排出病原体的间隔期称为潜隐期。传染力的潜隐期和疾病进程的潜伏期在时间上往往有</w:t>
      </w:r>
    </w:p>
    <w:p w14:paraId="5221509C">
      <w:pPr>
        <w:pStyle w:val="2"/>
        <w:spacing w:before="221" w:line="3630" w:lineRule="exact"/>
        <w:ind w:firstLine="1229"/>
      </w:pPr>
      <w:r>
        <w:rPr>
          <w:position w:val="-72"/>
        </w:rPr>
        <w:pict>
          <v:group id="_x0000_s1158" o:spid="_x0000_s1158" o:spt="203" style="height:181.5pt;width:326.55pt;" coordsize="6530,3630">
            <o:lock v:ext="edit"/>
            <v:shape id="_x0000_s1159" o:spid="_x0000_s1159" o:spt="75" type="#_x0000_t75" style="position:absolute;left:0;top:0;height:3630;width:6530;" filled="f" stroked="f" coordsize="21600,21600">
              <v:path/>
              <v:fill on="f" focussize="0,0"/>
              <v:stroke on="f"/>
              <v:imagedata r:id="rId627" o:title=""/>
              <o:lock v:ext="edit" aspectratio="t"/>
            </v:shape>
            <v:shape id="_x0000_s1160" o:spid="_x0000_s1160" o:spt="202" type="#_x0000_t202" style="position:absolute;left:19;top:94;height:3502;width:6495;" filled="f" stroked="f" coordsize="21600,21600">
              <v:path/>
              <v:fill on="f" focussize="0,0"/>
              <v:stroke on="f"/>
              <v:imagedata o:title=""/>
              <o:lock v:ext="edit" aspectratio="f"/>
              <v:textbox inset="0mm,0mm,0mm,0mm">
                <w:txbxContent>
                  <w:p w14:paraId="3BD88FF9">
                    <w:pPr>
                      <w:spacing w:before="20" w:line="219" w:lineRule="auto"/>
                      <w:ind w:left="902"/>
                      <w:rPr>
                        <w:rFonts w:ascii="宋体" w:hAnsi="宋体" w:eastAsia="宋体" w:cs="宋体"/>
                        <w:sz w:val="19"/>
                        <w:szCs w:val="19"/>
                      </w:rPr>
                    </w:pPr>
                    <w:r>
                      <w:rPr>
                        <w:rFonts w:ascii="宋体" w:hAnsi="宋体" w:eastAsia="宋体" w:cs="宋体"/>
                        <w:b/>
                        <w:bCs/>
                        <w:spacing w:val="-2"/>
                        <w:sz w:val="19"/>
                        <w:szCs w:val="19"/>
                      </w:rPr>
                      <w:t>A疾病损伤</w:t>
                    </w:r>
                  </w:p>
                  <w:p w14:paraId="26165438">
                    <w:pPr>
                      <w:spacing w:line="241" w:lineRule="auto"/>
                      <w:rPr>
                        <w:rFonts w:ascii="Arial"/>
                        <w:sz w:val="21"/>
                      </w:rPr>
                    </w:pPr>
                  </w:p>
                  <w:p w14:paraId="3191E281">
                    <w:pPr>
                      <w:spacing w:before="62" w:line="219" w:lineRule="auto"/>
                      <w:ind w:left="2902"/>
                      <w:rPr>
                        <w:rFonts w:ascii="宋体" w:hAnsi="宋体" w:eastAsia="宋体" w:cs="宋体"/>
                        <w:sz w:val="19"/>
                        <w:szCs w:val="19"/>
                      </w:rPr>
                    </w:pPr>
                    <w:r>
                      <w:rPr>
                        <w:rFonts w:ascii="宋体" w:hAnsi="宋体" w:eastAsia="宋体" w:cs="宋体"/>
                        <w:b/>
                        <w:bCs/>
                        <w:spacing w:val="-19"/>
                        <w:w w:val="98"/>
                        <w:position w:val="2"/>
                        <w:sz w:val="19"/>
                        <w:szCs w:val="19"/>
                      </w:rPr>
                      <w:t>出现症状</w:t>
                    </w:r>
                    <w:r>
                      <w:rPr>
                        <w:rFonts w:ascii="宋体" w:hAnsi="宋体" w:eastAsia="宋体" w:cs="宋体"/>
                        <w:spacing w:val="5"/>
                        <w:position w:val="2"/>
                        <w:sz w:val="19"/>
                        <w:szCs w:val="19"/>
                      </w:rPr>
                      <w:t xml:space="preserve">         </w:t>
                    </w:r>
                    <w:r>
                      <w:rPr>
                        <w:rFonts w:ascii="宋体" w:hAnsi="宋体" w:eastAsia="宋体" w:cs="宋体"/>
                        <w:b/>
                        <w:bCs/>
                        <w:spacing w:val="-19"/>
                        <w:w w:val="98"/>
                        <w:position w:val="-2"/>
                        <w:sz w:val="19"/>
                        <w:szCs w:val="19"/>
                      </w:rPr>
                      <w:t>症状消失</w:t>
                    </w:r>
                  </w:p>
                  <w:p w14:paraId="0B4F3123">
                    <w:pPr>
                      <w:spacing w:line="331" w:lineRule="auto"/>
                      <w:rPr>
                        <w:rFonts w:ascii="Arial"/>
                        <w:sz w:val="21"/>
                      </w:rPr>
                    </w:pPr>
                  </w:p>
                  <w:p w14:paraId="7A6E42CD">
                    <w:pPr>
                      <w:spacing w:before="61" w:line="231" w:lineRule="auto"/>
                      <w:ind w:left="3540"/>
                      <w:rPr>
                        <w:rFonts w:ascii="宋体" w:hAnsi="宋体" w:eastAsia="宋体" w:cs="宋体"/>
                        <w:sz w:val="19"/>
                        <w:szCs w:val="19"/>
                      </w:rPr>
                    </w:pPr>
                    <w:r>
                      <w:rPr>
                        <w:rFonts w:ascii="宋体" w:hAnsi="宋体" w:eastAsia="宋体" w:cs="宋体"/>
                        <w:spacing w:val="-15"/>
                        <w:sz w:val="19"/>
                        <w:szCs w:val="19"/>
                      </w:rPr>
                      <w:t>临床症状期</w:t>
                    </w:r>
                    <w:r>
                      <w:rPr>
                        <w:rFonts w:ascii="宋体" w:hAnsi="宋体" w:eastAsia="宋体" w:cs="宋体"/>
                        <w:spacing w:val="5"/>
                        <w:sz w:val="19"/>
                        <w:szCs w:val="19"/>
                      </w:rPr>
                      <w:t xml:space="preserve">       </w:t>
                    </w:r>
                    <w:r>
                      <w:rPr>
                        <w:rFonts w:ascii="宋体" w:hAnsi="宋体" w:eastAsia="宋体" w:cs="宋体"/>
                        <w:b/>
                        <w:bCs/>
                        <w:spacing w:val="-15"/>
                        <w:position w:val="1"/>
                        <w:sz w:val="19"/>
                        <w:szCs w:val="19"/>
                      </w:rPr>
                      <w:t>恢复期</w:t>
                    </w:r>
                  </w:p>
                  <w:p w14:paraId="1059A07F">
                    <w:pPr>
                      <w:spacing w:line="258" w:lineRule="auto"/>
                      <w:rPr>
                        <w:rFonts w:ascii="Arial"/>
                        <w:sz w:val="21"/>
                      </w:rPr>
                    </w:pPr>
                  </w:p>
                  <w:p w14:paraId="7DF36036">
                    <w:pPr>
                      <w:spacing w:before="62" w:line="182" w:lineRule="auto"/>
                      <w:jc w:val="right"/>
                      <w:rPr>
                        <w:rFonts w:ascii="黑体" w:hAnsi="黑体" w:eastAsia="黑体" w:cs="黑体"/>
                        <w:sz w:val="19"/>
                        <w:szCs w:val="19"/>
                      </w:rPr>
                    </w:pPr>
                    <w:r>
                      <w:rPr>
                        <w:rFonts w:ascii="黑体" w:hAnsi="黑体" w:eastAsia="黑体" w:cs="黑体"/>
                        <w:b/>
                        <w:bCs/>
                        <w:spacing w:val="-12"/>
                        <w:sz w:val="19"/>
                        <w:szCs w:val="19"/>
                      </w:rPr>
                      <w:t>时间</w:t>
                    </w:r>
                  </w:p>
                  <w:p w14:paraId="34429007">
                    <w:pPr>
                      <w:spacing w:before="1" w:line="215" w:lineRule="auto"/>
                      <w:ind w:left="3750"/>
                      <w:rPr>
                        <w:rFonts w:ascii="黑体" w:hAnsi="黑体" w:eastAsia="黑体" w:cs="黑体"/>
                        <w:sz w:val="19"/>
                        <w:szCs w:val="19"/>
                      </w:rPr>
                    </w:pPr>
                    <w:r>
                      <w:rPr>
                        <w:rFonts w:ascii="黑体" w:hAnsi="黑体" w:eastAsia="黑体" w:cs="黑体"/>
                        <w:spacing w:val="-11"/>
                        <w:sz w:val="19"/>
                        <w:szCs w:val="19"/>
                      </w:rPr>
                      <w:t>传染期</w:t>
                    </w:r>
                  </w:p>
                  <w:p w14:paraId="71EA4521">
                    <w:pPr>
                      <w:spacing w:line="280" w:lineRule="auto"/>
                      <w:rPr>
                        <w:rFonts w:ascii="Arial"/>
                        <w:sz w:val="21"/>
                      </w:rPr>
                    </w:pPr>
                  </w:p>
                  <w:p w14:paraId="043B9779">
                    <w:pPr>
                      <w:spacing w:before="61" w:line="158" w:lineRule="auto"/>
                      <w:ind w:left="20"/>
                      <w:rPr>
                        <w:rFonts w:ascii="宋体" w:hAnsi="宋体" w:eastAsia="宋体" w:cs="宋体"/>
                        <w:sz w:val="19"/>
                        <w:szCs w:val="19"/>
                      </w:rPr>
                    </w:pPr>
                    <w:r>
                      <w:rPr>
                        <w:rFonts w:ascii="宋体" w:hAnsi="宋体" w:eastAsia="宋体" w:cs="宋体"/>
                        <w:spacing w:val="-7"/>
                        <w:sz w:val="19"/>
                        <w:szCs w:val="19"/>
                      </w:rPr>
                      <w:t>感染进程</w:t>
                    </w:r>
                  </w:p>
                  <w:p w14:paraId="4065AED3">
                    <w:pPr>
                      <w:spacing w:before="1" w:line="202" w:lineRule="auto"/>
                      <w:ind w:left="2302"/>
                      <w:rPr>
                        <w:rFonts w:ascii="宋体" w:hAnsi="宋体" w:eastAsia="宋体" w:cs="宋体"/>
                        <w:sz w:val="19"/>
                        <w:szCs w:val="19"/>
                      </w:rPr>
                    </w:pPr>
                    <w:r>
                      <w:rPr>
                        <w:rFonts w:ascii="宋体" w:hAnsi="宋体" w:eastAsia="宋体" w:cs="宋体"/>
                        <w:b/>
                        <w:bCs/>
                        <w:spacing w:val="-12"/>
                        <w:sz w:val="19"/>
                        <w:szCs w:val="19"/>
                      </w:rPr>
                      <w:t>出现传染性</w:t>
                    </w:r>
                    <w:r>
                      <w:rPr>
                        <w:rFonts w:ascii="宋体" w:hAnsi="宋体" w:eastAsia="宋体" w:cs="宋体"/>
                        <w:spacing w:val="-12"/>
                        <w:sz w:val="19"/>
                        <w:szCs w:val="19"/>
                      </w:rPr>
                      <w:t xml:space="preserve">                     </w:t>
                    </w:r>
                    <w:r>
                      <w:rPr>
                        <w:rFonts w:ascii="宋体" w:hAnsi="宋体" w:eastAsia="宋体" w:cs="宋体"/>
                        <w:b/>
                        <w:bCs/>
                        <w:spacing w:val="-12"/>
                        <w:sz w:val="19"/>
                        <w:szCs w:val="19"/>
                      </w:rPr>
                      <w:t>传染性消失</w:t>
                    </w:r>
                  </w:p>
                  <w:p w14:paraId="1AFD2B78">
                    <w:pPr>
                      <w:spacing w:line="323" w:lineRule="auto"/>
                      <w:rPr>
                        <w:rFonts w:ascii="Arial"/>
                        <w:sz w:val="21"/>
                      </w:rPr>
                    </w:pPr>
                  </w:p>
                  <w:p w14:paraId="11F2C87F">
                    <w:pPr>
                      <w:spacing w:before="62" w:line="219" w:lineRule="auto"/>
                      <w:ind w:left="1029"/>
                      <w:rPr>
                        <w:rFonts w:ascii="宋体" w:hAnsi="宋体" w:eastAsia="宋体" w:cs="宋体"/>
                        <w:sz w:val="19"/>
                        <w:szCs w:val="19"/>
                      </w:rPr>
                    </w:pPr>
                    <w:r>
                      <w:rPr>
                        <w:rFonts w:ascii="宋体" w:hAnsi="宋体" w:eastAsia="宋体" w:cs="宋体"/>
                        <w:spacing w:val="-8"/>
                        <w:sz w:val="19"/>
                        <w:szCs w:val="19"/>
                      </w:rPr>
                      <w:t>传染力</w:t>
                    </w:r>
                  </w:p>
                </w:txbxContent>
              </v:textbox>
            </v:shape>
            <v:shape id="_x0000_s1161" o:spid="_x0000_s1161" o:spt="202" type="#_x0000_t202" style="position:absolute;left:1070;top:665;height:1603;width:1710;" filled="f" stroked="f" coordsize="21600,21600">
              <v:path/>
              <v:fill on="f" focussize="0,0"/>
              <v:stroke on="f"/>
              <v:imagedata o:title=""/>
              <o:lock v:ext="edit" aspectratio="f"/>
              <v:textbox inset="0mm,0mm,0mm,0mm">
                <w:txbxContent>
                  <w:p w14:paraId="0E825B65">
                    <w:pPr>
                      <w:spacing w:before="20" w:line="220" w:lineRule="auto"/>
                      <w:ind w:left="332"/>
                      <w:rPr>
                        <w:rFonts w:ascii="宋体" w:hAnsi="宋体" w:eastAsia="宋体" w:cs="宋体"/>
                        <w:sz w:val="19"/>
                        <w:szCs w:val="19"/>
                      </w:rPr>
                    </w:pPr>
                    <w:r>
                      <w:rPr>
                        <w:rFonts w:ascii="宋体" w:hAnsi="宋体" w:eastAsia="宋体" w:cs="宋体"/>
                        <w:b/>
                        <w:bCs/>
                        <w:spacing w:val="-10"/>
                        <w:sz w:val="19"/>
                        <w:szCs w:val="19"/>
                      </w:rPr>
                      <w:t>病原感染</w:t>
                    </w:r>
                  </w:p>
                  <w:p w14:paraId="5E2E8F79">
                    <w:pPr>
                      <w:spacing w:line="388" w:lineRule="auto"/>
                      <w:rPr>
                        <w:rFonts w:ascii="Arial"/>
                        <w:sz w:val="21"/>
                      </w:rPr>
                    </w:pPr>
                  </w:p>
                  <w:p w14:paraId="3FFC3340">
                    <w:pPr>
                      <w:spacing w:before="61" w:line="224" w:lineRule="auto"/>
                      <w:ind w:left="20"/>
                      <w:rPr>
                        <w:rFonts w:ascii="宋体" w:hAnsi="宋体" w:eastAsia="宋体" w:cs="宋体"/>
                        <w:sz w:val="19"/>
                        <w:szCs w:val="19"/>
                      </w:rPr>
                    </w:pPr>
                    <w:r>
                      <w:rPr>
                        <w:rFonts w:ascii="宋体" w:hAnsi="宋体" w:eastAsia="宋体" w:cs="宋体"/>
                        <w:spacing w:val="-3"/>
                        <w:position w:val="-1"/>
                        <w:sz w:val="19"/>
                        <w:szCs w:val="19"/>
                      </w:rPr>
                      <w:t>易感期</w:t>
                    </w:r>
                    <w:r>
                      <w:rPr>
                        <w:rFonts w:ascii="宋体" w:hAnsi="宋体" w:eastAsia="宋体" w:cs="宋体"/>
                        <w:spacing w:val="15"/>
                        <w:position w:val="-1"/>
                        <w:sz w:val="19"/>
                        <w:szCs w:val="19"/>
                      </w:rPr>
                      <w:t xml:space="preserve">     </w:t>
                    </w:r>
                    <w:r>
                      <w:rPr>
                        <w:rFonts w:ascii="宋体" w:hAnsi="宋体" w:eastAsia="宋体" w:cs="宋体"/>
                        <w:b/>
                        <w:bCs/>
                        <w:spacing w:val="-3"/>
                        <w:position w:val="1"/>
                        <w:sz w:val="19"/>
                        <w:szCs w:val="19"/>
                      </w:rPr>
                      <w:t>潜伏期</w:t>
                    </w:r>
                  </w:p>
                  <w:p w14:paraId="2897E1DB">
                    <w:pPr>
                      <w:spacing w:line="369" w:lineRule="auto"/>
                      <w:rPr>
                        <w:rFonts w:ascii="Arial"/>
                        <w:sz w:val="21"/>
                      </w:rPr>
                    </w:pPr>
                  </w:p>
                  <w:p w14:paraId="7796F620">
                    <w:pPr>
                      <w:spacing w:before="61" w:line="230" w:lineRule="auto"/>
                      <w:ind w:left="49"/>
                      <w:rPr>
                        <w:rFonts w:ascii="宋体" w:hAnsi="宋体" w:eastAsia="宋体" w:cs="宋体"/>
                        <w:sz w:val="19"/>
                        <w:szCs w:val="19"/>
                      </w:rPr>
                    </w:pPr>
                    <w:r>
                      <w:rPr>
                        <w:rFonts w:ascii="宋体" w:hAnsi="宋体" w:eastAsia="宋体" w:cs="宋体"/>
                        <w:spacing w:val="-5"/>
                        <w:sz w:val="19"/>
                        <w:szCs w:val="19"/>
                      </w:rPr>
                      <w:t>易感期</w:t>
                    </w:r>
                    <w:r>
                      <w:rPr>
                        <w:rFonts w:ascii="宋体" w:hAnsi="宋体" w:eastAsia="宋体" w:cs="宋体"/>
                        <w:spacing w:val="9"/>
                        <w:sz w:val="19"/>
                        <w:szCs w:val="19"/>
                      </w:rPr>
                      <w:t xml:space="preserve">   </w:t>
                    </w:r>
                    <w:r>
                      <w:rPr>
                        <w:rFonts w:ascii="宋体" w:hAnsi="宋体" w:eastAsia="宋体" w:cs="宋体"/>
                        <w:spacing w:val="-5"/>
                        <w:sz w:val="19"/>
                        <w:szCs w:val="19"/>
                      </w:rPr>
                      <w:t>潜隐期</w:t>
                    </w:r>
                  </w:p>
                </w:txbxContent>
              </v:textbox>
            </v:shape>
            <v:shape id="_x0000_s1162" o:spid="_x0000_s1162" o:spt="202" type="#_x0000_t202" style="position:absolute;left:32;top:765;height:230;width:751;" filled="f" stroked="f" coordsize="21600,21600">
              <v:path/>
              <v:fill on="f" focussize="0,0"/>
              <v:stroke on="f"/>
              <v:imagedata o:title=""/>
              <o:lock v:ext="edit" aspectratio="f"/>
              <v:textbox inset="0mm,0mm,0mm,0mm">
                <w:txbxContent>
                  <w:p w14:paraId="20135296">
                    <w:pPr>
                      <w:spacing w:before="20" w:line="220" w:lineRule="auto"/>
                      <w:ind w:left="20"/>
                      <w:rPr>
                        <w:rFonts w:ascii="宋体" w:hAnsi="宋体" w:eastAsia="宋体" w:cs="宋体"/>
                        <w:sz w:val="19"/>
                        <w:szCs w:val="19"/>
                      </w:rPr>
                    </w:pPr>
                    <w:r>
                      <w:rPr>
                        <w:rFonts w:ascii="宋体" w:hAnsi="宋体" w:eastAsia="宋体" w:cs="宋体"/>
                        <w:b/>
                        <w:bCs/>
                        <w:spacing w:val="-12"/>
                        <w:sz w:val="19"/>
                        <w:szCs w:val="19"/>
                      </w:rPr>
                      <w:t>疾病进程</w:t>
                    </w:r>
                  </w:p>
                </w:txbxContent>
              </v:textbox>
            </v:shape>
            <w10:wrap type="none"/>
            <w10:anchorlock/>
          </v:group>
        </w:pict>
      </w:r>
    </w:p>
    <w:p w14:paraId="124676AC">
      <w:pPr>
        <w:pStyle w:val="2"/>
        <w:spacing w:before="133" w:line="221" w:lineRule="auto"/>
        <w:ind w:left="1862"/>
        <w:rPr>
          <w:sz w:val="19"/>
          <w:szCs w:val="19"/>
        </w:rPr>
      </w:pPr>
      <w:r>
        <w:rPr>
          <w:b/>
          <w:bCs/>
          <w:spacing w:val="-1"/>
          <w:sz w:val="19"/>
          <w:szCs w:val="19"/>
        </w:rPr>
        <w:t>图11-1</w:t>
      </w:r>
      <w:r>
        <w:rPr>
          <w:spacing w:val="90"/>
          <w:sz w:val="19"/>
          <w:szCs w:val="19"/>
        </w:rPr>
        <w:t xml:space="preserve"> </w:t>
      </w:r>
      <w:r>
        <w:rPr>
          <w:b/>
          <w:bCs/>
          <w:spacing w:val="-1"/>
          <w:sz w:val="19"/>
          <w:szCs w:val="19"/>
        </w:rPr>
        <w:t>病人及病原携带者在疾病进程和感染进程中的重要时期</w:t>
      </w:r>
    </w:p>
    <w:p w14:paraId="3413DB8B">
      <w:pPr>
        <w:spacing w:line="221" w:lineRule="auto"/>
        <w:rPr>
          <w:sz w:val="19"/>
          <w:szCs w:val="19"/>
        </w:rPr>
        <w:sectPr>
          <w:footerReference r:id="rId206" w:type="default"/>
          <w:pgSz w:w="11900" w:h="16820"/>
          <w:pgMar w:top="400" w:right="857" w:bottom="852" w:left="1420" w:header="0" w:footer="681" w:gutter="0"/>
          <w:cols w:space="720" w:num="1"/>
        </w:sectPr>
      </w:pPr>
    </w:p>
    <w:p w14:paraId="30715A35">
      <w:pPr>
        <w:pStyle w:val="2"/>
        <w:spacing w:before="46" w:line="221" w:lineRule="auto"/>
        <w:ind w:left="629"/>
        <w:rPr>
          <w:sz w:val="20"/>
          <w:szCs w:val="20"/>
        </w:rPr>
      </w:pPr>
      <w:bookmarkStart w:id="313" w:name="bookmark506"/>
      <w:bookmarkEnd w:id="313"/>
      <w:r>
        <w:rPr>
          <w:spacing w:val="-19"/>
          <w:w w:val="97"/>
          <w:sz w:val="20"/>
          <w:szCs w:val="20"/>
        </w:rPr>
        <w:t>第十一章 传染病流行病学</w:t>
      </w:r>
    </w:p>
    <w:p w14:paraId="622E405B">
      <w:pPr>
        <w:spacing w:line="281" w:lineRule="auto"/>
        <w:rPr>
          <w:rFonts w:ascii="Arial"/>
          <w:sz w:val="21"/>
        </w:rPr>
      </w:pPr>
    </w:p>
    <w:p w14:paraId="2D9FE813">
      <w:pPr>
        <w:spacing w:line="282" w:lineRule="auto"/>
        <w:rPr>
          <w:rFonts w:ascii="Arial"/>
          <w:sz w:val="21"/>
        </w:rPr>
      </w:pPr>
    </w:p>
    <w:p w14:paraId="67785DF8">
      <w:pPr>
        <w:spacing w:before="65" w:line="341" w:lineRule="auto"/>
        <w:ind w:left="629" w:right="87"/>
        <w:jc w:val="both"/>
        <w:rPr>
          <w:rFonts w:ascii="宋体" w:hAnsi="宋体" w:eastAsia="宋体" w:cs="宋体"/>
          <w:sz w:val="20"/>
          <w:szCs w:val="20"/>
        </w:rPr>
      </w:pPr>
      <w:r>
        <w:rPr>
          <w:rFonts w:ascii="宋体" w:hAnsi="宋体" w:eastAsia="宋体" w:cs="宋体"/>
          <w:spacing w:val="2"/>
          <w:sz w:val="20"/>
          <w:szCs w:val="20"/>
        </w:rPr>
        <w:t>较大重叠，但属于两个维度的概念，前者是针对传染力而言，而</w:t>
      </w:r>
      <w:r>
        <w:rPr>
          <w:rFonts w:ascii="宋体" w:hAnsi="宋体" w:eastAsia="宋体" w:cs="宋体"/>
          <w:spacing w:val="1"/>
          <w:sz w:val="20"/>
          <w:szCs w:val="20"/>
        </w:rPr>
        <w:t>后者是针对疾病进程而言。潜隐期</w:t>
      </w:r>
      <w:r>
        <w:rPr>
          <w:rFonts w:ascii="宋体" w:hAnsi="宋体" w:eastAsia="宋体" w:cs="宋体"/>
          <w:sz w:val="20"/>
          <w:szCs w:val="20"/>
        </w:rPr>
        <w:t xml:space="preserve"> </w:t>
      </w:r>
      <w:r>
        <w:rPr>
          <w:rFonts w:ascii="宋体" w:hAnsi="宋体" w:eastAsia="宋体" w:cs="宋体"/>
          <w:spacing w:val="1"/>
          <w:sz w:val="20"/>
          <w:szCs w:val="20"/>
        </w:rPr>
        <w:t>比潜伏期短的传染病病人，在临床症状出现前即可有传染性，对此类传染病，单纯依靠发现和隔离</w:t>
      </w:r>
      <w:r>
        <w:rPr>
          <w:rFonts w:ascii="宋体" w:hAnsi="宋体" w:eastAsia="宋体" w:cs="宋体"/>
          <w:spacing w:val="7"/>
          <w:sz w:val="20"/>
          <w:szCs w:val="20"/>
        </w:rPr>
        <w:t xml:space="preserve"> </w:t>
      </w:r>
      <w:r>
        <w:rPr>
          <w:rFonts w:ascii="宋体" w:hAnsi="宋体" w:eastAsia="宋体" w:cs="宋体"/>
          <w:spacing w:val="4"/>
          <w:sz w:val="20"/>
          <w:szCs w:val="20"/>
        </w:rPr>
        <w:t>病例无法很好防控。如发生在学校的流行性腮腺炎疫情，由于病人一般在腮腺肿胀前7天左右</w:t>
      </w:r>
      <w:r>
        <w:rPr>
          <w:rFonts w:ascii="宋体" w:hAnsi="宋体" w:eastAsia="宋体" w:cs="宋体"/>
          <w:spacing w:val="3"/>
          <w:sz w:val="20"/>
          <w:szCs w:val="20"/>
        </w:rPr>
        <w:t>即结</w:t>
      </w:r>
      <w:r>
        <w:rPr>
          <w:rFonts w:ascii="宋体" w:hAnsi="宋体" w:eastAsia="宋体" w:cs="宋体"/>
          <w:sz w:val="20"/>
          <w:szCs w:val="20"/>
        </w:rPr>
        <w:t xml:space="preserve"> 束潜隐期，开始具有传染性，通过晨午检等发现病人再隔离的措施无法</w:t>
      </w:r>
      <w:r>
        <w:rPr>
          <w:rFonts w:ascii="宋体" w:hAnsi="宋体" w:eastAsia="宋体" w:cs="宋体"/>
          <w:spacing w:val="-1"/>
          <w:sz w:val="20"/>
          <w:szCs w:val="20"/>
        </w:rPr>
        <w:t>达到隔离传染源的目的。</w:t>
      </w:r>
    </w:p>
    <w:p w14:paraId="41B9FBC7">
      <w:pPr>
        <w:spacing w:line="348" w:lineRule="auto"/>
        <w:ind w:left="629" w:firstLine="400"/>
        <w:jc w:val="both"/>
        <w:rPr>
          <w:rFonts w:ascii="宋体" w:hAnsi="宋体" w:eastAsia="宋体" w:cs="宋体"/>
          <w:sz w:val="20"/>
          <w:szCs w:val="20"/>
        </w:rPr>
      </w:pPr>
      <w:r>
        <w:rPr>
          <w:rFonts w:ascii="宋体" w:hAnsi="宋体" w:eastAsia="宋体" w:cs="宋体"/>
          <w:spacing w:val="4"/>
          <w:sz w:val="20"/>
          <w:szCs w:val="20"/>
        </w:rPr>
        <w:t>传染期</w:t>
      </w:r>
      <w:r>
        <w:rPr>
          <w:rFonts w:ascii="Times New Roman" w:hAnsi="Times New Roman" w:eastAsia="Times New Roman" w:cs="Times New Roman"/>
          <w:spacing w:val="4"/>
          <w:sz w:val="20"/>
          <w:szCs w:val="20"/>
        </w:rPr>
        <w:t>(</w:t>
      </w:r>
      <w:r>
        <w:rPr>
          <w:rFonts w:ascii="Times New Roman" w:hAnsi="Times New Roman" w:eastAsia="Times New Roman" w:cs="Times New Roman"/>
          <w:sz w:val="20"/>
          <w:szCs w:val="20"/>
        </w:rPr>
        <w:t>communicable</w:t>
      </w:r>
      <w:r>
        <w:rPr>
          <w:rFonts w:ascii="Times New Roman" w:hAnsi="Times New Roman" w:eastAsia="Times New Roman" w:cs="Times New Roman"/>
          <w:spacing w:val="24"/>
          <w:w w:val="101"/>
          <w:sz w:val="20"/>
          <w:szCs w:val="20"/>
        </w:rPr>
        <w:t xml:space="preserve">  </w:t>
      </w:r>
      <w:r>
        <w:rPr>
          <w:rFonts w:ascii="Times New Roman" w:hAnsi="Times New Roman" w:eastAsia="Times New Roman" w:cs="Times New Roman"/>
          <w:sz w:val="20"/>
          <w:szCs w:val="20"/>
        </w:rPr>
        <w:t>period</w:t>
      </w:r>
      <w:r>
        <w:rPr>
          <w:rFonts w:ascii="Times New Roman" w:hAnsi="Times New Roman" w:eastAsia="Times New Roman" w:cs="Times New Roman"/>
          <w:spacing w:val="4"/>
          <w:sz w:val="20"/>
          <w:szCs w:val="20"/>
        </w:rPr>
        <w:t>):</w:t>
      </w:r>
      <w:r>
        <w:rPr>
          <w:rFonts w:ascii="宋体" w:hAnsi="宋体" w:eastAsia="宋体" w:cs="宋体"/>
          <w:spacing w:val="4"/>
          <w:sz w:val="20"/>
          <w:szCs w:val="20"/>
        </w:rPr>
        <w:t>指感染者排出病原体的整个时期。感染者在其病程的不同</w:t>
      </w:r>
      <w:r>
        <w:rPr>
          <w:rFonts w:ascii="宋体" w:hAnsi="宋体" w:eastAsia="宋体" w:cs="宋体"/>
          <w:spacing w:val="3"/>
          <w:sz w:val="20"/>
          <w:szCs w:val="20"/>
        </w:rPr>
        <w:t>时期，</w:t>
      </w:r>
      <w:r>
        <w:rPr>
          <w:rFonts w:ascii="宋体" w:hAnsi="宋体" w:eastAsia="宋体" w:cs="宋体"/>
          <w:sz w:val="20"/>
          <w:szCs w:val="20"/>
        </w:rPr>
        <w:t xml:space="preserve"> </w:t>
      </w:r>
      <w:r>
        <w:rPr>
          <w:rFonts w:ascii="宋体" w:hAnsi="宋体" w:eastAsia="宋体" w:cs="宋体"/>
          <w:spacing w:val="2"/>
          <w:sz w:val="20"/>
          <w:szCs w:val="20"/>
        </w:rPr>
        <w:t>因是否排出病原体及排出病原体的数量和频率不同，作</w:t>
      </w:r>
      <w:r>
        <w:rPr>
          <w:rFonts w:ascii="宋体" w:hAnsi="宋体" w:eastAsia="宋体" w:cs="宋体"/>
          <w:spacing w:val="1"/>
          <w:sz w:val="20"/>
          <w:szCs w:val="20"/>
        </w:rPr>
        <w:t>为传染源的意义也不同。传染期的长短可影</w:t>
      </w:r>
      <w:r>
        <w:rPr>
          <w:rFonts w:ascii="宋体" w:hAnsi="宋体" w:eastAsia="宋体" w:cs="宋体"/>
          <w:sz w:val="20"/>
          <w:szCs w:val="20"/>
        </w:rPr>
        <w:t xml:space="preserve">  </w:t>
      </w:r>
      <w:r>
        <w:rPr>
          <w:rFonts w:ascii="宋体" w:hAnsi="宋体" w:eastAsia="宋体" w:cs="宋体"/>
          <w:spacing w:val="-7"/>
          <w:sz w:val="20"/>
          <w:szCs w:val="20"/>
        </w:rPr>
        <w:t>响疾病的流行特征：传染期短的疾病，续发病例常成组、成簇出</w:t>
      </w:r>
      <w:r>
        <w:rPr>
          <w:rFonts w:ascii="宋体" w:hAnsi="宋体" w:eastAsia="宋体" w:cs="宋体"/>
          <w:spacing w:val="-8"/>
          <w:sz w:val="20"/>
          <w:szCs w:val="20"/>
        </w:rPr>
        <w:t>现；而传染期长的疾病，续发病例陆续</w:t>
      </w:r>
      <w:r>
        <w:rPr>
          <w:rFonts w:ascii="宋体" w:hAnsi="宋体" w:eastAsia="宋体" w:cs="宋体"/>
          <w:sz w:val="20"/>
          <w:szCs w:val="20"/>
        </w:rPr>
        <w:t xml:space="preserve">  </w:t>
      </w:r>
      <w:r>
        <w:rPr>
          <w:rFonts w:ascii="宋体" w:hAnsi="宋体" w:eastAsia="宋体" w:cs="宋体"/>
          <w:spacing w:val="2"/>
          <w:sz w:val="20"/>
          <w:szCs w:val="20"/>
        </w:rPr>
        <w:t>出现，持续时间可能较长。图11-1展示了病人及病原携带者在疾病进程和感染进程中的重要时期。</w:t>
      </w:r>
    </w:p>
    <w:p w14:paraId="4BB061C4">
      <w:pPr>
        <w:spacing w:before="11" w:line="323" w:lineRule="auto"/>
        <w:ind w:left="629" w:right="86" w:firstLine="402"/>
        <w:rPr>
          <w:rFonts w:ascii="宋体" w:hAnsi="宋体" w:eastAsia="宋体" w:cs="宋体"/>
          <w:sz w:val="20"/>
          <w:szCs w:val="20"/>
        </w:rPr>
      </w:pPr>
      <w:r>
        <w:rPr>
          <w:rFonts w:ascii="宋体" w:hAnsi="宋体" w:eastAsia="宋体" w:cs="宋体"/>
          <w:b/>
          <w:bCs/>
          <w:spacing w:val="4"/>
          <w:sz w:val="20"/>
          <w:szCs w:val="20"/>
        </w:rPr>
        <w:t>3.</w:t>
      </w:r>
      <w:r>
        <w:rPr>
          <w:rFonts w:ascii="宋体" w:hAnsi="宋体" w:eastAsia="宋体" w:cs="宋体"/>
          <w:spacing w:val="4"/>
          <w:sz w:val="20"/>
          <w:szCs w:val="20"/>
        </w:rPr>
        <w:t xml:space="preserve"> </w:t>
      </w:r>
      <w:r>
        <w:rPr>
          <w:rFonts w:ascii="宋体" w:hAnsi="宋体" w:eastAsia="宋体" w:cs="宋体"/>
          <w:b/>
          <w:bCs/>
          <w:spacing w:val="4"/>
          <w:sz w:val="20"/>
          <w:szCs w:val="20"/>
        </w:rPr>
        <w:t>受感染的动物</w:t>
      </w:r>
      <w:r>
        <w:rPr>
          <w:rFonts w:ascii="宋体" w:hAnsi="宋体" w:eastAsia="宋体" w:cs="宋体"/>
          <w:spacing w:val="1"/>
          <w:sz w:val="20"/>
          <w:szCs w:val="20"/>
        </w:rPr>
        <w:t xml:space="preserve">  </w:t>
      </w:r>
      <w:r>
        <w:rPr>
          <w:rFonts w:ascii="宋体" w:hAnsi="宋体" w:eastAsia="宋体" w:cs="宋体"/>
          <w:spacing w:val="4"/>
          <w:sz w:val="20"/>
          <w:szCs w:val="20"/>
        </w:rPr>
        <w:t>在脊椎动物与人类之间自然传播感染的疫</w:t>
      </w:r>
      <w:r>
        <w:rPr>
          <w:rFonts w:ascii="宋体" w:hAnsi="宋体" w:eastAsia="宋体" w:cs="宋体"/>
          <w:spacing w:val="3"/>
          <w:sz w:val="20"/>
          <w:szCs w:val="20"/>
        </w:rPr>
        <w:t>病称为人兽共患病或人畜共患病</w:t>
      </w:r>
      <w:r>
        <w:rPr>
          <w:rFonts w:ascii="宋体" w:hAnsi="宋体" w:eastAsia="宋体" w:cs="宋体"/>
          <w:spacing w:val="1"/>
          <w:sz w:val="20"/>
          <w:szCs w:val="20"/>
        </w:rPr>
        <w:t xml:space="preserve"> </w:t>
      </w:r>
      <w:r>
        <w:rPr>
          <w:rFonts w:ascii="Times New Roman" w:hAnsi="Times New Roman" w:eastAsia="Times New Roman" w:cs="Times New Roman"/>
          <w:spacing w:val="-3"/>
          <w:sz w:val="20"/>
          <w:szCs w:val="20"/>
        </w:rPr>
        <w:t xml:space="preserve">(zoonosis),  </w:t>
      </w:r>
      <w:r>
        <w:rPr>
          <w:rFonts w:ascii="宋体" w:hAnsi="宋体" w:eastAsia="宋体" w:cs="宋体"/>
          <w:spacing w:val="-3"/>
          <w:sz w:val="20"/>
          <w:szCs w:val="20"/>
        </w:rPr>
        <w:t>如鼠疫、狂犬病等，</w:t>
      </w:r>
      <w:r>
        <w:rPr>
          <w:rFonts w:ascii="宋体" w:hAnsi="宋体" w:eastAsia="宋体" w:cs="宋体"/>
          <w:spacing w:val="-4"/>
          <w:sz w:val="20"/>
          <w:szCs w:val="20"/>
        </w:rPr>
        <w:t>可分为以下四类：</w:t>
      </w:r>
    </w:p>
    <w:p w14:paraId="1806BB56">
      <w:pPr>
        <w:spacing w:before="41" w:line="285" w:lineRule="auto"/>
        <w:ind w:left="629" w:right="80" w:firstLine="400"/>
        <w:rPr>
          <w:rFonts w:ascii="宋体" w:hAnsi="宋体" w:eastAsia="宋体" w:cs="宋体"/>
          <w:sz w:val="20"/>
          <w:szCs w:val="20"/>
        </w:rPr>
      </w:pPr>
      <w:r>
        <w:rPr>
          <w:rFonts w:ascii="宋体" w:hAnsi="宋体" w:eastAsia="宋体" w:cs="宋体"/>
          <w:spacing w:val="4"/>
          <w:sz w:val="20"/>
          <w:szCs w:val="20"/>
        </w:rPr>
        <w:t>(1)以动物为主：病原体主要在动物间传播并延续，在一定条件下可以传给人，但人与人之间</w:t>
      </w:r>
      <w:r>
        <w:rPr>
          <w:rFonts w:ascii="宋体" w:hAnsi="宋体" w:eastAsia="宋体" w:cs="宋体"/>
          <w:spacing w:val="10"/>
          <w:sz w:val="20"/>
          <w:szCs w:val="20"/>
        </w:rPr>
        <w:t xml:space="preserve"> </w:t>
      </w:r>
      <w:r>
        <w:rPr>
          <w:rFonts w:ascii="宋体" w:hAnsi="宋体" w:eastAsia="宋体" w:cs="宋体"/>
          <w:spacing w:val="-9"/>
          <w:sz w:val="20"/>
          <w:szCs w:val="20"/>
        </w:rPr>
        <w:t>一般不传播，如狂犬病、森林脑炎、禽流感等。</w:t>
      </w:r>
    </w:p>
    <w:p w14:paraId="055BA73C">
      <w:pPr>
        <w:spacing w:before="133" w:line="219" w:lineRule="auto"/>
        <w:ind w:left="1030"/>
        <w:rPr>
          <w:rFonts w:ascii="宋体" w:hAnsi="宋体" w:eastAsia="宋体" w:cs="宋体"/>
          <w:sz w:val="20"/>
          <w:szCs w:val="20"/>
        </w:rPr>
      </w:pPr>
      <w:r>
        <w:rPr>
          <w:rFonts w:ascii="宋体" w:hAnsi="宋体" w:eastAsia="宋体" w:cs="宋体"/>
          <w:spacing w:val="-2"/>
          <w:sz w:val="20"/>
          <w:szCs w:val="20"/>
        </w:rPr>
        <w:t>(2)以人为主：疾病一般在人群中传播，偶然感染动物，如人型结核、阿米巴痢疾等。</w:t>
      </w:r>
    </w:p>
    <w:p w14:paraId="38EFD2C6">
      <w:pPr>
        <w:spacing w:before="132" w:line="219" w:lineRule="auto"/>
        <w:ind w:left="1030"/>
        <w:rPr>
          <w:rFonts w:ascii="宋体" w:hAnsi="宋体" w:eastAsia="宋体" w:cs="宋体"/>
          <w:sz w:val="20"/>
          <w:szCs w:val="20"/>
        </w:rPr>
      </w:pPr>
      <w:r>
        <w:rPr>
          <w:rFonts w:ascii="宋体" w:hAnsi="宋体" w:eastAsia="宋体" w:cs="宋体"/>
          <w:sz w:val="20"/>
          <w:szCs w:val="20"/>
        </w:rPr>
        <w:t>(3)人和动物并重：人和动物均可作为传染源，并可互为传染源，如血吸虫病。</w:t>
      </w:r>
    </w:p>
    <w:p w14:paraId="38C5B110">
      <w:pPr>
        <w:spacing w:before="155" w:line="280" w:lineRule="auto"/>
        <w:ind w:left="629" w:right="70" w:firstLine="400"/>
        <w:rPr>
          <w:rFonts w:ascii="宋体" w:hAnsi="宋体" w:eastAsia="宋体" w:cs="宋体"/>
          <w:sz w:val="20"/>
          <w:szCs w:val="20"/>
        </w:rPr>
      </w:pPr>
      <w:r>
        <w:rPr>
          <w:rFonts w:ascii="宋体" w:hAnsi="宋体" w:eastAsia="宋体" w:cs="宋体"/>
          <w:spacing w:val="5"/>
          <w:sz w:val="20"/>
          <w:szCs w:val="20"/>
        </w:rPr>
        <w:t>(4)真性共患病：病原体必须以人和动物分</w:t>
      </w:r>
      <w:r>
        <w:rPr>
          <w:rFonts w:ascii="宋体" w:hAnsi="宋体" w:eastAsia="宋体" w:cs="宋体"/>
          <w:spacing w:val="4"/>
          <w:sz w:val="20"/>
          <w:szCs w:val="20"/>
        </w:rPr>
        <w:t>别作为终宿主和中间宿主，即病原体的生活史必须</w:t>
      </w:r>
      <w:r>
        <w:rPr>
          <w:rFonts w:ascii="宋体" w:hAnsi="宋体" w:eastAsia="宋体" w:cs="宋体"/>
          <w:sz w:val="20"/>
          <w:szCs w:val="20"/>
        </w:rPr>
        <w:t xml:space="preserve"> </w:t>
      </w:r>
      <w:r>
        <w:rPr>
          <w:rFonts w:ascii="宋体" w:hAnsi="宋体" w:eastAsia="宋体" w:cs="宋体"/>
          <w:spacing w:val="-4"/>
          <w:sz w:val="20"/>
          <w:szCs w:val="20"/>
        </w:rPr>
        <w:t>在人和动物体内协同完成，缺一不可，如牛绦虫病等。</w:t>
      </w:r>
    </w:p>
    <w:p w14:paraId="4D66A8EF">
      <w:pPr>
        <w:spacing w:before="141" w:line="341" w:lineRule="auto"/>
        <w:ind w:left="629" w:firstLine="400"/>
        <w:rPr>
          <w:rFonts w:ascii="宋体" w:hAnsi="宋体" w:eastAsia="宋体" w:cs="宋体"/>
          <w:sz w:val="20"/>
          <w:szCs w:val="20"/>
        </w:rPr>
      </w:pPr>
      <w:r>
        <w:rPr>
          <w:rFonts w:ascii="宋体" w:hAnsi="宋体" w:eastAsia="宋体" w:cs="宋体"/>
          <w:spacing w:val="7"/>
          <w:sz w:val="20"/>
          <w:szCs w:val="20"/>
        </w:rPr>
        <w:t>动物作为传染源，其流行病学意义主要取决于人与受感染动物的</w:t>
      </w:r>
      <w:r>
        <w:rPr>
          <w:rFonts w:ascii="宋体" w:hAnsi="宋体" w:eastAsia="宋体" w:cs="宋体"/>
          <w:spacing w:val="6"/>
          <w:sz w:val="20"/>
          <w:szCs w:val="20"/>
        </w:rPr>
        <w:t>接触机会和密切程度、受感</w:t>
      </w:r>
      <w:r>
        <w:rPr>
          <w:rFonts w:ascii="宋体" w:hAnsi="宋体" w:eastAsia="宋体" w:cs="宋体"/>
          <w:sz w:val="20"/>
          <w:szCs w:val="20"/>
        </w:rPr>
        <w:t xml:space="preserve">  </w:t>
      </w:r>
      <w:r>
        <w:rPr>
          <w:rFonts w:ascii="宋体" w:hAnsi="宋体" w:eastAsia="宋体" w:cs="宋体"/>
          <w:spacing w:val="4"/>
          <w:sz w:val="20"/>
          <w:szCs w:val="20"/>
        </w:rPr>
        <w:t>染动物的种类和密度，以及环境中是否有适宜该疾病传播的条件等</w:t>
      </w:r>
      <w:r>
        <w:rPr>
          <w:rFonts w:ascii="宋体" w:hAnsi="宋体" w:eastAsia="宋体" w:cs="宋体"/>
          <w:spacing w:val="3"/>
          <w:sz w:val="20"/>
          <w:szCs w:val="20"/>
        </w:rPr>
        <w:t>。此类疾病的流行病学特征为：</w:t>
      </w:r>
    </w:p>
    <w:p w14:paraId="75F7C68F">
      <w:pPr>
        <w:spacing w:before="1" w:line="300" w:lineRule="auto"/>
        <w:ind w:left="629" w:right="80"/>
        <w:rPr>
          <w:rFonts w:ascii="宋体" w:hAnsi="宋体" w:eastAsia="宋体" w:cs="宋体"/>
          <w:sz w:val="20"/>
          <w:szCs w:val="20"/>
        </w:rPr>
      </w:pPr>
      <w:r>
        <w:rPr>
          <w:rFonts w:ascii="宋体" w:hAnsi="宋体" w:eastAsia="宋体" w:cs="宋体"/>
          <w:spacing w:val="2"/>
          <w:sz w:val="20"/>
          <w:szCs w:val="20"/>
        </w:rPr>
        <w:t>①在人群中多呈散发性，但也有些传染病传到人群后</w:t>
      </w:r>
      <w:r>
        <w:rPr>
          <w:rFonts w:ascii="宋体" w:hAnsi="宋体" w:eastAsia="宋体" w:cs="宋体"/>
          <w:spacing w:val="1"/>
          <w:sz w:val="20"/>
          <w:szCs w:val="20"/>
        </w:rPr>
        <w:t>，由于病原体变异或环境变化，原有的传播方</w:t>
      </w:r>
      <w:r>
        <w:rPr>
          <w:rFonts w:ascii="宋体" w:hAnsi="宋体" w:eastAsia="宋体" w:cs="宋体"/>
          <w:sz w:val="20"/>
          <w:szCs w:val="20"/>
        </w:rPr>
        <w:t xml:space="preserve"> </w:t>
      </w:r>
      <w:r>
        <w:rPr>
          <w:rFonts w:ascii="宋体" w:hAnsi="宋体" w:eastAsia="宋体" w:cs="宋体"/>
          <w:spacing w:val="2"/>
          <w:sz w:val="20"/>
          <w:szCs w:val="20"/>
        </w:rPr>
        <w:t>式发生改变，造成人传人的流行。②多数疾病有较明显的地区性，在人间流行之</w:t>
      </w:r>
      <w:r>
        <w:rPr>
          <w:rFonts w:ascii="宋体" w:hAnsi="宋体" w:eastAsia="宋体" w:cs="宋体"/>
          <w:spacing w:val="1"/>
          <w:sz w:val="20"/>
          <w:szCs w:val="20"/>
        </w:rPr>
        <w:t>前通常先有动物间</w:t>
      </w:r>
      <w:r>
        <w:rPr>
          <w:rFonts w:ascii="宋体" w:hAnsi="宋体" w:eastAsia="宋体" w:cs="宋体"/>
          <w:sz w:val="20"/>
          <w:szCs w:val="20"/>
        </w:rPr>
        <w:t xml:space="preserve"> </w:t>
      </w:r>
      <w:r>
        <w:rPr>
          <w:rFonts w:ascii="宋体" w:hAnsi="宋体" w:eastAsia="宋体" w:cs="宋体"/>
          <w:spacing w:val="1"/>
          <w:sz w:val="20"/>
          <w:szCs w:val="20"/>
        </w:rPr>
        <w:t>的流行。③有些疾病有严格的季节性。</w:t>
      </w:r>
    </w:p>
    <w:p w14:paraId="2280A2CF">
      <w:pPr>
        <w:pStyle w:val="2"/>
        <w:spacing w:before="153" w:line="222" w:lineRule="auto"/>
        <w:ind w:left="1032"/>
        <w:rPr>
          <w:sz w:val="20"/>
          <w:szCs w:val="20"/>
        </w:rPr>
      </w:pPr>
      <w:r>
        <w:rPr>
          <w:b/>
          <w:bCs/>
          <w:spacing w:val="27"/>
          <w:sz w:val="20"/>
          <w:szCs w:val="20"/>
        </w:rPr>
        <w:t>(二)传播途径</w:t>
      </w:r>
    </w:p>
    <w:p w14:paraId="63C73387">
      <w:pPr>
        <w:spacing w:before="91" w:line="343" w:lineRule="auto"/>
        <w:ind w:left="629" w:firstLine="400"/>
        <w:jc w:val="both"/>
        <w:rPr>
          <w:rFonts w:ascii="宋体" w:hAnsi="宋体" w:eastAsia="宋体" w:cs="宋体"/>
          <w:sz w:val="20"/>
          <w:szCs w:val="20"/>
        </w:rPr>
      </w:pPr>
      <w:r>
        <w:rPr>
          <w:rFonts w:ascii="宋体" w:hAnsi="宋体" w:eastAsia="宋体" w:cs="宋体"/>
          <w:spacing w:val="5"/>
          <w:sz w:val="20"/>
          <w:szCs w:val="20"/>
        </w:rPr>
        <w:t>传播途径</w:t>
      </w:r>
      <w:r>
        <w:rPr>
          <w:rFonts w:ascii="Times New Roman" w:hAnsi="Times New Roman" w:eastAsia="Times New Roman" w:cs="Times New Roman"/>
          <w:spacing w:val="5"/>
          <w:sz w:val="20"/>
          <w:szCs w:val="20"/>
        </w:rPr>
        <w:t>(</w:t>
      </w:r>
      <w:r>
        <w:rPr>
          <w:rFonts w:ascii="Times New Roman" w:hAnsi="Times New Roman" w:eastAsia="Times New Roman" w:cs="Times New Roman"/>
          <w:sz w:val="20"/>
          <w:szCs w:val="20"/>
        </w:rPr>
        <w:t>route</w:t>
      </w:r>
      <w:r>
        <w:rPr>
          <w:rFonts w:ascii="Times New Roman" w:hAnsi="Times New Roman" w:eastAsia="Times New Roman" w:cs="Times New Roman"/>
          <w:spacing w:val="5"/>
          <w:sz w:val="20"/>
          <w:szCs w:val="20"/>
        </w:rPr>
        <w:t xml:space="preserve">  </w:t>
      </w:r>
      <w:r>
        <w:rPr>
          <w:rFonts w:ascii="Times New Roman" w:hAnsi="Times New Roman" w:eastAsia="Times New Roman" w:cs="Times New Roman"/>
          <w:sz w:val="20"/>
          <w:szCs w:val="20"/>
        </w:rPr>
        <w:t>of</w:t>
      </w:r>
      <w:r>
        <w:rPr>
          <w:rFonts w:ascii="Times New Roman" w:hAnsi="Times New Roman" w:eastAsia="Times New Roman" w:cs="Times New Roman"/>
          <w:spacing w:val="5"/>
          <w:sz w:val="20"/>
          <w:szCs w:val="20"/>
        </w:rPr>
        <w:t xml:space="preserve">  </w:t>
      </w:r>
      <w:r>
        <w:rPr>
          <w:rFonts w:ascii="Times New Roman" w:hAnsi="Times New Roman" w:eastAsia="Times New Roman" w:cs="Times New Roman"/>
          <w:sz w:val="20"/>
          <w:szCs w:val="20"/>
        </w:rPr>
        <w:t>transmission</w:t>
      </w:r>
      <w:r>
        <w:rPr>
          <w:rFonts w:ascii="Times New Roman" w:hAnsi="Times New Roman" w:eastAsia="Times New Roman" w:cs="Times New Roman"/>
          <w:spacing w:val="5"/>
          <w:sz w:val="20"/>
          <w:szCs w:val="20"/>
        </w:rPr>
        <w:t>)</w:t>
      </w:r>
      <w:r>
        <w:rPr>
          <w:rFonts w:ascii="宋体" w:hAnsi="宋体" w:eastAsia="宋体" w:cs="宋体"/>
          <w:spacing w:val="5"/>
          <w:sz w:val="20"/>
          <w:szCs w:val="20"/>
        </w:rPr>
        <w:t>是指病原体从传染源排出至侵人新的易感宿主</w:t>
      </w:r>
      <w:r>
        <w:rPr>
          <w:rFonts w:ascii="宋体" w:hAnsi="宋体" w:eastAsia="宋体" w:cs="宋体"/>
          <w:spacing w:val="4"/>
          <w:sz w:val="20"/>
          <w:szCs w:val="20"/>
        </w:rPr>
        <w:t>前，在外环境中</w:t>
      </w:r>
      <w:r>
        <w:rPr>
          <w:rFonts w:ascii="宋体" w:hAnsi="宋体" w:eastAsia="宋体" w:cs="宋体"/>
          <w:sz w:val="20"/>
          <w:szCs w:val="20"/>
        </w:rPr>
        <w:t xml:space="preserve"> </w:t>
      </w:r>
      <w:r>
        <w:rPr>
          <w:rFonts w:ascii="宋体" w:hAnsi="宋体" w:eastAsia="宋体" w:cs="宋体"/>
          <w:spacing w:val="9"/>
          <w:sz w:val="20"/>
          <w:szCs w:val="20"/>
        </w:rPr>
        <w:t>所经历的全过程。传染病可通过一种或多种途径传播</w:t>
      </w:r>
      <w:r>
        <w:rPr>
          <w:rFonts w:ascii="宋体" w:hAnsi="宋体" w:eastAsia="宋体" w:cs="宋体"/>
          <w:spacing w:val="8"/>
          <w:sz w:val="20"/>
          <w:szCs w:val="20"/>
        </w:rPr>
        <w:t>。在外界的病原体必须借助一定的媒介物，</w:t>
      </w:r>
      <w:r>
        <w:rPr>
          <w:rFonts w:ascii="宋体" w:hAnsi="宋体" w:eastAsia="宋体" w:cs="宋体"/>
          <w:sz w:val="20"/>
          <w:szCs w:val="20"/>
        </w:rPr>
        <w:t xml:space="preserve"> </w:t>
      </w:r>
      <w:r>
        <w:rPr>
          <w:rFonts w:ascii="宋体" w:hAnsi="宋体" w:eastAsia="宋体" w:cs="宋体"/>
          <w:spacing w:val="4"/>
          <w:sz w:val="20"/>
          <w:szCs w:val="20"/>
        </w:rPr>
        <w:t>又称传播因素(如水、空气、食物、土壤等无生命物质)或传播媒介(如虫媒等活的生物),才能进人</w:t>
      </w:r>
      <w:r>
        <w:rPr>
          <w:rFonts w:ascii="宋体" w:hAnsi="宋体" w:eastAsia="宋体" w:cs="宋体"/>
          <w:spacing w:val="7"/>
          <w:sz w:val="20"/>
          <w:szCs w:val="20"/>
        </w:rPr>
        <w:t xml:space="preserve"> </w:t>
      </w:r>
      <w:r>
        <w:rPr>
          <w:rFonts w:ascii="宋体" w:hAnsi="宋体" w:eastAsia="宋体" w:cs="宋体"/>
          <w:sz w:val="20"/>
          <w:szCs w:val="20"/>
        </w:rPr>
        <w:t>易感宿主体内。传染病的传播主要有两种方式，即水平传播(horizontal transmission)和垂直传播</w:t>
      </w:r>
      <w:r>
        <w:rPr>
          <w:rFonts w:ascii="宋体" w:hAnsi="宋体" w:eastAsia="宋体" w:cs="宋体"/>
          <w:spacing w:val="7"/>
          <w:sz w:val="20"/>
          <w:szCs w:val="20"/>
        </w:rPr>
        <w:t xml:space="preserve"> </w:t>
      </w:r>
      <w:r>
        <w:rPr>
          <w:rFonts w:ascii="Times New Roman" w:hAnsi="Times New Roman" w:eastAsia="Times New Roman" w:cs="Times New Roman"/>
          <w:spacing w:val="4"/>
          <w:sz w:val="20"/>
          <w:szCs w:val="20"/>
        </w:rPr>
        <w:t>(</w:t>
      </w:r>
      <w:r>
        <w:rPr>
          <w:rFonts w:ascii="Times New Roman" w:hAnsi="Times New Roman" w:eastAsia="Times New Roman" w:cs="Times New Roman"/>
          <w:sz w:val="20"/>
          <w:szCs w:val="20"/>
        </w:rPr>
        <w:t>vertical</w:t>
      </w:r>
      <w:r>
        <w:rPr>
          <w:rFonts w:ascii="Times New Roman" w:hAnsi="Times New Roman" w:eastAsia="Times New Roman" w:cs="Times New Roman"/>
          <w:spacing w:val="4"/>
          <w:sz w:val="20"/>
          <w:szCs w:val="20"/>
        </w:rPr>
        <w:t xml:space="preserve">    </w:t>
      </w:r>
      <w:r>
        <w:rPr>
          <w:rFonts w:ascii="Times New Roman" w:hAnsi="Times New Roman" w:eastAsia="Times New Roman" w:cs="Times New Roman"/>
          <w:sz w:val="20"/>
          <w:szCs w:val="20"/>
        </w:rPr>
        <w:t>transmission</w:t>
      </w:r>
      <w:r>
        <w:rPr>
          <w:rFonts w:ascii="Times New Roman" w:hAnsi="Times New Roman" w:eastAsia="Times New Roman" w:cs="Times New Roman"/>
          <w:spacing w:val="4"/>
          <w:sz w:val="20"/>
          <w:szCs w:val="20"/>
        </w:rPr>
        <w:t>)</w:t>
      </w:r>
      <w:r>
        <w:rPr>
          <w:rFonts w:ascii="宋体" w:hAnsi="宋体" w:eastAsia="宋体" w:cs="宋体"/>
          <w:spacing w:val="4"/>
          <w:sz w:val="20"/>
          <w:szCs w:val="20"/>
        </w:rPr>
        <w:t>。水平传播是指病原体在外环境中借助媒介物实现人与人之间的传播。垂直</w:t>
      </w:r>
      <w:r>
        <w:rPr>
          <w:rFonts w:ascii="宋体" w:hAnsi="宋体" w:eastAsia="宋体" w:cs="宋体"/>
          <w:spacing w:val="8"/>
          <w:sz w:val="20"/>
          <w:szCs w:val="20"/>
        </w:rPr>
        <w:t xml:space="preserve"> </w:t>
      </w:r>
      <w:r>
        <w:rPr>
          <w:rFonts w:ascii="宋体" w:hAnsi="宋体" w:eastAsia="宋体" w:cs="宋体"/>
          <w:spacing w:val="2"/>
          <w:sz w:val="20"/>
          <w:szCs w:val="20"/>
        </w:rPr>
        <w:t>传播是指病原体通过母体直接传给子代。</w:t>
      </w:r>
    </w:p>
    <w:p w14:paraId="40590DED">
      <w:pPr>
        <w:pStyle w:val="2"/>
        <w:spacing w:line="212" w:lineRule="auto"/>
        <w:ind w:left="1030"/>
        <w:rPr>
          <w:rFonts w:ascii="宋体" w:hAnsi="宋体" w:eastAsia="宋体" w:cs="宋体"/>
          <w:sz w:val="20"/>
          <w:szCs w:val="20"/>
        </w:rPr>
      </w:pPr>
      <w:r>
        <w:rPr>
          <w:rFonts w:ascii="Times New Roman" w:hAnsi="Times New Roman" w:eastAsia="Times New Roman" w:cs="Times New Roman"/>
          <w:b/>
          <w:bCs/>
          <w:spacing w:val="1"/>
          <w:sz w:val="20"/>
          <w:szCs w:val="20"/>
        </w:rPr>
        <w:t xml:space="preserve">1.  </w:t>
      </w:r>
      <w:r>
        <w:rPr>
          <w:rFonts w:ascii="宋体" w:hAnsi="宋体" w:eastAsia="宋体" w:cs="宋体"/>
          <w:b/>
          <w:bCs/>
          <w:spacing w:val="1"/>
          <w:sz w:val="20"/>
          <w:szCs w:val="20"/>
        </w:rPr>
        <w:t>经空气传播(</w:t>
      </w:r>
      <w:r>
        <w:rPr>
          <w:rFonts w:ascii="宋体" w:hAnsi="宋体" w:eastAsia="宋体" w:cs="宋体"/>
          <w:spacing w:val="-52"/>
          <w:sz w:val="20"/>
          <w:szCs w:val="20"/>
        </w:rPr>
        <w:t xml:space="preserve"> </w:t>
      </w:r>
      <w:r>
        <w:rPr>
          <w:sz w:val="20"/>
          <w:szCs w:val="20"/>
        </w:rPr>
        <w:t>ai</w:t>
      </w:r>
      <w:r>
        <w:rPr>
          <w:rFonts w:ascii="Times New Roman" w:hAnsi="Times New Roman" w:eastAsia="Times New Roman" w:cs="Times New Roman"/>
          <w:sz w:val="20"/>
          <w:szCs w:val="20"/>
        </w:rPr>
        <w:t>r</w:t>
      </w:r>
      <w:r>
        <w:rPr>
          <w:rFonts w:ascii="Times New Roman" w:hAnsi="Times New Roman" w:eastAsia="Times New Roman" w:cs="Times New Roman"/>
          <w:spacing w:val="1"/>
          <w:sz w:val="20"/>
          <w:szCs w:val="20"/>
        </w:rPr>
        <w:t>-</w:t>
      </w:r>
      <w:r>
        <w:rPr>
          <w:rFonts w:ascii="Times New Roman" w:hAnsi="Times New Roman" w:eastAsia="Times New Roman" w:cs="Times New Roman"/>
          <w:sz w:val="20"/>
          <w:szCs w:val="20"/>
        </w:rPr>
        <w:t>borne</w:t>
      </w:r>
      <w:r>
        <w:rPr>
          <w:rFonts w:ascii="Times New Roman" w:hAnsi="Times New Roman" w:eastAsia="Times New Roman" w:cs="Times New Roman"/>
          <w:spacing w:val="1"/>
          <w:sz w:val="20"/>
          <w:szCs w:val="20"/>
        </w:rPr>
        <w:t xml:space="preserve">  </w:t>
      </w:r>
      <w:r>
        <w:rPr>
          <w:rFonts w:ascii="Times New Roman" w:hAnsi="Times New Roman" w:eastAsia="Times New Roman" w:cs="Times New Roman"/>
          <w:sz w:val="20"/>
          <w:szCs w:val="20"/>
        </w:rPr>
        <w:t>transmission</w:t>
      </w:r>
      <w:r>
        <w:rPr>
          <w:rFonts w:ascii="Times New Roman" w:hAnsi="Times New Roman" w:eastAsia="Times New Roman" w:cs="Times New Roman"/>
          <w:spacing w:val="1"/>
          <w:sz w:val="20"/>
          <w:szCs w:val="20"/>
        </w:rPr>
        <w:t xml:space="preserve">)   </w:t>
      </w:r>
      <w:r>
        <w:rPr>
          <w:rFonts w:ascii="宋体" w:hAnsi="宋体" w:eastAsia="宋体" w:cs="宋体"/>
          <w:spacing w:val="1"/>
          <w:sz w:val="20"/>
          <w:szCs w:val="20"/>
        </w:rPr>
        <w:t>是呼吸道传染病的主要传播途径。</w:t>
      </w:r>
    </w:p>
    <w:p w14:paraId="59D7E2E5">
      <w:pPr>
        <w:spacing w:before="132" w:line="313" w:lineRule="auto"/>
        <w:ind w:left="629" w:right="29" w:firstLine="400"/>
        <w:rPr>
          <w:rFonts w:ascii="宋体" w:hAnsi="宋体" w:eastAsia="宋体" w:cs="宋体"/>
          <w:sz w:val="20"/>
          <w:szCs w:val="20"/>
        </w:rPr>
      </w:pPr>
      <w:r>
        <w:rPr>
          <w:rFonts w:ascii="宋体" w:hAnsi="宋体" w:eastAsia="宋体" w:cs="宋体"/>
          <w:spacing w:val="2"/>
          <w:sz w:val="20"/>
          <w:szCs w:val="20"/>
        </w:rPr>
        <w:t>(1)经飞沫传播</w:t>
      </w:r>
      <w:r>
        <w:rPr>
          <w:rFonts w:ascii="Times New Roman" w:hAnsi="Times New Roman" w:eastAsia="Times New Roman" w:cs="Times New Roman"/>
          <w:spacing w:val="2"/>
          <w:sz w:val="20"/>
          <w:szCs w:val="20"/>
        </w:rPr>
        <w:t>(</w:t>
      </w:r>
      <w:r>
        <w:rPr>
          <w:rFonts w:ascii="Times New Roman" w:hAnsi="Times New Roman" w:eastAsia="Times New Roman" w:cs="Times New Roman"/>
          <w:sz w:val="20"/>
          <w:szCs w:val="20"/>
        </w:rPr>
        <w:t>droplet</w:t>
      </w:r>
      <w:r>
        <w:rPr>
          <w:rFonts w:ascii="Times New Roman" w:hAnsi="Times New Roman" w:eastAsia="Times New Roman" w:cs="Times New Roman"/>
          <w:spacing w:val="13"/>
          <w:w w:val="101"/>
          <w:sz w:val="20"/>
          <w:szCs w:val="20"/>
        </w:rPr>
        <w:t xml:space="preserve">   </w:t>
      </w:r>
      <w:r>
        <w:rPr>
          <w:rFonts w:ascii="Times New Roman" w:hAnsi="Times New Roman" w:eastAsia="Times New Roman" w:cs="Times New Roman"/>
          <w:sz w:val="20"/>
          <w:szCs w:val="20"/>
        </w:rPr>
        <w:t>transmission</w:t>
      </w:r>
      <w:r>
        <w:rPr>
          <w:rFonts w:ascii="Times New Roman" w:hAnsi="Times New Roman" w:eastAsia="Times New Roman" w:cs="Times New Roman"/>
          <w:spacing w:val="2"/>
          <w:sz w:val="20"/>
          <w:szCs w:val="20"/>
        </w:rPr>
        <w:t>):</w:t>
      </w:r>
      <w:r>
        <w:rPr>
          <w:rFonts w:ascii="宋体" w:hAnsi="宋体" w:eastAsia="宋体" w:cs="宋体"/>
          <w:spacing w:val="2"/>
          <w:sz w:val="20"/>
          <w:szCs w:val="20"/>
        </w:rPr>
        <w:t>病人呼气、喷嚏、咳嗽时，含有大量病原体的飞沫排人环</w:t>
      </w:r>
      <w:r>
        <w:rPr>
          <w:rFonts w:ascii="宋体" w:hAnsi="宋体" w:eastAsia="宋体" w:cs="宋体"/>
          <w:sz w:val="20"/>
          <w:szCs w:val="20"/>
        </w:rPr>
        <w:t xml:space="preserve"> </w:t>
      </w:r>
      <w:r>
        <w:rPr>
          <w:rFonts w:ascii="宋体" w:hAnsi="宋体" w:eastAsia="宋体" w:cs="宋体"/>
          <w:spacing w:val="-2"/>
          <w:sz w:val="20"/>
          <w:szCs w:val="20"/>
        </w:rPr>
        <w:t>境，大飞沫迅速降落到地面，小飞沫在空气</w:t>
      </w:r>
      <w:r>
        <w:rPr>
          <w:rFonts w:ascii="宋体" w:hAnsi="宋体" w:eastAsia="宋体" w:cs="宋体"/>
          <w:spacing w:val="-3"/>
          <w:sz w:val="20"/>
          <w:szCs w:val="20"/>
        </w:rPr>
        <w:t>中短暂停留，通常局限于传染源周围。因此，经飞沫传播</w:t>
      </w:r>
      <w:r>
        <w:rPr>
          <w:rFonts w:ascii="宋体" w:hAnsi="宋体" w:eastAsia="宋体" w:cs="宋体"/>
          <w:sz w:val="20"/>
          <w:szCs w:val="20"/>
        </w:rPr>
        <w:t xml:space="preserve"> </w:t>
      </w:r>
      <w:r>
        <w:rPr>
          <w:rFonts w:ascii="宋体" w:hAnsi="宋体" w:eastAsia="宋体" w:cs="宋体"/>
          <w:spacing w:val="-1"/>
          <w:sz w:val="20"/>
          <w:szCs w:val="20"/>
        </w:rPr>
        <w:t>常累及传染源周围的密切接触者，这类传染病病原体如流感病毒、脑膜炎</w:t>
      </w:r>
      <w:r>
        <w:rPr>
          <w:rFonts w:ascii="宋体" w:hAnsi="宋体" w:eastAsia="宋体" w:cs="宋体"/>
          <w:spacing w:val="-2"/>
          <w:sz w:val="20"/>
          <w:szCs w:val="20"/>
        </w:rPr>
        <w:t>奈瑟菌等。</w:t>
      </w:r>
    </w:p>
    <w:p w14:paraId="2EA20B8A">
      <w:pPr>
        <w:spacing w:before="102" w:line="307" w:lineRule="auto"/>
        <w:ind w:left="629" w:right="50" w:firstLine="400"/>
        <w:rPr>
          <w:rFonts w:ascii="宋体" w:hAnsi="宋体" w:eastAsia="宋体" w:cs="宋体"/>
          <w:sz w:val="20"/>
          <w:szCs w:val="20"/>
        </w:rPr>
      </w:pPr>
      <w:r>
        <w:rPr>
          <w:rFonts w:ascii="宋体" w:hAnsi="宋体" w:eastAsia="宋体" w:cs="宋体"/>
          <w:spacing w:val="9"/>
          <w:sz w:val="20"/>
          <w:szCs w:val="20"/>
        </w:rPr>
        <w:t>(2)经飞沫核传播</w:t>
      </w:r>
      <w:r>
        <w:rPr>
          <w:rFonts w:ascii="Times New Roman" w:hAnsi="Times New Roman" w:eastAsia="Times New Roman" w:cs="Times New Roman"/>
          <w:spacing w:val="9"/>
          <w:sz w:val="20"/>
          <w:szCs w:val="20"/>
        </w:rPr>
        <w:t>(</w:t>
      </w:r>
      <w:r>
        <w:rPr>
          <w:rFonts w:ascii="Times New Roman" w:hAnsi="Times New Roman" w:eastAsia="Times New Roman" w:cs="Times New Roman"/>
          <w:sz w:val="20"/>
          <w:szCs w:val="20"/>
        </w:rPr>
        <w:t>droplet</w:t>
      </w:r>
      <w:r>
        <w:rPr>
          <w:rFonts w:ascii="Times New Roman" w:hAnsi="Times New Roman" w:eastAsia="Times New Roman" w:cs="Times New Roman"/>
          <w:spacing w:val="9"/>
          <w:sz w:val="20"/>
          <w:szCs w:val="20"/>
        </w:rPr>
        <w:t xml:space="preserve">   </w:t>
      </w:r>
      <w:r>
        <w:rPr>
          <w:rFonts w:ascii="Times New Roman" w:hAnsi="Times New Roman" w:eastAsia="Times New Roman" w:cs="Times New Roman"/>
          <w:sz w:val="20"/>
          <w:szCs w:val="20"/>
        </w:rPr>
        <w:t>nucleus</w:t>
      </w:r>
      <w:r>
        <w:rPr>
          <w:rFonts w:ascii="Times New Roman" w:hAnsi="Times New Roman" w:eastAsia="Times New Roman" w:cs="Times New Roman"/>
          <w:spacing w:val="9"/>
          <w:sz w:val="20"/>
          <w:szCs w:val="20"/>
        </w:rPr>
        <w:t xml:space="preserve">   </w:t>
      </w:r>
      <w:r>
        <w:rPr>
          <w:rFonts w:ascii="Times New Roman" w:hAnsi="Times New Roman" w:eastAsia="Times New Roman" w:cs="Times New Roman"/>
          <w:sz w:val="20"/>
          <w:szCs w:val="20"/>
        </w:rPr>
        <w:t>transmission</w:t>
      </w:r>
      <w:r>
        <w:rPr>
          <w:rFonts w:ascii="Times New Roman" w:hAnsi="Times New Roman" w:eastAsia="Times New Roman" w:cs="Times New Roman"/>
          <w:spacing w:val="9"/>
          <w:sz w:val="20"/>
          <w:szCs w:val="20"/>
        </w:rPr>
        <w:t>):</w:t>
      </w:r>
      <w:r>
        <w:rPr>
          <w:rFonts w:ascii="宋体" w:hAnsi="宋体" w:eastAsia="宋体" w:cs="宋体"/>
          <w:spacing w:val="9"/>
          <w:sz w:val="20"/>
          <w:szCs w:val="20"/>
        </w:rPr>
        <w:t>飞沫核由飞沫在空气中失去水分后剩</w:t>
      </w:r>
      <w:r>
        <w:rPr>
          <w:rFonts w:ascii="宋体" w:hAnsi="宋体" w:eastAsia="宋体" w:cs="宋体"/>
          <w:spacing w:val="8"/>
          <w:sz w:val="20"/>
          <w:szCs w:val="20"/>
        </w:rPr>
        <w:t>下的蛋</w:t>
      </w:r>
      <w:r>
        <w:rPr>
          <w:rFonts w:ascii="宋体" w:hAnsi="宋体" w:eastAsia="宋体" w:cs="宋体"/>
          <w:sz w:val="20"/>
          <w:szCs w:val="20"/>
        </w:rPr>
        <w:t xml:space="preserve"> 白质和病原体所组成，可以以气溶胶的形式在空气中飘流，存留时间较长。</w:t>
      </w:r>
      <w:r>
        <w:rPr>
          <w:rFonts w:ascii="宋体" w:hAnsi="宋体" w:eastAsia="宋体" w:cs="宋体"/>
          <w:spacing w:val="-27"/>
          <w:sz w:val="20"/>
          <w:szCs w:val="20"/>
        </w:rPr>
        <w:t xml:space="preserve"> </w:t>
      </w:r>
      <w:r>
        <w:rPr>
          <w:rFonts w:ascii="宋体" w:hAnsi="宋体" w:eastAsia="宋体" w:cs="宋体"/>
          <w:sz w:val="20"/>
          <w:szCs w:val="20"/>
        </w:rPr>
        <w:t>一些耐干燥的病原体如 白喉棒状杆菌、结核分枝杆菌等可以以这种方式传播。</w:t>
      </w:r>
    </w:p>
    <w:p w14:paraId="6A9C2C59">
      <w:pPr>
        <w:spacing w:before="140" w:line="302" w:lineRule="auto"/>
        <w:ind w:left="629" w:right="49" w:firstLine="400"/>
        <w:rPr>
          <w:rFonts w:ascii="宋体" w:hAnsi="宋体" w:eastAsia="宋体" w:cs="宋体"/>
          <w:sz w:val="20"/>
          <w:szCs w:val="20"/>
        </w:rPr>
      </w:pPr>
      <w:r>
        <w:rPr>
          <w:rFonts w:ascii="宋体" w:hAnsi="宋体" w:eastAsia="宋体" w:cs="宋体"/>
          <w:spacing w:val="7"/>
          <w:sz w:val="20"/>
          <w:szCs w:val="20"/>
        </w:rPr>
        <w:t>(3)经尘埃传播</w:t>
      </w:r>
      <w:r>
        <w:rPr>
          <w:rFonts w:ascii="Times New Roman" w:hAnsi="Times New Roman" w:eastAsia="Times New Roman" w:cs="Times New Roman"/>
          <w:spacing w:val="7"/>
          <w:sz w:val="20"/>
          <w:szCs w:val="20"/>
        </w:rPr>
        <w:t>(</w:t>
      </w:r>
      <w:r>
        <w:rPr>
          <w:rFonts w:ascii="Times New Roman" w:hAnsi="Times New Roman" w:eastAsia="Times New Roman" w:cs="Times New Roman"/>
          <w:sz w:val="20"/>
          <w:szCs w:val="20"/>
        </w:rPr>
        <w:t>dust</w:t>
      </w:r>
      <w:r>
        <w:rPr>
          <w:rFonts w:ascii="Times New Roman" w:hAnsi="Times New Roman" w:eastAsia="Times New Roman" w:cs="Times New Roman"/>
          <w:spacing w:val="7"/>
          <w:sz w:val="20"/>
          <w:szCs w:val="20"/>
        </w:rPr>
        <w:t xml:space="preserve">    </w:t>
      </w:r>
      <w:r>
        <w:rPr>
          <w:rFonts w:ascii="Times New Roman" w:hAnsi="Times New Roman" w:eastAsia="Times New Roman" w:cs="Times New Roman"/>
          <w:sz w:val="20"/>
          <w:szCs w:val="20"/>
        </w:rPr>
        <w:t>transmission</w:t>
      </w:r>
      <w:r>
        <w:rPr>
          <w:rFonts w:ascii="Times New Roman" w:hAnsi="Times New Roman" w:eastAsia="Times New Roman" w:cs="Times New Roman"/>
          <w:spacing w:val="7"/>
          <w:sz w:val="20"/>
          <w:szCs w:val="20"/>
        </w:rPr>
        <w:t>);</w:t>
      </w:r>
      <w:r>
        <w:rPr>
          <w:rFonts w:ascii="宋体" w:hAnsi="宋体" w:eastAsia="宋体" w:cs="宋体"/>
          <w:spacing w:val="7"/>
          <w:sz w:val="20"/>
          <w:szCs w:val="20"/>
        </w:rPr>
        <w:t>含病原体的较大飞沫或分泌物落在地面干燥</w:t>
      </w:r>
      <w:r>
        <w:rPr>
          <w:rFonts w:ascii="宋体" w:hAnsi="宋体" w:eastAsia="宋体" w:cs="宋体"/>
          <w:spacing w:val="6"/>
          <w:sz w:val="20"/>
          <w:szCs w:val="20"/>
        </w:rPr>
        <w:t>后，随尘埃悬</w:t>
      </w:r>
      <w:r>
        <w:rPr>
          <w:rFonts w:ascii="宋体" w:hAnsi="宋体" w:eastAsia="宋体" w:cs="宋体"/>
          <w:sz w:val="20"/>
          <w:szCs w:val="20"/>
        </w:rPr>
        <w:t xml:space="preserve"> </w:t>
      </w:r>
      <w:r>
        <w:rPr>
          <w:rFonts w:ascii="宋体" w:hAnsi="宋体" w:eastAsia="宋体" w:cs="宋体"/>
          <w:spacing w:val="3"/>
          <w:sz w:val="20"/>
          <w:szCs w:val="20"/>
        </w:rPr>
        <w:t>浮于空气中，易感者吸入后可感染。对外界抵抗力较</w:t>
      </w:r>
      <w:r>
        <w:rPr>
          <w:rFonts w:ascii="宋体" w:hAnsi="宋体" w:eastAsia="宋体" w:cs="宋体"/>
          <w:spacing w:val="2"/>
          <w:sz w:val="20"/>
          <w:szCs w:val="20"/>
        </w:rPr>
        <w:t>强的病原体均可以此种方式传播，如结核分枝</w:t>
      </w:r>
      <w:r>
        <w:rPr>
          <w:rFonts w:ascii="宋体" w:hAnsi="宋体" w:eastAsia="宋体" w:cs="宋体"/>
          <w:sz w:val="20"/>
          <w:szCs w:val="20"/>
        </w:rPr>
        <w:t xml:space="preserve"> </w:t>
      </w:r>
      <w:r>
        <w:rPr>
          <w:rFonts w:ascii="宋体" w:hAnsi="宋体" w:eastAsia="宋体" w:cs="宋体"/>
          <w:spacing w:val="4"/>
          <w:sz w:val="20"/>
          <w:szCs w:val="20"/>
        </w:rPr>
        <w:t>杆菌和炭疽杆菌。</w:t>
      </w:r>
    </w:p>
    <w:p w14:paraId="512F9C6B">
      <w:pPr>
        <w:spacing w:before="160" w:line="217" w:lineRule="auto"/>
        <w:ind w:right="18"/>
        <w:jc w:val="right"/>
        <w:rPr>
          <w:rFonts w:ascii="宋体" w:hAnsi="宋体" w:eastAsia="宋体" w:cs="宋体"/>
          <w:sz w:val="20"/>
          <w:szCs w:val="20"/>
        </w:rPr>
      </w:pPr>
      <w:r>
        <w:rPr>
          <w:rFonts w:ascii="宋体" w:hAnsi="宋体" w:eastAsia="宋体" w:cs="宋体"/>
          <w:spacing w:val="3"/>
          <w:sz w:val="20"/>
          <w:szCs w:val="20"/>
        </w:rPr>
        <w:t>经空气传播的传染病的常见流行特征为：①传播途径容易实现，传播广泛，发病率高；②有明</w:t>
      </w:r>
    </w:p>
    <w:p w14:paraId="263B859C">
      <w:pPr>
        <w:spacing w:line="217" w:lineRule="auto"/>
        <w:rPr>
          <w:rFonts w:ascii="宋体" w:hAnsi="宋体" w:eastAsia="宋体" w:cs="宋体"/>
          <w:sz w:val="20"/>
          <w:szCs w:val="20"/>
        </w:rPr>
        <w:sectPr>
          <w:footerReference r:id="rId207" w:type="default"/>
          <w:pgSz w:w="11900" w:h="16820"/>
          <w:pgMar w:top="400" w:right="1579" w:bottom="889" w:left="929" w:header="0" w:footer="709" w:gutter="0"/>
          <w:cols w:space="720" w:num="1"/>
        </w:sectPr>
      </w:pPr>
    </w:p>
    <w:p w14:paraId="4C9A2A58">
      <w:pPr>
        <w:pStyle w:val="2"/>
        <w:spacing w:before="156" w:line="221" w:lineRule="auto"/>
        <w:ind w:left="6949"/>
        <w:rPr>
          <w:sz w:val="20"/>
          <w:szCs w:val="20"/>
        </w:rPr>
      </w:pPr>
      <w:bookmarkStart w:id="314" w:name="bookmark507"/>
      <w:bookmarkEnd w:id="314"/>
      <w:r>
        <w:rPr>
          <w:spacing w:val="-18"/>
          <w:w w:val="98"/>
          <w:sz w:val="20"/>
          <w:szCs w:val="20"/>
        </w:rPr>
        <w:t>第十一章 传染病流行病学</w:t>
      </w:r>
    </w:p>
    <w:p w14:paraId="2B624556">
      <w:pPr>
        <w:spacing w:line="285" w:lineRule="auto"/>
        <w:rPr>
          <w:rFonts w:ascii="Arial"/>
          <w:sz w:val="21"/>
        </w:rPr>
      </w:pPr>
    </w:p>
    <w:p w14:paraId="64455D3B">
      <w:pPr>
        <w:spacing w:line="286" w:lineRule="auto"/>
        <w:rPr>
          <w:rFonts w:ascii="Arial"/>
          <w:sz w:val="21"/>
        </w:rPr>
      </w:pPr>
    </w:p>
    <w:p w14:paraId="3B470A02">
      <w:pPr>
        <w:spacing w:before="65" w:line="355" w:lineRule="auto"/>
        <w:ind w:right="631"/>
        <w:rPr>
          <w:rFonts w:ascii="宋体" w:hAnsi="宋体" w:eastAsia="宋体" w:cs="宋体"/>
          <w:sz w:val="20"/>
          <w:szCs w:val="20"/>
        </w:rPr>
      </w:pPr>
      <w:r>
        <w:rPr>
          <w:rFonts w:ascii="宋体" w:hAnsi="宋体" w:eastAsia="宋体" w:cs="宋体"/>
          <w:spacing w:val="9"/>
          <w:sz w:val="20"/>
          <w:szCs w:val="20"/>
        </w:rPr>
        <w:t>显的季节性，多在冬春季高发；③在没有免疫预防人群中，发病呈周</w:t>
      </w:r>
      <w:r>
        <w:rPr>
          <w:rFonts w:ascii="宋体" w:hAnsi="宋体" w:eastAsia="宋体" w:cs="宋体"/>
          <w:spacing w:val="8"/>
          <w:sz w:val="20"/>
          <w:szCs w:val="20"/>
        </w:rPr>
        <w:t>期性；④拥挤和人口密度大的</w:t>
      </w:r>
      <w:r>
        <w:rPr>
          <w:rFonts w:ascii="宋体" w:hAnsi="宋体" w:eastAsia="宋体" w:cs="宋体"/>
          <w:sz w:val="20"/>
          <w:szCs w:val="20"/>
        </w:rPr>
        <w:t xml:space="preserve"> </w:t>
      </w:r>
      <w:r>
        <w:rPr>
          <w:rFonts w:ascii="宋体" w:hAnsi="宋体" w:eastAsia="宋体" w:cs="宋体"/>
          <w:spacing w:val="14"/>
          <w:sz w:val="20"/>
          <w:szCs w:val="20"/>
        </w:rPr>
        <w:t>地区高发。</w:t>
      </w:r>
    </w:p>
    <w:p w14:paraId="0A7AC523">
      <w:pPr>
        <w:spacing w:line="218" w:lineRule="auto"/>
        <w:ind w:left="402"/>
        <w:rPr>
          <w:rFonts w:ascii="宋体" w:hAnsi="宋体" w:eastAsia="宋体" w:cs="宋体"/>
          <w:sz w:val="20"/>
          <w:szCs w:val="20"/>
        </w:rPr>
      </w:pPr>
      <w:r>
        <w:rPr>
          <w:rFonts w:ascii="宋体" w:hAnsi="宋体" w:eastAsia="宋体" w:cs="宋体"/>
          <w:b/>
          <w:bCs/>
          <w:spacing w:val="2"/>
          <w:sz w:val="20"/>
          <w:szCs w:val="20"/>
        </w:rPr>
        <w:t>2.</w:t>
      </w:r>
      <w:r>
        <w:rPr>
          <w:rFonts w:ascii="宋体" w:hAnsi="宋体" w:eastAsia="宋体" w:cs="宋体"/>
          <w:spacing w:val="2"/>
          <w:sz w:val="20"/>
          <w:szCs w:val="20"/>
        </w:rPr>
        <w:t xml:space="preserve"> </w:t>
      </w:r>
      <w:r>
        <w:rPr>
          <w:rFonts w:ascii="宋体" w:hAnsi="宋体" w:eastAsia="宋体" w:cs="宋体"/>
          <w:b/>
          <w:bCs/>
          <w:spacing w:val="2"/>
          <w:sz w:val="20"/>
          <w:szCs w:val="20"/>
        </w:rPr>
        <w:t>经水传播(</w:t>
      </w:r>
      <w:r>
        <w:rPr>
          <w:rFonts w:ascii="宋体" w:hAnsi="宋体" w:eastAsia="宋体" w:cs="宋体"/>
          <w:spacing w:val="-60"/>
          <w:sz w:val="20"/>
          <w:szCs w:val="20"/>
        </w:rPr>
        <w:t xml:space="preserve"> </w:t>
      </w:r>
      <w:r>
        <w:rPr>
          <w:rFonts w:ascii="Arial" w:hAnsi="Arial" w:eastAsia="Arial" w:cs="Arial"/>
          <w:sz w:val="20"/>
          <w:szCs w:val="20"/>
        </w:rPr>
        <w:t>water</w:t>
      </w:r>
      <w:r>
        <w:rPr>
          <w:rFonts w:ascii="Arial" w:hAnsi="Arial" w:eastAsia="Arial" w:cs="Arial"/>
          <w:spacing w:val="2"/>
          <w:sz w:val="20"/>
          <w:szCs w:val="20"/>
        </w:rPr>
        <w:t>-</w:t>
      </w:r>
      <w:r>
        <w:rPr>
          <w:rFonts w:ascii="宋体" w:hAnsi="宋体" w:eastAsia="宋体" w:cs="宋体"/>
          <w:sz w:val="20"/>
          <w:szCs w:val="20"/>
        </w:rPr>
        <w:t>borne</w:t>
      </w:r>
      <w:r>
        <w:rPr>
          <w:rFonts w:ascii="宋体" w:hAnsi="宋体" w:eastAsia="宋体" w:cs="宋体"/>
          <w:spacing w:val="2"/>
          <w:sz w:val="20"/>
          <w:szCs w:val="20"/>
        </w:rPr>
        <w:t xml:space="preserve"> </w:t>
      </w:r>
      <w:r>
        <w:rPr>
          <w:rFonts w:ascii="宋体" w:hAnsi="宋体" w:eastAsia="宋体" w:cs="宋体"/>
          <w:sz w:val="20"/>
          <w:szCs w:val="20"/>
        </w:rPr>
        <w:t>transmission</w:t>
      </w:r>
      <w:r>
        <w:rPr>
          <w:rFonts w:ascii="宋体" w:hAnsi="宋体" w:eastAsia="宋体" w:cs="宋体"/>
          <w:spacing w:val="2"/>
          <w:sz w:val="20"/>
          <w:szCs w:val="20"/>
        </w:rPr>
        <w:t>) 肠道传染病和某些寄</w:t>
      </w:r>
      <w:r>
        <w:rPr>
          <w:rFonts w:ascii="宋体" w:hAnsi="宋体" w:eastAsia="宋体" w:cs="宋体"/>
          <w:spacing w:val="1"/>
          <w:sz w:val="20"/>
          <w:szCs w:val="20"/>
        </w:rPr>
        <w:t>生虫病一般通过此途径传播。</w:t>
      </w:r>
    </w:p>
    <w:p w14:paraId="12E95C37">
      <w:pPr>
        <w:spacing w:before="135" w:line="309" w:lineRule="auto"/>
        <w:ind w:right="526" w:firstLine="399"/>
        <w:rPr>
          <w:rFonts w:ascii="宋体" w:hAnsi="宋体" w:eastAsia="宋体" w:cs="宋体"/>
          <w:sz w:val="20"/>
          <w:szCs w:val="20"/>
        </w:rPr>
      </w:pPr>
      <w:r>
        <w:rPr>
          <w:rFonts w:ascii="宋体" w:hAnsi="宋体" w:eastAsia="宋体" w:cs="宋体"/>
          <w:spacing w:val="6"/>
          <w:sz w:val="20"/>
          <w:szCs w:val="20"/>
        </w:rPr>
        <w:t>(1)经饮用水传播：因水源受到污染，如自来水管破损导致污水渗人、粪便或污物污染等，导致</w:t>
      </w:r>
      <w:r>
        <w:rPr>
          <w:rFonts w:ascii="宋体" w:hAnsi="宋体" w:eastAsia="宋体" w:cs="宋体"/>
          <w:spacing w:val="4"/>
          <w:sz w:val="20"/>
          <w:szCs w:val="20"/>
        </w:rPr>
        <w:t xml:space="preserve">  </w:t>
      </w:r>
      <w:r>
        <w:rPr>
          <w:rFonts w:ascii="宋体" w:hAnsi="宋体" w:eastAsia="宋体" w:cs="宋体"/>
          <w:spacing w:val="2"/>
          <w:sz w:val="20"/>
          <w:szCs w:val="20"/>
        </w:rPr>
        <w:t>疾病传播，如戊型肝炎、轮状病毒感染腹泻等。此类传染病的流行强度取决于</w:t>
      </w:r>
      <w:r>
        <w:rPr>
          <w:rFonts w:ascii="宋体" w:hAnsi="宋体" w:eastAsia="宋体" w:cs="宋体"/>
          <w:spacing w:val="1"/>
          <w:sz w:val="20"/>
          <w:szCs w:val="20"/>
        </w:rPr>
        <w:t>水源污染的程度和频度、</w:t>
      </w:r>
      <w:r>
        <w:rPr>
          <w:rFonts w:ascii="宋体" w:hAnsi="宋体" w:eastAsia="宋体" w:cs="宋体"/>
          <w:sz w:val="20"/>
          <w:szCs w:val="20"/>
        </w:rPr>
        <w:t xml:space="preserve"> </w:t>
      </w:r>
      <w:r>
        <w:rPr>
          <w:rFonts w:ascii="宋体" w:hAnsi="宋体" w:eastAsia="宋体" w:cs="宋体"/>
          <w:spacing w:val="4"/>
          <w:sz w:val="20"/>
          <w:szCs w:val="20"/>
        </w:rPr>
        <w:t>水源类型、供水范围、居民的卫生习惯以及病原体在水中存活时间和病原体类型等</w:t>
      </w:r>
      <w:r>
        <w:rPr>
          <w:rFonts w:ascii="宋体" w:hAnsi="宋体" w:eastAsia="宋体" w:cs="宋体"/>
          <w:spacing w:val="3"/>
          <w:sz w:val="20"/>
          <w:szCs w:val="20"/>
        </w:rPr>
        <w:t>。其常见流行特征</w:t>
      </w:r>
      <w:r>
        <w:rPr>
          <w:rFonts w:ascii="宋体" w:hAnsi="宋体" w:eastAsia="宋体" w:cs="宋体"/>
          <w:sz w:val="20"/>
          <w:szCs w:val="20"/>
        </w:rPr>
        <w:t xml:space="preserve">  为：①病例分布与供水范围一致，有同一饮用水水源史；②除哺乳婴儿外，</w:t>
      </w:r>
      <w:r>
        <w:rPr>
          <w:rFonts w:ascii="宋体" w:hAnsi="宋体" w:eastAsia="宋体" w:cs="宋体"/>
          <w:spacing w:val="-1"/>
          <w:sz w:val="20"/>
          <w:szCs w:val="20"/>
        </w:rPr>
        <w:t>发病无年龄、性别、职业差</w:t>
      </w:r>
      <w:r>
        <w:rPr>
          <w:rFonts w:ascii="宋体" w:hAnsi="宋体" w:eastAsia="宋体" w:cs="宋体"/>
          <w:sz w:val="20"/>
          <w:szCs w:val="20"/>
        </w:rPr>
        <w:t xml:space="preserve">  </w:t>
      </w:r>
      <w:r>
        <w:rPr>
          <w:rFonts w:ascii="宋体" w:hAnsi="宋体" w:eastAsia="宋体" w:cs="宋体"/>
          <w:spacing w:val="1"/>
          <w:sz w:val="20"/>
          <w:szCs w:val="20"/>
        </w:rPr>
        <w:t>别；③如果水源持续受到污染，则病例终年</w:t>
      </w:r>
      <w:r>
        <w:rPr>
          <w:rFonts w:ascii="宋体" w:hAnsi="宋体" w:eastAsia="宋体" w:cs="宋体"/>
          <w:sz w:val="20"/>
          <w:szCs w:val="20"/>
        </w:rPr>
        <w:t>不断；④停用或净化污染水源后，暴发或流行即可平息。</w:t>
      </w:r>
    </w:p>
    <w:p w14:paraId="35295B0C">
      <w:pPr>
        <w:spacing w:before="145" w:line="311" w:lineRule="auto"/>
        <w:ind w:right="635" w:firstLine="399"/>
        <w:rPr>
          <w:rFonts w:ascii="宋体" w:hAnsi="宋体" w:eastAsia="宋体" w:cs="宋体"/>
          <w:sz w:val="20"/>
          <w:szCs w:val="20"/>
        </w:rPr>
      </w:pPr>
      <w:r>
        <w:rPr>
          <w:rFonts w:ascii="宋体" w:hAnsi="宋体" w:eastAsia="宋体" w:cs="宋体"/>
          <w:spacing w:val="11"/>
          <w:sz w:val="20"/>
          <w:szCs w:val="20"/>
        </w:rPr>
        <w:t>(2)经疫水接触传播：人们接触疫水(被污染而具有传染性的水体)时，病原体经过</w:t>
      </w:r>
      <w:r>
        <w:rPr>
          <w:rFonts w:ascii="宋体" w:hAnsi="宋体" w:eastAsia="宋体" w:cs="宋体"/>
          <w:spacing w:val="10"/>
          <w:sz w:val="20"/>
          <w:szCs w:val="20"/>
        </w:rPr>
        <w:t>皮肤、黏膜</w:t>
      </w:r>
      <w:r>
        <w:rPr>
          <w:rFonts w:ascii="宋体" w:hAnsi="宋体" w:eastAsia="宋体" w:cs="宋体"/>
          <w:sz w:val="20"/>
          <w:szCs w:val="20"/>
        </w:rPr>
        <w:t xml:space="preserve"> </w:t>
      </w:r>
      <w:r>
        <w:rPr>
          <w:rFonts w:ascii="宋体" w:hAnsi="宋体" w:eastAsia="宋体" w:cs="宋体"/>
          <w:spacing w:val="9"/>
          <w:sz w:val="20"/>
          <w:szCs w:val="20"/>
        </w:rPr>
        <w:t>侵人机体，如血吸虫病、钩端螺旋体病等。其常见</w:t>
      </w:r>
      <w:r>
        <w:rPr>
          <w:rFonts w:ascii="宋体" w:hAnsi="宋体" w:eastAsia="宋体" w:cs="宋体"/>
          <w:spacing w:val="8"/>
          <w:sz w:val="20"/>
          <w:szCs w:val="20"/>
        </w:rPr>
        <w:t>流行特征为：①病人有疫水接触史；②发病有地</w:t>
      </w:r>
      <w:r>
        <w:rPr>
          <w:rFonts w:ascii="宋体" w:hAnsi="宋体" w:eastAsia="宋体" w:cs="宋体"/>
          <w:sz w:val="20"/>
          <w:szCs w:val="20"/>
        </w:rPr>
        <w:t xml:space="preserve"> </w:t>
      </w:r>
      <w:r>
        <w:rPr>
          <w:rFonts w:ascii="宋体" w:hAnsi="宋体" w:eastAsia="宋体" w:cs="宋体"/>
          <w:spacing w:val="9"/>
          <w:sz w:val="20"/>
          <w:szCs w:val="20"/>
        </w:rPr>
        <w:t>区、季节和职业分布差异；③大量易感者进人疫区，可引起</w:t>
      </w:r>
      <w:r>
        <w:rPr>
          <w:rFonts w:ascii="宋体" w:hAnsi="宋体" w:eastAsia="宋体" w:cs="宋体"/>
          <w:spacing w:val="8"/>
          <w:sz w:val="20"/>
          <w:szCs w:val="20"/>
        </w:rPr>
        <w:t>暴发或流行；④个人防护和疫水处理措</w:t>
      </w:r>
      <w:r>
        <w:rPr>
          <w:rFonts w:ascii="宋体" w:hAnsi="宋体" w:eastAsia="宋体" w:cs="宋体"/>
          <w:sz w:val="20"/>
          <w:szCs w:val="20"/>
        </w:rPr>
        <w:t xml:space="preserve"> </w:t>
      </w:r>
      <w:r>
        <w:rPr>
          <w:rFonts w:ascii="宋体" w:hAnsi="宋体" w:eastAsia="宋体" w:cs="宋体"/>
          <w:spacing w:val="12"/>
          <w:sz w:val="20"/>
          <w:szCs w:val="20"/>
        </w:rPr>
        <w:t>施可有效控制疾病传播。</w:t>
      </w:r>
    </w:p>
    <w:p w14:paraId="00DB2C52">
      <w:pPr>
        <w:spacing w:before="140" w:line="342" w:lineRule="auto"/>
        <w:ind w:right="546" w:firstLine="402"/>
        <w:jc w:val="both"/>
        <w:rPr>
          <w:rFonts w:ascii="宋体" w:hAnsi="宋体" w:eastAsia="宋体" w:cs="宋体"/>
          <w:sz w:val="20"/>
          <w:szCs w:val="20"/>
        </w:rPr>
      </w:pPr>
      <w:r>
        <w:rPr>
          <w:rFonts w:ascii="宋体" w:hAnsi="宋体" w:eastAsia="宋体" w:cs="宋体"/>
          <w:b/>
          <w:bCs/>
          <w:spacing w:val="2"/>
          <w:sz w:val="20"/>
          <w:szCs w:val="20"/>
        </w:rPr>
        <w:t>3.</w:t>
      </w:r>
      <w:r>
        <w:rPr>
          <w:rFonts w:ascii="宋体" w:hAnsi="宋体" w:eastAsia="宋体" w:cs="宋体"/>
          <w:spacing w:val="2"/>
          <w:sz w:val="20"/>
          <w:szCs w:val="20"/>
        </w:rPr>
        <w:t xml:space="preserve"> </w:t>
      </w:r>
      <w:r>
        <w:rPr>
          <w:rFonts w:ascii="宋体" w:hAnsi="宋体" w:eastAsia="宋体" w:cs="宋体"/>
          <w:b/>
          <w:bCs/>
          <w:spacing w:val="2"/>
          <w:sz w:val="20"/>
          <w:szCs w:val="20"/>
        </w:rPr>
        <w:t>经食物传播</w:t>
      </w:r>
      <w:r>
        <w:rPr>
          <w:rFonts w:ascii="宋体" w:hAnsi="宋体" w:eastAsia="宋体" w:cs="宋体"/>
          <w:spacing w:val="2"/>
          <w:sz w:val="20"/>
          <w:szCs w:val="20"/>
        </w:rPr>
        <w:t>(</w:t>
      </w:r>
      <w:r>
        <w:rPr>
          <w:rFonts w:ascii="宋体" w:hAnsi="宋体" w:eastAsia="宋体" w:cs="宋体"/>
          <w:sz w:val="20"/>
          <w:szCs w:val="20"/>
        </w:rPr>
        <w:t>food</w:t>
      </w:r>
      <w:r>
        <w:rPr>
          <w:rFonts w:ascii="宋体" w:hAnsi="宋体" w:eastAsia="宋体" w:cs="宋体"/>
          <w:spacing w:val="2"/>
          <w:sz w:val="20"/>
          <w:szCs w:val="20"/>
        </w:rPr>
        <w:t>-</w:t>
      </w:r>
      <w:r>
        <w:rPr>
          <w:rFonts w:ascii="宋体" w:hAnsi="宋体" w:eastAsia="宋体" w:cs="宋体"/>
          <w:sz w:val="20"/>
          <w:szCs w:val="20"/>
        </w:rPr>
        <w:t>borne</w:t>
      </w:r>
      <w:r>
        <w:rPr>
          <w:rFonts w:ascii="宋体" w:hAnsi="宋体" w:eastAsia="宋体" w:cs="宋体"/>
          <w:spacing w:val="2"/>
          <w:sz w:val="20"/>
          <w:szCs w:val="20"/>
        </w:rPr>
        <w:t xml:space="preserve"> </w:t>
      </w:r>
      <w:r>
        <w:rPr>
          <w:rFonts w:ascii="宋体" w:hAnsi="宋体" w:eastAsia="宋体" w:cs="宋体"/>
          <w:sz w:val="20"/>
          <w:szCs w:val="20"/>
        </w:rPr>
        <w:t>transmission</w:t>
      </w:r>
      <w:r>
        <w:rPr>
          <w:rFonts w:ascii="宋体" w:hAnsi="宋体" w:eastAsia="宋体" w:cs="宋体"/>
          <w:spacing w:val="2"/>
          <w:sz w:val="20"/>
          <w:szCs w:val="20"/>
        </w:rPr>
        <w:t>) 是肠道传染病、某</w:t>
      </w:r>
      <w:r>
        <w:rPr>
          <w:rFonts w:ascii="宋体" w:hAnsi="宋体" w:eastAsia="宋体" w:cs="宋体"/>
          <w:spacing w:val="1"/>
          <w:sz w:val="20"/>
          <w:szCs w:val="20"/>
        </w:rPr>
        <w:t>些寄生虫病和少数呼吸道传染病的</w:t>
      </w:r>
      <w:r>
        <w:rPr>
          <w:rFonts w:ascii="宋体" w:hAnsi="宋体" w:eastAsia="宋体" w:cs="宋体"/>
          <w:sz w:val="20"/>
          <w:szCs w:val="20"/>
        </w:rPr>
        <w:t xml:space="preserve">  </w:t>
      </w:r>
      <w:r>
        <w:rPr>
          <w:rFonts w:ascii="宋体" w:hAnsi="宋体" w:eastAsia="宋体" w:cs="宋体"/>
          <w:spacing w:val="9"/>
          <w:sz w:val="20"/>
          <w:szCs w:val="20"/>
        </w:rPr>
        <w:t>传播途径，如甲型肝炎等。作为媒介物的食物可分为两类</w:t>
      </w:r>
      <w:r>
        <w:rPr>
          <w:rFonts w:ascii="宋体" w:hAnsi="宋体" w:eastAsia="宋体" w:cs="宋体"/>
          <w:spacing w:val="8"/>
          <w:sz w:val="20"/>
          <w:szCs w:val="20"/>
        </w:rPr>
        <w:t>，即本身含有病原体的食物和被病原体污</w:t>
      </w:r>
      <w:r>
        <w:rPr>
          <w:rFonts w:ascii="宋体" w:hAnsi="宋体" w:eastAsia="宋体" w:cs="宋体"/>
          <w:sz w:val="20"/>
          <w:szCs w:val="20"/>
        </w:rPr>
        <w:t xml:space="preserve">  </w:t>
      </w:r>
      <w:r>
        <w:rPr>
          <w:rFonts w:ascii="宋体" w:hAnsi="宋体" w:eastAsia="宋体" w:cs="宋体"/>
          <w:spacing w:val="11"/>
          <w:sz w:val="20"/>
          <w:szCs w:val="20"/>
        </w:rPr>
        <w:t>染的食物，人们食用后可引起传染病的传播。其常见流行病学特征</w:t>
      </w:r>
      <w:r>
        <w:rPr>
          <w:rFonts w:ascii="宋体" w:hAnsi="宋体" w:eastAsia="宋体" w:cs="宋体"/>
          <w:spacing w:val="10"/>
          <w:sz w:val="20"/>
          <w:szCs w:val="20"/>
        </w:rPr>
        <w:t>为：①病人有进食相同食物史，</w:t>
      </w:r>
      <w:r>
        <w:rPr>
          <w:rFonts w:ascii="宋体" w:hAnsi="宋体" w:eastAsia="宋体" w:cs="宋体"/>
          <w:sz w:val="20"/>
          <w:szCs w:val="20"/>
        </w:rPr>
        <w:t xml:space="preserve"> </w:t>
      </w:r>
      <w:r>
        <w:rPr>
          <w:rFonts w:ascii="宋体" w:hAnsi="宋体" w:eastAsia="宋体" w:cs="宋体"/>
          <w:spacing w:val="7"/>
          <w:sz w:val="20"/>
          <w:szCs w:val="20"/>
        </w:rPr>
        <w:t>不食者不发病；②潜伏期短，</w:t>
      </w:r>
      <w:r>
        <w:rPr>
          <w:rFonts w:ascii="宋体" w:hAnsi="宋体" w:eastAsia="宋体" w:cs="宋体"/>
          <w:spacing w:val="68"/>
          <w:sz w:val="20"/>
          <w:szCs w:val="20"/>
        </w:rPr>
        <w:t xml:space="preserve"> </w:t>
      </w:r>
      <w:r>
        <w:rPr>
          <w:rFonts w:ascii="宋体" w:hAnsi="宋体" w:eastAsia="宋体" w:cs="宋体"/>
          <w:spacing w:val="7"/>
          <w:sz w:val="20"/>
          <w:szCs w:val="20"/>
        </w:rPr>
        <w:t>一次大量污染可引起暴发；③停止供应污染</w:t>
      </w:r>
      <w:r>
        <w:rPr>
          <w:rFonts w:ascii="宋体" w:hAnsi="宋体" w:eastAsia="宋体" w:cs="宋体"/>
          <w:spacing w:val="6"/>
          <w:sz w:val="20"/>
          <w:szCs w:val="20"/>
        </w:rPr>
        <w:t>食物后，疫情即可平息；</w:t>
      </w:r>
    </w:p>
    <w:p w14:paraId="5953FB88">
      <w:pPr>
        <w:spacing w:line="217" w:lineRule="auto"/>
        <w:rPr>
          <w:rFonts w:ascii="宋体" w:hAnsi="宋体" w:eastAsia="宋体" w:cs="宋体"/>
          <w:sz w:val="20"/>
          <w:szCs w:val="20"/>
        </w:rPr>
      </w:pPr>
      <w:r>
        <w:rPr>
          <w:rFonts w:ascii="宋体" w:hAnsi="宋体" w:eastAsia="宋体" w:cs="宋体"/>
          <w:spacing w:val="8"/>
          <w:sz w:val="20"/>
          <w:szCs w:val="20"/>
        </w:rPr>
        <w:t>④如果食物持续被污染，疫情可持续较长的时间。</w:t>
      </w:r>
    </w:p>
    <w:p w14:paraId="1412F7F5">
      <w:pPr>
        <w:pStyle w:val="2"/>
        <w:spacing w:before="124" w:line="212" w:lineRule="auto"/>
        <w:ind w:left="399"/>
        <w:rPr>
          <w:rFonts w:ascii="宋体" w:hAnsi="宋体" w:eastAsia="宋体" w:cs="宋体"/>
          <w:sz w:val="20"/>
          <w:szCs w:val="20"/>
        </w:rPr>
      </w:pPr>
      <w:r>
        <w:rPr>
          <w:rFonts w:ascii="Times New Roman" w:hAnsi="Times New Roman" w:eastAsia="Times New Roman" w:cs="Times New Roman"/>
          <w:b/>
          <w:bCs/>
          <w:spacing w:val="8"/>
          <w:sz w:val="20"/>
          <w:szCs w:val="20"/>
        </w:rPr>
        <w:t xml:space="preserve">4.   </w:t>
      </w:r>
      <w:r>
        <w:rPr>
          <w:rFonts w:ascii="宋体" w:hAnsi="宋体" w:eastAsia="宋体" w:cs="宋体"/>
          <w:b/>
          <w:bCs/>
          <w:spacing w:val="8"/>
          <w:sz w:val="20"/>
          <w:szCs w:val="20"/>
        </w:rPr>
        <w:t>经接触传播(</w:t>
      </w:r>
      <w:r>
        <w:rPr>
          <w:sz w:val="20"/>
          <w:szCs w:val="20"/>
        </w:rPr>
        <w:t>co</w:t>
      </w:r>
      <w:r>
        <w:rPr>
          <w:rFonts w:ascii="Times New Roman" w:hAnsi="Times New Roman" w:eastAsia="Times New Roman" w:cs="Times New Roman"/>
          <w:sz w:val="20"/>
          <w:szCs w:val="20"/>
        </w:rPr>
        <w:t>ntact</w:t>
      </w:r>
      <w:r>
        <w:rPr>
          <w:rFonts w:ascii="Times New Roman" w:hAnsi="Times New Roman" w:eastAsia="Times New Roman" w:cs="Times New Roman"/>
          <w:spacing w:val="8"/>
          <w:sz w:val="20"/>
          <w:szCs w:val="20"/>
        </w:rPr>
        <w:t xml:space="preserve">    </w:t>
      </w:r>
      <w:r>
        <w:rPr>
          <w:rFonts w:ascii="Times New Roman" w:hAnsi="Times New Roman" w:eastAsia="Times New Roman" w:cs="Times New Roman"/>
          <w:sz w:val="20"/>
          <w:szCs w:val="20"/>
        </w:rPr>
        <w:t>transmission</w:t>
      </w:r>
      <w:r>
        <w:rPr>
          <w:rFonts w:ascii="Times New Roman" w:hAnsi="Times New Roman" w:eastAsia="Times New Roman" w:cs="Times New Roman"/>
          <w:spacing w:val="8"/>
          <w:sz w:val="20"/>
          <w:szCs w:val="20"/>
        </w:rPr>
        <w:t>)</w:t>
      </w:r>
      <w:r>
        <w:rPr>
          <w:rFonts w:ascii="Times New Roman" w:hAnsi="Times New Roman" w:eastAsia="Times New Roman" w:cs="Times New Roman"/>
          <w:spacing w:val="15"/>
          <w:w w:val="101"/>
          <w:sz w:val="20"/>
          <w:szCs w:val="20"/>
        </w:rPr>
        <w:t xml:space="preserve">  </w:t>
      </w:r>
      <w:r>
        <w:rPr>
          <w:rFonts w:ascii="宋体" w:hAnsi="宋体" w:eastAsia="宋体" w:cs="宋体"/>
          <w:spacing w:val="8"/>
          <w:sz w:val="20"/>
          <w:szCs w:val="20"/>
        </w:rPr>
        <w:t>分为直接</w:t>
      </w:r>
      <w:r>
        <w:rPr>
          <w:rFonts w:ascii="宋体" w:hAnsi="宋体" w:eastAsia="宋体" w:cs="宋体"/>
          <w:spacing w:val="7"/>
          <w:sz w:val="20"/>
          <w:szCs w:val="20"/>
        </w:rPr>
        <w:t>接触传播和间接接触传播两种。</w:t>
      </w:r>
    </w:p>
    <w:p w14:paraId="79F9A81E">
      <w:pPr>
        <w:spacing w:before="139" w:line="302" w:lineRule="auto"/>
        <w:ind w:right="546" w:firstLine="399"/>
        <w:rPr>
          <w:rFonts w:ascii="宋体" w:hAnsi="宋体" w:eastAsia="宋体" w:cs="宋体"/>
          <w:sz w:val="20"/>
          <w:szCs w:val="20"/>
        </w:rPr>
      </w:pPr>
      <w:r>
        <w:rPr>
          <w:rFonts w:ascii="宋体" w:hAnsi="宋体" w:eastAsia="宋体" w:cs="宋体"/>
          <w:spacing w:val="11"/>
          <w:sz w:val="20"/>
          <w:szCs w:val="20"/>
        </w:rPr>
        <w:t>(1)直接接触传播</w:t>
      </w:r>
      <w:r>
        <w:rPr>
          <w:rFonts w:ascii="Times New Roman" w:hAnsi="Times New Roman" w:eastAsia="Times New Roman" w:cs="Times New Roman"/>
          <w:spacing w:val="11"/>
          <w:sz w:val="20"/>
          <w:szCs w:val="20"/>
        </w:rPr>
        <w:t>(</w:t>
      </w:r>
      <w:r>
        <w:rPr>
          <w:rFonts w:ascii="Times New Roman" w:hAnsi="Times New Roman" w:eastAsia="Times New Roman" w:cs="Times New Roman"/>
          <w:sz w:val="20"/>
          <w:szCs w:val="20"/>
        </w:rPr>
        <w:t>direct</w:t>
      </w:r>
      <w:r>
        <w:rPr>
          <w:rFonts w:ascii="Times New Roman" w:hAnsi="Times New Roman" w:eastAsia="Times New Roman" w:cs="Times New Roman"/>
          <w:spacing w:val="11"/>
          <w:sz w:val="20"/>
          <w:szCs w:val="20"/>
        </w:rPr>
        <w:t xml:space="preserve">    </w:t>
      </w:r>
      <w:r>
        <w:rPr>
          <w:rFonts w:ascii="Times New Roman" w:hAnsi="Times New Roman" w:eastAsia="Times New Roman" w:cs="Times New Roman"/>
          <w:sz w:val="20"/>
          <w:szCs w:val="20"/>
        </w:rPr>
        <w:t>contact</w:t>
      </w:r>
      <w:r>
        <w:rPr>
          <w:rFonts w:ascii="Times New Roman" w:hAnsi="Times New Roman" w:eastAsia="Times New Roman" w:cs="Times New Roman"/>
          <w:spacing w:val="11"/>
          <w:sz w:val="20"/>
          <w:szCs w:val="20"/>
        </w:rPr>
        <w:t xml:space="preserve">    </w:t>
      </w:r>
      <w:r>
        <w:rPr>
          <w:rFonts w:ascii="Times New Roman" w:hAnsi="Times New Roman" w:eastAsia="Times New Roman" w:cs="Times New Roman"/>
          <w:sz w:val="20"/>
          <w:szCs w:val="20"/>
        </w:rPr>
        <w:t>transmission</w:t>
      </w:r>
      <w:r>
        <w:rPr>
          <w:rFonts w:ascii="Times New Roman" w:hAnsi="Times New Roman" w:eastAsia="Times New Roman" w:cs="Times New Roman"/>
          <w:spacing w:val="11"/>
          <w:sz w:val="20"/>
          <w:szCs w:val="20"/>
        </w:rPr>
        <w:t>):</w:t>
      </w:r>
      <w:r>
        <w:rPr>
          <w:rFonts w:ascii="宋体" w:hAnsi="宋体" w:eastAsia="宋体" w:cs="宋体"/>
          <w:spacing w:val="11"/>
          <w:sz w:val="20"/>
          <w:szCs w:val="20"/>
        </w:rPr>
        <w:t>指在没有外界因素参与下，易感者</w:t>
      </w:r>
      <w:r>
        <w:rPr>
          <w:rFonts w:ascii="宋体" w:hAnsi="宋体" w:eastAsia="宋体" w:cs="宋体"/>
          <w:spacing w:val="10"/>
          <w:sz w:val="20"/>
          <w:szCs w:val="20"/>
        </w:rPr>
        <w:t>与传染源直</w:t>
      </w:r>
      <w:r>
        <w:rPr>
          <w:rFonts w:ascii="宋体" w:hAnsi="宋体" w:eastAsia="宋体" w:cs="宋体"/>
          <w:sz w:val="20"/>
          <w:szCs w:val="20"/>
        </w:rPr>
        <w:t xml:space="preserve">  </w:t>
      </w:r>
      <w:r>
        <w:rPr>
          <w:rFonts w:ascii="宋体" w:hAnsi="宋体" w:eastAsia="宋体" w:cs="宋体"/>
          <w:spacing w:val="6"/>
          <w:sz w:val="20"/>
          <w:szCs w:val="20"/>
        </w:rPr>
        <w:t>接接触而导致的疾病传播，如性传播疾病、狂犬病等。直接接触的方式包括日常生活接</w:t>
      </w:r>
      <w:r>
        <w:rPr>
          <w:rFonts w:ascii="宋体" w:hAnsi="宋体" w:eastAsia="宋体" w:cs="宋体"/>
          <w:spacing w:val="5"/>
          <w:sz w:val="20"/>
          <w:szCs w:val="20"/>
        </w:rPr>
        <w:t>触、性接触、</w:t>
      </w:r>
      <w:r>
        <w:rPr>
          <w:rFonts w:ascii="宋体" w:hAnsi="宋体" w:eastAsia="宋体" w:cs="宋体"/>
          <w:sz w:val="20"/>
          <w:szCs w:val="20"/>
        </w:rPr>
        <w:t xml:space="preserve"> </w:t>
      </w:r>
      <w:r>
        <w:rPr>
          <w:rFonts w:ascii="宋体" w:hAnsi="宋体" w:eastAsia="宋体" w:cs="宋体"/>
          <w:spacing w:val="11"/>
          <w:sz w:val="20"/>
          <w:szCs w:val="20"/>
        </w:rPr>
        <w:t>咬伤或抓伤等。</w:t>
      </w:r>
    </w:p>
    <w:p w14:paraId="2701E22C">
      <w:pPr>
        <w:spacing w:before="150" w:line="310" w:lineRule="auto"/>
        <w:ind w:right="616" w:firstLine="399"/>
        <w:rPr>
          <w:rFonts w:ascii="宋体" w:hAnsi="宋体" w:eastAsia="宋体" w:cs="宋体"/>
          <w:sz w:val="20"/>
          <w:szCs w:val="20"/>
        </w:rPr>
      </w:pPr>
      <w:r>
        <w:rPr>
          <w:rFonts w:ascii="宋体" w:hAnsi="宋体" w:eastAsia="宋体" w:cs="宋体"/>
          <w:spacing w:val="2"/>
          <w:sz w:val="20"/>
          <w:szCs w:val="20"/>
        </w:rPr>
        <w:t>(2)间接接触传播(</w:t>
      </w:r>
      <w:r>
        <w:rPr>
          <w:rFonts w:ascii="宋体" w:hAnsi="宋体" w:eastAsia="宋体" w:cs="宋体"/>
          <w:sz w:val="20"/>
          <w:szCs w:val="20"/>
        </w:rPr>
        <w:t>indirect</w:t>
      </w:r>
      <w:r>
        <w:rPr>
          <w:rFonts w:ascii="宋体" w:hAnsi="宋体" w:eastAsia="宋体" w:cs="宋体"/>
          <w:spacing w:val="2"/>
          <w:sz w:val="20"/>
          <w:szCs w:val="20"/>
        </w:rPr>
        <w:t xml:space="preserve"> </w:t>
      </w:r>
      <w:r>
        <w:rPr>
          <w:rFonts w:ascii="宋体" w:hAnsi="宋体" w:eastAsia="宋体" w:cs="宋体"/>
          <w:sz w:val="20"/>
          <w:szCs w:val="20"/>
        </w:rPr>
        <w:t>contact</w:t>
      </w:r>
      <w:r>
        <w:rPr>
          <w:rFonts w:ascii="宋体" w:hAnsi="宋体" w:eastAsia="宋体" w:cs="宋体"/>
          <w:spacing w:val="2"/>
          <w:sz w:val="20"/>
          <w:szCs w:val="20"/>
        </w:rPr>
        <w:t xml:space="preserve"> </w:t>
      </w:r>
      <w:r>
        <w:rPr>
          <w:rFonts w:ascii="宋体" w:hAnsi="宋体" w:eastAsia="宋体" w:cs="宋体"/>
          <w:sz w:val="20"/>
          <w:szCs w:val="20"/>
        </w:rPr>
        <w:t>transmission</w:t>
      </w:r>
      <w:r>
        <w:rPr>
          <w:rFonts w:ascii="宋体" w:hAnsi="宋体" w:eastAsia="宋体" w:cs="宋体"/>
          <w:spacing w:val="2"/>
          <w:sz w:val="20"/>
          <w:szCs w:val="20"/>
        </w:rPr>
        <w:t xml:space="preserve">):指易感者接触了被病原体污染的物品所造成 </w:t>
      </w:r>
      <w:r>
        <w:rPr>
          <w:rFonts w:ascii="宋体" w:hAnsi="宋体" w:eastAsia="宋体" w:cs="宋体"/>
          <w:spacing w:val="9"/>
          <w:sz w:val="20"/>
          <w:szCs w:val="20"/>
        </w:rPr>
        <w:t>的传播。污染物品通常是被传染源的排泄物或分泌物</w:t>
      </w:r>
      <w:r>
        <w:rPr>
          <w:rFonts w:ascii="宋体" w:hAnsi="宋体" w:eastAsia="宋体" w:cs="宋体"/>
          <w:spacing w:val="8"/>
          <w:sz w:val="20"/>
          <w:szCs w:val="20"/>
        </w:rPr>
        <w:t>污染的日常生活用品，如毛巾、餐具、门把手</w:t>
      </w:r>
      <w:r>
        <w:rPr>
          <w:rFonts w:ascii="宋体" w:hAnsi="宋体" w:eastAsia="宋体" w:cs="宋体"/>
          <w:sz w:val="20"/>
          <w:szCs w:val="20"/>
        </w:rPr>
        <w:t xml:space="preserve"> </w:t>
      </w:r>
      <w:r>
        <w:rPr>
          <w:rFonts w:ascii="宋体" w:hAnsi="宋体" w:eastAsia="宋体" w:cs="宋体"/>
          <w:spacing w:val="4"/>
          <w:sz w:val="20"/>
          <w:szCs w:val="20"/>
        </w:rPr>
        <w:t>等，因此，这种传播方式又称为日常生活接触传播，如手足口病、水痘等。手的</w:t>
      </w:r>
      <w:r>
        <w:rPr>
          <w:rFonts w:ascii="宋体" w:hAnsi="宋体" w:eastAsia="宋体" w:cs="宋体"/>
          <w:spacing w:val="3"/>
          <w:sz w:val="20"/>
          <w:szCs w:val="20"/>
        </w:rPr>
        <w:t>污染在此类传播中起</w:t>
      </w:r>
      <w:r>
        <w:rPr>
          <w:rFonts w:ascii="宋体" w:hAnsi="宋体" w:eastAsia="宋体" w:cs="宋体"/>
          <w:sz w:val="20"/>
          <w:szCs w:val="20"/>
        </w:rPr>
        <w:t xml:space="preserve"> </w:t>
      </w:r>
      <w:r>
        <w:rPr>
          <w:rFonts w:ascii="宋体" w:hAnsi="宋体" w:eastAsia="宋体" w:cs="宋体"/>
          <w:spacing w:val="9"/>
          <w:sz w:val="20"/>
          <w:szCs w:val="20"/>
        </w:rPr>
        <w:t>重要作用。其常见流行特征为：①病例多呈散发，但可呈现家庭和同住者中病例聚集的现象；②卫</w:t>
      </w:r>
      <w:r>
        <w:rPr>
          <w:rFonts w:ascii="宋体" w:hAnsi="宋体" w:eastAsia="宋体" w:cs="宋体"/>
          <w:spacing w:val="1"/>
          <w:sz w:val="20"/>
          <w:szCs w:val="20"/>
        </w:rPr>
        <w:t xml:space="preserve"> </w:t>
      </w:r>
      <w:r>
        <w:rPr>
          <w:rFonts w:ascii="宋体" w:hAnsi="宋体" w:eastAsia="宋体" w:cs="宋体"/>
          <w:spacing w:val="8"/>
          <w:sz w:val="20"/>
          <w:szCs w:val="20"/>
        </w:rPr>
        <w:t>生条件差、卫生习惯不良的人群中病例较多。</w:t>
      </w:r>
    </w:p>
    <w:p w14:paraId="7BAD7EBA">
      <w:pPr>
        <w:spacing w:before="151" w:line="281" w:lineRule="auto"/>
        <w:ind w:right="656" w:firstLine="399"/>
        <w:rPr>
          <w:rFonts w:ascii="宋体" w:hAnsi="宋体" w:eastAsia="宋体" w:cs="宋体"/>
          <w:sz w:val="20"/>
          <w:szCs w:val="20"/>
        </w:rPr>
      </w:pPr>
      <w:r>
        <w:rPr>
          <w:rFonts w:ascii="Times New Roman" w:hAnsi="Times New Roman" w:eastAsia="Times New Roman" w:cs="Times New Roman"/>
          <w:b/>
          <w:bCs/>
          <w:spacing w:val="5"/>
          <w:sz w:val="20"/>
          <w:szCs w:val="20"/>
        </w:rPr>
        <w:t xml:space="preserve">5.   </w:t>
      </w:r>
      <w:r>
        <w:rPr>
          <w:rFonts w:ascii="宋体" w:hAnsi="宋体" w:eastAsia="宋体" w:cs="宋体"/>
          <w:b/>
          <w:bCs/>
          <w:spacing w:val="5"/>
          <w:sz w:val="20"/>
          <w:szCs w:val="20"/>
        </w:rPr>
        <w:t>经节肢动物传播(</w:t>
      </w:r>
      <w:r>
        <w:rPr>
          <w:rFonts w:ascii="宋体" w:hAnsi="宋体" w:eastAsia="宋体" w:cs="宋体"/>
          <w:spacing w:val="-56"/>
          <w:sz w:val="20"/>
          <w:szCs w:val="20"/>
        </w:rPr>
        <w:t xml:space="preserve"> </w:t>
      </w:r>
      <w:r>
        <w:rPr>
          <w:rFonts w:ascii="Times New Roman" w:hAnsi="Times New Roman" w:eastAsia="Times New Roman" w:cs="Times New Roman"/>
          <w:sz w:val="20"/>
          <w:szCs w:val="20"/>
        </w:rPr>
        <w:t>arthropod</w:t>
      </w:r>
      <w:r>
        <w:rPr>
          <w:rFonts w:ascii="Times New Roman" w:hAnsi="Times New Roman" w:eastAsia="Times New Roman" w:cs="Times New Roman"/>
          <w:spacing w:val="5"/>
          <w:sz w:val="20"/>
          <w:szCs w:val="20"/>
        </w:rPr>
        <w:t>-</w:t>
      </w:r>
      <w:r>
        <w:rPr>
          <w:rFonts w:ascii="Times New Roman" w:hAnsi="Times New Roman" w:eastAsia="Times New Roman" w:cs="Times New Roman"/>
          <w:sz w:val="20"/>
          <w:szCs w:val="20"/>
        </w:rPr>
        <w:t>borne</w:t>
      </w:r>
      <w:r>
        <w:rPr>
          <w:rFonts w:ascii="Times New Roman" w:hAnsi="Times New Roman" w:eastAsia="Times New Roman" w:cs="Times New Roman"/>
          <w:spacing w:val="5"/>
          <w:sz w:val="20"/>
          <w:szCs w:val="20"/>
        </w:rPr>
        <w:t xml:space="preserve">      </w:t>
      </w:r>
      <w:r>
        <w:rPr>
          <w:rFonts w:ascii="Times New Roman" w:hAnsi="Times New Roman" w:eastAsia="Times New Roman" w:cs="Times New Roman"/>
          <w:sz w:val="20"/>
          <w:szCs w:val="20"/>
        </w:rPr>
        <w:t>transmission</w:t>
      </w:r>
      <w:r>
        <w:rPr>
          <w:rFonts w:ascii="Times New Roman" w:hAnsi="Times New Roman" w:eastAsia="Times New Roman" w:cs="Times New Roman"/>
          <w:spacing w:val="5"/>
          <w:sz w:val="20"/>
          <w:szCs w:val="20"/>
        </w:rPr>
        <w:t xml:space="preserve">)   </w:t>
      </w:r>
      <w:r>
        <w:rPr>
          <w:rFonts w:ascii="宋体" w:hAnsi="宋体" w:eastAsia="宋体" w:cs="宋体"/>
          <w:spacing w:val="5"/>
          <w:sz w:val="20"/>
          <w:szCs w:val="20"/>
        </w:rPr>
        <w:t>又称虫媒传播</w:t>
      </w:r>
      <w:r>
        <w:rPr>
          <w:rFonts w:ascii="Times New Roman" w:hAnsi="Times New Roman" w:eastAsia="Times New Roman" w:cs="Times New Roman"/>
          <w:spacing w:val="5"/>
          <w:sz w:val="20"/>
          <w:szCs w:val="20"/>
        </w:rPr>
        <w:t>(</w:t>
      </w:r>
      <w:r>
        <w:rPr>
          <w:rFonts w:ascii="Times New Roman" w:hAnsi="Times New Roman" w:eastAsia="Times New Roman" w:cs="Times New Roman"/>
          <w:sz w:val="20"/>
          <w:szCs w:val="20"/>
        </w:rPr>
        <w:t>vector</w:t>
      </w:r>
      <w:r>
        <w:rPr>
          <w:rFonts w:ascii="Times New Roman" w:hAnsi="Times New Roman" w:eastAsia="Times New Roman" w:cs="Times New Roman"/>
          <w:spacing w:val="5"/>
          <w:sz w:val="20"/>
          <w:szCs w:val="20"/>
        </w:rPr>
        <w:t>-</w:t>
      </w:r>
      <w:r>
        <w:rPr>
          <w:rFonts w:ascii="Times New Roman" w:hAnsi="Times New Roman" w:eastAsia="Times New Roman" w:cs="Times New Roman"/>
          <w:sz w:val="20"/>
          <w:szCs w:val="20"/>
        </w:rPr>
        <w:t>borne</w:t>
      </w:r>
      <w:r>
        <w:rPr>
          <w:rFonts w:ascii="Times New Roman" w:hAnsi="Times New Roman" w:eastAsia="Times New Roman" w:cs="Times New Roman"/>
          <w:spacing w:val="5"/>
          <w:sz w:val="20"/>
          <w:szCs w:val="20"/>
        </w:rPr>
        <w:t xml:space="preserve">     </w:t>
      </w:r>
      <w:r>
        <w:rPr>
          <w:rFonts w:ascii="Times New Roman" w:hAnsi="Times New Roman" w:eastAsia="Times New Roman" w:cs="Times New Roman"/>
          <w:sz w:val="20"/>
          <w:szCs w:val="20"/>
        </w:rPr>
        <w:t>transmission</w:t>
      </w:r>
      <w:r>
        <w:rPr>
          <w:rFonts w:ascii="Times New Roman" w:hAnsi="Times New Roman" w:eastAsia="Times New Roman" w:cs="Times New Roman"/>
          <w:spacing w:val="5"/>
          <w:sz w:val="20"/>
          <w:szCs w:val="20"/>
        </w:rPr>
        <w:t>),</w:t>
      </w:r>
      <w:r>
        <w:rPr>
          <w:rFonts w:ascii="Times New Roman" w:hAnsi="Times New Roman" w:eastAsia="Times New Roman" w:cs="Times New Roman"/>
          <w:sz w:val="20"/>
          <w:szCs w:val="20"/>
        </w:rPr>
        <w:t xml:space="preserve"> </w:t>
      </w:r>
      <w:r>
        <w:rPr>
          <w:rFonts w:ascii="宋体" w:hAnsi="宋体" w:eastAsia="宋体" w:cs="宋体"/>
          <w:spacing w:val="2"/>
          <w:sz w:val="20"/>
          <w:szCs w:val="20"/>
        </w:rPr>
        <w:t>指经节肢动物机械携带和吸血叮咬来传播疾病。传播媒介</w:t>
      </w:r>
      <w:r>
        <w:rPr>
          <w:rFonts w:ascii="宋体" w:hAnsi="宋体" w:eastAsia="宋体" w:cs="宋体"/>
          <w:spacing w:val="1"/>
          <w:sz w:val="20"/>
          <w:szCs w:val="20"/>
        </w:rPr>
        <w:t>是蚊、蝇、蜱、螨、蚤、虱等节肢动物。</w:t>
      </w:r>
    </w:p>
    <w:p w14:paraId="19AA4CEF">
      <w:pPr>
        <w:spacing w:before="110" w:line="302" w:lineRule="auto"/>
        <w:ind w:right="617" w:firstLine="399"/>
        <w:rPr>
          <w:rFonts w:ascii="宋体" w:hAnsi="宋体" w:eastAsia="宋体" w:cs="宋体"/>
          <w:sz w:val="20"/>
          <w:szCs w:val="20"/>
        </w:rPr>
      </w:pPr>
      <w:r>
        <w:rPr>
          <w:rFonts w:ascii="宋体" w:hAnsi="宋体" w:eastAsia="宋体" w:cs="宋体"/>
          <w:spacing w:val="11"/>
          <w:sz w:val="20"/>
          <w:szCs w:val="20"/>
        </w:rPr>
        <w:t>(1)机械携带</w:t>
      </w:r>
      <w:r>
        <w:rPr>
          <w:rFonts w:ascii="Times New Roman" w:hAnsi="Times New Roman" w:eastAsia="Times New Roman" w:cs="Times New Roman"/>
          <w:spacing w:val="11"/>
          <w:sz w:val="20"/>
          <w:szCs w:val="20"/>
        </w:rPr>
        <w:t>(</w:t>
      </w:r>
      <w:r>
        <w:rPr>
          <w:rFonts w:ascii="Times New Roman" w:hAnsi="Times New Roman" w:eastAsia="Times New Roman" w:cs="Times New Roman"/>
          <w:sz w:val="20"/>
          <w:szCs w:val="20"/>
        </w:rPr>
        <w:t>mechanical</w:t>
      </w:r>
      <w:r>
        <w:rPr>
          <w:rFonts w:ascii="Times New Roman" w:hAnsi="Times New Roman" w:eastAsia="Times New Roman" w:cs="Times New Roman"/>
          <w:spacing w:val="11"/>
          <w:sz w:val="20"/>
          <w:szCs w:val="20"/>
        </w:rPr>
        <w:t xml:space="preserve">     </w:t>
      </w:r>
      <w:r>
        <w:rPr>
          <w:rFonts w:ascii="Times New Roman" w:hAnsi="Times New Roman" w:eastAsia="Times New Roman" w:cs="Times New Roman"/>
          <w:sz w:val="20"/>
          <w:szCs w:val="20"/>
        </w:rPr>
        <w:t>vector</w:t>
      </w:r>
      <w:r>
        <w:rPr>
          <w:rFonts w:ascii="Times New Roman" w:hAnsi="Times New Roman" w:eastAsia="Times New Roman" w:cs="Times New Roman"/>
          <w:spacing w:val="11"/>
          <w:sz w:val="20"/>
          <w:szCs w:val="20"/>
        </w:rPr>
        <w:t>):</w:t>
      </w:r>
      <w:r>
        <w:rPr>
          <w:rFonts w:ascii="宋体" w:hAnsi="宋体" w:eastAsia="宋体" w:cs="宋体"/>
          <w:spacing w:val="11"/>
          <w:sz w:val="20"/>
          <w:szCs w:val="20"/>
        </w:rPr>
        <w:t>肠道传染</w:t>
      </w:r>
      <w:r>
        <w:rPr>
          <w:rFonts w:ascii="宋体" w:hAnsi="宋体" w:eastAsia="宋体" w:cs="宋体"/>
          <w:spacing w:val="10"/>
          <w:sz w:val="20"/>
          <w:szCs w:val="20"/>
        </w:rPr>
        <w:t>病(如伤寒、痢疾等)的病原体可以在苍蝇、蟑螂等</w:t>
      </w:r>
      <w:r>
        <w:rPr>
          <w:rFonts w:ascii="宋体" w:hAnsi="宋体" w:eastAsia="宋体" w:cs="宋体"/>
          <w:sz w:val="20"/>
          <w:szCs w:val="20"/>
        </w:rPr>
        <w:t xml:space="preserve"> </w:t>
      </w:r>
      <w:r>
        <w:rPr>
          <w:rFonts w:ascii="宋体" w:hAnsi="宋体" w:eastAsia="宋体" w:cs="宋体"/>
          <w:spacing w:val="9"/>
          <w:sz w:val="20"/>
          <w:szCs w:val="20"/>
        </w:rPr>
        <w:t>非吸血节肢动物的体表和体内存活数天，但不在其体</w:t>
      </w:r>
      <w:r>
        <w:rPr>
          <w:rFonts w:ascii="宋体" w:hAnsi="宋体" w:eastAsia="宋体" w:cs="宋体"/>
          <w:spacing w:val="8"/>
          <w:sz w:val="20"/>
          <w:szCs w:val="20"/>
        </w:rPr>
        <w:t>内发育。节肢动物通过接触、反吐和排泄污染</w:t>
      </w:r>
      <w:r>
        <w:rPr>
          <w:rFonts w:ascii="宋体" w:hAnsi="宋体" w:eastAsia="宋体" w:cs="宋体"/>
          <w:sz w:val="20"/>
          <w:szCs w:val="20"/>
        </w:rPr>
        <w:t xml:space="preserve"> </w:t>
      </w:r>
      <w:r>
        <w:rPr>
          <w:rFonts w:ascii="宋体" w:hAnsi="宋体" w:eastAsia="宋体" w:cs="宋体"/>
          <w:spacing w:val="6"/>
          <w:sz w:val="20"/>
          <w:szCs w:val="20"/>
        </w:rPr>
        <w:t>食物或餐具等，感染接触者。</w:t>
      </w:r>
    </w:p>
    <w:p w14:paraId="74A9DD18">
      <w:pPr>
        <w:spacing w:before="108" w:line="314" w:lineRule="auto"/>
        <w:ind w:right="635" w:firstLine="399"/>
        <w:rPr>
          <w:rFonts w:ascii="宋体" w:hAnsi="宋体" w:eastAsia="宋体" w:cs="宋体"/>
          <w:sz w:val="20"/>
          <w:szCs w:val="20"/>
        </w:rPr>
      </w:pPr>
      <w:r>
        <w:rPr>
          <w:rFonts w:ascii="宋体" w:hAnsi="宋体" w:eastAsia="宋体" w:cs="宋体"/>
          <w:spacing w:val="13"/>
          <w:sz w:val="20"/>
          <w:szCs w:val="20"/>
        </w:rPr>
        <w:t>(2)生物学传播</w:t>
      </w:r>
      <w:r>
        <w:rPr>
          <w:rFonts w:ascii="Times New Roman" w:hAnsi="Times New Roman" w:eastAsia="Times New Roman" w:cs="Times New Roman"/>
          <w:spacing w:val="13"/>
          <w:sz w:val="20"/>
          <w:szCs w:val="20"/>
        </w:rPr>
        <w:t>(</w:t>
      </w:r>
      <w:r>
        <w:rPr>
          <w:rFonts w:ascii="Times New Roman" w:hAnsi="Times New Roman" w:eastAsia="Times New Roman" w:cs="Times New Roman"/>
          <w:sz w:val="20"/>
          <w:szCs w:val="20"/>
        </w:rPr>
        <w:t>biological</w:t>
      </w:r>
      <w:r>
        <w:rPr>
          <w:rFonts w:ascii="Times New Roman" w:hAnsi="Times New Roman" w:eastAsia="Times New Roman" w:cs="Times New Roman"/>
          <w:spacing w:val="13"/>
          <w:sz w:val="20"/>
          <w:szCs w:val="20"/>
        </w:rPr>
        <w:t xml:space="preserve">     </w:t>
      </w:r>
      <w:r>
        <w:rPr>
          <w:rFonts w:ascii="Times New Roman" w:hAnsi="Times New Roman" w:eastAsia="Times New Roman" w:cs="Times New Roman"/>
          <w:sz w:val="20"/>
          <w:szCs w:val="20"/>
        </w:rPr>
        <w:t>vector</w:t>
      </w:r>
      <w:r>
        <w:rPr>
          <w:rFonts w:ascii="Times New Roman" w:hAnsi="Times New Roman" w:eastAsia="Times New Roman" w:cs="Times New Roman"/>
          <w:spacing w:val="13"/>
          <w:sz w:val="20"/>
          <w:szCs w:val="20"/>
        </w:rPr>
        <w:t>):</w:t>
      </w:r>
      <w:r>
        <w:rPr>
          <w:rFonts w:ascii="宋体" w:hAnsi="宋体" w:eastAsia="宋体" w:cs="宋体"/>
          <w:spacing w:val="13"/>
          <w:sz w:val="20"/>
          <w:szCs w:val="20"/>
        </w:rPr>
        <w:t>吸血节肢动物叮咬血液中带有病原体的感染者，</w:t>
      </w:r>
      <w:r>
        <w:rPr>
          <w:rFonts w:ascii="宋体" w:hAnsi="宋体" w:eastAsia="宋体" w:cs="宋体"/>
          <w:spacing w:val="12"/>
          <w:sz w:val="20"/>
          <w:szCs w:val="20"/>
        </w:rPr>
        <w:t>将病原体</w:t>
      </w:r>
      <w:r>
        <w:rPr>
          <w:rFonts w:ascii="宋体" w:hAnsi="宋体" w:eastAsia="宋体" w:cs="宋体"/>
          <w:sz w:val="20"/>
          <w:szCs w:val="20"/>
        </w:rPr>
        <w:t xml:space="preserve"> </w:t>
      </w:r>
      <w:r>
        <w:rPr>
          <w:rFonts w:ascii="宋体" w:hAnsi="宋体" w:eastAsia="宋体" w:cs="宋体"/>
          <w:spacing w:val="4"/>
          <w:sz w:val="20"/>
          <w:szCs w:val="20"/>
        </w:rPr>
        <w:t>吸入体内，再叮咬易感者传播疾病，此类传染病如登革热、疟疾等。病原体在节肢动物</w:t>
      </w:r>
      <w:r>
        <w:rPr>
          <w:rFonts w:ascii="宋体" w:hAnsi="宋体" w:eastAsia="宋体" w:cs="宋体"/>
          <w:spacing w:val="3"/>
          <w:sz w:val="20"/>
          <w:szCs w:val="20"/>
        </w:rPr>
        <w:t>体内发育、繁</w:t>
      </w:r>
      <w:r>
        <w:rPr>
          <w:rFonts w:ascii="宋体" w:hAnsi="宋体" w:eastAsia="宋体" w:cs="宋体"/>
          <w:sz w:val="20"/>
          <w:szCs w:val="20"/>
        </w:rPr>
        <w:t xml:space="preserve"> </w:t>
      </w:r>
      <w:r>
        <w:rPr>
          <w:rFonts w:ascii="宋体" w:hAnsi="宋体" w:eastAsia="宋体" w:cs="宋体"/>
          <w:spacing w:val="9"/>
          <w:sz w:val="20"/>
          <w:szCs w:val="20"/>
        </w:rPr>
        <w:t>殖，经过一段时间的增殖或完成其生活周期中的某阶</w:t>
      </w:r>
      <w:r>
        <w:rPr>
          <w:rFonts w:ascii="宋体" w:hAnsi="宋体" w:eastAsia="宋体" w:cs="宋体"/>
          <w:spacing w:val="8"/>
          <w:sz w:val="20"/>
          <w:szCs w:val="20"/>
        </w:rPr>
        <w:t>段后，节肢动物才具有传染性。从节肢动物吸</w:t>
      </w:r>
      <w:r>
        <w:rPr>
          <w:rFonts w:ascii="宋体" w:hAnsi="宋体" w:eastAsia="宋体" w:cs="宋体"/>
          <w:sz w:val="20"/>
          <w:szCs w:val="20"/>
        </w:rPr>
        <w:t xml:space="preserve"> </w:t>
      </w:r>
      <w:r>
        <w:rPr>
          <w:rFonts w:ascii="宋体" w:hAnsi="宋体" w:eastAsia="宋体" w:cs="宋体"/>
          <w:spacing w:val="-7"/>
          <w:sz w:val="20"/>
          <w:szCs w:val="20"/>
        </w:rPr>
        <w:t xml:space="preserve">人病原体到具有传染性的这段时间称为“外潜伏期”(extrinsic incubation </w:t>
      </w:r>
      <w:r>
        <w:rPr>
          <w:rFonts w:ascii="宋体" w:hAnsi="宋体" w:eastAsia="宋体" w:cs="宋体"/>
          <w:spacing w:val="-8"/>
          <w:sz w:val="20"/>
          <w:szCs w:val="20"/>
        </w:rPr>
        <w:t>period)。</w:t>
      </w:r>
    </w:p>
    <w:p w14:paraId="69DA07F1">
      <w:pPr>
        <w:spacing w:before="151" w:line="334" w:lineRule="auto"/>
        <w:ind w:right="546" w:firstLine="399"/>
        <w:jc w:val="both"/>
        <w:rPr>
          <w:rFonts w:ascii="宋体" w:hAnsi="宋体" w:eastAsia="宋体" w:cs="宋体"/>
          <w:sz w:val="20"/>
          <w:szCs w:val="20"/>
        </w:rPr>
      </w:pPr>
      <w:r>
        <w:rPr>
          <w:rFonts w:ascii="宋体" w:hAnsi="宋体" w:eastAsia="宋体" w:cs="宋体"/>
          <w:spacing w:val="14"/>
          <w:sz w:val="20"/>
          <w:szCs w:val="20"/>
        </w:rPr>
        <w:t>经节肢动物传播的传染病的常见流行特征为：①有一定的地区性，病例与传播媒介的分布一</w:t>
      </w:r>
      <w:r>
        <w:rPr>
          <w:rFonts w:ascii="宋体" w:hAnsi="宋体" w:eastAsia="宋体" w:cs="宋体"/>
          <w:spacing w:val="4"/>
          <w:sz w:val="20"/>
          <w:szCs w:val="20"/>
        </w:rPr>
        <w:t xml:space="preserve">  </w:t>
      </w:r>
      <w:r>
        <w:rPr>
          <w:rFonts w:ascii="宋体" w:hAnsi="宋体" w:eastAsia="宋体" w:cs="宋体"/>
          <w:spacing w:val="11"/>
          <w:sz w:val="20"/>
          <w:szCs w:val="20"/>
        </w:rPr>
        <w:t>致；②有明显的季节性，病例消长与传播媒介的活动季节一致；③</w:t>
      </w:r>
      <w:r>
        <w:rPr>
          <w:rFonts w:ascii="宋体" w:hAnsi="宋体" w:eastAsia="宋体" w:cs="宋体"/>
          <w:spacing w:val="10"/>
          <w:sz w:val="20"/>
          <w:szCs w:val="20"/>
        </w:rPr>
        <w:t>某些传染病具有职业分布特征，</w:t>
      </w:r>
      <w:r>
        <w:rPr>
          <w:rFonts w:ascii="宋体" w:hAnsi="宋体" w:eastAsia="宋体" w:cs="宋体"/>
          <w:sz w:val="20"/>
          <w:szCs w:val="20"/>
        </w:rPr>
        <w:t xml:space="preserve"> </w:t>
      </w:r>
      <w:r>
        <w:rPr>
          <w:rFonts w:ascii="宋体" w:hAnsi="宋体" w:eastAsia="宋体" w:cs="宋体"/>
          <w:spacing w:val="9"/>
          <w:sz w:val="20"/>
          <w:szCs w:val="20"/>
        </w:rPr>
        <w:t>如森林脑炎常见于伐木工人和野外作业者；④有一定的年龄差异</w:t>
      </w:r>
      <w:r>
        <w:rPr>
          <w:rFonts w:ascii="宋体" w:hAnsi="宋体" w:eastAsia="宋体" w:cs="宋体"/>
          <w:spacing w:val="8"/>
          <w:sz w:val="20"/>
          <w:szCs w:val="20"/>
        </w:rPr>
        <w:t>，老疫区儿童病例较多，新疫区病</w:t>
      </w:r>
      <w:r>
        <w:rPr>
          <w:rFonts w:ascii="宋体" w:hAnsi="宋体" w:eastAsia="宋体" w:cs="宋体"/>
          <w:sz w:val="20"/>
          <w:szCs w:val="20"/>
        </w:rPr>
        <w:t xml:space="preserve">  </w:t>
      </w:r>
      <w:r>
        <w:rPr>
          <w:rFonts w:ascii="宋体" w:hAnsi="宋体" w:eastAsia="宋体" w:cs="宋体"/>
          <w:spacing w:val="11"/>
          <w:sz w:val="20"/>
          <w:szCs w:val="20"/>
        </w:rPr>
        <w:t>例的年龄差异不明显。</w:t>
      </w:r>
    </w:p>
    <w:p w14:paraId="700072B6">
      <w:pPr>
        <w:spacing w:line="334" w:lineRule="auto"/>
        <w:rPr>
          <w:rFonts w:ascii="宋体" w:hAnsi="宋体" w:eastAsia="宋体" w:cs="宋体"/>
          <w:sz w:val="20"/>
          <w:szCs w:val="20"/>
        </w:rPr>
        <w:sectPr>
          <w:footerReference r:id="rId208" w:type="default"/>
          <w:pgSz w:w="11900" w:h="16820"/>
          <w:pgMar w:top="400" w:right="853" w:bottom="899" w:left="1440" w:header="0" w:footer="719" w:gutter="0"/>
          <w:cols w:space="720" w:num="1"/>
        </w:sectPr>
      </w:pPr>
    </w:p>
    <w:p w14:paraId="47566135">
      <w:pPr>
        <w:pStyle w:val="2"/>
        <w:spacing w:before="56" w:line="221" w:lineRule="auto"/>
        <w:ind w:left="659"/>
        <w:rPr>
          <w:sz w:val="20"/>
          <w:szCs w:val="20"/>
        </w:rPr>
      </w:pPr>
      <w:bookmarkStart w:id="315" w:name="bookmark508"/>
      <w:bookmarkEnd w:id="315"/>
      <w:r>
        <w:rPr>
          <w:spacing w:val="-14"/>
          <w:w w:val="96"/>
          <w:sz w:val="20"/>
          <w:szCs w:val="20"/>
        </w:rPr>
        <w:t>第十一章传染病流行病学</w:t>
      </w:r>
    </w:p>
    <w:p w14:paraId="58996795">
      <w:pPr>
        <w:spacing w:line="272" w:lineRule="auto"/>
        <w:rPr>
          <w:rFonts w:ascii="Arial"/>
          <w:sz w:val="21"/>
        </w:rPr>
      </w:pPr>
    </w:p>
    <w:p w14:paraId="0CD0C0B1">
      <w:pPr>
        <w:spacing w:line="272" w:lineRule="auto"/>
        <w:rPr>
          <w:rFonts w:ascii="Arial"/>
          <w:sz w:val="21"/>
        </w:rPr>
      </w:pPr>
    </w:p>
    <w:p w14:paraId="7CCDF189">
      <w:pPr>
        <w:spacing w:before="65" w:line="324" w:lineRule="auto"/>
        <w:ind w:left="659" w:right="88" w:firstLine="380"/>
        <w:rPr>
          <w:rFonts w:ascii="宋体" w:hAnsi="宋体" w:eastAsia="宋体" w:cs="宋体"/>
          <w:sz w:val="20"/>
          <w:szCs w:val="20"/>
        </w:rPr>
      </w:pPr>
      <w:r>
        <w:rPr>
          <w:rFonts w:ascii="Times New Roman" w:hAnsi="Times New Roman" w:eastAsia="Times New Roman" w:cs="Times New Roman"/>
          <w:spacing w:val="5"/>
          <w:sz w:val="20"/>
          <w:szCs w:val="20"/>
        </w:rPr>
        <w:t>6.</w:t>
      </w:r>
      <w:r>
        <w:rPr>
          <w:rFonts w:ascii="Times New Roman" w:hAnsi="Times New Roman" w:eastAsia="Times New Roman" w:cs="Times New Roman"/>
          <w:spacing w:val="29"/>
          <w:w w:val="101"/>
          <w:sz w:val="20"/>
          <w:szCs w:val="20"/>
        </w:rPr>
        <w:t xml:space="preserve">  </w:t>
      </w:r>
      <w:r>
        <w:rPr>
          <w:rFonts w:ascii="宋体" w:hAnsi="宋体" w:eastAsia="宋体" w:cs="宋体"/>
          <w:spacing w:val="5"/>
          <w:sz w:val="20"/>
          <w:szCs w:val="20"/>
        </w:rPr>
        <w:t>经土壤传播</w:t>
      </w:r>
      <w:r>
        <w:rPr>
          <w:rFonts w:ascii="Times New Roman" w:hAnsi="Times New Roman" w:eastAsia="Times New Roman" w:cs="Times New Roman"/>
          <w:spacing w:val="5"/>
          <w:sz w:val="20"/>
          <w:szCs w:val="20"/>
        </w:rPr>
        <w:t>(</w:t>
      </w:r>
      <w:r>
        <w:rPr>
          <w:rFonts w:ascii="Times New Roman" w:hAnsi="Times New Roman" w:eastAsia="Times New Roman" w:cs="Times New Roman"/>
          <w:sz w:val="20"/>
          <w:szCs w:val="20"/>
        </w:rPr>
        <w:t>soil</w:t>
      </w:r>
      <w:r>
        <w:rPr>
          <w:rFonts w:ascii="Times New Roman" w:hAnsi="Times New Roman" w:eastAsia="Times New Roman" w:cs="Times New Roman"/>
          <w:spacing w:val="5"/>
          <w:sz w:val="20"/>
          <w:szCs w:val="20"/>
        </w:rPr>
        <w:t>-</w:t>
      </w:r>
      <w:r>
        <w:rPr>
          <w:rFonts w:ascii="Times New Roman" w:hAnsi="Times New Roman" w:eastAsia="Times New Roman" w:cs="Times New Roman"/>
          <w:sz w:val="20"/>
          <w:szCs w:val="20"/>
        </w:rPr>
        <w:t>borne</w:t>
      </w:r>
      <w:r>
        <w:rPr>
          <w:rFonts w:ascii="Times New Roman" w:hAnsi="Times New Roman" w:eastAsia="Times New Roman" w:cs="Times New Roman"/>
          <w:spacing w:val="5"/>
          <w:sz w:val="20"/>
          <w:szCs w:val="20"/>
        </w:rPr>
        <w:t xml:space="preserve">    </w:t>
      </w:r>
      <w:r>
        <w:rPr>
          <w:rFonts w:ascii="Times New Roman" w:hAnsi="Times New Roman" w:eastAsia="Times New Roman" w:cs="Times New Roman"/>
          <w:sz w:val="20"/>
          <w:szCs w:val="20"/>
        </w:rPr>
        <w:t>transmission</w:t>
      </w:r>
      <w:r>
        <w:rPr>
          <w:rFonts w:ascii="Times New Roman" w:hAnsi="Times New Roman" w:eastAsia="Times New Roman" w:cs="Times New Roman"/>
          <w:spacing w:val="5"/>
          <w:sz w:val="20"/>
          <w:szCs w:val="20"/>
        </w:rPr>
        <w:t xml:space="preserve">)   </w:t>
      </w:r>
      <w:r>
        <w:rPr>
          <w:rFonts w:ascii="宋体" w:hAnsi="宋体" w:eastAsia="宋体" w:cs="宋体"/>
          <w:spacing w:val="5"/>
          <w:sz w:val="20"/>
          <w:szCs w:val="20"/>
        </w:rPr>
        <w:t>是指易感者通过接触被病原体污染的土壤所致的传</w:t>
      </w:r>
      <w:r>
        <w:rPr>
          <w:rFonts w:ascii="宋体" w:hAnsi="宋体" w:eastAsia="宋体" w:cs="宋体"/>
          <w:sz w:val="20"/>
          <w:szCs w:val="20"/>
        </w:rPr>
        <w:t xml:space="preserve"> 播。病原体可通过传染源的排泄物、分泌物、死亡病例或动物尸体直接或间</w:t>
      </w:r>
      <w:r>
        <w:rPr>
          <w:rFonts w:ascii="宋体" w:hAnsi="宋体" w:eastAsia="宋体" w:cs="宋体"/>
          <w:spacing w:val="-1"/>
          <w:sz w:val="20"/>
          <w:szCs w:val="20"/>
        </w:rPr>
        <w:t>接污染土壤。经土壤传</w:t>
      </w:r>
      <w:r>
        <w:rPr>
          <w:rFonts w:ascii="宋体" w:hAnsi="宋体" w:eastAsia="宋体" w:cs="宋体"/>
          <w:sz w:val="20"/>
          <w:szCs w:val="20"/>
        </w:rPr>
        <w:t xml:space="preserve"> 播的病原体主要是一些肠道寄生虫(蛔虫、钩虫)及能形成芽胞的细菌(破伤风梭菌、炭疽杆菌)。寄</w:t>
      </w:r>
      <w:r>
        <w:rPr>
          <w:rFonts w:ascii="宋体" w:hAnsi="宋体" w:eastAsia="宋体" w:cs="宋体"/>
          <w:spacing w:val="10"/>
          <w:sz w:val="20"/>
          <w:szCs w:val="20"/>
        </w:rPr>
        <w:t xml:space="preserve"> </w:t>
      </w:r>
      <w:r>
        <w:rPr>
          <w:rFonts w:ascii="宋体" w:hAnsi="宋体" w:eastAsia="宋体" w:cs="宋体"/>
          <w:spacing w:val="5"/>
          <w:sz w:val="20"/>
          <w:szCs w:val="20"/>
        </w:rPr>
        <w:t>生虫卵从宿主排出后，需在土壤中发育一段时间后才具有感染能力。细菌芽胞在土壤中可保持传</w:t>
      </w:r>
      <w:r>
        <w:rPr>
          <w:rFonts w:ascii="宋体" w:hAnsi="宋体" w:eastAsia="宋体" w:cs="宋体"/>
          <w:sz w:val="20"/>
          <w:szCs w:val="20"/>
        </w:rPr>
        <w:t xml:space="preserve"> </w:t>
      </w:r>
      <w:r>
        <w:rPr>
          <w:rFonts w:ascii="宋体" w:hAnsi="宋体" w:eastAsia="宋体" w:cs="宋体"/>
          <w:spacing w:val="5"/>
          <w:sz w:val="20"/>
          <w:szCs w:val="20"/>
        </w:rPr>
        <w:t>染力数十年。经土壤传播的传染病的流行病学意义取决于病原体在土壤中的存活时间、人</w:t>
      </w:r>
      <w:r>
        <w:rPr>
          <w:rFonts w:ascii="宋体" w:hAnsi="宋体" w:eastAsia="宋体" w:cs="宋体"/>
          <w:spacing w:val="4"/>
          <w:sz w:val="20"/>
          <w:szCs w:val="20"/>
        </w:rPr>
        <w:t>与土壤</w:t>
      </w:r>
      <w:r>
        <w:rPr>
          <w:rFonts w:ascii="宋体" w:hAnsi="宋体" w:eastAsia="宋体" w:cs="宋体"/>
          <w:sz w:val="20"/>
          <w:szCs w:val="20"/>
        </w:rPr>
        <w:t xml:space="preserve"> </w:t>
      </w:r>
      <w:r>
        <w:rPr>
          <w:rFonts w:ascii="宋体" w:hAnsi="宋体" w:eastAsia="宋体" w:cs="宋体"/>
          <w:spacing w:val="-3"/>
          <w:sz w:val="20"/>
          <w:szCs w:val="20"/>
        </w:rPr>
        <w:t>的接触机会、个人卫生习惯和劳动条件等。</w:t>
      </w:r>
    </w:p>
    <w:p w14:paraId="0A331DFD">
      <w:pPr>
        <w:spacing w:before="157" w:line="312" w:lineRule="auto"/>
        <w:ind w:left="659" w:right="82" w:firstLine="380"/>
        <w:rPr>
          <w:rFonts w:ascii="宋体" w:hAnsi="宋体" w:eastAsia="宋体" w:cs="宋体"/>
          <w:sz w:val="20"/>
          <w:szCs w:val="20"/>
        </w:rPr>
      </w:pPr>
      <w:r>
        <w:rPr>
          <w:rFonts w:ascii="宋体" w:hAnsi="宋体" w:eastAsia="宋体" w:cs="宋体"/>
          <w:spacing w:val="-5"/>
          <w:sz w:val="20"/>
          <w:szCs w:val="20"/>
        </w:rPr>
        <w:t>7. 医源性传播(iatrogenic transmission) 指在医学服务中，由病原体传播引起的感染。主要包</w:t>
      </w:r>
      <w:r>
        <w:rPr>
          <w:rFonts w:ascii="宋体" w:hAnsi="宋体" w:eastAsia="宋体" w:cs="宋体"/>
          <w:spacing w:val="13"/>
          <w:sz w:val="20"/>
          <w:szCs w:val="20"/>
        </w:rPr>
        <w:t xml:space="preserve"> </w:t>
      </w:r>
      <w:r>
        <w:rPr>
          <w:rFonts w:ascii="宋体" w:hAnsi="宋体" w:eastAsia="宋体" w:cs="宋体"/>
          <w:sz w:val="20"/>
          <w:szCs w:val="20"/>
        </w:rPr>
        <w:t>括：①易感者在接受治疗或检查时由污染的医疗器械导致的疾病传播；②血液制品、药品或生物制</w:t>
      </w:r>
      <w:r>
        <w:rPr>
          <w:rFonts w:ascii="宋体" w:hAnsi="宋体" w:eastAsia="宋体" w:cs="宋体"/>
          <w:spacing w:val="16"/>
          <w:sz w:val="20"/>
          <w:szCs w:val="20"/>
        </w:rPr>
        <w:t xml:space="preserve"> </w:t>
      </w:r>
      <w:r>
        <w:rPr>
          <w:rFonts w:ascii="宋体" w:hAnsi="宋体" w:eastAsia="宋体" w:cs="宋体"/>
          <w:sz w:val="20"/>
          <w:szCs w:val="20"/>
        </w:rPr>
        <w:t>剂被污染而导致的传播；③医务人员尤其是护理人员在发生职业暴露后引起</w:t>
      </w:r>
      <w:r>
        <w:rPr>
          <w:rFonts w:ascii="宋体" w:hAnsi="宋体" w:eastAsia="宋体" w:cs="宋体"/>
          <w:spacing w:val="-1"/>
          <w:sz w:val="20"/>
          <w:szCs w:val="20"/>
        </w:rPr>
        <w:t>的传播；④医疗废弃物</w:t>
      </w:r>
      <w:r>
        <w:rPr>
          <w:rFonts w:ascii="宋体" w:hAnsi="宋体" w:eastAsia="宋体" w:cs="宋体"/>
          <w:sz w:val="20"/>
          <w:szCs w:val="20"/>
        </w:rPr>
        <w:t xml:space="preserve"> </w:t>
      </w:r>
      <w:r>
        <w:rPr>
          <w:rFonts w:ascii="宋体" w:hAnsi="宋体" w:eastAsia="宋体" w:cs="宋体"/>
          <w:spacing w:val="1"/>
          <w:sz w:val="20"/>
          <w:szCs w:val="20"/>
        </w:rPr>
        <w:t>处置不当引起的传播。</w:t>
      </w:r>
    </w:p>
    <w:p w14:paraId="3127FACF">
      <w:pPr>
        <w:pStyle w:val="2"/>
        <w:spacing w:before="152" w:line="222" w:lineRule="auto"/>
        <w:ind w:left="1040"/>
        <w:rPr>
          <w:rFonts w:ascii="宋体" w:hAnsi="宋体" w:eastAsia="宋体" w:cs="宋体"/>
          <w:sz w:val="20"/>
          <w:szCs w:val="20"/>
        </w:rPr>
      </w:pPr>
      <w:r>
        <w:rPr>
          <w:rFonts w:ascii="宋体" w:hAnsi="宋体" w:eastAsia="宋体" w:cs="宋体"/>
          <w:sz w:val="20"/>
          <w:szCs w:val="20"/>
        </w:rPr>
        <w:t xml:space="preserve">8. 母婴传播  </w:t>
      </w:r>
      <w:r>
        <w:rPr>
          <w:sz w:val="20"/>
          <w:szCs w:val="20"/>
        </w:rPr>
        <w:t>又</w:t>
      </w:r>
      <w:r>
        <w:rPr>
          <w:rFonts w:ascii="宋体" w:hAnsi="宋体" w:eastAsia="宋体" w:cs="宋体"/>
          <w:sz w:val="20"/>
          <w:szCs w:val="20"/>
        </w:rPr>
        <w:t>称垂直传播，指病原体在妊娠期间和分娩过程中通过母体直接传给子代。</w:t>
      </w:r>
    </w:p>
    <w:p w14:paraId="1C4C9249">
      <w:pPr>
        <w:spacing w:before="141" w:line="271" w:lineRule="auto"/>
        <w:ind w:left="659" w:right="85" w:firstLine="380"/>
        <w:rPr>
          <w:rFonts w:ascii="宋体" w:hAnsi="宋体" w:eastAsia="宋体" w:cs="宋体"/>
          <w:sz w:val="20"/>
          <w:szCs w:val="20"/>
        </w:rPr>
      </w:pPr>
      <w:r>
        <w:rPr>
          <w:rFonts w:ascii="宋体" w:hAnsi="宋体" w:eastAsia="宋体" w:cs="宋体"/>
          <w:spacing w:val="3"/>
          <w:sz w:val="20"/>
          <w:szCs w:val="20"/>
        </w:rPr>
        <w:t>(1)经胎盘传播：有些病原体可通过胎盘屏障，受感染的孕妇经胎盘血液将病原体传给胎儿引</w:t>
      </w:r>
      <w:r>
        <w:rPr>
          <w:rFonts w:ascii="宋体" w:hAnsi="宋体" w:eastAsia="宋体" w:cs="宋体"/>
          <w:spacing w:val="7"/>
          <w:sz w:val="20"/>
          <w:szCs w:val="20"/>
        </w:rPr>
        <w:t xml:space="preserve"> </w:t>
      </w:r>
      <w:r>
        <w:rPr>
          <w:rFonts w:ascii="宋体" w:hAnsi="宋体" w:eastAsia="宋体" w:cs="宋体"/>
          <w:spacing w:val="-3"/>
          <w:sz w:val="20"/>
          <w:szCs w:val="20"/>
        </w:rPr>
        <w:t>起宫内感染，如</w:t>
      </w:r>
      <w:r>
        <w:rPr>
          <w:rFonts w:ascii="Times New Roman" w:hAnsi="Times New Roman" w:eastAsia="Times New Roman" w:cs="Times New Roman"/>
          <w:spacing w:val="-3"/>
          <w:sz w:val="20"/>
          <w:szCs w:val="20"/>
        </w:rPr>
        <w:t>HIV</w:t>
      </w:r>
      <w:r>
        <w:rPr>
          <w:rFonts w:ascii="宋体" w:hAnsi="宋体" w:eastAsia="宋体" w:cs="宋体"/>
          <w:spacing w:val="-3"/>
          <w:sz w:val="20"/>
          <w:szCs w:val="20"/>
        </w:rPr>
        <w:t>、乙型肝炎病毒和梅毒螺旋体</w:t>
      </w:r>
      <w:r>
        <w:rPr>
          <w:rFonts w:ascii="宋体" w:hAnsi="宋体" w:eastAsia="宋体" w:cs="宋体"/>
          <w:spacing w:val="-4"/>
          <w:sz w:val="20"/>
          <w:szCs w:val="20"/>
        </w:rPr>
        <w:t>等。</w:t>
      </w:r>
    </w:p>
    <w:p w14:paraId="19378698">
      <w:pPr>
        <w:spacing w:before="161" w:line="267" w:lineRule="auto"/>
        <w:ind w:left="659" w:firstLine="380"/>
        <w:rPr>
          <w:rFonts w:ascii="宋体" w:hAnsi="宋体" w:eastAsia="宋体" w:cs="宋体"/>
          <w:sz w:val="20"/>
          <w:szCs w:val="20"/>
        </w:rPr>
      </w:pPr>
      <w:r>
        <w:rPr>
          <w:rFonts w:ascii="宋体" w:hAnsi="宋体" w:eastAsia="宋体" w:cs="宋体"/>
          <w:spacing w:val="5"/>
          <w:sz w:val="20"/>
          <w:szCs w:val="20"/>
        </w:rPr>
        <w:t>(2)上行性传播：病原体经孕妇阴道到达绒毛膜或胎盘引起胎儿宫内感染，如单纯疱疹病毒、</w:t>
      </w:r>
      <w:r>
        <w:rPr>
          <w:rFonts w:ascii="宋体" w:hAnsi="宋体" w:eastAsia="宋体" w:cs="宋体"/>
          <w:spacing w:val="8"/>
          <w:sz w:val="20"/>
          <w:szCs w:val="20"/>
        </w:rPr>
        <w:t xml:space="preserve"> </w:t>
      </w:r>
      <w:r>
        <w:rPr>
          <w:rFonts w:ascii="宋体" w:hAnsi="宋体" w:eastAsia="宋体" w:cs="宋体"/>
          <w:sz w:val="20"/>
          <w:szCs w:val="20"/>
        </w:rPr>
        <w:t>白念珠菌等。</w:t>
      </w:r>
    </w:p>
    <w:p w14:paraId="56C9D81B">
      <w:pPr>
        <w:spacing w:before="160" w:line="277" w:lineRule="auto"/>
        <w:ind w:left="659" w:right="111" w:firstLine="380"/>
        <w:rPr>
          <w:rFonts w:ascii="宋体" w:hAnsi="宋体" w:eastAsia="宋体" w:cs="宋体"/>
          <w:sz w:val="20"/>
          <w:szCs w:val="20"/>
        </w:rPr>
      </w:pPr>
      <w:r>
        <w:rPr>
          <w:rFonts w:ascii="宋体" w:hAnsi="宋体" w:eastAsia="宋体" w:cs="宋体"/>
          <w:spacing w:val="3"/>
          <w:sz w:val="20"/>
          <w:szCs w:val="20"/>
        </w:rPr>
        <w:t>(3)分娩时传播：分娩过程中胎儿在通过母亲严重</w:t>
      </w:r>
      <w:r>
        <w:rPr>
          <w:rFonts w:ascii="宋体" w:hAnsi="宋体" w:eastAsia="宋体" w:cs="宋体"/>
          <w:spacing w:val="2"/>
          <w:sz w:val="20"/>
          <w:szCs w:val="20"/>
        </w:rPr>
        <w:t>感染的产道时受到感染，这类病原体如淋球</w:t>
      </w:r>
      <w:r>
        <w:rPr>
          <w:rFonts w:ascii="宋体" w:hAnsi="宋体" w:eastAsia="宋体" w:cs="宋体"/>
          <w:sz w:val="20"/>
          <w:szCs w:val="20"/>
        </w:rPr>
        <w:t xml:space="preserve"> </w:t>
      </w:r>
      <w:r>
        <w:rPr>
          <w:rFonts w:ascii="宋体" w:hAnsi="宋体" w:eastAsia="宋体" w:cs="宋体"/>
          <w:spacing w:val="-5"/>
          <w:sz w:val="20"/>
          <w:szCs w:val="20"/>
        </w:rPr>
        <w:t>菌、疱疹病毒等。</w:t>
      </w:r>
    </w:p>
    <w:p w14:paraId="4F495DE9">
      <w:pPr>
        <w:spacing w:before="152" w:line="343" w:lineRule="auto"/>
        <w:ind w:left="659" w:right="113" w:firstLine="380"/>
        <w:rPr>
          <w:rFonts w:ascii="宋体" w:hAnsi="宋体" w:eastAsia="宋体" w:cs="宋体"/>
          <w:sz w:val="20"/>
          <w:szCs w:val="20"/>
        </w:rPr>
      </w:pPr>
      <w:r>
        <w:rPr>
          <w:rFonts w:ascii="宋体" w:hAnsi="宋体" w:eastAsia="宋体" w:cs="宋体"/>
          <w:spacing w:val="5"/>
          <w:sz w:val="20"/>
          <w:szCs w:val="20"/>
        </w:rPr>
        <w:t xml:space="preserve">许多传染病的病原体可以通过多种途径传播，以哪种途径传播取决于病原体自身的特征及所 </w:t>
      </w:r>
      <w:r>
        <w:rPr>
          <w:rFonts w:ascii="宋体" w:hAnsi="宋体" w:eastAsia="宋体" w:cs="宋体"/>
          <w:spacing w:val="-2"/>
          <w:sz w:val="20"/>
          <w:szCs w:val="20"/>
        </w:rPr>
        <w:t>处的环境。例如，</w:t>
      </w:r>
      <w:r>
        <w:rPr>
          <w:rFonts w:ascii="Times New Roman" w:hAnsi="Times New Roman" w:eastAsia="Times New Roman" w:cs="Times New Roman"/>
          <w:spacing w:val="-2"/>
          <w:sz w:val="20"/>
          <w:szCs w:val="20"/>
        </w:rPr>
        <w:t xml:space="preserve">HIV </w:t>
      </w:r>
      <w:r>
        <w:rPr>
          <w:rFonts w:ascii="宋体" w:hAnsi="宋体" w:eastAsia="宋体" w:cs="宋体"/>
          <w:spacing w:val="-2"/>
          <w:sz w:val="20"/>
          <w:szCs w:val="20"/>
        </w:rPr>
        <w:t>既可以通过性接触传播，也可以通过血液制品传播和发生母婴传播。</w:t>
      </w:r>
    </w:p>
    <w:p w14:paraId="42231520">
      <w:pPr>
        <w:pStyle w:val="2"/>
        <w:spacing w:before="3" w:line="221" w:lineRule="auto"/>
        <w:ind w:left="1042"/>
        <w:rPr>
          <w:sz w:val="20"/>
          <w:szCs w:val="20"/>
        </w:rPr>
      </w:pPr>
      <w:r>
        <w:rPr>
          <w:b/>
          <w:bCs/>
          <w:spacing w:val="22"/>
          <w:sz w:val="20"/>
          <w:szCs w:val="20"/>
        </w:rPr>
        <w:t>(三)易感人群</w:t>
      </w:r>
    </w:p>
    <w:p w14:paraId="716A7DFE">
      <w:pPr>
        <w:spacing w:before="139" w:line="341" w:lineRule="auto"/>
        <w:ind w:left="659" w:firstLine="380"/>
        <w:jc w:val="both"/>
        <w:rPr>
          <w:rFonts w:ascii="宋体" w:hAnsi="宋体" w:eastAsia="宋体" w:cs="宋体"/>
          <w:sz w:val="20"/>
          <w:szCs w:val="20"/>
        </w:rPr>
      </w:pPr>
      <w:r>
        <w:rPr>
          <w:rFonts w:ascii="宋体" w:hAnsi="宋体" w:eastAsia="宋体" w:cs="宋体"/>
          <w:spacing w:val="10"/>
          <w:sz w:val="20"/>
          <w:szCs w:val="20"/>
        </w:rPr>
        <w:t>机体在接触病原体后最终被感染的可能性称为易感性。免疫力是机体免疫系统对抗病原体</w:t>
      </w:r>
      <w:r>
        <w:rPr>
          <w:rFonts w:ascii="宋体" w:hAnsi="宋体" w:eastAsia="宋体" w:cs="宋体"/>
          <w:spacing w:val="8"/>
          <w:sz w:val="20"/>
          <w:szCs w:val="20"/>
        </w:rPr>
        <w:t xml:space="preserve">  </w:t>
      </w:r>
      <w:r>
        <w:rPr>
          <w:rFonts w:ascii="宋体" w:hAnsi="宋体" w:eastAsia="宋体" w:cs="宋体"/>
          <w:spacing w:val="12"/>
          <w:sz w:val="20"/>
          <w:szCs w:val="20"/>
        </w:rPr>
        <w:t>侵袭的能力。易感人群是指对某传染病的病原体缺乏足以阻断感染发生的免疫力的特定人群。</w:t>
      </w:r>
      <w:r>
        <w:rPr>
          <w:rFonts w:ascii="宋体" w:hAnsi="宋体" w:eastAsia="宋体" w:cs="宋体"/>
          <w:spacing w:val="7"/>
          <w:sz w:val="20"/>
          <w:szCs w:val="20"/>
        </w:rPr>
        <w:t xml:space="preserve"> 人群整体对传染病的易感程度称为人群易感性</w:t>
      </w:r>
      <w:r>
        <w:rPr>
          <w:rFonts w:ascii="Times New Roman" w:hAnsi="Times New Roman" w:eastAsia="Times New Roman" w:cs="Times New Roman"/>
          <w:spacing w:val="7"/>
          <w:sz w:val="20"/>
          <w:szCs w:val="20"/>
        </w:rPr>
        <w:t>(</w:t>
      </w:r>
      <w:r>
        <w:rPr>
          <w:rFonts w:ascii="Times New Roman" w:hAnsi="Times New Roman" w:eastAsia="Times New Roman" w:cs="Times New Roman"/>
          <w:sz w:val="20"/>
          <w:szCs w:val="20"/>
        </w:rPr>
        <w:t>herd</w:t>
      </w:r>
      <w:r>
        <w:rPr>
          <w:rFonts w:ascii="Times New Roman" w:hAnsi="Times New Roman" w:eastAsia="Times New Roman" w:cs="Times New Roman"/>
          <w:spacing w:val="7"/>
          <w:sz w:val="20"/>
          <w:szCs w:val="20"/>
        </w:rPr>
        <w:t xml:space="preserve">      </w:t>
      </w:r>
      <w:r>
        <w:rPr>
          <w:rFonts w:ascii="Times New Roman" w:hAnsi="Times New Roman" w:eastAsia="Times New Roman" w:cs="Times New Roman"/>
          <w:sz w:val="20"/>
          <w:szCs w:val="20"/>
        </w:rPr>
        <w:t>susceptibility</w:t>
      </w:r>
      <w:r>
        <w:rPr>
          <w:rFonts w:ascii="Times New Roman" w:hAnsi="Times New Roman" w:eastAsia="Times New Roman" w:cs="Times New Roman"/>
          <w:spacing w:val="7"/>
          <w:sz w:val="20"/>
          <w:szCs w:val="20"/>
        </w:rPr>
        <w:t>),</w:t>
      </w:r>
      <w:r>
        <w:rPr>
          <w:rFonts w:ascii="宋体" w:hAnsi="宋体" w:eastAsia="宋体" w:cs="宋体"/>
          <w:spacing w:val="7"/>
          <w:sz w:val="20"/>
          <w:szCs w:val="20"/>
        </w:rPr>
        <w:t xml:space="preserve">其高低取决于人群中易感个  </w:t>
      </w:r>
      <w:r>
        <w:rPr>
          <w:rFonts w:ascii="宋体" w:hAnsi="宋体" w:eastAsia="宋体" w:cs="宋体"/>
          <w:spacing w:val="8"/>
          <w:sz w:val="20"/>
          <w:szCs w:val="20"/>
        </w:rPr>
        <w:t>体所占的比例。与之相对应的是人群免疫力或群体免疫(</w:t>
      </w:r>
      <w:r>
        <w:rPr>
          <w:rFonts w:ascii="宋体" w:hAnsi="宋体" w:eastAsia="宋体" w:cs="宋体"/>
          <w:sz w:val="20"/>
          <w:szCs w:val="20"/>
        </w:rPr>
        <w:t>herd</w:t>
      </w:r>
      <w:r>
        <w:rPr>
          <w:rFonts w:ascii="宋体" w:hAnsi="宋体" w:eastAsia="宋体" w:cs="宋体"/>
          <w:spacing w:val="8"/>
          <w:sz w:val="20"/>
          <w:szCs w:val="20"/>
        </w:rPr>
        <w:t xml:space="preserve">  </w:t>
      </w:r>
      <w:r>
        <w:rPr>
          <w:rFonts w:ascii="宋体" w:hAnsi="宋体" w:eastAsia="宋体" w:cs="宋体"/>
          <w:sz w:val="20"/>
          <w:szCs w:val="20"/>
        </w:rPr>
        <w:t>immunity</w:t>
      </w:r>
      <w:r>
        <w:rPr>
          <w:rFonts w:ascii="宋体" w:hAnsi="宋体" w:eastAsia="宋体" w:cs="宋体"/>
          <w:spacing w:val="8"/>
          <w:sz w:val="20"/>
          <w:szCs w:val="20"/>
        </w:rPr>
        <w:t>),即人群对传染病病原</w:t>
      </w:r>
      <w:r>
        <w:rPr>
          <w:rFonts w:ascii="宋体" w:hAnsi="宋体" w:eastAsia="宋体" w:cs="宋体"/>
          <w:spacing w:val="5"/>
          <w:sz w:val="20"/>
          <w:szCs w:val="20"/>
        </w:rPr>
        <w:t xml:space="preserve">  </w:t>
      </w:r>
      <w:r>
        <w:rPr>
          <w:rFonts w:ascii="宋体" w:hAnsi="宋体" w:eastAsia="宋体" w:cs="宋体"/>
          <w:spacing w:val="10"/>
          <w:sz w:val="20"/>
          <w:szCs w:val="20"/>
        </w:rPr>
        <w:t>体侵人和传播的抵抗力。当人群中有免疫力的个体足够多时，尽管此时尚有相当数量的易</w:t>
      </w:r>
      <w:r>
        <w:rPr>
          <w:rFonts w:ascii="宋体" w:hAnsi="宋体" w:eastAsia="宋体" w:cs="宋体"/>
          <w:spacing w:val="9"/>
          <w:sz w:val="20"/>
          <w:szCs w:val="20"/>
        </w:rPr>
        <w:t>感者</w:t>
      </w:r>
      <w:r>
        <w:rPr>
          <w:rFonts w:ascii="宋体" w:hAnsi="宋体" w:eastAsia="宋体" w:cs="宋体"/>
          <w:sz w:val="20"/>
          <w:szCs w:val="20"/>
        </w:rPr>
        <w:t xml:space="preserve">  </w:t>
      </w:r>
      <w:r>
        <w:rPr>
          <w:rFonts w:ascii="宋体" w:hAnsi="宋体" w:eastAsia="宋体" w:cs="宋体"/>
          <w:spacing w:val="10"/>
          <w:sz w:val="20"/>
          <w:szCs w:val="20"/>
        </w:rPr>
        <w:t>存在，但免疫个体构筑的屏障使感染者(传染源)接触易感个体</w:t>
      </w:r>
      <w:r>
        <w:rPr>
          <w:rFonts w:ascii="宋体" w:hAnsi="宋体" w:eastAsia="宋体" w:cs="宋体"/>
          <w:spacing w:val="9"/>
          <w:sz w:val="20"/>
          <w:szCs w:val="20"/>
        </w:rPr>
        <w:t>的概率减小，或使后续感染者排</w:t>
      </w:r>
      <w:r>
        <w:rPr>
          <w:rFonts w:ascii="宋体" w:hAnsi="宋体" w:eastAsia="宋体" w:cs="宋体"/>
          <w:sz w:val="20"/>
          <w:szCs w:val="20"/>
        </w:rPr>
        <w:t xml:space="preserve">  </w:t>
      </w:r>
      <w:r>
        <w:rPr>
          <w:rFonts w:ascii="宋体" w:hAnsi="宋体" w:eastAsia="宋体" w:cs="宋体"/>
          <w:spacing w:val="2"/>
          <w:sz w:val="20"/>
          <w:szCs w:val="20"/>
        </w:rPr>
        <w:t>出病原体的时间缩短、剂量降低，从而降低传染性，这种</w:t>
      </w:r>
      <w:r>
        <w:rPr>
          <w:rFonts w:ascii="宋体" w:hAnsi="宋体" w:eastAsia="宋体" w:cs="宋体"/>
          <w:spacing w:val="1"/>
          <w:sz w:val="20"/>
          <w:szCs w:val="20"/>
        </w:rPr>
        <w:t>现象称为免疫屏障</w:t>
      </w:r>
      <w:r>
        <w:rPr>
          <w:rFonts w:ascii="Times New Roman" w:hAnsi="Times New Roman" w:eastAsia="Times New Roman" w:cs="Times New Roman"/>
          <w:spacing w:val="1"/>
          <w:sz w:val="20"/>
          <w:szCs w:val="20"/>
        </w:rPr>
        <w:t>(</w:t>
      </w:r>
      <w:r>
        <w:rPr>
          <w:rFonts w:ascii="Times New Roman" w:hAnsi="Times New Roman" w:eastAsia="Times New Roman" w:cs="Times New Roman"/>
          <w:sz w:val="20"/>
          <w:szCs w:val="20"/>
        </w:rPr>
        <w:t>immune</w:t>
      </w:r>
      <w:r>
        <w:rPr>
          <w:rFonts w:ascii="Times New Roman" w:hAnsi="Times New Roman" w:eastAsia="Times New Roman" w:cs="Times New Roman"/>
          <w:spacing w:val="1"/>
          <w:sz w:val="20"/>
          <w:szCs w:val="20"/>
        </w:rPr>
        <w:t xml:space="preserve">    </w:t>
      </w:r>
      <w:r>
        <w:rPr>
          <w:rFonts w:ascii="Times New Roman" w:hAnsi="Times New Roman" w:eastAsia="Times New Roman" w:cs="Times New Roman"/>
          <w:sz w:val="20"/>
          <w:szCs w:val="20"/>
        </w:rPr>
        <w:t>barrier</w:t>
      </w:r>
      <w:r>
        <w:rPr>
          <w:rFonts w:ascii="Times New Roman" w:hAnsi="Times New Roman" w:eastAsia="Times New Roman" w:cs="Times New Roman"/>
          <w:spacing w:val="1"/>
          <w:sz w:val="20"/>
          <w:szCs w:val="20"/>
        </w:rPr>
        <w:t>)</w:t>
      </w:r>
      <w:r>
        <w:rPr>
          <w:rFonts w:ascii="宋体" w:hAnsi="宋体" w:eastAsia="宋体" w:cs="宋体"/>
          <w:spacing w:val="1"/>
          <w:sz w:val="20"/>
          <w:szCs w:val="20"/>
        </w:rPr>
        <w:t>。一</w:t>
      </w:r>
      <w:r>
        <w:rPr>
          <w:rFonts w:ascii="宋体" w:hAnsi="宋体" w:eastAsia="宋体" w:cs="宋体"/>
          <w:sz w:val="20"/>
          <w:szCs w:val="20"/>
        </w:rPr>
        <w:t xml:space="preserve">  </w:t>
      </w:r>
      <w:r>
        <w:rPr>
          <w:rFonts w:ascii="宋体" w:hAnsi="宋体" w:eastAsia="宋体" w:cs="宋体"/>
          <w:spacing w:val="7"/>
          <w:sz w:val="20"/>
          <w:szCs w:val="20"/>
        </w:rPr>
        <w:t>次传染病流行后，许多易感者因感染而被动获得免疫力，使整个人群免疫力提高、易感性降低，</w:t>
      </w:r>
      <w:r>
        <w:rPr>
          <w:rFonts w:ascii="宋体" w:hAnsi="宋体" w:eastAsia="宋体" w:cs="宋体"/>
          <w:spacing w:val="4"/>
          <w:sz w:val="20"/>
          <w:szCs w:val="20"/>
        </w:rPr>
        <w:t xml:space="preserve"> </w:t>
      </w:r>
      <w:r>
        <w:rPr>
          <w:rFonts w:ascii="宋体" w:hAnsi="宋体" w:eastAsia="宋体" w:cs="宋体"/>
          <w:spacing w:val="7"/>
          <w:sz w:val="20"/>
          <w:szCs w:val="20"/>
        </w:rPr>
        <w:t>如</w:t>
      </w:r>
      <w:r>
        <w:rPr>
          <w:rFonts w:ascii="宋体" w:hAnsi="宋体" w:eastAsia="宋体" w:cs="宋体"/>
          <w:spacing w:val="-49"/>
          <w:sz w:val="20"/>
          <w:szCs w:val="20"/>
        </w:rPr>
        <w:t xml:space="preserve"> </w:t>
      </w:r>
      <w:r>
        <w:rPr>
          <w:rFonts w:ascii="宋体" w:hAnsi="宋体" w:eastAsia="宋体" w:cs="宋体"/>
          <w:sz w:val="20"/>
          <w:szCs w:val="20"/>
        </w:rPr>
        <w:t>EV</w:t>
      </w:r>
      <w:r>
        <w:rPr>
          <w:rFonts w:ascii="宋体" w:hAnsi="宋体" w:eastAsia="宋体" w:cs="宋体"/>
          <w:spacing w:val="7"/>
          <w:sz w:val="20"/>
          <w:szCs w:val="20"/>
        </w:rPr>
        <w:t>71</w:t>
      </w:r>
      <w:r>
        <w:rPr>
          <w:rFonts w:ascii="宋体" w:hAnsi="宋体" w:eastAsia="宋体" w:cs="宋体"/>
          <w:spacing w:val="46"/>
          <w:sz w:val="20"/>
          <w:szCs w:val="20"/>
        </w:rPr>
        <w:t xml:space="preserve"> </w:t>
      </w:r>
      <w:r>
        <w:rPr>
          <w:rFonts w:ascii="宋体" w:hAnsi="宋体" w:eastAsia="宋体" w:cs="宋体"/>
          <w:spacing w:val="7"/>
          <w:sz w:val="20"/>
          <w:szCs w:val="20"/>
        </w:rPr>
        <w:t>所致的手足口病流行后，对于</w:t>
      </w:r>
      <w:r>
        <w:rPr>
          <w:rFonts w:ascii="宋体" w:hAnsi="宋体" w:eastAsia="宋体" w:cs="宋体"/>
          <w:sz w:val="20"/>
          <w:szCs w:val="20"/>
        </w:rPr>
        <w:t>EV</w:t>
      </w:r>
      <w:r>
        <w:rPr>
          <w:rFonts w:ascii="宋体" w:hAnsi="宋体" w:eastAsia="宋体" w:cs="宋体"/>
          <w:spacing w:val="7"/>
          <w:sz w:val="20"/>
          <w:szCs w:val="20"/>
        </w:rPr>
        <w:t>71</w:t>
      </w:r>
      <w:r>
        <w:rPr>
          <w:rFonts w:ascii="宋体" w:hAnsi="宋体" w:eastAsia="宋体" w:cs="宋体"/>
          <w:spacing w:val="55"/>
          <w:sz w:val="20"/>
          <w:szCs w:val="20"/>
        </w:rPr>
        <w:t xml:space="preserve"> </w:t>
      </w:r>
      <w:r>
        <w:rPr>
          <w:rFonts w:ascii="宋体" w:hAnsi="宋体" w:eastAsia="宋体" w:cs="宋体"/>
          <w:spacing w:val="7"/>
          <w:sz w:val="20"/>
          <w:szCs w:val="20"/>
        </w:rPr>
        <w:t>的人群免疫力提高，手足口</w:t>
      </w:r>
      <w:r>
        <w:rPr>
          <w:rFonts w:ascii="宋体" w:hAnsi="宋体" w:eastAsia="宋体" w:cs="宋体"/>
          <w:spacing w:val="6"/>
          <w:sz w:val="20"/>
          <w:szCs w:val="20"/>
        </w:rPr>
        <w:t>病的优势病毒血清型由</w:t>
      </w:r>
      <w:r>
        <w:rPr>
          <w:rFonts w:ascii="宋体" w:hAnsi="宋体" w:eastAsia="宋体" w:cs="宋体"/>
          <w:sz w:val="20"/>
          <w:szCs w:val="20"/>
        </w:rPr>
        <w:t xml:space="preserve"> </w:t>
      </w:r>
      <w:r>
        <w:rPr>
          <w:rFonts w:ascii="Times New Roman" w:hAnsi="Times New Roman" w:eastAsia="Times New Roman" w:cs="Times New Roman"/>
          <w:sz w:val="20"/>
          <w:szCs w:val="20"/>
        </w:rPr>
        <w:t>EV</w:t>
      </w:r>
      <w:r>
        <w:rPr>
          <w:rFonts w:ascii="Times New Roman" w:hAnsi="Times New Roman" w:eastAsia="Times New Roman" w:cs="Times New Roman"/>
          <w:spacing w:val="12"/>
          <w:sz w:val="20"/>
          <w:szCs w:val="20"/>
        </w:rPr>
        <w:t>71</w:t>
      </w:r>
      <w:r>
        <w:rPr>
          <w:rFonts w:ascii="Times New Roman" w:hAnsi="Times New Roman" w:eastAsia="Times New Roman" w:cs="Times New Roman"/>
          <w:spacing w:val="40"/>
          <w:w w:val="101"/>
          <w:sz w:val="20"/>
          <w:szCs w:val="20"/>
        </w:rPr>
        <w:t xml:space="preserve"> </w:t>
      </w:r>
      <w:r>
        <w:rPr>
          <w:rFonts w:ascii="宋体" w:hAnsi="宋体" w:eastAsia="宋体" w:cs="宋体"/>
          <w:spacing w:val="12"/>
          <w:sz w:val="20"/>
          <w:szCs w:val="20"/>
        </w:rPr>
        <w:t>更替为</w:t>
      </w:r>
      <w:r>
        <w:rPr>
          <w:rFonts w:ascii="Times New Roman" w:hAnsi="Times New Roman" w:eastAsia="Times New Roman" w:cs="Times New Roman"/>
          <w:spacing w:val="12"/>
          <w:sz w:val="20"/>
          <w:szCs w:val="20"/>
        </w:rPr>
        <w:t xml:space="preserve">A </w:t>
      </w:r>
      <w:r>
        <w:rPr>
          <w:rFonts w:ascii="宋体" w:hAnsi="宋体" w:eastAsia="宋体" w:cs="宋体"/>
          <w:spacing w:val="12"/>
          <w:sz w:val="20"/>
          <w:szCs w:val="20"/>
        </w:rPr>
        <w:t>组柯萨奇病毒16型</w:t>
      </w:r>
      <w:r>
        <w:rPr>
          <w:rFonts w:ascii="Times New Roman" w:hAnsi="Times New Roman" w:eastAsia="Times New Roman" w:cs="Times New Roman"/>
          <w:spacing w:val="12"/>
          <w:sz w:val="20"/>
          <w:szCs w:val="20"/>
        </w:rPr>
        <w:t>(</w:t>
      </w:r>
      <w:r>
        <w:rPr>
          <w:rFonts w:ascii="Times New Roman" w:hAnsi="Times New Roman" w:eastAsia="Times New Roman" w:cs="Times New Roman"/>
          <w:sz w:val="20"/>
          <w:szCs w:val="20"/>
        </w:rPr>
        <w:t>CV</w:t>
      </w:r>
      <w:r>
        <w:rPr>
          <w:rFonts w:ascii="Times New Roman" w:hAnsi="Times New Roman" w:eastAsia="Times New Roman" w:cs="Times New Roman"/>
          <w:spacing w:val="12"/>
          <w:sz w:val="20"/>
          <w:szCs w:val="20"/>
        </w:rPr>
        <w:t>-A16)</w:t>
      </w:r>
      <w:r>
        <w:rPr>
          <w:rFonts w:ascii="Times New Roman" w:hAnsi="Times New Roman" w:eastAsia="Times New Roman" w:cs="Times New Roman"/>
          <w:spacing w:val="-23"/>
          <w:sz w:val="20"/>
          <w:szCs w:val="20"/>
        </w:rPr>
        <w:t xml:space="preserve"> </w:t>
      </w:r>
      <w:r>
        <w:rPr>
          <w:rFonts w:ascii="宋体" w:hAnsi="宋体" w:eastAsia="宋体" w:cs="宋体"/>
          <w:spacing w:val="12"/>
          <w:sz w:val="20"/>
          <w:szCs w:val="20"/>
        </w:rPr>
        <w:t>。 通过大面积预防接种也可以主动提高人群免疫</w:t>
      </w:r>
      <w:r>
        <w:rPr>
          <w:rFonts w:ascii="宋体" w:hAnsi="宋体" w:eastAsia="宋体" w:cs="宋体"/>
          <w:sz w:val="20"/>
          <w:szCs w:val="20"/>
        </w:rPr>
        <w:t xml:space="preserve"> </w:t>
      </w:r>
      <w:r>
        <w:rPr>
          <w:rFonts w:ascii="宋体" w:hAnsi="宋体" w:eastAsia="宋体" w:cs="宋体"/>
          <w:spacing w:val="11"/>
          <w:sz w:val="20"/>
          <w:szCs w:val="20"/>
        </w:rPr>
        <w:t>力，形成群体免疫，阻断或减缓传染病的流行，</w:t>
      </w:r>
      <w:r>
        <w:rPr>
          <w:rFonts w:ascii="宋体" w:hAnsi="宋体" w:eastAsia="宋体" w:cs="宋体"/>
          <w:spacing w:val="10"/>
          <w:sz w:val="20"/>
          <w:szCs w:val="20"/>
        </w:rPr>
        <w:t>如水痘疫苗大面积接种后儿童水痘发病率明显</w:t>
      </w:r>
      <w:r>
        <w:rPr>
          <w:rFonts w:ascii="宋体" w:hAnsi="宋体" w:eastAsia="宋体" w:cs="宋体"/>
          <w:sz w:val="20"/>
          <w:szCs w:val="20"/>
        </w:rPr>
        <w:t xml:space="preserve"> </w:t>
      </w:r>
      <w:r>
        <w:rPr>
          <w:rFonts w:ascii="宋体" w:hAnsi="宋体" w:eastAsia="宋体" w:cs="宋体"/>
          <w:spacing w:val="6"/>
          <w:sz w:val="20"/>
          <w:szCs w:val="20"/>
        </w:rPr>
        <w:t>下降。</w:t>
      </w:r>
    </w:p>
    <w:p w14:paraId="63521593">
      <w:pPr>
        <w:spacing w:before="28" w:line="343" w:lineRule="auto"/>
        <w:ind w:left="659" w:right="88" w:firstLine="380"/>
        <w:jc w:val="both"/>
        <w:rPr>
          <w:rFonts w:ascii="宋体" w:hAnsi="宋体" w:eastAsia="宋体" w:cs="宋体"/>
          <w:sz w:val="20"/>
          <w:szCs w:val="20"/>
        </w:rPr>
      </w:pPr>
      <w:r>
        <w:rPr>
          <w:rFonts w:ascii="宋体" w:hAnsi="宋体" w:eastAsia="宋体" w:cs="宋体"/>
          <w:spacing w:val="3"/>
          <w:sz w:val="20"/>
          <w:szCs w:val="20"/>
        </w:rPr>
        <w:t>引起人群易感性升高的主要因素包括：①新生儿增加：出生后6个月以上的婴儿，其源自母体</w:t>
      </w:r>
      <w:r>
        <w:rPr>
          <w:rFonts w:ascii="宋体" w:hAnsi="宋体" w:eastAsia="宋体" w:cs="宋体"/>
          <w:spacing w:val="4"/>
          <w:sz w:val="20"/>
          <w:szCs w:val="20"/>
        </w:rPr>
        <w:t xml:space="preserve"> </w:t>
      </w:r>
      <w:r>
        <w:rPr>
          <w:rFonts w:ascii="宋体" w:hAnsi="宋体" w:eastAsia="宋体" w:cs="宋体"/>
          <w:sz w:val="20"/>
          <w:szCs w:val="20"/>
        </w:rPr>
        <w:t>的抗体逐渐消失，获得性免疫尚未形成，因此对许多传染病易感。②易感人口迁入：流行区的居民</w:t>
      </w:r>
      <w:r>
        <w:rPr>
          <w:rFonts w:ascii="宋体" w:hAnsi="宋体" w:eastAsia="宋体" w:cs="宋体"/>
          <w:spacing w:val="10"/>
          <w:sz w:val="20"/>
          <w:szCs w:val="20"/>
        </w:rPr>
        <w:t xml:space="preserve"> </w:t>
      </w:r>
      <w:r>
        <w:rPr>
          <w:rFonts w:ascii="宋体" w:hAnsi="宋体" w:eastAsia="宋体" w:cs="宋体"/>
          <w:spacing w:val="5"/>
          <w:sz w:val="20"/>
          <w:szCs w:val="20"/>
        </w:rPr>
        <w:t>因患病或隐性感染获得了特异性免疫力。当缺乏相应免疫力的非流行区居民迁入时，流行</w:t>
      </w:r>
      <w:r>
        <w:rPr>
          <w:rFonts w:ascii="宋体" w:hAnsi="宋体" w:eastAsia="宋体" w:cs="宋体"/>
          <w:spacing w:val="4"/>
          <w:sz w:val="20"/>
          <w:szCs w:val="20"/>
        </w:rPr>
        <w:t>区的人</w:t>
      </w:r>
      <w:r>
        <w:rPr>
          <w:rFonts w:ascii="宋体" w:hAnsi="宋体" w:eastAsia="宋体" w:cs="宋体"/>
          <w:sz w:val="20"/>
          <w:szCs w:val="20"/>
        </w:rPr>
        <w:t xml:space="preserve"> </w:t>
      </w:r>
      <w:r>
        <w:rPr>
          <w:rFonts w:ascii="宋体" w:hAnsi="宋体" w:eastAsia="宋体" w:cs="宋体"/>
          <w:spacing w:val="5"/>
          <w:sz w:val="20"/>
          <w:szCs w:val="20"/>
        </w:rPr>
        <w:t>群易感性增高。③免疫人口减少：当人群患病(包括隐性感染)后免疫或人工免</w:t>
      </w:r>
      <w:r>
        <w:rPr>
          <w:rFonts w:ascii="宋体" w:hAnsi="宋体" w:eastAsia="宋体" w:cs="宋体"/>
          <w:spacing w:val="4"/>
          <w:sz w:val="20"/>
          <w:szCs w:val="20"/>
        </w:rPr>
        <w:t>疫水平随时间逐渐</w:t>
      </w:r>
      <w:r>
        <w:rPr>
          <w:rFonts w:ascii="宋体" w:hAnsi="宋体" w:eastAsia="宋体" w:cs="宋体"/>
          <w:sz w:val="20"/>
          <w:szCs w:val="20"/>
        </w:rPr>
        <w:t xml:space="preserve"> 消退，或免疫人口死亡时，人群易感性升高。④新型病原体出现或病原体变异：由于人群普遍缺乏</w:t>
      </w:r>
      <w:r>
        <w:rPr>
          <w:rFonts w:ascii="宋体" w:hAnsi="宋体" w:eastAsia="宋体" w:cs="宋体"/>
          <w:spacing w:val="8"/>
          <w:sz w:val="20"/>
          <w:szCs w:val="20"/>
        </w:rPr>
        <w:t xml:space="preserve"> </w:t>
      </w:r>
      <w:r>
        <w:rPr>
          <w:rFonts w:ascii="宋体" w:hAnsi="宋体" w:eastAsia="宋体" w:cs="宋体"/>
          <w:spacing w:val="-4"/>
          <w:sz w:val="20"/>
          <w:szCs w:val="20"/>
        </w:rPr>
        <w:t>免疫力，人群易感性增高。</w:t>
      </w:r>
    </w:p>
    <w:p w14:paraId="59B87EFF">
      <w:pPr>
        <w:spacing w:before="23" w:line="217" w:lineRule="auto"/>
        <w:ind w:left="1040"/>
        <w:rPr>
          <w:rFonts w:ascii="宋体" w:hAnsi="宋体" w:eastAsia="宋体" w:cs="宋体"/>
          <w:sz w:val="20"/>
          <w:szCs w:val="20"/>
        </w:rPr>
      </w:pPr>
      <w:r>
        <w:rPr>
          <w:rFonts w:ascii="宋体" w:hAnsi="宋体" w:eastAsia="宋体" w:cs="宋体"/>
          <w:sz w:val="20"/>
          <w:szCs w:val="20"/>
        </w:rPr>
        <w:t>导致人群易感性降低的主要因素包括：①预防接种：这是降低</w:t>
      </w:r>
      <w:r>
        <w:rPr>
          <w:rFonts w:ascii="宋体" w:hAnsi="宋体" w:eastAsia="宋体" w:cs="宋体"/>
          <w:spacing w:val="-1"/>
          <w:sz w:val="20"/>
          <w:szCs w:val="20"/>
        </w:rPr>
        <w:t>人群对传染病易感性的最主要因</w:t>
      </w:r>
    </w:p>
    <w:p w14:paraId="0E97DE1E">
      <w:pPr>
        <w:spacing w:line="217" w:lineRule="auto"/>
        <w:rPr>
          <w:rFonts w:ascii="宋体" w:hAnsi="宋体" w:eastAsia="宋体" w:cs="宋体"/>
          <w:sz w:val="20"/>
          <w:szCs w:val="20"/>
        </w:rPr>
        <w:sectPr>
          <w:footerReference r:id="rId209" w:type="default"/>
          <w:pgSz w:w="11900" w:h="16820"/>
          <w:pgMar w:top="400" w:right="1590" w:bottom="849" w:left="949" w:header="0" w:footer="669" w:gutter="0"/>
          <w:cols w:space="720" w:num="1"/>
        </w:sectPr>
      </w:pPr>
    </w:p>
    <w:p w14:paraId="07C2C6F1">
      <w:pPr>
        <w:pStyle w:val="2"/>
        <w:spacing w:before="306" w:line="221" w:lineRule="auto"/>
        <w:ind w:left="6929"/>
        <w:rPr>
          <w:sz w:val="20"/>
          <w:szCs w:val="20"/>
        </w:rPr>
      </w:pPr>
      <w:r>
        <w:rPr>
          <w:spacing w:val="-20"/>
          <w:sz w:val="20"/>
          <w:szCs w:val="20"/>
        </w:rPr>
        <w:t>第十一章 传染病流行病学</w:t>
      </w:r>
    </w:p>
    <w:p w14:paraId="298071DD">
      <w:pPr>
        <w:spacing w:line="272" w:lineRule="auto"/>
        <w:rPr>
          <w:rFonts w:ascii="Arial"/>
          <w:sz w:val="21"/>
        </w:rPr>
      </w:pPr>
    </w:p>
    <w:p w14:paraId="01007EF6">
      <w:pPr>
        <w:spacing w:line="273" w:lineRule="auto"/>
        <w:rPr>
          <w:rFonts w:ascii="Arial"/>
          <w:sz w:val="21"/>
        </w:rPr>
      </w:pPr>
    </w:p>
    <w:p w14:paraId="12D8AA79">
      <w:pPr>
        <w:spacing w:before="65" w:line="333" w:lineRule="auto"/>
        <w:ind w:right="635"/>
        <w:jc w:val="both"/>
        <w:rPr>
          <w:rFonts w:ascii="宋体" w:hAnsi="宋体" w:eastAsia="宋体" w:cs="宋体"/>
          <w:sz w:val="20"/>
          <w:szCs w:val="20"/>
        </w:rPr>
      </w:pPr>
      <w:r>
        <w:rPr>
          <w:rFonts w:ascii="宋体" w:hAnsi="宋体" w:eastAsia="宋体" w:cs="宋体"/>
          <w:spacing w:val="8"/>
          <w:sz w:val="20"/>
          <w:szCs w:val="20"/>
        </w:rPr>
        <w:t>素。根据疫情监测和人群免疫状况，按照规定的免疫程序对人群进行预防接</w:t>
      </w:r>
      <w:r>
        <w:rPr>
          <w:rFonts w:ascii="宋体" w:hAnsi="宋体" w:eastAsia="宋体" w:cs="宋体"/>
          <w:spacing w:val="7"/>
          <w:sz w:val="20"/>
          <w:szCs w:val="20"/>
        </w:rPr>
        <w:t>种，可有效提高人群的</w:t>
      </w:r>
      <w:r>
        <w:rPr>
          <w:rFonts w:ascii="宋体" w:hAnsi="宋体" w:eastAsia="宋体" w:cs="宋体"/>
          <w:sz w:val="20"/>
          <w:szCs w:val="20"/>
        </w:rPr>
        <w:t xml:space="preserve"> </w:t>
      </w:r>
      <w:r>
        <w:rPr>
          <w:rFonts w:ascii="宋体" w:hAnsi="宋体" w:eastAsia="宋体" w:cs="宋体"/>
          <w:spacing w:val="4"/>
          <w:sz w:val="20"/>
          <w:szCs w:val="20"/>
        </w:rPr>
        <w:t>特异性免疫力，降低人群易感性。②传染病流行：</w:t>
      </w:r>
      <w:r>
        <w:rPr>
          <w:rFonts w:ascii="宋体" w:hAnsi="宋体" w:eastAsia="宋体" w:cs="宋体"/>
          <w:spacing w:val="67"/>
          <w:sz w:val="20"/>
          <w:szCs w:val="20"/>
        </w:rPr>
        <w:t xml:space="preserve"> </w:t>
      </w:r>
      <w:r>
        <w:rPr>
          <w:rFonts w:ascii="宋体" w:hAnsi="宋体" w:eastAsia="宋体" w:cs="宋体"/>
          <w:spacing w:val="4"/>
          <w:sz w:val="20"/>
          <w:szCs w:val="20"/>
        </w:rPr>
        <w:t>一次传染病流行之后，有相当数量的易感者因患</w:t>
      </w:r>
      <w:r>
        <w:rPr>
          <w:rFonts w:ascii="宋体" w:hAnsi="宋体" w:eastAsia="宋体" w:cs="宋体"/>
          <w:sz w:val="20"/>
          <w:szCs w:val="20"/>
        </w:rPr>
        <w:t xml:space="preserve"> </w:t>
      </w:r>
      <w:r>
        <w:rPr>
          <w:rFonts w:ascii="宋体" w:hAnsi="宋体" w:eastAsia="宋体" w:cs="宋体"/>
          <w:spacing w:val="13"/>
          <w:sz w:val="20"/>
          <w:szCs w:val="20"/>
        </w:rPr>
        <w:t>病或隐性感染而获得免疫力，使人群在传染病流行后的一段时间内</w:t>
      </w:r>
      <w:r>
        <w:rPr>
          <w:rFonts w:ascii="宋体" w:hAnsi="宋体" w:eastAsia="宋体" w:cs="宋体"/>
          <w:spacing w:val="12"/>
          <w:sz w:val="20"/>
          <w:szCs w:val="20"/>
        </w:rPr>
        <w:t>对该病的易感性降低。传染病</w:t>
      </w:r>
      <w:r>
        <w:rPr>
          <w:rFonts w:ascii="宋体" w:hAnsi="宋体" w:eastAsia="宋体" w:cs="宋体"/>
          <w:sz w:val="20"/>
          <w:szCs w:val="20"/>
        </w:rPr>
        <w:t xml:space="preserve"> </w:t>
      </w:r>
      <w:r>
        <w:rPr>
          <w:rFonts w:ascii="宋体" w:hAnsi="宋体" w:eastAsia="宋体" w:cs="宋体"/>
          <w:spacing w:val="10"/>
          <w:sz w:val="20"/>
          <w:szCs w:val="20"/>
        </w:rPr>
        <w:t>患病后或隐性感染后人群免疫力的强弱及持续时间因病种而异。</w:t>
      </w:r>
    </w:p>
    <w:p w14:paraId="326E3676">
      <w:pPr>
        <w:pStyle w:val="2"/>
        <w:spacing w:before="202" w:line="222" w:lineRule="auto"/>
        <w:ind w:left="423"/>
        <w:outlineLvl w:val="4"/>
        <w:rPr>
          <w:sz w:val="26"/>
          <w:szCs w:val="26"/>
        </w:rPr>
      </w:pPr>
      <w:bookmarkStart w:id="316" w:name="bookmark199"/>
      <w:bookmarkEnd w:id="316"/>
      <w:bookmarkStart w:id="317" w:name="bookmark509"/>
      <w:bookmarkEnd w:id="317"/>
      <w:r>
        <w:rPr>
          <w:b/>
          <w:bCs/>
          <w:spacing w:val="-4"/>
          <w:sz w:val="26"/>
          <w:szCs w:val="26"/>
        </w:rPr>
        <w:t>二、传播能力及其量化</w:t>
      </w:r>
    </w:p>
    <w:p w14:paraId="41943B10">
      <w:pPr>
        <w:spacing w:before="246" w:line="338" w:lineRule="auto"/>
        <w:ind w:right="637" w:firstLine="419"/>
        <w:jc w:val="both"/>
        <w:rPr>
          <w:rFonts w:ascii="宋体" w:hAnsi="宋体" w:eastAsia="宋体" w:cs="宋体"/>
          <w:sz w:val="20"/>
          <w:szCs w:val="20"/>
        </w:rPr>
      </w:pPr>
      <w:r>
        <w:rPr>
          <w:rFonts w:ascii="宋体" w:hAnsi="宋体" w:eastAsia="宋体" w:cs="宋体"/>
          <w:sz w:val="20"/>
          <w:szCs w:val="20"/>
        </w:rPr>
        <w:t>传播能力或传播力(transmissibility),指的是感染者与易感者接触后，将病原体传播给易感者的</w:t>
      </w:r>
      <w:r>
        <w:rPr>
          <w:rFonts w:ascii="宋体" w:hAnsi="宋体" w:eastAsia="宋体" w:cs="宋体"/>
          <w:spacing w:val="14"/>
          <w:sz w:val="20"/>
          <w:szCs w:val="20"/>
        </w:rPr>
        <w:t xml:space="preserve"> </w:t>
      </w:r>
      <w:r>
        <w:rPr>
          <w:rFonts w:ascii="宋体" w:hAnsi="宋体" w:eastAsia="宋体" w:cs="宋体"/>
          <w:spacing w:val="8"/>
          <w:sz w:val="20"/>
          <w:szCs w:val="20"/>
        </w:rPr>
        <w:t>概率，体现了病原体从感染者传播给易感宿主的能力。在新发传染病流行早期，评价</w:t>
      </w:r>
      <w:r>
        <w:rPr>
          <w:rFonts w:ascii="宋体" w:hAnsi="宋体" w:eastAsia="宋体" w:cs="宋体"/>
          <w:spacing w:val="7"/>
          <w:sz w:val="20"/>
          <w:szCs w:val="20"/>
        </w:rPr>
        <w:t>其传播力有多</w:t>
      </w:r>
      <w:r>
        <w:rPr>
          <w:rFonts w:ascii="宋体" w:hAnsi="宋体" w:eastAsia="宋体" w:cs="宋体"/>
          <w:sz w:val="20"/>
          <w:szCs w:val="20"/>
        </w:rPr>
        <w:t xml:space="preserve"> </w:t>
      </w:r>
      <w:r>
        <w:rPr>
          <w:rFonts w:ascii="宋体" w:hAnsi="宋体" w:eastAsia="宋体" w:cs="宋体"/>
          <w:spacing w:val="3"/>
          <w:sz w:val="20"/>
          <w:szCs w:val="20"/>
        </w:rPr>
        <w:t>强至关重要。影响传播力的因素很多，如病原体的传染力、感染者的传染性、暴露者的易</w:t>
      </w:r>
      <w:r>
        <w:rPr>
          <w:rFonts w:ascii="宋体" w:hAnsi="宋体" w:eastAsia="宋体" w:cs="宋体"/>
          <w:spacing w:val="2"/>
          <w:sz w:val="20"/>
          <w:szCs w:val="20"/>
        </w:rPr>
        <w:t>感性、感染</w:t>
      </w:r>
      <w:r>
        <w:rPr>
          <w:rFonts w:ascii="宋体" w:hAnsi="宋体" w:eastAsia="宋体" w:cs="宋体"/>
          <w:sz w:val="20"/>
          <w:szCs w:val="20"/>
        </w:rPr>
        <w:t xml:space="preserve"> </w:t>
      </w:r>
      <w:r>
        <w:rPr>
          <w:rFonts w:ascii="宋体" w:hAnsi="宋体" w:eastAsia="宋体" w:cs="宋体"/>
          <w:spacing w:val="13"/>
          <w:sz w:val="20"/>
          <w:szCs w:val="20"/>
        </w:rPr>
        <w:t>者和暴露者之间的接触方式以及传播过程中自然环境对病</w:t>
      </w:r>
      <w:r>
        <w:rPr>
          <w:rFonts w:ascii="宋体" w:hAnsi="宋体" w:eastAsia="宋体" w:cs="宋体"/>
          <w:spacing w:val="12"/>
          <w:sz w:val="20"/>
          <w:szCs w:val="20"/>
        </w:rPr>
        <w:t>原体的制约等。这些因素决定了控制传</w:t>
      </w:r>
      <w:r>
        <w:rPr>
          <w:rFonts w:ascii="宋体" w:hAnsi="宋体" w:eastAsia="宋体" w:cs="宋体"/>
          <w:sz w:val="20"/>
          <w:szCs w:val="20"/>
        </w:rPr>
        <w:t xml:space="preserve"> </w:t>
      </w:r>
      <w:r>
        <w:rPr>
          <w:rFonts w:ascii="宋体" w:hAnsi="宋体" w:eastAsia="宋体" w:cs="宋体"/>
          <w:spacing w:val="11"/>
          <w:sz w:val="20"/>
          <w:szCs w:val="20"/>
        </w:rPr>
        <w:t>染病传播所需的防控措施及其强度。量化传播能力的常用指标如下。</w:t>
      </w:r>
    </w:p>
    <w:p w14:paraId="7059AC86">
      <w:pPr>
        <w:spacing w:before="1" w:line="289" w:lineRule="auto"/>
        <w:ind w:right="556" w:firstLine="419"/>
        <w:rPr>
          <w:rFonts w:ascii="宋体" w:hAnsi="宋体" w:eastAsia="宋体" w:cs="宋体"/>
          <w:sz w:val="20"/>
          <w:szCs w:val="20"/>
        </w:rPr>
      </w:pPr>
      <w:r>
        <w:rPr>
          <w:rFonts w:ascii="Times New Roman" w:hAnsi="Times New Roman" w:eastAsia="Times New Roman" w:cs="Times New Roman"/>
          <w:spacing w:val="3"/>
          <w:sz w:val="20"/>
          <w:szCs w:val="20"/>
        </w:rPr>
        <w:t xml:space="preserve">1.   </w:t>
      </w:r>
      <w:r>
        <w:rPr>
          <w:rFonts w:ascii="宋体" w:hAnsi="宋体" w:eastAsia="宋体" w:cs="宋体"/>
          <w:spacing w:val="3"/>
          <w:sz w:val="20"/>
          <w:szCs w:val="20"/>
        </w:rPr>
        <w:t>续</w:t>
      </w:r>
      <w:r>
        <w:rPr>
          <w:rFonts w:ascii="宋体" w:hAnsi="宋体" w:eastAsia="宋体" w:cs="宋体"/>
          <w:spacing w:val="-17"/>
          <w:sz w:val="20"/>
          <w:szCs w:val="20"/>
        </w:rPr>
        <w:t xml:space="preserve"> </w:t>
      </w:r>
      <w:r>
        <w:rPr>
          <w:rFonts w:ascii="宋体" w:hAnsi="宋体" w:eastAsia="宋体" w:cs="宋体"/>
          <w:spacing w:val="3"/>
          <w:sz w:val="20"/>
          <w:szCs w:val="20"/>
        </w:rPr>
        <w:t>发</w:t>
      </w:r>
      <w:r>
        <w:rPr>
          <w:rFonts w:ascii="宋体" w:hAnsi="宋体" w:eastAsia="宋体" w:cs="宋体"/>
          <w:spacing w:val="-36"/>
          <w:sz w:val="20"/>
          <w:szCs w:val="20"/>
        </w:rPr>
        <w:t xml:space="preserve"> </w:t>
      </w:r>
      <w:r>
        <w:rPr>
          <w:rFonts w:ascii="宋体" w:hAnsi="宋体" w:eastAsia="宋体" w:cs="宋体"/>
          <w:spacing w:val="3"/>
          <w:sz w:val="20"/>
          <w:szCs w:val="20"/>
        </w:rPr>
        <w:t>率</w:t>
      </w:r>
      <w:r>
        <w:rPr>
          <w:rFonts w:ascii="Times New Roman" w:hAnsi="Times New Roman" w:eastAsia="Times New Roman" w:cs="Times New Roman"/>
          <w:spacing w:val="3"/>
          <w:sz w:val="20"/>
          <w:szCs w:val="20"/>
        </w:rPr>
        <w:t>(</w:t>
      </w:r>
      <w:r>
        <w:rPr>
          <w:rFonts w:ascii="Times New Roman" w:hAnsi="Times New Roman" w:eastAsia="Times New Roman" w:cs="Times New Roman"/>
          <w:sz w:val="20"/>
          <w:szCs w:val="20"/>
        </w:rPr>
        <w:t>secondary</w:t>
      </w:r>
      <w:r>
        <w:rPr>
          <w:rFonts w:ascii="Times New Roman" w:hAnsi="Times New Roman" w:eastAsia="Times New Roman" w:cs="Times New Roman"/>
          <w:spacing w:val="3"/>
          <w:sz w:val="20"/>
          <w:szCs w:val="20"/>
        </w:rPr>
        <w:t xml:space="preserve">   </w:t>
      </w:r>
      <w:r>
        <w:rPr>
          <w:rFonts w:ascii="Times New Roman" w:hAnsi="Times New Roman" w:eastAsia="Times New Roman" w:cs="Times New Roman"/>
          <w:sz w:val="20"/>
          <w:szCs w:val="20"/>
        </w:rPr>
        <w:t>attack</w:t>
      </w:r>
      <w:r>
        <w:rPr>
          <w:rFonts w:ascii="Times New Roman" w:hAnsi="Times New Roman" w:eastAsia="Times New Roman" w:cs="Times New Roman"/>
          <w:spacing w:val="3"/>
          <w:sz w:val="20"/>
          <w:szCs w:val="20"/>
        </w:rPr>
        <w:t xml:space="preserve">       </w:t>
      </w:r>
      <w:r>
        <w:rPr>
          <w:rFonts w:ascii="Times New Roman" w:hAnsi="Times New Roman" w:eastAsia="Times New Roman" w:cs="Times New Roman"/>
          <w:sz w:val="20"/>
          <w:szCs w:val="20"/>
        </w:rPr>
        <w:t>rate</w:t>
      </w:r>
      <w:r>
        <w:rPr>
          <w:rFonts w:ascii="Times New Roman" w:hAnsi="Times New Roman" w:eastAsia="Times New Roman" w:cs="Times New Roman"/>
          <w:spacing w:val="3"/>
          <w:sz w:val="20"/>
          <w:szCs w:val="20"/>
        </w:rPr>
        <w:t>,</w:t>
      </w:r>
      <w:r>
        <w:rPr>
          <w:rFonts w:ascii="Times New Roman" w:hAnsi="Times New Roman" w:eastAsia="Times New Roman" w:cs="Times New Roman"/>
          <w:sz w:val="20"/>
          <w:szCs w:val="20"/>
        </w:rPr>
        <w:t>SAR</w:t>
      </w:r>
      <w:r>
        <w:rPr>
          <w:rFonts w:ascii="Times New Roman" w:hAnsi="Times New Roman" w:eastAsia="Times New Roman" w:cs="Times New Roman"/>
          <w:spacing w:val="3"/>
          <w:sz w:val="20"/>
          <w:szCs w:val="20"/>
        </w:rPr>
        <w:t xml:space="preserve">)   </w:t>
      </w:r>
      <w:r>
        <w:rPr>
          <w:rFonts w:ascii="宋体" w:hAnsi="宋体" w:eastAsia="宋体" w:cs="宋体"/>
          <w:spacing w:val="3"/>
          <w:sz w:val="20"/>
          <w:szCs w:val="20"/>
        </w:rPr>
        <w:t>又称二代发病率，相关定义及计算公式详见第二章。</w:t>
      </w:r>
      <w:r>
        <w:rPr>
          <w:rFonts w:ascii="宋体" w:hAnsi="宋体" w:eastAsia="宋体" w:cs="宋体"/>
          <w:sz w:val="20"/>
          <w:szCs w:val="20"/>
        </w:rPr>
        <w:t xml:space="preserve"> </w:t>
      </w:r>
      <w:r>
        <w:rPr>
          <w:rFonts w:ascii="宋体" w:hAnsi="宋体" w:eastAsia="宋体" w:cs="宋体"/>
          <w:spacing w:val="6"/>
          <w:sz w:val="20"/>
          <w:szCs w:val="20"/>
        </w:rPr>
        <w:t>该指标可用于比较传染病传染力的强弱，分析传染病流行因素，以及评价卫生防疫措施的效果。</w:t>
      </w:r>
    </w:p>
    <w:p w14:paraId="79095B08">
      <w:pPr>
        <w:spacing w:before="101" w:line="321" w:lineRule="auto"/>
        <w:ind w:right="556" w:firstLine="419"/>
        <w:rPr>
          <w:rFonts w:ascii="宋体" w:hAnsi="宋体" w:eastAsia="宋体" w:cs="宋体"/>
          <w:sz w:val="20"/>
          <w:szCs w:val="20"/>
        </w:rPr>
      </w:pPr>
      <w:r>
        <w:rPr>
          <w:rFonts w:ascii="Times New Roman" w:hAnsi="Times New Roman" w:eastAsia="Times New Roman" w:cs="Times New Roman"/>
          <w:b/>
          <w:bCs/>
          <w:spacing w:val="6"/>
          <w:sz w:val="20"/>
          <w:szCs w:val="20"/>
        </w:rPr>
        <w:t>2.</w:t>
      </w:r>
      <w:r>
        <w:rPr>
          <w:rFonts w:ascii="Times New Roman" w:hAnsi="Times New Roman" w:eastAsia="Times New Roman" w:cs="Times New Roman"/>
          <w:b/>
          <w:bCs/>
          <w:spacing w:val="24"/>
          <w:sz w:val="20"/>
          <w:szCs w:val="20"/>
        </w:rPr>
        <w:t xml:space="preserve">  </w:t>
      </w:r>
      <w:r>
        <w:rPr>
          <w:rFonts w:ascii="宋体" w:hAnsi="宋体" w:eastAsia="宋体" w:cs="宋体"/>
          <w:b/>
          <w:bCs/>
          <w:spacing w:val="6"/>
          <w:sz w:val="20"/>
          <w:szCs w:val="20"/>
        </w:rPr>
        <w:t>基本再生数(</w:t>
      </w:r>
      <w:r>
        <w:rPr>
          <w:rFonts w:ascii="宋体" w:hAnsi="宋体" w:eastAsia="宋体" w:cs="宋体"/>
          <w:spacing w:val="-60"/>
          <w:sz w:val="20"/>
          <w:szCs w:val="20"/>
        </w:rPr>
        <w:t xml:space="preserve"> </w:t>
      </w:r>
      <w:r>
        <w:rPr>
          <w:rFonts w:ascii="Times New Roman" w:hAnsi="Times New Roman" w:eastAsia="Times New Roman" w:cs="Times New Roman"/>
          <w:sz w:val="20"/>
          <w:szCs w:val="20"/>
        </w:rPr>
        <w:t>basic</w:t>
      </w:r>
      <w:r>
        <w:rPr>
          <w:rFonts w:ascii="Times New Roman" w:hAnsi="Times New Roman" w:eastAsia="Times New Roman" w:cs="Times New Roman"/>
          <w:spacing w:val="6"/>
          <w:sz w:val="20"/>
          <w:szCs w:val="20"/>
        </w:rPr>
        <w:t xml:space="preserve">    </w:t>
      </w:r>
      <w:r>
        <w:rPr>
          <w:rFonts w:ascii="Times New Roman" w:hAnsi="Times New Roman" w:eastAsia="Times New Roman" w:cs="Times New Roman"/>
          <w:sz w:val="20"/>
          <w:szCs w:val="20"/>
        </w:rPr>
        <w:t>reproduction</w:t>
      </w:r>
      <w:r>
        <w:rPr>
          <w:rFonts w:ascii="Times New Roman" w:hAnsi="Times New Roman" w:eastAsia="Times New Roman" w:cs="Times New Roman"/>
          <w:spacing w:val="6"/>
          <w:sz w:val="20"/>
          <w:szCs w:val="20"/>
        </w:rPr>
        <w:t xml:space="preserve">    </w:t>
      </w:r>
      <w:r>
        <w:rPr>
          <w:rFonts w:ascii="Times New Roman" w:hAnsi="Times New Roman" w:eastAsia="Times New Roman" w:cs="Times New Roman"/>
          <w:sz w:val="20"/>
          <w:szCs w:val="20"/>
        </w:rPr>
        <w:t>number</w:t>
      </w:r>
      <w:r>
        <w:rPr>
          <w:rFonts w:ascii="Times New Roman" w:hAnsi="Times New Roman" w:eastAsia="Times New Roman" w:cs="Times New Roman"/>
          <w:spacing w:val="6"/>
          <w:sz w:val="20"/>
          <w:szCs w:val="20"/>
        </w:rPr>
        <w:t xml:space="preserve">,R₀)   </w:t>
      </w:r>
      <w:r>
        <w:rPr>
          <w:rFonts w:ascii="宋体" w:hAnsi="宋体" w:eastAsia="宋体" w:cs="宋体"/>
          <w:spacing w:val="6"/>
          <w:sz w:val="20"/>
          <w:szCs w:val="20"/>
        </w:rPr>
        <w:t>又称基本繁殖</w:t>
      </w:r>
      <w:r>
        <w:rPr>
          <w:rFonts w:ascii="宋体" w:hAnsi="宋体" w:eastAsia="宋体" w:cs="宋体"/>
          <w:spacing w:val="5"/>
          <w:sz w:val="20"/>
          <w:szCs w:val="20"/>
        </w:rPr>
        <w:t>数，是指在没有干预的情况下，</w:t>
      </w:r>
      <w:r>
        <w:rPr>
          <w:rFonts w:ascii="宋体" w:hAnsi="宋体" w:eastAsia="宋体" w:cs="宋体"/>
          <w:sz w:val="20"/>
          <w:szCs w:val="20"/>
        </w:rPr>
        <w:t xml:space="preserve"> </w:t>
      </w:r>
      <w:r>
        <w:rPr>
          <w:rFonts w:ascii="宋体" w:hAnsi="宋体" w:eastAsia="宋体" w:cs="宋体"/>
          <w:spacing w:val="8"/>
          <w:sz w:val="20"/>
          <w:szCs w:val="20"/>
        </w:rPr>
        <w:t>在一个完全易感的人群中，平均每名传染源在其传染期内可</w:t>
      </w:r>
      <w:r>
        <w:rPr>
          <w:rFonts w:ascii="宋体" w:hAnsi="宋体" w:eastAsia="宋体" w:cs="宋体"/>
          <w:spacing w:val="7"/>
          <w:sz w:val="20"/>
          <w:szCs w:val="20"/>
        </w:rPr>
        <w:t>以传染的人数。</w:t>
      </w:r>
      <w:r>
        <w:rPr>
          <w:rFonts w:ascii="宋体" w:hAnsi="宋体" w:eastAsia="宋体" w:cs="宋体"/>
          <w:spacing w:val="-50"/>
          <w:sz w:val="20"/>
          <w:szCs w:val="20"/>
        </w:rPr>
        <w:t xml:space="preserve"> </w:t>
      </w:r>
      <w:r>
        <w:rPr>
          <w:rFonts w:ascii="Times New Roman" w:hAnsi="Times New Roman" w:eastAsia="Times New Roman" w:cs="Times New Roman"/>
          <w:spacing w:val="7"/>
          <w:sz w:val="20"/>
          <w:szCs w:val="20"/>
        </w:rPr>
        <w:t>R₀</w:t>
      </w:r>
      <w:r>
        <w:rPr>
          <w:rFonts w:ascii="Times New Roman" w:hAnsi="Times New Roman" w:eastAsia="Times New Roman" w:cs="Times New Roman"/>
          <w:spacing w:val="30"/>
          <w:w w:val="101"/>
          <w:sz w:val="20"/>
          <w:szCs w:val="20"/>
        </w:rPr>
        <w:t xml:space="preserve"> </w:t>
      </w:r>
      <w:r>
        <w:rPr>
          <w:rFonts w:ascii="宋体" w:hAnsi="宋体" w:eastAsia="宋体" w:cs="宋体"/>
          <w:spacing w:val="7"/>
          <w:sz w:val="20"/>
          <w:szCs w:val="20"/>
        </w:rPr>
        <w:t>为接触率</w:t>
      </w:r>
      <w:r>
        <w:rPr>
          <w:rFonts w:ascii="Times New Roman" w:hAnsi="Times New Roman" w:eastAsia="Times New Roman" w:cs="Times New Roman"/>
          <w:spacing w:val="7"/>
          <w:sz w:val="20"/>
          <w:szCs w:val="20"/>
        </w:rPr>
        <w:t>c</w:t>
      </w:r>
      <w:r>
        <w:rPr>
          <w:rFonts w:ascii="宋体" w:hAnsi="宋体" w:eastAsia="宋体" w:cs="宋体"/>
          <w:spacing w:val="7"/>
          <w:sz w:val="20"/>
          <w:szCs w:val="20"/>
        </w:rPr>
        <w:t>、传染持</w:t>
      </w:r>
      <w:r>
        <w:rPr>
          <w:rFonts w:ascii="宋体" w:hAnsi="宋体" w:eastAsia="宋体" w:cs="宋体"/>
          <w:sz w:val="20"/>
          <w:szCs w:val="20"/>
        </w:rPr>
        <w:t xml:space="preserve"> </w:t>
      </w:r>
      <w:r>
        <w:rPr>
          <w:rFonts w:ascii="宋体" w:hAnsi="宋体" w:eastAsia="宋体" w:cs="宋体"/>
          <w:spacing w:val="9"/>
          <w:sz w:val="20"/>
          <w:szCs w:val="20"/>
        </w:rPr>
        <w:t>续时间d</w:t>
      </w:r>
      <w:r>
        <w:rPr>
          <w:rFonts w:ascii="宋体" w:hAnsi="宋体" w:eastAsia="宋体" w:cs="宋体"/>
          <w:spacing w:val="-18"/>
          <w:sz w:val="20"/>
          <w:szCs w:val="20"/>
        </w:rPr>
        <w:t xml:space="preserve"> </w:t>
      </w:r>
      <w:r>
        <w:rPr>
          <w:rFonts w:ascii="宋体" w:hAnsi="宋体" w:eastAsia="宋体" w:cs="宋体"/>
          <w:spacing w:val="9"/>
          <w:sz w:val="20"/>
          <w:szCs w:val="20"/>
        </w:rPr>
        <w:t>和每次确认暴露的传染概率p</w:t>
      </w:r>
      <w:r>
        <w:rPr>
          <w:rFonts w:ascii="宋体" w:hAnsi="宋体" w:eastAsia="宋体" w:cs="宋体"/>
          <w:spacing w:val="-35"/>
          <w:sz w:val="20"/>
          <w:szCs w:val="20"/>
        </w:rPr>
        <w:t xml:space="preserve"> </w:t>
      </w:r>
      <w:r>
        <w:rPr>
          <w:rFonts w:ascii="宋体" w:hAnsi="宋体" w:eastAsia="宋体" w:cs="宋体"/>
          <w:spacing w:val="9"/>
          <w:sz w:val="20"/>
          <w:szCs w:val="20"/>
        </w:rPr>
        <w:t>的乘积，是一个描述传染病传播力的指标。基本</w:t>
      </w:r>
      <w:r>
        <w:rPr>
          <w:rFonts w:ascii="宋体" w:hAnsi="宋体" w:eastAsia="宋体" w:cs="宋体"/>
          <w:spacing w:val="8"/>
          <w:sz w:val="20"/>
          <w:szCs w:val="20"/>
        </w:rPr>
        <w:t>再生数最主</w:t>
      </w:r>
      <w:r>
        <w:rPr>
          <w:rFonts w:ascii="宋体" w:hAnsi="宋体" w:eastAsia="宋体" w:cs="宋体"/>
          <w:sz w:val="20"/>
          <w:szCs w:val="20"/>
        </w:rPr>
        <w:t xml:space="preserve">  </w:t>
      </w:r>
      <w:r>
        <w:rPr>
          <w:rFonts w:ascii="宋体" w:hAnsi="宋体" w:eastAsia="宋体" w:cs="宋体"/>
          <w:spacing w:val="13"/>
          <w:sz w:val="20"/>
          <w:szCs w:val="20"/>
        </w:rPr>
        <w:t>要的作用是帮助判定一种传染病是否能在人群中持续传播。当</w:t>
      </w:r>
      <w:r>
        <w:rPr>
          <w:rFonts w:ascii="Times New Roman" w:hAnsi="Times New Roman" w:eastAsia="Times New Roman" w:cs="Times New Roman"/>
          <w:spacing w:val="13"/>
          <w:sz w:val="20"/>
          <w:szCs w:val="20"/>
        </w:rPr>
        <w:t xml:space="preserve">R₀&lt;1   </w:t>
      </w:r>
      <w:r>
        <w:rPr>
          <w:rFonts w:ascii="宋体" w:hAnsi="宋体" w:eastAsia="宋体" w:cs="宋体"/>
          <w:spacing w:val="13"/>
          <w:sz w:val="20"/>
          <w:szCs w:val="20"/>
        </w:rPr>
        <w:t>时，意味着</w:t>
      </w:r>
      <w:r>
        <w:rPr>
          <w:rFonts w:ascii="宋体" w:hAnsi="宋体" w:eastAsia="宋体" w:cs="宋体"/>
          <w:spacing w:val="12"/>
          <w:sz w:val="20"/>
          <w:szCs w:val="20"/>
        </w:rPr>
        <w:t>每个传染源在其</w:t>
      </w:r>
      <w:r>
        <w:rPr>
          <w:rFonts w:ascii="宋体" w:hAnsi="宋体" w:eastAsia="宋体" w:cs="宋体"/>
          <w:sz w:val="20"/>
          <w:szCs w:val="20"/>
        </w:rPr>
        <w:t xml:space="preserve"> </w:t>
      </w:r>
      <w:r>
        <w:rPr>
          <w:rFonts w:ascii="宋体" w:hAnsi="宋体" w:eastAsia="宋体" w:cs="宋体"/>
          <w:spacing w:val="8"/>
          <w:sz w:val="20"/>
          <w:szCs w:val="20"/>
        </w:rPr>
        <w:t>具有传播能力的时间内平均产生不到一个续发病例，即人群中</w:t>
      </w:r>
      <w:r>
        <w:rPr>
          <w:rFonts w:ascii="宋体" w:hAnsi="宋体" w:eastAsia="宋体" w:cs="宋体"/>
          <w:spacing w:val="7"/>
          <w:sz w:val="20"/>
          <w:szCs w:val="20"/>
        </w:rPr>
        <w:t>的感染人数会逐渐减少，该传染病将</w:t>
      </w:r>
      <w:r>
        <w:rPr>
          <w:rFonts w:ascii="宋体" w:hAnsi="宋体" w:eastAsia="宋体" w:cs="宋体"/>
          <w:sz w:val="20"/>
          <w:szCs w:val="20"/>
        </w:rPr>
        <w:t xml:space="preserve">  </w:t>
      </w:r>
      <w:r>
        <w:rPr>
          <w:rFonts w:ascii="宋体" w:hAnsi="宋体" w:eastAsia="宋体" w:cs="宋体"/>
          <w:spacing w:val="8"/>
          <w:sz w:val="20"/>
          <w:szCs w:val="20"/>
        </w:rPr>
        <w:t>会逐渐消失；当</w:t>
      </w:r>
      <w:r>
        <w:rPr>
          <w:rFonts w:ascii="Times New Roman" w:hAnsi="Times New Roman" w:eastAsia="Times New Roman" w:cs="Times New Roman"/>
          <w:spacing w:val="8"/>
          <w:sz w:val="20"/>
          <w:szCs w:val="20"/>
        </w:rPr>
        <w:t xml:space="preserve">R₀&gt;1   </w:t>
      </w:r>
      <w:r>
        <w:rPr>
          <w:rFonts w:ascii="宋体" w:hAnsi="宋体" w:eastAsia="宋体" w:cs="宋体"/>
          <w:spacing w:val="8"/>
          <w:sz w:val="20"/>
          <w:szCs w:val="20"/>
        </w:rPr>
        <w:t>时，意味着每个传染源在其具有传播能力的时间内平均产生多于一个续发病</w:t>
      </w:r>
      <w:r>
        <w:rPr>
          <w:rFonts w:ascii="宋体" w:hAnsi="宋体" w:eastAsia="宋体" w:cs="宋体"/>
          <w:sz w:val="20"/>
          <w:szCs w:val="20"/>
        </w:rPr>
        <w:t xml:space="preserve">  </w:t>
      </w:r>
      <w:r>
        <w:rPr>
          <w:rFonts w:ascii="宋体" w:hAnsi="宋体" w:eastAsia="宋体" w:cs="宋体"/>
          <w:spacing w:val="8"/>
          <w:sz w:val="20"/>
          <w:szCs w:val="20"/>
        </w:rPr>
        <w:t>例，即人群中的感染人数会逐渐增加，疫情将会扩大。不同</w:t>
      </w:r>
      <w:r>
        <w:rPr>
          <w:rFonts w:ascii="宋体" w:hAnsi="宋体" w:eastAsia="宋体" w:cs="宋体"/>
          <w:spacing w:val="7"/>
          <w:sz w:val="20"/>
          <w:szCs w:val="20"/>
        </w:rPr>
        <w:t>传染病的基本再生数不仅与病原体传染</w:t>
      </w:r>
      <w:r>
        <w:rPr>
          <w:rFonts w:ascii="宋体" w:hAnsi="宋体" w:eastAsia="宋体" w:cs="宋体"/>
          <w:sz w:val="20"/>
          <w:szCs w:val="20"/>
        </w:rPr>
        <w:t xml:space="preserve">  </w:t>
      </w:r>
      <w:r>
        <w:rPr>
          <w:rFonts w:ascii="宋体" w:hAnsi="宋体" w:eastAsia="宋体" w:cs="宋体"/>
          <w:spacing w:val="5"/>
          <w:sz w:val="20"/>
          <w:szCs w:val="20"/>
        </w:rPr>
        <w:t>力有关，也与人群接触密度有关。</w:t>
      </w:r>
    </w:p>
    <w:p w14:paraId="0AD29B81">
      <w:pPr>
        <w:pStyle w:val="2"/>
        <w:spacing w:before="159" w:line="308" w:lineRule="auto"/>
        <w:ind w:right="641" w:firstLine="419"/>
        <w:rPr>
          <w:rFonts w:ascii="宋体" w:hAnsi="宋体" w:eastAsia="宋体" w:cs="宋体"/>
          <w:sz w:val="20"/>
          <w:szCs w:val="20"/>
        </w:rPr>
      </w:pPr>
      <w:r>
        <w:rPr>
          <w:rFonts w:ascii="Times New Roman" w:hAnsi="Times New Roman" w:eastAsia="Times New Roman" w:cs="Times New Roman"/>
          <w:b/>
          <w:bCs/>
          <w:spacing w:val="4"/>
          <w:sz w:val="20"/>
          <w:szCs w:val="20"/>
        </w:rPr>
        <w:t xml:space="preserve">3.   </w:t>
      </w:r>
      <w:r>
        <w:rPr>
          <w:b/>
          <w:bCs/>
          <w:spacing w:val="4"/>
          <w:sz w:val="20"/>
          <w:szCs w:val="20"/>
        </w:rPr>
        <w:t>有效再生数</w:t>
      </w:r>
      <w:r>
        <w:rPr>
          <w:rFonts w:ascii="宋体" w:hAnsi="宋体" w:eastAsia="宋体" w:cs="宋体"/>
          <w:b/>
          <w:bCs/>
          <w:spacing w:val="4"/>
          <w:sz w:val="20"/>
          <w:szCs w:val="20"/>
        </w:rPr>
        <w:t>(</w:t>
      </w:r>
      <w:r>
        <w:rPr>
          <w:rFonts w:ascii="Times New Roman" w:hAnsi="Times New Roman" w:eastAsia="Times New Roman" w:cs="Times New Roman"/>
          <w:sz w:val="20"/>
          <w:szCs w:val="20"/>
        </w:rPr>
        <w:t>effective</w:t>
      </w:r>
      <w:r>
        <w:rPr>
          <w:rFonts w:ascii="Times New Roman" w:hAnsi="Times New Roman" w:eastAsia="Times New Roman" w:cs="Times New Roman"/>
          <w:spacing w:val="4"/>
          <w:sz w:val="20"/>
          <w:szCs w:val="20"/>
        </w:rPr>
        <w:t xml:space="preserve">   </w:t>
      </w:r>
      <w:r>
        <w:rPr>
          <w:rFonts w:ascii="Times New Roman" w:hAnsi="Times New Roman" w:eastAsia="Times New Roman" w:cs="Times New Roman"/>
          <w:sz w:val="20"/>
          <w:szCs w:val="20"/>
        </w:rPr>
        <w:t>reproduction</w:t>
      </w:r>
      <w:r>
        <w:rPr>
          <w:rFonts w:ascii="Times New Roman" w:hAnsi="Times New Roman" w:eastAsia="Times New Roman" w:cs="Times New Roman"/>
          <w:spacing w:val="4"/>
          <w:sz w:val="20"/>
          <w:szCs w:val="20"/>
        </w:rPr>
        <w:t xml:space="preserve">    </w:t>
      </w:r>
      <w:r>
        <w:rPr>
          <w:rFonts w:ascii="Times New Roman" w:hAnsi="Times New Roman" w:eastAsia="Times New Roman" w:cs="Times New Roman"/>
          <w:sz w:val="20"/>
          <w:szCs w:val="20"/>
        </w:rPr>
        <w:t>number</w:t>
      </w:r>
      <w:r>
        <w:rPr>
          <w:rFonts w:ascii="Times New Roman" w:hAnsi="Times New Roman" w:eastAsia="Times New Roman" w:cs="Times New Roman"/>
          <w:spacing w:val="4"/>
          <w:sz w:val="20"/>
          <w:szCs w:val="20"/>
        </w:rPr>
        <w:t>,R.)</w:t>
      </w:r>
      <w:r>
        <w:rPr>
          <w:rFonts w:ascii="Times New Roman" w:hAnsi="Times New Roman" w:eastAsia="Times New Roman" w:cs="Times New Roman"/>
          <w:spacing w:val="24"/>
          <w:sz w:val="20"/>
          <w:szCs w:val="20"/>
        </w:rPr>
        <w:t xml:space="preserve">  </w:t>
      </w:r>
      <w:r>
        <w:rPr>
          <w:rFonts w:ascii="宋体" w:hAnsi="宋体" w:eastAsia="宋体" w:cs="宋体"/>
          <w:spacing w:val="4"/>
          <w:sz w:val="20"/>
          <w:szCs w:val="20"/>
        </w:rPr>
        <w:t>是指在考虑了免疫、治疗干预或其他因素影</w:t>
      </w:r>
      <w:r>
        <w:rPr>
          <w:rFonts w:ascii="宋体" w:hAnsi="宋体" w:eastAsia="宋体" w:cs="宋体"/>
          <w:sz w:val="20"/>
          <w:szCs w:val="20"/>
        </w:rPr>
        <w:t xml:space="preserve"> </w:t>
      </w:r>
      <w:r>
        <w:rPr>
          <w:rFonts w:ascii="宋体" w:hAnsi="宋体" w:eastAsia="宋体" w:cs="宋体"/>
          <w:spacing w:val="8"/>
          <w:sz w:val="20"/>
          <w:szCs w:val="20"/>
        </w:rPr>
        <w:t>响后，每名传染源在其传染期内平均可以传染的人数。在实际情况中，非</w:t>
      </w:r>
      <w:r>
        <w:rPr>
          <w:rFonts w:ascii="宋体" w:hAnsi="宋体" w:eastAsia="宋体" w:cs="宋体"/>
          <w:spacing w:val="7"/>
          <w:sz w:val="20"/>
          <w:szCs w:val="20"/>
        </w:rPr>
        <w:t>药物干预措施和疫苗接种</w:t>
      </w:r>
      <w:r>
        <w:rPr>
          <w:rFonts w:ascii="宋体" w:hAnsi="宋体" w:eastAsia="宋体" w:cs="宋体"/>
          <w:sz w:val="20"/>
          <w:szCs w:val="20"/>
        </w:rPr>
        <w:t xml:space="preserve"> </w:t>
      </w:r>
      <w:r>
        <w:rPr>
          <w:rFonts w:ascii="宋体" w:hAnsi="宋体" w:eastAsia="宋体" w:cs="宋体"/>
          <w:spacing w:val="9"/>
          <w:sz w:val="20"/>
          <w:szCs w:val="20"/>
        </w:rPr>
        <w:t>会对易感人群产生一定保护效果，难以完全满足</w:t>
      </w:r>
      <w:r>
        <w:rPr>
          <w:rFonts w:ascii="Times New Roman" w:hAnsi="Times New Roman" w:eastAsia="Times New Roman" w:cs="Times New Roman"/>
          <w:spacing w:val="9"/>
          <w:sz w:val="20"/>
          <w:szCs w:val="20"/>
        </w:rPr>
        <w:t>R</w:t>
      </w:r>
      <w:r>
        <w:rPr>
          <w:rFonts w:ascii="宋体" w:hAnsi="宋体" w:eastAsia="宋体" w:cs="宋体"/>
          <w:spacing w:val="9"/>
          <w:sz w:val="20"/>
          <w:szCs w:val="20"/>
        </w:rPr>
        <w:t>。计算中全人群完全易感的前提假设，此时估算</w:t>
      </w:r>
      <w:r>
        <w:rPr>
          <w:rFonts w:ascii="宋体" w:hAnsi="宋体" w:eastAsia="宋体" w:cs="宋体"/>
          <w:spacing w:val="8"/>
          <w:sz w:val="20"/>
          <w:szCs w:val="20"/>
        </w:rPr>
        <w:t xml:space="preserve"> </w:t>
      </w:r>
      <w:r>
        <w:rPr>
          <w:rFonts w:ascii="宋体" w:hAnsi="宋体" w:eastAsia="宋体" w:cs="宋体"/>
          <w:spacing w:val="11"/>
          <w:sz w:val="20"/>
          <w:szCs w:val="20"/>
        </w:rPr>
        <w:t>得到的再生数为有效再生数R, 其意义与R</w:t>
      </w:r>
      <w:r>
        <w:rPr>
          <w:rFonts w:ascii="Calibri" w:hAnsi="Calibri" w:eastAsia="Calibri" w:cs="Calibri"/>
          <w:spacing w:val="11"/>
          <w:sz w:val="20"/>
          <w:szCs w:val="20"/>
        </w:rPr>
        <w:t>₀</w:t>
      </w:r>
      <w:r>
        <w:rPr>
          <w:rFonts w:ascii="Calibri" w:hAnsi="Calibri" w:eastAsia="Calibri" w:cs="Calibri"/>
          <w:spacing w:val="41"/>
          <w:w w:val="101"/>
          <w:sz w:val="20"/>
          <w:szCs w:val="20"/>
        </w:rPr>
        <w:t xml:space="preserve"> </w:t>
      </w:r>
      <w:r>
        <w:rPr>
          <w:rFonts w:ascii="宋体" w:hAnsi="宋体" w:eastAsia="宋体" w:cs="宋体"/>
          <w:spacing w:val="11"/>
          <w:sz w:val="20"/>
          <w:szCs w:val="20"/>
        </w:rPr>
        <w:t>类似。</w:t>
      </w:r>
    </w:p>
    <w:p w14:paraId="62F0E72A">
      <w:pPr>
        <w:pStyle w:val="2"/>
        <w:spacing w:before="126" w:line="310" w:lineRule="auto"/>
        <w:ind w:right="576" w:firstLine="419"/>
        <w:rPr>
          <w:rFonts w:ascii="宋体" w:hAnsi="宋体" w:eastAsia="宋体" w:cs="宋体"/>
          <w:sz w:val="20"/>
          <w:szCs w:val="20"/>
        </w:rPr>
      </w:pPr>
      <w:r>
        <w:rPr>
          <w:rFonts w:ascii="Times New Roman" w:hAnsi="Times New Roman" w:eastAsia="Times New Roman" w:cs="Times New Roman"/>
          <w:b/>
          <w:bCs/>
          <w:spacing w:val="5"/>
          <w:sz w:val="20"/>
          <w:szCs w:val="20"/>
        </w:rPr>
        <w:t>4.</w:t>
      </w:r>
      <w:r>
        <w:rPr>
          <w:rFonts w:ascii="Times New Roman" w:hAnsi="Times New Roman" w:eastAsia="Times New Roman" w:cs="Times New Roman"/>
          <w:b/>
          <w:bCs/>
          <w:spacing w:val="24"/>
          <w:sz w:val="20"/>
          <w:szCs w:val="20"/>
        </w:rPr>
        <w:t xml:space="preserve">  </w:t>
      </w:r>
      <w:r>
        <w:rPr>
          <w:b/>
          <w:bCs/>
          <w:spacing w:val="5"/>
          <w:sz w:val="20"/>
          <w:szCs w:val="20"/>
        </w:rPr>
        <w:t>实时再生数</w:t>
      </w:r>
      <w:r>
        <w:rPr>
          <w:rFonts w:ascii="宋体" w:hAnsi="宋体" w:eastAsia="宋体" w:cs="宋体"/>
          <w:b/>
          <w:bCs/>
          <w:spacing w:val="5"/>
          <w:sz w:val="20"/>
          <w:szCs w:val="20"/>
        </w:rPr>
        <w:t>(</w:t>
      </w:r>
      <w:r>
        <w:rPr>
          <w:rFonts w:ascii="Times New Roman" w:hAnsi="Times New Roman" w:eastAsia="Times New Roman" w:cs="Times New Roman"/>
          <w:sz w:val="20"/>
          <w:szCs w:val="20"/>
        </w:rPr>
        <w:t>time</w:t>
      </w:r>
      <w:r>
        <w:rPr>
          <w:rFonts w:ascii="Times New Roman" w:hAnsi="Times New Roman" w:eastAsia="Times New Roman" w:cs="Times New Roman"/>
          <w:spacing w:val="5"/>
          <w:sz w:val="20"/>
          <w:szCs w:val="20"/>
        </w:rPr>
        <w:t>-</w:t>
      </w:r>
      <w:r>
        <w:rPr>
          <w:rFonts w:ascii="Times New Roman" w:hAnsi="Times New Roman" w:eastAsia="Times New Roman" w:cs="Times New Roman"/>
          <w:sz w:val="20"/>
          <w:szCs w:val="20"/>
        </w:rPr>
        <w:t>varyingreproduction</w:t>
      </w:r>
      <w:r>
        <w:rPr>
          <w:rFonts w:ascii="Times New Roman" w:hAnsi="Times New Roman" w:eastAsia="Times New Roman" w:cs="Times New Roman"/>
          <w:spacing w:val="5"/>
          <w:sz w:val="20"/>
          <w:szCs w:val="20"/>
        </w:rPr>
        <w:t xml:space="preserve">     </w:t>
      </w:r>
      <w:r>
        <w:rPr>
          <w:rFonts w:ascii="Times New Roman" w:hAnsi="Times New Roman" w:eastAsia="Times New Roman" w:cs="Times New Roman"/>
          <w:sz w:val="20"/>
          <w:szCs w:val="20"/>
        </w:rPr>
        <w:t>number</w:t>
      </w:r>
      <w:r>
        <w:rPr>
          <w:rFonts w:ascii="Times New Roman" w:hAnsi="Times New Roman" w:eastAsia="Times New Roman" w:cs="Times New Roman"/>
          <w:spacing w:val="5"/>
          <w:sz w:val="20"/>
          <w:szCs w:val="20"/>
        </w:rPr>
        <w:t>,R₁)</w:t>
      </w:r>
      <w:r>
        <w:rPr>
          <w:rFonts w:ascii="Times New Roman" w:hAnsi="Times New Roman" w:eastAsia="Times New Roman" w:cs="Times New Roman"/>
          <w:spacing w:val="11"/>
          <w:sz w:val="20"/>
          <w:szCs w:val="20"/>
        </w:rPr>
        <w:t xml:space="preserve">  </w:t>
      </w:r>
      <w:r>
        <w:rPr>
          <w:rFonts w:ascii="宋体" w:hAnsi="宋体" w:eastAsia="宋体" w:cs="宋体"/>
          <w:spacing w:val="5"/>
          <w:sz w:val="20"/>
          <w:szCs w:val="20"/>
        </w:rPr>
        <w:t>是指在某个区域的特定人群</w:t>
      </w:r>
      <w:r>
        <w:rPr>
          <w:rFonts w:ascii="宋体" w:hAnsi="宋体" w:eastAsia="宋体" w:cs="宋体"/>
          <w:spacing w:val="4"/>
          <w:sz w:val="20"/>
          <w:szCs w:val="20"/>
        </w:rPr>
        <w:t>中，在</w:t>
      </w:r>
      <w:r>
        <w:rPr>
          <w:rFonts w:ascii="Times New Roman" w:hAnsi="Times New Roman" w:eastAsia="Times New Roman" w:cs="Times New Roman"/>
          <w:spacing w:val="4"/>
          <w:sz w:val="20"/>
          <w:szCs w:val="20"/>
        </w:rPr>
        <w:t xml:space="preserve">t </w:t>
      </w:r>
      <w:r>
        <w:rPr>
          <w:rFonts w:ascii="宋体" w:hAnsi="宋体" w:eastAsia="宋体" w:cs="宋体"/>
          <w:spacing w:val="4"/>
          <w:sz w:val="20"/>
          <w:szCs w:val="20"/>
        </w:rPr>
        <w:t>时</w:t>
      </w:r>
      <w:r>
        <w:rPr>
          <w:rFonts w:ascii="宋体" w:hAnsi="宋体" w:eastAsia="宋体" w:cs="宋体"/>
          <w:spacing w:val="-30"/>
          <w:sz w:val="20"/>
          <w:szCs w:val="20"/>
        </w:rPr>
        <w:t xml:space="preserve"> </w:t>
      </w:r>
      <w:r>
        <w:rPr>
          <w:rFonts w:ascii="宋体" w:hAnsi="宋体" w:eastAsia="宋体" w:cs="宋体"/>
          <w:spacing w:val="4"/>
          <w:sz w:val="20"/>
          <w:szCs w:val="20"/>
        </w:rPr>
        <w:t>刻</w:t>
      </w:r>
      <w:r>
        <w:rPr>
          <w:rFonts w:ascii="宋体" w:hAnsi="宋体" w:eastAsia="宋体" w:cs="宋体"/>
          <w:sz w:val="20"/>
          <w:szCs w:val="20"/>
        </w:rPr>
        <w:t xml:space="preserve"> </w:t>
      </w:r>
      <w:r>
        <w:rPr>
          <w:rFonts w:ascii="宋体" w:hAnsi="宋体" w:eastAsia="宋体" w:cs="宋体"/>
          <w:spacing w:val="4"/>
          <w:sz w:val="20"/>
          <w:szCs w:val="20"/>
        </w:rPr>
        <w:t>的人口、经济、环境条件以及干预力度下，</w:t>
      </w:r>
      <w:r>
        <w:rPr>
          <w:rFonts w:ascii="宋体" w:hAnsi="宋体" w:eastAsia="宋体" w:cs="宋体"/>
          <w:spacing w:val="64"/>
          <w:sz w:val="20"/>
          <w:szCs w:val="20"/>
        </w:rPr>
        <w:t xml:space="preserve"> </w:t>
      </w:r>
      <w:r>
        <w:rPr>
          <w:rFonts w:ascii="宋体" w:hAnsi="宋体" w:eastAsia="宋体" w:cs="宋体"/>
          <w:spacing w:val="4"/>
          <w:sz w:val="20"/>
          <w:szCs w:val="20"/>
        </w:rPr>
        <w:t>一个具有传染性的个体在其传染</w:t>
      </w:r>
      <w:r>
        <w:rPr>
          <w:rFonts w:ascii="宋体" w:hAnsi="宋体" w:eastAsia="宋体" w:cs="宋体"/>
          <w:spacing w:val="3"/>
          <w:sz w:val="20"/>
          <w:szCs w:val="20"/>
        </w:rPr>
        <w:t>期内在易感群体中直接</w:t>
      </w:r>
      <w:r>
        <w:rPr>
          <w:rFonts w:ascii="宋体" w:hAnsi="宋体" w:eastAsia="宋体" w:cs="宋体"/>
          <w:sz w:val="20"/>
          <w:szCs w:val="20"/>
        </w:rPr>
        <w:t xml:space="preserve"> </w:t>
      </w:r>
      <w:r>
        <w:rPr>
          <w:rFonts w:ascii="宋体" w:hAnsi="宋体" w:eastAsia="宋体" w:cs="宋体"/>
          <w:spacing w:val="8"/>
          <w:sz w:val="20"/>
          <w:szCs w:val="20"/>
        </w:rPr>
        <w:t>造成新的二次感染者的期望值。</w:t>
      </w:r>
      <w:r>
        <w:rPr>
          <w:rFonts w:ascii="宋体" w:hAnsi="宋体" w:eastAsia="宋体" w:cs="宋体"/>
          <w:spacing w:val="-38"/>
          <w:sz w:val="20"/>
          <w:szCs w:val="20"/>
        </w:rPr>
        <w:t xml:space="preserve"> </w:t>
      </w:r>
      <w:r>
        <w:rPr>
          <w:rFonts w:ascii="Times New Roman" w:hAnsi="Times New Roman" w:eastAsia="Times New Roman" w:cs="Times New Roman"/>
          <w:spacing w:val="8"/>
          <w:sz w:val="20"/>
          <w:szCs w:val="20"/>
        </w:rPr>
        <w:t>t</w:t>
      </w:r>
      <w:r>
        <w:rPr>
          <w:rFonts w:ascii="Times New Roman" w:hAnsi="Times New Roman" w:eastAsia="Times New Roman" w:cs="Times New Roman"/>
          <w:spacing w:val="37"/>
          <w:sz w:val="20"/>
          <w:szCs w:val="20"/>
        </w:rPr>
        <w:t xml:space="preserve"> </w:t>
      </w:r>
      <w:r>
        <w:rPr>
          <w:rFonts w:ascii="宋体" w:hAnsi="宋体" w:eastAsia="宋体" w:cs="宋体"/>
          <w:spacing w:val="8"/>
          <w:sz w:val="20"/>
          <w:szCs w:val="20"/>
        </w:rPr>
        <w:t>为时间单位，可以是时、天、周等，实际应用中通常计算每一天</w:t>
      </w:r>
      <w:r>
        <w:rPr>
          <w:rFonts w:ascii="宋体" w:hAnsi="宋体" w:eastAsia="宋体" w:cs="宋体"/>
          <w:sz w:val="20"/>
          <w:szCs w:val="20"/>
        </w:rPr>
        <w:t xml:space="preserve"> </w:t>
      </w:r>
      <w:r>
        <w:rPr>
          <w:rFonts w:ascii="宋体" w:hAnsi="宋体" w:eastAsia="宋体" w:cs="宋体"/>
          <w:spacing w:val="6"/>
          <w:sz w:val="20"/>
          <w:szCs w:val="20"/>
        </w:rPr>
        <w:t>的实时再生数。随着干预措施发挥作用，</w:t>
      </w:r>
      <w:r>
        <w:rPr>
          <w:rFonts w:ascii="Times New Roman" w:hAnsi="Times New Roman" w:eastAsia="Times New Roman" w:cs="Times New Roman"/>
          <w:spacing w:val="6"/>
          <w:sz w:val="20"/>
          <w:szCs w:val="20"/>
        </w:rPr>
        <w:t xml:space="preserve">R, </w:t>
      </w:r>
      <w:r>
        <w:rPr>
          <w:rFonts w:ascii="宋体" w:hAnsi="宋体" w:eastAsia="宋体" w:cs="宋体"/>
          <w:spacing w:val="6"/>
          <w:sz w:val="20"/>
          <w:szCs w:val="20"/>
        </w:rPr>
        <w:t>下降到1以下，新发病例数会逐</w:t>
      </w:r>
      <w:r>
        <w:rPr>
          <w:rFonts w:ascii="宋体" w:hAnsi="宋体" w:eastAsia="宋体" w:cs="宋体"/>
          <w:spacing w:val="5"/>
          <w:sz w:val="20"/>
          <w:szCs w:val="20"/>
        </w:rPr>
        <w:t>渐减少，疫情得到控制。</w:t>
      </w:r>
      <w:r>
        <w:rPr>
          <w:rFonts w:ascii="宋体" w:hAnsi="宋体" w:eastAsia="宋体" w:cs="宋体"/>
          <w:sz w:val="20"/>
          <w:szCs w:val="20"/>
        </w:rPr>
        <w:t xml:space="preserve"> </w:t>
      </w:r>
      <w:r>
        <w:rPr>
          <w:rFonts w:ascii="Times New Roman" w:hAnsi="Times New Roman" w:eastAsia="Times New Roman" w:cs="Times New Roman"/>
          <w:spacing w:val="10"/>
          <w:sz w:val="20"/>
          <w:szCs w:val="20"/>
        </w:rPr>
        <w:t>R,</w:t>
      </w:r>
      <w:r>
        <w:rPr>
          <w:rFonts w:ascii="宋体" w:hAnsi="宋体" w:eastAsia="宋体" w:cs="宋体"/>
          <w:spacing w:val="10"/>
          <w:sz w:val="20"/>
          <w:szCs w:val="20"/>
        </w:rPr>
        <w:t>可用于评估传染病的实时传播力以及干预措</w:t>
      </w:r>
      <w:r>
        <w:rPr>
          <w:rFonts w:ascii="宋体" w:hAnsi="宋体" w:eastAsia="宋体" w:cs="宋体"/>
          <w:spacing w:val="9"/>
          <w:sz w:val="20"/>
          <w:szCs w:val="20"/>
        </w:rPr>
        <w:t>施的效果。</w:t>
      </w:r>
    </w:p>
    <w:p w14:paraId="6C5D8F93">
      <w:pPr>
        <w:spacing w:line="253" w:lineRule="auto"/>
        <w:rPr>
          <w:rFonts w:ascii="Arial"/>
          <w:sz w:val="21"/>
        </w:rPr>
      </w:pPr>
    </w:p>
    <w:p w14:paraId="25CEE753">
      <w:pPr>
        <w:pStyle w:val="2"/>
        <w:spacing w:before="85" w:line="221" w:lineRule="auto"/>
        <w:ind w:left="423"/>
        <w:outlineLvl w:val="4"/>
        <w:rPr>
          <w:sz w:val="26"/>
          <w:szCs w:val="26"/>
        </w:rPr>
      </w:pPr>
      <w:bookmarkStart w:id="318" w:name="bookmark200"/>
      <w:bookmarkEnd w:id="318"/>
      <w:r>
        <w:rPr>
          <w:b/>
          <w:bCs/>
          <w:spacing w:val="-8"/>
          <w:sz w:val="26"/>
          <w:szCs w:val="26"/>
        </w:rPr>
        <w:t>三、疫源地与流行过程</w:t>
      </w:r>
    </w:p>
    <w:p w14:paraId="1718B4E3">
      <w:pPr>
        <w:spacing w:before="229" w:line="341" w:lineRule="auto"/>
        <w:ind w:right="640" w:firstLine="419"/>
        <w:jc w:val="both"/>
        <w:rPr>
          <w:rFonts w:ascii="宋体" w:hAnsi="宋体" w:eastAsia="宋体" w:cs="宋体"/>
          <w:sz w:val="20"/>
          <w:szCs w:val="20"/>
        </w:rPr>
      </w:pPr>
      <w:r>
        <w:rPr>
          <w:rFonts w:ascii="宋体" w:hAnsi="宋体" w:eastAsia="宋体" w:cs="宋体"/>
          <w:spacing w:val="9"/>
          <w:sz w:val="20"/>
          <w:szCs w:val="20"/>
        </w:rPr>
        <w:t>疫源地</w:t>
      </w:r>
      <w:r>
        <w:rPr>
          <w:rFonts w:ascii="Times New Roman" w:hAnsi="Times New Roman" w:eastAsia="Times New Roman" w:cs="Times New Roman"/>
          <w:spacing w:val="9"/>
          <w:sz w:val="20"/>
          <w:szCs w:val="20"/>
        </w:rPr>
        <w:t>(</w:t>
      </w:r>
      <w:r>
        <w:rPr>
          <w:rFonts w:ascii="Times New Roman" w:hAnsi="Times New Roman" w:eastAsia="Times New Roman" w:cs="Times New Roman"/>
          <w:sz w:val="20"/>
          <w:szCs w:val="20"/>
        </w:rPr>
        <w:t>epidemie</w:t>
      </w:r>
      <w:r>
        <w:rPr>
          <w:rFonts w:ascii="Times New Roman" w:hAnsi="Times New Roman" w:eastAsia="Times New Roman" w:cs="Times New Roman"/>
          <w:spacing w:val="9"/>
          <w:sz w:val="20"/>
          <w:szCs w:val="20"/>
        </w:rPr>
        <w:t xml:space="preserve">     </w:t>
      </w:r>
      <w:r>
        <w:rPr>
          <w:rFonts w:ascii="Times New Roman" w:hAnsi="Times New Roman" w:eastAsia="Times New Roman" w:cs="Times New Roman"/>
          <w:sz w:val="20"/>
          <w:szCs w:val="20"/>
        </w:rPr>
        <w:t>focus</w:t>
      </w:r>
      <w:r>
        <w:rPr>
          <w:rFonts w:ascii="Times New Roman" w:hAnsi="Times New Roman" w:eastAsia="Times New Roman" w:cs="Times New Roman"/>
          <w:spacing w:val="9"/>
          <w:sz w:val="20"/>
          <w:szCs w:val="20"/>
        </w:rPr>
        <w:t>)</w:t>
      </w:r>
      <w:r>
        <w:rPr>
          <w:rFonts w:ascii="宋体" w:hAnsi="宋体" w:eastAsia="宋体" w:cs="宋体"/>
          <w:spacing w:val="9"/>
          <w:sz w:val="20"/>
          <w:szCs w:val="20"/>
        </w:rPr>
        <w:t>是指传染源及其排出的病原体向周围播散所能波及的范围，即新病例</w:t>
      </w:r>
      <w:r>
        <w:rPr>
          <w:rFonts w:ascii="宋体" w:hAnsi="宋体" w:eastAsia="宋体" w:cs="宋体"/>
          <w:spacing w:val="5"/>
          <w:sz w:val="20"/>
          <w:szCs w:val="20"/>
        </w:rPr>
        <w:t xml:space="preserve"> </w:t>
      </w:r>
      <w:r>
        <w:rPr>
          <w:rFonts w:ascii="宋体" w:hAnsi="宋体" w:eastAsia="宋体" w:cs="宋体"/>
          <w:spacing w:val="13"/>
          <w:sz w:val="20"/>
          <w:szCs w:val="20"/>
        </w:rPr>
        <w:t>或新感染可能发生的范围。通常将范围较小的疫源地或单个</w:t>
      </w:r>
      <w:r>
        <w:rPr>
          <w:rFonts w:ascii="宋体" w:hAnsi="宋体" w:eastAsia="宋体" w:cs="宋体"/>
          <w:spacing w:val="12"/>
          <w:sz w:val="20"/>
          <w:szCs w:val="20"/>
        </w:rPr>
        <w:t>传染源所构成的疫源地称为疫点，范</w:t>
      </w:r>
      <w:r>
        <w:rPr>
          <w:rFonts w:ascii="宋体" w:hAnsi="宋体" w:eastAsia="宋体" w:cs="宋体"/>
          <w:sz w:val="20"/>
          <w:szCs w:val="20"/>
        </w:rPr>
        <w:t xml:space="preserve"> </w:t>
      </w:r>
      <w:r>
        <w:rPr>
          <w:rFonts w:ascii="宋体" w:hAnsi="宋体" w:eastAsia="宋体" w:cs="宋体"/>
          <w:spacing w:val="5"/>
          <w:sz w:val="20"/>
          <w:szCs w:val="20"/>
        </w:rPr>
        <w:t>围较大的疫源地或若干疫源地连成片时称为疫区。</w:t>
      </w:r>
      <w:r>
        <w:rPr>
          <w:rFonts w:ascii="宋体" w:hAnsi="宋体" w:eastAsia="宋体" w:cs="宋体"/>
          <w:spacing w:val="50"/>
          <w:sz w:val="20"/>
          <w:szCs w:val="20"/>
        </w:rPr>
        <w:t xml:space="preserve"> </w:t>
      </w:r>
      <w:r>
        <w:rPr>
          <w:rFonts w:ascii="宋体" w:hAnsi="宋体" w:eastAsia="宋体" w:cs="宋体"/>
          <w:spacing w:val="5"/>
          <w:sz w:val="20"/>
          <w:szCs w:val="20"/>
        </w:rPr>
        <w:t>一个疫源地内可同时存</w:t>
      </w:r>
      <w:r>
        <w:rPr>
          <w:rFonts w:ascii="宋体" w:hAnsi="宋体" w:eastAsia="宋体" w:cs="宋体"/>
          <w:spacing w:val="4"/>
          <w:sz w:val="20"/>
          <w:szCs w:val="20"/>
        </w:rPr>
        <w:t>在多个传染源。</w:t>
      </w:r>
    </w:p>
    <w:p w14:paraId="6388A329">
      <w:pPr>
        <w:spacing w:before="43" w:line="323" w:lineRule="auto"/>
        <w:ind w:right="647" w:firstLine="419"/>
        <w:jc w:val="both"/>
        <w:rPr>
          <w:rFonts w:ascii="宋体" w:hAnsi="宋体" w:eastAsia="宋体" w:cs="宋体"/>
          <w:sz w:val="20"/>
          <w:szCs w:val="20"/>
        </w:rPr>
      </w:pPr>
      <w:r>
        <w:rPr>
          <w:rFonts w:ascii="宋体" w:hAnsi="宋体" w:eastAsia="宋体" w:cs="宋体"/>
          <w:spacing w:val="13"/>
          <w:sz w:val="20"/>
          <w:szCs w:val="20"/>
        </w:rPr>
        <w:t>疫源地的形成需要有传染源和病原体能够持续传播的条件。其范</w:t>
      </w:r>
      <w:r>
        <w:rPr>
          <w:rFonts w:ascii="宋体" w:hAnsi="宋体" w:eastAsia="宋体" w:cs="宋体"/>
          <w:spacing w:val="12"/>
          <w:sz w:val="20"/>
          <w:szCs w:val="20"/>
        </w:rPr>
        <w:t>围大小与病种有关，主要取</w:t>
      </w:r>
      <w:r>
        <w:rPr>
          <w:rFonts w:ascii="宋体" w:hAnsi="宋体" w:eastAsia="宋体" w:cs="宋体"/>
          <w:sz w:val="20"/>
          <w:szCs w:val="20"/>
        </w:rPr>
        <w:t xml:space="preserve"> </w:t>
      </w:r>
      <w:r>
        <w:rPr>
          <w:rFonts w:ascii="宋体" w:hAnsi="宋体" w:eastAsia="宋体" w:cs="宋体"/>
          <w:spacing w:val="7"/>
          <w:sz w:val="20"/>
          <w:szCs w:val="20"/>
        </w:rPr>
        <w:t>决于三个因素：传染源的存在时间和活动范围、传播途径的特点及周围人群的免疫状况。疫源地的</w:t>
      </w:r>
      <w:r>
        <w:rPr>
          <w:rFonts w:ascii="宋体" w:hAnsi="宋体" w:eastAsia="宋体" w:cs="宋体"/>
          <w:spacing w:val="13"/>
          <w:sz w:val="20"/>
          <w:szCs w:val="20"/>
        </w:rPr>
        <w:t xml:space="preserve"> </w:t>
      </w:r>
      <w:r>
        <w:rPr>
          <w:rFonts w:ascii="宋体" w:hAnsi="宋体" w:eastAsia="宋体" w:cs="宋体"/>
          <w:spacing w:val="9"/>
          <w:sz w:val="20"/>
          <w:szCs w:val="20"/>
        </w:rPr>
        <w:t>消灭必须同时具备下列条件：①传染源被移除(住院、死亡或移至他处)或不再排出病原体(治愈);</w:t>
      </w:r>
    </w:p>
    <w:p w14:paraId="46044A47">
      <w:pPr>
        <w:spacing w:line="217" w:lineRule="auto"/>
        <w:rPr>
          <w:rFonts w:ascii="宋体" w:hAnsi="宋体" w:eastAsia="宋体" w:cs="宋体"/>
          <w:sz w:val="20"/>
          <w:szCs w:val="20"/>
        </w:rPr>
      </w:pPr>
      <w:r>
        <w:rPr>
          <w:rFonts w:ascii="宋体" w:hAnsi="宋体" w:eastAsia="宋体" w:cs="宋体"/>
          <w:spacing w:val="14"/>
          <w:sz w:val="20"/>
          <w:szCs w:val="20"/>
        </w:rPr>
        <w:t>②通过各种措施消灭了传染源排到外环境的病原体或是消除了传播途径(如彻底灭蚊);③传染源</w:t>
      </w:r>
    </w:p>
    <w:p w14:paraId="1FB2DA56">
      <w:pPr>
        <w:spacing w:line="217" w:lineRule="auto"/>
        <w:rPr>
          <w:rFonts w:ascii="宋体" w:hAnsi="宋体" w:eastAsia="宋体" w:cs="宋体"/>
          <w:sz w:val="20"/>
          <w:szCs w:val="20"/>
        </w:rPr>
        <w:sectPr>
          <w:footerReference r:id="rId210" w:type="default"/>
          <w:pgSz w:w="11900" w:h="16820"/>
          <w:pgMar w:top="400" w:right="873" w:bottom="869" w:left="1450" w:header="0" w:footer="689" w:gutter="0"/>
          <w:cols w:space="720" w:num="1"/>
        </w:sectPr>
      </w:pPr>
    </w:p>
    <w:p w14:paraId="2F4FC33F">
      <w:pPr>
        <w:pStyle w:val="2"/>
        <w:spacing w:line="220" w:lineRule="auto"/>
        <w:ind w:left="639"/>
        <w:rPr>
          <w:sz w:val="20"/>
          <w:szCs w:val="20"/>
        </w:rPr>
      </w:pPr>
      <w:bookmarkStart w:id="319" w:name="bookmark510"/>
      <w:bookmarkEnd w:id="319"/>
      <w:r>
        <w:rPr>
          <w:spacing w:val="-19"/>
          <w:w w:val="98"/>
          <w:sz w:val="20"/>
          <w:szCs w:val="20"/>
        </w:rPr>
        <w:t>第十一章 传染病流行病学</w:t>
      </w:r>
    </w:p>
    <w:p w14:paraId="002F2A4B">
      <w:pPr>
        <w:spacing w:line="281" w:lineRule="auto"/>
        <w:rPr>
          <w:rFonts w:ascii="Arial"/>
          <w:sz w:val="21"/>
        </w:rPr>
      </w:pPr>
    </w:p>
    <w:p w14:paraId="291310BB">
      <w:pPr>
        <w:spacing w:line="281" w:lineRule="auto"/>
        <w:rPr>
          <w:rFonts w:ascii="Arial"/>
          <w:sz w:val="21"/>
        </w:rPr>
      </w:pPr>
    </w:p>
    <w:p w14:paraId="0E6B88D0">
      <w:pPr>
        <w:spacing w:before="65" w:line="219" w:lineRule="auto"/>
        <w:ind w:left="639"/>
        <w:rPr>
          <w:rFonts w:ascii="宋体" w:hAnsi="宋体" w:eastAsia="宋体" w:cs="宋体"/>
          <w:sz w:val="20"/>
          <w:szCs w:val="20"/>
        </w:rPr>
      </w:pPr>
      <w:r>
        <w:rPr>
          <w:rFonts w:ascii="宋体" w:hAnsi="宋体" w:eastAsia="宋体" w:cs="宋体"/>
          <w:spacing w:val="3"/>
          <w:sz w:val="20"/>
          <w:szCs w:val="20"/>
        </w:rPr>
        <w:t>周围的所有易感接触者经过该病最长潜伏期没有出现新病</w:t>
      </w:r>
      <w:r>
        <w:rPr>
          <w:rFonts w:ascii="宋体" w:hAnsi="宋体" w:eastAsia="宋体" w:cs="宋体"/>
          <w:spacing w:val="2"/>
          <w:sz w:val="20"/>
          <w:szCs w:val="20"/>
        </w:rPr>
        <w:t>例或新感染者。</w:t>
      </w:r>
    </w:p>
    <w:p w14:paraId="07B3AC5E">
      <w:pPr>
        <w:spacing w:before="153" w:line="342" w:lineRule="auto"/>
        <w:ind w:left="639" w:right="84" w:firstLine="400"/>
        <w:jc w:val="both"/>
        <w:rPr>
          <w:rFonts w:ascii="宋体" w:hAnsi="宋体" w:eastAsia="宋体" w:cs="宋体"/>
          <w:sz w:val="20"/>
          <w:szCs w:val="20"/>
        </w:rPr>
      </w:pPr>
      <w:r>
        <w:rPr>
          <w:rFonts w:ascii="宋体" w:hAnsi="宋体" w:eastAsia="宋体" w:cs="宋体"/>
          <w:spacing w:val="7"/>
          <w:sz w:val="20"/>
          <w:szCs w:val="20"/>
        </w:rPr>
        <w:t>一系列相互联系、相继发生的疫源地构成了传染病的流行过程。</w:t>
      </w:r>
      <w:r>
        <w:rPr>
          <w:rFonts w:ascii="宋体" w:hAnsi="宋体" w:eastAsia="宋体" w:cs="宋体"/>
          <w:spacing w:val="6"/>
          <w:sz w:val="20"/>
          <w:szCs w:val="20"/>
        </w:rPr>
        <w:t>传染病的流行过程取决于传</w:t>
      </w:r>
      <w:r>
        <w:rPr>
          <w:rFonts w:ascii="宋体" w:hAnsi="宋体" w:eastAsia="宋体" w:cs="宋体"/>
          <w:sz w:val="20"/>
          <w:szCs w:val="20"/>
        </w:rPr>
        <w:t xml:space="preserve"> </w:t>
      </w:r>
      <w:r>
        <w:rPr>
          <w:rFonts w:ascii="宋体" w:hAnsi="宋体" w:eastAsia="宋体" w:cs="宋体"/>
          <w:spacing w:val="6"/>
          <w:sz w:val="20"/>
          <w:szCs w:val="20"/>
        </w:rPr>
        <w:t>染源、传播途径和易感人群三个环节相互作用后产生的总体效应。当总效应有利于形成新的疫源</w:t>
      </w:r>
      <w:r>
        <w:rPr>
          <w:rFonts w:ascii="宋体" w:hAnsi="宋体" w:eastAsia="宋体" w:cs="宋体"/>
          <w:spacing w:val="15"/>
          <w:sz w:val="20"/>
          <w:szCs w:val="20"/>
        </w:rPr>
        <w:t xml:space="preserve"> </w:t>
      </w:r>
      <w:r>
        <w:rPr>
          <w:rFonts w:ascii="宋体" w:hAnsi="宋体" w:eastAsia="宋体" w:cs="宋体"/>
          <w:spacing w:val="2"/>
          <w:sz w:val="20"/>
          <w:szCs w:val="20"/>
        </w:rPr>
        <w:t>地时，流行过程才能延续。每个疫源地都是由前一个疫源地引起的，它</w:t>
      </w:r>
      <w:r>
        <w:rPr>
          <w:rFonts w:ascii="宋体" w:hAnsi="宋体" w:eastAsia="宋体" w:cs="宋体"/>
          <w:spacing w:val="1"/>
          <w:sz w:val="20"/>
          <w:szCs w:val="20"/>
        </w:rPr>
        <w:t>本身又是形成新的疫源地的</w:t>
      </w:r>
      <w:r>
        <w:rPr>
          <w:rFonts w:ascii="宋体" w:hAnsi="宋体" w:eastAsia="宋体" w:cs="宋体"/>
          <w:sz w:val="20"/>
          <w:szCs w:val="20"/>
        </w:rPr>
        <w:t xml:space="preserve"> </w:t>
      </w:r>
      <w:r>
        <w:rPr>
          <w:rFonts w:ascii="宋体" w:hAnsi="宋体" w:eastAsia="宋体" w:cs="宋体"/>
          <w:spacing w:val="-1"/>
          <w:sz w:val="20"/>
          <w:szCs w:val="20"/>
        </w:rPr>
        <w:t>基础。疫源地是构成流行过程的基本单位，一旦疫源地被消灭，流行过程就宣告结束。</w:t>
      </w:r>
    </w:p>
    <w:p w14:paraId="483DE954">
      <w:pPr>
        <w:pStyle w:val="2"/>
        <w:spacing w:before="227" w:line="222" w:lineRule="auto"/>
        <w:ind w:left="1123"/>
        <w:outlineLvl w:val="4"/>
        <w:rPr>
          <w:sz w:val="23"/>
          <w:szCs w:val="23"/>
        </w:rPr>
      </w:pPr>
      <w:bookmarkStart w:id="320" w:name="bookmark201"/>
      <w:bookmarkEnd w:id="320"/>
      <w:r>
        <w:rPr>
          <w:b/>
          <w:bCs/>
          <w:sz w:val="23"/>
          <w:szCs w:val="23"/>
        </w:rPr>
        <w:t>四</w:t>
      </w:r>
      <w:r>
        <w:rPr>
          <w:spacing w:val="-51"/>
          <w:sz w:val="23"/>
          <w:szCs w:val="23"/>
        </w:rPr>
        <w:t xml:space="preserve"> </w:t>
      </w:r>
      <w:r>
        <w:rPr>
          <w:b/>
          <w:bCs/>
          <w:sz w:val="23"/>
          <w:szCs w:val="23"/>
        </w:rPr>
        <w:t>、影响因素</w:t>
      </w:r>
    </w:p>
    <w:p w14:paraId="08C4449B">
      <w:pPr>
        <w:spacing w:before="274" w:line="345" w:lineRule="auto"/>
        <w:ind w:left="639" w:right="91" w:firstLine="400"/>
        <w:rPr>
          <w:rFonts w:ascii="宋体" w:hAnsi="宋体" w:eastAsia="宋体" w:cs="宋体"/>
          <w:sz w:val="20"/>
          <w:szCs w:val="20"/>
        </w:rPr>
      </w:pPr>
      <w:r>
        <w:rPr>
          <w:rFonts w:ascii="宋体" w:hAnsi="宋体" w:eastAsia="宋体" w:cs="宋体"/>
          <w:spacing w:val="2"/>
          <w:sz w:val="20"/>
          <w:szCs w:val="20"/>
        </w:rPr>
        <w:t>传染病在人群中流行必须具备传染源、传播途径和易感人群</w:t>
      </w:r>
      <w:r>
        <w:rPr>
          <w:rFonts w:ascii="宋体" w:hAnsi="宋体" w:eastAsia="宋体" w:cs="宋体"/>
          <w:spacing w:val="1"/>
          <w:sz w:val="20"/>
          <w:szCs w:val="20"/>
        </w:rPr>
        <w:t>三个基本环节，任何一个环节的变</w:t>
      </w:r>
      <w:r>
        <w:rPr>
          <w:rFonts w:ascii="宋体" w:hAnsi="宋体" w:eastAsia="宋体" w:cs="宋体"/>
          <w:sz w:val="20"/>
          <w:szCs w:val="20"/>
        </w:rPr>
        <w:t xml:space="preserve"> </w:t>
      </w:r>
      <w:r>
        <w:rPr>
          <w:rFonts w:ascii="宋体" w:hAnsi="宋体" w:eastAsia="宋体" w:cs="宋体"/>
          <w:spacing w:val="4"/>
          <w:sz w:val="20"/>
          <w:szCs w:val="20"/>
        </w:rPr>
        <w:t>化都可能影响传染病的流行和消长。而这三个环节又受到自然因素和社会因素的影</w:t>
      </w:r>
      <w:r>
        <w:rPr>
          <w:rFonts w:ascii="宋体" w:hAnsi="宋体" w:eastAsia="宋体" w:cs="宋体"/>
          <w:spacing w:val="3"/>
          <w:sz w:val="20"/>
          <w:szCs w:val="20"/>
        </w:rPr>
        <w:t>响和制约。</w:t>
      </w:r>
    </w:p>
    <w:p w14:paraId="3BEDC417">
      <w:pPr>
        <w:pStyle w:val="2"/>
        <w:spacing w:before="1" w:line="221" w:lineRule="auto"/>
        <w:ind w:left="1043"/>
        <w:rPr>
          <w:sz w:val="23"/>
          <w:szCs w:val="23"/>
        </w:rPr>
      </w:pPr>
      <w:r>
        <w:rPr>
          <w:b/>
          <w:bCs/>
          <w:sz w:val="23"/>
          <w:szCs w:val="23"/>
        </w:rPr>
        <w:t>(一)自然因素</w:t>
      </w:r>
    </w:p>
    <w:p w14:paraId="5923761D">
      <w:pPr>
        <w:spacing w:before="117" w:line="342" w:lineRule="auto"/>
        <w:ind w:left="639" w:right="81" w:firstLine="400"/>
        <w:jc w:val="both"/>
        <w:rPr>
          <w:rFonts w:ascii="宋体" w:hAnsi="宋体" w:eastAsia="宋体" w:cs="宋体"/>
          <w:sz w:val="20"/>
          <w:szCs w:val="20"/>
        </w:rPr>
      </w:pPr>
      <w:r>
        <w:rPr>
          <w:rFonts w:ascii="宋体" w:hAnsi="宋体" w:eastAsia="宋体" w:cs="宋体"/>
          <w:spacing w:val="1"/>
          <w:sz w:val="20"/>
          <w:szCs w:val="20"/>
        </w:rPr>
        <w:t>自然因素包括气候、地理、土壤和动植物等，其中以气候和地理因素的影响较为显著。许多传</w:t>
      </w:r>
      <w:r>
        <w:rPr>
          <w:rFonts w:ascii="宋体" w:hAnsi="宋体" w:eastAsia="宋体" w:cs="宋体"/>
          <w:spacing w:val="7"/>
          <w:sz w:val="20"/>
          <w:szCs w:val="20"/>
        </w:rPr>
        <w:t xml:space="preserve"> </w:t>
      </w:r>
      <w:r>
        <w:rPr>
          <w:rFonts w:ascii="宋体" w:hAnsi="宋体" w:eastAsia="宋体" w:cs="宋体"/>
          <w:spacing w:val="2"/>
          <w:sz w:val="20"/>
          <w:szCs w:val="20"/>
        </w:rPr>
        <w:t>染病，特别是自然疫源性疾病呈现出地方性和季节性特</w:t>
      </w:r>
      <w:r>
        <w:rPr>
          <w:rFonts w:ascii="宋体" w:hAnsi="宋体" w:eastAsia="宋体" w:cs="宋体"/>
          <w:spacing w:val="1"/>
          <w:sz w:val="20"/>
          <w:szCs w:val="20"/>
        </w:rPr>
        <w:t>点，这主要与气候和地理因素对动物传染源</w:t>
      </w:r>
      <w:r>
        <w:rPr>
          <w:rFonts w:ascii="宋体" w:hAnsi="宋体" w:eastAsia="宋体" w:cs="宋体"/>
          <w:sz w:val="20"/>
          <w:szCs w:val="20"/>
        </w:rPr>
        <w:t xml:space="preserve"> </w:t>
      </w:r>
      <w:r>
        <w:rPr>
          <w:rFonts w:ascii="宋体" w:hAnsi="宋体" w:eastAsia="宋体" w:cs="宋体"/>
          <w:spacing w:val="2"/>
          <w:sz w:val="20"/>
          <w:szCs w:val="20"/>
        </w:rPr>
        <w:t>的影响有关。虫媒传染病受自然因素影响最为明显。媒介生物的地理分布、季</w:t>
      </w:r>
      <w:r>
        <w:rPr>
          <w:rFonts w:ascii="宋体" w:hAnsi="宋体" w:eastAsia="宋体" w:cs="宋体"/>
          <w:spacing w:val="1"/>
          <w:sz w:val="20"/>
          <w:szCs w:val="20"/>
        </w:rPr>
        <w:t>节消长、活动能力以</w:t>
      </w:r>
      <w:r>
        <w:rPr>
          <w:rFonts w:ascii="宋体" w:hAnsi="宋体" w:eastAsia="宋体" w:cs="宋体"/>
          <w:sz w:val="20"/>
          <w:szCs w:val="20"/>
        </w:rPr>
        <w:t xml:space="preserve"> </w:t>
      </w:r>
      <w:r>
        <w:rPr>
          <w:rFonts w:ascii="宋体" w:hAnsi="宋体" w:eastAsia="宋体" w:cs="宋体"/>
          <w:spacing w:val="2"/>
          <w:sz w:val="20"/>
          <w:szCs w:val="20"/>
        </w:rPr>
        <w:t>及病原体在媒介生物体内的发育、繁殖等均受自然因素的制约，从而</w:t>
      </w:r>
      <w:r>
        <w:rPr>
          <w:rFonts w:ascii="宋体" w:hAnsi="宋体" w:eastAsia="宋体" w:cs="宋体"/>
          <w:spacing w:val="1"/>
          <w:sz w:val="20"/>
          <w:szCs w:val="20"/>
        </w:rPr>
        <w:t>影响到传染病的流行特征，如</w:t>
      </w:r>
      <w:r>
        <w:rPr>
          <w:rFonts w:ascii="宋体" w:hAnsi="宋体" w:eastAsia="宋体" w:cs="宋体"/>
          <w:sz w:val="20"/>
          <w:szCs w:val="20"/>
        </w:rPr>
        <w:t xml:space="preserve"> </w:t>
      </w:r>
      <w:r>
        <w:rPr>
          <w:rFonts w:ascii="宋体" w:hAnsi="宋体" w:eastAsia="宋体" w:cs="宋体"/>
          <w:spacing w:val="2"/>
          <w:sz w:val="20"/>
          <w:szCs w:val="20"/>
        </w:rPr>
        <w:t>登革热在雨水充沛的季节高发与传播媒介伊蚊的滋生有关。</w:t>
      </w:r>
    </w:p>
    <w:p w14:paraId="4F0D8C1F">
      <w:pPr>
        <w:spacing w:before="37" w:line="347" w:lineRule="auto"/>
        <w:ind w:left="639" w:right="85" w:firstLine="400"/>
        <w:jc w:val="both"/>
        <w:rPr>
          <w:rFonts w:ascii="宋体" w:hAnsi="宋体" w:eastAsia="宋体" w:cs="宋体"/>
          <w:sz w:val="20"/>
          <w:szCs w:val="20"/>
        </w:rPr>
      </w:pPr>
      <w:r>
        <w:rPr>
          <w:rFonts w:ascii="宋体" w:hAnsi="宋体" w:eastAsia="宋体" w:cs="宋体"/>
          <w:spacing w:val="7"/>
          <w:sz w:val="20"/>
          <w:szCs w:val="20"/>
        </w:rPr>
        <w:t>此外，自然因素还可通过影响人类的生活习性和机体抵抗力等来改变传染病</w:t>
      </w:r>
      <w:r>
        <w:rPr>
          <w:rFonts w:ascii="宋体" w:hAnsi="宋体" w:eastAsia="宋体" w:cs="宋体"/>
          <w:spacing w:val="6"/>
          <w:sz w:val="20"/>
          <w:szCs w:val="20"/>
        </w:rPr>
        <w:t>的流行特征。如</w:t>
      </w:r>
      <w:r>
        <w:rPr>
          <w:rFonts w:ascii="宋体" w:hAnsi="宋体" w:eastAsia="宋体" w:cs="宋体"/>
          <w:sz w:val="20"/>
          <w:szCs w:val="20"/>
        </w:rPr>
        <w:t xml:space="preserve"> </w:t>
      </w:r>
      <w:r>
        <w:rPr>
          <w:rFonts w:ascii="宋体" w:hAnsi="宋体" w:eastAsia="宋体" w:cs="宋体"/>
          <w:spacing w:val="-3"/>
          <w:sz w:val="20"/>
          <w:szCs w:val="20"/>
        </w:rPr>
        <w:t>夏季天气炎热，细菌繁殖快，人们喜食生冷食品，增加了肠道传染病发生的机会；冬季气候寒冷，呼</w:t>
      </w:r>
      <w:r>
        <w:rPr>
          <w:rFonts w:ascii="宋体" w:hAnsi="宋体" w:eastAsia="宋体" w:cs="宋体"/>
          <w:sz w:val="20"/>
          <w:szCs w:val="20"/>
        </w:rPr>
        <w:t xml:space="preserve"> </w:t>
      </w:r>
      <w:r>
        <w:rPr>
          <w:rFonts w:ascii="宋体" w:hAnsi="宋体" w:eastAsia="宋体" w:cs="宋体"/>
          <w:spacing w:val="-1"/>
          <w:sz w:val="20"/>
          <w:szCs w:val="20"/>
        </w:rPr>
        <w:t>吸道的脆弱性增加，且人们在室内活动的时间增多，导致呼吸道传染病发病率升高。</w:t>
      </w:r>
    </w:p>
    <w:p w14:paraId="0E8F74D9">
      <w:pPr>
        <w:pStyle w:val="2"/>
        <w:spacing w:line="222" w:lineRule="auto"/>
        <w:ind w:left="1043"/>
        <w:rPr>
          <w:sz w:val="23"/>
          <w:szCs w:val="23"/>
        </w:rPr>
      </w:pPr>
      <w:r>
        <w:rPr>
          <w:b/>
          <w:bCs/>
          <w:sz w:val="23"/>
          <w:szCs w:val="23"/>
        </w:rPr>
        <w:t>(二)社会因素</w:t>
      </w:r>
    </w:p>
    <w:p w14:paraId="6191EDDE">
      <w:pPr>
        <w:spacing w:before="105" w:line="348" w:lineRule="auto"/>
        <w:ind w:left="639" w:firstLine="400"/>
        <w:jc w:val="both"/>
        <w:rPr>
          <w:rFonts w:ascii="宋体" w:hAnsi="宋体" w:eastAsia="宋体" w:cs="宋体"/>
          <w:sz w:val="20"/>
          <w:szCs w:val="20"/>
        </w:rPr>
      </w:pPr>
      <w:r>
        <w:rPr>
          <w:rFonts w:ascii="宋体" w:hAnsi="宋体" w:eastAsia="宋体" w:cs="宋体"/>
          <w:spacing w:val="-3"/>
          <w:sz w:val="20"/>
          <w:szCs w:val="20"/>
        </w:rPr>
        <w:t>社会因素包括人类的一切活动，如经济、生产和生活条件、卫生习惯、公共卫生措施、医疗卫生</w:t>
      </w:r>
      <w:r>
        <w:rPr>
          <w:rFonts w:ascii="宋体" w:hAnsi="宋体" w:eastAsia="宋体" w:cs="宋体"/>
          <w:spacing w:val="14"/>
          <w:sz w:val="20"/>
          <w:szCs w:val="20"/>
        </w:rPr>
        <w:t xml:space="preserve"> </w:t>
      </w:r>
      <w:r>
        <w:rPr>
          <w:rFonts w:ascii="宋体" w:hAnsi="宋体" w:eastAsia="宋体" w:cs="宋体"/>
          <w:spacing w:val="-5"/>
          <w:sz w:val="20"/>
          <w:szCs w:val="20"/>
        </w:rPr>
        <w:t>条件、居住环境、人口流动、生活方式、风俗习惯、宗教信仰、社</w:t>
      </w:r>
      <w:r>
        <w:rPr>
          <w:rFonts w:ascii="宋体" w:hAnsi="宋体" w:eastAsia="宋体" w:cs="宋体"/>
          <w:spacing w:val="-6"/>
          <w:sz w:val="20"/>
          <w:szCs w:val="20"/>
        </w:rPr>
        <w:t>会动荡和社会制度等。近年来新发、</w:t>
      </w:r>
      <w:r>
        <w:rPr>
          <w:rFonts w:ascii="宋体" w:hAnsi="宋体" w:eastAsia="宋体" w:cs="宋体"/>
          <w:sz w:val="20"/>
          <w:szCs w:val="20"/>
        </w:rPr>
        <w:t xml:space="preserve"> </w:t>
      </w:r>
      <w:r>
        <w:rPr>
          <w:rFonts w:ascii="宋体" w:hAnsi="宋体" w:eastAsia="宋体" w:cs="宋体"/>
          <w:spacing w:val="3"/>
          <w:sz w:val="20"/>
          <w:szCs w:val="20"/>
        </w:rPr>
        <w:t>再发传染病的流行在很大程度上受到社会因素的影响。</w:t>
      </w:r>
    </w:p>
    <w:p w14:paraId="02C3FDF0">
      <w:pPr>
        <w:spacing w:before="1" w:line="345" w:lineRule="auto"/>
        <w:ind w:left="639" w:right="84" w:firstLine="400"/>
        <w:rPr>
          <w:rFonts w:ascii="宋体" w:hAnsi="宋体" w:eastAsia="宋体" w:cs="宋体"/>
          <w:sz w:val="20"/>
          <w:szCs w:val="20"/>
        </w:rPr>
      </w:pPr>
      <w:r>
        <w:rPr>
          <w:rFonts w:ascii="宋体" w:hAnsi="宋体" w:eastAsia="宋体" w:cs="宋体"/>
          <w:spacing w:val="2"/>
          <w:sz w:val="20"/>
          <w:szCs w:val="20"/>
        </w:rPr>
        <w:t>部分人群由于经济问题，无法接种疫苗或完成全程接种，特别是免疫规划以</w:t>
      </w:r>
      <w:r>
        <w:rPr>
          <w:rFonts w:ascii="宋体" w:hAnsi="宋体" w:eastAsia="宋体" w:cs="宋体"/>
          <w:spacing w:val="1"/>
          <w:sz w:val="20"/>
          <w:szCs w:val="20"/>
        </w:rPr>
        <w:t>外的疫苗。各国的</w:t>
      </w:r>
      <w:r>
        <w:rPr>
          <w:rFonts w:ascii="宋体" w:hAnsi="宋体" w:eastAsia="宋体" w:cs="宋体"/>
          <w:sz w:val="20"/>
          <w:szCs w:val="20"/>
        </w:rPr>
        <w:t xml:space="preserve"> </w:t>
      </w:r>
      <w:r>
        <w:rPr>
          <w:rFonts w:ascii="宋体" w:hAnsi="宋体" w:eastAsia="宋体" w:cs="宋体"/>
          <w:spacing w:val="2"/>
          <w:sz w:val="20"/>
          <w:szCs w:val="20"/>
        </w:rPr>
        <w:t>免疫接种策略和保障不同，导致全球范围内存在显著的免疫覆盖率差异。</w:t>
      </w:r>
    </w:p>
    <w:p w14:paraId="184B0343">
      <w:pPr>
        <w:spacing w:before="3" w:line="347" w:lineRule="auto"/>
        <w:ind w:left="639" w:firstLine="400"/>
        <w:jc w:val="both"/>
        <w:rPr>
          <w:rFonts w:ascii="宋体" w:hAnsi="宋体" w:eastAsia="宋体" w:cs="宋体"/>
          <w:sz w:val="20"/>
          <w:szCs w:val="20"/>
        </w:rPr>
      </w:pPr>
      <w:r>
        <w:rPr>
          <w:rFonts w:ascii="宋体" w:hAnsi="宋体" w:eastAsia="宋体" w:cs="宋体"/>
          <w:spacing w:val="4"/>
          <w:sz w:val="20"/>
          <w:szCs w:val="20"/>
        </w:rPr>
        <w:t>生产和生活条件对传染病有明显的影响，如赤脚下水田劳动或捕鱼捉虾的人容易</w:t>
      </w:r>
      <w:r>
        <w:rPr>
          <w:rFonts w:ascii="宋体" w:hAnsi="宋体" w:eastAsia="宋体" w:cs="宋体"/>
          <w:spacing w:val="3"/>
          <w:sz w:val="20"/>
          <w:szCs w:val="20"/>
        </w:rPr>
        <w:t>得血吸虫病，</w:t>
      </w:r>
      <w:r>
        <w:rPr>
          <w:rFonts w:ascii="宋体" w:hAnsi="宋体" w:eastAsia="宋体" w:cs="宋体"/>
          <w:sz w:val="20"/>
          <w:szCs w:val="20"/>
        </w:rPr>
        <w:t xml:space="preserve"> </w:t>
      </w:r>
      <w:r>
        <w:rPr>
          <w:rFonts w:ascii="宋体" w:hAnsi="宋体" w:eastAsia="宋体" w:cs="宋体"/>
          <w:spacing w:val="2"/>
          <w:sz w:val="20"/>
          <w:szCs w:val="20"/>
        </w:rPr>
        <w:t>给患布鲁氏菌感染的母牛、母羊接产的牧民易患布鲁氏菌病，居住拥挤、室内卫生设施不佳则可促</w:t>
      </w:r>
      <w:r>
        <w:rPr>
          <w:rFonts w:ascii="宋体" w:hAnsi="宋体" w:eastAsia="宋体" w:cs="宋体"/>
          <w:spacing w:val="1"/>
          <w:sz w:val="20"/>
          <w:szCs w:val="20"/>
        </w:rPr>
        <w:t xml:space="preserve"> </w:t>
      </w:r>
      <w:r>
        <w:rPr>
          <w:rFonts w:ascii="宋体" w:hAnsi="宋体" w:eastAsia="宋体" w:cs="宋体"/>
          <w:spacing w:val="4"/>
          <w:sz w:val="20"/>
          <w:szCs w:val="20"/>
        </w:rPr>
        <w:t>进呼吸道及肠道传染病的传播。营养不良与肺结核病等许多传染病的发生有关。</w:t>
      </w:r>
    </w:p>
    <w:p w14:paraId="76C41484">
      <w:pPr>
        <w:spacing w:before="2" w:line="347" w:lineRule="auto"/>
        <w:ind w:left="639" w:right="71" w:firstLine="400"/>
        <w:jc w:val="both"/>
        <w:rPr>
          <w:rFonts w:ascii="宋体" w:hAnsi="宋体" w:eastAsia="宋体" w:cs="宋体"/>
          <w:sz w:val="20"/>
          <w:szCs w:val="20"/>
        </w:rPr>
      </w:pPr>
      <w:r>
        <w:rPr>
          <w:rFonts w:ascii="宋体" w:hAnsi="宋体" w:eastAsia="宋体" w:cs="宋体"/>
          <w:sz w:val="20"/>
          <w:szCs w:val="20"/>
        </w:rPr>
        <w:t>生活方式、风俗习惯、宗教信仰等因素也可影响流行过程。</w:t>
      </w:r>
      <w:r>
        <w:rPr>
          <w:rFonts w:ascii="宋体" w:hAnsi="宋体" w:eastAsia="宋体" w:cs="宋体"/>
          <w:spacing w:val="-32"/>
          <w:sz w:val="20"/>
          <w:szCs w:val="20"/>
        </w:rPr>
        <w:t xml:space="preserve"> </w:t>
      </w:r>
      <w:r>
        <w:rPr>
          <w:rFonts w:ascii="宋体" w:hAnsi="宋体" w:eastAsia="宋体" w:cs="宋体"/>
          <w:sz w:val="20"/>
          <w:szCs w:val="20"/>
        </w:rPr>
        <w:t xml:space="preserve">一些风俗习惯拒绝接受疫苗等生物 </w:t>
      </w:r>
      <w:r>
        <w:rPr>
          <w:rFonts w:ascii="宋体" w:hAnsi="宋体" w:eastAsia="宋体" w:cs="宋体"/>
          <w:spacing w:val="2"/>
          <w:sz w:val="20"/>
          <w:szCs w:val="20"/>
        </w:rPr>
        <w:t>制品，导致特定群体内疾病易感性增加，甚至可能成为传染病暴发的热点。全球贸易、旅游业及跨</w:t>
      </w:r>
      <w:r>
        <w:rPr>
          <w:rFonts w:ascii="宋体" w:hAnsi="宋体" w:eastAsia="宋体" w:cs="宋体"/>
          <w:sz w:val="20"/>
          <w:szCs w:val="20"/>
        </w:rPr>
        <w:t xml:space="preserve"> 境交通的发展，加速了人口流动，进而促进了传染病在全球的快速传播。</w:t>
      </w:r>
    </w:p>
    <w:p w14:paraId="7A259541">
      <w:pPr>
        <w:spacing w:before="2" w:line="342" w:lineRule="auto"/>
        <w:ind w:left="639" w:right="69" w:firstLine="400"/>
        <w:jc w:val="both"/>
        <w:rPr>
          <w:rFonts w:ascii="宋体" w:hAnsi="宋体" w:eastAsia="宋体" w:cs="宋体"/>
          <w:sz w:val="20"/>
          <w:szCs w:val="20"/>
        </w:rPr>
      </w:pPr>
      <w:r>
        <w:rPr>
          <w:rFonts w:ascii="宋体" w:hAnsi="宋体" w:eastAsia="宋体" w:cs="宋体"/>
          <w:spacing w:val="7"/>
          <w:sz w:val="20"/>
          <w:szCs w:val="20"/>
        </w:rPr>
        <w:t>公共卫生措施对传染病流行有重要影响。我国改水改厕和免疫规</w:t>
      </w:r>
      <w:r>
        <w:rPr>
          <w:rFonts w:ascii="宋体" w:hAnsi="宋体" w:eastAsia="宋体" w:cs="宋体"/>
          <w:spacing w:val="6"/>
          <w:sz w:val="20"/>
          <w:szCs w:val="20"/>
        </w:rPr>
        <w:t>划的实施已显著降低多种传</w:t>
      </w:r>
      <w:r>
        <w:rPr>
          <w:rFonts w:ascii="宋体" w:hAnsi="宋体" w:eastAsia="宋体" w:cs="宋体"/>
          <w:sz w:val="20"/>
          <w:szCs w:val="20"/>
        </w:rPr>
        <w:t xml:space="preserve"> </w:t>
      </w:r>
      <w:r>
        <w:rPr>
          <w:rFonts w:ascii="宋体" w:hAnsi="宋体" w:eastAsia="宋体" w:cs="宋体"/>
          <w:spacing w:val="7"/>
          <w:sz w:val="20"/>
          <w:szCs w:val="20"/>
        </w:rPr>
        <w:t>染病的发病率和死亡率。政府对传染病预防与控制的重视程度直接影响传染病的流行</w:t>
      </w:r>
      <w:r>
        <w:rPr>
          <w:rFonts w:ascii="宋体" w:hAnsi="宋体" w:eastAsia="宋体" w:cs="宋体"/>
          <w:spacing w:val="6"/>
          <w:sz w:val="20"/>
          <w:szCs w:val="20"/>
        </w:rPr>
        <w:t>。例如，在</w:t>
      </w:r>
      <w:r>
        <w:rPr>
          <w:rFonts w:ascii="宋体" w:hAnsi="宋体" w:eastAsia="宋体" w:cs="宋体"/>
          <w:sz w:val="20"/>
          <w:szCs w:val="20"/>
        </w:rPr>
        <w:t xml:space="preserve"> 传染病流行期间，依法对传染源进行严格管理，可以有效控制疾病扩散。</w:t>
      </w:r>
    </w:p>
    <w:p w14:paraId="42BD469D">
      <w:pPr>
        <w:spacing w:line="404" w:lineRule="auto"/>
        <w:rPr>
          <w:rFonts w:ascii="Arial"/>
          <w:sz w:val="21"/>
        </w:rPr>
      </w:pPr>
    </w:p>
    <w:p w14:paraId="36FB5AB1">
      <w:pPr>
        <w:pStyle w:val="2"/>
        <w:spacing w:before="98" w:line="221" w:lineRule="auto"/>
        <w:ind w:left="3434"/>
        <w:outlineLvl w:val="2"/>
      </w:pPr>
      <w:bookmarkStart w:id="321" w:name="bookmark202"/>
      <w:bookmarkEnd w:id="321"/>
      <w:r>
        <w:rPr>
          <w:b/>
          <w:bCs/>
          <w:spacing w:val="-13"/>
        </w:rPr>
        <w:t>第四节</w:t>
      </w:r>
      <w:r>
        <w:rPr>
          <w:spacing w:val="132"/>
        </w:rPr>
        <w:t xml:space="preserve"> </w:t>
      </w:r>
      <w:r>
        <w:rPr>
          <w:b/>
          <w:bCs/>
          <w:spacing w:val="-13"/>
        </w:rPr>
        <w:t>预防策略与措施</w:t>
      </w:r>
    </w:p>
    <w:p w14:paraId="6CBF5530">
      <w:pPr>
        <w:spacing w:line="402" w:lineRule="auto"/>
        <w:rPr>
          <w:rFonts w:ascii="Arial"/>
          <w:sz w:val="21"/>
        </w:rPr>
      </w:pPr>
    </w:p>
    <w:p w14:paraId="0D82D7C7">
      <w:pPr>
        <w:pStyle w:val="2"/>
        <w:spacing w:before="76" w:line="222" w:lineRule="auto"/>
        <w:ind w:left="1043"/>
        <w:outlineLvl w:val="4"/>
        <w:rPr>
          <w:sz w:val="23"/>
          <w:szCs w:val="23"/>
        </w:rPr>
      </w:pPr>
      <w:bookmarkStart w:id="322" w:name="bookmark203"/>
      <w:bookmarkEnd w:id="322"/>
      <w:r>
        <w:rPr>
          <w:b/>
          <w:bCs/>
          <w:spacing w:val="-1"/>
          <w:sz w:val="23"/>
          <w:szCs w:val="23"/>
        </w:rPr>
        <w:t>一</w:t>
      </w:r>
      <w:r>
        <w:rPr>
          <w:spacing w:val="-33"/>
          <w:sz w:val="23"/>
          <w:szCs w:val="23"/>
        </w:rPr>
        <w:t xml:space="preserve"> </w:t>
      </w:r>
      <w:r>
        <w:rPr>
          <w:b/>
          <w:bCs/>
          <w:spacing w:val="-1"/>
          <w:sz w:val="23"/>
          <w:szCs w:val="23"/>
        </w:rPr>
        <w:t>、策略</w:t>
      </w:r>
    </w:p>
    <w:p w14:paraId="7BB53B4D">
      <w:pPr>
        <w:spacing w:before="266" w:line="219" w:lineRule="auto"/>
        <w:ind w:left="1040"/>
        <w:rPr>
          <w:rFonts w:ascii="宋体" w:hAnsi="宋体" w:eastAsia="宋体" w:cs="宋体"/>
          <w:sz w:val="20"/>
          <w:szCs w:val="20"/>
        </w:rPr>
      </w:pPr>
      <w:r>
        <w:rPr>
          <w:rFonts w:ascii="宋体" w:hAnsi="宋体" w:eastAsia="宋体" w:cs="宋体"/>
          <w:spacing w:val="1"/>
          <w:sz w:val="20"/>
          <w:szCs w:val="20"/>
        </w:rPr>
        <w:t>传染病预防与控制策略是为实现传染病预防和控制目标而制定的一套统一、协调、广泛、整合</w:t>
      </w:r>
    </w:p>
    <w:p w14:paraId="2C8EDCC2">
      <w:pPr>
        <w:spacing w:line="219" w:lineRule="auto"/>
        <w:rPr>
          <w:rFonts w:ascii="宋体" w:hAnsi="宋体" w:eastAsia="宋体" w:cs="宋体"/>
          <w:sz w:val="20"/>
          <w:szCs w:val="20"/>
        </w:rPr>
        <w:sectPr>
          <w:footerReference r:id="rId211" w:type="default"/>
          <w:pgSz w:w="11900" w:h="16820"/>
          <w:pgMar w:top="356" w:right="1550" w:bottom="839" w:left="949" w:header="0" w:footer="659" w:gutter="0"/>
          <w:cols w:space="720" w:num="1"/>
        </w:sectPr>
      </w:pPr>
    </w:p>
    <w:p w14:paraId="1EF0C79A">
      <w:pPr>
        <w:pStyle w:val="2"/>
        <w:spacing w:before="226" w:line="221" w:lineRule="auto"/>
        <w:ind w:left="6909"/>
        <w:rPr>
          <w:sz w:val="21"/>
          <w:szCs w:val="21"/>
        </w:rPr>
      </w:pPr>
      <w:bookmarkStart w:id="323" w:name="bookmark511"/>
      <w:bookmarkEnd w:id="323"/>
      <w:r>
        <w:rPr>
          <w:spacing w:val="-19"/>
          <w:w w:val="94"/>
          <w:sz w:val="21"/>
          <w:szCs w:val="21"/>
        </w:rPr>
        <w:t>第十一章 传染病流行病学</w:t>
      </w:r>
    </w:p>
    <w:p w14:paraId="452C1965">
      <w:pPr>
        <w:spacing w:line="274" w:lineRule="auto"/>
        <w:rPr>
          <w:rFonts w:ascii="Arial"/>
          <w:sz w:val="21"/>
        </w:rPr>
      </w:pPr>
    </w:p>
    <w:p w14:paraId="1C23D2D2">
      <w:pPr>
        <w:spacing w:line="275" w:lineRule="auto"/>
        <w:rPr>
          <w:rFonts w:ascii="Arial"/>
          <w:sz w:val="21"/>
        </w:rPr>
      </w:pPr>
    </w:p>
    <w:p w14:paraId="36BF9FD6">
      <w:pPr>
        <w:spacing w:before="68" w:line="326" w:lineRule="auto"/>
        <w:ind w:right="585"/>
        <w:jc w:val="both"/>
        <w:rPr>
          <w:rFonts w:ascii="宋体" w:hAnsi="宋体" w:eastAsia="宋体" w:cs="宋体"/>
          <w:sz w:val="21"/>
          <w:szCs w:val="21"/>
        </w:rPr>
      </w:pPr>
      <w:r>
        <w:rPr>
          <w:rFonts w:ascii="宋体" w:hAnsi="宋体" w:eastAsia="宋体" w:cs="宋体"/>
          <w:spacing w:val="-6"/>
          <w:sz w:val="21"/>
          <w:szCs w:val="21"/>
        </w:rPr>
        <w:t>的计划。这套策略包括传染病监测、症状监测、病原体研究、疾病诊治、免疫接种、公共卫生教育、</w:t>
      </w:r>
      <w:r>
        <w:rPr>
          <w:rFonts w:ascii="宋体" w:hAnsi="宋体" w:eastAsia="宋体" w:cs="宋体"/>
          <w:spacing w:val="18"/>
          <w:sz w:val="21"/>
          <w:szCs w:val="21"/>
        </w:rPr>
        <w:t xml:space="preserve"> </w:t>
      </w:r>
      <w:r>
        <w:rPr>
          <w:rFonts w:ascii="宋体" w:hAnsi="宋体" w:eastAsia="宋体" w:cs="宋体"/>
          <w:spacing w:val="-3"/>
          <w:sz w:val="21"/>
          <w:szCs w:val="21"/>
        </w:rPr>
        <w:t>环境卫生及食品卫生管理等多个方面。其核心是通过减少病原体传播、增强群体免疫力、提升公共</w:t>
      </w:r>
      <w:r>
        <w:rPr>
          <w:rFonts w:ascii="宋体" w:hAnsi="宋体" w:eastAsia="宋体" w:cs="宋体"/>
          <w:spacing w:val="16"/>
          <w:sz w:val="21"/>
          <w:szCs w:val="21"/>
        </w:rPr>
        <w:t xml:space="preserve"> </w:t>
      </w:r>
      <w:r>
        <w:rPr>
          <w:rFonts w:ascii="宋体" w:hAnsi="宋体" w:eastAsia="宋体" w:cs="宋体"/>
          <w:spacing w:val="-3"/>
          <w:sz w:val="21"/>
          <w:szCs w:val="21"/>
        </w:rPr>
        <w:t>卫生响应能力，有效控制传染病的发生和蔓延。</w:t>
      </w:r>
    </w:p>
    <w:p w14:paraId="4B540299">
      <w:pPr>
        <w:spacing w:before="7" w:line="324" w:lineRule="auto"/>
        <w:ind w:right="642" w:firstLine="419"/>
        <w:jc w:val="both"/>
        <w:rPr>
          <w:rFonts w:ascii="宋体" w:hAnsi="宋体" w:eastAsia="宋体" w:cs="宋体"/>
          <w:sz w:val="21"/>
          <w:szCs w:val="21"/>
        </w:rPr>
      </w:pPr>
      <w:r>
        <w:rPr>
          <w:rFonts w:ascii="宋体" w:hAnsi="宋体" w:eastAsia="宋体" w:cs="宋体"/>
          <w:spacing w:val="13"/>
          <w:sz w:val="21"/>
          <w:szCs w:val="21"/>
        </w:rPr>
        <w:t>全球消灭天花行动是传染病防控的成功典范。1958年，</w:t>
      </w:r>
      <w:r>
        <w:rPr>
          <w:rFonts w:ascii="宋体" w:hAnsi="宋体" w:eastAsia="宋体" w:cs="宋体"/>
          <w:spacing w:val="12"/>
          <w:sz w:val="21"/>
          <w:szCs w:val="21"/>
        </w:rPr>
        <w:t>第11届世界卫生大会通过了全球</w:t>
      </w:r>
      <w:r>
        <w:rPr>
          <w:rFonts w:ascii="宋体" w:hAnsi="宋体" w:eastAsia="宋体" w:cs="宋体"/>
          <w:sz w:val="21"/>
          <w:szCs w:val="21"/>
        </w:rPr>
        <w:t xml:space="preserve"> </w:t>
      </w:r>
      <w:r>
        <w:rPr>
          <w:rFonts w:ascii="宋体" w:hAnsi="宋体" w:eastAsia="宋体" w:cs="宋体"/>
          <w:spacing w:val="8"/>
          <w:sz w:val="21"/>
          <w:szCs w:val="21"/>
        </w:rPr>
        <w:t>消灭天花计划，确定了消灭天花的群体接种策略，</w:t>
      </w:r>
      <w:r>
        <w:rPr>
          <w:rFonts w:ascii="宋体" w:hAnsi="宋体" w:eastAsia="宋体" w:cs="宋体"/>
          <w:spacing w:val="7"/>
          <w:sz w:val="21"/>
          <w:szCs w:val="21"/>
        </w:rPr>
        <w:t>即在全球范围内提高人群的疫苗接种率。至</w:t>
      </w:r>
      <w:r>
        <w:rPr>
          <w:rFonts w:ascii="宋体" w:hAnsi="宋体" w:eastAsia="宋体" w:cs="宋体"/>
          <w:sz w:val="21"/>
          <w:szCs w:val="21"/>
        </w:rPr>
        <w:t xml:space="preserve"> </w:t>
      </w:r>
      <w:r>
        <w:rPr>
          <w:rFonts w:ascii="宋体" w:hAnsi="宋体" w:eastAsia="宋体" w:cs="宋体"/>
          <w:spacing w:val="7"/>
          <w:sz w:val="21"/>
          <w:szCs w:val="21"/>
        </w:rPr>
        <w:t>1967年，监测数据提示，大规模群体接种后，尽管天花病例明</w:t>
      </w:r>
      <w:r>
        <w:rPr>
          <w:rFonts w:ascii="宋体" w:hAnsi="宋体" w:eastAsia="宋体" w:cs="宋体"/>
          <w:spacing w:val="6"/>
          <w:sz w:val="21"/>
          <w:szCs w:val="21"/>
        </w:rPr>
        <w:t>显减少，但高疫苗接种覆盖率对</w:t>
      </w:r>
      <w:r>
        <w:rPr>
          <w:rFonts w:ascii="宋体" w:hAnsi="宋体" w:eastAsia="宋体" w:cs="宋体"/>
          <w:sz w:val="21"/>
          <w:szCs w:val="21"/>
        </w:rPr>
        <w:t xml:space="preserve"> </w:t>
      </w:r>
      <w:r>
        <w:rPr>
          <w:rFonts w:ascii="宋体" w:hAnsi="宋体" w:eastAsia="宋体" w:cs="宋体"/>
          <w:spacing w:val="13"/>
          <w:sz w:val="21"/>
          <w:szCs w:val="21"/>
        </w:rPr>
        <w:t>进一步阻止天花传播的效果不太明显。流行病学研究发现，只有当感染者与易感者密切接触</w:t>
      </w:r>
      <w:r>
        <w:rPr>
          <w:rFonts w:ascii="宋体" w:hAnsi="宋体" w:eastAsia="宋体" w:cs="宋体"/>
          <w:sz w:val="21"/>
          <w:szCs w:val="21"/>
        </w:rPr>
        <w:t xml:space="preserve"> </w:t>
      </w:r>
      <w:r>
        <w:rPr>
          <w:rFonts w:ascii="宋体" w:hAnsi="宋体" w:eastAsia="宋体" w:cs="宋体"/>
          <w:spacing w:val="9"/>
          <w:sz w:val="21"/>
          <w:szCs w:val="21"/>
        </w:rPr>
        <w:t>时，才能传播天花。于是，</w:t>
      </w:r>
      <w:r>
        <w:rPr>
          <w:rFonts w:ascii="宋体" w:hAnsi="宋体" w:eastAsia="宋体" w:cs="宋体"/>
          <w:sz w:val="21"/>
          <w:szCs w:val="21"/>
        </w:rPr>
        <w:t>WHO</w:t>
      </w:r>
      <w:r>
        <w:rPr>
          <w:rFonts w:ascii="宋体" w:hAnsi="宋体" w:eastAsia="宋体" w:cs="宋体"/>
          <w:spacing w:val="33"/>
          <w:sz w:val="21"/>
          <w:szCs w:val="21"/>
        </w:rPr>
        <w:t xml:space="preserve">  </w:t>
      </w:r>
      <w:r>
        <w:rPr>
          <w:rFonts w:ascii="宋体" w:hAnsi="宋体" w:eastAsia="宋体" w:cs="宋体"/>
          <w:spacing w:val="9"/>
          <w:sz w:val="21"/>
          <w:szCs w:val="21"/>
        </w:rPr>
        <w:t>转而采取加强病例监测和围堵(或环形接种)的新策略，</w:t>
      </w:r>
      <w:r>
        <w:rPr>
          <w:rFonts w:ascii="宋体" w:hAnsi="宋体" w:eastAsia="宋体" w:cs="宋体"/>
          <w:spacing w:val="8"/>
          <w:sz w:val="21"/>
          <w:szCs w:val="21"/>
        </w:rPr>
        <w:t>即公</w:t>
      </w:r>
      <w:r>
        <w:rPr>
          <w:rFonts w:ascii="宋体" w:hAnsi="宋体" w:eastAsia="宋体" w:cs="宋体"/>
          <w:spacing w:val="1"/>
          <w:sz w:val="21"/>
          <w:szCs w:val="21"/>
        </w:rPr>
        <w:t xml:space="preserve"> </w:t>
      </w:r>
      <w:r>
        <w:rPr>
          <w:rFonts w:ascii="宋体" w:hAnsi="宋体" w:eastAsia="宋体" w:cs="宋体"/>
          <w:spacing w:val="13"/>
          <w:sz w:val="21"/>
          <w:szCs w:val="21"/>
        </w:rPr>
        <w:t>共卫生监测系统及时发现和报告天花病例，当地卫生部门迅速对天花病人的接触者以</w:t>
      </w:r>
      <w:r>
        <w:rPr>
          <w:rFonts w:ascii="宋体" w:hAnsi="宋体" w:eastAsia="宋体" w:cs="宋体"/>
          <w:spacing w:val="12"/>
          <w:sz w:val="21"/>
          <w:szCs w:val="21"/>
        </w:rPr>
        <w:t>及与接</w:t>
      </w:r>
      <w:r>
        <w:rPr>
          <w:rFonts w:ascii="宋体" w:hAnsi="宋体" w:eastAsia="宋体" w:cs="宋体"/>
          <w:sz w:val="21"/>
          <w:szCs w:val="21"/>
        </w:rPr>
        <w:t xml:space="preserve"> </w:t>
      </w:r>
      <w:r>
        <w:rPr>
          <w:rFonts w:ascii="宋体" w:hAnsi="宋体" w:eastAsia="宋体" w:cs="宋体"/>
          <w:spacing w:val="15"/>
          <w:sz w:val="21"/>
          <w:szCs w:val="21"/>
        </w:rPr>
        <w:t>触者接触过的人进行环形接种，有效阻断了天花传播。1980年，</w:t>
      </w:r>
      <w:r>
        <w:rPr>
          <w:rFonts w:ascii="Times New Roman" w:hAnsi="Times New Roman" w:eastAsia="Times New Roman" w:cs="Times New Roman"/>
          <w:sz w:val="21"/>
          <w:szCs w:val="21"/>
        </w:rPr>
        <w:t>WHO</w:t>
      </w:r>
      <w:r>
        <w:rPr>
          <w:rFonts w:ascii="Times New Roman" w:hAnsi="Times New Roman" w:eastAsia="Times New Roman" w:cs="Times New Roman"/>
          <w:spacing w:val="29"/>
          <w:w w:val="101"/>
          <w:sz w:val="21"/>
          <w:szCs w:val="21"/>
        </w:rPr>
        <w:t xml:space="preserve"> </w:t>
      </w:r>
      <w:r>
        <w:rPr>
          <w:rFonts w:ascii="宋体" w:hAnsi="宋体" w:eastAsia="宋体" w:cs="宋体"/>
          <w:spacing w:val="15"/>
          <w:sz w:val="21"/>
          <w:szCs w:val="21"/>
        </w:rPr>
        <w:t>正式宣布全球消</w:t>
      </w:r>
      <w:r>
        <w:rPr>
          <w:rFonts w:ascii="宋体" w:hAnsi="宋体" w:eastAsia="宋体" w:cs="宋体"/>
          <w:spacing w:val="14"/>
          <w:sz w:val="21"/>
          <w:szCs w:val="21"/>
        </w:rPr>
        <w:t>灭了</w:t>
      </w:r>
      <w:r>
        <w:rPr>
          <w:rFonts w:ascii="宋体" w:hAnsi="宋体" w:eastAsia="宋体" w:cs="宋体"/>
          <w:sz w:val="21"/>
          <w:szCs w:val="21"/>
        </w:rPr>
        <w:t xml:space="preserve"> </w:t>
      </w:r>
      <w:r>
        <w:rPr>
          <w:rFonts w:ascii="宋体" w:hAnsi="宋体" w:eastAsia="宋体" w:cs="宋体"/>
          <w:spacing w:val="15"/>
          <w:sz w:val="21"/>
          <w:szCs w:val="21"/>
        </w:rPr>
        <w:t>天花。</w:t>
      </w:r>
    </w:p>
    <w:p w14:paraId="0DE6F601">
      <w:pPr>
        <w:spacing w:before="1" w:line="321" w:lineRule="auto"/>
        <w:ind w:right="658" w:firstLine="419"/>
        <w:jc w:val="both"/>
        <w:rPr>
          <w:rFonts w:ascii="宋体" w:hAnsi="宋体" w:eastAsia="宋体" w:cs="宋体"/>
          <w:sz w:val="21"/>
          <w:szCs w:val="21"/>
        </w:rPr>
      </w:pPr>
      <w:r>
        <w:rPr>
          <w:rFonts w:ascii="宋体" w:hAnsi="宋体" w:eastAsia="宋体" w:cs="宋体"/>
          <w:spacing w:val="-8"/>
          <w:sz w:val="21"/>
          <w:szCs w:val="21"/>
        </w:rPr>
        <w:t>我国的传染病防治工作坚持人民至上、生命至上，坚持预防为主、防治结合的方针，坚持依法防</w:t>
      </w:r>
      <w:r>
        <w:rPr>
          <w:rFonts w:ascii="宋体" w:hAnsi="宋体" w:eastAsia="宋体" w:cs="宋体"/>
          <w:spacing w:val="16"/>
          <w:sz w:val="21"/>
          <w:szCs w:val="21"/>
        </w:rPr>
        <w:t xml:space="preserve"> </w:t>
      </w:r>
      <w:r>
        <w:rPr>
          <w:rFonts w:ascii="宋体" w:hAnsi="宋体" w:eastAsia="宋体" w:cs="宋体"/>
          <w:spacing w:val="-12"/>
          <w:sz w:val="21"/>
          <w:szCs w:val="21"/>
        </w:rPr>
        <w:t>控、科学防控的原则。预防控制策略可概括为：以“预防为主、加强监测、群防群控、联防联控”为核</w:t>
      </w:r>
      <w:r>
        <w:rPr>
          <w:rFonts w:ascii="宋体" w:hAnsi="宋体" w:eastAsia="宋体" w:cs="宋体"/>
          <w:spacing w:val="10"/>
          <w:sz w:val="21"/>
          <w:szCs w:val="21"/>
        </w:rPr>
        <w:t xml:space="preserve"> </w:t>
      </w:r>
      <w:r>
        <w:rPr>
          <w:rFonts w:ascii="宋体" w:hAnsi="宋体" w:eastAsia="宋体" w:cs="宋体"/>
          <w:spacing w:val="-5"/>
          <w:sz w:val="21"/>
          <w:szCs w:val="21"/>
        </w:rPr>
        <w:t>心，采取多层次、多部门协作的综合防控措施。</w:t>
      </w:r>
    </w:p>
    <w:p w14:paraId="428A531C">
      <w:pPr>
        <w:pStyle w:val="2"/>
        <w:spacing w:before="1" w:line="220" w:lineRule="auto"/>
        <w:ind w:left="423"/>
        <w:rPr>
          <w:sz w:val="25"/>
          <w:szCs w:val="25"/>
        </w:rPr>
      </w:pPr>
      <w:r>
        <w:rPr>
          <w:b/>
          <w:bCs/>
          <w:spacing w:val="-6"/>
          <w:sz w:val="25"/>
          <w:szCs w:val="25"/>
        </w:rPr>
        <w:t>(一)预防为主</w:t>
      </w:r>
    </w:p>
    <w:p w14:paraId="148D5E5D">
      <w:pPr>
        <w:spacing w:before="93" w:line="304" w:lineRule="auto"/>
        <w:ind w:right="660" w:firstLine="419"/>
        <w:rPr>
          <w:rFonts w:ascii="宋体" w:hAnsi="宋体" w:eastAsia="宋体" w:cs="宋体"/>
          <w:sz w:val="21"/>
          <w:szCs w:val="21"/>
        </w:rPr>
      </w:pPr>
      <w:r>
        <w:rPr>
          <w:rFonts w:ascii="宋体" w:hAnsi="宋体" w:eastAsia="宋体" w:cs="宋体"/>
          <w:spacing w:val="3"/>
          <w:sz w:val="21"/>
          <w:szCs w:val="21"/>
        </w:rPr>
        <w:t>新中国成立以来，预防为主一直是我国的基</w:t>
      </w:r>
      <w:r>
        <w:rPr>
          <w:rFonts w:ascii="宋体" w:hAnsi="宋体" w:eastAsia="宋体" w:cs="宋体"/>
          <w:spacing w:val="2"/>
          <w:sz w:val="21"/>
          <w:szCs w:val="21"/>
        </w:rPr>
        <w:t>本卫生工作方针。各级人民政府组织开展爱国卫</w:t>
      </w:r>
      <w:r>
        <w:rPr>
          <w:rFonts w:ascii="宋体" w:hAnsi="宋体" w:eastAsia="宋体" w:cs="宋体"/>
          <w:sz w:val="21"/>
          <w:szCs w:val="21"/>
        </w:rPr>
        <w:t xml:space="preserve"> </w:t>
      </w:r>
      <w:r>
        <w:rPr>
          <w:rFonts w:ascii="宋体" w:hAnsi="宋体" w:eastAsia="宋体" w:cs="宋体"/>
          <w:spacing w:val="-8"/>
          <w:sz w:val="21"/>
          <w:szCs w:val="21"/>
        </w:rPr>
        <w:t>生运动，完善公共卫生设施，改善人居环境状况，加强社会健康管理，提升全民健康水平。</w:t>
      </w:r>
    </w:p>
    <w:p w14:paraId="1CAA96C6">
      <w:pPr>
        <w:pStyle w:val="2"/>
        <w:spacing w:before="1" w:line="223" w:lineRule="auto"/>
        <w:ind w:left="423"/>
        <w:rPr>
          <w:sz w:val="25"/>
          <w:szCs w:val="25"/>
        </w:rPr>
      </w:pPr>
      <w:r>
        <w:rPr>
          <w:b/>
          <w:bCs/>
          <w:spacing w:val="-5"/>
          <w:sz w:val="25"/>
          <w:szCs w:val="25"/>
        </w:rPr>
        <w:t>(二)加强监测</w:t>
      </w:r>
    </w:p>
    <w:p w14:paraId="3DAC1BF5">
      <w:pPr>
        <w:spacing w:before="117" w:line="317" w:lineRule="auto"/>
        <w:ind w:right="655" w:firstLine="419"/>
        <w:jc w:val="both"/>
        <w:rPr>
          <w:rFonts w:ascii="宋体" w:hAnsi="宋体" w:eastAsia="宋体" w:cs="宋体"/>
          <w:sz w:val="21"/>
          <w:szCs w:val="21"/>
        </w:rPr>
      </w:pPr>
      <w:r>
        <w:rPr>
          <w:rFonts w:ascii="宋体" w:hAnsi="宋体" w:eastAsia="宋体" w:cs="宋体"/>
          <w:spacing w:val="-3"/>
          <w:sz w:val="21"/>
          <w:szCs w:val="21"/>
        </w:rPr>
        <w:t>传染病监测是公共卫生监测的重要组成部分，主要是对传染病的发生、流行及影响因素等进行</w:t>
      </w:r>
      <w:r>
        <w:rPr>
          <w:rFonts w:ascii="宋体" w:hAnsi="宋体" w:eastAsia="宋体" w:cs="宋体"/>
          <w:spacing w:val="12"/>
          <w:sz w:val="21"/>
          <w:szCs w:val="21"/>
        </w:rPr>
        <w:t xml:space="preserve"> </w:t>
      </w:r>
      <w:r>
        <w:rPr>
          <w:rFonts w:ascii="宋体" w:hAnsi="宋体" w:eastAsia="宋体" w:cs="宋体"/>
          <w:spacing w:val="-7"/>
          <w:sz w:val="21"/>
          <w:szCs w:val="21"/>
        </w:rPr>
        <w:t>监测，分析评估疫情动态，形成多点触发的监测预警体系，为及时</w:t>
      </w:r>
      <w:r>
        <w:rPr>
          <w:rFonts w:ascii="宋体" w:hAnsi="宋体" w:eastAsia="宋体" w:cs="宋体"/>
          <w:spacing w:val="-8"/>
          <w:sz w:val="21"/>
          <w:szCs w:val="21"/>
        </w:rPr>
        <w:t>发现、预警和控制传染病的传播提</w:t>
      </w:r>
      <w:r>
        <w:rPr>
          <w:rFonts w:ascii="宋体" w:hAnsi="宋体" w:eastAsia="宋体" w:cs="宋体"/>
          <w:sz w:val="21"/>
          <w:szCs w:val="21"/>
        </w:rPr>
        <w:t xml:space="preserve"> </w:t>
      </w:r>
      <w:r>
        <w:rPr>
          <w:rFonts w:ascii="宋体" w:hAnsi="宋体" w:eastAsia="宋体" w:cs="宋体"/>
          <w:spacing w:val="-2"/>
          <w:sz w:val="21"/>
          <w:szCs w:val="21"/>
        </w:rPr>
        <w:t>供科学依据和决策支持。监测内容主要包括：①对</w:t>
      </w:r>
      <w:r>
        <w:rPr>
          <w:rFonts w:ascii="宋体" w:hAnsi="宋体" w:eastAsia="宋体" w:cs="宋体"/>
          <w:spacing w:val="-3"/>
          <w:sz w:val="21"/>
          <w:szCs w:val="21"/>
        </w:rPr>
        <w:t>传染病发病和死亡的实时监测与报告；②传染病</w:t>
      </w:r>
      <w:r>
        <w:rPr>
          <w:rFonts w:ascii="宋体" w:hAnsi="宋体" w:eastAsia="宋体" w:cs="宋体"/>
          <w:sz w:val="21"/>
          <w:szCs w:val="21"/>
        </w:rPr>
        <w:t xml:space="preserve"> </w:t>
      </w:r>
      <w:r>
        <w:rPr>
          <w:rFonts w:ascii="宋体" w:hAnsi="宋体" w:eastAsia="宋体" w:cs="宋体"/>
          <w:spacing w:val="-5"/>
          <w:sz w:val="21"/>
          <w:szCs w:val="21"/>
        </w:rPr>
        <w:t>临床症候群监测(如急性呼吸道感染、腹泻、发热伴出血、发热伴出疹和脑炎脑膜炎等</w:t>
      </w:r>
      <w:r>
        <w:rPr>
          <w:rFonts w:ascii="宋体" w:hAnsi="宋体" w:eastAsia="宋体" w:cs="宋体"/>
          <w:spacing w:val="-6"/>
          <w:sz w:val="21"/>
          <w:szCs w:val="21"/>
        </w:rPr>
        <w:t>症候群);③病</w:t>
      </w:r>
      <w:r>
        <w:rPr>
          <w:rFonts w:ascii="宋体" w:hAnsi="宋体" w:eastAsia="宋体" w:cs="宋体"/>
          <w:sz w:val="21"/>
          <w:szCs w:val="21"/>
        </w:rPr>
        <w:t xml:space="preserve"> 原学监测；④病媒生物、宿主动物和环境相关危险因素监测；⑤</w:t>
      </w:r>
      <w:r>
        <w:rPr>
          <w:rFonts w:ascii="宋体" w:hAnsi="宋体" w:eastAsia="宋体" w:cs="宋体"/>
          <w:spacing w:val="-1"/>
          <w:sz w:val="21"/>
          <w:szCs w:val="21"/>
        </w:rPr>
        <w:t>行业协同风险监测(如医疗卫生机</w:t>
      </w:r>
      <w:r>
        <w:rPr>
          <w:rFonts w:ascii="宋体" w:hAnsi="宋体" w:eastAsia="宋体" w:cs="宋体"/>
          <w:sz w:val="21"/>
          <w:szCs w:val="21"/>
        </w:rPr>
        <w:t xml:space="preserve"> </w:t>
      </w:r>
      <w:r>
        <w:rPr>
          <w:rFonts w:ascii="宋体" w:hAnsi="宋体" w:eastAsia="宋体" w:cs="宋体"/>
          <w:spacing w:val="-3"/>
          <w:sz w:val="21"/>
          <w:szCs w:val="21"/>
        </w:rPr>
        <w:t>构感染监测、学校因病缺勤登记监测、口岸检疫和病媒生物监测、动物疫病监测等);⑥社会感知监</w:t>
      </w:r>
      <w:r>
        <w:rPr>
          <w:rFonts w:ascii="宋体" w:hAnsi="宋体" w:eastAsia="宋体" w:cs="宋体"/>
          <w:sz w:val="21"/>
          <w:szCs w:val="21"/>
        </w:rPr>
        <w:t xml:space="preserve"> 测(如互联网舆情中的传染病疫情信息);⑦全球传染病疫情信息监测；⑧</w:t>
      </w:r>
      <w:r>
        <w:rPr>
          <w:rFonts w:ascii="宋体" w:hAnsi="宋体" w:eastAsia="宋体" w:cs="宋体"/>
          <w:spacing w:val="-1"/>
          <w:sz w:val="21"/>
          <w:szCs w:val="21"/>
        </w:rPr>
        <w:t>重点关注传染病的哨点监</w:t>
      </w:r>
      <w:r>
        <w:rPr>
          <w:rFonts w:ascii="宋体" w:hAnsi="宋体" w:eastAsia="宋体" w:cs="宋体"/>
          <w:sz w:val="21"/>
          <w:szCs w:val="21"/>
        </w:rPr>
        <w:t xml:space="preserve"> </w:t>
      </w:r>
      <w:r>
        <w:rPr>
          <w:rFonts w:ascii="宋体" w:hAnsi="宋体" w:eastAsia="宋体" w:cs="宋体"/>
          <w:spacing w:val="5"/>
          <w:sz w:val="21"/>
          <w:szCs w:val="21"/>
        </w:rPr>
        <w:t>测等。</w:t>
      </w:r>
    </w:p>
    <w:p w14:paraId="14855F9E">
      <w:pPr>
        <w:pStyle w:val="2"/>
        <w:spacing w:before="12" w:line="221" w:lineRule="auto"/>
        <w:ind w:left="423"/>
        <w:rPr>
          <w:sz w:val="25"/>
          <w:szCs w:val="25"/>
        </w:rPr>
      </w:pPr>
      <w:r>
        <w:rPr>
          <w:b/>
          <w:bCs/>
          <w:spacing w:val="-6"/>
          <w:sz w:val="25"/>
          <w:szCs w:val="25"/>
        </w:rPr>
        <w:t>(三)群防群控</w:t>
      </w:r>
    </w:p>
    <w:p w14:paraId="056EEEDE">
      <w:pPr>
        <w:spacing w:before="114" w:line="318" w:lineRule="auto"/>
        <w:ind w:right="661" w:firstLine="419"/>
        <w:rPr>
          <w:rFonts w:ascii="宋体" w:hAnsi="宋体" w:eastAsia="宋体" w:cs="宋体"/>
          <w:sz w:val="21"/>
          <w:szCs w:val="21"/>
        </w:rPr>
      </w:pPr>
      <w:r>
        <w:rPr>
          <w:rFonts w:ascii="宋体" w:hAnsi="宋体" w:eastAsia="宋体" w:cs="宋体"/>
          <w:spacing w:val="-3"/>
          <w:sz w:val="21"/>
          <w:szCs w:val="21"/>
        </w:rPr>
        <w:t>传染病防制工作需要全社会共同努力，民众的参与、理解、支持和配合至关重要。尤其在传染</w:t>
      </w:r>
      <w:r>
        <w:rPr>
          <w:rFonts w:ascii="宋体" w:hAnsi="宋体" w:eastAsia="宋体" w:cs="宋体"/>
          <w:spacing w:val="10"/>
          <w:sz w:val="21"/>
          <w:szCs w:val="21"/>
        </w:rPr>
        <w:t xml:space="preserve"> </w:t>
      </w:r>
      <w:r>
        <w:rPr>
          <w:rFonts w:ascii="宋体" w:hAnsi="宋体" w:eastAsia="宋体" w:cs="宋体"/>
          <w:spacing w:val="-2"/>
          <w:sz w:val="21"/>
          <w:szCs w:val="21"/>
        </w:rPr>
        <w:t>病暴发流行期间，个人责任的切实履行是疫情防控的关键。</w:t>
      </w:r>
    </w:p>
    <w:p w14:paraId="6D15B08C">
      <w:pPr>
        <w:pStyle w:val="2"/>
        <w:spacing w:before="2" w:line="221" w:lineRule="auto"/>
        <w:ind w:left="422"/>
        <w:rPr>
          <w:sz w:val="21"/>
          <w:szCs w:val="21"/>
        </w:rPr>
      </w:pPr>
      <w:r>
        <w:rPr>
          <w:b/>
          <w:bCs/>
          <w:spacing w:val="28"/>
          <w:sz w:val="21"/>
          <w:szCs w:val="21"/>
        </w:rPr>
        <w:t>(四)联防联控</w:t>
      </w:r>
    </w:p>
    <w:p w14:paraId="637CFBBD">
      <w:pPr>
        <w:spacing w:before="132" w:line="319" w:lineRule="auto"/>
        <w:ind w:right="659" w:firstLine="419"/>
        <w:jc w:val="both"/>
        <w:rPr>
          <w:rFonts w:ascii="宋体" w:hAnsi="宋体" w:eastAsia="宋体" w:cs="宋体"/>
          <w:sz w:val="21"/>
          <w:szCs w:val="21"/>
        </w:rPr>
      </w:pPr>
      <w:r>
        <w:rPr>
          <w:rFonts w:ascii="宋体" w:hAnsi="宋体" w:eastAsia="宋体" w:cs="宋体"/>
          <w:spacing w:val="2"/>
          <w:sz w:val="21"/>
          <w:szCs w:val="21"/>
        </w:rPr>
        <w:t>联防联控是政府层面协调不同地区或不同部门工作的机制和平台。在传染病防制工作中，尤</w:t>
      </w:r>
      <w:r>
        <w:rPr>
          <w:rFonts w:ascii="宋体" w:hAnsi="宋体" w:eastAsia="宋体" w:cs="宋体"/>
          <w:spacing w:val="18"/>
          <w:sz w:val="21"/>
          <w:szCs w:val="21"/>
        </w:rPr>
        <w:t xml:space="preserve"> </w:t>
      </w:r>
      <w:r>
        <w:rPr>
          <w:rFonts w:ascii="宋体" w:hAnsi="宋体" w:eastAsia="宋体" w:cs="宋体"/>
          <w:spacing w:val="-7"/>
          <w:sz w:val="21"/>
          <w:szCs w:val="21"/>
        </w:rPr>
        <w:t>其是在传染病暴发流行期间，需要各地区、各部门加强沟通协调、密切协</w:t>
      </w:r>
      <w:r>
        <w:rPr>
          <w:rFonts w:ascii="宋体" w:hAnsi="宋体" w:eastAsia="宋体" w:cs="宋体"/>
          <w:spacing w:val="-8"/>
          <w:sz w:val="21"/>
          <w:szCs w:val="21"/>
        </w:rPr>
        <w:t>作，才能快速有效地开展防</w:t>
      </w:r>
      <w:r>
        <w:rPr>
          <w:rFonts w:ascii="宋体" w:hAnsi="宋体" w:eastAsia="宋体" w:cs="宋体"/>
          <w:sz w:val="21"/>
          <w:szCs w:val="21"/>
        </w:rPr>
        <w:t xml:space="preserve"> </w:t>
      </w:r>
      <w:r>
        <w:rPr>
          <w:rFonts w:ascii="宋体" w:hAnsi="宋体" w:eastAsia="宋体" w:cs="宋体"/>
          <w:spacing w:val="6"/>
          <w:sz w:val="21"/>
          <w:szCs w:val="21"/>
        </w:rPr>
        <w:t>控工作。</w:t>
      </w:r>
    </w:p>
    <w:p w14:paraId="605B1F4A">
      <w:pPr>
        <w:pStyle w:val="2"/>
        <w:spacing w:before="182" w:line="223" w:lineRule="auto"/>
        <w:ind w:left="423"/>
        <w:outlineLvl w:val="4"/>
        <w:rPr>
          <w:sz w:val="25"/>
          <w:szCs w:val="25"/>
        </w:rPr>
      </w:pPr>
      <w:bookmarkStart w:id="324" w:name="bookmark204"/>
      <w:bookmarkEnd w:id="324"/>
      <w:r>
        <w:rPr>
          <w:b/>
          <w:bCs/>
          <w:spacing w:val="-7"/>
          <w:sz w:val="25"/>
          <w:szCs w:val="25"/>
        </w:rPr>
        <w:t>二</w:t>
      </w:r>
      <w:r>
        <w:rPr>
          <w:spacing w:val="-47"/>
          <w:sz w:val="25"/>
          <w:szCs w:val="25"/>
        </w:rPr>
        <w:t xml:space="preserve"> </w:t>
      </w:r>
      <w:r>
        <w:rPr>
          <w:b/>
          <w:bCs/>
          <w:spacing w:val="-7"/>
          <w:sz w:val="25"/>
          <w:szCs w:val="25"/>
        </w:rPr>
        <w:t>、措施</w:t>
      </w:r>
    </w:p>
    <w:p w14:paraId="3918A335">
      <w:pPr>
        <w:pStyle w:val="2"/>
        <w:spacing w:before="247" w:line="221" w:lineRule="auto"/>
        <w:ind w:left="419"/>
        <w:rPr>
          <w:sz w:val="21"/>
          <w:szCs w:val="21"/>
        </w:rPr>
      </w:pPr>
      <w:r>
        <w:rPr>
          <w:spacing w:val="20"/>
          <w:sz w:val="21"/>
          <w:szCs w:val="21"/>
        </w:rPr>
        <w:t>(一)经常性的传染病防制措施</w:t>
      </w:r>
    </w:p>
    <w:p w14:paraId="77D2182C">
      <w:pPr>
        <w:pStyle w:val="2"/>
        <w:spacing w:before="135" w:line="310" w:lineRule="auto"/>
        <w:ind w:right="565" w:firstLine="422"/>
        <w:jc w:val="both"/>
        <w:rPr>
          <w:rFonts w:ascii="宋体" w:hAnsi="宋体" w:eastAsia="宋体" w:cs="宋体"/>
          <w:sz w:val="21"/>
          <w:szCs w:val="21"/>
        </w:rPr>
      </w:pPr>
      <w:r>
        <w:rPr>
          <w:rFonts w:ascii="宋体" w:hAnsi="宋体" w:eastAsia="宋体" w:cs="宋体"/>
          <w:b/>
          <w:bCs/>
          <w:spacing w:val="4"/>
          <w:sz w:val="21"/>
          <w:szCs w:val="21"/>
        </w:rPr>
        <w:t>1.</w:t>
      </w:r>
      <w:r>
        <w:rPr>
          <w:rFonts w:ascii="宋体" w:hAnsi="宋体" w:eastAsia="宋体" w:cs="宋体"/>
          <w:spacing w:val="4"/>
          <w:sz w:val="21"/>
          <w:szCs w:val="21"/>
        </w:rPr>
        <w:t xml:space="preserve"> </w:t>
      </w:r>
      <w:r>
        <w:rPr>
          <w:b/>
          <w:bCs/>
          <w:spacing w:val="4"/>
          <w:sz w:val="21"/>
          <w:szCs w:val="21"/>
        </w:rPr>
        <w:t>传染病报告</w:t>
      </w:r>
      <w:r>
        <w:rPr>
          <w:sz w:val="21"/>
          <w:szCs w:val="21"/>
        </w:rPr>
        <w:t xml:space="preserve">  </w:t>
      </w:r>
      <w:r>
        <w:rPr>
          <w:rFonts w:ascii="宋体" w:hAnsi="宋体" w:eastAsia="宋体" w:cs="宋体"/>
          <w:spacing w:val="4"/>
          <w:sz w:val="21"/>
          <w:szCs w:val="21"/>
        </w:rPr>
        <w:t>又称疫情报告，是传染病监测最重要的内容之一。世界各国</w:t>
      </w:r>
      <w:r>
        <w:rPr>
          <w:rFonts w:ascii="宋体" w:hAnsi="宋体" w:eastAsia="宋体" w:cs="宋体"/>
          <w:spacing w:val="3"/>
          <w:sz w:val="21"/>
          <w:szCs w:val="21"/>
        </w:rPr>
        <w:t>根据自身情况</w:t>
      </w:r>
      <w:r>
        <w:rPr>
          <w:rFonts w:ascii="宋体" w:hAnsi="宋体" w:eastAsia="宋体" w:cs="宋体"/>
          <w:sz w:val="21"/>
          <w:szCs w:val="21"/>
        </w:rPr>
        <w:t xml:space="preserve">  </w:t>
      </w:r>
      <w:r>
        <w:rPr>
          <w:rFonts w:ascii="宋体" w:hAnsi="宋体" w:eastAsia="宋体" w:cs="宋体"/>
          <w:spacing w:val="4"/>
          <w:sz w:val="21"/>
          <w:szCs w:val="21"/>
        </w:rPr>
        <w:t xml:space="preserve">确定法定报告传染病的病种。 </w:t>
      </w:r>
      <w:r>
        <w:rPr>
          <w:rFonts w:ascii="Times New Roman" w:hAnsi="Times New Roman" w:eastAsia="Times New Roman" w:cs="Times New Roman"/>
          <w:sz w:val="21"/>
          <w:szCs w:val="21"/>
        </w:rPr>
        <w:t>WHO</w:t>
      </w:r>
      <w:r>
        <w:rPr>
          <w:rFonts w:ascii="Times New Roman" w:hAnsi="Times New Roman" w:eastAsia="Times New Roman" w:cs="Times New Roman"/>
          <w:spacing w:val="4"/>
          <w:sz w:val="21"/>
          <w:szCs w:val="21"/>
        </w:rPr>
        <w:t xml:space="preserve"> </w:t>
      </w:r>
      <w:r>
        <w:rPr>
          <w:rFonts w:ascii="宋体" w:hAnsi="宋体" w:eastAsia="宋体" w:cs="宋体"/>
          <w:spacing w:val="4"/>
          <w:sz w:val="21"/>
          <w:szCs w:val="21"/>
        </w:rPr>
        <w:t>根据传染病疫情防控的需要，对流行性感冒、脊髓灰质炎、</w:t>
      </w:r>
      <w:r>
        <w:rPr>
          <w:rFonts w:ascii="宋体" w:hAnsi="宋体" w:eastAsia="宋体" w:cs="宋体"/>
          <w:sz w:val="21"/>
          <w:szCs w:val="21"/>
        </w:rPr>
        <w:t xml:space="preserve"> </w:t>
      </w:r>
      <w:r>
        <w:rPr>
          <w:rFonts w:ascii="宋体" w:hAnsi="宋体" w:eastAsia="宋体" w:cs="宋体"/>
          <w:spacing w:val="13"/>
          <w:sz w:val="21"/>
          <w:szCs w:val="21"/>
        </w:rPr>
        <w:t>疟疾等传染病进行全球监测，并根据疫情防控形势的变化调整监测疾病清单。我国的传染病</w:t>
      </w:r>
    </w:p>
    <w:p w14:paraId="4E5E2D47">
      <w:pPr>
        <w:spacing w:line="310" w:lineRule="auto"/>
        <w:rPr>
          <w:rFonts w:ascii="宋体" w:hAnsi="宋体" w:eastAsia="宋体" w:cs="宋体"/>
          <w:sz w:val="21"/>
          <w:szCs w:val="21"/>
        </w:rPr>
        <w:sectPr>
          <w:footerReference r:id="rId212" w:type="default"/>
          <w:pgSz w:w="11900" w:h="16820"/>
          <w:pgMar w:top="400" w:right="859" w:bottom="866" w:left="1460" w:header="0" w:footer="677" w:gutter="0"/>
          <w:cols w:space="720" w:num="1"/>
        </w:sectPr>
      </w:pPr>
    </w:p>
    <w:p w14:paraId="2C6B9655">
      <w:pPr>
        <w:pStyle w:val="2"/>
        <w:spacing w:before="16" w:line="221" w:lineRule="auto"/>
        <w:ind w:left="649"/>
        <w:rPr>
          <w:sz w:val="20"/>
          <w:szCs w:val="20"/>
        </w:rPr>
      </w:pPr>
      <w:r>
        <w:rPr>
          <w:spacing w:val="-18"/>
          <w:w w:val="96"/>
          <w:sz w:val="20"/>
          <w:szCs w:val="20"/>
        </w:rPr>
        <w:t>第十一章 传染病流行病学</w:t>
      </w:r>
    </w:p>
    <w:p w14:paraId="4A167AC5">
      <w:pPr>
        <w:spacing w:line="286" w:lineRule="auto"/>
        <w:rPr>
          <w:rFonts w:ascii="Arial"/>
          <w:sz w:val="21"/>
        </w:rPr>
      </w:pPr>
    </w:p>
    <w:p w14:paraId="38792CA0">
      <w:pPr>
        <w:spacing w:line="286" w:lineRule="auto"/>
        <w:rPr>
          <w:rFonts w:ascii="Arial"/>
          <w:sz w:val="21"/>
        </w:rPr>
      </w:pPr>
    </w:p>
    <w:p w14:paraId="2A478ECB">
      <w:pPr>
        <w:spacing w:before="65" w:line="354" w:lineRule="auto"/>
        <w:ind w:left="649" w:right="89"/>
        <w:rPr>
          <w:rFonts w:ascii="宋体" w:hAnsi="宋体" w:eastAsia="宋体" w:cs="宋体"/>
          <w:sz w:val="20"/>
          <w:szCs w:val="20"/>
        </w:rPr>
      </w:pPr>
      <w:r>
        <w:rPr>
          <w:rFonts w:ascii="宋体" w:hAnsi="宋体" w:eastAsia="宋体" w:cs="宋体"/>
          <w:spacing w:val="6"/>
          <w:sz w:val="20"/>
          <w:szCs w:val="20"/>
        </w:rPr>
        <w:t>报告制度历史悠久，已形成一套较为科学、规范、高效的管理体系，并根据形势的发展不</w:t>
      </w:r>
      <w:r>
        <w:rPr>
          <w:rFonts w:ascii="宋体" w:hAnsi="宋体" w:eastAsia="宋体" w:cs="宋体"/>
          <w:spacing w:val="5"/>
          <w:sz w:val="20"/>
          <w:szCs w:val="20"/>
        </w:rPr>
        <w:t>断进行</w:t>
      </w:r>
      <w:r>
        <w:rPr>
          <w:rFonts w:ascii="宋体" w:hAnsi="宋体" w:eastAsia="宋体" w:cs="宋体"/>
          <w:sz w:val="20"/>
          <w:szCs w:val="20"/>
        </w:rPr>
        <w:t xml:space="preserve"> </w:t>
      </w:r>
      <w:r>
        <w:rPr>
          <w:rFonts w:ascii="宋体" w:hAnsi="宋体" w:eastAsia="宋体" w:cs="宋体"/>
          <w:spacing w:val="13"/>
          <w:sz w:val="20"/>
          <w:szCs w:val="20"/>
        </w:rPr>
        <w:t>完善。</w:t>
      </w:r>
    </w:p>
    <w:p w14:paraId="5C759DE2">
      <w:pPr>
        <w:spacing w:line="343" w:lineRule="auto"/>
        <w:ind w:left="649" w:right="90" w:firstLine="390"/>
        <w:rPr>
          <w:rFonts w:ascii="宋体" w:hAnsi="宋体" w:eastAsia="宋体" w:cs="宋体"/>
          <w:sz w:val="20"/>
          <w:szCs w:val="20"/>
        </w:rPr>
      </w:pPr>
      <w:r>
        <w:rPr>
          <w:rFonts w:ascii="宋体" w:hAnsi="宋体" w:eastAsia="宋体" w:cs="宋体"/>
          <w:spacing w:val="6"/>
          <w:sz w:val="20"/>
          <w:szCs w:val="20"/>
        </w:rPr>
        <w:t>(1)报告病种和类别：依据2025年修订实施的《传染病防治法》,我国将法定报</w:t>
      </w:r>
      <w:r>
        <w:rPr>
          <w:rFonts w:ascii="宋体" w:hAnsi="宋体" w:eastAsia="宋体" w:cs="宋体"/>
          <w:spacing w:val="5"/>
          <w:sz w:val="20"/>
          <w:szCs w:val="20"/>
        </w:rPr>
        <w:t>告传染病分为</w:t>
      </w:r>
      <w:r>
        <w:rPr>
          <w:rFonts w:ascii="宋体" w:hAnsi="宋体" w:eastAsia="宋体" w:cs="宋体"/>
          <w:sz w:val="20"/>
          <w:szCs w:val="20"/>
        </w:rPr>
        <w:t xml:space="preserve"> </w:t>
      </w:r>
      <w:r>
        <w:rPr>
          <w:rFonts w:ascii="宋体" w:hAnsi="宋体" w:eastAsia="宋体" w:cs="宋体"/>
          <w:spacing w:val="-4"/>
          <w:sz w:val="20"/>
          <w:szCs w:val="20"/>
        </w:rPr>
        <w:t>甲、乙、丙三类共计40种，以及突发原因不明的传染病等。</w:t>
      </w:r>
    </w:p>
    <w:p w14:paraId="06DD62C3">
      <w:pPr>
        <w:spacing w:before="1" w:line="350" w:lineRule="auto"/>
        <w:ind w:left="649" w:right="40" w:firstLine="390"/>
        <w:rPr>
          <w:rFonts w:ascii="宋体" w:hAnsi="宋体" w:eastAsia="宋体" w:cs="宋体"/>
          <w:sz w:val="20"/>
          <w:szCs w:val="20"/>
        </w:rPr>
      </w:pPr>
      <w:r>
        <w:rPr>
          <w:rFonts w:ascii="宋体" w:hAnsi="宋体" w:eastAsia="宋体" w:cs="宋体"/>
          <w:spacing w:val="7"/>
          <w:sz w:val="20"/>
          <w:szCs w:val="20"/>
        </w:rPr>
        <w:t>甲类(2种):是指对人体健康和生命安全危害特别严重，可能造成重大经济损失和社会影响，</w:t>
      </w:r>
      <w:r>
        <w:rPr>
          <w:rFonts w:ascii="宋体" w:hAnsi="宋体" w:eastAsia="宋体" w:cs="宋体"/>
          <w:spacing w:val="14"/>
          <w:sz w:val="20"/>
          <w:szCs w:val="20"/>
        </w:rPr>
        <w:t xml:space="preserve"> </w:t>
      </w:r>
      <w:r>
        <w:rPr>
          <w:rFonts w:ascii="宋体" w:hAnsi="宋体" w:eastAsia="宋体" w:cs="宋体"/>
          <w:spacing w:val="-6"/>
          <w:sz w:val="20"/>
          <w:szCs w:val="20"/>
        </w:rPr>
        <w:t>需要特别严格管理、控制疫情蔓延的传染病，包括鼠疫、霍乱。</w:t>
      </w:r>
    </w:p>
    <w:p w14:paraId="09321194">
      <w:pPr>
        <w:spacing w:before="1" w:line="347" w:lineRule="auto"/>
        <w:ind w:left="649" w:firstLine="390"/>
        <w:jc w:val="both"/>
        <w:rPr>
          <w:rFonts w:ascii="宋体" w:hAnsi="宋体" w:eastAsia="宋体" w:cs="宋体"/>
          <w:sz w:val="20"/>
          <w:szCs w:val="20"/>
        </w:rPr>
      </w:pPr>
      <w:r>
        <w:rPr>
          <w:rFonts w:ascii="宋体" w:hAnsi="宋体" w:eastAsia="宋体" w:cs="宋体"/>
          <w:spacing w:val="3"/>
          <w:sz w:val="20"/>
          <w:szCs w:val="20"/>
        </w:rPr>
        <w:t>乙类(27种):是指对人体健康和生命安全危害严重，可能造成较大经济损失和社会影响，需要</w:t>
      </w:r>
      <w:r>
        <w:rPr>
          <w:rFonts w:ascii="宋体" w:hAnsi="宋体" w:eastAsia="宋体" w:cs="宋体"/>
          <w:spacing w:val="4"/>
          <w:sz w:val="20"/>
          <w:szCs w:val="20"/>
        </w:rPr>
        <w:t xml:space="preserve">  </w:t>
      </w:r>
      <w:r>
        <w:rPr>
          <w:rFonts w:ascii="宋体" w:hAnsi="宋体" w:eastAsia="宋体" w:cs="宋体"/>
          <w:spacing w:val="-1"/>
          <w:sz w:val="20"/>
          <w:szCs w:val="20"/>
        </w:rPr>
        <w:t>严格管理、降低发病率、减少危害的传染病，包括新型冠状病</w:t>
      </w:r>
      <w:r>
        <w:rPr>
          <w:rFonts w:ascii="宋体" w:hAnsi="宋体" w:eastAsia="宋体" w:cs="宋体"/>
          <w:spacing w:val="-2"/>
          <w:sz w:val="20"/>
          <w:szCs w:val="20"/>
        </w:rPr>
        <w:t>毒感染、传染性非典型肺炎、艾滋病、</w:t>
      </w:r>
      <w:r>
        <w:rPr>
          <w:rFonts w:ascii="宋体" w:hAnsi="宋体" w:eastAsia="宋体" w:cs="宋体"/>
          <w:sz w:val="20"/>
          <w:szCs w:val="20"/>
        </w:rPr>
        <w:t xml:space="preserve"> </w:t>
      </w:r>
      <w:r>
        <w:rPr>
          <w:rFonts w:ascii="宋体" w:hAnsi="宋体" w:eastAsia="宋体" w:cs="宋体"/>
          <w:spacing w:val="-8"/>
          <w:sz w:val="20"/>
          <w:szCs w:val="20"/>
        </w:rPr>
        <w:t>病毒性肝炎、脊髓灰质炎、人感染新亚型流感、麻疹、流行性出血热、狂犬病、流行性乙型脑炎、登革</w:t>
      </w:r>
      <w:r>
        <w:rPr>
          <w:rFonts w:ascii="宋体" w:hAnsi="宋体" w:eastAsia="宋体" w:cs="宋体"/>
          <w:spacing w:val="3"/>
          <w:sz w:val="20"/>
          <w:szCs w:val="20"/>
        </w:rPr>
        <w:t xml:space="preserve">  </w:t>
      </w:r>
      <w:r>
        <w:rPr>
          <w:rFonts w:ascii="宋体" w:hAnsi="宋体" w:eastAsia="宋体" w:cs="宋体"/>
          <w:spacing w:val="-10"/>
          <w:sz w:val="20"/>
          <w:szCs w:val="20"/>
        </w:rPr>
        <w:t>热、猴痘、炭疽、细菌性和阿米巴性痢疾、肺结核、伤寒和副伤寒、流行性脑脊髓膜炎、百日咳、白喉、</w:t>
      </w:r>
      <w:r>
        <w:rPr>
          <w:rFonts w:ascii="宋体" w:hAnsi="宋体" w:eastAsia="宋体" w:cs="宋体"/>
          <w:sz w:val="20"/>
          <w:szCs w:val="20"/>
        </w:rPr>
        <w:t xml:space="preserve"> </w:t>
      </w:r>
      <w:r>
        <w:rPr>
          <w:rFonts w:ascii="宋体" w:hAnsi="宋体" w:eastAsia="宋体" w:cs="宋体"/>
          <w:spacing w:val="-11"/>
          <w:sz w:val="20"/>
          <w:szCs w:val="20"/>
        </w:rPr>
        <w:t>新生儿破伤风、猩红热、布鲁氏菌病、淋病、梅毒、钩端螺旋体病、血吸虫病、疟疾。</w:t>
      </w:r>
    </w:p>
    <w:p w14:paraId="7A1D37A5">
      <w:pPr>
        <w:spacing w:before="1" w:line="350" w:lineRule="auto"/>
        <w:ind w:left="649" w:right="83" w:firstLine="390"/>
        <w:jc w:val="both"/>
        <w:rPr>
          <w:rFonts w:ascii="宋体" w:hAnsi="宋体" w:eastAsia="宋体" w:cs="宋体"/>
          <w:sz w:val="20"/>
          <w:szCs w:val="20"/>
        </w:rPr>
      </w:pPr>
      <w:r>
        <w:rPr>
          <w:rFonts w:ascii="宋体" w:hAnsi="宋体" w:eastAsia="宋体" w:cs="宋体"/>
          <w:spacing w:val="9"/>
          <w:sz w:val="20"/>
          <w:szCs w:val="20"/>
        </w:rPr>
        <w:t>丙类(11种):是指常见多发，对人体健康和生命安全造成危害</w:t>
      </w:r>
      <w:r>
        <w:rPr>
          <w:rFonts w:ascii="宋体" w:hAnsi="宋体" w:eastAsia="宋体" w:cs="宋体"/>
          <w:spacing w:val="8"/>
          <w:sz w:val="20"/>
          <w:szCs w:val="20"/>
        </w:rPr>
        <w:t>，可能造成一定程度的经济损</w:t>
      </w:r>
      <w:r>
        <w:rPr>
          <w:rFonts w:ascii="宋体" w:hAnsi="宋体" w:eastAsia="宋体" w:cs="宋体"/>
          <w:sz w:val="20"/>
          <w:szCs w:val="20"/>
        </w:rPr>
        <w:t xml:space="preserve"> </w:t>
      </w:r>
      <w:r>
        <w:rPr>
          <w:rFonts w:ascii="宋体" w:hAnsi="宋体" w:eastAsia="宋体" w:cs="宋体"/>
          <w:spacing w:val="-3"/>
          <w:sz w:val="20"/>
          <w:szCs w:val="20"/>
        </w:rPr>
        <w:t>失和社会影响，需要关注流行趋势、控制暴发和流行的</w:t>
      </w:r>
      <w:r>
        <w:rPr>
          <w:rFonts w:ascii="宋体" w:hAnsi="宋体" w:eastAsia="宋体" w:cs="宋体"/>
          <w:spacing w:val="-4"/>
          <w:sz w:val="20"/>
          <w:szCs w:val="20"/>
        </w:rPr>
        <w:t>传染病，包括流行性感冒、流行性腮腺炎、风</w:t>
      </w:r>
      <w:r>
        <w:rPr>
          <w:rFonts w:ascii="宋体" w:hAnsi="宋体" w:eastAsia="宋体" w:cs="宋体"/>
          <w:sz w:val="20"/>
          <w:szCs w:val="20"/>
        </w:rPr>
        <w:t xml:space="preserve"> </w:t>
      </w:r>
      <w:r>
        <w:rPr>
          <w:rFonts w:ascii="宋体" w:hAnsi="宋体" w:eastAsia="宋体" w:cs="宋体"/>
          <w:spacing w:val="-8"/>
          <w:sz w:val="20"/>
          <w:szCs w:val="20"/>
        </w:rPr>
        <w:t>疹、急性出血性结膜炎、麻风病、流行性和地方性斑疹伤寒、黑热病、包虫病、丝虫病、手足口病，除</w:t>
      </w:r>
      <w:r>
        <w:rPr>
          <w:rFonts w:ascii="宋体" w:hAnsi="宋体" w:eastAsia="宋体" w:cs="宋体"/>
          <w:spacing w:val="8"/>
          <w:sz w:val="20"/>
          <w:szCs w:val="20"/>
        </w:rPr>
        <w:t xml:space="preserve"> </w:t>
      </w:r>
      <w:r>
        <w:rPr>
          <w:rFonts w:ascii="宋体" w:hAnsi="宋体" w:eastAsia="宋体" w:cs="宋体"/>
          <w:spacing w:val="-1"/>
          <w:sz w:val="20"/>
          <w:szCs w:val="20"/>
        </w:rPr>
        <w:t>霍乱、细菌性和阿米巴性痢疾、伤寒和副伤寒以外</w:t>
      </w:r>
      <w:r>
        <w:rPr>
          <w:rFonts w:ascii="宋体" w:hAnsi="宋体" w:eastAsia="宋体" w:cs="宋体"/>
          <w:spacing w:val="-2"/>
          <w:sz w:val="20"/>
          <w:szCs w:val="20"/>
        </w:rPr>
        <w:t>的感染性腹泻病。</w:t>
      </w:r>
    </w:p>
    <w:p w14:paraId="11A550C6">
      <w:pPr>
        <w:spacing w:before="4" w:line="341" w:lineRule="auto"/>
        <w:ind w:left="649" w:right="72" w:firstLine="390"/>
        <w:jc w:val="both"/>
        <w:rPr>
          <w:rFonts w:ascii="宋体" w:hAnsi="宋体" w:eastAsia="宋体" w:cs="宋体"/>
          <w:sz w:val="20"/>
          <w:szCs w:val="20"/>
        </w:rPr>
      </w:pPr>
      <w:r>
        <w:rPr>
          <w:rFonts w:ascii="宋体" w:hAnsi="宋体" w:eastAsia="宋体" w:cs="宋体"/>
          <w:spacing w:val="4"/>
          <w:sz w:val="20"/>
          <w:szCs w:val="20"/>
        </w:rPr>
        <w:t>(2)责任报告人及报告时限：疾病预防控制机构、医疗机构和采供血机构及其执行职务的人员</w:t>
      </w:r>
      <w:r>
        <w:rPr>
          <w:rFonts w:ascii="宋体" w:hAnsi="宋体" w:eastAsia="宋体" w:cs="宋体"/>
          <w:spacing w:val="8"/>
          <w:sz w:val="20"/>
          <w:szCs w:val="20"/>
        </w:rPr>
        <w:t xml:space="preserve"> </w:t>
      </w:r>
      <w:r>
        <w:rPr>
          <w:rFonts w:ascii="宋体" w:hAnsi="宋体" w:eastAsia="宋体" w:cs="宋体"/>
          <w:spacing w:val="-3"/>
          <w:sz w:val="20"/>
          <w:szCs w:val="20"/>
        </w:rPr>
        <w:t>发现甲类传染病病人、病原携带者、疑似病人或者新发传</w:t>
      </w:r>
      <w:r>
        <w:rPr>
          <w:rFonts w:ascii="宋体" w:hAnsi="宋体" w:eastAsia="宋体" w:cs="宋体"/>
          <w:spacing w:val="-4"/>
          <w:sz w:val="20"/>
          <w:szCs w:val="20"/>
        </w:rPr>
        <w:t>染病、突发原因不明的传染病，以及其他传</w:t>
      </w:r>
      <w:r>
        <w:rPr>
          <w:rFonts w:ascii="宋体" w:hAnsi="宋体" w:eastAsia="宋体" w:cs="宋体"/>
          <w:sz w:val="20"/>
          <w:szCs w:val="20"/>
        </w:rPr>
        <w:t xml:space="preserve"> </w:t>
      </w:r>
      <w:r>
        <w:rPr>
          <w:rFonts w:ascii="宋体" w:hAnsi="宋体" w:eastAsia="宋体" w:cs="宋体"/>
          <w:spacing w:val="-1"/>
          <w:sz w:val="20"/>
          <w:szCs w:val="20"/>
        </w:rPr>
        <w:t>染病暴发、流行时，应当于2小时内进行网络直报；发现乙类传染病病人、疑似病人或者国</w:t>
      </w:r>
      <w:r>
        <w:rPr>
          <w:rFonts w:ascii="宋体" w:hAnsi="宋体" w:eastAsia="宋体" w:cs="宋体"/>
          <w:spacing w:val="-2"/>
          <w:sz w:val="20"/>
          <w:szCs w:val="20"/>
        </w:rPr>
        <w:t>务院疾病</w:t>
      </w:r>
      <w:r>
        <w:rPr>
          <w:rFonts w:ascii="宋体" w:hAnsi="宋体" w:eastAsia="宋体" w:cs="宋体"/>
          <w:sz w:val="20"/>
          <w:szCs w:val="20"/>
        </w:rPr>
        <w:t xml:space="preserve"> </w:t>
      </w:r>
      <w:r>
        <w:rPr>
          <w:rFonts w:ascii="宋体" w:hAnsi="宋体" w:eastAsia="宋体" w:cs="宋体"/>
          <w:spacing w:val="6"/>
          <w:sz w:val="20"/>
          <w:szCs w:val="20"/>
        </w:rPr>
        <w:t>预防控制部门规定需要报告的乙类传染病病原携带者时，应当于24小时内进行网络</w:t>
      </w:r>
      <w:r>
        <w:rPr>
          <w:rFonts w:ascii="宋体" w:hAnsi="宋体" w:eastAsia="宋体" w:cs="宋体"/>
          <w:spacing w:val="5"/>
          <w:sz w:val="20"/>
          <w:szCs w:val="20"/>
        </w:rPr>
        <w:t>直报；发现丙</w:t>
      </w:r>
      <w:r>
        <w:rPr>
          <w:rFonts w:ascii="宋体" w:hAnsi="宋体" w:eastAsia="宋体" w:cs="宋体"/>
          <w:sz w:val="20"/>
          <w:szCs w:val="20"/>
        </w:rPr>
        <w:t xml:space="preserve"> </w:t>
      </w:r>
      <w:r>
        <w:rPr>
          <w:rFonts w:ascii="宋体" w:hAnsi="宋体" w:eastAsia="宋体" w:cs="宋体"/>
          <w:spacing w:val="3"/>
          <w:sz w:val="20"/>
          <w:szCs w:val="20"/>
        </w:rPr>
        <w:t>类传染病病人时，应当于24小时内进行网络直报。</w:t>
      </w:r>
    </w:p>
    <w:p w14:paraId="6E4CD548">
      <w:pPr>
        <w:pStyle w:val="2"/>
        <w:spacing w:before="1" w:line="285" w:lineRule="auto"/>
        <w:ind w:left="649" w:right="91" w:firstLine="390"/>
        <w:rPr>
          <w:rFonts w:ascii="宋体" w:hAnsi="宋体" w:eastAsia="宋体" w:cs="宋体"/>
          <w:sz w:val="20"/>
          <w:szCs w:val="20"/>
        </w:rPr>
      </w:pPr>
      <w:r>
        <w:rPr>
          <w:rFonts w:ascii="宋体" w:hAnsi="宋体" w:eastAsia="宋体" w:cs="宋体"/>
          <w:sz w:val="20"/>
          <w:szCs w:val="20"/>
        </w:rPr>
        <w:t xml:space="preserve">2. </w:t>
      </w:r>
      <w:r>
        <w:rPr>
          <w:sz w:val="20"/>
          <w:szCs w:val="20"/>
        </w:rPr>
        <w:t>改善卫生条件</w:t>
      </w:r>
      <w:r>
        <w:rPr>
          <w:spacing w:val="71"/>
          <w:sz w:val="20"/>
          <w:szCs w:val="20"/>
        </w:rPr>
        <w:t xml:space="preserve"> </w:t>
      </w:r>
      <w:r>
        <w:rPr>
          <w:rFonts w:ascii="宋体" w:hAnsi="宋体" w:eastAsia="宋体" w:cs="宋体"/>
          <w:sz w:val="20"/>
          <w:szCs w:val="20"/>
        </w:rPr>
        <w:t>不断改善卫生条件，加强食品安全监管，确</w:t>
      </w:r>
      <w:r>
        <w:rPr>
          <w:rFonts w:ascii="宋体" w:hAnsi="宋体" w:eastAsia="宋体" w:cs="宋体"/>
          <w:spacing w:val="-1"/>
          <w:sz w:val="20"/>
          <w:szCs w:val="20"/>
        </w:rPr>
        <w:t>保饮用水安全，加强粪便、垃圾</w:t>
      </w:r>
      <w:r>
        <w:rPr>
          <w:rFonts w:ascii="宋体" w:hAnsi="宋体" w:eastAsia="宋体" w:cs="宋体"/>
          <w:sz w:val="20"/>
          <w:szCs w:val="20"/>
        </w:rPr>
        <w:t xml:space="preserve"> </w:t>
      </w:r>
      <w:r>
        <w:rPr>
          <w:rFonts w:ascii="宋体" w:hAnsi="宋体" w:eastAsia="宋体" w:cs="宋体"/>
          <w:spacing w:val="1"/>
          <w:sz w:val="20"/>
          <w:szCs w:val="20"/>
        </w:rPr>
        <w:t>管理和无害化处理。</w:t>
      </w:r>
    </w:p>
    <w:p w14:paraId="45A389DB">
      <w:pPr>
        <w:pStyle w:val="2"/>
        <w:spacing w:before="151" w:line="222" w:lineRule="auto"/>
        <w:ind w:left="1040"/>
        <w:rPr>
          <w:rFonts w:ascii="宋体" w:hAnsi="宋体" w:eastAsia="宋体" w:cs="宋体"/>
          <w:sz w:val="20"/>
          <w:szCs w:val="20"/>
        </w:rPr>
      </w:pPr>
      <w:r>
        <w:rPr>
          <w:rFonts w:ascii="宋体" w:hAnsi="宋体" w:eastAsia="宋体" w:cs="宋体"/>
          <w:spacing w:val="1"/>
          <w:sz w:val="20"/>
          <w:szCs w:val="20"/>
        </w:rPr>
        <w:t>3.</w:t>
      </w:r>
      <w:r>
        <w:rPr>
          <w:rFonts w:ascii="宋体" w:hAnsi="宋体" w:eastAsia="宋体" w:cs="宋体"/>
          <w:spacing w:val="-19"/>
          <w:sz w:val="20"/>
          <w:szCs w:val="20"/>
        </w:rPr>
        <w:t xml:space="preserve"> </w:t>
      </w:r>
      <w:r>
        <w:rPr>
          <w:spacing w:val="1"/>
          <w:sz w:val="20"/>
          <w:szCs w:val="20"/>
        </w:rPr>
        <w:t>健康教育</w:t>
      </w:r>
      <w:r>
        <w:rPr>
          <w:spacing w:val="96"/>
          <w:sz w:val="20"/>
          <w:szCs w:val="20"/>
        </w:rPr>
        <w:t xml:space="preserve"> </w:t>
      </w:r>
      <w:r>
        <w:rPr>
          <w:rFonts w:ascii="宋体" w:hAnsi="宋体" w:eastAsia="宋体" w:cs="宋体"/>
          <w:spacing w:val="1"/>
          <w:sz w:val="20"/>
          <w:szCs w:val="20"/>
        </w:rPr>
        <w:t>健康教育可以提升人们的健康素养，促进健康行为的养成。</w:t>
      </w:r>
    </w:p>
    <w:p w14:paraId="620288D9">
      <w:pPr>
        <w:pStyle w:val="2"/>
        <w:spacing w:before="119" w:line="311" w:lineRule="auto"/>
        <w:ind w:left="649" w:right="70" w:firstLine="390"/>
        <w:rPr>
          <w:rFonts w:ascii="宋体" w:hAnsi="宋体" w:eastAsia="宋体" w:cs="宋体"/>
          <w:sz w:val="20"/>
          <w:szCs w:val="20"/>
        </w:rPr>
      </w:pPr>
      <w:r>
        <w:rPr>
          <w:rFonts w:ascii="宋体" w:hAnsi="宋体" w:eastAsia="宋体" w:cs="宋体"/>
          <w:spacing w:val="5"/>
          <w:sz w:val="20"/>
          <w:szCs w:val="20"/>
        </w:rPr>
        <w:t xml:space="preserve">4. </w:t>
      </w:r>
      <w:r>
        <w:rPr>
          <w:spacing w:val="5"/>
          <w:sz w:val="20"/>
          <w:szCs w:val="20"/>
        </w:rPr>
        <w:t>国境卫生检疫</w:t>
      </w:r>
      <w:r>
        <w:rPr>
          <w:spacing w:val="53"/>
          <w:sz w:val="20"/>
          <w:szCs w:val="20"/>
        </w:rPr>
        <w:t xml:space="preserve"> </w:t>
      </w:r>
      <w:r>
        <w:rPr>
          <w:rFonts w:ascii="宋体" w:hAnsi="宋体" w:eastAsia="宋体" w:cs="宋体"/>
          <w:spacing w:val="5"/>
          <w:sz w:val="20"/>
          <w:szCs w:val="20"/>
        </w:rPr>
        <w:t>国境卫生检疫是为了防止传染病由国外传入和从国内传出，通过在国境口</w:t>
      </w:r>
      <w:r>
        <w:rPr>
          <w:rFonts w:ascii="宋体" w:hAnsi="宋体" w:eastAsia="宋体" w:cs="宋体"/>
          <w:sz w:val="20"/>
          <w:szCs w:val="20"/>
        </w:rPr>
        <w:t xml:space="preserve"> </w:t>
      </w:r>
      <w:r>
        <w:rPr>
          <w:rFonts w:ascii="宋体" w:hAnsi="宋体" w:eastAsia="宋体" w:cs="宋体"/>
          <w:spacing w:val="-1"/>
          <w:sz w:val="20"/>
          <w:szCs w:val="20"/>
        </w:rPr>
        <w:t>岸设</w:t>
      </w:r>
      <w:r>
        <w:rPr>
          <w:rFonts w:ascii="宋体" w:hAnsi="宋体" w:eastAsia="宋体" w:cs="宋体"/>
          <w:spacing w:val="-1"/>
          <w:sz w:val="20"/>
          <w:szCs w:val="20"/>
          <w:u w:val="single" w:color="auto"/>
        </w:rPr>
        <w:t>立卫生</w:t>
      </w:r>
      <w:r>
        <w:rPr>
          <w:rFonts w:ascii="宋体" w:hAnsi="宋体" w:eastAsia="宋体" w:cs="宋体"/>
          <w:spacing w:val="-1"/>
          <w:sz w:val="20"/>
          <w:szCs w:val="20"/>
        </w:rPr>
        <w:t>检疫机关，依照相关法律、法规.在国境口岸、关口对出入境人员、交通工具、运输设备</w:t>
      </w:r>
      <w:r>
        <w:rPr>
          <w:rFonts w:ascii="宋体" w:hAnsi="宋体" w:eastAsia="宋体" w:cs="宋体"/>
          <w:spacing w:val="12"/>
          <w:sz w:val="20"/>
          <w:szCs w:val="20"/>
        </w:rPr>
        <w:t xml:space="preserve"> </w:t>
      </w:r>
      <w:r>
        <w:rPr>
          <w:rFonts w:ascii="宋体" w:hAnsi="宋体" w:eastAsia="宋体" w:cs="宋体"/>
          <w:spacing w:val="-4"/>
          <w:sz w:val="20"/>
          <w:szCs w:val="20"/>
        </w:rPr>
        <w:t>以及可能传播传染病的行李、货物、邮包等物品实</w:t>
      </w:r>
      <w:r>
        <w:rPr>
          <w:rFonts w:ascii="宋体" w:hAnsi="宋体" w:eastAsia="宋体" w:cs="宋体"/>
          <w:spacing w:val="-4"/>
          <w:sz w:val="20"/>
          <w:szCs w:val="20"/>
          <w:u w:val="single" w:color="auto"/>
        </w:rPr>
        <w:t>施卫生检疫查</w:t>
      </w:r>
      <w:r>
        <w:rPr>
          <w:rFonts w:ascii="宋体" w:hAnsi="宋体" w:eastAsia="宋体" w:cs="宋体"/>
          <w:spacing w:val="-4"/>
          <w:sz w:val="20"/>
          <w:szCs w:val="20"/>
        </w:rPr>
        <w:t>验、疾病监测、</w:t>
      </w:r>
      <w:r>
        <w:rPr>
          <w:rFonts w:ascii="宋体" w:hAnsi="宋体" w:eastAsia="宋体" w:cs="宋体"/>
          <w:spacing w:val="-4"/>
          <w:sz w:val="20"/>
          <w:szCs w:val="20"/>
          <w:u w:val="single" w:color="auto"/>
        </w:rPr>
        <w:t>卫生监</w:t>
      </w:r>
      <w:r>
        <w:rPr>
          <w:rFonts w:ascii="宋体" w:hAnsi="宋体" w:eastAsia="宋体" w:cs="宋体"/>
          <w:spacing w:val="-5"/>
          <w:sz w:val="20"/>
          <w:szCs w:val="20"/>
          <w:u w:val="single" w:color="auto"/>
        </w:rPr>
        <w:t>督</w:t>
      </w:r>
      <w:r>
        <w:rPr>
          <w:rFonts w:ascii="宋体" w:hAnsi="宋体" w:eastAsia="宋体" w:cs="宋体"/>
          <w:spacing w:val="-5"/>
          <w:sz w:val="20"/>
          <w:szCs w:val="20"/>
        </w:rPr>
        <w:t>和</w:t>
      </w:r>
      <w:r>
        <w:rPr>
          <w:rFonts w:ascii="宋体" w:hAnsi="宋体" w:eastAsia="宋体" w:cs="宋体"/>
          <w:spacing w:val="-91"/>
          <w:sz w:val="20"/>
          <w:szCs w:val="20"/>
        </w:rPr>
        <w:t xml:space="preserve"> </w:t>
      </w:r>
      <w:r>
        <w:rPr>
          <w:rFonts w:ascii="宋体" w:hAnsi="宋体" w:eastAsia="宋体" w:cs="宋体"/>
          <w:spacing w:val="-90"/>
          <w:sz w:val="20"/>
          <w:szCs w:val="20"/>
          <w:u w:val="single" w:color="auto"/>
        </w:rPr>
        <w:t xml:space="preserve"> </w:t>
      </w:r>
      <w:r>
        <w:rPr>
          <w:rFonts w:ascii="宋体" w:hAnsi="宋体" w:eastAsia="宋体" w:cs="宋体"/>
          <w:spacing w:val="-5"/>
          <w:sz w:val="20"/>
          <w:szCs w:val="20"/>
          <w:u w:val="single" w:color="auto"/>
        </w:rPr>
        <w:t>卫生</w:t>
      </w:r>
      <w:r>
        <w:rPr>
          <w:rFonts w:ascii="宋体" w:hAnsi="宋体" w:eastAsia="宋体" w:cs="宋体"/>
          <w:spacing w:val="-5"/>
          <w:sz w:val="20"/>
          <w:szCs w:val="20"/>
        </w:rPr>
        <w:t>处理</w:t>
      </w:r>
      <w:r>
        <w:rPr>
          <w:rFonts w:ascii="宋体" w:hAnsi="宋体" w:eastAsia="宋体" w:cs="宋体"/>
          <w:sz w:val="20"/>
          <w:szCs w:val="20"/>
        </w:rPr>
        <w:t xml:space="preserve"> </w:t>
      </w:r>
      <w:r>
        <w:rPr>
          <w:rFonts w:ascii="宋体" w:hAnsi="宋体" w:eastAsia="宋体" w:cs="宋体"/>
          <w:spacing w:val="1"/>
          <w:sz w:val="20"/>
          <w:szCs w:val="20"/>
        </w:rPr>
        <w:t>的卫生行政执法行为，是传染病全球化控制</w:t>
      </w:r>
      <w:r>
        <w:rPr>
          <w:rFonts w:ascii="宋体" w:hAnsi="宋体" w:eastAsia="宋体" w:cs="宋体"/>
          <w:sz w:val="20"/>
          <w:szCs w:val="20"/>
        </w:rPr>
        <w:t>的重要措施。</w:t>
      </w:r>
    </w:p>
    <w:p w14:paraId="54DFA381">
      <w:pPr>
        <w:pStyle w:val="2"/>
        <w:spacing w:before="152" w:line="286" w:lineRule="auto"/>
        <w:ind w:left="649" w:right="92" w:firstLine="390"/>
        <w:rPr>
          <w:rFonts w:ascii="宋体" w:hAnsi="宋体" w:eastAsia="宋体" w:cs="宋体"/>
          <w:sz w:val="20"/>
          <w:szCs w:val="20"/>
        </w:rPr>
      </w:pPr>
      <w:r>
        <w:rPr>
          <w:rFonts w:ascii="宋体" w:hAnsi="宋体" w:eastAsia="宋体" w:cs="宋体"/>
          <w:spacing w:val="4"/>
          <w:sz w:val="20"/>
          <w:szCs w:val="20"/>
        </w:rPr>
        <w:t xml:space="preserve">5. </w:t>
      </w:r>
      <w:r>
        <w:rPr>
          <w:spacing w:val="4"/>
          <w:sz w:val="20"/>
          <w:szCs w:val="20"/>
        </w:rPr>
        <w:t>预防接种</w:t>
      </w:r>
      <w:r>
        <w:rPr>
          <w:spacing w:val="97"/>
          <w:sz w:val="20"/>
          <w:szCs w:val="20"/>
        </w:rPr>
        <w:t xml:space="preserve"> </w:t>
      </w:r>
      <w:r>
        <w:rPr>
          <w:rFonts w:ascii="宋体" w:hAnsi="宋体" w:eastAsia="宋体" w:cs="宋体"/>
          <w:spacing w:val="4"/>
          <w:sz w:val="20"/>
          <w:szCs w:val="20"/>
        </w:rPr>
        <w:t>预防接种是经常性防制措施的重要内容，可使人体产生对某种传染</w:t>
      </w:r>
      <w:r>
        <w:rPr>
          <w:rFonts w:ascii="宋体" w:hAnsi="宋体" w:eastAsia="宋体" w:cs="宋体"/>
          <w:spacing w:val="3"/>
          <w:sz w:val="20"/>
          <w:szCs w:val="20"/>
        </w:rPr>
        <w:t>病的特异性</w:t>
      </w:r>
      <w:r>
        <w:rPr>
          <w:rFonts w:ascii="宋体" w:hAnsi="宋体" w:eastAsia="宋体" w:cs="宋体"/>
          <w:sz w:val="20"/>
          <w:szCs w:val="20"/>
        </w:rPr>
        <w:t xml:space="preserve"> </w:t>
      </w:r>
      <w:r>
        <w:rPr>
          <w:rFonts w:ascii="宋体" w:hAnsi="宋体" w:eastAsia="宋体" w:cs="宋体"/>
          <w:spacing w:val="-2"/>
          <w:sz w:val="20"/>
          <w:szCs w:val="20"/>
        </w:rPr>
        <w:t>免疫力，主动提高易感人群免疫水平。</w:t>
      </w:r>
    </w:p>
    <w:p w14:paraId="02D8570A">
      <w:pPr>
        <w:pStyle w:val="2"/>
        <w:spacing w:before="128" w:line="221" w:lineRule="auto"/>
        <w:ind w:left="1042"/>
        <w:rPr>
          <w:sz w:val="20"/>
          <w:szCs w:val="20"/>
        </w:rPr>
      </w:pPr>
      <w:r>
        <w:rPr>
          <w:b/>
          <w:bCs/>
          <w:spacing w:val="21"/>
          <w:sz w:val="20"/>
          <w:szCs w:val="20"/>
        </w:rPr>
        <w:t>(二)针对传染源的措施</w:t>
      </w:r>
    </w:p>
    <w:p w14:paraId="3BA2017E">
      <w:pPr>
        <w:spacing w:before="144" w:line="219" w:lineRule="auto"/>
        <w:ind w:left="1040"/>
        <w:rPr>
          <w:rFonts w:ascii="宋体" w:hAnsi="宋体" w:eastAsia="宋体" w:cs="宋体"/>
          <w:sz w:val="20"/>
          <w:szCs w:val="20"/>
        </w:rPr>
      </w:pPr>
      <w:r>
        <w:rPr>
          <w:rFonts w:ascii="宋体" w:hAnsi="宋体" w:eastAsia="宋体" w:cs="宋体"/>
          <w:spacing w:val="1"/>
          <w:sz w:val="20"/>
          <w:szCs w:val="20"/>
        </w:rPr>
        <w:t>针对传染源的措施主要是控制传染源，消除或减少其传播作用。</w:t>
      </w:r>
    </w:p>
    <w:p w14:paraId="14D8B975">
      <w:pPr>
        <w:pStyle w:val="2"/>
        <w:spacing w:before="144" w:line="321" w:lineRule="auto"/>
        <w:ind w:left="649" w:right="50" w:firstLine="392"/>
        <w:rPr>
          <w:rFonts w:ascii="宋体" w:hAnsi="宋体" w:eastAsia="宋体" w:cs="宋体"/>
          <w:sz w:val="20"/>
          <w:szCs w:val="20"/>
        </w:rPr>
      </w:pPr>
      <w:r>
        <w:rPr>
          <w:rFonts w:ascii="宋体" w:hAnsi="宋体" w:eastAsia="宋体" w:cs="宋体"/>
          <w:b/>
          <w:bCs/>
          <w:spacing w:val="1"/>
          <w:sz w:val="20"/>
          <w:szCs w:val="20"/>
        </w:rPr>
        <w:t>1.</w:t>
      </w:r>
      <w:r>
        <w:rPr>
          <w:rFonts w:ascii="宋体" w:hAnsi="宋体" w:eastAsia="宋体" w:cs="宋体"/>
          <w:spacing w:val="1"/>
          <w:sz w:val="20"/>
          <w:szCs w:val="20"/>
        </w:rPr>
        <w:t xml:space="preserve"> </w:t>
      </w:r>
      <w:r>
        <w:rPr>
          <w:b/>
          <w:bCs/>
          <w:spacing w:val="1"/>
          <w:sz w:val="20"/>
          <w:szCs w:val="20"/>
        </w:rPr>
        <w:t>对病人的措施</w:t>
      </w:r>
      <w:r>
        <w:rPr>
          <w:spacing w:val="1"/>
          <w:sz w:val="20"/>
          <w:szCs w:val="20"/>
        </w:rPr>
        <w:t xml:space="preserve"> </w:t>
      </w:r>
      <w:r>
        <w:rPr>
          <w:rFonts w:ascii="宋体" w:hAnsi="宋体" w:eastAsia="宋体" w:cs="宋体"/>
          <w:spacing w:val="1"/>
          <w:sz w:val="20"/>
          <w:szCs w:val="20"/>
        </w:rPr>
        <w:t>做到早发现、早诊断、早报告、早隔离、早</w:t>
      </w:r>
      <w:r>
        <w:rPr>
          <w:rFonts w:ascii="宋体" w:hAnsi="宋体" w:eastAsia="宋体" w:cs="宋体"/>
          <w:sz w:val="20"/>
          <w:szCs w:val="20"/>
        </w:rPr>
        <w:t xml:space="preserve">治疗。早期发现和诊断有利于病 </w:t>
      </w:r>
      <w:r>
        <w:rPr>
          <w:rFonts w:ascii="宋体" w:hAnsi="宋体" w:eastAsia="宋体" w:cs="宋体"/>
          <w:spacing w:val="2"/>
          <w:sz w:val="20"/>
          <w:szCs w:val="20"/>
        </w:rPr>
        <w:t>人及时接受治疗，有效控制传染源，阻断疾病的传播；及时准确地报告</w:t>
      </w:r>
      <w:r>
        <w:rPr>
          <w:rFonts w:ascii="宋体" w:hAnsi="宋体" w:eastAsia="宋体" w:cs="宋体"/>
          <w:spacing w:val="1"/>
          <w:sz w:val="20"/>
          <w:szCs w:val="20"/>
        </w:rPr>
        <w:t>传染病为正确研判疫情趋势</w:t>
      </w:r>
      <w:r>
        <w:rPr>
          <w:rFonts w:ascii="宋体" w:hAnsi="宋体" w:eastAsia="宋体" w:cs="宋体"/>
          <w:sz w:val="20"/>
          <w:szCs w:val="20"/>
        </w:rPr>
        <w:t xml:space="preserve"> </w:t>
      </w:r>
      <w:r>
        <w:rPr>
          <w:rFonts w:ascii="宋体" w:hAnsi="宋体" w:eastAsia="宋体" w:cs="宋体"/>
          <w:spacing w:val="2"/>
          <w:sz w:val="20"/>
          <w:szCs w:val="20"/>
        </w:rPr>
        <w:t>和制定传染病防控策略与措施提供科学依据；隔离病人</w:t>
      </w:r>
      <w:r>
        <w:rPr>
          <w:rFonts w:ascii="宋体" w:hAnsi="宋体" w:eastAsia="宋体" w:cs="宋体"/>
          <w:spacing w:val="1"/>
          <w:sz w:val="20"/>
          <w:szCs w:val="20"/>
        </w:rPr>
        <w:t>是将其与周围易感者分隔开来，传染病病人</w:t>
      </w:r>
      <w:r>
        <w:rPr>
          <w:rFonts w:ascii="宋体" w:hAnsi="宋体" w:eastAsia="宋体" w:cs="宋体"/>
          <w:sz w:val="20"/>
          <w:szCs w:val="20"/>
        </w:rPr>
        <w:t xml:space="preserve"> </w:t>
      </w:r>
      <w:r>
        <w:rPr>
          <w:rFonts w:ascii="宋体" w:hAnsi="宋体" w:eastAsia="宋体" w:cs="宋体"/>
          <w:spacing w:val="2"/>
          <w:sz w:val="20"/>
          <w:szCs w:val="20"/>
        </w:rPr>
        <w:t>或疑似病人一经发现要立即实行分级管理，减少或消除病原体扩散；治疗病人有助于减弱其作为传 染源的作用，防止传染病在人群中的传播蔓延。对甲类传染病病人予以隔离治疗、医学观察</w:t>
      </w:r>
      <w:r>
        <w:rPr>
          <w:rFonts w:ascii="宋体" w:hAnsi="宋体" w:eastAsia="宋体" w:cs="宋体"/>
          <w:spacing w:val="1"/>
          <w:sz w:val="20"/>
          <w:szCs w:val="20"/>
        </w:rPr>
        <w:t>；对甲</w:t>
      </w:r>
      <w:r>
        <w:rPr>
          <w:rFonts w:ascii="宋体" w:hAnsi="宋体" w:eastAsia="宋体" w:cs="宋体"/>
          <w:sz w:val="20"/>
          <w:szCs w:val="20"/>
        </w:rPr>
        <w:t xml:space="preserve"> </w:t>
      </w:r>
      <w:r>
        <w:rPr>
          <w:rFonts w:ascii="宋体" w:hAnsi="宋体" w:eastAsia="宋体" w:cs="宋体"/>
          <w:spacing w:val="1"/>
          <w:sz w:val="20"/>
          <w:szCs w:val="20"/>
        </w:rPr>
        <w:t>类传染病疑似病人，确诊前单独隔离治疗。</w:t>
      </w:r>
    </w:p>
    <w:p w14:paraId="05AAEDEA">
      <w:pPr>
        <w:pStyle w:val="2"/>
        <w:spacing w:before="141" w:line="286" w:lineRule="auto"/>
        <w:ind w:left="649" w:right="51" w:firstLine="392"/>
        <w:rPr>
          <w:rFonts w:ascii="Times New Roman" w:hAnsi="Times New Roman" w:eastAsia="Times New Roman" w:cs="Times New Roman"/>
          <w:sz w:val="20"/>
          <w:szCs w:val="20"/>
        </w:rPr>
      </w:pPr>
      <w:r>
        <w:rPr>
          <w:rFonts w:ascii="宋体" w:hAnsi="宋体" w:eastAsia="宋体" w:cs="宋体"/>
          <w:b/>
          <w:bCs/>
          <w:spacing w:val="4"/>
          <w:sz w:val="20"/>
          <w:szCs w:val="20"/>
        </w:rPr>
        <w:t>2.</w:t>
      </w:r>
      <w:r>
        <w:rPr>
          <w:rFonts w:ascii="宋体" w:hAnsi="宋体" w:eastAsia="宋体" w:cs="宋体"/>
          <w:spacing w:val="4"/>
          <w:sz w:val="20"/>
          <w:szCs w:val="20"/>
        </w:rPr>
        <w:t xml:space="preserve"> </w:t>
      </w:r>
      <w:r>
        <w:rPr>
          <w:b/>
          <w:bCs/>
          <w:spacing w:val="4"/>
          <w:sz w:val="20"/>
          <w:szCs w:val="20"/>
        </w:rPr>
        <w:t>对病原携带者的措施</w:t>
      </w:r>
      <w:r>
        <w:rPr>
          <w:spacing w:val="4"/>
          <w:sz w:val="20"/>
          <w:szCs w:val="20"/>
        </w:rPr>
        <w:t xml:space="preserve">  </w:t>
      </w:r>
      <w:r>
        <w:rPr>
          <w:rFonts w:ascii="宋体" w:hAnsi="宋体" w:eastAsia="宋体" w:cs="宋体"/>
          <w:spacing w:val="4"/>
          <w:sz w:val="20"/>
          <w:szCs w:val="20"/>
        </w:rPr>
        <w:t>对甲类传染病病原携带者，予以隔离治疗、医学观察。对部分传染</w:t>
      </w:r>
      <w:r>
        <w:rPr>
          <w:rFonts w:ascii="宋体" w:hAnsi="宋体" w:eastAsia="宋体" w:cs="宋体"/>
          <w:sz w:val="20"/>
          <w:szCs w:val="20"/>
        </w:rPr>
        <w:t xml:space="preserve"> </w:t>
      </w:r>
      <w:r>
        <w:rPr>
          <w:rFonts w:ascii="宋体" w:hAnsi="宋体" w:eastAsia="宋体" w:cs="宋体"/>
          <w:spacing w:val="3"/>
          <w:sz w:val="20"/>
          <w:szCs w:val="20"/>
        </w:rPr>
        <w:t>病病原携带者的职业和行为进行限制，如伤寒或细菌性痢疾的病原携带者不</w:t>
      </w:r>
      <w:r>
        <w:rPr>
          <w:rFonts w:ascii="宋体" w:hAnsi="宋体" w:eastAsia="宋体" w:cs="宋体"/>
          <w:spacing w:val="2"/>
          <w:sz w:val="20"/>
          <w:szCs w:val="20"/>
        </w:rPr>
        <w:t>得从事饮食行业，</w:t>
      </w:r>
      <w:r>
        <w:rPr>
          <w:rFonts w:ascii="Times New Roman" w:hAnsi="Times New Roman" w:eastAsia="Times New Roman" w:cs="Times New Roman"/>
          <w:sz w:val="20"/>
          <w:szCs w:val="20"/>
        </w:rPr>
        <w:t>HIV</w:t>
      </w:r>
    </w:p>
    <w:p w14:paraId="49564DA8">
      <w:pPr>
        <w:spacing w:line="286" w:lineRule="auto"/>
        <w:rPr>
          <w:rFonts w:ascii="Times New Roman" w:hAnsi="Times New Roman" w:eastAsia="Times New Roman" w:cs="Times New Roman"/>
          <w:sz w:val="20"/>
          <w:szCs w:val="20"/>
        </w:rPr>
        <w:sectPr>
          <w:footerReference r:id="rId213" w:type="default"/>
          <w:pgSz w:w="11900" w:h="16820"/>
          <w:pgMar w:top="400" w:right="1580" w:bottom="819" w:left="929" w:header="0" w:footer="639" w:gutter="0"/>
          <w:cols w:space="720" w:num="1"/>
        </w:sectPr>
      </w:pPr>
    </w:p>
    <w:p w14:paraId="3869737B">
      <w:pPr>
        <w:pStyle w:val="2"/>
        <w:spacing w:before="236" w:line="221" w:lineRule="auto"/>
        <w:ind w:left="6969"/>
        <w:rPr>
          <w:sz w:val="21"/>
          <w:szCs w:val="21"/>
        </w:rPr>
      </w:pPr>
      <w:r>
        <w:rPr>
          <w:spacing w:val="-20"/>
          <w:w w:val="95"/>
          <w:sz w:val="21"/>
          <w:szCs w:val="21"/>
        </w:rPr>
        <w:t>第十一章 传染病流行病学</w:t>
      </w:r>
    </w:p>
    <w:p w14:paraId="190BD8B4">
      <w:pPr>
        <w:spacing w:line="274" w:lineRule="auto"/>
        <w:rPr>
          <w:rFonts w:ascii="Arial"/>
          <w:sz w:val="21"/>
        </w:rPr>
      </w:pPr>
    </w:p>
    <w:p w14:paraId="5FF107C1">
      <w:pPr>
        <w:spacing w:line="274" w:lineRule="auto"/>
        <w:rPr>
          <w:rFonts w:ascii="Arial"/>
          <w:sz w:val="21"/>
        </w:rPr>
      </w:pPr>
    </w:p>
    <w:p w14:paraId="7D19A7EE">
      <w:pPr>
        <w:spacing w:before="69" w:line="219" w:lineRule="auto"/>
        <w:rPr>
          <w:rFonts w:ascii="宋体" w:hAnsi="宋体" w:eastAsia="宋体" w:cs="宋体"/>
          <w:sz w:val="21"/>
          <w:szCs w:val="21"/>
        </w:rPr>
      </w:pPr>
      <w:r>
        <w:rPr>
          <w:rFonts w:ascii="宋体" w:hAnsi="宋体" w:eastAsia="宋体" w:cs="宋体"/>
          <w:spacing w:val="2"/>
          <w:sz w:val="21"/>
          <w:szCs w:val="21"/>
        </w:rPr>
        <w:t>和乙型或丙型肝炎病毒病原携带者不能献血。</w:t>
      </w:r>
    </w:p>
    <w:p w14:paraId="256A02BB">
      <w:pPr>
        <w:pStyle w:val="2"/>
        <w:spacing w:before="121" w:line="301" w:lineRule="auto"/>
        <w:ind w:right="555" w:firstLine="429"/>
        <w:rPr>
          <w:rFonts w:ascii="宋体" w:hAnsi="宋体" w:eastAsia="宋体" w:cs="宋体"/>
          <w:sz w:val="21"/>
          <w:szCs w:val="21"/>
        </w:rPr>
      </w:pPr>
      <w:r>
        <w:rPr>
          <w:rFonts w:ascii="宋体" w:hAnsi="宋体" w:eastAsia="宋体" w:cs="宋体"/>
          <w:spacing w:val="4"/>
          <w:sz w:val="21"/>
          <w:szCs w:val="21"/>
        </w:rPr>
        <w:t xml:space="preserve">3. </w:t>
      </w:r>
      <w:r>
        <w:rPr>
          <w:spacing w:val="4"/>
          <w:sz w:val="21"/>
          <w:szCs w:val="21"/>
        </w:rPr>
        <w:t xml:space="preserve">对接触者的措施  </w:t>
      </w:r>
      <w:r>
        <w:rPr>
          <w:rFonts w:ascii="宋体" w:hAnsi="宋体" w:eastAsia="宋体" w:cs="宋体"/>
          <w:spacing w:val="4"/>
          <w:sz w:val="21"/>
          <w:szCs w:val="21"/>
        </w:rPr>
        <w:t>根据法律法规和传染病防控需要，对与</w:t>
      </w:r>
      <w:r>
        <w:rPr>
          <w:rFonts w:ascii="宋体" w:hAnsi="宋体" w:eastAsia="宋体" w:cs="宋体"/>
          <w:spacing w:val="3"/>
          <w:sz w:val="21"/>
          <w:szCs w:val="21"/>
        </w:rPr>
        <w:t>传染源有过接触且可能感染者，</w:t>
      </w:r>
      <w:r>
        <w:rPr>
          <w:rFonts w:ascii="宋体" w:hAnsi="宋体" w:eastAsia="宋体" w:cs="宋体"/>
          <w:sz w:val="21"/>
          <w:szCs w:val="21"/>
        </w:rPr>
        <w:t xml:space="preserve"> </w:t>
      </w:r>
      <w:r>
        <w:rPr>
          <w:rFonts w:ascii="宋体" w:hAnsi="宋体" w:eastAsia="宋体" w:cs="宋体"/>
          <w:spacing w:val="-5"/>
          <w:sz w:val="21"/>
          <w:szCs w:val="21"/>
        </w:rPr>
        <w:t>必要时采取医学观察、予以应急接种、药物预防</w:t>
      </w:r>
      <w:r>
        <w:rPr>
          <w:rFonts w:ascii="宋体" w:hAnsi="宋体" w:eastAsia="宋体" w:cs="宋体"/>
          <w:spacing w:val="-6"/>
          <w:sz w:val="21"/>
          <w:szCs w:val="21"/>
        </w:rPr>
        <w:t>等措施。对甲类传染病病人、病原携带者、疑似病人</w:t>
      </w:r>
      <w:r>
        <w:rPr>
          <w:rFonts w:ascii="宋体" w:hAnsi="宋体" w:eastAsia="宋体" w:cs="宋体"/>
          <w:sz w:val="21"/>
          <w:szCs w:val="21"/>
        </w:rPr>
        <w:t xml:space="preserve">  </w:t>
      </w:r>
      <w:r>
        <w:rPr>
          <w:rFonts w:ascii="宋体" w:hAnsi="宋体" w:eastAsia="宋体" w:cs="宋体"/>
          <w:spacing w:val="-4"/>
          <w:sz w:val="21"/>
          <w:szCs w:val="21"/>
        </w:rPr>
        <w:t>的密切接触者，予以医学观察，并采取其他必要的预防措施。</w:t>
      </w:r>
    </w:p>
    <w:p w14:paraId="4CEBB0A0">
      <w:pPr>
        <w:pStyle w:val="2"/>
        <w:spacing w:before="90" w:line="273" w:lineRule="auto"/>
        <w:ind w:right="555" w:firstLine="429"/>
        <w:rPr>
          <w:rFonts w:ascii="宋体" w:hAnsi="宋体" w:eastAsia="宋体" w:cs="宋体"/>
          <w:sz w:val="21"/>
          <w:szCs w:val="21"/>
        </w:rPr>
      </w:pPr>
      <w:r>
        <w:rPr>
          <w:rFonts w:ascii="宋体" w:hAnsi="宋体" w:eastAsia="宋体" w:cs="宋体"/>
          <w:spacing w:val="4"/>
          <w:sz w:val="21"/>
          <w:szCs w:val="21"/>
        </w:rPr>
        <w:t xml:space="preserve">4. </w:t>
      </w:r>
      <w:r>
        <w:rPr>
          <w:spacing w:val="4"/>
          <w:sz w:val="21"/>
          <w:szCs w:val="21"/>
        </w:rPr>
        <w:t>对动物传染源的措施</w:t>
      </w:r>
      <w:r>
        <w:rPr>
          <w:spacing w:val="99"/>
          <w:sz w:val="21"/>
          <w:szCs w:val="21"/>
        </w:rPr>
        <w:t xml:space="preserve"> </w:t>
      </w:r>
      <w:r>
        <w:rPr>
          <w:rFonts w:ascii="宋体" w:hAnsi="宋体" w:eastAsia="宋体" w:cs="宋体"/>
          <w:spacing w:val="4"/>
          <w:sz w:val="21"/>
          <w:szCs w:val="21"/>
        </w:rPr>
        <w:t>视动物传染源对人类的危害程度和经济价值，可采取无害化处理、</w:t>
      </w:r>
      <w:r>
        <w:rPr>
          <w:rFonts w:ascii="宋体" w:hAnsi="宋体" w:eastAsia="宋体" w:cs="宋体"/>
          <w:sz w:val="21"/>
          <w:szCs w:val="21"/>
        </w:rPr>
        <w:t xml:space="preserve"> </w:t>
      </w:r>
      <w:r>
        <w:rPr>
          <w:rFonts w:ascii="宋体" w:hAnsi="宋体" w:eastAsia="宋体" w:cs="宋体"/>
          <w:spacing w:val="-5"/>
          <w:sz w:val="21"/>
          <w:szCs w:val="21"/>
        </w:rPr>
        <w:t>填埋、预防接种、检疫等不同处理措施。</w:t>
      </w:r>
    </w:p>
    <w:p w14:paraId="061BBD65">
      <w:pPr>
        <w:pStyle w:val="2"/>
        <w:spacing w:before="116" w:line="222" w:lineRule="auto"/>
        <w:ind w:left="433"/>
        <w:rPr>
          <w:sz w:val="24"/>
          <w:szCs w:val="24"/>
        </w:rPr>
      </w:pPr>
      <w:r>
        <w:rPr>
          <w:b/>
          <w:bCs/>
          <w:spacing w:val="-9"/>
          <w:sz w:val="24"/>
          <w:szCs w:val="24"/>
        </w:rPr>
        <w:t>(三)针对传播途径的措施</w:t>
      </w:r>
    </w:p>
    <w:p w14:paraId="2405980A">
      <w:pPr>
        <w:spacing w:before="74" w:line="336" w:lineRule="auto"/>
        <w:ind w:right="555" w:firstLine="429"/>
        <w:jc w:val="both"/>
        <w:rPr>
          <w:rFonts w:ascii="宋体" w:hAnsi="宋体" w:eastAsia="宋体" w:cs="宋体"/>
          <w:sz w:val="21"/>
          <w:szCs w:val="21"/>
        </w:rPr>
      </w:pPr>
      <w:r>
        <w:rPr>
          <w:rFonts w:ascii="宋体" w:hAnsi="宋体" w:eastAsia="宋体" w:cs="宋体"/>
          <w:spacing w:val="1"/>
          <w:sz w:val="21"/>
          <w:szCs w:val="21"/>
        </w:rPr>
        <w:t>针对传播途径的措施主要是切断传播途径。不同传染病因传播途径不同，需采取针对性措施，</w:t>
      </w:r>
      <w:r>
        <w:rPr>
          <w:rFonts w:ascii="宋体" w:hAnsi="宋体" w:eastAsia="宋体" w:cs="宋体"/>
          <w:spacing w:val="13"/>
          <w:sz w:val="21"/>
          <w:szCs w:val="21"/>
        </w:rPr>
        <w:t xml:space="preserve"> </w:t>
      </w:r>
      <w:r>
        <w:rPr>
          <w:rFonts w:ascii="宋体" w:hAnsi="宋体" w:eastAsia="宋体" w:cs="宋体"/>
          <w:spacing w:val="-1"/>
          <w:sz w:val="21"/>
          <w:szCs w:val="21"/>
        </w:rPr>
        <w:t>重点是消除或减少传染源排出的病原体接触并感染易感者的可能。主要措施是用化学、物理、生物</w:t>
      </w:r>
      <w:r>
        <w:rPr>
          <w:rFonts w:ascii="宋体" w:hAnsi="宋体" w:eastAsia="宋体" w:cs="宋体"/>
          <w:spacing w:val="6"/>
          <w:sz w:val="21"/>
          <w:szCs w:val="21"/>
        </w:rPr>
        <w:t xml:space="preserve">  </w:t>
      </w:r>
      <w:r>
        <w:rPr>
          <w:rFonts w:ascii="宋体" w:hAnsi="宋体" w:eastAsia="宋体" w:cs="宋体"/>
          <w:spacing w:val="2"/>
          <w:sz w:val="21"/>
          <w:szCs w:val="21"/>
        </w:rPr>
        <w:t>等方法杀灭或消除外界环境中的致病性微生物和节肢动物。</w:t>
      </w:r>
    </w:p>
    <w:p w14:paraId="3BB31FA0">
      <w:pPr>
        <w:pStyle w:val="2"/>
        <w:spacing w:before="3" w:line="221" w:lineRule="auto"/>
        <w:ind w:left="429"/>
        <w:rPr>
          <w:sz w:val="21"/>
          <w:szCs w:val="21"/>
        </w:rPr>
      </w:pPr>
      <w:r>
        <w:rPr>
          <w:spacing w:val="24"/>
          <w:sz w:val="21"/>
          <w:szCs w:val="21"/>
        </w:rPr>
        <w:t>(四)针对易感人群的措施</w:t>
      </w:r>
    </w:p>
    <w:p w14:paraId="6D3A0EEC">
      <w:pPr>
        <w:pStyle w:val="2"/>
        <w:spacing w:before="89" w:line="272" w:lineRule="auto"/>
        <w:ind w:right="672" w:firstLine="429"/>
        <w:rPr>
          <w:rFonts w:ascii="宋体" w:hAnsi="宋体" w:eastAsia="宋体" w:cs="宋体"/>
          <w:sz w:val="21"/>
          <w:szCs w:val="21"/>
        </w:rPr>
      </w:pPr>
      <w:r>
        <w:rPr>
          <w:rFonts w:ascii="宋体" w:hAnsi="宋体" w:eastAsia="宋体" w:cs="宋体"/>
          <w:spacing w:val="7"/>
          <w:sz w:val="21"/>
          <w:szCs w:val="21"/>
        </w:rPr>
        <w:t xml:space="preserve">1. </w:t>
      </w:r>
      <w:r>
        <w:rPr>
          <w:spacing w:val="7"/>
          <w:sz w:val="21"/>
          <w:szCs w:val="21"/>
        </w:rPr>
        <w:t>预防接种</w:t>
      </w:r>
      <w:r>
        <w:rPr>
          <w:spacing w:val="92"/>
          <w:sz w:val="21"/>
          <w:szCs w:val="21"/>
        </w:rPr>
        <w:t xml:space="preserve"> </w:t>
      </w:r>
      <w:r>
        <w:rPr>
          <w:rFonts w:ascii="宋体" w:hAnsi="宋体" w:eastAsia="宋体" w:cs="宋体"/>
          <w:spacing w:val="7"/>
          <w:sz w:val="21"/>
          <w:szCs w:val="21"/>
        </w:rPr>
        <w:t>应在传染病暴发流行的间歇期或早期尽快</w:t>
      </w:r>
      <w:r>
        <w:rPr>
          <w:rFonts w:ascii="宋体" w:hAnsi="宋体" w:eastAsia="宋体" w:cs="宋体"/>
          <w:spacing w:val="6"/>
          <w:sz w:val="21"/>
          <w:szCs w:val="21"/>
        </w:rPr>
        <w:t>实施。在暴发流行期间组织预防接</w:t>
      </w:r>
      <w:r>
        <w:rPr>
          <w:rFonts w:ascii="宋体" w:hAnsi="宋体" w:eastAsia="宋体" w:cs="宋体"/>
          <w:sz w:val="21"/>
          <w:szCs w:val="21"/>
        </w:rPr>
        <w:t xml:space="preserve"> </w:t>
      </w:r>
      <w:r>
        <w:rPr>
          <w:rFonts w:ascii="宋体" w:hAnsi="宋体" w:eastAsia="宋体" w:cs="宋体"/>
          <w:spacing w:val="-1"/>
          <w:sz w:val="21"/>
          <w:szCs w:val="21"/>
        </w:rPr>
        <w:t>种，需要采取有效措施减少聚集引发的加速传播风险。</w:t>
      </w:r>
    </w:p>
    <w:p w14:paraId="0E4584DD">
      <w:pPr>
        <w:pStyle w:val="2"/>
        <w:spacing w:before="121" w:line="273" w:lineRule="auto"/>
        <w:ind w:right="650" w:firstLine="429"/>
        <w:rPr>
          <w:rFonts w:ascii="宋体" w:hAnsi="宋体" w:eastAsia="宋体" w:cs="宋体"/>
          <w:sz w:val="21"/>
          <w:szCs w:val="21"/>
        </w:rPr>
      </w:pPr>
      <w:r>
        <w:rPr>
          <w:rFonts w:ascii="宋体" w:hAnsi="宋体" w:eastAsia="宋体" w:cs="宋体"/>
          <w:spacing w:val="2"/>
          <w:sz w:val="21"/>
          <w:szCs w:val="21"/>
        </w:rPr>
        <w:t xml:space="preserve">2. </w:t>
      </w:r>
      <w:r>
        <w:rPr>
          <w:spacing w:val="2"/>
          <w:sz w:val="21"/>
          <w:szCs w:val="21"/>
        </w:rPr>
        <w:t>药物预防</w:t>
      </w:r>
      <w:r>
        <w:rPr>
          <w:spacing w:val="87"/>
          <w:sz w:val="21"/>
          <w:szCs w:val="21"/>
        </w:rPr>
        <w:t xml:space="preserve"> </w:t>
      </w:r>
      <w:r>
        <w:rPr>
          <w:rFonts w:ascii="宋体" w:hAnsi="宋体" w:eastAsia="宋体" w:cs="宋体"/>
          <w:spacing w:val="2"/>
          <w:sz w:val="21"/>
          <w:szCs w:val="21"/>
        </w:rPr>
        <w:t>对某些有特效药物的传染病，流行时可采取药物预防，如疟疾流行时给易感者</w:t>
      </w:r>
      <w:r>
        <w:rPr>
          <w:rFonts w:ascii="宋体" w:hAnsi="宋体" w:eastAsia="宋体" w:cs="宋体"/>
          <w:sz w:val="21"/>
          <w:szCs w:val="21"/>
        </w:rPr>
        <w:t xml:space="preserve"> </w:t>
      </w:r>
      <w:r>
        <w:rPr>
          <w:rFonts w:ascii="宋体" w:hAnsi="宋体" w:eastAsia="宋体" w:cs="宋体"/>
          <w:spacing w:val="4"/>
          <w:sz w:val="21"/>
          <w:szCs w:val="21"/>
        </w:rPr>
        <w:t>服用抗疟药。</w:t>
      </w:r>
    </w:p>
    <w:p w14:paraId="081B25F4">
      <w:pPr>
        <w:pStyle w:val="2"/>
        <w:spacing w:before="119" w:line="287" w:lineRule="auto"/>
        <w:ind w:right="630" w:firstLine="429"/>
        <w:rPr>
          <w:rFonts w:ascii="宋体" w:hAnsi="宋体" w:eastAsia="宋体" w:cs="宋体"/>
          <w:sz w:val="21"/>
          <w:szCs w:val="21"/>
        </w:rPr>
      </w:pPr>
      <w:r>
        <w:rPr>
          <w:rFonts w:ascii="宋体" w:hAnsi="宋体" w:eastAsia="宋体" w:cs="宋体"/>
          <w:spacing w:val="-2"/>
          <w:sz w:val="21"/>
          <w:szCs w:val="21"/>
        </w:rPr>
        <w:t xml:space="preserve">3. </w:t>
      </w:r>
      <w:r>
        <w:rPr>
          <w:spacing w:val="-2"/>
          <w:sz w:val="21"/>
          <w:szCs w:val="21"/>
        </w:rPr>
        <w:t>个人防护</w:t>
      </w:r>
      <w:r>
        <w:rPr>
          <w:spacing w:val="62"/>
          <w:sz w:val="21"/>
          <w:szCs w:val="21"/>
        </w:rPr>
        <w:t xml:space="preserve"> </w:t>
      </w:r>
      <w:r>
        <w:rPr>
          <w:rFonts w:ascii="宋体" w:hAnsi="宋体" w:eastAsia="宋体" w:cs="宋体"/>
          <w:spacing w:val="-2"/>
          <w:sz w:val="21"/>
          <w:szCs w:val="21"/>
        </w:rPr>
        <w:t>对易感者而言，个人防护至关重要，可根据需要采取戴口罩、戴手套、使用安全</w:t>
      </w:r>
      <w:r>
        <w:rPr>
          <w:rFonts w:ascii="宋体" w:hAnsi="宋体" w:eastAsia="宋体" w:cs="宋体"/>
          <w:sz w:val="21"/>
          <w:szCs w:val="21"/>
        </w:rPr>
        <w:t xml:space="preserve"> </w:t>
      </w:r>
      <w:r>
        <w:rPr>
          <w:rFonts w:ascii="宋体" w:hAnsi="宋体" w:eastAsia="宋体" w:cs="宋体"/>
          <w:spacing w:val="-1"/>
          <w:sz w:val="21"/>
          <w:szCs w:val="21"/>
        </w:rPr>
        <w:t>套等措施。医务人员和实验室工作人员可能接触病原体时，应严格遵守操作规程，配置和使用必要</w:t>
      </w:r>
      <w:r>
        <w:rPr>
          <w:rFonts w:ascii="宋体" w:hAnsi="宋体" w:eastAsia="宋体" w:cs="宋体"/>
          <w:spacing w:val="12"/>
          <w:sz w:val="21"/>
          <w:szCs w:val="21"/>
        </w:rPr>
        <w:t xml:space="preserve"> </w:t>
      </w:r>
      <w:r>
        <w:rPr>
          <w:rFonts w:ascii="宋体" w:hAnsi="宋体" w:eastAsia="宋体" w:cs="宋体"/>
          <w:spacing w:val="2"/>
          <w:sz w:val="21"/>
          <w:szCs w:val="21"/>
        </w:rPr>
        <w:t>的个人防护装备</w:t>
      </w:r>
      <w:r>
        <w:rPr>
          <w:rFonts w:ascii="Times New Roman" w:hAnsi="Times New Roman" w:eastAsia="Times New Roman" w:cs="Times New Roman"/>
          <w:spacing w:val="2"/>
          <w:sz w:val="21"/>
          <w:szCs w:val="21"/>
        </w:rPr>
        <w:t>(</w:t>
      </w:r>
      <w:r>
        <w:rPr>
          <w:rFonts w:ascii="Times New Roman" w:hAnsi="Times New Roman" w:eastAsia="Times New Roman" w:cs="Times New Roman"/>
          <w:sz w:val="21"/>
          <w:szCs w:val="21"/>
        </w:rPr>
        <w:t>personal</w:t>
      </w:r>
      <w:r>
        <w:rPr>
          <w:rFonts w:ascii="Times New Roman" w:hAnsi="Times New Roman" w:eastAsia="Times New Roman" w:cs="Times New Roman"/>
          <w:spacing w:val="2"/>
          <w:sz w:val="21"/>
          <w:szCs w:val="21"/>
        </w:rPr>
        <w:t xml:space="preserve">  </w:t>
      </w:r>
      <w:r>
        <w:rPr>
          <w:rFonts w:ascii="Times New Roman" w:hAnsi="Times New Roman" w:eastAsia="Times New Roman" w:cs="Times New Roman"/>
          <w:sz w:val="21"/>
          <w:szCs w:val="21"/>
        </w:rPr>
        <w:t>protective</w:t>
      </w:r>
      <w:r>
        <w:rPr>
          <w:rFonts w:ascii="Times New Roman" w:hAnsi="Times New Roman" w:eastAsia="Times New Roman" w:cs="Times New Roman"/>
          <w:spacing w:val="18"/>
          <w:sz w:val="21"/>
          <w:szCs w:val="21"/>
        </w:rPr>
        <w:t xml:space="preserve">  </w:t>
      </w:r>
      <w:r>
        <w:rPr>
          <w:rFonts w:ascii="Times New Roman" w:hAnsi="Times New Roman" w:eastAsia="Times New Roman" w:cs="Times New Roman"/>
          <w:sz w:val="21"/>
          <w:szCs w:val="21"/>
        </w:rPr>
        <w:t>equipment</w:t>
      </w:r>
      <w:r>
        <w:rPr>
          <w:rFonts w:ascii="Times New Roman" w:hAnsi="Times New Roman" w:eastAsia="Times New Roman" w:cs="Times New Roman"/>
          <w:spacing w:val="2"/>
          <w:sz w:val="21"/>
          <w:szCs w:val="21"/>
        </w:rPr>
        <w:t>,</w:t>
      </w:r>
      <w:r>
        <w:rPr>
          <w:rFonts w:ascii="Times New Roman" w:hAnsi="Times New Roman" w:eastAsia="Times New Roman" w:cs="Times New Roman"/>
          <w:sz w:val="21"/>
          <w:szCs w:val="21"/>
        </w:rPr>
        <w:t>PPE</w:t>
      </w:r>
      <w:r>
        <w:rPr>
          <w:rFonts w:ascii="Times New Roman" w:hAnsi="Times New Roman" w:eastAsia="Times New Roman" w:cs="Times New Roman"/>
          <w:spacing w:val="2"/>
          <w:sz w:val="21"/>
          <w:szCs w:val="21"/>
        </w:rPr>
        <w:t>)</w:t>
      </w:r>
      <w:r>
        <w:rPr>
          <w:rFonts w:ascii="宋体" w:hAnsi="宋体" w:eastAsia="宋体" w:cs="宋体"/>
          <w:spacing w:val="2"/>
          <w:sz w:val="21"/>
          <w:szCs w:val="21"/>
        </w:rPr>
        <w:t>。</w:t>
      </w:r>
    </w:p>
    <w:p w14:paraId="3B47494C">
      <w:pPr>
        <w:pStyle w:val="2"/>
        <w:spacing w:before="140" w:line="220" w:lineRule="auto"/>
        <w:ind w:left="429"/>
        <w:rPr>
          <w:sz w:val="21"/>
          <w:szCs w:val="21"/>
        </w:rPr>
      </w:pPr>
      <w:r>
        <w:rPr>
          <w:spacing w:val="19"/>
          <w:sz w:val="21"/>
          <w:szCs w:val="21"/>
        </w:rPr>
        <w:t>(五)传染病暴发流行时的紧急措施</w:t>
      </w:r>
    </w:p>
    <w:p w14:paraId="6D231FCD">
      <w:pPr>
        <w:spacing w:before="99" w:line="323" w:lineRule="auto"/>
        <w:ind w:right="616" w:firstLine="429"/>
        <w:jc w:val="both"/>
        <w:rPr>
          <w:rFonts w:ascii="宋体" w:hAnsi="宋体" w:eastAsia="宋体" w:cs="宋体"/>
          <w:sz w:val="21"/>
          <w:szCs w:val="21"/>
        </w:rPr>
      </w:pPr>
      <w:r>
        <w:rPr>
          <w:rFonts w:ascii="宋体" w:hAnsi="宋体" w:eastAsia="宋体" w:cs="宋体"/>
          <w:sz w:val="21"/>
          <w:szCs w:val="21"/>
        </w:rPr>
        <w:t>传染病暴发、流行时，县级以上地方人民政府应当立即组织力量，按照传染</w:t>
      </w:r>
      <w:r>
        <w:rPr>
          <w:rFonts w:ascii="宋体" w:hAnsi="宋体" w:eastAsia="宋体" w:cs="宋体"/>
          <w:spacing w:val="-1"/>
          <w:sz w:val="21"/>
          <w:szCs w:val="21"/>
        </w:rPr>
        <w:t>病预防控制应急预</w:t>
      </w:r>
      <w:r>
        <w:rPr>
          <w:rFonts w:ascii="宋体" w:hAnsi="宋体" w:eastAsia="宋体" w:cs="宋体"/>
          <w:sz w:val="21"/>
          <w:szCs w:val="21"/>
        </w:rPr>
        <w:t xml:space="preserve"> </w:t>
      </w:r>
      <w:r>
        <w:rPr>
          <w:rFonts w:ascii="宋体" w:hAnsi="宋体" w:eastAsia="宋体" w:cs="宋体"/>
          <w:spacing w:val="-5"/>
          <w:sz w:val="21"/>
          <w:szCs w:val="21"/>
        </w:rPr>
        <w:t>案进行防治，控制传染源，切断传染病的传播途径</w:t>
      </w:r>
      <w:r>
        <w:rPr>
          <w:rFonts w:ascii="宋体" w:hAnsi="宋体" w:eastAsia="宋体" w:cs="宋体"/>
          <w:spacing w:val="-6"/>
          <w:sz w:val="21"/>
          <w:szCs w:val="21"/>
        </w:rPr>
        <w:t>；发生重大传染病疫情，经评估必要时，可以采取</w:t>
      </w:r>
      <w:r>
        <w:rPr>
          <w:rFonts w:ascii="宋体" w:hAnsi="宋体" w:eastAsia="宋体" w:cs="宋体"/>
          <w:sz w:val="21"/>
          <w:szCs w:val="21"/>
        </w:rPr>
        <w:t xml:space="preserve"> </w:t>
      </w:r>
      <w:r>
        <w:rPr>
          <w:rFonts w:ascii="宋体" w:hAnsi="宋体" w:eastAsia="宋体" w:cs="宋体"/>
          <w:spacing w:val="2"/>
          <w:sz w:val="21"/>
          <w:szCs w:val="21"/>
        </w:rPr>
        <w:t>下列紧急措施：</w:t>
      </w:r>
    </w:p>
    <w:p w14:paraId="45425953">
      <w:pPr>
        <w:spacing w:before="1" w:line="219" w:lineRule="auto"/>
        <w:ind w:left="429"/>
        <w:rPr>
          <w:rFonts w:ascii="宋体" w:hAnsi="宋体" w:eastAsia="宋体" w:cs="宋体"/>
          <w:sz w:val="21"/>
          <w:szCs w:val="21"/>
        </w:rPr>
      </w:pPr>
      <w:r>
        <w:rPr>
          <w:rFonts w:ascii="宋体" w:hAnsi="宋体" w:eastAsia="宋体" w:cs="宋体"/>
          <w:spacing w:val="-3"/>
          <w:sz w:val="21"/>
          <w:szCs w:val="21"/>
        </w:rPr>
        <w:t>1.</w:t>
      </w:r>
      <w:r>
        <w:rPr>
          <w:rFonts w:ascii="宋体" w:hAnsi="宋体" w:eastAsia="宋体" w:cs="宋体"/>
          <w:spacing w:val="-24"/>
          <w:sz w:val="21"/>
          <w:szCs w:val="21"/>
        </w:rPr>
        <w:t xml:space="preserve"> </w:t>
      </w:r>
      <w:r>
        <w:rPr>
          <w:rFonts w:ascii="宋体" w:hAnsi="宋体" w:eastAsia="宋体" w:cs="宋体"/>
          <w:spacing w:val="-3"/>
          <w:sz w:val="21"/>
          <w:szCs w:val="21"/>
        </w:rPr>
        <w:t>限制或者停止集市、影剧院演出或者其他人群聚集的活动。</w:t>
      </w:r>
    </w:p>
    <w:p w14:paraId="57BC6442">
      <w:pPr>
        <w:spacing w:before="131" w:line="220" w:lineRule="auto"/>
        <w:ind w:left="429"/>
        <w:rPr>
          <w:rFonts w:ascii="宋体" w:hAnsi="宋体" w:eastAsia="宋体" w:cs="宋体"/>
          <w:sz w:val="21"/>
          <w:szCs w:val="21"/>
        </w:rPr>
      </w:pPr>
      <w:r>
        <w:rPr>
          <w:rFonts w:ascii="宋体" w:hAnsi="宋体" w:eastAsia="宋体" w:cs="宋体"/>
          <w:spacing w:val="-11"/>
          <w:sz w:val="21"/>
          <w:szCs w:val="21"/>
        </w:rPr>
        <w:t>2.</w:t>
      </w:r>
      <w:r>
        <w:rPr>
          <w:rFonts w:ascii="宋体" w:hAnsi="宋体" w:eastAsia="宋体" w:cs="宋体"/>
          <w:spacing w:val="-38"/>
          <w:sz w:val="21"/>
          <w:szCs w:val="21"/>
        </w:rPr>
        <w:t xml:space="preserve"> </w:t>
      </w:r>
      <w:r>
        <w:rPr>
          <w:rFonts w:ascii="宋体" w:hAnsi="宋体" w:eastAsia="宋体" w:cs="宋体"/>
          <w:spacing w:val="-11"/>
          <w:sz w:val="21"/>
          <w:szCs w:val="21"/>
        </w:rPr>
        <w:t>停工、停业、停课。</w:t>
      </w:r>
    </w:p>
    <w:p w14:paraId="0A337C90">
      <w:pPr>
        <w:spacing w:before="108" w:line="219" w:lineRule="auto"/>
        <w:ind w:left="429"/>
        <w:rPr>
          <w:rFonts w:ascii="宋体" w:hAnsi="宋体" w:eastAsia="宋体" w:cs="宋体"/>
          <w:sz w:val="21"/>
          <w:szCs w:val="21"/>
        </w:rPr>
      </w:pPr>
      <w:r>
        <w:rPr>
          <w:rFonts w:ascii="宋体" w:hAnsi="宋体" w:eastAsia="宋体" w:cs="宋体"/>
          <w:spacing w:val="-1"/>
          <w:sz w:val="21"/>
          <w:szCs w:val="21"/>
        </w:rPr>
        <w:t>3.</w:t>
      </w:r>
      <w:r>
        <w:rPr>
          <w:rFonts w:ascii="宋体" w:hAnsi="宋体" w:eastAsia="宋体" w:cs="宋体"/>
          <w:spacing w:val="-37"/>
          <w:sz w:val="21"/>
          <w:szCs w:val="21"/>
        </w:rPr>
        <w:t xml:space="preserve"> </w:t>
      </w:r>
      <w:r>
        <w:rPr>
          <w:rFonts w:ascii="宋体" w:hAnsi="宋体" w:eastAsia="宋体" w:cs="宋体"/>
          <w:spacing w:val="-1"/>
          <w:sz w:val="21"/>
          <w:szCs w:val="21"/>
        </w:rPr>
        <w:t>封闭或者封存被传染病病原体污染的公共饮用水源、食品以及相关物品。</w:t>
      </w:r>
    </w:p>
    <w:p w14:paraId="5223EB1D">
      <w:pPr>
        <w:spacing w:before="122" w:line="219" w:lineRule="auto"/>
        <w:ind w:left="429"/>
        <w:rPr>
          <w:rFonts w:ascii="宋体" w:hAnsi="宋体" w:eastAsia="宋体" w:cs="宋体"/>
          <w:sz w:val="21"/>
          <w:szCs w:val="21"/>
        </w:rPr>
      </w:pPr>
      <w:r>
        <w:rPr>
          <w:rFonts w:ascii="宋体" w:hAnsi="宋体" w:eastAsia="宋体" w:cs="宋体"/>
          <w:spacing w:val="-3"/>
          <w:sz w:val="21"/>
          <w:szCs w:val="21"/>
        </w:rPr>
        <w:t>4.</w:t>
      </w:r>
      <w:r>
        <w:rPr>
          <w:rFonts w:ascii="宋体" w:hAnsi="宋体" w:eastAsia="宋体" w:cs="宋体"/>
          <w:spacing w:val="-35"/>
          <w:sz w:val="21"/>
          <w:szCs w:val="21"/>
        </w:rPr>
        <w:t xml:space="preserve"> </w:t>
      </w:r>
      <w:r>
        <w:rPr>
          <w:rFonts w:ascii="宋体" w:hAnsi="宋体" w:eastAsia="宋体" w:cs="宋体"/>
          <w:spacing w:val="-3"/>
          <w:sz w:val="21"/>
          <w:szCs w:val="21"/>
        </w:rPr>
        <w:t>控制或者扑杀、无害化处理染疫动物。</w:t>
      </w:r>
    </w:p>
    <w:p w14:paraId="47FE43C8">
      <w:pPr>
        <w:spacing w:before="120" w:line="219" w:lineRule="auto"/>
        <w:ind w:left="429"/>
        <w:rPr>
          <w:rFonts w:ascii="宋体" w:hAnsi="宋体" w:eastAsia="宋体" w:cs="宋体"/>
          <w:sz w:val="21"/>
          <w:szCs w:val="21"/>
        </w:rPr>
      </w:pPr>
      <w:r>
        <w:rPr>
          <w:rFonts w:ascii="宋体" w:hAnsi="宋体" w:eastAsia="宋体" w:cs="宋体"/>
          <w:spacing w:val="1"/>
          <w:sz w:val="21"/>
          <w:szCs w:val="21"/>
        </w:rPr>
        <w:t>5.</w:t>
      </w:r>
      <w:r>
        <w:rPr>
          <w:rFonts w:ascii="宋体" w:hAnsi="宋体" w:eastAsia="宋体" w:cs="宋体"/>
          <w:spacing w:val="-28"/>
          <w:sz w:val="21"/>
          <w:szCs w:val="21"/>
        </w:rPr>
        <w:t xml:space="preserve"> </w:t>
      </w:r>
      <w:r>
        <w:rPr>
          <w:rFonts w:ascii="宋体" w:hAnsi="宋体" w:eastAsia="宋体" w:cs="宋体"/>
          <w:spacing w:val="1"/>
          <w:sz w:val="21"/>
          <w:szCs w:val="21"/>
        </w:rPr>
        <w:t>封闭可能造成传染病扩散的场所。</w:t>
      </w:r>
    </w:p>
    <w:p w14:paraId="7AD63C74">
      <w:pPr>
        <w:spacing w:before="121" w:line="219" w:lineRule="auto"/>
        <w:ind w:left="429"/>
        <w:rPr>
          <w:rFonts w:ascii="宋体" w:hAnsi="宋体" w:eastAsia="宋体" w:cs="宋体"/>
          <w:sz w:val="21"/>
          <w:szCs w:val="21"/>
        </w:rPr>
      </w:pPr>
      <w:r>
        <w:rPr>
          <w:rFonts w:ascii="宋体" w:hAnsi="宋体" w:eastAsia="宋体" w:cs="宋体"/>
          <w:sz w:val="21"/>
          <w:szCs w:val="21"/>
        </w:rPr>
        <w:t>6.</w:t>
      </w:r>
      <w:r>
        <w:rPr>
          <w:rFonts w:ascii="宋体" w:hAnsi="宋体" w:eastAsia="宋体" w:cs="宋体"/>
          <w:spacing w:val="-11"/>
          <w:sz w:val="21"/>
          <w:szCs w:val="21"/>
        </w:rPr>
        <w:t xml:space="preserve"> </w:t>
      </w:r>
      <w:r>
        <w:rPr>
          <w:rFonts w:ascii="宋体" w:hAnsi="宋体" w:eastAsia="宋体" w:cs="宋体"/>
          <w:sz w:val="21"/>
          <w:szCs w:val="21"/>
        </w:rPr>
        <w:t>防止传染病传播的其他必要措施。</w:t>
      </w:r>
    </w:p>
    <w:p w14:paraId="444AA221">
      <w:pPr>
        <w:spacing w:before="109" w:line="326" w:lineRule="auto"/>
        <w:ind w:right="627" w:firstLine="429"/>
        <w:jc w:val="both"/>
        <w:rPr>
          <w:rFonts w:ascii="宋体" w:hAnsi="宋体" w:eastAsia="宋体" w:cs="宋体"/>
          <w:sz w:val="21"/>
          <w:szCs w:val="21"/>
        </w:rPr>
      </w:pPr>
      <w:r>
        <w:rPr>
          <w:rFonts w:ascii="宋体" w:hAnsi="宋体" w:eastAsia="宋体" w:cs="宋体"/>
          <w:spacing w:val="4"/>
          <w:sz w:val="21"/>
          <w:szCs w:val="21"/>
        </w:rPr>
        <w:t>因甲类、乙类传染病发生重大传染病疫情时，县级以上地方人民政府报经上一级人民政府决</w:t>
      </w:r>
      <w:r>
        <w:rPr>
          <w:rFonts w:ascii="宋体" w:hAnsi="宋体" w:eastAsia="宋体" w:cs="宋体"/>
          <w:spacing w:val="7"/>
          <w:sz w:val="21"/>
          <w:szCs w:val="21"/>
        </w:rPr>
        <w:t xml:space="preserve"> </w:t>
      </w:r>
      <w:r>
        <w:rPr>
          <w:rFonts w:ascii="宋体" w:hAnsi="宋体" w:eastAsia="宋体" w:cs="宋体"/>
          <w:spacing w:val="2"/>
          <w:sz w:val="21"/>
          <w:szCs w:val="21"/>
        </w:rPr>
        <w:t>定.可以对进入或者离开本行政区域受影响的相关</w:t>
      </w:r>
      <w:r>
        <w:rPr>
          <w:rFonts w:ascii="宋体" w:hAnsi="宋体" w:eastAsia="宋体" w:cs="宋体"/>
          <w:spacing w:val="1"/>
          <w:sz w:val="21"/>
          <w:szCs w:val="21"/>
        </w:rPr>
        <w:t>区域的人员、物资和交通工具实</w:t>
      </w:r>
      <w:r>
        <w:rPr>
          <w:rFonts w:ascii="宋体" w:hAnsi="宋体" w:eastAsia="宋体" w:cs="宋体"/>
          <w:spacing w:val="1"/>
          <w:sz w:val="21"/>
          <w:szCs w:val="21"/>
          <w:u w:val="single" w:color="auto"/>
        </w:rPr>
        <w:t>施卫生</w:t>
      </w:r>
      <w:r>
        <w:rPr>
          <w:rFonts w:ascii="宋体" w:hAnsi="宋体" w:eastAsia="宋体" w:cs="宋体"/>
          <w:spacing w:val="1"/>
          <w:sz w:val="21"/>
          <w:szCs w:val="21"/>
        </w:rPr>
        <w:t>检疫。因</w:t>
      </w:r>
      <w:r>
        <w:rPr>
          <w:rFonts w:ascii="宋体" w:hAnsi="宋体" w:eastAsia="宋体" w:cs="宋体"/>
          <w:sz w:val="21"/>
          <w:szCs w:val="21"/>
        </w:rPr>
        <w:t xml:space="preserve"> </w:t>
      </w:r>
      <w:r>
        <w:rPr>
          <w:rFonts w:ascii="宋体" w:hAnsi="宋体" w:eastAsia="宋体" w:cs="宋体"/>
          <w:spacing w:val="4"/>
          <w:sz w:val="21"/>
          <w:szCs w:val="21"/>
        </w:rPr>
        <w:t>甲类传染病发生重大传染病疫情时，省级人民政府可以决定对本行政区域受影响的相关区域实施</w:t>
      </w:r>
      <w:r>
        <w:rPr>
          <w:rFonts w:ascii="宋体" w:hAnsi="宋体" w:eastAsia="宋体" w:cs="宋体"/>
          <w:spacing w:val="10"/>
          <w:sz w:val="21"/>
          <w:szCs w:val="21"/>
        </w:rPr>
        <w:t xml:space="preserve"> </w:t>
      </w:r>
      <w:r>
        <w:rPr>
          <w:rFonts w:ascii="宋体" w:hAnsi="宋体" w:eastAsia="宋体" w:cs="宋体"/>
          <w:sz w:val="21"/>
          <w:szCs w:val="21"/>
        </w:rPr>
        <w:t>封锁；封锁大、中城市或者跨省级行政区域的受影响的相关区域，以及因封锁</w:t>
      </w:r>
      <w:r>
        <w:rPr>
          <w:rFonts w:ascii="宋体" w:hAnsi="宋体" w:eastAsia="宋体" w:cs="宋体"/>
          <w:spacing w:val="-1"/>
          <w:sz w:val="21"/>
          <w:szCs w:val="21"/>
        </w:rPr>
        <w:t>导致中断干线交通或</w:t>
      </w:r>
      <w:r>
        <w:rPr>
          <w:rFonts w:ascii="宋体" w:hAnsi="宋体" w:eastAsia="宋体" w:cs="宋体"/>
          <w:sz w:val="21"/>
          <w:szCs w:val="21"/>
        </w:rPr>
        <w:t xml:space="preserve"> 者封锁国境的，由国务院决定。采取传染病疫情防控措施时，决定采取措</w:t>
      </w:r>
      <w:r>
        <w:rPr>
          <w:rFonts w:ascii="宋体" w:hAnsi="宋体" w:eastAsia="宋体" w:cs="宋体"/>
          <w:spacing w:val="-1"/>
          <w:sz w:val="21"/>
          <w:szCs w:val="21"/>
        </w:rPr>
        <w:t>施的机关应当向社会发布</w:t>
      </w:r>
      <w:r>
        <w:rPr>
          <w:rFonts w:ascii="宋体" w:hAnsi="宋体" w:eastAsia="宋体" w:cs="宋体"/>
          <w:sz w:val="21"/>
          <w:szCs w:val="21"/>
        </w:rPr>
        <w:t xml:space="preserve"> 公告，明确措施的具体内容、实施范围和实施期限，并进行必</w:t>
      </w:r>
      <w:r>
        <w:rPr>
          <w:rFonts w:ascii="宋体" w:hAnsi="宋体" w:eastAsia="宋体" w:cs="宋体"/>
          <w:spacing w:val="-1"/>
          <w:sz w:val="21"/>
          <w:szCs w:val="21"/>
        </w:rPr>
        <w:t>要的解释说明。相关疫情防控措施的</w:t>
      </w:r>
      <w:r>
        <w:rPr>
          <w:rFonts w:ascii="宋体" w:hAnsi="宋体" w:eastAsia="宋体" w:cs="宋体"/>
          <w:sz w:val="21"/>
          <w:szCs w:val="21"/>
        </w:rPr>
        <w:t xml:space="preserve"> </w:t>
      </w:r>
      <w:r>
        <w:rPr>
          <w:rFonts w:ascii="宋体" w:hAnsi="宋体" w:eastAsia="宋体" w:cs="宋体"/>
          <w:spacing w:val="-3"/>
          <w:sz w:val="21"/>
          <w:szCs w:val="21"/>
        </w:rPr>
        <w:t>解除，由原决定机关决定并宣布。</w:t>
      </w:r>
    </w:p>
    <w:p w14:paraId="760EC167">
      <w:pPr>
        <w:spacing w:line="264" w:lineRule="auto"/>
        <w:rPr>
          <w:rFonts w:ascii="Arial"/>
          <w:sz w:val="21"/>
        </w:rPr>
      </w:pPr>
    </w:p>
    <w:p w14:paraId="2F615758">
      <w:pPr>
        <w:pStyle w:val="2"/>
        <w:spacing w:before="98" w:line="221" w:lineRule="auto"/>
        <w:ind w:left="2464"/>
        <w:outlineLvl w:val="2"/>
      </w:pPr>
      <w:bookmarkStart w:id="325" w:name="bookmark205"/>
      <w:bookmarkEnd w:id="325"/>
      <w:r>
        <w:rPr>
          <w:b/>
          <w:bCs/>
          <w:spacing w:val="-8"/>
        </w:rPr>
        <w:t>第五节</w:t>
      </w:r>
      <w:r>
        <w:rPr>
          <w:spacing w:val="149"/>
        </w:rPr>
        <w:t xml:space="preserve"> </w:t>
      </w:r>
      <w:r>
        <w:rPr>
          <w:b/>
          <w:bCs/>
          <w:spacing w:val="-8"/>
        </w:rPr>
        <w:t>免疫规划及其人群评价</w:t>
      </w:r>
    </w:p>
    <w:p w14:paraId="52FEC814">
      <w:pPr>
        <w:spacing w:line="312" w:lineRule="auto"/>
        <w:rPr>
          <w:rFonts w:ascii="Arial"/>
          <w:sz w:val="21"/>
        </w:rPr>
      </w:pPr>
    </w:p>
    <w:p w14:paraId="5D15F295">
      <w:pPr>
        <w:spacing w:before="69" w:line="219" w:lineRule="auto"/>
        <w:ind w:left="429"/>
        <w:rPr>
          <w:rFonts w:ascii="宋体" w:hAnsi="宋体" w:eastAsia="宋体" w:cs="宋体"/>
          <w:sz w:val="21"/>
          <w:szCs w:val="21"/>
        </w:rPr>
      </w:pPr>
      <w:r>
        <w:rPr>
          <w:rFonts w:ascii="宋体" w:hAnsi="宋体" w:eastAsia="宋体" w:cs="宋体"/>
          <w:spacing w:val="6"/>
          <w:sz w:val="21"/>
          <w:szCs w:val="21"/>
        </w:rPr>
        <w:t>全球公共卫生实践证明，预防接种是预防、控制、消灭传染病最经济、安全和有效的措施。</w:t>
      </w:r>
    </w:p>
    <w:p w14:paraId="5F536F22">
      <w:pPr>
        <w:spacing w:line="219" w:lineRule="auto"/>
        <w:rPr>
          <w:rFonts w:ascii="宋体" w:hAnsi="宋体" w:eastAsia="宋体" w:cs="宋体"/>
          <w:sz w:val="21"/>
          <w:szCs w:val="21"/>
        </w:rPr>
        <w:sectPr>
          <w:footerReference r:id="rId214" w:type="default"/>
          <w:pgSz w:w="11900" w:h="16820"/>
          <w:pgMar w:top="400" w:right="809" w:bottom="816" w:left="1440" w:header="0" w:footer="627" w:gutter="0"/>
          <w:cols w:space="720" w:num="1"/>
        </w:sectPr>
      </w:pPr>
    </w:p>
    <w:p w14:paraId="4EBC131B">
      <w:pPr>
        <w:pStyle w:val="2"/>
        <w:spacing w:line="220" w:lineRule="auto"/>
        <w:ind w:left="649"/>
        <w:rPr>
          <w:sz w:val="20"/>
          <w:szCs w:val="20"/>
        </w:rPr>
      </w:pPr>
      <w:bookmarkStart w:id="326" w:name="bookmark512"/>
      <w:bookmarkEnd w:id="326"/>
      <w:r>
        <w:rPr>
          <w:spacing w:val="-19"/>
          <w:w w:val="97"/>
          <w:sz w:val="20"/>
          <w:szCs w:val="20"/>
        </w:rPr>
        <w:t>第十一章 传染病流行病学</w:t>
      </w:r>
    </w:p>
    <w:p w14:paraId="4FA0E718">
      <w:pPr>
        <w:spacing w:line="288" w:lineRule="auto"/>
        <w:rPr>
          <w:rFonts w:ascii="Arial"/>
          <w:sz w:val="21"/>
        </w:rPr>
      </w:pPr>
    </w:p>
    <w:p w14:paraId="711D3EAF">
      <w:pPr>
        <w:spacing w:line="288" w:lineRule="auto"/>
        <w:rPr>
          <w:rFonts w:ascii="Arial"/>
          <w:sz w:val="21"/>
        </w:rPr>
      </w:pPr>
    </w:p>
    <w:p w14:paraId="2CB09EE9">
      <w:pPr>
        <w:spacing w:before="65" w:line="342" w:lineRule="auto"/>
        <w:ind w:left="649" w:right="20"/>
        <w:jc w:val="both"/>
        <w:rPr>
          <w:rFonts w:ascii="宋体" w:hAnsi="宋体" w:eastAsia="宋体" w:cs="宋体"/>
          <w:sz w:val="20"/>
          <w:szCs w:val="20"/>
        </w:rPr>
      </w:pPr>
      <w:r>
        <w:rPr>
          <w:rFonts w:ascii="宋体" w:hAnsi="宋体" w:eastAsia="宋体" w:cs="宋体"/>
          <w:spacing w:val="12"/>
          <w:sz w:val="20"/>
          <w:szCs w:val="20"/>
        </w:rPr>
        <w:t>脊髓灰质炎作为继天花之后有望被人类消灭的第二个传染病，其预防</w:t>
      </w:r>
      <w:r>
        <w:rPr>
          <w:rFonts w:ascii="宋体" w:hAnsi="宋体" w:eastAsia="宋体" w:cs="宋体"/>
          <w:spacing w:val="11"/>
          <w:sz w:val="20"/>
          <w:szCs w:val="20"/>
        </w:rPr>
        <w:t>接种在各国消灭脊髓灰质</w:t>
      </w:r>
      <w:r>
        <w:rPr>
          <w:rFonts w:ascii="宋体" w:hAnsi="宋体" w:eastAsia="宋体" w:cs="宋体"/>
          <w:sz w:val="20"/>
          <w:szCs w:val="20"/>
        </w:rPr>
        <w:t xml:space="preserve"> </w:t>
      </w:r>
      <w:r>
        <w:rPr>
          <w:rFonts w:ascii="宋体" w:hAnsi="宋体" w:eastAsia="宋体" w:cs="宋体"/>
          <w:spacing w:val="13"/>
          <w:sz w:val="20"/>
          <w:szCs w:val="20"/>
        </w:rPr>
        <w:t>炎的进程中发挥了关键作用。1988年，世界卫生大会发起了全球消灭脊髓灰质炎行动的倡议，</w:t>
      </w:r>
      <w:r>
        <w:rPr>
          <w:rFonts w:ascii="宋体" w:hAnsi="宋体" w:eastAsia="宋体" w:cs="宋体"/>
          <w:sz w:val="20"/>
          <w:szCs w:val="20"/>
        </w:rPr>
        <w:t xml:space="preserve"> </w:t>
      </w:r>
      <w:r>
        <w:rPr>
          <w:rFonts w:ascii="宋体" w:hAnsi="宋体" w:eastAsia="宋体" w:cs="宋体"/>
          <w:spacing w:val="6"/>
          <w:sz w:val="20"/>
          <w:szCs w:val="20"/>
        </w:rPr>
        <w:t>通过开展预防接种、急性弛缓性麻痹病例监测、环境监测和建立全球脊髓灰质炎实验室网络等措</w:t>
      </w:r>
      <w:r>
        <w:rPr>
          <w:rFonts w:ascii="宋体" w:hAnsi="宋体" w:eastAsia="宋体" w:cs="宋体"/>
          <w:spacing w:val="8"/>
          <w:sz w:val="20"/>
          <w:szCs w:val="20"/>
        </w:rPr>
        <w:t xml:space="preserve">  </w:t>
      </w:r>
      <w:r>
        <w:rPr>
          <w:rFonts w:ascii="宋体" w:hAnsi="宋体" w:eastAsia="宋体" w:cs="宋体"/>
          <w:spacing w:val="10"/>
          <w:sz w:val="20"/>
          <w:szCs w:val="20"/>
        </w:rPr>
        <w:t>施，全球脊髓灰质炎野病毒感染病例数大幅下降，由1988年的35万例降至2023年的12例，本土</w:t>
      </w:r>
      <w:r>
        <w:rPr>
          <w:rFonts w:ascii="宋体" w:hAnsi="宋体" w:eastAsia="宋体" w:cs="宋体"/>
          <w:spacing w:val="18"/>
          <w:sz w:val="20"/>
          <w:szCs w:val="20"/>
        </w:rPr>
        <w:t xml:space="preserve"> </w:t>
      </w:r>
      <w:r>
        <w:rPr>
          <w:rFonts w:ascii="宋体" w:hAnsi="宋体" w:eastAsia="宋体" w:cs="宋体"/>
          <w:spacing w:val="11"/>
          <w:sz w:val="20"/>
          <w:szCs w:val="20"/>
        </w:rPr>
        <w:t>脊髓灰质炎野病毒流行国家由125个降至2个，全球消灭脊髓灰质炎行动进入尾声。我国在</w:t>
      </w:r>
      <w:r>
        <w:rPr>
          <w:rFonts w:ascii="宋体" w:hAnsi="宋体" w:eastAsia="宋体" w:cs="宋体"/>
          <w:spacing w:val="10"/>
          <w:sz w:val="20"/>
          <w:szCs w:val="20"/>
        </w:rPr>
        <w:t>1995</w:t>
      </w:r>
      <w:r>
        <w:rPr>
          <w:rFonts w:ascii="宋体" w:hAnsi="宋体" w:eastAsia="宋体" w:cs="宋体"/>
          <w:sz w:val="20"/>
          <w:szCs w:val="20"/>
        </w:rPr>
        <w:t xml:space="preserve"> </w:t>
      </w:r>
      <w:r>
        <w:rPr>
          <w:rFonts w:ascii="宋体" w:hAnsi="宋体" w:eastAsia="宋体" w:cs="宋体"/>
          <w:spacing w:val="13"/>
          <w:sz w:val="20"/>
          <w:szCs w:val="20"/>
        </w:rPr>
        <w:t>年以后未出现本土脊髓灰质炎野病毒引起的病例，2000年经</w:t>
      </w:r>
      <w:r>
        <w:rPr>
          <w:rFonts w:ascii="Times New Roman" w:hAnsi="Times New Roman" w:eastAsia="Times New Roman" w:cs="Times New Roman"/>
          <w:sz w:val="20"/>
          <w:szCs w:val="20"/>
        </w:rPr>
        <w:t>WHO</w:t>
      </w:r>
      <w:r>
        <w:rPr>
          <w:rFonts w:ascii="Times New Roman" w:hAnsi="Times New Roman" w:eastAsia="Times New Roman" w:cs="Times New Roman"/>
          <w:spacing w:val="43"/>
          <w:w w:val="101"/>
          <w:sz w:val="20"/>
          <w:szCs w:val="20"/>
        </w:rPr>
        <w:t xml:space="preserve"> </w:t>
      </w:r>
      <w:r>
        <w:rPr>
          <w:rFonts w:ascii="宋体" w:hAnsi="宋体" w:eastAsia="宋体" w:cs="宋体"/>
          <w:spacing w:val="13"/>
          <w:sz w:val="20"/>
          <w:szCs w:val="20"/>
        </w:rPr>
        <w:t>认证，实现了无脊髓灰质炎</w:t>
      </w:r>
      <w:r>
        <w:rPr>
          <w:rFonts w:ascii="宋体" w:hAnsi="宋体" w:eastAsia="宋体" w:cs="宋体"/>
          <w:sz w:val="20"/>
          <w:szCs w:val="20"/>
        </w:rPr>
        <w:t xml:space="preserve"> </w:t>
      </w:r>
      <w:r>
        <w:rPr>
          <w:rFonts w:ascii="宋体" w:hAnsi="宋体" w:eastAsia="宋体" w:cs="宋体"/>
          <w:spacing w:val="-3"/>
          <w:sz w:val="20"/>
          <w:szCs w:val="20"/>
        </w:rPr>
        <w:t>目标。</w:t>
      </w:r>
    </w:p>
    <w:p w14:paraId="6DAD759F">
      <w:pPr>
        <w:pStyle w:val="2"/>
        <w:spacing w:before="200" w:line="221" w:lineRule="auto"/>
        <w:ind w:left="1063"/>
        <w:outlineLvl w:val="4"/>
        <w:rPr>
          <w:sz w:val="25"/>
          <w:szCs w:val="25"/>
        </w:rPr>
      </w:pPr>
      <w:bookmarkStart w:id="327" w:name="bookmark206"/>
      <w:bookmarkEnd w:id="327"/>
      <w:r>
        <w:rPr>
          <w:b/>
          <w:bCs/>
          <w:spacing w:val="-18"/>
          <w:sz w:val="25"/>
          <w:szCs w:val="25"/>
        </w:rPr>
        <w:t>一</w:t>
      </w:r>
      <w:r>
        <w:rPr>
          <w:spacing w:val="-66"/>
          <w:sz w:val="25"/>
          <w:szCs w:val="25"/>
        </w:rPr>
        <w:t xml:space="preserve"> </w:t>
      </w:r>
      <w:r>
        <w:rPr>
          <w:b/>
          <w:bCs/>
          <w:spacing w:val="-18"/>
          <w:sz w:val="25"/>
          <w:szCs w:val="25"/>
        </w:rPr>
        <w:t>、预防接种</w:t>
      </w:r>
    </w:p>
    <w:p w14:paraId="338F2592">
      <w:pPr>
        <w:spacing w:before="283" w:line="343" w:lineRule="auto"/>
        <w:ind w:left="649" w:right="83" w:firstLine="410"/>
        <w:jc w:val="both"/>
        <w:rPr>
          <w:rFonts w:ascii="宋体" w:hAnsi="宋体" w:eastAsia="宋体" w:cs="宋体"/>
          <w:sz w:val="20"/>
          <w:szCs w:val="20"/>
        </w:rPr>
      </w:pPr>
      <w:r>
        <w:rPr>
          <w:rFonts w:ascii="宋体" w:hAnsi="宋体" w:eastAsia="宋体" w:cs="宋体"/>
          <w:spacing w:val="5"/>
          <w:sz w:val="20"/>
          <w:szCs w:val="20"/>
        </w:rPr>
        <w:t>预防接种</w:t>
      </w:r>
      <w:r>
        <w:rPr>
          <w:rFonts w:ascii="Times New Roman" w:hAnsi="Times New Roman" w:eastAsia="Times New Roman" w:cs="Times New Roman"/>
          <w:spacing w:val="5"/>
          <w:sz w:val="20"/>
          <w:szCs w:val="20"/>
        </w:rPr>
        <w:t>(</w:t>
      </w:r>
      <w:r>
        <w:rPr>
          <w:rFonts w:ascii="Times New Roman" w:hAnsi="Times New Roman" w:eastAsia="Times New Roman" w:cs="Times New Roman"/>
          <w:sz w:val="20"/>
          <w:szCs w:val="20"/>
        </w:rPr>
        <w:t>immunization</w:t>
      </w:r>
      <w:r>
        <w:rPr>
          <w:rFonts w:ascii="Times New Roman" w:hAnsi="Times New Roman" w:eastAsia="Times New Roman" w:cs="Times New Roman"/>
          <w:spacing w:val="5"/>
          <w:sz w:val="20"/>
          <w:szCs w:val="20"/>
        </w:rPr>
        <w:t>,</w:t>
      </w:r>
      <w:r>
        <w:rPr>
          <w:rFonts w:ascii="Times New Roman" w:hAnsi="Times New Roman" w:eastAsia="Times New Roman" w:cs="Times New Roman"/>
          <w:sz w:val="20"/>
          <w:szCs w:val="20"/>
        </w:rPr>
        <w:t>vaccination</w:t>
      </w:r>
      <w:r>
        <w:rPr>
          <w:rFonts w:ascii="Times New Roman" w:hAnsi="Times New Roman" w:eastAsia="Times New Roman" w:cs="Times New Roman"/>
          <w:spacing w:val="5"/>
          <w:sz w:val="20"/>
          <w:szCs w:val="20"/>
        </w:rPr>
        <w:t xml:space="preserve">)  </w:t>
      </w:r>
      <w:r>
        <w:rPr>
          <w:rFonts w:ascii="宋体" w:hAnsi="宋体" w:eastAsia="宋体" w:cs="宋体"/>
          <w:spacing w:val="5"/>
          <w:sz w:val="20"/>
          <w:szCs w:val="20"/>
        </w:rPr>
        <w:t>又称人工免疫或免疫接种，是通过适宜的途径对机</w:t>
      </w:r>
      <w:r>
        <w:rPr>
          <w:rFonts w:ascii="宋体" w:hAnsi="宋体" w:eastAsia="宋体" w:cs="宋体"/>
          <w:spacing w:val="4"/>
          <w:sz w:val="20"/>
          <w:szCs w:val="20"/>
        </w:rPr>
        <w:t>体接种</w:t>
      </w:r>
      <w:r>
        <w:rPr>
          <w:rFonts w:ascii="宋体" w:hAnsi="宋体" w:eastAsia="宋体" w:cs="宋体"/>
          <w:sz w:val="20"/>
          <w:szCs w:val="20"/>
        </w:rPr>
        <w:t xml:space="preserve"> </w:t>
      </w:r>
      <w:r>
        <w:rPr>
          <w:rFonts w:ascii="宋体" w:hAnsi="宋体" w:eastAsia="宋体" w:cs="宋体"/>
          <w:spacing w:val="7"/>
          <w:sz w:val="20"/>
          <w:szCs w:val="20"/>
        </w:rPr>
        <w:t>人工制备的疫苗或抗体，使机体获得对某种传染病的特异性免疫力，以提高个体或</w:t>
      </w:r>
      <w:r>
        <w:rPr>
          <w:rFonts w:ascii="宋体" w:hAnsi="宋体" w:eastAsia="宋体" w:cs="宋体"/>
          <w:spacing w:val="6"/>
          <w:sz w:val="20"/>
          <w:szCs w:val="20"/>
        </w:rPr>
        <w:t>群体的免疫水</w:t>
      </w:r>
      <w:r>
        <w:rPr>
          <w:rFonts w:ascii="宋体" w:hAnsi="宋体" w:eastAsia="宋体" w:cs="宋体"/>
          <w:sz w:val="20"/>
          <w:szCs w:val="20"/>
        </w:rPr>
        <w:t xml:space="preserve"> </w:t>
      </w:r>
      <w:r>
        <w:rPr>
          <w:rFonts w:ascii="宋体" w:hAnsi="宋体" w:eastAsia="宋体" w:cs="宋体"/>
          <w:spacing w:val="5"/>
          <w:sz w:val="20"/>
          <w:szCs w:val="20"/>
        </w:rPr>
        <w:t>平，预防和控制相关传染病的发生和流行的一种公共卫生服务。疫苗</w:t>
      </w:r>
      <w:r>
        <w:rPr>
          <w:rFonts w:ascii="Times New Roman" w:hAnsi="Times New Roman" w:eastAsia="Times New Roman" w:cs="Times New Roman"/>
          <w:spacing w:val="5"/>
          <w:sz w:val="20"/>
          <w:szCs w:val="20"/>
        </w:rPr>
        <w:t>(</w:t>
      </w:r>
      <w:r>
        <w:rPr>
          <w:rFonts w:ascii="Times New Roman" w:hAnsi="Times New Roman" w:eastAsia="Times New Roman" w:cs="Times New Roman"/>
          <w:sz w:val="20"/>
          <w:szCs w:val="20"/>
        </w:rPr>
        <w:t>vaccine</w:t>
      </w:r>
      <w:r>
        <w:rPr>
          <w:rFonts w:ascii="Times New Roman" w:hAnsi="Times New Roman" w:eastAsia="Times New Roman" w:cs="Times New Roman"/>
          <w:spacing w:val="5"/>
          <w:sz w:val="20"/>
          <w:szCs w:val="20"/>
        </w:rPr>
        <w:t>)</w:t>
      </w:r>
      <w:r>
        <w:rPr>
          <w:rFonts w:ascii="Times New Roman" w:hAnsi="Times New Roman" w:eastAsia="Times New Roman" w:cs="Times New Roman"/>
          <w:spacing w:val="22"/>
          <w:sz w:val="20"/>
          <w:szCs w:val="20"/>
        </w:rPr>
        <w:t xml:space="preserve">  </w:t>
      </w:r>
      <w:r>
        <w:rPr>
          <w:rFonts w:ascii="宋体" w:hAnsi="宋体" w:eastAsia="宋体" w:cs="宋体"/>
          <w:spacing w:val="5"/>
          <w:sz w:val="20"/>
          <w:szCs w:val="20"/>
        </w:rPr>
        <w:t>是以病原微生物或</w:t>
      </w:r>
      <w:r>
        <w:rPr>
          <w:rFonts w:ascii="宋体" w:hAnsi="宋体" w:eastAsia="宋体" w:cs="宋体"/>
          <w:sz w:val="20"/>
          <w:szCs w:val="20"/>
        </w:rPr>
        <w:t xml:space="preserve"> </w:t>
      </w:r>
      <w:r>
        <w:rPr>
          <w:rFonts w:ascii="宋体" w:hAnsi="宋体" w:eastAsia="宋体" w:cs="宋体"/>
          <w:spacing w:val="-2"/>
          <w:sz w:val="20"/>
          <w:szCs w:val="20"/>
        </w:rPr>
        <w:t>其组成成分、代谢产物为起始材料，采用生物技术制备而成，</w:t>
      </w:r>
      <w:r>
        <w:rPr>
          <w:rFonts w:ascii="宋体" w:hAnsi="宋体" w:eastAsia="宋体" w:cs="宋体"/>
          <w:spacing w:val="-3"/>
          <w:sz w:val="20"/>
          <w:szCs w:val="20"/>
        </w:rPr>
        <w:t>用于预防、治疗人类相应疾病的生物制</w:t>
      </w:r>
      <w:r>
        <w:rPr>
          <w:rFonts w:ascii="宋体" w:hAnsi="宋体" w:eastAsia="宋体" w:cs="宋体"/>
          <w:sz w:val="20"/>
          <w:szCs w:val="20"/>
        </w:rPr>
        <w:t xml:space="preserve"> </w:t>
      </w:r>
      <w:r>
        <w:rPr>
          <w:rFonts w:ascii="宋体" w:hAnsi="宋体" w:eastAsia="宋体" w:cs="宋体"/>
          <w:spacing w:val="1"/>
          <w:sz w:val="20"/>
          <w:szCs w:val="20"/>
        </w:rPr>
        <w:t>品。预防接种包括主动免疫和被动免疫。</w:t>
      </w:r>
    </w:p>
    <w:p w14:paraId="56880C8F">
      <w:pPr>
        <w:spacing w:before="1" w:line="355" w:lineRule="auto"/>
        <w:ind w:left="649" w:right="90" w:firstLine="410"/>
        <w:jc w:val="both"/>
        <w:rPr>
          <w:rFonts w:ascii="宋体" w:hAnsi="宋体" w:eastAsia="宋体" w:cs="宋体"/>
          <w:sz w:val="20"/>
          <w:szCs w:val="20"/>
        </w:rPr>
      </w:pPr>
      <w:r>
        <w:rPr>
          <w:rFonts w:ascii="宋体" w:hAnsi="宋体" w:eastAsia="宋体" w:cs="宋体"/>
          <w:spacing w:val="2"/>
          <w:sz w:val="20"/>
          <w:szCs w:val="20"/>
        </w:rPr>
        <w:t>主动免疫</w:t>
      </w:r>
      <w:r>
        <w:rPr>
          <w:rFonts w:ascii="Times New Roman" w:hAnsi="Times New Roman" w:eastAsia="Times New Roman" w:cs="Times New Roman"/>
          <w:spacing w:val="2"/>
          <w:sz w:val="20"/>
          <w:szCs w:val="20"/>
        </w:rPr>
        <w:t>(</w:t>
      </w:r>
      <w:r>
        <w:rPr>
          <w:rFonts w:ascii="Times New Roman" w:hAnsi="Times New Roman" w:eastAsia="Times New Roman" w:cs="Times New Roman"/>
          <w:sz w:val="20"/>
          <w:szCs w:val="20"/>
        </w:rPr>
        <w:t>active</w:t>
      </w:r>
      <w:r>
        <w:rPr>
          <w:rFonts w:ascii="Times New Roman" w:hAnsi="Times New Roman" w:eastAsia="Times New Roman" w:cs="Times New Roman"/>
          <w:spacing w:val="2"/>
          <w:sz w:val="20"/>
          <w:szCs w:val="20"/>
        </w:rPr>
        <w:t xml:space="preserve">  </w:t>
      </w:r>
      <w:r>
        <w:rPr>
          <w:rFonts w:ascii="Times New Roman" w:hAnsi="Times New Roman" w:eastAsia="Times New Roman" w:cs="Times New Roman"/>
          <w:sz w:val="20"/>
          <w:szCs w:val="20"/>
        </w:rPr>
        <w:t>immunization</w:t>
      </w:r>
      <w:r>
        <w:rPr>
          <w:rFonts w:ascii="Times New Roman" w:hAnsi="Times New Roman" w:eastAsia="Times New Roman" w:cs="Times New Roman"/>
          <w:spacing w:val="2"/>
          <w:sz w:val="20"/>
          <w:szCs w:val="20"/>
        </w:rPr>
        <w:t>)</w:t>
      </w:r>
      <w:r>
        <w:rPr>
          <w:rFonts w:ascii="宋体" w:hAnsi="宋体" w:eastAsia="宋体" w:cs="宋体"/>
          <w:spacing w:val="2"/>
          <w:sz w:val="20"/>
          <w:szCs w:val="20"/>
        </w:rPr>
        <w:t>指将疫苗接种到机体，使</w:t>
      </w:r>
      <w:r>
        <w:rPr>
          <w:rFonts w:ascii="宋体" w:hAnsi="宋体" w:eastAsia="宋体" w:cs="宋体"/>
          <w:spacing w:val="1"/>
          <w:sz w:val="20"/>
          <w:szCs w:val="20"/>
        </w:rPr>
        <w:t>之产生特异性免疫，是最常见的预防接</w:t>
      </w:r>
      <w:r>
        <w:rPr>
          <w:rFonts w:ascii="宋体" w:hAnsi="宋体" w:eastAsia="宋体" w:cs="宋体"/>
          <w:sz w:val="20"/>
          <w:szCs w:val="20"/>
        </w:rPr>
        <w:t xml:space="preserve"> </w:t>
      </w:r>
      <w:r>
        <w:rPr>
          <w:rFonts w:ascii="宋体" w:hAnsi="宋体" w:eastAsia="宋体" w:cs="宋体"/>
          <w:spacing w:val="4"/>
          <w:sz w:val="20"/>
          <w:szCs w:val="20"/>
        </w:rPr>
        <w:t>种形式。被动免疫</w:t>
      </w:r>
      <w:r>
        <w:rPr>
          <w:rFonts w:ascii="Times New Roman" w:hAnsi="Times New Roman" w:eastAsia="Times New Roman" w:cs="Times New Roman"/>
          <w:spacing w:val="4"/>
          <w:sz w:val="20"/>
          <w:szCs w:val="20"/>
        </w:rPr>
        <w:t>(</w:t>
      </w:r>
      <w:r>
        <w:rPr>
          <w:rFonts w:ascii="Times New Roman" w:hAnsi="Times New Roman" w:eastAsia="Times New Roman" w:cs="Times New Roman"/>
          <w:sz w:val="20"/>
          <w:szCs w:val="20"/>
        </w:rPr>
        <w:t>passive</w:t>
      </w:r>
      <w:r>
        <w:rPr>
          <w:rFonts w:ascii="Times New Roman" w:hAnsi="Times New Roman" w:eastAsia="Times New Roman" w:cs="Times New Roman"/>
          <w:spacing w:val="4"/>
          <w:sz w:val="20"/>
          <w:szCs w:val="20"/>
        </w:rPr>
        <w:t xml:space="preserve">  </w:t>
      </w:r>
      <w:r>
        <w:rPr>
          <w:rFonts w:ascii="Times New Roman" w:hAnsi="Times New Roman" w:eastAsia="Times New Roman" w:cs="Times New Roman"/>
          <w:sz w:val="20"/>
          <w:szCs w:val="20"/>
        </w:rPr>
        <w:t>immunization</w:t>
      </w:r>
      <w:r>
        <w:rPr>
          <w:rFonts w:ascii="Times New Roman" w:hAnsi="Times New Roman" w:eastAsia="Times New Roman" w:cs="Times New Roman"/>
          <w:spacing w:val="4"/>
          <w:sz w:val="20"/>
          <w:szCs w:val="20"/>
        </w:rPr>
        <w:t>)</w:t>
      </w:r>
      <w:r>
        <w:rPr>
          <w:rFonts w:ascii="宋体" w:hAnsi="宋体" w:eastAsia="宋体" w:cs="宋体"/>
          <w:spacing w:val="4"/>
          <w:sz w:val="20"/>
          <w:szCs w:val="20"/>
        </w:rPr>
        <w:t>是人体接种含特异性抗体的血清或制剂，使机体被动地获</w:t>
      </w:r>
      <w:r>
        <w:rPr>
          <w:rFonts w:ascii="宋体" w:hAnsi="宋体" w:eastAsia="宋体" w:cs="宋体"/>
          <w:spacing w:val="6"/>
          <w:sz w:val="20"/>
          <w:szCs w:val="20"/>
        </w:rPr>
        <w:t xml:space="preserve"> </w:t>
      </w:r>
      <w:r>
        <w:rPr>
          <w:rFonts w:ascii="宋体" w:hAnsi="宋体" w:eastAsia="宋体" w:cs="宋体"/>
          <w:spacing w:val="2"/>
          <w:sz w:val="20"/>
          <w:szCs w:val="20"/>
        </w:rPr>
        <w:t xml:space="preserve">得特异性免疫力而受到保护。被动免疫接种后即产生免疫力，见效快，但维持时间较短，不会产生 </w:t>
      </w:r>
      <w:r>
        <w:rPr>
          <w:rFonts w:ascii="宋体" w:hAnsi="宋体" w:eastAsia="宋体" w:cs="宋体"/>
          <w:spacing w:val="-1"/>
          <w:sz w:val="20"/>
          <w:szCs w:val="20"/>
        </w:rPr>
        <w:t>免疫记忆，常用于疫情发生时的紧急预防或治疗，或用于特殊人</w:t>
      </w:r>
      <w:r>
        <w:rPr>
          <w:rFonts w:ascii="宋体" w:hAnsi="宋体" w:eastAsia="宋体" w:cs="宋体"/>
          <w:spacing w:val="-2"/>
          <w:sz w:val="20"/>
          <w:szCs w:val="20"/>
        </w:rPr>
        <w:t>群的免疫预防。</w:t>
      </w:r>
    </w:p>
    <w:p w14:paraId="0D4C8AD2">
      <w:pPr>
        <w:spacing w:before="4" w:line="342" w:lineRule="auto"/>
        <w:ind w:left="649" w:firstLine="410"/>
        <w:jc w:val="both"/>
        <w:rPr>
          <w:rFonts w:ascii="宋体" w:hAnsi="宋体" w:eastAsia="宋体" w:cs="宋体"/>
          <w:sz w:val="20"/>
          <w:szCs w:val="20"/>
        </w:rPr>
      </w:pPr>
      <w:r>
        <w:rPr>
          <w:rFonts w:ascii="宋体" w:hAnsi="宋体" w:eastAsia="宋体" w:cs="宋体"/>
          <w:spacing w:val="2"/>
          <w:sz w:val="20"/>
          <w:szCs w:val="20"/>
        </w:rPr>
        <w:t>在某些特殊情况下，为了增强保护效果，会同时采用主动免疫和被动免疫，使机</w:t>
      </w:r>
      <w:r>
        <w:rPr>
          <w:rFonts w:ascii="宋体" w:hAnsi="宋体" w:eastAsia="宋体" w:cs="宋体"/>
          <w:spacing w:val="1"/>
          <w:sz w:val="20"/>
          <w:szCs w:val="20"/>
        </w:rPr>
        <w:t>体在迅速获得</w:t>
      </w:r>
      <w:r>
        <w:rPr>
          <w:rFonts w:ascii="宋体" w:hAnsi="宋体" w:eastAsia="宋体" w:cs="宋体"/>
          <w:sz w:val="20"/>
          <w:szCs w:val="20"/>
        </w:rPr>
        <w:t xml:space="preserve">  </w:t>
      </w:r>
      <w:r>
        <w:rPr>
          <w:rFonts w:ascii="宋体" w:hAnsi="宋体" w:eastAsia="宋体" w:cs="宋体"/>
          <w:spacing w:val="4"/>
          <w:sz w:val="20"/>
          <w:szCs w:val="20"/>
        </w:rPr>
        <w:t>特异性抗体的同时，刺激机体产生持久的免疫力。例如，对于乙肝表面抗原阳性母亲所生新生儿，</w:t>
      </w:r>
      <w:r>
        <w:rPr>
          <w:rFonts w:ascii="宋体" w:hAnsi="宋体" w:eastAsia="宋体" w:cs="宋体"/>
          <w:spacing w:val="7"/>
          <w:sz w:val="20"/>
          <w:szCs w:val="20"/>
        </w:rPr>
        <w:t xml:space="preserve"> </w:t>
      </w:r>
      <w:r>
        <w:rPr>
          <w:rFonts w:ascii="宋体" w:hAnsi="宋体" w:eastAsia="宋体" w:cs="宋体"/>
          <w:spacing w:val="2"/>
          <w:sz w:val="20"/>
          <w:szCs w:val="20"/>
        </w:rPr>
        <w:t>需实施母婴阻断，在出生时接种乙肝疫苗并注射乙肝免疫球蛋白；狂犬病暴露时，除接种狂犬病疫</w:t>
      </w:r>
      <w:r>
        <w:rPr>
          <w:rFonts w:ascii="宋体" w:hAnsi="宋体" w:eastAsia="宋体" w:cs="宋体"/>
          <w:spacing w:val="1"/>
          <w:sz w:val="20"/>
          <w:szCs w:val="20"/>
        </w:rPr>
        <w:t xml:space="preserve">  </w:t>
      </w:r>
      <w:r>
        <w:rPr>
          <w:rFonts w:ascii="宋体" w:hAnsi="宋体" w:eastAsia="宋体" w:cs="宋体"/>
          <w:spacing w:val="-3"/>
          <w:sz w:val="20"/>
          <w:szCs w:val="20"/>
        </w:rPr>
        <w:t>苗外，必要时还需注射抗狂犬病被动免疫制剂。</w:t>
      </w:r>
    </w:p>
    <w:p w14:paraId="3F178C4D">
      <w:pPr>
        <w:spacing w:before="6" w:line="353" w:lineRule="auto"/>
        <w:ind w:left="649" w:right="86" w:firstLine="410"/>
        <w:jc w:val="both"/>
        <w:rPr>
          <w:rFonts w:ascii="宋体" w:hAnsi="宋体" w:eastAsia="宋体" w:cs="宋体"/>
          <w:sz w:val="20"/>
          <w:szCs w:val="20"/>
        </w:rPr>
      </w:pPr>
      <w:r>
        <w:rPr>
          <w:rFonts w:ascii="宋体" w:hAnsi="宋体" w:eastAsia="宋体" w:cs="宋体"/>
          <w:spacing w:val="2"/>
          <w:sz w:val="20"/>
          <w:szCs w:val="20"/>
        </w:rPr>
        <w:t>预防接种通常指主动免疫，即接种疫苗。根据疫苗免疫活性、成分类别以及制造技术路线，已</w:t>
      </w:r>
      <w:r>
        <w:rPr>
          <w:rFonts w:ascii="宋体" w:hAnsi="宋体" w:eastAsia="宋体" w:cs="宋体"/>
          <w:sz w:val="20"/>
          <w:szCs w:val="20"/>
        </w:rPr>
        <w:t xml:space="preserve"> </w:t>
      </w:r>
      <w:r>
        <w:rPr>
          <w:rFonts w:ascii="宋体" w:hAnsi="宋体" w:eastAsia="宋体" w:cs="宋体"/>
          <w:spacing w:val="-3"/>
          <w:sz w:val="20"/>
          <w:szCs w:val="20"/>
        </w:rPr>
        <w:t>广泛使用的疫苗主要分为以下几类：减毒活疫苗、灭活疫苗、类毒素、亚单位疫苗、结合疫苗、重组</w:t>
      </w:r>
      <w:r>
        <w:rPr>
          <w:rFonts w:ascii="宋体" w:hAnsi="宋体" w:eastAsia="宋体" w:cs="宋体"/>
          <w:spacing w:val="17"/>
          <w:sz w:val="20"/>
          <w:szCs w:val="20"/>
        </w:rPr>
        <w:t xml:space="preserve"> </w:t>
      </w:r>
      <w:r>
        <w:rPr>
          <w:rFonts w:ascii="宋体" w:hAnsi="宋体" w:eastAsia="宋体" w:cs="宋体"/>
          <w:spacing w:val="-3"/>
          <w:sz w:val="20"/>
          <w:szCs w:val="20"/>
        </w:rPr>
        <w:t>蛋白疫苗、载体疫苗和核酸疫苗。</w:t>
      </w:r>
    </w:p>
    <w:p w14:paraId="1D2081B8">
      <w:pPr>
        <w:pStyle w:val="2"/>
        <w:spacing w:before="171" w:line="222" w:lineRule="auto"/>
        <w:ind w:left="1063"/>
        <w:outlineLvl w:val="4"/>
        <w:rPr>
          <w:sz w:val="25"/>
          <w:szCs w:val="25"/>
        </w:rPr>
      </w:pPr>
      <w:bookmarkStart w:id="328" w:name="bookmark207"/>
      <w:bookmarkEnd w:id="328"/>
      <w:r>
        <w:rPr>
          <w:b/>
          <w:bCs/>
          <w:spacing w:val="-7"/>
          <w:sz w:val="25"/>
          <w:szCs w:val="25"/>
        </w:rPr>
        <w:t>二、免疫规划</w:t>
      </w:r>
    </w:p>
    <w:p w14:paraId="58B4E618">
      <w:pPr>
        <w:pStyle w:val="2"/>
        <w:spacing w:before="278" w:line="221" w:lineRule="auto"/>
        <w:ind w:left="1062"/>
        <w:rPr>
          <w:sz w:val="20"/>
          <w:szCs w:val="20"/>
        </w:rPr>
      </w:pPr>
      <w:r>
        <w:rPr>
          <w:b/>
          <w:bCs/>
          <w:spacing w:val="18"/>
          <w:sz w:val="20"/>
          <w:szCs w:val="20"/>
        </w:rPr>
        <w:t>(一)免疫规划的概念与内容</w:t>
      </w:r>
    </w:p>
    <w:p w14:paraId="029144FE">
      <w:pPr>
        <w:tabs>
          <w:tab w:val="left" w:pos="649"/>
        </w:tabs>
        <w:spacing w:before="122" w:line="348" w:lineRule="auto"/>
        <w:ind w:left="549" w:right="54" w:firstLine="510"/>
        <w:jc w:val="both"/>
        <w:rPr>
          <w:rFonts w:ascii="宋体" w:hAnsi="宋体" w:eastAsia="宋体" w:cs="宋体"/>
          <w:sz w:val="20"/>
          <w:szCs w:val="20"/>
        </w:rPr>
      </w:pPr>
      <w:r>
        <w:rPr>
          <w:rFonts w:ascii="宋体" w:hAnsi="宋体" w:eastAsia="宋体" w:cs="宋体"/>
          <w:spacing w:val="9"/>
          <w:sz w:val="20"/>
          <w:szCs w:val="20"/>
        </w:rPr>
        <w:t>疫苗可以分为免疫规划疫苗和非免疫规划疫苗两类。1974年，</w:t>
      </w:r>
      <w:r>
        <w:rPr>
          <w:rFonts w:ascii="Times New Roman" w:hAnsi="Times New Roman" w:eastAsia="Times New Roman" w:cs="Times New Roman"/>
          <w:sz w:val="20"/>
          <w:szCs w:val="20"/>
        </w:rPr>
        <w:t>WHO</w:t>
      </w:r>
      <w:r>
        <w:rPr>
          <w:rFonts w:ascii="Times New Roman" w:hAnsi="Times New Roman" w:eastAsia="Times New Roman" w:cs="Times New Roman"/>
          <w:spacing w:val="9"/>
          <w:sz w:val="20"/>
          <w:szCs w:val="20"/>
        </w:rPr>
        <w:t xml:space="preserve"> </w:t>
      </w:r>
      <w:r>
        <w:rPr>
          <w:rFonts w:ascii="宋体" w:hAnsi="宋体" w:eastAsia="宋体" w:cs="宋体"/>
          <w:spacing w:val="9"/>
          <w:sz w:val="20"/>
          <w:szCs w:val="20"/>
        </w:rPr>
        <w:t>提出全球扩大</w:t>
      </w:r>
      <w:r>
        <w:rPr>
          <w:rFonts w:ascii="宋体" w:hAnsi="宋体" w:eastAsia="宋体" w:cs="宋体"/>
          <w:spacing w:val="8"/>
          <w:sz w:val="20"/>
          <w:szCs w:val="20"/>
        </w:rPr>
        <w:t>免疫规划</w:t>
      </w:r>
      <w:r>
        <w:rPr>
          <w:rFonts w:ascii="宋体" w:hAnsi="宋体" w:eastAsia="宋体" w:cs="宋体"/>
          <w:sz w:val="20"/>
          <w:szCs w:val="20"/>
        </w:rPr>
        <w:t xml:space="preserve"> </w:t>
      </w:r>
      <w:r>
        <w:rPr>
          <w:rFonts w:ascii="Times New Roman" w:hAnsi="Times New Roman" w:eastAsia="Times New Roman" w:cs="Times New Roman"/>
          <w:sz w:val="20"/>
          <w:szCs w:val="20"/>
        </w:rPr>
        <w:tab/>
      </w:r>
      <w:r>
        <w:rPr>
          <w:rFonts w:ascii="Times New Roman" w:hAnsi="Times New Roman" w:eastAsia="Times New Roman" w:cs="Times New Roman"/>
          <w:spacing w:val="7"/>
          <w:sz w:val="20"/>
          <w:szCs w:val="20"/>
        </w:rPr>
        <w:t>(</w:t>
      </w:r>
      <w:r>
        <w:rPr>
          <w:rFonts w:ascii="Times New Roman" w:hAnsi="Times New Roman" w:eastAsia="Times New Roman" w:cs="Times New Roman"/>
          <w:sz w:val="20"/>
          <w:szCs w:val="20"/>
        </w:rPr>
        <w:t>expanded</w:t>
      </w:r>
      <w:r>
        <w:rPr>
          <w:rFonts w:ascii="Times New Roman" w:hAnsi="Times New Roman" w:eastAsia="Times New Roman" w:cs="Times New Roman"/>
          <w:spacing w:val="21"/>
          <w:w w:val="101"/>
          <w:sz w:val="20"/>
          <w:szCs w:val="20"/>
        </w:rPr>
        <w:t xml:space="preserve">  </w:t>
      </w:r>
      <w:r>
        <w:rPr>
          <w:rFonts w:ascii="Times New Roman" w:hAnsi="Times New Roman" w:eastAsia="Times New Roman" w:cs="Times New Roman"/>
          <w:sz w:val="20"/>
          <w:szCs w:val="20"/>
        </w:rPr>
        <w:t>program</w:t>
      </w:r>
      <w:r>
        <w:rPr>
          <w:rFonts w:ascii="Times New Roman" w:hAnsi="Times New Roman" w:eastAsia="Times New Roman" w:cs="Times New Roman"/>
          <w:spacing w:val="24"/>
          <w:sz w:val="20"/>
          <w:szCs w:val="20"/>
        </w:rPr>
        <w:t xml:space="preserve">  </w:t>
      </w:r>
      <w:r>
        <w:rPr>
          <w:rFonts w:ascii="Times New Roman" w:hAnsi="Times New Roman" w:eastAsia="Times New Roman" w:cs="Times New Roman"/>
          <w:sz w:val="20"/>
          <w:szCs w:val="20"/>
        </w:rPr>
        <w:t>on</w:t>
      </w:r>
      <w:r>
        <w:rPr>
          <w:rFonts w:ascii="Times New Roman" w:hAnsi="Times New Roman" w:eastAsia="Times New Roman" w:cs="Times New Roman"/>
          <w:spacing w:val="23"/>
          <w:sz w:val="20"/>
          <w:szCs w:val="20"/>
        </w:rPr>
        <w:t xml:space="preserve">  </w:t>
      </w:r>
      <w:r>
        <w:rPr>
          <w:rFonts w:ascii="Times New Roman" w:hAnsi="Times New Roman" w:eastAsia="Times New Roman" w:cs="Times New Roman"/>
          <w:sz w:val="20"/>
          <w:szCs w:val="20"/>
        </w:rPr>
        <w:t>immunization</w:t>
      </w:r>
      <w:r>
        <w:rPr>
          <w:rFonts w:ascii="Times New Roman" w:hAnsi="Times New Roman" w:eastAsia="Times New Roman" w:cs="Times New Roman"/>
          <w:spacing w:val="7"/>
          <w:sz w:val="20"/>
          <w:szCs w:val="20"/>
        </w:rPr>
        <w:t>,</w:t>
      </w:r>
      <w:r>
        <w:rPr>
          <w:rFonts w:ascii="Times New Roman" w:hAnsi="Times New Roman" w:eastAsia="Times New Roman" w:cs="Times New Roman"/>
          <w:sz w:val="20"/>
          <w:szCs w:val="20"/>
        </w:rPr>
        <w:t>EPI</w:t>
      </w:r>
      <w:r>
        <w:rPr>
          <w:rFonts w:ascii="Times New Roman" w:hAnsi="Times New Roman" w:eastAsia="Times New Roman" w:cs="Times New Roman"/>
          <w:spacing w:val="7"/>
          <w:sz w:val="20"/>
          <w:szCs w:val="20"/>
        </w:rPr>
        <w:t>),</w:t>
      </w:r>
      <w:r>
        <w:rPr>
          <w:rFonts w:ascii="宋体" w:hAnsi="宋体" w:eastAsia="宋体" w:cs="宋体"/>
          <w:spacing w:val="7"/>
          <w:sz w:val="20"/>
          <w:szCs w:val="20"/>
        </w:rPr>
        <w:t>要求各成员国发展并坚持免疫方法和流行病学监测相结</w:t>
      </w:r>
      <w:r>
        <w:rPr>
          <w:rFonts w:ascii="宋体" w:hAnsi="宋体" w:eastAsia="宋体" w:cs="宋体"/>
          <w:sz w:val="20"/>
          <w:szCs w:val="20"/>
        </w:rPr>
        <w:t xml:space="preserve"> 合，防制白喉、百日咳、破伤风、麻疹、脊髓灰质炎、结核病等传染病，</w:t>
      </w:r>
      <w:r>
        <w:rPr>
          <w:rFonts w:ascii="宋体" w:hAnsi="宋体" w:eastAsia="宋体" w:cs="宋体"/>
          <w:spacing w:val="-1"/>
          <w:sz w:val="20"/>
          <w:szCs w:val="20"/>
        </w:rPr>
        <w:t>重点是提高免疫接种覆盖率</w:t>
      </w:r>
      <w:r>
        <w:rPr>
          <w:rFonts w:ascii="宋体" w:hAnsi="宋体" w:eastAsia="宋体" w:cs="宋体"/>
          <w:sz w:val="20"/>
          <w:szCs w:val="20"/>
        </w:rPr>
        <w:t xml:space="preserve"> </w:t>
      </w:r>
      <w:r>
        <w:rPr>
          <w:rFonts w:ascii="宋体" w:hAnsi="宋体" w:eastAsia="宋体" w:cs="宋体"/>
          <w:spacing w:val="13"/>
          <w:sz w:val="20"/>
          <w:szCs w:val="20"/>
        </w:rPr>
        <w:t>和不断扩大免疫接种疫苗种类。我国自20世纪50年代开始在全国开展儿童免疫接种，1978年开</w:t>
      </w:r>
      <w:r>
        <w:rPr>
          <w:rFonts w:ascii="宋体" w:hAnsi="宋体" w:eastAsia="宋体" w:cs="宋体"/>
          <w:spacing w:val="2"/>
          <w:sz w:val="20"/>
          <w:szCs w:val="20"/>
        </w:rPr>
        <w:t xml:space="preserve"> 始实行儿童计划免疫，1981年正式加人</w:t>
      </w:r>
      <w:r>
        <w:rPr>
          <w:rFonts w:ascii="宋体" w:hAnsi="宋体" w:eastAsia="宋体" w:cs="宋体"/>
          <w:sz w:val="20"/>
          <w:szCs w:val="20"/>
        </w:rPr>
        <w:t>EPI</w:t>
      </w:r>
      <w:r>
        <w:rPr>
          <w:rFonts w:ascii="宋体" w:hAnsi="宋体" w:eastAsia="宋体" w:cs="宋体"/>
          <w:spacing w:val="-54"/>
          <w:sz w:val="20"/>
          <w:szCs w:val="20"/>
        </w:rPr>
        <w:t xml:space="preserve"> </w:t>
      </w:r>
      <w:r>
        <w:rPr>
          <w:rFonts w:ascii="宋体" w:hAnsi="宋体" w:eastAsia="宋体" w:cs="宋体"/>
          <w:spacing w:val="2"/>
          <w:sz w:val="20"/>
          <w:szCs w:val="20"/>
        </w:rPr>
        <w:t>行动，并引入“免疫规划”的概念</w:t>
      </w:r>
      <w:r>
        <w:rPr>
          <w:rFonts w:ascii="宋体" w:hAnsi="宋体" w:eastAsia="宋体" w:cs="宋体"/>
          <w:spacing w:val="1"/>
          <w:sz w:val="20"/>
          <w:szCs w:val="20"/>
        </w:rPr>
        <w:t>，逐渐取代沿用多年的</w:t>
      </w:r>
      <w:r>
        <w:rPr>
          <w:rFonts w:ascii="宋体" w:hAnsi="宋体" w:eastAsia="宋体" w:cs="宋体"/>
          <w:sz w:val="20"/>
          <w:szCs w:val="20"/>
        </w:rPr>
        <w:t xml:space="preserve"> </w:t>
      </w:r>
      <w:r>
        <w:rPr>
          <w:rFonts w:ascii="宋体" w:hAnsi="宋体" w:eastAsia="宋体" w:cs="宋体"/>
          <w:spacing w:val="-5"/>
          <w:sz w:val="20"/>
          <w:szCs w:val="20"/>
        </w:rPr>
        <w:t>“计划免疫”一词。</w:t>
      </w:r>
    </w:p>
    <w:p w14:paraId="719E228A">
      <w:pPr>
        <w:spacing w:line="350" w:lineRule="auto"/>
        <w:ind w:left="649" w:right="54" w:firstLine="410"/>
        <w:jc w:val="both"/>
        <w:rPr>
          <w:rFonts w:ascii="宋体" w:hAnsi="宋体" w:eastAsia="宋体" w:cs="宋体"/>
          <w:sz w:val="20"/>
          <w:szCs w:val="20"/>
        </w:rPr>
      </w:pPr>
      <w:r>
        <w:rPr>
          <w:rFonts w:ascii="宋体" w:hAnsi="宋体" w:eastAsia="宋体" w:cs="宋体"/>
          <w:spacing w:val="13"/>
          <w:sz w:val="20"/>
          <w:szCs w:val="20"/>
        </w:rPr>
        <w:t>免疫规划是指根据国家传染病防制规划，使用有效疫苗对易感人群进行预防接种所制定的</w:t>
      </w:r>
      <w:r>
        <w:rPr>
          <w:rFonts w:ascii="宋体" w:hAnsi="宋体" w:eastAsia="宋体" w:cs="宋体"/>
          <w:spacing w:val="7"/>
          <w:sz w:val="20"/>
          <w:szCs w:val="20"/>
        </w:rPr>
        <w:t xml:space="preserve"> </w:t>
      </w:r>
      <w:r>
        <w:rPr>
          <w:rFonts w:ascii="宋体" w:hAnsi="宋体" w:eastAsia="宋体" w:cs="宋体"/>
          <w:spacing w:val="3"/>
          <w:sz w:val="20"/>
          <w:szCs w:val="20"/>
        </w:rPr>
        <w:t>规划、计划和策略，并按照确定的疫苗品种、免疫程序或者接种方案，在人</w:t>
      </w:r>
      <w:r>
        <w:rPr>
          <w:rFonts w:ascii="宋体" w:hAnsi="宋体" w:eastAsia="宋体" w:cs="宋体"/>
          <w:spacing w:val="2"/>
          <w:sz w:val="20"/>
          <w:szCs w:val="20"/>
        </w:rPr>
        <w:t>群中有计划地进行预防</w:t>
      </w:r>
      <w:r>
        <w:rPr>
          <w:rFonts w:ascii="宋体" w:hAnsi="宋体" w:eastAsia="宋体" w:cs="宋体"/>
          <w:sz w:val="20"/>
          <w:szCs w:val="20"/>
        </w:rPr>
        <w:t xml:space="preserve"> </w:t>
      </w:r>
      <w:r>
        <w:rPr>
          <w:rFonts w:ascii="宋体" w:hAnsi="宋体" w:eastAsia="宋体" w:cs="宋体"/>
          <w:spacing w:val="6"/>
          <w:sz w:val="20"/>
          <w:szCs w:val="20"/>
        </w:rPr>
        <w:t>接种。</w:t>
      </w:r>
    </w:p>
    <w:p w14:paraId="483562BC">
      <w:pPr>
        <w:spacing w:before="2" w:line="363" w:lineRule="auto"/>
        <w:ind w:left="649" w:right="49" w:firstLine="410"/>
        <w:rPr>
          <w:rFonts w:ascii="宋体" w:hAnsi="宋体" w:eastAsia="宋体" w:cs="宋体"/>
          <w:sz w:val="20"/>
          <w:szCs w:val="20"/>
        </w:rPr>
      </w:pPr>
      <w:r>
        <w:rPr>
          <w:rFonts w:ascii="宋体" w:hAnsi="宋体" w:eastAsia="宋体" w:cs="宋体"/>
          <w:spacing w:val="5"/>
          <w:sz w:val="20"/>
          <w:szCs w:val="20"/>
        </w:rPr>
        <w:t>免疫规划疫苗由政府免费提供。根据2007年12月发布的《扩大国家免疫规划实施方案》,我国</w:t>
      </w:r>
      <w:r>
        <w:rPr>
          <w:rFonts w:ascii="宋体" w:hAnsi="宋体" w:eastAsia="宋体" w:cs="宋体"/>
          <w:sz w:val="20"/>
          <w:szCs w:val="20"/>
        </w:rPr>
        <w:t xml:space="preserve"> </w:t>
      </w:r>
      <w:r>
        <w:rPr>
          <w:rFonts w:ascii="宋体" w:hAnsi="宋体" w:eastAsia="宋体" w:cs="宋体"/>
          <w:spacing w:val="2"/>
          <w:sz w:val="20"/>
          <w:szCs w:val="20"/>
        </w:rPr>
        <w:t>国家免疫规划疫苗预防的传染病共有15种，常规为适龄儿童接种预防乙型病毒性肝炎、结核病、脊</w:t>
      </w:r>
    </w:p>
    <w:p w14:paraId="559DD3BF">
      <w:pPr>
        <w:spacing w:line="363" w:lineRule="auto"/>
        <w:rPr>
          <w:rFonts w:ascii="宋体" w:hAnsi="宋体" w:eastAsia="宋体" w:cs="宋体"/>
          <w:sz w:val="20"/>
          <w:szCs w:val="20"/>
        </w:rPr>
        <w:sectPr>
          <w:footerReference r:id="rId215" w:type="default"/>
          <w:pgSz w:w="11900" w:h="16820"/>
          <w:pgMar w:top="396" w:right="1559" w:bottom="799" w:left="909" w:header="0" w:footer="619" w:gutter="0"/>
          <w:cols w:space="720" w:num="1"/>
        </w:sectPr>
      </w:pPr>
    </w:p>
    <w:p w14:paraId="192D06F9">
      <w:pPr>
        <w:spacing w:line="276" w:lineRule="auto"/>
        <w:rPr>
          <w:rFonts w:ascii="Arial"/>
          <w:sz w:val="21"/>
        </w:rPr>
      </w:pPr>
    </w:p>
    <w:p w14:paraId="38DADA36">
      <w:pPr>
        <w:pStyle w:val="2"/>
        <w:spacing w:before="69" w:line="221" w:lineRule="auto"/>
        <w:ind w:left="7029"/>
        <w:rPr>
          <w:sz w:val="21"/>
          <w:szCs w:val="21"/>
        </w:rPr>
      </w:pPr>
      <w:r>
        <w:rPr>
          <w:spacing w:val="-20"/>
          <w:w w:val="96"/>
          <w:sz w:val="21"/>
          <w:szCs w:val="21"/>
        </w:rPr>
        <w:t>第十一章 传染病流行病学</w:t>
      </w:r>
    </w:p>
    <w:p w14:paraId="32F5E699">
      <w:pPr>
        <w:spacing w:line="259" w:lineRule="auto"/>
        <w:rPr>
          <w:rFonts w:ascii="Arial"/>
          <w:sz w:val="21"/>
        </w:rPr>
      </w:pPr>
    </w:p>
    <w:p w14:paraId="12F0137E">
      <w:pPr>
        <w:spacing w:line="260" w:lineRule="auto"/>
        <w:rPr>
          <w:rFonts w:ascii="Arial"/>
          <w:sz w:val="21"/>
        </w:rPr>
      </w:pPr>
    </w:p>
    <w:p w14:paraId="7BDE96A5">
      <w:pPr>
        <w:spacing w:before="68" w:line="326" w:lineRule="auto"/>
        <w:ind w:right="635"/>
        <w:jc w:val="both"/>
        <w:rPr>
          <w:rFonts w:ascii="宋体" w:hAnsi="宋体" w:eastAsia="宋体" w:cs="宋体"/>
          <w:sz w:val="21"/>
          <w:szCs w:val="21"/>
        </w:rPr>
      </w:pPr>
      <w:r>
        <w:rPr>
          <w:rFonts w:ascii="宋体" w:hAnsi="宋体" w:eastAsia="宋体" w:cs="宋体"/>
          <w:spacing w:val="-10"/>
          <w:sz w:val="21"/>
          <w:szCs w:val="21"/>
        </w:rPr>
        <w:t>髓灰质炎、百日咳、白喉、破伤风、麻疹、</w:t>
      </w:r>
      <w:r>
        <w:rPr>
          <w:rFonts w:ascii="宋体" w:hAnsi="宋体" w:eastAsia="宋体" w:cs="宋体"/>
          <w:spacing w:val="-11"/>
          <w:sz w:val="21"/>
          <w:szCs w:val="21"/>
        </w:rPr>
        <w:t>流行性腮腺炎、风疹、流行性乙型脑炎、流行性脑脊髓膜炎、</w:t>
      </w:r>
      <w:r>
        <w:rPr>
          <w:rFonts w:ascii="宋体" w:hAnsi="宋体" w:eastAsia="宋体" w:cs="宋体"/>
          <w:sz w:val="21"/>
          <w:szCs w:val="21"/>
        </w:rPr>
        <w:t xml:space="preserve"> </w:t>
      </w:r>
      <w:r>
        <w:rPr>
          <w:rFonts w:ascii="宋体" w:hAnsi="宋体" w:eastAsia="宋体" w:cs="宋体"/>
          <w:spacing w:val="6"/>
          <w:sz w:val="21"/>
          <w:szCs w:val="21"/>
        </w:rPr>
        <w:t>甲型病毒性肝炎等12种传染病的疫苗；对重点地区、重点人群接种出血热疫苗以预防流行性出血</w:t>
      </w:r>
      <w:r>
        <w:rPr>
          <w:rFonts w:ascii="宋体" w:hAnsi="宋体" w:eastAsia="宋体" w:cs="宋体"/>
          <w:sz w:val="21"/>
          <w:szCs w:val="21"/>
        </w:rPr>
        <w:t xml:space="preserve">  </w:t>
      </w:r>
      <w:r>
        <w:rPr>
          <w:rFonts w:ascii="宋体" w:hAnsi="宋体" w:eastAsia="宋体" w:cs="宋体"/>
          <w:spacing w:val="1"/>
          <w:sz w:val="21"/>
          <w:szCs w:val="21"/>
        </w:rPr>
        <w:t>热；发生炭疽、钩端螺旋体病疫情或发生洪涝灾害可能导致钩端螺旋体病暴发流行时，对重点人群</w:t>
      </w:r>
      <w:r>
        <w:rPr>
          <w:rFonts w:ascii="宋体" w:hAnsi="宋体" w:eastAsia="宋体" w:cs="宋体"/>
          <w:spacing w:val="2"/>
          <w:sz w:val="21"/>
          <w:szCs w:val="21"/>
        </w:rPr>
        <w:t xml:space="preserve">  </w:t>
      </w:r>
      <w:r>
        <w:rPr>
          <w:rFonts w:ascii="宋体" w:hAnsi="宋体" w:eastAsia="宋体" w:cs="宋体"/>
          <w:spacing w:val="6"/>
          <w:sz w:val="21"/>
          <w:szCs w:val="21"/>
        </w:rPr>
        <w:t>进行炭疽疫苗和钩体疫苗的应急接种。非免疫规划疫苗是由居民自愿接种的、免疫规划疫苗以外</w:t>
      </w:r>
      <w:r>
        <w:rPr>
          <w:rFonts w:ascii="宋体" w:hAnsi="宋体" w:eastAsia="宋体" w:cs="宋体"/>
          <w:spacing w:val="5"/>
          <w:sz w:val="21"/>
          <w:szCs w:val="21"/>
        </w:rPr>
        <w:t xml:space="preserve">  </w:t>
      </w:r>
      <w:r>
        <w:rPr>
          <w:rFonts w:ascii="宋体" w:hAnsi="宋体" w:eastAsia="宋体" w:cs="宋体"/>
          <w:sz w:val="21"/>
          <w:szCs w:val="21"/>
        </w:rPr>
        <w:t>的其他疫苗，如戊型肝炎疫苗、流感疫苗等。</w:t>
      </w:r>
    </w:p>
    <w:p w14:paraId="74F120EF">
      <w:pPr>
        <w:spacing w:before="43" w:line="314" w:lineRule="auto"/>
        <w:ind w:right="690" w:firstLine="409"/>
        <w:jc w:val="both"/>
        <w:rPr>
          <w:rFonts w:ascii="宋体" w:hAnsi="宋体" w:eastAsia="宋体" w:cs="宋体"/>
          <w:sz w:val="21"/>
          <w:szCs w:val="21"/>
        </w:rPr>
      </w:pPr>
      <w:r>
        <w:rPr>
          <w:rFonts w:ascii="宋体" w:hAnsi="宋体" w:eastAsia="宋体" w:cs="宋体"/>
          <w:spacing w:val="8"/>
          <w:sz w:val="21"/>
          <w:szCs w:val="21"/>
        </w:rPr>
        <w:t>这两类疫苗的划分主要是根据疫苗所预防的疾病对公众健康的危</w:t>
      </w:r>
      <w:r>
        <w:rPr>
          <w:rFonts w:ascii="宋体" w:hAnsi="宋体" w:eastAsia="宋体" w:cs="宋体"/>
          <w:spacing w:val="7"/>
          <w:sz w:val="21"/>
          <w:szCs w:val="21"/>
        </w:rPr>
        <w:t>害程度、疫苗的效果和安全</w:t>
      </w:r>
      <w:r>
        <w:rPr>
          <w:rFonts w:ascii="宋体" w:hAnsi="宋体" w:eastAsia="宋体" w:cs="宋体"/>
          <w:sz w:val="21"/>
          <w:szCs w:val="21"/>
        </w:rPr>
        <w:t xml:space="preserve"> </w:t>
      </w:r>
      <w:r>
        <w:rPr>
          <w:rFonts w:ascii="宋体" w:hAnsi="宋体" w:eastAsia="宋体" w:cs="宋体"/>
          <w:spacing w:val="1"/>
          <w:sz w:val="21"/>
          <w:szCs w:val="21"/>
        </w:rPr>
        <w:t>性、疫苗的生产供应能力、政府财政负担等因素。免疫规划疫苗一般用于预防严重危害儿童健康的</w:t>
      </w:r>
      <w:r>
        <w:rPr>
          <w:rFonts w:ascii="宋体" w:hAnsi="宋体" w:eastAsia="宋体" w:cs="宋体"/>
          <w:spacing w:val="12"/>
          <w:sz w:val="21"/>
          <w:szCs w:val="21"/>
        </w:rPr>
        <w:t xml:space="preserve"> </w:t>
      </w:r>
      <w:r>
        <w:rPr>
          <w:rFonts w:ascii="宋体" w:hAnsi="宋体" w:eastAsia="宋体" w:cs="宋体"/>
          <w:spacing w:val="1"/>
          <w:sz w:val="21"/>
          <w:szCs w:val="21"/>
        </w:rPr>
        <w:t>常见传染病、发病率和死亡率相对较高的传染病、其他国家普遍纳人免疫规划的疾病以及全球要控</w:t>
      </w:r>
      <w:r>
        <w:rPr>
          <w:rFonts w:ascii="宋体" w:hAnsi="宋体" w:eastAsia="宋体" w:cs="宋体"/>
          <w:spacing w:val="4"/>
          <w:sz w:val="21"/>
          <w:szCs w:val="21"/>
        </w:rPr>
        <w:t xml:space="preserve"> </w:t>
      </w:r>
      <w:r>
        <w:rPr>
          <w:rFonts w:ascii="宋体" w:hAnsi="宋体" w:eastAsia="宋体" w:cs="宋体"/>
          <w:spacing w:val="3"/>
          <w:sz w:val="21"/>
          <w:szCs w:val="21"/>
        </w:rPr>
        <w:t>制或消灭的疾病。</w:t>
      </w:r>
    </w:p>
    <w:p w14:paraId="5ED4D864">
      <w:pPr>
        <w:pStyle w:val="2"/>
        <w:spacing w:line="221" w:lineRule="auto"/>
        <w:ind w:left="413"/>
        <w:rPr>
          <w:sz w:val="25"/>
          <w:szCs w:val="25"/>
        </w:rPr>
      </w:pPr>
      <w:r>
        <w:rPr>
          <w:b/>
          <w:bCs/>
          <w:spacing w:val="1"/>
          <w:sz w:val="25"/>
          <w:szCs w:val="25"/>
        </w:rPr>
        <w:t>(二)免疫程序</w:t>
      </w:r>
    </w:p>
    <w:p w14:paraId="2F6E4C1E">
      <w:pPr>
        <w:spacing w:before="142" w:line="328" w:lineRule="auto"/>
        <w:ind w:right="595" w:firstLine="409"/>
        <w:rPr>
          <w:rFonts w:ascii="宋体" w:hAnsi="宋体" w:eastAsia="宋体" w:cs="宋体"/>
          <w:sz w:val="21"/>
          <w:szCs w:val="21"/>
        </w:rPr>
      </w:pPr>
      <w:r>
        <w:rPr>
          <w:rFonts w:ascii="宋体" w:hAnsi="宋体" w:eastAsia="宋体" w:cs="宋体"/>
          <w:spacing w:val="-3"/>
          <w:sz w:val="21"/>
          <w:szCs w:val="21"/>
        </w:rPr>
        <w:t>免疫程序(immunization</w:t>
      </w:r>
      <w:r>
        <w:rPr>
          <w:rFonts w:ascii="宋体" w:hAnsi="宋体" w:eastAsia="宋体" w:cs="宋体"/>
          <w:spacing w:val="43"/>
          <w:sz w:val="21"/>
          <w:szCs w:val="21"/>
        </w:rPr>
        <w:t xml:space="preserve"> </w:t>
      </w:r>
      <w:r>
        <w:rPr>
          <w:rFonts w:ascii="宋体" w:hAnsi="宋体" w:eastAsia="宋体" w:cs="宋体"/>
          <w:spacing w:val="-3"/>
          <w:sz w:val="21"/>
          <w:szCs w:val="21"/>
        </w:rPr>
        <w:t>schedule)是指儿童应该接种疫苗的先后次序、起始月龄(年龄)、</w:t>
      </w:r>
      <w:r>
        <w:rPr>
          <w:rFonts w:ascii="宋体" w:hAnsi="宋体" w:eastAsia="宋体" w:cs="宋体"/>
          <w:spacing w:val="-4"/>
          <w:sz w:val="21"/>
          <w:szCs w:val="21"/>
        </w:rPr>
        <w:t>剂量、</w:t>
      </w:r>
      <w:r>
        <w:rPr>
          <w:rFonts w:ascii="宋体" w:hAnsi="宋体" w:eastAsia="宋体" w:cs="宋体"/>
          <w:sz w:val="21"/>
          <w:szCs w:val="21"/>
        </w:rPr>
        <w:t xml:space="preserve"> </w:t>
      </w:r>
      <w:r>
        <w:rPr>
          <w:rFonts w:ascii="宋体" w:hAnsi="宋体" w:eastAsia="宋体" w:cs="宋体"/>
          <w:spacing w:val="5"/>
          <w:sz w:val="21"/>
          <w:szCs w:val="21"/>
        </w:rPr>
        <w:t>间隔时间和要求，以达到合理使用疫苗的目的(表11-2</w:t>
      </w:r>
      <w:r>
        <w:rPr>
          <w:rFonts w:ascii="宋体" w:hAnsi="宋体" w:eastAsia="宋体" w:cs="宋体"/>
          <w:spacing w:val="4"/>
          <w:sz w:val="21"/>
          <w:szCs w:val="21"/>
        </w:rPr>
        <w:t>)。</w:t>
      </w:r>
    </w:p>
    <w:p w14:paraId="429635C4">
      <w:pPr>
        <w:spacing w:before="145" w:line="220" w:lineRule="auto"/>
        <w:ind w:left="319"/>
        <w:rPr>
          <w:rFonts w:ascii="宋体" w:hAnsi="宋体" w:eastAsia="宋体" w:cs="宋体"/>
          <w:sz w:val="20"/>
          <w:szCs w:val="20"/>
        </w:rPr>
      </w:pPr>
      <w:r>
        <w:rPr>
          <w:rFonts w:ascii="宋体" w:hAnsi="宋体" w:eastAsia="宋体" w:cs="宋体"/>
          <w:spacing w:val="-1"/>
          <w:sz w:val="20"/>
          <w:szCs w:val="20"/>
        </w:rPr>
        <w:t>表11-2我国扩大国家免疫规划疫苗的免疫程序</w:t>
      </w:r>
    </w:p>
    <w:p w14:paraId="38AD425E">
      <w:pPr>
        <w:spacing w:line="83" w:lineRule="auto"/>
        <w:rPr>
          <w:rFonts w:ascii="Arial"/>
          <w:sz w:val="2"/>
        </w:rPr>
      </w:pPr>
    </w:p>
    <w:tbl>
      <w:tblPr>
        <w:tblStyle w:val="5"/>
        <w:tblW w:w="9089" w:type="dxa"/>
        <w:tblInd w:w="9"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0" w:type="dxa"/>
          <w:left w:w="0" w:type="dxa"/>
          <w:bottom w:w="0" w:type="dxa"/>
          <w:right w:w="0" w:type="dxa"/>
        </w:tblCellMar>
      </w:tblPr>
      <w:tblGrid>
        <w:gridCol w:w="2569"/>
        <w:gridCol w:w="6520"/>
      </w:tblGrid>
      <w:tr w14:paraId="312DB65C">
        <w:trPr>
          <w:trHeight w:val="375" w:hRule="atLeast"/>
        </w:trPr>
        <w:tc>
          <w:tcPr>
            <w:tcW w:w="2569" w:type="dxa"/>
            <w:tcBorders>
              <w:top w:val="single" w:color="000000" w:sz="4" w:space="0"/>
              <w:bottom w:val="single" w:color="000000" w:sz="4" w:space="0"/>
            </w:tcBorders>
            <w:shd w:val="clear" w:color="auto" w:fill="ADBEB5"/>
            <w:vAlign w:val="top"/>
          </w:tcPr>
          <w:p w14:paraId="71331A3F">
            <w:pPr>
              <w:pStyle w:val="6"/>
              <w:spacing w:before="94" w:line="220" w:lineRule="auto"/>
              <w:ind w:left="1079"/>
            </w:pPr>
            <w:r>
              <w:rPr>
                <w:spacing w:val="-3"/>
              </w:rPr>
              <w:t>疫苗</w:t>
            </w:r>
          </w:p>
        </w:tc>
        <w:tc>
          <w:tcPr>
            <w:tcW w:w="6520" w:type="dxa"/>
            <w:tcBorders>
              <w:top w:val="single" w:color="000000" w:sz="4" w:space="0"/>
              <w:bottom w:val="single" w:color="000000" w:sz="4" w:space="0"/>
            </w:tcBorders>
            <w:shd w:val="clear" w:color="auto" w:fill="AEB9A8"/>
            <w:vAlign w:val="top"/>
          </w:tcPr>
          <w:p w14:paraId="6C691B02">
            <w:pPr>
              <w:pStyle w:val="6"/>
              <w:spacing w:before="93" w:line="219" w:lineRule="auto"/>
              <w:ind w:left="961"/>
            </w:pPr>
            <w:r>
              <w:t>月龄(年龄)/接种人群</w:t>
            </w:r>
          </w:p>
        </w:tc>
      </w:tr>
      <w:tr w14:paraId="22EF6527">
        <w:trPr>
          <w:trHeight w:val="359" w:hRule="atLeast"/>
        </w:trPr>
        <w:tc>
          <w:tcPr>
            <w:tcW w:w="2569" w:type="dxa"/>
            <w:tcBorders>
              <w:top w:val="single" w:color="000000" w:sz="4" w:space="0"/>
              <w:bottom w:val="single" w:color="000000" w:sz="4" w:space="0"/>
            </w:tcBorders>
            <w:vAlign w:val="top"/>
          </w:tcPr>
          <w:p w14:paraId="6828CE01">
            <w:pPr>
              <w:pStyle w:val="6"/>
              <w:spacing w:before="78" w:line="220" w:lineRule="auto"/>
              <w:ind w:left="880"/>
            </w:pPr>
            <w:r>
              <w:rPr>
                <w:spacing w:val="2"/>
              </w:rPr>
              <w:t>乙肝疫苗</w:t>
            </w:r>
          </w:p>
        </w:tc>
        <w:tc>
          <w:tcPr>
            <w:tcW w:w="6520" w:type="dxa"/>
            <w:tcBorders>
              <w:top w:val="single" w:color="000000" w:sz="4" w:space="0"/>
              <w:bottom w:val="single" w:color="000000" w:sz="4" w:space="0"/>
            </w:tcBorders>
            <w:vAlign w:val="top"/>
          </w:tcPr>
          <w:p w14:paraId="464B1AB7">
            <w:pPr>
              <w:pStyle w:val="6"/>
              <w:spacing w:before="78" w:line="219" w:lineRule="auto"/>
              <w:ind w:left="961"/>
            </w:pPr>
            <w:r>
              <w:rPr>
                <w:spacing w:val="-1"/>
              </w:rPr>
              <w:t>0月龄，1月龄，6月龄</w:t>
            </w:r>
          </w:p>
        </w:tc>
      </w:tr>
      <w:tr w14:paraId="0F57074A">
        <w:trPr>
          <w:trHeight w:val="350" w:hRule="atLeast"/>
        </w:trPr>
        <w:tc>
          <w:tcPr>
            <w:tcW w:w="2569" w:type="dxa"/>
            <w:tcBorders>
              <w:top w:val="single" w:color="000000" w:sz="4" w:space="0"/>
              <w:bottom w:val="single" w:color="000000" w:sz="4" w:space="0"/>
            </w:tcBorders>
            <w:shd w:val="clear" w:color="auto" w:fill="DAE2E7"/>
            <w:vAlign w:val="top"/>
          </w:tcPr>
          <w:p w14:paraId="54424072">
            <w:pPr>
              <w:pStyle w:val="6"/>
              <w:spacing w:before="78" w:line="219" w:lineRule="auto"/>
              <w:ind w:left="979"/>
            </w:pPr>
            <w:r>
              <w:rPr>
                <w:spacing w:val="-3"/>
              </w:rPr>
              <w:t>卡介苗</w:t>
            </w:r>
          </w:p>
        </w:tc>
        <w:tc>
          <w:tcPr>
            <w:tcW w:w="6520" w:type="dxa"/>
            <w:tcBorders>
              <w:top w:val="single" w:color="000000" w:sz="4" w:space="0"/>
              <w:bottom w:val="single" w:color="000000" w:sz="4" w:space="0"/>
            </w:tcBorders>
            <w:shd w:val="clear" w:color="auto" w:fill="D8D9D4"/>
            <w:vAlign w:val="top"/>
          </w:tcPr>
          <w:p w14:paraId="72A17D86">
            <w:pPr>
              <w:pStyle w:val="6"/>
              <w:spacing w:before="81" w:line="221" w:lineRule="auto"/>
              <w:ind w:left="961"/>
            </w:pPr>
            <w:r>
              <w:rPr>
                <w:spacing w:val="3"/>
              </w:rPr>
              <w:t>出生时</w:t>
            </w:r>
          </w:p>
        </w:tc>
      </w:tr>
      <w:tr w14:paraId="281594CC">
        <w:trPr>
          <w:trHeight w:val="349" w:hRule="atLeast"/>
        </w:trPr>
        <w:tc>
          <w:tcPr>
            <w:tcW w:w="2569" w:type="dxa"/>
            <w:tcBorders>
              <w:top w:val="single" w:color="000000" w:sz="4" w:space="0"/>
              <w:bottom w:val="single" w:color="000000" w:sz="4" w:space="0"/>
            </w:tcBorders>
            <w:vAlign w:val="top"/>
          </w:tcPr>
          <w:p w14:paraId="5510AC60">
            <w:pPr>
              <w:pStyle w:val="6"/>
              <w:spacing w:before="77" w:line="219" w:lineRule="auto"/>
              <w:ind w:left="580"/>
            </w:pPr>
            <w:r>
              <w:rPr>
                <w:spacing w:val="-2"/>
              </w:rPr>
              <w:t>脊髓灰质炎疫苗</w:t>
            </w:r>
          </w:p>
        </w:tc>
        <w:tc>
          <w:tcPr>
            <w:tcW w:w="6520" w:type="dxa"/>
            <w:tcBorders>
              <w:top w:val="single" w:color="000000" w:sz="4" w:space="0"/>
              <w:bottom w:val="single" w:color="000000" w:sz="4" w:space="0"/>
            </w:tcBorders>
            <w:vAlign w:val="top"/>
          </w:tcPr>
          <w:p w14:paraId="317B84C5">
            <w:pPr>
              <w:pStyle w:val="6"/>
              <w:spacing w:before="79" w:line="219" w:lineRule="auto"/>
              <w:ind w:left="961"/>
            </w:pPr>
            <w:r>
              <w:rPr>
                <w:spacing w:val="1"/>
              </w:rPr>
              <w:t>2月龄，3月龄，4月龄，4岁</w:t>
            </w:r>
          </w:p>
        </w:tc>
      </w:tr>
      <w:tr w14:paraId="1B13FC2B">
        <w:trPr>
          <w:trHeight w:val="349" w:hRule="atLeast"/>
        </w:trPr>
        <w:tc>
          <w:tcPr>
            <w:tcW w:w="2569" w:type="dxa"/>
            <w:tcBorders>
              <w:top w:val="single" w:color="000000" w:sz="4" w:space="0"/>
              <w:bottom w:val="single" w:color="000000" w:sz="4" w:space="0"/>
            </w:tcBorders>
            <w:shd w:val="clear" w:color="auto" w:fill="DFE5EB"/>
            <w:vAlign w:val="top"/>
          </w:tcPr>
          <w:p w14:paraId="5DE8CEC5">
            <w:pPr>
              <w:pStyle w:val="6"/>
              <w:spacing w:before="80" w:line="220" w:lineRule="auto"/>
              <w:ind w:left="779"/>
            </w:pPr>
            <w:r>
              <w:rPr>
                <w:spacing w:val="1"/>
              </w:rPr>
              <w:t>百白破疫苗</w:t>
            </w:r>
          </w:p>
        </w:tc>
        <w:tc>
          <w:tcPr>
            <w:tcW w:w="6520" w:type="dxa"/>
            <w:tcBorders>
              <w:top w:val="single" w:color="000000" w:sz="4" w:space="0"/>
              <w:bottom w:val="single" w:color="000000" w:sz="4" w:space="0"/>
            </w:tcBorders>
            <w:shd w:val="clear" w:color="auto" w:fill="D8D9D6"/>
            <w:vAlign w:val="top"/>
          </w:tcPr>
          <w:p w14:paraId="472059E1">
            <w:pPr>
              <w:pStyle w:val="6"/>
              <w:spacing w:before="80" w:line="219" w:lineRule="auto"/>
              <w:ind w:left="961"/>
            </w:pPr>
            <w:r>
              <w:rPr>
                <w:spacing w:val="1"/>
              </w:rPr>
              <w:t>2月龄，4月龄，6月龄，18月龄，6岁</w:t>
            </w:r>
          </w:p>
        </w:tc>
      </w:tr>
      <w:tr w14:paraId="26A3E08E">
        <w:trPr>
          <w:trHeight w:val="359" w:hRule="atLeast"/>
        </w:trPr>
        <w:tc>
          <w:tcPr>
            <w:tcW w:w="2569" w:type="dxa"/>
            <w:tcBorders>
              <w:top w:val="single" w:color="000000" w:sz="4" w:space="0"/>
              <w:bottom w:val="single" w:color="000000" w:sz="4" w:space="0"/>
            </w:tcBorders>
            <w:vAlign w:val="top"/>
          </w:tcPr>
          <w:p w14:paraId="676BF54C">
            <w:pPr>
              <w:pStyle w:val="6"/>
              <w:spacing w:before="81" w:line="220" w:lineRule="auto"/>
              <w:ind w:left="779"/>
            </w:pPr>
            <w:r>
              <w:rPr>
                <w:spacing w:val="-2"/>
              </w:rPr>
              <w:t>麻腮风疫苗</w:t>
            </w:r>
          </w:p>
        </w:tc>
        <w:tc>
          <w:tcPr>
            <w:tcW w:w="6520" w:type="dxa"/>
            <w:tcBorders>
              <w:top w:val="single" w:color="000000" w:sz="4" w:space="0"/>
              <w:bottom w:val="single" w:color="000000" w:sz="4" w:space="0"/>
            </w:tcBorders>
            <w:vAlign w:val="top"/>
          </w:tcPr>
          <w:p w14:paraId="60CBF592">
            <w:pPr>
              <w:pStyle w:val="6"/>
              <w:spacing w:before="81" w:line="219" w:lineRule="auto"/>
              <w:ind w:left="961"/>
            </w:pPr>
            <w:r>
              <w:rPr>
                <w:spacing w:val="-1"/>
              </w:rPr>
              <w:t>8月龄，18月龄</w:t>
            </w:r>
          </w:p>
        </w:tc>
      </w:tr>
      <w:tr w14:paraId="51823F70">
        <w:trPr>
          <w:trHeight w:val="349" w:hRule="atLeast"/>
        </w:trPr>
        <w:tc>
          <w:tcPr>
            <w:tcW w:w="2569" w:type="dxa"/>
            <w:tcBorders>
              <w:top w:val="single" w:color="000000" w:sz="4" w:space="0"/>
              <w:bottom w:val="single" w:color="000000" w:sz="4" w:space="0"/>
            </w:tcBorders>
            <w:shd w:val="clear" w:color="auto" w:fill="DCE0E5"/>
            <w:vAlign w:val="top"/>
          </w:tcPr>
          <w:p w14:paraId="5CF4F419">
            <w:pPr>
              <w:pStyle w:val="6"/>
              <w:spacing w:before="82" w:line="219" w:lineRule="auto"/>
              <w:ind w:left="580"/>
            </w:pPr>
            <w:r>
              <w:rPr>
                <w:spacing w:val="1"/>
              </w:rPr>
              <w:t>乙脑减毒活疫苗</w:t>
            </w:r>
          </w:p>
        </w:tc>
        <w:tc>
          <w:tcPr>
            <w:tcW w:w="6520" w:type="dxa"/>
            <w:tcBorders>
              <w:top w:val="single" w:color="000000" w:sz="4" w:space="0"/>
              <w:bottom w:val="single" w:color="000000" w:sz="4" w:space="0"/>
            </w:tcBorders>
            <w:shd w:val="clear" w:color="auto" w:fill="D8D9D6"/>
            <w:vAlign w:val="top"/>
          </w:tcPr>
          <w:p w14:paraId="1139B2CE">
            <w:pPr>
              <w:pStyle w:val="6"/>
              <w:spacing w:before="82" w:line="219" w:lineRule="auto"/>
              <w:ind w:left="961"/>
            </w:pPr>
            <w:r>
              <w:rPr>
                <w:spacing w:val="4"/>
              </w:rPr>
              <w:t>8月龄，2岁</w:t>
            </w:r>
          </w:p>
        </w:tc>
      </w:tr>
      <w:tr w14:paraId="24775FCC">
        <w:trPr>
          <w:trHeight w:val="359" w:hRule="atLeast"/>
        </w:trPr>
        <w:tc>
          <w:tcPr>
            <w:tcW w:w="2569" w:type="dxa"/>
            <w:tcBorders>
              <w:top w:val="single" w:color="000000" w:sz="4" w:space="0"/>
              <w:bottom w:val="single" w:color="000000" w:sz="4" w:space="0"/>
            </w:tcBorders>
            <w:vAlign w:val="top"/>
          </w:tcPr>
          <w:p w14:paraId="141DFCD4">
            <w:pPr>
              <w:pStyle w:val="6"/>
              <w:spacing w:before="83" w:line="220" w:lineRule="auto"/>
              <w:ind w:left="679"/>
            </w:pPr>
            <w:r>
              <w:rPr>
                <w:spacing w:val="1"/>
              </w:rPr>
              <w:t>乙脑灭活疫苗</w:t>
            </w:r>
          </w:p>
        </w:tc>
        <w:tc>
          <w:tcPr>
            <w:tcW w:w="6520" w:type="dxa"/>
            <w:tcBorders>
              <w:top w:val="single" w:color="000000" w:sz="4" w:space="0"/>
              <w:bottom w:val="single" w:color="000000" w:sz="4" w:space="0"/>
            </w:tcBorders>
            <w:vAlign w:val="top"/>
          </w:tcPr>
          <w:p w14:paraId="3F220B43">
            <w:pPr>
              <w:pStyle w:val="6"/>
              <w:spacing w:before="80" w:line="216" w:lineRule="auto"/>
              <w:ind w:left="961"/>
            </w:pPr>
            <w:r>
              <w:rPr>
                <w:spacing w:val="1"/>
              </w:rPr>
              <w:t>8月龄(2剂次),2岁，6岁</w:t>
            </w:r>
          </w:p>
        </w:tc>
      </w:tr>
      <w:tr w14:paraId="588E0232">
        <w:trPr>
          <w:trHeight w:val="350" w:hRule="atLeast"/>
        </w:trPr>
        <w:tc>
          <w:tcPr>
            <w:tcW w:w="2569" w:type="dxa"/>
            <w:tcBorders>
              <w:top w:val="single" w:color="000000" w:sz="4" w:space="0"/>
              <w:bottom w:val="single" w:color="000000" w:sz="4" w:space="0"/>
            </w:tcBorders>
            <w:shd w:val="clear" w:color="auto" w:fill="DADCE2"/>
            <w:vAlign w:val="top"/>
          </w:tcPr>
          <w:p w14:paraId="2F0DD8CB">
            <w:pPr>
              <w:pStyle w:val="6"/>
              <w:spacing w:before="84" w:line="219" w:lineRule="auto"/>
              <w:ind w:left="729"/>
            </w:pPr>
            <w:r>
              <w:rPr>
                <w:spacing w:val="-1"/>
              </w:rPr>
              <w:t>A群流脑疫苗</w:t>
            </w:r>
          </w:p>
        </w:tc>
        <w:tc>
          <w:tcPr>
            <w:tcW w:w="6520" w:type="dxa"/>
            <w:tcBorders>
              <w:top w:val="single" w:color="000000" w:sz="4" w:space="0"/>
              <w:bottom w:val="single" w:color="000000" w:sz="4" w:space="0"/>
            </w:tcBorders>
            <w:shd w:val="clear" w:color="auto" w:fill="D8D8D6"/>
            <w:vAlign w:val="top"/>
          </w:tcPr>
          <w:p w14:paraId="57E43A58">
            <w:pPr>
              <w:pStyle w:val="6"/>
              <w:spacing w:before="84" w:line="219" w:lineRule="auto"/>
              <w:ind w:left="961"/>
            </w:pPr>
            <w:r>
              <w:rPr>
                <w:spacing w:val="-2"/>
              </w:rPr>
              <w:t>6月龄，9月龄</w:t>
            </w:r>
          </w:p>
        </w:tc>
      </w:tr>
      <w:tr w14:paraId="73C85A55">
        <w:trPr>
          <w:trHeight w:val="349" w:hRule="atLeast"/>
        </w:trPr>
        <w:tc>
          <w:tcPr>
            <w:tcW w:w="2569" w:type="dxa"/>
            <w:tcBorders>
              <w:top w:val="single" w:color="000000" w:sz="4" w:space="0"/>
              <w:bottom w:val="single" w:color="000000" w:sz="4" w:space="0"/>
            </w:tcBorders>
            <w:vAlign w:val="top"/>
          </w:tcPr>
          <w:p w14:paraId="56E2112D">
            <w:pPr>
              <w:pStyle w:val="6"/>
              <w:spacing w:before="84" w:line="219" w:lineRule="auto"/>
              <w:ind w:left="629"/>
            </w:pPr>
            <w:r>
              <w:rPr>
                <w:spacing w:val="-1"/>
              </w:rPr>
              <w:t>A+C群流脑疫苗</w:t>
            </w:r>
          </w:p>
        </w:tc>
        <w:tc>
          <w:tcPr>
            <w:tcW w:w="6520" w:type="dxa"/>
            <w:tcBorders>
              <w:top w:val="single" w:color="000000" w:sz="4" w:space="0"/>
              <w:bottom w:val="single" w:color="000000" w:sz="4" w:space="0"/>
            </w:tcBorders>
            <w:vAlign w:val="top"/>
          </w:tcPr>
          <w:p w14:paraId="4D652E53">
            <w:pPr>
              <w:pStyle w:val="6"/>
              <w:spacing w:before="85" w:line="221" w:lineRule="auto"/>
              <w:ind w:left="961"/>
            </w:pPr>
            <w:r>
              <w:rPr>
                <w:spacing w:val="5"/>
              </w:rPr>
              <w:t>3岁，6岁</w:t>
            </w:r>
          </w:p>
        </w:tc>
      </w:tr>
      <w:tr w14:paraId="66F1D540">
        <w:trPr>
          <w:trHeight w:val="349" w:hRule="atLeast"/>
        </w:trPr>
        <w:tc>
          <w:tcPr>
            <w:tcW w:w="2569" w:type="dxa"/>
            <w:tcBorders>
              <w:top w:val="single" w:color="000000" w:sz="4" w:space="0"/>
              <w:bottom w:val="single" w:color="000000" w:sz="4" w:space="0"/>
            </w:tcBorders>
            <w:shd w:val="clear" w:color="auto" w:fill="DEE0E4"/>
            <w:vAlign w:val="top"/>
          </w:tcPr>
          <w:p w14:paraId="45BF2D98">
            <w:pPr>
              <w:pStyle w:val="6"/>
              <w:spacing w:before="85" w:line="219" w:lineRule="auto"/>
              <w:ind w:left="580"/>
            </w:pPr>
            <w:r>
              <w:rPr>
                <w:spacing w:val="1"/>
              </w:rPr>
              <w:t>甲肝减毒活疫苗</w:t>
            </w:r>
          </w:p>
        </w:tc>
        <w:tc>
          <w:tcPr>
            <w:tcW w:w="6520" w:type="dxa"/>
            <w:tcBorders>
              <w:top w:val="single" w:color="000000" w:sz="4" w:space="0"/>
              <w:bottom w:val="single" w:color="000000" w:sz="4" w:space="0"/>
            </w:tcBorders>
            <w:shd w:val="clear" w:color="auto" w:fill="D7D8D6"/>
            <w:vAlign w:val="top"/>
          </w:tcPr>
          <w:p w14:paraId="115AB989">
            <w:pPr>
              <w:pStyle w:val="6"/>
              <w:spacing w:before="85" w:line="219" w:lineRule="auto"/>
              <w:ind w:left="961"/>
            </w:pPr>
            <w:r>
              <w:rPr>
                <w:spacing w:val="1"/>
              </w:rPr>
              <w:t>18月龄</w:t>
            </w:r>
          </w:p>
        </w:tc>
      </w:tr>
      <w:tr w14:paraId="47E53B6E">
        <w:trPr>
          <w:trHeight w:val="360" w:hRule="atLeast"/>
        </w:trPr>
        <w:tc>
          <w:tcPr>
            <w:tcW w:w="2569" w:type="dxa"/>
            <w:tcBorders>
              <w:top w:val="single" w:color="000000" w:sz="4" w:space="0"/>
              <w:bottom w:val="single" w:color="000000" w:sz="4" w:space="0"/>
            </w:tcBorders>
            <w:vAlign w:val="top"/>
          </w:tcPr>
          <w:p w14:paraId="79E5A278">
            <w:pPr>
              <w:pStyle w:val="6"/>
              <w:spacing w:before="84" w:line="218" w:lineRule="auto"/>
              <w:ind w:left="479"/>
            </w:pPr>
            <w:r>
              <w:rPr>
                <w:spacing w:val="4"/>
              </w:rPr>
              <w:t>出血热疫苗(双价)</w:t>
            </w:r>
          </w:p>
        </w:tc>
        <w:tc>
          <w:tcPr>
            <w:tcW w:w="6520" w:type="dxa"/>
            <w:tcBorders>
              <w:top w:val="single" w:color="000000" w:sz="4" w:space="0"/>
              <w:bottom w:val="single" w:color="000000" w:sz="4" w:space="0"/>
            </w:tcBorders>
            <w:vAlign w:val="top"/>
          </w:tcPr>
          <w:p w14:paraId="1BAD5FE6">
            <w:pPr>
              <w:pStyle w:val="6"/>
              <w:spacing w:before="87" w:line="221" w:lineRule="auto"/>
              <w:ind w:left="961"/>
            </w:pPr>
            <w:r>
              <w:rPr>
                <w:spacing w:val="4"/>
              </w:rPr>
              <w:t>16～60岁</w:t>
            </w:r>
          </w:p>
        </w:tc>
      </w:tr>
      <w:tr w14:paraId="6D1D8D65">
        <w:trPr>
          <w:trHeight w:val="359" w:hRule="atLeast"/>
        </w:trPr>
        <w:tc>
          <w:tcPr>
            <w:tcW w:w="2569" w:type="dxa"/>
            <w:tcBorders>
              <w:top w:val="single" w:color="000000" w:sz="4" w:space="0"/>
              <w:bottom w:val="single" w:color="000000" w:sz="4" w:space="0"/>
            </w:tcBorders>
            <w:shd w:val="clear" w:color="auto" w:fill="E2E9EF"/>
            <w:vAlign w:val="top"/>
          </w:tcPr>
          <w:p w14:paraId="6C7B5B90">
            <w:pPr>
              <w:pStyle w:val="6"/>
              <w:spacing w:before="87" w:line="220" w:lineRule="auto"/>
              <w:ind w:left="880"/>
            </w:pPr>
            <w:r>
              <w:rPr>
                <w:spacing w:val="2"/>
              </w:rPr>
              <w:t>炭疽疫苗</w:t>
            </w:r>
          </w:p>
        </w:tc>
        <w:tc>
          <w:tcPr>
            <w:tcW w:w="6520" w:type="dxa"/>
            <w:tcBorders>
              <w:top w:val="single" w:color="000000" w:sz="4" w:space="0"/>
              <w:bottom w:val="single" w:color="000000" w:sz="4" w:space="0"/>
            </w:tcBorders>
            <w:shd w:val="clear" w:color="auto" w:fill="D2D4D5"/>
            <w:vAlign w:val="top"/>
          </w:tcPr>
          <w:p w14:paraId="36219472">
            <w:pPr>
              <w:pStyle w:val="6"/>
              <w:spacing w:before="86" w:line="219" w:lineRule="auto"/>
              <w:ind w:left="961"/>
            </w:pPr>
            <w:r>
              <w:rPr>
                <w:spacing w:val="-1"/>
              </w:rPr>
              <w:t>炭疽疫情发生时，病例或病畜间接接触者及疫点周围高危人群</w:t>
            </w:r>
          </w:p>
        </w:tc>
      </w:tr>
      <w:tr w14:paraId="1FC7C94F">
        <w:trPr>
          <w:trHeight w:val="359" w:hRule="atLeast"/>
        </w:trPr>
        <w:tc>
          <w:tcPr>
            <w:tcW w:w="2569" w:type="dxa"/>
            <w:tcBorders>
              <w:top w:val="single" w:color="000000" w:sz="4" w:space="0"/>
              <w:bottom w:val="single" w:color="000000" w:sz="4" w:space="0"/>
            </w:tcBorders>
            <w:vAlign w:val="top"/>
          </w:tcPr>
          <w:p w14:paraId="71203085">
            <w:pPr>
              <w:pStyle w:val="6"/>
              <w:spacing w:before="87" w:line="219" w:lineRule="auto"/>
              <w:ind w:left="580"/>
            </w:pPr>
            <w:r>
              <w:rPr>
                <w:spacing w:val="-1"/>
              </w:rPr>
              <w:t>钩端螺旋体疫苗</w:t>
            </w:r>
          </w:p>
        </w:tc>
        <w:tc>
          <w:tcPr>
            <w:tcW w:w="6520" w:type="dxa"/>
            <w:tcBorders>
              <w:top w:val="single" w:color="000000" w:sz="4" w:space="0"/>
              <w:bottom w:val="single" w:color="000000" w:sz="4" w:space="0"/>
            </w:tcBorders>
            <w:vAlign w:val="top"/>
          </w:tcPr>
          <w:p w14:paraId="6C984EED">
            <w:pPr>
              <w:pStyle w:val="6"/>
              <w:spacing w:before="87" w:line="219" w:lineRule="auto"/>
              <w:ind w:left="961"/>
            </w:pPr>
            <w:r>
              <w:rPr>
                <w:spacing w:val="-1"/>
              </w:rPr>
              <w:t>流行地区可能接触疫水的7～60岁高危人群</w:t>
            </w:r>
          </w:p>
        </w:tc>
      </w:tr>
      <w:tr w14:paraId="6F1B5973">
        <w:trPr>
          <w:trHeight w:val="355" w:hRule="atLeast"/>
        </w:trPr>
        <w:tc>
          <w:tcPr>
            <w:tcW w:w="2569" w:type="dxa"/>
            <w:tcBorders>
              <w:top w:val="single" w:color="000000" w:sz="4" w:space="0"/>
              <w:bottom w:val="single" w:color="000000" w:sz="4" w:space="0"/>
            </w:tcBorders>
            <w:shd w:val="clear" w:color="auto" w:fill="DBE1E5"/>
            <w:vAlign w:val="top"/>
          </w:tcPr>
          <w:p w14:paraId="5608BFAE">
            <w:pPr>
              <w:pStyle w:val="6"/>
              <w:spacing w:before="88" w:line="220" w:lineRule="auto"/>
              <w:ind w:left="679"/>
            </w:pPr>
            <w:r>
              <w:rPr>
                <w:spacing w:val="1"/>
              </w:rPr>
              <w:t>甲肝灭活疫苗</w:t>
            </w:r>
          </w:p>
        </w:tc>
        <w:tc>
          <w:tcPr>
            <w:tcW w:w="6520" w:type="dxa"/>
            <w:tcBorders>
              <w:top w:val="single" w:color="000000" w:sz="4" w:space="0"/>
              <w:bottom w:val="single" w:color="000000" w:sz="4" w:space="0"/>
            </w:tcBorders>
            <w:shd w:val="clear" w:color="auto" w:fill="D3D6D1"/>
            <w:vAlign w:val="top"/>
          </w:tcPr>
          <w:p w14:paraId="264607F6">
            <w:pPr>
              <w:pStyle w:val="6"/>
              <w:spacing w:before="88" w:line="219" w:lineRule="auto"/>
              <w:ind w:left="961"/>
            </w:pPr>
            <w:r>
              <w:rPr>
                <w:spacing w:val="3"/>
              </w:rPr>
              <w:t>18月龄，2岁</w:t>
            </w:r>
          </w:p>
        </w:tc>
      </w:tr>
    </w:tbl>
    <w:p w14:paraId="6E69C96E">
      <w:pPr>
        <w:spacing w:before="70" w:line="216" w:lineRule="auto"/>
        <w:ind w:left="319"/>
        <w:rPr>
          <w:rFonts w:ascii="宋体" w:hAnsi="宋体" w:eastAsia="宋体" w:cs="宋体"/>
          <w:sz w:val="20"/>
          <w:szCs w:val="20"/>
        </w:rPr>
      </w:pPr>
      <w:r>
        <w:rPr>
          <w:rFonts w:ascii="宋体" w:hAnsi="宋体" w:eastAsia="宋体" w:cs="宋体"/>
          <w:sz w:val="20"/>
          <w:szCs w:val="20"/>
        </w:rPr>
        <w:t>注：修改自《预防接种工作规范(2023年版》,并根据国疾控卫免发〔2024〕20号文件更新。</w:t>
      </w:r>
    </w:p>
    <w:p w14:paraId="636E2A10">
      <w:pPr>
        <w:pStyle w:val="2"/>
        <w:spacing w:before="315" w:line="221" w:lineRule="auto"/>
        <w:ind w:left="413"/>
        <w:rPr>
          <w:sz w:val="25"/>
          <w:szCs w:val="25"/>
        </w:rPr>
      </w:pPr>
      <w:r>
        <w:rPr>
          <w:b/>
          <w:bCs/>
          <w:spacing w:val="-7"/>
          <w:sz w:val="25"/>
          <w:szCs w:val="25"/>
        </w:rPr>
        <w:t>(三)预防接种的组织形式</w:t>
      </w:r>
    </w:p>
    <w:p w14:paraId="527D086F">
      <w:pPr>
        <w:pStyle w:val="2"/>
        <w:spacing w:before="103" w:line="281" w:lineRule="auto"/>
        <w:ind w:right="683" w:firstLine="409"/>
        <w:rPr>
          <w:rFonts w:ascii="宋体" w:hAnsi="宋体" w:eastAsia="宋体" w:cs="宋体"/>
          <w:sz w:val="21"/>
          <w:szCs w:val="21"/>
        </w:rPr>
      </w:pPr>
      <w:r>
        <w:rPr>
          <w:rFonts w:ascii="宋体" w:hAnsi="宋体" w:eastAsia="宋体" w:cs="宋体"/>
          <w:spacing w:val="5"/>
          <w:sz w:val="21"/>
          <w:szCs w:val="21"/>
        </w:rPr>
        <w:t xml:space="preserve">1. </w:t>
      </w:r>
      <w:r>
        <w:rPr>
          <w:spacing w:val="5"/>
          <w:sz w:val="21"/>
          <w:szCs w:val="21"/>
        </w:rPr>
        <w:t xml:space="preserve">常规接种  </w:t>
      </w:r>
      <w:r>
        <w:rPr>
          <w:rFonts w:ascii="宋体" w:hAnsi="宋体" w:eastAsia="宋体" w:cs="宋体"/>
          <w:spacing w:val="5"/>
          <w:sz w:val="21"/>
          <w:szCs w:val="21"/>
        </w:rPr>
        <w:t>指接种单位按照国家免疫规划疫苗免疫程序或非免疫规划疫苗使用</w:t>
      </w:r>
      <w:r>
        <w:rPr>
          <w:rFonts w:ascii="宋体" w:hAnsi="宋体" w:eastAsia="宋体" w:cs="宋体"/>
          <w:spacing w:val="4"/>
          <w:sz w:val="21"/>
          <w:szCs w:val="21"/>
        </w:rPr>
        <w:t>指导原则和</w:t>
      </w:r>
      <w:r>
        <w:rPr>
          <w:rFonts w:ascii="宋体" w:hAnsi="宋体" w:eastAsia="宋体" w:cs="宋体"/>
          <w:sz w:val="21"/>
          <w:szCs w:val="21"/>
        </w:rPr>
        <w:t xml:space="preserve"> </w:t>
      </w:r>
      <w:r>
        <w:rPr>
          <w:rFonts w:ascii="宋体" w:hAnsi="宋体" w:eastAsia="宋体" w:cs="宋体"/>
          <w:spacing w:val="3"/>
          <w:sz w:val="21"/>
          <w:szCs w:val="21"/>
        </w:rPr>
        <w:t>接种方案，在相对固定的接种服务周期内为目标人群提供的预防接种服务。</w:t>
      </w:r>
    </w:p>
    <w:p w14:paraId="38045658">
      <w:pPr>
        <w:pStyle w:val="2"/>
        <w:spacing w:before="108" w:line="301" w:lineRule="auto"/>
        <w:ind w:right="660" w:firstLine="409"/>
        <w:rPr>
          <w:rFonts w:ascii="宋体" w:hAnsi="宋体" w:eastAsia="宋体" w:cs="宋体"/>
          <w:sz w:val="21"/>
          <w:szCs w:val="21"/>
        </w:rPr>
      </w:pPr>
      <w:r>
        <w:rPr>
          <w:rFonts w:ascii="宋体" w:hAnsi="宋体" w:eastAsia="宋体" w:cs="宋体"/>
          <w:sz w:val="21"/>
          <w:szCs w:val="21"/>
        </w:rPr>
        <w:t xml:space="preserve">2. </w:t>
      </w:r>
      <w:r>
        <w:rPr>
          <w:sz w:val="21"/>
          <w:szCs w:val="21"/>
        </w:rPr>
        <w:t>群体性预防接种</w:t>
      </w:r>
      <w:r>
        <w:rPr>
          <w:spacing w:val="106"/>
          <w:sz w:val="21"/>
          <w:szCs w:val="21"/>
        </w:rPr>
        <w:t xml:space="preserve"> </w:t>
      </w:r>
      <w:r>
        <w:rPr>
          <w:rFonts w:ascii="宋体" w:hAnsi="宋体" w:eastAsia="宋体" w:cs="宋体"/>
          <w:sz w:val="21"/>
          <w:szCs w:val="21"/>
        </w:rPr>
        <w:t xml:space="preserve">是根据监测和预警信息，为预防和控制传染病暴发、流行，在特定范围和 </w:t>
      </w:r>
      <w:r>
        <w:rPr>
          <w:rFonts w:ascii="宋体" w:hAnsi="宋体" w:eastAsia="宋体" w:cs="宋体"/>
          <w:spacing w:val="2"/>
          <w:sz w:val="21"/>
          <w:szCs w:val="21"/>
        </w:rPr>
        <w:t>时间内，针对可能受某种传染病威胁的特定人群，有组织地集中实施的预防接种活动。县级以上地</w:t>
      </w:r>
      <w:r>
        <w:rPr>
          <w:rFonts w:ascii="宋体" w:hAnsi="宋体" w:eastAsia="宋体" w:cs="宋体"/>
          <w:sz w:val="21"/>
          <w:szCs w:val="21"/>
        </w:rPr>
        <w:t xml:space="preserve"> </w:t>
      </w:r>
      <w:r>
        <w:rPr>
          <w:rFonts w:ascii="宋体" w:hAnsi="宋体" w:eastAsia="宋体" w:cs="宋体"/>
          <w:spacing w:val="-2"/>
          <w:sz w:val="21"/>
          <w:szCs w:val="21"/>
        </w:rPr>
        <w:t>方人民政府卫生健康主管部门根据传染病监测和预警信息，为预防、控制传染病暴发、流行</w:t>
      </w:r>
      <w:r>
        <w:rPr>
          <w:rFonts w:ascii="宋体" w:hAnsi="宋体" w:eastAsia="宋体" w:cs="宋体"/>
          <w:spacing w:val="-3"/>
          <w:sz w:val="21"/>
          <w:szCs w:val="21"/>
        </w:rPr>
        <w:t>，报经本</w:t>
      </w:r>
      <w:r>
        <w:rPr>
          <w:rFonts w:ascii="宋体" w:hAnsi="宋体" w:eastAsia="宋体" w:cs="宋体"/>
          <w:sz w:val="21"/>
          <w:szCs w:val="21"/>
        </w:rPr>
        <w:t xml:space="preserve"> </w:t>
      </w:r>
      <w:r>
        <w:rPr>
          <w:rFonts w:ascii="宋体" w:hAnsi="宋体" w:eastAsia="宋体" w:cs="宋体"/>
          <w:spacing w:val="3"/>
          <w:sz w:val="21"/>
          <w:szCs w:val="21"/>
        </w:rPr>
        <w:t>级人民政府决定，并报省级以上人民政府卫生健康主管部门备案，可以</w:t>
      </w:r>
      <w:r>
        <w:rPr>
          <w:rFonts w:ascii="宋体" w:hAnsi="宋体" w:eastAsia="宋体" w:cs="宋体"/>
          <w:spacing w:val="2"/>
          <w:sz w:val="21"/>
          <w:szCs w:val="21"/>
        </w:rPr>
        <w:t>在本行政区域进行群体性预</w:t>
      </w:r>
      <w:r>
        <w:rPr>
          <w:rFonts w:ascii="宋体" w:hAnsi="宋体" w:eastAsia="宋体" w:cs="宋体"/>
          <w:sz w:val="21"/>
          <w:szCs w:val="21"/>
        </w:rPr>
        <w:t xml:space="preserve"> </w:t>
      </w:r>
      <w:r>
        <w:rPr>
          <w:rFonts w:ascii="宋体" w:hAnsi="宋体" w:eastAsia="宋体" w:cs="宋体"/>
          <w:spacing w:val="2"/>
          <w:sz w:val="21"/>
          <w:szCs w:val="21"/>
        </w:rPr>
        <w:t>防接种。需要在全国范围或者跨省、自治区、直辖市范围内进行群体性预防接种的，应当由国务院</w:t>
      </w:r>
      <w:r>
        <w:rPr>
          <w:rFonts w:ascii="宋体" w:hAnsi="宋体" w:eastAsia="宋体" w:cs="宋体"/>
          <w:spacing w:val="4"/>
          <w:sz w:val="21"/>
          <w:szCs w:val="21"/>
        </w:rPr>
        <w:t xml:space="preserve"> </w:t>
      </w:r>
      <w:r>
        <w:rPr>
          <w:rFonts w:ascii="宋体" w:hAnsi="宋体" w:eastAsia="宋体" w:cs="宋体"/>
          <w:spacing w:val="6"/>
          <w:sz w:val="21"/>
          <w:szCs w:val="21"/>
        </w:rPr>
        <w:t>卫生健康主管部门决定。任何单位或个人不得擅自进行群体性预防接种。</w:t>
      </w:r>
    </w:p>
    <w:p w14:paraId="2DEDD118">
      <w:pPr>
        <w:spacing w:line="301" w:lineRule="auto"/>
        <w:rPr>
          <w:rFonts w:ascii="宋体" w:hAnsi="宋体" w:eastAsia="宋体" w:cs="宋体"/>
          <w:sz w:val="21"/>
          <w:szCs w:val="21"/>
        </w:rPr>
        <w:sectPr>
          <w:footerReference r:id="rId216" w:type="default"/>
          <w:pgSz w:w="11900" w:h="16820"/>
          <w:pgMar w:top="400" w:right="709" w:bottom="806" w:left="1380" w:header="0" w:footer="617" w:gutter="0"/>
          <w:cols w:space="720" w:num="1"/>
        </w:sectPr>
      </w:pPr>
    </w:p>
    <w:p w14:paraId="76E5F884">
      <w:pPr>
        <w:pStyle w:val="2"/>
        <w:spacing w:line="220" w:lineRule="auto"/>
        <w:ind w:left="669"/>
        <w:rPr>
          <w:sz w:val="20"/>
          <w:szCs w:val="20"/>
        </w:rPr>
      </w:pPr>
      <w:bookmarkStart w:id="329" w:name="bookmark513"/>
      <w:bookmarkEnd w:id="329"/>
      <w:r>
        <w:rPr>
          <w:spacing w:val="-19"/>
          <w:w w:val="98"/>
          <w:sz w:val="20"/>
          <w:szCs w:val="20"/>
        </w:rPr>
        <w:t>第十一章 传染病流行病学</w:t>
      </w:r>
    </w:p>
    <w:p w14:paraId="3D605D6E">
      <w:pPr>
        <w:spacing w:line="281" w:lineRule="auto"/>
        <w:rPr>
          <w:rFonts w:ascii="Arial"/>
          <w:sz w:val="21"/>
        </w:rPr>
      </w:pPr>
    </w:p>
    <w:p w14:paraId="2E199167">
      <w:pPr>
        <w:spacing w:line="281" w:lineRule="auto"/>
        <w:rPr>
          <w:rFonts w:ascii="Arial"/>
          <w:sz w:val="21"/>
        </w:rPr>
      </w:pPr>
    </w:p>
    <w:p w14:paraId="0780052F">
      <w:pPr>
        <w:pStyle w:val="2"/>
        <w:spacing w:before="65" w:line="353" w:lineRule="auto"/>
        <w:ind w:left="669" w:right="105" w:firstLine="410"/>
        <w:rPr>
          <w:rFonts w:ascii="宋体" w:hAnsi="宋体" w:eastAsia="宋体" w:cs="宋体"/>
          <w:sz w:val="20"/>
          <w:szCs w:val="20"/>
        </w:rPr>
      </w:pPr>
      <w:r>
        <w:rPr>
          <w:rFonts w:ascii="宋体" w:hAnsi="宋体" w:eastAsia="宋体" w:cs="宋体"/>
          <w:spacing w:val="2"/>
          <w:sz w:val="20"/>
          <w:szCs w:val="20"/>
        </w:rPr>
        <w:t xml:space="preserve">3. </w:t>
      </w:r>
      <w:r>
        <w:rPr>
          <w:spacing w:val="2"/>
          <w:sz w:val="20"/>
          <w:szCs w:val="20"/>
        </w:rPr>
        <w:t>应急接种</w:t>
      </w:r>
      <w:r>
        <w:rPr>
          <w:spacing w:val="97"/>
          <w:sz w:val="20"/>
          <w:szCs w:val="20"/>
        </w:rPr>
        <w:t xml:space="preserve"> </w:t>
      </w:r>
      <w:r>
        <w:rPr>
          <w:rFonts w:ascii="宋体" w:hAnsi="宋体" w:eastAsia="宋体" w:cs="宋体"/>
          <w:spacing w:val="2"/>
          <w:sz w:val="20"/>
          <w:szCs w:val="20"/>
        </w:rPr>
        <w:t>是在传染病暴发、流行时，为控制传染</w:t>
      </w:r>
      <w:r>
        <w:rPr>
          <w:rFonts w:ascii="宋体" w:hAnsi="宋体" w:eastAsia="宋体" w:cs="宋体"/>
          <w:spacing w:val="1"/>
          <w:sz w:val="20"/>
          <w:szCs w:val="20"/>
        </w:rPr>
        <w:t>病疫情蔓延，对目标人群开展的预防接种</w:t>
      </w:r>
      <w:r>
        <w:rPr>
          <w:rFonts w:ascii="宋体" w:hAnsi="宋体" w:eastAsia="宋体" w:cs="宋体"/>
          <w:sz w:val="20"/>
          <w:szCs w:val="20"/>
        </w:rPr>
        <w:t xml:space="preserve"> </w:t>
      </w:r>
      <w:r>
        <w:rPr>
          <w:rFonts w:ascii="宋体" w:hAnsi="宋体" w:eastAsia="宋体" w:cs="宋体"/>
          <w:spacing w:val="10"/>
          <w:sz w:val="20"/>
          <w:szCs w:val="20"/>
        </w:rPr>
        <w:t>活动。</w:t>
      </w:r>
    </w:p>
    <w:p w14:paraId="168BEC19">
      <w:pPr>
        <w:pStyle w:val="2"/>
        <w:spacing w:before="15" w:line="221" w:lineRule="auto"/>
        <w:ind w:left="1080"/>
        <w:rPr>
          <w:sz w:val="20"/>
          <w:szCs w:val="20"/>
        </w:rPr>
      </w:pPr>
      <w:r>
        <w:rPr>
          <w:spacing w:val="23"/>
          <w:sz w:val="20"/>
          <w:szCs w:val="20"/>
        </w:rPr>
        <w:t>(四)预防接种的注意事项</w:t>
      </w:r>
    </w:p>
    <w:p w14:paraId="01B672DB">
      <w:pPr>
        <w:pStyle w:val="2"/>
        <w:spacing w:before="135" w:line="331" w:lineRule="auto"/>
        <w:ind w:left="669" w:right="19" w:firstLine="410"/>
        <w:rPr>
          <w:rFonts w:ascii="宋体" w:hAnsi="宋体" w:eastAsia="宋体" w:cs="宋体"/>
          <w:sz w:val="20"/>
          <w:szCs w:val="20"/>
        </w:rPr>
      </w:pPr>
      <w:r>
        <w:rPr>
          <w:rFonts w:ascii="宋体" w:hAnsi="宋体" w:eastAsia="宋体" w:cs="宋体"/>
          <w:spacing w:val="8"/>
          <w:sz w:val="20"/>
          <w:szCs w:val="20"/>
        </w:rPr>
        <w:t>1.</w:t>
      </w:r>
      <w:r>
        <w:rPr>
          <w:rFonts w:ascii="宋体" w:hAnsi="宋体" w:eastAsia="宋体" w:cs="宋体"/>
          <w:spacing w:val="-17"/>
          <w:sz w:val="20"/>
          <w:szCs w:val="20"/>
        </w:rPr>
        <w:t xml:space="preserve"> </w:t>
      </w:r>
      <w:r>
        <w:rPr>
          <w:spacing w:val="8"/>
          <w:sz w:val="20"/>
          <w:szCs w:val="20"/>
        </w:rPr>
        <w:t>预防接种禁忌证</w:t>
      </w:r>
      <w:r>
        <w:rPr>
          <w:spacing w:val="63"/>
          <w:sz w:val="20"/>
          <w:szCs w:val="20"/>
        </w:rPr>
        <w:t xml:space="preserve"> </w:t>
      </w:r>
      <w:r>
        <w:rPr>
          <w:rFonts w:ascii="宋体" w:hAnsi="宋体" w:eastAsia="宋体" w:cs="宋体"/>
          <w:spacing w:val="8"/>
          <w:sz w:val="20"/>
          <w:szCs w:val="20"/>
        </w:rPr>
        <w:t>不同疫苗的禁忌证各不相同，具体应参照疫苗说明书</w:t>
      </w:r>
      <w:r>
        <w:rPr>
          <w:rFonts w:ascii="宋体" w:hAnsi="宋体" w:eastAsia="宋体" w:cs="宋体"/>
          <w:spacing w:val="7"/>
          <w:sz w:val="20"/>
          <w:szCs w:val="20"/>
        </w:rPr>
        <w:t>。接种单位在实施</w:t>
      </w:r>
      <w:r>
        <w:rPr>
          <w:rFonts w:ascii="宋体" w:hAnsi="宋体" w:eastAsia="宋体" w:cs="宋体"/>
          <w:sz w:val="20"/>
          <w:szCs w:val="20"/>
        </w:rPr>
        <w:t xml:space="preserve">  </w:t>
      </w:r>
      <w:r>
        <w:rPr>
          <w:rFonts w:ascii="宋体" w:hAnsi="宋体" w:eastAsia="宋体" w:cs="宋体"/>
          <w:spacing w:val="4"/>
          <w:sz w:val="20"/>
          <w:szCs w:val="20"/>
        </w:rPr>
        <w:t>接种前，要询问受种者的健康状况，核查接种禁忌。对处于某</w:t>
      </w:r>
      <w:r>
        <w:rPr>
          <w:rFonts w:ascii="宋体" w:hAnsi="宋体" w:eastAsia="宋体" w:cs="宋体"/>
          <w:spacing w:val="3"/>
          <w:sz w:val="20"/>
          <w:szCs w:val="20"/>
        </w:rPr>
        <w:t>些特殊健康状态下(如罹患急性疾病、</w:t>
      </w:r>
      <w:r>
        <w:rPr>
          <w:rFonts w:ascii="宋体" w:hAnsi="宋体" w:eastAsia="宋体" w:cs="宋体"/>
          <w:sz w:val="20"/>
          <w:szCs w:val="20"/>
        </w:rPr>
        <w:t xml:space="preserve"> </w:t>
      </w:r>
      <w:r>
        <w:rPr>
          <w:rFonts w:ascii="宋体" w:hAnsi="宋体" w:eastAsia="宋体" w:cs="宋体"/>
          <w:spacing w:val="2"/>
          <w:sz w:val="20"/>
          <w:szCs w:val="20"/>
        </w:rPr>
        <w:t>神经系统疾病，或为过敏体质，或存在免疫功能不全等)的受</w:t>
      </w:r>
      <w:r>
        <w:rPr>
          <w:rFonts w:ascii="宋体" w:hAnsi="宋体" w:eastAsia="宋体" w:cs="宋体"/>
          <w:spacing w:val="1"/>
          <w:sz w:val="20"/>
          <w:szCs w:val="20"/>
        </w:rPr>
        <w:t>种者，应评估接种的获益与风险，根据</w:t>
      </w:r>
      <w:r>
        <w:rPr>
          <w:rFonts w:ascii="宋体" w:hAnsi="宋体" w:eastAsia="宋体" w:cs="宋体"/>
          <w:sz w:val="20"/>
          <w:szCs w:val="20"/>
        </w:rPr>
        <w:t xml:space="preserve">  </w:t>
      </w:r>
      <w:r>
        <w:rPr>
          <w:rFonts w:ascii="宋体" w:hAnsi="宋体" w:eastAsia="宋体" w:cs="宋体"/>
          <w:spacing w:val="4"/>
          <w:sz w:val="20"/>
          <w:szCs w:val="20"/>
        </w:rPr>
        <w:t>情况推迟、停止或者谨慎接种疫苗。对于早产儿，由临床医师及接种医师综合评估，达</w:t>
      </w:r>
      <w:r>
        <w:rPr>
          <w:rFonts w:ascii="宋体" w:hAnsi="宋体" w:eastAsia="宋体" w:cs="宋体"/>
          <w:spacing w:val="3"/>
          <w:sz w:val="20"/>
          <w:szCs w:val="20"/>
        </w:rPr>
        <w:t>到接种条件</w:t>
      </w:r>
      <w:r>
        <w:rPr>
          <w:rFonts w:ascii="宋体" w:hAnsi="宋体" w:eastAsia="宋体" w:cs="宋体"/>
          <w:sz w:val="20"/>
          <w:szCs w:val="20"/>
        </w:rPr>
        <w:t xml:space="preserve">  </w:t>
      </w:r>
      <w:r>
        <w:rPr>
          <w:rFonts w:ascii="宋体" w:hAnsi="宋体" w:eastAsia="宋体" w:cs="宋体"/>
          <w:spacing w:val="9"/>
          <w:sz w:val="20"/>
          <w:szCs w:val="20"/>
        </w:rPr>
        <w:t>后再行接种。除了黄热病疫苗外，哺乳期母亲或婴儿接种灭活病毒或减毒活</w:t>
      </w:r>
      <w:r>
        <w:rPr>
          <w:rFonts w:ascii="宋体" w:hAnsi="宋体" w:eastAsia="宋体" w:cs="宋体"/>
          <w:spacing w:val="8"/>
          <w:sz w:val="20"/>
          <w:szCs w:val="20"/>
        </w:rPr>
        <w:t>病毒疫苗尚未发现有</w:t>
      </w:r>
      <w:r>
        <w:rPr>
          <w:rFonts w:ascii="宋体" w:hAnsi="宋体" w:eastAsia="宋体" w:cs="宋体"/>
          <w:sz w:val="20"/>
          <w:szCs w:val="20"/>
        </w:rPr>
        <w:t xml:space="preserve">  </w:t>
      </w:r>
      <w:r>
        <w:rPr>
          <w:rFonts w:ascii="宋体" w:hAnsi="宋体" w:eastAsia="宋体" w:cs="宋体"/>
          <w:spacing w:val="5"/>
          <w:sz w:val="20"/>
          <w:szCs w:val="20"/>
        </w:rPr>
        <w:t>严重不良后果。目前尚无证据表明妊娠期间接种灭活疫苗、类毒素疫苗、重组疫苗存在额外风险，</w:t>
      </w:r>
      <w:r>
        <w:rPr>
          <w:rFonts w:ascii="宋体" w:hAnsi="宋体" w:eastAsia="宋体" w:cs="宋体"/>
          <w:spacing w:val="13"/>
          <w:sz w:val="20"/>
          <w:szCs w:val="20"/>
        </w:rPr>
        <w:t xml:space="preserve"> </w:t>
      </w:r>
      <w:r>
        <w:rPr>
          <w:rFonts w:ascii="宋体" w:hAnsi="宋体" w:eastAsia="宋体" w:cs="宋体"/>
          <w:spacing w:val="9"/>
          <w:sz w:val="20"/>
          <w:szCs w:val="20"/>
        </w:rPr>
        <w:t>但接种减毒活疫苗对胎儿发育理论上可能存在风险。急性疾病期间是否需要延迟接种</w:t>
      </w:r>
      <w:r>
        <w:rPr>
          <w:rFonts w:ascii="宋体" w:hAnsi="宋体" w:eastAsia="宋体" w:cs="宋体"/>
          <w:spacing w:val="8"/>
          <w:sz w:val="20"/>
          <w:szCs w:val="20"/>
        </w:rPr>
        <w:t>，取决于病</w:t>
      </w:r>
      <w:r>
        <w:rPr>
          <w:rFonts w:ascii="宋体" w:hAnsi="宋体" w:eastAsia="宋体" w:cs="宋体"/>
          <w:sz w:val="20"/>
          <w:szCs w:val="20"/>
        </w:rPr>
        <w:t xml:space="preserve">  </w:t>
      </w:r>
      <w:r>
        <w:rPr>
          <w:rFonts w:ascii="宋体" w:hAnsi="宋体" w:eastAsia="宋体" w:cs="宋体"/>
          <w:spacing w:val="3"/>
          <w:sz w:val="20"/>
          <w:szCs w:val="20"/>
        </w:rPr>
        <w:t>因及严重程度。对于轻症疾病，应尽量避免错过接种机会。对于中重度疾病而延迟接种者，在疾病</w:t>
      </w:r>
      <w:r>
        <w:rPr>
          <w:rFonts w:ascii="宋体" w:hAnsi="宋体" w:eastAsia="宋体" w:cs="宋体"/>
          <w:spacing w:val="6"/>
          <w:sz w:val="20"/>
          <w:szCs w:val="20"/>
        </w:rPr>
        <w:t xml:space="preserve">  </w:t>
      </w:r>
      <w:r>
        <w:rPr>
          <w:rFonts w:ascii="宋体" w:hAnsi="宋体" w:eastAsia="宋体" w:cs="宋体"/>
          <w:spacing w:val="9"/>
          <w:sz w:val="20"/>
          <w:szCs w:val="20"/>
        </w:rPr>
        <w:t>好转后应尽快完成接种。由疾病或治疗导致的免疫抑制是大部分减毒</w:t>
      </w:r>
      <w:r>
        <w:rPr>
          <w:rFonts w:ascii="宋体" w:hAnsi="宋体" w:eastAsia="宋体" w:cs="宋体"/>
          <w:spacing w:val="8"/>
          <w:sz w:val="20"/>
          <w:szCs w:val="20"/>
        </w:rPr>
        <w:t>活疫苗的禁忌证；对疫苗活</w:t>
      </w:r>
      <w:r>
        <w:rPr>
          <w:rFonts w:ascii="宋体" w:hAnsi="宋体" w:eastAsia="宋体" w:cs="宋体"/>
          <w:sz w:val="20"/>
          <w:szCs w:val="20"/>
        </w:rPr>
        <w:t xml:space="preserve">  </w:t>
      </w:r>
      <w:r>
        <w:rPr>
          <w:rFonts w:ascii="宋体" w:hAnsi="宋体" w:eastAsia="宋体" w:cs="宋体"/>
          <w:spacing w:val="4"/>
          <w:sz w:val="20"/>
          <w:szCs w:val="20"/>
        </w:rPr>
        <w:t>性成分或辅料成分有超敏反应者一般为接种禁忌证，但有青霉素过敏史、其他非疫苗成分过敏</w:t>
      </w:r>
      <w:r>
        <w:rPr>
          <w:rFonts w:ascii="宋体" w:hAnsi="宋体" w:eastAsia="宋体" w:cs="宋体"/>
          <w:spacing w:val="3"/>
          <w:sz w:val="20"/>
          <w:szCs w:val="20"/>
        </w:rPr>
        <w:t>史一</w:t>
      </w:r>
      <w:r>
        <w:rPr>
          <w:rFonts w:ascii="宋体" w:hAnsi="宋体" w:eastAsia="宋体" w:cs="宋体"/>
          <w:sz w:val="20"/>
          <w:szCs w:val="20"/>
        </w:rPr>
        <w:t xml:space="preserve">  </w:t>
      </w:r>
      <w:r>
        <w:rPr>
          <w:rFonts w:ascii="宋体" w:hAnsi="宋体" w:eastAsia="宋体" w:cs="宋体"/>
          <w:spacing w:val="6"/>
          <w:sz w:val="20"/>
          <w:szCs w:val="20"/>
        </w:rPr>
        <w:t>般并非接种禁忌。</w:t>
      </w:r>
    </w:p>
    <w:p w14:paraId="5FB5250E">
      <w:pPr>
        <w:pStyle w:val="2"/>
        <w:spacing w:before="175" w:line="309" w:lineRule="auto"/>
        <w:ind w:left="669" w:right="105" w:firstLine="410"/>
        <w:rPr>
          <w:rFonts w:ascii="宋体" w:hAnsi="宋体" w:eastAsia="宋体" w:cs="宋体"/>
          <w:sz w:val="20"/>
          <w:szCs w:val="20"/>
        </w:rPr>
      </w:pPr>
      <w:r>
        <w:rPr>
          <w:rFonts w:ascii="宋体" w:hAnsi="宋体" w:eastAsia="宋体" w:cs="宋体"/>
          <w:sz w:val="20"/>
          <w:szCs w:val="20"/>
        </w:rPr>
        <w:t>2. 疑似预防接种异常反应</w:t>
      </w:r>
      <w:r>
        <w:rPr>
          <w:sz w:val="20"/>
          <w:szCs w:val="20"/>
        </w:rPr>
        <w:t>(adv</w:t>
      </w:r>
      <w:r>
        <w:rPr>
          <w:spacing w:val="-43"/>
          <w:sz w:val="20"/>
          <w:szCs w:val="20"/>
        </w:rPr>
        <w:t xml:space="preserve"> </w:t>
      </w:r>
      <w:r>
        <w:rPr>
          <w:rFonts w:ascii="宋体" w:hAnsi="宋体" w:eastAsia="宋体" w:cs="宋体"/>
          <w:sz w:val="20"/>
          <w:szCs w:val="20"/>
        </w:rPr>
        <w:t xml:space="preserve">erse event following immunization,AEFI) 是在预防接种后发 </w:t>
      </w:r>
      <w:r>
        <w:rPr>
          <w:rFonts w:ascii="宋体" w:hAnsi="宋体" w:eastAsia="宋体" w:cs="宋体"/>
          <w:spacing w:val="14"/>
          <w:sz w:val="20"/>
          <w:szCs w:val="20"/>
        </w:rPr>
        <w:t>生的怀疑与疫苗接种有关的反应或事件。经过调查分析或诊断，按照发生原因可分为以下五种</w:t>
      </w:r>
      <w:r>
        <w:rPr>
          <w:rFonts w:ascii="宋体" w:hAnsi="宋体" w:eastAsia="宋体" w:cs="宋体"/>
          <w:sz w:val="20"/>
          <w:szCs w:val="20"/>
        </w:rPr>
        <w:t xml:space="preserve"> </w:t>
      </w:r>
      <w:r>
        <w:rPr>
          <w:rFonts w:ascii="宋体" w:hAnsi="宋体" w:eastAsia="宋体" w:cs="宋体"/>
          <w:spacing w:val="10"/>
          <w:sz w:val="20"/>
          <w:szCs w:val="20"/>
        </w:rPr>
        <w:t>类型。</w:t>
      </w:r>
    </w:p>
    <w:p w14:paraId="49E86611">
      <w:pPr>
        <w:spacing w:before="132" w:line="346" w:lineRule="auto"/>
        <w:ind w:left="669" w:right="92" w:firstLine="410"/>
        <w:rPr>
          <w:rFonts w:ascii="宋体" w:hAnsi="宋体" w:eastAsia="宋体" w:cs="宋体"/>
          <w:sz w:val="20"/>
          <w:szCs w:val="20"/>
        </w:rPr>
      </w:pPr>
      <w:r>
        <w:rPr>
          <w:rFonts w:ascii="宋体" w:hAnsi="宋体" w:eastAsia="宋体" w:cs="宋体"/>
          <w:spacing w:val="12"/>
          <w:sz w:val="20"/>
          <w:szCs w:val="20"/>
        </w:rPr>
        <w:t>(1)不良反应：是合格的疫苗在实施规范接种后发生</w:t>
      </w:r>
      <w:r>
        <w:rPr>
          <w:rFonts w:ascii="宋体" w:hAnsi="宋体" w:eastAsia="宋体" w:cs="宋体"/>
          <w:spacing w:val="11"/>
          <w:sz w:val="20"/>
          <w:szCs w:val="20"/>
        </w:rPr>
        <w:t>的与预防接种目的无关或意外的有害反</w:t>
      </w:r>
      <w:r>
        <w:rPr>
          <w:rFonts w:ascii="宋体" w:hAnsi="宋体" w:eastAsia="宋体" w:cs="宋体"/>
          <w:sz w:val="20"/>
          <w:szCs w:val="20"/>
        </w:rPr>
        <w:t xml:space="preserve"> 应，包括一般反应和异常反应。</w:t>
      </w:r>
    </w:p>
    <w:p w14:paraId="55CF7B8E">
      <w:pPr>
        <w:spacing w:before="2" w:line="348" w:lineRule="auto"/>
        <w:ind w:left="669" w:right="90" w:firstLine="410"/>
        <w:jc w:val="both"/>
        <w:rPr>
          <w:rFonts w:ascii="宋体" w:hAnsi="宋体" w:eastAsia="宋体" w:cs="宋体"/>
          <w:sz w:val="20"/>
          <w:szCs w:val="20"/>
        </w:rPr>
      </w:pPr>
      <w:r>
        <w:rPr>
          <w:rFonts w:ascii="宋体" w:hAnsi="宋体" w:eastAsia="宋体" w:cs="宋体"/>
          <w:spacing w:val="4"/>
          <w:sz w:val="20"/>
          <w:szCs w:val="20"/>
        </w:rPr>
        <w:t>一般反应是在预防接种后发生的、由疫苗本身所固有的特性引起的、对机体只会</w:t>
      </w:r>
      <w:r>
        <w:rPr>
          <w:rFonts w:ascii="宋体" w:hAnsi="宋体" w:eastAsia="宋体" w:cs="宋体"/>
          <w:spacing w:val="3"/>
          <w:sz w:val="20"/>
          <w:szCs w:val="20"/>
        </w:rPr>
        <w:t>造成一过性生</w:t>
      </w:r>
      <w:r>
        <w:rPr>
          <w:rFonts w:ascii="宋体" w:hAnsi="宋体" w:eastAsia="宋体" w:cs="宋体"/>
          <w:sz w:val="20"/>
          <w:szCs w:val="20"/>
        </w:rPr>
        <w:t xml:space="preserve"> 理功能障碍的反应，主要有发热和局部红肿，同时可能伴有全身不适、发</w:t>
      </w:r>
      <w:r>
        <w:rPr>
          <w:rFonts w:ascii="宋体" w:hAnsi="宋体" w:eastAsia="宋体" w:cs="宋体"/>
          <w:spacing w:val="-1"/>
          <w:sz w:val="20"/>
          <w:szCs w:val="20"/>
        </w:rPr>
        <w:t>热、倦怠、食欲下降、乏力</w:t>
      </w:r>
      <w:r>
        <w:rPr>
          <w:rFonts w:ascii="宋体" w:hAnsi="宋体" w:eastAsia="宋体" w:cs="宋体"/>
          <w:sz w:val="20"/>
          <w:szCs w:val="20"/>
        </w:rPr>
        <w:t xml:space="preserve"> </w:t>
      </w:r>
      <w:r>
        <w:rPr>
          <w:rFonts w:ascii="宋体" w:hAnsi="宋体" w:eastAsia="宋体" w:cs="宋体"/>
          <w:spacing w:val="9"/>
          <w:sz w:val="20"/>
          <w:szCs w:val="20"/>
        </w:rPr>
        <w:t>等综合症状。异常反应是指合格的疫苗在实施规范接种过程中或者实</w:t>
      </w:r>
      <w:r>
        <w:rPr>
          <w:rFonts w:ascii="宋体" w:hAnsi="宋体" w:eastAsia="宋体" w:cs="宋体"/>
          <w:spacing w:val="8"/>
          <w:sz w:val="20"/>
          <w:szCs w:val="20"/>
        </w:rPr>
        <w:t>施规范接种后造成受种者机</w:t>
      </w:r>
      <w:r>
        <w:rPr>
          <w:rFonts w:ascii="宋体" w:hAnsi="宋体" w:eastAsia="宋体" w:cs="宋体"/>
          <w:sz w:val="20"/>
          <w:szCs w:val="20"/>
        </w:rPr>
        <w:t xml:space="preserve"> </w:t>
      </w:r>
      <w:r>
        <w:rPr>
          <w:rFonts w:ascii="宋体" w:hAnsi="宋体" w:eastAsia="宋体" w:cs="宋体"/>
          <w:spacing w:val="1"/>
          <w:sz w:val="20"/>
          <w:szCs w:val="20"/>
        </w:rPr>
        <w:t>体组织器官结构、功能损害，相关各方均无过错的药品不良反应。</w:t>
      </w:r>
    </w:p>
    <w:p w14:paraId="07F3553E">
      <w:pPr>
        <w:spacing w:before="1" w:line="218" w:lineRule="auto"/>
        <w:ind w:left="1080"/>
        <w:rPr>
          <w:rFonts w:ascii="宋体" w:hAnsi="宋体" w:eastAsia="宋体" w:cs="宋体"/>
          <w:sz w:val="20"/>
          <w:szCs w:val="20"/>
        </w:rPr>
      </w:pPr>
      <w:r>
        <w:rPr>
          <w:rFonts w:ascii="宋体" w:hAnsi="宋体" w:eastAsia="宋体" w:cs="宋体"/>
          <w:spacing w:val="2"/>
          <w:sz w:val="20"/>
          <w:szCs w:val="20"/>
        </w:rPr>
        <w:t>(2)疫苗质量事故：疫苗质量不合格，接种后造成受种者机体组织器官结构、功能损害。</w:t>
      </w:r>
    </w:p>
    <w:p w14:paraId="228D9CBF">
      <w:pPr>
        <w:spacing w:before="154" w:line="275" w:lineRule="auto"/>
        <w:ind w:left="669" w:firstLine="410"/>
        <w:rPr>
          <w:rFonts w:ascii="宋体" w:hAnsi="宋体" w:eastAsia="宋体" w:cs="宋体"/>
          <w:sz w:val="20"/>
          <w:szCs w:val="20"/>
        </w:rPr>
      </w:pPr>
      <w:r>
        <w:rPr>
          <w:rFonts w:ascii="宋体" w:hAnsi="宋体" w:eastAsia="宋体" w:cs="宋体"/>
          <w:spacing w:val="4"/>
          <w:sz w:val="20"/>
          <w:szCs w:val="20"/>
        </w:rPr>
        <w:t>(3)接种事故：在预防接种实施过程中违反预防接种工作规范、免疫程序、疫苗使用指</w:t>
      </w:r>
      <w:r>
        <w:rPr>
          <w:rFonts w:ascii="宋体" w:hAnsi="宋体" w:eastAsia="宋体" w:cs="宋体"/>
          <w:spacing w:val="3"/>
          <w:sz w:val="20"/>
          <w:szCs w:val="20"/>
        </w:rPr>
        <w:t>导原则、</w:t>
      </w:r>
      <w:r>
        <w:rPr>
          <w:rFonts w:ascii="宋体" w:hAnsi="宋体" w:eastAsia="宋体" w:cs="宋体"/>
          <w:sz w:val="20"/>
          <w:szCs w:val="20"/>
        </w:rPr>
        <w:t xml:space="preserve"> 接种方案，造成受种者机体组织器官结构、功能损</w:t>
      </w:r>
      <w:r>
        <w:rPr>
          <w:rFonts w:ascii="宋体" w:hAnsi="宋体" w:eastAsia="宋体" w:cs="宋体"/>
          <w:spacing w:val="-1"/>
          <w:sz w:val="20"/>
          <w:szCs w:val="20"/>
        </w:rPr>
        <w:t>害。</w:t>
      </w:r>
    </w:p>
    <w:p w14:paraId="0C4B139D">
      <w:pPr>
        <w:spacing w:before="153" w:line="219" w:lineRule="auto"/>
        <w:ind w:left="1080"/>
        <w:rPr>
          <w:rFonts w:ascii="宋体" w:hAnsi="宋体" w:eastAsia="宋体" w:cs="宋体"/>
          <w:sz w:val="20"/>
          <w:szCs w:val="20"/>
        </w:rPr>
      </w:pPr>
      <w:r>
        <w:rPr>
          <w:rFonts w:ascii="宋体" w:hAnsi="宋体" w:eastAsia="宋体" w:cs="宋体"/>
          <w:spacing w:val="5"/>
          <w:sz w:val="20"/>
          <w:szCs w:val="20"/>
        </w:rPr>
        <w:t>(4)偶合症：受种者在接种时正处于某种疾病的潜伏期或者前驱期，接种</w:t>
      </w:r>
      <w:r>
        <w:rPr>
          <w:rFonts w:ascii="宋体" w:hAnsi="宋体" w:eastAsia="宋体" w:cs="宋体"/>
          <w:spacing w:val="4"/>
          <w:sz w:val="20"/>
          <w:szCs w:val="20"/>
        </w:rPr>
        <w:t>后巧合发病。</w:t>
      </w:r>
    </w:p>
    <w:p w14:paraId="1ECAE8BA">
      <w:pPr>
        <w:spacing w:before="104" w:line="286" w:lineRule="auto"/>
        <w:ind w:left="669" w:right="91" w:firstLine="410"/>
        <w:rPr>
          <w:rFonts w:ascii="宋体" w:hAnsi="宋体" w:eastAsia="宋体" w:cs="宋体"/>
          <w:sz w:val="20"/>
          <w:szCs w:val="20"/>
        </w:rPr>
      </w:pPr>
      <w:r>
        <w:rPr>
          <w:rFonts w:ascii="宋体" w:hAnsi="宋体" w:eastAsia="宋体" w:cs="宋体"/>
          <w:spacing w:val="17"/>
          <w:sz w:val="20"/>
          <w:szCs w:val="20"/>
        </w:rPr>
        <w:t>(5)心因性反应：在预防接种实施过程中或接种后因受种者心理因素发生的个体或</w:t>
      </w:r>
      <w:r>
        <w:rPr>
          <w:rFonts w:ascii="宋体" w:hAnsi="宋体" w:eastAsia="宋体" w:cs="宋体"/>
          <w:spacing w:val="16"/>
          <w:sz w:val="20"/>
          <w:szCs w:val="20"/>
        </w:rPr>
        <w:t>者群体</w:t>
      </w:r>
      <w:r>
        <w:rPr>
          <w:rFonts w:ascii="宋体" w:hAnsi="宋体" w:eastAsia="宋体" w:cs="宋体"/>
          <w:sz w:val="20"/>
          <w:szCs w:val="20"/>
        </w:rPr>
        <w:t xml:space="preserve"> </w:t>
      </w:r>
      <w:r>
        <w:rPr>
          <w:rFonts w:ascii="宋体" w:hAnsi="宋体" w:eastAsia="宋体" w:cs="宋体"/>
          <w:spacing w:val="10"/>
          <w:sz w:val="20"/>
          <w:szCs w:val="20"/>
        </w:rPr>
        <w:t>反应。</w:t>
      </w:r>
    </w:p>
    <w:p w14:paraId="081A2510">
      <w:pPr>
        <w:pStyle w:val="2"/>
        <w:spacing w:before="118" w:line="359" w:lineRule="auto"/>
        <w:ind w:left="669" w:right="111" w:firstLine="410"/>
        <w:jc w:val="both"/>
        <w:rPr>
          <w:rFonts w:ascii="宋体" w:hAnsi="宋体" w:eastAsia="宋体" w:cs="宋体"/>
          <w:sz w:val="20"/>
          <w:szCs w:val="20"/>
        </w:rPr>
      </w:pPr>
      <w:r>
        <w:rPr>
          <w:rFonts w:ascii="Times New Roman" w:hAnsi="Times New Roman" w:eastAsia="Times New Roman" w:cs="Times New Roman"/>
          <w:spacing w:val="3"/>
          <w:sz w:val="20"/>
          <w:szCs w:val="20"/>
        </w:rPr>
        <w:t>3.</w:t>
      </w:r>
      <w:r>
        <w:rPr>
          <w:rFonts w:ascii="Times New Roman" w:hAnsi="Times New Roman" w:eastAsia="Times New Roman" w:cs="Times New Roman"/>
          <w:spacing w:val="19"/>
          <w:sz w:val="20"/>
          <w:szCs w:val="20"/>
        </w:rPr>
        <w:t xml:space="preserve">  </w:t>
      </w:r>
      <w:r>
        <w:rPr>
          <w:spacing w:val="3"/>
          <w:sz w:val="20"/>
          <w:szCs w:val="20"/>
        </w:rPr>
        <w:t>冷链及冷链系统</w:t>
      </w:r>
      <w:r>
        <w:rPr>
          <w:spacing w:val="82"/>
          <w:sz w:val="20"/>
          <w:szCs w:val="20"/>
        </w:rPr>
        <w:t xml:space="preserve"> </w:t>
      </w:r>
      <w:r>
        <w:rPr>
          <w:rFonts w:ascii="宋体" w:hAnsi="宋体" w:eastAsia="宋体" w:cs="宋体"/>
          <w:spacing w:val="3"/>
          <w:sz w:val="20"/>
          <w:szCs w:val="20"/>
        </w:rPr>
        <w:t>冷</w:t>
      </w:r>
      <w:r>
        <w:rPr>
          <w:rFonts w:ascii="宋体" w:hAnsi="宋体" w:eastAsia="宋体" w:cs="宋体"/>
          <w:spacing w:val="-24"/>
          <w:sz w:val="20"/>
          <w:szCs w:val="20"/>
        </w:rPr>
        <w:t xml:space="preserve"> </w:t>
      </w:r>
      <w:r>
        <w:rPr>
          <w:rFonts w:ascii="宋体" w:hAnsi="宋体" w:eastAsia="宋体" w:cs="宋体"/>
          <w:spacing w:val="3"/>
          <w:sz w:val="20"/>
          <w:szCs w:val="20"/>
        </w:rPr>
        <w:t>链</w:t>
      </w:r>
      <w:r>
        <w:rPr>
          <w:rFonts w:ascii="Times New Roman" w:hAnsi="Times New Roman" w:eastAsia="Times New Roman" w:cs="Times New Roman"/>
          <w:spacing w:val="3"/>
          <w:sz w:val="20"/>
          <w:szCs w:val="20"/>
        </w:rPr>
        <w:t>(</w:t>
      </w:r>
      <w:r>
        <w:rPr>
          <w:rFonts w:ascii="Times New Roman" w:hAnsi="Times New Roman" w:eastAsia="Times New Roman" w:cs="Times New Roman"/>
          <w:sz w:val="20"/>
          <w:szCs w:val="20"/>
        </w:rPr>
        <w:t>cold</w:t>
      </w:r>
      <w:r>
        <w:rPr>
          <w:rFonts w:ascii="Times New Roman" w:hAnsi="Times New Roman" w:eastAsia="Times New Roman" w:cs="Times New Roman"/>
          <w:spacing w:val="14"/>
          <w:w w:val="101"/>
          <w:sz w:val="20"/>
          <w:szCs w:val="20"/>
        </w:rPr>
        <w:t xml:space="preserve">   </w:t>
      </w:r>
      <w:r>
        <w:rPr>
          <w:rFonts w:ascii="Times New Roman" w:hAnsi="Times New Roman" w:eastAsia="Times New Roman" w:cs="Times New Roman"/>
          <w:sz w:val="20"/>
          <w:szCs w:val="20"/>
        </w:rPr>
        <w:t>chain</w:t>
      </w:r>
      <w:r>
        <w:rPr>
          <w:rFonts w:ascii="Times New Roman" w:hAnsi="Times New Roman" w:eastAsia="Times New Roman" w:cs="Times New Roman"/>
          <w:spacing w:val="3"/>
          <w:sz w:val="20"/>
          <w:szCs w:val="20"/>
        </w:rPr>
        <w:t>)</w:t>
      </w:r>
      <w:r>
        <w:rPr>
          <w:rFonts w:ascii="宋体" w:hAnsi="宋体" w:eastAsia="宋体" w:cs="宋体"/>
          <w:spacing w:val="3"/>
          <w:sz w:val="20"/>
          <w:szCs w:val="20"/>
        </w:rPr>
        <w:t>是指为保证疫苗质量，从疫苗上市许可持有人</w:t>
      </w:r>
      <w:r>
        <w:rPr>
          <w:rFonts w:ascii="宋体" w:hAnsi="宋体" w:eastAsia="宋体" w:cs="宋体"/>
          <w:spacing w:val="2"/>
          <w:sz w:val="20"/>
          <w:szCs w:val="20"/>
        </w:rPr>
        <w:t>到接种单</w:t>
      </w:r>
      <w:r>
        <w:rPr>
          <w:rFonts w:ascii="宋体" w:hAnsi="宋体" w:eastAsia="宋体" w:cs="宋体"/>
          <w:sz w:val="20"/>
          <w:szCs w:val="20"/>
        </w:rPr>
        <w:t xml:space="preserve"> </w:t>
      </w:r>
      <w:r>
        <w:rPr>
          <w:rFonts w:ascii="宋体" w:hAnsi="宋体" w:eastAsia="宋体" w:cs="宋体"/>
          <w:spacing w:val="4"/>
          <w:sz w:val="20"/>
          <w:szCs w:val="20"/>
        </w:rPr>
        <w:t>位，疫苗均在规定的温度条件下储存、运输和使用的全过程。冷链系统是在冷链设备设</w:t>
      </w:r>
      <w:r>
        <w:rPr>
          <w:rFonts w:ascii="宋体" w:hAnsi="宋体" w:eastAsia="宋体" w:cs="宋体"/>
          <w:spacing w:val="3"/>
          <w:sz w:val="20"/>
          <w:szCs w:val="20"/>
        </w:rPr>
        <w:t>施的基础上</w:t>
      </w:r>
      <w:r>
        <w:rPr>
          <w:rFonts w:ascii="宋体" w:hAnsi="宋体" w:eastAsia="宋体" w:cs="宋体"/>
          <w:sz w:val="20"/>
          <w:szCs w:val="20"/>
        </w:rPr>
        <w:t xml:space="preserve"> </w:t>
      </w:r>
      <w:r>
        <w:rPr>
          <w:rFonts w:ascii="宋体" w:hAnsi="宋体" w:eastAsia="宋体" w:cs="宋体"/>
          <w:spacing w:val="1"/>
          <w:sz w:val="20"/>
          <w:szCs w:val="20"/>
        </w:rPr>
        <w:t>加入管理因素，即人员、管理措施和保障的</w:t>
      </w:r>
      <w:r>
        <w:rPr>
          <w:rFonts w:ascii="宋体" w:hAnsi="宋体" w:eastAsia="宋体" w:cs="宋体"/>
          <w:sz w:val="20"/>
          <w:szCs w:val="20"/>
        </w:rPr>
        <w:t>工作体系。</w:t>
      </w:r>
    </w:p>
    <w:p w14:paraId="0781D704">
      <w:pPr>
        <w:pStyle w:val="2"/>
        <w:spacing w:before="191" w:line="221" w:lineRule="auto"/>
        <w:ind w:left="1083"/>
        <w:outlineLvl w:val="4"/>
        <w:rPr>
          <w:sz w:val="24"/>
          <w:szCs w:val="24"/>
        </w:rPr>
      </w:pPr>
      <w:bookmarkStart w:id="330" w:name="bookmark208"/>
      <w:bookmarkEnd w:id="330"/>
      <w:r>
        <w:rPr>
          <w:b/>
          <w:bCs/>
          <w:spacing w:val="-1"/>
          <w:sz w:val="24"/>
          <w:szCs w:val="24"/>
        </w:rPr>
        <w:t>三</w:t>
      </w:r>
      <w:r>
        <w:rPr>
          <w:spacing w:val="-33"/>
          <w:sz w:val="24"/>
          <w:szCs w:val="24"/>
        </w:rPr>
        <w:t xml:space="preserve"> </w:t>
      </w:r>
      <w:r>
        <w:rPr>
          <w:b/>
          <w:bCs/>
          <w:spacing w:val="-1"/>
          <w:sz w:val="24"/>
          <w:szCs w:val="24"/>
        </w:rPr>
        <w:t>、疫苗的人群评价</w:t>
      </w:r>
    </w:p>
    <w:p w14:paraId="2349344B">
      <w:pPr>
        <w:spacing w:before="265" w:line="218" w:lineRule="auto"/>
        <w:ind w:left="1080"/>
        <w:rPr>
          <w:rFonts w:ascii="宋体" w:hAnsi="宋体" w:eastAsia="宋体" w:cs="宋体"/>
          <w:sz w:val="20"/>
          <w:szCs w:val="20"/>
        </w:rPr>
      </w:pPr>
      <w:r>
        <w:rPr>
          <w:rFonts w:ascii="宋体" w:hAnsi="宋体" w:eastAsia="宋体" w:cs="宋体"/>
          <w:spacing w:val="6"/>
          <w:sz w:val="20"/>
          <w:szCs w:val="20"/>
        </w:rPr>
        <w:t>疫苗的人群评价主要包括疫苗的有效性评价和安全性评价。</w:t>
      </w:r>
    </w:p>
    <w:p w14:paraId="4871DE62">
      <w:pPr>
        <w:pStyle w:val="2"/>
        <w:spacing w:before="112" w:line="221" w:lineRule="auto"/>
        <w:ind w:left="1083"/>
        <w:rPr>
          <w:sz w:val="24"/>
          <w:szCs w:val="24"/>
        </w:rPr>
      </w:pPr>
      <w:r>
        <w:rPr>
          <w:b/>
          <w:bCs/>
          <w:spacing w:val="-6"/>
          <w:sz w:val="24"/>
          <w:szCs w:val="24"/>
        </w:rPr>
        <w:t>(一)有效性评价</w:t>
      </w:r>
    </w:p>
    <w:p w14:paraId="7590D308">
      <w:pPr>
        <w:pStyle w:val="2"/>
        <w:spacing w:before="112" w:line="343" w:lineRule="auto"/>
        <w:ind w:left="669" w:right="111" w:firstLine="412"/>
        <w:jc w:val="both"/>
        <w:rPr>
          <w:rFonts w:ascii="宋体" w:hAnsi="宋体" w:eastAsia="宋体" w:cs="宋体"/>
          <w:sz w:val="20"/>
          <w:szCs w:val="20"/>
        </w:rPr>
      </w:pPr>
      <w:r>
        <w:rPr>
          <w:rFonts w:ascii="宋体" w:hAnsi="宋体" w:eastAsia="宋体" w:cs="宋体"/>
          <w:b/>
          <w:bCs/>
          <w:spacing w:val="6"/>
          <w:sz w:val="20"/>
          <w:szCs w:val="20"/>
        </w:rPr>
        <w:t>1.</w:t>
      </w:r>
      <w:r>
        <w:rPr>
          <w:rFonts w:ascii="宋体" w:hAnsi="宋体" w:eastAsia="宋体" w:cs="宋体"/>
          <w:spacing w:val="6"/>
          <w:sz w:val="20"/>
          <w:szCs w:val="20"/>
        </w:rPr>
        <w:t xml:space="preserve"> </w:t>
      </w:r>
      <w:r>
        <w:rPr>
          <w:b/>
          <w:bCs/>
          <w:spacing w:val="6"/>
          <w:sz w:val="20"/>
          <w:szCs w:val="20"/>
        </w:rPr>
        <w:t>免疫学效果评价</w:t>
      </w:r>
      <w:r>
        <w:rPr>
          <w:spacing w:val="6"/>
          <w:sz w:val="20"/>
          <w:szCs w:val="20"/>
        </w:rPr>
        <w:t xml:space="preserve">  </w:t>
      </w:r>
      <w:r>
        <w:rPr>
          <w:rFonts w:ascii="宋体" w:hAnsi="宋体" w:eastAsia="宋体" w:cs="宋体"/>
          <w:spacing w:val="6"/>
          <w:sz w:val="20"/>
          <w:szCs w:val="20"/>
        </w:rPr>
        <w:t>对疫苗免疫原性</w:t>
      </w:r>
      <w:r>
        <w:rPr>
          <w:rFonts w:ascii="宋体" w:hAnsi="宋体" w:eastAsia="宋体" w:cs="宋体"/>
          <w:spacing w:val="5"/>
          <w:sz w:val="20"/>
          <w:szCs w:val="20"/>
        </w:rPr>
        <w:t>的评价称为免疫学效果评价。对于大多数疫苗而言，保</w:t>
      </w:r>
      <w:r>
        <w:rPr>
          <w:rFonts w:ascii="宋体" w:hAnsi="宋体" w:eastAsia="宋体" w:cs="宋体"/>
          <w:sz w:val="20"/>
          <w:szCs w:val="20"/>
        </w:rPr>
        <w:t xml:space="preserve"> </w:t>
      </w:r>
      <w:r>
        <w:rPr>
          <w:rFonts w:ascii="宋体" w:hAnsi="宋体" w:eastAsia="宋体" w:cs="宋体"/>
          <w:spacing w:val="9"/>
          <w:sz w:val="20"/>
          <w:szCs w:val="20"/>
        </w:rPr>
        <w:t>护性抗体(通常指中和抗体)应答强度通常与疫苗的</w:t>
      </w:r>
      <w:r>
        <w:rPr>
          <w:rFonts w:ascii="宋体" w:hAnsi="宋体" w:eastAsia="宋体" w:cs="宋体"/>
          <w:spacing w:val="8"/>
          <w:sz w:val="20"/>
          <w:szCs w:val="20"/>
        </w:rPr>
        <w:t>保护效果呈较强的正相关，是最常用的疫苗免</w:t>
      </w:r>
      <w:r>
        <w:rPr>
          <w:rFonts w:ascii="宋体" w:hAnsi="宋体" w:eastAsia="宋体" w:cs="宋体"/>
          <w:sz w:val="20"/>
          <w:szCs w:val="20"/>
        </w:rPr>
        <w:t xml:space="preserve"> </w:t>
      </w:r>
      <w:r>
        <w:rPr>
          <w:rFonts w:ascii="宋体" w:hAnsi="宋体" w:eastAsia="宋体" w:cs="宋体"/>
          <w:spacing w:val="9"/>
          <w:sz w:val="20"/>
          <w:szCs w:val="20"/>
        </w:rPr>
        <w:t>疫学效果评价指标。如果接种疫苗后体内的抗体高峰期浓度达到或</w:t>
      </w:r>
      <w:r>
        <w:rPr>
          <w:rFonts w:ascii="宋体" w:hAnsi="宋体" w:eastAsia="宋体" w:cs="宋体"/>
          <w:spacing w:val="8"/>
          <w:sz w:val="20"/>
          <w:szCs w:val="20"/>
        </w:rPr>
        <w:t>超过某一临界值，则可以合理</w:t>
      </w:r>
    </w:p>
    <w:p w14:paraId="7FAAB929">
      <w:pPr>
        <w:spacing w:line="343" w:lineRule="auto"/>
        <w:rPr>
          <w:rFonts w:ascii="宋体" w:hAnsi="宋体" w:eastAsia="宋体" w:cs="宋体"/>
          <w:sz w:val="20"/>
          <w:szCs w:val="20"/>
        </w:rPr>
        <w:sectPr>
          <w:footerReference r:id="rId217" w:type="default"/>
          <w:pgSz w:w="11900" w:h="16820"/>
          <w:pgMar w:top="376" w:right="1490" w:bottom="859" w:left="860" w:header="0" w:footer="679" w:gutter="0"/>
          <w:cols w:space="720" w:num="1"/>
        </w:sectPr>
      </w:pPr>
    </w:p>
    <w:p w14:paraId="270600BA">
      <w:pPr>
        <w:spacing w:line="256" w:lineRule="auto"/>
        <w:rPr>
          <w:rFonts w:ascii="Arial"/>
          <w:sz w:val="21"/>
        </w:rPr>
      </w:pPr>
    </w:p>
    <w:p w14:paraId="007DCD62">
      <w:pPr>
        <w:pStyle w:val="2"/>
        <w:spacing w:before="69" w:line="221" w:lineRule="auto"/>
        <w:ind w:left="6959"/>
        <w:rPr>
          <w:sz w:val="21"/>
          <w:szCs w:val="21"/>
        </w:rPr>
      </w:pPr>
      <w:r>
        <w:rPr>
          <w:spacing w:val="-15"/>
          <w:w w:val="97"/>
          <w:sz w:val="21"/>
          <w:szCs w:val="21"/>
        </w:rPr>
        <w:t>第十一章传染病流行病学</w:t>
      </w:r>
    </w:p>
    <w:p w14:paraId="6A784B45">
      <w:pPr>
        <w:spacing w:line="275" w:lineRule="auto"/>
        <w:rPr>
          <w:rFonts w:ascii="Arial"/>
          <w:sz w:val="21"/>
        </w:rPr>
      </w:pPr>
    </w:p>
    <w:p w14:paraId="0A7E888F">
      <w:pPr>
        <w:spacing w:line="276" w:lineRule="auto"/>
        <w:rPr>
          <w:rFonts w:ascii="Arial"/>
          <w:sz w:val="21"/>
        </w:rPr>
      </w:pPr>
    </w:p>
    <w:p w14:paraId="16E5EE2B">
      <w:pPr>
        <w:spacing w:before="68" w:line="329" w:lineRule="auto"/>
        <w:ind w:right="602" w:firstLine="19"/>
        <w:jc w:val="both"/>
        <w:rPr>
          <w:rFonts w:ascii="宋体" w:hAnsi="宋体" w:eastAsia="宋体" w:cs="宋体"/>
          <w:sz w:val="21"/>
          <w:szCs w:val="21"/>
        </w:rPr>
      </w:pPr>
      <w:r>
        <w:rPr>
          <w:rFonts w:ascii="宋体" w:hAnsi="宋体" w:eastAsia="宋体" w:cs="宋体"/>
          <w:spacing w:val="4"/>
          <w:sz w:val="21"/>
          <w:szCs w:val="21"/>
        </w:rPr>
        <w:t>预期今后一定时间内能够有效防止病原体感染或减缓感染进程，这一临</w:t>
      </w:r>
      <w:r>
        <w:rPr>
          <w:rFonts w:ascii="宋体" w:hAnsi="宋体" w:eastAsia="宋体" w:cs="宋体"/>
          <w:spacing w:val="3"/>
          <w:sz w:val="21"/>
          <w:szCs w:val="21"/>
        </w:rPr>
        <w:t>界值抗体水平称为疫苗抗</w:t>
      </w:r>
      <w:r>
        <w:rPr>
          <w:rFonts w:ascii="宋体" w:hAnsi="宋体" w:eastAsia="宋体" w:cs="宋体"/>
          <w:sz w:val="21"/>
          <w:szCs w:val="21"/>
        </w:rPr>
        <w:t xml:space="preserve"> </w:t>
      </w:r>
      <w:r>
        <w:rPr>
          <w:rFonts w:ascii="宋体" w:hAnsi="宋体" w:eastAsia="宋体" w:cs="宋体"/>
          <w:spacing w:val="4"/>
          <w:sz w:val="21"/>
          <w:szCs w:val="21"/>
        </w:rPr>
        <w:t>体保护性水平。然而，疫苗的保护作用并不完全依赖于抗体以及暴露于病原体时体内的即时游离</w:t>
      </w:r>
      <w:r>
        <w:rPr>
          <w:rFonts w:ascii="宋体" w:hAnsi="宋体" w:eastAsia="宋体" w:cs="宋体"/>
          <w:spacing w:val="13"/>
          <w:sz w:val="21"/>
          <w:szCs w:val="21"/>
        </w:rPr>
        <w:t xml:space="preserve"> </w:t>
      </w:r>
      <w:r>
        <w:rPr>
          <w:rFonts w:ascii="宋体" w:hAnsi="宋体" w:eastAsia="宋体" w:cs="宋体"/>
          <w:spacing w:val="-1"/>
          <w:sz w:val="21"/>
          <w:szCs w:val="21"/>
        </w:rPr>
        <w:t>抗体浓度，机体接触病原体后的抗体回忆应答强弱常发挥着更重要的作用。此外，个体接种疫苗后</w:t>
      </w:r>
      <w:r>
        <w:rPr>
          <w:rFonts w:ascii="宋体" w:hAnsi="宋体" w:eastAsia="宋体" w:cs="宋体"/>
          <w:spacing w:val="17"/>
          <w:sz w:val="21"/>
          <w:szCs w:val="21"/>
        </w:rPr>
        <w:t xml:space="preserve"> </w:t>
      </w:r>
      <w:r>
        <w:rPr>
          <w:rFonts w:ascii="宋体" w:hAnsi="宋体" w:eastAsia="宋体" w:cs="宋体"/>
          <w:spacing w:val="-1"/>
          <w:sz w:val="21"/>
          <w:szCs w:val="21"/>
        </w:rPr>
        <w:t>是否会发生免疫突破，即接种疫苗后发生的感染，还与病原体的暴露剂量、机体其他易感因素等有</w:t>
      </w:r>
      <w:r>
        <w:rPr>
          <w:rFonts w:ascii="宋体" w:hAnsi="宋体" w:eastAsia="宋体" w:cs="宋体"/>
          <w:spacing w:val="12"/>
          <w:sz w:val="21"/>
          <w:szCs w:val="21"/>
        </w:rPr>
        <w:t xml:space="preserve"> </w:t>
      </w:r>
      <w:r>
        <w:rPr>
          <w:rFonts w:ascii="宋体" w:hAnsi="宋体" w:eastAsia="宋体" w:cs="宋体"/>
          <w:sz w:val="21"/>
          <w:szCs w:val="21"/>
        </w:rPr>
        <w:t>关。因此，疫苗抗体保护性水平是一个群体性的衡量指标，不适合作</w:t>
      </w:r>
      <w:r>
        <w:rPr>
          <w:rFonts w:ascii="宋体" w:hAnsi="宋体" w:eastAsia="宋体" w:cs="宋体"/>
          <w:spacing w:val="-1"/>
          <w:sz w:val="21"/>
          <w:szCs w:val="21"/>
        </w:rPr>
        <w:t>为判断个体能否免受感染的依</w:t>
      </w:r>
      <w:r>
        <w:rPr>
          <w:rFonts w:ascii="宋体" w:hAnsi="宋体" w:eastAsia="宋体" w:cs="宋体"/>
          <w:sz w:val="21"/>
          <w:szCs w:val="21"/>
        </w:rPr>
        <w:t xml:space="preserve"> 据。除外抗体水平，细胞免疫也可用于免疫学效果的评价。</w:t>
      </w:r>
    </w:p>
    <w:p w14:paraId="2A35403C">
      <w:pPr>
        <w:spacing w:before="1" w:line="332" w:lineRule="auto"/>
        <w:ind w:right="536" w:firstLine="429"/>
        <w:jc w:val="both"/>
        <w:rPr>
          <w:rFonts w:ascii="宋体" w:hAnsi="宋体" w:eastAsia="宋体" w:cs="宋体"/>
          <w:sz w:val="21"/>
          <w:szCs w:val="21"/>
        </w:rPr>
      </w:pPr>
      <w:r>
        <w:rPr>
          <w:rFonts w:ascii="宋体" w:hAnsi="宋体" w:eastAsia="宋体" w:cs="宋体"/>
          <w:spacing w:val="4"/>
          <w:sz w:val="21"/>
          <w:szCs w:val="21"/>
        </w:rPr>
        <w:t>疫苗的免疫学效果通常可以通过人群抗体阳转率、抗体平均滴度和持续时间来评价。在疫苗</w:t>
      </w:r>
      <w:r>
        <w:rPr>
          <w:rFonts w:ascii="宋体" w:hAnsi="宋体" w:eastAsia="宋体" w:cs="宋体"/>
          <w:sz w:val="21"/>
          <w:szCs w:val="21"/>
        </w:rPr>
        <w:t xml:space="preserve">  </w:t>
      </w:r>
      <w:r>
        <w:rPr>
          <w:rFonts w:ascii="宋体" w:hAnsi="宋体" w:eastAsia="宋体" w:cs="宋体"/>
          <w:spacing w:val="-1"/>
          <w:sz w:val="21"/>
          <w:szCs w:val="21"/>
        </w:rPr>
        <w:t>免疫学效果评价中，抗体阳转</w:t>
      </w:r>
      <w:r>
        <w:rPr>
          <w:rFonts w:ascii="Times New Roman" w:hAnsi="Times New Roman" w:eastAsia="Times New Roman" w:cs="Times New Roman"/>
          <w:spacing w:val="-1"/>
          <w:sz w:val="21"/>
          <w:szCs w:val="21"/>
        </w:rPr>
        <w:t>(seroconversion)</w:t>
      </w:r>
      <w:r>
        <w:rPr>
          <w:rFonts w:ascii="Times New Roman" w:hAnsi="Times New Roman" w:eastAsia="Times New Roman" w:cs="Times New Roman"/>
          <w:spacing w:val="46"/>
          <w:sz w:val="21"/>
          <w:szCs w:val="21"/>
        </w:rPr>
        <w:t xml:space="preserve"> </w:t>
      </w:r>
      <w:r>
        <w:rPr>
          <w:rFonts w:ascii="宋体" w:hAnsi="宋体" w:eastAsia="宋体" w:cs="宋体"/>
          <w:spacing w:val="-1"/>
          <w:sz w:val="21"/>
          <w:szCs w:val="21"/>
        </w:rPr>
        <w:t>通常指</w:t>
      </w:r>
      <w:r>
        <w:rPr>
          <w:rFonts w:ascii="宋体" w:hAnsi="宋体" w:eastAsia="宋体" w:cs="宋体"/>
          <w:spacing w:val="-2"/>
          <w:sz w:val="21"/>
          <w:szCs w:val="21"/>
        </w:rPr>
        <w:t>接种后体内抗体水平超过预先设定的标准，并</w:t>
      </w:r>
      <w:r>
        <w:rPr>
          <w:rFonts w:ascii="宋体" w:hAnsi="宋体" w:eastAsia="宋体" w:cs="宋体"/>
          <w:sz w:val="21"/>
          <w:szCs w:val="21"/>
        </w:rPr>
        <w:t xml:space="preserve">  </w:t>
      </w:r>
      <w:r>
        <w:rPr>
          <w:rFonts w:ascii="宋体" w:hAnsi="宋体" w:eastAsia="宋体" w:cs="宋体"/>
          <w:spacing w:val="9"/>
          <w:sz w:val="21"/>
          <w:szCs w:val="21"/>
        </w:rPr>
        <w:t xml:space="preserve">不完全是生物学意义上的抗体由阴性转为阳性。如脊髓灰质炎疫苗接种后中和抗体≥1:4或有4 </w:t>
      </w:r>
      <w:r>
        <w:rPr>
          <w:rFonts w:ascii="宋体" w:hAnsi="宋体" w:eastAsia="宋体" w:cs="宋体"/>
          <w:spacing w:val="4"/>
          <w:sz w:val="21"/>
          <w:szCs w:val="21"/>
        </w:rPr>
        <w:t xml:space="preserve">倍及以上增高，判定为中和抗体阳转。抗体阳转率指人群接种疫苗后出现抗体阳转的比例，见式  </w:t>
      </w:r>
      <w:r>
        <w:rPr>
          <w:rFonts w:ascii="宋体" w:hAnsi="宋体" w:eastAsia="宋体" w:cs="宋体"/>
          <w:spacing w:val="1"/>
          <w:sz w:val="21"/>
          <w:szCs w:val="21"/>
        </w:rPr>
        <w:t>(11-1)。评价抗体持续时间需要在疫苗接种后不同时间点采样检测，需要注意因存在免疫记忆等，</w:t>
      </w:r>
      <w:r>
        <w:rPr>
          <w:rFonts w:ascii="宋体" w:hAnsi="宋体" w:eastAsia="宋体" w:cs="宋体"/>
          <w:spacing w:val="7"/>
          <w:sz w:val="21"/>
          <w:szCs w:val="21"/>
        </w:rPr>
        <w:t xml:space="preserve"> </w:t>
      </w:r>
      <w:r>
        <w:rPr>
          <w:rFonts w:ascii="宋体" w:hAnsi="宋体" w:eastAsia="宋体" w:cs="宋体"/>
          <w:spacing w:val="2"/>
          <w:sz w:val="21"/>
          <w:szCs w:val="21"/>
        </w:rPr>
        <w:t>经过若干时间后抗体无法检出并不意味着疫苗保护效果的消失。</w:t>
      </w:r>
    </w:p>
    <w:p w14:paraId="28F3BEBA">
      <w:pPr>
        <w:spacing w:before="135"/>
        <w:ind w:left="2940"/>
        <w:rPr>
          <w:rFonts w:ascii="宋体" w:hAnsi="宋体" w:eastAsia="宋体" w:cs="宋体"/>
          <w:sz w:val="21"/>
          <w:szCs w:val="21"/>
        </w:rPr>
      </w:pPr>
      <w:r>
        <w:rPr>
          <w:rFonts w:ascii="宋体" w:hAnsi="宋体" w:eastAsia="宋体" w:cs="宋体"/>
          <w:position w:val="-20"/>
          <w:sz w:val="21"/>
          <w:szCs w:val="21"/>
        </w:rPr>
        <w:drawing>
          <wp:inline distT="0" distB="0" distL="0" distR="0">
            <wp:extent cx="2057400" cy="349250"/>
            <wp:effectExtent l="0" t="0" r="0" b="0"/>
            <wp:docPr id="570" name="IM 570"/>
            <wp:cNvGraphicFramePr/>
            <a:graphic xmlns:a="http://schemas.openxmlformats.org/drawingml/2006/main">
              <a:graphicData uri="http://schemas.openxmlformats.org/drawingml/2006/picture">
                <pic:pic xmlns:pic="http://schemas.openxmlformats.org/drawingml/2006/picture">
                  <pic:nvPicPr>
                    <pic:cNvPr id="570" name="IM 570"/>
                    <pic:cNvPicPr/>
                  </pic:nvPicPr>
                  <pic:blipFill>
                    <a:blip r:embed="rId628"/>
                    <a:stretch>
                      <a:fillRect/>
                    </a:stretch>
                  </pic:blipFill>
                  <pic:spPr>
                    <a:xfrm>
                      <a:off x="0" y="0"/>
                      <a:ext cx="2057408" cy="349259"/>
                    </a:xfrm>
                    <a:prstGeom prst="rect">
                      <a:avLst/>
                    </a:prstGeom>
                  </pic:spPr>
                </pic:pic>
              </a:graphicData>
            </a:graphic>
          </wp:inline>
        </w:drawing>
      </w:r>
      <w:r>
        <w:rPr>
          <w:rFonts w:ascii="宋体" w:hAnsi="宋体" w:eastAsia="宋体" w:cs="宋体"/>
          <w:spacing w:val="4"/>
          <w:sz w:val="21"/>
          <w:szCs w:val="21"/>
        </w:rPr>
        <w:t xml:space="preserve">                  </w:t>
      </w:r>
      <w:r>
        <w:rPr>
          <w:rFonts w:ascii="宋体" w:hAnsi="宋体" w:eastAsia="宋体" w:cs="宋体"/>
          <w:spacing w:val="8"/>
          <w:sz w:val="21"/>
          <w:szCs w:val="21"/>
        </w:rPr>
        <w:t>式(11-1)</w:t>
      </w:r>
    </w:p>
    <w:p w14:paraId="4149B97D">
      <w:pPr>
        <w:pStyle w:val="2"/>
        <w:spacing w:before="277" w:line="259" w:lineRule="auto"/>
        <w:ind w:left="19" w:right="646" w:firstLine="409"/>
        <w:rPr>
          <w:rFonts w:ascii="Times New Roman" w:hAnsi="Times New Roman" w:eastAsia="Times New Roman" w:cs="Times New Roman"/>
          <w:sz w:val="21"/>
          <w:szCs w:val="21"/>
        </w:rPr>
      </w:pPr>
      <w:r>
        <w:rPr>
          <w:rFonts w:ascii="宋体" w:hAnsi="宋体" w:eastAsia="宋体" w:cs="宋体"/>
          <w:spacing w:val="4"/>
          <w:sz w:val="21"/>
          <w:szCs w:val="21"/>
        </w:rPr>
        <w:t xml:space="preserve">2. </w:t>
      </w:r>
      <w:r>
        <w:rPr>
          <w:spacing w:val="4"/>
          <w:sz w:val="21"/>
          <w:szCs w:val="21"/>
        </w:rPr>
        <w:t>流行病学效果评价</w:t>
      </w:r>
      <w:r>
        <w:rPr>
          <w:spacing w:val="108"/>
          <w:sz w:val="21"/>
          <w:szCs w:val="21"/>
        </w:rPr>
        <w:t xml:space="preserve"> </w:t>
      </w:r>
      <w:r>
        <w:rPr>
          <w:rFonts w:ascii="宋体" w:hAnsi="宋体" w:eastAsia="宋体" w:cs="宋体"/>
          <w:spacing w:val="4"/>
          <w:sz w:val="21"/>
          <w:szCs w:val="21"/>
        </w:rPr>
        <w:t>疫苗的流行病学效果是指接种疫苗对改善群体临床结局</w:t>
      </w:r>
      <w:r>
        <w:rPr>
          <w:rFonts w:ascii="宋体" w:hAnsi="宋体" w:eastAsia="宋体" w:cs="宋体"/>
          <w:spacing w:val="12"/>
          <w:sz w:val="21"/>
          <w:szCs w:val="21"/>
        </w:rPr>
        <w:t xml:space="preserve">        </w:t>
      </w:r>
      <w:r>
        <w:rPr>
          <w:rFonts w:ascii="宋体" w:hAnsi="宋体" w:eastAsia="宋体" w:cs="宋体"/>
          <w:spacing w:val="4"/>
          <w:sz w:val="21"/>
          <w:szCs w:val="21"/>
        </w:rPr>
        <w:t>的</w:t>
      </w:r>
      <w:r>
        <w:rPr>
          <w:rFonts w:ascii="宋体" w:hAnsi="宋体" w:eastAsia="宋体" w:cs="宋体"/>
          <w:spacing w:val="5"/>
          <w:sz w:val="21"/>
          <w:szCs w:val="21"/>
        </w:rPr>
        <w:t xml:space="preserve"> </w:t>
      </w:r>
      <w:r>
        <w:rPr>
          <w:rFonts w:ascii="宋体" w:hAnsi="宋体" w:eastAsia="宋体" w:cs="宋体"/>
          <w:spacing w:val="-3"/>
          <w:sz w:val="21"/>
          <w:szCs w:val="21"/>
        </w:rPr>
        <w:t>成效，如减少感染、预防发病、减轻疾病伤害(重症或死亡)等。常用的评价指标是</w:t>
      </w:r>
      <w:r>
        <w:rPr>
          <w:rFonts w:ascii="宋体" w:hAnsi="宋体" w:eastAsia="宋体" w:cs="宋体"/>
          <w:spacing w:val="-4"/>
          <w:sz w:val="21"/>
          <w:szCs w:val="21"/>
        </w:rPr>
        <w:t>疫苗效力</w:t>
      </w:r>
      <w:r>
        <w:rPr>
          <w:rFonts w:ascii="Times New Roman" w:hAnsi="Times New Roman" w:eastAsia="Times New Roman" w:cs="Times New Roman"/>
          <w:spacing w:val="-4"/>
          <w:sz w:val="21"/>
          <w:szCs w:val="21"/>
        </w:rPr>
        <w:t>(vaccine</w:t>
      </w:r>
    </w:p>
    <w:p w14:paraId="6129D61F">
      <w:pPr>
        <w:spacing w:before="158" w:line="212" w:lineRule="auto"/>
        <w:rPr>
          <w:rFonts w:ascii="宋体" w:hAnsi="宋体" w:eastAsia="宋体" w:cs="宋体"/>
          <w:sz w:val="21"/>
          <w:szCs w:val="21"/>
        </w:rPr>
      </w:pPr>
      <w:r>
        <w:rPr>
          <w:rFonts w:ascii="Times New Roman" w:hAnsi="Times New Roman" w:eastAsia="Times New Roman" w:cs="Times New Roman"/>
          <w:sz w:val="21"/>
          <w:szCs w:val="21"/>
        </w:rPr>
        <w:t>efficacy</w:t>
      </w:r>
      <w:r>
        <w:rPr>
          <w:rFonts w:ascii="Times New Roman" w:hAnsi="Times New Roman" w:eastAsia="Times New Roman" w:cs="Times New Roman"/>
          <w:spacing w:val="3"/>
          <w:sz w:val="21"/>
          <w:szCs w:val="21"/>
        </w:rPr>
        <w:t>)</w:t>
      </w:r>
      <w:r>
        <w:rPr>
          <w:rFonts w:ascii="宋体" w:hAnsi="宋体" w:eastAsia="宋体" w:cs="宋体"/>
          <w:spacing w:val="3"/>
          <w:sz w:val="21"/>
          <w:szCs w:val="21"/>
        </w:rPr>
        <w:t>或称保护率</w:t>
      </w:r>
      <w:r>
        <w:rPr>
          <w:rFonts w:ascii="Times New Roman" w:hAnsi="Times New Roman" w:eastAsia="Times New Roman" w:cs="Times New Roman"/>
          <w:spacing w:val="3"/>
          <w:sz w:val="21"/>
          <w:szCs w:val="21"/>
        </w:rPr>
        <w:t>(</w:t>
      </w:r>
      <w:r>
        <w:rPr>
          <w:rFonts w:ascii="Times New Roman" w:hAnsi="Times New Roman" w:eastAsia="Times New Roman" w:cs="Times New Roman"/>
          <w:sz w:val="21"/>
          <w:szCs w:val="21"/>
        </w:rPr>
        <w:t>protective</w:t>
      </w:r>
      <w:r>
        <w:rPr>
          <w:rFonts w:ascii="Times New Roman" w:hAnsi="Times New Roman" w:eastAsia="Times New Roman" w:cs="Times New Roman"/>
          <w:spacing w:val="23"/>
          <w:sz w:val="21"/>
          <w:szCs w:val="21"/>
        </w:rPr>
        <w:t xml:space="preserve">  </w:t>
      </w:r>
      <w:r>
        <w:rPr>
          <w:rFonts w:ascii="Times New Roman" w:hAnsi="Times New Roman" w:eastAsia="Times New Roman" w:cs="Times New Roman"/>
          <w:sz w:val="21"/>
          <w:szCs w:val="21"/>
        </w:rPr>
        <w:t>efficacy</w:t>
      </w:r>
      <w:r>
        <w:rPr>
          <w:rFonts w:ascii="Times New Roman" w:hAnsi="Times New Roman" w:eastAsia="Times New Roman" w:cs="Times New Roman"/>
          <w:spacing w:val="3"/>
          <w:sz w:val="21"/>
          <w:szCs w:val="21"/>
        </w:rPr>
        <w:t>),</w:t>
      </w:r>
      <w:r>
        <w:rPr>
          <w:rFonts w:ascii="宋体" w:hAnsi="宋体" w:eastAsia="宋体" w:cs="宋体"/>
          <w:spacing w:val="3"/>
          <w:sz w:val="21"/>
          <w:szCs w:val="21"/>
        </w:rPr>
        <w:t>指疫苗在随机对照试验</w:t>
      </w:r>
      <w:r>
        <w:rPr>
          <w:rFonts w:ascii="宋体" w:hAnsi="宋体" w:eastAsia="宋体" w:cs="宋体"/>
          <w:spacing w:val="2"/>
          <w:sz w:val="21"/>
          <w:szCs w:val="21"/>
        </w:rPr>
        <w:t>中理想条件下的有效性。</w:t>
      </w:r>
    </w:p>
    <w:p w14:paraId="2E5093C7">
      <w:pPr>
        <w:spacing w:before="109" w:line="335" w:lineRule="auto"/>
        <w:ind w:right="610" w:firstLine="429"/>
        <w:jc w:val="both"/>
        <w:rPr>
          <w:rFonts w:ascii="宋体" w:hAnsi="宋体" w:eastAsia="宋体" w:cs="宋体"/>
          <w:sz w:val="21"/>
          <w:szCs w:val="21"/>
        </w:rPr>
      </w:pPr>
      <w:r>
        <w:drawing>
          <wp:anchor distT="0" distB="0" distL="0" distR="0" simplePos="0" relativeHeight="251844608" behindDoc="0" locked="0" layoutInCell="1" allowOverlap="1">
            <wp:simplePos x="0" y="0"/>
            <wp:positionH relativeFrom="column">
              <wp:posOffset>875665</wp:posOffset>
            </wp:positionH>
            <wp:positionV relativeFrom="paragraph">
              <wp:posOffset>1855470</wp:posOffset>
            </wp:positionV>
            <wp:extent cx="3987800" cy="326390"/>
            <wp:effectExtent l="0" t="0" r="0" b="0"/>
            <wp:wrapNone/>
            <wp:docPr id="572" name="IM 572"/>
            <wp:cNvGraphicFramePr/>
            <a:graphic xmlns:a="http://schemas.openxmlformats.org/drawingml/2006/main">
              <a:graphicData uri="http://schemas.openxmlformats.org/drawingml/2006/picture">
                <pic:pic xmlns:pic="http://schemas.openxmlformats.org/drawingml/2006/picture">
                  <pic:nvPicPr>
                    <pic:cNvPr id="572" name="IM 572"/>
                    <pic:cNvPicPr/>
                  </pic:nvPicPr>
                  <pic:blipFill>
                    <a:blip r:embed="rId629"/>
                    <a:stretch>
                      <a:fillRect/>
                    </a:stretch>
                  </pic:blipFill>
                  <pic:spPr>
                    <a:xfrm>
                      <a:off x="0" y="0"/>
                      <a:ext cx="3988006" cy="326333"/>
                    </a:xfrm>
                    <a:prstGeom prst="rect">
                      <a:avLst/>
                    </a:prstGeom>
                  </pic:spPr>
                </pic:pic>
              </a:graphicData>
            </a:graphic>
          </wp:anchor>
        </w:drawing>
      </w:r>
      <w:r>
        <w:rPr>
          <w:rFonts w:ascii="宋体" w:hAnsi="宋体" w:eastAsia="宋体" w:cs="宋体"/>
          <w:spacing w:val="2"/>
          <w:sz w:val="21"/>
          <w:szCs w:val="21"/>
        </w:rPr>
        <w:t>在更为多元和复杂的真实世界中， 一般以疫苗效果</w:t>
      </w:r>
      <w:r>
        <w:rPr>
          <w:rFonts w:ascii="Times New Roman" w:hAnsi="Times New Roman" w:eastAsia="Times New Roman" w:cs="Times New Roman"/>
          <w:spacing w:val="2"/>
          <w:sz w:val="21"/>
          <w:szCs w:val="21"/>
        </w:rPr>
        <w:t>(</w:t>
      </w:r>
      <w:r>
        <w:rPr>
          <w:rFonts w:ascii="Times New Roman" w:hAnsi="Times New Roman" w:eastAsia="Times New Roman" w:cs="Times New Roman"/>
          <w:sz w:val="21"/>
          <w:szCs w:val="21"/>
        </w:rPr>
        <w:t>vaccine</w:t>
      </w:r>
      <w:r>
        <w:rPr>
          <w:rFonts w:ascii="Times New Roman" w:hAnsi="Times New Roman" w:eastAsia="Times New Roman" w:cs="Times New Roman"/>
          <w:spacing w:val="2"/>
          <w:sz w:val="21"/>
          <w:szCs w:val="21"/>
        </w:rPr>
        <w:t xml:space="preserve">    </w:t>
      </w:r>
      <w:r>
        <w:rPr>
          <w:rFonts w:ascii="Times New Roman" w:hAnsi="Times New Roman" w:eastAsia="Times New Roman" w:cs="Times New Roman"/>
          <w:sz w:val="21"/>
          <w:szCs w:val="21"/>
        </w:rPr>
        <w:t>effectiveness</w:t>
      </w:r>
      <w:r>
        <w:rPr>
          <w:rFonts w:ascii="Times New Roman" w:hAnsi="Times New Roman" w:eastAsia="Times New Roman" w:cs="Times New Roman"/>
          <w:spacing w:val="2"/>
          <w:sz w:val="21"/>
          <w:szCs w:val="21"/>
        </w:rPr>
        <w:t>)</w:t>
      </w:r>
      <w:r>
        <w:rPr>
          <w:rFonts w:ascii="宋体" w:hAnsi="宋体" w:eastAsia="宋体" w:cs="宋体"/>
          <w:spacing w:val="2"/>
          <w:sz w:val="21"/>
          <w:szCs w:val="21"/>
        </w:rPr>
        <w:t>来衡量疫苗在人群</w:t>
      </w:r>
      <w:r>
        <w:rPr>
          <w:rFonts w:ascii="宋体" w:hAnsi="宋体" w:eastAsia="宋体" w:cs="宋体"/>
          <w:spacing w:val="1"/>
          <w:sz w:val="21"/>
          <w:szCs w:val="21"/>
        </w:rPr>
        <w:t xml:space="preserve"> </w:t>
      </w:r>
      <w:r>
        <w:rPr>
          <w:rFonts w:ascii="宋体" w:hAnsi="宋体" w:eastAsia="宋体" w:cs="宋体"/>
          <w:spacing w:val="4"/>
          <w:sz w:val="21"/>
          <w:szCs w:val="21"/>
        </w:rPr>
        <w:t>中实际应用的有效性，见式(11-2)。疫苗效果既包含接种者被直接保护的效果，也包含未接</w:t>
      </w:r>
      <w:r>
        <w:rPr>
          <w:rFonts w:ascii="宋体" w:hAnsi="宋体" w:eastAsia="宋体" w:cs="宋体"/>
          <w:spacing w:val="3"/>
          <w:sz w:val="21"/>
          <w:szCs w:val="21"/>
        </w:rPr>
        <w:t>种者</w:t>
      </w:r>
      <w:r>
        <w:rPr>
          <w:rFonts w:ascii="宋体" w:hAnsi="宋体" w:eastAsia="宋体" w:cs="宋体"/>
          <w:sz w:val="21"/>
          <w:szCs w:val="21"/>
        </w:rPr>
        <w:t xml:space="preserve"> </w:t>
      </w:r>
      <w:r>
        <w:rPr>
          <w:rFonts w:ascii="宋体" w:hAnsi="宋体" w:eastAsia="宋体" w:cs="宋体"/>
          <w:spacing w:val="6"/>
          <w:sz w:val="21"/>
          <w:szCs w:val="21"/>
        </w:rPr>
        <w:t>因暴露风险降低而获得的间接保护效果。</w:t>
      </w:r>
      <w:r>
        <w:rPr>
          <w:rFonts w:ascii="宋体" w:hAnsi="宋体" w:eastAsia="宋体" w:cs="宋体"/>
          <w:spacing w:val="52"/>
          <w:sz w:val="21"/>
          <w:szCs w:val="21"/>
        </w:rPr>
        <w:t xml:space="preserve"> </w:t>
      </w:r>
      <w:r>
        <w:rPr>
          <w:rFonts w:ascii="宋体" w:hAnsi="宋体" w:eastAsia="宋体" w:cs="宋体"/>
          <w:spacing w:val="6"/>
          <w:sz w:val="21"/>
          <w:szCs w:val="21"/>
        </w:rPr>
        <w:t>一方面，实</w:t>
      </w:r>
      <w:r>
        <w:rPr>
          <w:rFonts w:ascii="宋体" w:hAnsi="宋体" w:eastAsia="宋体" w:cs="宋体"/>
          <w:spacing w:val="5"/>
          <w:sz w:val="21"/>
          <w:szCs w:val="21"/>
        </w:rPr>
        <w:t>际接种中可能包括被排除在临床试验外的</w:t>
      </w:r>
      <w:r>
        <w:rPr>
          <w:rFonts w:ascii="宋体" w:hAnsi="宋体" w:eastAsia="宋体" w:cs="宋体"/>
          <w:sz w:val="21"/>
          <w:szCs w:val="21"/>
        </w:rPr>
        <w:t xml:space="preserve"> </w:t>
      </w:r>
      <w:r>
        <w:rPr>
          <w:rFonts w:ascii="宋体" w:hAnsi="宋体" w:eastAsia="宋体" w:cs="宋体"/>
          <w:spacing w:val="4"/>
          <w:sz w:val="21"/>
          <w:szCs w:val="21"/>
        </w:rPr>
        <w:t>人群(如体弱的老年人)或未按照要求的免疫程序完成接种者，或环境中出现新的变异毒株，因此</w:t>
      </w:r>
      <w:r>
        <w:rPr>
          <w:rFonts w:ascii="宋体" w:hAnsi="宋体" w:eastAsia="宋体" w:cs="宋体"/>
          <w:spacing w:val="5"/>
          <w:sz w:val="21"/>
          <w:szCs w:val="21"/>
        </w:rPr>
        <w:t xml:space="preserve"> </w:t>
      </w:r>
      <w:r>
        <w:rPr>
          <w:rFonts w:ascii="宋体" w:hAnsi="宋体" w:eastAsia="宋体" w:cs="宋体"/>
          <w:spacing w:val="10"/>
          <w:sz w:val="21"/>
          <w:szCs w:val="21"/>
        </w:rPr>
        <w:t>在接种者中呈现出的疫苗效果通常会低于疫苗效力。另一方面，如果</w:t>
      </w:r>
      <w:r>
        <w:rPr>
          <w:rFonts w:ascii="宋体" w:hAnsi="宋体" w:eastAsia="宋体" w:cs="宋体"/>
          <w:spacing w:val="9"/>
          <w:sz w:val="21"/>
          <w:szCs w:val="21"/>
        </w:rPr>
        <w:t>人群中接种疫苗的比例很</w:t>
      </w:r>
      <w:r>
        <w:rPr>
          <w:rFonts w:ascii="宋体" w:hAnsi="宋体" w:eastAsia="宋体" w:cs="宋体"/>
          <w:sz w:val="21"/>
          <w:szCs w:val="21"/>
        </w:rPr>
        <w:t xml:space="preserve"> </w:t>
      </w:r>
      <w:r>
        <w:rPr>
          <w:rFonts w:ascii="宋体" w:hAnsi="宋体" w:eastAsia="宋体" w:cs="宋体"/>
          <w:spacing w:val="4"/>
          <w:sz w:val="21"/>
          <w:szCs w:val="21"/>
        </w:rPr>
        <w:t>高，而且疫苗降低传染源数量的效果比较明显，间接保护效果的叠加也可能使疫苗效果高于疫苗</w:t>
      </w:r>
      <w:r>
        <w:rPr>
          <w:rFonts w:ascii="宋体" w:hAnsi="宋体" w:eastAsia="宋体" w:cs="宋体"/>
          <w:sz w:val="21"/>
          <w:szCs w:val="21"/>
        </w:rPr>
        <w:t xml:space="preserve"> </w:t>
      </w:r>
      <w:r>
        <w:rPr>
          <w:rFonts w:ascii="宋体" w:hAnsi="宋体" w:eastAsia="宋体" w:cs="宋体"/>
          <w:spacing w:val="11"/>
          <w:sz w:val="21"/>
          <w:szCs w:val="21"/>
        </w:rPr>
        <w:t>效力。</w:t>
      </w:r>
    </w:p>
    <w:p w14:paraId="0AB8A244">
      <w:pPr>
        <w:spacing w:before="288" w:line="221" w:lineRule="auto"/>
        <w:ind w:left="8159"/>
        <w:rPr>
          <w:rFonts w:ascii="宋体" w:hAnsi="宋体" w:eastAsia="宋体" w:cs="宋体"/>
          <w:sz w:val="21"/>
          <w:szCs w:val="21"/>
        </w:rPr>
      </w:pPr>
      <w:r>
        <w:rPr>
          <w:rFonts w:ascii="宋体" w:hAnsi="宋体" w:eastAsia="宋体" w:cs="宋体"/>
          <w:spacing w:val="8"/>
          <w:sz w:val="21"/>
          <w:szCs w:val="21"/>
        </w:rPr>
        <w:t>式(11-2)</w:t>
      </w:r>
    </w:p>
    <w:p w14:paraId="24C83D81">
      <w:pPr>
        <w:spacing w:line="355" w:lineRule="auto"/>
        <w:rPr>
          <w:rFonts w:ascii="Arial"/>
          <w:sz w:val="21"/>
        </w:rPr>
      </w:pPr>
    </w:p>
    <w:p w14:paraId="575C46B4">
      <w:pPr>
        <w:pStyle w:val="2"/>
        <w:spacing w:before="69" w:line="222" w:lineRule="auto"/>
        <w:ind w:left="469"/>
        <w:rPr>
          <w:sz w:val="21"/>
          <w:szCs w:val="21"/>
        </w:rPr>
      </w:pPr>
      <w:r>
        <w:rPr>
          <w:spacing w:val="22"/>
          <w:sz w:val="21"/>
          <w:szCs w:val="21"/>
        </w:rPr>
        <w:t>(二)安全性评价</w:t>
      </w:r>
    </w:p>
    <w:p w14:paraId="09441327">
      <w:pPr>
        <w:spacing w:before="107" w:line="327" w:lineRule="auto"/>
        <w:ind w:left="29" w:right="614" w:firstLine="399"/>
        <w:jc w:val="both"/>
        <w:rPr>
          <w:rFonts w:ascii="宋体" w:hAnsi="宋体" w:eastAsia="宋体" w:cs="宋体"/>
          <w:sz w:val="21"/>
          <w:szCs w:val="21"/>
        </w:rPr>
      </w:pPr>
      <w:r>
        <w:rPr>
          <w:rFonts w:ascii="宋体" w:hAnsi="宋体" w:eastAsia="宋体" w:cs="宋体"/>
          <w:spacing w:val="2"/>
          <w:sz w:val="21"/>
          <w:szCs w:val="21"/>
        </w:rPr>
        <w:t>疫苗的安全性评价主要关注在广泛接种后可</w:t>
      </w:r>
      <w:r>
        <w:rPr>
          <w:rFonts w:ascii="宋体" w:hAnsi="宋体" w:eastAsia="宋体" w:cs="宋体"/>
          <w:spacing w:val="1"/>
          <w:sz w:val="21"/>
          <w:szCs w:val="21"/>
        </w:rPr>
        <w:t>能出现的不良反应，包括短期不良反应(局部不良</w:t>
      </w:r>
      <w:r>
        <w:rPr>
          <w:rFonts w:ascii="宋体" w:hAnsi="宋体" w:eastAsia="宋体" w:cs="宋体"/>
          <w:sz w:val="21"/>
          <w:szCs w:val="21"/>
        </w:rPr>
        <w:t xml:space="preserve"> </w:t>
      </w:r>
      <w:r>
        <w:rPr>
          <w:rFonts w:ascii="宋体" w:hAnsi="宋体" w:eastAsia="宋体" w:cs="宋体"/>
          <w:spacing w:val="-1"/>
          <w:sz w:val="21"/>
          <w:szCs w:val="21"/>
        </w:rPr>
        <w:t>反应如注射部位的疼痛、红肿，以及全身不良反应如发热、疲</w:t>
      </w:r>
      <w:r>
        <w:rPr>
          <w:rFonts w:ascii="宋体" w:hAnsi="宋体" w:eastAsia="宋体" w:cs="宋体"/>
          <w:spacing w:val="-2"/>
          <w:sz w:val="21"/>
          <w:szCs w:val="21"/>
        </w:rPr>
        <w:t>倦等)和长期不良反应(如罕见的免疫</w:t>
      </w:r>
      <w:r>
        <w:rPr>
          <w:rFonts w:ascii="宋体" w:hAnsi="宋体" w:eastAsia="宋体" w:cs="宋体"/>
          <w:sz w:val="21"/>
          <w:szCs w:val="21"/>
        </w:rPr>
        <w:t xml:space="preserve"> </w:t>
      </w:r>
      <w:r>
        <w:rPr>
          <w:rFonts w:ascii="宋体" w:hAnsi="宋体" w:eastAsia="宋体" w:cs="宋体"/>
          <w:spacing w:val="5"/>
          <w:sz w:val="21"/>
          <w:szCs w:val="21"/>
        </w:rPr>
        <w:t>相关疾病)。安全性数据主要来自疫苗上市前的I~Ⅲ</w:t>
      </w:r>
      <w:r>
        <w:rPr>
          <w:rFonts w:ascii="宋体" w:hAnsi="宋体" w:eastAsia="宋体" w:cs="宋体"/>
          <w:spacing w:val="-60"/>
          <w:sz w:val="21"/>
          <w:szCs w:val="21"/>
        </w:rPr>
        <w:t xml:space="preserve"> </w:t>
      </w:r>
      <w:r>
        <w:rPr>
          <w:rFonts w:ascii="宋体" w:hAnsi="宋体" w:eastAsia="宋体" w:cs="宋体"/>
          <w:spacing w:val="5"/>
          <w:sz w:val="21"/>
          <w:szCs w:val="21"/>
        </w:rPr>
        <w:t>期临床试验</w:t>
      </w:r>
      <w:r>
        <w:rPr>
          <w:rFonts w:ascii="宋体" w:hAnsi="宋体" w:eastAsia="宋体" w:cs="宋体"/>
          <w:spacing w:val="4"/>
          <w:sz w:val="21"/>
          <w:szCs w:val="21"/>
        </w:rPr>
        <w:t>及上市后的</w:t>
      </w:r>
      <w:r>
        <w:rPr>
          <w:rFonts w:ascii="宋体" w:hAnsi="宋体" w:eastAsia="宋体" w:cs="宋体"/>
          <w:sz w:val="21"/>
          <w:szCs w:val="21"/>
        </w:rPr>
        <w:t>IV</w:t>
      </w:r>
      <w:r>
        <w:rPr>
          <w:rFonts w:ascii="宋体" w:hAnsi="宋体" w:eastAsia="宋体" w:cs="宋体"/>
          <w:spacing w:val="4"/>
          <w:sz w:val="21"/>
          <w:szCs w:val="21"/>
        </w:rPr>
        <w:t>期临床试验安全性</w:t>
      </w:r>
      <w:r>
        <w:rPr>
          <w:rFonts w:ascii="宋体" w:hAnsi="宋体" w:eastAsia="宋体" w:cs="宋体"/>
          <w:sz w:val="21"/>
          <w:szCs w:val="21"/>
        </w:rPr>
        <w:t xml:space="preserve"> </w:t>
      </w:r>
      <w:r>
        <w:rPr>
          <w:rFonts w:ascii="宋体" w:hAnsi="宋体" w:eastAsia="宋体" w:cs="宋体"/>
          <w:spacing w:val="4"/>
          <w:sz w:val="21"/>
          <w:szCs w:val="21"/>
        </w:rPr>
        <w:t>评价结果，同时通过全国疑似预防接种异常反应监测系统进行持续</w:t>
      </w:r>
      <w:r>
        <w:rPr>
          <w:rFonts w:ascii="宋体" w:hAnsi="宋体" w:eastAsia="宋体" w:cs="宋体"/>
          <w:spacing w:val="3"/>
          <w:sz w:val="21"/>
          <w:szCs w:val="21"/>
        </w:rPr>
        <w:t>评价。重点监控指标包括不良</w:t>
      </w:r>
      <w:r>
        <w:rPr>
          <w:rFonts w:ascii="宋体" w:hAnsi="宋体" w:eastAsia="宋体" w:cs="宋体"/>
          <w:sz w:val="21"/>
          <w:szCs w:val="21"/>
        </w:rPr>
        <w:t xml:space="preserve"> </w:t>
      </w:r>
      <w:r>
        <w:rPr>
          <w:rFonts w:ascii="宋体" w:hAnsi="宋体" w:eastAsia="宋体" w:cs="宋体"/>
          <w:spacing w:val="-2"/>
          <w:sz w:val="21"/>
          <w:szCs w:val="21"/>
        </w:rPr>
        <w:t>事件的发生率、严重程度以及与疫苗的因果关系。</w:t>
      </w:r>
    </w:p>
    <w:p w14:paraId="420B0016">
      <w:pPr>
        <w:spacing w:before="5" w:line="325" w:lineRule="auto"/>
        <w:ind w:left="19" w:right="611" w:firstLine="419"/>
        <w:jc w:val="both"/>
        <w:rPr>
          <w:rFonts w:ascii="宋体" w:hAnsi="宋体" w:eastAsia="宋体" w:cs="宋体"/>
          <w:sz w:val="21"/>
          <w:szCs w:val="21"/>
        </w:rPr>
      </w:pPr>
      <w:r>
        <w:rPr>
          <w:rFonts w:ascii="宋体" w:hAnsi="宋体" w:eastAsia="宋体" w:cs="宋体"/>
          <w:spacing w:val="-1"/>
          <w:sz w:val="21"/>
          <w:szCs w:val="21"/>
        </w:rPr>
        <w:t>不良事件与疫苗的因果关系判定又称关联性评价，是安全性风险评估、决策和采取行动的一个</w:t>
      </w:r>
      <w:r>
        <w:rPr>
          <w:rFonts w:ascii="宋体" w:hAnsi="宋体" w:eastAsia="宋体" w:cs="宋体"/>
          <w:sz w:val="21"/>
          <w:szCs w:val="21"/>
        </w:rPr>
        <w:t xml:space="preserve"> </w:t>
      </w:r>
      <w:r>
        <w:rPr>
          <w:rFonts w:ascii="宋体" w:hAnsi="宋体" w:eastAsia="宋体" w:cs="宋体"/>
          <w:spacing w:val="6"/>
          <w:sz w:val="21"/>
          <w:szCs w:val="21"/>
        </w:rPr>
        <w:t>重要环节。疫苗接种后发生的不良事件</w:t>
      </w:r>
      <w:r>
        <w:rPr>
          <w:rFonts w:ascii="Times New Roman" w:hAnsi="Times New Roman" w:eastAsia="Times New Roman" w:cs="Times New Roman"/>
          <w:spacing w:val="6"/>
          <w:sz w:val="21"/>
          <w:szCs w:val="21"/>
        </w:rPr>
        <w:t>(</w:t>
      </w:r>
      <w:r>
        <w:rPr>
          <w:rFonts w:ascii="Times New Roman" w:hAnsi="Times New Roman" w:eastAsia="Times New Roman" w:cs="Times New Roman"/>
          <w:sz w:val="21"/>
          <w:szCs w:val="21"/>
        </w:rPr>
        <w:t>adverse</w:t>
      </w:r>
      <w:r>
        <w:rPr>
          <w:rFonts w:ascii="Times New Roman" w:hAnsi="Times New Roman" w:eastAsia="Times New Roman" w:cs="Times New Roman"/>
          <w:spacing w:val="6"/>
          <w:sz w:val="21"/>
          <w:szCs w:val="21"/>
        </w:rPr>
        <w:t xml:space="preserve">    </w:t>
      </w:r>
      <w:r>
        <w:rPr>
          <w:rFonts w:ascii="Times New Roman" w:hAnsi="Times New Roman" w:eastAsia="Times New Roman" w:cs="Times New Roman"/>
          <w:spacing w:val="5"/>
          <w:sz w:val="21"/>
          <w:szCs w:val="21"/>
        </w:rPr>
        <w:t xml:space="preserve"> </w:t>
      </w:r>
      <w:r>
        <w:rPr>
          <w:rFonts w:ascii="Times New Roman" w:hAnsi="Times New Roman" w:eastAsia="Times New Roman" w:cs="Times New Roman"/>
          <w:sz w:val="21"/>
          <w:szCs w:val="21"/>
        </w:rPr>
        <w:t>event</w:t>
      </w:r>
      <w:r>
        <w:rPr>
          <w:rFonts w:ascii="Times New Roman" w:hAnsi="Times New Roman" w:eastAsia="Times New Roman" w:cs="Times New Roman"/>
          <w:spacing w:val="5"/>
          <w:sz w:val="21"/>
          <w:szCs w:val="21"/>
        </w:rPr>
        <w:t>,</w:t>
      </w:r>
      <w:r>
        <w:rPr>
          <w:rFonts w:ascii="Times New Roman" w:hAnsi="Times New Roman" w:eastAsia="Times New Roman" w:cs="Times New Roman"/>
          <w:sz w:val="21"/>
          <w:szCs w:val="21"/>
        </w:rPr>
        <w:t>AE</w:t>
      </w:r>
      <w:r>
        <w:rPr>
          <w:rFonts w:ascii="Times New Roman" w:hAnsi="Times New Roman" w:eastAsia="Times New Roman" w:cs="Times New Roman"/>
          <w:spacing w:val="5"/>
          <w:sz w:val="21"/>
          <w:szCs w:val="21"/>
        </w:rPr>
        <w:t>)</w:t>
      </w:r>
      <w:r>
        <w:rPr>
          <w:rFonts w:ascii="宋体" w:hAnsi="宋体" w:eastAsia="宋体" w:cs="宋体"/>
          <w:spacing w:val="5"/>
          <w:sz w:val="21"/>
          <w:szCs w:val="21"/>
        </w:rPr>
        <w:t>如果被判定为与疫苗存在合理因果关</w:t>
      </w:r>
      <w:r>
        <w:rPr>
          <w:rFonts w:ascii="宋体" w:hAnsi="宋体" w:eastAsia="宋体" w:cs="宋体"/>
          <w:sz w:val="21"/>
          <w:szCs w:val="21"/>
        </w:rPr>
        <w:t xml:space="preserve"> </w:t>
      </w:r>
      <w:r>
        <w:rPr>
          <w:rFonts w:ascii="宋体" w:hAnsi="宋体" w:eastAsia="宋体" w:cs="宋体"/>
          <w:spacing w:val="-3"/>
          <w:sz w:val="21"/>
          <w:szCs w:val="21"/>
        </w:rPr>
        <w:t>联，则被定义为不良反应(adverse reaction,AR)。根据我国现行《个例药品不良反应收集和</w:t>
      </w:r>
      <w:r>
        <w:rPr>
          <w:rFonts w:ascii="宋体" w:hAnsi="宋体" w:eastAsia="宋体" w:cs="宋体"/>
          <w:spacing w:val="-4"/>
          <w:sz w:val="21"/>
          <w:szCs w:val="21"/>
        </w:rPr>
        <w:t>报告指</w:t>
      </w:r>
      <w:r>
        <w:rPr>
          <w:rFonts w:ascii="宋体" w:hAnsi="宋体" w:eastAsia="宋体" w:cs="宋体"/>
          <w:sz w:val="21"/>
          <w:szCs w:val="21"/>
        </w:rPr>
        <w:t xml:space="preserve"> </w:t>
      </w:r>
      <w:r>
        <w:rPr>
          <w:rFonts w:ascii="宋体" w:hAnsi="宋体" w:eastAsia="宋体" w:cs="宋体"/>
          <w:spacing w:val="-11"/>
          <w:sz w:val="21"/>
          <w:szCs w:val="21"/>
        </w:rPr>
        <w:t>导原则》,因果关联性评价分为肯定、很可能、可能、可能无关、待评价、无法评价等六级。</w:t>
      </w:r>
    </w:p>
    <w:p w14:paraId="62524578">
      <w:pPr>
        <w:spacing w:before="17" w:line="219" w:lineRule="auto"/>
        <w:ind w:left="8240"/>
        <w:rPr>
          <w:rFonts w:ascii="宋体" w:hAnsi="宋体" w:eastAsia="宋体" w:cs="宋体"/>
          <w:sz w:val="21"/>
          <w:szCs w:val="21"/>
        </w:rPr>
      </w:pPr>
      <w:r>
        <w:rPr>
          <w:rFonts w:ascii="宋体" w:hAnsi="宋体" w:eastAsia="宋体" w:cs="宋体"/>
          <w:spacing w:val="-18"/>
          <w:sz w:val="21"/>
          <w:szCs w:val="21"/>
        </w:rPr>
        <w:t>(</w:t>
      </w:r>
      <w:r>
        <w:rPr>
          <w:rFonts w:ascii="宋体" w:hAnsi="宋体" w:eastAsia="宋体" w:cs="宋体"/>
          <w:spacing w:val="-21"/>
          <w:sz w:val="21"/>
          <w:szCs w:val="21"/>
        </w:rPr>
        <w:t xml:space="preserve"> </w:t>
      </w:r>
      <w:r>
        <w:rPr>
          <w:rFonts w:ascii="宋体" w:hAnsi="宋体" w:eastAsia="宋体" w:cs="宋体"/>
          <w:spacing w:val="-18"/>
          <w:sz w:val="21"/>
          <w:szCs w:val="21"/>
        </w:rPr>
        <w:t>张</w:t>
      </w:r>
      <w:r>
        <w:rPr>
          <w:rFonts w:ascii="宋体" w:hAnsi="宋体" w:eastAsia="宋体" w:cs="宋体"/>
          <w:spacing w:val="-23"/>
          <w:sz w:val="21"/>
          <w:szCs w:val="21"/>
        </w:rPr>
        <w:t xml:space="preserve"> </w:t>
      </w:r>
      <w:r>
        <w:rPr>
          <w:rFonts w:ascii="宋体" w:hAnsi="宋体" w:eastAsia="宋体" w:cs="宋体"/>
          <w:spacing w:val="-18"/>
          <w:sz w:val="21"/>
          <w:szCs w:val="21"/>
        </w:rPr>
        <w:t>军</w:t>
      </w:r>
      <w:r>
        <w:rPr>
          <w:rFonts w:ascii="宋体" w:hAnsi="宋体" w:eastAsia="宋体" w:cs="宋体"/>
          <w:spacing w:val="-26"/>
          <w:sz w:val="21"/>
          <w:szCs w:val="21"/>
        </w:rPr>
        <w:t xml:space="preserve"> </w:t>
      </w:r>
      <w:r>
        <w:rPr>
          <w:rFonts w:ascii="宋体" w:hAnsi="宋体" w:eastAsia="宋体" w:cs="宋体"/>
          <w:spacing w:val="-18"/>
          <w:sz w:val="21"/>
          <w:szCs w:val="21"/>
        </w:rPr>
        <w:t>)</w:t>
      </w:r>
    </w:p>
    <w:p w14:paraId="27DF79F8">
      <w:pPr>
        <w:spacing w:line="219" w:lineRule="auto"/>
        <w:rPr>
          <w:rFonts w:ascii="宋体" w:hAnsi="宋体" w:eastAsia="宋体" w:cs="宋体"/>
          <w:sz w:val="21"/>
          <w:szCs w:val="21"/>
        </w:rPr>
        <w:sectPr>
          <w:footerReference r:id="rId218" w:type="default"/>
          <w:pgSz w:w="11900" w:h="16820"/>
          <w:pgMar w:top="400" w:right="848" w:bottom="910" w:left="1430" w:header="0" w:footer="637" w:gutter="0"/>
          <w:cols w:space="720" w:num="1"/>
        </w:sectPr>
      </w:pPr>
    </w:p>
    <w:p w14:paraId="67262D46">
      <w:pPr>
        <w:pStyle w:val="2"/>
        <w:spacing w:before="285" w:line="221" w:lineRule="auto"/>
        <w:ind w:left="629"/>
        <w:rPr>
          <w:sz w:val="17"/>
          <w:szCs w:val="17"/>
        </w:rPr>
      </w:pPr>
      <w:r>
        <w:rPr>
          <w:spacing w:val="8"/>
          <w:sz w:val="17"/>
          <w:szCs w:val="17"/>
        </w:rPr>
        <w:t>第十一章</w:t>
      </w:r>
      <w:r>
        <w:rPr>
          <w:spacing w:val="28"/>
          <w:sz w:val="17"/>
          <w:szCs w:val="17"/>
        </w:rPr>
        <w:t xml:space="preserve"> </w:t>
      </w:r>
      <w:r>
        <w:rPr>
          <w:spacing w:val="8"/>
          <w:sz w:val="17"/>
          <w:szCs w:val="17"/>
        </w:rPr>
        <w:t>传染病流行病学</w:t>
      </w:r>
    </w:p>
    <w:p w14:paraId="476848A5">
      <w:pPr>
        <w:spacing w:line="276" w:lineRule="auto"/>
        <w:rPr>
          <w:rFonts w:ascii="Arial"/>
          <w:sz w:val="21"/>
        </w:rPr>
      </w:pPr>
    </w:p>
    <w:p w14:paraId="6DBBBB99">
      <w:pPr>
        <w:spacing w:line="276" w:lineRule="auto"/>
        <w:rPr>
          <w:rFonts w:ascii="Arial"/>
          <w:sz w:val="21"/>
        </w:rPr>
      </w:pPr>
    </w:p>
    <w:p w14:paraId="1C7096B8">
      <w:pPr>
        <w:spacing w:line="277" w:lineRule="auto"/>
        <w:rPr>
          <w:rFonts w:ascii="Arial"/>
          <w:sz w:val="21"/>
        </w:rPr>
      </w:pPr>
    </w:p>
    <w:p w14:paraId="7D60F222">
      <w:pPr>
        <w:spacing w:line="277" w:lineRule="auto"/>
        <w:rPr>
          <w:rFonts w:ascii="Arial"/>
          <w:sz w:val="21"/>
        </w:rPr>
      </w:pPr>
    </w:p>
    <w:p w14:paraId="39A46248">
      <w:pPr>
        <w:pStyle w:val="2"/>
        <w:spacing w:before="85" w:line="222" w:lineRule="auto"/>
        <w:ind w:left="1123"/>
        <w:rPr>
          <w:sz w:val="26"/>
          <w:szCs w:val="26"/>
        </w:rPr>
      </w:pPr>
      <w:r>
        <w:rPr>
          <w:b/>
          <w:bCs/>
          <w:spacing w:val="-5"/>
          <w:sz w:val="26"/>
          <w:szCs w:val="26"/>
        </w:rPr>
        <w:t>思考题</w:t>
      </w:r>
    </w:p>
    <w:p w14:paraId="5CFF2EEB">
      <w:pPr>
        <w:spacing w:before="87" w:line="219" w:lineRule="auto"/>
        <w:ind w:left="1909"/>
        <w:rPr>
          <w:rFonts w:ascii="宋体" w:hAnsi="宋体" w:eastAsia="宋体" w:cs="宋体"/>
          <w:sz w:val="21"/>
          <w:szCs w:val="21"/>
        </w:rPr>
      </w:pPr>
      <w:r>
        <w:rPr>
          <w:rFonts w:ascii="宋体" w:hAnsi="宋体" w:eastAsia="宋体" w:cs="宋体"/>
          <w:spacing w:val="3"/>
          <w:sz w:val="21"/>
          <w:szCs w:val="21"/>
        </w:rPr>
        <w:t>1.传染病的潜伏期有什么流行病学意义?</w:t>
      </w:r>
    </w:p>
    <w:p w14:paraId="234172A3">
      <w:pPr>
        <w:spacing w:before="140" w:line="219" w:lineRule="auto"/>
        <w:ind w:left="1909"/>
        <w:rPr>
          <w:rFonts w:ascii="宋体" w:hAnsi="宋体" w:eastAsia="宋体" w:cs="宋体"/>
          <w:sz w:val="21"/>
          <w:szCs w:val="21"/>
        </w:rPr>
      </w:pPr>
      <w:r>
        <w:rPr>
          <w:rFonts w:ascii="宋体" w:hAnsi="宋体" w:eastAsia="宋体" w:cs="宋体"/>
          <w:spacing w:val="11"/>
          <w:sz w:val="21"/>
          <w:szCs w:val="21"/>
        </w:rPr>
        <w:t>2.什么是传染病的流行过程?传染过程与</w:t>
      </w:r>
      <w:r>
        <w:rPr>
          <w:rFonts w:ascii="宋体" w:hAnsi="宋体" w:eastAsia="宋体" w:cs="宋体"/>
          <w:spacing w:val="10"/>
          <w:sz w:val="21"/>
          <w:szCs w:val="21"/>
        </w:rPr>
        <w:t>流行过程有什么区别和联系?</w:t>
      </w:r>
    </w:p>
    <w:p w14:paraId="099B07D1">
      <w:pPr>
        <w:spacing w:before="131" w:line="219" w:lineRule="auto"/>
        <w:ind w:left="1909"/>
        <w:rPr>
          <w:rFonts w:ascii="宋体" w:hAnsi="宋体" w:eastAsia="宋体" w:cs="宋体"/>
          <w:sz w:val="21"/>
          <w:szCs w:val="21"/>
        </w:rPr>
      </w:pPr>
      <w:r>
        <w:rPr>
          <w:rFonts w:ascii="宋体" w:hAnsi="宋体" w:eastAsia="宋体" w:cs="宋体"/>
          <w:spacing w:val="9"/>
          <w:sz w:val="21"/>
          <w:szCs w:val="21"/>
        </w:rPr>
        <w:t>3.什么是传染病的传播能力?有哪些量化指标?</w:t>
      </w:r>
    </w:p>
    <w:p w14:paraId="66C76AA7">
      <w:pPr>
        <w:spacing w:before="140" w:line="219" w:lineRule="auto"/>
        <w:ind w:left="1909"/>
        <w:rPr>
          <w:rFonts w:ascii="宋体" w:hAnsi="宋体" w:eastAsia="宋体" w:cs="宋体"/>
          <w:sz w:val="21"/>
          <w:szCs w:val="21"/>
        </w:rPr>
      </w:pPr>
      <w:r>
        <w:rPr>
          <w:rFonts w:ascii="宋体" w:hAnsi="宋体" w:eastAsia="宋体" w:cs="宋体"/>
          <w:spacing w:val="-1"/>
          <w:sz w:val="21"/>
          <w:szCs w:val="21"/>
        </w:rPr>
        <w:t>4.</w:t>
      </w:r>
      <w:r>
        <w:rPr>
          <w:rFonts w:ascii="宋体" w:hAnsi="宋体" w:eastAsia="宋体" w:cs="宋体"/>
          <w:spacing w:val="-47"/>
          <w:sz w:val="21"/>
          <w:szCs w:val="21"/>
        </w:rPr>
        <w:t xml:space="preserve"> </w:t>
      </w:r>
      <w:r>
        <w:rPr>
          <w:rFonts w:ascii="宋体" w:hAnsi="宋体" w:eastAsia="宋体" w:cs="宋体"/>
          <w:spacing w:val="-1"/>
          <w:sz w:val="21"/>
          <w:szCs w:val="21"/>
        </w:rPr>
        <w:t>简述传染病的预防控制措施。</w:t>
      </w:r>
    </w:p>
    <w:p w14:paraId="0446820D">
      <w:pPr>
        <w:spacing w:before="131" w:line="218" w:lineRule="auto"/>
        <w:ind w:left="1909"/>
        <w:rPr>
          <w:rFonts w:ascii="宋体" w:hAnsi="宋体" w:eastAsia="宋体" w:cs="宋体"/>
          <w:sz w:val="21"/>
          <w:szCs w:val="21"/>
        </w:rPr>
      </w:pPr>
      <w:r>
        <w:rPr>
          <w:rFonts w:ascii="宋体" w:hAnsi="宋体" w:eastAsia="宋体" w:cs="宋体"/>
          <w:sz w:val="21"/>
          <w:szCs w:val="21"/>
        </w:rPr>
        <w:t>5.</w:t>
      </w:r>
      <w:r>
        <w:rPr>
          <w:rFonts w:ascii="宋体" w:hAnsi="宋体" w:eastAsia="宋体" w:cs="宋体"/>
          <w:spacing w:val="-51"/>
          <w:sz w:val="21"/>
          <w:szCs w:val="21"/>
        </w:rPr>
        <w:t xml:space="preserve"> </w:t>
      </w:r>
      <w:r>
        <w:rPr>
          <w:rFonts w:ascii="宋体" w:hAnsi="宋体" w:eastAsia="宋体" w:cs="宋体"/>
          <w:sz w:val="21"/>
          <w:szCs w:val="21"/>
        </w:rPr>
        <w:t>预防接种效果的评价指标有哪些?</w:t>
      </w:r>
    </w:p>
    <w:p w14:paraId="7EDFFD2C">
      <w:pPr>
        <w:spacing w:line="218" w:lineRule="auto"/>
        <w:rPr>
          <w:rFonts w:ascii="宋体" w:hAnsi="宋体" w:eastAsia="宋体" w:cs="宋体"/>
          <w:sz w:val="21"/>
          <w:szCs w:val="21"/>
        </w:rPr>
        <w:sectPr>
          <w:footerReference r:id="rId219" w:type="default"/>
          <w:pgSz w:w="11900" w:h="16820"/>
          <w:pgMar w:top="400" w:right="1785" w:bottom="798" w:left="1100" w:header="0" w:footer="645" w:gutter="0"/>
          <w:cols w:space="720" w:num="1"/>
        </w:sectPr>
      </w:pPr>
    </w:p>
    <w:p w14:paraId="50DA99F1">
      <w:pPr>
        <w:rPr>
          <w:rFonts w:ascii="Arial"/>
          <w:sz w:val="21"/>
        </w:rPr>
      </w:pPr>
    </w:p>
    <w:p w14:paraId="01C509B4">
      <w:pPr>
        <w:rPr>
          <w:rFonts w:ascii="Arial"/>
          <w:sz w:val="21"/>
        </w:rPr>
      </w:pPr>
    </w:p>
    <w:p w14:paraId="7DADA641">
      <w:pPr>
        <w:spacing w:line="241" w:lineRule="auto"/>
        <w:rPr>
          <w:rFonts w:ascii="Arial"/>
          <w:sz w:val="21"/>
        </w:rPr>
      </w:pPr>
    </w:p>
    <w:p w14:paraId="25C25924">
      <w:pPr>
        <w:spacing w:line="241" w:lineRule="auto"/>
        <w:rPr>
          <w:rFonts w:ascii="Arial"/>
          <w:sz w:val="21"/>
        </w:rPr>
      </w:pPr>
    </w:p>
    <w:p w14:paraId="5B09370D">
      <w:pPr>
        <w:pStyle w:val="2"/>
        <w:spacing w:before="98" w:line="222" w:lineRule="auto"/>
        <w:ind w:left="3914"/>
        <w:outlineLvl w:val="0"/>
      </w:pPr>
      <w:r>
        <w:drawing>
          <wp:anchor distT="0" distB="0" distL="0" distR="0" simplePos="0" relativeHeight="251845632" behindDoc="0" locked="0" layoutInCell="1" allowOverlap="1">
            <wp:simplePos x="0" y="0"/>
            <wp:positionH relativeFrom="column">
              <wp:posOffset>5117465</wp:posOffset>
            </wp:positionH>
            <wp:positionV relativeFrom="paragraph">
              <wp:posOffset>64135</wp:posOffset>
            </wp:positionV>
            <wp:extent cx="571500" cy="603250"/>
            <wp:effectExtent l="0" t="0" r="0" b="0"/>
            <wp:wrapNone/>
            <wp:docPr id="574" name="IM 574"/>
            <wp:cNvGraphicFramePr/>
            <a:graphic xmlns:a="http://schemas.openxmlformats.org/drawingml/2006/main">
              <a:graphicData uri="http://schemas.openxmlformats.org/drawingml/2006/picture">
                <pic:pic xmlns:pic="http://schemas.openxmlformats.org/drawingml/2006/picture">
                  <pic:nvPicPr>
                    <pic:cNvPr id="574" name="IM 574"/>
                    <pic:cNvPicPr/>
                  </pic:nvPicPr>
                  <pic:blipFill>
                    <a:blip r:embed="rId630"/>
                    <a:stretch>
                      <a:fillRect/>
                    </a:stretch>
                  </pic:blipFill>
                  <pic:spPr>
                    <a:xfrm>
                      <a:off x="0" y="0"/>
                      <a:ext cx="571498" cy="603245"/>
                    </a:xfrm>
                    <a:prstGeom prst="rect">
                      <a:avLst/>
                    </a:prstGeom>
                  </pic:spPr>
                </pic:pic>
              </a:graphicData>
            </a:graphic>
          </wp:anchor>
        </w:drawing>
      </w:r>
      <w:bookmarkStart w:id="331" w:name="bookmark209"/>
      <w:bookmarkEnd w:id="331"/>
      <w:r>
        <w:rPr>
          <w:b/>
          <w:bCs/>
          <w:spacing w:val="-11"/>
        </w:rPr>
        <w:t>第十二章</w:t>
      </w:r>
    </w:p>
    <w:p w14:paraId="52FADEBE">
      <w:pPr>
        <w:pStyle w:val="2"/>
        <w:spacing w:before="105" w:line="222" w:lineRule="auto"/>
        <w:ind w:left="3626"/>
        <w:outlineLvl w:val="0"/>
        <w:rPr>
          <w:sz w:val="44"/>
          <w:szCs w:val="44"/>
        </w:rPr>
      </w:pPr>
      <w:bookmarkStart w:id="332" w:name="bookmark514"/>
      <w:bookmarkEnd w:id="332"/>
      <w:bookmarkStart w:id="333" w:name="bookmark209"/>
      <w:bookmarkEnd w:id="333"/>
      <w:r>
        <w:rPr>
          <w:b/>
          <w:bCs/>
          <w:spacing w:val="-2"/>
          <w:sz w:val="44"/>
          <w:szCs w:val="44"/>
        </w:rPr>
        <w:t>医院感染</w:t>
      </w:r>
    </w:p>
    <w:p w14:paraId="05768470">
      <w:pPr>
        <w:spacing w:before="138" w:line="450" w:lineRule="exact"/>
        <w:ind w:firstLine="8920"/>
      </w:pPr>
      <w:r>
        <w:rPr>
          <w:position w:val="-8"/>
        </w:rPr>
        <w:drawing>
          <wp:inline distT="0" distB="0" distL="0" distR="0">
            <wp:extent cx="330200" cy="285115"/>
            <wp:effectExtent l="0" t="0" r="0" b="0"/>
            <wp:docPr id="576" name="IM 576"/>
            <wp:cNvGraphicFramePr/>
            <a:graphic xmlns:a="http://schemas.openxmlformats.org/drawingml/2006/main">
              <a:graphicData uri="http://schemas.openxmlformats.org/drawingml/2006/picture">
                <pic:pic xmlns:pic="http://schemas.openxmlformats.org/drawingml/2006/picture">
                  <pic:nvPicPr>
                    <pic:cNvPr id="576" name="IM 576"/>
                    <pic:cNvPicPr/>
                  </pic:nvPicPr>
                  <pic:blipFill>
                    <a:blip r:embed="rId631"/>
                    <a:stretch>
                      <a:fillRect/>
                    </a:stretch>
                  </pic:blipFill>
                  <pic:spPr>
                    <a:xfrm>
                      <a:off x="0" y="0"/>
                      <a:ext cx="330218" cy="285708"/>
                    </a:xfrm>
                    <a:prstGeom prst="rect">
                      <a:avLst/>
                    </a:prstGeom>
                  </pic:spPr>
                </pic:pic>
              </a:graphicData>
            </a:graphic>
          </wp:inline>
        </w:drawing>
      </w:r>
    </w:p>
    <w:p w14:paraId="172BD41B">
      <w:pPr>
        <w:spacing w:before="289" w:line="198" w:lineRule="auto"/>
        <w:ind w:left="1549"/>
        <w:rPr>
          <w:rFonts w:ascii="Arial" w:hAnsi="Arial" w:eastAsia="Arial" w:cs="Arial"/>
          <w:sz w:val="30"/>
          <w:szCs w:val="30"/>
        </w:rPr>
      </w:pPr>
      <w:r>
        <w:rPr>
          <w:rFonts w:ascii="Arial" w:hAnsi="Arial" w:eastAsia="Arial" w:cs="Arial"/>
          <w:b/>
          <w:bCs/>
          <w:spacing w:val="-7"/>
          <w:sz w:val="30"/>
          <w:szCs w:val="30"/>
        </w:rPr>
        <w:t>Chapter 12</w:t>
      </w:r>
      <w:r>
        <w:rPr>
          <w:rFonts w:ascii="Arial" w:hAnsi="Arial" w:eastAsia="Arial" w:cs="Arial"/>
          <w:b/>
          <w:bCs/>
          <w:spacing w:val="17"/>
          <w:sz w:val="30"/>
          <w:szCs w:val="30"/>
        </w:rPr>
        <w:t xml:space="preserve"> </w:t>
      </w:r>
      <w:r>
        <w:rPr>
          <w:rFonts w:ascii="Arial" w:hAnsi="Arial" w:eastAsia="Arial" w:cs="Arial"/>
          <w:b/>
          <w:bCs/>
          <w:spacing w:val="-7"/>
          <w:sz w:val="30"/>
          <w:szCs w:val="30"/>
        </w:rPr>
        <w:t>Healthcare-associa</w:t>
      </w:r>
      <w:r>
        <w:rPr>
          <w:rFonts w:ascii="Arial" w:hAnsi="Arial" w:eastAsia="Arial" w:cs="Arial"/>
          <w:b/>
          <w:bCs/>
          <w:spacing w:val="-8"/>
          <w:sz w:val="30"/>
          <w:szCs w:val="30"/>
        </w:rPr>
        <w:t>ted Infection</w:t>
      </w:r>
    </w:p>
    <w:p w14:paraId="4E778CFE">
      <w:pPr>
        <w:spacing w:line="390" w:lineRule="auto"/>
        <w:rPr>
          <w:rFonts w:ascii="Arial"/>
          <w:sz w:val="21"/>
        </w:rPr>
      </w:pPr>
    </w:p>
    <w:p w14:paraId="3A3A311C">
      <w:pPr>
        <w:spacing w:before="58" w:line="381" w:lineRule="auto"/>
        <w:ind w:right="649" w:firstLine="429"/>
        <w:jc w:val="both"/>
        <w:rPr>
          <w:rFonts w:ascii="Times New Roman" w:hAnsi="Times New Roman" w:eastAsia="Times New Roman" w:cs="Times New Roman"/>
          <w:sz w:val="20"/>
          <w:szCs w:val="20"/>
        </w:rPr>
      </w:pPr>
      <w:r>
        <w:rPr>
          <w:rFonts w:ascii="Times New Roman" w:hAnsi="Times New Roman" w:eastAsia="Times New Roman" w:cs="Times New Roman"/>
          <w:sz w:val="20"/>
          <w:szCs w:val="20"/>
        </w:rPr>
        <w:t>Healthcare-associated  infections(HAIs)are  not</w:t>
      </w:r>
      <w:r>
        <w:rPr>
          <w:rFonts w:ascii="Times New Roman" w:hAnsi="Times New Roman" w:eastAsia="Times New Roman" w:cs="Times New Roman"/>
          <w:spacing w:val="11"/>
          <w:sz w:val="20"/>
          <w:szCs w:val="20"/>
        </w:rPr>
        <w:t xml:space="preserve">  </w:t>
      </w:r>
      <w:r>
        <w:rPr>
          <w:rFonts w:ascii="Times New Roman" w:hAnsi="Times New Roman" w:eastAsia="Times New Roman" w:cs="Times New Roman"/>
          <w:sz w:val="20"/>
          <w:szCs w:val="20"/>
        </w:rPr>
        <w:t>only</w:t>
      </w:r>
      <w:r>
        <w:rPr>
          <w:rFonts w:ascii="Times New Roman" w:hAnsi="Times New Roman" w:eastAsia="Times New Roman" w:cs="Times New Roman"/>
          <w:spacing w:val="11"/>
          <w:sz w:val="20"/>
          <w:szCs w:val="20"/>
        </w:rPr>
        <w:t xml:space="preserve">  </w:t>
      </w:r>
      <w:r>
        <w:rPr>
          <w:rFonts w:ascii="Times New Roman" w:hAnsi="Times New Roman" w:eastAsia="Times New Roman" w:cs="Times New Roman"/>
          <w:sz w:val="20"/>
          <w:szCs w:val="20"/>
        </w:rPr>
        <w:t>a</w:t>
      </w:r>
      <w:r>
        <w:rPr>
          <w:rFonts w:ascii="Times New Roman" w:hAnsi="Times New Roman" w:eastAsia="Times New Roman" w:cs="Times New Roman"/>
          <w:spacing w:val="11"/>
          <w:sz w:val="20"/>
          <w:szCs w:val="20"/>
        </w:rPr>
        <w:t xml:space="preserve">  </w:t>
      </w:r>
      <w:r>
        <w:rPr>
          <w:rFonts w:ascii="Times New Roman" w:hAnsi="Times New Roman" w:eastAsia="Times New Roman" w:cs="Times New Roman"/>
          <w:sz w:val="20"/>
          <w:szCs w:val="20"/>
        </w:rPr>
        <w:t>clinical</w:t>
      </w:r>
      <w:r>
        <w:rPr>
          <w:rFonts w:ascii="Times New Roman" w:hAnsi="Times New Roman" w:eastAsia="Times New Roman" w:cs="Times New Roman"/>
          <w:spacing w:val="8"/>
          <w:sz w:val="20"/>
          <w:szCs w:val="20"/>
        </w:rPr>
        <w:t xml:space="preserve">  </w:t>
      </w:r>
      <w:r>
        <w:rPr>
          <w:rFonts w:ascii="Times New Roman" w:hAnsi="Times New Roman" w:eastAsia="Times New Roman" w:cs="Times New Roman"/>
          <w:sz w:val="20"/>
          <w:szCs w:val="20"/>
        </w:rPr>
        <w:t>problem,but</w:t>
      </w:r>
      <w:r>
        <w:rPr>
          <w:rFonts w:ascii="Times New Roman" w:hAnsi="Times New Roman" w:eastAsia="Times New Roman" w:cs="Times New Roman"/>
          <w:spacing w:val="11"/>
          <w:sz w:val="20"/>
          <w:szCs w:val="20"/>
        </w:rPr>
        <w:t xml:space="preserve">  </w:t>
      </w:r>
      <w:r>
        <w:rPr>
          <w:rFonts w:ascii="Times New Roman" w:hAnsi="Times New Roman" w:eastAsia="Times New Roman" w:cs="Times New Roman"/>
          <w:spacing w:val="-1"/>
          <w:sz w:val="20"/>
          <w:szCs w:val="20"/>
        </w:rPr>
        <w:t>also</w:t>
      </w:r>
      <w:r>
        <w:rPr>
          <w:rFonts w:ascii="Times New Roman" w:hAnsi="Times New Roman" w:eastAsia="Times New Roman" w:cs="Times New Roman"/>
          <w:spacing w:val="11"/>
          <w:sz w:val="20"/>
          <w:szCs w:val="20"/>
        </w:rPr>
        <w:t xml:space="preserve">  </w:t>
      </w:r>
      <w:r>
        <w:rPr>
          <w:rFonts w:ascii="Times New Roman" w:hAnsi="Times New Roman" w:eastAsia="Times New Roman" w:cs="Times New Roman"/>
          <w:spacing w:val="-1"/>
          <w:sz w:val="20"/>
          <w:szCs w:val="20"/>
        </w:rPr>
        <w:t>an</w:t>
      </w:r>
      <w:r>
        <w:rPr>
          <w:rFonts w:ascii="Times New Roman" w:hAnsi="Times New Roman" w:eastAsia="Times New Roman" w:cs="Times New Roman"/>
          <w:spacing w:val="11"/>
          <w:sz w:val="20"/>
          <w:szCs w:val="20"/>
        </w:rPr>
        <w:t xml:space="preserve">  </w:t>
      </w:r>
      <w:r>
        <w:rPr>
          <w:rFonts w:ascii="Times New Roman" w:hAnsi="Times New Roman" w:eastAsia="Times New Roman" w:cs="Times New Roman"/>
          <w:spacing w:val="-1"/>
          <w:sz w:val="20"/>
          <w:szCs w:val="20"/>
        </w:rPr>
        <w:t>important</w:t>
      </w:r>
      <w:r>
        <w:rPr>
          <w:rFonts w:ascii="Times New Roman" w:hAnsi="Times New Roman" w:eastAsia="Times New Roman" w:cs="Times New Roman"/>
          <w:spacing w:val="7"/>
          <w:sz w:val="20"/>
          <w:szCs w:val="20"/>
        </w:rPr>
        <w:t xml:space="preserve">  </w:t>
      </w:r>
      <w:r>
        <w:rPr>
          <w:rFonts w:ascii="Times New Roman" w:hAnsi="Times New Roman" w:eastAsia="Times New Roman" w:cs="Times New Roman"/>
          <w:spacing w:val="-1"/>
          <w:sz w:val="20"/>
          <w:szCs w:val="20"/>
        </w:rPr>
        <w:t>publie</w:t>
      </w:r>
      <w:r>
        <w:rPr>
          <w:rFonts w:ascii="Times New Roman" w:hAnsi="Times New Roman" w:eastAsia="Times New Roman" w:cs="Times New Roman"/>
          <w:sz w:val="20"/>
          <w:szCs w:val="20"/>
        </w:rPr>
        <w:t xml:space="preserve"> health</w:t>
      </w:r>
      <w:r>
        <w:rPr>
          <w:rFonts w:ascii="Times New Roman" w:hAnsi="Times New Roman" w:eastAsia="Times New Roman" w:cs="Times New Roman"/>
          <w:spacing w:val="17"/>
          <w:sz w:val="20"/>
          <w:szCs w:val="20"/>
        </w:rPr>
        <w:t xml:space="preserve">  </w:t>
      </w:r>
      <w:r>
        <w:rPr>
          <w:rFonts w:ascii="Times New Roman" w:hAnsi="Times New Roman" w:eastAsia="Times New Roman" w:cs="Times New Roman"/>
          <w:sz w:val="20"/>
          <w:szCs w:val="20"/>
        </w:rPr>
        <w:t>issue.With</w:t>
      </w:r>
      <w:r>
        <w:rPr>
          <w:rFonts w:ascii="Times New Roman" w:hAnsi="Times New Roman" w:eastAsia="Times New Roman" w:cs="Times New Roman"/>
          <w:spacing w:val="15"/>
          <w:w w:val="101"/>
          <w:sz w:val="20"/>
          <w:szCs w:val="20"/>
        </w:rPr>
        <w:t xml:space="preserve">  </w:t>
      </w:r>
      <w:r>
        <w:rPr>
          <w:rFonts w:ascii="Times New Roman" w:hAnsi="Times New Roman" w:eastAsia="Times New Roman" w:cs="Times New Roman"/>
          <w:sz w:val="20"/>
          <w:szCs w:val="20"/>
        </w:rPr>
        <w:t>the</w:t>
      </w:r>
      <w:r>
        <w:rPr>
          <w:rFonts w:ascii="Times New Roman" w:hAnsi="Times New Roman" w:eastAsia="Times New Roman" w:cs="Times New Roman"/>
          <w:spacing w:val="17"/>
          <w:w w:val="101"/>
          <w:sz w:val="20"/>
          <w:szCs w:val="20"/>
        </w:rPr>
        <w:t xml:space="preserve">  </w:t>
      </w:r>
      <w:r>
        <w:rPr>
          <w:rFonts w:ascii="Times New Roman" w:hAnsi="Times New Roman" w:eastAsia="Times New Roman" w:cs="Times New Roman"/>
          <w:sz w:val="20"/>
          <w:szCs w:val="20"/>
        </w:rPr>
        <w:t>development</w:t>
      </w:r>
      <w:r>
        <w:rPr>
          <w:rFonts w:ascii="Times New Roman" w:hAnsi="Times New Roman" w:eastAsia="Times New Roman" w:cs="Times New Roman"/>
          <w:spacing w:val="18"/>
          <w:sz w:val="20"/>
          <w:szCs w:val="20"/>
        </w:rPr>
        <w:t xml:space="preserve">  </w:t>
      </w:r>
      <w:r>
        <w:rPr>
          <w:rFonts w:ascii="Times New Roman" w:hAnsi="Times New Roman" w:eastAsia="Times New Roman" w:cs="Times New Roman"/>
          <w:sz w:val="20"/>
          <w:szCs w:val="20"/>
        </w:rPr>
        <w:t>and</w:t>
      </w:r>
      <w:r>
        <w:rPr>
          <w:rFonts w:ascii="Times New Roman" w:hAnsi="Times New Roman" w:eastAsia="Times New Roman" w:cs="Times New Roman"/>
          <w:spacing w:val="17"/>
          <w:w w:val="101"/>
          <w:sz w:val="20"/>
          <w:szCs w:val="20"/>
        </w:rPr>
        <w:t xml:space="preserve">  </w:t>
      </w:r>
      <w:r>
        <w:rPr>
          <w:rFonts w:ascii="Times New Roman" w:hAnsi="Times New Roman" w:eastAsia="Times New Roman" w:cs="Times New Roman"/>
          <w:sz w:val="20"/>
          <w:szCs w:val="20"/>
        </w:rPr>
        <w:t>application</w:t>
      </w:r>
      <w:r>
        <w:rPr>
          <w:rFonts w:ascii="Times New Roman" w:hAnsi="Times New Roman" w:eastAsia="Times New Roman" w:cs="Times New Roman"/>
          <w:spacing w:val="18"/>
          <w:sz w:val="20"/>
          <w:szCs w:val="20"/>
        </w:rPr>
        <w:t xml:space="preserve">  </w:t>
      </w:r>
      <w:r>
        <w:rPr>
          <w:rFonts w:ascii="Times New Roman" w:hAnsi="Times New Roman" w:eastAsia="Times New Roman" w:cs="Times New Roman"/>
          <w:sz w:val="20"/>
          <w:szCs w:val="20"/>
        </w:rPr>
        <w:t>of</w:t>
      </w:r>
      <w:r>
        <w:rPr>
          <w:rFonts w:ascii="Times New Roman" w:hAnsi="Times New Roman" w:eastAsia="Times New Roman" w:cs="Times New Roman"/>
          <w:spacing w:val="-1"/>
          <w:sz w:val="20"/>
          <w:szCs w:val="20"/>
        </w:rPr>
        <w:t xml:space="preserve">  new</w:t>
      </w:r>
      <w:r>
        <w:rPr>
          <w:rFonts w:ascii="Times New Roman" w:hAnsi="Times New Roman" w:eastAsia="Times New Roman" w:cs="Times New Roman"/>
          <w:spacing w:val="15"/>
          <w:sz w:val="20"/>
          <w:szCs w:val="20"/>
        </w:rPr>
        <w:t xml:space="preserve">  </w:t>
      </w:r>
      <w:r>
        <w:rPr>
          <w:rFonts w:ascii="Times New Roman" w:hAnsi="Times New Roman" w:eastAsia="Times New Roman" w:cs="Times New Roman"/>
          <w:spacing w:val="-1"/>
          <w:sz w:val="20"/>
          <w:szCs w:val="20"/>
        </w:rPr>
        <w:t>technologies</w:t>
      </w:r>
      <w:r>
        <w:rPr>
          <w:rFonts w:ascii="Times New Roman" w:hAnsi="Times New Roman" w:eastAsia="Times New Roman" w:cs="Times New Roman"/>
          <w:spacing w:val="18"/>
          <w:sz w:val="20"/>
          <w:szCs w:val="20"/>
        </w:rPr>
        <w:t xml:space="preserve">  </w:t>
      </w:r>
      <w:r>
        <w:rPr>
          <w:rFonts w:ascii="Times New Roman" w:hAnsi="Times New Roman" w:eastAsia="Times New Roman" w:cs="Times New Roman"/>
          <w:spacing w:val="-1"/>
          <w:sz w:val="20"/>
          <w:szCs w:val="20"/>
        </w:rPr>
        <w:t>and</w:t>
      </w:r>
      <w:r>
        <w:rPr>
          <w:rFonts w:ascii="Times New Roman" w:hAnsi="Times New Roman" w:eastAsia="Times New Roman" w:cs="Times New Roman"/>
          <w:spacing w:val="15"/>
          <w:sz w:val="20"/>
          <w:szCs w:val="20"/>
        </w:rPr>
        <w:t xml:space="preserve">  </w:t>
      </w:r>
      <w:r>
        <w:rPr>
          <w:rFonts w:ascii="Times New Roman" w:hAnsi="Times New Roman" w:eastAsia="Times New Roman" w:cs="Times New Roman"/>
          <w:spacing w:val="-1"/>
          <w:sz w:val="20"/>
          <w:szCs w:val="20"/>
        </w:rPr>
        <w:t>therapies</w:t>
      </w:r>
      <w:r>
        <w:rPr>
          <w:rFonts w:ascii="Times New Roman" w:hAnsi="Times New Roman" w:eastAsia="Times New Roman" w:cs="Times New Roman"/>
          <w:spacing w:val="17"/>
          <w:w w:val="101"/>
          <w:sz w:val="20"/>
          <w:szCs w:val="20"/>
        </w:rPr>
        <w:t xml:space="preserve">  </w:t>
      </w:r>
      <w:r>
        <w:rPr>
          <w:rFonts w:ascii="Times New Roman" w:hAnsi="Times New Roman" w:eastAsia="Times New Roman" w:cs="Times New Roman"/>
          <w:spacing w:val="-1"/>
          <w:sz w:val="20"/>
          <w:szCs w:val="20"/>
        </w:rPr>
        <w:t>in</w:t>
      </w:r>
      <w:r>
        <w:rPr>
          <w:rFonts w:ascii="Times New Roman" w:hAnsi="Times New Roman" w:eastAsia="Times New Roman" w:cs="Times New Roman"/>
          <w:spacing w:val="15"/>
          <w:sz w:val="20"/>
          <w:szCs w:val="20"/>
        </w:rPr>
        <w:t xml:space="preserve">  </w:t>
      </w:r>
      <w:r>
        <w:rPr>
          <w:rFonts w:ascii="Times New Roman" w:hAnsi="Times New Roman" w:eastAsia="Times New Roman" w:cs="Times New Roman"/>
          <w:spacing w:val="-1"/>
          <w:sz w:val="20"/>
          <w:szCs w:val="20"/>
        </w:rPr>
        <w:t>health</w:t>
      </w:r>
      <w:r>
        <w:rPr>
          <w:rFonts w:ascii="Times New Roman" w:hAnsi="Times New Roman" w:eastAsia="Times New Roman" w:cs="Times New Roman"/>
          <w:spacing w:val="17"/>
          <w:w w:val="101"/>
          <w:sz w:val="20"/>
          <w:szCs w:val="20"/>
        </w:rPr>
        <w:t xml:space="preserve">  </w:t>
      </w:r>
      <w:r>
        <w:rPr>
          <w:rFonts w:ascii="Times New Roman" w:hAnsi="Times New Roman" w:eastAsia="Times New Roman" w:cs="Times New Roman"/>
          <w:spacing w:val="-1"/>
          <w:sz w:val="20"/>
          <w:szCs w:val="20"/>
        </w:rPr>
        <w:t>care</w:t>
      </w:r>
      <w:r>
        <w:rPr>
          <w:rFonts w:ascii="Times New Roman" w:hAnsi="Times New Roman" w:eastAsia="Times New Roman" w:cs="Times New Roman"/>
          <w:sz w:val="20"/>
          <w:szCs w:val="20"/>
        </w:rPr>
        <w:t xml:space="preserve">  facilities,the  characteristics   of  HAIs</w:t>
      </w:r>
      <w:r>
        <w:rPr>
          <w:rFonts w:ascii="Times New Roman" w:hAnsi="Times New Roman" w:eastAsia="Times New Roman" w:cs="Times New Roman"/>
          <w:spacing w:val="16"/>
          <w:sz w:val="20"/>
          <w:szCs w:val="20"/>
        </w:rPr>
        <w:t xml:space="preserve">  </w:t>
      </w:r>
      <w:r>
        <w:rPr>
          <w:rFonts w:ascii="Times New Roman" w:hAnsi="Times New Roman" w:eastAsia="Times New Roman" w:cs="Times New Roman"/>
          <w:sz w:val="20"/>
          <w:szCs w:val="20"/>
        </w:rPr>
        <w:t>are  constantly   changing.The  basic  theories,knowledge,and   skills  of epidemiology</w:t>
      </w:r>
      <w:r>
        <w:rPr>
          <w:rFonts w:ascii="Times New Roman" w:hAnsi="Times New Roman" w:eastAsia="Times New Roman" w:cs="Times New Roman"/>
          <w:spacing w:val="37"/>
          <w:w w:val="101"/>
          <w:sz w:val="20"/>
          <w:szCs w:val="20"/>
        </w:rPr>
        <w:t xml:space="preserve"> </w:t>
      </w:r>
      <w:r>
        <w:rPr>
          <w:rFonts w:ascii="Times New Roman" w:hAnsi="Times New Roman" w:eastAsia="Times New Roman" w:cs="Times New Roman"/>
          <w:sz w:val="20"/>
          <w:szCs w:val="20"/>
        </w:rPr>
        <w:t>play</w:t>
      </w:r>
      <w:r>
        <w:rPr>
          <w:rFonts w:ascii="Times New Roman" w:hAnsi="Times New Roman" w:eastAsia="Times New Roman" w:cs="Times New Roman"/>
          <w:spacing w:val="44"/>
          <w:w w:val="101"/>
          <w:sz w:val="20"/>
          <w:szCs w:val="20"/>
        </w:rPr>
        <w:t xml:space="preserve"> </w:t>
      </w:r>
      <w:r>
        <w:rPr>
          <w:rFonts w:ascii="Times New Roman" w:hAnsi="Times New Roman" w:eastAsia="Times New Roman" w:cs="Times New Roman"/>
          <w:sz w:val="20"/>
          <w:szCs w:val="20"/>
        </w:rPr>
        <w:t>an</w:t>
      </w:r>
      <w:r>
        <w:rPr>
          <w:rFonts w:ascii="Times New Roman" w:hAnsi="Times New Roman" w:eastAsia="Times New Roman" w:cs="Times New Roman"/>
          <w:spacing w:val="43"/>
          <w:sz w:val="20"/>
          <w:szCs w:val="20"/>
        </w:rPr>
        <w:t xml:space="preserve"> </w:t>
      </w:r>
      <w:r>
        <w:rPr>
          <w:rFonts w:ascii="Times New Roman" w:hAnsi="Times New Roman" w:eastAsia="Times New Roman" w:cs="Times New Roman"/>
          <w:sz w:val="20"/>
          <w:szCs w:val="20"/>
        </w:rPr>
        <w:t>ireplaceable</w:t>
      </w:r>
      <w:r>
        <w:rPr>
          <w:rFonts w:ascii="Times New Roman" w:hAnsi="Times New Roman" w:eastAsia="Times New Roman" w:cs="Times New Roman"/>
          <w:spacing w:val="38"/>
          <w:w w:val="101"/>
          <w:sz w:val="20"/>
          <w:szCs w:val="20"/>
        </w:rPr>
        <w:t xml:space="preserve"> </w:t>
      </w:r>
      <w:r>
        <w:rPr>
          <w:rFonts w:ascii="Times New Roman" w:hAnsi="Times New Roman" w:eastAsia="Times New Roman" w:cs="Times New Roman"/>
          <w:sz w:val="20"/>
          <w:szCs w:val="20"/>
        </w:rPr>
        <w:t>ro</w:t>
      </w:r>
      <w:r>
        <w:rPr>
          <w:rFonts w:ascii="Times New Roman" w:hAnsi="Times New Roman" w:eastAsia="Times New Roman" w:cs="Times New Roman"/>
          <w:spacing w:val="-1"/>
          <w:sz w:val="20"/>
          <w:szCs w:val="20"/>
        </w:rPr>
        <w:t>le</w:t>
      </w:r>
      <w:r>
        <w:rPr>
          <w:rFonts w:ascii="Times New Roman" w:hAnsi="Times New Roman" w:eastAsia="Times New Roman" w:cs="Times New Roman"/>
          <w:spacing w:val="43"/>
          <w:sz w:val="20"/>
          <w:szCs w:val="20"/>
        </w:rPr>
        <w:t xml:space="preserve"> </w:t>
      </w:r>
      <w:r>
        <w:rPr>
          <w:rFonts w:ascii="Times New Roman" w:hAnsi="Times New Roman" w:eastAsia="Times New Roman" w:cs="Times New Roman"/>
          <w:spacing w:val="-1"/>
          <w:sz w:val="20"/>
          <w:szCs w:val="20"/>
        </w:rPr>
        <w:t>in</w:t>
      </w:r>
      <w:r>
        <w:rPr>
          <w:rFonts w:ascii="Times New Roman" w:hAnsi="Times New Roman" w:eastAsia="Times New Roman" w:cs="Times New Roman"/>
          <w:spacing w:val="39"/>
          <w:w w:val="101"/>
          <w:sz w:val="20"/>
          <w:szCs w:val="20"/>
        </w:rPr>
        <w:t xml:space="preserve"> </w:t>
      </w:r>
      <w:r>
        <w:rPr>
          <w:rFonts w:ascii="Times New Roman" w:hAnsi="Times New Roman" w:eastAsia="Times New Roman" w:cs="Times New Roman"/>
          <w:spacing w:val="-1"/>
          <w:sz w:val="20"/>
          <w:szCs w:val="20"/>
        </w:rPr>
        <w:t>the</w:t>
      </w:r>
      <w:r>
        <w:rPr>
          <w:rFonts w:ascii="Times New Roman" w:hAnsi="Times New Roman" w:eastAsia="Times New Roman" w:cs="Times New Roman"/>
          <w:spacing w:val="37"/>
          <w:sz w:val="20"/>
          <w:szCs w:val="20"/>
        </w:rPr>
        <w:t xml:space="preserve"> </w:t>
      </w:r>
      <w:r>
        <w:rPr>
          <w:rFonts w:ascii="Times New Roman" w:hAnsi="Times New Roman" w:eastAsia="Times New Roman" w:cs="Times New Roman"/>
          <w:spacing w:val="-1"/>
          <w:sz w:val="20"/>
          <w:szCs w:val="20"/>
        </w:rPr>
        <w:t>prevention</w:t>
      </w:r>
      <w:r>
        <w:rPr>
          <w:rFonts w:ascii="Times New Roman" w:hAnsi="Times New Roman" w:eastAsia="Times New Roman" w:cs="Times New Roman"/>
          <w:spacing w:val="44"/>
          <w:w w:val="101"/>
          <w:sz w:val="20"/>
          <w:szCs w:val="20"/>
        </w:rPr>
        <w:t xml:space="preserve"> </w:t>
      </w:r>
      <w:r>
        <w:rPr>
          <w:rFonts w:ascii="Times New Roman" w:hAnsi="Times New Roman" w:eastAsia="Times New Roman" w:cs="Times New Roman"/>
          <w:spacing w:val="-1"/>
          <w:sz w:val="20"/>
          <w:szCs w:val="20"/>
        </w:rPr>
        <w:t>and</w:t>
      </w:r>
      <w:r>
        <w:rPr>
          <w:rFonts w:ascii="Times New Roman" w:hAnsi="Times New Roman" w:eastAsia="Times New Roman" w:cs="Times New Roman"/>
          <w:spacing w:val="43"/>
          <w:w w:val="101"/>
          <w:sz w:val="20"/>
          <w:szCs w:val="20"/>
        </w:rPr>
        <w:t xml:space="preserve"> </w:t>
      </w:r>
      <w:r>
        <w:rPr>
          <w:rFonts w:ascii="Times New Roman" w:hAnsi="Times New Roman" w:eastAsia="Times New Roman" w:cs="Times New Roman"/>
          <w:spacing w:val="-1"/>
          <w:sz w:val="20"/>
          <w:szCs w:val="20"/>
        </w:rPr>
        <w:t>control</w:t>
      </w:r>
      <w:r>
        <w:rPr>
          <w:rFonts w:ascii="Times New Roman" w:hAnsi="Times New Roman" w:eastAsia="Times New Roman" w:cs="Times New Roman"/>
          <w:spacing w:val="44"/>
          <w:sz w:val="20"/>
          <w:szCs w:val="20"/>
        </w:rPr>
        <w:t xml:space="preserve"> </w:t>
      </w:r>
      <w:r>
        <w:rPr>
          <w:rFonts w:ascii="Times New Roman" w:hAnsi="Times New Roman" w:eastAsia="Times New Roman" w:cs="Times New Roman"/>
          <w:spacing w:val="-1"/>
          <w:sz w:val="20"/>
          <w:szCs w:val="20"/>
        </w:rPr>
        <w:t>of</w:t>
      </w:r>
      <w:r>
        <w:rPr>
          <w:rFonts w:ascii="Times New Roman" w:hAnsi="Times New Roman" w:eastAsia="Times New Roman" w:cs="Times New Roman"/>
          <w:spacing w:val="20"/>
          <w:w w:val="101"/>
          <w:sz w:val="20"/>
          <w:szCs w:val="20"/>
        </w:rPr>
        <w:t xml:space="preserve"> </w:t>
      </w:r>
      <w:r>
        <w:rPr>
          <w:rFonts w:ascii="Times New Roman" w:hAnsi="Times New Roman" w:eastAsia="Times New Roman" w:cs="Times New Roman"/>
          <w:spacing w:val="-1"/>
          <w:sz w:val="20"/>
          <w:szCs w:val="20"/>
        </w:rPr>
        <w:t>HAIs.This</w:t>
      </w:r>
      <w:r>
        <w:rPr>
          <w:rFonts w:ascii="Times New Roman" w:hAnsi="Times New Roman" w:eastAsia="Times New Roman" w:cs="Times New Roman"/>
          <w:spacing w:val="44"/>
          <w:sz w:val="20"/>
          <w:szCs w:val="20"/>
        </w:rPr>
        <w:t xml:space="preserve"> </w:t>
      </w:r>
      <w:r>
        <w:rPr>
          <w:rFonts w:ascii="Times New Roman" w:hAnsi="Times New Roman" w:eastAsia="Times New Roman" w:cs="Times New Roman"/>
          <w:spacing w:val="-1"/>
          <w:sz w:val="20"/>
          <w:szCs w:val="20"/>
        </w:rPr>
        <w:t>chapter</w:t>
      </w:r>
      <w:r>
        <w:rPr>
          <w:rFonts w:ascii="Times New Roman" w:hAnsi="Times New Roman" w:eastAsia="Times New Roman" w:cs="Times New Roman"/>
          <w:spacing w:val="44"/>
          <w:sz w:val="20"/>
          <w:szCs w:val="20"/>
        </w:rPr>
        <w:t xml:space="preserve"> </w:t>
      </w:r>
      <w:r>
        <w:rPr>
          <w:rFonts w:ascii="Times New Roman" w:hAnsi="Times New Roman" w:eastAsia="Times New Roman" w:cs="Times New Roman"/>
          <w:spacing w:val="-1"/>
          <w:sz w:val="20"/>
          <w:szCs w:val="20"/>
        </w:rPr>
        <w:t>first</w:t>
      </w:r>
      <w:r>
        <w:rPr>
          <w:rFonts w:ascii="Times New Roman" w:hAnsi="Times New Roman" w:eastAsia="Times New Roman" w:cs="Times New Roman"/>
          <w:spacing w:val="43"/>
          <w:sz w:val="20"/>
          <w:szCs w:val="20"/>
        </w:rPr>
        <w:t xml:space="preserve"> </w:t>
      </w:r>
      <w:r>
        <w:rPr>
          <w:rFonts w:ascii="Times New Roman" w:hAnsi="Times New Roman" w:eastAsia="Times New Roman" w:cs="Times New Roman"/>
          <w:spacing w:val="-1"/>
          <w:sz w:val="20"/>
          <w:szCs w:val="20"/>
        </w:rPr>
        <w:t>introduces</w:t>
      </w:r>
      <w:r>
        <w:rPr>
          <w:rFonts w:ascii="Times New Roman" w:hAnsi="Times New Roman" w:eastAsia="Times New Roman" w:cs="Times New Roman"/>
          <w:sz w:val="20"/>
          <w:szCs w:val="20"/>
        </w:rPr>
        <w:t xml:space="preserve"> the  definition,classification,and  epidemiological  characteristics</w:t>
      </w:r>
      <w:r>
        <w:rPr>
          <w:rFonts w:ascii="Times New Roman" w:hAnsi="Times New Roman" w:eastAsia="Times New Roman" w:cs="Times New Roman"/>
          <w:spacing w:val="9"/>
          <w:sz w:val="20"/>
          <w:szCs w:val="20"/>
        </w:rPr>
        <w:t xml:space="preserve">  </w:t>
      </w:r>
      <w:r>
        <w:rPr>
          <w:rFonts w:ascii="Times New Roman" w:hAnsi="Times New Roman" w:eastAsia="Times New Roman" w:cs="Times New Roman"/>
          <w:sz w:val="20"/>
          <w:szCs w:val="20"/>
        </w:rPr>
        <w:t>of  HAIs.Based</w:t>
      </w:r>
      <w:r>
        <w:rPr>
          <w:rFonts w:ascii="Times New Roman" w:hAnsi="Times New Roman" w:eastAsia="Times New Roman" w:cs="Times New Roman"/>
          <w:spacing w:val="7"/>
          <w:sz w:val="20"/>
          <w:szCs w:val="20"/>
        </w:rPr>
        <w:t xml:space="preserve">  </w:t>
      </w:r>
      <w:r>
        <w:rPr>
          <w:rFonts w:ascii="Times New Roman" w:hAnsi="Times New Roman" w:eastAsia="Times New Roman" w:cs="Times New Roman"/>
          <w:sz w:val="20"/>
          <w:szCs w:val="20"/>
        </w:rPr>
        <w:t>on  this,it</w:t>
      </w:r>
      <w:r>
        <w:rPr>
          <w:rFonts w:ascii="Times New Roman" w:hAnsi="Times New Roman" w:eastAsia="Times New Roman" w:cs="Times New Roman"/>
          <w:spacing w:val="7"/>
          <w:sz w:val="20"/>
          <w:szCs w:val="20"/>
        </w:rPr>
        <w:t xml:space="preserve">  </w:t>
      </w:r>
      <w:r>
        <w:rPr>
          <w:rFonts w:ascii="Times New Roman" w:hAnsi="Times New Roman" w:eastAsia="Times New Roman" w:cs="Times New Roman"/>
          <w:sz w:val="20"/>
          <w:szCs w:val="20"/>
        </w:rPr>
        <w:t>discusses</w:t>
      </w:r>
      <w:r>
        <w:rPr>
          <w:rFonts w:ascii="Times New Roman" w:hAnsi="Times New Roman" w:eastAsia="Times New Roman" w:cs="Times New Roman"/>
          <w:spacing w:val="4"/>
          <w:sz w:val="20"/>
          <w:szCs w:val="20"/>
        </w:rPr>
        <w:t xml:space="preserve">  </w:t>
      </w:r>
      <w:r>
        <w:rPr>
          <w:rFonts w:ascii="Times New Roman" w:hAnsi="Times New Roman" w:eastAsia="Times New Roman" w:cs="Times New Roman"/>
          <w:sz w:val="20"/>
          <w:szCs w:val="20"/>
        </w:rPr>
        <w:t>how</w:t>
      </w:r>
      <w:r>
        <w:rPr>
          <w:rFonts w:ascii="Times New Roman" w:hAnsi="Times New Roman" w:eastAsia="Times New Roman" w:cs="Times New Roman"/>
          <w:spacing w:val="5"/>
          <w:sz w:val="20"/>
          <w:szCs w:val="20"/>
        </w:rPr>
        <w:t xml:space="preserve">  </w:t>
      </w:r>
      <w:r>
        <w:rPr>
          <w:rFonts w:ascii="Times New Roman" w:hAnsi="Times New Roman" w:eastAsia="Times New Roman" w:cs="Times New Roman"/>
          <w:sz w:val="20"/>
          <w:szCs w:val="20"/>
        </w:rPr>
        <w:t>to prevent</w:t>
      </w:r>
      <w:r>
        <w:rPr>
          <w:rFonts w:ascii="Times New Roman" w:hAnsi="Times New Roman" w:eastAsia="Times New Roman" w:cs="Times New Roman"/>
          <w:spacing w:val="36"/>
          <w:sz w:val="20"/>
          <w:szCs w:val="20"/>
        </w:rPr>
        <w:t xml:space="preserve"> </w:t>
      </w:r>
      <w:r>
        <w:rPr>
          <w:rFonts w:ascii="Times New Roman" w:hAnsi="Times New Roman" w:eastAsia="Times New Roman" w:cs="Times New Roman"/>
          <w:sz w:val="20"/>
          <w:szCs w:val="20"/>
        </w:rPr>
        <w:t>HAIs</w:t>
      </w:r>
      <w:r>
        <w:rPr>
          <w:rFonts w:ascii="Times New Roman" w:hAnsi="Times New Roman" w:eastAsia="Times New Roman" w:cs="Times New Roman"/>
          <w:spacing w:val="38"/>
          <w:w w:val="101"/>
          <w:sz w:val="20"/>
          <w:szCs w:val="20"/>
        </w:rPr>
        <w:t xml:space="preserve"> </w:t>
      </w:r>
      <w:r>
        <w:rPr>
          <w:rFonts w:ascii="Times New Roman" w:hAnsi="Times New Roman" w:eastAsia="Times New Roman" w:cs="Times New Roman"/>
          <w:sz w:val="20"/>
          <w:szCs w:val="20"/>
        </w:rPr>
        <w:t>in</w:t>
      </w:r>
      <w:r>
        <w:rPr>
          <w:rFonts w:ascii="Times New Roman" w:hAnsi="Times New Roman" w:eastAsia="Times New Roman" w:cs="Times New Roman"/>
          <w:spacing w:val="33"/>
          <w:w w:val="101"/>
          <w:sz w:val="20"/>
          <w:szCs w:val="20"/>
        </w:rPr>
        <w:t xml:space="preserve"> </w:t>
      </w:r>
      <w:r>
        <w:rPr>
          <w:rFonts w:ascii="Times New Roman" w:hAnsi="Times New Roman" w:eastAsia="Times New Roman" w:cs="Times New Roman"/>
          <w:sz w:val="20"/>
          <w:szCs w:val="20"/>
        </w:rPr>
        <w:t>routine</w:t>
      </w:r>
      <w:r>
        <w:rPr>
          <w:rFonts w:ascii="Times New Roman" w:hAnsi="Times New Roman" w:eastAsia="Times New Roman" w:cs="Times New Roman"/>
          <w:spacing w:val="34"/>
          <w:sz w:val="20"/>
          <w:szCs w:val="20"/>
        </w:rPr>
        <w:t xml:space="preserve"> </w:t>
      </w:r>
      <w:r>
        <w:rPr>
          <w:rFonts w:ascii="Times New Roman" w:hAnsi="Times New Roman" w:eastAsia="Times New Roman" w:cs="Times New Roman"/>
          <w:sz w:val="20"/>
          <w:szCs w:val="20"/>
        </w:rPr>
        <w:t>work,as</w:t>
      </w:r>
      <w:r>
        <w:rPr>
          <w:rFonts w:ascii="Times New Roman" w:hAnsi="Times New Roman" w:eastAsia="Times New Roman" w:cs="Times New Roman"/>
          <w:spacing w:val="33"/>
          <w:w w:val="101"/>
          <w:sz w:val="20"/>
          <w:szCs w:val="20"/>
        </w:rPr>
        <w:t xml:space="preserve"> </w:t>
      </w:r>
      <w:r>
        <w:rPr>
          <w:rFonts w:ascii="Times New Roman" w:hAnsi="Times New Roman" w:eastAsia="Times New Roman" w:cs="Times New Roman"/>
          <w:sz w:val="20"/>
          <w:szCs w:val="20"/>
        </w:rPr>
        <w:t>well</w:t>
      </w:r>
      <w:r>
        <w:rPr>
          <w:rFonts w:ascii="Times New Roman" w:hAnsi="Times New Roman" w:eastAsia="Times New Roman" w:cs="Times New Roman"/>
          <w:spacing w:val="40"/>
          <w:sz w:val="20"/>
          <w:szCs w:val="20"/>
        </w:rPr>
        <w:t xml:space="preserve"> </w:t>
      </w:r>
      <w:r>
        <w:rPr>
          <w:rFonts w:ascii="Times New Roman" w:hAnsi="Times New Roman" w:eastAsia="Times New Roman" w:cs="Times New Roman"/>
          <w:spacing w:val="-1"/>
          <w:sz w:val="20"/>
          <w:szCs w:val="20"/>
        </w:rPr>
        <w:t>as</w:t>
      </w:r>
      <w:r>
        <w:rPr>
          <w:rFonts w:ascii="Times New Roman" w:hAnsi="Times New Roman" w:eastAsia="Times New Roman" w:cs="Times New Roman"/>
          <w:spacing w:val="34"/>
          <w:sz w:val="20"/>
          <w:szCs w:val="20"/>
        </w:rPr>
        <w:t xml:space="preserve"> </w:t>
      </w:r>
      <w:r>
        <w:rPr>
          <w:rFonts w:ascii="Times New Roman" w:hAnsi="Times New Roman" w:eastAsia="Times New Roman" w:cs="Times New Roman"/>
          <w:spacing w:val="-1"/>
          <w:sz w:val="20"/>
          <w:szCs w:val="20"/>
        </w:rPr>
        <w:t>how</w:t>
      </w:r>
      <w:r>
        <w:rPr>
          <w:rFonts w:ascii="Times New Roman" w:hAnsi="Times New Roman" w:eastAsia="Times New Roman" w:cs="Times New Roman"/>
          <w:spacing w:val="34"/>
          <w:w w:val="101"/>
          <w:sz w:val="20"/>
          <w:szCs w:val="20"/>
        </w:rPr>
        <w:t xml:space="preserve"> </w:t>
      </w:r>
      <w:r>
        <w:rPr>
          <w:rFonts w:ascii="Times New Roman" w:hAnsi="Times New Roman" w:eastAsia="Times New Roman" w:cs="Times New Roman"/>
          <w:spacing w:val="-1"/>
          <w:sz w:val="20"/>
          <w:szCs w:val="20"/>
        </w:rPr>
        <w:t>to</w:t>
      </w:r>
      <w:r>
        <w:rPr>
          <w:rFonts w:ascii="Times New Roman" w:hAnsi="Times New Roman" w:eastAsia="Times New Roman" w:cs="Times New Roman"/>
          <w:spacing w:val="38"/>
          <w:w w:val="101"/>
          <w:sz w:val="20"/>
          <w:szCs w:val="20"/>
        </w:rPr>
        <w:t xml:space="preserve"> </w:t>
      </w:r>
      <w:r>
        <w:rPr>
          <w:rFonts w:ascii="Times New Roman" w:hAnsi="Times New Roman" w:eastAsia="Times New Roman" w:cs="Times New Roman"/>
          <w:spacing w:val="-1"/>
          <w:sz w:val="20"/>
          <w:szCs w:val="20"/>
        </w:rPr>
        <w:t>identify,investigate,and</w:t>
      </w:r>
      <w:r>
        <w:rPr>
          <w:rFonts w:ascii="Times New Roman" w:hAnsi="Times New Roman" w:eastAsia="Times New Roman" w:cs="Times New Roman"/>
          <w:spacing w:val="39"/>
          <w:sz w:val="20"/>
          <w:szCs w:val="20"/>
        </w:rPr>
        <w:t xml:space="preserve"> </w:t>
      </w:r>
      <w:r>
        <w:rPr>
          <w:rFonts w:ascii="Times New Roman" w:hAnsi="Times New Roman" w:eastAsia="Times New Roman" w:cs="Times New Roman"/>
          <w:spacing w:val="-1"/>
          <w:sz w:val="20"/>
          <w:szCs w:val="20"/>
        </w:rPr>
        <w:t>control</w:t>
      </w:r>
      <w:r>
        <w:rPr>
          <w:rFonts w:ascii="Times New Roman" w:hAnsi="Times New Roman" w:eastAsia="Times New Roman" w:cs="Times New Roman"/>
          <w:spacing w:val="36"/>
          <w:sz w:val="20"/>
          <w:szCs w:val="20"/>
        </w:rPr>
        <w:t xml:space="preserve"> </w:t>
      </w:r>
      <w:r>
        <w:rPr>
          <w:rFonts w:ascii="Times New Roman" w:hAnsi="Times New Roman" w:eastAsia="Times New Roman" w:cs="Times New Roman"/>
          <w:spacing w:val="-1"/>
          <w:sz w:val="20"/>
          <w:szCs w:val="20"/>
        </w:rPr>
        <w:t>HAIs</w:t>
      </w:r>
      <w:r>
        <w:rPr>
          <w:rFonts w:ascii="Times New Roman" w:hAnsi="Times New Roman" w:eastAsia="Times New Roman" w:cs="Times New Roman"/>
          <w:spacing w:val="39"/>
          <w:sz w:val="20"/>
          <w:szCs w:val="20"/>
        </w:rPr>
        <w:t xml:space="preserve"> </w:t>
      </w:r>
      <w:r>
        <w:rPr>
          <w:rFonts w:ascii="Times New Roman" w:hAnsi="Times New Roman" w:eastAsia="Times New Roman" w:cs="Times New Roman"/>
          <w:spacing w:val="-1"/>
          <w:sz w:val="20"/>
          <w:szCs w:val="20"/>
        </w:rPr>
        <w:t>outbreaks.</w:t>
      </w:r>
    </w:p>
    <w:p w14:paraId="01F56D7F">
      <w:pPr>
        <w:spacing w:line="297" w:lineRule="auto"/>
        <w:rPr>
          <w:rFonts w:ascii="Arial"/>
          <w:sz w:val="21"/>
        </w:rPr>
      </w:pPr>
    </w:p>
    <w:p w14:paraId="20F81D6A">
      <w:pPr>
        <w:spacing w:before="66" w:line="333" w:lineRule="auto"/>
        <w:ind w:right="576" w:firstLine="429"/>
        <w:jc w:val="both"/>
        <w:rPr>
          <w:rFonts w:ascii="宋体" w:hAnsi="宋体" w:eastAsia="宋体" w:cs="宋体"/>
          <w:sz w:val="20"/>
          <w:szCs w:val="20"/>
        </w:rPr>
      </w:pPr>
      <w:r>
        <w:rPr>
          <w:rFonts w:ascii="宋体" w:hAnsi="宋体" w:eastAsia="宋体" w:cs="宋体"/>
          <w:spacing w:val="11"/>
          <w:sz w:val="20"/>
          <w:szCs w:val="20"/>
        </w:rPr>
        <w:t>医院感染既是临床问题，也是重要的公共卫生问题。伴随医院新</w:t>
      </w:r>
      <w:r>
        <w:rPr>
          <w:rFonts w:ascii="宋体" w:hAnsi="宋体" w:eastAsia="宋体" w:cs="宋体"/>
          <w:spacing w:val="10"/>
          <w:sz w:val="20"/>
          <w:szCs w:val="20"/>
        </w:rPr>
        <w:t>技术、新疗法的开展和应用，</w:t>
      </w:r>
      <w:r>
        <w:rPr>
          <w:rFonts w:ascii="宋体" w:hAnsi="宋体" w:eastAsia="宋体" w:cs="宋体"/>
          <w:sz w:val="20"/>
          <w:szCs w:val="20"/>
        </w:rPr>
        <w:t xml:space="preserve"> </w:t>
      </w:r>
      <w:r>
        <w:rPr>
          <w:rFonts w:ascii="宋体" w:hAnsi="宋体" w:eastAsia="宋体" w:cs="宋体"/>
          <w:spacing w:val="9"/>
          <w:sz w:val="20"/>
          <w:szCs w:val="20"/>
        </w:rPr>
        <w:t>医院感染的发生特点也在不断改变。在医院感染的预防和控制中，流行病学的基本</w:t>
      </w:r>
      <w:r>
        <w:rPr>
          <w:rFonts w:ascii="宋体" w:hAnsi="宋体" w:eastAsia="宋体" w:cs="宋体"/>
          <w:spacing w:val="8"/>
          <w:sz w:val="20"/>
          <w:szCs w:val="20"/>
        </w:rPr>
        <w:t>理论、基本知识</w:t>
      </w:r>
      <w:r>
        <w:rPr>
          <w:rFonts w:ascii="宋体" w:hAnsi="宋体" w:eastAsia="宋体" w:cs="宋体"/>
          <w:sz w:val="20"/>
          <w:szCs w:val="20"/>
        </w:rPr>
        <w:t xml:space="preserve">  </w:t>
      </w:r>
      <w:r>
        <w:rPr>
          <w:rFonts w:ascii="宋体" w:hAnsi="宋体" w:eastAsia="宋体" w:cs="宋体"/>
          <w:spacing w:val="9"/>
          <w:sz w:val="20"/>
          <w:szCs w:val="20"/>
        </w:rPr>
        <w:t>和基本技能发挥着不可替代的作用。本章将首先介绍医院感染的定义、分类和流行病学特征，在此 基础之上，介绍对于医院感染问题，如何在常规工作中加以预防，以及如何对医院感染暴发进行识</w:t>
      </w:r>
      <w:r>
        <w:rPr>
          <w:rFonts w:ascii="宋体" w:hAnsi="宋体" w:eastAsia="宋体" w:cs="宋体"/>
          <w:spacing w:val="14"/>
          <w:sz w:val="20"/>
          <w:szCs w:val="20"/>
        </w:rPr>
        <w:t xml:space="preserve"> </w:t>
      </w:r>
      <w:r>
        <w:rPr>
          <w:rFonts w:ascii="宋体" w:hAnsi="宋体" w:eastAsia="宋体" w:cs="宋体"/>
          <w:spacing w:val="1"/>
          <w:sz w:val="20"/>
          <w:szCs w:val="20"/>
        </w:rPr>
        <w:t>别、调查和控制。</w:t>
      </w:r>
    </w:p>
    <w:p w14:paraId="01A8ABEA">
      <w:pPr>
        <w:spacing w:line="401" w:lineRule="auto"/>
        <w:rPr>
          <w:rFonts w:ascii="Arial"/>
          <w:sz w:val="21"/>
        </w:rPr>
      </w:pPr>
    </w:p>
    <w:p w14:paraId="2CBB4AF7">
      <w:pPr>
        <w:pStyle w:val="2"/>
        <w:spacing w:before="97" w:line="221" w:lineRule="auto"/>
        <w:ind w:left="3474"/>
        <w:outlineLvl w:val="2"/>
      </w:pPr>
      <w:bookmarkStart w:id="334" w:name="bookmark210"/>
      <w:bookmarkEnd w:id="334"/>
      <w:r>
        <w:rPr>
          <w:b/>
          <w:bCs/>
          <w:spacing w:val="-8"/>
        </w:rPr>
        <w:t>第一节</w:t>
      </w:r>
      <w:r>
        <w:rPr>
          <w:spacing w:val="135"/>
        </w:rPr>
        <w:t xml:space="preserve"> </w:t>
      </w:r>
      <w:r>
        <w:rPr>
          <w:b/>
          <w:bCs/>
          <w:spacing w:val="-8"/>
        </w:rPr>
        <w:t>概</w:t>
      </w:r>
      <w:r>
        <w:rPr>
          <w:spacing w:val="138"/>
        </w:rPr>
        <w:t xml:space="preserve"> </w:t>
      </w:r>
      <w:r>
        <w:rPr>
          <w:b/>
          <w:bCs/>
          <w:spacing w:val="-8"/>
        </w:rPr>
        <w:t>述</w:t>
      </w:r>
    </w:p>
    <w:p w14:paraId="11F36B1F">
      <w:pPr>
        <w:spacing w:line="339" w:lineRule="auto"/>
        <w:rPr>
          <w:rFonts w:ascii="Arial"/>
          <w:sz w:val="21"/>
        </w:rPr>
      </w:pPr>
    </w:p>
    <w:p w14:paraId="547CF198">
      <w:pPr>
        <w:pStyle w:val="2"/>
        <w:spacing w:before="82" w:line="223" w:lineRule="auto"/>
        <w:ind w:left="433"/>
        <w:outlineLvl w:val="4"/>
        <w:rPr>
          <w:sz w:val="25"/>
          <w:szCs w:val="25"/>
        </w:rPr>
      </w:pPr>
      <w:bookmarkStart w:id="335" w:name="bookmark211"/>
      <w:bookmarkEnd w:id="335"/>
      <w:r>
        <w:rPr>
          <w:b/>
          <w:bCs/>
          <w:spacing w:val="-13"/>
          <w:sz w:val="25"/>
          <w:szCs w:val="25"/>
        </w:rPr>
        <w:t>一</w:t>
      </w:r>
      <w:r>
        <w:rPr>
          <w:spacing w:val="-67"/>
          <w:sz w:val="25"/>
          <w:szCs w:val="25"/>
        </w:rPr>
        <w:t xml:space="preserve"> </w:t>
      </w:r>
      <w:r>
        <w:rPr>
          <w:b/>
          <w:bCs/>
          <w:spacing w:val="-13"/>
          <w:sz w:val="25"/>
          <w:szCs w:val="25"/>
        </w:rPr>
        <w:t>、定义</w:t>
      </w:r>
    </w:p>
    <w:p w14:paraId="7B05448E">
      <w:pPr>
        <w:spacing w:before="288" w:line="342" w:lineRule="auto"/>
        <w:ind w:right="576" w:firstLine="429"/>
        <w:jc w:val="both"/>
        <w:rPr>
          <w:rFonts w:ascii="宋体" w:hAnsi="宋体" w:eastAsia="宋体" w:cs="宋体"/>
          <w:sz w:val="20"/>
          <w:szCs w:val="20"/>
        </w:rPr>
      </w:pPr>
      <w:r>
        <w:rPr>
          <w:rFonts w:ascii="宋体" w:hAnsi="宋体" w:eastAsia="宋体" w:cs="宋体"/>
          <w:spacing w:val="9"/>
          <w:sz w:val="20"/>
          <w:szCs w:val="20"/>
        </w:rPr>
        <w:t>医院感染既有广义的定义，也有狭义的定义。广义上，任何人员在医院活动期间遭受病原体侵</w:t>
      </w:r>
      <w:r>
        <w:rPr>
          <w:rFonts w:ascii="宋体" w:hAnsi="宋体" w:eastAsia="宋体" w:cs="宋体"/>
          <w:sz w:val="20"/>
          <w:szCs w:val="20"/>
        </w:rPr>
        <w:t xml:space="preserve"> </w:t>
      </w:r>
      <w:r>
        <w:rPr>
          <w:rFonts w:ascii="宋体" w:hAnsi="宋体" w:eastAsia="宋体" w:cs="宋体"/>
          <w:spacing w:val="-2"/>
          <w:sz w:val="20"/>
          <w:szCs w:val="20"/>
        </w:rPr>
        <w:t>袭而发生的感染，都属于医院感染(healthcare-associated infection,HAI)。但是，由于门诊就诊、病</w:t>
      </w:r>
      <w:r>
        <w:rPr>
          <w:rFonts w:ascii="宋体" w:hAnsi="宋体" w:eastAsia="宋体" w:cs="宋体"/>
          <w:spacing w:val="5"/>
          <w:sz w:val="20"/>
          <w:szCs w:val="20"/>
        </w:rPr>
        <w:t xml:space="preserve">  </w:t>
      </w:r>
      <w:r>
        <w:rPr>
          <w:rFonts w:ascii="宋体" w:hAnsi="宋体" w:eastAsia="宋体" w:cs="宋体"/>
          <w:spacing w:val="9"/>
          <w:sz w:val="20"/>
          <w:szCs w:val="20"/>
        </w:rPr>
        <w:t>人家属陪同探视等在医院内时间较为短暂，很难除外医院外感染，因此狭义的医院感染</w:t>
      </w:r>
      <w:r>
        <w:rPr>
          <w:rFonts w:ascii="宋体" w:hAnsi="宋体" w:eastAsia="宋体" w:cs="宋体"/>
          <w:spacing w:val="8"/>
          <w:sz w:val="20"/>
          <w:szCs w:val="20"/>
        </w:rPr>
        <w:t>仅指住院病</w:t>
      </w:r>
      <w:r>
        <w:rPr>
          <w:rFonts w:ascii="宋体" w:hAnsi="宋体" w:eastAsia="宋体" w:cs="宋体"/>
          <w:sz w:val="20"/>
          <w:szCs w:val="20"/>
        </w:rPr>
        <w:t xml:space="preserve">  </w:t>
      </w:r>
      <w:r>
        <w:rPr>
          <w:rFonts w:ascii="宋体" w:hAnsi="宋体" w:eastAsia="宋体" w:cs="宋体"/>
          <w:spacing w:val="11"/>
          <w:sz w:val="20"/>
          <w:szCs w:val="20"/>
        </w:rPr>
        <w:t>人在医院内获得的感染，包括其在住院期间发生的感染以及在医院内获得但出院后才发</w:t>
      </w:r>
      <w:r>
        <w:rPr>
          <w:rFonts w:ascii="宋体" w:hAnsi="宋体" w:eastAsia="宋体" w:cs="宋体"/>
          <w:spacing w:val="10"/>
          <w:sz w:val="20"/>
          <w:szCs w:val="20"/>
        </w:rPr>
        <w:t>生的感染。</w:t>
      </w:r>
      <w:r>
        <w:rPr>
          <w:rFonts w:ascii="宋体" w:hAnsi="宋体" w:eastAsia="宋体" w:cs="宋体"/>
          <w:sz w:val="20"/>
          <w:szCs w:val="20"/>
        </w:rPr>
        <w:t xml:space="preserve"> </w:t>
      </w:r>
      <w:r>
        <w:rPr>
          <w:rFonts w:ascii="宋体" w:hAnsi="宋体" w:eastAsia="宋体" w:cs="宋体"/>
          <w:spacing w:val="11"/>
          <w:sz w:val="20"/>
          <w:szCs w:val="20"/>
        </w:rPr>
        <w:t>医院感染不包括住院病人人院前已开始或人院时已处于潜伏期的感染。对于有明确潜伏</w:t>
      </w:r>
      <w:r>
        <w:rPr>
          <w:rFonts w:ascii="宋体" w:hAnsi="宋体" w:eastAsia="宋体" w:cs="宋体"/>
          <w:spacing w:val="10"/>
          <w:sz w:val="20"/>
          <w:szCs w:val="20"/>
        </w:rPr>
        <w:t>期的感染，</w:t>
      </w:r>
      <w:r>
        <w:rPr>
          <w:rFonts w:ascii="宋体" w:hAnsi="宋体" w:eastAsia="宋体" w:cs="宋体"/>
          <w:sz w:val="20"/>
          <w:szCs w:val="20"/>
        </w:rPr>
        <w:t xml:space="preserve"> </w:t>
      </w:r>
      <w:r>
        <w:rPr>
          <w:rFonts w:ascii="宋体" w:hAnsi="宋体" w:eastAsia="宋体" w:cs="宋体"/>
          <w:spacing w:val="14"/>
          <w:sz w:val="20"/>
          <w:szCs w:val="20"/>
        </w:rPr>
        <w:t>自入院起经过平均潜伏期后发生的感染为医院感染；而潜</w:t>
      </w:r>
      <w:r>
        <w:rPr>
          <w:rFonts w:ascii="宋体" w:hAnsi="宋体" w:eastAsia="宋体" w:cs="宋体"/>
          <w:spacing w:val="13"/>
          <w:sz w:val="20"/>
          <w:szCs w:val="20"/>
        </w:rPr>
        <w:t>伏期不详的感染，人院48小时后发生的</w:t>
      </w:r>
      <w:r>
        <w:rPr>
          <w:rFonts w:ascii="宋体" w:hAnsi="宋体" w:eastAsia="宋体" w:cs="宋体"/>
          <w:sz w:val="20"/>
          <w:szCs w:val="20"/>
        </w:rPr>
        <w:t xml:space="preserve">  </w:t>
      </w:r>
      <w:r>
        <w:rPr>
          <w:rFonts w:ascii="宋体" w:hAnsi="宋体" w:eastAsia="宋体" w:cs="宋体"/>
          <w:spacing w:val="11"/>
          <w:sz w:val="20"/>
          <w:szCs w:val="20"/>
        </w:rPr>
        <w:t>感染才认定为医院感染。医院工作人员在医院内获得的感染也属于医院感染。</w:t>
      </w:r>
    </w:p>
    <w:p w14:paraId="06028084">
      <w:pPr>
        <w:pStyle w:val="2"/>
        <w:spacing w:before="174" w:line="221" w:lineRule="auto"/>
        <w:ind w:left="433"/>
        <w:outlineLvl w:val="4"/>
        <w:rPr>
          <w:sz w:val="25"/>
          <w:szCs w:val="25"/>
        </w:rPr>
      </w:pPr>
      <w:bookmarkStart w:id="336" w:name="bookmark212"/>
      <w:bookmarkEnd w:id="336"/>
      <w:r>
        <w:rPr>
          <w:b/>
          <w:bCs/>
          <w:spacing w:val="3"/>
          <w:sz w:val="25"/>
          <w:szCs w:val="25"/>
        </w:rPr>
        <w:t>二、分类和特征</w:t>
      </w:r>
    </w:p>
    <w:p w14:paraId="74F6373D">
      <w:pPr>
        <w:pStyle w:val="2"/>
        <w:spacing w:before="224" w:line="221" w:lineRule="auto"/>
        <w:ind w:left="429"/>
        <w:rPr>
          <w:sz w:val="25"/>
          <w:szCs w:val="25"/>
        </w:rPr>
      </w:pPr>
      <w:r>
        <w:rPr>
          <w:spacing w:val="4"/>
          <w:sz w:val="25"/>
          <w:szCs w:val="25"/>
        </w:rPr>
        <w:t>(一)分类</w:t>
      </w:r>
    </w:p>
    <w:p w14:paraId="2846433A">
      <w:pPr>
        <w:spacing w:before="130" w:line="338" w:lineRule="auto"/>
        <w:ind w:right="644" w:firstLine="429"/>
        <w:jc w:val="both"/>
        <w:rPr>
          <w:rFonts w:ascii="宋体" w:hAnsi="宋体" w:eastAsia="宋体" w:cs="宋体"/>
          <w:sz w:val="20"/>
          <w:szCs w:val="20"/>
        </w:rPr>
      </w:pPr>
      <w:r>
        <w:rPr>
          <w:rFonts w:ascii="宋体" w:hAnsi="宋体" w:eastAsia="宋体" w:cs="宋体"/>
          <w:spacing w:val="9"/>
          <w:sz w:val="20"/>
          <w:szCs w:val="20"/>
        </w:rPr>
        <w:t>分类维度不同，医院感染的种类也就不同。医院感染既可以按照病原体来源、病原体种类，也</w:t>
      </w:r>
      <w:r>
        <w:rPr>
          <w:rFonts w:ascii="宋体" w:hAnsi="宋体" w:eastAsia="宋体" w:cs="宋体"/>
          <w:spacing w:val="2"/>
          <w:sz w:val="20"/>
          <w:szCs w:val="20"/>
        </w:rPr>
        <w:t xml:space="preserve"> </w:t>
      </w:r>
      <w:r>
        <w:rPr>
          <w:rFonts w:ascii="宋体" w:hAnsi="宋体" w:eastAsia="宋体" w:cs="宋体"/>
          <w:spacing w:val="14"/>
          <w:sz w:val="20"/>
          <w:szCs w:val="20"/>
        </w:rPr>
        <w:t>可以根据病人感染部位等多个维度进行分类。根据病原体来源，医院感染可以分为内源性</w:t>
      </w:r>
      <w:r>
        <w:rPr>
          <w:rFonts w:ascii="宋体" w:hAnsi="宋体" w:eastAsia="宋体" w:cs="宋体"/>
          <w:spacing w:val="13"/>
          <w:sz w:val="20"/>
          <w:szCs w:val="20"/>
        </w:rPr>
        <w:t>感染和</w:t>
      </w:r>
      <w:r>
        <w:rPr>
          <w:rFonts w:ascii="宋体" w:hAnsi="宋体" w:eastAsia="宋体" w:cs="宋体"/>
          <w:sz w:val="20"/>
          <w:szCs w:val="20"/>
        </w:rPr>
        <w:t xml:space="preserve"> </w:t>
      </w:r>
      <w:r>
        <w:rPr>
          <w:rFonts w:ascii="宋体" w:hAnsi="宋体" w:eastAsia="宋体" w:cs="宋体"/>
          <w:spacing w:val="9"/>
          <w:sz w:val="20"/>
          <w:szCs w:val="20"/>
        </w:rPr>
        <w:t>外源性感染两大类，以下主要对这两类医院感染</w:t>
      </w:r>
      <w:r>
        <w:rPr>
          <w:rFonts w:ascii="宋体" w:hAnsi="宋体" w:eastAsia="宋体" w:cs="宋体"/>
          <w:spacing w:val="8"/>
          <w:sz w:val="20"/>
          <w:szCs w:val="20"/>
        </w:rPr>
        <w:t>进行介绍。</w:t>
      </w:r>
    </w:p>
    <w:p w14:paraId="27094333">
      <w:pPr>
        <w:pStyle w:val="2"/>
        <w:spacing w:before="2" w:line="358" w:lineRule="auto"/>
        <w:ind w:right="667" w:firstLine="429"/>
        <w:rPr>
          <w:rFonts w:ascii="宋体" w:hAnsi="宋体" w:eastAsia="宋体" w:cs="宋体"/>
          <w:sz w:val="20"/>
          <w:szCs w:val="20"/>
        </w:rPr>
      </w:pPr>
      <w:r>
        <w:rPr>
          <w:rFonts w:ascii="Times New Roman" w:hAnsi="Times New Roman" w:eastAsia="Times New Roman" w:cs="Times New Roman"/>
          <w:spacing w:val="8"/>
          <w:sz w:val="20"/>
          <w:szCs w:val="20"/>
        </w:rPr>
        <w:t xml:space="preserve">1.   </w:t>
      </w:r>
      <w:r>
        <w:rPr>
          <w:spacing w:val="8"/>
          <w:sz w:val="20"/>
          <w:szCs w:val="20"/>
        </w:rPr>
        <w:t>内源性感染</w:t>
      </w:r>
      <w:r>
        <w:rPr>
          <w:spacing w:val="86"/>
          <w:sz w:val="20"/>
          <w:szCs w:val="20"/>
        </w:rPr>
        <w:t xml:space="preserve"> </w:t>
      </w:r>
      <w:r>
        <w:rPr>
          <w:rFonts w:ascii="宋体" w:hAnsi="宋体" w:eastAsia="宋体" w:cs="宋体"/>
          <w:spacing w:val="8"/>
          <w:sz w:val="20"/>
          <w:szCs w:val="20"/>
        </w:rPr>
        <w:t>内源性感染</w:t>
      </w:r>
      <w:r>
        <w:rPr>
          <w:rFonts w:ascii="Times New Roman" w:hAnsi="Times New Roman" w:eastAsia="Times New Roman" w:cs="Times New Roman"/>
          <w:spacing w:val="8"/>
          <w:sz w:val="20"/>
          <w:szCs w:val="20"/>
        </w:rPr>
        <w:t>(</w:t>
      </w:r>
      <w:r>
        <w:rPr>
          <w:rFonts w:ascii="Times New Roman" w:hAnsi="Times New Roman" w:eastAsia="Times New Roman" w:cs="Times New Roman"/>
          <w:sz w:val="20"/>
          <w:szCs w:val="20"/>
        </w:rPr>
        <w:t>endogenous</w:t>
      </w:r>
      <w:r>
        <w:rPr>
          <w:rFonts w:ascii="Times New Roman" w:hAnsi="Times New Roman" w:eastAsia="Times New Roman" w:cs="Times New Roman"/>
          <w:spacing w:val="8"/>
          <w:sz w:val="20"/>
          <w:szCs w:val="20"/>
        </w:rPr>
        <w:t xml:space="preserve">      </w:t>
      </w:r>
      <w:r>
        <w:rPr>
          <w:rFonts w:ascii="Times New Roman" w:hAnsi="Times New Roman" w:eastAsia="Times New Roman" w:cs="Times New Roman"/>
          <w:sz w:val="20"/>
          <w:szCs w:val="20"/>
        </w:rPr>
        <w:t>infection</w:t>
      </w:r>
      <w:r>
        <w:rPr>
          <w:rFonts w:ascii="Times New Roman" w:hAnsi="Times New Roman" w:eastAsia="Times New Roman" w:cs="Times New Roman"/>
          <w:spacing w:val="8"/>
          <w:sz w:val="20"/>
          <w:szCs w:val="20"/>
        </w:rPr>
        <w:t>)</w:t>
      </w:r>
      <w:r>
        <w:rPr>
          <w:rFonts w:ascii="宋体" w:hAnsi="宋体" w:eastAsia="宋体" w:cs="宋体"/>
          <w:spacing w:val="8"/>
          <w:sz w:val="20"/>
          <w:szCs w:val="20"/>
        </w:rPr>
        <w:t>也称自身感染</w:t>
      </w:r>
      <w:r>
        <w:rPr>
          <w:rFonts w:ascii="Times New Roman" w:hAnsi="Times New Roman" w:eastAsia="Times New Roman" w:cs="Times New Roman"/>
          <w:spacing w:val="8"/>
          <w:sz w:val="20"/>
          <w:szCs w:val="20"/>
        </w:rPr>
        <w:t>(</w:t>
      </w:r>
      <w:r>
        <w:rPr>
          <w:rFonts w:ascii="Times New Roman" w:hAnsi="Times New Roman" w:eastAsia="Times New Roman" w:cs="Times New Roman"/>
          <w:sz w:val="20"/>
          <w:szCs w:val="20"/>
        </w:rPr>
        <w:t>autogenous</w:t>
      </w:r>
      <w:r>
        <w:rPr>
          <w:rFonts w:ascii="Times New Roman" w:hAnsi="Times New Roman" w:eastAsia="Times New Roman" w:cs="Times New Roman"/>
          <w:spacing w:val="8"/>
          <w:sz w:val="20"/>
          <w:szCs w:val="20"/>
        </w:rPr>
        <w:t xml:space="preserve">       </w:t>
      </w:r>
      <w:r>
        <w:rPr>
          <w:rFonts w:ascii="Times New Roman" w:hAnsi="Times New Roman" w:eastAsia="Times New Roman" w:cs="Times New Roman"/>
          <w:sz w:val="20"/>
          <w:szCs w:val="20"/>
        </w:rPr>
        <w:t>infection</w:t>
      </w:r>
      <w:r>
        <w:rPr>
          <w:rFonts w:ascii="Times New Roman" w:hAnsi="Times New Roman" w:eastAsia="Times New Roman" w:cs="Times New Roman"/>
          <w:spacing w:val="8"/>
          <w:sz w:val="20"/>
          <w:szCs w:val="20"/>
        </w:rPr>
        <w:t>;</w:t>
      </w:r>
      <w:r>
        <w:rPr>
          <w:rFonts w:ascii="Times New Roman" w:hAnsi="Times New Roman" w:eastAsia="Times New Roman" w:cs="Times New Roman"/>
          <w:sz w:val="20"/>
          <w:szCs w:val="20"/>
        </w:rPr>
        <w:t>self</w:t>
      </w:r>
      <w:r>
        <w:rPr>
          <w:rFonts w:ascii="Times New Roman" w:hAnsi="Times New Roman" w:eastAsia="Times New Roman" w:cs="Times New Roman"/>
          <w:spacing w:val="8"/>
          <w:sz w:val="20"/>
          <w:szCs w:val="20"/>
        </w:rPr>
        <w:t>-</w:t>
      </w:r>
      <w:r>
        <w:rPr>
          <w:rFonts w:ascii="Times New Roman" w:hAnsi="Times New Roman" w:eastAsia="Times New Roman" w:cs="Times New Roman"/>
          <w:sz w:val="20"/>
          <w:szCs w:val="20"/>
        </w:rPr>
        <w:t xml:space="preserve"> </w:t>
      </w:r>
      <w:r>
        <w:rPr>
          <w:rFonts w:ascii="宋体" w:hAnsi="宋体" w:eastAsia="宋体" w:cs="宋体"/>
          <w:sz w:val="20"/>
          <w:szCs w:val="20"/>
        </w:rPr>
        <w:t>infection</w:t>
      </w:r>
      <w:r>
        <w:rPr>
          <w:rFonts w:ascii="宋体" w:hAnsi="宋体" w:eastAsia="宋体" w:cs="宋体"/>
          <w:spacing w:val="7"/>
          <w:sz w:val="20"/>
          <w:szCs w:val="20"/>
        </w:rPr>
        <w:t>),指的是由于种种原因，病人在医院内遭受其本身体内或体表固有病原体侵袭而发生</w:t>
      </w:r>
      <w:r>
        <w:rPr>
          <w:rFonts w:ascii="宋体" w:hAnsi="宋体" w:eastAsia="宋体" w:cs="宋体"/>
          <w:spacing w:val="6"/>
          <w:sz w:val="20"/>
          <w:szCs w:val="20"/>
        </w:rPr>
        <w:t>的感</w:t>
      </w:r>
    </w:p>
    <w:p w14:paraId="6734B99B">
      <w:pPr>
        <w:spacing w:line="358" w:lineRule="auto"/>
        <w:rPr>
          <w:rFonts w:ascii="宋体" w:hAnsi="宋体" w:eastAsia="宋体" w:cs="宋体"/>
          <w:sz w:val="20"/>
          <w:szCs w:val="20"/>
        </w:rPr>
        <w:sectPr>
          <w:footerReference r:id="rId220" w:type="default"/>
          <w:pgSz w:w="11900" w:h="16820"/>
          <w:pgMar w:top="400" w:right="833" w:bottom="859" w:left="1420" w:header="0" w:footer="679" w:gutter="0"/>
          <w:cols w:space="720" w:num="1"/>
        </w:sectPr>
      </w:pPr>
    </w:p>
    <w:p w14:paraId="6B71EB8D">
      <w:pPr>
        <w:pStyle w:val="2"/>
        <w:spacing w:before="86" w:line="222" w:lineRule="auto"/>
        <w:ind w:left="699"/>
        <w:rPr>
          <w:sz w:val="20"/>
          <w:szCs w:val="20"/>
        </w:rPr>
      </w:pPr>
      <w:r>
        <w:rPr>
          <w:spacing w:val="-15"/>
          <w:sz w:val="20"/>
          <w:szCs w:val="20"/>
        </w:rPr>
        <w:t>第十二章 医院感染</w:t>
      </w:r>
    </w:p>
    <w:p w14:paraId="07692EE9">
      <w:pPr>
        <w:spacing w:line="296" w:lineRule="auto"/>
        <w:rPr>
          <w:rFonts w:ascii="Arial"/>
          <w:sz w:val="21"/>
        </w:rPr>
      </w:pPr>
    </w:p>
    <w:p w14:paraId="2C065A55">
      <w:pPr>
        <w:spacing w:line="297" w:lineRule="auto"/>
        <w:rPr>
          <w:rFonts w:ascii="Arial"/>
          <w:sz w:val="21"/>
        </w:rPr>
      </w:pPr>
    </w:p>
    <w:p w14:paraId="50E32F0B">
      <w:pPr>
        <w:spacing w:before="65" w:line="328" w:lineRule="auto"/>
        <w:ind w:left="699" w:right="20"/>
        <w:jc w:val="both"/>
        <w:rPr>
          <w:rFonts w:ascii="宋体" w:hAnsi="宋体" w:eastAsia="宋体" w:cs="宋体"/>
          <w:sz w:val="20"/>
          <w:szCs w:val="20"/>
        </w:rPr>
      </w:pPr>
      <w:r>
        <w:rPr>
          <w:rFonts w:ascii="宋体" w:hAnsi="宋体" w:eastAsia="宋体" w:cs="宋体"/>
          <w:spacing w:val="10"/>
          <w:sz w:val="20"/>
          <w:szCs w:val="20"/>
        </w:rPr>
        <w:t>染。病原体大多为在人体定植、寄生的正常菌群</w:t>
      </w:r>
      <w:r>
        <w:rPr>
          <w:rFonts w:ascii="宋体" w:hAnsi="宋体" w:eastAsia="宋体" w:cs="宋体"/>
          <w:spacing w:val="9"/>
          <w:sz w:val="20"/>
          <w:szCs w:val="20"/>
        </w:rPr>
        <w:t>或机会致病菌，正常情况下对人体不具有致病性，</w:t>
      </w:r>
      <w:r>
        <w:rPr>
          <w:rFonts w:ascii="宋体" w:hAnsi="宋体" w:eastAsia="宋体" w:cs="宋体"/>
          <w:sz w:val="20"/>
          <w:szCs w:val="20"/>
        </w:rPr>
        <w:t xml:space="preserve"> </w:t>
      </w:r>
      <w:r>
        <w:rPr>
          <w:rFonts w:ascii="宋体" w:hAnsi="宋体" w:eastAsia="宋体" w:cs="宋体"/>
          <w:spacing w:val="8"/>
          <w:sz w:val="20"/>
          <w:szCs w:val="20"/>
        </w:rPr>
        <w:t>当其与人体之间的平衡在一定条件下被打破时，例如，当病原体寄居部位发生改变、</w:t>
      </w:r>
      <w:r>
        <w:rPr>
          <w:rFonts w:ascii="宋体" w:hAnsi="宋体" w:eastAsia="宋体" w:cs="宋体"/>
          <w:spacing w:val="7"/>
          <w:sz w:val="20"/>
          <w:szCs w:val="20"/>
        </w:rPr>
        <w:t>宿主的局部或</w:t>
      </w:r>
      <w:r>
        <w:rPr>
          <w:rFonts w:ascii="宋体" w:hAnsi="宋体" w:eastAsia="宋体" w:cs="宋体"/>
          <w:sz w:val="20"/>
          <w:szCs w:val="20"/>
        </w:rPr>
        <w:t xml:space="preserve"> </w:t>
      </w:r>
      <w:r>
        <w:rPr>
          <w:rFonts w:ascii="宋体" w:hAnsi="宋体" w:eastAsia="宋体" w:cs="宋体"/>
          <w:spacing w:val="14"/>
          <w:sz w:val="20"/>
          <w:szCs w:val="20"/>
        </w:rPr>
        <w:t>全身免疫功能下降，或者机体某个部位菌群失调(即正常菌群中各种细菌间</w:t>
      </w:r>
      <w:r>
        <w:rPr>
          <w:rFonts w:ascii="宋体" w:hAnsi="宋体" w:eastAsia="宋体" w:cs="宋体"/>
          <w:spacing w:val="13"/>
          <w:sz w:val="20"/>
          <w:szCs w:val="20"/>
        </w:rPr>
        <w:t>的比例发生较大变化)</w:t>
      </w:r>
      <w:r>
        <w:rPr>
          <w:rFonts w:ascii="宋体" w:hAnsi="宋体" w:eastAsia="宋体" w:cs="宋体"/>
          <w:sz w:val="20"/>
          <w:szCs w:val="20"/>
        </w:rPr>
        <w:t xml:space="preserve"> </w:t>
      </w:r>
      <w:r>
        <w:rPr>
          <w:rFonts w:ascii="宋体" w:hAnsi="宋体" w:eastAsia="宋体" w:cs="宋体"/>
          <w:spacing w:val="2"/>
          <w:sz w:val="20"/>
          <w:szCs w:val="20"/>
        </w:rPr>
        <w:t>时，便会造成各种内源性感染。</w:t>
      </w:r>
    </w:p>
    <w:p w14:paraId="0199FEBC">
      <w:pPr>
        <w:pStyle w:val="2"/>
        <w:spacing w:before="5" w:line="345" w:lineRule="auto"/>
        <w:ind w:left="699" w:right="71" w:firstLine="409"/>
        <w:jc w:val="both"/>
        <w:rPr>
          <w:rFonts w:ascii="宋体" w:hAnsi="宋体" w:eastAsia="宋体" w:cs="宋体"/>
          <w:sz w:val="20"/>
          <w:szCs w:val="20"/>
        </w:rPr>
      </w:pPr>
      <w:r>
        <w:rPr>
          <w:rFonts w:ascii="Arial" w:hAnsi="Arial" w:eastAsia="Arial" w:cs="Arial"/>
          <w:spacing w:val="5"/>
          <w:sz w:val="20"/>
          <w:szCs w:val="20"/>
        </w:rPr>
        <w:t xml:space="preserve">2.  </w:t>
      </w:r>
      <w:r>
        <w:rPr>
          <w:spacing w:val="5"/>
          <w:sz w:val="20"/>
          <w:szCs w:val="20"/>
        </w:rPr>
        <w:t>外</w:t>
      </w:r>
      <w:r>
        <w:rPr>
          <w:spacing w:val="-26"/>
          <w:sz w:val="20"/>
          <w:szCs w:val="20"/>
        </w:rPr>
        <w:t xml:space="preserve"> </w:t>
      </w:r>
      <w:r>
        <w:rPr>
          <w:spacing w:val="5"/>
          <w:sz w:val="20"/>
          <w:szCs w:val="20"/>
        </w:rPr>
        <w:t>源</w:t>
      </w:r>
      <w:r>
        <w:rPr>
          <w:spacing w:val="-31"/>
          <w:sz w:val="20"/>
          <w:szCs w:val="20"/>
        </w:rPr>
        <w:t xml:space="preserve"> </w:t>
      </w:r>
      <w:r>
        <w:rPr>
          <w:spacing w:val="5"/>
          <w:sz w:val="20"/>
          <w:szCs w:val="20"/>
        </w:rPr>
        <w:t>性</w:t>
      </w:r>
      <w:r>
        <w:rPr>
          <w:spacing w:val="-30"/>
          <w:sz w:val="20"/>
          <w:szCs w:val="20"/>
        </w:rPr>
        <w:t xml:space="preserve"> </w:t>
      </w:r>
      <w:r>
        <w:rPr>
          <w:spacing w:val="5"/>
          <w:sz w:val="20"/>
          <w:szCs w:val="20"/>
        </w:rPr>
        <w:t>感</w:t>
      </w:r>
      <w:r>
        <w:rPr>
          <w:spacing w:val="-32"/>
          <w:sz w:val="20"/>
          <w:szCs w:val="20"/>
        </w:rPr>
        <w:t xml:space="preserve"> </w:t>
      </w:r>
      <w:r>
        <w:rPr>
          <w:spacing w:val="5"/>
          <w:sz w:val="20"/>
          <w:szCs w:val="20"/>
        </w:rPr>
        <w:t>染</w:t>
      </w:r>
      <w:r>
        <w:rPr>
          <w:spacing w:val="-33"/>
          <w:sz w:val="20"/>
          <w:szCs w:val="20"/>
        </w:rPr>
        <w:t xml:space="preserve"> </w:t>
      </w:r>
      <w:r>
        <w:rPr>
          <w:spacing w:val="5"/>
          <w:sz w:val="20"/>
          <w:szCs w:val="20"/>
        </w:rPr>
        <w:t>外</w:t>
      </w:r>
      <w:r>
        <w:rPr>
          <w:rFonts w:ascii="宋体" w:hAnsi="宋体" w:eastAsia="宋体" w:cs="宋体"/>
          <w:spacing w:val="5"/>
          <w:sz w:val="20"/>
          <w:szCs w:val="20"/>
        </w:rPr>
        <w:t>源性感染</w:t>
      </w:r>
      <w:r>
        <w:rPr>
          <w:rFonts w:ascii="Arial" w:hAnsi="Arial" w:eastAsia="Arial" w:cs="Arial"/>
          <w:spacing w:val="5"/>
          <w:sz w:val="20"/>
          <w:szCs w:val="20"/>
        </w:rPr>
        <w:t>(</w:t>
      </w:r>
      <w:r>
        <w:rPr>
          <w:rFonts w:ascii="Arial" w:hAnsi="Arial" w:eastAsia="Arial" w:cs="Arial"/>
          <w:sz w:val="20"/>
          <w:szCs w:val="20"/>
        </w:rPr>
        <w:t>exogenous</w:t>
      </w:r>
      <w:r>
        <w:rPr>
          <w:rFonts w:ascii="Arial" w:hAnsi="Arial" w:eastAsia="Arial" w:cs="Arial"/>
          <w:spacing w:val="5"/>
          <w:sz w:val="20"/>
          <w:szCs w:val="20"/>
        </w:rPr>
        <w:t xml:space="preserve"> </w:t>
      </w:r>
      <w:r>
        <w:rPr>
          <w:rFonts w:ascii="Arial" w:hAnsi="Arial" w:eastAsia="Arial" w:cs="Arial"/>
          <w:sz w:val="20"/>
          <w:szCs w:val="20"/>
        </w:rPr>
        <w:t>infection</w:t>
      </w:r>
      <w:r>
        <w:rPr>
          <w:rFonts w:ascii="Arial" w:hAnsi="Arial" w:eastAsia="Arial" w:cs="Arial"/>
          <w:spacing w:val="5"/>
          <w:sz w:val="20"/>
          <w:szCs w:val="20"/>
        </w:rPr>
        <w:t>)</w:t>
      </w:r>
      <w:r>
        <w:rPr>
          <w:rFonts w:ascii="宋体" w:hAnsi="宋体" w:eastAsia="宋体" w:cs="宋体"/>
          <w:spacing w:val="5"/>
          <w:sz w:val="20"/>
          <w:szCs w:val="20"/>
        </w:rPr>
        <w:t>也称交叉感染</w:t>
      </w:r>
      <w:r>
        <w:rPr>
          <w:rFonts w:ascii="Arial" w:hAnsi="Arial" w:eastAsia="Arial" w:cs="Arial"/>
          <w:spacing w:val="5"/>
          <w:sz w:val="20"/>
          <w:szCs w:val="20"/>
        </w:rPr>
        <w:t>(</w:t>
      </w:r>
      <w:r>
        <w:rPr>
          <w:rFonts w:ascii="Arial" w:hAnsi="Arial" w:eastAsia="Arial" w:cs="Arial"/>
          <w:sz w:val="20"/>
          <w:szCs w:val="20"/>
        </w:rPr>
        <w:t>cross</w:t>
      </w:r>
      <w:r>
        <w:rPr>
          <w:rFonts w:ascii="Arial" w:hAnsi="Arial" w:eastAsia="Arial" w:cs="Arial"/>
          <w:spacing w:val="5"/>
          <w:sz w:val="20"/>
          <w:szCs w:val="20"/>
        </w:rPr>
        <w:t xml:space="preserve">    </w:t>
      </w:r>
      <w:r>
        <w:rPr>
          <w:rFonts w:ascii="Arial" w:hAnsi="Arial" w:eastAsia="Arial" w:cs="Arial"/>
          <w:sz w:val="20"/>
          <w:szCs w:val="20"/>
        </w:rPr>
        <w:t>infection</w:t>
      </w:r>
      <w:r>
        <w:rPr>
          <w:rFonts w:ascii="Arial" w:hAnsi="Arial" w:eastAsia="Arial" w:cs="Arial"/>
          <w:spacing w:val="5"/>
          <w:sz w:val="20"/>
          <w:szCs w:val="20"/>
        </w:rPr>
        <w:t>),</w:t>
      </w:r>
      <w:r>
        <w:rPr>
          <w:rFonts w:ascii="宋体" w:hAnsi="宋体" w:eastAsia="宋体" w:cs="宋体"/>
          <w:spacing w:val="5"/>
          <w:sz w:val="20"/>
          <w:szCs w:val="20"/>
        </w:rPr>
        <w:t>指的是病人</w:t>
      </w:r>
      <w:r>
        <w:rPr>
          <w:rFonts w:ascii="宋体" w:hAnsi="宋体" w:eastAsia="宋体" w:cs="宋体"/>
          <w:sz w:val="20"/>
          <w:szCs w:val="20"/>
        </w:rPr>
        <w:t xml:space="preserve"> </w:t>
      </w:r>
      <w:r>
        <w:rPr>
          <w:rFonts w:ascii="宋体" w:hAnsi="宋体" w:eastAsia="宋体" w:cs="宋体"/>
          <w:spacing w:val="13"/>
          <w:sz w:val="20"/>
          <w:szCs w:val="20"/>
        </w:rPr>
        <w:t>遭受医院内非存在于自身的病原体的侵袭而发生的感染。根据感染途径不同，外源性感染可通过</w:t>
      </w:r>
      <w:r>
        <w:rPr>
          <w:rFonts w:ascii="宋体" w:hAnsi="宋体" w:eastAsia="宋体" w:cs="宋体"/>
          <w:spacing w:val="10"/>
          <w:sz w:val="20"/>
          <w:szCs w:val="20"/>
        </w:rPr>
        <w:t xml:space="preserve"> </w:t>
      </w:r>
      <w:r>
        <w:rPr>
          <w:rFonts w:ascii="宋体" w:hAnsi="宋体" w:eastAsia="宋体" w:cs="宋体"/>
          <w:spacing w:val="8"/>
          <w:sz w:val="20"/>
          <w:szCs w:val="20"/>
        </w:rPr>
        <w:t>病人与病人、病人与医院职工、病人与探视人员等之间直接接触感染，或通过物品与人体的间接接</w:t>
      </w:r>
      <w:r>
        <w:rPr>
          <w:rFonts w:ascii="宋体" w:hAnsi="宋体" w:eastAsia="宋体" w:cs="宋体"/>
          <w:spacing w:val="12"/>
          <w:sz w:val="20"/>
          <w:szCs w:val="20"/>
        </w:rPr>
        <w:t xml:space="preserve"> </w:t>
      </w:r>
      <w:r>
        <w:rPr>
          <w:rFonts w:ascii="宋体" w:hAnsi="宋体" w:eastAsia="宋体" w:cs="宋体"/>
          <w:spacing w:val="8"/>
          <w:sz w:val="20"/>
          <w:szCs w:val="20"/>
        </w:rPr>
        <w:t>触感染，以及由共有空间空气传播造成感染等。医源性感染</w:t>
      </w:r>
      <w:r>
        <w:rPr>
          <w:rFonts w:ascii="Times New Roman" w:hAnsi="Times New Roman" w:eastAsia="Times New Roman" w:cs="Times New Roman"/>
          <w:spacing w:val="8"/>
          <w:sz w:val="20"/>
          <w:szCs w:val="20"/>
        </w:rPr>
        <w:t>(</w:t>
      </w:r>
      <w:r>
        <w:rPr>
          <w:rFonts w:ascii="Times New Roman" w:hAnsi="Times New Roman" w:eastAsia="Times New Roman" w:cs="Times New Roman"/>
          <w:sz w:val="20"/>
          <w:szCs w:val="20"/>
        </w:rPr>
        <w:t>iatrogenic</w:t>
      </w:r>
      <w:r>
        <w:rPr>
          <w:rFonts w:ascii="Times New Roman" w:hAnsi="Times New Roman" w:eastAsia="Times New Roman" w:cs="Times New Roman"/>
          <w:spacing w:val="8"/>
          <w:sz w:val="20"/>
          <w:szCs w:val="20"/>
        </w:rPr>
        <w:t xml:space="preserve"> </w:t>
      </w:r>
      <w:r>
        <w:rPr>
          <w:rFonts w:ascii="Times New Roman" w:hAnsi="Times New Roman" w:eastAsia="Times New Roman" w:cs="Times New Roman"/>
          <w:spacing w:val="7"/>
          <w:sz w:val="20"/>
          <w:szCs w:val="20"/>
        </w:rPr>
        <w:t xml:space="preserve">   </w:t>
      </w:r>
      <w:r>
        <w:rPr>
          <w:rFonts w:ascii="Times New Roman" w:hAnsi="Times New Roman" w:eastAsia="Times New Roman" w:cs="Times New Roman"/>
          <w:sz w:val="20"/>
          <w:szCs w:val="20"/>
        </w:rPr>
        <w:t>infection</w:t>
      </w:r>
      <w:r>
        <w:rPr>
          <w:rFonts w:ascii="Times New Roman" w:hAnsi="Times New Roman" w:eastAsia="Times New Roman" w:cs="Times New Roman"/>
          <w:spacing w:val="7"/>
          <w:sz w:val="20"/>
          <w:szCs w:val="20"/>
        </w:rPr>
        <w:t>)</w:t>
      </w:r>
      <w:r>
        <w:rPr>
          <w:rFonts w:ascii="宋体" w:hAnsi="宋体" w:eastAsia="宋体" w:cs="宋体"/>
          <w:spacing w:val="7"/>
          <w:sz w:val="20"/>
          <w:szCs w:val="20"/>
        </w:rPr>
        <w:t>指在医学服务中由</w:t>
      </w:r>
      <w:r>
        <w:rPr>
          <w:rFonts w:ascii="宋体" w:hAnsi="宋体" w:eastAsia="宋体" w:cs="宋体"/>
          <w:sz w:val="20"/>
          <w:szCs w:val="20"/>
        </w:rPr>
        <w:t xml:space="preserve"> </w:t>
      </w:r>
      <w:r>
        <w:rPr>
          <w:rFonts w:ascii="宋体" w:hAnsi="宋体" w:eastAsia="宋体" w:cs="宋体"/>
          <w:spacing w:val="9"/>
          <w:sz w:val="20"/>
          <w:szCs w:val="20"/>
        </w:rPr>
        <w:t>病原体传播引起的感染。</w:t>
      </w:r>
    </w:p>
    <w:p w14:paraId="450D5FEE">
      <w:pPr>
        <w:pStyle w:val="2"/>
        <w:spacing w:before="1" w:line="220" w:lineRule="auto"/>
        <w:ind w:left="1113"/>
        <w:rPr>
          <w:sz w:val="25"/>
          <w:szCs w:val="25"/>
        </w:rPr>
      </w:pPr>
      <w:r>
        <w:rPr>
          <w:b/>
          <w:bCs/>
          <w:spacing w:val="-2"/>
          <w:sz w:val="25"/>
          <w:szCs w:val="25"/>
        </w:rPr>
        <w:t>(二)特征</w:t>
      </w:r>
    </w:p>
    <w:p w14:paraId="23ED955A">
      <w:pPr>
        <w:spacing w:before="102" w:line="348" w:lineRule="auto"/>
        <w:ind w:left="699" w:right="72" w:firstLine="409"/>
        <w:jc w:val="both"/>
        <w:rPr>
          <w:rFonts w:ascii="宋体" w:hAnsi="宋体" w:eastAsia="宋体" w:cs="宋体"/>
          <w:sz w:val="20"/>
          <w:szCs w:val="20"/>
        </w:rPr>
      </w:pPr>
      <w:r>
        <w:rPr>
          <w:rFonts w:ascii="宋体" w:hAnsi="宋体" w:eastAsia="宋体" w:cs="宋体"/>
          <w:spacing w:val="13"/>
          <w:sz w:val="20"/>
          <w:szCs w:val="20"/>
        </w:rPr>
        <w:t>与传染病的流行类似，医院感染也要经历传染过程和流行过程。但是医院感染的流行病学特</w:t>
      </w:r>
      <w:r>
        <w:rPr>
          <w:rFonts w:ascii="宋体" w:hAnsi="宋体" w:eastAsia="宋体" w:cs="宋体"/>
          <w:spacing w:val="6"/>
          <w:sz w:val="20"/>
          <w:szCs w:val="20"/>
        </w:rPr>
        <w:t xml:space="preserve"> </w:t>
      </w:r>
      <w:r>
        <w:rPr>
          <w:rFonts w:ascii="宋体" w:hAnsi="宋体" w:eastAsia="宋体" w:cs="宋体"/>
          <w:spacing w:val="8"/>
          <w:sz w:val="20"/>
          <w:szCs w:val="20"/>
        </w:rPr>
        <w:t>征与一般传染病不同，在医院感染场景下，传染过程一般称为感染过程，其与流行过程的特点概述</w:t>
      </w:r>
      <w:r>
        <w:rPr>
          <w:rFonts w:ascii="宋体" w:hAnsi="宋体" w:eastAsia="宋体" w:cs="宋体"/>
          <w:spacing w:val="12"/>
          <w:sz w:val="20"/>
          <w:szCs w:val="20"/>
        </w:rPr>
        <w:t xml:space="preserve"> </w:t>
      </w:r>
      <w:r>
        <w:rPr>
          <w:rFonts w:ascii="宋体" w:hAnsi="宋体" w:eastAsia="宋体" w:cs="宋体"/>
          <w:spacing w:val="6"/>
          <w:sz w:val="20"/>
          <w:szCs w:val="20"/>
        </w:rPr>
        <w:t>如下。</w:t>
      </w:r>
    </w:p>
    <w:p w14:paraId="783CE772">
      <w:pPr>
        <w:pStyle w:val="2"/>
        <w:spacing w:line="221" w:lineRule="auto"/>
        <w:ind w:left="1109"/>
        <w:rPr>
          <w:sz w:val="20"/>
          <w:szCs w:val="20"/>
        </w:rPr>
      </w:pPr>
      <w:r>
        <w:rPr>
          <w:rFonts w:ascii="宋体" w:hAnsi="宋体" w:eastAsia="宋体" w:cs="宋体"/>
          <w:spacing w:val="7"/>
          <w:sz w:val="20"/>
          <w:szCs w:val="20"/>
        </w:rPr>
        <w:t>1.</w:t>
      </w:r>
      <w:r>
        <w:rPr>
          <w:rFonts w:ascii="宋体" w:hAnsi="宋体" w:eastAsia="宋体" w:cs="宋体"/>
          <w:spacing w:val="-6"/>
          <w:sz w:val="20"/>
          <w:szCs w:val="20"/>
        </w:rPr>
        <w:t xml:space="preserve"> </w:t>
      </w:r>
      <w:r>
        <w:rPr>
          <w:spacing w:val="7"/>
          <w:sz w:val="20"/>
          <w:szCs w:val="20"/>
        </w:rPr>
        <w:t>感染过程</w:t>
      </w:r>
    </w:p>
    <w:p w14:paraId="025B6BB3">
      <w:pPr>
        <w:spacing w:before="142" w:line="324" w:lineRule="auto"/>
        <w:ind w:left="699" w:firstLine="409"/>
        <w:rPr>
          <w:rFonts w:ascii="宋体" w:hAnsi="宋体" w:eastAsia="宋体" w:cs="宋体"/>
          <w:sz w:val="20"/>
          <w:szCs w:val="20"/>
        </w:rPr>
      </w:pPr>
      <w:r>
        <w:rPr>
          <w:rFonts w:ascii="宋体" w:hAnsi="宋体" w:eastAsia="宋体" w:cs="宋体"/>
          <w:spacing w:val="6"/>
          <w:sz w:val="20"/>
          <w:szCs w:val="20"/>
        </w:rPr>
        <w:t>(1)病原体：医院是各种疾病病人聚集的场所，因此医院感染的病原体种类繁多，包括细菌、真</w:t>
      </w:r>
      <w:r>
        <w:rPr>
          <w:rFonts w:ascii="宋体" w:hAnsi="宋体" w:eastAsia="宋体" w:cs="宋体"/>
          <w:spacing w:val="9"/>
          <w:sz w:val="20"/>
          <w:szCs w:val="20"/>
        </w:rPr>
        <w:t xml:space="preserve"> </w:t>
      </w:r>
      <w:r>
        <w:rPr>
          <w:rFonts w:ascii="宋体" w:hAnsi="宋体" w:eastAsia="宋体" w:cs="宋体"/>
          <w:sz w:val="20"/>
          <w:szCs w:val="20"/>
        </w:rPr>
        <w:t>菌、病毒、支原体、衣原体、立克次体、放线菌、螺旋体、寄生虫、藻类</w:t>
      </w:r>
      <w:r>
        <w:rPr>
          <w:rFonts w:ascii="宋体" w:hAnsi="宋体" w:eastAsia="宋体" w:cs="宋体"/>
          <w:spacing w:val="-1"/>
          <w:sz w:val="20"/>
          <w:szCs w:val="20"/>
        </w:rPr>
        <w:t>等。与传染病不同的是，一般</w:t>
      </w:r>
      <w:r>
        <w:rPr>
          <w:rFonts w:ascii="宋体" w:hAnsi="宋体" w:eastAsia="宋体" w:cs="宋体"/>
          <w:sz w:val="20"/>
          <w:szCs w:val="20"/>
        </w:rPr>
        <w:t xml:space="preserve"> </w:t>
      </w:r>
      <w:r>
        <w:rPr>
          <w:rFonts w:ascii="宋体" w:hAnsi="宋体" w:eastAsia="宋体" w:cs="宋体"/>
          <w:spacing w:val="10"/>
          <w:sz w:val="20"/>
          <w:szCs w:val="20"/>
        </w:rPr>
        <w:t>医院感染的病原体毒力弱，常常为机会致病菌。医院感染病原体来源广泛，其构成也在不断变化。</w:t>
      </w:r>
      <w:r>
        <w:rPr>
          <w:rFonts w:ascii="宋体" w:hAnsi="宋体" w:eastAsia="宋体" w:cs="宋体"/>
          <w:sz w:val="20"/>
          <w:szCs w:val="20"/>
        </w:rPr>
        <w:t xml:space="preserve"> </w:t>
      </w:r>
      <w:r>
        <w:rPr>
          <w:rFonts w:ascii="宋体" w:hAnsi="宋体" w:eastAsia="宋体" w:cs="宋体"/>
          <w:spacing w:val="13"/>
          <w:sz w:val="20"/>
          <w:szCs w:val="20"/>
        </w:rPr>
        <w:t>根据2022年全国医院感染横断面调查报告，引起医院感染的病</w:t>
      </w:r>
      <w:r>
        <w:rPr>
          <w:rFonts w:ascii="宋体" w:hAnsi="宋体" w:eastAsia="宋体" w:cs="宋体"/>
          <w:spacing w:val="12"/>
          <w:sz w:val="20"/>
          <w:szCs w:val="20"/>
        </w:rPr>
        <w:t>原体以细菌和真菌为主，检出株数</w:t>
      </w:r>
      <w:r>
        <w:rPr>
          <w:rFonts w:ascii="宋体" w:hAnsi="宋体" w:eastAsia="宋体" w:cs="宋体"/>
          <w:sz w:val="20"/>
          <w:szCs w:val="20"/>
        </w:rPr>
        <w:t xml:space="preserve"> </w:t>
      </w:r>
      <w:r>
        <w:rPr>
          <w:rFonts w:ascii="宋体" w:hAnsi="宋体" w:eastAsia="宋体" w:cs="宋体"/>
          <w:spacing w:val="4"/>
          <w:sz w:val="20"/>
          <w:szCs w:val="20"/>
        </w:rPr>
        <w:t>居前五位的依次为肺炎克雷伯菌、大肠埃希菌、铜绿假单胞菌、鲍</w:t>
      </w:r>
      <w:r>
        <w:rPr>
          <w:rFonts w:ascii="宋体" w:hAnsi="宋体" w:eastAsia="宋体" w:cs="宋体"/>
          <w:spacing w:val="3"/>
          <w:sz w:val="20"/>
          <w:szCs w:val="20"/>
        </w:rPr>
        <w:t>曼不动杆菌、金黄色葡萄球菌。医</w:t>
      </w:r>
      <w:r>
        <w:rPr>
          <w:rFonts w:ascii="宋体" w:hAnsi="宋体" w:eastAsia="宋体" w:cs="宋体"/>
          <w:sz w:val="20"/>
          <w:szCs w:val="20"/>
        </w:rPr>
        <w:t xml:space="preserve"> </w:t>
      </w:r>
      <w:r>
        <w:rPr>
          <w:rFonts w:ascii="宋体" w:hAnsi="宋体" w:eastAsia="宋体" w:cs="宋体"/>
          <w:spacing w:val="8"/>
          <w:sz w:val="20"/>
          <w:szCs w:val="20"/>
        </w:rPr>
        <w:t>院感染的病原菌大多数具有不同程度的耐药性，而且耐药的程度还在不断增加，多重耐药的形势也</w:t>
      </w:r>
      <w:r>
        <w:rPr>
          <w:rFonts w:ascii="宋体" w:hAnsi="宋体" w:eastAsia="宋体" w:cs="宋体"/>
          <w:spacing w:val="17"/>
          <w:sz w:val="20"/>
          <w:szCs w:val="20"/>
        </w:rPr>
        <w:t xml:space="preserve"> </w:t>
      </w:r>
      <w:r>
        <w:rPr>
          <w:rFonts w:ascii="宋体" w:hAnsi="宋体" w:eastAsia="宋体" w:cs="宋体"/>
          <w:spacing w:val="9"/>
          <w:sz w:val="20"/>
          <w:szCs w:val="20"/>
        </w:rPr>
        <w:t>日趋严峻，例如鲍曼不动杆菌对头孢哌酮和舒</w:t>
      </w:r>
      <w:r>
        <w:rPr>
          <w:rFonts w:ascii="宋体" w:hAnsi="宋体" w:eastAsia="宋体" w:cs="宋体"/>
          <w:spacing w:val="8"/>
          <w:sz w:val="20"/>
          <w:szCs w:val="20"/>
        </w:rPr>
        <w:t>巴坦的耐药率达55.78%。</w:t>
      </w:r>
    </w:p>
    <w:p w14:paraId="09CC2367">
      <w:pPr>
        <w:spacing w:before="164" w:line="317" w:lineRule="auto"/>
        <w:ind w:left="699" w:right="63" w:firstLine="409"/>
        <w:rPr>
          <w:rFonts w:ascii="宋体" w:hAnsi="宋体" w:eastAsia="宋体" w:cs="宋体"/>
          <w:sz w:val="20"/>
          <w:szCs w:val="20"/>
        </w:rPr>
      </w:pPr>
      <w:r>
        <w:rPr>
          <w:rFonts w:ascii="宋体" w:hAnsi="宋体" w:eastAsia="宋体" w:cs="宋体"/>
          <w:spacing w:val="7"/>
          <w:sz w:val="20"/>
          <w:szCs w:val="20"/>
        </w:rPr>
        <w:t>(2)个体易感性：病原体传播到人体后是否引起感染，</w:t>
      </w:r>
      <w:r>
        <w:rPr>
          <w:rFonts w:ascii="宋体" w:hAnsi="宋体" w:eastAsia="宋体" w:cs="宋体"/>
          <w:spacing w:val="68"/>
          <w:sz w:val="20"/>
          <w:szCs w:val="20"/>
        </w:rPr>
        <w:t xml:space="preserve"> </w:t>
      </w:r>
      <w:r>
        <w:rPr>
          <w:rFonts w:ascii="宋体" w:hAnsi="宋体" w:eastAsia="宋体" w:cs="宋体"/>
          <w:spacing w:val="7"/>
          <w:sz w:val="20"/>
          <w:szCs w:val="20"/>
        </w:rPr>
        <w:t>一方面</w:t>
      </w:r>
      <w:r>
        <w:rPr>
          <w:rFonts w:ascii="宋体" w:hAnsi="宋体" w:eastAsia="宋体" w:cs="宋体"/>
          <w:spacing w:val="6"/>
          <w:sz w:val="20"/>
          <w:szCs w:val="20"/>
        </w:rPr>
        <w:t>取决于病原体的毒力，另一方面</w:t>
      </w:r>
      <w:r>
        <w:rPr>
          <w:rFonts w:ascii="宋体" w:hAnsi="宋体" w:eastAsia="宋体" w:cs="宋体"/>
          <w:sz w:val="20"/>
          <w:szCs w:val="20"/>
        </w:rPr>
        <w:t xml:space="preserve"> </w:t>
      </w:r>
      <w:r>
        <w:rPr>
          <w:rFonts w:ascii="宋体" w:hAnsi="宋体" w:eastAsia="宋体" w:cs="宋体"/>
          <w:spacing w:val="9"/>
          <w:sz w:val="20"/>
          <w:szCs w:val="20"/>
        </w:rPr>
        <w:t>也取决于个体的易感性。当机体具有足够的免疫</w:t>
      </w:r>
      <w:r>
        <w:rPr>
          <w:rFonts w:ascii="宋体" w:hAnsi="宋体" w:eastAsia="宋体" w:cs="宋体"/>
          <w:spacing w:val="8"/>
          <w:sz w:val="20"/>
          <w:szCs w:val="20"/>
        </w:rPr>
        <w:t>力时，病原体难以侵入、生存、繁殖并引起感染和</w:t>
      </w:r>
      <w:r>
        <w:rPr>
          <w:rFonts w:ascii="宋体" w:hAnsi="宋体" w:eastAsia="宋体" w:cs="宋体"/>
          <w:sz w:val="20"/>
          <w:szCs w:val="20"/>
        </w:rPr>
        <w:t xml:space="preserve"> </w:t>
      </w:r>
      <w:r>
        <w:rPr>
          <w:rFonts w:ascii="宋体" w:hAnsi="宋体" w:eastAsia="宋体" w:cs="宋体"/>
          <w:spacing w:val="9"/>
          <w:sz w:val="20"/>
          <w:szCs w:val="20"/>
        </w:rPr>
        <w:t>疾病。但住院病人往往免疫功能受损，例如</w:t>
      </w:r>
      <w:r>
        <w:rPr>
          <w:rFonts w:ascii="宋体" w:hAnsi="宋体" w:eastAsia="宋体" w:cs="宋体"/>
          <w:spacing w:val="8"/>
          <w:sz w:val="20"/>
          <w:szCs w:val="20"/>
        </w:rPr>
        <w:t>各种造血系统疾病、恶性肿瘤、糖尿病、慢性肾病等病</w:t>
      </w:r>
      <w:r>
        <w:rPr>
          <w:rFonts w:ascii="宋体" w:hAnsi="宋体" w:eastAsia="宋体" w:cs="宋体"/>
          <w:sz w:val="20"/>
          <w:szCs w:val="20"/>
        </w:rPr>
        <w:t xml:space="preserve"> </w:t>
      </w:r>
      <w:r>
        <w:rPr>
          <w:rFonts w:ascii="宋体" w:hAnsi="宋体" w:eastAsia="宋体" w:cs="宋体"/>
          <w:spacing w:val="8"/>
          <w:sz w:val="20"/>
          <w:szCs w:val="20"/>
        </w:rPr>
        <w:t>人，以及接受各种免疫抑制剂如某些抗肿瘤药、糖皮质激素等治疗的病人，其免疫功能处于受损状</w:t>
      </w:r>
      <w:r>
        <w:rPr>
          <w:rFonts w:ascii="宋体" w:hAnsi="宋体" w:eastAsia="宋体" w:cs="宋体"/>
          <w:spacing w:val="13"/>
          <w:sz w:val="20"/>
          <w:szCs w:val="20"/>
        </w:rPr>
        <w:t xml:space="preserve"> </w:t>
      </w:r>
      <w:r>
        <w:rPr>
          <w:rFonts w:ascii="宋体" w:hAnsi="宋体" w:eastAsia="宋体" w:cs="宋体"/>
          <w:spacing w:val="4"/>
          <w:sz w:val="20"/>
          <w:szCs w:val="20"/>
        </w:rPr>
        <w:t>态，为发生医院感染埋下隐患。</w:t>
      </w:r>
    </w:p>
    <w:p w14:paraId="1A80631F">
      <w:pPr>
        <w:spacing w:before="141" w:line="311" w:lineRule="auto"/>
        <w:ind w:left="699" w:firstLine="409"/>
        <w:rPr>
          <w:rFonts w:ascii="宋体" w:hAnsi="宋体" w:eastAsia="宋体" w:cs="宋体"/>
          <w:sz w:val="20"/>
          <w:szCs w:val="20"/>
        </w:rPr>
      </w:pPr>
      <w:r>
        <w:rPr>
          <w:rFonts w:ascii="宋体" w:hAnsi="宋体" w:eastAsia="宋体" w:cs="宋体"/>
          <w:spacing w:val="11"/>
          <w:sz w:val="20"/>
          <w:szCs w:val="20"/>
        </w:rPr>
        <w:t>(3)感染结局：易感个体暴露于病原体，经过感染过程，可表现为不同的结局。易感者的抵抗</w:t>
      </w:r>
      <w:r>
        <w:rPr>
          <w:rFonts w:ascii="宋体" w:hAnsi="宋体" w:eastAsia="宋体" w:cs="宋体"/>
          <w:spacing w:val="4"/>
          <w:sz w:val="20"/>
          <w:szCs w:val="20"/>
        </w:rPr>
        <w:t xml:space="preserve"> </w:t>
      </w:r>
      <w:r>
        <w:rPr>
          <w:rFonts w:ascii="宋体" w:hAnsi="宋体" w:eastAsia="宋体" w:cs="宋体"/>
          <w:spacing w:val="15"/>
          <w:sz w:val="20"/>
          <w:szCs w:val="20"/>
        </w:rPr>
        <w:t>力和免疫力可以影响医院感染后的严重程度。医院感染病人在原发病的基础上又发生新的感</w:t>
      </w:r>
      <w:r>
        <w:rPr>
          <w:rFonts w:ascii="宋体" w:hAnsi="宋体" w:eastAsia="宋体" w:cs="宋体"/>
          <w:spacing w:val="14"/>
          <w:sz w:val="20"/>
          <w:szCs w:val="20"/>
        </w:rPr>
        <w:t>染，</w:t>
      </w:r>
      <w:r>
        <w:rPr>
          <w:rFonts w:ascii="宋体" w:hAnsi="宋体" w:eastAsia="宋体" w:cs="宋体"/>
          <w:sz w:val="20"/>
          <w:szCs w:val="20"/>
        </w:rPr>
        <w:t xml:space="preserve"> </w:t>
      </w:r>
      <w:r>
        <w:rPr>
          <w:rFonts w:ascii="宋体" w:hAnsi="宋体" w:eastAsia="宋体" w:cs="宋体"/>
          <w:spacing w:val="9"/>
          <w:sz w:val="20"/>
          <w:szCs w:val="20"/>
        </w:rPr>
        <w:t>临床症状往往比较复杂，免疫力低下的病人发生再感染后其反应</w:t>
      </w:r>
      <w:r>
        <w:rPr>
          <w:rFonts w:ascii="宋体" w:hAnsi="宋体" w:eastAsia="宋体" w:cs="宋体"/>
          <w:spacing w:val="8"/>
          <w:sz w:val="20"/>
          <w:szCs w:val="20"/>
        </w:rPr>
        <w:t>可能不典型，加之病原体的耐药问</w:t>
      </w:r>
      <w:r>
        <w:rPr>
          <w:rFonts w:ascii="宋体" w:hAnsi="宋体" w:eastAsia="宋体" w:cs="宋体"/>
          <w:sz w:val="20"/>
          <w:szCs w:val="20"/>
        </w:rPr>
        <w:t xml:space="preserve"> </w:t>
      </w:r>
      <w:r>
        <w:rPr>
          <w:rFonts w:ascii="宋体" w:hAnsi="宋体" w:eastAsia="宋体" w:cs="宋体"/>
          <w:spacing w:val="6"/>
          <w:sz w:val="20"/>
          <w:szCs w:val="20"/>
        </w:rPr>
        <w:t>题，这些都给临床诊断和治疗带来了困难，因此医院感染的病死率相对较高。</w:t>
      </w:r>
    </w:p>
    <w:p w14:paraId="437B0DE5">
      <w:pPr>
        <w:pStyle w:val="2"/>
        <w:spacing w:before="151" w:line="333" w:lineRule="auto"/>
        <w:ind w:left="699" w:right="70" w:firstLine="409"/>
        <w:rPr>
          <w:rFonts w:ascii="宋体" w:hAnsi="宋体" w:eastAsia="宋体" w:cs="宋体"/>
          <w:sz w:val="20"/>
          <w:szCs w:val="20"/>
        </w:rPr>
      </w:pPr>
      <w:r>
        <w:rPr>
          <w:rFonts w:ascii="宋体" w:hAnsi="宋体" w:eastAsia="宋体" w:cs="宋体"/>
          <w:spacing w:val="7"/>
          <w:sz w:val="20"/>
          <w:szCs w:val="20"/>
        </w:rPr>
        <w:t xml:space="preserve">2. </w:t>
      </w:r>
      <w:r>
        <w:rPr>
          <w:spacing w:val="7"/>
          <w:sz w:val="20"/>
          <w:szCs w:val="20"/>
        </w:rPr>
        <w:t>流行过程</w:t>
      </w:r>
      <w:r>
        <w:rPr>
          <w:spacing w:val="73"/>
          <w:sz w:val="20"/>
          <w:szCs w:val="20"/>
        </w:rPr>
        <w:t xml:space="preserve"> </w:t>
      </w:r>
      <w:r>
        <w:rPr>
          <w:rFonts w:ascii="宋体" w:hAnsi="宋体" w:eastAsia="宋体" w:cs="宋体"/>
          <w:spacing w:val="7"/>
          <w:sz w:val="20"/>
          <w:szCs w:val="20"/>
        </w:rPr>
        <w:t>医院感染的流行过程仅限于外源性感</w:t>
      </w:r>
      <w:r>
        <w:rPr>
          <w:rFonts w:ascii="宋体" w:hAnsi="宋体" w:eastAsia="宋体" w:cs="宋体"/>
          <w:spacing w:val="6"/>
          <w:sz w:val="20"/>
          <w:szCs w:val="20"/>
        </w:rPr>
        <w:t>染，与一般传染病类似，也包括感染源、传</w:t>
      </w:r>
      <w:r>
        <w:rPr>
          <w:rFonts w:ascii="宋体" w:hAnsi="宋体" w:eastAsia="宋体" w:cs="宋体"/>
          <w:sz w:val="20"/>
          <w:szCs w:val="20"/>
        </w:rPr>
        <w:t xml:space="preserve"> </w:t>
      </w:r>
      <w:r>
        <w:rPr>
          <w:rFonts w:ascii="宋体" w:hAnsi="宋体" w:eastAsia="宋体" w:cs="宋体"/>
          <w:spacing w:val="6"/>
          <w:sz w:val="20"/>
          <w:szCs w:val="20"/>
        </w:rPr>
        <w:t>播途径和易感人群三个环节，以下分别进行具体阐述。</w:t>
      </w:r>
    </w:p>
    <w:p w14:paraId="5E26C08E">
      <w:pPr>
        <w:spacing w:before="1" w:line="289" w:lineRule="auto"/>
        <w:ind w:left="699" w:right="64" w:firstLine="409"/>
        <w:rPr>
          <w:rFonts w:ascii="宋体" w:hAnsi="宋体" w:eastAsia="宋体" w:cs="宋体"/>
          <w:sz w:val="20"/>
          <w:szCs w:val="20"/>
        </w:rPr>
      </w:pPr>
      <w:r>
        <w:rPr>
          <w:rFonts w:ascii="宋体" w:hAnsi="宋体" w:eastAsia="宋体" w:cs="宋体"/>
          <w:spacing w:val="6"/>
          <w:sz w:val="20"/>
          <w:szCs w:val="20"/>
        </w:rPr>
        <w:t>(1)感染源：医院是各种感染源聚集的特殊场所，医院感染的感染源主要有病人、带菌</w:t>
      </w:r>
      <w:r>
        <w:rPr>
          <w:rFonts w:ascii="宋体" w:hAnsi="宋体" w:eastAsia="宋体" w:cs="宋体"/>
          <w:spacing w:val="5"/>
          <w:sz w:val="20"/>
          <w:szCs w:val="20"/>
        </w:rPr>
        <w:t>者、自身</w:t>
      </w:r>
      <w:r>
        <w:rPr>
          <w:rFonts w:ascii="宋体" w:hAnsi="宋体" w:eastAsia="宋体" w:cs="宋体"/>
          <w:sz w:val="20"/>
          <w:szCs w:val="20"/>
        </w:rPr>
        <w:t xml:space="preserve"> </w:t>
      </w:r>
      <w:r>
        <w:rPr>
          <w:rFonts w:ascii="宋体" w:hAnsi="宋体" w:eastAsia="宋体" w:cs="宋体"/>
          <w:spacing w:val="6"/>
          <w:sz w:val="20"/>
          <w:szCs w:val="20"/>
        </w:rPr>
        <w:t>感染者以及感染的医务人员，动物感染源少见。</w:t>
      </w:r>
    </w:p>
    <w:p w14:paraId="572B3961">
      <w:pPr>
        <w:spacing w:before="122" w:line="280" w:lineRule="auto"/>
        <w:ind w:left="699" w:right="71" w:firstLine="409"/>
        <w:rPr>
          <w:rFonts w:ascii="宋体" w:hAnsi="宋体" w:eastAsia="宋体" w:cs="宋体"/>
          <w:sz w:val="20"/>
          <w:szCs w:val="20"/>
        </w:rPr>
      </w:pPr>
      <w:r>
        <w:rPr>
          <w:rFonts w:ascii="宋体" w:hAnsi="宋体" w:eastAsia="宋体" w:cs="宋体"/>
          <w:spacing w:val="11"/>
          <w:sz w:val="20"/>
          <w:szCs w:val="20"/>
        </w:rPr>
        <w:t>(2)传播途径：与传染病主要通过污染的空气、水和食物传播</w:t>
      </w:r>
      <w:r>
        <w:rPr>
          <w:rFonts w:ascii="宋体" w:hAnsi="宋体" w:eastAsia="宋体" w:cs="宋体"/>
          <w:spacing w:val="10"/>
          <w:sz w:val="20"/>
          <w:szCs w:val="20"/>
        </w:rPr>
        <w:t>不同，医院感染的传播途径以经</w:t>
      </w:r>
      <w:r>
        <w:rPr>
          <w:rFonts w:ascii="宋体" w:hAnsi="宋体" w:eastAsia="宋体" w:cs="宋体"/>
          <w:sz w:val="20"/>
          <w:szCs w:val="20"/>
        </w:rPr>
        <w:t xml:space="preserve"> </w:t>
      </w:r>
      <w:r>
        <w:rPr>
          <w:rFonts w:ascii="宋体" w:hAnsi="宋体" w:eastAsia="宋体" w:cs="宋体"/>
          <w:spacing w:val="10"/>
          <w:sz w:val="20"/>
          <w:szCs w:val="20"/>
        </w:rPr>
        <w:t>接触传播和经空气传播为主。</w:t>
      </w:r>
    </w:p>
    <w:p w14:paraId="310379CE">
      <w:pPr>
        <w:spacing w:before="154" w:line="343" w:lineRule="auto"/>
        <w:ind w:left="699" w:right="69" w:firstLine="409"/>
        <w:jc w:val="both"/>
        <w:rPr>
          <w:rFonts w:ascii="宋体" w:hAnsi="宋体" w:eastAsia="宋体" w:cs="宋体"/>
          <w:sz w:val="20"/>
          <w:szCs w:val="20"/>
        </w:rPr>
      </w:pPr>
      <w:r>
        <w:rPr>
          <w:rFonts w:ascii="宋体" w:hAnsi="宋体" w:eastAsia="宋体" w:cs="宋体"/>
          <w:spacing w:val="13"/>
          <w:sz w:val="20"/>
          <w:szCs w:val="20"/>
        </w:rPr>
        <w:t>1)经接触传播：包括经直接接触和间接接触传播，是医院感染最常见也是最重要的感染途径</w:t>
      </w:r>
      <w:r>
        <w:rPr>
          <w:rFonts w:ascii="宋体" w:hAnsi="宋体" w:eastAsia="宋体" w:cs="宋体"/>
          <w:spacing w:val="16"/>
          <w:sz w:val="20"/>
          <w:szCs w:val="20"/>
        </w:rPr>
        <w:t xml:space="preserve"> </w:t>
      </w:r>
      <w:r>
        <w:rPr>
          <w:rFonts w:ascii="宋体" w:hAnsi="宋体" w:eastAsia="宋体" w:cs="宋体"/>
          <w:spacing w:val="13"/>
          <w:sz w:val="20"/>
          <w:szCs w:val="20"/>
        </w:rPr>
        <w:t>之一。医患之间可以通过手的直接接触而感染病原体，病室内如有伤口化脓性感染、感染性腹泻</w:t>
      </w:r>
      <w:r>
        <w:rPr>
          <w:rFonts w:ascii="宋体" w:hAnsi="宋体" w:eastAsia="宋体" w:cs="宋体"/>
          <w:spacing w:val="2"/>
          <w:sz w:val="20"/>
          <w:szCs w:val="20"/>
        </w:rPr>
        <w:t xml:space="preserve"> </w:t>
      </w:r>
      <w:r>
        <w:rPr>
          <w:rFonts w:ascii="宋体" w:hAnsi="宋体" w:eastAsia="宋体" w:cs="宋体"/>
          <w:spacing w:val="8"/>
          <w:sz w:val="20"/>
          <w:szCs w:val="20"/>
        </w:rPr>
        <w:t>等病人，在病人间也可经直接接触造成交叉感染。间接接触可通过被污染的医务人员的手、医疗器</w:t>
      </w:r>
    </w:p>
    <w:p w14:paraId="52D13753">
      <w:pPr>
        <w:spacing w:line="343" w:lineRule="auto"/>
        <w:rPr>
          <w:rFonts w:ascii="宋体" w:hAnsi="宋体" w:eastAsia="宋体" w:cs="宋体"/>
          <w:sz w:val="20"/>
          <w:szCs w:val="20"/>
        </w:rPr>
        <w:sectPr>
          <w:footerReference r:id="rId221" w:type="default"/>
          <w:pgSz w:w="11900" w:h="16820"/>
          <w:pgMar w:top="400" w:right="1419" w:bottom="829" w:left="750" w:header="0" w:footer="649" w:gutter="0"/>
          <w:cols w:space="720" w:num="1"/>
        </w:sectPr>
      </w:pPr>
    </w:p>
    <w:p w14:paraId="1FF17AEB">
      <w:pPr>
        <w:pStyle w:val="2"/>
        <w:spacing w:before="16" w:line="222" w:lineRule="auto"/>
        <w:ind w:left="7370"/>
        <w:rPr>
          <w:sz w:val="20"/>
          <w:szCs w:val="20"/>
        </w:rPr>
      </w:pPr>
      <w:bookmarkStart w:id="337" w:name="bookmark515"/>
      <w:bookmarkEnd w:id="337"/>
      <w:r>
        <w:rPr>
          <w:spacing w:val="-16"/>
          <w:sz w:val="20"/>
          <w:szCs w:val="20"/>
        </w:rPr>
        <w:t>第十二章 医院感染</w:t>
      </w:r>
    </w:p>
    <w:p w14:paraId="392639E1">
      <w:pPr>
        <w:spacing w:line="280" w:lineRule="auto"/>
        <w:rPr>
          <w:rFonts w:ascii="Arial"/>
          <w:sz w:val="21"/>
        </w:rPr>
      </w:pPr>
    </w:p>
    <w:p w14:paraId="6321F4E1">
      <w:pPr>
        <w:spacing w:line="281" w:lineRule="auto"/>
        <w:rPr>
          <w:rFonts w:ascii="Arial"/>
          <w:sz w:val="21"/>
        </w:rPr>
      </w:pPr>
    </w:p>
    <w:p w14:paraId="65CAFB18">
      <w:pPr>
        <w:spacing w:before="65" w:line="346" w:lineRule="auto"/>
        <w:ind w:right="671"/>
        <w:rPr>
          <w:rFonts w:ascii="宋体" w:hAnsi="宋体" w:eastAsia="宋体" w:cs="宋体"/>
          <w:sz w:val="20"/>
          <w:szCs w:val="20"/>
        </w:rPr>
      </w:pPr>
      <w:r>
        <w:rPr>
          <w:rFonts w:ascii="宋体" w:hAnsi="宋体" w:eastAsia="宋体" w:cs="宋体"/>
          <w:spacing w:val="6"/>
          <w:sz w:val="20"/>
          <w:szCs w:val="20"/>
        </w:rPr>
        <w:t>械、病室内的物品等传播给易感者。值得注意的是，医务人员的手在直接与间接接触传播病原体的</w:t>
      </w:r>
      <w:r>
        <w:rPr>
          <w:rFonts w:ascii="宋体" w:hAnsi="宋体" w:eastAsia="宋体" w:cs="宋体"/>
          <w:spacing w:val="16"/>
          <w:sz w:val="20"/>
          <w:szCs w:val="20"/>
        </w:rPr>
        <w:t xml:space="preserve"> </w:t>
      </w:r>
      <w:r>
        <w:rPr>
          <w:rFonts w:ascii="宋体" w:hAnsi="宋体" w:eastAsia="宋体" w:cs="宋体"/>
          <w:spacing w:val="13"/>
          <w:sz w:val="20"/>
          <w:szCs w:val="20"/>
        </w:rPr>
        <w:t>过程中均起着重要作用。</w:t>
      </w:r>
    </w:p>
    <w:p w14:paraId="4B404CA0">
      <w:pPr>
        <w:spacing w:line="350" w:lineRule="auto"/>
        <w:ind w:right="654" w:firstLine="419"/>
        <w:jc w:val="both"/>
        <w:rPr>
          <w:rFonts w:ascii="宋体" w:hAnsi="宋体" w:eastAsia="宋体" w:cs="宋体"/>
          <w:sz w:val="20"/>
          <w:szCs w:val="20"/>
        </w:rPr>
      </w:pPr>
      <w:r>
        <w:rPr>
          <w:rFonts w:ascii="宋体" w:hAnsi="宋体" w:eastAsia="宋体" w:cs="宋体"/>
          <w:spacing w:val="6"/>
          <w:sz w:val="20"/>
          <w:szCs w:val="20"/>
        </w:rPr>
        <w:t>2)经空气传播：是呼吸道传染病的主要传播方式，如流感病毒经飞沫传播、结核分枝杆菌经飞</w:t>
      </w:r>
      <w:r>
        <w:rPr>
          <w:rFonts w:ascii="宋体" w:hAnsi="宋体" w:eastAsia="宋体" w:cs="宋体"/>
          <w:spacing w:val="18"/>
          <w:sz w:val="20"/>
          <w:szCs w:val="20"/>
        </w:rPr>
        <w:t xml:space="preserve"> </w:t>
      </w:r>
      <w:r>
        <w:rPr>
          <w:rFonts w:ascii="宋体" w:hAnsi="宋体" w:eastAsia="宋体" w:cs="宋体"/>
          <w:spacing w:val="12"/>
          <w:sz w:val="20"/>
          <w:szCs w:val="20"/>
        </w:rPr>
        <w:t>沫核或尘埃传播。飞沫核可以以气溶胶形式飘流到远处，在空气</w:t>
      </w:r>
      <w:r>
        <w:rPr>
          <w:rFonts w:ascii="宋体" w:hAnsi="宋体" w:eastAsia="宋体" w:cs="宋体"/>
          <w:spacing w:val="11"/>
          <w:sz w:val="20"/>
          <w:szCs w:val="20"/>
        </w:rPr>
        <w:t>中存留时间较长。如气管插管时</w:t>
      </w:r>
      <w:r>
        <w:rPr>
          <w:rFonts w:ascii="宋体" w:hAnsi="宋体" w:eastAsia="宋体" w:cs="宋体"/>
          <w:sz w:val="20"/>
          <w:szCs w:val="20"/>
        </w:rPr>
        <w:t xml:space="preserve"> </w:t>
      </w:r>
      <w:r>
        <w:rPr>
          <w:rFonts w:ascii="宋体" w:hAnsi="宋体" w:eastAsia="宋体" w:cs="宋体"/>
          <w:spacing w:val="4"/>
          <w:sz w:val="20"/>
          <w:szCs w:val="20"/>
        </w:rPr>
        <w:t>可产生气溶胶，引起其他病人感染，称为医源性气溶胶传播。</w:t>
      </w:r>
    </w:p>
    <w:p w14:paraId="41DE5A7C">
      <w:pPr>
        <w:spacing w:before="3" w:line="342" w:lineRule="auto"/>
        <w:ind w:right="637" w:firstLine="419"/>
        <w:jc w:val="both"/>
        <w:rPr>
          <w:rFonts w:ascii="宋体" w:hAnsi="宋体" w:eastAsia="宋体" w:cs="宋体"/>
          <w:sz w:val="20"/>
          <w:szCs w:val="20"/>
        </w:rPr>
      </w:pPr>
      <w:r>
        <w:rPr>
          <w:rFonts w:ascii="宋体" w:hAnsi="宋体" w:eastAsia="宋体" w:cs="宋体"/>
          <w:spacing w:val="9"/>
          <w:sz w:val="20"/>
          <w:szCs w:val="20"/>
        </w:rPr>
        <w:t>(3)易感人群：医院感染的易感人群主要包括：①因患基础疾病，机体免疫功能受损者，或接</w:t>
      </w:r>
      <w:r>
        <w:rPr>
          <w:rFonts w:ascii="宋体" w:hAnsi="宋体" w:eastAsia="宋体" w:cs="宋体"/>
          <w:spacing w:val="8"/>
          <w:sz w:val="20"/>
          <w:szCs w:val="20"/>
        </w:rPr>
        <w:t xml:space="preserve"> </w:t>
      </w:r>
      <w:r>
        <w:rPr>
          <w:rFonts w:ascii="宋体" w:hAnsi="宋体" w:eastAsia="宋体" w:cs="宋体"/>
          <w:spacing w:val="9"/>
          <w:sz w:val="20"/>
          <w:szCs w:val="20"/>
        </w:rPr>
        <w:t>受各种免疫抑制剂治疗者；②长期使用广谱抗菌药物者(可使病人发生菌群失调和使细菌产生耐药</w:t>
      </w:r>
      <w:r>
        <w:rPr>
          <w:rFonts w:ascii="宋体" w:hAnsi="宋体" w:eastAsia="宋体" w:cs="宋体"/>
          <w:spacing w:val="1"/>
          <w:sz w:val="20"/>
          <w:szCs w:val="20"/>
        </w:rPr>
        <w:t xml:space="preserve"> </w:t>
      </w:r>
      <w:r>
        <w:rPr>
          <w:rFonts w:ascii="宋体" w:hAnsi="宋体" w:eastAsia="宋体" w:cs="宋体"/>
          <w:spacing w:val="11"/>
          <w:sz w:val="20"/>
          <w:szCs w:val="20"/>
        </w:rPr>
        <w:t>性);③接受各种侵人性诊断或治疗操作的病人，这是由于操作可直接损伤机体皮肤与黏膜的屏障</w:t>
      </w:r>
      <w:r>
        <w:rPr>
          <w:rFonts w:ascii="宋体" w:hAnsi="宋体" w:eastAsia="宋体" w:cs="宋体"/>
          <w:spacing w:val="14"/>
          <w:sz w:val="20"/>
          <w:szCs w:val="20"/>
        </w:rPr>
        <w:t xml:space="preserve"> </w:t>
      </w:r>
      <w:r>
        <w:rPr>
          <w:rFonts w:ascii="宋体" w:hAnsi="宋体" w:eastAsia="宋体" w:cs="宋体"/>
          <w:spacing w:val="5"/>
          <w:sz w:val="20"/>
          <w:szCs w:val="20"/>
        </w:rPr>
        <w:t>作用；④手术时间长者(随时间延长，切口部位组织受损加重、切口中</w:t>
      </w:r>
      <w:r>
        <w:rPr>
          <w:rFonts w:ascii="宋体" w:hAnsi="宋体" w:eastAsia="宋体" w:cs="宋体"/>
          <w:spacing w:val="4"/>
          <w:sz w:val="20"/>
          <w:szCs w:val="20"/>
        </w:rPr>
        <w:t>污染的微生物数量增加以及术</w:t>
      </w:r>
      <w:r>
        <w:rPr>
          <w:rFonts w:ascii="宋体" w:hAnsi="宋体" w:eastAsia="宋体" w:cs="宋体"/>
          <w:sz w:val="20"/>
          <w:szCs w:val="20"/>
        </w:rPr>
        <w:t xml:space="preserve"> </w:t>
      </w:r>
      <w:r>
        <w:rPr>
          <w:rFonts w:ascii="宋体" w:hAnsi="宋体" w:eastAsia="宋体" w:cs="宋体"/>
          <w:spacing w:val="8"/>
          <w:sz w:val="20"/>
          <w:szCs w:val="20"/>
        </w:rPr>
        <w:t>者疲劳易导致操作准确性降低等，造成切口部位感染的危险性增加);⑤住院时间长者(住院时间越</w:t>
      </w:r>
      <w:r>
        <w:rPr>
          <w:rFonts w:ascii="宋体" w:hAnsi="宋体" w:eastAsia="宋体" w:cs="宋体"/>
          <w:spacing w:val="15"/>
          <w:sz w:val="20"/>
          <w:szCs w:val="20"/>
        </w:rPr>
        <w:t xml:space="preserve"> </w:t>
      </w:r>
      <w:r>
        <w:rPr>
          <w:rFonts w:ascii="宋体" w:hAnsi="宋体" w:eastAsia="宋体" w:cs="宋体"/>
          <w:spacing w:val="9"/>
          <w:sz w:val="20"/>
          <w:szCs w:val="20"/>
        </w:rPr>
        <w:t>长，病原微生物在病人体内定植的机会越大);⑥营养不良者(皮肤黏膜防御功能、抗体生成能力以</w:t>
      </w:r>
      <w:r>
        <w:rPr>
          <w:rFonts w:ascii="宋体" w:hAnsi="宋体" w:eastAsia="宋体" w:cs="宋体"/>
          <w:spacing w:val="1"/>
          <w:sz w:val="20"/>
          <w:szCs w:val="20"/>
        </w:rPr>
        <w:t xml:space="preserve"> </w:t>
      </w:r>
      <w:r>
        <w:rPr>
          <w:rFonts w:ascii="宋体" w:hAnsi="宋体" w:eastAsia="宋体" w:cs="宋体"/>
          <w:spacing w:val="11"/>
          <w:sz w:val="20"/>
          <w:szCs w:val="20"/>
        </w:rPr>
        <w:t>及粒细胞吞噬能力会受到影响，从而增加感染风险);⑦免疫功能发育尚未成熟的婴幼儿及免疫功</w:t>
      </w:r>
      <w:r>
        <w:rPr>
          <w:rFonts w:ascii="宋体" w:hAnsi="宋体" w:eastAsia="宋体" w:cs="宋体"/>
          <w:sz w:val="20"/>
          <w:szCs w:val="20"/>
        </w:rPr>
        <w:t xml:space="preserve"> </w:t>
      </w:r>
      <w:r>
        <w:rPr>
          <w:rFonts w:ascii="宋体" w:hAnsi="宋体" w:eastAsia="宋体" w:cs="宋体"/>
          <w:spacing w:val="11"/>
          <w:sz w:val="20"/>
          <w:szCs w:val="20"/>
        </w:rPr>
        <w:t>能减退的老年人等。</w:t>
      </w:r>
    </w:p>
    <w:p w14:paraId="48DE174E">
      <w:pPr>
        <w:spacing w:line="283" w:lineRule="auto"/>
        <w:rPr>
          <w:rFonts w:ascii="Arial"/>
          <w:sz w:val="21"/>
        </w:rPr>
      </w:pPr>
    </w:p>
    <w:p w14:paraId="6F83BE53">
      <w:pPr>
        <w:pStyle w:val="2"/>
        <w:spacing w:before="98" w:line="221" w:lineRule="auto"/>
        <w:ind w:left="2474"/>
        <w:outlineLvl w:val="2"/>
      </w:pPr>
      <w:bookmarkStart w:id="338" w:name="bookmark213"/>
      <w:bookmarkEnd w:id="338"/>
      <w:r>
        <w:rPr>
          <w:b/>
          <w:bCs/>
          <w:spacing w:val="-11"/>
        </w:rPr>
        <w:t>第二节</w:t>
      </w:r>
      <w:r>
        <w:rPr>
          <w:spacing w:val="136"/>
        </w:rPr>
        <w:t xml:space="preserve"> </w:t>
      </w:r>
      <w:r>
        <w:rPr>
          <w:b/>
          <w:bCs/>
          <w:spacing w:val="-11"/>
        </w:rPr>
        <w:t>医院感染的预防和控制</w:t>
      </w:r>
    </w:p>
    <w:p w14:paraId="78BF7D38">
      <w:pPr>
        <w:spacing w:line="374" w:lineRule="auto"/>
        <w:rPr>
          <w:rFonts w:ascii="Arial"/>
          <w:sz w:val="21"/>
        </w:rPr>
      </w:pPr>
    </w:p>
    <w:p w14:paraId="5929D23D">
      <w:pPr>
        <w:spacing w:before="65" w:line="343" w:lineRule="auto"/>
        <w:ind w:right="566" w:firstLine="419"/>
        <w:jc w:val="both"/>
        <w:rPr>
          <w:rFonts w:ascii="宋体" w:hAnsi="宋体" w:eastAsia="宋体" w:cs="宋体"/>
          <w:sz w:val="20"/>
          <w:szCs w:val="20"/>
        </w:rPr>
      </w:pPr>
      <w:r>
        <w:rPr>
          <w:rFonts w:ascii="宋体" w:hAnsi="宋体" w:eastAsia="宋体" w:cs="宋体"/>
          <w:spacing w:val="6"/>
          <w:sz w:val="20"/>
          <w:szCs w:val="20"/>
        </w:rPr>
        <w:t>我国的医院感染管理工作起步于20世纪80年代，随后国家出台一系列法律、法规、规范、指南</w:t>
      </w:r>
      <w:r>
        <w:rPr>
          <w:rFonts w:ascii="宋体" w:hAnsi="宋体" w:eastAsia="宋体" w:cs="宋体"/>
          <w:spacing w:val="5"/>
          <w:sz w:val="20"/>
          <w:szCs w:val="20"/>
        </w:rPr>
        <w:t xml:space="preserve">  </w:t>
      </w:r>
      <w:r>
        <w:rPr>
          <w:rFonts w:ascii="宋体" w:hAnsi="宋体" w:eastAsia="宋体" w:cs="宋体"/>
          <w:spacing w:val="4"/>
          <w:sz w:val="20"/>
          <w:szCs w:val="20"/>
        </w:rPr>
        <w:t>和标准，各级医疗机构建立了医院感染管理组织，制定医院感染管理制度、医院感染防控工作制度，</w:t>
      </w:r>
      <w:r>
        <w:rPr>
          <w:rFonts w:ascii="宋体" w:hAnsi="宋体" w:eastAsia="宋体" w:cs="宋体"/>
          <w:spacing w:val="2"/>
          <w:sz w:val="20"/>
          <w:szCs w:val="20"/>
        </w:rPr>
        <w:t xml:space="preserve"> </w:t>
      </w:r>
      <w:r>
        <w:rPr>
          <w:rFonts w:ascii="宋体" w:hAnsi="宋体" w:eastAsia="宋体" w:cs="宋体"/>
          <w:spacing w:val="12"/>
          <w:sz w:val="20"/>
          <w:szCs w:val="20"/>
        </w:rPr>
        <w:t>编写医院感染防控的标准操作规程以规范医院感染管理工作</w:t>
      </w:r>
      <w:r>
        <w:rPr>
          <w:rFonts w:ascii="宋体" w:hAnsi="宋体" w:eastAsia="宋体" w:cs="宋体"/>
          <w:spacing w:val="11"/>
          <w:sz w:val="20"/>
          <w:szCs w:val="20"/>
        </w:rPr>
        <w:t>。医院感染防控工作持续展开，并实</w:t>
      </w:r>
      <w:r>
        <w:rPr>
          <w:rFonts w:ascii="宋体" w:hAnsi="宋体" w:eastAsia="宋体" w:cs="宋体"/>
          <w:sz w:val="20"/>
          <w:szCs w:val="20"/>
        </w:rPr>
        <w:t xml:space="preserve">  </w:t>
      </w:r>
      <w:r>
        <w:rPr>
          <w:rFonts w:ascii="宋体" w:hAnsi="宋体" w:eastAsia="宋体" w:cs="宋体"/>
          <w:spacing w:val="8"/>
          <w:sz w:val="20"/>
          <w:szCs w:val="20"/>
        </w:rPr>
        <w:t>现持续质量改进。</w:t>
      </w:r>
    </w:p>
    <w:p w14:paraId="03EC2BD5">
      <w:pPr>
        <w:pStyle w:val="2"/>
        <w:spacing w:before="172" w:line="221" w:lineRule="auto"/>
        <w:ind w:left="423"/>
        <w:outlineLvl w:val="4"/>
        <w:rPr>
          <w:sz w:val="24"/>
          <w:szCs w:val="24"/>
        </w:rPr>
      </w:pPr>
      <w:bookmarkStart w:id="339" w:name="bookmark214"/>
      <w:bookmarkEnd w:id="339"/>
      <w:r>
        <w:rPr>
          <w:b/>
          <w:bCs/>
          <w:spacing w:val="1"/>
          <w:sz w:val="24"/>
          <w:szCs w:val="24"/>
        </w:rPr>
        <w:t>一</w:t>
      </w:r>
      <w:r>
        <w:rPr>
          <w:spacing w:val="-38"/>
          <w:sz w:val="24"/>
          <w:szCs w:val="24"/>
        </w:rPr>
        <w:t xml:space="preserve"> </w:t>
      </w:r>
      <w:r>
        <w:rPr>
          <w:b/>
          <w:bCs/>
          <w:spacing w:val="1"/>
          <w:sz w:val="24"/>
          <w:szCs w:val="24"/>
        </w:rPr>
        <w:t>、医院感染的预防</w:t>
      </w:r>
    </w:p>
    <w:p w14:paraId="0F534319">
      <w:pPr>
        <w:spacing w:before="295" w:line="332" w:lineRule="auto"/>
        <w:ind w:right="650" w:firstLine="419"/>
        <w:jc w:val="both"/>
        <w:rPr>
          <w:rFonts w:ascii="宋体" w:hAnsi="宋体" w:eastAsia="宋体" w:cs="宋体"/>
          <w:sz w:val="20"/>
          <w:szCs w:val="20"/>
        </w:rPr>
      </w:pPr>
      <w:r>
        <w:rPr>
          <w:rFonts w:ascii="宋体" w:hAnsi="宋体" w:eastAsia="宋体" w:cs="宋体"/>
          <w:spacing w:val="7"/>
          <w:sz w:val="20"/>
          <w:szCs w:val="20"/>
        </w:rPr>
        <w:t>医院感染的预防是个系统工程，建立制度是医院感染预防的重要基</w:t>
      </w:r>
      <w:r>
        <w:rPr>
          <w:rFonts w:ascii="宋体" w:hAnsi="宋体" w:eastAsia="宋体" w:cs="宋体"/>
          <w:spacing w:val="6"/>
          <w:sz w:val="20"/>
          <w:szCs w:val="20"/>
        </w:rPr>
        <w:t>础，医院建设合理布局是必</w:t>
      </w:r>
      <w:r>
        <w:rPr>
          <w:rFonts w:ascii="宋体" w:hAnsi="宋体" w:eastAsia="宋体" w:cs="宋体"/>
          <w:sz w:val="20"/>
          <w:szCs w:val="20"/>
        </w:rPr>
        <w:t xml:space="preserve"> </w:t>
      </w:r>
      <w:r>
        <w:rPr>
          <w:rFonts w:ascii="宋体" w:hAnsi="宋体" w:eastAsia="宋体" w:cs="宋体"/>
          <w:spacing w:val="2"/>
          <w:sz w:val="20"/>
          <w:szCs w:val="20"/>
        </w:rPr>
        <w:t>要的先决条件，开展培训、重视医院消毒灭菌、加强一次性使用无菌医疗用品管理、合理应用抗菌药</w:t>
      </w:r>
      <w:r>
        <w:rPr>
          <w:rFonts w:ascii="宋体" w:hAnsi="宋体" w:eastAsia="宋体" w:cs="宋体"/>
          <w:sz w:val="20"/>
          <w:szCs w:val="20"/>
        </w:rPr>
        <w:t xml:space="preserve"> </w:t>
      </w:r>
      <w:r>
        <w:rPr>
          <w:rFonts w:ascii="宋体" w:hAnsi="宋体" w:eastAsia="宋体" w:cs="宋体"/>
          <w:spacing w:val="10"/>
          <w:sz w:val="20"/>
          <w:szCs w:val="20"/>
        </w:rPr>
        <w:t>物和实施多重耐药菌感染监测是其中关键的环节。此外，开</w:t>
      </w:r>
      <w:r>
        <w:rPr>
          <w:rFonts w:ascii="宋体" w:hAnsi="宋体" w:eastAsia="宋体" w:cs="宋体"/>
          <w:spacing w:val="9"/>
          <w:sz w:val="20"/>
          <w:szCs w:val="20"/>
        </w:rPr>
        <w:t>展医院感染监测</w:t>
      </w:r>
      <w:r>
        <w:rPr>
          <w:rFonts w:ascii="Times New Roman" w:hAnsi="Times New Roman" w:eastAsia="Times New Roman" w:cs="Times New Roman"/>
          <w:spacing w:val="9"/>
          <w:sz w:val="20"/>
          <w:szCs w:val="20"/>
        </w:rPr>
        <w:t>(</w:t>
      </w:r>
      <w:r>
        <w:rPr>
          <w:rFonts w:ascii="Times New Roman" w:hAnsi="Times New Roman" w:eastAsia="Times New Roman" w:cs="Times New Roman"/>
          <w:sz w:val="20"/>
          <w:szCs w:val="20"/>
        </w:rPr>
        <w:t>healthcare</w:t>
      </w:r>
      <w:r>
        <w:rPr>
          <w:rFonts w:ascii="Times New Roman" w:hAnsi="Times New Roman" w:eastAsia="Times New Roman" w:cs="Times New Roman"/>
          <w:spacing w:val="9"/>
          <w:sz w:val="20"/>
          <w:szCs w:val="20"/>
        </w:rPr>
        <w:t xml:space="preserve">    </w:t>
      </w:r>
      <w:r>
        <w:rPr>
          <w:rFonts w:ascii="Times New Roman" w:hAnsi="Times New Roman" w:eastAsia="Times New Roman" w:cs="Times New Roman"/>
          <w:sz w:val="20"/>
          <w:szCs w:val="20"/>
        </w:rPr>
        <w:t>associated infection</w:t>
      </w:r>
      <w:r>
        <w:rPr>
          <w:rFonts w:ascii="Times New Roman" w:hAnsi="Times New Roman" w:eastAsia="Times New Roman" w:cs="Times New Roman"/>
          <w:spacing w:val="14"/>
          <w:w w:val="101"/>
          <w:sz w:val="20"/>
          <w:szCs w:val="20"/>
        </w:rPr>
        <w:t xml:space="preserve">   </w:t>
      </w:r>
      <w:r>
        <w:rPr>
          <w:rFonts w:ascii="Times New Roman" w:hAnsi="Times New Roman" w:eastAsia="Times New Roman" w:cs="Times New Roman"/>
          <w:sz w:val="20"/>
          <w:szCs w:val="20"/>
        </w:rPr>
        <w:t>surveillance</w:t>
      </w:r>
      <w:r>
        <w:rPr>
          <w:rFonts w:ascii="Times New Roman" w:hAnsi="Times New Roman" w:eastAsia="Times New Roman" w:cs="Times New Roman"/>
          <w:spacing w:val="7"/>
          <w:sz w:val="20"/>
          <w:szCs w:val="20"/>
        </w:rPr>
        <w:t>),</w:t>
      </w:r>
      <w:r>
        <w:rPr>
          <w:rFonts w:ascii="宋体" w:hAnsi="宋体" w:eastAsia="宋体" w:cs="宋体"/>
          <w:spacing w:val="7"/>
          <w:sz w:val="20"/>
          <w:szCs w:val="20"/>
        </w:rPr>
        <w:t>对于医院感染流行和暴发的及时发现也具有重要意义。</w:t>
      </w:r>
    </w:p>
    <w:p w14:paraId="3B7F5D77">
      <w:pPr>
        <w:pStyle w:val="2"/>
        <w:spacing w:before="1" w:line="221" w:lineRule="auto"/>
        <w:ind w:left="423"/>
        <w:rPr>
          <w:sz w:val="24"/>
          <w:szCs w:val="24"/>
        </w:rPr>
      </w:pPr>
      <w:r>
        <w:rPr>
          <w:b/>
          <w:bCs/>
          <w:spacing w:val="-1"/>
          <w:sz w:val="24"/>
          <w:szCs w:val="24"/>
        </w:rPr>
        <w:t>(一)建立制度</w:t>
      </w:r>
    </w:p>
    <w:p w14:paraId="4D0BA828">
      <w:pPr>
        <w:spacing w:before="145" w:line="331" w:lineRule="auto"/>
        <w:ind w:right="636" w:firstLine="419"/>
        <w:rPr>
          <w:rFonts w:ascii="宋体" w:hAnsi="宋体" w:eastAsia="宋体" w:cs="宋体"/>
          <w:sz w:val="20"/>
          <w:szCs w:val="20"/>
        </w:rPr>
      </w:pPr>
      <w:r>
        <w:rPr>
          <w:rFonts w:ascii="宋体" w:hAnsi="宋体" w:eastAsia="宋体" w:cs="宋体"/>
          <w:spacing w:val="2"/>
          <w:sz w:val="20"/>
          <w:szCs w:val="20"/>
        </w:rPr>
        <w:t>认真贯彻医院感染管理方面的法律、法规、规章及技术规范、标准，根据以上内容，制定与实施</w:t>
      </w:r>
      <w:r>
        <w:rPr>
          <w:rFonts w:ascii="宋体" w:hAnsi="宋体" w:eastAsia="宋体" w:cs="宋体"/>
          <w:spacing w:val="4"/>
          <w:sz w:val="20"/>
          <w:szCs w:val="20"/>
        </w:rPr>
        <w:t xml:space="preserve"> </w:t>
      </w:r>
      <w:r>
        <w:rPr>
          <w:rFonts w:ascii="宋体" w:hAnsi="宋体" w:eastAsia="宋体" w:cs="宋体"/>
          <w:spacing w:val="5"/>
          <w:sz w:val="20"/>
          <w:szCs w:val="20"/>
        </w:rPr>
        <w:t>适合医疗机构实际的感染管理预防和控制的规章制度，并积极</w:t>
      </w:r>
      <w:r>
        <w:rPr>
          <w:rFonts w:ascii="宋体" w:hAnsi="宋体" w:eastAsia="宋体" w:cs="宋体"/>
          <w:spacing w:val="4"/>
          <w:sz w:val="20"/>
          <w:szCs w:val="20"/>
        </w:rPr>
        <w:t>组织监督、检查和指导。</w:t>
      </w:r>
    </w:p>
    <w:p w14:paraId="77D492A2">
      <w:pPr>
        <w:pStyle w:val="2"/>
        <w:spacing w:before="1" w:line="212" w:lineRule="auto"/>
        <w:ind w:left="422"/>
        <w:rPr>
          <w:sz w:val="20"/>
          <w:szCs w:val="20"/>
        </w:rPr>
      </w:pPr>
      <w:r>
        <w:rPr>
          <w:b/>
          <w:bCs/>
          <w:spacing w:val="17"/>
          <w:sz w:val="20"/>
          <w:szCs w:val="20"/>
        </w:rPr>
        <w:t>(二)合理布局，有效隔离</w:t>
      </w:r>
    </w:p>
    <w:p w14:paraId="6728792F">
      <w:pPr>
        <w:spacing w:before="173" w:line="334" w:lineRule="auto"/>
        <w:ind w:right="657" w:firstLine="419"/>
        <w:jc w:val="both"/>
        <w:rPr>
          <w:rFonts w:ascii="宋体" w:hAnsi="宋体" w:eastAsia="宋体" w:cs="宋体"/>
          <w:sz w:val="20"/>
          <w:szCs w:val="20"/>
        </w:rPr>
      </w:pPr>
      <w:r>
        <w:rPr>
          <w:rFonts w:ascii="宋体" w:hAnsi="宋体" w:eastAsia="宋体" w:cs="宋体"/>
          <w:spacing w:val="6"/>
          <w:sz w:val="20"/>
          <w:szCs w:val="20"/>
        </w:rPr>
        <w:t>医院建筑所起的作用，是以控制外源性感染为主，通过有效的空间隔离设计，做到布局流程合</w:t>
      </w:r>
      <w:r>
        <w:rPr>
          <w:rFonts w:ascii="宋体" w:hAnsi="宋体" w:eastAsia="宋体" w:cs="宋体"/>
          <w:spacing w:val="1"/>
          <w:sz w:val="20"/>
          <w:szCs w:val="20"/>
        </w:rPr>
        <w:t xml:space="preserve"> </w:t>
      </w:r>
      <w:r>
        <w:rPr>
          <w:rFonts w:ascii="宋体" w:hAnsi="宋体" w:eastAsia="宋体" w:cs="宋体"/>
          <w:spacing w:val="2"/>
          <w:sz w:val="20"/>
          <w:szCs w:val="20"/>
        </w:rPr>
        <w:t>理、洁污分开，实现控制感染源、阻断传播途径、保护易感人群的效果。其要点包括医院各功能区分</w:t>
      </w:r>
      <w:r>
        <w:rPr>
          <w:rFonts w:ascii="宋体" w:hAnsi="宋体" w:eastAsia="宋体" w:cs="宋体"/>
          <w:sz w:val="20"/>
          <w:szCs w:val="20"/>
        </w:rPr>
        <w:t xml:space="preserve"> </w:t>
      </w:r>
      <w:r>
        <w:rPr>
          <w:rFonts w:ascii="宋体" w:hAnsi="宋体" w:eastAsia="宋体" w:cs="宋体"/>
          <w:spacing w:val="4"/>
          <w:sz w:val="20"/>
          <w:szCs w:val="20"/>
        </w:rPr>
        <w:t>区合理、流程正确、基本设施(如通风与手</w:t>
      </w:r>
      <w:r>
        <w:rPr>
          <w:rFonts w:ascii="宋体" w:hAnsi="宋体" w:eastAsia="宋体" w:cs="宋体"/>
          <w:spacing w:val="3"/>
          <w:sz w:val="20"/>
          <w:szCs w:val="20"/>
        </w:rPr>
        <w:t>卫生设施)符合要求等。</w:t>
      </w:r>
    </w:p>
    <w:p w14:paraId="6ADAF7FA">
      <w:pPr>
        <w:pStyle w:val="2"/>
        <w:spacing w:line="221" w:lineRule="auto"/>
        <w:ind w:left="422"/>
        <w:rPr>
          <w:sz w:val="20"/>
          <w:szCs w:val="20"/>
        </w:rPr>
      </w:pPr>
      <w:r>
        <w:rPr>
          <w:b/>
          <w:bCs/>
          <w:spacing w:val="25"/>
          <w:sz w:val="20"/>
          <w:szCs w:val="20"/>
        </w:rPr>
        <w:t>(三)开展医院感染知识培训</w:t>
      </w:r>
    </w:p>
    <w:p w14:paraId="0D6E2911">
      <w:pPr>
        <w:spacing w:before="163" w:line="334" w:lineRule="auto"/>
        <w:ind w:right="671" w:firstLine="419"/>
        <w:jc w:val="both"/>
        <w:rPr>
          <w:rFonts w:ascii="宋体" w:hAnsi="宋体" w:eastAsia="宋体" w:cs="宋体"/>
          <w:sz w:val="20"/>
          <w:szCs w:val="20"/>
        </w:rPr>
      </w:pPr>
      <w:r>
        <w:rPr>
          <w:rFonts w:ascii="宋体" w:hAnsi="宋体" w:eastAsia="宋体" w:cs="宋体"/>
          <w:spacing w:val="1"/>
          <w:sz w:val="20"/>
          <w:szCs w:val="20"/>
        </w:rPr>
        <w:t>采用不同形式，对医师、护理人员、各类医技人员、工勤人员等进行有针对性的医院感染防控知</w:t>
      </w:r>
      <w:r>
        <w:rPr>
          <w:rFonts w:ascii="宋体" w:hAnsi="宋体" w:eastAsia="宋体" w:cs="宋体"/>
          <w:spacing w:val="12"/>
          <w:sz w:val="20"/>
          <w:szCs w:val="20"/>
        </w:rPr>
        <w:t xml:space="preserve"> </w:t>
      </w:r>
      <w:r>
        <w:rPr>
          <w:rFonts w:ascii="宋体" w:hAnsi="宋体" w:eastAsia="宋体" w:cs="宋体"/>
          <w:spacing w:val="6"/>
          <w:sz w:val="20"/>
          <w:szCs w:val="20"/>
        </w:rPr>
        <w:t>识培训与考核，提升全体医务人员的认识、知识与技能水平，使其自觉将医院感染的预防和控制工</w:t>
      </w:r>
      <w:r>
        <w:rPr>
          <w:rFonts w:ascii="宋体" w:hAnsi="宋体" w:eastAsia="宋体" w:cs="宋体"/>
          <w:spacing w:val="12"/>
          <w:sz w:val="20"/>
          <w:szCs w:val="20"/>
        </w:rPr>
        <w:t xml:space="preserve"> </w:t>
      </w:r>
      <w:r>
        <w:rPr>
          <w:rFonts w:ascii="宋体" w:hAnsi="宋体" w:eastAsia="宋体" w:cs="宋体"/>
          <w:spacing w:val="6"/>
          <w:sz w:val="20"/>
          <w:szCs w:val="20"/>
        </w:rPr>
        <w:t>作始终贯穿于医疗活动中。此外，对病人及家属的医</w:t>
      </w:r>
      <w:r>
        <w:rPr>
          <w:rFonts w:ascii="宋体" w:hAnsi="宋体" w:eastAsia="宋体" w:cs="宋体"/>
          <w:spacing w:val="5"/>
          <w:sz w:val="20"/>
          <w:szCs w:val="20"/>
        </w:rPr>
        <w:t>院感染知识普及也很重要。</w:t>
      </w:r>
    </w:p>
    <w:p w14:paraId="66F498F6">
      <w:pPr>
        <w:pStyle w:val="2"/>
        <w:spacing w:before="2" w:line="213" w:lineRule="auto"/>
        <w:ind w:left="422"/>
        <w:rPr>
          <w:sz w:val="20"/>
          <w:szCs w:val="20"/>
        </w:rPr>
      </w:pPr>
      <w:r>
        <w:rPr>
          <w:b/>
          <w:bCs/>
          <w:spacing w:val="16"/>
          <w:sz w:val="20"/>
          <w:szCs w:val="20"/>
        </w:rPr>
        <w:t>(四)重视医院消毒灭菌，加强一次性使用无菌医疗用品管理</w:t>
      </w:r>
    </w:p>
    <w:p w14:paraId="11DE3076">
      <w:pPr>
        <w:spacing w:before="163" w:line="219" w:lineRule="auto"/>
        <w:ind w:left="419"/>
        <w:rPr>
          <w:rFonts w:ascii="宋体" w:hAnsi="宋体" w:eastAsia="宋体" w:cs="宋体"/>
          <w:sz w:val="20"/>
          <w:szCs w:val="20"/>
        </w:rPr>
      </w:pPr>
      <w:r>
        <w:rPr>
          <w:rFonts w:ascii="宋体" w:hAnsi="宋体" w:eastAsia="宋体" w:cs="宋体"/>
          <w:spacing w:val="7"/>
          <w:sz w:val="20"/>
          <w:szCs w:val="20"/>
        </w:rPr>
        <w:t>医疗用品根据使用时的感染风险可分为高、中、</w:t>
      </w:r>
      <w:r>
        <w:rPr>
          <w:rFonts w:ascii="宋体" w:hAnsi="宋体" w:eastAsia="宋体" w:cs="宋体"/>
          <w:spacing w:val="6"/>
          <w:sz w:val="20"/>
          <w:szCs w:val="20"/>
        </w:rPr>
        <w:t>低度危险性物品三类，在使用前应分别实现灭</w:t>
      </w:r>
    </w:p>
    <w:p w14:paraId="5470AE50">
      <w:pPr>
        <w:spacing w:line="219" w:lineRule="auto"/>
        <w:rPr>
          <w:rFonts w:ascii="宋体" w:hAnsi="宋体" w:eastAsia="宋体" w:cs="宋体"/>
          <w:sz w:val="20"/>
          <w:szCs w:val="20"/>
        </w:rPr>
        <w:sectPr>
          <w:footerReference r:id="rId222" w:type="default"/>
          <w:pgSz w:w="11900" w:h="16820"/>
          <w:pgMar w:top="400" w:right="903" w:bottom="859" w:left="1450" w:header="0" w:footer="679" w:gutter="0"/>
          <w:cols w:space="720" w:num="1"/>
        </w:sectPr>
      </w:pPr>
    </w:p>
    <w:p w14:paraId="58F13E0A">
      <w:pPr>
        <w:pStyle w:val="2"/>
        <w:spacing w:before="86" w:line="222" w:lineRule="auto"/>
        <w:ind w:left="659"/>
        <w:rPr>
          <w:sz w:val="20"/>
          <w:szCs w:val="20"/>
        </w:rPr>
      </w:pPr>
      <w:r>
        <w:rPr>
          <w:spacing w:val="-22"/>
          <w:sz w:val="20"/>
          <w:szCs w:val="20"/>
        </w:rPr>
        <w:t>第十二章 医院感染</w:t>
      </w:r>
    </w:p>
    <w:p w14:paraId="3CA0D098">
      <w:pPr>
        <w:spacing w:line="296" w:lineRule="auto"/>
        <w:rPr>
          <w:rFonts w:ascii="Arial"/>
          <w:sz w:val="21"/>
        </w:rPr>
      </w:pPr>
    </w:p>
    <w:p w14:paraId="2C5C179F">
      <w:pPr>
        <w:spacing w:line="296" w:lineRule="auto"/>
        <w:rPr>
          <w:rFonts w:ascii="Arial"/>
          <w:sz w:val="21"/>
        </w:rPr>
      </w:pPr>
    </w:p>
    <w:p w14:paraId="170C94C2">
      <w:pPr>
        <w:spacing w:before="65" w:line="325" w:lineRule="auto"/>
        <w:ind w:left="659" w:right="111"/>
        <w:rPr>
          <w:rFonts w:ascii="宋体" w:hAnsi="宋体" w:eastAsia="宋体" w:cs="宋体"/>
          <w:sz w:val="20"/>
          <w:szCs w:val="20"/>
        </w:rPr>
      </w:pPr>
      <w:r>
        <w:rPr>
          <w:rFonts w:ascii="宋体" w:hAnsi="宋体" w:eastAsia="宋体" w:cs="宋体"/>
          <w:spacing w:val="-3"/>
          <w:sz w:val="20"/>
          <w:szCs w:val="20"/>
        </w:rPr>
        <w:t>菌、高水平或中水平消毒、低水平消毒。此外，医院应加强临床一次性使用无菌医疗用品的管理，对</w:t>
      </w:r>
      <w:r>
        <w:rPr>
          <w:rFonts w:ascii="宋体" w:hAnsi="宋体" w:eastAsia="宋体" w:cs="宋体"/>
          <w:spacing w:val="9"/>
          <w:sz w:val="20"/>
          <w:szCs w:val="20"/>
        </w:rPr>
        <w:t xml:space="preserve"> </w:t>
      </w:r>
      <w:r>
        <w:rPr>
          <w:rFonts w:ascii="宋体" w:hAnsi="宋体" w:eastAsia="宋体" w:cs="宋体"/>
          <w:spacing w:val="1"/>
          <w:sz w:val="20"/>
          <w:szCs w:val="20"/>
        </w:rPr>
        <w:t>血液及其制品也应进行严格的管理。</w:t>
      </w:r>
    </w:p>
    <w:p w14:paraId="1BE6DA71">
      <w:pPr>
        <w:pStyle w:val="2"/>
        <w:spacing w:before="35" w:line="213" w:lineRule="auto"/>
        <w:ind w:left="1080"/>
        <w:rPr>
          <w:sz w:val="20"/>
          <w:szCs w:val="20"/>
        </w:rPr>
      </w:pPr>
      <w:r>
        <w:rPr>
          <w:spacing w:val="14"/>
          <w:sz w:val="20"/>
          <w:szCs w:val="20"/>
        </w:rPr>
        <w:t>(五)合理应用抗菌药物，实施多重耐药菌感染监测</w:t>
      </w:r>
    </w:p>
    <w:p w14:paraId="6B8CB25C">
      <w:pPr>
        <w:spacing w:before="149" w:line="333" w:lineRule="auto"/>
        <w:ind w:left="659" w:right="88" w:firstLine="420"/>
        <w:jc w:val="both"/>
        <w:rPr>
          <w:rFonts w:ascii="宋体" w:hAnsi="宋体" w:eastAsia="宋体" w:cs="宋体"/>
          <w:sz w:val="20"/>
          <w:szCs w:val="20"/>
        </w:rPr>
      </w:pPr>
      <w:r>
        <w:rPr>
          <w:rFonts w:ascii="宋体" w:hAnsi="宋体" w:eastAsia="宋体" w:cs="宋体"/>
          <w:spacing w:val="2"/>
          <w:sz w:val="20"/>
          <w:szCs w:val="20"/>
        </w:rPr>
        <w:t>临床医师应严格遵守抗菌药物的应用原则，掌握抗菌药物的适应证，当怀疑病人有感染时</w:t>
      </w:r>
      <w:r>
        <w:rPr>
          <w:rFonts w:ascii="宋体" w:hAnsi="宋体" w:eastAsia="宋体" w:cs="宋体"/>
          <w:spacing w:val="1"/>
          <w:sz w:val="20"/>
          <w:szCs w:val="20"/>
        </w:rPr>
        <w:t>，及</w:t>
      </w:r>
      <w:r>
        <w:rPr>
          <w:rFonts w:ascii="宋体" w:hAnsi="宋体" w:eastAsia="宋体" w:cs="宋体"/>
          <w:sz w:val="20"/>
          <w:szCs w:val="20"/>
        </w:rPr>
        <w:t xml:space="preserve"> </w:t>
      </w:r>
      <w:r>
        <w:rPr>
          <w:rFonts w:ascii="宋体" w:hAnsi="宋体" w:eastAsia="宋体" w:cs="宋体"/>
          <w:spacing w:val="7"/>
          <w:sz w:val="20"/>
          <w:szCs w:val="20"/>
        </w:rPr>
        <w:t>时进行病原学检验，并根据病原药敏试验结果结合病人的临</w:t>
      </w:r>
      <w:r>
        <w:rPr>
          <w:rFonts w:ascii="宋体" w:hAnsi="宋体" w:eastAsia="宋体" w:cs="宋体"/>
          <w:spacing w:val="6"/>
          <w:sz w:val="20"/>
          <w:szCs w:val="20"/>
        </w:rPr>
        <w:t>床症状与体征等合理调整使用抗菌药</w:t>
      </w:r>
      <w:r>
        <w:rPr>
          <w:rFonts w:ascii="宋体" w:hAnsi="宋体" w:eastAsia="宋体" w:cs="宋体"/>
          <w:sz w:val="20"/>
          <w:szCs w:val="20"/>
        </w:rPr>
        <w:t xml:space="preserve"> </w:t>
      </w:r>
      <w:r>
        <w:rPr>
          <w:rFonts w:ascii="宋体" w:hAnsi="宋体" w:eastAsia="宋体" w:cs="宋体"/>
          <w:spacing w:val="2"/>
          <w:sz w:val="20"/>
          <w:szCs w:val="20"/>
        </w:rPr>
        <w:t>物。加强重症监护病房等病人多重耐药菌的主动筛查，做到早发现、早隔离和有效治疗，预防和控</w:t>
      </w:r>
      <w:r>
        <w:rPr>
          <w:rFonts w:ascii="宋体" w:hAnsi="宋体" w:eastAsia="宋体" w:cs="宋体"/>
          <w:spacing w:val="11"/>
          <w:sz w:val="20"/>
          <w:szCs w:val="20"/>
        </w:rPr>
        <w:t xml:space="preserve"> </w:t>
      </w:r>
      <w:r>
        <w:rPr>
          <w:rFonts w:ascii="宋体" w:hAnsi="宋体" w:eastAsia="宋体" w:cs="宋体"/>
          <w:spacing w:val="3"/>
          <w:sz w:val="20"/>
          <w:szCs w:val="20"/>
        </w:rPr>
        <w:t>制多重耐药菌的传播。</w:t>
      </w:r>
    </w:p>
    <w:p w14:paraId="30C6AEA5">
      <w:pPr>
        <w:pStyle w:val="2"/>
        <w:spacing w:before="18" w:line="222" w:lineRule="auto"/>
        <w:ind w:left="1080"/>
        <w:rPr>
          <w:sz w:val="23"/>
          <w:szCs w:val="23"/>
        </w:rPr>
      </w:pPr>
      <w:r>
        <w:rPr>
          <w:spacing w:val="-4"/>
          <w:sz w:val="23"/>
          <w:szCs w:val="23"/>
        </w:rPr>
        <w:t>(六)医院感染监测</w:t>
      </w:r>
    </w:p>
    <w:p w14:paraId="1BC78722">
      <w:pPr>
        <w:spacing w:before="122" w:line="343" w:lineRule="auto"/>
        <w:ind w:left="659" w:right="91" w:firstLine="420"/>
        <w:jc w:val="both"/>
        <w:rPr>
          <w:rFonts w:ascii="宋体" w:hAnsi="宋体" w:eastAsia="宋体" w:cs="宋体"/>
          <w:sz w:val="20"/>
          <w:szCs w:val="20"/>
        </w:rPr>
      </w:pPr>
      <w:r>
        <w:rPr>
          <w:rFonts w:ascii="宋体" w:hAnsi="宋体" w:eastAsia="宋体" w:cs="宋体"/>
          <w:spacing w:val="1"/>
          <w:sz w:val="20"/>
          <w:szCs w:val="20"/>
        </w:rPr>
        <w:t>2023年8月，国家卫生健康委员会修订发布《医院感染监测标准》(</w:t>
      </w:r>
      <w:r>
        <w:rPr>
          <w:rFonts w:ascii="宋体" w:hAnsi="宋体" w:eastAsia="宋体" w:cs="宋体"/>
          <w:sz w:val="20"/>
          <w:szCs w:val="20"/>
        </w:rPr>
        <w:t>WS</w:t>
      </w:r>
      <w:r>
        <w:rPr>
          <w:rFonts w:ascii="宋体" w:hAnsi="宋体" w:eastAsia="宋体" w:cs="宋体"/>
          <w:spacing w:val="1"/>
          <w:sz w:val="20"/>
          <w:szCs w:val="20"/>
        </w:rPr>
        <w:t>/T   312—2023)(2024年</w:t>
      </w:r>
      <w:r>
        <w:rPr>
          <w:rFonts w:ascii="宋体" w:hAnsi="宋体" w:eastAsia="宋体" w:cs="宋体"/>
          <w:spacing w:val="8"/>
          <w:sz w:val="20"/>
          <w:szCs w:val="20"/>
        </w:rPr>
        <w:t xml:space="preserve"> </w:t>
      </w:r>
      <w:r>
        <w:rPr>
          <w:rFonts w:ascii="宋体" w:hAnsi="宋体" w:eastAsia="宋体" w:cs="宋体"/>
          <w:spacing w:val="12"/>
          <w:sz w:val="20"/>
          <w:szCs w:val="20"/>
        </w:rPr>
        <w:t>2月1日起实施),该标准规定了医院感染监测的管理</w:t>
      </w:r>
      <w:r>
        <w:rPr>
          <w:rFonts w:ascii="宋体" w:hAnsi="宋体" w:eastAsia="宋体" w:cs="宋体"/>
          <w:spacing w:val="11"/>
          <w:sz w:val="20"/>
          <w:szCs w:val="20"/>
        </w:rPr>
        <w:t>与要求、监测方法及医院感染监测质量的控</w:t>
      </w:r>
      <w:r>
        <w:rPr>
          <w:rFonts w:ascii="宋体" w:hAnsi="宋体" w:eastAsia="宋体" w:cs="宋体"/>
          <w:sz w:val="20"/>
          <w:szCs w:val="20"/>
        </w:rPr>
        <w:t xml:space="preserve"> </w:t>
      </w:r>
      <w:r>
        <w:rPr>
          <w:rFonts w:ascii="宋体" w:hAnsi="宋体" w:eastAsia="宋体" w:cs="宋体"/>
          <w:spacing w:val="-2"/>
          <w:sz w:val="20"/>
          <w:szCs w:val="20"/>
        </w:rPr>
        <w:t>制，成为当前我国医院感染监测工作重要的指导性文件。</w:t>
      </w:r>
    </w:p>
    <w:p w14:paraId="2B8B59FE">
      <w:pPr>
        <w:pStyle w:val="2"/>
        <w:spacing w:before="23" w:line="310" w:lineRule="auto"/>
        <w:ind w:left="659" w:right="89" w:firstLine="420"/>
        <w:rPr>
          <w:rFonts w:ascii="宋体" w:hAnsi="宋体" w:eastAsia="宋体" w:cs="宋体"/>
          <w:sz w:val="20"/>
          <w:szCs w:val="20"/>
        </w:rPr>
      </w:pPr>
      <w:r>
        <w:rPr>
          <w:rFonts w:ascii="宋体" w:hAnsi="宋体" w:eastAsia="宋体" w:cs="宋体"/>
          <w:spacing w:val="5"/>
          <w:sz w:val="20"/>
          <w:szCs w:val="20"/>
        </w:rPr>
        <w:t xml:space="preserve">1. </w:t>
      </w:r>
      <w:r>
        <w:rPr>
          <w:spacing w:val="5"/>
          <w:sz w:val="20"/>
          <w:szCs w:val="20"/>
        </w:rPr>
        <w:t>监测范围</w:t>
      </w:r>
      <w:r>
        <w:rPr>
          <w:spacing w:val="71"/>
          <w:sz w:val="20"/>
          <w:szCs w:val="20"/>
        </w:rPr>
        <w:t xml:space="preserve"> </w:t>
      </w:r>
      <w:r>
        <w:rPr>
          <w:rFonts w:ascii="宋体" w:hAnsi="宋体" w:eastAsia="宋体" w:cs="宋体"/>
          <w:spacing w:val="5"/>
          <w:sz w:val="20"/>
          <w:szCs w:val="20"/>
        </w:rPr>
        <w:t>根据监测范围，医院感染监测分为全院综合性监测和目标性监测。全院综合性</w:t>
      </w:r>
      <w:r>
        <w:rPr>
          <w:rFonts w:ascii="宋体" w:hAnsi="宋体" w:eastAsia="宋体" w:cs="宋体"/>
          <w:sz w:val="20"/>
          <w:szCs w:val="20"/>
        </w:rPr>
        <w:t xml:space="preserve"> </w:t>
      </w:r>
      <w:r>
        <w:rPr>
          <w:rFonts w:ascii="宋体" w:hAnsi="宋体" w:eastAsia="宋体" w:cs="宋体"/>
          <w:spacing w:val="7"/>
          <w:sz w:val="20"/>
          <w:szCs w:val="20"/>
        </w:rPr>
        <w:t>监测，指的是连续不断对所有临床科室的全部住院病人和医院工作人员进行医院感染及其有关危</w:t>
      </w:r>
      <w:r>
        <w:rPr>
          <w:rFonts w:ascii="宋体" w:hAnsi="宋体" w:eastAsia="宋体" w:cs="宋体"/>
          <w:spacing w:val="5"/>
          <w:sz w:val="20"/>
          <w:szCs w:val="20"/>
        </w:rPr>
        <w:t xml:space="preserve"> </w:t>
      </w:r>
      <w:r>
        <w:rPr>
          <w:rFonts w:ascii="宋体" w:hAnsi="宋体" w:eastAsia="宋体" w:cs="宋体"/>
          <w:spacing w:val="2"/>
          <w:sz w:val="20"/>
          <w:szCs w:val="20"/>
        </w:rPr>
        <w:t>险因素的监测；目标监测则是依据风险评估，针对高风险人群、高发感染部位、</w:t>
      </w:r>
      <w:r>
        <w:rPr>
          <w:rFonts w:ascii="宋体" w:hAnsi="宋体" w:eastAsia="宋体" w:cs="宋体"/>
          <w:spacing w:val="1"/>
          <w:sz w:val="20"/>
          <w:szCs w:val="20"/>
        </w:rPr>
        <w:t>高感染风险部门等</w:t>
      </w:r>
      <w:r>
        <w:rPr>
          <w:rFonts w:ascii="宋体" w:hAnsi="宋体" w:eastAsia="宋体" w:cs="宋体"/>
          <w:sz w:val="20"/>
          <w:szCs w:val="20"/>
        </w:rPr>
        <w:t xml:space="preserve"> </w:t>
      </w:r>
      <w:r>
        <w:rPr>
          <w:rFonts w:ascii="宋体" w:hAnsi="宋体" w:eastAsia="宋体" w:cs="宋体"/>
          <w:spacing w:val="7"/>
          <w:sz w:val="20"/>
          <w:szCs w:val="20"/>
        </w:rPr>
        <w:t>开展的医院感染及其危险因素的监测，例如重症监护病房医院感染监测、新生儿病房医院感染监</w:t>
      </w:r>
      <w:r>
        <w:rPr>
          <w:rFonts w:ascii="宋体" w:hAnsi="宋体" w:eastAsia="宋体" w:cs="宋体"/>
          <w:spacing w:val="3"/>
          <w:sz w:val="20"/>
          <w:szCs w:val="20"/>
        </w:rPr>
        <w:t xml:space="preserve"> </w:t>
      </w:r>
      <w:r>
        <w:rPr>
          <w:rFonts w:ascii="宋体" w:hAnsi="宋体" w:eastAsia="宋体" w:cs="宋体"/>
          <w:spacing w:val="-1"/>
          <w:sz w:val="20"/>
          <w:szCs w:val="20"/>
        </w:rPr>
        <w:t>测、手术部位感染监测、细菌耐药性监测与临床抗菌药物使用监测、血液透析相关感染监测等。</w:t>
      </w:r>
    </w:p>
    <w:p w14:paraId="308EE1BD">
      <w:pPr>
        <w:spacing w:before="153" w:line="311" w:lineRule="auto"/>
        <w:ind w:left="659" w:right="71" w:firstLine="420"/>
        <w:rPr>
          <w:rFonts w:ascii="宋体" w:hAnsi="宋体" w:eastAsia="宋体" w:cs="宋体"/>
          <w:sz w:val="20"/>
          <w:szCs w:val="20"/>
        </w:rPr>
      </w:pPr>
      <w:r>
        <w:rPr>
          <w:rFonts w:ascii="宋体" w:hAnsi="宋体" w:eastAsia="宋体" w:cs="宋体"/>
          <w:spacing w:val="5"/>
          <w:sz w:val="20"/>
          <w:szCs w:val="20"/>
        </w:rPr>
        <w:t>2. 信息收集  医院感染的监测资料来源很多，宜使</w:t>
      </w:r>
      <w:r>
        <w:rPr>
          <w:rFonts w:ascii="宋体" w:hAnsi="宋体" w:eastAsia="宋体" w:cs="宋体"/>
          <w:spacing w:val="4"/>
          <w:sz w:val="20"/>
          <w:szCs w:val="20"/>
        </w:rPr>
        <w:t>用医院感染信息化监测系统收集资料并对</w:t>
      </w:r>
      <w:r>
        <w:rPr>
          <w:rFonts w:ascii="宋体" w:hAnsi="宋体" w:eastAsia="宋体" w:cs="宋体"/>
          <w:sz w:val="20"/>
          <w:szCs w:val="20"/>
        </w:rPr>
        <w:t xml:space="preserve"> </w:t>
      </w:r>
      <w:r>
        <w:rPr>
          <w:rFonts w:ascii="宋体" w:hAnsi="宋体" w:eastAsia="宋体" w:cs="宋体"/>
          <w:spacing w:val="7"/>
          <w:sz w:val="20"/>
          <w:szCs w:val="20"/>
        </w:rPr>
        <w:t>资料准确性进行验证。也可通过感染控制专职人员定期病房巡视、查阅病历记录和检验报告等方</w:t>
      </w:r>
      <w:r>
        <w:rPr>
          <w:rFonts w:ascii="宋体" w:hAnsi="宋体" w:eastAsia="宋体" w:cs="宋体"/>
          <w:spacing w:val="2"/>
          <w:sz w:val="20"/>
          <w:szCs w:val="20"/>
        </w:rPr>
        <w:t xml:space="preserve"> 式进行。收集的信息主要包括病人基本资料、医院感染信息、相关危险因素、病原菌药敏试验结果</w:t>
      </w:r>
      <w:r>
        <w:rPr>
          <w:rFonts w:ascii="宋体" w:hAnsi="宋体" w:eastAsia="宋体" w:cs="宋体"/>
          <w:spacing w:val="14"/>
          <w:sz w:val="20"/>
          <w:szCs w:val="20"/>
        </w:rPr>
        <w:t xml:space="preserve"> </w:t>
      </w:r>
      <w:r>
        <w:rPr>
          <w:rFonts w:ascii="宋体" w:hAnsi="宋体" w:eastAsia="宋体" w:cs="宋体"/>
          <w:spacing w:val="1"/>
          <w:sz w:val="20"/>
          <w:szCs w:val="20"/>
        </w:rPr>
        <w:t>和抗菌药物的使用情况等。</w:t>
      </w:r>
    </w:p>
    <w:p w14:paraId="6479EF9D">
      <w:pPr>
        <w:pStyle w:val="2"/>
        <w:spacing w:before="131" w:line="311" w:lineRule="auto"/>
        <w:ind w:left="659" w:right="84" w:firstLine="420"/>
        <w:rPr>
          <w:rFonts w:ascii="宋体" w:hAnsi="宋体" w:eastAsia="宋体" w:cs="宋体"/>
          <w:sz w:val="20"/>
          <w:szCs w:val="20"/>
        </w:rPr>
      </w:pPr>
      <w:r>
        <w:rPr>
          <w:rFonts w:ascii="宋体" w:hAnsi="宋体" w:eastAsia="宋体" w:cs="宋体"/>
          <w:spacing w:val="12"/>
          <w:sz w:val="20"/>
          <w:szCs w:val="20"/>
        </w:rPr>
        <w:t xml:space="preserve">3. </w:t>
      </w:r>
      <w:r>
        <w:rPr>
          <w:spacing w:val="12"/>
          <w:sz w:val="20"/>
          <w:szCs w:val="20"/>
        </w:rPr>
        <w:t xml:space="preserve">资料分析 </w:t>
      </w:r>
      <w:r>
        <w:rPr>
          <w:rFonts w:ascii="宋体" w:hAnsi="宋体" w:eastAsia="宋体" w:cs="宋体"/>
          <w:spacing w:val="12"/>
          <w:sz w:val="20"/>
          <w:szCs w:val="20"/>
        </w:rPr>
        <w:t>医院感染病例监测的主要计算指标包括医院感染发病</w:t>
      </w:r>
      <w:r>
        <w:rPr>
          <w:rFonts w:ascii="宋体" w:hAnsi="宋体" w:eastAsia="宋体" w:cs="宋体"/>
          <w:spacing w:val="11"/>
          <w:sz w:val="20"/>
          <w:szCs w:val="20"/>
        </w:rPr>
        <w:t>率、手术部位感染发病</w:t>
      </w:r>
      <w:r>
        <w:rPr>
          <w:rFonts w:ascii="宋体" w:hAnsi="宋体" w:eastAsia="宋体" w:cs="宋体"/>
          <w:sz w:val="20"/>
          <w:szCs w:val="20"/>
        </w:rPr>
        <w:t xml:space="preserve"> </w:t>
      </w:r>
      <w:r>
        <w:rPr>
          <w:rFonts w:ascii="宋体" w:hAnsi="宋体" w:eastAsia="宋体" w:cs="宋体"/>
          <w:spacing w:val="7"/>
          <w:sz w:val="20"/>
          <w:szCs w:val="20"/>
        </w:rPr>
        <w:t>率、器械使用率及其相关感染率等，这些指标都是流行病学疾病分布在医院感染场景下的特殊应</w:t>
      </w:r>
      <w:r>
        <w:rPr>
          <w:rFonts w:ascii="宋体" w:hAnsi="宋体" w:eastAsia="宋体" w:cs="宋体"/>
          <w:spacing w:val="3"/>
          <w:sz w:val="20"/>
          <w:szCs w:val="20"/>
        </w:rPr>
        <w:t xml:space="preserve"> </w:t>
      </w:r>
      <w:r>
        <w:rPr>
          <w:rFonts w:ascii="宋体" w:hAnsi="宋体" w:eastAsia="宋体" w:cs="宋体"/>
          <w:spacing w:val="2"/>
          <w:sz w:val="20"/>
          <w:szCs w:val="20"/>
        </w:rPr>
        <w:t>用。结合历史同期和前期医院感染发病情况，对监测资料进行总结分析，发现监测中的问题，向临</w:t>
      </w:r>
      <w:r>
        <w:rPr>
          <w:rFonts w:ascii="宋体" w:hAnsi="宋体" w:eastAsia="宋体" w:cs="宋体"/>
          <w:spacing w:val="18"/>
          <w:sz w:val="20"/>
          <w:szCs w:val="20"/>
        </w:rPr>
        <w:t xml:space="preserve"> </w:t>
      </w:r>
      <w:r>
        <w:rPr>
          <w:rFonts w:ascii="宋体" w:hAnsi="宋体" w:eastAsia="宋体" w:cs="宋体"/>
          <w:sz w:val="20"/>
          <w:szCs w:val="20"/>
        </w:rPr>
        <w:t>床科室反馈监测结果和提出改进建议，并向医院管理部门进行汇报。</w:t>
      </w:r>
    </w:p>
    <w:p w14:paraId="4F11811C">
      <w:pPr>
        <w:spacing w:line="273" w:lineRule="auto"/>
        <w:rPr>
          <w:rFonts w:ascii="Arial"/>
          <w:sz w:val="21"/>
        </w:rPr>
      </w:pPr>
    </w:p>
    <w:p w14:paraId="7706CE6F">
      <w:pPr>
        <w:pStyle w:val="2"/>
        <w:spacing w:before="75" w:line="221" w:lineRule="auto"/>
        <w:ind w:left="1083"/>
        <w:outlineLvl w:val="4"/>
        <w:rPr>
          <w:sz w:val="23"/>
          <w:szCs w:val="23"/>
        </w:rPr>
      </w:pPr>
      <w:bookmarkStart w:id="340" w:name="bookmark215"/>
      <w:bookmarkEnd w:id="340"/>
      <w:r>
        <w:rPr>
          <w:b/>
          <w:bCs/>
          <w:spacing w:val="5"/>
          <w:sz w:val="23"/>
          <w:szCs w:val="23"/>
        </w:rPr>
        <w:t>二</w:t>
      </w:r>
      <w:r>
        <w:rPr>
          <w:spacing w:val="-18"/>
          <w:sz w:val="23"/>
          <w:szCs w:val="23"/>
        </w:rPr>
        <w:t xml:space="preserve"> </w:t>
      </w:r>
      <w:r>
        <w:rPr>
          <w:b/>
          <w:bCs/>
          <w:spacing w:val="5"/>
          <w:sz w:val="23"/>
          <w:szCs w:val="23"/>
        </w:rPr>
        <w:t>、医院感染暴发的调查与控制</w:t>
      </w:r>
    </w:p>
    <w:p w14:paraId="48F6C82D">
      <w:pPr>
        <w:spacing w:before="278" w:line="340" w:lineRule="auto"/>
        <w:ind w:left="659" w:right="83" w:firstLine="420"/>
        <w:jc w:val="both"/>
        <w:rPr>
          <w:rFonts w:ascii="宋体" w:hAnsi="宋体" w:eastAsia="宋体" w:cs="宋体"/>
          <w:sz w:val="20"/>
          <w:szCs w:val="20"/>
        </w:rPr>
      </w:pPr>
      <w:r>
        <w:rPr>
          <w:rFonts w:ascii="宋体" w:hAnsi="宋体" w:eastAsia="宋体" w:cs="宋体"/>
          <w:spacing w:val="5"/>
          <w:sz w:val="20"/>
          <w:szCs w:val="20"/>
        </w:rPr>
        <w:t>医院感染暴发指的是在医疗机构或其科室的病人</w:t>
      </w:r>
      <w:r>
        <w:rPr>
          <w:rFonts w:ascii="宋体" w:hAnsi="宋体" w:eastAsia="宋体" w:cs="宋体"/>
          <w:spacing w:val="4"/>
          <w:sz w:val="20"/>
          <w:szCs w:val="20"/>
        </w:rPr>
        <w:t>中，短时间内发生3例以上同种同源感染病例</w:t>
      </w:r>
      <w:r>
        <w:rPr>
          <w:rFonts w:ascii="宋体" w:hAnsi="宋体" w:eastAsia="宋体" w:cs="宋体"/>
          <w:sz w:val="20"/>
          <w:szCs w:val="20"/>
        </w:rPr>
        <w:t xml:space="preserve"> </w:t>
      </w:r>
      <w:r>
        <w:rPr>
          <w:rFonts w:ascii="宋体" w:hAnsi="宋体" w:eastAsia="宋体" w:cs="宋体"/>
          <w:spacing w:val="7"/>
          <w:sz w:val="20"/>
          <w:szCs w:val="20"/>
        </w:rPr>
        <w:t>的现象。为有效控制医院感染暴发，国家卫生和计划生育委员会于2016</w:t>
      </w:r>
      <w:r>
        <w:rPr>
          <w:rFonts w:ascii="宋体" w:hAnsi="宋体" w:eastAsia="宋体" w:cs="宋体"/>
          <w:spacing w:val="6"/>
          <w:sz w:val="20"/>
          <w:szCs w:val="20"/>
        </w:rPr>
        <w:t>年发布《医院感染暴发控</w:t>
      </w:r>
      <w:r>
        <w:rPr>
          <w:rFonts w:ascii="宋体" w:hAnsi="宋体" w:eastAsia="宋体" w:cs="宋体"/>
          <w:sz w:val="20"/>
          <w:szCs w:val="20"/>
        </w:rPr>
        <w:t xml:space="preserve"> </w:t>
      </w:r>
      <w:r>
        <w:rPr>
          <w:rFonts w:ascii="宋体" w:hAnsi="宋体" w:eastAsia="宋体" w:cs="宋体"/>
          <w:spacing w:val="2"/>
          <w:sz w:val="20"/>
          <w:szCs w:val="20"/>
        </w:rPr>
        <w:t>制指南》</w:t>
      </w:r>
      <w:r>
        <w:rPr>
          <w:rFonts w:ascii="Times New Roman" w:hAnsi="Times New Roman" w:eastAsia="Times New Roman" w:cs="Times New Roman"/>
          <w:spacing w:val="2"/>
          <w:sz w:val="20"/>
          <w:szCs w:val="20"/>
        </w:rPr>
        <w:t>(</w:t>
      </w:r>
      <w:r>
        <w:rPr>
          <w:rFonts w:ascii="Times New Roman" w:hAnsi="Times New Roman" w:eastAsia="Times New Roman" w:cs="Times New Roman"/>
          <w:sz w:val="20"/>
          <w:szCs w:val="20"/>
        </w:rPr>
        <w:t>WS</w:t>
      </w:r>
      <w:r>
        <w:rPr>
          <w:rFonts w:ascii="Times New Roman" w:hAnsi="Times New Roman" w:eastAsia="Times New Roman" w:cs="Times New Roman"/>
          <w:spacing w:val="2"/>
          <w:sz w:val="20"/>
          <w:szCs w:val="20"/>
        </w:rPr>
        <w:t>/T     524—2016),</w:t>
      </w:r>
      <w:r>
        <w:rPr>
          <w:rFonts w:ascii="宋体" w:hAnsi="宋体" w:eastAsia="宋体" w:cs="宋体"/>
          <w:spacing w:val="2"/>
          <w:sz w:val="20"/>
          <w:szCs w:val="20"/>
        </w:rPr>
        <w:t>规定了医院感染暴发控制</w:t>
      </w:r>
      <w:r>
        <w:rPr>
          <w:rFonts w:ascii="宋体" w:hAnsi="宋体" w:eastAsia="宋体" w:cs="宋体"/>
          <w:spacing w:val="1"/>
          <w:sz w:val="20"/>
          <w:szCs w:val="20"/>
        </w:rPr>
        <w:t>的管理要求、流行病学调查、控制及效果评</w:t>
      </w:r>
      <w:r>
        <w:rPr>
          <w:rFonts w:ascii="宋体" w:hAnsi="宋体" w:eastAsia="宋体" w:cs="宋体"/>
          <w:sz w:val="20"/>
          <w:szCs w:val="20"/>
        </w:rPr>
        <w:t xml:space="preserve"> </w:t>
      </w:r>
      <w:r>
        <w:rPr>
          <w:rFonts w:ascii="宋体" w:hAnsi="宋体" w:eastAsia="宋体" w:cs="宋体"/>
          <w:spacing w:val="-3"/>
          <w:sz w:val="20"/>
          <w:szCs w:val="20"/>
        </w:rPr>
        <w:t>价、调查的总结与报告等要求。</w:t>
      </w:r>
    </w:p>
    <w:p w14:paraId="45C2FB65">
      <w:pPr>
        <w:pStyle w:val="2"/>
        <w:spacing w:before="23" w:line="221" w:lineRule="auto"/>
        <w:ind w:left="1082"/>
        <w:rPr>
          <w:sz w:val="20"/>
          <w:szCs w:val="20"/>
        </w:rPr>
      </w:pPr>
      <w:r>
        <w:rPr>
          <w:b/>
          <w:bCs/>
          <w:spacing w:val="12"/>
          <w:sz w:val="20"/>
          <w:szCs w:val="20"/>
        </w:rPr>
        <w:t>(</w:t>
      </w:r>
      <w:r>
        <w:rPr>
          <w:spacing w:val="-43"/>
          <w:sz w:val="20"/>
          <w:szCs w:val="20"/>
        </w:rPr>
        <w:t xml:space="preserve"> </w:t>
      </w:r>
      <w:r>
        <w:rPr>
          <w:b/>
          <w:bCs/>
          <w:spacing w:val="12"/>
          <w:sz w:val="20"/>
          <w:szCs w:val="20"/>
        </w:rPr>
        <w:t>一</w:t>
      </w:r>
      <w:r>
        <w:rPr>
          <w:spacing w:val="-54"/>
          <w:sz w:val="20"/>
          <w:szCs w:val="20"/>
        </w:rPr>
        <w:t xml:space="preserve"> </w:t>
      </w:r>
      <w:r>
        <w:rPr>
          <w:b/>
          <w:bCs/>
          <w:spacing w:val="12"/>
          <w:sz w:val="20"/>
          <w:szCs w:val="20"/>
        </w:rPr>
        <w:t>)暴发识别</w:t>
      </w:r>
    </w:p>
    <w:p w14:paraId="1A614BDE">
      <w:pPr>
        <w:spacing w:before="124" w:line="341" w:lineRule="auto"/>
        <w:ind w:left="659" w:firstLine="420"/>
        <w:rPr>
          <w:rFonts w:ascii="宋体" w:hAnsi="宋体" w:eastAsia="宋体" w:cs="宋体"/>
          <w:sz w:val="20"/>
          <w:szCs w:val="20"/>
        </w:rPr>
      </w:pPr>
      <w:r>
        <w:rPr>
          <w:rFonts w:ascii="宋体" w:hAnsi="宋体" w:eastAsia="宋体" w:cs="宋体"/>
          <w:spacing w:val="7"/>
          <w:sz w:val="20"/>
          <w:szCs w:val="20"/>
        </w:rPr>
        <w:t>为有效控制医院感染暴发事件，通过医院感染监测，及早发现和识别医院感染的暴发尤</w:t>
      </w:r>
      <w:r>
        <w:rPr>
          <w:rFonts w:ascii="宋体" w:hAnsi="宋体" w:eastAsia="宋体" w:cs="宋体"/>
          <w:spacing w:val="6"/>
          <w:sz w:val="20"/>
          <w:szCs w:val="20"/>
        </w:rPr>
        <w:t>为重</w:t>
      </w:r>
      <w:r>
        <w:rPr>
          <w:rFonts w:ascii="宋体" w:hAnsi="宋体" w:eastAsia="宋体" w:cs="宋体"/>
          <w:sz w:val="20"/>
          <w:szCs w:val="20"/>
        </w:rPr>
        <w:t xml:space="preserve">  </w:t>
      </w:r>
      <w:r>
        <w:rPr>
          <w:rFonts w:ascii="宋体" w:hAnsi="宋体" w:eastAsia="宋体" w:cs="宋体"/>
          <w:spacing w:val="9"/>
          <w:sz w:val="20"/>
          <w:szCs w:val="20"/>
        </w:rPr>
        <w:t>要。在暴发甄别的过程中，需排除感染病例的增加是由于：①医院感染监测系统监测条件改变；</w:t>
      </w:r>
    </w:p>
    <w:p w14:paraId="5E6F4B78">
      <w:pPr>
        <w:spacing w:line="217" w:lineRule="auto"/>
        <w:ind w:left="659"/>
        <w:rPr>
          <w:rFonts w:ascii="宋体" w:hAnsi="宋体" w:eastAsia="宋体" w:cs="宋体"/>
          <w:sz w:val="20"/>
          <w:szCs w:val="20"/>
        </w:rPr>
      </w:pPr>
      <w:r>
        <w:rPr>
          <w:rFonts w:ascii="宋体" w:hAnsi="宋体" w:eastAsia="宋体" w:cs="宋体"/>
          <w:spacing w:val="-1"/>
          <w:sz w:val="20"/>
          <w:szCs w:val="20"/>
        </w:rPr>
        <w:t>②实验室方法改变；③标本被污染。</w:t>
      </w:r>
    </w:p>
    <w:p w14:paraId="7B81A3F7">
      <w:pPr>
        <w:pStyle w:val="2"/>
        <w:spacing w:before="123" w:line="221" w:lineRule="auto"/>
        <w:ind w:left="1083"/>
        <w:rPr>
          <w:sz w:val="23"/>
          <w:szCs w:val="23"/>
        </w:rPr>
      </w:pPr>
      <w:r>
        <w:rPr>
          <w:b/>
          <w:bCs/>
          <w:spacing w:val="-1"/>
          <w:sz w:val="23"/>
          <w:szCs w:val="23"/>
        </w:rPr>
        <w:t>(二)暴发调查</w:t>
      </w:r>
    </w:p>
    <w:p w14:paraId="5A91C806">
      <w:pPr>
        <w:spacing w:before="120" w:line="342" w:lineRule="auto"/>
        <w:ind w:left="659" w:right="88" w:firstLine="420"/>
        <w:jc w:val="both"/>
        <w:rPr>
          <w:rFonts w:ascii="宋体" w:hAnsi="宋体" w:eastAsia="宋体" w:cs="宋体"/>
          <w:sz w:val="20"/>
          <w:szCs w:val="20"/>
        </w:rPr>
      </w:pPr>
      <w:r>
        <w:rPr>
          <w:rFonts w:ascii="宋体" w:hAnsi="宋体" w:eastAsia="宋体" w:cs="宋体"/>
          <w:spacing w:val="7"/>
          <w:sz w:val="20"/>
          <w:szCs w:val="20"/>
        </w:rPr>
        <w:t>医院感染暴发初期原因不明且可能迅速进展，全面深入的暴发调查是关键。调查一般经历核</w:t>
      </w:r>
      <w:r>
        <w:rPr>
          <w:rFonts w:ascii="宋体" w:hAnsi="宋体" w:eastAsia="宋体" w:cs="宋体"/>
          <w:sz w:val="20"/>
          <w:szCs w:val="20"/>
        </w:rPr>
        <w:t xml:space="preserve"> </w:t>
      </w:r>
      <w:r>
        <w:rPr>
          <w:rFonts w:ascii="宋体" w:hAnsi="宋体" w:eastAsia="宋体" w:cs="宋体"/>
          <w:spacing w:val="-2"/>
          <w:sz w:val="20"/>
          <w:szCs w:val="20"/>
        </w:rPr>
        <w:t>实诊断、确定暴发的存在、制定病例定义、病例发现与核实、描述</w:t>
      </w:r>
      <w:r>
        <w:rPr>
          <w:rFonts w:ascii="宋体" w:hAnsi="宋体" w:eastAsia="宋体" w:cs="宋体"/>
          <w:spacing w:val="-3"/>
          <w:sz w:val="20"/>
          <w:szCs w:val="20"/>
        </w:rPr>
        <w:t>感染的三间分布、建立假设并验证</w:t>
      </w:r>
      <w:r>
        <w:rPr>
          <w:rFonts w:ascii="宋体" w:hAnsi="宋体" w:eastAsia="宋体" w:cs="宋体"/>
          <w:sz w:val="20"/>
          <w:szCs w:val="20"/>
        </w:rPr>
        <w:t xml:space="preserve"> </w:t>
      </w:r>
      <w:r>
        <w:rPr>
          <w:rFonts w:ascii="宋体" w:hAnsi="宋体" w:eastAsia="宋体" w:cs="宋体"/>
          <w:spacing w:val="2"/>
          <w:sz w:val="20"/>
          <w:szCs w:val="20"/>
        </w:rPr>
        <w:t>假设等步骤。需要注意的是，整个调查过程中，调查与控制措施应紧密配合，调查的同时应及时采</w:t>
      </w:r>
      <w:r>
        <w:rPr>
          <w:rFonts w:ascii="宋体" w:hAnsi="宋体" w:eastAsia="宋体" w:cs="宋体"/>
          <w:spacing w:val="11"/>
          <w:sz w:val="20"/>
          <w:szCs w:val="20"/>
        </w:rPr>
        <w:t xml:space="preserve"> </w:t>
      </w:r>
      <w:r>
        <w:rPr>
          <w:rFonts w:ascii="宋体" w:hAnsi="宋体" w:eastAsia="宋体" w:cs="宋体"/>
          <w:spacing w:val="3"/>
          <w:sz w:val="20"/>
          <w:szCs w:val="20"/>
        </w:rPr>
        <w:t>取必要的控制措施。调查具体内容可参见第十六章第二节。</w:t>
      </w:r>
    </w:p>
    <w:p w14:paraId="01FBF776">
      <w:pPr>
        <w:spacing w:line="342" w:lineRule="auto"/>
        <w:rPr>
          <w:rFonts w:ascii="宋体" w:hAnsi="宋体" w:eastAsia="宋体" w:cs="宋体"/>
          <w:sz w:val="20"/>
          <w:szCs w:val="20"/>
        </w:rPr>
        <w:sectPr>
          <w:footerReference r:id="rId223" w:type="default"/>
          <w:pgSz w:w="11900" w:h="16820"/>
          <w:pgMar w:top="400" w:right="1550" w:bottom="849" w:left="899" w:header="0" w:footer="669" w:gutter="0"/>
          <w:cols w:space="720" w:num="1"/>
        </w:sectPr>
      </w:pPr>
    </w:p>
    <w:p w14:paraId="69267950">
      <w:pPr>
        <w:spacing w:line="247" w:lineRule="auto"/>
        <w:rPr>
          <w:rFonts w:ascii="Arial"/>
          <w:sz w:val="21"/>
        </w:rPr>
      </w:pPr>
    </w:p>
    <w:p w14:paraId="0B56C9A8">
      <w:pPr>
        <w:pStyle w:val="2"/>
        <w:spacing w:before="68" w:line="222" w:lineRule="auto"/>
        <w:ind w:left="7430"/>
        <w:rPr>
          <w:sz w:val="21"/>
          <w:szCs w:val="21"/>
        </w:rPr>
      </w:pPr>
      <w:r>
        <w:rPr>
          <w:spacing w:val="-25"/>
          <w:sz w:val="21"/>
          <w:szCs w:val="21"/>
        </w:rPr>
        <w:t>第十二章 医院感染</w:t>
      </w:r>
    </w:p>
    <w:p w14:paraId="1798C541">
      <w:pPr>
        <w:spacing w:line="256" w:lineRule="auto"/>
        <w:rPr>
          <w:rFonts w:ascii="Arial"/>
          <w:sz w:val="21"/>
        </w:rPr>
      </w:pPr>
    </w:p>
    <w:p w14:paraId="29985959">
      <w:pPr>
        <w:spacing w:line="256" w:lineRule="auto"/>
        <w:rPr>
          <w:rFonts w:ascii="Arial"/>
          <w:sz w:val="21"/>
        </w:rPr>
      </w:pPr>
    </w:p>
    <w:p w14:paraId="3AB53889">
      <w:pPr>
        <w:pStyle w:val="2"/>
        <w:spacing w:before="68" w:line="221" w:lineRule="auto"/>
        <w:ind w:left="412"/>
        <w:rPr>
          <w:sz w:val="21"/>
          <w:szCs w:val="21"/>
        </w:rPr>
      </w:pPr>
      <w:r>
        <w:rPr>
          <w:b/>
          <w:bCs/>
          <w:spacing w:val="25"/>
          <w:sz w:val="21"/>
          <w:szCs w:val="21"/>
        </w:rPr>
        <w:t>(三)暴发控制</w:t>
      </w:r>
    </w:p>
    <w:p w14:paraId="3519487C">
      <w:pPr>
        <w:spacing w:before="102" w:line="322" w:lineRule="auto"/>
        <w:ind w:right="595" w:firstLine="409"/>
        <w:jc w:val="both"/>
        <w:rPr>
          <w:rFonts w:ascii="宋体" w:hAnsi="宋体" w:eastAsia="宋体" w:cs="宋体"/>
          <w:sz w:val="21"/>
          <w:szCs w:val="21"/>
        </w:rPr>
      </w:pPr>
      <w:r>
        <w:rPr>
          <w:rFonts w:ascii="宋体" w:hAnsi="宋体" w:eastAsia="宋体" w:cs="宋体"/>
          <w:spacing w:val="4"/>
          <w:sz w:val="21"/>
          <w:szCs w:val="21"/>
        </w:rPr>
        <w:t>在医院感染暴发的控制中，提前制定应急预案是非常必要的。预案能够指导和规范医</w:t>
      </w:r>
      <w:r>
        <w:rPr>
          <w:rFonts w:ascii="宋体" w:hAnsi="宋体" w:eastAsia="宋体" w:cs="宋体"/>
          <w:spacing w:val="3"/>
          <w:sz w:val="21"/>
          <w:szCs w:val="21"/>
        </w:rPr>
        <w:t>院感染</w:t>
      </w:r>
      <w:r>
        <w:rPr>
          <w:rFonts w:ascii="宋体" w:hAnsi="宋体" w:eastAsia="宋体" w:cs="宋体"/>
          <w:sz w:val="21"/>
          <w:szCs w:val="21"/>
        </w:rPr>
        <w:t xml:space="preserve"> 暴发事件的应急处置工作。此外，开展医院感染风险评估，分析医院感染的发生概率及潜在危害，</w:t>
      </w:r>
      <w:r>
        <w:rPr>
          <w:rFonts w:ascii="宋体" w:hAnsi="宋体" w:eastAsia="宋体" w:cs="宋体"/>
          <w:spacing w:val="13"/>
          <w:sz w:val="21"/>
          <w:szCs w:val="21"/>
        </w:rPr>
        <w:t xml:space="preserve"> </w:t>
      </w:r>
      <w:r>
        <w:rPr>
          <w:rFonts w:ascii="宋体" w:hAnsi="宋体" w:eastAsia="宋体" w:cs="宋体"/>
          <w:spacing w:val="-2"/>
          <w:sz w:val="21"/>
          <w:szCs w:val="21"/>
        </w:rPr>
        <w:t>有助于发现医院感染管理的薄弱环节，合理设定防控优先级。</w:t>
      </w:r>
    </w:p>
    <w:p w14:paraId="30DDCFBB">
      <w:pPr>
        <w:spacing w:before="5" w:line="325" w:lineRule="auto"/>
        <w:ind w:right="648" w:firstLine="409"/>
        <w:jc w:val="both"/>
        <w:rPr>
          <w:rFonts w:ascii="宋体" w:hAnsi="宋体" w:eastAsia="宋体" w:cs="宋体"/>
          <w:sz w:val="21"/>
          <w:szCs w:val="21"/>
        </w:rPr>
      </w:pPr>
      <w:r>
        <w:rPr>
          <w:rFonts w:ascii="宋体" w:hAnsi="宋体" w:eastAsia="宋体" w:cs="宋体"/>
          <w:spacing w:val="-1"/>
          <w:sz w:val="21"/>
          <w:szCs w:val="21"/>
        </w:rPr>
        <w:t>当疑有医院感染暴发时，医务人员应立即向医院感染管理部门报告，管理部门应</w:t>
      </w:r>
      <w:r>
        <w:rPr>
          <w:rFonts w:ascii="宋体" w:hAnsi="宋体" w:eastAsia="宋体" w:cs="宋体"/>
          <w:spacing w:val="-2"/>
          <w:sz w:val="21"/>
          <w:szCs w:val="21"/>
        </w:rPr>
        <w:t>于第一时间到</w:t>
      </w:r>
      <w:r>
        <w:rPr>
          <w:rFonts w:ascii="宋体" w:hAnsi="宋体" w:eastAsia="宋体" w:cs="宋体"/>
          <w:sz w:val="21"/>
          <w:szCs w:val="21"/>
        </w:rPr>
        <w:t xml:space="preserve"> </w:t>
      </w:r>
      <w:r>
        <w:rPr>
          <w:rFonts w:ascii="宋体" w:hAnsi="宋体" w:eastAsia="宋体" w:cs="宋体"/>
          <w:spacing w:val="4"/>
          <w:sz w:val="21"/>
          <w:szCs w:val="21"/>
        </w:rPr>
        <w:t>达现场进行调查处理，采取有效措施。对于事态严重的医院感染暴发，</w:t>
      </w:r>
      <w:r>
        <w:rPr>
          <w:rFonts w:ascii="宋体" w:hAnsi="宋体" w:eastAsia="宋体" w:cs="宋体"/>
          <w:spacing w:val="3"/>
          <w:sz w:val="21"/>
          <w:szCs w:val="21"/>
        </w:rPr>
        <w:t>应该按照医院感染报告制</w:t>
      </w:r>
      <w:r>
        <w:rPr>
          <w:rFonts w:ascii="宋体" w:hAnsi="宋体" w:eastAsia="宋体" w:cs="宋体"/>
          <w:sz w:val="21"/>
          <w:szCs w:val="21"/>
        </w:rPr>
        <w:t xml:space="preserve"> </w:t>
      </w:r>
      <w:r>
        <w:rPr>
          <w:rFonts w:ascii="宋体" w:hAnsi="宋体" w:eastAsia="宋体" w:cs="宋体"/>
          <w:spacing w:val="4"/>
          <w:sz w:val="21"/>
          <w:szCs w:val="21"/>
        </w:rPr>
        <w:t>度，在规定的时限内向上级部门报告。医院感染一旦确</w:t>
      </w:r>
      <w:r>
        <w:rPr>
          <w:rFonts w:ascii="宋体" w:hAnsi="宋体" w:eastAsia="宋体" w:cs="宋体"/>
          <w:spacing w:val="3"/>
          <w:sz w:val="21"/>
          <w:szCs w:val="21"/>
        </w:rPr>
        <w:t>认暴发，应立即根据预案开展应急处理工</w:t>
      </w:r>
      <w:r>
        <w:rPr>
          <w:rFonts w:ascii="宋体" w:hAnsi="宋体" w:eastAsia="宋体" w:cs="宋体"/>
          <w:sz w:val="21"/>
          <w:szCs w:val="21"/>
        </w:rPr>
        <w:t xml:space="preserve"> </w:t>
      </w:r>
      <w:r>
        <w:rPr>
          <w:rFonts w:ascii="宋体" w:hAnsi="宋体" w:eastAsia="宋体" w:cs="宋体"/>
          <w:spacing w:val="4"/>
          <w:sz w:val="21"/>
          <w:szCs w:val="21"/>
        </w:rPr>
        <w:t>作。一方面积极救治感染病人，以尽可能减少死亡；另一方面立即组</w:t>
      </w:r>
      <w:r>
        <w:rPr>
          <w:rFonts w:ascii="宋体" w:hAnsi="宋体" w:eastAsia="宋体" w:cs="宋体"/>
          <w:spacing w:val="3"/>
          <w:sz w:val="21"/>
          <w:szCs w:val="21"/>
        </w:rPr>
        <w:t>织相关人员开展流行病学调</w:t>
      </w:r>
      <w:r>
        <w:rPr>
          <w:rFonts w:ascii="宋体" w:hAnsi="宋体" w:eastAsia="宋体" w:cs="宋体"/>
          <w:sz w:val="21"/>
          <w:szCs w:val="21"/>
        </w:rPr>
        <w:t xml:space="preserve"> </w:t>
      </w:r>
      <w:r>
        <w:rPr>
          <w:rFonts w:ascii="宋体" w:hAnsi="宋体" w:eastAsia="宋体" w:cs="宋体"/>
          <w:spacing w:val="-1"/>
          <w:sz w:val="21"/>
          <w:szCs w:val="21"/>
        </w:rPr>
        <w:t>查，及时采样进行病原学检测，尽快查清暴发原因。同时采取以下</w:t>
      </w:r>
      <w:r>
        <w:rPr>
          <w:rFonts w:ascii="宋体" w:hAnsi="宋体" w:eastAsia="宋体" w:cs="宋体"/>
          <w:spacing w:val="-2"/>
          <w:sz w:val="21"/>
          <w:szCs w:val="21"/>
        </w:rPr>
        <w:t>措施：①对已发生医院感染的病</w:t>
      </w:r>
      <w:r>
        <w:rPr>
          <w:rFonts w:ascii="宋体" w:hAnsi="宋体" w:eastAsia="宋体" w:cs="宋体"/>
          <w:sz w:val="21"/>
          <w:szCs w:val="21"/>
        </w:rPr>
        <w:t xml:space="preserve"> </w:t>
      </w:r>
      <w:r>
        <w:rPr>
          <w:rFonts w:ascii="宋体" w:hAnsi="宋体" w:eastAsia="宋体" w:cs="宋体"/>
          <w:spacing w:val="6"/>
          <w:sz w:val="21"/>
          <w:szCs w:val="21"/>
        </w:rPr>
        <w:t>人及时进行隔离；②对已发生医院感染的相关科</w:t>
      </w:r>
      <w:r>
        <w:rPr>
          <w:rFonts w:ascii="宋体" w:hAnsi="宋体" w:eastAsia="宋体" w:cs="宋体"/>
          <w:spacing w:val="6"/>
          <w:sz w:val="21"/>
          <w:szCs w:val="21"/>
          <w:u w:val="single" w:color="auto"/>
        </w:rPr>
        <w:t>室应</w:t>
      </w:r>
      <w:r>
        <w:rPr>
          <w:rFonts w:ascii="宋体" w:hAnsi="宋体" w:eastAsia="宋体" w:cs="宋体"/>
          <w:spacing w:val="6"/>
          <w:sz w:val="21"/>
          <w:szCs w:val="21"/>
        </w:rPr>
        <w:t>采取适当的管理措施.并做好随时和终末消</w:t>
      </w:r>
      <w:r>
        <w:rPr>
          <w:rFonts w:ascii="宋体" w:hAnsi="宋体" w:eastAsia="宋体" w:cs="宋体"/>
          <w:spacing w:val="12"/>
          <w:sz w:val="21"/>
          <w:szCs w:val="21"/>
        </w:rPr>
        <w:t xml:space="preserve"> </w:t>
      </w:r>
      <w:r>
        <w:rPr>
          <w:rFonts w:ascii="宋体" w:hAnsi="宋体" w:eastAsia="宋体" w:cs="宋体"/>
          <w:spacing w:val="-1"/>
          <w:sz w:val="21"/>
          <w:szCs w:val="21"/>
        </w:rPr>
        <w:t>毒，对接触者进行医学观察，直至超过该病的最长潜</w:t>
      </w:r>
      <w:r>
        <w:rPr>
          <w:rFonts w:ascii="宋体" w:hAnsi="宋体" w:eastAsia="宋体" w:cs="宋体"/>
          <w:spacing w:val="-2"/>
          <w:sz w:val="21"/>
          <w:szCs w:val="21"/>
        </w:rPr>
        <w:t>伏期为止，有条件的还可对接触者实施被动免</w:t>
      </w:r>
      <w:r>
        <w:rPr>
          <w:rFonts w:ascii="宋体" w:hAnsi="宋体" w:eastAsia="宋体" w:cs="宋体"/>
          <w:sz w:val="21"/>
          <w:szCs w:val="21"/>
        </w:rPr>
        <w:t xml:space="preserve"> </w:t>
      </w:r>
      <w:r>
        <w:rPr>
          <w:rFonts w:ascii="宋体" w:hAnsi="宋体" w:eastAsia="宋体" w:cs="宋体"/>
          <w:spacing w:val="-1"/>
          <w:sz w:val="21"/>
          <w:szCs w:val="21"/>
        </w:rPr>
        <w:t>疫；③了解准确的感染状况，追查感染源，对隐性感染者和病原</w:t>
      </w:r>
      <w:r>
        <w:rPr>
          <w:rFonts w:ascii="宋体" w:hAnsi="宋体" w:eastAsia="宋体" w:cs="宋体"/>
          <w:spacing w:val="-2"/>
          <w:sz w:val="21"/>
          <w:szCs w:val="21"/>
        </w:rPr>
        <w:t>携带者进行筛查；④根据初步确定</w:t>
      </w:r>
      <w:r>
        <w:rPr>
          <w:rFonts w:ascii="宋体" w:hAnsi="宋体" w:eastAsia="宋体" w:cs="宋体"/>
          <w:sz w:val="21"/>
          <w:szCs w:val="21"/>
        </w:rPr>
        <w:t xml:space="preserve"> </w:t>
      </w:r>
      <w:r>
        <w:rPr>
          <w:rFonts w:ascii="宋体" w:hAnsi="宋体" w:eastAsia="宋体" w:cs="宋体"/>
          <w:spacing w:val="-1"/>
          <w:sz w:val="21"/>
          <w:szCs w:val="21"/>
        </w:rPr>
        <w:t>的感染源和传播途径，及时采取控制措施，并对措施的</w:t>
      </w:r>
      <w:r>
        <w:rPr>
          <w:rFonts w:ascii="宋体" w:hAnsi="宋体" w:eastAsia="宋体" w:cs="宋体"/>
          <w:spacing w:val="-2"/>
          <w:sz w:val="21"/>
          <w:szCs w:val="21"/>
        </w:rPr>
        <w:t>效果进行评价；⑤对免疫功能低下、有严重</w:t>
      </w:r>
      <w:r>
        <w:rPr>
          <w:rFonts w:ascii="宋体" w:hAnsi="宋体" w:eastAsia="宋体" w:cs="宋体"/>
          <w:sz w:val="21"/>
          <w:szCs w:val="21"/>
        </w:rPr>
        <w:t xml:space="preserve"> </w:t>
      </w:r>
      <w:r>
        <w:rPr>
          <w:rFonts w:ascii="宋体" w:hAnsi="宋体" w:eastAsia="宋体" w:cs="宋体"/>
          <w:spacing w:val="4"/>
          <w:sz w:val="21"/>
          <w:szCs w:val="21"/>
        </w:rPr>
        <w:t>疾病或有多种基础疾病的病人，应采取保护性隔离措施，医务人员也应按照相关要求做好个人防</w:t>
      </w:r>
      <w:r>
        <w:rPr>
          <w:rFonts w:ascii="宋体" w:hAnsi="宋体" w:eastAsia="宋体" w:cs="宋体"/>
          <w:spacing w:val="2"/>
          <w:sz w:val="21"/>
          <w:szCs w:val="21"/>
        </w:rPr>
        <w:t xml:space="preserve"> </w:t>
      </w:r>
      <w:r>
        <w:rPr>
          <w:rFonts w:ascii="宋体" w:hAnsi="宋体" w:eastAsia="宋体" w:cs="宋体"/>
          <w:spacing w:val="-6"/>
          <w:sz w:val="21"/>
          <w:szCs w:val="21"/>
        </w:rPr>
        <w:t>护；⑥在医院感染暴发控制后，应完善暴发报告的订正，并且总结经验，进行整</w:t>
      </w:r>
      <w:r>
        <w:rPr>
          <w:rFonts w:ascii="宋体" w:hAnsi="宋体" w:eastAsia="宋体" w:cs="宋体"/>
          <w:spacing w:val="-7"/>
          <w:sz w:val="21"/>
          <w:szCs w:val="21"/>
        </w:rPr>
        <w:t>改，防止类似情况再</w:t>
      </w:r>
      <w:r>
        <w:rPr>
          <w:rFonts w:ascii="宋体" w:hAnsi="宋体" w:eastAsia="宋体" w:cs="宋体"/>
          <w:sz w:val="21"/>
          <w:szCs w:val="21"/>
        </w:rPr>
        <w:t xml:space="preserve"> </w:t>
      </w:r>
      <w:r>
        <w:rPr>
          <w:rFonts w:ascii="宋体" w:hAnsi="宋体" w:eastAsia="宋体" w:cs="宋体"/>
          <w:spacing w:val="-1"/>
          <w:sz w:val="21"/>
          <w:szCs w:val="21"/>
        </w:rPr>
        <w:t>次发生。</w:t>
      </w:r>
    </w:p>
    <w:p w14:paraId="4EAF4446">
      <w:pPr>
        <w:spacing w:line="218" w:lineRule="auto"/>
        <w:ind w:left="8129"/>
        <w:rPr>
          <w:rFonts w:ascii="宋体" w:hAnsi="宋体" w:eastAsia="宋体" w:cs="宋体"/>
          <w:sz w:val="21"/>
          <w:szCs w:val="21"/>
        </w:rPr>
      </w:pPr>
      <w:r>
        <w:rPr>
          <w:rFonts w:ascii="宋体" w:hAnsi="宋体" w:eastAsia="宋体" w:cs="宋体"/>
          <w:spacing w:val="15"/>
          <w:sz w:val="21"/>
          <w:szCs w:val="21"/>
        </w:rPr>
        <w:t>(高文静)</w:t>
      </w:r>
    </w:p>
    <w:p w14:paraId="44AF34C9">
      <w:pPr>
        <w:spacing w:line="281" w:lineRule="auto"/>
        <w:rPr>
          <w:rFonts w:ascii="Arial"/>
          <w:sz w:val="21"/>
        </w:rPr>
      </w:pPr>
    </w:p>
    <w:p w14:paraId="27434607">
      <w:pPr>
        <w:spacing w:before="1" w:line="450" w:lineRule="exact"/>
        <w:ind w:firstLine="2239"/>
      </w:pPr>
      <w:r>
        <w:rPr>
          <w:position w:val="-8"/>
        </w:rPr>
        <w:drawing>
          <wp:inline distT="0" distB="0" distL="0" distR="0">
            <wp:extent cx="4432300" cy="285115"/>
            <wp:effectExtent l="0" t="0" r="0" b="0"/>
            <wp:docPr id="578" name="IM 578"/>
            <wp:cNvGraphicFramePr/>
            <a:graphic xmlns:a="http://schemas.openxmlformats.org/drawingml/2006/main">
              <a:graphicData uri="http://schemas.openxmlformats.org/drawingml/2006/picture">
                <pic:pic xmlns:pic="http://schemas.openxmlformats.org/drawingml/2006/picture">
                  <pic:nvPicPr>
                    <pic:cNvPr id="578" name="IM 578"/>
                    <pic:cNvPicPr/>
                  </pic:nvPicPr>
                  <pic:blipFill>
                    <a:blip r:embed="rId632"/>
                    <a:stretch>
                      <a:fillRect/>
                    </a:stretch>
                  </pic:blipFill>
                  <pic:spPr>
                    <a:xfrm>
                      <a:off x="0" y="0"/>
                      <a:ext cx="4432340" cy="285708"/>
                    </a:xfrm>
                    <a:prstGeom prst="rect">
                      <a:avLst/>
                    </a:prstGeom>
                  </pic:spPr>
                </pic:pic>
              </a:graphicData>
            </a:graphic>
          </wp:inline>
        </w:drawing>
      </w:r>
    </w:p>
    <w:p w14:paraId="687E2BCE">
      <w:pPr>
        <w:pStyle w:val="2"/>
        <w:spacing w:before="107" w:line="222" w:lineRule="auto"/>
        <w:ind w:left="413"/>
        <w:rPr>
          <w:sz w:val="26"/>
          <w:szCs w:val="26"/>
        </w:rPr>
      </w:pPr>
      <w:r>
        <w:rPr>
          <w:b/>
          <w:bCs/>
          <w:spacing w:val="-5"/>
          <w:sz w:val="26"/>
          <w:szCs w:val="26"/>
        </w:rPr>
        <w:t>思考题</w:t>
      </w:r>
    </w:p>
    <w:p w14:paraId="19226F75">
      <w:pPr>
        <w:spacing w:before="69" w:line="219" w:lineRule="auto"/>
        <w:ind w:left="1259"/>
        <w:rPr>
          <w:rFonts w:ascii="宋体" w:hAnsi="宋体" w:eastAsia="宋体" w:cs="宋体"/>
          <w:sz w:val="21"/>
          <w:szCs w:val="21"/>
        </w:rPr>
      </w:pPr>
      <w:r>
        <w:rPr>
          <w:rFonts w:ascii="宋体" w:hAnsi="宋体" w:eastAsia="宋体" w:cs="宋体"/>
          <w:spacing w:val="5"/>
          <w:sz w:val="21"/>
          <w:szCs w:val="21"/>
        </w:rPr>
        <w:t>1.</w:t>
      </w:r>
      <w:r>
        <w:rPr>
          <w:rFonts w:ascii="宋体" w:hAnsi="宋体" w:eastAsia="宋体" w:cs="宋体"/>
          <w:spacing w:val="-61"/>
          <w:sz w:val="21"/>
          <w:szCs w:val="21"/>
        </w:rPr>
        <w:t xml:space="preserve"> </w:t>
      </w:r>
      <w:r>
        <w:rPr>
          <w:rFonts w:ascii="宋体" w:hAnsi="宋体" w:eastAsia="宋体" w:cs="宋体"/>
          <w:spacing w:val="5"/>
          <w:sz w:val="21"/>
          <w:szCs w:val="21"/>
        </w:rPr>
        <w:t>什么是医院感染?</w:t>
      </w:r>
    </w:p>
    <w:p w14:paraId="2F824DFD">
      <w:pPr>
        <w:spacing w:before="121" w:line="219" w:lineRule="auto"/>
        <w:ind w:left="1259"/>
        <w:rPr>
          <w:rFonts w:ascii="宋体" w:hAnsi="宋体" w:eastAsia="宋体" w:cs="宋体"/>
          <w:sz w:val="21"/>
          <w:szCs w:val="21"/>
        </w:rPr>
      </w:pPr>
      <w:r>
        <w:rPr>
          <w:rFonts w:ascii="宋体" w:hAnsi="宋体" w:eastAsia="宋体" w:cs="宋体"/>
          <w:sz w:val="21"/>
          <w:szCs w:val="21"/>
        </w:rPr>
        <w:t>2.</w:t>
      </w:r>
      <w:r>
        <w:rPr>
          <w:rFonts w:ascii="宋体" w:hAnsi="宋体" w:eastAsia="宋体" w:cs="宋体"/>
          <w:spacing w:val="-41"/>
          <w:sz w:val="21"/>
          <w:szCs w:val="21"/>
        </w:rPr>
        <w:t xml:space="preserve"> </w:t>
      </w:r>
      <w:r>
        <w:rPr>
          <w:rFonts w:ascii="宋体" w:hAnsi="宋体" w:eastAsia="宋体" w:cs="宋体"/>
          <w:sz w:val="21"/>
          <w:szCs w:val="21"/>
        </w:rPr>
        <w:t>根据病原体来源，医院感染可分为哪两大类?</w:t>
      </w:r>
    </w:p>
    <w:p w14:paraId="7679F66E">
      <w:pPr>
        <w:spacing w:before="130" w:line="219" w:lineRule="auto"/>
        <w:ind w:left="1259"/>
        <w:rPr>
          <w:rFonts w:ascii="宋体" w:hAnsi="宋体" w:eastAsia="宋体" w:cs="宋体"/>
          <w:sz w:val="21"/>
          <w:szCs w:val="21"/>
        </w:rPr>
      </w:pPr>
      <w:r>
        <w:rPr>
          <w:rFonts w:ascii="宋体" w:hAnsi="宋体" w:eastAsia="宋体" w:cs="宋体"/>
          <w:spacing w:val="4"/>
          <w:sz w:val="21"/>
          <w:szCs w:val="21"/>
        </w:rPr>
        <w:t>3.</w:t>
      </w:r>
      <w:r>
        <w:rPr>
          <w:rFonts w:ascii="宋体" w:hAnsi="宋体" w:eastAsia="宋体" w:cs="宋体"/>
          <w:spacing w:val="-29"/>
          <w:sz w:val="21"/>
          <w:szCs w:val="21"/>
        </w:rPr>
        <w:t xml:space="preserve"> </w:t>
      </w:r>
      <w:r>
        <w:rPr>
          <w:rFonts w:ascii="宋体" w:hAnsi="宋体" w:eastAsia="宋体" w:cs="宋体"/>
          <w:spacing w:val="4"/>
          <w:sz w:val="21"/>
          <w:szCs w:val="21"/>
        </w:rPr>
        <w:t>医院感染的常见传播途径有哪些?</w:t>
      </w:r>
    </w:p>
    <w:p w14:paraId="6E03824D">
      <w:pPr>
        <w:spacing w:before="112" w:line="220" w:lineRule="auto"/>
        <w:ind w:left="1259"/>
        <w:rPr>
          <w:rFonts w:ascii="宋体" w:hAnsi="宋体" w:eastAsia="宋体" w:cs="宋体"/>
          <w:sz w:val="21"/>
          <w:szCs w:val="21"/>
        </w:rPr>
      </w:pPr>
      <w:r>
        <w:rPr>
          <w:rFonts w:ascii="宋体" w:hAnsi="宋体" w:eastAsia="宋体" w:cs="宋体"/>
          <w:spacing w:val="6"/>
          <w:sz w:val="21"/>
          <w:szCs w:val="21"/>
        </w:rPr>
        <w:t>4.</w:t>
      </w:r>
      <w:r>
        <w:rPr>
          <w:rFonts w:ascii="宋体" w:hAnsi="宋体" w:eastAsia="宋体" w:cs="宋体"/>
          <w:spacing w:val="-48"/>
          <w:sz w:val="21"/>
          <w:szCs w:val="21"/>
        </w:rPr>
        <w:t xml:space="preserve"> </w:t>
      </w:r>
      <w:r>
        <w:rPr>
          <w:rFonts w:ascii="宋体" w:hAnsi="宋体" w:eastAsia="宋体" w:cs="宋体"/>
          <w:spacing w:val="6"/>
          <w:sz w:val="21"/>
          <w:szCs w:val="21"/>
        </w:rPr>
        <w:t>为何进行医院感染监测?</w:t>
      </w:r>
    </w:p>
    <w:p w14:paraId="09486DCD">
      <w:pPr>
        <w:spacing w:before="118" w:line="219" w:lineRule="auto"/>
        <w:ind w:left="1259"/>
        <w:rPr>
          <w:rFonts w:ascii="宋体" w:hAnsi="宋体" w:eastAsia="宋体" w:cs="宋体"/>
          <w:sz w:val="21"/>
          <w:szCs w:val="21"/>
        </w:rPr>
      </w:pPr>
      <w:r>
        <w:rPr>
          <w:rFonts w:ascii="宋体" w:hAnsi="宋体" w:eastAsia="宋体" w:cs="宋体"/>
          <w:spacing w:val="5"/>
          <w:sz w:val="21"/>
          <w:szCs w:val="21"/>
        </w:rPr>
        <w:t>5.</w:t>
      </w:r>
      <w:r>
        <w:rPr>
          <w:rFonts w:ascii="宋体" w:hAnsi="宋体" w:eastAsia="宋体" w:cs="宋体"/>
          <w:spacing w:val="-51"/>
          <w:sz w:val="21"/>
          <w:szCs w:val="21"/>
        </w:rPr>
        <w:t xml:space="preserve"> </w:t>
      </w:r>
      <w:r>
        <w:rPr>
          <w:rFonts w:ascii="宋体" w:hAnsi="宋体" w:eastAsia="宋体" w:cs="宋体"/>
          <w:spacing w:val="5"/>
          <w:sz w:val="21"/>
          <w:szCs w:val="21"/>
        </w:rPr>
        <w:t>如何控制医院感染的暴发?</w:t>
      </w:r>
    </w:p>
    <w:p w14:paraId="66F3E32A">
      <w:pPr>
        <w:spacing w:line="219" w:lineRule="auto"/>
        <w:rPr>
          <w:rFonts w:ascii="宋体" w:hAnsi="宋体" w:eastAsia="宋体" w:cs="宋体"/>
          <w:sz w:val="21"/>
          <w:szCs w:val="21"/>
        </w:rPr>
        <w:sectPr>
          <w:footerReference r:id="rId224" w:type="default"/>
          <w:pgSz w:w="11900" w:h="16820"/>
          <w:pgMar w:top="400" w:right="809" w:bottom="836" w:left="1450" w:header="0" w:footer="647" w:gutter="0"/>
          <w:cols w:space="720" w:num="1"/>
        </w:sectPr>
      </w:pPr>
    </w:p>
    <w:p w14:paraId="650C9097">
      <w:pPr>
        <w:spacing w:line="358" w:lineRule="auto"/>
        <w:rPr>
          <w:rFonts w:ascii="Arial"/>
          <w:sz w:val="21"/>
        </w:rPr>
      </w:pPr>
    </w:p>
    <w:p w14:paraId="16EE404F">
      <w:pPr>
        <w:spacing w:line="359" w:lineRule="auto"/>
        <w:rPr>
          <w:rFonts w:ascii="Arial"/>
          <w:sz w:val="21"/>
        </w:rPr>
      </w:pPr>
      <w:r>
        <w:drawing>
          <wp:anchor distT="0" distB="0" distL="0" distR="0" simplePos="0" relativeHeight="251846656" behindDoc="0" locked="0" layoutInCell="1" allowOverlap="1">
            <wp:simplePos x="0" y="0"/>
            <wp:positionH relativeFrom="column">
              <wp:posOffset>412750</wp:posOffset>
            </wp:positionH>
            <wp:positionV relativeFrom="paragraph">
              <wp:posOffset>253365</wp:posOffset>
            </wp:positionV>
            <wp:extent cx="590550" cy="641350"/>
            <wp:effectExtent l="0" t="0" r="0" b="0"/>
            <wp:wrapNone/>
            <wp:docPr id="580" name="IM 580"/>
            <wp:cNvGraphicFramePr/>
            <a:graphic xmlns:a="http://schemas.openxmlformats.org/drawingml/2006/main">
              <a:graphicData uri="http://schemas.openxmlformats.org/drawingml/2006/picture">
                <pic:pic xmlns:pic="http://schemas.openxmlformats.org/drawingml/2006/picture">
                  <pic:nvPicPr>
                    <pic:cNvPr id="580" name="IM 580"/>
                    <pic:cNvPicPr/>
                  </pic:nvPicPr>
                  <pic:blipFill>
                    <a:blip r:embed="rId633"/>
                    <a:stretch>
                      <a:fillRect/>
                    </a:stretch>
                  </pic:blipFill>
                  <pic:spPr>
                    <a:xfrm>
                      <a:off x="0" y="0"/>
                      <a:ext cx="590540" cy="641269"/>
                    </a:xfrm>
                    <a:prstGeom prst="rect">
                      <a:avLst/>
                    </a:prstGeom>
                  </pic:spPr>
                </pic:pic>
              </a:graphicData>
            </a:graphic>
          </wp:anchor>
        </w:drawing>
      </w:r>
    </w:p>
    <w:p w14:paraId="6E4A4C55">
      <w:pPr>
        <w:pStyle w:val="2"/>
        <w:spacing w:before="94" w:line="222" w:lineRule="auto"/>
        <w:ind w:left="4584"/>
        <w:outlineLvl w:val="0"/>
        <w:rPr>
          <w:sz w:val="29"/>
          <w:szCs w:val="29"/>
        </w:rPr>
      </w:pPr>
      <w:bookmarkStart w:id="341" w:name="bookmark216"/>
      <w:bookmarkEnd w:id="341"/>
      <w:r>
        <w:rPr>
          <w:b/>
          <w:bCs/>
          <w:spacing w:val="7"/>
          <w:sz w:val="29"/>
          <w:szCs w:val="29"/>
        </w:rPr>
        <w:t>第十三章</w:t>
      </w:r>
    </w:p>
    <w:p w14:paraId="5010BF5A">
      <w:pPr>
        <w:pStyle w:val="2"/>
        <w:spacing w:before="113" w:line="221" w:lineRule="auto"/>
        <w:ind w:left="3176"/>
        <w:outlineLvl w:val="0"/>
        <w:rPr>
          <w:sz w:val="45"/>
          <w:szCs w:val="45"/>
        </w:rPr>
      </w:pPr>
      <w:bookmarkStart w:id="342" w:name="bookmark216"/>
      <w:bookmarkEnd w:id="342"/>
      <w:r>
        <w:rPr>
          <w:b/>
          <w:bCs/>
          <w:sz w:val="45"/>
          <w:szCs w:val="45"/>
        </w:rPr>
        <w:t>消毒与病媒生物防制</w:t>
      </w:r>
    </w:p>
    <w:p w14:paraId="15837614">
      <w:pPr>
        <w:spacing w:before="133" w:line="450" w:lineRule="exact"/>
        <w:ind w:firstLine="190"/>
      </w:pPr>
      <w:r>
        <w:rPr>
          <w:position w:val="-9"/>
        </w:rPr>
        <w:drawing>
          <wp:inline distT="0" distB="0" distL="0" distR="0">
            <wp:extent cx="330200" cy="285750"/>
            <wp:effectExtent l="0" t="0" r="0" b="0"/>
            <wp:docPr id="582" name="IM 582"/>
            <wp:cNvGraphicFramePr/>
            <a:graphic xmlns:a="http://schemas.openxmlformats.org/drawingml/2006/main">
              <a:graphicData uri="http://schemas.openxmlformats.org/drawingml/2006/picture">
                <pic:pic xmlns:pic="http://schemas.openxmlformats.org/drawingml/2006/picture">
                  <pic:nvPicPr>
                    <pic:cNvPr id="582" name="IM 582"/>
                    <pic:cNvPicPr/>
                  </pic:nvPicPr>
                  <pic:blipFill>
                    <a:blip r:embed="rId634"/>
                    <a:stretch>
                      <a:fillRect/>
                    </a:stretch>
                  </pic:blipFill>
                  <pic:spPr>
                    <a:xfrm>
                      <a:off x="0" y="0"/>
                      <a:ext cx="330219" cy="285815"/>
                    </a:xfrm>
                    <a:prstGeom prst="rect">
                      <a:avLst/>
                    </a:prstGeom>
                  </pic:spPr>
                </pic:pic>
              </a:graphicData>
            </a:graphic>
          </wp:inline>
        </w:drawing>
      </w:r>
    </w:p>
    <w:p w14:paraId="7C08EB68">
      <w:pPr>
        <w:spacing w:line="244" w:lineRule="auto"/>
        <w:rPr>
          <w:rFonts w:ascii="Arial"/>
          <w:sz w:val="21"/>
        </w:rPr>
      </w:pPr>
    </w:p>
    <w:p w14:paraId="322EA407">
      <w:pPr>
        <w:spacing w:before="83" w:line="198" w:lineRule="auto"/>
        <w:ind w:left="2290"/>
        <w:rPr>
          <w:rFonts w:ascii="Arial" w:hAnsi="Arial" w:eastAsia="Arial" w:cs="Arial"/>
          <w:sz w:val="29"/>
          <w:szCs w:val="29"/>
        </w:rPr>
      </w:pPr>
      <w:r>
        <w:rPr>
          <w:rFonts w:ascii="Arial" w:hAnsi="Arial" w:eastAsia="Arial" w:cs="Arial"/>
          <w:b/>
          <w:bCs/>
          <w:spacing w:val="-2"/>
          <w:sz w:val="29"/>
          <w:szCs w:val="29"/>
        </w:rPr>
        <w:t>Chapter 13</w:t>
      </w:r>
      <w:r>
        <w:rPr>
          <w:rFonts w:ascii="Arial" w:hAnsi="Arial" w:eastAsia="Arial" w:cs="Arial"/>
          <w:b/>
          <w:bCs/>
          <w:spacing w:val="20"/>
          <w:sz w:val="29"/>
          <w:szCs w:val="29"/>
        </w:rPr>
        <w:t xml:space="preserve"> </w:t>
      </w:r>
      <w:r>
        <w:rPr>
          <w:rFonts w:ascii="Arial" w:hAnsi="Arial" w:eastAsia="Arial" w:cs="Arial"/>
          <w:b/>
          <w:bCs/>
          <w:spacing w:val="-2"/>
          <w:sz w:val="29"/>
          <w:szCs w:val="29"/>
        </w:rPr>
        <w:t>Disinfection and Vector</w:t>
      </w:r>
      <w:r>
        <w:rPr>
          <w:rFonts w:ascii="Arial" w:hAnsi="Arial" w:eastAsia="Arial" w:cs="Arial"/>
          <w:b/>
          <w:bCs/>
          <w:spacing w:val="-3"/>
          <w:sz w:val="29"/>
          <w:szCs w:val="29"/>
        </w:rPr>
        <w:t xml:space="preserve"> Control</w:t>
      </w:r>
    </w:p>
    <w:p w14:paraId="3E28C79E">
      <w:pPr>
        <w:spacing w:line="443" w:lineRule="auto"/>
        <w:rPr>
          <w:rFonts w:ascii="Arial"/>
          <w:sz w:val="21"/>
        </w:rPr>
      </w:pPr>
    </w:p>
    <w:p w14:paraId="41E4A713">
      <w:pPr>
        <w:spacing w:before="57" w:line="382" w:lineRule="auto"/>
        <w:ind w:left="690" w:right="94" w:firstLine="439"/>
        <w:jc w:val="both"/>
        <w:rPr>
          <w:rFonts w:ascii="Times New Roman" w:hAnsi="Times New Roman" w:eastAsia="Times New Roman" w:cs="Times New Roman"/>
          <w:sz w:val="20"/>
          <w:szCs w:val="20"/>
        </w:rPr>
      </w:pPr>
      <w:r>
        <w:rPr>
          <w:rFonts w:ascii="Times New Roman" w:hAnsi="Times New Roman" w:eastAsia="Times New Roman" w:cs="Times New Roman"/>
          <w:sz w:val="20"/>
          <w:szCs w:val="20"/>
        </w:rPr>
        <w:t>Disinfection</w:t>
      </w:r>
      <w:r>
        <w:rPr>
          <w:rFonts w:ascii="Times New Roman" w:hAnsi="Times New Roman" w:eastAsia="Times New Roman" w:cs="Times New Roman"/>
          <w:spacing w:val="45"/>
          <w:w w:val="101"/>
          <w:sz w:val="20"/>
          <w:szCs w:val="20"/>
        </w:rPr>
        <w:t xml:space="preserve"> </w:t>
      </w:r>
      <w:r>
        <w:rPr>
          <w:rFonts w:ascii="Times New Roman" w:hAnsi="Times New Roman" w:eastAsia="Times New Roman" w:cs="Times New Roman"/>
          <w:sz w:val="20"/>
          <w:szCs w:val="20"/>
        </w:rPr>
        <w:t>is</w:t>
      </w:r>
      <w:r>
        <w:rPr>
          <w:rFonts w:ascii="Times New Roman" w:hAnsi="Times New Roman" w:eastAsia="Times New Roman" w:cs="Times New Roman"/>
          <w:spacing w:val="46"/>
          <w:w w:val="101"/>
          <w:sz w:val="20"/>
          <w:szCs w:val="20"/>
        </w:rPr>
        <w:t xml:space="preserve"> </w:t>
      </w:r>
      <w:r>
        <w:rPr>
          <w:rFonts w:ascii="Times New Roman" w:hAnsi="Times New Roman" w:eastAsia="Times New Roman" w:cs="Times New Roman"/>
          <w:sz w:val="20"/>
          <w:szCs w:val="20"/>
        </w:rPr>
        <w:t>an</w:t>
      </w:r>
      <w:r>
        <w:rPr>
          <w:rFonts w:ascii="Times New Roman" w:hAnsi="Times New Roman" w:eastAsia="Times New Roman" w:cs="Times New Roman"/>
          <w:spacing w:val="46"/>
          <w:w w:val="101"/>
          <w:sz w:val="20"/>
          <w:szCs w:val="20"/>
        </w:rPr>
        <w:t xml:space="preserve"> </w:t>
      </w:r>
      <w:r>
        <w:rPr>
          <w:rFonts w:ascii="Times New Roman" w:hAnsi="Times New Roman" w:eastAsia="Times New Roman" w:cs="Times New Roman"/>
          <w:sz w:val="20"/>
          <w:szCs w:val="20"/>
        </w:rPr>
        <w:t>effe</w:t>
      </w:r>
      <w:r>
        <w:rPr>
          <w:rFonts w:ascii="Times New Roman" w:hAnsi="Times New Roman" w:eastAsia="Times New Roman" w:cs="Times New Roman"/>
          <w:spacing w:val="-1"/>
          <w:sz w:val="20"/>
          <w:szCs w:val="20"/>
        </w:rPr>
        <w:t>ctive</w:t>
      </w:r>
      <w:r>
        <w:rPr>
          <w:rFonts w:ascii="Times New Roman" w:hAnsi="Times New Roman" w:eastAsia="Times New Roman" w:cs="Times New Roman"/>
          <w:spacing w:val="41"/>
          <w:sz w:val="20"/>
          <w:szCs w:val="20"/>
        </w:rPr>
        <w:t xml:space="preserve"> </w:t>
      </w:r>
      <w:r>
        <w:rPr>
          <w:rFonts w:ascii="Times New Roman" w:hAnsi="Times New Roman" w:eastAsia="Times New Roman" w:cs="Times New Roman"/>
          <w:spacing w:val="-1"/>
          <w:sz w:val="20"/>
          <w:szCs w:val="20"/>
        </w:rPr>
        <w:t>measure</w:t>
      </w:r>
      <w:r>
        <w:rPr>
          <w:rFonts w:ascii="Times New Roman" w:hAnsi="Times New Roman" w:eastAsia="Times New Roman" w:cs="Times New Roman"/>
          <w:spacing w:val="41"/>
          <w:sz w:val="20"/>
          <w:szCs w:val="20"/>
        </w:rPr>
        <w:t xml:space="preserve"> </w:t>
      </w:r>
      <w:r>
        <w:rPr>
          <w:rFonts w:ascii="Times New Roman" w:hAnsi="Times New Roman" w:eastAsia="Times New Roman" w:cs="Times New Roman"/>
          <w:spacing w:val="-1"/>
          <w:sz w:val="20"/>
          <w:szCs w:val="20"/>
        </w:rPr>
        <w:t>to</w:t>
      </w:r>
      <w:r>
        <w:rPr>
          <w:rFonts w:ascii="Times New Roman" w:hAnsi="Times New Roman" w:eastAsia="Times New Roman" w:cs="Times New Roman"/>
          <w:spacing w:val="49"/>
          <w:sz w:val="20"/>
          <w:szCs w:val="20"/>
        </w:rPr>
        <w:t xml:space="preserve"> </w:t>
      </w:r>
      <w:r>
        <w:rPr>
          <w:rFonts w:ascii="Times New Roman" w:hAnsi="Times New Roman" w:eastAsia="Times New Roman" w:cs="Times New Roman"/>
          <w:spacing w:val="-1"/>
          <w:sz w:val="20"/>
          <w:szCs w:val="20"/>
        </w:rPr>
        <w:t>stop</w:t>
      </w:r>
      <w:r>
        <w:rPr>
          <w:rFonts w:ascii="Times New Roman" w:hAnsi="Times New Roman" w:eastAsia="Times New Roman" w:cs="Times New Roman"/>
          <w:spacing w:val="41"/>
          <w:sz w:val="20"/>
          <w:szCs w:val="20"/>
        </w:rPr>
        <w:t xml:space="preserve"> </w:t>
      </w:r>
      <w:r>
        <w:rPr>
          <w:rFonts w:ascii="Times New Roman" w:hAnsi="Times New Roman" w:eastAsia="Times New Roman" w:cs="Times New Roman"/>
          <w:spacing w:val="-1"/>
          <w:sz w:val="20"/>
          <w:szCs w:val="20"/>
        </w:rPr>
        <w:t>transmission.To</w:t>
      </w:r>
      <w:r>
        <w:rPr>
          <w:rFonts w:ascii="Times New Roman" w:hAnsi="Times New Roman" w:eastAsia="Times New Roman" w:cs="Times New Roman"/>
          <w:spacing w:val="39"/>
          <w:sz w:val="20"/>
          <w:szCs w:val="20"/>
        </w:rPr>
        <w:t xml:space="preserve"> </w:t>
      </w:r>
      <w:r>
        <w:rPr>
          <w:rFonts w:ascii="Times New Roman" w:hAnsi="Times New Roman" w:eastAsia="Times New Roman" w:cs="Times New Roman"/>
          <w:spacing w:val="-1"/>
          <w:sz w:val="20"/>
          <w:szCs w:val="20"/>
        </w:rPr>
        <w:t>perform</w:t>
      </w:r>
      <w:r>
        <w:rPr>
          <w:rFonts w:ascii="Times New Roman" w:hAnsi="Times New Roman" w:eastAsia="Times New Roman" w:cs="Times New Roman"/>
          <w:spacing w:val="40"/>
          <w:w w:val="101"/>
          <w:sz w:val="20"/>
          <w:szCs w:val="20"/>
        </w:rPr>
        <w:t xml:space="preserve"> </w:t>
      </w:r>
      <w:r>
        <w:rPr>
          <w:rFonts w:ascii="Times New Roman" w:hAnsi="Times New Roman" w:eastAsia="Times New Roman" w:cs="Times New Roman"/>
          <w:spacing w:val="-1"/>
          <w:sz w:val="20"/>
          <w:szCs w:val="20"/>
        </w:rPr>
        <w:t>well</w:t>
      </w:r>
      <w:r>
        <w:rPr>
          <w:rFonts w:ascii="Times New Roman" w:hAnsi="Times New Roman" w:eastAsia="Times New Roman" w:cs="Times New Roman"/>
          <w:spacing w:val="45"/>
          <w:sz w:val="20"/>
          <w:szCs w:val="20"/>
        </w:rPr>
        <w:t xml:space="preserve"> </w:t>
      </w:r>
      <w:r>
        <w:rPr>
          <w:rFonts w:ascii="Times New Roman" w:hAnsi="Times New Roman" w:eastAsia="Times New Roman" w:cs="Times New Roman"/>
          <w:spacing w:val="-1"/>
          <w:sz w:val="20"/>
          <w:szCs w:val="20"/>
        </w:rPr>
        <w:t>in</w:t>
      </w:r>
      <w:r>
        <w:rPr>
          <w:rFonts w:ascii="Times New Roman" w:hAnsi="Times New Roman" w:eastAsia="Times New Roman" w:cs="Times New Roman"/>
          <w:spacing w:val="45"/>
          <w:w w:val="101"/>
          <w:sz w:val="20"/>
          <w:szCs w:val="20"/>
        </w:rPr>
        <w:t xml:space="preserve"> </w:t>
      </w:r>
      <w:r>
        <w:rPr>
          <w:rFonts w:ascii="Times New Roman" w:hAnsi="Times New Roman" w:eastAsia="Times New Roman" w:cs="Times New Roman"/>
          <w:spacing w:val="-1"/>
          <w:sz w:val="20"/>
          <w:szCs w:val="20"/>
        </w:rPr>
        <w:t>disinfection</w:t>
      </w:r>
      <w:r>
        <w:rPr>
          <w:rFonts w:ascii="Times New Roman" w:hAnsi="Times New Roman" w:eastAsia="Times New Roman" w:cs="Times New Roman"/>
          <w:spacing w:val="46"/>
          <w:w w:val="101"/>
          <w:sz w:val="20"/>
          <w:szCs w:val="20"/>
        </w:rPr>
        <w:t xml:space="preserve"> </w:t>
      </w:r>
      <w:r>
        <w:rPr>
          <w:rFonts w:ascii="Times New Roman" w:hAnsi="Times New Roman" w:eastAsia="Times New Roman" w:cs="Times New Roman"/>
          <w:spacing w:val="-1"/>
          <w:sz w:val="20"/>
          <w:szCs w:val="20"/>
        </w:rPr>
        <w:t>and</w:t>
      </w:r>
      <w:r>
        <w:rPr>
          <w:rFonts w:ascii="Times New Roman" w:hAnsi="Times New Roman" w:eastAsia="Times New Roman" w:cs="Times New Roman"/>
          <w:spacing w:val="38"/>
          <w:w w:val="101"/>
          <w:sz w:val="20"/>
          <w:szCs w:val="20"/>
        </w:rPr>
        <w:t xml:space="preserve"> </w:t>
      </w:r>
      <w:r>
        <w:rPr>
          <w:rFonts w:ascii="Times New Roman" w:hAnsi="Times New Roman" w:eastAsia="Times New Roman" w:cs="Times New Roman"/>
          <w:spacing w:val="-1"/>
          <w:sz w:val="20"/>
          <w:szCs w:val="20"/>
        </w:rPr>
        <w:t>provide</w:t>
      </w:r>
      <w:r>
        <w:rPr>
          <w:rFonts w:ascii="Times New Roman" w:hAnsi="Times New Roman" w:eastAsia="Times New Roman" w:cs="Times New Roman"/>
          <w:sz w:val="20"/>
          <w:szCs w:val="20"/>
        </w:rPr>
        <w:t xml:space="preserve"> strong</w:t>
      </w:r>
      <w:r>
        <w:rPr>
          <w:rFonts w:ascii="Times New Roman" w:hAnsi="Times New Roman" w:eastAsia="Times New Roman" w:cs="Times New Roman"/>
          <w:spacing w:val="13"/>
          <w:sz w:val="20"/>
          <w:szCs w:val="20"/>
        </w:rPr>
        <w:t xml:space="preserve">  </w:t>
      </w:r>
      <w:r>
        <w:rPr>
          <w:rFonts w:ascii="Times New Roman" w:hAnsi="Times New Roman" w:eastAsia="Times New Roman" w:cs="Times New Roman"/>
          <w:sz w:val="20"/>
          <w:szCs w:val="20"/>
        </w:rPr>
        <w:t>support  for  infection</w:t>
      </w:r>
      <w:r>
        <w:rPr>
          <w:rFonts w:ascii="Times New Roman" w:hAnsi="Times New Roman" w:eastAsia="Times New Roman" w:cs="Times New Roman"/>
          <w:spacing w:val="8"/>
          <w:sz w:val="20"/>
          <w:szCs w:val="20"/>
        </w:rPr>
        <w:t xml:space="preserve">  </w:t>
      </w:r>
      <w:r>
        <w:rPr>
          <w:rFonts w:ascii="Times New Roman" w:hAnsi="Times New Roman" w:eastAsia="Times New Roman" w:cs="Times New Roman"/>
          <w:sz w:val="20"/>
          <w:szCs w:val="20"/>
        </w:rPr>
        <w:t>prevention</w:t>
      </w:r>
      <w:r>
        <w:rPr>
          <w:rFonts w:ascii="Times New Roman" w:hAnsi="Times New Roman" w:eastAsia="Times New Roman" w:cs="Times New Roman"/>
          <w:spacing w:val="12"/>
          <w:sz w:val="20"/>
          <w:szCs w:val="20"/>
        </w:rPr>
        <w:t xml:space="preserve">  </w:t>
      </w:r>
      <w:r>
        <w:rPr>
          <w:rFonts w:ascii="Times New Roman" w:hAnsi="Times New Roman" w:eastAsia="Times New Roman" w:cs="Times New Roman"/>
          <w:sz w:val="20"/>
          <w:szCs w:val="20"/>
        </w:rPr>
        <w:t>and</w:t>
      </w:r>
      <w:r>
        <w:rPr>
          <w:rFonts w:ascii="Times New Roman" w:hAnsi="Times New Roman" w:eastAsia="Times New Roman" w:cs="Times New Roman"/>
          <w:spacing w:val="12"/>
          <w:sz w:val="20"/>
          <w:szCs w:val="20"/>
        </w:rPr>
        <w:t xml:space="preserve">  </w:t>
      </w:r>
      <w:r>
        <w:rPr>
          <w:rFonts w:ascii="Times New Roman" w:hAnsi="Times New Roman" w:eastAsia="Times New Roman" w:cs="Times New Roman"/>
          <w:sz w:val="20"/>
          <w:szCs w:val="20"/>
        </w:rPr>
        <w:t>control,it</w:t>
      </w:r>
      <w:r>
        <w:rPr>
          <w:rFonts w:ascii="Times New Roman" w:hAnsi="Times New Roman" w:eastAsia="Times New Roman" w:cs="Times New Roman"/>
          <w:spacing w:val="11"/>
          <w:sz w:val="20"/>
          <w:szCs w:val="20"/>
        </w:rPr>
        <w:t xml:space="preserve">  </w:t>
      </w:r>
      <w:r>
        <w:rPr>
          <w:rFonts w:ascii="Times New Roman" w:hAnsi="Times New Roman" w:eastAsia="Times New Roman" w:cs="Times New Roman"/>
          <w:sz w:val="20"/>
          <w:szCs w:val="20"/>
        </w:rPr>
        <w:t>is</w:t>
      </w:r>
      <w:r>
        <w:rPr>
          <w:rFonts w:ascii="Times New Roman" w:hAnsi="Times New Roman" w:eastAsia="Times New Roman" w:cs="Times New Roman"/>
          <w:spacing w:val="9"/>
          <w:sz w:val="20"/>
          <w:szCs w:val="20"/>
        </w:rPr>
        <w:t xml:space="preserve">  </w:t>
      </w:r>
      <w:r>
        <w:rPr>
          <w:rFonts w:ascii="Times New Roman" w:hAnsi="Times New Roman" w:eastAsia="Times New Roman" w:cs="Times New Roman"/>
          <w:sz w:val="20"/>
          <w:szCs w:val="20"/>
        </w:rPr>
        <w:t>necessary</w:t>
      </w:r>
      <w:r>
        <w:rPr>
          <w:rFonts w:ascii="Times New Roman" w:hAnsi="Times New Roman" w:eastAsia="Times New Roman" w:cs="Times New Roman"/>
          <w:spacing w:val="9"/>
          <w:sz w:val="20"/>
          <w:szCs w:val="20"/>
        </w:rPr>
        <w:t xml:space="preserve">  </w:t>
      </w:r>
      <w:r>
        <w:rPr>
          <w:rFonts w:ascii="Times New Roman" w:hAnsi="Times New Roman" w:eastAsia="Times New Roman" w:cs="Times New Roman"/>
          <w:sz w:val="20"/>
          <w:szCs w:val="20"/>
        </w:rPr>
        <w:t>to</w:t>
      </w:r>
      <w:r>
        <w:rPr>
          <w:rFonts w:ascii="Times New Roman" w:hAnsi="Times New Roman" w:eastAsia="Times New Roman" w:cs="Times New Roman"/>
          <w:spacing w:val="8"/>
          <w:sz w:val="20"/>
          <w:szCs w:val="20"/>
        </w:rPr>
        <w:t xml:space="preserve">  </w:t>
      </w:r>
      <w:r>
        <w:rPr>
          <w:rFonts w:ascii="Times New Roman" w:hAnsi="Times New Roman" w:eastAsia="Times New Roman" w:cs="Times New Roman"/>
          <w:sz w:val="20"/>
          <w:szCs w:val="20"/>
        </w:rPr>
        <w:t>understand</w:t>
      </w:r>
      <w:r>
        <w:rPr>
          <w:rFonts w:ascii="Times New Roman" w:hAnsi="Times New Roman" w:eastAsia="Times New Roman" w:cs="Times New Roman"/>
          <w:spacing w:val="10"/>
          <w:sz w:val="20"/>
          <w:szCs w:val="20"/>
        </w:rPr>
        <w:t xml:space="preserve">  </w:t>
      </w:r>
      <w:r>
        <w:rPr>
          <w:rFonts w:ascii="Times New Roman" w:hAnsi="Times New Roman" w:eastAsia="Times New Roman" w:cs="Times New Roman"/>
          <w:sz w:val="20"/>
          <w:szCs w:val="20"/>
        </w:rPr>
        <w:t>the</w:t>
      </w:r>
      <w:r>
        <w:rPr>
          <w:rFonts w:ascii="Times New Roman" w:hAnsi="Times New Roman" w:eastAsia="Times New Roman" w:cs="Times New Roman"/>
          <w:spacing w:val="8"/>
          <w:sz w:val="20"/>
          <w:szCs w:val="20"/>
        </w:rPr>
        <w:t xml:space="preserve">  </w:t>
      </w:r>
      <w:r>
        <w:rPr>
          <w:rFonts w:ascii="Times New Roman" w:hAnsi="Times New Roman" w:eastAsia="Times New Roman" w:cs="Times New Roman"/>
          <w:sz w:val="20"/>
          <w:szCs w:val="20"/>
        </w:rPr>
        <w:t>basic</w:t>
      </w:r>
      <w:r>
        <w:rPr>
          <w:rFonts w:ascii="Times New Roman" w:hAnsi="Times New Roman" w:eastAsia="Times New Roman" w:cs="Times New Roman"/>
          <w:spacing w:val="12"/>
          <w:sz w:val="20"/>
          <w:szCs w:val="20"/>
        </w:rPr>
        <w:t xml:space="preserve">  </w:t>
      </w:r>
      <w:r>
        <w:rPr>
          <w:rFonts w:ascii="Times New Roman" w:hAnsi="Times New Roman" w:eastAsia="Times New Roman" w:cs="Times New Roman"/>
          <w:spacing w:val="-1"/>
          <w:sz w:val="20"/>
          <w:szCs w:val="20"/>
        </w:rPr>
        <w:t>concepts</w:t>
      </w:r>
      <w:r>
        <w:rPr>
          <w:rFonts w:ascii="Times New Roman" w:hAnsi="Times New Roman" w:eastAsia="Times New Roman" w:cs="Times New Roman"/>
          <w:spacing w:val="11"/>
          <w:sz w:val="20"/>
          <w:szCs w:val="20"/>
        </w:rPr>
        <w:t xml:space="preserve">  </w:t>
      </w:r>
      <w:r>
        <w:rPr>
          <w:rFonts w:ascii="Times New Roman" w:hAnsi="Times New Roman" w:eastAsia="Times New Roman" w:cs="Times New Roman"/>
          <w:spacing w:val="-1"/>
          <w:sz w:val="20"/>
          <w:szCs w:val="20"/>
        </w:rPr>
        <w:t>of</w:t>
      </w:r>
      <w:r>
        <w:rPr>
          <w:rFonts w:ascii="Times New Roman" w:hAnsi="Times New Roman" w:eastAsia="Times New Roman" w:cs="Times New Roman"/>
          <w:spacing w:val="1"/>
          <w:sz w:val="20"/>
          <w:szCs w:val="20"/>
        </w:rPr>
        <w:t xml:space="preserve"> </w:t>
      </w:r>
      <w:r>
        <w:rPr>
          <w:rFonts w:ascii="Times New Roman" w:hAnsi="Times New Roman" w:eastAsia="Times New Roman" w:cs="Times New Roman"/>
          <w:sz w:val="20"/>
          <w:szCs w:val="20"/>
        </w:rPr>
        <w:t>disinfection,method    selection    principles,factors    affecting    effectiv</w:t>
      </w:r>
      <w:r>
        <w:rPr>
          <w:rFonts w:ascii="Times New Roman" w:hAnsi="Times New Roman" w:eastAsia="Times New Roman" w:cs="Times New Roman"/>
          <w:spacing w:val="-1"/>
          <w:sz w:val="20"/>
          <w:szCs w:val="20"/>
        </w:rPr>
        <w:t>eness,as    well     as    commonly    used</w:t>
      </w:r>
      <w:r>
        <w:rPr>
          <w:rFonts w:ascii="Times New Roman" w:hAnsi="Times New Roman" w:eastAsia="Times New Roman" w:cs="Times New Roman"/>
          <w:sz w:val="20"/>
          <w:szCs w:val="20"/>
        </w:rPr>
        <w:t xml:space="preserve"> disinfection</w:t>
      </w:r>
      <w:r>
        <w:rPr>
          <w:rFonts w:ascii="Times New Roman" w:hAnsi="Times New Roman" w:eastAsia="Times New Roman" w:cs="Times New Roman"/>
          <w:spacing w:val="22"/>
          <w:sz w:val="20"/>
          <w:szCs w:val="20"/>
        </w:rPr>
        <w:t xml:space="preserve">  </w:t>
      </w:r>
      <w:r>
        <w:rPr>
          <w:rFonts w:ascii="Times New Roman" w:hAnsi="Times New Roman" w:eastAsia="Times New Roman" w:cs="Times New Roman"/>
          <w:sz w:val="20"/>
          <w:szCs w:val="20"/>
        </w:rPr>
        <w:t>techniques</w:t>
      </w:r>
      <w:r>
        <w:rPr>
          <w:rFonts w:ascii="Times New Roman" w:hAnsi="Times New Roman" w:eastAsia="Times New Roman" w:cs="Times New Roman"/>
          <w:spacing w:val="24"/>
          <w:sz w:val="20"/>
          <w:szCs w:val="20"/>
        </w:rPr>
        <w:t xml:space="preserve">  </w:t>
      </w:r>
      <w:r>
        <w:rPr>
          <w:rFonts w:ascii="Times New Roman" w:hAnsi="Times New Roman" w:eastAsia="Times New Roman" w:cs="Times New Roman"/>
          <w:sz w:val="20"/>
          <w:szCs w:val="20"/>
        </w:rPr>
        <w:t>and</w:t>
      </w:r>
      <w:r>
        <w:rPr>
          <w:rFonts w:ascii="Times New Roman" w:hAnsi="Times New Roman" w:eastAsia="Times New Roman" w:cs="Times New Roman"/>
          <w:spacing w:val="22"/>
          <w:sz w:val="20"/>
          <w:szCs w:val="20"/>
        </w:rPr>
        <w:t xml:space="preserve">  </w:t>
      </w:r>
      <w:r>
        <w:rPr>
          <w:rFonts w:ascii="Times New Roman" w:hAnsi="Times New Roman" w:eastAsia="Times New Roman" w:cs="Times New Roman"/>
          <w:sz w:val="20"/>
          <w:szCs w:val="20"/>
        </w:rPr>
        <w:t>their</w:t>
      </w:r>
      <w:r>
        <w:rPr>
          <w:rFonts w:ascii="Times New Roman" w:hAnsi="Times New Roman" w:eastAsia="Times New Roman" w:cs="Times New Roman"/>
          <w:spacing w:val="23"/>
          <w:w w:val="101"/>
          <w:sz w:val="20"/>
          <w:szCs w:val="20"/>
        </w:rPr>
        <w:t xml:space="preserve">  </w:t>
      </w:r>
      <w:r>
        <w:rPr>
          <w:rFonts w:ascii="Times New Roman" w:hAnsi="Times New Roman" w:eastAsia="Times New Roman" w:cs="Times New Roman"/>
          <w:sz w:val="20"/>
          <w:szCs w:val="20"/>
        </w:rPr>
        <w:t>app</w:t>
      </w:r>
      <w:r>
        <w:rPr>
          <w:rFonts w:ascii="Times New Roman" w:hAnsi="Times New Roman" w:eastAsia="Times New Roman" w:cs="Times New Roman"/>
          <w:spacing w:val="-1"/>
          <w:sz w:val="20"/>
          <w:szCs w:val="20"/>
        </w:rPr>
        <w:t>lication   scope.Disease</w:t>
      </w:r>
      <w:r>
        <w:rPr>
          <w:rFonts w:ascii="Times New Roman" w:hAnsi="Times New Roman" w:eastAsia="Times New Roman" w:cs="Times New Roman"/>
          <w:spacing w:val="21"/>
          <w:w w:val="101"/>
          <w:sz w:val="20"/>
          <w:szCs w:val="20"/>
        </w:rPr>
        <w:t xml:space="preserve">  </w:t>
      </w:r>
      <w:r>
        <w:rPr>
          <w:rFonts w:ascii="Times New Roman" w:hAnsi="Times New Roman" w:eastAsia="Times New Roman" w:cs="Times New Roman"/>
          <w:spacing w:val="-1"/>
          <w:sz w:val="20"/>
          <w:szCs w:val="20"/>
        </w:rPr>
        <w:t>vectors   can</w:t>
      </w:r>
      <w:r>
        <w:rPr>
          <w:rFonts w:ascii="Times New Roman" w:hAnsi="Times New Roman" w:eastAsia="Times New Roman" w:cs="Times New Roman"/>
          <w:spacing w:val="21"/>
          <w:w w:val="101"/>
          <w:sz w:val="20"/>
          <w:szCs w:val="20"/>
        </w:rPr>
        <w:t xml:space="preserve">  </w:t>
      </w:r>
      <w:r>
        <w:rPr>
          <w:rFonts w:ascii="Times New Roman" w:hAnsi="Times New Roman" w:eastAsia="Times New Roman" w:cs="Times New Roman"/>
          <w:spacing w:val="-1"/>
          <w:sz w:val="20"/>
          <w:szCs w:val="20"/>
        </w:rPr>
        <w:t>not   only</w:t>
      </w:r>
      <w:r>
        <w:rPr>
          <w:rFonts w:ascii="Times New Roman" w:hAnsi="Times New Roman" w:eastAsia="Times New Roman" w:cs="Times New Roman"/>
          <w:spacing w:val="21"/>
          <w:w w:val="101"/>
          <w:sz w:val="20"/>
          <w:szCs w:val="20"/>
        </w:rPr>
        <w:t xml:space="preserve">  </w:t>
      </w:r>
      <w:r>
        <w:rPr>
          <w:rFonts w:ascii="Times New Roman" w:hAnsi="Times New Roman" w:eastAsia="Times New Roman" w:cs="Times New Roman"/>
          <w:spacing w:val="-1"/>
          <w:sz w:val="20"/>
          <w:szCs w:val="20"/>
        </w:rPr>
        <w:t>harass</w:t>
      </w:r>
      <w:r>
        <w:rPr>
          <w:rFonts w:ascii="Times New Roman" w:hAnsi="Times New Roman" w:eastAsia="Times New Roman" w:cs="Times New Roman"/>
          <w:spacing w:val="21"/>
          <w:w w:val="101"/>
          <w:sz w:val="20"/>
          <w:szCs w:val="20"/>
        </w:rPr>
        <w:t xml:space="preserve">  </w:t>
      </w:r>
      <w:r>
        <w:rPr>
          <w:rFonts w:ascii="Times New Roman" w:hAnsi="Times New Roman" w:eastAsia="Times New Roman" w:cs="Times New Roman"/>
          <w:spacing w:val="-1"/>
          <w:sz w:val="20"/>
          <w:szCs w:val="20"/>
        </w:rPr>
        <w:t>humans</w:t>
      </w:r>
      <w:r>
        <w:rPr>
          <w:rFonts w:ascii="Times New Roman" w:hAnsi="Times New Roman" w:eastAsia="Times New Roman" w:cs="Times New Roman"/>
          <w:spacing w:val="20"/>
          <w:w w:val="101"/>
          <w:sz w:val="20"/>
          <w:szCs w:val="20"/>
        </w:rPr>
        <w:t xml:space="preserve">  </w:t>
      </w:r>
      <w:r>
        <w:rPr>
          <w:rFonts w:ascii="Times New Roman" w:hAnsi="Times New Roman" w:eastAsia="Times New Roman" w:cs="Times New Roman"/>
          <w:spacing w:val="-1"/>
          <w:sz w:val="20"/>
          <w:szCs w:val="20"/>
        </w:rPr>
        <w:t>but</w:t>
      </w:r>
      <w:r>
        <w:rPr>
          <w:rFonts w:ascii="Times New Roman" w:hAnsi="Times New Roman" w:eastAsia="Times New Roman" w:cs="Times New Roman"/>
          <w:sz w:val="20"/>
          <w:szCs w:val="20"/>
        </w:rPr>
        <w:t xml:space="preserve"> also</w:t>
      </w:r>
      <w:r>
        <w:rPr>
          <w:rFonts w:ascii="Times New Roman" w:hAnsi="Times New Roman" w:eastAsia="Times New Roman" w:cs="Times New Roman"/>
          <w:spacing w:val="1"/>
          <w:sz w:val="20"/>
          <w:szCs w:val="20"/>
        </w:rPr>
        <w:t xml:space="preserve">  </w:t>
      </w:r>
      <w:r>
        <w:rPr>
          <w:rFonts w:ascii="Times New Roman" w:hAnsi="Times New Roman" w:eastAsia="Times New Roman" w:cs="Times New Roman"/>
          <w:sz w:val="20"/>
          <w:szCs w:val="20"/>
        </w:rPr>
        <w:t>transmit</w:t>
      </w:r>
      <w:r>
        <w:rPr>
          <w:rFonts w:ascii="Times New Roman" w:hAnsi="Times New Roman" w:eastAsia="Times New Roman" w:cs="Times New Roman"/>
          <w:spacing w:val="1"/>
          <w:sz w:val="20"/>
          <w:szCs w:val="20"/>
        </w:rPr>
        <w:t xml:space="preserve">  </w:t>
      </w:r>
      <w:r>
        <w:rPr>
          <w:rFonts w:ascii="Times New Roman" w:hAnsi="Times New Roman" w:eastAsia="Times New Roman" w:cs="Times New Roman"/>
          <w:sz w:val="20"/>
          <w:szCs w:val="20"/>
        </w:rPr>
        <w:t>various</w:t>
      </w:r>
      <w:r>
        <w:rPr>
          <w:rFonts w:ascii="Times New Roman" w:hAnsi="Times New Roman" w:eastAsia="Times New Roman" w:cs="Times New Roman"/>
          <w:spacing w:val="1"/>
          <w:sz w:val="20"/>
          <w:szCs w:val="20"/>
        </w:rPr>
        <w:t xml:space="preserve">  </w:t>
      </w:r>
      <w:r>
        <w:rPr>
          <w:rFonts w:ascii="Times New Roman" w:hAnsi="Times New Roman" w:eastAsia="Times New Roman" w:cs="Times New Roman"/>
          <w:sz w:val="20"/>
          <w:szCs w:val="20"/>
        </w:rPr>
        <w:t>pathogens</w:t>
      </w:r>
      <w:r>
        <w:rPr>
          <w:rFonts w:ascii="Times New Roman" w:hAnsi="Times New Roman" w:eastAsia="Times New Roman" w:cs="Times New Roman"/>
          <w:spacing w:val="1"/>
          <w:sz w:val="20"/>
          <w:szCs w:val="20"/>
        </w:rPr>
        <w:t>.</w:t>
      </w:r>
      <w:r>
        <w:rPr>
          <w:rFonts w:ascii="Times New Roman" w:hAnsi="Times New Roman" w:eastAsia="Times New Roman" w:cs="Times New Roman"/>
          <w:sz w:val="20"/>
          <w:szCs w:val="20"/>
        </w:rPr>
        <w:t>Effective</w:t>
      </w:r>
      <w:r>
        <w:rPr>
          <w:rFonts w:ascii="Times New Roman" w:hAnsi="Times New Roman" w:eastAsia="Times New Roman" w:cs="Times New Roman"/>
          <w:spacing w:val="9"/>
          <w:sz w:val="20"/>
          <w:szCs w:val="20"/>
        </w:rPr>
        <w:t xml:space="preserve">  </w:t>
      </w:r>
      <w:r>
        <w:rPr>
          <w:rFonts w:ascii="Times New Roman" w:hAnsi="Times New Roman" w:eastAsia="Times New Roman" w:cs="Times New Roman"/>
          <w:sz w:val="20"/>
          <w:szCs w:val="20"/>
        </w:rPr>
        <w:t>vector</w:t>
      </w:r>
      <w:r>
        <w:rPr>
          <w:rFonts w:ascii="Times New Roman" w:hAnsi="Times New Roman" w:eastAsia="Times New Roman" w:cs="Times New Roman"/>
          <w:spacing w:val="9"/>
          <w:sz w:val="20"/>
          <w:szCs w:val="20"/>
        </w:rPr>
        <w:t xml:space="preserve">  </w:t>
      </w:r>
      <w:r>
        <w:rPr>
          <w:rFonts w:ascii="Times New Roman" w:hAnsi="Times New Roman" w:eastAsia="Times New Roman" w:cs="Times New Roman"/>
          <w:sz w:val="20"/>
          <w:szCs w:val="20"/>
        </w:rPr>
        <w:t>control</w:t>
      </w:r>
      <w:r>
        <w:rPr>
          <w:rFonts w:ascii="Times New Roman" w:hAnsi="Times New Roman" w:eastAsia="Times New Roman" w:cs="Times New Roman"/>
          <w:spacing w:val="8"/>
          <w:sz w:val="20"/>
          <w:szCs w:val="20"/>
        </w:rPr>
        <w:t xml:space="preserve">  </w:t>
      </w:r>
      <w:r>
        <w:rPr>
          <w:rFonts w:ascii="Times New Roman" w:hAnsi="Times New Roman" w:eastAsia="Times New Roman" w:cs="Times New Roman"/>
          <w:sz w:val="20"/>
          <w:szCs w:val="20"/>
        </w:rPr>
        <w:t>requires</w:t>
      </w:r>
      <w:r>
        <w:rPr>
          <w:rFonts w:ascii="Times New Roman" w:hAnsi="Times New Roman" w:eastAsia="Times New Roman" w:cs="Times New Roman"/>
          <w:spacing w:val="10"/>
          <w:sz w:val="20"/>
          <w:szCs w:val="20"/>
        </w:rPr>
        <w:t xml:space="preserve">  </w:t>
      </w:r>
      <w:r>
        <w:rPr>
          <w:rFonts w:ascii="Times New Roman" w:hAnsi="Times New Roman" w:eastAsia="Times New Roman" w:cs="Times New Roman"/>
          <w:sz w:val="20"/>
          <w:szCs w:val="20"/>
        </w:rPr>
        <w:t>consideration</w:t>
      </w:r>
      <w:r>
        <w:rPr>
          <w:rFonts w:ascii="Times New Roman" w:hAnsi="Times New Roman" w:eastAsia="Times New Roman" w:cs="Times New Roman"/>
          <w:spacing w:val="10"/>
          <w:sz w:val="20"/>
          <w:szCs w:val="20"/>
        </w:rPr>
        <w:t xml:space="preserve">  </w:t>
      </w:r>
      <w:r>
        <w:rPr>
          <w:rFonts w:ascii="Times New Roman" w:hAnsi="Times New Roman" w:eastAsia="Times New Roman" w:cs="Times New Roman"/>
          <w:sz w:val="20"/>
          <w:szCs w:val="20"/>
        </w:rPr>
        <w:t>of</w:t>
      </w:r>
      <w:r>
        <w:rPr>
          <w:rFonts w:ascii="Times New Roman" w:hAnsi="Times New Roman" w:eastAsia="Times New Roman" w:cs="Times New Roman"/>
          <w:spacing w:val="1"/>
          <w:sz w:val="20"/>
          <w:szCs w:val="20"/>
        </w:rPr>
        <w:t xml:space="preserve">  </w:t>
      </w:r>
      <w:r>
        <w:rPr>
          <w:rFonts w:ascii="Times New Roman" w:hAnsi="Times New Roman" w:eastAsia="Times New Roman" w:cs="Times New Roman"/>
          <w:sz w:val="20"/>
          <w:szCs w:val="20"/>
        </w:rPr>
        <w:t>the</w:t>
      </w:r>
      <w:r>
        <w:rPr>
          <w:rFonts w:ascii="Times New Roman" w:hAnsi="Times New Roman" w:eastAsia="Times New Roman" w:cs="Times New Roman"/>
          <w:spacing w:val="7"/>
          <w:sz w:val="20"/>
          <w:szCs w:val="20"/>
        </w:rPr>
        <w:t xml:space="preserve">  </w:t>
      </w:r>
      <w:r>
        <w:rPr>
          <w:rFonts w:ascii="Times New Roman" w:hAnsi="Times New Roman" w:eastAsia="Times New Roman" w:cs="Times New Roman"/>
          <w:sz w:val="20"/>
          <w:szCs w:val="20"/>
        </w:rPr>
        <w:t>vector</w:t>
      </w:r>
      <w:r>
        <w:rPr>
          <w:rFonts w:ascii="Times New Roman" w:hAnsi="Times New Roman" w:eastAsia="Times New Roman" w:cs="Times New Roman"/>
          <w:spacing w:val="1"/>
          <w:sz w:val="20"/>
          <w:szCs w:val="20"/>
        </w:rPr>
        <w:t>'</w:t>
      </w:r>
      <w:r>
        <w:rPr>
          <w:rFonts w:ascii="Times New Roman" w:hAnsi="Times New Roman" w:eastAsia="Times New Roman" w:cs="Times New Roman"/>
          <w:sz w:val="20"/>
          <w:szCs w:val="20"/>
        </w:rPr>
        <w:t>s</w:t>
      </w:r>
      <w:r>
        <w:rPr>
          <w:rFonts w:ascii="Times New Roman" w:hAnsi="Times New Roman" w:eastAsia="Times New Roman" w:cs="Times New Roman"/>
          <w:spacing w:val="7"/>
          <w:sz w:val="20"/>
          <w:szCs w:val="20"/>
        </w:rPr>
        <w:t xml:space="preserve">  </w:t>
      </w:r>
      <w:r>
        <w:rPr>
          <w:rFonts w:ascii="Times New Roman" w:hAnsi="Times New Roman" w:eastAsia="Times New Roman" w:cs="Times New Roman"/>
          <w:sz w:val="20"/>
          <w:szCs w:val="20"/>
        </w:rPr>
        <w:t>biological characteristics,as   well   as    environmental,social,and   economic    factors,followed   by   t</w:t>
      </w:r>
      <w:r>
        <w:rPr>
          <w:rFonts w:ascii="Times New Roman" w:hAnsi="Times New Roman" w:eastAsia="Times New Roman" w:cs="Times New Roman"/>
          <w:spacing w:val="-1"/>
          <w:sz w:val="20"/>
          <w:szCs w:val="20"/>
        </w:rPr>
        <w:t>he    applications   of</w:t>
      </w:r>
      <w:r>
        <w:rPr>
          <w:rFonts w:ascii="Times New Roman" w:hAnsi="Times New Roman" w:eastAsia="Times New Roman" w:cs="Times New Roman"/>
          <w:sz w:val="20"/>
          <w:szCs w:val="20"/>
        </w:rPr>
        <w:t xml:space="preserve"> environmental,physical,biological,chemical,and   other   control   measures   in   appropriate</w:t>
      </w:r>
      <w:r>
        <w:rPr>
          <w:rFonts w:ascii="Times New Roman" w:hAnsi="Times New Roman" w:eastAsia="Times New Roman" w:cs="Times New Roman"/>
          <w:spacing w:val="3"/>
          <w:sz w:val="20"/>
          <w:szCs w:val="20"/>
        </w:rPr>
        <w:t xml:space="preserve">   </w:t>
      </w:r>
      <w:r>
        <w:rPr>
          <w:rFonts w:ascii="Times New Roman" w:hAnsi="Times New Roman" w:eastAsia="Times New Roman" w:cs="Times New Roman"/>
          <w:sz w:val="20"/>
          <w:szCs w:val="20"/>
        </w:rPr>
        <w:t>combinati</w:t>
      </w:r>
      <w:r>
        <w:rPr>
          <w:rFonts w:ascii="Times New Roman" w:hAnsi="Times New Roman" w:eastAsia="Times New Roman" w:cs="Times New Roman"/>
          <w:spacing w:val="-1"/>
          <w:sz w:val="20"/>
          <w:szCs w:val="20"/>
        </w:rPr>
        <w:t>ons.This</w:t>
      </w:r>
      <w:r>
        <w:rPr>
          <w:rFonts w:ascii="Times New Roman" w:hAnsi="Times New Roman" w:eastAsia="Times New Roman" w:cs="Times New Roman"/>
          <w:spacing w:val="1"/>
          <w:sz w:val="20"/>
          <w:szCs w:val="20"/>
        </w:rPr>
        <w:t xml:space="preserve"> </w:t>
      </w:r>
      <w:r>
        <w:rPr>
          <w:rFonts w:ascii="Times New Roman" w:hAnsi="Times New Roman" w:eastAsia="Times New Roman" w:cs="Times New Roman"/>
          <w:spacing w:val="-1"/>
          <w:sz w:val="20"/>
          <w:szCs w:val="20"/>
        </w:rPr>
        <w:t>chapter</w:t>
      </w:r>
      <w:r>
        <w:rPr>
          <w:rFonts w:ascii="Times New Roman" w:hAnsi="Times New Roman" w:eastAsia="Times New Roman" w:cs="Times New Roman"/>
          <w:spacing w:val="33"/>
          <w:w w:val="101"/>
          <w:sz w:val="20"/>
          <w:szCs w:val="20"/>
        </w:rPr>
        <w:t xml:space="preserve"> </w:t>
      </w:r>
      <w:r>
        <w:rPr>
          <w:rFonts w:ascii="Times New Roman" w:hAnsi="Times New Roman" w:eastAsia="Times New Roman" w:cs="Times New Roman"/>
          <w:spacing w:val="-1"/>
          <w:sz w:val="20"/>
          <w:szCs w:val="20"/>
        </w:rPr>
        <w:t>focuses</w:t>
      </w:r>
      <w:r>
        <w:rPr>
          <w:rFonts w:ascii="Times New Roman" w:hAnsi="Times New Roman" w:eastAsia="Times New Roman" w:cs="Times New Roman"/>
          <w:spacing w:val="27"/>
          <w:w w:val="101"/>
          <w:sz w:val="20"/>
          <w:szCs w:val="20"/>
        </w:rPr>
        <w:t xml:space="preserve"> </w:t>
      </w:r>
      <w:r>
        <w:rPr>
          <w:rFonts w:ascii="Times New Roman" w:hAnsi="Times New Roman" w:eastAsia="Times New Roman" w:cs="Times New Roman"/>
          <w:spacing w:val="-1"/>
          <w:sz w:val="20"/>
          <w:szCs w:val="20"/>
        </w:rPr>
        <w:t>on</w:t>
      </w:r>
      <w:r>
        <w:rPr>
          <w:rFonts w:ascii="Times New Roman" w:hAnsi="Times New Roman" w:eastAsia="Times New Roman" w:cs="Times New Roman"/>
          <w:spacing w:val="27"/>
          <w:sz w:val="20"/>
          <w:szCs w:val="20"/>
        </w:rPr>
        <w:t xml:space="preserve"> </w:t>
      </w:r>
      <w:r>
        <w:rPr>
          <w:rFonts w:ascii="Times New Roman" w:hAnsi="Times New Roman" w:eastAsia="Times New Roman" w:cs="Times New Roman"/>
          <w:spacing w:val="-1"/>
          <w:sz w:val="20"/>
          <w:szCs w:val="20"/>
        </w:rPr>
        <w:t>disinfection</w:t>
      </w:r>
      <w:r>
        <w:rPr>
          <w:rFonts w:ascii="Times New Roman" w:hAnsi="Times New Roman" w:eastAsia="Times New Roman" w:cs="Times New Roman"/>
          <w:spacing w:val="27"/>
          <w:w w:val="101"/>
          <w:sz w:val="20"/>
          <w:szCs w:val="20"/>
        </w:rPr>
        <w:t xml:space="preserve"> </w:t>
      </w:r>
      <w:r>
        <w:rPr>
          <w:rFonts w:ascii="Times New Roman" w:hAnsi="Times New Roman" w:eastAsia="Times New Roman" w:cs="Times New Roman"/>
          <w:spacing w:val="-1"/>
          <w:sz w:val="20"/>
          <w:szCs w:val="20"/>
        </w:rPr>
        <w:t>and</w:t>
      </w:r>
      <w:r>
        <w:rPr>
          <w:rFonts w:ascii="Times New Roman" w:hAnsi="Times New Roman" w:eastAsia="Times New Roman" w:cs="Times New Roman"/>
          <w:spacing w:val="21"/>
          <w:w w:val="101"/>
          <w:sz w:val="20"/>
          <w:szCs w:val="20"/>
        </w:rPr>
        <w:t xml:space="preserve"> </w:t>
      </w:r>
      <w:r>
        <w:rPr>
          <w:rFonts w:ascii="Times New Roman" w:hAnsi="Times New Roman" w:eastAsia="Times New Roman" w:cs="Times New Roman"/>
          <w:spacing w:val="-1"/>
          <w:sz w:val="20"/>
          <w:szCs w:val="20"/>
        </w:rPr>
        <w:t>vector</w:t>
      </w:r>
      <w:r>
        <w:rPr>
          <w:rFonts w:ascii="Times New Roman" w:hAnsi="Times New Roman" w:eastAsia="Times New Roman" w:cs="Times New Roman"/>
          <w:spacing w:val="26"/>
          <w:sz w:val="20"/>
          <w:szCs w:val="20"/>
        </w:rPr>
        <w:t xml:space="preserve"> </w:t>
      </w:r>
      <w:r>
        <w:rPr>
          <w:rFonts w:ascii="Times New Roman" w:hAnsi="Times New Roman" w:eastAsia="Times New Roman" w:cs="Times New Roman"/>
          <w:spacing w:val="-1"/>
          <w:sz w:val="20"/>
          <w:szCs w:val="20"/>
        </w:rPr>
        <w:t>control</w:t>
      </w:r>
      <w:r>
        <w:rPr>
          <w:rFonts w:ascii="Times New Roman" w:hAnsi="Times New Roman" w:eastAsia="Times New Roman" w:cs="Times New Roman"/>
          <w:spacing w:val="22"/>
          <w:sz w:val="20"/>
          <w:szCs w:val="20"/>
        </w:rPr>
        <w:t xml:space="preserve"> </w:t>
      </w:r>
      <w:r>
        <w:rPr>
          <w:rFonts w:ascii="Times New Roman" w:hAnsi="Times New Roman" w:eastAsia="Times New Roman" w:cs="Times New Roman"/>
          <w:spacing w:val="-1"/>
          <w:sz w:val="20"/>
          <w:szCs w:val="20"/>
        </w:rPr>
        <w:t>techniques.</w:t>
      </w:r>
    </w:p>
    <w:p w14:paraId="24053C08">
      <w:pPr>
        <w:spacing w:line="375" w:lineRule="auto"/>
        <w:rPr>
          <w:rFonts w:ascii="Arial"/>
          <w:sz w:val="21"/>
        </w:rPr>
      </w:pPr>
    </w:p>
    <w:p w14:paraId="50E1B3D5">
      <w:pPr>
        <w:spacing w:before="65" w:line="342" w:lineRule="auto"/>
        <w:ind w:left="690" w:firstLine="439"/>
        <w:jc w:val="both"/>
        <w:rPr>
          <w:rFonts w:ascii="宋体" w:hAnsi="宋体" w:eastAsia="宋体" w:cs="宋体"/>
          <w:sz w:val="20"/>
          <w:szCs w:val="20"/>
        </w:rPr>
      </w:pPr>
      <w:r>
        <w:rPr>
          <w:rFonts w:ascii="宋体" w:hAnsi="宋体" w:eastAsia="宋体" w:cs="宋体"/>
          <w:spacing w:val="15"/>
          <w:sz w:val="20"/>
          <w:szCs w:val="20"/>
        </w:rPr>
        <w:t>消毒是切断传染病传播途径的有效措施。了</w:t>
      </w:r>
      <w:r>
        <w:rPr>
          <w:rFonts w:ascii="宋体" w:hAnsi="宋体" w:eastAsia="宋体" w:cs="宋体"/>
          <w:spacing w:val="14"/>
          <w:sz w:val="20"/>
          <w:szCs w:val="20"/>
        </w:rPr>
        <w:t>解消毒的基本概念、方法选择原则和效果影响因</w:t>
      </w:r>
      <w:r>
        <w:rPr>
          <w:rFonts w:ascii="宋体" w:hAnsi="宋体" w:eastAsia="宋体" w:cs="宋体"/>
          <w:sz w:val="20"/>
          <w:szCs w:val="20"/>
        </w:rPr>
        <w:t xml:space="preserve">  </w:t>
      </w:r>
      <w:r>
        <w:rPr>
          <w:rFonts w:ascii="宋体" w:hAnsi="宋体" w:eastAsia="宋体" w:cs="宋体"/>
          <w:spacing w:val="10"/>
          <w:sz w:val="20"/>
          <w:szCs w:val="20"/>
        </w:rPr>
        <w:t>素，是做好消毒工作的前提和基础。掌握常用</w:t>
      </w:r>
      <w:r>
        <w:rPr>
          <w:rFonts w:ascii="宋体" w:hAnsi="宋体" w:eastAsia="宋体" w:cs="宋体"/>
          <w:spacing w:val="9"/>
          <w:sz w:val="20"/>
          <w:szCs w:val="20"/>
        </w:rPr>
        <w:t>消毒技术及其应用范围，才能做到科学消毒，为传染</w:t>
      </w:r>
      <w:r>
        <w:rPr>
          <w:rFonts w:ascii="宋体" w:hAnsi="宋体" w:eastAsia="宋体" w:cs="宋体"/>
          <w:sz w:val="20"/>
          <w:szCs w:val="20"/>
        </w:rPr>
        <w:t xml:space="preserve">  </w:t>
      </w:r>
      <w:r>
        <w:rPr>
          <w:rFonts w:ascii="宋体" w:hAnsi="宋体" w:eastAsia="宋体" w:cs="宋体"/>
          <w:spacing w:val="14"/>
          <w:sz w:val="20"/>
          <w:szCs w:val="20"/>
        </w:rPr>
        <w:t>病防控和感染控制提供有力保障。病媒生物除了可以骚扰人类外，还可传播多种疾病。病媒生物</w:t>
      </w:r>
      <w:r>
        <w:rPr>
          <w:rFonts w:ascii="宋体" w:hAnsi="宋体" w:eastAsia="宋体" w:cs="宋体"/>
          <w:sz w:val="20"/>
          <w:szCs w:val="20"/>
        </w:rPr>
        <w:t xml:space="preserve">  </w:t>
      </w:r>
      <w:r>
        <w:rPr>
          <w:rFonts w:ascii="宋体" w:hAnsi="宋体" w:eastAsia="宋体" w:cs="宋体"/>
          <w:spacing w:val="7"/>
          <w:sz w:val="20"/>
          <w:szCs w:val="20"/>
        </w:rPr>
        <w:t>防制需要根据病媒生物的生物学特性、环境、社会以及经济等因素，有机结合环境防制、物理防制、</w:t>
      </w:r>
      <w:r>
        <w:rPr>
          <w:rFonts w:ascii="宋体" w:hAnsi="宋体" w:eastAsia="宋体" w:cs="宋体"/>
          <w:spacing w:val="11"/>
          <w:sz w:val="20"/>
          <w:szCs w:val="20"/>
        </w:rPr>
        <w:t xml:space="preserve"> </w:t>
      </w:r>
      <w:r>
        <w:rPr>
          <w:rFonts w:ascii="宋体" w:hAnsi="宋体" w:eastAsia="宋体" w:cs="宋体"/>
          <w:spacing w:val="9"/>
          <w:sz w:val="20"/>
          <w:szCs w:val="20"/>
        </w:rPr>
        <w:t>生物防制、化学防制或其他防制方法。本章主要介绍消毒技术和病媒生物防制技术。</w:t>
      </w:r>
    </w:p>
    <w:p w14:paraId="4528E7A8">
      <w:pPr>
        <w:spacing w:line="398" w:lineRule="auto"/>
        <w:rPr>
          <w:rFonts w:ascii="Arial"/>
          <w:sz w:val="21"/>
        </w:rPr>
      </w:pPr>
    </w:p>
    <w:p w14:paraId="03B9931A">
      <w:pPr>
        <w:pStyle w:val="2"/>
        <w:spacing w:before="95" w:line="222" w:lineRule="auto"/>
        <w:ind w:left="4024"/>
        <w:outlineLvl w:val="1"/>
        <w:rPr>
          <w:sz w:val="29"/>
          <w:szCs w:val="29"/>
        </w:rPr>
      </w:pPr>
      <w:bookmarkStart w:id="343" w:name="bookmark217"/>
      <w:bookmarkEnd w:id="343"/>
      <w:r>
        <w:rPr>
          <w:b/>
          <w:bCs/>
          <w:spacing w:val="10"/>
          <w:sz w:val="29"/>
          <w:szCs w:val="29"/>
        </w:rPr>
        <w:t>第一节</w:t>
      </w:r>
      <w:r>
        <w:rPr>
          <w:sz w:val="29"/>
          <w:szCs w:val="29"/>
        </w:rPr>
        <w:t xml:space="preserve">  </w:t>
      </w:r>
      <w:r>
        <w:rPr>
          <w:b/>
          <w:bCs/>
          <w:spacing w:val="10"/>
          <w:sz w:val="29"/>
          <w:szCs w:val="29"/>
        </w:rPr>
        <w:t>消毒技术</w:t>
      </w:r>
    </w:p>
    <w:p w14:paraId="09AF8E14">
      <w:pPr>
        <w:spacing w:line="373" w:lineRule="auto"/>
        <w:rPr>
          <w:rFonts w:ascii="Arial"/>
          <w:sz w:val="21"/>
        </w:rPr>
      </w:pPr>
    </w:p>
    <w:p w14:paraId="66FE8345">
      <w:pPr>
        <w:pStyle w:val="2"/>
        <w:spacing w:before="84" w:line="221" w:lineRule="auto"/>
        <w:ind w:left="1133"/>
        <w:outlineLvl w:val="4"/>
        <w:rPr>
          <w:sz w:val="26"/>
          <w:szCs w:val="26"/>
        </w:rPr>
      </w:pPr>
      <w:bookmarkStart w:id="344" w:name="bookmark218"/>
      <w:bookmarkEnd w:id="344"/>
      <w:r>
        <w:rPr>
          <w:b/>
          <w:bCs/>
          <w:spacing w:val="-22"/>
          <w:sz w:val="26"/>
          <w:szCs w:val="26"/>
        </w:rPr>
        <w:t>一</w:t>
      </w:r>
      <w:r>
        <w:rPr>
          <w:spacing w:val="-78"/>
          <w:sz w:val="26"/>
          <w:szCs w:val="26"/>
        </w:rPr>
        <w:t xml:space="preserve"> </w:t>
      </w:r>
      <w:r>
        <w:rPr>
          <w:b/>
          <w:bCs/>
          <w:spacing w:val="-22"/>
          <w:sz w:val="26"/>
          <w:szCs w:val="26"/>
        </w:rPr>
        <w:t>、概述</w:t>
      </w:r>
    </w:p>
    <w:p w14:paraId="1B5A4539">
      <w:pPr>
        <w:spacing w:before="270" w:line="344" w:lineRule="auto"/>
        <w:ind w:left="690" w:right="100" w:firstLine="439"/>
        <w:jc w:val="both"/>
        <w:rPr>
          <w:rFonts w:ascii="宋体" w:hAnsi="宋体" w:eastAsia="宋体" w:cs="宋体"/>
          <w:sz w:val="20"/>
          <w:szCs w:val="20"/>
        </w:rPr>
      </w:pPr>
      <w:r>
        <w:rPr>
          <w:rFonts w:ascii="宋体" w:hAnsi="宋体" w:eastAsia="宋体" w:cs="宋体"/>
          <w:spacing w:val="12"/>
          <w:sz w:val="20"/>
          <w:szCs w:val="20"/>
        </w:rPr>
        <w:t>消毒学</w:t>
      </w:r>
      <w:r>
        <w:rPr>
          <w:rFonts w:ascii="Times New Roman" w:hAnsi="Times New Roman" w:eastAsia="Times New Roman" w:cs="Times New Roman"/>
          <w:spacing w:val="12"/>
          <w:sz w:val="20"/>
          <w:szCs w:val="20"/>
        </w:rPr>
        <w:t>(</w:t>
      </w:r>
      <w:r>
        <w:rPr>
          <w:rFonts w:ascii="Times New Roman" w:hAnsi="Times New Roman" w:eastAsia="Times New Roman" w:cs="Times New Roman"/>
          <w:sz w:val="20"/>
          <w:szCs w:val="20"/>
        </w:rPr>
        <w:t>disinfectionology</w:t>
      </w:r>
      <w:r>
        <w:rPr>
          <w:rFonts w:ascii="Times New Roman" w:hAnsi="Times New Roman" w:eastAsia="Times New Roman" w:cs="Times New Roman"/>
          <w:spacing w:val="12"/>
          <w:sz w:val="20"/>
          <w:szCs w:val="20"/>
        </w:rPr>
        <w:t xml:space="preserve">)    </w:t>
      </w:r>
      <w:r>
        <w:rPr>
          <w:rFonts w:ascii="宋体" w:hAnsi="宋体" w:eastAsia="宋体" w:cs="宋体"/>
          <w:spacing w:val="12"/>
          <w:sz w:val="20"/>
          <w:szCs w:val="20"/>
        </w:rPr>
        <w:t>是研究消毒理论、技术和方法的</w:t>
      </w:r>
      <w:r>
        <w:rPr>
          <w:rFonts w:ascii="宋体" w:hAnsi="宋体" w:eastAsia="宋体" w:cs="宋体"/>
          <w:spacing w:val="11"/>
          <w:sz w:val="20"/>
          <w:szCs w:val="20"/>
        </w:rPr>
        <w:t>科学，包括消毒理论与相关基础知</w:t>
      </w:r>
      <w:r>
        <w:rPr>
          <w:rFonts w:ascii="宋体" w:hAnsi="宋体" w:eastAsia="宋体" w:cs="宋体"/>
          <w:sz w:val="20"/>
          <w:szCs w:val="20"/>
        </w:rPr>
        <w:t xml:space="preserve"> </w:t>
      </w:r>
      <w:r>
        <w:rPr>
          <w:rFonts w:ascii="宋体" w:hAnsi="宋体" w:eastAsia="宋体" w:cs="宋体"/>
          <w:spacing w:val="10"/>
          <w:sz w:val="20"/>
          <w:szCs w:val="20"/>
        </w:rPr>
        <w:t>识、消毒效果监测评价和消毒应用技术三部分。长</w:t>
      </w:r>
      <w:r>
        <w:rPr>
          <w:rFonts w:ascii="宋体" w:hAnsi="宋体" w:eastAsia="宋体" w:cs="宋体"/>
          <w:spacing w:val="9"/>
          <w:sz w:val="20"/>
          <w:szCs w:val="20"/>
        </w:rPr>
        <w:t>期以来，消毒主要针对传染病的预防控制，通常</w:t>
      </w:r>
      <w:r>
        <w:rPr>
          <w:rFonts w:ascii="宋体" w:hAnsi="宋体" w:eastAsia="宋体" w:cs="宋体"/>
          <w:sz w:val="20"/>
          <w:szCs w:val="20"/>
        </w:rPr>
        <w:t xml:space="preserve"> </w:t>
      </w:r>
      <w:r>
        <w:rPr>
          <w:rFonts w:ascii="宋体" w:hAnsi="宋体" w:eastAsia="宋体" w:cs="宋体"/>
          <w:spacing w:val="4"/>
          <w:sz w:val="20"/>
          <w:szCs w:val="20"/>
        </w:rPr>
        <w:t>把消毒分为预防性消毒</w:t>
      </w:r>
      <w:r>
        <w:rPr>
          <w:rFonts w:ascii="Times New Roman" w:hAnsi="Times New Roman" w:eastAsia="Times New Roman" w:cs="Times New Roman"/>
          <w:spacing w:val="4"/>
          <w:sz w:val="20"/>
          <w:szCs w:val="20"/>
        </w:rPr>
        <w:t>(</w:t>
      </w:r>
      <w:r>
        <w:rPr>
          <w:rFonts w:ascii="Times New Roman" w:hAnsi="Times New Roman" w:eastAsia="Times New Roman" w:cs="Times New Roman"/>
          <w:sz w:val="20"/>
          <w:szCs w:val="20"/>
        </w:rPr>
        <w:t>preventive</w:t>
      </w:r>
      <w:r>
        <w:rPr>
          <w:rFonts w:ascii="Times New Roman" w:hAnsi="Times New Roman" w:eastAsia="Times New Roman" w:cs="Times New Roman"/>
          <w:spacing w:val="4"/>
          <w:sz w:val="20"/>
          <w:szCs w:val="20"/>
        </w:rPr>
        <w:t xml:space="preserve">     </w:t>
      </w:r>
      <w:r>
        <w:rPr>
          <w:rFonts w:ascii="Times New Roman" w:hAnsi="Times New Roman" w:eastAsia="Times New Roman" w:cs="Times New Roman"/>
          <w:sz w:val="20"/>
          <w:szCs w:val="20"/>
        </w:rPr>
        <w:t>disinfection</w:t>
      </w:r>
      <w:r>
        <w:rPr>
          <w:rFonts w:ascii="Times New Roman" w:hAnsi="Times New Roman" w:eastAsia="Times New Roman" w:cs="Times New Roman"/>
          <w:spacing w:val="4"/>
          <w:sz w:val="20"/>
          <w:szCs w:val="20"/>
        </w:rPr>
        <w:t>)</w:t>
      </w:r>
      <w:r>
        <w:rPr>
          <w:rFonts w:ascii="宋体" w:hAnsi="宋体" w:eastAsia="宋体" w:cs="宋体"/>
          <w:spacing w:val="4"/>
          <w:sz w:val="20"/>
          <w:szCs w:val="20"/>
        </w:rPr>
        <w:t>和疫源地消毒</w:t>
      </w:r>
      <w:r>
        <w:rPr>
          <w:rFonts w:ascii="Times New Roman" w:hAnsi="Times New Roman" w:eastAsia="Times New Roman" w:cs="Times New Roman"/>
          <w:spacing w:val="4"/>
          <w:sz w:val="20"/>
          <w:szCs w:val="20"/>
        </w:rPr>
        <w:t>(</w:t>
      </w:r>
      <w:r>
        <w:rPr>
          <w:rFonts w:ascii="Times New Roman" w:hAnsi="Times New Roman" w:eastAsia="Times New Roman" w:cs="Times New Roman"/>
          <w:sz w:val="20"/>
          <w:szCs w:val="20"/>
        </w:rPr>
        <w:t>disinfection</w:t>
      </w:r>
      <w:r>
        <w:rPr>
          <w:rFonts w:ascii="Times New Roman" w:hAnsi="Times New Roman" w:eastAsia="Times New Roman" w:cs="Times New Roman"/>
          <w:spacing w:val="4"/>
          <w:sz w:val="20"/>
          <w:szCs w:val="20"/>
        </w:rPr>
        <w:t xml:space="preserve">   </w:t>
      </w:r>
      <w:r>
        <w:rPr>
          <w:rFonts w:ascii="Times New Roman" w:hAnsi="Times New Roman" w:eastAsia="Times New Roman" w:cs="Times New Roman"/>
          <w:sz w:val="20"/>
          <w:szCs w:val="20"/>
        </w:rPr>
        <w:t>of</w:t>
      </w:r>
      <w:r>
        <w:rPr>
          <w:rFonts w:ascii="Times New Roman" w:hAnsi="Times New Roman" w:eastAsia="Times New Roman" w:cs="Times New Roman"/>
          <w:spacing w:val="4"/>
          <w:sz w:val="20"/>
          <w:szCs w:val="20"/>
        </w:rPr>
        <w:t xml:space="preserve">  </w:t>
      </w:r>
      <w:r>
        <w:rPr>
          <w:rFonts w:ascii="Times New Roman" w:hAnsi="Times New Roman" w:eastAsia="Times New Roman" w:cs="Times New Roman"/>
          <w:sz w:val="20"/>
          <w:szCs w:val="20"/>
        </w:rPr>
        <w:t>epidemic</w:t>
      </w:r>
      <w:r>
        <w:rPr>
          <w:rFonts w:ascii="Times New Roman" w:hAnsi="Times New Roman" w:eastAsia="Times New Roman" w:cs="Times New Roman"/>
          <w:spacing w:val="4"/>
          <w:sz w:val="20"/>
          <w:szCs w:val="20"/>
        </w:rPr>
        <w:t xml:space="preserve">   </w:t>
      </w:r>
      <w:r>
        <w:rPr>
          <w:rFonts w:ascii="Times New Roman" w:hAnsi="Times New Roman" w:eastAsia="Times New Roman" w:cs="Times New Roman"/>
          <w:sz w:val="20"/>
          <w:szCs w:val="20"/>
        </w:rPr>
        <w:t>focus</w:t>
      </w:r>
      <w:r>
        <w:rPr>
          <w:rFonts w:ascii="Times New Roman" w:hAnsi="Times New Roman" w:eastAsia="Times New Roman" w:cs="Times New Roman"/>
          <w:spacing w:val="4"/>
          <w:sz w:val="20"/>
          <w:szCs w:val="20"/>
        </w:rPr>
        <w:t>)</w:t>
      </w:r>
      <w:r>
        <w:rPr>
          <w:rFonts w:ascii="宋体" w:hAnsi="宋体" w:eastAsia="宋体" w:cs="宋体"/>
          <w:spacing w:val="4"/>
          <w:sz w:val="20"/>
          <w:szCs w:val="20"/>
        </w:rPr>
        <w:t>。预</w:t>
      </w:r>
      <w:r>
        <w:rPr>
          <w:rFonts w:ascii="宋体" w:hAnsi="宋体" w:eastAsia="宋体" w:cs="宋体"/>
          <w:spacing w:val="-16"/>
          <w:sz w:val="20"/>
          <w:szCs w:val="20"/>
        </w:rPr>
        <w:t xml:space="preserve"> </w:t>
      </w:r>
      <w:r>
        <w:rPr>
          <w:rFonts w:ascii="宋体" w:hAnsi="宋体" w:eastAsia="宋体" w:cs="宋体"/>
          <w:spacing w:val="4"/>
          <w:sz w:val="20"/>
          <w:szCs w:val="20"/>
        </w:rPr>
        <w:t>防</w:t>
      </w:r>
      <w:r>
        <w:rPr>
          <w:rFonts w:ascii="宋体" w:hAnsi="宋体" w:eastAsia="宋体" w:cs="宋体"/>
          <w:sz w:val="20"/>
          <w:szCs w:val="20"/>
        </w:rPr>
        <w:t xml:space="preserve"> </w:t>
      </w:r>
      <w:r>
        <w:rPr>
          <w:rFonts w:ascii="宋体" w:hAnsi="宋体" w:eastAsia="宋体" w:cs="宋体"/>
          <w:spacing w:val="15"/>
          <w:sz w:val="20"/>
          <w:szCs w:val="20"/>
        </w:rPr>
        <w:t>性消毒是指在没有明确传染源的情况下对可能受到污染的环境或物品</w:t>
      </w:r>
      <w:r>
        <w:rPr>
          <w:rFonts w:ascii="宋体" w:hAnsi="宋体" w:eastAsia="宋体" w:cs="宋体"/>
          <w:spacing w:val="14"/>
          <w:sz w:val="20"/>
          <w:szCs w:val="20"/>
        </w:rPr>
        <w:t>采取的消毒措施。疫源地消</w:t>
      </w:r>
      <w:r>
        <w:rPr>
          <w:rFonts w:ascii="宋体" w:hAnsi="宋体" w:eastAsia="宋体" w:cs="宋体"/>
          <w:sz w:val="20"/>
          <w:szCs w:val="20"/>
        </w:rPr>
        <w:t xml:space="preserve"> </w:t>
      </w:r>
      <w:r>
        <w:rPr>
          <w:rFonts w:ascii="宋体" w:hAnsi="宋体" w:eastAsia="宋体" w:cs="宋体"/>
          <w:spacing w:val="14"/>
          <w:sz w:val="20"/>
          <w:szCs w:val="20"/>
        </w:rPr>
        <w:t>毒是指对传染源污染或可能污染的环境和物品进行</w:t>
      </w:r>
      <w:r>
        <w:rPr>
          <w:rFonts w:ascii="宋体" w:hAnsi="宋体" w:eastAsia="宋体" w:cs="宋体"/>
          <w:spacing w:val="13"/>
          <w:sz w:val="20"/>
          <w:szCs w:val="20"/>
        </w:rPr>
        <w:t>的消毒处理，其又可分为随时消毒(</w:t>
      </w:r>
      <w:r>
        <w:rPr>
          <w:rFonts w:ascii="宋体" w:hAnsi="宋体" w:eastAsia="宋体" w:cs="宋体"/>
          <w:sz w:val="20"/>
          <w:szCs w:val="20"/>
        </w:rPr>
        <w:t xml:space="preserve">concurrent </w:t>
      </w:r>
      <w:r>
        <w:rPr>
          <w:rFonts w:ascii="Times New Roman" w:hAnsi="Times New Roman" w:eastAsia="Times New Roman" w:cs="Times New Roman"/>
          <w:sz w:val="20"/>
          <w:szCs w:val="20"/>
        </w:rPr>
        <w:t>disinfection</w:t>
      </w:r>
      <w:r>
        <w:rPr>
          <w:rFonts w:ascii="Times New Roman" w:hAnsi="Times New Roman" w:eastAsia="Times New Roman" w:cs="Times New Roman"/>
          <w:spacing w:val="8"/>
          <w:sz w:val="20"/>
          <w:szCs w:val="20"/>
        </w:rPr>
        <w:t xml:space="preserve">)  </w:t>
      </w:r>
      <w:r>
        <w:rPr>
          <w:rFonts w:ascii="宋体" w:hAnsi="宋体" w:eastAsia="宋体" w:cs="宋体"/>
          <w:spacing w:val="8"/>
          <w:sz w:val="20"/>
          <w:szCs w:val="20"/>
        </w:rPr>
        <w:t>和终末消毒</w:t>
      </w:r>
      <w:r>
        <w:rPr>
          <w:rFonts w:ascii="Times New Roman" w:hAnsi="Times New Roman" w:eastAsia="Times New Roman" w:cs="Times New Roman"/>
          <w:spacing w:val="8"/>
          <w:sz w:val="20"/>
          <w:szCs w:val="20"/>
        </w:rPr>
        <w:t>(</w:t>
      </w:r>
      <w:r>
        <w:rPr>
          <w:rFonts w:ascii="Times New Roman" w:hAnsi="Times New Roman" w:eastAsia="Times New Roman" w:cs="Times New Roman"/>
          <w:sz w:val="20"/>
          <w:szCs w:val="20"/>
        </w:rPr>
        <w:t>terminal</w:t>
      </w:r>
      <w:r>
        <w:rPr>
          <w:rFonts w:ascii="Times New Roman" w:hAnsi="Times New Roman" w:eastAsia="Times New Roman" w:cs="Times New Roman"/>
          <w:spacing w:val="8"/>
          <w:sz w:val="20"/>
          <w:szCs w:val="20"/>
        </w:rPr>
        <w:t xml:space="preserve">     </w:t>
      </w:r>
      <w:r>
        <w:rPr>
          <w:rFonts w:ascii="Times New Roman" w:hAnsi="Times New Roman" w:eastAsia="Times New Roman" w:cs="Times New Roman"/>
          <w:sz w:val="20"/>
          <w:szCs w:val="20"/>
        </w:rPr>
        <w:t>disinfection</w:t>
      </w:r>
      <w:r>
        <w:rPr>
          <w:rFonts w:ascii="Times New Roman" w:hAnsi="Times New Roman" w:eastAsia="Times New Roman" w:cs="Times New Roman"/>
          <w:spacing w:val="8"/>
          <w:sz w:val="20"/>
          <w:szCs w:val="20"/>
        </w:rPr>
        <w:t>)</w:t>
      </w:r>
      <w:r>
        <w:rPr>
          <w:rFonts w:ascii="宋体" w:hAnsi="宋体" w:eastAsia="宋体" w:cs="宋体"/>
          <w:spacing w:val="8"/>
          <w:sz w:val="20"/>
          <w:szCs w:val="20"/>
        </w:rPr>
        <w:t>。随时消毒是传染源存在的情况下对传染源污染的环</w:t>
      </w:r>
      <w:r>
        <w:rPr>
          <w:rFonts w:ascii="宋体" w:hAnsi="宋体" w:eastAsia="宋体" w:cs="宋体"/>
          <w:sz w:val="20"/>
          <w:szCs w:val="20"/>
        </w:rPr>
        <w:t xml:space="preserve"> </w:t>
      </w:r>
      <w:r>
        <w:rPr>
          <w:rFonts w:ascii="宋体" w:hAnsi="宋体" w:eastAsia="宋体" w:cs="宋体"/>
          <w:spacing w:val="15"/>
          <w:sz w:val="20"/>
          <w:szCs w:val="20"/>
        </w:rPr>
        <w:t>境和物品及时进行的消毒处理。终末消毒是</w:t>
      </w:r>
      <w:r>
        <w:rPr>
          <w:rFonts w:ascii="宋体" w:hAnsi="宋体" w:eastAsia="宋体" w:cs="宋体"/>
          <w:spacing w:val="14"/>
          <w:sz w:val="20"/>
          <w:szCs w:val="20"/>
        </w:rPr>
        <w:t>在传染源离开后对其污染或可能污染的环境和物品进</w:t>
      </w:r>
      <w:r>
        <w:rPr>
          <w:rFonts w:ascii="宋体" w:hAnsi="宋体" w:eastAsia="宋体" w:cs="宋体"/>
          <w:sz w:val="20"/>
          <w:szCs w:val="20"/>
        </w:rPr>
        <w:t xml:space="preserve"> </w:t>
      </w:r>
      <w:r>
        <w:rPr>
          <w:rFonts w:ascii="宋体" w:hAnsi="宋体" w:eastAsia="宋体" w:cs="宋体"/>
          <w:spacing w:val="15"/>
          <w:sz w:val="20"/>
          <w:szCs w:val="20"/>
        </w:rPr>
        <w:t>行的彻底消毒处理。根据疫源地大小可分为疫区</w:t>
      </w:r>
      <w:r>
        <w:rPr>
          <w:rFonts w:ascii="宋体" w:hAnsi="宋体" w:eastAsia="宋体" w:cs="宋体"/>
          <w:spacing w:val="14"/>
          <w:sz w:val="20"/>
          <w:szCs w:val="20"/>
        </w:rPr>
        <w:t>消毒和疫点消毒。终末消毒结束后，被消毒的环</w:t>
      </w:r>
      <w:r>
        <w:rPr>
          <w:rFonts w:ascii="宋体" w:hAnsi="宋体" w:eastAsia="宋体" w:cs="宋体"/>
          <w:sz w:val="20"/>
          <w:szCs w:val="20"/>
        </w:rPr>
        <w:t xml:space="preserve"> </w:t>
      </w:r>
      <w:r>
        <w:rPr>
          <w:rFonts w:ascii="宋体" w:hAnsi="宋体" w:eastAsia="宋体" w:cs="宋体"/>
          <w:spacing w:val="9"/>
          <w:sz w:val="20"/>
          <w:szCs w:val="20"/>
        </w:rPr>
        <w:t>境应确保安全。</w:t>
      </w:r>
    </w:p>
    <w:p w14:paraId="0D67B551">
      <w:pPr>
        <w:spacing w:before="77" w:line="343" w:lineRule="auto"/>
        <w:ind w:left="690" w:right="99" w:firstLine="429"/>
        <w:jc w:val="both"/>
        <w:rPr>
          <w:rFonts w:ascii="宋体" w:hAnsi="宋体" w:eastAsia="宋体" w:cs="宋体"/>
          <w:sz w:val="20"/>
          <w:szCs w:val="20"/>
        </w:rPr>
      </w:pPr>
      <w:r>
        <w:rPr>
          <w:rFonts w:ascii="宋体" w:hAnsi="宋体" w:eastAsia="宋体" w:cs="宋体"/>
          <w:spacing w:val="5"/>
          <w:sz w:val="20"/>
          <w:szCs w:val="20"/>
        </w:rPr>
        <w:t>近年来，消毒技术应用越来越广泛，早已超出了</w:t>
      </w:r>
      <w:r>
        <w:rPr>
          <w:rFonts w:ascii="宋体" w:hAnsi="宋体" w:eastAsia="宋体" w:cs="宋体"/>
          <w:spacing w:val="4"/>
          <w:sz w:val="20"/>
          <w:szCs w:val="20"/>
        </w:rPr>
        <w:t>传染病预防控制的范畴，在医院感染控制、食品</w:t>
      </w:r>
      <w:r>
        <w:rPr>
          <w:rFonts w:ascii="宋体" w:hAnsi="宋体" w:eastAsia="宋体" w:cs="宋体"/>
          <w:sz w:val="20"/>
          <w:szCs w:val="20"/>
        </w:rPr>
        <w:t xml:space="preserve"> </w:t>
      </w:r>
      <w:r>
        <w:rPr>
          <w:rFonts w:ascii="宋体" w:hAnsi="宋体" w:eastAsia="宋体" w:cs="宋体"/>
          <w:spacing w:val="10"/>
          <w:sz w:val="20"/>
          <w:szCs w:val="20"/>
        </w:rPr>
        <w:t>卫生、环境卫生和饮用水卫生、实验室生物安全等各项</w:t>
      </w:r>
      <w:r>
        <w:rPr>
          <w:rFonts w:ascii="宋体" w:hAnsi="宋体" w:eastAsia="宋体" w:cs="宋体"/>
          <w:spacing w:val="9"/>
          <w:sz w:val="20"/>
          <w:szCs w:val="20"/>
        </w:rPr>
        <w:t>工作中都需要消毒学知识。日常消毒涵盖医</w:t>
      </w:r>
      <w:r>
        <w:rPr>
          <w:rFonts w:ascii="宋体" w:hAnsi="宋体" w:eastAsia="宋体" w:cs="宋体"/>
          <w:sz w:val="20"/>
          <w:szCs w:val="20"/>
        </w:rPr>
        <w:t xml:space="preserve"> 疗机构、公共场所、托幼机构、养老机构、学校、微生物实验室、殡仪服务机构、</w:t>
      </w:r>
      <w:r>
        <w:rPr>
          <w:rFonts w:ascii="宋体" w:hAnsi="宋体" w:eastAsia="宋体" w:cs="宋体"/>
          <w:spacing w:val="-1"/>
          <w:sz w:val="20"/>
          <w:szCs w:val="20"/>
        </w:rPr>
        <w:t>国境口岸和公共交通</w:t>
      </w:r>
      <w:r>
        <w:rPr>
          <w:rFonts w:ascii="宋体" w:hAnsi="宋体" w:eastAsia="宋体" w:cs="宋体"/>
          <w:sz w:val="20"/>
          <w:szCs w:val="20"/>
        </w:rPr>
        <w:t xml:space="preserve"> </w:t>
      </w:r>
      <w:r>
        <w:rPr>
          <w:rFonts w:ascii="宋体" w:hAnsi="宋体" w:eastAsia="宋体" w:cs="宋体"/>
          <w:spacing w:val="5"/>
          <w:sz w:val="20"/>
          <w:szCs w:val="20"/>
        </w:rPr>
        <w:t>工具等场所，除此之外，农业、渔业、畜牧业、石油产业、食品生产加工及</w:t>
      </w:r>
      <w:r>
        <w:rPr>
          <w:rFonts w:ascii="宋体" w:hAnsi="宋体" w:eastAsia="宋体" w:cs="宋体"/>
          <w:spacing w:val="4"/>
          <w:sz w:val="20"/>
          <w:szCs w:val="20"/>
        </w:rPr>
        <w:t>人们的日常生活也与消毒</w:t>
      </w:r>
    </w:p>
    <w:p w14:paraId="3F48B8AF">
      <w:pPr>
        <w:spacing w:line="343" w:lineRule="auto"/>
        <w:rPr>
          <w:rFonts w:ascii="宋体" w:hAnsi="宋体" w:eastAsia="宋体" w:cs="宋体"/>
          <w:sz w:val="20"/>
          <w:szCs w:val="20"/>
        </w:rPr>
        <w:sectPr>
          <w:footerReference r:id="rId225" w:type="default"/>
          <w:pgSz w:w="11900" w:h="16820"/>
          <w:pgMar w:top="400" w:right="1349" w:bottom="799" w:left="739" w:header="0" w:footer="619" w:gutter="0"/>
          <w:cols w:space="720" w:num="1"/>
        </w:sectPr>
      </w:pPr>
    </w:p>
    <w:p w14:paraId="6DDBF0A3">
      <w:pPr>
        <w:pStyle w:val="2"/>
        <w:spacing w:before="276" w:line="221" w:lineRule="auto"/>
        <w:ind w:left="6549"/>
        <w:rPr>
          <w:sz w:val="20"/>
          <w:szCs w:val="20"/>
        </w:rPr>
      </w:pPr>
      <w:r>
        <w:rPr>
          <w:spacing w:val="-20"/>
          <w:sz w:val="20"/>
          <w:szCs w:val="20"/>
        </w:rPr>
        <w:t>第十三章 消毒与病媒生物防制</w:t>
      </w:r>
    </w:p>
    <w:p w14:paraId="6140DE40">
      <w:pPr>
        <w:spacing w:line="272" w:lineRule="auto"/>
        <w:rPr>
          <w:rFonts w:ascii="Arial"/>
          <w:sz w:val="21"/>
        </w:rPr>
      </w:pPr>
    </w:p>
    <w:p w14:paraId="76304ACE">
      <w:pPr>
        <w:spacing w:line="272" w:lineRule="auto"/>
        <w:rPr>
          <w:rFonts w:ascii="Arial"/>
          <w:sz w:val="21"/>
        </w:rPr>
      </w:pPr>
    </w:p>
    <w:p w14:paraId="7A4943B5">
      <w:pPr>
        <w:spacing w:before="65" w:line="219" w:lineRule="auto"/>
        <w:rPr>
          <w:rFonts w:ascii="宋体" w:hAnsi="宋体" w:eastAsia="宋体" w:cs="宋体"/>
          <w:sz w:val="20"/>
          <w:szCs w:val="20"/>
        </w:rPr>
      </w:pPr>
      <w:r>
        <w:rPr>
          <w:rFonts w:ascii="宋体" w:hAnsi="宋体" w:eastAsia="宋体" w:cs="宋体"/>
          <w:spacing w:val="7"/>
          <w:sz w:val="20"/>
          <w:szCs w:val="20"/>
        </w:rPr>
        <w:t>技术关系密切。</w:t>
      </w:r>
    </w:p>
    <w:p w14:paraId="323E8077">
      <w:pPr>
        <w:pStyle w:val="2"/>
        <w:spacing w:before="298" w:line="221" w:lineRule="auto"/>
        <w:ind w:left="413"/>
        <w:outlineLvl w:val="4"/>
        <w:rPr>
          <w:sz w:val="24"/>
          <w:szCs w:val="24"/>
        </w:rPr>
      </w:pPr>
      <w:bookmarkStart w:id="345" w:name="bookmark219"/>
      <w:bookmarkEnd w:id="345"/>
      <w:bookmarkStart w:id="346" w:name="bookmark516"/>
      <w:bookmarkEnd w:id="346"/>
      <w:r>
        <w:rPr>
          <w:b/>
          <w:bCs/>
          <w:spacing w:val="3"/>
          <w:sz w:val="24"/>
          <w:szCs w:val="24"/>
        </w:rPr>
        <w:t>二</w:t>
      </w:r>
      <w:r>
        <w:rPr>
          <w:spacing w:val="-40"/>
          <w:sz w:val="24"/>
          <w:szCs w:val="24"/>
        </w:rPr>
        <w:t xml:space="preserve"> </w:t>
      </w:r>
      <w:r>
        <w:rPr>
          <w:b/>
          <w:bCs/>
          <w:spacing w:val="3"/>
          <w:sz w:val="24"/>
          <w:szCs w:val="24"/>
        </w:rPr>
        <w:t>、常用消毒方法</w:t>
      </w:r>
    </w:p>
    <w:p w14:paraId="0F428CD3">
      <w:pPr>
        <w:spacing w:before="273" w:line="328" w:lineRule="auto"/>
        <w:ind w:right="668" w:firstLine="409"/>
        <w:rPr>
          <w:rFonts w:ascii="宋体" w:hAnsi="宋体" w:eastAsia="宋体" w:cs="宋体"/>
          <w:sz w:val="20"/>
          <w:szCs w:val="20"/>
        </w:rPr>
      </w:pPr>
      <w:r>
        <w:rPr>
          <w:rFonts w:ascii="宋体" w:hAnsi="宋体" w:eastAsia="宋体" w:cs="宋体"/>
          <w:spacing w:val="7"/>
          <w:sz w:val="20"/>
          <w:szCs w:val="20"/>
        </w:rPr>
        <w:t>消毒</w:t>
      </w:r>
      <w:r>
        <w:rPr>
          <w:rFonts w:ascii="Times New Roman" w:hAnsi="Times New Roman" w:eastAsia="Times New Roman" w:cs="Times New Roman"/>
          <w:spacing w:val="7"/>
          <w:sz w:val="20"/>
          <w:szCs w:val="20"/>
        </w:rPr>
        <w:t>(</w:t>
      </w:r>
      <w:r>
        <w:rPr>
          <w:rFonts w:ascii="Times New Roman" w:hAnsi="Times New Roman" w:eastAsia="Times New Roman" w:cs="Times New Roman"/>
          <w:sz w:val="20"/>
          <w:szCs w:val="20"/>
        </w:rPr>
        <w:t>disinfection</w:t>
      </w:r>
      <w:r>
        <w:rPr>
          <w:rFonts w:ascii="Times New Roman" w:hAnsi="Times New Roman" w:eastAsia="Times New Roman" w:cs="Times New Roman"/>
          <w:spacing w:val="7"/>
          <w:sz w:val="20"/>
          <w:szCs w:val="20"/>
        </w:rPr>
        <w:t xml:space="preserve">)   </w:t>
      </w:r>
      <w:r>
        <w:rPr>
          <w:rFonts w:ascii="宋体" w:hAnsi="宋体" w:eastAsia="宋体" w:cs="宋体"/>
          <w:spacing w:val="7"/>
          <w:sz w:val="20"/>
          <w:szCs w:val="20"/>
        </w:rPr>
        <w:t>是指采用物理、化学和生物方法，杀灭或清除环境中(包括物体上)的有害微</w:t>
      </w:r>
      <w:r>
        <w:rPr>
          <w:rFonts w:ascii="宋体" w:hAnsi="宋体" w:eastAsia="宋体" w:cs="宋体"/>
          <w:spacing w:val="2"/>
          <w:sz w:val="20"/>
          <w:szCs w:val="20"/>
        </w:rPr>
        <w:t xml:space="preserve"> </w:t>
      </w:r>
      <w:r>
        <w:rPr>
          <w:rFonts w:ascii="宋体" w:hAnsi="宋体" w:eastAsia="宋体" w:cs="宋体"/>
          <w:spacing w:val="7"/>
          <w:sz w:val="20"/>
          <w:szCs w:val="20"/>
        </w:rPr>
        <w:t>生物，使其达到无害化的过程。消毒方法可分为物理消毒和化学消毒。</w:t>
      </w:r>
    </w:p>
    <w:p w14:paraId="21CE791D">
      <w:pPr>
        <w:pStyle w:val="2"/>
        <w:spacing w:line="222" w:lineRule="auto"/>
        <w:ind w:left="413"/>
        <w:rPr>
          <w:sz w:val="24"/>
          <w:szCs w:val="24"/>
        </w:rPr>
      </w:pPr>
      <w:r>
        <w:rPr>
          <w:b/>
          <w:bCs/>
          <w:spacing w:val="-2"/>
          <w:sz w:val="24"/>
          <w:szCs w:val="24"/>
        </w:rPr>
        <w:t>(一)物理消毒</w:t>
      </w:r>
    </w:p>
    <w:p w14:paraId="6C548B5D">
      <w:pPr>
        <w:spacing w:before="103" w:line="336" w:lineRule="auto"/>
        <w:ind w:right="645" w:firstLine="409"/>
        <w:jc w:val="both"/>
        <w:rPr>
          <w:rFonts w:ascii="宋体" w:hAnsi="宋体" w:eastAsia="宋体" w:cs="宋体"/>
          <w:sz w:val="20"/>
          <w:szCs w:val="20"/>
        </w:rPr>
      </w:pPr>
      <w:r>
        <w:rPr>
          <w:rFonts w:ascii="宋体" w:hAnsi="宋体" w:eastAsia="宋体" w:cs="宋体"/>
          <w:spacing w:val="8"/>
          <w:sz w:val="20"/>
          <w:szCs w:val="20"/>
        </w:rPr>
        <w:t xml:space="preserve">物理消毒是利用物理因子进行消毒，可以是将自然界自然发生的物理因子加以利用，如日光暴 </w:t>
      </w:r>
      <w:r>
        <w:rPr>
          <w:rFonts w:ascii="宋体" w:hAnsi="宋体" w:eastAsia="宋体" w:cs="宋体"/>
          <w:spacing w:val="10"/>
          <w:sz w:val="20"/>
          <w:szCs w:val="20"/>
        </w:rPr>
        <w:t>晒，但更多的是利用某些物质的特性制成设备进行消毒或灭菌。常用的物理消毒包括热力消毒(干</w:t>
      </w:r>
      <w:r>
        <w:rPr>
          <w:rFonts w:ascii="宋体" w:hAnsi="宋体" w:eastAsia="宋体" w:cs="宋体"/>
          <w:spacing w:val="17"/>
          <w:sz w:val="20"/>
          <w:szCs w:val="20"/>
        </w:rPr>
        <w:t xml:space="preserve"> </w:t>
      </w:r>
      <w:r>
        <w:rPr>
          <w:rFonts w:ascii="宋体" w:hAnsi="宋体" w:eastAsia="宋体" w:cs="宋体"/>
          <w:spacing w:val="3"/>
          <w:sz w:val="20"/>
          <w:szCs w:val="20"/>
        </w:rPr>
        <w:t>热灭菌器、灼烧、煮沸、清洗消毒机、压力蒸汽灭菌器等)、紫外线消毒(紫外线消毒灯、紫外灯消毒</w:t>
      </w:r>
      <w:r>
        <w:rPr>
          <w:rFonts w:ascii="宋体" w:hAnsi="宋体" w:eastAsia="宋体" w:cs="宋体"/>
          <w:spacing w:val="15"/>
          <w:sz w:val="20"/>
          <w:szCs w:val="20"/>
        </w:rPr>
        <w:t xml:space="preserve"> </w:t>
      </w:r>
      <w:r>
        <w:rPr>
          <w:rFonts w:ascii="宋体" w:hAnsi="宋体" w:eastAsia="宋体" w:cs="宋体"/>
          <w:spacing w:val="-1"/>
          <w:sz w:val="20"/>
          <w:szCs w:val="20"/>
        </w:rPr>
        <w:t>器等)、电离辐射消毒、静电吸附消毒、过滤消毒等。</w:t>
      </w:r>
    </w:p>
    <w:p w14:paraId="78837798">
      <w:pPr>
        <w:pStyle w:val="2"/>
        <w:spacing w:before="2" w:line="220" w:lineRule="auto"/>
        <w:ind w:left="413"/>
        <w:rPr>
          <w:sz w:val="24"/>
          <w:szCs w:val="24"/>
        </w:rPr>
      </w:pPr>
      <w:r>
        <w:rPr>
          <w:b/>
          <w:bCs/>
          <w:spacing w:val="-2"/>
          <w:sz w:val="24"/>
          <w:szCs w:val="24"/>
        </w:rPr>
        <w:t>(二)化学消毒</w:t>
      </w:r>
    </w:p>
    <w:p w14:paraId="115F12A7">
      <w:pPr>
        <w:spacing w:before="96" w:line="343" w:lineRule="auto"/>
        <w:ind w:right="643" w:firstLine="409"/>
        <w:jc w:val="both"/>
        <w:rPr>
          <w:rFonts w:ascii="宋体" w:hAnsi="宋体" w:eastAsia="宋体" w:cs="宋体"/>
          <w:sz w:val="20"/>
          <w:szCs w:val="20"/>
        </w:rPr>
      </w:pPr>
      <w:r>
        <w:rPr>
          <w:rFonts w:ascii="宋体" w:hAnsi="宋体" w:eastAsia="宋体" w:cs="宋体"/>
          <w:spacing w:val="8"/>
          <w:sz w:val="20"/>
          <w:szCs w:val="20"/>
        </w:rPr>
        <w:t xml:space="preserve">化学消毒是利用化学因子进行消毒，可以直接使用化学消毒剂，如含氯消毒剂擦拭、二氧化氯 喷雾等；也可以以化学消毒剂为主要杀菌因子制成消毒设备进行消毒灭菌，如环氧乙烷灭菌器、低 </w:t>
      </w:r>
      <w:r>
        <w:rPr>
          <w:rFonts w:ascii="宋体" w:hAnsi="宋体" w:eastAsia="宋体" w:cs="宋体"/>
          <w:spacing w:val="10"/>
          <w:sz w:val="20"/>
          <w:szCs w:val="20"/>
        </w:rPr>
        <w:t>温蒸汽甲醛灭菌器等。</w:t>
      </w:r>
    </w:p>
    <w:p w14:paraId="4B20CD82">
      <w:pPr>
        <w:spacing w:before="4" w:line="333" w:lineRule="auto"/>
        <w:ind w:right="556" w:firstLine="409"/>
        <w:jc w:val="both"/>
        <w:rPr>
          <w:rFonts w:ascii="宋体" w:hAnsi="宋体" w:eastAsia="宋体" w:cs="宋体"/>
          <w:sz w:val="20"/>
          <w:szCs w:val="20"/>
        </w:rPr>
      </w:pPr>
      <w:r>
        <w:rPr>
          <w:rFonts w:ascii="宋体" w:hAnsi="宋体" w:eastAsia="宋体" w:cs="宋体"/>
          <w:spacing w:val="13"/>
          <w:sz w:val="20"/>
          <w:szCs w:val="20"/>
        </w:rPr>
        <w:t>消毒剂是采用一种或多种化学杀微生物因子制成的用于消毒的制剂。按用途可分为医疗器械</w:t>
      </w:r>
      <w:r>
        <w:rPr>
          <w:rFonts w:ascii="宋体" w:hAnsi="宋体" w:eastAsia="宋体" w:cs="宋体"/>
          <w:spacing w:val="8"/>
          <w:sz w:val="20"/>
          <w:szCs w:val="20"/>
        </w:rPr>
        <w:t xml:space="preserve">  </w:t>
      </w:r>
      <w:r>
        <w:rPr>
          <w:rFonts w:ascii="宋体" w:hAnsi="宋体" w:eastAsia="宋体" w:cs="宋体"/>
          <w:spacing w:val="3"/>
          <w:sz w:val="20"/>
          <w:szCs w:val="20"/>
        </w:rPr>
        <w:t>消毒剂、皮肤消毒剂、黏膜消毒剂、手消毒剂、空气消毒剂、普通物体表面消毒剂等；按有效成分可</w:t>
      </w:r>
      <w:r>
        <w:rPr>
          <w:rFonts w:ascii="宋体" w:hAnsi="宋体" w:eastAsia="宋体" w:cs="宋体"/>
          <w:spacing w:val="8"/>
          <w:sz w:val="20"/>
          <w:szCs w:val="20"/>
        </w:rPr>
        <w:t xml:space="preserve">  </w:t>
      </w:r>
      <w:r>
        <w:rPr>
          <w:rFonts w:ascii="宋体" w:hAnsi="宋体" w:eastAsia="宋体" w:cs="宋体"/>
          <w:spacing w:val="3"/>
          <w:sz w:val="20"/>
          <w:szCs w:val="20"/>
        </w:rPr>
        <w:t>分为含氯消毒剂、二氧化氯、醇类消毒剂、过氧化物类消毒剂(过氧化氢、过氧乙酸)、季铵盐类消毒</w:t>
      </w:r>
      <w:r>
        <w:rPr>
          <w:rFonts w:ascii="宋体" w:hAnsi="宋体" w:eastAsia="宋体" w:cs="宋体"/>
          <w:spacing w:val="7"/>
          <w:sz w:val="20"/>
          <w:szCs w:val="20"/>
        </w:rPr>
        <w:t xml:space="preserve">  </w:t>
      </w:r>
      <w:r>
        <w:rPr>
          <w:rFonts w:ascii="宋体" w:hAnsi="宋体" w:eastAsia="宋体" w:cs="宋体"/>
          <w:spacing w:val="1"/>
          <w:sz w:val="20"/>
          <w:szCs w:val="20"/>
        </w:rPr>
        <w:t>剂、含碘消毒剂、含溴消毒剂、醛类消毒剂、酚类消毒剂、胍类消毒剂等；按消毒水平</w:t>
      </w:r>
      <w:r>
        <w:rPr>
          <w:rFonts w:ascii="宋体" w:hAnsi="宋体" w:eastAsia="宋体" w:cs="宋体"/>
          <w:sz w:val="20"/>
          <w:szCs w:val="20"/>
        </w:rPr>
        <w:t xml:space="preserve">可分为灭菌剂、 </w:t>
      </w:r>
      <w:r>
        <w:rPr>
          <w:rFonts w:ascii="宋体" w:hAnsi="宋体" w:eastAsia="宋体" w:cs="宋体"/>
          <w:spacing w:val="8"/>
          <w:sz w:val="20"/>
          <w:szCs w:val="20"/>
        </w:rPr>
        <w:t>高水平消毒剂、中水平消毒剂和低水平消毒剂等；按包装类型可分为一元包装、二元包装、三元包</w:t>
      </w:r>
      <w:r>
        <w:rPr>
          <w:rFonts w:ascii="宋体" w:hAnsi="宋体" w:eastAsia="宋体" w:cs="宋体"/>
          <w:spacing w:val="2"/>
          <w:sz w:val="20"/>
          <w:szCs w:val="20"/>
        </w:rPr>
        <w:t xml:space="preserve">  </w:t>
      </w:r>
      <w:r>
        <w:rPr>
          <w:rFonts w:ascii="宋体" w:hAnsi="宋体" w:eastAsia="宋体" w:cs="宋体"/>
          <w:spacing w:val="-2"/>
          <w:sz w:val="20"/>
          <w:szCs w:val="20"/>
        </w:rPr>
        <w:t>装和多元包装等；按剂型可分为粉剂、片剂、液体、气体等。</w:t>
      </w:r>
    </w:p>
    <w:p w14:paraId="393DC559">
      <w:pPr>
        <w:pStyle w:val="2"/>
        <w:spacing w:before="213" w:line="221" w:lineRule="auto"/>
        <w:ind w:left="413"/>
        <w:outlineLvl w:val="4"/>
        <w:rPr>
          <w:sz w:val="24"/>
          <w:szCs w:val="24"/>
        </w:rPr>
      </w:pPr>
      <w:bookmarkStart w:id="347" w:name="bookmark220"/>
      <w:bookmarkEnd w:id="347"/>
      <w:r>
        <w:rPr>
          <w:b/>
          <w:bCs/>
          <w:spacing w:val="4"/>
          <w:sz w:val="24"/>
          <w:szCs w:val="24"/>
        </w:rPr>
        <w:t>三</w:t>
      </w:r>
      <w:r>
        <w:rPr>
          <w:spacing w:val="-40"/>
          <w:sz w:val="24"/>
          <w:szCs w:val="24"/>
        </w:rPr>
        <w:t xml:space="preserve"> </w:t>
      </w:r>
      <w:r>
        <w:rPr>
          <w:b/>
          <w:bCs/>
          <w:spacing w:val="4"/>
          <w:sz w:val="24"/>
          <w:szCs w:val="24"/>
        </w:rPr>
        <w:t>、消毒方法选择原则</w:t>
      </w:r>
    </w:p>
    <w:p w14:paraId="3F9211DD">
      <w:pPr>
        <w:spacing w:before="275" w:line="331" w:lineRule="auto"/>
        <w:ind w:right="643" w:firstLine="409"/>
        <w:rPr>
          <w:rFonts w:ascii="宋体" w:hAnsi="宋体" w:eastAsia="宋体" w:cs="宋体"/>
          <w:sz w:val="20"/>
          <w:szCs w:val="20"/>
        </w:rPr>
      </w:pPr>
      <w:r>
        <w:rPr>
          <w:rFonts w:ascii="宋体" w:hAnsi="宋体" w:eastAsia="宋体" w:cs="宋体"/>
          <w:spacing w:val="14"/>
          <w:sz w:val="20"/>
          <w:szCs w:val="20"/>
        </w:rPr>
        <w:t>为确保消毒效果，须根据实际情况，选择适宜的消</w:t>
      </w:r>
      <w:r>
        <w:rPr>
          <w:rFonts w:ascii="宋体" w:hAnsi="宋体" w:eastAsia="宋体" w:cs="宋体"/>
          <w:spacing w:val="13"/>
          <w:sz w:val="20"/>
          <w:szCs w:val="20"/>
        </w:rPr>
        <w:t>毒方法。在选择消毒方法时主要考虑以下</w:t>
      </w:r>
      <w:r>
        <w:rPr>
          <w:rFonts w:ascii="宋体" w:hAnsi="宋体" w:eastAsia="宋体" w:cs="宋体"/>
          <w:sz w:val="20"/>
          <w:szCs w:val="20"/>
        </w:rPr>
        <w:t xml:space="preserve"> </w:t>
      </w:r>
      <w:r>
        <w:rPr>
          <w:rFonts w:ascii="宋体" w:hAnsi="宋体" w:eastAsia="宋体" w:cs="宋体"/>
          <w:spacing w:val="13"/>
          <w:sz w:val="20"/>
          <w:szCs w:val="20"/>
        </w:rPr>
        <w:t>几点。</w:t>
      </w:r>
    </w:p>
    <w:p w14:paraId="6096BA7E">
      <w:pPr>
        <w:pStyle w:val="2"/>
        <w:spacing w:before="1" w:line="220" w:lineRule="auto"/>
        <w:ind w:left="412"/>
        <w:rPr>
          <w:sz w:val="20"/>
          <w:szCs w:val="20"/>
        </w:rPr>
      </w:pPr>
      <w:r>
        <w:rPr>
          <w:b/>
          <w:bCs/>
          <w:spacing w:val="19"/>
          <w:sz w:val="20"/>
          <w:szCs w:val="20"/>
        </w:rPr>
        <w:t>(</w:t>
      </w:r>
      <w:r>
        <w:rPr>
          <w:spacing w:val="-50"/>
          <w:sz w:val="20"/>
          <w:szCs w:val="20"/>
        </w:rPr>
        <w:t xml:space="preserve"> </w:t>
      </w:r>
      <w:r>
        <w:rPr>
          <w:b/>
          <w:bCs/>
          <w:spacing w:val="19"/>
          <w:sz w:val="20"/>
          <w:szCs w:val="20"/>
        </w:rPr>
        <w:t>一</w:t>
      </w:r>
      <w:r>
        <w:rPr>
          <w:spacing w:val="-58"/>
          <w:sz w:val="20"/>
          <w:szCs w:val="20"/>
        </w:rPr>
        <w:t xml:space="preserve"> </w:t>
      </w:r>
      <w:r>
        <w:rPr>
          <w:b/>
          <w:bCs/>
          <w:spacing w:val="19"/>
          <w:sz w:val="20"/>
          <w:szCs w:val="20"/>
        </w:rPr>
        <w:t>)病原微生物的种类</w:t>
      </w:r>
    </w:p>
    <w:p w14:paraId="27230B93">
      <w:pPr>
        <w:spacing w:before="143" w:line="330" w:lineRule="auto"/>
        <w:ind w:right="646" w:firstLine="409"/>
        <w:jc w:val="both"/>
        <w:rPr>
          <w:rFonts w:ascii="宋体" w:hAnsi="宋体" w:eastAsia="宋体" w:cs="宋体"/>
          <w:sz w:val="20"/>
          <w:szCs w:val="20"/>
        </w:rPr>
      </w:pPr>
      <w:r>
        <w:rPr>
          <w:rFonts w:ascii="宋体" w:hAnsi="宋体" w:eastAsia="宋体" w:cs="宋体"/>
          <w:spacing w:val="8"/>
          <w:sz w:val="20"/>
          <w:szCs w:val="20"/>
        </w:rPr>
        <w:t>病原微生物种类繁多，其对各种消毒处理的耐受性不同。按照杀灭微生物的能力，消毒可分为</w:t>
      </w:r>
      <w:r>
        <w:rPr>
          <w:rFonts w:ascii="宋体" w:hAnsi="宋体" w:eastAsia="宋体" w:cs="宋体"/>
          <w:spacing w:val="11"/>
          <w:sz w:val="20"/>
          <w:szCs w:val="20"/>
        </w:rPr>
        <w:t xml:space="preserve"> </w:t>
      </w:r>
      <w:r>
        <w:rPr>
          <w:rFonts w:ascii="宋体" w:hAnsi="宋体" w:eastAsia="宋体" w:cs="宋体"/>
          <w:spacing w:val="6"/>
          <w:sz w:val="20"/>
          <w:szCs w:val="20"/>
        </w:rPr>
        <w:t>低水平消毒(只能杀灭细菌繁殖体和亲脂病毒)、</w:t>
      </w:r>
      <w:r>
        <w:rPr>
          <w:rFonts w:ascii="宋体" w:hAnsi="宋体" w:eastAsia="宋体" w:cs="宋体"/>
          <w:spacing w:val="5"/>
          <w:sz w:val="20"/>
          <w:szCs w:val="20"/>
        </w:rPr>
        <w:t>中水平消毒(杀灭细菌繁殖体、分枝杆菌、病毒、真</w:t>
      </w:r>
      <w:r>
        <w:rPr>
          <w:rFonts w:ascii="宋体" w:hAnsi="宋体" w:eastAsia="宋体" w:cs="宋体"/>
          <w:sz w:val="20"/>
          <w:szCs w:val="20"/>
        </w:rPr>
        <w:t xml:space="preserve"> </w:t>
      </w:r>
      <w:r>
        <w:rPr>
          <w:rFonts w:ascii="宋体" w:hAnsi="宋体" w:eastAsia="宋体" w:cs="宋体"/>
          <w:spacing w:val="8"/>
          <w:sz w:val="20"/>
          <w:szCs w:val="20"/>
        </w:rPr>
        <w:t>菌及其孢子等多种病原微生物，但不能杀灭细菌芽胞)、高水平消毒(杀灭一切细菌繁</w:t>
      </w:r>
      <w:r>
        <w:rPr>
          <w:rFonts w:ascii="宋体" w:hAnsi="宋体" w:eastAsia="宋体" w:cs="宋体"/>
          <w:spacing w:val="7"/>
          <w:sz w:val="20"/>
          <w:szCs w:val="20"/>
        </w:rPr>
        <w:t>殖体、分枝杆</w:t>
      </w:r>
      <w:r>
        <w:rPr>
          <w:rFonts w:ascii="宋体" w:hAnsi="宋体" w:eastAsia="宋体" w:cs="宋体"/>
          <w:sz w:val="20"/>
          <w:szCs w:val="20"/>
        </w:rPr>
        <w:t xml:space="preserve"> </w:t>
      </w:r>
      <w:r>
        <w:rPr>
          <w:rFonts w:ascii="宋体" w:hAnsi="宋体" w:eastAsia="宋体" w:cs="宋体"/>
          <w:spacing w:val="7"/>
          <w:sz w:val="20"/>
          <w:szCs w:val="20"/>
        </w:rPr>
        <w:t>菌、病毒、真菌及其孢子和致病性细菌芽胞)和灭菌(杀灭</w:t>
      </w:r>
      <w:r>
        <w:rPr>
          <w:rFonts w:ascii="宋体" w:hAnsi="宋体" w:eastAsia="宋体" w:cs="宋体"/>
          <w:spacing w:val="6"/>
          <w:sz w:val="20"/>
          <w:szCs w:val="20"/>
        </w:rPr>
        <w:t>或清除传播媒介上的一切微生物)。</w:t>
      </w:r>
    </w:p>
    <w:p w14:paraId="0658036A">
      <w:pPr>
        <w:pStyle w:val="2"/>
        <w:spacing w:line="222" w:lineRule="auto"/>
        <w:ind w:left="413"/>
        <w:rPr>
          <w:sz w:val="24"/>
          <w:szCs w:val="24"/>
        </w:rPr>
      </w:pPr>
      <w:r>
        <w:rPr>
          <w:b/>
          <w:bCs/>
          <w:spacing w:val="-8"/>
          <w:sz w:val="24"/>
          <w:szCs w:val="24"/>
        </w:rPr>
        <w:t>(二)处理对象的性质</w:t>
      </w:r>
    </w:p>
    <w:p w14:paraId="7F95F50C">
      <w:pPr>
        <w:spacing w:before="124" w:line="327" w:lineRule="auto"/>
        <w:ind w:right="637" w:firstLine="409"/>
        <w:jc w:val="both"/>
        <w:rPr>
          <w:rFonts w:ascii="宋体" w:hAnsi="宋体" w:eastAsia="宋体" w:cs="宋体"/>
          <w:sz w:val="20"/>
          <w:szCs w:val="20"/>
        </w:rPr>
      </w:pPr>
      <w:r>
        <w:rPr>
          <w:rFonts w:ascii="宋体" w:hAnsi="宋体" w:eastAsia="宋体" w:cs="宋体"/>
          <w:spacing w:val="8"/>
          <w:sz w:val="20"/>
          <w:szCs w:val="20"/>
        </w:rPr>
        <w:t>同一消毒方法对不同的处理对象，效果往往不同。如光滑物体表面可使用紫外</w:t>
      </w:r>
      <w:r>
        <w:rPr>
          <w:rFonts w:ascii="宋体" w:hAnsi="宋体" w:eastAsia="宋体" w:cs="宋体"/>
          <w:spacing w:val="7"/>
          <w:sz w:val="20"/>
          <w:szCs w:val="20"/>
        </w:rPr>
        <w:t>线消毒，但紫外</w:t>
      </w:r>
      <w:r>
        <w:rPr>
          <w:rFonts w:ascii="宋体" w:hAnsi="宋体" w:eastAsia="宋体" w:cs="宋体"/>
          <w:sz w:val="20"/>
          <w:szCs w:val="20"/>
        </w:rPr>
        <w:t xml:space="preserve"> </w:t>
      </w:r>
      <w:r>
        <w:rPr>
          <w:rFonts w:ascii="宋体" w:hAnsi="宋体" w:eastAsia="宋体" w:cs="宋体"/>
          <w:spacing w:val="8"/>
          <w:sz w:val="20"/>
          <w:szCs w:val="20"/>
        </w:rPr>
        <w:t>线对粗糙、凹凸不平的物体表面消毒效果欠佳。因此，需要根据待消毒对象的性质，选择合适的消</w:t>
      </w:r>
      <w:r>
        <w:rPr>
          <w:rFonts w:ascii="宋体" w:hAnsi="宋体" w:eastAsia="宋体" w:cs="宋体"/>
          <w:spacing w:val="14"/>
          <w:sz w:val="20"/>
          <w:szCs w:val="20"/>
        </w:rPr>
        <w:t xml:space="preserve"> </w:t>
      </w:r>
      <w:r>
        <w:rPr>
          <w:rFonts w:ascii="宋体" w:hAnsi="宋体" w:eastAsia="宋体" w:cs="宋体"/>
          <w:spacing w:val="8"/>
          <w:sz w:val="20"/>
          <w:szCs w:val="20"/>
        </w:rPr>
        <w:t>毒方式，如金属类物品应选择腐蚀性较小的消毒方式，皮肤和手消毒剂应选择对人体刺激性小的消</w:t>
      </w:r>
      <w:r>
        <w:rPr>
          <w:rFonts w:ascii="宋体" w:hAnsi="宋体" w:eastAsia="宋体" w:cs="宋体"/>
          <w:spacing w:val="14"/>
          <w:sz w:val="20"/>
          <w:szCs w:val="20"/>
        </w:rPr>
        <w:t xml:space="preserve"> </w:t>
      </w:r>
      <w:r>
        <w:rPr>
          <w:rFonts w:ascii="宋体" w:hAnsi="宋体" w:eastAsia="宋体" w:cs="宋体"/>
          <w:spacing w:val="12"/>
          <w:sz w:val="20"/>
          <w:szCs w:val="20"/>
        </w:rPr>
        <w:t>毒方式。</w:t>
      </w:r>
    </w:p>
    <w:p w14:paraId="2AA220D0">
      <w:pPr>
        <w:pStyle w:val="2"/>
        <w:spacing w:line="221" w:lineRule="auto"/>
        <w:ind w:left="413"/>
        <w:rPr>
          <w:sz w:val="24"/>
          <w:szCs w:val="24"/>
        </w:rPr>
      </w:pPr>
      <w:r>
        <w:rPr>
          <w:b/>
          <w:bCs/>
          <w:spacing w:val="-8"/>
          <w:sz w:val="24"/>
          <w:szCs w:val="24"/>
        </w:rPr>
        <w:t>(三)消毒现场的特点</w:t>
      </w:r>
    </w:p>
    <w:p w14:paraId="1EB99BB4">
      <w:pPr>
        <w:spacing w:before="145" w:line="312" w:lineRule="auto"/>
        <w:ind w:right="647" w:firstLine="409"/>
        <w:rPr>
          <w:rFonts w:ascii="宋体" w:hAnsi="宋体" w:eastAsia="宋体" w:cs="宋体"/>
          <w:sz w:val="20"/>
          <w:szCs w:val="20"/>
        </w:rPr>
      </w:pPr>
      <w:r>
        <w:rPr>
          <w:rFonts w:ascii="宋体" w:hAnsi="宋体" w:eastAsia="宋体" w:cs="宋体"/>
          <w:spacing w:val="13"/>
          <w:sz w:val="20"/>
          <w:szCs w:val="20"/>
        </w:rPr>
        <w:t>选择消毒方法时还应考虑当地所具备的条件，以及环境对消毒效果的影响。除消毒效果有效</w:t>
      </w:r>
      <w:r>
        <w:rPr>
          <w:rFonts w:ascii="宋体" w:hAnsi="宋体" w:eastAsia="宋体" w:cs="宋体"/>
          <w:spacing w:val="18"/>
          <w:sz w:val="20"/>
          <w:szCs w:val="20"/>
        </w:rPr>
        <w:t xml:space="preserve"> </w:t>
      </w:r>
      <w:r>
        <w:rPr>
          <w:rFonts w:ascii="宋体" w:hAnsi="宋体" w:eastAsia="宋体" w:cs="宋体"/>
          <w:spacing w:val="6"/>
          <w:sz w:val="20"/>
          <w:szCs w:val="20"/>
        </w:rPr>
        <w:t>性外，还需考虑所用消毒方法的安全性。</w:t>
      </w:r>
    </w:p>
    <w:p w14:paraId="64A62169">
      <w:pPr>
        <w:pStyle w:val="2"/>
        <w:spacing w:before="1" w:line="220" w:lineRule="auto"/>
        <w:ind w:left="413"/>
        <w:rPr>
          <w:sz w:val="24"/>
          <w:szCs w:val="24"/>
        </w:rPr>
      </w:pPr>
      <w:r>
        <w:rPr>
          <w:b/>
          <w:bCs/>
          <w:spacing w:val="-8"/>
          <w:sz w:val="24"/>
          <w:szCs w:val="24"/>
        </w:rPr>
        <w:t>(四)疾病防控的要求</w:t>
      </w:r>
    </w:p>
    <w:p w14:paraId="1F798B4B">
      <w:pPr>
        <w:spacing w:before="116" w:line="219" w:lineRule="auto"/>
        <w:ind w:left="409"/>
        <w:rPr>
          <w:rFonts w:ascii="宋体" w:hAnsi="宋体" w:eastAsia="宋体" w:cs="宋体"/>
          <w:sz w:val="20"/>
          <w:szCs w:val="20"/>
        </w:rPr>
      </w:pPr>
      <w:r>
        <w:rPr>
          <w:rFonts w:ascii="宋体" w:hAnsi="宋体" w:eastAsia="宋体" w:cs="宋体"/>
          <w:spacing w:val="8"/>
          <w:sz w:val="20"/>
          <w:szCs w:val="20"/>
        </w:rPr>
        <w:t>不同疾病的传播途径不同，致病力不同。应针对传播途径，结合疾病本身特性，选择科学的消</w:t>
      </w:r>
    </w:p>
    <w:p w14:paraId="2EA3FA98">
      <w:pPr>
        <w:spacing w:line="219" w:lineRule="auto"/>
        <w:rPr>
          <w:rFonts w:ascii="宋体" w:hAnsi="宋体" w:eastAsia="宋体" w:cs="宋体"/>
          <w:sz w:val="20"/>
          <w:szCs w:val="20"/>
        </w:rPr>
        <w:sectPr>
          <w:footerReference r:id="rId226" w:type="default"/>
          <w:pgSz w:w="11900" w:h="16820"/>
          <w:pgMar w:top="400" w:right="863" w:bottom="889" w:left="1440" w:header="0" w:footer="709" w:gutter="0"/>
          <w:cols w:space="720" w:num="1"/>
        </w:sectPr>
      </w:pPr>
    </w:p>
    <w:p w14:paraId="1FACF4FC">
      <w:pPr>
        <w:pStyle w:val="2"/>
        <w:spacing w:before="16" w:line="221" w:lineRule="auto"/>
        <w:ind w:left="639"/>
        <w:rPr>
          <w:sz w:val="20"/>
          <w:szCs w:val="20"/>
        </w:rPr>
      </w:pPr>
      <w:bookmarkStart w:id="348" w:name="bookmark517"/>
      <w:bookmarkEnd w:id="348"/>
      <w:r>
        <w:rPr>
          <w:spacing w:val="-15"/>
          <w:w w:val="97"/>
          <w:sz w:val="20"/>
          <w:szCs w:val="20"/>
        </w:rPr>
        <w:t>第十三章消毒与病媒生物防制</w:t>
      </w:r>
    </w:p>
    <w:p w14:paraId="47938598">
      <w:pPr>
        <w:spacing w:line="281" w:lineRule="auto"/>
        <w:rPr>
          <w:rFonts w:ascii="Arial"/>
          <w:sz w:val="21"/>
        </w:rPr>
      </w:pPr>
    </w:p>
    <w:p w14:paraId="4A914A1D">
      <w:pPr>
        <w:spacing w:line="282" w:lineRule="auto"/>
        <w:rPr>
          <w:rFonts w:ascii="Arial"/>
          <w:sz w:val="21"/>
        </w:rPr>
      </w:pPr>
    </w:p>
    <w:p w14:paraId="3953862B">
      <w:pPr>
        <w:spacing w:before="65" w:line="219" w:lineRule="auto"/>
        <w:ind w:left="639"/>
        <w:rPr>
          <w:rFonts w:ascii="宋体" w:hAnsi="宋体" w:eastAsia="宋体" w:cs="宋体"/>
          <w:sz w:val="20"/>
          <w:szCs w:val="20"/>
        </w:rPr>
      </w:pPr>
      <w:r>
        <w:rPr>
          <w:rFonts w:ascii="宋体" w:hAnsi="宋体" w:eastAsia="宋体" w:cs="宋体"/>
          <w:sz w:val="20"/>
          <w:szCs w:val="20"/>
        </w:rPr>
        <w:t>毒方法，确保对疾病防控有效，切忌过度消毒或消毒不到位。</w:t>
      </w:r>
    </w:p>
    <w:p w14:paraId="3C2EAFE3">
      <w:pPr>
        <w:spacing w:line="242" w:lineRule="auto"/>
        <w:rPr>
          <w:rFonts w:ascii="Arial"/>
          <w:sz w:val="21"/>
        </w:rPr>
      </w:pPr>
    </w:p>
    <w:p w14:paraId="3211B5AF">
      <w:pPr>
        <w:pStyle w:val="2"/>
        <w:spacing w:before="78" w:line="221" w:lineRule="auto"/>
        <w:ind w:left="1059"/>
        <w:outlineLvl w:val="4"/>
        <w:rPr>
          <w:sz w:val="24"/>
          <w:szCs w:val="24"/>
        </w:rPr>
      </w:pPr>
      <w:bookmarkStart w:id="349" w:name="bookmark221"/>
      <w:bookmarkEnd w:id="349"/>
      <w:r>
        <w:rPr>
          <w:spacing w:val="-2"/>
          <w:sz w:val="24"/>
          <w:szCs w:val="24"/>
        </w:rPr>
        <w:t>四</w:t>
      </w:r>
      <w:r>
        <w:rPr>
          <w:spacing w:val="-54"/>
          <w:sz w:val="24"/>
          <w:szCs w:val="24"/>
        </w:rPr>
        <w:t xml:space="preserve"> </w:t>
      </w:r>
      <w:r>
        <w:rPr>
          <w:spacing w:val="-2"/>
          <w:sz w:val="24"/>
          <w:szCs w:val="24"/>
        </w:rPr>
        <w:t>、消毒效果影响因素</w:t>
      </w:r>
    </w:p>
    <w:p w14:paraId="427C6871">
      <w:pPr>
        <w:spacing w:before="273" w:line="353" w:lineRule="auto"/>
        <w:ind w:left="639" w:right="92" w:firstLine="409"/>
        <w:rPr>
          <w:rFonts w:ascii="宋体" w:hAnsi="宋体" w:eastAsia="宋体" w:cs="宋体"/>
          <w:sz w:val="20"/>
          <w:szCs w:val="20"/>
        </w:rPr>
      </w:pPr>
      <w:r>
        <w:rPr>
          <w:rFonts w:ascii="宋体" w:hAnsi="宋体" w:eastAsia="宋体" w:cs="宋体"/>
          <w:spacing w:val="8"/>
          <w:sz w:val="20"/>
          <w:szCs w:val="20"/>
        </w:rPr>
        <w:t>不论是物理消毒还是化学消毒，其效果均受</w:t>
      </w:r>
      <w:r>
        <w:rPr>
          <w:rFonts w:ascii="宋体" w:hAnsi="宋体" w:eastAsia="宋体" w:cs="宋体"/>
          <w:spacing w:val="7"/>
          <w:sz w:val="20"/>
          <w:szCs w:val="20"/>
        </w:rPr>
        <w:t>很多因素影响，主要包括消毒剂量、微生物污染程</w:t>
      </w:r>
      <w:r>
        <w:rPr>
          <w:rFonts w:ascii="宋体" w:hAnsi="宋体" w:eastAsia="宋体" w:cs="宋体"/>
          <w:sz w:val="20"/>
          <w:szCs w:val="20"/>
        </w:rPr>
        <w:t xml:space="preserve"> </w:t>
      </w:r>
      <w:r>
        <w:rPr>
          <w:rFonts w:ascii="宋体" w:hAnsi="宋体" w:eastAsia="宋体" w:cs="宋体"/>
          <w:spacing w:val="-13"/>
          <w:sz w:val="20"/>
          <w:szCs w:val="20"/>
        </w:rPr>
        <w:t>度、温度、湿度、酸碱度等。</w:t>
      </w:r>
    </w:p>
    <w:p w14:paraId="4FB141D1">
      <w:pPr>
        <w:pStyle w:val="2"/>
        <w:spacing w:before="5" w:line="222" w:lineRule="auto"/>
        <w:ind w:left="1059"/>
        <w:rPr>
          <w:sz w:val="20"/>
          <w:szCs w:val="20"/>
        </w:rPr>
      </w:pPr>
      <w:r>
        <w:rPr>
          <w:spacing w:val="14"/>
          <w:sz w:val="20"/>
          <w:szCs w:val="20"/>
        </w:rPr>
        <w:t>(</w:t>
      </w:r>
      <w:r>
        <w:rPr>
          <w:spacing w:val="-43"/>
          <w:sz w:val="20"/>
          <w:szCs w:val="20"/>
        </w:rPr>
        <w:t xml:space="preserve"> </w:t>
      </w:r>
      <w:r>
        <w:rPr>
          <w:spacing w:val="14"/>
          <w:sz w:val="20"/>
          <w:szCs w:val="20"/>
        </w:rPr>
        <w:t>一</w:t>
      </w:r>
      <w:r>
        <w:rPr>
          <w:spacing w:val="-54"/>
          <w:sz w:val="20"/>
          <w:szCs w:val="20"/>
        </w:rPr>
        <w:t xml:space="preserve"> </w:t>
      </w:r>
      <w:r>
        <w:rPr>
          <w:spacing w:val="14"/>
          <w:sz w:val="20"/>
          <w:szCs w:val="20"/>
        </w:rPr>
        <w:t>)消毒剂量</w:t>
      </w:r>
    </w:p>
    <w:p w14:paraId="0F4BC562">
      <w:pPr>
        <w:spacing w:before="139" w:line="343" w:lineRule="auto"/>
        <w:ind w:left="639" w:firstLine="419"/>
        <w:jc w:val="both"/>
        <w:rPr>
          <w:rFonts w:ascii="宋体" w:hAnsi="宋体" w:eastAsia="宋体" w:cs="宋体"/>
          <w:sz w:val="20"/>
          <w:szCs w:val="20"/>
        </w:rPr>
      </w:pPr>
      <w:r>
        <w:rPr>
          <w:rFonts w:ascii="宋体" w:hAnsi="宋体" w:eastAsia="宋体" w:cs="宋体"/>
          <w:spacing w:val="7"/>
          <w:sz w:val="20"/>
          <w:szCs w:val="20"/>
        </w:rPr>
        <w:t>消毒剂量是消毒的基本条件，包括强度和时间。强度，在热力消毒时指温度，在紫外线消毒时</w:t>
      </w:r>
      <w:r>
        <w:rPr>
          <w:rFonts w:ascii="宋体" w:hAnsi="宋体" w:eastAsia="宋体" w:cs="宋体"/>
          <w:spacing w:val="6"/>
          <w:sz w:val="20"/>
          <w:szCs w:val="20"/>
        </w:rPr>
        <w:t xml:space="preserve">  </w:t>
      </w:r>
      <w:r>
        <w:rPr>
          <w:rFonts w:ascii="宋体" w:hAnsi="宋体" w:eastAsia="宋体" w:cs="宋体"/>
          <w:spacing w:val="10"/>
          <w:sz w:val="20"/>
          <w:szCs w:val="20"/>
        </w:rPr>
        <w:t>指辐照强度，在化学消毒时指消毒剂有效成分浓度</w:t>
      </w:r>
      <w:r>
        <w:rPr>
          <w:rFonts w:ascii="宋体" w:hAnsi="宋体" w:eastAsia="宋体" w:cs="宋体"/>
          <w:spacing w:val="9"/>
          <w:sz w:val="20"/>
          <w:szCs w:val="20"/>
        </w:rPr>
        <w:t>。时间是指所用消毒方法对微生物作用的时间。</w:t>
      </w:r>
      <w:r>
        <w:rPr>
          <w:rFonts w:ascii="宋体" w:hAnsi="宋体" w:eastAsia="宋体" w:cs="宋体"/>
          <w:sz w:val="20"/>
          <w:szCs w:val="20"/>
        </w:rPr>
        <w:t xml:space="preserve"> </w:t>
      </w:r>
      <w:r>
        <w:rPr>
          <w:rFonts w:ascii="宋体" w:hAnsi="宋体" w:eastAsia="宋体" w:cs="宋体"/>
          <w:spacing w:val="8"/>
          <w:sz w:val="20"/>
          <w:szCs w:val="20"/>
        </w:rPr>
        <w:t>强度与时间具有关联性。强度的减弱可用延</w:t>
      </w:r>
      <w:r>
        <w:rPr>
          <w:rFonts w:ascii="宋体" w:hAnsi="宋体" w:eastAsia="宋体" w:cs="宋体"/>
          <w:spacing w:val="7"/>
          <w:sz w:val="20"/>
          <w:szCs w:val="20"/>
        </w:rPr>
        <w:t>长时间来补偿，但是当强度减到一定限度后，即使再延</w:t>
      </w:r>
      <w:r>
        <w:rPr>
          <w:rFonts w:ascii="宋体" w:hAnsi="宋体" w:eastAsia="宋体" w:cs="宋体"/>
          <w:sz w:val="20"/>
          <w:szCs w:val="20"/>
        </w:rPr>
        <w:t xml:space="preserve">  </w:t>
      </w:r>
      <w:r>
        <w:rPr>
          <w:rFonts w:ascii="宋体" w:hAnsi="宋体" w:eastAsia="宋体" w:cs="宋体"/>
          <w:spacing w:val="2"/>
          <w:sz w:val="20"/>
          <w:szCs w:val="20"/>
        </w:rPr>
        <w:t>长时间也无法达到效果。</w:t>
      </w:r>
    </w:p>
    <w:p w14:paraId="3DC62E0F">
      <w:pPr>
        <w:pStyle w:val="2"/>
        <w:spacing w:before="33" w:line="222" w:lineRule="auto"/>
        <w:ind w:left="1059"/>
        <w:rPr>
          <w:sz w:val="20"/>
          <w:szCs w:val="20"/>
        </w:rPr>
      </w:pPr>
      <w:r>
        <w:rPr>
          <w:spacing w:val="22"/>
          <w:sz w:val="20"/>
          <w:szCs w:val="20"/>
        </w:rPr>
        <w:t>(二)微生物污染程度</w:t>
      </w:r>
    </w:p>
    <w:p w14:paraId="073A61D9">
      <w:pPr>
        <w:spacing w:before="110" w:line="343" w:lineRule="auto"/>
        <w:ind w:left="639" w:right="72" w:firstLine="419"/>
        <w:rPr>
          <w:rFonts w:ascii="宋体" w:hAnsi="宋体" w:eastAsia="宋体" w:cs="宋体"/>
          <w:sz w:val="20"/>
          <w:szCs w:val="20"/>
        </w:rPr>
      </w:pPr>
      <w:r>
        <w:rPr>
          <w:rFonts w:ascii="宋体" w:hAnsi="宋体" w:eastAsia="宋体" w:cs="宋体"/>
          <w:spacing w:val="3"/>
          <w:sz w:val="20"/>
          <w:szCs w:val="20"/>
        </w:rPr>
        <w:t>微生物的种类、数量、生长状态等，特别是生物膜的形成，均会影响其对</w:t>
      </w:r>
      <w:r>
        <w:rPr>
          <w:rFonts w:ascii="宋体" w:hAnsi="宋体" w:eastAsia="宋体" w:cs="宋体"/>
          <w:spacing w:val="2"/>
          <w:sz w:val="20"/>
          <w:szCs w:val="20"/>
        </w:rPr>
        <w:t>消毒因子的抵抗力。微</w:t>
      </w:r>
      <w:r>
        <w:rPr>
          <w:rFonts w:ascii="宋体" w:hAnsi="宋体" w:eastAsia="宋体" w:cs="宋体"/>
          <w:sz w:val="20"/>
          <w:szCs w:val="20"/>
        </w:rPr>
        <w:t xml:space="preserve"> </w:t>
      </w:r>
      <w:r>
        <w:rPr>
          <w:rFonts w:ascii="宋体" w:hAnsi="宋体" w:eastAsia="宋体" w:cs="宋体"/>
          <w:spacing w:val="-1"/>
          <w:sz w:val="20"/>
          <w:szCs w:val="20"/>
        </w:rPr>
        <w:t>生物污染越严重，消毒所需剂量越大。</w:t>
      </w:r>
    </w:p>
    <w:p w14:paraId="666084E1">
      <w:pPr>
        <w:pStyle w:val="2"/>
        <w:spacing w:before="26" w:line="222" w:lineRule="auto"/>
        <w:ind w:left="1059"/>
        <w:rPr>
          <w:sz w:val="20"/>
          <w:szCs w:val="20"/>
        </w:rPr>
      </w:pPr>
      <w:r>
        <w:rPr>
          <w:spacing w:val="27"/>
          <w:sz w:val="20"/>
          <w:szCs w:val="20"/>
        </w:rPr>
        <w:t>(三)温度和湿度</w:t>
      </w:r>
    </w:p>
    <w:p w14:paraId="63826CAD">
      <w:pPr>
        <w:spacing w:before="130" w:line="346" w:lineRule="auto"/>
        <w:ind w:left="639" w:right="71" w:firstLine="419"/>
        <w:rPr>
          <w:rFonts w:ascii="宋体" w:hAnsi="宋体" w:eastAsia="宋体" w:cs="宋体"/>
          <w:sz w:val="20"/>
          <w:szCs w:val="20"/>
        </w:rPr>
      </w:pPr>
      <w:r>
        <w:rPr>
          <w:rFonts w:ascii="宋体" w:hAnsi="宋体" w:eastAsia="宋体" w:cs="宋体"/>
          <w:spacing w:val="4"/>
          <w:sz w:val="20"/>
          <w:szCs w:val="20"/>
        </w:rPr>
        <w:t>温度变化对消毒效果影响的程度，随消毒方法、作用方式以及微生物种类不同而异。</w:t>
      </w:r>
      <w:r>
        <w:rPr>
          <w:rFonts w:ascii="宋体" w:hAnsi="宋体" w:eastAsia="宋体" w:cs="宋体"/>
          <w:spacing w:val="53"/>
          <w:sz w:val="20"/>
          <w:szCs w:val="20"/>
        </w:rPr>
        <w:t xml:space="preserve"> </w:t>
      </w:r>
      <w:r>
        <w:rPr>
          <w:rFonts w:ascii="宋体" w:hAnsi="宋体" w:eastAsia="宋体" w:cs="宋体"/>
          <w:spacing w:val="4"/>
          <w:sz w:val="20"/>
          <w:szCs w:val="20"/>
        </w:rPr>
        <w:t>一般情况</w:t>
      </w:r>
      <w:r>
        <w:rPr>
          <w:rFonts w:ascii="宋体" w:hAnsi="宋体" w:eastAsia="宋体" w:cs="宋体"/>
          <w:sz w:val="20"/>
          <w:szCs w:val="20"/>
        </w:rPr>
        <w:t xml:space="preserve"> </w:t>
      </w:r>
      <w:r>
        <w:rPr>
          <w:rFonts w:ascii="宋体" w:hAnsi="宋体" w:eastAsia="宋体" w:cs="宋体"/>
          <w:spacing w:val="-4"/>
          <w:sz w:val="20"/>
          <w:szCs w:val="20"/>
        </w:rPr>
        <w:t>下，温度越高效果越好，但也有少数例外。</w:t>
      </w:r>
    </w:p>
    <w:p w14:paraId="0A78D785">
      <w:pPr>
        <w:spacing w:before="2" w:line="347" w:lineRule="auto"/>
        <w:ind w:left="639" w:right="88" w:firstLine="419"/>
        <w:rPr>
          <w:rFonts w:ascii="宋体" w:hAnsi="宋体" w:eastAsia="宋体" w:cs="宋体"/>
          <w:sz w:val="20"/>
          <w:szCs w:val="20"/>
        </w:rPr>
      </w:pPr>
      <w:r>
        <w:rPr>
          <w:rFonts w:ascii="宋体" w:hAnsi="宋体" w:eastAsia="宋体" w:cs="宋体"/>
          <w:spacing w:val="13"/>
          <w:sz w:val="20"/>
          <w:szCs w:val="20"/>
        </w:rPr>
        <w:t>湿度过高或过低均会影响消毒效果，不同消毒</w:t>
      </w:r>
      <w:r>
        <w:rPr>
          <w:rFonts w:ascii="宋体" w:hAnsi="宋体" w:eastAsia="宋体" w:cs="宋体"/>
          <w:spacing w:val="12"/>
          <w:sz w:val="20"/>
          <w:szCs w:val="20"/>
        </w:rPr>
        <w:t>方法的适宜湿度范围不同，湿度的影响程度也</w:t>
      </w:r>
      <w:r>
        <w:rPr>
          <w:rFonts w:ascii="宋体" w:hAnsi="宋体" w:eastAsia="宋体" w:cs="宋体"/>
          <w:sz w:val="20"/>
          <w:szCs w:val="20"/>
        </w:rPr>
        <w:t xml:space="preserve"> </w:t>
      </w:r>
      <w:r>
        <w:rPr>
          <w:rFonts w:ascii="宋体" w:hAnsi="宋体" w:eastAsia="宋体" w:cs="宋体"/>
          <w:spacing w:val="6"/>
          <w:sz w:val="20"/>
          <w:szCs w:val="20"/>
        </w:rPr>
        <w:t>不同。</w:t>
      </w:r>
    </w:p>
    <w:p w14:paraId="52865FF3">
      <w:pPr>
        <w:pStyle w:val="2"/>
        <w:spacing w:before="16" w:line="221" w:lineRule="auto"/>
        <w:ind w:left="1059"/>
        <w:rPr>
          <w:sz w:val="20"/>
          <w:szCs w:val="20"/>
        </w:rPr>
      </w:pPr>
      <w:r>
        <w:rPr>
          <w:spacing w:val="-14"/>
          <w:sz w:val="20"/>
          <w:szCs w:val="20"/>
        </w:rPr>
        <w:t>(</w:t>
      </w:r>
      <w:r>
        <w:rPr>
          <w:spacing w:val="-32"/>
          <w:sz w:val="20"/>
          <w:szCs w:val="20"/>
        </w:rPr>
        <w:t xml:space="preserve"> </w:t>
      </w:r>
      <w:r>
        <w:rPr>
          <w:spacing w:val="-14"/>
          <w:sz w:val="20"/>
          <w:szCs w:val="20"/>
        </w:rPr>
        <w:t>四</w:t>
      </w:r>
      <w:r>
        <w:rPr>
          <w:spacing w:val="-46"/>
          <w:sz w:val="20"/>
          <w:szCs w:val="20"/>
        </w:rPr>
        <w:t xml:space="preserve"> </w:t>
      </w:r>
      <w:r>
        <w:rPr>
          <w:spacing w:val="-14"/>
          <w:sz w:val="20"/>
          <w:szCs w:val="20"/>
        </w:rPr>
        <w:t>)</w:t>
      </w:r>
      <w:r>
        <w:rPr>
          <w:spacing w:val="-43"/>
          <w:sz w:val="20"/>
          <w:szCs w:val="20"/>
        </w:rPr>
        <w:t xml:space="preserve"> </w:t>
      </w:r>
      <w:r>
        <w:rPr>
          <w:spacing w:val="-14"/>
          <w:sz w:val="20"/>
          <w:szCs w:val="20"/>
        </w:rPr>
        <w:t>酸</w:t>
      </w:r>
      <w:r>
        <w:rPr>
          <w:spacing w:val="-46"/>
          <w:sz w:val="20"/>
          <w:szCs w:val="20"/>
        </w:rPr>
        <w:t xml:space="preserve"> </w:t>
      </w:r>
      <w:r>
        <w:rPr>
          <w:spacing w:val="-14"/>
          <w:sz w:val="20"/>
          <w:szCs w:val="20"/>
        </w:rPr>
        <w:t>碱</w:t>
      </w:r>
      <w:r>
        <w:rPr>
          <w:spacing w:val="-43"/>
          <w:sz w:val="20"/>
          <w:szCs w:val="20"/>
        </w:rPr>
        <w:t xml:space="preserve"> </w:t>
      </w:r>
      <w:r>
        <w:rPr>
          <w:spacing w:val="-14"/>
          <w:sz w:val="20"/>
          <w:szCs w:val="20"/>
        </w:rPr>
        <w:t>度</w:t>
      </w:r>
    </w:p>
    <w:p w14:paraId="3FEC7486">
      <w:pPr>
        <w:spacing w:before="121" w:line="338" w:lineRule="auto"/>
        <w:ind w:left="639" w:right="91" w:firstLine="419"/>
        <w:jc w:val="both"/>
        <w:rPr>
          <w:rFonts w:ascii="宋体" w:hAnsi="宋体" w:eastAsia="宋体" w:cs="宋体"/>
          <w:sz w:val="20"/>
          <w:szCs w:val="20"/>
        </w:rPr>
      </w:pPr>
      <w:r>
        <w:rPr>
          <w:rFonts w:ascii="宋体" w:hAnsi="宋体" w:eastAsia="宋体" w:cs="宋体"/>
          <w:spacing w:val="11"/>
          <w:sz w:val="20"/>
          <w:szCs w:val="20"/>
        </w:rPr>
        <w:t>酸碱度是多数化学消毒剂消毒效果的主要影响因素之一</w:t>
      </w:r>
      <w:r>
        <w:rPr>
          <w:rFonts w:ascii="宋体" w:hAnsi="宋体" w:eastAsia="宋体" w:cs="宋体"/>
          <w:spacing w:val="-42"/>
          <w:sz w:val="20"/>
          <w:szCs w:val="20"/>
        </w:rPr>
        <w:t xml:space="preserve"> </w:t>
      </w:r>
      <w:r>
        <w:rPr>
          <w:rFonts w:ascii="宋体" w:hAnsi="宋体" w:eastAsia="宋体" w:cs="宋体"/>
          <w:spacing w:val="11"/>
          <w:sz w:val="20"/>
          <w:szCs w:val="20"/>
        </w:rPr>
        <w:t>。一方面，酸碱度可改变消毒剂的溶</w:t>
      </w:r>
      <w:r>
        <w:rPr>
          <w:rFonts w:ascii="宋体" w:hAnsi="宋体" w:eastAsia="宋体" w:cs="宋体"/>
          <w:sz w:val="20"/>
          <w:szCs w:val="20"/>
        </w:rPr>
        <w:t xml:space="preserve"> </w:t>
      </w:r>
      <w:r>
        <w:rPr>
          <w:rFonts w:ascii="宋体" w:hAnsi="宋体" w:eastAsia="宋体" w:cs="宋体"/>
          <w:spacing w:val="7"/>
          <w:sz w:val="20"/>
          <w:szCs w:val="20"/>
        </w:rPr>
        <w:t>解度、离解程度和分子结构，影响消毒剂有效成分的释放；另一方面，酸碱度影响微生物的生命活</w:t>
      </w:r>
      <w:r>
        <w:rPr>
          <w:rFonts w:ascii="宋体" w:hAnsi="宋体" w:eastAsia="宋体" w:cs="宋体"/>
          <w:spacing w:val="16"/>
          <w:sz w:val="20"/>
          <w:szCs w:val="20"/>
        </w:rPr>
        <w:t xml:space="preserve"> </w:t>
      </w:r>
      <w:r>
        <w:rPr>
          <w:rFonts w:ascii="宋体" w:hAnsi="宋体" w:eastAsia="宋体" w:cs="宋体"/>
          <w:spacing w:val="1"/>
          <w:sz w:val="20"/>
          <w:szCs w:val="20"/>
        </w:rPr>
        <w:t>动，过高或过低对微生物的生长均有影响。</w:t>
      </w:r>
    </w:p>
    <w:p w14:paraId="3A704101">
      <w:pPr>
        <w:pStyle w:val="2"/>
        <w:spacing w:before="1" w:line="222" w:lineRule="auto"/>
        <w:ind w:left="1063"/>
        <w:rPr>
          <w:sz w:val="24"/>
          <w:szCs w:val="24"/>
        </w:rPr>
      </w:pPr>
      <w:r>
        <w:rPr>
          <w:b/>
          <w:bCs/>
          <w:spacing w:val="-2"/>
          <w:sz w:val="24"/>
          <w:szCs w:val="24"/>
        </w:rPr>
        <w:t>(五)其他</w:t>
      </w:r>
    </w:p>
    <w:p w14:paraId="69A05B23">
      <w:pPr>
        <w:spacing w:before="83" w:line="342" w:lineRule="auto"/>
        <w:ind w:left="639" w:right="104" w:firstLine="419"/>
        <w:jc w:val="both"/>
        <w:rPr>
          <w:rFonts w:ascii="宋体" w:hAnsi="宋体" w:eastAsia="宋体" w:cs="宋体"/>
          <w:sz w:val="20"/>
          <w:szCs w:val="20"/>
        </w:rPr>
      </w:pPr>
      <w:r>
        <w:rPr>
          <w:rFonts w:ascii="宋体" w:hAnsi="宋体" w:eastAsia="宋体" w:cs="宋体"/>
          <w:spacing w:val="12"/>
          <w:sz w:val="20"/>
          <w:szCs w:val="20"/>
        </w:rPr>
        <w:t>自然情况下，微生物常与其他物质混在一起，这些物质往往会影响消毒效果。有机物</w:t>
      </w:r>
      <w:r>
        <w:rPr>
          <w:rFonts w:ascii="宋体" w:hAnsi="宋体" w:eastAsia="宋体" w:cs="宋体"/>
          <w:spacing w:val="11"/>
          <w:sz w:val="20"/>
          <w:szCs w:val="20"/>
        </w:rPr>
        <w:t>常以血</w:t>
      </w:r>
      <w:r>
        <w:rPr>
          <w:rFonts w:ascii="宋体" w:hAnsi="宋体" w:eastAsia="宋体" w:cs="宋体"/>
          <w:sz w:val="20"/>
          <w:szCs w:val="20"/>
        </w:rPr>
        <w:t xml:space="preserve"> </w:t>
      </w:r>
      <w:r>
        <w:rPr>
          <w:rFonts w:ascii="宋体" w:hAnsi="宋体" w:eastAsia="宋体" w:cs="宋体"/>
          <w:spacing w:val="7"/>
          <w:sz w:val="20"/>
          <w:szCs w:val="20"/>
        </w:rPr>
        <w:t>液、脓液、痰液、粪便等形式出现，蛋白质、油脂类有机物包围在微生物外面可阻碍消毒因子的穿</w:t>
      </w:r>
      <w:r>
        <w:rPr>
          <w:rFonts w:ascii="宋体" w:hAnsi="宋体" w:eastAsia="宋体" w:cs="宋体"/>
          <w:spacing w:val="3"/>
          <w:sz w:val="20"/>
          <w:szCs w:val="20"/>
        </w:rPr>
        <w:t xml:space="preserve"> </w:t>
      </w:r>
      <w:r>
        <w:rPr>
          <w:rFonts w:ascii="宋体" w:hAnsi="宋体" w:eastAsia="宋体" w:cs="宋体"/>
          <w:spacing w:val="4"/>
          <w:sz w:val="20"/>
          <w:szCs w:val="20"/>
        </w:rPr>
        <w:t>透；在化学消毒中，有机物可通过化学反应消耗一部</w:t>
      </w:r>
      <w:r>
        <w:rPr>
          <w:rFonts w:ascii="宋体" w:hAnsi="宋体" w:eastAsia="宋体" w:cs="宋体"/>
          <w:spacing w:val="3"/>
          <w:sz w:val="20"/>
          <w:szCs w:val="20"/>
        </w:rPr>
        <w:t>分消毒剂，从而降低消毒效果。</w:t>
      </w:r>
      <w:r>
        <w:rPr>
          <w:rFonts w:ascii="宋体" w:hAnsi="宋体" w:eastAsia="宋体" w:cs="宋体"/>
          <w:spacing w:val="47"/>
          <w:sz w:val="20"/>
          <w:szCs w:val="20"/>
        </w:rPr>
        <w:t xml:space="preserve"> </w:t>
      </w:r>
      <w:r>
        <w:rPr>
          <w:rFonts w:ascii="宋体" w:hAnsi="宋体" w:eastAsia="宋体" w:cs="宋体"/>
          <w:spacing w:val="3"/>
          <w:sz w:val="20"/>
          <w:szCs w:val="20"/>
        </w:rPr>
        <w:t>一般来说，有</w:t>
      </w:r>
      <w:r>
        <w:rPr>
          <w:rFonts w:ascii="宋体" w:hAnsi="宋体" w:eastAsia="宋体" w:cs="宋体"/>
          <w:sz w:val="20"/>
          <w:szCs w:val="20"/>
        </w:rPr>
        <w:t xml:space="preserve"> </w:t>
      </w:r>
      <w:r>
        <w:rPr>
          <w:rFonts w:ascii="宋体" w:hAnsi="宋体" w:eastAsia="宋体" w:cs="宋体"/>
          <w:spacing w:val="7"/>
          <w:sz w:val="20"/>
          <w:szCs w:val="20"/>
        </w:rPr>
        <w:t>机物污染程度越高，消毒就越困难。而无机物如铁盐和亚铁盐、硫代硫酸盐等，会中和一部分消毒</w:t>
      </w:r>
      <w:r>
        <w:rPr>
          <w:rFonts w:ascii="宋体" w:hAnsi="宋体" w:eastAsia="宋体" w:cs="宋体"/>
          <w:sz w:val="20"/>
          <w:szCs w:val="20"/>
        </w:rPr>
        <w:t xml:space="preserve"> </w:t>
      </w:r>
      <w:r>
        <w:rPr>
          <w:rFonts w:ascii="宋体" w:hAnsi="宋体" w:eastAsia="宋体" w:cs="宋体"/>
          <w:spacing w:val="-1"/>
          <w:sz w:val="20"/>
          <w:szCs w:val="20"/>
        </w:rPr>
        <w:t>剂，导致消毒效果减弱。</w:t>
      </w:r>
    </w:p>
    <w:p w14:paraId="0249D47A">
      <w:pPr>
        <w:pStyle w:val="2"/>
        <w:spacing w:before="206" w:line="222" w:lineRule="auto"/>
        <w:ind w:left="1063"/>
        <w:outlineLvl w:val="4"/>
        <w:rPr>
          <w:sz w:val="24"/>
          <w:szCs w:val="24"/>
        </w:rPr>
      </w:pPr>
      <w:bookmarkStart w:id="350" w:name="bookmark222"/>
      <w:bookmarkEnd w:id="350"/>
      <w:r>
        <w:rPr>
          <w:b/>
          <w:bCs/>
          <w:spacing w:val="-1"/>
          <w:sz w:val="24"/>
          <w:szCs w:val="24"/>
        </w:rPr>
        <w:t>五</w:t>
      </w:r>
      <w:r>
        <w:rPr>
          <w:spacing w:val="-47"/>
          <w:sz w:val="24"/>
          <w:szCs w:val="24"/>
        </w:rPr>
        <w:t xml:space="preserve"> </w:t>
      </w:r>
      <w:r>
        <w:rPr>
          <w:b/>
          <w:bCs/>
          <w:spacing w:val="-1"/>
          <w:sz w:val="24"/>
          <w:szCs w:val="24"/>
        </w:rPr>
        <w:t>、消毒技术应用</w:t>
      </w:r>
    </w:p>
    <w:p w14:paraId="11E2EC08">
      <w:pPr>
        <w:pStyle w:val="2"/>
        <w:spacing w:before="290" w:line="222" w:lineRule="auto"/>
        <w:ind w:left="1062"/>
        <w:rPr>
          <w:sz w:val="20"/>
          <w:szCs w:val="20"/>
        </w:rPr>
      </w:pPr>
      <w:r>
        <w:rPr>
          <w:b/>
          <w:bCs/>
          <w:spacing w:val="16"/>
          <w:sz w:val="20"/>
          <w:szCs w:val="20"/>
        </w:rPr>
        <w:t>(</w:t>
      </w:r>
      <w:r>
        <w:rPr>
          <w:spacing w:val="-52"/>
          <w:sz w:val="20"/>
          <w:szCs w:val="20"/>
        </w:rPr>
        <w:t xml:space="preserve"> </w:t>
      </w:r>
      <w:r>
        <w:rPr>
          <w:b/>
          <w:bCs/>
          <w:spacing w:val="16"/>
          <w:sz w:val="20"/>
          <w:szCs w:val="20"/>
        </w:rPr>
        <w:t>一</w:t>
      </w:r>
      <w:r>
        <w:rPr>
          <w:spacing w:val="-58"/>
          <w:sz w:val="20"/>
          <w:szCs w:val="20"/>
        </w:rPr>
        <w:t xml:space="preserve"> </w:t>
      </w:r>
      <w:r>
        <w:rPr>
          <w:b/>
          <w:bCs/>
          <w:spacing w:val="16"/>
          <w:sz w:val="20"/>
          <w:szCs w:val="20"/>
        </w:rPr>
        <w:t>)物体表面消毒</w:t>
      </w:r>
    </w:p>
    <w:p w14:paraId="4825BF35">
      <w:pPr>
        <w:spacing w:before="142" w:line="333" w:lineRule="auto"/>
        <w:ind w:left="639" w:right="88" w:firstLine="419"/>
        <w:jc w:val="both"/>
        <w:rPr>
          <w:rFonts w:ascii="宋体" w:hAnsi="宋体" w:eastAsia="宋体" w:cs="宋体"/>
          <w:sz w:val="20"/>
          <w:szCs w:val="20"/>
        </w:rPr>
      </w:pPr>
      <w:r>
        <w:rPr>
          <w:rFonts w:ascii="宋体" w:hAnsi="宋体" w:eastAsia="宋体" w:cs="宋体"/>
          <w:spacing w:val="7"/>
          <w:sz w:val="20"/>
          <w:szCs w:val="20"/>
        </w:rPr>
        <w:t>物体表面消毒分为化学消毒法和物理消毒法。化学消毒法是采用擦拭、浸泡、喷洒(喷雾)、熏 蒸等方式用化学消毒剂进行消毒。物理消毒法包括煮沸、灼烧、干热、紫外线照射等。按照物体表</w:t>
      </w:r>
      <w:r>
        <w:rPr>
          <w:rFonts w:ascii="宋体" w:hAnsi="宋体" w:eastAsia="宋体" w:cs="宋体"/>
          <w:spacing w:val="17"/>
          <w:sz w:val="20"/>
          <w:szCs w:val="20"/>
        </w:rPr>
        <w:t xml:space="preserve"> </w:t>
      </w:r>
      <w:r>
        <w:rPr>
          <w:rFonts w:ascii="宋体" w:hAnsi="宋体" w:eastAsia="宋体" w:cs="宋体"/>
          <w:spacing w:val="7"/>
          <w:sz w:val="20"/>
          <w:szCs w:val="20"/>
        </w:rPr>
        <w:t>面的特性，选择适宜的消毒方式。光滑表面宜选择合适的消毒剂擦拭或紫外线照射，多</w:t>
      </w:r>
      <w:r>
        <w:rPr>
          <w:rFonts w:ascii="宋体" w:hAnsi="宋体" w:eastAsia="宋体" w:cs="宋体"/>
          <w:spacing w:val="6"/>
          <w:sz w:val="20"/>
          <w:szCs w:val="20"/>
        </w:rPr>
        <w:t>孔耐湿材料</w:t>
      </w:r>
      <w:r>
        <w:rPr>
          <w:rFonts w:ascii="宋体" w:hAnsi="宋体" w:eastAsia="宋体" w:cs="宋体"/>
          <w:sz w:val="20"/>
          <w:szCs w:val="20"/>
        </w:rPr>
        <w:t xml:space="preserve"> </w:t>
      </w:r>
      <w:r>
        <w:rPr>
          <w:rFonts w:ascii="宋体" w:hAnsi="宋体" w:eastAsia="宋体" w:cs="宋体"/>
          <w:spacing w:val="8"/>
          <w:sz w:val="20"/>
          <w:szCs w:val="20"/>
        </w:rPr>
        <w:t>表面宜采用浸泡或喷洒(喷雾)消毒。</w:t>
      </w:r>
    </w:p>
    <w:p w14:paraId="00D16CEA">
      <w:pPr>
        <w:pStyle w:val="2"/>
        <w:spacing w:before="25" w:line="222" w:lineRule="auto"/>
        <w:ind w:left="1062"/>
        <w:rPr>
          <w:sz w:val="20"/>
          <w:szCs w:val="20"/>
        </w:rPr>
      </w:pPr>
      <w:r>
        <w:rPr>
          <w:b/>
          <w:bCs/>
          <w:spacing w:val="-16"/>
          <w:sz w:val="20"/>
          <w:szCs w:val="20"/>
        </w:rPr>
        <w:t>(</w:t>
      </w:r>
      <w:r>
        <w:rPr>
          <w:spacing w:val="-38"/>
          <w:sz w:val="20"/>
          <w:szCs w:val="20"/>
        </w:rPr>
        <w:t xml:space="preserve"> </w:t>
      </w:r>
      <w:r>
        <w:rPr>
          <w:b/>
          <w:bCs/>
          <w:spacing w:val="-16"/>
          <w:sz w:val="20"/>
          <w:szCs w:val="20"/>
        </w:rPr>
        <w:t>二</w:t>
      </w:r>
      <w:r>
        <w:rPr>
          <w:spacing w:val="-49"/>
          <w:sz w:val="20"/>
          <w:szCs w:val="20"/>
        </w:rPr>
        <w:t xml:space="preserve"> </w:t>
      </w:r>
      <w:r>
        <w:rPr>
          <w:b/>
          <w:bCs/>
          <w:spacing w:val="-16"/>
          <w:sz w:val="20"/>
          <w:szCs w:val="20"/>
        </w:rPr>
        <w:t>)</w:t>
      </w:r>
      <w:r>
        <w:rPr>
          <w:spacing w:val="-42"/>
          <w:sz w:val="20"/>
          <w:szCs w:val="20"/>
        </w:rPr>
        <w:t xml:space="preserve"> </w:t>
      </w:r>
      <w:r>
        <w:rPr>
          <w:b/>
          <w:bCs/>
          <w:spacing w:val="-16"/>
          <w:sz w:val="20"/>
          <w:szCs w:val="20"/>
        </w:rPr>
        <w:t>空</w:t>
      </w:r>
      <w:r>
        <w:rPr>
          <w:spacing w:val="-42"/>
          <w:sz w:val="20"/>
          <w:szCs w:val="20"/>
        </w:rPr>
        <w:t xml:space="preserve"> </w:t>
      </w:r>
      <w:r>
        <w:rPr>
          <w:b/>
          <w:bCs/>
          <w:spacing w:val="-16"/>
          <w:sz w:val="20"/>
          <w:szCs w:val="20"/>
        </w:rPr>
        <w:t>气</w:t>
      </w:r>
      <w:r>
        <w:rPr>
          <w:spacing w:val="-45"/>
          <w:sz w:val="20"/>
          <w:szCs w:val="20"/>
        </w:rPr>
        <w:t xml:space="preserve"> </w:t>
      </w:r>
      <w:r>
        <w:rPr>
          <w:b/>
          <w:bCs/>
          <w:spacing w:val="-16"/>
          <w:sz w:val="20"/>
          <w:szCs w:val="20"/>
        </w:rPr>
        <w:t>消</w:t>
      </w:r>
      <w:r>
        <w:rPr>
          <w:spacing w:val="-42"/>
          <w:sz w:val="20"/>
          <w:szCs w:val="20"/>
        </w:rPr>
        <w:t xml:space="preserve"> </w:t>
      </w:r>
      <w:r>
        <w:rPr>
          <w:b/>
          <w:bCs/>
          <w:spacing w:val="-16"/>
          <w:sz w:val="20"/>
          <w:szCs w:val="20"/>
        </w:rPr>
        <w:t>毒</w:t>
      </w:r>
    </w:p>
    <w:p w14:paraId="2A62FAA9">
      <w:pPr>
        <w:spacing w:before="141" w:line="334" w:lineRule="auto"/>
        <w:ind w:left="639" w:right="88" w:firstLine="419"/>
        <w:jc w:val="both"/>
        <w:rPr>
          <w:rFonts w:ascii="宋体" w:hAnsi="宋体" w:eastAsia="宋体" w:cs="宋体"/>
          <w:sz w:val="20"/>
          <w:szCs w:val="20"/>
        </w:rPr>
      </w:pPr>
      <w:r>
        <w:rPr>
          <w:rFonts w:ascii="宋体" w:hAnsi="宋体" w:eastAsia="宋体" w:cs="宋体"/>
          <w:spacing w:val="15"/>
          <w:sz w:val="20"/>
          <w:szCs w:val="20"/>
        </w:rPr>
        <w:t>空气消毒方法主要包括紫外线照射、空气消毒机(如静电吸附式空气消毒机、臭氧空气消毒</w:t>
      </w:r>
      <w:r>
        <w:rPr>
          <w:rFonts w:ascii="宋体" w:hAnsi="宋体" w:eastAsia="宋体" w:cs="宋体"/>
          <w:sz w:val="20"/>
          <w:szCs w:val="20"/>
        </w:rPr>
        <w:t xml:space="preserve"> </w:t>
      </w:r>
      <w:r>
        <w:rPr>
          <w:rFonts w:ascii="宋体" w:hAnsi="宋体" w:eastAsia="宋体" w:cs="宋体"/>
          <w:spacing w:val="4"/>
          <w:sz w:val="20"/>
          <w:szCs w:val="20"/>
        </w:rPr>
        <w:t>机)、化学消毒剂(如过氧化氢、过氧乙酸、二氧化氯)等。采用化学方法对室内空气消毒时，应在无</w:t>
      </w:r>
      <w:r>
        <w:rPr>
          <w:rFonts w:ascii="宋体" w:hAnsi="宋体" w:eastAsia="宋体" w:cs="宋体"/>
          <w:spacing w:val="17"/>
          <w:sz w:val="20"/>
          <w:szCs w:val="20"/>
        </w:rPr>
        <w:t xml:space="preserve"> </w:t>
      </w:r>
      <w:r>
        <w:rPr>
          <w:rFonts w:ascii="宋体" w:hAnsi="宋体" w:eastAsia="宋体" w:cs="宋体"/>
          <w:spacing w:val="2"/>
          <w:sz w:val="20"/>
          <w:szCs w:val="20"/>
        </w:rPr>
        <w:t>人条件下进行。</w:t>
      </w:r>
    </w:p>
    <w:p w14:paraId="561B4ED6">
      <w:pPr>
        <w:spacing w:line="334" w:lineRule="auto"/>
        <w:rPr>
          <w:rFonts w:ascii="宋体" w:hAnsi="宋体" w:eastAsia="宋体" w:cs="宋体"/>
          <w:sz w:val="20"/>
          <w:szCs w:val="20"/>
        </w:rPr>
        <w:sectPr>
          <w:footerReference r:id="rId227" w:type="default"/>
          <w:pgSz w:w="11900" w:h="16820"/>
          <w:pgMar w:top="400" w:right="1409" w:bottom="869" w:left="840" w:header="0" w:footer="689" w:gutter="0"/>
          <w:cols w:space="720" w:num="1"/>
        </w:sectPr>
      </w:pPr>
    </w:p>
    <w:p w14:paraId="14D69637">
      <w:pPr>
        <w:pStyle w:val="2"/>
        <w:spacing w:before="156" w:line="221" w:lineRule="auto"/>
        <w:ind w:left="6530"/>
        <w:rPr>
          <w:sz w:val="20"/>
          <w:szCs w:val="20"/>
        </w:rPr>
      </w:pPr>
      <w:r>
        <w:rPr>
          <w:spacing w:val="-21"/>
          <w:sz w:val="20"/>
          <w:szCs w:val="20"/>
        </w:rPr>
        <w:t>第十三章 消毒与病媒生物防制</w:t>
      </w:r>
    </w:p>
    <w:p w14:paraId="585A9093">
      <w:pPr>
        <w:spacing w:line="465" w:lineRule="auto"/>
        <w:rPr>
          <w:rFonts w:ascii="Arial"/>
          <w:sz w:val="21"/>
        </w:rPr>
      </w:pPr>
    </w:p>
    <w:p w14:paraId="26F35D40">
      <w:pPr>
        <w:pStyle w:val="2"/>
        <w:spacing w:before="81" w:line="222" w:lineRule="auto"/>
        <w:ind w:left="423"/>
        <w:rPr>
          <w:sz w:val="25"/>
          <w:szCs w:val="25"/>
        </w:rPr>
      </w:pPr>
      <w:bookmarkStart w:id="351" w:name="bookmark518"/>
      <w:bookmarkEnd w:id="351"/>
      <w:r>
        <w:rPr>
          <w:b/>
          <w:bCs/>
          <w:spacing w:val="-6"/>
          <w:sz w:val="25"/>
          <w:szCs w:val="25"/>
        </w:rPr>
        <w:t>(三)水消毒</w:t>
      </w:r>
    </w:p>
    <w:p w14:paraId="3CD795EC">
      <w:pPr>
        <w:spacing w:before="141" w:line="334" w:lineRule="auto"/>
        <w:ind w:right="658" w:firstLine="419"/>
        <w:rPr>
          <w:rFonts w:ascii="宋体" w:hAnsi="宋体" w:eastAsia="宋体" w:cs="宋体"/>
          <w:sz w:val="20"/>
          <w:szCs w:val="20"/>
        </w:rPr>
      </w:pPr>
      <w:r>
        <w:rPr>
          <w:rFonts w:ascii="宋体" w:hAnsi="宋体" w:eastAsia="宋体" w:cs="宋体"/>
          <w:spacing w:val="2"/>
          <w:sz w:val="20"/>
          <w:szCs w:val="20"/>
        </w:rPr>
        <w:t>常用的水消毒方法有加热(煮沸)、紫外线照射、膜过滤、投加化学消毒剂等，其中化学消毒剂以</w:t>
      </w:r>
      <w:r>
        <w:rPr>
          <w:rFonts w:ascii="宋体" w:hAnsi="宋体" w:eastAsia="宋体" w:cs="宋体"/>
          <w:spacing w:val="11"/>
          <w:sz w:val="20"/>
          <w:szCs w:val="20"/>
        </w:rPr>
        <w:t xml:space="preserve"> 含氯消毒剂最为常见。</w:t>
      </w:r>
    </w:p>
    <w:p w14:paraId="227F7925">
      <w:pPr>
        <w:pStyle w:val="2"/>
        <w:spacing w:before="3" w:line="222" w:lineRule="auto"/>
        <w:ind w:left="422"/>
        <w:rPr>
          <w:sz w:val="20"/>
          <w:szCs w:val="20"/>
        </w:rPr>
      </w:pPr>
      <w:r>
        <w:rPr>
          <w:b/>
          <w:bCs/>
          <w:spacing w:val="30"/>
          <w:sz w:val="20"/>
          <w:szCs w:val="20"/>
        </w:rPr>
        <w:t>(四)医疗器械消毒灭菌</w:t>
      </w:r>
    </w:p>
    <w:p w14:paraId="2D5302EA">
      <w:pPr>
        <w:spacing w:before="144" w:line="326" w:lineRule="auto"/>
        <w:ind w:right="667" w:firstLine="419"/>
        <w:jc w:val="both"/>
        <w:rPr>
          <w:rFonts w:ascii="宋体" w:hAnsi="宋体" w:eastAsia="宋体" w:cs="宋体"/>
          <w:sz w:val="20"/>
          <w:szCs w:val="20"/>
        </w:rPr>
      </w:pPr>
      <w:r>
        <w:rPr>
          <w:rFonts w:ascii="宋体" w:hAnsi="宋体" w:eastAsia="宋体" w:cs="宋体"/>
          <w:spacing w:val="2"/>
          <w:sz w:val="20"/>
          <w:szCs w:val="20"/>
        </w:rPr>
        <w:t>耐热、耐湿的诊疗器械、器具和物品，首选压力蒸汽灭菌；耐热的油剂类和干粉类等采用干热灭</w:t>
      </w:r>
      <w:r>
        <w:rPr>
          <w:rFonts w:ascii="宋体" w:hAnsi="宋体" w:eastAsia="宋体" w:cs="宋体"/>
          <w:spacing w:val="4"/>
          <w:sz w:val="20"/>
          <w:szCs w:val="20"/>
        </w:rPr>
        <w:t xml:space="preserve"> </w:t>
      </w:r>
      <w:r>
        <w:rPr>
          <w:rFonts w:ascii="宋体" w:hAnsi="宋体" w:eastAsia="宋体" w:cs="宋体"/>
          <w:spacing w:val="7"/>
          <w:sz w:val="20"/>
          <w:szCs w:val="20"/>
        </w:rPr>
        <w:t xml:space="preserve">菌。不耐热、不耐湿的物品，宜采用低温灭菌方法如环氧乙烷灭菌、过氧化氢低温等离子体灭菌或 </w:t>
      </w:r>
      <w:r>
        <w:rPr>
          <w:rFonts w:ascii="宋体" w:hAnsi="宋体" w:eastAsia="宋体" w:cs="宋体"/>
          <w:spacing w:val="12"/>
          <w:sz w:val="20"/>
          <w:szCs w:val="20"/>
        </w:rPr>
        <w:t>低温蒸汽甲醛灭菌等。</w:t>
      </w:r>
    </w:p>
    <w:p w14:paraId="2C4CE5C6">
      <w:pPr>
        <w:pStyle w:val="2"/>
        <w:spacing w:line="223" w:lineRule="auto"/>
        <w:ind w:left="423"/>
        <w:rPr>
          <w:sz w:val="25"/>
          <w:szCs w:val="25"/>
        </w:rPr>
      </w:pPr>
      <w:r>
        <w:rPr>
          <w:b/>
          <w:bCs/>
          <w:spacing w:val="1"/>
          <w:sz w:val="25"/>
          <w:szCs w:val="25"/>
        </w:rPr>
        <w:t>(五)手卫生</w:t>
      </w:r>
    </w:p>
    <w:p w14:paraId="08BAA288">
      <w:pPr>
        <w:spacing w:before="116" w:line="322" w:lineRule="auto"/>
        <w:ind w:right="592" w:firstLine="419"/>
        <w:rPr>
          <w:rFonts w:ascii="宋体" w:hAnsi="宋体" w:eastAsia="宋体" w:cs="宋体"/>
          <w:sz w:val="20"/>
          <w:szCs w:val="20"/>
        </w:rPr>
      </w:pPr>
      <w:r>
        <w:rPr>
          <w:rFonts w:ascii="宋体" w:hAnsi="宋体" w:eastAsia="宋体" w:cs="宋体"/>
          <w:spacing w:val="14"/>
          <w:sz w:val="20"/>
          <w:szCs w:val="20"/>
        </w:rPr>
        <w:t>手卫生是指进行洗手或手消毒的过程。手部有可见污染物时，在流动</w:t>
      </w:r>
      <w:r>
        <w:rPr>
          <w:rFonts w:ascii="宋体" w:hAnsi="宋体" w:eastAsia="宋体" w:cs="宋体"/>
          <w:spacing w:val="13"/>
          <w:sz w:val="20"/>
          <w:szCs w:val="20"/>
        </w:rPr>
        <w:t>水下用洗手液(或肥皂)</w:t>
      </w:r>
      <w:r>
        <w:rPr>
          <w:rFonts w:ascii="宋体" w:hAnsi="宋体" w:eastAsia="宋体" w:cs="宋体"/>
          <w:sz w:val="20"/>
          <w:szCs w:val="20"/>
        </w:rPr>
        <w:t xml:space="preserve"> </w:t>
      </w:r>
      <w:r>
        <w:rPr>
          <w:rFonts w:ascii="宋体" w:hAnsi="宋体" w:eastAsia="宋体" w:cs="宋体"/>
          <w:spacing w:val="4"/>
          <w:sz w:val="20"/>
          <w:szCs w:val="20"/>
        </w:rPr>
        <w:t>洗手；无可见污染物时，可洗手或用手消毒剂揉搓双手。</w:t>
      </w:r>
    </w:p>
    <w:p w14:paraId="17E96ECC">
      <w:pPr>
        <w:pStyle w:val="2"/>
        <w:spacing w:before="1" w:line="220" w:lineRule="auto"/>
        <w:ind w:left="423"/>
        <w:rPr>
          <w:sz w:val="25"/>
          <w:szCs w:val="25"/>
        </w:rPr>
      </w:pPr>
      <w:r>
        <w:rPr>
          <w:b/>
          <w:bCs/>
          <w:spacing w:val="-7"/>
          <w:sz w:val="25"/>
          <w:szCs w:val="25"/>
        </w:rPr>
        <w:t>(六)皮肤消毒</w:t>
      </w:r>
    </w:p>
    <w:p w14:paraId="5D1C4289">
      <w:pPr>
        <w:spacing w:before="113" w:line="323" w:lineRule="auto"/>
        <w:ind w:right="628" w:firstLine="419"/>
        <w:rPr>
          <w:rFonts w:ascii="宋体" w:hAnsi="宋体" w:eastAsia="宋体" w:cs="宋体"/>
          <w:sz w:val="20"/>
          <w:szCs w:val="20"/>
        </w:rPr>
      </w:pPr>
      <w:r>
        <w:rPr>
          <w:rFonts w:ascii="宋体" w:hAnsi="宋体" w:eastAsia="宋体" w:cs="宋体"/>
          <w:spacing w:val="3"/>
          <w:sz w:val="20"/>
          <w:szCs w:val="20"/>
        </w:rPr>
        <w:t>用皮肤消毒剂进行擦拭、冲洗或喷洒消毒，常见的皮肤消毒剂包括醇类消毒剂、含碘消毒剂、胍</w:t>
      </w:r>
      <w:r>
        <w:rPr>
          <w:rFonts w:ascii="宋体" w:hAnsi="宋体" w:eastAsia="宋体" w:cs="宋体"/>
          <w:spacing w:val="1"/>
          <w:sz w:val="20"/>
          <w:szCs w:val="20"/>
        </w:rPr>
        <w:t xml:space="preserve"> </w:t>
      </w:r>
      <w:r>
        <w:rPr>
          <w:rFonts w:ascii="宋体" w:hAnsi="宋体" w:eastAsia="宋体" w:cs="宋体"/>
          <w:spacing w:val="7"/>
          <w:sz w:val="20"/>
          <w:szCs w:val="20"/>
        </w:rPr>
        <w:t>类消毒剂、季铵盐类消毒剂等。</w:t>
      </w:r>
    </w:p>
    <w:p w14:paraId="79E6D2C7">
      <w:pPr>
        <w:pStyle w:val="2"/>
        <w:spacing w:line="222" w:lineRule="auto"/>
        <w:ind w:left="423"/>
        <w:rPr>
          <w:sz w:val="25"/>
          <w:szCs w:val="25"/>
        </w:rPr>
      </w:pPr>
      <w:r>
        <w:rPr>
          <w:b/>
          <w:bCs/>
          <w:spacing w:val="-7"/>
          <w:sz w:val="25"/>
          <w:szCs w:val="25"/>
        </w:rPr>
        <w:t>(七)低温消毒</w:t>
      </w:r>
    </w:p>
    <w:p w14:paraId="2F4E5CDC">
      <w:pPr>
        <w:spacing w:before="100" w:line="219" w:lineRule="auto"/>
        <w:ind w:left="419"/>
        <w:rPr>
          <w:rFonts w:ascii="宋体" w:hAnsi="宋体" w:eastAsia="宋体" w:cs="宋体"/>
          <w:sz w:val="20"/>
          <w:szCs w:val="20"/>
        </w:rPr>
      </w:pPr>
      <w:r>
        <w:rPr>
          <w:rFonts w:ascii="宋体" w:hAnsi="宋体" w:eastAsia="宋体" w:cs="宋体"/>
          <w:spacing w:val="4"/>
          <w:sz w:val="20"/>
          <w:szCs w:val="20"/>
        </w:rPr>
        <w:t>低温消毒是对温度在0℃以下的环境或物体进行的消毒，</w:t>
      </w:r>
      <w:r>
        <w:rPr>
          <w:rFonts w:ascii="宋体" w:hAnsi="宋体" w:eastAsia="宋体" w:cs="宋体"/>
          <w:spacing w:val="65"/>
          <w:sz w:val="20"/>
          <w:szCs w:val="20"/>
        </w:rPr>
        <w:t xml:space="preserve"> </w:t>
      </w:r>
      <w:r>
        <w:rPr>
          <w:rFonts w:ascii="宋体" w:hAnsi="宋体" w:eastAsia="宋体" w:cs="宋体"/>
          <w:spacing w:val="4"/>
          <w:sz w:val="20"/>
          <w:szCs w:val="20"/>
        </w:rPr>
        <w:t>一般用低温消毒剂进行喷洒或擦拭。</w:t>
      </w:r>
    </w:p>
    <w:p w14:paraId="0FAF5454">
      <w:pPr>
        <w:spacing w:line="255" w:lineRule="auto"/>
        <w:rPr>
          <w:rFonts w:ascii="Arial"/>
          <w:sz w:val="21"/>
        </w:rPr>
      </w:pPr>
    </w:p>
    <w:p w14:paraId="65AF2D0B">
      <w:pPr>
        <w:spacing w:line="255" w:lineRule="auto"/>
        <w:rPr>
          <w:rFonts w:ascii="Arial"/>
          <w:sz w:val="21"/>
        </w:rPr>
      </w:pPr>
    </w:p>
    <w:p w14:paraId="09CFEBE5">
      <w:pPr>
        <w:pStyle w:val="2"/>
        <w:spacing w:before="98" w:line="221" w:lineRule="auto"/>
        <w:ind w:left="3044"/>
        <w:outlineLvl w:val="1"/>
      </w:pPr>
      <w:bookmarkStart w:id="352" w:name="bookmark223"/>
      <w:bookmarkEnd w:id="352"/>
      <w:r>
        <w:rPr>
          <w:b/>
          <w:bCs/>
          <w:spacing w:val="23"/>
        </w:rPr>
        <w:t>第二节病媒生物防制</w:t>
      </w:r>
    </w:p>
    <w:p w14:paraId="20EDB9EE">
      <w:pPr>
        <w:spacing w:line="366" w:lineRule="auto"/>
        <w:rPr>
          <w:rFonts w:ascii="Arial"/>
          <w:sz w:val="21"/>
        </w:rPr>
      </w:pPr>
    </w:p>
    <w:p w14:paraId="5DBF91E3">
      <w:pPr>
        <w:pStyle w:val="2"/>
        <w:spacing w:before="82" w:line="221" w:lineRule="auto"/>
        <w:ind w:left="423"/>
        <w:outlineLvl w:val="4"/>
        <w:rPr>
          <w:sz w:val="25"/>
          <w:szCs w:val="25"/>
        </w:rPr>
      </w:pPr>
      <w:bookmarkStart w:id="353" w:name="bookmark224"/>
      <w:bookmarkEnd w:id="353"/>
      <w:r>
        <w:rPr>
          <w:b/>
          <w:bCs/>
          <w:spacing w:val="-2"/>
          <w:sz w:val="25"/>
          <w:szCs w:val="25"/>
        </w:rPr>
        <w:t>一</w:t>
      </w:r>
      <w:r>
        <w:rPr>
          <w:spacing w:val="-49"/>
          <w:sz w:val="25"/>
          <w:szCs w:val="25"/>
        </w:rPr>
        <w:t xml:space="preserve"> </w:t>
      </w:r>
      <w:r>
        <w:rPr>
          <w:b/>
          <w:bCs/>
          <w:spacing w:val="-2"/>
          <w:sz w:val="25"/>
          <w:szCs w:val="25"/>
        </w:rPr>
        <w:t>、常见病媒生物及相关传染病</w:t>
      </w:r>
    </w:p>
    <w:p w14:paraId="3A5844B8">
      <w:pPr>
        <w:spacing w:before="276" w:line="335" w:lineRule="auto"/>
        <w:ind w:right="648" w:firstLine="419"/>
        <w:jc w:val="both"/>
        <w:rPr>
          <w:rFonts w:ascii="宋体" w:hAnsi="宋体" w:eastAsia="宋体" w:cs="宋体"/>
          <w:sz w:val="20"/>
          <w:szCs w:val="20"/>
        </w:rPr>
      </w:pPr>
      <w:r>
        <w:rPr>
          <w:rFonts w:ascii="宋体" w:hAnsi="宋体" w:eastAsia="宋体" w:cs="宋体"/>
          <w:spacing w:val="7"/>
          <w:sz w:val="20"/>
          <w:szCs w:val="20"/>
        </w:rPr>
        <w:t>病媒生物</w:t>
      </w:r>
      <w:r>
        <w:rPr>
          <w:rFonts w:ascii="Times New Roman" w:hAnsi="Times New Roman" w:eastAsia="Times New Roman" w:cs="Times New Roman"/>
          <w:spacing w:val="7"/>
          <w:sz w:val="20"/>
          <w:szCs w:val="20"/>
        </w:rPr>
        <w:t>(</w:t>
      </w:r>
      <w:r>
        <w:rPr>
          <w:rFonts w:ascii="Times New Roman" w:hAnsi="Times New Roman" w:eastAsia="Times New Roman" w:cs="Times New Roman"/>
          <w:sz w:val="20"/>
          <w:szCs w:val="20"/>
        </w:rPr>
        <w:t>vector</w:t>
      </w:r>
      <w:r>
        <w:rPr>
          <w:rFonts w:ascii="Times New Roman" w:hAnsi="Times New Roman" w:eastAsia="Times New Roman" w:cs="Times New Roman"/>
          <w:spacing w:val="7"/>
          <w:sz w:val="20"/>
          <w:szCs w:val="20"/>
        </w:rPr>
        <w:t xml:space="preserve">)   </w:t>
      </w:r>
      <w:r>
        <w:rPr>
          <w:rFonts w:ascii="宋体" w:hAnsi="宋体" w:eastAsia="宋体" w:cs="宋体"/>
          <w:spacing w:val="7"/>
          <w:sz w:val="20"/>
          <w:szCs w:val="20"/>
        </w:rPr>
        <w:t>指能直接或间接传播疾病，危害、威胁人类健康的生物。日常生活中常见的</w:t>
      </w:r>
      <w:r>
        <w:rPr>
          <w:rFonts w:ascii="宋体" w:hAnsi="宋体" w:eastAsia="宋体" w:cs="宋体"/>
          <w:spacing w:val="17"/>
          <w:sz w:val="20"/>
          <w:szCs w:val="20"/>
        </w:rPr>
        <w:t xml:space="preserve"> </w:t>
      </w:r>
      <w:r>
        <w:rPr>
          <w:rFonts w:ascii="宋体" w:hAnsi="宋体" w:eastAsia="宋体" w:cs="宋体"/>
          <w:spacing w:val="-2"/>
          <w:sz w:val="20"/>
          <w:szCs w:val="20"/>
        </w:rPr>
        <w:t>病媒生物主要包括蚊、蝇、蜚蠊、蚤、蜱、螨、虱、蝶、纳及鼠形动物等。病媒生物除了可以骚扰人类</w:t>
      </w:r>
      <w:r>
        <w:rPr>
          <w:rFonts w:ascii="宋体" w:hAnsi="宋体" w:eastAsia="宋体" w:cs="宋体"/>
          <w:spacing w:val="17"/>
          <w:sz w:val="20"/>
          <w:szCs w:val="20"/>
        </w:rPr>
        <w:t xml:space="preserve"> </w:t>
      </w:r>
      <w:r>
        <w:rPr>
          <w:rFonts w:ascii="宋体" w:hAnsi="宋体" w:eastAsia="宋体" w:cs="宋体"/>
          <w:spacing w:val="7"/>
          <w:sz w:val="20"/>
          <w:szCs w:val="20"/>
        </w:rPr>
        <w:t>外，还是病原体从宿主、环境传播到人体的重要媒介。例如，鼠形动物能传播鼠疫、肾综合征出血</w:t>
      </w:r>
      <w:r>
        <w:rPr>
          <w:rFonts w:ascii="宋体" w:hAnsi="宋体" w:eastAsia="宋体" w:cs="宋体"/>
          <w:spacing w:val="6"/>
          <w:sz w:val="20"/>
          <w:szCs w:val="20"/>
        </w:rPr>
        <w:t xml:space="preserve"> </w:t>
      </w:r>
      <w:r>
        <w:rPr>
          <w:rFonts w:ascii="宋体" w:hAnsi="宋体" w:eastAsia="宋体" w:cs="宋体"/>
          <w:spacing w:val="-2"/>
          <w:sz w:val="20"/>
          <w:szCs w:val="20"/>
        </w:rPr>
        <w:t>热、钩端螺旋体病等，蚊虫能传播登革热、寨卡病毒病、基孔肯雅热、疟疾、乙型脑炎等，蜱虫</w:t>
      </w:r>
      <w:r>
        <w:rPr>
          <w:rFonts w:ascii="宋体" w:hAnsi="宋体" w:eastAsia="宋体" w:cs="宋体"/>
          <w:spacing w:val="-3"/>
          <w:sz w:val="20"/>
          <w:szCs w:val="20"/>
        </w:rPr>
        <w:t>能传播</w:t>
      </w:r>
      <w:r>
        <w:rPr>
          <w:rFonts w:ascii="宋体" w:hAnsi="宋体" w:eastAsia="宋体" w:cs="宋体"/>
          <w:sz w:val="20"/>
          <w:szCs w:val="20"/>
        </w:rPr>
        <w:t xml:space="preserve"> </w:t>
      </w:r>
      <w:r>
        <w:rPr>
          <w:rFonts w:ascii="宋体" w:hAnsi="宋体" w:eastAsia="宋体" w:cs="宋体"/>
          <w:spacing w:val="3"/>
          <w:sz w:val="20"/>
          <w:szCs w:val="20"/>
        </w:rPr>
        <w:t>发热伴血小板减少综合征、森林脑炎、无形体、</w:t>
      </w:r>
      <w:r>
        <w:rPr>
          <w:rFonts w:ascii="宋体" w:hAnsi="宋体" w:eastAsia="宋体" w:cs="宋体"/>
          <w:spacing w:val="2"/>
          <w:sz w:val="20"/>
          <w:szCs w:val="20"/>
        </w:rPr>
        <w:t>埃立克体、莱姆病等，蚤能传播鼠疫、地方性斑疹伤</w:t>
      </w:r>
      <w:r>
        <w:rPr>
          <w:rFonts w:ascii="宋体" w:hAnsi="宋体" w:eastAsia="宋体" w:cs="宋体"/>
          <w:sz w:val="20"/>
          <w:szCs w:val="20"/>
        </w:rPr>
        <w:t xml:space="preserve"> </w:t>
      </w:r>
      <w:r>
        <w:rPr>
          <w:rFonts w:ascii="宋体" w:hAnsi="宋体" w:eastAsia="宋体" w:cs="宋体"/>
          <w:spacing w:val="3"/>
          <w:sz w:val="20"/>
          <w:szCs w:val="20"/>
        </w:rPr>
        <w:t>寒等，苍蝇及蜚蠊能通过机械性携带的方式</w:t>
      </w:r>
      <w:r>
        <w:rPr>
          <w:rFonts w:ascii="宋体" w:hAnsi="宋体" w:eastAsia="宋体" w:cs="宋体"/>
          <w:spacing w:val="2"/>
          <w:sz w:val="20"/>
          <w:szCs w:val="20"/>
        </w:rPr>
        <w:t>传播霍乱、伤寒、痢疾等，螨虫可以传播恙虫病，体虱可</w:t>
      </w:r>
      <w:r>
        <w:rPr>
          <w:rFonts w:ascii="宋体" w:hAnsi="宋体" w:eastAsia="宋体" w:cs="宋体"/>
          <w:sz w:val="20"/>
          <w:szCs w:val="20"/>
        </w:rPr>
        <w:t xml:space="preserve"> </w:t>
      </w:r>
      <w:r>
        <w:rPr>
          <w:rFonts w:ascii="宋体" w:hAnsi="宋体" w:eastAsia="宋体" w:cs="宋体"/>
          <w:spacing w:val="7"/>
          <w:sz w:val="20"/>
          <w:szCs w:val="20"/>
        </w:rPr>
        <w:t>以传播巴尔通体等。</w:t>
      </w:r>
      <w:r>
        <w:rPr>
          <w:rFonts w:ascii="宋体" w:hAnsi="宋体" w:eastAsia="宋体" w:cs="宋体"/>
          <w:spacing w:val="-15"/>
          <w:sz w:val="20"/>
          <w:szCs w:val="20"/>
        </w:rPr>
        <w:t xml:space="preserve"> </w:t>
      </w:r>
      <w:r>
        <w:rPr>
          <w:rFonts w:ascii="宋体" w:hAnsi="宋体" w:eastAsia="宋体" w:cs="宋体"/>
          <w:sz w:val="20"/>
          <w:szCs w:val="20"/>
        </w:rPr>
        <w:t>WHO</w:t>
      </w:r>
      <w:r>
        <w:rPr>
          <w:rFonts w:ascii="宋体" w:hAnsi="宋体" w:eastAsia="宋体" w:cs="宋体"/>
          <w:spacing w:val="7"/>
          <w:sz w:val="20"/>
          <w:szCs w:val="20"/>
        </w:rPr>
        <w:t>《 全球病媒控制对策2017—2030》显示，全球80%的人存在被一种或多种</w:t>
      </w:r>
      <w:r>
        <w:rPr>
          <w:rFonts w:ascii="宋体" w:hAnsi="宋体" w:eastAsia="宋体" w:cs="宋体"/>
          <w:sz w:val="20"/>
          <w:szCs w:val="20"/>
        </w:rPr>
        <w:t xml:space="preserve"> </w:t>
      </w:r>
      <w:r>
        <w:rPr>
          <w:rFonts w:ascii="宋体" w:hAnsi="宋体" w:eastAsia="宋体" w:cs="宋体"/>
          <w:spacing w:val="10"/>
          <w:sz w:val="20"/>
          <w:szCs w:val="20"/>
        </w:rPr>
        <w:t>病媒生物性传染病感染的风险，17%以上的传染病负担归因于病媒生物性传染病。</w:t>
      </w:r>
    </w:p>
    <w:p w14:paraId="10BC47D7">
      <w:pPr>
        <w:pStyle w:val="2"/>
        <w:spacing w:before="221" w:line="221" w:lineRule="auto"/>
        <w:ind w:left="423"/>
        <w:outlineLvl w:val="4"/>
        <w:rPr>
          <w:sz w:val="25"/>
          <w:szCs w:val="25"/>
        </w:rPr>
      </w:pPr>
      <w:bookmarkStart w:id="354" w:name="bookmark225"/>
      <w:bookmarkEnd w:id="354"/>
      <w:r>
        <w:rPr>
          <w:b/>
          <w:bCs/>
          <w:spacing w:val="-3"/>
          <w:sz w:val="25"/>
          <w:szCs w:val="25"/>
        </w:rPr>
        <w:t>二</w:t>
      </w:r>
      <w:r>
        <w:rPr>
          <w:spacing w:val="-47"/>
          <w:sz w:val="25"/>
          <w:szCs w:val="25"/>
        </w:rPr>
        <w:t xml:space="preserve"> </w:t>
      </w:r>
      <w:r>
        <w:rPr>
          <w:b/>
          <w:bCs/>
          <w:spacing w:val="-3"/>
          <w:sz w:val="25"/>
          <w:szCs w:val="25"/>
        </w:rPr>
        <w:t>、病媒生物防制方法</w:t>
      </w:r>
    </w:p>
    <w:p w14:paraId="13C3173C">
      <w:pPr>
        <w:spacing w:before="285" w:line="340" w:lineRule="auto"/>
        <w:ind w:right="576" w:firstLine="419"/>
        <w:jc w:val="both"/>
        <w:rPr>
          <w:rFonts w:ascii="宋体" w:hAnsi="宋体" w:eastAsia="宋体" w:cs="宋体"/>
          <w:sz w:val="20"/>
          <w:szCs w:val="20"/>
        </w:rPr>
      </w:pPr>
      <w:r>
        <w:rPr>
          <w:rFonts w:ascii="宋体" w:hAnsi="宋体" w:eastAsia="宋体" w:cs="宋体"/>
          <w:spacing w:val="4"/>
          <w:sz w:val="20"/>
          <w:szCs w:val="20"/>
        </w:rPr>
        <w:t>病媒生物防制需要根据病媒生物的生物学特性、环境、社会以及经济等因素，本着“标本兼治、</w:t>
      </w:r>
      <w:r>
        <w:rPr>
          <w:rFonts w:ascii="宋体" w:hAnsi="宋体" w:eastAsia="宋体" w:cs="宋体"/>
          <w:spacing w:val="10"/>
          <w:sz w:val="20"/>
          <w:szCs w:val="20"/>
        </w:rPr>
        <w:t xml:space="preserve"> </w:t>
      </w:r>
      <w:r>
        <w:rPr>
          <w:rFonts w:ascii="宋体" w:hAnsi="宋体" w:eastAsia="宋体" w:cs="宋体"/>
          <w:spacing w:val="-6"/>
          <w:sz w:val="20"/>
          <w:szCs w:val="20"/>
        </w:rPr>
        <w:t>治本为主”以及“有效、经济、简便、安全、对环境无害、可持续控</w:t>
      </w:r>
      <w:r>
        <w:rPr>
          <w:rFonts w:ascii="宋体" w:hAnsi="宋体" w:eastAsia="宋体" w:cs="宋体"/>
          <w:spacing w:val="-7"/>
          <w:sz w:val="20"/>
          <w:szCs w:val="20"/>
        </w:rPr>
        <w:t>制”的原则，有机结合环境防制、物</w:t>
      </w:r>
      <w:r>
        <w:rPr>
          <w:rFonts w:ascii="宋体" w:hAnsi="宋体" w:eastAsia="宋体" w:cs="宋体"/>
          <w:sz w:val="20"/>
          <w:szCs w:val="20"/>
        </w:rPr>
        <w:t xml:space="preserve">  </w:t>
      </w:r>
      <w:r>
        <w:rPr>
          <w:rFonts w:ascii="宋体" w:hAnsi="宋体" w:eastAsia="宋体" w:cs="宋体"/>
          <w:spacing w:val="4"/>
          <w:sz w:val="20"/>
          <w:szCs w:val="20"/>
        </w:rPr>
        <w:t>理防制、生物防制、化学防制或其他防制方法，将</w:t>
      </w:r>
      <w:r>
        <w:rPr>
          <w:rFonts w:ascii="宋体" w:hAnsi="宋体" w:eastAsia="宋体" w:cs="宋体"/>
          <w:spacing w:val="3"/>
          <w:sz w:val="20"/>
          <w:szCs w:val="20"/>
        </w:rPr>
        <w:t>病媒生物密度控制在不足为害的水平。</w:t>
      </w:r>
    </w:p>
    <w:p w14:paraId="2C31A78E">
      <w:pPr>
        <w:pStyle w:val="2"/>
        <w:spacing w:before="1" w:line="220" w:lineRule="auto"/>
        <w:ind w:left="422"/>
        <w:rPr>
          <w:sz w:val="20"/>
          <w:szCs w:val="20"/>
        </w:rPr>
      </w:pPr>
      <w:r>
        <w:rPr>
          <w:b/>
          <w:bCs/>
          <w:spacing w:val="-16"/>
          <w:sz w:val="20"/>
          <w:szCs w:val="20"/>
        </w:rPr>
        <w:t>(</w:t>
      </w:r>
      <w:r>
        <w:rPr>
          <w:spacing w:val="-35"/>
          <w:sz w:val="20"/>
          <w:szCs w:val="20"/>
        </w:rPr>
        <w:t xml:space="preserve"> </w:t>
      </w:r>
      <w:r>
        <w:rPr>
          <w:b/>
          <w:bCs/>
          <w:spacing w:val="-16"/>
          <w:sz w:val="20"/>
          <w:szCs w:val="20"/>
        </w:rPr>
        <w:t>一</w:t>
      </w:r>
      <w:r>
        <w:rPr>
          <w:spacing w:val="-43"/>
          <w:sz w:val="20"/>
          <w:szCs w:val="20"/>
        </w:rPr>
        <w:t xml:space="preserve"> </w:t>
      </w:r>
      <w:r>
        <w:rPr>
          <w:b/>
          <w:bCs/>
          <w:spacing w:val="-16"/>
          <w:sz w:val="20"/>
          <w:szCs w:val="20"/>
        </w:rPr>
        <w:t>)</w:t>
      </w:r>
      <w:r>
        <w:rPr>
          <w:spacing w:val="-39"/>
          <w:sz w:val="20"/>
          <w:szCs w:val="20"/>
        </w:rPr>
        <w:t xml:space="preserve"> </w:t>
      </w:r>
      <w:r>
        <w:rPr>
          <w:b/>
          <w:bCs/>
          <w:spacing w:val="-16"/>
          <w:sz w:val="20"/>
          <w:szCs w:val="20"/>
        </w:rPr>
        <w:t>环</w:t>
      </w:r>
      <w:r>
        <w:rPr>
          <w:spacing w:val="-40"/>
          <w:sz w:val="20"/>
          <w:szCs w:val="20"/>
        </w:rPr>
        <w:t xml:space="preserve"> </w:t>
      </w:r>
      <w:r>
        <w:rPr>
          <w:b/>
          <w:bCs/>
          <w:spacing w:val="-16"/>
          <w:sz w:val="20"/>
          <w:szCs w:val="20"/>
        </w:rPr>
        <w:t>境</w:t>
      </w:r>
      <w:r>
        <w:rPr>
          <w:spacing w:val="-29"/>
          <w:sz w:val="20"/>
          <w:szCs w:val="20"/>
        </w:rPr>
        <w:t xml:space="preserve"> </w:t>
      </w:r>
      <w:r>
        <w:rPr>
          <w:b/>
          <w:bCs/>
          <w:spacing w:val="-16"/>
          <w:sz w:val="20"/>
          <w:szCs w:val="20"/>
        </w:rPr>
        <w:t>防</w:t>
      </w:r>
      <w:r>
        <w:rPr>
          <w:spacing w:val="-41"/>
          <w:sz w:val="20"/>
          <w:szCs w:val="20"/>
        </w:rPr>
        <w:t xml:space="preserve"> </w:t>
      </w:r>
      <w:r>
        <w:rPr>
          <w:b/>
          <w:bCs/>
          <w:spacing w:val="-16"/>
          <w:sz w:val="20"/>
          <w:szCs w:val="20"/>
        </w:rPr>
        <w:t>制</w:t>
      </w:r>
    </w:p>
    <w:p w14:paraId="1990E584">
      <w:pPr>
        <w:spacing w:before="121" w:line="339" w:lineRule="auto"/>
        <w:ind w:right="653" w:firstLine="419"/>
        <w:jc w:val="both"/>
        <w:rPr>
          <w:rFonts w:ascii="宋体" w:hAnsi="宋体" w:eastAsia="宋体" w:cs="宋体"/>
          <w:sz w:val="20"/>
          <w:szCs w:val="20"/>
        </w:rPr>
      </w:pPr>
      <w:r>
        <w:rPr>
          <w:rFonts w:ascii="宋体" w:hAnsi="宋体" w:eastAsia="宋体" w:cs="宋体"/>
          <w:spacing w:val="9"/>
          <w:sz w:val="20"/>
          <w:szCs w:val="20"/>
        </w:rPr>
        <w:t>环境防制</w:t>
      </w:r>
      <w:r>
        <w:rPr>
          <w:rFonts w:ascii="Times New Roman" w:hAnsi="Times New Roman" w:eastAsia="Times New Roman" w:cs="Times New Roman"/>
          <w:spacing w:val="9"/>
          <w:sz w:val="20"/>
          <w:szCs w:val="20"/>
        </w:rPr>
        <w:t>(</w:t>
      </w:r>
      <w:r>
        <w:rPr>
          <w:rFonts w:ascii="Times New Roman" w:hAnsi="Times New Roman" w:eastAsia="Times New Roman" w:cs="Times New Roman"/>
          <w:sz w:val="20"/>
          <w:szCs w:val="20"/>
        </w:rPr>
        <w:t>environment</w:t>
      </w:r>
      <w:r>
        <w:rPr>
          <w:rFonts w:ascii="Times New Roman" w:hAnsi="Times New Roman" w:eastAsia="Times New Roman" w:cs="Times New Roman"/>
          <w:spacing w:val="9"/>
          <w:sz w:val="20"/>
          <w:szCs w:val="20"/>
        </w:rPr>
        <w:t xml:space="preserve">     </w:t>
      </w:r>
      <w:r>
        <w:rPr>
          <w:rFonts w:ascii="Times New Roman" w:hAnsi="Times New Roman" w:eastAsia="Times New Roman" w:cs="Times New Roman"/>
          <w:sz w:val="20"/>
          <w:szCs w:val="20"/>
        </w:rPr>
        <w:t>control</w:t>
      </w:r>
      <w:r>
        <w:rPr>
          <w:rFonts w:ascii="Times New Roman" w:hAnsi="Times New Roman" w:eastAsia="Times New Roman" w:cs="Times New Roman"/>
          <w:spacing w:val="9"/>
          <w:sz w:val="20"/>
          <w:szCs w:val="20"/>
        </w:rPr>
        <w:t>)</w:t>
      </w:r>
      <w:r>
        <w:rPr>
          <w:rFonts w:ascii="宋体" w:hAnsi="宋体" w:eastAsia="宋体" w:cs="宋体"/>
          <w:spacing w:val="9"/>
          <w:sz w:val="20"/>
          <w:szCs w:val="20"/>
        </w:rPr>
        <w:t>是从生态系统的总体观念出发，把病媒生物的生物学特点和周</w:t>
      </w:r>
      <w:r>
        <w:rPr>
          <w:rFonts w:ascii="宋体" w:hAnsi="宋体" w:eastAsia="宋体" w:cs="宋体"/>
          <w:sz w:val="20"/>
          <w:szCs w:val="20"/>
        </w:rPr>
        <w:t xml:space="preserve"> </w:t>
      </w:r>
      <w:r>
        <w:rPr>
          <w:rFonts w:ascii="宋体" w:hAnsi="宋体" w:eastAsia="宋体" w:cs="宋体"/>
          <w:spacing w:val="2"/>
          <w:sz w:val="20"/>
          <w:szCs w:val="20"/>
        </w:rPr>
        <w:t>围的自然环境以及人们的生产、生活方式联系起来，因时、因地、因种制宜地运用各种管理手段和方</w:t>
      </w:r>
      <w:r>
        <w:rPr>
          <w:rFonts w:ascii="宋体" w:hAnsi="宋体" w:eastAsia="宋体" w:cs="宋体"/>
          <w:spacing w:val="18"/>
          <w:sz w:val="20"/>
          <w:szCs w:val="20"/>
        </w:rPr>
        <w:t xml:space="preserve"> </w:t>
      </w:r>
      <w:r>
        <w:rPr>
          <w:rFonts w:ascii="宋体" w:hAnsi="宋体" w:eastAsia="宋体" w:cs="宋体"/>
          <w:spacing w:val="-2"/>
          <w:sz w:val="20"/>
          <w:szCs w:val="20"/>
        </w:rPr>
        <w:t>法，如采用清除、填塞、疏通、换水等方式，直接或间接改变、清除病媒生物赖以生存的环境条件，减</w:t>
      </w:r>
      <w:r>
        <w:rPr>
          <w:rFonts w:ascii="宋体" w:hAnsi="宋体" w:eastAsia="宋体" w:cs="宋体"/>
          <w:sz w:val="20"/>
          <w:szCs w:val="20"/>
        </w:rPr>
        <w:t xml:space="preserve"> </w:t>
      </w:r>
      <w:r>
        <w:rPr>
          <w:rFonts w:ascii="宋体" w:hAnsi="宋体" w:eastAsia="宋体" w:cs="宋体"/>
          <w:spacing w:val="6"/>
          <w:sz w:val="20"/>
          <w:szCs w:val="20"/>
        </w:rPr>
        <w:t>少其滋生场所，从而达到降低病媒生物密度的目的。</w:t>
      </w:r>
    </w:p>
    <w:p w14:paraId="1654F9CB">
      <w:pPr>
        <w:spacing w:before="34" w:line="219" w:lineRule="auto"/>
        <w:ind w:left="419"/>
        <w:rPr>
          <w:rFonts w:ascii="宋体" w:hAnsi="宋体" w:eastAsia="宋体" w:cs="宋体"/>
          <w:sz w:val="20"/>
          <w:szCs w:val="20"/>
        </w:rPr>
      </w:pPr>
      <w:r>
        <w:rPr>
          <w:rFonts w:ascii="宋体" w:hAnsi="宋体" w:eastAsia="宋体" w:cs="宋体"/>
          <w:spacing w:val="4"/>
          <w:sz w:val="20"/>
          <w:szCs w:val="20"/>
        </w:rPr>
        <w:t>环境防制是最根本的处理措施，能以较低的成本获得较好的处理成果，且</w:t>
      </w:r>
      <w:r>
        <w:rPr>
          <w:rFonts w:ascii="宋体" w:hAnsi="宋体" w:eastAsia="宋体" w:cs="宋体"/>
          <w:spacing w:val="3"/>
          <w:sz w:val="20"/>
          <w:szCs w:val="20"/>
        </w:rPr>
        <w:t>无污染，对环境友好，</w:t>
      </w:r>
    </w:p>
    <w:p w14:paraId="74A71FA9">
      <w:pPr>
        <w:spacing w:line="219" w:lineRule="auto"/>
        <w:rPr>
          <w:rFonts w:ascii="宋体" w:hAnsi="宋体" w:eastAsia="宋体" w:cs="宋体"/>
          <w:sz w:val="20"/>
          <w:szCs w:val="20"/>
        </w:rPr>
        <w:sectPr>
          <w:footerReference r:id="rId228" w:type="default"/>
          <w:pgSz w:w="11900" w:h="16820"/>
          <w:pgMar w:top="400" w:right="873" w:bottom="889" w:left="1450" w:header="0" w:footer="709" w:gutter="0"/>
          <w:cols w:space="720" w:num="1"/>
        </w:sectPr>
      </w:pPr>
    </w:p>
    <w:p w14:paraId="1F89BD1C">
      <w:pPr>
        <w:pStyle w:val="2"/>
        <w:spacing w:before="156" w:line="221" w:lineRule="auto"/>
        <w:ind w:left="520"/>
        <w:rPr>
          <w:sz w:val="20"/>
          <w:szCs w:val="20"/>
        </w:rPr>
      </w:pPr>
      <w:bookmarkStart w:id="355" w:name="bookmark519"/>
      <w:bookmarkEnd w:id="355"/>
      <w:r>
        <w:rPr>
          <w:spacing w:val="-21"/>
          <w:w w:val="95"/>
          <w:sz w:val="20"/>
          <w:szCs w:val="20"/>
        </w:rPr>
        <w:t>第十三章 消薄与病理生物的制</w:t>
      </w:r>
    </w:p>
    <w:p w14:paraId="62D1FDB7">
      <w:pPr>
        <w:spacing w:line="261" w:lineRule="auto"/>
        <w:rPr>
          <w:rFonts w:ascii="Arial"/>
          <w:sz w:val="21"/>
        </w:rPr>
      </w:pPr>
    </w:p>
    <w:p w14:paraId="4EAB89C3">
      <w:pPr>
        <w:spacing w:line="262" w:lineRule="auto"/>
        <w:rPr>
          <w:rFonts w:ascii="Arial"/>
          <w:sz w:val="21"/>
        </w:rPr>
      </w:pPr>
    </w:p>
    <w:p w14:paraId="695ACF10">
      <w:pPr>
        <w:spacing w:before="65" w:line="334" w:lineRule="auto"/>
        <w:ind w:left="520" w:right="91"/>
        <w:jc w:val="both"/>
        <w:rPr>
          <w:rFonts w:ascii="宋体" w:hAnsi="宋体" w:eastAsia="宋体" w:cs="宋体"/>
          <w:sz w:val="20"/>
          <w:szCs w:val="20"/>
        </w:rPr>
      </w:pPr>
      <w:r>
        <w:rPr>
          <w:rFonts w:ascii="宋体" w:hAnsi="宋体" w:eastAsia="宋体" w:cs="宋体"/>
          <w:spacing w:val="3"/>
          <w:sz w:val="20"/>
          <w:szCs w:val="20"/>
        </w:rPr>
        <w:t xml:space="preserve">同时能达到美化周边环境的目的。例如，蚁虫的环境防制包括环境改造和环境处理：环境改造是指 </w:t>
      </w:r>
      <w:r>
        <w:rPr>
          <w:rFonts w:ascii="宋体" w:hAnsi="宋体" w:eastAsia="宋体" w:cs="宋体"/>
          <w:spacing w:val="6"/>
          <w:sz w:val="20"/>
          <w:szCs w:val="20"/>
        </w:rPr>
        <w:t>为了防正航虫繁殖或使其繁殖减少到最低限度，以及减少人-蚁的接触，而对环境因素及其与人类</w:t>
      </w:r>
      <w:r>
        <w:rPr>
          <w:rFonts w:ascii="宋体" w:hAnsi="宋体" w:eastAsia="宋体" w:cs="宋体"/>
          <w:spacing w:val="9"/>
          <w:sz w:val="20"/>
          <w:szCs w:val="20"/>
        </w:rPr>
        <w:t xml:space="preserve"> </w:t>
      </w:r>
      <w:r>
        <w:rPr>
          <w:rFonts w:ascii="宋体" w:hAnsi="宋体" w:eastAsia="宋体" w:cs="宋体"/>
          <w:spacing w:val="8"/>
          <w:sz w:val="20"/>
          <w:szCs w:val="20"/>
        </w:rPr>
        <w:t>的相互作用的改造或处理；环境处理指对蚁虫溢生地造成暂时性不利于其滋生的各种有计划约定</w:t>
      </w:r>
      <w:r>
        <w:rPr>
          <w:rFonts w:ascii="宋体" w:hAnsi="宋体" w:eastAsia="宋体" w:cs="宋体"/>
          <w:spacing w:val="15"/>
          <w:sz w:val="20"/>
          <w:szCs w:val="20"/>
        </w:rPr>
        <w:t xml:space="preserve"> </w:t>
      </w:r>
      <w:r>
        <w:rPr>
          <w:rFonts w:ascii="宋体" w:hAnsi="宋体" w:eastAsia="宋体" w:cs="宋体"/>
          <w:spacing w:val="-1"/>
          <w:sz w:val="20"/>
          <w:szCs w:val="20"/>
        </w:rPr>
        <w:t>期处理。</w:t>
      </w:r>
    </w:p>
    <w:p w14:paraId="36ABE75B">
      <w:pPr>
        <w:pStyle w:val="2"/>
        <w:spacing w:before="12" w:line="221" w:lineRule="auto"/>
        <w:ind w:left="940"/>
        <w:rPr>
          <w:sz w:val="20"/>
          <w:szCs w:val="20"/>
        </w:rPr>
      </w:pPr>
      <w:r>
        <w:rPr>
          <w:spacing w:val="22"/>
          <w:sz w:val="20"/>
          <w:szCs w:val="20"/>
        </w:rPr>
        <w:t>(二)物理防制</w:t>
      </w:r>
    </w:p>
    <w:p w14:paraId="33A89088">
      <w:pPr>
        <w:spacing w:before="119" w:line="339" w:lineRule="auto"/>
        <w:ind w:left="520" w:right="91" w:firstLine="420"/>
        <w:jc w:val="both"/>
        <w:rPr>
          <w:rFonts w:ascii="宋体" w:hAnsi="宋体" w:eastAsia="宋体" w:cs="宋体"/>
          <w:sz w:val="20"/>
          <w:szCs w:val="20"/>
        </w:rPr>
      </w:pPr>
      <w:r>
        <w:rPr>
          <w:rFonts w:ascii="宋体" w:hAnsi="宋体" w:eastAsia="宋体" w:cs="宋体"/>
          <w:spacing w:val="1"/>
          <w:sz w:val="20"/>
          <w:szCs w:val="20"/>
        </w:rPr>
        <w:t>物理防制</w:t>
      </w:r>
      <w:r>
        <w:rPr>
          <w:rFonts w:ascii="Times New Roman" w:hAnsi="Times New Roman" w:eastAsia="Times New Roman" w:cs="Times New Roman"/>
          <w:spacing w:val="1"/>
          <w:sz w:val="20"/>
          <w:szCs w:val="20"/>
        </w:rPr>
        <w:t>(</w:t>
      </w:r>
      <w:r>
        <w:rPr>
          <w:rFonts w:ascii="Times New Roman" w:hAnsi="Times New Roman" w:eastAsia="Times New Roman" w:cs="Times New Roman"/>
          <w:sz w:val="20"/>
          <w:szCs w:val="20"/>
        </w:rPr>
        <w:t>pbyaical</w:t>
      </w:r>
      <w:r>
        <w:rPr>
          <w:rFonts w:ascii="Times New Roman" w:hAnsi="Times New Roman" w:eastAsia="Times New Roman" w:cs="Times New Roman"/>
          <w:spacing w:val="1"/>
          <w:sz w:val="20"/>
          <w:szCs w:val="20"/>
        </w:rPr>
        <w:t xml:space="preserve">   </w:t>
      </w:r>
      <w:r>
        <w:rPr>
          <w:rFonts w:ascii="Times New Roman" w:hAnsi="Times New Roman" w:eastAsia="Times New Roman" w:cs="Times New Roman"/>
          <w:sz w:val="20"/>
          <w:szCs w:val="20"/>
        </w:rPr>
        <w:t>control</w:t>
      </w:r>
      <w:r>
        <w:rPr>
          <w:rFonts w:ascii="Times New Roman" w:hAnsi="Times New Roman" w:eastAsia="Times New Roman" w:cs="Times New Roman"/>
          <w:spacing w:val="1"/>
          <w:sz w:val="20"/>
          <w:szCs w:val="20"/>
        </w:rPr>
        <w:t>)</w:t>
      </w:r>
      <w:r>
        <w:rPr>
          <w:rFonts w:ascii="宋体" w:hAnsi="宋体" w:eastAsia="宋体" w:cs="宋体"/>
          <w:spacing w:val="1"/>
          <w:sz w:val="20"/>
          <w:szCs w:val="20"/>
        </w:rPr>
        <w:t>是指采用机械方法，以及</w:t>
      </w:r>
      <w:r>
        <w:rPr>
          <w:rFonts w:ascii="宋体" w:hAnsi="宋体" w:eastAsia="宋体" w:cs="宋体"/>
          <w:sz w:val="20"/>
          <w:szCs w:val="20"/>
        </w:rPr>
        <w:t xml:space="preserve">光、声、电子等物理手段来捕杀、诱杀或采 </w:t>
      </w:r>
      <w:r>
        <w:rPr>
          <w:rFonts w:ascii="宋体" w:hAnsi="宋体" w:eastAsia="宋体" w:cs="宋体"/>
          <w:spacing w:val="4"/>
          <w:sz w:val="20"/>
          <w:szCs w:val="20"/>
        </w:rPr>
        <w:t>除病媒生物，以此来降低病媒生物密度或对人类的疆扰。物理防制方法较简单常用，但</w:t>
      </w:r>
      <w:r>
        <w:rPr>
          <w:rFonts w:ascii="宋体" w:hAnsi="宋体" w:eastAsia="宋体" w:cs="宋体"/>
          <w:spacing w:val="3"/>
          <w:sz w:val="20"/>
          <w:szCs w:val="20"/>
        </w:rPr>
        <w:t>是其防制效</w:t>
      </w:r>
      <w:r>
        <w:rPr>
          <w:rFonts w:ascii="宋体" w:hAnsi="宋体" w:eastAsia="宋体" w:cs="宋体"/>
          <w:sz w:val="20"/>
          <w:szCs w:val="20"/>
        </w:rPr>
        <w:t xml:space="preserve"> </w:t>
      </w:r>
      <w:r>
        <w:rPr>
          <w:rFonts w:ascii="宋体" w:hAnsi="宋体" w:eastAsia="宋体" w:cs="宋体"/>
          <w:spacing w:val="-2"/>
          <w:sz w:val="20"/>
          <w:szCs w:val="20"/>
        </w:rPr>
        <w:t>能有限，往往不能治本。例如，蚊虫的物理防制主要有以下几种方法：安装纱窗、纱门、铝合金弹簧</w:t>
      </w:r>
      <w:r>
        <w:rPr>
          <w:rFonts w:ascii="宋体" w:hAnsi="宋体" w:eastAsia="宋体" w:cs="宋体"/>
          <w:spacing w:val="13"/>
          <w:sz w:val="20"/>
          <w:szCs w:val="20"/>
        </w:rPr>
        <w:t xml:space="preserve"> </w:t>
      </w:r>
      <w:r>
        <w:rPr>
          <w:rFonts w:ascii="宋体" w:hAnsi="宋体" w:eastAsia="宋体" w:cs="宋体"/>
          <w:spacing w:val="-12"/>
          <w:sz w:val="20"/>
          <w:szCs w:val="20"/>
        </w:rPr>
        <w:t>门和使用教帐，锈蚊灯、电蚊拍等。</w:t>
      </w:r>
    </w:p>
    <w:p w14:paraId="0B81D103">
      <w:pPr>
        <w:pStyle w:val="2"/>
        <w:spacing w:before="21" w:line="221" w:lineRule="auto"/>
        <w:ind w:left="940"/>
        <w:rPr>
          <w:sz w:val="20"/>
          <w:szCs w:val="20"/>
        </w:rPr>
      </w:pPr>
      <w:r>
        <w:rPr>
          <w:spacing w:val="22"/>
          <w:sz w:val="20"/>
          <w:szCs w:val="20"/>
        </w:rPr>
        <w:t>(三)化学防制</w:t>
      </w:r>
    </w:p>
    <w:p w14:paraId="6105C17A">
      <w:pPr>
        <w:spacing w:before="131" w:line="337" w:lineRule="auto"/>
        <w:ind w:left="520" w:firstLine="420"/>
        <w:jc w:val="both"/>
        <w:rPr>
          <w:rFonts w:ascii="宋体" w:hAnsi="宋体" w:eastAsia="宋体" w:cs="宋体"/>
          <w:sz w:val="20"/>
          <w:szCs w:val="20"/>
        </w:rPr>
      </w:pPr>
      <w:r>
        <w:rPr>
          <w:rFonts w:ascii="宋体" w:hAnsi="宋体" w:eastAsia="宋体" w:cs="宋体"/>
          <w:spacing w:val="6"/>
          <w:sz w:val="20"/>
          <w:szCs w:val="20"/>
        </w:rPr>
        <w:t>化学防制</w:t>
      </w:r>
      <w:r>
        <w:rPr>
          <w:rFonts w:ascii="Times New Roman" w:hAnsi="Times New Roman" w:eastAsia="Times New Roman" w:cs="Times New Roman"/>
          <w:spacing w:val="6"/>
          <w:sz w:val="20"/>
          <w:szCs w:val="20"/>
        </w:rPr>
        <w:t>(</w:t>
      </w:r>
      <w:r>
        <w:rPr>
          <w:rFonts w:ascii="Times New Roman" w:hAnsi="Times New Roman" w:eastAsia="Times New Roman" w:cs="Times New Roman"/>
          <w:sz w:val="20"/>
          <w:szCs w:val="20"/>
        </w:rPr>
        <w:t>cheerical</w:t>
      </w:r>
      <w:r>
        <w:rPr>
          <w:rFonts w:ascii="Times New Roman" w:hAnsi="Times New Roman" w:eastAsia="Times New Roman" w:cs="Times New Roman"/>
          <w:spacing w:val="6"/>
          <w:sz w:val="20"/>
          <w:szCs w:val="20"/>
        </w:rPr>
        <w:t xml:space="preserve">   </w:t>
      </w:r>
      <w:r>
        <w:rPr>
          <w:rFonts w:ascii="Times New Roman" w:hAnsi="Times New Roman" w:eastAsia="Times New Roman" w:cs="Times New Roman"/>
          <w:sz w:val="20"/>
          <w:szCs w:val="20"/>
        </w:rPr>
        <w:t>contml</w:t>
      </w:r>
      <w:r>
        <w:rPr>
          <w:rFonts w:ascii="Times New Roman" w:hAnsi="Times New Roman" w:eastAsia="Times New Roman" w:cs="Times New Roman"/>
          <w:spacing w:val="6"/>
          <w:sz w:val="20"/>
          <w:szCs w:val="20"/>
        </w:rPr>
        <w:t>)</w:t>
      </w:r>
      <w:r>
        <w:rPr>
          <w:rFonts w:ascii="宋体" w:hAnsi="宋体" w:eastAsia="宋体" w:cs="宋体"/>
          <w:spacing w:val="6"/>
          <w:sz w:val="20"/>
          <w:szCs w:val="20"/>
        </w:rPr>
        <w:t>是利用天然或人工合成的化学制剂.</w:t>
      </w:r>
      <w:r>
        <w:rPr>
          <w:rFonts w:ascii="宋体" w:hAnsi="宋体" w:eastAsia="宋体" w:cs="宋体"/>
          <w:spacing w:val="-56"/>
          <w:sz w:val="20"/>
          <w:szCs w:val="20"/>
        </w:rPr>
        <w:t xml:space="preserve"> </w:t>
      </w:r>
      <w:r>
        <w:rPr>
          <w:rFonts w:ascii="宋体" w:hAnsi="宋体" w:eastAsia="宋体" w:cs="宋体"/>
          <w:spacing w:val="6"/>
          <w:sz w:val="20"/>
          <w:szCs w:val="20"/>
        </w:rPr>
        <w:t>以不同的剂型(油剂、颗粒剂。</w:t>
      </w:r>
      <w:r>
        <w:rPr>
          <w:rFonts w:ascii="宋体" w:hAnsi="宋体" w:eastAsia="宋体" w:cs="宋体"/>
          <w:sz w:val="20"/>
          <w:szCs w:val="20"/>
        </w:rPr>
        <w:t xml:space="preserve"> </w:t>
      </w:r>
      <w:r>
        <w:rPr>
          <w:rFonts w:ascii="宋体" w:hAnsi="宋体" w:eastAsia="宋体" w:cs="宋体"/>
          <w:spacing w:val="9"/>
          <w:sz w:val="20"/>
          <w:szCs w:val="20"/>
        </w:rPr>
        <w:t>乳剂、缓释剂等),采用不同的作业方式，达到对病</w:t>
      </w:r>
      <w:r>
        <w:rPr>
          <w:rFonts w:ascii="宋体" w:hAnsi="宋体" w:eastAsia="宋体" w:cs="宋体"/>
          <w:spacing w:val="8"/>
          <w:sz w:val="20"/>
          <w:szCs w:val="20"/>
        </w:rPr>
        <w:t>媒生物进行杀灭或驱赶的目的。化学防制见效</w:t>
      </w:r>
      <w:r>
        <w:rPr>
          <w:rFonts w:ascii="宋体" w:hAnsi="宋体" w:eastAsia="宋体" w:cs="宋体"/>
          <w:sz w:val="20"/>
          <w:szCs w:val="20"/>
        </w:rPr>
        <w:t xml:space="preserve">  </w:t>
      </w:r>
      <w:r>
        <w:rPr>
          <w:rFonts w:ascii="宋体" w:hAnsi="宋体" w:eastAsia="宋体" w:cs="宋体"/>
          <w:spacing w:val="1"/>
          <w:sz w:val="20"/>
          <w:szCs w:val="20"/>
        </w:rPr>
        <w:t>快、防制面广，尤其是在病媒生物相关传染</w:t>
      </w:r>
      <w:r>
        <w:rPr>
          <w:rFonts w:ascii="宋体" w:hAnsi="宋体" w:eastAsia="宋体" w:cs="宋体"/>
          <w:sz w:val="20"/>
          <w:szCs w:val="20"/>
        </w:rPr>
        <w:t xml:space="preserve">病暴发流行时，能达到快速降低靶病媒生物密度的目的。 </w:t>
      </w:r>
      <w:r>
        <w:rPr>
          <w:rFonts w:ascii="宋体" w:hAnsi="宋体" w:eastAsia="宋体" w:cs="宋体"/>
          <w:spacing w:val="4"/>
          <w:sz w:val="20"/>
          <w:szCs w:val="20"/>
        </w:rPr>
        <w:t>但是，长期大量使用，易导致环境污染和病媒生物产生抗药性。目前，最常用的化学</w:t>
      </w:r>
      <w:r>
        <w:rPr>
          <w:rFonts w:ascii="宋体" w:hAnsi="宋体" w:eastAsia="宋体" w:cs="宋体"/>
          <w:spacing w:val="3"/>
          <w:sz w:val="20"/>
          <w:szCs w:val="20"/>
        </w:rPr>
        <w:t>防制方法包括</w:t>
      </w:r>
      <w:r>
        <w:rPr>
          <w:rFonts w:ascii="宋体" w:hAnsi="宋体" w:eastAsia="宋体" w:cs="宋体"/>
          <w:sz w:val="20"/>
          <w:szCs w:val="20"/>
        </w:rPr>
        <w:t xml:space="preserve">  </w:t>
      </w:r>
      <w:r>
        <w:rPr>
          <w:rFonts w:ascii="宋体" w:hAnsi="宋体" w:eastAsia="宋体" w:cs="宋体"/>
          <w:spacing w:val="-1"/>
          <w:sz w:val="20"/>
          <w:szCs w:val="20"/>
        </w:rPr>
        <w:t>空间喷雾(超低容量喷雾、热烟雾机)、滞留喷酒和投放缓释剂等。</w:t>
      </w:r>
    </w:p>
    <w:p w14:paraId="1F89D6D9">
      <w:pPr>
        <w:spacing w:before="46" w:line="220" w:lineRule="auto"/>
        <w:ind w:left="940"/>
        <w:rPr>
          <w:rFonts w:ascii="宋体" w:hAnsi="宋体" w:eastAsia="宋体" w:cs="宋体"/>
          <w:sz w:val="20"/>
          <w:szCs w:val="20"/>
        </w:rPr>
      </w:pPr>
      <w:r>
        <w:rPr>
          <w:rFonts w:ascii="宋体" w:hAnsi="宋体" w:eastAsia="宋体" w:cs="宋体"/>
          <w:spacing w:val="22"/>
          <w:sz w:val="20"/>
          <w:szCs w:val="20"/>
        </w:rPr>
        <w:t>(四)生物防制</w:t>
      </w:r>
    </w:p>
    <w:p w14:paraId="1031A82C">
      <w:pPr>
        <w:spacing w:before="108" w:line="347" w:lineRule="auto"/>
        <w:ind w:left="520" w:right="25" w:firstLine="420"/>
        <w:rPr>
          <w:rFonts w:ascii="宋体" w:hAnsi="宋体" w:eastAsia="宋体" w:cs="宋体"/>
          <w:sz w:val="20"/>
          <w:szCs w:val="20"/>
        </w:rPr>
      </w:pPr>
      <w:r>
        <w:rPr>
          <w:rFonts w:ascii="宋体" w:hAnsi="宋体" w:eastAsia="宋体" w:cs="宋体"/>
          <w:spacing w:val="6"/>
          <w:sz w:val="20"/>
          <w:szCs w:val="20"/>
        </w:rPr>
        <w:t>生物防制</w:t>
      </w:r>
      <w:r>
        <w:rPr>
          <w:rFonts w:ascii="Times New Roman" w:hAnsi="Times New Roman" w:eastAsia="Times New Roman" w:cs="Times New Roman"/>
          <w:spacing w:val="6"/>
          <w:sz w:val="20"/>
          <w:szCs w:val="20"/>
        </w:rPr>
        <w:t>(</w:t>
      </w:r>
      <w:r>
        <w:rPr>
          <w:rFonts w:ascii="Times New Roman" w:hAnsi="Times New Roman" w:eastAsia="Times New Roman" w:cs="Times New Roman"/>
          <w:sz w:val="20"/>
          <w:szCs w:val="20"/>
        </w:rPr>
        <w:t>biological</w:t>
      </w:r>
      <w:r>
        <w:rPr>
          <w:rFonts w:ascii="Times New Roman" w:hAnsi="Times New Roman" w:eastAsia="Times New Roman" w:cs="Times New Roman"/>
          <w:spacing w:val="53"/>
          <w:w w:val="101"/>
          <w:sz w:val="20"/>
          <w:szCs w:val="20"/>
        </w:rPr>
        <w:t xml:space="preserve"> </w:t>
      </w:r>
      <w:r>
        <w:rPr>
          <w:rFonts w:ascii="Times New Roman" w:hAnsi="Times New Roman" w:eastAsia="Times New Roman" w:cs="Times New Roman"/>
          <w:sz w:val="20"/>
          <w:szCs w:val="20"/>
        </w:rPr>
        <w:t>control</w:t>
      </w:r>
      <w:r>
        <w:rPr>
          <w:rFonts w:ascii="Times New Roman" w:hAnsi="Times New Roman" w:eastAsia="Times New Roman" w:cs="Times New Roman"/>
          <w:spacing w:val="6"/>
          <w:sz w:val="20"/>
          <w:szCs w:val="20"/>
        </w:rPr>
        <w:t>)</w:t>
      </w:r>
      <w:r>
        <w:rPr>
          <w:rFonts w:ascii="宋体" w:hAnsi="宋体" w:eastAsia="宋体" w:cs="宋体"/>
          <w:spacing w:val="6"/>
          <w:sz w:val="20"/>
          <w:szCs w:val="20"/>
        </w:rPr>
        <w:t>是指利用生物或生物代谢产物来控制和杀灭病媒生物，主要是利用</w:t>
      </w:r>
      <w:r>
        <w:rPr>
          <w:rFonts w:ascii="宋体" w:hAnsi="宋体" w:eastAsia="宋体" w:cs="宋体"/>
          <w:sz w:val="20"/>
          <w:szCs w:val="20"/>
        </w:rPr>
        <w:t xml:space="preserve"> </w:t>
      </w:r>
      <w:r>
        <w:rPr>
          <w:rFonts w:ascii="宋体" w:hAnsi="宋体" w:eastAsia="宋体" w:cs="宋体"/>
          <w:spacing w:val="5"/>
          <w:sz w:val="20"/>
          <w:szCs w:val="20"/>
        </w:rPr>
        <w:t>病蝶生物的天放或微生物制剂进行防制。生物防制的优点为对人畜安全，不污染环境，持效期长，</w:t>
      </w:r>
      <w:r>
        <w:rPr>
          <w:rFonts w:ascii="宋体" w:hAnsi="宋体" w:eastAsia="宋体" w:cs="宋体"/>
          <w:spacing w:val="3"/>
          <w:sz w:val="20"/>
          <w:szCs w:val="20"/>
        </w:rPr>
        <w:t xml:space="preserve"> </w:t>
      </w:r>
      <w:r>
        <w:rPr>
          <w:rFonts w:ascii="宋体" w:hAnsi="宋体" w:eastAsia="宋体" w:cs="宋体"/>
          <w:spacing w:val="1"/>
          <w:sz w:val="20"/>
          <w:szCs w:val="20"/>
        </w:rPr>
        <w:t>不产生抗药性。但是，其防制速度慢，效果</w:t>
      </w:r>
      <w:r>
        <w:rPr>
          <w:rFonts w:ascii="宋体" w:hAnsi="宋体" w:eastAsia="宋体" w:cs="宋体"/>
          <w:sz w:val="20"/>
          <w:szCs w:val="20"/>
        </w:rPr>
        <w:t xml:space="preserve">单一，不适用于疾病流行时病媒生物的快速控制。目前， </w:t>
      </w:r>
      <w:r>
        <w:rPr>
          <w:rFonts w:ascii="宋体" w:hAnsi="宋体" w:eastAsia="宋体" w:cs="宋体"/>
          <w:spacing w:val="5"/>
          <w:sz w:val="20"/>
          <w:szCs w:val="20"/>
        </w:rPr>
        <w:t xml:space="preserve">最常用的生物防制方法包括水生动物防制(利用金鱼、泥鳅、柳条鱼等)和微生物防制(苏云金杆菌  </w:t>
      </w:r>
      <w:r>
        <w:rPr>
          <w:rFonts w:ascii="宋体" w:hAnsi="宋体" w:eastAsia="宋体" w:cs="宋体"/>
          <w:spacing w:val="-7"/>
          <w:sz w:val="20"/>
          <w:szCs w:val="20"/>
        </w:rPr>
        <w:t>以色列亚种、球形芽胞杆菌等)。</w:t>
      </w:r>
    </w:p>
    <w:p w14:paraId="194C8475">
      <w:pPr>
        <w:pStyle w:val="2"/>
        <w:spacing w:before="200" w:line="221" w:lineRule="auto"/>
        <w:ind w:left="943"/>
        <w:outlineLvl w:val="4"/>
        <w:rPr>
          <w:sz w:val="24"/>
          <w:szCs w:val="24"/>
        </w:rPr>
      </w:pPr>
      <w:bookmarkStart w:id="356" w:name="bookmark226"/>
      <w:bookmarkEnd w:id="356"/>
      <w:r>
        <w:rPr>
          <w:b/>
          <w:bCs/>
          <w:spacing w:val="-1"/>
          <w:sz w:val="24"/>
          <w:szCs w:val="24"/>
        </w:rPr>
        <w:t>三、病媒生物防制方法的使用原则</w:t>
      </w:r>
    </w:p>
    <w:p w14:paraId="09231F4C">
      <w:pPr>
        <w:pStyle w:val="2"/>
        <w:spacing w:before="275" w:line="222" w:lineRule="auto"/>
        <w:ind w:left="940"/>
        <w:rPr>
          <w:sz w:val="20"/>
          <w:szCs w:val="20"/>
        </w:rPr>
      </w:pPr>
      <w:r>
        <w:rPr>
          <w:spacing w:val="13"/>
          <w:sz w:val="20"/>
          <w:szCs w:val="20"/>
        </w:rPr>
        <w:t>(一)卫生杀虫剂、杀鼠剂使用原则</w:t>
      </w:r>
    </w:p>
    <w:p w14:paraId="1A931651">
      <w:pPr>
        <w:spacing w:before="125" w:line="342" w:lineRule="auto"/>
        <w:ind w:left="520" w:right="40" w:firstLine="420"/>
        <w:jc w:val="both"/>
        <w:rPr>
          <w:rFonts w:ascii="宋体" w:hAnsi="宋体" w:eastAsia="宋体" w:cs="宋体"/>
          <w:sz w:val="20"/>
          <w:szCs w:val="20"/>
        </w:rPr>
      </w:pPr>
      <w:r>
        <w:rPr>
          <w:rFonts w:ascii="宋体" w:hAnsi="宋体" w:eastAsia="宋体" w:cs="宋体"/>
          <w:spacing w:val="1"/>
          <w:sz w:val="20"/>
          <w:szCs w:val="20"/>
        </w:rPr>
        <w:t>卫生杀虫剂、杀鼠剂使用原则包括：①合法原则，选用的杀虫剂必须</w:t>
      </w:r>
      <w:r>
        <w:rPr>
          <w:rFonts w:ascii="宋体" w:hAnsi="宋体" w:eastAsia="宋体" w:cs="宋体"/>
          <w:sz w:val="20"/>
          <w:szCs w:val="20"/>
          <w:u w:val="single" w:color="auto"/>
        </w:rPr>
        <w:t>是卫生</w:t>
      </w:r>
      <w:r>
        <w:rPr>
          <w:rFonts w:ascii="宋体" w:hAnsi="宋体" w:eastAsia="宋体" w:cs="宋体"/>
          <w:sz w:val="20"/>
          <w:szCs w:val="20"/>
        </w:rPr>
        <w:t xml:space="preserve">用杀虫剂.必须有农 </w:t>
      </w:r>
      <w:r>
        <w:rPr>
          <w:rFonts w:ascii="宋体" w:hAnsi="宋体" w:eastAsia="宋体" w:cs="宋体"/>
          <w:spacing w:val="-2"/>
          <w:sz w:val="20"/>
          <w:szCs w:val="20"/>
        </w:rPr>
        <w:t>药登记证、生产许可证和产品质量标准，杀鼠剂经销商还应具备杀鼠剂经营资格；②高效、低毒、安</w:t>
      </w:r>
      <w:r>
        <w:rPr>
          <w:rFonts w:ascii="宋体" w:hAnsi="宋体" w:eastAsia="宋体" w:cs="宋体"/>
          <w:spacing w:val="9"/>
          <w:sz w:val="20"/>
          <w:szCs w:val="20"/>
        </w:rPr>
        <w:t xml:space="preserve">  </w:t>
      </w:r>
      <w:r>
        <w:rPr>
          <w:rFonts w:ascii="宋体" w:hAnsi="宋体" w:eastAsia="宋体" w:cs="宋体"/>
          <w:spacing w:val="-2"/>
          <w:sz w:val="20"/>
          <w:szCs w:val="20"/>
        </w:rPr>
        <w:t>全原则，选用的杀虫剂必须是高效、低毒、对防制对象敏感性高，而对高等动物低毒的产品；③质量</w:t>
      </w:r>
      <w:r>
        <w:rPr>
          <w:rFonts w:ascii="宋体" w:hAnsi="宋体" w:eastAsia="宋体" w:cs="宋体"/>
          <w:spacing w:val="7"/>
          <w:sz w:val="20"/>
          <w:szCs w:val="20"/>
        </w:rPr>
        <w:t xml:space="preserve">  </w:t>
      </w:r>
      <w:r>
        <w:rPr>
          <w:rFonts w:ascii="宋体" w:hAnsi="宋体" w:eastAsia="宋体" w:cs="宋体"/>
          <w:spacing w:val="5"/>
          <w:sz w:val="20"/>
          <w:szCs w:val="20"/>
        </w:rPr>
        <w:t>保障原则，选用产品质量稳定，可在主流渠道上批量购买，优先选用有效成分为</w:t>
      </w:r>
      <w:r>
        <w:rPr>
          <w:rFonts w:ascii="Times New Roman" w:hAnsi="Times New Roman" w:eastAsia="Times New Roman" w:cs="Times New Roman"/>
          <w:sz w:val="20"/>
          <w:szCs w:val="20"/>
        </w:rPr>
        <w:t>WHO</w:t>
      </w:r>
      <w:r>
        <w:rPr>
          <w:rFonts w:ascii="Times New Roman" w:hAnsi="Times New Roman" w:eastAsia="Times New Roman" w:cs="Times New Roman"/>
          <w:spacing w:val="5"/>
          <w:sz w:val="20"/>
          <w:szCs w:val="20"/>
        </w:rPr>
        <w:t xml:space="preserve"> </w:t>
      </w:r>
      <w:r>
        <w:rPr>
          <w:rFonts w:ascii="宋体" w:hAnsi="宋体" w:eastAsia="宋体" w:cs="宋体"/>
          <w:spacing w:val="5"/>
          <w:sz w:val="20"/>
          <w:szCs w:val="20"/>
        </w:rPr>
        <w:t>推荐或</w:t>
      </w:r>
      <w:r>
        <w:rPr>
          <w:rFonts w:ascii="宋体" w:hAnsi="宋体" w:eastAsia="宋体" w:cs="宋体"/>
          <w:spacing w:val="4"/>
          <w:sz w:val="20"/>
          <w:szCs w:val="20"/>
        </w:rPr>
        <w:t>经奥</w:t>
      </w:r>
      <w:r>
        <w:rPr>
          <w:rFonts w:ascii="宋体" w:hAnsi="宋体" w:eastAsia="宋体" w:cs="宋体"/>
          <w:sz w:val="20"/>
          <w:szCs w:val="20"/>
        </w:rPr>
        <w:t xml:space="preserve">  运会、亚运会、大运会使用，同时适用于当地环境的产品；④绿色环保原则，优先选用对环境友好、</w:t>
      </w:r>
      <w:r>
        <w:rPr>
          <w:rFonts w:ascii="宋体" w:hAnsi="宋体" w:eastAsia="宋体" w:cs="宋体"/>
          <w:spacing w:val="18"/>
          <w:sz w:val="20"/>
          <w:szCs w:val="20"/>
        </w:rPr>
        <w:t xml:space="preserve"> </w:t>
      </w:r>
      <w:r>
        <w:rPr>
          <w:rFonts w:ascii="宋体" w:hAnsi="宋体" w:eastAsia="宋体" w:cs="宋体"/>
          <w:spacing w:val="-2"/>
          <w:sz w:val="20"/>
          <w:szCs w:val="20"/>
        </w:rPr>
        <w:t>刺激性小、环境污染小的药剂；⑤禁用、停用、限用原则，严禁使用国家禁用杀鼠剂以及高毒、剧毒</w:t>
      </w:r>
      <w:r>
        <w:rPr>
          <w:rFonts w:ascii="宋体" w:hAnsi="宋体" w:eastAsia="宋体" w:cs="宋体"/>
          <w:spacing w:val="8"/>
          <w:sz w:val="20"/>
          <w:szCs w:val="20"/>
        </w:rPr>
        <w:t xml:space="preserve">  </w:t>
      </w:r>
      <w:r>
        <w:rPr>
          <w:rFonts w:ascii="宋体" w:hAnsi="宋体" w:eastAsia="宋体" w:cs="宋体"/>
          <w:spacing w:val="4"/>
          <w:sz w:val="20"/>
          <w:szCs w:val="20"/>
        </w:rPr>
        <w:t>的卫生杀虫剂(含复配产品),禁止自行配制和使用杀鼠剂、卫生</w:t>
      </w:r>
      <w:r>
        <w:rPr>
          <w:rFonts w:ascii="宋体" w:hAnsi="宋体" w:eastAsia="宋体" w:cs="宋体"/>
          <w:spacing w:val="3"/>
          <w:sz w:val="20"/>
          <w:szCs w:val="20"/>
        </w:rPr>
        <w:t>杀虫剂。</w:t>
      </w:r>
    </w:p>
    <w:p w14:paraId="5ABB80D5">
      <w:pPr>
        <w:pStyle w:val="2"/>
        <w:spacing w:before="48" w:line="222" w:lineRule="auto"/>
        <w:ind w:left="942"/>
        <w:rPr>
          <w:sz w:val="20"/>
          <w:szCs w:val="20"/>
        </w:rPr>
      </w:pPr>
      <w:r>
        <w:rPr>
          <w:b/>
          <w:bCs/>
          <w:spacing w:val="18"/>
          <w:sz w:val="20"/>
          <w:szCs w:val="20"/>
        </w:rPr>
        <w:t>(二)药械安全使用原则</w:t>
      </w:r>
    </w:p>
    <w:p w14:paraId="6883611B">
      <w:pPr>
        <w:spacing w:before="115" w:line="351" w:lineRule="auto"/>
        <w:ind w:left="520" w:right="80" w:firstLine="420"/>
        <w:jc w:val="both"/>
        <w:rPr>
          <w:rFonts w:ascii="宋体" w:hAnsi="宋体" w:eastAsia="宋体" w:cs="宋体"/>
          <w:sz w:val="20"/>
          <w:szCs w:val="20"/>
        </w:rPr>
      </w:pPr>
      <w:r>
        <w:rPr>
          <w:rFonts w:ascii="宋体" w:hAnsi="宋体" w:eastAsia="宋体" w:cs="宋体"/>
          <w:spacing w:val="-1"/>
          <w:sz w:val="20"/>
          <w:szCs w:val="20"/>
        </w:rPr>
        <w:t>药械安全使用原则包括：①首选物理器械原则，室内病媒生物控制优先选用</w:t>
      </w:r>
      <w:r>
        <w:rPr>
          <w:rFonts w:ascii="宋体" w:hAnsi="宋体" w:eastAsia="宋体" w:cs="宋体"/>
          <w:spacing w:val="-2"/>
          <w:sz w:val="20"/>
          <w:szCs w:val="20"/>
        </w:rPr>
        <w:t>纱门、纱窗、防蝇胶</w:t>
      </w:r>
      <w:r>
        <w:rPr>
          <w:rFonts w:ascii="宋体" w:hAnsi="宋体" w:eastAsia="宋体" w:cs="宋体"/>
          <w:sz w:val="20"/>
          <w:szCs w:val="20"/>
        </w:rPr>
        <w:t xml:space="preserve"> </w:t>
      </w:r>
      <w:r>
        <w:rPr>
          <w:rFonts w:ascii="宋体" w:hAnsi="宋体" w:eastAsia="宋体" w:cs="宋体"/>
          <w:spacing w:val="-1"/>
          <w:sz w:val="20"/>
          <w:szCs w:val="20"/>
        </w:rPr>
        <w:t>帘、灭蚊蝇灯、风幕机、粘蝇纸、粘鼠板、电子捕</w:t>
      </w:r>
      <w:r>
        <w:rPr>
          <w:rFonts w:ascii="宋体" w:hAnsi="宋体" w:eastAsia="宋体" w:cs="宋体"/>
          <w:spacing w:val="-2"/>
          <w:sz w:val="20"/>
          <w:szCs w:val="20"/>
        </w:rPr>
        <w:t>鼠器等不产生有毒有害物质的器械；②选择合适的</w:t>
      </w:r>
      <w:r>
        <w:rPr>
          <w:rFonts w:ascii="宋体" w:hAnsi="宋体" w:eastAsia="宋体" w:cs="宋体"/>
          <w:sz w:val="20"/>
          <w:szCs w:val="20"/>
        </w:rPr>
        <w:t xml:space="preserve"> </w:t>
      </w:r>
      <w:r>
        <w:rPr>
          <w:rFonts w:ascii="宋体" w:hAnsi="宋体" w:eastAsia="宋体" w:cs="宋体"/>
          <w:spacing w:val="3"/>
          <w:sz w:val="20"/>
          <w:szCs w:val="20"/>
        </w:rPr>
        <w:t>防制器械原则，根据防制的要求和药物的剂型选择合适的喷雾器械，要求杀虫器械雾化性能好</w:t>
      </w:r>
      <w:r>
        <w:rPr>
          <w:rFonts w:ascii="宋体" w:hAnsi="宋体" w:eastAsia="宋体" w:cs="宋体"/>
          <w:spacing w:val="2"/>
          <w:sz w:val="20"/>
          <w:szCs w:val="20"/>
        </w:rPr>
        <w:t>，喷</w:t>
      </w:r>
      <w:r>
        <w:rPr>
          <w:rFonts w:ascii="宋体" w:hAnsi="宋体" w:eastAsia="宋体" w:cs="宋体"/>
          <w:sz w:val="20"/>
          <w:szCs w:val="20"/>
        </w:rPr>
        <w:t xml:space="preserve"> </w:t>
      </w:r>
      <w:r>
        <w:rPr>
          <w:rFonts w:ascii="宋体" w:hAnsi="宋体" w:eastAsia="宋体" w:cs="宋体"/>
          <w:spacing w:val="-6"/>
          <w:sz w:val="20"/>
          <w:szCs w:val="20"/>
        </w:rPr>
        <w:t>出的雾粒均匀、稳定，密封性好，耐腐蚀性，无渗漏、滴液现象，操作性能好，操作灵活、方便；</w:t>
      </w:r>
      <w:r>
        <w:rPr>
          <w:rFonts w:ascii="宋体" w:hAnsi="宋体" w:eastAsia="宋体" w:cs="宋体"/>
          <w:spacing w:val="-7"/>
          <w:sz w:val="20"/>
          <w:szCs w:val="20"/>
        </w:rPr>
        <w:t>③室</w:t>
      </w:r>
      <w:r>
        <w:rPr>
          <w:rFonts w:ascii="宋体" w:hAnsi="宋体" w:eastAsia="宋体" w:cs="宋体"/>
          <w:sz w:val="20"/>
          <w:szCs w:val="20"/>
        </w:rPr>
        <w:t xml:space="preserve"> </w:t>
      </w:r>
      <w:r>
        <w:rPr>
          <w:rFonts w:ascii="宋体" w:hAnsi="宋体" w:eastAsia="宋体" w:cs="宋体"/>
          <w:spacing w:val="-2"/>
          <w:sz w:val="20"/>
          <w:szCs w:val="20"/>
        </w:rPr>
        <w:t>内室外分用原则，室内、室外分别使用相应的药物，室内环境喷洒选用不产生废气的电</w:t>
      </w:r>
      <w:r>
        <w:rPr>
          <w:rFonts w:ascii="宋体" w:hAnsi="宋体" w:eastAsia="宋体" w:cs="宋体"/>
          <w:spacing w:val="-3"/>
          <w:sz w:val="20"/>
          <w:szCs w:val="20"/>
        </w:rPr>
        <w:t>动式、充电式</w:t>
      </w:r>
      <w:r>
        <w:rPr>
          <w:rFonts w:ascii="宋体" w:hAnsi="宋体" w:eastAsia="宋体" w:cs="宋体"/>
          <w:sz w:val="20"/>
          <w:szCs w:val="20"/>
        </w:rPr>
        <w:t xml:space="preserve"> </w:t>
      </w:r>
      <w:r>
        <w:rPr>
          <w:rFonts w:ascii="宋体" w:hAnsi="宋体" w:eastAsia="宋体" w:cs="宋体"/>
          <w:spacing w:val="3"/>
          <w:sz w:val="20"/>
          <w:szCs w:val="20"/>
        </w:rPr>
        <w:t>喷雾器，或手动喷雾器械，大型活动场馆内禁止使用热烟雾剂等发烟性药剂，用于室内空间喷洒或</w:t>
      </w:r>
      <w:r>
        <w:rPr>
          <w:rFonts w:ascii="宋体" w:hAnsi="宋体" w:eastAsia="宋体" w:cs="宋体"/>
          <w:sz w:val="20"/>
          <w:szCs w:val="20"/>
        </w:rPr>
        <w:t xml:space="preserve"> 滞留喷洒的卫生杀虫剂剂型首先使用以水为溶剂的产</w:t>
      </w:r>
      <w:r>
        <w:rPr>
          <w:rFonts w:ascii="宋体" w:hAnsi="宋体" w:eastAsia="宋体" w:cs="宋体"/>
          <w:spacing w:val="-1"/>
          <w:sz w:val="20"/>
          <w:szCs w:val="20"/>
        </w:rPr>
        <w:t>品，包括水乳剂、悬浮剂(胶悬剂)、微胶囊剂；</w:t>
      </w:r>
    </w:p>
    <w:p w14:paraId="541190F3">
      <w:pPr>
        <w:spacing w:line="351" w:lineRule="auto"/>
        <w:rPr>
          <w:rFonts w:ascii="宋体" w:hAnsi="宋体" w:eastAsia="宋体" w:cs="宋体"/>
          <w:sz w:val="20"/>
          <w:szCs w:val="20"/>
        </w:rPr>
        <w:sectPr>
          <w:footerReference r:id="rId229" w:type="default"/>
          <w:pgSz w:w="11900" w:h="16820"/>
          <w:pgMar w:top="400" w:right="1520" w:bottom="819" w:left="999" w:header="0" w:footer="639" w:gutter="0"/>
          <w:cols w:space="720" w:num="1"/>
        </w:sectPr>
      </w:pPr>
    </w:p>
    <w:p w14:paraId="44FB2FB7">
      <w:pPr>
        <w:pStyle w:val="2"/>
        <w:spacing w:before="287" w:line="222" w:lineRule="auto"/>
        <w:ind w:left="6510"/>
        <w:rPr>
          <w:rFonts w:ascii="宋体" w:hAnsi="宋体" w:eastAsia="宋体" w:cs="宋体"/>
          <w:sz w:val="21"/>
          <w:szCs w:val="21"/>
        </w:rPr>
      </w:pPr>
      <w:r>
        <w:rPr>
          <w:spacing w:val="-25"/>
          <w:sz w:val="21"/>
          <w:szCs w:val="21"/>
        </w:rPr>
        <w:t>第中覆</w:t>
      </w:r>
      <w:r>
        <w:rPr>
          <w:rFonts w:ascii="宋体" w:hAnsi="宋体" w:eastAsia="宋体" w:cs="宋体"/>
          <w:spacing w:val="-25"/>
          <w:sz w:val="21"/>
          <w:szCs w:val="21"/>
        </w:rPr>
        <w:t>章 调难与飼捷</w:t>
      </w:r>
      <w:r>
        <w:rPr>
          <w:rFonts w:ascii="宋体" w:hAnsi="宋体" w:eastAsia="宋体" w:cs="宋体"/>
          <w:spacing w:val="7"/>
          <w:sz w:val="21"/>
          <w:szCs w:val="21"/>
        </w:rPr>
        <w:t xml:space="preserve"> </w:t>
      </w:r>
      <w:r>
        <w:rPr>
          <w:rFonts w:ascii="宋体" w:hAnsi="宋体" w:eastAsia="宋体" w:cs="宋体"/>
          <w:spacing w:val="-25"/>
          <w:sz w:val="21"/>
          <w:szCs w:val="21"/>
        </w:rPr>
        <w:t>何缴购</w:t>
      </w:r>
    </w:p>
    <w:p w14:paraId="67C9BDFC">
      <w:pPr>
        <w:spacing w:line="258" w:lineRule="auto"/>
        <w:rPr>
          <w:rFonts w:ascii="Arial"/>
          <w:sz w:val="21"/>
        </w:rPr>
      </w:pPr>
    </w:p>
    <w:p w14:paraId="65688C0C">
      <w:pPr>
        <w:spacing w:line="258" w:lineRule="auto"/>
        <w:rPr>
          <w:rFonts w:ascii="Arial"/>
          <w:sz w:val="21"/>
        </w:rPr>
      </w:pPr>
    </w:p>
    <w:p w14:paraId="49F6491F">
      <w:pPr>
        <w:spacing w:before="68" w:line="330" w:lineRule="auto"/>
        <w:ind w:right="692" w:firstLine="19"/>
        <w:rPr>
          <w:rFonts w:ascii="宋体" w:hAnsi="宋体" w:eastAsia="宋体" w:cs="宋体"/>
          <w:sz w:val="21"/>
          <w:szCs w:val="21"/>
        </w:rPr>
      </w:pPr>
      <w:r>
        <w:rPr>
          <w:rFonts w:ascii="宋体" w:hAnsi="宋体" w:eastAsia="宋体" w:cs="宋体"/>
          <w:spacing w:val="-8"/>
          <w:sz w:val="21"/>
          <w:szCs w:val="21"/>
        </w:rPr>
        <w:t>尽毒馍活配套使用原则，在重点场所投放毒物灭复时，领鳃遭氇供间投镯、</w:t>
      </w:r>
      <w:r>
        <w:rPr>
          <w:rFonts w:ascii="宋体" w:hAnsi="宋体" w:eastAsia="宋体" w:cs="宋体"/>
          <w:spacing w:val="-9"/>
          <w:sz w:val="21"/>
          <w:szCs w:val="21"/>
        </w:rPr>
        <w:t>不持纯摸奈浍、物时萤警</w:t>
      </w:r>
      <w:r>
        <w:rPr>
          <w:rFonts w:ascii="宋体" w:hAnsi="宋体" w:eastAsia="宋体" w:cs="宋体"/>
          <w:sz w:val="21"/>
          <w:szCs w:val="21"/>
        </w:rPr>
        <w:t xml:space="preserve"> </w:t>
      </w:r>
      <w:r>
        <w:rPr>
          <w:rFonts w:ascii="宋体" w:hAnsi="宋体" w:eastAsia="宋体" w:cs="宋体"/>
          <w:spacing w:val="-6"/>
          <w:sz w:val="21"/>
          <w:szCs w:val="21"/>
        </w:rPr>
        <w:t>警告标恋、场馆内部原则上不使现杀鼠则天撤。</w:t>
      </w:r>
    </w:p>
    <w:p w14:paraId="00A1FD20">
      <w:pPr>
        <w:spacing w:line="219" w:lineRule="auto"/>
        <w:ind w:left="7319"/>
        <w:rPr>
          <w:rFonts w:ascii="宋体" w:hAnsi="宋体" w:eastAsia="宋体" w:cs="宋体"/>
          <w:sz w:val="21"/>
          <w:szCs w:val="21"/>
        </w:rPr>
      </w:pPr>
      <w:r>
        <w:rPr>
          <w:rFonts w:ascii="宋体" w:hAnsi="宋体" w:eastAsia="宋体" w:cs="宋体"/>
          <w:spacing w:val="-14"/>
          <w:sz w:val="21"/>
          <w:szCs w:val="21"/>
        </w:rPr>
        <w:t>(</w:t>
      </w:r>
      <w:r>
        <w:rPr>
          <w:rFonts w:ascii="宋体" w:hAnsi="宋体" w:eastAsia="宋体" w:cs="宋体"/>
          <w:spacing w:val="-20"/>
          <w:sz w:val="21"/>
          <w:szCs w:val="21"/>
        </w:rPr>
        <w:t xml:space="preserve"> </w:t>
      </w:r>
      <w:r>
        <w:rPr>
          <w:rFonts w:ascii="宋体" w:hAnsi="宋体" w:eastAsia="宋体" w:cs="宋体"/>
          <w:spacing w:val="-14"/>
          <w:sz w:val="21"/>
          <w:szCs w:val="21"/>
        </w:rPr>
        <w:t>忧</w:t>
      </w:r>
      <w:r>
        <w:rPr>
          <w:rFonts w:ascii="宋体" w:hAnsi="宋体" w:eastAsia="宋体" w:cs="宋体"/>
          <w:spacing w:val="-20"/>
          <w:sz w:val="21"/>
          <w:szCs w:val="21"/>
        </w:rPr>
        <w:t xml:space="preserve"> </w:t>
      </w:r>
      <w:r>
        <w:rPr>
          <w:rFonts w:ascii="宋体" w:hAnsi="宋体" w:eastAsia="宋体" w:cs="宋体"/>
          <w:spacing w:val="-14"/>
          <w:sz w:val="21"/>
          <w:szCs w:val="21"/>
        </w:rPr>
        <w:t>罐</w:t>
      </w:r>
      <w:r>
        <w:rPr>
          <w:rFonts w:ascii="宋体" w:hAnsi="宋体" w:eastAsia="宋体" w:cs="宋体"/>
          <w:spacing w:val="-22"/>
          <w:sz w:val="21"/>
          <w:szCs w:val="21"/>
        </w:rPr>
        <w:t xml:space="preserve"> </w:t>
      </w:r>
      <w:r>
        <w:rPr>
          <w:rFonts w:ascii="宋体" w:hAnsi="宋体" w:eastAsia="宋体" w:cs="宋体"/>
          <w:spacing w:val="-14"/>
          <w:sz w:val="21"/>
          <w:szCs w:val="21"/>
        </w:rPr>
        <w:t>诉 怏</w:t>
      </w:r>
      <w:r>
        <w:rPr>
          <w:rFonts w:ascii="宋体" w:hAnsi="宋体" w:eastAsia="宋体" w:cs="宋体"/>
          <w:spacing w:val="-19"/>
          <w:sz w:val="21"/>
          <w:szCs w:val="21"/>
        </w:rPr>
        <w:t xml:space="preserve"> </w:t>
      </w:r>
      <w:r>
        <w:rPr>
          <w:rFonts w:ascii="宋体" w:hAnsi="宋体" w:eastAsia="宋体" w:cs="宋体"/>
          <w:spacing w:val="-14"/>
          <w:sz w:val="21"/>
          <w:szCs w:val="21"/>
        </w:rPr>
        <w:t>居</w:t>
      </w:r>
      <w:r>
        <w:rPr>
          <w:rFonts w:ascii="宋体" w:hAnsi="宋体" w:eastAsia="宋体" w:cs="宋体"/>
          <w:spacing w:val="-29"/>
          <w:sz w:val="21"/>
          <w:szCs w:val="21"/>
        </w:rPr>
        <w:t xml:space="preserve"> </w:t>
      </w:r>
      <w:r>
        <w:rPr>
          <w:rFonts w:ascii="宋体" w:hAnsi="宋体" w:eastAsia="宋体" w:cs="宋体"/>
          <w:spacing w:val="-14"/>
          <w:sz w:val="21"/>
          <w:szCs w:val="21"/>
        </w:rPr>
        <w:t>；</w:t>
      </w:r>
    </w:p>
    <w:p w14:paraId="04A85378">
      <w:pPr>
        <w:spacing w:line="340" w:lineRule="auto"/>
        <w:rPr>
          <w:rFonts w:ascii="Arial"/>
          <w:sz w:val="21"/>
        </w:rPr>
      </w:pPr>
    </w:p>
    <w:p w14:paraId="3D1B406F">
      <w:pPr>
        <w:spacing w:line="370" w:lineRule="exact"/>
        <w:ind w:firstLine="8679"/>
      </w:pPr>
      <w:r>
        <w:rPr>
          <w:position w:val="-7"/>
        </w:rPr>
        <w:drawing>
          <wp:inline distT="0" distB="0" distL="0" distR="0">
            <wp:extent cx="278765" cy="234950"/>
            <wp:effectExtent l="0" t="0" r="0" b="0"/>
            <wp:docPr id="584" name="IM 584"/>
            <wp:cNvGraphicFramePr/>
            <a:graphic xmlns:a="http://schemas.openxmlformats.org/drawingml/2006/main">
              <a:graphicData uri="http://schemas.openxmlformats.org/drawingml/2006/picture">
                <pic:pic xmlns:pic="http://schemas.openxmlformats.org/drawingml/2006/picture">
                  <pic:nvPicPr>
                    <pic:cNvPr id="584" name="IM 584"/>
                    <pic:cNvPicPr/>
                  </pic:nvPicPr>
                  <pic:blipFill>
                    <a:blip r:embed="rId635"/>
                    <a:stretch>
                      <a:fillRect/>
                    </a:stretch>
                  </pic:blipFill>
                  <pic:spPr>
                    <a:xfrm>
                      <a:off x="0" y="0"/>
                      <a:ext cx="279363" cy="234975"/>
                    </a:xfrm>
                    <a:prstGeom prst="rect">
                      <a:avLst/>
                    </a:prstGeom>
                  </pic:spPr>
                </pic:pic>
              </a:graphicData>
            </a:graphic>
          </wp:inline>
        </w:drawing>
      </w:r>
    </w:p>
    <w:p w14:paraId="1AAF4800">
      <w:pPr>
        <w:pStyle w:val="2"/>
        <w:spacing w:before="228" w:line="222" w:lineRule="auto"/>
        <w:ind w:left="449"/>
        <w:rPr>
          <w:sz w:val="21"/>
          <w:szCs w:val="21"/>
        </w:rPr>
      </w:pPr>
      <w:r>
        <w:rPr>
          <w:spacing w:val="-6"/>
          <w:sz w:val="21"/>
          <w:szCs w:val="21"/>
        </w:rPr>
        <w:t>思</w:t>
      </w:r>
      <w:r>
        <w:rPr>
          <w:spacing w:val="-28"/>
          <w:sz w:val="21"/>
          <w:szCs w:val="21"/>
        </w:rPr>
        <w:t xml:space="preserve"> </w:t>
      </w:r>
      <w:r>
        <w:rPr>
          <w:spacing w:val="-6"/>
          <w:sz w:val="21"/>
          <w:szCs w:val="21"/>
        </w:rPr>
        <w:t>考</w:t>
      </w:r>
      <w:r>
        <w:rPr>
          <w:spacing w:val="-29"/>
          <w:sz w:val="21"/>
          <w:szCs w:val="21"/>
        </w:rPr>
        <w:t xml:space="preserve"> </w:t>
      </w:r>
      <w:r>
        <w:rPr>
          <w:spacing w:val="-6"/>
          <w:sz w:val="21"/>
          <w:szCs w:val="21"/>
        </w:rPr>
        <w:t>题</w:t>
      </w:r>
    </w:p>
    <w:p w14:paraId="6A2C41B9">
      <w:pPr>
        <w:spacing w:before="67" w:line="219" w:lineRule="auto"/>
        <w:ind w:left="1249"/>
        <w:rPr>
          <w:rFonts w:ascii="宋体" w:hAnsi="宋体" w:eastAsia="宋体" w:cs="宋体"/>
          <w:sz w:val="21"/>
          <w:szCs w:val="21"/>
        </w:rPr>
      </w:pPr>
      <w:r>
        <w:rPr>
          <w:rFonts w:ascii="宋体" w:hAnsi="宋体" w:eastAsia="宋体" w:cs="宋体"/>
          <w:spacing w:val="6"/>
          <w:sz w:val="21"/>
          <w:szCs w:val="21"/>
        </w:rPr>
        <w:t>1.什么是消毒?其效果影响因素有哪些?</w:t>
      </w:r>
    </w:p>
    <w:p w14:paraId="26D8AE16">
      <w:pPr>
        <w:spacing w:before="111" w:line="219" w:lineRule="auto"/>
        <w:ind w:left="1249"/>
        <w:rPr>
          <w:rFonts w:ascii="宋体" w:hAnsi="宋体" w:eastAsia="宋体" w:cs="宋体"/>
          <w:sz w:val="21"/>
          <w:szCs w:val="21"/>
        </w:rPr>
      </w:pPr>
      <w:r>
        <w:rPr>
          <w:rFonts w:ascii="宋体" w:hAnsi="宋体" w:eastAsia="宋体" w:cs="宋体"/>
          <w:spacing w:val="-2"/>
          <w:sz w:val="21"/>
          <w:szCs w:val="21"/>
        </w:rPr>
        <w:t>2.</w:t>
      </w:r>
      <w:r>
        <w:rPr>
          <w:rFonts w:ascii="宋体" w:hAnsi="宋体" w:eastAsia="宋体" w:cs="宋体"/>
          <w:spacing w:val="-48"/>
          <w:sz w:val="21"/>
          <w:szCs w:val="21"/>
        </w:rPr>
        <w:t xml:space="preserve"> </w:t>
      </w:r>
      <w:r>
        <w:rPr>
          <w:rFonts w:ascii="宋体" w:hAnsi="宋体" w:eastAsia="宋体" w:cs="宋体"/>
          <w:spacing w:val="-2"/>
          <w:sz w:val="21"/>
          <w:szCs w:val="21"/>
        </w:rPr>
        <w:t>消毒方法的选择原则是什么?</w:t>
      </w:r>
    </w:p>
    <w:p w14:paraId="428039DD">
      <w:pPr>
        <w:spacing w:before="111" w:line="219" w:lineRule="auto"/>
        <w:ind w:left="1249"/>
        <w:rPr>
          <w:rFonts w:ascii="宋体" w:hAnsi="宋体" w:eastAsia="宋体" w:cs="宋体"/>
          <w:sz w:val="21"/>
          <w:szCs w:val="21"/>
        </w:rPr>
      </w:pPr>
      <w:r>
        <w:rPr>
          <w:rFonts w:ascii="宋体" w:hAnsi="宋体" w:eastAsia="宋体" w:cs="宋体"/>
          <w:spacing w:val="-2"/>
          <w:sz w:val="21"/>
          <w:szCs w:val="21"/>
        </w:rPr>
        <w:t>3.</w:t>
      </w:r>
      <w:r>
        <w:rPr>
          <w:rFonts w:ascii="宋体" w:hAnsi="宋体" w:eastAsia="宋体" w:cs="宋体"/>
          <w:spacing w:val="-40"/>
          <w:sz w:val="21"/>
          <w:szCs w:val="21"/>
        </w:rPr>
        <w:t xml:space="preserve"> </w:t>
      </w:r>
      <w:r>
        <w:rPr>
          <w:rFonts w:ascii="宋体" w:hAnsi="宋体" w:eastAsia="宋体" w:cs="宋体"/>
          <w:spacing w:val="-2"/>
          <w:sz w:val="21"/>
          <w:szCs w:val="21"/>
        </w:rPr>
        <w:t>可用于空气和水的消毒方法有哪些?</w:t>
      </w:r>
    </w:p>
    <w:p w14:paraId="1DFADD0B">
      <w:pPr>
        <w:spacing w:before="129" w:line="219" w:lineRule="auto"/>
        <w:ind w:left="1249"/>
        <w:rPr>
          <w:rFonts w:ascii="宋体" w:hAnsi="宋体" w:eastAsia="宋体" w:cs="宋体"/>
          <w:sz w:val="21"/>
          <w:szCs w:val="21"/>
        </w:rPr>
      </w:pPr>
      <w:r>
        <w:rPr>
          <w:rFonts w:ascii="宋体" w:hAnsi="宋体" w:eastAsia="宋体" w:cs="宋体"/>
          <w:spacing w:val="-2"/>
          <w:sz w:val="21"/>
          <w:szCs w:val="21"/>
        </w:rPr>
        <w:t>4.</w:t>
      </w:r>
      <w:r>
        <w:rPr>
          <w:rFonts w:ascii="宋体" w:hAnsi="宋体" w:eastAsia="宋体" w:cs="宋体"/>
          <w:spacing w:val="-33"/>
          <w:sz w:val="21"/>
          <w:szCs w:val="21"/>
        </w:rPr>
        <w:t xml:space="preserve"> </w:t>
      </w:r>
      <w:r>
        <w:rPr>
          <w:rFonts w:ascii="宋体" w:hAnsi="宋体" w:eastAsia="宋体" w:cs="宋体"/>
          <w:spacing w:val="-2"/>
          <w:sz w:val="21"/>
          <w:szCs w:val="21"/>
        </w:rPr>
        <w:t>常用的病媒生物防制方法包括哪些?</w:t>
      </w:r>
    </w:p>
    <w:p w14:paraId="539D5112">
      <w:pPr>
        <w:spacing w:line="219" w:lineRule="auto"/>
        <w:rPr>
          <w:rFonts w:ascii="宋体" w:hAnsi="宋体" w:eastAsia="宋体" w:cs="宋体"/>
          <w:sz w:val="21"/>
          <w:szCs w:val="21"/>
        </w:rPr>
        <w:sectPr>
          <w:footerReference r:id="rId230" w:type="default"/>
          <w:pgSz w:w="11900" w:h="16820"/>
          <w:pgMar w:top="400" w:right="908" w:bottom="886" w:left="1400" w:header="0" w:footer="697" w:gutter="0"/>
          <w:cols w:space="720" w:num="1"/>
        </w:sectPr>
      </w:pPr>
    </w:p>
    <w:p w14:paraId="6E54F97A">
      <w:pPr>
        <w:spacing w:line="343" w:lineRule="auto"/>
        <w:rPr>
          <w:rFonts w:ascii="Arial"/>
          <w:sz w:val="21"/>
        </w:rPr>
      </w:pPr>
    </w:p>
    <w:p w14:paraId="776B3CA0">
      <w:pPr>
        <w:spacing w:line="344" w:lineRule="auto"/>
        <w:rPr>
          <w:rFonts w:ascii="Arial"/>
          <w:sz w:val="21"/>
        </w:rPr>
      </w:pPr>
    </w:p>
    <w:p w14:paraId="56CDC72A">
      <w:pPr>
        <w:pStyle w:val="2"/>
        <w:spacing w:before="94" w:line="222" w:lineRule="auto"/>
        <w:ind w:left="4444"/>
        <w:outlineLvl w:val="0"/>
        <w:rPr>
          <w:sz w:val="29"/>
          <w:szCs w:val="29"/>
        </w:rPr>
      </w:pPr>
      <w:r>
        <w:drawing>
          <wp:anchor distT="0" distB="0" distL="0" distR="0" simplePos="0" relativeHeight="251847680" behindDoc="0" locked="0" layoutInCell="1" allowOverlap="1">
            <wp:simplePos x="0" y="0"/>
            <wp:positionH relativeFrom="column">
              <wp:posOffset>424815</wp:posOffset>
            </wp:positionH>
            <wp:positionV relativeFrom="paragraph">
              <wp:posOffset>62230</wp:posOffset>
            </wp:positionV>
            <wp:extent cx="552450" cy="609600"/>
            <wp:effectExtent l="0" t="0" r="0" b="0"/>
            <wp:wrapNone/>
            <wp:docPr id="586" name="IM 586"/>
            <wp:cNvGraphicFramePr/>
            <a:graphic xmlns:a="http://schemas.openxmlformats.org/drawingml/2006/main">
              <a:graphicData uri="http://schemas.openxmlformats.org/drawingml/2006/picture">
                <pic:pic xmlns:pic="http://schemas.openxmlformats.org/drawingml/2006/picture">
                  <pic:nvPicPr>
                    <pic:cNvPr id="586" name="IM 586"/>
                    <pic:cNvPicPr/>
                  </pic:nvPicPr>
                  <pic:blipFill>
                    <a:blip r:embed="rId636"/>
                    <a:stretch>
                      <a:fillRect/>
                    </a:stretch>
                  </pic:blipFill>
                  <pic:spPr>
                    <a:xfrm>
                      <a:off x="0" y="0"/>
                      <a:ext cx="552455" cy="609548"/>
                    </a:xfrm>
                    <a:prstGeom prst="rect">
                      <a:avLst/>
                    </a:prstGeom>
                  </pic:spPr>
                </pic:pic>
              </a:graphicData>
            </a:graphic>
          </wp:anchor>
        </w:drawing>
      </w:r>
      <w:bookmarkStart w:id="357" w:name="bookmark227"/>
      <w:bookmarkEnd w:id="357"/>
      <w:r>
        <w:rPr>
          <w:b/>
          <w:bCs/>
          <w:spacing w:val="2"/>
          <w:sz w:val="29"/>
          <w:szCs w:val="29"/>
        </w:rPr>
        <w:t>第十四章</w:t>
      </w:r>
    </w:p>
    <w:p w14:paraId="69E2F1EF">
      <w:pPr>
        <w:pStyle w:val="2"/>
        <w:spacing w:before="123" w:line="221" w:lineRule="auto"/>
        <w:ind w:left="3516"/>
        <w:outlineLvl w:val="0"/>
        <w:rPr>
          <w:sz w:val="44"/>
          <w:szCs w:val="44"/>
        </w:rPr>
      </w:pPr>
      <w:bookmarkStart w:id="358" w:name="bookmark227"/>
      <w:bookmarkEnd w:id="358"/>
      <w:r>
        <w:rPr>
          <w:b/>
          <w:bCs/>
          <w:spacing w:val="-1"/>
          <w:sz w:val="44"/>
          <w:szCs w:val="44"/>
        </w:rPr>
        <w:t>慢性病流行病学</w:t>
      </w:r>
    </w:p>
    <w:p w14:paraId="502D9862">
      <w:pPr>
        <w:spacing w:before="145" w:line="450" w:lineRule="exact"/>
        <w:ind w:firstLine="220"/>
      </w:pPr>
      <w:r>
        <w:rPr>
          <w:position w:val="-8"/>
        </w:rPr>
        <w:drawing>
          <wp:inline distT="0" distB="0" distL="0" distR="0">
            <wp:extent cx="316865" cy="285115"/>
            <wp:effectExtent l="0" t="0" r="0" b="0"/>
            <wp:docPr id="588" name="IM 588"/>
            <wp:cNvGraphicFramePr/>
            <a:graphic xmlns:a="http://schemas.openxmlformats.org/drawingml/2006/main">
              <a:graphicData uri="http://schemas.openxmlformats.org/drawingml/2006/picture">
                <pic:pic xmlns:pic="http://schemas.openxmlformats.org/drawingml/2006/picture">
                  <pic:nvPicPr>
                    <pic:cNvPr id="588" name="IM 588"/>
                    <pic:cNvPicPr/>
                  </pic:nvPicPr>
                  <pic:blipFill>
                    <a:blip r:embed="rId637"/>
                    <a:stretch>
                      <a:fillRect/>
                    </a:stretch>
                  </pic:blipFill>
                  <pic:spPr>
                    <a:xfrm>
                      <a:off x="0" y="0"/>
                      <a:ext cx="317448" cy="285708"/>
                    </a:xfrm>
                    <a:prstGeom prst="rect">
                      <a:avLst/>
                    </a:prstGeom>
                  </pic:spPr>
                </pic:pic>
              </a:graphicData>
            </a:graphic>
          </wp:inline>
        </w:drawing>
      </w:r>
    </w:p>
    <w:p w14:paraId="09561CA2">
      <w:pPr>
        <w:spacing w:before="228" w:line="395" w:lineRule="exact"/>
        <w:ind w:left="1359"/>
        <w:rPr>
          <w:rFonts w:ascii="Arial" w:hAnsi="Arial" w:eastAsia="Arial" w:cs="Arial"/>
          <w:sz w:val="29"/>
          <w:szCs w:val="29"/>
        </w:rPr>
      </w:pPr>
      <w:r>
        <w:rPr>
          <w:rFonts w:ascii="Arial" w:hAnsi="Arial" w:eastAsia="Arial" w:cs="Arial"/>
          <w:spacing w:val="-2"/>
          <w:position w:val="4"/>
          <w:sz w:val="29"/>
          <w:szCs w:val="29"/>
        </w:rPr>
        <w:t>Chapter</w:t>
      </w:r>
      <w:r>
        <w:rPr>
          <w:rFonts w:ascii="Arial" w:hAnsi="Arial" w:eastAsia="Arial" w:cs="Arial"/>
          <w:spacing w:val="58"/>
          <w:position w:val="4"/>
          <w:sz w:val="29"/>
          <w:szCs w:val="29"/>
        </w:rPr>
        <w:t xml:space="preserve"> </w:t>
      </w:r>
      <w:r>
        <w:rPr>
          <w:rFonts w:ascii="Arial" w:hAnsi="Arial" w:eastAsia="Arial" w:cs="Arial"/>
          <w:spacing w:val="-2"/>
          <w:position w:val="4"/>
          <w:sz w:val="29"/>
          <w:szCs w:val="29"/>
        </w:rPr>
        <w:t>14</w:t>
      </w:r>
      <w:r>
        <w:rPr>
          <w:rFonts w:ascii="Arial" w:hAnsi="Arial" w:eastAsia="Arial" w:cs="Arial"/>
          <w:spacing w:val="53"/>
          <w:w w:val="101"/>
          <w:position w:val="4"/>
          <w:sz w:val="29"/>
          <w:szCs w:val="29"/>
        </w:rPr>
        <w:t xml:space="preserve"> </w:t>
      </w:r>
      <w:r>
        <w:rPr>
          <w:rFonts w:ascii="Arial" w:hAnsi="Arial" w:eastAsia="Arial" w:cs="Arial"/>
          <w:spacing w:val="-2"/>
          <w:position w:val="4"/>
          <w:sz w:val="29"/>
          <w:szCs w:val="29"/>
        </w:rPr>
        <w:t>Epidemiology</w:t>
      </w:r>
      <w:r>
        <w:rPr>
          <w:rFonts w:ascii="Arial" w:hAnsi="Arial" w:eastAsia="Arial" w:cs="Arial"/>
          <w:spacing w:val="40"/>
          <w:position w:val="4"/>
          <w:sz w:val="29"/>
          <w:szCs w:val="29"/>
        </w:rPr>
        <w:t xml:space="preserve"> </w:t>
      </w:r>
      <w:r>
        <w:rPr>
          <w:rFonts w:ascii="Arial" w:hAnsi="Arial" w:eastAsia="Arial" w:cs="Arial"/>
          <w:spacing w:val="-2"/>
          <w:position w:val="4"/>
          <w:sz w:val="29"/>
          <w:szCs w:val="29"/>
        </w:rPr>
        <w:t>of</w:t>
      </w:r>
      <w:r>
        <w:rPr>
          <w:rFonts w:ascii="Arial" w:hAnsi="Arial" w:eastAsia="Arial" w:cs="Arial"/>
          <w:spacing w:val="42"/>
          <w:w w:val="101"/>
          <w:position w:val="4"/>
          <w:sz w:val="29"/>
          <w:szCs w:val="29"/>
        </w:rPr>
        <w:t xml:space="preserve"> </w:t>
      </w:r>
      <w:r>
        <w:rPr>
          <w:rFonts w:ascii="Arial" w:hAnsi="Arial" w:eastAsia="Arial" w:cs="Arial"/>
          <w:spacing w:val="-2"/>
          <w:position w:val="4"/>
          <w:sz w:val="29"/>
          <w:szCs w:val="29"/>
        </w:rPr>
        <w:t>Noncom</w:t>
      </w:r>
      <w:r>
        <w:rPr>
          <w:rFonts w:ascii="Arial" w:hAnsi="Arial" w:eastAsia="Arial" w:cs="Arial"/>
          <w:spacing w:val="-3"/>
          <w:position w:val="4"/>
          <w:sz w:val="29"/>
          <w:szCs w:val="29"/>
        </w:rPr>
        <w:t>municable</w:t>
      </w:r>
      <w:r>
        <w:rPr>
          <w:rFonts w:ascii="Arial" w:hAnsi="Arial" w:eastAsia="Arial" w:cs="Arial"/>
          <w:spacing w:val="53"/>
          <w:position w:val="4"/>
          <w:sz w:val="29"/>
          <w:szCs w:val="29"/>
        </w:rPr>
        <w:t xml:space="preserve"> </w:t>
      </w:r>
      <w:r>
        <w:rPr>
          <w:rFonts w:ascii="Arial" w:hAnsi="Arial" w:eastAsia="Arial" w:cs="Arial"/>
          <w:spacing w:val="-3"/>
          <w:position w:val="4"/>
          <w:sz w:val="29"/>
          <w:szCs w:val="29"/>
        </w:rPr>
        <w:t>Diseases</w:t>
      </w:r>
    </w:p>
    <w:p w14:paraId="1C405757">
      <w:pPr>
        <w:spacing w:line="399" w:lineRule="auto"/>
        <w:rPr>
          <w:rFonts w:ascii="Arial"/>
          <w:sz w:val="21"/>
        </w:rPr>
      </w:pPr>
    </w:p>
    <w:p w14:paraId="772F4A70">
      <w:pPr>
        <w:spacing w:before="57" w:line="383" w:lineRule="auto"/>
        <w:ind w:left="669" w:right="74" w:firstLine="440"/>
        <w:jc w:val="both"/>
        <w:rPr>
          <w:rFonts w:ascii="Times New Roman" w:hAnsi="Times New Roman" w:eastAsia="Times New Roman" w:cs="Times New Roman"/>
          <w:sz w:val="20"/>
          <w:szCs w:val="20"/>
        </w:rPr>
      </w:pPr>
      <w:r>
        <w:rPr>
          <w:rFonts w:ascii="Times New Roman" w:hAnsi="Times New Roman" w:eastAsia="Times New Roman" w:cs="Times New Roman"/>
          <w:sz w:val="20"/>
          <w:szCs w:val="20"/>
        </w:rPr>
        <w:t>In  recent   decades,the</w:t>
      </w:r>
      <w:r>
        <w:rPr>
          <w:rFonts w:ascii="Times New Roman" w:hAnsi="Times New Roman" w:eastAsia="Times New Roman" w:cs="Times New Roman"/>
          <w:spacing w:val="14"/>
          <w:w w:val="101"/>
          <w:sz w:val="20"/>
          <w:szCs w:val="20"/>
        </w:rPr>
        <w:t xml:space="preserve">  </w:t>
      </w:r>
      <w:r>
        <w:rPr>
          <w:rFonts w:ascii="Times New Roman" w:hAnsi="Times New Roman" w:eastAsia="Times New Roman" w:cs="Times New Roman"/>
          <w:sz w:val="20"/>
          <w:szCs w:val="20"/>
        </w:rPr>
        <w:t>disease  burden</w:t>
      </w:r>
      <w:r>
        <w:rPr>
          <w:rFonts w:ascii="Times New Roman" w:hAnsi="Times New Roman" w:eastAsia="Times New Roman" w:cs="Times New Roman"/>
          <w:spacing w:val="12"/>
          <w:sz w:val="20"/>
          <w:szCs w:val="20"/>
        </w:rPr>
        <w:t xml:space="preserve">  </w:t>
      </w:r>
      <w:r>
        <w:rPr>
          <w:rFonts w:ascii="Times New Roman" w:hAnsi="Times New Roman" w:eastAsia="Times New Roman" w:cs="Times New Roman"/>
          <w:sz w:val="20"/>
          <w:szCs w:val="20"/>
        </w:rPr>
        <w:t>has   shifted</w:t>
      </w:r>
      <w:r>
        <w:rPr>
          <w:rFonts w:ascii="Times New Roman" w:hAnsi="Times New Roman" w:eastAsia="Times New Roman" w:cs="Times New Roman"/>
          <w:spacing w:val="15"/>
          <w:sz w:val="20"/>
          <w:szCs w:val="20"/>
        </w:rPr>
        <w:t xml:space="preserve">  </w:t>
      </w:r>
      <w:r>
        <w:rPr>
          <w:rFonts w:ascii="Times New Roman" w:hAnsi="Times New Roman" w:eastAsia="Times New Roman" w:cs="Times New Roman"/>
          <w:sz w:val="20"/>
          <w:szCs w:val="20"/>
        </w:rPr>
        <w:t>from</w:t>
      </w:r>
      <w:r>
        <w:rPr>
          <w:rFonts w:ascii="Times New Roman" w:hAnsi="Times New Roman" w:eastAsia="Times New Roman" w:cs="Times New Roman"/>
          <w:spacing w:val="14"/>
          <w:sz w:val="20"/>
          <w:szCs w:val="20"/>
        </w:rPr>
        <w:t xml:space="preserve">  </w:t>
      </w:r>
      <w:r>
        <w:rPr>
          <w:rFonts w:ascii="Times New Roman" w:hAnsi="Times New Roman" w:eastAsia="Times New Roman" w:cs="Times New Roman"/>
          <w:sz w:val="20"/>
          <w:szCs w:val="20"/>
        </w:rPr>
        <w:t>infect</w:t>
      </w:r>
      <w:r>
        <w:rPr>
          <w:rFonts w:ascii="Times New Roman" w:hAnsi="Times New Roman" w:eastAsia="Times New Roman" w:cs="Times New Roman"/>
          <w:spacing w:val="-1"/>
          <w:sz w:val="20"/>
          <w:szCs w:val="20"/>
        </w:rPr>
        <w:t>ious</w:t>
      </w:r>
      <w:r>
        <w:rPr>
          <w:rFonts w:ascii="Times New Roman" w:hAnsi="Times New Roman" w:eastAsia="Times New Roman" w:cs="Times New Roman"/>
          <w:spacing w:val="14"/>
          <w:w w:val="101"/>
          <w:sz w:val="20"/>
          <w:szCs w:val="20"/>
        </w:rPr>
        <w:t xml:space="preserve">  </w:t>
      </w:r>
      <w:r>
        <w:rPr>
          <w:rFonts w:ascii="Times New Roman" w:hAnsi="Times New Roman" w:eastAsia="Times New Roman" w:cs="Times New Roman"/>
          <w:spacing w:val="-1"/>
          <w:sz w:val="20"/>
          <w:szCs w:val="20"/>
        </w:rPr>
        <w:t>diseases  to</w:t>
      </w:r>
      <w:r>
        <w:rPr>
          <w:rFonts w:ascii="Times New Roman" w:hAnsi="Times New Roman" w:eastAsia="Times New Roman" w:cs="Times New Roman"/>
          <w:spacing w:val="11"/>
          <w:sz w:val="20"/>
          <w:szCs w:val="20"/>
        </w:rPr>
        <w:t xml:space="preserve">  </w:t>
      </w:r>
      <w:r>
        <w:rPr>
          <w:rFonts w:ascii="Times New Roman" w:hAnsi="Times New Roman" w:eastAsia="Times New Roman" w:cs="Times New Roman"/>
          <w:spacing w:val="-1"/>
          <w:sz w:val="20"/>
          <w:szCs w:val="20"/>
        </w:rPr>
        <w:t>noncommunicable</w:t>
      </w:r>
      <w:r>
        <w:rPr>
          <w:rFonts w:ascii="Times New Roman" w:hAnsi="Times New Roman" w:eastAsia="Times New Roman" w:cs="Times New Roman"/>
          <w:spacing w:val="1"/>
          <w:sz w:val="20"/>
          <w:szCs w:val="20"/>
        </w:rPr>
        <w:t xml:space="preserve"> </w:t>
      </w:r>
      <w:r>
        <w:rPr>
          <w:rFonts w:ascii="Times New Roman" w:hAnsi="Times New Roman" w:eastAsia="Times New Roman" w:cs="Times New Roman"/>
          <w:sz w:val="20"/>
          <w:szCs w:val="20"/>
        </w:rPr>
        <w:t>diseases</w:t>
      </w:r>
      <w:r>
        <w:rPr>
          <w:rFonts w:ascii="Times New Roman" w:hAnsi="Times New Roman" w:eastAsia="Times New Roman" w:cs="Times New Roman"/>
          <w:spacing w:val="27"/>
          <w:sz w:val="20"/>
          <w:szCs w:val="20"/>
        </w:rPr>
        <w:t xml:space="preserve"> </w:t>
      </w:r>
      <w:r>
        <w:rPr>
          <w:rFonts w:ascii="Times New Roman" w:hAnsi="Times New Roman" w:eastAsia="Times New Roman" w:cs="Times New Roman"/>
          <w:sz w:val="20"/>
          <w:szCs w:val="20"/>
        </w:rPr>
        <w:t>both</w:t>
      </w:r>
      <w:r>
        <w:rPr>
          <w:rFonts w:ascii="Times New Roman" w:hAnsi="Times New Roman" w:eastAsia="Times New Roman" w:cs="Times New Roman"/>
          <w:spacing w:val="33"/>
          <w:sz w:val="20"/>
          <w:szCs w:val="20"/>
        </w:rPr>
        <w:t xml:space="preserve"> </w:t>
      </w:r>
      <w:r>
        <w:rPr>
          <w:rFonts w:ascii="Times New Roman" w:hAnsi="Times New Roman" w:eastAsia="Times New Roman" w:cs="Times New Roman"/>
          <w:sz w:val="20"/>
          <w:szCs w:val="20"/>
        </w:rPr>
        <w:t>globally</w:t>
      </w:r>
      <w:r>
        <w:rPr>
          <w:rFonts w:ascii="Times New Roman" w:hAnsi="Times New Roman" w:eastAsia="Times New Roman" w:cs="Times New Roman"/>
          <w:spacing w:val="34"/>
          <w:w w:val="101"/>
          <w:sz w:val="20"/>
          <w:szCs w:val="20"/>
        </w:rPr>
        <w:t xml:space="preserve"> </w:t>
      </w:r>
      <w:r>
        <w:rPr>
          <w:rFonts w:ascii="Times New Roman" w:hAnsi="Times New Roman" w:eastAsia="Times New Roman" w:cs="Times New Roman"/>
          <w:sz w:val="20"/>
          <w:szCs w:val="20"/>
        </w:rPr>
        <w:t>and</w:t>
      </w:r>
      <w:r>
        <w:rPr>
          <w:rFonts w:ascii="Times New Roman" w:hAnsi="Times New Roman" w:eastAsia="Times New Roman" w:cs="Times New Roman"/>
          <w:spacing w:val="33"/>
          <w:sz w:val="20"/>
          <w:szCs w:val="20"/>
        </w:rPr>
        <w:t xml:space="preserve"> </w:t>
      </w:r>
      <w:r>
        <w:rPr>
          <w:rFonts w:ascii="Times New Roman" w:hAnsi="Times New Roman" w:eastAsia="Times New Roman" w:cs="Times New Roman"/>
          <w:sz w:val="20"/>
          <w:szCs w:val="20"/>
        </w:rPr>
        <w:t>in</w:t>
      </w:r>
      <w:r>
        <w:rPr>
          <w:rFonts w:ascii="Times New Roman" w:hAnsi="Times New Roman" w:eastAsia="Times New Roman" w:cs="Times New Roman"/>
          <w:spacing w:val="34"/>
          <w:w w:val="101"/>
          <w:sz w:val="20"/>
          <w:szCs w:val="20"/>
        </w:rPr>
        <w:t xml:space="preserve"> </w:t>
      </w:r>
      <w:r>
        <w:rPr>
          <w:rFonts w:ascii="Times New Roman" w:hAnsi="Times New Roman" w:eastAsia="Times New Roman" w:cs="Times New Roman"/>
          <w:sz w:val="20"/>
          <w:szCs w:val="20"/>
        </w:rPr>
        <w:t>China.The</w:t>
      </w:r>
      <w:r>
        <w:rPr>
          <w:rFonts w:ascii="Times New Roman" w:hAnsi="Times New Roman" w:eastAsia="Times New Roman" w:cs="Times New Roman"/>
          <w:spacing w:val="29"/>
          <w:sz w:val="20"/>
          <w:szCs w:val="20"/>
        </w:rPr>
        <w:t xml:space="preserve"> </w:t>
      </w:r>
      <w:r>
        <w:rPr>
          <w:rFonts w:ascii="Times New Roman" w:hAnsi="Times New Roman" w:eastAsia="Times New Roman" w:cs="Times New Roman"/>
          <w:sz w:val="20"/>
          <w:szCs w:val="20"/>
        </w:rPr>
        <w:t>main</w:t>
      </w:r>
      <w:r>
        <w:rPr>
          <w:rFonts w:ascii="Times New Roman" w:hAnsi="Times New Roman" w:eastAsia="Times New Roman" w:cs="Times New Roman"/>
          <w:spacing w:val="29"/>
          <w:sz w:val="20"/>
          <w:szCs w:val="20"/>
        </w:rPr>
        <w:t xml:space="preserve"> </w:t>
      </w:r>
      <w:r>
        <w:rPr>
          <w:rFonts w:ascii="Times New Roman" w:hAnsi="Times New Roman" w:eastAsia="Times New Roman" w:cs="Times New Roman"/>
          <w:sz w:val="20"/>
          <w:szCs w:val="20"/>
        </w:rPr>
        <w:t>types</w:t>
      </w:r>
      <w:r>
        <w:rPr>
          <w:rFonts w:ascii="Times New Roman" w:hAnsi="Times New Roman" w:eastAsia="Times New Roman" w:cs="Times New Roman"/>
          <w:spacing w:val="34"/>
          <w:sz w:val="20"/>
          <w:szCs w:val="20"/>
        </w:rPr>
        <w:t xml:space="preserve"> </w:t>
      </w:r>
      <w:r>
        <w:rPr>
          <w:rFonts w:ascii="Times New Roman" w:hAnsi="Times New Roman" w:eastAsia="Times New Roman" w:cs="Times New Roman"/>
          <w:sz w:val="20"/>
          <w:szCs w:val="20"/>
        </w:rPr>
        <w:t>of no</w:t>
      </w:r>
      <w:r>
        <w:rPr>
          <w:rFonts w:ascii="Times New Roman" w:hAnsi="Times New Roman" w:eastAsia="Times New Roman" w:cs="Times New Roman"/>
          <w:spacing w:val="-1"/>
          <w:sz w:val="20"/>
          <w:szCs w:val="20"/>
        </w:rPr>
        <w:t>ncommunicable</w:t>
      </w:r>
      <w:r>
        <w:rPr>
          <w:rFonts w:ascii="Times New Roman" w:hAnsi="Times New Roman" w:eastAsia="Times New Roman" w:cs="Times New Roman"/>
          <w:spacing w:val="34"/>
          <w:sz w:val="20"/>
          <w:szCs w:val="20"/>
        </w:rPr>
        <w:t xml:space="preserve"> </w:t>
      </w:r>
      <w:r>
        <w:rPr>
          <w:rFonts w:ascii="Times New Roman" w:hAnsi="Times New Roman" w:eastAsia="Times New Roman" w:cs="Times New Roman"/>
          <w:spacing w:val="-1"/>
          <w:sz w:val="20"/>
          <w:szCs w:val="20"/>
        </w:rPr>
        <w:t>diseases</w:t>
      </w:r>
      <w:r>
        <w:rPr>
          <w:rFonts w:ascii="Times New Roman" w:hAnsi="Times New Roman" w:eastAsia="Times New Roman" w:cs="Times New Roman"/>
          <w:spacing w:val="33"/>
          <w:sz w:val="20"/>
          <w:szCs w:val="20"/>
        </w:rPr>
        <w:t xml:space="preserve"> </w:t>
      </w:r>
      <w:r>
        <w:rPr>
          <w:rFonts w:ascii="Times New Roman" w:hAnsi="Times New Roman" w:eastAsia="Times New Roman" w:cs="Times New Roman"/>
          <w:spacing w:val="-1"/>
          <w:sz w:val="20"/>
          <w:szCs w:val="20"/>
        </w:rPr>
        <w:t>include</w:t>
      </w:r>
      <w:r>
        <w:rPr>
          <w:rFonts w:ascii="Times New Roman" w:hAnsi="Times New Roman" w:eastAsia="Times New Roman" w:cs="Times New Roman"/>
          <w:spacing w:val="34"/>
          <w:w w:val="101"/>
          <w:sz w:val="20"/>
          <w:szCs w:val="20"/>
        </w:rPr>
        <w:t xml:space="preserve"> </w:t>
      </w:r>
      <w:r>
        <w:rPr>
          <w:rFonts w:ascii="Times New Roman" w:hAnsi="Times New Roman" w:eastAsia="Times New Roman" w:cs="Times New Roman"/>
          <w:spacing w:val="-1"/>
          <w:sz w:val="20"/>
          <w:szCs w:val="20"/>
        </w:rPr>
        <w:t>cardiovascular</w:t>
      </w:r>
      <w:r>
        <w:rPr>
          <w:rFonts w:ascii="Times New Roman" w:hAnsi="Times New Roman" w:eastAsia="Times New Roman" w:cs="Times New Roman"/>
          <w:sz w:val="20"/>
          <w:szCs w:val="20"/>
        </w:rPr>
        <w:t xml:space="preserve"> disease(such  as  coronary</w:t>
      </w:r>
      <w:r>
        <w:rPr>
          <w:rFonts w:ascii="Times New Roman" w:hAnsi="Times New Roman" w:eastAsia="Times New Roman" w:cs="Times New Roman"/>
          <w:spacing w:val="6"/>
          <w:sz w:val="20"/>
          <w:szCs w:val="20"/>
        </w:rPr>
        <w:t xml:space="preserve">  </w:t>
      </w:r>
      <w:r>
        <w:rPr>
          <w:rFonts w:ascii="Times New Roman" w:hAnsi="Times New Roman" w:eastAsia="Times New Roman" w:cs="Times New Roman"/>
          <w:sz w:val="20"/>
          <w:szCs w:val="20"/>
        </w:rPr>
        <w:t>heart</w:t>
      </w:r>
      <w:r>
        <w:rPr>
          <w:rFonts w:ascii="Times New Roman" w:hAnsi="Times New Roman" w:eastAsia="Times New Roman" w:cs="Times New Roman"/>
          <w:spacing w:val="8"/>
          <w:sz w:val="20"/>
          <w:szCs w:val="20"/>
        </w:rPr>
        <w:t xml:space="preserve">  </w:t>
      </w:r>
      <w:r>
        <w:rPr>
          <w:rFonts w:ascii="Times New Roman" w:hAnsi="Times New Roman" w:eastAsia="Times New Roman" w:cs="Times New Roman"/>
          <w:sz w:val="20"/>
          <w:szCs w:val="20"/>
        </w:rPr>
        <w:t>disease</w:t>
      </w:r>
      <w:r>
        <w:rPr>
          <w:rFonts w:ascii="Times New Roman" w:hAnsi="Times New Roman" w:eastAsia="Times New Roman" w:cs="Times New Roman"/>
          <w:spacing w:val="9"/>
          <w:sz w:val="20"/>
          <w:szCs w:val="20"/>
        </w:rPr>
        <w:t xml:space="preserve">  </w:t>
      </w:r>
      <w:r>
        <w:rPr>
          <w:rFonts w:ascii="Times New Roman" w:hAnsi="Times New Roman" w:eastAsia="Times New Roman" w:cs="Times New Roman"/>
          <w:sz w:val="20"/>
          <w:szCs w:val="20"/>
        </w:rPr>
        <w:t>and</w:t>
      </w:r>
      <w:r>
        <w:rPr>
          <w:rFonts w:ascii="Times New Roman" w:hAnsi="Times New Roman" w:eastAsia="Times New Roman" w:cs="Times New Roman"/>
          <w:spacing w:val="10"/>
          <w:sz w:val="20"/>
          <w:szCs w:val="20"/>
        </w:rPr>
        <w:t xml:space="preserve">  </w:t>
      </w:r>
      <w:r>
        <w:rPr>
          <w:rFonts w:ascii="Times New Roman" w:hAnsi="Times New Roman" w:eastAsia="Times New Roman" w:cs="Times New Roman"/>
          <w:sz w:val="20"/>
          <w:szCs w:val="20"/>
        </w:rPr>
        <w:t>stroke),cancer,c</w:t>
      </w:r>
      <w:r>
        <w:rPr>
          <w:rFonts w:ascii="Times New Roman" w:hAnsi="Times New Roman" w:eastAsia="Times New Roman" w:cs="Times New Roman"/>
          <w:spacing w:val="-1"/>
          <w:sz w:val="20"/>
          <w:szCs w:val="20"/>
        </w:rPr>
        <w:t>hronic</w:t>
      </w:r>
      <w:r>
        <w:rPr>
          <w:rFonts w:ascii="Times New Roman" w:hAnsi="Times New Roman" w:eastAsia="Times New Roman" w:cs="Times New Roman"/>
          <w:spacing w:val="6"/>
          <w:sz w:val="20"/>
          <w:szCs w:val="20"/>
        </w:rPr>
        <w:t xml:space="preserve">  </w:t>
      </w:r>
      <w:r>
        <w:rPr>
          <w:rFonts w:ascii="Times New Roman" w:hAnsi="Times New Roman" w:eastAsia="Times New Roman" w:cs="Times New Roman"/>
          <w:spacing w:val="-1"/>
          <w:sz w:val="20"/>
          <w:szCs w:val="20"/>
        </w:rPr>
        <w:t>respiratory</w:t>
      </w:r>
      <w:r>
        <w:rPr>
          <w:rFonts w:ascii="Times New Roman" w:hAnsi="Times New Roman" w:eastAsia="Times New Roman" w:cs="Times New Roman"/>
          <w:spacing w:val="9"/>
          <w:sz w:val="20"/>
          <w:szCs w:val="20"/>
        </w:rPr>
        <w:t xml:space="preserve">  </w:t>
      </w:r>
      <w:r>
        <w:rPr>
          <w:rFonts w:ascii="Times New Roman" w:hAnsi="Times New Roman" w:eastAsia="Times New Roman" w:cs="Times New Roman"/>
          <w:spacing w:val="-1"/>
          <w:sz w:val="20"/>
          <w:szCs w:val="20"/>
        </w:rPr>
        <w:t>diseases(such</w:t>
      </w:r>
      <w:r>
        <w:rPr>
          <w:rFonts w:ascii="Times New Roman" w:hAnsi="Times New Roman" w:eastAsia="Times New Roman" w:cs="Times New Roman"/>
          <w:spacing w:val="9"/>
          <w:sz w:val="20"/>
          <w:szCs w:val="20"/>
        </w:rPr>
        <w:t xml:space="preserve">  </w:t>
      </w:r>
      <w:r>
        <w:rPr>
          <w:rFonts w:ascii="Times New Roman" w:hAnsi="Times New Roman" w:eastAsia="Times New Roman" w:cs="Times New Roman"/>
          <w:spacing w:val="-1"/>
          <w:sz w:val="20"/>
          <w:szCs w:val="20"/>
        </w:rPr>
        <w:t>as</w:t>
      </w:r>
      <w:r>
        <w:rPr>
          <w:rFonts w:ascii="Times New Roman" w:hAnsi="Times New Roman" w:eastAsia="Times New Roman" w:cs="Times New Roman"/>
          <w:spacing w:val="9"/>
          <w:sz w:val="20"/>
          <w:szCs w:val="20"/>
        </w:rPr>
        <w:t xml:space="preserve">  </w:t>
      </w:r>
      <w:r>
        <w:rPr>
          <w:rFonts w:ascii="Times New Roman" w:hAnsi="Times New Roman" w:eastAsia="Times New Roman" w:cs="Times New Roman"/>
          <w:spacing w:val="-1"/>
          <w:sz w:val="20"/>
          <w:szCs w:val="20"/>
        </w:rPr>
        <w:t>chronic</w:t>
      </w:r>
      <w:r>
        <w:rPr>
          <w:rFonts w:ascii="Times New Roman" w:hAnsi="Times New Roman" w:eastAsia="Times New Roman" w:cs="Times New Roman"/>
          <w:sz w:val="20"/>
          <w:szCs w:val="20"/>
        </w:rPr>
        <w:t xml:space="preserve"> obstructive</w:t>
      </w:r>
      <w:r>
        <w:rPr>
          <w:rFonts w:ascii="Times New Roman" w:hAnsi="Times New Roman" w:eastAsia="Times New Roman" w:cs="Times New Roman"/>
          <w:spacing w:val="34"/>
          <w:w w:val="101"/>
          <w:sz w:val="20"/>
          <w:szCs w:val="20"/>
        </w:rPr>
        <w:t xml:space="preserve"> </w:t>
      </w:r>
      <w:r>
        <w:rPr>
          <w:rFonts w:ascii="Times New Roman" w:hAnsi="Times New Roman" w:eastAsia="Times New Roman" w:cs="Times New Roman"/>
          <w:sz w:val="20"/>
          <w:szCs w:val="20"/>
        </w:rPr>
        <w:t>pulmonary</w:t>
      </w:r>
      <w:r>
        <w:rPr>
          <w:rFonts w:ascii="Times New Roman" w:hAnsi="Times New Roman" w:eastAsia="Times New Roman" w:cs="Times New Roman"/>
          <w:spacing w:val="40"/>
          <w:w w:val="101"/>
          <w:sz w:val="20"/>
          <w:szCs w:val="20"/>
        </w:rPr>
        <w:t xml:space="preserve"> </w:t>
      </w:r>
      <w:r>
        <w:rPr>
          <w:rFonts w:ascii="Times New Roman" w:hAnsi="Times New Roman" w:eastAsia="Times New Roman" w:cs="Times New Roman"/>
          <w:sz w:val="20"/>
          <w:szCs w:val="20"/>
        </w:rPr>
        <w:t>disease</w:t>
      </w:r>
      <w:r>
        <w:rPr>
          <w:rFonts w:ascii="Times New Roman" w:hAnsi="Times New Roman" w:eastAsia="Times New Roman" w:cs="Times New Roman"/>
          <w:spacing w:val="41"/>
          <w:w w:val="101"/>
          <w:sz w:val="20"/>
          <w:szCs w:val="20"/>
        </w:rPr>
        <w:t xml:space="preserve"> </w:t>
      </w:r>
      <w:r>
        <w:rPr>
          <w:rFonts w:ascii="Times New Roman" w:hAnsi="Times New Roman" w:eastAsia="Times New Roman" w:cs="Times New Roman"/>
          <w:sz w:val="20"/>
          <w:szCs w:val="20"/>
        </w:rPr>
        <w:t>and</w:t>
      </w:r>
      <w:r>
        <w:rPr>
          <w:rFonts w:ascii="Times New Roman" w:hAnsi="Times New Roman" w:eastAsia="Times New Roman" w:cs="Times New Roman"/>
          <w:spacing w:val="41"/>
          <w:sz w:val="20"/>
          <w:szCs w:val="20"/>
        </w:rPr>
        <w:t xml:space="preserve"> </w:t>
      </w:r>
      <w:r>
        <w:rPr>
          <w:rFonts w:ascii="Times New Roman" w:hAnsi="Times New Roman" w:eastAsia="Times New Roman" w:cs="Times New Roman"/>
          <w:sz w:val="20"/>
          <w:szCs w:val="20"/>
        </w:rPr>
        <w:t>asthma)</w:t>
      </w:r>
      <w:r>
        <w:rPr>
          <w:rFonts w:ascii="Times New Roman" w:hAnsi="Times New Roman" w:eastAsia="Times New Roman" w:cs="Times New Roman"/>
          <w:spacing w:val="-1"/>
          <w:sz w:val="20"/>
          <w:szCs w:val="20"/>
        </w:rPr>
        <w:t>,diabetes,and</w:t>
      </w:r>
      <w:r>
        <w:rPr>
          <w:rFonts w:ascii="Times New Roman" w:hAnsi="Times New Roman" w:eastAsia="Times New Roman" w:cs="Times New Roman"/>
          <w:spacing w:val="35"/>
          <w:w w:val="101"/>
          <w:sz w:val="20"/>
          <w:szCs w:val="20"/>
        </w:rPr>
        <w:t xml:space="preserve"> </w:t>
      </w:r>
      <w:r>
        <w:rPr>
          <w:rFonts w:ascii="Times New Roman" w:hAnsi="Times New Roman" w:eastAsia="Times New Roman" w:cs="Times New Roman"/>
          <w:spacing w:val="-1"/>
          <w:sz w:val="20"/>
          <w:szCs w:val="20"/>
        </w:rPr>
        <w:t>mental</w:t>
      </w:r>
      <w:r>
        <w:rPr>
          <w:rFonts w:ascii="Times New Roman" w:hAnsi="Times New Roman" w:eastAsia="Times New Roman" w:cs="Times New Roman"/>
          <w:spacing w:val="41"/>
          <w:w w:val="101"/>
          <w:sz w:val="20"/>
          <w:szCs w:val="20"/>
        </w:rPr>
        <w:t xml:space="preserve"> </w:t>
      </w:r>
      <w:r>
        <w:rPr>
          <w:rFonts w:ascii="Times New Roman" w:hAnsi="Times New Roman" w:eastAsia="Times New Roman" w:cs="Times New Roman"/>
          <w:spacing w:val="-1"/>
          <w:sz w:val="20"/>
          <w:szCs w:val="20"/>
        </w:rPr>
        <w:t>and</w:t>
      </w:r>
      <w:r>
        <w:rPr>
          <w:rFonts w:ascii="Times New Roman" w:hAnsi="Times New Roman" w:eastAsia="Times New Roman" w:cs="Times New Roman"/>
          <w:spacing w:val="33"/>
          <w:sz w:val="20"/>
          <w:szCs w:val="20"/>
        </w:rPr>
        <w:t xml:space="preserve"> </w:t>
      </w:r>
      <w:r>
        <w:rPr>
          <w:rFonts w:ascii="Times New Roman" w:hAnsi="Times New Roman" w:eastAsia="Times New Roman" w:cs="Times New Roman"/>
          <w:spacing w:val="-1"/>
          <w:sz w:val="20"/>
          <w:szCs w:val="20"/>
        </w:rPr>
        <w:t>psychological</w:t>
      </w:r>
      <w:r>
        <w:rPr>
          <w:rFonts w:ascii="Times New Roman" w:hAnsi="Times New Roman" w:eastAsia="Times New Roman" w:cs="Times New Roman"/>
          <w:spacing w:val="41"/>
          <w:sz w:val="20"/>
          <w:szCs w:val="20"/>
        </w:rPr>
        <w:t xml:space="preserve"> </w:t>
      </w:r>
      <w:r>
        <w:rPr>
          <w:rFonts w:ascii="Times New Roman" w:hAnsi="Times New Roman" w:eastAsia="Times New Roman" w:cs="Times New Roman"/>
          <w:spacing w:val="-1"/>
          <w:sz w:val="20"/>
          <w:szCs w:val="20"/>
        </w:rPr>
        <w:t>disorders.Risk</w:t>
      </w:r>
      <w:r>
        <w:rPr>
          <w:rFonts w:ascii="Times New Roman" w:hAnsi="Times New Roman" w:eastAsia="Times New Roman" w:cs="Times New Roman"/>
          <w:spacing w:val="41"/>
          <w:sz w:val="20"/>
          <w:szCs w:val="20"/>
        </w:rPr>
        <w:t xml:space="preserve"> </w:t>
      </w:r>
      <w:r>
        <w:rPr>
          <w:rFonts w:ascii="Times New Roman" w:hAnsi="Times New Roman" w:eastAsia="Times New Roman" w:cs="Times New Roman"/>
          <w:spacing w:val="-1"/>
          <w:sz w:val="20"/>
          <w:szCs w:val="20"/>
        </w:rPr>
        <w:t>factors,</w:t>
      </w:r>
      <w:r>
        <w:rPr>
          <w:rFonts w:ascii="Times New Roman" w:hAnsi="Times New Roman" w:eastAsia="Times New Roman" w:cs="Times New Roman"/>
          <w:sz w:val="20"/>
          <w:szCs w:val="20"/>
        </w:rPr>
        <w:t xml:space="preserve">  such  as  smoking,harmful  use  of  alcohol,physical  inactivity,and  unhealthy  dietary  ha</w:t>
      </w:r>
      <w:r>
        <w:rPr>
          <w:rFonts w:ascii="Times New Roman" w:hAnsi="Times New Roman" w:eastAsia="Times New Roman" w:cs="Times New Roman"/>
          <w:spacing w:val="-1"/>
          <w:sz w:val="20"/>
          <w:szCs w:val="20"/>
        </w:rPr>
        <w:t>bits,are  responsible</w:t>
      </w:r>
      <w:r>
        <w:rPr>
          <w:rFonts w:ascii="Times New Roman" w:hAnsi="Times New Roman" w:eastAsia="Times New Roman" w:cs="Times New Roman"/>
          <w:sz w:val="20"/>
          <w:szCs w:val="20"/>
        </w:rPr>
        <w:t xml:space="preserve"> for</w:t>
      </w:r>
      <w:r>
        <w:rPr>
          <w:rFonts w:ascii="Times New Roman" w:hAnsi="Times New Roman" w:eastAsia="Times New Roman" w:cs="Times New Roman"/>
          <w:spacing w:val="32"/>
          <w:w w:val="101"/>
          <w:sz w:val="20"/>
          <w:szCs w:val="20"/>
        </w:rPr>
        <w:t xml:space="preserve"> </w:t>
      </w:r>
      <w:r>
        <w:rPr>
          <w:rFonts w:ascii="Times New Roman" w:hAnsi="Times New Roman" w:eastAsia="Times New Roman" w:cs="Times New Roman"/>
          <w:sz w:val="20"/>
          <w:szCs w:val="20"/>
        </w:rPr>
        <w:t>a</w:t>
      </w:r>
      <w:r>
        <w:rPr>
          <w:rFonts w:ascii="Times New Roman" w:hAnsi="Times New Roman" w:eastAsia="Times New Roman" w:cs="Times New Roman"/>
          <w:spacing w:val="32"/>
          <w:sz w:val="20"/>
          <w:szCs w:val="20"/>
        </w:rPr>
        <w:t xml:space="preserve"> </w:t>
      </w:r>
      <w:r>
        <w:rPr>
          <w:rFonts w:ascii="Times New Roman" w:hAnsi="Times New Roman" w:eastAsia="Times New Roman" w:cs="Times New Roman"/>
          <w:sz w:val="20"/>
          <w:szCs w:val="20"/>
        </w:rPr>
        <w:t>large</w:t>
      </w:r>
      <w:r>
        <w:rPr>
          <w:rFonts w:ascii="Times New Roman" w:hAnsi="Times New Roman" w:eastAsia="Times New Roman" w:cs="Times New Roman"/>
          <w:spacing w:val="25"/>
          <w:w w:val="101"/>
          <w:sz w:val="20"/>
          <w:szCs w:val="20"/>
        </w:rPr>
        <w:t xml:space="preserve"> </w:t>
      </w:r>
      <w:r>
        <w:rPr>
          <w:rFonts w:ascii="Times New Roman" w:hAnsi="Times New Roman" w:eastAsia="Times New Roman" w:cs="Times New Roman"/>
          <w:sz w:val="20"/>
          <w:szCs w:val="20"/>
        </w:rPr>
        <w:t>proportion</w:t>
      </w:r>
      <w:r>
        <w:rPr>
          <w:rFonts w:ascii="Times New Roman" w:hAnsi="Times New Roman" w:eastAsia="Times New Roman" w:cs="Times New Roman"/>
          <w:spacing w:val="33"/>
          <w:sz w:val="20"/>
          <w:szCs w:val="20"/>
        </w:rPr>
        <w:t xml:space="preserve"> </w:t>
      </w:r>
      <w:r>
        <w:rPr>
          <w:rFonts w:ascii="Times New Roman" w:hAnsi="Times New Roman" w:eastAsia="Times New Roman" w:cs="Times New Roman"/>
          <w:sz w:val="20"/>
          <w:szCs w:val="20"/>
        </w:rPr>
        <w:t>of the</w:t>
      </w:r>
      <w:r>
        <w:rPr>
          <w:rFonts w:ascii="Times New Roman" w:hAnsi="Times New Roman" w:eastAsia="Times New Roman" w:cs="Times New Roman"/>
          <w:spacing w:val="31"/>
          <w:w w:val="101"/>
          <w:sz w:val="20"/>
          <w:szCs w:val="20"/>
        </w:rPr>
        <w:t xml:space="preserve"> </w:t>
      </w:r>
      <w:r>
        <w:rPr>
          <w:rFonts w:ascii="Times New Roman" w:hAnsi="Times New Roman" w:eastAsia="Times New Roman" w:cs="Times New Roman"/>
          <w:sz w:val="20"/>
          <w:szCs w:val="20"/>
        </w:rPr>
        <w:t>g</w:t>
      </w:r>
      <w:r>
        <w:rPr>
          <w:rFonts w:ascii="Times New Roman" w:hAnsi="Times New Roman" w:eastAsia="Times New Roman" w:cs="Times New Roman"/>
          <w:spacing w:val="-1"/>
          <w:sz w:val="20"/>
          <w:szCs w:val="20"/>
        </w:rPr>
        <w:t>lobal</w:t>
      </w:r>
      <w:r>
        <w:rPr>
          <w:rFonts w:ascii="Times New Roman" w:hAnsi="Times New Roman" w:eastAsia="Times New Roman" w:cs="Times New Roman"/>
          <w:spacing w:val="33"/>
          <w:sz w:val="20"/>
          <w:szCs w:val="20"/>
        </w:rPr>
        <w:t xml:space="preserve"> </w:t>
      </w:r>
      <w:r>
        <w:rPr>
          <w:rFonts w:ascii="Times New Roman" w:hAnsi="Times New Roman" w:eastAsia="Times New Roman" w:cs="Times New Roman"/>
          <w:spacing w:val="-1"/>
          <w:sz w:val="20"/>
          <w:szCs w:val="20"/>
        </w:rPr>
        <w:t>disease</w:t>
      </w:r>
      <w:r>
        <w:rPr>
          <w:rFonts w:ascii="Times New Roman" w:hAnsi="Times New Roman" w:eastAsia="Times New Roman" w:cs="Times New Roman"/>
          <w:spacing w:val="25"/>
          <w:w w:val="101"/>
          <w:sz w:val="20"/>
          <w:szCs w:val="20"/>
        </w:rPr>
        <w:t xml:space="preserve"> </w:t>
      </w:r>
      <w:r>
        <w:rPr>
          <w:rFonts w:ascii="Times New Roman" w:hAnsi="Times New Roman" w:eastAsia="Times New Roman" w:cs="Times New Roman"/>
          <w:spacing w:val="-1"/>
          <w:sz w:val="20"/>
          <w:szCs w:val="20"/>
        </w:rPr>
        <w:t>burden,directly</w:t>
      </w:r>
      <w:r>
        <w:rPr>
          <w:rFonts w:ascii="Times New Roman" w:hAnsi="Times New Roman" w:eastAsia="Times New Roman" w:cs="Times New Roman"/>
          <w:spacing w:val="32"/>
          <w:w w:val="101"/>
          <w:sz w:val="20"/>
          <w:szCs w:val="20"/>
        </w:rPr>
        <w:t xml:space="preserve"> </w:t>
      </w:r>
      <w:r>
        <w:rPr>
          <w:rFonts w:ascii="Times New Roman" w:hAnsi="Times New Roman" w:eastAsia="Times New Roman" w:cs="Times New Roman"/>
          <w:spacing w:val="-1"/>
          <w:sz w:val="20"/>
          <w:szCs w:val="20"/>
        </w:rPr>
        <w:t>or</w:t>
      </w:r>
      <w:r>
        <w:rPr>
          <w:rFonts w:ascii="Times New Roman" w:hAnsi="Times New Roman" w:eastAsia="Times New Roman" w:cs="Times New Roman"/>
          <w:spacing w:val="27"/>
          <w:sz w:val="20"/>
          <w:szCs w:val="20"/>
        </w:rPr>
        <w:t xml:space="preserve"> </w:t>
      </w:r>
      <w:r>
        <w:rPr>
          <w:rFonts w:ascii="Times New Roman" w:hAnsi="Times New Roman" w:eastAsia="Times New Roman" w:cs="Times New Roman"/>
          <w:spacing w:val="-1"/>
          <w:sz w:val="20"/>
          <w:szCs w:val="20"/>
        </w:rPr>
        <w:t>through</w:t>
      </w:r>
      <w:r>
        <w:rPr>
          <w:rFonts w:ascii="Times New Roman" w:hAnsi="Times New Roman" w:eastAsia="Times New Roman" w:cs="Times New Roman"/>
          <w:spacing w:val="32"/>
          <w:w w:val="101"/>
          <w:sz w:val="20"/>
          <w:szCs w:val="20"/>
        </w:rPr>
        <w:t xml:space="preserve"> </w:t>
      </w:r>
      <w:r>
        <w:rPr>
          <w:rFonts w:ascii="Times New Roman" w:hAnsi="Times New Roman" w:eastAsia="Times New Roman" w:cs="Times New Roman"/>
          <w:spacing w:val="-1"/>
          <w:sz w:val="20"/>
          <w:szCs w:val="20"/>
        </w:rPr>
        <w:t>conditions</w:t>
      </w:r>
      <w:r>
        <w:rPr>
          <w:rFonts w:ascii="Times New Roman" w:hAnsi="Times New Roman" w:eastAsia="Times New Roman" w:cs="Times New Roman"/>
          <w:spacing w:val="36"/>
          <w:sz w:val="20"/>
          <w:szCs w:val="20"/>
        </w:rPr>
        <w:t xml:space="preserve"> </w:t>
      </w:r>
      <w:r>
        <w:rPr>
          <w:rFonts w:ascii="Times New Roman" w:hAnsi="Times New Roman" w:eastAsia="Times New Roman" w:cs="Times New Roman"/>
          <w:spacing w:val="-1"/>
          <w:sz w:val="20"/>
          <w:szCs w:val="20"/>
        </w:rPr>
        <w:t>such</w:t>
      </w:r>
      <w:r>
        <w:rPr>
          <w:rFonts w:ascii="Times New Roman" w:hAnsi="Times New Roman" w:eastAsia="Times New Roman" w:cs="Times New Roman"/>
          <w:spacing w:val="33"/>
          <w:sz w:val="20"/>
          <w:szCs w:val="20"/>
        </w:rPr>
        <w:t xml:space="preserve"> </w:t>
      </w:r>
      <w:r>
        <w:rPr>
          <w:rFonts w:ascii="Times New Roman" w:hAnsi="Times New Roman" w:eastAsia="Times New Roman" w:cs="Times New Roman"/>
          <w:spacing w:val="-1"/>
          <w:sz w:val="20"/>
          <w:szCs w:val="20"/>
        </w:rPr>
        <w:t>as</w:t>
      </w:r>
      <w:r>
        <w:rPr>
          <w:rFonts w:ascii="Times New Roman" w:hAnsi="Times New Roman" w:eastAsia="Times New Roman" w:cs="Times New Roman"/>
          <w:spacing w:val="32"/>
          <w:w w:val="101"/>
          <w:sz w:val="20"/>
          <w:szCs w:val="20"/>
        </w:rPr>
        <w:t xml:space="preserve"> </w:t>
      </w:r>
      <w:r>
        <w:rPr>
          <w:rFonts w:ascii="Times New Roman" w:hAnsi="Times New Roman" w:eastAsia="Times New Roman" w:cs="Times New Roman"/>
          <w:spacing w:val="-1"/>
          <w:sz w:val="20"/>
          <w:szCs w:val="20"/>
        </w:rPr>
        <w:t>overweight</w:t>
      </w:r>
      <w:r>
        <w:rPr>
          <w:rFonts w:ascii="Times New Roman" w:hAnsi="Times New Roman" w:eastAsia="Times New Roman" w:cs="Times New Roman"/>
          <w:spacing w:val="33"/>
          <w:sz w:val="20"/>
          <w:szCs w:val="20"/>
        </w:rPr>
        <w:t xml:space="preserve"> </w:t>
      </w:r>
      <w:r>
        <w:rPr>
          <w:rFonts w:ascii="Times New Roman" w:hAnsi="Times New Roman" w:eastAsia="Times New Roman" w:cs="Times New Roman"/>
          <w:spacing w:val="-1"/>
          <w:sz w:val="20"/>
          <w:szCs w:val="20"/>
        </w:rPr>
        <w:t>and</w:t>
      </w:r>
      <w:r>
        <w:rPr>
          <w:rFonts w:ascii="Times New Roman" w:hAnsi="Times New Roman" w:eastAsia="Times New Roman" w:cs="Times New Roman"/>
          <w:sz w:val="20"/>
          <w:szCs w:val="20"/>
        </w:rPr>
        <w:t xml:space="preserve"> obesity,high</w:t>
      </w:r>
      <w:r>
        <w:rPr>
          <w:rFonts w:ascii="Times New Roman" w:hAnsi="Times New Roman" w:eastAsia="Times New Roman" w:cs="Times New Roman"/>
          <w:spacing w:val="49"/>
          <w:w w:val="101"/>
          <w:sz w:val="20"/>
          <w:szCs w:val="20"/>
        </w:rPr>
        <w:t xml:space="preserve"> </w:t>
      </w:r>
      <w:r>
        <w:rPr>
          <w:rFonts w:ascii="Times New Roman" w:hAnsi="Times New Roman" w:eastAsia="Times New Roman" w:cs="Times New Roman"/>
          <w:sz w:val="20"/>
          <w:szCs w:val="20"/>
        </w:rPr>
        <w:t>blood</w:t>
      </w:r>
      <w:r>
        <w:rPr>
          <w:rFonts w:ascii="Times New Roman" w:hAnsi="Times New Roman" w:eastAsia="Times New Roman" w:cs="Times New Roman"/>
          <w:spacing w:val="48"/>
          <w:sz w:val="20"/>
          <w:szCs w:val="20"/>
        </w:rPr>
        <w:t xml:space="preserve"> </w:t>
      </w:r>
      <w:r>
        <w:rPr>
          <w:rFonts w:ascii="Times New Roman" w:hAnsi="Times New Roman" w:eastAsia="Times New Roman" w:cs="Times New Roman"/>
          <w:sz w:val="20"/>
          <w:szCs w:val="20"/>
        </w:rPr>
        <w:t>pressure,elevated</w:t>
      </w:r>
      <w:r>
        <w:rPr>
          <w:rFonts w:ascii="Times New Roman" w:hAnsi="Times New Roman" w:eastAsia="Times New Roman" w:cs="Times New Roman"/>
          <w:spacing w:val="48"/>
          <w:sz w:val="20"/>
          <w:szCs w:val="20"/>
        </w:rPr>
        <w:t xml:space="preserve"> </w:t>
      </w:r>
      <w:r>
        <w:rPr>
          <w:rFonts w:ascii="Times New Roman" w:hAnsi="Times New Roman" w:eastAsia="Times New Roman" w:cs="Times New Roman"/>
          <w:sz w:val="20"/>
          <w:szCs w:val="20"/>
        </w:rPr>
        <w:t>blood  glucose,and  abnormal  cholesterol  levels.T</w:t>
      </w:r>
      <w:r>
        <w:rPr>
          <w:rFonts w:ascii="Times New Roman" w:hAnsi="Times New Roman" w:eastAsia="Times New Roman" w:cs="Times New Roman"/>
          <w:spacing w:val="-1"/>
          <w:sz w:val="20"/>
          <w:szCs w:val="20"/>
        </w:rPr>
        <w:t>he  global  goal  for</w:t>
      </w:r>
      <w:r>
        <w:rPr>
          <w:rFonts w:ascii="Times New Roman" w:hAnsi="Times New Roman" w:eastAsia="Times New Roman" w:cs="Times New Roman"/>
          <w:sz w:val="20"/>
          <w:szCs w:val="20"/>
        </w:rPr>
        <w:t xml:space="preserve"> the prevention</w:t>
      </w:r>
      <w:r>
        <w:rPr>
          <w:rFonts w:ascii="Times New Roman" w:hAnsi="Times New Roman" w:eastAsia="Times New Roman" w:cs="Times New Roman"/>
          <w:spacing w:val="20"/>
          <w:w w:val="101"/>
          <w:sz w:val="20"/>
          <w:szCs w:val="20"/>
        </w:rPr>
        <w:t xml:space="preserve"> </w:t>
      </w:r>
      <w:r>
        <w:rPr>
          <w:rFonts w:ascii="Times New Roman" w:hAnsi="Times New Roman" w:eastAsia="Times New Roman" w:cs="Times New Roman"/>
          <w:sz w:val="20"/>
          <w:szCs w:val="20"/>
        </w:rPr>
        <w:t>and</w:t>
      </w:r>
      <w:r>
        <w:rPr>
          <w:rFonts w:ascii="Times New Roman" w:hAnsi="Times New Roman" w:eastAsia="Times New Roman" w:cs="Times New Roman"/>
          <w:spacing w:val="19"/>
          <w:sz w:val="20"/>
          <w:szCs w:val="20"/>
        </w:rPr>
        <w:t xml:space="preserve"> </w:t>
      </w:r>
      <w:r>
        <w:rPr>
          <w:rFonts w:ascii="Times New Roman" w:hAnsi="Times New Roman" w:eastAsia="Times New Roman" w:cs="Times New Roman"/>
          <w:sz w:val="20"/>
          <w:szCs w:val="20"/>
        </w:rPr>
        <w:t>control</w:t>
      </w:r>
      <w:r>
        <w:rPr>
          <w:rFonts w:ascii="Times New Roman" w:hAnsi="Times New Roman" w:eastAsia="Times New Roman" w:cs="Times New Roman"/>
          <w:spacing w:val="19"/>
          <w:sz w:val="20"/>
          <w:szCs w:val="20"/>
        </w:rPr>
        <w:t xml:space="preserve"> </w:t>
      </w:r>
      <w:r>
        <w:rPr>
          <w:rFonts w:ascii="Times New Roman" w:hAnsi="Times New Roman" w:eastAsia="Times New Roman" w:cs="Times New Roman"/>
          <w:sz w:val="20"/>
          <w:szCs w:val="20"/>
        </w:rPr>
        <w:t>of noncommunicable</w:t>
      </w:r>
      <w:r>
        <w:rPr>
          <w:rFonts w:ascii="Times New Roman" w:hAnsi="Times New Roman" w:eastAsia="Times New Roman" w:cs="Times New Roman"/>
          <w:spacing w:val="19"/>
          <w:sz w:val="20"/>
          <w:szCs w:val="20"/>
        </w:rPr>
        <w:t xml:space="preserve"> </w:t>
      </w:r>
      <w:r>
        <w:rPr>
          <w:rFonts w:ascii="Times New Roman" w:hAnsi="Times New Roman" w:eastAsia="Times New Roman" w:cs="Times New Roman"/>
          <w:sz w:val="20"/>
          <w:szCs w:val="20"/>
        </w:rPr>
        <w:t>diseases</w:t>
      </w:r>
      <w:r>
        <w:rPr>
          <w:rFonts w:ascii="Times New Roman" w:hAnsi="Times New Roman" w:eastAsia="Times New Roman" w:cs="Times New Roman"/>
          <w:spacing w:val="18"/>
          <w:w w:val="101"/>
          <w:sz w:val="20"/>
          <w:szCs w:val="20"/>
        </w:rPr>
        <w:t xml:space="preserve"> </w:t>
      </w:r>
      <w:r>
        <w:rPr>
          <w:rFonts w:ascii="Times New Roman" w:hAnsi="Times New Roman" w:eastAsia="Times New Roman" w:cs="Times New Roman"/>
          <w:sz w:val="20"/>
          <w:szCs w:val="20"/>
        </w:rPr>
        <w:t>is</w:t>
      </w:r>
      <w:r>
        <w:rPr>
          <w:rFonts w:ascii="Times New Roman" w:hAnsi="Times New Roman" w:eastAsia="Times New Roman" w:cs="Times New Roman"/>
          <w:spacing w:val="14"/>
          <w:w w:val="101"/>
          <w:sz w:val="20"/>
          <w:szCs w:val="20"/>
        </w:rPr>
        <w:t xml:space="preserve"> </w:t>
      </w:r>
      <w:r>
        <w:rPr>
          <w:rFonts w:ascii="Times New Roman" w:hAnsi="Times New Roman" w:eastAsia="Times New Roman" w:cs="Times New Roman"/>
          <w:sz w:val="20"/>
          <w:szCs w:val="20"/>
        </w:rPr>
        <w:t>to</w:t>
      </w:r>
      <w:r>
        <w:rPr>
          <w:rFonts w:ascii="Times New Roman" w:hAnsi="Times New Roman" w:eastAsia="Times New Roman" w:cs="Times New Roman"/>
          <w:spacing w:val="14"/>
          <w:sz w:val="20"/>
          <w:szCs w:val="20"/>
        </w:rPr>
        <w:t xml:space="preserve"> </w:t>
      </w:r>
      <w:r>
        <w:rPr>
          <w:rFonts w:ascii="Times New Roman" w:hAnsi="Times New Roman" w:eastAsia="Times New Roman" w:cs="Times New Roman"/>
          <w:sz w:val="20"/>
          <w:szCs w:val="20"/>
        </w:rPr>
        <w:t>reduce</w:t>
      </w:r>
      <w:r>
        <w:rPr>
          <w:rFonts w:ascii="Times New Roman" w:hAnsi="Times New Roman" w:eastAsia="Times New Roman" w:cs="Times New Roman"/>
          <w:spacing w:val="14"/>
          <w:w w:val="101"/>
          <w:sz w:val="20"/>
          <w:szCs w:val="20"/>
        </w:rPr>
        <w:t xml:space="preserve"> </w:t>
      </w:r>
      <w:r>
        <w:rPr>
          <w:rFonts w:ascii="Times New Roman" w:hAnsi="Times New Roman" w:eastAsia="Times New Roman" w:cs="Times New Roman"/>
          <w:sz w:val="20"/>
          <w:szCs w:val="20"/>
        </w:rPr>
        <w:t>the preventable</w:t>
      </w:r>
      <w:r>
        <w:rPr>
          <w:rFonts w:ascii="Times New Roman" w:hAnsi="Times New Roman" w:eastAsia="Times New Roman" w:cs="Times New Roman"/>
          <w:spacing w:val="19"/>
          <w:w w:val="101"/>
          <w:sz w:val="20"/>
          <w:szCs w:val="20"/>
        </w:rPr>
        <w:t xml:space="preserve"> </w:t>
      </w:r>
      <w:r>
        <w:rPr>
          <w:rFonts w:ascii="Times New Roman" w:hAnsi="Times New Roman" w:eastAsia="Times New Roman" w:cs="Times New Roman"/>
          <w:sz w:val="20"/>
          <w:szCs w:val="20"/>
        </w:rPr>
        <w:t>and</w:t>
      </w:r>
      <w:r>
        <w:rPr>
          <w:rFonts w:ascii="Times New Roman" w:hAnsi="Times New Roman" w:eastAsia="Times New Roman" w:cs="Times New Roman"/>
          <w:spacing w:val="19"/>
          <w:w w:val="101"/>
          <w:sz w:val="20"/>
          <w:szCs w:val="20"/>
        </w:rPr>
        <w:t xml:space="preserve"> </w:t>
      </w:r>
      <w:r>
        <w:rPr>
          <w:rFonts w:ascii="Times New Roman" w:hAnsi="Times New Roman" w:eastAsia="Times New Roman" w:cs="Times New Roman"/>
          <w:sz w:val="20"/>
          <w:szCs w:val="20"/>
        </w:rPr>
        <w:t>avo</w:t>
      </w:r>
      <w:r>
        <w:rPr>
          <w:rFonts w:ascii="Times New Roman" w:hAnsi="Times New Roman" w:eastAsia="Times New Roman" w:cs="Times New Roman"/>
          <w:spacing w:val="-1"/>
          <w:sz w:val="20"/>
          <w:szCs w:val="20"/>
        </w:rPr>
        <w:t>idable burden</w:t>
      </w:r>
      <w:r>
        <w:rPr>
          <w:rFonts w:ascii="Times New Roman" w:hAnsi="Times New Roman" w:eastAsia="Times New Roman" w:cs="Times New Roman"/>
          <w:sz w:val="20"/>
          <w:szCs w:val="20"/>
        </w:rPr>
        <w:t xml:space="preserve"> of morbidity,mortality,and</w:t>
      </w:r>
      <w:r>
        <w:rPr>
          <w:rFonts w:ascii="Times New Roman" w:hAnsi="Times New Roman" w:eastAsia="Times New Roman" w:cs="Times New Roman"/>
          <w:spacing w:val="33"/>
          <w:sz w:val="20"/>
          <w:szCs w:val="20"/>
        </w:rPr>
        <w:t xml:space="preserve"> </w:t>
      </w:r>
      <w:r>
        <w:rPr>
          <w:rFonts w:ascii="Times New Roman" w:hAnsi="Times New Roman" w:eastAsia="Times New Roman" w:cs="Times New Roman"/>
          <w:sz w:val="20"/>
          <w:szCs w:val="20"/>
        </w:rPr>
        <w:t>disability</w:t>
      </w:r>
      <w:r>
        <w:rPr>
          <w:rFonts w:ascii="Times New Roman" w:hAnsi="Times New Roman" w:eastAsia="Times New Roman" w:cs="Times New Roman"/>
          <w:spacing w:val="33"/>
          <w:sz w:val="20"/>
          <w:szCs w:val="20"/>
        </w:rPr>
        <w:t xml:space="preserve"> </w:t>
      </w:r>
      <w:r>
        <w:rPr>
          <w:rFonts w:ascii="Times New Roman" w:hAnsi="Times New Roman" w:eastAsia="Times New Roman" w:cs="Times New Roman"/>
          <w:sz w:val="20"/>
          <w:szCs w:val="20"/>
        </w:rPr>
        <w:t>caused</w:t>
      </w:r>
      <w:r>
        <w:rPr>
          <w:rFonts w:ascii="Times New Roman" w:hAnsi="Times New Roman" w:eastAsia="Times New Roman" w:cs="Times New Roman"/>
          <w:spacing w:val="26"/>
          <w:sz w:val="20"/>
          <w:szCs w:val="20"/>
        </w:rPr>
        <w:t xml:space="preserve"> </w:t>
      </w:r>
      <w:r>
        <w:rPr>
          <w:rFonts w:ascii="Times New Roman" w:hAnsi="Times New Roman" w:eastAsia="Times New Roman" w:cs="Times New Roman"/>
          <w:sz w:val="20"/>
          <w:szCs w:val="20"/>
        </w:rPr>
        <w:t>by</w:t>
      </w:r>
      <w:r>
        <w:rPr>
          <w:rFonts w:ascii="Times New Roman" w:hAnsi="Times New Roman" w:eastAsia="Times New Roman" w:cs="Times New Roman"/>
          <w:spacing w:val="27"/>
          <w:w w:val="101"/>
          <w:sz w:val="20"/>
          <w:szCs w:val="20"/>
        </w:rPr>
        <w:t xml:space="preserve"> </w:t>
      </w:r>
      <w:r>
        <w:rPr>
          <w:rFonts w:ascii="Times New Roman" w:hAnsi="Times New Roman" w:eastAsia="Times New Roman" w:cs="Times New Roman"/>
          <w:sz w:val="20"/>
          <w:szCs w:val="20"/>
        </w:rPr>
        <w:t>noncommunicable</w:t>
      </w:r>
      <w:r>
        <w:rPr>
          <w:rFonts w:ascii="Times New Roman" w:hAnsi="Times New Roman" w:eastAsia="Times New Roman" w:cs="Times New Roman"/>
          <w:spacing w:val="33"/>
          <w:sz w:val="20"/>
          <w:szCs w:val="20"/>
        </w:rPr>
        <w:t xml:space="preserve"> </w:t>
      </w:r>
      <w:r>
        <w:rPr>
          <w:rFonts w:ascii="Times New Roman" w:hAnsi="Times New Roman" w:eastAsia="Times New Roman" w:cs="Times New Roman"/>
          <w:sz w:val="20"/>
          <w:szCs w:val="20"/>
        </w:rPr>
        <w:t>diseases</w:t>
      </w:r>
      <w:r>
        <w:rPr>
          <w:rFonts w:ascii="Times New Roman" w:hAnsi="Times New Roman" w:eastAsia="Times New Roman" w:cs="Times New Roman"/>
          <w:spacing w:val="-1"/>
          <w:sz w:val="20"/>
          <w:szCs w:val="20"/>
        </w:rPr>
        <w:t>.This</w:t>
      </w:r>
      <w:r>
        <w:rPr>
          <w:rFonts w:ascii="Times New Roman" w:hAnsi="Times New Roman" w:eastAsia="Times New Roman" w:cs="Times New Roman"/>
          <w:spacing w:val="32"/>
          <w:w w:val="101"/>
          <w:sz w:val="20"/>
          <w:szCs w:val="20"/>
        </w:rPr>
        <w:t xml:space="preserve"> </w:t>
      </w:r>
      <w:r>
        <w:rPr>
          <w:rFonts w:ascii="Times New Roman" w:hAnsi="Times New Roman" w:eastAsia="Times New Roman" w:cs="Times New Roman"/>
          <w:spacing w:val="-1"/>
          <w:sz w:val="20"/>
          <w:szCs w:val="20"/>
        </w:rPr>
        <w:t>is</w:t>
      </w:r>
      <w:r>
        <w:rPr>
          <w:rFonts w:ascii="Times New Roman" w:hAnsi="Times New Roman" w:eastAsia="Times New Roman" w:cs="Times New Roman"/>
          <w:spacing w:val="28"/>
          <w:w w:val="101"/>
          <w:sz w:val="20"/>
          <w:szCs w:val="20"/>
        </w:rPr>
        <w:t xml:space="preserve"> </w:t>
      </w:r>
      <w:r>
        <w:rPr>
          <w:rFonts w:ascii="Times New Roman" w:hAnsi="Times New Roman" w:eastAsia="Times New Roman" w:cs="Times New Roman"/>
          <w:spacing w:val="-1"/>
          <w:sz w:val="20"/>
          <w:szCs w:val="20"/>
        </w:rPr>
        <w:t>to</w:t>
      </w:r>
      <w:r>
        <w:rPr>
          <w:rFonts w:ascii="Times New Roman" w:hAnsi="Times New Roman" w:eastAsia="Times New Roman" w:cs="Times New Roman"/>
          <w:spacing w:val="26"/>
          <w:sz w:val="20"/>
          <w:szCs w:val="20"/>
        </w:rPr>
        <w:t xml:space="preserve"> </w:t>
      </w:r>
      <w:r>
        <w:rPr>
          <w:rFonts w:ascii="Times New Roman" w:hAnsi="Times New Roman" w:eastAsia="Times New Roman" w:cs="Times New Roman"/>
          <w:spacing w:val="-1"/>
          <w:sz w:val="20"/>
          <w:szCs w:val="20"/>
        </w:rPr>
        <w:t>be</w:t>
      </w:r>
      <w:r>
        <w:rPr>
          <w:rFonts w:ascii="Times New Roman" w:hAnsi="Times New Roman" w:eastAsia="Times New Roman" w:cs="Times New Roman"/>
          <w:spacing w:val="33"/>
          <w:w w:val="101"/>
          <w:sz w:val="20"/>
          <w:szCs w:val="20"/>
        </w:rPr>
        <w:t xml:space="preserve"> </w:t>
      </w:r>
      <w:r>
        <w:rPr>
          <w:rFonts w:ascii="Times New Roman" w:hAnsi="Times New Roman" w:eastAsia="Times New Roman" w:cs="Times New Roman"/>
          <w:spacing w:val="-1"/>
          <w:sz w:val="20"/>
          <w:szCs w:val="20"/>
        </w:rPr>
        <w:t>achieved</w:t>
      </w:r>
      <w:r>
        <w:rPr>
          <w:rFonts w:ascii="Times New Roman" w:hAnsi="Times New Roman" w:eastAsia="Times New Roman" w:cs="Times New Roman"/>
          <w:spacing w:val="28"/>
          <w:sz w:val="20"/>
          <w:szCs w:val="20"/>
        </w:rPr>
        <w:t xml:space="preserve"> </w:t>
      </w:r>
      <w:r>
        <w:rPr>
          <w:rFonts w:ascii="Times New Roman" w:hAnsi="Times New Roman" w:eastAsia="Times New Roman" w:cs="Times New Roman"/>
          <w:spacing w:val="-1"/>
          <w:sz w:val="20"/>
          <w:szCs w:val="20"/>
        </w:rPr>
        <w:t>through</w:t>
      </w:r>
      <w:r>
        <w:rPr>
          <w:rFonts w:ascii="Times New Roman" w:hAnsi="Times New Roman" w:eastAsia="Times New Roman" w:cs="Times New Roman"/>
          <w:sz w:val="20"/>
          <w:szCs w:val="20"/>
        </w:rPr>
        <w:t xml:space="preserve"> multisectoral  collaboration  and  cooperation</w:t>
      </w:r>
      <w:r>
        <w:rPr>
          <w:rFonts w:ascii="Times New Roman" w:hAnsi="Times New Roman" w:eastAsia="Times New Roman" w:cs="Times New Roman"/>
          <w:spacing w:val="6"/>
          <w:sz w:val="20"/>
          <w:szCs w:val="20"/>
        </w:rPr>
        <w:t xml:space="preserve">  </w:t>
      </w:r>
      <w:r>
        <w:rPr>
          <w:rFonts w:ascii="Times New Roman" w:hAnsi="Times New Roman" w:eastAsia="Times New Roman" w:cs="Times New Roman"/>
          <w:sz w:val="20"/>
          <w:szCs w:val="20"/>
        </w:rPr>
        <w:t>at  national,regiona</w:t>
      </w:r>
      <w:r>
        <w:rPr>
          <w:rFonts w:ascii="Times New Roman" w:hAnsi="Times New Roman" w:eastAsia="Times New Roman" w:cs="Times New Roman"/>
          <w:spacing w:val="-1"/>
          <w:sz w:val="20"/>
          <w:szCs w:val="20"/>
        </w:rPr>
        <w:t>l,and</w:t>
      </w:r>
      <w:r>
        <w:rPr>
          <w:rFonts w:ascii="Times New Roman" w:hAnsi="Times New Roman" w:eastAsia="Times New Roman" w:cs="Times New Roman"/>
          <w:spacing w:val="5"/>
          <w:sz w:val="20"/>
          <w:szCs w:val="20"/>
        </w:rPr>
        <w:t xml:space="preserve">  </w:t>
      </w:r>
      <w:r>
        <w:rPr>
          <w:rFonts w:ascii="Times New Roman" w:hAnsi="Times New Roman" w:eastAsia="Times New Roman" w:cs="Times New Roman"/>
          <w:spacing w:val="-1"/>
          <w:sz w:val="20"/>
          <w:szCs w:val="20"/>
        </w:rPr>
        <w:t>global</w:t>
      </w:r>
      <w:r>
        <w:rPr>
          <w:rFonts w:ascii="Times New Roman" w:hAnsi="Times New Roman" w:eastAsia="Times New Roman" w:cs="Times New Roman"/>
          <w:spacing w:val="5"/>
          <w:sz w:val="20"/>
          <w:szCs w:val="20"/>
        </w:rPr>
        <w:t xml:space="preserve">  </w:t>
      </w:r>
      <w:r>
        <w:rPr>
          <w:rFonts w:ascii="Times New Roman" w:hAnsi="Times New Roman" w:eastAsia="Times New Roman" w:cs="Times New Roman"/>
          <w:spacing w:val="-1"/>
          <w:sz w:val="20"/>
          <w:szCs w:val="20"/>
        </w:rPr>
        <w:t>levels.The</w:t>
      </w:r>
      <w:r>
        <w:rPr>
          <w:rFonts w:ascii="Times New Roman" w:hAnsi="Times New Roman" w:eastAsia="Times New Roman" w:cs="Times New Roman"/>
          <w:spacing w:val="6"/>
          <w:sz w:val="20"/>
          <w:szCs w:val="20"/>
        </w:rPr>
        <w:t xml:space="preserve">  </w:t>
      </w:r>
      <w:r>
        <w:rPr>
          <w:rFonts w:ascii="Times New Roman" w:hAnsi="Times New Roman" w:eastAsia="Times New Roman" w:cs="Times New Roman"/>
          <w:spacing w:val="-1"/>
          <w:sz w:val="20"/>
          <w:szCs w:val="20"/>
        </w:rPr>
        <w:t>aim</w:t>
      </w:r>
      <w:r>
        <w:rPr>
          <w:rFonts w:ascii="Times New Roman" w:hAnsi="Times New Roman" w:eastAsia="Times New Roman" w:cs="Times New Roman"/>
          <w:spacing w:val="6"/>
          <w:sz w:val="20"/>
          <w:szCs w:val="20"/>
        </w:rPr>
        <w:t xml:space="preserve">  </w:t>
      </w:r>
      <w:r>
        <w:rPr>
          <w:rFonts w:ascii="Times New Roman" w:hAnsi="Times New Roman" w:eastAsia="Times New Roman" w:cs="Times New Roman"/>
          <w:spacing w:val="-1"/>
          <w:sz w:val="20"/>
          <w:szCs w:val="20"/>
        </w:rPr>
        <w:t>is</w:t>
      </w:r>
      <w:r>
        <w:rPr>
          <w:rFonts w:ascii="Times New Roman" w:hAnsi="Times New Roman" w:eastAsia="Times New Roman" w:cs="Times New Roman"/>
          <w:spacing w:val="3"/>
          <w:sz w:val="20"/>
          <w:szCs w:val="20"/>
        </w:rPr>
        <w:t xml:space="preserve">  </w:t>
      </w:r>
      <w:r>
        <w:rPr>
          <w:rFonts w:ascii="Times New Roman" w:hAnsi="Times New Roman" w:eastAsia="Times New Roman" w:cs="Times New Roman"/>
          <w:spacing w:val="-1"/>
          <w:sz w:val="20"/>
          <w:szCs w:val="20"/>
        </w:rPr>
        <w:t>to</w:t>
      </w:r>
      <w:r>
        <w:rPr>
          <w:rFonts w:ascii="Times New Roman" w:hAnsi="Times New Roman" w:eastAsia="Times New Roman" w:cs="Times New Roman"/>
          <w:spacing w:val="6"/>
          <w:sz w:val="20"/>
          <w:szCs w:val="20"/>
        </w:rPr>
        <w:t xml:space="preserve">  </w:t>
      </w:r>
      <w:r>
        <w:rPr>
          <w:rFonts w:ascii="Times New Roman" w:hAnsi="Times New Roman" w:eastAsia="Times New Roman" w:cs="Times New Roman"/>
          <w:spacing w:val="-1"/>
          <w:sz w:val="20"/>
          <w:szCs w:val="20"/>
        </w:rPr>
        <w:t>enable</w:t>
      </w:r>
      <w:r>
        <w:rPr>
          <w:rFonts w:ascii="Times New Roman" w:hAnsi="Times New Roman" w:eastAsia="Times New Roman" w:cs="Times New Roman"/>
          <w:spacing w:val="1"/>
          <w:sz w:val="20"/>
          <w:szCs w:val="20"/>
        </w:rPr>
        <w:t xml:space="preserve"> </w:t>
      </w:r>
      <w:r>
        <w:rPr>
          <w:rFonts w:ascii="Times New Roman" w:hAnsi="Times New Roman" w:eastAsia="Times New Roman" w:cs="Times New Roman"/>
          <w:sz w:val="20"/>
          <w:szCs w:val="20"/>
        </w:rPr>
        <w:t>populations</w:t>
      </w:r>
      <w:r>
        <w:rPr>
          <w:rFonts w:ascii="Times New Roman" w:hAnsi="Times New Roman" w:eastAsia="Times New Roman" w:cs="Times New Roman"/>
          <w:spacing w:val="35"/>
          <w:sz w:val="20"/>
          <w:szCs w:val="20"/>
        </w:rPr>
        <w:t xml:space="preserve"> </w:t>
      </w:r>
      <w:r>
        <w:rPr>
          <w:rFonts w:ascii="Times New Roman" w:hAnsi="Times New Roman" w:eastAsia="Times New Roman" w:cs="Times New Roman"/>
          <w:sz w:val="20"/>
          <w:szCs w:val="20"/>
        </w:rPr>
        <w:t>to</w:t>
      </w:r>
      <w:r>
        <w:rPr>
          <w:rFonts w:ascii="Times New Roman" w:hAnsi="Times New Roman" w:eastAsia="Times New Roman" w:cs="Times New Roman"/>
          <w:spacing w:val="39"/>
          <w:w w:val="101"/>
          <w:sz w:val="20"/>
          <w:szCs w:val="20"/>
        </w:rPr>
        <w:t xml:space="preserve"> </w:t>
      </w:r>
      <w:r>
        <w:rPr>
          <w:rFonts w:ascii="Times New Roman" w:hAnsi="Times New Roman" w:eastAsia="Times New Roman" w:cs="Times New Roman"/>
          <w:sz w:val="20"/>
          <w:szCs w:val="20"/>
        </w:rPr>
        <w:t>attain</w:t>
      </w:r>
      <w:r>
        <w:rPr>
          <w:rFonts w:ascii="Times New Roman" w:hAnsi="Times New Roman" w:eastAsia="Times New Roman" w:cs="Times New Roman"/>
          <w:spacing w:val="34"/>
          <w:w w:val="101"/>
          <w:sz w:val="20"/>
          <w:szCs w:val="20"/>
        </w:rPr>
        <w:t xml:space="preserve"> </w:t>
      </w:r>
      <w:r>
        <w:rPr>
          <w:rFonts w:ascii="Times New Roman" w:hAnsi="Times New Roman" w:eastAsia="Times New Roman" w:cs="Times New Roman"/>
          <w:sz w:val="20"/>
          <w:szCs w:val="20"/>
        </w:rPr>
        <w:t>the</w:t>
      </w:r>
      <w:r>
        <w:rPr>
          <w:rFonts w:ascii="Times New Roman" w:hAnsi="Times New Roman" w:eastAsia="Times New Roman" w:cs="Times New Roman"/>
          <w:spacing w:val="33"/>
          <w:w w:val="101"/>
          <w:sz w:val="20"/>
          <w:szCs w:val="20"/>
        </w:rPr>
        <w:t xml:space="preserve"> </w:t>
      </w:r>
      <w:r>
        <w:rPr>
          <w:rFonts w:ascii="Times New Roman" w:hAnsi="Times New Roman" w:eastAsia="Times New Roman" w:cs="Times New Roman"/>
          <w:sz w:val="20"/>
          <w:szCs w:val="20"/>
        </w:rPr>
        <w:t>highest</w:t>
      </w:r>
      <w:r>
        <w:rPr>
          <w:rFonts w:ascii="Times New Roman" w:hAnsi="Times New Roman" w:eastAsia="Times New Roman" w:cs="Times New Roman"/>
          <w:spacing w:val="31"/>
          <w:w w:val="101"/>
          <w:sz w:val="20"/>
          <w:szCs w:val="20"/>
        </w:rPr>
        <w:t xml:space="preserve"> </w:t>
      </w:r>
      <w:r>
        <w:rPr>
          <w:rFonts w:ascii="Times New Roman" w:hAnsi="Times New Roman" w:eastAsia="Times New Roman" w:cs="Times New Roman"/>
          <w:sz w:val="20"/>
          <w:szCs w:val="20"/>
        </w:rPr>
        <w:t>possible</w:t>
      </w:r>
      <w:r>
        <w:rPr>
          <w:rFonts w:ascii="Times New Roman" w:hAnsi="Times New Roman" w:eastAsia="Times New Roman" w:cs="Times New Roman"/>
          <w:spacing w:val="42"/>
          <w:w w:val="101"/>
          <w:sz w:val="20"/>
          <w:szCs w:val="20"/>
        </w:rPr>
        <w:t xml:space="preserve"> </w:t>
      </w:r>
      <w:r>
        <w:rPr>
          <w:rFonts w:ascii="Times New Roman" w:hAnsi="Times New Roman" w:eastAsia="Times New Roman" w:cs="Times New Roman"/>
          <w:sz w:val="20"/>
          <w:szCs w:val="20"/>
        </w:rPr>
        <w:t>standard</w:t>
      </w:r>
      <w:r>
        <w:rPr>
          <w:rFonts w:ascii="Times New Roman" w:hAnsi="Times New Roman" w:eastAsia="Times New Roman" w:cs="Times New Roman"/>
          <w:spacing w:val="-1"/>
          <w:sz w:val="20"/>
          <w:szCs w:val="20"/>
        </w:rPr>
        <w:t>s</w:t>
      </w:r>
      <w:r>
        <w:rPr>
          <w:rFonts w:ascii="Times New Roman" w:hAnsi="Times New Roman" w:eastAsia="Times New Roman" w:cs="Times New Roman"/>
          <w:spacing w:val="39"/>
          <w:sz w:val="20"/>
          <w:szCs w:val="20"/>
        </w:rPr>
        <w:t xml:space="preserve"> </w:t>
      </w:r>
      <w:r>
        <w:rPr>
          <w:rFonts w:ascii="Times New Roman" w:hAnsi="Times New Roman" w:eastAsia="Times New Roman" w:cs="Times New Roman"/>
          <w:spacing w:val="-1"/>
          <w:sz w:val="20"/>
          <w:szCs w:val="20"/>
        </w:rPr>
        <w:t>of</w:t>
      </w:r>
      <w:r>
        <w:rPr>
          <w:rFonts w:ascii="Times New Roman" w:hAnsi="Times New Roman" w:eastAsia="Times New Roman" w:cs="Times New Roman"/>
          <w:spacing w:val="13"/>
          <w:w w:val="101"/>
          <w:sz w:val="20"/>
          <w:szCs w:val="20"/>
        </w:rPr>
        <w:t xml:space="preserve"> </w:t>
      </w:r>
      <w:r>
        <w:rPr>
          <w:rFonts w:ascii="Times New Roman" w:hAnsi="Times New Roman" w:eastAsia="Times New Roman" w:cs="Times New Roman"/>
          <w:spacing w:val="-1"/>
          <w:sz w:val="20"/>
          <w:szCs w:val="20"/>
        </w:rPr>
        <w:t>health</w:t>
      </w:r>
      <w:r>
        <w:rPr>
          <w:rFonts w:ascii="Times New Roman" w:hAnsi="Times New Roman" w:eastAsia="Times New Roman" w:cs="Times New Roman"/>
          <w:spacing w:val="39"/>
          <w:w w:val="101"/>
          <w:sz w:val="20"/>
          <w:szCs w:val="20"/>
        </w:rPr>
        <w:t xml:space="preserve"> </w:t>
      </w:r>
      <w:r>
        <w:rPr>
          <w:rFonts w:ascii="Times New Roman" w:hAnsi="Times New Roman" w:eastAsia="Times New Roman" w:cs="Times New Roman"/>
          <w:spacing w:val="-1"/>
          <w:sz w:val="20"/>
          <w:szCs w:val="20"/>
        </w:rPr>
        <w:t>and</w:t>
      </w:r>
      <w:r>
        <w:rPr>
          <w:rFonts w:ascii="Times New Roman" w:hAnsi="Times New Roman" w:eastAsia="Times New Roman" w:cs="Times New Roman"/>
          <w:spacing w:val="31"/>
          <w:w w:val="101"/>
          <w:sz w:val="20"/>
          <w:szCs w:val="20"/>
        </w:rPr>
        <w:t xml:space="preserve"> </w:t>
      </w:r>
      <w:r>
        <w:rPr>
          <w:rFonts w:ascii="Times New Roman" w:hAnsi="Times New Roman" w:eastAsia="Times New Roman" w:cs="Times New Roman"/>
          <w:spacing w:val="-1"/>
          <w:sz w:val="20"/>
          <w:szCs w:val="20"/>
        </w:rPr>
        <w:t>productivity</w:t>
      </w:r>
      <w:r>
        <w:rPr>
          <w:rFonts w:ascii="Times New Roman" w:hAnsi="Times New Roman" w:eastAsia="Times New Roman" w:cs="Times New Roman"/>
          <w:spacing w:val="40"/>
          <w:sz w:val="20"/>
          <w:szCs w:val="20"/>
        </w:rPr>
        <w:t xml:space="preserve"> </w:t>
      </w:r>
      <w:r>
        <w:rPr>
          <w:rFonts w:ascii="Times New Roman" w:hAnsi="Times New Roman" w:eastAsia="Times New Roman" w:cs="Times New Roman"/>
          <w:spacing w:val="-1"/>
          <w:sz w:val="20"/>
          <w:szCs w:val="20"/>
        </w:rPr>
        <w:t>at</w:t>
      </w:r>
      <w:r>
        <w:rPr>
          <w:rFonts w:ascii="Times New Roman" w:hAnsi="Times New Roman" w:eastAsia="Times New Roman" w:cs="Times New Roman"/>
          <w:spacing w:val="39"/>
          <w:w w:val="101"/>
          <w:sz w:val="20"/>
          <w:szCs w:val="20"/>
        </w:rPr>
        <w:t xml:space="preserve"> </w:t>
      </w:r>
      <w:r>
        <w:rPr>
          <w:rFonts w:ascii="Times New Roman" w:hAnsi="Times New Roman" w:eastAsia="Times New Roman" w:cs="Times New Roman"/>
          <w:spacing w:val="-1"/>
          <w:sz w:val="20"/>
          <w:szCs w:val="20"/>
        </w:rPr>
        <w:t>every</w:t>
      </w:r>
      <w:r>
        <w:rPr>
          <w:rFonts w:ascii="Times New Roman" w:hAnsi="Times New Roman" w:eastAsia="Times New Roman" w:cs="Times New Roman"/>
          <w:spacing w:val="39"/>
          <w:w w:val="101"/>
          <w:sz w:val="20"/>
          <w:szCs w:val="20"/>
        </w:rPr>
        <w:t xml:space="preserve"> </w:t>
      </w:r>
      <w:r>
        <w:rPr>
          <w:rFonts w:ascii="Times New Roman" w:hAnsi="Times New Roman" w:eastAsia="Times New Roman" w:cs="Times New Roman"/>
          <w:spacing w:val="-1"/>
          <w:sz w:val="20"/>
          <w:szCs w:val="20"/>
        </w:rPr>
        <w:t>age,ensuring</w:t>
      </w:r>
      <w:r>
        <w:rPr>
          <w:rFonts w:ascii="Times New Roman" w:hAnsi="Times New Roman" w:eastAsia="Times New Roman" w:cs="Times New Roman"/>
          <w:spacing w:val="34"/>
          <w:w w:val="101"/>
          <w:sz w:val="20"/>
          <w:szCs w:val="20"/>
        </w:rPr>
        <w:t xml:space="preserve"> </w:t>
      </w:r>
      <w:r>
        <w:rPr>
          <w:rFonts w:ascii="Times New Roman" w:hAnsi="Times New Roman" w:eastAsia="Times New Roman" w:cs="Times New Roman"/>
          <w:spacing w:val="-1"/>
          <w:sz w:val="20"/>
          <w:szCs w:val="20"/>
        </w:rPr>
        <w:t>that</w:t>
      </w:r>
      <w:r>
        <w:rPr>
          <w:rFonts w:ascii="Times New Roman" w:hAnsi="Times New Roman" w:eastAsia="Times New Roman" w:cs="Times New Roman"/>
          <w:sz w:val="20"/>
          <w:szCs w:val="20"/>
        </w:rPr>
        <w:t xml:space="preserve"> these</w:t>
      </w:r>
      <w:r>
        <w:rPr>
          <w:rFonts w:ascii="Times New Roman" w:hAnsi="Times New Roman" w:eastAsia="Times New Roman" w:cs="Times New Roman"/>
          <w:spacing w:val="13"/>
          <w:sz w:val="20"/>
          <w:szCs w:val="20"/>
        </w:rPr>
        <w:t xml:space="preserve"> </w:t>
      </w:r>
      <w:r>
        <w:rPr>
          <w:rFonts w:ascii="Times New Roman" w:hAnsi="Times New Roman" w:eastAsia="Times New Roman" w:cs="Times New Roman"/>
          <w:sz w:val="20"/>
          <w:szCs w:val="20"/>
        </w:rPr>
        <w:t>diseases</w:t>
      </w:r>
      <w:r>
        <w:rPr>
          <w:rFonts w:ascii="Times New Roman" w:hAnsi="Times New Roman" w:eastAsia="Times New Roman" w:cs="Times New Roman"/>
          <w:spacing w:val="13"/>
          <w:w w:val="101"/>
          <w:sz w:val="20"/>
          <w:szCs w:val="20"/>
        </w:rPr>
        <w:t xml:space="preserve"> </w:t>
      </w:r>
      <w:r>
        <w:rPr>
          <w:rFonts w:ascii="Times New Roman" w:hAnsi="Times New Roman" w:eastAsia="Times New Roman" w:cs="Times New Roman"/>
          <w:sz w:val="20"/>
          <w:szCs w:val="20"/>
        </w:rPr>
        <w:t>are no</w:t>
      </w:r>
      <w:r>
        <w:rPr>
          <w:rFonts w:ascii="Times New Roman" w:hAnsi="Times New Roman" w:eastAsia="Times New Roman" w:cs="Times New Roman"/>
          <w:spacing w:val="12"/>
          <w:sz w:val="20"/>
          <w:szCs w:val="20"/>
        </w:rPr>
        <w:t xml:space="preserve"> </w:t>
      </w:r>
      <w:r>
        <w:rPr>
          <w:rFonts w:ascii="Times New Roman" w:hAnsi="Times New Roman" w:eastAsia="Times New Roman" w:cs="Times New Roman"/>
          <w:sz w:val="20"/>
          <w:szCs w:val="20"/>
        </w:rPr>
        <w:t>longer</w:t>
      </w:r>
      <w:r>
        <w:rPr>
          <w:rFonts w:ascii="Times New Roman" w:hAnsi="Times New Roman" w:eastAsia="Times New Roman" w:cs="Times New Roman"/>
          <w:spacing w:val="12"/>
          <w:sz w:val="20"/>
          <w:szCs w:val="20"/>
        </w:rPr>
        <w:t xml:space="preserve"> </w:t>
      </w:r>
      <w:r>
        <w:rPr>
          <w:rFonts w:ascii="Times New Roman" w:hAnsi="Times New Roman" w:eastAsia="Times New Roman" w:cs="Times New Roman"/>
          <w:sz w:val="20"/>
          <w:szCs w:val="20"/>
        </w:rPr>
        <w:t>a barrier to well-being</w:t>
      </w:r>
      <w:r>
        <w:rPr>
          <w:rFonts w:ascii="Times New Roman" w:hAnsi="Times New Roman" w:eastAsia="Times New Roman" w:cs="Times New Roman"/>
          <w:spacing w:val="13"/>
          <w:sz w:val="20"/>
          <w:szCs w:val="20"/>
        </w:rPr>
        <w:t xml:space="preserve"> </w:t>
      </w:r>
      <w:r>
        <w:rPr>
          <w:rFonts w:ascii="Times New Roman" w:hAnsi="Times New Roman" w:eastAsia="Times New Roman" w:cs="Times New Roman"/>
          <w:sz w:val="20"/>
          <w:szCs w:val="20"/>
        </w:rPr>
        <w:t>or</w:t>
      </w:r>
      <w:r>
        <w:rPr>
          <w:rFonts w:ascii="Times New Roman" w:hAnsi="Times New Roman" w:eastAsia="Times New Roman" w:cs="Times New Roman"/>
          <w:spacing w:val="15"/>
          <w:sz w:val="20"/>
          <w:szCs w:val="20"/>
        </w:rPr>
        <w:t xml:space="preserve"> </w:t>
      </w:r>
      <w:r>
        <w:rPr>
          <w:rFonts w:ascii="Times New Roman" w:hAnsi="Times New Roman" w:eastAsia="Times New Roman" w:cs="Times New Roman"/>
          <w:sz w:val="20"/>
          <w:szCs w:val="20"/>
        </w:rPr>
        <w:t>socioeconomic</w:t>
      </w:r>
      <w:r>
        <w:rPr>
          <w:rFonts w:ascii="Times New Roman" w:hAnsi="Times New Roman" w:eastAsia="Times New Roman" w:cs="Times New Roman"/>
          <w:spacing w:val="12"/>
          <w:w w:val="101"/>
          <w:sz w:val="20"/>
          <w:szCs w:val="20"/>
        </w:rPr>
        <w:t xml:space="preserve"> </w:t>
      </w:r>
      <w:r>
        <w:rPr>
          <w:rFonts w:ascii="Times New Roman" w:hAnsi="Times New Roman" w:eastAsia="Times New Roman" w:cs="Times New Roman"/>
          <w:sz w:val="20"/>
          <w:szCs w:val="20"/>
        </w:rPr>
        <w:t>develop</w:t>
      </w:r>
      <w:r>
        <w:rPr>
          <w:rFonts w:ascii="Times New Roman" w:hAnsi="Times New Roman" w:eastAsia="Times New Roman" w:cs="Times New Roman"/>
          <w:spacing w:val="-1"/>
          <w:sz w:val="20"/>
          <w:szCs w:val="20"/>
        </w:rPr>
        <w:t>ment.This</w:t>
      </w:r>
      <w:r>
        <w:rPr>
          <w:rFonts w:ascii="Times New Roman" w:hAnsi="Times New Roman" w:eastAsia="Times New Roman" w:cs="Times New Roman"/>
          <w:spacing w:val="13"/>
          <w:sz w:val="20"/>
          <w:szCs w:val="20"/>
        </w:rPr>
        <w:t xml:space="preserve"> </w:t>
      </w:r>
      <w:r>
        <w:rPr>
          <w:rFonts w:ascii="Times New Roman" w:hAnsi="Times New Roman" w:eastAsia="Times New Roman" w:cs="Times New Roman"/>
          <w:spacing w:val="-1"/>
          <w:sz w:val="20"/>
          <w:szCs w:val="20"/>
        </w:rPr>
        <w:t>chapter will provide</w:t>
      </w:r>
      <w:r>
        <w:rPr>
          <w:rFonts w:ascii="Times New Roman" w:hAnsi="Times New Roman" w:eastAsia="Times New Roman" w:cs="Times New Roman"/>
          <w:sz w:val="20"/>
          <w:szCs w:val="20"/>
        </w:rPr>
        <w:t xml:space="preserve"> an</w:t>
      </w:r>
      <w:r>
        <w:rPr>
          <w:rFonts w:ascii="Times New Roman" w:hAnsi="Times New Roman" w:eastAsia="Times New Roman" w:cs="Times New Roman"/>
          <w:spacing w:val="42"/>
          <w:sz w:val="20"/>
          <w:szCs w:val="20"/>
        </w:rPr>
        <w:t xml:space="preserve"> </w:t>
      </w:r>
      <w:r>
        <w:rPr>
          <w:rFonts w:ascii="Times New Roman" w:hAnsi="Times New Roman" w:eastAsia="Times New Roman" w:cs="Times New Roman"/>
          <w:sz w:val="20"/>
          <w:szCs w:val="20"/>
        </w:rPr>
        <w:t>overview</w:t>
      </w:r>
      <w:r>
        <w:rPr>
          <w:rFonts w:ascii="Times New Roman" w:hAnsi="Times New Roman" w:eastAsia="Times New Roman" w:cs="Times New Roman"/>
          <w:spacing w:val="41"/>
          <w:w w:val="101"/>
          <w:sz w:val="20"/>
          <w:szCs w:val="20"/>
        </w:rPr>
        <w:t xml:space="preserve"> </w:t>
      </w:r>
      <w:r>
        <w:rPr>
          <w:rFonts w:ascii="Times New Roman" w:hAnsi="Times New Roman" w:eastAsia="Times New Roman" w:cs="Times New Roman"/>
          <w:sz w:val="20"/>
          <w:szCs w:val="20"/>
        </w:rPr>
        <w:t>of</w:t>
      </w:r>
      <w:r>
        <w:rPr>
          <w:rFonts w:ascii="Times New Roman" w:hAnsi="Times New Roman" w:eastAsia="Times New Roman" w:cs="Times New Roman"/>
          <w:spacing w:val="16"/>
          <w:w w:val="101"/>
          <w:sz w:val="20"/>
          <w:szCs w:val="20"/>
        </w:rPr>
        <w:t xml:space="preserve"> </w:t>
      </w:r>
      <w:r>
        <w:rPr>
          <w:rFonts w:ascii="Times New Roman" w:hAnsi="Times New Roman" w:eastAsia="Times New Roman" w:cs="Times New Roman"/>
          <w:sz w:val="20"/>
          <w:szCs w:val="20"/>
        </w:rPr>
        <w:t>the</w:t>
      </w:r>
      <w:r>
        <w:rPr>
          <w:rFonts w:ascii="Times New Roman" w:hAnsi="Times New Roman" w:eastAsia="Times New Roman" w:cs="Times New Roman"/>
          <w:spacing w:val="42"/>
          <w:w w:val="101"/>
          <w:sz w:val="20"/>
          <w:szCs w:val="20"/>
        </w:rPr>
        <w:t xml:space="preserve"> </w:t>
      </w:r>
      <w:r>
        <w:rPr>
          <w:rFonts w:ascii="Times New Roman" w:hAnsi="Times New Roman" w:eastAsia="Times New Roman" w:cs="Times New Roman"/>
          <w:sz w:val="20"/>
          <w:szCs w:val="20"/>
        </w:rPr>
        <w:t>fundamental</w:t>
      </w:r>
      <w:r>
        <w:rPr>
          <w:rFonts w:ascii="Times New Roman" w:hAnsi="Times New Roman" w:eastAsia="Times New Roman" w:cs="Times New Roman"/>
          <w:spacing w:val="42"/>
          <w:sz w:val="20"/>
          <w:szCs w:val="20"/>
        </w:rPr>
        <w:t xml:space="preserve"> </w:t>
      </w:r>
      <w:r>
        <w:rPr>
          <w:rFonts w:ascii="Times New Roman" w:hAnsi="Times New Roman" w:eastAsia="Times New Roman" w:cs="Times New Roman"/>
          <w:sz w:val="20"/>
          <w:szCs w:val="20"/>
        </w:rPr>
        <w:t>concepts</w:t>
      </w:r>
      <w:r>
        <w:rPr>
          <w:rFonts w:ascii="Times New Roman" w:hAnsi="Times New Roman" w:eastAsia="Times New Roman" w:cs="Times New Roman"/>
          <w:spacing w:val="42"/>
          <w:sz w:val="20"/>
          <w:szCs w:val="20"/>
        </w:rPr>
        <w:t xml:space="preserve"> </w:t>
      </w:r>
      <w:r>
        <w:rPr>
          <w:rFonts w:ascii="Times New Roman" w:hAnsi="Times New Roman" w:eastAsia="Times New Roman" w:cs="Times New Roman"/>
          <w:sz w:val="20"/>
          <w:szCs w:val="20"/>
        </w:rPr>
        <w:t>and</w:t>
      </w:r>
      <w:r>
        <w:rPr>
          <w:rFonts w:ascii="Times New Roman" w:hAnsi="Times New Roman" w:eastAsia="Times New Roman" w:cs="Times New Roman"/>
          <w:spacing w:val="40"/>
          <w:sz w:val="20"/>
          <w:szCs w:val="20"/>
        </w:rPr>
        <w:t xml:space="preserve"> </w:t>
      </w:r>
      <w:r>
        <w:rPr>
          <w:rFonts w:ascii="Times New Roman" w:hAnsi="Times New Roman" w:eastAsia="Times New Roman" w:cs="Times New Roman"/>
          <w:sz w:val="20"/>
          <w:szCs w:val="20"/>
        </w:rPr>
        <w:t>impacts</w:t>
      </w:r>
      <w:r>
        <w:rPr>
          <w:rFonts w:ascii="Times New Roman" w:hAnsi="Times New Roman" w:eastAsia="Times New Roman" w:cs="Times New Roman"/>
          <w:spacing w:val="41"/>
          <w:w w:val="101"/>
          <w:sz w:val="20"/>
          <w:szCs w:val="20"/>
        </w:rPr>
        <w:t xml:space="preserve"> </w:t>
      </w:r>
      <w:r>
        <w:rPr>
          <w:rFonts w:ascii="Times New Roman" w:hAnsi="Times New Roman" w:eastAsia="Times New Roman" w:cs="Times New Roman"/>
          <w:sz w:val="20"/>
          <w:szCs w:val="20"/>
        </w:rPr>
        <w:t>of</w:t>
      </w:r>
      <w:r>
        <w:rPr>
          <w:rFonts w:ascii="Times New Roman" w:hAnsi="Times New Roman" w:eastAsia="Times New Roman" w:cs="Times New Roman"/>
          <w:spacing w:val="21"/>
          <w:sz w:val="20"/>
          <w:szCs w:val="20"/>
        </w:rPr>
        <w:t xml:space="preserve"> </w:t>
      </w:r>
      <w:r>
        <w:rPr>
          <w:rFonts w:ascii="Times New Roman" w:hAnsi="Times New Roman" w:eastAsia="Times New Roman" w:cs="Times New Roman"/>
          <w:sz w:val="20"/>
          <w:szCs w:val="20"/>
        </w:rPr>
        <w:t>ch</w:t>
      </w:r>
      <w:r>
        <w:rPr>
          <w:rFonts w:ascii="Times New Roman" w:hAnsi="Times New Roman" w:eastAsia="Times New Roman" w:cs="Times New Roman"/>
          <w:spacing w:val="-1"/>
          <w:sz w:val="20"/>
          <w:szCs w:val="20"/>
        </w:rPr>
        <w:t>ronic</w:t>
      </w:r>
      <w:r>
        <w:rPr>
          <w:rFonts w:ascii="Times New Roman" w:hAnsi="Times New Roman" w:eastAsia="Times New Roman" w:cs="Times New Roman"/>
          <w:spacing w:val="36"/>
          <w:sz w:val="20"/>
          <w:szCs w:val="20"/>
        </w:rPr>
        <w:t xml:space="preserve"> </w:t>
      </w:r>
      <w:r>
        <w:rPr>
          <w:rFonts w:ascii="Times New Roman" w:hAnsi="Times New Roman" w:eastAsia="Times New Roman" w:cs="Times New Roman"/>
          <w:spacing w:val="-1"/>
          <w:sz w:val="20"/>
          <w:szCs w:val="20"/>
        </w:rPr>
        <w:t>noncommunicable</w:t>
      </w:r>
      <w:r>
        <w:rPr>
          <w:rFonts w:ascii="Times New Roman" w:hAnsi="Times New Roman" w:eastAsia="Times New Roman" w:cs="Times New Roman"/>
          <w:spacing w:val="41"/>
          <w:w w:val="101"/>
          <w:sz w:val="20"/>
          <w:szCs w:val="20"/>
        </w:rPr>
        <w:t xml:space="preserve"> </w:t>
      </w:r>
      <w:r>
        <w:rPr>
          <w:rFonts w:ascii="Times New Roman" w:hAnsi="Times New Roman" w:eastAsia="Times New Roman" w:cs="Times New Roman"/>
          <w:spacing w:val="-1"/>
          <w:sz w:val="20"/>
          <w:szCs w:val="20"/>
        </w:rPr>
        <w:t>diseases,their</w:t>
      </w:r>
      <w:r>
        <w:rPr>
          <w:rFonts w:ascii="Times New Roman" w:hAnsi="Times New Roman" w:eastAsia="Times New Roman" w:cs="Times New Roman"/>
          <w:spacing w:val="35"/>
          <w:w w:val="101"/>
          <w:sz w:val="20"/>
          <w:szCs w:val="20"/>
        </w:rPr>
        <w:t xml:space="preserve"> </w:t>
      </w:r>
      <w:r>
        <w:rPr>
          <w:rFonts w:ascii="Times New Roman" w:hAnsi="Times New Roman" w:eastAsia="Times New Roman" w:cs="Times New Roman"/>
          <w:spacing w:val="-1"/>
          <w:sz w:val="20"/>
          <w:szCs w:val="20"/>
        </w:rPr>
        <w:t>major</w:t>
      </w:r>
      <w:r>
        <w:rPr>
          <w:rFonts w:ascii="Times New Roman" w:hAnsi="Times New Roman" w:eastAsia="Times New Roman" w:cs="Times New Roman"/>
          <w:sz w:val="20"/>
          <w:szCs w:val="20"/>
        </w:rPr>
        <w:t xml:space="preserve"> risk  factors,prevalence  trends,and  key</w:t>
      </w:r>
      <w:r>
        <w:rPr>
          <w:rFonts w:ascii="Times New Roman" w:hAnsi="Times New Roman" w:eastAsia="Times New Roman" w:cs="Times New Roman"/>
          <w:spacing w:val="5"/>
          <w:sz w:val="20"/>
          <w:szCs w:val="20"/>
        </w:rPr>
        <w:t xml:space="preserve">  </w:t>
      </w:r>
      <w:r>
        <w:rPr>
          <w:rFonts w:ascii="Times New Roman" w:hAnsi="Times New Roman" w:eastAsia="Times New Roman" w:cs="Times New Roman"/>
          <w:sz w:val="20"/>
          <w:szCs w:val="20"/>
        </w:rPr>
        <w:t>prevention</w:t>
      </w:r>
      <w:r>
        <w:rPr>
          <w:rFonts w:ascii="Times New Roman" w:hAnsi="Times New Roman" w:eastAsia="Times New Roman" w:cs="Times New Roman"/>
          <w:spacing w:val="10"/>
          <w:sz w:val="20"/>
          <w:szCs w:val="20"/>
        </w:rPr>
        <w:t xml:space="preserve">  </w:t>
      </w:r>
      <w:r>
        <w:rPr>
          <w:rFonts w:ascii="Times New Roman" w:hAnsi="Times New Roman" w:eastAsia="Times New Roman" w:cs="Times New Roman"/>
          <w:sz w:val="20"/>
          <w:szCs w:val="20"/>
        </w:rPr>
        <w:t>strategies</w:t>
      </w:r>
      <w:r>
        <w:rPr>
          <w:rFonts w:ascii="Times New Roman" w:hAnsi="Times New Roman" w:eastAsia="Times New Roman" w:cs="Times New Roman"/>
          <w:spacing w:val="9"/>
          <w:sz w:val="20"/>
          <w:szCs w:val="20"/>
        </w:rPr>
        <w:t xml:space="preserve">  </w:t>
      </w:r>
      <w:r>
        <w:rPr>
          <w:rFonts w:ascii="Times New Roman" w:hAnsi="Times New Roman" w:eastAsia="Times New Roman" w:cs="Times New Roman"/>
          <w:sz w:val="20"/>
          <w:szCs w:val="20"/>
        </w:rPr>
        <w:t>and</w:t>
      </w:r>
      <w:r>
        <w:rPr>
          <w:rFonts w:ascii="Times New Roman" w:hAnsi="Times New Roman" w:eastAsia="Times New Roman" w:cs="Times New Roman"/>
          <w:spacing w:val="6"/>
          <w:sz w:val="20"/>
          <w:szCs w:val="20"/>
        </w:rPr>
        <w:t xml:space="preserve">  </w:t>
      </w:r>
      <w:r>
        <w:rPr>
          <w:rFonts w:ascii="Times New Roman" w:hAnsi="Times New Roman" w:eastAsia="Times New Roman" w:cs="Times New Roman"/>
          <w:sz w:val="20"/>
          <w:szCs w:val="20"/>
        </w:rPr>
        <w:t>measures.It</w:t>
      </w:r>
      <w:r>
        <w:rPr>
          <w:rFonts w:ascii="Times New Roman" w:hAnsi="Times New Roman" w:eastAsia="Times New Roman" w:cs="Times New Roman"/>
          <w:spacing w:val="6"/>
          <w:sz w:val="20"/>
          <w:szCs w:val="20"/>
        </w:rPr>
        <w:t xml:space="preserve">  </w:t>
      </w:r>
      <w:r>
        <w:rPr>
          <w:rFonts w:ascii="Times New Roman" w:hAnsi="Times New Roman" w:eastAsia="Times New Roman" w:cs="Times New Roman"/>
          <w:sz w:val="20"/>
          <w:szCs w:val="20"/>
        </w:rPr>
        <w:t>will</w:t>
      </w:r>
      <w:r>
        <w:rPr>
          <w:rFonts w:ascii="Times New Roman" w:hAnsi="Times New Roman" w:eastAsia="Times New Roman" w:cs="Times New Roman"/>
          <w:spacing w:val="9"/>
          <w:sz w:val="20"/>
          <w:szCs w:val="20"/>
        </w:rPr>
        <w:t xml:space="preserve">  </w:t>
      </w:r>
      <w:r>
        <w:rPr>
          <w:rFonts w:ascii="Times New Roman" w:hAnsi="Times New Roman" w:eastAsia="Times New Roman" w:cs="Times New Roman"/>
          <w:spacing w:val="-1"/>
          <w:sz w:val="20"/>
          <w:szCs w:val="20"/>
        </w:rPr>
        <w:t>also</w:t>
      </w:r>
      <w:r>
        <w:rPr>
          <w:rFonts w:ascii="Times New Roman" w:hAnsi="Times New Roman" w:eastAsia="Times New Roman" w:cs="Times New Roman"/>
          <w:spacing w:val="8"/>
          <w:sz w:val="20"/>
          <w:szCs w:val="20"/>
        </w:rPr>
        <w:t xml:space="preserve">  </w:t>
      </w:r>
      <w:r>
        <w:rPr>
          <w:rFonts w:ascii="Times New Roman" w:hAnsi="Times New Roman" w:eastAsia="Times New Roman" w:cs="Times New Roman"/>
          <w:spacing w:val="-1"/>
          <w:sz w:val="20"/>
          <w:szCs w:val="20"/>
        </w:rPr>
        <w:t>include</w:t>
      </w:r>
      <w:r>
        <w:rPr>
          <w:rFonts w:ascii="Times New Roman" w:hAnsi="Times New Roman" w:eastAsia="Times New Roman" w:cs="Times New Roman"/>
          <w:spacing w:val="11"/>
          <w:sz w:val="20"/>
          <w:szCs w:val="20"/>
        </w:rPr>
        <w:t xml:space="preserve">  </w:t>
      </w:r>
      <w:r>
        <w:rPr>
          <w:rFonts w:ascii="Times New Roman" w:hAnsi="Times New Roman" w:eastAsia="Times New Roman" w:cs="Times New Roman"/>
          <w:spacing w:val="-1"/>
          <w:sz w:val="20"/>
          <w:szCs w:val="20"/>
        </w:rPr>
        <w:t>specific</w:t>
      </w:r>
      <w:r>
        <w:rPr>
          <w:rFonts w:ascii="Times New Roman" w:hAnsi="Times New Roman" w:eastAsia="Times New Roman" w:cs="Times New Roman"/>
          <w:sz w:val="20"/>
          <w:szCs w:val="20"/>
        </w:rPr>
        <w:t xml:space="preserve"> descriptions</w:t>
      </w:r>
      <w:r>
        <w:rPr>
          <w:rFonts w:ascii="Times New Roman" w:hAnsi="Times New Roman" w:eastAsia="Times New Roman" w:cs="Times New Roman"/>
          <w:spacing w:val="1"/>
          <w:sz w:val="20"/>
          <w:szCs w:val="20"/>
        </w:rPr>
        <w:t xml:space="preserve">  </w:t>
      </w:r>
      <w:r>
        <w:rPr>
          <w:rFonts w:ascii="Times New Roman" w:hAnsi="Times New Roman" w:eastAsia="Times New Roman" w:cs="Times New Roman"/>
          <w:sz w:val="20"/>
          <w:szCs w:val="20"/>
        </w:rPr>
        <w:t>of</w:t>
      </w:r>
      <w:r>
        <w:rPr>
          <w:rFonts w:ascii="Times New Roman" w:hAnsi="Times New Roman" w:eastAsia="Times New Roman" w:cs="Times New Roman"/>
          <w:spacing w:val="1"/>
          <w:sz w:val="20"/>
          <w:szCs w:val="20"/>
        </w:rPr>
        <w:t xml:space="preserve">  </w:t>
      </w:r>
      <w:r>
        <w:rPr>
          <w:rFonts w:ascii="Times New Roman" w:hAnsi="Times New Roman" w:eastAsia="Times New Roman" w:cs="Times New Roman"/>
          <w:sz w:val="20"/>
          <w:szCs w:val="20"/>
        </w:rPr>
        <w:t>cardiovascular</w:t>
      </w:r>
      <w:r>
        <w:rPr>
          <w:rFonts w:ascii="Times New Roman" w:hAnsi="Times New Roman" w:eastAsia="Times New Roman" w:cs="Times New Roman"/>
          <w:spacing w:val="1"/>
          <w:sz w:val="20"/>
          <w:szCs w:val="20"/>
        </w:rPr>
        <w:t xml:space="preserve">  </w:t>
      </w:r>
      <w:r>
        <w:rPr>
          <w:rFonts w:ascii="Times New Roman" w:hAnsi="Times New Roman" w:eastAsia="Times New Roman" w:cs="Times New Roman"/>
          <w:sz w:val="20"/>
          <w:szCs w:val="20"/>
        </w:rPr>
        <w:t>disease</w:t>
      </w:r>
      <w:r>
        <w:rPr>
          <w:rFonts w:ascii="Times New Roman" w:hAnsi="Times New Roman" w:eastAsia="Times New Roman" w:cs="Times New Roman"/>
          <w:spacing w:val="1"/>
          <w:sz w:val="20"/>
          <w:szCs w:val="20"/>
        </w:rPr>
        <w:t>,</w:t>
      </w:r>
      <w:r>
        <w:rPr>
          <w:rFonts w:ascii="Times New Roman" w:hAnsi="Times New Roman" w:eastAsia="Times New Roman" w:cs="Times New Roman"/>
          <w:sz w:val="20"/>
          <w:szCs w:val="20"/>
        </w:rPr>
        <w:t>cancer</w:t>
      </w:r>
      <w:r>
        <w:rPr>
          <w:rFonts w:ascii="Times New Roman" w:hAnsi="Times New Roman" w:eastAsia="Times New Roman" w:cs="Times New Roman"/>
          <w:spacing w:val="1"/>
          <w:sz w:val="20"/>
          <w:szCs w:val="20"/>
        </w:rPr>
        <w:t>,</w:t>
      </w:r>
      <w:r>
        <w:rPr>
          <w:rFonts w:ascii="Times New Roman" w:hAnsi="Times New Roman" w:eastAsia="Times New Roman" w:cs="Times New Roman"/>
          <w:sz w:val="20"/>
          <w:szCs w:val="20"/>
        </w:rPr>
        <w:t>diabetes</w:t>
      </w:r>
      <w:r>
        <w:rPr>
          <w:rFonts w:ascii="Times New Roman" w:hAnsi="Times New Roman" w:eastAsia="Times New Roman" w:cs="Times New Roman"/>
          <w:spacing w:val="1"/>
          <w:sz w:val="20"/>
          <w:szCs w:val="20"/>
        </w:rPr>
        <w:t>,</w:t>
      </w:r>
      <w:r>
        <w:rPr>
          <w:rFonts w:ascii="Times New Roman" w:hAnsi="Times New Roman" w:eastAsia="Times New Roman" w:cs="Times New Roman"/>
          <w:sz w:val="20"/>
          <w:szCs w:val="20"/>
        </w:rPr>
        <w:t>chronic</w:t>
      </w:r>
      <w:r>
        <w:rPr>
          <w:rFonts w:ascii="Times New Roman" w:hAnsi="Times New Roman" w:eastAsia="Times New Roman" w:cs="Times New Roman"/>
          <w:spacing w:val="1"/>
          <w:sz w:val="20"/>
          <w:szCs w:val="20"/>
        </w:rPr>
        <w:t xml:space="preserve">  </w:t>
      </w:r>
      <w:r>
        <w:rPr>
          <w:rFonts w:ascii="Times New Roman" w:hAnsi="Times New Roman" w:eastAsia="Times New Roman" w:cs="Times New Roman"/>
          <w:sz w:val="20"/>
          <w:szCs w:val="20"/>
        </w:rPr>
        <w:t>obstructive</w:t>
      </w:r>
      <w:r>
        <w:rPr>
          <w:rFonts w:ascii="Times New Roman" w:hAnsi="Times New Roman" w:eastAsia="Times New Roman" w:cs="Times New Roman"/>
          <w:spacing w:val="1"/>
          <w:sz w:val="20"/>
          <w:szCs w:val="20"/>
        </w:rPr>
        <w:t xml:space="preserve">  </w:t>
      </w:r>
      <w:r>
        <w:rPr>
          <w:rFonts w:ascii="Times New Roman" w:hAnsi="Times New Roman" w:eastAsia="Times New Roman" w:cs="Times New Roman"/>
          <w:sz w:val="20"/>
          <w:szCs w:val="20"/>
        </w:rPr>
        <w:t>pulmonary</w:t>
      </w:r>
      <w:r>
        <w:rPr>
          <w:rFonts w:ascii="Times New Roman" w:hAnsi="Times New Roman" w:eastAsia="Times New Roman" w:cs="Times New Roman"/>
          <w:spacing w:val="1"/>
          <w:sz w:val="20"/>
          <w:szCs w:val="20"/>
        </w:rPr>
        <w:t xml:space="preserve">  </w:t>
      </w:r>
      <w:r>
        <w:rPr>
          <w:rFonts w:ascii="Times New Roman" w:hAnsi="Times New Roman" w:eastAsia="Times New Roman" w:cs="Times New Roman"/>
          <w:sz w:val="20"/>
          <w:szCs w:val="20"/>
        </w:rPr>
        <w:t>disease</w:t>
      </w:r>
      <w:r>
        <w:rPr>
          <w:rFonts w:ascii="Times New Roman" w:hAnsi="Times New Roman" w:eastAsia="Times New Roman" w:cs="Times New Roman"/>
          <w:spacing w:val="1"/>
          <w:sz w:val="20"/>
          <w:szCs w:val="20"/>
        </w:rPr>
        <w:t>,</w:t>
      </w:r>
      <w:r>
        <w:rPr>
          <w:rFonts w:ascii="Times New Roman" w:hAnsi="Times New Roman" w:eastAsia="Times New Roman" w:cs="Times New Roman"/>
          <w:sz w:val="20"/>
          <w:szCs w:val="20"/>
        </w:rPr>
        <w:t>and</w:t>
      </w:r>
      <w:r>
        <w:rPr>
          <w:rFonts w:ascii="Times New Roman" w:hAnsi="Times New Roman" w:eastAsia="Times New Roman" w:cs="Times New Roman"/>
          <w:spacing w:val="4"/>
          <w:sz w:val="20"/>
          <w:szCs w:val="20"/>
        </w:rPr>
        <w:t xml:space="preserve">  </w:t>
      </w:r>
      <w:r>
        <w:rPr>
          <w:rFonts w:ascii="Times New Roman" w:hAnsi="Times New Roman" w:eastAsia="Times New Roman" w:cs="Times New Roman"/>
          <w:sz w:val="20"/>
          <w:szCs w:val="20"/>
        </w:rPr>
        <w:t xml:space="preserve">mental </w:t>
      </w:r>
      <w:r>
        <w:rPr>
          <w:rFonts w:ascii="Times New Roman" w:hAnsi="Times New Roman" w:eastAsia="Times New Roman" w:cs="Times New Roman"/>
          <w:spacing w:val="-1"/>
          <w:sz w:val="20"/>
          <w:szCs w:val="20"/>
        </w:rPr>
        <w:t>and psychological disorders.</w:t>
      </w:r>
    </w:p>
    <w:p w14:paraId="5DB88FB2">
      <w:pPr>
        <w:spacing w:line="326" w:lineRule="auto"/>
        <w:rPr>
          <w:rFonts w:ascii="Arial"/>
          <w:sz w:val="21"/>
        </w:rPr>
      </w:pPr>
    </w:p>
    <w:p w14:paraId="10823869">
      <w:pPr>
        <w:spacing w:before="65" w:line="352" w:lineRule="auto"/>
        <w:ind w:left="669" w:firstLine="440"/>
        <w:jc w:val="both"/>
        <w:rPr>
          <w:rFonts w:ascii="宋体" w:hAnsi="宋体" w:eastAsia="宋体" w:cs="宋体"/>
          <w:sz w:val="20"/>
          <w:szCs w:val="20"/>
        </w:rPr>
      </w:pPr>
      <w:r>
        <w:rPr>
          <w:rFonts w:ascii="宋体" w:hAnsi="宋体" w:eastAsia="宋体" w:cs="宋体"/>
          <w:spacing w:val="9"/>
          <w:sz w:val="20"/>
          <w:szCs w:val="20"/>
        </w:rPr>
        <w:t>近几十年来，威胁全球和我国人群健康的危险因素谱和疾病谱发生</w:t>
      </w:r>
      <w:r>
        <w:rPr>
          <w:rFonts w:ascii="宋体" w:hAnsi="宋体" w:eastAsia="宋体" w:cs="宋体"/>
          <w:spacing w:val="8"/>
          <w:sz w:val="20"/>
          <w:szCs w:val="20"/>
        </w:rPr>
        <w:t>了重要的转变。慢性非传</w:t>
      </w:r>
      <w:r>
        <w:rPr>
          <w:rFonts w:ascii="宋体" w:hAnsi="宋体" w:eastAsia="宋体" w:cs="宋体"/>
          <w:sz w:val="20"/>
          <w:szCs w:val="20"/>
        </w:rPr>
        <w:t xml:space="preserve"> </w:t>
      </w:r>
      <w:r>
        <w:rPr>
          <w:rFonts w:ascii="宋体" w:hAnsi="宋体" w:eastAsia="宋体" w:cs="宋体"/>
          <w:spacing w:val="8"/>
          <w:sz w:val="20"/>
          <w:szCs w:val="20"/>
        </w:rPr>
        <w:t>染性疾病已经成为导致全球和我国人群疾病负担的重要公共卫生问题，同时也对社会经济的可持</w:t>
      </w:r>
      <w:r>
        <w:rPr>
          <w:rFonts w:ascii="宋体" w:hAnsi="宋体" w:eastAsia="宋体" w:cs="宋体"/>
          <w:spacing w:val="5"/>
          <w:sz w:val="20"/>
          <w:szCs w:val="20"/>
        </w:rPr>
        <w:t xml:space="preserve">  </w:t>
      </w:r>
      <w:r>
        <w:rPr>
          <w:rFonts w:ascii="宋体" w:hAnsi="宋体" w:eastAsia="宋体" w:cs="宋体"/>
          <w:spacing w:val="6"/>
          <w:sz w:val="20"/>
          <w:szCs w:val="20"/>
        </w:rPr>
        <w:t>续发展构成了威胁。本章将概述慢性非传染性疾病的</w:t>
      </w:r>
      <w:r>
        <w:rPr>
          <w:rFonts w:ascii="宋体" w:hAnsi="宋体" w:eastAsia="宋体" w:cs="宋体"/>
          <w:spacing w:val="5"/>
          <w:sz w:val="20"/>
          <w:szCs w:val="20"/>
        </w:rPr>
        <w:t>基本概念和影响、主要危险因素、流行状况、</w:t>
      </w:r>
      <w:r>
        <w:rPr>
          <w:rFonts w:ascii="宋体" w:hAnsi="宋体" w:eastAsia="宋体" w:cs="宋体"/>
          <w:sz w:val="20"/>
          <w:szCs w:val="20"/>
        </w:rPr>
        <w:t xml:space="preserve"> </w:t>
      </w:r>
      <w:r>
        <w:rPr>
          <w:rFonts w:ascii="宋体" w:hAnsi="宋体" w:eastAsia="宋体" w:cs="宋体"/>
          <w:spacing w:val="-1"/>
          <w:sz w:val="20"/>
          <w:szCs w:val="20"/>
        </w:rPr>
        <w:t>主要的预防策略与措施，并针对心血管疾病、恶性肿瘤、糖尿病、慢性阻塞性肺疾病及精神障碍分别</w:t>
      </w:r>
      <w:r>
        <w:rPr>
          <w:rFonts w:ascii="宋体" w:hAnsi="宋体" w:eastAsia="宋体" w:cs="宋体"/>
          <w:sz w:val="20"/>
          <w:szCs w:val="20"/>
        </w:rPr>
        <w:t xml:space="preserve">  </w:t>
      </w:r>
      <w:r>
        <w:rPr>
          <w:rFonts w:ascii="宋体" w:hAnsi="宋体" w:eastAsia="宋体" w:cs="宋体"/>
          <w:spacing w:val="4"/>
          <w:sz w:val="20"/>
          <w:szCs w:val="20"/>
        </w:rPr>
        <w:t>进行描述。</w:t>
      </w:r>
    </w:p>
    <w:p w14:paraId="70D28CBB">
      <w:pPr>
        <w:spacing w:line="394" w:lineRule="auto"/>
        <w:rPr>
          <w:rFonts w:ascii="Arial"/>
          <w:sz w:val="21"/>
        </w:rPr>
      </w:pPr>
    </w:p>
    <w:p w14:paraId="56D72DFD">
      <w:pPr>
        <w:pStyle w:val="2"/>
        <w:spacing w:before="94" w:line="221" w:lineRule="auto"/>
        <w:ind w:left="4054"/>
        <w:outlineLvl w:val="1"/>
        <w:rPr>
          <w:sz w:val="29"/>
          <w:szCs w:val="29"/>
        </w:rPr>
      </w:pPr>
      <w:bookmarkStart w:id="359" w:name="bookmark228"/>
      <w:bookmarkEnd w:id="359"/>
      <w:r>
        <w:rPr>
          <w:b/>
          <w:bCs/>
          <w:spacing w:val="-7"/>
          <w:sz w:val="29"/>
          <w:szCs w:val="29"/>
        </w:rPr>
        <w:t>第一节</w:t>
      </w:r>
      <w:r>
        <w:rPr>
          <w:spacing w:val="136"/>
          <w:sz w:val="29"/>
          <w:szCs w:val="29"/>
        </w:rPr>
        <w:t xml:space="preserve"> </w:t>
      </w:r>
      <w:r>
        <w:rPr>
          <w:b/>
          <w:bCs/>
          <w:spacing w:val="-7"/>
          <w:sz w:val="29"/>
          <w:szCs w:val="29"/>
        </w:rPr>
        <w:t>概</w:t>
      </w:r>
      <w:r>
        <w:rPr>
          <w:spacing w:val="8"/>
          <w:sz w:val="29"/>
          <w:szCs w:val="29"/>
        </w:rPr>
        <w:t xml:space="preserve">  </w:t>
      </w:r>
      <w:r>
        <w:rPr>
          <w:b/>
          <w:bCs/>
          <w:spacing w:val="-7"/>
          <w:sz w:val="29"/>
          <w:szCs w:val="29"/>
        </w:rPr>
        <w:t>述</w:t>
      </w:r>
    </w:p>
    <w:p w14:paraId="147C6DD3">
      <w:pPr>
        <w:spacing w:line="408" w:lineRule="auto"/>
        <w:rPr>
          <w:rFonts w:ascii="Arial"/>
          <w:sz w:val="21"/>
        </w:rPr>
      </w:pPr>
    </w:p>
    <w:p w14:paraId="00BC5E3E">
      <w:pPr>
        <w:pStyle w:val="2"/>
        <w:spacing w:before="82" w:line="221" w:lineRule="auto"/>
        <w:ind w:left="1113"/>
        <w:outlineLvl w:val="4"/>
        <w:rPr>
          <w:sz w:val="25"/>
          <w:szCs w:val="25"/>
        </w:rPr>
      </w:pPr>
      <w:bookmarkStart w:id="360" w:name="bookmark229"/>
      <w:bookmarkEnd w:id="360"/>
      <w:r>
        <w:rPr>
          <w:b/>
          <w:bCs/>
          <w:spacing w:val="-12"/>
          <w:sz w:val="25"/>
          <w:szCs w:val="25"/>
        </w:rPr>
        <w:t>一</w:t>
      </w:r>
      <w:r>
        <w:rPr>
          <w:spacing w:val="-68"/>
          <w:sz w:val="25"/>
          <w:szCs w:val="25"/>
        </w:rPr>
        <w:t xml:space="preserve"> </w:t>
      </w:r>
      <w:r>
        <w:rPr>
          <w:b/>
          <w:bCs/>
          <w:spacing w:val="-12"/>
          <w:sz w:val="25"/>
          <w:szCs w:val="25"/>
        </w:rPr>
        <w:t>、基本概念</w:t>
      </w:r>
    </w:p>
    <w:p w14:paraId="20B5866E">
      <w:pPr>
        <w:spacing w:before="271" w:line="352" w:lineRule="auto"/>
        <w:ind w:left="669" w:right="49" w:firstLine="410"/>
        <w:jc w:val="both"/>
        <w:rPr>
          <w:rFonts w:ascii="宋体" w:hAnsi="宋体" w:eastAsia="宋体" w:cs="宋体"/>
          <w:sz w:val="20"/>
          <w:szCs w:val="20"/>
        </w:rPr>
      </w:pPr>
      <w:r>
        <w:rPr>
          <w:rFonts w:ascii="宋体" w:hAnsi="宋体" w:eastAsia="宋体" w:cs="宋体"/>
          <w:sz w:val="20"/>
          <w:szCs w:val="20"/>
        </w:rPr>
        <w:t>慢性非传染性疾病(noncommunicable</w:t>
      </w:r>
      <w:r>
        <w:rPr>
          <w:rFonts w:ascii="宋体" w:hAnsi="宋体" w:eastAsia="宋体" w:cs="宋体"/>
          <w:spacing w:val="99"/>
          <w:sz w:val="20"/>
          <w:szCs w:val="20"/>
        </w:rPr>
        <w:t xml:space="preserve"> </w:t>
      </w:r>
      <w:r>
        <w:rPr>
          <w:rFonts w:ascii="宋体" w:hAnsi="宋体" w:eastAsia="宋体" w:cs="宋体"/>
          <w:sz w:val="20"/>
          <w:szCs w:val="20"/>
        </w:rPr>
        <w:t>disease,N</w:t>
      </w:r>
      <w:r>
        <w:rPr>
          <w:rFonts w:ascii="宋体" w:hAnsi="宋体" w:eastAsia="宋体" w:cs="宋体"/>
          <w:spacing w:val="-1"/>
          <w:sz w:val="20"/>
          <w:szCs w:val="20"/>
        </w:rPr>
        <w:t>CD)简称慢性病，是一类起病隐匿，病程长且病</w:t>
      </w:r>
      <w:r>
        <w:rPr>
          <w:rFonts w:ascii="宋体" w:hAnsi="宋体" w:eastAsia="宋体" w:cs="宋体"/>
          <w:sz w:val="20"/>
          <w:szCs w:val="20"/>
        </w:rPr>
        <w:t xml:space="preserve"> </w:t>
      </w:r>
      <w:r>
        <w:rPr>
          <w:rFonts w:ascii="宋体" w:hAnsi="宋体" w:eastAsia="宋体" w:cs="宋体"/>
          <w:spacing w:val="4"/>
          <w:sz w:val="20"/>
          <w:szCs w:val="20"/>
        </w:rPr>
        <w:t>情迁延不愈，缺乏确切的传染性生物病因证据的疾病的总称。与传染病不同，慢性病不</w:t>
      </w:r>
      <w:r>
        <w:rPr>
          <w:rFonts w:ascii="宋体" w:hAnsi="宋体" w:eastAsia="宋体" w:cs="宋体"/>
          <w:spacing w:val="3"/>
          <w:sz w:val="20"/>
          <w:szCs w:val="20"/>
        </w:rPr>
        <w:t>会在人与人</w:t>
      </w:r>
      <w:r>
        <w:rPr>
          <w:rFonts w:ascii="宋体" w:hAnsi="宋体" w:eastAsia="宋体" w:cs="宋体"/>
          <w:sz w:val="20"/>
          <w:szCs w:val="20"/>
        </w:rPr>
        <w:t xml:space="preserve"> 之间传播。然而，某些慢性病的病因中包括感染性因素，或由慢性传染性疾</w:t>
      </w:r>
      <w:r>
        <w:rPr>
          <w:rFonts w:ascii="宋体" w:hAnsi="宋体" w:eastAsia="宋体" w:cs="宋体"/>
          <w:spacing w:val="-1"/>
          <w:sz w:val="20"/>
          <w:szCs w:val="20"/>
        </w:rPr>
        <w:t>病演变而来，如肝癌、胃</w:t>
      </w:r>
      <w:r>
        <w:rPr>
          <w:rFonts w:ascii="宋体" w:hAnsi="宋体" w:eastAsia="宋体" w:cs="宋体"/>
          <w:sz w:val="20"/>
          <w:szCs w:val="20"/>
        </w:rPr>
        <w:t xml:space="preserve"> </w:t>
      </w:r>
      <w:r>
        <w:rPr>
          <w:rFonts w:ascii="宋体" w:hAnsi="宋体" w:eastAsia="宋体" w:cs="宋体"/>
          <w:spacing w:val="3"/>
          <w:sz w:val="20"/>
          <w:szCs w:val="20"/>
        </w:rPr>
        <w:t>癌、宫颈癌等。</w:t>
      </w:r>
      <w:r>
        <w:rPr>
          <w:rFonts w:ascii="Times New Roman" w:hAnsi="Times New Roman" w:eastAsia="Times New Roman" w:cs="Times New Roman"/>
          <w:sz w:val="20"/>
          <w:szCs w:val="20"/>
        </w:rPr>
        <w:t>WHO</w:t>
      </w:r>
      <w:r>
        <w:rPr>
          <w:rFonts w:ascii="Times New Roman" w:hAnsi="Times New Roman" w:eastAsia="Times New Roman" w:cs="Times New Roman"/>
          <w:spacing w:val="3"/>
          <w:sz w:val="20"/>
          <w:szCs w:val="20"/>
        </w:rPr>
        <w:t xml:space="preserve"> </w:t>
      </w:r>
      <w:r>
        <w:rPr>
          <w:rFonts w:ascii="宋体" w:hAnsi="宋体" w:eastAsia="宋体" w:cs="宋体"/>
          <w:spacing w:val="3"/>
          <w:sz w:val="20"/>
          <w:szCs w:val="20"/>
        </w:rPr>
        <w:t>将疾病类型主要分为三组：传染性疾病及孕产期疾病与营养不良性疾</w:t>
      </w:r>
      <w:r>
        <w:rPr>
          <w:rFonts w:ascii="宋体" w:hAnsi="宋体" w:eastAsia="宋体" w:cs="宋体"/>
          <w:spacing w:val="2"/>
          <w:sz w:val="20"/>
          <w:szCs w:val="20"/>
        </w:rPr>
        <w:t>病(第一</w:t>
      </w:r>
      <w:r>
        <w:rPr>
          <w:rFonts w:ascii="宋体" w:hAnsi="宋体" w:eastAsia="宋体" w:cs="宋体"/>
          <w:sz w:val="20"/>
          <w:szCs w:val="20"/>
        </w:rPr>
        <w:t xml:space="preserve"> </w:t>
      </w:r>
      <w:r>
        <w:rPr>
          <w:rFonts w:ascii="宋体" w:hAnsi="宋体" w:eastAsia="宋体" w:cs="宋体"/>
          <w:spacing w:val="6"/>
          <w:sz w:val="20"/>
          <w:szCs w:val="20"/>
        </w:rPr>
        <w:t>组)、非传染性疾病(主要指慢性病，第二组)和伤害(第三组)。在全球范围内，慢性病已</w:t>
      </w:r>
      <w:r>
        <w:rPr>
          <w:rFonts w:ascii="宋体" w:hAnsi="宋体" w:eastAsia="宋体" w:cs="宋体"/>
          <w:spacing w:val="5"/>
          <w:sz w:val="20"/>
          <w:szCs w:val="20"/>
        </w:rPr>
        <w:t>成为导致</w:t>
      </w:r>
    </w:p>
    <w:p w14:paraId="5FEB8540">
      <w:pPr>
        <w:spacing w:line="352" w:lineRule="auto"/>
        <w:rPr>
          <w:rFonts w:ascii="宋体" w:hAnsi="宋体" w:eastAsia="宋体" w:cs="宋体"/>
          <w:sz w:val="20"/>
          <w:szCs w:val="20"/>
        </w:rPr>
        <w:sectPr>
          <w:footerReference r:id="rId231" w:type="default"/>
          <w:pgSz w:w="11900" w:h="16820"/>
          <w:pgMar w:top="400" w:right="1530" w:bottom="919" w:left="860" w:header="0" w:footer="739" w:gutter="0"/>
          <w:cols w:space="720" w:num="1"/>
        </w:sectPr>
      </w:pPr>
    </w:p>
    <w:p w14:paraId="2E96F54C">
      <w:pPr>
        <w:pStyle w:val="2"/>
        <w:spacing w:before="176" w:line="221" w:lineRule="auto"/>
        <w:ind w:left="6889"/>
        <w:rPr>
          <w:sz w:val="21"/>
          <w:szCs w:val="21"/>
        </w:rPr>
      </w:pPr>
      <w:r>
        <w:rPr>
          <w:spacing w:val="-22"/>
          <w:w w:val="97"/>
          <w:sz w:val="21"/>
          <w:szCs w:val="21"/>
        </w:rPr>
        <w:t>第十四章 慢性病流行病学</w:t>
      </w:r>
    </w:p>
    <w:p w14:paraId="6CBF564A">
      <w:pPr>
        <w:spacing w:line="249" w:lineRule="auto"/>
        <w:rPr>
          <w:rFonts w:ascii="Arial"/>
          <w:sz w:val="21"/>
        </w:rPr>
      </w:pPr>
    </w:p>
    <w:p w14:paraId="3DFCB0BD">
      <w:pPr>
        <w:spacing w:line="250" w:lineRule="auto"/>
        <w:rPr>
          <w:rFonts w:ascii="Arial"/>
          <w:sz w:val="21"/>
        </w:rPr>
      </w:pPr>
    </w:p>
    <w:p w14:paraId="669EB5AA">
      <w:pPr>
        <w:spacing w:before="68" w:line="219" w:lineRule="auto"/>
        <w:rPr>
          <w:rFonts w:ascii="宋体" w:hAnsi="宋体" w:eastAsia="宋体" w:cs="宋体"/>
          <w:sz w:val="21"/>
          <w:szCs w:val="21"/>
        </w:rPr>
      </w:pPr>
      <w:r>
        <w:rPr>
          <w:rFonts w:ascii="宋体" w:hAnsi="宋体" w:eastAsia="宋体" w:cs="宋体"/>
          <w:spacing w:val="3"/>
          <w:sz w:val="21"/>
          <w:szCs w:val="21"/>
        </w:rPr>
        <w:t>死亡和疾病负担的主要原因。</w:t>
      </w:r>
    </w:p>
    <w:p w14:paraId="41964102">
      <w:pPr>
        <w:pStyle w:val="2"/>
        <w:spacing w:before="307" w:line="222" w:lineRule="auto"/>
        <w:ind w:left="443"/>
        <w:outlineLvl w:val="4"/>
        <w:rPr>
          <w:sz w:val="25"/>
          <w:szCs w:val="25"/>
        </w:rPr>
      </w:pPr>
      <w:bookmarkStart w:id="361" w:name="bookmark520"/>
      <w:bookmarkEnd w:id="361"/>
      <w:bookmarkStart w:id="362" w:name="bookmark230"/>
      <w:bookmarkEnd w:id="362"/>
      <w:r>
        <w:rPr>
          <w:b/>
          <w:bCs/>
          <w:spacing w:val="1"/>
          <w:sz w:val="25"/>
          <w:szCs w:val="25"/>
        </w:rPr>
        <w:t>二、慢性病的健康和社会经济影响</w:t>
      </w:r>
    </w:p>
    <w:p w14:paraId="6C402D11">
      <w:pPr>
        <w:spacing w:before="260" w:line="328" w:lineRule="auto"/>
        <w:ind w:right="625" w:firstLine="439"/>
        <w:jc w:val="both"/>
        <w:rPr>
          <w:rFonts w:ascii="宋体" w:hAnsi="宋体" w:eastAsia="宋体" w:cs="宋体"/>
          <w:sz w:val="21"/>
          <w:szCs w:val="21"/>
        </w:rPr>
      </w:pPr>
      <w:r>
        <w:rPr>
          <w:rFonts w:ascii="宋体" w:hAnsi="宋体" w:eastAsia="宋体" w:cs="宋体"/>
          <w:spacing w:val="-1"/>
          <w:sz w:val="21"/>
          <w:szCs w:val="21"/>
        </w:rPr>
        <w:t>根据全球疾病负担</w:t>
      </w:r>
      <w:r>
        <w:rPr>
          <w:rFonts w:ascii="Times New Roman" w:hAnsi="Times New Roman" w:eastAsia="Times New Roman" w:cs="Times New Roman"/>
          <w:spacing w:val="-1"/>
          <w:sz w:val="21"/>
          <w:szCs w:val="21"/>
        </w:rPr>
        <w:t>(Global</w:t>
      </w:r>
      <w:r>
        <w:rPr>
          <w:rFonts w:ascii="Times New Roman" w:hAnsi="Times New Roman" w:eastAsia="Times New Roman" w:cs="Times New Roman"/>
          <w:spacing w:val="38"/>
          <w:w w:val="101"/>
          <w:sz w:val="21"/>
          <w:szCs w:val="21"/>
        </w:rPr>
        <w:t xml:space="preserve"> </w:t>
      </w:r>
      <w:r>
        <w:rPr>
          <w:rFonts w:ascii="Times New Roman" w:hAnsi="Times New Roman" w:eastAsia="Times New Roman" w:cs="Times New Roman"/>
          <w:spacing w:val="-1"/>
          <w:sz w:val="21"/>
          <w:szCs w:val="21"/>
        </w:rPr>
        <w:t>Burden</w:t>
      </w:r>
      <w:r>
        <w:rPr>
          <w:rFonts w:ascii="Times New Roman" w:hAnsi="Times New Roman" w:eastAsia="Times New Roman" w:cs="Times New Roman"/>
          <w:spacing w:val="33"/>
          <w:sz w:val="21"/>
          <w:szCs w:val="21"/>
        </w:rPr>
        <w:t xml:space="preserve"> </w:t>
      </w:r>
      <w:r>
        <w:rPr>
          <w:rFonts w:ascii="Times New Roman" w:hAnsi="Times New Roman" w:eastAsia="Times New Roman" w:cs="Times New Roman"/>
          <w:spacing w:val="-1"/>
          <w:sz w:val="21"/>
          <w:szCs w:val="21"/>
        </w:rPr>
        <w:t>of Disease,GBD)</w:t>
      </w:r>
      <w:r>
        <w:rPr>
          <w:rFonts w:ascii="宋体" w:hAnsi="宋体" w:eastAsia="宋体" w:cs="宋体"/>
          <w:spacing w:val="-1"/>
          <w:sz w:val="21"/>
          <w:szCs w:val="21"/>
        </w:rPr>
        <w:t>研究报告，慢性病在全球范围内是导致死亡</w:t>
      </w:r>
      <w:r>
        <w:rPr>
          <w:rFonts w:ascii="宋体" w:hAnsi="宋体" w:eastAsia="宋体" w:cs="宋体"/>
          <w:sz w:val="21"/>
          <w:szCs w:val="21"/>
        </w:rPr>
        <w:t xml:space="preserve"> </w:t>
      </w:r>
      <w:r>
        <w:rPr>
          <w:rFonts w:ascii="宋体" w:hAnsi="宋体" w:eastAsia="宋体" w:cs="宋体"/>
          <w:spacing w:val="2"/>
          <w:sz w:val="21"/>
          <w:szCs w:val="21"/>
        </w:rPr>
        <w:t>的主要原因。2019年，导致全球死亡原因的前10位中，慢性病占7个，前3位分别是缺血性心脏病</w:t>
      </w:r>
      <w:r>
        <w:rPr>
          <w:rFonts w:ascii="宋体" w:hAnsi="宋体" w:eastAsia="宋体" w:cs="宋体"/>
          <w:spacing w:val="12"/>
          <w:sz w:val="21"/>
          <w:szCs w:val="21"/>
        </w:rPr>
        <w:t xml:space="preserve"> </w:t>
      </w:r>
      <w:r>
        <w:rPr>
          <w:rFonts w:ascii="Times New Roman" w:hAnsi="Times New Roman" w:eastAsia="Times New Roman" w:cs="Times New Roman"/>
          <w:spacing w:val="-1"/>
          <w:sz w:val="21"/>
          <w:szCs w:val="21"/>
        </w:rPr>
        <w:t>(ischemic   heart   disease)</w:t>
      </w:r>
      <w:r>
        <w:rPr>
          <w:rFonts w:ascii="宋体" w:hAnsi="宋体" w:eastAsia="宋体" w:cs="宋体"/>
          <w:spacing w:val="-1"/>
          <w:sz w:val="21"/>
          <w:szCs w:val="21"/>
        </w:rPr>
        <w:t>、脑</w:t>
      </w:r>
      <w:r>
        <w:rPr>
          <w:rFonts w:ascii="宋体" w:hAnsi="宋体" w:eastAsia="宋体" w:cs="宋体"/>
          <w:spacing w:val="-2"/>
          <w:sz w:val="21"/>
          <w:szCs w:val="21"/>
        </w:rPr>
        <w:t>卒中</w:t>
      </w:r>
      <w:r>
        <w:rPr>
          <w:rFonts w:ascii="Times New Roman" w:hAnsi="Times New Roman" w:eastAsia="Times New Roman" w:cs="Times New Roman"/>
          <w:spacing w:val="-2"/>
          <w:sz w:val="21"/>
          <w:szCs w:val="21"/>
        </w:rPr>
        <w:t>(stroke)</w:t>
      </w:r>
      <w:r>
        <w:rPr>
          <w:rFonts w:ascii="Times New Roman" w:hAnsi="Times New Roman" w:eastAsia="Times New Roman" w:cs="Times New Roman"/>
          <w:spacing w:val="23"/>
          <w:w w:val="101"/>
          <w:sz w:val="21"/>
          <w:szCs w:val="21"/>
        </w:rPr>
        <w:t xml:space="preserve"> </w:t>
      </w:r>
      <w:r>
        <w:rPr>
          <w:rFonts w:ascii="宋体" w:hAnsi="宋体" w:eastAsia="宋体" w:cs="宋体"/>
          <w:spacing w:val="-2"/>
          <w:sz w:val="21"/>
          <w:szCs w:val="21"/>
        </w:rPr>
        <w:t>和慢性阻塞性肺疾病</w:t>
      </w:r>
      <w:r>
        <w:rPr>
          <w:rFonts w:ascii="Times New Roman" w:hAnsi="Times New Roman" w:eastAsia="Times New Roman" w:cs="Times New Roman"/>
          <w:spacing w:val="-2"/>
          <w:sz w:val="21"/>
          <w:szCs w:val="21"/>
        </w:rPr>
        <w:t>(chronic</w:t>
      </w:r>
      <w:r>
        <w:rPr>
          <w:rFonts w:ascii="Times New Roman" w:hAnsi="Times New Roman" w:eastAsia="Times New Roman" w:cs="Times New Roman"/>
          <w:spacing w:val="18"/>
          <w:sz w:val="21"/>
          <w:szCs w:val="21"/>
        </w:rPr>
        <w:t xml:space="preserve"> </w:t>
      </w:r>
      <w:r>
        <w:rPr>
          <w:rFonts w:ascii="Times New Roman" w:hAnsi="Times New Roman" w:eastAsia="Times New Roman" w:cs="Times New Roman"/>
          <w:spacing w:val="-2"/>
          <w:sz w:val="21"/>
          <w:szCs w:val="21"/>
        </w:rPr>
        <w:t>obstruetive pulmonary</w:t>
      </w:r>
      <w:r>
        <w:rPr>
          <w:rFonts w:ascii="Times New Roman" w:hAnsi="Times New Roman" w:eastAsia="Times New Roman" w:cs="Times New Roman"/>
          <w:spacing w:val="18"/>
          <w:sz w:val="21"/>
          <w:szCs w:val="21"/>
        </w:rPr>
        <w:t xml:space="preserve"> </w:t>
      </w:r>
      <w:r>
        <w:rPr>
          <w:rFonts w:ascii="Times New Roman" w:hAnsi="Times New Roman" w:eastAsia="Times New Roman" w:cs="Times New Roman"/>
          <w:spacing w:val="-2"/>
          <w:sz w:val="21"/>
          <w:szCs w:val="21"/>
        </w:rPr>
        <w:t>disease,</w:t>
      </w:r>
      <w:r>
        <w:rPr>
          <w:rFonts w:ascii="Times New Roman" w:hAnsi="Times New Roman" w:eastAsia="Times New Roman" w:cs="Times New Roman"/>
          <w:sz w:val="21"/>
          <w:szCs w:val="21"/>
        </w:rPr>
        <w:t xml:space="preserve">  </w:t>
      </w:r>
      <w:r>
        <w:rPr>
          <w:rFonts w:ascii="宋体" w:hAnsi="宋体" w:eastAsia="宋体" w:cs="宋体"/>
          <w:spacing w:val="-7"/>
          <w:sz w:val="21"/>
          <w:szCs w:val="21"/>
        </w:rPr>
        <w:t>COPD)。</w:t>
      </w:r>
      <w:r>
        <w:rPr>
          <w:rFonts w:ascii="宋体" w:hAnsi="宋体" w:eastAsia="宋体" w:cs="宋体"/>
          <w:spacing w:val="73"/>
          <w:sz w:val="21"/>
          <w:szCs w:val="21"/>
        </w:rPr>
        <w:t xml:space="preserve"> </w:t>
      </w:r>
      <w:r>
        <w:rPr>
          <w:rFonts w:ascii="宋体" w:hAnsi="宋体" w:eastAsia="宋体" w:cs="宋体"/>
          <w:spacing w:val="-7"/>
          <w:sz w:val="21"/>
          <w:szCs w:val="21"/>
        </w:rPr>
        <w:t>慢性病不仅增加死亡风险，还导致大量的伤残调整寿命年(disability-adjusted life year,</w:t>
      </w:r>
      <w:r>
        <w:rPr>
          <w:rFonts w:ascii="宋体" w:hAnsi="宋体" w:eastAsia="宋体" w:cs="宋体"/>
          <w:sz w:val="21"/>
          <w:szCs w:val="21"/>
        </w:rPr>
        <w:t xml:space="preserve"> </w:t>
      </w:r>
      <w:r>
        <w:rPr>
          <w:rFonts w:ascii="Times New Roman" w:hAnsi="Times New Roman" w:eastAsia="Times New Roman" w:cs="Times New Roman"/>
          <w:sz w:val="21"/>
          <w:szCs w:val="21"/>
        </w:rPr>
        <w:t>DALY</w:t>
      </w:r>
      <w:r>
        <w:rPr>
          <w:rFonts w:ascii="Times New Roman" w:hAnsi="Times New Roman" w:eastAsia="Times New Roman" w:cs="Times New Roman"/>
          <w:spacing w:val="2"/>
          <w:sz w:val="21"/>
          <w:szCs w:val="21"/>
        </w:rPr>
        <w:t>)</w:t>
      </w:r>
      <w:r>
        <w:rPr>
          <w:rFonts w:ascii="Times New Roman" w:hAnsi="Times New Roman" w:eastAsia="Times New Roman" w:cs="Times New Roman"/>
          <w:spacing w:val="-7"/>
          <w:sz w:val="21"/>
          <w:szCs w:val="21"/>
        </w:rPr>
        <w:t xml:space="preserve"> </w:t>
      </w:r>
      <w:r>
        <w:rPr>
          <w:rFonts w:ascii="宋体" w:hAnsi="宋体" w:eastAsia="宋体" w:cs="宋体"/>
          <w:spacing w:val="2"/>
          <w:sz w:val="21"/>
          <w:szCs w:val="21"/>
        </w:rPr>
        <w:t>。据</w:t>
      </w:r>
      <w:r>
        <w:rPr>
          <w:rFonts w:ascii="宋体" w:hAnsi="宋体" w:eastAsia="宋体" w:cs="宋体"/>
          <w:spacing w:val="-27"/>
          <w:sz w:val="21"/>
          <w:szCs w:val="21"/>
        </w:rPr>
        <w:t xml:space="preserve"> </w:t>
      </w:r>
      <w:r>
        <w:rPr>
          <w:rFonts w:ascii="Times New Roman" w:hAnsi="Times New Roman" w:eastAsia="Times New Roman" w:cs="Times New Roman"/>
          <w:sz w:val="21"/>
          <w:szCs w:val="21"/>
        </w:rPr>
        <w:t>GBD</w:t>
      </w:r>
      <w:r>
        <w:rPr>
          <w:rFonts w:ascii="Times New Roman" w:hAnsi="Times New Roman" w:eastAsia="Times New Roman" w:cs="Times New Roman"/>
          <w:spacing w:val="2"/>
          <w:sz w:val="21"/>
          <w:szCs w:val="21"/>
        </w:rPr>
        <w:t xml:space="preserve"> </w:t>
      </w:r>
      <w:r>
        <w:rPr>
          <w:rFonts w:ascii="宋体" w:hAnsi="宋体" w:eastAsia="宋体" w:cs="宋体"/>
          <w:spacing w:val="2"/>
          <w:sz w:val="21"/>
          <w:szCs w:val="21"/>
        </w:rPr>
        <w:t>报告，2019年导致全球</w:t>
      </w:r>
      <w:r>
        <w:rPr>
          <w:rFonts w:ascii="Times New Roman" w:hAnsi="Times New Roman" w:eastAsia="Times New Roman" w:cs="Times New Roman"/>
          <w:sz w:val="21"/>
          <w:szCs w:val="21"/>
        </w:rPr>
        <w:t>DALYs</w:t>
      </w:r>
      <w:r>
        <w:rPr>
          <w:rFonts w:ascii="宋体" w:hAnsi="宋体" w:eastAsia="宋体" w:cs="宋体"/>
          <w:spacing w:val="2"/>
          <w:sz w:val="21"/>
          <w:szCs w:val="21"/>
        </w:rPr>
        <w:t>的前10位病因中，主要慢性病包括缺血性心脏病</w:t>
      </w:r>
      <w:r>
        <w:rPr>
          <w:rFonts w:ascii="宋体" w:hAnsi="宋体" w:eastAsia="宋体" w:cs="宋体"/>
          <w:sz w:val="21"/>
          <w:szCs w:val="21"/>
        </w:rPr>
        <w:t xml:space="preserve"> (排名第2)、脑卒中(排名第3)、</w:t>
      </w:r>
      <w:r>
        <w:rPr>
          <w:rFonts w:ascii="Times New Roman" w:hAnsi="Times New Roman" w:eastAsia="Times New Roman" w:cs="Times New Roman"/>
          <w:sz w:val="21"/>
          <w:szCs w:val="21"/>
        </w:rPr>
        <w:t>COPD</w:t>
      </w:r>
      <w:r>
        <w:rPr>
          <w:rFonts w:ascii="宋体" w:hAnsi="宋体" w:eastAsia="宋体" w:cs="宋体"/>
          <w:sz w:val="21"/>
          <w:szCs w:val="21"/>
        </w:rPr>
        <w:t>(排名第6)、糖尿病(排名第8)和腰背痛(排名第9)。</w:t>
      </w:r>
    </w:p>
    <w:p w14:paraId="35D1D2C7">
      <w:pPr>
        <w:spacing w:before="10" w:line="326" w:lineRule="auto"/>
        <w:ind w:right="575" w:firstLine="429"/>
        <w:jc w:val="both"/>
        <w:rPr>
          <w:rFonts w:ascii="宋体" w:hAnsi="宋体" w:eastAsia="宋体" w:cs="宋体"/>
          <w:sz w:val="21"/>
          <w:szCs w:val="21"/>
        </w:rPr>
      </w:pPr>
      <w:r>
        <w:rPr>
          <w:rFonts w:ascii="宋体" w:hAnsi="宋体" w:eastAsia="宋体" w:cs="宋体"/>
          <w:spacing w:val="-2"/>
          <w:sz w:val="21"/>
          <w:szCs w:val="21"/>
        </w:rPr>
        <w:t>慢性病对社会经济的影响也是巨大的，既包括个人、家庭和社会为了解决慢性病而产生的巨额</w:t>
      </w:r>
      <w:r>
        <w:rPr>
          <w:rFonts w:ascii="宋体" w:hAnsi="宋体" w:eastAsia="宋体" w:cs="宋体"/>
          <w:sz w:val="21"/>
          <w:szCs w:val="21"/>
        </w:rPr>
        <w:t xml:space="preserve"> </w:t>
      </w:r>
      <w:r>
        <w:rPr>
          <w:rFonts w:ascii="宋体" w:hAnsi="宋体" w:eastAsia="宋体" w:cs="宋体"/>
          <w:spacing w:val="-2"/>
          <w:sz w:val="21"/>
          <w:szCs w:val="21"/>
        </w:rPr>
        <w:t>医疗卫生支出，也包括由疾病、残疾和过早死亡而导致的生产力的损失。慢性病往往对贫困人口以</w:t>
      </w:r>
      <w:r>
        <w:rPr>
          <w:rFonts w:ascii="宋体" w:hAnsi="宋体" w:eastAsia="宋体" w:cs="宋体"/>
          <w:spacing w:val="1"/>
          <w:sz w:val="21"/>
          <w:szCs w:val="21"/>
        </w:rPr>
        <w:t xml:space="preserve">  </w:t>
      </w:r>
      <w:r>
        <w:rPr>
          <w:rFonts w:ascii="宋体" w:hAnsi="宋体" w:eastAsia="宋体" w:cs="宋体"/>
          <w:spacing w:val="-2"/>
          <w:sz w:val="21"/>
          <w:szCs w:val="21"/>
        </w:rPr>
        <w:t>及更大范围的社会弱势群体的影响更大，可加剧社会各群体间的健康不平等。一般而言，社会经济</w:t>
      </w:r>
      <w:r>
        <w:rPr>
          <w:rFonts w:ascii="宋体" w:hAnsi="宋体" w:eastAsia="宋体" w:cs="宋体"/>
          <w:spacing w:val="14"/>
          <w:sz w:val="21"/>
          <w:szCs w:val="21"/>
        </w:rPr>
        <w:t xml:space="preserve"> </w:t>
      </w:r>
      <w:r>
        <w:rPr>
          <w:rFonts w:ascii="宋体" w:hAnsi="宋体" w:eastAsia="宋体" w:cs="宋体"/>
          <w:spacing w:val="-5"/>
          <w:sz w:val="21"/>
          <w:szCs w:val="21"/>
        </w:rPr>
        <w:t>地位弱势群体有更高的概率暴露于慢性病的危险因素，如烟草、不健康的食物、职业危害等。同样，</w:t>
      </w:r>
      <w:r>
        <w:rPr>
          <w:rFonts w:ascii="宋体" w:hAnsi="宋体" w:eastAsia="宋体" w:cs="宋体"/>
          <w:spacing w:val="13"/>
          <w:sz w:val="21"/>
          <w:szCs w:val="21"/>
        </w:rPr>
        <w:t xml:space="preserve"> </w:t>
      </w:r>
      <w:r>
        <w:rPr>
          <w:rFonts w:ascii="宋体" w:hAnsi="宋体" w:eastAsia="宋体" w:cs="宋体"/>
          <w:spacing w:val="-2"/>
          <w:sz w:val="21"/>
          <w:szCs w:val="21"/>
        </w:rPr>
        <w:t>发生慢性病后，相比社会经济地位较高的群体，弱势群体对优质医疗服务的可及性更低，且难以负</w:t>
      </w:r>
      <w:r>
        <w:rPr>
          <w:rFonts w:ascii="宋体" w:hAnsi="宋体" w:eastAsia="宋体" w:cs="宋体"/>
          <w:spacing w:val="6"/>
          <w:sz w:val="21"/>
          <w:szCs w:val="21"/>
        </w:rPr>
        <w:t xml:space="preserve"> </w:t>
      </w:r>
      <w:r>
        <w:rPr>
          <w:rFonts w:ascii="宋体" w:hAnsi="宋体" w:eastAsia="宋体" w:cs="宋体"/>
          <w:spacing w:val="-2"/>
          <w:sz w:val="21"/>
          <w:szCs w:val="21"/>
        </w:rPr>
        <w:t>担相关费用。慢性病需要长期的治疗和护理，显著增加了个人和家庭的经济负担，如</w:t>
      </w:r>
      <w:r>
        <w:rPr>
          <w:rFonts w:ascii="宋体" w:hAnsi="宋体" w:eastAsia="宋体" w:cs="宋体"/>
          <w:spacing w:val="-3"/>
          <w:sz w:val="21"/>
          <w:szCs w:val="21"/>
        </w:rPr>
        <w:t>果患者为家庭</w:t>
      </w:r>
      <w:r>
        <w:rPr>
          <w:rFonts w:ascii="宋体" w:hAnsi="宋体" w:eastAsia="宋体" w:cs="宋体"/>
          <w:sz w:val="21"/>
          <w:szCs w:val="21"/>
        </w:rPr>
        <w:t xml:space="preserve">  中的主要劳动力，则更是雪上加霜。因此，慢性病已经成为因病致贫、因病返贫的重要原因之一。</w:t>
      </w:r>
      <w:r>
        <w:rPr>
          <w:rFonts w:ascii="宋体" w:hAnsi="宋体" w:eastAsia="宋体" w:cs="宋体"/>
          <w:spacing w:val="3"/>
          <w:sz w:val="21"/>
          <w:szCs w:val="21"/>
        </w:rPr>
        <w:t xml:space="preserve"> </w:t>
      </w:r>
      <w:r>
        <w:rPr>
          <w:rFonts w:ascii="宋体" w:hAnsi="宋体" w:eastAsia="宋体" w:cs="宋体"/>
          <w:spacing w:val="5"/>
          <w:sz w:val="21"/>
          <w:szCs w:val="21"/>
        </w:rPr>
        <w:t>世界经济论坛与哈佛大学公共卫生学院开展的研究显示，从2011年至2025年，四大慢性病(心血</w:t>
      </w:r>
      <w:r>
        <w:rPr>
          <w:rFonts w:ascii="宋体" w:hAnsi="宋体" w:eastAsia="宋体" w:cs="宋体"/>
          <w:spacing w:val="12"/>
          <w:sz w:val="21"/>
          <w:szCs w:val="21"/>
        </w:rPr>
        <w:t xml:space="preserve"> </w:t>
      </w:r>
      <w:r>
        <w:rPr>
          <w:rFonts w:ascii="宋体" w:hAnsi="宋体" w:eastAsia="宋体" w:cs="宋体"/>
          <w:spacing w:val="4"/>
          <w:sz w:val="21"/>
          <w:szCs w:val="21"/>
        </w:rPr>
        <w:t>管疾病、癌症、慢性呼吸系统疾病和糖尿病)将给低</w:t>
      </w:r>
      <w:r>
        <w:rPr>
          <w:rFonts w:ascii="宋体" w:hAnsi="宋体" w:eastAsia="宋体" w:cs="宋体"/>
          <w:spacing w:val="3"/>
          <w:sz w:val="21"/>
          <w:szCs w:val="21"/>
        </w:rPr>
        <w:t>收入和中等收入国家造成超过7万亿美元的累</w:t>
      </w:r>
      <w:r>
        <w:rPr>
          <w:rFonts w:ascii="宋体" w:hAnsi="宋体" w:eastAsia="宋体" w:cs="宋体"/>
          <w:sz w:val="21"/>
          <w:szCs w:val="21"/>
        </w:rPr>
        <w:t xml:space="preserve"> </w:t>
      </w:r>
      <w:r>
        <w:rPr>
          <w:rFonts w:ascii="宋体" w:hAnsi="宋体" w:eastAsia="宋体" w:cs="宋体"/>
          <w:spacing w:val="6"/>
          <w:sz w:val="21"/>
          <w:szCs w:val="21"/>
        </w:rPr>
        <w:t>计经济损失，相当于这些国家2010年全年产出的4%左右。</w:t>
      </w:r>
    </w:p>
    <w:p w14:paraId="255E319C">
      <w:pPr>
        <w:pStyle w:val="2"/>
        <w:spacing w:before="193" w:line="222" w:lineRule="auto"/>
        <w:ind w:left="443"/>
        <w:outlineLvl w:val="4"/>
        <w:rPr>
          <w:sz w:val="25"/>
          <w:szCs w:val="25"/>
        </w:rPr>
      </w:pPr>
      <w:bookmarkStart w:id="363" w:name="bookmark231"/>
      <w:bookmarkEnd w:id="363"/>
      <w:r>
        <w:rPr>
          <w:b/>
          <w:bCs/>
          <w:spacing w:val="3"/>
          <w:sz w:val="25"/>
          <w:szCs w:val="25"/>
        </w:rPr>
        <w:t>三、慢性病的主要影响因素</w:t>
      </w:r>
    </w:p>
    <w:p w14:paraId="57EEF00B">
      <w:pPr>
        <w:spacing w:before="250" w:line="313" w:lineRule="auto"/>
        <w:ind w:right="658" w:firstLine="439"/>
        <w:jc w:val="both"/>
        <w:rPr>
          <w:rFonts w:ascii="宋体" w:hAnsi="宋体" w:eastAsia="宋体" w:cs="宋体"/>
          <w:sz w:val="21"/>
          <w:szCs w:val="21"/>
        </w:rPr>
      </w:pPr>
      <w:r>
        <w:rPr>
          <w:rFonts w:ascii="宋体" w:hAnsi="宋体" w:eastAsia="宋体" w:cs="宋体"/>
          <w:spacing w:val="-2"/>
          <w:sz w:val="21"/>
          <w:szCs w:val="21"/>
        </w:rPr>
        <w:t>慢性病的主要可改变影响因素可以分为社会驱动因素</w:t>
      </w:r>
      <w:r>
        <w:rPr>
          <w:rFonts w:ascii="宋体" w:hAnsi="宋体" w:eastAsia="宋体" w:cs="宋体"/>
          <w:spacing w:val="-3"/>
          <w:sz w:val="21"/>
          <w:szCs w:val="21"/>
        </w:rPr>
        <w:t>、环境驱动因素、行为因素和代谢因素四</w:t>
      </w:r>
      <w:r>
        <w:rPr>
          <w:rFonts w:ascii="宋体" w:hAnsi="宋体" w:eastAsia="宋体" w:cs="宋体"/>
          <w:sz w:val="21"/>
          <w:szCs w:val="21"/>
        </w:rPr>
        <w:t xml:space="preserve"> </w:t>
      </w:r>
      <w:r>
        <w:rPr>
          <w:rFonts w:ascii="宋体" w:hAnsi="宋体" w:eastAsia="宋体" w:cs="宋体"/>
          <w:spacing w:val="-7"/>
          <w:sz w:val="21"/>
          <w:szCs w:val="21"/>
        </w:rPr>
        <w:t>大类。慢性病的危险因素还包括其他一些不可改变因素，如年龄、性别、种族、遗传等。可改变影响</w:t>
      </w:r>
      <w:r>
        <w:rPr>
          <w:rFonts w:ascii="宋体" w:hAnsi="宋体" w:eastAsia="宋体" w:cs="宋体"/>
          <w:spacing w:val="13"/>
          <w:sz w:val="21"/>
          <w:szCs w:val="21"/>
        </w:rPr>
        <w:t xml:space="preserve"> </w:t>
      </w:r>
      <w:r>
        <w:rPr>
          <w:rFonts w:ascii="宋体" w:hAnsi="宋体" w:eastAsia="宋体" w:cs="宋体"/>
          <w:spacing w:val="4"/>
          <w:sz w:val="21"/>
          <w:szCs w:val="21"/>
        </w:rPr>
        <w:t>因素是慢性病防控的重点。</w:t>
      </w:r>
    </w:p>
    <w:p w14:paraId="535BD919">
      <w:pPr>
        <w:pStyle w:val="2"/>
        <w:spacing w:before="1" w:line="221" w:lineRule="auto"/>
        <w:ind w:left="443"/>
        <w:rPr>
          <w:sz w:val="25"/>
          <w:szCs w:val="25"/>
        </w:rPr>
      </w:pPr>
      <w:r>
        <w:rPr>
          <w:b/>
          <w:bCs/>
          <w:spacing w:val="-9"/>
          <w:sz w:val="25"/>
          <w:szCs w:val="25"/>
        </w:rPr>
        <w:t>(一)社会驱动因素</w:t>
      </w:r>
    </w:p>
    <w:p w14:paraId="6ED15347">
      <w:pPr>
        <w:spacing w:before="111" w:line="325" w:lineRule="auto"/>
        <w:ind w:right="663" w:firstLine="439"/>
        <w:jc w:val="both"/>
        <w:rPr>
          <w:rFonts w:ascii="宋体" w:hAnsi="宋体" w:eastAsia="宋体" w:cs="宋体"/>
          <w:sz w:val="21"/>
          <w:szCs w:val="21"/>
        </w:rPr>
      </w:pPr>
      <w:r>
        <w:rPr>
          <w:rFonts w:ascii="宋体" w:hAnsi="宋体" w:eastAsia="宋体" w:cs="宋体"/>
          <w:spacing w:val="3"/>
          <w:sz w:val="21"/>
          <w:szCs w:val="21"/>
        </w:rPr>
        <w:t>慢性病的发生受多种社会因素的影响。政府</w:t>
      </w:r>
      <w:r>
        <w:rPr>
          <w:rFonts w:ascii="宋体" w:hAnsi="宋体" w:eastAsia="宋体" w:cs="宋体"/>
          <w:spacing w:val="2"/>
          <w:sz w:val="21"/>
          <w:szCs w:val="21"/>
        </w:rPr>
        <w:t>通过控烟法规、食品安全标准和空气质量管理等</w:t>
      </w:r>
      <w:r>
        <w:rPr>
          <w:rFonts w:ascii="宋体" w:hAnsi="宋体" w:eastAsia="宋体" w:cs="宋体"/>
          <w:sz w:val="21"/>
          <w:szCs w:val="21"/>
        </w:rPr>
        <w:t xml:space="preserve"> </w:t>
      </w:r>
      <w:r>
        <w:rPr>
          <w:rFonts w:ascii="宋体" w:hAnsi="宋体" w:eastAsia="宋体" w:cs="宋体"/>
          <w:spacing w:val="-2"/>
          <w:sz w:val="21"/>
          <w:szCs w:val="21"/>
        </w:rPr>
        <w:t>政策，直接影响健康行为的选择，从而帮助预防慢性病。经济发展水平既影响医疗资源的分</w:t>
      </w:r>
      <w:r>
        <w:rPr>
          <w:rFonts w:ascii="宋体" w:hAnsi="宋体" w:eastAsia="宋体" w:cs="宋体"/>
          <w:spacing w:val="-3"/>
          <w:sz w:val="21"/>
          <w:szCs w:val="21"/>
        </w:rPr>
        <w:t>配，也</w:t>
      </w:r>
      <w:r>
        <w:rPr>
          <w:rFonts w:ascii="宋体" w:hAnsi="宋体" w:eastAsia="宋体" w:cs="宋体"/>
          <w:sz w:val="21"/>
          <w:szCs w:val="21"/>
        </w:rPr>
        <w:t xml:space="preserve"> </w:t>
      </w:r>
      <w:r>
        <w:rPr>
          <w:rFonts w:ascii="宋体" w:hAnsi="宋体" w:eastAsia="宋体" w:cs="宋体"/>
          <w:spacing w:val="-2"/>
          <w:sz w:val="21"/>
          <w:szCs w:val="21"/>
        </w:rPr>
        <w:t>在一定程度上决定了生活方式。科技进步在改善医疗服务和健康教育的同时，也带来负面效应，例</w:t>
      </w:r>
      <w:r>
        <w:rPr>
          <w:rFonts w:ascii="宋体" w:hAnsi="宋体" w:eastAsia="宋体" w:cs="宋体"/>
          <w:spacing w:val="2"/>
          <w:sz w:val="21"/>
          <w:szCs w:val="21"/>
        </w:rPr>
        <w:t xml:space="preserve"> </w:t>
      </w:r>
      <w:r>
        <w:rPr>
          <w:rFonts w:ascii="宋体" w:hAnsi="宋体" w:eastAsia="宋体" w:cs="宋体"/>
          <w:spacing w:val="-2"/>
          <w:sz w:val="21"/>
          <w:szCs w:val="21"/>
        </w:rPr>
        <w:t>如久坐生活方式和高能量饮食的流行。此外，社会文</w:t>
      </w:r>
      <w:r>
        <w:rPr>
          <w:rFonts w:ascii="宋体" w:hAnsi="宋体" w:eastAsia="宋体" w:cs="宋体"/>
          <w:spacing w:val="-3"/>
          <w:sz w:val="21"/>
          <w:szCs w:val="21"/>
        </w:rPr>
        <w:t>化习俗对健康行为有着潜移默化的影响，比如</w:t>
      </w:r>
      <w:r>
        <w:rPr>
          <w:rFonts w:ascii="宋体" w:hAnsi="宋体" w:eastAsia="宋体" w:cs="宋体"/>
          <w:sz w:val="21"/>
          <w:szCs w:val="21"/>
        </w:rPr>
        <w:t xml:space="preserve"> </w:t>
      </w:r>
      <w:r>
        <w:rPr>
          <w:rFonts w:ascii="宋体" w:hAnsi="宋体" w:eastAsia="宋体" w:cs="宋体"/>
          <w:spacing w:val="2"/>
          <w:sz w:val="21"/>
          <w:szCs w:val="21"/>
        </w:rPr>
        <w:t>在某些社会中超重被视为健康或富裕的象征。</w:t>
      </w:r>
    </w:p>
    <w:p w14:paraId="07FFFB65">
      <w:pPr>
        <w:pStyle w:val="2"/>
        <w:spacing w:line="221" w:lineRule="auto"/>
        <w:ind w:left="442"/>
        <w:rPr>
          <w:sz w:val="21"/>
          <w:szCs w:val="21"/>
        </w:rPr>
      </w:pPr>
      <w:r>
        <w:rPr>
          <w:b/>
          <w:bCs/>
          <w:spacing w:val="27"/>
          <w:sz w:val="21"/>
          <w:szCs w:val="21"/>
        </w:rPr>
        <w:t>(二)环境驱动因素</w:t>
      </w:r>
    </w:p>
    <w:p w14:paraId="7C6ADCAB">
      <w:pPr>
        <w:spacing w:before="121" w:line="318" w:lineRule="auto"/>
        <w:ind w:right="650" w:firstLine="439"/>
        <w:jc w:val="both"/>
        <w:rPr>
          <w:rFonts w:ascii="宋体" w:hAnsi="宋体" w:eastAsia="宋体" w:cs="宋体"/>
          <w:sz w:val="21"/>
          <w:szCs w:val="21"/>
        </w:rPr>
      </w:pPr>
      <w:r>
        <w:rPr>
          <w:rFonts w:ascii="宋体" w:hAnsi="宋体" w:eastAsia="宋体" w:cs="宋体"/>
          <w:spacing w:val="3"/>
          <w:sz w:val="21"/>
          <w:szCs w:val="21"/>
        </w:rPr>
        <w:t>空气污染、饮用水污染和土壤污染等环境问题直接增加了多种慢性病的风险。城市设计</w:t>
      </w:r>
      <w:r>
        <w:rPr>
          <w:rFonts w:ascii="宋体" w:hAnsi="宋体" w:eastAsia="宋体" w:cs="宋体"/>
          <w:spacing w:val="2"/>
          <w:sz w:val="21"/>
          <w:szCs w:val="21"/>
        </w:rPr>
        <w:t>和交</w:t>
      </w:r>
      <w:r>
        <w:rPr>
          <w:rFonts w:ascii="宋体" w:hAnsi="宋体" w:eastAsia="宋体" w:cs="宋体"/>
          <w:sz w:val="21"/>
          <w:szCs w:val="21"/>
        </w:rPr>
        <w:t xml:space="preserve"> </w:t>
      </w:r>
      <w:r>
        <w:rPr>
          <w:rFonts w:ascii="宋体" w:hAnsi="宋体" w:eastAsia="宋体" w:cs="宋体"/>
          <w:spacing w:val="-2"/>
          <w:sz w:val="21"/>
          <w:szCs w:val="21"/>
        </w:rPr>
        <w:t>通系统也对居民的身体活动产生影响，例如缺乏步行道和自行车道会导致身体活动不足，而交通拥</w:t>
      </w:r>
      <w:r>
        <w:rPr>
          <w:rFonts w:ascii="宋体" w:hAnsi="宋体" w:eastAsia="宋体" w:cs="宋体"/>
          <w:sz w:val="21"/>
          <w:szCs w:val="21"/>
        </w:rPr>
        <w:t xml:space="preserve"> </w:t>
      </w:r>
      <w:r>
        <w:rPr>
          <w:rFonts w:ascii="宋体" w:hAnsi="宋体" w:eastAsia="宋体" w:cs="宋体"/>
          <w:spacing w:val="-2"/>
          <w:sz w:val="21"/>
          <w:szCs w:val="21"/>
        </w:rPr>
        <w:t>堵加剧了空气污染，从而增加慢性病风险。农业生产方式和土地利用影响食品供应，过</w:t>
      </w:r>
      <w:r>
        <w:rPr>
          <w:rFonts w:ascii="宋体" w:hAnsi="宋体" w:eastAsia="宋体" w:cs="宋体"/>
          <w:spacing w:val="-3"/>
          <w:sz w:val="21"/>
          <w:szCs w:val="21"/>
        </w:rPr>
        <w:t>度消费高能</w:t>
      </w:r>
      <w:r>
        <w:rPr>
          <w:rFonts w:ascii="宋体" w:hAnsi="宋体" w:eastAsia="宋体" w:cs="宋体"/>
          <w:sz w:val="21"/>
          <w:szCs w:val="21"/>
        </w:rPr>
        <w:t xml:space="preserve"> </w:t>
      </w:r>
      <w:r>
        <w:rPr>
          <w:rFonts w:ascii="宋体" w:hAnsi="宋体" w:eastAsia="宋体" w:cs="宋体"/>
          <w:spacing w:val="3"/>
          <w:sz w:val="21"/>
          <w:szCs w:val="21"/>
        </w:rPr>
        <w:t>量的动物性食品与肥胖和糖尿病的高发病率密切相关。公园绿地和运动设施</w:t>
      </w:r>
      <w:r>
        <w:rPr>
          <w:rFonts w:ascii="宋体" w:hAnsi="宋体" w:eastAsia="宋体" w:cs="宋体"/>
          <w:spacing w:val="2"/>
          <w:sz w:val="21"/>
          <w:szCs w:val="21"/>
        </w:rPr>
        <w:t>的可及性同样直接影</w:t>
      </w:r>
      <w:r>
        <w:rPr>
          <w:rFonts w:ascii="宋体" w:hAnsi="宋体" w:eastAsia="宋体" w:cs="宋体"/>
          <w:sz w:val="21"/>
          <w:szCs w:val="21"/>
        </w:rPr>
        <w:t xml:space="preserve"> </w:t>
      </w:r>
      <w:r>
        <w:rPr>
          <w:rFonts w:ascii="宋体" w:hAnsi="宋体" w:eastAsia="宋体" w:cs="宋体"/>
          <w:spacing w:val="2"/>
          <w:sz w:val="21"/>
          <w:szCs w:val="21"/>
        </w:rPr>
        <w:t>响居民的身体活动和整体健康状况。</w:t>
      </w:r>
    </w:p>
    <w:p w14:paraId="6ACE4D25">
      <w:pPr>
        <w:pStyle w:val="2"/>
        <w:spacing w:line="221" w:lineRule="auto"/>
        <w:ind w:left="443"/>
        <w:rPr>
          <w:sz w:val="25"/>
          <w:szCs w:val="25"/>
        </w:rPr>
      </w:pPr>
      <w:r>
        <w:rPr>
          <w:b/>
          <w:bCs/>
          <w:spacing w:val="-3"/>
          <w:sz w:val="25"/>
          <w:szCs w:val="25"/>
        </w:rPr>
        <w:t>(三)行为因素</w:t>
      </w:r>
    </w:p>
    <w:p w14:paraId="6E0BFEA9">
      <w:pPr>
        <w:spacing w:before="134" w:line="309" w:lineRule="auto"/>
        <w:ind w:right="663" w:firstLine="439"/>
        <w:rPr>
          <w:rFonts w:ascii="宋体" w:hAnsi="宋体" w:eastAsia="宋体" w:cs="宋体"/>
          <w:sz w:val="21"/>
          <w:szCs w:val="21"/>
        </w:rPr>
      </w:pPr>
      <w:r>
        <w:rPr>
          <w:rFonts w:ascii="宋体" w:hAnsi="宋体" w:eastAsia="宋体" w:cs="宋体"/>
          <w:spacing w:val="-2"/>
          <w:sz w:val="21"/>
          <w:szCs w:val="21"/>
        </w:rPr>
        <w:t>不健康的生活方式是许多慢性病的重要驱动</w:t>
      </w:r>
      <w:r>
        <w:rPr>
          <w:rFonts w:ascii="宋体" w:hAnsi="宋体" w:eastAsia="宋体" w:cs="宋体"/>
          <w:spacing w:val="-3"/>
          <w:sz w:val="21"/>
          <w:szCs w:val="21"/>
        </w:rPr>
        <w:t>因素。高盐、高脂肪、高糖饮食与肥胖、糖尿病和</w:t>
      </w:r>
      <w:r>
        <w:rPr>
          <w:rFonts w:ascii="宋体" w:hAnsi="宋体" w:eastAsia="宋体" w:cs="宋体"/>
          <w:sz w:val="21"/>
          <w:szCs w:val="21"/>
        </w:rPr>
        <w:t xml:space="preserve"> </w:t>
      </w:r>
      <w:r>
        <w:rPr>
          <w:rFonts w:ascii="宋体" w:hAnsi="宋体" w:eastAsia="宋体" w:cs="宋体"/>
          <w:spacing w:val="-2"/>
          <w:sz w:val="21"/>
          <w:szCs w:val="21"/>
        </w:rPr>
        <w:t>心血管疾病密切相关，水果和蔬菜摄人不足也会增加慢性病风险。身体活动不足、吸烟、</w:t>
      </w:r>
      <w:r>
        <w:rPr>
          <w:rFonts w:ascii="宋体" w:hAnsi="宋体" w:eastAsia="宋体" w:cs="宋体"/>
          <w:spacing w:val="-3"/>
          <w:sz w:val="21"/>
          <w:szCs w:val="21"/>
        </w:rPr>
        <w:t>过量饮酒</w:t>
      </w:r>
    </w:p>
    <w:p w14:paraId="1A512B2C">
      <w:pPr>
        <w:spacing w:line="309" w:lineRule="auto"/>
        <w:rPr>
          <w:rFonts w:ascii="宋体" w:hAnsi="宋体" w:eastAsia="宋体" w:cs="宋体"/>
          <w:sz w:val="21"/>
          <w:szCs w:val="21"/>
        </w:rPr>
        <w:sectPr>
          <w:footerReference r:id="rId232" w:type="default"/>
          <w:pgSz w:w="11900" w:h="16820"/>
          <w:pgMar w:top="400" w:right="829" w:bottom="856" w:left="1460" w:header="0" w:footer="667" w:gutter="0"/>
          <w:cols w:space="720" w:num="1"/>
        </w:sectPr>
      </w:pPr>
    </w:p>
    <w:p w14:paraId="4FE3717D">
      <w:pPr>
        <w:pStyle w:val="2"/>
        <w:spacing w:line="220" w:lineRule="auto"/>
        <w:ind w:left="640"/>
        <w:rPr>
          <w:sz w:val="20"/>
          <w:szCs w:val="20"/>
        </w:rPr>
      </w:pPr>
      <w:r>
        <w:rPr>
          <w:spacing w:val="-21"/>
          <w:w w:val="96"/>
          <w:sz w:val="20"/>
          <w:szCs w:val="20"/>
        </w:rPr>
        <w:t>第十四章 慢性病流行病学</w:t>
      </w:r>
    </w:p>
    <w:p w14:paraId="6F4882CA">
      <w:pPr>
        <w:spacing w:line="292" w:lineRule="auto"/>
        <w:rPr>
          <w:rFonts w:ascii="Arial"/>
          <w:sz w:val="21"/>
        </w:rPr>
      </w:pPr>
    </w:p>
    <w:p w14:paraId="21DB2786">
      <w:pPr>
        <w:spacing w:line="292" w:lineRule="auto"/>
        <w:rPr>
          <w:rFonts w:ascii="Arial"/>
          <w:sz w:val="21"/>
        </w:rPr>
      </w:pPr>
    </w:p>
    <w:p w14:paraId="2EF4004B">
      <w:pPr>
        <w:spacing w:before="65" w:line="340" w:lineRule="auto"/>
        <w:ind w:left="640" w:right="91"/>
        <w:jc w:val="both"/>
        <w:rPr>
          <w:rFonts w:ascii="宋体" w:hAnsi="宋体" w:eastAsia="宋体" w:cs="宋体"/>
          <w:sz w:val="20"/>
          <w:szCs w:val="20"/>
        </w:rPr>
      </w:pPr>
      <w:r>
        <w:rPr>
          <w:rFonts w:ascii="宋体" w:hAnsi="宋体" w:eastAsia="宋体" w:cs="宋体"/>
          <w:spacing w:val="-2"/>
          <w:sz w:val="20"/>
          <w:szCs w:val="20"/>
        </w:rPr>
        <w:t>以及长期睡眠不足，均可显著提高慢性病的发病率。吸烟不仅增加肺癌和</w:t>
      </w:r>
      <w:r>
        <w:rPr>
          <w:rFonts w:ascii="宋体" w:hAnsi="宋体" w:eastAsia="宋体" w:cs="宋体"/>
          <w:spacing w:val="-46"/>
          <w:sz w:val="20"/>
          <w:szCs w:val="20"/>
        </w:rPr>
        <w:t xml:space="preserve"> </w:t>
      </w:r>
      <w:r>
        <w:rPr>
          <w:rFonts w:ascii="Times New Roman" w:hAnsi="Times New Roman" w:eastAsia="Times New Roman" w:cs="Times New Roman"/>
          <w:spacing w:val="-2"/>
          <w:sz w:val="20"/>
          <w:szCs w:val="20"/>
        </w:rPr>
        <w:t>COPD</w:t>
      </w:r>
      <w:r>
        <w:rPr>
          <w:rFonts w:ascii="宋体" w:hAnsi="宋体" w:eastAsia="宋体" w:cs="宋体"/>
          <w:spacing w:val="-2"/>
          <w:sz w:val="20"/>
          <w:szCs w:val="20"/>
        </w:rPr>
        <w:t>风险，还与心血管</w:t>
      </w:r>
      <w:r>
        <w:rPr>
          <w:rFonts w:ascii="宋体" w:hAnsi="宋体" w:eastAsia="宋体" w:cs="宋体"/>
          <w:sz w:val="20"/>
          <w:szCs w:val="20"/>
        </w:rPr>
        <w:t xml:space="preserve"> </w:t>
      </w:r>
      <w:r>
        <w:rPr>
          <w:rFonts w:ascii="宋体" w:hAnsi="宋体" w:eastAsia="宋体" w:cs="宋体"/>
          <w:spacing w:val="-1"/>
          <w:sz w:val="20"/>
          <w:szCs w:val="20"/>
        </w:rPr>
        <w:t>疾病和糖尿病的发生相关；过量饮酒可能导致肝硬化</w:t>
      </w:r>
      <w:r>
        <w:rPr>
          <w:rFonts w:ascii="宋体" w:hAnsi="宋体" w:eastAsia="宋体" w:cs="宋体"/>
          <w:spacing w:val="-2"/>
          <w:sz w:val="20"/>
          <w:szCs w:val="20"/>
        </w:rPr>
        <w:t>和某些癌症；而长期睡眠不足则增加心血管疾</w:t>
      </w:r>
      <w:r>
        <w:rPr>
          <w:rFonts w:ascii="宋体" w:hAnsi="宋体" w:eastAsia="宋体" w:cs="宋体"/>
          <w:sz w:val="20"/>
          <w:szCs w:val="20"/>
        </w:rPr>
        <w:t xml:space="preserve"> </w:t>
      </w:r>
      <w:r>
        <w:rPr>
          <w:rFonts w:ascii="宋体" w:hAnsi="宋体" w:eastAsia="宋体" w:cs="宋体"/>
          <w:spacing w:val="-1"/>
          <w:sz w:val="20"/>
          <w:szCs w:val="20"/>
        </w:rPr>
        <w:t>病和糖尿病的风险。</w:t>
      </w:r>
    </w:p>
    <w:p w14:paraId="7AC5ADAE">
      <w:pPr>
        <w:pStyle w:val="2"/>
        <w:spacing w:before="1" w:line="220" w:lineRule="auto"/>
        <w:ind w:left="1053"/>
        <w:rPr>
          <w:sz w:val="23"/>
          <w:szCs w:val="23"/>
        </w:rPr>
      </w:pPr>
      <w:r>
        <w:rPr>
          <w:b/>
          <w:bCs/>
          <w:spacing w:val="-4"/>
          <w:sz w:val="23"/>
          <w:szCs w:val="23"/>
        </w:rPr>
        <w:t>(四)代谢因素</w:t>
      </w:r>
    </w:p>
    <w:p w14:paraId="217A910C">
      <w:pPr>
        <w:spacing w:before="118" w:line="341" w:lineRule="auto"/>
        <w:ind w:left="640" w:right="89" w:firstLine="409"/>
        <w:jc w:val="both"/>
        <w:rPr>
          <w:rFonts w:ascii="宋体" w:hAnsi="宋体" w:eastAsia="宋体" w:cs="宋体"/>
          <w:sz w:val="20"/>
          <w:szCs w:val="20"/>
        </w:rPr>
      </w:pPr>
      <w:r>
        <w:rPr>
          <w:rFonts w:ascii="宋体" w:hAnsi="宋体" w:eastAsia="宋体" w:cs="宋体"/>
          <w:spacing w:val="8"/>
          <w:sz w:val="20"/>
          <w:szCs w:val="20"/>
        </w:rPr>
        <w:t>代谢异常是许多慢性病的重要危险因素。高血压是心血管疾病的主要诱因之一，控制血压</w:t>
      </w:r>
      <w:r>
        <w:rPr>
          <w:rFonts w:ascii="宋体" w:hAnsi="宋体" w:eastAsia="宋体" w:cs="宋体"/>
          <w:spacing w:val="7"/>
          <w:sz w:val="20"/>
          <w:szCs w:val="20"/>
        </w:rPr>
        <w:t xml:space="preserve"> </w:t>
      </w:r>
      <w:r>
        <w:rPr>
          <w:rFonts w:ascii="宋体" w:hAnsi="宋体" w:eastAsia="宋体" w:cs="宋体"/>
          <w:spacing w:val="8"/>
          <w:sz w:val="20"/>
          <w:szCs w:val="20"/>
        </w:rPr>
        <w:t>对于预防心脏病和脑卒中至关重要。长期高血糖不仅会引发糖尿病，还会损伤血管，导致心血</w:t>
      </w:r>
      <w:r>
        <w:rPr>
          <w:rFonts w:ascii="宋体" w:hAnsi="宋体" w:eastAsia="宋体" w:cs="宋体"/>
          <w:spacing w:val="9"/>
          <w:sz w:val="20"/>
          <w:szCs w:val="20"/>
        </w:rPr>
        <w:t xml:space="preserve"> </w:t>
      </w:r>
      <w:r>
        <w:rPr>
          <w:rFonts w:ascii="宋体" w:hAnsi="宋体" w:eastAsia="宋体" w:cs="宋体"/>
          <w:spacing w:val="1"/>
          <w:sz w:val="20"/>
          <w:szCs w:val="20"/>
        </w:rPr>
        <w:t>管并发症、肾脏疾病和视网膜病变。高血脂，尤</w:t>
      </w:r>
      <w:r>
        <w:rPr>
          <w:rFonts w:ascii="宋体" w:hAnsi="宋体" w:eastAsia="宋体" w:cs="宋体"/>
          <w:sz w:val="20"/>
          <w:szCs w:val="20"/>
        </w:rPr>
        <w:t>其是低密度脂蛋白胆固醇</w:t>
      </w:r>
      <w:r>
        <w:rPr>
          <w:rFonts w:ascii="Times New Roman" w:hAnsi="Times New Roman" w:eastAsia="Times New Roman" w:cs="Times New Roman"/>
          <w:sz w:val="20"/>
          <w:szCs w:val="20"/>
        </w:rPr>
        <w:t xml:space="preserve">(low-density    lipoprotein  </w:t>
      </w:r>
      <w:r>
        <w:rPr>
          <w:rFonts w:ascii="Times New Roman" w:hAnsi="Times New Roman" w:eastAsia="Times New Roman" w:cs="Times New Roman"/>
          <w:spacing w:val="-2"/>
          <w:sz w:val="20"/>
          <w:szCs w:val="20"/>
        </w:rPr>
        <w:t xml:space="preserve">cholesterol,LDL-C) </w:t>
      </w:r>
      <w:r>
        <w:rPr>
          <w:rFonts w:ascii="宋体" w:hAnsi="宋体" w:eastAsia="宋体" w:cs="宋体"/>
          <w:spacing w:val="-2"/>
          <w:sz w:val="20"/>
          <w:szCs w:val="20"/>
        </w:rPr>
        <w:t>升高，是动脉粥样硬化的重要危险因素，适当管理血脂水平可以有效降低心血管</w:t>
      </w:r>
      <w:r>
        <w:rPr>
          <w:rFonts w:ascii="宋体" w:hAnsi="宋体" w:eastAsia="宋体" w:cs="宋体"/>
          <w:spacing w:val="14"/>
          <w:sz w:val="20"/>
          <w:szCs w:val="20"/>
        </w:rPr>
        <w:t xml:space="preserve"> </w:t>
      </w:r>
      <w:r>
        <w:rPr>
          <w:rFonts w:ascii="宋体" w:hAnsi="宋体" w:eastAsia="宋体" w:cs="宋体"/>
          <w:spacing w:val="-2"/>
          <w:sz w:val="20"/>
          <w:szCs w:val="20"/>
        </w:rPr>
        <w:t>疾病的风险。肥胖与多种疾病相关，不仅增加糖尿病和心血管疾病的风险，还与某些癌症相关。肾</w:t>
      </w:r>
      <w:r>
        <w:rPr>
          <w:rFonts w:ascii="宋体" w:hAnsi="宋体" w:eastAsia="宋体" w:cs="宋体"/>
          <w:spacing w:val="7"/>
          <w:sz w:val="20"/>
          <w:szCs w:val="20"/>
        </w:rPr>
        <w:t xml:space="preserve"> </w:t>
      </w:r>
      <w:r>
        <w:rPr>
          <w:rFonts w:ascii="宋体" w:hAnsi="宋体" w:eastAsia="宋体" w:cs="宋体"/>
          <w:spacing w:val="-6"/>
          <w:sz w:val="20"/>
          <w:szCs w:val="20"/>
        </w:rPr>
        <w:t>功能减退也是关键代谢因素，可加速心血管疾病发生，</w:t>
      </w:r>
      <w:r>
        <w:rPr>
          <w:rFonts w:ascii="宋体" w:hAnsi="宋体" w:eastAsia="宋体" w:cs="宋体"/>
          <w:spacing w:val="-7"/>
          <w:sz w:val="20"/>
          <w:szCs w:val="20"/>
        </w:rPr>
        <w:t>并与高血压、高血糖相互作用，进一步恶化健</w:t>
      </w:r>
      <w:r>
        <w:rPr>
          <w:rFonts w:ascii="宋体" w:hAnsi="宋体" w:eastAsia="宋体" w:cs="宋体"/>
          <w:sz w:val="20"/>
          <w:szCs w:val="20"/>
        </w:rPr>
        <w:t xml:space="preserve"> </w:t>
      </w:r>
      <w:r>
        <w:rPr>
          <w:rFonts w:ascii="宋体" w:hAnsi="宋体" w:eastAsia="宋体" w:cs="宋体"/>
          <w:spacing w:val="-1"/>
          <w:sz w:val="20"/>
          <w:szCs w:val="20"/>
        </w:rPr>
        <w:t>康状况。</w:t>
      </w:r>
    </w:p>
    <w:p w14:paraId="69D1C713">
      <w:pPr>
        <w:spacing w:line="474" w:lineRule="auto"/>
        <w:rPr>
          <w:rFonts w:ascii="Arial"/>
          <w:sz w:val="21"/>
        </w:rPr>
      </w:pPr>
    </w:p>
    <w:p w14:paraId="2BBC5580">
      <w:pPr>
        <w:pStyle w:val="2"/>
        <w:spacing w:before="94" w:line="221" w:lineRule="auto"/>
        <w:ind w:left="3744"/>
        <w:outlineLvl w:val="1"/>
        <w:rPr>
          <w:sz w:val="29"/>
          <w:szCs w:val="29"/>
        </w:rPr>
      </w:pPr>
      <w:bookmarkStart w:id="364" w:name="bookmark232"/>
      <w:bookmarkEnd w:id="364"/>
      <w:r>
        <w:rPr>
          <w:b/>
          <w:bCs/>
          <w:spacing w:val="-7"/>
          <w:sz w:val="29"/>
          <w:szCs w:val="29"/>
        </w:rPr>
        <w:t>第二节</w:t>
      </w:r>
      <w:r>
        <w:rPr>
          <w:spacing w:val="110"/>
          <w:sz w:val="29"/>
          <w:szCs w:val="29"/>
        </w:rPr>
        <w:t xml:space="preserve"> </w:t>
      </w:r>
      <w:r>
        <w:rPr>
          <w:b/>
          <w:bCs/>
          <w:spacing w:val="-7"/>
          <w:sz w:val="29"/>
          <w:szCs w:val="29"/>
        </w:rPr>
        <w:t>流行特征</w:t>
      </w:r>
    </w:p>
    <w:p w14:paraId="1B1CB0A1">
      <w:pPr>
        <w:spacing w:line="414" w:lineRule="auto"/>
        <w:rPr>
          <w:rFonts w:ascii="Arial"/>
          <w:sz w:val="21"/>
        </w:rPr>
      </w:pPr>
    </w:p>
    <w:p w14:paraId="3D7E7F20">
      <w:pPr>
        <w:pStyle w:val="2"/>
        <w:spacing w:before="75" w:line="221" w:lineRule="auto"/>
        <w:ind w:left="1053"/>
        <w:outlineLvl w:val="4"/>
        <w:rPr>
          <w:sz w:val="23"/>
          <w:szCs w:val="23"/>
        </w:rPr>
      </w:pPr>
      <w:bookmarkStart w:id="365" w:name="bookmark233"/>
      <w:bookmarkEnd w:id="365"/>
      <w:r>
        <w:rPr>
          <w:b/>
          <w:bCs/>
          <w:spacing w:val="1"/>
          <w:sz w:val="23"/>
          <w:szCs w:val="23"/>
        </w:rPr>
        <w:t>一</w:t>
      </w:r>
      <w:r>
        <w:rPr>
          <w:spacing w:val="-44"/>
          <w:sz w:val="23"/>
          <w:szCs w:val="23"/>
        </w:rPr>
        <w:t xml:space="preserve"> </w:t>
      </w:r>
      <w:r>
        <w:rPr>
          <w:b/>
          <w:bCs/>
          <w:spacing w:val="1"/>
          <w:sz w:val="23"/>
          <w:szCs w:val="23"/>
        </w:rPr>
        <w:t>、主要慢性病的流行特征</w:t>
      </w:r>
    </w:p>
    <w:p w14:paraId="66F6F9F8">
      <w:pPr>
        <w:pStyle w:val="2"/>
        <w:spacing w:before="261" w:line="222" w:lineRule="auto"/>
        <w:ind w:left="1050"/>
        <w:rPr>
          <w:sz w:val="23"/>
          <w:szCs w:val="23"/>
        </w:rPr>
      </w:pPr>
      <w:r>
        <w:rPr>
          <w:spacing w:val="-1"/>
          <w:sz w:val="23"/>
          <w:szCs w:val="23"/>
        </w:rPr>
        <w:t>(一)全球</w:t>
      </w:r>
    </w:p>
    <w:p w14:paraId="4D609724">
      <w:pPr>
        <w:spacing w:before="116" w:line="342" w:lineRule="auto"/>
        <w:ind w:left="640" w:right="70" w:firstLine="409"/>
        <w:jc w:val="both"/>
        <w:rPr>
          <w:rFonts w:ascii="宋体" w:hAnsi="宋体" w:eastAsia="宋体" w:cs="宋体"/>
          <w:sz w:val="20"/>
          <w:szCs w:val="20"/>
        </w:rPr>
      </w:pPr>
      <w:r>
        <w:rPr>
          <w:rFonts w:ascii="宋体" w:hAnsi="宋体" w:eastAsia="宋体" w:cs="宋体"/>
          <w:spacing w:val="3"/>
          <w:sz w:val="20"/>
          <w:szCs w:val="20"/>
        </w:rPr>
        <w:t>据</w:t>
      </w:r>
      <w:r>
        <w:rPr>
          <w:rFonts w:ascii="Times New Roman" w:hAnsi="Times New Roman" w:eastAsia="Times New Roman" w:cs="Times New Roman"/>
          <w:sz w:val="20"/>
          <w:szCs w:val="20"/>
        </w:rPr>
        <w:t>GBD</w:t>
      </w:r>
      <w:r>
        <w:rPr>
          <w:rFonts w:ascii="宋体" w:hAnsi="宋体" w:eastAsia="宋体" w:cs="宋体"/>
          <w:spacing w:val="3"/>
          <w:sz w:val="20"/>
          <w:szCs w:val="20"/>
        </w:rPr>
        <w:t>报道，1990年至2019年，缺血性心脏病、脑卒中及</w:t>
      </w:r>
      <w:r>
        <w:rPr>
          <w:rFonts w:ascii="Times New Roman" w:hAnsi="Times New Roman" w:eastAsia="Times New Roman" w:cs="Times New Roman"/>
          <w:sz w:val="20"/>
          <w:szCs w:val="20"/>
        </w:rPr>
        <w:t>COPD</w:t>
      </w:r>
      <w:r>
        <w:rPr>
          <w:rFonts w:ascii="Times New Roman" w:hAnsi="Times New Roman" w:eastAsia="Times New Roman" w:cs="Times New Roman"/>
          <w:spacing w:val="3"/>
          <w:sz w:val="20"/>
          <w:szCs w:val="20"/>
        </w:rPr>
        <w:t xml:space="preserve"> </w:t>
      </w:r>
      <w:r>
        <w:rPr>
          <w:rFonts w:ascii="宋体" w:hAnsi="宋体" w:eastAsia="宋体" w:cs="宋体"/>
          <w:spacing w:val="3"/>
          <w:sz w:val="20"/>
          <w:szCs w:val="20"/>
        </w:rPr>
        <w:t>一直是导致死亡排名前三位</w:t>
      </w:r>
      <w:r>
        <w:rPr>
          <w:rFonts w:ascii="宋体" w:hAnsi="宋体" w:eastAsia="宋体" w:cs="宋体"/>
          <w:sz w:val="20"/>
          <w:szCs w:val="20"/>
        </w:rPr>
        <w:t xml:space="preserve"> </w:t>
      </w:r>
      <w:r>
        <w:rPr>
          <w:rFonts w:ascii="宋体" w:hAnsi="宋体" w:eastAsia="宋体" w:cs="宋体"/>
          <w:spacing w:val="7"/>
          <w:sz w:val="20"/>
          <w:szCs w:val="20"/>
        </w:rPr>
        <w:t>的疾病，2019年这三种疾病所致的死亡分别占世界总死亡人数的16%、11%和6%。从年龄标准化</w:t>
      </w:r>
      <w:r>
        <w:rPr>
          <w:rFonts w:ascii="宋体" w:hAnsi="宋体" w:eastAsia="宋体" w:cs="宋体"/>
          <w:spacing w:val="8"/>
          <w:sz w:val="20"/>
          <w:szCs w:val="20"/>
        </w:rPr>
        <w:t xml:space="preserve"> </w:t>
      </w:r>
      <w:r>
        <w:rPr>
          <w:rFonts w:ascii="宋体" w:hAnsi="宋体" w:eastAsia="宋体" w:cs="宋体"/>
          <w:spacing w:val="-1"/>
          <w:sz w:val="20"/>
          <w:szCs w:val="20"/>
        </w:rPr>
        <w:t>死亡率指标来看，与1990年相比，前十位死因中，大多</w:t>
      </w:r>
      <w:r>
        <w:rPr>
          <w:rFonts w:ascii="宋体" w:hAnsi="宋体" w:eastAsia="宋体" w:cs="宋体"/>
          <w:spacing w:val="-2"/>
          <w:sz w:val="20"/>
          <w:szCs w:val="20"/>
        </w:rPr>
        <w:t>数疾病呈现下降趋势，而慢性肾脏病和糖尿</w:t>
      </w:r>
      <w:r>
        <w:rPr>
          <w:rFonts w:ascii="宋体" w:hAnsi="宋体" w:eastAsia="宋体" w:cs="宋体"/>
          <w:sz w:val="20"/>
          <w:szCs w:val="20"/>
        </w:rPr>
        <w:t xml:space="preserve"> </w:t>
      </w:r>
      <w:r>
        <w:rPr>
          <w:rFonts w:ascii="宋体" w:hAnsi="宋体" w:eastAsia="宋体" w:cs="宋体"/>
          <w:spacing w:val="2"/>
          <w:sz w:val="20"/>
          <w:szCs w:val="20"/>
        </w:rPr>
        <w:t>病却有所上升。从年龄标准化</w:t>
      </w:r>
      <w:r>
        <w:rPr>
          <w:rFonts w:ascii="Times New Roman" w:hAnsi="Times New Roman" w:eastAsia="Times New Roman" w:cs="Times New Roman"/>
          <w:sz w:val="20"/>
          <w:szCs w:val="20"/>
        </w:rPr>
        <w:t>DALY</w:t>
      </w:r>
      <w:r>
        <w:rPr>
          <w:rFonts w:ascii="宋体" w:hAnsi="宋体" w:eastAsia="宋体" w:cs="宋体"/>
          <w:spacing w:val="2"/>
          <w:sz w:val="20"/>
          <w:szCs w:val="20"/>
        </w:rPr>
        <w:t>指标来看，糖尿病是其</w:t>
      </w:r>
      <w:r>
        <w:rPr>
          <w:rFonts w:ascii="宋体" w:hAnsi="宋体" w:eastAsia="宋体" w:cs="宋体"/>
          <w:spacing w:val="1"/>
          <w:sz w:val="20"/>
          <w:szCs w:val="20"/>
        </w:rPr>
        <w:t>中唯一上升的疾病，而其他疾病(包括</w:t>
      </w:r>
      <w:r>
        <w:rPr>
          <w:rFonts w:ascii="宋体" w:hAnsi="宋体" w:eastAsia="宋体" w:cs="宋体"/>
          <w:sz w:val="20"/>
          <w:szCs w:val="20"/>
        </w:rPr>
        <w:t xml:space="preserve"> </w:t>
      </w:r>
      <w:r>
        <w:rPr>
          <w:rFonts w:ascii="宋体" w:hAnsi="宋体" w:eastAsia="宋体" w:cs="宋体"/>
          <w:spacing w:val="-3"/>
          <w:sz w:val="20"/>
          <w:szCs w:val="20"/>
        </w:rPr>
        <w:t>其他慢性病)均呈现下降趋势。但由于人口增长和老龄</w:t>
      </w:r>
      <w:r>
        <w:rPr>
          <w:rFonts w:ascii="宋体" w:hAnsi="宋体" w:eastAsia="宋体" w:cs="宋体"/>
          <w:spacing w:val="-4"/>
          <w:sz w:val="20"/>
          <w:szCs w:val="20"/>
        </w:rPr>
        <w:t>化等原因，缺血性心脏病、脑卒中、COPD</w:t>
      </w:r>
      <w:r>
        <w:rPr>
          <w:rFonts w:ascii="宋体" w:hAnsi="宋体" w:eastAsia="宋体" w:cs="宋体"/>
          <w:spacing w:val="66"/>
          <w:sz w:val="20"/>
          <w:szCs w:val="20"/>
        </w:rPr>
        <w:t xml:space="preserve"> </w:t>
      </w:r>
      <w:r>
        <w:rPr>
          <w:rFonts w:ascii="宋体" w:hAnsi="宋体" w:eastAsia="宋体" w:cs="宋体"/>
          <w:spacing w:val="-4"/>
          <w:sz w:val="20"/>
          <w:szCs w:val="20"/>
        </w:rPr>
        <w:t>和</w:t>
      </w:r>
      <w:r>
        <w:rPr>
          <w:rFonts w:ascii="宋体" w:hAnsi="宋体" w:eastAsia="宋体" w:cs="宋体"/>
          <w:sz w:val="20"/>
          <w:szCs w:val="20"/>
        </w:rPr>
        <w:t xml:space="preserve"> </w:t>
      </w:r>
      <w:r>
        <w:rPr>
          <w:rFonts w:ascii="宋体" w:hAnsi="宋体" w:eastAsia="宋体" w:cs="宋体"/>
          <w:spacing w:val="3"/>
          <w:sz w:val="20"/>
          <w:szCs w:val="20"/>
        </w:rPr>
        <w:t>糖尿病等慢性病导致的</w:t>
      </w:r>
      <w:r>
        <w:rPr>
          <w:rFonts w:ascii="Times New Roman" w:hAnsi="Times New Roman" w:eastAsia="Times New Roman" w:cs="Times New Roman"/>
          <w:sz w:val="20"/>
          <w:szCs w:val="20"/>
        </w:rPr>
        <w:t>DALYs</w:t>
      </w:r>
      <w:r>
        <w:rPr>
          <w:rFonts w:ascii="宋体" w:hAnsi="宋体" w:eastAsia="宋体" w:cs="宋体"/>
          <w:spacing w:val="3"/>
          <w:sz w:val="20"/>
          <w:szCs w:val="20"/>
        </w:rPr>
        <w:t>绝对数仍呈现增加趋势。各国和地区在流行病学</w:t>
      </w:r>
      <w:r>
        <w:rPr>
          <w:rFonts w:ascii="宋体" w:hAnsi="宋体" w:eastAsia="宋体" w:cs="宋体"/>
          <w:spacing w:val="2"/>
          <w:sz w:val="20"/>
          <w:szCs w:val="20"/>
        </w:rPr>
        <w:t>转变阶段上存在显</w:t>
      </w:r>
      <w:r>
        <w:rPr>
          <w:rFonts w:ascii="宋体" w:hAnsi="宋体" w:eastAsia="宋体" w:cs="宋体"/>
          <w:sz w:val="20"/>
          <w:szCs w:val="20"/>
        </w:rPr>
        <w:t xml:space="preserve"> 著差异。随着社会发展指数</w:t>
      </w:r>
      <w:r>
        <w:rPr>
          <w:rFonts w:ascii="Times New Roman" w:hAnsi="Times New Roman" w:eastAsia="Times New Roman" w:cs="Times New Roman"/>
          <w:sz w:val="20"/>
          <w:szCs w:val="20"/>
        </w:rPr>
        <w:t>(social   development   index,SDI)</w:t>
      </w:r>
      <w:r>
        <w:rPr>
          <w:rFonts w:ascii="宋体" w:hAnsi="宋体" w:eastAsia="宋体" w:cs="宋体"/>
          <w:sz w:val="20"/>
          <w:szCs w:val="20"/>
        </w:rPr>
        <w:t>的提高，疾病负担正从传染</w:t>
      </w:r>
      <w:r>
        <w:rPr>
          <w:rFonts w:ascii="宋体" w:hAnsi="宋体" w:eastAsia="宋体" w:cs="宋体"/>
          <w:spacing w:val="-1"/>
          <w:sz w:val="20"/>
          <w:szCs w:val="20"/>
        </w:rPr>
        <w:t>病、孕产妇</w:t>
      </w:r>
      <w:r>
        <w:rPr>
          <w:rFonts w:ascii="宋体" w:hAnsi="宋体" w:eastAsia="宋体" w:cs="宋体"/>
          <w:sz w:val="20"/>
          <w:szCs w:val="20"/>
        </w:rPr>
        <w:t xml:space="preserve"> </w:t>
      </w:r>
      <w:r>
        <w:rPr>
          <w:rFonts w:ascii="宋体" w:hAnsi="宋体" w:eastAsia="宋体" w:cs="宋体"/>
          <w:spacing w:val="-8"/>
          <w:sz w:val="20"/>
          <w:szCs w:val="20"/>
        </w:rPr>
        <w:t>疾病、新生儿疾病和营养相关疾病向慢性非传染性疾病转变</w:t>
      </w:r>
      <w:r>
        <w:rPr>
          <w:rFonts w:ascii="宋体" w:hAnsi="宋体" w:eastAsia="宋体" w:cs="宋体"/>
          <w:spacing w:val="-9"/>
          <w:sz w:val="20"/>
          <w:szCs w:val="20"/>
        </w:rPr>
        <w:t>。同时，相较于寿命损失年(years of life</w:t>
      </w:r>
      <w:r>
        <w:rPr>
          <w:rFonts w:ascii="宋体" w:hAnsi="宋体" w:eastAsia="宋体" w:cs="宋体"/>
          <w:sz w:val="20"/>
          <w:szCs w:val="20"/>
        </w:rPr>
        <w:t xml:space="preserve"> </w:t>
      </w:r>
      <w:r>
        <w:rPr>
          <w:rFonts w:ascii="宋体" w:hAnsi="宋体" w:eastAsia="宋体" w:cs="宋体"/>
          <w:spacing w:val="-7"/>
          <w:sz w:val="20"/>
          <w:szCs w:val="20"/>
        </w:rPr>
        <w:t>lost,YLL),慢性非传染性疾病导致的健康寿命</w:t>
      </w:r>
      <w:r>
        <w:rPr>
          <w:rFonts w:ascii="宋体" w:hAnsi="宋体" w:eastAsia="宋体" w:cs="宋体"/>
          <w:spacing w:val="-8"/>
          <w:sz w:val="20"/>
          <w:szCs w:val="20"/>
        </w:rPr>
        <w:t>损失年(years lived with disability,YLD)在</w:t>
      </w:r>
      <w:r>
        <w:rPr>
          <w:rFonts w:ascii="宋体" w:hAnsi="宋体" w:eastAsia="宋体" w:cs="宋体"/>
          <w:spacing w:val="-43"/>
          <w:sz w:val="20"/>
          <w:szCs w:val="20"/>
        </w:rPr>
        <w:t xml:space="preserve"> </w:t>
      </w:r>
      <w:r>
        <w:rPr>
          <w:rFonts w:ascii="宋体" w:hAnsi="宋体" w:eastAsia="宋体" w:cs="宋体"/>
          <w:spacing w:val="-8"/>
          <w:sz w:val="20"/>
          <w:szCs w:val="20"/>
        </w:rPr>
        <w:t>DALYs</w:t>
      </w:r>
      <w:r>
        <w:rPr>
          <w:rFonts w:ascii="宋体" w:hAnsi="宋体" w:eastAsia="宋体" w:cs="宋体"/>
          <w:spacing w:val="74"/>
          <w:sz w:val="20"/>
          <w:szCs w:val="20"/>
        </w:rPr>
        <w:t xml:space="preserve"> </w:t>
      </w:r>
      <w:r>
        <w:rPr>
          <w:rFonts w:ascii="宋体" w:hAnsi="宋体" w:eastAsia="宋体" w:cs="宋体"/>
          <w:spacing w:val="-8"/>
          <w:sz w:val="20"/>
          <w:szCs w:val="20"/>
        </w:rPr>
        <w:t>中</w:t>
      </w:r>
      <w:r>
        <w:rPr>
          <w:rFonts w:ascii="宋体" w:hAnsi="宋体" w:eastAsia="宋体" w:cs="宋体"/>
          <w:sz w:val="20"/>
          <w:szCs w:val="20"/>
        </w:rPr>
        <w:t xml:space="preserve"> 的比重几乎在所有国家都增加了。</w:t>
      </w:r>
    </w:p>
    <w:p w14:paraId="16B83419">
      <w:pPr>
        <w:spacing w:before="31" w:line="341" w:lineRule="auto"/>
        <w:ind w:left="640" w:right="70" w:firstLine="409"/>
        <w:jc w:val="both"/>
        <w:rPr>
          <w:rFonts w:ascii="宋体" w:hAnsi="宋体" w:eastAsia="宋体" w:cs="宋体"/>
          <w:sz w:val="20"/>
          <w:szCs w:val="20"/>
        </w:rPr>
      </w:pPr>
      <w:r>
        <w:rPr>
          <w:rFonts w:ascii="宋体" w:hAnsi="宋体" w:eastAsia="宋体" w:cs="宋体"/>
          <w:spacing w:val="3"/>
          <w:sz w:val="20"/>
          <w:szCs w:val="20"/>
        </w:rPr>
        <w:t>2000年至2019年间，在中低收入国家的主要死因中，腹泻病仍然是一个重大挑战。然而，这</w:t>
      </w:r>
      <w:r>
        <w:rPr>
          <w:rFonts w:ascii="宋体" w:hAnsi="宋体" w:eastAsia="宋体" w:cs="宋体"/>
          <w:spacing w:val="15"/>
          <w:sz w:val="20"/>
          <w:szCs w:val="20"/>
        </w:rPr>
        <w:t xml:space="preserve"> </w:t>
      </w:r>
      <w:r>
        <w:rPr>
          <w:rFonts w:ascii="宋体" w:hAnsi="宋体" w:eastAsia="宋体" w:cs="宋体"/>
          <w:spacing w:val="3"/>
          <w:sz w:val="20"/>
          <w:szCs w:val="20"/>
        </w:rPr>
        <w:t>类疾病的绝对死亡人数下降幅度最大，绝对死亡人数增加最多的是缺血性心脏病，自2000年以来</w:t>
      </w:r>
      <w:r>
        <w:rPr>
          <w:rFonts w:ascii="宋体" w:hAnsi="宋体" w:eastAsia="宋体" w:cs="宋体"/>
          <w:spacing w:val="5"/>
          <w:sz w:val="20"/>
          <w:szCs w:val="20"/>
        </w:rPr>
        <w:t xml:space="preserve"> </w:t>
      </w:r>
      <w:r>
        <w:rPr>
          <w:rFonts w:ascii="宋体" w:hAnsi="宋体" w:eastAsia="宋体" w:cs="宋体"/>
          <w:spacing w:val="3"/>
          <w:sz w:val="20"/>
          <w:szCs w:val="20"/>
        </w:rPr>
        <w:t>增加了100多万，达到310万。在中高收入国家，肺癌死亡人数显著上升，共增加了41.1万人。在</w:t>
      </w:r>
      <w:r>
        <w:rPr>
          <w:rFonts w:ascii="宋体" w:hAnsi="宋体" w:eastAsia="宋体" w:cs="宋体"/>
          <w:sz w:val="20"/>
          <w:szCs w:val="20"/>
        </w:rPr>
        <w:t xml:space="preserve"> </w:t>
      </w:r>
      <w:r>
        <w:rPr>
          <w:rFonts w:ascii="宋体" w:hAnsi="宋体" w:eastAsia="宋体" w:cs="宋体"/>
          <w:spacing w:val="6"/>
          <w:sz w:val="20"/>
          <w:szCs w:val="20"/>
        </w:rPr>
        <w:t>高收入国家，前十位死因中仅有缺血性心脏病和卒中的死亡人数呈下</w:t>
      </w:r>
      <w:r>
        <w:rPr>
          <w:rFonts w:ascii="宋体" w:hAnsi="宋体" w:eastAsia="宋体" w:cs="宋体"/>
          <w:spacing w:val="5"/>
          <w:sz w:val="20"/>
          <w:szCs w:val="20"/>
        </w:rPr>
        <w:t>降趋势，分别下降了16%和</w:t>
      </w:r>
      <w:r>
        <w:rPr>
          <w:rFonts w:ascii="宋体" w:hAnsi="宋体" w:eastAsia="宋体" w:cs="宋体"/>
          <w:sz w:val="20"/>
          <w:szCs w:val="20"/>
        </w:rPr>
        <w:t xml:space="preserve"> </w:t>
      </w:r>
      <w:r>
        <w:rPr>
          <w:rFonts w:ascii="宋体" w:hAnsi="宋体" w:eastAsia="宋体" w:cs="宋体"/>
          <w:spacing w:val="3"/>
          <w:sz w:val="20"/>
          <w:szCs w:val="20"/>
        </w:rPr>
        <w:t>21%,但这两种疾病依然是三大死亡原因之一，2019年导致的死亡人数超过250万。</w:t>
      </w:r>
    </w:p>
    <w:p w14:paraId="1AA80D5A">
      <w:pPr>
        <w:pStyle w:val="2"/>
        <w:spacing w:before="48" w:line="221" w:lineRule="auto"/>
        <w:ind w:left="1052"/>
        <w:rPr>
          <w:sz w:val="20"/>
          <w:szCs w:val="20"/>
        </w:rPr>
      </w:pPr>
      <w:r>
        <w:rPr>
          <w:b/>
          <w:bCs/>
          <w:spacing w:val="-17"/>
          <w:sz w:val="20"/>
          <w:szCs w:val="20"/>
        </w:rPr>
        <w:t>(</w:t>
      </w:r>
      <w:r>
        <w:rPr>
          <w:spacing w:val="-38"/>
          <w:sz w:val="20"/>
          <w:szCs w:val="20"/>
        </w:rPr>
        <w:t xml:space="preserve"> </w:t>
      </w:r>
      <w:r>
        <w:rPr>
          <w:b/>
          <w:bCs/>
          <w:spacing w:val="-17"/>
          <w:sz w:val="20"/>
          <w:szCs w:val="20"/>
        </w:rPr>
        <w:t>二</w:t>
      </w:r>
      <w:r>
        <w:rPr>
          <w:spacing w:val="-46"/>
          <w:sz w:val="20"/>
          <w:szCs w:val="20"/>
        </w:rPr>
        <w:t xml:space="preserve"> </w:t>
      </w:r>
      <w:r>
        <w:rPr>
          <w:b/>
          <w:bCs/>
          <w:spacing w:val="-17"/>
          <w:sz w:val="20"/>
          <w:szCs w:val="20"/>
        </w:rPr>
        <w:t>)</w:t>
      </w:r>
      <w:r>
        <w:rPr>
          <w:spacing w:val="-39"/>
          <w:sz w:val="20"/>
          <w:szCs w:val="20"/>
        </w:rPr>
        <w:t xml:space="preserve"> </w:t>
      </w:r>
      <w:r>
        <w:rPr>
          <w:b/>
          <w:bCs/>
          <w:spacing w:val="-17"/>
          <w:sz w:val="20"/>
          <w:szCs w:val="20"/>
        </w:rPr>
        <w:t>我</w:t>
      </w:r>
      <w:r>
        <w:rPr>
          <w:spacing w:val="-31"/>
          <w:sz w:val="20"/>
          <w:szCs w:val="20"/>
        </w:rPr>
        <w:t xml:space="preserve"> </w:t>
      </w:r>
      <w:r>
        <w:rPr>
          <w:b/>
          <w:bCs/>
          <w:spacing w:val="-17"/>
          <w:sz w:val="20"/>
          <w:szCs w:val="20"/>
        </w:rPr>
        <w:t>国</w:t>
      </w:r>
    </w:p>
    <w:p w14:paraId="27D3022F">
      <w:pPr>
        <w:spacing w:before="117" w:line="342" w:lineRule="auto"/>
        <w:ind w:left="640" w:firstLine="409"/>
        <w:jc w:val="both"/>
        <w:rPr>
          <w:rFonts w:ascii="宋体" w:hAnsi="宋体" w:eastAsia="宋体" w:cs="宋体"/>
          <w:sz w:val="20"/>
          <w:szCs w:val="20"/>
        </w:rPr>
      </w:pPr>
      <w:r>
        <w:rPr>
          <w:rFonts w:ascii="宋体" w:hAnsi="宋体" w:eastAsia="宋体" w:cs="宋体"/>
          <w:spacing w:val="2"/>
          <w:sz w:val="20"/>
          <w:szCs w:val="20"/>
        </w:rPr>
        <w:t>我国在慢性病负担方面经历了显著的变化。</w:t>
      </w:r>
      <w:r>
        <w:rPr>
          <w:rFonts w:ascii="宋体" w:hAnsi="宋体" w:eastAsia="宋体" w:cs="宋体"/>
          <w:sz w:val="20"/>
          <w:szCs w:val="20"/>
        </w:rPr>
        <w:t>GBD</w:t>
      </w:r>
      <w:r>
        <w:rPr>
          <w:rFonts w:ascii="宋体" w:hAnsi="宋体" w:eastAsia="宋体" w:cs="宋体"/>
          <w:spacing w:val="63"/>
          <w:sz w:val="20"/>
          <w:szCs w:val="20"/>
        </w:rPr>
        <w:t xml:space="preserve"> </w:t>
      </w:r>
      <w:r>
        <w:rPr>
          <w:rFonts w:ascii="宋体" w:hAnsi="宋体" w:eastAsia="宋体" w:cs="宋体"/>
          <w:spacing w:val="2"/>
          <w:sz w:val="20"/>
          <w:szCs w:val="20"/>
        </w:rPr>
        <w:t>数据分析显示，1990年至2019年，传染性疾</w:t>
      </w:r>
      <w:r>
        <w:rPr>
          <w:rFonts w:ascii="宋体" w:hAnsi="宋体" w:eastAsia="宋体" w:cs="宋体"/>
          <w:sz w:val="20"/>
          <w:szCs w:val="20"/>
        </w:rPr>
        <w:t xml:space="preserve"> </w:t>
      </w:r>
      <w:r>
        <w:rPr>
          <w:rFonts w:ascii="宋体" w:hAnsi="宋体" w:eastAsia="宋体" w:cs="宋体"/>
          <w:spacing w:val="3"/>
          <w:sz w:val="20"/>
          <w:szCs w:val="20"/>
        </w:rPr>
        <w:t>病、孕产期疾病与营养不良性疾病及伤害导致的</w:t>
      </w:r>
      <w:r>
        <w:rPr>
          <w:rFonts w:ascii="Times New Roman" w:hAnsi="Times New Roman" w:eastAsia="Times New Roman" w:cs="Times New Roman"/>
          <w:sz w:val="20"/>
          <w:szCs w:val="20"/>
        </w:rPr>
        <w:t>DALYs</w:t>
      </w:r>
      <w:r>
        <w:rPr>
          <w:rFonts w:ascii="宋体" w:hAnsi="宋体" w:eastAsia="宋体" w:cs="宋体"/>
          <w:spacing w:val="3"/>
          <w:sz w:val="20"/>
          <w:szCs w:val="20"/>
        </w:rPr>
        <w:t>占比大幅下降，而非传染性疾病的占比则</w:t>
      </w:r>
      <w:r>
        <w:rPr>
          <w:rFonts w:ascii="宋体" w:hAnsi="宋体" w:eastAsia="宋体" w:cs="宋体"/>
          <w:spacing w:val="16"/>
          <w:sz w:val="20"/>
          <w:szCs w:val="20"/>
        </w:rPr>
        <w:t xml:space="preserve"> </w:t>
      </w:r>
      <w:r>
        <w:rPr>
          <w:rFonts w:ascii="宋体" w:hAnsi="宋体" w:eastAsia="宋体" w:cs="宋体"/>
          <w:spacing w:val="3"/>
          <w:sz w:val="20"/>
          <w:szCs w:val="20"/>
        </w:rPr>
        <w:t>大幅上升。2019年，我国全病因</w:t>
      </w:r>
      <w:r>
        <w:rPr>
          <w:rFonts w:ascii="Times New Roman" w:hAnsi="Times New Roman" w:eastAsia="Times New Roman" w:cs="Times New Roman"/>
          <w:sz w:val="20"/>
          <w:szCs w:val="20"/>
        </w:rPr>
        <w:t>DALYs</w:t>
      </w:r>
      <w:r>
        <w:rPr>
          <w:rFonts w:ascii="宋体" w:hAnsi="宋体" w:eastAsia="宋体" w:cs="宋体"/>
          <w:spacing w:val="3"/>
          <w:sz w:val="20"/>
          <w:szCs w:val="20"/>
        </w:rPr>
        <w:t>达3.8亿人年，其中，非传染性疾</w:t>
      </w:r>
      <w:r>
        <w:rPr>
          <w:rFonts w:ascii="宋体" w:hAnsi="宋体" w:eastAsia="宋体" w:cs="宋体"/>
          <w:spacing w:val="2"/>
          <w:sz w:val="20"/>
          <w:szCs w:val="20"/>
        </w:rPr>
        <w:t>病占84.9%,前5位疾病分</w:t>
      </w:r>
      <w:r>
        <w:rPr>
          <w:rFonts w:ascii="宋体" w:hAnsi="宋体" w:eastAsia="宋体" w:cs="宋体"/>
          <w:sz w:val="20"/>
          <w:szCs w:val="20"/>
        </w:rPr>
        <w:t xml:space="preserve"> </w:t>
      </w:r>
      <w:r>
        <w:rPr>
          <w:rFonts w:ascii="宋体" w:hAnsi="宋体" w:eastAsia="宋体" w:cs="宋体"/>
          <w:spacing w:val="-5"/>
          <w:sz w:val="20"/>
          <w:szCs w:val="20"/>
        </w:rPr>
        <w:t>别是心血管疾病、癌症、肌肉骨骼疾病、慢性呼吸系</w:t>
      </w:r>
      <w:r>
        <w:rPr>
          <w:rFonts w:ascii="宋体" w:hAnsi="宋体" w:eastAsia="宋体" w:cs="宋体"/>
          <w:spacing w:val="-6"/>
          <w:sz w:val="20"/>
          <w:szCs w:val="20"/>
        </w:rPr>
        <w:t>统疾病、精神障碍。这些数据不仅反映了我国居</w:t>
      </w:r>
      <w:r>
        <w:rPr>
          <w:rFonts w:ascii="宋体" w:hAnsi="宋体" w:eastAsia="宋体" w:cs="宋体"/>
          <w:sz w:val="20"/>
          <w:szCs w:val="20"/>
        </w:rPr>
        <w:t xml:space="preserve"> </w:t>
      </w:r>
      <w:r>
        <w:rPr>
          <w:rFonts w:ascii="宋体" w:hAnsi="宋体" w:eastAsia="宋体" w:cs="宋体"/>
          <w:spacing w:val="1"/>
          <w:sz w:val="20"/>
          <w:szCs w:val="20"/>
        </w:rPr>
        <w:t>民健康状况的显著变迁，展示了我国在公共</w:t>
      </w:r>
      <w:r>
        <w:rPr>
          <w:rFonts w:ascii="宋体" w:hAnsi="宋体" w:eastAsia="宋体" w:cs="宋体"/>
          <w:spacing w:val="1"/>
          <w:sz w:val="20"/>
          <w:szCs w:val="20"/>
          <w:u w:val="single" w:color="auto"/>
        </w:rPr>
        <w:t>卫生</w:t>
      </w:r>
      <w:r>
        <w:rPr>
          <w:rFonts w:ascii="宋体" w:hAnsi="宋体" w:eastAsia="宋体" w:cs="宋体"/>
          <w:spacing w:val="1"/>
          <w:sz w:val="20"/>
          <w:szCs w:val="20"/>
        </w:rPr>
        <w:t>领域取得的进步</w:t>
      </w:r>
      <w:r>
        <w:rPr>
          <w:rFonts w:ascii="宋体" w:hAnsi="宋体" w:eastAsia="宋体" w:cs="宋体"/>
          <w:sz w:val="20"/>
          <w:szCs w:val="20"/>
        </w:rPr>
        <w:t xml:space="preserve">，也强调了在全球健康挑战面前， </w:t>
      </w:r>
      <w:r>
        <w:rPr>
          <w:rFonts w:ascii="宋体" w:hAnsi="宋体" w:eastAsia="宋体" w:cs="宋体"/>
          <w:spacing w:val="1"/>
          <w:sz w:val="20"/>
          <w:szCs w:val="20"/>
        </w:rPr>
        <w:t>持续关注和改进慢性病防控的重要性。有效的健康政策和预防措</w:t>
      </w:r>
      <w:r>
        <w:rPr>
          <w:rFonts w:ascii="宋体" w:hAnsi="宋体" w:eastAsia="宋体" w:cs="宋体"/>
          <w:sz w:val="20"/>
          <w:szCs w:val="20"/>
        </w:rPr>
        <w:t>施，对于进一步降低慢性病负担、</w:t>
      </w:r>
    </w:p>
    <w:p w14:paraId="29D04B45">
      <w:pPr>
        <w:spacing w:line="342" w:lineRule="auto"/>
        <w:rPr>
          <w:rFonts w:ascii="宋体" w:hAnsi="宋体" w:eastAsia="宋体" w:cs="宋体"/>
          <w:sz w:val="20"/>
          <w:szCs w:val="20"/>
        </w:rPr>
        <w:sectPr>
          <w:footerReference r:id="rId233" w:type="default"/>
          <w:pgSz w:w="11900" w:h="16820"/>
          <w:pgMar w:top="396" w:right="1620" w:bottom="829" w:left="1009" w:header="0" w:footer="649" w:gutter="0"/>
          <w:cols w:space="720" w:num="1"/>
        </w:sectPr>
      </w:pPr>
    </w:p>
    <w:p w14:paraId="2E42ABF8">
      <w:pPr>
        <w:pStyle w:val="2"/>
        <w:spacing w:before="76" w:line="221" w:lineRule="auto"/>
        <w:ind w:left="6929"/>
        <w:rPr>
          <w:sz w:val="21"/>
          <w:szCs w:val="21"/>
        </w:rPr>
      </w:pPr>
      <w:bookmarkStart w:id="366" w:name="bookmark521"/>
      <w:bookmarkEnd w:id="366"/>
      <w:r>
        <w:rPr>
          <w:spacing w:val="-17"/>
          <w:w w:val="97"/>
          <w:sz w:val="21"/>
          <w:szCs w:val="21"/>
        </w:rPr>
        <w:t>第十四章慢性病流行病学</w:t>
      </w:r>
    </w:p>
    <w:p w14:paraId="74E567DC">
      <w:pPr>
        <w:spacing w:line="274" w:lineRule="auto"/>
        <w:rPr>
          <w:rFonts w:ascii="Arial"/>
          <w:sz w:val="21"/>
        </w:rPr>
      </w:pPr>
    </w:p>
    <w:p w14:paraId="676E5ED8">
      <w:pPr>
        <w:spacing w:line="274" w:lineRule="auto"/>
        <w:rPr>
          <w:rFonts w:ascii="Arial"/>
          <w:sz w:val="21"/>
        </w:rPr>
      </w:pPr>
    </w:p>
    <w:p w14:paraId="42FECE7F">
      <w:pPr>
        <w:spacing w:before="69" w:line="219" w:lineRule="auto"/>
        <w:rPr>
          <w:rFonts w:ascii="宋体" w:hAnsi="宋体" w:eastAsia="宋体" w:cs="宋体"/>
          <w:sz w:val="21"/>
          <w:szCs w:val="21"/>
        </w:rPr>
      </w:pPr>
      <w:r>
        <w:rPr>
          <w:rFonts w:ascii="宋体" w:hAnsi="宋体" w:eastAsia="宋体" w:cs="宋体"/>
          <w:spacing w:val="3"/>
          <w:sz w:val="21"/>
          <w:szCs w:val="21"/>
        </w:rPr>
        <w:t>提高全民健康水平具有关键作用。</w:t>
      </w:r>
    </w:p>
    <w:p w14:paraId="03FBFCDC">
      <w:pPr>
        <w:pStyle w:val="2"/>
        <w:spacing w:before="320" w:line="221" w:lineRule="auto"/>
        <w:ind w:left="439"/>
        <w:outlineLvl w:val="4"/>
        <w:rPr>
          <w:sz w:val="25"/>
          <w:szCs w:val="25"/>
        </w:rPr>
      </w:pPr>
      <w:bookmarkStart w:id="367" w:name="bookmark234"/>
      <w:bookmarkEnd w:id="367"/>
      <w:r>
        <w:rPr>
          <w:spacing w:val="2"/>
          <w:sz w:val="25"/>
          <w:szCs w:val="25"/>
        </w:rPr>
        <w:t>二</w:t>
      </w:r>
      <w:r>
        <w:rPr>
          <w:spacing w:val="-52"/>
          <w:sz w:val="25"/>
          <w:szCs w:val="25"/>
        </w:rPr>
        <w:t xml:space="preserve"> </w:t>
      </w:r>
      <w:r>
        <w:rPr>
          <w:spacing w:val="2"/>
          <w:sz w:val="25"/>
          <w:szCs w:val="25"/>
        </w:rPr>
        <w:t>、主要危险因素的流行特征</w:t>
      </w:r>
    </w:p>
    <w:p w14:paraId="418D5A87">
      <w:pPr>
        <w:spacing w:before="271" w:line="309" w:lineRule="auto"/>
        <w:ind w:right="679" w:firstLine="439"/>
        <w:rPr>
          <w:rFonts w:ascii="宋体" w:hAnsi="宋体" w:eastAsia="宋体" w:cs="宋体"/>
          <w:sz w:val="21"/>
          <w:szCs w:val="21"/>
        </w:rPr>
      </w:pPr>
      <w:r>
        <w:rPr>
          <w:rFonts w:ascii="宋体" w:hAnsi="宋体" w:eastAsia="宋体" w:cs="宋体"/>
          <w:spacing w:val="-2"/>
          <w:sz w:val="21"/>
          <w:szCs w:val="21"/>
        </w:rPr>
        <w:t>慢性病的主要危险因素包括高血压、吸烟、不健康</w:t>
      </w:r>
      <w:r>
        <w:rPr>
          <w:rFonts w:ascii="宋体" w:hAnsi="宋体" w:eastAsia="宋体" w:cs="宋体"/>
          <w:spacing w:val="-3"/>
          <w:sz w:val="21"/>
          <w:szCs w:val="21"/>
        </w:rPr>
        <w:t>的饮食习惯、糖尿病、超重和肥胖、空气污</w:t>
      </w:r>
      <w:r>
        <w:rPr>
          <w:rFonts w:ascii="宋体" w:hAnsi="宋体" w:eastAsia="宋体" w:cs="宋体"/>
          <w:sz w:val="21"/>
          <w:szCs w:val="21"/>
        </w:rPr>
        <w:t xml:space="preserve"> </w:t>
      </w:r>
      <w:r>
        <w:rPr>
          <w:rFonts w:ascii="宋体" w:hAnsi="宋体" w:eastAsia="宋体" w:cs="宋体"/>
          <w:spacing w:val="-2"/>
          <w:sz w:val="21"/>
          <w:szCs w:val="21"/>
        </w:rPr>
        <w:t>染、过量饮酒等。本节将介绍这些危险因素及其流行趋势。</w:t>
      </w:r>
    </w:p>
    <w:p w14:paraId="41C163AD">
      <w:pPr>
        <w:pStyle w:val="2"/>
        <w:spacing w:before="8" w:line="222" w:lineRule="auto"/>
        <w:ind w:left="439"/>
        <w:rPr>
          <w:sz w:val="25"/>
          <w:szCs w:val="25"/>
        </w:rPr>
      </w:pPr>
      <w:r>
        <w:rPr>
          <w:spacing w:val="5"/>
          <w:sz w:val="25"/>
          <w:szCs w:val="25"/>
        </w:rPr>
        <w:t>(一)高血压</w:t>
      </w:r>
    </w:p>
    <w:p w14:paraId="4BFB143D">
      <w:pPr>
        <w:spacing w:before="97" w:line="326" w:lineRule="auto"/>
        <w:ind w:right="673" w:firstLine="439"/>
        <w:jc w:val="both"/>
        <w:rPr>
          <w:rFonts w:ascii="宋体" w:hAnsi="宋体" w:eastAsia="宋体" w:cs="宋体"/>
          <w:sz w:val="21"/>
          <w:szCs w:val="21"/>
        </w:rPr>
      </w:pPr>
      <w:r>
        <w:rPr>
          <w:rFonts w:ascii="宋体" w:hAnsi="宋体" w:eastAsia="宋体" w:cs="宋体"/>
          <w:spacing w:val="3"/>
          <w:sz w:val="21"/>
          <w:szCs w:val="21"/>
        </w:rPr>
        <w:t>血压升高会对人体心血管系统的结构和功能产生不良影响，并导</w:t>
      </w:r>
      <w:r>
        <w:rPr>
          <w:rFonts w:ascii="宋体" w:hAnsi="宋体" w:eastAsia="宋体" w:cs="宋体"/>
          <w:spacing w:val="2"/>
          <w:sz w:val="21"/>
          <w:szCs w:val="21"/>
        </w:rPr>
        <w:t>致心血管疾病的发病和死亡</w:t>
      </w:r>
      <w:r>
        <w:rPr>
          <w:rFonts w:ascii="宋体" w:hAnsi="宋体" w:eastAsia="宋体" w:cs="宋体"/>
          <w:sz w:val="21"/>
          <w:szCs w:val="21"/>
        </w:rPr>
        <w:t xml:space="preserve"> </w:t>
      </w:r>
      <w:r>
        <w:rPr>
          <w:rFonts w:ascii="宋体" w:hAnsi="宋体" w:eastAsia="宋体" w:cs="宋体"/>
          <w:spacing w:val="3"/>
          <w:sz w:val="21"/>
          <w:szCs w:val="21"/>
        </w:rPr>
        <w:t>风险增加，同时也与慢性肾脏病和其他代谢异常相关。而高血压则是用于临床疾病诊断的人为定</w:t>
      </w:r>
      <w:r>
        <w:rPr>
          <w:rFonts w:ascii="宋体" w:hAnsi="宋体" w:eastAsia="宋体" w:cs="宋体"/>
          <w:spacing w:val="6"/>
          <w:sz w:val="21"/>
          <w:szCs w:val="21"/>
        </w:rPr>
        <w:t xml:space="preserve"> </w:t>
      </w:r>
      <w:r>
        <w:rPr>
          <w:rFonts w:ascii="宋体" w:hAnsi="宋体" w:eastAsia="宋体" w:cs="宋体"/>
          <w:spacing w:val="5"/>
          <w:sz w:val="21"/>
          <w:szCs w:val="21"/>
        </w:rPr>
        <w:t>义。1990年至2019年期间，高血压患者的人数翻了一番，从6.5</w:t>
      </w:r>
      <w:r>
        <w:rPr>
          <w:rFonts w:ascii="宋体" w:hAnsi="宋体" w:eastAsia="宋体" w:cs="宋体"/>
          <w:spacing w:val="4"/>
          <w:sz w:val="21"/>
          <w:szCs w:val="21"/>
        </w:rPr>
        <w:t>亿人增加到13亿人，2019年高血</w:t>
      </w:r>
      <w:r>
        <w:rPr>
          <w:rFonts w:ascii="宋体" w:hAnsi="宋体" w:eastAsia="宋体" w:cs="宋体"/>
          <w:sz w:val="21"/>
          <w:szCs w:val="21"/>
        </w:rPr>
        <w:t xml:space="preserve"> </w:t>
      </w:r>
      <w:r>
        <w:rPr>
          <w:rFonts w:ascii="宋体" w:hAnsi="宋体" w:eastAsia="宋体" w:cs="宋体"/>
          <w:spacing w:val="1"/>
          <w:sz w:val="21"/>
          <w:szCs w:val="21"/>
        </w:rPr>
        <w:t>压导致的死亡人数超过1000万人。人口老龄化、不健康饮食(盐摄</w:t>
      </w:r>
      <w:r>
        <w:rPr>
          <w:rFonts w:ascii="宋体" w:hAnsi="宋体" w:eastAsia="宋体" w:cs="宋体"/>
          <w:sz w:val="21"/>
          <w:szCs w:val="21"/>
        </w:rPr>
        <w:t xml:space="preserve">入量过多、食用富含饱和脂肪和 </w:t>
      </w:r>
      <w:r>
        <w:rPr>
          <w:rFonts w:ascii="宋体" w:hAnsi="宋体" w:eastAsia="宋体" w:cs="宋体"/>
          <w:spacing w:val="-4"/>
          <w:sz w:val="21"/>
          <w:szCs w:val="21"/>
        </w:rPr>
        <w:t>反式脂肪的食品、水果和蔬菜摄入量低)、缺乏身体活动、吸烟、过量饮酒以</w:t>
      </w:r>
      <w:r>
        <w:rPr>
          <w:rFonts w:ascii="宋体" w:hAnsi="宋体" w:eastAsia="宋体" w:cs="宋体"/>
          <w:spacing w:val="-5"/>
          <w:sz w:val="21"/>
          <w:szCs w:val="21"/>
        </w:rPr>
        <w:t>及超重或肥胖、空气污</w:t>
      </w:r>
      <w:r>
        <w:rPr>
          <w:rFonts w:ascii="宋体" w:hAnsi="宋体" w:eastAsia="宋体" w:cs="宋体"/>
          <w:sz w:val="21"/>
          <w:szCs w:val="21"/>
        </w:rPr>
        <w:t xml:space="preserve"> 染等，都是导致高血压患病率不断增加的重要因素。</w:t>
      </w:r>
    </w:p>
    <w:p w14:paraId="1E6610F5">
      <w:pPr>
        <w:pStyle w:val="2"/>
        <w:spacing w:before="15" w:line="222" w:lineRule="auto"/>
        <w:ind w:left="439"/>
        <w:rPr>
          <w:sz w:val="25"/>
          <w:szCs w:val="25"/>
        </w:rPr>
      </w:pPr>
      <w:r>
        <w:rPr>
          <w:spacing w:val="10"/>
          <w:sz w:val="25"/>
          <w:szCs w:val="25"/>
        </w:rPr>
        <w:t>(二)吸烟</w:t>
      </w:r>
    </w:p>
    <w:p w14:paraId="172AE45A">
      <w:pPr>
        <w:spacing w:before="78" w:line="325" w:lineRule="auto"/>
        <w:ind w:right="668" w:firstLine="439"/>
        <w:jc w:val="both"/>
        <w:rPr>
          <w:rFonts w:ascii="宋体" w:hAnsi="宋体" w:eastAsia="宋体" w:cs="宋体"/>
          <w:sz w:val="21"/>
          <w:szCs w:val="21"/>
        </w:rPr>
      </w:pPr>
      <w:r>
        <w:rPr>
          <w:rFonts w:ascii="宋体" w:hAnsi="宋体" w:eastAsia="宋体" w:cs="宋体"/>
          <w:spacing w:val="5"/>
          <w:sz w:val="21"/>
          <w:szCs w:val="21"/>
        </w:rPr>
        <w:t>吸烟(包括主动吸烟和被动吸烟及其他形式的烟草暴露)是导致多种慢性病(如肺癌、心血管</w:t>
      </w:r>
      <w:r>
        <w:rPr>
          <w:rFonts w:ascii="宋体" w:hAnsi="宋体" w:eastAsia="宋体" w:cs="宋体"/>
          <w:spacing w:val="10"/>
          <w:sz w:val="21"/>
          <w:szCs w:val="21"/>
        </w:rPr>
        <w:t xml:space="preserve"> </w:t>
      </w:r>
      <w:r>
        <w:rPr>
          <w:rFonts w:ascii="宋体" w:hAnsi="宋体" w:eastAsia="宋体" w:cs="宋体"/>
          <w:spacing w:val="6"/>
          <w:sz w:val="21"/>
          <w:szCs w:val="21"/>
        </w:rPr>
        <w:t>疾病和</w:t>
      </w:r>
      <w:r>
        <w:rPr>
          <w:rFonts w:ascii="Times New Roman" w:hAnsi="Times New Roman" w:eastAsia="Times New Roman" w:cs="Times New Roman"/>
          <w:sz w:val="21"/>
          <w:szCs w:val="21"/>
        </w:rPr>
        <w:t>COPD</w:t>
      </w:r>
      <w:r>
        <w:rPr>
          <w:rFonts w:ascii="Times New Roman" w:hAnsi="Times New Roman" w:eastAsia="Times New Roman" w:cs="Times New Roman"/>
          <w:spacing w:val="6"/>
          <w:sz w:val="21"/>
          <w:szCs w:val="21"/>
        </w:rPr>
        <w:t>)</w:t>
      </w:r>
      <w:r>
        <w:rPr>
          <w:rFonts w:ascii="Times New Roman" w:hAnsi="Times New Roman" w:eastAsia="Times New Roman" w:cs="Times New Roman"/>
          <w:spacing w:val="1"/>
          <w:sz w:val="21"/>
          <w:szCs w:val="21"/>
        </w:rPr>
        <w:t xml:space="preserve">  </w:t>
      </w:r>
      <w:r>
        <w:rPr>
          <w:rFonts w:ascii="宋体" w:hAnsi="宋体" w:eastAsia="宋体" w:cs="宋体"/>
          <w:spacing w:val="6"/>
          <w:sz w:val="21"/>
          <w:szCs w:val="21"/>
        </w:rPr>
        <w:t>的主要原因。尽管许多国家实施了严格的控烟政策并开展了一系列公共健康倡导</w:t>
      </w:r>
      <w:r>
        <w:rPr>
          <w:rFonts w:ascii="宋体" w:hAnsi="宋体" w:eastAsia="宋体" w:cs="宋体"/>
          <w:spacing w:val="1"/>
          <w:sz w:val="21"/>
          <w:szCs w:val="21"/>
        </w:rPr>
        <w:t xml:space="preserve"> </w:t>
      </w:r>
      <w:r>
        <w:rPr>
          <w:rFonts w:ascii="宋体" w:hAnsi="宋体" w:eastAsia="宋体" w:cs="宋体"/>
          <w:spacing w:val="3"/>
          <w:sz w:val="21"/>
          <w:szCs w:val="21"/>
        </w:rPr>
        <w:t>活动，但全球范围内的吸烟率在1990年至2019年间并没有显著下降。2019年</w:t>
      </w:r>
      <w:r>
        <w:rPr>
          <w:rFonts w:ascii="宋体" w:hAnsi="宋体" w:eastAsia="宋体" w:cs="宋体"/>
          <w:spacing w:val="2"/>
          <w:sz w:val="21"/>
          <w:szCs w:val="21"/>
        </w:rPr>
        <w:t>，全球吸烟人数增加</w:t>
      </w:r>
      <w:r>
        <w:rPr>
          <w:rFonts w:ascii="宋体" w:hAnsi="宋体" w:eastAsia="宋体" w:cs="宋体"/>
          <w:sz w:val="21"/>
          <w:szCs w:val="21"/>
        </w:rPr>
        <w:t xml:space="preserve"> </w:t>
      </w:r>
      <w:r>
        <w:rPr>
          <w:rFonts w:ascii="宋体" w:hAnsi="宋体" w:eastAsia="宋体" w:cs="宋体"/>
          <w:spacing w:val="1"/>
          <w:sz w:val="21"/>
          <w:szCs w:val="21"/>
        </w:rPr>
        <w:t>至11亿，烟草暴露导致的死亡人数达870万，特别是在男性中，烟草暴露是</w:t>
      </w:r>
      <w:r>
        <w:rPr>
          <w:rFonts w:ascii="宋体" w:hAnsi="宋体" w:eastAsia="宋体" w:cs="宋体"/>
          <w:sz w:val="21"/>
          <w:szCs w:val="21"/>
        </w:rPr>
        <w:t xml:space="preserve">导致死亡的第一大原因 </w:t>
      </w:r>
      <w:r>
        <w:rPr>
          <w:rFonts w:ascii="宋体" w:hAnsi="宋体" w:eastAsia="宋体" w:cs="宋体"/>
          <w:spacing w:val="5"/>
          <w:sz w:val="21"/>
          <w:szCs w:val="21"/>
        </w:rPr>
        <w:t>(656万人，占全部死亡的21.4%)。</w:t>
      </w:r>
    </w:p>
    <w:p w14:paraId="5299AD2A">
      <w:pPr>
        <w:pStyle w:val="2"/>
        <w:spacing w:before="1" w:line="221" w:lineRule="auto"/>
        <w:ind w:left="443"/>
        <w:rPr>
          <w:sz w:val="25"/>
          <w:szCs w:val="25"/>
        </w:rPr>
      </w:pPr>
      <w:r>
        <w:rPr>
          <w:b/>
          <w:bCs/>
          <w:spacing w:val="-11"/>
          <w:sz w:val="25"/>
          <w:szCs w:val="25"/>
        </w:rPr>
        <w:t>(三)不健康的饮食习惯</w:t>
      </w:r>
    </w:p>
    <w:p w14:paraId="353C34DA">
      <w:pPr>
        <w:spacing w:before="93" w:line="317" w:lineRule="auto"/>
        <w:ind w:right="660" w:firstLine="439"/>
        <w:jc w:val="both"/>
        <w:rPr>
          <w:rFonts w:ascii="宋体" w:hAnsi="宋体" w:eastAsia="宋体" w:cs="宋体"/>
          <w:sz w:val="21"/>
          <w:szCs w:val="21"/>
        </w:rPr>
      </w:pPr>
      <w:r>
        <w:rPr>
          <w:rFonts w:ascii="宋体" w:hAnsi="宋体" w:eastAsia="宋体" w:cs="宋体"/>
          <w:spacing w:val="-2"/>
          <w:sz w:val="21"/>
          <w:szCs w:val="21"/>
        </w:rPr>
        <w:t>不健康的饮食习惯(如高能量密度食物，高盐、高糖和高脂肪摄人)是导致慢性病</w:t>
      </w:r>
      <w:r>
        <w:rPr>
          <w:rFonts w:ascii="宋体" w:hAnsi="宋体" w:eastAsia="宋体" w:cs="宋体"/>
          <w:spacing w:val="-3"/>
          <w:sz w:val="21"/>
          <w:szCs w:val="21"/>
        </w:rPr>
        <w:t>的重要危险因</w:t>
      </w:r>
      <w:r>
        <w:rPr>
          <w:rFonts w:ascii="宋体" w:hAnsi="宋体" w:eastAsia="宋体" w:cs="宋体"/>
          <w:sz w:val="21"/>
          <w:szCs w:val="21"/>
        </w:rPr>
        <w:t xml:space="preserve"> </w:t>
      </w:r>
      <w:r>
        <w:rPr>
          <w:rFonts w:ascii="宋体" w:hAnsi="宋体" w:eastAsia="宋体" w:cs="宋体"/>
          <w:spacing w:val="1"/>
          <w:sz w:val="21"/>
          <w:szCs w:val="21"/>
        </w:rPr>
        <w:t>素</w:t>
      </w:r>
      <w:r>
        <w:rPr>
          <w:rFonts w:ascii="宋体" w:hAnsi="宋体" w:eastAsia="宋体" w:cs="宋体"/>
          <w:spacing w:val="-19"/>
          <w:sz w:val="21"/>
          <w:szCs w:val="21"/>
        </w:rPr>
        <w:t xml:space="preserve"> </w:t>
      </w:r>
      <w:r>
        <w:rPr>
          <w:rFonts w:ascii="宋体" w:hAnsi="宋体" w:eastAsia="宋体" w:cs="宋体"/>
          <w:spacing w:val="1"/>
          <w:sz w:val="21"/>
          <w:szCs w:val="21"/>
        </w:rPr>
        <w:t>。</w:t>
      </w:r>
      <w:r>
        <w:rPr>
          <w:rFonts w:ascii="Times New Roman" w:hAnsi="Times New Roman" w:eastAsia="Times New Roman" w:cs="Times New Roman"/>
          <w:sz w:val="21"/>
          <w:szCs w:val="21"/>
        </w:rPr>
        <w:t>GBD</w:t>
      </w:r>
      <w:r>
        <w:rPr>
          <w:rFonts w:ascii="Times New Roman" w:hAnsi="Times New Roman" w:eastAsia="Times New Roman" w:cs="Times New Roman"/>
          <w:spacing w:val="1"/>
          <w:sz w:val="21"/>
          <w:szCs w:val="21"/>
        </w:rPr>
        <w:t xml:space="preserve">  2019</w:t>
      </w:r>
      <w:r>
        <w:rPr>
          <w:rFonts w:ascii="宋体" w:hAnsi="宋体" w:eastAsia="宋体" w:cs="宋体"/>
          <w:spacing w:val="1"/>
          <w:sz w:val="21"/>
          <w:szCs w:val="21"/>
        </w:rPr>
        <w:t>数据显示，不健康的饮食每年导致近800万人死亡。1990—20</w:t>
      </w:r>
      <w:r>
        <w:rPr>
          <w:rFonts w:ascii="宋体" w:hAnsi="宋体" w:eastAsia="宋体" w:cs="宋体"/>
          <w:sz w:val="21"/>
          <w:szCs w:val="21"/>
        </w:rPr>
        <w:t xml:space="preserve">19年，在城市化和全 </w:t>
      </w:r>
      <w:r>
        <w:rPr>
          <w:rFonts w:ascii="宋体" w:hAnsi="宋体" w:eastAsia="宋体" w:cs="宋体"/>
          <w:spacing w:val="-1"/>
          <w:sz w:val="21"/>
          <w:szCs w:val="21"/>
        </w:rPr>
        <w:t>球化的推动下，全球饮食习惯发生了显著变化。传统</w:t>
      </w:r>
      <w:r>
        <w:rPr>
          <w:rFonts w:ascii="宋体" w:hAnsi="宋体" w:eastAsia="宋体" w:cs="宋体"/>
          <w:spacing w:val="-2"/>
          <w:sz w:val="21"/>
          <w:szCs w:val="21"/>
        </w:rPr>
        <w:t>饮食正在被高能量密度食物和高盐、高糖、高</w:t>
      </w:r>
      <w:r>
        <w:rPr>
          <w:rFonts w:ascii="宋体" w:hAnsi="宋体" w:eastAsia="宋体" w:cs="宋体"/>
          <w:sz w:val="21"/>
          <w:szCs w:val="21"/>
        </w:rPr>
        <w:t xml:space="preserve"> </w:t>
      </w:r>
      <w:r>
        <w:rPr>
          <w:rFonts w:ascii="宋体" w:hAnsi="宋体" w:eastAsia="宋体" w:cs="宋体"/>
          <w:spacing w:val="3"/>
          <w:sz w:val="21"/>
          <w:szCs w:val="21"/>
        </w:rPr>
        <w:t>脂肪及高度加工的不健康的饮食所取代。这种变化导致肥胖和代谢综合征患者的增多，特别是在</w:t>
      </w:r>
      <w:r>
        <w:rPr>
          <w:rFonts w:ascii="宋体" w:hAnsi="宋体" w:eastAsia="宋体" w:cs="宋体"/>
          <w:spacing w:val="4"/>
          <w:sz w:val="21"/>
          <w:szCs w:val="21"/>
        </w:rPr>
        <w:t xml:space="preserve"> </w:t>
      </w:r>
      <w:r>
        <w:rPr>
          <w:rFonts w:ascii="宋体" w:hAnsi="宋体" w:eastAsia="宋体" w:cs="宋体"/>
          <w:spacing w:val="-2"/>
          <w:sz w:val="21"/>
          <w:szCs w:val="21"/>
        </w:rPr>
        <w:t>儿童和青少年中。尽管在某些地区人们的健康意识有所提高，开始注重均衡饮食，但整体上不健康</w:t>
      </w:r>
      <w:r>
        <w:rPr>
          <w:rFonts w:ascii="宋体" w:hAnsi="宋体" w:eastAsia="宋体" w:cs="宋体"/>
          <w:spacing w:val="4"/>
          <w:sz w:val="21"/>
          <w:szCs w:val="21"/>
        </w:rPr>
        <w:t xml:space="preserve"> </w:t>
      </w:r>
      <w:r>
        <w:rPr>
          <w:rFonts w:ascii="宋体" w:hAnsi="宋体" w:eastAsia="宋体" w:cs="宋体"/>
          <w:spacing w:val="-3"/>
          <w:sz w:val="21"/>
          <w:szCs w:val="21"/>
        </w:rPr>
        <w:t>饮食模式仍然普遍存在，导致肥胖、糖尿病和心</w:t>
      </w:r>
      <w:r>
        <w:rPr>
          <w:rFonts w:ascii="宋体" w:hAnsi="宋体" w:eastAsia="宋体" w:cs="宋体"/>
          <w:spacing w:val="-4"/>
          <w:sz w:val="21"/>
          <w:szCs w:val="21"/>
        </w:rPr>
        <w:t>血管疾病的风险增加。</w:t>
      </w:r>
    </w:p>
    <w:p w14:paraId="5C7DD3D7">
      <w:pPr>
        <w:pStyle w:val="2"/>
        <w:spacing w:before="8" w:line="222" w:lineRule="auto"/>
        <w:ind w:left="439"/>
        <w:rPr>
          <w:sz w:val="25"/>
          <w:szCs w:val="25"/>
        </w:rPr>
      </w:pPr>
      <w:r>
        <w:rPr>
          <w:spacing w:val="3"/>
          <w:sz w:val="25"/>
          <w:szCs w:val="25"/>
        </w:rPr>
        <w:t>(四)糖尿病</w:t>
      </w:r>
    </w:p>
    <w:p w14:paraId="201229D2">
      <w:pPr>
        <w:spacing w:before="95" w:line="323" w:lineRule="auto"/>
        <w:ind w:right="661" w:firstLine="439"/>
        <w:jc w:val="both"/>
        <w:rPr>
          <w:rFonts w:ascii="宋体" w:hAnsi="宋体" w:eastAsia="宋体" w:cs="宋体"/>
          <w:sz w:val="21"/>
          <w:szCs w:val="21"/>
        </w:rPr>
      </w:pPr>
      <w:r>
        <w:rPr>
          <w:rFonts w:ascii="宋体" w:hAnsi="宋体" w:eastAsia="宋体" w:cs="宋体"/>
          <w:spacing w:val="-2"/>
          <w:sz w:val="21"/>
          <w:szCs w:val="21"/>
        </w:rPr>
        <w:t>血糖升高是糖尿病的主要标志，是导致心血管疾病、慢性肾脏病、周围血管</w:t>
      </w:r>
      <w:r>
        <w:rPr>
          <w:rFonts w:ascii="宋体" w:hAnsi="宋体" w:eastAsia="宋体" w:cs="宋体"/>
          <w:spacing w:val="-3"/>
          <w:sz w:val="21"/>
          <w:szCs w:val="21"/>
        </w:rPr>
        <w:t>疾病的重要危险因</w:t>
      </w:r>
      <w:r>
        <w:rPr>
          <w:rFonts w:ascii="宋体" w:hAnsi="宋体" w:eastAsia="宋体" w:cs="宋体"/>
          <w:sz w:val="21"/>
          <w:szCs w:val="21"/>
        </w:rPr>
        <w:t xml:space="preserve"> </w:t>
      </w:r>
      <w:r>
        <w:rPr>
          <w:rFonts w:ascii="宋体" w:hAnsi="宋体" w:eastAsia="宋体" w:cs="宋体"/>
          <w:spacing w:val="3"/>
          <w:sz w:val="21"/>
          <w:szCs w:val="21"/>
        </w:rPr>
        <w:t>素。随着生活方式的改变和老龄化人口的增加，全球糖尿病的患病率在1990年至2019年间显著上</w:t>
      </w:r>
      <w:r>
        <w:rPr>
          <w:rFonts w:ascii="宋体" w:hAnsi="宋体" w:eastAsia="宋体" w:cs="宋体"/>
          <w:spacing w:val="9"/>
          <w:sz w:val="21"/>
          <w:szCs w:val="21"/>
        </w:rPr>
        <w:t xml:space="preserve"> </w:t>
      </w:r>
      <w:r>
        <w:rPr>
          <w:rFonts w:ascii="宋体" w:hAnsi="宋体" w:eastAsia="宋体" w:cs="宋体"/>
          <w:spacing w:val="6"/>
          <w:sz w:val="21"/>
          <w:szCs w:val="21"/>
        </w:rPr>
        <w:t>升。随着年龄增长，糖尿病患病率逐渐增加，全球6</w:t>
      </w:r>
      <w:r>
        <w:rPr>
          <w:rFonts w:ascii="宋体" w:hAnsi="宋体" w:eastAsia="宋体" w:cs="宋体"/>
          <w:spacing w:val="5"/>
          <w:sz w:val="21"/>
          <w:szCs w:val="21"/>
        </w:rPr>
        <w:t>5岁及以上人群的患病率超过20%。虽然胰岛</w:t>
      </w:r>
      <w:r>
        <w:rPr>
          <w:rFonts w:ascii="宋体" w:hAnsi="宋体" w:eastAsia="宋体" w:cs="宋体"/>
          <w:sz w:val="21"/>
          <w:szCs w:val="21"/>
        </w:rPr>
        <w:t xml:space="preserve"> </w:t>
      </w:r>
      <w:r>
        <w:rPr>
          <w:rFonts w:ascii="宋体" w:hAnsi="宋体" w:eastAsia="宋体" w:cs="宋体"/>
          <w:spacing w:val="-2"/>
          <w:sz w:val="21"/>
          <w:szCs w:val="21"/>
        </w:rPr>
        <w:t>素和口服降糖药的使用有所增加，但许多患者的血糖控制仍不理想，血糖控制不佳与糖尿病的并发</w:t>
      </w:r>
      <w:r>
        <w:rPr>
          <w:rFonts w:ascii="宋体" w:hAnsi="宋体" w:eastAsia="宋体" w:cs="宋体"/>
          <w:spacing w:val="3"/>
          <w:sz w:val="21"/>
          <w:szCs w:val="21"/>
        </w:rPr>
        <w:t xml:space="preserve"> </w:t>
      </w:r>
      <w:r>
        <w:rPr>
          <w:rFonts w:ascii="宋体" w:hAnsi="宋体" w:eastAsia="宋体" w:cs="宋体"/>
          <w:spacing w:val="5"/>
          <w:sz w:val="21"/>
          <w:szCs w:val="21"/>
        </w:rPr>
        <w:t>症发生风险和死亡风险密切相关。</w:t>
      </w:r>
    </w:p>
    <w:p w14:paraId="24E0E746">
      <w:pPr>
        <w:pStyle w:val="2"/>
        <w:spacing w:before="1" w:line="224" w:lineRule="auto"/>
        <w:ind w:left="439"/>
        <w:rPr>
          <w:sz w:val="25"/>
          <w:szCs w:val="25"/>
        </w:rPr>
      </w:pPr>
      <w:r>
        <w:rPr>
          <w:spacing w:val="-4"/>
          <w:sz w:val="25"/>
          <w:szCs w:val="25"/>
        </w:rPr>
        <w:t>(五)超重和肥胖</w:t>
      </w:r>
    </w:p>
    <w:p w14:paraId="7B97DDE6">
      <w:pPr>
        <w:spacing w:before="88" w:line="325" w:lineRule="auto"/>
        <w:ind w:right="658" w:firstLine="439"/>
        <w:jc w:val="both"/>
        <w:rPr>
          <w:rFonts w:ascii="宋体" w:hAnsi="宋体" w:eastAsia="宋体" w:cs="宋体"/>
          <w:sz w:val="21"/>
          <w:szCs w:val="21"/>
        </w:rPr>
      </w:pPr>
      <w:r>
        <w:rPr>
          <w:rFonts w:ascii="宋体" w:hAnsi="宋体" w:eastAsia="宋体" w:cs="宋体"/>
          <w:spacing w:val="4"/>
          <w:sz w:val="21"/>
          <w:szCs w:val="21"/>
        </w:rPr>
        <w:t>超重和肥胖与多种慢性病(如糖尿病、心血管疾病和某些癌</w:t>
      </w:r>
      <w:r>
        <w:rPr>
          <w:rFonts w:ascii="宋体" w:hAnsi="宋体" w:eastAsia="宋体" w:cs="宋体"/>
          <w:spacing w:val="3"/>
          <w:sz w:val="21"/>
          <w:szCs w:val="21"/>
        </w:rPr>
        <w:t>症)密切相关。</w:t>
      </w:r>
      <w:r>
        <w:rPr>
          <w:rFonts w:ascii="宋体" w:hAnsi="宋体" w:eastAsia="宋体" w:cs="宋体"/>
          <w:spacing w:val="-45"/>
          <w:sz w:val="21"/>
          <w:szCs w:val="21"/>
        </w:rPr>
        <w:t xml:space="preserve"> </w:t>
      </w:r>
      <w:r>
        <w:rPr>
          <w:rFonts w:ascii="Times New Roman" w:hAnsi="Times New Roman" w:eastAsia="Times New Roman" w:cs="Times New Roman"/>
          <w:sz w:val="21"/>
          <w:szCs w:val="21"/>
        </w:rPr>
        <w:t>WHO</w:t>
      </w:r>
      <w:r>
        <w:rPr>
          <w:rFonts w:ascii="Times New Roman" w:hAnsi="Times New Roman" w:eastAsia="Times New Roman" w:cs="Times New Roman"/>
          <w:spacing w:val="3"/>
          <w:sz w:val="21"/>
          <w:szCs w:val="21"/>
        </w:rPr>
        <w:t xml:space="preserve"> </w:t>
      </w:r>
      <w:r>
        <w:rPr>
          <w:rFonts w:ascii="宋体" w:hAnsi="宋体" w:eastAsia="宋体" w:cs="宋体"/>
          <w:spacing w:val="3"/>
          <w:sz w:val="21"/>
          <w:szCs w:val="21"/>
        </w:rPr>
        <w:t>建议18岁及</w:t>
      </w:r>
      <w:r>
        <w:rPr>
          <w:rFonts w:ascii="宋体" w:hAnsi="宋体" w:eastAsia="宋体" w:cs="宋体"/>
          <w:sz w:val="21"/>
          <w:szCs w:val="21"/>
        </w:rPr>
        <w:t xml:space="preserve"> </w:t>
      </w:r>
      <w:r>
        <w:rPr>
          <w:rFonts w:ascii="宋体" w:hAnsi="宋体" w:eastAsia="宋体" w:cs="宋体"/>
          <w:spacing w:val="3"/>
          <w:sz w:val="21"/>
          <w:szCs w:val="21"/>
        </w:rPr>
        <w:t>以上成人体重指数</w:t>
      </w:r>
      <w:r>
        <w:rPr>
          <w:rFonts w:ascii="Times New Roman" w:hAnsi="Times New Roman" w:eastAsia="Times New Roman" w:cs="Times New Roman"/>
          <w:spacing w:val="3"/>
          <w:sz w:val="21"/>
          <w:szCs w:val="21"/>
        </w:rPr>
        <w:t>(</w:t>
      </w:r>
      <w:r>
        <w:rPr>
          <w:rFonts w:ascii="Times New Roman" w:hAnsi="Times New Roman" w:eastAsia="Times New Roman" w:cs="Times New Roman"/>
          <w:sz w:val="21"/>
          <w:szCs w:val="21"/>
        </w:rPr>
        <w:t>body</w:t>
      </w:r>
      <w:r>
        <w:rPr>
          <w:rFonts w:ascii="Times New Roman" w:hAnsi="Times New Roman" w:eastAsia="Times New Roman" w:cs="Times New Roman"/>
          <w:spacing w:val="3"/>
          <w:sz w:val="21"/>
          <w:szCs w:val="21"/>
        </w:rPr>
        <w:t xml:space="preserve">  </w:t>
      </w:r>
      <w:r>
        <w:rPr>
          <w:rFonts w:ascii="Times New Roman" w:hAnsi="Times New Roman" w:eastAsia="Times New Roman" w:cs="Times New Roman"/>
          <w:sz w:val="21"/>
          <w:szCs w:val="21"/>
        </w:rPr>
        <w:t>mass</w:t>
      </w:r>
      <w:r>
        <w:rPr>
          <w:rFonts w:ascii="Times New Roman" w:hAnsi="Times New Roman" w:eastAsia="Times New Roman" w:cs="Times New Roman"/>
          <w:spacing w:val="3"/>
          <w:sz w:val="21"/>
          <w:szCs w:val="21"/>
        </w:rPr>
        <w:t xml:space="preserve">  </w:t>
      </w:r>
      <w:r>
        <w:rPr>
          <w:rFonts w:ascii="Times New Roman" w:hAnsi="Times New Roman" w:eastAsia="Times New Roman" w:cs="Times New Roman"/>
          <w:sz w:val="21"/>
          <w:szCs w:val="21"/>
        </w:rPr>
        <w:t>index</w:t>
      </w:r>
      <w:r>
        <w:rPr>
          <w:rFonts w:ascii="Times New Roman" w:hAnsi="Times New Roman" w:eastAsia="Times New Roman" w:cs="Times New Roman"/>
          <w:spacing w:val="3"/>
          <w:sz w:val="21"/>
          <w:szCs w:val="21"/>
        </w:rPr>
        <w:t>,</w:t>
      </w:r>
      <w:r>
        <w:rPr>
          <w:rFonts w:ascii="Times New Roman" w:hAnsi="Times New Roman" w:eastAsia="Times New Roman" w:cs="Times New Roman"/>
          <w:sz w:val="21"/>
          <w:szCs w:val="21"/>
        </w:rPr>
        <w:t>BMI</w:t>
      </w:r>
      <w:r>
        <w:rPr>
          <w:rFonts w:ascii="Times New Roman" w:hAnsi="Times New Roman" w:eastAsia="Times New Roman" w:cs="Times New Roman"/>
          <w:spacing w:val="3"/>
          <w:sz w:val="21"/>
          <w:szCs w:val="21"/>
        </w:rPr>
        <w:t>)</w:t>
      </w:r>
      <w:r>
        <w:rPr>
          <w:rFonts w:ascii="宋体" w:hAnsi="宋体" w:eastAsia="宋体" w:cs="宋体"/>
          <w:spacing w:val="3"/>
          <w:sz w:val="21"/>
          <w:szCs w:val="21"/>
        </w:rPr>
        <w:t>的正常范围为18.5～24.9</w:t>
      </w:r>
      <w:r>
        <w:rPr>
          <w:rFonts w:ascii="Times New Roman" w:hAnsi="Times New Roman" w:eastAsia="Times New Roman" w:cs="Times New Roman"/>
          <w:sz w:val="21"/>
          <w:szCs w:val="21"/>
        </w:rPr>
        <w:t>kg</w:t>
      </w:r>
      <w:r>
        <w:rPr>
          <w:rFonts w:ascii="Times New Roman" w:hAnsi="Times New Roman" w:eastAsia="Times New Roman" w:cs="Times New Roman"/>
          <w:spacing w:val="3"/>
          <w:sz w:val="21"/>
          <w:szCs w:val="21"/>
        </w:rPr>
        <w:t>/m²,</w:t>
      </w:r>
      <w:r>
        <w:rPr>
          <w:rFonts w:ascii="宋体" w:hAnsi="宋体" w:eastAsia="宋体" w:cs="宋体"/>
          <w:spacing w:val="3"/>
          <w:sz w:val="21"/>
          <w:szCs w:val="21"/>
        </w:rPr>
        <w:t>等于或大</w:t>
      </w:r>
      <w:r>
        <w:rPr>
          <w:rFonts w:ascii="宋体" w:hAnsi="宋体" w:eastAsia="宋体" w:cs="宋体"/>
          <w:spacing w:val="2"/>
          <w:sz w:val="21"/>
          <w:szCs w:val="21"/>
        </w:rPr>
        <w:t>于25</w:t>
      </w:r>
      <w:r>
        <w:rPr>
          <w:rFonts w:ascii="Times New Roman" w:hAnsi="Times New Roman" w:eastAsia="Times New Roman" w:cs="Times New Roman"/>
          <w:sz w:val="21"/>
          <w:szCs w:val="21"/>
        </w:rPr>
        <w:t>kg</w:t>
      </w:r>
      <w:r>
        <w:rPr>
          <w:rFonts w:ascii="Times New Roman" w:hAnsi="Times New Roman" w:eastAsia="Times New Roman" w:cs="Times New Roman"/>
          <w:spacing w:val="2"/>
          <w:sz w:val="21"/>
          <w:szCs w:val="21"/>
        </w:rPr>
        <w:t>/m²</w:t>
      </w:r>
      <w:r>
        <w:rPr>
          <w:rFonts w:ascii="宋体" w:hAnsi="宋体" w:eastAsia="宋体" w:cs="宋体"/>
          <w:spacing w:val="2"/>
          <w:sz w:val="21"/>
          <w:szCs w:val="21"/>
        </w:rPr>
        <w:t>为超</w:t>
      </w:r>
      <w:r>
        <w:rPr>
          <w:rFonts w:ascii="宋体" w:hAnsi="宋体" w:eastAsia="宋体" w:cs="宋体"/>
          <w:sz w:val="21"/>
          <w:szCs w:val="21"/>
        </w:rPr>
        <w:t xml:space="preserve"> </w:t>
      </w:r>
      <w:r>
        <w:rPr>
          <w:rFonts w:ascii="宋体" w:hAnsi="宋体" w:eastAsia="宋体" w:cs="宋体"/>
          <w:spacing w:val="3"/>
          <w:sz w:val="21"/>
          <w:szCs w:val="21"/>
        </w:rPr>
        <w:t>重，等于或大于30</w:t>
      </w:r>
      <w:r>
        <w:rPr>
          <w:rFonts w:ascii="Times New Roman" w:hAnsi="Times New Roman" w:eastAsia="Times New Roman" w:cs="Times New Roman"/>
          <w:sz w:val="21"/>
          <w:szCs w:val="21"/>
        </w:rPr>
        <w:t>kg</w:t>
      </w:r>
      <w:r>
        <w:rPr>
          <w:rFonts w:ascii="Times New Roman" w:hAnsi="Times New Roman" w:eastAsia="Times New Roman" w:cs="Times New Roman"/>
          <w:spacing w:val="3"/>
          <w:sz w:val="21"/>
          <w:szCs w:val="21"/>
        </w:rPr>
        <w:t>/m²</w:t>
      </w:r>
      <w:r>
        <w:rPr>
          <w:rFonts w:ascii="宋体" w:hAnsi="宋体" w:eastAsia="宋体" w:cs="宋体"/>
          <w:spacing w:val="3"/>
          <w:sz w:val="21"/>
          <w:szCs w:val="21"/>
        </w:rPr>
        <w:t>为肥胖。我国以</w:t>
      </w:r>
      <w:r>
        <w:rPr>
          <w:rFonts w:ascii="宋体" w:hAnsi="宋体" w:eastAsia="宋体" w:cs="宋体"/>
          <w:spacing w:val="2"/>
          <w:sz w:val="21"/>
          <w:szCs w:val="21"/>
        </w:rPr>
        <w:t>24</w:t>
      </w:r>
      <w:r>
        <w:rPr>
          <w:rFonts w:ascii="Times New Roman" w:hAnsi="Times New Roman" w:eastAsia="Times New Roman" w:cs="Times New Roman"/>
          <w:sz w:val="21"/>
          <w:szCs w:val="21"/>
        </w:rPr>
        <w:t>kg</w:t>
      </w:r>
      <w:r>
        <w:rPr>
          <w:rFonts w:ascii="Times New Roman" w:hAnsi="Times New Roman" w:eastAsia="Times New Roman" w:cs="Times New Roman"/>
          <w:spacing w:val="2"/>
          <w:sz w:val="21"/>
          <w:szCs w:val="21"/>
        </w:rPr>
        <w:t>/m²</w:t>
      </w:r>
      <w:r>
        <w:rPr>
          <w:rFonts w:ascii="宋体" w:hAnsi="宋体" w:eastAsia="宋体" w:cs="宋体"/>
          <w:spacing w:val="2"/>
          <w:sz w:val="21"/>
          <w:szCs w:val="21"/>
        </w:rPr>
        <w:t>和28</w:t>
      </w:r>
      <w:r>
        <w:rPr>
          <w:rFonts w:ascii="Times New Roman" w:hAnsi="Times New Roman" w:eastAsia="Times New Roman" w:cs="Times New Roman"/>
          <w:sz w:val="21"/>
          <w:szCs w:val="21"/>
        </w:rPr>
        <w:t>kg</w:t>
      </w:r>
      <w:r>
        <w:rPr>
          <w:rFonts w:ascii="Times New Roman" w:hAnsi="Times New Roman" w:eastAsia="Times New Roman" w:cs="Times New Roman"/>
          <w:spacing w:val="2"/>
          <w:sz w:val="21"/>
          <w:szCs w:val="21"/>
        </w:rPr>
        <w:t>/m²</w:t>
      </w:r>
      <w:r>
        <w:rPr>
          <w:rFonts w:ascii="宋体" w:hAnsi="宋体" w:eastAsia="宋体" w:cs="宋体"/>
          <w:spacing w:val="2"/>
          <w:sz w:val="21"/>
          <w:szCs w:val="21"/>
        </w:rPr>
        <w:t>分别作为超重和肥胖标准的切点。2022</w:t>
      </w:r>
      <w:r>
        <w:rPr>
          <w:rFonts w:ascii="宋体" w:hAnsi="宋体" w:eastAsia="宋体" w:cs="宋体"/>
          <w:sz w:val="21"/>
          <w:szCs w:val="21"/>
        </w:rPr>
        <w:t xml:space="preserve"> </w:t>
      </w:r>
      <w:r>
        <w:rPr>
          <w:rFonts w:ascii="宋体" w:hAnsi="宋体" w:eastAsia="宋体" w:cs="宋体"/>
          <w:spacing w:val="3"/>
          <w:sz w:val="21"/>
          <w:szCs w:val="21"/>
        </w:rPr>
        <w:t>年，全球超过3.9亿名5～19岁儿童和青少年超重或肥胖；18岁及以上成人的超重和肥胖的比例分</w:t>
      </w:r>
      <w:r>
        <w:rPr>
          <w:rFonts w:ascii="宋体" w:hAnsi="宋体" w:eastAsia="宋体" w:cs="宋体"/>
          <w:spacing w:val="10"/>
          <w:sz w:val="21"/>
          <w:szCs w:val="21"/>
        </w:rPr>
        <w:t xml:space="preserve"> </w:t>
      </w:r>
      <w:r>
        <w:rPr>
          <w:rFonts w:ascii="宋体" w:hAnsi="宋体" w:eastAsia="宋体" w:cs="宋体"/>
          <w:spacing w:val="8"/>
          <w:sz w:val="21"/>
          <w:szCs w:val="21"/>
        </w:rPr>
        <w:t>别为43%和16%。自1990年以来，全球成人肥胖患病率增加了一倍多，</w:t>
      </w:r>
      <w:r>
        <w:rPr>
          <w:rFonts w:ascii="宋体" w:hAnsi="宋体" w:eastAsia="宋体" w:cs="宋体"/>
          <w:spacing w:val="7"/>
          <w:sz w:val="21"/>
          <w:szCs w:val="21"/>
        </w:rPr>
        <w:t>青少年肥胖患病率增加了</w:t>
      </w:r>
      <w:r>
        <w:rPr>
          <w:rFonts w:ascii="宋体" w:hAnsi="宋体" w:eastAsia="宋体" w:cs="宋体"/>
          <w:sz w:val="21"/>
          <w:szCs w:val="21"/>
        </w:rPr>
        <w:t xml:space="preserve"> </w:t>
      </w:r>
      <w:r>
        <w:rPr>
          <w:rFonts w:ascii="宋体" w:hAnsi="宋体" w:eastAsia="宋体" w:cs="宋体"/>
          <w:spacing w:val="1"/>
          <w:sz w:val="21"/>
          <w:szCs w:val="21"/>
        </w:rPr>
        <w:t>3倍。另外，亚洲人群体形相对偏小，同等</w:t>
      </w:r>
      <w:r>
        <w:rPr>
          <w:rFonts w:ascii="宋体" w:hAnsi="宋体" w:eastAsia="宋体" w:cs="宋体"/>
          <w:sz w:val="21"/>
          <w:szCs w:val="21"/>
        </w:rPr>
        <w:t>BMI</w:t>
      </w:r>
      <w:r>
        <w:rPr>
          <w:rFonts w:ascii="宋体" w:hAnsi="宋体" w:eastAsia="宋体" w:cs="宋体"/>
          <w:spacing w:val="1"/>
          <w:sz w:val="21"/>
          <w:szCs w:val="21"/>
        </w:rPr>
        <w:t xml:space="preserve"> 水平下体脂含量更高，向心性肥胖的风险尤其值得</w:t>
      </w:r>
      <w:r>
        <w:rPr>
          <w:rFonts w:ascii="宋体" w:hAnsi="宋体" w:eastAsia="宋体" w:cs="宋体"/>
          <w:sz w:val="21"/>
          <w:szCs w:val="21"/>
        </w:rPr>
        <w:t xml:space="preserve"> </w:t>
      </w:r>
      <w:r>
        <w:rPr>
          <w:rFonts w:ascii="宋体" w:hAnsi="宋体" w:eastAsia="宋体" w:cs="宋体"/>
          <w:spacing w:val="6"/>
          <w:sz w:val="21"/>
          <w:szCs w:val="21"/>
        </w:rPr>
        <w:t>关注。研究发现，亚洲人群通常在较低的</w:t>
      </w:r>
      <w:r>
        <w:rPr>
          <w:rFonts w:ascii="Times New Roman" w:hAnsi="Times New Roman" w:eastAsia="Times New Roman" w:cs="Times New Roman"/>
          <w:sz w:val="21"/>
          <w:szCs w:val="21"/>
        </w:rPr>
        <w:t>BMI</w:t>
      </w:r>
      <w:r>
        <w:rPr>
          <w:rFonts w:ascii="宋体" w:hAnsi="宋体" w:eastAsia="宋体" w:cs="宋体"/>
          <w:spacing w:val="6"/>
          <w:sz w:val="21"/>
          <w:szCs w:val="21"/>
        </w:rPr>
        <w:t>水平下即可出现2型糖尿病等问题</w:t>
      </w:r>
      <w:r>
        <w:rPr>
          <w:rFonts w:ascii="宋体" w:hAnsi="宋体" w:eastAsia="宋体" w:cs="宋体"/>
          <w:spacing w:val="5"/>
          <w:sz w:val="21"/>
          <w:szCs w:val="21"/>
        </w:rPr>
        <w:t>。因此对于亚洲</w:t>
      </w:r>
    </w:p>
    <w:p w14:paraId="29E51810">
      <w:pPr>
        <w:spacing w:line="325" w:lineRule="auto"/>
        <w:rPr>
          <w:rFonts w:ascii="宋体" w:hAnsi="宋体" w:eastAsia="宋体" w:cs="宋体"/>
          <w:sz w:val="21"/>
          <w:szCs w:val="21"/>
        </w:rPr>
        <w:sectPr>
          <w:footerReference r:id="rId234" w:type="default"/>
          <w:pgSz w:w="11900" w:h="16820"/>
          <w:pgMar w:top="400" w:right="829" w:bottom="866" w:left="1440" w:header="0" w:footer="677" w:gutter="0"/>
          <w:cols w:space="720" w:num="1"/>
        </w:sectPr>
      </w:pPr>
    </w:p>
    <w:p w14:paraId="1BA7310B">
      <w:pPr>
        <w:pStyle w:val="2"/>
        <w:spacing w:before="126" w:line="221" w:lineRule="auto"/>
        <w:ind w:left="619"/>
        <w:rPr>
          <w:sz w:val="20"/>
          <w:szCs w:val="20"/>
        </w:rPr>
      </w:pPr>
      <w:bookmarkStart w:id="368" w:name="bookmark522"/>
      <w:bookmarkEnd w:id="368"/>
      <w:r>
        <w:rPr>
          <w:spacing w:val="-16"/>
          <w:w w:val="96"/>
          <w:sz w:val="20"/>
          <w:szCs w:val="20"/>
        </w:rPr>
        <w:t>第十四章慢性病流行病学</w:t>
      </w:r>
    </w:p>
    <w:p w14:paraId="6EE5533E">
      <w:pPr>
        <w:spacing w:line="285" w:lineRule="auto"/>
        <w:rPr>
          <w:rFonts w:ascii="Arial"/>
          <w:sz w:val="21"/>
        </w:rPr>
      </w:pPr>
    </w:p>
    <w:p w14:paraId="0E1F1E5D">
      <w:pPr>
        <w:spacing w:line="285" w:lineRule="auto"/>
        <w:rPr>
          <w:rFonts w:ascii="Arial"/>
          <w:sz w:val="21"/>
        </w:rPr>
      </w:pPr>
    </w:p>
    <w:p w14:paraId="5A9EA2F1">
      <w:pPr>
        <w:spacing w:before="65" w:line="212" w:lineRule="auto"/>
        <w:ind w:left="619"/>
        <w:rPr>
          <w:rFonts w:ascii="宋体" w:hAnsi="宋体" w:eastAsia="宋体" w:cs="宋体"/>
          <w:sz w:val="20"/>
          <w:szCs w:val="20"/>
        </w:rPr>
      </w:pPr>
      <w:r>
        <w:rPr>
          <w:rFonts w:ascii="宋体" w:hAnsi="宋体" w:eastAsia="宋体" w:cs="宋体"/>
          <w:spacing w:val="-5"/>
          <w:sz w:val="20"/>
          <w:szCs w:val="20"/>
        </w:rPr>
        <w:t>人群，不仅需要关注</w:t>
      </w:r>
      <w:r>
        <w:rPr>
          <w:rFonts w:ascii="Times New Roman" w:hAnsi="Times New Roman" w:eastAsia="Times New Roman" w:cs="Times New Roman"/>
          <w:spacing w:val="-5"/>
          <w:sz w:val="20"/>
          <w:szCs w:val="20"/>
        </w:rPr>
        <w:t>BMI,</w:t>
      </w:r>
      <w:r>
        <w:rPr>
          <w:rFonts w:ascii="宋体" w:hAnsi="宋体" w:eastAsia="宋体" w:cs="宋体"/>
          <w:spacing w:val="-5"/>
          <w:sz w:val="20"/>
          <w:szCs w:val="20"/>
        </w:rPr>
        <w:t>更加需要关注腹部脂肪。</w:t>
      </w:r>
    </w:p>
    <w:p w14:paraId="7D259560">
      <w:pPr>
        <w:pStyle w:val="2"/>
        <w:spacing w:before="122" w:line="222" w:lineRule="auto"/>
        <w:ind w:left="1039"/>
        <w:rPr>
          <w:sz w:val="20"/>
          <w:szCs w:val="20"/>
        </w:rPr>
      </w:pPr>
      <w:r>
        <w:rPr>
          <w:spacing w:val="20"/>
          <w:sz w:val="20"/>
          <w:szCs w:val="20"/>
        </w:rPr>
        <w:t>(六)空气污染</w:t>
      </w:r>
    </w:p>
    <w:p w14:paraId="1D240A79">
      <w:pPr>
        <w:spacing w:before="128" w:line="341" w:lineRule="auto"/>
        <w:ind w:left="619" w:right="31" w:firstLine="419"/>
        <w:jc w:val="both"/>
        <w:rPr>
          <w:rFonts w:ascii="宋体" w:hAnsi="宋体" w:eastAsia="宋体" w:cs="宋体"/>
          <w:sz w:val="20"/>
          <w:szCs w:val="20"/>
        </w:rPr>
      </w:pPr>
      <w:r>
        <w:rPr>
          <w:rFonts w:ascii="宋体" w:hAnsi="宋体" w:eastAsia="宋体" w:cs="宋体"/>
          <w:spacing w:val="1"/>
          <w:sz w:val="20"/>
          <w:szCs w:val="20"/>
        </w:rPr>
        <w:t>空气中可吸入颗粒物(主要包括</w:t>
      </w:r>
      <w:r>
        <w:rPr>
          <w:rFonts w:ascii="Times New Roman" w:hAnsi="Times New Roman" w:eastAsia="Times New Roman" w:cs="Times New Roman"/>
          <w:sz w:val="20"/>
          <w:szCs w:val="20"/>
        </w:rPr>
        <w:t>PM</w:t>
      </w:r>
      <w:r>
        <w:rPr>
          <w:rFonts w:ascii="Times New Roman" w:hAnsi="Times New Roman" w:eastAsia="Times New Roman" w:cs="Times New Roman"/>
          <w:spacing w:val="1"/>
          <w:sz w:val="20"/>
          <w:szCs w:val="20"/>
        </w:rPr>
        <w:t xml:space="preserve">₂₅ </w:t>
      </w:r>
      <w:r>
        <w:rPr>
          <w:rFonts w:ascii="宋体" w:hAnsi="宋体" w:eastAsia="宋体" w:cs="宋体"/>
          <w:spacing w:val="1"/>
          <w:sz w:val="20"/>
          <w:szCs w:val="20"/>
        </w:rPr>
        <w:t>与</w:t>
      </w:r>
      <w:r>
        <w:rPr>
          <w:rFonts w:ascii="宋体" w:hAnsi="宋体" w:eastAsia="宋体" w:cs="宋体"/>
          <w:spacing w:val="-38"/>
          <w:sz w:val="20"/>
          <w:szCs w:val="20"/>
        </w:rPr>
        <w:t xml:space="preserve"> </w:t>
      </w:r>
      <w:r>
        <w:rPr>
          <w:rFonts w:ascii="Times New Roman" w:hAnsi="Times New Roman" w:eastAsia="Times New Roman" w:cs="Times New Roman"/>
          <w:sz w:val="20"/>
          <w:szCs w:val="20"/>
        </w:rPr>
        <w:t>PM</w:t>
      </w:r>
      <w:r>
        <w:rPr>
          <w:rFonts w:ascii="Times New Roman" w:hAnsi="Times New Roman" w:eastAsia="Times New Roman" w:cs="Times New Roman"/>
          <w:spacing w:val="1"/>
          <w:sz w:val="20"/>
          <w:szCs w:val="20"/>
        </w:rPr>
        <w:t>₁₀,</w:t>
      </w:r>
      <w:r>
        <w:rPr>
          <w:rFonts w:ascii="Times New Roman" w:hAnsi="Times New Roman" w:eastAsia="Times New Roman" w:cs="Times New Roman"/>
          <w:spacing w:val="14"/>
          <w:w w:val="101"/>
          <w:sz w:val="20"/>
          <w:szCs w:val="20"/>
        </w:rPr>
        <w:t xml:space="preserve"> </w:t>
      </w:r>
      <w:r>
        <w:rPr>
          <w:rFonts w:ascii="宋体" w:hAnsi="宋体" w:eastAsia="宋体" w:cs="宋体"/>
          <w:spacing w:val="1"/>
          <w:sz w:val="20"/>
          <w:szCs w:val="20"/>
        </w:rPr>
        <w:t>即空气中直径小于或等于2.5μ</w:t>
      </w:r>
      <w:r>
        <w:rPr>
          <w:rFonts w:ascii="Times New Roman" w:hAnsi="Times New Roman" w:eastAsia="Times New Roman" w:cs="Times New Roman"/>
          <w:spacing w:val="1"/>
          <w:sz w:val="20"/>
          <w:szCs w:val="20"/>
        </w:rPr>
        <w:t>m</w:t>
      </w:r>
      <w:r>
        <w:rPr>
          <w:rFonts w:ascii="宋体" w:hAnsi="宋体" w:eastAsia="宋体" w:cs="宋体"/>
          <w:spacing w:val="1"/>
          <w:sz w:val="20"/>
          <w:szCs w:val="20"/>
        </w:rPr>
        <w:t>或1</w:t>
      </w:r>
      <w:r>
        <w:rPr>
          <w:rFonts w:ascii="宋体" w:hAnsi="宋体" w:eastAsia="宋体" w:cs="宋体"/>
          <w:sz w:val="20"/>
          <w:szCs w:val="20"/>
        </w:rPr>
        <w:t>0μ</w:t>
      </w:r>
      <w:r>
        <w:rPr>
          <w:rFonts w:ascii="Times New Roman" w:hAnsi="Times New Roman" w:eastAsia="Times New Roman" w:cs="Times New Roman"/>
          <w:sz w:val="20"/>
          <w:szCs w:val="20"/>
        </w:rPr>
        <w:t xml:space="preserve">m </w:t>
      </w:r>
      <w:r>
        <w:rPr>
          <w:rFonts w:ascii="宋体" w:hAnsi="宋体" w:eastAsia="宋体" w:cs="宋体"/>
          <w:sz w:val="20"/>
          <w:szCs w:val="20"/>
        </w:rPr>
        <w:t xml:space="preserve">的颗 </w:t>
      </w:r>
      <w:r>
        <w:rPr>
          <w:rFonts w:ascii="宋体" w:hAnsi="宋体" w:eastAsia="宋体" w:cs="宋体"/>
          <w:spacing w:val="-10"/>
          <w:sz w:val="20"/>
          <w:szCs w:val="20"/>
        </w:rPr>
        <w:t>粒)的主要成分是硫酸盐、硝酸盐、氨、氯化钠、黑炭、矿物粉尘和水，包括悬浮在空气中的有机物和</w:t>
      </w:r>
      <w:r>
        <w:rPr>
          <w:rFonts w:ascii="宋体" w:hAnsi="宋体" w:eastAsia="宋体" w:cs="宋体"/>
          <w:spacing w:val="14"/>
          <w:sz w:val="20"/>
          <w:szCs w:val="20"/>
        </w:rPr>
        <w:t xml:space="preserve"> </w:t>
      </w:r>
      <w:r>
        <w:rPr>
          <w:rFonts w:ascii="宋体" w:hAnsi="宋体" w:eastAsia="宋体" w:cs="宋体"/>
          <w:spacing w:val="2"/>
          <w:sz w:val="20"/>
          <w:szCs w:val="20"/>
        </w:rPr>
        <w:t>无机物的固体和液体复杂混合物。长期暴露于</w:t>
      </w:r>
      <w:r>
        <w:rPr>
          <w:rFonts w:ascii="宋体" w:hAnsi="宋体" w:eastAsia="宋体" w:cs="宋体"/>
          <w:spacing w:val="1"/>
          <w:sz w:val="20"/>
          <w:szCs w:val="20"/>
        </w:rPr>
        <w:t>这些颗粒物可增加罹患心血管疾病和呼吸系统疾病</w:t>
      </w:r>
      <w:r>
        <w:rPr>
          <w:rFonts w:ascii="宋体" w:hAnsi="宋体" w:eastAsia="宋体" w:cs="宋体"/>
          <w:sz w:val="20"/>
          <w:szCs w:val="20"/>
        </w:rPr>
        <w:t xml:space="preserve"> </w:t>
      </w:r>
      <w:r>
        <w:rPr>
          <w:rFonts w:ascii="宋体" w:hAnsi="宋体" w:eastAsia="宋体" w:cs="宋体"/>
          <w:spacing w:val="4"/>
          <w:sz w:val="20"/>
          <w:szCs w:val="20"/>
        </w:rPr>
        <w:t>的风险。根据</w:t>
      </w:r>
      <w:r>
        <w:rPr>
          <w:rFonts w:ascii="Times New Roman" w:hAnsi="Times New Roman" w:eastAsia="Times New Roman" w:cs="Times New Roman"/>
          <w:sz w:val="20"/>
          <w:szCs w:val="20"/>
        </w:rPr>
        <w:t>WHO</w:t>
      </w:r>
      <w:r>
        <w:rPr>
          <w:rFonts w:ascii="宋体" w:hAnsi="宋体" w:eastAsia="宋体" w:cs="宋体"/>
          <w:spacing w:val="4"/>
          <w:sz w:val="20"/>
          <w:szCs w:val="20"/>
        </w:rPr>
        <w:t>估计，室外空气污染每年导致约420万人过早死亡，其中约37%死于</w:t>
      </w:r>
      <w:r>
        <w:rPr>
          <w:rFonts w:ascii="宋体" w:hAnsi="宋体" w:eastAsia="宋体" w:cs="宋体"/>
          <w:spacing w:val="3"/>
          <w:sz w:val="20"/>
          <w:szCs w:val="20"/>
        </w:rPr>
        <w:t>缺血性心</w:t>
      </w:r>
      <w:r>
        <w:rPr>
          <w:rFonts w:ascii="宋体" w:hAnsi="宋体" w:eastAsia="宋体" w:cs="宋体"/>
          <w:sz w:val="20"/>
          <w:szCs w:val="20"/>
        </w:rPr>
        <w:t xml:space="preserve"> </w:t>
      </w:r>
      <w:r>
        <w:rPr>
          <w:rFonts w:ascii="宋体" w:hAnsi="宋体" w:eastAsia="宋体" w:cs="宋体"/>
          <w:spacing w:val="1"/>
          <w:sz w:val="20"/>
          <w:szCs w:val="20"/>
        </w:rPr>
        <w:t>脏病和脑卒中，18%死于</w:t>
      </w:r>
      <w:r>
        <w:rPr>
          <w:rFonts w:ascii="Times New Roman" w:hAnsi="Times New Roman" w:eastAsia="Times New Roman" w:cs="Times New Roman"/>
          <w:sz w:val="20"/>
          <w:szCs w:val="20"/>
        </w:rPr>
        <w:t>COPD</w:t>
      </w:r>
      <w:r>
        <w:rPr>
          <w:rFonts w:ascii="Times New Roman" w:hAnsi="Times New Roman" w:eastAsia="Times New Roman" w:cs="Times New Roman"/>
          <w:spacing w:val="1"/>
          <w:sz w:val="20"/>
          <w:szCs w:val="20"/>
        </w:rPr>
        <w:t>,23%</w:t>
      </w:r>
      <w:r>
        <w:rPr>
          <w:rFonts w:ascii="Times New Roman" w:hAnsi="Times New Roman" w:eastAsia="Times New Roman" w:cs="Times New Roman"/>
          <w:spacing w:val="17"/>
          <w:w w:val="101"/>
          <w:sz w:val="20"/>
          <w:szCs w:val="20"/>
        </w:rPr>
        <w:t xml:space="preserve"> </w:t>
      </w:r>
      <w:r>
        <w:rPr>
          <w:rFonts w:ascii="宋体" w:hAnsi="宋体" w:eastAsia="宋体" w:cs="宋体"/>
          <w:spacing w:val="1"/>
          <w:sz w:val="20"/>
          <w:szCs w:val="20"/>
        </w:rPr>
        <w:t>死于急性下呼吸道感染，11%死于呼吸道癌症。此外，室</w:t>
      </w:r>
      <w:r>
        <w:rPr>
          <w:rFonts w:ascii="宋体" w:hAnsi="宋体" w:eastAsia="宋体" w:cs="宋体"/>
          <w:sz w:val="20"/>
          <w:szCs w:val="20"/>
        </w:rPr>
        <w:t xml:space="preserve">内空 </w:t>
      </w:r>
      <w:r>
        <w:rPr>
          <w:rFonts w:ascii="宋体" w:hAnsi="宋体" w:eastAsia="宋体" w:cs="宋体"/>
          <w:spacing w:val="6"/>
          <w:sz w:val="20"/>
          <w:szCs w:val="20"/>
        </w:rPr>
        <w:t>气污染每年导致约320万人过早死亡，其中约32%死</w:t>
      </w:r>
      <w:r>
        <w:rPr>
          <w:rFonts w:ascii="宋体" w:hAnsi="宋体" w:eastAsia="宋体" w:cs="宋体"/>
          <w:spacing w:val="5"/>
          <w:sz w:val="20"/>
          <w:szCs w:val="20"/>
        </w:rPr>
        <w:t>于缺血性心脏病，23%死于脑卒中，21%死于</w:t>
      </w:r>
      <w:r>
        <w:rPr>
          <w:rFonts w:ascii="宋体" w:hAnsi="宋体" w:eastAsia="宋体" w:cs="宋体"/>
          <w:sz w:val="20"/>
          <w:szCs w:val="20"/>
        </w:rPr>
        <w:t xml:space="preserve"> </w:t>
      </w:r>
      <w:r>
        <w:rPr>
          <w:rFonts w:ascii="宋体" w:hAnsi="宋体" w:eastAsia="宋体" w:cs="宋体"/>
          <w:spacing w:val="1"/>
          <w:sz w:val="20"/>
          <w:szCs w:val="20"/>
        </w:rPr>
        <w:t>下呼吸道感染，19%死于</w:t>
      </w:r>
      <w:r>
        <w:rPr>
          <w:rFonts w:ascii="Times New Roman" w:hAnsi="Times New Roman" w:eastAsia="Times New Roman" w:cs="Times New Roman"/>
          <w:sz w:val="20"/>
          <w:szCs w:val="20"/>
        </w:rPr>
        <w:t>COPD</w:t>
      </w:r>
      <w:r>
        <w:rPr>
          <w:rFonts w:ascii="Times New Roman" w:hAnsi="Times New Roman" w:eastAsia="Times New Roman" w:cs="Times New Roman"/>
          <w:spacing w:val="1"/>
          <w:sz w:val="20"/>
          <w:szCs w:val="20"/>
        </w:rPr>
        <w:t>,</w:t>
      </w:r>
      <w:r>
        <w:rPr>
          <w:rFonts w:ascii="宋体" w:hAnsi="宋体" w:eastAsia="宋体" w:cs="宋体"/>
          <w:spacing w:val="1"/>
          <w:sz w:val="20"/>
          <w:szCs w:val="20"/>
        </w:rPr>
        <w:t>其余部分则死于肺癌。</w:t>
      </w:r>
    </w:p>
    <w:p w14:paraId="7EF99B1A">
      <w:pPr>
        <w:pStyle w:val="2"/>
        <w:spacing w:before="44" w:line="222" w:lineRule="auto"/>
        <w:ind w:left="1039"/>
        <w:rPr>
          <w:sz w:val="20"/>
          <w:szCs w:val="20"/>
        </w:rPr>
      </w:pPr>
      <w:r>
        <w:rPr>
          <w:spacing w:val="21"/>
          <w:sz w:val="20"/>
          <w:szCs w:val="20"/>
        </w:rPr>
        <w:t>(七)过量饮酒</w:t>
      </w:r>
    </w:p>
    <w:p w14:paraId="788DBE34">
      <w:pPr>
        <w:spacing w:before="129" w:line="341" w:lineRule="auto"/>
        <w:ind w:left="619" w:right="11" w:firstLine="419"/>
        <w:rPr>
          <w:rFonts w:ascii="宋体" w:hAnsi="宋体" w:eastAsia="宋体" w:cs="宋体"/>
          <w:sz w:val="20"/>
          <w:szCs w:val="20"/>
        </w:rPr>
      </w:pPr>
      <w:r>
        <w:rPr>
          <w:rFonts w:ascii="宋体" w:hAnsi="宋体" w:eastAsia="宋体" w:cs="宋体"/>
          <w:sz w:val="20"/>
          <w:szCs w:val="20"/>
        </w:rPr>
        <w:t>过量饮酒与多种慢性病(如心血管疾病、肝硬化及癌症)相关。根</w:t>
      </w:r>
      <w:r>
        <w:rPr>
          <w:rFonts w:ascii="宋体" w:hAnsi="宋体" w:eastAsia="宋体" w:cs="宋体"/>
          <w:spacing w:val="-1"/>
          <w:sz w:val="20"/>
          <w:szCs w:val="20"/>
        </w:rPr>
        <w:t>据</w:t>
      </w:r>
      <w:r>
        <w:rPr>
          <w:rFonts w:ascii="Times New Roman" w:hAnsi="Times New Roman" w:eastAsia="Times New Roman" w:cs="Times New Roman"/>
          <w:spacing w:val="-1"/>
          <w:sz w:val="20"/>
          <w:szCs w:val="20"/>
        </w:rPr>
        <w:t>WHO</w:t>
      </w:r>
      <w:r>
        <w:rPr>
          <w:rFonts w:ascii="宋体" w:hAnsi="宋体" w:eastAsia="宋体" w:cs="宋体"/>
          <w:spacing w:val="-1"/>
          <w:sz w:val="20"/>
          <w:szCs w:val="20"/>
        </w:rPr>
        <w:t>的报告，每年过量饮</w:t>
      </w:r>
      <w:r>
        <w:rPr>
          <w:rFonts w:ascii="宋体" w:hAnsi="宋体" w:eastAsia="宋体" w:cs="宋体"/>
          <w:sz w:val="20"/>
          <w:szCs w:val="20"/>
        </w:rPr>
        <w:t xml:space="preserve"> </w:t>
      </w:r>
      <w:r>
        <w:rPr>
          <w:rFonts w:ascii="宋体" w:hAnsi="宋体" w:eastAsia="宋体" w:cs="宋体"/>
          <w:spacing w:val="2"/>
          <w:sz w:val="20"/>
          <w:szCs w:val="20"/>
        </w:rPr>
        <w:t>酒导致300万例死亡，占所有死亡数的5.3%,由过量饮酒导致的全球疾</w:t>
      </w:r>
      <w:r>
        <w:rPr>
          <w:rFonts w:ascii="宋体" w:hAnsi="宋体" w:eastAsia="宋体" w:cs="宋体"/>
          <w:spacing w:val="1"/>
          <w:sz w:val="20"/>
          <w:szCs w:val="20"/>
        </w:rPr>
        <w:t>病和损伤负担比例达5.1%。</w:t>
      </w:r>
    </w:p>
    <w:p w14:paraId="7DEA870B">
      <w:pPr>
        <w:spacing w:line="363" w:lineRule="auto"/>
        <w:rPr>
          <w:rFonts w:ascii="Arial"/>
          <w:sz w:val="21"/>
        </w:rPr>
      </w:pPr>
    </w:p>
    <w:p w14:paraId="55C4A84F">
      <w:pPr>
        <w:pStyle w:val="2"/>
        <w:spacing w:before="95" w:line="221" w:lineRule="auto"/>
        <w:ind w:left="3334"/>
        <w:outlineLvl w:val="1"/>
        <w:rPr>
          <w:sz w:val="29"/>
          <w:szCs w:val="29"/>
        </w:rPr>
      </w:pPr>
      <w:bookmarkStart w:id="369" w:name="bookmark235"/>
      <w:bookmarkEnd w:id="369"/>
      <w:r>
        <w:rPr>
          <w:b/>
          <w:bCs/>
          <w:spacing w:val="-9"/>
          <w:sz w:val="29"/>
          <w:szCs w:val="29"/>
        </w:rPr>
        <w:t>第三节</w:t>
      </w:r>
      <w:r>
        <w:rPr>
          <w:spacing w:val="95"/>
          <w:sz w:val="29"/>
          <w:szCs w:val="29"/>
        </w:rPr>
        <w:t xml:space="preserve"> </w:t>
      </w:r>
      <w:r>
        <w:rPr>
          <w:b/>
          <w:bCs/>
          <w:spacing w:val="-9"/>
          <w:sz w:val="29"/>
          <w:szCs w:val="29"/>
        </w:rPr>
        <w:t>预防策略与措施</w:t>
      </w:r>
    </w:p>
    <w:p w14:paraId="1FFCA0B1">
      <w:pPr>
        <w:spacing w:line="463" w:lineRule="auto"/>
        <w:rPr>
          <w:rFonts w:ascii="Arial"/>
          <w:sz w:val="21"/>
        </w:rPr>
      </w:pPr>
    </w:p>
    <w:p w14:paraId="2BD52953">
      <w:pPr>
        <w:pStyle w:val="2"/>
        <w:spacing w:before="66" w:line="222" w:lineRule="auto"/>
        <w:ind w:left="1042"/>
        <w:outlineLvl w:val="4"/>
        <w:rPr>
          <w:sz w:val="20"/>
          <w:szCs w:val="20"/>
        </w:rPr>
      </w:pPr>
      <w:bookmarkStart w:id="370" w:name="bookmark236"/>
      <w:bookmarkEnd w:id="370"/>
      <w:r>
        <w:rPr>
          <w:b/>
          <w:bCs/>
          <w:spacing w:val="-23"/>
          <w:sz w:val="20"/>
          <w:szCs w:val="20"/>
        </w:rPr>
        <w:t>一</w:t>
      </w:r>
      <w:r>
        <w:rPr>
          <w:spacing w:val="5"/>
          <w:sz w:val="20"/>
          <w:szCs w:val="20"/>
        </w:rPr>
        <w:t xml:space="preserve"> </w:t>
      </w:r>
      <w:r>
        <w:rPr>
          <w:b/>
          <w:bCs/>
          <w:spacing w:val="-23"/>
          <w:sz w:val="20"/>
          <w:szCs w:val="20"/>
        </w:rPr>
        <w:t>、策</w:t>
      </w:r>
      <w:r>
        <w:rPr>
          <w:spacing w:val="33"/>
          <w:sz w:val="20"/>
          <w:szCs w:val="20"/>
        </w:rPr>
        <w:t xml:space="preserve"> </w:t>
      </w:r>
      <w:r>
        <w:rPr>
          <w:b/>
          <w:bCs/>
          <w:spacing w:val="-23"/>
          <w:sz w:val="20"/>
          <w:szCs w:val="20"/>
        </w:rPr>
        <w:t>略</w:t>
      </w:r>
    </w:p>
    <w:p w14:paraId="16F64A9C">
      <w:pPr>
        <w:spacing w:before="294" w:line="340" w:lineRule="auto"/>
        <w:ind w:left="619" w:right="36" w:firstLine="419"/>
        <w:jc w:val="both"/>
        <w:rPr>
          <w:rFonts w:ascii="宋体" w:hAnsi="宋体" w:eastAsia="宋体" w:cs="宋体"/>
          <w:sz w:val="20"/>
          <w:szCs w:val="20"/>
        </w:rPr>
      </w:pPr>
      <w:r>
        <w:rPr>
          <w:rFonts w:ascii="宋体" w:hAnsi="宋体" w:eastAsia="宋体" w:cs="宋体"/>
          <w:spacing w:val="1"/>
          <w:sz w:val="20"/>
          <w:szCs w:val="20"/>
        </w:rPr>
        <w:t>本书第九章中讲解的疾病预防策略与措施适用于慢性病的预防。这里要特别强调第一级预防</w:t>
      </w:r>
      <w:r>
        <w:rPr>
          <w:rFonts w:ascii="宋体" w:hAnsi="宋体" w:eastAsia="宋体" w:cs="宋体"/>
          <w:sz w:val="20"/>
          <w:szCs w:val="20"/>
        </w:rPr>
        <w:t xml:space="preserve"> </w:t>
      </w:r>
      <w:r>
        <w:rPr>
          <w:rFonts w:ascii="宋体" w:hAnsi="宋体" w:eastAsia="宋体" w:cs="宋体"/>
          <w:spacing w:val="-4"/>
          <w:sz w:val="20"/>
          <w:szCs w:val="20"/>
        </w:rPr>
        <w:t>中的根本预防，即在人群水平上预防危险因素的流行。已有研究显示，一些成年期</w:t>
      </w:r>
      <w:r>
        <w:rPr>
          <w:rFonts w:ascii="宋体" w:hAnsi="宋体" w:eastAsia="宋体" w:cs="宋体"/>
          <w:spacing w:val="-5"/>
          <w:sz w:val="20"/>
          <w:szCs w:val="20"/>
        </w:rPr>
        <w:t>慢性病的风险始</w:t>
      </w:r>
      <w:r>
        <w:rPr>
          <w:rFonts w:ascii="宋体" w:hAnsi="宋体" w:eastAsia="宋体" w:cs="宋体"/>
          <w:sz w:val="20"/>
          <w:szCs w:val="20"/>
        </w:rPr>
        <w:t xml:space="preserve"> </w:t>
      </w:r>
      <w:r>
        <w:rPr>
          <w:rFonts w:ascii="宋体" w:hAnsi="宋体" w:eastAsia="宋体" w:cs="宋体"/>
          <w:spacing w:val="-4"/>
          <w:sz w:val="20"/>
          <w:szCs w:val="20"/>
        </w:rPr>
        <w:t>于生命早期的不良暴露，包括出生前孕母的不良暴露。很多不健康的生活方式是从小养成的，一旦</w:t>
      </w:r>
      <w:r>
        <w:rPr>
          <w:rFonts w:ascii="宋体" w:hAnsi="宋体" w:eastAsia="宋体" w:cs="宋体"/>
          <w:spacing w:val="12"/>
          <w:sz w:val="20"/>
          <w:szCs w:val="20"/>
        </w:rPr>
        <w:t xml:space="preserve"> </w:t>
      </w:r>
      <w:r>
        <w:rPr>
          <w:rFonts w:ascii="宋体" w:hAnsi="宋体" w:eastAsia="宋体" w:cs="宋体"/>
          <w:spacing w:val="-8"/>
          <w:sz w:val="20"/>
          <w:szCs w:val="20"/>
        </w:rPr>
        <w:t>形成习惯，改变并非易事。因此，慢性病的预防应该从生命的早期开始，贯</w:t>
      </w:r>
      <w:r>
        <w:rPr>
          <w:rFonts w:ascii="宋体" w:hAnsi="宋体" w:eastAsia="宋体" w:cs="宋体"/>
          <w:spacing w:val="-9"/>
          <w:sz w:val="20"/>
          <w:szCs w:val="20"/>
        </w:rPr>
        <w:t>穿生命全过程，即全生命</w:t>
      </w:r>
      <w:r>
        <w:rPr>
          <w:rFonts w:ascii="宋体" w:hAnsi="宋体" w:eastAsia="宋体" w:cs="宋体"/>
          <w:sz w:val="20"/>
          <w:szCs w:val="20"/>
        </w:rPr>
        <w:t xml:space="preserve"> </w:t>
      </w:r>
      <w:r>
        <w:rPr>
          <w:rFonts w:ascii="宋体" w:hAnsi="宋体" w:eastAsia="宋体" w:cs="宋体"/>
          <w:spacing w:val="1"/>
          <w:sz w:val="20"/>
          <w:szCs w:val="20"/>
        </w:rPr>
        <w:t>周期策略，整合以个体为基础的高危策略和以人群为基础的全人群策略。根本预防旨在以政府为</w:t>
      </w:r>
      <w:r>
        <w:rPr>
          <w:rFonts w:ascii="宋体" w:hAnsi="宋体" w:eastAsia="宋体" w:cs="宋体"/>
          <w:spacing w:val="17"/>
          <w:sz w:val="20"/>
          <w:szCs w:val="20"/>
        </w:rPr>
        <w:t xml:space="preserve"> </w:t>
      </w:r>
      <w:r>
        <w:rPr>
          <w:rFonts w:ascii="宋体" w:hAnsi="宋体" w:eastAsia="宋体" w:cs="宋体"/>
          <w:spacing w:val="-8"/>
          <w:sz w:val="20"/>
          <w:szCs w:val="20"/>
        </w:rPr>
        <w:t>主体，多部门参与，通过制定法规、政策或指南，并采取措施，防止可能引发公</w:t>
      </w:r>
      <w:r>
        <w:rPr>
          <w:rFonts w:ascii="宋体" w:hAnsi="宋体" w:eastAsia="宋体" w:cs="宋体"/>
          <w:spacing w:val="-9"/>
          <w:sz w:val="20"/>
          <w:szCs w:val="20"/>
        </w:rPr>
        <w:t>共卫生事件的各种不</w:t>
      </w:r>
      <w:r>
        <w:rPr>
          <w:rFonts w:ascii="宋体" w:hAnsi="宋体" w:eastAsia="宋体" w:cs="宋体"/>
          <w:sz w:val="20"/>
          <w:szCs w:val="20"/>
        </w:rPr>
        <w:t xml:space="preserve"> </w:t>
      </w:r>
      <w:r>
        <w:rPr>
          <w:rFonts w:ascii="宋体" w:hAnsi="宋体" w:eastAsia="宋体" w:cs="宋体"/>
          <w:spacing w:val="-8"/>
          <w:sz w:val="20"/>
          <w:szCs w:val="20"/>
        </w:rPr>
        <w:t>良因素的出现，确保全人群获得适当、经济的卫生保健。慢性病防控应是政府主导、多部门协作、全</w:t>
      </w:r>
      <w:r>
        <w:rPr>
          <w:rFonts w:ascii="宋体" w:hAnsi="宋体" w:eastAsia="宋体" w:cs="宋体"/>
          <w:spacing w:val="10"/>
          <w:sz w:val="20"/>
          <w:szCs w:val="20"/>
        </w:rPr>
        <w:t xml:space="preserve"> </w:t>
      </w:r>
      <w:r>
        <w:rPr>
          <w:rFonts w:ascii="宋体" w:hAnsi="宋体" w:eastAsia="宋体" w:cs="宋体"/>
          <w:sz w:val="20"/>
          <w:szCs w:val="20"/>
        </w:rPr>
        <w:t>社会参与的系统工程，围绕着导致疾病负担的主要慢性病的共同和</w:t>
      </w:r>
      <w:r>
        <w:rPr>
          <w:rFonts w:ascii="宋体" w:hAnsi="宋体" w:eastAsia="宋体" w:cs="宋体"/>
          <w:spacing w:val="-1"/>
          <w:sz w:val="20"/>
          <w:szCs w:val="20"/>
        </w:rPr>
        <w:t>可改变的危险因素来进行。</w:t>
      </w:r>
      <w:r>
        <w:rPr>
          <w:rFonts w:ascii="宋体" w:hAnsi="宋体" w:eastAsia="宋体" w:cs="宋体"/>
          <w:spacing w:val="-27"/>
          <w:sz w:val="20"/>
          <w:szCs w:val="20"/>
        </w:rPr>
        <w:t xml:space="preserve"> </w:t>
      </w:r>
      <w:r>
        <w:rPr>
          <w:rFonts w:ascii="宋体" w:hAnsi="宋体" w:eastAsia="宋体" w:cs="宋体"/>
          <w:spacing w:val="-1"/>
          <w:sz w:val="20"/>
          <w:szCs w:val="20"/>
        </w:rPr>
        <w:t>一</w:t>
      </w:r>
      <w:r>
        <w:rPr>
          <w:rFonts w:ascii="宋体" w:hAnsi="宋体" w:eastAsia="宋体" w:cs="宋体"/>
          <w:sz w:val="20"/>
          <w:szCs w:val="20"/>
        </w:rPr>
        <w:t xml:space="preserve"> </w:t>
      </w:r>
      <w:r>
        <w:rPr>
          <w:rFonts w:ascii="宋体" w:hAnsi="宋体" w:eastAsia="宋体" w:cs="宋体"/>
          <w:spacing w:val="-3"/>
          <w:sz w:val="20"/>
          <w:szCs w:val="20"/>
        </w:rPr>
        <w:t>方面建立支持性的环境，为个体创造健康生活的公平机会，使个</w:t>
      </w:r>
      <w:r>
        <w:rPr>
          <w:rFonts w:ascii="宋体" w:hAnsi="宋体" w:eastAsia="宋体" w:cs="宋体"/>
          <w:spacing w:val="-4"/>
          <w:sz w:val="20"/>
          <w:szCs w:val="20"/>
        </w:rPr>
        <w:t>体有机会作出健康的选择；另一方</w:t>
      </w:r>
      <w:r>
        <w:rPr>
          <w:rFonts w:ascii="宋体" w:hAnsi="宋体" w:eastAsia="宋体" w:cs="宋体"/>
          <w:sz w:val="20"/>
          <w:szCs w:val="20"/>
        </w:rPr>
        <w:t xml:space="preserve"> </w:t>
      </w:r>
      <w:r>
        <w:rPr>
          <w:rFonts w:ascii="宋体" w:hAnsi="宋体" w:eastAsia="宋体" w:cs="宋体"/>
          <w:spacing w:val="-3"/>
          <w:sz w:val="20"/>
          <w:szCs w:val="20"/>
        </w:rPr>
        <w:t>面，提高个体的健康素养，使个体有能力作出健康的选择并改</w:t>
      </w:r>
      <w:r>
        <w:rPr>
          <w:rFonts w:ascii="宋体" w:hAnsi="宋体" w:eastAsia="宋体" w:cs="宋体"/>
          <w:spacing w:val="-4"/>
          <w:sz w:val="20"/>
          <w:szCs w:val="20"/>
        </w:rPr>
        <w:t>善健康。通过初级卫生保健方法提供</w:t>
      </w:r>
      <w:r>
        <w:rPr>
          <w:rFonts w:ascii="宋体" w:hAnsi="宋体" w:eastAsia="宋体" w:cs="宋体"/>
          <w:sz w:val="20"/>
          <w:szCs w:val="20"/>
        </w:rPr>
        <w:t xml:space="preserve"> </w:t>
      </w:r>
      <w:r>
        <w:rPr>
          <w:rFonts w:ascii="宋体" w:hAnsi="宋体" w:eastAsia="宋体" w:cs="宋体"/>
          <w:spacing w:val="-5"/>
          <w:sz w:val="20"/>
          <w:szCs w:val="20"/>
        </w:rPr>
        <w:t>有效的临床预防服务和疾病管理，减少对更高昂治疗费用的需要。</w:t>
      </w:r>
    </w:p>
    <w:p w14:paraId="5FE13223">
      <w:pPr>
        <w:spacing w:before="3" w:line="349" w:lineRule="auto"/>
        <w:ind w:left="619" w:right="19" w:firstLine="419"/>
        <w:jc w:val="both"/>
        <w:rPr>
          <w:rFonts w:ascii="宋体" w:hAnsi="宋体" w:eastAsia="宋体" w:cs="宋体"/>
          <w:sz w:val="20"/>
          <w:szCs w:val="20"/>
        </w:rPr>
      </w:pPr>
      <w:r>
        <w:rPr>
          <w:rFonts w:ascii="Arial" w:hAnsi="Arial" w:eastAsia="Arial" w:cs="Arial"/>
          <w:spacing w:val="-2"/>
          <w:sz w:val="20"/>
          <w:szCs w:val="20"/>
        </w:rPr>
        <w:t>WHO</w:t>
      </w:r>
      <w:r>
        <w:rPr>
          <w:rFonts w:ascii="宋体" w:hAnsi="宋体" w:eastAsia="宋体" w:cs="宋体"/>
          <w:spacing w:val="-2"/>
          <w:sz w:val="20"/>
          <w:szCs w:val="20"/>
        </w:rPr>
        <w:t>制定了《全球非传染性疾病预防与控制行动计划2013—2020》</w:t>
      </w:r>
      <w:r>
        <w:rPr>
          <w:rFonts w:ascii="Arial" w:hAnsi="Arial" w:eastAsia="Arial" w:cs="Arial"/>
          <w:spacing w:val="-2"/>
          <w:sz w:val="20"/>
          <w:szCs w:val="20"/>
        </w:rPr>
        <w:t>(Global Action</w:t>
      </w:r>
      <w:r>
        <w:rPr>
          <w:rFonts w:ascii="Arial" w:hAnsi="Arial" w:eastAsia="Arial" w:cs="Arial"/>
          <w:spacing w:val="14"/>
          <w:sz w:val="20"/>
          <w:szCs w:val="20"/>
        </w:rPr>
        <w:t xml:space="preserve"> </w:t>
      </w:r>
      <w:r>
        <w:rPr>
          <w:rFonts w:ascii="Arial" w:hAnsi="Arial" w:eastAsia="Arial" w:cs="Arial"/>
          <w:spacing w:val="-2"/>
          <w:sz w:val="20"/>
          <w:szCs w:val="20"/>
        </w:rPr>
        <w:t>Plan</w:t>
      </w:r>
      <w:r>
        <w:rPr>
          <w:rFonts w:ascii="Arial" w:hAnsi="Arial" w:eastAsia="Arial" w:cs="Arial"/>
          <w:spacing w:val="-3"/>
          <w:sz w:val="20"/>
          <w:szCs w:val="20"/>
        </w:rPr>
        <w:t xml:space="preserve"> forthe</w:t>
      </w:r>
      <w:r>
        <w:rPr>
          <w:rFonts w:ascii="Arial" w:hAnsi="Arial" w:eastAsia="Arial" w:cs="Arial"/>
          <w:sz w:val="20"/>
          <w:szCs w:val="20"/>
        </w:rPr>
        <w:t xml:space="preserve"> </w:t>
      </w:r>
      <w:r>
        <w:rPr>
          <w:rFonts w:ascii="Times New Roman" w:hAnsi="Times New Roman" w:eastAsia="Times New Roman" w:cs="Times New Roman"/>
          <w:spacing w:val="-1"/>
          <w:sz w:val="20"/>
          <w:szCs w:val="20"/>
        </w:rPr>
        <w:t>Prevention and Control of</w:t>
      </w:r>
      <w:r>
        <w:rPr>
          <w:rFonts w:ascii="Times New Roman" w:hAnsi="Times New Roman" w:eastAsia="Times New Roman" w:cs="Times New Roman"/>
          <w:spacing w:val="-24"/>
          <w:sz w:val="20"/>
          <w:szCs w:val="20"/>
        </w:rPr>
        <w:t xml:space="preserve"> </w:t>
      </w:r>
      <w:r>
        <w:rPr>
          <w:rFonts w:ascii="Times New Roman" w:hAnsi="Times New Roman" w:eastAsia="Times New Roman" w:cs="Times New Roman"/>
          <w:spacing w:val="-1"/>
          <w:sz w:val="20"/>
          <w:szCs w:val="20"/>
        </w:rPr>
        <w:t>Noncommunicable Dis</w:t>
      </w:r>
      <w:r>
        <w:rPr>
          <w:rFonts w:ascii="Times New Roman" w:hAnsi="Times New Roman" w:eastAsia="Times New Roman" w:cs="Times New Roman"/>
          <w:spacing w:val="-2"/>
          <w:sz w:val="20"/>
          <w:szCs w:val="20"/>
        </w:rPr>
        <w:t>eases 2013-2020)</w:t>
      </w:r>
      <w:r>
        <w:rPr>
          <w:rFonts w:ascii="宋体" w:hAnsi="宋体" w:eastAsia="宋体" w:cs="宋体"/>
          <w:spacing w:val="-2"/>
          <w:sz w:val="20"/>
          <w:szCs w:val="20"/>
        </w:rPr>
        <w:t>。该行动计划的愿景是全球没有可避</w:t>
      </w:r>
      <w:r>
        <w:rPr>
          <w:rFonts w:ascii="宋体" w:hAnsi="宋体" w:eastAsia="宋体" w:cs="宋体"/>
          <w:sz w:val="20"/>
          <w:szCs w:val="20"/>
        </w:rPr>
        <w:t xml:space="preserve"> </w:t>
      </w:r>
      <w:r>
        <w:rPr>
          <w:rFonts w:ascii="宋体" w:hAnsi="宋体" w:eastAsia="宋体" w:cs="宋体"/>
          <w:spacing w:val="-3"/>
          <w:sz w:val="20"/>
          <w:szCs w:val="20"/>
        </w:rPr>
        <w:t>免的慢性病负担。目标是通过多部门协作以及在国家、区域和全球</w:t>
      </w:r>
      <w:r>
        <w:rPr>
          <w:rFonts w:ascii="宋体" w:hAnsi="宋体" w:eastAsia="宋体" w:cs="宋体"/>
          <w:spacing w:val="-4"/>
          <w:sz w:val="20"/>
          <w:szCs w:val="20"/>
        </w:rPr>
        <w:t>层面上的协作，减少可预防的慢</w:t>
      </w:r>
      <w:r>
        <w:rPr>
          <w:rFonts w:ascii="宋体" w:hAnsi="宋体" w:eastAsia="宋体" w:cs="宋体"/>
          <w:sz w:val="20"/>
          <w:szCs w:val="20"/>
        </w:rPr>
        <w:t xml:space="preserve"> </w:t>
      </w:r>
      <w:r>
        <w:rPr>
          <w:rFonts w:ascii="宋体" w:hAnsi="宋体" w:eastAsia="宋体" w:cs="宋体"/>
          <w:spacing w:val="-3"/>
          <w:sz w:val="20"/>
          <w:szCs w:val="20"/>
        </w:rPr>
        <w:t>性病发病、死亡和残疾负担，使得所有人都能获得其年龄水平能够</w:t>
      </w:r>
      <w:r>
        <w:rPr>
          <w:rFonts w:ascii="宋体" w:hAnsi="宋体" w:eastAsia="宋体" w:cs="宋体"/>
          <w:spacing w:val="-4"/>
          <w:sz w:val="20"/>
          <w:szCs w:val="20"/>
        </w:rPr>
        <w:t>达到的健康和生产力水平的最高</w:t>
      </w:r>
      <w:r>
        <w:rPr>
          <w:rFonts w:ascii="宋体" w:hAnsi="宋体" w:eastAsia="宋体" w:cs="宋体"/>
          <w:sz w:val="20"/>
          <w:szCs w:val="20"/>
        </w:rPr>
        <w:t xml:space="preserve"> </w:t>
      </w:r>
      <w:r>
        <w:rPr>
          <w:rFonts w:ascii="宋体" w:hAnsi="宋体" w:eastAsia="宋体" w:cs="宋体"/>
          <w:spacing w:val="1"/>
          <w:sz w:val="20"/>
          <w:szCs w:val="20"/>
        </w:rPr>
        <w:t>标准，消除这些疾病对人类福祉和社会经济发展的障碍。2019年，世界卫生大会将该计划延长至</w:t>
      </w:r>
      <w:r>
        <w:rPr>
          <w:rFonts w:ascii="宋体" w:hAnsi="宋体" w:eastAsia="宋体" w:cs="宋体"/>
          <w:spacing w:val="15"/>
          <w:sz w:val="20"/>
          <w:szCs w:val="20"/>
        </w:rPr>
        <w:t xml:space="preserve"> </w:t>
      </w:r>
      <w:r>
        <w:rPr>
          <w:rFonts w:ascii="宋体" w:hAnsi="宋体" w:eastAsia="宋体" w:cs="宋体"/>
          <w:spacing w:val="6"/>
          <w:sz w:val="20"/>
          <w:szCs w:val="20"/>
        </w:rPr>
        <w:t>2030年，并呼吁制定2023—2030年实施路线图</w:t>
      </w:r>
      <w:r>
        <w:rPr>
          <w:rFonts w:ascii="宋体" w:hAnsi="宋体" w:eastAsia="宋体" w:cs="宋体"/>
          <w:spacing w:val="5"/>
          <w:sz w:val="20"/>
          <w:szCs w:val="20"/>
        </w:rPr>
        <w:t>，以加快慢性病预防和控制工作的进展。这一延</w:t>
      </w:r>
      <w:r>
        <w:rPr>
          <w:rFonts w:ascii="宋体" w:hAnsi="宋体" w:eastAsia="宋体" w:cs="宋体"/>
          <w:sz w:val="20"/>
          <w:szCs w:val="20"/>
        </w:rPr>
        <w:t xml:space="preserve"> </w:t>
      </w:r>
      <w:r>
        <w:rPr>
          <w:rFonts w:ascii="宋体" w:hAnsi="宋体" w:eastAsia="宋体" w:cs="宋体"/>
          <w:spacing w:val="7"/>
          <w:sz w:val="20"/>
          <w:szCs w:val="20"/>
        </w:rPr>
        <w:t>伸反映了全球卫生界对持续应对慢性病挑战</w:t>
      </w:r>
      <w:r>
        <w:rPr>
          <w:rFonts w:ascii="宋体" w:hAnsi="宋体" w:eastAsia="宋体" w:cs="宋体"/>
          <w:spacing w:val="6"/>
          <w:sz w:val="20"/>
          <w:szCs w:val="20"/>
        </w:rPr>
        <w:t>的承诺，以及进一步推进公共卫生政策和措施的必</w:t>
      </w:r>
      <w:r>
        <w:rPr>
          <w:rFonts w:ascii="宋体" w:hAnsi="宋体" w:eastAsia="宋体" w:cs="宋体"/>
          <w:sz w:val="20"/>
          <w:szCs w:val="20"/>
        </w:rPr>
        <w:t xml:space="preserve"> </w:t>
      </w:r>
      <w:r>
        <w:rPr>
          <w:rFonts w:ascii="宋体" w:hAnsi="宋体" w:eastAsia="宋体" w:cs="宋体"/>
          <w:spacing w:val="6"/>
          <w:sz w:val="20"/>
          <w:szCs w:val="20"/>
        </w:rPr>
        <w:t>要性。</w:t>
      </w:r>
    </w:p>
    <w:p w14:paraId="3B31E9C4">
      <w:pPr>
        <w:spacing w:before="9" w:line="348" w:lineRule="auto"/>
        <w:ind w:left="619" w:firstLine="419"/>
        <w:jc w:val="both"/>
        <w:rPr>
          <w:rFonts w:ascii="宋体" w:hAnsi="宋体" w:eastAsia="宋体" w:cs="宋体"/>
          <w:sz w:val="20"/>
          <w:szCs w:val="20"/>
        </w:rPr>
      </w:pPr>
      <w:r>
        <w:rPr>
          <w:rFonts w:ascii="宋体" w:hAnsi="宋体" w:eastAsia="宋体" w:cs="宋体"/>
          <w:spacing w:val="2"/>
          <w:sz w:val="20"/>
          <w:szCs w:val="20"/>
        </w:rPr>
        <w:t>在延长至2030年后，行动计划后续有几项关键的更新和举措：①</w:t>
      </w:r>
      <w:r>
        <w:rPr>
          <w:rFonts w:ascii="宋体" w:hAnsi="宋体" w:eastAsia="宋体" w:cs="宋体"/>
          <w:spacing w:val="1"/>
          <w:sz w:val="20"/>
          <w:szCs w:val="20"/>
        </w:rPr>
        <w:t>制定了2023—2030年实施路</w:t>
      </w:r>
      <w:r>
        <w:rPr>
          <w:rFonts w:ascii="宋体" w:hAnsi="宋体" w:eastAsia="宋体" w:cs="宋体"/>
          <w:sz w:val="20"/>
          <w:szCs w:val="20"/>
        </w:rPr>
        <w:t xml:space="preserve"> </w:t>
      </w:r>
      <w:r>
        <w:rPr>
          <w:rFonts w:ascii="宋体" w:hAnsi="宋体" w:eastAsia="宋体" w:cs="宋体"/>
          <w:spacing w:val="-3"/>
          <w:sz w:val="20"/>
          <w:szCs w:val="20"/>
        </w:rPr>
        <w:t>线图，加强国家层面的行动，鼓励各国制定适应自身国情的慢性病防控策略，以实现可持续发展目</w:t>
      </w:r>
      <w:r>
        <w:rPr>
          <w:rFonts w:ascii="宋体" w:hAnsi="宋体" w:eastAsia="宋体" w:cs="宋体"/>
          <w:spacing w:val="15"/>
          <w:sz w:val="20"/>
          <w:szCs w:val="20"/>
        </w:rPr>
        <w:t xml:space="preserve"> </w:t>
      </w:r>
      <w:r>
        <w:rPr>
          <w:rFonts w:ascii="宋体" w:hAnsi="宋体" w:eastAsia="宋体" w:cs="宋体"/>
          <w:spacing w:val="-6"/>
          <w:sz w:val="20"/>
          <w:szCs w:val="20"/>
        </w:rPr>
        <w:t>标(sustainable development goals,SD</w:t>
      </w:r>
      <w:r>
        <w:rPr>
          <w:rFonts w:ascii="宋体" w:hAnsi="宋体" w:eastAsia="宋体" w:cs="宋体"/>
          <w:spacing w:val="-7"/>
          <w:sz w:val="20"/>
          <w:szCs w:val="20"/>
        </w:rPr>
        <w:t>Gs)3.4(具体内容见后文)和行动计划的各项目标。②强调了若</w:t>
      </w:r>
    </w:p>
    <w:p w14:paraId="1480527E">
      <w:pPr>
        <w:spacing w:line="348" w:lineRule="auto"/>
        <w:rPr>
          <w:rFonts w:ascii="宋体" w:hAnsi="宋体" w:eastAsia="宋体" w:cs="宋体"/>
          <w:sz w:val="20"/>
          <w:szCs w:val="20"/>
        </w:rPr>
        <w:sectPr>
          <w:footerReference r:id="rId235" w:type="default"/>
          <w:pgSz w:w="11900" w:h="16820"/>
          <w:pgMar w:top="400" w:right="1732" w:bottom="819" w:left="1050" w:header="0" w:footer="639" w:gutter="0"/>
          <w:cols w:space="720" w:num="1"/>
        </w:sectPr>
      </w:pPr>
    </w:p>
    <w:p w14:paraId="3F97C94B">
      <w:pPr>
        <w:pStyle w:val="2"/>
        <w:spacing w:before="226" w:line="221" w:lineRule="auto"/>
        <w:ind w:left="6969"/>
        <w:rPr>
          <w:sz w:val="21"/>
          <w:szCs w:val="21"/>
        </w:rPr>
      </w:pPr>
      <w:bookmarkStart w:id="371" w:name="bookmark523"/>
      <w:bookmarkEnd w:id="371"/>
      <w:r>
        <w:rPr>
          <w:spacing w:val="-17"/>
          <w:w w:val="98"/>
          <w:sz w:val="21"/>
          <w:szCs w:val="21"/>
        </w:rPr>
        <w:t>第十四章慢性病流行病学</w:t>
      </w:r>
    </w:p>
    <w:p w14:paraId="47077E01">
      <w:pPr>
        <w:spacing w:line="277" w:lineRule="auto"/>
        <w:rPr>
          <w:rFonts w:ascii="Arial"/>
          <w:sz w:val="21"/>
        </w:rPr>
      </w:pPr>
    </w:p>
    <w:p w14:paraId="41FE36A9">
      <w:pPr>
        <w:spacing w:line="278" w:lineRule="auto"/>
        <w:rPr>
          <w:rFonts w:ascii="Arial"/>
          <w:sz w:val="21"/>
        </w:rPr>
      </w:pPr>
    </w:p>
    <w:p w14:paraId="74B77405">
      <w:pPr>
        <w:spacing w:before="68" w:line="324" w:lineRule="auto"/>
        <w:ind w:right="555"/>
        <w:jc w:val="both"/>
        <w:rPr>
          <w:rFonts w:ascii="宋体" w:hAnsi="宋体" w:eastAsia="宋体" w:cs="宋体"/>
          <w:sz w:val="21"/>
          <w:szCs w:val="21"/>
        </w:rPr>
      </w:pPr>
      <w:r>
        <w:rPr>
          <w:rFonts w:ascii="宋体" w:hAnsi="宋体" w:eastAsia="宋体" w:cs="宋体"/>
          <w:spacing w:val="2"/>
          <w:sz w:val="21"/>
          <w:szCs w:val="21"/>
        </w:rPr>
        <w:t>干优先领域，包括减少慢性病的主要危险因素(如烟草使用、不健康饮食、缺乏身体活动和有害使</w:t>
      </w:r>
      <w:r>
        <w:rPr>
          <w:rFonts w:ascii="宋体" w:hAnsi="宋体" w:eastAsia="宋体" w:cs="宋体"/>
          <w:spacing w:val="4"/>
          <w:sz w:val="21"/>
          <w:szCs w:val="21"/>
        </w:rPr>
        <w:t xml:space="preserve">  </w:t>
      </w:r>
      <w:r>
        <w:rPr>
          <w:rFonts w:ascii="宋体" w:hAnsi="宋体" w:eastAsia="宋体" w:cs="宋体"/>
          <w:spacing w:val="5"/>
          <w:sz w:val="21"/>
          <w:szCs w:val="21"/>
        </w:rPr>
        <w:t>用酒精),加强卫生系统以更好地应对慢性病，同时要减少空</w:t>
      </w:r>
      <w:r>
        <w:rPr>
          <w:rFonts w:ascii="宋体" w:hAnsi="宋体" w:eastAsia="宋体" w:cs="宋体"/>
          <w:spacing w:val="4"/>
          <w:sz w:val="21"/>
          <w:szCs w:val="21"/>
        </w:rPr>
        <w:t>气污染及促进精神卫生和福祉；加强</w:t>
      </w:r>
      <w:r>
        <w:rPr>
          <w:rFonts w:ascii="宋体" w:hAnsi="宋体" w:eastAsia="宋体" w:cs="宋体"/>
          <w:sz w:val="21"/>
          <w:szCs w:val="21"/>
        </w:rPr>
        <w:t xml:space="preserve">  </w:t>
      </w:r>
      <w:r>
        <w:rPr>
          <w:rFonts w:ascii="宋体" w:hAnsi="宋体" w:eastAsia="宋体" w:cs="宋体"/>
          <w:spacing w:val="10"/>
          <w:sz w:val="21"/>
          <w:szCs w:val="21"/>
        </w:rPr>
        <w:t>慢性病及其危险因素的监测系统和数据收集能力。③强调各国政府和利益相关者需加强政策实</w:t>
      </w:r>
      <w:r>
        <w:rPr>
          <w:rFonts w:ascii="宋体" w:hAnsi="宋体" w:eastAsia="宋体" w:cs="宋体"/>
          <w:sz w:val="21"/>
          <w:szCs w:val="21"/>
        </w:rPr>
        <w:t xml:space="preserve">  施和执行力度，加强初级卫生保健服务的提供和跨部门合作，包括与教育、农</w:t>
      </w:r>
      <w:r>
        <w:rPr>
          <w:rFonts w:ascii="宋体" w:hAnsi="宋体" w:eastAsia="宋体" w:cs="宋体"/>
          <w:spacing w:val="-1"/>
          <w:sz w:val="21"/>
          <w:szCs w:val="21"/>
        </w:rPr>
        <w:t>业、城市规划和交通</w:t>
      </w:r>
      <w:r>
        <w:rPr>
          <w:rFonts w:ascii="宋体" w:hAnsi="宋体" w:eastAsia="宋体" w:cs="宋体"/>
          <w:sz w:val="21"/>
          <w:szCs w:val="21"/>
        </w:rPr>
        <w:t xml:space="preserve">  </w:t>
      </w:r>
      <w:r>
        <w:rPr>
          <w:rFonts w:ascii="宋体" w:hAnsi="宋体" w:eastAsia="宋体" w:cs="宋体"/>
          <w:spacing w:val="-2"/>
          <w:sz w:val="21"/>
          <w:szCs w:val="21"/>
        </w:rPr>
        <w:t>等部门的合作，以创建有利于健康的社会环境；推动使用</w:t>
      </w:r>
      <w:r>
        <w:rPr>
          <w:rFonts w:ascii="宋体" w:hAnsi="宋体" w:eastAsia="宋体" w:cs="宋体"/>
          <w:spacing w:val="-3"/>
          <w:sz w:val="21"/>
          <w:szCs w:val="21"/>
        </w:rPr>
        <w:t>全球协调机制，支持会员国分享最佳做法、</w:t>
      </w:r>
      <w:r>
        <w:rPr>
          <w:rFonts w:ascii="宋体" w:hAnsi="宋体" w:eastAsia="宋体" w:cs="宋体"/>
          <w:sz w:val="21"/>
          <w:szCs w:val="21"/>
        </w:rPr>
        <w:t xml:space="preserve"> </w:t>
      </w:r>
      <w:r>
        <w:rPr>
          <w:rFonts w:ascii="宋体" w:hAnsi="宋体" w:eastAsia="宋体" w:cs="宋体"/>
          <w:spacing w:val="5"/>
          <w:sz w:val="21"/>
          <w:szCs w:val="21"/>
        </w:rPr>
        <w:t>调动资源及促进不同部门和利益攸关方之间的伙伴关系。④关注弱势群体与健康</w:t>
      </w:r>
      <w:r>
        <w:rPr>
          <w:rFonts w:ascii="宋体" w:hAnsi="宋体" w:eastAsia="宋体" w:cs="宋体"/>
          <w:spacing w:val="4"/>
          <w:sz w:val="21"/>
          <w:szCs w:val="21"/>
        </w:rPr>
        <w:t>公平，加大对低</w:t>
      </w:r>
      <w:r>
        <w:rPr>
          <w:rFonts w:ascii="宋体" w:hAnsi="宋体" w:eastAsia="宋体" w:cs="宋体"/>
          <w:sz w:val="21"/>
          <w:szCs w:val="21"/>
        </w:rPr>
        <w:t xml:space="preserve">  收入和中等收入国家的支持力度，帮助其更好地开展慢性病</w:t>
      </w:r>
      <w:r>
        <w:rPr>
          <w:rFonts w:ascii="宋体" w:hAnsi="宋体" w:eastAsia="宋体" w:cs="宋体"/>
          <w:spacing w:val="-1"/>
          <w:sz w:val="21"/>
          <w:szCs w:val="21"/>
        </w:rPr>
        <w:t>防控工作；关注慢性病对不同群体的影</w:t>
      </w:r>
      <w:r>
        <w:rPr>
          <w:rFonts w:ascii="宋体" w:hAnsi="宋体" w:eastAsia="宋体" w:cs="宋体"/>
          <w:sz w:val="21"/>
          <w:szCs w:val="21"/>
        </w:rPr>
        <w:t xml:space="preserve">  响，包括儿童、青少年、老年人和低收人群体等，确</w:t>
      </w:r>
      <w:r>
        <w:rPr>
          <w:rFonts w:ascii="宋体" w:hAnsi="宋体" w:eastAsia="宋体" w:cs="宋体"/>
          <w:spacing w:val="-1"/>
          <w:sz w:val="21"/>
          <w:szCs w:val="21"/>
        </w:rPr>
        <w:t>保他们在慢性病防控措施中获得平等的健康机</w:t>
      </w:r>
      <w:r>
        <w:rPr>
          <w:rFonts w:ascii="宋体" w:hAnsi="宋体" w:eastAsia="宋体" w:cs="宋体"/>
          <w:sz w:val="21"/>
          <w:szCs w:val="21"/>
        </w:rPr>
        <w:t xml:space="preserve">  </w:t>
      </w:r>
      <w:r>
        <w:rPr>
          <w:rFonts w:ascii="宋体" w:hAnsi="宋体" w:eastAsia="宋体" w:cs="宋体"/>
          <w:spacing w:val="4"/>
          <w:sz w:val="21"/>
          <w:szCs w:val="21"/>
        </w:rPr>
        <w:t>会。⑤特别强调慢性病防控与应对突发公共卫生事件相结合，以提高卫生系统的综合应对能力。</w:t>
      </w:r>
    </w:p>
    <w:p w14:paraId="10457BB4">
      <w:pPr>
        <w:spacing w:before="8" w:line="325" w:lineRule="auto"/>
        <w:ind w:right="649" w:firstLine="409"/>
        <w:jc w:val="both"/>
        <w:rPr>
          <w:rFonts w:ascii="宋体" w:hAnsi="宋体" w:eastAsia="宋体" w:cs="宋体"/>
          <w:sz w:val="21"/>
          <w:szCs w:val="21"/>
        </w:rPr>
      </w:pPr>
      <w:r>
        <w:rPr>
          <w:rFonts w:ascii="宋体" w:hAnsi="宋体" w:eastAsia="宋体" w:cs="宋体"/>
          <w:spacing w:val="-4"/>
          <w:sz w:val="21"/>
          <w:szCs w:val="21"/>
        </w:rPr>
        <w:t>2015年9月，联合国发展峰会通过了《变革我们的世界：2030年可持续发展议程》(Transform</w:t>
      </w:r>
      <w:r>
        <w:rPr>
          <w:rFonts w:ascii="宋体" w:hAnsi="宋体" w:eastAsia="宋体" w:cs="宋体"/>
          <w:spacing w:val="-5"/>
          <w:sz w:val="21"/>
          <w:szCs w:val="21"/>
        </w:rPr>
        <w:t>ing</w:t>
      </w:r>
      <w:r>
        <w:rPr>
          <w:rFonts w:ascii="宋体" w:hAnsi="宋体" w:eastAsia="宋体" w:cs="宋体"/>
          <w:sz w:val="21"/>
          <w:szCs w:val="21"/>
        </w:rPr>
        <w:t xml:space="preserve"> </w:t>
      </w:r>
      <w:r>
        <w:rPr>
          <w:rFonts w:ascii="宋体" w:hAnsi="宋体" w:eastAsia="宋体" w:cs="宋体"/>
          <w:spacing w:val="-8"/>
          <w:sz w:val="21"/>
          <w:szCs w:val="21"/>
        </w:rPr>
        <w:t>Our World:the 2030 Age</w:t>
      </w:r>
      <w:r>
        <w:rPr>
          <w:rFonts w:ascii="宋体" w:hAnsi="宋体" w:eastAsia="宋体" w:cs="宋体"/>
          <w:spacing w:val="-9"/>
          <w:sz w:val="21"/>
          <w:szCs w:val="21"/>
        </w:rPr>
        <w:t>nda for Sustainable Development)。该议程的核心是17个可持续发展目标，特</w:t>
      </w:r>
      <w:r>
        <w:rPr>
          <w:rFonts w:ascii="宋体" w:hAnsi="宋体" w:eastAsia="宋体" w:cs="宋体"/>
          <w:sz w:val="21"/>
          <w:szCs w:val="21"/>
        </w:rPr>
        <w:t xml:space="preserve"> </w:t>
      </w:r>
      <w:r>
        <w:rPr>
          <w:rFonts w:ascii="宋体" w:hAnsi="宋体" w:eastAsia="宋体" w:cs="宋体"/>
          <w:spacing w:val="5"/>
          <w:sz w:val="21"/>
          <w:szCs w:val="21"/>
        </w:rPr>
        <w:t>别强调通过减少慢性病的负担，提升全球人口的健康水平，并将其作为实现可持续发展的关键一</w:t>
      </w:r>
      <w:r>
        <w:rPr>
          <w:rFonts w:ascii="宋体" w:hAnsi="宋体" w:eastAsia="宋体" w:cs="宋体"/>
          <w:spacing w:val="10"/>
          <w:sz w:val="21"/>
          <w:szCs w:val="21"/>
        </w:rPr>
        <w:t xml:space="preserve"> </w:t>
      </w:r>
      <w:r>
        <w:rPr>
          <w:rFonts w:ascii="宋体" w:hAnsi="宋体" w:eastAsia="宋体" w:cs="宋体"/>
          <w:spacing w:val="3"/>
          <w:sz w:val="21"/>
          <w:szCs w:val="21"/>
        </w:rPr>
        <w:t>环。目标3(良好健康与福祉)直接涉及慢性病防控，</w:t>
      </w:r>
      <w:r>
        <w:rPr>
          <w:rFonts w:ascii="宋体" w:hAnsi="宋体" w:eastAsia="宋体" w:cs="宋体"/>
          <w:spacing w:val="2"/>
          <w:sz w:val="21"/>
          <w:szCs w:val="21"/>
        </w:rPr>
        <w:t>提出确保健康的生活方式，促进所有年龄段人</w:t>
      </w:r>
      <w:r>
        <w:rPr>
          <w:rFonts w:ascii="宋体" w:hAnsi="宋体" w:eastAsia="宋体" w:cs="宋体"/>
          <w:sz w:val="21"/>
          <w:szCs w:val="21"/>
        </w:rPr>
        <w:t xml:space="preserve"> </w:t>
      </w:r>
      <w:r>
        <w:rPr>
          <w:rFonts w:ascii="宋体" w:hAnsi="宋体" w:eastAsia="宋体" w:cs="宋体"/>
          <w:spacing w:val="2"/>
          <w:sz w:val="21"/>
          <w:szCs w:val="21"/>
        </w:rPr>
        <w:t>群的福祉。目标3.4设定了到2030年，通过预防、治疗及促进身心健康，将全球慢性病导致的过早</w:t>
      </w:r>
      <w:r>
        <w:rPr>
          <w:rFonts w:ascii="宋体" w:hAnsi="宋体" w:eastAsia="宋体" w:cs="宋体"/>
          <w:spacing w:val="1"/>
          <w:sz w:val="21"/>
          <w:szCs w:val="21"/>
        </w:rPr>
        <w:t xml:space="preserve"> </w:t>
      </w:r>
      <w:r>
        <w:rPr>
          <w:rFonts w:ascii="宋体" w:hAnsi="宋体" w:eastAsia="宋体" w:cs="宋体"/>
          <w:spacing w:val="2"/>
          <w:sz w:val="21"/>
          <w:szCs w:val="21"/>
        </w:rPr>
        <w:t>死亡减少三分之一的具体目标。其他一些目标中也有涉及慢性病防控的，例如目标2(零饥饿)强调</w:t>
      </w:r>
      <w:r>
        <w:rPr>
          <w:rFonts w:ascii="宋体" w:hAnsi="宋体" w:eastAsia="宋体" w:cs="宋体"/>
          <w:spacing w:val="12"/>
          <w:sz w:val="21"/>
          <w:szCs w:val="21"/>
        </w:rPr>
        <w:t xml:space="preserve"> </w:t>
      </w:r>
      <w:r>
        <w:rPr>
          <w:rFonts w:ascii="宋体" w:hAnsi="宋体" w:eastAsia="宋体" w:cs="宋体"/>
          <w:spacing w:val="5"/>
          <w:sz w:val="21"/>
          <w:szCs w:val="21"/>
        </w:rPr>
        <w:t>了消除营养不良和促进健康饮食，目标11(可持</w:t>
      </w:r>
      <w:r>
        <w:rPr>
          <w:rFonts w:ascii="宋体" w:hAnsi="宋体" w:eastAsia="宋体" w:cs="宋体"/>
          <w:spacing w:val="4"/>
          <w:sz w:val="21"/>
          <w:szCs w:val="21"/>
        </w:rPr>
        <w:t>续城市和社区)提出要减少城市的人均负面环境影</w:t>
      </w:r>
      <w:r>
        <w:rPr>
          <w:rFonts w:ascii="宋体" w:hAnsi="宋体" w:eastAsia="宋体" w:cs="宋体"/>
          <w:sz w:val="21"/>
          <w:szCs w:val="21"/>
        </w:rPr>
        <w:t xml:space="preserve"> </w:t>
      </w:r>
      <w:r>
        <w:rPr>
          <w:rFonts w:ascii="宋体" w:hAnsi="宋体" w:eastAsia="宋体" w:cs="宋体"/>
          <w:spacing w:val="-2"/>
          <w:sz w:val="21"/>
          <w:szCs w:val="21"/>
        </w:rPr>
        <w:t>响，特别关注空气质量。</w:t>
      </w:r>
    </w:p>
    <w:p w14:paraId="27E9529F">
      <w:pPr>
        <w:spacing w:before="2" w:line="326" w:lineRule="auto"/>
        <w:ind w:right="646" w:firstLine="409"/>
        <w:jc w:val="both"/>
        <w:rPr>
          <w:rFonts w:ascii="宋体" w:hAnsi="宋体" w:eastAsia="宋体" w:cs="宋体"/>
          <w:sz w:val="21"/>
          <w:szCs w:val="21"/>
        </w:rPr>
      </w:pPr>
      <w:r>
        <w:rPr>
          <w:rFonts w:ascii="宋体" w:hAnsi="宋体" w:eastAsia="宋体" w:cs="宋体"/>
          <w:spacing w:val="7"/>
          <w:sz w:val="21"/>
          <w:szCs w:val="21"/>
        </w:rPr>
        <w:t>2017年1月，国务院印发《中国防治慢性病中长期规划(2017—2025</w:t>
      </w:r>
      <w:r>
        <w:rPr>
          <w:rFonts w:ascii="宋体" w:hAnsi="宋体" w:eastAsia="宋体" w:cs="宋体"/>
          <w:spacing w:val="6"/>
          <w:sz w:val="21"/>
          <w:szCs w:val="21"/>
        </w:rPr>
        <w:t>年)》。规划目标为：到</w:t>
      </w:r>
      <w:r>
        <w:rPr>
          <w:rFonts w:ascii="宋体" w:hAnsi="宋体" w:eastAsia="宋体" w:cs="宋体"/>
          <w:sz w:val="21"/>
          <w:szCs w:val="21"/>
        </w:rPr>
        <w:t xml:space="preserve"> 2025年，慢性病危险因素得到有效控制，实现全人群全生命周期健康管理，力争30～70岁人群因心</w:t>
      </w:r>
      <w:r>
        <w:rPr>
          <w:rFonts w:ascii="宋体" w:hAnsi="宋体" w:eastAsia="宋体" w:cs="宋体"/>
          <w:spacing w:val="13"/>
          <w:sz w:val="21"/>
          <w:szCs w:val="21"/>
        </w:rPr>
        <w:t xml:space="preserve"> </w:t>
      </w:r>
      <w:r>
        <w:rPr>
          <w:rFonts w:ascii="宋体" w:hAnsi="宋体" w:eastAsia="宋体" w:cs="宋体"/>
          <w:spacing w:val="3"/>
          <w:sz w:val="21"/>
          <w:szCs w:val="21"/>
        </w:rPr>
        <w:t>脑血管疾病、癌症、慢性呼吸系统疾病和糖尿病导致的过早死</w:t>
      </w:r>
      <w:r>
        <w:rPr>
          <w:rFonts w:ascii="宋体" w:hAnsi="宋体" w:eastAsia="宋体" w:cs="宋体"/>
          <w:spacing w:val="2"/>
          <w:sz w:val="21"/>
          <w:szCs w:val="21"/>
        </w:rPr>
        <w:t>亡率较2015年降低20%。</w:t>
      </w:r>
    </w:p>
    <w:p w14:paraId="151D304B">
      <w:pPr>
        <w:spacing w:before="4" w:line="317" w:lineRule="auto"/>
        <w:ind w:right="575" w:firstLine="409"/>
        <w:jc w:val="both"/>
        <w:rPr>
          <w:rFonts w:ascii="宋体" w:hAnsi="宋体" w:eastAsia="宋体" w:cs="宋体"/>
          <w:sz w:val="21"/>
          <w:szCs w:val="21"/>
        </w:rPr>
      </w:pPr>
      <w:r>
        <w:rPr>
          <w:rFonts w:ascii="宋体" w:hAnsi="宋体" w:eastAsia="宋体" w:cs="宋体"/>
          <w:spacing w:val="2"/>
          <w:sz w:val="21"/>
          <w:szCs w:val="21"/>
        </w:rPr>
        <w:t>2019年7月，健康中国行动推进委员会制定了《健康中国行动(2019—2030年)》发展战略。该</w:t>
      </w:r>
      <w:r>
        <w:rPr>
          <w:rFonts w:ascii="宋体" w:hAnsi="宋体" w:eastAsia="宋体" w:cs="宋体"/>
          <w:spacing w:val="4"/>
          <w:sz w:val="21"/>
          <w:szCs w:val="21"/>
        </w:rPr>
        <w:t xml:space="preserve">  </w:t>
      </w:r>
      <w:r>
        <w:rPr>
          <w:rFonts w:ascii="宋体" w:hAnsi="宋体" w:eastAsia="宋体" w:cs="宋体"/>
          <w:sz w:val="21"/>
          <w:szCs w:val="21"/>
        </w:rPr>
        <w:t>战略总体目标包括，到2030年，全民健康素养水平大</w:t>
      </w:r>
      <w:r>
        <w:rPr>
          <w:rFonts w:ascii="宋体" w:hAnsi="宋体" w:eastAsia="宋体" w:cs="宋体"/>
          <w:spacing w:val="-1"/>
          <w:sz w:val="21"/>
          <w:szCs w:val="21"/>
        </w:rPr>
        <w:t>幅提升，健康生活方式基本普及，居民主要健</w:t>
      </w:r>
      <w:r>
        <w:rPr>
          <w:rFonts w:ascii="宋体" w:hAnsi="宋体" w:eastAsia="宋体" w:cs="宋体"/>
          <w:sz w:val="21"/>
          <w:szCs w:val="21"/>
        </w:rPr>
        <w:t xml:space="preserve">  康影响因素得到有效控制，因重大慢性病导致的过早死亡率明显降低，人均健</w:t>
      </w:r>
      <w:r>
        <w:rPr>
          <w:rFonts w:ascii="宋体" w:hAnsi="宋体" w:eastAsia="宋体" w:cs="宋体"/>
          <w:spacing w:val="-1"/>
          <w:sz w:val="21"/>
          <w:szCs w:val="21"/>
        </w:rPr>
        <w:t>康预期寿命得到较大</w:t>
      </w:r>
      <w:r>
        <w:rPr>
          <w:rFonts w:ascii="宋体" w:hAnsi="宋体" w:eastAsia="宋体" w:cs="宋体"/>
          <w:sz w:val="21"/>
          <w:szCs w:val="21"/>
        </w:rPr>
        <w:t xml:space="preserve">  </w:t>
      </w:r>
      <w:r>
        <w:rPr>
          <w:rFonts w:ascii="宋体" w:hAnsi="宋体" w:eastAsia="宋体" w:cs="宋体"/>
          <w:spacing w:val="-5"/>
          <w:sz w:val="21"/>
          <w:szCs w:val="21"/>
        </w:rPr>
        <w:t>提高，居民主要健康指标水平进人高收入国家行列，健康公平基本实现，实现《“健康中国2030”规</w:t>
      </w:r>
      <w:r>
        <w:rPr>
          <w:rFonts w:ascii="宋体" w:hAnsi="宋体" w:eastAsia="宋体" w:cs="宋体"/>
          <w:spacing w:val="3"/>
          <w:sz w:val="21"/>
          <w:szCs w:val="21"/>
        </w:rPr>
        <w:t xml:space="preserve">  </w:t>
      </w:r>
      <w:r>
        <w:rPr>
          <w:rFonts w:ascii="宋体" w:hAnsi="宋体" w:eastAsia="宋体" w:cs="宋体"/>
          <w:spacing w:val="2"/>
          <w:sz w:val="21"/>
          <w:szCs w:val="21"/>
        </w:rPr>
        <w:t>划纲要》有关目标。该战略也针对多种重大慢性病提出了具体的目标任务，例如，预期</w:t>
      </w:r>
      <w:r>
        <w:rPr>
          <w:rFonts w:ascii="宋体" w:hAnsi="宋体" w:eastAsia="宋体" w:cs="宋体"/>
          <w:spacing w:val="1"/>
          <w:sz w:val="21"/>
          <w:szCs w:val="21"/>
        </w:rPr>
        <w:t>到2030年，</w:t>
      </w:r>
      <w:r>
        <w:rPr>
          <w:rFonts w:ascii="宋体" w:hAnsi="宋体" w:eastAsia="宋体" w:cs="宋体"/>
          <w:sz w:val="21"/>
          <w:szCs w:val="21"/>
        </w:rPr>
        <w:t xml:space="preserve"> </w:t>
      </w:r>
      <w:r>
        <w:rPr>
          <w:rFonts w:ascii="宋体" w:hAnsi="宋体" w:eastAsia="宋体" w:cs="宋体"/>
          <w:spacing w:val="5"/>
          <w:sz w:val="21"/>
          <w:szCs w:val="21"/>
        </w:rPr>
        <w:t>30～70岁人群中由心脑血管疾病、癌症、慢性呼吸系统疾病和糖尿病导</w:t>
      </w:r>
      <w:r>
        <w:rPr>
          <w:rFonts w:ascii="宋体" w:hAnsi="宋体" w:eastAsia="宋体" w:cs="宋体"/>
          <w:spacing w:val="4"/>
          <w:sz w:val="21"/>
          <w:szCs w:val="21"/>
        </w:rPr>
        <w:t>致的过早死亡率从2015年</w:t>
      </w:r>
      <w:r>
        <w:rPr>
          <w:rFonts w:ascii="宋体" w:hAnsi="宋体" w:eastAsia="宋体" w:cs="宋体"/>
          <w:sz w:val="21"/>
          <w:szCs w:val="21"/>
        </w:rPr>
        <w:t xml:space="preserve"> </w:t>
      </w:r>
      <w:r>
        <w:rPr>
          <w:rFonts w:ascii="宋体" w:hAnsi="宋体" w:eastAsia="宋体" w:cs="宋体"/>
          <w:spacing w:val="4"/>
          <w:sz w:val="21"/>
          <w:szCs w:val="21"/>
        </w:rPr>
        <w:t>的18.5%降至≤13.0%。该战略包含15个专项行动，涵盖疾病预防、健康促进和环境保护等多个方</w:t>
      </w:r>
      <w:r>
        <w:rPr>
          <w:rFonts w:ascii="宋体" w:hAnsi="宋体" w:eastAsia="宋体" w:cs="宋体"/>
          <w:spacing w:val="2"/>
          <w:sz w:val="21"/>
          <w:szCs w:val="21"/>
        </w:rPr>
        <w:t xml:space="preserve">  </w:t>
      </w:r>
      <w:r>
        <w:rPr>
          <w:rFonts w:ascii="宋体" w:hAnsi="宋体" w:eastAsia="宋体" w:cs="宋体"/>
          <w:spacing w:val="-5"/>
          <w:sz w:val="21"/>
          <w:szCs w:val="21"/>
        </w:rPr>
        <w:t>面，具体包括健康知识普及行动、合理膳食行动、全民健身行动、控烟行动、心理健康促进行</w:t>
      </w:r>
      <w:r>
        <w:rPr>
          <w:rFonts w:ascii="宋体" w:hAnsi="宋体" w:eastAsia="宋体" w:cs="宋体"/>
          <w:spacing w:val="-6"/>
          <w:sz w:val="21"/>
          <w:szCs w:val="21"/>
        </w:rPr>
        <w:t>动、健</w:t>
      </w:r>
      <w:r>
        <w:rPr>
          <w:rFonts w:ascii="宋体" w:hAnsi="宋体" w:eastAsia="宋体" w:cs="宋体"/>
          <w:sz w:val="21"/>
          <w:szCs w:val="21"/>
        </w:rPr>
        <w:t xml:space="preserve">  康环境促进行动、妇幼健康促进行动、中小学健康促进行动、老年健康促进行</w:t>
      </w:r>
      <w:r>
        <w:rPr>
          <w:rFonts w:ascii="宋体" w:hAnsi="宋体" w:eastAsia="宋体" w:cs="宋体"/>
          <w:spacing w:val="-1"/>
          <w:sz w:val="21"/>
          <w:szCs w:val="21"/>
        </w:rPr>
        <w:t>动、职业健康保护行</w:t>
      </w:r>
      <w:r>
        <w:rPr>
          <w:rFonts w:ascii="宋体" w:hAnsi="宋体" w:eastAsia="宋体" w:cs="宋体"/>
          <w:sz w:val="21"/>
          <w:szCs w:val="21"/>
        </w:rPr>
        <w:t xml:space="preserve">  </w:t>
      </w:r>
      <w:r>
        <w:rPr>
          <w:rFonts w:ascii="宋体" w:hAnsi="宋体" w:eastAsia="宋体" w:cs="宋体"/>
          <w:spacing w:val="-4"/>
          <w:sz w:val="21"/>
          <w:szCs w:val="21"/>
        </w:rPr>
        <w:t>动、慢性病(心脑血管疾病、癌症、慢性呼吸系统疾病和糖尿病)防治行动等。</w:t>
      </w:r>
    </w:p>
    <w:p w14:paraId="60B7B7C4">
      <w:pPr>
        <w:pStyle w:val="2"/>
        <w:spacing w:before="235" w:line="223" w:lineRule="auto"/>
        <w:ind w:left="463"/>
        <w:outlineLvl w:val="4"/>
        <w:rPr>
          <w:sz w:val="27"/>
          <w:szCs w:val="27"/>
        </w:rPr>
      </w:pPr>
      <w:bookmarkStart w:id="372" w:name="bookmark237"/>
      <w:bookmarkEnd w:id="372"/>
      <w:r>
        <w:rPr>
          <w:b/>
          <w:bCs/>
          <w:spacing w:val="-10"/>
          <w:sz w:val="27"/>
          <w:szCs w:val="27"/>
        </w:rPr>
        <w:t>二、措施</w:t>
      </w:r>
    </w:p>
    <w:p w14:paraId="5F4A16AD">
      <w:pPr>
        <w:spacing w:before="244" w:line="316" w:lineRule="auto"/>
        <w:ind w:right="651" w:firstLine="409"/>
        <w:jc w:val="both"/>
        <w:rPr>
          <w:rFonts w:ascii="宋体" w:hAnsi="宋体" w:eastAsia="宋体" w:cs="宋体"/>
          <w:sz w:val="21"/>
          <w:szCs w:val="21"/>
        </w:rPr>
      </w:pPr>
      <w:r>
        <w:rPr>
          <w:rFonts w:ascii="宋体" w:hAnsi="宋体" w:eastAsia="宋体" w:cs="宋体"/>
          <w:sz w:val="21"/>
          <w:szCs w:val="21"/>
        </w:rPr>
        <w:t>慢性病的预防措施有很多。卫生资源总是有限的，特别是在低收入和</w:t>
      </w:r>
      <w:r>
        <w:rPr>
          <w:rFonts w:ascii="宋体" w:hAnsi="宋体" w:eastAsia="宋体" w:cs="宋体"/>
          <w:spacing w:val="-1"/>
          <w:sz w:val="21"/>
          <w:szCs w:val="21"/>
        </w:rPr>
        <w:t>中低收人国家，所以有必</w:t>
      </w:r>
      <w:r>
        <w:rPr>
          <w:rFonts w:ascii="宋体" w:hAnsi="宋体" w:eastAsia="宋体" w:cs="宋体"/>
          <w:sz w:val="21"/>
          <w:szCs w:val="21"/>
        </w:rPr>
        <w:t xml:space="preserve"> </w:t>
      </w:r>
      <w:r>
        <w:rPr>
          <w:rFonts w:ascii="宋体" w:hAnsi="宋体" w:eastAsia="宋体" w:cs="宋体"/>
          <w:spacing w:val="-2"/>
          <w:sz w:val="21"/>
          <w:szCs w:val="21"/>
        </w:rPr>
        <w:t>要确定各种预防措施的实施优先度。</w:t>
      </w:r>
      <w:r>
        <w:rPr>
          <w:rFonts w:ascii="宋体" w:hAnsi="宋体" w:eastAsia="宋体" w:cs="宋体"/>
          <w:spacing w:val="-25"/>
          <w:sz w:val="21"/>
          <w:szCs w:val="21"/>
        </w:rPr>
        <w:t xml:space="preserve"> </w:t>
      </w:r>
      <w:r>
        <w:rPr>
          <w:rFonts w:ascii="Times New Roman" w:hAnsi="Times New Roman" w:eastAsia="Times New Roman" w:cs="Times New Roman"/>
          <w:spacing w:val="-2"/>
          <w:sz w:val="21"/>
          <w:szCs w:val="21"/>
        </w:rPr>
        <w:t xml:space="preserve">WHO </w:t>
      </w:r>
      <w:r>
        <w:rPr>
          <w:rFonts w:ascii="宋体" w:hAnsi="宋体" w:eastAsia="宋体" w:cs="宋体"/>
          <w:spacing w:val="-2"/>
          <w:sz w:val="21"/>
          <w:szCs w:val="21"/>
        </w:rPr>
        <w:t>通过循证的方法确定</w:t>
      </w:r>
      <w:r>
        <w:rPr>
          <w:rFonts w:ascii="宋体" w:hAnsi="宋体" w:eastAsia="宋体" w:cs="宋体"/>
          <w:spacing w:val="-3"/>
          <w:sz w:val="21"/>
          <w:szCs w:val="21"/>
        </w:rPr>
        <w:t>了一组“最合算”</w:t>
      </w:r>
      <w:r>
        <w:rPr>
          <w:rFonts w:ascii="Times New Roman" w:hAnsi="Times New Roman" w:eastAsia="Times New Roman" w:cs="Times New Roman"/>
          <w:spacing w:val="-3"/>
          <w:sz w:val="21"/>
          <w:szCs w:val="21"/>
        </w:rPr>
        <w:t>(best   buy)</w:t>
      </w:r>
      <w:r>
        <w:rPr>
          <w:rFonts w:ascii="宋体" w:hAnsi="宋体" w:eastAsia="宋体" w:cs="宋体"/>
          <w:spacing w:val="-3"/>
          <w:sz w:val="21"/>
          <w:szCs w:val="21"/>
        </w:rPr>
        <w:t>的干预</w:t>
      </w:r>
      <w:r>
        <w:rPr>
          <w:rFonts w:ascii="宋体" w:hAnsi="宋体" w:eastAsia="宋体" w:cs="宋体"/>
          <w:sz w:val="21"/>
          <w:szCs w:val="21"/>
        </w:rPr>
        <w:t xml:space="preserve"> </w:t>
      </w:r>
      <w:r>
        <w:rPr>
          <w:rFonts w:ascii="宋体" w:hAnsi="宋体" w:eastAsia="宋体" w:cs="宋体"/>
          <w:spacing w:val="3"/>
          <w:sz w:val="21"/>
          <w:szCs w:val="21"/>
        </w:rPr>
        <w:t>措施。这些措施被评价为非常经济有效，通过成本效益</w:t>
      </w:r>
      <w:r>
        <w:rPr>
          <w:rFonts w:ascii="宋体" w:hAnsi="宋体" w:eastAsia="宋体" w:cs="宋体"/>
          <w:spacing w:val="2"/>
          <w:sz w:val="21"/>
          <w:szCs w:val="21"/>
        </w:rPr>
        <w:t>分析获得的有效干预措施以不超过100美元</w:t>
      </w:r>
      <w:r>
        <w:rPr>
          <w:rFonts w:ascii="宋体" w:hAnsi="宋体" w:eastAsia="宋体" w:cs="宋体"/>
          <w:sz w:val="21"/>
          <w:szCs w:val="21"/>
        </w:rPr>
        <w:t xml:space="preserve"> </w:t>
      </w:r>
      <w:r>
        <w:rPr>
          <w:rFonts w:ascii="宋体" w:hAnsi="宋体" w:eastAsia="宋体" w:cs="宋体"/>
          <w:spacing w:val="-1"/>
          <w:sz w:val="21"/>
          <w:szCs w:val="21"/>
        </w:rPr>
        <w:t>即可增加一个健康寿命年</w:t>
      </w:r>
      <w:r>
        <w:rPr>
          <w:rFonts w:ascii="Times New Roman" w:hAnsi="Times New Roman" w:eastAsia="Times New Roman" w:cs="Times New Roman"/>
          <w:spacing w:val="-1"/>
          <w:sz w:val="21"/>
          <w:szCs w:val="21"/>
        </w:rPr>
        <w:t>(healthy   l</w:t>
      </w:r>
      <w:r>
        <w:rPr>
          <w:rFonts w:ascii="Times New Roman" w:hAnsi="Times New Roman" w:eastAsia="Times New Roman" w:cs="Times New Roman"/>
          <w:spacing w:val="-2"/>
          <w:sz w:val="21"/>
          <w:szCs w:val="21"/>
        </w:rPr>
        <w:t>ife   year,HLY)</w:t>
      </w:r>
      <w:r>
        <w:rPr>
          <w:rFonts w:ascii="宋体" w:hAnsi="宋体" w:eastAsia="宋体" w:cs="宋体"/>
          <w:spacing w:val="-2"/>
          <w:sz w:val="21"/>
          <w:szCs w:val="21"/>
        </w:rPr>
        <w:t>。这些措施可行性好、投入低，适合在低收入和中</w:t>
      </w:r>
      <w:r>
        <w:rPr>
          <w:rFonts w:ascii="宋体" w:hAnsi="宋体" w:eastAsia="宋体" w:cs="宋体"/>
          <w:sz w:val="21"/>
          <w:szCs w:val="21"/>
        </w:rPr>
        <w:t xml:space="preserve"> 低收入国家中实施。各个国家、地区也可以根据当地的实际需要或优先度，增</w:t>
      </w:r>
      <w:r>
        <w:rPr>
          <w:rFonts w:ascii="宋体" w:hAnsi="宋体" w:eastAsia="宋体" w:cs="宋体"/>
          <w:spacing w:val="-1"/>
          <w:sz w:val="21"/>
          <w:szCs w:val="21"/>
        </w:rPr>
        <w:t>加或替换可能的干预</w:t>
      </w:r>
      <w:r>
        <w:rPr>
          <w:rFonts w:ascii="宋体" w:hAnsi="宋体" w:eastAsia="宋体" w:cs="宋体"/>
          <w:sz w:val="21"/>
          <w:szCs w:val="21"/>
        </w:rPr>
        <w:t xml:space="preserve"> </w:t>
      </w:r>
      <w:r>
        <w:rPr>
          <w:rFonts w:ascii="宋体" w:hAnsi="宋体" w:eastAsia="宋体" w:cs="宋体"/>
          <w:spacing w:val="7"/>
          <w:sz w:val="21"/>
          <w:szCs w:val="21"/>
        </w:rPr>
        <w:t>措施(如减少室内空气污染的措施)。表14-1展示了</w:t>
      </w:r>
      <w:r>
        <w:rPr>
          <w:rFonts w:ascii="宋体" w:hAnsi="宋体" w:eastAsia="宋体" w:cs="宋体"/>
          <w:sz w:val="21"/>
          <w:szCs w:val="21"/>
        </w:rPr>
        <w:t>WHO</w:t>
      </w:r>
      <w:r>
        <w:rPr>
          <w:rFonts w:ascii="宋体" w:hAnsi="宋体" w:eastAsia="宋体" w:cs="宋体"/>
          <w:spacing w:val="10"/>
          <w:sz w:val="21"/>
          <w:szCs w:val="21"/>
        </w:rPr>
        <w:t xml:space="preserve">  </w:t>
      </w:r>
      <w:r>
        <w:rPr>
          <w:rFonts w:ascii="宋体" w:hAnsi="宋体" w:eastAsia="宋体" w:cs="宋体"/>
          <w:spacing w:val="7"/>
          <w:sz w:val="21"/>
          <w:szCs w:val="21"/>
        </w:rPr>
        <w:t>推荐的这组干预措施，前四组针对危险</w:t>
      </w:r>
      <w:r>
        <w:rPr>
          <w:rFonts w:ascii="宋体" w:hAnsi="宋体" w:eastAsia="宋体" w:cs="宋体"/>
          <w:spacing w:val="1"/>
          <w:sz w:val="21"/>
          <w:szCs w:val="21"/>
        </w:rPr>
        <w:t xml:space="preserve"> </w:t>
      </w:r>
      <w:r>
        <w:rPr>
          <w:rFonts w:ascii="宋体" w:hAnsi="宋体" w:eastAsia="宋体" w:cs="宋体"/>
          <w:spacing w:val="-1"/>
          <w:sz w:val="21"/>
          <w:szCs w:val="21"/>
        </w:rPr>
        <w:t>因素的措施主要是人群水平上的，后两组针对疾病的措施是个体水平上的。</w:t>
      </w:r>
    </w:p>
    <w:p w14:paraId="0BA4C6A8">
      <w:pPr>
        <w:spacing w:line="316" w:lineRule="auto"/>
        <w:rPr>
          <w:rFonts w:ascii="宋体" w:hAnsi="宋体" w:eastAsia="宋体" w:cs="宋体"/>
          <w:sz w:val="21"/>
          <w:szCs w:val="21"/>
        </w:rPr>
        <w:sectPr>
          <w:footerReference r:id="rId236" w:type="default"/>
          <w:pgSz w:w="11900" w:h="16820"/>
          <w:pgMar w:top="400" w:right="769" w:bottom="866" w:left="1440" w:header="0" w:footer="677" w:gutter="0"/>
          <w:cols w:space="720" w:num="1"/>
        </w:sectPr>
      </w:pPr>
    </w:p>
    <w:p w14:paraId="4576E4CE">
      <w:pPr>
        <w:pStyle w:val="2"/>
        <w:spacing w:before="133" w:line="221" w:lineRule="auto"/>
        <w:ind w:left="632"/>
        <w:rPr>
          <w:sz w:val="17"/>
          <w:szCs w:val="17"/>
        </w:rPr>
      </w:pPr>
      <w:r>
        <w:rPr>
          <w:b/>
          <w:bCs/>
          <w:spacing w:val="-3"/>
          <w:sz w:val="17"/>
          <w:szCs w:val="17"/>
        </w:rPr>
        <w:t>第十四章</w:t>
      </w:r>
      <w:r>
        <w:rPr>
          <w:spacing w:val="-3"/>
          <w:sz w:val="17"/>
          <w:szCs w:val="17"/>
        </w:rPr>
        <w:t xml:space="preserve"> </w:t>
      </w:r>
      <w:r>
        <w:rPr>
          <w:b/>
          <w:bCs/>
          <w:spacing w:val="-3"/>
          <w:sz w:val="17"/>
          <w:szCs w:val="17"/>
        </w:rPr>
        <w:t>慢性病流行病学</w:t>
      </w:r>
    </w:p>
    <w:p w14:paraId="6E58165E">
      <w:pPr>
        <w:spacing w:before="43"/>
      </w:pPr>
    </w:p>
    <w:p w14:paraId="4113950B">
      <w:pPr>
        <w:spacing w:before="42"/>
      </w:pPr>
    </w:p>
    <w:p w14:paraId="03480635">
      <w:pPr>
        <w:sectPr>
          <w:footerReference r:id="rId237" w:type="default"/>
          <w:pgSz w:w="11900" w:h="16820"/>
          <w:pgMar w:top="400" w:right="1434" w:bottom="848" w:left="760" w:header="0" w:footer="695" w:gutter="0"/>
          <w:cols w:equalWidth="0" w:num="1">
            <w:col w:w="9706"/>
          </w:cols>
        </w:sectPr>
      </w:pPr>
    </w:p>
    <w:p w14:paraId="53783DBD">
      <w:pPr>
        <w:spacing w:before="41" w:line="221" w:lineRule="auto"/>
        <w:ind w:left="782"/>
        <w:rPr>
          <w:rFonts w:ascii="宋体" w:hAnsi="宋体" w:eastAsia="宋体" w:cs="宋体"/>
          <w:sz w:val="20"/>
          <w:szCs w:val="20"/>
        </w:rPr>
      </w:pPr>
      <w:r>
        <w:rPr>
          <w:rFonts w:ascii="宋体" w:hAnsi="宋体" w:eastAsia="宋体" w:cs="宋体"/>
          <w:b/>
          <w:bCs/>
          <w:spacing w:val="-3"/>
          <w:sz w:val="20"/>
          <w:szCs w:val="20"/>
        </w:rPr>
        <w:t>表14-</w:t>
      </w:r>
    </w:p>
    <w:p w14:paraId="36085397">
      <w:pPr>
        <w:spacing w:line="14" w:lineRule="auto"/>
        <w:rPr>
          <w:rFonts w:ascii="Arial"/>
          <w:sz w:val="2"/>
        </w:rPr>
      </w:pPr>
      <w:r>
        <w:rPr>
          <w:rFonts w:ascii="Arial" w:hAnsi="Arial" w:eastAsia="Arial" w:cs="Arial"/>
          <w:sz w:val="2"/>
          <w:szCs w:val="2"/>
        </w:rPr>
        <w:br w:type="column"/>
      </w:r>
    </w:p>
    <w:p w14:paraId="2396511A">
      <w:pPr>
        <w:spacing w:before="38" w:line="223" w:lineRule="auto"/>
        <w:ind w:left="538"/>
        <w:rPr>
          <w:rFonts w:ascii="宋体" w:hAnsi="宋体" w:eastAsia="宋体" w:cs="宋体"/>
          <w:sz w:val="20"/>
          <w:szCs w:val="20"/>
        </w:rPr>
      </w:pPr>
      <w:r>
        <w:rPr>
          <w:rFonts w:ascii="宋体" w:hAnsi="宋体" w:eastAsia="宋体" w:cs="宋体"/>
          <w:b/>
          <w:bCs/>
          <w:spacing w:val="-3"/>
          <w:sz w:val="20"/>
          <w:szCs w:val="20"/>
        </w:rPr>
        <w:t>1</w:t>
      </w:r>
    </w:p>
    <w:p w14:paraId="579BA913">
      <w:pPr>
        <w:spacing w:line="14" w:lineRule="auto"/>
        <w:rPr>
          <w:rFonts w:ascii="Arial"/>
          <w:sz w:val="2"/>
        </w:rPr>
      </w:pPr>
      <w:r>
        <w:rPr>
          <w:rFonts w:ascii="Arial" w:hAnsi="Arial" w:eastAsia="Arial" w:cs="Arial"/>
          <w:sz w:val="2"/>
          <w:szCs w:val="2"/>
        </w:rPr>
        <w:br w:type="column"/>
      </w:r>
    </w:p>
    <w:p w14:paraId="6BAA3119">
      <w:pPr>
        <w:spacing w:before="38" w:line="219" w:lineRule="auto"/>
        <w:rPr>
          <w:rFonts w:ascii="宋体" w:hAnsi="宋体" w:eastAsia="宋体" w:cs="宋体"/>
          <w:sz w:val="20"/>
          <w:szCs w:val="20"/>
        </w:rPr>
      </w:pPr>
      <w:r>
        <w:rPr>
          <w:rFonts w:ascii="宋体" w:hAnsi="宋体" w:eastAsia="宋体" w:cs="宋体"/>
          <w:b/>
          <w:bCs/>
          <w:spacing w:val="-1"/>
          <w:sz w:val="20"/>
          <w:szCs w:val="20"/>
        </w:rPr>
        <w:t>WHO推荐的“最合算”干预措施及其针对的危险因</w:t>
      </w:r>
      <w:r>
        <w:rPr>
          <w:rFonts w:ascii="宋体" w:hAnsi="宋体" w:eastAsia="宋体" w:cs="宋体"/>
          <w:b/>
          <w:bCs/>
          <w:spacing w:val="-2"/>
          <w:sz w:val="20"/>
          <w:szCs w:val="20"/>
        </w:rPr>
        <w:t>素/疾病</w:t>
      </w:r>
    </w:p>
    <w:p w14:paraId="6019F767">
      <w:pPr>
        <w:spacing w:line="219" w:lineRule="auto"/>
        <w:rPr>
          <w:rFonts w:ascii="宋体" w:hAnsi="宋体" w:eastAsia="宋体" w:cs="宋体"/>
          <w:sz w:val="20"/>
          <w:szCs w:val="20"/>
        </w:rPr>
        <w:sectPr>
          <w:type w:val="continuous"/>
          <w:pgSz w:w="11900" w:h="16820"/>
          <w:pgMar w:top="400" w:right="1434" w:bottom="848" w:left="760" w:header="0" w:footer="695" w:gutter="0"/>
          <w:cols w:equalWidth="0" w:num="3">
            <w:col w:w="2175" w:space="100"/>
            <w:col w:w="720" w:space="0"/>
            <w:col w:w="6712"/>
          </w:cols>
        </w:sectPr>
      </w:pPr>
    </w:p>
    <w:p w14:paraId="4772071F">
      <w:pPr>
        <w:spacing w:line="18" w:lineRule="exact"/>
      </w:pPr>
    </w:p>
    <w:tbl>
      <w:tblPr>
        <w:tblStyle w:val="5"/>
        <w:tblW w:w="9055" w:type="dxa"/>
        <w:tblInd w:w="649"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0" w:type="dxa"/>
          <w:left w:w="0" w:type="dxa"/>
          <w:bottom w:w="0" w:type="dxa"/>
          <w:right w:w="0" w:type="dxa"/>
        </w:tblCellMar>
      </w:tblPr>
      <w:tblGrid>
        <w:gridCol w:w="2050"/>
        <w:gridCol w:w="7005"/>
      </w:tblGrid>
      <w:tr w14:paraId="5035A5AD">
        <w:trPr>
          <w:trHeight w:val="365" w:hRule="atLeast"/>
        </w:trPr>
        <w:tc>
          <w:tcPr>
            <w:tcW w:w="2050" w:type="dxa"/>
            <w:tcBorders>
              <w:top w:val="single" w:color="000000" w:sz="4" w:space="0"/>
              <w:bottom w:val="single" w:color="000000" w:sz="4" w:space="0"/>
            </w:tcBorders>
            <w:shd w:val="clear" w:color="auto" w:fill="C7CFCB"/>
            <w:vAlign w:val="top"/>
          </w:tcPr>
          <w:p w14:paraId="1D94B468">
            <w:pPr>
              <w:pStyle w:val="6"/>
              <w:spacing w:before="80" w:line="219" w:lineRule="auto"/>
              <w:ind w:left="132"/>
            </w:pPr>
            <w:r>
              <w:rPr>
                <w:b/>
                <w:bCs/>
                <w:spacing w:val="-4"/>
              </w:rPr>
              <w:t>危险因素/疾病</w:t>
            </w:r>
          </w:p>
        </w:tc>
        <w:tc>
          <w:tcPr>
            <w:tcW w:w="7005" w:type="dxa"/>
            <w:tcBorders>
              <w:top w:val="single" w:color="000000" w:sz="4" w:space="0"/>
              <w:bottom w:val="single" w:color="000000" w:sz="4" w:space="0"/>
            </w:tcBorders>
            <w:shd w:val="clear" w:color="auto" w:fill="CCD2CC"/>
            <w:vAlign w:val="top"/>
          </w:tcPr>
          <w:p w14:paraId="2ADAC763">
            <w:pPr>
              <w:pStyle w:val="6"/>
              <w:spacing w:before="82" w:line="219" w:lineRule="auto"/>
              <w:ind w:left="109"/>
            </w:pPr>
            <w:r>
              <w:rPr>
                <w:spacing w:val="-2"/>
              </w:rPr>
              <w:t>干预措施</w:t>
            </w:r>
          </w:p>
        </w:tc>
      </w:tr>
      <w:tr w14:paraId="3AF14343">
        <w:trPr>
          <w:trHeight w:val="2268" w:hRule="atLeast"/>
        </w:trPr>
        <w:tc>
          <w:tcPr>
            <w:tcW w:w="2050" w:type="dxa"/>
            <w:tcBorders>
              <w:top w:val="single" w:color="000000" w:sz="4" w:space="0"/>
              <w:bottom w:val="single" w:color="000000" w:sz="4" w:space="0"/>
            </w:tcBorders>
            <w:vAlign w:val="top"/>
          </w:tcPr>
          <w:p w14:paraId="1EDBC27E">
            <w:pPr>
              <w:spacing w:line="241" w:lineRule="auto"/>
              <w:rPr>
                <w:rFonts w:ascii="Arial"/>
                <w:sz w:val="21"/>
              </w:rPr>
            </w:pPr>
          </w:p>
          <w:p w14:paraId="17226336">
            <w:pPr>
              <w:spacing w:line="242" w:lineRule="auto"/>
              <w:rPr>
                <w:rFonts w:ascii="Arial"/>
                <w:sz w:val="21"/>
              </w:rPr>
            </w:pPr>
          </w:p>
          <w:p w14:paraId="52A68EBF">
            <w:pPr>
              <w:spacing w:line="242" w:lineRule="auto"/>
              <w:rPr>
                <w:rFonts w:ascii="Arial"/>
                <w:sz w:val="21"/>
              </w:rPr>
            </w:pPr>
          </w:p>
          <w:p w14:paraId="1EC880AE">
            <w:pPr>
              <w:spacing w:line="242" w:lineRule="auto"/>
              <w:rPr>
                <w:rFonts w:ascii="Arial"/>
                <w:sz w:val="21"/>
              </w:rPr>
            </w:pPr>
          </w:p>
          <w:p w14:paraId="5C7058DC">
            <w:pPr>
              <w:pStyle w:val="6"/>
              <w:spacing w:before="65" w:line="220" w:lineRule="auto"/>
              <w:ind w:left="129"/>
            </w:pPr>
            <w:r>
              <w:rPr>
                <w:spacing w:val="6"/>
              </w:rPr>
              <w:t>吸烟</w:t>
            </w:r>
          </w:p>
        </w:tc>
        <w:tc>
          <w:tcPr>
            <w:tcW w:w="7005" w:type="dxa"/>
            <w:tcBorders>
              <w:top w:val="single" w:color="000000" w:sz="4" w:space="0"/>
              <w:bottom w:val="single" w:color="000000" w:sz="4" w:space="0"/>
            </w:tcBorders>
            <w:vAlign w:val="top"/>
          </w:tcPr>
          <w:p w14:paraId="245D8470">
            <w:pPr>
              <w:pStyle w:val="6"/>
              <w:spacing w:before="66" w:line="218" w:lineRule="auto"/>
              <w:ind w:left="109"/>
            </w:pPr>
            <w:r>
              <w:rPr>
                <w:spacing w:val="-2"/>
              </w:rPr>
              <w:t>提高税率和价格</w:t>
            </w:r>
          </w:p>
          <w:p w14:paraId="22400030">
            <w:pPr>
              <w:pStyle w:val="6"/>
              <w:spacing w:before="135" w:line="219" w:lineRule="auto"/>
              <w:ind w:left="109"/>
            </w:pPr>
            <w:r>
              <w:t>工作场所和公共场所室内禁烟</w:t>
            </w:r>
          </w:p>
          <w:p w14:paraId="37EBAB14">
            <w:pPr>
              <w:pStyle w:val="6"/>
              <w:spacing w:before="142" w:line="219" w:lineRule="auto"/>
              <w:ind w:left="109"/>
            </w:pPr>
            <w:r>
              <w:rPr>
                <w:spacing w:val="-2"/>
              </w:rPr>
              <w:t>烟草健康警示</w:t>
            </w:r>
          </w:p>
          <w:p w14:paraId="5F6A0657">
            <w:pPr>
              <w:pStyle w:val="6"/>
              <w:spacing w:before="150" w:line="218" w:lineRule="auto"/>
              <w:ind w:left="109"/>
            </w:pPr>
            <w:r>
              <w:rPr>
                <w:spacing w:val="1"/>
              </w:rPr>
              <w:t>禁止烟草广告、促销和赞助</w:t>
            </w:r>
          </w:p>
          <w:p w14:paraId="1BCEA07B">
            <w:pPr>
              <w:pStyle w:val="6"/>
              <w:spacing w:before="146" w:line="309" w:lineRule="auto"/>
              <w:ind w:left="109" w:right="2884"/>
            </w:pPr>
            <w:r>
              <w:t>实施有效的大众媒体宣传活动，鼓励改变行为</w:t>
            </w:r>
            <w:r>
              <w:rPr>
                <w:spacing w:val="9"/>
              </w:rPr>
              <w:t xml:space="preserve"> </w:t>
            </w:r>
            <w:r>
              <w:t>向吸烟者提供成本补偿的、有效的戒烟支持</w:t>
            </w:r>
          </w:p>
        </w:tc>
      </w:tr>
      <w:tr w14:paraId="3E2D8597">
        <w:trPr>
          <w:trHeight w:val="349" w:hRule="atLeast"/>
        </w:trPr>
        <w:tc>
          <w:tcPr>
            <w:tcW w:w="9055" w:type="dxa"/>
            <w:gridSpan w:val="2"/>
            <w:tcBorders>
              <w:top w:val="single" w:color="000000" w:sz="4" w:space="0"/>
            </w:tcBorders>
            <w:vAlign w:val="top"/>
          </w:tcPr>
          <w:p w14:paraId="0BB7D4B9">
            <w:pPr>
              <w:pStyle w:val="6"/>
              <w:spacing w:line="339" w:lineRule="exact"/>
              <w:ind w:firstLine="2050"/>
            </w:pPr>
            <w:r>
              <w:rPr>
                <w:position w:val="-8"/>
              </w:rPr>
              <w:pict>
                <v:shape id="_x0000_s1163" o:spid="_x0000_s1163" o:spt="202" type="#_x0000_t202" style="height:18pt;width:350pt;" fillcolor="#EAE7E4" filled="t" stroked="f" coordsize="21600,21600">
                  <v:path/>
                  <v:fill on="t" focussize="0,0"/>
                  <v:stroke on="f"/>
                  <v:imagedata o:title=""/>
                  <o:lock v:ext="edit" aspectratio="f"/>
                  <v:textbox inset="0mm,0mm,0mm,0mm">
                    <w:txbxContent>
                      <w:p w14:paraId="6709D4B6">
                        <w:pPr>
                          <w:spacing w:before="88" w:line="219" w:lineRule="auto"/>
                          <w:ind w:left="109"/>
                          <w:rPr>
                            <w:rFonts w:ascii="宋体" w:hAnsi="宋体" w:eastAsia="宋体" w:cs="宋体"/>
                            <w:sz w:val="20"/>
                            <w:szCs w:val="20"/>
                          </w:rPr>
                        </w:pPr>
                        <w:r>
                          <w:rPr>
                            <w:rFonts w:ascii="宋体" w:hAnsi="宋体" w:eastAsia="宋体" w:cs="宋体"/>
                            <w:spacing w:val="-2"/>
                            <w:sz w:val="20"/>
                            <w:szCs w:val="20"/>
                          </w:rPr>
                          <w:t>提高税率</w:t>
                        </w:r>
                      </w:p>
                    </w:txbxContent>
                  </v:textbox>
                  <w10:wrap type="none"/>
                  <w10:anchorlock/>
                </v:shape>
              </w:pict>
            </w:r>
          </w:p>
        </w:tc>
      </w:tr>
      <w:tr w14:paraId="69112333">
        <w:trPr>
          <w:trHeight w:val="380" w:hRule="atLeast"/>
        </w:trPr>
        <w:tc>
          <w:tcPr>
            <w:tcW w:w="2050" w:type="dxa"/>
            <w:vAlign w:val="top"/>
          </w:tcPr>
          <w:p w14:paraId="6B69FB63">
            <w:pPr>
              <w:pStyle w:val="6"/>
              <w:spacing w:before="111" w:line="220" w:lineRule="auto"/>
              <w:ind w:left="129"/>
            </w:pPr>
            <w:r>
              <w:rPr>
                <w:spacing w:val="-2"/>
              </w:rPr>
              <w:t>过量饮酒</w:t>
            </w:r>
          </w:p>
        </w:tc>
        <w:tc>
          <w:tcPr>
            <w:tcW w:w="7005" w:type="dxa"/>
            <w:shd w:val="clear" w:color="auto" w:fill="E1E0DA"/>
            <w:vAlign w:val="top"/>
          </w:tcPr>
          <w:p w14:paraId="47FA53BD">
            <w:pPr>
              <w:pStyle w:val="6"/>
              <w:spacing w:before="99" w:line="218" w:lineRule="auto"/>
              <w:ind w:left="109"/>
            </w:pPr>
            <w:r>
              <w:rPr>
                <w:spacing w:val="1"/>
              </w:rPr>
              <w:t>禁止或全面限制酒精类广告</w:t>
            </w:r>
          </w:p>
        </w:tc>
      </w:tr>
      <w:tr w14:paraId="75B82E0E">
        <w:trPr>
          <w:trHeight w:val="389" w:hRule="atLeast"/>
        </w:trPr>
        <w:tc>
          <w:tcPr>
            <w:tcW w:w="9055" w:type="dxa"/>
            <w:gridSpan w:val="2"/>
            <w:tcBorders>
              <w:bottom w:val="single" w:color="000000" w:sz="4" w:space="0"/>
            </w:tcBorders>
            <w:vAlign w:val="top"/>
          </w:tcPr>
          <w:p w14:paraId="0A819314">
            <w:pPr>
              <w:pStyle w:val="6"/>
              <w:spacing w:before="3" w:line="376" w:lineRule="exact"/>
              <w:ind w:firstLine="2050"/>
            </w:pPr>
            <w:r>
              <w:rPr>
                <w:position w:val="-8"/>
              </w:rPr>
              <w:pict>
                <v:shape id="_x0000_s1164" o:spid="_x0000_s1164" o:spt="202" type="#_x0000_t202" style="height:19.5pt;width:350pt;" fillcolor="#E1E0DA" filled="t" stroked="f" coordsize="21600,21600">
                  <v:path/>
                  <v:fill on="t" focussize="0,0"/>
                  <v:stroke on="f"/>
                  <v:imagedata o:title=""/>
                  <o:lock v:ext="edit" aspectratio="f"/>
                  <v:textbox inset="0mm,0mm,0mm,0mm">
                    <w:txbxContent>
                      <w:p w14:paraId="270A29E5">
                        <w:pPr>
                          <w:spacing w:before="98" w:line="219" w:lineRule="auto"/>
                          <w:ind w:left="109"/>
                          <w:rPr>
                            <w:rFonts w:ascii="宋体" w:hAnsi="宋体" w:eastAsia="宋体" w:cs="宋体"/>
                            <w:sz w:val="20"/>
                            <w:szCs w:val="20"/>
                          </w:rPr>
                        </w:pPr>
                        <w:r>
                          <w:rPr>
                            <w:rFonts w:ascii="宋体" w:hAnsi="宋体" w:eastAsia="宋体" w:cs="宋体"/>
                            <w:sz w:val="20"/>
                            <w:szCs w:val="20"/>
                          </w:rPr>
                          <w:t>限制零售酒类的实际可及性</w:t>
                        </w:r>
                      </w:p>
                    </w:txbxContent>
                  </v:textbox>
                  <w10:wrap type="none"/>
                  <w10:anchorlock/>
                </v:shape>
              </w:pict>
            </w:r>
          </w:p>
        </w:tc>
      </w:tr>
      <w:tr w14:paraId="4D3A96E3">
        <w:trPr>
          <w:trHeight w:val="639" w:hRule="atLeast"/>
        </w:trPr>
        <w:tc>
          <w:tcPr>
            <w:tcW w:w="2050" w:type="dxa"/>
            <w:tcBorders>
              <w:top w:val="single" w:color="000000" w:sz="4" w:space="0"/>
              <w:bottom w:val="single" w:color="000000" w:sz="4" w:space="0"/>
            </w:tcBorders>
            <w:vAlign w:val="top"/>
          </w:tcPr>
          <w:p w14:paraId="6B262EAF">
            <w:pPr>
              <w:pStyle w:val="6"/>
              <w:spacing w:before="222" w:line="219" w:lineRule="auto"/>
              <w:ind w:left="129"/>
            </w:pPr>
            <w:r>
              <w:rPr>
                <w:spacing w:val="3"/>
              </w:rPr>
              <w:t>身体活动少</w:t>
            </w:r>
          </w:p>
        </w:tc>
        <w:tc>
          <w:tcPr>
            <w:tcW w:w="7005" w:type="dxa"/>
            <w:tcBorders>
              <w:top w:val="single" w:color="000000" w:sz="4" w:space="0"/>
              <w:bottom w:val="single" w:color="000000" w:sz="4" w:space="0"/>
            </w:tcBorders>
            <w:vAlign w:val="top"/>
          </w:tcPr>
          <w:p w14:paraId="4E9987BA">
            <w:pPr>
              <w:pStyle w:val="6"/>
              <w:spacing w:before="91" w:line="248" w:lineRule="auto"/>
              <w:ind w:left="119" w:right="5"/>
            </w:pPr>
            <w:r>
              <w:rPr>
                <w:spacing w:val="-9"/>
              </w:rPr>
              <w:t>实施持续的、广泛的、最佳实践的健康宣传，以促进身体活动，并与社区项目和环</w:t>
            </w:r>
            <w:r>
              <w:rPr>
                <w:spacing w:val="2"/>
              </w:rPr>
              <w:t xml:space="preserve"> </w:t>
            </w:r>
            <w:r>
              <w:rPr>
                <w:spacing w:val="3"/>
              </w:rPr>
              <w:t>境改善相联系</w:t>
            </w:r>
          </w:p>
        </w:tc>
      </w:tr>
      <w:tr w14:paraId="13C97F21">
        <w:trPr>
          <w:trHeight w:val="659" w:hRule="atLeast"/>
        </w:trPr>
        <w:tc>
          <w:tcPr>
            <w:tcW w:w="9055" w:type="dxa"/>
            <w:gridSpan w:val="2"/>
            <w:tcBorders>
              <w:top w:val="single" w:color="000000" w:sz="4" w:space="0"/>
            </w:tcBorders>
            <w:vAlign w:val="top"/>
          </w:tcPr>
          <w:p w14:paraId="0EC8EA58">
            <w:pPr>
              <w:pStyle w:val="6"/>
              <w:spacing w:before="103" w:line="252" w:lineRule="auto"/>
              <w:ind w:left="2149" w:right="3"/>
            </w:pPr>
            <w:r>
              <w:rPr>
                <w:spacing w:val="-6"/>
              </w:rPr>
              <w:t>更健康食品和饮料的重新配方政策(例如，消除反式脂肪酸，减少饱和脂肪、游离</w:t>
            </w:r>
            <w:r>
              <w:rPr>
                <w:spacing w:val="16"/>
              </w:rPr>
              <w:t xml:space="preserve"> </w:t>
            </w:r>
            <w:r>
              <w:rPr>
                <w:spacing w:val="7"/>
              </w:rPr>
              <w:t>糖和/或钠)</w:t>
            </w:r>
          </w:p>
        </w:tc>
      </w:tr>
      <w:tr w14:paraId="6F971248">
        <w:trPr>
          <w:trHeight w:val="390" w:hRule="atLeast"/>
        </w:trPr>
        <w:tc>
          <w:tcPr>
            <w:tcW w:w="9055" w:type="dxa"/>
            <w:gridSpan w:val="2"/>
            <w:vAlign w:val="top"/>
          </w:tcPr>
          <w:p w14:paraId="07AE5866">
            <w:pPr>
              <w:pStyle w:val="6"/>
              <w:spacing w:before="5" w:line="375" w:lineRule="exact"/>
              <w:ind w:firstLine="2050"/>
            </w:pPr>
            <w:r>
              <w:rPr>
                <w:position w:val="-9"/>
              </w:rPr>
              <w:pict>
                <v:shape id="_x0000_s1165" o:spid="_x0000_s1165" o:spt="202" type="#_x0000_t202" style="height:19.55pt;width:350pt;" fillcolor="#EDECE9" filled="t" stroked="f" coordsize="21600,21600">
                  <v:path/>
                  <v:fill on="t" focussize="0,0"/>
                  <v:stroke on="f"/>
                  <v:imagedata o:title=""/>
                  <o:lock v:ext="edit" aspectratio="f"/>
                  <v:textbox inset="0mm,0mm,0mm,0mm">
                    <w:txbxContent>
                      <w:p w14:paraId="3966BF6F">
                        <w:pPr>
                          <w:spacing w:before="98" w:line="219" w:lineRule="auto"/>
                          <w:ind w:left="109"/>
                          <w:rPr>
                            <w:rFonts w:ascii="宋体" w:hAnsi="宋体" w:eastAsia="宋体" w:cs="宋体"/>
                            <w:sz w:val="20"/>
                            <w:szCs w:val="20"/>
                          </w:rPr>
                        </w:pPr>
                        <w:r>
                          <w:rPr>
                            <w:rFonts w:ascii="宋体" w:hAnsi="宋体" w:eastAsia="宋体" w:cs="宋体"/>
                            <w:spacing w:val="-1"/>
                            <w:sz w:val="20"/>
                            <w:szCs w:val="20"/>
                          </w:rPr>
                          <w:t>全面营养标签政策，且将营养标签展示在包装正面</w:t>
                        </w:r>
                      </w:p>
                    </w:txbxContent>
                  </v:textbox>
                  <w10:wrap type="none"/>
                  <w10:anchorlock/>
                </v:shape>
              </w:pict>
            </w:r>
          </w:p>
        </w:tc>
      </w:tr>
      <w:tr w14:paraId="0C924209">
        <w:trPr>
          <w:trHeight w:val="360" w:hRule="atLeast"/>
        </w:trPr>
        <w:tc>
          <w:tcPr>
            <w:tcW w:w="9055" w:type="dxa"/>
            <w:gridSpan w:val="2"/>
            <w:vAlign w:val="top"/>
          </w:tcPr>
          <w:p w14:paraId="01B9B770">
            <w:pPr>
              <w:pStyle w:val="6"/>
              <w:spacing w:before="93" w:line="209" w:lineRule="auto"/>
              <w:ind w:left="129"/>
            </w:pPr>
            <w:r>
              <w:rPr>
                <w:spacing w:val="1"/>
                <w:position w:val="-2"/>
              </w:rPr>
              <w:t xml:space="preserve">不健康的饮食习惯    </w:t>
            </w:r>
            <w:r>
              <w:rPr>
                <w:spacing w:val="1"/>
                <w:position w:val="1"/>
              </w:rPr>
              <w:t>公共食品采购和服务政策，鼓励健康饮食习惯</w:t>
            </w:r>
          </w:p>
        </w:tc>
      </w:tr>
      <w:tr w14:paraId="0C17377B">
        <w:trPr>
          <w:trHeight w:val="390" w:hRule="atLeast"/>
        </w:trPr>
        <w:tc>
          <w:tcPr>
            <w:tcW w:w="9055" w:type="dxa"/>
            <w:gridSpan w:val="2"/>
            <w:vAlign w:val="top"/>
          </w:tcPr>
          <w:p w14:paraId="690EDFB4">
            <w:pPr>
              <w:pStyle w:val="6"/>
              <w:spacing w:before="5" w:line="375" w:lineRule="exact"/>
              <w:ind w:firstLine="2050"/>
            </w:pPr>
            <w:r>
              <w:rPr>
                <w:position w:val="-9"/>
              </w:rPr>
              <w:pict>
                <v:shape id="_x0000_s1166" o:spid="_x0000_s1166" o:spt="202" type="#_x0000_t202" style="height:19.55pt;width:350pt;" fillcolor="#EDECE8" filled="t" stroked="f" coordsize="21600,21600">
                  <v:path/>
                  <v:fill on="t" focussize="0,0"/>
                  <v:stroke on="f"/>
                  <v:imagedata o:title=""/>
                  <o:lock v:ext="edit" aspectratio="f"/>
                  <v:textbox inset="0mm,0mm,0mm,0mm">
                    <w:txbxContent>
                      <w:p w14:paraId="71D1C501">
                        <w:pPr>
                          <w:spacing w:before="96" w:line="219" w:lineRule="auto"/>
                          <w:ind w:left="109"/>
                          <w:rPr>
                            <w:rFonts w:ascii="宋体" w:hAnsi="宋体" w:eastAsia="宋体" w:cs="宋体"/>
                            <w:sz w:val="20"/>
                            <w:szCs w:val="20"/>
                          </w:rPr>
                        </w:pPr>
                        <w:r>
                          <w:rPr>
                            <w:rFonts w:ascii="宋体" w:hAnsi="宋体" w:eastAsia="宋体" w:cs="宋体"/>
                            <w:sz w:val="20"/>
                            <w:szCs w:val="20"/>
                          </w:rPr>
                          <w:t>鼓励健康饮食习惯的健康传播和大众媒体运动</w:t>
                        </w:r>
                      </w:p>
                    </w:txbxContent>
                  </v:textbox>
                  <w10:wrap type="none"/>
                  <w10:anchorlock/>
                </v:shape>
              </w:pict>
            </w:r>
          </w:p>
        </w:tc>
      </w:tr>
      <w:tr w14:paraId="64EBE37D">
        <w:trPr>
          <w:trHeight w:val="389" w:hRule="atLeast"/>
        </w:trPr>
        <w:tc>
          <w:tcPr>
            <w:tcW w:w="9055" w:type="dxa"/>
            <w:gridSpan w:val="2"/>
            <w:vAlign w:val="top"/>
          </w:tcPr>
          <w:p w14:paraId="54EC2805">
            <w:pPr>
              <w:pStyle w:val="6"/>
              <w:spacing w:before="6" w:line="373" w:lineRule="exact"/>
              <w:ind w:firstLine="2050"/>
            </w:pPr>
            <w:r>
              <w:rPr>
                <w:position w:val="-9"/>
              </w:rPr>
              <w:pict>
                <v:shape id="_x0000_s1167" o:spid="_x0000_s1167" o:spt="202" type="#_x0000_t202" style="height:19.5pt;width:350pt;" fillcolor="#ECEBE9" filled="t" stroked="f" coordsize="21600,21600">
                  <v:path/>
                  <v:fill on="t" focussize="0,0"/>
                  <v:stroke on="f"/>
                  <v:imagedata o:title=""/>
                  <o:lock v:ext="edit" aspectratio="f"/>
                  <v:textbox inset="0mm,0mm,0mm,0mm">
                    <w:txbxContent>
                      <w:p w14:paraId="355258A2">
                        <w:pPr>
                          <w:spacing w:before="98" w:line="219" w:lineRule="auto"/>
                          <w:ind w:left="109"/>
                          <w:rPr>
                            <w:rFonts w:ascii="宋体" w:hAnsi="宋体" w:eastAsia="宋体" w:cs="宋体"/>
                            <w:sz w:val="20"/>
                            <w:szCs w:val="20"/>
                          </w:rPr>
                        </w:pPr>
                        <w:r>
                          <w:rPr>
                            <w:rFonts w:ascii="宋体" w:hAnsi="宋体" w:eastAsia="宋体" w:cs="宋体"/>
                            <w:spacing w:val="-1"/>
                            <w:sz w:val="20"/>
                            <w:szCs w:val="20"/>
                          </w:rPr>
                          <w:t>保护儿童免受食品营销不良影响的政策</w:t>
                        </w:r>
                      </w:p>
                    </w:txbxContent>
                  </v:textbox>
                  <w10:wrap type="none"/>
                  <w10:anchorlock/>
                </v:shape>
              </w:pict>
            </w:r>
          </w:p>
        </w:tc>
      </w:tr>
      <w:tr w14:paraId="15B33A01">
        <w:trPr>
          <w:trHeight w:val="370" w:hRule="atLeast"/>
        </w:trPr>
        <w:tc>
          <w:tcPr>
            <w:tcW w:w="9055" w:type="dxa"/>
            <w:gridSpan w:val="2"/>
            <w:tcBorders>
              <w:bottom w:val="single" w:color="000000" w:sz="4" w:space="0"/>
            </w:tcBorders>
            <w:vAlign w:val="top"/>
          </w:tcPr>
          <w:p w14:paraId="6972AD75">
            <w:pPr>
              <w:pStyle w:val="6"/>
              <w:spacing w:before="6" w:line="354" w:lineRule="exact"/>
              <w:ind w:firstLine="2050"/>
            </w:pPr>
            <w:r>
              <w:rPr>
                <w:position w:val="-8"/>
              </w:rPr>
              <w:pict>
                <v:shape id="_x0000_s1168" o:spid="_x0000_s1168" o:spt="202" type="#_x0000_t202" style="height:18.55pt;width:350pt;" fillcolor="#E0E0DD" filled="t" stroked="f" coordsize="21600,21600">
                  <v:path/>
                  <v:fill on="t" focussize="0,0"/>
                  <v:stroke on="f"/>
                  <v:imagedata o:title=""/>
                  <o:lock v:ext="edit" aspectratio="f"/>
                  <v:textbox inset="0mm,0mm,0mm,0mm">
                    <w:txbxContent>
                      <w:p w14:paraId="3E3B8B45">
                        <w:pPr>
                          <w:spacing w:before="87" w:line="219" w:lineRule="auto"/>
                          <w:ind w:left="109"/>
                          <w:rPr>
                            <w:rFonts w:ascii="宋体" w:hAnsi="宋体" w:eastAsia="宋体" w:cs="宋体"/>
                            <w:sz w:val="20"/>
                            <w:szCs w:val="20"/>
                          </w:rPr>
                        </w:pPr>
                        <w:r>
                          <w:rPr>
                            <w:rFonts w:ascii="宋体" w:hAnsi="宋体" w:eastAsia="宋体" w:cs="宋体"/>
                            <w:spacing w:val="-1"/>
                            <w:sz w:val="20"/>
                            <w:szCs w:val="20"/>
                          </w:rPr>
                          <w:t>保护、促进和支持最佳母乳喂养方式</w:t>
                        </w:r>
                      </w:p>
                    </w:txbxContent>
                  </v:textbox>
                  <w10:wrap type="none"/>
                  <w10:anchorlock/>
                </v:shape>
              </w:pict>
            </w:r>
          </w:p>
        </w:tc>
      </w:tr>
      <w:tr w14:paraId="28A90D5F">
        <w:trPr>
          <w:trHeight w:val="1409" w:hRule="atLeast"/>
        </w:trPr>
        <w:tc>
          <w:tcPr>
            <w:tcW w:w="2050" w:type="dxa"/>
            <w:tcBorders>
              <w:top w:val="single" w:color="000000" w:sz="4" w:space="0"/>
              <w:bottom w:val="single" w:color="000000" w:sz="4" w:space="0"/>
            </w:tcBorders>
            <w:vAlign w:val="top"/>
          </w:tcPr>
          <w:p w14:paraId="615F0D90">
            <w:pPr>
              <w:pStyle w:val="6"/>
              <w:spacing w:before="74" w:line="271" w:lineRule="auto"/>
              <w:ind w:left="139" w:right="1"/>
            </w:pPr>
            <w:r>
              <w:rPr>
                <w:spacing w:val="-10"/>
              </w:rPr>
              <w:t>心血管疾病和慢性呼吸</w:t>
            </w:r>
            <w:r>
              <w:rPr>
                <w:spacing w:val="7"/>
              </w:rPr>
              <w:t xml:space="preserve"> </w:t>
            </w:r>
            <w:r>
              <w:rPr>
                <w:spacing w:val="3"/>
              </w:rPr>
              <w:t>系统疾病</w:t>
            </w:r>
          </w:p>
        </w:tc>
        <w:tc>
          <w:tcPr>
            <w:tcW w:w="7005" w:type="dxa"/>
            <w:tcBorders>
              <w:top w:val="single" w:color="000000" w:sz="4" w:space="0"/>
              <w:bottom w:val="single" w:color="000000" w:sz="4" w:space="0"/>
            </w:tcBorders>
            <w:vAlign w:val="top"/>
          </w:tcPr>
          <w:p w14:paraId="2EE21311">
            <w:pPr>
              <w:pStyle w:val="6"/>
              <w:spacing w:before="75" w:line="271" w:lineRule="auto"/>
              <w:ind w:left="109" w:right="4"/>
            </w:pPr>
            <w:r>
              <w:rPr>
                <w:spacing w:val="-3"/>
              </w:rPr>
              <w:t>建立定期接受青霉素预防性治疗的患者登记系统，对风湿热和风湿</w:t>
            </w:r>
            <w:r>
              <w:rPr>
                <w:spacing w:val="-4"/>
              </w:rPr>
              <w:t>性心脏病开展</w:t>
            </w:r>
            <w:r>
              <w:t xml:space="preserve"> </w:t>
            </w:r>
            <w:r>
              <w:rPr>
                <w:spacing w:val="2"/>
              </w:rPr>
              <w:t>二级预防</w:t>
            </w:r>
          </w:p>
          <w:p w14:paraId="6FA2963A">
            <w:pPr>
              <w:pStyle w:val="6"/>
              <w:spacing w:before="81" w:line="219" w:lineRule="auto"/>
              <w:ind w:left="109"/>
            </w:pPr>
            <w:r>
              <w:t>用吸入支气管扩张剂和口服类固醇治疗哮喘急性</w:t>
            </w:r>
            <w:r>
              <w:rPr>
                <w:spacing w:val="-1"/>
              </w:rPr>
              <w:t>发作和COPD急性加重</w:t>
            </w:r>
          </w:p>
          <w:p w14:paraId="2C5C3F39">
            <w:pPr>
              <w:pStyle w:val="6"/>
              <w:spacing w:before="152" w:line="219" w:lineRule="auto"/>
              <w:ind w:left="109"/>
            </w:pPr>
            <w:r>
              <w:rPr>
                <w:spacing w:val="-1"/>
              </w:rPr>
              <w:t>用吸入支气管扩张剂长期治疗COPD</w:t>
            </w:r>
          </w:p>
        </w:tc>
      </w:tr>
      <w:tr w14:paraId="2554DA21">
        <w:trPr>
          <w:trHeight w:val="2713" w:hRule="atLeast"/>
        </w:trPr>
        <w:tc>
          <w:tcPr>
            <w:tcW w:w="2050" w:type="dxa"/>
            <w:tcBorders>
              <w:top w:val="single" w:color="000000" w:sz="4" w:space="0"/>
              <w:bottom w:val="single" w:color="000000" w:sz="4" w:space="0"/>
            </w:tcBorders>
            <w:shd w:val="clear" w:color="auto" w:fill="E5E4E9"/>
            <w:vAlign w:val="top"/>
          </w:tcPr>
          <w:p w14:paraId="33E42C6B">
            <w:pPr>
              <w:spacing w:line="298" w:lineRule="auto"/>
              <w:rPr>
                <w:rFonts w:ascii="Arial"/>
                <w:sz w:val="21"/>
              </w:rPr>
            </w:pPr>
          </w:p>
          <w:p w14:paraId="060A99FA">
            <w:pPr>
              <w:spacing w:line="299" w:lineRule="auto"/>
              <w:rPr>
                <w:rFonts w:ascii="Arial"/>
                <w:sz w:val="21"/>
              </w:rPr>
            </w:pPr>
          </w:p>
          <w:p w14:paraId="4BDBAD3E">
            <w:pPr>
              <w:spacing w:line="299" w:lineRule="auto"/>
              <w:rPr>
                <w:rFonts w:ascii="Arial"/>
                <w:sz w:val="21"/>
              </w:rPr>
            </w:pPr>
          </w:p>
          <w:p w14:paraId="53F12FA0">
            <w:pPr>
              <w:spacing w:line="299" w:lineRule="auto"/>
              <w:rPr>
                <w:rFonts w:ascii="Arial"/>
                <w:sz w:val="21"/>
              </w:rPr>
            </w:pPr>
          </w:p>
          <w:p w14:paraId="1B7AB5E3">
            <w:pPr>
              <w:pStyle w:val="6"/>
              <w:spacing w:before="65" w:line="221" w:lineRule="auto"/>
              <w:ind w:left="129"/>
            </w:pPr>
            <w:r>
              <w:rPr>
                <w:spacing w:val="-2"/>
              </w:rPr>
              <w:t>恶性肿瘤</w:t>
            </w:r>
          </w:p>
        </w:tc>
        <w:tc>
          <w:tcPr>
            <w:tcW w:w="7005" w:type="dxa"/>
            <w:tcBorders>
              <w:top w:val="single" w:color="000000" w:sz="4" w:space="0"/>
              <w:bottom w:val="single" w:color="000000" w:sz="4" w:space="0"/>
            </w:tcBorders>
            <w:shd w:val="clear" w:color="auto" w:fill="E5E4E9"/>
            <w:vAlign w:val="top"/>
          </w:tcPr>
          <w:p w14:paraId="5BC9C93E">
            <w:pPr>
              <w:pStyle w:val="6"/>
              <w:spacing w:before="86" w:line="220" w:lineRule="auto"/>
              <w:ind w:left="109"/>
            </w:pPr>
            <w:r>
              <w:rPr>
                <w:spacing w:val="-1"/>
              </w:rPr>
              <w:t>接种乙肝疫苗，预防肝癌</w:t>
            </w:r>
          </w:p>
          <w:p w14:paraId="79FABC37">
            <w:pPr>
              <w:pStyle w:val="6"/>
              <w:spacing w:before="131" w:line="219" w:lineRule="auto"/>
              <w:ind w:left="109"/>
            </w:pPr>
            <w:r>
              <w:rPr>
                <w:spacing w:val="-1"/>
              </w:rPr>
              <w:t>9～14岁女孩接种人乳头瘤病毒(HPV)疫苗</w:t>
            </w:r>
          </w:p>
          <w:p w14:paraId="1B232CE8">
            <w:pPr>
              <w:pStyle w:val="6"/>
              <w:spacing w:before="142" w:line="219" w:lineRule="auto"/>
              <w:ind w:left="109"/>
            </w:pPr>
            <w:r>
              <w:t>宫颈癌：HPV DNA筛查，30岁开始，5～10年筛查一次</w:t>
            </w:r>
          </w:p>
          <w:p w14:paraId="53744791">
            <w:pPr>
              <w:pStyle w:val="6"/>
              <w:spacing w:before="140" w:line="260" w:lineRule="auto"/>
              <w:ind w:left="129"/>
              <w:jc w:val="both"/>
            </w:pPr>
            <w:r>
              <w:rPr>
                <w:spacing w:val="-4"/>
              </w:rPr>
              <w:t>宫颈癌、乳腺癌、结直肠癌和儿童癌症：早诊项目与及时的诊断检查和综合癌症</w:t>
            </w:r>
            <w:r>
              <w:rPr>
                <w:spacing w:val="8"/>
              </w:rPr>
              <w:t xml:space="preserve"> </w:t>
            </w:r>
            <w:r>
              <w:rPr>
                <w:spacing w:val="11"/>
              </w:rPr>
              <w:t>治疗相结合，儿童癌症中重点关注</w:t>
            </w:r>
            <w:r>
              <w:t>WHO</w:t>
            </w:r>
            <w:r>
              <w:rPr>
                <w:spacing w:val="11"/>
              </w:rPr>
              <w:t>全球倡议中的6种癌症(急性淋巴母细</w:t>
            </w:r>
            <w:r>
              <w:rPr>
                <w:spacing w:val="18"/>
              </w:rPr>
              <w:t xml:space="preserve"> </w:t>
            </w:r>
            <w:r>
              <w:rPr>
                <w:spacing w:val="-9"/>
              </w:rPr>
              <w:t>胞白血病、伯基特淋巴瘤、霍奇金淋巴瘤、视网膜母细胞瘤、肾母细胞瘤及低</w:t>
            </w:r>
            <w:r>
              <w:rPr>
                <w:spacing w:val="-10"/>
              </w:rPr>
              <w:t>级别</w:t>
            </w:r>
            <w:r>
              <w:t xml:space="preserve"> </w:t>
            </w:r>
            <w:r>
              <w:rPr>
                <w:spacing w:val="10"/>
              </w:rPr>
              <w:t>胶质瘤)</w:t>
            </w:r>
          </w:p>
          <w:p w14:paraId="135D5AE5">
            <w:pPr>
              <w:pStyle w:val="6"/>
              <w:spacing w:before="96" w:line="220" w:lineRule="auto"/>
              <w:ind w:left="109"/>
            </w:pPr>
            <w:r>
              <w:rPr>
                <w:spacing w:val="-1"/>
              </w:rPr>
              <w:t>针对HIV感染者的癌症早期发现和综合治疗</w:t>
            </w:r>
          </w:p>
        </w:tc>
      </w:tr>
    </w:tbl>
    <w:p w14:paraId="1B5967A5">
      <w:pPr>
        <w:spacing w:line="248" w:lineRule="auto"/>
        <w:rPr>
          <w:rFonts w:ascii="Arial"/>
          <w:sz w:val="21"/>
        </w:rPr>
      </w:pPr>
    </w:p>
    <w:p w14:paraId="38B26A57">
      <w:pPr>
        <w:spacing w:line="249" w:lineRule="auto"/>
        <w:rPr>
          <w:rFonts w:ascii="Arial"/>
          <w:sz w:val="21"/>
        </w:rPr>
      </w:pPr>
    </w:p>
    <w:p w14:paraId="0755F408">
      <w:pPr>
        <w:pStyle w:val="2"/>
        <w:spacing w:before="101" w:line="222" w:lineRule="auto"/>
        <w:ind w:left="3744"/>
        <w:outlineLvl w:val="1"/>
        <w:rPr>
          <w:sz w:val="31"/>
          <w:szCs w:val="31"/>
        </w:rPr>
      </w:pPr>
      <w:bookmarkStart w:id="373" w:name="bookmark238"/>
      <w:bookmarkEnd w:id="373"/>
      <w:r>
        <w:rPr>
          <w:b/>
          <w:bCs/>
          <w:spacing w:val="-10"/>
          <w:sz w:val="31"/>
          <w:szCs w:val="31"/>
        </w:rPr>
        <w:t>第四节</w:t>
      </w:r>
      <w:r>
        <w:rPr>
          <w:spacing w:val="125"/>
          <w:sz w:val="31"/>
          <w:szCs w:val="31"/>
        </w:rPr>
        <w:t xml:space="preserve"> </w:t>
      </w:r>
      <w:r>
        <w:rPr>
          <w:b/>
          <w:bCs/>
          <w:spacing w:val="-10"/>
          <w:sz w:val="31"/>
          <w:szCs w:val="31"/>
        </w:rPr>
        <w:t>主要慢性病</w:t>
      </w:r>
    </w:p>
    <w:p w14:paraId="476379F5">
      <w:pPr>
        <w:spacing w:line="384" w:lineRule="auto"/>
        <w:rPr>
          <w:rFonts w:ascii="Arial"/>
          <w:sz w:val="21"/>
        </w:rPr>
      </w:pPr>
    </w:p>
    <w:p w14:paraId="22BD7DFC">
      <w:pPr>
        <w:pStyle w:val="2"/>
        <w:spacing w:before="78" w:line="221" w:lineRule="auto"/>
        <w:ind w:left="1083"/>
        <w:outlineLvl w:val="4"/>
        <w:rPr>
          <w:sz w:val="24"/>
          <w:szCs w:val="24"/>
        </w:rPr>
      </w:pPr>
      <w:bookmarkStart w:id="374" w:name="bookmark239"/>
      <w:bookmarkEnd w:id="374"/>
      <w:r>
        <w:rPr>
          <w:b/>
          <w:bCs/>
          <w:spacing w:val="-3"/>
          <w:sz w:val="24"/>
          <w:szCs w:val="24"/>
        </w:rPr>
        <w:t>一</w:t>
      </w:r>
      <w:r>
        <w:rPr>
          <w:spacing w:val="-51"/>
          <w:sz w:val="24"/>
          <w:szCs w:val="24"/>
        </w:rPr>
        <w:t xml:space="preserve"> </w:t>
      </w:r>
      <w:r>
        <w:rPr>
          <w:b/>
          <w:bCs/>
          <w:spacing w:val="-3"/>
          <w:sz w:val="24"/>
          <w:szCs w:val="24"/>
        </w:rPr>
        <w:t>、心血管疾病</w:t>
      </w:r>
    </w:p>
    <w:p w14:paraId="419BC0F4">
      <w:pPr>
        <w:pStyle w:val="2"/>
        <w:spacing w:before="246" w:line="221" w:lineRule="auto"/>
        <w:ind w:left="1049"/>
        <w:rPr>
          <w:sz w:val="24"/>
          <w:szCs w:val="24"/>
        </w:rPr>
      </w:pPr>
      <w:r>
        <w:rPr>
          <w:spacing w:val="-4"/>
          <w:sz w:val="24"/>
          <w:szCs w:val="24"/>
        </w:rPr>
        <w:t>(一)诊断与分型</w:t>
      </w:r>
    </w:p>
    <w:p w14:paraId="76682230">
      <w:pPr>
        <w:spacing w:before="99" w:line="270" w:lineRule="auto"/>
        <w:ind w:left="649" w:right="21" w:firstLine="389"/>
        <w:rPr>
          <w:rFonts w:ascii="宋体" w:hAnsi="宋体" w:eastAsia="宋体" w:cs="宋体"/>
          <w:sz w:val="21"/>
          <w:szCs w:val="21"/>
        </w:rPr>
      </w:pPr>
      <w:r>
        <w:rPr>
          <w:rFonts w:ascii="宋体" w:hAnsi="宋体" w:eastAsia="宋体" w:cs="宋体"/>
          <w:spacing w:val="5"/>
          <w:sz w:val="21"/>
          <w:szCs w:val="21"/>
        </w:rPr>
        <w:t>心血管疾病</w:t>
      </w:r>
      <w:r>
        <w:rPr>
          <w:rFonts w:ascii="Times New Roman" w:hAnsi="Times New Roman" w:eastAsia="Times New Roman" w:cs="Times New Roman"/>
          <w:spacing w:val="5"/>
          <w:sz w:val="21"/>
          <w:szCs w:val="21"/>
        </w:rPr>
        <w:t>(</w:t>
      </w:r>
      <w:r>
        <w:rPr>
          <w:rFonts w:ascii="Times New Roman" w:hAnsi="Times New Roman" w:eastAsia="Times New Roman" w:cs="Times New Roman"/>
          <w:sz w:val="21"/>
          <w:szCs w:val="21"/>
        </w:rPr>
        <w:t>cardiovascular</w:t>
      </w:r>
      <w:r>
        <w:rPr>
          <w:rFonts w:ascii="Times New Roman" w:hAnsi="Times New Roman" w:eastAsia="Times New Roman" w:cs="Times New Roman"/>
          <w:spacing w:val="5"/>
          <w:sz w:val="21"/>
          <w:szCs w:val="21"/>
        </w:rPr>
        <w:t xml:space="preserve">    </w:t>
      </w:r>
      <w:r>
        <w:rPr>
          <w:rFonts w:ascii="Times New Roman" w:hAnsi="Times New Roman" w:eastAsia="Times New Roman" w:cs="Times New Roman"/>
          <w:sz w:val="21"/>
          <w:szCs w:val="21"/>
        </w:rPr>
        <w:t>disease</w:t>
      </w:r>
      <w:r>
        <w:rPr>
          <w:rFonts w:ascii="Times New Roman" w:hAnsi="Times New Roman" w:eastAsia="Times New Roman" w:cs="Times New Roman"/>
          <w:spacing w:val="5"/>
          <w:sz w:val="21"/>
          <w:szCs w:val="21"/>
        </w:rPr>
        <w:t>)</w:t>
      </w:r>
      <w:r>
        <w:rPr>
          <w:rFonts w:ascii="宋体" w:hAnsi="宋体" w:eastAsia="宋体" w:cs="宋体"/>
          <w:spacing w:val="5"/>
          <w:sz w:val="21"/>
          <w:szCs w:val="21"/>
        </w:rPr>
        <w:t>是一组心脏和血管</w:t>
      </w:r>
      <w:r>
        <w:rPr>
          <w:rFonts w:ascii="宋体" w:hAnsi="宋体" w:eastAsia="宋体" w:cs="宋体"/>
          <w:spacing w:val="4"/>
          <w:sz w:val="21"/>
          <w:szCs w:val="21"/>
        </w:rPr>
        <w:t>系统疾患构成的疾病，主要包括冠状动</w:t>
      </w:r>
      <w:r>
        <w:rPr>
          <w:rFonts w:ascii="宋体" w:hAnsi="宋体" w:eastAsia="宋体" w:cs="宋体"/>
          <w:sz w:val="21"/>
          <w:szCs w:val="21"/>
        </w:rPr>
        <w:t xml:space="preserve"> 脉粥样硬化性心脏病(冠心病)、脑卒中(缺血性或出血性)、周围血管疾病</w:t>
      </w:r>
      <w:r>
        <w:rPr>
          <w:rFonts w:ascii="宋体" w:hAnsi="宋体" w:eastAsia="宋体" w:cs="宋体"/>
          <w:spacing w:val="-1"/>
          <w:sz w:val="21"/>
          <w:szCs w:val="21"/>
        </w:rPr>
        <w:t>、风湿性心脏病、先天性</w:t>
      </w:r>
    </w:p>
    <w:p w14:paraId="515E80F2">
      <w:pPr>
        <w:spacing w:line="270" w:lineRule="auto"/>
        <w:rPr>
          <w:rFonts w:ascii="宋体" w:hAnsi="宋体" w:eastAsia="宋体" w:cs="宋体"/>
          <w:sz w:val="21"/>
          <w:szCs w:val="21"/>
        </w:rPr>
        <w:sectPr>
          <w:type w:val="continuous"/>
          <w:pgSz w:w="11900" w:h="16820"/>
          <w:pgMar w:top="400" w:right="1434" w:bottom="848" w:left="760" w:header="0" w:footer="695" w:gutter="0"/>
          <w:cols w:equalWidth="0" w:num="1">
            <w:col w:w="9706"/>
          </w:cols>
        </w:sectPr>
      </w:pPr>
    </w:p>
    <w:p w14:paraId="54AE19E4">
      <w:pPr>
        <w:pStyle w:val="2"/>
        <w:spacing w:before="126" w:line="221" w:lineRule="auto"/>
        <w:ind w:left="6919"/>
        <w:rPr>
          <w:sz w:val="21"/>
          <w:szCs w:val="21"/>
        </w:rPr>
      </w:pPr>
      <w:bookmarkStart w:id="375" w:name="bookmark524"/>
      <w:bookmarkEnd w:id="375"/>
      <w:r>
        <w:rPr>
          <w:spacing w:val="-22"/>
          <w:w w:val="96"/>
          <w:sz w:val="21"/>
          <w:szCs w:val="21"/>
        </w:rPr>
        <w:t>第十四章 慢性病流行病学</w:t>
      </w:r>
    </w:p>
    <w:p w14:paraId="4120DDA4">
      <w:pPr>
        <w:spacing w:line="264" w:lineRule="auto"/>
        <w:rPr>
          <w:rFonts w:ascii="Arial"/>
          <w:sz w:val="21"/>
        </w:rPr>
      </w:pPr>
    </w:p>
    <w:p w14:paraId="116DFA3C">
      <w:pPr>
        <w:spacing w:line="264" w:lineRule="auto"/>
        <w:rPr>
          <w:rFonts w:ascii="Arial"/>
          <w:sz w:val="21"/>
        </w:rPr>
      </w:pPr>
    </w:p>
    <w:p w14:paraId="28A7170C">
      <w:pPr>
        <w:spacing w:before="68" w:line="326" w:lineRule="auto"/>
        <w:ind w:right="642"/>
        <w:jc w:val="both"/>
        <w:rPr>
          <w:rFonts w:ascii="宋体" w:hAnsi="宋体" w:eastAsia="宋体" w:cs="宋体"/>
          <w:sz w:val="21"/>
          <w:szCs w:val="21"/>
        </w:rPr>
      </w:pPr>
      <w:r>
        <w:rPr>
          <w:rFonts w:ascii="宋体" w:hAnsi="宋体" w:eastAsia="宋体" w:cs="宋体"/>
          <w:spacing w:val="2"/>
          <w:sz w:val="21"/>
          <w:szCs w:val="21"/>
        </w:rPr>
        <w:t>心脏病、深静脉血栓形成和肺栓塞等。其中急性冠脉综合征(急性心肌梗死和不稳定型心绞痛)和</w:t>
      </w:r>
      <w:r>
        <w:rPr>
          <w:rFonts w:ascii="宋体" w:hAnsi="宋体" w:eastAsia="宋体" w:cs="宋体"/>
          <w:spacing w:val="10"/>
          <w:sz w:val="21"/>
          <w:szCs w:val="21"/>
        </w:rPr>
        <w:t xml:space="preserve"> </w:t>
      </w:r>
      <w:r>
        <w:rPr>
          <w:rFonts w:ascii="宋体" w:hAnsi="宋体" w:eastAsia="宋体" w:cs="宋体"/>
          <w:spacing w:val="2"/>
          <w:sz w:val="21"/>
          <w:szCs w:val="21"/>
        </w:rPr>
        <w:t>急性脑卒中最为常见，且致死率、致残率极高，占所有心血管疾病死亡的85%～90%。急性冠脉综</w:t>
      </w:r>
      <w:r>
        <w:rPr>
          <w:rFonts w:ascii="宋体" w:hAnsi="宋体" w:eastAsia="宋体" w:cs="宋体"/>
          <w:spacing w:val="18"/>
          <w:sz w:val="21"/>
          <w:szCs w:val="21"/>
        </w:rPr>
        <w:t xml:space="preserve"> </w:t>
      </w:r>
      <w:r>
        <w:rPr>
          <w:rFonts w:ascii="宋体" w:hAnsi="宋体" w:eastAsia="宋体" w:cs="宋体"/>
          <w:spacing w:val="-2"/>
          <w:sz w:val="21"/>
          <w:szCs w:val="21"/>
        </w:rPr>
        <w:t>合征的发生机制是给心脏供血的冠状动脉发生粥样硬化性病变，使动脉管腔狭窄或斑块破裂，并诱</w:t>
      </w:r>
      <w:r>
        <w:rPr>
          <w:rFonts w:ascii="宋体" w:hAnsi="宋体" w:eastAsia="宋体" w:cs="宋体"/>
          <w:spacing w:val="3"/>
          <w:sz w:val="21"/>
          <w:szCs w:val="21"/>
        </w:rPr>
        <w:t xml:space="preserve"> </w:t>
      </w:r>
      <w:r>
        <w:rPr>
          <w:rFonts w:ascii="宋体" w:hAnsi="宋体" w:eastAsia="宋体" w:cs="宋体"/>
          <w:spacing w:val="-2"/>
          <w:sz w:val="21"/>
          <w:szCs w:val="21"/>
        </w:rPr>
        <w:t>发血栓形成，导致心肌组织急性缺血甚至坏死。急性脑卒中主要包括两种类型：一种是脑动脉狭窄</w:t>
      </w:r>
      <w:r>
        <w:rPr>
          <w:rFonts w:ascii="宋体" w:hAnsi="宋体" w:eastAsia="宋体" w:cs="宋体"/>
          <w:spacing w:val="12"/>
          <w:sz w:val="21"/>
          <w:szCs w:val="21"/>
        </w:rPr>
        <w:t xml:space="preserve"> </w:t>
      </w:r>
      <w:r>
        <w:rPr>
          <w:rFonts w:ascii="宋体" w:hAnsi="宋体" w:eastAsia="宋体" w:cs="宋体"/>
          <w:spacing w:val="-2"/>
          <w:sz w:val="21"/>
          <w:szCs w:val="21"/>
        </w:rPr>
        <w:t>或斑块破裂诱发血栓形成，堵塞血管，导致脑梗死；另一种是脑细小动脉硬化，并在血压升高的情</w:t>
      </w:r>
      <w:r>
        <w:rPr>
          <w:rFonts w:ascii="宋体" w:hAnsi="宋体" w:eastAsia="宋体" w:cs="宋体"/>
          <w:spacing w:val="4"/>
          <w:sz w:val="21"/>
          <w:szCs w:val="21"/>
        </w:rPr>
        <w:t xml:space="preserve"> </w:t>
      </w:r>
      <w:r>
        <w:rPr>
          <w:rFonts w:ascii="宋体" w:hAnsi="宋体" w:eastAsia="宋体" w:cs="宋体"/>
          <w:sz w:val="21"/>
          <w:szCs w:val="21"/>
        </w:rPr>
        <w:t>况下发生破裂，导致脑血管出血。</w:t>
      </w:r>
    </w:p>
    <w:p w14:paraId="717EABCE">
      <w:pPr>
        <w:pStyle w:val="2"/>
        <w:spacing w:before="1" w:line="221" w:lineRule="auto"/>
        <w:ind w:left="423"/>
        <w:rPr>
          <w:sz w:val="25"/>
          <w:szCs w:val="25"/>
        </w:rPr>
      </w:pPr>
      <w:r>
        <w:rPr>
          <w:b/>
          <w:bCs/>
          <w:spacing w:val="-3"/>
          <w:sz w:val="25"/>
          <w:szCs w:val="25"/>
        </w:rPr>
        <w:t>(二)流行特征</w:t>
      </w:r>
    </w:p>
    <w:p w14:paraId="6102EC89">
      <w:pPr>
        <w:pStyle w:val="2"/>
        <w:spacing w:before="114" w:line="310" w:lineRule="auto"/>
        <w:ind w:right="555" w:firstLine="419"/>
        <w:rPr>
          <w:rFonts w:ascii="宋体" w:hAnsi="宋体" w:eastAsia="宋体" w:cs="宋体"/>
          <w:sz w:val="21"/>
          <w:szCs w:val="21"/>
        </w:rPr>
      </w:pPr>
      <w:r>
        <w:rPr>
          <w:rFonts w:ascii="宋体" w:hAnsi="宋体" w:eastAsia="宋体" w:cs="宋体"/>
          <w:spacing w:val="2"/>
          <w:sz w:val="21"/>
          <w:szCs w:val="21"/>
        </w:rPr>
        <w:t xml:space="preserve">1. </w:t>
      </w:r>
      <w:r>
        <w:rPr>
          <w:spacing w:val="2"/>
          <w:sz w:val="21"/>
          <w:szCs w:val="21"/>
        </w:rPr>
        <w:t>流行概况</w:t>
      </w:r>
      <w:r>
        <w:rPr>
          <w:spacing w:val="102"/>
          <w:sz w:val="21"/>
          <w:szCs w:val="21"/>
        </w:rPr>
        <w:t xml:space="preserve"> </w:t>
      </w:r>
      <w:r>
        <w:rPr>
          <w:rFonts w:ascii="宋体" w:hAnsi="宋体" w:eastAsia="宋体" w:cs="宋体"/>
          <w:spacing w:val="2"/>
          <w:sz w:val="21"/>
          <w:szCs w:val="21"/>
        </w:rPr>
        <w:t>冠心病和脑卒中是全球最常见的心血管疾病，分别为全球第一和第二位死因。</w:t>
      </w:r>
      <w:r>
        <w:rPr>
          <w:rFonts w:ascii="宋体" w:hAnsi="宋体" w:eastAsia="宋体" w:cs="宋体"/>
          <w:sz w:val="21"/>
          <w:szCs w:val="21"/>
        </w:rPr>
        <w:t xml:space="preserve"> </w:t>
      </w:r>
      <w:r>
        <w:rPr>
          <w:rFonts w:ascii="宋体" w:hAnsi="宋体" w:eastAsia="宋体" w:cs="宋体"/>
          <w:spacing w:val="1"/>
          <w:sz w:val="21"/>
          <w:szCs w:val="21"/>
        </w:rPr>
        <w:t>在我国及多数东亚国家(日本、韩国和朝鲜),脑</w:t>
      </w:r>
      <w:r>
        <w:rPr>
          <w:rFonts w:ascii="宋体" w:hAnsi="宋体" w:eastAsia="宋体" w:cs="宋体"/>
          <w:sz w:val="21"/>
          <w:szCs w:val="21"/>
        </w:rPr>
        <w:t xml:space="preserve">卒中则居死因第一位。根据《中国心血管健康与疾  </w:t>
      </w:r>
      <w:r>
        <w:rPr>
          <w:rFonts w:ascii="宋体" w:hAnsi="宋体" w:eastAsia="宋体" w:cs="宋体"/>
          <w:spacing w:val="-2"/>
          <w:sz w:val="21"/>
          <w:szCs w:val="21"/>
        </w:rPr>
        <w:t>病报告2022》,我国心血管疾病患病率呈持续上升趋势，推算心血管疾病现患人数3.3亿，其中高血</w:t>
      </w:r>
      <w:r>
        <w:rPr>
          <w:rFonts w:ascii="宋体" w:hAnsi="宋体" w:eastAsia="宋体" w:cs="宋体"/>
          <w:spacing w:val="5"/>
          <w:sz w:val="21"/>
          <w:szCs w:val="21"/>
        </w:rPr>
        <w:t xml:space="preserve">  </w:t>
      </w:r>
      <w:r>
        <w:rPr>
          <w:rFonts w:ascii="宋体" w:hAnsi="宋体" w:eastAsia="宋体" w:cs="宋体"/>
          <w:spacing w:val="9"/>
          <w:sz w:val="21"/>
          <w:szCs w:val="21"/>
        </w:rPr>
        <w:t>压患者2.45亿人，外周动脉疾病患者4530万人，脑卒中患者1300万人，冠心病患</w:t>
      </w:r>
      <w:r>
        <w:rPr>
          <w:rFonts w:ascii="宋体" w:hAnsi="宋体" w:eastAsia="宋体" w:cs="宋体"/>
          <w:spacing w:val="8"/>
          <w:sz w:val="21"/>
          <w:szCs w:val="21"/>
        </w:rPr>
        <w:t>者1139万人，</w:t>
      </w:r>
      <w:r>
        <w:rPr>
          <w:rFonts w:ascii="宋体" w:hAnsi="宋体" w:eastAsia="宋体" w:cs="宋体"/>
          <w:sz w:val="21"/>
          <w:szCs w:val="21"/>
        </w:rPr>
        <w:t xml:space="preserve"> </w:t>
      </w:r>
      <w:r>
        <w:rPr>
          <w:rFonts w:ascii="宋体" w:hAnsi="宋体" w:eastAsia="宋体" w:cs="宋体"/>
          <w:spacing w:val="5"/>
          <w:sz w:val="21"/>
          <w:szCs w:val="21"/>
        </w:rPr>
        <w:t>心力衰竭患者890万人，肺源性心脏病患者500万人，心房颤动患者487万人，风湿性心脏病患者</w:t>
      </w:r>
      <w:r>
        <w:rPr>
          <w:rFonts w:ascii="宋体" w:hAnsi="宋体" w:eastAsia="宋体" w:cs="宋体"/>
          <w:spacing w:val="1"/>
          <w:sz w:val="21"/>
          <w:szCs w:val="21"/>
        </w:rPr>
        <w:t xml:space="preserve">  </w:t>
      </w:r>
      <w:r>
        <w:rPr>
          <w:rFonts w:ascii="宋体" w:hAnsi="宋体" w:eastAsia="宋体" w:cs="宋体"/>
          <w:spacing w:val="3"/>
          <w:sz w:val="21"/>
          <w:szCs w:val="21"/>
        </w:rPr>
        <w:t>250万人，先天性心脏病患者200万人。心血管疾病是我国城乡居民的首要死亡病</w:t>
      </w:r>
      <w:r>
        <w:rPr>
          <w:rFonts w:ascii="宋体" w:hAnsi="宋体" w:eastAsia="宋体" w:cs="宋体"/>
          <w:spacing w:val="2"/>
          <w:sz w:val="21"/>
          <w:szCs w:val="21"/>
        </w:rPr>
        <w:t>因，所致死亡人</w:t>
      </w:r>
      <w:r>
        <w:rPr>
          <w:rFonts w:ascii="宋体" w:hAnsi="宋体" w:eastAsia="宋体" w:cs="宋体"/>
          <w:sz w:val="21"/>
          <w:szCs w:val="21"/>
        </w:rPr>
        <w:t xml:space="preserve">  </w:t>
      </w:r>
      <w:r>
        <w:rPr>
          <w:rFonts w:ascii="宋体" w:hAnsi="宋体" w:eastAsia="宋体" w:cs="宋体"/>
          <w:spacing w:val="8"/>
          <w:sz w:val="21"/>
          <w:szCs w:val="21"/>
        </w:rPr>
        <w:t>数分别约占城市和农村居民死亡人数的45.9%和48.0%。</w:t>
      </w:r>
    </w:p>
    <w:p w14:paraId="26BAD810">
      <w:pPr>
        <w:pStyle w:val="2"/>
        <w:spacing w:before="134" w:line="304" w:lineRule="auto"/>
        <w:ind w:right="555" w:firstLine="419"/>
        <w:rPr>
          <w:rFonts w:ascii="宋体" w:hAnsi="宋体" w:eastAsia="宋体" w:cs="宋体"/>
          <w:sz w:val="21"/>
          <w:szCs w:val="21"/>
        </w:rPr>
      </w:pPr>
      <w:r>
        <w:rPr>
          <w:rFonts w:ascii="Times New Roman" w:hAnsi="Times New Roman" w:eastAsia="Times New Roman" w:cs="Times New Roman"/>
          <w:spacing w:val="-1"/>
          <w:sz w:val="21"/>
          <w:szCs w:val="21"/>
        </w:rPr>
        <w:t xml:space="preserve">2.   </w:t>
      </w:r>
      <w:r>
        <w:rPr>
          <w:spacing w:val="-1"/>
          <w:sz w:val="21"/>
          <w:szCs w:val="21"/>
        </w:rPr>
        <w:t>时间分布</w:t>
      </w:r>
      <w:r>
        <w:rPr>
          <w:spacing w:val="68"/>
          <w:sz w:val="21"/>
          <w:szCs w:val="21"/>
        </w:rPr>
        <w:t xml:space="preserve"> </w:t>
      </w:r>
      <w:r>
        <w:rPr>
          <w:rFonts w:ascii="宋体" w:hAnsi="宋体" w:eastAsia="宋体" w:cs="宋体"/>
          <w:spacing w:val="-1"/>
          <w:sz w:val="21"/>
          <w:szCs w:val="21"/>
        </w:rPr>
        <w:t>根</w:t>
      </w:r>
      <w:r>
        <w:rPr>
          <w:rFonts w:ascii="宋体" w:hAnsi="宋体" w:eastAsia="宋体" w:cs="宋体"/>
          <w:spacing w:val="-34"/>
          <w:sz w:val="21"/>
          <w:szCs w:val="21"/>
        </w:rPr>
        <w:t xml:space="preserve"> </w:t>
      </w:r>
      <w:r>
        <w:rPr>
          <w:rFonts w:ascii="宋体" w:hAnsi="宋体" w:eastAsia="宋体" w:cs="宋体"/>
          <w:spacing w:val="-1"/>
          <w:sz w:val="21"/>
          <w:szCs w:val="21"/>
        </w:rPr>
        <w:t>据</w:t>
      </w:r>
      <w:r>
        <w:rPr>
          <w:rFonts w:ascii="Times New Roman" w:hAnsi="Times New Roman" w:eastAsia="Times New Roman" w:cs="Times New Roman"/>
          <w:spacing w:val="-1"/>
          <w:sz w:val="21"/>
          <w:szCs w:val="21"/>
        </w:rPr>
        <w:t>GBD</w:t>
      </w:r>
      <w:r>
        <w:rPr>
          <w:rFonts w:ascii="宋体" w:hAnsi="宋体" w:eastAsia="宋体" w:cs="宋体"/>
          <w:spacing w:val="-1"/>
          <w:sz w:val="21"/>
          <w:szCs w:val="21"/>
        </w:rPr>
        <w:t>数据库分析，1990年至2019年间，全球心血管疾病的年龄标准化后的</w:t>
      </w:r>
      <w:r>
        <w:rPr>
          <w:rFonts w:ascii="宋体" w:hAnsi="宋体" w:eastAsia="宋体" w:cs="宋体"/>
          <w:sz w:val="21"/>
          <w:szCs w:val="21"/>
        </w:rPr>
        <w:t xml:space="preserve">  发病率、患病率及死亡率均呈逐年下降趋势，而我国的标化发病率从4235/10万增加至8460/10万，</w:t>
      </w:r>
      <w:r>
        <w:rPr>
          <w:rFonts w:ascii="宋体" w:hAnsi="宋体" w:eastAsia="宋体" w:cs="宋体"/>
          <w:spacing w:val="14"/>
          <w:sz w:val="21"/>
          <w:szCs w:val="21"/>
        </w:rPr>
        <w:t xml:space="preserve"> </w:t>
      </w:r>
      <w:r>
        <w:rPr>
          <w:rFonts w:ascii="宋体" w:hAnsi="宋体" w:eastAsia="宋体" w:cs="宋体"/>
          <w:spacing w:val="3"/>
          <w:sz w:val="21"/>
          <w:szCs w:val="21"/>
        </w:rPr>
        <w:t>标化患病率从5848/10万增加至6177/10万，标化死亡率从381/10万降低至2</w:t>
      </w:r>
      <w:r>
        <w:rPr>
          <w:rFonts w:ascii="宋体" w:hAnsi="宋体" w:eastAsia="宋体" w:cs="宋体"/>
          <w:spacing w:val="2"/>
          <w:sz w:val="21"/>
          <w:szCs w:val="21"/>
        </w:rPr>
        <w:t>77/10万，尽管有所下</w:t>
      </w:r>
      <w:r>
        <w:rPr>
          <w:rFonts w:ascii="宋体" w:hAnsi="宋体" w:eastAsia="宋体" w:cs="宋体"/>
          <w:sz w:val="21"/>
          <w:szCs w:val="21"/>
        </w:rPr>
        <w:t xml:space="preserve"> </w:t>
      </w:r>
      <w:r>
        <w:rPr>
          <w:rFonts w:ascii="宋体" w:hAnsi="宋体" w:eastAsia="宋体" w:cs="宋体"/>
          <w:spacing w:val="3"/>
          <w:sz w:val="21"/>
          <w:szCs w:val="21"/>
        </w:rPr>
        <w:t xml:space="preserve">降，但仍高于全球平均水平。我国心血管疾病流行的一个重要特征是动脉粥样硬化性心血管疾病  </w:t>
      </w:r>
      <w:r>
        <w:rPr>
          <w:rFonts w:ascii="宋体" w:hAnsi="宋体" w:eastAsia="宋体" w:cs="宋体"/>
          <w:spacing w:val="5"/>
          <w:sz w:val="21"/>
          <w:szCs w:val="21"/>
        </w:rPr>
        <w:t>的快速增长。</w:t>
      </w:r>
    </w:p>
    <w:p w14:paraId="2BA5365F">
      <w:pPr>
        <w:pStyle w:val="2"/>
        <w:spacing w:before="108" w:line="299" w:lineRule="auto"/>
        <w:ind w:right="554" w:firstLine="419"/>
        <w:rPr>
          <w:rFonts w:ascii="宋体" w:hAnsi="宋体" w:eastAsia="宋体" w:cs="宋体"/>
          <w:sz w:val="21"/>
          <w:szCs w:val="21"/>
        </w:rPr>
      </w:pPr>
      <w:r>
        <w:rPr>
          <w:rFonts w:ascii="宋体" w:hAnsi="宋体" w:eastAsia="宋体" w:cs="宋体"/>
          <w:spacing w:val="1"/>
          <w:sz w:val="21"/>
          <w:szCs w:val="21"/>
        </w:rPr>
        <w:t xml:space="preserve">3. </w:t>
      </w:r>
      <w:r>
        <w:rPr>
          <w:spacing w:val="1"/>
          <w:sz w:val="21"/>
          <w:szCs w:val="21"/>
        </w:rPr>
        <w:t>地区分布</w:t>
      </w:r>
      <w:r>
        <w:rPr>
          <w:spacing w:val="83"/>
          <w:sz w:val="21"/>
          <w:szCs w:val="21"/>
        </w:rPr>
        <w:t xml:space="preserve"> </w:t>
      </w:r>
      <w:r>
        <w:rPr>
          <w:rFonts w:ascii="宋体" w:hAnsi="宋体" w:eastAsia="宋体" w:cs="宋体"/>
          <w:spacing w:val="1"/>
          <w:sz w:val="21"/>
          <w:szCs w:val="21"/>
        </w:rPr>
        <w:t>我国各类主要心血管疾病的患病率和死亡率的空间分布模式存在显</w:t>
      </w:r>
      <w:r>
        <w:rPr>
          <w:rFonts w:ascii="宋体" w:hAnsi="宋体" w:eastAsia="宋体" w:cs="宋体"/>
          <w:sz w:val="21"/>
          <w:szCs w:val="21"/>
        </w:rPr>
        <w:t xml:space="preserve">著差异，整  </w:t>
      </w:r>
      <w:r>
        <w:rPr>
          <w:rFonts w:ascii="宋体" w:hAnsi="宋体" w:eastAsia="宋体" w:cs="宋体"/>
          <w:spacing w:val="3"/>
          <w:sz w:val="21"/>
          <w:szCs w:val="21"/>
        </w:rPr>
        <w:t>体呈现出农村高于城市、西部高于东部的特征，且近年来省际疾病负担差异呈现出不断扩大的趋</w:t>
      </w:r>
      <w:r>
        <w:rPr>
          <w:rFonts w:ascii="宋体" w:hAnsi="宋体" w:eastAsia="宋体" w:cs="宋体"/>
          <w:sz w:val="21"/>
          <w:szCs w:val="21"/>
        </w:rPr>
        <w:t xml:space="preserve">  势。根据《2022中国卫生健康统计年鉴》,2021年我国农村地区心血管疾病死亡率为364.16/10万，</w:t>
      </w:r>
      <w:r>
        <w:rPr>
          <w:rFonts w:ascii="宋体" w:hAnsi="宋体" w:eastAsia="宋体" w:cs="宋体"/>
          <w:spacing w:val="14"/>
          <w:sz w:val="21"/>
          <w:szCs w:val="21"/>
        </w:rPr>
        <w:t xml:space="preserve"> </w:t>
      </w:r>
      <w:r>
        <w:rPr>
          <w:rFonts w:ascii="宋体" w:hAnsi="宋体" w:eastAsia="宋体" w:cs="宋体"/>
          <w:spacing w:val="3"/>
          <w:sz w:val="21"/>
          <w:szCs w:val="21"/>
        </w:rPr>
        <w:t>其中心脏病死亡率为188.58/10万，脑卒中死亡率为</w:t>
      </w:r>
      <w:r>
        <w:rPr>
          <w:rFonts w:ascii="宋体" w:hAnsi="宋体" w:eastAsia="宋体" w:cs="宋体"/>
          <w:spacing w:val="2"/>
          <w:sz w:val="21"/>
          <w:szCs w:val="21"/>
        </w:rPr>
        <w:t>175.58/10万；城市地区心血管疾病死亡率为</w:t>
      </w:r>
    </w:p>
    <w:p w14:paraId="0E0C0E5B">
      <w:pPr>
        <w:spacing w:before="121" w:line="219" w:lineRule="auto"/>
        <w:rPr>
          <w:rFonts w:ascii="宋体" w:hAnsi="宋体" w:eastAsia="宋体" w:cs="宋体"/>
          <w:sz w:val="21"/>
          <w:szCs w:val="21"/>
        </w:rPr>
      </w:pPr>
      <w:r>
        <w:rPr>
          <w:rFonts w:ascii="宋体" w:hAnsi="宋体" w:eastAsia="宋体" w:cs="宋体"/>
          <w:spacing w:val="-4"/>
          <w:sz w:val="21"/>
          <w:szCs w:val="21"/>
        </w:rPr>
        <w:t>305.39/10万，其中心脏病死亡率为165.37/</w:t>
      </w:r>
      <w:r>
        <w:rPr>
          <w:rFonts w:ascii="宋体" w:hAnsi="宋体" w:eastAsia="宋体" w:cs="宋体"/>
          <w:spacing w:val="-5"/>
          <w:sz w:val="21"/>
          <w:szCs w:val="21"/>
        </w:rPr>
        <w:t>10万，脑卒中死亡率为140.02/10万。</w:t>
      </w:r>
    </w:p>
    <w:p w14:paraId="770107AF">
      <w:pPr>
        <w:pStyle w:val="2"/>
        <w:spacing w:before="130" w:line="326" w:lineRule="auto"/>
        <w:ind w:right="646" w:firstLine="419"/>
        <w:jc w:val="both"/>
        <w:rPr>
          <w:rFonts w:ascii="宋体" w:hAnsi="宋体" w:eastAsia="宋体" w:cs="宋体"/>
          <w:sz w:val="21"/>
          <w:szCs w:val="21"/>
        </w:rPr>
      </w:pPr>
      <w:r>
        <w:rPr>
          <w:rFonts w:ascii="宋体" w:hAnsi="宋体" w:eastAsia="宋体" w:cs="宋体"/>
          <w:spacing w:val="1"/>
          <w:sz w:val="21"/>
          <w:szCs w:val="21"/>
        </w:rPr>
        <w:t xml:space="preserve">4. </w:t>
      </w:r>
      <w:r>
        <w:rPr>
          <w:spacing w:val="1"/>
          <w:sz w:val="21"/>
          <w:szCs w:val="21"/>
        </w:rPr>
        <w:t>人群分布</w:t>
      </w:r>
      <w:r>
        <w:rPr>
          <w:spacing w:val="93"/>
          <w:sz w:val="21"/>
          <w:szCs w:val="21"/>
        </w:rPr>
        <w:t xml:space="preserve"> </w:t>
      </w:r>
      <w:r>
        <w:rPr>
          <w:rFonts w:ascii="宋体" w:hAnsi="宋体" w:eastAsia="宋体" w:cs="宋体"/>
          <w:spacing w:val="1"/>
          <w:sz w:val="21"/>
          <w:szCs w:val="21"/>
        </w:rPr>
        <w:t>心血管疾病的发病率、患病率和死亡率存在显著的年</w:t>
      </w:r>
      <w:r>
        <w:rPr>
          <w:rFonts w:ascii="宋体" w:hAnsi="宋体" w:eastAsia="宋体" w:cs="宋体"/>
          <w:sz w:val="21"/>
          <w:szCs w:val="21"/>
        </w:rPr>
        <w:t xml:space="preserve">龄和性别差异。在性别差 </w:t>
      </w:r>
      <w:r>
        <w:rPr>
          <w:rFonts w:ascii="宋体" w:hAnsi="宋体" w:eastAsia="宋体" w:cs="宋体"/>
          <w:spacing w:val="-2"/>
          <w:sz w:val="21"/>
          <w:szCs w:val="21"/>
        </w:rPr>
        <w:t>异方面，男性心血管疾病的粗发病率、年龄标准化发病率和年龄标准化死亡率均高于女性。就年龄</w:t>
      </w:r>
      <w:r>
        <w:rPr>
          <w:rFonts w:ascii="宋体" w:hAnsi="宋体" w:eastAsia="宋体" w:cs="宋体"/>
          <w:spacing w:val="3"/>
          <w:sz w:val="21"/>
          <w:szCs w:val="21"/>
        </w:rPr>
        <w:t xml:space="preserve"> </w:t>
      </w:r>
      <w:r>
        <w:rPr>
          <w:rFonts w:ascii="宋体" w:hAnsi="宋体" w:eastAsia="宋体" w:cs="宋体"/>
          <w:spacing w:val="-2"/>
          <w:sz w:val="21"/>
          <w:szCs w:val="21"/>
        </w:rPr>
        <w:t>分布而言，我国心血管疾病总体发病率随年龄增长呈上升趋势，2013年我国第五次卫生服务调查显</w:t>
      </w:r>
      <w:r>
        <w:rPr>
          <w:rFonts w:ascii="宋体" w:hAnsi="宋体" w:eastAsia="宋体" w:cs="宋体"/>
          <w:spacing w:val="12"/>
          <w:sz w:val="21"/>
          <w:szCs w:val="21"/>
        </w:rPr>
        <w:t xml:space="preserve"> </w:t>
      </w:r>
      <w:r>
        <w:rPr>
          <w:rFonts w:ascii="宋体" w:hAnsi="宋体" w:eastAsia="宋体" w:cs="宋体"/>
          <w:spacing w:val="1"/>
          <w:sz w:val="21"/>
          <w:szCs w:val="21"/>
        </w:rPr>
        <w:t>示，中国大陆≥15岁人口冠心病的患病率为10</w:t>
      </w:r>
      <w:r>
        <w:rPr>
          <w:rFonts w:ascii="宋体" w:hAnsi="宋体" w:eastAsia="宋体" w:cs="宋体"/>
          <w:sz w:val="21"/>
          <w:szCs w:val="21"/>
        </w:rPr>
        <w:t xml:space="preserve">.2‰,60岁以上人群为27.8‰。急性心肌梗死的死亡 </w:t>
      </w:r>
      <w:r>
        <w:rPr>
          <w:rFonts w:ascii="宋体" w:hAnsi="宋体" w:eastAsia="宋体" w:cs="宋体"/>
          <w:spacing w:val="-1"/>
          <w:sz w:val="21"/>
          <w:szCs w:val="21"/>
        </w:rPr>
        <w:t>率也与年龄增长呈正相关，特别是在40岁之后，其递增趋势近似</w:t>
      </w:r>
      <w:r>
        <w:rPr>
          <w:rFonts w:ascii="宋体" w:hAnsi="宋体" w:eastAsia="宋体" w:cs="宋体"/>
          <w:spacing w:val="-2"/>
          <w:sz w:val="21"/>
          <w:szCs w:val="21"/>
        </w:rPr>
        <w:t>于指数关系。</w:t>
      </w:r>
    </w:p>
    <w:p w14:paraId="78988AF5">
      <w:pPr>
        <w:pStyle w:val="2"/>
        <w:spacing w:before="13" w:line="222" w:lineRule="auto"/>
        <w:ind w:left="422"/>
        <w:rPr>
          <w:sz w:val="21"/>
          <w:szCs w:val="21"/>
        </w:rPr>
      </w:pPr>
      <w:r>
        <w:rPr>
          <w:b/>
          <w:bCs/>
          <w:spacing w:val="29"/>
          <w:sz w:val="21"/>
          <w:szCs w:val="21"/>
        </w:rPr>
        <w:t>(三)危险因素</w:t>
      </w:r>
    </w:p>
    <w:p w14:paraId="44D2692A">
      <w:pPr>
        <w:pStyle w:val="2"/>
        <w:spacing w:before="77" w:line="295" w:lineRule="auto"/>
        <w:ind w:right="700" w:firstLine="419"/>
        <w:rPr>
          <w:rFonts w:ascii="宋体" w:hAnsi="宋体" w:eastAsia="宋体" w:cs="宋体"/>
          <w:sz w:val="21"/>
          <w:szCs w:val="21"/>
        </w:rPr>
      </w:pPr>
      <w:r>
        <w:rPr>
          <w:rFonts w:ascii="Times New Roman" w:hAnsi="Times New Roman" w:eastAsia="Times New Roman" w:cs="Times New Roman"/>
          <w:spacing w:val="2"/>
          <w:sz w:val="21"/>
          <w:szCs w:val="21"/>
        </w:rPr>
        <w:t>1.</w:t>
      </w:r>
      <w:r>
        <w:rPr>
          <w:rFonts w:ascii="Times New Roman" w:hAnsi="Times New Roman" w:eastAsia="Times New Roman" w:cs="Times New Roman"/>
          <w:spacing w:val="34"/>
          <w:w w:val="101"/>
          <w:sz w:val="21"/>
          <w:szCs w:val="21"/>
        </w:rPr>
        <w:t xml:space="preserve">  </w:t>
      </w:r>
      <w:r>
        <w:rPr>
          <w:spacing w:val="2"/>
          <w:sz w:val="21"/>
          <w:szCs w:val="21"/>
        </w:rPr>
        <w:t>环境驱动因素</w:t>
      </w:r>
      <w:r>
        <w:rPr>
          <w:spacing w:val="60"/>
          <w:sz w:val="21"/>
          <w:szCs w:val="21"/>
        </w:rPr>
        <w:t xml:space="preserve"> </w:t>
      </w:r>
      <w:r>
        <w:rPr>
          <w:rFonts w:ascii="宋体" w:hAnsi="宋体" w:eastAsia="宋体" w:cs="宋体"/>
          <w:spacing w:val="2"/>
          <w:sz w:val="21"/>
          <w:szCs w:val="21"/>
        </w:rPr>
        <w:t>长期暴露于空气中的可吸人颗粒物(如</w:t>
      </w:r>
      <w:r>
        <w:rPr>
          <w:rFonts w:ascii="Times New Roman" w:hAnsi="Times New Roman" w:eastAsia="Times New Roman" w:cs="Times New Roman"/>
          <w:sz w:val="21"/>
          <w:szCs w:val="21"/>
        </w:rPr>
        <w:t>PM</w:t>
      </w:r>
      <w:r>
        <w:rPr>
          <w:rFonts w:ascii="Times New Roman" w:hAnsi="Times New Roman" w:eastAsia="Times New Roman" w:cs="Times New Roman"/>
          <w:spacing w:val="2"/>
          <w:sz w:val="21"/>
          <w:szCs w:val="21"/>
        </w:rPr>
        <w:t>₂5</w:t>
      </w:r>
      <w:r>
        <w:rPr>
          <w:rFonts w:ascii="宋体" w:hAnsi="宋体" w:eastAsia="宋体" w:cs="宋体"/>
          <w:spacing w:val="2"/>
          <w:sz w:val="21"/>
          <w:szCs w:val="21"/>
        </w:rPr>
        <w:t>与</w:t>
      </w:r>
      <w:r>
        <w:rPr>
          <w:rFonts w:ascii="宋体" w:hAnsi="宋体" w:eastAsia="宋体" w:cs="宋体"/>
          <w:spacing w:val="-43"/>
          <w:sz w:val="21"/>
          <w:szCs w:val="21"/>
        </w:rPr>
        <w:t xml:space="preserve"> </w:t>
      </w:r>
      <w:r>
        <w:rPr>
          <w:rFonts w:ascii="Times New Roman" w:hAnsi="Times New Roman" w:eastAsia="Times New Roman" w:cs="Times New Roman"/>
          <w:sz w:val="21"/>
          <w:szCs w:val="21"/>
        </w:rPr>
        <w:t>PM</w:t>
      </w:r>
      <w:r>
        <w:rPr>
          <w:rFonts w:ascii="Times New Roman" w:hAnsi="Times New Roman" w:eastAsia="Times New Roman" w:cs="Times New Roman"/>
          <w:spacing w:val="2"/>
          <w:sz w:val="21"/>
          <w:szCs w:val="21"/>
        </w:rPr>
        <w:t xml:space="preserve">₁)  </w:t>
      </w:r>
      <w:r>
        <w:rPr>
          <w:rFonts w:ascii="宋体" w:hAnsi="宋体" w:eastAsia="宋体" w:cs="宋体"/>
          <w:spacing w:val="2"/>
          <w:sz w:val="21"/>
          <w:szCs w:val="21"/>
        </w:rPr>
        <w:t>可增加罹患心血管疾</w:t>
      </w:r>
      <w:r>
        <w:rPr>
          <w:rFonts w:ascii="宋体" w:hAnsi="宋体" w:eastAsia="宋体" w:cs="宋体"/>
          <w:sz w:val="21"/>
          <w:szCs w:val="21"/>
        </w:rPr>
        <w:t xml:space="preserve"> </w:t>
      </w:r>
      <w:r>
        <w:rPr>
          <w:rFonts w:ascii="宋体" w:hAnsi="宋体" w:eastAsia="宋体" w:cs="宋体"/>
          <w:spacing w:val="-1"/>
          <w:sz w:val="21"/>
          <w:szCs w:val="21"/>
        </w:rPr>
        <w:t>病的风险。此外，研究表明极端气候(如高温和低温)可增加短期和长期的心血管疾病死亡风险。</w:t>
      </w:r>
    </w:p>
    <w:p w14:paraId="72824989">
      <w:pPr>
        <w:spacing w:before="100" w:line="219" w:lineRule="auto"/>
        <w:ind w:left="422"/>
        <w:rPr>
          <w:rFonts w:ascii="宋体" w:hAnsi="宋体" w:eastAsia="宋体" w:cs="宋体"/>
          <w:sz w:val="21"/>
          <w:szCs w:val="21"/>
        </w:rPr>
      </w:pPr>
      <w:r>
        <w:rPr>
          <w:rFonts w:ascii="宋体" w:hAnsi="宋体" w:eastAsia="宋体" w:cs="宋体"/>
          <w:b/>
          <w:bCs/>
          <w:spacing w:val="1"/>
          <w:sz w:val="21"/>
          <w:szCs w:val="21"/>
        </w:rPr>
        <w:t>2.</w:t>
      </w:r>
      <w:r>
        <w:rPr>
          <w:rFonts w:ascii="宋体" w:hAnsi="宋体" w:eastAsia="宋体" w:cs="宋体"/>
          <w:spacing w:val="1"/>
          <w:sz w:val="21"/>
          <w:szCs w:val="21"/>
        </w:rPr>
        <w:t xml:space="preserve"> </w:t>
      </w:r>
      <w:r>
        <w:rPr>
          <w:rFonts w:ascii="宋体" w:hAnsi="宋体" w:eastAsia="宋体" w:cs="宋体"/>
          <w:b/>
          <w:bCs/>
          <w:spacing w:val="1"/>
          <w:sz w:val="21"/>
          <w:szCs w:val="21"/>
        </w:rPr>
        <w:t>行为心理因素</w:t>
      </w:r>
    </w:p>
    <w:p w14:paraId="672E1357">
      <w:pPr>
        <w:spacing w:before="133" w:line="277" w:lineRule="auto"/>
        <w:ind w:right="630" w:firstLine="419"/>
        <w:rPr>
          <w:rFonts w:ascii="宋体" w:hAnsi="宋体" w:eastAsia="宋体" w:cs="宋体"/>
          <w:sz w:val="21"/>
          <w:szCs w:val="21"/>
        </w:rPr>
      </w:pPr>
      <w:r>
        <w:rPr>
          <w:rFonts w:ascii="宋体" w:hAnsi="宋体" w:eastAsia="宋体" w:cs="宋体"/>
          <w:spacing w:val="-5"/>
          <w:sz w:val="21"/>
          <w:szCs w:val="21"/>
        </w:rPr>
        <w:t>(</w:t>
      </w:r>
      <w:r>
        <w:rPr>
          <w:rFonts w:ascii="宋体" w:hAnsi="宋体" w:eastAsia="宋体" w:cs="宋体"/>
          <w:spacing w:val="-25"/>
          <w:sz w:val="21"/>
          <w:szCs w:val="21"/>
        </w:rPr>
        <w:t xml:space="preserve"> </w:t>
      </w:r>
      <w:r>
        <w:rPr>
          <w:rFonts w:ascii="宋体" w:hAnsi="宋体" w:eastAsia="宋体" w:cs="宋体"/>
          <w:spacing w:val="-5"/>
          <w:sz w:val="21"/>
          <w:szCs w:val="21"/>
        </w:rPr>
        <w:t>1</w:t>
      </w:r>
      <w:r>
        <w:rPr>
          <w:rFonts w:ascii="宋体" w:hAnsi="宋体" w:eastAsia="宋体" w:cs="宋体"/>
          <w:spacing w:val="-47"/>
          <w:sz w:val="21"/>
          <w:szCs w:val="21"/>
        </w:rPr>
        <w:t xml:space="preserve"> </w:t>
      </w:r>
      <w:r>
        <w:rPr>
          <w:rFonts w:ascii="宋体" w:hAnsi="宋体" w:eastAsia="宋体" w:cs="宋体"/>
          <w:spacing w:val="-5"/>
          <w:sz w:val="21"/>
          <w:szCs w:val="21"/>
        </w:rPr>
        <w:t>)</w:t>
      </w:r>
      <w:r>
        <w:rPr>
          <w:rFonts w:ascii="宋体" w:hAnsi="宋体" w:eastAsia="宋体" w:cs="宋体"/>
          <w:spacing w:val="-40"/>
          <w:sz w:val="21"/>
          <w:szCs w:val="21"/>
        </w:rPr>
        <w:t xml:space="preserve"> </w:t>
      </w:r>
      <w:r>
        <w:rPr>
          <w:rFonts w:ascii="宋体" w:hAnsi="宋体" w:eastAsia="宋体" w:cs="宋体"/>
          <w:spacing w:val="-5"/>
          <w:sz w:val="21"/>
          <w:szCs w:val="21"/>
        </w:rPr>
        <w:t>吸</w:t>
      </w:r>
      <w:r>
        <w:rPr>
          <w:rFonts w:ascii="宋体" w:hAnsi="宋体" w:eastAsia="宋体" w:cs="宋体"/>
          <w:spacing w:val="-47"/>
          <w:sz w:val="21"/>
          <w:szCs w:val="21"/>
        </w:rPr>
        <w:t xml:space="preserve"> </w:t>
      </w:r>
      <w:r>
        <w:rPr>
          <w:rFonts w:ascii="宋体" w:hAnsi="宋体" w:eastAsia="宋体" w:cs="宋体"/>
          <w:spacing w:val="-5"/>
          <w:sz w:val="21"/>
          <w:szCs w:val="21"/>
        </w:rPr>
        <w:t>烟</w:t>
      </w:r>
      <w:r>
        <w:rPr>
          <w:rFonts w:ascii="宋体" w:hAnsi="宋体" w:eastAsia="宋体" w:cs="宋体"/>
          <w:spacing w:val="-57"/>
          <w:sz w:val="21"/>
          <w:szCs w:val="21"/>
        </w:rPr>
        <w:t xml:space="preserve"> </w:t>
      </w:r>
      <w:r>
        <w:rPr>
          <w:rFonts w:ascii="宋体" w:hAnsi="宋体" w:eastAsia="宋体" w:cs="宋体"/>
          <w:spacing w:val="-5"/>
          <w:sz w:val="21"/>
          <w:szCs w:val="21"/>
        </w:rPr>
        <w:t>：</w:t>
      </w:r>
      <w:r>
        <w:rPr>
          <w:rFonts w:ascii="Times New Roman" w:hAnsi="Times New Roman" w:eastAsia="Times New Roman" w:cs="Times New Roman"/>
          <w:spacing w:val="-5"/>
          <w:sz w:val="21"/>
          <w:szCs w:val="21"/>
        </w:rPr>
        <w:t xml:space="preserve">Meta </w:t>
      </w:r>
      <w:r>
        <w:rPr>
          <w:rFonts w:ascii="宋体" w:hAnsi="宋体" w:eastAsia="宋体" w:cs="宋体"/>
          <w:spacing w:val="-5"/>
          <w:sz w:val="21"/>
          <w:szCs w:val="21"/>
        </w:rPr>
        <w:t>分析的研究结果显示，吸烟人群患心肌梗死的风险是从未吸烟人群的3倍，且</w:t>
      </w:r>
      <w:r>
        <w:rPr>
          <w:rFonts w:ascii="宋体" w:hAnsi="宋体" w:eastAsia="宋体" w:cs="宋体"/>
          <w:sz w:val="21"/>
          <w:szCs w:val="21"/>
        </w:rPr>
        <w:t xml:space="preserve"> </w:t>
      </w:r>
      <w:r>
        <w:rPr>
          <w:rFonts w:ascii="宋体" w:hAnsi="宋体" w:eastAsia="宋体" w:cs="宋体"/>
          <w:spacing w:val="-4"/>
          <w:sz w:val="21"/>
          <w:szCs w:val="21"/>
        </w:rPr>
        <w:t>日均吸烟量越大，心肌梗死的风险越高。</w:t>
      </w:r>
    </w:p>
    <w:p w14:paraId="318827AE">
      <w:pPr>
        <w:spacing w:before="130" w:line="284" w:lineRule="auto"/>
        <w:ind w:right="651" w:firstLine="419"/>
        <w:rPr>
          <w:rFonts w:ascii="宋体" w:hAnsi="宋体" w:eastAsia="宋体" w:cs="宋体"/>
          <w:sz w:val="21"/>
          <w:szCs w:val="21"/>
        </w:rPr>
      </w:pPr>
      <w:r>
        <w:rPr>
          <w:rFonts w:ascii="宋体" w:hAnsi="宋体" w:eastAsia="宋体" w:cs="宋体"/>
          <w:spacing w:val="3"/>
          <w:sz w:val="21"/>
          <w:szCs w:val="21"/>
        </w:rPr>
        <w:t>(2)不健康饮食：盐摄入量是血压水平和心血管疾病发病风险的重要决定因素，约30%的</w:t>
      </w:r>
      <w:r>
        <w:rPr>
          <w:rFonts w:ascii="宋体" w:hAnsi="宋体" w:eastAsia="宋体" w:cs="宋体"/>
          <w:spacing w:val="2"/>
          <w:sz w:val="21"/>
          <w:szCs w:val="21"/>
        </w:rPr>
        <w:t>高血</w:t>
      </w:r>
      <w:r>
        <w:rPr>
          <w:rFonts w:ascii="宋体" w:hAnsi="宋体" w:eastAsia="宋体" w:cs="宋体"/>
          <w:sz w:val="21"/>
          <w:szCs w:val="21"/>
        </w:rPr>
        <w:t xml:space="preserve"> </w:t>
      </w:r>
      <w:r>
        <w:rPr>
          <w:rFonts w:ascii="宋体" w:hAnsi="宋体" w:eastAsia="宋体" w:cs="宋体"/>
          <w:spacing w:val="-2"/>
          <w:sz w:val="21"/>
          <w:szCs w:val="21"/>
        </w:rPr>
        <w:t>压是由摄入食盐过多导致的。此外，饱和脂肪酸和反式脂肪酸摄人过多可引起高血脂、动脉粥样硬</w:t>
      </w:r>
      <w:r>
        <w:rPr>
          <w:rFonts w:ascii="宋体" w:hAnsi="宋体" w:eastAsia="宋体" w:cs="宋体"/>
          <w:spacing w:val="3"/>
          <w:sz w:val="21"/>
          <w:szCs w:val="21"/>
        </w:rPr>
        <w:t xml:space="preserve"> </w:t>
      </w:r>
      <w:r>
        <w:rPr>
          <w:rFonts w:ascii="宋体" w:hAnsi="宋体" w:eastAsia="宋体" w:cs="宋体"/>
          <w:spacing w:val="4"/>
          <w:sz w:val="21"/>
          <w:szCs w:val="21"/>
        </w:rPr>
        <w:t>化等多种心血管疾病。</w:t>
      </w:r>
    </w:p>
    <w:p w14:paraId="15FC1834">
      <w:pPr>
        <w:spacing w:before="111" w:line="219" w:lineRule="auto"/>
        <w:ind w:left="409"/>
        <w:rPr>
          <w:rFonts w:ascii="宋体" w:hAnsi="宋体" w:eastAsia="宋体" w:cs="宋体"/>
          <w:sz w:val="21"/>
          <w:szCs w:val="21"/>
        </w:rPr>
      </w:pPr>
      <w:r>
        <w:rPr>
          <w:rFonts w:ascii="宋体" w:hAnsi="宋体" w:eastAsia="宋体" w:cs="宋体"/>
          <w:spacing w:val="1"/>
          <w:sz w:val="21"/>
          <w:szCs w:val="21"/>
        </w:rPr>
        <w:t>(3)身体活动不足：身体活动不足显著增加心血管疾病的发生和死亡风险，而规律和适</w:t>
      </w:r>
      <w:r>
        <w:rPr>
          <w:rFonts w:ascii="宋体" w:hAnsi="宋体" w:eastAsia="宋体" w:cs="宋体"/>
          <w:sz w:val="21"/>
          <w:szCs w:val="21"/>
        </w:rPr>
        <w:t>量的身</w:t>
      </w:r>
    </w:p>
    <w:p w14:paraId="1F0CF7B9">
      <w:pPr>
        <w:spacing w:line="219" w:lineRule="auto"/>
        <w:rPr>
          <w:rFonts w:ascii="宋体" w:hAnsi="宋体" w:eastAsia="宋体" w:cs="宋体"/>
          <w:sz w:val="21"/>
          <w:szCs w:val="21"/>
        </w:rPr>
        <w:sectPr>
          <w:footerReference r:id="rId238" w:type="default"/>
          <w:pgSz w:w="11900" w:h="16820"/>
          <w:pgMar w:top="400" w:right="869" w:bottom="856" w:left="1430" w:header="0" w:footer="667" w:gutter="0"/>
          <w:cols w:space="720" w:num="1"/>
        </w:sectPr>
      </w:pPr>
    </w:p>
    <w:p w14:paraId="4FF09198">
      <w:pPr>
        <w:pStyle w:val="2"/>
        <w:spacing w:line="220" w:lineRule="auto"/>
        <w:ind w:left="649"/>
        <w:rPr>
          <w:sz w:val="20"/>
          <w:szCs w:val="20"/>
        </w:rPr>
      </w:pPr>
      <w:r>
        <w:rPr>
          <w:spacing w:val="-21"/>
          <w:w w:val="98"/>
          <w:sz w:val="20"/>
          <w:szCs w:val="20"/>
        </w:rPr>
        <w:t>第十四章 慢性病流行病学</w:t>
      </w:r>
    </w:p>
    <w:p w14:paraId="185A9D1E">
      <w:pPr>
        <w:spacing w:line="296" w:lineRule="auto"/>
        <w:rPr>
          <w:rFonts w:ascii="Arial"/>
          <w:sz w:val="21"/>
        </w:rPr>
      </w:pPr>
    </w:p>
    <w:p w14:paraId="64266992">
      <w:pPr>
        <w:spacing w:line="297" w:lineRule="auto"/>
        <w:rPr>
          <w:rFonts w:ascii="Arial"/>
          <w:sz w:val="21"/>
        </w:rPr>
      </w:pPr>
    </w:p>
    <w:p w14:paraId="65ACDCEB">
      <w:pPr>
        <w:spacing w:before="65" w:line="219" w:lineRule="auto"/>
        <w:ind w:left="649"/>
        <w:rPr>
          <w:rFonts w:ascii="宋体" w:hAnsi="宋体" w:eastAsia="宋体" w:cs="宋体"/>
          <w:sz w:val="20"/>
          <w:szCs w:val="20"/>
        </w:rPr>
      </w:pPr>
      <w:r>
        <w:rPr>
          <w:rFonts w:ascii="宋体" w:hAnsi="宋体" w:eastAsia="宋体" w:cs="宋体"/>
          <w:spacing w:val="-3"/>
          <w:sz w:val="20"/>
          <w:szCs w:val="20"/>
        </w:rPr>
        <w:t>体活动能够改善肌肉和心肺功能，降低高血压、冠心病、脑卒中的风险。</w:t>
      </w:r>
    </w:p>
    <w:p w14:paraId="3CE8479D">
      <w:pPr>
        <w:spacing w:before="112" w:line="353" w:lineRule="auto"/>
        <w:ind w:left="649" w:right="204" w:firstLine="409"/>
        <w:rPr>
          <w:rFonts w:ascii="宋体" w:hAnsi="宋体" w:eastAsia="宋体" w:cs="宋体"/>
          <w:sz w:val="20"/>
          <w:szCs w:val="20"/>
        </w:rPr>
      </w:pPr>
      <w:r>
        <w:rPr>
          <w:rFonts w:ascii="宋体" w:hAnsi="宋体" w:eastAsia="宋体" w:cs="宋体"/>
          <w:spacing w:val="7"/>
          <w:sz w:val="20"/>
          <w:szCs w:val="20"/>
        </w:rPr>
        <w:t>(4)心理因素：精神障碍如抑郁症，会直接和间接</w:t>
      </w:r>
      <w:r>
        <w:rPr>
          <w:rFonts w:ascii="宋体" w:hAnsi="宋体" w:eastAsia="宋体" w:cs="宋体"/>
          <w:spacing w:val="6"/>
          <w:sz w:val="20"/>
          <w:szCs w:val="20"/>
        </w:rPr>
        <w:t>(如增加患者的不良行为和生活方式)增加心</w:t>
      </w:r>
      <w:r>
        <w:rPr>
          <w:rFonts w:ascii="宋体" w:hAnsi="宋体" w:eastAsia="宋体" w:cs="宋体"/>
          <w:sz w:val="20"/>
          <w:szCs w:val="20"/>
        </w:rPr>
        <w:t xml:space="preserve"> </w:t>
      </w:r>
      <w:r>
        <w:rPr>
          <w:rFonts w:ascii="宋体" w:hAnsi="宋体" w:eastAsia="宋体" w:cs="宋体"/>
          <w:spacing w:val="4"/>
          <w:sz w:val="20"/>
          <w:szCs w:val="20"/>
        </w:rPr>
        <w:t>血管疾病发病风险。</w:t>
      </w:r>
    </w:p>
    <w:p w14:paraId="10C3AE8F">
      <w:pPr>
        <w:pStyle w:val="2"/>
        <w:spacing w:before="23" w:line="221" w:lineRule="auto"/>
        <w:ind w:left="1059"/>
        <w:rPr>
          <w:sz w:val="20"/>
          <w:szCs w:val="20"/>
        </w:rPr>
      </w:pPr>
      <w:r>
        <w:rPr>
          <w:rFonts w:ascii="宋体" w:hAnsi="宋体" w:eastAsia="宋体" w:cs="宋体"/>
          <w:spacing w:val="7"/>
          <w:sz w:val="20"/>
          <w:szCs w:val="20"/>
        </w:rPr>
        <w:t>3.</w:t>
      </w:r>
      <w:r>
        <w:rPr>
          <w:rFonts w:ascii="宋体" w:hAnsi="宋体" w:eastAsia="宋体" w:cs="宋体"/>
          <w:spacing w:val="-9"/>
          <w:sz w:val="20"/>
          <w:szCs w:val="20"/>
        </w:rPr>
        <w:t xml:space="preserve"> </w:t>
      </w:r>
      <w:r>
        <w:rPr>
          <w:spacing w:val="7"/>
          <w:sz w:val="20"/>
          <w:szCs w:val="20"/>
        </w:rPr>
        <w:t>代谢因素</w:t>
      </w:r>
    </w:p>
    <w:p w14:paraId="3E1A2264">
      <w:pPr>
        <w:spacing w:before="153" w:line="219" w:lineRule="auto"/>
        <w:ind w:left="1059"/>
        <w:rPr>
          <w:rFonts w:ascii="宋体" w:hAnsi="宋体" w:eastAsia="宋体" w:cs="宋体"/>
          <w:sz w:val="20"/>
          <w:szCs w:val="20"/>
        </w:rPr>
      </w:pPr>
      <w:r>
        <w:rPr>
          <w:rFonts w:ascii="宋体" w:hAnsi="宋体" w:eastAsia="宋体" w:cs="宋体"/>
          <w:spacing w:val="4"/>
          <w:sz w:val="20"/>
          <w:szCs w:val="20"/>
        </w:rPr>
        <w:t>(1)高血压：高血压是冠心病、脑卒中等心血管疾</w:t>
      </w:r>
      <w:r>
        <w:rPr>
          <w:rFonts w:ascii="宋体" w:hAnsi="宋体" w:eastAsia="宋体" w:cs="宋体"/>
          <w:spacing w:val="3"/>
          <w:sz w:val="20"/>
          <w:szCs w:val="20"/>
        </w:rPr>
        <w:t>病的第一大代谢危险因素。</w:t>
      </w:r>
    </w:p>
    <w:p w14:paraId="0198A3D1">
      <w:pPr>
        <w:spacing w:before="134" w:line="297" w:lineRule="auto"/>
        <w:ind w:left="649" w:right="208" w:firstLine="409"/>
        <w:rPr>
          <w:rFonts w:ascii="宋体" w:hAnsi="宋体" w:eastAsia="宋体" w:cs="宋体"/>
          <w:sz w:val="20"/>
          <w:szCs w:val="20"/>
        </w:rPr>
      </w:pPr>
      <w:r>
        <w:rPr>
          <w:rFonts w:ascii="宋体" w:hAnsi="宋体" w:eastAsia="宋体" w:cs="宋体"/>
          <w:spacing w:val="7"/>
          <w:sz w:val="20"/>
          <w:szCs w:val="20"/>
        </w:rPr>
        <w:t>(2)血脂异常：高水平的</w:t>
      </w:r>
      <w:r>
        <w:rPr>
          <w:rFonts w:ascii="宋体" w:hAnsi="宋体" w:eastAsia="宋体" w:cs="宋体"/>
          <w:sz w:val="20"/>
          <w:szCs w:val="20"/>
        </w:rPr>
        <w:t>LDL</w:t>
      </w:r>
      <w:r>
        <w:rPr>
          <w:rFonts w:ascii="宋体" w:hAnsi="宋体" w:eastAsia="宋体" w:cs="宋体"/>
          <w:spacing w:val="7"/>
          <w:sz w:val="20"/>
          <w:szCs w:val="20"/>
        </w:rPr>
        <w:t>-C 是动脉粥样化性心血管</w:t>
      </w:r>
      <w:r>
        <w:rPr>
          <w:rFonts w:ascii="宋体" w:hAnsi="宋体" w:eastAsia="宋体" w:cs="宋体"/>
          <w:spacing w:val="6"/>
          <w:sz w:val="20"/>
          <w:szCs w:val="20"/>
        </w:rPr>
        <w:t>疾病的第二大归因危险因素，仅次于高</w:t>
      </w:r>
      <w:r>
        <w:rPr>
          <w:rFonts w:ascii="宋体" w:hAnsi="宋体" w:eastAsia="宋体" w:cs="宋体"/>
          <w:sz w:val="20"/>
          <w:szCs w:val="20"/>
        </w:rPr>
        <w:t xml:space="preserve"> </w:t>
      </w:r>
      <w:r>
        <w:rPr>
          <w:rFonts w:ascii="宋体" w:hAnsi="宋体" w:eastAsia="宋体" w:cs="宋体"/>
          <w:spacing w:val="3"/>
          <w:sz w:val="20"/>
          <w:szCs w:val="20"/>
        </w:rPr>
        <w:t>血压。此外，较高水平的甘油三酯</w:t>
      </w:r>
      <w:r>
        <w:rPr>
          <w:rFonts w:ascii="Times New Roman" w:hAnsi="Times New Roman" w:eastAsia="Times New Roman" w:cs="Times New Roman"/>
          <w:spacing w:val="3"/>
          <w:sz w:val="20"/>
          <w:szCs w:val="20"/>
        </w:rPr>
        <w:t>(</w:t>
      </w:r>
      <w:r>
        <w:rPr>
          <w:rFonts w:ascii="Times New Roman" w:hAnsi="Times New Roman" w:eastAsia="Times New Roman" w:cs="Times New Roman"/>
          <w:sz w:val="20"/>
          <w:szCs w:val="20"/>
        </w:rPr>
        <w:t>triglyceride</w:t>
      </w:r>
      <w:r>
        <w:rPr>
          <w:rFonts w:ascii="Times New Roman" w:hAnsi="Times New Roman" w:eastAsia="Times New Roman" w:cs="Times New Roman"/>
          <w:spacing w:val="3"/>
          <w:sz w:val="20"/>
          <w:szCs w:val="20"/>
        </w:rPr>
        <w:t>,</w:t>
      </w:r>
      <w:r>
        <w:rPr>
          <w:rFonts w:ascii="Times New Roman" w:hAnsi="Times New Roman" w:eastAsia="Times New Roman" w:cs="Times New Roman"/>
          <w:sz w:val="20"/>
          <w:szCs w:val="20"/>
        </w:rPr>
        <w:t>TG</w:t>
      </w:r>
      <w:r>
        <w:rPr>
          <w:rFonts w:ascii="Times New Roman" w:hAnsi="Times New Roman" w:eastAsia="Times New Roman" w:cs="Times New Roman"/>
          <w:spacing w:val="3"/>
          <w:sz w:val="20"/>
          <w:szCs w:val="20"/>
        </w:rPr>
        <w:t>)</w:t>
      </w:r>
      <w:r>
        <w:rPr>
          <w:rFonts w:ascii="Times New Roman" w:hAnsi="Times New Roman" w:eastAsia="Times New Roman" w:cs="Times New Roman"/>
          <w:spacing w:val="23"/>
          <w:w w:val="101"/>
          <w:sz w:val="20"/>
          <w:szCs w:val="20"/>
        </w:rPr>
        <w:t xml:space="preserve">  </w:t>
      </w:r>
      <w:r>
        <w:rPr>
          <w:rFonts w:ascii="宋体" w:hAnsi="宋体" w:eastAsia="宋体" w:cs="宋体"/>
          <w:spacing w:val="3"/>
          <w:sz w:val="20"/>
          <w:szCs w:val="20"/>
        </w:rPr>
        <w:t>及较低水平的高密度脂蛋白胆固醇</w:t>
      </w:r>
      <w:r>
        <w:rPr>
          <w:rFonts w:ascii="Times New Roman" w:hAnsi="Times New Roman" w:eastAsia="Times New Roman" w:cs="Times New Roman"/>
          <w:spacing w:val="3"/>
          <w:sz w:val="20"/>
          <w:szCs w:val="20"/>
        </w:rPr>
        <w:t>(</w:t>
      </w:r>
      <w:r>
        <w:rPr>
          <w:rFonts w:ascii="Times New Roman" w:hAnsi="Times New Roman" w:eastAsia="Times New Roman" w:cs="Times New Roman"/>
          <w:sz w:val="20"/>
          <w:szCs w:val="20"/>
        </w:rPr>
        <w:t>high</w:t>
      </w:r>
      <w:r>
        <w:rPr>
          <w:rFonts w:ascii="Times New Roman" w:hAnsi="Times New Roman" w:eastAsia="Times New Roman" w:cs="Times New Roman"/>
          <w:spacing w:val="3"/>
          <w:sz w:val="20"/>
          <w:szCs w:val="20"/>
        </w:rPr>
        <w:t xml:space="preserve">   </w:t>
      </w:r>
      <w:r>
        <w:rPr>
          <w:rFonts w:ascii="Times New Roman" w:hAnsi="Times New Roman" w:eastAsia="Times New Roman" w:cs="Times New Roman"/>
          <w:sz w:val="20"/>
          <w:szCs w:val="20"/>
        </w:rPr>
        <w:t xml:space="preserve">density </w:t>
      </w:r>
      <w:r>
        <w:rPr>
          <w:rFonts w:ascii="宋体" w:hAnsi="宋体" w:eastAsia="宋体" w:cs="宋体"/>
          <w:spacing w:val="-7"/>
          <w:sz w:val="20"/>
          <w:szCs w:val="20"/>
        </w:rPr>
        <w:t>lipoprotein cholesterol,HDL-C)也与心血管疾病的</w:t>
      </w:r>
      <w:r>
        <w:rPr>
          <w:rFonts w:ascii="宋体" w:hAnsi="宋体" w:eastAsia="宋体" w:cs="宋体"/>
          <w:spacing w:val="-8"/>
          <w:sz w:val="20"/>
          <w:szCs w:val="20"/>
        </w:rPr>
        <w:t>发生风险相关。</w:t>
      </w:r>
    </w:p>
    <w:p w14:paraId="419173B5">
      <w:pPr>
        <w:spacing w:before="132" w:line="290" w:lineRule="auto"/>
        <w:ind w:left="649" w:right="201" w:firstLine="409"/>
        <w:rPr>
          <w:rFonts w:ascii="宋体" w:hAnsi="宋体" w:eastAsia="宋体" w:cs="宋体"/>
          <w:sz w:val="20"/>
          <w:szCs w:val="20"/>
        </w:rPr>
      </w:pPr>
      <w:r>
        <w:rPr>
          <w:rFonts w:ascii="宋体" w:hAnsi="宋体" w:eastAsia="宋体" w:cs="宋体"/>
          <w:spacing w:val="2"/>
          <w:sz w:val="20"/>
          <w:szCs w:val="20"/>
        </w:rPr>
        <w:t>(3)糖尿病：高血糖会损伤血管内皮，增加炎症和氧化应激，从而促进脂肪沉积在动脉壁上</w:t>
      </w:r>
      <w:r>
        <w:rPr>
          <w:rFonts w:ascii="宋体" w:hAnsi="宋体" w:eastAsia="宋体" w:cs="宋体"/>
          <w:spacing w:val="1"/>
          <w:sz w:val="20"/>
          <w:szCs w:val="20"/>
        </w:rPr>
        <w:t>，加</w:t>
      </w:r>
      <w:r>
        <w:rPr>
          <w:rFonts w:ascii="宋体" w:hAnsi="宋体" w:eastAsia="宋体" w:cs="宋体"/>
          <w:sz w:val="20"/>
          <w:szCs w:val="20"/>
        </w:rPr>
        <w:t xml:space="preserve"> </w:t>
      </w:r>
      <w:r>
        <w:rPr>
          <w:rFonts w:ascii="宋体" w:hAnsi="宋体" w:eastAsia="宋体" w:cs="宋体"/>
          <w:spacing w:val="3"/>
          <w:sz w:val="20"/>
          <w:szCs w:val="20"/>
        </w:rPr>
        <w:t>速动脉粥样硬化的形成。</w:t>
      </w:r>
    </w:p>
    <w:p w14:paraId="021B3674">
      <w:pPr>
        <w:spacing w:before="132" w:line="219" w:lineRule="auto"/>
        <w:ind w:left="1059"/>
        <w:rPr>
          <w:rFonts w:ascii="宋体" w:hAnsi="宋体" w:eastAsia="宋体" w:cs="宋体"/>
          <w:sz w:val="20"/>
          <w:szCs w:val="20"/>
        </w:rPr>
      </w:pPr>
      <w:r>
        <w:rPr>
          <w:rFonts w:ascii="宋体" w:hAnsi="宋体" w:eastAsia="宋体" w:cs="宋体"/>
          <w:spacing w:val="7"/>
          <w:sz w:val="20"/>
          <w:szCs w:val="20"/>
        </w:rPr>
        <w:t>(4)超重或肥胖：超重和肥胖对血压、胆固醇、甘油三酯和</w:t>
      </w:r>
      <w:r>
        <w:rPr>
          <w:rFonts w:ascii="宋体" w:hAnsi="宋体" w:eastAsia="宋体" w:cs="宋体"/>
          <w:spacing w:val="6"/>
          <w:sz w:val="20"/>
          <w:szCs w:val="20"/>
        </w:rPr>
        <w:t>血管弹性等均会产生不利影响。随</w:t>
      </w:r>
    </w:p>
    <w:p w14:paraId="46835945">
      <w:pPr>
        <w:spacing w:before="164" w:line="219" w:lineRule="auto"/>
        <w:ind w:left="649"/>
        <w:rPr>
          <w:rFonts w:ascii="宋体" w:hAnsi="宋体" w:eastAsia="宋体" w:cs="宋体"/>
          <w:sz w:val="20"/>
          <w:szCs w:val="20"/>
        </w:rPr>
      </w:pPr>
      <w:r>
        <w:rPr>
          <w:rFonts w:ascii="宋体" w:hAnsi="宋体" w:eastAsia="宋体" w:cs="宋体"/>
          <w:spacing w:val="3"/>
          <w:sz w:val="20"/>
          <w:szCs w:val="20"/>
        </w:rPr>
        <w:t>着</w:t>
      </w:r>
      <w:r>
        <w:rPr>
          <w:rFonts w:ascii="Times New Roman" w:hAnsi="Times New Roman" w:eastAsia="Times New Roman" w:cs="Times New Roman"/>
          <w:sz w:val="20"/>
          <w:szCs w:val="20"/>
        </w:rPr>
        <w:t>BMI</w:t>
      </w:r>
      <w:r>
        <w:rPr>
          <w:rFonts w:ascii="宋体" w:hAnsi="宋体" w:eastAsia="宋体" w:cs="宋体"/>
          <w:spacing w:val="3"/>
          <w:sz w:val="20"/>
          <w:szCs w:val="20"/>
        </w:rPr>
        <w:t>升高，冠心病和缺血性脑卒中的发病风险也随之升高。</w:t>
      </w:r>
    </w:p>
    <w:p w14:paraId="2C36B2E8">
      <w:pPr>
        <w:spacing w:before="123" w:line="281" w:lineRule="auto"/>
        <w:ind w:left="649" w:right="205" w:firstLine="409"/>
        <w:rPr>
          <w:rFonts w:ascii="宋体" w:hAnsi="宋体" w:eastAsia="宋体" w:cs="宋体"/>
          <w:sz w:val="20"/>
          <w:szCs w:val="20"/>
        </w:rPr>
      </w:pPr>
      <w:r>
        <w:rPr>
          <w:rFonts w:ascii="宋体" w:hAnsi="宋体" w:eastAsia="宋体" w:cs="宋体"/>
          <w:spacing w:val="12"/>
          <w:sz w:val="20"/>
          <w:szCs w:val="20"/>
        </w:rPr>
        <w:t>(5)慢性肾脏病：慢性肾脏病显著增加心血管疾病风险，且慢</w:t>
      </w:r>
      <w:r>
        <w:rPr>
          <w:rFonts w:ascii="宋体" w:hAnsi="宋体" w:eastAsia="宋体" w:cs="宋体"/>
          <w:spacing w:val="11"/>
          <w:sz w:val="20"/>
          <w:szCs w:val="20"/>
        </w:rPr>
        <w:t>性肾脏病患者常常合并心血管</w:t>
      </w:r>
      <w:r>
        <w:rPr>
          <w:rFonts w:ascii="宋体" w:hAnsi="宋体" w:eastAsia="宋体" w:cs="宋体"/>
          <w:sz w:val="20"/>
          <w:szCs w:val="20"/>
        </w:rPr>
        <w:t xml:space="preserve"> </w:t>
      </w:r>
      <w:r>
        <w:rPr>
          <w:rFonts w:ascii="宋体" w:hAnsi="宋体" w:eastAsia="宋体" w:cs="宋体"/>
          <w:spacing w:val="13"/>
          <w:sz w:val="20"/>
          <w:szCs w:val="20"/>
        </w:rPr>
        <w:t>疾病。</w:t>
      </w:r>
    </w:p>
    <w:p w14:paraId="42465383">
      <w:pPr>
        <w:spacing w:before="168" w:line="305" w:lineRule="auto"/>
        <w:ind w:left="649" w:right="201" w:firstLine="409"/>
        <w:rPr>
          <w:rFonts w:ascii="宋体" w:hAnsi="宋体" w:eastAsia="宋体" w:cs="宋体"/>
          <w:sz w:val="20"/>
          <w:szCs w:val="20"/>
        </w:rPr>
      </w:pPr>
      <w:r>
        <w:rPr>
          <w:rFonts w:ascii="宋体" w:hAnsi="宋体" w:eastAsia="宋体" w:cs="宋体"/>
          <w:spacing w:val="3"/>
          <w:sz w:val="20"/>
          <w:szCs w:val="20"/>
        </w:rPr>
        <w:t>(6)代谢综合征：代谢综合征(</w:t>
      </w:r>
      <w:r>
        <w:rPr>
          <w:rFonts w:ascii="宋体" w:hAnsi="宋体" w:eastAsia="宋体" w:cs="宋体"/>
          <w:sz w:val="20"/>
          <w:szCs w:val="20"/>
        </w:rPr>
        <w:t>metabolic</w:t>
      </w:r>
      <w:r>
        <w:rPr>
          <w:rFonts w:ascii="宋体" w:hAnsi="宋体" w:eastAsia="宋体" w:cs="宋体"/>
          <w:spacing w:val="75"/>
          <w:sz w:val="20"/>
          <w:szCs w:val="20"/>
        </w:rPr>
        <w:t xml:space="preserve"> </w:t>
      </w:r>
      <w:r>
        <w:rPr>
          <w:rFonts w:ascii="宋体" w:hAnsi="宋体" w:eastAsia="宋体" w:cs="宋体"/>
          <w:sz w:val="20"/>
          <w:szCs w:val="20"/>
        </w:rPr>
        <w:t>syndrome</w:t>
      </w:r>
      <w:r>
        <w:rPr>
          <w:rFonts w:ascii="宋体" w:hAnsi="宋体" w:eastAsia="宋体" w:cs="宋体"/>
          <w:spacing w:val="3"/>
          <w:sz w:val="20"/>
          <w:szCs w:val="20"/>
        </w:rPr>
        <w:t>,</w:t>
      </w:r>
      <w:r>
        <w:rPr>
          <w:rFonts w:ascii="宋体" w:hAnsi="宋体" w:eastAsia="宋体" w:cs="宋体"/>
          <w:sz w:val="20"/>
          <w:szCs w:val="20"/>
        </w:rPr>
        <w:t>MS</w:t>
      </w:r>
      <w:r>
        <w:rPr>
          <w:rFonts w:ascii="宋体" w:hAnsi="宋体" w:eastAsia="宋体" w:cs="宋体"/>
          <w:spacing w:val="3"/>
          <w:sz w:val="20"/>
          <w:szCs w:val="20"/>
        </w:rPr>
        <w:t>)是一组复杂的代谢紊乱综合征，包括腹</w:t>
      </w:r>
      <w:r>
        <w:rPr>
          <w:rFonts w:ascii="宋体" w:hAnsi="宋体" w:eastAsia="宋体" w:cs="宋体"/>
          <w:sz w:val="20"/>
          <w:szCs w:val="20"/>
        </w:rPr>
        <w:t xml:space="preserve"> </w:t>
      </w:r>
      <w:r>
        <w:rPr>
          <w:rFonts w:ascii="宋体" w:hAnsi="宋体" w:eastAsia="宋体" w:cs="宋体"/>
          <w:spacing w:val="5"/>
          <w:sz w:val="20"/>
          <w:szCs w:val="20"/>
        </w:rPr>
        <w:t>部肥胖或超重、致动脉粥样硬化血脂异常(高</w:t>
      </w:r>
      <w:r>
        <w:rPr>
          <w:rFonts w:ascii="Times New Roman" w:hAnsi="Times New Roman" w:eastAsia="Times New Roman" w:cs="Times New Roman"/>
          <w:sz w:val="20"/>
          <w:szCs w:val="20"/>
        </w:rPr>
        <w:t>TG</w:t>
      </w:r>
      <w:r>
        <w:rPr>
          <w:rFonts w:ascii="Times New Roman" w:hAnsi="Times New Roman" w:eastAsia="Times New Roman" w:cs="Times New Roman"/>
          <w:spacing w:val="22"/>
          <w:sz w:val="20"/>
          <w:szCs w:val="20"/>
        </w:rPr>
        <w:t xml:space="preserve"> </w:t>
      </w:r>
      <w:r>
        <w:rPr>
          <w:rFonts w:ascii="宋体" w:hAnsi="宋体" w:eastAsia="宋体" w:cs="宋体"/>
          <w:spacing w:val="5"/>
          <w:sz w:val="20"/>
          <w:szCs w:val="20"/>
        </w:rPr>
        <w:t>及</w:t>
      </w:r>
      <w:r>
        <w:rPr>
          <w:rFonts w:ascii="宋体" w:hAnsi="宋体" w:eastAsia="宋体" w:cs="宋体"/>
          <w:spacing w:val="-43"/>
          <w:sz w:val="20"/>
          <w:szCs w:val="20"/>
        </w:rPr>
        <w:t xml:space="preserve"> </w:t>
      </w:r>
      <w:r>
        <w:rPr>
          <w:rFonts w:ascii="Times New Roman" w:hAnsi="Times New Roman" w:eastAsia="Times New Roman" w:cs="Times New Roman"/>
          <w:sz w:val="20"/>
          <w:szCs w:val="20"/>
        </w:rPr>
        <w:t>HDL</w:t>
      </w:r>
      <w:r>
        <w:rPr>
          <w:rFonts w:ascii="Times New Roman" w:hAnsi="Times New Roman" w:eastAsia="Times New Roman" w:cs="Times New Roman"/>
          <w:spacing w:val="5"/>
          <w:sz w:val="20"/>
          <w:szCs w:val="20"/>
        </w:rPr>
        <w:t>-C</w:t>
      </w:r>
      <w:r>
        <w:rPr>
          <w:rFonts w:ascii="Times New Roman" w:hAnsi="Times New Roman" w:eastAsia="Times New Roman" w:cs="Times New Roman"/>
          <w:spacing w:val="32"/>
          <w:w w:val="101"/>
          <w:sz w:val="20"/>
          <w:szCs w:val="20"/>
        </w:rPr>
        <w:t xml:space="preserve"> </w:t>
      </w:r>
      <w:r>
        <w:rPr>
          <w:rFonts w:ascii="宋体" w:hAnsi="宋体" w:eastAsia="宋体" w:cs="宋体"/>
          <w:spacing w:val="5"/>
          <w:sz w:val="20"/>
          <w:szCs w:val="20"/>
        </w:rPr>
        <w:t>低下)、高血压、胰岛素抵抗和/或葡萄</w:t>
      </w:r>
      <w:r>
        <w:rPr>
          <w:rFonts w:ascii="宋体" w:hAnsi="宋体" w:eastAsia="宋体" w:cs="宋体"/>
          <w:sz w:val="20"/>
          <w:szCs w:val="20"/>
        </w:rPr>
        <w:t xml:space="preserve"> </w:t>
      </w:r>
      <w:r>
        <w:rPr>
          <w:rFonts w:ascii="宋体" w:hAnsi="宋体" w:eastAsia="宋体" w:cs="宋体"/>
          <w:spacing w:val="5"/>
          <w:sz w:val="20"/>
          <w:szCs w:val="20"/>
        </w:rPr>
        <w:t>糖耐量异常。代谢综合征通过动脉粥样硬化、炎症</w:t>
      </w:r>
      <w:r>
        <w:rPr>
          <w:rFonts w:ascii="宋体" w:hAnsi="宋体" w:eastAsia="宋体" w:cs="宋体"/>
          <w:spacing w:val="4"/>
          <w:sz w:val="20"/>
          <w:szCs w:val="20"/>
        </w:rPr>
        <w:t>反应、胰岛素抵抗等多种机制增加心血管疾病的</w:t>
      </w:r>
      <w:r>
        <w:rPr>
          <w:rFonts w:ascii="宋体" w:hAnsi="宋体" w:eastAsia="宋体" w:cs="宋体"/>
          <w:sz w:val="20"/>
          <w:szCs w:val="20"/>
        </w:rPr>
        <w:t xml:space="preserve"> </w:t>
      </w:r>
      <w:r>
        <w:rPr>
          <w:rFonts w:ascii="宋体" w:hAnsi="宋体" w:eastAsia="宋体" w:cs="宋体"/>
          <w:spacing w:val="6"/>
          <w:sz w:val="20"/>
          <w:szCs w:val="20"/>
        </w:rPr>
        <w:t>风险。</w:t>
      </w:r>
    </w:p>
    <w:p w14:paraId="3F185E19">
      <w:pPr>
        <w:spacing w:before="180" w:line="333" w:lineRule="auto"/>
        <w:ind w:left="649" w:firstLine="409"/>
        <w:rPr>
          <w:rFonts w:ascii="宋体" w:hAnsi="宋体" w:eastAsia="宋体" w:cs="宋体"/>
          <w:sz w:val="20"/>
          <w:szCs w:val="20"/>
        </w:rPr>
      </w:pPr>
      <w:r>
        <w:rPr>
          <w:rFonts w:ascii="宋体" w:hAnsi="宋体" w:eastAsia="宋体" w:cs="宋体"/>
          <w:spacing w:val="5"/>
          <w:sz w:val="20"/>
          <w:szCs w:val="20"/>
        </w:rPr>
        <w:t>2010年，美国心脏协会提出了一个全新的心</w:t>
      </w:r>
      <w:r>
        <w:rPr>
          <w:rFonts w:ascii="宋体" w:hAnsi="宋体" w:eastAsia="宋体" w:cs="宋体"/>
          <w:spacing w:val="4"/>
          <w:sz w:val="20"/>
          <w:szCs w:val="20"/>
        </w:rPr>
        <w:t>血管健康的定义——简单生活七法则</w:t>
      </w:r>
      <w:r>
        <w:rPr>
          <w:rFonts w:ascii="Times New Roman" w:hAnsi="Times New Roman" w:eastAsia="Times New Roman" w:cs="Times New Roman"/>
          <w:spacing w:val="4"/>
          <w:sz w:val="20"/>
          <w:szCs w:val="20"/>
        </w:rPr>
        <w:t>(</w:t>
      </w:r>
      <w:r>
        <w:rPr>
          <w:rFonts w:ascii="Times New Roman" w:hAnsi="Times New Roman" w:eastAsia="Times New Roman" w:cs="Times New Roman"/>
          <w:sz w:val="20"/>
          <w:szCs w:val="20"/>
        </w:rPr>
        <w:t>Life</w:t>
      </w:r>
      <w:r>
        <w:rPr>
          <w:rFonts w:ascii="Times New Roman" w:hAnsi="Times New Roman" w:eastAsia="Times New Roman" w:cs="Times New Roman"/>
          <w:spacing w:val="4"/>
          <w:sz w:val="20"/>
          <w:szCs w:val="20"/>
        </w:rPr>
        <w:t>'</w:t>
      </w:r>
      <w:r>
        <w:rPr>
          <w:rFonts w:ascii="Times New Roman" w:hAnsi="Times New Roman" w:eastAsia="Times New Roman" w:cs="Times New Roman"/>
          <w:sz w:val="20"/>
          <w:szCs w:val="20"/>
        </w:rPr>
        <w:t>s</w:t>
      </w:r>
      <w:r>
        <w:rPr>
          <w:rFonts w:ascii="Times New Roman" w:hAnsi="Times New Roman" w:eastAsia="Times New Roman" w:cs="Times New Roman"/>
          <w:spacing w:val="18"/>
          <w:w w:val="101"/>
          <w:sz w:val="20"/>
          <w:szCs w:val="20"/>
        </w:rPr>
        <w:t xml:space="preserve">  </w:t>
      </w:r>
      <w:r>
        <w:rPr>
          <w:rFonts w:ascii="Times New Roman" w:hAnsi="Times New Roman" w:eastAsia="Times New Roman" w:cs="Times New Roman"/>
          <w:sz w:val="20"/>
          <w:szCs w:val="20"/>
        </w:rPr>
        <w:t xml:space="preserve">Simple     </w:t>
      </w:r>
      <w:r>
        <w:rPr>
          <w:rFonts w:ascii="宋体" w:hAnsi="宋体" w:eastAsia="宋体" w:cs="宋体"/>
          <w:spacing w:val="-2"/>
          <w:sz w:val="20"/>
          <w:szCs w:val="20"/>
        </w:rPr>
        <w:t>7),这一定义包括饮食质量指标、身体活动、吸烟情况、</w:t>
      </w:r>
      <w:r>
        <w:rPr>
          <w:rFonts w:ascii="Times New Roman" w:hAnsi="Times New Roman" w:eastAsia="Times New Roman" w:cs="Times New Roman"/>
          <w:spacing w:val="-2"/>
          <w:sz w:val="20"/>
          <w:szCs w:val="20"/>
        </w:rPr>
        <w:t>BMI</w:t>
      </w:r>
      <w:r>
        <w:rPr>
          <w:rFonts w:ascii="宋体" w:hAnsi="宋体" w:eastAsia="宋体" w:cs="宋体"/>
          <w:spacing w:val="-2"/>
          <w:sz w:val="20"/>
          <w:szCs w:val="20"/>
        </w:rPr>
        <w:t>、空腹血糖、总胆固醇和血压水平，为心</w:t>
      </w:r>
      <w:r>
        <w:rPr>
          <w:rFonts w:ascii="宋体" w:hAnsi="宋体" w:eastAsia="宋体" w:cs="宋体"/>
          <w:spacing w:val="2"/>
          <w:sz w:val="20"/>
          <w:szCs w:val="20"/>
        </w:rPr>
        <w:t xml:space="preserve">   </w:t>
      </w:r>
      <w:r>
        <w:rPr>
          <w:rFonts w:ascii="宋体" w:hAnsi="宋体" w:eastAsia="宋体" w:cs="宋体"/>
          <w:spacing w:val="12"/>
          <w:sz w:val="20"/>
          <w:szCs w:val="20"/>
        </w:rPr>
        <w:t>血管健康创建了一个可操作的定义。2022年，美国</w:t>
      </w:r>
      <w:r>
        <w:rPr>
          <w:rFonts w:ascii="宋体" w:hAnsi="宋体" w:eastAsia="宋体" w:cs="宋体"/>
          <w:spacing w:val="11"/>
          <w:sz w:val="20"/>
          <w:szCs w:val="20"/>
        </w:rPr>
        <w:t>心脏协会在此基础上对原来的7个指标进行重</w:t>
      </w:r>
      <w:r>
        <w:rPr>
          <w:rFonts w:ascii="宋体" w:hAnsi="宋体" w:eastAsia="宋体" w:cs="宋体"/>
          <w:sz w:val="20"/>
          <w:szCs w:val="20"/>
        </w:rPr>
        <w:t xml:space="preserve">   </w:t>
      </w:r>
      <w:r>
        <w:rPr>
          <w:rFonts w:ascii="宋体" w:hAnsi="宋体" w:eastAsia="宋体" w:cs="宋体"/>
          <w:spacing w:val="7"/>
          <w:sz w:val="20"/>
          <w:szCs w:val="20"/>
        </w:rPr>
        <w:t>新评估和科学优化，并新增了睡眠这一组分，提出了更全面、更符合现</w:t>
      </w:r>
      <w:r>
        <w:rPr>
          <w:rFonts w:ascii="宋体" w:hAnsi="宋体" w:eastAsia="宋体" w:cs="宋体"/>
          <w:spacing w:val="6"/>
          <w:sz w:val="20"/>
          <w:szCs w:val="20"/>
        </w:rPr>
        <w:t>代健康标准的“生命8要素”</w:t>
      </w:r>
      <w:r>
        <w:rPr>
          <w:rFonts w:ascii="宋体" w:hAnsi="宋体" w:eastAsia="宋体" w:cs="宋体"/>
          <w:sz w:val="20"/>
          <w:szCs w:val="20"/>
        </w:rPr>
        <w:t xml:space="preserve"> </w:t>
      </w:r>
      <w:r>
        <w:rPr>
          <w:rFonts w:ascii="Times New Roman" w:hAnsi="Times New Roman" w:eastAsia="Times New Roman" w:cs="Times New Roman"/>
          <w:spacing w:val="-2"/>
          <w:sz w:val="20"/>
          <w:szCs w:val="20"/>
        </w:rPr>
        <w:t>(Life's</w:t>
      </w:r>
      <w:r>
        <w:rPr>
          <w:rFonts w:ascii="Times New Roman" w:hAnsi="Times New Roman" w:eastAsia="Times New Roman" w:cs="Times New Roman"/>
          <w:spacing w:val="14"/>
          <w:sz w:val="20"/>
          <w:szCs w:val="20"/>
        </w:rPr>
        <w:t xml:space="preserve">  </w:t>
      </w:r>
      <w:r>
        <w:rPr>
          <w:rFonts w:ascii="Times New Roman" w:hAnsi="Times New Roman" w:eastAsia="Times New Roman" w:cs="Times New Roman"/>
          <w:spacing w:val="-2"/>
          <w:sz w:val="20"/>
          <w:szCs w:val="20"/>
        </w:rPr>
        <w:t>Essential</w:t>
      </w:r>
      <w:r>
        <w:rPr>
          <w:rFonts w:ascii="Times New Roman" w:hAnsi="Times New Roman" w:eastAsia="Times New Roman" w:cs="Times New Roman"/>
          <w:spacing w:val="12"/>
          <w:w w:val="101"/>
          <w:sz w:val="20"/>
          <w:szCs w:val="20"/>
        </w:rPr>
        <w:t xml:space="preserve">  </w:t>
      </w:r>
      <w:r>
        <w:rPr>
          <w:rFonts w:ascii="Times New Roman" w:hAnsi="Times New Roman" w:eastAsia="Times New Roman" w:cs="Times New Roman"/>
          <w:spacing w:val="-2"/>
          <w:sz w:val="20"/>
          <w:szCs w:val="20"/>
        </w:rPr>
        <w:t>8)</w:t>
      </w:r>
      <w:r>
        <w:rPr>
          <w:rFonts w:ascii="宋体" w:hAnsi="宋体" w:eastAsia="宋体" w:cs="宋体"/>
          <w:spacing w:val="-2"/>
          <w:sz w:val="20"/>
          <w:szCs w:val="20"/>
        </w:rPr>
        <w:t>。</w:t>
      </w:r>
    </w:p>
    <w:p w14:paraId="6C190357">
      <w:pPr>
        <w:pStyle w:val="2"/>
        <w:spacing w:before="92" w:line="221" w:lineRule="auto"/>
        <w:ind w:left="1062"/>
        <w:rPr>
          <w:sz w:val="20"/>
          <w:szCs w:val="20"/>
        </w:rPr>
      </w:pPr>
      <w:r>
        <w:rPr>
          <w:b/>
          <w:bCs/>
          <w:spacing w:val="22"/>
          <w:sz w:val="20"/>
          <w:szCs w:val="20"/>
        </w:rPr>
        <w:t>(四)预防策略与措施</w:t>
      </w:r>
    </w:p>
    <w:p w14:paraId="56347A7E">
      <w:pPr>
        <w:pStyle w:val="2"/>
        <w:spacing w:before="105" w:line="332" w:lineRule="auto"/>
        <w:ind w:left="649" w:right="201" w:firstLine="409"/>
        <w:rPr>
          <w:rFonts w:ascii="宋体" w:hAnsi="宋体" w:eastAsia="宋体" w:cs="宋体"/>
          <w:sz w:val="20"/>
          <w:szCs w:val="20"/>
        </w:rPr>
      </w:pPr>
      <w:r>
        <w:rPr>
          <w:rFonts w:ascii="宋体" w:hAnsi="宋体" w:eastAsia="宋体" w:cs="宋体"/>
          <w:spacing w:val="1"/>
          <w:sz w:val="20"/>
          <w:szCs w:val="20"/>
        </w:rPr>
        <w:t xml:space="preserve">1. </w:t>
      </w:r>
      <w:r>
        <w:rPr>
          <w:spacing w:val="1"/>
          <w:sz w:val="20"/>
          <w:szCs w:val="20"/>
        </w:rPr>
        <w:t>预防策略</w:t>
      </w:r>
      <w:r>
        <w:rPr>
          <w:spacing w:val="-59"/>
          <w:sz w:val="20"/>
          <w:szCs w:val="20"/>
        </w:rPr>
        <w:t xml:space="preserve"> </w:t>
      </w:r>
      <w:r>
        <w:rPr>
          <w:rFonts w:ascii="宋体" w:hAnsi="宋体" w:eastAsia="宋体" w:cs="宋体"/>
          <w:spacing w:val="1"/>
          <w:sz w:val="20"/>
          <w:szCs w:val="20"/>
        </w:rPr>
        <w:t>《“健康中国2030”规划纲要》要求“实施</w:t>
      </w:r>
      <w:r>
        <w:rPr>
          <w:rFonts w:ascii="宋体" w:hAnsi="宋体" w:eastAsia="宋体" w:cs="宋体"/>
          <w:sz w:val="20"/>
          <w:szCs w:val="20"/>
        </w:rPr>
        <w:t xml:space="preserve">慢性病综合防控战略，加强国家慢性病 </w:t>
      </w:r>
      <w:r>
        <w:rPr>
          <w:rFonts w:ascii="宋体" w:hAnsi="宋体" w:eastAsia="宋体" w:cs="宋体"/>
          <w:spacing w:val="-4"/>
          <w:sz w:val="20"/>
          <w:szCs w:val="20"/>
        </w:rPr>
        <w:t>综合防控示范区建设”。示范区建设作为《</w:t>
      </w:r>
      <w:r>
        <w:rPr>
          <w:rFonts w:ascii="宋体" w:hAnsi="宋体" w:eastAsia="宋体" w:cs="宋体"/>
          <w:spacing w:val="-5"/>
          <w:sz w:val="20"/>
          <w:szCs w:val="20"/>
        </w:rPr>
        <w:t>“十四五”国民健康规划》“实施慢性病综合防控战略”的</w:t>
      </w:r>
      <w:r>
        <w:rPr>
          <w:rFonts w:ascii="宋体" w:hAnsi="宋体" w:eastAsia="宋体" w:cs="宋体"/>
          <w:sz w:val="20"/>
          <w:szCs w:val="20"/>
        </w:rPr>
        <w:t xml:space="preserve"> </w:t>
      </w:r>
      <w:r>
        <w:rPr>
          <w:rFonts w:ascii="宋体" w:hAnsi="宋体" w:eastAsia="宋体" w:cs="宋体"/>
          <w:spacing w:val="4"/>
          <w:sz w:val="20"/>
          <w:szCs w:val="20"/>
        </w:rPr>
        <w:t>重要抓手，正在推动心血管疾病防控由高危人群策略向全人群策略的根本性转变。2023年，国家卫</w:t>
      </w:r>
      <w:r>
        <w:rPr>
          <w:rFonts w:ascii="宋体" w:hAnsi="宋体" w:eastAsia="宋体" w:cs="宋体"/>
          <w:spacing w:val="8"/>
          <w:sz w:val="20"/>
          <w:szCs w:val="20"/>
        </w:rPr>
        <w:t xml:space="preserve"> </w:t>
      </w:r>
      <w:r>
        <w:rPr>
          <w:rFonts w:ascii="宋体" w:hAnsi="宋体" w:eastAsia="宋体" w:cs="宋体"/>
          <w:spacing w:val="11"/>
          <w:sz w:val="20"/>
          <w:szCs w:val="20"/>
        </w:rPr>
        <w:t>生健康委等14个部门联合制定了《健康中</w:t>
      </w:r>
      <w:r>
        <w:rPr>
          <w:rFonts w:ascii="宋体" w:hAnsi="宋体" w:eastAsia="宋体" w:cs="宋体"/>
          <w:spacing w:val="10"/>
          <w:sz w:val="20"/>
          <w:szCs w:val="20"/>
        </w:rPr>
        <w:t>国行动—心脑血管疾病防治行动实施方案(2023—2030</w:t>
      </w:r>
      <w:r>
        <w:rPr>
          <w:rFonts w:ascii="宋体" w:hAnsi="宋体" w:eastAsia="宋体" w:cs="宋体"/>
          <w:sz w:val="20"/>
          <w:szCs w:val="20"/>
        </w:rPr>
        <w:t xml:space="preserve"> </w:t>
      </w:r>
      <w:r>
        <w:rPr>
          <w:rFonts w:ascii="宋体" w:hAnsi="宋体" w:eastAsia="宋体" w:cs="宋体"/>
          <w:spacing w:val="4"/>
          <w:sz w:val="20"/>
          <w:szCs w:val="20"/>
        </w:rPr>
        <w:t>年)》,提出到2030年，建立覆盖全国的心脑血管疾病综合防控和早诊早治体系，人民群众心脑血管</w:t>
      </w:r>
      <w:r>
        <w:rPr>
          <w:rFonts w:ascii="宋体" w:hAnsi="宋体" w:eastAsia="宋体" w:cs="宋体"/>
          <w:spacing w:val="6"/>
          <w:sz w:val="20"/>
          <w:szCs w:val="20"/>
        </w:rPr>
        <w:t xml:space="preserve"> </w:t>
      </w:r>
      <w:r>
        <w:rPr>
          <w:rFonts w:ascii="宋体" w:hAnsi="宋体" w:eastAsia="宋体" w:cs="宋体"/>
          <w:spacing w:val="4"/>
          <w:sz w:val="20"/>
          <w:szCs w:val="20"/>
        </w:rPr>
        <w:t>相关健康素养显著提升，心脑血管疾病发病率及危险因素水平上升趋势得到有效控制，心脑血管疾</w:t>
      </w:r>
      <w:r>
        <w:rPr>
          <w:rFonts w:ascii="宋体" w:hAnsi="宋体" w:eastAsia="宋体" w:cs="宋体"/>
          <w:spacing w:val="15"/>
          <w:sz w:val="20"/>
          <w:szCs w:val="20"/>
        </w:rPr>
        <w:t xml:space="preserve"> </w:t>
      </w:r>
      <w:r>
        <w:rPr>
          <w:rFonts w:ascii="宋体" w:hAnsi="宋体" w:eastAsia="宋体" w:cs="宋体"/>
          <w:spacing w:val="3"/>
          <w:sz w:val="20"/>
          <w:szCs w:val="20"/>
        </w:rPr>
        <w:t>病死亡率下降到190.7/10万以下。</w:t>
      </w:r>
    </w:p>
    <w:p w14:paraId="2C34DF9D">
      <w:pPr>
        <w:pStyle w:val="2"/>
        <w:spacing w:before="148" w:line="221" w:lineRule="auto"/>
        <w:ind w:left="1062"/>
        <w:rPr>
          <w:sz w:val="20"/>
          <w:szCs w:val="20"/>
        </w:rPr>
      </w:pPr>
      <w:r>
        <w:rPr>
          <w:rFonts w:ascii="宋体" w:hAnsi="宋体" w:eastAsia="宋体" w:cs="宋体"/>
          <w:b/>
          <w:bCs/>
          <w:spacing w:val="3"/>
          <w:sz w:val="20"/>
          <w:szCs w:val="20"/>
        </w:rPr>
        <w:t>2.</w:t>
      </w:r>
      <w:r>
        <w:rPr>
          <w:rFonts w:ascii="宋体" w:hAnsi="宋体" w:eastAsia="宋体" w:cs="宋体"/>
          <w:spacing w:val="-8"/>
          <w:sz w:val="20"/>
          <w:szCs w:val="20"/>
        </w:rPr>
        <w:t xml:space="preserve"> </w:t>
      </w:r>
      <w:r>
        <w:rPr>
          <w:b/>
          <w:bCs/>
          <w:spacing w:val="3"/>
          <w:sz w:val="20"/>
          <w:szCs w:val="20"/>
        </w:rPr>
        <w:t>预防措施</w:t>
      </w:r>
    </w:p>
    <w:p w14:paraId="2E918C2B">
      <w:pPr>
        <w:spacing w:before="105" w:line="351" w:lineRule="auto"/>
        <w:ind w:left="649" w:right="200" w:firstLine="409"/>
        <w:rPr>
          <w:rFonts w:ascii="宋体" w:hAnsi="宋体" w:eastAsia="宋体" w:cs="宋体"/>
          <w:sz w:val="20"/>
          <w:szCs w:val="20"/>
        </w:rPr>
      </w:pPr>
      <w:r>
        <w:rPr>
          <w:rFonts w:ascii="宋体" w:hAnsi="宋体" w:eastAsia="宋体" w:cs="宋体"/>
          <w:spacing w:val="2"/>
          <w:sz w:val="20"/>
          <w:szCs w:val="20"/>
        </w:rPr>
        <w:t>(1)第一级预防：第一级预防是指在心血管事件发生之前，通过控制吸烟、高血压、血脂异常和</w:t>
      </w:r>
      <w:r>
        <w:rPr>
          <w:rFonts w:ascii="宋体" w:hAnsi="宋体" w:eastAsia="宋体" w:cs="宋体"/>
          <w:sz w:val="20"/>
          <w:szCs w:val="20"/>
        </w:rPr>
        <w:t xml:space="preserve"> </w:t>
      </w:r>
      <w:r>
        <w:rPr>
          <w:rFonts w:ascii="宋体" w:hAnsi="宋体" w:eastAsia="宋体" w:cs="宋体"/>
          <w:spacing w:val="3"/>
          <w:sz w:val="20"/>
          <w:szCs w:val="20"/>
        </w:rPr>
        <w:t>糖尿病等心血管疾病的主要危险因素，降低心血管临床事件发生风险的预防措施。</w:t>
      </w:r>
    </w:p>
    <w:p w14:paraId="2DE58BED">
      <w:pPr>
        <w:spacing w:before="2" w:line="324" w:lineRule="auto"/>
        <w:ind w:left="649" w:right="116" w:firstLine="409"/>
        <w:rPr>
          <w:rFonts w:ascii="宋体" w:hAnsi="宋体" w:eastAsia="宋体" w:cs="宋体"/>
          <w:sz w:val="20"/>
          <w:szCs w:val="20"/>
        </w:rPr>
      </w:pPr>
      <w:r>
        <w:rPr>
          <w:rFonts w:ascii="宋体" w:hAnsi="宋体" w:eastAsia="宋体" w:cs="宋体"/>
          <w:spacing w:val="7"/>
          <w:sz w:val="20"/>
          <w:szCs w:val="20"/>
        </w:rPr>
        <w:t>(2)第二级预防：第二级预防包括在心血管疾病高危人群</w:t>
      </w:r>
      <w:r>
        <w:rPr>
          <w:rFonts w:ascii="宋体" w:hAnsi="宋体" w:eastAsia="宋体" w:cs="宋体"/>
          <w:spacing w:val="6"/>
          <w:sz w:val="20"/>
          <w:szCs w:val="20"/>
        </w:rPr>
        <w:t>中开展早期筛查和及早诊断，在患者</w:t>
      </w:r>
      <w:r>
        <w:rPr>
          <w:rFonts w:ascii="宋体" w:hAnsi="宋体" w:eastAsia="宋体" w:cs="宋体"/>
          <w:sz w:val="20"/>
          <w:szCs w:val="20"/>
        </w:rPr>
        <w:t xml:space="preserve">  </w:t>
      </w:r>
      <w:r>
        <w:rPr>
          <w:rFonts w:ascii="宋体" w:hAnsi="宋体" w:eastAsia="宋体" w:cs="宋体"/>
          <w:spacing w:val="6"/>
          <w:sz w:val="20"/>
          <w:szCs w:val="20"/>
        </w:rPr>
        <w:t>被诊断为心血管疾病后，预防疾病进一步损害和进展的治疗。这些治疗方式包括生活方式管理(健</w:t>
      </w:r>
      <w:r>
        <w:rPr>
          <w:rFonts w:ascii="宋体" w:hAnsi="宋体" w:eastAsia="宋体" w:cs="宋体"/>
          <w:spacing w:val="4"/>
          <w:sz w:val="20"/>
          <w:szCs w:val="20"/>
        </w:rPr>
        <w:t xml:space="preserve">  </w:t>
      </w:r>
      <w:r>
        <w:rPr>
          <w:rFonts w:ascii="宋体" w:hAnsi="宋体" w:eastAsia="宋体" w:cs="宋体"/>
          <w:spacing w:val="-3"/>
          <w:sz w:val="20"/>
          <w:szCs w:val="20"/>
        </w:rPr>
        <w:t>康饮食、戒烟限酒、适量运动、减少压力等),血压、血糖、血脂控制，以及药物治疗。根据医师建议，</w:t>
      </w:r>
      <w:r>
        <w:rPr>
          <w:rFonts w:ascii="宋体" w:hAnsi="宋体" w:eastAsia="宋体" w:cs="宋体"/>
          <w:spacing w:val="17"/>
          <w:sz w:val="20"/>
          <w:szCs w:val="20"/>
        </w:rPr>
        <w:t xml:space="preserve"> </w:t>
      </w:r>
      <w:r>
        <w:rPr>
          <w:rFonts w:ascii="宋体" w:hAnsi="宋体" w:eastAsia="宋体" w:cs="宋体"/>
          <w:sz w:val="20"/>
          <w:szCs w:val="20"/>
        </w:rPr>
        <w:t>使用抗血栓药(如低剂量阿司匹林)、血管紧张素转换酶抑制剂、β受体</w:t>
      </w:r>
      <w:r>
        <w:rPr>
          <w:rFonts w:ascii="宋体" w:hAnsi="宋体" w:eastAsia="宋体" w:cs="宋体"/>
          <w:spacing w:val="-1"/>
          <w:sz w:val="20"/>
          <w:szCs w:val="20"/>
        </w:rPr>
        <w:t>拮抗剂、他汀类药物等。</w:t>
      </w:r>
    </w:p>
    <w:p w14:paraId="565DE2E3">
      <w:pPr>
        <w:spacing w:before="134" w:line="219" w:lineRule="auto"/>
        <w:ind w:left="1059"/>
        <w:rPr>
          <w:rFonts w:ascii="宋体" w:hAnsi="宋体" w:eastAsia="宋体" w:cs="宋体"/>
          <w:sz w:val="20"/>
          <w:szCs w:val="20"/>
        </w:rPr>
      </w:pPr>
      <w:r>
        <w:rPr>
          <w:rFonts w:ascii="宋体" w:hAnsi="宋体" w:eastAsia="宋体" w:cs="宋体"/>
          <w:spacing w:val="7"/>
          <w:sz w:val="20"/>
          <w:szCs w:val="20"/>
        </w:rPr>
        <w:t>(3)第三级预防：第三级预防旨在通过治疗来缓解症状，预防疾病的进一</w:t>
      </w:r>
      <w:r>
        <w:rPr>
          <w:rFonts w:ascii="宋体" w:hAnsi="宋体" w:eastAsia="宋体" w:cs="宋体"/>
          <w:spacing w:val="6"/>
          <w:sz w:val="20"/>
          <w:szCs w:val="20"/>
        </w:rPr>
        <w:t>步恶化以及合并症和</w:t>
      </w:r>
    </w:p>
    <w:p w14:paraId="104F15E0">
      <w:pPr>
        <w:spacing w:line="219" w:lineRule="auto"/>
        <w:rPr>
          <w:rFonts w:ascii="宋体" w:hAnsi="宋体" w:eastAsia="宋体" w:cs="宋体"/>
          <w:sz w:val="20"/>
          <w:szCs w:val="20"/>
        </w:rPr>
        <w:sectPr>
          <w:footerReference r:id="rId239" w:type="default"/>
          <w:pgSz w:w="11900" w:h="16820"/>
          <w:pgMar w:top="276" w:right="1403" w:bottom="859" w:left="850" w:header="0" w:footer="679" w:gutter="0"/>
          <w:cols w:space="720" w:num="1"/>
        </w:sectPr>
      </w:pPr>
    </w:p>
    <w:p w14:paraId="1D43A71A">
      <w:pPr>
        <w:pStyle w:val="2"/>
        <w:spacing w:before="86" w:line="221" w:lineRule="auto"/>
        <w:ind w:left="7009"/>
        <w:rPr>
          <w:sz w:val="21"/>
          <w:szCs w:val="21"/>
        </w:rPr>
      </w:pPr>
      <w:r>
        <w:rPr>
          <w:spacing w:val="-22"/>
          <w:w w:val="96"/>
          <w:sz w:val="21"/>
          <w:szCs w:val="21"/>
        </w:rPr>
        <w:t>第十四章 慢性病流行病学</w:t>
      </w:r>
    </w:p>
    <w:p w14:paraId="19F86B82">
      <w:pPr>
        <w:spacing w:line="289" w:lineRule="auto"/>
        <w:rPr>
          <w:rFonts w:ascii="Arial"/>
          <w:sz w:val="21"/>
        </w:rPr>
      </w:pPr>
    </w:p>
    <w:p w14:paraId="4B890A5C">
      <w:pPr>
        <w:spacing w:line="289" w:lineRule="auto"/>
        <w:rPr>
          <w:rFonts w:ascii="Arial"/>
          <w:sz w:val="21"/>
        </w:rPr>
      </w:pPr>
    </w:p>
    <w:p w14:paraId="29B9905F">
      <w:pPr>
        <w:spacing w:before="69" w:line="219" w:lineRule="auto"/>
        <w:rPr>
          <w:rFonts w:ascii="宋体" w:hAnsi="宋体" w:eastAsia="宋体" w:cs="宋体"/>
          <w:sz w:val="21"/>
          <w:szCs w:val="21"/>
        </w:rPr>
      </w:pPr>
      <w:r>
        <w:rPr>
          <w:rFonts w:ascii="宋体" w:hAnsi="宋体" w:eastAsia="宋体" w:cs="宋体"/>
          <w:spacing w:val="-1"/>
          <w:sz w:val="21"/>
          <w:szCs w:val="21"/>
        </w:rPr>
        <w:t>残疾的发生，对于已发生的合并症进行康复治疗</w:t>
      </w:r>
      <w:r>
        <w:rPr>
          <w:rFonts w:ascii="宋体" w:hAnsi="宋体" w:eastAsia="宋体" w:cs="宋体"/>
          <w:spacing w:val="-2"/>
          <w:sz w:val="21"/>
          <w:szCs w:val="21"/>
        </w:rPr>
        <w:t>，减轻心血管疾病对功能状态和生活质量的影响。</w:t>
      </w:r>
    </w:p>
    <w:p w14:paraId="28D1AAEA">
      <w:pPr>
        <w:spacing w:line="244" w:lineRule="auto"/>
        <w:rPr>
          <w:rFonts w:ascii="Arial"/>
          <w:sz w:val="21"/>
        </w:rPr>
      </w:pPr>
    </w:p>
    <w:p w14:paraId="1781C912">
      <w:pPr>
        <w:pStyle w:val="2"/>
        <w:spacing w:before="81" w:line="222" w:lineRule="auto"/>
        <w:ind w:left="423"/>
        <w:outlineLvl w:val="4"/>
        <w:rPr>
          <w:sz w:val="25"/>
          <w:szCs w:val="25"/>
        </w:rPr>
      </w:pPr>
      <w:bookmarkStart w:id="376" w:name="bookmark240"/>
      <w:bookmarkEnd w:id="376"/>
      <w:r>
        <w:rPr>
          <w:b/>
          <w:bCs/>
          <w:spacing w:val="-4"/>
          <w:sz w:val="25"/>
          <w:szCs w:val="25"/>
        </w:rPr>
        <w:t>二</w:t>
      </w:r>
      <w:r>
        <w:rPr>
          <w:spacing w:val="-55"/>
          <w:sz w:val="25"/>
          <w:szCs w:val="25"/>
        </w:rPr>
        <w:t xml:space="preserve"> </w:t>
      </w:r>
      <w:r>
        <w:rPr>
          <w:b/>
          <w:bCs/>
          <w:spacing w:val="-4"/>
          <w:sz w:val="25"/>
          <w:szCs w:val="25"/>
        </w:rPr>
        <w:t>、恶性肿瘤</w:t>
      </w:r>
    </w:p>
    <w:p w14:paraId="4FB1E330">
      <w:pPr>
        <w:pStyle w:val="2"/>
        <w:spacing w:before="288" w:line="221" w:lineRule="auto"/>
        <w:ind w:left="422"/>
        <w:rPr>
          <w:sz w:val="21"/>
          <w:szCs w:val="21"/>
        </w:rPr>
      </w:pPr>
      <w:r>
        <w:rPr>
          <w:b/>
          <w:bCs/>
          <w:spacing w:val="14"/>
          <w:sz w:val="21"/>
          <w:szCs w:val="21"/>
        </w:rPr>
        <w:t>(</w:t>
      </w:r>
      <w:r>
        <w:rPr>
          <w:spacing w:val="-47"/>
          <w:sz w:val="21"/>
          <w:szCs w:val="21"/>
        </w:rPr>
        <w:t xml:space="preserve"> </w:t>
      </w:r>
      <w:r>
        <w:rPr>
          <w:b/>
          <w:bCs/>
          <w:spacing w:val="14"/>
          <w:sz w:val="21"/>
          <w:szCs w:val="21"/>
        </w:rPr>
        <w:t>一</w:t>
      </w:r>
      <w:r>
        <w:rPr>
          <w:spacing w:val="-60"/>
          <w:sz w:val="21"/>
          <w:szCs w:val="21"/>
        </w:rPr>
        <w:t xml:space="preserve"> </w:t>
      </w:r>
      <w:r>
        <w:rPr>
          <w:b/>
          <w:bCs/>
          <w:spacing w:val="14"/>
          <w:sz w:val="21"/>
          <w:szCs w:val="21"/>
        </w:rPr>
        <w:t>)诊断与分型</w:t>
      </w:r>
    </w:p>
    <w:p w14:paraId="7597EE1D">
      <w:pPr>
        <w:spacing w:before="71" w:line="325" w:lineRule="auto"/>
        <w:ind w:right="654" w:firstLine="419"/>
        <w:jc w:val="both"/>
        <w:rPr>
          <w:rFonts w:ascii="宋体" w:hAnsi="宋体" w:eastAsia="宋体" w:cs="宋体"/>
          <w:sz w:val="21"/>
          <w:szCs w:val="21"/>
        </w:rPr>
      </w:pPr>
      <w:r>
        <w:rPr>
          <w:rFonts w:ascii="宋体" w:hAnsi="宋体" w:eastAsia="宋体" w:cs="宋体"/>
          <w:sz w:val="21"/>
          <w:szCs w:val="21"/>
        </w:rPr>
        <w:t>恶性肿瘤</w:t>
      </w:r>
      <w:r>
        <w:rPr>
          <w:rFonts w:ascii="Times New Roman" w:hAnsi="Times New Roman" w:eastAsia="Times New Roman" w:cs="Times New Roman"/>
          <w:sz w:val="21"/>
          <w:szCs w:val="21"/>
        </w:rPr>
        <w:t>(malignant   tumor)</w:t>
      </w:r>
      <w:r>
        <w:rPr>
          <w:rFonts w:ascii="宋体" w:hAnsi="宋体" w:eastAsia="宋体" w:cs="宋体"/>
          <w:sz w:val="21"/>
          <w:szCs w:val="21"/>
        </w:rPr>
        <w:t>又称癌症</w:t>
      </w:r>
      <w:r>
        <w:rPr>
          <w:rFonts w:ascii="Times New Roman" w:hAnsi="Times New Roman" w:eastAsia="Times New Roman" w:cs="Times New Roman"/>
          <w:sz w:val="21"/>
          <w:szCs w:val="21"/>
        </w:rPr>
        <w:t xml:space="preserve">(cancer),   </w:t>
      </w:r>
      <w:r>
        <w:rPr>
          <w:rFonts w:ascii="宋体" w:hAnsi="宋体" w:eastAsia="宋体" w:cs="宋体"/>
          <w:sz w:val="21"/>
          <w:szCs w:val="21"/>
        </w:rPr>
        <w:t>其特征为细胞变异与增殖失</w:t>
      </w:r>
      <w:r>
        <w:rPr>
          <w:rFonts w:ascii="宋体" w:hAnsi="宋体" w:eastAsia="宋体" w:cs="宋体"/>
          <w:spacing w:val="-1"/>
          <w:sz w:val="21"/>
          <w:szCs w:val="21"/>
        </w:rPr>
        <w:t>控，形成新生物，并</w:t>
      </w:r>
      <w:r>
        <w:rPr>
          <w:rFonts w:ascii="宋体" w:hAnsi="宋体" w:eastAsia="宋体" w:cs="宋体"/>
          <w:sz w:val="21"/>
          <w:szCs w:val="21"/>
        </w:rPr>
        <w:t xml:space="preserve"> 通过直接蔓延、淋巴转移、血行转移和种植等方式转移，最终侵袭其他脏器。一般根据恶性肿瘤的</w:t>
      </w:r>
      <w:r>
        <w:rPr>
          <w:rFonts w:ascii="宋体" w:hAnsi="宋体" w:eastAsia="宋体" w:cs="宋体"/>
          <w:spacing w:val="15"/>
          <w:sz w:val="21"/>
          <w:szCs w:val="21"/>
        </w:rPr>
        <w:t xml:space="preserve"> </w:t>
      </w:r>
      <w:r>
        <w:rPr>
          <w:rFonts w:ascii="宋体" w:hAnsi="宋体" w:eastAsia="宋体" w:cs="宋体"/>
          <w:sz w:val="21"/>
          <w:szCs w:val="21"/>
        </w:rPr>
        <w:t>组织类型、细胞类型和生物学行为来命名，其中上皮组织的恶性肿瘤称</w:t>
      </w:r>
      <w:r>
        <w:rPr>
          <w:rFonts w:ascii="宋体" w:hAnsi="宋体" w:eastAsia="宋体" w:cs="宋体"/>
          <w:spacing w:val="-1"/>
          <w:sz w:val="21"/>
          <w:szCs w:val="21"/>
        </w:rPr>
        <w:t>为癌，间叶组织的恶性肿瘤</w:t>
      </w:r>
      <w:r>
        <w:rPr>
          <w:rFonts w:ascii="宋体" w:hAnsi="宋体" w:eastAsia="宋体" w:cs="宋体"/>
          <w:sz w:val="21"/>
          <w:szCs w:val="21"/>
        </w:rPr>
        <w:t xml:space="preserve"> 称为肉瘤。根据分化程度、核分裂象等指标，可将恶性肿瘤分为不同级别(grade),级别越高提示恶</w:t>
      </w:r>
      <w:r>
        <w:rPr>
          <w:rFonts w:ascii="宋体" w:hAnsi="宋体" w:eastAsia="宋体" w:cs="宋体"/>
          <w:spacing w:val="9"/>
          <w:sz w:val="21"/>
          <w:szCs w:val="21"/>
        </w:rPr>
        <w:t xml:space="preserve"> </w:t>
      </w:r>
      <w:r>
        <w:rPr>
          <w:rFonts w:ascii="宋体" w:hAnsi="宋体" w:eastAsia="宋体" w:cs="宋体"/>
          <w:spacing w:val="1"/>
          <w:sz w:val="21"/>
          <w:szCs w:val="21"/>
        </w:rPr>
        <w:t>性程度越高。临床采用</w:t>
      </w:r>
      <w:r>
        <w:rPr>
          <w:rFonts w:ascii="宋体" w:hAnsi="宋体" w:eastAsia="宋体" w:cs="宋体"/>
          <w:sz w:val="21"/>
          <w:szCs w:val="21"/>
        </w:rPr>
        <w:t>TNM</w:t>
      </w:r>
      <w:r>
        <w:rPr>
          <w:rFonts w:ascii="宋体" w:hAnsi="宋体" w:eastAsia="宋体" w:cs="宋体"/>
          <w:spacing w:val="70"/>
          <w:sz w:val="21"/>
          <w:szCs w:val="21"/>
        </w:rPr>
        <w:t xml:space="preserve"> </w:t>
      </w:r>
      <w:r>
        <w:rPr>
          <w:rFonts w:ascii="宋体" w:hAnsi="宋体" w:eastAsia="宋体" w:cs="宋体"/>
          <w:spacing w:val="1"/>
          <w:sz w:val="21"/>
          <w:szCs w:val="21"/>
        </w:rPr>
        <w:t>分期系统来评估肿瘤进展程度，综合考虑原发肿瘤大小(T)、淋巴结转</w:t>
      </w:r>
      <w:r>
        <w:rPr>
          <w:rFonts w:ascii="宋体" w:hAnsi="宋体" w:eastAsia="宋体" w:cs="宋体"/>
          <w:sz w:val="21"/>
          <w:szCs w:val="21"/>
        </w:rPr>
        <w:t xml:space="preserve"> 移</w:t>
      </w:r>
      <w:r>
        <w:rPr>
          <w:rFonts w:ascii="Times New Roman" w:hAnsi="Times New Roman" w:eastAsia="Times New Roman" w:cs="Times New Roman"/>
          <w:sz w:val="21"/>
          <w:szCs w:val="21"/>
        </w:rPr>
        <w:t>(N)</w:t>
      </w:r>
      <w:r>
        <w:rPr>
          <w:rFonts w:ascii="Times New Roman" w:hAnsi="Times New Roman" w:eastAsia="Times New Roman" w:cs="Times New Roman"/>
          <w:spacing w:val="59"/>
          <w:sz w:val="21"/>
          <w:szCs w:val="21"/>
        </w:rPr>
        <w:t xml:space="preserve"> </w:t>
      </w:r>
      <w:r>
        <w:rPr>
          <w:rFonts w:ascii="宋体" w:hAnsi="宋体" w:eastAsia="宋体" w:cs="宋体"/>
          <w:sz w:val="21"/>
          <w:szCs w:val="21"/>
        </w:rPr>
        <w:t>及远处转移</w:t>
      </w:r>
      <w:r>
        <w:rPr>
          <w:rFonts w:ascii="Times New Roman" w:hAnsi="Times New Roman" w:eastAsia="Times New Roman" w:cs="Times New Roman"/>
          <w:sz w:val="21"/>
          <w:szCs w:val="21"/>
        </w:rPr>
        <w:t>(M)</w:t>
      </w:r>
      <w:r>
        <w:rPr>
          <w:rFonts w:ascii="Times New Roman" w:hAnsi="Times New Roman" w:eastAsia="Times New Roman" w:cs="Times New Roman"/>
          <w:spacing w:val="39"/>
          <w:w w:val="101"/>
          <w:sz w:val="21"/>
          <w:szCs w:val="21"/>
        </w:rPr>
        <w:t xml:space="preserve"> </w:t>
      </w:r>
      <w:r>
        <w:rPr>
          <w:rFonts w:ascii="宋体" w:hAnsi="宋体" w:eastAsia="宋体" w:cs="宋体"/>
          <w:sz w:val="21"/>
          <w:szCs w:val="21"/>
        </w:rPr>
        <w:t>情况。通常肿瘤分期越晚，预后越差。</w:t>
      </w:r>
    </w:p>
    <w:p w14:paraId="7DAF677C">
      <w:pPr>
        <w:spacing w:before="31" w:line="326" w:lineRule="auto"/>
        <w:ind w:right="653" w:firstLine="419"/>
        <w:jc w:val="both"/>
        <w:rPr>
          <w:rFonts w:ascii="宋体" w:hAnsi="宋体" w:eastAsia="宋体" w:cs="宋体"/>
          <w:sz w:val="21"/>
          <w:szCs w:val="21"/>
        </w:rPr>
      </w:pPr>
      <w:r>
        <w:rPr>
          <w:rFonts w:ascii="宋体" w:hAnsi="宋体" w:eastAsia="宋体" w:cs="宋体"/>
          <w:sz w:val="21"/>
          <w:szCs w:val="21"/>
        </w:rPr>
        <w:t>肿瘤的诊断依据包括肿瘤标志物、病理学、影像学、内镜等检查。肿瘤标</w:t>
      </w:r>
      <w:r>
        <w:rPr>
          <w:rFonts w:ascii="宋体" w:hAnsi="宋体" w:eastAsia="宋体" w:cs="宋体"/>
          <w:spacing w:val="-1"/>
          <w:sz w:val="21"/>
          <w:szCs w:val="21"/>
        </w:rPr>
        <w:t>志物是指伴随肿瘤出</w:t>
      </w:r>
      <w:r>
        <w:rPr>
          <w:rFonts w:ascii="宋体" w:hAnsi="宋体" w:eastAsia="宋体" w:cs="宋体"/>
          <w:sz w:val="21"/>
          <w:szCs w:val="21"/>
        </w:rPr>
        <w:t xml:space="preserve"> </w:t>
      </w:r>
      <w:r>
        <w:rPr>
          <w:rFonts w:ascii="宋体" w:hAnsi="宋体" w:eastAsia="宋体" w:cs="宋体"/>
          <w:spacing w:val="-4"/>
          <w:sz w:val="21"/>
          <w:szCs w:val="21"/>
        </w:rPr>
        <w:t>现，含量通常增加的糖类抗原、激素、受体、酶或代谢产</w:t>
      </w:r>
      <w:r>
        <w:rPr>
          <w:rFonts w:ascii="宋体" w:hAnsi="宋体" w:eastAsia="宋体" w:cs="宋体"/>
          <w:spacing w:val="-5"/>
          <w:sz w:val="21"/>
          <w:szCs w:val="21"/>
        </w:rPr>
        <w:t>物形式的蛋白质、癌基因和抑癌基因及其相</w:t>
      </w:r>
      <w:r>
        <w:rPr>
          <w:rFonts w:ascii="宋体" w:hAnsi="宋体" w:eastAsia="宋体" w:cs="宋体"/>
          <w:sz w:val="21"/>
          <w:szCs w:val="21"/>
        </w:rPr>
        <w:t xml:space="preserve"> </w:t>
      </w:r>
      <w:r>
        <w:rPr>
          <w:rFonts w:ascii="宋体" w:hAnsi="宋体" w:eastAsia="宋体" w:cs="宋体"/>
          <w:spacing w:val="-2"/>
          <w:sz w:val="21"/>
          <w:szCs w:val="21"/>
        </w:rPr>
        <w:t>关产物等成分。病理学诊断至今仍然被公认为肿瘤诊断的“金标准”,是结合组织形</w:t>
      </w:r>
      <w:r>
        <w:rPr>
          <w:rFonts w:ascii="宋体" w:hAnsi="宋体" w:eastAsia="宋体" w:cs="宋体"/>
          <w:spacing w:val="-3"/>
          <w:sz w:val="21"/>
          <w:szCs w:val="21"/>
        </w:rPr>
        <w:t>态学、免疫组织</w:t>
      </w:r>
      <w:r>
        <w:rPr>
          <w:rFonts w:ascii="宋体" w:hAnsi="宋体" w:eastAsia="宋体" w:cs="宋体"/>
          <w:sz w:val="21"/>
          <w:szCs w:val="21"/>
        </w:rPr>
        <w:t xml:space="preserve"> </w:t>
      </w:r>
      <w:r>
        <w:rPr>
          <w:rFonts w:ascii="宋体" w:hAnsi="宋体" w:eastAsia="宋体" w:cs="宋体"/>
          <w:spacing w:val="1"/>
          <w:sz w:val="21"/>
          <w:szCs w:val="21"/>
        </w:rPr>
        <w:t>化学、细胞遗传学和分子生物学等作出的综合诊断。影像学检查主要包括传统的</w:t>
      </w:r>
      <w:r>
        <w:rPr>
          <w:rFonts w:ascii="Times New Roman" w:hAnsi="Times New Roman" w:eastAsia="Times New Roman" w:cs="Times New Roman"/>
          <w:sz w:val="21"/>
          <w:szCs w:val="21"/>
        </w:rPr>
        <w:t>X</w:t>
      </w:r>
      <w:r>
        <w:rPr>
          <w:rFonts w:ascii="Times New Roman" w:hAnsi="Times New Roman" w:eastAsia="Times New Roman" w:cs="Times New Roman"/>
          <w:spacing w:val="-12"/>
          <w:sz w:val="21"/>
          <w:szCs w:val="21"/>
        </w:rPr>
        <w:t xml:space="preserve"> </w:t>
      </w:r>
      <w:r>
        <w:rPr>
          <w:rFonts w:ascii="宋体" w:hAnsi="宋体" w:eastAsia="宋体" w:cs="宋体"/>
          <w:sz w:val="21"/>
          <w:szCs w:val="21"/>
        </w:rPr>
        <w:t>线胸片、乳腺</w:t>
      </w:r>
      <w:r>
        <w:rPr>
          <w:rFonts w:ascii="Times New Roman" w:hAnsi="Times New Roman" w:eastAsia="Times New Roman" w:cs="Times New Roman"/>
          <w:sz w:val="21"/>
          <w:szCs w:val="21"/>
        </w:rPr>
        <w:t xml:space="preserve">X  </w:t>
      </w:r>
      <w:r>
        <w:rPr>
          <w:rFonts w:ascii="宋体" w:hAnsi="宋体" w:eastAsia="宋体" w:cs="宋体"/>
          <w:spacing w:val="-2"/>
          <w:sz w:val="21"/>
          <w:szCs w:val="21"/>
        </w:rPr>
        <w:t>线摄影、消化道造影，以及</w:t>
      </w:r>
      <w:r>
        <w:rPr>
          <w:rFonts w:ascii="Times New Roman" w:hAnsi="Times New Roman" w:eastAsia="Times New Roman" w:cs="Times New Roman"/>
          <w:spacing w:val="-2"/>
          <w:sz w:val="21"/>
          <w:szCs w:val="21"/>
        </w:rPr>
        <w:t xml:space="preserve">CT </w:t>
      </w:r>
      <w:r>
        <w:rPr>
          <w:rFonts w:ascii="宋体" w:hAnsi="宋体" w:eastAsia="宋体" w:cs="宋体"/>
          <w:spacing w:val="-2"/>
          <w:sz w:val="21"/>
          <w:szCs w:val="21"/>
        </w:rPr>
        <w:t>扫描、磁共振成像、超声等。由于成</w:t>
      </w:r>
      <w:r>
        <w:rPr>
          <w:rFonts w:ascii="宋体" w:hAnsi="宋体" w:eastAsia="宋体" w:cs="宋体"/>
          <w:spacing w:val="-3"/>
          <w:sz w:val="21"/>
          <w:szCs w:val="21"/>
        </w:rPr>
        <w:t>像原理不同，每种影像学检查方</w:t>
      </w:r>
      <w:r>
        <w:rPr>
          <w:rFonts w:ascii="宋体" w:hAnsi="宋体" w:eastAsia="宋体" w:cs="宋体"/>
          <w:sz w:val="21"/>
          <w:szCs w:val="21"/>
        </w:rPr>
        <w:t xml:space="preserve"> 法所反映的病灶特点也各有侧重。内镜检查具有直观、利于发现早期病变</w:t>
      </w:r>
      <w:r>
        <w:rPr>
          <w:rFonts w:ascii="宋体" w:hAnsi="宋体" w:eastAsia="宋体" w:cs="宋体"/>
          <w:spacing w:val="-1"/>
          <w:sz w:val="21"/>
          <w:szCs w:val="21"/>
        </w:rPr>
        <w:t>、利于评价肿瘤分期和进</w:t>
      </w:r>
      <w:r>
        <w:rPr>
          <w:rFonts w:ascii="宋体" w:hAnsi="宋体" w:eastAsia="宋体" w:cs="宋体"/>
          <w:sz w:val="21"/>
          <w:szCs w:val="21"/>
        </w:rPr>
        <w:t xml:space="preserve"> </w:t>
      </w:r>
      <w:r>
        <w:rPr>
          <w:rFonts w:ascii="宋体" w:hAnsi="宋体" w:eastAsia="宋体" w:cs="宋体"/>
          <w:spacing w:val="-4"/>
          <w:sz w:val="21"/>
          <w:szCs w:val="21"/>
        </w:rPr>
        <w:t>行微创治疗的特点，广泛应用于消化道、泌尿</w:t>
      </w:r>
      <w:r>
        <w:rPr>
          <w:rFonts w:ascii="宋体" w:hAnsi="宋体" w:eastAsia="宋体" w:cs="宋体"/>
          <w:spacing w:val="-5"/>
          <w:sz w:val="21"/>
          <w:szCs w:val="21"/>
        </w:rPr>
        <w:t>道、气管、支气管、胸腹腔、关节腔和宫腔等腔道肿瘤</w:t>
      </w:r>
      <w:r>
        <w:rPr>
          <w:rFonts w:ascii="宋体" w:hAnsi="宋体" w:eastAsia="宋体" w:cs="宋体"/>
          <w:sz w:val="21"/>
          <w:szCs w:val="21"/>
        </w:rPr>
        <w:t xml:space="preserve"> </w:t>
      </w:r>
      <w:r>
        <w:rPr>
          <w:rFonts w:ascii="宋体" w:hAnsi="宋体" w:eastAsia="宋体" w:cs="宋体"/>
          <w:spacing w:val="5"/>
          <w:sz w:val="21"/>
          <w:szCs w:val="21"/>
        </w:rPr>
        <w:t>性病变的诊断和治疗。</w:t>
      </w:r>
    </w:p>
    <w:p w14:paraId="027785F9">
      <w:pPr>
        <w:pStyle w:val="2"/>
        <w:spacing w:before="2" w:line="221" w:lineRule="auto"/>
        <w:ind w:left="423"/>
        <w:rPr>
          <w:sz w:val="25"/>
          <w:szCs w:val="25"/>
        </w:rPr>
      </w:pPr>
      <w:r>
        <w:rPr>
          <w:b/>
          <w:bCs/>
          <w:spacing w:val="-4"/>
          <w:sz w:val="25"/>
          <w:szCs w:val="25"/>
        </w:rPr>
        <w:t>(二)流行特征</w:t>
      </w:r>
    </w:p>
    <w:p w14:paraId="13AD0EB0">
      <w:pPr>
        <w:pStyle w:val="2"/>
        <w:spacing w:before="113" w:line="322" w:lineRule="auto"/>
        <w:ind w:right="604" w:firstLine="419"/>
        <w:jc w:val="both"/>
        <w:rPr>
          <w:rFonts w:ascii="宋体" w:hAnsi="宋体" w:eastAsia="宋体" w:cs="宋体"/>
          <w:sz w:val="21"/>
          <w:szCs w:val="21"/>
        </w:rPr>
      </w:pPr>
      <w:r>
        <w:rPr>
          <w:rFonts w:ascii="宋体" w:hAnsi="宋体" w:eastAsia="宋体" w:cs="宋体"/>
          <w:spacing w:val="3"/>
          <w:sz w:val="21"/>
          <w:szCs w:val="21"/>
        </w:rPr>
        <w:t xml:space="preserve">1. </w:t>
      </w:r>
      <w:r>
        <w:rPr>
          <w:spacing w:val="3"/>
          <w:sz w:val="21"/>
          <w:szCs w:val="21"/>
        </w:rPr>
        <w:t>流行概况</w:t>
      </w:r>
      <w:r>
        <w:rPr>
          <w:sz w:val="21"/>
          <w:szCs w:val="21"/>
        </w:rPr>
        <w:t xml:space="preserve">  </w:t>
      </w:r>
      <w:r>
        <w:rPr>
          <w:rFonts w:ascii="宋体" w:hAnsi="宋体" w:eastAsia="宋体" w:cs="宋体"/>
          <w:spacing w:val="3"/>
          <w:sz w:val="21"/>
          <w:szCs w:val="21"/>
        </w:rPr>
        <w:t>随着人口结构的变化以及生活方式和生活环境的改变，全球常见恶性肿</w:t>
      </w:r>
      <w:r>
        <w:rPr>
          <w:rFonts w:ascii="宋体" w:hAnsi="宋体" w:eastAsia="宋体" w:cs="宋体"/>
          <w:spacing w:val="2"/>
          <w:sz w:val="21"/>
          <w:szCs w:val="21"/>
        </w:rPr>
        <w:t>瘤的总</w:t>
      </w:r>
      <w:r>
        <w:rPr>
          <w:rFonts w:ascii="宋体" w:hAnsi="宋体" w:eastAsia="宋体" w:cs="宋体"/>
          <w:spacing w:val="1"/>
          <w:sz w:val="21"/>
          <w:szCs w:val="21"/>
        </w:rPr>
        <w:t xml:space="preserve"> </w:t>
      </w:r>
      <w:r>
        <w:rPr>
          <w:rFonts w:ascii="宋体" w:hAnsi="宋体" w:eastAsia="宋体" w:cs="宋体"/>
          <w:spacing w:val="5"/>
          <w:sz w:val="21"/>
          <w:szCs w:val="21"/>
        </w:rPr>
        <w:t>体发病率和死亡率呈上升趋势。根据国际癌症研究署的全球癌症监测数据，2022年全球癌</w:t>
      </w:r>
      <w:r>
        <w:rPr>
          <w:rFonts w:ascii="宋体" w:hAnsi="宋体" w:eastAsia="宋体" w:cs="宋体"/>
          <w:spacing w:val="4"/>
          <w:sz w:val="21"/>
          <w:szCs w:val="21"/>
        </w:rPr>
        <w:t>症总新</w:t>
      </w:r>
      <w:r>
        <w:rPr>
          <w:rFonts w:ascii="宋体" w:hAnsi="宋体" w:eastAsia="宋体" w:cs="宋体"/>
          <w:sz w:val="21"/>
          <w:szCs w:val="21"/>
        </w:rPr>
        <w:t xml:space="preserve"> </w:t>
      </w:r>
      <w:r>
        <w:rPr>
          <w:rFonts w:ascii="宋体" w:hAnsi="宋体" w:eastAsia="宋体" w:cs="宋体"/>
          <w:spacing w:val="9"/>
          <w:sz w:val="21"/>
          <w:szCs w:val="21"/>
        </w:rPr>
        <w:t>发病例约1996万人，死亡约974万人(男性543万人，女性431万人</w:t>
      </w:r>
      <w:r>
        <w:rPr>
          <w:rFonts w:ascii="宋体" w:hAnsi="宋体" w:eastAsia="宋体" w:cs="宋体"/>
          <w:spacing w:val="8"/>
          <w:sz w:val="21"/>
          <w:szCs w:val="21"/>
        </w:rPr>
        <w:t>)。全球全人群发病顺位前3位</w:t>
      </w:r>
      <w:r>
        <w:rPr>
          <w:rFonts w:ascii="宋体" w:hAnsi="宋体" w:eastAsia="宋体" w:cs="宋体"/>
          <w:sz w:val="21"/>
          <w:szCs w:val="21"/>
        </w:rPr>
        <w:t xml:space="preserve"> </w:t>
      </w:r>
      <w:r>
        <w:rPr>
          <w:rFonts w:ascii="宋体" w:hAnsi="宋体" w:eastAsia="宋体" w:cs="宋体"/>
          <w:spacing w:val="5"/>
          <w:sz w:val="21"/>
          <w:szCs w:val="21"/>
        </w:rPr>
        <w:t>的恶性肿瘤分别是：肺癌(年新发病人数248万，发病构成比12.4%)、女性乳腺癌(231万，11.6%)</w:t>
      </w:r>
      <w:r>
        <w:rPr>
          <w:rFonts w:ascii="宋体" w:hAnsi="宋体" w:eastAsia="宋体" w:cs="宋体"/>
          <w:spacing w:val="14"/>
          <w:sz w:val="21"/>
          <w:szCs w:val="21"/>
        </w:rPr>
        <w:t xml:space="preserve"> </w:t>
      </w:r>
      <w:r>
        <w:rPr>
          <w:rFonts w:ascii="宋体" w:hAnsi="宋体" w:eastAsia="宋体" w:cs="宋体"/>
          <w:spacing w:val="5"/>
          <w:sz w:val="21"/>
          <w:szCs w:val="21"/>
        </w:rPr>
        <w:t>和结直肠癌(193万，9.7%)。死因顺位前3位的恶</w:t>
      </w:r>
      <w:r>
        <w:rPr>
          <w:rFonts w:ascii="宋体" w:hAnsi="宋体" w:eastAsia="宋体" w:cs="宋体"/>
          <w:spacing w:val="4"/>
          <w:sz w:val="21"/>
          <w:szCs w:val="21"/>
        </w:rPr>
        <w:t>性肿瘤分别是肺癌(年死亡数182万，死亡构成比</w:t>
      </w:r>
      <w:r>
        <w:rPr>
          <w:rFonts w:ascii="宋体" w:hAnsi="宋体" w:eastAsia="宋体" w:cs="宋体"/>
          <w:sz w:val="21"/>
          <w:szCs w:val="21"/>
        </w:rPr>
        <w:t xml:space="preserve"> </w:t>
      </w:r>
      <w:r>
        <w:rPr>
          <w:rFonts w:ascii="宋体" w:hAnsi="宋体" w:eastAsia="宋体" w:cs="宋体"/>
          <w:spacing w:val="1"/>
          <w:sz w:val="21"/>
          <w:szCs w:val="21"/>
        </w:rPr>
        <w:t>18.7%)、结直肠癌(90万，9.3%)和肝癌(76</w:t>
      </w:r>
      <w:r>
        <w:rPr>
          <w:rFonts w:ascii="宋体" w:hAnsi="宋体" w:eastAsia="宋体" w:cs="宋体"/>
          <w:sz w:val="21"/>
          <w:szCs w:val="21"/>
        </w:rPr>
        <w:t>万，7.8%)。</w:t>
      </w:r>
    </w:p>
    <w:p w14:paraId="4055782C">
      <w:pPr>
        <w:spacing w:before="1" w:line="332" w:lineRule="auto"/>
        <w:ind w:right="657" w:firstLine="419"/>
        <w:jc w:val="both"/>
        <w:rPr>
          <w:rFonts w:ascii="宋体" w:hAnsi="宋体" w:eastAsia="宋体" w:cs="宋体"/>
          <w:sz w:val="21"/>
          <w:szCs w:val="21"/>
        </w:rPr>
      </w:pPr>
      <w:r>
        <w:rPr>
          <w:rFonts w:ascii="宋体" w:hAnsi="宋体" w:eastAsia="宋体" w:cs="宋体"/>
          <w:spacing w:val="11"/>
          <w:sz w:val="21"/>
          <w:szCs w:val="21"/>
        </w:rPr>
        <w:t>在我国，2022年癌症新发病例总数为482万(男性253万，女性229万),死亡病例总数为257</w:t>
      </w:r>
      <w:r>
        <w:rPr>
          <w:rFonts w:ascii="宋体" w:hAnsi="宋体" w:eastAsia="宋体" w:cs="宋体"/>
          <w:spacing w:val="8"/>
          <w:sz w:val="21"/>
          <w:szCs w:val="21"/>
        </w:rPr>
        <w:t xml:space="preserve"> </w:t>
      </w:r>
      <w:r>
        <w:rPr>
          <w:rFonts w:ascii="宋体" w:hAnsi="宋体" w:eastAsia="宋体" w:cs="宋体"/>
          <w:spacing w:val="5"/>
          <w:sz w:val="21"/>
          <w:szCs w:val="21"/>
        </w:rPr>
        <w:t>万例(男性163万，女性94万)。我国发病例数前5位的恶性肿瘤是肺</w:t>
      </w:r>
      <w:r>
        <w:rPr>
          <w:rFonts w:ascii="宋体" w:hAnsi="宋体" w:eastAsia="宋体" w:cs="宋体"/>
          <w:spacing w:val="4"/>
          <w:sz w:val="21"/>
          <w:szCs w:val="21"/>
        </w:rPr>
        <w:t>癌、结直肠癌、甲状腺癌、肝</w:t>
      </w:r>
      <w:r>
        <w:rPr>
          <w:rFonts w:ascii="宋体" w:hAnsi="宋体" w:eastAsia="宋体" w:cs="宋体"/>
          <w:sz w:val="21"/>
          <w:szCs w:val="21"/>
        </w:rPr>
        <w:t xml:space="preserve"> </w:t>
      </w:r>
      <w:r>
        <w:rPr>
          <w:rFonts w:ascii="宋体" w:hAnsi="宋体" w:eastAsia="宋体" w:cs="宋体"/>
          <w:spacing w:val="-3"/>
          <w:sz w:val="21"/>
          <w:szCs w:val="21"/>
        </w:rPr>
        <w:t>癌及女性乳腺癌，死因顺位前5位的恶性肿瘤分别是肺癌、</w:t>
      </w:r>
      <w:r>
        <w:rPr>
          <w:rFonts w:ascii="宋体" w:hAnsi="宋体" w:eastAsia="宋体" w:cs="宋体"/>
          <w:spacing w:val="-4"/>
          <w:sz w:val="21"/>
          <w:szCs w:val="21"/>
        </w:rPr>
        <w:t>肝癌、胃癌、结直肠癌及食管癌。</w:t>
      </w:r>
    </w:p>
    <w:p w14:paraId="1B65CA3B">
      <w:pPr>
        <w:pStyle w:val="2"/>
        <w:spacing w:before="4" w:line="302" w:lineRule="auto"/>
        <w:ind w:right="565" w:firstLine="419"/>
        <w:rPr>
          <w:rFonts w:ascii="宋体" w:hAnsi="宋体" w:eastAsia="宋体" w:cs="宋体"/>
          <w:sz w:val="21"/>
          <w:szCs w:val="21"/>
        </w:rPr>
      </w:pPr>
      <w:r>
        <w:rPr>
          <w:rFonts w:ascii="宋体" w:hAnsi="宋体" w:eastAsia="宋体" w:cs="宋体"/>
          <w:spacing w:val="3"/>
          <w:sz w:val="21"/>
          <w:szCs w:val="21"/>
        </w:rPr>
        <w:t xml:space="preserve">2. </w:t>
      </w:r>
      <w:r>
        <w:rPr>
          <w:spacing w:val="3"/>
          <w:sz w:val="21"/>
          <w:szCs w:val="21"/>
        </w:rPr>
        <w:t>时间分布</w:t>
      </w:r>
      <w:r>
        <w:rPr>
          <w:spacing w:val="84"/>
          <w:sz w:val="21"/>
          <w:szCs w:val="21"/>
        </w:rPr>
        <w:t xml:space="preserve"> </w:t>
      </w:r>
      <w:r>
        <w:rPr>
          <w:rFonts w:ascii="宋体" w:hAnsi="宋体" w:eastAsia="宋体" w:cs="宋体"/>
          <w:spacing w:val="3"/>
          <w:sz w:val="21"/>
          <w:szCs w:val="21"/>
        </w:rPr>
        <w:t>2018年、2020年和2022年全球癌症统计数据进行比较可以看出，癌症新发病例</w:t>
      </w:r>
      <w:r>
        <w:rPr>
          <w:rFonts w:ascii="宋体" w:hAnsi="宋体" w:eastAsia="宋体" w:cs="宋体"/>
          <w:sz w:val="21"/>
          <w:szCs w:val="21"/>
        </w:rPr>
        <w:t xml:space="preserve">  </w:t>
      </w:r>
      <w:r>
        <w:rPr>
          <w:rFonts w:ascii="宋体" w:hAnsi="宋体" w:eastAsia="宋体" w:cs="宋体"/>
          <w:spacing w:val="9"/>
          <w:sz w:val="21"/>
          <w:szCs w:val="21"/>
        </w:rPr>
        <w:t>数呈小幅递增趋势(分别为1808万、19</w:t>
      </w:r>
      <w:r>
        <w:rPr>
          <w:rFonts w:ascii="宋体" w:hAnsi="宋体" w:eastAsia="宋体" w:cs="宋体"/>
          <w:spacing w:val="8"/>
          <w:sz w:val="21"/>
          <w:szCs w:val="21"/>
        </w:rPr>
        <w:t>29万、1996万),癌症死亡人数则在2022年有略微下降(分</w:t>
      </w:r>
      <w:r>
        <w:rPr>
          <w:rFonts w:ascii="宋体" w:hAnsi="宋体" w:eastAsia="宋体" w:cs="宋体"/>
          <w:sz w:val="21"/>
          <w:szCs w:val="21"/>
        </w:rPr>
        <w:t xml:space="preserve">  </w:t>
      </w:r>
      <w:r>
        <w:rPr>
          <w:rFonts w:ascii="宋体" w:hAnsi="宋体" w:eastAsia="宋体" w:cs="宋体"/>
          <w:spacing w:val="5"/>
          <w:sz w:val="21"/>
          <w:szCs w:val="21"/>
        </w:rPr>
        <w:t>别为956万、996万、974万)。近年来全球癌症防控工作取</w:t>
      </w:r>
      <w:r>
        <w:rPr>
          <w:rFonts w:ascii="宋体" w:hAnsi="宋体" w:eastAsia="宋体" w:cs="宋体"/>
          <w:spacing w:val="4"/>
          <w:sz w:val="21"/>
          <w:szCs w:val="21"/>
        </w:rPr>
        <w:t>得了一定成效，特别体现在年龄标准化</w:t>
      </w:r>
      <w:r>
        <w:rPr>
          <w:rFonts w:ascii="宋体" w:hAnsi="宋体" w:eastAsia="宋体" w:cs="宋体"/>
          <w:sz w:val="21"/>
          <w:szCs w:val="21"/>
        </w:rPr>
        <w:t xml:space="preserve">  </w:t>
      </w:r>
      <w:r>
        <w:rPr>
          <w:rFonts w:ascii="宋体" w:hAnsi="宋体" w:eastAsia="宋体" w:cs="宋体"/>
          <w:spacing w:val="-2"/>
          <w:sz w:val="21"/>
          <w:szCs w:val="21"/>
        </w:rPr>
        <w:t>发病率及死亡率的下降，尤其是胃癌、食管癌、胆囊癌等</w:t>
      </w:r>
      <w:r>
        <w:rPr>
          <w:rFonts w:ascii="宋体" w:hAnsi="宋体" w:eastAsia="宋体" w:cs="宋体"/>
          <w:spacing w:val="-3"/>
          <w:sz w:val="21"/>
          <w:szCs w:val="21"/>
        </w:rPr>
        <w:t>上消化道肿瘤。这得益于根治幽门螺杆菌、</w:t>
      </w:r>
      <w:r>
        <w:rPr>
          <w:rFonts w:ascii="宋体" w:hAnsi="宋体" w:eastAsia="宋体" w:cs="宋体"/>
          <w:sz w:val="21"/>
          <w:szCs w:val="21"/>
        </w:rPr>
        <w:t xml:space="preserve"> 改善饮食结构等癌症危险因素的管控，也是基础卫生条件提升、认知水平提高和治疗手段改进等综</w:t>
      </w:r>
      <w:r>
        <w:rPr>
          <w:rFonts w:ascii="宋体" w:hAnsi="宋体" w:eastAsia="宋体" w:cs="宋体"/>
          <w:spacing w:val="3"/>
          <w:sz w:val="21"/>
          <w:szCs w:val="21"/>
        </w:rPr>
        <w:t xml:space="preserve">  </w:t>
      </w:r>
      <w:r>
        <w:rPr>
          <w:rFonts w:ascii="宋体" w:hAnsi="宋体" w:eastAsia="宋体" w:cs="宋体"/>
          <w:sz w:val="21"/>
          <w:szCs w:val="21"/>
        </w:rPr>
        <w:t>合作用的结果。然而，由于人口基数增长及人口老龄化加剧，年龄相关的</w:t>
      </w:r>
      <w:r>
        <w:rPr>
          <w:rFonts w:ascii="宋体" w:hAnsi="宋体" w:eastAsia="宋体" w:cs="宋体"/>
          <w:spacing w:val="-1"/>
          <w:sz w:val="21"/>
          <w:szCs w:val="21"/>
        </w:rPr>
        <w:t>癌症发病及死亡正在成为</w:t>
      </w:r>
      <w:r>
        <w:rPr>
          <w:rFonts w:ascii="宋体" w:hAnsi="宋体" w:eastAsia="宋体" w:cs="宋体"/>
          <w:sz w:val="21"/>
          <w:szCs w:val="21"/>
        </w:rPr>
        <w:t xml:space="preserve">  </w:t>
      </w:r>
      <w:r>
        <w:rPr>
          <w:rFonts w:ascii="宋体" w:hAnsi="宋体" w:eastAsia="宋体" w:cs="宋体"/>
          <w:spacing w:val="3"/>
          <w:sz w:val="21"/>
          <w:szCs w:val="21"/>
        </w:rPr>
        <w:t>导致全球癌症实际负担加剧的重要因素。</w:t>
      </w:r>
    </w:p>
    <w:p w14:paraId="384D1EAF">
      <w:pPr>
        <w:pStyle w:val="2"/>
        <w:spacing w:before="202" w:line="292" w:lineRule="auto"/>
        <w:ind w:right="660" w:firstLine="419"/>
        <w:rPr>
          <w:rFonts w:ascii="宋体" w:hAnsi="宋体" w:eastAsia="宋体" w:cs="宋体"/>
          <w:sz w:val="21"/>
          <w:szCs w:val="21"/>
        </w:rPr>
      </w:pPr>
      <w:r>
        <w:rPr>
          <w:rFonts w:ascii="宋体" w:hAnsi="宋体" w:eastAsia="宋体" w:cs="宋体"/>
          <w:spacing w:val="3"/>
          <w:sz w:val="21"/>
          <w:szCs w:val="21"/>
        </w:rPr>
        <w:t xml:space="preserve">3. </w:t>
      </w:r>
      <w:r>
        <w:rPr>
          <w:spacing w:val="3"/>
          <w:sz w:val="21"/>
          <w:szCs w:val="21"/>
        </w:rPr>
        <w:t>地区分布</w:t>
      </w:r>
      <w:r>
        <w:rPr>
          <w:spacing w:val="102"/>
          <w:sz w:val="21"/>
          <w:szCs w:val="21"/>
        </w:rPr>
        <w:t xml:space="preserve"> </w:t>
      </w:r>
      <w:r>
        <w:rPr>
          <w:rFonts w:ascii="宋体" w:hAnsi="宋体" w:eastAsia="宋体" w:cs="宋体"/>
          <w:spacing w:val="3"/>
          <w:sz w:val="21"/>
          <w:szCs w:val="21"/>
        </w:rPr>
        <w:t>癌症分布存在明显的地区差异。我国城市地区和农村地区的癌</w:t>
      </w:r>
      <w:r>
        <w:rPr>
          <w:rFonts w:ascii="宋体" w:hAnsi="宋体" w:eastAsia="宋体" w:cs="宋体"/>
          <w:spacing w:val="2"/>
          <w:sz w:val="21"/>
          <w:szCs w:val="21"/>
        </w:rPr>
        <w:t>谱差异明显：城</w:t>
      </w:r>
      <w:r>
        <w:rPr>
          <w:rFonts w:ascii="宋体" w:hAnsi="宋体" w:eastAsia="宋体" w:cs="宋体"/>
          <w:sz w:val="21"/>
          <w:szCs w:val="21"/>
        </w:rPr>
        <w:t xml:space="preserve"> 市地区发病前5位的癌症依次为肺癌、甲状腺癌、结直肠癌、乳腺</w:t>
      </w:r>
      <w:r>
        <w:rPr>
          <w:rFonts w:ascii="宋体" w:hAnsi="宋体" w:eastAsia="宋体" w:cs="宋体"/>
          <w:spacing w:val="-1"/>
          <w:sz w:val="21"/>
          <w:szCs w:val="21"/>
        </w:rPr>
        <w:t>癌和肝癌；农村地区发病前5位的</w:t>
      </w:r>
      <w:r>
        <w:rPr>
          <w:rFonts w:ascii="宋体" w:hAnsi="宋体" w:eastAsia="宋体" w:cs="宋体"/>
          <w:sz w:val="21"/>
          <w:szCs w:val="21"/>
        </w:rPr>
        <w:t xml:space="preserve"> </w:t>
      </w:r>
      <w:r>
        <w:rPr>
          <w:rFonts w:ascii="宋体" w:hAnsi="宋体" w:eastAsia="宋体" w:cs="宋体"/>
          <w:spacing w:val="-5"/>
          <w:sz w:val="21"/>
          <w:szCs w:val="21"/>
        </w:rPr>
        <w:t>依次为肺癌、结直肠癌、胃癌、肝癌和食管癌，以消化道肿瘤为主。各省(自治区、直辖市)的癌谱也</w:t>
      </w:r>
      <w:r>
        <w:rPr>
          <w:rFonts w:ascii="宋体" w:hAnsi="宋体" w:eastAsia="宋体" w:cs="宋体"/>
          <w:spacing w:val="6"/>
          <w:sz w:val="21"/>
          <w:szCs w:val="21"/>
        </w:rPr>
        <w:t xml:space="preserve"> </w:t>
      </w:r>
      <w:r>
        <w:rPr>
          <w:rFonts w:ascii="宋体" w:hAnsi="宋体" w:eastAsia="宋体" w:cs="宋体"/>
          <w:spacing w:val="5"/>
          <w:sz w:val="21"/>
          <w:szCs w:val="21"/>
        </w:rPr>
        <w:t>差异较大。</w:t>
      </w:r>
    </w:p>
    <w:p w14:paraId="156BEDF0">
      <w:pPr>
        <w:spacing w:line="292" w:lineRule="auto"/>
        <w:rPr>
          <w:rFonts w:ascii="宋体" w:hAnsi="宋体" w:eastAsia="宋体" w:cs="宋体"/>
          <w:sz w:val="21"/>
          <w:szCs w:val="21"/>
        </w:rPr>
        <w:sectPr>
          <w:footerReference r:id="rId240" w:type="default"/>
          <w:pgSz w:w="11900" w:h="16820"/>
          <w:pgMar w:top="400" w:right="789" w:bottom="846" w:left="1410" w:header="0" w:footer="657" w:gutter="0"/>
          <w:cols w:space="720" w:num="1"/>
        </w:sectPr>
      </w:pPr>
    </w:p>
    <w:p w14:paraId="6B560FE4">
      <w:pPr>
        <w:pStyle w:val="2"/>
        <w:spacing w:before="16" w:line="221" w:lineRule="auto"/>
        <w:ind w:left="659"/>
        <w:rPr>
          <w:sz w:val="20"/>
          <w:szCs w:val="20"/>
        </w:rPr>
      </w:pPr>
      <w:bookmarkStart w:id="377" w:name="bookmark525"/>
      <w:bookmarkEnd w:id="377"/>
      <w:r>
        <w:rPr>
          <w:spacing w:val="-16"/>
          <w:w w:val="98"/>
          <w:sz w:val="20"/>
          <w:szCs w:val="20"/>
        </w:rPr>
        <w:t>第十四章慢性病流行病学</w:t>
      </w:r>
    </w:p>
    <w:p w14:paraId="2A656649">
      <w:pPr>
        <w:spacing w:line="286" w:lineRule="auto"/>
        <w:rPr>
          <w:rFonts w:ascii="Arial"/>
          <w:sz w:val="21"/>
        </w:rPr>
      </w:pPr>
    </w:p>
    <w:p w14:paraId="41813C86">
      <w:pPr>
        <w:spacing w:line="287" w:lineRule="auto"/>
        <w:rPr>
          <w:rFonts w:ascii="Arial"/>
          <w:sz w:val="21"/>
        </w:rPr>
      </w:pPr>
    </w:p>
    <w:p w14:paraId="7B49C7EC">
      <w:pPr>
        <w:pStyle w:val="2"/>
        <w:spacing w:before="65" w:line="342" w:lineRule="auto"/>
        <w:ind w:left="659" w:right="12" w:firstLine="400"/>
        <w:jc w:val="both"/>
        <w:rPr>
          <w:rFonts w:ascii="宋体" w:hAnsi="宋体" w:eastAsia="宋体" w:cs="宋体"/>
          <w:sz w:val="20"/>
          <w:szCs w:val="20"/>
        </w:rPr>
      </w:pPr>
      <w:r>
        <w:rPr>
          <w:rFonts w:ascii="宋体" w:hAnsi="宋体" w:eastAsia="宋体" w:cs="宋体"/>
          <w:sz w:val="20"/>
          <w:szCs w:val="20"/>
        </w:rPr>
        <w:t xml:space="preserve">4. </w:t>
      </w:r>
      <w:r>
        <w:rPr>
          <w:sz w:val="20"/>
          <w:szCs w:val="20"/>
        </w:rPr>
        <w:t>人群分布</w:t>
      </w:r>
      <w:r>
        <w:rPr>
          <w:spacing w:val="99"/>
          <w:sz w:val="20"/>
          <w:szCs w:val="20"/>
        </w:rPr>
        <w:t xml:space="preserve"> </w:t>
      </w:r>
      <w:r>
        <w:rPr>
          <w:rFonts w:ascii="宋体" w:hAnsi="宋体" w:eastAsia="宋体" w:cs="宋体"/>
          <w:sz w:val="20"/>
          <w:szCs w:val="20"/>
        </w:rPr>
        <w:t>恶性肿瘤的发病存在明显的年龄</w:t>
      </w:r>
      <w:r>
        <w:rPr>
          <w:rFonts w:ascii="宋体" w:hAnsi="宋体" w:eastAsia="宋体" w:cs="宋体"/>
          <w:spacing w:val="-1"/>
          <w:sz w:val="20"/>
          <w:szCs w:val="20"/>
        </w:rPr>
        <w:t>、性别、种族和职业等方面的差异。</w:t>
      </w:r>
      <w:r>
        <w:rPr>
          <w:rFonts w:ascii="宋体" w:hAnsi="宋体" w:eastAsia="宋体" w:cs="宋体"/>
          <w:spacing w:val="-42"/>
          <w:sz w:val="20"/>
          <w:szCs w:val="20"/>
        </w:rPr>
        <w:t xml:space="preserve"> </w:t>
      </w:r>
      <w:r>
        <w:rPr>
          <w:rFonts w:ascii="宋体" w:hAnsi="宋体" w:eastAsia="宋体" w:cs="宋体"/>
          <w:spacing w:val="-1"/>
          <w:sz w:val="20"/>
          <w:szCs w:val="20"/>
        </w:rPr>
        <w:t>一般而言，</w:t>
      </w:r>
      <w:r>
        <w:rPr>
          <w:rFonts w:ascii="宋体" w:hAnsi="宋体" w:eastAsia="宋体" w:cs="宋体"/>
          <w:sz w:val="20"/>
          <w:szCs w:val="20"/>
        </w:rPr>
        <w:t xml:space="preserve"> </w:t>
      </w:r>
      <w:r>
        <w:rPr>
          <w:rFonts w:ascii="宋体" w:hAnsi="宋体" w:eastAsia="宋体" w:cs="宋体"/>
          <w:spacing w:val="1"/>
          <w:sz w:val="20"/>
          <w:szCs w:val="20"/>
        </w:rPr>
        <w:t>40岁以前恶性肿瘤发病率处于相对较低水平，40岁以后发病率随着年龄的增长快速增加；男性75岁</w:t>
      </w:r>
      <w:r>
        <w:rPr>
          <w:rFonts w:ascii="宋体" w:hAnsi="宋体" w:eastAsia="宋体" w:cs="宋体"/>
          <w:spacing w:val="10"/>
          <w:sz w:val="20"/>
          <w:szCs w:val="20"/>
        </w:rPr>
        <w:t xml:space="preserve"> </w:t>
      </w:r>
      <w:r>
        <w:rPr>
          <w:rFonts w:ascii="宋体" w:hAnsi="宋体" w:eastAsia="宋体" w:cs="宋体"/>
          <w:spacing w:val="2"/>
          <w:sz w:val="20"/>
          <w:szCs w:val="20"/>
        </w:rPr>
        <w:t>前累积患癌风险略高于女性，累积癌症致死风险</w:t>
      </w:r>
      <w:r>
        <w:rPr>
          <w:rFonts w:ascii="宋体" w:hAnsi="宋体" w:eastAsia="宋体" w:cs="宋体"/>
          <w:spacing w:val="1"/>
          <w:sz w:val="20"/>
          <w:szCs w:val="20"/>
        </w:rPr>
        <w:t>则显著高于女性；性行为过早、多性伴、多育增加</w:t>
      </w:r>
      <w:r>
        <w:rPr>
          <w:rFonts w:ascii="宋体" w:hAnsi="宋体" w:eastAsia="宋体" w:cs="宋体"/>
          <w:sz w:val="20"/>
          <w:szCs w:val="20"/>
        </w:rPr>
        <w:t xml:space="preserve"> </w:t>
      </w:r>
      <w:r>
        <w:rPr>
          <w:rFonts w:ascii="宋体" w:hAnsi="宋体" w:eastAsia="宋体" w:cs="宋体"/>
          <w:spacing w:val="-1"/>
          <w:sz w:val="20"/>
          <w:szCs w:val="20"/>
        </w:rPr>
        <w:t>宫颈癌发病风险，行经时间长、无哺乳史则增加乳腺癌</w:t>
      </w:r>
      <w:r>
        <w:rPr>
          <w:rFonts w:ascii="宋体" w:hAnsi="宋体" w:eastAsia="宋体" w:cs="宋体"/>
          <w:spacing w:val="-2"/>
          <w:sz w:val="20"/>
          <w:szCs w:val="20"/>
        </w:rPr>
        <w:t>风险；鼻咽癌在我国广东人群中发病率较高，</w:t>
      </w:r>
      <w:r>
        <w:rPr>
          <w:rFonts w:ascii="宋体" w:hAnsi="宋体" w:eastAsia="宋体" w:cs="宋体"/>
          <w:sz w:val="20"/>
          <w:szCs w:val="20"/>
        </w:rPr>
        <w:t xml:space="preserve"> 白种人易患皮肤癌；从事化工产业的工人皮肤癌、膀胱癌及白</w:t>
      </w:r>
      <w:r>
        <w:rPr>
          <w:rFonts w:ascii="宋体" w:hAnsi="宋体" w:eastAsia="宋体" w:cs="宋体"/>
          <w:spacing w:val="-1"/>
          <w:sz w:val="20"/>
          <w:szCs w:val="20"/>
        </w:rPr>
        <w:t>血病的发病率显著高于一般人群。</w:t>
      </w:r>
    </w:p>
    <w:p w14:paraId="4EF97F7E">
      <w:pPr>
        <w:pStyle w:val="2"/>
        <w:spacing w:before="15" w:line="222" w:lineRule="auto"/>
        <w:ind w:left="1063"/>
        <w:rPr>
          <w:sz w:val="23"/>
          <w:szCs w:val="23"/>
        </w:rPr>
      </w:pPr>
      <w:r>
        <w:rPr>
          <w:b/>
          <w:bCs/>
          <w:sz w:val="23"/>
          <w:szCs w:val="23"/>
        </w:rPr>
        <w:t>(三)危险因素</w:t>
      </w:r>
    </w:p>
    <w:p w14:paraId="0A85A06E">
      <w:pPr>
        <w:spacing w:before="134" w:line="341" w:lineRule="auto"/>
        <w:ind w:left="659" w:right="83" w:firstLine="400"/>
        <w:jc w:val="both"/>
        <w:rPr>
          <w:rFonts w:ascii="宋体" w:hAnsi="宋体" w:eastAsia="宋体" w:cs="宋体"/>
          <w:sz w:val="20"/>
          <w:szCs w:val="20"/>
        </w:rPr>
      </w:pPr>
      <w:r>
        <w:rPr>
          <w:rFonts w:ascii="宋体" w:hAnsi="宋体" w:eastAsia="宋体" w:cs="宋体"/>
          <w:spacing w:val="-3"/>
          <w:sz w:val="20"/>
          <w:szCs w:val="20"/>
        </w:rPr>
        <w:t>恶性肿瘤的发病是多因素、多阶段、多效应的复杂过程，受多种危险</w:t>
      </w:r>
      <w:r>
        <w:rPr>
          <w:rFonts w:ascii="宋体" w:hAnsi="宋体" w:eastAsia="宋体" w:cs="宋体"/>
          <w:spacing w:val="-4"/>
          <w:sz w:val="20"/>
          <w:szCs w:val="20"/>
        </w:rPr>
        <w:t>因素的影响，其中环境驱动</w:t>
      </w:r>
      <w:r>
        <w:rPr>
          <w:rFonts w:ascii="宋体" w:hAnsi="宋体" w:eastAsia="宋体" w:cs="宋体"/>
          <w:sz w:val="20"/>
          <w:szCs w:val="20"/>
        </w:rPr>
        <w:t xml:space="preserve"> </w:t>
      </w:r>
      <w:r>
        <w:rPr>
          <w:rFonts w:ascii="宋体" w:hAnsi="宋体" w:eastAsia="宋体" w:cs="宋体"/>
          <w:spacing w:val="1"/>
          <w:sz w:val="20"/>
          <w:szCs w:val="20"/>
        </w:rPr>
        <w:t>因素、行为因素和代谢因素是可改变的危险因素。这些因素与遗传、年龄、性别等不可改变因素联</w:t>
      </w:r>
      <w:r>
        <w:rPr>
          <w:rFonts w:ascii="宋体" w:hAnsi="宋体" w:eastAsia="宋体" w:cs="宋体"/>
          <w:spacing w:val="14"/>
          <w:sz w:val="20"/>
          <w:szCs w:val="20"/>
        </w:rPr>
        <w:t xml:space="preserve"> </w:t>
      </w:r>
      <w:r>
        <w:rPr>
          <w:rFonts w:ascii="宋体" w:hAnsi="宋体" w:eastAsia="宋体" w:cs="宋体"/>
          <w:sz w:val="20"/>
          <w:szCs w:val="20"/>
        </w:rPr>
        <w:t>合作用可导致细胞内直接致癌物蓄积、遗传物质损伤、原癌基因突变、抑癌基因失活、DNA</w:t>
      </w:r>
      <w:r>
        <w:rPr>
          <w:rFonts w:ascii="宋体" w:hAnsi="宋体" w:eastAsia="宋体" w:cs="宋体"/>
          <w:spacing w:val="65"/>
          <w:sz w:val="20"/>
          <w:szCs w:val="20"/>
        </w:rPr>
        <w:t xml:space="preserve"> </w:t>
      </w:r>
      <w:r>
        <w:rPr>
          <w:rFonts w:ascii="宋体" w:hAnsi="宋体" w:eastAsia="宋体" w:cs="宋体"/>
          <w:sz w:val="20"/>
          <w:szCs w:val="20"/>
        </w:rPr>
        <w:t xml:space="preserve">复制调 </w:t>
      </w:r>
      <w:r>
        <w:rPr>
          <w:rFonts w:ascii="宋体" w:hAnsi="宋体" w:eastAsia="宋体" w:cs="宋体"/>
          <w:spacing w:val="-2"/>
          <w:sz w:val="20"/>
          <w:szCs w:val="20"/>
        </w:rPr>
        <w:t>控失败等一系列细胞异常事件，形成恶性肿瘤组织。</w:t>
      </w:r>
    </w:p>
    <w:p w14:paraId="65A80B7E">
      <w:pPr>
        <w:spacing w:line="219" w:lineRule="auto"/>
        <w:ind w:left="1062"/>
        <w:rPr>
          <w:rFonts w:ascii="宋体" w:hAnsi="宋体" w:eastAsia="宋体" w:cs="宋体"/>
          <w:sz w:val="20"/>
          <w:szCs w:val="20"/>
        </w:rPr>
      </w:pPr>
      <w:r>
        <w:rPr>
          <w:rFonts w:ascii="宋体" w:hAnsi="宋体" w:eastAsia="宋体" w:cs="宋体"/>
          <w:b/>
          <w:bCs/>
          <w:spacing w:val="-2"/>
          <w:sz w:val="20"/>
          <w:szCs w:val="20"/>
        </w:rPr>
        <w:t>1.</w:t>
      </w:r>
      <w:r>
        <w:rPr>
          <w:rFonts w:ascii="宋体" w:hAnsi="宋体" w:eastAsia="宋体" w:cs="宋体"/>
          <w:spacing w:val="-2"/>
          <w:sz w:val="20"/>
          <w:szCs w:val="20"/>
        </w:rPr>
        <w:t xml:space="preserve"> </w:t>
      </w:r>
      <w:r>
        <w:rPr>
          <w:rFonts w:ascii="宋体" w:hAnsi="宋体" w:eastAsia="宋体" w:cs="宋体"/>
          <w:b/>
          <w:bCs/>
          <w:spacing w:val="-2"/>
          <w:sz w:val="20"/>
          <w:szCs w:val="20"/>
        </w:rPr>
        <w:t>环境驱动因素</w:t>
      </w:r>
    </w:p>
    <w:p w14:paraId="7CD0E563">
      <w:pPr>
        <w:spacing w:before="145" w:line="307" w:lineRule="auto"/>
        <w:ind w:left="659" w:firstLine="400"/>
        <w:rPr>
          <w:rFonts w:ascii="宋体" w:hAnsi="宋体" w:eastAsia="宋体" w:cs="宋体"/>
          <w:sz w:val="20"/>
          <w:szCs w:val="20"/>
        </w:rPr>
      </w:pPr>
      <w:r>
        <w:rPr>
          <w:rFonts w:ascii="宋体" w:hAnsi="宋体" w:eastAsia="宋体" w:cs="宋体"/>
          <w:spacing w:val="1"/>
          <w:sz w:val="20"/>
          <w:szCs w:val="20"/>
        </w:rPr>
        <w:t>(1)物理因素：电离辐射可引起人类多种恶性肿瘤，包括肺癌、乳腺癌、白血病、恶性淋巴瘤、</w:t>
      </w:r>
      <w:r>
        <w:rPr>
          <w:rFonts w:ascii="宋体" w:hAnsi="宋体" w:eastAsia="宋体" w:cs="宋体"/>
          <w:spacing w:val="5"/>
          <w:sz w:val="20"/>
          <w:szCs w:val="20"/>
        </w:rPr>
        <w:t xml:space="preserve"> </w:t>
      </w:r>
      <w:r>
        <w:rPr>
          <w:rFonts w:ascii="宋体" w:hAnsi="宋体" w:eastAsia="宋体" w:cs="宋体"/>
          <w:spacing w:val="6"/>
          <w:sz w:val="20"/>
          <w:szCs w:val="20"/>
        </w:rPr>
        <w:t>多发骨髓瘤、甲状腺癌和皮肤癌等，矿山和建筑石材中的氡气(α射线)是自然界最大的电离</w:t>
      </w:r>
      <w:r>
        <w:rPr>
          <w:rFonts w:ascii="宋体" w:hAnsi="宋体" w:eastAsia="宋体" w:cs="宋体"/>
          <w:spacing w:val="5"/>
          <w:sz w:val="20"/>
          <w:szCs w:val="20"/>
        </w:rPr>
        <w:t>辐射</w:t>
      </w:r>
      <w:r>
        <w:rPr>
          <w:rFonts w:ascii="宋体" w:hAnsi="宋体" w:eastAsia="宋体" w:cs="宋体"/>
          <w:sz w:val="20"/>
          <w:szCs w:val="20"/>
        </w:rPr>
        <w:t xml:space="preserve">  源。长期紫外线照射已被证实能导致人类皮肤癌。</w:t>
      </w:r>
    </w:p>
    <w:p w14:paraId="5A7A96D6">
      <w:pPr>
        <w:spacing w:before="141" w:line="311" w:lineRule="auto"/>
        <w:ind w:left="659" w:right="76" w:firstLine="400"/>
        <w:rPr>
          <w:rFonts w:ascii="宋体" w:hAnsi="宋体" w:eastAsia="宋体" w:cs="宋体"/>
          <w:sz w:val="20"/>
          <w:szCs w:val="20"/>
        </w:rPr>
      </w:pPr>
      <w:r>
        <w:rPr>
          <w:rFonts w:ascii="宋体" w:hAnsi="宋体" w:eastAsia="宋体" w:cs="宋体"/>
          <w:spacing w:val="9"/>
          <w:sz w:val="20"/>
          <w:szCs w:val="20"/>
        </w:rPr>
        <w:t>(2)化学因素：空气污染可导致肺癌发病风险升高。湿热条件下储存的玉米和花生易受黄曲</w:t>
      </w:r>
      <w:r>
        <w:rPr>
          <w:rFonts w:ascii="宋体" w:hAnsi="宋体" w:eastAsia="宋体" w:cs="宋体"/>
          <w:spacing w:val="2"/>
          <w:sz w:val="20"/>
          <w:szCs w:val="20"/>
        </w:rPr>
        <w:t xml:space="preserve"> </w:t>
      </w:r>
      <w:r>
        <w:rPr>
          <w:rFonts w:ascii="宋体" w:hAnsi="宋体" w:eastAsia="宋体" w:cs="宋体"/>
          <w:spacing w:val="-3"/>
          <w:sz w:val="20"/>
          <w:szCs w:val="20"/>
        </w:rPr>
        <w:t>霉污染，产生黄曲霉毒素，增加肝癌和食管癌的风险。腌制、烟熏、过度烹制</w:t>
      </w:r>
      <w:r>
        <w:rPr>
          <w:rFonts w:ascii="宋体" w:hAnsi="宋体" w:eastAsia="宋体" w:cs="宋体"/>
          <w:spacing w:val="-4"/>
          <w:sz w:val="20"/>
          <w:szCs w:val="20"/>
        </w:rPr>
        <w:t>的肉类食品，可产生亚</w:t>
      </w:r>
      <w:r>
        <w:rPr>
          <w:rFonts w:ascii="宋体" w:hAnsi="宋体" w:eastAsia="宋体" w:cs="宋体"/>
          <w:sz w:val="20"/>
          <w:szCs w:val="20"/>
        </w:rPr>
        <w:t xml:space="preserve"> </w:t>
      </w:r>
      <w:r>
        <w:rPr>
          <w:rFonts w:ascii="宋体" w:hAnsi="宋体" w:eastAsia="宋体" w:cs="宋体"/>
          <w:spacing w:val="-3"/>
          <w:sz w:val="20"/>
          <w:szCs w:val="20"/>
        </w:rPr>
        <w:t>硝胺、杂环胺、多环芳烃等多种致癌物质，增加癌症发病风险。职业化</w:t>
      </w:r>
      <w:r>
        <w:rPr>
          <w:rFonts w:ascii="宋体" w:hAnsi="宋体" w:eastAsia="宋体" w:cs="宋体"/>
          <w:spacing w:val="-4"/>
          <w:sz w:val="20"/>
          <w:szCs w:val="20"/>
        </w:rPr>
        <w:t>学致癌因子可增加肺癌、皮肤</w:t>
      </w:r>
      <w:r>
        <w:rPr>
          <w:rFonts w:ascii="宋体" w:hAnsi="宋体" w:eastAsia="宋体" w:cs="宋体"/>
          <w:sz w:val="20"/>
          <w:szCs w:val="20"/>
        </w:rPr>
        <w:t xml:space="preserve"> </w:t>
      </w:r>
      <w:r>
        <w:rPr>
          <w:rFonts w:ascii="宋体" w:hAnsi="宋体" w:eastAsia="宋体" w:cs="宋体"/>
          <w:spacing w:val="-6"/>
          <w:sz w:val="20"/>
          <w:szCs w:val="20"/>
        </w:rPr>
        <w:t>癌、膀胱癌、白血病和肝血管肉瘤等的发病风险。</w:t>
      </w:r>
    </w:p>
    <w:p w14:paraId="30CE52E4">
      <w:pPr>
        <w:spacing w:before="142" w:line="317" w:lineRule="auto"/>
        <w:ind w:left="659" w:right="84" w:firstLine="400"/>
        <w:rPr>
          <w:rFonts w:ascii="宋体" w:hAnsi="宋体" w:eastAsia="宋体" w:cs="宋体"/>
          <w:sz w:val="20"/>
          <w:szCs w:val="20"/>
        </w:rPr>
      </w:pPr>
      <w:r>
        <w:rPr>
          <w:rFonts w:ascii="宋体" w:hAnsi="宋体" w:eastAsia="宋体" w:cs="宋体"/>
          <w:spacing w:val="11"/>
          <w:sz w:val="20"/>
          <w:szCs w:val="20"/>
        </w:rPr>
        <w:t>(3)生物学因素：目前至少有8种病毒已被证实与人类恶性肿瘤有关。例如，乙型肝炎病毒</w:t>
      </w:r>
      <w:r>
        <w:rPr>
          <w:rFonts w:ascii="宋体" w:hAnsi="宋体" w:eastAsia="宋体" w:cs="宋体"/>
          <w:spacing w:val="9"/>
          <w:sz w:val="20"/>
          <w:szCs w:val="20"/>
        </w:rPr>
        <w:t xml:space="preserve"> </w:t>
      </w:r>
      <w:r>
        <w:rPr>
          <w:rFonts w:ascii="Times New Roman" w:hAnsi="Times New Roman" w:eastAsia="Times New Roman" w:cs="Times New Roman"/>
          <w:spacing w:val="4"/>
          <w:sz w:val="20"/>
          <w:szCs w:val="20"/>
        </w:rPr>
        <w:t>(</w:t>
      </w:r>
      <w:r>
        <w:rPr>
          <w:rFonts w:ascii="Times New Roman" w:hAnsi="Times New Roman" w:eastAsia="Times New Roman" w:cs="Times New Roman"/>
          <w:sz w:val="20"/>
          <w:szCs w:val="20"/>
        </w:rPr>
        <w:t>HBV</w:t>
      </w:r>
      <w:r>
        <w:rPr>
          <w:rFonts w:ascii="Times New Roman" w:hAnsi="Times New Roman" w:eastAsia="Times New Roman" w:cs="Times New Roman"/>
          <w:spacing w:val="4"/>
          <w:sz w:val="20"/>
          <w:szCs w:val="20"/>
        </w:rPr>
        <w:t>)</w:t>
      </w:r>
      <w:r>
        <w:rPr>
          <w:rFonts w:ascii="Times New Roman" w:hAnsi="Times New Roman" w:eastAsia="Times New Roman" w:cs="Times New Roman"/>
          <w:spacing w:val="33"/>
          <w:sz w:val="20"/>
          <w:szCs w:val="20"/>
        </w:rPr>
        <w:t xml:space="preserve"> </w:t>
      </w:r>
      <w:r>
        <w:rPr>
          <w:rFonts w:ascii="宋体" w:hAnsi="宋体" w:eastAsia="宋体" w:cs="宋体"/>
          <w:spacing w:val="4"/>
          <w:sz w:val="20"/>
          <w:szCs w:val="20"/>
        </w:rPr>
        <w:t>和丙型肝炎病毒</w:t>
      </w:r>
      <w:r>
        <w:rPr>
          <w:rFonts w:ascii="Times New Roman" w:hAnsi="Times New Roman" w:eastAsia="Times New Roman" w:cs="Times New Roman"/>
          <w:spacing w:val="4"/>
          <w:sz w:val="20"/>
          <w:szCs w:val="20"/>
        </w:rPr>
        <w:t>(</w:t>
      </w:r>
      <w:r>
        <w:rPr>
          <w:rFonts w:ascii="Times New Roman" w:hAnsi="Times New Roman" w:eastAsia="Times New Roman" w:cs="Times New Roman"/>
          <w:sz w:val="20"/>
          <w:szCs w:val="20"/>
        </w:rPr>
        <w:t>HCV</w:t>
      </w:r>
      <w:r>
        <w:rPr>
          <w:rFonts w:ascii="Times New Roman" w:hAnsi="Times New Roman" w:eastAsia="Times New Roman" w:cs="Times New Roman"/>
          <w:spacing w:val="4"/>
          <w:sz w:val="20"/>
          <w:szCs w:val="20"/>
        </w:rPr>
        <w:t>)</w:t>
      </w:r>
      <w:r>
        <w:rPr>
          <w:rFonts w:ascii="Times New Roman" w:hAnsi="Times New Roman" w:eastAsia="Times New Roman" w:cs="Times New Roman"/>
          <w:spacing w:val="33"/>
          <w:sz w:val="20"/>
          <w:szCs w:val="20"/>
        </w:rPr>
        <w:t xml:space="preserve"> </w:t>
      </w:r>
      <w:r>
        <w:rPr>
          <w:rFonts w:ascii="宋体" w:hAnsi="宋体" w:eastAsia="宋体" w:cs="宋体"/>
          <w:spacing w:val="4"/>
          <w:sz w:val="20"/>
          <w:szCs w:val="20"/>
        </w:rPr>
        <w:t>感染是原发性肝癌的致病因子；人乳头瘤病毒</w:t>
      </w:r>
      <w:r>
        <w:rPr>
          <w:rFonts w:ascii="Times New Roman" w:hAnsi="Times New Roman" w:eastAsia="Times New Roman" w:cs="Times New Roman"/>
          <w:spacing w:val="3"/>
          <w:sz w:val="20"/>
          <w:szCs w:val="20"/>
        </w:rPr>
        <w:t>(</w:t>
      </w:r>
      <w:r>
        <w:rPr>
          <w:rFonts w:ascii="Times New Roman" w:hAnsi="Times New Roman" w:eastAsia="Times New Roman" w:cs="Times New Roman"/>
          <w:sz w:val="20"/>
          <w:szCs w:val="20"/>
        </w:rPr>
        <w:t>HPV</w:t>
      </w:r>
      <w:r>
        <w:rPr>
          <w:rFonts w:ascii="Times New Roman" w:hAnsi="Times New Roman" w:eastAsia="Times New Roman" w:cs="Times New Roman"/>
          <w:spacing w:val="3"/>
          <w:sz w:val="20"/>
          <w:szCs w:val="20"/>
        </w:rPr>
        <w:t xml:space="preserve">)  </w:t>
      </w:r>
      <w:r>
        <w:rPr>
          <w:rFonts w:ascii="宋体" w:hAnsi="宋体" w:eastAsia="宋体" w:cs="宋体"/>
          <w:spacing w:val="3"/>
          <w:sz w:val="20"/>
          <w:szCs w:val="20"/>
        </w:rPr>
        <w:t>感染显著增加</w:t>
      </w:r>
      <w:r>
        <w:rPr>
          <w:rFonts w:ascii="宋体" w:hAnsi="宋体" w:eastAsia="宋体" w:cs="宋体"/>
          <w:sz w:val="20"/>
          <w:szCs w:val="20"/>
        </w:rPr>
        <w:t xml:space="preserve"> 宫颈癌风险；</w:t>
      </w:r>
      <w:r>
        <w:rPr>
          <w:rFonts w:ascii="Times New Roman" w:hAnsi="Times New Roman" w:eastAsia="Times New Roman" w:cs="Times New Roman"/>
          <w:sz w:val="20"/>
          <w:szCs w:val="20"/>
        </w:rPr>
        <w:t>Epstein-Barr</w:t>
      </w:r>
      <w:r>
        <w:rPr>
          <w:rFonts w:ascii="Times New Roman" w:hAnsi="Times New Roman" w:eastAsia="Times New Roman" w:cs="Times New Roman"/>
          <w:spacing w:val="51"/>
          <w:w w:val="101"/>
          <w:sz w:val="20"/>
          <w:szCs w:val="20"/>
        </w:rPr>
        <w:t xml:space="preserve"> </w:t>
      </w:r>
      <w:r>
        <w:rPr>
          <w:rFonts w:ascii="宋体" w:hAnsi="宋体" w:eastAsia="宋体" w:cs="宋体"/>
          <w:sz w:val="20"/>
          <w:szCs w:val="20"/>
        </w:rPr>
        <w:t>病毒</w:t>
      </w:r>
      <w:r>
        <w:rPr>
          <w:rFonts w:ascii="Times New Roman" w:hAnsi="Times New Roman" w:eastAsia="Times New Roman" w:cs="Times New Roman"/>
          <w:sz w:val="20"/>
          <w:szCs w:val="20"/>
        </w:rPr>
        <w:t>(EBV)</w:t>
      </w:r>
      <w:r>
        <w:rPr>
          <w:rFonts w:ascii="Times New Roman" w:hAnsi="Times New Roman" w:eastAsia="Times New Roman" w:cs="Times New Roman"/>
          <w:spacing w:val="35"/>
          <w:sz w:val="20"/>
          <w:szCs w:val="20"/>
        </w:rPr>
        <w:t xml:space="preserve"> </w:t>
      </w:r>
      <w:r>
        <w:rPr>
          <w:rFonts w:ascii="宋体" w:hAnsi="宋体" w:eastAsia="宋体" w:cs="宋体"/>
          <w:sz w:val="20"/>
          <w:szCs w:val="20"/>
        </w:rPr>
        <w:t>已被列为</w:t>
      </w:r>
      <w:r>
        <w:rPr>
          <w:rFonts w:ascii="Times New Roman" w:hAnsi="Times New Roman" w:eastAsia="Times New Roman" w:cs="Times New Roman"/>
          <w:sz w:val="20"/>
          <w:szCs w:val="20"/>
        </w:rPr>
        <w:t xml:space="preserve">I </w:t>
      </w:r>
      <w:r>
        <w:rPr>
          <w:rFonts w:ascii="宋体" w:hAnsi="宋体" w:eastAsia="宋体" w:cs="宋体"/>
          <w:sz w:val="20"/>
          <w:szCs w:val="20"/>
        </w:rPr>
        <w:t xml:space="preserve">类致癌因子，其慢性感染可导致伯基特淋巴瘤、鼻 </w:t>
      </w:r>
      <w:r>
        <w:rPr>
          <w:rFonts w:ascii="宋体" w:hAnsi="宋体" w:eastAsia="宋体" w:cs="宋体"/>
          <w:spacing w:val="2"/>
          <w:sz w:val="20"/>
          <w:szCs w:val="20"/>
        </w:rPr>
        <w:t>咽癌、霍奇金淋巴瘤、非霍奇金淋巴瘤等；幽</w:t>
      </w:r>
      <w:r>
        <w:rPr>
          <w:rFonts w:ascii="宋体" w:hAnsi="宋体" w:eastAsia="宋体" w:cs="宋体"/>
          <w:spacing w:val="1"/>
          <w:sz w:val="20"/>
          <w:szCs w:val="20"/>
        </w:rPr>
        <w:t>门螺杆菌感染可增加患胃癌的风险；人类免疫缺陷病</w:t>
      </w:r>
      <w:r>
        <w:rPr>
          <w:rFonts w:ascii="宋体" w:hAnsi="宋体" w:eastAsia="宋体" w:cs="宋体"/>
          <w:sz w:val="20"/>
          <w:szCs w:val="20"/>
        </w:rPr>
        <w:t xml:space="preserve"> </w:t>
      </w:r>
      <w:r>
        <w:rPr>
          <w:rFonts w:ascii="宋体" w:hAnsi="宋体" w:eastAsia="宋体" w:cs="宋体"/>
          <w:spacing w:val="-1"/>
          <w:sz w:val="20"/>
          <w:szCs w:val="20"/>
        </w:rPr>
        <w:t>毒(HIV)</w:t>
      </w:r>
      <w:r>
        <w:rPr>
          <w:rFonts w:ascii="宋体" w:hAnsi="宋体" w:eastAsia="宋体" w:cs="宋体"/>
          <w:spacing w:val="54"/>
          <w:sz w:val="20"/>
          <w:szCs w:val="20"/>
        </w:rPr>
        <w:t xml:space="preserve"> </w:t>
      </w:r>
      <w:r>
        <w:rPr>
          <w:rFonts w:ascii="宋体" w:hAnsi="宋体" w:eastAsia="宋体" w:cs="宋体"/>
          <w:spacing w:val="-1"/>
          <w:sz w:val="20"/>
          <w:szCs w:val="20"/>
        </w:rPr>
        <w:t>感染引起长期免疫抑制，则与卡波西肉瘤和非霍奇金淋巴瘤有关。</w:t>
      </w:r>
    </w:p>
    <w:p w14:paraId="61B4F42D">
      <w:pPr>
        <w:pStyle w:val="2"/>
        <w:spacing w:before="176" w:line="317" w:lineRule="auto"/>
        <w:ind w:left="659" w:right="86" w:firstLine="400"/>
        <w:rPr>
          <w:rFonts w:ascii="宋体" w:hAnsi="宋体" w:eastAsia="宋体" w:cs="宋体"/>
          <w:sz w:val="20"/>
          <w:szCs w:val="20"/>
        </w:rPr>
      </w:pPr>
      <w:r>
        <w:rPr>
          <w:rFonts w:ascii="宋体" w:hAnsi="宋体" w:eastAsia="宋体" w:cs="宋体"/>
          <w:spacing w:val="4"/>
          <w:sz w:val="20"/>
          <w:szCs w:val="20"/>
        </w:rPr>
        <w:t xml:space="preserve">2. </w:t>
      </w:r>
      <w:r>
        <w:rPr>
          <w:spacing w:val="4"/>
          <w:sz w:val="20"/>
          <w:szCs w:val="20"/>
        </w:rPr>
        <w:t xml:space="preserve">行为因素  </w:t>
      </w:r>
      <w:r>
        <w:rPr>
          <w:rFonts w:ascii="宋体" w:hAnsi="宋体" w:eastAsia="宋体" w:cs="宋体"/>
          <w:spacing w:val="4"/>
          <w:sz w:val="20"/>
          <w:szCs w:val="20"/>
        </w:rPr>
        <w:t>吸烟是造成癌症负担的主要危险因素，烟草的烟雾中</w:t>
      </w:r>
      <w:r>
        <w:rPr>
          <w:rFonts w:ascii="宋体" w:hAnsi="宋体" w:eastAsia="宋体" w:cs="宋体"/>
          <w:spacing w:val="3"/>
          <w:sz w:val="20"/>
          <w:szCs w:val="20"/>
        </w:rPr>
        <w:t>含有的致癌物苯、多环芳</w:t>
      </w:r>
      <w:r>
        <w:rPr>
          <w:rFonts w:ascii="宋体" w:hAnsi="宋体" w:eastAsia="宋体" w:cs="宋体"/>
          <w:sz w:val="20"/>
          <w:szCs w:val="20"/>
        </w:rPr>
        <w:t xml:space="preserve"> </w:t>
      </w:r>
      <w:r>
        <w:rPr>
          <w:rFonts w:ascii="宋体" w:hAnsi="宋体" w:eastAsia="宋体" w:cs="宋体"/>
          <w:spacing w:val="-12"/>
          <w:sz w:val="20"/>
          <w:szCs w:val="20"/>
        </w:rPr>
        <w:t>烃、亚硝胺、芳香胺、杂环芳香胺、乙醛、甲醛等，可增加肺癌、肝癌、食管癌、胃癌、结直肠癌等的发</w:t>
      </w:r>
      <w:r>
        <w:rPr>
          <w:rFonts w:ascii="宋体" w:hAnsi="宋体" w:eastAsia="宋体" w:cs="宋体"/>
          <w:spacing w:val="9"/>
          <w:sz w:val="20"/>
          <w:szCs w:val="20"/>
        </w:rPr>
        <w:t xml:space="preserve"> </w:t>
      </w:r>
      <w:r>
        <w:rPr>
          <w:rFonts w:ascii="宋体" w:hAnsi="宋体" w:eastAsia="宋体" w:cs="宋体"/>
          <w:spacing w:val="-3"/>
          <w:sz w:val="20"/>
          <w:szCs w:val="20"/>
        </w:rPr>
        <w:t>病风险。酒精摄入是食管癌、肝癌、结直肠癌等多种癌症的高危因素，乙醇在体</w:t>
      </w:r>
      <w:r>
        <w:rPr>
          <w:rFonts w:ascii="宋体" w:hAnsi="宋体" w:eastAsia="宋体" w:cs="宋体"/>
          <w:spacing w:val="-4"/>
          <w:sz w:val="20"/>
          <w:szCs w:val="20"/>
        </w:rPr>
        <w:t>内代谢产生乙醛，而</w:t>
      </w:r>
      <w:r>
        <w:rPr>
          <w:rFonts w:ascii="宋体" w:hAnsi="宋体" w:eastAsia="宋体" w:cs="宋体"/>
          <w:sz w:val="20"/>
          <w:szCs w:val="20"/>
        </w:rPr>
        <w:t xml:space="preserve"> </w:t>
      </w:r>
      <w:r>
        <w:rPr>
          <w:rFonts w:ascii="宋体" w:hAnsi="宋体" w:eastAsia="宋体" w:cs="宋体"/>
          <w:spacing w:val="1"/>
          <w:sz w:val="20"/>
          <w:szCs w:val="20"/>
        </w:rPr>
        <w:t>肝脏是酒精的主要代谢器官，长期饮酒可增加肝脏负荷，损坏肝功能，增加患肝癌的风险。药物滥</w:t>
      </w:r>
      <w:r>
        <w:rPr>
          <w:rFonts w:ascii="宋体" w:hAnsi="宋体" w:eastAsia="宋体" w:cs="宋体"/>
          <w:spacing w:val="13"/>
          <w:sz w:val="20"/>
          <w:szCs w:val="20"/>
        </w:rPr>
        <w:t xml:space="preserve"> </w:t>
      </w:r>
      <w:r>
        <w:rPr>
          <w:rFonts w:ascii="宋体" w:hAnsi="宋体" w:eastAsia="宋体" w:cs="宋体"/>
          <w:spacing w:val="-3"/>
          <w:sz w:val="20"/>
          <w:szCs w:val="20"/>
        </w:rPr>
        <w:t>用增加肝脏负担，也是肝癌的危险因素。</w:t>
      </w:r>
    </w:p>
    <w:p w14:paraId="02675464">
      <w:pPr>
        <w:pStyle w:val="2"/>
        <w:spacing w:before="142" w:line="318" w:lineRule="auto"/>
        <w:ind w:left="659" w:right="70" w:firstLine="400"/>
        <w:rPr>
          <w:rFonts w:ascii="宋体" w:hAnsi="宋体" w:eastAsia="宋体" w:cs="宋体"/>
          <w:sz w:val="20"/>
          <w:szCs w:val="20"/>
        </w:rPr>
      </w:pPr>
      <w:r>
        <w:rPr>
          <w:rFonts w:ascii="宋体" w:hAnsi="宋体" w:eastAsia="宋体" w:cs="宋体"/>
          <w:spacing w:val="5"/>
          <w:sz w:val="20"/>
          <w:szCs w:val="20"/>
        </w:rPr>
        <w:t xml:space="preserve">3. </w:t>
      </w:r>
      <w:r>
        <w:rPr>
          <w:spacing w:val="5"/>
          <w:sz w:val="20"/>
          <w:szCs w:val="20"/>
        </w:rPr>
        <w:t>代谢因素</w:t>
      </w:r>
      <w:r>
        <w:rPr>
          <w:spacing w:val="66"/>
          <w:sz w:val="20"/>
          <w:szCs w:val="20"/>
        </w:rPr>
        <w:t xml:space="preserve"> </w:t>
      </w:r>
      <w:r>
        <w:rPr>
          <w:rFonts w:ascii="宋体" w:hAnsi="宋体" w:eastAsia="宋体" w:cs="宋体"/>
          <w:spacing w:val="5"/>
          <w:sz w:val="20"/>
          <w:szCs w:val="20"/>
        </w:rPr>
        <w:t>超重和肥胖、高血糖、高低密度脂蛋白胆固醇等代</w:t>
      </w:r>
      <w:r>
        <w:rPr>
          <w:rFonts w:ascii="宋体" w:hAnsi="宋体" w:eastAsia="宋体" w:cs="宋体"/>
          <w:spacing w:val="4"/>
          <w:sz w:val="20"/>
          <w:szCs w:val="20"/>
        </w:rPr>
        <w:t>谢异常因素能够增加多种恶</w:t>
      </w:r>
      <w:r>
        <w:rPr>
          <w:rFonts w:ascii="宋体" w:hAnsi="宋体" w:eastAsia="宋体" w:cs="宋体"/>
          <w:sz w:val="20"/>
          <w:szCs w:val="20"/>
        </w:rPr>
        <w:t xml:space="preserve"> </w:t>
      </w:r>
      <w:r>
        <w:rPr>
          <w:rFonts w:ascii="宋体" w:hAnsi="宋体" w:eastAsia="宋体" w:cs="宋体"/>
          <w:spacing w:val="3"/>
          <w:sz w:val="20"/>
          <w:szCs w:val="20"/>
        </w:rPr>
        <w:t>性肿瘤的疾病负担。关于肥胖增加癌症发病的机制，</w:t>
      </w:r>
      <w:r>
        <w:rPr>
          <w:rFonts w:ascii="宋体" w:hAnsi="宋体" w:eastAsia="宋体" w:cs="宋体"/>
          <w:spacing w:val="63"/>
          <w:sz w:val="20"/>
          <w:szCs w:val="20"/>
        </w:rPr>
        <w:t xml:space="preserve"> </w:t>
      </w:r>
      <w:r>
        <w:rPr>
          <w:rFonts w:ascii="宋体" w:hAnsi="宋体" w:eastAsia="宋体" w:cs="宋体"/>
          <w:spacing w:val="3"/>
          <w:sz w:val="20"/>
          <w:szCs w:val="20"/>
        </w:rPr>
        <w:t>一般认为是由于身</w:t>
      </w:r>
      <w:r>
        <w:rPr>
          <w:rFonts w:ascii="宋体" w:hAnsi="宋体" w:eastAsia="宋体" w:cs="宋体"/>
          <w:spacing w:val="2"/>
          <w:sz w:val="20"/>
          <w:szCs w:val="20"/>
        </w:rPr>
        <w:t>体脂肪会影响体内激素水</w:t>
      </w:r>
      <w:r>
        <w:rPr>
          <w:rFonts w:ascii="宋体" w:hAnsi="宋体" w:eastAsia="宋体" w:cs="宋体"/>
          <w:sz w:val="20"/>
          <w:szCs w:val="20"/>
        </w:rPr>
        <w:t xml:space="preserve"> </w:t>
      </w:r>
      <w:r>
        <w:rPr>
          <w:rFonts w:ascii="宋体" w:hAnsi="宋体" w:eastAsia="宋体" w:cs="宋体"/>
          <w:spacing w:val="-3"/>
          <w:sz w:val="20"/>
          <w:szCs w:val="20"/>
        </w:rPr>
        <w:t>平，过多的脂肪导致体内激素水平失衡，进而导致肿瘤包括结直肠癌、肾癌、</w:t>
      </w:r>
      <w:r>
        <w:rPr>
          <w:rFonts w:ascii="宋体" w:hAnsi="宋体" w:eastAsia="宋体" w:cs="宋体"/>
          <w:spacing w:val="-4"/>
          <w:sz w:val="20"/>
          <w:szCs w:val="20"/>
        </w:rPr>
        <w:t>食管癌、胰腺癌以及女</w:t>
      </w:r>
      <w:r>
        <w:rPr>
          <w:rFonts w:ascii="宋体" w:hAnsi="宋体" w:eastAsia="宋体" w:cs="宋体"/>
          <w:sz w:val="20"/>
          <w:szCs w:val="20"/>
        </w:rPr>
        <w:t xml:space="preserve"> </w:t>
      </w:r>
      <w:r>
        <w:rPr>
          <w:rFonts w:ascii="宋体" w:hAnsi="宋体" w:eastAsia="宋体" w:cs="宋体"/>
          <w:spacing w:val="5"/>
          <w:sz w:val="20"/>
          <w:szCs w:val="20"/>
        </w:rPr>
        <w:t>性乳腺癌(绝经后)等的发生。</w:t>
      </w:r>
    </w:p>
    <w:p w14:paraId="08F9A31B">
      <w:pPr>
        <w:pStyle w:val="2"/>
        <w:spacing w:before="101" w:line="313" w:lineRule="auto"/>
        <w:ind w:left="659" w:right="87" w:firstLine="400"/>
        <w:rPr>
          <w:rFonts w:ascii="宋体" w:hAnsi="宋体" w:eastAsia="宋体" w:cs="宋体"/>
          <w:sz w:val="20"/>
          <w:szCs w:val="20"/>
        </w:rPr>
      </w:pPr>
      <w:r>
        <w:rPr>
          <w:rFonts w:ascii="宋体" w:hAnsi="宋体" w:eastAsia="宋体" w:cs="宋体"/>
          <w:spacing w:val="5"/>
          <w:sz w:val="20"/>
          <w:szCs w:val="20"/>
        </w:rPr>
        <w:t xml:space="preserve">4. </w:t>
      </w:r>
      <w:r>
        <w:rPr>
          <w:spacing w:val="5"/>
          <w:sz w:val="20"/>
          <w:szCs w:val="20"/>
        </w:rPr>
        <w:t>遗传因素</w:t>
      </w:r>
      <w:r>
        <w:rPr>
          <w:spacing w:val="76"/>
          <w:sz w:val="20"/>
          <w:szCs w:val="20"/>
        </w:rPr>
        <w:t xml:space="preserve"> </w:t>
      </w:r>
      <w:r>
        <w:rPr>
          <w:rFonts w:ascii="宋体" w:hAnsi="宋体" w:eastAsia="宋体" w:cs="宋体"/>
          <w:spacing w:val="5"/>
          <w:sz w:val="20"/>
          <w:szCs w:val="20"/>
        </w:rPr>
        <w:t>恶性肿瘤的发病通常有一定的</w:t>
      </w:r>
      <w:r>
        <w:rPr>
          <w:rFonts w:ascii="宋体" w:hAnsi="宋体" w:eastAsia="宋体" w:cs="宋体"/>
          <w:spacing w:val="4"/>
          <w:sz w:val="20"/>
          <w:szCs w:val="20"/>
        </w:rPr>
        <w:t>家族聚集性和种族差异，常见的家族遗传性肿瘤</w:t>
      </w:r>
      <w:r>
        <w:rPr>
          <w:rFonts w:ascii="宋体" w:hAnsi="宋体" w:eastAsia="宋体" w:cs="宋体"/>
          <w:sz w:val="20"/>
          <w:szCs w:val="20"/>
        </w:rPr>
        <w:t xml:space="preserve"> </w:t>
      </w:r>
      <w:r>
        <w:rPr>
          <w:rFonts w:ascii="宋体" w:hAnsi="宋体" w:eastAsia="宋体" w:cs="宋体"/>
          <w:spacing w:val="6"/>
          <w:sz w:val="20"/>
          <w:szCs w:val="20"/>
        </w:rPr>
        <w:t>有乳腺癌、卵巢癌和结肠癌等。携带易感基因致病性突变的家族遗传性肿瘤患者常以常染色体显</w:t>
      </w:r>
      <w:r>
        <w:rPr>
          <w:rFonts w:ascii="宋体" w:hAnsi="宋体" w:eastAsia="宋体" w:cs="宋体"/>
          <w:spacing w:val="9"/>
          <w:sz w:val="20"/>
          <w:szCs w:val="20"/>
        </w:rPr>
        <w:t xml:space="preserve"> </w:t>
      </w:r>
      <w:r>
        <w:rPr>
          <w:rFonts w:ascii="宋体" w:hAnsi="宋体" w:eastAsia="宋体" w:cs="宋体"/>
          <w:spacing w:val="2"/>
          <w:sz w:val="20"/>
          <w:szCs w:val="20"/>
        </w:rPr>
        <w:t>性遗传的方式遗传给下一代。</w:t>
      </w:r>
    </w:p>
    <w:p w14:paraId="0B4B2482">
      <w:pPr>
        <w:pStyle w:val="2"/>
        <w:spacing w:before="110" w:line="221" w:lineRule="auto"/>
        <w:ind w:left="1063"/>
        <w:rPr>
          <w:sz w:val="23"/>
          <w:szCs w:val="23"/>
        </w:rPr>
      </w:pPr>
      <w:r>
        <w:rPr>
          <w:b/>
          <w:bCs/>
          <w:spacing w:val="-8"/>
          <w:sz w:val="23"/>
          <w:szCs w:val="23"/>
        </w:rPr>
        <w:t>(四)预防策略与措施</w:t>
      </w:r>
    </w:p>
    <w:p w14:paraId="541D22BE">
      <w:pPr>
        <w:pStyle w:val="2"/>
        <w:spacing w:before="116" w:line="343" w:lineRule="auto"/>
        <w:ind w:left="659" w:right="71" w:firstLine="400"/>
        <w:jc w:val="both"/>
        <w:rPr>
          <w:rFonts w:ascii="宋体" w:hAnsi="宋体" w:eastAsia="宋体" w:cs="宋体"/>
          <w:sz w:val="20"/>
          <w:szCs w:val="20"/>
        </w:rPr>
      </w:pPr>
      <w:r>
        <w:rPr>
          <w:rFonts w:ascii="Times New Roman" w:hAnsi="Times New Roman" w:eastAsia="Times New Roman" w:cs="Times New Roman"/>
          <w:spacing w:val="1"/>
          <w:sz w:val="20"/>
          <w:szCs w:val="20"/>
        </w:rPr>
        <w:t>1.</w:t>
      </w:r>
      <w:r>
        <w:rPr>
          <w:rFonts w:ascii="Times New Roman" w:hAnsi="Times New Roman" w:eastAsia="Times New Roman" w:cs="Times New Roman"/>
          <w:spacing w:val="21"/>
          <w:w w:val="101"/>
          <w:sz w:val="20"/>
          <w:szCs w:val="20"/>
        </w:rPr>
        <w:t xml:space="preserve">  </w:t>
      </w:r>
      <w:r>
        <w:rPr>
          <w:spacing w:val="1"/>
          <w:sz w:val="20"/>
          <w:szCs w:val="20"/>
        </w:rPr>
        <w:t>预防策略</w:t>
      </w:r>
      <w:r>
        <w:rPr>
          <w:spacing w:val="81"/>
          <w:sz w:val="20"/>
          <w:szCs w:val="20"/>
        </w:rPr>
        <w:t xml:space="preserve"> </w:t>
      </w:r>
      <w:r>
        <w:rPr>
          <w:rFonts w:ascii="Times New Roman" w:hAnsi="Times New Roman" w:eastAsia="Times New Roman" w:cs="Times New Roman"/>
          <w:sz w:val="20"/>
          <w:szCs w:val="20"/>
        </w:rPr>
        <w:t>WHO</w:t>
      </w:r>
      <w:r>
        <w:rPr>
          <w:rFonts w:ascii="宋体" w:hAnsi="宋体" w:eastAsia="宋体" w:cs="宋体"/>
          <w:spacing w:val="1"/>
          <w:sz w:val="20"/>
          <w:szCs w:val="20"/>
        </w:rPr>
        <w:t>与部分成员国共同实施了“抗击癌症的全球</w:t>
      </w:r>
      <w:r>
        <w:rPr>
          <w:rFonts w:ascii="宋体" w:hAnsi="宋体" w:eastAsia="宋体" w:cs="宋体"/>
          <w:sz w:val="20"/>
          <w:szCs w:val="20"/>
        </w:rPr>
        <w:t xml:space="preserve">行动计划”,提出防控肿瘤的总 </w:t>
      </w:r>
      <w:r>
        <w:rPr>
          <w:rFonts w:ascii="宋体" w:hAnsi="宋体" w:eastAsia="宋体" w:cs="宋体"/>
          <w:spacing w:val="-3"/>
          <w:sz w:val="20"/>
          <w:szCs w:val="20"/>
        </w:rPr>
        <w:t>策略包括三部分：病因预防为主；治疗和关怀并重；政府主导、全社会参与。《</w:t>
      </w:r>
      <w:r>
        <w:rPr>
          <w:rFonts w:ascii="宋体" w:hAnsi="宋体" w:eastAsia="宋体" w:cs="宋体"/>
          <w:spacing w:val="-4"/>
          <w:sz w:val="20"/>
          <w:szCs w:val="20"/>
        </w:rPr>
        <w:t>健康中国行动一癌症</w:t>
      </w:r>
      <w:r>
        <w:rPr>
          <w:rFonts w:ascii="宋体" w:hAnsi="宋体" w:eastAsia="宋体" w:cs="宋体"/>
          <w:sz w:val="20"/>
          <w:szCs w:val="20"/>
        </w:rPr>
        <w:t xml:space="preserve"> </w:t>
      </w:r>
      <w:r>
        <w:rPr>
          <w:rFonts w:ascii="宋体" w:hAnsi="宋体" w:eastAsia="宋体" w:cs="宋体"/>
          <w:spacing w:val="8"/>
          <w:sz w:val="20"/>
          <w:szCs w:val="20"/>
        </w:rPr>
        <w:t>防治行动实施方案(2023—2030年》的发布进一步推动了我国癌症防治</w:t>
      </w:r>
      <w:r>
        <w:rPr>
          <w:rFonts w:ascii="宋体" w:hAnsi="宋体" w:eastAsia="宋体" w:cs="宋体"/>
          <w:spacing w:val="7"/>
          <w:sz w:val="20"/>
          <w:szCs w:val="20"/>
        </w:rPr>
        <w:t>工作高质量发展。方案提</w:t>
      </w:r>
    </w:p>
    <w:p w14:paraId="057659FF">
      <w:pPr>
        <w:spacing w:line="343" w:lineRule="auto"/>
        <w:rPr>
          <w:rFonts w:ascii="宋体" w:hAnsi="宋体" w:eastAsia="宋体" w:cs="宋体"/>
          <w:sz w:val="20"/>
          <w:szCs w:val="20"/>
        </w:rPr>
        <w:sectPr>
          <w:footerReference r:id="rId241" w:type="default"/>
          <w:pgSz w:w="11900" w:h="16820"/>
          <w:pgMar w:top="400" w:right="1550" w:bottom="809" w:left="939" w:header="0" w:footer="629" w:gutter="0"/>
          <w:cols w:space="720" w:num="1"/>
        </w:sectPr>
      </w:pPr>
    </w:p>
    <w:p w14:paraId="034560BE">
      <w:pPr>
        <w:pStyle w:val="2"/>
        <w:spacing w:before="216" w:line="221" w:lineRule="auto"/>
        <w:ind w:left="6989"/>
        <w:rPr>
          <w:sz w:val="21"/>
          <w:szCs w:val="21"/>
        </w:rPr>
      </w:pPr>
      <w:r>
        <w:rPr>
          <w:spacing w:val="-22"/>
          <w:w w:val="97"/>
          <w:sz w:val="21"/>
          <w:szCs w:val="21"/>
        </w:rPr>
        <w:t>第十四章 慢性病流行病学</w:t>
      </w:r>
    </w:p>
    <w:p w14:paraId="181F1232">
      <w:pPr>
        <w:spacing w:line="264" w:lineRule="auto"/>
        <w:rPr>
          <w:rFonts w:ascii="Arial"/>
          <w:sz w:val="21"/>
        </w:rPr>
      </w:pPr>
    </w:p>
    <w:p w14:paraId="629692F5">
      <w:pPr>
        <w:spacing w:line="265" w:lineRule="auto"/>
        <w:rPr>
          <w:rFonts w:ascii="Arial"/>
          <w:sz w:val="21"/>
        </w:rPr>
      </w:pPr>
    </w:p>
    <w:p w14:paraId="67DE28AD">
      <w:pPr>
        <w:spacing w:before="68" w:line="326" w:lineRule="auto"/>
        <w:ind w:right="565"/>
        <w:jc w:val="both"/>
        <w:rPr>
          <w:rFonts w:ascii="宋体" w:hAnsi="宋体" w:eastAsia="宋体" w:cs="宋体"/>
          <w:sz w:val="21"/>
          <w:szCs w:val="21"/>
        </w:rPr>
      </w:pPr>
      <w:r>
        <w:rPr>
          <w:rFonts w:ascii="宋体" w:hAnsi="宋体" w:eastAsia="宋体" w:cs="宋体"/>
          <w:spacing w:val="-10"/>
          <w:sz w:val="21"/>
          <w:szCs w:val="21"/>
        </w:rPr>
        <w:t>出牢固树立大卫生、大健康的观念，坚持预防为主、防治结合、中西医并重、综合施策、全程管理，立</w:t>
      </w:r>
      <w:r>
        <w:rPr>
          <w:rFonts w:ascii="宋体" w:hAnsi="宋体" w:eastAsia="宋体" w:cs="宋体"/>
          <w:spacing w:val="8"/>
          <w:sz w:val="21"/>
          <w:szCs w:val="21"/>
        </w:rPr>
        <w:t xml:space="preserve">  </w:t>
      </w:r>
      <w:r>
        <w:rPr>
          <w:rFonts w:ascii="宋体" w:hAnsi="宋体" w:eastAsia="宋体" w:cs="宋体"/>
          <w:spacing w:val="-5"/>
          <w:sz w:val="21"/>
          <w:szCs w:val="21"/>
        </w:rPr>
        <w:t>足全人群、全生命周期、全社会，创新体制机制和工作模式，促进癌症防治关口前移，倡导</w:t>
      </w:r>
      <w:r>
        <w:rPr>
          <w:rFonts w:ascii="宋体" w:hAnsi="宋体" w:eastAsia="宋体" w:cs="宋体"/>
          <w:spacing w:val="-6"/>
          <w:sz w:val="21"/>
          <w:szCs w:val="21"/>
        </w:rPr>
        <w:t>健康生活</w:t>
      </w:r>
      <w:r>
        <w:rPr>
          <w:rFonts w:ascii="宋体" w:hAnsi="宋体" w:eastAsia="宋体" w:cs="宋体"/>
          <w:sz w:val="21"/>
          <w:szCs w:val="21"/>
        </w:rPr>
        <w:t xml:space="preserve">  </w:t>
      </w:r>
      <w:r>
        <w:rPr>
          <w:rFonts w:ascii="宋体" w:hAnsi="宋体" w:eastAsia="宋体" w:cs="宋体"/>
          <w:spacing w:val="-5"/>
          <w:sz w:val="21"/>
          <w:szCs w:val="21"/>
        </w:rPr>
        <w:t>方式，普及健康知识，动员群众参与癌症防治，加强癌症预防、筛查、早诊早治和科研攻关，集中优</w:t>
      </w:r>
      <w:r>
        <w:rPr>
          <w:rFonts w:ascii="宋体" w:hAnsi="宋体" w:eastAsia="宋体" w:cs="宋体"/>
          <w:spacing w:val="17"/>
          <w:sz w:val="21"/>
          <w:szCs w:val="21"/>
        </w:rPr>
        <w:t xml:space="preserve"> </w:t>
      </w:r>
      <w:r>
        <w:rPr>
          <w:rFonts w:ascii="宋体" w:hAnsi="宋体" w:eastAsia="宋体" w:cs="宋体"/>
          <w:spacing w:val="-3"/>
          <w:sz w:val="21"/>
          <w:szCs w:val="21"/>
        </w:rPr>
        <w:t>势力量在发病机制、防治技术、资源配置、政策保障等关键环节取得重点突破，有效减少癌症危害，</w:t>
      </w:r>
      <w:r>
        <w:rPr>
          <w:rFonts w:ascii="宋体" w:hAnsi="宋体" w:eastAsia="宋体" w:cs="宋体"/>
          <w:spacing w:val="5"/>
          <w:sz w:val="21"/>
          <w:szCs w:val="21"/>
        </w:rPr>
        <w:t xml:space="preserve"> </w:t>
      </w:r>
      <w:r>
        <w:rPr>
          <w:rFonts w:ascii="宋体" w:hAnsi="宋体" w:eastAsia="宋体" w:cs="宋体"/>
          <w:sz w:val="21"/>
          <w:szCs w:val="21"/>
        </w:rPr>
        <w:t>为增进群众健康福祉、共建共享健康中国奠</w:t>
      </w:r>
      <w:r>
        <w:rPr>
          <w:rFonts w:ascii="宋体" w:hAnsi="宋体" w:eastAsia="宋体" w:cs="宋体"/>
          <w:spacing w:val="-1"/>
          <w:sz w:val="21"/>
          <w:szCs w:val="21"/>
        </w:rPr>
        <w:t>定良好基础。</w:t>
      </w:r>
    </w:p>
    <w:p w14:paraId="309994AA">
      <w:pPr>
        <w:spacing w:before="16" w:line="220" w:lineRule="auto"/>
        <w:ind w:left="409"/>
        <w:rPr>
          <w:rFonts w:ascii="宋体" w:hAnsi="宋体" w:eastAsia="宋体" w:cs="宋体"/>
          <w:sz w:val="21"/>
          <w:szCs w:val="21"/>
        </w:rPr>
      </w:pPr>
      <w:r>
        <w:rPr>
          <w:rFonts w:ascii="宋体" w:hAnsi="宋体" w:eastAsia="宋体" w:cs="宋体"/>
          <w:spacing w:val="7"/>
          <w:sz w:val="21"/>
          <w:szCs w:val="21"/>
        </w:rPr>
        <w:t>2. 预防措施</w:t>
      </w:r>
    </w:p>
    <w:p w14:paraId="1E38A253">
      <w:pPr>
        <w:spacing w:before="131" w:line="298" w:lineRule="auto"/>
        <w:ind w:right="656" w:firstLine="409"/>
        <w:rPr>
          <w:rFonts w:ascii="宋体" w:hAnsi="宋体" w:eastAsia="宋体" w:cs="宋体"/>
          <w:sz w:val="21"/>
          <w:szCs w:val="21"/>
        </w:rPr>
      </w:pPr>
      <w:r>
        <w:rPr>
          <w:rFonts w:ascii="宋体" w:hAnsi="宋体" w:eastAsia="宋体" w:cs="宋体"/>
          <w:spacing w:val="3"/>
          <w:sz w:val="21"/>
          <w:szCs w:val="21"/>
        </w:rPr>
        <w:t>(1)第一级预防：肿瘤的第一级预防也称肿瘤的病因</w:t>
      </w:r>
      <w:r>
        <w:rPr>
          <w:rFonts w:ascii="宋体" w:hAnsi="宋体" w:eastAsia="宋体" w:cs="宋体"/>
          <w:spacing w:val="2"/>
          <w:sz w:val="21"/>
          <w:szCs w:val="21"/>
        </w:rPr>
        <w:t>学预防，主要指针对一般人群消除或降低</w:t>
      </w:r>
      <w:r>
        <w:rPr>
          <w:rFonts w:ascii="宋体" w:hAnsi="宋体" w:eastAsia="宋体" w:cs="宋体"/>
          <w:sz w:val="21"/>
          <w:szCs w:val="21"/>
        </w:rPr>
        <w:t xml:space="preserve"> </w:t>
      </w:r>
      <w:r>
        <w:rPr>
          <w:rFonts w:ascii="宋体" w:hAnsi="宋体" w:eastAsia="宋体" w:cs="宋体"/>
          <w:spacing w:val="5"/>
          <w:sz w:val="21"/>
          <w:szCs w:val="21"/>
        </w:rPr>
        <w:t>致癌因素，促进健康，防患于未然的预防措施。肿瘤的发生是环境致癌因素</w:t>
      </w:r>
      <w:r>
        <w:rPr>
          <w:rFonts w:ascii="宋体" w:hAnsi="宋体" w:eastAsia="宋体" w:cs="宋体"/>
          <w:spacing w:val="4"/>
          <w:sz w:val="21"/>
          <w:szCs w:val="21"/>
        </w:rPr>
        <w:t>与机体长期作用的结</w:t>
      </w:r>
      <w:r>
        <w:rPr>
          <w:rFonts w:ascii="宋体" w:hAnsi="宋体" w:eastAsia="宋体" w:cs="宋体"/>
          <w:sz w:val="21"/>
          <w:szCs w:val="21"/>
        </w:rPr>
        <w:t xml:space="preserve"> </w:t>
      </w:r>
      <w:r>
        <w:rPr>
          <w:rFonts w:ascii="宋体" w:hAnsi="宋体" w:eastAsia="宋体" w:cs="宋体"/>
          <w:spacing w:val="-5"/>
          <w:sz w:val="21"/>
          <w:szCs w:val="21"/>
        </w:rPr>
        <w:t>果，针对消除这些致癌因素所采取的措施均属于第一级预防，如控烟、合理膳食、限制饮酒、消除职</w:t>
      </w:r>
      <w:r>
        <w:rPr>
          <w:rFonts w:ascii="宋体" w:hAnsi="宋体" w:eastAsia="宋体" w:cs="宋体"/>
          <w:sz w:val="21"/>
          <w:szCs w:val="21"/>
        </w:rPr>
        <w:t xml:space="preserve"> </w:t>
      </w:r>
      <w:r>
        <w:rPr>
          <w:rFonts w:ascii="宋体" w:hAnsi="宋体" w:eastAsia="宋体" w:cs="宋体"/>
          <w:spacing w:val="5"/>
          <w:sz w:val="21"/>
          <w:szCs w:val="21"/>
        </w:rPr>
        <w:t>业性危害以及健康教育和健康促进等。</w:t>
      </w:r>
    </w:p>
    <w:p w14:paraId="28D33615">
      <w:pPr>
        <w:spacing w:before="122" w:line="284" w:lineRule="auto"/>
        <w:ind w:right="565" w:firstLine="409"/>
        <w:rPr>
          <w:rFonts w:ascii="宋体" w:hAnsi="宋体" w:eastAsia="宋体" w:cs="宋体"/>
          <w:sz w:val="21"/>
          <w:szCs w:val="21"/>
        </w:rPr>
      </w:pPr>
      <w:r>
        <w:rPr>
          <w:rFonts w:ascii="宋体" w:hAnsi="宋体" w:eastAsia="宋体" w:cs="宋体"/>
          <w:spacing w:val="3"/>
          <w:sz w:val="21"/>
          <w:szCs w:val="21"/>
        </w:rPr>
        <w:t>(2)第二级预防：肿瘤的第二级预防主要针对特</w:t>
      </w:r>
      <w:r>
        <w:rPr>
          <w:rFonts w:ascii="宋体" w:hAnsi="宋体" w:eastAsia="宋体" w:cs="宋体"/>
          <w:spacing w:val="2"/>
          <w:sz w:val="21"/>
          <w:szCs w:val="21"/>
        </w:rPr>
        <w:t>定高风险人群筛检癌前病变或早期肿瘤，抓住</w:t>
      </w:r>
      <w:r>
        <w:rPr>
          <w:rFonts w:ascii="宋体" w:hAnsi="宋体" w:eastAsia="宋体" w:cs="宋体"/>
          <w:sz w:val="21"/>
          <w:szCs w:val="21"/>
        </w:rPr>
        <w:t xml:space="preserve">  </w:t>
      </w:r>
      <w:r>
        <w:rPr>
          <w:rFonts w:ascii="宋体" w:hAnsi="宋体" w:eastAsia="宋体" w:cs="宋体"/>
          <w:spacing w:val="-3"/>
          <w:sz w:val="21"/>
          <w:szCs w:val="21"/>
        </w:rPr>
        <w:t>肿瘤治疗的最佳时期，使肿瘤患者得到及时治疗而康复或痊愈。如对宫颈癌、乳腺癌、胃癌、肝癌、</w:t>
      </w:r>
      <w:r>
        <w:rPr>
          <w:rFonts w:ascii="宋体" w:hAnsi="宋体" w:eastAsia="宋体" w:cs="宋体"/>
          <w:spacing w:val="5"/>
          <w:sz w:val="21"/>
          <w:szCs w:val="21"/>
        </w:rPr>
        <w:t xml:space="preserve"> </w:t>
      </w:r>
      <w:r>
        <w:rPr>
          <w:rFonts w:ascii="宋体" w:hAnsi="宋体" w:eastAsia="宋体" w:cs="宋体"/>
          <w:spacing w:val="2"/>
          <w:sz w:val="21"/>
          <w:szCs w:val="21"/>
        </w:rPr>
        <w:t>结肠癌等常见肿瘤通过早期发现和及时治疗可明显提高患者的生存期和治愈率。</w:t>
      </w:r>
    </w:p>
    <w:p w14:paraId="368A3515">
      <w:pPr>
        <w:spacing w:before="160" w:line="294" w:lineRule="auto"/>
        <w:ind w:right="565" w:firstLine="409"/>
        <w:rPr>
          <w:rFonts w:ascii="宋体" w:hAnsi="宋体" w:eastAsia="宋体" w:cs="宋体"/>
          <w:sz w:val="21"/>
          <w:szCs w:val="21"/>
        </w:rPr>
      </w:pPr>
      <w:r>
        <w:rPr>
          <w:rFonts w:ascii="宋体" w:hAnsi="宋体" w:eastAsia="宋体" w:cs="宋体"/>
          <w:spacing w:val="-2"/>
          <w:sz w:val="21"/>
          <w:szCs w:val="21"/>
        </w:rPr>
        <w:t>(3)第三级预防：肿瘤的第三级预防是指针对肿瘤患者防止复发，减少并发症，防止致残，提高</w:t>
      </w:r>
      <w:r>
        <w:rPr>
          <w:rFonts w:ascii="宋体" w:hAnsi="宋体" w:eastAsia="宋体" w:cs="宋体"/>
          <w:sz w:val="21"/>
          <w:szCs w:val="21"/>
        </w:rPr>
        <w:t xml:space="preserve"> 生存率和康复率，以及减轻由肿瘤引起的疼痛，提高生活质量，促进康复</w:t>
      </w:r>
      <w:r>
        <w:rPr>
          <w:rFonts w:ascii="宋体" w:hAnsi="宋体" w:eastAsia="宋体" w:cs="宋体"/>
          <w:spacing w:val="-1"/>
          <w:sz w:val="21"/>
          <w:szCs w:val="21"/>
        </w:rPr>
        <w:t>等而采取的措施。肿瘤的</w:t>
      </w:r>
      <w:r>
        <w:rPr>
          <w:rFonts w:ascii="宋体" w:hAnsi="宋体" w:eastAsia="宋体" w:cs="宋体"/>
          <w:sz w:val="21"/>
          <w:szCs w:val="21"/>
        </w:rPr>
        <w:t xml:space="preserve">  </w:t>
      </w:r>
      <w:r>
        <w:rPr>
          <w:rFonts w:ascii="宋体" w:hAnsi="宋体" w:eastAsia="宋体" w:cs="宋体"/>
          <w:spacing w:val="-3"/>
          <w:sz w:val="21"/>
          <w:szCs w:val="21"/>
        </w:rPr>
        <w:t>第三级预防涵盖了患者诊断后所有医疗干预内容，要求专业诊治机构、社区、家庭及患者共同参与，</w:t>
      </w:r>
      <w:r>
        <w:rPr>
          <w:rFonts w:ascii="宋体" w:hAnsi="宋体" w:eastAsia="宋体" w:cs="宋体"/>
          <w:spacing w:val="5"/>
          <w:sz w:val="21"/>
          <w:szCs w:val="21"/>
        </w:rPr>
        <w:t xml:space="preserve"> </w:t>
      </w:r>
      <w:r>
        <w:rPr>
          <w:rFonts w:ascii="宋体" w:hAnsi="宋体" w:eastAsia="宋体" w:cs="宋体"/>
          <w:spacing w:val="4"/>
          <w:sz w:val="21"/>
          <w:szCs w:val="21"/>
        </w:rPr>
        <w:t>运用综合干预的方法提高患者的整体健康水平和生存质量。</w:t>
      </w:r>
    </w:p>
    <w:p w14:paraId="3DC8714B">
      <w:pPr>
        <w:pStyle w:val="2"/>
        <w:spacing w:before="261" w:line="222" w:lineRule="auto"/>
        <w:ind w:left="413"/>
        <w:outlineLvl w:val="4"/>
        <w:rPr>
          <w:sz w:val="27"/>
          <w:szCs w:val="27"/>
        </w:rPr>
      </w:pPr>
      <w:bookmarkStart w:id="378" w:name="bookmark241"/>
      <w:bookmarkEnd w:id="378"/>
      <w:r>
        <w:rPr>
          <w:b/>
          <w:bCs/>
          <w:spacing w:val="-12"/>
          <w:sz w:val="27"/>
          <w:szCs w:val="27"/>
        </w:rPr>
        <w:t>三、糖尿病</w:t>
      </w:r>
    </w:p>
    <w:p w14:paraId="1DEC63D1">
      <w:pPr>
        <w:spacing w:before="242" w:line="331" w:lineRule="auto"/>
        <w:ind w:right="661" w:firstLine="409"/>
        <w:rPr>
          <w:rFonts w:ascii="宋体" w:hAnsi="宋体" w:eastAsia="宋体" w:cs="宋体"/>
          <w:sz w:val="21"/>
          <w:szCs w:val="21"/>
        </w:rPr>
      </w:pPr>
      <w:r>
        <w:rPr>
          <w:rFonts w:ascii="宋体" w:hAnsi="宋体" w:eastAsia="宋体" w:cs="宋体"/>
          <w:spacing w:val="-1"/>
          <w:sz w:val="21"/>
          <w:szCs w:val="21"/>
        </w:rPr>
        <w:t>糖尿病</w:t>
      </w:r>
      <w:r>
        <w:rPr>
          <w:rFonts w:ascii="Times New Roman" w:hAnsi="Times New Roman" w:eastAsia="Times New Roman" w:cs="Times New Roman"/>
          <w:spacing w:val="-1"/>
          <w:sz w:val="21"/>
          <w:szCs w:val="21"/>
        </w:rPr>
        <w:t>(diabetes    mellitus)</w:t>
      </w:r>
      <w:r>
        <w:rPr>
          <w:rFonts w:ascii="宋体" w:hAnsi="宋体" w:eastAsia="宋体" w:cs="宋体"/>
          <w:spacing w:val="-1"/>
          <w:sz w:val="21"/>
          <w:szCs w:val="21"/>
        </w:rPr>
        <w:t>是由多种病因引起的代谢紊乱，其特点是慢性高血糖，伴有胰岛素分</w:t>
      </w:r>
      <w:r>
        <w:rPr>
          <w:rFonts w:ascii="宋体" w:hAnsi="宋体" w:eastAsia="宋体" w:cs="宋体"/>
          <w:spacing w:val="18"/>
          <w:sz w:val="21"/>
          <w:szCs w:val="21"/>
        </w:rPr>
        <w:t xml:space="preserve"> </w:t>
      </w:r>
      <w:r>
        <w:rPr>
          <w:rFonts w:ascii="宋体" w:hAnsi="宋体" w:eastAsia="宋体" w:cs="宋体"/>
          <w:spacing w:val="-4"/>
          <w:sz w:val="21"/>
          <w:szCs w:val="21"/>
        </w:rPr>
        <w:t>泌不足和/或作用障碍，导致代谢紊乱，造成多种器官的慢性损伤、功能障碍甚至衰竭。</w:t>
      </w:r>
    </w:p>
    <w:p w14:paraId="53BC7BF3">
      <w:pPr>
        <w:pStyle w:val="2"/>
        <w:spacing w:before="1" w:line="220" w:lineRule="auto"/>
        <w:ind w:left="409"/>
        <w:rPr>
          <w:sz w:val="21"/>
          <w:szCs w:val="21"/>
        </w:rPr>
      </w:pPr>
      <w:r>
        <w:rPr>
          <w:spacing w:val="18"/>
          <w:sz w:val="21"/>
          <w:szCs w:val="21"/>
        </w:rPr>
        <w:t>(</w:t>
      </w:r>
      <w:r>
        <w:rPr>
          <w:spacing w:val="-48"/>
          <w:sz w:val="21"/>
          <w:szCs w:val="21"/>
        </w:rPr>
        <w:t xml:space="preserve"> </w:t>
      </w:r>
      <w:r>
        <w:rPr>
          <w:spacing w:val="18"/>
          <w:sz w:val="21"/>
          <w:szCs w:val="21"/>
        </w:rPr>
        <w:t>一</w:t>
      </w:r>
      <w:r>
        <w:rPr>
          <w:spacing w:val="-58"/>
          <w:sz w:val="21"/>
          <w:szCs w:val="21"/>
        </w:rPr>
        <w:t xml:space="preserve"> </w:t>
      </w:r>
      <w:r>
        <w:rPr>
          <w:spacing w:val="18"/>
          <w:sz w:val="21"/>
          <w:szCs w:val="21"/>
        </w:rPr>
        <w:t>)诊断与分型</w:t>
      </w:r>
    </w:p>
    <w:p w14:paraId="1C9C6E4F">
      <w:pPr>
        <w:pStyle w:val="2"/>
        <w:spacing w:before="129" w:line="304" w:lineRule="auto"/>
        <w:ind w:right="565" w:firstLine="409"/>
        <w:rPr>
          <w:rFonts w:ascii="宋体" w:hAnsi="宋体" w:eastAsia="宋体" w:cs="宋体"/>
          <w:sz w:val="21"/>
          <w:szCs w:val="21"/>
        </w:rPr>
      </w:pPr>
      <w:r>
        <w:rPr>
          <w:rFonts w:ascii="宋体" w:hAnsi="宋体" w:eastAsia="宋体" w:cs="宋体"/>
          <w:spacing w:val="5"/>
          <w:sz w:val="21"/>
          <w:szCs w:val="21"/>
        </w:rPr>
        <w:t xml:space="preserve">1. </w:t>
      </w:r>
      <w:r>
        <w:rPr>
          <w:spacing w:val="5"/>
          <w:sz w:val="21"/>
          <w:szCs w:val="21"/>
        </w:rPr>
        <w:t xml:space="preserve">糖尿病的诊断标准  </w:t>
      </w:r>
      <w:r>
        <w:rPr>
          <w:rFonts w:ascii="宋体" w:hAnsi="宋体" w:eastAsia="宋体" w:cs="宋体"/>
          <w:sz w:val="21"/>
          <w:szCs w:val="21"/>
        </w:rPr>
        <w:t>WHO</w:t>
      </w:r>
      <w:r>
        <w:rPr>
          <w:rFonts w:ascii="宋体" w:hAnsi="宋体" w:eastAsia="宋体" w:cs="宋体"/>
          <w:spacing w:val="5"/>
          <w:sz w:val="21"/>
          <w:szCs w:val="21"/>
        </w:rPr>
        <w:t xml:space="preserve">  于1999年提出糖尿病的诊断标准：有典型糖尿病症状，且随机</w:t>
      </w:r>
      <w:r>
        <w:rPr>
          <w:rFonts w:ascii="宋体" w:hAnsi="宋体" w:eastAsia="宋体" w:cs="宋体"/>
          <w:spacing w:val="7"/>
          <w:sz w:val="21"/>
          <w:szCs w:val="21"/>
        </w:rPr>
        <w:t xml:space="preserve"> </w:t>
      </w:r>
      <w:r>
        <w:rPr>
          <w:rFonts w:ascii="宋体" w:hAnsi="宋体" w:eastAsia="宋体" w:cs="宋体"/>
          <w:spacing w:val="1"/>
          <w:sz w:val="21"/>
          <w:szCs w:val="21"/>
        </w:rPr>
        <w:t>血糖≥11.1</w:t>
      </w:r>
      <w:r>
        <w:rPr>
          <w:rFonts w:ascii="Times New Roman" w:hAnsi="Times New Roman" w:eastAsia="Times New Roman" w:cs="Times New Roman"/>
          <w:sz w:val="21"/>
          <w:szCs w:val="21"/>
        </w:rPr>
        <w:t>mmol</w:t>
      </w:r>
      <w:r>
        <w:rPr>
          <w:rFonts w:ascii="Times New Roman" w:hAnsi="Times New Roman" w:eastAsia="Times New Roman" w:cs="Times New Roman"/>
          <w:spacing w:val="1"/>
          <w:sz w:val="21"/>
          <w:szCs w:val="21"/>
        </w:rPr>
        <w:t>/L(200</w:t>
      </w:r>
      <w:r>
        <w:rPr>
          <w:rFonts w:ascii="Times New Roman" w:hAnsi="Times New Roman" w:eastAsia="Times New Roman" w:cs="Times New Roman"/>
          <w:sz w:val="21"/>
          <w:szCs w:val="21"/>
        </w:rPr>
        <w:t>mg</w:t>
      </w:r>
      <w:r>
        <w:rPr>
          <w:rFonts w:ascii="Times New Roman" w:hAnsi="Times New Roman" w:eastAsia="Times New Roman" w:cs="Times New Roman"/>
          <w:spacing w:val="1"/>
          <w:sz w:val="21"/>
          <w:szCs w:val="21"/>
        </w:rPr>
        <w:t>/</w:t>
      </w:r>
      <w:r>
        <w:rPr>
          <w:rFonts w:ascii="Times New Roman" w:hAnsi="Times New Roman" w:eastAsia="Times New Roman" w:cs="Times New Roman"/>
          <w:sz w:val="21"/>
          <w:szCs w:val="21"/>
        </w:rPr>
        <w:t>dl</w:t>
      </w:r>
      <w:r>
        <w:rPr>
          <w:rFonts w:ascii="Times New Roman" w:hAnsi="Times New Roman" w:eastAsia="Times New Roman" w:cs="Times New Roman"/>
          <w:spacing w:val="1"/>
          <w:sz w:val="21"/>
          <w:szCs w:val="21"/>
        </w:rPr>
        <w:t xml:space="preserve">);   </w:t>
      </w:r>
      <w:r>
        <w:rPr>
          <w:rFonts w:ascii="宋体" w:hAnsi="宋体" w:eastAsia="宋体" w:cs="宋体"/>
          <w:spacing w:val="1"/>
          <w:sz w:val="21"/>
          <w:szCs w:val="21"/>
        </w:rPr>
        <w:t>或空腹血糖</w:t>
      </w:r>
      <w:r>
        <w:rPr>
          <w:rFonts w:ascii="Times New Roman" w:hAnsi="Times New Roman" w:eastAsia="Times New Roman" w:cs="Times New Roman"/>
          <w:spacing w:val="1"/>
          <w:sz w:val="21"/>
          <w:szCs w:val="21"/>
        </w:rPr>
        <w:t>(</w:t>
      </w:r>
      <w:r>
        <w:rPr>
          <w:rFonts w:ascii="Times New Roman" w:hAnsi="Times New Roman" w:eastAsia="Times New Roman" w:cs="Times New Roman"/>
          <w:sz w:val="21"/>
          <w:szCs w:val="21"/>
        </w:rPr>
        <w:t>fasting</w:t>
      </w:r>
      <w:r>
        <w:rPr>
          <w:rFonts w:ascii="Times New Roman" w:hAnsi="Times New Roman" w:eastAsia="Times New Roman" w:cs="Times New Roman"/>
          <w:spacing w:val="1"/>
          <w:sz w:val="21"/>
          <w:szCs w:val="21"/>
        </w:rPr>
        <w:t xml:space="preserve">      </w:t>
      </w:r>
      <w:r>
        <w:rPr>
          <w:rFonts w:ascii="Times New Roman" w:hAnsi="Times New Roman" w:eastAsia="Times New Roman" w:cs="Times New Roman"/>
          <w:sz w:val="21"/>
          <w:szCs w:val="21"/>
        </w:rPr>
        <w:t>plasma</w:t>
      </w:r>
      <w:r>
        <w:rPr>
          <w:rFonts w:ascii="Times New Roman" w:hAnsi="Times New Roman" w:eastAsia="Times New Roman" w:cs="Times New Roman"/>
          <w:spacing w:val="1"/>
          <w:sz w:val="21"/>
          <w:szCs w:val="21"/>
        </w:rPr>
        <w:t xml:space="preserve">     </w:t>
      </w:r>
      <w:r>
        <w:rPr>
          <w:rFonts w:ascii="Times New Roman" w:hAnsi="Times New Roman" w:eastAsia="Times New Roman" w:cs="Times New Roman"/>
          <w:sz w:val="21"/>
          <w:szCs w:val="21"/>
        </w:rPr>
        <w:t>glucose</w:t>
      </w:r>
      <w:r>
        <w:rPr>
          <w:rFonts w:ascii="Times New Roman" w:hAnsi="Times New Roman" w:eastAsia="Times New Roman" w:cs="Times New Roman"/>
          <w:spacing w:val="1"/>
          <w:sz w:val="21"/>
          <w:szCs w:val="21"/>
        </w:rPr>
        <w:t>,</w:t>
      </w:r>
      <w:r>
        <w:rPr>
          <w:rFonts w:ascii="Times New Roman" w:hAnsi="Times New Roman" w:eastAsia="Times New Roman" w:cs="Times New Roman"/>
          <w:sz w:val="21"/>
          <w:szCs w:val="21"/>
        </w:rPr>
        <w:t>FPG</w:t>
      </w:r>
      <w:r>
        <w:rPr>
          <w:rFonts w:ascii="Times New Roman" w:hAnsi="Times New Roman" w:eastAsia="Times New Roman" w:cs="Times New Roman"/>
          <w:spacing w:val="1"/>
          <w:sz w:val="21"/>
          <w:szCs w:val="21"/>
        </w:rPr>
        <w:t>)≥7.0</w:t>
      </w:r>
      <w:r>
        <w:rPr>
          <w:rFonts w:ascii="Times New Roman" w:hAnsi="Times New Roman" w:eastAsia="Times New Roman" w:cs="Times New Roman"/>
          <w:sz w:val="21"/>
          <w:szCs w:val="21"/>
        </w:rPr>
        <w:t>mmol</w:t>
      </w:r>
      <w:r>
        <w:rPr>
          <w:rFonts w:ascii="Times New Roman" w:hAnsi="Times New Roman" w:eastAsia="Times New Roman" w:cs="Times New Roman"/>
          <w:spacing w:val="1"/>
          <w:sz w:val="21"/>
          <w:szCs w:val="21"/>
        </w:rPr>
        <w:t>/L(126</w:t>
      </w:r>
      <w:r>
        <w:rPr>
          <w:rFonts w:ascii="Times New Roman" w:hAnsi="Times New Roman" w:eastAsia="Times New Roman" w:cs="Times New Roman"/>
          <w:sz w:val="21"/>
          <w:szCs w:val="21"/>
        </w:rPr>
        <w:t>mg</w:t>
      </w:r>
      <w:r>
        <w:rPr>
          <w:rFonts w:ascii="Times New Roman" w:hAnsi="Times New Roman" w:eastAsia="Times New Roman" w:cs="Times New Roman"/>
          <w:spacing w:val="1"/>
          <w:sz w:val="21"/>
          <w:szCs w:val="21"/>
        </w:rPr>
        <w:t>/</w:t>
      </w:r>
      <w:r>
        <w:rPr>
          <w:rFonts w:ascii="Times New Roman" w:hAnsi="Times New Roman" w:eastAsia="Times New Roman" w:cs="Times New Roman"/>
          <w:sz w:val="21"/>
          <w:szCs w:val="21"/>
        </w:rPr>
        <w:t>dl</w:t>
      </w:r>
      <w:r>
        <w:rPr>
          <w:rFonts w:ascii="Times New Roman" w:hAnsi="Times New Roman" w:eastAsia="Times New Roman" w:cs="Times New Roman"/>
          <w:spacing w:val="1"/>
          <w:sz w:val="21"/>
          <w:szCs w:val="21"/>
        </w:rPr>
        <w:t>);</w:t>
      </w:r>
      <w:r>
        <w:rPr>
          <w:rFonts w:ascii="Times New Roman" w:hAnsi="Times New Roman" w:eastAsia="Times New Roman" w:cs="Times New Roman"/>
          <w:spacing w:val="4"/>
          <w:sz w:val="21"/>
          <w:szCs w:val="21"/>
        </w:rPr>
        <w:t xml:space="preserve">   </w:t>
      </w:r>
      <w:r>
        <w:rPr>
          <w:rFonts w:ascii="宋体" w:hAnsi="宋体" w:eastAsia="宋体" w:cs="宋体"/>
          <w:spacing w:val="9"/>
          <w:sz w:val="21"/>
          <w:szCs w:val="21"/>
        </w:rPr>
        <w:t>或口服葡萄糖耐量试验</w:t>
      </w:r>
      <w:r>
        <w:rPr>
          <w:rFonts w:ascii="Times New Roman" w:hAnsi="Times New Roman" w:eastAsia="Times New Roman" w:cs="Times New Roman"/>
          <w:spacing w:val="9"/>
          <w:sz w:val="21"/>
          <w:szCs w:val="21"/>
        </w:rPr>
        <w:t>(</w:t>
      </w:r>
      <w:r>
        <w:rPr>
          <w:rFonts w:ascii="Times New Roman" w:hAnsi="Times New Roman" w:eastAsia="Times New Roman" w:cs="Times New Roman"/>
          <w:sz w:val="21"/>
          <w:szCs w:val="21"/>
        </w:rPr>
        <w:t>oral</w:t>
      </w:r>
      <w:r>
        <w:rPr>
          <w:rFonts w:ascii="Times New Roman" w:hAnsi="Times New Roman" w:eastAsia="Times New Roman" w:cs="Times New Roman"/>
          <w:spacing w:val="17"/>
          <w:sz w:val="21"/>
          <w:szCs w:val="21"/>
        </w:rPr>
        <w:t xml:space="preserve">   </w:t>
      </w:r>
      <w:r>
        <w:rPr>
          <w:rFonts w:ascii="Times New Roman" w:hAnsi="Times New Roman" w:eastAsia="Times New Roman" w:cs="Times New Roman"/>
          <w:sz w:val="21"/>
          <w:szCs w:val="21"/>
        </w:rPr>
        <w:t>glucose</w:t>
      </w:r>
      <w:r>
        <w:rPr>
          <w:rFonts w:ascii="Times New Roman" w:hAnsi="Times New Roman" w:eastAsia="Times New Roman" w:cs="Times New Roman"/>
          <w:spacing w:val="16"/>
          <w:sz w:val="21"/>
          <w:szCs w:val="21"/>
        </w:rPr>
        <w:t xml:space="preserve">   </w:t>
      </w:r>
      <w:r>
        <w:rPr>
          <w:rFonts w:ascii="Times New Roman" w:hAnsi="Times New Roman" w:eastAsia="Times New Roman" w:cs="Times New Roman"/>
          <w:sz w:val="21"/>
          <w:szCs w:val="21"/>
        </w:rPr>
        <w:t>tolerance</w:t>
      </w:r>
      <w:r>
        <w:rPr>
          <w:rFonts w:ascii="Times New Roman" w:hAnsi="Times New Roman" w:eastAsia="Times New Roman" w:cs="Times New Roman"/>
          <w:spacing w:val="16"/>
          <w:sz w:val="21"/>
          <w:szCs w:val="21"/>
        </w:rPr>
        <w:t xml:space="preserve">   </w:t>
      </w:r>
      <w:r>
        <w:rPr>
          <w:rFonts w:ascii="Times New Roman" w:hAnsi="Times New Roman" w:eastAsia="Times New Roman" w:cs="Times New Roman"/>
          <w:sz w:val="21"/>
          <w:szCs w:val="21"/>
        </w:rPr>
        <w:t>test</w:t>
      </w:r>
      <w:r>
        <w:rPr>
          <w:rFonts w:ascii="Times New Roman" w:hAnsi="Times New Roman" w:eastAsia="Times New Roman" w:cs="Times New Roman"/>
          <w:spacing w:val="9"/>
          <w:sz w:val="21"/>
          <w:szCs w:val="21"/>
        </w:rPr>
        <w:t>,</w:t>
      </w:r>
      <w:r>
        <w:rPr>
          <w:rFonts w:ascii="Times New Roman" w:hAnsi="Times New Roman" w:eastAsia="Times New Roman" w:cs="Times New Roman"/>
          <w:sz w:val="21"/>
          <w:szCs w:val="21"/>
        </w:rPr>
        <w:t>OGTT</w:t>
      </w:r>
      <w:r>
        <w:rPr>
          <w:rFonts w:ascii="Times New Roman" w:hAnsi="Times New Roman" w:eastAsia="Times New Roman" w:cs="Times New Roman"/>
          <w:spacing w:val="9"/>
          <w:sz w:val="21"/>
          <w:szCs w:val="21"/>
        </w:rPr>
        <w:t>)</w:t>
      </w:r>
      <w:r>
        <w:rPr>
          <w:rFonts w:ascii="宋体" w:hAnsi="宋体" w:eastAsia="宋体" w:cs="宋体"/>
          <w:spacing w:val="9"/>
          <w:sz w:val="21"/>
          <w:szCs w:val="21"/>
        </w:rPr>
        <w:t>中，葡萄糖负荷</w:t>
      </w:r>
      <w:r>
        <w:rPr>
          <w:rFonts w:ascii="宋体" w:hAnsi="宋体" w:eastAsia="宋体" w:cs="宋体"/>
          <w:spacing w:val="8"/>
          <w:sz w:val="21"/>
          <w:szCs w:val="21"/>
        </w:rPr>
        <w:t>(75</w:t>
      </w:r>
      <w:r>
        <w:rPr>
          <w:rFonts w:ascii="Times New Roman" w:hAnsi="Times New Roman" w:eastAsia="Times New Roman" w:cs="Times New Roman"/>
          <w:spacing w:val="8"/>
          <w:sz w:val="21"/>
          <w:szCs w:val="21"/>
        </w:rPr>
        <w:t>g</w:t>
      </w:r>
      <w:r>
        <w:rPr>
          <w:rFonts w:ascii="宋体" w:hAnsi="宋体" w:eastAsia="宋体" w:cs="宋体"/>
          <w:spacing w:val="8"/>
          <w:sz w:val="21"/>
          <w:szCs w:val="21"/>
        </w:rPr>
        <w:t>无水葡萄糖)后</w:t>
      </w:r>
      <w:r>
        <w:rPr>
          <w:rFonts w:ascii="宋体" w:hAnsi="宋体" w:eastAsia="宋体" w:cs="宋体"/>
          <w:sz w:val="21"/>
          <w:szCs w:val="21"/>
        </w:rPr>
        <w:t xml:space="preserve">  </w:t>
      </w:r>
      <w:r>
        <w:rPr>
          <w:rFonts w:ascii="宋体" w:hAnsi="宋体" w:eastAsia="宋体" w:cs="宋体"/>
          <w:spacing w:val="4"/>
          <w:sz w:val="21"/>
          <w:szCs w:val="21"/>
        </w:rPr>
        <w:t>2小时血糖(2</w:t>
      </w:r>
      <w:r>
        <w:rPr>
          <w:rFonts w:ascii="Times New Roman" w:hAnsi="Times New Roman" w:eastAsia="Times New Roman" w:cs="Times New Roman"/>
          <w:sz w:val="21"/>
          <w:szCs w:val="21"/>
        </w:rPr>
        <w:t>h</w:t>
      </w:r>
      <w:r>
        <w:rPr>
          <w:rFonts w:ascii="Times New Roman" w:hAnsi="Times New Roman" w:eastAsia="Times New Roman" w:cs="Times New Roman"/>
          <w:spacing w:val="4"/>
          <w:sz w:val="21"/>
          <w:szCs w:val="21"/>
        </w:rPr>
        <w:t xml:space="preserve">       </w:t>
      </w:r>
      <w:r>
        <w:rPr>
          <w:rFonts w:ascii="Times New Roman" w:hAnsi="Times New Roman" w:eastAsia="Times New Roman" w:cs="Times New Roman"/>
          <w:sz w:val="21"/>
          <w:szCs w:val="21"/>
        </w:rPr>
        <w:t>PG</w:t>
      </w:r>
      <w:r>
        <w:rPr>
          <w:rFonts w:ascii="Times New Roman" w:hAnsi="Times New Roman" w:eastAsia="Times New Roman" w:cs="Times New Roman"/>
          <w:spacing w:val="4"/>
          <w:sz w:val="21"/>
          <w:szCs w:val="21"/>
        </w:rPr>
        <w:t>)≥11.1</w:t>
      </w:r>
      <w:r>
        <w:rPr>
          <w:rFonts w:ascii="Times New Roman" w:hAnsi="Times New Roman" w:eastAsia="Times New Roman" w:cs="Times New Roman"/>
          <w:sz w:val="21"/>
          <w:szCs w:val="21"/>
        </w:rPr>
        <w:t>mmol</w:t>
      </w:r>
      <w:r>
        <w:rPr>
          <w:rFonts w:ascii="Times New Roman" w:hAnsi="Times New Roman" w:eastAsia="Times New Roman" w:cs="Times New Roman"/>
          <w:spacing w:val="4"/>
          <w:sz w:val="21"/>
          <w:szCs w:val="21"/>
        </w:rPr>
        <w:t>/L(200</w:t>
      </w:r>
      <w:r>
        <w:rPr>
          <w:rFonts w:ascii="Times New Roman" w:hAnsi="Times New Roman" w:eastAsia="Times New Roman" w:cs="Times New Roman"/>
          <w:sz w:val="21"/>
          <w:szCs w:val="21"/>
        </w:rPr>
        <w:t>mg</w:t>
      </w:r>
      <w:r>
        <w:rPr>
          <w:rFonts w:ascii="Times New Roman" w:hAnsi="Times New Roman" w:eastAsia="Times New Roman" w:cs="Times New Roman"/>
          <w:spacing w:val="4"/>
          <w:sz w:val="21"/>
          <w:szCs w:val="21"/>
        </w:rPr>
        <w:t>/</w:t>
      </w:r>
      <w:r>
        <w:rPr>
          <w:rFonts w:ascii="Times New Roman" w:hAnsi="Times New Roman" w:eastAsia="Times New Roman" w:cs="Times New Roman"/>
          <w:sz w:val="21"/>
          <w:szCs w:val="21"/>
        </w:rPr>
        <w:t>dl</w:t>
      </w:r>
      <w:r>
        <w:rPr>
          <w:rFonts w:ascii="Times New Roman" w:hAnsi="Times New Roman" w:eastAsia="Times New Roman" w:cs="Times New Roman"/>
          <w:spacing w:val="4"/>
          <w:sz w:val="21"/>
          <w:szCs w:val="21"/>
        </w:rPr>
        <w:t>)</w:t>
      </w:r>
      <w:r>
        <w:rPr>
          <w:rFonts w:ascii="宋体" w:hAnsi="宋体" w:eastAsia="宋体" w:cs="宋体"/>
          <w:spacing w:val="4"/>
          <w:sz w:val="21"/>
          <w:szCs w:val="21"/>
        </w:rPr>
        <w:t>。在此基础上，2011年</w:t>
      </w:r>
      <w:r>
        <w:rPr>
          <w:rFonts w:ascii="Times New Roman" w:hAnsi="Times New Roman" w:eastAsia="Times New Roman" w:cs="Times New Roman"/>
          <w:sz w:val="21"/>
          <w:szCs w:val="21"/>
        </w:rPr>
        <w:t>WHO</w:t>
      </w:r>
      <w:r>
        <w:rPr>
          <w:rFonts w:ascii="Times New Roman" w:hAnsi="Times New Roman" w:eastAsia="Times New Roman" w:cs="Times New Roman"/>
          <w:spacing w:val="4"/>
          <w:sz w:val="21"/>
          <w:szCs w:val="21"/>
        </w:rPr>
        <w:t xml:space="preserve"> </w:t>
      </w:r>
      <w:r>
        <w:rPr>
          <w:rFonts w:ascii="宋体" w:hAnsi="宋体" w:eastAsia="宋体" w:cs="宋体"/>
          <w:spacing w:val="4"/>
          <w:sz w:val="21"/>
          <w:szCs w:val="21"/>
        </w:rPr>
        <w:t>又增加了糖化血红蛋白</w:t>
      </w:r>
      <w:r>
        <w:rPr>
          <w:rFonts w:ascii="宋体" w:hAnsi="宋体" w:eastAsia="宋体" w:cs="宋体"/>
          <w:spacing w:val="7"/>
          <w:sz w:val="21"/>
          <w:szCs w:val="21"/>
        </w:rPr>
        <w:t xml:space="preserve"> </w:t>
      </w:r>
      <w:r>
        <w:rPr>
          <w:rFonts w:ascii="Times New Roman" w:hAnsi="Times New Roman" w:eastAsia="Times New Roman" w:cs="Times New Roman"/>
          <w:sz w:val="21"/>
          <w:szCs w:val="21"/>
        </w:rPr>
        <w:t>(glycosylated    hemoglobin     A1c,HbA1c)≥6.5%(48mmol/mol)</w:t>
      </w:r>
      <w:r>
        <w:rPr>
          <w:rFonts w:ascii="宋体" w:hAnsi="宋体" w:eastAsia="宋体" w:cs="宋体"/>
          <w:sz w:val="21"/>
          <w:szCs w:val="21"/>
        </w:rPr>
        <w:t>这一诊断标准。如在</w:t>
      </w:r>
      <w:r>
        <w:rPr>
          <w:rFonts w:ascii="宋体" w:hAnsi="宋体" w:eastAsia="宋体" w:cs="宋体"/>
          <w:spacing w:val="-1"/>
          <w:sz w:val="21"/>
          <w:szCs w:val="21"/>
        </w:rPr>
        <w:t>无症状人群中检测</w:t>
      </w:r>
      <w:r>
        <w:rPr>
          <w:rFonts w:ascii="宋体" w:hAnsi="宋体" w:eastAsia="宋体" w:cs="宋体"/>
          <w:sz w:val="21"/>
          <w:szCs w:val="21"/>
        </w:rPr>
        <w:t xml:space="preserve">  到以上指标升高，建议在次日尽快采用相同的方法重复检测以确</w:t>
      </w:r>
      <w:r>
        <w:rPr>
          <w:rFonts w:ascii="宋体" w:hAnsi="宋体" w:eastAsia="宋体" w:cs="宋体"/>
          <w:spacing w:val="-1"/>
          <w:sz w:val="21"/>
          <w:szCs w:val="21"/>
        </w:rPr>
        <w:t>认诊断。除糖尿病患者以外，还有</w:t>
      </w:r>
      <w:r>
        <w:rPr>
          <w:rFonts w:ascii="宋体" w:hAnsi="宋体" w:eastAsia="宋体" w:cs="宋体"/>
          <w:sz w:val="21"/>
          <w:szCs w:val="21"/>
        </w:rPr>
        <w:t xml:space="preserve">  </w:t>
      </w:r>
      <w:r>
        <w:rPr>
          <w:rFonts w:ascii="宋体" w:hAnsi="宋体" w:eastAsia="宋体" w:cs="宋体"/>
          <w:spacing w:val="2"/>
          <w:sz w:val="21"/>
          <w:szCs w:val="21"/>
        </w:rPr>
        <w:t>一组个体，他们的血糖水平尚未达到糖尿病的诊断标准，但处于从正常向糖尿病发展的中间阶</w:t>
      </w:r>
      <w:r>
        <w:rPr>
          <w:rFonts w:ascii="宋体" w:hAnsi="宋体" w:eastAsia="宋体" w:cs="宋体"/>
          <w:spacing w:val="1"/>
          <w:sz w:val="21"/>
          <w:szCs w:val="21"/>
        </w:rPr>
        <w:t>段，</w:t>
      </w:r>
      <w:r>
        <w:rPr>
          <w:rFonts w:ascii="宋体" w:hAnsi="宋体" w:eastAsia="宋体" w:cs="宋体"/>
          <w:sz w:val="21"/>
          <w:szCs w:val="21"/>
        </w:rPr>
        <w:t xml:space="preserve"> </w:t>
      </w:r>
      <w:r>
        <w:rPr>
          <w:rFonts w:ascii="宋体" w:hAnsi="宋体" w:eastAsia="宋体" w:cs="宋体"/>
          <w:spacing w:val="4"/>
          <w:sz w:val="21"/>
          <w:szCs w:val="21"/>
        </w:rPr>
        <w:t>即糖调节受损阶段或糖尿病前期。当</w:t>
      </w:r>
      <w:r>
        <w:rPr>
          <w:rFonts w:ascii="Times New Roman" w:hAnsi="Times New Roman" w:eastAsia="Times New Roman" w:cs="Times New Roman"/>
          <w:sz w:val="21"/>
          <w:szCs w:val="21"/>
        </w:rPr>
        <w:t>FPG</w:t>
      </w:r>
      <w:r>
        <w:rPr>
          <w:rFonts w:ascii="Times New Roman" w:hAnsi="Times New Roman" w:eastAsia="Times New Roman" w:cs="Times New Roman"/>
          <w:spacing w:val="4"/>
          <w:sz w:val="21"/>
          <w:szCs w:val="21"/>
        </w:rPr>
        <w:t xml:space="preserve"> </w:t>
      </w:r>
      <w:r>
        <w:rPr>
          <w:rFonts w:ascii="宋体" w:hAnsi="宋体" w:eastAsia="宋体" w:cs="宋体"/>
          <w:spacing w:val="4"/>
          <w:sz w:val="21"/>
          <w:szCs w:val="21"/>
        </w:rPr>
        <w:t>在6.1～&lt;7.0</w:t>
      </w:r>
      <w:r>
        <w:rPr>
          <w:rFonts w:ascii="Times New Roman" w:hAnsi="Times New Roman" w:eastAsia="Times New Roman" w:cs="Times New Roman"/>
          <w:sz w:val="21"/>
          <w:szCs w:val="21"/>
        </w:rPr>
        <w:t>mmol</w:t>
      </w:r>
      <w:r>
        <w:rPr>
          <w:rFonts w:ascii="Times New Roman" w:hAnsi="Times New Roman" w:eastAsia="Times New Roman" w:cs="Times New Roman"/>
          <w:spacing w:val="4"/>
          <w:sz w:val="21"/>
          <w:szCs w:val="21"/>
        </w:rPr>
        <w:t>/L,2</w:t>
      </w:r>
      <w:r>
        <w:rPr>
          <w:rFonts w:ascii="Times New Roman" w:hAnsi="Times New Roman" w:eastAsia="Times New Roman" w:cs="Times New Roman"/>
          <w:sz w:val="21"/>
          <w:szCs w:val="21"/>
        </w:rPr>
        <w:t>h</w:t>
      </w:r>
      <w:r>
        <w:rPr>
          <w:rFonts w:ascii="Times New Roman" w:hAnsi="Times New Roman" w:eastAsia="Times New Roman" w:cs="Times New Roman"/>
          <w:spacing w:val="4"/>
          <w:sz w:val="21"/>
          <w:szCs w:val="21"/>
        </w:rPr>
        <w:t xml:space="preserve">   </w:t>
      </w:r>
      <w:r>
        <w:rPr>
          <w:rFonts w:ascii="Times New Roman" w:hAnsi="Times New Roman" w:eastAsia="Times New Roman" w:cs="Times New Roman"/>
          <w:sz w:val="21"/>
          <w:szCs w:val="21"/>
        </w:rPr>
        <w:t>PG</w:t>
      </w:r>
      <w:r>
        <w:rPr>
          <w:rFonts w:ascii="Times New Roman" w:hAnsi="Times New Roman" w:eastAsia="Times New Roman" w:cs="Times New Roman"/>
          <w:spacing w:val="4"/>
          <w:sz w:val="21"/>
          <w:szCs w:val="21"/>
        </w:rPr>
        <w:t>&lt;7.8</w:t>
      </w:r>
      <w:r>
        <w:rPr>
          <w:rFonts w:ascii="Times New Roman" w:hAnsi="Times New Roman" w:eastAsia="Times New Roman" w:cs="Times New Roman"/>
          <w:sz w:val="21"/>
          <w:szCs w:val="21"/>
        </w:rPr>
        <w:t>mmol</w:t>
      </w:r>
      <w:r>
        <w:rPr>
          <w:rFonts w:ascii="Times New Roman" w:hAnsi="Times New Roman" w:eastAsia="Times New Roman" w:cs="Times New Roman"/>
          <w:spacing w:val="4"/>
          <w:sz w:val="21"/>
          <w:szCs w:val="21"/>
        </w:rPr>
        <w:t>/L</w:t>
      </w:r>
      <w:r>
        <w:rPr>
          <w:rFonts w:ascii="宋体" w:hAnsi="宋体" w:eastAsia="宋体" w:cs="宋体"/>
          <w:spacing w:val="4"/>
          <w:sz w:val="21"/>
          <w:szCs w:val="21"/>
        </w:rPr>
        <w:t>时，称为空腹血</w:t>
      </w:r>
      <w:r>
        <w:rPr>
          <w:rFonts w:ascii="宋体" w:hAnsi="宋体" w:eastAsia="宋体" w:cs="宋体"/>
          <w:spacing w:val="1"/>
          <w:sz w:val="21"/>
          <w:szCs w:val="21"/>
        </w:rPr>
        <w:t xml:space="preserve"> </w:t>
      </w:r>
      <w:r>
        <w:rPr>
          <w:rFonts w:ascii="宋体" w:hAnsi="宋体" w:eastAsia="宋体" w:cs="宋体"/>
          <w:sz w:val="21"/>
          <w:szCs w:val="21"/>
        </w:rPr>
        <w:t>糖受损</w:t>
      </w:r>
      <w:r>
        <w:rPr>
          <w:rFonts w:ascii="Times New Roman" w:hAnsi="Times New Roman" w:eastAsia="Times New Roman" w:cs="Times New Roman"/>
          <w:sz w:val="21"/>
          <w:szCs w:val="21"/>
        </w:rPr>
        <w:t>(impaired   fastin</w:t>
      </w:r>
      <w:r>
        <w:rPr>
          <w:rFonts w:ascii="Times New Roman" w:hAnsi="Times New Roman" w:eastAsia="Times New Roman" w:cs="Times New Roman"/>
          <w:spacing w:val="-1"/>
          <w:sz w:val="21"/>
          <w:szCs w:val="21"/>
        </w:rPr>
        <w:t>g   glucose,IFG)</w:t>
      </w:r>
      <w:r>
        <w:rPr>
          <w:rFonts w:ascii="宋体" w:hAnsi="宋体" w:eastAsia="宋体" w:cs="宋体"/>
          <w:spacing w:val="-1"/>
          <w:sz w:val="21"/>
          <w:szCs w:val="21"/>
        </w:rPr>
        <w:t xml:space="preserve">。当 </w:t>
      </w:r>
      <w:r>
        <w:rPr>
          <w:rFonts w:ascii="Times New Roman" w:hAnsi="Times New Roman" w:eastAsia="Times New Roman" w:cs="Times New Roman"/>
          <w:spacing w:val="-1"/>
          <w:sz w:val="21"/>
          <w:szCs w:val="21"/>
        </w:rPr>
        <w:t>FPG&lt;7.0mmol/L,2h   PG</w:t>
      </w:r>
      <w:r>
        <w:rPr>
          <w:rFonts w:ascii="宋体" w:hAnsi="宋体" w:eastAsia="宋体" w:cs="宋体"/>
          <w:spacing w:val="-1"/>
          <w:sz w:val="21"/>
          <w:szCs w:val="21"/>
        </w:rPr>
        <w:t>在7.8～&lt;11.1</w:t>
      </w:r>
      <w:r>
        <w:rPr>
          <w:rFonts w:ascii="Times New Roman" w:hAnsi="Times New Roman" w:eastAsia="Times New Roman" w:cs="Times New Roman"/>
          <w:spacing w:val="-1"/>
          <w:sz w:val="21"/>
          <w:szCs w:val="21"/>
        </w:rPr>
        <w:t>mmol/L</w:t>
      </w:r>
      <w:r>
        <w:rPr>
          <w:rFonts w:ascii="宋体" w:hAnsi="宋体" w:eastAsia="宋体" w:cs="宋体"/>
          <w:spacing w:val="-1"/>
          <w:sz w:val="21"/>
          <w:szCs w:val="21"/>
        </w:rPr>
        <w:t>时，称为糖</w:t>
      </w:r>
      <w:r>
        <w:rPr>
          <w:rFonts w:ascii="宋体" w:hAnsi="宋体" w:eastAsia="宋体" w:cs="宋体"/>
          <w:sz w:val="21"/>
          <w:szCs w:val="21"/>
        </w:rPr>
        <w:t xml:space="preserve">  </w:t>
      </w:r>
      <w:r>
        <w:rPr>
          <w:rFonts w:ascii="宋体" w:hAnsi="宋体" w:eastAsia="宋体" w:cs="宋体"/>
          <w:spacing w:val="3"/>
          <w:sz w:val="21"/>
          <w:szCs w:val="21"/>
        </w:rPr>
        <w:t>耐量减低</w:t>
      </w:r>
      <w:r>
        <w:rPr>
          <w:rFonts w:ascii="Times New Roman" w:hAnsi="Times New Roman" w:eastAsia="Times New Roman" w:cs="Times New Roman"/>
          <w:spacing w:val="3"/>
          <w:sz w:val="21"/>
          <w:szCs w:val="21"/>
        </w:rPr>
        <w:t>(</w:t>
      </w:r>
      <w:r>
        <w:rPr>
          <w:rFonts w:ascii="Times New Roman" w:hAnsi="Times New Roman" w:eastAsia="Times New Roman" w:cs="Times New Roman"/>
          <w:sz w:val="21"/>
          <w:szCs w:val="21"/>
        </w:rPr>
        <w:t>impaired</w:t>
      </w:r>
      <w:r>
        <w:rPr>
          <w:rFonts w:ascii="Times New Roman" w:hAnsi="Times New Roman" w:eastAsia="Times New Roman" w:cs="Times New Roman"/>
          <w:spacing w:val="3"/>
          <w:sz w:val="21"/>
          <w:szCs w:val="21"/>
        </w:rPr>
        <w:t xml:space="preserve">  </w:t>
      </w:r>
      <w:r>
        <w:rPr>
          <w:rFonts w:ascii="Times New Roman" w:hAnsi="Times New Roman" w:eastAsia="Times New Roman" w:cs="Times New Roman"/>
          <w:sz w:val="21"/>
          <w:szCs w:val="21"/>
        </w:rPr>
        <w:t>glucose</w:t>
      </w:r>
      <w:r>
        <w:rPr>
          <w:rFonts w:ascii="Times New Roman" w:hAnsi="Times New Roman" w:eastAsia="Times New Roman" w:cs="Times New Roman"/>
          <w:spacing w:val="12"/>
          <w:sz w:val="21"/>
          <w:szCs w:val="21"/>
        </w:rPr>
        <w:t xml:space="preserve">  </w:t>
      </w:r>
      <w:r>
        <w:rPr>
          <w:rFonts w:ascii="Times New Roman" w:hAnsi="Times New Roman" w:eastAsia="Times New Roman" w:cs="Times New Roman"/>
          <w:sz w:val="21"/>
          <w:szCs w:val="21"/>
        </w:rPr>
        <w:t>tolerance</w:t>
      </w:r>
      <w:r>
        <w:rPr>
          <w:rFonts w:ascii="Times New Roman" w:hAnsi="Times New Roman" w:eastAsia="Times New Roman" w:cs="Times New Roman"/>
          <w:spacing w:val="3"/>
          <w:sz w:val="21"/>
          <w:szCs w:val="21"/>
        </w:rPr>
        <w:t>,</w:t>
      </w:r>
      <w:r>
        <w:rPr>
          <w:rFonts w:ascii="Times New Roman" w:hAnsi="Times New Roman" w:eastAsia="Times New Roman" w:cs="Times New Roman"/>
          <w:sz w:val="21"/>
          <w:szCs w:val="21"/>
        </w:rPr>
        <w:t>IGT</w:t>
      </w:r>
      <w:r>
        <w:rPr>
          <w:rFonts w:ascii="Times New Roman" w:hAnsi="Times New Roman" w:eastAsia="Times New Roman" w:cs="Times New Roman"/>
          <w:spacing w:val="3"/>
          <w:sz w:val="21"/>
          <w:szCs w:val="21"/>
        </w:rPr>
        <w:t>)</w:t>
      </w:r>
      <w:r>
        <w:rPr>
          <w:rFonts w:ascii="宋体" w:hAnsi="宋体" w:eastAsia="宋体" w:cs="宋体"/>
          <w:spacing w:val="3"/>
          <w:sz w:val="21"/>
          <w:szCs w:val="21"/>
        </w:rPr>
        <w:t>。</w:t>
      </w:r>
    </w:p>
    <w:p w14:paraId="755B1F15">
      <w:pPr>
        <w:pStyle w:val="2"/>
        <w:spacing w:before="210" w:line="299" w:lineRule="auto"/>
        <w:ind w:right="634" w:firstLine="409"/>
        <w:rPr>
          <w:rFonts w:ascii="宋体" w:hAnsi="宋体" w:eastAsia="宋体" w:cs="宋体"/>
          <w:sz w:val="21"/>
          <w:szCs w:val="21"/>
        </w:rPr>
      </w:pPr>
      <w:r>
        <w:rPr>
          <w:rFonts w:ascii="宋体" w:hAnsi="宋体" w:eastAsia="宋体" w:cs="宋体"/>
          <w:spacing w:val="8"/>
          <w:sz w:val="21"/>
          <w:szCs w:val="21"/>
        </w:rPr>
        <w:t xml:space="preserve">2. </w:t>
      </w:r>
      <w:r>
        <w:rPr>
          <w:spacing w:val="8"/>
          <w:sz w:val="21"/>
          <w:szCs w:val="21"/>
        </w:rPr>
        <w:t xml:space="preserve">糖尿病的分型  </w:t>
      </w:r>
      <w:r>
        <w:rPr>
          <w:rFonts w:ascii="宋体" w:hAnsi="宋体" w:eastAsia="宋体" w:cs="宋体"/>
          <w:spacing w:val="8"/>
          <w:sz w:val="21"/>
          <w:szCs w:val="21"/>
        </w:rPr>
        <w:t>糖尿病作为一组病因和</w:t>
      </w:r>
      <w:r>
        <w:rPr>
          <w:rFonts w:ascii="宋体" w:hAnsi="宋体" w:eastAsia="宋体" w:cs="宋体"/>
          <w:spacing w:val="7"/>
          <w:sz w:val="21"/>
          <w:szCs w:val="21"/>
        </w:rPr>
        <w:t>临床表现不同的疾病，恰当的分型和分类对开展</w:t>
      </w:r>
      <w:r>
        <w:rPr>
          <w:rFonts w:ascii="宋体" w:hAnsi="宋体" w:eastAsia="宋体" w:cs="宋体"/>
          <w:sz w:val="21"/>
          <w:szCs w:val="21"/>
        </w:rPr>
        <w:t xml:space="preserve"> </w:t>
      </w:r>
      <w:r>
        <w:rPr>
          <w:rFonts w:ascii="宋体" w:hAnsi="宋体" w:eastAsia="宋体" w:cs="宋体"/>
          <w:spacing w:val="7"/>
          <w:sz w:val="21"/>
          <w:szCs w:val="21"/>
        </w:rPr>
        <w:t>流行病学和临床研究以及患者管理十分必要。我国目前广泛采用</w:t>
      </w:r>
      <w:r>
        <w:rPr>
          <w:rFonts w:ascii="Times New Roman" w:hAnsi="Times New Roman" w:eastAsia="Times New Roman" w:cs="Times New Roman"/>
          <w:sz w:val="21"/>
          <w:szCs w:val="21"/>
        </w:rPr>
        <w:t>WHO</w:t>
      </w:r>
      <w:r>
        <w:rPr>
          <w:rFonts w:ascii="Times New Roman" w:hAnsi="Times New Roman" w:eastAsia="Times New Roman" w:cs="Times New Roman"/>
          <w:spacing w:val="7"/>
          <w:sz w:val="21"/>
          <w:szCs w:val="21"/>
        </w:rPr>
        <w:t>(1999</w:t>
      </w:r>
      <w:r>
        <w:rPr>
          <w:rFonts w:ascii="Times New Roman" w:hAnsi="Times New Roman" w:eastAsia="Times New Roman" w:cs="Times New Roman"/>
          <w:spacing w:val="40"/>
          <w:sz w:val="21"/>
          <w:szCs w:val="21"/>
        </w:rPr>
        <w:t xml:space="preserve"> </w:t>
      </w:r>
      <w:r>
        <w:rPr>
          <w:rFonts w:ascii="宋体" w:hAnsi="宋体" w:eastAsia="宋体" w:cs="宋体"/>
          <w:spacing w:val="7"/>
          <w:sz w:val="21"/>
          <w:szCs w:val="21"/>
        </w:rPr>
        <w:t>年)的病</w:t>
      </w:r>
      <w:r>
        <w:rPr>
          <w:rFonts w:ascii="宋体" w:hAnsi="宋体" w:eastAsia="宋体" w:cs="宋体"/>
          <w:spacing w:val="6"/>
          <w:sz w:val="21"/>
          <w:szCs w:val="21"/>
        </w:rPr>
        <w:t>因学分型体</w:t>
      </w:r>
      <w:r>
        <w:rPr>
          <w:rFonts w:ascii="宋体" w:hAnsi="宋体" w:eastAsia="宋体" w:cs="宋体"/>
          <w:sz w:val="21"/>
          <w:szCs w:val="21"/>
        </w:rPr>
        <w:t xml:space="preserve"> </w:t>
      </w:r>
      <w:r>
        <w:rPr>
          <w:rFonts w:ascii="宋体" w:hAnsi="宋体" w:eastAsia="宋体" w:cs="宋体"/>
          <w:spacing w:val="2"/>
          <w:sz w:val="21"/>
          <w:szCs w:val="21"/>
        </w:rPr>
        <w:t>系，将糖尿病分为1型糖尿病</w:t>
      </w:r>
      <w:r>
        <w:rPr>
          <w:rFonts w:ascii="Times New Roman" w:hAnsi="Times New Roman" w:eastAsia="Times New Roman" w:cs="Times New Roman"/>
          <w:spacing w:val="2"/>
          <w:sz w:val="21"/>
          <w:szCs w:val="21"/>
        </w:rPr>
        <w:t>(</w:t>
      </w:r>
      <w:r>
        <w:rPr>
          <w:rFonts w:ascii="Times New Roman" w:hAnsi="Times New Roman" w:eastAsia="Times New Roman" w:cs="Times New Roman"/>
          <w:sz w:val="21"/>
          <w:szCs w:val="21"/>
        </w:rPr>
        <w:t>type</w:t>
      </w:r>
      <w:r>
        <w:rPr>
          <w:rFonts w:ascii="Times New Roman" w:hAnsi="Times New Roman" w:eastAsia="Times New Roman" w:cs="Times New Roman"/>
          <w:spacing w:val="69"/>
          <w:w w:val="101"/>
          <w:sz w:val="21"/>
          <w:szCs w:val="21"/>
        </w:rPr>
        <w:t xml:space="preserve"> </w:t>
      </w:r>
      <w:r>
        <w:rPr>
          <w:rFonts w:ascii="Times New Roman" w:hAnsi="Times New Roman" w:eastAsia="Times New Roman" w:cs="Times New Roman"/>
          <w:spacing w:val="2"/>
          <w:sz w:val="21"/>
          <w:szCs w:val="21"/>
        </w:rPr>
        <w:t>1</w:t>
      </w:r>
      <w:r>
        <w:rPr>
          <w:rFonts w:ascii="Times New Roman" w:hAnsi="Times New Roman" w:eastAsia="Times New Roman" w:cs="Times New Roman"/>
          <w:spacing w:val="34"/>
          <w:w w:val="101"/>
          <w:sz w:val="21"/>
          <w:szCs w:val="21"/>
        </w:rPr>
        <w:t xml:space="preserve"> </w:t>
      </w:r>
      <w:r>
        <w:rPr>
          <w:rFonts w:ascii="Times New Roman" w:hAnsi="Times New Roman" w:eastAsia="Times New Roman" w:cs="Times New Roman"/>
          <w:sz w:val="21"/>
          <w:szCs w:val="21"/>
        </w:rPr>
        <w:t>diabetes</w:t>
      </w:r>
      <w:r>
        <w:rPr>
          <w:rFonts w:ascii="Times New Roman" w:hAnsi="Times New Roman" w:eastAsia="Times New Roman" w:cs="Times New Roman"/>
          <w:spacing w:val="29"/>
          <w:sz w:val="21"/>
          <w:szCs w:val="21"/>
        </w:rPr>
        <w:t xml:space="preserve"> </w:t>
      </w:r>
      <w:r>
        <w:rPr>
          <w:rFonts w:ascii="Times New Roman" w:hAnsi="Times New Roman" w:eastAsia="Times New Roman" w:cs="Times New Roman"/>
          <w:sz w:val="21"/>
          <w:szCs w:val="21"/>
        </w:rPr>
        <w:t>mellitus</w:t>
      </w:r>
      <w:r>
        <w:rPr>
          <w:rFonts w:ascii="Times New Roman" w:hAnsi="Times New Roman" w:eastAsia="Times New Roman" w:cs="Times New Roman"/>
          <w:spacing w:val="2"/>
          <w:sz w:val="21"/>
          <w:szCs w:val="21"/>
        </w:rPr>
        <w:t>,T1</w:t>
      </w:r>
      <w:r>
        <w:rPr>
          <w:rFonts w:ascii="Times New Roman" w:hAnsi="Times New Roman" w:eastAsia="Times New Roman" w:cs="Times New Roman"/>
          <w:sz w:val="21"/>
          <w:szCs w:val="21"/>
        </w:rPr>
        <w:t>DM</w:t>
      </w:r>
      <w:r>
        <w:rPr>
          <w:rFonts w:ascii="Times New Roman" w:hAnsi="Times New Roman" w:eastAsia="Times New Roman" w:cs="Times New Roman"/>
          <w:spacing w:val="2"/>
          <w:sz w:val="21"/>
          <w:szCs w:val="21"/>
        </w:rPr>
        <w:t>)</w:t>
      </w:r>
      <w:r>
        <w:rPr>
          <w:rFonts w:ascii="Times New Roman" w:hAnsi="Times New Roman" w:eastAsia="Times New Roman" w:cs="Times New Roman"/>
          <w:spacing w:val="-30"/>
          <w:sz w:val="21"/>
          <w:szCs w:val="21"/>
        </w:rPr>
        <w:t xml:space="preserve"> </w:t>
      </w:r>
      <w:r>
        <w:rPr>
          <w:rFonts w:ascii="宋体" w:hAnsi="宋体" w:eastAsia="宋体" w:cs="宋体"/>
          <w:spacing w:val="2"/>
          <w:sz w:val="21"/>
          <w:szCs w:val="21"/>
        </w:rPr>
        <w:t>、</w:t>
      </w:r>
      <w:r>
        <w:rPr>
          <w:rFonts w:ascii="Times New Roman" w:hAnsi="Times New Roman" w:eastAsia="Times New Roman" w:cs="Times New Roman"/>
          <w:spacing w:val="2"/>
          <w:sz w:val="21"/>
          <w:szCs w:val="21"/>
        </w:rPr>
        <w:t>2</w:t>
      </w:r>
      <w:r>
        <w:rPr>
          <w:rFonts w:ascii="宋体" w:hAnsi="宋体" w:eastAsia="宋体" w:cs="宋体"/>
          <w:spacing w:val="2"/>
          <w:sz w:val="21"/>
          <w:szCs w:val="21"/>
        </w:rPr>
        <w:t>型糖尿病</w:t>
      </w:r>
      <w:r>
        <w:rPr>
          <w:rFonts w:ascii="Times New Roman" w:hAnsi="Times New Roman" w:eastAsia="Times New Roman" w:cs="Times New Roman"/>
          <w:spacing w:val="2"/>
          <w:sz w:val="21"/>
          <w:szCs w:val="21"/>
        </w:rPr>
        <w:t>(</w:t>
      </w:r>
      <w:r>
        <w:rPr>
          <w:rFonts w:ascii="Times New Roman" w:hAnsi="Times New Roman" w:eastAsia="Times New Roman" w:cs="Times New Roman"/>
          <w:sz w:val="21"/>
          <w:szCs w:val="21"/>
        </w:rPr>
        <w:t>type</w:t>
      </w:r>
      <w:r>
        <w:rPr>
          <w:rFonts w:ascii="Times New Roman" w:hAnsi="Times New Roman" w:eastAsia="Times New Roman" w:cs="Times New Roman"/>
          <w:spacing w:val="48"/>
          <w:w w:val="101"/>
          <w:sz w:val="21"/>
          <w:szCs w:val="21"/>
        </w:rPr>
        <w:t xml:space="preserve"> </w:t>
      </w:r>
      <w:r>
        <w:rPr>
          <w:rFonts w:ascii="Times New Roman" w:hAnsi="Times New Roman" w:eastAsia="Times New Roman" w:cs="Times New Roman"/>
          <w:spacing w:val="2"/>
          <w:sz w:val="21"/>
          <w:szCs w:val="21"/>
        </w:rPr>
        <w:t>2</w:t>
      </w:r>
      <w:r>
        <w:rPr>
          <w:rFonts w:ascii="Times New Roman" w:hAnsi="Times New Roman" w:eastAsia="Times New Roman" w:cs="Times New Roman"/>
          <w:spacing w:val="50"/>
          <w:sz w:val="21"/>
          <w:szCs w:val="21"/>
        </w:rPr>
        <w:t xml:space="preserve"> </w:t>
      </w:r>
      <w:r>
        <w:rPr>
          <w:rFonts w:ascii="Times New Roman" w:hAnsi="Times New Roman" w:eastAsia="Times New Roman" w:cs="Times New Roman"/>
          <w:sz w:val="21"/>
          <w:szCs w:val="21"/>
        </w:rPr>
        <w:t>diabetes</w:t>
      </w:r>
      <w:r>
        <w:rPr>
          <w:rFonts w:ascii="Times New Roman" w:hAnsi="Times New Roman" w:eastAsia="Times New Roman" w:cs="Times New Roman"/>
          <w:spacing w:val="45"/>
          <w:w w:val="101"/>
          <w:sz w:val="21"/>
          <w:szCs w:val="21"/>
        </w:rPr>
        <w:t xml:space="preserve"> </w:t>
      </w:r>
      <w:r>
        <w:rPr>
          <w:rFonts w:ascii="Times New Roman" w:hAnsi="Times New Roman" w:eastAsia="Times New Roman" w:cs="Times New Roman"/>
          <w:sz w:val="21"/>
          <w:szCs w:val="21"/>
        </w:rPr>
        <w:t>mellitus</w:t>
      </w:r>
      <w:r>
        <w:rPr>
          <w:rFonts w:ascii="Times New Roman" w:hAnsi="Times New Roman" w:eastAsia="Times New Roman" w:cs="Times New Roman"/>
          <w:spacing w:val="2"/>
          <w:sz w:val="21"/>
          <w:szCs w:val="21"/>
        </w:rPr>
        <w:t>,</w:t>
      </w:r>
      <w:r>
        <w:rPr>
          <w:rFonts w:ascii="Times New Roman" w:hAnsi="Times New Roman" w:eastAsia="Times New Roman" w:cs="Times New Roman"/>
          <w:sz w:val="21"/>
          <w:szCs w:val="21"/>
        </w:rPr>
        <w:t xml:space="preserve">  </w:t>
      </w:r>
      <w:r>
        <w:rPr>
          <w:rFonts w:ascii="宋体" w:hAnsi="宋体" w:eastAsia="宋体" w:cs="宋体"/>
          <w:spacing w:val="-4"/>
          <w:sz w:val="21"/>
          <w:szCs w:val="21"/>
        </w:rPr>
        <w:t>T2DM)、其他特殊类型和妊娠期糖尿病(</w:t>
      </w:r>
      <w:r>
        <w:rPr>
          <w:rFonts w:ascii="宋体" w:hAnsi="宋体" w:eastAsia="宋体" w:cs="宋体"/>
          <w:spacing w:val="-5"/>
          <w:sz w:val="21"/>
          <w:szCs w:val="21"/>
        </w:rPr>
        <w:t>gestational diabetes mellitus,GDM)四种类型。WHO  在2019</w:t>
      </w:r>
      <w:r>
        <w:rPr>
          <w:rFonts w:ascii="宋体" w:hAnsi="宋体" w:eastAsia="宋体" w:cs="宋体"/>
          <w:sz w:val="21"/>
          <w:szCs w:val="21"/>
        </w:rPr>
        <w:t xml:space="preserve"> </w:t>
      </w:r>
      <w:r>
        <w:rPr>
          <w:rFonts w:ascii="宋体" w:hAnsi="宋体" w:eastAsia="宋体" w:cs="宋体"/>
          <w:spacing w:val="2"/>
          <w:sz w:val="21"/>
          <w:szCs w:val="21"/>
        </w:rPr>
        <w:t>年更新了糖尿病分型诊断建议，在上述4种分型的基础上，增加了“未分类糖尿病”与“混合型糖</w:t>
      </w:r>
      <w:r>
        <w:rPr>
          <w:rFonts w:ascii="宋体" w:hAnsi="宋体" w:eastAsia="宋体" w:cs="宋体"/>
          <w:spacing w:val="7"/>
          <w:sz w:val="21"/>
          <w:szCs w:val="21"/>
        </w:rPr>
        <w:t xml:space="preserve"> </w:t>
      </w:r>
      <w:r>
        <w:rPr>
          <w:rFonts w:ascii="宋体" w:hAnsi="宋体" w:eastAsia="宋体" w:cs="宋体"/>
          <w:spacing w:val="-11"/>
          <w:sz w:val="21"/>
          <w:szCs w:val="21"/>
        </w:rPr>
        <w:t>尿病”,其中“混合型糖尿病”包含成人隐匿性自身免疫糖尿病(latent autoimmune diabetes in adults,</w:t>
      </w:r>
      <w:r>
        <w:rPr>
          <w:rFonts w:ascii="宋体" w:hAnsi="宋体" w:eastAsia="宋体" w:cs="宋体"/>
          <w:spacing w:val="5"/>
          <w:sz w:val="21"/>
          <w:szCs w:val="21"/>
        </w:rPr>
        <w:t xml:space="preserve"> </w:t>
      </w:r>
      <w:r>
        <w:rPr>
          <w:rFonts w:ascii="Times New Roman" w:hAnsi="Times New Roman" w:eastAsia="Times New Roman" w:cs="Times New Roman"/>
          <w:sz w:val="21"/>
          <w:szCs w:val="21"/>
        </w:rPr>
        <w:t>LADA</w:t>
      </w:r>
      <w:r>
        <w:rPr>
          <w:rFonts w:ascii="Times New Roman" w:hAnsi="Times New Roman" w:eastAsia="Times New Roman" w:cs="Times New Roman"/>
          <w:spacing w:val="7"/>
          <w:sz w:val="21"/>
          <w:szCs w:val="21"/>
        </w:rPr>
        <w:t>)</w:t>
      </w:r>
      <w:r>
        <w:rPr>
          <w:rFonts w:ascii="宋体" w:hAnsi="宋体" w:eastAsia="宋体" w:cs="宋体"/>
          <w:spacing w:val="7"/>
          <w:sz w:val="21"/>
          <w:szCs w:val="21"/>
        </w:rPr>
        <w:t>和酮症倾向</w:t>
      </w:r>
      <w:r>
        <w:rPr>
          <w:rFonts w:ascii="Times New Roman" w:hAnsi="Times New Roman" w:eastAsia="Times New Roman" w:cs="Times New Roman"/>
          <w:spacing w:val="7"/>
          <w:sz w:val="21"/>
          <w:szCs w:val="21"/>
        </w:rPr>
        <w:t>T2</w:t>
      </w:r>
      <w:r>
        <w:rPr>
          <w:rFonts w:ascii="Times New Roman" w:hAnsi="Times New Roman" w:eastAsia="Times New Roman" w:cs="Times New Roman"/>
          <w:sz w:val="21"/>
          <w:szCs w:val="21"/>
        </w:rPr>
        <w:t>DM</w:t>
      </w:r>
      <w:r>
        <w:rPr>
          <w:rFonts w:ascii="宋体" w:hAnsi="宋体" w:eastAsia="宋体" w:cs="宋体"/>
          <w:spacing w:val="7"/>
          <w:sz w:val="21"/>
          <w:szCs w:val="21"/>
        </w:rPr>
        <w:t>。</w:t>
      </w:r>
    </w:p>
    <w:p w14:paraId="7E827068">
      <w:pPr>
        <w:spacing w:line="299" w:lineRule="auto"/>
        <w:rPr>
          <w:rFonts w:ascii="宋体" w:hAnsi="宋体" w:eastAsia="宋体" w:cs="宋体"/>
          <w:sz w:val="21"/>
          <w:szCs w:val="21"/>
        </w:rPr>
        <w:sectPr>
          <w:footerReference r:id="rId242" w:type="default"/>
          <w:pgSz w:w="11900" w:h="16820"/>
          <w:pgMar w:top="400" w:right="779" w:bottom="856" w:left="1440" w:header="0" w:footer="667" w:gutter="0"/>
          <w:cols w:space="720" w:num="1"/>
        </w:sectPr>
      </w:pPr>
    </w:p>
    <w:p w14:paraId="17D586E1">
      <w:pPr>
        <w:pStyle w:val="2"/>
        <w:spacing w:before="286" w:line="221" w:lineRule="auto"/>
        <w:ind w:left="639"/>
        <w:rPr>
          <w:sz w:val="20"/>
          <w:szCs w:val="20"/>
        </w:rPr>
      </w:pPr>
      <w:bookmarkStart w:id="379" w:name="bookmark526"/>
      <w:bookmarkEnd w:id="379"/>
      <w:r>
        <w:rPr>
          <w:spacing w:val="-15"/>
          <w:w w:val="96"/>
          <w:sz w:val="20"/>
          <w:szCs w:val="20"/>
        </w:rPr>
        <w:t>第十四章慢性病流行病学</w:t>
      </w:r>
    </w:p>
    <w:p w14:paraId="53F0FCCF">
      <w:pPr>
        <w:spacing w:line="290" w:lineRule="auto"/>
        <w:rPr>
          <w:rFonts w:ascii="Arial"/>
          <w:sz w:val="21"/>
        </w:rPr>
      </w:pPr>
    </w:p>
    <w:p w14:paraId="492047C9">
      <w:pPr>
        <w:spacing w:line="291" w:lineRule="auto"/>
        <w:rPr>
          <w:rFonts w:ascii="Arial"/>
          <w:sz w:val="21"/>
        </w:rPr>
      </w:pPr>
    </w:p>
    <w:p w14:paraId="7304E46B">
      <w:pPr>
        <w:pStyle w:val="2"/>
        <w:spacing w:before="65" w:line="221" w:lineRule="auto"/>
        <w:ind w:left="1039"/>
        <w:rPr>
          <w:sz w:val="20"/>
          <w:szCs w:val="20"/>
        </w:rPr>
      </w:pPr>
      <w:r>
        <w:rPr>
          <w:spacing w:val="21"/>
          <w:sz w:val="20"/>
          <w:szCs w:val="20"/>
        </w:rPr>
        <w:t>(二)流行特征</w:t>
      </w:r>
    </w:p>
    <w:p w14:paraId="0BBFD485">
      <w:pPr>
        <w:pStyle w:val="2"/>
        <w:spacing w:before="130" w:line="309" w:lineRule="auto"/>
        <w:ind w:left="639" w:right="40" w:firstLine="399"/>
        <w:rPr>
          <w:rFonts w:ascii="宋体" w:hAnsi="宋体" w:eastAsia="宋体" w:cs="宋体"/>
          <w:sz w:val="20"/>
          <w:szCs w:val="20"/>
        </w:rPr>
      </w:pPr>
      <w:r>
        <w:rPr>
          <w:rFonts w:ascii="宋体" w:hAnsi="宋体" w:eastAsia="宋体" w:cs="宋体"/>
          <w:sz w:val="20"/>
          <w:szCs w:val="20"/>
        </w:rPr>
        <w:t>1.</w:t>
      </w:r>
      <w:r>
        <w:rPr>
          <w:rFonts w:ascii="宋体" w:hAnsi="宋体" w:eastAsia="宋体" w:cs="宋体"/>
          <w:spacing w:val="-12"/>
          <w:sz w:val="20"/>
          <w:szCs w:val="20"/>
        </w:rPr>
        <w:t xml:space="preserve"> </w:t>
      </w:r>
      <w:r>
        <w:rPr>
          <w:sz w:val="20"/>
          <w:szCs w:val="20"/>
        </w:rPr>
        <w:t xml:space="preserve">流行概况  </w:t>
      </w:r>
      <w:r>
        <w:rPr>
          <w:rFonts w:ascii="宋体" w:hAnsi="宋体" w:eastAsia="宋体" w:cs="宋体"/>
          <w:sz w:val="20"/>
          <w:szCs w:val="20"/>
        </w:rPr>
        <w:t xml:space="preserve">随着社会经济水平的提高和生活方式的现代化，糖尿病广泛分布于世界各地， </w:t>
      </w:r>
      <w:r>
        <w:rPr>
          <w:rFonts w:ascii="宋体" w:hAnsi="宋体" w:eastAsia="宋体" w:cs="宋体"/>
          <w:spacing w:val="-4"/>
          <w:sz w:val="20"/>
          <w:szCs w:val="20"/>
        </w:rPr>
        <w:t>发病率和患病率在不同国家、不同地区以及不同人群中各有不同，并呈现逐年上</w:t>
      </w:r>
      <w:r>
        <w:rPr>
          <w:rFonts w:ascii="宋体" w:hAnsi="宋体" w:eastAsia="宋体" w:cs="宋体"/>
          <w:spacing w:val="-5"/>
          <w:sz w:val="20"/>
          <w:szCs w:val="20"/>
        </w:rPr>
        <w:t>升的长期趋势。据</w:t>
      </w:r>
      <w:r>
        <w:rPr>
          <w:rFonts w:ascii="宋体" w:hAnsi="宋体" w:eastAsia="宋体" w:cs="宋体"/>
          <w:sz w:val="20"/>
          <w:szCs w:val="20"/>
        </w:rPr>
        <w:t xml:space="preserve"> </w:t>
      </w:r>
      <w:r>
        <w:rPr>
          <w:rFonts w:ascii="宋体" w:hAnsi="宋体" w:eastAsia="宋体" w:cs="宋体"/>
          <w:spacing w:val="2"/>
          <w:sz w:val="20"/>
          <w:szCs w:val="20"/>
        </w:rPr>
        <w:t>国际糖尿病联盟</w:t>
      </w:r>
      <w:r>
        <w:rPr>
          <w:rFonts w:ascii="Times New Roman" w:hAnsi="Times New Roman" w:eastAsia="Times New Roman" w:cs="Times New Roman"/>
          <w:spacing w:val="2"/>
          <w:sz w:val="20"/>
          <w:szCs w:val="20"/>
        </w:rPr>
        <w:t>(</w:t>
      </w:r>
      <w:r>
        <w:rPr>
          <w:rFonts w:ascii="Times New Roman" w:hAnsi="Times New Roman" w:eastAsia="Times New Roman" w:cs="Times New Roman"/>
          <w:sz w:val="20"/>
          <w:szCs w:val="20"/>
        </w:rPr>
        <w:t>International</w:t>
      </w:r>
      <w:r>
        <w:rPr>
          <w:rFonts w:ascii="Times New Roman" w:hAnsi="Times New Roman" w:eastAsia="Times New Roman" w:cs="Times New Roman"/>
          <w:spacing w:val="22"/>
          <w:w w:val="101"/>
          <w:sz w:val="20"/>
          <w:szCs w:val="20"/>
        </w:rPr>
        <w:t xml:space="preserve">  </w:t>
      </w:r>
      <w:r>
        <w:rPr>
          <w:rFonts w:ascii="Times New Roman" w:hAnsi="Times New Roman" w:eastAsia="Times New Roman" w:cs="Times New Roman"/>
          <w:sz w:val="20"/>
          <w:szCs w:val="20"/>
        </w:rPr>
        <w:t>Diabetes</w:t>
      </w:r>
      <w:r>
        <w:rPr>
          <w:rFonts w:ascii="Times New Roman" w:hAnsi="Times New Roman" w:eastAsia="Times New Roman" w:cs="Times New Roman"/>
          <w:spacing w:val="22"/>
          <w:w w:val="101"/>
          <w:sz w:val="20"/>
          <w:szCs w:val="20"/>
        </w:rPr>
        <w:t xml:space="preserve">  </w:t>
      </w:r>
      <w:r>
        <w:rPr>
          <w:rFonts w:ascii="Times New Roman" w:hAnsi="Times New Roman" w:eastAsia="Times New Roman" w:cs="Times New Roman"/>
          <w:sz w:val="20"/>
          <w:szCs w:val="20"/>
        </w:rPr>
        <w:t>Federation</w:t>
      </w:r>
      <w:r>
        <w:rPr>
          <w:rFonts w:ascii="Times New Roman" w:hAnsi="Times New Roman" w:eastAsia="Times New Roman" w:cs="Times New Roman"/>
          <w:spacing w:val="2"/>
          <w:sz w:val="20"/>
          <w:szCs w:val="20"/>
        </w:rPr>
        <w:t>,</w:t>
      </w:r>
      <w:r>
        <w:rPr>
          <w:rFonts w:ascii="Times New Roman" w:hAnsi="Times New Roman" w:eastAsia="Times New Roman" w:cs="Times New Roman"/>
          <w:sz w:val="20"/>
          <w:szCs w:val="20"/>
        </w:rPr>
        <w:t>IDF</w:t>
      </w:r>
      <w:r>
        <w:rPr>
          <w:rFonts w:ascii="Times New Roman" w:hAnsi="Times New Roman" w:eastAsia="Times New Roman" w:cs="Times New Roman"/>
          <w:spacing w:val="2"/>
          <w:sz w:val="20"/>
          <w:szCs w:val="20"/>
        </w:rPr>
        <w:t>)2021</w:t>
      </w:r>
      <w:r>
        <w:rPr>
          <w:rFonts w:ascii="宋体" w:hAnsi="宋体" w:eastAsia="宋体" w:cs="宋体"/>
          <w:spacing w:val="2"/>
          <w:sz w:val="20"/>
          <w:szCs w:val="20"/>
        </w:rPr>
        <w:t>年的统计数据，全球20～</w:t>
      </w:r>
      <w:r>
        <w:rPr>
          <w:rFonts w:ascii="宋体" w:hAnsi="宋体" w:eastAsia="宋体" w:cs="宋体"/>
          <w:spacing w:val="1"/>
          <w:sz w:val="20"/>
          <w:szCs w:val="20"/>
        </w:rPr>
        <w:t>79岁人群中</w:t>
      </w:r>
      <w:r>
        <w:rPr>
          <w:rFonts w:ascii="宋体" w:hAnsi="宋体" w:eastAsia="宋体" w:cs="宋体"/>
          <w:sz w:val="20"/>
          <w:szCs w:val="20"/>
        </w:rPr>
        <w:t xml:space="preserve"> </w:t>
      </w:r>
      <w:r>
        <w:rPr>
          <w:rFonts w:ascii="宋体" w:hAnsi="宋体" w:eastAsia="宋体" w:cs="宋体"/>
          <w:spacing w:val="2"/>
          <w:sz w:val="20"/>
          <w:szCs w:val="20"/>
        </w:rPr>
        <w:t>有5.37亿糖尿病患者，糖尿病患病率为10.5%。糖尿病患者中约90%为</w:t>
      </w:r>
      <w:r>
        <w:rPr>
          <w:rFonts w:ascii="宋体" w:hAnsi="宋体" w:eastAsia="宋体" w:cs="宋体"/>
          <w:spacing w:val="1"/>
          <w:sz w:val="20"/>
          <w:szCs w:val="20"/>
        </w:rPr>
        <w:t>T2</w:t>
      </w:r>
      <w:r>
        <w:rPr>
          <w:rFonts w:ascii="宋体" w:hAnsi="宋体" w:eastAsia="宋体" w:cs="宋体"/>
          <w:sz w:val="20"/>
          <w:szCs w:val="20"/>
        </w:rPr>
        <w:t>DM</w:t>
      </w:r>
      <w:r>
        <w:rPr>
          <w:rFonts w:ascii="宋体" w:hAnsi="宋体" w:eastAsia="宋体" w:cs="宋体"/>
          <w:spacing w:val="1"/>
          <w:sz w:val="20"/>
          <w:szCs w:val="20"/>
        </w:rPr>
        <w:t>。</w:t>
      </w:r>
    </w:p>
    <w:p w14:paraId="1ABAEEB1">
      <w:pPr>
        <w:pStyle w:val="2"/>
        <w:spacing w:before="122" w:line="285" w:lineRule="auto"/>
        <w:ind w:left="639" w:right="94" w:firstLine="399"/>
        <w:rPr>
          <w:rFonts w:ascii="宋体" w:hAnsi="宋体" w:eastAsia="宋体" w:cs="宋体"/>
          <w:sz w:val="20"/>
          <w:szCs w:val="20"/>
        </w:rPr>
      </w:pPr>
      <w:r>
        <w:rPr>
          <w:rFonts w:ascii="宋体" w:hAnsi="宋体" w:eastAsia="宋体" w:cs="宋体"/>
          <w:spacing w:val="-2"/>
          <w:sz w:val="20"/>
          <w:szCs w:val="20"/>
        </w:rPr>
        <w:t>2.</w:t>
      </w:r>
      <w:r>
        <w:rPr>
          <w:rFonts w:ascii="宋体" w:hAnsi="宋体" w:eastAsia="宋体" w:cs="宋体"/>
          <w:spacing w:val="-8"/>
          <w:sz w:val="20"/>
          <w:szCs w:val="20"/>
        </w:rPr>
        <w:t xml:space="preserve"> </w:t>
      </w:r>
      <w:r>
        <w:rPr>
          <w:spacing w:val="-2"/>
          <w:sz w:val="20"/>
          <w:szCs w:val="20"/>
        </w:rPr>
        <w:t xml:space="preserve">时间分布 </w:t>
      </w:r>
      <w:r>
        <w:rPr>
          <w:rFonts w:ascii="宋体" w:hAnsi="宋体" w:eastAsia="宋体" w:cs="宋体"/>
          <w:spacing w:val="-2"/>
          <w:sz w:val="20"/>
          <w:szCs w:val="20"/>
        </w:rPr>
        <w:t>近几十年来，T2DM</w:t>
      </w:r>
      <w:r>
        <w:rPr>
          <w:rFonts w:ascii="宋体" w:hAnsi="宋体" w:eastAsia="宋体" w:cs="宋体"/>
          <w:spacing w:val="55"/>
          <w:sz w:val="20"/>
          <w:szCs w:val="20"/>
        </w:rPr>
        <w:t xml:space="preserve"> </w:t>
      </w:r>
      <w:r>
        <w:rPr>
          <w:rFonts w:ascii="宋体" w:hAnsi="宋体" w:eastAsia="宋体" w:cs="宋体"/>
          <w:spacing w:val="-2"/>
          <w:sz w:val="20"/>
          <w:szCs w:val="20"/>
        </w:rPr>
        <w:t>的患病率呈持续增长趋势。根据IDF</w:t>
      </w:r>
      <w:r>
        <w:rPr>
          <w:rFonts w:ascii="宋体" w:hAnsi="宋体" w:eastAsia="宋体" w:cs="宋体"/>
          <w:spacing w:val="-21"/>
          <w:sz w:val="20"/>
          <w:szCs w:val="20"/>
        </w:rPr>
        <w:t xml:space="preserve"> </w:t>
      </w:r>
      <w:r>
        <w:rPr>
          <w:rFonts w:ascii="宋体" w:hAnsi="宋体" w:eastAsia="宋体" w:cs="宋体"/>
          <w:spacing w:val="-2"/>
          <w:sz w:val="20"/>
          <w:szCs w:val="20"/>
        </w:rPr>
        <w:t>的数据，2021年全球糖</w:t>
      </w:r>
      <w:r>
        <w:rPr>
          <w:rFonts w:ascii="宋体" w:hAnsi="宋体" w:eastAsia="宋体" w:cs="宋体"/>
          <w:sz w:val="20"/>
          <w:szCs w:val="20"/>
        </w:rPr>
        <w:t xml:space="preserve"> </w:t>
      </w:r>
      <w:r>
        <w:rPr>
          <w:rFonts w:ascii="宋体" w:hAnsi="宋体" w:eastAsia="宋体" w:cs="宋体"/>
          <w:spacing w:val="5"/>
          <w:sz w:val="20"/>
          <w:szCs w:val="20"/>
        </w:rPr>
        <w:t>尿病患病人数是2000年的3倍多，患病率是2000年的2倍多。</w:t>
      </w:r>
    </w:p>
    <w:p w14:paraId="132114BD">
      <w:pPr>
        <w:spacing w:before="121" w:line="301" w:lineRule="auto"/>
        <w:ind w:left="639" w:right="79" w:firstLine="399"/>
        <w:rPr>
          <w:rFonts w:ascii="宋体" w:hAnsi="宋体" w:eastAsia="宋体" w:cs="宋体"/>
          <w:sz w:val="20"/>
          <w:szCs w:val="20"/>
        </w:rPr>
      </w:pPr>
      <w:r>
        <w:rPr>
          <w:rFonts w:ascii="宋体" w:hAnsi="宋体" w:eastAsia="宋体" w:cs="宋体"/>
          <w:sz w:val="20"/>
          <w:szCs w:val="20"/>
        </w:rPr>
        <w:t>3.</w:t>
      </w:r>
      <w:r>
        <w:rPr>
          <w:rFonts w:ascii="宋体" w:hAnsi="宋体" w:eastAsia="宋体" w:cs="宋体"/>
          <w:spacing w:val="-18"/>
          <w:sz w:val="20"/>
          <w:szCs w:val="20"/>
        </w:rPr>
        <w:t xml:space="preserve"> </w:t>
      </w:r>
      <w:r>
        <w:rPr>
          <w:rFonts w:ascii="宋体" w:hAnsi="宋体" w:eastAsia="宋体" w:cs="宋体"/>
          <w:sz w:val="20"/>
          <w:szCs w:val="20"/>
        </w:rPr>
        <w:t>地区分布 从国家和地区间分布来看，根据IDF</w:t>
      </w:r>
      <w:r>
        <w:rPr>
          <w:rFonts w:ascii="宋体" w:hAnsi="宋体" w:eastAsia="宋体" w:cs="宋体"/>
          <w:spacing w:val="59"/>
          <w:sz w:val="20"/>
          <w:szCs w:val="20"/>
        </w:rPr>
        <w:t xml:space="preserve"> </w:t>
      </w:r>
      <w:r>
        <w:rPr>
          <w:rFonts w:ascii="宋体" w:hAnsi="宋体" w:eastAsia="宋体" w:cs="宋体"/>
          <w:sz w:val="20"/>
          <w:szCs w:val="20"/>
        </w:rPr>
        <w:t>2021年的统计数</w:t>
      </w:r>
      <w:r>
        <w:rPr>
          <w:rFonts w:ascii="宋体" w:hAnsi="宋体" w:eastAsia="宋体" w:cs="宋体"/>
          <w:spacing w:val="-1"/>
          <w:sz w:val="20"/>
          <w:szCs w:val="20"/>
        </w:rPr>
        <w:t>据，居住在西太平洋地区</w:t>
      </w:r>
      <w:r>
        <w:rPr>
          <w:rFonts w:ascii="宋体" w:hAnsi="宋体" w:eastAsia="宋体" w:cs="宋体"/>
          <w:sz w:val="20"/>
          <w:szCs w:val="20"/>
        </w:rPr>
        <w:t xml:space="preserve"> </w:t>
      </w:r>
      <w:r>
        <w:rPr>
          <w:rFonts w:ascii="宋体" w:hAnsi="宋体" w:eastAsia="宋体" w:cs="宋体"/>
          <w:spacing w:val="-3"/>
          <w:sz w:val="20"/>
          <w:szCs w:val="20"/>
        </w:rPr>
        <w:t>(包括中国)的成年患病人数最多，而中东及北非地区的</w:t>
      </w:r>
      <w:r>
        <w:rPr>
          <w:rFonts w:ascii="宋体" w:hAnsi="宋体" w:eastAsia="宋体" w:cs="宋体"/>
          <w:spacing w:val="-4"/>
          <w:sz w:val="20"/>
          <w:szCs w:val="20"/>
        </w:rPr>
        <w:t>患病率最高。从城乡分布来看，糖尿病的患</w:t>
      </w:r>
      <w:r>
        <w:rPr>
          <w:rFonts w:ascii="宋体" w:hAnsi="宋体" w:eastAsia="宋体" w:cs="宋体"/>
          <w:sz w:val="20"/>
          <w:szCs w:val="20"/>
        </w:rPr>
        <w:t xml:space="preserve"> </w:t>
      </w:r>
      <w:r>
        <w:rPr>
          <w:rFonts w:ascii="宋体" w:hAnsi="宋体" w:eastAsia="宋体" w:cs="宋体"/>
          <w:spacing w:val="-3"/>
          <w:sz w:val="20"/>
          <w:szCs w:val="20"/>
        </w:rPr>
        <w:t>病率在城镇明显高于农村。</w:t>
      </w:r>
    </w:p>
    <w:p w14:paraId="562772CD">
      <w:pPr>
        <w:pStyle w:val="2"/>
        <w:spacing w:before="122" w:line="311" w:lineRule="auto"/>
        <w:ind w:left="639" w:firstLine="399"/>
        <w:rPr>
          <w:rFonts w:ascii="宋体" w:hAnsi="宋体" w:eastAsia="宋体" w:cs="宋体"/>
          <w:sz w:val="20"/>
          <w:szCs w:val="20"/>
        </w:rPr>
      </w:pPr>
      <w:r>
        <w:rPr>
          <w:rFonts w:ascii="Times New Roman" w:hAnsi="Times New Roman" w:eastAsia="Times New Roman" w:cs="Times New Roman"/>
          <w:spacing w:val="2"/>
          <w:sz w:val="20"/>
          <w:szCs w:val="20"/>
        </w:rPr>
        <w:t xml:space="preserve">4.  </w:t>
      </w:r>
      <w:r>
        <w:rPr>
          <w:spacing w:val="2"/>
          <w:sz w:val="20"/>
          <w:szCs w:val="20"/>
        </w:rPr>
        <w:t>人群分布</w:t>
      </w:r>
      <w:r>
        <w:rPr>
          <w:spacing w:val="78"/>
          <w:sz w:val="20"/>
          <w:szCs w:val="20"/>
        </w:rPr>
        <w:t xml:space="preserve"> </w:t>
      </w:r>
      <w:r>
        <w:rPr>
          <w:rFonts w:ascii="Times New Roman" w:hAnsi="Times New Roman" w:eastAsia="Times New Roman" w:cs="Times New Roman"/>
          <w:spacing w:val="2"/>
          <w:sz w:val="20"/>
          <w:szCs w:val="20"/>
        </w:rPr>
        <w:t>T2</w:t>
      </w:r>
      <w:r>
        <w:rPr>
          <w:rFonts w:ascii="Times New Roman" w:hAnsi="Times New Roman" w:eastAsia="Times New Roman" w:cs="Times New Roman"/>
          <w:sz w:val="20"/>
          <w:szCs w:val="20"/>
        </w:rPr>
        <w:t>DM</w:t>
      </w:r>
      <w:r>
        <w:rPr>
          <w:rFonts w:ascii="宋体" w:hAnsi="宋体" w:eastAsia="宋体" w:cs="宋体"/>
          <w:spacing w:val="2"/>
          <w:sz w:val="20"/>
          <w:szCs w:val="20"/>
        </w:rPr>
        <w:t>的患病率随年龄增长而上升，20</w:t>
      </w:r>
      <w:r>
        <w:rPr>
          <w:rFonts w:ascii="宋体" w:hAnsi="宋体" w:eastAsia="宋体" w:cs="宋体"/>
          <w:spacing w:val="1"/>
          <w:sz w:val="20"/>
          <w:szCs w:val="20"/>
        </w:rPr>
        <w:t>21年，全球20～24岁成人的糖尿病患病</w:t>
      </w:r>
      <w:r>
        <w:rPr>
          <w:rFonts w:ascii="宋体" w:hAnsi="宋体" w:eastAsia="宋体" w:cs="宋体"/>
          <w:sz w:val="20"/>
          <w:szCs w:val="20"/>
        </w:rPr>
        <w:t xml:space="preserve">  </w:t>
      </w:r>
      <w:r>
        <w:rPr>
          <w:rFonts w:ascii="宋体" w:hAnsi="宋体" w:eastAsia="宋体" w:cs="宋体"/>
          <w:spacing w:val="4"/>
          <w:sz w:val="20"/>
          <w:szCs w:val="20"/>
        </w:rPr>
        <w:t>率为2.2%,而75～79岁老年人的糖</w:t>
      </w:r>
      <w:r>
        <w:rPr>
          <w:rFonts w:ascii="宋体" w:hAnsi="宋体" w:eastAsia="宋体" w:cs="宋体"/>
          <w:spacing w:val="3"/>
          <w:sz w:val="20"/>
          <w:szCs w:val="20"/>
        </w:rPr>
        <w:t>尿病患病率为24.0%。但近年来T2</w:t>
      </w:r>
      <w:r>
        <w:rPr>
          <w:rFonts w:ascii="宋体" w:hAnsi="宋体" w:eastAsia="宋体" w:cs="宋体"/>
          <w:sz w:val="20"/>
          <w:szCs w:val="20"/>
        </w:rPr>
        <w:t>DM</w:t>
      </w:r>
      <w:r>
        <w:rPr>
          <w:rFonts w:ascii="宋体" w:hAnsi="宋体" w:eastAsia="宋体" w:cs="宋体"/>
          <w:spacing w:val="65"/>
          <w:sz w:val="20"/>
          <w:szCs w:val="20"/>
        </w:rPr>
        <w:t xml:space="preserve"> </w:t>
      </w:r>
      <w:r>
        <w:rPr>
          <w:rFonts w:ascii="宋体" w:hAnsi="宋体" w:eastAsia="宋体" w:cs="宋体"/>
          <w:spacing w:val="3"/>
          <w:sz w:val="20"/>
          <w:szCs w:val="20"/>
        </w:rPr>
        <w:t>的发病呈现年轻化趋势。</w:t>
      </w:r>
      <w:r>
        <w:rPr>
          <w:rFonts w:ascii="宋体" w:hAnsi="宋体" w:eastAsia="宋体" w:cs="宋体"/>
          <w:sz w:val="20"/>
          <w:szCs w:val="20"/>
        </w:rPr>
        <w:t xml:space="preserve"> </w:t>
      </w:r>
      <w:r>
        <w:rPr>
          <w:rFonts w:ascii="宋体" w:hAnsi="宋体" w:eastAsia="宋体" w:cs="宋体"/>
          <w:spacing w:val="-2"/>
          <w:sz w:val="20"/>
          <w:szCs w:val="20"/>
        </w:rPr>
        <w:t>男性中糖尿病的患病率比女性稍高，不同种族的</w:t>
      </w:r>
      <w:r>
        <w:rPr>
          <w:rFonts w:ascii="Times New Roman" w:hAnsi="Times New Roman" w:eastAsia="Times New Roman" w:cs="Times New Roman"/>
          <w:spacing w:val="-2"/>
          <w:sz w:val="20"/>
          <w:szCs w:val="20"/>
        </w:rPr>
        <w:t>T2DM</w:t>
      </w:r>
      <w:r>
        <w:rPr>
          <w:rFonts w:ascii="宋体" w:hAnsi="宋体" w:eastAsia="宋体" w:cs="宋体"/>
          <w:spacing w:val="-2"/>
          <w:sz w:val="20"/>
          <w:szCs w:val="20"/>
        </w:rPr>
        <w:t>患</w:t>
      </w:r>
      <w:r>
        <w:rPr>
          <w:rFonts w:ascii="宋体" w:hAnsi="宋体" w:eastAsia="宋体" w:cs="宋体"/>
          <w:spacing w:val="-3"/>
          <w:sz w:val="20"/>
          <w:szCs w:val="20"/>
        </w:rPr>
        <w:t>病率亦不同，患病率最高的是美国亚利桑</w:t>
      </w:r>
      <w:r>
        <w:rPr>
          <w:rFonts w:ascii="宋体" w:hAnsi="宋体" w:eastAsia="宋体" w:cs="宋体"/>
          <w:sz w:val="20"/>
          <w:szCs w:val="20"/>
        </w:rPr>
        <w:t xml:space="preserve">  </w:t>
      </w:r>
      <w:r>
        <w:rPr>
          <w:rFonts w:ascii="宋体" w:hAnsi="宋体" w:eastAsia="宋体" w:cs="宋体"/>
          <w:spacing w:val="5"/>
          <w:sz w:val="20"/>
          <w:szCs w:val="20"/>
        </w:rPr>
        <w:t>那州的比马印第安人(近50%的人口患有T2</w:t>
      </w:r>
      <w:r>
        <w:rPr>
          <w:rFonts w:ascii="宋体" w:hAnsi="宋体" w:eastAsia="宋体" w:cs="宋体"/>
          <w:sz w:val="20"/>
          <w:szCs w:val="20"/>
        </w:rPr>
        <w:t>DM</w:t>
      </w:r>
      <w:r>
        <w:rPr>
          <w:rFonts w:ascii="宋体" w:hAnsi="宋体" w:eastAsia="宋体" w:cs="宋体"/>
          <w:spacing w:val="5"/>
          <w:sz w:val="20"/>
          <w:szCs w:val="20"/>
        </w:rPr>
        <w:t>)。</w:t>
      </w:r>
    </w:p>
    <w:p w14:paraId="1E6FCE82">
      <w:pPr>
        <w:pStyle w:val="2"/>
        <w:spacing w:before="164" w:line="222" w:lineRule="auto"/>
        <w:ind w:left="1039"/>
        <w:rPr>
          <w:sz w:val="20"/>
          <w:szCs w:val="20"/>
        </w:rPr>
      </w:pPr>
      <w:r>
        <w:rPr>
          <w:spacing w:val="24"/>
          <w:sz w:val="20"/>
          <w:szCs w:val="20"/>
        </w:rPr>
        <w:t>(三)危险因素</w:t>
      </w:r>
    </w:p>
    <w:p w14:paraId="2C2BCCE6">
      <w:pPr>
        <w:spacing w:before="109" w:line="334" w:lineRule="auto"/>
        <w:ind w:left="639" w:right="98" w:firstLine="399"/>
        <w:rPr>
          <w:rFonts w:ascii="宋体" w:hAnsi="宋体" w:eastAsia="宋体" w:cs="宋体"/>
          <w:sz w:val="20"/>
          <w:szCs w:val="20"/>
        </w:rPr>
      </w:pPr>
      <w:r>
        <w:rPr>
          <w:rFonts w:ascii="Times New Roman" w:hAnsi="Times New Roman" w:eastAsia="Times New Roman" w:cs="Times New Roman"/>
          <w:spacing w:val="1"/>
          <w:sz w:val="20"/>
          <w:szCs w:val="20"/>
        </w:rPr>
        <w:t>1.T1</w:t>
      </w:r>
      <w:r>
        <w:rPr>
          <w:rFonts w:ascii="Times New Roman" w:hAnsi="Times New Roman" w:eastAsia="Times New Roman" w:cs="Times New Roman"/>
          <w:sz w:val="20"/>
          <w:szCs w:val="20"/>
        </w:rPr>
        <w:t>DM</w:t>
      </w:r>
      <w:r>
        <w:rPr>
          <w:rFonts w:ascii="Times New Roman" w:hAnsi="Times New Roman" w:eastAsia="Times New Roman" w:cs="Times New Roman"/>
          <w:spacing w:val="1"/>
          <w:sz w:val="20"/>
          <w:szCs w:val="20"/>
        </w:rPr>
        <w:t xml:space="preserve">       </w:t>
      </w:r>
      <w:r>
        <w:rPr>
          <w:rFonts w:ascii="Times New Roman" w:hAnsi="Times New Roman" w:eastAsia="Times New Roman" w:cs="Times New Roman"/>
          <w:sz w:val="20"/>
          <w:szCs w:val="20"/>
        </w:rPr>
        <w:t>T</w:t>
      </w:r>
      <w:r>
        <w:rPr>
          <w:rFonts w:ascii="Times New Roman" w:hAnsi="Times New Roman" w:eastAsia="Times New Roman" w:cs="Times New Roman"/>
          <w:spacing w:val="1"/>
          <w:sz w:val="20"/>
          <w:szCs w:val="20"/>
        </w:rPr>
        <w:t>1</w:t>
      </w:r>
      <w:r>
        <w:rPr>
          <w:rFonts w:ascii="Times New Roman" w:hAnsi="Times New Roman" w:eastAsia="Times New Roman" w:cs="Times New Roman"/>
          <w:sz w:val="20"/>
          <w:szCs w:val="20"/>
        </w:rPr>
        <w:t>DM</w:t>
      </w:r>
      <w:r>
        <w:rPr>
          <w:rFonts w:ascii="宋体" w:hAnsi="宋体" w:eastAsia="宋体" w:cs="宋体"/>
          <w:spacing w:val="1"/>
          <w:sz w:val="20"/>
          <w:szCs w:val="20"/>
        </w:rPr>
        <w:t>的发生可能与</w:t>
      </w:r>
      <w:r>
        <w:rPr>
          <w:rFonts w:ascii="Times New Roman" w:hAnsi="Times New Roman" w:eastAsia="Times New Roman" w:cs="Times New Roman"/>
          <w:spacing w:val="1"/>
          <w:sz w:val="20"/>
          <w:szCs w:val="20"/>
        </w:rPr>
        <w:t>T</w:t>
      </w:r>
      <w:r>
        <w:rPr>
          <w:rFonts w:ascii="Times New Roman" w:hAnsi="Times New Roman" w:eastAsia="Times New Roman" w:cs="Times New Roman"/>
          <w:spacing w:val="25"/>
          <w:sz w:val="20"/>
          <w:szCs w:val="20"/>
        </w:rPr>
        <w:t xml:space="preserve"> </w:t>
      </w:r>
      <w:r>
        <w:rPr>
          <w:rFonts w:ascii="宋体" w:hAnsi="宋体" w:eastAsia="宋体" w:cs="宋体"/>
          <w:spacing w:val="1"/>
          <w:sz w:val="20"/>
          <w:szCs w:val="20"/>
        </w:rPr>
        <w:t>细胞介导的自身免疫导致胰岛β细胞的选择性破坏、胰岛</w:t>
      </w:r>
      <w:r>
        <w:rPr>
          <w:rFonts w:ascii="宋体" w:hAnsi="宋体" w:eastAsia="宋体" w:cs="宋体"/>
          <w:sz w:val="20"/>
          <w:szCs w:val="20"/>
        </w:rPr>
        <w:t xml:space="preserve"> </w:t>
      </w:r>
      <w:r>
        <w:rPr>
          <w:rFonts w:ascii="宋体" w:hAnsi="宋体" w:eastAsia="宋体" w:cs="宋体"/>
          <w:spacing w:val="-5"/>
          <w:sz w:val="20"/>
          <w:szCs w:val="20"/>
        </w:rPr>
        <w:t>素分泌减少和绝对缺乏有关，其危险因素主要分为遗传因素、自身免疫和环境驱动</w:t>
      </w:r>
      <w:r>
        <w:rPr>
          <w:rFonts w:ascii="宋体" w:hAnsi="宋体" w:eastAsia="宋体" w:cs="宋体"/>
          <w:spacing w:val="-6"/>
          <w:sz w:val="20"/>
          <w:szCs w:val="20"/>
        </w:rPr>
        <w:t>因素三大类。</w:t>
      </w:r>
    </w:p>
    <w:p w14:paraId="333415DA">
      <w:pPr>
        <w:spacing w:before="17" w:line="271" w:lineRule="auto"/>
        <w:ind w:left="639" w:firstLine="399"/>
        <w:rPr>
          <w:rFonts w:ascii="宋体" w:hAnsi="宋体" w:eastAsia="宋体" w:cs="宋体"/>
          <w:sz w:val="20"/>
          <w:szCs w:val="20"/>
        </w:rPr>
      </w:pPr>
      <w:r>
        <w:rPr>
          <w:rFonts w:ascii="宋体" w:hAnsi="宋体" w:eastAsia="宋体" w:cs="宋体"/>
          <w:spacing w:val="5"/>
          <w:sz w:val="20"/>
          <w:szCs w:val="20"/>
        </w:rPr>
        <w:t>(1)遗传因素：已经发现多个与</w:t>
      </w:r>
      <w:r>
        <w:rPr>
          <w:rFonts w:ascii="Times New Roman" w:hAnsi="Times New Roman" w:eastAsia="Times New Roman" w:cs="Times New Roman"/>
          <w:spacing w:val="5"/>
          <w:sz w:val="20"/>
          <w:szCs w:val="20"/>
        </w:rPr>
        <w:t>T1</w:t>
      </w:r>
      <w:r>
        <w:rPr>
          <w:rFonts w:ascii="Times New Roman" w:hAnsi="Times New Roman" w:eastAsia="Times New Roman" w:cs="Times New Roman"/>
          <w:sz w:val="20"/>
          <w:szCs w:val="20"/>
        </w:rPr>
        <w:t>DM</w:t>
      </w:r>
      <w:r>
        <w:rPr>
          <w:rFonts w:ascii="Times New Roman" w:hAnsi="Times New Roman" w:eastAsia="Times New Roman" w:cs="Times New Roman"/>
          <w:spacing w:val="6"/>
          <w:sz w:val="20"/>
          <w:szCs w:val="20"/>
        </w:rPr>
        <w:t xml:space="preserve"> </w:t>
      </w:r>
      <w:r>
        <w:rPr>
          <w:rFonts w:ascii="宋体" w:hAnsi="宋体" w:eastAsia="宋体" w:cs="宋体"/>
          <w:spacing w:val="5"/>
          <w:sz w:val="20"/>
          <w:szCs w:val="20"/>
        </w:rPr>
        <w:t>相关的基因位点，如</w:t>
      </w:r>
      <w:r>
        <w:rPr>
          <w:rFonts w:ascii="Times New Roman" w:hAnsi="Times New Roman" w:eastAsia="Times New Roman" w:cs="Times New Roman"/>
          <w:sz w:val="20"/>
          <w:szCs w:val="20"/>
        </w:rPr>
        <w:t>IDDM</w:t>
      </w:r>
      <w:r>
        <w:rPr>
          <w:rFonts w:ascii="Times New Roman" w:hAnsi="Times New Roman" w:eastAsia="Times New Roman" w:cs="Times New Roman"/>
          <w:spacing w:val="5"/>
          <w:sz w:val="20"/>
          <w:szCs w:val="20"/>
        </w:rPr>
        <w:t>1</w:t>
      </w:r>
      <w:r>
        <w:rPr>
          <w:rFonts w:ascii="宋体" w:hAnsi="宋体" w:eastAsia="宋体" w:cs="宋体"/>
          <w:spacing w:val="5"/>
          <w:sz w:val="20"/>
          <w:szCs w:val="20"/>
        </w:rPr>
        <w:t>(人类白细胞抗原基因)、</w:t>
      </w:r>
      <w:r>
        <w:rPr>
          <w:rFonts w:ascii="宋体" w:hAnsi="宋体" w:eastAsia="宋体" w:cs="宋体"/>
          <w:sz w:val="20"/>
          <w:szCs w:val="20"/>
        </w:rPr>
        <w:t xml:space="preserve"> </w:t>
      </w:r>
      <w:r>
        <w:rPr>
          <w:rFonts w:ascii="Times New Roman" w:hAnsi="Times New Roman" w:eastAsia="Times New Roman" w:cs="Times New Roman"/>
          <w:spacing w:val="-4"/>
          <w:sz w:val="20"/>
          <w:szCs w:val="20"/>
        </w:rPr>
        <w:t>IDDM2</w:t>
      </w:r>
      <w:r>
        <w:rPr>
          <w:rFonts w:ascii="宋体" w:hAnsi="宋体" w:eastAsia="宋体" w:cs="宋体"/>
          <w:spacing w:val="-4"/>
          <w:sz w:val="20"/>
          <w:szCs w:val="20"/>
        </w:rPr>
        <w:t>(胰岛素基因)。</w:t>
      </w:r>
    </w:p>
    <w:p w14:paraId="467ED7B5">
      <w:pPr>
        <w:spacing w:before="153" w:line="271" w:lineRule="auto"/>
        <w:ind w:left="639" w:right="205" w:firstLine="399"/>
        <w:rPr>
          <w:rFonts w:ascii="宋体" w:hAnsi="宋体" w:eastAsia="宋体" w:cs="宋体"/>
          <w:sz w:val="20"/>
          <w:szCs w:val="20"/>
        </w:rPr>
      </w:pPr>
      <w:r>
        <w:rPr>
          <w:rFonts w:ascii="宋体" w:hAnsi="宋体" w:eastAsia="宋体" w:cs="宋体"/>
          <w:spacing w:val="4"/>
          <w:sz w:val="20"/>
          <w:szCs w:val="20"/>
        </w:rPr>
        <w:t>(2)自身免疫：90%的T1</w:t>
      </w:r>
      <w:r>
        <w:rPr>
          <w:rFonts w:ascii="宋体" w:hAnsi="宋体" w:eastAsia="宋体" w:cs="宋体"/>
          <w:sz w:val="20"/>
          <w:szCs w:val="20"/>
        </w:rPr>
        <w:t>DM</w:t>
      </w:r>
      <w:r>
        <w:rPr>
          <w:rFonts w:ascii="宋体" w:hAnsi="宋体" w:eastAsia="宋体" w:cs="宋体"/>
          <w:spacing w:val="59"/>
          <w:sz w:val="20"/>
          <w:szCs w:val="20"/>
        </w:rPr>
        <w:t xml:space="preserve"> </w:t>
      </w:r>
      <w:r>
        <w:rPr>
          <w:rFonts w:ascii="宋体" w:hAnsi="宋体" w:eastAsia="宋体" w:cs="宋体"/>
          <w:spacing w:val="4"/>
          <w:sz w:val="20"/>
          <w:szCs w:val="20"/>
        </w:rPr>
        <w:t>新发病例血浆中有多种胰岛细胞自身抗体。已证实，迟发T1</w:t>
      </w:r>
      <w:r>
        <w:rPr>
          <w:rFonts w:ascii="宋体" w:hAnsi="宋体" w:eastAsia="宋体" w:cs="宋体"/>
          <w:sz w:val="20"/>
          <w:szCs w:val="20"/>
        </w:rPr>
        <w:t xml:space="preserve">DM </w:t>
      </w:r>
      <w:r>
        <w:rPr>
          <w:rFonts w:ascii="宋体" w:hAnsi="宋体" w:eastAsia="宋体" w:cs="宋体"/>
          <w:spacing w:val="-3"/>
          <w:sz w:val="20"/>
          <w:szCs w:val="20"/>
        </w:rPr>
        <w:t>患者的血清谷氨酸脱羧酶抗体呈阳性。</w:t>
      </w:r>
    </w:p>
    <w:p w14:paraId="17BF28B9">
      <w:pPr>
        <w:spacing w:before="141" w:line="295" w:lineRule="auto"/>
        <w:ind w:left="639" w:right="80" w:firstLine="399"/>
        <w:rPr>
          <w:rFonts w:ascii="宋体" w:hAnsi="宋体" w:eastAsia="宋体" w:cs="宋体"/>
          <w:sz w:val="20"/>
          <w:szCs w:val="20"/>
        </w:rPr>
      </w:pPr>
      <w:r>
        <w:rPr>
          <w:rFonts w:ascii="宋体" w:hAnsi="宋体" w:eastAsia="宋体" w:cs="宋体"/>
          <w:sz w:val="20"/>
          <w:szCs w:val="20"/>
        </w:rPr>
        <w:t>(3)环境驱动因素：</w:t>
      </w:r>
      <w:r>
        <w:rPr>
          <w:rFonts w:ascii="Times New Roman" w:hAnsi="Times New Roman" w:eastAsia="Times New Roman" w:cs="Times New Roman"/>
          <w:sz w:val="20"/>
          <w:szCs w:val="20"/>
        </w:rPr>
        <w:t>T1DM</w:t>
      </w:r>
      <w:r>
        <w:rPr>
          <w:rFonts w:ascii="宋体" w:hAnsi="宋体" w:eastAsia="宋体" w:cs="宋体"/>
          <w:sz w:val="20"/>
          <w:szCs w:val="20"/>
        </w:rPr>
        <w:t>发病与纬度和气温有关，且具有明显的短期快速时间波动以及时空</w:t>
      </w:r>
      <w:r>
        <w:rPr>
          <w:rFonts w:ascii="宋体" w:hAnsi="宋体" w:eastAsia="宋体" w:cs="宋体"/>
          <w:spacing w:val="3"/>
          <w:sz w:val="20"/>
          <w:szCs w:val="20"/>
        </w:rPr>
        <w:t xml:space="preserve"> </w:t>
      </w:r>
      <w:r>
        <w:rPr>
          <w:rFonts w:ascii="宋体" w:hAnsi="宋体" w:eastAsia="宋体" w:cs="宋体"/>
          <w:spacing w:val="-2"/>
          <w:sz w:val="20"/>
          <w:szCs w:val="20"/>
        </w:rPr>
        <w:t>聚集性等流行病学特征，提示</w:t>
      </w:r>
      <w:r>
        <w:rPr>
          <w:rFonts w:ascii="Times New Roman" w:hAnsi="Times New Roman" w:eastAsia="Times New Roman" w:cs="Times New Roman"/>
          <w:spacing w:val="-2"/>
          <w:sz w:val="20"/>
          <w:szCs w:val="20"/>
        </w:rPr>
        <w:t>T1DM</w:t>
      </w:r>
      <w:r>
        <w:rPr>
          <w:rFonts w:ascii="宋体" w:hAnsi="宋体" w:eastAsia="宋体" w:cs="宋体"/>
          <w:spacing w:val="-2"/>
          <w:sz w:val="20"/>
          <w:szCs w:val="20"/>
        </w:rPr>
        <w:t>的发病与感染因素有关</w:t>
      </w:r>
      <w:r>
        <w:rPr>
          <w:rFonts w:ascii="宋体" w:hAnsi="宋体" w:eastAsia="宋体" w:cs="宋体"/>
          <w:spacing w:val="-3"/>
          <w:sz w:val="20"/>
          <w:szCs w:val="20"/>
        </w:rPr>
        <w:t>，特别是与病毒感染有关。其中，柯萨</w:t>
      </w:r>
      <w:r>
        <w:rPr>
          <w:rFonts w:ascii="宋体" w:hAnsi="宋体" w:eastAsia="宋体" w:cs="宋体"/>
          <w:sz w:val="20"/>
          <w:szCs w:val="20"/>
        </w:rPr>
        <w:t xml:space="preserve"> </w:t>
      </w:r>
      <w:r>
        <w:rPr>
          <w:rFonts w:ascii="宋体" w:hAnsi="宋体" w:eastAsia="宋体" w:cs="宋体"/>
          <w:spacing w:val="-1"/>
          <w:sz w:val="20"/>
          <w:szCs w:val="20"/>
        </w:rPr>
        <w:t>奇病毒与</w:t>
      </w:r>
      <w:r>
        <w:rPr>
          <w:rFonts w:ascii="Times New Roman" w:hAnsi="Times New Roman" w:eastAsia="Times New Roman" w:cs="Times New Roman"/>
          <w:spacing w:val="-1"/>
          <w:sz w:val="20"/>
          <w:szCs w:val="20"/>
        </w:rPr>
        <w:t>T1DM</w:t>
      </w:r>
      <w:r>
        <w:rPr>
          <w:rFonts w:ascii="宋体" w:hAnsi="宋体" w:eastAsia="宋体" w:cs="宋体"/>
          <w:spacing w:val="-1"/>
          <w:sz w:val="20"/>
          <w:szCs w:val="20"/>
        </w:rPr>
        <w:t>的关系比较肯定。</w:t>
      </w:r>
    </w:p>
    <w:p w14:paraId="6878F050">
      <w:pPr>
        <w:spacing w:before="132" w:line="330" w:lineRule="auto"/>
        <w:ind w:left="639" w:right="76" w:firstLine="399"/>
        <w:jc w:val="both"/>
        <w:rPr>
          <w:rFonts w:ascii="宋体" w:hAnsi="宋体" w:eastAsia="宋体" w:cs="宋体"/>
          <w:sz w:val="20"/>
          <w:szCs w:val="20"/>
        </w:rPr>
      </w:pPr>
      <w:r>
        <w:rPr>
          <w:rFonts w:ascii="Times New Roman" w:hAnsi="Times New Roman" w:eastAsia="Times New Roman" w:cs="Times New Roman"/>
          <w:spacing w:val="1"/>
          <w:sz w:val="20"/>
          <w:szCs w:val="20"/>
        </w:rPr>
        <w:t>2.T2</w:t>
      </w:r>
      <w:r>
        <w:rPr>
          <w:rFonts w:ascii="Times New Roman" w:hAnsi="Times New Roman" w:eastAsia="Times New Roman" w:cs="Times New Roman"/>
          <w:sz w:val="20"/>
          <w:szCs w:val="20"/>
        </w:rPr>
        <w:t>DM</w:t>
      </w:r>
      <w:r>
        <w:rPr>
          <w:rFonts w:ascii="Times New Roman" w:hAnsi="Times New Roman" w:eastAsia="Times New Roman" w:cs="Times New Roman"/>
          <w:spacing w:val="1"/>
          <w:sz w:val="20"/>
          <w:szCs w:val="20"/>
        </w:rPr>
        <w:t xml:space="preserve">       </w:t>
      </w:r>
      <w:r>
        <w:rPr>
          <w:rFonts w:ascii="Times New Roman" w:hAnsi="Times New Roman" w:eastAsia="Times New Roman" w:cs="Times New Roman"/>
          <w:sz w:val="20"/>
          <w:szCs w:val="20"/>
        </w:rPr>
        <w:t>T</w:t>
      </w:r>
      <w:r>
        <w:rPr>
          <w:rFonts w:ascii="Times New Roman" w:hAnsi="Times New Roman" w:eastAsia="Times New Roman" w:cs="Times New Roman"/>
          <w:spacing w:val="1"/>
          <w:sz w:val="20"/>
          <w:szCs w:val="20"/>
        </w:rPr>
        <w:t>2</w:t>
      </w:r>
      <w:r>
        <w:rPr>
          <w:rFonts w:ascii="Times New Roman" w:hAnsi="Times New Roman" w:eastAsia="Times New Roman" w:cs="Times New Roman"/>
          <w:sz w:val="20"/>
          <w:szCs w:val="20"/>
        </w:rPr>
        <w:t>DM</w:t>
      </w:r>
      <w:r>
        <w:rPr>
          <w:rFonts w:ascii="宋体" w:hAnsi="宋体" w:eastAsia="宋体" w:cs="宋体"/>
          <w:spacing w:val="1"/>
          <w:sz w:val="20"/>
          <w:szCs w:val="20"/>
        </w:rPr>
        <w:t>主要是由遗传和环境因素引起外周组织(主要是肌肉和脂肪组织)胰岛素抵</w:t>
      </w:r>
      <w:r>
        <w:rPr>
          <w:rFonts w:ascii="宋体" w:hAnsi="宋体" w:eastAsia="宋体" w:cs="宋体"/>
          <w:spacing w:val="3"/>
          <w:sz w:val="20"/>
          <w:szCs w:val="20"/>
        </w:rPr>
        <w:t xml:space="preserve"> </w:t>
      </w:r>
      <w:r>
        <w:rPr>
          <w:rFonts w:ascii="宋体" w:hAnsi="宋体" w:eastAsia="宋体" w:cs="宋体"/>
          <w:spacing w:val="-2"/>
          <w:sz w:val="20"/>
          <w:szCs w:val="20"/>
        </w:rPr>
        <w:t>抗</w:t>
      </w:r>
      <w:r>
        <w:rPr>
          <w:rFonts w:ascii="Times New Roman" w:hAnsi="Times New Roman" w:eastAsia="Times New Roman" w:cs="Times New Roman"/>
          <w:spacing w:val="-2"/>
          <w:sz w:val="20"/>
          <w:szCs w:val="20"/>
        </w:rPr>
        <w:t>(insulin     resistance,IR)</w:t>
      </w:r>
      <w:r>
        <w:rPr>
          <w:rFonts w:ascii="宋体" w:hAnsi="宋体" w:eastAsia="宋体" w:cs="宋体"/>
          <w:spacing w:val="-2"/>
          <w:sz w:val="20"/>
          <w:szCs w:val="20"/>
        </w:rPr>
        <w:t>和胰岛素分泌缺陷，导致机体胰岛素相对或绝对不足，使葡萄糖摄取利用</w:t>
      </w:r>
      <w:r>
        <w:rPr>
          <w:rFonts w:ascii="宋体" w:hAnsi="宋体" w:eastAsia="宋体" w:cs="宋体"/>
          <w:spacing w:val="6"/>
          <w:sz w:val="20"/>
          <w:szCs w:val="20"/>
        </w:rPr>
        <w:t xml:space="preserve"> </w:t>
      </w:r>
      <w:r>
        <w:rPr>
          <w:rFonts w:ascii="宋体" w:hAnsi="宋体" w:eastAsia="宋体" w:cs="宋体"/>
          <w:spacing w:val="-11"/>
          <w:sz w:val="20"/>
          <w:szCs w:val="20"/>
        </w:rPr>
        <w:t>减少，从而引发高血糖，导致糖尿病。</w:t>
      </w:r>
    </w:p>
    <w:p w14:paraId="381D169B">
      <w:pPr>
        <w:spacing w:before="37" w:line="281" w:lineRule="auto"/>
        <w:ind w:left="639" w:right="88" w:firstLine="399"/>
        <w:rPr>
          <w:rFonts w:ascii="宋体" w:hAnsi="宋体" w:eastAsia="宋体" w:cs="宋体"/>
          <w:sz w:val="20"/>
          <w:szCs w:val="20"/>
        </w:rPr>
      </w:pPr>
      <w:r>
        <w:rPr>
          <w:rFonts w:ascii="宋体" w:hAnsi="宋体" w:eastAsia="宋体" w:cs="宋体"/>
          <w:sz w:val="20"/>
          <w:szCs w:val="20"/>
        </w:rPr>
        <w:t>(1)遗传因素：</w:t>
      </w:r>
      <w:r>
        <w:rPr>
          <w:rFonts w:ascii="Times New Roman" w:hAnsi="Times New Roman" w:eastAsia="Times New Roman" w:cs="Times New Roman"/>
          <w:sz w:val="20"/>
          <w:szCs w:val="20"/>
        </w:rPr>
        <w:t>T2DM</w:t>
      </w:r>
      <w:r>
        <w:rPr>
          <w:rFonts w:ascii="宋体" w:hAnsi="宋体" w:eastAsia="宋体" w:cs="宋体"/>
          <w:sz w:val="20"/>
          <w:szCs w:val="20"/>
        </w:rPr>
        <w:t>有很强的家族聚集性，糖尿病患者亲属中的患病率显著高于</w:t>
      </w:r>
      <w:r>
        <w:rPr>
          <w:rFonts w:ascii="宋体" w:hAnsi="宋体" w:eastAsia="宋体" w:cs="宋体"/>
          <w:spacing w:val="-1"/>
          <w:sz w:val="20"/>
          <w:szCs w:val="20"/>
        </w:rPr>
        <w:t>非糖尿病患</w:t>
      </w:r>
      <w:r>
        <w:rPr>
          <w:rFonts w:ascii="宋体" w:hAnsi="宋体" w:eastAsia="宋体" w:cs="宋体"/>
          <w:sz w:val="20"/>
          <w:szCs w:val="20"/>
        </w:rPr>
        <w:t xml:space="preserve"> </w:t>
      </w:r>
      <w:r>
        <w:rPr>
          <w:rFonts w:ascii="宋体" w:hAnsi="宋体" w:eastAsia="宋体" w:cs="宋体"/>
          <w:spacing w:val="-1"/>
          <w:sz w:val="20"/>
          <w:szCs w:val="20"/>
        </w:rPr>
        <w:t>者的亲属。全基因组关联分析也发现了多个与T2DM</w:t>
      </w:r>
      <w:r>
        <w:rPr>
          <w:rFonts w:ascii="宋体" w:hAnsi="宋体" w:eastAsia="宋体" w:cs="宋体"/>
          <w:spacing w:val="55"/>
          <w:sz w:val="20"/>
          <w:szCs w:val="20"/>
        </w:rPr>
        <w:t xml:space="preserve"> </w:t>
      </w:r>
      <w:r>
        <w:rPr>
          <w:rFonts w:ascii="宋体" w:hAnsi="宋体" w:eastAsia="宋体" w:cs="宋体"/>
          <w:spacing w:val="-1"/>
          <w:sz w:val="20"/>
          <w:szCs w:val="20"/>
        </w:rPr>
        <w:t>相关的基因位</w:t>
      </w:r>
      <w:r>
        <w:rPr>
          <w:rFonts w:ascii="宋体" w:hAnsi="宋体" w:eastAsia="宋体" w:cs="宋体"/>
          <w:spacing w:val="-2"/>
          <w:sz w:val="20"/>
          <w:szCs w:val="20"/>
        </w:rPr>
        <w:t>点，如TCF7L2、KCNQI 等</w:t>
      </w:r>
      <w:r>
        <w:rPr>
          <w:rFonts w:ascii="宋体" w:hAnsi="宋体" w:eastAsia="宋体" w:cs="宋体"/>
          <w:spacing w:val="-51"/>
          <w:sz w:val="20"/>
          <w:szCs w:val="20"/>
        </w:rPr>
        <w:t xml:space="preserve"> </w:t>
      </w:r>
      <w:r>
        <w:rPr>
          <w:rFonts w:ascii="宋体" w:hAnsi="宋体" w:eastAsia="宋体" w:cs="宋体"/>
          <w:spacing w:val="-2"/>
          <w:sz w:val="20"/>
          <w:szCs w:val="20"/>
        </w:rPr>
        <w:t>。</w:t>
      </w:r>
    </w:p>
    <w:p w14:paraId="49C57099">
      <w:pPr>
        <w:spacing w:before="120" w:line="289" w:lineRule="auto"/>
        <w:ind w:left="639" w:right="73" w:firstLine="399"/>
        <w:rPr>
          <w:rFonts w:ascii="宋体" w:hAnsi="宋体" w:eastAsia="宋体" w:cs="宋体"/>
          <w:sz w:val="20"/>
          <w:szCs w:val="20"/>
        </w:rPr>
      </w:pPr>
      <w:r>
        <w:rPr>
          <w:rFonts w:ascii="宋体" w:hAnsi="宋体" w:eastAsia="宋体" w:cs="宋体"/>
          <w:spacing w:val="-1"/>
          <w:sz w:val="20"/>
          <w:szCs w:val="20"/>
        </w:rPr>
        <w:t>(2)社会驱动因素：糖尿病与社会经济状况紧密相关。发达国家的糖尿病患病率高于发展</w:t>
      </w:r>
      <w:r>
        <w:rPr>
          <w:rFonts w:ascii="宋体" w:hAnsi="宋体" w:eastAsia="宋体" w:cs="宋体"/>
          <w:spacing w:val="-2"/>
          <w:sz w:val="20"/>
          <w:szCs w:val="20"/>
        </w:rPr>
        <w:t>中国</w:t>
      </w:r>
      <w:r>
        <w:rPr>
          <w:rFonts w:ascii="宋体" w:hAnsi="宋体" w:eastAsia="宋体" w:cs="宋体"/>
          <w:sz w:val="20"/>
          <w:szCs w:val="20"/>
        </w:rPr>
        <w:t xml:space="preserve"> </w:t>
      </w:r>
      <w:r>
        <w:rPr>
          <w:rFonts w:ascii="宋体" w:hAnsi="宋体" w:eastAsia="宋体" w:cs="宋体"/>
          <w:spacing w:val="1"/>
          <w:sz w:val="20"/>
          <w:szCs w:val="20"/>
        </w:rPr>
        <w:t>家。即使在不发达国家，社会经济地位较高的人群糖尿病患病率也明显高于社会经济地位较低的</w:t>
      </w:r>
      <w:r>
        <w:rPr>
          <w:rFonts w:ascii="宋体" w:hAnsi="宋体" w:eastAsia="宋体" w:cs="宋体"/>
          <w:spacing w:val="2"/>
          <w:sz w:val="20"/>
          <w:szCs w:val="20"/>
        </w:rPr>
        <w:t xml:space="preserve"> </w:t>
      </w:r>
      <w:r>
        <w:rPr>
          <w:rFonts w:ascii="宋体" w:hAnsi="宋体" w:eastAsia="宋体" w:cs="宋体"/>
          <w:spacing w:val="-1"/>
          <w:sz w:val="20"/>
          <w:szCs w:val="20"/>
        </w:rPr>
        <w:t>人群。</w:t>
      </w:r>
    </w:p>
    <w:p w14:paraId="153259ED">
      <w:pPr>
        <w:spacing w:before="143" w:line="219" w:lineRule="auto"/>
        <w:ind w:left="1039"/>
        <w:rPr>
          <w:rFonts w:ascii="宋体" w:hAnsi="宋体" w:eastAsia="宋体" w:cs="宋体"/>
          <w:sz w:val="20"/>
          <w:szCs w:val="20"/>
        </w:rPr>
      </w:pPr>
      <w:r>
        <w:rPr>
          <w:rFonts w:ascii="宋体" w:hAnsi="宋体" w:eastAsia="宋体" w:cs="宋体"/>
          <w:spacing w:val="12"/>
          <w:sz w:val="20"/>
          <w:szCs w:val="20"/>
        </w:rPr>
        <w:t>(3)行为因素</w:t>
      </w:r>
    </w:p>
    <w:p w14:paraId="0FBC3C25">
      <w:pPr>
        <w:spacing w:before="123" w:line="295" w:lineRule="auto"/>
        <w:ind w:left="639" w:right="20" w:firstLine="399"/>
        <w:rPr>
          <w:rFonts w:ascii="宋体" w:hAnsi="宋体" w:eastAsia="宋体" w:cs="宋体"/>
          <w:sz w:val="20"/>
          <w:szCs w:val="20"/>
        </w:rPr>
      </w:pPr>
      <w:r>
        <w:rPr>
          <w:rFonts w:ascii="宋体" w:hAnsi="宋体" w:eastAsia="宋体" w:cs="宋体"/>
          <w:spacing w:val="1"/>
          <w:sz w:val="20"/>
          <w:szCs w:val="20"/>
        </w:rPr>
        <w:t>1)膳食因素：高能量饮食是T2</w:t>
      </w:r>
      <w:r>
        <w:rPr>
          <w:rFonts w:ascii="宋体" w:hAnsi="宋体" w:eastAsia="宋体" w:cs="宋体"/>
          <w:sz w:val="20"/>
          <w:szCs w:val="20"/>
        </w:rPr>
        <w:t>DM</w:t>
      </w:r>
      <w:r>
        <w:rPr>
          <w:rFonts w:ascii="宋体" w:hAnsi="宋体" w:eastAsia="宋体" w:cs="宋体"/>
          <w:spacing w:val="75"/>
          <w:sz w:val="20"/>
          <w:szCs w:val="20"/>
        </w:rPr>
        <w:t xml:space="preserve"> </w:t>
      </w:r>
      <w:r>
        <w:rPr>
          <w:rFonts w:ascii="宋体" w:hAnsi="宋体" w:eastAsia="宋体" w:cs="宋体"/>
          <w:spacing w:val="1"/>
          <w:sz w:val="20"/>
          <w:szCs w:val="20"/>
        </w:rPr>
        <w:t>的重要危险因素。此外，精细碳水化合物</w:t>
      </w:r>
      <w:r>
        <w:rPr>
          <w:rFonts w:ascii="宋体" w:hAnsi="宋体" w:eastAsia="宋体" w:cs="宋体"/>
          <w:sz w:val="20"/>
          <w:szCs w:val="20"/>
        </w:rPr>
        <w:t xml:space="preserve">(如精细白米面、 </w:t>
      </w:r>
      <w:r>
        <w:rPr>
          <w:rFonts w:ascii="宋体" w:hAnsi="宋体" w:eastAsia="宋体" w:cs="宋体"/>
          <w:spacing w:val="-1"/>
          <w:sz w:val="20"/>
          <w:szCs w:val="20"/>
        </w:rPr>
        <w:t>含糖饮料)摄入过多而全谷物和膳食纤维摄入较少、过高的</w:t>
      </w:r>
      <w:r>
        <w:rPr>
          <w:rFonts w:ascii="宋体" w:hAnsi="宋体" w:eastAsia="宋体" w:cs="宋体"/>
          <w:spacing w:val="-2"/>
          <w:sz w:val="20"/>
          <w:szCs w:val="20"/>
        </w:rPr>
        <w:t>动物蛋白摄人及较少的植物蛋白摄入也</w:t>
      </w:r>
      <w:r>
        <w:rPr>
          <w:rFonts w:ascii="宋体" w:hAnsi="宋体" w:eastAsia="宋体" w:cs="宋体"/>
          <w:sz w:val="20"/>
          <w:szCs w:val="20"/>
        </w:rPr>
        <w:t xml:space="preserve"> </w:t>
      </w:r>
      <w:r>
        <w:rPr>
          <w:rFonts w:ascii="宋体" w:hAnsi="宋体" w:eastAsia="宋体" w:cs="宋体"/>
          <w:spacing w:val="-1"/>
          <w:sz w:val="20"/>
          <w:szCs w:val="20"/>
        </w:rPr>
        <w:t>与</w:t>
      </w:r>
      <w:r>
        <w:rPr>
          <w:rFonts w:ascii="Times New Roman" w:hAnsi="Times New Roman" w:eastAsia="Times New Roman" w:cs="Times New Roman"/>
          <w:spacing w:val="-1"/>
          <w:sz w:val="20"/>
          <w:szCs w:val="20"/>
        </w:rPr>
        <w:t>T2DM</w:t>
      </w:r>
      <w:r>
        <w:rPr>
          <w:rFonts w:ascii="宋体" w:hAnsi="宋体" w:eastAsia="宋体" w:cs="宋体"/>
          <w:spacing w:val="-1"/>
          <w:sz w:val="20"/>
          <w:szCs w:val="20"/>
        </w:rPr>
        <w:t>的发病风险有关。</w:t>
      </w:r>
    </w:p>
    <w:p w14:paraId="50EDBC73">
      <w:pPr>
        <w:spacing w:before="140" w:line="301" w:lineRule="auto"/>
        <w:ind w:left="639" w:right="84" w:firstLine="399"/>
        <w:rPr>
          <w:rFonts w:ascii="宋体" w:hAnsi="宋体" w:eastAsia="宋体" w:cs="宋体"/>
          <w:sz w:val="20"/>
          <w:szCs w:val="20"/>
        </w:rPr>
      </w:pPr>
      <w:r>
        <w:rPr>
          <w:rFonts w:ascii="宋体" w:hAnsi="宋体" w:eastAsia="宋体" w:cs="宋体"/>
          <w:spacing w:val="2"/>
          <w:sz w:val="20"/>
          <w:szCs w:val="20"/>
        </w:rPr>
        <w:t>2)身体活动不足：身体活动不足会增加T</w:t>
      </w:r>
      <w:r>
        <w:rPr>
          <w:rFonts w:ascii="宋体" w:hAnsi="宋体" w:eastAsia="宋体" w:cs="宋体"/>
          <w:spacing w:val="1"/>
          <w:sz w:val="20"/>
          <w:szCs w:val="20"/>
        </w:rPr>
        <w:t>2</w:t>
      </w:r>
      <w:r>
        <w:rPr>
          <w:rFonts w:ascii="宋体" w:hAnsi="宋体" w:eastAsia="宋体" w:cs="宋体"/>
          <w:sz w:val="20"/>
          <w:szCs w:val="20"/>
        </w:rPr>
        <w:t>DM</w:t>
      </w:r>
      <w:r>
        <w:rPr>
          <w:rFonts w:ascii="宋体" w:hAnsi="宋体" w:eastAsia="宋体" w:cs="宋体"/>
          <w:spacing w:val="85"/>
          <w:sz w:val="20"/>
          <w:szCs w:val="20"/>
        </w:rPr>
        <w:t xml:space="preserve"> </w:t>
      </w:r>
      <w:r>
        <w:rPr>
          <w:rFonts w:ascii="宋体" w:hAnsi="宋体" w:eastAsia="宋体" w:cs="宋体"/>
          <w:spacing w:val="1"/>
          <w:sz w:val="20"/>
          <w:szCs w:val="20"/>
        </w:rPr>
        <w:t>的发病风险，更高水平的体育锻炼与更大程度</w:t>
      </w:r>
      <w:r>
        <w:rPr>
          <w:rFonts w:ascii="宋体" w:hAnsi="宋体" w:eastAsia="宋体" w:cs="宋体"/>
          <w:sz w:val="20"/>
          <w:szCs w:val="20"/>
        </w:rPr>
        <w:t xml:space="preserve"> </w:t>
      </w:r>
      <w:r>
        <w:rPr>
          <w:rFonts w:ascii="宋体" w:hAnsi="宋体" w:eastAsia="宋体" w:cs="宋体"/>
          <w:spacing w:val="-2"/>
          <w:sz w:val="20"/>
          <w:szCs w:val="20"/>
        </w:rPr>
        <w:t>的风险降低相关。一项</w:t>
      </w:r>
      <w:r>
        <w:rPr>
          <w:rFonts w:ascii="Times New Roman" w:hAnsi="Times New Roman" w:eastAsia="Times New Roman" w:cs="Times New Roman"/>
          <w:spacing w:val="-2"/>
          <w:sz w:val="20"/>
          <w:szCs w:val="20"/>
        </w:rPr>
        <w:t>Meta</w:t>
      </w:r>
      <w:r>
        <w:rPr>
          <w:rFonts w:ascii="宋体" w:hAnsi="宋体" w:eastAsia="宋体" w:cs="宋体"/>
          <w:spacing w:val="-2"/>
          <w:sz w:val="20"/>
          <w:szCs w:val="20"/>
        </w:rPr>
        <w:t>分析显示，与不运动的个体相比，每周进行150分钟中等强度体育锻炼</w:t>
      </w:r>
      <w:r>
        <w:rPr>
          <w:rFonts w:ascii="宋体" w:hAnsi="宋体" w:eastAsia="宋体" w:cs="宋体"/>
          <w:spacing w:val="18"/>
          <w:sz w:val="20"/>
          <w:szCs w:val="20"/>
        </w:rPr>
        <w:t xml:space="preserve"> </w:t>
      </w:r>
      <w:r>
        <w:rPr>
          <w:rFonts w:ascii="宋体" w:hAnsi="宋体" w:eastAsia="宋体" w:cs="宋体"/>
          <w:spacing w:val="6"/>
          <w:sz w:val="20"/>
          <w:szCs w:val="20"/>
        </w:rPr>
        <w:t>的人患</w:t>
      </w:r>
      <w:r>
        <w:rPr>
          <w:rFonts w:ascii="Times New Roman" w:hAnsi="Times New Roman" w:eastAsia="Times New Roman" w:cs="Times New Roman"/>
          <w:spacing w:val="6"/>
          <w:sz w:val="20"/>
          <w:szCs w:val="20"/>
        </w:rPr>
        <w:t>T2</w:t>
      </w:r>
      <w:r>
        <w:rPr>
          <w:rFonts w:ascii="Times New Roman" w:hAnsi="Times New Roman" w:eastAsia="Times New Roman" w:cs="Times New Roman"/>
          <w:sz w:val="20"/>
          <w:szCs w:val="20"/>
        </w:rPr>
        <w:t>DM</w:t>
      </w:r>
      <w:r>
        <w:rPr>
          <w:rFonts w:ascii="宋体" w:hAnsi="宋体" w:eastAsia="宋体" w:cs="宋体"/>
          <w:spacing w:val="6"/>
          <w:sz w:val="20"/>
          <w:szCs w:val="20"/>
        </w:rPr>
        <w:t>的风险降低26%。</w:t>
      </w:r>
    </w:p>
    <w:p w14:paraId="1BAB379E">
      <w:pPr>
        <w:spacing w:line="301" w:lineRule="auto"/>
        <w:rPr>
          <w:rFonts w:ascii="宋体" w:hAnsi="宋体" w:eastAsia="宋体" w:cs="宋体"/>
          <w:sz w:val="20"/>
          <w:szCs w:val="20"/>
        </w:rPr>
        <w:sectPr>
          <w:footerReference r:id="rId243" w:type="default"/>
          <w:pgSz w:w="11900" w:h="16820"/>
          <w:pgMar w:top="400" w:right="1669" w:bottom="839" w:left="1060" w:header="0" w:footer="659" w:gutter="0"/>
          <w:cols w:space="720" w:num="1"/>
        </w:sectPr>
      </w:pPr>
    </w:p>
    <w:p w14:paraId="0D67F037">
      <w:pPr>
        <w:pStyle w:val="2"/>
        <w:spacing w:before="166" w:line="221" w:lineRule="auto"/>
        <w:ind w:left="6869"/>
        <w:rPr>
          <w:sz w:val="21"/>
          <w:szCs w:val="21"/>
        </w:rPr>
      </w:pPr>
      <w:r>
        <w:rPr>
          <w:spacing w:val="-22"/>
          <w:w w:val="96"/>
          <w:sz w:val="21"/>
          <w:szCs w:val="21"/>
        </w:rPr>
        <w:t>第十四章 慢性病流行病学</w:t>
      </w:r>
    </w:p>
    <w:p w14:paraId="453020FA">
      <w:pPr>
        <w:spacing w:line="269" w:lineRule="auto"/>
        <w:rPr>
          <w:rFonts w:ascii="Arial"/>
          <w:sz w:val="21"/>
        </w:rPr>
      </w:pPr>
    </w:p>
    <w:p w14:paraId="42D4D435">
      <w:pPr>
        <w:spacing w:line="269" w:lineRule="auto"/>
        <w:rPr>
          <w:rFonts w:ascii="Arial"/>
          <w:sz w:val="21"/>
        </w:rPr>
      </w:pPr>
    </w:p>
    <w:p w14:paraId="1497A4A5">
      <w:pPr>
        <w:spacing w:before="69" w:line="281" w:lineRule="auto"/>
        <w:ind w:right="660" w:firstLine="399"/>
        <w:rPr>
          <w:rFonts w:ascii="宋体" w:hAnsi="宋体" w:eastAsia="宋体" w:cs="宋体"/>
          <w:sz w:val="21"/>
          <w:szCs w:val="21"/>
        </w:rPr>
      </w:pPr>
      <w:r>
        <w:rPr>
          <w:rFonts w:ascii="宋体" w:hAnsi="宋体" w:eastAsia="宋体" w:cs="宋体"/>
          <w:spacing w:val="2"/>
          <w:sz w:val="21"/>
          <w:szCs w:val="21"/>
        </w:rPr>
        <w:t>3)早期营养：生命早期营养不良可以导致成年期的代谢障碍并增加发生高血糖和</w:t>
      </w:r>
      <w:r>
        <w:rPr>
          <w:rFonts w:ascii="Times New Roman" w:hAnsi="Times New Roman" w:eastAsia="Times New Roman" w:cs="Times New Roman"/>
          <w:spacing w:val="2"/>
          <w:sz w:val="21"/>
          <w:szCs w:val="21"/>
        </w:rPr>
        <w:t>T2</w:t>
      </w:r>
      <w:r>
        <w:rPr>
          <w:rFonts w:ascii="Times New Roman" w:hAnsi="Times New Roman" w:eastAsia="Times New Roman" w:cs="Times New Roman"/>
          <w:sz w:val="21"/>
          <w:szCs w:val="21"/>
        </w:rPr>
        <w:t>DM</w:t>
      </w:r>
      <w:r>
        <w:rPr>
          <w:rFonts w:ascii="宋体" w:hAnsi="宋体" w:eastAsia="宋体" w:cs="宋体"/>
          <w:spacing w:val="2"/>
          <w:sz w:val="21"/>
          <w:szCs w:val="21"/>
        </w:rPr>
        <w:t>的</w:t>
      </w:r>
      <w:r>
        <w:rPr>
          <w:rFonts w:ascii="宋体" w:hAnsi="宋体" w:eastAsia="宋体" w:cs="宋体"/>
          <w:spacing w:val="-28"/>
          <w:sz w:val="21"/>
          <w:szCs w:val="21"/>
        </w:rPr>
        <w:t xml:space="preserve"> </w:t>
      </w:r>
      <w:r>
        <w:rPr>
          <w:rFonts w:ascii="宋体" w:hAnsi="宋体" w:eastAsia="宋体" w:cs="宋体"/>
          <w:spacing w:val="2"/>
          <w:sz w:val="21"/>
          <w:szCs w:val="21"/>
        </w:rPr>
        <w:t>风</w:t>
      </w:r>
      <w:r>
        <w:rPr>
          <w:rFonts w:ascii="宋体" w:hAnsi="宋体" w:eastAsia="宋体" w:cs="宋体"/>
          <w:sz w:val="21"/>
          <w:szCs w:val="21"/>
        </w:rPr>
        <w:t xml:space="preserve"> </w:t>
      </w:r>
      <w:r>
        <w:rPr>
          <w:rFonts w:ascii="宋体" w:hAnsi="宋体" w:eastAsia="宋体" w:cs="宋体"/>
          <w:spacing w:val="-2"/>
          <w:sz w:val="21"/>
          <w:szCs w:val="21"/>
        </w:rPr>
        <w:t>险。低体重新生儿及较高体重新生儿在成年期均更容易发生糖尿病。</w:t>
      </w:r>
    </w:p>
    <w:p w14:paraId="450317C1">
      <w:pPr>
        <w:spacing w:before="120" w:line="290" w:lineRule="auto"/>
        <w:ind w:right="741" w:firstLine="399"/>
        <w:rPr>
          <w:rFonts w:ascii="宋体" w:hAnsi="宋体" w:eastAsia="宋体" w:cs="宋体"/>
          <w:sz w:val="21"/>
          <w:szCs w:val="21"/>
        </w:rPr>
      </w:pPr>
      <w:r>
        <w:rPr>
          <w:rFonts w:ascii="宋体" w:hAnsi="宋体" w:eastAsia="宋体" w:cs="宋体"/>
          <w:spacing w:val="4"/>
          <w:sz w:val="21"/>
          <w:szCs w:val="21"/>
        </w:rPr>
        <w:t>4)其他行为因素：主动吸烟与被动吸烟均显著增加T2</w:t>
      </w:r>
      <w:r>
        <w:rPr>
          <w:rFonts w:ascii="宋体" w:hAnsi="宋体" w:eastAsia="宋体" w:cs="宋体"/>
          <w:sz w:val="21"/>
          <w:szCs w:val="21"/>
        </w:rPr>
        <w:t>DM</w:t>
      </w:r>
      <w:r>
        <w:rPr>
          <w:rFonts w:ascii="宋体" w:hAnsi="宋体" w:eastAsia="宋体" w:cs="宋体"/>
          <w:spacing w:val="92"/>
          <w:sz w:val="21"/>
          <w:szCs w:val="21"/>
        </w:rPr>
        <w:t xml:space="preserve"> </w:t>
      </w:r>
      <w:r>
        <w:rPr>
          <w:rFonts w:ascii="宋体" w:hAnsi="宋体" w:eastAsia="宋体" w:cs="宋体"/>
          <w:spacing w:val="4"/>
          <w:sz w:val="21"/>
          <w:szCs w:val="21"/>
        </w:rPr>
        <w:t>的发病风险。过量饮酒也是T2</w:t>
      </w:r>
      <w:r>
        <w:rPr>
          <w:rFonts w:ascii="宋体" w:hAnsi="宋体" w:eastAsia="宋体" w:cs="宋体"/>
          <w:sz w:val="21"/>
          <w:szCs w:val="21"/>
        </w:rPr>
        <w:t xml:space="preserve">DM </w:t>
      </w:r>
      <w:r>
        <w:rPr>
          <w:rFonts w:ascii="宋体" w:hAnsi="宋体" w:eastAsia="宋体" w:cs="宋体"/>
          <w:spacing w:val="-3"/>
          <w:sz w:val="21"/>
          <w:szCs w:val="21"/>
        </w:rPr>
        <w:t>的独立危险因素。另外，睡眠相关指标，包括睡</w:t>
      </w:r>
      <w:r>
        <w:rPr>
          <w:rFonts w:ascii="宋体" w:hAnsi="宋体" w:eastAsia="宋体" w:cs="宋体"/>
          <w:spacing w:val="-4"/>
          <w:sz w:val="21"/>
          <w:szCs w:val="21"/>
        </w:rPr>
        <w:t>眠不足、睡眠过多及呼吸暂停综合征均与</w:t>
      </w:r>
      <w:r>
        <w:rPr>
          <w:rFonts w:ascii="Times New Roman" w:hAnsi="Times New Roman" w:eastAsia="Times New Roman" w:cs="Times New Roman"/>
          <w:spacing w:val="-4"/>
          <w:sz w:val="21"/>
          <w:szCs w:val="21"/>
        </w:rPr>
        <w:t>T2DM</w:t>
      </w:r>
      <w:r>
        <w:rPr>
          <w:rFonts w:ascii="宋体" w:hAnsi="宋体" w:eastAsia="宋体" w:cs="宋体"/>
          <w:spacing w:val="-4"/>
          <w:sz w:val="21"/>
          <w:szCs w:val="21"/>
        </w:rPr>
        <w:t>发</w:t>
      </w:r>
      <w:r>
        <w:rPr>
          <w:rFonts w:ascii="宋体" w:hAnsi="宋体" w:eastAsia="宋体" w:cs="宋体"/>
          <w:sz w:val="21"/>
          <w:szCs w:val="21"/>
        </w:rPr>
        <w:t xml:space="preserve"> 病风险升高相关。</w:t>
      </w:r>
    </w:p>
    <w:p w14:paraId="32126E79">
      <w:pPr>
        <w:spacing w:before="120" w:line="219" w:lineRule="auto"/>
        <w:ind w:left="399"/>
        <w:rPr>
          <w:rFonts w:ascii="宋体" w:hAnsi="宋体" w:eastAsia="宋体" w:cs="宋体"/>
          <w:sz w:val="21"/>
          <w:szCs w:val="21"/>
        </w:rPr>
      </w:pPr>
      <w:r>
        <w:rPr>
          <w:rFonts w:ascii="宋体" w:hAnsi="宋体" w:eastAsia="宋体" w:cs="宋体"/>
          <w:spacing w:val="19"/>
          <w:sz w:val="21"/>
          <w:szCs w:val="21"/>
        </w:rPr>
        <w:t>(4)代谢因素</w:t>
      </w:r>
    </w:p>
    <w:p w14:paraId="12995E93">
      <w:pPr>
        <w:spacing w:before="119" w:line="299" w:lineRule="auto"/>
        <w:ind w:right="665" w:firstLine="399"/>
        <w:rPr>
          <w:rFonts w:ascii="宋体" w:hAnsi="宋体" w:eastAsia="宋体" w:cs="宋体"/>
          <w:sz w:val="21"/>
          <w:szCs w:val="21"/>
        </w:rPr>
      </w:pPr>
      <w:r>
        <w:rPr>
          <w:rFonts w:ascii="宋体" w:hAnsi="宋体" w:eastAsia="宋体" w:cs="宋体"/>
          <w:spacing w:val="9"/>
          <w:sz w:val="21"/>
          <w:szCs w:val="21"/>
        </w:rPr>
        <w:t>1)肥胖(或超重):肥胖是</w:t>
      </w:r>
      <w:r>
        <w:rPr>
          <w:rFonts w:ascii="Times New Roman" w:hAnsi="Times New Roman" w:eastAsia="Times New Roman" w:cs="Times New Roman"/>
          <w:spacing w:val="9"/>
          <w:sz w:val="21"/>
          <w:szCs w:val="21"/>
        </w:rPr>
        <w:t>T2</w:t>
      </w:r>
      <w:r>
        <w:rPr>
          <w:rFonts w:ascii="Times New Roman" w:hAnsi="Times New Roman" w:eastAsia="Times New Roman" w:cs="Times New Roman"/>
          <w:sz w:val="21"/>
          <w:szCs w:val="21"/>
        </w:rPr>
        <w:t>DM</w:t>
      </w:r>
      <w:r>
        <w:rPr>
          <w:rFonts w:ascii="宋体" w:hAnsi="宋体" w:eastAsia="宋体" w:cs="宋体"/>
          <w:spacing w:val="9"/>
          <w:sz w:val="21"/>
          <w:szCs w:val="21"/>
        </w:rPr>
        <w:t>最重要的</w:t>
      </w:r>
      <w:r>
        <w:rPr>
          <w:rFonts w:ascii="宋体" w:hAnsi="宋体" w:eastAsia="宋体" w:cs="宋体"/>
          <w:spacing w:val="8"/>
          <w:sz w:val="21"/>
          <w:szCs w:val="21"/>
        </w:rPr>
        <w:t>危险因素之一。</w:t>
      </w:r>
      <w:r>
        <w:rPr>
          <w:rFonts w:ascii="Times New Roman" w:hAnsi="Times New Roman" w:eastAsia="Times New Roman" w:cs="Times New Roman"/>
          <w:sz w:val="21"/>
          <w:szCs w:val="21"/>
        </w:rPr>
        <w:t>BMI</w:t>
      </w:r>
      <w:r>
        <w:rPr>
          <w:rFonts w:ascii="宋体" w:hAnsi="宋体" w:eastAsia="宋体" w:cs="宋体"/>
          <w:spacing w:val="8"/>
          <w:sz w:val="21"/>
          <w:szCs w:val="21"/>
        </w:rPr>
        <w:t>与发生</w:t>
      </w:r>
      <w:r>
        <w:rPr>
          <w:rFonts w:ascii="Times New Roman" w:hAnsi="Times New Roman" w:eastAsia="Times New Roman" w:cs="Times New Roman"/>
          <w:spacing w:val="8"/>
          <w:sz w:val="21"/>
          <w:szCs w:val="21"/>
        </w:rPr>
        <w:t>T2</w:t>
      </w:r>
      <w:r>
        <w:rPr>
          <w:rFonts w:ascii="Times New Roman" w:hAnsi="Times New Roman" w:eastAsia="Times New Roman" w:cs="Times New Roman"/>
          <w:sz w:val="21"/>
          <w:szCs w:val="21"/>
        </w:rPr>
        <w:t>DM</w:t>
      </w:r>
      <w:r>
        <w:rPr>
          <w:rFonts w:ascii="宋体" w:hAnsi="宋体" w:eastAsia="宋体" w:cs="宋体"/>
          <w:spacing w:val="8"/>
          <w:sz w:val="21"/>
          <w:szCs w:val="21"/>
        </w:rPr>
        <w:t>的风险呈正相关</w:t>
      </w:r>
      <w:r>
        <w:rPr>
          <w:rFonts w:ascii="宋体" w:hAnsi="宋体" w:eastAsia="宋体" w:cs="宋体"/>
          <w:sz w:val="21"/>
          <w:szCs w:val="21"/>
        </w:rPr>
        <w:t xml:space="preserve"> </w:t>
      </w:r>
      <w:r>
        <w:rPr>
          <w:rFonts w:ascii="宋体" w:hAnsi="宋体" w:eastAsia="宋体" w:cs="宋体"/>
          <w:spacing w:val="1"/>
          <w:sz w:val="21"/>
          <w:szCs w:val="21"/>
        </w:rPr>
        <w:t>关系。肥胖类型也决定着</w:t>
      </w:r>
      <w:r>
        <w:rPr>
          <w:rFonts w:ascii="Times New Roman" w:hAnsi="Times New Roman" w:eastAsia="Times New Roman" w:cs="Times New Roman"/>
          <w:spacing w:val="1"/>
          <w:sz w:val="21"/>
          <w:szCs w:val="21"/>
        </w:rPr>
        <w:t>T2</w:t>
      </w:r>
      <w:r>
        <w:rPr>
          <w:rFonts w:ascii="Times New Roman" w:hAnsi="Times New Roman" w:eastAsia="Times New Roman" w:cs="Times New Roman"/>
          <w:sz w:val="21"/>
          <w:szCs w:val="21"/>
        </w:rPr>
        <w:t>DM</w:t>
      </w:r>
      <w:r>
        <w:rPr>
          <w:rFonts w:ascii="宋体" w:hAnsi="宋体" w:eastAsia="宋体" w:cs="宋体"/>
          <w:spacing w:val="1"/>
          <w:sz w:val="21"/>
          <w:szCs w:val="21"/>
        </w:rPr>
        <w:t>的发病率。向心性肥胖与糖尿病的关系更为密切。相</w:t>
      </w:r>
      <w:r>
        <w:rPr>
          <w:rFonts w:ascii="宋体" w:hAnsi="宋体" w:eastAsia="宋体" w:cs="宋体"/>
          <w:sz w:val="21"/>
          <w:szCs w:val="21"/>
        </w:rPr>
        <w:t>较于</w:t>
      </w:r>
      <w:r>
        <w:rPr>
          <w:rFonts w:ascii="Times New Roman" w:hAnsi="Times New Roman" w:eastAsia="Times New Roman" w:cs="Times New Roman"/>
          <w:sz w:val="21"/>
          <w:szCs w:val="21"/>
        </w:rPr>
        <w:t>BMI,</w:t>
      </w:r>
      <w:r>
        <w:rPr>
          <w:rFonts w:ascii="Times New Roman" w:hAnsi="Times New Roman" w:eastAsia="Times New Roman" w:cs="Times New Roman"/>
          <w:spacing w:val="-18"/>
          <w:sz w:val="21"/>
          <w:szCs w:val="21"/>
        </w:rPr>
        <w:t xml:space="preserve"> </w:t>
      </w:r>
      <w:r>
        <w:rPr>
          <w:rFonts w:ascii="宋体" w:hAnsi="宋体" w:eastAsia="宋体" w:cs="宋体"/>
          <w:sz w:val="21"/>
          <w:szCs w:val="21"/>
        </w:rPr>
        <w:t>腰 围或腰臀比(腰围/臀围，</w:t>
      </w:r>
      <w:r>
        <w:rPr>
          <w:rFonts w:ascii="Times New Roman" w:hAnsi="Times New Roman" w:eastAsia="Times New Roman" w:cs="Times New Roman"/>
          <w:sz w:val="21"/>
          <w:szCs w:val="21"/>
        </w:rPr>
        <w:t>waist-to-hip    ratio,WHR)</w:t>
      </w:r>
      <w:r>
        <w:rPr>
          <w:rFonts w:ascii="宋体" w:hAnsi="宋体" w:eastAsia="宋体" w:cs="宋体"/>
          <w:sz w:val="21"/>
          <w:szCs w:val="21"/>
        </w:rPr>
        <w:t>对</w:t>
      </w:r>
      <w:r>
        <w:rPr>
          <w:rFonts w:ascii="Times New Roman" w:hAnsi="Times New Roman" w:eastAsia="Times New Roman" w:cs="Times New Roman"/>
          <w:sz w:val="21"/>
          <w:szCs w:val="21"/>
        </w:rPr>
        <w:t>T2DM</w:t>
      </w:r>
      <w:r>
        <w:rPr>
          <w:rFonts w:ascii="宋体" w:hAnsi="宋体" w:eastAsia="宋体" w:cs="宋体"/>
          <w:sz w:val="21"/>
          <w:szCs w:val="21"/>
        </w:rPr>
        <w:t>的预测可能更有价值，尤其是在亚洲人</w:t>
      </w:r>
      <w:r>
        <w:rPr>
          <w:rFonts w:ascii="宋体" w:hAnsi="宋体" w:eastAsia="宋体" w:cs="宋体"/>
          <w:spacing w:val="9"/>
          <w:sz w:val="21"/>
          <w:szCs w:val="21"/>
        </w:rPr>
        <w:t xml:space="preserve"> </w:t>
      </w:r>
      <w:r>
        <w:rPr>
          <w:rFonts w:ascii="宋体" w:hAnsi="宋体" w:eastAsia="宋体" w:cs="宋体"/>
          <w:spacing w:val="-4"/>
          <w:sz w:val="21"/>
          <w:szCs w:val="21"/>
        </w:rPr>
        <w:t>群中。</w:t>
      </w:r>
    </w:p>
    <w:p w14:paraId="0DFEF679">
      <w:pPr>
        <w:spacing w:before="120" w:line="277" w:lineRule="auto"/>
        <w:ind w:right="659" w:firstLine="399"/>
        <w:rPr>
          <w:rFonts w:ascii="宋体" w:hAnsi="宋体" w:eastAsia="宋体" w:cs="宋体"/>
          <w:sz w:val="21"/>
          <w:szCs w:val="21"/>
        </w:rPr>
      </w:pPr>
      <w:r>
        <w:rPr>
          <w:rFonts w:ascii="宋体" w:hAnsi="宋体" w:eastAsia="宋体" w:cs="宋体"/>
          <w:spacing w:val="9"/>
          <w:sz w:val="21"/>
          <w:szCs w:val="21"/>
        </w:rPr>
        <w:t>2)糖尿病前期：</w:t>
      </w:r>
      <w:r>
        <w:rPr>
          <w:rFonts w:ascii="Times New Roman" w:hAnsi="Times New Roman" w:eastAsia="Times New Roman" w:cs="Times New Roman"/>
          <w:sz w:val="21"/>
          <w:szCs w:val="21"/>
        </w:rPr>
        <w:t>WHO</w:t>
      </w:r>
      <w:r>
        <w:rPr>
          <w:rFonts w:ascii="Times New Roman" w:hAnsi="Times New Roman" w:eastAsia="Times New Roman" w:cs="Times New Roman"/>
          <w:spacing w:val="35"/>
          <w:sz w:val="21"/>
          <w:szCs w:val="21"/>
        </w:rPr>
        <w:t xml:space="preserve"> </w:t>
      </w:r>
      <w:r>
        <w:rPr>
          <w:rFonts w:ascii="宋体" w:hAnsi="宋体" w:eastAsia="宋体" w:cs="宋体"/>
          <w:spacing w:val="9"/>
          <w:sz w:val="21"/>
          <w:szCs w:val="21"/>
        </w:rPr>
        <w:t>在1999年糖尿病诊断标准与分型方案中，已正式将糖耐量减低视为</w:t>
      </w:r>
      <w:r>
        <w:rPr>
          <w:rFonts w:ascii="宋体" w:hAnsi="宋体" w:eastAsia="宋体" w:cs="宋体"/>
          <w:sz w:val="21"/>
          <w:szCs w:val="21"/>
        </w:rPr>
        <w:t xml:space="preserve"> T2DM</w:t>
      </w:r>
      <w:r>
        <w:rPr>
          <w:rFonts w:ascii="宋体" w:hAnsi="宋体" w:eastAsia="宋体" w:cs="宋体"/>
          <w:spacing w:val="49"/>
          <w:sz w:val="21"/>
          <w:szCs w:val="21"/>
        </w:rPr>
        <w:t xml:space="preserve"> </w:t>
      </w:r>
      <w:r>
        <w:rPr>
          <w:rFonts w:ascii="宋体" w:hAnsi="宋体" w:eastAsia="宋体" w:cs="宋体"/>
          <w:sz w:val="21"/>
          <w:szCs w:val="21"/>
        </w:rPr>
        <w:t>的一个高危险因素。</w:t>
      </w:r>
    </w:p>
    <w:p w14:paraId="5C8CE9C7">
      <w:pPr>
        <w:spacing w:before="110" w:line="299" w:lineRule="auto"/>
        <w:ind w:right="661" w:firstLine="399"/>
        <w:rPr>
          <w:rFonts w:ascii="宋体" w:hAnsi="宋体" w:eastAsia="宋体" w:cs="宋体"/>
          <w:sz w:val="21"/>
          <w:szCs w:val="21"/>
        </w:rPr>
      </w:pPr>
      <w:r>
        <w:rPr>
          <w:rFonts w:ascii="宋体" w:hAnsi="宋体" w:eastAsia="宋体" w:cs="宋体"/>
          <w:spacing w:val="-6"/>
          <w:sz w:val="21"/>
          <w:szCs w:val="21"/>
        </w:rPr>
        <w:t>3)胰岛素抵抗：临床观察发现，肥胖、</w:t>
      </w:r>
      <w:r>
        <w:rPr>
          <w:rFonts w:ascii="Times New Roman" w:hAnsi="Times New Roman" w:eastAsia="Times New Roman" w:cs="Times New Roman"/>
          <w:spacing w:val="-6"/>
          <w:sz w:val="21"/>
          <w:szCs w:val="21"/>
        </w:rPr>
        <w:t>T2DM</w:t>
      </w:r>
      <w:r>
        <w:rPr>
          <w:rFonts w:ascii="宋体" w:hAnsi="宋体" w:eastAsia="宋体" w:cs="宋体"/>
          <w:spacing w:val="-6"/>
          <w:sz w:val="21"/>
          <w:szCs w:val="21"/>
        </w:rPr>
        <w:t>、高脂血症、高血压、冠心病及脑卒中等病理</w:t>
      </w:r>
      <w:r>
        <w:rPr>
          <w:rFonts w:ascii="宋体" w:hAnsi="宋体" w:eastAsia="宋体" w:cs="宋体"/>
          <w:spacing w:val="-7"/>
          <w:sz w:val="21"/>
          <w:szCs w:val="21"/>
        </w:rPr>
        <w:t>过程</w:t>
      </w:r>
      <w:r>
        <w:rPr>
          <w:rFonts w:ascii="宋体" w:hAnsi="宋体" w:eastAsia="宋体" w:cs="宋体"/>
          <w:sz w:val="21"/>
          <w:szCs w:val="21"/>
        </w:rPr>
        <w:t xml:space="preserve"> </w:t>
      </w:r>
      <w:r>
        <w:rPr>
          <w:rFonts w:ascii="宋体" w:hAnsi="宋体" w:eastAsia="宋体" w:cs="宋体"/>
          <w:spacing w:val="-3"/>
          <w:sz w:val="21"/>
          <w:szCs w:val="21"/>
        </w:rPr>
        <w:t>常同时存在，提示这些疾病可能存在共同的病理生理机制，即胰岛素抵抗。胰岛素抵抗是</w:t>
      </w:r>
      <w:r>
        <w:rPr>
          <w:rFonts w:ascii="宋体" w:hAnsi="宋体" w:eastAsia="宋体" w:cs="宋体"/>
          <w:spacing w:val="-4"/>
          <w:sz w:val="21"/>
          <w:szCs w:val="21"/>
        </w:rPr>
        <w:t>指机体对</w:t>
      </w:r>
      <w:r>
        <w:rPr>
          <w:rFonts w:ascii="宋体" w:hAnsi="宋体" w:eastAsia="宋体" w:cs="宋体"/>
          <w:sz w:val="21"/>
          <w:szCs w:val="21"/>
        </w:rPr>
        <w:t xml:space="preserve"> </w:t>
      </w:r>
      <w:r>
        <w:rPr>
          <w:rFonts w:ascii="宋体" w:hAnsi="宋体" w:eastAsia="宋体" w:cs="宋体"/>
          <w:spacing w:val="2"/>
          <w:sz w:val="21"/>
          <w:szCs w:val="21"/>
        </w:rPr>
        <w:t>一定量的胰岛素的生物学反应低于预期正常水平的一种现象，常伴有高胰岛素血</w:t>
      </w:r>
      <w:r>
        <w:rPr>
          <w:rFonts w:ascii="宋体" w:hAnsi="宋体" w:eastAsia="宋体" w:cs="宋体"/>
          <w:spacing w:val="1"/>
          <w:sz w:val="21"/>
          <w:szCs w:val="21"/>
        </w:rPr>
        <w:t>症。研究证实胰</w:t>
      </w:r>
      <w:r>
        <w:rPr>
          <w:rFonts w:ascii="宋体" w:hAnsi="宋体" w:eastAsia="宋体" w:cs="宋体"/>
          <w:sz w:val="21"/>
          <w:szCs w:val="21"/>
        </w:rPr>
        <w:t xml:space="preserve"> 岛素抵抗是</w:t>
      </w:r>
      <w:r>
        <w:rPr>
          <w:rFonts w:ascii="Times New Roman" w:hAnsi="Times New Roman" w:eastAsia="Times New Roman" w:cs="Times New Roman"/>
          <w:sz w:val="21"/>
          <w:szCs w:val="21"/>
        </w:rPr>
        <w:t>T2DM</w:t>
      </w:r>
      <w:r>
        <w:rPr>
          <w:rFonts w:ascii="宋体" w:hAnsi="宋体" w:eastAsia="宋体" w:cs="宋体"/>
          <w:sz w:val="21"/>
          <w:szCs w:val="21"/>
        </w:rPr>
        <w:t>高危人群的重要特征之一。空腹胰岛素水平高的人更易发展为</w:t>
      </w:r>
      <w:r>
        <w:rPr>
          <w:rFonts w:ascii="Times New Roman" w:hAnsi="Times New Roman" w:eastAsia="Times New Roman" w:cs="Times New Roman"/>
          <w:sz w:val="21"/>
          <w:szCs w:val="21"/>
        </w:rPr>
        <w:t>T2DM</w:t>
      </w:r>
      <w:r>
        <w:rPr>
          <w:rFonts w:ascii="宋体" w:hAnsi="宋体" w:eastAsia="宋体" w:cs="宋体"/>
          <w:sz w:val="21"/>
          <w:szCs w:val="21"/>
        </w:rPr>
        <w:t>。</w:t>
      </w:r>
    </w:p>
    <w:p w14:paraId="5DD48640">
      <w:pPr>
        <w:spacing w:before="116" w:line="295" w:lineRule="auto"/>
        <w:ind w:right="654" w:firstLine="399"/>
        <w:rPr>
          <w:rFonts w:ascii="宋体" w:hAnsi="宋体" w:eastAsia="宋体" w:cs="宋体"/>
          <w:sz w:val="21"/>
          <w:szCs w:val="21"/>
        </w:rPr>
      </w:pPr>
      <w:r>
        <w:rPr>
          <w:rFonts w:ascii="Times New Roman" w:hAnsi="Times New Roman" w:eastAsia="Times New Roman" w:cs="Times New Roman"/>
          <w:spacing w:val="5"/>
          <w:sz w:val="21"/>
          <w:szCs w:val="21"/>
        </w:rPr>
        <w:t>4)</w:t>
      </w:r>
      <w:r>
        <w:rPr>
          <w:rFonts w:ascii="Times New Roman" w:hAnsi="Times New Roman" w:eastAsia="Times New Roman" w:cs="Times New Roman"/>
          <w:sz w:val="21"/>
          <w:szCs w:val="21"/>
        </w:rPr>
        <w:t>GDM</w:t>
      </w:r>
      <w:r>
        <w:rPr>
          <w:rFonts w:ascii="Times New Roman" w:hAnsi="Times New Roman" w:eastAsia="Times New Roman" w:cs="Times New Roman"/>
          <w:spacing w:val="5"/>
          <w:sz w:val="21"/>
          <w:szCs w:val="21"/>
        </w:rPr>
        <w:t xml:space="preserve">:   </w:t>
      </w:r>
      <w:r>
        <w:rPr>
          <w:rFonts w:ascii="宋体" w:hAnsi="宋体" w:eastAsia="宋体" w:cs="宋体"/>
          <w:spacing w:val="5"/>
          <w:sz w:val="21"/>
          <w:szCs w:val="21"/>
        </w:rPr>
        <w:t>妊娠期发生糖耐量受损和高血糖(包括</w:t>
      </w:r>
      <w:r>
        <w:rPr>
          <w:rFonts w:ascii="Times New Roman" w:hAnsi="Times New Roman" w:eastAsia="Times New Roman" w:cs="Times New Roman"/>
          <w:sz w:val="21"/>
          <w:szCs w:val="21"/>
        </w:rPr>
        <w:t>GDM</w:t>
      </w:r>
      <w:r>
        <w:rPr>
          <w:rFonts w:ascii="Times New Roman" w:hAnsi="Times New Roman" w:eastAsia="Times New Roman" w:cs="Times New Roman"/>
          <w:spacing w:val="5"/>
          <w:sz w:val="21"/>
          <w:szCs w:val="21"/>
        </w:rPr>
        <w:t xml:space="preserve">) </w:t>
      </w:r>
      <w:r>
        <w:rPr>
          <w:rFonts w:ascii="宋体" w:hAnsi="宋体" w:eastAsia="宋体" w:cs="宋体"/>
          <w:spacing w:val="5"/>
          <w:sz w:val="21"/>
          <w:szCs w:val="21"/>
        </w:rPr>
        <w:t>的母亲在妊娠后更易患</w:t>
      </w:r>
      <w:r>
        <w:rPr>
          <w:rFonts w:ascii="Times New Roman" w:hAnsi="Times New Roman" w:eastAsia="Times New Roman" w:cs="Times New Roman"/>
          <w:spacing w:val="5"/>
          <w:sz w:val="21"/>
          <w:szCs w:val="21"/>
        </w:rPr>
        <w:t>T2</w:t>
      </w:r>
      <w:r>
        <w:rPr>
          <w:rFonts w:ascii="Times New Roman" w:hAnsi="Times New Roman" w:eastAsia="Times New Roman" w:cs="Times New Roman"/>
          <w:sz w:val="21"/>
          <w:szCs w:val="21"/>
        </w:rPr>
        <w:t>DM</w:t>
      </w:r>
      <w:r>
        <w:rPr>
          <w:rFonts w:ascii="Times New Roman" w:hAnsi="Times New Roman" w:eastAsia="Times New Roman" w:cs="Times New Roman"/>
          <w:spacing w:val="-9"/>
          <w:sz w:val="21"/>
          <w:szCs w:val="21"/>
        </w:rPr>
        <w:t xml:space="preserve"> </w:t>
      </w:r>
      <w:r>
        <w:rPr>
          <w:rFonts w:ascii="宋体" w:hAnsi="宋体" w:eastAsia="宋体" w:cs="宋体"/>
          <w:spacing w:val="5"/>
          <w:sz w:val="21"/>
          <w:szCs w:val="21"/>
        </w:rPr>
        <w:t>。</w:t>
      </w:r>
      <w:r>
        <w:rPr>
          <w:rFonts w:ascii="Times New Roman" w:hAnsi="Times New Roman" w:eastAsia="Times New Roman" w:cs="Times New Roman"/>
          <w:sz w:val="21"/>
          <w:szCs w:val="21"/>
        </w:rPr>
        <w:t xml:space="preserve">Meta </w:t>
      </w:r>
      <w:r>
        <w:rPr>
          <w:rFonts w:ascii="宋体" w:hAnsi="宋体" w:eastAsia="宋体" w:cs="宋体"/>
          <w:spacing w:val="7"/>
          <w:sz w:val="21"/>
          <w:szCs w:val="21"/>
        </w:rPr>
        <w:t>分析显示，既往患有</w:t>
      </w:r>
      <w:r>
        <w:rPr>
          <w:rFonts w:ascii="Times New Roman" w:hAnsi="Times New Roman" w:eastAsia="Times New Roman" w:cs="Times New Roman"/>
          <w:sz w:val="21"/>
          <w:szCs w:val="21"/>
        </w:rPr>
        <w:t>GDM</w:t>
      </w:r>
      <w:r>
        <w:rPr>
          <w:rFonts w:ascii="宋体" w:hAnsi="宋体" w:eastAsia="宋体" w:cs="宋体"/>
          <w:spacing w:val="7"/>
          <w:sz w:val="21"/>
          <w:szCs w:val="21"/>
        </w:rPr>
        <w:t>的女性患</w:t>
      </w:r>
      <w:r>
        <w:rPr>
          <w:rFonts w:ascii="Times New Roman" w:hAnsi="Times New Roman" w:eastAsia="Times New Roman" w:cs="Times New Roman"/>
          <w:spacing w:val="7"/>
          <w:sz w:val="21"/>
          <w:szCs w:val="21"/>
        </w:rPr>
        <w:t>T2</w:t>
      </w:r>
      <w:r>
        <w:rPr>
          <w:rFonts w:ascii="Times New Roman" w:hAnsi="Times New Roman" w:eastAsia="Times New Roman" w:cs="Times New Roman"/>
          <w:sz w:val="21"/>
          <w:szCs w:val="21"/>
        </w:rPr>
        <w:t>DM</w:t>
      </w:r>
      <w:r>
        <w:rPr>
          <w:rFonts w:ascii="宋体" w:hAnsi="宋体" w:eastAsia="宋体" w:cs="宋体"/>
          <w:spacing w:val="7"/>
          <w:sz w:val="21"/>
          <w:szCs w:val="21"/>
        </w:rPr>
        <w:t>的风险是健康对照组的近10倍。此外，母亲孕期患有</w:t>
      </w:r>
      <w:r>
        <w:rPr>
          <w:rFonts w:ascii="宋体" w:hAnsi="宋体" w:eastAsia="宋体" w:cs="宋体"/>
          <w:spacing w:val="5"/>
          <w:sz w:val="21"/>
          <w:szCs w:val="21"/>
        </w:rPr>
        <w:t xml:space="preserve"> </w:t>
      </w:r>
      <w:r>
        <w:rPr>
          <w:rFonts w:ascii="宋体" w:hAnsi="宋体" w:eastAsia="宋体" w:cs="宋体"/>
          <w:spacing w:val="-1"/>
          <w:sz w:val="21"/>
          <w:szCs w:val="21"/>
        </w:rPr>
        <w:t>GDM, 子代患有糖尿病的风险也会显著增加。</w:t>
      </w:r>
    </w:p>
    <w:p w14:paraId="51A53A9F">
      <w:pPr>
        <w:spacing w:before="116" w:line="324" w:lineRule="auto"/>
        <w:ind w:right="661" w:firstLine="399"/>
        <w:rPr>
          <w:rFonts w:ascii="宋体" w:hAnsi="宋体" w:eastAsia="宋体" w:cs="宋体"/>
          <w:sz w:val="21"/>
          <w:szCs w:val="21"/>
        </w:rPr>
      </w:pPr>
      <w:r>
        <w:rPr>
          <w:rFonts w:ascii="宋体" w:hAnsi="宋体" w:eastAsia="宋体" w:cs="宋体"/>
          <w:spacing w:val="2"/>
          <w:sz w:val="21"/>
          <w:szCs w:val="21"/>
        </w:rPr>
        <w:t>(5)环境因素；空气污染、建成环境(如绿地、露天空间等)和一些环境污染物(如内分泌干扰</w:t>
      </w:r>
      <w:r>
        <w:rPr>
          <w:rFonts w:ascii="宋体" w:hAnsi="宋体" w:eastAsia="宋体" w:cs="宋体"/>
          <w:spacing w:val="12"/>
          <w:sz w:val="21"/>
          <w:szCs w:val="21"/>
        </w:rPr>
        <w:t xml:space="preserve"> </w:t>
      </w:r>
      <w:r>
        <w:rPr>
          <w:rFonts w:ascii="宋体" w:hAnsi="宋体" w:eastAsia="宋体" w:cs="宋体"/>
          <w:spacing w:val="1"/>
          <w:sz w:val="21"/>
          <w:szCs w:val="21"/>
        </w:rPr>
        <w:t>物等)也和</w:t>
      </w:r>
      <w:r>
        <w:rPr>
          <w:rFonts w:ascii="Times New Roman" w:hAnsi="Times New Roman" w:eastAsia="Times New Roman" w:cs="Times New Roman"/>
          <w:spacing w:val="1"/>
          <w:sz w:val="21"/>
          <w:szCs w:val="21"/>
        </w:rPr>
        <w:t>T2</w:t>
      </w:r>
      <w:r>
        <w:rPr>
          <w:rFonts w:ascii="Times New Roman" w:hAnsi="Times New Roman" w:eastAsia="Times New Roman" w:cs="Times New Roman"/>
          <w:sz w:val="21"/>
          <w:szCs w:val="21"/>
        </w:rPr>
        <w:t>DM</w:t>
      </w:r>
      <w:r>
        <w:rPr>
          <w:rFonts w:ascii="宋体" w:hAnsi="宋体" w:eastAsia="宋体" w:cs="宋体"/>
          <w:spacing w:val="1"/>
          <w:sz w:val="21"/>
          <w:szCs w:val="21"/>
        </w:rPr>
        <w:t>的发病风险有关。</w:t>
      </w:r>
    </w:p>
    <w:p w14:paraId="25E47D56">
      <w:pPr>
        <w:pStyle w:val="2"/>
        <w:spacing w:before="1" w:line="220" w:lineRule="auto"/>
        <w:ind w:left="402"/>
        <w:rPr>
          <w:sz w:val="21"/>
          <w:szCs w:val="21"/>
        </w:rPr>
      </w:pPr>
      <w:r>
        <w:rPr>
          <w:b/>
          <w:bCs/>
          <w:spacing w:val="17"/>
          <w:sz w:val="21"/>
          <w:szCs w:val="21"/>
        </w:rPr>
        <w:t>(四)预防策略与措施</w:t>
      </w:r>
    </w:p>
    <w:p w14:paraId="6FA5EC8F">
      <w:pPr>
        <w:pStyle w:val="2"/>
        <w:spacing w:before="130" w:line="303" w:lineRule="auto"/>
        <w:ind w:right="585" w:firstLine="399"/>
        <w:rPr>
          <w:rFonts w:ascii="宋体" w:hAnsi="宋体" w:eastAsia="宋体" w:cs="宋体"/>
          <w:sz w:val="21"/>
          <w:szCs w:val="21"/>
        </w:rPr>
      </w:pPr>
      <w:r>
        <w:rPr>
          <w:rFonts w:ascii="宋体" w:hAnsi="宋体" w:eastAsia="宋体" w:cs="宋体"/>
          <w:spacing w:val="2"/>
          <w:sz w:val="21"/>
          <w:szCs w:val="21"/>
        </w:rPr>
        <w:t xml:space="preserve">1. </w:t>
      </w:r>
      <w:r>
        <w:rPr>
          <w:spacing w:val="2"/>
          <w:sz w:val="21"/>
          <w:szCs w:val="21"/>
        </w:rPr>
        <w:t>预防策略</w:t>
      </w:r>
      <w:r>
        <w:rPr>
          <w:spacing w:val="-25"/>
          <w:sz w:val="21"/>
          <w:szCs w:val="21"/>
        </w:rPr>
        <w:t xml:space="preserve"> </w:t>
      </w:r>
      <w:r>
        <w:rPr>
          <w:rFonts w:ascii="宋体" w:hAnsi="宋体" w:eastAsia="宋体" w:cs="宋体"/>
          <w:spacing w:val="2"/>
          <w:sz w:val="21"/>
          <w:szCs w:val="21"/>
        </w:rPr>
        <w:t>《健康中国行动(2019—2030年)》设立了“糖尿病防治行动”,提出到2</w:t>
      </w:r>
      <w:r>
        <w:rPr>
          <w:rFonts w:ascii="宋体" w:hAnsi="宋体" w:eastAsia="宋体" w:cs="宋体"/>
          <w:spacing w:val="1"/>
          <w:sz w:val="21"/>
          <w:szCs w:val="21"/>
        </w:rPr>
        <w:t>030年，</w:t>
      </w:r>
      <w:r>
        <w:rPr>
          <w:rFonts w:ascii="宋体" w:hAnsi="宋体" w:eastAsia="宋体" w:cs="宋体"/>
          <w:sz w:val="21"/>
          <w:szCs w:val="21"/>
        </w:rPr>
        <w:t xml:space="preserve"> </w:t>
      </w:r>
      <w:r>
        <w:rPr>
          <w:rFonts w:ascii="宋体" w:hAnsi="宋体" w:eastAsia="宋体" w:cs="宋体"/>
          <w:spacing w:val="6"/>
          <w:sz w:val="21"/>
          <w:szCs w:val="21"/>
        </w:rPr>
        <w:t>18岁及以上居民糖尿病知晓率达到60%及以上，糖尿病患者规范管理率达到70%及以上，糖尿病</w:t>
      </w:r>
      <w:r>
        <w:rPr>
          <w:rFonts w:ascii="宋体" w:hAnsi="宋体" w:eastAsia="宋体" w:cs="宋体"/>
          <w:spacing w:val="1"/>
          <w:sz w:val="21"/>
          <w:szCs w:val="21"/>
        </w:rPr>
        <w:t xml:space="preserve">  </w:t>
      </w:r>
      <w:r>
        <w:rPr>
          <w:rFonts w:ascii="宋体" w:hAnsi="宋体" w:eastAsia="宋体" w:cs="宋体"/>
          <w:spacing w:val="-5"/>
          <w:sz w:val="21"/>
          <w:szCs w:val="21"/>
        </w:rPr>
        <w:t>治疗率、控制率、并发症筛查率持续提高。《健康中国行动一糖尿病防治</w:t>
      </w:r>
      <w:r>
        <w:rPr>
          <w:rFonts w:ascii="宋体" w:hAnsi="宋体" w:eastAsia="宋体" w:cs="宋体"/>
          <w:spacing w:val="-6"/>
          <w:sz w:val="21"/>
          <w:szCs w:val="21"/>
        </w:rPr>
        <w:t>行动实施方案(2024—2030</w:t>
      </w:r>
      <w:r>
        <w:rPr>
          <w:rFonts w:ascii="宋体" w:hAnsi="宋体" w:eastAsia="宋体" w:cs="宋体"/>
          <w:sz w:val="21"/>
          <w:szCs w:val="21"/>
        </w:rPr>
        <w:t xml:space="preserve">  </w:t>
      </w:r>
      <w:r>
        <w:rPr>
          <w:rFonts w:ascii="宋体" w:hAnsi="宋体" w:eastAsia="宋体" w:cs="宋体"/>
          <w:spacing w:val="-13"/>
          <w:sz w:val="21"/>
          <w:szCs w:val="21"/>
        </w:rPr>
        <w:t>年)》提出，坚持预防为主，创新医防融合机制，以基层为重点，中西医并重，强化政府、部门、社会、</w:t>
      </w:r>
      <w:r>
        <w:rPr>
          <w:rFonts w:ascii="宋体" w:hAnsi="宋体" w:eastAsia="宋体" w:cs="宋体"/>
          <w:spacing w:val="16"/>
          <w:sz w:val="21"/>
          <w:szCs w:val="21"/>
        </w:rPr>
        <w:t xml:space="preserve"> </w:t>
      </w:r>
      <w:r>
        <w:rPr>
          <w:rFonts w:ascii="宋体" w:hAnsi="宋体" w:eastAsia="宋体" w:cs="宋体"/>
          <w:spacing w:val="-13"/>
          <w:sz w:val="21"/>
          <w:szCs w:val="21"/>
        </w:rPr>
        <w:t>个人责任，推进“以治病为中心”向“以健康为中心”转变，形成有利于糖尿病防治的生活方式、生态</w:t>
      </w:r>
      <w:r>
        <w:rPr>
          <w:rFonts w:ascii="宋体" w:hAnsi="宋体" w:eastAsia="宋体" w:cs="宋体"/>
          <w:spacing w:val="7"/>
          <w:sz w:val="21"/>
          <w:szCs w:val="21"/>
        </w:rPr>
        <w:t xml:space="preserve">  </w:t>
      </w:r>
      <w:r>
        <w:rPr>
          <w:rFonts w:ascii="宋体" w:hAnsi="宋体" w:eastAsia="宋体" w:cs="宋体"/>
          <w:spacing w:val="-3"/>
          <w:sz w:val="21"/>
          <w:szCs w:val="21"/>
        </w:rPr>
        <w:t>环境和社会环境，降低因糖尿病及其并发症</w:t>
      </w:r>
      <w:r>
        <w:rPr>
          <w:rFonts w:ascii="宋体" w:hAnsi="宋体" w:eastAsia="宋体" w:cs="宋体"/>
          <w:spacing w:val="-4"/>
          <w:sz w:val="21"/>
          <w:szCs w:val="21"/>
        </w:rPr>
        <w:t>导致的死亡和伤残，提高人民群众健康水平，为共建共</w:t>
      </w:r>
      <w:r>
        <w:rPr>
          <w:rFonts w:ascii="宋体" w:hAnsi="宋体" w:eastAsia="宋体" w:cs="宋体"/>
          <w:sz w:val="21"/>
          <w:szCs w:val="21"/>
        </w:rPr>
        <w:t xml:space="preserve">  </w:t>
      </w:r>
      <w:r>
        <w:rPr>
          <w:rFonts w:ascii="宋体" w:hAnsi="宋体" w:eastAsia="宋体" w:cs="宋体"/>
          <w:spacing w:val="-4"/>
          <w:sz w:val="21"/>
          <w:szCs w:val="21"/>
        </w:rPr>
        <w:t>享健康中国奠定重要基础。</w:t>
      </w:r>
    </w:p>
    <w:p w14:paraId="05B2501A">
      <w:pPr>
        <w:pStyle w:val="2"/>
        <w:spacing w:before="159" w:line="221" w:lineRule="auto"/>
        <w:ind w:left="399"/>
        <w:rPr>
          <w:sz w:val="21"/>
          <w:szCs w:val="21"/>
        </w:rPr>
      </w:pPr>
      <w:r>
        <w:rPr>
          <w:rFonts w:ascii="宋体" w:hAnsi="宋体" w:eastAsia="宋体" w:cs="宋体"/>
          <w:spacing w:val="3"/>
          <w:sz w:val="21"/>
          <w:szCs w:val="21"/>
        </w:rPr>
        <w:t>2.</w:t>
      </w:r>
      <w:r>
        <w:rPr>
          <w:rFonts w:ascii="宋体" w:hAnsi="宋体" w:eastAsia="宋体" w:cs="宋体"/>
          <w:spacing w:val="-15"/>
          <w:sz w:val="21"/>
          <w:szCs w:val="21"/>
        </w:rPr>
        <w:t xml:space="preserve"> </w:t>
      </w:r>
      <w:r>
        <w:rPr>
          <w:spacing w:val="3"/>
          <w:sz w:val="21"/>
          <w:szCs w:val="21"/>
        </w:rPr>
        <w:t>预防措施</w:t>
      </w:r>
    </w:p>
    <w:p w14:paraId="2C4BC5BD">
      <w:pPr>
        <w:spacing w:before="106" w:line="297" w:lineRule="auto"/>
        <w:ind w:right="660" w:firstLine="399"/>
        <w:rPr>
          <w:rFonts w:ascii="宋体" w:hAnsi="宋体" w:eastAsia="宋体" w:cs="宋体"/>
          <w:sz w:val="21"/>
          <w:szCs w:val="21"/>
        </w:rPr>
      </w:pPr>
      <w:r>
        <w:rPr>
          <w:rFonts w:ascii="宋体" w:hAnsi="宋体" w:eastAsia="宋体" w:cs="宋体"/>
          <w:spacing w:val="5"/>
          <w:sz w:val="21"/>
          <w:szCs w:val="21"/>
        </w:rPr>
        <w:t>(1)第一级预防：第一级预防的对象是一般人群。措施包括：①通过健康教育和健康促</w:t>
      </w:r>
      <w:r>
        <w:rPr>
          <w:rFonts w:ascii="宋体" w:hAnsi="宋体" w:eastAsia="宋体" w:cs="宋体"/>
          <w:spacing w:val="4"/>
          <w:sz w:val="21"/>
          <w:szCs w:val="21"/>
        </w:rPr>
        <w:t>进手</w:t>
      </w:r>
      <w:r>
        <w:rPr>
          <w:rFonts w:ascii="宋体" w:hAnsi="宋体" w:eastAsia="宋体" w:cs="宋体"/>
          <w:sz w:val="21"/>
          <w:szCs w:val="21"/>
        </w:rPr>
        <w:t xml:space="preserve"> </w:t>
      </w:r>
      <w:r>
        <w:rPr>
          <w:rFonts w:ascii="宋体" w:hAnsi="宋体" w:eastAsia="宋体" w:cs="宋体"/>
          <w:spacing w:val="-3"/>
          <w:sz w:val="21"/>
          <w:szCs w:val="21"/>
        </w:rPr>
        <w:t>段，提高全社会对糖尿病防治的知晓度与参与度；</w:t>
      </w:r>
      <w:r>
        <w:rPr>
          <w:rFonts w:ascii="宋体" w:hAnsi="宋体" w:eastAsia="宋体" w:cs="宋体"/>
          <w:spacing w:val="-4"/>
          <w:sz w:val="21"/>
          <w:szCs w:val="21"/>
        </w:rPr>
        <w:t>②提倡膳食平衡、控制体重、适量运动、戒烟限</w:t>
      </w:r>
      <w:r>
        <w:rPr>
          <w:rFonts w:ascii="宋体" w:hAnsi="宋体" w:eastAsia="宋体" w:cs="宋体"/>
          <w:sz w:val="21"/>
          <w:szCs w:val="21"/>
        </w:rPr>
        <w:t xml:space="preserve"> </w:t>
      </w:r>
      <w:r>
        <w:rPr>
          <w:rFonts w:ascii="宋体" w:hAnsi="宋体" w:eastAsia="宋体" w:cs="宋体"/>
          <w:spacing w:val="-7"/>
          <w:sz w:val="21"/>
          <w:szCs w:val="21"/>
        </w:rPr>
        <w:t>酒、心理平衡的健康生活方式，提高社区人群整体的糖尿病防治意识。</w:t>
      </w:r>
    </w:p>
    <w:p w14:paraId="7CB0D5BB">
      <w:pPr>
        <w:spacing w:before="100" w:line="299" w:lineRule="auto"/>
        <w:ind w:right="605" w:firstLine="399"/>
        <w:rPr>
          <w:rFonts w:ascii="宋体" w:hAnsi="宋体" w:eastAsia="宋体" w:cs="宋体"/>
          <w:sz w:val="21"/>
          <w:szCs w:val="21"/>
        </w:rPr>
      </w:pPr>
      <w:r>
        <w:rPr>
          <w:rFonts w:ascii="宋体" w:hAnsi="宋体" w:eastAsia="宋体" w:cs="宋体"/>
          <w:sz w:val="21"/>
          <w:szCs w:val="21"/>
        </w:rPr>
        <w:t>(2)第二级预防：第二级预防主要针对高危人群，包括开展糖尿病筛查、及</w:t>
      </w:r>
      <w:r>
        <w:rPr>
          <w:rFonts w:ascii="宋体" w:hAnsi="宋体" w:eastAsia="宋体" w:cs="宋体"/>
          <w:spacing w:val="-1"/>
          <w:sz w:val="21"/>
          <w:szCs w:val="21"/>
        </w:rPr>
        <w:t>时发现糖尿病并进</w:t>
      </w:r>
      <w:r>
        <w:rPr>
          <w:rFonts w:ascii="宋体" w:hAnsi="宋体" w:eastAsia="宋体" w:cs="宋体"/>
          <w:sz w:val="21"/>
          <w:szCs w:val="21"/>
        </w:rPr>
        <w:t xml:space="preserve"> </w:t>
      </w:r>
      <w:r>
        <w:rPr>
          <w:rFonts w:ascii="宋体" w:hAnsi="宋体" w:eastAsia="宋体" w:cs="宋体"/>
          <w:spacing w:val="-1"/>
          <w:sz w:val="21"/>
          <w:szCs w:val="21"/>
        </w:rPr>
        <w:t>行健康干预等。高危人群的发现可以通过居民健康档案、基本公共卫生服务及机会性筛</w:t>
      </w:r>
      <w:r>
        <w:rPr>
          <w:rFonts w:ascii="宋体" w:hAnsi="宋体" w:eastAsia="宋体" w:cs="宋体"/>
          <w:spacing w:val="-2"/>
          <w:sz w:val="21"/>
          <w:szCs w:val="21"/>
        </w:rPr>
        <w:t>查(如在健</w:t>
      </w:r>
      <w:r>
        <w:rPr>
          <w:rFonts w:ascii="宋体" w:hAnsi="宋体" w:eastAsia="宋体" w:cs="宋体"/>
          <w:sz w:val="21"/>
          <w:szCs w:val="21"/>
        </w:rPr>
        <w:t xml:space="preserve"> </w:t>
      </w:r>
      <w:r>
        <w:rPr>
          <w:rFonts w:ascii="宋体" w:hAnsi="宋体" w:eastAsia="宋体" w:cs="宋体"/>
          <w:spacing w:val="1"/>
          <w:sz w:val="21"/>
          <w:szCs w:val="21"/>
        </w:rPr>
        <w:t>康体检中或在进行其他疾病的诊疗时)等渠道。就糖尿病筛查的</w:t>
      </w:r>
      <w:r>
        <w:rPr>
          <w:rFonts w:ascii="宋体" w:hAnsi="宋体" w:eastAsia="宋体" w:cs="宋体"/>
          <w:sz w:val="21"/>
          <w:szCs w:val="21"/>
        </w:rPr>
        <w:t xml:space="preserve">年龄而言，对于糖尿病高危人群， </w:t>
      </w:r>
      <w:r>
        <w:rPr>
          <w:rFonts w:ascii="宋体" w:hAnsi="宋体" w:eastAsia="宋体" w:cs="宋体"/>
          <w:spacing w:val="-2"/>
          <w:sz w:val="21"/>
          <w:szCs w:val="21"/>
        </w:rPr>
        <w:t>宜及早开始进行糖尿病筛查。</w:t>
      </w:r>
    </w:p>
    <w:p w14:paraId="62131E34">
      <w:pPr>
        <w:spacing w:before="111" w:line="280" w:lineRule="auto"/>
        <w:ind w:right="648" w:firstLine="399"/>
        <w:rPr>
          <w:rFonts w:ascii="宋体" w:hAnsi="宋体" w:eastAsia="宋体" w:cs="宋体"/>
          <w:sz w:val="21"/>
          <w:szCs w:val="21"/>
        </w:rPr>
      </w:pPr>
      <w:r>
        <w:rPr>
          <w:rFonts w:ascii="宋体" w:hAnsi="宋体" w:eastAsia="宋体" w:cs="宋体"/>
          <w:spacing w:val="2"/>
          <w:sz w:val="21"/>
          <w:szCs w:val="21"/>
        </w:rPr>
        <w:t>(3)第三级预防：在年龄较大、糖尿病病程较长和</w:t>
      </w:r>
      <w:r>
        <w:rPr>
          <w:rFonts w:ascii="宋体" w:hAnsi="宋体" w:eastAsia="宋体" w:cs="宋体"/>
          <w:spacing w:val="1"/>
          <w:sz w:val="21"/>
          <w:szCs w:val="21"/>
        </w:rPr>
        <w:t>已有心血管疾病的</w:t>
      </w:r>
      <w:r>
        <w:rPr>
          <w:rFonts w:ascii="Times New Roman" w:hAnsi="Times New Roman" w:eastAsia="Times New Roman" w:cs="Times New Roman"/>
          <w:spacing w:val="1"/>
          <w:sz w:val="21"/>
          <w:szCs w:val="21"/>
        </w:rPr>
        <w:t>T2</w:t>
      </w:r>
      <w:r>
        <w:rPr>
          <w:rFonts w:ascii="Times New Roman" w:hAnsi="Times New Roman" w:eastAsia="Times New Roman" w:cs="Times New Roman"/>
          <w:sz w:val="21"/>
          <w:szCs w:val="21"/>
        </w:rPr>
        <w:t>DM</w:t>
      </w:r>
      <w:r>
        <w:rPr>
          <w:rFonts w:ascii="宋体" w:hAnsi="宋体" w:eastAsia="宋体" w:cs="宋体"/>
          <w:spacing w:val="1"/>
          <w:sz w:val="21"/>
          <w:szCs w:val="21"/>
        </w:rPr>
        <w:t>患者中，建议继续</w:t>
      </w:r>
      <w:r>
        <w:rPr>
          <w:rFonts w:ascii="宋体" w:hAnsi="宋体" w:eastAsia="宋体" w:cs="宋体"/>
          <w:sz w:val="21"/>
          <w:szCs w:val="21"/>
        </w:rPr>
        <w:t xml:space="preserve"> </w:t>
      </w:r>
      <w:r>
        <w:rPr>
          <w:rFonts w:ascii="宋体" w:hAnsi="宋体" w:eastAsia="宋体" w:cs="宋体"/>
          <w:spacing w:val="-8"/>
          <w:sz w:val="21"/>
          <w:szCs w:val="21"/>
        </w:rPr>
        <w:t>采取降糖、降压、调脂等综合管理措施，以降低糖尿病并发症进展及死亡的风险，但应遵循</w:t>
      </w:r>
      <w:r>
        <w:rPr>
          <w:rFonts w:ascii="宋体" w:hAnsi="宋体" w:eastAsia="宋体" w:cs="宋体"/>
          <w:spacing w:val="-9"/>
          <w:sz w:val="21"/>
          <w:szCs w:val="21"/>
        </w:rPr>
        <w:t>分层管理</w:t>
      </w:r>
    </w:p>
    <w:p w14:paraId="7B85D1D0">
      <w:pPr>
        <w:spacing w:line="280" w:lineRule="auto"/>
        <w:rPr>
          <w:rFonts w:ascii="宋体" w:hAnsi="宋体" w:eastAsia="宋体" w:cs="宋体"/>
          <w:sz w:val="21"/>
          <w:szCs w:val="21"/>
        </w:rPr>
        <w:sectPr>
          <w:footerReference r:id="rId244" w:type="default"/>
          <w:pgSz w:w="11900" w:h="16820"/>
          <w:pgMar w:top="400" w:right="879" w:bottom="846" w:left="1460" w:header="0" w:footer="657" w:gutter="0"/>
          <w:cols w:space="720" w:num="1"/>
        </w:sectPr>
      </w:pPr>
    </w:p>
    <w:p w14:paraId="45DA8067">
      <w:pPr>
        <w:pStyle w:val="2"/>
        <w:spacing w:before="216" w:line="221" w:lineRule="auto"/>
        <w:ind w:left="619"/>
        <w:rPr>
          <w:sz w:val="20"/>
          <w:szCs w:val="20"/>
        </w:rPr>
      </w:pPr>
      <w:r>
        <w:rPr>
          <w:spacing w:val="-22"/>
          <w:sz w:val="20"/>
          <w:szCs w:val="20"/>
        </w:rPr>
        <w:t>第十四章 慢性病流行病学</w:t>
      </w:r>
    </w:p>
    <w:p w14:paraId="2FEBCF00">
      <w:pPr>
        <w:spacing w:line="271" w:lineRule="auto"/>
        <w:rPr>
          <w:rFonts w:ascii="Arial"/>
          <w:sz w:val="21"/>
        </w:rPr>
      </w:pPr>
    </w:p>
    <w:p w14:paraId="7B79F7E3">
      <w:pPr>
        <w:spacing w:line="271" w:lineRule="auto"/>
        <w:rPr>
          <w:rFonts w:ascii="Arial"/>
          <w:sz w:val="21"/>
        </w:rPr>
      </w:pPr>
    </w:p>
    <w:p w14:paraId="268FC6EF">
      <w:pPr>
        <w:spacing w:before="65" w:line="219" w:lineRule="auto"/>
        <w:ind w:left="619"/>
        <w:rPr>
          <w:rFonts w:ascii="宋体" w:hAnsi="宋体" w:eastAsia="宋体" w:cs="宋体"/>
          <w:sz w:val="20"/>
          <w:szCs w:val="20"/>
        </w:rPr>
      </w:pPr>
      <w:r>
        <w:rPr>
          <w:rFonts w:ascii="宋体" w:hAnsi="宋体" w:eastAsia="宋体" w:cs="宋体"/>
          <w:spacing w:val="2"/>
          <w:sz w:val="20"/>
          <w:szCs w:val="20"/>
        </w:rPr>
        <w:t>的原则。对已出现严重糖尿病慢性并发症者，建议至相关专科进行治疗。</w:t>
      </w:r>
    </w:p>
    <w:p w14:paraId="093FAB9F">
      <w:pPr>
        <w:pStyle w:val="2"/>
        <w:spacing w:before="310" w:line="221" w:lineRule="auto"/>
        <w:ind w:left="1053"/>
        <w:outlineLvl w:val="4"/>
        <w:rPr>
          <w:sz w:val="24"/>
          <w:szCs w:val="24"/>
        </w:rPr>
      </w:pPr>
      <w:bookmarkStart w:id="380" w:name="bookmark527"/>
      <w:bookmarkEnd w:id="380"/>
      <w:bookmarkStart w:id="381" w:name="bookmark242"/>
      <w:bookmarkEnd w:id="381"/>
      <w:r>
        <w:rPr>
          <w:b/>
          <w:bCs/>
          <w:spacing w:val="-4"/>
          <w:sz w:val="24"/>
          <w:szCs w:val="24"/>
        </w:rPr>
        <w:t>四</w:t>
      </w:r>
      <w:r>
        <w:rPr>
          <w:spacing w:val="-60"/>
          <w:sz w:val="24"/>
          <w:szCs w:val="24"/>
        </w:rPr>
        <w:t xml:space="preserve"> </w:t>
      </w:r>
      <w:r>
        <w:rPr>
          <w:b/>
          <w:bCs/>
          <w:spacing w:val="-4"/>
          <w:sz w:val="24"/>
          <w:szCs w:val="24"/>
        </w:rPr>
        <w:t>、慢性阻塞性肺疾病</w:t>
      </w:r>
    </w:p>
    <w:p w14:paraId="60BEE365">
      <w:pPr>
        <w:spacing w:before="253" w:line="344" w:lineRule="auto"/>
        <w:ind w:left="619" w:right="19" w:firstLine="430"/>
        <w:jc w:val="both"/>
        <w:rPr>
          <w:rFonts w:ascii="宋体" w:hAnsi="宋体" w:eastAsia="宋体" w:cs="宋体"/>
          <w:sz w:val="20"/>
          <w:szCs w:val="20"/>
        </w:rPr>
      </w:pPr>
      <w:r>
        <w:rPr>
          <w:rFonts w:ascii="宋体" w:hAnsi="宋体" w:eastAsia="宋体" w:cs="宋体"/>
          <w:spacing w:val="4"/>
          <w:sz w:val="20"/>
          <w:szCs w:val="20"/>
        </w:rPr>
        <w:t>慢性阻塞性肺疾病</w:t>
      </w:r>
      <w:r>
        <w:rPr>
          <w:rFonts w:ascii="Times New Roman" w:hAnsi="Times New Roman" w:eastAsia="Times New Roman" w:cs="Times New Roman"/>
          <w:spacing w:val="4"/>
          <w:sz w:val="20"/>
          <w:szCs w:val="20"/>
        </w:rPr>
        <w:t>(</w:t>
      </w:r>
      <w:r>
        <w:rPr>
          <w:rFonts w:ascii="Times New Roman" w:hAnsi="Times New Roman" w:eastAsia="Times New Roman" w:cs="Times New Roman"/>
          <w:sz w:val="20"/>
          <w:szCs w:val="20"/>
        </w:rPr>
        <w:t>chronic</w:t>
      </w:r>
      <w:r>
        <w:rPr>
          <w:rFonts w:ascii="Times New Roman" w:hAnsi="Times New Roman" w:eastAsia="Times New Roman" w:cs="Times New Roman"/>
          <w:spacing w:val="24"/>
          <w:sz w:val="20"/>
          <w:szCs w:val="20"/>
        </w:rPr>
        <w:t xml:space="preserve">  </w:t>
      </w:r>
      <w:r>
        <w:rPr>
          <w:rFonts w:ascii="Times New Roman" w:hAnsi="Times New Roman" w:eastAsia="Times New Roman" w:cs="Times New Roman"/>
          <w:sz w:val="20"/>
          <w:szCs w:val="20"/>
        </w:rPr>
        <w:t>obstructive</w:t>
      </w:r>
      <w:r>
        <w:rPr>
          <w:rFonts w:ascii="Times New Roman" w:hAnsi="Times New Roman" w:eastAsia="Times New Roman" w:cs="Times New Roman"/>
          <w:spacing w:val="20"/>
          <w:sz w:val="20"/>
          <w:szCs w:val="20"/>
        </w:rPr>
        <w:t xml:space="preserve">  </w:t>
      </w:r>
      <w:r>
        <w:rPr>
          <w:rFonts w:ascii="Times New Roman" w:hAnsi="Times New Roman" w:eastAsia="Times New Roman" w:cs="Times New Roman"/>
          <w:sz w:val="20"/>
          <w:szCs w:val="20"/>
        </w:rPr>
        <w:t>pulmonary</w:t>
      </w:r>
      <w:r>
        <w:rPr>
          <w:rFonts w:ascii="Times New Roman" w:hAnsi="Times New Roman" w:eastAsia="Times New Roman" w:cs="Times New Roman"/>
          <w:spacing w:val="23"/>
          <w:sz w:val="20"/>
          <w:szCs w:val="20"/>
        </w:rPr>
        <w:t xml:space="preserve">  </w:t>
      </w:r>
      <w:r>
        <w:rPr>
          <w:rFonts w:ascii="Times New Roman" w:hAnsi="Times New Roman" w:eastAsia="Times New Roman" w:cs="Times New Roman"/>
          <w:sz w:val="20"/>
          <w:szCs w:val="20"/>
        </w:rPr>
        <w:t>disease</w:t>
      </w:r>
      <w:r>
        <w:rPr>
          <w:rFonts w:ascii="Times New Roman" w:hAnsi="Times New Roman" w:eastAsia="Times New Roman" w:cs="Times New Roman"/>
          <w:spacing w:val="4"/>
          <w:sz w:val="20"/>
          <w:szCs w:val="20"/>
        </w:rPr>
        <w:t>,</w:t>
      </w:r>
      <w:r>
        <w:rPr>
          <w:rFonts w:ascii="Times New Roman" w:hAnsi="Times New Roman" w:eastAsia="Times New Roman" w:cs="Times New Roman"/>
          <w:sz w:val="20"/>
          <w:szCs w:val="20"/>
        </w:rPr>
        <w:t>COPD</w:t>
      </w:r>
      <w:r>
        <w:rPr>
          <w:rFonts w:ascii="Times New Roman" w:hAnsi="Times New Roman" w:eastAsia="Times New Roman" w:cs="Times New Roman"/>
          <w:spacing w:val="4"/>
          <w:sz w:val="20"/>
          <w:szCs w:val="20"/>
        </w:rPr>
        <w:t>)</w:t>
      </w:r>
      <w:r>
        <w:rPr>
          <w:rFonts w:ascii="宋体" w:hAnsi="宋体" w:eastAsia="宋体" w:cs="宋体"/>
          <w:spacing w:val="4"/>
          <w:sz w:val="20"/>
          <w:szCs w:val="20"/>
        </w:rPr>
        <w:t>简称慢阻肺或慢阻肺病，是一</w:t>
      </w:r>
      <w:r>
        <w:rPr>
          <w:rFonts w:ascii="宋体" w:hAnsi="宋体" w:eastAsia="宋体" w:cs="宋体"/>
          <w:sz w:val="20"/>
          <w:szCs w:val="20"/>
        </w:rPr>
        <w:t xml:space="preserve"> </w:t>
      </w:r>
      <w:r>
        <w:rPr>
          <w:rFonts w:ascii="宋体" w:hAnsi="宋体" w:eastAsia="宋体" w:cs="宋体"/>
          <w:spacing w:val="4"/>
          <w:sz w:val="20"/>
          <w:szCs w:val="20"/>
        </w:rPr>
        <w:t>种常见的、可预防和治疗的慢性气道炎症性疾病。</w:t>
      </w:r>
      <w:r>
        <w:rPr>
          <w:rFonts w:ascii="宋体" w:hAnsi="宋体" w:eastAsia="宋体" w:cs="宋体"/>
          <w:spacing w:val="-46"/>
          <w:sz w:val="20"/>
          <w:szCs w:val="20"/>
        </w:rPr>
        <w:t xml:space="preserve"> </w:t>
      </w:r>
      <w:r>
        <w:rPr>
          <w:rFonts w:ascii="Times New Roman" w:hAnsi="Times New Roman" w:eastAsia="Times New Roman" w:cs="Times New Roman"/>
          <w:sz w:val="20"/>
          <w:szCs w:val="20"/>
        </w:rPr>
        <w:t>COPD</w:t>
      </w:r>
      <w:r>
        <w:rPr>
          <w:rFonts w:ascii="Times New Roman" w:hAnsi="Times New Roman" w:eastAsia="Times New Roman" w:cs="Times New Roman"/>
          <w:spacing w:val="14"/>
          <w:sz w:val="20"/>
          <w:szCs w:val="20"/>
        </w:rPr>
        <w:t xml:space="preserve"> </w:t>
      </w:r>
      <w:r>
        <w:rPr>
          <w:rFonts w:ascii="宋体" w:hAnsi="宋体" w:eastAsia="宋体" w:cs="宋体"/>
          <w:spacing w:val="4"/>
          <w:sz w:val="20"/>
          <w:szCs w:val="20"/>
        </w:rPr>
        <w:t>是一种异质性疾病，其特征在于由气道异</w:t>
      </w:r>
      <w:r>
        <w:rPr>
          <w:rFonts w:ascii="宋体" w:hAnsi="宋体" w:eastAsia="宋体" w:cs="宋体"/>
          <w:sz w:val="20"/>
          <w:szCs w:val="20"/>
        </w:rPr>
        <w:t xml:space="preserve"> </w:t>
      </w:r>
      <w:r>
        <w:rPr>
          <w:rFonts w:ascii="宋体" w:hAnsi="宋体" w:eastAsia="宋体" w:cs="宋体"/>
          <w:spacing w:val="6"/>
          <w:sz w:val="20"/>
          <w:szCs w:val="20"/>
        </w:rPr>
        <w:t>常(支气管炎、细支气管炎)和/或肺泡异常(肺气肿)导致的持续性、进行性气流受限所引起的慢性</w:t>
      </w:r>
      <w:r>
        <w:rPr>
          <w:rFonts w:ascii="宋体" w:hAnsi="宋体" w:eastAsia="宋体" w:cs="宋体"/>
          <w:spacing w:val="16"/>
          <w:sz w:val="20"/>
          <w:szCs w:val="20"/>
        </w:rPr>
        <w:t xml:space="preserve"> </w:t>
      </w:r>
      <w:r>
        <w:rPr>
          <w:rFonts w:ascii="宋体" w:hAnsi="宋体" w:eastAsia="宋体" w:cs="宋体"/>
          <w:spacing w:val="-5"/>
          <w:sz w:val="20"/>
          <w:szCs w:val="20"/>
        </w:rPr>
        <w:t>呼吸道症状(呼吸困难、咳嗽、咳痰)。</w:t>
      </w:r>
    </w:p>
    <w:p w14:paraId="074862BC">
      <w:pPr>
        <w:spacing w:before="1" w:line="343" w:lineRule="auto"/>
        <w:ind w:left="619" w:right="23" w:firstLine="430"/>
        <w:jc w:val="both"/>
        <w:rPr>
          <w:rFonts w:ascii="宋体" w:hAnsi="宋体" w:eastAsia="宋体" w:cs="宋体"/>
          <w:sz w:val="20"/>
          <w:szCs w:val="20"/>
        </w:rPr>
      </w:pPr>
      <w:r>
        <w:rPr>
          <w:rFonts w:ascii="Times New Roman" w:hAnsi="Times New Roman" w:eastAsia="Times New Roman" w:cs="Times New Roman"/>
          <w:spacing w:val="-2"/>
          <w:sz w:val="20"/>
          <w:szCs w:val="20"/>
        </w:rPr>
        <w:t>COPD</w:t>
      </w:r>
      <w:r>
        <w:rPr>
          <w:rFonts w:ascii="Times New Roman" w:hAnsi="Times New Roman" w:eastAsia="Times New Roman" w:cs="Times New Roman"/>
          <w:spacing w:val="-16"/>
          <w:sz w:val="20"/>
          <w:szCs w:val="20"/>
        </w:rPr>
        <w:t xml:space="preserve"> </w:t>
      </w:r>
      <w:r>
        <w:rPr>
          <w:rFonts w:ascii="宋体" w:hAnsi="宋体" w:eastAsia="宋体" w:cs="宋体"/>
          <w:spacing w:val="-2"/>
          <w:sz w:val="20"/>
          <w:szCs w:val="20"/>
        </w:rPr>
        <w:t>在临床上可分为：①急性加重期，即患者呼吸道症状加重，表现为咳嗽、咳痰、气短和</w:t>
      </w:r>
      <w:r>
        <w:rPr>
          <w:rFonts w:ascii="宋体" w:hAnsi="宋体" w:eastAsia="宋体" w:cs="宋体"/>
          <w:spacing w:val="-3"/>
          <w:sz w:val="20"/>
          <w:szCs w:val="20"/>
        </w:rPr>
        <w:t>/或</w:t>
      </w:r>
      <w:r>
        <w:rPr>
          <w:rFonts w:ascii="宋体" w:hAnsi="宋体" w:eastAsia="宋体" w:cs="宋体"/>
          <w:sz w:val="20"/>
          <w:szCs w:val="20"/>
        </w:rPr>
        <w:t xml:space="preserve"> 喘息加重，痰量增多，脓性或黏液脓性痰，可伴有发热等。②</w:t>
      </w:r>
      <w:r>
        <w:rPr>
          <w:rFonts w:ascii="宋体" w:hAnsi="宋体" w:eastAsia="宋体" w:cs="宋体"/>
          <w:spacing w:val="-1"/>
          <w:sz w:val="20"/>
          <w:szCs w:val="20"/>
        </w:rPr>
        <w:t>稳定期，即咳嗽、咳痰和气短等症状稳</w:t>
      </w:r>
      <w:r>
        <w:rPr>
          <w:rFonts w:ascii="宋体" w:hAnsi="宋体" w:eastAsia="宋体" w:cs="宋体"/>
          <w:sz w:val="20"/>
          <w:szCs w:val="20"/>
        </w:rPr>
        <w:t xml:space="preserve"> 定或症状轻微，病情基本恢复到急性加重前的状态。</w:t>
      </w:r>
    </w:p>
    <w:p w14:paraId="2E17E855">
      <w:pPr>
        <w:pStyle w:val="2"/>
        <w:spacing w:before="14" w:line="221" w:lineRule="auto"/>
        <w:ind w:left="1050"/>
        <w:rPr>
          <w:sz w:val="20"/>
          <w:szCs w:val="20"/>
        </w:rPr>
      </w:pPr>
      <w:r>
        <w:rPr>
          <w:spacing w:val="15"/>
          <w:sz w:val="20"/>
          <w:szCs w:val="20"/>
        </w:rPr>
        <w:t>(</w:t>
      </w:r>
      <w:r>
        <w:rPr>
          <w:spacing w:val="-53"/>
          <w:sz w:val="20"/>
          <w:szCs w:val="20"/>
        </w:rPr>
        <w:t xml:space="preserve"> </w:t>
      </w:r>
      <w:r>
        <w:rPr>
          <w:spacing w:val="15"/>
          <w:sz w:val="20"/>
          <w:szCs w:val="20"/>
        </w:rPr>
        <w:t>一</w:t>
      </w:r>
      <w:r>
        <w:rPr>
          <w:spacing w:val="-59"/>
          <w:sz w:val="20"/>
          <w:szCs w:val="20"/>
        </w:rPr>
        <w:t xml:space="preserve"> </w:t>
      </w:r>
      <w:r>
        <w:rPr>
          <w:spacing w:val="15"/>
          <w:sz w:val="20"/>
          <w:szCs w:val="20"/>
        </w:rPr>
        <w:t>)诊断与分型</w:t>
      </w:r>
    </w:p>
    <w:p w14:paraId="26BD52BA">
      <w:pPr>
        <w:pStyle w:val="2"/>
        <w:spacing w:before="130" w:line="309" w:lineRule="auto"/>
        <w:ind w:left="519" w:right="36" w:firstLine="530"/>
        <w:rPr>
          <w:rFonts w:ascii="宋体" w:hAnsi="宋体" w:eastAsia="宋体" w:cs="宋体"/>
          <w:sz w:val="20"/>
          <w:szCs w:val="20"/>
        </w:rPr>
      </w:pPr>
      <w:r>
        <w:rPr>
          <w:rFonts w:ascii="宋体" w:hAnsi="宋体" w:eastAsia="宋体" w:cs="宋体"/>
          <w:spacing w:val="11"/>
          <w:sz w:val="20"/>
          <w:szCs w:val="20"/>
        </w:rPr>
        <w:t>1.</w:t>
      </w:r>
      <w:r>
        <w:rPr>
          <w:rFonts w:ascii="宋体" w:hAnsi="宋体" w:eastAsia="宋体" w:cs="宋体"/>
          <w:sz w:val="20"/>
          <w:szCs w:val="20"/>
        </w:rPr>
        <w:t>COPD</w:t>
      </w:r>
      <w:r>
        <w:rPr>
          <w:rFonts w:ascii="宋体" w:hAnsi="宋体" w:eastAsia="宋体" w:cs="宋体"/>
          <w:spacing w:val="11"/>
          <w:sz w:val="20"/>
          <w:szCs w:val="20"/>
        </w:rPr>
        <w:t xml:space="preserve">    </w:t>
      </w:r>
      <w:r>
        <w:rPr>
          <w:spacing w:val="11"/>
          <w:sz w:val="20"/>
          <w:szCs w:val="20"/>
        </w:rPr>
        <w:t xml:space="preserve">的诊断标准 </w:t>
      </w:r>
      <w:r>
        <w:rPr>
          <w:rFonts w:ascii="宋体" w:hAnsi="宋体" w:eastAsia="宋体" w:cs="宋体"/>
          <w:spacing w:val="11"/>
          <w:sz w:val="20"/>
          <w:szCs w:val="20"/>
        </w:rPr>
        <w:t>肺功能检查是目前检测气流受限公认的客观指标，是慢阻肺诊断的</w:t>
      </w:r>
      <w:r>
        <w:rPr>
          <w:rFonts w:ascii="宋体" w:hAnsi="宋体" w:eastAsia="宋体" w:cs="宋体"/>
          <w:spacing w:val="13"/>
          <w:sz w:val="20"/>
          <w:szCs w:val="20"/>
        </w:rPr>
        <w:t xml:space="preserve"> </w:t>
      </w:r>
      <w:r>
        <w:rPr>
          <w:rFonts w:ascii="宋体" w:hAnsi="宋体" w:eastAsia="宋体" w:cs="宋体"/>
          <w:spacing w:val="9"/>
          <w:sz w:val="20"/>
          <w:szCs w:val="20"/>
        </w:rPr>
        <w:t>“金标准”。使用支气管扩张剂(如吸入沙丁胺醇400μ</w:t>
      </w:r>
      <w:r>
        <w:rPr>
          <w:rFonts w:ascii="Times New Roman" w:hAnsi="Times New Roman" w:eastAsia="Times New Roman" w:cs="Times New Roman"/>
          <w:spacing w:val="9"/>
          <w:sz w:val="20"/>
          <w:szCs w:val="20"/>
        </w:rPr>
        <w:t xml:space="preserve">g) </w:t>
      </w:r>
      <w:r>
        <w:rPr>
          <w:rFonts w:ascii="宋体" w:hAnsi="宋体" w:eastAsia="宋体" w:cs="宋体"/>
          <w:spacing w:val="9"/>
          <w:sz w:val="20"/>
          <w:szCs w:val="20"/>
        </w:rPr>
        <w:t>后第1秒用力呼</w:t>
      </w:r>
      <w:r>
        <w:rPr>
          <w:rFonts w:ascii="宋体" w:hAnsi="宋体" w:eastAsia="宋体" w:cs="宋体"/>
          <w:spacing w:val="8"/>
          <w:sz w:val="20"/>
          <w:szCs w:val="20"/>
        </w:rPr>
        <w:t>气容积</w:t>
      </w:r>
      <w:r>
        <w:rPr>
          <w:rFonts w:ascii="Times New Roman" w:hAnsi="Times New Roman" w:eastAsia="Times New Roman" w:cs="Times New Roman"/>
          <w:spacing w:val="8"/>
          <w:sz w:val="20"/>
          <w:szCs w:val="20"/>
        </w:rPr>
        <w:t>(</w:t>
      </w:r>
      <w:r>
        <w:rPr>
          <w:rFonts w:ascii="Times New Roman" w:hAnsi="Times New Roman" w:eastAsia="Times New Roman" w:cs="Times New Roman"/>
          <w:sz w:val="20"/>
          <w:szCs w:val="20"/>
        </w:rPr>
        <w:t>forced</w:t>
      </w:r>
      <w:r>
        <w:rPr>
          <w:rFonts w:ascii="Times New Roman" w:hAnsi="Times New Roman" w:eastAsia="Times New Roman" w:cs="Times New Roman"/>
          <w:spacing w:val="2"/>
          <w:sz w:val="20"/>
          <w:szCs w:val="20"/>
        </w:rPr>
        <w:t xml:space="preserve">    </w:t>
      </w:r>
      <w:r>
        <w:rPr>
          <w:rFonts w:ascii="Times New Roman" w:hAnsi="Times New Roman" w:eastAsia="Times New Roman" w:cs="Times New Roman"/>
          <w:sz w:val="20"/>
          <w:szCs w:val="20"/>
        </w:rPr>
        <w:t>expiratory volume</w:t>
      </w:r>
      <w:r>
        <w:rPr>
          <w:rFonts w:ascii="Times New Roman" w:hAnsi="Times New Roman" w:eastAsia="Times New Roman" w:cs="Times New Roman"/>
          <w:spacing w:val="6"/>
          <w:sz w:val="20"/>
          <w:szCs w:val="20"/>
        </w:rPr>
        <w:t xml:space="preserve">  </w:t>
      </w:r>
      <w:r>
        <w:rPr>
          <w:rFonts w:ascii="Times New Roman" w:hAnsi="Times New Roman" w:eastAsia="Times New Roman" w:cs="Times New Roman"/>
          <w:sz w:val="20"/>
          <w:szCs w:val="20"/>
        </w:rPr>
        <w:t>in</w:t>
      </w:r>
      <w:r>
        <w:rPr>
          <w:rFonts w:ascii="Times New Roman" w:hAnsi="Times New Roman" w:eastAsia="Times New Roman" w:cs="Times New Roman"/>
          <w:spacing w:val="6"/>
          <w:sz w:val="20"/>
          <w:szCs w:val="20"/>
        </w:rPr>
        <w:t xml:space="preserve">  </w:t>
      </w:r>
      <w:r>
        <w:rPr>
          <w:rFonts w:ascii="Times New Roman" w:hAnsi="Times New Roman" w:eastAsia="Times New Roman" w:cs="Times New Roman"/>
          <w:sz w:val="20"/>
          <w:szCs w:val="20"/>
        </w:rPr>
        <w:t>one</w:t>
      </w:r>
      <w:r>
        <w:rPr>
          <w:rFonts w:ascii="Times New Roman" w:hAnsi="Times New Roman" w:eastAsia="Times New Roman" w:cs="Times New Roman"/>
          <w:spacing w:val="6"/>
          <w:sz w:val="20"/>
          <w:szCs w:val="20"/>
        </w:rPr>
        <w:t xml:space="preserve">  </w:t>
      </w:r>
      <w:r>
        <w:rPr>
          <w:rFonts w:ascii="Times New Roman" w:hAnsi="Times New Roman" w:eastAsia="Times New Roman" w:cs="Times New Roman"/>
          <w:sz w:val="20"/>
          <w:szCs w:val="20"/>
        </w:rPr>
        <w:t>second</w:t>
      </w:r>
      <w:r>
        <w:rPr>
          <w:rFonts w:ascii="Times New Roman" w:hAnsi="Times New Roman" w:eastAsia="Times New Roman" w:cs="Times New Roman"/>
          <w:spacing w:val="6"/>
          <w:sz w:val="20"/>
          <w:szCs w:val="20"/>
        </w:rPr>
        <w:t>,</w:t>
      </w:r>
      <w:r>
        <w:rPr>
          <w:rFonts w:ascii="Times New Roman" w:hAnsi="Times New Roman" w:eastAsia="Times New Roman" w:cs="Times New Roman"/>
          <w:sz w:val="20"/>
          <w:szCs w:val="20"/>
        </w:rPr>
        <w:t>FEV</w:t>
      </w:r>
      <w:r>
        <w:rPr>
          <w:rFonts w:ascii="Times New Roman" w:hAnsi="Times New Roman" w:eastAsia="Times New Roman" w:cs="Times New Roman"/>
          <w:spacing w:val="6"/>
          <w:sz w:val="20"/>
          <w:szCs w:val="20"/>
        </w:rPr>
        <w:t>₁)/</w:t>
      </w:r>
      <w:r>
        <w:rPr>
          <w:rFonts w:ascii="宋体" w:hAnsi="宋体" w:eastAsia="宋体" w:cs="宋体"/>
          <w:spacing w:val="6"/>
          <w:sz w:val="20"/>
          <w:szCs w:val="20"/>
        </w:rPr>
        <w:t>用力肺活量</w:t>
      </w:r>
      <w:r>
        <w:rPr>
          <w:rFonts w:ascii="Times New Roman" w:hAnsi="Times New Roman" w:eastAsia="Times New Roman" w:cs="Times New Roman"/>
          <w:spacing w:val="6"/>
          <w:sz w:val="20"/>
          <w:szCs w:val="20"/>
        </w:rPr>
        <w:t>(</w:t>
      </w:r>
      <w:r>
        <w:rPr>
          <w:rFonts w:ascii="Times New Roman" w:hAnsi="Times New Roman" w:eastAsia="Times New Roman" w:cs="Times New Roman"/>
          <w:sz w:val="20"/>
          <w:szCs w:val="20"/>
        </w:rPr>
        <w:t>forced</w:t>
      </w:r>
      <w:r>
        <w:rPr>
          <w:rFonts w:ascii="Times New Roman" w:hAnsi="Times New Roman" w:eastAsia="Times New Roman" w:cs="Times New Roman"/>
          <w:spacing w:val="6"/>
          <w:sz w:val="20"/>
          <w:szCs w:val="20"/>
        </w:rPr>
        <w:t xml:space="preserve">     </w:t>
      </w:r>
      <w:r>
        <w:rPr>
          <w:rFonts w:ascii="Times New Roman" w:hAnsi="Times New Roman" w:eastAsia="Times New Roman" w:cs="Times New Roman"/>
          <w:sz w:val="20"/>
          <w:szCs w:val="20"/>
        </w:rPr>
        <w:t>vital</w:t>
      </w:r>
      <w:r>
        <w:rPr>
          <w:rFonts w:ascii="Times New Roman" w:hAnsi="Times New Roman" w:eastAsia="Times New Roman" w:cs="Times New Roman"/>
          <w:spacing w:val="6"/>
          <w:sz w:val="20"/>
          <w:szCs w:val="20"/>
        </w:rPr>
        <w:t xml:space="preserve">     </w:t>
      </w:r>
      <w:r>
        <w:rPr>
          <w:rFonts w:ascii="Times New Roman" w:hAnsi="Times New Roman" w:eastAsia="Times New Roman" w:cs="Times New Roman"/>
          <w:sz w:val="20"/>
          <w:szCs w:val="20"/>
        </w:rPr>
        <w:t>capacity</w:t>
      </w:r>
      <w:r>
        <w:rPr>
          <w:rFonts w:ascii="Times New Roman" w:hAnsi="Times New Roman" w:eastAsia="Times New Roman" w:cs="Times New Roman"/>
          <w:spacing w:val="6"/>
          <w:sz w:val="20"/>
          <w:szCs w:val="20"/>
        </w:rPr>
        <w:t>,</w:t>
      </w:r>
      <w:r>
        <w:rPr>
          <w:rFonts w:ascii="Times New Roman" w:hAnsi="Times New Roman" w:eastAsia="Times New Roman" w:cs="Times New Roman"/>
          <w:sz w:val="20"/>
          <w:szCs w:val="20"/>
        </w:rPr>
        <w:t>FVC</w:t>
      </w:r>
      <w:r>
        <w:rPr>
          <w:rFonts w:ascii="Times New Roman" w:hAnsi="Times New Roman" w:eastAsia="Times New Roman" w:cs="Times New Roman"/>
          <w:spacing w:val="6"/>
          <w:sz w:val="20"/>
          <w:szCs w:val="20"/>
        </w:rPr>
        <w:t>)&lt;70%,</w:t>
      </w:r>
      <w:r>
        <w:rPr>
          <w:rFonts w:ascii="宋体" w:hAnsi="宋体" w:eastAsia="宋体" w:cs="宋体"/>
          <w:spacing w:val="6"/>
          <w:sz w:val="20"/>
          <w:szCs w:val="20"/>
        </w:rPr>
        <w:t>并结</w:t>
      </w:r>
      <w:r>
        <w:rPr>
          <w:rFonts w:ascii="宋体" w:hAnsi="宋体" w:eastAsia="宋体" w:cs="宋体"/>
          <w:spacing w:val="5"/>
          <w:sz w:val="20"/>
          <w:szCs w:val="20"/>
        </w:rPr>
        <w:t>合患者具备相应的</w:t>
      </w:r>
      <w:r>
        <w:rPr>
          <w:rFonts w:ascii="宋体" w:hAnsi="宋体" w:eastAsia="宋体" w:cs="宋体"/>
          <w:sz w:val="20"/>
          <w:szCs w:val="20"/>
        </w:rPr>
        <w:t xml:space="preserve"> </w:t>
      </w:r>
      <w:r>
        <w:rPr>
          <w:rFonts w:ascii="宋体" w:hAnsi="宋体" w:eastAsia="宋体" w:cs="宋体"/>
          <w:spacing w:val="4"/>
          <w:sz w:val="20"/>
          <w:szCs w:val="20"/>
        </w:rPr>
        <w:t>危险因素和暴露史、症状、体征，排除其他疾病(如支气管哮喘、心功能不全、支气管扩张症、肺结</w:t>
      </w:r>
      <w:r>
        <w:rPr>
          <w:rFonts w:ascii="宋体" w:hAnsi="宋体" w:eastAsia="宋体" w:cs="宋体"/>
          <w:spacing w:val="15"/>
          <w:sz w:val="20"/>
          <w:szCs w:val="20"/>
        </w:rPr>
        <w:t xml:space="preserve"> </w:t>
      </w:r>
      <w:r>
        <w:rPr>
          <w:rFonts w:ascii="宋体" w:hAnsi="宋体" w:eastAsia="宋体" w:cs="宋体"/>
          <w:spacing w:val="3"/>
          <w:sz w:val="20"/>
          <w:szCs w:val="20"/>
        </w:rPr>
        <w:t>核、闭塞性细支气管炎、弥漫性泛细支气管炎等),即可诊断为</w:t>
      </w:r>
      <w:r>
        <w:rPr>
          <w:rFonts w:ascii="Times New Roman" w:hAnsi="Times New Roman" w:eastAsia="Times New Roman" w:cs="Times New Roman"/>
          <w:sz w:val="20"/>
          <w:szCs w:val="20"/>
        </w:rPr>
        <w:t>COPD</w:t>
      </w:r>
      <w:r>
        <w:rPr>
          <w:rFonts w:ascii="宋体" w:hAnsi="宋体" w:eastAsia="宋体" w:cs="宋体"/>
          <w:spacing w:val="3"/>
          <w:sz w:val="20"/>
          <w:szCs w:val="20"/>
        </w:rPr>
        <w:t>。</w:t>
      </w:r>
    </w:p>
    <w:p w14:paraId="34BEC290">
      <w:pPr>
        <w:spacing w:before="179" w:line="219" w:lineRule="auto"/>
        <w:ind w:left="1050"/>
        <w:rPr>
          <w:rFonts w:ascii="宋体" w:hAnsi="宋体" w:eastAsia="宋体" w:cs="宋体"/>
          <w:sz w:val="20"/>
          <w:szCs w:val="20"/>
        </w:rPr>
      </w:pPr>
      <w:r>
        <w:rPr>
          <w:rFonts w:ascii="宋体" w:hAnsi="宋体" w:eastAsia="宋体" w:cs="宋体"/>
          <w:spacing w:val="4"/>
          <w:sz w:val="20"/>
          <w:szCs w:val="20"/>
        </w:rPr>
        <w:t>2.</w:t>
      </w:r>
      <w:r>
        <w:rPr>
          <w:rFonts w:ascii="宋体" w:hAnsi="宋体" w:eastAsia="宋体" w:cs="宋体"/>
          <w:sz w:val="20"/>
          <w:szCs w:val="20"/>
        </w:rPr>
        <w:t>COPD</w:t>
      </w:r>
      <w:r>
        <w:rPr>
          <w:rFonts w:ascii="宋体" w:hAnsi="宋体" w:eastAsia="宋体" w:cs="宋体"/>
          <w:spacing w:val="27"/>
          <w:sz w:val="20"/>
          <w:szCs w:val="20"/>
        </w:rPr>
        <w:t xml:space="preserve">   </w:t>
      </w:r>
      <w:r>
        <w:rPr>
          <w:rFonts w:ascii="宋体" w:hAnsi="宋体" w:eastAsia="宋体" w:cs="宋体"/>
          <w:spacing w:val="4"/>
          <w:sz w:val="20"/>
          <w:szCs w:val="20"/>
        </w:rPr>
        <w:t>的分类</w:t>
      </w:r>
      <w:r>
        <w:rPr>
          <w:rFonts w:ascii="宋体" w:hAnsi="宋体" w:eastAsia="宋体" w:cs="宋体"/>
          <w:spacing w:val="83"/>
          <w:sz w:val="20"/>
          <w:szCs w:val="20"/>
        </w:rPr>
        <w:t xml:space="preserve"> </w:t>
      </w:r>
      <w:r>
        <w:rPr>
          <w:rFonts w:ascii="宋体" w:hAnsi="宋体" w:eastAsia="宋体" w:cs="宋体"/>
          <w:sz w:val="20"/>
          <w:szCs w:val="20"/>
        </w:rPr>
        <w:t>COPD</w:t>
      </w:r>
      <w:r>
        <w:rPr>
          <w:rFonts w:ascii="宋体" w:hAnsi="宋体" w:eastAsia="宋体" w:cs="宋体"/>
          <w:spacing w:val="57"/>
          <w:sz w:val="20"/>
          <w:szCs w:val="20"/>
        </w:rPr>
        <w:t xml:space="preserve"> </w:t>
      </w:r>
      <w:r>
        <w:rPr>
          <w:rFonts w:ascii="宋体" w:hAnsi="宋体" w:eastAsia="宋体" w:cs="宋体"/>
          <w:spacing w:val="4"/>
          <w:sz w:val="20"/>
          <w:szCs w:val="20"/>
        </w:rPr>
        <w:t>的分类如表14-2所示。</w:t>
      </w:r>
    </w:p>
    <w:p w14:paraId="18B00CB1">
      <w:pPr>
        <w:pStyle w:val="2"/>
        <w:spacing w:before="261" w:line="221" w:lineRule="auto"/>
        <w:ind w:left="3820"/>
        <w:rPr>
          <w:sz w:val="20"/>
          <w:szCs w:val="20"/>
        </w:rPr>
      </w:pPr>
      <w:r>
        <w:rPr>
          <w:spacing w:val="5"/>
          <w:sz w:val="20"/>
          <w:szCs w:val="20"/>
        </w:rPr>
        <w:t>表14-2</w:t>
      </w:r>
      <w:r>
        <w:rPr>
          <w:spacing w:val="33"/>
          <w:sz w:val="20"/>
          <w:szCs w:val="20"/>
        </w:rPr>
        <w:t xml:space="preserve"> </w:t>
      </w:r>
      <w:r>
        <w:rPr>
          <w:rFonts w:ascii="宋体" w:hAnsi="宋体" w:eastAsia="宋体" w:cs="宋体"/>
          <w:sz w:val="20"/>
          <w:szCs w:val="20"/>
        </w:rPr>
        <w:t>COPD</w:t>
      </w:r>
      <w:r>
        <w:rPr>
          <w:rFonts w:ascii="宋体" w:hAnsi="宋体" w:eastAsia="宋体" w:cs="宋体"/>
          <w:spacing w:val="5"/>
          <w:sz w:val="20"/>
          <w:szCs w:val="20"/>
        </w:rPr>
        <w:t xml:space="preserve">  </w:t>
      </w:r>
      <w:r>
        <w:rPr>
          <w:spacing w:val="5"/>
          <w:sz w:val="20"/>
          <w:szCs w:val="20"/>
        </w:rPr>
        <w:t>的病因分类</w:t>
      </w:r>
    </w:p>
    <w:p w14:paraId="751DFB32">
      <w:pPr>
        <w:spacing w:line="34" w:lineRule="exact"/>
      </w:pPr>
    </w:p>
    <w:tbl>
      <w:tblPr>
        <w:tblStyle w:val="5"/>
        <w:tblW w:w="8770" w:type="dxa"/>
        <w:tblInd w:w="669"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0" w:type="dxa"/>
          <w:left w:w="0" w:type="dxa"/>
          <w:bottom w:w="0" w:type="dxa"/>
          <w:right w:w="0" w:type="dxa"/>
        </w:tblCellMar>
      </w:tblPr>
      <w:tblGrid>
        <w:gridCol w:w="3250"/>
        <w:gridCol w:w="31"/>
        <w:gridCol w:w="5489"/>
      </w:tblGrid>
      <w:tr w14:paraId="01748763">
        <w:trPr>
          <w:trHeight w:val="389" w:hRule="atLeast"/>
        </w:trPr>
        <w:tc>
          <w:tcPr>
            <w:tcW w:w="3250" w:type="dxa"/>
            <w:tcBorders>
              <w:bottom w:val="single" w:color="000000" w:sz="4" w:space="0"/>
            </w:tcBorders>
            <w:shd w:val="clear" w:color="auto" w:fill="C8CECB"/>
            <w:vAlign w:val="top"/>
          </w:tcPr>
          <w:p w14:paraId="7E6857CA">
            <w:pPr>
              <w:pStyle w:val="6"/>
              <w:spacing w:before="128" w:line="219" w:lineRule="auto"/>
              <w:ind w:left="280"/>
            </w:pPr>
            <w:r>
              <w:drawing>
                <wp:anchor distT="0" distB="0" distL="0" distR="0" simplePos="0" relativeHeight="251848704" behindDoc="1" locked="0" layoutInCell="1" allowOverlap="1">
                  <wp:simplePos x="0" y="0"/>
                  <wp:positionH relativeFrom="column">
                    <wp:posOffset>0</wp:posOffset>
                  </wp:positionH>
                  <wp:positionV relativeFrom="paragraph">
                    <wp:posOffset>0</wp:posOffset>
                  </wp:positionV>
                  <wp:extent cx="5568950" cy="260350"/>
                  <wp:effectExtent l="0" t="0" r="0" b="0"/>
                  <wp:wrapNone/>
                  <wp:docPr id="590" name="IM 590"/>
                  <wp:cNvGraphicFramePr/>
                  <a:graphic xmlns:a="http://schemas.openxmlformats.org/drawingml/2006/main">
                    <a:graphicData uri="http://schemas.openxmlformats.org/drawingml/2006/picture">
                      <pic:pic xmlns:pic="http://schemas.openxmlformats.org/drawingml/2006/picture">
                        <pic:nvPicPr>
                          <pic:cNvPr id="590" name="IM 590"/>
                          <pic:cNvPicPr/>
                        </pic:nvPicPr>
                        <pic:blipFill>
                          <a:blip r:embed="rId638"/>
                          <a:stretch>
                            <a:fillRect/>
                          </a:stretch>
                        </pic:blipFill>
                        <pic:spPr>
                          <a:xfrm>
                            <a:off x="0" y="0"/>
                            <a:ext cx="5568989" cy="260395"/>
                          </a:xfrm>
                          <a:prstGeom prst="rect">
                            <a:avLst/>
                          </a:prstGeom>
                        </pic:spPr>
                      </pic:pic>
                    </a:graphicData>
                  </a:graphic>
                </wp:anchor>
              </w:drawing>
            </w:r>
            <w:r>
              <w:rPr>
                <w:spacing w:val="-3"/>
              </w:rPr>
              <w:t>分类</w:t>
            </w:r>
          </w:p>
        </w:tc>
        <w:tc>
          <w:tcPr>
            <w:tcW w:w="5520" w:type="dxa"/>
            <w:gridSpan w:val="2"/>
            <w:tcBorders>
              <w:bottom w:val="single" w:color="000000" w:sz="4" w:space="0"/>
            </w:tcBorders>
            <w:shd w:val="clear" w:color="auto" w:fill="CACDC7"/>
            <w:vAlign w:val="top"/>
          </w:tcPr>
          <w:p w14:paraId="730ED308">
            <w:pPr>
              <w:pStyle w:val="6"/>
              <w:spacing w:before="131" w:line="221" w:lineRule="auto"/>
              <w:ind w:left="59"/>
            </w:pPr>
            <w:r>
              <w:rPr>
                <w:spacing w:val="-3"/>
              </w:rPr>
              <w:t>描述</w:t>
            </w:r>
          </w:p>
        </w:tc>
      </w:tr>
      <w:tr w14:paraId="6DE3F5ED">
        <w:trPr>
          <w:trHeight w:val="369" w:hRule="atLeast"/>
        </w:trPr>
        <w:tc>
          <w:tcPr>
            <w:tcW w:w="3250" w:type="dxa"/>
            <w:tcBorders>
              <w:top w:val="single" w:color="000000" w:sz="4" w:space="0"/>
              <w:bottom w:val="single" w:color="000000" w:sz="4" w:space="0"/>
            </w:tcBorders>
            <w:vAlign w:val="top"/>
          </w:tcPr>
          <w:p w14:paraId="66BAE119">
            <w:pPr>
              <w:pStyle w:val="6"/>
              <w:spacing w:before="89" w:line="219" w:lineRule="auto"/>
              <w:ind w:left="280"/>
            </w:pPr>
            <w:r>
              <w:rPr>
                <w:spacing w:val="3"/>
              </w:rPr>
              <w:t>基因决定型慢阻肺(</w:t>
            </w:r>
            <w:r>
              <w:t>COPD</w:t>
            </w:r>
            <w:r>
              <w:rPr>
                <w:spacing w:val="3"/>
              </w:rPr>
              <w:t>-G)</w:t>
            </w:r>
          </w:p>
        </w:tc>
        <w:tc>
          <w:tcPr>
            <w:tcW w:w="5520" w:type="dxa"/>
            <w:gridSpan w:val="2"/>
            <w:tcBorders>
              <w:top w:val="single" w:color="000000" w:sz="4" w:space="0"/>
              <w:bottom w:val="single" w:color="000000" w:sz="4" w:space="0"/>
            </w:tcBorders>
            <w:vAlign w:val="top"/>
          </w:tcPr>
          <w:p w14:paraId="06D4CEBA">
            <w:pPr>
              <w:pStyle w:val="6"/>
              <w:spacing w:before="88" w:line="219" w:lineRule="auto"/>
              <w:ind w:left="59"/>
            </w:pPr>
            <w:r>
              <w:rPr>
                <w:spacing w:val="6"/>
              </w:rPr>
              <w:t>α</w:t>
            </w:r>
            <w:r>
              <w:rPr>
                <w:rFonts w:ascii="Calibri" w:hAnsi="Calibri" w:eastAsia="Calibri" w:cs="Calibri"/>
                <w:spacing w:val="6"/>
              </w:rPr>
              <w:t>₁</w:t>
            </w:r>
            <w:r>
              <w:rPr>
                <w:spacing w:val="6"/>
              </w:rPr>
              <w:t>-抗胰蛋白酶缺乏症及其他影响较小的遗传</w:t>
            </w:r>
            <w:r>
              <w:rPr>
                <w:spacing w:val="5"/>
              </w:rPr>
              <w:t>变异联合作用</w:t>
            </w:r>
          </w:p>
        </w:tc>
      </w:tr>
      <w:tr w14:paraId="37007773">
        <w:trPr>
          <w:trHeight w:val="389" w:hRule="atLeast"/>
        </w:trPr>
        <w:tc>
          <w:tcPr>
            <w:tcW w:w="8770" w:type="dxa"/>
            <w:gridSpan w:val="3"/>
            <w:tcBorders>
              <w:top w:val="single" w:color="000000" w:sz="4" w:space="0"/>
              <w:bottom w:val="single" w:color="000000" w:sz="4" w:space="0"/>
            </w:tcBorders>
            <w:shd w:val="clear" w:color="auto" w:fill="E1E0E1"/>
            <w:vAlign w:val="top"/>
          </w:tcPr>
          <w:p w14:paraId="3AECAD29">
            <w:pPr>
              <w:pStyle w:val="6"/>
              <w:spacing w:before="100" w:line="219" w:lineRule="auto"/>
              <w:ind w:left="280"/>
            </w:pPr>
            <w:r>
              <w:rPr>
                <w:spacing w:val="1"/>
              </w:rPr>
              <w:t>肺发育异常导致的慢阻肺(</w:t>
            </w:r>
            <w:r>
              <w:t>COPD</w:t>
            </w:r>
            <w:r>
              <w:rPr>
                <w:spacing w:val="1"/>
              </w:rPr>
              <w:t>-D)早期生活事</w:t>
            </w:r>
            <w:r>
              <w:t>件，包括早产和低出生体重等</w:t>
            </w:r>
          </w:p>
        </w:tc>
      </w:tr>
      <w:tr w14:paraId="69C49C87">
        <w:trPr>
          <w:trHeight w:val="1695" w:hRule="atLeast"/>
        </w:trPr>
        <w:tc>
          <w:tcPr>
            <w:tcW w:w="3281" w:type="dxa"/>
            <w:gridSpan w:val="2"/>
            <w:tcBorders>
              <w:top w:val="single" w:color="000000" w:sz="4" w:space="0"/>
              <w:bottom w:val="single" w:color="000000" w:sz="4" w:space="0"/>
            </w:tcBorders>
            <w:vAlign w:val="top"/>
          </w:tcPr>
          <w:p w14:paraId="34986A48">
            <w:pPr>
              <w:pStyle w:val="6"/>
              <w:spacing w:before="81" w:line="220" w:lineRule="auto"/>
              <w:ind w:left="280"/>
            </w:pPr>
            <w:r>
              <w:rPr>
                <w:spacing w:val="-2"/>
              </w:rPr>
              <w:t>环境型慢阻肺</w:t>
            </w:r>
          </w:p>
          <w:p w14:paraId="17185B3B">
            <w:pPr>
              <w:pStyle w:val="6"/>
              <w:spacing w:before="281" w:line="220" w:lineRule="auto"/>
              <w:ind w:left="280"/>
            </w:pPr>
            <w:r>
              <w:rPr>
                <w:spacing w:val="3"/>
              </w:rPr>
              <w:t>吸烟导致的慢阻肺(</w:t>
            </w:r>
            <w:r>
              <w:t>COPD</w:t>
            </w:r>
            <w:r>
              <w:rPr>
                <w:spacing w:val="3"/>
              </w:rPr>
              <w:t>-C)</w:t>
            </w:r>
          </w:p>
          <w:p w14:paraId="3188EB68">
            <w:pPr>
              <w:pStyle w:val="6"/>
              <w:spacing w:before="301" w:line="243" w:lineRule="auto"/>
              <w:ind w:left="290" w:right="28"/>
            </w:pPr>
            <w:r>
              <w:rPr>
                <w:spacing w:val="-7"/>
              </w:rPr>
              <w:t>生物质(biomass)使用和环境污染导</w:t>
            </w:r>
            <w:r>
              <w:rPr>
                <w:spacing w:val="1"/>
              </w:rPr>
              <w:t xml:space="preserve"> </w:t>
            </w:r>
            <w:r>
              <w:rPr>
                <w:spacing w:val="4"/>
              </w:rPr>
              <w:t>致的慢阻肺(</w:t>
            </w:r>
            <w:r>
              <w:t>COPD</w:t>
            </w:r>
            <w:r>
              <w:rPr>
                <w:spacing w:val="4"/>
              </w:rPr>
              <w:t>-P)</w:t>
            </w:r>
          </w:p>
        </w:tc>
        <w:tc>
          <w:tcPr>
            <w:tcW w:w="5489" w:type="dxa"/>
            <w:tcBorders>
              <w:top w:val="single" w:color="000000" w:sz="4" w:space="0"/>
              <w:bottom w:val="single" w:color="000000" w:sz="4" w:space="0"/>
            </w:tcBorders>
            <w:vAlign w:val="top"/>
          </w:tcPr>
          <w:p w14:paraId="67A1F2FE">
            <w:pPr>
              <w:spacing w:line="383" w:lineRule="auto"/>
              <w:rPr>
                <w:rFonts w:ascii="Arial"/>
                <w:sz w:val="21"/>
              </w:rPr>
            </w:pPr>
          </w:p>
          <w:p w14:paraId="1DD83E60">
            <w:pPr>
              <w:pStyle w:val="6"/>
              <w:spacing w:before="65" w:line="262" w:lineRule="auto"/>
              <w:ind w:left="69"/>
            </w:pPr>
            <w:r>
              <w:rPr>
                <w:spacing w:val="-7"/>
              </w:rPr>
              <w:t>暴露于烟草烟雾，包括在子宫内或通过被动吸烟；使用电子烟、</w:t>
            </w:r>
            <w:r>
              <w:rPr>
                <w:spacing w:val="14"/>
              </w:rPr>
              <w:t xml:space="preserve"> </w:t>
            </w:r>
            <w:r>
              <w:rPr>
                <w:spacing w:val="-4"/>
              </w:rPr>
              <w:t>大麻</w:t>
            </w:r>
          </w:p>
          <w:p w14:paraId="216B0522">
            <w:pPr>
              <w:pStyle w:val="6"/>
              <w:spacing w:before="251" w:line="219" w:lineRule="auto"/>
              <w:ind w:left="28"/>
            </w:pPr>
            <w:r>
              <w:t>暴露于家庭污染、环境空气污染、职业危害</w:t>
            </w:r>
          </w:p>
        </w:tc>
      </w:tr>
      <w:tr w14:paraId="7AA97857">
        <w:trPr>
          <w:trHeight w:val="369" w:hRule="atLeast"/>
        </w:trPr>
        <w:tc>
          <w:tcPr>
            <w:tcW w:w="3250" w:type="dxa"/>
            <w:tcBorders>
              <w:top w:val="single" w:color="000000" w:sz="4" w:space="0"/>
              <w:bottom w:val="single" w:color="000000" w:sz="4" w:space="0"/>
            </w:tcBorders>
            <w:shd w:val="clear" w:color="auto" w:fill="E1E1E2"/>
            <w:vAlign w:val="top"/>
          </w:tcPr>
          <w:p w14:paraId="20A85C08">
            <w:pPr>
              <w:pStyle w:val="6"/>
              <w:spacing w:before="96" w:line="220" w:lineRule="auto"/>
              <w:ind w:left="280"/>
            </w:pPr>
            <w:r>
              <w:rPr>
                <w:spacing w:val="3"/>
              </w:rPr>
              <w:t>感染导致的慢阻肺(</w:t>
            </w:r>
            <w:r>
              <w:t>COPD</w:t>
            </w:r>
            <w:r>
              <w:rPr>
                <w:spacing w:val="3"/>
              </w:rPr>
              <w:t>-I)</w:t>
            </w:r>
          </w:p>
        </w:tc>
        <w:tc>
          <w:tcPr>
            <w:tcW w:w="5520" w:type="dxa"/>
            <w:gridSpan w:val="2"/>
            <w:tcBorders>
              <w:top w:val="single" w:color="000000" w:sz="4" w:space="0"/>
              <w:bottom w:val="single" w:color="000000" w:sz="4" w:space="0"/>
            </w:tcBorders>
            <w:shd w:val="clear" w:color="auto" w:fill="DCDCDC"/>
            <w:vAlign w:val="top"/>
          </w:tcPr>
          <w:p w14:paraId="5C16852A">
            <w:pPr>
              <w:pStyle w:val="6"/>
              <w:spacing w:before="96" w:line="219" w:lineRule="auto"/>
              <w:ind w:left="59"/>
            </w:pPr>
            <w:r>
              <w:rPr>
                <w:spacing w:val="-1"/>
              </w:rPr>
              <w:t>儿童感染、结核病相关性COPD、HIV相关性COPD</w:t>
            </w:r>
          </w:p>
        </w:tc>
      </w:tr>
      <w:tr w14:paraId="384776B0">
        <w:trPr>
          <w:trHeight w:val="369" w:hRule="atLeast"/>
        </w:trPr>
        <w:tc>
          <w:tcPr>
            <w:tcW w:w="3250" w:type="dxa"/>
            <w:tcBorders>
              <w:top w:val="single" w:color="000000" w:sz="4" w:space="0"/>
              <w:bottom w:val="single" w:color="000000" w:sz="4" w:space="0"/>
            </w:tcBorders>
            <w:vAlign w:val="top"/>
          </w:tcPr>
          <w:p w14:paraId="65B42947">
            <w:pPr>
              <w:pStyle w:val="6"/>
              <w:spacing w:before="97" w:line="219" w:lineRule="auto"/>
              <w:ind w:left="280"/>
            </w:pPr>
            <w:r>
              <w:rPr>
                <w:spacing w:val="3"/>
              </w:rPr>
              <w:t>慢阻肺合并哮喘(</w:t>
            </w:r>
            <w:r>
              <w:t>COPD</w:t>
            </w:r>
            <w:r>
              <w:rPr>
                <w:spacing w:val="3"/>
              </w:rPr>
              <w:t>-A)</w:t>
            </w:r>
          </w:p>
        </w:tc>
        <w:tc>
          <w:tcPr>
            <w:tcW w:w="5520" w:type="dxa"/>
            <w:gridSpan w:val="2"/>
            <w:tcBorders>
              <w:top w:val="single" w:color="000000" w:sz="4" w:space="0"/>
              <w:bottom w:val="single" w:color="000000" w:sz="4" w:space="0"/>
            </w:tcBorders>
            <w:vAlign w:val="top"/>
          </w:tcPr>
          <w:p w14:paraId="6F3D8812">
            <w:pPr>
              <w:pStyle w:val="6"/>
              <w:spacing w:before="97" w:line="219" w:lineRule="auto"/>
              <w:ind w:left="59"/>
            </w:pPr>
            <w:r>
              <w:rPr>
                <w:spacing w:val="2"/>
              </w:rPr>
              <w:t>尤其是儿童哮喘</w:t>
            </w:r>
          </w:p>
        </w:tc>
      </w:tr>
      <w:tr w14:paraId="53A9ED78">
        <w:trPr>
          <w:trHeight w:val="374" w:hRule="atLeast"/>
        </w:trPr>
        <w:tc>
          <w:tcPr>
            <w:tcW w:w="3250" w:type="dxa"/>
            <w:tcBorders>
              <w:top w:val="single" w:color="000000" w:sz="4" w:space="0"/>
              <w:bottom w:val="single" w:color="000000" w:sz="4" w:space="0"/>
            </w:tcBorders>
            <w:shd w:val="clear" w:color="auto" w:fill="E0E1E2"/>
            <w:vAlign w:val="top"/>
          </w:tcPr>
          <w:p w14:paraId="6135BAED">
            <w:pPr>
              <w:pStyle w:val="6"/>
              <w:spacing w:before="98" w:line="219" w:lineRule="auto"/>
              <w:ind w:left="280"/>
            </w:pPr>
            <w:r>
              <w:rPr>
                <w:spacing w:val="3"/>
              </w:rPr>
              <w:t>不明原因型慢阻肺(</w:t>
            </w:r>
            <w:r>
              <w:t>COPD</w:t>
            </w:r>
            <w:r>
              <w:rPr>
                <w:spacing w:val="3"/>
              </w:rPr>
              <w:t>-U)</w:t>
            </w:r>
          </w:p>
        </w:tc>
        <w:tc>
          <w:tcPr>
            <w:tcW w:w="5520" w:type="dxa"/>
            <w:gridSpan w:val="2"/>
            <w:tcBorders>
              <w:top w:val="single" w:color="000000" w:sz="4" w:space="0"/>
              <w:bottom w:val="single" w:color="000000" w:sz="4" w:space="0"/>
            </w:tcBorders>
            <w:shd w:val="clear" w:color="auto" w:fill="E1E0DE"/>
            <w:vAlign w:val="top"/>
          </w:tcPr>
          <w:p w14:paraId="5710B4BC">
            <w:pPr>
              <w:pStyle w:val="6"/>
              <w:spacing w:before="98" w:line="220" w:lineRule="auto"/>
              <w:ind w:left="59"/>
            </w:pPr>
            <w:r>
              <w:rPr>
                <w:spacing w:val="5"/>
              </w:rPr>
              <w:t>未知原因</w:t>
            </w:r>
          </w:p>
        </w:tc>
      </w:tr>
    </w:tbl>
    <w:p w14:paraId="72085110">
      <w:pPr>
        <w:spacing w:line="292" w:lineRule="auto"/>
        <w:rPr>
          <w:rFonts w:ascii="Arial"/>
          <w:sz w:val="21"/>
        </w:rPr>
      </w:pPr>
    </w:p>
    <w:p w14:paraId="1CA361DF">
      <w:pPr>
        <w:pStyle w:val="2"/>
        <w:spacing w:before="79" w:line="221" w:lineRule="auto"/>
        <w:ind w:left="1050"/>
        <w:rPr>
          <w:sz w:val="24"/>
          <w:szCs w:val="24"/>
        </w:rPr>
      </w:pPr>
      <w:r>
        <w:rPr>
          <w:spacing w:val="-3"/>
          <w:sz w:val="24"/>
          <w:szCs w:val="24"/>
        </w:rPr>
        <w:t>(二)流行特征</w:t>
      </w:r>
    </w:p>
    <w:p w14:paraId="411EA87C">
      <w:pPr>
        <w:spacing w:before="113" w:line="317" w:lineRule="auto"/>
        <w:ind w:left="619" w:right="36" w:firstLine="430"/>
        <w:rPr>
          <w:rFonts w:ascii="宋体" w:hAnsi="宋体" w:eastAsia="宋体" w:cs="宋体"/>
          <w:sz w:val="20"/>
          <w:szCs w:val="20"/>
        </w:rPr>
      </w:pPr>
      <w:r>
        <w:rPr>
          <w:rFonts w:ascii="Times New Roman" w:hAnsi="Times New Roman" w:eastAsia="Times New Roman" w:cs="Times New Roman"/>
          <w:spacing w:val="5"/>
          <w:sz w:val="20"/>
          <w:szCs w:val="20"/>
        </w:rPr>
        <w:t>1.</w:t>
      </w:r>
      <w:r>
        <w:rPr>
          <w:rFonts w:ascii="Times New Roman" w:hAnsi="Times New Roman" w:eastAsia="Times New Roman" w:cs="Times New Roman"/>
          <w:spacing w:val="21"/>
          <w:w w:val="101"/>
          <w:sz w:val="20"/>
          <w:szCs w:val="20"/>
        </w:rPr>
        <w:t xml:space="preserve">  </w:t>
      </w:r>
      <w:r>
        <w:rPr>
          <w:rFonts w:ascii="宋体" w:hAnsi="宋体" w:eastAsia="宋体" w:cs="宋体"/>
          <w:spacing w:val="5"/>
          <w:sz w:val="20"/>
          <w:szCs w:val="20"/>
        </w:rPr>
        <w:t>流</w:t>
      </w:r>
      <w:r>
        <w:rPr>
          <w:rFonts w:ascii="宋体" w:hAnsi="宋体" w:eastAsia="宋体" w:cs="宋体"/>
          <w:spacing w:val="-37"/>
          <w:sz w:val="20"/>
          <w:szCs w:val="20"/>
        </w:rPr>
        <w:t xml:space="preserve"> </w:t>
      </w:r>
      <w:r>
        <w:rPr>
          <w:rFonts w:ascii="宋体" w:hAnsi="宋体" w:eastAsia="宋体" w:cs="宋体"/>
          <w:spacing w:val="5"/>
          <w:sz w:val="20"/>
          <w:szCs w:val="20"/>
        </w:rPr>
        <w:t>行</w:t>
      </w:r>
      <w:r>
        <w:rPr>
          <w:rFonts w:ascii="宋体" w:hAnsi="宋体" w:eastAsia="宋体" w:cs="宋体"/>
          <w:spacing w:val="-40"/>
          <w:sz w:val="20"/>
          <w:szCs w:val="20"/>
        </w:rPr>
        <w:t xml:space="preserve"> </w:t>
      </w:r>
      <w:r>
        <w:rPr>
          <w:rFonts w:ascii="宋体" w:hAnsi="宋体" w:eastAsia="宋体" w:cs="宋体"/>
          <w:spacing w:val="5"/>
          <w:sz w:val="20"/>
          <w:szCs w:val="20"/>
        </w:rPr>
        <w:t>概</w:t>
      </w:r>
      <w:r>
        <w:rPr>
          <w:rFonts w:ascii="宋体" w:hAnsi="宋体" w:eastAsia="宋体" w:cs="宋体"/>
          <w:spacing w:val="-38"/>
          <w:sz w:val="20"/>
          <w:szCs w:val="20"/>
        </w:rPr>
        <w:t xml:space="preserve"> </w:t>
      </w:r>
      <w:r>
        <w:rPr>
          <w:rFonts w:ascii="宋体" w:hAnsi="宋体" w:eastAsia="宋体" w:cs="宋体"/>
          <w:spacing w:val="5"/>
          <w:sz w:val="20"/>
          <w:szCs w:val="20"/>
        </w:rPr>
        <w:t>况</w:t>
      </w:r>
      <w:r>
        <w:rPr>
          <w:rFonts w:ascii="宋体" w:hAnsi="宋体" w:eastAsia="宋体" w:cs="宋体"/>
          <w:spacing w:val="-40"/>
          <w:sz w:val="20"/>
          <w:szCs w:val="20"/>
        </w:rPr>
        <w:t xml:space="preserve"> </w:t>
      </w:r>
      <w:r>
        <w:rPr>
          <w:rFonts w:ascii="宋体" w:hAnsi="宋体" w:eastAsia="宋体" w:cs="宋体"/>
          <w:spacing w:val="5"/>
          <w:sz w:val="20"/>
          <w:szCs w:val="20"/>
        </w:rPr>
        <w:t>根</w:t>
      </w:r>
      <w:r>
        <w:rPr>
          <w:rFonts w:ascii="宋体" w:hAnsi="宋体" w:eastAsia="宋体" w:cs="宋体"/>
          <w:spacing w:val="-41"/>
          <w:sz w:val="20"/>
          <w:szCs w:val="20"/>
        </w:rPr>
        <w:t xml:space="preserve"> </w:t>
      </w:r>
      <w:r>
        <w:rPr>
          <w:rFonts w:ascii="宋体" w:hAnsi="宋体" w:eastAsia="宋体" w:cs="宋体"/>
          <w:spacing w:val="5"/>
          <w:sz w:val="20"/>
          <w:szCs w:val="20"/>
        </w:rPr>
        <w:t>据</w:t>
      </w:r>
      <w:r>
        <w:rPr>
          <w:rFonts w:ascii="Times New Roman" w:hAnsi="Times New Roman" w:eastAsia="Times New Roman" w:cs="Times New Roman"/>
          <w:sz w:val="20"/>
          <w:szCs w:val="20"/>
        </w:rPr>
        <w:t>GBD</w:t>
      </w:r>
      <w:r>
        <w:rPr>
          <w:rFonts w:ascii="宋体" w:hAnsi="宋体" w:eastAsia="宋体" w:cs="宋体"/>
          <w:spacing w:val="5"/>
          <w:sz w:val="20"/>
          <w:szCs w:val="20"/>
        </w:rPr>
        <w:t>调查，2019年全球报</w:t>
      </w:r>
      <w:r>
        <w:rPr>
          <w:rFonts w:ascii="宋体" w:hAnsi="宋体" w:eastAsia="宋体" w:cs="宋体"/>
          <w:spacing w:val="4"/>
          <w:sz w:val="20"/>
          <w:szCs w:val="20"/>
        </w:rPr>
        <w:t>告了2.1亿例</w:t>
      </w:r>
      <w:r>
        <w:rPr>
          <w:rFonts w:ascii="Times New Roman" w:hAnsi="Times New Roman" w:eastAsia="Times New Roman" w:cs="Times New Roman"/>
          <w:sz w:val="20"/>
          <w:szCs w:val="20"/>
        </w:rPr>
        <w:t>COPD</w:t>
      </w:r>
      <w:r>
        <w:rPr>
          <w:rFonts w:ascii="Times New Roman" w:hAnsi="Times New Roman" w:eastAsia="Times New Roman" w:cs="Times New Roman"/>
          <w:spacing w:val="4"/>
          <w:sz w:val="20"/>
          <w:szCs w:val="20"/>
        </w:rPr>
        <w:t xml:space="preserve"> </w:t>
      </w:r>
      <w:r>
        <w:rPr>
          <w:rFonts w:ascii="宋体" w:hAnsi="宋体" w:eastAsia="宋体" w:cs="宋体"/>
          <w:spacing w:val="4"/>
          <w:sz w:val="20"/>
          <w:szCs w:val="20"/>
        </w:rPr>
        <w:t>病例，其中</w:t>
      </w:r>
      <w:r>
        <w:rPr>
          <w:rFonts w:ascii="Times New Roman" w:hAnsi="Times New Roman" w:eastAsia="Times New Roman" w:cs="Times New Roman"/>
          <w:sz w:val="20"/>
          <w:szCs w:val="20"/>
        </w:rPr>
        <w:t>COPD</w:t>
      </w:r>
      <w:r>
        <w:rPr>
          <w:rFonts w:ascii="Times New Roman" w:hAnsi="Times New Roman" w:eastAsia="Times New Roman" w:cs="Times New Roman"/>
          <w:spacing w:val="4"/>
          <w:sz w:val="20"/>
          <w:szCs w:val="20"/>
        </w:rPr>
        <w:t xml:space="preserve"> </w:t>
      </w:r>
      <w:r>
        <w:rPr>
          <w:rFonts w:ascii="宋体" w:hAnsi="宋体" w:eastAsia="宋体" w:cs="宋体"/>
          <w:spacing w:val="4"/>
          <w:sz w:val="20"/>
          <w:szCs w:val="20"/>
        </w:rPr>
        <w:t>导致330万</w:t>
      </w:r>
      <w:r>
        <w:rPr>
          <w:rFonts w:ascii="宋体" w:hAnsi="宋体" w:eastAsia="宋体" w:cs="宋体"/>
          <w:sz w:val="20"/>
          <w:szCs w:val="20"/>
        </w:rPr>
        <w:t xml:space="preserve"> </w:t>
      </w:r>
      <w:r>
        <w:rPr>
          <w:rFonts w:ascii="宋体" w:hAnsi="宋体" w:eastAsia="宋体" w:cs="宋体"/>
          <w:spacing w:val="13"/>
          <w:sz w:val="20"/>
          <w:szCs w:val="20"/>
        </w:rPr>
        <w:t>人死亡和7440万</w:t>
      </w:r>
      <w:r>
        <w:rPr>
          <w:rFonts w:ascii="宋体" w:hAnsi="宋体" w:eastAsia="宋体" w:cs="宋体"/>
          <w:sz w:val="20"/>
          <w:szCs w:val="20"/>
        </w:rPr>
        <w:t>DALYs</w:t>
      </w:r>
      <w:r>
        <w:rPr>
          <w:rFonts w:ascii="宋体" w:hAnsi="宋体" w:eastAsia="宋体" w:cs="宋体"/>
          <w:spacing w:val="13"/>
          <w:sz w:val="20"/>
          <w:szCs w:val="20"/>
        </w:rPr>
        <w:t>。</w:t>
      </w:r>
      <w:r>
        <w:rPr>
          <w:rFonts w:ascii="宋体" w:hAnsi="宋体" w:eastAsia="宋体" w:cs="宋体"/>
          <w:sz w:val="20"/>
          <w:szCs w:val="20"/>
        </w:rPr>
        <w:t>WHO</w:t>
      </w:r>
      <w:r>
        <w:rPr>
          <w:rFonts w:ascii="宋体" w:hAnsi="宋体" w:eastAsia="宋体" w:cs="宋体"/>
          <w:spacing w:val="13"/>
          <w:sz w:val="20"/>
          <w:szCs w:val="20"/>
        </w:rPr>
        <w:t xml:space="preserve">   发布的2019年全球十大死亡原因中，</w:t>
      </w:r>
      <w:r>
        <w:rPr>
          <w:rFonts w:ascii="宋体" w:hAnsi="宋体" w:eastAsia="宋体" w:cs="宋体"/>
          <w:sz w:val="20"/>
          <w:szCs w:val="20"/>
        </w:rPr>
        <w:t>COPD</w:t>
      </w:r>
      <w:r>
        <w:rPr>
          <w:rFonts w:ascii="宋体" w:hAnsi="宋体" w:eastAsia="宋体" w:cs="宋体"/>
          <w:spacing w:val="77"/>
          <w:sz w:val="20"/>
          <w:szCs w:val="20"/>
        </w:rPr>
        <w:t xml:space="preserve"> </w:t>
      </w:r>
      <w:r>
        <w:rPr>
          <w:rFonts w:ascii="宋体" w:hAnsi="宋体" w:eastAsia="宋体" w:cs="宋体"/>
          <w:spacing w:val="13"/>
          <w:sz w:val="20"/>
          <w:szCs w:val="20"/>
        </w:rPr>
        <w:t>仅次于缺血</w:t>
      </w:r>
      <w:r>
        <w:rPr>
          <w:rFonts w:ascii="宋体" w:hAnsi="宋体" w:eastAsia="宋体" w:cs="宋体"/>
          <w:spacing w:val="12"/>
          <w:sz w:val="20"/>
          <w:szCs w:val="20"/>
        </w:rPr>
        <w:t>性心脏病</w:t>
      </w:r>
      <w:r>
        <w:rPr>
          <w:rFonts w:ascii="宋体" w:hAnsi="宋体" w:eastAsia="宋体" w:cs="宋体"/>
          <w:sz w:val="20"/>
          <w:szCs w:val="20"/>
        </w:rPr>
        <w:t xml:space="preserve"> </w:t>
      </w:r>
      <w:r>
        <w:rPr>
          <w:rFonts w:ascii="宋体" w:hAnsi="宋体" w:eastAsia="宋体" w:cs="宋体"/>
          <w:spacing w:val="6"/>
          <w:sz w:val="20"/>
          <w:szCs w:val="20"/>
        </w:rPr>
        <w:t>和脑卒中，排名第三位。</w:t>
      </w:r>
      <w:r>
        <w:rPr>
          <w:rFonts w:ascii="Times New Roman" w:hAnsi="Times New Roman" w:eastAsia="Times New Roman" w:cs="Times New Roman"/>
          <w:sz w:val="20"/>
          <w:szCs w:val="20"/>
        </w:rPr>
        <w:t>WHO</w:t>
      </w:r>
      <w:r>
        <w:rPr>
          <w:rFonts w:ascii="Times New Roman" w:hAnsi="Times New Roman" w:eastAsia="Times New Roman" w:cs="Times New Roman"/>
          <w:spacing w:val="26"/>
          <w:w w:val="101"/>
          <w:sz w:val="20"/>
          <w:szCs w:val="20"/>
        </w:rPr>
        <w:t xml:space="preserve"> </w:t>
      </w:r>
      <w:r>
        <w:rPr>
          <w:rFonts w:ascii="宋体" w:hAnsi="宋体" w:eastAsia="宋体" w:cs="宋体"/>
          <w:spacing w:val="6"/>
          <w:sz w:val="20"/>
          <w:szCs w:val="20"/>
        </w:rPr>
        <w:t>关于病死率和死因的最新预测数字显示，随着发展中国家吸烟率的</w:t>
      </w:r>
      <w:r>
        <w:rPr>
          <w:rFonts w:ascii="宋体" w:hAnsi="宋体" w:eastAsia="宋体" w:cs="宋体"/>
          <w:sz w:val="20"/>
          <w:szCs w:val="20"/>
        </w:rPr>
        <w:t xml:space="preserve"> </w:t>
      </w:r>
      <w:r>
        <w:rPr>
          <w:rFonts w:ascii="宋体" w:hAnsi="宋体" w:eastAsia="宋体" w:cs="宋体"/>
          <w:spacing w:val="9"/>
          <w:sz w:val="20"/>
          <w:szCs w:val="20"/>
        </w:rPr>
        <w:t>升高和高收入国家人口老龄化加剧，</w:t>
      </w:r>
      <w:r>
        <w:rPr>
          <w:rFonts w:ascii="宋体" w:hAnsi="宋体" w:eastAsia="宋体" w:cs="宋体"/>
          <w:sz w:val="20"/>
          <w:szCs w:val="20"/>
        </w:rPr>
        <w:t>COPD</w:t>
      </w:r>
      <w:r>
        <w:rPr>
          <w:rFonts w:ascii="宋体" w:hAnsi="宋体" w:eastAsia="宋体" w:cs="宋体"/>
          <w:spacing w:val="109"/>
          <w:sz w:val="20"/>
          <w:szCs w:val="20"/>
        </w:rPr>
        <w:t xml:space="preserve"> </w:t>
      </w:r>
      <w:r>
        <w:rPr>
          <w:rFonts w:ascii="宋体" w:hAnsi="宋体" w:eastAsia="宋体" w:cs="宋体"/>
          <w:spacing w:val="9"/>
          <w:sz w:val="20"/>
          <w:szCs w:val="20"/>
        </w:rPr>
        <w:t>的患病率在未来40年将继续上升，预计至2060年每年</w:t>
      </w:r>
      <w:r>
        <w:rPr>
          <w:rFonts w:ascii="宋体" w:hAnsi="宋体" w:eastAsia="宋体" w:cs="宋体"/>
          <w:sz w:val="20"/>
          <w:szCs w:val="20"/>
        </w:rPr>
        <w:t xml:space="preserve"> </w:t>
      </w:r>
      <w:r>
        <w:rPr>
          <w:rFonts w:ascii="宋体" w:hAnsi="宋体" w:eastAsia="宋体" w:cs="宋体"/>
          <w:spacing w:val="8"/>
          <w:sz w:val="20"/>
          <w:szCs w:val="20"/>
        </w:rPr>
        <w:t>死</w:t>
      </w:r>
      <w:r>
        <w:rPr>
          <w:rFonts w:ascii="宋体" w:hAnsi="宋体" w:eastAsia="宋体" w:cs="宋体"/>
          <w:spacing w:val="-25"/>
          <w:sz w:val="20"/>
          <w:szCs w:val="20"/>
        </w:rPr>
        <w:t xml:space="preserve"> </w:t>
      </w:r>
      <w:r>
        <w:rPr>
          <w:rFonts w:ascii="宋体" w:hAnsi="宋体" w:eastAsia="宋体" w:cs="宋体"/>
          <w:spacing w:val="8"/>
          <w:sz w:val="20"/>
          <w:szCs w:val="20"/>
        </w:rPr>
        <w:t>于</w:t>
      </w:r>
      <w:r>
        <w:rPr>
          <w:rFonts w:ascii="Times New Roman" w:hAnsi="Times New Roman" w:eastAsia="Times New Roman" w:cs="Times New Roman"/>
          <w:sz w:val="20"/>
          <w:szCs w:val="20"/>
        </w:rPr>
        <w:t>COPD</w:t>
      </w:r>
      <w:r>
        <w:rPr>
          <w:rFonts w:ascii="宋体" w:hAnsi="宋体" w:eastAsia="宋体" w:cs="宋体"/>
          <w:spacing w:val="8"/>
          <w:sz w:val="20"/>
          <w:szCs w:val="20"/>
        </w:rPr>
        <w:t>及其相关疾病的患者数超过540万人。</w:t>
      </w:r>
    </w:p>
    <w:p w14:paraId="4E1F5DE5">
      <w:pPr>
        <w:pStyle w:val="2"/>
        <w:spacing w:before="172" w:line="276" w:lineRule="auto"/>
        <w:ind w:left="619" w:firstLine="430"/>
        <w:rPr>
          <w:rFonts w:ascii="宋体" w:hAnsi="宋体" w:eastAsia="宋体" w:cs="宋体"/>
          <w:sz w:val="20"/>
          <w:szCs w:val="20"/>
        </w:rPr>
      </w:pPr>
      <w:r>
        <w:rPr>
          <w:rFonts w:ascii="宋体" w:hAnsi="宋体" w:eastAsia="宋体" w:cs="宋体"/>
          <w:spacing w:val="11"/>
          <w:sz w:val="20"/>
          <w:szCs w:val="20"/>
        </w:rPr>
        <w:t xml:space="preserve">2. </w:t>
      </w:r>
      <w:r>
        <w:rPr>
          <w:spacing w:val="11"/>
          <w:sz w:val="20"/>
          <w:szCs w:val="20"/>
        </w:rPr>
        <w:t>时间分布</w:t>
      </w:r>
      <w:r>
        <w:rPr>
          <w:spacing w:val="41"/>
          <w:sz w:val="20"/>
          <w:szCs w:val="20"/>
        </w:rPr>
        <w:t xml:space="preserve"> </w:t>
      </w:r>
      <w:r>
        <w:rPr>
          <w:rFonts w:ascii="宋体" w:hAnsi="宋体" w:eastAsia="宋体" w:cs="宋体"/>
          <w:spacing w:val="11"/>
          <w:sz w:val="20"/>
          <w:szCs w:val="20"/>
        </w:rPr>
        <w:t>全</w:t>
      </w:r>
      <w:r>
        <w:rPr>
          <w:rFonts w:ascii="宋体" w:hAnsi="宋体" w:eastAsia="宋体" w:cs="宋体"/>
          <w:spacing w:val="-36"/>
          <w:sz w:val="20"/>
          <w:szCs w:val="20"/>
        </w:rPr>
        <w:t xml:space="preserve"> </w:t>
      </w:r>
      <w:r>
        <w:rPr>
          <w:rFonts w:ascii="宋体" w:hAnsi="宋体" w:eastAsia="宋体" w:cs="宋体"/>
          <w:spacing w:val="11"/>
          <w:sz w:val="20"/>
          <w:szCs w:val="20"/>
        </w:rPr>
        <w:t>球</w:t>
      </w:r>
      <w:r>
        <w:rPr>
          <w:rFonts w:ascii="宋体" w:hAnsi="宋体" w:eastAsia="宋体" w:cs="宋体"/>
          <w:sz w:val="20"/>
          <w:szCs w:val="20"/>
        </w:rPr>
        <w:t>COPD</w:t>
      </w:r>
      <w:r>
        <w:rPr>
          <w:rFonts w:ascii="宋体" w:hAnsi="宋体" w:eastAsia="宋体" w:cs="宋体"/>
          <w:spacing w:val="97"/>
          <w:sz w:val="20"/>
          <w:szCs w:val="20"/>
        </w:rPr>
        <w:t xml:space="preserve"> </w:t>
      </w:r>
      <w:r>
        <w:rPr>
          <w:rFonts w:ascii="宋体" w:hAnsi="宋体" w:eastAsia="宋体" w:cs="宋体"/>
          <w:spacing w:val="11"/>
          <w:sz w:val="20"/>
          <w:szCs w:val="20"/>
        </w:rPr>
        <w:t>患病人数整体呈上升趋势，2019年</w:t>
      </w:r>
      <w:r>
        <w:rPr>
          <w:rFonts w:ascii="宋体" w:hAnsi="宋体" w:eastAsia="宋体" w:cs="宋体"/>
          <w:sz w:val="20"/>
          <w:szCs w:val="20"/>
        </w:rPr>
        <w:t>GBD</w:t>
      </w:r>
      <w:r>
        <w:rPr>
          <w:rFonts w:ascii="宋体" w:hAnsi="宋体" w:eastAsia="宋体" w:cs="宋体"/>
          <w:spacing w:val="75"/>
          <w:sz w:val="20"/>
          <w:szCs w:val="20"/>
        </w:rPr>
        <w:t xml:space="preserve"> </w:t>
      </w:r>
      <w:r>
        <w:rPr>
          <w:rFonts w:ascii="宋体" w:hAnsi="宋体" w:eastAsia="宋体" w:cs="宋体"/>
          <w:spacing w:val="11"/>
          <w:sz w:val="20"/>
          <w:szCs w:val="20"/>
        </w:rPr>
        <w:t>数据显示患病人数</w:t>
      </w:r>
      <w:r>
        <w:rPr>
          <w:rFonts w:ascii="宋体" w:hAnsi="宋体" w:eastAsia="宋体" w:cs="宋体"/>
          <w:spacing w:val="10"/>
          <w:sz w:val="20"/>
          <w:szCs w:val="20"/>
        </w:rPr>
        <w:t>为2.12</w:t>
      </w:r>
      <w:r>
        <w:rPr>
          <w:rFonts w:ascii="宋体" w:hAnsi="宋体" w:eastAsia="宋体" w:cs="宋体"/>
          <w:sz w:val="20"/>
          <w:szCs w:val="20"/>
        </w:rPr>
        <w:t xml:space="preserve"> </w:t>
      </w:r>
      <w:r>
        <w:rPr>
          <w:rFonts w:ascii="宋体" w:hAnsi="宋体" w:eastAsia="宋体" w:cs="宋体"/>
          <w:spacing w:val="4"/>
          <w:sz w:val="20"/>
          <w:szCs w:val="20"/>
        </w:rPr>
        <w:t>亿，比1990年多0.97亿人。</w:t>
      </w:r>
    </w:p>
    <w:p w14:paraId="291ABD77">
      <w:pPr>
        <w:spacing w:before="152" w:line="219" w:lineRule="auto"/>
        <w:ind w:right="18"/>
        <w:jc w:val="right"/>
        <w:rPr>
          <w:rFonts w:ascii="宋体" w:hAnsi="宋体" w:eastAsia="宋体" w:cs="宋体"/>
          <w:sz w:val="20"/>
          <w:szCs w:val="20"/>
        </w:rPr>
      </w:pPr>
      <w:r>
        <w:rPr>
          <w:rFonts w:ascii="宋体" w:hAnsi="宋体" w:eastAsia="宋体" w:cs="宋体"/>
          <w:spacing w:val="13"/>
          <w:sz w:val="20"/>
          <w:szCs w:val="20"/>
        </w:rPr>
        <w:t>3.</w:t>
      </w:r>
      <w:r>
        <w:rPr>
          <w:rFonts w:ascii="宋体" w:hAnsi="宋体" w:eastAsia="宋体" w:cs="宋体"/>
          <w:spacing w:val="-19"/>
          <w:sz w:val="20"/>
          <w:szCs w:val="20"/>
        </w:rPr>
        <w:t xml:space="preserve"> </w:t>
      </w:r>
      <w:r>
        <w:rPr>
          <w:rFonts w:ascii="宋体" w:hAnsi="宋体" w:eastAsia="宋体" w:cs="宋体"/>
          <w:spacing w:val="13"/>
          <w:sz w:val="20"/>
          <w:szCs w:val="20"/>
        </w:rPr>
        <w:t>地区分布不同地区之间的</w:t>
      </w:r>
      <w:r>
        <w:rPr>
          <w:rFonts w:ascii="宋体" w:hAnsi="宋体" w:eastAsia="宋体" w:cs="宋体"/>
          <w:sz w:val="20"/>
          <w:szCs w:val="20"/>
        </w:rPr>
        <w:t>COPD</w:t>
      </w:r>
      <w:r>
        <w:rPr>
          <w:rFonts w:ascii="宋体" w:hAnsi="宋体" w:eastAsia="宋体" w:cs="宋体"/>
          <w:spacing w:val="77"/>
          <w:sz w:val="20"/>
          <w:szCs w:val="20"/>
        </w:rPr>
        <w:t xml:space="preserve"> </w:t>
      </w:r>
      <w:r>
        <w:rPr>
          <w:rFonts w:ascii="宋体" w:hAnsi="宋体" w:eastAsia="宋体" w:cs="宋体"/>
          <w:spacing w:val="13"/>
          <w:sz w:val="20"/>
          <w:szCs w:val="20"/>
        </w:rPr>
        <w:t>患病率存在一定差异。2019年的</w:t>
      </w:r>
      <w:r>
        <w:rPr>
          <w:rFonts w:ascii="宋体" w:hAnsi="宋体" w:eastAsia="宋体" w:cs="宋体"/>
          <w:spacing w:val="12"/>
          <w:sz w:val="20"/>
          <w:szCs w:val="20"/>
        </w:rPr>
        <w:t>一篇</w:t>
      </w:r>
      <w:r>
        <w:rPr>
          <w:rFonts w:ascii="宋体" w:hAnsi="宋体" w:eastAsia="宋体" w:cs="宋体"/>
          <w:sz w:val="20"/>
          <w:szCs w:val="20"/>
        </w:rPr>
        <w:t>Meta</w:t>
      </w:r>
      <w:r>
        <w:rPr>
          <w:rFonts w:ascii="宋体" w:hAnsi="宋体" w:eastAsia="宋体" w:cs="宋体"/>
          <w:spacing w:val="-39"/>
          <w:sz w:val="20"/>
          <w:szCs w:val="20"/>
        </w:rPr>
        <w:t xml:space="preserve"> </w:t>
      </w:r>
      <w:r>
        <w:rPr>
          <w:rFonts w:ascii="宋体" w:hAnsi="宋体" w:eastAsia="宋体" w:cs="宋体"/>
          <w:spacing w:val="12"/>
          <w:sz w:val="20"/>
          <w:szCs w:val="20"/>
        </w:rPr>
        <w:t>分析显示，非</w:t>
      </w:r>
    </w:p>
    <w:p w14:paraId="5508FC18">
      <w:pPr>
        <w:spacing w:line="219" w:lineRule="auto"/>
        <w:rPr>
          <w:rFonts w:ascii="宋体" w:hAnsi="宋体" w:eastAsia="宋体" w:cs="宋体"/>
          <w:sz w:val="20"/>
          <w:szCs w:val="20"/>
        </w:rPr>
        <w:sectPr>
          <w:footerReference r:id="rId245" w:type="default"/>
          <w:pgSz w:w="11900" w:h="16820"/>
          <w:pgMar w:top="400" w:right="1557" w:bottom="809" w:left="890" w:header="0" w:footer="629" w:gutter="0"/>
          <w:cols w:space="720" w:num="1"/>
        </w:sectPr>
      </w:pPr>
    </w:p>
    <w:p w14:paraId="2B5A211E">
      <w:pPr>
        <w:pStyle w:val="2"/>
        <w:spacing w:before="216" w:line="221" w:lineRule="auto"/>
        <w:ind w:left="6859"/>
        <w:rPr>
          <w:sz w:val="21"/>
          <w:szCs w:val="21"/>
        </w:rPr>
      </w:pPr>
      <w:bookmarkStart w:id="382" w:name="bookmark528"/>
      <w:bookmarkEnd w:id="382"/>
      <w:r>
        <w:rPr>
          <w:spacing w:val="-22"/>
          <w:w w:val="95"/>
          <w:sz w:val="21"/>
          <w:szCs w:val="21"/>
        </w:rPr>
        <w:t>第十四章 慢性病流行病学</w:t>
      </w:r>
    </w:p>
    <w:p w14:paraId="2F089A7A">
      <w:pPr>
        <w:spacing w:line="258" w:lineRule="auto"/>
        <w:rPr>
          <w:rFonts w:ascii="Arial"/>
          <w:sz w:val="21"/>
        </w:rPr>
      </w:pPr>
    </w:p>
    <w:p w14:paraId="2F8B0721">
      <w:pPr>
        <w:spacing w:line="258" w:lineRule="auto"/>
        <w:rPr>
          <w:rFonts w:ascii="Arial"/>
          <w:sz w:val="21"/>
        </w:rPr>
      </w:pPr>
    </w:p>
    <w:p w14:paraId="1FA139F1">
      <w:pPr>
        <w:spacing w:before="68" w:line="338" w:lineRule="auto"/>
        <w:ind w:right="655"/>
        <w:rPr>
          <w:rFonts w:ascii="宋体" w:hAnsi="宋体" w:eastAsia="宋体" w:cs="宋体"/>
          <w:sz w:val="21"/>
          <w:szCs w:val="21"/>
        </w:rPr>
      </w:pPr>
      <w:r>
        <w:rPr>
          <w:rFonts w:ascii="宋体" w:hAnsi="宋体" w:eastAsia="宋体" w:cs="宋体"/>
          <w:sz w:val="21"/>
          <w:szCs w:val="21"/>
        </w:rPr>
        <w:t>洲地区患病率最高(13.9%),其次是亚洲地区(13.5%)、美洲地区(13.2%)和欧洲地区(12.4%),患病</w:t>
      </w:r>
      <w:r>
        <w:rPr>
          <w:rFonts w:ascii="宋体" w:hAnsi="宋体" w:eastAsia="宋体" w:cs="宋体"/>
          <w:spacing w:val="14"/>
          <w:sz w:val="21"/>
          <w:szCs w:val="21"/>
        </w:rPr>
        <w:t xml:space="preserve"> </w:t>
      </w:r>
      <w:r>
        <w:rPr>
          <w:rFonts w:ascii="宋体" w:hAnsi="宋体" w:eastAsia="宋体" w:cs="宋体"/>
          <w:spacing w:val="1"/>
          <w:sz w:val="21"/>
          <w:szCs w:val="21"/>
        </w:rPr>
        <w:t>率最低的为大洋洲地区(11.6%)。</w:t>
      </w:r>
    </w:p>
    <w:p w14:paraId="6F61D0CB">
      <w:pPr>
        <w:spacing w:before="3" w:line="325" w:lineRule="auto"/>
        <w:ind w:right="545" w:firstLine="399"/>
        <w:jc w:val="both"/>
        <w:rPr>
          <w:rFonts w:ascii="宋体" w:hAnsi="宋体" w:eastAsia="宋体" w:cs="宋体"/>
          <w:sz w:val="21"/>
          <w:szCs w:val="21"/>
        </w:rPr>
      </w:pPr>
      <w:r>
        <w:rPr>
          <w:rFonts w:ascii="宋体" w:hAnsi="宋体" w:eastAsia="宋体" w:cs="宋体"/>
          <w:spacing w:val="5"/>
          <w:sz w:val="21"/>
          <w:szCs w:val="21"/>
        </w:rPr>
        <w:t>2018年，中国成人肺部健康研究显示，我国20岁及以上成人</w:t>
      </w:r>
      <w:r>
        <w:rPr>
          <w:rFonts w:ascii="宋体" w:hAnsi="宋体" w:eastAsia="宋体" w:cs="宋体"/>
          <w:sz w:val="21"/>
          <w:szCs w:val="21"/>
        </w:rPr>
        <w:t>COPD</w:t>
      </w:r>
      <w:r>
        <w:rPr>
          <w:rFonts w:ascii="宋体" w:hAnsi="宋体" w:eastAsia="宋体" w:cs="宋体"/>
          <w:spacing w:val="72"/>
          <w:sz w:val="21"/>
          <w:szCs w:val="21"/>
        </w:rPr>
        <w:t xml:space="preserve"> </w:t>
      </w:r>
      <w:r>
        <w:rPr>
          <w:rFonts w:ascii="宋体" w:hAnsi="宋体" w:eastAsia="宋体" w:cs="宋体"/>
          <w:spacing w:val="5"/>
          <w:sz w:val="21"/>
          <w:szCs w:val="21"/>
        </w:rPr>
        <w:t>患</w:t>
      </w:r>
      <w:r>
        <w:rPr>
          <w:rFonts w:ascii="宋体" w:hAnsi="宋体" w:eastAsia="宋体" w:cs="宋体"/>
          <w:spacing w:val="4"/>
          <w:sz w:val="21"/>
          <w:szCs w:val="21"/>
        </w:rPr>
        <w:t>病率为8.6%,估算我国</w:t>
      </w:r>
      <w:r>
        <w:rPr>
          <w:rFonts w:ascii="宋体" w:hAnsi="宋体" w:eastAsia="宋体" w:cs="宋体"/>
          <w:sz w:val="21"/>
          <w:szCs w:val="21"/>
        </w:rPr>
        <w:t xml:space="preserve"> </w:t>
      </w:r>
      <w:r>
        <w:rPr>
          <w:rFonts w:ascii="Times New Roman" w:hAnsi="Times New Roman" w:eastAsia="Times New Roman" w:cs="Times New Roman"/>
          <w:spacing w:val="-3"/>
          <w:sz w:val="21"/>
          <w:szCs w:val="21"/>
        </w:rPr>
        <w:t>COPD</w:t>
      </w:r>
      <w:r>
        <w:rPr>
          <w:rFonts w:ascii="宋体" w:hAnsi="宋体" w:eastAsia="宋体" w:cs="宋体"/>
          <w:spacing w:val="-3"/>
          <w:sz w:val="21"/>
          <w:szCs w:val="21"/>
        </w:rPr>
        <w:t>患者数近1亿，提示我国</w:t>
      </w:r>
      <w:r>
        <w:rPr>
          <w:rFonts w:ascii="Times New Roman" w:hAnsi="Times New Roman" w:eastAsia="Times New Roman" w:cs="Times New Roman"/>
          <w:spacing w:val="-3"/>
          <w:sz w:val="21"/>
          <w:szCs w:val="21"/>
        </w:rPr>
        <w:t>COPD</w:t>
      </w:r>
      <w:r>
        <w:rPr>
          <w:rFonts w:ascii="宋体" w:hAnsi="宋体" w:eastAsia="宋体" w:cs="宋体"/>
          <w:spacing w:val="-3"/>
          <w:sz w:val="21"/>
          <w:szCs w:val="21"/>
        </w:rPr>
        <w:t>发病仍然呈现高态势，且农村患病率</w:t>
      </w:r>
      <w:r>
        <w:rPr>
          <w:rFonts w:ascii="宋体" w:hAnsi="宋体" w:eastAsia="宋体" w:cs="宋体"/>
          <w:spacing w:val="-4"/>
          <w:sz w:val="21"/>
          <w:szCs w:val="21"/>
        </w:rPr>
        <w:t>显著高于城市。此外，我</w:t>
      </w:r>
      <w:r>
        <w:rPr>
          <w:rFonts w:ascii="宋体" w:hAnsi="宋体" w:eastAsia="宋体" w:cs="宋体"/>
          <w:sz w:val="21"/>
          <w:szCs w:val="21"/>
        </w:rPr>
        <w:t xml:space="preserve">  国不同地区之间COPD</w:t>
      </w:r>
      <w:r>
        <w:rPr>
          <w:rFonts w:ascii="宋体" w:hAnsi="宋体" w:eastAsia="宋体" w:cs="宋体"/>
          <w:spacing w:val="95"/>
          <w:sz w:val="21"/>
          <w:szCs w:val="21"/>
        </w:rPr>
        <w:t xml:space="preserve"> </w:t>
      </w:r>
      <w:r>
        <w:rPr>
          <w:rFonts w:ascii="宋体" w:hAnsi="宋体" w:eastAsia="宋体" w:cs="宋体"/>
          <w:sz w:val="21"/>
          <w:szCs w:val="21"/>
        </w:rPr>
        <w:t xml:space="preserve">患病率也存在显著性差异。一项2014—2015年的横断面调查结果显示，我  </w:t>
      </w:r>
      <w:r>
        <w:rPr>
          <w:rFonts w:ascii="宋体" w:hAnsi="宋体" w:eastAsia="宋体" w:cs="宋体"/>
          <w:spacing w:val="1"/>
          <w:sz w:val="21"/>
          <w:szCs w:val="21"/>
        </w:rPr>
        <w:t>国西南地区患病率最高(20.2%),其</w:t>
      </w:r>
      <w:r>
        <w:rPr>
          <w:rFonts w:ascii="宋体" w:hAnsi="宋体" w:eastAsia="宋体" w:cs="宋体"/>
          <w:sz w:val="21"/>
          <w:szCs w:val="21"/>
        </w:rPr>
        <w:t xml:space="preserve">次是东北地区(15.6%)、华北地区(13.7%)、西北地区(13.6%)、 </w:t>
      </w:r>
      <w:r>
        <w:rPr>
          <w:rFonts w:ascii="宋体" w:hAnsi="宋体" w:eastAsia="宋体" w:cs="宋体"/>
          <w:spacing w:val="2"/>
          <w:sz w:val="21"/>
          <w:szCs w:val="21"/>
        </w:rPr>
        <w:t>华东地区(12.1%)和华南地区(11.0%),华中地区患病率最低(10</w:t>
      </w:r>
      <w:r>
        <w:rPr>
          <w:rFonts w:ascii="宋体" w:hAnsi="宋体" w:eastAsia="宋体" w:cs="宋体"/>
          <w:spacing w:val="1"/>
          <w:sz w:val="21"/>
          <w:szCs w:val="21"/>
        </w:rPr>
        <w:t>.2%)。</w:t>
      </w:r>
    </w:p>
    <w:p w14:paraId="40512B2F">
      <w:pPr>
        <w:pStyle w:val="2"/>
        <w:spacing w:before="11" w:line="324" w:lineRule="auto"/>
        <w:ind w:right="622" w:firstLine="399"/>
        <w:jc w:val="both"/>
        <w:rPr>
          <w:rFonts w:ascii="宋体" w:hAnsi="宋体" w:eastAsia="宋体" w:cs="宋体"/>
          <w:sz w:val="21"/>
          <w:szCs w:val="21"/>
        </w:rPr>
      </w:pPr>
      <w:r>
        <w:rPr>
          <w:rFonts w:ascii="宋体" w:hAnsi="宋体" w:eastAsia="宋体" w:cs="宋体"/>
          <w:spacing w:val="-5"/>
          <w:sz w:val="21"/>
          <w:szCs w:val="21"/>
        </w:rPr>
        <w:t xml:space="preserve">4. </w:t>
      </w:r>
      <w:r>
        <w:rPr>
          <w:spacing w:val="-5"/>
          <w:sz w:val="21"/>
          <w:szCs w:val="21"/>
        </w:rPr>
        <w:t xml:space="preserve">人群分布  </w:t>
      </w:r>
      <w:r>
        <w:rPr>
          <w:rFonts w:ascii="Times New Roman" w:hAnsi="Times New Roman" w:eastAsia="Times New Roman" w:cs="Times New Roman"/>
          <w:spacing w:val="-5"/>
          <w:sz w:val="21"/>
          <w:szCs w:val="21"/>
        </w:rPr>
        <w:t>C</w:t>
      </w:r>
      <w:r>
        <w:rPr>
          <w:rFonts w:ascii="宋体" w:hAnsi="宋体" w:eastAsia="宋体" w:cs="宋体"/>
          <w:spacing w:val="-5"/>
          <w:sz w:val="21"/>
          <w:szCs w:val="21"/>
        </w:rPr>
        <w:t>OPD</w:t>
      </w:r>
      <w:r>
        <w:rPr>
          <w:rFonts w:ascii="宋体" w:hAnsi="宋体" w:eastAsia="宋体" w:cs="宋体"/>
          <w:spacing w:val="46"/>
          <w:sz w:val="21"/>
          <w:szCs w:val="21"/>
        </w:rPr>
        <w:t xml:space="preserve"> </w:t>
      </w:r>
      <w:r>
        <w:rPr>
          <w:rFonts w:ascii="宋体" w:hAnsi="宋体" w:eastAsia="宋体" w:cs="宋体"/>
          <w:spacing w:val="-5"/>
          <w:sz w:val="21"/>
          <w:szCs w:val="21"/>
        </w:rPr>
        <w:t>患病率在不同人群之间存在差异，男性患病率高于女性，老年人高于年轻</w:t>
      </w:r>
      <w:r>
        <w:rPr>
          <w:rFonts w:ascii="宋体" w:hAnsi="宋体" w:eastAsia="宋体" w:cs="宋体"/>
          <w:sz w:val="21"/>
          <w:szCs w:val="21"/>
        </w:rPr>
        <w:t xml:space="preserve"> </w:t>
      </w:r>
      <w:r>
        <w:rPr>
          <w:rFonts w:ascii="宋体" w:hAnsi="宋体" w:eastAsia="宋体" w:cs="宋体"/>
          <w:spacing w:val="4"/>
          <w:sz w:val="21"/>
          <w:szCs w:val="21"/>
        </w:rPr>
        <w:t>人。中国成人肺部健康研究报告，我国男性</w:t>
      </w:r>
      <w:r>
        <w:rPr>
          <w:rFonts w:ascii="宋体" w:hAnsi="宋体" w:eastAsia="宋体" w:cs="宋体"/>
          <w:sz w:val="21"/>
          <w:szCs w:val="21"/>
        </w:rPr>
        <w:t>COPD</w:t>
      </w:r>
      <w:r>
        <w:rPr>
          <w:rFonts w:ascii="宋体" w:hAnsi="宋体" w:eastAsia="宋体" w:cs="宋体"/>
          <w:spacing w:val="70"/>
          <w:sz w:val="21"/>
          <w:szCs w:val="21"/>
        </w:rPr>
        <w:t xml:space="preserve"> </w:t>
      </w:r>
      <w:r>
        <w:rPr>
          <w:rFonts w:ascii="宋体" w:hAnsi="宋体" w:eastAsia="宋体" w:cs="宋体"/>
          <w:spacing w:val="4"/>
          <w:sz w:val="21"/>
          <w:szCs w:val="21"/>
        </w:rPr>
        <w:t>患病率为11.9%,女性为5.4%;患病率随年龄增</w:t>
      </w:r>
      <w:r>
        <w:rPr>
          <w:rFonts w:ascii="宋体" w:hAnsi="宋体" w:eastAsia="宋体" w:cs="宋体"/>
          <w:sz w:val="21"/>
          <w:szCs w:val="21"/>
        </w:rPr>
        <w:t xml:space="preserve"> 长而增加，在一般人群中，20～39岁个体的患病率为2.1%,</w:t>
      </w:r>
      <w:r>
        <w:rPr>
          <w:rFonts w:ascii="宋体" w:hAnsi="宋体" w:eastAsia="宋体" w:cs="宋体"/>
          <w:spacing w:val="-1"/>
          <w:sz w:val="21"/>
          <w:szCs w:val="21"/>
        </w:rPr>
        <w:t>40岁及以上个体的患病率为13.7%。</w:t>
      </w:r>
    </w:p>
    <w:p w14:paraId="3B754554">
      <w:pPr>
        <w:pStyle w:val="2"/>
        <w:spacing w:before="15" w:line="222" w:lineRule="auto"/>
        <w:ind w:left="399"/>
        <w:rPr>
          <w:sz w:val="21"/>
          <w:szCs w:val="21"/>
        </w:rPr>
      </w:pPr>
      <w:r>
        <w:rPr>
          <w:spacing w:val="29"/>
          <w:sz w:val="21"/>
          <w:szCs w:val="21"/>
        </w:rPr>
        <w:t>(三)危险因素</w:t>
      </w:r>
    </w:p>
    <w:p w14:paraId="79643097">
      <w:pPr>
        <w:spacing w:before="107" w:line="219" w:lineRule="auto"/>
        <w:ind w:left="399"/>
        <w:rPr>
          <w:rFonts w:ascii="宋体" w:hAnsi="宋体" w:eastAsia="宋体" w:cs="宋体"/>
          <w:sz w:val="21"/>
          <w:szCs w:val="21"/>
        </w:rPr>
      </w:pPr>
      <w:r>
        <w:rPr>
          <w:rFonts w:ascii="宋体" w:hAnsi="宋体" w:eastAsia="宋体" w:cs="宋体"/>
          <w:spacing w:val="-1"/>
          <w:sz w:val="21"/>
          <w:szCs w:val="21"/>
        </w:rPr>
        <w:t>引起COPD</w:t>
      </w:r>
      <w:r>
        <w:rPr>
          <w:rFonts w:ascii="宋体" w:hAnsi="宋体" w:eastAsia="宋体" w:cs="宋体"/>
          <w:spacing w:val="67"/>
          <w:sz w:val="21"/>
          <w:szCs w:val="21"/>
        </w:rPr>
        <w:t xml:space="preserve"> </w:t>
      </w:r>
      <w:r>
        <w:rPr>
          <w:rFonts w:ascii="宋体" w:hAnsi="宋体" w:eastAsia="宋体" w:cs="宋体"/>
          <w:spacing w:val="-1"/>
          <w:sz w:val="21"/>
          <w:szCs w:val="21"/>
        </w:rPr>
        <w:t>的危险因素主要包括个体易感因素和环境因素。</w:t>
      </w:r>
    </w:p>
    <w:p w14:paraId="24877EB8">
      <w:pPr>
        <w:pStyle w:val="2"/>
        <w:spacing w:before="121" w:line="223" w:lineRule="auto"/>
        <w:ind w:left="399"/>
        <w:rPr>
          <w:sz w:val="21"/>
          <w:szCs w:val="21"/>
        </w:rPr>
      </w:pPr>
      <w:r>
        <w:rPr>
          <w:rFonts w:ascii="宋体" w:hAnsi="宋体" w:eastAsia="宋体" w:cs="宋体"/>
          <w:spacing w:val="6"/>
          <w:sz w:val="21"/>
          <w:szCs w:val="21"/>
        </w:rPr>
        <w:t>1.</w:t>
      </w:r>
      <w:r>
        <w:rPr>
          <w:rFonts w:ascii="宋体" w:hAnsi="宋体" w:eastAsia="宋体" w:cs="宋体"/>
          <w:spacing w:val="-18"/>
          <w:sz w:val="21"/>
          <w:szCs w:val="21"/>
        </w:rPr>
        <w:t xml:space="preserve"> </w:t>
      </w:r>
      <w:r>
        <w:rPr>
          <w:spacing w:val="6"/>
          <w:sz w:val="21"/>
          <w:szCs w:val="21"/>
        </w:rPr>
        <w:t>个体因素</w:t>
      </w:r>
    </w:p>
    <w:p w14:paraId="2D63609B">
      <w:pPr>
        <w:spacing w:before="105" w:line="277" w:lineRule="auto"/>
        <w:ind w:right="633" w:firstLine="399"/>
        <w:rPr>
          <w:rFonts w:ascii="宋体" w:hAnsi="宋体" w:eastAsia="宋体" w:cs="宋体"/>
          <w:sz w:val="21"/>
          <w:szCs w:val="21"/>
        </w:rPr>
      </w:pPr>
      <w:r>
        <w:rPr>
          <w:rFonts w:ascii="宋体" w:hAnsi="宋体" w:eastAsia="宋体" w:cs="宋体"/>
          <w:spacing w:val="11"/>
          <w:sz w:val="21"/>
          <w:szCs w:val="21"/>
        </w:rPr>
        <w:t>(1)遗传因素：</w:t>
      </w:r>
      <w:r>
        <w:rPr>
          <w:rFonts w:ascii="Times New Roman" w:hAnsi="Times New Roman" w:eastAsia="Times New Roman" w:cs="Times New Roman"/>
          <w:sz w:val="21"/>
          <w:szCs w:val="21"/>
        </w:rPr>
        <w:t>COPD</w:t>
      </w:r>
      <w:r>
        <w:rPr>
          <w:rFonts w:ascii="Times New Roman" w:hAnsi="Times New Roman" w:eastAsia="Times New Roman" w:cs="Times New Roman"/>
          <w:spacing w:val="11"/>
          <w:sz w:val="21"/>
          <w:szCs w:val="21"/>
        </w:rPr>
        <w:t xml:space="preserve"> </w:t>
      </w:r>
      <w:r>
        <w:rPr>
          <w:rFonts w:ascii="宋体" w:hAnsi="宋体" w:eastAsia="宋体" w:cs="宋体"/>
          <w:spacing w:val="11"/>
          <w:sz w:val="21"/>
          <w:szCs w:val="21"/>
        </w:rPr>
        <w:t>有遗传易感性。国际</w:t>
      </w:r>
      <w:r>
        <w:rPr>
          <w:rFonts w:ascii="Times New Roman" w:hAnsi="Times New Roman" w:eastAsia="Times New Roman" w:cs="Times New Roman"/>
          <w:sz w:val="21"/>
          <w:szCs w:val="21"/>
        </w:rPr>
        <w:t>COPD</w:t>
      </w:r>
      <w:r>
        <w:rPr>
          <w:rFonts w:ascii="Times New Roman" w:hAnsi="Times New Roman" w:eastAsia="Times New Roman" w:cs="Times New Roman"/>
          <w:spacing w:val="11"/>
          <w:sz w:val="21"/>
          <w:szCs w:val="21"/>
        </w:rPr>
        <w:t xml:space="preserve"> </w:t>
      </w:r>
      <w:r>
        <w:rPr>
          <w:rFonts w:ascii="宋体" w:hAnsi="宋体" w:eastAsia="宋体" w:cs="宋体"/>
          <w:spacing w:val="11"/>
          <w:sz w:val="21"/>
          <w:szCs w:val="21"/>
        </w:rPr>
        <w:t>遗传学联盟的基因数据研究发现82</w:t>
      </w:r>
      <w:r>
        <w:rPr>
          <w:rFonts w:ascii="宋体" w:hAnsi="宋体" w:eastAsia="宋体" w:cs="宋体"/>
          <w:spacing w:val="10"/>
          <w:sz w:val="21"/>
          <w:szCs w:val="21"/>
        </w:rPr>
        <w:t>个与</w:t>
      </w:r>
      <w:r>
        <w:rPr>
          <w:rFonts w:ascii="宋体" w:hAnsi="宋体" w:eastAsia="宋体" w:cs="宋体"/>
          <w:sz w:val="21"/>
          <w:szCs w:val="21"/>
        </w:rPr>
        <w:t xml:space="preserve"> </w:t>
      </w:r>
      <w:r>
        <w:rPr>
          <w:rFonts w:ascii="Times New Roman" w:hAnsi="Times New Roman" w:eastAsia="Times New Roman" w:cs="Times New Roman"/>
          <w:spacing w:val="-2"/>
          <w:sz w:val="21"/>
          <w:szCs w:val="21"/>
        </w:rPr>
        <w:t>COPD</w:t>
      </w:r>
      <w:r>
        <w:rPr>
          <w:rFonts w:ascii="宋体" w:hAnsi="宋体" w:eastAsia="宋体" w:cs="宋体"/>
          <w:spacing w:val="-2"/>
          <w:sz w:val="21"/>
          <w:szCs w:val="21"/>
        </w:rPr>
        <w:t>有关的基因位点，不同的基因与</w:t>
      </w:r>
      <w:r>
        <w:rPr>
          <w:rFonts w:ascii="Times New Roman" w:hAnsi="Times New Roman" w:eastAsia="Times New Roman" w:cs="Times New Roman"/>
          <w:spacing w:val="-2"/>
          <w:sz w:val="21"/>
          <w:szCs w:val="21"/>
        </w:rPr>
        <w:t>COPD</w:t>
      </w:r>
      <w:r>
        <w:rPr>
          <w:rFonts w:ascii="宋体" w:hAnsi="宋体" w:eastAsia="宋体" w:cs="宋体"/>
          <w:spacing w:val="-2"/>
          <w:sz w:val="21"/>
          <w:szCs w:val="21"/>
        </w:rPr>
        <w:t>的不同病理或临床特征相关。</w:t>
      </w:r>
    </w:p>
    <w:p w14:paraId="4E91AA8D">
      <w:pPr>
        <w:spacing w:before="110" w:line="277" w:lineRule="auto"/>
        <w:ind w:right="639" w:firstLine="399"/>
        <w:rPr>
          <w:rFonts w:ascii="宋体" w:hAnsi="宋体" w:eastAsia="宋体" w:cs="宋体"/>
          <w:sz w:val="21"/>
          <w:szCs w:val="21"/>
        </w:rPr>
      </w:pPr>
      <w:r>
        <w:rPr>
          <w:rFonts w:ascii="宋体" w:hAnsi="宋体" w:eastAsia="宋体" w:cs="宋体"/>
          <w:spacing w:val="-4"/>
          <w:sz w:val="21"/>
          <w:szCs w:val="21"/>
        </w:rPr>
        <w:t>(2)年龄和性别：年龄越大，患病率越高。</w:t>
      </w:r>
      <w:r>
        <w:rPr>
          <w:rFonts w:ascii="Times New Roman" w:hAnsi="Times New Roman" w:eastAsia="Times New Roman" w:cs="Times New Roman"/>
          <w:spacing w:val="-4"/>
          <w:sz w:val="21"/>
          <w:szCs w:val="21"/>
        </w:rPr>
        <w:t>COPD</w:t>
      </w:r>
      <w:r>
        <w:rPr>
          <w:rFonts w:ascii="宋体" w:hAnsi="宋体" w:eastAsia="宋体" w:cs="宋体"/>
          <w:spacing w:val="-5"/>
          <w:sz w:val="21"/>
          <w:szCs w:val="21"/>
        </w:rPr>
        <w:t>患病率在男女性别之间的差异报道不一致，有</w:t>
      </w:r>
      <w:r>
        <w:rPr>
          <w:rFonts w:ascii="宋体" w:hAnsi="宋体" w:eastAsia="宋体" w:cs="宋体"/>
          <w:sz w:val="21"/>
          <w:szCs w:val="21"/>
        </w:rPr>
        <w:t xml:space="preserve"> </w:t>
      </w:r>
      <w:r>
        <w:rPr>
          <w:rFonts w:ascii="宋体" w:hAnsi="宋体" w:eastAsia="宋体" w:cs="宋体"/>
          <w:spacing w:val="-3"/>
          <w:sz w:val="21"/>
          <w:szCs w:val="21"/>
        </w:rPr>
        <w:t>文献报道女性对烟草烟雾的危害更敏感。</w:t>
      </w:r>
    </w:p>
    <w:p w14:paraId="5FA3667D">
      <w:pPr>
        <w:spacing w:before="120" w:line="277" w:lineRule="auto"/>
        <w:ind w:right="630" w:firstLine="399"/>
        <w:rPr>
          <w:rFonts w:ascii="宋体" w:hAnsi="宋体" w:eastAsia="宋体" w:cs="宋体"/>
          <w:sz w:val="21"/>
          <w:szCs w:val="21"/>
        </w:rPr>
      </w:pPr>
      <w:r>
        <w:rPr>
          <w:rFonts w:ascii="宋体" w:hAnsi="宋体" w:eastAsia="宋体" w:cs="宋体"/>
          <w:spacing w:val="-1"/>
          <w:sz w:val="21"/>
          <w:szCs w:val="21"/>
        </w:rPr>
        <w:t>(3)肺生长发育：生命早期和青少年时期直接和间接暴露于有害因素可以影响肺的</w:t>
      </w:r>
      <w:r>
        <w:rPr>
          <w:rFonts w:ascii="宋体" w:hAnsi="宋体" w:eastAsia="宋体" w:cs="宋体"/>
          <w:spacing w:val="-2"/>
          <w:sz w:val="21"/>
          <w:szCs w:val="21"/>
        </w:rPr>
        <w:t>生长，肺的</w:t>
      </w:r>
      <w:r>
        <w:rPr>
          <w:rFonts w:ascii="宋体" w:hAnsi="宋体" w:eastAsia="宋体" w:cs="宋体"/>
          <w:sz w:val="21"/>
          <w:szCs w:val="21"/>
        </w:rPr>
        <w:t xml:space="preserve"> </w:t>
      </w:r>
      <w:r>
        <w:rPr>
          <w:rFonts w:ascii="宋体" w:hAnsi="宋体" w:eastAsia="宋体" w:cs="宋体"/>
          <w:spacing w:val="1"/>
          <w:sz w:val="21"/>
          <w:szCs w:val="21"/>
        </w:rPr>
        <w:t>生长发育不良是</w:t>
      </w:r>
      <w:r>
        <w:rPr>
          <w:rFonts w:ascii="Times New Roman" w:hAnsi="Times New Roman" w:eastAsia="Times New Roman" w:cs="Times New Roman"/>
          <w:sz w:val="21"/>
          <w:szCs w:val="21"/>
        </w:rPr>
        <w:t>COPD</w:t>
      </w:r>
      <w:r>
        <w:rPr>
          <w:rFonts w:ascii="宋体" w:hAnsi="宋体" w:eastAsia="宋体" w:cs="宋体"/>
          <w:spacing w:val="1"/>
          <w:sz w:val="21"/>
          <w:szCs w:val="21"/>
        </w:rPr>
        <w:t>的危险因素。</w:t>
      </w:r>
    </w:p>
    <w:p w14:paraId="523075BA">
      <w:pPr>
        <w:spacing w:before="130" w:line="268" w:lineRule="auto"/>
        <w:ind w:right="637" w:firstLine="399"/>
        <w:rPr>
          <w:rFonts w:ascii="宋体" w:hAnsi="宋体" w:eastAsia="宋体" w:cs="宋体"/>
          <w:sz w:val="21"/>
          <w:szCs w:val="21"/>
        </w:rPr>
      </w:pPr>
      <w:r>
        <w:rPr>
          <w:rFonts w:ascii="宋体" w:hAnsi="宋体" w:eastAsia="宋体" w:cs="宋体"/>
          <w:spacing w:val="-3"/>
          <w:sz w:val="21"/>
          <w:szCs w:val="21"/>
        </w:rPr>
        <w:t>(4)支气管哮喘和气道高反应性：哮喘不仅可以和</w:t>
      </w:r>
      <w:r>
        <w:rPr>
          <w:rFonts w:ascii="Times New Roman" w:hAnsi="Times New Roman" w:eastAsia="Times New Roman" w:cs="Times New Roman"/>
          <w:spacing w:val="-3"/>
          <w:sz w:val="21"/>
          <w:szCs w:val="21"/>
        </w:rPr>
        <w:t>COPD</w:t>
      </w:r>
      <w:r>
        <w:rPr>
          <w:rFonts w:ascii="宋体" w:hAnsi="宋体" w:eastAsia="宋体" w:cs="宋体"/>
          <w:spacing w:val="-3"/>
          <w:sz w:val="21"/>
          <w:szCs w:val="21"/>
        </w:rPr>
        <w:t>同时存在，也是</w:t>
      </w:r>
      <w:r>
        <w:rPr>
          <w:rFonts w:ascii="Times New Roman" w:hAnsi="Times New Roman" w:eastAsia="Times New Roman" w:cs="Times New Roman"/>
          <w:spacing w:val="-3"/>
          <w:sz w:val="21"/>
          <w:szCs w:val="21"/>
        </w:rPr>
        <w:t>COPD</w:t>
      </w:r>
      <w:r>
        <w:rPr>
          <w:rFonts w:ascii="宋体" w:hAnsi="宋体" w:eastAsia="宋体" w:cs="宋体"/>
          <w:spacing w:val="-3"/>
          <w:sz w:val="21"/>
          <w:szCs w:val="21"/>
        </w:rPr>
        <w:t>的危险因素，气</w:t>
      </w:r>
      <w:r>
        <w:rPr>
          <w:rFonts w:ascii="宋体" w:hAnsi="宋体" w:eastAsia="宋体" w:cs="宋体"/>
          <w:spacing w:val="12"/>
          <w:sz w:val="21"/>
          <w:szCs w:val="21"/>
        </w:rPr>
        <w:t xml:space="preserve"> </w:t>
      </w:r>
      <w:r>
        <w:rPr>
          <w:rFonts w:ascii="宋体" w:hAnsi="宋体" w:eastAsia="宋体" w:cs="宋体"/>
          <w:spacing w:val="1"/>
          <w:sz w:val="21"/>
          <w:szCs w:val="21"/>
        </w:rPr>
        <w:t>道高反应性也参与</w:t>
      </w:r>
      <w:r>
        <w:rPr>
          <w:rFonts w:ascii="Times New Roman" w:hAnsi="Times New Roman" w:eastAsia="Times New Roman" w:cs="Times New Roman"/>
          <w:sz w:val="21"/>
          <w:szCs w:val="21"/>
        </w:rPr>
        <w:t>COPD</w:t>
      </w:r>
      <w:r>
        <w:rPr>
          <w:rFonts w:ascii="宋体" w:hAnsi="宋体" w:eastAsia="宋体" w:cs="宋体"/>
          <w:spacing w:val="1"/>
          <w:sz w:val="21"/>
          <w:szCs w:val="21"/>
        </w:rPr>
        <w:t>的发病过程。</w:t>
      </w:r>
    </w:p>
    <w:p w14:paraId="53E611B1">
      <w:pPr>
        <w:pStyle w:val="2"/>
        <w:spacing w:before="127" w:line="222" w:lineRule="auto"/>
        <w:ind w:left="402"/>
        <w:rPr>
          <w:sz w:val="21"/>
          <w:szCs w:val="21"/>
        </w:rPr>
      </w:pPr>
      <w:r>
        <w:rPr>
          <w:rFonts w:ascii="宋体" w:hAnsi="宋体" w:eastAsia="宋体" w:cs="宋体"/>
          <w:b/>
          <w:bCs/>
          <w:spacing w:val="2"/>
          <w:sz w:val="21"/>
          <w:szCs w:val="21"/>
        </w:rPr>
        <w:t>2.</w:t>
      </w:r>
      <w:r>
        <w:rPr>
          <w:rFonts w:ascii="宋体" w:hAnsi="宋体" w:eastAsia="宋体" w:cs="宋体"/>
          <w:spacing w:val="-13"/>
          <w:sz w:val="21"/>
          <w:szCs w:val="21"/>
        </w:rPr>
        <w:t xml:space="preserve"> </w:t>
      </w:r>
      <w:r>
        <w:rPr>
          <w:b/>
          <w:bCs/>
          <w:spacing w:val="2"/>
          <w:sz w:val="21"/>
          <w:szCs w:val="21"/>
        </w:rPr>
        <w:t>环境因素</w:t>
      </w:r>
    </w:p>
    <w:p w14:paraId="7A7CE87D">
      <w:pPr>
        <w:spacing w:before="121" w:line="290" w:lineRule="auto"/>
        <w:ind w:right="633" w:firstLine="399"/>
        <w:rPr>
          <w:rFonts w:ascii="宋体" w:hAnsi="宋体" w:eastAsia="宋体" w:cs="宋体"/>
          <w:sz w:val="21"/>
          <w:szCs w:val="21"/>
        </w:rPr>
      </w:pPr>
      <w:r>
        <w:rPr>
          <w:rFonts w:ascii="宋体" w:hAnsi="宋体" w:eastAsia="宋体" w:cs="宋体"/>
          <w:spacing w:val="-1"/>
          <w:sz w:val="21"/>
          <w:szCs w:val="21"/>
        </w:rPr>
        <w:t>(1)空气污染：空气污染物中的颗粒物质(PM) 和有害气体物质(二氧化硫、二氧化</w:t>
      </w:r>
      <w:r>
        <w:rPr>
          <w:rFonts w:ascii="宋体" w:hAnsi="宋体" w:eastAsia="宋体" w:cs="宋体"/>
          <w:spacing w:val="-2"/>
          <w:sz w:val="21"/>
          <w:szCs w:val="21"/>
        </w:rPr>
        <w:t>氮、臭氧和</w:t>
      </w:r>
      <w:r>
        <w:rPr>
          <w:rFonts w:ascii="宋体" w:hAnsi="宋体" w:eastAsia="宋体" w:cs="宋体"/>
          <w:sz w:val="21"/>
          <w:szCs w:val="21"/>
        </w:rPr>
        <w:t xml:space="preserve"> </w:t>
      </w:r>
      <w:r>
        <w:rPr>
          <w:rFonts w:ascii="宋体" w:hAnsi="宋体" w:eastAsia="宋体" w:cs="宋体"/>
          <w:spacing w:val="-5"/>
          <w:sz w:val="21"/>
          <w:szCs w:val="21"/>
        </w:rPr>
        <w:t>一氧化碳等)对支气管黏膜有刺激和细胞毒性作用，空气中PM</w:t>
      </w:r>
      <w:r>
        <w:rPr>
          <w:rFonts w:ascii="Calibri" w:hAnsi="Calibri" w:eastAsia="Calibri" w:cs="Calibri"/>
          <w:spacing w:val="-5"/>
          <w:sz w:val="21"/>
          <w:szCs w:val="21"/>
        </w:rPr>
        <w:t>₂</w:t>
      </w:r>
      <w:r>
        <w:rPr>
          <w:rFonts w:ascii="宋体" w:hAnsi="宋体" w:eastAsia="宋体" w:cs="宋体"/>
          <w:spacing w:val="-5"/>
          <w:sz w:val="21"/>
          <w:szCs w:val="21"/>
        </w:rPr>
        <w:t>5</w:t>
      </w:r>
      <w:r>
        <w:rPr>
          <w:rFonts w:ascii="宋体" w:hAnsi="宋体" w:eastAsia="宋体" w:cs="宋体"/>
          <w:spacing w:val="24"/>
          <w:sz w:val="21"/>
          <w:szCs w:val="21"/>
        </w:rPr>
        <w:t xml:space="preserve"> </w:t>
      </w:r>
      <w:r>
        <w:rPr>
          <w:rFonts w:ascii="宋体" w:hAnsi="宋体" w:eastAsia="宋体" w:cs="宋体"/>
          <w:spacing w:val="-5"/>
          <w:sz w:val="21"/>
          <w:szCs w:val="21"/>
        </w:rPr>
        <w:t>的浓度超过35μg/m</w:t>
      </w:r>
      <w:r>
        <w:rPr>
          <w:rFonts w:ascii="宋体" w:hAnsi="宋体" w:eastAsia="宋体" w:cs="宋体"/>
          <w:spacing w:val="-6"/>
          <w:sz w:val="21"/>
          <w:szCs w:val="21"/>
        </w:rPr>
        <w:t>³时</w:t>
      </w:r>
      <w:r>
        <w:rPr>
          <w:rFonts w:ascii="宋体" w:hAnsi="宋体" w:eastAsia="宋体" w:cs="宋体"/>
          <w:spacing w:val="-35"/>
          <w:sz w:val="21"/>
          <w:szCs w:val="21"/>
        </w:rPr>
        <w:t xml:space="preserve"> </w:t>
      </w:r>
      <w:r>
        <w:rPr>
          <w:rFonts w:ascii="宋体" w:hAnsi="宋体" w:eastAsia="宋体" w:cs="宋体"/>
          <w:spacing w:val="-6"/>
          <w:sz w:val="21"/>
          <w:szCs w:val="21"/>
        </w:rPr>
        <w:t>，COPD</w:t>
      </w:r>
      <w:r>
        <w:rPr>
          <w:rFonts w:ascii="宋体" w:hAnsi="宋体" w:eastAsia="宋体" w:cs="宋体"/>
          <w:spacing w:val="72"/>
          <w:sz w:val="21"/>
          <w:szCs w:val="21"/>
        </w:rPr>
        <w:t xml:space="preserve"> </w:t>
      </w:r>
      <w:r>
        <w:rPr>
          <w:rFonts w:ascii="宋体" w:hAnsi="宋体" w:eastAsia="宋体" w:cs="宋体"/>
          <w:spacing w:val="-6"/>
          <w:sz w:val="21"/>
          <w:szCs w:val="21"/>
        </w:rPr>
        <w:t>的</w:t>
      </w:r>
      <w:r>
        <w:rPr>
          <w:rFonts w:ascii="宋体" w:hAnsi="宋体" w:eastAsia="宋体" w:cs="宋体"/>
          <w:sz w:val="21"/>
          <w:szCs w:val="21"/>
        </w:rPr>
        <w:t xml:space="preserve"> </w:t>
      </w:r>
      <w:r>
        <w:rPr>
          <w:rFonts w:ascii="宋体" w:hAnsi="宋体" w:eastAsia="宋体" w:cs="宋体"/>
          <w:spacing w:val="-1"/>
          <w:sz w:val="21"/>
          <w:szCs w:val="21"/>
        </w:rPr>
        <w:t>患病风险明显增加。</w:t>
      </w:r>
    </w:p>
    <w:p w14:paraId="24D8137D">
      <w:pPr>
        <w:spacing w:before="110" w:line="296" w:lineRule="auto"/>
        <w:ind w:right="630" w:firstLine="399"/>
        <w:rPr>
          <w:rFonts w:ascii="宋体" w:hAnsi="宋体" w:eastAsia="宋体" w:cs="宋体"/>
          <w:sz w:val="21"/>
          <w:szCs w:val="21"/>
        </w:rPr>
      </w:pPr>
      <w:r>
        <w:rPr>
          <w:rFonts w:ascii="宋体" w:hAnsi="宋体" w:eastAsia="宋体" w:cs="宋体"/>
          <w:spacing w:val="-1"/>
          <w:sz w:val="21"/>
          <w:szCs w:val="21"/>
        </w:rPr>
        <w:t>(2)燃料烟雾：柴草、煤炭和动物粪便等固体燃料产生的烟雾中含有大量有害成分</w:t>
      </w:r>
      <w:r>
        <w:rPr>
          <w:rFonts w:ascii="宋体" w:hAnsi="宋体" w:eastAsia="宋体" w:cs="宋体"/>
          <w:spacing w:val="-2"/>
          <w:sz w:val="21"/>
          <w:szCs w:val="21"/>
        </w:rPr>
        <w:t>，例如碳氧</w:t>
      </w:r>
      <w:r>
        <w:rPr>
          <w:rFonts w:ascii="宋体" w:hAnsi="宋体" w:eastAsia="宋体" w:cs="宋体"/>
          <w:sz w:val="21"/>
          <w:szCs w:val="21"/>
        </w:rPr>
        <w:t xml:space="preserve"> </w:t>
      </w:r>
      <w:r>
        <w:rPr>
          <w:rFonts w:ascii="宋体" w:hAnsi="宋体" w:eastAsia="宋体" w:cs="宋体"/>
          <w:spacing w:val="-4"/>
          <w:sz w:val="21"/>
          <w:szCs w:val="21"/>
        </w:rPr>
        <w:t>化物、氮氧化物、硫氧化物和未燃烧完全的碳氢化合物颗粒与多环有机化合</w:t>
      </w:r>
      <w:r>
        <w:rPr>
          <w:rFonts w:ascii="宋体" w:hAnsi="宋体" w:eastAsia="宋体" w:cs="宋体"/>
          <w:spacing w:val="-5"/>
          <w:sz w:val="21"/>
          <w:szCs w:val="21"/>
        </w:rPr>
        <w:t>物等。燃烧时产生的大</w:t>
      </w:r>
      <w:r>
        <w:rPr>
          <w:rFonts w:ascii="宋体" w:hAnsi="宋体" w:eastAsia="宋体" w:cs="宋体"/>
          <w:sz w:val="21"/>
          <w:szCs w:val="21"/>
        </w:rPr>
        <w:t xml:space="preserve"> </w:t>
      </w:r>
      <w:r>
        <w:rPr>
          <w:rFonts w:ascii="宋体" w:hAnsi="宋体" w:eastAsia="宋体" w:cs="宋体"/>
          <w:spacing w:val="1"/>
          <w:sz w:val="21"/>
          <w:szCs w:val="21"/>
        </w:rPr>
        <w:t>量烟雾可能是不吸烟女性发生</w:t>
      </w:r>
      <w:r>
        <w:rPr>
          <w:rFonts w:ascii="Times New Roman" w:hAnsi="Times New Roman" w:eastAsia="Times New Roman" w:cs="Times New Roman"/>
          <w:sz w:val="21"/>
          <w:szCs w:val="21"/>
        </w:rPr>
        <w:t>COPD</w:t>
      </w:r>
      <w:r>
        <w:rPr>
          <w:rFonts w:ascii="宋体" w:hAnsi="宋体" w:eastAsia="宋体" w:cs="宋体"/>
          <w:spacing w:val="1"/>
          <w:sz w:val="21"/>
          <w:szCs w:val="21"/>
        </w:rPr>
        <w:t>的重要原因。</w:t>
      </w:r>
    </w:p>
    <w:p w14:paraId="379E30DB">
      <w:pPr>
        <w:spacing w:before="119" w:line="291" w:lineRule="auto"/>
        <w:ind w:right="640" w:firstLine="399"/>
        <w:rPr>
          <w:rFonts w:ascii="宋体" w:hAnsi="宋体" w:eastAsia="宋体" w:cs="宋体"/>
          <w:sz w:val="21"/>
          <w:szCs w:val="21"/>
        </w:rPr>
      </w:pPr>
      <w:r>
        <w:rPr>
          <w:rFonts w:ascii="宋体" w:hAnsi="宋体" w:eastAsia="宋体" w:cs="宋体"/>
          <w:spacing w:val="-2"/>
          <w:sz w:val="21"/>
          <w:szCs w:val="21"/>
        </w:rPr>
        <w:t>(3)职业性粉尘：职业性粉尘(二氧化硅、煤尘、棉尘和蔗尘等)浓度过大或接触时间过久，可</w:t>
      </w:r>
      <w:r>
        <w:rPr>
          <w:rFonts w:ascii="宋体" w:hAnsi="宋体" w:eastAsia="宋体" w:cs="宋体"/>
          <w:spacing w:val="9"/>
          <w:sz w:val="21"/>
          <w:szCs w:val="21"/>
        </w:rPr>
        <w:t xml:space="preserve"> </w:t>
      </w:r>
      <w:r>
        <w:rPr>
          <w:rFonts w:ascii="宋体" w:hAnsi="宋体" w:eastAsia="宋体" w:cs="宋体"/>
          <w:spacing w:val="-2"/>
          <w:sz w:val="21"/>
          <w:szCs w:val="21"/>
        </w:rPr>
        <w:t>导致</w:t>
      </w:r>
      <w:r>
        <w:rPr>
          <w:rFonts w:ascii="Times New Roman" w:hAnsi="Times New Roman" w:eastAsia="Times New Roman" w:cs="Times New Roman"/>
          <w:spacing w:val="-2"/>
          <w:sz w:val="21"/>
          <w:szCs w:val="21"/>
        </w:rPr>
        <w:t>COPD</w:t>
      </w:r>
      <w:r>
        <w:rPr>
          <w:rFonts w:ascii="宋体" w:hAnsi="宋体" w:eastAsia="宋体" w:cs="宋体"/>
          <w:spacing w:val="-2"/>
          <w:sz w:val="21"/>
          <w:szCs w:val="21"/>
        </w:rPr>
        <w:t>的发生。职业环境接触的刺激性</w:t>
      </w:r>
      <w:r>
        <w:rPr>
          <w:rFonts w:ascii="宋体" w:hAnsi="宋体" w:eastAsia="宋体" w:cs="宋体"/>
          <w:spacing w:val="-3"/>
          <w:sz w:val="21"/>
          <w:szCs w:val="21"/>
        </w:rPr>
        <w:t>物质、有机粉尘及过敏原等可导致气道反应性增高，参</w:t>
      </w:r>
      <w:r>
        <w:rPr>
          <w:rFonts w:ascii="宋体" w:hAnsi="宋体" w:eastAsia="宋体" w:cs="宋体"/>
          <w:sz w:val="21"/>
          <w:szCs w:val="21"/>
        </w:rPr>
        <w:t xml:space="preserve"> </w:t>
      </w:r>
      <w:r>
        <w:rPr>
          <w:rFonts w:ascii="宋体" w:hAnsi="宋体" w:eastAsia="宋体" w:cs="宋体"/>
          <w:spacing w:val="2"/>
          <w:sz w:val="21"/>
          <w:szCs w:val="21"/>
        </w:rPr>
        <w:t>与</w:t>
      </w:r>
      <w:r>
        <w:rPr>
          <w:rFonts w:ascii="宋体" w:hAnsi="宋体" w:eastAsia="宋体" w:cs="宋体"/>
          <w:spacing w:val="-62"/>
          <w:sz w:val="21"/>
          <w:szCs w:val="21"/>
        </w:rPr>
        <w:t xml:space="preserve"> </w:t>
      </w:r>
      <w:r>
        <w:rPr>
          <w:rFonts w:ascii="Times New Roman" w:hAnsi="Times New Roman" w:eastAsia="Times New Roman" w:cs="Times New Roman"/>
          <w:sz w:val="21"/>
          <w:szCs w:val="21"/>
        </w:rPr>
        <w:t>COPD</w:t>
      </w:r>
      <w:r>
        <w:rPr>
          <w:rFonts w:ascii="宋体" w:hAnsi="宋体" w:eastAsia="宋体" w:cs="宋体"/>
          <w:spacing w:val="2"/>
          <w:sz w:val="21"/>
          <w:szCs w:val="21"/>
        </w:rPr>
        <w:t>的发病。</w:t>
      </w:r>
    </w:p>
    <w:p w14:paraId="57D2A179">
      <w:pPr>
        <w:spacing w:before="108" w:line="296" w:lineRule="auto"/>
        <w:ind w:right="634" w:firstLine="399"/>
        <w:rPr>
          <w:rFonts w:ascii="宋体" w:hAnsi="宋体" w:eastAsia="宋体" w:cs="宋体"/>
          <w:sz w:val="21"/>
          <w:szCs w:val="21"/>
        </w:rPr>
      </w:pPr>
      <w:r>
        <w:rPr>
          <w:rFonts w:ascii="宋体" w:hAnsi="宋体" w:eastAsia="宋体" w:cs="宋体"/>
          <w:spacing w:val="2"/>
          <w:sz w:val="21"/>
          <w:szCs w:val="21"/>
        </w:rPr>
        <w:t>(4)感染和慢性支气管炎：呼吸道感染是</w:t>
      </w:r>
      <w:r>
        <w:rPr>
          <w:rFonts w:ascii="宋体" w:hAnsi="宋体" w:eastAsia="宋体" w:cs="宋体"/>
          <w:sz w:val="21"/>
          <w:szCs w:val="21"/>
        </w:rPr>
        <w:t>COPD</w:t>
      </w:r>
      <w:r>
        <w:rPr>
          <w:rFonts w:ascii="宋体" w:hAnsi="宋体" w:eastAsia="宋体" w:cs="宋体"/>
          <w:spacing w:val="75"/>
          <w:sz w:val="21"/>
          <w:szCs w:val="21"/>
        </w:rPr>
        <w:t xml:space="preserve"> </w:t>
      </w:r>
      <w:r>
        <w:rPr>
          <w:rFonts w:ascii="宋体" w:hAnsi="宋体" w:eastAsia="宋体" w:cs="宋体"/>
          <w:spacing w:val="2"/>
          <w:sz w:val="21"/>
          <w:szCs w:val="21"/>
        </w:rPr>
        <w:t>发病和加剧的重要因素，病毒和/或细菌感染</w:t>
      </w:r>
      <w:r>
        <w:rPr>
          <w:rFonts w:ascii="宋体" w:hAnsi="宋体" w:eastAsia="宋体" w:cs="宋体"/>
          <w:sz w:val="21"/>
          <w:szCs w:val="21"/>
        </w:rPr>
        <w:t xml:space="preserve"> 是</w:t>
      </w:r>
      <w:r>
        <w:rPr>
          <w:rFonts w:ascii="宋体" w:hAnsi="宋体" w:eastAsia="宋体" w:cs="宋体"/>
          <w:spacing w:val="-44"/>
          <w:sz w:val="21"/>
          <w:szCs w:val="21"/>
        </w:rPr>
        <w:t xml:space="preserve"> </w:t>
      </w:r>
      <w:r>
        <w:rPr>
          <w:rFonts w:ascii="Times New Roman" w:hAnsi="Times New Roman" w:eastAsia="Times New Roman" w:cs="Times New Roman"/>
          <w:sz w:val="21"/>
          <w:szCs w:val="21"/>
        </w:rPr>
        <w:t xml:space="preserve">COPD </w:t>
      </w:r>
      <w:r>
        <w:rPr>
          <w:rFonts w:ascii="宋体" w:hAnsi="宋体" w:eastAsia="宋体" w:cs="宋体"/>
          <w:sz w:val="21"/>
          <w:szCs w:val="21"/>
        </w:rPr>
        <w:t>急性加重的常见原因。儿童期反复下呼吸道感染与成年期肺功能降</w:t>
      </w:r>
      <w:r>
        <w:rPr>
          <w:rFonts w:ascii="宋体" w:hAnsi="宋体" w:eastAsia="宋体" w:cs="宋体"/>
          <w:spacing w:val="-1"/>
          <w:sz w:val="21"/>
          <w:szCs w:val="21"/>
        </w:rPr>
        <w:t>低及呼吸系统症状的</w:t>
      </w:r>
      <w:r>
        <w:rPr>
          <w:rFonts w:ascii="宋体" w:hAnsi="宋体" w:eastAsia="宋体" w:cs="宋体"/>
          <w:sz w:val="21"/>
          <w:szCs w:val="21"/>
        </w:rPr>
        <w:t xml:space="preserve"> </w:t>
      </w:r>
      <w:r>
        <w:rPr>
          <w:rFonts w:ascii="宋体" w:hAnsi="宋体" w:eastAsia="宋体" w:cs="宋体"/>
          <w:spacing w:val="-4"/>
          <w:sz w:val="21"/>
          <w:szCs w:val="21"/>
        </w:rPr>
        <w:t>发生有关。慢性支气管炎增加</w:t>
      </w:r>
      <w:r>
        <w:rPr>
          <w:rFonts w:ascii="Times New Roman" w:hAnsi="Times New Roman" w:eastAsia="Times New Roman" w:cs="Times New Roman"/>
          <w:spacing w:val="-4"/>
          <w:sz w:val="21"/>
          <w:szCs w:val="21"/>
        </w:rPr>
        <w:t>COPD</w:t>
      </w:r>
      <w:r>
        <w:rPr>
          <w:rFonts w:ascii="宋体" w:hAnsi="宋体" w:eastAsia="宋体" w:cs="宋体"/>
          <w:spacing w:val="-4"/>
          <w:sz w:val="21"/>
          <w:szCs w:val="21"/>
        </w:rPr>
        <w:t>的发生风险，并可能与急性加重的次数和严重程度有关。</w:t>
      </w:r>
    </w:p>
    <w:p w14:paraId="606EF4FA">
      <w:pPr>
        <w:pStyle w:val="2"/>
        <w:spacing w:before="136" w:line="222" w:lineRule="auto"/>
        <w:ind w:left="402"/>
        <w:rPr>
          <w:sz w:val="21"/>
          <w:szCs w:val="21"/>
        </w:rPr>
      </w:pPr>
      <w:r>
        <w:rPr>
          <w:rFonts w:ascii="宋体" w:hAnsi="宋体" w:eastAsia="宋体" w:cs="宋体"/>
          <w:b/>
          <w:bCs/>
          <w:spacing w:val="3"/>
          <w:sz w:val="21"/>
          <w:szCs w:val="21"/>
        </w:rPr>
        <w:t>3.</w:t>
      </w:r>
      <w:r>
        <w:rPr>
          <w:rFonts w:ascii="宋体" w:hAnsi="宋体" w:eastAsia="宋体" w:cs="宋体"/>
          <w:spacing w:val="-19"/>
          <w:sz w:val="21"/>
          <w:szCs w:val="21"/>
        </w:rPr>
        <w:t xml:space="preserve"> </w:t>
      </w:r>
      <w:r>
        <w:rPr>
          <w:b/>
          <w:bCs/>
          <w:spacing w:val="3"/>
          <w:sz w:val="21"/>
          <w:szCs w:val="21"/>
        </w:rPr>
        <w:t>行为因素</w:t>
      </w:r>
    </w:p>
    <w:p w14:paraId="2FF13C53">
      <w:pPr>
        <w:spacing w:before="91" w:line="325" w:lineRule="auto"/>
        <w:ind w:right="639" w:firstLine="399"/>
        <w:jc w:val="both"/>
        <w:rPr>
          <w:rFonts w:ascii="宋体" w:hAnsi="宋体" w:eastAsia="宋体" w:cs="宋体"/>
          <w:sz w:val="21"/>
          <w:szCs w:val="21"/>
        </w:rPr>
      </w:pPr>
      <w:r>
        <w:rPr>
          <w:rFonts w:ascii="宋体" w:hAnsi="宋体" w:eastAsia="宋体" w:cs="宋体"/>
          <w:sz w:val="21"/>
          <w:szCs w:val="21"/>
        </w:rPr>
        <w:t>(1)吸烟：吸烟是</w:t>
      </w:r>
      <w:r>
        <w:rPr>
          <w:rFonts w:ascii="Times New Roman" w:hAnsi="Times New Roman" w:eastAsia="Times New Roman" w:cs="Times New Roman"/>
          <w:sz w:val="21"/>
          <w:szCs w:val="21"/>
        </w:rPr>
        <w:t>COPD</w:t>
      </w:r>
      <w:r>
        <w:rPr>
          <w:rFonts w:ascii="宋体" w:hAnsi="宋体" w:eastAsia="宋体" w:cs="宋体"/>
          <w:sz w:val="21"/>
          <w:szCs w:val="21"/>
        </w:rPr>
        <w:t>最重要的行为致病因素。与非吸烟者比较，吸烟者的肺功能异常率较</w:t>
      </w:r>
      <w:r>
        <w:rPr>
          <w:rFonts w:ascii="宋体" w:hAnsi="宋体" w:eastAsia="宋体" w:cs="宋体"/>
          <w:spacing w:val="12"/>
          <w:sz w:val="21"/>
          <w:szCs w:val="21"/>
        </w:rPr>
        <w:t xml:space="preserve"> </w:t>
      </w:r>
      <w:r>
        <w:rPr>
          <w:rFonts w:ascii="宋体" w:hAnsi="宋体" w:eastAsia="宋体" w:cs="宋体"/>
          <w:spacing w:val="-1"/>
          <w:sz w:val="21"/>
          <w:szCs w:val="21"/>
        </w:rPr>
        <w:t>高，第一秒用力呼气容积</w:t>
      </w:r>
      <w:r>
        <w:rPr>
          <w:rFonts w:ascii="Times New Roman" w:hAnsi="Times New Roman" w:eastAsia="Times New Roman" w:cs="Times New Roman"/>
          <w:spacing w:val="-1"/>
          <w:sz w:val="21"/>
          <w:szCs w:val="21"/>
        </w:rPr>
        <w:t xml:space="preserve">(FEV₁)  </w:t>
      </w:r>
      <w:r>
        <w:rPr>
          <w:rFonts w:ascii="宋体" w:hAnsi="宋体" w:eastAsia="宋体" w:cs="宋体"/>
          <w:spacing w:val="-1"/>
          <w:sz w:val="21"/>
          <w:szCs w:val="21"/>
        </w:rPr>
        <w:t>的年下降率较快，死亡</w:t>
      </w:r>
      <w:r>
        <w:rPr>
          <w:rFonts w:ascii="宋体" w:hAnsi="宋体" w:eastAsia="宋体" w:cs="宋体"/>
          <w:spacing w:val="-2"/>
          <w:sz w:val="21"/>
          <w:szCs w:val="21"/>
        </w:rPr>
        <w:t>风险增加。被动吸烟也可能导致呼吸道症</w:t>
      </w:r>
      <w:r>
        <w:rPr>
          <w:rFonts w:ascii="宋体" w:hAnsi="宋体" w:eastAsia="宋体" w:cs="宋体"/>
          <w:sz w:val="21"/>
          <w:szCs w:val="21"/>
        </w:rPr>
        <w:t xml:space="preserve"> </w:t>
      </w:r>
      <w:r>
        <w:rPr>
          <w:rFonts w:ascii="宋体" w:hAnsi="宋体" w:eastAsia="宋体" w:cs="宋体"/>
          <w:spacing w:val="-2"/>
          <w:sz w:val="21"/>
          <w:szCs w:val="21"/>
        </w:rPr>
        <w:t>状及</w:t>
      </w:r>
      <w:r>
        <w:rPr>
          <w:rFonts w:ascii="Times New Roman" w:hAnsi="Times New Roman" w:eastAsia="Times New Roman" w:cs="Times New Roman"/>
          <w:spacing w:val="-2"/>
          <w:sz w:val="21"/>
          <w:szCs w:val="21"/>
        </w:rPr>
        <w:t>COPD</w:t>
      </w:r>
      <w:r>
        <w:rPr>
          <w:rFonts w:ascii="宋体" w:hAnsi="宋体" w:eastAsia="宋体" w:cs="宋体"/>
          <w:spacing w:val="-2"/>
          <w:sz w:val="21"/>
          <w:szCs w:val="21"/>
        </w:rPr>
        <w:t>的发生。孕妇吸烟可能会影响子宫</w:t>
      </w:r>
      <w:r>
        <w:rPr>
          <w:rFonts w:ascii="宋体" w:hAnsi="宋体" w:eastAsia="宋体" w:cs="宋体"/>
          <w:spacing w:val="-3"/>
          <w:sz w:val="21"/>
          <w:szCs w:val="21"/>
        </w:rPr>
        <w:t>内胎儿的发育和肺脏生长，并对胎儿的免疫系统功能</w:t>
      </w:r>
      <w:r>
        <w:rPr>
          <w:rFonts w:ascii="宋体" w:hAnsi="宋体" w:eastAsia="宋体" w:cs="宋体"/>
          <w:sz w:val="21"/>
          <w:szCs w:val="21"/>
        </w:rPr>
        <w:t xml:space="preserve"> </w:t>
      </w:r>
      <w:r>
        <w:rPr>
          <w:rFonts w:ascii="宋体" w:hAnsi="宋体" w:eastAsia="宋体" w:cs="宋体"/>
          <w:spacing w:val="4"/>
          <w:sz w:val="21"/>
          <w:szCs w:val="21"/>
        </w:rPr>
        <w:t>有一定影响。</w:t>
      </w:r>
    </w:p>
    <w:p w14:paraId="6678DCD1">
      <w:pPr>
        <w:spacing w:line="325" w:lineRule="auto"/>
        <w:rPr>
          <w:rFonts w:ascii="宋体" w:hAnsi="宋体" w:eastAsia="宋体" w:cs="宋体"/>
          <w:sz w:val="21"/>
          <w:szCs w:val="21"/>
        </w:rPr>
        <w:sectPr>
          <w:footerReference r:id="rId246" w:type="default"/>
          <w:pgSz w:w="11900" w:h="16820"/>
          <w:pgMar w:top="400" w:right="919" w:bottom="776" w:left="1489" w:header="0" w:footer="587" w:gutter="0"/>
          <w:cols w:space="720" w:num="1"/>
        </w:sectPr>
      </w:pPr>
    </w:p>
    <w:p w14:paraId="6D1FB793">
      <w:pPr>
        <w:spacing w:line="272" w:lineRule="auto"/>
        <w:rPr>
          <w:rFonts w:ascii="Arial"/>
          <w:sz w:val="21"/>
        </w:rPr>
      </w:pPr>
    </w:p>
    <w:p w14:paraId="747EB7D5">
      <w:pPr>
        <w:pStyle w:val="2"/>
        <w:spacing w:before="62" w:line="221" w:lineRule="auto"/>
        <w:ind w:left="640"/>
        <w:rPr>
          <w:sz w:val="19"/>
          <w:szCs w:val="19"/>
        </w:rPr>
      </w:pPr>
      <w:r>
        <w:rPr>
          <w:spacing w:val="-15"/>
          <w:sz w:val="19"/>
          <w:szCs w:val="19"/>
        </w:rPr>
        <w:t>第十四章慢性病流行病学</w:t>
      </w:r>
    </w:p>
    <w:p w14:paraId="6C40947A">
      <w:pPr>
        <w:spacing w:line="278" w:lineRule="auto"/>
        <w:rPr>
          <w:rFonts w:ascii="Arial"/>
          <w:sz w:val="21"/>
        </w:rPr>
      </w:pPr>
    </w:p>
    <w:p w14:paraId="68D0C3C0">
      <w:pPr>
        <w:spacing w:line="279" w:lineRule="auto"/>
        <w:rPr>
          <w:rFonts w:ascii="Arial"/>
          <w:sz w:val="21"/>
        </w:rPr>
      </w:pPr>
    </w:p>
    <w:p w14:paraId="41D22A0F">
      <w:pPr>
        <w:spacing w:before="62" w:line="331" w:lineRule="auto"/>
        <w:ind w:left="640" w:right="104" w:firstLine="389"/>
        <w:rPr>
          <w:rFonts w:ascii="宋体" w:hAnsi="宋体" w:eastAsia="宋体" w:cs="宋体"/>
          <w:sz w:val="19"/>
          <w:szCs w:val="19"/>
        </w:rPr>
      </w:pPr>
      <w:r>
        <w:rPr>
          <w:rFonts w:ascii="宋体" w:hAnsi="宋体" w:eastAsia="宋体" w:cs="宋体"/>
          <w:spacing w:val="10"/>
          <w:sz w:val="19"/>
          <w:szCs w:val="19"/>
        </w:rPr>
        <w:t>(2)身体活动：缺乏定期的体育锻炼与</w:t>
      </w:r>
      <w:r>
        <w:rPr>
          <w:rFonts w:ascii="Times New Roman" w:hAnsi="Times New Roman" w:eastAsia="Times New Roman" w:cs="Times New Roman"/>
          <w:sz w:val="19"/>
          <w:szCs w:val="19"/>
        </w:rPr>
        <w:t>COPD</w:t>
      </w:r>
      <w:r>
        <w:rPr>
          <w:rFonts w:ascii="Times New Roman" w:hAnsi="Times New Roman" w:eastAsia="Times New Roman" w:cs="Times New Roman"/>
          <w:spacing w:val="30"/>
          <w:w w:val="101"/>
          <w:sz w:val="19"/>
          <w:szCs w:val="19"/>
        </w:rPr>
        <w:t xml:space="preserve"> </w:t>
      </w:r>
      <w:r>
        <w:rPr>
          <w:rFonts w:ascii="宋体" w:hAnsi="宋体" w:eastAsia="宋体" w:cs="宋体"/>
          <w:spacing w:val="10"/>
          <w:sz w:val="19"/>
          <w:szCs w:val="19"/>
        </w:rPr>
        <w:t>风险升高相关。另外，有研究显示，久坐行为也</w:t>
      </w:r>
      <w:r>
        <w:rPr>
          <w:rFonts w:ascii="宋体" w:hAnsi="宋体" w:eastAsia="宋体" w:cs="宋体"/>
          <w:sz w:val="19"/>
          <w:szCs w:val="19"/>
        </w:rPr>
        <w:t xml:space="preserve"> </w:t>
      </w:r>
      <w:r>
        <w:rPr>
          <w:rFonts w:ascii="宋体" w:hAnsi="宋体" w:eastAsia="宋体" w:cs="宋体"/>
          <w:spacing w:val="6"/>
          <w:sz w:val="19"/>
          <w:szCs w:val="19"/>
        </w:rPr>
        <w:t>是</w:t>
      </w:r>
      <w:r>
        <w:rPr>
          <w:rFonts w:ascii="宋体" w:hAnsi="宋体" w:eastAsia="宋体" w:cs="宋体"/>
          <w:spacing w:val="-36"/>
          <w:sz w:val="19"/>
          <w:szCs w:val="19"/>
        </w:rPr>
        <w:t xml:space="preserve"> </w:t>
      </w:r>
      <w:r>
        <w:rPr>
          <w:rFonts w:ascii="宋体" w:hAnsi="宋体" w:eastAsia="宋体" w:cs="宋体"/>
          <w:sz w:val="19"/>
          <w:szCs w:val="19"/>
        </w:rPr>
        <w:t>COPD</w:t>
      </w:r>
      <w:r>
        <w:rPr>
          <w:rFonts w:ascii="宋体" w:hAnsi="宋体" w:eastAsia="宋体" w:cs="宋体"/>
          <w:spacing w:val="61"/>
          <w:sz w:val="19"/>
          <w:szCs w:val="19"/>
        </w:rPr>
        <w:t xml:space="preserve"> </w:t>
      </w:r>
      <w:r>
        <w:rPr>
          <w:rFonts w:ascii="宋体" w:hAnsi="宋体" w:eastAsia="宋体" w:cs="宋体"/>
          <w:spacing w:val="6"/>
          <w:sz w:val="19"/>
          <w:szCs w:val="19"/>
        </w:rPr>
        <w:t>的独立危险因素，且与</w:t>
      </w:r>
      <w:r>
        <w:rPr>
          <w:rFonts w:ascii="宋体" w:hAnsi="宋体" w:eastAsia="宋体" w:cs="宋体"/>
          <w:sz w:val="19"/>
          <w:szCs w:val="19"/>
        </w:rPr>
        <w:t>COPD</w:t>
      </w:r>
      <w:r>
        <w:rPr>
          <w:rFonts w:ascii="宋体" w:hAnsi="宋体" w:eastAsia="宋体" w:cs="宋体"/>
          <w:spacing w:val="40"/>
          <w:w w:val="101"/>
          <w:sz w:val="19"/>
          <w:szCs w:val="19"/>
        </w:rPr>
        <w:t xml:space="preserve"> </w:t>
      </w:r>
      <w:r>
        <w:rPr>
          <w:rFonts w:ascii="宋体" w:hAnsi="宋体" w:eastAsia="宋体" w:cs="宋体"/>
          <w:spacing w:val="6"/>
          <w:sz w:val="19"/>
          <w:szCs w:val="19"/>
        </w:rPr>
        <w:t>之间存在剂量-反应关系。</w:t>
      </w:r>
    </w:p>
    <w:p w14:paraId="04624771">
      <w:pPr>
        <w:pStyle w:val="2"/>
        <w:spacing w:before="1" w:line="220" w:lineRule="auto"/>
        <w:ind w:left="1030"/>
        <w:rPr>
          <w:sz w:val="23"/>
          <w:szCs w:val="23"/>
        </w:rPr>
      </w:pPr>
      <w:r>
        <w:rPr>
          <w:spacing w:val="-5"/>
          <w:sz w:val="23"/>
          <w:szCs w:val="23"/>
        </w:rPr>
        <w:t>(四)预防策略与措施</w:t>
      </w:r>
    </w:p>
    <w:p w14:paraId="05A30D96">
      <w:pPr>
        <w:spacing w:before="102" w:line="348" w:lineRule="auto"/>
        <w:ind w:left="640" w:firstLine="389"/>
        <w:rPr>
          <w:rFonts w:ascii="宋体" w:hAnsi="宋体" w:eastAsia="宋体" w:cs="宋体"/>
          <w:sz w:val="19"/>
          <w:szCs w:val="19"/>
        </w:rPr>
      </w:pPr>
      <w:r>
        <w:rPr>
          <w:rFonts w:ascii="Times New Roman" w:hAnsi="Times New Roman" w:eastAsia="Times New Roman" w:cs="Times New Roman"/>
          <w:spacing w:val="-1"/>
          <w:sz w:val="19"/>
          <w:szCs w:val="19"/>
        </w:rPr>
        <w:t>1.</w:t>
      </w:r>
      <w:r>
        <w:rPr>
          <w:rFonts w:ascii="Times New Roman" w:hAnsi="Times New Roman" w:eastAsia="Times New Roman" w:cs="Times New Roman"/>
          <w:spacing w:val="22"/>
          <w:sz w:val="19"/>
          <w:szCs w:val="19"/>
        </w:rPr>
        <w:t xml:space="preserve">  </w:t>
      </w:r>
      <w:r>
        <w:rPr>
          <w:rFonts w:ascii="宋体" w:hAnsi="宋体" w:eastAsia="宋体" w:cs="宋体"/>
          <w:spacing w:val="-1"/>
          <w:sz w:val="19"/>
          <w:szCs w:val="19"/>
        </w:rPr>
        <w:t>预</w:t>
      </w:r>
      <w:r>
        <w:rPr>
          <w:rFonts w:ascii="宋体" w:hAnsi="宋体" w:eastAsia="宋体" w:cs="宋体"/>
          <w:spacing w:val="-29"/>
          <w:sz w:val="19"/>
          <w:szCs w:val="19"/>
        </w:rPr>
        <w:t xml:space="preserve"> </w:t>
      </w:r>
      <w:r>
        <w:rPr>
          <w:rFonts w:ascii="宋体" w:hAnsi="宋体" w:eastAsia="宋体" w:cs="宋体"/>
          <w:spacing w:val="-1"/>
          <w:sz w:val="19"/>
          <w:szCs w:val="19"/>
        </w:rPr>
        <w:t>防</w:t>
      </w:r>
      <w:r>
        <w:rPr>
          <w:rFonts w:ascii="宋体" w:hAnsi="宋体" w:eastAsia="宋体" w:cs="宋体"/>
          <w:spacing w:val="-41"/>
          <w:sz w:val="19"/>
          <w:szCs w:val="19"/>
        </w:rPr>
        <w:t xml:space="preserve"> </w:t>
      </w:r>
      <w:r>
        <w:rPr>
          <w:rFonts w:ascii="宋体" w:hAnsi="宋体" w:eastAsia="宋体" w:cs="宋体"/>
          <w:spacing w:val="-1"/>
          <w:sz w:val="19"/>
          <w:szCs w:val="19"/>
        </w:rPr>
        <w:t>策</w:t>
      </w:r>
      <w:r>
        <w:rPr>
          <w:rFonts w:ascii="宋体" w:hAnsi="宋体" w:eastAsia="宋体" w:cs="宋体"/>
          <w:spacing w:val="-33"/>
          <w:sz w:val="19"/>
          <w:szCs w:val="19"/>
        </w:rPr>
        <w:t xml:space="preserve"> </w:t>
      </w:r>
      <w:r>
        <w:rPr>
          <w:rFonts w:ascii="宋体" w:hAnsi="宋体" w:eastAsia="宋体" w:cs="宋体"/>
          <w:spacing w:val="-1"/>
          <w:sz w:val="19"/>
          <w:szCs w:val="19"/>
        </w:rPr>
        <w:t>略</w:t>
      </w:r>
      <w:r>
        <w:rPr>
          <w:rFonts w:ascii="宋体" w:hAnsi="宋体" w:eastAsia="宋体" w:cs="宋体"/>
          <w:spacing w:val="-28"/>
          <w:sz w:val="19"/>
          <w:szCs w:val="19"/>
        </w:rPr>
        <w:t xml:space="preserve"> </w:t>
      </w:r>
      <w:r>
        <w:rPr>
          <w:rFonts w:ascii="宋体" w:hAnsi="宋体" w:eastAsia="宋体" w:cs="宋体"/>
          <w:spacing w:val="-1"/>
          <w:sz w:val="19"/>
          <w:szCs w:val="19"/>
        </w:rPr>
        <w:t>1</w:t>
      </w:r>
      <w:r>
        <w:rPr>
          <w:rFonts w:ascii="宋体" w:hAnsi="宋体" w:eastAsia="宋体" w:cs="宋体"/>
          <w:spacing w:val="-41"/>
          <w:sz w:val="19"/>
          <w:szCs w:val="19"/>
        </w:rPr>
        <w:t xml:space="preserve"> </w:t>
      </w:r>
      <w:r>
        <w:rPr>
          <w:rFonts w:ascii="宋体" w:hAnsi="宋体" w:eastAsia="宋体" w:cs="宋体"/>
          <w:spacing w:val="-1"/>
          <w:sz w:val="19"/>
          <w:szCs w:val="19"/>
        </w:rPr>
        <w:t>9</w:t>
      </w:r>
      <w:r>
        <w:rPr>
          <w:rFonts w:ascii="宋体" w:hAnsi="宋体" w:eastAsia="宋体" w:cs="宋体"/>
          <w:spacing w:val="-41"/>
          <w:sz w:val="19"/>
          <w:szCs w:val="19"/>
        </w:rPr>
        <w:t xml:space="preserve"> </w:t>
      </w:r>
      <w:r>
        <w:rPr>
          <w:rFonts w:ascii="宋体" w:hAnsi="宋体" w:eastAsia="宋体" w:cs="宋体"/>
          <w:spacing w:val="-1"/>
          <w:sz w:val="19"/>
          <w:szCs w:val="19"/>
        </w:rPr>
        <w:t>9</w:t>
      </w:r>
      <w:r>
        <w:rPr>
          <w:rFonts w:ascii="宋体" w:hAnsi="宋体" w:eastAsia="宋体" w:cs="宋体"/>
          <w:spacing w:val="-41"/>
          <w:sz w:val="19"/>
          <w:szCs w:val="19"/>
        </w:rPr>
        <w:t xml:space="preserve"> </w:t>
      </w:r>
      <w:r>
        <w:rPr>
          <w:rFonts w:ascii="宋体" w:hAnsi="宋体" w:eastAsia="宋体" w:cs="宋体"/>
          <w:spacing w:val="-1"/>
          <w:sz w:val="19"/>
          <w:szCs w:val="19"/>
        </w:rPr>
        <w:t>8</w:t>
      </w:r>
      <w:r>
        <w:rPr>
          <w:rFonts w:ascii="宋体" w:hAnsi="宋体" w:eastAsia="宋体" w:cs="宋体"/>
          <w:spacing w:val="-41"/>
          <w:sz w:val="19"/>
          <w:szCs w:val="19"/>
        </w:rPr>
        <w:t xml:space="preserve"> </w:t>
      </w:r>
      <w:r>
        <w:rPr>
          <w:rFonts w:ascii="宋体" w:hAnsi="宋体" w:eastAsia="宋体" w:cs="宋体"/>
          <w:spacing w:val="-1"/>
          <w:sz w:val="19"/>
          <w:szCs w:val="19"/>
        </w:rPr>
        <w:t>年</w:t>
      </w:r>
      <w:r>
        <w:rPr>
          <w:rFonts w:ascii="Times New Roman" w:hAnsi="Times New Roman" w:eastAsia="Times New Roman" w:cs="Times New Roman"/>
          <w:spacing w:val="-1"/>
          <w:sz w:val="19"/>
          <w:szCs w:val="19"/>
        </w:rPr>
        <w:t xml:space="preserve">COPD </w:t>
      </w:r>
      <w:r>
        <w:rPr>
          <w:rFonts w:ascii="宋体" w:hAnsi="宋体" w:eastAsia="宋体" w:cs="宋体"/>
          <w:spacing w:val="-1"/>
          <w:sz w:val="19"/>
          <w:szCs w:val="19"/>
        </w:rPr>
        <w:t>全球倡议</w:t>
      </w:r>
      <w:r>
        <w:rPr>
          <w:rFonts w:ascii="Times New Roman" w:hAnsi="Times New Roman" w:eastAsia="Times New Roman" w:cs="Times New Roman"/>
          <w:spacing w:val="-1"/>
          <w:sz w:val="19"/>
          <w:szCs w:val="19"/>
        </w:rPr>
        <w:t>(Global</w:t>
      </w:r>
      <w:r>
        <w:rPr>
          <w:rFonts w:ascii="Times New Roman" w:hAnsi="Times New Roman" w:eastAsia="Times New Roman" w:cs="Times New Roman"/>
          <w:spacing w:val="15"/>
          <w:w w:val="101"/>
          <w:sz w:val="19"/>
          <w:szCs w:val="19"/>
        </w:rPr>
        <w:t xml:space="preserve">  </w:t>
      </w:r>
      <w:r>
        <w:rPr>
          <w:rFonts w:ascii="Times New Roman" w:hAnsi="Times New Roman" w:eastAsia="Times New Roman" w:cs="Times New Roman"/>
          <w:spacing w:val="-1"/>
          <w:sz w:val="19"/>
          <w:szCs w:val="19"/>
        </w:rPr>
        <w:t>Initiative</w:t>
      </w:r>
      <w:r>
        <w:rPr>
          <w:rFonts w:ascii="Times New Roman" w:hAnsi="Times New Roman" w:eastAsia="Times New Roman" w:cs="Times New Roman"/>
          <w:spacing w:val="16"/>
          <w:w w:val="102"/>
          <w:sz w:val="19"/>
          <w:szCs w:val="19"/>
        </w:rPr>
        <w:t xml:space="preserve">  </w:t>
      </w:r>
      <w:r>
        <w:rPr>
          <w:rFonts w:ascii="Times New Roman" w:hAnsi="Times New Roman" w:eastAsia="Times New Roman" w:cs="Times New Roman"/>
          <w:spacing w:val="-1"/>
          <w:sz w:val="19"/>
          <w:szCs w:val="19"/>
        </w:rPr>
        <w:t>for</w:t>
      </w:r>
      <w:r>
        <w:rPr>
          <w:rFonts w:ascii="Times New Roman" w:hAnsi="Times New Roman" w:eastAsia="Times New Roman" w:cs="Times New Roman"/>
          <w:spacing w:val="15"/>
          <w:w w:val="101"/>
          <w:sz w:val="19"/>
          <w:szCs w:val="19"/>
        </w:rPr>
        <w:t xml:space="preserve">  </w:t>
      </w:r>
      <w:r>
        <w:rPr>
          <w:rFonts w:ascii="Times New Roman" w:hAnsi="Times New Roman" w:eastAsia="Times New Roman" w:cs="Times New Roman"/>
          <w:spacing w:val="-1"/>
          <w:sz w:val="19"/>
          <w:szCs w:val="19"/>
        </w:rPr>
        <w:t>Chro</w:t>
      </w:r>
      <w:r>
        <w:rPr>
          <w:rFonts w:ascii="Times New Roman" w:hAnsi="Times New Roman" w:eastAsia="Times New Roman" w:cs="Times New Roman"/>
          <w:spacing w:val="-2"/>
          <w:sz w:val="19"/>
          <w:szCs w:val="19"/>
        </w:rPr>
        <w:t>nic</w:t>
      </w:r>
      <w:r>
        <w:rPr>
          <w:rFonts w:ascii="Times New Roman" w:hAnsi="Times New Roman" w:eastAsia="Times New Roman" w:cs="Times New Roman"/>
          <w:spacing w:val="16"/>
          <w:w w:val="101"/>
          <w:sz w:val="19"/>
          <w:szCs w:val="19"/>
        </w:rPr>
        <w:t xml:space="preserve">  </w:t>
      </w:r>
      <w:r>
        <w:rPr>
          <w:rFonts w:ascii="Times New Roman" w:hAnsi="Times New Roman" w:eastAsia="Times New Roman" w:cs="Times New Roman"/>
          <w:spacing w:val="-2"/>
          <w:sz w:val="19"/>
          <w:szCs w:val="19"/>
        </w:rPr>
        <w:t>Obstructive</w:t>
      </w:r>
      <w:r>
        <w:rPr>
          <w:rFonts w:ascii="Times New Roman" w:hAnsi="Times New Roman" w:eastAsia="Times New Roman" w:cs="Times New Roman"/>
          <w:spacing w:val="15"/>
          <w:sz w:val="19"/>
          <w:szCs w:val="19"/>
        </w:rPr>
        <w:t xml:space="preserve">  </w:t>
      </w:r>
      <w:r>
        <w:rPr>
          <w:rFonts w:ascii="Times New Roman" w:hAnsi="Times New Roman" w:eastAsia="Times New Roman" w:cs="Times New Roman"/>
          <w:spacing w:val="-2"/>
          <w:sz w:val="19"/>
          <w:szCs w:val="19"/>
        </w:rPr>
        <w:t>Lung</w:t>
      </w:r>
      <w:r>
        <w:rPr>
          <w:rFonts w:ascii="Times New Roman" w:hAnsi="Times New Roman" w:eastAsia="Times New Roman" w:cs="Times New Roman"/>
          <w:spacing w:val="14"/>
          <w:w w:val="101"/>
          <w:sz w:val="19"/>
          <w:szCs w:val="19"/>
        </w:rPr>
        <w:t xml:space="preserve">  </w:t>
      </w:r>
      <w:r>
        <w:rPr>
          <w:rFonts w:ascii="Times New Roman" w:hAnsi="Times New Roman" w:eastAsia="Times New Roman" w:cs="Times New Roman"/>
          <w:spacing w:val="-2"/>
          <w:sz w:val="19"/>
          <w:szCs w:val="19"/>
        </w:rPr>
        <w:t>Disease,</w:t>
      </w:r>
      <w:r>
        <w:rPr>
          <w:rFonts w:ascii="Times New Roman" w:hAnsi="Times New Roman" w:eastAsia="Times New Roman" w:cs="Times New Roman"/>
          <w:sz w:val="19"/>
          <w:szCs w:val="19"/>
        </w:rPr>
        <w:t xml:space="preserve">    </w:t>
      </w:r>
      <w:r>
        <w:rPr>
          <w:rFonts w:ascii="宋体" w:hAnsi="宋体" w:eastAsia="宋体" w:cs="宋体"/>
          <w:sz w:val="19"/>
          <w:szCs w:val="19"/>
        </w:rPr>
        <w:t>GOLD</w:t>
      </w:r>
      <w:r>
        <w:rPr>
          <w:rFonts w:ascii="宋体" w:hAnsi="宋体" w:eastAsia="宋体" w:cs="宋体"/>
          <w:spacing w:val="11"/>
          <w:sz w:val="19"/>
          <w:szCs w:val="19"/>
        </w:rPr>
        <w:t>)</w:t>
      </w:r>
      <w:r>
        <w:rPr>
          <w:rFonts w:ascii="宋体" w:hAnsi="宋体" w:eastAsia="宋体" w:cs="宋体"/>
          <w:spacing w:val="75"/>
          <w:sz w:val="19"/>
          <w:szCs w:val="19"/>
        </w:rPr>
        <w:t xml:space="preserve"> </w:t>
      </w:r>
      <w:r>
        <w:rPr>
          <w:rFonts w:ascii="宋体" w:hAnsi="宋体" w:eastAsia="宋体" w:cs="宋体"/>
          <w:spacing w:val="11"/>
          <w:sz w:val="19"/>
          <w:szCs w:val="19"/>
        </w:rPr>
        <w:t>计划启动，其目标是根据现有的最佳科学信息提出</w:t>
      </w:r>
      <w:r>
        <w:rPr>
          <w:rFonts w:ascii="宋体" w:hAnsi="宋体" w:eastAsia="宋体" w:cs="宋体"/>
          <w:sz w:val="19"/>
          <w:szCs w:val="19"/>
        </w:rPr>
        <w:t>COPD</w:t>
      </w:r>
      <w:r>
        <w:rPr>
          <w:rFonts w:ascii="宋体" w:hAnsi="宋体" w:eastAsia="宋体" w:cs="宋体"/>
          <w:spacing w:val="3"/>
          <w:sz w:val="19"/>
          <w:szCs w:val="19"/>
        </w:rPr>
        <w:t xml:space="preserve">  </w:t>
      </w:r>
      <w:r>
        <w:rPr>
          <w:rFonts w:ascii="宋体" w:hAnsi="宋体" w:eastAsia="宋体" w:cs="宋体"/>
          <w:spacing w:val="11"/>
          <w:sz w:val="19"/>
          <w:szCs w:val="19"/>
        </w:rPr>
        <w:t>管</w:t>
      </w:r>
      <w:r>
        <w:rPr>
          <w:rFonts w:ascii="宋体" w:hAnsi="宋体" w:eastAsia="宋体" w:cs="宋体"/>
          <w:spacing w:val="10"/>
          <w:sz w:val="19"/>
          <w:szCs w:val="19"/>
        </w:rPr>
        <w:t>理建议。2023年11月，《2024</w:t>
      </w:r>
      <w:r>
        <w:rPr>
          <w:rFonts w:ascii="宋体" w:hAnsi="宋体" w:eastAsia="宋体" w:cs="宋体"/>
          <w:sz w:val="19"/>
          <w:szCs w:val="19"/>
        </w:rPr>
        <w:t xml:space="preserve">  </w:t>
      </w:r>
      <w:r>
        <w:rPr>
          <w:rFonts w:ascii="宋体" w:hAnsi="宋体" w:eastAsia="宋体" w:cs="宋体"/>
          <w:spacing w:val="3"/>
          <w:sz w:val="19"/>
          <w:szCs w:val="19"/>
        </w:rPr>
        <w:t>年</w:t>
      </w:r>
      <w:r>
        <w:rPr>
          <w:rFonts w:ascii="宋体" w:hAnsi="宋体" w:eastAsia="宋体" w:cs="宋体"/>
          <w:spacing w:val="-47"/>
          <w:sz w:val="19"/>
          <w:szCs w:val="19"/>
        </w:rPr>
        <w:t xml:space="preserve"> </w:t>
      </w:r>
      <w:r>
        <w:rPr>
          <w:rFonts w:ascii="宋体" w:hAnsi="宋体" w:eastAsia="宋体" w:cs="宋体"/>
          <w:sz w:val="19"/>
          <w:szCs w:val="19"/>
        </w:rPr>
        <w:t>GOLD</w:t>
      </w:r>
      <w:r>
        <w:rPr>
          <w:rFonts w:ascii="宋体" w:hAnsi="宋体" w:eastAsia="宋体" w:cs="宋体"/>
          <w:spacing w:val="81"/>
          <w:sz w:val="19"/>
          <w:szCs w:val="19"/>
        </w:rPr>
        <w:t xml:space="preserve"> </w:t>
      </w:r>
      <w:r>
        <w:rPr>
          <w:rFonts w:ascii="宋体" w:hAnsi="宋体" w:eastAsia="宋体" w:cs="宋体"/>
          <w:spacing w:val="3"/>
          <w:sz w:val="19"/>
          <w:szCs w:val="19"/>
        </w:rPr>
        <w:t>慢性阻塞性肺疾病诊断、治疗、管理及预防全球策略》发布，强调主要治疗管理目标是</w:t>
      </w:r>
      <w:r>
        <w:rPr>
          <w:rFonts w:ascii="宋体" w:hAnsi="宋体" w:eastAsia="宋体" w:cs="宋体"/>
          <w:spacing w:val="2"/>
          <w:sz w:val="19"/>
          <w:szCs w:val="19"/>
        </w:rPr>
        <w:t>减少</w:t>
      </w:r>
      <w:r>
        <w:rPr>
          <w:rFonts w:ascii="宋体" w:hAnsi="宋体" w:eastAsia="宋体" w:cs="宋体"/>
          <w:sz w:val="19"/>
          <w:szCs w:val="19"/>
        </w:rPr>
        <w:t xml:space="preserve">  </w:t>
      </w:r>
      <w:r>
        <w:rPr>
          <w:rFonts w:ascii="宋体" w:hAnsi="宋体" w:eastAsia="宋体" w:cs="宋体"/>
          <w:spacing w:val="9"/>
          <w:sz w:val="19"/>
          <w:szCs w:val="19"/>
        </w:rPr>
        <w:t>症状和未来病情加重的风险。对</w:t>
      </w:r>
      <w:r>
        <w:rPr>
          <w:rFonts w:ascii="Times New Roman" w:hAnsi="Times New Roman" w:eastAsia="Times New Roman" w:cs="Times New Roman"/>
          <w:sz w:val="19"/>
          <w:szCs w:val="19"/>
        </w:rPr>
        <w:t>COPD</w:t>
      </w:r>
      <w:r>
        <w:rPr>
          <w:rFonts w:ascii="Times New Roman" w:hAnsi="Times New Roman" w:eastAsia="Times New Roman" w:cs="Times New Roman"/>
          <w:spacing w:val="9"/>
          <w:sz w:val="19"/>
          <w:szCs w:val="19"/>
        </w:rPr>
        <w:t xml:space="preserve"> </w:t>
      </w:r>
      <w:r>
        <w:rPr>
          <w:rFonts w:ascii="宋体" w:hAnsi="宋体" w:eastAsia="宋体" w:cs="宋体"/>
          <w:spacing w:val="9"/>
          <w:sz w:val="19"/>
          <w:szCs w:val="19"/>
        </w:rPr>
        <w:t>患者应评估其气流阻塞的严重程度、症状、恶</w:t>
      </w:r>
      <w:r>
        <w:rPr>
          <w:rFonts w:ascii="宋体" w:hAnsi="宋体" w:eastAsia="宋体" w:cs="宋体"/>
          <w:spacing w:val="8"/>
          <w:sz w:val="19"/>
          <w:szCs w:val="19"/>
        </w:rPr>
        <w:t>化史、危险因</w:t>
      </w:r>
      <w:r>
        <w:rPr>
          <w:rFonts w:ascii="宋体" w:hAnsi="宋体" w:eastAsia="宋体" w:cs="宋体"/>
          <w:sz w:val="19"/>
          <w:szCs w:val="19"/>
        </w:rPr>
        <w:t xml:space="preserve">  </w:t>
      </w:r>
      <w:r>
        <w:rPr>
          <w:rFonts w:ascii="宋体" w:hAnsi="宋体" w:eastAsia="宋体" w:cs="宋体"/>
          <w:spacing w:val="13"/>
          <w:sz w:val="19"/>
          <w:szCs w:val="19"/>
        </w:rPr>
        <w:t>素暴露和合并症等，以确定管理方案。《健康中国行动</w:t>
      </w:r>
      <w:r>
        <w:rPr>
          <w:rFonts w:ascii="宋体" w:hAnsi="宋体" w:eastAsia="宋体" w:cs="宋体"/>
          <w:spacing w:val="12"/>
          <w:sz w:val="19"/>
          <w:szCs w:val="19"/>
        </w:rPr>
        <w:t>——慢性呼吸系统疾病防治行动实施方案</w:t>
      </w:r>
      <w:r>
        <w:rPr>
          <w:rFonts w:ascii="宋体" w:hAnsi="宋体" w:eastAsia="宋体" w:cs="宋体"/>
          <w:sz w:val="19"/>
          <w:szCs w:val="19"/>
        </w:rPr>
        <w:t xml:space="preserve">  </w:t>
      </w:r>
      <w:r>
        <w:rPr>
          <w:rFonts w:ascii="宋体" w:hAnsi="宋体" w:eastAsia="宋体" w:cs="宋体"/>
          <w:spacing w:val="11"/>
          <w:sz w:val="19"/>
          <w:szCs w:val="19"/>
        </w:rPr>
        <w:t>(2024—2030年)》提出，完善慢性呼吸系统疾病防治体系建设，动员全社会参与慢性呼吸系统疾</w:t>
      </w:r>
      <w:r>
        <w:rPr>
          <w:rFonts w:ascii="宋体" w:hAnsi="宋体" w:eastAsia="宋体" w:cs="宋体"/>
          <w:spacing w:val="4"/>
          <w:sz w:val="19"/>
          <w:szCs w:val="19"/>
        </w:rPr>
        <w:t xml:space="preserve">  </w:t>
      </w:r>
      <w:r>
        <w:rPr>
          <w:rFonts w:ascii="宋体" w:hAnsi="宋体" w:eastAsia="宋体" w:cs="宋体"/>
          <w:spacing w:val="8"/>
          <w:sz w:val="19"/>
          <w:szCs w:val="19"/>
        </w:rPr>
        <w:t>病及其危险因素全程管理，倡导健康生活方式，普及健康知识，中西医并重，加</w:t>
      </w:r>
      <w:r>
        <w:rPr>
          <w:rFonts w:ascii="宋体" w:hAnsi="宋体" w:eastAsia="宋体" w:cs="宋体"/>
          <w:spacing w:val="7"/>
          <w:sz w:val="19"/>
          <w:szCs w:val="19"/>
        </w:rPr>
        <w:t>强慢性呼吸系统疾</w:t>
      </w:r>
      <w:r>
        <w:rPr>
          <w:rFonts w:ascii="宋体" w:hAnsi="宋体" w:eastAsia="宋体" w:cs="宋体"/>
          <w:sz w:val="19"/>
          <w:szCs w:val="19"/>
        </w:rPr>
        <w:t xml:space="preserve">  </w:t>
      </w:r>
      <w:r>
        <w:rPr>
          <w:rFonts w:ascii="宋体" w:hAnsi="宋体" w:eastAsia="宋体" w:cs="宋体"/>
          <w:spacing w:val="10"/>
          <w:sz w:val="19"/>
          <w:szCs w:val="19"/>
        </w:rPr>
        <w:t>病的早筛、早诊和早治，加强政策引导和资源配置，有效遏制慢性呼吸系统疾病增长</w:t>
      </w:r>
      <w:r>
        <w:rPr>
          <w:rFonts w:ascii="宋体" w:hAnsi="宋体" w:eastAsia="宋体" w:cs="宋体"/>
          <w:spacing w:val="9"/>
          <w:sz w:val="19"/>
          <w:szCs w:val="19"/>
        </w:rPr>
        <w:t>带来的危害。</w:t>
      </w:r>
      <w:r>
        <w:rPr>
          <w:rFonts w:ascii="宋体" w:hAnsi="宋体" w:eastAsia="宋体" w:cs="宋体"/>
          <w:sz w:val="19"/>
          <w:szCs w:val="19"/>
        </w:rPr>
        <w:t xml:space="preserve"> </w:t>
      </w:r>
      <w:r>
        <w:rPr>
          <w:rFonts w:ascii="宋体" w:hAnsi="宋体" w:eastAsia="宋体" w:cs="宋体"/>
          <w:spacing w:val="11"/>
          <w:sz w:val="19"/>
          <w:szCs w:val="19"/>
        </w:rPr>
        <w:t>方案设立了具体的目标：到2030年，70岁及以下人群慢性呼吸系统疾病死亡率下降到8.1/10万及</w:t>
      </w:r>
      <w:r>
        <w:rPr>
          <w:rFonts w:ascii="宋体" w:hAnsi="宋体" w:eastAsia="宋体" w:cs="宋体"/>
          <w:sz w:val="19"/>
          <w:szCs w:val="19"/>
        </w:rPr>
        <w:t xml:space="preserve">  </w:t>
      </w:r>
      <w:r>
        <w:rPr>
          <w:rFonts w:ascii="宋体" w:hAnsi="宋体" w:eastAsia="宋体" w:cs="宋体"/>
          <w:spacing w:val="1"/>
          <w:sz w:val="19"/>
          <w:szCs w:val="19"/>
        </w:rPr>
        <w:t>以下。</w:t>
      </w:r>
    </w:p>
    <w:p w14:paraId="1E85A896">
      <w:pPr>
        <w:pStyle w:val="2"/>
        <w:spacing w:before="119" w:line="221" w:lineRule="auto"/>
        <w:ind w:left="1030"/>
        <w:rPr>
          <w:sz w:val="19"/>
          <w:szCs w:val="19"/>
        </w:rPr>
      </w:pPr>
      <w:r>
        <w:rPr>
          <w:rFonts w:ascii="宋体" w:hAnsi="宋体" w:eastAsia="宋体" w:cs="宋体"/>
          <w:spacing w:val="8"/>
          <w:sz w:val="19"/>
          <w:szCs w:val="19"/>
        </w:rPr>
        <w:t>2.</w:t>
      </w:r>
      <w:r>
        <w:rPr>
          <w:rFonts w:ascii="宋体" w:hAnsi="宋体" w:eastAsia="宋体" w:cs="宋体"/>
          <w:spacing w:val="-6"/>
          <w:sz w:val="19"/>
          <w:szCs w:val="19"/>
        </w:rPr>
        <w:t xml:space="preserve"> </w:t>
      </w:r>
      <w:r>
        <w:rPr>
          <w:spacing w:val="8"/>
          <w:sz w:val="19"/>
          <w:szCs w:val="19"/>
        </w:rPr>
        <w:t>预防措施</w:t>
      </w:r>
    </w:p>
    <w:p w14:paraId="70F1C676">
      <w:pPr>
        <w:spacing w:before="173" w:line="324" w:lineRule="auto"/>
        <w:ind w:left="640" w:right="82" w:firstLine="379"/>
        <w:rPr>
          <w:rFonts w:ascii="宋体" w:hAnsi="宋体" w:eastAsia="宋体" w:cs="宋体"/>
          <w:sz w:val="19"/>
          <w:szCs w:val="19"/>
        </w:rPr>
      </w:pPr>
      <w:r>
        <w:rPr>
          <w:rFonts w:ascii="宋体" w:hAnsi="宋体" w:eastAsia="宋体" w:cs="宋体"/>
          <w:spacing w:val="10"/>
          <w:sz w:val="19"/>
          <w:szCs w:val="19"/>
        </w:rPr>
        <w:t>(1)第一级预防：第一级预防措施的对象是一般人群，目的是预防和延缓易感高危人群和高危</w:t>
      </w:r>
      <w:r>
        <w:rPr>
          <w:rFonts w:ascii="宋体" w:hAnsi="宋体" w:eastAsia="宋体" w:cs="宋体"/>
          <w:spacing w:val="13"/>
          <w:sz w:val="19"/>
          <w:szCs w:val="19"/>
        </w:rPr>
        <w:t xml:space="preserve"> </w:t>
      </w:r>
      <w:r>
        <w:rPr>
          <w:rFonts w:ascii="宋体" w:hAnsi="宋体" w:eastAsia="宋体" w:cs="宋体"/>
          <w:spacing w:val="9"/>
          <w:sz w:val="19"/>
          <w:szCs w:val="19"/>
        </w:rPr>
        <w:t>社区发生</w:t>
      </w:r>
      <w:r>
        <w:rPr>
          <w:rFonts w:ascii="Times New Roman" w:hAnsi="Times New Roman" w:eastAsia="Times New Roman" w:cs="Times New Roman"/>
          <w:sz w:val="19"/>
          <w:szCs w:val="19"/>
        </w:rPr>
        <w:t>COPD</w:t>
      </w:r>
      <w:r>
        <w:rPr>
          <w:rFonts w:ascii="宋体" w:hAnsi="宋体" w:eastAsia="宋体" w:cs="宋体"/>
          <w:spacing w:val="9"/>
          <w:sz w:val="19"/>
          <w:szCs w:val="19"/>
        </w:rPr>
        <w:t>。一级预防措施包括：①通过健康教育和健康促进手段，提高全社会对</w:t>
      </w:r>
      <w:r>
        <w:rPr>
          <w:rFonts w:ascii="Times New Roman" w:hAnsi="Times New Roman" w:eastAsia="Times New Roman" w:cs="Times New Roman"/>
          <w:sz w:val="19"/>
          <w:szCs w:val="19"/>
        </w:rPr>
        <w:t>COPD</w:t>
      </w:r>
      <w:r>
        <w:rPr>
          <w:rFonts w:ascii="Times New Roman" w:hAnsi="Times New Roman" w:eastAsia="Times New Roman" w:cs="Times New Roman"/>
          <w:spacing w:val="23"/>
          <w:w w:val="101"/>
          <w:sz w:val="19"/>
          <w:szCs w:val="19"/>
        </w:rPr>
        <w:t xml:space="preserve"> </w:t>
      </w:r>
      <w:r>
        <w:rPr>
          <w:rFonts w:ascii="宋体" w:hAnsi="宋体" w:eastAsia="宋体" w:cs="宋体"/>
          <w:spacing w:val="9"/>
          <w:sz w:val="19"/>
          <w:szCs w:val="19"/>
        </w:rPr>
        <w:t>危</w:t>
      </w:r>
      <w:r>
        <w:rPr>
          <w:rFonts w:ascii="宋体" w:hAnsi="宋体" w:eastAsia="宋体" w:cs="宋体"/>
          <w:spacing w:val="-32"/>
          <w:sz w:val="19"/>
          <w:szCs w:val="19"/>
        </w:rPr>
        <w:t xml:space="preserve"> </w:t>
      </w:r>
      <w:r>
        <w:rPr>
          <w:rFonts w:ascii="宋体" w:hAnsi="宋体" w:eastAsia="宋体" w:cs="宋体"/>
          <w:spacing w:val="9"/>
          <w:sz w:val="19"/>
          <w:szCs w:val="19"/>
        </w:rPr>
        <w:t>害</w:t>
      </w:r>
      <w:r>
        <w:rPr>
          <w:rFonts w:ascii="宋体" w:hAnsi="宋体" w:eastAsia="宋体" w:cs="宋体"/>
          <w:sz w:val="19"/>
          <w:szCs w:val="19"/>
        </w:rPr>
        <w:t xml:space="preserve"> </w:t>
      </w:r>
      <w:r>
        <w:rPr>
          <w:rFonts w:ascii="宋体" w:hAnsi="宋体" w:eastAsia="宋体" w:cs="宋体"/>
          <w:spacing w:val="8"/>
          <w:sz w:val="19"/>
          <w:szCs w:val="19"/>
        </w:rPr>
        <w:t>的认识。②提倡健康的生活方式，加强体育锻炼和身体活动。③降低危险因素暴露，</w:t>
      </w:r>
      <w:r>
        <w:rPr>
          <w:rFonts w:ascii="宋体" w:hAnsi="宋体" w:eastAsia="宋体" w:cs="宋体"/>
          <w:spacing w:val="7"/>
          <w:sz w:val="19"/>
          <w:szCs w:val="19"/>
        </w:rPr>
        <w:t>如戒烟；加强</w:t>
      </w:r>
      <w:r>
        <w:rPr>
          <w:rFonts w:ascii="宋体" w:hAnsi="宋体" w:eastAsia="宋体" w:cs="宋体"/>
          <w:sz w:val="19"/>
          <w:szCs w:val="19"/>
        </w:rPr>
        <w:t xml:space="preserve"> </w:t>
      </w:r>
      <w:r>
        <w:rPr>
          <w:rFonts w:ascii="宋体" w:hAnsi="宋体" w:eastAsia="宋体" w:cs="宋体"/>
          <w:spacing w:val="8"/>
          <w:sz w:val="19"/>
          <w:szCs w:val="19"/>
        </w:rPr>
        <w:t>对环境保护和空气净化的宣传；对于高危职业人群，需要采取必要的劳动保护措施。</w:t>
      </w:r>
      <w:r>
        <w:rPr>
          <w:rFonts w:ascii="宋体" w:hAnsi="宋体" w:eastAsia="宋体" w:cs="宋体"/>
          <w:spacing w:val="7"/>
          <w:sz w:val="19"/>
          <w:szCs w:val="19"/>
        </w:rPr>
        <w:t>④接种流感疫</w:t>
      </w:r>
      <w:r>
        <w:rPr>
          <w:rFonts w:ascii="宋体" w:hAnsi="宋体" w:eastAsia="宋体" w:cs="宋体"/>
          <w:sz w:val="19"/>
          <w:szCs w:val="19"/>
        </w:rPr>
        <w:t xml:space="preserve"> </w:t>
      </w:r>
      <w:r>
        <w:rPr>
          <w:rFonts w:ascii="宋体" w:hAnsi="宋体" w:eastAsia="宋体" w:cs="宋体"/>
          <w:spacing w:val="6"/>
          <w:sz w:val="19"/>
          <w:szCs w:val="19"/>
        </w:rPr>
        <w:t>苗和肺炎疫苗。</w:t>
      </w:r>
    </w:p>
    <w:p w14:paraId="6089F635">
      <w:pPr>
        <w:spacing w:before="171" w:line="325" w:lineRule="auto"/>
        <w:ind w:left="640" w:firstLine="389"/>
        <w:rPr>
          <w:rFonts w:ascii="宋体" w:hAnsi="宋体" w:eastAsia="宋体" w:cs="宋体"/>
          <w:sz w:val="19"/>
          <w:szCs w:val="19"/>
        </w:rPr>
      </w:pPr>
      <w:r>
        <w:rPr>
          <w:rFonts w:ascii="宋体" w:hAnsi="宋体" w:eastAsia="宋体" w:cs="宋体"/>
          <w:spacing w:val="6"/>
          <w:sz w:val="19"/>
          <w:szCs w:val="19"/>
        </w:rPr>
        <w:t>(2)第二级预防：第二级预防主要针对高危人群，做到早发现、早诊断、</w:t>
      </w:r>
      <w:r>
        <w:rPr>
          <w:rFonts w:ascii="宋体" w:hAnsi="宋体" w:eastAsia="宋体" w:cs="宋体"/>
          <w:spacing w:val="5"/>
          <w:sz w:val="19"/>
          <w:szCs w:val="19"/>
        </w:rPr>
        <w:t>早治疗。凡是年龄≥40</w:t>
      </w:r>
      <w:r>
        <w:rPr>
          <w:rFonts w:ascii="宋体" w:hAnsi="宋体" w:eastAsia="宋体" w:cs="宋体"/>
          <w:sz w:val="19"/>
          <w:szCs w:val="19"/>
        </w:rPr>
        <w:t xml:space="preserve"> </w:t>
      </w:r>
      <w:r>
        <w:rPr>
          <w:rFonts w:ascii="宋体" w:hAnsi="宋体" w:eastAsia="宋体" w:cs="宋体"/>
          <w:spacing w:val="5"/>
          <w:sz w:val="19"/>
          <w:szCs w:val="19"/>
        </w:rPr>
        <w:t>岁和/或有危险因素暴露史(如吸烟、粉尘或生物燃料暴露等),有慢性咳嗽、咳痰、呼吸困难等症状，</w:t>
      </w:r>
      <w:r>
        <w:rPr>
          <w:rFonts w:ascii="宋体" w:hAnsi="宋体" w:eastAsia="宋体" w:cs="宋体"/>
          <w:spacing w:val="4"/>
          <w:sz w:val="19"/>
          <w:szCs w:val="19"/>
        </w:rPr>
        <w:t xml:space="preserve"> </w:t>
      </w:r>
      <w:r>
        <w:rPr>
          <w:rFonts w:ascii="宋体" w:hAnsi="宋体" w:eastAsia="宋体" w:cs="宋体"/>
          <w:spacing w:val="15"/>
          <w:sz w:val="19"/>
          <w:szCs w:val="19"/>
        </w:rPr>
        <w:t>并</w:t>
      </w:r>
      <w:r>
        <w:rPr>
          <w:rFonts w:ascii="宋体" w:hAnsi="宋体" w:eastAsia="宋体" w:cs="宋体"/>
          <w:spacing w:val="-26"/>
          <w:sz w:val="19"/>
          <w:szCs w:val="19"/>
        </w:rPr>
        <w:t xml:space="preserve"> </w:t>
      </w:r>
      <w:r>
        <w:rPr>
          <w:rFonts w:ascii="宋体" w:hAnsi="宋体" w:eastAsia="宋体" w:cs="宋体"/>
          <w:spacing w:val="15"/>
          <w:sz w:val="19"/>
          <w:szCs w:val="19"/>
        </w:rPr>
        <w:t>且</w:t>
      </w:r>
      <w:r>
        <w:rPr>
          <w:rFonts w:ascii="Times New Roman" w:hAnsi="Times New Roman" w:eastAsia="Times New Roman" w:cs="Times New Roman"/>
          <w:sz w:val="19"/>
          <w:szCs w:val="19"/>
        </w:rPr>
        <w:t>COPD</w:t>
      </w:r>
      <w:r>
        <w:rPr>
          <w:rFonts w:ascii="Times New Roman" w:hAnsi="Times New Roman" w:eastAsia="Times New Roman" w:cs="Times New Roman"/>
          <w:spacing w:val="-18"/>
          <w:sz w:val="19"/>
          <w:szCs w:val="19"/>
        </w:rPr>
        <w:t xml:space="preserve"> </w:t>
      </w:r>
      <w:r>
        <w:rPr>
          <w:rFonts w:ascii="宋体" w:hAnsi="宋体" w:eastAsia="宋体" w:cs="宋体"/>
          <w:spacing w:val="15"/>
          <w:sz w:val="19"/>
          <w:szCs w:val="19"/>
        </w:rPr>
        <w:t>筛查问卷</w:t>
      </w:r>
      <w:r>
        <w:rPr>
          <w:rFonts w:ascii="Times New Roman" w:hAnsi="Times New Roman" w:eastAsia="Times New Roman" w:cs="Times New Roman"/>
          <w:spacing w:val="15"/>
          <w:sz w:val="19"/>
          <w:szCs w:val="19"/>
        </w:rPr>
        <w:t>(</w:t>
      </w:r>
      <w:r>
        <w:rPr>
          <w:rFonts w:ascii="Times New Roman" w:hAnsi="Times New Roman" w:eastAsia="Times New Roman" w:cs="Times New Roman"/>
          <w:sz w:val="19"/>
          <w:szCs w:val="19"/>
        </w:rPr>
        <w:t>COPD</w:t>
      </w:r>
      <w:r>
        <w:rPr>
          <w:rFonts w:ascii="Times New Roman" w:hAnsi="Times New Roman" w:eastAsia="Times New Roman" w:cs="Times New Roman"/>
          <w:spacing w:val="15"/>
          <w:sz w:val="19"/>
          <w:szCs w:val="19"/>
        </w:rPr>
        <w:t>-</w:t>
      </w:r>
      <w:r>
        <w:rPr>
          <w:rFonts w:ascii="Times New Roman" w:hAnsi="Times New Roman" w:eastAsia="Times New Roman" w:cs="Times New Roman"/>
          <w:sz w:val="19"/>
          <w:szCs w:val="19"/>
        </w:rPr>
        <w:t>SQ</w:t>
      </w:r>
      <w:r>
        <w:rPr>
          <w:rFonts w:ascii="Times New Roman" w:hAnsi="Times New Roman" w:eastAsia="Times New Roman" w:cs="Times New Roman"/>
          <w:spacing w:val="15"/>
          <w:sz w:val="19"/>
          <w:szCs w:val="19"/>
        </w:rPr>
        <w:t>)</w:t>
      </w:r>
      <w:r>
        <w:rPr>
          <w:rFonts w:ascii="Times New Roman" w:hAnsi="Times New Roman" w:eastAsia="Times New Roman" w:cs="Times New Roman"/>
          <w:spacing w:val="31"/>
          <w:w w:val="102"/>
          <w:sz w:val="19"/>
          <w:szCs w:val="19"/>
        </w:rPr>
        <w:t xml:space="preserve"> </w:t>
      </w:r>
      <w:r>
        <w:rPr>
          <w:rFonts w:ascii="宋体" w:hAnsi="宋体" w:eastAsia="宋体" w:cs="宋体"/>
          <w:spacing w:val="15"/>
          <w:sz w:val="19"/>
          <w:szCs w:val="19"/>
        </w:rPr>
        <w:t>得分≥16分者，均应考虑其为</w:t>
      </w:r>
      <w:r>
        <w:rPr>
          <w:rFonts w:ascii="Times New Roman" w:hAnsi="Times New Roman" w:eastAsia="Times New Roman" w:cs="Times New Roman"/>
          <w:sz w:val="19"/>
          <w:szCs w:val="19"/>
        </w:rPr>
        <w:t>COPD</w:t>
      </w:r>
      <w:r>
        <w:rPr>
          <w:rFonts w:ascii="Times New Roman" w:hAnsi="Times New Roman" w:eastAsia="Times New Roman" w:cs="Times New Roman"/>
          <w:spacing w:val="32"/>
          <w:w w:val="101"/>
          <w:sz w:val="19"/>
          <w:szCs w:val="19"/>
        </w:rPr>
        <w:t xml:space="preserve"> </w:t>
      </w:r>
      <w:r>
        <w:rPr>
          <w:rFonts w:ascii="宋体" w:hAnsi="宋体" w:eastAsia="宋体" w:cs="宋体"/>
          <w:spacing w:val="15"/>
          <w:sz w:val="19"/>
          <w:szCs w:val="19"/>
        </w:rPr>
        <w:t>高危人群。建议</w:t>
      </w:r>
      <w:r>
        <w:rPr>
          <w:rFonts w:ascii="宋体" w:hAnsi="宋体" w:eastAsia="宋体" w:cs="宋体"/>
          <w:spacing w:val="14"/>
          <w:sz w:val="19"/>
          <w:szCs w:val="19"/>
        </w:rPr>
        <w:t>每年做1次</w:t>
      </w:r>
      <w:r>
        <w:rPr>
          <w:rFonts w:ascii="宋体" w:hAnsi="宋体" w:eastAsia="宋体" w:cs="宋体"/>
          <w:sz w:val="19"/>
          <w:szCs w:val="19"/>
        </w:rPr>
        <w:t xml:space="preserve"> </w:t>
      </w:r>
      <w:r>
        <w:rPr>
          <w:rFonts w:ascii="宋体" w:hAnsi="宋体" w:eastAsia="宋体" w:cs="宋体"/>
          <w:spacing w:val="5"/>
          <w:sz w:val="19"/>
          <w:szCs w:val="19"/>
        </w:rPr>
        <w:t>肺功能检查并记录其动态变化，以了解病情变化和治疗效果。</w:t>
      </w:r>
    </w:p>
    <w:p w14:paraId="6F009C8B">
      <w:pPr>
        <w:spacing w:before="121" w:line="332" w:lineRule="auto"/>
        <w:ind w:left="640" w:right="58" w:firstLine="389"/>
        <w:rPr>
          <w:rFonts w:ascii="宋体" w:hAnsi="宋体" w:eastAsia="宋体" w:cs="宋体"/>
          <w:sz w:val="19"/>
          <w:szCs w:val="19"/>
        </w:rPr>
      </w:pPr>
      <w:r>
        <w:rPr>
          <w:rFonts w:ascii="宋体" w:hAnsi="宋体" w:eastAsia="宋体" w:cs="宋体"/>
          <w:spacing w:val="7"/>
          <w:sz w:val="19"/>
          <w:szCs w:val="19"/>
        </w:rPr>
        <w:t>(3)第三级预防：对已诊断的</w:t>
      </w:r>
      <w:r>
        <w:rPr>
          <w:rFonts w:ascii="Times New Roman" w:hAnsi="Times New Roman" w:eastAsia="Times New Roman" w:cs="Times New Roman"/>
          <w:sz w:val="19"/>
          <w:szCs w:val="19"/>
        </w:rPr>
        <w:t>COPD</w:t>
      </w:r>
      <w:r>
        <w:rPr>
          <w:rFonts w:ascii="Times New Roman" w:hAnsi="Times New Roman" w:eastAsia="Times New Roman" w:cs="Times New Roman"/>
          <w:spacing w:val="7"/>
          <w:sz w:val="19"/>
          <w:szCs w:val="19"/>
        </w:rPr>
        <w:t xml:space="preserve"> </w:t>
      </w:r>
      <w:r>
        <w:rPr>
          <w:rFonts w:ascii="宋体" w:hAnsi="宋体" w:eastAsia="宋体" w:cs="宋体"/>
          <w:spacing w:val="7"/>
          <w:sz w:val="19"/>
          <w:szCs w:val="19"/>
        </w:rPr>
        <w:t>患者进行管理，采用个性化方案如</w:t>
      </w:r>
      <w:r>
        <w:rPr>
          <w:rFonts w:ascii="宋体" w:hAnsi="宋体" w:eastAsia="宋体" w:cs="宋体"/>
          <w:spacing w:val="6"/>
          <w:sz w:val="19"/>
          <w:szCs w:val="19"/>
        </w:rPr>
        <w:t>定期检查、规范治疗，以</w:t>
      </w:r>
      <w:r>
        <w:rPr>
          <w:rFonts w:ascii="宋体" w:hAnsi="宋体" w:eastAsia="宋体" w:cs="宋体"/>
          <w:sz w:val="19"/>
          <w:szCs w:val="19"/>
        </w:rPr>
        <w:t xml:space="preserve"> </w:t>
      </w:r>
      <w:r>
        <w:rPr>
          <w:rFonts w:ascii="宋体" w:hAnsi="宋体" w:eastAsia="宋体" w:cs="宋体"/>
          <w:spacing w:val="8"/>
          <w:sz w:val="19"/>
          <w:szCs w:val="19"/>
        </w:rPr>
        <w:t>防止伤残，促进功能恢复。针对患者开展正确使用吸入装置的指导和培训，掌握自</w:t>
      </w:r>
      <w:r>
        <w:rPr>
          <w:rFonts w:ascii="宋体" w:hAnsi="宋体" w:eastAsia="宋体" w:cs="宋体"/>
          <w:spacing w:val="7"/>
          <w:sz w:val="19"/>
          <w:szCs w:val="19"/>
        </w:rPr>
        <w:t>我控制病情的技</w:t>
      </w:r>
      <w:r>
        <w:rPr>
          <w:rFonts w:ascii="宋体" w:hAnsi="宋体" w:eastAsia="宋体" w:cs="宋体"/>
          <w:sz w:val="19"/>
          <w:szCs w:val="19"/>
        </w:rPr>
        <w:t xml:space="preserve"> </w:t>
      </w:r>
      <w:r>
        <w:rPr>
          <w:rFonts w:ascii="宋体" w:hAnsi="宋体" w:eastAsia="宋体" w:cs="宋体"/>
          <w:spacing w:val="8"/>
          <w:sz w:val="19"/>
          <w:szCs w:val="19"/>
        </w:rPr>
        <w:t>巧，如腹式呼吸及缩唇呼吸锻炼等。向患者提供呼吸困难自我管理、压力管理的指</w:t>
      </w:r>
      <w:r>
        <w:rPr>
          <w:rFonts w:ascii="宋体" w:hAnsi="宋体" w:eastAsia="宋体" w:cs="宋体"/>
          <w:spacing w:val="7"/>
          <w:sz w:val="19"/>
          <w:szCs w:val="19"/>
        </w:rPr>
        <w:t>导，并提供书面</w:t>
      </w:r>
      <w:r>
        <w:rPr>
          <w:rFonts w:ascii="宋体" w:hAnsi="宋体" w:eastAsia="宋体" w:cs="宋体"/>
          <w:sz w:val="19"/>
          <w:szCs w:val="19"/>
        </w:rPr>
        <w:t xml:space="preserve"> </w:t>
      </w:r>
      <w:r>
        <w:rPr>
          <w:rFonts w:ascii="宋体" w:hAnsi="宋体" w:eastAsia="宋体" w:cs="宋体"/>
          <w:spacing w:val="8"/>
          <w:sz w:val="19"/>
          <w:szCs w:val="19"/>
        </w:rPr>
        <w:t>行动计划。鼓励重度患者进行身体活动，并考虑进行肺康复治疗；分别考虑是否</w:t>
      </w:r>
      <w:r>
        <w:rPr>
          <w:rFonts w:ascii="宋体" w:hAnsi="宋体" w:eastAsia="宋体" w:cs="宋体"/>
          <w:spacing w:val="7"/>
          <w:sz w:val="19"/>
          <w:szCs w:val="19"/>
        </w:rPr>
        <w:t>需要氧疗、无创通</w:t>
      </w:r>
      <w:r>
        <w:rPr>
          <w:rFonts w:ascii="宋体" w:hAnsi="宋体" w:eastAsia="宋体" w:cs="宋体"/>
          <w:sz w:val="19"/>
          <w:szCs w:val="19"/>
        </w:rPr>
        <w:t xml:space="preserve"> </w:t>
      </w:r>
      <w:r>
        <w:rPr>
          <w:rFonts w:ascii="宋体" w:hAnsi="宋体" w:eastAsia="宋体" w:cs="宋体"/>
          <w:spacing w:val="7"/>
          <w:sz w:val="19"/>
          <w:szCs w:val="19"/>
        </w:rPr>
        <w:t>气支持、肺减容术和姑息治疗，并相应更新行动计划。至少每年进行1</w:t>
      </w:r>
      <w:r>
        <w:rPr>
          <w:rFonts w:ascii="宋体" w:hAnsi="宋体" w:eastAsia="宋体" w:cs="宋体"/>
          <w:spacing w:val="6"/>
          <w:sz w:val="19"/>
          <w:szCs w:val="19"/>
        </w:rPr>
        <w:t>次肺量计检查。</w:t>
      </w:r>
    </w:p>
    <w:p w14:paraId="4921F2F3">
      <w:pPr>
        <w:pStyle w:val="2"/>
        <w:spacing w:before="302" w:line="222" w:lineRule="auto"/>
        <w:ind w:left="1033"/>
        <w:outlineLvl w:val="4"/>
        <w:rPr>
          <w:sz w:val="23"/>
          <w:szCs w:val="23"/>
        </w:rPr>
      </w:pPr>
      <w:bookmarkStart w:id="383" w:name="bookmark243"/>
      <w:bookmarkEnd w:id="383"/>
      <w:r>
        <w:rPr>
          <w:b/>
          <w:bCs/>
          <w:spacing w:val="-7"/>
          <w:sz w:val="23"/>
          <w:szCs w:val="23"/>
        </w:rPr>
        <w:t>五</w:t>
      </w:r>
      <w:r>
        <w:rPr>
          <w:spacing w:val="-28"/>
          <w:sz w:val="23"/>
          <w:szCs w:val="23"/>
        </w:rPr>
        <w:t xml:space="preserve"> </w:t>
      </w:r>
      <w:r>
        <w:rPr>
          <w:b/>
          <w:bCs/>
          <w:spacing w:val="-7"/>
          <w:sz w:val="23"/>
          <w:szCs w:val="23"/>
        </w:rPr>
        <w:t>、精神障碍</w:t>
      </w:r>
    </w:p>
    <w:p w14:paraId="6D3DBC10">
      <w:pPr>
        <w:spacing w:before="274" w:line="352" w:lineRule="auto"/>
        <w:ind w:left="640" w:firstLine="389"/>
        <w:jc w:val="both"/>
        <w:rPr>
          <w:rFonts w:ascii="宋体" w:hAnsi="宋体" w:eastAsia="宋体" w:cs="宋体"/>
          <w:sz w:val="19"/>
          <w:szCs w:val="19"/>
        </w:rPr>
      </w:pPr>
      <w:r>
        <w:rPr>
          <w:rFonts w:ascii="宋体" w:hAnsi="宋体" w:eastAsia="宋体" w:cs="宋体"/>
          <w:spacing w:val="5"/>
          <w:sz w:val="19"/>
          <w:szCs w:val="19"/>
        </w:rPr>
        <w:t>精神障碍</w:t>
      </w:r>
      <w:r>
        <w:rPr>
          <w:rFonts w:ascii="Times New Roman" w:hAnsi="Times New Roman" w:eastAsia="Times New Roman" w:cs="Times New Roman"/>
          <w:spacing w:val="5"/>
          <w:sz w:val="19"/>
          <w:szCs w:val="19"/>
        </w:rPr>
        <w:t>(</w:t>
      </w:r>
      <w:r>
        <w:rPr>
          <w:rFonts w:ascii="Times New Roman" w:hAnsi="Times New Roman" w:eastAsia="Times New Roman" w:cs="Times New Roman"/>
          <w:sz w:val="19"/>
          <w:szCs w:val="19"/>
        </w:rPr>
        <w:t>mental</w:t>
      </w:r>
      <w:r>
        <w:rPr>
          <w:rFonts w:ascii="Times New Roman" w:hAnsi="Times New Roman" w:eastAsia="Times New Roman" w:cs="Times New Roman"/>
          <w:spacing w:val="5"/>
          <w:sz w:val="19"/>
          <w:szCs w:val="19"/>
        </w:rPr>
        <w:t xml:space="preserve">    </w:t>
      </w:r>
      <w:r>
        <w:rPr>
          <w:rFonts w:ascii="Times New Roman" w:hAnsi="Times New Roman" w:eastAsia="Times New Roman" w:cs="Times New Roman"/>
          <w:sz w:val="19"/>
          <w:szCs w:val="19"/>
        </w:rPr>
        <w:t>disorder</w:t>
      </w:r>
      <w:r>
        <w:rPr>
          <w:rFonts w:ascii="Times New Roman" w:hAnsi="Times New Roman" w:eastAsia="Times New Roman" w:cs="Times New Roman"/>
          <w:spacing w:val="5"/>
          <w:sz w:val="19"/>
          <w:szCs w:val="19"/>
        </w:rPr>
        <w:t>)</w:t>
      </w:r>
      <w:r>
        <w:rPr>
          <w:rFonts w:ascii="宋体" w:hAnsi="宋体" w:eastAsia="宋体" w:cs="宋体"/>
          <w:spacing w:val="5"/>
          <w:sz w:val="19"/>
          <w:szCs w:val="19"/>
        </w:rPr>
        <w:t>是在各种生物、心理、社会环境等因素的影响下，人的大脑发生病理</w:t>
      </w:r>
      <w:r>
        <w:rPr>
          <w:rFonts w:ascii="宋体" w:hAnsi="宋体" w:eastAsia="宋体" w:cs="宋体"/>
          <w:sz w:val="19"/>
          <w:szCs w:val="19"/>
        </w:rPr>
        <w:t xml:space="preserve">  </w:t>
      </w:r>
      <w:r>
        <w:rPr>
          <w:rFonts w:ascii="宋体" w:hAnsi="宋体" w:eastAsia="宋体" w:cs="宋体"/>
          <w:spacing w:val="5"/>
          <w:sz w:val="19"/>
          <w:szCs w:val="19"/>
        </w:rPr>
        <w:t>生理变化使其功能损害，导致其认知、情感、行为等精神活动出现异常的疾病总称，如精神分裂症、</w:t>
      </w:r>
      <w:r>
        <w:rPr>
          <w:rFonts w:ascii="宋体" w:hAnsi="宋体" w:eastAsia="宋体" w:cs="宋体"/>
          <w:spacing w:val="14"/>
          <w:sz w:val="19"/>
          <w:szCs w:val="19"/>
        </w:rPr>
        <w:t xml:space="preserve"> </w:t>
      </w:r>
      <w:r>
        <w:rPr>
          <w:rFonts w:ascii="宋体" w:hAnsi="宋体" w:eastAsia="宋体" w:cs="宋体"/>
          <w:spacing w:val="8"/>
          <w:sz w:val="19"/>
          <w:szCs w:val="19"/>
        </w:rPr>
        <w:t>抑郁症、焦虑症和药物依赖等。精神障碍的诊断标准一般包括症状标准、严重程度</w:t>
      </w:r>
      <w:r>
        <w:rPr>
          <w:rFonts w:ascii="宋体" w:hAnsi="宋体" w:eastAsia="宋体" w:cs="宋体"/>
          <w:spacing w:val="7"/>
          <w:sz w:val="19"/>
          <w:szCs w:val="19"/>
        </w:rPr>
        <w:t>标准、病程标准</w:t>
      </w:r>
      <w:r>
        <w:rPr>
          <w:rFonts w:ascii="宋体" w:hAnsi="宋体" w:eastAsia="宋体" w:cs="宋体"/>
          <w:sz w:val="19"/>
          <w:szCs w:val="19"/>
        </w:rPr>
        <w:t xml:space="preserve">  </w:t>
      </w:r>
      <w:r>
        <w:rPr>
          <w:rFonts w:ascii="宋体" w:hAnsi="宋体" w:eastAsia="宋体" w:cs="宋体"/>
          <w:spacing w:val="6"/>
          <w:sz w:val="19"/>
          <w:szCs w:val="19"/>
        </w:rPr>
        <w:t>和排除标准四个部分，只有同时满足这四个标准才能诊断为精神障</w:t>
      </w:r>
      <w:r>
        <w:rPr>
          <w:rFonts w:ascii="宋体" w:hAnsi="宋体" w:eastAsia="宋体" w:cs="宋体"/>
          <w:spacing w:val="5"/>
          <w:sz w:val="19"/>
          <w:szCs w:val="19"/>
        </w:rPr>
        <w:t>碍。</w:t>
      </w:r>
    </w:p>
    <w:p w14:paraId="4E2EF95B">
      <w:pPr>
        <w:pStyle w:val="2"/>
        <w:spacing w:before="1" w:line="220" w:lineRule="auto"/>
        <w:ind w:left="1033"/>
        <w:rPr>
          <w:sz w:val="23"/>
          <w:szCs w:val="23"/>
        </w:rPr>
      </w:pPr>
      <w:r>
        <w:rPr>
          <w:b/>
          <w:bCs/>
          <w:spacing w:val="-9"/>
          <w:sz w:val="23"/>
          <w:szCs w:val="23"/>
        </w:rPr>
        <w:t>(一)诊断及分型</w:t>
      </w:r>
    </w:p>
    <w:p w14:paraId="671F5ACA">
      <w:pPr>
        <w:spacing w:before="128" w:line="370" w:lineRule="auto"/>
        <w:ind w:left="640" w:right="80" w:firstLine="389"/>
        <w:jc w:val="both"/>
        <w:rPr>
          <w:rFonts w:ascii="宋体" w:hAnsi="宋体" w:eastAsia="宋体" w:cs="宋体"/>
          <w:sz w:val="19"/>
          <w:szCs w:val="19"/>
        </w:rPr>
      </w:pPr>
      <w:r>
        <w:rPr>
          <w:rFonts w:ascii="宋体" w:hAnsi="宋体" w:eastAsia="宋体" w:cs="宋体"/>
          <w:spacing w:val="13"/>
          <w:sz w:val="19"/>
          <w:szCs w:val="19"/>
        </w:rPr>
        <w:t>不同于常见的躯体疾病，精神障碍的诊断面临着独特的复杂性和挑战性。大多数功能性精神</w:t>
      </w:r>
      <w:r>
        <w:rPr>
          <w:rFonts w:ascii="宋体" w:hAnsi="宋体" w:eastAsia="宋体" w:cs="宋体"/>
          <w:spacing w:val="3"/>
          <w:sz w:val="19"/>
          <w:szCs w:val="19"/>
        </w:rPr>
        <w:t xml:space="preserve"> </w:t>
      </w:r>
      <w:r>
        <w:rPr>
          <w:rFonts w:ascii="宋体" w:hAnsi="宋体" w:eastAsia="宋体" w:cs="宋体"/>
          <w:spacing w:val="8"/>
          <w:sz w:val="19"/>
          <w:szCs w:val="19"/>
        </w:rPr>
        <w:t>障碍没有明确的病因与发病机制，也无明显的体征和实验室指标异常。因此，</w:t>
      </w:r>
      <w:r>
        <w:rPr>
          <w:rFonts w:ascii="宋体" w:hAnsi="宋体" w:eastAsia="宋体" w:cs="宋体"/>
          <w:spacing w:val="7"/>
          <w:sz w:val="19"/>
          <w:szCs w:val="19"/>
        </w:rPr>
        <w:t>精神障碍的诊断过程</w:t>
      </w:r>
      <w:r>
        <w:rPr>
          <w:rFonts w:ascii="宋体" w:hAnsi="宋体" w:eastAsia="宋体" w:cs="宋体"/>
          <w:sz w:val="19"/>
          <w:szCs w:val="19"/>
        </w:rPr>
        <w:t xml:space="preserve"> </w:t>
      </w:r>
      <w:r>
        <w:rPr>
          <w:rFonts w:ascii="宋体" w:hAnsi="宋体" w:eastAsia="宋体" w:cs="宋体"/>
          <w:spacing w:val="6"/>
          <w:sz w:val="19"/>
          <w:szCs w:val="19"/>
        </w:rPr>
        <w:t>中，主观因素的介人程度较高： 一方面，大部分精神</w:t>
      </w:r>
      <w:r>
        <w:rPr>
          <w:rFonts w:ascii="宋体" w:hAnsi="宋体" w:eastAsia="宋体" w:cs="宋体"/>
          <w:spacing w:val="5"/>
          <w:sz w:val="19"/>
          <w:szCs w:val="19"/>
        </w:rPr>
        <w:t>障碍的诊断依赖于患者的主观症状报告；另一</w:t>
      </w:r>
      <w:r>
        <w:rPr>
          <w:rFonts w:ascii="宋体" w:hAnsi="宋体" w:eastAsia="宋体" w:cs="宋体"/>
          <w:sz w:val="19"/>
          <w:szCs w:val="19"/>
        </w:rPr>
        <w:t xml:space="preserve"> </w:t>
      </w:r>
      <w:r>
        <w:rPr>
          <w:rFonts w:ascii="宋体" w:hAnsi="宋体" w:eastAsia="宋体" w:cs="宋体"/>
          <w:spacing w:val="13"/>
          <w:sz w:val="19"/>
          <w:szCs w:val="19"/>
        </w:rPr>
        <w:t>方面，医师在诊断过程中依据检查形成症状学判断时也具有</w:t>
      </w:r>
      <w:r>
        <w:rPr>
          <w:rFonts w:ascii="宋体" w:hAnsi="宋体" w:eastAsia="宋体" w:cs="宋体"/>
          <w:spacing w:val="12"/>
          <w:sz w:val="19"/>
          <w:szCs w:val="19"/>
        </w:rPr>
        <w:t>一定主观性。目前有以下两种国际公</w:t>
      </w:r>
    </w:p>
    <w:p w14:paraId="3108C1C6">
      <w:pPr>
        <w:spacing w:line="370" w:lineRule="auto"/>
        <w:rPr>
          <w:rFonts w:ascii="宋体" w:hAnsi="宋体" w:eastAsia="宋体" w:cs="宋体"/>
          <w:sz w:val="19"/>
          <w:szCs w:val="19"/>
        </w:rPr>
        <w:sectPr>
          <w:footerReference r:id="rId247" w:type="default"/>
          <w:pgSz w:w="11900" w:h="16820"/>
          <w:pgMar w:top="400" w:right="1634" w:bottom="822" w:left="1029" w:header="0" w:footer="651" w:gutter="0"/>
          <w:cols w:space="720" w:num="1"/>
        </w:sectPr>
      </w:pPr>
    </w:p>
    <w:p w14:paraId="10E6F1AC">
      <w:pPr>
        <w:pStyle w:val="2"/>
        <w:spacing w:before="256" w:line="221" w:lineRule="auto"/>
        <w:ind w:left="6800"/>
        <w:rPr>
          <w:sz w:val="21"/>
          <w:szCs w:val="21"/>
        </w:rPr>
      </w:pPr>
      <w:r>
        <w:rPr>
          <w:spacing w:val="-22"/>
          <w:w w:val="95"/>
          <w:sz w:val="21"/>
          <w:szCs w:val="21"/>
        </w:rPr>
        <w:t>第十四章 慢性病流行病学</w:t>
      </w:r>
    </w:p>
    <w:p w14:paraId="0185E45A">
      <w:pPr>
        <w:spacing w:line="268" w:lineRule="auto"/>
        <w:rPr>
          <w:rFonts w:ascii="Arial"/>
          <w:sz w:val="21"/>
        </w:rPr>
      </w:pPr>
    </w:p>
    <w:p w14:paraId="4D91217F">
      <w:pPr>
        <w:spacing w:line="269" w:lineRule="auto"/>
        <w:rPr>
          <w:rFonts w:ascii="Arial"/>
          <w:sz w:val="21"/>
        </w:rPr>
      </w:pPr>
    </w:p>
    <w:p w14:paraId="6A915A79">
      <w:pPr>
        <w:spacing w:before="68" w:line="219" w:lineRule="auto"/>
        <w:rPr>
          <w:rFonts w:ascii="宋体" w:hAnsi="宋体" w:eastAsia="宋体" w:cs="宋体"/>
          <w:sz w:val="21"/>
          <w:szCs w:val="21"/>
        </w:rPr>
      </w:pPr>
      <w:r>
        <w:rPr>
          <w:rFonts w:ascii="宋体" w:hAnsi="宋体" w:eastAsia="宋体" w:cs="宋体"/>
          <w:spacing w:val="-1"/>
          <w:sz w:val="21"/>
          <w:szCs w:val="21"/>
        </w:rPr>
        <w:t>认的精神障碍诊断分类。</w:t>
      </w:r>
    </w:p>
    <w:p w14:paraId="1D4F4779">
      <w:pPr>
        <w:pStyle w:val="2"/>
        <w:spacing w:before="111" w:line="310" w:lineRule="auto"/>
        <w:ind w:right="649" w:firstLine="419"/>
        <w:rPr>
          <w:rFonts w:ascii="宋体" w:hAnsi="宋体" w:eastAsia="宋体" w:cs="宋体"/>
          <w:sz w:val="21"/>
          <w:szCs w:val="21"/>
        </w:rPr>
      </w:pPr>
      <w:r>
        <w:rPr>
          <w:rFonts w:ascii="宋体" w:hAnsi="宋体" w:eastAsia="宋体" w:cs="宋体"/>
          <w:spacing w:val="-3"/>
          <w:sz w:val="21"/>
          <w:szCs w:val="21"/>
        </w:rPr>
        <w:t>1.WHO   疾病及有关保健问题的国际分类系统</w:t>
      </w:r>
      <w:r>
        <w:rPr>
          <w:spacing w:val="-3"/>
          <w:sz w:val="21"/>
          <w:szCs w:val="21"/>
        </w:rPr>
        <w:t>(I</w:t>
      </w:r>
      <w:r>
        <w:rPr>
          <w:rFonts w:ascii="宋体" w:hAnsi="宋体" w:eastAsia="宋体" w:cs="宋体"/>
          <w:spacing w:val="-3"/>
          <w:sz w:val="21"/>
          <w:szCs w:val="21"/>
        </w:rPr>
        <w:t>CD</w:t>
      </w:r>
      <w:r>
        <w:rPr>
          <w:rFonts w:ascii="宋体" w:hAnsi="宋体" w:eastAsia="宋体" w:cs="宋体"/>
          <w:spacing w:val="26"/>
          <w:sz w:val="21"/>
          <w:szCs w:val="21"/>
        </w:rPr>
        <w:t xml:space="preserve"> </w:t>
      </w:r>
      <w:r>
        <w:rPr>
          <w:rFonts w:ascii="宋体" w:hAnsi="宋体" w:eastAsia="宋体" w:cs="宋体"/>
          <w:spacing w:val="-3"/>
          <w:sz w:val="21"/>
          <w:szCs w:val="21"/>
        </w:rPr>
        <w:t>系统) ICD</w:t>
      </w:r>
      <w:r>
        <w:rPr>
          <w:rFonts w:ascii="宋体" w:hAnsi="宋体" w:eastAsia="宋体" w:cs="宋体"/>
          <w:spacing w:val="-20"/>
          <w:sz w:val="21"/>
          <w:szCs w:val="21"/>
        </w:rPr>
        <w:t xml:space="preserve"> </w:t>
      </w:r>
      <w:r>
        <w:rPr>
          <w:rFonts w:ascii="宋体" w:hAnsi="宋体" w:eastAsia="宋体" w:cs="宋体"/>
          <w:spacing w:val="-3"/>
          <w:sz w:val="21"/>
          <w:szCs w:val="21"/>
        </w:rPr>
        <w:t>的前身是法国出版的《国际死</w:t>
      </w:r>
      <w:r>
        <w:rPr>
          <w:rFonts w:ascii="宋体" w:hAnsi="宋体" w:eastAsia="宋体" w:cs="宋体"/>
          <w:sz w:val="21"/>
          <w:szCs w:val="21"/>
        </w:rPr>
        <w:t xml:space="preserve"> </w:t>
      </w:r>
      <w:r>
        <w:rPr>
          <w:rFonts w:ascii="宋体" w:hAnsi="宋体" w:eastAsia="宋体" w:cs="宋体"/>
          <w:spacing w:val="-2"/>
          <w:sz w:val="21"/>
          <w:szCs w:val="21"/>
        </w:rPr>
        <w:t>亡原因列表》</w:t>
      </w:r>
      <w:r>
        <w:rPr>
          <w:rFonts w:ascii="Times New Roman" w:hAnsi="Times New Roman" w:eastAsia="Times New Roman" w:cs="Times New Roman"/>
          <w:spacing w:val="-2"/>
          <w:sz w:val="21"/>
          <w:szCs w:val="21"/>
        </w:rPr>
        <w:t>(International List of</w:t>
      </w:r>
      <w:r>
        <w:rPr>
          <w:rFonts w:ascii="Times New Roman" w:hAnsi="Times New Roman" w:eastAsia="Times New Roman" w:cs="Times New Roman"/>
          <w:spacing w:val="-15"/>
          <w:sz w:val="21"/>
          <w:szCs w:val="21"/>
        </w:rPr>
        <w:t xml:space="preserve"> </w:t>
      </w:r>
      <w:r>
        <w:rPr>
          <w:rFonts w:ascii="Times New Roman" w:hAnsi="Times New Roman" w:eastAsia="Times New Roman" w:cs="Times New Roman"/>
          <w:spacing w:val="-2"/>
          <w:sz w:val="21"/>
          <w:szCs w:val="21"/>
        </w:rPr>
        <w:t>Causes o</w:t>
      </w:r>
      <w:r>
        <w:rPr>
          <w:rFonts w:ascii="Times New Roman" w:hAnsi="Times New Roman" w:eastAsia="Times New Roman" w:cs="Times New Roman"/>
          <w:spacing w:val="-3"/>
          <w:sz w:val="21"/>
          <w:szCs w:val="21"/>
        </w:rPr>
        <w:t>f</w:t>
      </w:r>
      <w:r>
        <w:rPr>
          <w:rFonts w:ascii="Times New Roman" w:hAnsi="Times New Roman" w:eastAsia="Times New Roman" w:cs="Times New Roman"/>
          <w:spacing w:val="-18"/>
          <w:sz w:val="21"/>
          <w:szCs w:val="21"/>
        </w:rPr>
        <w:t xml:space="preserve"> </w:t>
      </w:r>
      <w:r>
        <w:rPr>
          <w:rFonts w:ascii="Times New Roman" w:hAnsi="Times New Roman" w:eastAsia="Times New Roman" w:cs="Times New Roman"/>
          <w:spacing w:val="-3"/>
          <w:sz w:val="21"/>
          <w:szCs w:val="21"/>
        </w:rPr>
        <w:t>Death)</w:t>
      </w:r>
      <w:r>
        <w:rPr>
          <w:rFonts w:ascii="Times New Roman" w:hAnsi="Times New Roman" w:eastAsia="Times New Roman" w:cs="Times New Roman"/>
          <w:spacing w:val="-24"/>
          <w:sz w:val="21"/>
          <w:szCs w:val="21"/>
        </w:rPr>
        <w:t xml:space="preserve"> </w:t>
      </w:r>
      <w:r>
        <w:rPr>
          <w:rFonts w:ascii="宋体" w:hAnsi="宋体" w:eastAsia="宋体" w:cs="宋体"/>
          <w:spacing w:val="-3"/>
          <w:sz w:val="21"/>
          <w:szCs w:val="21"/>
        </w:rPr>
        <w:t>。</w:t>
      </w:r>
      <w:r>
        <w:rPr>
          <w:rFonts w:ascii="Times New Roman" w:hAnsi="Times New Roman" w:eastAsia="Times New Roman" w:cs="Times New Roman"/>
          <w:spacing w:val="-3"/>
          <w:sz w:val="21"/>
          <w:szCs w:val="21"/>
        </w:rPr>
        <w:t>1948</w:t>
      </w:r>
      <w:r>
        <w:rPr>
          <w:rFonts w:ascii="宋体" w:hAnsi="宋体" w:eastAsia="宋体" w:cs="宋体"/>
          <w:spacing w:val="-3"/>
          <w:sz w:val="21"/>
          <w:szCs w:val="21"/>
        </w:rPr>
        <w:t>年</w:t>
      </w:r>
      <w:r>
        <w:rPr>
          <w:rFonts w:ascii="宋体" w:hAnsi="宋体" w:eastAsia="宋体" w:cs="宋体"/>
          <w:spacing w:val="-34"/>
          <w:sz w:val="21"/>
          <w:szCs w:val="21"/>
        </w:rPr>
        <w:t xml:space="preserve"> </w:t>
      </w:r>
      <w:r>
        <w:rPr>
          <w:rFonts w:ascii="宋体" w:hAnsi="宋体" w:eastAsia="宋体" w:cs="宋体"/>
          <w:spacing w:val="-3"/>
          <w:sz w:val="21"/>
          <w:szCs w:val="21"/>
        </w:rPr>
        <w:t>，</w:t>
      </w:r>
      <w:r>
        <w:rPr>
          <w:rFonts w:ascii="Times New Roman" w:hAnsi="Times New Roman" w:eastAsia="Times New Roman" w:cs="Times New Roman"/>
          <w:spacing w:val="-3"/>
          <w:sz w:val="21"/>
          <w:szCs w:val="21"/>
        </w:rPr>
        <w:t>WHO</w:t>
      </w:r>
      <w:r>
        <w:rPr>
          <w:rFonts w:ascii="宋体" w:hAnsi="宋体" w:eastAsia="宋体" w:cs="宋体"/>
          <w:spacing w:val="-3"/>
          <w:sz w:val="21"/>
          <w:szCs w:val="21"/>
        </w:rPr>
        <w:t>在巴黎举行的第6届国际疾病和</w:t>
      </w:r>
      <w:r>
        <w:rPr>
          <w:rFonts w:ascii="宋体" w:hAnsi="宋体" w:eastAsia="宋体" w:cs="宋体"/>
          <w:sz w:val="21"/>
          <w:szCs w:val="21"/>
        </w:rPr>
        <w:t xml:space="preserve"> </w:t>
      </w:r>
      <w:r>
        <w:rPr>
          <w:rFonts w:ascii="宋体" w:hAnsi="宋体" w:eastAsia="宋体" w:cs="宋体"/>
          <w:spacing w:val="-4"/>
          <w:sz w:val="21"/>
          <w:szCs w:val="21"/>
        </w:rPr>
        <w:t>死亡原因分类会议上，将其更名为《国际疾病分类》</w:t>
      </w:r>
      <w:r>
        <w:rPr>
          <w:rFonts w:ascii="Times New Roman" w:hAnsi="Times New Roman" w:eastAsia="Times New Roman" w:cs="Times New Roman"/>
          <w:spacing w:val="-4"/>
          <w:sz w:val="21"/>
          <w:szCs w:val="21"/>
        </w:rPr>
        <w:t>(International Classification of</w:t>
      </w:r>
      <w:r>
        <w:rPr>
          <w:rFonts w:ascii="Times New Roman" w:hAnsi="Times New Roman" w:eastAsia="Times New Roman" w:cs="Times New Roman"/>
          <w:spacing w:val="-6"/>
          <w:sz w:val="21"/>
          <w:szCs w:val="21"/>
        </w:rPr>
        <w:t xml:space="preserve"> </w:t>
      </w:r>
      <w:r>
        <w:rPr>
          <w:rFonts w:ascii="Times New Roman" w:hAnsi="Times New Roman" w:eastAsia="Times New Roman" w:cs="Times New Roman"/>
          <w:spacing w:val="-4"/>
          <w:sz w:val="21"/>
          <w:szCs w:val="21"/>
        </w:rPr>
        <w:t>Diseases,ICD)</w:t>
      </w:r>
      <w:r>
        <w:rPr>
          <w:rFonts w:ascii="宋体" w:hAnsi="宋体" w:eastAsia="宋体" w:cs="宋体"/>
          <w:spacing w:val="-4"/>
          <w:sz w:val="21"/>
          <w:szCs w:val="21"/>
        </w:rPr>
        <w:t>第 6</w:t>
      </w:r>
      <w:r>
        <w:rPr>
          <w:rFonts w:ascii="宋体" w:hAnsi="宋体" w:eastAsia="宋体" w:cs="宋体"/>
          <w:sz w:val="21"/>
          <w:szCs w:val="21"/>
        </w:rPr>
        <w:t xml:space="preserve"> </w:t>
      </w:r>
      <w:r>
        <w:rPr>
          <w:rFonts w:ascii="宋体" w:hAnsi="宋体" w:eastAsia="宋体" w:cs="宋体"/>
          <w:spacing w:val="-1"/>
          <w:sz w:val="21"/>
          <w:szCs w:val="21"/>
        </w:rPr>
        <w:t>版，简称</w:t>
      </w:r>
      <w:r>
        <w:rPr>
          <w:rFonts w:ascii="Times New Roman" w:hAnsi="Times New Roman" w:eastAsia="Times New Roman" w:cs="Times New Roman"/>
          <w:spacing w:val="-1"/>
          <w:sz w:val="21"/>
          <w:szCs w:val="21"/>
        </w:rPr>
        <w:t>ICD-6,</w:t>
      </w:r>
      <w:r>
        <w:rPr>
          <w:rFonts w:ascii="Times New Roman" w:hAnsi="Times New Roman" w:eastAsia="Times New Roman" w:cs="Times New Roman"/>
          <w:spacing w:val="33"/>
          <w:w w:val="101"/>
          <w:sz w:val="21"/>
          <w:szCs w:val="21"/>
        </w:rPr>
        <w:t xml:space="preserve"> </w:t>
      </w:r>
      <w:r>
        <w:rPr>
          <w:rFonts w:ascii="宋体" w:hAnsi="宋体" w:eastAsia="宋体" w:cs="宋体"/>
          <w:spacing w:val="-1"/>
          <w:sz w:val="21"/>
          <w:szCs w:val="21"/>
        </w:rPr>
        <w:t>成为第一个全面的疾病分类并首次将精神障碍列入其中</w:t>
      </w:r>
      <w:r>
        <w:rPr>
          <w:rFonts w:ascii="宋体" w:hAnsi="宋体" w:eastAsia="宋体" w:cs="宋体"/>
          <w:spacing w:val="-2"/>
          <w:sz w:val="21"/>
          <w:szCs w:val="21"/>
        </w:rPr>
        <w:t>。之后大约每十年</w:t>
      </w:r>
      <w:r>
        <w:rPr>
          <w:rFonts w:ascii="Times New Roman" w:hAnsi="Times New Roman" w:eastAsia="Times New Roman" w:cs="Times New Roman"/>
          <w:spacing w:val="-2"/>
          <w:sz w:val="21"/>
          <w:szCs w:val="21"/>
        </w:rPr>
        <w:t>ICD</w:t>
      </w:r>
      <w:r>
        <w:rPr>
          <w:rFonts w:ascii="宋体" w:hAnsi="宋体" w:eastAsia="宋体" w:cs="宋体"/>
          <w:spacing w:val="-2"/>
          <w:sz w:val="21"/>
          <w:szCs w:val="21"/>
        </w:rPr>
        <w:t>就</w:t>
      </w:r>
      <w:r>
        <w:rPr>
          <w:rFonts w:ascii="宋体" w:hAnsi="宋体" w:eastAsia="宋体" w:cs="宋体"/>
          <w:sz w:val="21"/>
          <w:szCs w:val="21"/>
        </w:rPr>
        <w:t xml:space="preserve"> </w:t>
      </w:r>
      <w:r>
        <w:rPr>
          <w:rFonts w:ascii="宋体" w:hAnsi="宋体" w:eastAsia="宋体" w:cs="宋体"/>
          <w:spacing w:val="-2"/>
          <w:sz w:val="21"/>
          <w:szCs w:val="21"/>
        </w:rPr>
        <w:t>被修订一次，最新的</w:t>
      </w:r>
      <w:r>
        <w:rPr>
          <w:rFonts w:ascii="Times New Roman" w:hAnsi="Times New Roman" w:eastAsia="Times New Roman" w:cs="Times New Roman"/>
          <w:spacing w:val="-2"/>
          <w:sz w:val="21"/>
          <w:szCs w:val="21"/>
        </w:rPr>
        <w:t>ICD-11</w:t>
      </w:r>
      <w:r>
        <w:rPr>
          <w:rFonts w:ascii="宋体" w:hAnsi="宋体" w:eastAsia="宋体" w:cs="宋体"/>
          <w:spacing w:val="-2"/>
          <w:sz w:val="21"/>
          <w:szCs w:val="21"/>
        </w:rPr>
        <w:t>于2018年出版。</w:t>
      </w:r>
      <w:r>
        <w:rPr>
          <w:rFonts w:ascii="宋体" w:hAnsi="宋体" w:eastAsia="宋体" w:cs="宋体"/>
          <w:spacing w:val="-55"/>
          <w:sz w:val="21"/>
          <w:szCs w:val="21"/>
        </w:rPr>
        <w:t xml:space="preserve"> </w:t>
      </w:r>
      <w:r>
        <w:rPr>
          <w:rFonts w:ascii="Times New Roman" w:hAnsi="Times New Roman" w:eastAsia="Times New Roman" w:cs="Times New Roman"/>
          <w:spacing w:val="-2"/>
          <w:sz w:val="21"/>
          <w:szCs w:val="21"/>
        </w:rPr>
        <w:t>ICD-11</w:t>
      </w:r>
      <w:r>
        <w:rPr>
          <w:rFonts w:ascii="宋体" w:hAnsi="宋体" w:eastAsia="宋体" w:cs="宋体"/>
          <w:spacing w:val="-2"/>
          <w:sz w:val="21"/>
          <w:szCs w:val="21"/>
        </w:rPr>
        <w:t>中涉及精神障碍的内容是第六章“精</w:t>
      </w:r>
      <w:r>
        <w:rPr>
          <w:rFonts w:ascii="宋体" w:hAnsi="宋体" w:eastAsia="宋体" w:cs="宋体"/>
          <w:spacing w:val="-3"/>
          <w:sz w:val="21"/>
          <w:szCs w:val="21"/>
        </w:rPr>
        <w:t>神、行为</w:t>
      </w:r>
      <w:r>
        <w:rPr>
          <w:rFonts w:ascii="宋体" w:hAnsi="宋体" w:eastAsia="宋体" w:cs="宋体"/>
          <w:sz w:val="21"/>
          <w:szCs w:val="21"/>
        </w:rPr>
        <w:t xml:space="preserve"> </w:t>
      </w:r>
      <w:r>
        <w:rPr>
          <w:rFonts w:ascii="宋体" w:hAnsi="宋体" w:eastAsia="宋体" w:cs="宋体"/>
          <w:spacing w:val="-3"/>
          <w:sz w:val="21"/>
          <w:szCs w:val="21"/>
        </w:rPr>
        <w:t>或神经发育障碍”,总共包含了21类疾病，如神经发育障碍、精神分裂症与其他原发</w:t>
      </w:r>
      <w:r>
        <w:rPr>
          <w:rFonts w:ascii="宋体" w:hAnsi="宋体" w:eastAsia="宋体" w:cs="宋体"/>
          <w:spacing w:val="-4"/>
          <w:sz w:val="21"/>
          <w:szCs w:val="21"/>
        </w:rPr>
        <w:t>性精神病性障</w:t>
      </w:r>
      <w:r>
        <w:rPr>
          <w:rFonts w:ascii="宋体" w:hAnsi="宋体" w:eastAsia="宋体" w:cs="宋体"/>
          <w:sz w:val="21"/>
          <w:szCs w:val="21"/>
        </w:rPr>
        <w:t xml:space="preserve"> </w:t>
      </w:r>
      <w:r>
        <w:rPr>
          <w:rFonts w:ascii="宋体" w:hAnsi="宋体" w:eastAsia="宋体" w:cs="宋体"/>
          <w:spacing w:val="-13"/>
          <w:sz w:val="21"/>
          <w:szCs w:val="21"/>
        </w:rPr>
        <w:t>碍、紧张症、心境障碍、焦虑及恐惧相关障碍等。</w:t>
      </w:r>
    </w:p>
    <w:p w14:paraId="4655D796">
      <w:pPr>
        <w:spacing w:before="99" w:line="311" w:lineRule="auto"/>
        <w:ind w:right="640" w:firstLine="419"/>
        <w:rPr>
          <w:rFonts w:ascii="宋体" w:hAnsi="宋体" w:eastAsia="宋体" w:cs="宋体"/>
          <w:sz w:val="21"/>
          <w:szCs w:val="21"/>
        </w:rPr>
      </w:pPr>
      <w:r>
        <w:rPr>
          <w:rFonts w:ascii="Times New Roman" w:hAnsi="Times New Roman" w:eastAsia="Times New Roman" w:cs="Times New Roman"/>
          <w:spacing w:val="-3"/>
          <w:sz w:val="21"/>
          <w:szCs w:val="21"/>
        </w:rPr>
        <w:t xml:space="preserve">2.DSM     </w:t>
      </w:r>
      <w:r>
        <w:rPr>
          <w:rFonts w:ascii="宋体" w:hAnsi="宋体" w:eastAsia="宋体" w:cs="宋体"/>
          <w:spacing w:val="-3"/>
          <w:sz w:val="21"/>
          <w:szCs w:val="21"/>
        </w:rPr>
        <w:t>系统</w:t>
      </w:r>
      <w:r>
        <w:rPr>
          <w:rFonts w:ascii="宋体" w:hAnsi="宋体" w:eastAsia="宋体" w:cs="宋体"/>
          <w:spacing w:val="111"/>
          <w:sz w:val="21"/>
          <w:szCs w:val="21"/>
        </w:rPr>
        <w:t xml:space="preserve"> </w:t>
      </w:r>
      <w:r>
        <w:rPr>
          <w:rFonts w:ascii="宋体" w:hAnsi="宋体" w:eastAsia="宋体" w:cs="宋体"/>
          <w:spacing w:val="-3"/>
          <w:sz w:val="21"/>
          <w:szCs w:val="21"/>
        </w:rPr>
        <w:t>美国精神病学会于1952年出版了《精神障碍诊断与统计手册》</w:t>
      </w:r>
      <w:r>
        <w:rPr>
          <w:rFonts w:ascii="Times New Roman" w:hAnsi="Times New Roman" w:eastAsia="Times New Roman" w:cs="Times New Roman"/>
          <w:spacing w:val="-3"/>
          <w:sz w:val="21"/>
          <w:szCs w:val="21"/>
        </w:rPr>
        <w:t>(Diagnostic  and</w:t>
      </w:r>
      <w:r>
        <w:rPr>
          <w:rFonts w:ascii="Times New Roman" w:hAnsi="Times New Roman" w:eastAsia="Times New Roman" w:cs="Times New Roman"/>
          <w:sz w:val="21"/>
          <w:szCs w:val="21"/>
        </w:rPr>
        <w:t xml:space="preserve"> </w:t>
      </w:r>
      <w:r>
        <w:rPr>
          <w:rFonts w:ascii="Times New Roman" w:hAnsi="Times New Roman" w:eastAsia="Times New Roman" w:cs="Times New Roman"/>
          <w:spacing w:val="-1"/>
          <w:sz w:val="21"/>
          <w:szCs w:val="21"/>
        </w:rPr>
        <w:t>Statistical</w:t>
      </w:r>
      <w:r>
        <w:rPr>
          <w:rFonts w:ascii="Times New Roman" w:hAnsi="Times New Roman" w:eastAsia="Times New Roman" w:cs="Times New Roman"/>
          <w:spacing w:val="14"/>
          <w:w w:val="101"/>
          <w:sz w:val="21"/>
          <w:szCs w:val="21"/>
        </w:rPr>
        <w:t xml:space="preserve"> </w:t>
      </w:r>
      <w:r>
        <w:rPr>
          <w:rFonts w:ascii="Times New Roman" w:hAnsi="Times New Roman" w:eastAsia="Times New Roman" w:cs="Times New Roman"/>
          <w:spacing w:val="-1"/>
          <w:sz w:val="21"/>
          <w:szCs w:val="21"/>
        </w:rPr>
        <w:t>Manual</w:t>
      </w:r>
      <w:r>
        <w:rPr>
          <w:rFonts w:ascii="Times New Roman" w:hAnsi="Times New Roman" w:eastAsia="Times New Roman" w:cs="Times New Roman"/>
          <w:spacing w:val="17"/>
          <w:sz w:val="21"/>
          <w:szCs w:val="21"/>
        </w:rPr>
        <w:t xml:space="preserve"> </w:t>
      </w:r>
      <w:r>
        <w:rPr>
          <w:rFonts w:ascii="Times New Roman" w:hAnsi="Times New Roman" w:eastAsia="Times New Roman" w:cs="Times New Roman"/>
          <w:spacing w:val="-1"/>
          <w:sz w:val="21"/>
          <w:szCs w:val="21"/>
        </w:rPr>
        <w:t>of Mental</w:t>
      </w:r>
      <w:r>
        <w:rPr>
          <w:rFonts w:ascii="Times New Roman" w:hAnsi="Times New Roman" w:eastAsia="Times New Roman" w:cs="Times New Roman"/>
          <w:spacing w:val="13"/>
          <w:sz w:val="21"/>
          <w:szCs w:val="21"/>
        </w:rPr>
        <w:t xml:space="preserve"> </w:t>
      </w:r>
      <w:r>
        <w:rPr>
          <w:rFonts w:ascii="Times New Roman" w:hAnsi="Times New Roman" w:eastAsia="Times New Roman" w:cs="Times New Roman"/>
          <w:spacing w:val="-1"/>
          <w:sz w:val="21"/>
          <w:szCs w:val="21"/>
        </w:rPr>
        <w:t>Disorders,DSM)</w:t>
      </w:r>
      <w:r>
        <w:rPr>
          <w:rFonts w:ascii="宋体" w:hAnsi="宋体" w:eastAsia="宋体" w:cs="宋体"/>
          <w:spacing w:val="-1"/>
          <w:sz w:val="21"/>
          <w:szCs w:val="21"/>
        </w:rPr>
        <w:t>。前两版</w:t>
      </w:r>
      <w:r>
        <w:rPr>
          <w:rFonts w:ascii="Times New Roman" w:hAnsi="Times New Roman" w:eastAsia="Times New Roman" w:cs="Times New Roman"/>
          <w:spacing w:val="-1"/>
          <w:sz w:val="21"/>
          <w:szCs w:val="21"/>
        </w:rPr>
        <w:t xml:space="preserve">(DSM-I </w:t>
      </w:r>
      <w:r>
        <w:rPr>
          <w:rFonts w:ascii="宋体" w:hAnsi="宋体" w:eastAsia="宋体" w:cs="宋体"/>
          <w:spacing w:val="-1"/>
          <w:sz w:val="21"/>
          <w:szCs w:val="21"/>
        </w:rPr>
        <w:t>与</w:t>
      </w:r>
      <w:r>
        <w:rPr>
          <w:rFonts w:ascii="宋体" w:hAnsi="宋体" w:eastAsia="宋体" w:cs="宋体"/>
          <w:spacing w:val="-63"/>
          <w:sz w:val="21"/>
          <w:szCs w:val="21"/>
        </w:rPr>
        <w:t xml:space="preserve"> </w:t>
      </w:r>
      <w:r>
        <w:rPr>
          <w:rFonts w:ascii="Times New Roman" w:hAnsi="Times New Roman" w:eastAsia="Times New Roman" w:cs="Times New Roman"/>
          <w:spacing w:val="-1"/>
          <w:sz w:val="21"/>
          <w:szCs w:val="21"/>
        </w:rPr>
        <w:t>DSM-Ⅱ)</w:t>
      </w:r>
      <w:r>
        <w:rPr>
          <w:rFonts w:ascii="Times New Roman" w:hAnsi="Times New Roman" w:eastAsia="Times New Roman" w:cs="Times New Roman"/>
          <w:spacing w:val="-9"/>
          <w:sz w:val="21"/>
          <w:szCs w:val="21"/>
        </w:rPr>
        <w:t xml:space="preserve"> </w:t>
      </w:r>
      <w:r>
        <w:rPr>
          <w:rFonts w:ascii="宋体" w:hAnsi="宋体" w:eastAsia="宋体" w:cs="宋体"/>
          <w:spacing w:val="-1"/>
          <w:sz w:val="21"/>
          <w:szCs w:val="21"/>
        </w:rPr>
        <w:t>分别是在</w:t>
      </w:r>
      <w:r>
        <w:rPr>
          <w:rFonts w:ascii="Times New Roman" w:hAnsi="Times New Roman" w:eastAsia="Times New Roman" w:cs="Times New Roman"/>
          <w:spacing w:val="-1"/>
          <w:sz w:val="21"/>
          <w:szCs w:val="21"/>
        </w:rPr>
        <w:t>ICD-6</w:t>
      </w:r>
      <w:r>
        <w:rPr>
          <w:rFonts w:ascii="宋体" w:hAnsi="宋体" w:eastAsia="宋体" w:cs="宋体"/>
          <w:spacing w:val="-1"/>
          <w:sz w:val="21"/>
          <w:szCs w:val="21"/>
        </w:rPr>
        <w:t>与</w:t>
      </w:r>
      <w:r>
        <w:rPr>
          <w:rFonts w:ascii="宋体" w:hAnsi="宋体" w:eastAsia="宋体" w:cs="宋体"/>
          <w:spacing w:val="-63"/>
          <w:sz w:val="21"/>
          <w:szCs w:val="21"/>
        </w:rPr>
        <w:t xml:space="preserve"> </w:t>
      </w:r>
      <w:r>
        <w:rPr>
          <w:rFonts w:ascii="Times New Roman" w:hAnsi="Times New Roman" w:eastAsia="Times New Roman" w:cs="Times New Roman"/>
          <w:spacing w:val="-1"/>
          <w:sz w:val="21"/>
          <w:szCs w:val="21"/>
        </w:rPr>
        <w:t>ICD-8</w:t>
      </w:r>
      <w:r>
        <w:rPr>
          <w:rFonts w:ascii="宋体" w:hAnsi="宋体" w:eastAsia="宋体" w:cs="宋体"/>
          <w:spacing w:val="-1"/>
          <w:sz w:val="21"/>
          <w:szCs w:val="21"/>
        </w:rPr>
        <w:t>的</w:t>
      </w:r>
      <w:r>
        <w:rPr>
          <w:rFonts w:ascii="宋体" w:hAnsi="宋体" w:eastAsia="宋体" w:cs="宋体"/>
          <w:sz w:val="21"/>
          <w:szCs w:val="21"/>
        </w:rPr>
        <w:t xml:space="preserve"> </w:t>
      </w:r>
      <w:r>
        <w:rPr>
          <w:rFonts w:ascii="宋体" w:hAnsi="宋体" w:eastAsia="宋体" w:cs="宋体"/>
          <w:spacing w:val="-3"/>
          <w:sz w:val="21"/>
          <w:szCs w:val="21"/>
        </w:rPr>
        <w:t>基础上进行编写的。</w:t>
      </w:r>
      <w:r>
        <w:rPr>
          <w:rFonts w:ascii="Times New Roman" w:hAnsi="Times New Roman" w:eastAsia="Times New Roman" w:cs="Times New Roman"/>
          <w:spacing w:val="-3"/>
          <w:sz w:val="21"/>
          <w:szCs w:val="21"/>
        </w:rPr>
        <w:t>DSM-Ⅲ</w:t>
      </w:r>
      <w:r>
        <w:rPr>
          <w:rFonts w:ascii="宋体" w:hAnsi="宋体" w:eastAsia="宋体" w:cs="宋体"/>
          <w:spacing w:val="-3"/>
          <w:sz w:val="21"/>
          <w:szCs w:val="21"/>
        </w:rPr>
        <w:t>于1980年出版，对前两版有较大的修订，并对每种疾病都制定出了一</w:t>
      </w:r>
      <w:r>
        <w:rPr>
          <w:rFonts w:ascii="宋体" w:hAnsi="宋体" w:eastAsia="宋体" w:cs="宋体"/>
          <w:spacing w:val="11"/>
          <w:sz w:val="21"/>
          <w:szCs w:val="21"/>
        </w:rPr>
        <w:t xml:space="preserve"> </w:t>
      </w:r>
      <w:r>
        <w:rPr>
          <w:rFonts w:ascii="宋体" w:hAnsi="宋体" w:eastAsia="宋体" w:cs="宋体"/>
          <w:spacing w:val="-5"/>
          <w:sz w:val="21"/>
          <w:szCs w:val="21"/>
        </w:rPr>
        <w:t>个明确的诊断标准，特别是提出了以临床轴为主的多轴诊断概念，将患者作为一个整体并全面</w:t>
      </w:r>
      <w:r>
        <w:rPr>
          <w:rFonts w:ascii="宋体" w:hAnsi="宋体" w:eastAsia="宋体" w:cs="宋体"/>
          <w:spacing w:val="-6"/>
          <w:sz w:val="21"/>
          <w:szCs w:val="21"/>
        </w:rPr>
        <w:t>考虑</w:t>
      </w:r>
      <w:r>
        <w:rPr>
          <w:rFonts w:ascii="宋体" w:hAnsi="宋体" w:eastAsia="宋体" w:cs="宋体"/>
          <w:sz w:val="21"/>
          <w:szCs w:val="21"/>
        </w:rPr>
        <w:t xml:space="preserve"> </w:t>
      </w:r>
      <w:r>
        <w:rPr>
          <w:rFonts w:ascii="宋体" w:hAnsi="宋体" w:eastAsia="宋体" w:cs="宋体"/>
          <w:spacing w:val="-2"/>
          <w:sz w:val="21"/>
          <w:szCs w:val="21"/>
        </w:rPr>
        <w:t>躯体状况、个性特征、社会文化背景等多维因素。目前最新版本为2013年出版的</w:t>
      </w:r>
      <w:r>
        <w:rPr>
          <w:rFonts w:ascii="Times New Roman" w:hAnsi="Times New Roman" w:eastAsia="Times New Roman" w:cs="Times New Roman"/>
          <w:spacing w:val="-2"/>
          <w:sz w:val="21"/>
          <w:szCs w:val="21"/>
        </w:rPr>
        <w:t>DSM-5</w:t>
      </w:r>
      <w:r>
        <w:rPr>
          <w:rFonts w:ascii="宋体" w:hAnsi="宋体" w:eastAsia="宋体" w:cs="宋体"/>
          <w:spacing w:val="-2"/>
          <w:sz w:val="21"/>
          <w:szCs w:val="21"/>
        </w:rPr>
        <w:t>。</w:t>
      </w:r>
      <w:r>
        <w:rPr>
          <w:rFonts w:ascii="Times New Roman" w:hAnsi="Times New Roman" w:eastAsia="Times New Roman" w:cs="Times New Roman"/>
          <w:spacing w:val="-2"/>
          <w:sz w:val="21"/>
          <w:szCs w:val="21"/>
        </w:rPr>
        <w:t>DSM</w:t>
      </w:r>
      <w:r>
        <w:rPr>
          <w:rFonts w:ascii="宋体" w:hAnsi="宋体" w:eastAsia="宋体" w:cs="宋体"/>
          <w:spacing w:val="-2"/>
          <w:sz w:val="21"/>
          <w:szCs w:val="21"/>
        </w:rPr>
        <w:t>系</w:t>
      </w:r>
      <w:r>
        <w:rPr>
          <w:rFonts w:ascii="宋体" w:hAnsi="宋体" w:eastAsia="宋体" w:cs="宋体"/>
          <w:spacing w:val="15"/>
          <w:sz w:val="21"/>
          <w:szCs w:val="21"/>
        </w:rPr>
        <w:t xml:space="preserve"> </w:t>
      </w:r>
      <w:r>
        <w:rPr>
          <w:rFonts w:ascii="宋体" w:hAnsi="宋体" w:eastAsia="宋体" w:cs="宋体"/>
          <w:spacing w:val="-6"/>
          <w:sz w:val="21"/>
          <w:szCs w:val="21"/>
        </w:rPr>
        <w:t>统虽然主要应用于美国等北美国家，但因其有</w:t>
      </w:r>
      <w:r>
        <w:rPr>
          <w:rFonts w:ascii="宋体" w:hAnsi="宋体" w:eastAsia="宋体" w:cs="宋体"/>
          <w:spacing w:val="-7"/>
          <w:sz w:val="21"/>
          <w:szCs w:val="21"/>
        </w:rPr>
        <w:t>详细的诊断标准，所以具有重要的国际影响。</w:t>
      </w:r>
    </w:p>
    <w:p w14:paraId="10564EB2">
      <w:pPr>
        <w:pStyle w:val="2"/>
        <w:spacing w:before="100" w:line="221" w:lineRule="auto"/>
        <w:ind w:left="419"/>
        <w:rPr>
          <w:sz w:val="24"/>
          <w:szCs w:val="24"/>
        </w:rPr>
      </w:pPr>
      <w:r>
        <w:rPr>
          <w:spacing w:val="2"/>
          <w:sz w:val="24"/>
          <w:szCs w:val="24"/>
        </w:rPr>
        <w:t>(二)流行特征</w:t>
      </w:r>
    </w:p>
    <w:p w14:paraId="5751174E">
      <w:pPr>
        <w:spacing w:before="100" w:line="298" w:lineRule="auto"/>
        <w:ind w:right="650" w:firstLine="419"/>
        <w:rPr>
          <w:rFonts w:ascii="宋体" w:hAnsi="宋体" w:eastAsia="宋体" w:cs="宋体"/>
          <w:sz w:val="21"/>
          <w:szCs w:val="21"/>
        </w:rPr>
      </w:pPr>
      <w:r>
        <w:rPr>
          <w:rFonts w:ascii="宋体" w:hAnsi="宋体" w:eastAsia="宋体" w:cs="宋体"/>
          <w:spacing w:val="-3"/>
          <w:sz w:val="21"/>
          <w:szCs w:val="21"/>
        </w:rPr>
        <w:t>1. 流行概况  由于经济快速发展以及影响人们身心健康的多种因素持续存在</w:t>
      </w:r>
      <w:r>
        <w:rPr>
          <w:rFonts w:ascii="宋体" w:hAnsi="宋体" w:eastAsia="宋体" w:cs="宋体"/>
          <w:spacing w:val="-4"/>
          <w:sz w:val="21"/>
          <w:szCs w:val="21"/>
        </w:rPr>
        <w:t>，精神卫生问题</w:t>
      </w:r>
      <w:r>
        <w:rPr>
          <w:rFonts w:ascii="宋体" w:hAnsi="宋体" w:eastAsia="宋体" w:cs="宋体"/>
          <w:sz w:val="21"/>
          <w:szCs w:val="21"/>
        </w:rPr>
        <w:t xml:space="preserve"> 已成为全球重要的公共卫生问题。根据GBD  2019年数据，全球共有9.</w:t>
      </w:r>
      <w:r>
        <w:rPr>
          <w:rFonts w:ascii="宋体" w:hAnsi="宋体" w:eastAsia="宋体" w:cs="宋体"/>
          <w:spacing w:val="-1"/>
          <w:sz w:val="21"/>
          <w:szCs w:val="21"/>
        </w:rPr>
        <w:t>7亿精神障碍患者，患病率</w:t>
      </w:r>
      <w:r>
        <w:rPr>
          <w:rFonts w:ascii="宋体" w:hAnsi="宋体" w:eastAsia="宋体" w:cs="宋体"/>
          <w:sz w:val="21"/>
          <w:szCs w:val="21"/>
        </w:rPr>
        <w:t xml:space="preserve"> </w:t>
      </w:r>
      <w:r>
        <w:rPr>
          <w:rFonts w:ascii="宋体" w:hAnsi="宋体" w:eastAsia="宋体" w:cs="宋体"/>
          <w:spacing w:val="2"/>
          <w:sz w:val="21"/>
          <w:szCs w:val="21"/>
        </w:rPr>
        <w:t>为12.3%,其中女性患病率为12.8%,男性为11.7</w:t>
      </w:r>
      <w:r>
        <w:rPr>
          <w:rFonts w:ascii="宋体" w:hAnsi="宋体" w:eastAsia="宋体" w:cs="宋体"/>
          <w:spacing w:val="1"/>
          <w:sz w:val="21"/>
          <w:szCs w:val="21"/>
        </w:rPr>
        <w:t>%。疾病负担方面，2019年全球精神障碍所导致的</w:t>
      </w:r>
      <w:r>
        <w:rPr>
          <w:rFonts w:ascii="宋体" w:hAnsi="宋体" w:eastAsia="宋体" w:cs="宋体"/>
          <w:sz w:val="21"/>
          <w:szCs w:val="21"/>
        </w:rPr>
        <w:t xml:space="preserve"> DALYs</w:t>
      </w:r>
      <w:r>
        <w:rPr>
          <w:rFonts w:ascii="宋体" w:hAnsi="宋体" w:eastAsia="宋体" w:cs="宋体"/>
          <w:spacing w:val="46"/>
          <w:sz w:val="21"/>
          <w:szCs w:val="21"/>
        </w:rPr>
        <w:t xml:space="preserve"> </w:t>
      </w:r>
      <w:r>
        <w:rPr>
          <w:rFonts w:ascii="宋体" w:hAnsi="宋体" w:eastAsia="宋体" w:cs="宋体"/>
          <w:spacing w:val="6"/>
          <w:sz w:val="21"/>
          <w:szCs w:val="21"/>
        </w:rPr>
        <w:t>占全部的4.9%,为1.25亿年。</w:t>
      </w:r>
    </w:p>
    <w:p w14:paraId="6C2CBFE5">
      <w:pPr>
        <w:pStyle w:val="2"/>
        <w:spacing w:before="124" w:line="275" w:lineRule="auto"/>
        <w:ind w:right="615" w:firstLine="419"/>
        <w:rPr>
          <w:rFonts w:ascii="宋体" w:hAnsi="宋体" w:eastAsia="宋体" w:cs="宋体"/>
          <w:sz w:val="21"/>
          <w:szCs w:val="21"/>
        </w:rPr>
      </w:pPr>
      <w:r>
        <w:rPr>
          <w:rFonts w:ascii="宋体" w:hAnsi="宋体" w:eastAsia="宋体" w:cs="宋体"/>
          <w:spacing w:val="1"/>
          <w:sz w:val="21"/>
          <w:szCs w:val="21"/>
        </w:rPr>
        <w:t xml:space="preserve">2. </w:t>
      </w:r>
      <w:r>
        <w:rPr>
          <w:spacing w:val="1"/>
          <w:sz w:val="21"/>
          <w:szCs w:val="21"/>
        </w:rPr>
        <w:t>时间分布</w:t>
      </w:r>
      <w:r>
        <w:rPr>
          <w:spacing w:val="89"/>
          <w:sz w:val="21"/>
          <w:szCs w:val="21"/>
        </w:rPr>
        <w:t xml:space="preserve"> </w:t>
      </w:r>
      <w:r>
        <w:rPr>
          <w:rFonts w:ascii="Times New Roman" w:hAnsi="Times New Roman" w:eastAsia="Times New Roman" w:cs="Times New Roman"/>
          <w:sz w:val="21"/>
          <w:szCs w:val="21"/>
        </w:rPr>
        <w:t>G</w:t>
      </w:r>
      <w:r>
        <w:rPr>
          <w:rFonts w:ascii="宋体" w:hAnsi="宋体" w:eastAsia="宋体" w:cs="宋体"/>
          <w:sz w:val="21"/>
          <w:szCs w:val="21"/>
        </w:rPr>
        <w:t>BD</w:t>
      </w:r>
      <w:r>
        <w:rPr>
          <w:rFonts w:ascii="宋体" w:hAnsi="宋体" w:eastAsia="宋体" w:cs="宋体"/>
          <w:spacing w:val="51"/>
          <w:sz w:val="21"/>
          <w:szCs w:val="21"/>
        </w:rPr>
        <w:t xml:space="preserve"> </w:t>
      </w:r>
      <w:r>
        <w:rPr>
          <w:rFonts w:ascii="宋体" w:hAnsi="宋体" w:eastAsia="宋体" w:cs="宋体"/>
          <w:spacing w:val="1"/>
          <w:sz w:val="21"/>
          <w:szCs w:val="21"/>
        </w:rPr>
        <w:t>2019年数据显示，2019年全球精神障碍的患病率较2010年增加了10.8%,</w:t>
      </w:r>
      <w:r>
        <w:rPr>
          <w:rFonts w:ascii="宋体" w:hAnsi="宋体" w:eastAsia="宋体" w:cs="宋体"/>
          <w:sz w:val="21"/>
          <w:szCs w:val="21"/>
        </w:rPr>
        <w:t xml:space="preserve"> </w:t>
      </w:r>
      <w:r>
        <w:rPr>
          <w:rFonts w:ascii="宋体" w:hAnsi="宋体" w:eastAsia="宋体" w:cs="宋体"/>
          <w:spacing w:val="6"/>
          <w:sz w:val="21"/>
          <w:szCs w:val="21"/>
        </w:rPr>
        <w:t>发病率增加了14.3%,所导致的</w:t>
      </w:r>
      <w:r>
        <w:rPr>
          <w:rFonts w:ascii="Times New Roman" w:hAnsi="Times New Roman" w:eastAsia="Times New Roman" w:cs="Times New Roman"/>
          <w:sz w:val="21"/>
          <w:szCs w:val="21"/>
        </w:rPr>
        <w:t>DALYs</w:t>
      </w:r>
      <w:r>
        <w:rPr>
          <w:rFonts w:ascii="宋体" w:hAnsi="宋体" w:eastAsia="宋体" w:cs="宋体"/>
          <w:spacing w:val="6"/>
          <w:sz w:val="21"/>
          <w:szCs w:val="21"/>
        </w:rPr>
        <w:t>增加了12.6%。</w:t>
      </w:r>
    </w:p>
    <w:p w14:paraId="2FFFD2CC">
      <w:pPr>
        <w:pStyle w:val="2"/>
        <w:spacing w:before="118" w:line="265" w:lineRule="auto"/>
        <w:ind w:right="671" w:firstLine="419"/>
        <w:rPr>
          <w:rFonts w:ascii="宋体" w:hAnsi="宋体" w:eastAsia="宋体" w:cs="宋体"/>
          <w:sz w:val="21"/>
          <w:szCs w:val="21"/>
        </w:rPr>
      </w:pPr>
      <w:r>
        <w:rPr>
          <w:rFonts w:ascii="宋体" w:hAnsi="宋体" w:eastAsia="宋体" w:cs="宋体"/>
          <w:sz w:val="21"/>
          <w:szCs w:val="21"/>
        </w:rPr>
        <w:t xml:space="preserve">3. </w:t>
      </w:r>
      <w:r>
        <w:rPr>
          <w:sz w:val="21"/>
          <w:szCs w:val="21"/>
        </w:rPr>
        <w:t>地区分布</w:t>
      </w:r>
      <w:r>
        <w:rPr>
          <w:spacing w:val="93"/>
          <w:sz w:val="21"/>
          <w:szCs w:val="21"/>
        </w:rPr>
        <w:t xml:space="preserve"> </w:t>
      </w:r>
      <w:r>
        <w:rPr>
          <w:rFonts w:ascii="宋体" w:hAnsi="宋体" w:eastAsia="宋体" w:cs="宋体"/>
          <w:sz w:val="21"/>
          <w:szCs w:val="21"/>
        </w:rPr>
        <w:t>精神障碍在所有国家和地区都很常见</w:t>
      </w:r>
      <w:r>
        <w:rPr>
          <w:rFonts w:ascii="宋体" w:hAnsi="宋体" w:eastAsia="宋体" w:cs="宋体"/>
          <w:spacing w:val="-1"/>
          <w:sz w:val="21"/>
          <w:szCs w:val="21"/>
        </w:rPr>
        <w:t>，患病率从非洲区域的10.9%到美洲区域</w:t>
      </w:r>
      <w:r>
        <w:rPr>
          <w:rFonts w:ascii="宋体" w:hAnsi="宋体" w:eastAsia="宋体" w:cs="宋体"/>
          <w:sz w:val="21"/>
          <w:szCs w:val="21"/>
        </w:rPr>
        <w:t xml:space="preserve"> </w:t>
      </w:r>
      <w:r>
        <w:rPr>
          <w:rFonts w:ascii="宋体" w:hAnsi="宋体" w:eastAsia="宋体" w:cs="宋体"/>
          <w:spacing w:val="1"/>
          <w:sz w:val="21"/>
          <w:szCs w:val="21"/>
        </w:rPr>
        <w:t>的15.6%不等。但精神障碍在高收入国家中更为常见(15.1%),高于中低收入国家(11.6%)。</w:t>
      </w:r>
    </w:p>
    <w:p w14:paraId="5FF2FC6F">
      <w:pPr>
        <w:pStyle w:val="2"/>
        <w:spacing w:before="123" w:line="315" w:lineRule="auto"/>
        <w:ind w:right="651" w:firstLine="419"/>
        <w:rPr>
          <w:rFonts w:ascii="宋体" w:hAnsi="宋体" w:eastAsia="宋体" w:cs="宋体"/>
          <w:sz w:val="21"/>
          <w:szCs w:val="21"/>
        </w:rPr>
      </w:pPr>
      <w:r>
        <w:rPr>
          <w:rFonts w:ascii="宋体" w:hAnsi="宋体" w:eastAsia="宋体" w:cs="宋体"/>
          <w:sz w:val="21"/>
          <w:szCs w:val="21"/>
        </w:rPr>
        <w:t xml:space="preserve">4. </w:t>
      </w:r>
      <w:r>
        <w:rPr>
          <w:sz w:val="21"/>
          <w:szCs w:val="21"/>
        </w:rPr>
        <w:t xml:space="preserve">人群分布  </w:t>
      </w:r>
      <w:r>
        <w:rPr>
          <w:rFonts w:ascii="宋体" w:hAnsi="宋体" w:eastAsia="宋体" w:cs="宋体"/>
          <w:sz w:val="21"/>
          <w:szCs w:val="21"/>
        </w:rPr>
        <w:t>在整个生命周期中，女性的抑郁障碍</w:t>
      </w:r>
      <w:r>
        <w:rPr>
          <w:rFonts w:ascii="宋体" w:hAnsi="宋体" w:eastAsia="宋体" w:cs="宋体"/>
          <w:spacing w:val="-1"/>
          <w:sz w:val="21"/>
          <w:szCs w:val="21"/>
        </w:rPr>
        <w:t>和焦虑障碍发病率比男性高出约50%。男</w:t>
      </w:r>
      <w:r>
        <w:rPr>
          <w:rFonts w:ascii="宋体" w:hAnsi="宋体" w:eastAsia="宋体" w:cs="宋体"/>
          <w:sz w:val="21"/>
          <w:szCs w:val="21"/>
        </w:rPr>
        <w:t xml:space="preserve"> 性则更容易患有物质使用障碍如酒精和药物依赖。精神障碍在孕期妇</w:t>
      </w:r>
      <w:r>
        <w:rPr>
          <w:rFonts w:ascii="宋体" w:hAnsi="宋体" w:eastAsia="宋体" w:cs="宋体"/>
          <w:spacing w:val="-1"/>
          <w:sz w:val="21"/>
          <w:szCs w:val="21"/>
        </w:rPr>
        <w:t>女和分娩后不久的妇女中发</w:t>
      </w:r>
      <w:r>
        <w:rPr>
          <w:rFonts w:ascii="宋体" w:hAnsi="宋体" w:eastAsia="宋体" w:cs="宋体"/>
          <w:sz w:val="21"/>
          <w:szCs w:val="21"/>
        </w:rPr>
        <w:t xml:space="preserve"> </w:t>
      </w:r>
      <w:r>
        <w:rPr>
          <w:rFonts w:ascii="宋体" w:hAnsi="宋体" w:eastAsia="宋体" w:cs="宋体"/>
          <w:spacing w:val="1"/>
          <w:sz w:val="21"/>
          <w:szCs w:val="21"/>
        </w:rPr>
        <w:t>病会影响到母儿双方的身心健康。在世界范围内，超过10%的孕妇和分娩后不久的妇女会经历抑</w:t>
      </w:r>
      <w:r>
        <w:rPr>
          <w:rFonts w:ascii="宋体" w:hAnsi="宋体" w:eastAsia="宋体" w:cs="宋体"/>
          <w:spacing w:val="14"/>
          <w:sz w:val="21"/>
          <w:szCs w:val="21"/>
        </w:rPr>
        <w:t xml:space="preserve"> </w:t>
      </w:r>
      <w:r>
        <w:rPr>
          <w:rFonts w:ascii="宋体" w:hAnsi="宋体" w:eastAsia="宋体" w:cs="宋体"/>
          <w:spacing w:val="-3"/>
          <w:sz w:val="21"/>
          <w:szCs w:val="21"/>
        </w:rPr>
        <w:t>郁障碍。不同年龄段的精神障碍患病情况也有所差异。对于5岁以下的幼儿，</w:t>
      </w:r>
      <w:r>
        <w:rPr>
          <w:rFonts w:ascii="宋体" w:hAnsi="宋体" w:eastAsia="宋体" w:cs="宋体"/>
          <w:spacing w:val="-4"/>
          <w:sz w:val="21"/>
          <w:szCs w:val="21"/>
        </w:rPr>
        <w:t>导致发育缺陷的特发</w:t>
      </w:r>
      <w:r>
        <w:rPr>
          <w:rFonts w:ascii="宋体" w:hAnsi="宋体" w:eastAsia="宋体" w:cs="宋体"/>
          <w:sz w:val="21"/>
          <w:szCs w:val="21"/>
        </w:rPr>
        <w:t xml:space="preserve"> </w:t>
      </w:r>
      <w:r>
        <w:rPr>
          <w:rFonts w:ascii="宋体" w:hAnsi="宋体" w:eastAsia="宋体" w:cs="宋体"/>
          <w:spacing w:val="-1"/>
          <w:sz w:val="21"/>
          <w:szCs w:val="21"/>
        </w:rPr>
        <w:t>性发育障碍与孤独症谱系障碍是最常见的精神障碍。在青少年中，注意缺陷多动障碍和品行障碍</w:t>
      </w:r>
      <w:r>
        <w:rPr>
          <w:rFonts w:ascii="宋体" w:hAnsi="宋体" w:eastAsia="宋体" w:cs="宋体"/>
          <w:spacing w:val="9"/>
          <w:sz w:val="21"/>
          <w:szCs w:val="21"/>
        </w:rPr>
        <w:t xml:space="preserve"> </w:t>
      </w:r>
      <w:r>
        <w:rPr>
          <w:rFonts w:ascii="宋体" w:hAnsi="宋体" w:eastAsia="宋体" w:cs="宋体"/>
          <w:spacing w:val="2"/>
          <w:sz w:val="21"/>
          <w:szCs w:val="21"/>
        </w:rPr>
        <w:t>最为常见，尤其在年幼男孩中(患病率分别为4.6</w:t>
      </w:r>
      <w:r>
        <w:rPr>
          <w:rFonts w:ascii="宋体" w:hAnsi="宋体" w:eastAsia="宋体" w:cs="宋体"/>
          <w:spacing w:val="1"/>
          <w:sz w:val="21"/>
          <w:szCs w:val="21"/>
        </w:rPr>
        <w:t>%和4.5%,普遍在10～14岁之间)。焦虑障碍是年</w:t>
      </w:r>
      <w:r>
        <w:rPr>
          <w:rFonts w:ascii="宋体" w:hAnsi="宋体" w:eastAsia="宋体" w:cs="宋体"/>
          <w:sz w:val="21"/>
          <w:szCs w:val="21"/>
        </w:rPr>
        <w:t xml:space="preserve"> </w:t>
      </w:r>
      <w:r>
        <w:rPr>
          <w:rFonts w:ascii="宋体" w:hAnsi="宋体" w:eastAsia="宋体" w:cs="宋体"/>
          <w:spacing w:val="-1"/>
          <w:sz w:val="21"/>
          <w:szCs w:val="21"/>
        </w:rPr>
        <w:t>龄较大的青少年中最常见的精神障碍，在青春期女孩中更是如此。焦虑障碍和抑郁障碍在这个年</w:t>
      </w:r>
      <w:r>
        <w:rPr>
          <w:rFonts w:ascii="宋体" w:hAnsi="宋体" w:eastAsia="宋体" w:cs="宋体"/>
          <w:spacing w:val="10"/>
          <w:sz w:val="21"/>
          <w:szCs w:val="21"/>
        </w:rPr>
        <w:t xml:space="preserve"> </w:t>
      </w:r>
      <w:r>
        <w:rPr>
          <w:rFonts w:ascii="宋体" w:hAnsi="宋体" w:eastAsia="宋体" w:cs="宋体"/>
          <w:spacing w:val="-6"/>
          <w:sz w:val="21"/>
          <w:szCs w:val="21"/>
        </w:rPr>
        <w:t>龄段有可能与环境因素密切相关。在成人群体中，抑郁障碍和焦虑障碍最为高发，其中抑郁障碍在</w:t>
      </w:r>
      <w:r>
        <w:rPr>
          <w:rFonts w:ascii="宋体" w:hAnsi="宋体" w:eastAsia="宋体" w:cs="宋体"/>
          <w:spacing w:val="18"/>
          <w:sz w:val="21"/>
          <w:szCs w:val="21"/>
        </w:rPr>
        <w:t xml:space="preserve"> </w:t>
      </w:r>
      <w:r>
        <w:rPr>
          <w:rFonts w:ascii="宋体" w:hAnsi="宋体" w:eastAsia="宋体" w:cs="宋体"/>
          <w:sz w:val="21"/>
          <w:szCs w:val="21"/>
        </w:rPr>
        <w:t>50～69岁的人群中发病率最高。对于老年人而言，痴呆是最主要的</w:t>
      </w:r>
      <w:r>
        <w:rPr>
          <w:rFonts w:ascii="宋体" w:hAnsi="宋体" w:eastAsia="宋体" w:cs="宋体"/>
          <w:spacing w:val="-1"/>
          <w:sz w:val="21"/>
          <w:szCs w:val="21"/>
        </w:rPr>
        <w:t>疾病，据估计65岁及以上的人</w:t>
      </w:r>
      <w:r>
        <w:rPr>
          <w:rFonts w:ascii="宋体" w:hAnsi="宋体" w:eastAsia="宋体" w:cs="宋体"/>
          <w:sz w:val="21"/>
          <w:szCs w:val="21"/>
        </w:rPr>
        <w:t xml:space="preserve"> </w:t>
      </w:r>
      <w:r>
        <w:rPr>
          <w:rFonts w:ascii="宋体" w:hAnsi="宋体" w:eastAsia="宋体" w:cs="宋体"/>
          <w:spacing w:val="7"/>
          <w:sz w:val="21"/>
          <w:szCs w:val="21"/>
        </w:rPr>
        <w:t>群中6.9%的老年人患有痴呆。</w:t>
      </w:r>
    </w:p>
    <w:p w14:paraId="311819B3">
      <w:pPr>
        <w:pStyle w:val="2"/>
        <w:spacing w:before="118" w:line="222" w:lineRule="auto"/>
        <w:ind w:left="422"/>
        <w:rPr>
          <w:sz w:val="21"/>
          <w:szCs w:val="21"/>
        </w:rPr>
      </w:pPr>
      <w:r>
        <w:rPr>
          <w:b/>
          <w:bCs/>
          <w:spacing w:val="26"/>
          <w:sz w:val="21"/>
          <w:szCs w:val="21"/>
        </w:rPr>
        <w:t>(三)危险因素</w:t>
      </w:r>
    </w:p>
    <w:p w14:paraId="5C5E0B31">
      <w:pPr>
        <w:spacing w:before="98" w:line="330" w:lineRule="auto"/>
        <w:ind w:right="625" w:firstLine="419"/>
        <w:rPr>
          <w:rFonts w:ascii="宋体" w:hAnsi="宋体" w:eastAsia="宋体" w:cs="宋体"/>
          <w:sz w:val="21"/>
          <w:szCs w:val="21"/>
        </w:rPr>
      </w:pPr>
      <w:r>
        <w:rPr>
          <w:rFonts w:ascii="宋体" w:hAnsi="宋体" w:eastAsia="宋体" w:cs="宋体"/>
          <w:spacing w:val="-15"/>
          <w:sz w:val="21"/>
          <w:szCs w:val="21"/>
        </w:rPr>
        <w:t>精神障碍与其他多数躯体疾病一样，均是生物、心理、社会(文化)等多个因素相互作用的结果，即</w:t>
      </w:r>
      <w:r>
        <w:rPr>
          <w:rFonts w:ascii="宋体" w:hAnsi="宋体" w:eastAsia="宋体" w:cs="宋体"/>
          <w:spacing w:val="9"/>
          <w:sz w:val="21"/>
          <w:szCs w:val="21"/>
        </w:rPr>
        <w:t xml:space="preserve"> </w:t>
      </w:r>
      <w:r>
        <w:rPr>
          <w:rFonts w:ascii="宋体" w:hAnsi="宋体" w:eastAsia="宋体" w:cs="宋体"/>
          <w:spacing w:val="-9"/>
          <w:sz w:val="21"/>
          <w:szCs w:val="21"/>
        </w:rPr>
        <w:t>内、外因素在其发病过程中共同起作用。目前对于精神障碍的病因学研究主</w:t>
      </w:r>
      <w:r>
        <w:rPr>
          <w:rFonts w:ascii="宋体" w:hAnsi="宋体" w:eastAsia="宋体" w:cs="宋体"/>
          <w:spacing w:val="-10"/>
          <w:sz w:val="21"/>
          <w:szCs w:val="21"/>
        </w:rPr>
        <w:t>要集中在以下几个方面。</w:t>
      </w:r>
    </w:p>
    <w:p w14:paraId="23FFADC4">
      <w:pPr>
        <w:pStyle w:val="2"/>
        <w:spacing w:before="3" w:line="325" w:lineRule="auto"/>
        <w:ind w:right="651" w:firstLine="419"/>
        <w:jc w:val="both"/>
        <w:rPr>
          <w:rFonts w:ascii="宋体" w:hAnsi="宋体" w:eastAsia="宋体" w:cs="宋体"/>
          <w:sz w:val="21"/>
          <w:szCs w:val="21"/>
        </w:rPr>
      </w:pPr>
      <w:r>
        <w:rPr>
          <w:rFonts w:ascii="宋体" w:hAnsi="宋体" w:eastAsia="宋体" w:cs="宋体"/>
          <w:spacing w:val="-2"/>
          <w:sz w:val="21"/>
          <w:szCs w:val="21"/>
        </w:rPr>
        <w:t>1.</w:t>
      </w:r>
      <w:r>
        <w:rPr>
          <w:rFonts w:ascii="宋体" w:hAnsi="宋体" w:eastAsia="宋体" w:cs="宋体"/>
          <w:spacing w:val="-21"/>
          <w:sz w:val="21"/>
          <w:szCs w:val="21"/>
        </w:rPr>
        <w:t xml:space="preserve"> </w:t>
      </w:r>
      <w:r>
        <w:rPr>
          <w:spacing w:val="-2"/>
          <w:sz w:val="21"/>
          <w:szCs w:val="21"/>
        </w:rPr>
        <w:t>遗传因素</w:t>
      </w:r>
      <w:r>
        <w:rPr>
          <w:spacing w:val="90"/>
          <w:sz w:val="21"/>
          <w:szCs w:val="21"/>
        </w:rPr>
        <w:t xml:space="preserve"> </w:t>
      </w:r>
      <w:r>
        <w:rPr>
          <w:rFonts w:ascii="宋体" w:hAnsi="宋体" w:eastAsia="宋体" w:cs="宋体"/>
          <w:spacing w:val="-2"/>
          <w:sz w:val="21"/>
          <w:szCs w:val="21"/>
        </w:rPr>
        <w:t>家系、双生子、寄养子研究等遗</w:t>
      </w:r>
      <w:r>
        <w:rPr>
          <w:rFonts w:ascii="宋体" w:hAnsi="宋体" w:eastAsia="宋体" w:cs="宋体"/>
          <w:spacing w:val="-3"/>
          <w:sz w:val="21"/>
          <w:szCs w:val="21"/>
        </w:rPr>
        <w:t>传流行病学研究证实精神障碍具有很高的遗传</w:t>
      </w:r>
      <w:r>
        <w:rPr>
          <w:rFonts w:ascii="宋体" w:hAnsi="宋体" w:eastAsia="宋体" w:cs="宋体"/>
          <w:sz w:val="21"/>
          <w:szCs w:val="21"/>
        </w:rPr>
        <w:t xml:space="preserve"> </w:t>
      </w:r>
      <w:r>
        <w:rPr>
          <w:rFonts w:ascii="宋体" w:hAnsi="宋体" w:eastAsia="宋体" w:cs="宋体"/>
          <w:spacing w:val="4"/>
          <w:sz w:val="21"/>
          <w:szCs w:val="21"/>
        </w:rPr>
        <w:t>倾向，孤独症的遗传度高达90%,精神分裂症与双相情感障碍的遗传度也高达80%(遗传度指群体</w:t>
      </w:r>
      <w:r>
        <w:rPr>
          <w:rFonts w:ascii="宋体" w:hAnsi="宋体" w:eastAsia="宋体" w:cs="宋体"/>
          <w:spacing w:val="18"/>
          <w:sz w:val="21"/>
          <w:szCs w:val="21"/>
        </w:rPr>
        <w:t xml:space="preserve"> </w:t>
      </w:r>
      <w:r>
        <w:rPr>
          <w:rFonts w:ascii="宋体" w:hAnsi="宋体" w:eastAsia="宋体" w:cs="宋体"/>
          <w:spacing w:val="-3"/>
          <w:sz w:val="21"/>
          <w:szCs w:val="21"/>
        </w:rPr>
        <w:t>中某一疾病可以由遗传效应来解释的部分)。在遗传因素基础上，环境影响基因表达的表观遗传因</w:t>
      </w:r>
    </w:p>
    <w:p w14:paraId="6C27AE7F">
      <w:pPr>
        <w:spacing w:line="325" w:lineRule="auto"/>
        <w:rPr>
          <w:rFonts w:ascii="宋体" w:hAnsi="宋体" w:eastAsia="宋体" w:cs="宋体"/>
          <w:sz w:val="21"/>
          <w:szCs w:val="21"/>
        </w:rPr>
        <w:sectPr>
          <w:footerReference r:id="rId248" w:type="default"/>
          <w:pgSz w:w="11900" w:h="16820"/>
          <w:pgMar w:top="400" w:right="939" w:bottom="836" w:left="1499" w:header="0" w:footer="646" w:gutter="0"/>
          <w:cols w:space="720" w:num="1"/>
        </w:sectPr>
      </w:pPr>
    </w:p>
    <w:p w14:paraId="645E434F">
      <w:pPr>
        <w:pStyle w:val="2"/>
        <w:spacing w:before="236" w:line="221" w:lineRule="auto"/>
        <w:ind w:left="639"/>
        <w:rPr>
          <w:sz w:val="20"/>
          <w:szCs w:val="20"/>
        </w:rPr>
      </w:pPr>
      <w:r>
        <w:rPr>
          <w:spacing w:val="-16"/>
          <w:w w:val="98"/>
          <w:sz w:val="20"/>
          <w:szCs w:val="20"/>
        </w:rPr>
        <w:t>第十四章慢性病流行病学</w:t>
      </w:r>
    </w:p>
    <w:p w14:paraId="6804FEFE">
      <w:pPr>
        <w:spacing w:line="291" w:lineRule="auto"/>
        <w:rPr>
          <w:rFonts w:ascii="Arial"/>
          <w:sz w:val="21"/>
        </w:rPr>
      </w:pPr>
    </w:p>
    <w:p w14:paraId="286A685E">
      <w:pPr>
        <w:spacing w:line="292" w:lineRule="auto"/>
        <w:rPr>
          <w:rFonts w:ascii="Arial"/>
          <w:sz w:val="21"/>
        </w:rPr>
      </w:pPr>
    </w:p>
    <w:p w14:paraId="75B22127">
      <w:pPr>
        <w:spacing w:before="65" w:line="323" w:lineRule="auto"/>
        <w:ind w:left="639" w:right="91"/>
        <w:rPr>
          <w:rFonts w:ascii="宋体" w:hAnsi="宋体" w:eastAsia="宋体" w:cs="宋体"/>
          <w:sz w:val="20"/>
          <w:szCs w:val="20"/>
        </w:rPr>
      </w:pPr>
      <w:r>
        <w:rPr>
          <w:rFonts w:ascii="宋体" w:hAnsi="宋体" w:eastAsia="宋体" w:cs="宋体"/>
          <w:spacing w:val="5"/>
          <w:sz w:val="20"/>
          <w:szCs w:val="20"/>
        </w:rPr>
        <w:t>素也对精神障碍有所影响。如低单胺氧化酶</w:t>
      </w:r>
      <w:r>
        <w:rPr>
          <w:rFonts w:ascii="Times New Roman" w:hAnsi="Times New Roman" w:eastAsia="Times New Roman" w:cs="Times New Roman"/>
          <w:spacing w:val="5"/>
          <w:sz w:val="20"/>
          <w:szCs w:val="20"/>
        </w:rPr>
        <w:t xml:space="preserve">A </w:t>
      </w:r>
      <w:r>
        <w:rPr>
          <w:rFonts w:ascii="宋体" w:hAnsi="宋体" w:eastAsia="宋体" w:cs="宋体"/>
          <w:spacing w:val="5"/>
          <w:sz w:val="20"/>
          <w:szCs w:val="20"/>
        </w:rPr>
        <w:t>活性的个体在童年期受到严重虐待后较易出现</w:t>
      </w:r>
      <w:r>
        <w:rPr>
          <w:rFonts w:ascii="宋体" w:hAnsi="宋体" w:eastAsia="宋体" w:cs="宋体"/>
          <w:spacing w:val="4"/>
          <w:sz w:val="20"/>
          <w:szCs w:val="20"/>
        </w:rPr>
        <w:t>反社</w:t>
      </w:r>
      <w:r>
        <w:rPr>
          <w:rFonts w:ascii="宋体" w:hAnsi="宋体" w:eastAsia="宋体" w:cs="宋体"/>
          <w:sz w:val="20"/>
          <w:szCs w:val="20"/>
        </w:rPr>
        <w:t xml:space="preserve"> </w:t>
      </w:r>
      <w:r>
        <w:rPr>
          <w:rFonts w:ascii="宋体" w:hAnsi="宋体" w:eastAsia="宋体" w:cs="宋体"/>
          <w:spacing w:val="-3"/>
          <w:sz w:val="20"/>
          <w:szCs w:val="20"/>
        </w:rPr>
        <w:t>会行为；5-羟色胺转运体SIS基因型个体，在遭受负性生活事件后，较易发生抑郁障碍。</w:t>
      </w:r>
    </w:p>
    <w:p w14:paraId="78132E97">
      <w:pPr>
        <w:pStyle w:val="2"/>
        <w:spacing w:line="221" w:lineRule="auto"/>
        <w:ind w:left="1030"/>
        <w:rPr>
          <w:sz w:val="20"/>
          <w:szCs w:val="20"/>
        </w:rPr>
      </w:pPr>
      <w:r>
        <w:rPr>
          <w:rFonts w:ascii="宋体" w:hAnsi="宋体" w:eastAsia="宋体" w:cs="宋体"/>
          <w:spacing w:val="4"/>
          <w:sz w:val="20"/>
          <w:szCs w:val="20"/>
        </w:rPr>
        <w:t>2.</w:t>
      </w:r>
      <w:r>
        <w:rPr>
          <w:rFonts w:ascii="宋体" w:hAnsi="宋体" w:eastAsia="宋体" w:cs="宋体"/>
          <w:spacing w:val="-19"/>
          <w:sz w:val="20"/>
          <w:szCs w:val="20"/>
        </w:rPr>
        <w:t xml:space="preserve"> </w:t>
      </w:r>
      <w:r>
        <w:rPr>
          <w:spacing w:val="4"/>
          <w:sz w:val="20"/>
          <w:szCs w:val="20"/>
        </w:rPr>
        <w:t>环境驱动因素</w:t>
      </w:r>
    </w:p>
    <w:p w14:paraId="15FFB34E">
      <w:pPr>
        <w:spacing w:before="148" w:line="302" w:lineRule="auto"/>
        <w:ind w:left="639" w:right="104" w:firstLine="390"/>
        <w:rPr>
          <w:rFonts w:ascii="宋体" w:hAnsi="宋体" w:eastAsia="宋体" w:cs="宋体"/>
          <w:sz w:val="20"/>
          <w:szCs w:val="20"/>
        </w:rPr>
      </w:pPr>
      <w:r>
        <w:rPr>
          <w:rFonts w:ascii="宋体" w:hAnsi="宋体" w:eastAsia="宋体" w:cs="宋体"/>
          <w:spacing w:val="3"/>
          <w:sz w:val="20"/>
          <w:szCs w:val="20"/>
        </w:rPr>
        <w:t>(1)感染：性传播的梅毒螺旋体在体内潜伏</w:t>
      </w:r>
      <w:r>
        <w:rPr>
          <w:rFonts w:ascii="宋体" w:hAnsi="宋体" w:eastAsia="宋体" w:cs="宋体"/>
          <w:spacing w:val="2"/>
          <w:sz w:val="20"/>
          <w:szCs w:val="20"/>
        </w:rPr>
        <w:t>多年后可进入脑内，导致神经梅毒，主要表现为神</w:t>
      </w:r>
      <w:r>
        <w:rPr>
          <w:rFonts w:ascii="宋体" w:hAnsi="宋体" w:eastAsia="宋体" w:cs="宋体"/>
          <w:sz w:val="20"/>
          <w:szCs w:val="20"/>
        </w:rPr>
        <w:t xml:space="preserve"> </w:t>
      </w:r>
      <w:r>
        <w:rPr>
          <w:rFonts w:ascii="宋体" w:hAnsi="宋体" w:eastAsia="宋体" w:cs="宋体"/>
          <w:spacing w:val="-4"/>
          <w:sz w:val="20"/>
          <w:szCs w:val="20"/>
        </w:rPr>
        <w:t>经系统的退行性变，如痴呆、精神病性症状及麻痹</w:t>
      </w:r>
      <w:r>
        <w:rPr>
          <w:rFonts w:ascii="宋体" w:hAnsi="宋体" w:eastAsia="宋体" w:cs="宋体"/>
          <w:spacing w:val="-5"/>
          <w:sz w:val="20"/>
          <w:szCs w:val="20"/>
        </w:rPr>
        <w:t>等；HIV 也能进入脑内，引起进行性的认知行为功</w:t>
      </w:r>
      <w:r>
        <w:rPr>
          <w:rFonts w:ascii="宋体" w:hAnsi="宋体" w:eastAsia="宋体" w:cs="宋体"/>
          <w:sz w:val="20"/>
          <w:szCs w:val="20"/>
        </w:rPr>
        <w:t xml:space="preserve"> </w:t>
      </w:r>
      <w:r>
        <w:rPr>
          <w:rFonts w:ascii="宋体" w:hAnsi="宋体" w:eastAsia="宋体" w:cs="宋体"/>
          <w:spacing w:val="5"/>
          <w:sz w:val="20"/>
          <w:szCs w:val="20"/>
        </w:rPr>
        <w:t>能损害。</w:t>
      </w:r>
    </w:p>
    <w:p w14:paraId="4E1F622A">
      <w:pPr>
        <w:spacing w:before="140" w:line="280" w:lineRule="auto"/>
        <w:ind w:left="639" w:right="19" w:firstLine="390"/>
        <w:rPr>
          <w:rFonts w:ascii="宋体" w:hAnsi="宋体" w:eastAsia="宋体" w:cs="宋体"/>
          <w:sz w:val="20"/>
          <w:szCs w:val="20"/>
        </w:rPr>
      </w:pPr>
      <w:r>
        <w:rPr>
          <w:rFonts w:ascii="宋体" w:hAnsi="宋体" w:eastAsia="宋体" w:cs="宋体"/>
          <w:sz w:val="20"/>
          <w:szCs w:val="20"/>
        </w:rPr>
        <w:t>(2)其他因素：包括躯体疾病、创伤、营养不良、毒物等。部分中枢神</w:t>
      </w:r>
      <w:r>
        <w:rPr>
          <w:rFonts w:ascii="宋体" w:hAnsi="宋体" w:eastAsia="宋体" w:cs="宋体"/>
          <w:spacing w:val="-1"/>
          <w:sz w:val="20"/>
          <w:szCs w:val="20"/>
        </w:rPr>
        <w:t>经递质、神经营养因子、</w:t>
      </w:r>
      <w:r>
        <w:rPr>
          <w:rFonts w:ascii="宋体" w:hAnsi="宋体" w:eastAsia="宋体" w:cs="宋体"/>
          <w:sz w:val="20"/>
          <w:szCs w:val="20"/>
        </w:rPr>
        <w:t xml:space="preserve"> </w:t>
      </w:r>
      <w:r>
        <w:rPr>
          <w:rFonts w:ascii="宋体" w:hAnsi="宋体" w:eastAsia="宋体" w:cs="宋体"/>
          <w:spacing w:val="-2"/>
          <w:sz w:val="20"/>
          <w:szCs w:val="20"/>
        </w:rPr>
        <w:t>激素和神经肽等也参与精神障碍的发病过程。</w:t>
      </w:r>
    </w:p>
    <w:p w14:paraId="3C73F696">
      <w:pPr>
        <w:pStyle w:val="2"/>
        <w:spacing w:before="121" w:line="343" w:lineRule="auto"/>
        <w:ind w:left="639" w:right="19" w:firstLine="390"/>
        <w:jc w:val="both"/>
        <w:rPr>
          <w:rFonts w:ascii="宋体" w:hAnsi="宋体" w:eastAsia="宋体" w:cs="宋体"/>
          <w:sz w:val="20"/>
          <w:szCs w:val="20"/>
        </w:rPr>
      </w:pPr>
      <w:r>
        <w:rPr>
          <w:rFonts w:ascii="宋体" w:hAnsi="宋体" w:eastAsia="宋体" w:cs="宋体"/>
          <w:spacing w:val="5"/>
          <w:sz w:val="20"/>
          <w:szCs w:val="20"/>
        </w:rPr>
        <w:t xml:space="preserve">3. </w:t>
      </w:r>
      <w:r>
        <w:rPr>
          <w:spacing w:val="5"/>
          <w:sz w:val="20"/>
          <w:szCs w:val="20"/>
        </w:rPr>
        <w:t>心理和社会因素 心理和社会因素既可以作为原因在精神障碍的发病中起重要作用，如创</w:t>
      </w:r>
      <w:r>
        <w:rPr>
          <w:sz w:val="20"/>
          <w:szCs w:val="20"/>
        </w:rPr>
        <w:t xml:space="preserve"> </w:t>
      </w:r>
      <w:r>
        <w:rPr>
          <w:rFonts w:ascii="宋体" w:hAnsi="宋体" w:eastAsia="宋体" w:cs="宋体"/>
          <w:spacing w:val="-2"/>
          <w:sz w:val="20"/>
          <w:szCs w:val="20"/>
        </w:rPr>
        <w:t>伤后应激障碍</w:t>
      </w:r>
      <w:r>
        <w:rPr>
          <w:rFonts w:ascii="Times New Roman" w:hAnsi="Times New Roman" w:eastAsia="Times New Roman" w:cs="Times New Roman"/>
          <w:spacing w:val="-2"/>
          <w:sz w:val="20"/>
          <w:szCs w:val="20"/>
        </w:rPr>
        <w:t>(post-traumatic  stress  disorder,PTSD)</w:t>
      </w:r>
      <w:r>
        <w:rPr>
          <w:rFonts w:ascii="宋体" w:hAnsi="宋体" w:eastAsia="宋体" w:cs="宋体"/>
          <w:spacing w:val="-2"/>
          <w:sz w:val="20"/>
          <w:szCs w:val="20"/>
        </w:rPr>
        <w:t>、适应障碍等；也可以影响精神障碍的发展，如焦</w:t>
      </w:r>
      <w:r>
        <w:rPr>
          <w:rFonts w:ascii="宋体" w:hAnsi="宋体" w:eastAsia="宋体" w:cs="宋体"/>
          <w:spacing w:val="17"/>
          <w:sz w:val="20"/>
          <w:szCs w:val="20"/>
        </w:rPr>
        <w:t xml:space="preserve"> </w:t>
      </w:r>
      <w:r>
        <w:rPr>
          <w:rFonts w:ascii="宋体" w:hAnsi="宋体" w:eastAsia="宋体" w:cs="宋体"/>
          <w:spacing w:val="-7"/>
          <w:sz w:val="20"/>
          <w:szCs w:val="20"/>
        </w:rPr>
        <w:t>虑障碍、心理生理障碍，甚至是精神分裂症等。应激性生活事件、压力、人格特征、情感</w:t>
      </w:r>
      <w:r>
        <w:rPr>
          <w:rFonts w:ascii="宋体" w:hAnsi="宋体" w:eastAsia="宋体" w:cs="宋体"/>
          <w:spacing w:val="-8"/>
          <w:sz w:val="20"/>
          <w:szCs w:val="20"/>
        </w:rPr>
        <w:t>状态、种族、</w:t>
      </w:r>
      <w:r>
        <w:rPr>
          <w:rFonts w:ascii="宋体" w:hAnsi="宋体" w:eastAsia="宋体" w:cs="宋体"/>
          <w:sz w:val="20"/>
          <w:szCs w:val="20"/>
        </w:rPr>
        <w:t xml:space="preserve"> </w:t>
      </w:r>
      <w:r>
        <w:rPr>
          <w:rFonts w:ascii="宋体" w:hAnsi="宋体" w:eastAsia="宋体" w:cs="宋体"/>
          <w:spacing w:val="-5"/>
          <w:sz w:val="20"/>
          <w:szCs w:val="20"/>
        </w:rPr>
        <w:t>父母的养育方式、社会阶层、社会经济状况、文化宗教背景、人际关系等均构成影响精神疾病的心理</w:t>
      </w:r>
      <w:r>
        <w:rPr>
          <w:rFonts w:ascii="宋体" w:hAnsi="宋体" w:eastAsia="宋体" w:cs="宋体"/>
          <w:spacing w:val="2"/>
          <w:sz w:val="20"/>
          <w:szCs w:val="20"/>
        </w:rPr>
        <w:t xml:space="preserve">  </w:t>
      </w:r>
      <w:r>
        <w:rPr>
          <w:rFonts w:ascii="宋体" w:hAnsi="宋体" w:eastAsia="宋体" w:cs="宋体"/>
          <w:spacing w:val="4"/>
          <w:sz w:val="20"/>
          <w:szCs w:val="20"/>
        </w:rPr>
        <w:t>和社会因素。如应激性生活事件可以导致</w:t>
      </w:r>
      <w:r>
        <w:rPr>
          <w:rFonts w:ascii="Times New Roman" w:hAnsi="Times New Roman" w:eastAsia="Times New Roman" w:cs="Times New Roman"/>
          <w:sz w:val="20"/>
          <w:szCs w:val="20"/>
        </w:rPr>
        <w:t>PTSD</w:t>
      </w:r>
      <w:r>
        <w:rPr>
          <w:rFonts w:ascii="Times New Roman" w:hAnsi="Times New Roman" w:eastAsia="Times New Roman" w:cs="Times New Roman"/>
          <w:spacing w:val="4"/>
          <w:sz w:val="20"/>
          <w:szCs w:val="20"/>
        </w:rPr>
        <w:t xml:space="preserve">, </w:t>
      </w:r>
      <w:r>
        <w:rPr>
          <w:rFonts w:ascii="宋体" w:hAnsi="宋体" w:eastAsia="宋体" w:cs="宋体"/>
          <w:spacing w:val="4"/>
          <w:sz w:val="20"/>
          <w:szCs w:val="20"/>
        </w:rPr>
        <w:t>长时间的应激则会导致焦虑障碍等；内向性人格</w:t>
      </w:r>
      <w:r>
        <w:rPr>
          <w:rFonts w:ascii="宋体" w:hAnsi="宋体" w:eastAsia="宋体" w:cs="宋体"/>
          <w:spacing w:val="7"/>
          <w:sz w:val="20"/>
          <w:szCs w:val="20"/>
        </w:rPr>
        <w:t xml:space="preserve">  </w:t>
      </w:r>
      <w:r>
        <w:rPr>
          <w:rFonts w:ascii="宋体" w:hAnsi="宋体" w:eastAsia="宋体" w:cs="宋体"/>
          <w:sz w:val="20"/>
          <w:szCs w:val="20"/>
        </w:rPr>
        <w:t>易患抑郁和焦虑障碍、酒精与药物使用障碍等，具有表演型性格的人容易罹患癔症；具有强迫型性</w:t>
      </w:r>
      <w:r>
        <w:rPr>
          <w:rFonts w:ascii="宋体" w:hAnsi="宋体" w:eastAsia="宋体" w:cs="宋体"/>
          <w:spacing w:val="6"/>
          <w:sz w:val="20"/>
          <w:szCs w:val="20"/>
        </w:rPr>
        <w:t xml:space="preserve"> </w:t>
      </w:r>
      <w:r>
        <w:rPr>
          <w:rFonts w:ascii="宋体" w:hAnsi="宋体" w:eastAsia="宋体" w:cs="宋体"/>
          <w:sz w:val="20"/>
          <w:szCs w:val="20"/>
        </w:rPr>
        <w:t>格的人容易罹患强迫症；分裂样人格障碍者则患精神分裂症的可能性较大；父</w:t>
      </w:r>
      <w:r>
        <w:rPr>
          <w:rFonts w:ascii="宋体" w:hAnsi="宋体" w:eastAsia="宋体" w:cs="宋体"/>
          <w:spacing w:val="-1"/>
          <w:sz w:val="20"/>
          <w:szCs w:val="20"/>
        </w:rPr>
        <w:t>母养育方式也与精神</w:t>
      </w:r>
      <w:r>
        <w:rPr>
          <w:rFonts w:ascii="宋体" w:hAnsi="宋体" w:eastAsia="宋体" w:cs="宋体"/>
          <w:sz w:val="20"/>
          <w:szCs w:val="20"/>
        </w:rPr>
        <w:t xml:space="preserve">  </w:t>
      </w:r>
      <w:r>
        <w:rPr>
          <w:rFonts w:ascii="宋体" w:hAnsi="宋体" w:eastAsia="宋体" w:cs="宋体"/>
          <w:spacing w:val="-1"/>
          <w:sz w:val="20"/>
          <w:szCs w:val="20"/>
        </w:rPr>
        <w:t>障碍的发生关系密切。</w:t>
      </w:r>
    </w:p>
    <w:p w14:paraId="390F8C7A">
      <w:pPr>
        <w:pStyle w:val="2"/>
        <w:spacing w:before="28" w:line="221" w:lineRule="auto"/>
        <w:ind w:left="1030"/>
        <w:rPr>
          <w:sz w:val="20"/>
          <w:szCs w:val="20"/>
        </w:rPr>
      </w:pPr>
      <w:r>
        <w:rPr>
          <w:spacing w:val="20"/>
          <w:sz w:val="20"/>
          <w:szCs w:val="20"/>
        </w:rPr>
        <w:t>(四)预防策略与措施</w:t>
      </w:r>
    </w:p>
    <w:p w14:paraId="2438FFCA">
      <w:pPr>
        <w:pStyle w:val="2"/>
        <w:spacing w:before="124" w:line="323" w:lineRule="auto"/>
        <w:ind w:left="639" w:firstLine="390"/>
        <w:rPr>
          <w:rFonts w:ascii="宋体" w:hAnsi="宋体" w:eastAsia="宋体" w:cs="宋体"/>
          <w:sz w:val="20"/>
          <w:szCs w:val="20"/>
        </w:rPr>
      </w:pPr>
      <w:r>
        <w:rPr>
          <w:rFonts w:ascii="宋体" w:hAnsi="宋体" w:eastAsia="宋体" w:cs="宋体"/>
          <w:spacing w:val="9"/>
          <w:sz w:val="20"/>
          <w:szCs w:val="20"/>
        </w:rPr>
        <w:t xml:space="preserve">1. </w:t>
      </w:r>
      <w:r>
        <w:rPr>
          <w:spacing w:val="9"/>
          <w:sz w:val="20"/>
          <w:szCs w:val="20"/>
        </w:rPr>
        <w:t xml:space="preserve">预防策略  </w:t>
      </w:r>
      <w:r>
        <w:rPr>
          <w:rFonts w:ascii="宋体" w:hAnsi="宋体" w:eastAsia="宋体" w:cs="宋体"/>
          <w:spacing w:val="9"/>
          <w:sz w:val="20"/>
          <w:szCs w:val="20"/>
        </w:rPr>
        <w:t>近年来，为深人开展精神障碍防治行动，我国出台了多</w:t>
      </w:r>
      <w:r>
        <w:rPr>
          <w:rFonts w:ascii="宋体" w:hAnsi="宋体" w:eastAsia="宋体" w:cs="宋体"/>
          <w:spacing w:val="8"/>
          <w:sz w:val="20"/>
          <w:szCs w:val="20"/>
        </w:rPr>
        <w:t>项重要政策和指南。</w:t>
      </w:r>
      <w:r>
        <w:rPr>
          <w:rFonts w:ascii="宋体" w:hAnsi="宋体" w:eastAsia="宋体" w:cs="宋体"/>
          <w:sz w:val="20"/>
          <w:szCs w:val="20"/>
        </w:rPr>
        <w:t xml:space="preserve"> </w:t>
      </w:r>
      <w:r>
        <w:rPr>
          <w:rFonts w:ascii="宋体" w:hAnsi="宋体" w:eastAsia="宋体" w:cs="宋体"/>
          <w:spacing w:val="-2"/>
          <w:sz w:val="20"/>
          <w:szCs w:val="20"/>
        </w:rPr>
        <w:t>2013年，《中华人民共和国精神卫生法》正式实施，标志着精神</w:t>
      </w:r>
      <w:r>
        <w:rPr>
          <w:rFonts w:ascii="宋体" w:hAnsi="宋体" w:eastAsia="宋体" w:cs="宋体"/>
          <w:spacing w:val="-2"/>
          <w:sz w:val="20"/>
          <w:szCs w:val="20"/>
          <w:u w:val="single" w:color="auto"/>
        </w:rPr>
        <w:t>卫生工</w:t>
      </w:r>
      <w:r>
        <w:rPr>
          <w:rFonts w:ascii="宋体" w:hAnsi="宋体" w:eastAsia="宋体" w:cs="宋体"/>
          <w:spacing w:val="-2"/>
          <w:sz w:val="20"/>
          <w:szCs w:val="20"/>
        </w:rPr>
        <w:t>作从此进</w:t>
      </w:r>
      <w:r>
        <w:rPr>
          <w:rFonts w:ascii="宋体" w:hAnsi="宋体" w:eastAsia="宋体" w:cs="宋体"/>
          <w:spacing w:val="-3"/>
          <w:sz w:val="20"/>
          <w:szCs w:val="20"/>
        </w:rPr>
        <w:t>入法制化管理时代。</w:t>
      </w:r>
      <w:r>
        <w:rPr>
          <w:rFonts w:ascii="宋体" w:hAnsi="宋体" w:eastAsia="宋体" w:cs="宋体"/>
          <w:sz w:val="20"/>
          <w:szCs w:val="20"/>
        </w:rPr>
        <w:t xml:space="preserve"> </w:t>
      </w:r>
      <w:r>
        <w:rPr>
          <w:rFonts w:ascii="宋体" w:hAnsi="宋体" w:eastAsia="宋体" w:cs="宋体"/>
          <w:spacing w:val="4"/>
          <w:sz w:val="20"/>
          <w:szCs w:val="20"/>
        </w:rPr>
        <w:t>2015年发布的《全国精神卫生工作规划(2015—2020年)》明确提出要进一步完善各级精神卫生综</w:t>
      </w:r>
      <w:r>
        <w:rPr>
          <w:rFonts w:ascii="宋体" w:hAnsi="宋体" w:eastAsia="宋体" w:cs="宋体"/>
          <w:spacing w:val="5"/>
          <w:sz w:val="20"/>
          <w:szCs w:val="20"/>
        </w:rPr>
        <w:t xml:space="preserve">  </w:t>
      </w:r>
      <w:r>
        <w:rPr>
          <w:rFonts w:ascii="宋体" w:hAnsi="宋体" w:eastAsia="宋体" w:cs="宋体"/>
          <w:spacing w:val="11"/>
          <w:sz w:val="20"/>
          <w:szCs w:val="20"/>
        </w:rPr>
        <w:t>合管理协调机制，要求到2020年70%的乡镇(街道)建立精神卫生综合管理小组，确保各项工作</w:t>
      </w:r>
      <w:r>
        <w:rPr>
          <w:rFonts w:ascii="宋体" w:hAnsi="宋体" w:eastAsia="宋体" w:cs="宋体"/>
          <w:spacing w:val="8"/>
          <w:sz w:val="20"/>
          <w:szCs w:val="20"/>
        </w:rPr>
        <w:t xml:space="preserve">  </w:t>
      </w:r>
      <w:r>
        <w:rPr>
          <w:rFonts w:ascii="宋体" w:hAnsi="宋体" w:eastAsia="宋体" w:cs="宋体"/>
          <w:spacing w:val="5"/>
          <w:sz w:val="20"/>
          <w:szCs w:val="20"/>
        </w:rPr>
        <w:t>落实到基层。2017年，由国家卫生计生委等22个部门共同印发《关</w:t>
      </w:r>
      <w:r>
        <w:rPr>
          <w:rFonts w:ascii="宋体" w:hAnsi="宋体" w:eastAsia="宋体" w:cs="宋体"/>
          <w:spacing w:val="4"/>
          <w:sz w:val="20"/>
          <w:szCs w:val="20"/>
        </w:rPr>
        <w:t>于加强心理健康服务的指导意</w:t>
      </w:r>
      <w:r>
        <w:rPr>
          <w:rFonts w:ascii="宋体" w:hAnsi="宋体" w:eastAsia="宋体" w:cs="宋体"/>
          <w:sz w:val="20"/>
          <w:szCs w:val="20"/>
        </w:rPr>
        <w:t xml:space="preserve">  </w:t>
      </w:r>
      <w:r>
        <w:rPr>
          <w:rFonts w:ascii="宋体" w:hAnsi="宋体" w:eastAsia="宋体" w:cs="宋体"/>
          <w:spacing w:val="-2"/>
          <w:sz w:val="20"/>
          <w:szCs w:val="20"/>
        </w:rPr>
        <w:t>见》,进一步明确了心理健康工作的任务目标。针对重点人群的心理健康问题，根据《全</w:t>
      </w:r>
      <w:r>
        <w:rPr>
          <w:rFonts w:ascii="宋体" w:hAnsi="宋体" w:eastAsia="宋体" w:cs="宋体"/>
          <w:spacing w:val="-3"/>
          <w:sz w:val="20"/>
          <w:szCs w:val="20"/>
        </w:rPr>
        <w:t>面加强和改</w:t>
      </w:r>
      <w:r>
        <w:rPr>
          <w:rFonts w:ascii="宋体" w:hAnsi="宋体" w:eastAsia="宋体" w:cs="宋体"/>
          <w:sz w:val="20"/>
          <w:szCs w:val="20"/>
        </w:rPr>
        <w:t xml:space="preserve">  </w:t>
      </w:r>
      <w:r>
        <w:rPr>
          <w:rFonts w:ascii="宋体" w:hAnsi="宋体" w:eastAsia="宋体" w:cs="宋体"/>
          <w:spacing w:val="1"/>
          <w:sz w:val="20"/>
          <w:szCs w:val="20"/>
        </w:rPr>
        <w:t>进新时代学生心理健康工作专项行动计划(2023—2025</w:t>
      </w:r>
      <w:r>
        <w:rPr>
          <w:rFonts w:ascii="宋体" w:hAnsi="宋体" w:eastAsia="宋体" w:cs="宋体"/>
          <w:sz w:val="20"/>
          <w:szCs w:val="20"/>
        </w:rPr>
        <w:t>年)》,我国也开展了相应的专项计划。</w:t>
      </w:r>
    </w:p>
    <w:p w14:paraId="5C2C977B">
      <w:pPr>
        <w:pStyle w:val="2"/>
        <w:spacing w:before="137" w:line="221" w:lineRule="auto"/>
        <w:ind w:left="1030"/>
        <w:rPr>
          <w:sz w:val="20"/>
          <w:szCs w:val="20"/>
        </w:rPr>
      </w:pPr>
      <w:r>
        <w:rPr>
          <w:rFonts w:ascii="宋体" w:hAnsi="宋体" w:eastAsia="宋体" w:cs="宋体"/>
          <w:spacing w:val="4"/>
          <w:sz w:val="20"/>
          <w:szCs w:val="20"/>
        </w:rPr>
        <w:t>2.</w:t>
      </w:r>
      <w:r>
        <w:rPr>
          <w:rFonts w:ascii="宋体" w:hAnsi="宋体" w:eastAsia="宋体" w:cs="宋体"/>
          <w:spacing w:val="-16"/>
          <w:sz w:val="20"/>
          <w:szCs w:val="20"/>
        </w:rPr>
        <w:t xml:space="preserve"> </w:t>
      </w:r>
      <w:r>
        <w:rPr>
          <w:spacing w:val="4"/>
          <w:sz w:val="20"/>
          <w:szCs w:val="20"/>
        </w:rPr>
        <w:t>预防措施</w:t>
      </w:r>
    </w:p>
    <w:p w14:paraId="68CB0DA8">
      <w:pPr>
        <w:spacing w:before="162" w:line="280" w:lineRule="auto"/>
        <w:ind w:left="639" w:right="20" w:firstLine="390"/>
        <w:rPr>
          <w:rFonts w:ascii="宋体" w:hAnsi="宋体" w:eastAsia="宋体" w:cs="宋体"/>
          <w:sz w:val="20"/>
          <w:szCs w:val="20"/>
        </w:rPr>
      </w:pPr>
      <w:r>
        <w:rPr>
          <w:rFonts w:ascii="宋体" w:hAnsi="宋体" w:eastAsia="宋体" w:cs="宋体"/>
          <w:spacing w:val="3"/>
          <w:sz w:val="20"/>
          <w:szCs w:val="20"/>
        </w:rPr>
        <w:t>(1)第一级预防：第一级预防旨在减少或消除病因，以减少或防止精神障碍的发生。但由于多</w:t>
      </w:r>
      <w:r>
        <w:rPr>
          <w:rFonts w:ascii="宋体" w:hAnsi="宋体" w:eastAsia="宋体" w:cs="宋体"/>
          <w:spacing w:val="1"/>
          <w:sz w:val="20"/>
          <w:szCs w:val="20"/>
        </w:rPr>
        <w:t xml:space="preserve"> </w:t>
      </w:r>
      <w:r>
        <w:rPr>
          <w:rFonts w:ascii="宋体" w:hAnsi="宋体" w:eastAsia="宋体" w:cs="宋体"/>
          <w:spacing w:val="2"/>
          <w:sz w:val="20"/>
          <w:szCs w:val="20"/>
        </w:rPr>
        <w:t>数精神障碍的病因未明，因此第一级预防主要是针对那些病因已明确的精神障碍</w:t>
      </w:r>
      <w:r>
        <w:rPr>
          <w:rFonts w:ascii="宋体" w:hAnsi="宋体" w:eastAsia="宋体" w:cs="宋体"/>
          <w:spacing w:val="1"/>
          <w:sz w:val="20"/>
          <w:szCs w:val="20"/>
        </w:rPr>
        <w:t>。主要措施如下：</w:t>
      </w:r>
    </w:p>
    <w:p w14:paraId="35F5F75F">
      <w:pPr>
        <w:spacing w:before="129" w:line="317" w:lineRule="auto"/>
        <w:ind w:left="639" w:right="83"/>
        <w:rPr>
          <w:rFonts w:ascii="宋体" w:hAnsi="宋体" w:eastAsia="宋体" w:cs="宋体"/>
          <w:sz w:val="20"/>
          <w:szCs w:val="20"/>
        </w:rPr>
      </w:pPr>
      <w:r>
        <w:rPr>
          <w:rFonts w:ascii="宋体" w:hAnsi="宋体" w:eastAsia="宋体" w:cs="宋体"/>
          <w:sz w:val="20"/>
          <w:szCs w:val="20"/>
        </w:rPr>
        <w:t>①对某些病因已清楚的精神障碍，果断采取有效的预防措施，杜绝疾病的发生；②对于某些可能与</w:t>
      </w:r>
      <w:r>
        <w:rPr>
          <w:rFonts w:ascii="宋体" w:hAnsi="宋体" w:eastAsia="宋体" w:cs="宋体"/>
          <w:spacing w:val="15"/>
          <w:sz w:val="20"/>
          <w:szCs w:val="20"/>
        </w:rPr>
        <w:t xml:space="preserve"> </w:t>
      </w:r>
      <w:r>
        <w:rPr>
          <w:rFonts w:ascii="宋体" w:hAnsi="宋体" w:eastAsia="宋体" w:cs="宋体"/>
          <w:spacing w:val="-4"/>
          <w:sz w:val="20"/>
          <w:szCs w:val="20"/>
        </w:rPr>
        <w:t>遗传有关的精神障碍，积极开展遗传咨询，制定有关法规，禁止</w:t>
      </w:r>
      <w:r>
        <w:rPr>
          <w:rFonts w:ascii="宋体" w:hAnsi="宋体" w:eastAsia="宋体" w:cs="宋体"/>
          <w:spacing w:val="-5"/>
          <w:sz w:val="20"/>
          <w:szCs w:val="20"/>
        </w:rPr>
        <w:t>近亲婚配；③提倡优生优育优教，重</w:t>
      </w:r>
      <w:r>
        <w:rPr>
          <w:rFonts w:ascii="宋体" w:hAnsi="宋体" w:eastAsia="宋体" w:cs="宋体"/>
          <w:sz w:val="20"/>
          <w:szCs w:val="20"/>
        </w:rPr>
        <w:t xml:space="preserve"> 视家庭教育，注意培养儿童健全的人格；④加强精神卫生知识的普及宣传教育</w:t>
      </w:r>
      <w:r>
        <w:rPr>
          <w:rFonts w:ascii="宋体" w:hAnsi="宋体" w:eastAsia="宋体" w:cs="宋体"/>
          <w:spacing w:val="-1"/>
          <w:sz w:val="20"/>
          <w:szCs w:val="20"/>
        </w:rPr>
        <w:t>工作；⑤积极开展各</w:t>
      </w:r>
      <w:r>
        <w:rPr>
          <w:rFonts w:ascii="宋体" w:hAnsi="宋体" w:eastAsia="宋体" w:cs="宋体"/>
          <w:sz w:val="20"/>
          <w:szCs w:val="20"/>
        </w:rPr>
        <w:t xml:space="preserve"> 年龄阶段的心理卫生咨询及行为指导工作；⑥加强基础理论研究工作，积极</w:t>
      </w:r>
      <w:r>
        <w:rPr>
          <w:rFonts w:ascii="宋体" w:hAnsi="宋体" w:eastAsia="宋体" w:cs="宋体"/>
          <w:spacing w:val="-1"/>
          <w:sz w:val="20"/>
          <w:szCs w:val="20"/>
        </w:rPr>
        <w:t>开展精神障碍的病因学</w:t>
      </w:r>
      <w:r>
        <w:rPr>
          <w:rFonts w:ascii="宋体" w:hAnsi="宋体" w:eastAsia="宋体" w:cs="宋体"/>
          <w:sz w:val="20"/>
          <w:szCs w:val="20"/>
        </w:rPr>
        <w:t xml:space="preserve"> </w:t>
      </w:r>
      <w:r>
        <w:rPr>
          <w:rFonts w:ascii="宋体" w:hAnsi="宋体" w:eastAsia="宋体" w:cs="宋体"/>
          <w:spacing w:val="-2"/>
          <w:sz w:val="20"/>
          <w:szCs w:val="20"/>
        </w:rPr>
        <w:t>研究；⑦开展精神障碍的流行病学调查，为制定防治规划提供可靠的参考依据。</w:t>
      </w:r>
    </w:p>
    <w:p w14:paraId="400A1AE1">
      <w:pPr>
        <w:spacing w:before="144" w:line="314" w:lineRule="auto"/>
        <w:ind w:left="639" w:firstLine="390"/>
        <w:rPr>
          <w:rFonts w:ascii="宋体" w:hAnsi="宋体" w:eastAsia="宋体" w:cs="宋体"/>
          <w:sz w:val="20"/>
          <w:szCs w:val="20"/>
        </w:rPr>
      </w:pPr>
      <w:r>
        <w:rPr>
          <w:rFonts w:ascii="宋体" w:hAnsi="宋体" w:eastAsia="宋体" w:cs="宋体"/>
          <w:spacing w:val="8"/>
          <w:sz w:val="20"/>
          <w:szCs w:val="20"/>
        </w:rPr>
        <w:t>(2)第二级预防：对目前尚不能通过第一级预防措施防治的精神障碍，</w:t>
      </w:r>
      <w:r>
        <w:rPr>
          <w:rFonts w:ascii="宋体" w:hAnsi="宋体" w:eastAsia="宋体" w:cs="宋体"/>
          <w:spacing w:val="7"/>
          <w:sz w:val="20"/>
          <w:szCs w:val="20"/>
        </w:rPr>
        <w:t>应给予第二级预防措</w:t>
      </w:r>
      <w:r>
        <w:rPr>
          <w:rFonts w:ascii="宋体" w:hAnsi="宋体" w:eastAsia="宋体" w:cs="宋体"/>
          <w:sz w:val="20"/>
          <w:szCs w:val="20"/>
        </w:rPr>
        <w:t xml:space="preserve">  </w:t>
      </w:r>
      <w:r>
        <w:rPr>
          <w:rFonts w:ascii="宋体" w:hAnsi="宋体" w:eastAsia="宋体" w:cs="宋体"/>
          <w:spacing w:val="1"/>
          <w:sz w:val="20"/>
          <w:szCs w:val="20"/>
        </w:rPr>
        <w:t>施。具体措施包括：①首次治疗时应力争达到完全缓解，并恢复中枢</w:t>
      </w:r>
      <w:r>
        <w:rPr>
          <w:rFonts w:ascii="宋体" w:hAnsi="宋体" w:eastAsia="宋体" w:cs="宋体"/>
          <w:sz w:val="20"/>
          <w:szCs w:val="20"/>
        </w:rPr>
        <w:t xml:space="preserve">神经系统和自主神经系统的正 </w:t>
      </w:r>
      <w:r>
        <w:rPr>
          <w:rFonts w:ascii="宋体" w:hAnsi="宋体" w:eastAsia="宋体" w:cs="宋体"/>
          <w:spacing w:val="-2"/>
          <w:sz w:val="20"/>
          <w:szCs w:val="20"/>
        </w:rPr>
        <w:t>常功能活动，减少残留症状，降低复发风险；②对病情已好转的患者，</w:t>
      </w:r>
      <w:r>
        <w:rPr>
          <w:rFonts w:ascii="宋体" w:hAnsi="宋体" w:eastAsia="宋体" w:cs="宋体"/>
          <w:spacing w:val="-3"/>
          <w:sz w:val="20"/>
          <w:szCs w:val="20"/>
        </w:rPr>
        <w:t>应进行多种形式的心理治疗，</w:t>
      </w:r>
      <w:r>
        <w:rPr>
          <w:rFonts w:ascii="宋体" w:hAnsi="宋体" w:eastAsia="宋体" w:cs="宋体"/>
          <w:sz w:val="20"/>
          <w:szCs w:val="20"/>
        </w:rPr>
        <w:t xml:space="preserve"> </w:t>
      </w:r>
      <w:r>
        <w:rPr>
          <w:rFonts w:ascii="宋体" w:hAnsi="宋体" w:eastAsia="宋体" w:cs="宋体"/>
          <w:spacing w:val="5"/>
          <w:sz w:val="20"/>
          <w:szCs w:val="20"/>
        </w:rPr>
        <w:t>使患者能正确处理和对待重返现实生活中的各种心理社会因素；③必须做好出院患者的定期随访</w:t>
      </w:r>
      <w:r>
        <w:rPr>
          <w:rFonts w:ascii="宋体" w:hAnsi="宋体" w:eastAsia="宋体" w:cs="宋体"/>
          <w:sz w:val="20"/>
          <w:szCs w:val="20"/>
        </w:rPr>
        <w:t xml:space="preserve">  </w:t>
      </w:r>
      <w:r>
        <w:rPr>
          <w:rFonts w:ascii="宋体" w:hAnsi="宋体" w:eastAsia="宋体" w:cs="宋体"/>
          <w:spacing w:val="-2"/>
          <w:sz w:val="20"/>
          <w:szCs w:val="20"/>
        </w:rPr>
        <w:t>工作，减少疾病复发的机会；④推广在综合性医院设立精神科；⑤做好</w:t>
      </w:r>
      <w:r>
        <w:rPr>
          <w:rFonts w:ascii="宋体" w:hAnsi="宋体" w:eastAsia="宋体" w:cs="宋体"/>
          <w:spacing w:val="-3"/>
          <w:sz w:val="20"/>
          <w:szCs w:val="20"/>
        </w:rPr>
        <w:t>家属和社会相关方面的工作，</w:t>
      </w:r>
      <w:r>
        <w:rPr>
          <w:rFonts w:ascii="宋体" w:hAnsi="宋体" w:eastAsia="宋体" w:cs="宋体"/>
          <w:sz w:val="20"/>
          <w:szCs w:val="20"/>
        </w:rPr>
        <w:t xml:space="preserve"> 使患者能得到及时的医疗监护和心理支持。</w:t>
      </w:r>
    </w:p>
    <w:p w14:paraId="19F2B0C4">
      <w:pPr>
        <w:spacing w:before="171" w:line="219" w:lineRule="auto"/>
        <w:ind w:left="1030"/>
        <w:rPr>
          <w:rFonts w:ascii="宋体" w:hAnsi="宋体" w:eastAsia="宋体" w:cs="宋体"/>
          <w:sz w:val="20"/>
          <w:szCs w:val="20"/>
        </w:rPr>
      </w:pPr>
      <w:r>
        <w:rPr>
          <w:rFonts w:ascii="宋体" w:hAnsi="宋体" w:eastAsia="宋体" w:cs="宋体"/>
          <w:spacing w:val="3"/>
          <w:sz w:val="20"/>
          <w:szCs w:val="20"/>
        </w:rPr>
        <w:t>(3)第三级预防：第三级预防的目标是做好精神残疾者的康复安排，最大限度地促进患者社会</w:t>
      </w:r>
    </w:p>
    <w:p w14:paraId="34A58227">
      <w:pPr>
        <w:spacing w:line="219" w:lineRule="auto"/>
        <w:rPr>
          <w:rFonts w:ascii="宋体" w:hAnsi="宋体" w:eastAsia="宋体" w:cs="宋体"/>
          <w:sz w:val="20"/>
          <w:szCs w:val="20"/>
        </w:rPr>
        <w:sectPr>
          <w:footerReference r:id="rId249" w:type="default"/>
          <w:pgSz w:w="11900" w:h="16820"/>
          <w:pgMar w:top="400" w:right="1590" w:bottom="769" w:left="969" w:header="0" w:footer="589" w:gutter="0"/>
          <w:cols w:space="720" w:num="1"/>
        </w:sectPr>
      </w:pPr>
    </w:p>
    <w:p w14:paraId="690C898A">
      <w:pPr>
        <w:spacing w:line="468" w:lineRule="auto"/>
        <w:rPr>
          <w:rFonts w:ascii="Arial"/>
          <w:sz w:val="21"/>
        </w:rPr>
      </w:pPr>
    </w:p>
    <w:p w14:paraId="00856980">
      <w:pPr>
        <w:pStyle w:val="2"/>
        <w:spacing w:before="65" w:line="221" w:lineRule="auto"/>
        <w:ind w:left="6820"/>
        <w:rPr>
          <w:sz w:val="20"/>
          <w:szCs w:val="20"/>
        </w:rPr>
      </w:pPr>
      <w:r>
        <w:rPr>
          <w:spacing w:val="-17"/>
          <w:w w:val="99"/>
          <w:sz w:val="20"/>
          <w:szCs w:val="20"/>
        </w:rPr>
        <w:t>第十四章慢性病流行病学</w:t>
      </w:r>
    </w:p>
    <w:p w14:paraId="3BE3F76E">
      <w:pPr>
        <w:spacing w:line="267" w:lineRule="auto"/>
        <w:rPr>
          <w:rFonts w:ascii="Arial"/>
          <w:sz w:val="21"/>
        </w:rPr>
      </w:pPr>
    </w:p>
    <w:p w14:paraId="647749BE">
      <w:pPr>
        <w:spacing w:line="267" w:lineRule="auto"/>
        <w:rPr>
          <w:rFonts w:ascii="Arial"/>
          <w:sz w:val="21"/>
        </w:rPr>
      </w:pPr>
    </w:p>
    <w:p w14:paraId="2A0C93CD">
      <w:pPr>
        <w:spacing w:before="65" w:line="333" w:lineRule="auto"/>
        <w:ind w:right="575"/>
        <w:jc w:val="both"/>
        <w:rPr>
          <w:rFonts w:ascii="宋体" w:hAnsi="宋体" w:eastAsia="宋体" w:cs="宋体"/>
          <w:sz w:val="20"/>
          <w:szCs w:val="20"/>
        </w:rPr>
      </w:pPr>
      <w:r>
        <w:rPr>
          <w:rFonts w:ascii="宋体" w:hAnsi="宋体" w:eastAsia="宋体" w:cs="宋体"/>
          <w:spacing w:val="5"/>
          <w:sz w:val="20"/>
          <w:szCs w:val="20"/>
        </w:rPr>
        <w:t>功能的恢复，尽可能地减少精神残疾的发生，把精神残疾</w:t>
      </w:r>
      <w:r>
        <w:rPr>
          <w:rFonts w:ascii="宋体" w:hAnsi="宋体" w:eastAsia="宋体" w:cs="宋体"/>
          <w:spacing w:val="4"/>
          <w:sz w:val="20"/>
          <w:szCs w:val="20"/>
        </w:rPr>
        <w:t>的预防和康复作为重要内容纳人到初级卫</w:t>
      </w:r>
      <w:r>
        <w:rPr>
          <w:rFonts w:ascii="宋体" w:hAnsi="宋体" w:eastAsia="宋体" w:cs="宋体"/>
          <w:sz w:val="20"/>
          <w:szCs w:val="20"/>
        </w:rPr>
        <w:t xml:space="preserve">  </w:t>
      </w:r>
      <w:r>
        <w:rPr>
          <w:rFonts w:ascii="宋体" w:hAnsi="宋体" w:eastAsia="宋体" w:cs="宋体"/>
          <w:spacing w:val="2"/>
          <w:sz w:val="20"/>
          <w:szCs w:val="20"/>
        </w:rPr>
        <w:t>生保健系统中。主要措施包括：①住院治疗期间，积极开展院内各种生活自理能力、人际交往能力、</w:t>
      </w:r>
      <w:r>
        <w:rPr>
          <w:rFonts w:ascii="宋体" w:hAnsi="宋体" w:eastAsia="宋体" w:cs="宋体"/>
          <w:sz w:val="20"/>
          <w:szCs w:val="20"/>
        </w:rPr>
        <w:t xml:space="preserve"> </w:t>
      </w:r>
      <w:r>
        <w:rPr>
          <w:rFonts w:ascii="宋体" w:hAnsi="宋体" w:eastAsia="宋体" w:cs="宋体"/>
          <w:spacing w:val="5"/>
          <w:sz w:val="20"/>
          <w:szCs w:val="20"/>
        </w:rPr>
        <w:t>职业工作能力的康复训练；②各级政府成立多部门的精神</w:t>
      </w:r>
      <w:r>
        <w:rPr>
          <w:rFonts w:ascii="宋体" w:hAnsi="宋体" w:eastAsia="宋体" w:cs="宋体"/>
          <w:spacing w:val="4"/>
          <w:sz w:val="20"/>
          <w:szCs w:val="20"/>
        </w:rPr>
        <w:t>障碍防治康复工作协调组，并逐步形成社</w:t>
      </w:r>
      <w:r>
        <w:rPr>
          <w:rFonts w:ascii="宋体" w:hAnsi="宋体" w:eastAsia="宋体" w:cs="宋体"/>
          <w:sz w:val="20"/>
          <w:szCs w:val="20"/>
        </w:rPr>
        <w:t xml:space="preserve">  </w:t>
      </w:r>
      <w:r>
        <w:rPr>
          <w:rFonts w:ascii="宋体" w:hAnsi="宋体" w:eastAsia="宋体" w:cs="宋体"/>
          <w:spacing w:val="5"/>
          <w:sz w:val="20"/>
          <w:szCs w:val="20"/>
        </w:rPr>
        <w:t>会化的精神障碍防治康复工作体系；③重视和动员家庭成员支持精神障碍患者的康复</w:t>
      </w:r>
      <w:r>
        <w:rPr>
          <w:rFonts w:ascii="宋体" w:hAnsi="宋体" w:eastAsia="宋体" w:cs="宋体"/>
          <w:spacing w:val="4"/>
          <w:sz w:val="20"/>
          <w:szCs w:val="20"/>
        </w:rPr>
        <w:t>活动；④对因</w:t>
      </w:r>
      <w:r>
        <w:rPr>
          <w:rFonts w:ascii="宋体" w:hAnsi="宋体" w:eastAsia="宋体" w:cs="宋体"/>
          <w:sz w:val="20"/>
          <w:szCs w:val="20"/>
        </w:rPr>
        <w:t xml:space="preserve"> </w:t>
      </w:r>
      <w:r>
        <w:rPr>
          <w:rFonts w:ascii="宋体" w:hAnsi="宋体" w:eastAsia="宋体" w:cs="宋体"/>
          <w:spacing w:val="5"/>
          <w:sz w:val="20"/>
          <w:szCs w:val="20"/>
        </w:rPr>
        <w:t>精神障碍而致残者的职业安置，除了加强舆论宣传外，既</w:t>
      </w:r>
      <w:r>
        <w:rPr>
          <w:rFonts w:ascii="宋体" w:hAnsi="宋体" w:eastAsia="宋体" w:cs="宋体"/>
          <w:spacing w:val="4"/>
          <w:sz w:val="20"/>
          <w:szCs w:val="20"/>
        </w:rPr>
        <w:t>要有一定的政策和法规保障，还要争取针</w:t>
      </w:r>
      <w:r>
        <w:rPr>
          <w:rFonts w:ascii="宋体" w:hAnsi="宋体" w:eastAsia="宋体" w:cs="宋体"/>
          <w:sz w:val="20"/>
          <w:szCs w:val="20"/>
        </w:rPr>
        <w:t xml:space="preserve">  </w:t>
      </w:r>
      <w:r>
        <w:rPr>
          <w:rFonts w:ascii="宋体" w:hAnsi="宋体" w:eastAsia="宋体" w:cs="宋体"/>
          <w:spacing w:val="5"/>
          <w:sz w:val="20"/>
          <w:szCs w:val="20"/>
        </w:rPr>
        <w:t>对性的职业康复程序和设施。</w:t>
      </w:r>
    </w:p>
    <w:p w14:paraId="4744A686">
      <w:pPr>
        <w:spacing w:before="45" w:line="219" w:lineRule="auto"/>
        <w:ind w:left="8079"/>
        <w:rPr>
          <w:rFonts w:ascii="宋体" w:hAnsi="宋体" w:eastAsia="宋体" w:cs="宋体"/>
          <w:sz w:val="20"/>
          <w:szCs w:val="20"/>
        </w:rPr>
      </w:pPr>
      <w:r>
        <w:rPr>
          <w:rFonts w:ascii="宋体" w:hAnsi="宋体" w:eastAsia="宋体" w:cs="宋体"/>
          <w:spacing w:val="-15"/>
          <w:sz w:val="20"/>
          <w:szCs w:val="20"/>
        </w:rPr>
        <w:t>(</w:t>
      </w:r>
      <w:r>
        <w:rPr>
          <w:rFonts w:ascii="宋体" w:hAnsi="宋体" w:eastAsia="宋体" w:cs="宋体"/>
          <w:spacing w:val="-9"/>
          <w:sz w:val="20"/>
          <w:szCs w:val="20"/>
        </w:rPr>
        <w:t xml:space="preserve"> </w:t>
      </w:r>
      <w:r>
        <w:rPr>
          <w:rFonts w:ascii="宋体" w:hAnsi="宋体" w:eastAsia="宋体" w:cs="宋体"/>
          <w:spacing w:val="-15"/>
          <w:sz w:val="20"/>
          <w:szCs w:val="20"/>
        </w:rPr>
        <w:t>潘 安 )</w:t>
      </w:r>
    </w:p>
    <w:p w14:paraId="530EDE31">
      <w:pPr>
        <w:spacing w:line="252" w:lineRule="auto"/>
        <w:rPr>
          <w:rFonts w:ascii="Arial"/>
          <w:sz w:val="21"/>
        </w:rPr>
      </w:pPr>
    </w:p>
    <w:p w14:paraId="4CDC89B5">
      <w:pPr>
        <w:spacing w:line="460" w:lineRule="exact"/>
        <w:ind w:firstLine="7990"/>
      </w:pPr>
      <w:r>
        <w:rPr>
          <w:position w:val="-9"/>
        </w:rPr>
        <w:drawing>
          <wp:inline distT="0" distB="0" distL="0" distR="0">
            <wp:extent cx="666115" cy="292100"/>
            <wp:effectExtent l="0" t="0" r="0" b="0"/>
            <wp:docPr id="592" name="IM 592"/>
            <wp:cNvGraphicFramePr/>
            <a:graphic xmlns:a="http://schemas.openxmlformats.org/drawingml/2006/main">
              <a:graphicData uri="http://schemas.openxmlformats.org/drawingml/2006/picture">
                <pic:pic xmlns:pic="http://schemas.openxmlformats.org/drawingml/2006/picture">
                  <pic:nvPicPr>
                    <pic:cNvPr id="592" name="IM 592"/>
                    <pic:cNvPicPr/>
                  </pic:nvPicPr>
                  <pic:blipFill>
                    <a:blip r:embed="rId639"/>
                    <a:stretch>
                      <a:fillRect/>
                    </a:stretch>
                  </pic:blipFill>
                  <pic:spPr>
                    <a:xfrm>
                      <a:off x="0" y="0"/>
                      <a:ext cx="666710" cy="292117"/>
                    </a:xfrm>
                    <a:prstGeom prst="rect">
                      <a:avLst/>
                    </a:prstGeom>
                  </pic:spPr>
                </pic:pic>
              </a:graphicData>
            </a:graphic>
          </wp:inline>
        </w:drawing>
      </w:r>
    </w:p>
    <w:p w14:paraId="2342F105">
      <w:pPr>
        <w:pStyle w:val="2"/>
        <w:spacing w:before="77" w:line="222" w:lineRule="auto"/>
        <w:ind w:left="423"/>
        <w:rPr>
          <w:sz w:val="26"/>
          <w:szCs w:val="26"/>
        </w:rPr>
      </w:pPr>
      <w:r>
        <w:rPr>
          <w:b/>
          <w:bCs/>
          <w:spacing w:val="-5"/>
          <w:sz w:val="26"/>
          <w:szCs w:val="26"/>
        </w:rPr>
        <w:t>思考题</w:t>
      </w:r>
    </w:p>
    <w:p w14:paraId="716C6EA7">
      <w:pPr>
        <w:spacing w:before="98" w:line="219" w:lineRule="auto"/>
        <w:ind w:left="1219"/>
        <w:rPr>
          <w:rFonts w:ascii="宋体" w:hAnsi="宋体" w:eastAsia="宋体" w:cs="宋体"/>
          <w:sz w:val="20"/>
          <w:szCs w:val="20"/>
        </w:rPr>
      </w:pPr>
      <w:r>
        <w:rPr>
          <w:rFonts w:ascii="宋体" w:hAnsi="宋体" w:eastAsia="宋体" w:cs="宋体"/>
          <w:spacing w:val="10"/>
          <w:sz w:val="20"/>
          <w:szCs w:val="20"/>
        </w:rPr>
        <w:t>1.</w:t>
      </w:r>
      <w:r>
        <w:rPr>
          <w:rFonts w:ascii="宋体" w:hAnsi="宋体" w:eastAsia="宋体" w:cs="宋体"/>
          <w:spacing w:val="-31"/>
          <w:sz w:val="20"/>
          <w:szCs w:val="20"/>
        </w:rPr>
        <w:t xml:space="preserve"> </w:t>
      </w:r>
      <w:r>
        <w:rPr>
          <w:rFonts w:ascii="宋体" w:hAnsi="宋体" w:eastAsia="宋体" w:cs="宋体"/>
          <w:spacing w:val="10"/>
          <w:sz w:val="20"/>
          <w:szCs w:val="20"/>
        </w:rPr>
        <w:t>影响慢性病流行的主要因素有哪些?</w:t>
      </w:r>
    </w:p>
    <w:p w14:paraId="5B775746">
      <w:pPr>
        <w:spacing w:before="132" w:line="219" w:lineRule="auto"/>
        <w:ind w:left="1219"/>
        <w:rPr>
          <w:rFonts w:ascii="宋体" w:hAnsi="宋体" w:eastAsia="宋体" w:cs="宋体"/>
          <w:sz w:val="20"/>
          <w:szCs w:val="20"/>
        </w:rPr>
      </w:pPr>
      <w:r>
        <w:rPr>
          <w:rFonts w:ascii="宋体" w:hAnsi="宋体" w:eastAsia="宋体" w:cs="宋体"/>
          <w:spacing w:val="9"/>
          <w:sz w:val="20"/>
          <w:szCs w:val="20"/>
        </w:rPr>
        <w:t>2.</w:t>
      </w:r>
      <w:r>
        <w:rPr>
          <w:rFonts w:ascii="宋体" w:hAnsi="宋体" w:eastAsia="宋体" w:cs="宋体"/>
          <w:spacing w:val="-26"/>
          <w:sz w:val="20"/>
          <w:szCs w:val="20"/>
        </w:rPr>
        <w:t xml:space="preserve"> </w:t>
      </w:r>
      <w:r>
        <w:rPr>
          <w:rFonts w:ascii="宋体" w:hAnsi="宋体" w:eastAsia="宋体" w:cs="宋体"/>
          <w:spacing w:val="9"/>
          <w:sz w:val="20"/>
          <w:szCs w:val="20"/>
        </w:rPr>
        <w:t>简述恶性肿瘤的三级预防措施。</w:t>
      </w:r>
    </w:p>
    <w:p w14:paraId="7457ED5E">
      <w:pPr>
        <w:spacing w:before="122" w:line="219" w:lineRule="auto"/>
        <w:ind w:left="1219"/>
        <w:rPr>
          <w:rFonts w:ascii="宋体" w:hAnsi="宋体" w:eastAsia="宋体" w:cs="宋体"/>
          <w:sz w:val="20"/>
          <w:szCs w:val="20"/>
        </w:rPr>
      </w:pPr>
      <w:r>
        <w:rPr>
          <w:rFonts w:ascii="宋体" w:hAnsi="宋体" w:eastAsia="宋体" w:cs="宋体"/>
          <w:spacing w:val="15"/>
          <w:sz w:val="20"/>
          <w:szCs w:val="20"/>
        </w:rPr>
        <w:t>3.</w:t>
      </w:r>
      <w:r>
        <w:rPr>
          <w:rFonts w:ascii="宋体" w:hAnsi="宋体" w:eastAsia="宋体" w:cs="宋体"/>
          <w:spacing w:val="-36"/>
          <w:sz w:val="20"/>
          <w:szCs w:val="20"/>
        </w:rPr>
        <w:t xml:space="preserve"> </w:t>
      </w:r>
      <w:r>
        <w:rPr>
          <w:rFonts w:ascii="宋体" w:hAnsi="宋体" w:eastAsia="宋体" w:cs="宋体"/>
          <w:spacing w:val="15"/>
          <w:sz w:val="20"/>
          <w:szCs w:val="20"/>
        </w:rPr>
        <w:t>简述2型糖尿病的危险因素。</w:t>
      </w:r>
    </w:p>
    <w:p w14:paraId="77A823C5">
      <w:pPr>
        <w:spacing w:line="219" w:lineRule="auto"/>
        <w:rPr>
          <w:rFonts w:ascii="宋体" w:hAnsi="宋体" w:eastAsia="宋体" w:cs="宋体"/>
          <w:sz w:val="20"/>
          <w:szCs w:val="20"/>
        </w:rPr>
        <w:sectPr>
          <w:footerReference r:id="rId250" w:type="default"/>
          <w:pgSz w:w="11900" w:h="16820"/>
          <w:pgMar w:top="400" w:right="984" w:bottom="789" w:left="1450" w:header="0" w:footer="609" w:gutter="0"/>
          <w:cols w:space="720" w:num="1"/>
        </w:sectPr>
      </w:pPr>
    </w:p>
    <w:p w14:paraId="41CDADA5">
      <w:pPr>
        <w:spacing w:line="302" w:lineRule="auto"/>
        <w:rPr>
          <w:rFonts w:ascii="Arial"/>
          <w:sz w:val="21"/>
        </w:rPr>
      </w:pPr>
    </w:p>
    <w:p w14:paraId="7B72DE79">
      <w:pPr>
        <w:spacing w:line="302" w:lineRule="auto"/>
        <w:rPr>
          <w:rFonts w:ascii="Arial"/>
          <w:sz w:val="21"/>
        </w:rPr>
      </w:pPr>
    </w:p>
    <w:p w14:paraId="6422401A">
      <w:pPr>
        <w:spacing w:line="302" w:lineRule="auto"/>
        <w:rPr>
          <w:rFonts w:ascii="Arial"/>
          <w:sz w:val="21"/>
        </w:rPr>
      </w:pPr>
    </w:p>
    <w:p w14:paraId="0C159101">
      <w:pPr>
        <w:pStyle w:val="2"/>
        <w:spacing w:before="94" w:line="222" w:lineRule="auto"/>
        <w:ind w:left="4524"/>
        <w:outlineLvl w:val="0"/>
        <w:rPr>
          <w:sz w:val="29"/>
          <w:szCs w:val="29"/>
        </w:rPr>
      </w:pPr>
      <w:r>
        <w:drawing>
          <wp:anchor distT="0" distB="0" distL="0" distR="0" simplePos="0" relativeHeight="251849728" behindDoc="0" locked="0" layoutInCell="1" allowOverlap="1">
            <wp:simplePos x="0" y="0"/>
            <wp:positionH relativeFrom="column">
              <wp:posOffset>456565</wp:posOffset>
            </wp:positionH>
            <wp:positionV relativeFrom="paragraph">
              <wp:posOffset>61595</wp:posOffset>
            </wp:positionV>
            <wp:extent cx="565150" cy="622300"/>
            <wp:effectExtent l="0" t="0" r="0" b="0"/>
            <wp:wrapNone/>
            <wp:docPr id="594" name="IM 594"/>
            <wp:cNvGraphicFramePr/>
            <a:graphic xmlns:a="http://schemas.openxmlformats.org/drawingml/2006/main">
              <a:graphicData uri="http://schemas.openxmlformats.org/drawingml/2006/picture">
                <pic:pic xmlns:pic="http://schemas.openxmlformats.org/drawingml/2006/picture">
                  <pic:nvPicPr>
                    <pic:cNvPr id="594" name="IM 594"/>
                    <pic:cNvPicPr/>
                  </pic:nvPicPr>
                  <pic:blipFill>
                    <a:blip r:embed="rId640"/>
                    <a:stretch>
                      <a:fillRect/>
                    </a:stretch>
                  </pic:blipFill>
                  <pic:spPr>
                    <a:xfrm>
                      <a:off x="0" y="0"/>
                      <a:ext cx="565150" cy="622257"/>
                    </a:xfrm>
                    <a:prstGeom prst="rect">
                      <a:avLst/>
                    </a:prstGeom>
                  </pic:spPr>
                </pic:pic>
              </a:graphicData>
            </a:graphic>
          </wp:anchor>
        </w:drawing>
      </w:r>
      <w:bookmarkStart w:id="384" w:name="bookmark244"/>
      <w:bookmarkEnd w:id="384"/>
      <w:r>
        <w:rPr>
          <w:b/>
          <w:bCs/>
          <w:spacing w:val="-6"/>
          <w:sz w:val="29"/>
          <w:szCs w:val="29"/>
        </w:rPr>
        <w:t>第十五章</w:t>
      </w:r>
    </w:p>
    <w:p w14:paraId="7FFC01AC">
      <w:pPr>
        <w:pStyle w:val="2"/>
        <w:spacing w:before="133" w:line="221" w:lineRule="auto"/>
        <w:ind w:left="3796"/>
        <w:outlineLvl w:val="0"/>
        <w:rPr>
          <w:sz w:val="44"/>
          <w:szCs w:val="44"/>
        </w:rPr>
      </w:pPr>
      <w:bookmarkStart w:id="385" w:name="bookmark244"/>
      <w:bookmarkEnd w:id="385"/>
      <w:bookmarkStart w:id="386" w:name="bookmark529"/>
      <w:bookmarkEnd w:id="386"/>
      <w:r>
        <w:rPr>
          <w:b/>
          <w:bCs/>
          <w:spacing w:val="-7"/>
          <w:sz w:val="44"/>
          <w:szCs w:val="44"/>
        </w:rPr>
        <w:t>伤害流行病学</w:t>
      </w:r>
    </w:p>
    <w:p w14:paraId="7431D93B">
      <w:pPr>
        <w:spacing w:line="248" w:lineRule="auto"/>
        <w:rPr>
          <w:rFonts w:ascii="Arial"/>
          <w:sz w:val="21"/>
        </w:rPr>
      </w:pPr>
    </w:p>
    <w:p w14:paraId="20462AAD">
      <w:pPr>
        <w:spacing w:line="248" w:lineRule="auto"/>
        <w:rPr>
          <w:rFonts w:ascii="Arial"/>
          <w:sz w:val="21"/>
        </w:rPr>
      </w:pPr>
    </w:p>
    <w:p w14:paraId="51B6F5A6">
      <w:pPr>
        <w:spacing w:line="249" w:lineRule="auto"/>
        <w:rPr>
          <w:rFonts w:ascii="Arial"/>
          <w:sz w:val="21"/>
        </w:rPr>
      </w:pPr>
    </w:p>
    <w:p w14:paraId="45B1B8EF">
      <w:pPr>
        <w:spacing w:before="84" w:line="395" w:lineRule="exact"/>
        <w:ind w:left="3019"/>
        <w:rPr>
          <w:rFonts w:ascii="Arial" w:hAnsi="Arial" w:eastAsia="Arial" w:cs="Arial"/>
          <w:sz w:val="29"/>
          <w:szCs w:val="29"/>
        </w:rPr>
      </w:pPr>
      <w:r>
        <w:rPr>
          <w:rFonts w:ascii="Arial" w:hAnsi="Arial" w:eastAsia="Arial" w:cs="Arial"/>
          <w:spacing w:val="-3"/>
          <w:position w:val="4"/>
          <w:sz w:val="29"/>
          <w:szCs w:val="29"/>
        </w:rPr>
        <w:t>Chapter  15  Injury  Epidemiology</w:t>
      </w:r>
    </w:p>
    <w:p w14:paraId="123E7B17">
      <w:pPr>
        <w:spacing w:line="364" w:lineRule="auto"/>
        <w:rPr>
          <w:rFonts w:ascii="Arial"/>
          <w:sz w:val="21"/>
        </w:rPr>
      </w:pPr>
    </w:p>
    <w:p w14:paraId="4ED36E8B">
      <w:pPr>
        <w:spacing w:before="58" w:line="374" w:lineRule="auto"/>
        <w:ind w:left="709" w:right="64" w:firstLine="410"/>
        <w:jc w:val="both"/>
        <w:rPr>
          <w:rFonts w:ascii="Times New Roman" w:hAnsi="Times New Roman" w:eastAsia="Times New Roman" w:cs="Times New Roman"/>
          <w:sz w:val="20"/>
          <w:szCs w:val="20"/>
        </w:rPr>
      </w:pPr>
      <w:r>
        <w:rPr>
          <w:rFonts w:ascii="Times New Roman" w:hAnsi="Times New Roman" w:eastAsia="Times New Roman" w:cs="Times New Roman"/>
          <w:sz w:val="20"/>
          <w:szCs w:val="20"/>
        </w:rPr>
        <w:t>Injuries</w:t>
      </w:r>
      <w:r>
        <w:rPr>
          <w:rFonts w:ascii="Times New Roman" w:hAnsi="Times New Roman" w:eastAsia="Times New Roman" w:cs="Times New Roman"/>
          <w:spacing w:val="22"/>
          <w:w w:val="101"/>
          <w:sz w:val="20"/>
          <w:szCs w:val="20"/>
        </w:rPr>
        <w:t xml:space="preserve"> </w:t>
      </w:r>
      <w:r>
        <w:rPr>
          <w:rFonts w:ascii="Times New Roman" w:hAnsi="Times New Roman" w:eastAsia="Times New Roman" w:cs="Times New Roman"/>
          <w:sz w:val="20"/>
          <w:szCs w:val="20"/>
        </w:rPr>
        <w:t>have</w:t>
      </w:r>
      <w:r>
        <w:rPr>
          <w:rFonts w:ascii="Times New Roman" w:hAnsi="Times New Roman" w:eastAsia="Times New Roman" w:cs="Times New Roman"/>
          <w:spacing w:val="21"/>
          <w:w w:val="101"/>
          <w:sz w:val="20"/>
          <w:szCs w:val="20"/>
        </w:rPr>
        <w:t xml:space="preserve"> </w:t>
      </w:r>
      <w:r>
        <w:rPr>
          <w:rFonts w:ascii="Times New Roman" w:hAnsi="Times New Roman" w:eastAsia="Times New Roman" w:cs="Times New Roman"/>
          <w:sz w:val="20"/>
          <w:szCs w:val="20"/>
        </w:rPr>
        <w:t>become</w:t>
      </w:r>
      <w:r>
        <w:rPr>
          <w:rFonts w:ascii="Times New Roman" w:hAnsi="Times New Roman" w:eastAsia="Times New Roman" w:cs="Times New Roman"/>
          <w:spacing w:val="28"/>
          <w:w w:val="101"/>
          <w:sz w:val="20"/>
          <w:szCs w:val="20"/>
        </w:rPr>
        <w:t xml:space="preserve"> </w:t>
      </w:r>
      <w:r>
        <w:rPr>
          <w:rFonts w:ascii="Times New Roman" w:hAnsi="Times New Roman" w:eastAsia="Times New Roman" w:cs="Times New Roman"/>
          <w:sz w:val="20"/>
          <w:szCs w:val="20"/>
        </w:rPr>
        <w:t>one</w:t>
      </w:r>
      <w:r>
        <w:rPr>
          <w:rFonts w:ascii="Times New Roman" w:hAnsi="Times New Roman" w:eastAsia="Times New Roman" w:cs="Times New Roman"/>
          <w:spacing w:val="28"/>
          <w:w w:val="101"/>
          <w:sz w:val="20"/>
          <w:szCs w:val="20"/>
        </w:rPr>
        <w:t xml:space="preserve"> </w:t>
      </w:r>
      <w:r>
        <w:rPr>
          <w:rFonts w:ascii="Times New Roman" w:hAnsi="Times New Roman" w:eastAsia="Times New Roman" w:cs="Times New Roman"/>
          <w:sz w:val="20"/>
          <w:szCs w:val="20"/>
        </w:rPr>
        <w:t>of the</w:t>
      </w:r>
      <w:r>
        <w:rPr>
          <w:rFonts w:ascii="Times New Roman" w:hAnsi="Times New Roman" w:eastAsia="Times New Roman" w:cs="Times New Roman"/>
          <w:spacing w:val="23"/>
          <w:sz w:val="20"/>
          <w:szCs w:val="20"/>
        </w:rPr>
        <w:t xml:space="preserve"> </w:t>
      </w:r>
      <w:r>
        <w:rPr>
          <w:rFonts w:ascii="Times New Roman" w:hAnsi="Times New Roman" w:eastAsia="Times New Roman" w:cs="Times New Roman"/>
          <w:sz w:val="20"/>
          <w:szCs w:val="20"/>
        </w:rPr>
        <w:t>major</w:t>
      </w:r>
      <w:r>
        <w:rPr>
          <w:rFonts w:ascii="Times New Roman" w:hAnsi="Times New Roman" w:eastAsia="Times New Roman" w:cs="Times New Roman"/>
          <w:spacing w:val="22"/>
          <w:w w:val="101"/>
          <w:sz w:val="20"/>
          <w:szCs w:val="20"/>
        </w:rPr>
        <w:t xml:space="preserve"> </w:t>
      </w:r>
      <w:r>
        <w:rPr>
          <w:rFonts w:ascii="Times New Roman" w:hAnsi="Times New Roman" w:eastAsia="Times New Roman" w:cs="Times New Roman"/>
          <w:sz w:val="20"/>
          <w:szCs w:val="20"/>
        </w:rPr>
        <w:t>threats</w:t>
      </w:r>
      <w:r>
        <w:rPr>
          <w:rFonts w:ascii="Times New Roman" w:hAnsi="Times New Roman" w:eastAsia="Times New Roman" w:cs="Times New Roman"/>
          <w:spacing w:val="23"/>
          <w:w w:val="101"/>
          <w:sz w:val="20"/>
          <w:szCs w:val="20"/>
        </w:rPr>
        <w:t xml:space="preserve"> </w:t>
      </w:r>
      <w:r>
        <w:rPr>
          <w:rFonts w:ascii="Times New Roman" w:hAnsi="Times New Roman" w:eastAsia="Times New Roman" w:cs="Times New Roman"/>
          <w:sz w:val="20"/>
          <w:szCs w:val="20"/>
        </w:rPr>
        <w:t>to</w:t>
      </w:r>
      <w:r>
        <w:rPr>
          <w:rFonts w:ascii="Times New Roman" w:hAnsi="Times New Roman" w:eastAsia="Times New Roman" w:cs="Times New Roman"/>
          <w:spacing w:val="22"/>
          <w:w w:val="101"/>
          <w:sz w:val="20"/>
          <w:szCs w:val="20"/>
        </w:rPr>
        <w:t xml:space="preserve"> </w:t>
      </w:r>
      <w:r>
        <w:rPr>
          <w:rFonts w:ascii="Times New Roman" w:hAnsi="Times New Roman" w:eastAsia="Times New Roman" w:cs="Times New Roman"/>
          <w:sz w:val="20"/>
          <w:szCs w:val="20"/>
        </w:rPr>
        <w:t>human</w:t>
      </w:r>
      <w:r>
        <w:rPr>
          <w:rFonts w:ascii="Times New Roman" w:hAnsi="Times New Roman" w:eastAsia="Times New Roman" w:cs="Times New Roman"/>
          <w:spacing w:val="23"/>
          <w:sz w:val="20"/>
          <w:szCs w:val="20"/>
        </w:rPr>
        <w:t xml:space="preserve"> </w:t>
      </w:r>
      <w:r>
        <w:rPr>
          <w:rFonts w:ascii="Times New Roman" w:hAnsi="Times New Roman" w:eastAsia="Times New Roman" w:cs="Times New Roman"/>
          <w:sz w:val="20"/>
          <w:szCs w:val="20"/>
        </w:rPr>
        <w:t>h</w:t>
      </w:r>
      <w:r>
        <w:rPr>
          <w:rFonts w:ascii="Times New Roman" w:hAnsi="Times New Roman" w:eastAsia="Times New Roman" w:cs="Times New Roman"/>
          <w:spacing w:val="-1"/>
          <w:sz w:val="20"/>
          <w:szCs w:val="20"/>
        </w:rPr>
        <w:t>ealth</w:t>
      </w:r>
      <w:r>
        <w:rPr>
          <w:rFonts w:ascii="Times New Roman" w:hAnsi="Times New Roman" w:eastAsia="Times New Roman" w:cs="Times New Roman"/>
          <w:spacing w:val="22"/>
          <w:w w:val="101"/>
          <w:sz w:val="20"/>
          <w:szCs w:val="20"/>
        </w:rPr>
        <w:t xml:space="preserve"> </w:t>
      </w:r>
      <w:r>
        <w:rPr>
          <w:rFonts w:ascii="Times New Roman" w:hAnsi="Times New Roman" w:eastAsia="Times New Roman" w:cs="Times New Roman"/>
          <w:spacing w:val="-1"/>
          <w:sz w:val="20"/>
          <w:szCs w:val="20"/>
        </w:rPr>
        <w:t>worldwide.The</w:t>
      </w:r>
      <w:r>
        <w:rPr>
          <w:rFonts w:ascii="Times New Roman" w:hAnsi="Times New Roman" w:eastAsia="Times New Roman" w:cs="Times New Roman"/>
          <w:spacing w:val="28"/>
          <w:w w:val="101"/>
          <w:sz w:val="20"/>
          <w:szCs w:val="20"/>
        </w:rPr>
        <w:t xml:space="preserve"> </w:t>
      </w:r>
      <w:r>
        <w:rPr>
          <w:rFonts w:ascii="Times New Roman" w:hAnsi="Times New Roman" w:eastAsia="Times New Roman" w:cs="Times New Roman"/>
          <w:spacing w:val="-1"/>
          <w:sz w:val="20"/>
          <w:szCs w:val="20"/>
        </w:rPr>
        <w:t>overall</w:t>
      </w:r>
      <w:r>
        <w:rPr>
          <w:rFonts w:ascii="Times New Roman" w:hAnsi="Times New Roman" w:eastAsia="Times New Roman" w:cs="Times New Roman"/>
          <w:spacing w:val="28"/>
          <w:w w:val="101"/>
          <w:sz w:val="20"/>
          <w:szCs w:val="20"/>
        </w:rPr>
        <w:t xml:space="preserve"> </w:t>
      </w:r>
      <w:r>
        <w:rPr>
          <w:rFonts w:ascii="Times New Roman" w:hAnsi="Times New Roman" w:eastAsia="Times New Roman" w:cs="Times New Roman"/>
          <w:spacing w:val="-1"/>
          <w:sz w:val="20"/>
          <w:szCs w:val="20"/>
        </w:rPr>
        <w:t>deaths</w:t>
      </w:r>
      <w:r>
        <w:rPr>
          <w:rFonts w:ascii="Times New Roman" w:hAnsi="Times New Roman" w:eastAsia="Times New Roman" w:cs="Times New Roman"/>
          <w:spacing w:val="28"/>
          <w:sz w:val="20"/>
          <w:szCs w:val="20"/>
        </w:rPr>
        <w:t xml:space="preserve"> </w:t>
      </w:r>
      <w:r>
        <w:rPr>
          <w:rFonts w:ascii="Times New Roman" w:hAnsi="Times New Roman" w:eastAsia="Times New Roman" w:cs="Times New Roman"/>
          <w:spacing w:val="-1"/>
          <w:sz w:val="20"/>
          <w:szCs w:val="20"/>
        </w:rPr>
        <w:t>due</w:t>
      </w:r>
      <w:r>
        <w:rPr>
          <w:rFonts w:ascii="Times New Roman" w:hAnsi="Times New Roman" w:eastAsia="Times New Roman" w:cs="Times New Roman"/>
          <w:spacing w:val="23"/>
          <w:w w:val="101"/>
          <w:sz w:val="20"/>
          <w:szCs w:val="20"/>
        </w:rPr>
        <w:t xml:space="preserve"> </w:t>
      </w:r>
      <w:r>
        <w:rPr>
          <w:rFonts w:ascii="Times New Roman" w:hAnsi="Times New Roman" w:eastAsia="Times New Roman" w:cs="Times New Roman"/>
          <w:spacing w:val="-1"/>
          <w:sz w:val="20"/>
          <w:szCs w:val="20"/>
        </w:rPr>
        <w:t>to</w:t>
      </w:r>
      <w:r>
        <w:rPr>
          <w:rFonts w:ascii="Times New Roman" w:hAnsi="Times New Roman" w:eastAsia="Times New Roman" w:cs="Times New Roman"/>
          <w:sz w:val="20"/>
          <w:szCs w:val="20"/>
        </w:rPr>
        <w:t xml:space="preserve"> injuries</w:t>
      </w:r>
      <w:r>
        <w:rPr>
          <w:rFonts w:ascii="Times New Roman" w:hAnsi="Times New Roman" w:eastAsia="Times New Roman" w:cs="Times New Roman"/>
          <w:spacing w:val="15"/>
          <w:sz w:val="20"/>
          <w:szCs w:val="20"/>
        </w:rPr>
        <w:t xml:space="preserve"> </w:t>
      </w:r>
      <w:r>
        <w:rPr>
          <w:rFonts w:ascii="Times New Roman" w:hAnsi="Times New Roman" w:eastAsia="Times New Roman" w:cs="Times New Roman"/>
          <w:sz w:val="20"/>
          <w:szCs w:val="20"/>
        </w:rPr>
        <w:t>is 4.4 million per year,accounting</w:t>
      </w:r>
      <w:r>
        <w:rPr>
          <w:rFonts w:ascii="Times New Roman" w:hAnsi="Times New Roman" w:eastAsia="Times New Roman" w:cs="Times New Roman"/>
          <w:spacing w:val="15"/>
          <w:w w:val="101"/>
          <w:sz w:val="20"/>
          <w:szCs w:val="20"/>
        </w:rPr>
        <w:t xml:space="preserve"> </w:t>
      </w:r>
      <w:r>
        <w:rPr>
          <w:rFonts w:ascii="Times New Roman" w:hAnsi="Times New Roman" w:eastAsia="Times New Roman" w:cs="Times New Roman"/>
          <w:sz w:val="20"/>
          <w:szCs w:val="20"/>
        </w:rPr>
        <w:t>for</w:t>
      </w:r>
      <w:r>
        <w:rPr>
          <w:rFonts w:ascii="Times New Roman" w:hAnsi="Times New Roman" w:eastAsia="Times New Roman" w:cs="Times New Roman"/>
          <w:spacing w:val="19"/>
          <w:sz w:val="20"/>
          <w:szCs w:val="20"/>
        </w:rPr>
        <w:t xml:space="preserve"> </w:t>
      </w:r>
      <w:r>
        <w:rPr>
          <w:rFonts w:ascii="Times New Roman" w:hAnsi="Times New Roman" w:eastAsia="Times New Roman" w:cs="Times New Roman"/>
          <w:sz w:val="20"/>
          <w:szCs w:val="20"/>
        </w:rPr>
        <w:t>8%of all-cause mortality</w:t>
      </w:r>
      <w:r>
        <w:rPr>
          <w:rFonts w:ascii="Times New Roman" w:hAnsi="Times New Roman" w:eastAsia="Times New Roman" w:cs="Times New Roman"/>
          <w:spacing w:val="9"/>
          <w:sz w:val="20"/>
          <w:szCs w:val="20"/>
        </w:rPr>
        <w:t xml:space="preserve"> </w:t>
      </w:r>
      <w:r>
        <w:rPr>
          <w:rFonts w:ascii="Times New Roman" w:hAnsi="Times New Roman" w:eastAsia="Times New Roman" w:cs="Times New Roman"/>
          <w:sz w:val="20"/>
          <w:szCs w:val="20"/>
        </w:rPr>
        <w:t>worldwide.Injuries</w:t>
      </w:r>
      <w:r>
        <w:rPr>
          <w:rFonts w:ascii="Times New Roman" w:hAnsi="Times New Roman" w:eastAsia="Times New Roman" w:cs="Times New Roman"/>
          <w:spacing w:val="15"/>
          <w:sz w:val="20"/>
          <w:szCs w:val="20"/>
        </w:rPr>
        <w:t xml:space="preserve"> </w:t>
      </w:r>
      <w:r>
        <w:rPr>
          <w:rFonts w:ascii="Times New Roman" w:hAnsi="Times New Roman" w:eastAsia="Times New Roman" w:cs="Times New Roman"/>
          <w:sz w:val="20"/>
          <w:szCs w:val="20"/>
        </w:rPr>
        <w:t>occur</w:t>
      </w:r>
      <w:r>
        <w:rPr>
          <w:rFonts w:ascii="Times New Roman" w:hAnsi="Times New Roman" w:eastAsia="Times New Roman" w:cs="Times New Roman"/>
          <w:spacing w:val="9"/>
          <w:sz w:val="20"/>
          <w:szCs w:val="20"/>
        </w:rPr>
        <w:t xml:space="preserve"> </w:t>
      </w:r>
      <w:r>
        <w:rPr>
          <w:rFonts w:ascii="Times New Roman" w:hAnsi="Times New Roman" w:eastAsia="Times New Roman" w:cs="Times New Roman"/>
          <w:sz w:val="20"/>
          <w:szCs w:val="20"/>
        </w:rPr>
        <w:t xml:space="preserve">throughout </w:t>
      </w:r>
      <w:r>
        <w:rPr>
          <w:rFonts w:ascii="Times New Roman" w:hAnsi="Times New Roman" w:eastAsia="Times New Roman" w:cs="Times New Roman"/>
          <w:spacing w:val="-1"/>
          <w:sz w:val="20"/>
          <w:szCs w:val="20"/>
        </w:rPr>
        <w:t>a</w:t>
      </w:r>
      <w:r>
        <w:rPr>
          <w:rFonts w:ascii="Times New Roman" w:hAnsi="Times New Roman" w:eastAsia="Times New Roman" w:cs="Times New Roman"/>
          <w:spacing w:val="18"/>
          <w:sz w:val="20"/>
          <w:szCs w:val="20"/>
        </w:rPr>
        <w:t xml:space="preserve">  </w:t>
      </w:r>
      <w:r>
        <w:rPr>
          <w:rFonts w:ascii="Times New Roman" w:hAnsi="Times New Roman" w:eastAsia="Times New Roman" w:cs="Times New Roman"/>
          <w:spacing w:val="-1"/>
          <w:sz w:val="20"/>
          <w:szCs w:val="20"/>
        </w:rPr>
        <w:t>lifetime,from  minor  injuries</w:t>
      </w:r>
      <w:r>
        <w:rPr>
          <w:rFonts w:ascii="Times New Roman" w:hAnsi="Times New Roman" w:eastAsia="Times New Roman" w:cs="Times New Roman"/>
          <w:spacing w:val="10"/>
          <w:sz w:val="20"/>
          <w:szCs w:val="20"/>
        </w:rPr>
        <w:t xml:space="preserve">  </w:t>
      </w:r>
      <w:r>
        <w:rPr>
          <w:rFonts w:ascii="Times New Roman" w:hAnsi="Times New Roman" w:eastAsia="Times New Roman" w:cs="Times New Roman"/>
          <w:spacing w:val="-1"/>
          <w:sz w:val="20"/>
          <w:szCs w:val="20"/>
        </w:rPr>
        <w:t>to</w:t>
      </w:r>
      <w:r>
        <w:rPr>
          <w:rFonts w:ascii="Times New Roman" w:hAnsi="Times New Roman" w:eastAsia="Times New Roman" w:cs="Times New Roman"/>
          <w:spacing w:val="10"/>
          <w:sz w:val="20"/>
          <w:szCs w:val="20"/>
        </w:rPr>
        <w:t xml:space="preserve">  </w:t>
      </w:r>
      <w:r>
        <w:rPr>
          <w:rFonts w:ascii="Times New Roman" w:hAnsi="Times New Roman" w:eastAsia="Times New Roman" w:cs="Times New Roman"/>
          <w:spacing w:val="-1"/>
          <w:sz w:val="20"/>
          <w:szCs w:val="20"/>
        </w:rPr>
        <w:t>huge   disasters.This   chapter  is   divided</w:t>
      </w:r>
      <w:r>
        <w:rPr>
          <w:rFonts w:ascii="Times New Roman" w:hAnsi="Times New Roman" w:eastAsia="Times New Roman" w:cs="Times New Roman"/>
          <w:spacing w:val="12"/>
          <w:w w:val="101"/>
          <w:sz w:val="20"/>
          <w:szCs w:val="20"/>
        </w:rPr>
        <w:t xml:space="preserve">  </w:t>
      </w:r>
      <w:r>
        <w:rPr>
          <w:rFonts w:ascii="Times New Roman" w:hAnsi="Times New Roman" w:eastAsia="Times New Roman" w:cs="Times New Roman"/>
          <w:spacing w:val="-1"/>
          <w:sz w:val="20"/>
          <w:szCs w:val="20"/>
        </w:rPr>
        <w:t>into</w:t>
      </w:r>
      <w:r>
        <w:rPr>
          <w:rFonts w:ascii="Times New Roman" w:hAnsi="Times New Roman" w:eastAsia="Times New Roman" w:cs="Times New Roman"/>
          <w:spacing w:val="13"/>
          <w:w w:val="101"/>
          <w:sz w:val="20"/>
          <w:szCs w:val="20"/>
        </w:rPr>
        <w:t xml:space="preserve">  </w:t>
      </w:r>
      <w:r>
        <w:rPr>
          <w:rFonts w:ascii="Times New Roman" w:hAnsi="Times New Roman" w:eastAsia="Times New Roman" w:cs="Times New Roman"/>
          <w:spacing w:val="-1"/>
          <w:sz w:val="20"/>
          <w:szCs w:val="20"/>
        </w:rPr>
        <w:t>four</w:t>
      </w:r>
      <w:r>
        <w:rPr>
          <w:rFonts w:ascii="Times New Roman" w:hAnsi="Times New Roman" w:eastAsia="Times New Roman" w:cs="Times New Roman"/>
          <w:spacing w:val="13"/>
          <w:w w:val="101"/>
          <w:sz w:val="20"/>
          <w:szCs w:val="20"/>
        </w:rPr>
        <w:t xml:space="preserve">  </w:t>
      </w:r>
      <w:r>
        <w:rPr>
          <w:rFonts w:ascii="Times New Roman" w:hAnsi="Times New Roman" w:eastAsia="Times New Roman" w:cs="Times New Roman"/>
          <w:spacing w:val="-1"/>
          <w:sz w:val="20"/>
          <w:szCs w:val="20"/>
        </w:rPr>
        <w:t>sections.The</w:t>
      </w:r>
      <w:r>
        <w:rPr>
          <w:rFonts w:ascii="Times New Roman" w:hAnsi="Times New Roman" w:eastAsia="Times New Roman" w:cs="Times New Roman"/>
          <w:spacing w:val="13"/>
          <w:w w:val="101"/>
          <w:sz w:val="20"/>
          <w:szCs w:val="20"/>
        </w:rPr>
        <w:t xml:space="preserve">  </w:t>
      </w:r>
      <w:r>
        <w:rPr>
          <w:rFonts w:ascii="Times New Roman" w:hAnsi="Times New Roman" w:eastAsia="Times New Roman" w:cs="Times New Roman"/>
          <w:spacing w:val="-1"/>
          <w:sz w:val="20"/>
          <w:szCs w:val="20"/>
        </w:rPr>
        <w:t>first</w:t>
      </w:r>
      <w:r>
        <w:rPr>
          <w:rFonts w:ascii="Times New Roman" w:hAnsi="Times New Roman" w:eastAsia="Times New Roman" w:cs="Times New Roman"/>
          <w:sz w:val="20"/>
          <w:szCs w:val="20"/>
        </w:rPr>
        <w:t xml:space="preserve">  section  introduces  the</w:t>
      </w:r>
      <w:r>
        <w:rPr>
          <w:rFonts w:ascii="Times New Roman" w:hAnsi="Times New Roman" w:eastAsia="Times New Roman" w:cs="Times New Roman"/>
          <w:spacing w:val="9"/>
          <w:sz w:val="20"/>
          <w:szCs w:val="20"/>
        </w:rPr>
        <w:t xml:space="preserve">  </w:t>
      </w:r>
      <w:r>
        <w:rPr>
          <w:rFonts w:ascii="Times New Roman" w:hAnsi="Times New Roman" w:eastAsia="Times New Roman" w:cs="Times New Roman"/>
          <w:sz w:val="20"/>
          <w:szCs w:val="20"/>
        </w:rPr>
        <w:t>concept,categories,major  causes,and</w:t>
      </w:r>
      <w:r>
        <w:rPr>
          <w:rFonts w:ascii="Times New Roman" w:hAnsi="Times New Roman" w:eastAsia="Times New Roman" w:cs="Times New Roman"/>
          <w:spacing w:val="6"/>
          <w:sz w:val="20"/>
          <w:szCs w:val="20"/>
        </w:rPr>
        <w:t xml:space="preserve">  </w:t>
      </w:r>
      <w:r>
        <w:rPr>
          <w:rFonts w:ascii="Times New Roman" w:hAnsi="Times New Roman" w:eastAsia="Times New Roman" w:cs="Times New Roman"/>
          <w:sz w:val="20"/>
          <w:szCs w:val="20"/>
        </w:rPr>
        <w:t>risk</w:t>
      </w:r>
      <w:r>
        <w:rPr>
          <w:rFonts w:ascii="Times New Roman" w:hAnsi="Times New Roman" w:eastAsia="Times New Roman" w:cs="Times New Roman"/>
          <w:spacing w:val="9"/>
          <w:sz w:val="20"/>
          <w:szCs w:val="20"/>
        </w:rPr>
        <w:t xml:space="preserve">  </w:t>
      </w:r>
      <w:r>
        <w:rPr>
          <w:rFonts w:ascii="Times New Roman" w:hAnsi="Times New Roman" w:eastAsia="Times New Roman" w:cs="Times New Roman"/>
          <w:sz w:val="20"/>
          <w:szCs w:val="20"/>
        </w:rPr>
        <w:t>factors</w:t>
      </w:r>
      <w:r>
        <w:rPr>
          <w:rFonts w:ascii="Times New Roman" w:hAnsi="Times New Roman" w:eastAsia="Times New Roman" w:cs="Times New Roman"/>
          <w:spacing w:val="9"/>
          <w:sz w:val="20"/>
          <w:szCs w:val="20"/>
        </w:rPr>
        <w:t xml:space="preserve">  </w:t>
      </w:r>
      <w:r>
        <w:rPr>
          <w:rFonts w:ascii="Times New Roman" w:hAnsi="Times New Roman" w:eastAsia="Times New Roman" w:cs="Times New Roman"/>
          <w:sz w:val="20"/>
          <w:szCs w:val="20"/>
        </w:rPr>
        <w:t>of  injuries.T</w:t>
      </w:r>
      <w:r>
        <w:rPr>
          <w:rFonts w:ascii="Times New Roman" w:hAnsi="Times New Roman" w:eastAsia="Times New Roman" w:cs="Times New Roman"/>
          <w:spacing w:val="-1"/>
          <w:sz w:val="20"/>
          <w:szCs w:val="20"/>
        </w:rPr>
        <w:t>he</w:t>
      </w:r>
      <w:r>
        <w:rPr>
          <w:rFonts w:ascii="Times New Roman" w:hAnsi="Times New Roman" w:eastAsia="Times New Roman" w:cs="Times New Roman"/>
          <w:spacing w:val="10"/>
          <w:sz w:val="20"/>
          <w:szCs w:val="20"/>
        </w:rPr>
        <w:t xml:space="preserve">  </w:t>
      </w:r>
      <w:r>
        <w:rPr>
          <w:rFonts w:ascii="Times New Roman" w:hAnsi="Times New Roman" w:eastAsia="Times New Roman" w:cs="Times New Roman"/>
          <w:spacing w:val="-1"/>
          <w:sz w:val="20"/>
          <w:szCs w:val="20"/>
        </w:rPr>
        <w:t>second</w:t>
      </w:r>
      <w:r>
        <w:rPr>
          <w:rFonts w:ascii="Times New Roman" w:hAnsi="Times New Roman" w:eastAsia="Times New Roman" w:cs="Times New Roman"/>
          <w:spacing w:val="10"/>
          <w:sz w:val="20"/>
          <w:szCs w:val="20"/>
        </w:rPr>
        <w:t xml:space="preserve">  </w:t>
      </w:r>
      <w:r>
        <w:rPr>
          <w:rFonts w:ascii="Times New Roman" w:hAnsi="Times New Roman" w:eastAsia="Times New Roman" w:cs="Times New Roman"/>
          <w:spacing w:val="-1"/>
          <w:sz w:val="20"/>
          <w:szCs w:val="20"/>
        </w:rPr>
        <w:t>section</w:t>
      </w:r>
      <w:r>
        <w:rPr>
          <w:rFonts w:ascii="Times New Roman" w:hAnsi="Times New Roman" w:eastAsia="Times New Roman" w:cs="Times New Roman"/>
          <w:sz w:val="20"/>
          <w:szCs w:val="20"/>
        </w:rPr>
        <w:t xml:space="preserve">  presents</w:t>
      </w:r>
      <w:r>
        <w:rPr>
          <w:rFonts w:ascii="Times New Roman" w:hAnsi="Times New Roman" w:eastAsia="Times New Roman" w:cs="Times New Roman"/>
          <w:spacing w:val="39"/>
          <w:w w:val="101"/>
          <w:sz w:val="20"/>
          <w:szCs w:val="20"/>
        </w:rPr>
        <w:t xml:space="preserve"> </w:t>
      </w:r>
      <w:r>
        <w:rPr>
          <w:rFonts w:ascii="Times New Roman" w:hAnsi="Times New Roman" w:eastAsia="Times New Roman" w:cs="Times New Roman"/>
          <w:sz w:val="20"/>
          <w:szCs w:val="20"/>
        </w:rPr>
        <w:t>the</w:t>
      </w:r>
      <w:r>
        <w:rPr>
          <w:rFonts w:ascii="Times New Roman" w:hAnsi="Times New Roman" w:eastAsia="Times New Roman" w:cs="Times New Roman"/>
          <w:spacing w:val="44"/>
          <w:sz w:val="20"/>
          <w:szCs w:val="20"/>
        </w:rPr>
        <w:t xml:space="preserve"> </w:t>
      </w:r>
      <w:r>
        <w:rPr>
          <w:rFonts w:ascii="Times New Roman" w:hAnsi="Times New Roman" w:eastAsia="Times New Roman" w:cs="Times New Roman"/>
          <w:sz w:val="20"/>
          <w:szCs w:val="20"/>
        </w:rPr>
        <w:t>distribution</w:t>
      </w:r>
      <w:r>
        <w:rPr>
          <w:rFonts w:ascii="Times New Roman" w:hAnsi="Times New Roman" w:eastAsia="Times New Roman" w:cs="Times New Roman"/>
          <w:spacing w:val="44"/>
          <w:w w:val="101"/>
          <w:sz w:val="20"/>
          <w:szCs w:val="20"/>
        </w:rPr>
        <w:t xml:space="preserve"> </w:t>
      </w:r>
      <w:r>
        <w:rPr>
          <w:rFonts w:ascii="Times New Roman" w:hAnsi="Times New Roman" w:eastAsia="Times New Roman" w:cs="Times New Roman"/>
          <w:sz w:val="20"/>
          <w:szCs w:val="20"/>
        </w:rPr>
        <w:t>and</w:t>
      </w:r>
      <w:r>
        <w:rPr>
          <w:rFonts w:ascii="Times New Roman" w:hAnsi="Times New Roman" w:eastAsia="Times New Roman" w:cs="Times New Roman"/>
          <w:spacing w:val="38"/>
          <w:w w:val="101"/>
          <w:sz w:val="20"/>
          <w:szCs w:val="20"/>
        </w:rPr>
        <w:t xml:space="preserve"> </w:t>
      </w:r>
      <w:r>
        <w:rPr>
          <w:rFonts w:ascii="Times New Roman" w:hAnsi="Times New Roman" w:eastAsia="Times New Roman" w:cs="Times New Roman"/>
          <w:sz w:val="20"/>
          <w:szCs w:val="20"/>
        </w:rPr>
        <w:t>research</w:t>
      </w:r>
      <w:r>
        <w:rPr>
          <w:rFonts w:ascii="Times New Roman" w:hAnsi="Times New Roman" w:eastAsia="Times New Roman" w:cs="Times New Roman"/>
          <w:spacing w:val="37"/>
          <w:sz w:val="20"/>
          <w:szCs w:val="20"/>
        </w:rPr>
        <w:t xml:space="preserve"> </w:t>
      </w:r>
      <w:r>
        <w:rPr>
          <w:rFonts w:ascii="Times New Roman" w:hAnsi="Times New Roman" w:eastAsia="Times New Roman" w:cs="Times New Roman"/>
          <w:sz w:val="20"/>
          <w:szCs w:val="20"/>
        </w:rPr>
        <w:t>progress</w:t>
      </w:r>
      <w:r>
        <w:rPr>
          <w:rFonts w:ascii="Times New Roman" w:hAnsi="Times New Roman" w:eastAsia="Times New Roman" w:cs="Times New Roman"/>
          <w:spacing w:val="44"/>
          <w:sz w:val="20"/>
          <w:szCs w:val="20"/>
        </w:rPr>
        <w:t xml:space="preserve"> </w:t>
      </w:r>
      <w:r>
        <w:rPr>
          <w:rFonts w:ascii="Times New Roman" w:hAnsi="Times New Roman" w:eastAsia="Times New Roman" w:cs="Times New Roman"/>
          <w:sz w:val="20"/>
          <w:szCs w:val="20"/>
        </w:rPr>
        <w:t>of</w:t>
      </w:r>
      <w:r>
        <w:rPr>
          <w:rFonts w:ascii="Times New Roman" w:hAnsi="Times New Roman" w:eastAsia="Times New Roman" w:cs="Times New Roman"/>
          <w:spacing w:val="23"/>
          <w:sz w:val="20"/>
          <w:szCs w:val="20"/>
        </w:rPr>
        <w:t xml:space="preserve"> </w:t>
      </w:r>
      <w:r>
        <w:rPr>
          <w:rFonts w:ascii="Times New Roman" w:hAnsi="Times New Roman" w:eastAsia="Times New Roman" w:cs="Times New Roman"/>
          <w:sz w:val="20"/>
          <w:szCs w:val="20"/>
        </w:rPr>
        <w:t>injuries.The</w:t>
      </w:r>
      <w:r>
        <w:rPr>
          <w:rFonts w:ascii="Times New Roman" w:hAnsi="Times New Roman" w:eastAsia="Times New Roman" w:cs="Times New Roman"/>
          <w:spacing w:val="39"/>
          <w:sz w:val="20"/>
          <w:szCs w:val="20"/>
        </w:rPr>
        <w:t xml:space="preserve"> </w:t>
      </w:r>
      <w:r>
        <w:rPr>
          <w:rFonts w:ascii="Times New Roman" w:hAnsi="Times New Roman" w:eastAsia="Times New Roman" w:cs="Times New Roman"/>
          <w:sz w:val="20"/>
          <w:szCs w:val="20"/>
        </w:rPr>
        <w:t>third</w:t>
      </w:r>
      <w:r>
        <w:rPr>
          <w:rFonts w:ascii="Times New Roman" w:hAnsi="Times New Roman" w:eastAsia="Times New Roman" w:cs="Times New Roman"/>
          <w:spacing w:val="47"/>
          <w:sz w:val="20"/>
          <w:szCs w:val="20"/>
        </w:rPr>
        <w:t xml:space="preserve"> </w:t>
      </w:r>
      <w:r>
        <w:rPr>
          <w:rFonts w:ascii="Times New Roman" w:hAnsi="Times New Roman" w:eastAsia="Times New Roman" w:cs="Times New Roman"/>
          <w:sz w:val="20"/>
          <w:szCs w:val="20"/>
        </w:rPr>
        <w:t>se</w:t>
      </w:r>
      <w:r>
        <w:rPr>
          <w:rFonts w:ascii="Times New Roman" w:hAnsi="Times New Roman" w:eastAsia="Times New Roman" w:cs="Times New Roman"/>
          <w:spacing w:val="-1"/>
          <w:sz w:val="20"/>
          <w:szCs w:val="20"/>
        </w:rPr>
        <w:t>ction</w:t>
      </w:r>
      <w:r>
        <w:rPr>
          <w:rFonts w:ascii="Times New Roman" w:hAnsi="Times New Roman" w:eastAsia="Times New Roman" w:cs="Times New Roman"/>
          <w:spacing w:val="44"/>
          <w:sz w:val="20"/>
          <w:szCs w:val="20"/>
        </w:rPr>
        <w:t xml:space="preserve"> </w:t>
      </w:r>
      <w:r>
        <w:rPr>
          <w:rFonts w:ascii="Times New Roman" w:hAnsi="Times New Roman" w:eastAsia="Times New Roman" w:cs="Times New Roman"/>
          <w:spacing w:val="-1"/>
          <w:sz w:val="20"/>
          <w:szCs w:val="20"/>
        </w:rPr>
        <w:t>discusses</w:t>
      </w:r>
      <w:r>
        <w:rPr>
          <w:rFonts w:ascii="Times New Roman" w:hAnsi="Times New Roman" w:eastAsia="Times New Roman" w:cs="Times New Roman"/>
          <w:spacing w:val="39"/>
          <w:w w:val="101"/>
          <w:sz w:val="20"/>
          <w:szCs w:val="20"/>
        </w:rPr>
        <w:t xml:space="preserve"> </w:t>
      </w:r>
      <w:r>
        <w:rPr>
          <w:rFonts w:ascii="Times New Roman" w:hAnsi="Times New Roman" w:eastAsia="Times New Roman" w:cs="Times New Roman"/>
          <w:spacing w:val="-1"/>
          <w:sz w:val="20"/>
          <w:szCs w:val="20"/>
        </w:rPr>
        <w:t>the</w:t>
      </w:r>
      <w:r>
        <w:rPr>
          <w:rFonts w:ascii="Times New Roman" w:hAnsi="Times New Roman" w:eastAsia="Times New Roman" w:cs="Times New Roman"/>
          <w:spacing w:val="44"/>
          <w:w w:val="101"/>
          <w:sz w:val="20"/>
          <w:szCs w:val="20"/>
        </w:rPr>
        <w:t xml:space="preserve"> </w:t>
      </w:r>
      <w:r>
        <w:rPr>
          <w:rFonts w:ascii="Times New Roman" w:hAnsi="Times New Roman" w:eastAsia="Times New Roman" w:cs="Times New Roman"/>
          <w:spacing w:val="-1"/>
          <w:sz w:val="20"/>
          <w:szCs w:val="20"/>
        </w:rPr>
        <w:t>application</w:t>
      </w:r>
      <w:r>
        <w:rPr>
          <w:rFonts w:ascii="Times New Roman" w:hAnsi="Times New Roman" w:eastAsia="Times New Roman" w:cs="Times New Roman"/>
          <w:spacing w:val="44"/>
          <w:sz w:val="20"/>
          <w:szCs w:val="20"/>
        </w:rPr>
        <w:t xml:space="preserve"> </w:t>
      </w:r>
      <w:r>
        <w:rPr>
          <w:rFonts w:ascii="Times New Roman" w:hAnsi="Times New Roman" w:eastAsia="Times New Roman" w:cs="Times New Roman"/>
          <w:spacing w:val="-1"/>
          <w:sz w:val="20"/>
          <w:szCs w:val="20"/>
        </w:rPr>
        <w:t>of</w:t>
      </w:r>
      <w:r>
        <w:rPr>
          <w:rFonts w:ascii="Times New Roman" w:hAnsi="Times New Roman" w:eastAsia="Times New Roman" w:cs="Times New Roman"/>
          <w:sz w:val="20"/>
          <w:szCs w:val="20"/>
        </w:rPr>
        <w:t xml:space="preserve"> epidemiological</w:t>
      </w:r>
      <w:r>
        <w:rPr>
          <w:rFonts w:ascii="Times New Roman" w:hAnsi="Times New Roman" w:eastAsia="Times New Roman" w:cs="Times New Roman"/>
          <w:spacing w:val="39"/>
          <w:w w:val="101"/>
          <w:sz w:val="20"/>
          <w:szCs w:val="20"/>
        </w:rPr>
        <w:t xml:space="preserve"> </w:t>
      </w:r>
      <w:r>
        <w:rPr>
          <w:rFonts w:ascii="Times New Roman" w:hAnsi="Times New Roman" w:eastAsia="Times New Roman" w:cs="Times New Roman"/>
          <w:sz w:val="20"/>
          <w:szCs w:val="20"/>
        </w:rPr>
        <w:t>methods</w:t>
      </w:r>
      <w:r>
        <w:rPr>
          <w:rFonts w:ascii="Times New Roman" w:hAnsi="Times New Roman" w:eastAsia="Times New Roman" w:cs="Times New Roman"/>
          <w:spacing w:val="43"/>
          <w:w w:val="101"/>
          <w:sz w:val="20"/>
          <w:szCs w:val="20"/>
        </w:rPr>
        <w:t xml:space="preserve"> </w:t>
      </w:r>
      <w:r>
        <w:rPr>
          <w:rFonts w:ascii="Times New Roman" w:hAnsi="Times New Roman" w:eastAsia="Times New Roman" w:cs="Times New Roman"/>
          <w:sz w:val="20"/>
          <w:szCs w:val="20"/>
        </w:rPr>
        <w:t>in</w:t>
      </w:r>
      <w:r>
        <w:rPr>
          <w:rFonts w:ascii="Times New Roman" w:hAnsi="Times New Roman" w:eastAsia="Times New Roman" w:cs="Times New Roman"/>
          <w:spacing w:val="43"/>
          <w:w w:val="101"/>
          <w:sz w:val="20"/>
          <w:szCs w:val="20"/>
        </w:rPr>
        <w:t xml:space="preserve"> </w:t>
      </w:r>
      <w:r>
        <w:rPr>
          <w:rFonts w:ascii="Times New Roman" w:hAnsi="Times New Roman" w:eastAsia="Times New Roman" w:cs="Times New Roman"/>
          <w:sz w:val="20"/>
          <w:szCs w:val="20"/>
        </w:rPr>
        <w:t>injury</w:t>
      </w:r>
      <w:r>
        <w:rPr>
          <w:rFonts w:ascii="Times New Roman" w:hAnsi="Times New Roman" w:eastAsia="Times New Roman" w:cs="Times New Roman"/>
          <w:spacing w:val="39"/>
          <w:sz w:val="20"/>
          <w:szCs w:val="20"/>
        </w:rPr>
        <w:t xml:space="preserve"> </w:t>
      </w:r>
      <w:r>
        <w:rPr>
          <w:rFonts w:ascii="Times New Roman" w:hAnsi="Times New Roman" w:eastAsia="Times New Roman" w:cs="Times New Roman"/>
          <w:sz w:val="20"/>
          <w:szCs w:val="20"/>
        </w:rPr>
        <w:t>research.Lastly,</w:t>
      </w:r>
      <w:r>
        <w:rPr>
          <w:rFonts w:ascii="Times New Roman" w:hAnsi="Times New Roman" w:eastAsia="Times New Roman" w:cs="Times New Roman"/>
          <w:spacing w:val="-1"/>
          <w:sz w:val="20"/>
          <w:szCs w:val="20"/>
        </w:rPr>
        <w:t>strategies</w:t>
      </w:r>
      <w:r>
        <w:rPr>
          <w:rFonts w:ascii="Times New Roman" w:hAnsi="Times New Roman" w:eastAsia="Times New Roman" w:cs="Times New Roman"/>
          <w:spacing w:val="45"/>
          <w:sz w:val="20"/>
          <w:szCs w:val="20"/>
        </w:rPr>
        <w:t xml:space="preserve"> </w:t>
      </w:r>
      <w:r>
        <w:rPr>
          <w:rFonts w:ascii="Times New Roman" w:hAnsi="Times New Roman" w:eastAsia="Times New Roman" w:cs="Times New Roman"/>
          <w:spacing w:val="-1"/>
          <w:sz w:val="20"/>
          <w:szCs w:val="20"/>
        </w:rPr>
        <w:t>and</w:t>
      </w:r>
      <w:r>
        <w:rPr>
          <w:rFonts w:ascii="Times New Roman" w:hAnsi="Times New Roman" w:eastAsia="Times New Roman" w:cs="Times New Roman"/>
          <w:spacing w:val="39"/>
          <w:sz w:val="20"/>
          <w:szCs w:val="20"/>
        </w:rPr>
        <w:t xml:space="preserve"> </w:t>
      </w:r>
      <w:r>
        <w:rPr>
          <w:rFonts w:ascii="Times New Roman" w:hAnsi="Times New Roman" w:eastAsia="Times New Roman" w:cs="Times New Roman"/>
          <w:spacing w:val="-1"/>
          <w:sz w:val="20"/>
          <w:szCs w:val="20"/>
        </w:rPr>
        <w:t>measures</w:t>
      </w:r>
      <w:r>
        <w:rPr>
          <w:rFonts w:ascii="Times New Roman" w:hAnsi="Times New Roman" w:eastAsia="Times New Roman" w:cs="Times New Roman"/>
          <w:spacing w:val="44"/>
          <w:w w:val="101"/>
          <w:sz w:val="20"/>
          <w:szCs w:val="20"/>
        </w:rPr>
        <w:t xml:space="preserve"> </w:t>
      </w:r>
      <w:r>
        <w:rPr>
          <w:rFonts w:ascii="Times New Roman" w:hAnsi="Times New Roman" w:eastAsia="Times New Roman" w:cs="Times New Roman"/>
          <w:spacing w:val="-1"/>
          <w:sz w:val="20"/>
          <w:szCs w:val="20"/>
        </w:rPr>
        <w:t>of</w:t>
      </w:r>
      <w:r>
        <w:rPr>
          <w:rFonts w:ascii="Times New Roman" w:hAnsi="Times New Roman" w:eastAsia="Times New Roman" w:cs="Times New Roman"/>
          <w:spacing w:val="17"/>
          <w:sz w:val="20"/>
          <w:szCs w:val="20"/>
        </w:rPr>
        <w:t xml:space="preserve"> </w:t>
      </w:r>
      <w:r>
        <w:rPr>
          <w:rFonts w:ascii="Times New Roman" w:hAnsi="Times New Roman" w:eastAsia="Times New Roman" w:cs="Times New Roman"/>
          <w:spacing w:val="-1"/>
          <w:sz w:val="20"/>
          <w:szCs w:val="20"/>
        </w:rPr>
        <w:t>prevention</w:t>
      </w:r>
      <w:r>
        <w:rPr>
          <w:rFonts w:ascii="Times New Roman" w:hAnsi="Times New Roman" w:eastAsia="Times New Roman" w:cs="Times New Roman"/>
          <w:spacing w:val="45"/>
          <w:sz w:val="20"/>
          <w:szCs w:val="20"/>
        </w:rPr>
        <w:t xml:space="preserve"> </w:t>
      </w:r>
      <w:r>
        <w:rPr>
          <w:rFonts w:ascii="Times New Roman" w:hAnsi="Times New Roman" w:eastAsia="Times New Roman" w:cs="Times New Roman"/>
          <w:spacing w:val="-1"/>
          <w:sz w:val="20"/>
          <w:szCs w:val="20"/>
        </w:rPr>
        <w:t>and</w:t>
      </w:r>
      <w:r>
        <w:rPr>
          <w:rFonts w:ascii="Times New Roman" w:hAnsi="Times New Roman" w:eastAsia="Times New Roman" w:cs="Times New Roman"/>
          <w:spacing w:val="44"/>
          <w:sz w:val="20"/>
          <w:szCs w:val="20"/>
        </w:rPr>
        <w:t xml:space="preserve"> </w:t>
      </w:r>
      <w:r>
        <w:rPr>
          <w:rFonts w:ascii="Times New Roman" w:hAnsi="Times New Roman" w:eastAsia="Times New Roman" w:cs="Times New Roman"/>
          <w:spacing w:val="-1"/>
          <w:sz w:val="20"/>
          <w:szCs w:val="20"/>
        </w:rPr>
        <w:t>control</w:t>
      </w:r>
      <w:r>
        <w:rPr>
          <w:rFonts w:ascii="Times New Roman" w:hAnsi="Times New Roman" w:eastAsia="Times New Roman" w:cs="Times New Roman"/>
          <w:spacing w:val="45"/>
          <w:sz w:val="20"/>
          <w:szCs w:val="20"/>
        </w:rPr>
        <w:t xml:space="preserve"> </w:t>
      </w:r>
      <w:r>
        <w:rPr>
          <w:rFonts w:ascii="Times New Roman" w:hAnsi="Times New Roman" w:eastAsia="Times New Roman" w:cs="Times New Roman"/>
          <w:spacing w:val="-1"/>
          <w:sz w:val="20"/>
          <w:szCs w:val="20"/>
        </w:rPr>
        <w:t>are</w:t>
      </w:r>
      <w:r>
        <w:rPr>
          <w:rFonts w:ascii="Times New Roman" w:hAnsi="Times New Roman" w:eastAsia="Times New Roman" w:cs="Times New Roman"/>
          <w:sz w:val="20"/>
          <w:szCs w:val="20"/>
        </w:rPr>
        <w:t xml:space="preserve"> </w:t>
      </w:r>
      <w:r>
        <w:rPr>
          <w:rFonts w:ascii="Times New Roman" w:hAnsi="Times New Roman" w:eastAsia="Times New Roman" w:cs="Times New Roman"/>
          <w:spacing w:val="-1"/>
          <w:sz w:val="20"/>
          <w:szCs w:val="20"/>
        </w:rPr>
        <w:t>introduced.</w:t>
      </w:r>
    </w:p>
    <w:p w14:paraId="648F7D5C">
      <w:pPr>
        <w:spacing w:line="363" w:lineRule="auto"/>
        <w:rPr>
          <w:rFonts w:ascii="Arial"/>
          <w:sz w:val="21"/>
        </w:rPr>
      </w:pPr>
    </w:p>
    <w:p w14:paraId="3EDA83C6">
      <w:pPr>
        <w:spacing w:before="65" w:line="339" w:lineRule="auto"/>
        <w:ind w:left="709" w:right="59" w:firstLine="410"/>
        <w:jc w:val="both"/>
        <w:rPr>
          <w:rFonts w:ascii="宋体" w:hAnsi="宋体" w:eastAsia="宋体" w:cs="宋体"/>
          <w:sz w:val="20"/>
          <w:szCs w:val="20"/>
        </w:rPr>
      </w:pPr>
      <w:r>
        <w:rPr>
          <w:rFonts w:ascii="宋体" w:hAnsi="宋体" w:eastAsia="宋体" w:cs="宋体"/>
          <w:spacing w:val="8"/>
          <w:sz w:val="20"/>
          <w:szCs w:val="20"/>
        </w:rPr>
        <w:t>伤害是一个全球性公共卫生问题，对所有国家和地区的各年龄组人群都构成了威胁。伤害是</w:t>
      </w:r>
      <w:r>
        <w:rPr>
          <w:rFonts w:ascii="宋体" w:hAnsi="宋体" w:eastAsia="宋体" w:cs="宋体"/>
          <w:sz w:val="20"/>
          <w:szCs w:val="20"/>
        </w:rPr>
        <w:t xml:space="preserve"> </w:t>
      </w:r>
      <w:r>
        <w:rPr>
          <w:rFonts w:ascii="宋体" w:hAnsi="宋体" w:eastAsia="宋体" w:cs="宋体"/>
          <w:spacing w:val="-2"/>
          <w:sz w:val="20"/>
          <w:szCs w:val="20"/>
        </w:rPr>
        <w:t>导致过早死亡和残疾的重要因素。</w:t>
      </w:r>
      <w:r>
        <w:rPr>
          <w:rFonts w:ascii="宋体" w:hAnsi="宋体" w:eastAsia="宋体" w:cs="宋体"/>
          <w:spacing w:val="-37"/>
          <w:sz w:val="20"/>
          <w:szCs w:val="20"/>
        </w:rPr>
        <w:t xml:space="preserve"> </w:t>
      </w:r>
      <w:r>
        <w:rPr>
          <w:rFonts w:ascii="Times New Roman" w:hAnsi="Times New Roman" w:eastAsia="Times New Roman" w:cs="Times New Roman"/>
          <w:spacing w:val="-2"/>
          <w:sz w:val="20"/>
          <w:szCs w:val="20"/>
        </w:rPr>
        <w:t xml:space="preserve">WHO </w:t>
      </w:r>
      <w:r>
        <w:rPr>
          <w:rFonts w:ascii="宋体" w:hAnsi="宋体" w:eastAsia="宋体" w:cs="宋体"/>
          <w:spacing w:val="-2"/>
          <w:sz w:val="20"/>
          <w:szCs w:val="20"/>
        </w:rPr>
        <w:t>发布的最新报告《预防伤害与暴力：概述》中显示，2019年</w:t>
      </w:r>
      <w:r>
        <w:rPr>
          <w:rFonts w:ascii="宋体" w:hAnsi="宋体" w:eastAsia="宋体" w:cs="宋体"/>
          <w:sz w:val="20"/>
          <w:szCs w:val="20"/>
        </w:rPr>
        <w:t xml:space="preserve"> </w:t>
      </w:r>
      <w:r>
        <w:rPr>
          <w:rFonts w:ascii="宋体" w:hAnsi="宋体" w:eastAsia="宋体" w:cs="宋体"/>
          <w:spacing w:val="9"/>
          <w:sz w:val="20"/>
          <w:szCs w:val="20"/>
        </w:rPr>
        <w:t>全球有440万人因非故意伤害与暴力死亡，占总死亡人数的8%</w:t>
      </w:r>
      <w:r>
        <w:rPr>
          <w:rFonts w:ascii="宋体" w:hAnsi="宋体" w:eastAsia="宋体" w:cs="宋体"/>
          <w:spacing w:val="8"/>
          <w:sz w:val="20"/>
          <w:szCs w:val="20"/>
        </w:rPr>
        <w:t>。尤其对于5～29岁人群，前5位死</w:t>
      </w:r>
      <w:r>
        <w:rPr>
          <w:rFonts w:ascii="宋体" w:hAnsi="宋体" w:eastAsia="宋体" w:cs="宋体"/>
          <w:sz w:val="20"/>
          <w:szCs w:val="20"/>
        </w:rPr>
        <w:t xml:space="preserve"> </w:t>
      </w:r>
      <w:r>
        <w:rPr>
          <w:rFonts w:ascii="宋体" w:hAnsi="宋体" w:eastAsia="宋体" w:cs="宋体"/>
          <w:spacing w:val="4"/>
          <w:sz w:val="20"/>
          <w:szCs w:val="20"/>
        </w:rPr>
        <w:t>因中有3项与伤害有关，即道路交通伤害、人际暴力和自伤。此外，有超过68.4万人死于跌倒。预</w:t>
      </w:r>
      <w:r>
        <w:rPr>
          <w:rFonts w:ascii="宋体" w:hAnsi="宋体" w:eastAsia="宋体" w:cs="宋体"/>
          <w:spacing w:val="17"/>
          <w:sz w:val="20"/>
          <w:szCs w:val="20"/>
        </w:rPr>
        <w:t xml:space="preserve"> </w:t>
      </w:r>
      <w:r>
        <w:rPr>
          <w:rFonts w:ascii="宋体" w:hAnsi="宋体" w:eastAsia="宋体" w:cs="宋体"/>
          <w:spacing w:val="11"/>
          <w:sz w:val="20"/>
          <w:szCs w:val="20"/>
        </w:rPr>
        <w:t>计到2050年，跌倒将从2022年的死因第18位跃居第12</w:t>
      </w:r>
      <w:r>
        <w:rPr>
          <w:rFonts w:ascii="宋体" w:hAnsi="宋体" w:eastAsia="宋体" w:cs="宋体"/>
          <w:spacing w:val="10"/>
          <w:sz w:val="20"/>
          <w:szCs w:val="20"/>
        </w:rPr>
        <w:t>位，成为一个日益严重但尚未得到充分认</w:t>
      </w:r>
      <w:r>
        <w:rPr>
          <w:rFonts w:ascii="宋体" w:hAnsi="宋体" w:eastAsia="宋体" w:cs="宋体"/>
          <w:sz w:val="20"/>
          <w:szCs w:val="20"/>
        </w:rPr>
        <w:t xml:space="preserve"> </w:t>
      </w:r>
      <w:r>
        <w:rPr>
          <w:rFonts w:ascii="宋体" w:hAnsi="宋体" w:eastAsia="宋体" w:cs="宋体"/>
          <w:spacing w:val="2"/>
          <w:sz w:val="20"/>
          <w:szCs w:val="20"/>
        </w:rPr>
        <w:t>识的公共卫生问题。与此同时，伤害导致的医疗、康复以及残疾或功能丧失会产生巨额花费，给社</w:t>
      </w:r>
      <w:r>
        <w:rPr>
          <w:rFonts w:ascii="宋体" w:hAnsi="宋体" w:eastAsia="宋体" w:cs="宋体"/>
          <w:spacing w:val="11"/>
          <w:sz w:val="20"/>
          <w:szCs w:val="20"/>
        </w:rPr>
        <w:t xml:space="preserve"> </w:t>
      </w:r>
      <w:r>
        <w:rPr>
          <w:rFonts w:ascii="宋体" w:hAnsi="宋体" w:eastAsia="宋体" w:cs="宋体"/>
          <w:spacing w:val="2"/>
          <w:sz w:val="20"/>
          <w:szCs w:val="20"/>
        </w:rPr>
        <w:t>会经济、家庭和个人造成不可估量的损失。伤害与传染性疾病、慢性非传染性疾病一起构成了危害</w:t>
      </w:r>
      <w:r>
        <w:rPr>
          <w:rFonts w:ascii="宋体" w:hAnsi="宋体" w:eastAsia="宋体" w:cs="宋体"/>
          <w:spacing w:val="16"/>
          <w:sz w:val="20"/>
          <w:szCs w:val="20"/>
        </w:rPr>
        <w:t xml:space="preserve"> </w:t>
      </w:r>
      <w:r>
        <w:rPr>
          <w:rFonts w:ascii="宋体" w:hAnsi="宋体" w:eastAsia="宋体" w:cs="宋体"/>
          <w:spacing w:val="2"/>
          <w:sz w:val="20"/>
          <w:szCs w:val="20"/>
        </w:rPr>
        <w:t>人类健康的三大健康问题，其预防与控制越来越受到世界各国</w:t>
      </w:r>
      <w:r>
        <w:rPr>
          <w:rFonts w:ascii="宋体" w:hAnsi="宋体" w:eastAsia="宋体" w:cs="宋体"/>
          <w:spacing w:val="1"/>
          <w:sz w:val="20"/>
          <w:szCs w:val="20"/>
        </w:rPr>
        <w:t>的重视。</w:t>
      </w:r>
    </w:p>
    <w:p w14:paraId="75717ED2">
      <w:pPr>
        <w:spacing w:before="2" w:line="347" w:lineRule="auto"/>
        <w:ind w:left="709" w:firstLine="410"/>
        <w:jc w:val="both"/>
        <w:rPr>
          <w:rFonts w:ascii="宋体" w:hAnsi="宋体" w:eastAsia="宋体" w:cs="宋体"/>
          <w:sz w:val="20"/>
          <w:szCs w:val="20"/>
        </w:rPr>
      </w:pPr>
      <w:r>
        <w:rPr>
          <w:rFonts w:ascii="宋体" w:hAnsi="宋体" w:eastAsia="宋体" w:cs="宋体"/>
          <w:spacing w:val="4"/>
          <w:sz w:val="20"/>
          <w:szCs w:val="20"/>
        </w:rPr>
        <w:t>伤害流行病学</w:t>
      </w:r>
      <w:r>
        <w:rPr>
          <w:rFonts w:ascii="Times New Roman" w:hAnsi="Times New Roman" w:eastAsia="Times New Roman" w:cs="Times New Roman"/>
          <w:spacing w:val="4"/>
          <w:sz w:val="20"/>
          <w:szCs w:val="20"/>
        </w:rPr>
        <w:t>(</w:t>
      </w:r>
      <w:r>
        <w:rPr>
          <w:rFonts w:ascii="Times New Roman" w:hAnsi="Times New Roman" w:eastAsia="Times New Roman" w:cs="Times New Roman"/>
          <w:sz w:val="20"/>
          <w:szCs w:val="20"/>
        </w:rPr>
        <w:t>injury</w:t>
      </w:r>
      <w:r>
        <w:rPr>
          <w:rFonts w:ascii="Times New Roman" w:hAnsi="Times New Roman" w:eastAsia="Times New Roman" w:cs="Times New Roman"/>
          <w:spacing w:val="22"/>
          <w:w w:val="101"/>
          <w:sz w:val="20"/>
          <w:szCs w:val="20"/>
        </w:rPr>
        <w:t xml:space="preserve">  </w:t>
      </w:r>
      <w:r>
        <w:rPr>
          <w:rFonts w:ascii="Times New Roman" w:hAnsi="Times New Roman" w:eastAsia="Times New Roman" w:cs="Times New Roman"/>
          <w:sz w:val="20"/>
          <w:szCs w:val="20"/>
        </w:rPr>
        <w:t>epidemiology</w:t>
      </w:r>
      <w:r>
        <w:rPr>
          <w:rFonts w:ascii="Times New Roman" w:hAnsi="Times New Roman" w:eastAsia="Times New Roman" w:cs="Times New Roman"/>
          <w:spacing w:val="4"/>
          <w:sz w:val="20"/>
          <w:szCs w:val="20"/>
        </w:rPr>
        <w:t>)</w:t>
      </w:r>
      <w:r>
        <w:rPr>
          <w:rFonts w:ascii="宋体" w:hAnsi="宋体" w:eastAsia="宋体" w:cs="宋体"/>
          <w:spacing w:val="4"/>
          <w:sz w:val="20"/>
          <w:szCs w:val="20"/>
        </w:rPr>
        <w:t>是运用流行病学原理和方法描</w:t>
      </w:r>
      <w:r>
        <w:rPr>
          <w:rFonts w:ascii="宋体" w:hAnsi="宋体" w:eastAsia="宋体" w:cs="宋体"/>
          <w:spacing w:val="3"/>
          <w:sz w:val="20"/>
          <w:szCs w:val="20"/>
        </w:rPr>
        <w:t>述伤害的发生频率及其分布，</w:t>
      </w:r>
      <w:r>
        <w:rPr>
          <w:rFonts w:ascii="宋体" w:hAnsi="宋体" w:eastAsia="宋体" w:cs="宋体"/>
          <w:sz w:val="20"/>
          <w:szCs w:val="20"/>
        </w:rPr>
        <w:t xml:space="preserve"> </w:t>
      </w:r>
      <w:r>
        <w:rPr>
          <w:rFonts w:ascii="宋体" w:hAnsi="宋体" w:eastAsia="宋体" w:cs="宋体"/>
          <w:spacing w:val="3"/>
          <w:sz w:val="20"/>
          <w:szCs w:val="20"/>
        </w:rPr>
        <w:t>分析伤害发生的原因及危险因素，提出干预和防制措施，并对措施效果进行评价的一门流行病</w:t>
      </w:r>
      <w:r>
        <w:rPr>
          <w:rFonts w:ascii="宋体" w:hAnsi="宋体" w:eastAsia="宋体" w:cs="宋体"/>
          <w:spacing w:val="2"/>
          <w:sz w:val="20"/>
          <w:szCs w:val="20"/>
        </w:rPr>
        <w:t>学分</w:t>
      </w:r>
      <w:r>
        <w:rPr>
          <w:rFonts w:ascii="宋体" w:hAnsi="宋体" w:eastAsia="宋体" w:cs="宋体"/>
          <w:sz w:val="20"/>
          <w:szCs w:val="20"/>
        </w:rPr>
        <w:t xml:space="preserve"> </w:t>
      </w:r>
      <w:r>
        <w:rPr>
          <w:rFonts w:ascii="宋体" w:hAnsi="宋体" w:eastAsia="宋体" w:cs="宋体"/>
          <w:spacing w:val="3"/>
          <w:sz w:val="20"/>
          <w:szCs w:val="20"/>
        </w:rPr>
        <w:t>支学科。其主要目的是确定伤害的重点类型</w:t>
      </w:r>
      <w:r>
        <w:rPr>
          <w:rFonts w:ascii="宋体" w:hAnsi="宋体" w:eastAsia="宋体" w:cs="宋体"/>
          <w:spacing w:val="2"/>
          <w:sz w:val="20"/>
          <w:szCs w:val="20"/>
        </w:rPr>
        <w:t>，阐明其分布，探讨伤害的危险因素，制定防制策略与</w:t>
      </w:r>
      <w:r>
        <w:rPr>
          <w:rFonts w:ascii="宋体" w:hAnsi="宋体" w:eastAsia="宋体" w:cs="宋体"/>
          <w:sz w:val="20"/>
          <w:szCs w:val="20"/>
        </w:rPr>
        <w:t xml:space="preserve">  </w:t>
      </w:r>
      <w:r>
        <w:rPr>
          <w:rFonts w:ascii="宋体" w:hAnsi="宋体" w:eastAsia="宋体" w:cs="宋体"/>
          <w:spacing w:val="-4"/>
          <w:sz w:val="20"/>
          <w:szCs w:val="20"/>
        </w:rPr>
        <w:t>措施，并评价其效果。</w:t>
      </w:r>
    </w:p>
    <w:p w14:paraId="6E65DB2D">
      <w:pPr>
        <w:spacing w:line="387" w:lineRule="auto"/>
        <w:rPr>
          <w:rFonts w:ascii="Arial"/>
          <w:sz w:val="21"/>
        </w:rPr>
      </w:pPr>
    </w:p>
    <w:p w14:paraId="1C2F1992">
      <w:pPr>
        <w:pStyle w:val="2"/>
        <w:spacing w:before="94" w:line="221" w:lineRule="auto"/>
        <w:ind w:left="4094"/>
        <w:outlineLvl w:val="1"/>
        <w:rPr>
          <w:sz w:val="29"/>
          <w:szCs w:val="29"/>
        </w:rPr>
      </w:pPr>
      <w:bookmarkStart w:id="387" w:name="bookmark245"/>
      <w:bookmarkEnd w:id="387"/>
      <w:r>
        <w:rPr>
          <w:b/>
          <w:bCs/>
          <w:spacing w:val="-1"/>
          <w:sz w:val="29"/>
          <w:szCs w:val="29"/>
        </w:rPr>
        <w:t>第一节</w:t>
      </w:r>
      <w:r>
        <w:rPr>
          <w:spacing w:val="125"/>
          <w:sz w:val="29"/>
          <w:szCs w:val="29"/>
        </w:rPr>
        <w:t xml:space="preserve"> </w:t>
      </w:r>
      <w:r>
        <w:rPr>
          <w:b/>
          <w:bCs/>
          <w:spacing w:val="-1"/>
          <w:sz w:val="29"/>
          <w:szCs w:val="29"/>
        </w:rPr>
        <w:t>概</w:t>
      </w:r>
      <w:r>
        <w:rPr>
          <w:spacing w:val="-1"/>
          <w:sz w:val="29"/>
          <w:szCs w:val="29"/>
        </w:rPr>
        <w:t xml:space="preserve">  </w:t>
      </w:r>
      <w:r>
        <w:rPr>
          <w:b/>
          <w:bCs/>
          <w:spacing w:val="-1"/>
          <w:sz w:val="29"/>
          <w:szCs w:val="29"/>
        </w:rPr>
        <w:t>述</w:t>
      </w:r>
    </w:p>
    <w:p w14:paraId="7D1353BC">
      <w:pPr>
        <w:spacing w:line="361" w:lineRule="auto"/>
        <w:rPr>
          <w:rFonts w:ascii="Arial"/>
          <w:sz w:val="21"/>
        </w:rPr>
      </w:pPr>
    </w:p>
    <w:p w14:paraId="14783AD1">
      <w:pPr>
        <w:pStyle w:val="2"/>
        <w:spacing w:before="82" w:line="223" w:lineRule="auto"/>
        <w:ind w:left="1183"/>
        <w:outlineLvl w:val="4"/>
        <w:rPr>
          <w:sz w:val="25"/>
          <w:szCs w:val="25"/>
        </w:rPr>
      </w:pPr>
      <w:bookmarkStart w:id="388" w:name="bookmark246"/>
      <w:bookmarkEnd w:id="388"/>
      <w:r>
        <w:rPr>
          <w:b/>
          <w:bCs/>
          <w:spacing w:val="-8"/>
          <w:sz w:val="25"/>
          <w:szCs w:val="25"/>
        </w:rPr>
        <w:t>一、伤害的定义</w:t>
      </w:r>
    </w:p>
    <w:p w14:paraId="40C72B42">
      <w:pPr>
        <w:spacing w:before="268" w:line="343" w:lineRule="auto"/>
        <w:ind w:left="709" w:right="55" w:firstLine="410"/>
        <w:jc w:val="both"/>
        <w:rPr>
          <w:rFonts w:ascii="宋体" w:hAnsi="宋体" w:eastAsia="宋体" w:cs="宋体"/>
          <w:sz w:val="20"/>
          <w:szCs w:val="20"/>
        </w:rPr>
      </w:pPr>
      <w:r>
        <w:rPr>
          <w:rFonts w:ascii="宋体" w:hAnsi="宋体" w:eastAsia="宋体" w:cs="宋体"/>
          <w:spacing w:val="-4"/>
          <w:sz w:val="20"/>
          <w:szCs w:val="20"/>
        </w:rPr>
        <w:t>长期以来，“伤害”只是作为“意外”</w:t>
      </w:r>
      <w:r>
        <w:rPr>
          <w:rFonts w:ascii="Times New Roman" w:hAnsi="Times New Roman" w:eastAsia="Times New Roman" w:cs="Times New Roman"/>
          <w:spacing w:val="-4"/>
          <w:sz w:val="20"/>
          <w:szCs w:val="20"/>
        </w:rPr>
        <w:t>(accide</w:t>
      </w:r>
      <w:r>
        <w:rPr>
          <w:rFonts w:ascii="Times New Roman" w:hAnsi="Times New Roman" w:eastAsia="Times New Roman" w:cs="Times New Roman"/>
          <w:spacing w:val="-5"/>
          <w:sz w:val="20"/>
          <w:szCs w:val="20"/>
        </w:rPr>
        <w:t xml:space="preserve">nt)   </w:t>
      </w:r>
      <w:r>
        <w:rPr>
          <w:rFonts w:ascii="宋体" w:hAnsi="宋体" w:eastAsia="宋体" w:cs="宋体"/>
          <w:spacing w:val="-5"/>
          <w:sz w:val="20"/>
          <w:szCs w:val="20"/>
        </w:rPr>
        <w:t>或其结果之一加以研究。所谓“意外”是指突然</w:t>
      </w:r>
      <w:r>
        <w:rPr>
          <w:rFonts w:ascii="宋体" w:hAnsi="宋体" w:eastAsia="宋体" w:cs="宋体"/>
          <w:sz w:val="20"/>
          <w:szCs w:val="20"/>
        </w:rPr>
        <w:t xml:space="preserve"> </w:t>
      </w:r>
      <w:r>
        <w:rPr>
          <w:rFonts w:ascii="宋体" w:hAnsi="宋体" w:eastAsia="宋体" w:cs="宋体"/>
          <w:spacing w:val="-2"/>
          <w:sz w:val="20"/>
          <w:szCs w:val="20"/>
        </w:rPr>
        <w:t>发生的偶然事件，含有始料不及、不可抗拒且不可能预防之意。</w:t>
      </w:r>
      <w:r>
        <w:rPr>
          <w:rFonts w:ascii="宋体" w:hAnsi="宋体" w:eastAsia="宋体" w:cs="宋体"/>
          <w:spacing w:val="-3"/>
          <w:sz w:val="20"/>
          <w:szCs w:val="20"/>
        </w:rPr>
        <w:t>然而对众多“意外”如交通伤害、跌</w:t>
      </w:r>
      <w:r>
        <w:rPr>
          <w:rFonts w:ascii="宋体" w:hAnsi="宋体" w:eastAsia="宋体" w:cs="宋体"/>
          <w:sz w:val="20"/>
          <w:szCs w:val="20"/>
        </w:rPr>
        <w:t xml:space="preserve"> </w:t>
      </w:r>
      <w:r>
        <w:rPr>
          <w:rFonts w:ascii="宋体" w:hAnsi="宋体" w:eastAsia="宋体" w:cs="宋体"/>
          <w:spacing w:val="-1"/>
          <w:sz w:val="20"/>
          <w:szCs w:val="20"/>
        </w:rPr>
        <w:t>倒等的研究表明，这些“意外”均是可防可控的。显然，</w:t>
      </w:r>
      <w:r>
        <w:rPr>
          <w:rFonts w:ascii="宋体" w:hAnsi="宋体" w:eastAsia="宋体" w:cs="宋体"/>
          <w:spacing w:val="-2"/>
          <w:sz w:val="20"/>
          <w:szCs w:val="20"/>
        </w:rPr>
        <w:t>伤害并非“意外”。因此，1996年在澳大利</w:t>
      </w:r>
      <w:r>
        <w:rPr>
          <w:rFonts w:ascii="宋体" w:hAnsi="宋体" w:eastAsia="宋体" w:cs="宋体"/>
          <w:sz w:val="20"/>
          <w:szCs w:val="20"/>
        </w:rPr>
        <w:t xml:space="preserve"> </w:t>
      </w:r>
      <w:r>
        <w:rPr>
          <w:rFonts w:ascii="宋体" w:hAnsi="宋体" w:eastAsia="宋体" w:cs="宋体"/>
          <w:spacing w:val="6"/>
          <w:sz w:val="20"/>
          <w:szCs w:val="20"/>
        </w:rPr>
        <w:t>亚墨尔本召开的第3届国际学术会议名称由原来的“世界意外和伤害预防大会”</w:t>
      </w:r>
      <w:r>
        <w:rPr>
          <w:rFonts w:ascii="Times New Roman" w:hAnsi="Times New Roman" w:eastAsia="Times New Roman" w:cs="Times New Roman"/>
          <w:spacing w:val="5"/>
          <w:sz w:val="20"/>
          <w:szCs w:val="20"/>
        </w:rPr>
        <w:t>(</w:t>
      </w:r>
      <w:r>
        <w:rPr>
          <w:rFonts w:ascii="Times New Roman" w:hAnsi="Times New Roman" w:eastAsia="Times New Roman" w:cs="Times New Roman"/>
          <w:sz w:val="20"/>
          <w:szCs w:val="20"/>
        </w:rPr>
        <w:t>World</w:t>
      </w:r>
      <w:r>
        <w:rPr>
          <w:rFonts w:ascii="Times New Roman" w:hAnsi="Times New Roman" w:eastAsia="Times New Roman" w:cs="Times New Roman"/>
          <w:spacing w:val="5"/>
          <w:sz w:val="20"/>
          <w:szCs w:val="20"/>
        </w:rPr>
        <w:t xml:space="preserve">  </w:t>
      </w:r>
      <w:r>
        <w:rPr>
          <w:rFonts w:ascii="Times New Roman" w:hAnsi="Times New Roman" w:eastAsia="Times New Roman" w:cs="Times New Roman"/>
          <w:sz w:val="20"/>
          <w:szCs w:val="20"/>
        </w:rPr>
        <w:t xml:space="preserve">Conference </w:t>
      </w:r>
      <w:r>
        <w:rPr>
          <w:rFonts w:ascii="Times New Roman" w:hAnsi="Times New Roman" w:eastAsia="Times New Roman" w:cs="Times New Roman"/>
          <w:spacing w:val="-2"/>
          <w:sz w:val="20"/>
          <w:szCs w:val="20"/>
        </w:rPr>
        <w:t>on</w:t>
      </w:r>
      <w:r>
        <w:rPr>
          <w:rFonts w:ascii="Times New Roman" w:hAnsi="Times New Roman" w:eastAsia="Times New Roman" w:cs="Times New Roman"/>
          <w:spacing w:val="32"/>
          <w:w w:val="101"/>
          <w:sz w:val="20"/>
          <w:szCs w:val="20"/>
        </w:rPr>
        <w:t xml:space="preserve"> </w:t>
      </w:r>
      <w:r>
        <w:rPr>
          <w:rFonts w:ascii="Times New Roman" w:hAnsi="Times New Roman" w:eastAsia="Times New Roman" w:cs="Times New Roman"/>
          <w:spacing w:val="-2"/>
          <w:sz w:val="20"/>
          <w:szCs w:val="20"/>
        </w:rPr>
        <w:t>Accident</w:t>
      </w:r>
      <w:r>
        <w:rPr>
          <w:rFonts w:ascii="Times New Roman" w:hAnsi="Times New Roman" w:eastAsia="Times New Roman" w:cs="Times New Roman"/>
          <w:spacing w:val="38"/>
          <w:sz w:val="20"/>
          <w:szCs w:val="20"/>
        </w:rPr>
        <w:t xml:space="preserve"> </w:t>
      </w:r>
      <w:r>
        <w:rPr>
          <w:rFonts w:ascii="Times New Roman" w:hAnsi="Times New Roman" w:eastAsia="Times New Roman" w:cs="Times New Roman"/>
          <w:spacing w:val="-2"/>
          <w:sz w:val="20"/>
          <w:szCs w:val="20"/>
        </w:rPr>
        <w:t>and</w:t>
      </w:r>
      <w:r>
        <w:rPr>
          <w:rFonts w:ascii="Times New Roman" w:hAnsi="Times New Roman" w:eastAsia="Times New Roman" w:cs="Times New Roman"/>
          <w:spacing w:val="36"/>
          <w:sz w:val="20"/>
          <w:szCs w:val="20"/>
        </w:rPr>
        <w:t xml:space="preserve"> </w:t>
      </w:r>
      <w:r>
        <w:rPr>
          <w:rFonts w:ascii="Times New Roman" w:hAnsi="Times New Roman" w:eastAsia="Times New Roman" w:cs="Times New Roman"/>
          <w:spacing w:val="-2"/>
          <w:sz w:val="20"/>
          <w:szCs w:val="20"/>
        </w:rPr>
        <w:t>Injury</w:t>
      </w:r>
      <w:r>
        <w:rPr>
          <w:rFonts w:ascii="Times New Roman" w:hAnsi="Times New Roman" w:eastAsia="Times New Roman" w:cs="Times New Roman"/>
          <w:spacing w:val="34"/>
          <w:w w:val="101"/>
          <w:sz w:val="20"/>
          <w:szCs w:val="20"/>
        </w:rPr>
        <w:t xml:space="preserve"> </w:t>
      </w:r>
      <w:r>
        <w:rPr>
          <w:rFonts w:ascii="Times New Roman" w:hAnsi="Times New Roman" w:eastAsia="Times New Roman" w:cs="Times New Roman"/>
          <w:spacing w:val="-2"/>
          <w:sz w:val="20"/>
          <w:szCs w:val="20"/>
        </w:rPr>
        <w:t>Prevention)</w:t>
      </w:r>
      <w:r>
        <w:rPr>
          <w:rFonts w:ascii="宋体" w:hAnsi="宋体" w:eastAsia="宋体" w:cs="宋体"/>
          <w:spacing w:val="-2"/>
          <w:sz w:val="20"/>
          <w:szCs w:val="20"/>
        </w:rPr>
        <w:t>改为“世界伤害预防与控制大会”</w:t>
      </w:r>
      <w:r>
        <w:rPr>
          <w:rFonts w:ascii="Times New Roman" w:hAnsi="Times New Roman" w:eastAsia="Times New Roman" w:cs="Times New Roman"/>
          <w:spacing w:val="-2"/>
          <w:sz w:val="20"/>
          <w:szCs w:val="20"/>
        </w:rPr>
        <w:t>(International</w:t>
      </w:r>
      <w:r>
        <w:rPr>
          <w:rFonts w:ascii="Times New Roman" w:hAnsi="Times New Roman" w:eastAsia="Times New Roman" w:cs="Times New Roman"/>
          <w:spacing w:val="18"/>
          <w:sz w:val="20"/>
          <w:szCs w:val="20"/>
        </w:rPr>
        <w:t xml:space="preserve"> </w:t>
      </w:r>
      <w:r>
        <w:rPr>
          <w:rFonts w:ascii="Times New Roman" w:hAnsi="Times New Roman" w:eastAsia="Times New Roman" w:cs="Times New Roman"/>
          <w:spacing w:val="-2"/>
          <w:sz w:val="20"/>
          <w:szCs w:val="20"/>
        </w:rPr>
        <w:t>Conference</w:t>
      </w:r>
      <w:r>
        <w:rPr>
          <w:rFonts w:ascii="Times New Roman" w:hAnsi="Times New Roman" w:eastAsia="Times New Roman" w:cs="Times New Roman"/>
          <w:spacing w:val="17"/>
          <w:w w:val="101"/>
          <w:sz w:val="20"/>
          <w:szCs w:val="20"/>
        </w:rPr>
        <w:t xml:space="preserve"> </w:t>
      </w:r>
      <w:r>
        <w:rPr>
          <w:rFonts w:ascii="Times New Roman" w:hAnsi="Times New Roman" w:eastAsia="Times New Roman" w:cs="Times New Roman"/>
          <w:spacing w:val="-2"/>
          <w:sz w:val="20"/>
          <w:szCs w:val="20"/>
        </w:rPr>
        <w:t>on</w:t>
      </w:r>
      <w:r>
        <w:rPr>
          <w:rFonts w:ascii="Times New Roman" w:hAnsi="Times New Roman" w:eastAsia="Times New Roman" w:cs="Times New Roman"/>
          <w:spacing w:val="16"/>
          <w:sz w:val="20"/>
          <w:szCs w:val="20"/>
        </w:rPr>
        <w:t xml:space="preserve"> </w:t>
      </w:r>
      <w:r>
        <w:rPr>
          <w:rFonts w:ascii="Times New Roman" w:hAnsi="Times New Roman" w:eastAsia="Times New Roman" w:cs="Times New Roman"/>
          <w:spacing w:val="-2"/>
          <w:sz w:val="20"/>
          <w:szCs w:val="20"/>
        </w:rPr>
        <w:t>Injury</w:t>
      </w:r>
      <w:r>
        <w:rPr>
          <w:rFonts w:ascii="Times New Roman" w:hAnsi="Times New Roman" w:eastAsia="Times New Roman" w:cs="Times New Roman"/>
          <w:sz w:val="20"/>
          <w:szCs w:val="20"/>
        </w:rPr>
        <w:t xml:space="preserve"> </w:t>
      </w:r>
      <w:r>
        <w:rPr>
          <w:rFonts w:ascii="宋体" w:hAnsi="宋体" w:eastAsia="宋体" w:cs="宋体"/>
          <w:spacing w:val="-12"/>
          <w:sz w:val="20"/>
          <w:szCs w:val="20"/>
        </w:rPr>
        <w:t>Prevention and Control),并建议各国统一采用“伤害”一词代替“意外”。</w:t>
      </w:r>
    </w:p>
    <w:p w14:paraId="63D09DCC">
      <w:pPr>
        <w:spacing w:before="28" w:line="212" w:lineRule="auto"/>
        <w:ind w:left="1120"/>
        <w:rPr>
          <w:rFonts w:ascii="宋体" w:hAnsi="宋体" w:eastAsia="宋体" w:cs="宋体"/>
          <w:sz w:val="20"/>
          <w:szCs w:val="20"/>
        </w:rPr>
      </w:pPr>
      <w:r>
        <w:rPr>
          <w:rFonts w:ascii="宋体" w:hAnsi="宋体" w:eastAsia="宋体" w:cs="宋体"/>
          <w:sz w:val="20"/>
          <w:szCs w:val="20"/>
        </w:rPr>
        <w:t>伤</w:t>
      </w:r>
      <w:r>
        <w:rPr>
          <w:rFonts w:ascii="宋体" w:hAnsi="宋体" w:eastAsia="宋体" w:cs="宋体"/>
          <w:spacing w:val="-37"/>
          <w:sz w:val="20"/>
          <w:szCs w:val="20"/>
        </w:rPr>
        <w:t xml:space="preserve"> </w:t>
      </w:r>
      <w:r>
        <w:rPr>
          <w:rFonts w:ascii="宋体" w:hAnsi="宋体" w:eastAsia="宋体" w:cs="宋体"/>
          <w:sz w:val="20"/>
          <w:szCs w:val="20"/>
        </w:rPr>
        <w:t>害</w:t>
      </w:r>
      <w:r>
        <w:rPr>
          <w:rFonts w:ascii="Times New Roman" w:hAnsi="Times New Roman" w:eastAsia="Times New Roman" w:cs="Times New Roman"/>
          <w:sz w:val="20"/>
          <w:szCs w:val="20"/>
        </w:rPr>
        <w:t xml:space="preserve">(injury)  </w:t>
      </w:r>
      <w:r>
        <w:rPr>
          <w:rFonts w:ascii="宋体" w:hAnsi="宋体" w:eastAsia="宋体" w:cs="宋体"/>
          <w:sz w:val="20"/>
          <w:szCs w:val="20"/>
        </w:rPr>
        <w:t>来自拉丁语</w:t>
      </w:r>
      <w:r>
        <w:rPr>
          <w:rFonts w:ascii="Times New Roman" w:hAnsi="Times New Roman" w:eastAsia="Times New Roman" w:cs="Times New Roman"/>
          <w:sz w:val="20"/>
          <w:szCs w:val="20"/>
        </w:rPr>
        <w:t>injuris,</w:t>
      </w:r>
      <w:r>
        <w:rPr>
          <w:rFonts w:ascii="Times New Roman" w:hAnsi="Times New Roman" w:eastAsia="Times New Roman" w:cs="Times New Roman"/>
          <w:spacing w:val="25"/>
          <w:sz w:val="20"/>
          <w:szCs w:val="20"/>
        </w:rPr>
        <w:t xml:space="preserve"> </w:t>
      </w:r>
      <w:r>
        <w:rPr>
          <w:rFonts w:ascii="宋体" w:hAnsi="宋体" w:eastAsia="宋体" w:cs="宋体"/>
          <w:sz w:val="20"/>
          <w:szCs w:val="20"/>
        </w:rPr>
        <w:t>本意为“不正确</w:t>
      </w:r>
      <w:r>
        <w:rPr>
          <w:rFonts w:ascii="Times New Roman" w:hAnsi="Times New Roman" w:eastAsia="Times New Roman" w:cs="Times New Roman"/>
          <w:sz w:val="20"/>
          <w:szCs w:val="20"/>
        </w:rPr>
        <w:t>(not    right)”,</w:t>
      </w:r>
      <w:r>
        <w:rPr>
          <w:rFonts w:ascii="宋体" w:hAnsi="宋体" w:eastAsia="宋体" w:cs="宋体"/>
          <w:sz w:val="20"/>
          <w:szCs w:val="20"/>
        </w:rPr>
        <w:t>其含义为损伤、伤害或丧</w:t>
      </w:r>
      <w:r>
        <w:rPr>
          <w:rFonts w:ascii="宋体" w:hAnsi="宋体" w:eastAsia="宋体" w:cs="宋体"/>
          <w:spacing w:val="-1"/>
          <w:sz w:val="20"/>
          <w:szCs w:val="20"/>
        </w:rPr>
        <w:t>失。伤害</w:t>
      </w:r>
    </w:p>
    <w:p w14:paraId="59B9F872">
      <w:pPr>
        <w:spacing w:line="212" w:lineRule="auto"/>
        <w:rPr>
          <w:rFonts w:ascii="宋体" w:hAnsi="宋体" w:eastAsia="宋体" w:cs="宋体"/>
          <w:sz w:val="20"/>
          <w:szCs w:val="20"/>
        </w:rPr>
        <w:sectPr>
          <w:footerReference r:id="rId251" w:type="default"/>
          <w:pgSz w:w="11900" w:h="16820"/>
          <w:pgMar w:top="400" w:right="1540" w:bottom="829" w:left="860" w:header="0" w:footer="649" w:gutter="0"/>
          <w:cols w:space="720" w:num="1"/>
        </w:sectPr>
      </w:pPr>
    </w:p>
    <w:p w14:paraId="51E5FAB4">
      <w:pPr>
        <w:pStyle w:val="2"/>
        <w:spacing w:before="296" w:line="221" w:lineRule="auto"/>
        <w:ind w:left="7090"/>
        <w:rPr>
          <w:sz w:val="20"/>
          <w:szCs w:val="20"/>
        </w:rPr>
      </w:pPr>
      <w:bookmarkStart w:id="389" w:name="bookmark530"/>
      <w:bookmarkEnd w:id="389"/>
      <w:r>
        <w:rPr>
          <w:spacing w:val="-22"/>
          <w:sz w:val="20"/>
          <w:szCs w:val="20"/>
        </w:rPr>
        <w:t>第十五章 伤害流行病学</w:t>
      </w:r>
    </w:p>
    <w:p w14:paraId="6C0AC3E3">
      <w:pPr>
        <w:spacing w:line="265" w:lineRule="auto"/>
        <w:rPr>
          <w:rFonts w:ascii="Arial"/>
          <w:sz w:val="21"/>
        </w:rPr>
      </w:pPr>
    </w:p>
    <w:p w14:paraId="1EC1512A">
      <w:pPr>
        <w:spacing w:line="266" w:lineRule="auto"/>
        <w:rPr>
          <w:rFonts w:ascii="Arial"/>
          <w:sz w:val="21"/>
        </w:rPr>
      </w:pPr>
    </w:p>
    <w:p w14:paraId="5E04AE0F">
      <w:pPr>
        <w:spacing w:before="65" w:line="343" w:lineRule="auto"/>
        <w:ind w:right="618"/>
        <w:jc w:val="both"/>
        <w:rPr>
          <w:rFonts w:ascii="宋体" w:hAnsi="宋体" w:eastAsia="宋体" w:cs="宋体"/>
          <w:sz w:val="20"/>
          <w:szCs w:val="20"/>
        </w:rPr>
      </w:pPr>
      <w:r>
        <w:rPr>
          <w:rFonts w:ascii="宋体" w:hAnsi="宋体" w:eastAsia="宋体" w:cs="宋体"/>
          <w:spacing w:val="4"/>
          <w:sz w:val="20"/>
          <w:szCs w:val="20"/>
        </w:rPr>
        <w:t>既可以由传统意义上的“意外”事故(交通伤害、跌倒、烧烫伤等)引起(目前称之为非故意伤害),也</w:t>
      </w:r>
      <w:r>
        <w:rPr>
          <w:rFonts w:ascii="宋体" w:hAnsi="宋体" w:eastAsia="宋体" w:cs="宋体"/>
          <w:spacing w:val="16"/>
          <w:sz w:val="20"/>
          <w:szCs w:val="20"/>
        </w:rPr>
        <w:t xml:space="preserve"> </w:t>
      </w:r>
      <w:r>
        <w:rPr>
          <w:rFonts w:ascii="宋体" w:hAnsi="宋体" w:eastAsia="宋体" w:cs="宋体"/>
          <w:spacing w:val="7"/>
          <w:sz w:val="20"/>
          <w:szCs w:val="20"/>
        </w:rPr>
        <w:t>可以由一些蓄意的暴力行为事件(如谋杀、自杀、斗殴和虐待等)引起。伤害内涵的更迭和外延的拓</w:t>
      </w:r>
      <w:r>
        <w:rPr>
          <w:rFonts w:ascii="宋体" w:hAnsi="宋体" w:eastAsia="宋体" w:cs="宋体"/>
          <w:spacing w:val="11"/>
          <w:sz w:val="20"/>
          <w:szCs w:val="20"/>
        </w:rPr>
        <w:t xml:space="preserve"> </w:t>
      </w:r>
      <w:r>
        <w:rPr>
          <w:rFonts w:ascii="宋体" w:hAnsi="宋体" w:eastAsia="宋体" w:cs="宋体"/>
          <w:spacing w:val="3"/>
          <w:sz w:val="20"/>
          <w:szCs w:val="20"/>
        </w:rPr>
        <w:t xml:space="preserve">展不仅结束了长期以来学术界关于“意外”内涵不清、外延混乱的争论，更重要的是这一变化促使了 </w:t>
      </w:r>
      <w:r>
        <w:rPr>
          <w:rFonts w:ascii="宋体" w:hAnsi="宋体" w:eastAsia="宋体" w:cs="宋体"/>
          <w:spacing w:val="8"/>
          <w:sz w:val="20"/>
          <w:szCs w:val="20"/>
        </w:rPr>
        <w:t>伤害研究的多学科交叉融合，丰富了伤害的研究</w:t>
      </w:r>
      <w:r>
        <w:rPr>
          <w:rFonts w:ascii="宋体" w:hAnsi="宋体" w:eastAsia="宋体" w:cs="宋体"/>
          <w:spacing w:val="7"/>
          <w:sz w:val="20"/>
          <w:szCs w:val="20"/>
        </w:rPr>
        <w:t>内容和研究方法，并最终使伤害防制的公共卫生意</w:t>
      </w:r>
      <w:r>
        <w:rPr>
          <w:rFonts w:ascii="宋体" w:hAnsi="宋体" w:eastAsia="宋体" w:cs="宋体"/>
          <w:sz w:val="20"/>
          <w:szCs w:val="20"/>
        </w:rPr>
        <w:t xml:space="preserve"> </w:t>
      </w:r>
      <w:r>
        <w:rPr>
          <w:rFonts w:ascii="宋体" w:hAnsi="宋体" w:eastAsia="宋体" w:cs="宋体"/>
          <w:spacing w:val="13"/>
          <w:sz w:val="20"/>
          <w:szCs w:val="20"/>
        </w:rPr>
        <w:t>义被提到了一个新高度。</w:t>
      </w:r>
    </w:p>
    <w:p w14:paraId="4DA72332">
      <w:pPr>
        <w:spacing w:before="17" w:line="332" w:lineRule="auto"/>
        <w:ind w:right="628" w:firstLine="439"/>
        <w:jc w:val="both"/>
        <w:rPr>
          <w:rFonts w:ascii="宋体" w:hAnsi="宋体" w:eastAsia="宋体" w:cs="宋体"/>
          <w:sz w:val="20"/>
          <w:szCs w:val="20"/>
        </w:rPr>
      </w:pPr>
      <w:r>
        <w:rPr>
          <w:rFonts w:ascii="宋体" w:hAnsi="宋体" w:eastAsia="宋体" w:cs="宋体"/>
          <w:spacing w:val="12"/>
          <w:sz w:val="20"/>
          <w:szCs w:val="20"/>
        </w:rPr>
        <w:t>人们对客观事物认识的程度是在理论与实践的交互运动中不断丰富的，对伤害内涵和外延的</w:t>
      </w:r>
      <w:r>
        <w:rPr>
          <w:rFonts w:ascii="宋体" w:hAnsi="宋体" w:eastAsia="宋体" w:cs="宋体"/>
          <w:spacing w:val="4"/>
          <w:sz w:val="20"/>
          <w:szCs w:val="20"/>
        </w:rPr>
        <w:t xml:space="preserve"> </w:t>
      </w:r>
      <w:r>
        <w:rPr>
          <w:rFonts w:ascii="宋体" w:hAnsi="宋体" w:eastAsia="宋体" w:cs="宋体"/>
          <w:spacing w:val="11"/>
          <w:sz w:val="20"/>
          <w:szCs w:val="20"/>
        </w:rPr>
        <w:t>定义以及再定义也遵循着这样的规律。早在1949年，</w:t>
      </w:r>
      <w:r>
        <w:rPr>
          <w:rFonts w:ascii="Times New Roman" w:hAnsi="Times New Roman" w:eastAsia="Times New Roman" w:cs="Times New Roman"/>
          <w:sz w:val="20"/>
          <w:szCs w:val="20"/>
        </w:rPr>
        <w:t>John</w:t>
      </w:r>
      <w:r>
        <w:rPr>
          <w:rFonts w:ascii="Times New Roman" w:hAnsi="Times New Roman" w:eastAsia="Times New Roman" w:cs="Times New Roman"/>
          <w:spacing w:val="11"/>
          <w:sz w:val="20"/>
          <w:szCs w:val="20"/>
        </w:rPr>
        <w:t xml:space="preserve">  </w:t>
      </w:r>
      <w:r>
        <w:rPr>
          <w:rFonts w:ascii="Times New Roman" w:hAnsi="Times New Roman" w:eastAsia="Times New Roman" w:cs="Times New Roman"/>
          <w:sz w:val="20"/>
          <w:szCs w:val="20"/>
        </w:rPr>
        <w:t>Gordon</w:t>
      </w:r>
      <w:r>
        <w:rPr>
          <w:rFonts w:ascii="宋体" w:hAnsi="宋体" w:eastAsia="宋体" w:cs="宋体"/>
          <w:spacing w:val="10"/>
          <w:sz w:val="20"/>
          <w:szCs w:val="20"/>
        </w:rPr>
        <w:t>就认识到用于传染病研究与防制</w:t>
      </w:r>
      <w:r>
        <w:rPr>
          <w:rFonts w:ascii="宋体" w:hAnsi="宋体" w:eastAsia="宋体" w:cs="宋体"/>
          <w:sz w:val="20"/>
          <w:szCs w:val="20"/>
        </w:rPr>
        <w:t xml:space="preserve"> </w:t>
      </w:r>
      <w:r>
        <w:rPr>
          <w:rFonts w:ascii="宋体" w:hAnsi="宋体" w:eastAsia="宋体" w:cs="宋体"/>
          <w:spacing w:val="8"/>
          <w:sz w:val="20"/>
          <w:szCs w:val="20"/>
        </w:rPr>
        <w:t>的流行病学原理与方法同样适用于对“意外”伤害</w:t>
      </w:r>
      <w:r>
        <w:rPr>
          <w:rFonts w:ascii="宋体" w:hAnsi="宋体" w:eastAsia="宋体" w:cs="宋体"/>
          <w:spacing w:val="7"/>
          <w:sz w:val="20"/>
          <w:szCs w:val="20"/>
        </w:rPr>
        <w:t>的研究与防制。后来的学者便借用传染病流行病</w:t>
      </w:r>
      <w:r>
        <w:rPr>
          <w:rFonts w:ascii="宋体" w:hAnsi="宋体" w:eastAsia="宋体" w:cs="宋体"/>
          <w:sz w:val="20"/>
          <w:szCs w:val="20"/>
        </w:rPr>
        <w:t xml:space="preserve"> </w:t>
      </w:r>
      <w:r>
        <w:rPr>
          <w:rFonts w:ascii="宋体" w:hAnsi="宋体" w:eastAsia="宋体" w:cs="宋体"/>
          <w:spacing w:val="7"/>
          <w:sz w:val="20"/>
          <w:szCs w:val="20"/>
        </w:rPr>
        <w:t>学的理论，提炼出伤害的动因是能量交换，并认为当源自某一载体的能量交换超过机体组织的耐受</w:t>
      </w:r>
      <w:r>
        <w:rPr>
          <w:rFonts w:ascii="宋体" w:hAnsi="宋体" w:eastAsia="宋体" w:cs="宋体"/>
          <w:spacing w:val="16"/>
          <w:sz w:val="20"/>
          <w:szCs w:val="20"/>
        </w:rPr>
        <w:t xml:space="preserve"> </w:t>
      </w:r>
      <w:r>
        <w:rPr>
          <w:rFonts w:ascii="宋体" w:hAnsi="宋体" w:eastAsia="宋体" w:cs="宋体"/>
          <w:spacing w:val="12"/>
          <w:sz w:val="20"/>
          <w:szCs w:val="20"/>
        </w:rPr>
        <w:t>水平时即可导致伤害。这一认识是伤害定义的一个雏形。美国疾病预防控制中心</w:t>
      </w:r>
      <w:r>
        <w:rPr>
          <w:rFonts w:ascii="Times New Roman" w:hAnsi="Times New Roman" w:eastAsia="Times New Roman" w:cs="Times New Roman"/>
          <w:spacing w:val="12"/>
          <w:sz w:val="20"/>
          <w:szCs w:val="20"/>
        </w:rPr>
        <w:t>(</w:t>
      </w:r>
      <w:r>
        <w:rPr>
          <w:rFonts w:ascii="Times New Roman" w:hAnsi="Times New Roman" w:eastAsia="Times New Roman" w:cs="Times New Roman"/>
          <w:sz w:val="20"/>
          <w:szCs w:val="20"/>
        </w:rPr>
        <w:t>CDC</w:t>
      </w:r>
      <w:r>
        <w:rPr>
          <w:rFonts w:ascii="Times New Roman" w:hAnsi="Times New Roman" w:eastAsia="Times New Roman" w:cs="Times New Roman"/>
          <w:spacing w:val="12"/>
          <w:sz w:val="20"/>
          <w:szCs w:val="20"/>
        </w:rPr>
        <w:t>)</w:t>
      </w:r>
      <w:r>
        <w:rPr>
          <w:rFonts w:ascii="Times New Roman" w:hAnsi="Times New Roman" w:eastAsia="Times New Roman" w:cs="Times New Roman"/>
          <w:spacing w:val="35"/>
          <w:w w:val="101"/>
          <w:sz w:val="20"/>
          <w:szCs w:val="20"/>
        </w:rPr>
        <w:t xml:space="preserve"> </w:t>
      </w:r>
      <w:r>
        <w:rPr>
          <w:rFonts w:ascii="宋体" w:hAnsi="宋体" w:eastAsia="宋体" w:cs="宋体"/>
          <w:spacing w:val="12"/>
          <w:sz w:val="20"/>
          <w:szCs w:val="20"/>
        </w:rPr>
        <w:t>给伤害下</w:t>
      </w:r>
      <w:r>
        <w:rPr>
          <w:rFonts w:ascii="宋体" w:hAnsi="宋体" w:eastAsia="宋体" w:cs="宋体"/>
          <w:sz w:val="20"/>
          <w:szCs w:val="20"/>
        </w:rPr>
        <w:t xml:space="preserve"> </w:t>
      </w:r>
      <w:r>
        <w:rPr>
          <w:rFonts w:ascii="宋体" w:hAnsi="宋体" w:eastAsia="宋体" w:cs="宋体"/>
          <w:spacing w:val="2"/>
          <w:sz w:val="20"/>
          <w:szCs w:val="20"/>
        </w:rPr>
        <w:t>的定义为：由于运动、热量、化学、电或放射线的能量交换，在机体组织无法耐受的水平上所造成的</w:t>
      </w:r>
      <w:r>
        <w:rPr>
          <w:rFonts w:ascii="宋体" w:hAnsi="宋体" w:eastAsia="宋体" w:cs="宋体"/>
          <w:spacing w:val="16"/>
          <w:sz w:val="20"/>
          <w:szCs w:val="20"/>
        </w:rPr>
        <w:t xml:space="preserve"> </w:t>
      </w:r>
      <w:r>
        <w:rPr>
          <w:rFonts w:ascii="宋体" w:hAnsi="宋体" w:eastAsia="宋体" w:cs="宋体"/>
          <w:spacing w:val="12"/>
          <w:sz w:val="20"/>
          <w:szCs w:val="20"/>
        </w:rPr>
        <w:t>组织损伤或由窒息而引起的缺氧称为伤害。该定义以能量交换为动因，以躯体组织损伤和功能障</w:t>
      </w:r>
      <w:r>
        <w:rPr>
          <w:rFonts w:ascii="宋体" w:hAnsi="宋体" w:eastAsia="宋体" w:cs="宋体"/>
          <w:spacing w:val="13"/>
          <w:sz w:val="20"/>
          <w:szCs w:val="20"/>
        </w:rPr>
        <w:t xml:space="preserve"> </w:t>
      </w:r>
      <w:r>
        <w:rPr>
          <w:rFonts w:ascii="宋体" w:hAnsi="宋体" w:eastAsia="宋体" w:cs="宋体"/>
          <w:spacing w:val="2"/>
          <w:sz w:val="20"/>
          <w:szCs w:val="20"/>
        </w:rPr>
        <w:t>碍为结果对伤害进行了界定，为世界各国关于“意外”伤害的研究提供了一个相对统一的定义，有助</w:t>
      </w:r>
      <w:r>
        <w:rPr>
          <w:rFonts w:ascii="宋体" w:hAnsi="宋体" w:eastAsia="宋体" w:cs="宋体"/>
          <w:spacing w:val="13"/>
          <w:sz w:val="20"/>
          <w:szCs w:val="20"/>
        </w:rPr>
        <w:t xml:space="preserve"> </w:t>
      </w:r>
      <w:r>
        <w:rPr>
          <w:rFonts w:ascii="宋体" w:hAnsi="宋体" w:eastAsia="宋体" w:cs="宋体"/>
          <w:spacing w:val="11"/>
          <w:sz w:val="20"/>
          <w:szCs w:val="20"/>
        </w:rPr>
        <w:t>于不同地区和人群的伤害研究进行比较。</w:t>
      </w:r>
    </w:p>
    <w:p w14:paraId="43C572D4">
      <w:pPr>
        <w:spacing w:before="57" w:line="333" w:lineRule="auto"/>
        <w:ind w:right="632" w:firstLine="439"/>
        <w:jc w:val="both"/>
        <w:rPr>
          <w:rFonts w:ascii="宋体" w:hAnsi="宋体" w:eastAsia="宋体" w:cs="宋体"/>
          <w:sz w:val="20"/>
          <w:szCs w:val="20"/>
        </w:rPr>
      </w:pPr>
      <w:r>
        <w:rPr>
          <w:rFonts w:ascii="宋体" w:hAnsi="宋体" w:eastAsia="宋体" w:cs="宋体"/>
          <w:spacing w:val="12"/>
          <w:sz w:val="20"/>
          <w:szCs w:val="20"/>
        </w:rPr>
        <w:t>在伤害研究过程中，需要根据伤害的定义和研究的实际情况制定可操作性强的伤害诊断</w:t>
      </w:r>
      <w:r>
        <w:rPr>
          <w:rFonts w:ascii="宋体" w:hAnsi="宋体" w:eastAsia="宋体" w:cs="宋体"/>
          <w:spacing w:val="11"/>
          <w:sz w:val="20"/>
          <w:szCs w:val="20"/>
        </w:rPr>
        <w:t>标准</w:t>
      </w:r>
      <w:r>
        <w:rPr>
          <w:rFonts w:ascii="宋体" w:hAnsi="宋体" w:eastAsia="宋体" w:cs="宋体"/>
          <w:sz w:val="20"/>
          <w:szCs w:val="20"/>
        </w:rPr>
        <w:t xml:space="preserve"> </w:t>
      </w:r>
      <w:r>
        <w:rPr>
          <w:rFonts w:ascii="宋体" w:hAnsi="宋体" w:eastAsia="宋体" w:cs="宋体"/>
          <w:spacing w:val="7"/>
          <w:sz w:val="20"/>
          <w:szCs w:val="20"/>
        </w:rPr>
        <w:t>(或称之为操作性定义)。1986年，美国国家卫生统计中心提出的伤害的操作性定义为：伤害</w:t>
      </w:r>
      <w:r>
        <w:rPr>
          <w:rFonts w:ascii="宋体" w:hAnsi="宋体" w:eastAsia="宋体" w:cs="宋体"/>
          <w:spacing w:val="6"/>
          <w:sz w:val="20"/>
          <w:szCs w:val="20"/>
        </w:rPr>
        <w:t>必须是</w:t>
      </w:r>
      <w:r>
        <w:rPr>
          <w:rFonts w:ascii="宋体" w:hAnsi="宋体" w:eastAsia="宋体" w:cs="宋体"/>
          <w:sz w:val="20"/>
          <w:szCs w:val="20"/>
        </w:rPr>
        <w:t xml:space="preserve"> </w:t>
      </w:r>
      <w:r>
        <w:rPr>
          <w:rFonts w:ascii="宋体" w:hAnsi="宋体" w:eastAsia="宋体" w:cs="宋体"/>
          <w:spacing w:val="12"/>
          <w:sz w:val="20"/>
          <w:szCs w:val="20"/>
        </w:rPr>
        <w:t>到医疗机构诊治或活动受限一天及以上的情况。2010年中华预防医学会伤害</w:t>
      </w:r>
      <w:r>
        <w:rPr>
          <w:rFonts w:ascii="宋体" w:hAnsi="宋体" w:eastAsia="宋体" w:cs="宋体"/>
          <w:spacing w:val="11"/>
          <w:sz w:val="20"/>
          <w:szCs w:val="20"/>
        </w:rPr>
        <w:t>预防与控制分会第一</w:t>
      </w:r>
      <w:r>
        <w:rPr>
          <w:rFonts w:ascii="宋体" w:hAnsi="宋体" w:eastAsia="宋体" w:cs="宋体"/>
          <w:sz w:val="20"/>
          <w:szCs w:val="20"/>
        </w:rPr>
        <w:t xml:space="preserve"> </w:t>
      </w:r>
      <w:r>
        <w:rPr>
          <w:rFonts w:ascii="宋体" w:hAnsi="宋体" w:eastAsia="宋体" w:cs="宋体"/>
          <w:spacing w:val="7"/>
          <w:sz w:val="20"/>
          <w:szCs w:val="20"/>
        </w:rPr>
        <w:t>届第五次常委会通过了关于伤害界定标准的决议。根据决议，“经医疗单位诊断为某一类损伤或因</w:t>
      </w:r>
      <w:r>
        <w:rPr>
          <w:rFonts w:ascii="宋体" w:hAnsi="宋体" w:eastAsia="宋体" w:cs="宋体"/>
          <w:spacing w:val="8"/>
          <w:sz w:val="20"/>
          <w:szCs w:val="20"/>
        </w:rPr>
        <w:t xml:space="preserve"> </w:t>
      </w:r>
      <w:r>
        <w:rPr>
          <w:rFonts w:ascii="宋体" w:hAnsi="宋体" w:eastAsia="宋体" w:cs="宋体"/>
          <w:spacing w:val="7"/>
          <w:sz w:val="20"/>
          <w:szCs w:val="20"/>
        </w:rPr>
        <w:t>损伤请假(休工、休学、休息)一日以上”为伤害的流行病学界定标准。当前，伤害的可操作性定义</w:t>
      </w:r>
      <w:r>
        <w:rPr>
          <w:rFonts w:ascii="宋体" w:hAnsi="宋体" w:eastAsia="宋体" w:cs="宋体"/>
          <w:spacing w:val="10"/>
          <w:sz w:val="20"/>
          <w:szCs w:val="20"/>
        </w:rPr>
        <w:t xml:space="preserve"> </w:t>
      </w:r>
      <w:r>
        <w:rPr>
          <w:rFonts w:ascii="宋体" w:hAnsi="宋体" w:eastAsia="宋体" w:cs="宋体"/>
          <w:spacing w:val="7"/>
          <w:sz w:val="20"/>
          <w:szCs w:val="20"/>
        </w:rPr>
        <w:t>为“因为能量(机械能、热能、化学能等)的传递或干扰超过人体的耐受性造成组织损伤，或窒息导</w:t>
      </w:r>
      <w:r>
        <w:rPr>
          <w:rFonts w:ascii="宋体" w:hAnsi="宋体" w:eastAsia="宋体" w:cs="宋体"/>
          <w:spacing w:val="14"/>
          <w:sz w:val="20"/>
          <w:szCs w:val="20"/>
        </w:rPr>
        <w:t xml:space="preserve"> </w:t>
      </w:r>
      <w:r>
        <w:rPr>
          <w:rFonts w:ascii="宋体" w:hAnsi="宋体" w:eastAsia="宋体" w:cs="宋体"/>
          <w:spacing w:val="-2"/>
          <w:sz w:val="20"/>
          <w:szCs w:val="20"/>
        </w:rPr>
        <w:t>致缺氧，影响了正常活动，需要医治或看护”。</w:t>
      </w:r>
    </w:p>
    <w:p w14:paraId="60B512FB">
      <w:pPr>
        <w:pStyle w:val="2"/>
        <w:spacing w:before="223" w:line="221" w:lineRule="auto"/>
        <w:ind w:left="443"/>
        <w:outlineLvl w:val="4"/>
        <w:rPr>
          <w:sz w:val="25"/>
          <w:szCs w:val="25"/>
        </w:rPr>
      </w:pPr>
      <w:bookmarkStart w:id="390" w:name="bookmark247"/>
      <w:bookmarkEnd w:id="390"/>
      <w:r>
        <w:rPr>
          <w:b/>
          <w:bCs/>
          <w:spacing w:val="4"/>
          <w:sz w:val="25"/>
          <w:szCs w:val="25"/>
        </w:rPr>
        <w:t>二、伤害的分类</w:t>
      </w:r>
    </w:p>
    <w:p w14:paraId="3EA184BC">
      <w:pPr>
        <w:spacing w:before="264" w:line="322" w:lineRule="auto"/>
        <w:ind w:right="632" w:firstLine="439"/>
        <w:jc w:val="both"/>
        <w:rPr>
          <w:rFonts w:ascii="宋体" w:hAnsi="宋体" w:eastAsia="宋体" w:cs="宋体"/>
          <w:sz w:val="20"/>
          <w:szCs w:val="20"/>
        </w:rPr>
      </w:pPr>
      <w:r>
        <w:rPr>
          <w:rFonts w:ascii="宋体" w:hAnsi="宋体" w:eastAsia="宋体" w:cs="宋体"/>
          <w:spacing w:val="7"/>
          <w:sz w:val="20"/>
          <w:szCs w:val="20"/>
        </w:rPr>
        <w:t>伤害的分类对于伤害监测、资料分析、流行病学研究和防制措施的制定都是不可缺</w:t>
      </w:r>
      <w:r>
        <w:rPr>
          <w:rFonts w:ascii="宋体" w:hAnsi="宋体" w:eastAsia="宋体" w:cs="宋体"/>
          <w:spacing w:val="6"/>
          <w:sz w:val="20"/>
          <w:szCs w:val="20"/>
        </w:rPr>
        <w:t>少的。伤害</w:t>
      </w:r>
      <w:r>
        <w:rPr>
          <w:rFonts w:ascii="宋体" w:hAnsi="宋体" w:eastAsia="宋体" w:cs="宋体"/>
          <w:sz w:val="20"/>
          <w:szCs w:val="20"/>
        </w:rPr>
        <w:t xml:space="preserve"> </w:t>
      </w:r>
      <w:r>
        <w:rPr>
          <w:rFonts w:ascii="宋体" w:hAnsi="宋体" w:eastAsia="宋体" w:cs="宋体"/>
          <w:spacing w:val="7"/>
          <w:sz w:val="20"/>
          <w:szCs w:val="20"/>
        </w:rPr>
        <w:t>的种类复杂，目前国内外对伤害的分类方法繁多，尚无统一的分类标准。根据研究目的的不同</w:t>
      </w:r>
      <w:r>
        <w:rPr>
          <w:rFonts w:ascii="宋体" w:hAnsi="宋体" w:eastAsia="宋体" w:cs="宋体"/>
          <w:spacing w:val="6"/>
          <w:sz w:val="20"/>
          <w:szCs w:val="20"/>
        </w:rPr>
        <w:t>，伤</w:t>
      </w:r>
      <w:r>
        <w:rPr>
          <w:rFonts w:ascii="宋体" w:hAnsi="宋体" w:eastAsia="宋体" w:cs="宋体"/>
          <w:sz w:val="20"/>
          <w:szCs w:val="20"/>
        </w:rPr>
        <w:t xml:space="preserve"> </w:t>
      </w:r>
      <w:r>
        <w:rPr>
          <w:rFonts w:ascii="宋体" w:hAnsi="宋体" w:eastAsia="宋体" w:cs="宋体"/>
          <w:spacing w:val="10"/>
          <w:sz w:val="20"/>
          <w:szCs w:val="20"/>
        </w:rPr>
        <w:t>害的分类方法主要有以下几种。</w:t>
      </w:r>
    </w:p>
    <w:p w14:paraId="2196B134">
      <w:pPr>
        <w:pStyle w:val="2"/>
        <w:spacing w:before="2" w:line="220" w:lineRule="auto"/>
        <w:ind w:left="443"/>
        <w:rPr>
          <w:sz w:val="25"/>
          <w:szCs w:val="25"/>
        </w:rPr>
      </w:pPr>
      <w:r>
        <w:rPr>
          <w:b/>
          <w:bCs/>
          <w:spacing w:val="-14"/>
          <w:sz w:val="25"/>
          <w:szCs w:val="25"/>
        </w:rPr>
        <w:t>(一)根据原因分类</w:t>
      </w:r>
    </w:p>
    <w:p w14:paraId="202F2358">
      <w:pPr>
        <w:pStyle w:val="2"/>
        <w:spacing w:before="92" w:line="272" w:lineRule="auto"/>
        <w:ind w:right="637" w:firstLine="439"/>
        <w:rPr>
          <w:rFonts w:ascii="宋体" w:hAnsi="宋体" w:eastAsia="宋体" w:cs="宋体"/>
          <w:sz w:val="20"/>
          <w:szCs w:val="20"/>
        </w:rPr>
      </w:pPr>
      <w:r>
        <w:rPr>
          <w:rFonts w:ascii="Times New Roman" w:hAnsi="Times New Roman" w:eastAsia="Times New Roman" w:cs="Times New Roman"/>
          <w:spacing w:val="3"/>
          <w:sz w:val="20"/>
          <w:szCs w:val="20"/>
        </w:rPr>
        <w:t>1.</w:t>
      </w:r>
      <w:r>
        <w:rPr>
          <w:rFonts w:ascii="Times New Roman" w:hAnsi="Times New Roman" w:eastAsia="Times New Roman" w:cs="Times New Roman"/>
          <w:spacing w:val="25"/>
          <w:w w:val="101"/>
          <w:sz w:val="20"/>
          <w:szCs w:val="20"/>
        </w:rPr>
        <w:t xml:space="preserve">  </w:t>
      </w:r>
      <w:r>
        <w:rPr>
          <w:rFonts w:ascii="宋体" w:hAnsi="宋体" w:eastAsia="宋体" w:cs="宋体"/>
          <w:spacing w:val="3"/>
          <w:sz w:val="20"/>
          <w:szCs w:val="20"/>
        </w:rPr>
        <w:t>故意伤害</w:t>
      </w:r>
      <w:r>
        <w:rPr>
          <w:spacing w:val="3"/>
          <w:sz w:val="20"/>
          <w:szCs w:val="20"/>
        </w:rPr>
        <w:t>(</w:t>
      </w:r>
      <w:r>
        <w:rPr>
          <w:rFonts w:ascii="Times New Roman" w:hAnsi="Times New Roman" w:eastAsia="Times New Roman" w:cs="Times New Roman"/>
          <w:sz w:val="20"/>
          <w:szCs w:val="20"/>
        </w:rPr>
        <w:t>intentional</w:t>
      </w:r>
      <w:r>
        <w:rPr>
          <w:rFonts w:ascii="Times New Roman" w:hAnsi="Times New Roman" w:eastAsia="Times New Roman" w:cs="Times New Roman"/>
          <w:spacing w:val="3"/>
          <w:sz w:val="20"/>
          <w:szCs w:val="20"/>
        </w:rPr>
        <w:t xml:space="preserve">    </w:t>
      </w:r>
      <w:r>
        <w:rPr>
          <w:rFonts w:ascii="Times New Roman" w:hAnsi="Times New Roman" w:eastAsia="Times New Roman" w:cs="Times New Roman"/>
          <w:sz w:val="20"/>
          <w:szCs w:val="20"/>
        </w:rPr>
        <w:t>injury</w:t>
      </w:r>
      <w:r>
        <w:rPr>
          <w:rFonts w:ascii="Times New Roman" w:hAnsi="Times New Roman" w:eastAsia="Times New Roman" w:cs="Times New Roman"/>
          <w:spacing w:val="3"/>
          <w:sz w:val="20"/>
          <w:szCs w:val="20"/>
        </w:rPr>
        <w:t xml:space="preserve">)   </w:t>
      </w:r>
      <w:r>
        <w:rPr>
          <w:rFonts w:ascii="宋体" w:hAnsi="宋体" w:eastAsia="宋体" w:cs="宋体"/>
          <w:spacing w:val="3"/>
          <w:sz w:val="20"/>
          <w:szCs w:val="20"/>
        </w:rPr>
        <w:t>指有目的、有计划地自害或加害于他人所造成的伤害，近年来</w:t>
      </w:r>
      <w:r>
        <w:rPr>
          <w:rFonts w:ascii="宋体" w:hAnsi="宋体" w:eastAsia="宋体" w:cs="宋体"/>
          <w:sz w:val="20"/>
          <w:szCs w:val="20"/>
        </w:rPr>
        <w:t xml:space="preserve"> </w:t>
      </w:r>
      <w:r>
        <w:rPr>
          <w:rFonts w:ascii="宋体" w:hAnsi="宋体" w:eastAsia="宋体" w:cs="宋体"/>
          <w:spacing w:val="8"/>
          <w:sz w:val="20"/>
          <w:szCs w:val="20"/>
        </w:rPr>
        <w:t>倾向于将这一类伤害统称为暴力</w:t>
      </w:r>
      <w:r>
        <w:rPr>
          <w:rFonts w:ascii="Times New Roman" w:hAnsi="Times New Roman" w:eastAsia="Times New Roman" w:cs="Times New Roman"/>
          <w:spacing w:val="8"/>
          <w:sz w:val="20"/>
          <w:szCs w:val="20"/>
        </w:rPr>
        <w:t>(</w:t>
      </w:r>
      <w:r>
        <w:rPr>
          <w:rFonts w:ascii="Times New Roman" w:hAnsi="Times New Roman" w:eastAsia="Times New Roman" w:cs="Times New Roman"/>
          <w:sz w:val="20"/>
          <w:szCs w:val="20"/>
        </w:rPr>
        <w:t>violence</w:t>
      </w:r>
      <w:r>
        <w:rPr>
          <w:rFonts w:ascii="Times New Roman" w:hAnsi="Times New Roman" w:eastAsia="Times New Roman" w:cs="Times New Roman"/>
          <w:spacing w:val="8"/>
          <w:sz w:val="20"/>
          <w:szCs w:val="20"/>
        </w:rPr>
        <w:t>)</w:t>
      </w:r>
      <w:r>
        <w:rPr>
          <w:rFonts w:ascii="宋体" w:hAnsi="宋体" w:eastAsia="宋体" w:cs="宋体"/>
          <w:spacing w:val="8"/>
          <w:sz w:val="20"/>
          <w:szCs w:val="20"/>
        </w:rPr>
        <w:t>。</w:t>
      </w:r>
    </w:p>
    <w:p w14:paraId="14AFD290">
      <w:pPr>
        <w:pStyle w:val="2"/>
        <w:spacing w:before="131" w:line="290" w:lineRule="auto"/>
        <w:ind w:right="526" w:firstLine="439"/>
        <w:rPr>
          <w:rFonts w:ascii="宋体" w:hAnsi="宋体" w:eastAsia="宋体" w:cs="宋体"/>
          <w:sz w:val="20"/>
          <w:szCs w:val="20"/>
        </w:rPr>
      </w:pPr>
      <w:r>
        <w:rPr>
          <w:rFonts w:ascii="Times New Roman" w:hAnsi="Times New Roman" w:eastAsia="Times New Roman" w:cs="Times New Roman"/>
          <w:spacing w:val="4"/>
          <w:sz w:val="20"/>
          <w:szCs w:val="20"/>
        </w:rPr>
        <w:t>2.</w:t>
      </w:r>
      <w:r>
        <w:rPr>
          <w:rFonts w:ascii="Times New Roman" w:hAnsi="Times New Roman" w:eastAsia="Times New Roman" w:cs="Times New Roman"/>
          <w:spacing w:val="27"/>
          <w:w w:val="101"/>
          <w:sz w:val="20"/>
          <w:szCs w:val="20"/>
        </w:rPr>
        <w:t xml:space="preserve">  </w:t>
      </w:r>
      <w:r>
        <w:rPr>
          <w:rFonts w:ascii="宋体" w:hAnsi="宋体" w:eastAsia="宋体" w:cs="宋体"/>
          <w:spacing w:val="4"/>
          <w:sz w:val="20"/>
          <w:szCs w:val="20"/>
        </w:rPr>
        <w:t>非故意伤害</w:t>
      </w:r>
      <w:r>
        <w:rPr>
          <w:spacing w:val="4"/>
          <w:sz w:val="20"/>
          <w:szCs w:val="20"/>
        </w:rPr>
        <w:t>(</w:t>
      </w:r>
      <w:r>
        <w:rPr>
          <w:sz w:val="20"/>
          <w:szCs w:val="20"/>
        </w:rPr>
        <w:t>u</w:t>
      </w:r>
      <w:r>
        <w:rPr>
          <w:spacing w:val="-34"/>
          <w:sz w:val="20"/>
          <w:szCs w:val="20"/>
        </w:rPr>
        <w:t xml:space="preserve"> </w:t>
      </w:r>
      <w:r>
        <w:rPr>
          <w:rFonts w:ascii="Times New Roman" w:hAnsi="Times New Roman" w:eastAsia="Times New Roman" w:cs="Times New Roman"/>
          <w:sz w:val="20"/>
          <w:szCs w:val="20"/>
        </w:rPr>
        <w:t>nintentional</w:t>
      </w:r>
      <w:r>
        <w:rPr>
          <w:rFonts w:ascii="Times New Roman" w:hAnsi="Times New Roman" w:eastAsia="Times New Roman" w:cs="Times New Roman"/>
          <w:spacing w:val="4"/>
          <w:sz w:val="20"/>
          <w:szCs w:val="20"/>
        </w:rPr>
        <w:t xml:space="preserve">    </w:t>
      </w:r>
      <w:r>
        <w:rPr>
          <w:rFonts w:ascii="Times New Roman" w:hAnsi="Times New Roman" w:eastAsia="Times New Roman" w:cs="Times New Roman"/>
          <w:sz w:val="20"/>
          <w:szCs w:val="20"/>
        </w:rPr>
        <w:t>injury</w:t>
      </w:r>
      <w:r>
        <w:rPr>
          <w:rFonts w:ascii="Times New Roman" w:hAnsi="Times New Roman" w:eastAsia="Times New Roman" w:cs="Times New Roman"/>
          <w:spacing w:val="4"/>
          <w:sz w:val="20"/>
          <w:szCs w:val="20"/>
        </w:rPr>
        <w:t xml:space="preserve">)   </w:t>
      </w:r>
      <w:r>
        <w:rPr>
          <w:rFonts w:ascii="宋体" w:hAnsi="宋体" w:eastAsia="宋体" w:cs="宋体"/>
          <w:spacing w:val="4"/>
          <w:sz w:val="20"/>
          <w:szCs w:val="20"/>
        </w:rPr>
        <w:t>指无目的(无意)造成的伤害，主要包括交通伤害、跌倒、</w:t>
      </w:r>
      <w:r>
        <w:rPr>
          <w:rFonts w:ascii="宋体" w:hAnsi="宋体" w:eastAsia="宋体" w:cs="宋体"/>
          <w:sz w:val="20"/>
          <w:szCs w:val="20"/>
        </w:rPr>
        <w:t xml:space="preserve"> </w:t>
      </w:r>
      <w:r>
        <w:rPr>
          <w:rFonts w:ascii="宋体" w:hAnsi="宋体" w:eastAsia="宋体" w:cs="宋体"/>
          <w:spacing w:val="-5"/>
          <w:sz w:val="20"/>
          <w:szCs w:val="20"/>
        </w:rPr>
        <w:t>烧烫伤、中毒、溺水、切割伤、动物抓咬伤、医疗事故等。</w:t>
      </w:r>
    </w:p>
    <w:p w14:paraId="42F75F71">
      <w:pPr>
        <w:spacing w:before="145" w:line="333" w:lineRule="auto"/>
        <w:ind w:right="631" w:firstLine="439"/>
        <w:jc w:val="both"/>
        <w:rPr>
          <w:rFonts w:ascii="宋体" w:hAnsi="宋体" w:eastAsia="宋体" w:cs="宋体"/>
          <w:sz w:val="20"/>
          <w:szCs w:val="20"/>
        </w:rPr>
      </w:pPr>
      <w:r>
        <w:rPr>
          <w:rFonts w:ascii="宋体" w:hAnsi="宋体" w:eastAsia="宋体" w:cs="宋体"/>
          <w:spacing w:val="17"/>
          <w:sz w:val="20"/>
          <w:szCs w:val="20"/>
        </w:rPr>
        <w:t>使用这种分类方法时应注意对造成伤害的意图作仔细分析。有时，同一种伤害可能是由不</w:t>
      </w:r>
      <w:r>
        <w:rPr>
          <w:rFonts w:ascii="宋体" w:hAnsi="宋体" w:eastAsia="宋体" w:cs="宋体"/>
          <w:spacing w:val="16"/>
          <w:sz w:val="20"/>
          <w:szCs w:val="20"/>
        </w:rPr>
        <w:t xml:space="preserve"> </w:t>
      </w:r>
      <w:r>
        <w:rPr>
          <w:rFonts w:ascii="宋体" w:hAnsi="宋体" w:eastAsia="宋体" w:cs="宋体"/>
          <w:spacing w:val="18"/>
          <w:sz w:val="20"/>
          <w:szCs w:val="20"/>
        </w:rPr>
        <w:t>同的意图所导致的。例如中毒，如果是无意识地误服了某种</w:t>
      </w:r>
      <w:r>
        <w:rPr>
          <w:rFonts w:ascii="宋体" w:hAnsi="宋体" w:eastAsia="宋体" w:cs="宋体"/>
          <w:spacing w:val="17"/>
          <w:sz w:val="20"/>
          <w:szCs w:val="20"/>
        </w:rPr>
        <w:t>毒物造成的应归为非故意伤害，如</w:t>
      </w:r>
      <w:r>
        <w:rPr>
          <w:rFonts w:ascii="宋体" w:hAnsi="宋体" w:eastAsia="宋体" w:cs="宋体"/>
          <w:sz w:val="20"/>
          <w:szCs w:val="20"/>
        </w:rPr>
        <w:t xml:space="preserve"> </w:t>
      </w:r>
      <w:r>
        <w:rPr>
          <w:rFonts w:ascii="宋体" w:hAnsi="宋体" w:eastAsia="宋体" w:cs="宋体"/>
          <w:spacing w:val="23"/>
          <w:sz w:val="20"/>
          <w:szCs w:val="20"/>
        </w:rPr>
        <w:t>果是自己有意服用某毒物以期结束自己的生命则应归为自杀，如果是他人有意投毒则应归为</w:t>
      </w:r>
      <w:r>
        <w:rPr>
          <w:rFonts w:ascii="宋体" w:hAnsi="宋体" w:eastAsia="宋体" w:cs="宋体"/>
          <w:sz w:val="20"/>
          <w:szCs w:val="20"/>
        </w:rPr>
        <w:t xml:space="preserve"> </w:t>
      </w:r>
      <w:r>
        <w:rPr>
          <w:rFonts w:ascii="宋体" w:hAnsi="宋体" w:eastAsia="宋体" w:cs="宋体"/>
          <w:spacing w:val="13"/>
          <w:sz w:val="20"/>
          <w:szCs w:val="20"/>
        </w:rPr>
        <w:t>他杀</w:t>
      </w:r>
      <w:r>
        <w:rPr>
          <w:rFonts w:ascii="宋体" w:hAnsi="宋体" w:eastAsia="宋体" w:cs="宋体"/>
          <w:spacing w:val="-51"/>
          <w:sz w:val="20"/>
          <w:szCs w:val="20"/>
        </w:rPr>
        <w:t xml:space="preserve"> </w:t>
      </w:r>
      <w:r>
        <w:rPr>
          <w:rFonts w:ascii="宋体" w:hAnsi="宋体" w:eastAsia="宋体" w:cs="宋体"/>
          <w:spacing w:val="13"/>
          <w:sz w:val="20"/>
          <w:szCs w:val="20"/>
        </w:rPr>
        <w:t>。</w:t>
      </w:r>
    </w:p>
    <w:p w14:paraId="5A3C9124">
      <w:pPr>
        <w:pStyle w:val="2"/>
        <w:spacing w:before="44" w:line="221" w:lineRule="auto"/>
        <w:ind w:left="439"/>
        <w:rPr>
          <w:sz w:val="20"/>
          <w:szCs w:val="20"/>
        </w:rPr>
      </w:pPr>
      <w:r>
        <w:rPr>
          <w:spacing w:val="33"/>
          <w:sz w:val="20"/>
          <w:szCs w:val="20"/>
        </w:rPr>
        <w:t>(二)根据性质分类</w:t>
      </w:r>
    </w:p>
    <w:p w14:paraId="34B52226">
      <w:pPr>
        <w:spacing w:before="102" w:line="219" w:lineRule="auto"/>
        <w:ind w:left="439"/>
        <w:rPr>
          <w:rFonts w:ascii="宋体" w:hAnsi="宋体" w:eastAsia="宋体" w:cs="宋体"/>
          <w:sz w:val="20"/>
          <w:szCs w:val="20"/>
        </w:rPr>
      </w:pPr>
      <w:r>
        <w:rPr>
          <w:rFonts w:ascii="宋体" w:hAnsi="宋体" w:eastAsia="宋体" w:cs="宋体"/>
          <w:spacing w:val="7"/>
          <w:sz w:val="20"/>
          <w:szCs w:val="20"/>
        </w:rPr>
        <w:t>根</w:t>
      </w:r>
      <w:r>
        <w:rPr>
          <w:rFonts w:ascii="宋体" w:hAnsi="宋体" w:eastAsia="宋体" w:cs="宋体"/>
          <w:spacing w:val="-28"/>
          <w:sz w:val="20"/>
          <w:szCs w:val="20"/>
        </w:rPr>
        <w:t xml:space="preserve"> </w:t>
      </w:r>
      <w:r>
        <w:rPr>
          <w:rFonts w:ascii="宋体" w:hAnsi="宋体" w:eastAsia="宋体" w:cs="宋体"/>
          <w:spacing w:val="7"/>
          <w:sz w:val="20"/>
          <w:szCs w:val="20"/>
        </w:rPr>
        <w:t>据</w:t>
      </w:r>
      <w:r>
        <w:rPr>
          <w:rFonts w:ascii="Times New Roman" w:hAnsi="Times New Roman" w:eastAsia="Times New Roman" w:cs="Times New Roman"/>
          <w:sz w:val="20"/>
          <w:szCs w:val="20"/>
        </w:rPr>
        <w:t>ICD</w:t>
      </w:r>
      <w:r>
        <w:rPr>
          <w:rFonts w:ascii="Times New Roman" w:hAnsi="Times New Roman" w:eastAsia="Times New Roman" w:cs="Times New Roman"/>
          <w:spacing w:val="7"/>
          <w:sz w:val="20"/>
          <w:szCs w:val="20"/>
        </w:rPr>
        <w:t xml:space="preserve">-11 </w:t>
      </w:r>
      <w:r>
        <w:rPr>
          <w:rFonts w:ascii="宋体" w:hAnsi="宋体" w:eastAsia="宋体" w:cs="宋体"/>
          <w:spacing w:val="7"/>
          <w:sz w:val="20"/>
          <w:szCs w:val="20"/>
        </w:rPr>
        <w:t>确定的伤害的分类是目前国际上比较公认和客观的伤害分类方法。</w:t>
      </w:r>
    </w:p>
    <w:p w14:paraId="3078176E">
      <w:pPr>
        <w:spacing w:before="91" w:line="332" w:lineRule="auto"/>
        <w:ind w:right="634" w:firstLine="439"/>
        <w:rPr>
          <w:rFonts w:ascii="宋体" w:hAnsi="宋体" w:eastAsia="宋体" w:cs="宋体"/>
          <w:sz w:val="20"/>
          <w:szCs w:val="20"/>
        </w:rPr>
      </w:pPr>
      <w:r>
        <w:rPr>
          <w:rFonts w:ascii="宋体" w:hAnsi="宋体" w:eastAsia="宋体" w:cs="宋体"/>
          <w:spacing w:val="1"/>
          <w:sz w:val="20"/>
          <w:szCs w:val="20"/>
        </w:rPr>
        <w:t>在</w:t>
      </w:r>
      <w:r>
        <w:rPr>
          <w:rFonts w:ascii="宋体" w:hAnsi="宋体" w:eastAsia="宋体" w:cs="宋体"/>
          <w:spacing w:val="-29"/>
          <w:sz w:val="20"/>
          <w:szCs w:val="20"/>
        </w:rPr>
        <w:t xml:space="preserve"> </w:t>
      </w:r>
      <w:r>
        <w:rPr>
          <w:rFonts w:ascii="Times New Roman" w:hAnsi="Times New Roman" w:eastAsia="Times New Roman" w:cs="Times New Roman"/>
          <w:sz w:val="20"/>
          <w:szCs w:val="20"/>
        </w:rPr>
        <w:t>ICD</w:t>
      </w:r>
      <w:r>
        <w:rPr>
          <w:rFonts w:ascii="Times New Roman" w:hAnsi="Times New Roman" w:eastAsia="Times New Roman" w:cs="Times New Roman"/>
          <w:spacing w:val="1"/>
          <w:sz w:val="20"/>
          <w:szCs w:val="20"/>
        </w:rPr>
        <w:t>-11</w:t>
      </w:r>
      <w:r>
        <w:rPr>
          <w:rFonts w:ascii="Times New Roman" w:hAnsi="Times New Roman" w:eastAsia="Times New Roman" w:cs="Times New Roman"/>
          <w:spacing w:val="14"/>
          <w:w w:val="101"/>
          <w:sz w:val="20"/>
          <w:szCs w:val="20"/>
        </w:rPr>
        <w:t xml:space="preserve"> </w:t>
      </w:r>
      <w:r>
        <w:rPr>
          <w:rFonts w:ascii="宋体" w:hAnsi="宋体" w:eastAsia="宋体" w:cs="宋体"/>
          <w:spacing w:val="1"/>
          <w:sz w:val="20"/>
          <w:szCs w:val="20"/>
        </w:rPr>
        <w:t>中对伤害的分类有两种体系， 一种是根据伤害发生的部位进行分类</w:t>
      </w:r>
      <w:r>
        <w:rPr>
          <w:rFonts w:ascii="Times New Roman" w:hAnsi="Times New Roman" w:eastAsia="Times New Roman" w:cs="Times New Roman"/>
          <w:spacing w:val="1"/>
          <w:sz w:val="20"/>
          <w:szCs w:val="20"/>
        </w:rPr>
        <w:t>(</w:t>
      </w:r>
      <w:r>
        <w:rPr>
          <w:rFonts w:ascii="Times New Roman" w:hAnsi="Times New Roman" w:eastAsia="Times New Roman" w:cs="Times New Roman"/>
          <w:sz w:val="20"/>
          <w:szCs w:val="20"/>
        </w:rPr>
        <w:t>NA</w:t>
      </w:r>
      <w:r>
        <w:rPr>
          <w:rFonts w:ascii="Times New Roman" w:hAnsi="Times New Roman" w:eastAsia="Times New Roman" w:cs="Times New Roman"/>
          <w:spacing w:val="1"/>
          <w:sz w:val="20"/>
          <w:szCs w:val="20"/>
        </w:rPr>
        <w:t>00-</w:t>
      </w:r>
      <w:r>
        <w:rPr>
          <w:rFonts w:ascii="Times New Roman" w:hAnsi="Times New Roman" w:eastAsia="Times New Roman" w:cs="Times New Roman"/>
          <w:sz w:val="20"/>
          <w:szCs w:val="20"/>
        </w:rPr>
        <w:t>NFOZ</w:t>
      </w:r>
      <w:r>
        <w:rPr>
          <w:rFonts w:ascii="Times New Roman" w:hAnsi="Times New Roman" w:eastAsia="Times New Roman" w:cs="Times New Roman"/>
          <w:spacing w:val="1"/>
          <w:sz w:val="20"/>
          <w:szCs w:val="20"/>
        </w:rPr>
        <w:t>),</w:t>
      </w:r>
      <w:r>
        <w:rPr>
          <w:rFonts w:ascii="Times New Roman" w:hAnsi="Times New Roman" w:eastAsia="Times New Roman" w:cs="Times New Roman"/>
          <w:spacing w:val="47"/>
          <w:w w:val="101"/>
          <w:sz w:val="20"/>
          <w:szCs w:val="20"/>
        </w:rPr>
        <w:t xml:space="preserve"> </w:t>
      </w:r>
      <w:r>
        <w:rPr>
          <w:rFonts w:ascii="宋体" w:hAnsi="宋体" w:eastAsia="宋体" w:cs="宋体"/>
          <w:spacing w:val="1"/>
          <w:sz w:val="20"/>
          <w:szCs w:val="20"/>
        </w:rPr>
        <w:t>另</w:t>
      </w:r>
      <w:r>
        <w:rPr>
          <w:rFonts w:ascii="宋体" w:hAnsi="宋体" w:eastAsia="宋体" w:cs="宋体"/>
          <w:sz w:val="20"/>
          <w:szCs w:val="20"/>
        </w:rPr>
        <w:t xml:space="preserve"> </w:t>
      </w:r>
      <w:r>
        <w:rPr>
          <w:rFonts w:ascii="宋体" w:hAnsi="宋体" w:eastAsia="宋体" w:cs="宋体"/>
          <w:spacing w:val="8"/>
          <w:sz w:val="20"/>
          <w:szCs w:val="20"/>
        </w:rPr>
        <w:t>一种是根据伤害发生的外部原因或性质进行分类</w:t>
      </w:r>
      <w:r>
        <w:rPr>
          <w:rFonts w:ascii="Times New Roman" w:hAnsi="Times New Roman" w:eastAsia="Times New Roman" w:cs="Times New Roman"/>
          <w:spacing w:val="8"/>
          <w:sz w:val="20"/>
          <w:szCs w:val="20"/>
        </w:rPr>
        <w:t>(</w:t>
      </w:r>
      <w:r>
        <w:rPr>
          <w:rFonts w:ascii="Times New Roman" w:hAnsi="Times New Roman" w:eastAsia="Times New Roman" w:cs="Times New Roman"/>
          <w:sz w:val="20"/>
          <w:szCs w:val="20"/>
        </w:rPr>
        <w:t>PA</w:t>
      </w:r>
      <w:r>
        <w:rPr>
          <w:rFonts w:ascii="Times New Roman" w:hAnsi="Times New Roman" w:eastAsia="Times New Roman" w:cs="Times New Roman"/>
          <w:spacing w:val="8"/>
          <w:sz w:val="20"/>
          <w:szCs w:val="20"/>
        </w:rPr>
        <w:t>00-</w:t>
      </w:r>
      <w:r>
        <w:rPr>
          <w:rFonts w:ascii="Times New Roman" w:hAnsi="Times New Roman" w:eastAsia="Times New Roman" w:cs="Times New Roman"/>
          <w:sz w:val="20"/>
          <w:szCs w:val="20"/>
        </w:rPr>
        <w:t>PL</w:t>
      </w:r>
      <w:r>
        <w:rPr>
          <w:rFonts w:ascii="Times New Roman" w:hAnsi="Times New Roman" w:eastAsia="Times New Roman" w:cs="Times New Roman"/>
          <w:spacing w:val="7"/>
          <w:sz w:val="20"/>
          <w:szCs w:val="20"/>
        </w:rPr>
        <w:t>2Z)</w:t>
      </w:r>
      <w:r>
        <w:rPr>
          <w:rFonts w:ascii="Times New Roman" w:hAnsi="Times New Roman" w:eastAsia="Times New Roman" w:cs="Times New Roman"/>
          <w:spacing w:val="-22"/>
          <w:sz w:val="20"/>
          <w:szCs w:val="20"/>
        </w:rPr>
        <w:t xml:space="preserve"> </w:t>
      </w:r>
      <w:r>
        <w:rPr>
          <w:rFonts w:ascii="宋体" w:hAnsi="宋体" w:eastAsia="宋体" w:cs="宋体"/>
          <w:spacing w:val="7"/>
          <w:sz w:val="20"/>
          <w:szCs w:val="20"/>
        </w:rPr>
        <w:t>。</w:t>
      </w:r>
      <w:r>
        <w:rPr>
          <w:rFonts w:ascii="宋体" w:hAnsi="宋体" w:eastAsia="宋体" w:cs="宋体"/>
          <w:spacing w:val="-52"/>
          <w:sz w:val="20"/>
          <w:szCs w:val="20"/>
        </w:rPr>
        <w:t xml:space="preserve"> </w:t>
      </w:r>
      <w:r>
        <w:rPr>
          <w:rFonts w:ascii="宋体" w:hAnsi="宋体" w:eastAsia="宋体" w:cs="宋体"/>
          <w:spacing w:val="7"/>
          <w:sz w:val="20"/>
          <w:szCs w:val="20"/>
        </w:rPr>
        <w:t>一般而言，在公共卫生领域中后一</w:t>
      </w:r>
    </w:p>
    <w:p w14:paraId="463A71B3">
      <w:pPr>
        <w:spacing w:line="332" w:lineRule="auto"/>
        <w:rPr>
          <w:rFonts w:ascii="宋体" w:hAnsi="宋体" w:eastAsia="宋体" w:cs="宋体"/>
          <w:sz w:val="20"/>
          <w:szCs w:val="20"/>
        </w:rPr>
        <w:sectPr>
          <w:footerReference r:id="rId252" w:type="default"/>
          <w:pgSz w:w="11900" w:h="16820"/>
          <w:pgMar w:top="400" w:right="884" w:bottom="879" w:left="1460" w:header="0" w:footer="699" w:gutter="0"/>
          <w:cols w:space="720" w:num="1"/>
        </w:sectPr>
      </w:pPr>
    </w:p>
    <w:p w14:paraId="4EF8AC4E">
      <w:pPr>
        <w:pStyle w:val="2"/>
        <w:spacing w:before="6" w:line="221" w:lineRule="auto"/>
        <w:ind w:left="669"/>
        <w:rPr>
          <w:sz w:val="20"/>
          <w:szCs w:val="20"/>
        </w:rPr>
      </w:pPr>
      <w:r>
        <w:rPr>
          <w:spacing w:val="-22"/>
          <w:sz w:val="20"/>
          <w:szCs w:val="20"/>
        </w:rPr>
        <w:t>第十五章 伤害流行病学</w:t>
      </w:r>
    </w:p>
    <w:p w14:paraId="7671E005">
      <w:pPr>
        <w:spacing w:line="282" w:lineRule="auto"/>
        <w:rPr>
          <w:rFonts w:ascii="Arial"/>
          <w:sz w:val="21"/>
        </w:rPr>
      </w:pPr>
    </w:p>
    <w:p w14:paraId="16BED788">
      <w:pPr>
        <w:spacing w:line="282" w:lineRule="auto"/>
        <w:rPr>
          <w:rFonts w:ascii="Arial"/>
          <w:sz w:val="21"/>
        </w:rPr>
      </w:pPr>
    </w:p>
    <w:p w14:paraId="35E66479">
      <w:pPr>
        <w:spacing w:before="65" w:line="219" w:lineRule="auto"/>
        <w:ind w:left="669"/>
        <w:rPr>
          <w:rFonts w:ascii="宋体" w:hAnsi="宋体" w:eastAsia="宋体" w:cs="宋体"/>
          <w:sz w:val="20"/>
          <w:szCs w:val="20"/>
        </w:rPr>
      </w:pPr>
      <w:r>
        <w:rPr>
          <w:rFonts w:ascii="宋体" w:hAnsi="宋体" w:eastAsia="宋体" w:cs="宋体"/>
          <w:spacing w:val="5"/>
          <w:sz w:val="20"/>
          <w:szCs w:val="20"/>
        </w:rPr>
        <w:t>种分类方法较为常用。</w:t>
      </w:r>
    </w:p>
    <w:p w14:paraId="47EA07FC">
      <w:pPr>
        <w:spacing w:line="259" w:lineRule="auto"/>
        <w:rPr>
          <w:rFonts w:ascii="Arial"/>
          <w:sz w:val="21"/>
        </w:rPr>
      </w:pPr>
    </w:p>
    <w:p w14:paraId="5F9C439D">
      <w:pPr>
        <w:pStyle w:val="2"/>
        <w:spacing w:before="78" w:line="221" w:lineRule="auto"/>
        <w:ind w:left="1073"/>
        <w:outlineLvl w:val="4"/>
        <w:rPr>
          <w:sz w:val="24"/>
          <w:szCs w:val="24"/>
        </w:rPr>
      </w:pPr>
      <w:bookmarkStart w:id="391" w:name="bookmark248"/>
      <w:bookmarkEnd w:id="391"/>
      <w:bookmarkStart w:id="392" w:name="bookmark531"/>
      <w:bookmarkEnd w:id="392"/>
      <w:r>
        <w:rPr>
          <w:b/>
          <w:bCs/>
          <w:spacing w:val="-4"/>
          <w:sz w:val="24"/>
          <w:szCs w:val="24"/>
        </w:rPr>
        <w:t>三</w:t>
      </w:r>
      <w:r>
        <w:rPr>
          <w:spacing w:val="-31"/>
          <w:sz w:val="24"/>
          <w:szCs w:val="24"/>
        </w:rPr>
        <w:t xml:space="preserve"> </w:t>
      </w:r>
      <w:r>
        <w:rPr>
          <w:b/>
          <w:bCs/>
          <w:spacing w:val="-4"/>
          <w:sz w:val="24"/>
          <w:szCs w:val="24"/>
        </w:rPr>
        <w:t>、伤害发生的原因及影响因素</w:t>
      </w:r>
    </w:p>
    <w:p w14:paraId="4E396C64">
      <w:pPr>
        <w:spacing w:before="264" w:line="343" w:lineRule="auto"/>
        <w:ind w:left="669" w:right="20" w:firstLine="399"/>
        <w:jc w:val="both"/>
        <w:rPr>
          <w:rFonts w:ascii="宋体" w:hAnsi="宋体" w:eastAsia="宋体" w:cs="宋体"/>
          <w:sz w:val="20"/>
          <w:szCs w:val="20"/>
        </w:rPr>
      </w:pPr>
      <w:r>
        <w:rPr>
          <w:rFonts w:ascii="宋体" w:hAnsi="宋体" w:eastAsia="宋体" w:cs="宋体"/>
          <w:spacing w:val="5"/>
          <w:sz w:val="20"/>
          <w:szCs w:val="20"/>
        </w:rPr>
        <w:t>尽管伤害类别不同，且不同类别伤害的有效</w:t>
      </w:r>
      <w:r>
        <w:rPr>
          <w:rFonts w:ascii="宋体" w:hAnsi="宋体" w:eastAsia="宋体" w:cs="宋体"/>
          <w:spacing w:val="4"/>
          <w:sz w:val="20"/>
          <w:szCs w:val="20"/>
        </w:rPr>
        <w:t>预防与控制措施也不同，但所有伤害共享一个致病</w:t>
      </w:r>
      <w:r>
        <w:rPr>
          <w:rFonts w:ascii="宋体" w:hAnsi="宋体" w:eastAsia="宋体" w:cs="宋体"/>
          <w:sz w:val="20"/>
          <w:szCs w:val="20"/>
        </w:rPr>
        <w:t xml:space="preserve"> </w:t>
      </w:r>
      <w:r>
        <w:rPr>
          <w:rFonts w:ascii="宋体" w:hAnsi="宋体" w:eastAsia="宋体" w:cs="宋体"/>
          <w:spacing w:val="9"/>
          <w:sz w:val="20"/>
          <w:szCs w:val="20"/>
        </w:rPr>
        <w:t>机制——伤害的能量交换模型。该模型源自传染病流行病学的三角模型，其中传染病发生的动因</w:t>
      </w:r>
      <w:r>
        <w:rPr>
          <w:rFonts w:ascii="宋体" w:hAnsi="宋体" w:eastAsia="宋体" w:cs="宋体"/>
          <w:spacing w:val="11"/>
          <w:sz w:val="20"/>
          <w:szCs w:val="20"/>
        </w:rPr>
        <w:t xml:space="preserve"> </w:t>
      </w:r>
      <w:r>
        <w:rPr>
          <w:rFonts w:ascii="宋体" w:hAnsi="宋体" w:eastAsia="宋体" w:cs="宋体"/>
          <w:spacing w:val="4"/>
          <w:sz w:val="20"/>
          <w:szCs w:val="20"/>
        </w:rPr>
        <w:t>是病原体，而伤害发生的动因是能量。从该模型出发，伤害发生的原因包括致伤因子、宿主和环境</w:t>
      </w:r>
      <w:r>
        <w:rPr>
          <w:rFonts w:ascii="宋体" w:hAnsi="宋体" w:eastAsia="宋体" w:cs="宋体"/>
          <w:spacing w:val="5"/>
          <w:sz w:val="20"/>
          <w:szCs w:val="20"/>
        </w:rPr>
        <w:t xml:space="preserve"> 三个方面。</w:t>
      </w:r>
    </w:p>
    <w:p w14:paraId="03F307FC">
      <w:pPr>
        <w:pStyle w:val="2"/>
        <w:spacing w:before="8" w:line="223" w:lineRule="auto"/>
        <w:ind w:left="1069"/>
        <w:rPr>
          <w:sz w:val="24"/>
          <w:szCs w:val="24"/>
        </w:rPr>
      </w:pPr>
      <w:r>
        <w:rPr>
          <w:spacing w:val="-3"/>
          <w:sz w:val="24"/>
          <w:szCs w:val="24"/>
        </w:rPr>
        <w:t>(一)致伤因子</w:t>
      </w:r>
    </w:p>
    <w:p w14:paraId="39C7EEB1">
      <w:pPr>
        <w:spacing w:before="92" w:line="338" w:lineRule="auto"/>
        <w:ind w:left="669" w:right="30" w:firstLine="399"/>
        <w:rPr>
          <w:rFonts w:ascii="宋体" w:hAnsi="宋体" w:eastAsia="宋体" w:cs="宋体"/>
          <w:sz w:val="20"/>
          <w:szCs w:val="20"/>
        </w:rPr>
      </w:pPr>
      <w:r>
        <w:rPr>
          <w:rFonts w:ascii="宋体" w:hAnsi="宋体" w:eastAsia="宋体" w:cs="宋体"/>
          <w:spacing w:val="7"/>
          <w:sz w:val="20"/>
          <w:szCs w:val="20"/>
        </w:rPr>
        <w:t>伤害的致伤因子是能量(</w:t>
      </w:r>
      <w:r>
        <w:rPr>
          <w:rFonts w:ascii="宋体" w:hAnsi="宋体" w:eastAsia="宋体" w:cs="宋体"/>
          <w:sz w:val="20"/>
          <w:szCs w:val="20"/>
        </w:rPr>
        <w:t>energy</w:t>
      </w:r>
      <w:r>
        <w:rPr>
          <w:rFonts w:ascii="宋体" w:hAnsi="宋体" w:eastAsia="宋体" w:cs="宋体"/>
          <w:spacing w:val="7"/>
          <w:sz w:val="20"/>
          <w:szCs w:val="20"/>
        </w:rPr>
        <w:t>),能量的异常交换或在短时间内暴露于大剂量能量都会导致伤</w:t>
      </w:r>
      <w:r>
        <w:rPr>
          <w:rFonts w:ascii="宋体" w:hAnsi="宋体" w:eastAsia="宋体" w:cs="宋体"/>
          <w:spacing w:val="6"/>
          <w:sz w:val="20"/>
          <w:szCs w:val="20"/>
        </w:rPr>
        <w:t xml:space="preserve"> </w:t>
      </w:r>
      <w:r>
        <w:rPr>
          <w:rFonts w:ascii="宋体" w:hAnsi="宋体" w:eastAsia="宋体" w:cs="宋体"/>
          <w:spacing w:val="1"/>
          <w:sz w:val="20"/>
          <w:szCs w:val="20"/>
        </w:rPr>
        <w:t>害的发生。通常，容易引起伤害的能量有以下几种：</w:t>
      </w:r>
    </w:p>
    <w:p w14:paraId="062691EE">
      <w:pPr>
        <w:pStyle w:val="2"/>
        <w:spacing w:before="1" w:line="365" w:lineRule="auto"/>
        <w:ind w:left="669" w:right="50" w:firstLine="399"/>
        <w:rPr>
          <w:rFonts w:ascii="宋体" w:hAnsi="宋体" w:eastAsia="宋体" w:cs="宋体"/>
          <w:sz w:val="20"/>
          <w:szCs w:val="20"/>
        </w:rPr>
      </w:pPr>
      <w:r>
        <w:rPr>
          <w:rFonts w:ascii="Times New Roman" w:hAnsi="Times New Roman" w:eastAsia="Times New Roman" w:cs="Times New Roman"/>
          <w:spacing w:val="7"/>
          <w:sz w:val="20"/>
          <w:szCs w:val="20"/>
        </w:rPr>
        <w:t>1.</w:t>
      </w:r>
      <w:r>
        <w:rPr>
          <w:rFonts w:ascii="Times New Roman" w:hAnsi="Times New Roman" w:eastAsia="Times New Roman" w:cs="Times New Roman"/>
          <w:spacing w:val="4"/>
          <w:sz w:val="20"/>
          <w:szCs w:val="20"/>
        </w:rPr>
        <w:t xml:space="preserve">   </w:t>
      </w:r>
      <w:r>
        <w:rPr>
          <w:spacing w:val="7"/>
          <w:sz w:val="20"/>
          <w:szCs w:val="20"/>
        </w:rPr>
        <w:t>动能</w:t>
      </w:r>
      <w:r>
        <w:rPr>
          <w:rFonts w:ascii="Times New Roman" w:hAnsi="Times New Roman" w:eastAsia="Times New Roman" w:cs="Times New Roman"/>
          <w:spacing w:val="7"/>
          <w:sz w:val="20"/>
          <w:szCs w:val="20"/>
        </w:rPr>
        <w:t>(</w:t>
      </w:r>
      <w:r>
        <w:rPr>
          <w:rFonts w:ascii="Times New Roman" w:hAnsi="Times New Roman" w:eastAsia="Times New Roman" w:cs="Times New Roman"/>
          <w:sz w:val="20"/>
          <w:szCs w:val="20"/>
        </w:rPr>
        <w:t>kinetic</w:t>
      </w:r>
      <w:r>
        <w:rPr>
          <w:rFonts w:ascii="Times New Roman" w:hAnsi="Times New Roman" w:eastAsia="Times New Roman" w:cs="Times New Roman"/>
          <w:spacing w:val="1"/>
          <w:sz w:val="20"/>
          <w:szCs w:val="20"/>
        </w:rPr>
        <w:t xml:space="preserve">    </w:t>
      </w:r>
      <w:r>
        <w:rPr>
          <w:rFonts w:ascii="Times New Roman" w:hAnsi="Times New Roman" w:eastAsia="Times New Roman" w:cs="Times New Roman"/>
          <w:sz w:val="20"/>
          <w:szCs w:val="20"/>
        </w:rPr>
        <w:t>energy</w:t>
      </w:r>
      <w:r>
        <w:rPr>
          <w:rFonts w:ascii="Times New Roman" w:hAnsi="Times New Roman" w:eastAsia="Times New Roman" w:cs="Times New Roman"/>
          <w:spacing w:val="7"/>
          <w:sz w:val="20"/>
          <w:szCs w:val="20"/>
        </w:rPr>
        <w:t>)</w:t>
      </w:r>
      <w:r>
        <w:rPr>
          <w:rFonts w:ascii="Times New Roman" w:hAnsi="Times New Roman" w:eastAsia="Times New Roman" w:cs="Times New Roman"/>
          <w:sz w:val="20"/>
          <w:szCs w:val="20"/>
        </w:rPr>
        <w:t xml:space="preserve">   </w:t>
      </w:r>
      <w:r>
        <w:rPr>
          <w:rFonts w:ascii="宋体" w:hAnsi="宋体" w:eastAsia="宋体" w:cs="宋体"/>
          <w:spacing w:val="7"/>
          <w:sz w:val="20"/>
          <w:szCs w:val="20"/>
        </w:rPr>
        <w:t>亦有人称之为机械能</w:t>
      </w:r>
      <w:r>
        <w:rPr>
          <w:rFonts w:ascii="Times New Roman" w:hAnsi="Times New Roman" w:eastAsia="Times New Roman" w:cs="Times New Roman"/>
          <w:spacing w:val="7"/>
          <w:sz w:val="20"/>
          <w:szCs w:val="20"/>
        </w:rPr>
        <w:t>(</w:t>
      </w:r>
      <w:r>
        <w:rPr>
          <w:rFonts w:ascii="Times New Roman" w:hAnsi="Times New Roman" w:eastAsia="Times New Roman" w:cs="Times New Roman"/>
          <w:sz w:val="20"/>
          <w:szCs w:val="20"/>
        </w:rPr>
        <w:t>mechanical</w:t>
      </w:r>
      <w:r>
        <w:rPr>
          <w:rFonts w:ascii="Times New Roman" w:hAnsi="Times New Roman" w:eastAsia="Times New Roman" w:cs="Times New Roman"/>
          <w:spacing w:val="7"/>
          <w:sz w:val="20"/>
          <w:szCs w:val="20"/>
        </w:rPr>
        <w:t xml:space="preserve">    </w:t>
      </w:r>
      <w:r>
        <w:rPr>
          <w:rFonts w:ascii="Times New Roman" w:hAnsi="Times New Roman" w:eastAsia="Times New Roman" w:cs="Times New Roman"/>
          <w:sz w:val="20"/>
          <w:szCs w:val="20"/>
        </w:rPr>
        <w:t>energy</w:t>
      </w:r>
      <w:r>
        <w:rPr>
          <w:rFonts w:ascii="Times New Roman" w:hAnsi="Times New Roman" w:eastAsia="Times New Roman" w:cs="Times New Roman"/>
          <w:spacing w:val="7"/>
          <w:sz w:val="20"/>
          <w:szCs w:val="20"/>
        </w:rPr>
        <w:t>),</w:t>
      </w:r>
      <w:r>
        <w:rPr>
          <w:rFonts w:ascii="宋体" w:hAnsi="宋体" w:eastAsia="宋体" w:cs="宋体"/>
          <w:spacing w:val="7"/>
          <w:sz w:val="20"/>
          <w:szCs w:val="20"/>
        </w:rPr>
        <w:t>这是伤害中最常见的致伤</w:t>
      </w:r>
      <w:r>
        <w:rPr>
          <w:rFonts w:ascii="宋体" w:hAnsi="宋体" w:eastAsia="宋体" w:cs="宋体"/>
          <w:spacing w:val="2"/>
          <w:sz w:val="20"/>
          <w:szCs w:val="20"/>
        </w:rPr>
        <w:t xml:space="preserve"> </w:t>
      </w:r>
      <w:r>
        <w:rPr>
          <w:rFonts w:ascii="宋体" w:hAnsi="宋体" w:eastAsia="宋体" w:cs="宋体"/>
          <w:spacing w:val="3"/>
          <w:sz w:val="20"/>
          <w:szCs w:val="20"/>
        </w:rPr>
        <w:t>因子，如汽车相撞所产生的能量传递以及跌倒所产生的能量传递等均属此类。</w:t>
      </w:r>
    </w:p>
    <w:p w14:paraId="448B1F0B">
      <w:pPr>
        <w:pStyle w:val="2"/>
        <w:spacing w:line="221" w:lineRule="auto"/>
        <w:ind w:left="1069"/>
        <w:rPr>
          <w:rFonts w:ascii="宋体" w:hAnsi="宋体" w:eastAsia="宋体" w:cs="宋体"/>
          <w:sz w:val="20"/>
          <w:szCs w:val="20"/>
        </w:rPr>
      </w:pPr>
      <w:r>
        <w:rPr>
          <w:rFonts w:ascii="宋体" w:hAnsi="宋体" w:eastAsia="宋体" w:cs="宋体"/>
          <w:spacing w:val="4"/>
          <w:sz w:val="20"/>
          <w:szCs w:val="20"/>
        </w:rPr>
        <w:t>2.</w:t>
      </w:r>
      <w:r>
        <w:rPr>
          <w:rFonts w:ascii="宋体" w:hAnsi="宋体" w:eastAsia="宋体" w:cs="宋体"/>
          <w:spacing w:val="-14"/>
          <w:sz w:val="20"/>
          <w:szCs w:val="20"/>
        </w:rPr>
        <w:t xml:space="preserve"> </w:t>
      </w:r>
      <w:r>
        <w:rPr>
          <w:spacing w:val="4"/>
          <w:sz w:val="20"/>
          <w:szCs w:val="20"/>
        </w:rPr>
        <w:t>热</w:t>
      </w:r>
      <w:r>
        <w:rPr>
          <w:spacing w:val="-36"/>
          <w:sz w:val="20"/>
          <w:szCs w:val="20"/>
        </w:rPr>
        <w:t xml:space="preserve"> </w:t>
      </w:r>
      <w:r>
        <w:rPr>
          <w:spacing w:val="4"/>
          <w:sz w:val="20"/>
          <w:szCs w:val="20"/>
        </w:rPr>
        <w:t xml:space="preserve">能 </w:t>
      </w:r>
      <w:r>
        <w:rPr>
          <w:rFonts w:ascii="宋体" w:hAnsi="宋体" w:eastAsia="宋体" w:cs="宋体"/>
          <w:spacing w:val="4"/>
          <w:sz w:val="20"/>
          <w:szCs w:val="20"/>
        </w:rPr>
        <w:t>各类烧伤均属于过度的热能暴露所致，而热能的过度缺乏则会导致冻伤。</w:t>
      </w:r>
    </w:p>
    <w:p w14:paraId="59D07723">
      <w:pPr>
        <w:spacing w:before="110" w:line="219" w:lineRule="auto"/>
        <w:ind w:left="1069"/>
        <w:rPr>
          <w:rFonts w:ascii="宋体" w:hAnsi="宋体" w:eastAsia="宋体" w:cs="宋体"/>
          <w:sz w:val="20"/>
          <w:szCs w:val="20"/>
        </w:rPr>
      </w:pPr>
      <w:r>
        <w:rPr>
          <w:rFonts w:ascii="宋体" w:hAnsi="宋体" w:eastAsia="宋体" w:cs="宋体"/>
          <w:spacing w:val="15"/>
          <w:sz w:val="20"/>
          <w:szCs w:val="20"/>
        </w:rPr>
        <w:t>3. 电能是导致触电或电烧伤的重要原因。</w:t>
      </w:r>
    </w:p>
    <w:p w14:paraId="6990434E">
      <w:pPr>
        <w:pStyle w:val="2"/>
        <w:spacing w:before="152" w:line="222" w:lineRule="auto"/>
        <w:ind w:left="1069"/>
        <w:rPr>
          <w:rFonts w:ascii="宋体" w:hAnsi="宋体" w:eastAsia="宋体" w:cs="宋体"/>
          <w:sz w:val="20"/>
          <w:szCs w:val="20"/>
        </w:rPr>
      </w:pPr>
      <w:r>
        <w:rPr>
          <w:rFonts w:ascii="宋体" w:hAnsi="宋体" w:eastAsia="宋体" w:cs="宋体"/>
          <w:spacing w:val="6"/>
          <w:sz w:val="20"/>
          <w:szCs w:val="20"/>
        </w:rPr>
        <w:t xml:space="preserve">4. </w:t>
      </w:r>
      <w:r>
        <w:rPr>
          <w:spacing w:val="6"/>
          <w:sz w:val="20"/>
          <w:szCs w:val="20"/>
        </w:rPr>
        <w:t>辐射能</w:t>
      </w:r>
      <w:r>
        <w:rPr>
          <w:spacing w:val="83"/>
          <w:sz w:val="20"/>
          <w:szCs w:val="20"/>
        </w:rPr>
        <w:t xml:space="preserve"> </w:t>
      </w:r>
      <w:r>
        <w:rPr>
          <w:rFonts w:ascii="宋体" w:hAnsi="宋体" w:eastAsia="宋体" w:cs="宋体"/>
          <w:spacing w:val="6"/>
          <w:sz w:val="20"/>
          <w:szCs w:val="20"/>
        </w:rPr>
        <w:t>大剂量的放射线暴露会引起烧伤。</w:t>
      </w:r>
    </w:p>
    <w:p w14:paraId="6CD29926">
      <w:pPr>
        <w:pStyle w:val="2"/>
        <w:spacing w:before="129" w:line="221" w:lineRule="auto"/>
        <w:ind w:left="1069"/>
        <w:rPr>
          <w:rFonts w:ascii="宋体" w:hAnsi="宋体" w:eastAsia="宋体" w:cs="宋体"/>
          <w:sz w:val="20"/>
          <w:szCs w:val="20"/>
        </w:rPr>
      </w:pPr>
      <w:r>
        <w:rPr>
          <w:rFonts w:ascii="宋体" w:hAnsi="宋体" w:eastAsia="宋体" w:cs="宋体"/>
          <w:spacing w:val="8"/>
          <w:sz w:val="20"/>
          <w:szCs w:val="20"/>
        </w:rPr>
        <w:t>5.</w:t>
      </w:r>
      <w:r>
        <w:rPr>
          <w:rFonts w:ascii="宋体" w:hAnsi="宋体" w:eastAsia="宋体" w:cs="宋体"/>
          <w:spacing w:val="-8"/>
          <w:sz w:val="20"/>
          <w:szCs w:val="20"/>
        </w:rPr>
        <w:t xml:space="preserve"> </w:t>
      </w:r>
      <w:r>
        <w:rPr>
          <w:spacing w:val="8"/>
          <w:sz w:val="20"/>
          <w:szCs w:val="20"/>
        </w:rPr>
        <w:t>化学能</w:t>
      </w:r>
      <w:r>
        <w:rPr>
          <w:spacing w:val="59"/>
          <w:sz w:val="20"/>
          <w:szCs w:val="20"/>
        </w:rPr>
        <w:t xml:space="preserve"> </w:t>
      </w:r>
      <w:r>
        <w:rPr>
          <w:rFonts w:ascii="宋体" w:hAnsi="宋体" w:eastAsia="宋体" w:cs="宋体"/>
          <w:spacing w:val="8"/>
          <w:sz w:val="20"/>
          <w:szCs w:val="20"/>
        </w:rPr>
        <w:t>通过干扰机体的能量代谢造成伤害。</w:t>
      </w:r>
    </w:p>
    <w:p w14:paraId="5A60EE48">
      <w:pPr>
        <w:pStyle w:val="2"/>
        <w:spacing w:before="154" w:line="224" w:lineRule="auto"/>
        <w:ind w:left="1069"/>
        <w:rPr>
          <w:sz w:val="20"/>
          <w:szCs w:val="20"/>
        </w:rPr>
      </w:pPr>
      <w:r>
        <w:rPr>
          <w:spacing w:val="-14"/>
          <w:sz w:val="20"/>
          <w:szCs w:val="20"/>
        </w:rPr>
        <w:t>(</w:t>
      </w:r>
      <w:r>
        <w:rPr>
          <w:spacing w:val="-33"/>
          <w:sz w:val="20"/>
          <w:szCs w:val="20"/>
        </w:rPr>
        <w:t xml:space="preserve"> </w:t>
      </w:r>
      <w:r>
        <w:rPr>
          <w:spacing w:val="-14"/>
          <w:sz w:val="20"/>
          <w:szCs w:val="20"/>
        </w:rPr>
        <w:t>二</w:t>
      </w:r>
      <w:r>
        <w:rPr>
          <w:spacing w:val="-39"/>
          <w:sz w:val="20"/>
          <w:szCs w:val="20"/>
        </w:rPr>
        <w:t xml:space="preserve"> </w:t>
      </w:r>
      <w:r>
        <w:rPr>
          <w:spacing w:val="-14"/>
          <w:sz w:val="20"/>
          <w:szCs w:val="20"/>
        </w:rPr>
        <w:t>)</w:t>
      </w:r>
      <w:r>
        <w:rPr>
          <w:spacing w:val="-35"/>
          <w:sz w:val="20"/>
          <w:szCs w:val="20"/>
        </w:rPr>
        <w:t xml:space="preserve"> </w:t>
      </w:r>
      <w:r>
        <w:rPr>
          <w:spacing w:val="-14"/>
          <w:sz w:val="20"/>
          <w:szCs w:val="20"/>
        </w:rPr>
        <w:t>宿</w:t>
      </w:r>
      <w:r>
        <w:rPr>
          <w:spacing w:val="-32"/>
          <w:sz w:val="20"/>
          <w:szCs w:val="20"/>
        </w:rPr>
        <w:t xml:space="preserve"> </w:t>
      </w:r>
      <w:r>
        <w:rPr>
          <w:spacing w:val="-14"/>
          <w:sz w:val="20"/>
          <w:szCs w:val="20"/>
        </w:rPr>
        <w:t>主</w:t>
      </w:r>
    </w:p>
    <w:p w14:paraId="1F0455FE">
      <w:pPr>
        <w:spacing w:before="126" w:line="343" w:lineRule="auto"/>
        <w:ind w:left="669" w:right="5" w:firstLine="399"/>
        <w:jc w:val="both"/>
        <w:rPr>
          <w:rFonts w:ascii="宋体" w:hAnsi="宋体" w:eastAsia="宋体" w:cs="宋体"/>
          <w:sz w:val="20"/>
          <w:szCs w:val="20"/>
        </w:rPr>
      </w:pPr>
      <w:r>
        <w:rPr>
          <w:rFonts w:ascii="宋体" w:hAnsi="宋体" w:eastAsia="宋体" w:cs="宋体"/>
          <w:spacing w:val="4"/>
          <w:sz w:val="20"/>
          <w:szCs w:val="20"/>
        </w:rPr>
        <w:t>所谓宿主，就是受伤害的个体，也是伤害流行病学的主要研究对象。宿主的条件和耐受性将影</w:t>
      </w:r>
      <w:r>
        <w:rPr>
          <w:rFonts w:ascii="宋体" w:hAnsi="宋体" w:eastAsia="宋体" w:cs="宋体"/>
          <w:spacing w:val="13"/>
          <w:sz w:val="20"/>
          <w:szCs w:val="20"/>
        </w:rPr>
        <w:t xml:space="preserve"> </w:t>
      </w:r>
      <w:r>
        <w:rPr>
          <w:rFonts w:ascii="宋体" w:hAnsi="宋体" w:eastAsia="宋体" w:cs="宋体"/>
          <w:spacing w:val="10"/>
          <w:sz w:val="20"/>
          <w:szCs w:val="20"/>
        </w:rPr>
        <w:t>响伤害的发生与否以及严重程度。宿主对能量交换的耐受性</w:t>
      </w:r>
      <w:r>
        <w:rPr>
          <w:rFonts w:ascii="宋体" w:hAnsi="宋体" w:eastAsia="宋体" w:cs="宋体"/>
          <w:spacing w:val="9"/>
          <w:sz w:val="20"/>
          <w:szCs w:val="20"/>
        </w:rPr>
        <w:t>则取决于多种因素，既有个人内在的</w:t>
      </w:r>
      <w:r>
        <w:rPr>
          <w:rFonts w:ascii="宋体" w:hAnsi="宋体" w:eastAsia="宋体" w:cs="宋体"/>
          <w:sz w:val="20"/>
          <w:szCs w:val="20"/>
        </w:rPr>
        <w:t xml:space="preserve"> </w:t>
      </w:r>
      <w:r>
        <w:rPr>
          <w:rFonts w:ascii="宋体" w:hAnsi="宋体" w:eastAsia="宋体" w:cs="宋体"/>
          <w:spacing w:val="1"/>
          <w:sz w:val="20"/>
          <w:szCs w:val="20"/>
        </w:rPr>
        <w:t>因素如性别、年龄等，也包括外在的因素如</w:t>
      </w:r>
      <w:r>
        <w:rPr>
          <w:rFonts w:ascii="宋体" w:hAnsi="宋体" w:eastAsia="宋体" w:cs="宋体"/>
          <w:sz w:val="20"/>
          <w:szCs w:val="20"/>
        </w:rPr>
        <w:t>疲劳、醉酒等。以下所列的是常见的宿主因素。</w:t>
      </w:r>
    </w:p>
    <w:p w14:paraId="2C5923B1">
      <w:pPr>
        <w:pStyle w:val="2"/>
        <w:spacing w:before="14" w:line="221" w:lineRule="auto"/>
        <w:ind w:left="1069"/>
        <w:rPr>
          <w:sz w:val="20"/>
          <w:szCs w:val="20"/>
        </w:rPr>
      </w:pPr>
      <w:r>
        <w:rPr>
          <w:rFonts w:ascii="宋体" w:hAnsi="宋体" w:eastAsia="宋体" w:cs="宋体"/>
          <w:spacing w:val="8"/>
          <w:sz w:val="20"/>
          <w:szCs w:val="20"/>
        </w:rPr>
        <w:t>1.</w:t>
      </w:r>
      <w:r>
        <w:rPr>
          <w:rFonts w:ascii="宋体" w:hAnsi="宋体" w:eastAsia="宋体" w:cs="宋体"/>
          <w:spacing w:val="-18"/>
          <w:sz w:val="20"/>
          <w:szCs w:val="20"/>
        </w:rPr>
        <w:t xml:space="preserve"> </w:t>
      </w:r>
      <w:r>
        <w:rPr>
          <w:spacing w:val="8"/>
          <w:sz w:val="20"/>
          <w:szCs w:val="20"/>
        </w:rPr>
        <w:t>人口学特征</w:t>
      </w:r>
    </w:p>
    <w:p w14:paraId="2F7C868F">
      <w:pPr>
        <w:spacing w:before="120" w:line="301" w:lineRule="auto"/>
        <w:ind w:left="669" w:firstLine="399"/>
        <w:rPr>
          <w:rFonts w:ascii="宋体" w:hAnsi="宋体" w:eastAsia="宋体" w:cs="宋体"/>
          <w:sz w:val="20"/>
          <w:szCs w:val="20"/>
        </w:rPr>
      </w:pPr>
      <w:r>
        <w:rPr>
          <w:rFonts w:ascii="宋体" w:hAnsi="宋体" w:eastAsia="宋体" w:cs="宋体"/>
          <w:spacing w:val="7"/>
          <w:sz w:val="20"/>
          <w:szCs w:val="20"/>
        </w:rPr>
        <w:t>(1)年龄：不同年龄组易发生的伤害不同，相应的危险性亦不同。儿童易发生溺水，青壮年易</w:t>
      </w:r>
      <w:r>
        <w:rPr>
          <w:rFonts w:ascii="宋体" w:hAnsi="宋体" w:eastAsia="宋体" w:cs="宋体"/>
          <w:spacing w:val="16"/>
          <w:sz w:val="20"/>
          <w:szCs w:val="20"/>
        </w:rPr>
        <w:t xml:space="preserve"> </w:t>
      </w:r>
      <w:r>
        <w:rPr>
          <w:rFonts w:ascii="宋体" w:hAnsi="宋体" w:eastAsia="宋体" w:cs="宋体"/>
          <w:spacing w:val="4"/>
          <w:sz w:val="20"/>
          <w:szCs w:val="20"/>
        </w:rPr>
        <w:t>发生交通伤害，老年人易发生跌倒。因此，年龄是伤害研究中必须单独予以分析和考虑的因素。在</w:t>
      </w:r>
      <w:r>
        <w:rPr>
          <w:rFonts w:ascii="宋体" w:hAnsi="宋体" w:eastAsia="宋体" w:cs="宋体"/>
          <w:spacing w:val="8"/>
          <w:sz w:val="20"/>
          <w:szCs w:val="20"/>
        </w:rPr>
        <w:t xml:space="preserve"> </w:t>
      </w:r>
      <w:r>
        <w:rPr>
          <w:rFonts w:ascii="宋体" w:hAnsi="宋体" w:eastAsia="宋体" w:cs="宋体"/>
          <w:spacing w:val="2"/>
          <w:sz w:val="20"/>
          <w:szCs w:val="20"/>
        </w:rPr>
        <w:t>计算伤害发生率、死亡率时，通常多采用年龄别发生率和死亡率。</w:t>
      </w:r>
    </w:p>
    <w:p w14:paraId="6FAC1768">
      <w:pPr>
        <w:spacing w:before="164" w:line="271" w:lineRule="auto"/>
        <w:ind w:left="669" w:right="9" w:firstLine="399"/>
        <w:rPr>
          <w:rFonts w:ascii="宋体" w:hAnsi="宋体" w:eastAsia="宋体" w:cs="宋体"/>
          <w:sz w:val="20"/>
          <w:szCs w:val="20"/>
        </w:rPr>
      </w:pPr>
      <w:r>
        <w:rPr>
          <w:rFonts w:ascii="宋体" w:hAnsi="宋体" w:eastAsia="宋体" w:cs="宋体"/>
          <w:spacing w:val="7"/>
          <w:sz w:val="20"/>
          <w:szCs w:val="20"/>
        </w:rPr>
        <w:t>(2)性别：伤害的发生存在着明显的性别差异，大部分伤害的发生率为男性高于女性，而自杀</w:t>
      </w:r>
      <w:r>
        <w:rPr>
          <w:rFonts w:ascii="宋体" w:hAnsi="宋体" w:eastAsia="宋体" w:cs="宋体"/>
          <w:spacing w:val="6"/>
          <w:sz w:val="20"/>
          <w:szCs w:val="20"/>
        </w:rPr>
        <w:t xml:space="preserve"> </w:t>
      </w:r>
      <w:r>
        <w:rPr>
          <w:rFonts w:ascii="宋体" w:hAnsi="宋体" w:eastAsia="宋体" w:cs="宋体"/>
          <w:spacing w:val="7"/>
          <w:sz w:val="20"/>
          <w:szCs w:val="20"/>
        </w:rPr>
        <w:t>行为则表现为女性多发。</w:t>
      </w:r>
    </w:p>
    <w:p w14:paraId="5D29BECF">
      <w:pPr>
        <w:spacing w:before="152" w:line="276" w:lineRule="auto"/>
        <w:ind w:left="669" w:right="12" w:firstLine="399"/>
        <w:rPr>
          <w:rFonts w:ascii="宋体" w:hAnsi="宋体" w:eastAsia="宋体" w:cs="宋体"/>
          <w:sz w:val="20"/>
          <w:szCs w:val="20"/>
        </w:rPr>
      </w:pPr>
      <w:r>
        <w:rPr>
          <w:rFonts w:ascii="宋体" w:hAnsi="宋体" w:eastAsia="宋体" w:cs="宋体"/>
          <w:spacing w:val="7"/>
          <w:sz w:val="20"/>
          <w:szCs w:val="20"/>
        </w:rPr>
        <w:t>(3)种族：伤害的种族差异是存在的。在美国，白种人和土著人的自杀率很高，而亚裔美国人</w:t>
      </w:r>
      <w:r>
        <w:rPr>
          <w:rFonts w:ascii="宋体" w:hAnsi="宋体" w:eastAsia="宋体" w:cs="宋体"/>
          <w:spacing w:val="3"/>
          <w:sz w:val="20"/>
          <w:szCs w:val="20"/>
        </w:rPr>
        <w:t xml:space="preserve"> </w:t>
      </w:r>
      <w:r>
        <w:rPr>
          <w:rFonts w:ascii="宋体" w:hAnsi="宋体" w:eastAsia="宋体" w:cs="宋体"/>
          <w:spacing w:val="5"/>
          <w:sz w:val="20"/>
          <w:szCs w:val="20"/>
        </w:rPr>
        <w:t>的自杀率则明显低于其他种族。</w:t>
      </w:r>
    </w:p>
    <w:p w14:paraId="209B7B69">
      <w:pPr>
        <w:spacing w:before="128" w:line="302" w:lineRule="auto"/>
        <w:ind w:left="669" w:right="7" w:firstLine="399"/>
        <w:rPr>
          <w:rFonts w:ascii="宋体" w:hAnsi="宋体" w:eastAsia="宋体" w:cs="宋体"/>
          <w:sz w:val="20"/>
          <w:szCs w:val="20"/>
        </w:rPr>
      </w:pPr>
      <w:r>
        <w:rPr>
          <w:rFonts w:ascii="宋体" w:hAnsi="宋体" w:eastAsia="宋体" w:cs="宋体"/>
          <w:spacing w:val="6"/>
          <w:sz w:val="20"/>
          <w:szCs w:val="20"/>
        </w:rPr>
        <w:t>(4)职业：职业因素是影响伤害的重要因素之一。全球疾病负担</w:t>
      </w:r>
      <w:r>
        <w:rPr>
          <w:rFonts w:ascii="Times New Roman" w:hAnsi="Times New Roman" w:eastAsia="Times New Roman" w:cs="Times New Roman"/>
          <w:spacing w:val="6"/>
          <w:sz w:val="20"/>
          <w:szCs w:val="20"/>
        </w:rPr>
        <w:t>(</w:t>
      </w:r>
      <w:r>
        <w:rPr>
          <w:rFonts w:ascii="Times New Roman" w:hAnsi="Times New Roman" w:eastAsia="Times New Roman" w:cs="Times New Roman"/>
          <w:sz w:val="20"/>
          <w:szCs w:val="20"/>
        </w:rPr>
        <w:t>GBD</w:t>
      </w:r>
      <w:r>
        <w:rPr>
          <w:rFonts w:ascii="Times New Roman" w:hAnsi="Times New Roman" w:eastAsia="Times New Roman" w:cs="Times New Roman"/>
          <w:spacing w:val="6"/>
          <w:sz w:val="20"/>
          <w:szCs w:val="20"/>
        </w:rPr>
        <w:t>)</w:t>
      </w:r>
      <w:r>
        <w:rPr>
          <w:rFonts w:ascii="Times New Roman" w:hAnsi="Times New Roman" w:eastAsia="Times New Roman" w:cs="Times New Roman"/>
          <w:spacing w:val="32"/>
          <w:w w:val="101"/>
          <w:sz w:val="20"/>
          <w:szCs w:val="20"/>
        </w:rPr>
        <w:t xml:space="preserve"> </w:t>
      </w:r>
      <w:r>
        <w:rPr>
          <w:rFonts w:ascii="宋体" w:hAnsi="宋体" w:eastAsia="宋体" w:cs="宋体"/>
          <w:spacing w:val="6"/>
          <w:sz w:val="20"/>
          <w:szCs w:val="20"/>
        </w:rPr>
        <w:t>研究显示，2019年职业</w:t>
      </w:r>
      <w:r>
        <w:rPr>
          <w:rFonts w:ascii="宋体" w:hAnsi="宋体" w:eastAsia="宋体" w:cs="宋体"/>
          <w:sz w:val="20"/>
          <w:szCs w:val="20"/>
        </w:rPr>
        <w:t xml:space="preserve"> </w:t>
      </w:r>
      <w:r>
        <w:rPr>
          <w:rFonts w:ascii="宋体" w:hAnsi="宋体" w:eastAsia="宋体" w:cs="宋体"/>
          <w:spacing w:val="18"/>
          <w:sz w:val="20"/>
          <w:szCs w:val="20"/>
        </w:rPr>
        <w:t>伤害是</w:t>
      </w:r>
      <w:r>
        <w:rPr>
          <w:rFonts w:ascii="Times New Roman" w:hAnsi="Times New Roman" w:eastAsia="Times New Roman" w:cs="Times New Roman"/>
          <w:sz w:val="20"/>
          <w:szCs w:val="20"/>
        </w:rPr>
        <w:t>GBD</w:t>
      </w:r>
      <w:r>
        <w:rPr>
          <w:rFonts w:ascii="Times New Roman" w:hAnsi="Times New Roman" w:eastAsia="Times New Roman" w:cs="Times New Roman"/>
          <w:spacing w:val="18"/>
          <w:sz w:val="20"/>
          <w:szCs w:val="20"/>
        </w:rPr>
        <w:t xml:space="preserve"> </w:t>
      </w:r>
      <w:r>
        <w:rPr>
          <w:rFonts w:ascii="宋体" w:hAnsi="宋体" w:eastAsia="宋体" w:cs="宋体"/>
          <w:spacing w:val="18"/>
          <w:sz w:val="20"/>
          <w:szCs w:val="20"/>
        </w:rPr>
        <w:t>第三层级的41个因素中对25～49岁年龄组伤残</w:t>
      </w:r>
      <w:r>
        <w:rPr>
          <w:rFonts w:ascii="宋体" w:hAnsi="宋体" w:eastAsia="宋体" w:cs="宋体"/>
          <w:spacing w:val="17"/>
          <w:sz w:val="20"/>
          <w:szCs w:val="20"/>
        </w:rPr>
        <w:t>调整寿命年</w:t>
      </w:r>
      <w:r>
        <w:rPr>
          <w:rFonts w:ascii="Times New Roman" w:hAnsi="Times New Roman" w:eastAsia="Times New Roman" w:cs="Times New Roman"/>
          <w:spacing w:val="17"/>
          <w:sz w:val="20"/>
          <w:szCs w:val="20"/>
        </w:rPr>
        <w:t>(</w:t>
      </w:r>
      <w:r>
        <w:rPr>
          <w:rFonts w:ascii="Times New Roman" w:hAnsi="Times New Roman" w:eastAsia="Times New Roman" w:cs="Times New Roman"/>
          <w:sz w:val="20"/>
          <w:szCs w:val="20"/>
        </w:rPr>
        <w:t>DALY</w:t>
      </w:r>
      <w:r>
        <w:rPr>
          <w:rFonts w:ascii="Times New Roman" w:hAnsi="Times New Roman" w:eastAsia="Times New Roman" w:cs="Times New Roman"/>
          <w:spacing w:val="17"/>
          <w:sz w:val="20"/>
          <w:szCs w:val="20"/>
        </w:rPr>
        <w:t xml:space="preserve">)  </w:t>
      </w:r>
      <w:r>
        <w:rPr>
          <w:rFonts w:ascii="宋体" w:hAnsi="宋体" w:eastAsia="宋体" w:cs="宋体"/>
          <w:spacing w:val="17"/>
          <w:sz w:val="20"/>
          <w:szCs w:val="20"/>
        </w:rPr>
        <w:t>影响最大的第</w:t>
      </w:r>
      <w:r>
        <w:rPr>
          <w:rFonts w:ascii="宋体" w:hAnsi="宋体" w:eastAsia="宋体" w:cs="宋体"/>
          <w:sz w:val="20"/>
          <w:szCs w:val="20"/>
        </w:rPr>
        <w:t xml:space="preserve"> </w:t>
      </w:r>
      <w:r>
        <w:rPr>
          <w:rFonts w:ascii="宋体" w:hAnsi="宋体" w:eastAsia="宋体" w:cs="宋体"/>
          <w:spacing w:val="10"/>
          <w:sz w:val="20"/>
          <w:szCs w:val="20"/>
        </w:rPr>
        <w:t>11位因素。</w:t>
      </w:r>
    </w:p>
    <w:p w14:paraId="58B5DF61">
      <w:pPr>
        <w:spacing w:before="161" w:line="306" w:lineRule="auto"/>
        <w:ind w:left="669" w:right="10" w:firstLine="399"/>
        <w:rPr>
          <w:rFonts w:ascii="宋体" w:hAnsi="宋体" w:eastAsia="宋体" w:cs="宋体"/>
          <w:sz w:val="20"/>
          <w:szCs w:val="20"/>
        </w:rPr>
      </w:pPr>
      <w:r>
        <w:rPr>
          <w:rFonts w:ascii="宋体" w:hAnsi="宋体" w:eastAsia="宋体" w:cs="宋体"/>
          <w:spacing w:val="8"/>
          <w:sz w:val="20"/>
          <w:szCs w:val="20"/>
        </w:rPr>
        <w:t>(5)收入水平：2019年</w:t>
      </w:r>
      <w:r>
        <w:rPr>
          <w:rFonts w:ascii="Times New Roman" w:hAnsi="Times New Roman" w:eastAsia="Times New Roman" w:cs="Times New Roman"/>
          <w:sz w:val="20"/>
          <w:szCs w:val="20"/>
        </w:rPr>
        <w:t>WHO</w:t>
      </w:r>
      <w:r>
        <w:rPr>
          <w:rFonts w:ascii="Times New Roman" w:hAnsi="Times New Roman" w:eastAsia="Times New Roman" w:cs="Times New Roman"/>
          <w:spacing w:val="8"/>
          <w:sz w:val="20"/>
          <w:szCs w:val="20"/>
        </w:rPr>
        <w:t xml:space="preserve"> </w:t>
      </w:r>
      <w:r>
        <w:rPr>
          <w:rFonts w:ascii="宋体" w:hAnsi="宋体" w:eastAsia="宋体" w:cs="宋体"/>
          <w:spacing w:val="8"/>
          <w:sz w:val="20"/>
          <w:szCs w:val="20"/>
        </w:rPr>
        <w:t>报道，全球儿童青少年伤害死亡率为23.04/10万，撒哈拉以南非</w:t>
      </w:r>
      <w:r>
        <w:rPr>
          <w:rFonts w:ascii="宋体" w:hAnsi="宋体" w:eastAsia="宋体" w:cs="宋体"/>
          <w:spacing w:val="2"/>
          <w:sz w:val="20"/>
          <w:szCs w:val="20"/>
        </w:rPr>
        <w:t xml:space="preserve"> </w:t>
      </w:r>
      <w:r>
        <w:rPr>
          <w:rFonts w:ascii="宋体" w:hAnsi="宋体" w:eastAsia="宋体" w:cs="宋体"/>
          <w:spacing w:val="9"/>
          <w:sz w:val="20"/>
          <w:szCs w:val="20"/>
        </w:rPr>
        <w:t>洲中部和加勒比地区最高，分别达35.84/10万和36.74/10万，最低为中欧地区(8.8/10万),东南</w:t>
      </w:r>
      <w:r>
        <w:rPr>
          <w:rFonts w:ascii="宋体" w:hAnsi="宋体" w:eastAsia="宋体" w:cs="宋体"/>
          <w:spacing w:val="13"/>
          <w:sz w:val="20"/>
          <w:szCs w:val="20"/>
        </w:rPr>
        <w:t xml:space="preserve"> </w:t>
      </w:r>
      <w:r>
        <w:rPr>
          <w:rFonts w:ascii="宋体" w:hAnsi="宋体" w:eastAsia="宋体" w:cs="宋体"/>
          <w:spacing w:val="11"/>
          <w:sz w:val="20"/>
          <w:szCs w:val="20"/>
        </w:rPr>
        <w:t>亚地区为22.1/10万；低收入国家的伤害死亡率(31.96/10万)为高收入国家(10.2</w:t>
      </w:r>
      <w:r>
        <w:rPr>
          <w:rFonts w:ascii="宋体" w:hAnsi="宋体" w:eastAsia="宋体" w:cs="宋体"/>
          <w:spacing w:val="10"/>
          <w:sz w:val="20"/>
          <w:szCs w:val="20"/>
        </w:rPr>
        <w:t>3/10万)的3倍</w:t>
      </w:r>
      <w:r>
        <w:rPr>
          <w:rFonts w:ascii="宋体" w:hAnsi="宋体" w:eastAsia="宋体" w:cs="宋体"/>
          <w:sz w:val="20"/>
          <w:szCs w:val="20"/>
        </w:rPr>
        <w:t xml:space="preserve"> </w:t>
      </w:r>
      <w:r>
        <w:rPr>
          <w:rFonts w:ascii="宋体" w:hAnsi="宋体" w:eastAsia="宋体" w:cs="宋体"/>
          <w:spacing w:val="3"/>
          <w:sz w:val="20"/>
          <w:szCs w:val="20"/>
        </w:rPr>
        <w:t>以上。</w:t>
      </w:r>
    </w:p>
    <w:p w14:paraId="725CDB16">
      <w:pPr>
        <w:spacing w:before="176" w:line="219" w:lineRule="auto"/>
        <w:ind w:left="1069"/>
        <w:rPr>
          <w:rFonts w:ascii="宋体" w:hAnsi="宋体" w:eastAsia="宋体" w:cs="宋体"/>
          <w:sz w:val="20"/>
          <w:szCs w:val="20"/>
        </w:rPr>
      </w:pPr>
      <w:r>
        <w:rPr>
          <w:rFonts w:ascii="宋体" w:hAnsi="宋体" w:eastAsia="宋体" w:cs="宋体"/>
          <w:spacing w:val="8"/>
          <w:sz w:val="20"/>
          <w:szCs w:val="20"/>
        </w:rPr>
        <w:t>2.</w:t>
      </w:r>
      <w:r>
        <w:rPr>
          <w:rFonts w:ascii="宋体" w:hAnsi="宋体" w:eastAsia="宋体" w:cs="宋体"/>
          <w:spacing w:val="-6"/>
          <w:sz w:val="20"/>
          <w:szCs w:val="20"/>
        </w:rPr>
        <w:t xml:space="preserve"> </w:t>
      </w:r>
      <w:r>
        <w:rPr>
          <w:rFonts w:ascii="宋体" w:hAnsi="宋体" w:eastAsia="宋体" w:cs="宋体"/>
          <w:spacing w:val="8"/>
          <w:sz w:val="20"/>
          <w:szCs w:val="20"/>
        </w:rPr>
        <w:t>心理行为特征</w:t>
      </w:r>
    </w:p>
    <w:p w14:paraId="77330A25">
      <w:pPr>
        <w:spacing w:before="131" w:line="333" w:lineRule="auto"/>
        <w:ind w:left="669" w:right="9" w:firstLine="399"/>
        <w:jc w:val="both"/>
        <w:rPr>
          <w:rFonts w:ascii="宋体" w:hAnsi="宋体" w:eastAsia="宋体" w:cs="宋体"/>
          <w:sz w:val="20"/>
          <w:szCs w:val="20"/>
        </w:rPr>
      </w:pPr>
      <w:r>
        <w:rPr>
          <w:rFonts w:ascii="宋体" w:hAnsi="宋体" w:eastAsia="宋体" w:cs="宋体"/>
          <w:spacing w:val="17"/>
          <w:sz w:val="20"/>
          <w:szCs w:val="20"/>
        </w:rPr>
        <w:t>(1)饮酒： 一项来自国际合作的关于急诊病人外伤与饮酒的关联研究发现，受伤前6小时</w:t>
      </w:r>
      <w:r>
        <w:rPr>
          <w:rFonts w:ascii="宋体" w:hAnsi="宋体" w:eastAsia="宋体" w:cs="宋体"/>
          <w:spacing w:val="3"/>
          <w:sz w:val="20"/>
          <w:szCs w:val="20"/>
        </w:rPr>
        <w:t xml:space="preserve"> </w:t>
      </w:r>
      <w:r>
        <w:rPr>
          <w:rFonts w:ascii="宋体" w:hAnsi="宋体" w:eastAsia="宋体" w:cs="宋体"/>
          <w:spacing w:val="13"/>
          <w:sz w:val="20"/>
          <w:szCs w:val="20"/>
        </w:rPr>
        <w:t>内饮酒可明显增加外伤发生及遭受故意伤害的风险(</w:t>
      </w:r>
      <w:r>
        <w:rPr>
          <w:rFonts w:ascii="宋体" w:hAnsi="宋体" w:eastAsia="宋体" w:cs="宋体"/>
          <w:sz w:val="20"/>
          <w:szCs w:val="20"/>
        </w:rPr>
        <w:t>OR</w:t>
      </w:r>
      <w:r>
        <w:rPr>
          <w:rFonts w:ascii="宋体" w:hAnsi="宋体" w:eastAsia="宋体" w:cs="宋体"/>
          <w:spacing w:val="13"/>
          <w:sz w:val="20"/>
          <w:szCs w:val="20"/>
        </w:rPr>
        <w:t>=2.79),  同时也增加</w:t>
      </w:r>
      <w:r>
        <w:rPr>
          <w:rFonts w:ascii="宋体" w:hAnsi="宋体" w:eastAsia="宋体" w:cs="宋体"/>
          <w:spacing w:val="12"/>
          <w:sz w:val="20"/>
          <w:szCs w:val="20"/>
        </w:rPr>
        <w:t>交通伤害相关风险</w:t>
      </w:r>
      <w:r>
        <w:rPr>
          <w:rFonts w:ascii="宋体" w:hAnsi="宋体" w:eastAsia="宋体" w:cs="宋体"/>
          <w:sz w:val="20"/>
          <w:szCs w:val="20"/>
        </w:rPr>
        <w:t xml:space="preserve"> </w:t>
      </w:r>
      <w:r>
        <w:rPr>
          <w:rFonts w:ascii="Times New Roman" w:hAnsi="Times New Roman" w:eastAsia="Times New Roman" w:cs="Times New Roman"/>
          <w:spacing w:val="-1"/>
          <w:sz w:val="20"/>
          <w:szCs w:val="20"/>
        </w:rPr>
        <w:t>(OR=2.41)</w:t>
      </w:r>
      <w:r>
        <w:rPr>
          <w:rFonts w:ascii="宋体" w:hAnsi="宋体" w:eastAsia="宋体" w:cs="宋体"/>
          <w:spacing w:val="-1"/>
          <w:sz w:val="20"/>
          <w:szCs w:val="20"/>
        </w:rPr>
        <w:t>。</w:t>
      </w:r>
    </w:p>
    <w:p w14:paraId="6885473A">
      <w:pPr>
        <w:spacing w:line="333" w:lineRule="auto"/>
        <w:rPr>
          <w:rFonts w:ascii="宋体" w:hAnsi="宋体" w:eastAsia="宋体" w:cs="宋体"/>
          <w:sz w:val="20"/>
          <w:szCs w:val="20"/>
        </w:rPr>
        <w:sectPr>
          <w:footerReference r:id="rId253" w:type="default"/>
          <w:pgSz w:w="11900" w:h="16820"/>
          <w:pgMar w:top="400" w:right="1568" w:bottom="859" w:left="850" w:header="0" w:footer="679" w:gutter="0"/>
          <w:cols w:space="720" w:num="1"/>
        </w:sectPr>
      </w:pPr>
    </w:p>
    <w:p w14:paraId="15DF0053">
      <w:pPr>
        <w:pStyle w:val="2"/>
        <w:spacing w:before="136" w:line="221" w:lineRule="auto"/>
        <w:ind w:left="7120"/>
        <w:rPr>
          <w:sz w:val="21"/>
          <w:szCs w:val="21"/>
        </w:rPr>
      </w:pPr>
      <w:bookmarkStart w:id="393" w:name="bookmark532"/>
      <w:bookmarkEnd w:id="393"/>
      <w:r>
        <w:rPr>
          <w:spacing w:val="-18"/>
          <w:w w:val="98"/>
          <w:sz w:val="21"/>
          <w:szCs w:val="21"/>
        </w:rPr>
        <w:t>第十五章伤害流行病学</w:t>
      </w:r>
    </w:p>
    <w:p w14:paraId="2DD49DBD">
      <w:pPr>
        <w:spacing w:line="278" w:lineRule="auto"/>
        <w:rPr>
          <w:rFonts w:ascii="Arial"/>
          <w:sz w:val="21"/>
        </w:rPr>
      </w:pPr>
    </w:p>
    <w:p w14:paraId="73415E64">
      <w:pPr>
        <w:spacing w:line="279" w:lineRule="auto"/>
        <w:rPr>
          <w:rFonts w:ascii="Arial"/>
          <w:sz w:val="21"/>
        </w:rPr>
      </w:pPr>
    </w:p>
    <w:p w14:paraId="5EC3E5C5">
      <w:pPr>
        <w:spacing w:before="68" w:line="306" w:lineRule="auto"/>
        <w:ind w:right="605" w:firstLine="409"/>
        <w:rPr>
          <w:rFonts w:ascii="宋体" w:hAnsi="宋体" w:eastAsia="宋体" w:cs="宋体"/>
          <w:sz w:val="21"/>
          <w:szCs w:val="21"/>
        </w:rPr>
      </w:pPr>
      <w:r>
        <w:rPr>
          <w:rFonts w:ascii="宋体" w:hAnsi="宋体" w:eastAsia="宋体" w:cs="宋体"/>
          <w:spacing w:val="4"/>
          <w:sz w:val="21"/>
          <w:szCs w:val="21"/>
        </w:rPr>
        <w:t>(2)戴头盔和系安全带：摩托车驾乘人员戴头盔</w:t>
      </w:r>
      <w:r>
        <w:rPr>
          <w:rFonts w:ascii="宋体" w:hAnsi="宋体" w:eastAsia="宋体" w:cs="宋体"/>
          <w:spacing w:val="3"/>
          <w:sz w:val="21"/>
          <w:szCs w:val="21"/>
        </w:rPr>
        <w:t>和机动车驾乘人员系安全带是有明文规定的，</w:t>
      </w:r>
      <w:r>
        <w:rPr>
          <w:rFonts w:ascii="宋体" w:hAnsi="宋体" w:eastAsia="宋体" w:cs="宋体"/>
          <w:sz w:val="21"/>
          <w:szCs w:val="21"/>
        </w:rPr>
        <w:t xml:space="preserve"> 但许多驾乘人员因感到不舒适而不愿意遵守这些规定，尤其是在夏天。某省2013年现况调查发现，</w:t>
      </w:r>
      <w:r>
        <w:rPr>
          <w:rFonts w:ascii="宋体" w:hAnsi="宋体" w:eastAsia="宋体" w:cs="宋体"/>
          <w:spacing w:val="3"/>
          <w:sz w:val="21"/>
          <w:szCs w:val="21"/>
        </w:rPr>
        <w:t xml:space="preserve"> </w:t>
      </w:r>
      <w:r>
        <w:rPr>
          <w:rFonts w:ascii="宋体" w:hAnsi="宋体" w:eastAsia="宋体" w:cs="宋体"/>
          <w:spacing w:val="8"/>
          <w:sz w:val="21"/>
          <w:szCs w:val="21"/>
        </w:rPr>
        <w:t>摩托车驾乘人员头盔总是佩戴率为9.45%,从不佩戴率为45</w:t>
      </w:r>
      <w:r>
        <w:rPr>
          <w:rFonts w:ascii="宋体" w:hAnsi="宋体" w:eastAsia="宋体" w:cs="宋体"/>
          <w:spacing w:val="7"/>
          <w:sz w:val="21"/>
          <w:szCs w:val="21"/>
        </w:rPr>
        <w:t>.33%。机动车乘坐人员安全带总是佩</w:t>
      </w:r>
      <w:r>
        <w:rPr>
          <w:rFonts w:ascii="宋体" w:hAnsi="宋体" w:eastAsia="宋体" w:cs="宋体"/>
          <w:sz w:val="21"/>
          <w:szCs w:val="21"/>
        </w:rPr>
        <w:t xml:space="preserve">  </w:t>
      </w:r>
      <w:r>
        <w:rPr>
          <w:rFonts w:ascii="宋体" w:hAnsi="宋体" w:eastAsia="宋体" w:cs="宋体"/>
          <w:spacing w:val="9"/>
          <w:sz w:val="21"/>
          <w:szCs w:val="21"/>
        </w:rPr>
        <w:t>戴率为18.32%,从不佩戴率为20.87%;机动车驾驶员安全带总是佩戴率为55.73%,从不佩戴率为</w:t>
      </w:r>
      <w:r>
        <w:rPr>
          <w:rFonts w:ascii="宋体" w:hAnsi="宋体" w:eastAsia="宋体" w:cs="宋体"/>
          <w:spacing w:val="2"/>
          <w:sz w:val="21"/>
          <w:szCs w:val="21"/>
        </w:rPr>
        <w:t xml:space="preserve">  </w:t>
      </w:r>
      <w:r>
        <w:rPr>
          <w:rFonts w:ascii="宋体" w:hAnsi="宋体" w:eastAsia="宋体" w:cs="宋体"/>
          <w:spacing w:val="1"/>
          <w:sz w:val="21"/>
          <w:szCs w:val="21"/>
        </w:rPr>
        <w:t>9.04%;相比总是佩戴者，从不佩戴者交通伤害</w:t>
      </w:r>
      <w:r>
        <w:rPr>
          <w:rFonts w:ascii="宋体" w:hAnsi="宋体" w:eastAsia="宋体" w:cs="宋体"/>
          <w:sz w:val="21"/>
          <w:szCs w:val="21"/>
        </w:rPr>
        <w:t>的危险性增高。</w:t>
      </w:r>
    </w:p>
    <w:p w14:paraId="41E87432">
      <w:pPr>
        <w:spacing w:before="118" w:line="298" w:lineRule="auto"/>
        <w:ind w:right="694" w:firstLine="409"/>
        <w:rPr>
          <w:rFonts w:ascii="宋体" w:hAnsi="宋体" w:eastAsia="宋体" w:cs="宋体"/>
          <w:sz w:val="21"/>
          <w:szCs w:val="21"/>
        </w:rPr>
      </w:pPr>
      <w:r>
        <w:rPr>
          <w:rFonts w:ascii="宋体" w:hAnsi="宋体" w:eastAsia="宋体" w:cs="宋体"/>
          <w:spacing w:val="6"/>
          <w:sz w:val="21"/>
          <w:szCs w:val="21"/>
        </w:rPr>
        <w:t>(3)心理因素：心理素质是导致各类伤害的重要原因之一。由于女性和老年人心理通常更脆</w:t>
      </w:r>
      <w:r>
        <w:rPr>
          <w:rFonts w:ascii="宋体" w:hAnsi="宋体" w:eastAsia="宋体" w:cs="宋体"/>
          <w:spacing w:val="7"/>
          <w:sz w:val="21"/>
          <w:szCs w:val="21"/>
        </w:rPr>
        <w:t xml:space="preserve"> </w:t>
      </w:r>
      <w:r>
        <w:rPr>
          <w:rFonts w:ascii="宋体" w:hAnsi="宋体" w:eastAsia="宋体" w:cs="宋体"/>
          <w:spacing w:val="2"/>
          <w:sz w:val="21"/>
          <w:szCs w:val="21"/>
        </w:rPr>
        <w:t>弱，容易产生自杀倾向。</w:t>
      </w:r>
      <w:r>
        <w:rPr>
          <w:rFonts w:ascii="宋体" w:hAnsi="宋体" w:eastAsia="宋体" w:cs="宋体"/>
          <w:spacing w:val="-43"/>
          <w:sz w:val="21"/>
          <w:szCs w:val="21"/>
        </w:rPr>
        <w:t xml:space="preserve"> </w:t>
      </w:r>
      <w:r>
        <w:rPr>
          <w:rFonts w:ascii="宋体" w:hAnsi="宋体" w:eastAsia="宋体" w:cs="宋体"/>
          <w:spacing w:val="2"/>
          <w:sz w:val="21"/>
          <w:szCs w:val="21"/>
        </w:rPr>
        <w:t>A 型性格的个体由于在生活中易争强好胜，所以多发生交通伤害、溺水</w:t>
      </w:r>
      <w:r>
        <w:rPr>
          <w:rFonts w:ascii="宋体" w:hAnsi="宋体" w:eastAsia="宋体" w:cs="宋体"/>
          <w:sz w:val="21"/>
          <w:szCs w:val="21"/>
        </w:rPr>
        <w:t xml:space="preserve"> 和跌倒等伤害，有学者将此称为事故倾向</w:t>
      </w:r>
      <w:r>
        <w:rPr>
          <w:rFonts w:ascii="Times New Roman" w:hAnsi="Times New Roman" w:eastAsia="Times New Roman" w:cs="Times New Roman"/>
          <w:sz w:val="21"/>
          <w:szCs w:val="21"/>
        </w:rPr>
        <w:t>(accident-prone)</w:t>
      </w:r>
      <w:r>
        <w:rPr>
          <w:rFonts w:ascii="Times New Roman" w:hAnsi="Times New Roman" w:eastAsia="Times New Roman" w:cs="Times New Roman"/>
          <w:spacing w:val="-7"/>
          <w:sz w:val="21"/>
          <w:szCs w:val="21"/>
        </w:rPr>
        <w:t xml:space="preserve"> </w:t>
      </w:r>
      <w:r>
        <w:rPr>
          <w:rFonts w:ascii="宋体" w:hAnsi="宋体" w:eastAsia="宋体" w:cs="宋体"/>
          <w:sz w:val="21"/>
          <w:szCs w:val="21"/>
        </w:rPr>
        <w:t>。</w:t>
      </w:r>
      <w:r>
        <w:rPr>
          <w:rFonts w:ascii="宋体" w:hAnsi="宋体" w:eastAsia="宋体" w:cs="宋体"/>
          <w:spacing w:val="78"/>
          <w:sz w:val="21"/>
          <w:szCs w:val="21"/>
        </w:rPr>
        <w:t xml:space="preserve"> </w:t>
      </w:r>
      <w:r>
        <w:rPr>
          <w:rFonts w:ascii="宋体" w:hAnsi="宋体" w:eastAsia="宋体" w:cs="宋体"/>
          <w:sz w:val="21"/>
          <w:szCs w:val="21"/>
        </w:rPr>
        <w:t xml:space="preserve">在德国，征兵时，应征者要经过心理 </w:t>
      </w:r>
      <w:r>
        <w:rPr>
          <w:rFonts w:ascii="宋体" w:hAnsi="宋体" w:eastAsia="宋体" w:cs="宋体"/>
          <w:spacing w:val="9"/>
          <w:sz w:val="21"/>
          <w:szCs w:val="21"/>
        </w:rPr>
        <w:t>测试，凡具有事故倾向的人均被排除在外。在我国，部分城市也已开始对司机进行心</w:t>
      </w:r>
      <w:r>
        <w:rPr>
          <w:rFonts w:ascii="宋体" w:hAnsi="宋体" w:eastAsia="宋体" w:cs="宋体"/>
          <w:spacing w:val="8"/>
          <w:sz w:val="21"/>
          <w:szCs w:val="21"/>
        </w:rPr>
        <w:t>理素质的</w:t>
      </w:r>
      <w:r>
        <w:rPr>
          <w:rFonts w:ascii="宋体" w:hAnsi="宋体" w:eastAsia="宋体" w:cs="宋体"/>
          <w:sz w:val="21"/>
          <w:szCs w:val="21"/>
        </w:rPr>
        <w:t xml:space="preserve"> </w:t>
      </w:r>
      <w:r>
        <w:rPr>
          <w:rFonts w:ascii="宋体" w:hAnsi="宋体" w:eastAsia="宋体" w:cs="宋体"/>
          <w:spacing w:val="5"/>
          <w:sz w:val="21"/>
          <w:szCs w:val="21"/>
        </w:rPr>
        <w:t>测试。</w:t>
      </w:r>
    </w:p>
    <w:p w14:paraId="77E50027">
      <w:pPr>
        <w:pStyle w:val="2"/>
        <w:spacing w:before="157" w:line="222" w:lineRule="auto"/>
        <w:ind w:left="409"/>
        <w:rPr>
          <w:rFonts w:ascii="宋体" w:hAnsi="宋体" w:eastAsia="宋体" w:cs="宋体"/>
          <w:sz w:val="21"/>
          <w:szCs w:val="21"/>
        </w:rPr>
      </w:pPr>
      <w:r>
        <w:rPr>
          <w:rFonts w:ascii="宋体" w:hAnsi="宋体" w:eastAsia="宋体" w:cs="宋体"/>
          <w:spacing w:val="-3"/>
          <w:sz w:val="21"/>
          <w:szCs w:val="21"/>
        </w:rPr>
        <w:t xml:space="preserve">3. </w:t>
      </w:r>
      <w:r>
        <w:rPr>
          <w:spacing w:val="-3"/>
          <w:sz w:val="21"/>
          <w:szCs w:val="21"/>
        </w:rPr>
        <w:t>其他</w:t>
      </w:r>
      <w:r>
        <w:rPr>
          <w:spacing w:val="101"/>
          <w:sz w:val="21"/>
          <w:szCs w:val="21"/>
        </w:rPr>
        <w:t xml:space="preserve"> </w:t>
      </w:r>
      <w:r>
        <w:rPr>
          <w:rFonts w:ascii="宋体" w:hAnsi="宋体" w:eastAsia="宋体" w:cs="宋体"/>
          <w:spacing w:val="-3"/>
          <w:sz w:val="21"/>
          <w:szCs w:val="21"/>
        </w:rPr>
        <w:t>如疲劳、疾病等。</w:t>
      </w:r>
    </w:p>
    <w:p w14:paraId="6A364F92">
      <w:pPr>
        <w:pStyle w:val="2"/>
        <w:spacing w:before="88" w:line="222" w:lineRule="auto"/>
        <w:ind w:left="409"/>
        <w:rPr>
          <w:sz w:val="25"/>
          <w:szCs w:val="25"/>
        </w:rPr>
      </w:pPr>
      <w:r>
        <w:rPr>
          <w:spacing w:val="5"/>
          <w:sz w:val="25"/>
          <w:szCs w:val="25"/>
        </w:rPr>
        <w:t>(三)环境</w:t>
      </w:r>
    </w:p>
    <w:p w14:paraId="470D7139">
      <w:pPr>
        <w:spacing w:before="98" w:line="219" w:lineRule="auto"/>
        <w:ind w:left="409"/>
        <w:rPr>
          <w:rFonts w:ascii="宋体" w:hAnsi="宋体" w:eastAsia="宋体" w:cs="宋体"/>
          <w:sz w:val="21"/>
          <w:szCs w:val="21"/>
        </w:rPr>
      </w:pPr>
      <w:r>
        <w:rPr>
          <w:rFonts w:ascii="宋体" w:hAnsi="宋体" w:eastAsia="宋体" w:cs="宋体"/>
          <w:sz w:val="21"/>
          <w:szCs w:val="21"/>
        </w:rPr>
        <w:t>影响伤害发生的环境因素十分复杂，主要包括自然物理环境和社</w:t>
      </w:r>
      <w:r>
        <w:rPr>
          <w:rFonts w:ascii="宋体" w:hAnsi="宋体" w:eastAsia="宋体" w:cs="宋体"/>
          <w:spacing w:val="-1"/>
          <w:sz w:val="21"/>
          <w:szCs w:val="21"/>
        </w:rPr>
        <w:t>会经济环境。</w:t>
      </w:r>
    </w:p>
    <w:p w14:paraId="72383A43">
      <w:pPr>
        <w:spacing w:before="110" w:line="290" w:lineRule="auto"/>
        <w:ind w:right="698" w:firstLine="409"/>
        <w:rPr>
          <w:rFonts w:ascii="宋体" w:hAnsi="宋体" w:eastAsia="宋体" w:cs="宋体"/>
          <w:sz w:val="21"/>
          <w:szCs w:val="21"/>
        </w:rPr>
      </w:pPr>
      <w:r>
        <w:rPr>
          <w:rFonts w:ascii="宋体" w:hAnsi="宋体" w:eastAsia="宋体" w:cs="宋体"/>
          <w:spacing w:val="1"/>
          <w:sz w:val="21"/>
          <w:szCs w:val="21"/>
        </w:rPr>
        <w:t>1. 自然物理环境  自然物理环境中的气象条件是伤害发生的重要影响因素。雨雪天是交通伤</w:t>
      </w:r>
      <w:r>
        <w:rPr>
          <w:rFonts w:ascii="宋体" w:hAnsi="宋体" w:eastAsia="宋体" w:cs="宋体"/>
          <w:spacing w:val="11"/>
          <w:sz w:val="21"/>
          <w:szCs w:val="21"/>
        </w:rPr>
        <w:t xml:space="preserve"> </w:t>
      </w:r>
      <w:r>
        <w:rPr>
          <w:rFonts w:ascii="宋体" w:hAnsi="宋体" w:eastAsia="宋体" w:cs="宋体"/>
          <w:spacing w:val="-1"/>
          <w:sz w:val="21"/>
          <w:szCs w:val="21"/>
        </w:rPr>
        <w:t>害的多发时间；浓雾或雨雾天极易造成撞车事故；天气长期干</w:t>
      </w:r>
      <w:r>
        <w:rPr>
          <w:rFonts w:ascii="宋体" w:hAnsi="宋体" w:eastAsia="宋体" w:cs="宋体"/>
          <w:spacing w:val="-2"/>
          <w:sz w:val="21"/>
          <w:szCs w:val="21"/>
        </w:rPr>
        <w:t>燥，易发生火灾；气压低或潮湿闷热</w:t>
      </w:r>
      <w:r>
        <w:rPr>
          <w:rFonts w:ascii="宋体" w:hAnsi="宋体" w:eastAsia="宋体" w:cs="宋体"/>
          <w:sz w:val="21"/>
          <w:szCs w:val="21"/>
        </w:rPr>
        <w:t xml:space="preserve"> </w:t>
      </w:r>
      <w:r>
        <w:rPr>
          <w:rFonts w:ascii="宋体" w:hAnsi="宋体" w:eastAsia="宋体" w:cs="宋体"/>
          <w:spacing w:val="-3"/>
          <w:sz w:val="21"/>
          <w:szCs w:val="21"/>
        </w:rPr>
        <w:t>天气会使人疲乏，是工伤多发的危险因素等。</w:t>
      </w:r>
    </w:p>
    <w:p w14:paraId="5D96EEC9">
      <w:pPr>
        <w:pStyle w:val="2"/>
        <w:spacing w:before="120" w:line="296" w:lineRule="auto"/>
        <w:ind w:right="681" w:firstLine="409"/>
        <w:rPr>
          <w:rFonts w:ascii="宋体" w:hAnsi="宋体" w:eastAsia="宋体" w:cs="宋体"/>
          <w:sz w:val="21"/>
          <w:szCs w:val="21"/>
        </w:rPr>
      </w:pPr>
      <w:r>
        <w:rPr>
          <w:rFonts w:ascii="宋体" w:hAnsi="宋体" w:eastAsia="宋体" w:cs="宋体"/>
          <w:spacing w:val="2"/>
          <w:sz w:val="21"/>
          <w:szCs w:val="21"/>
        </w:rPr>
        <w:t xml:space="preserve">2. </w:t>
      </w:r>
      <w:r>
        <w:rPr>
          <w:spacing w:val="2"/>
          <w:sz w:val="21"/>
          <w:szCs w:val="21"/>
        </w:rPr>
        <w:t xml:space="preserve">社会经济环境  </w:t>
      </w:r>
      <w:r>
        <w:rPr>
          <w:rFonts w:ascii="宋体" w:hAnsi="宋体" w:eastAsia="宋体" w:cs="宋体"/>
          <w:spacing w:val="2"/>
          <w:sz w:val="21"/>
          <w:szCs w:val="21"/>
        </w:rPr>
        <w:t>这里主要强调的是社会支持环境，即一个国</w:t>
      </w:r>
      <w:r>
        <w:rPr>
          <w:rFonts w:ascii="宋体" w:hAnsi="宋体" w:eastAsia="宋体" w:cs="宋体"/>
          <w:spacing w:val="1"/>
          <w:sz w:val="21"/>
          <w:szCs w:val="21"/>
        </w:rPr>
        <w:t>家和地区是否有相应的伤害预</w:t>
      </w:r>
      <w:r>
        <w:rPr>
          <w:rFonts w:ascii="宋体" w:hAnsi="宋体" w:eastAsia="宋体" w:cs="宋体"/>
          <w:sz w:val="21"/>
          <w:szCs w:val="21"/>
        </w:rPr>
        <w:t xml:space="preserve"> </w:t>
      </w:r>
      <w:r>
        <w:rPr>
          <w:rFonts w:ascii="宋体" w:hAnsi="宋体" w:eastAsia="宋体" w:cs="宋体"/>
          <w:spacing w:val="-1"/>
          <w:sz w:val="21"/>
          <w:szCs w:val="21"/>
        </w:rPr>
        <w:t>防的法律、法规及其执行的程度。如驾驶员开车时严禁超速、醉酒驾驶，</w:t>
      </w:r>
      <w:r>
        <w:rPr>
          <w:rFonts w:ascii="宋体" w:hAnsi="宋体" w:eastAsia="宋体" w:cs="宋体"/>
          <w:spacing w:val="-2"/>
          <w:sz w:val="21"/>
          <w:szCs w:val="21"/>
        </w:rPr>
        <w:t>必须系安全带；摩托车驾</w:t>
      </w:r>
      <w:r>
        <w:rPr>
          <w:rFonts w:ascii="宋体" w:hAnsi="宋体" w:eastAsia="宋体" w:cs="宋体"/>
          <w:sz w:val="21"/>
          <w:szCs w:val="21"/>
        </w:rPr>
        <w:t xml:space="preserve"> </w:t>
      </w:r>
      <w:r>
        <w:rPr>
          <w:rFonts w:ascii="宋体" w:hAnsi="宋体" w:eastAsia="宋体" w:cs="宋体"/>
          <w:spacing w:val="-2"/>
          <w:sz w:val="21"/>
          <w:szCs w:val="21"/>
        </w:rPr>
        <w:t>驶员必须戴头盔；建筑工人进人工地必须戴安全帽；儿童进</w:t>
      </w:r>
      <w:r>
        <w:rPr>
          <w:rFonts w:ascii="宋体" w:hAnsi="宋体" w:eastAsia="宋体" w:cs="宋体"/>
          <w:spacing w:val="-3"/>
          <w:sz w:val="21"/>
          <w:szCs w:val="21"/>
        </w:rPr>
        <w:t>入游泳场所必须有成人陪伴等。</w:t>
      </w:r>
    </w:p>
    <w:p w14:paraId="0A3132B2">
      <w:pPr>
        <w:spacing w:line="247" w:lineRule="auto"/>
        <w:rPr>
          <w:rFonts w:ascii="Arial"/>
          <w:sz w:val="21"/>
        </w:rPr>
      </w:pPr>
    </w:p>
    <w:p w14:paraId="3452DB99">
      <w:pPr>
        <w:spacing w:line="248" w:lineRule="auto"/>
        <w:rPr>
          <w:rFonts w:ascii="Arial"/>
          <w:sz w:val="21"/>
        </w:rPr>
      </w:pPr>
    </w:p>
    <w:p w14:paraId="734B2B39">
      <w:pPr>
        <w:pStyle w:val="2"/>
        <w:spacing w:before="101" w:line="221" w:lineRule="auto"/>
        <w:ind w:left="3344"/>
        <w:outlineLvl w:val="1"/>
        <w:rPr>
          <w:sz w:val="31"/>
          <w:szCs w:val="31"/>
        </w:rPr>
      </w:pPr>
      <w:bookmarkStart w:id="394" w:name="bookmark249"/>
      <w:bookmarkEnd w:id="394"/>
      <w:r>
        <w:rPr>
          <w:b/>
          <w:bCs/>
          <w:spacing w:val="-11"/>
          <w:sz w:val="31"/>
          <w:szCs w:val="31"/>
        </w:rPr>
        <w:t>第二节</w:t>
      </w:r>
      <w:r>
        <w:rPr>
          <w:spacing w:val="136"/>
          <w:sz w:val="31"/>
          <w:szCs w:val="31"/>
        </w:rPr>
        <w:t xml:space="preserve"> </w:t>
      </w:r>
      <w:r>
        <w:rPr>
          <w:b/>
          <w:bCs/>
          <w:spacing w:val="-11"/>
          <w:sz w:val="31"/>
          <w:szCs w:val="31"/>
        </w:rPr>
        <w:t>流行特征</w:t>
      </w:r>
    </w:p>
    <w:p w14:paraId="2090EB3F">
      <w:pPr>
        <w:spacing w:line="374" w:lineRule="auto"/>
        <w:rPr>
          <w:rFonts w:ascii="Arial"/>
          <w:sz w:val="21"/>
        </w:rPr>
      </w:pPr>
    </w:p>
    <w:p w14:paraId="583C984A">
      <w:pPr>
        <w:pStyle w:val="2"/>
        <w:spacing w:before="81" w:line="221" w:lineRule="auto"/>
        <w:ind w:left="413"/>
        <w:outlineLvl w:val="4"/>
        <w:rPr>
          <w:sz w:val="25"/>
          <w:szCs w:val="25"/>
        </w:rPr>
      </w:pPr>
      <w:bookmarkStart w:id="395" w:name="bookmark250"/>
      <w:bookmarkEnd w:id="395"/>
      <w:r>
        <w:rPr>
          <w:b/>
          <w:bCs/>
          <w:spacing w:val="-3"/>
          <w:sz w:val="25"/>
          <w:szCs w:val="25"/>
        </w:rPr>
        <w:t>一</w:t>
      </w:r>
      <w:r>
        <w:rPr>
          <w:spacing w:val="-49"/>
          <w:sz w:val="25"/>
          <w:szCs w:val="25"/>
        </w:rPr>
        <w:t xml:space="preserve"> </w:t>
      </w:r>
      <w:r>
        <w:rPr>
          <w:b/>
          <w:bCs/>
          <w:spacing w:val="-3"/>
          <w:sz w:val="25"/>
          <w:szCs w:val="25"/>
        </w:rPr>
        <w:t>、全球的流行特征</w:t>
      </w:r>
    </w:p>
    <w:p w14:paraId="76FB5D72">
      <w:pPr>
        <w:spacing w:before="254" w:line="323" w:lineRule="auto"/>
        <w:ind w:right="605" w:firstLine="409"/>
        <w:jc w:val="both"/>
        <w:rPr>
          <w:rFonts w:ascii="宋体" w:hAnsi="宋体" w:eastAsia="宋体" w:cs="宋体"/>
          <w:sz w:val="21"/>
          <w:szCs w:val="21"/>
        </w:rPr>
      </w:pPr>
      <w:r>
        <w:rPr>
          <w:rFonts w:ascii="宋体" w:hAnsi="宋体" w:eastAsia="宋体" w:cs="宋体"/>
          <w:spacing w:val="3"/>
          <w:sz w:val="21"/>
          <w:szCs w:val="21"/>
        </w:rPr>
        <w:t>基</w:t>
      </w:r>
      <w:r>
        <w:rPr>
          <w:rFonts w:ascii="宋体" w:hAnsi="宋体" w:eastAsia="宋体" w:cs="宋体"/>
          <w:spacing w:val="-43"/>
          <w:sz w:val="21"/>
          <w:szCs w:val="21"/>
        </w:rPr>
        <w:t xml:space="preserve"> </w:t>
      </w:r>
      <w:r>
        <w:rPr>
          <w:rFonts w:ascii="宋体" w:hAnsi="宋体" w:eastAsia="宋体" w:cs="宋体"/>
          <w:spacing w:val="3"/>
          <w:sz w:val="21"/>
          <w:szCs w:val="21"/>
        </w:rPr>
        <w:t>于</w:t>
      </w:r>
      <w:r>
        <w:rPr>
          <w:rFonts w:ascii="Times New Roman" w:hAnsi="Times New Roman" w:eastAsia="Times New Roman" w:cs="Times New Roman"/>
          <w:sz w:val="21"/>
          <w:szCs w:val="21"/>
        </w:rPr>
        <w:t>GBD</w:t>
      </w:r>
      <w:r>
        <w:rPr>
          <w:rFonts w:ascii="宋体" w:hAnsi="宋体" w:eastAsia="宋体" w:cs="宋体"/>
          <w:spacing w:val="3"/>
          <w:sz w:val="21"/>
          <w:szCs w:val="21"/>
        </w:rPr>
        <w:t>数据的分析显示，2021年全球不同伤害原因的年龄</w:t>
      </w:r>
      <w:r>
        <w:rPr>
          <w:rFonts w:ascii="宋体" w:hAnsi="宋体" w:eastAsia="宋体" w:cs="宋体"/>
          <w:spacing w:val="2"/>
          <w:sz w:val="21"/>
          <w:szCs w:val="21"/>
        </w:rPr>
        <w:t>标准化</w:t>
      </w:r>
      <w:r>
        <w:rPr>
          <w:rFonts w:ascii="Times New Roman" w:hAnsi="Times New Roman" w:eastAsia="Times New Roman" w:cs="Times New Roman"/>
          <w:sz w:val="21"/>
          <w:szCs w:val="21"/>
        </w:rPr>
        <w:t>DALY</w:t>
      </w:r>
      <w:r>
        <w:rPr>
          <w:rFonts w:ascii="宋体" w:hAnsi="宋体" w:eastAsia="宋体" w:cs="宋体"/>
          <w:spacing w:val="2"/>
          <w:sz w:val="21"/>
          <w:szCs w:val="21"/>
        </w:rPr>
        <w:t>率为3098.9/10万；</w:t>
      </w:r>
      <w:r>
        <w:rPr>
          <w:rFonts w:ascii="宋体" w:hAnsi="宋体" w:eastAsia="宋体" w:cs="宋体"/>
          <w:sz w:val="21"/>
          <w:szCs w:val="21"/>
        </w:rPr>
        <w:t xml:space="preserve"> </w:t>
      </w:r>
      <w:r>
        <w:rPr>
          <w:rFonts w:ascii="宋体" w:hAnsi="宋体" w:eastAsia="宋体" w:cs="宋体"/>
          <w:spacing w:val="4"/>
          <w:sz w:val="21"/>
          <w:szCs w:val="21"/>
        </w:rPr>
        <w:t>2010—2021年伤害造成的</w:t>
      </w:r>
      <w:r>
        <w:rPr>
          <w:rFonts w:ascii="Times New Roman" w:hAnsi="Times New Roman" w:eastAsia="Times New Roman" w:cs="Times New Roman"/>
          <w:sz w:val="21"/>
          <w:szCs w:val="21"/>
        </w:rPr>
        <w:t>DALYs</w:t>
      </w:r>
      <w:r>
        <w:rPr>
          <w:rFonts w:ascii="宋体" w:hAnsi="宋体" w:eastAsia="宋体" w:cs="宋体"/>
          <w:spacing w:val="4"/>
          <w:sz w:val="21"/>
          <w:szCs w:val="21"/>
        </w:rPr>
        <w:t>有所下降，但2021年仍高达2.48(95%</w:t>
      </w:r>
      <w:r>
        <w:rPr>
          <w:rFonts w:ascii="Times New Roman" w:hAnsi="Times New Roman" w:eastAsia="Times New Roman" w:cs="Times New Roman"/>
          <w:sz w:val="21"/>
          <w:szCs w:val="21"/>
        </w:rPr>
        <w:t>CI</w:t>
      </w:r>
      <w:r>
        <w:rPr>
          <w:rFonts w:ascii="Times New Roman" w:hAnsi="Times New Roman" w:eastAsia="Times New Roman" w:cs="Times New Roman"/>
          <w:spacing w:val="4"/>
          <w:sz w:val="21"/>
          <w:szCs w:val="21"/>
        </w:rPr>
        <w:t>:2.27</w:t>
      </w:r>
      <w:r>
        <w:rPr>
          <w:rFonts w:ascii="宋体" w:hAnsi="宋体" w:eastAsia="宋体" w:cs="宋体"/>
          <w:spacing w:val="4"/>
          <w:sz w:val="21"/>
          <w:szCs w:val="21"/>
        </w:rPr>
        <w:t>～</w:t>
      </w:r>
      <w:r>
        <w:rPr>
          <w:rFonts w:ascii="Times New Roman" w:hAnsi="Times New Roman" w:eastAsia="Times New Roman" w:cs="Times New Roman"/>
          <w:spacing w:val="4"/>
          <w:sz w:val="21"/>
          <w:szCs w:val="21"/>
        </w:rPr>
        <w:t>2.72)</w:t>
      </w:r>
      <w:r>
        <w:rPr>
          <w:rFonts w:ascii="Times New Roman" w:hAnsi="Times New Roman" w:eastAsia="Times New Roman" w:cs="Times New Roman"/>
          <w:spacing w:val="60"/>
          <w:sz w:val="21"/>
          <w:szCs w:val="21"/>
        </w:rPr>
        <w:t xml:space="preserve"> </w:t>
      </w:r>
      <w:r>
        <w:rPr>
          <w:rFonts w:ascii="宋体" w:hAnsi="宋体" w:eastAsia="宋体" w:cs="宋体"/>
          <w:spacing w:val="4"/>
          <w:sz w:val="21"/>
          <w:szCs w:val="21"/>
        </w:rPr>
        <w:t>亿年。伤害</w:t>
      </w:r>
      <w:r>
        <w:rPr>
          <w:rFonts w:ascii="宋体" w:hAnsi="宋体" w:eastAsia="宋体" w:cs="宋体"/>
          <w:sz w:val="21"/>
          <w:szCs w:val="21"/>
        </w:rPr>
        <w:t xml:space="preserve"> 造成每年有数千万人遭受暂时或永久性的伤残，严重影响人群健康和生命质量(表15-1)。</w:t>
      </w:r>
    </w:p>
    <w:p w14:paraId="0877E363">
      <w:pPr>
        <w:spacing w:before="179" w:line="219" w:lineRule="auto"/>
        <w:ind w:left="2189"/>
        <w:rPr>
          <w:rFonts w:ascii="宋体" w:hAnsi="宋体" w:eastAsia="宋体" w:cs="宋体"/>
          <w:sz w:val="20"/>
          <w:szCs w:val="20"/>
        </w:rPr>
      </w:pPr>
      <w:r>
        <w:rPr>
          <w:rFonts w:ascii="宋体" w:hAnsi="宋体" w:eastAsia="宋体" w:cs="宋体"/>
          <w:sz w:val="20"/>
          <w:szCs w:val="20"/>
        </w:rPr>
        <w:t>表15-12021年全球不同伤害原因的年</w:t>
      </w:r>
      <w:r>
        <w:rPr>
          <w:rFonts w:ascii="宋体" w:hAnsi="宋体" w:eastAsia="宋体" w:cs="宋体"/>
          <w:spacing w:val="-1"/>
          <w:sz w:val="20"/>
          <w:szCs w:val="20"/>
        </w:rPr>
        <w:t>龄标准化DALY率</w:t>
      </w:r>
    </w:p>
    <w:p w14:paraId="3332EAB6">
      <w:pPr>
        <w:spacing w:line="19" w:lineRule="exact"/>
      </w:pPr>
    </w:p>
    <w:tbl>
      <w:tblPr>
        <w:tblStyle w:val="5"/>
        <w:tblW w:w="8979"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0" w:type="dxa"/>
          <w:left w:w="0" w:type="dxa"/>
          <w:bottom w:w="0" w:type="dxa"/>
          <w:right w:w="0" w:type="dxa"/>
        </w:tblCellMar>
      </w:tblPr>
      <w:tblGrid>
        <w:gridCol w:w="5549"/>
        <w:gridCol w:w="3430"/>
      </w:tblGrid>
      <w:tr w14:paraId="09A4BA63">
        <w:trPr>
          <w:trHeight w:val="394" w:hRule="atLeast"/>
        </w:trPr>
        <w:tc>
          <w:tcPr>
            <w:tcW w:w="5549" w:type="dxa"/>
            <w:tcBorders>
              <w:top w:val="single" w:color="000000" w:sz="4" w:space="0"/>
              <w:bottom w:val="single" w:color="000000" w:sz="4" w:space="0"/>
            </w:tcBorders>
            <w:shd w:val="clear" w:color="auto" w:fill="BDC2BF"/>
            <w:vAlign w:val="top"/>
          </w:tcPr>
          <w:p w14:paraId="5CF6AA5B">
            <w:pPr>
              <w:pStyle w:val="6"/>
              <w:spacing w:before="103" w:line="219" w:lineRule="auto"/>
              <w:ind w:left="4090"/>
            </w:pPr>
            <w:r>
              <w:rPr>
                <w:spacing w:val="5"/>
              </w:rPr>
              <w:t>伤害原因</w:t>
            </w:r>
          </w:p>
        </w:tc>
        <w:tc>
          <w:tcPr>
            <w:tcW w:w="3430" w:type="dxa"/>
            <w:tcBorders>
              <w:top w:val="single" w:color="000000" w:sz="4" w:space="0"/>
              <w:bottom w:val="single" w:color="000000" w:sz="4" w:space="0"/>
            </w:tcBorders>
            <w:shd w:val="clear" w:color="auto" w:fill="BCBEB9"/>
            <w:vAlign w:val="top"/>
          </w:tcPr>
          <w:p w14:paraId="206FFB68">
            <w:pPr>
              <w:pStyle w:val="6"/>
              <w:spacing w:before="103" w:line="219" w:lineRule="auto"/>
              <w:ind w:left="460"/>
            </w:pPr>
            <w:r>
              <w:rPr>
                <w:spacing w:val="3"/>
              </w:rPr>
              <w:t>年龄标准化</w:t>
            </w:r>
            <w:r>
              <w:t>DALY</w:t>
            </w:r>
            <w:r>
              <w:rPr>
                <w:spacing w:val="3"/>
              </w:rPr>
              <w:t>率/(1/10万)</w:t>
            </w:r>
          </w:p>
        </w:tc>
      </w:tr>
      <w:tr w14:paraId="71AA1766">
        <w:trPr>
          <w:trHeight w:val="366" w:hRule="atLeast"/>
        </w:trPr>
        <w:tc>
          <w:tcPr>
            <w:tcW w:w="5549" w:type="dxa"/>
            <w:tcBorders>
              <w:top w:val="single" w:color="000000" w:sz="4" w:space="0"/>
            </w:tcBorders>
            <w:vAlign w:val="top"/>
          </w:tcPr>
          <w:p w14:paraId="57974660">
            <w:pPr>
              <w:pStyle w:val="6"/>
              <w:spacing w:before="79" w:line="219" w:lineRule="auto"/>
              <w:ind w:left="4090"/>
            </w:pPr>
            <w:r>
              <w:rPr>
                <w:spacing w:val="3"/>
              </w:rPr>
              <w:t>交通伤害</w:t>
            </w:r>
          </w:p>
        </w:tc>
        <w:tc>
          <w:tcPr>
            <w:tcW w:w="3430" w:type="dxa"/>
            <w:tcBorders>
              <w:top w:val="single" w:color="000000" w:sz="4" w:space="0"/>
            </w:tcBorders>
            <w:vAlign w:val="top"/>
          </w:tcPr>
          <w:p w14:paraId="7F189366">
            <w:pPr>
              <w:pStyle w:val="6"/>
              <w:spacing w:before="99" w:line="237" w:lineRule="auto"/>
              <w:ind w:left="1460"/>
            </w:pPr>
            <w:r>
              <w:rPr>
                <w:spacing w:val="-2"/>
              </w:rPr>
              <w:t>864.5</w:t>
            </w:r>
          </w:p>
        </w:tc>
      </w:tr>
      <w:tr w14:paraId="07C46A7B">
        <w:trPr>
          <w:trHeight w:val="374" w:hRule="atLeast"/>
        </w:trPr>
        <w:tc>
          <w:tcPr>
            <w:tcW w:w="5549" w:type="dxa"/>
            <w:vAlign w:val="top"/>
          </w:tcPr>
          <w:p w14:paraId="16F2EB92">
            <w:pPr>
              <w:pStyle w:val="6"/>
              <w:spacing w:before="93" w:line="219" w:lineRule="auto"/>
              <w:ind w:left="4090"/>
            </w:pPr>
            <w:r>
              <w:rPr>
                <w:spacing w:val="3"/>
              </w:rPr>
              <w:t>道路伤害</w:t>
            </w:r>
          </w:p>
        </w:tc>
        <w:tc>
          <w:tcPr>
            <w:tcW w:w="3430" w:type="dxa"/>
            <w:vAlign w:val="top"/>
          </w:tcPr>
          <w:p w14:paraId="04879CE9">
            <w:pPr>
              <w:pStyle w:val="6"/>
              <w:spacing w:before="112" w:line="232" w:lineRule="auto"/>
              <w:ind w:left="1460"/>
            </w:pPr>
            <w:r>
              <w:rPr>
                <w:spacing w:val="-2"/>
              </w:rPr>
              <w:t>808.9</w:t>
            </w:r>
          </w:p>
        </w:tc>
      </w:tr>
      <w:tr w14:paraId="7B85DE53">
        <w:trPr>
          <w:trHeight w:val="374" w:hRule="atLeast"/>
        </w:trPr>
        <w:tc>
          <w:tcPr>
            <w:tcW w:w="5549" w:type="dxa"/>
            <w:vAlign w:val="top"/>
          </w:tcPr>
          <w:p w14:paraId="41D128BB">
            <w:pPr>
              <w:pStyle w:val="6"/>
              <w:spacing w:before="89" w:line="219" w:lineRule="auto"/>
              <w:ind w:left="3689"/>
            </w:pPr>
            <w:r>
              <w:rPr>
                <w:spacing w:val="2"/>
              </w:rPr>
              <w:t>其他交通伤害</w:t>
            </w:r>
          </w:p>
        </w:tc>
        <w:tc>
          <w:tcPr>
            <w:tcW w:w="3430" w:type="dxa"/>
            <w:vAlign w:val="top"/>
          </w:tcPr>
          <w:p w14:paraId="7FDD756A">
            <w:pPr>
              <w:pStyle w:val="6"/>
              <w:spacing w:before="109" w:line="235" w:lineRule="auto"/>
              <w:ind w:left="1511"/>
            </w:pPr>
            <w:r>
              <w:rPr>
                <w:spacing w:val="-3"/>
              </w:rPr>
              <w:t>55.6</w:t>
            </w:r>
          </w:p>
        </w:tc>
      </w:tr>
      <w:tr w14:paraId="4520BC55">
        <w:trPr>
          <w:trHeight w:val="384" w:hRule="atLeast"/>
        </w:trPr>
        <w:tc>
          <w:tcPr>
            <w:tcW w:w="5549" w:type="dxa"/>
            <w:vAlign w:val="top"/>
          </w:tcPr>
          <w:p w14:paraId="22C2D657">
            <w:pPr>
              <w:pStyle w:val="6"/>
              <w:spacing w:before="95" w:line="219" w:lineRule="auto"/>
              <w:ind w:left="3289"/>
            </w:pPr>
            <w:r>
              <w:rPr>
                <w:spacing w:val="29"/>
              </w:rPr>
              <w:t>其他非故意伤害’</w:t>
            </w:r>
          </w:p>
        </w:tc>
        <w:tc>
          <w:tcPr>
            <w:tcW w:w="3430" w:type="dxa"/>
            <w:vAlign w:val="top"/>
          </w:tcPr>
          <w:p w14:paraId="75195DDA">
            <w:pPr>
              <w:pStyle w:val="6"/>
              <w:spacing w:before="114" w:line="239" w:lineRule="auto"/>
              <w:ind w:left="1410"/>
            </w:pPr>
            <w:r>
              <w:rPr>
                <w:spacing w:val="-4"/>
              </w:rPr>
              <w:t>1363.9</w:t>
            </w:r>
          </w:p>
        </w:tc>
      </w:tr>
      <w:tr w14:paraId="7F44D2E5">
        <w:trPr>
          <w:trHeight w:val="395" w:hRule="atLeast"/>
        </w:trPr>
        <w:tc>
          <w:tcPr>
            <w:tcW w:w="5549" w:type="dxa"/>
            <w:vAlign w:val="top"/>
          </w:tcPr>
          <w:p w14:paraId="1D1C9445">
            <w:pPr>
              <w:pStyle w:val="6"/>
              <w:spacing w:before="101" w:line="220" w:lineRule="auto"/>
              <w:ind w:left="4489"/>
            </w:pPr>
            <w:r>
              <w:rPr>
                <w:spacing w:val="6"/>
              </w:rPr>
              <w:t>跌倒</w:t>
            </w:r>
          </w:p>
        </w:tc>
        <w:tc>
          <w:tcPr>
            <w:tcW w:w="3430" w:type="dxa"/>
            <w:vAlign w:val="top"/>
          </w:tcPr>
          <w:p w14:paraId="73009222">
            <w:pPr>
              <w:pStyle w:val="6"/>
              <w:spacing w:before="120" w:line="239" w:lineRule="auto"/>
              <w:ind w:left="1460"/>
            </w:pPr>
            <w:r>
              <w:rPr>
                <w:spacing w:val="-2"/>
              </w:rPr>
              <w:t>531.2</w:t>
            </w:r>
          </w:p>
        </w:tc>
      </w:tr>
      <w:tr w14:paraId="2494843C">
        <w:trPr>
          <w:trHeight w:val="393" w:hRule="atLeast"/>
        </w:trPr>
        <w:tc>
          <w:tcPr>
            <w:tcW w:w="5549" w:type="dxa"/>
            <w:vAlign w:val="top"/>
          </w:tcPr>
          <w:p w14:paraId="4AFDDDA2">
            <w:pPr>
              <w:pStyle w:val="6"/>
              <w:spacing w:before="106" w:line="219" w:lineRule="auto"/>
              <w:ind w:left="3679"/>
            </w:pPr>
            <w:r>
              <w:rPr>
                <w:spacing w:val="-3"/>
              </w:rPr>
              <w:t>溺水</w:t>
            </w:r>
          </w:p>
        </w:tc>
        <w:tc>
          <w:tcPr>
            <w:tcW w:w="3430" w:type="dxa"/>
            <w:vAlign w:val="top"/>
          </w:tcPr>
          <w:p w14:paraId="1E0B7E13">
            <w:pPr>
              <w:pStyle w:val="6"/>
              <w:spacing w:before="126" w:line="237" w:lineRule="auto"/>
              <w:ind w:left="1460"/>
            </w:pPr>
            <w:r>
              <w:rPr>
                <w:spacing w:val="-2"/>
              </w:rPr>
              <w:t>211.9</w:t>
            </w:r>
          </w:p>
        </w:tc>
      </w:tr>
      <w:tr w14:paraId="0F101ADF">
        <w:trPr>
          <w:trHeight w:val="384" w:hRule="atLeast"/>
        </w:trPr>
        <w:tc>
          <w:tcPr>
            <w:tcW w:w="5549" w:type="dxa"/>
            <w:vAlign w:val="top"/>
          </w:tcPr>
          <w:p w14:paraId="41E8C793">
            <w:pPr>
              <w:pStyle w:val="6"/>
              <w:spacing w:before="103" w:line="219" w:lineRule="auto"/>
              <w:ind w:left="3179"/>
            </w:pPr>
            <w:r>
              <w:rPr>
                <w:spacing w:val="-2"/>
              </w:rPr>
              <w:t>火、高温和热源</w:t>
            </w:r>
          </w:p>
        </w:tc>
        <w:tc>
          <w:tcPr>
            <w:tcW w:w="3430" w:type="dxa"/>
            <w:vAlign w:val="top"/>
          </w:tcPr>
          <w:p w14:paraId="77FC7CF5">
            <w:pPr>
              <w:pStyle w:val="6"/>
              <w:spacing w:before="122" w:line="232" w:lineRule="auto"/>
              <w:ind w:left="1460"/>
            </w:pPr>
            <w:r>
              <w:rPr>
                <w:spacing w:val="-4"/>
              </w:rPr>
              <w:t>108.5</w:t>
            </w:r>
          </w:p>
        </w:tc>
      </w:tr>
      <w:tr w14:paraId="471B0D86">
        <w:trPr>
          <w:trHeight w:val="372" w:hRule="atLeast"/>
        </w:trPr>
        <w:tc>
          <w:tcPr>
            <w:tcW w:w="5549" w:type="dxa"/>
            <w:vAlign w:val="top"/>
          </w:tcPr>
          <w:p w14:paraId="3BDD0AC8">
            <w:pPr>
              <w:pStyle w:val="6"/>
              <w:spacing w:before="99" w:line="219" w:lineRule="auto"/>
              <w:ind w:left="3679"/>
            </w:pPr>
            <w:r>
              <w:rPr>
                <w:spacing w:val="5"/>
              </w:rPr>
              <w:t>中毒</w:t>
            </w:r>
          </w:p>
        </w:tc>
        <w:tc>
          <w:tcPr>
            <w:tcW w:w="3430" w:type="dxa"/>
            <w:vAlign w:val="top"/>
          </w:tcPr>
          <w:p w14:paraId="5F06DEB8">
            <w:pPr>
              <w:pStyle w:val="6"/>
              <w:spacing w:before="119" w:line="224" w:lineRule="auto"/>
              <w:ind w:left="1511"/>
            </w:pPr>
            <w:r>
              <w:rPr>
                <w:spacing w:val="-3"/>
              </w:rPr>
              <w:t>37.0</w:t>
            </w:r>
          </w:p>
        </w:tc>
      </w:tr>
      <w:tr w14:paraId="16C7BDBA">
        <w:trPr>
          <w:trHeight w:val="404" w:hRule="atLeast"/>
        </w:trPr>
        <w:tc>
          <w:tcPr>
            <w:tcW w:w="5549" w:type="dxa"/>
            <w:tcBorders>
              <w:bottom w:val="single" w:color="000000" w:sz="4" w:space="0"/>
            </w:tcBorders>
            <w:vAlign w:val="top"/>
          </w:tcPr>
          <w:p w14:paraId="5C76C01A">
            <w:pPr>
              <w:pStyle w:val="6"/>
              <w:spacing w:before="115" w:line="219" w:lineRule="auto"/>
              <w:ind w:left="3480"/>
            </w:pPr>
            <w:r>
              <w:rPr>
                <w:spacing w:val="3"/>
              </w:rPr>
              <w:t>机械伤害</w:t>
            </w:r>
          </w:p>
        </w:tc>
        <w:tc>
          <w:tcPr>
            <w:tcW w:w="3430" w:type="dxa"/>
            <w:tcBorders>
              <w:bottom w:val="single" w:color="000000" w:sz="4" w:space="0"/>
            </w:tcBorders>
            <w:shd w:val="clear" w:color="auto" w:fill="E8E7E8"/>
            <w:vAlign w:val="top"/>
          </w:tcPr>
          <w:p w14:paraId="710A3B4B">
            <w:pPr>
              <w:pStyle w:val="6"/>
              <w:spacing w:before="137" w:line="237" w:lineRule="auto"/>
              <w:ind w:left="1460"/>
            </w:pPr>
            <w:r>
              <w:rPr>
                <w:spacing w:val="-4"/>
              </w:rPr>
              <w:t>126.6</w:t>
            </w:r>
          </w:p>
        </w:tc>
      </w:tr>
    </w:tbl>
    <w:p w14:paraId="3E38F8D4">
      <w:pPr>
        <w:spacing w:line="188" w:lineRule="exact"/>
        <w:rPr>
          <w:rFonts w:ascii="Arial"/>
          <w:sz w:val="16"/>
        </w:rPr>
      </w:pPr>
    </w:p>
    <w:p w14:paraId="79963048">
      <w:pPr>
        <w:spacing w:line="188" w:lineRule="exact"/>
        <w:rPr>
          <w:rFonts w:ascii="Arial" w:hAnsi="Arial" w:eastAsia="Arial" w:cs="Arial"/>
          <w:sz w:val="16"/>
          <w:szCs w:val="16"/>
        </w:rPr>
        <w:sectPr>
          <w:footerReference r:id="rId254" w:type="default"/>
          <w:pgSz w:w="11900" w:h="16820"/>
          <w:pgMar w:top="400" w:right="799" w:bottom="886" w:left="1430" w:header="0" w:footer="697" w:gutter="0"/>
          <w:cols w:space="720" w:num="1"/>
        </w:sectPr>
      </w:pPr>
    </w:p>
    <w:p w14:paraId="43476B94">
      <w:pPr>
        <w:pStyle w:val="2"/>
        <w:spacing w:before="232" w:line="221" w:lineRule="auto"/>
        <w:ind w:left="652"/>
        <w:rPr>
          <w:sz w:val="16"/>
          <w:szCs w:val="16"/>
        </w:rPr>
      </w:pPr>
      <w:bookmarkStart w:id="396" w:name="bookmark533"/>
      <w:bookmarkEnd w:id="396"/>
      <w:r>
        <w:rPr>
          <w:b/>
          <w:bCs/>
          <w:spacing w:val="16"/>
          <w:sz w:val="16"/>
          <w:szCs w:val="16"/>
        </w:rPr>
        <w:t>第十五章伤害流行病学</w:t>
      </w:r>
    </w:p>
    <w:p w14:paraId="796B3D80">
      <w:pPr>
        <w:spacing w:line="300" w:lineRule="auto"/>
        <w:rPr>
          <w:rFonts w:ascii="Arial"/>
          <w:sz w:val="21"/>
        </w:rPr>
      </w:pPr>
    </w:p>
    <w:p w14:paraId="6E4DA769">
      <w:pPr>
        <w:spacing w:line="301" w:lineRule="auto"/>
        <w:rPr>
          <w:rFonts w:ascii="Arial"/>
          <w:sz w:val="21"/>
        </w:rPr>
      </w:pPr>
    </w:p>
    <w:p w14:paraId="4B422FAE">
      <w:pPr>
        <w:spacing w:before="58" w:line="220" w:lineRule="auto"/>
        <w:ind w:left="7410"/>
        <w:rPr>
          <w:rFonts w:ascii="宋体" w:hAnsi="宋体" w:eastAsia="宋体" w:cs="宋体"/>
          <w:sz w:val="18"/>
          <w:szCs w:val="18"/>
        </w:rPr>
      </w:pPr>
      <w:r>
        <w:rPr>
          <w:rFonts w:ascii="宋体" w:hAnsi="宋体" w:eastAsia="宋体" w:cs="宋体"/>
          <w:spacing w:val="-3"/>
          <w:sz w:val="18"/>
          <w:szCs w:val="18"/>
        </w:rPr>
        <w:t>续表</w:t>
      </w:r>
    </w:p>
    <w:p w14:paraId="75225CE1">
      <w:pPr>
        <w:spacing w:line="42" w:lineRule="exact"/>
      </w:pPr>
    </w:p>
    <w:tbl>
      <w:tblPr>
        <w:tblStyle w:val="5"/>
        <w:tblW w:w="8379" w:type="dxa"/>
        <w:tblInd w:w="74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0" w:type="dxa"/>
          <w:left w:w="0" w:type="dxa"/>
          <w:bottom w:w="0" w:type="dxa"/>
          <w:right w:w="0" w:type="dxa"/>
        </w:tblCellMar>
      </w:tblPr>
      <w:tblGrid>
        <w:gridCol w:w="2765"/>
        <w:gridCol w:w="2556"/>
        <w:gridCol w:w="3058"/>
      </w:tblGrid>
      <w:tr w14:paraId="01795F5F">
        <w:trPr>
          <w:trHeight w:val="364" w:hRule="atLeast"/>
        </w:trPr>
        <w:tc>
          <w:tcPr>
            <w:tcW w:w="2765" w:type="dxa"/>
            <w:tcBorders>
              <w:top w:val="single" w:color="000000" w:sz="4" w:space="0"/>
              <w:bottom w:val="single" w:color="000000" w:sz="4" w:space="0"/>
            </w:tcBorders>
            <w:vAlign w:val="top"/>
          </w:tcPr>
          <w:p w14:paraId="7F2D0312">
            <w:pPr>
              <w:pStyle w:val="6"/>
              <w:spacing w:before="92" w:line="219" w:lineRule="auto"/>
              <w:ind w:left="1219"/>
              <w:rPr>
                <w:sz w:val="18"/>
                <w:szCs w:val="18"/>
              </w:rPr>
            </w:pPr>
            <w:r>
              <w:rPr>
                <w:spacing w:val="4"/>
                <w:sz w:val="18"/>
                <w:szCs w:val="18"/>
              </w:rPr>
              <w:t>伤害原因</w:t>
            </w:r>
          </w:p>
        </w:tc>
        <w:tc>
          <w:tcPr>
            <w:tcW w:w="2556" w:type="dxa"/>
            <w:tcBorders>
              <w:top w:val="single" w:color="000000" w:sz="4" w:space="0"/>
              <w:bottom w:val="single" w:color="000000" w:sz="4" w:space="0"/>
            </w:tcBorders>
            <w:vAlign w:val="top"/>
          </w:tcPr>
          <w:p w14:paraId="6DB398ED">
            <w:pPr>
              <w:rPr>
                <w:rFonts w:ascii="Arial"/>
                <w:sz w:val="21"/>
              </w:rPr>
            </w:pPr>
          </w:p>
        </w:tc>
        <w:tc>
          <w:tcPr>
            <w:tcW w:w="3058" w:type="dxa"/>
            <w:tcBorders>
              <w:top w:val="single" w:color="000000" w:sz="4" w:space="0"/>
              <w:bottom w:val="single" w:color="000000" w:sz="4" w:space="0"/>
            </w:tcBorders>
            <w:vAlign w:val="top"/>
          </w:tcPr>
          <w:p w14:paraId="31916610">
            <w:pPr>
              <w:pStyle w:val="6"/>
              <w:spacing w:before="92" w:line="219" w:lineRule="auto"/>
              <w:ind w:left="398"/>
              <w:rPr>
                <w:sz w:val="18"/>
                <w:szCs w:val="18"/>
              </w:rPr>
            </w:pPr>
            <w:r>
              <w:rPr>
                <w:spacing w:val="2"/>
                <w:sz w:val="18"/>
                <w:szCs w:val="18"/>
              </w:rPr>
              <w:t>年龄标准化</w:t>
            </w:r>
            <w:r>
              <w:rPr>
                <w:sz w:val="18"/>
                <w:szCs w:val="18"/>
              </w:rPr>
              <w:t>DALY</w:t>
            </w:r>
            <w:r>
              <w:rPr>
                <w:spacing w:val="2"/>
                <w:sz w:val="18"/>
                <w:szCs w:val="18"/>
              </w:rPr>
              <w:t>率/(1/10万)</w:t>
            </w:r>
          </w:p>
        </w:tc>
      </w:tr>
      <w:tr w14:paraId="547044CF">
        <w:trPr>
          <w:trHeight w:val="3725" w:hRule="atLeast"/>
        </w:trPr>
        <w:tc>
          <w:tcPr>
            <w:tcW w:w="2765" w:type="dxa"/>
            <w:tcBorders>
              <w:top w:val="single" w:color="000000" w:sz="4" w:space="0"/>
              <w:bottom w:val="single" w:color="000000" w:sz="4" w:space="0"/>
            </w:tcBorders>
            <w:vAlign w:val="top"/>
          </w:tcPr>
          <w:p w14:paraId="257C5E50">
            <w:pPr>
              <w:spacing w:line="272" w:lineRule="auto"/>
              <w:rPr>
                <w:rFonts w:ascii="Arial"/>
                <w:sz w:val="21"/>
              </w:rPr>
            </w:pPr>
          </w:p>
          <w:p w14:paraId="2A3F3C6B">
            <w:pPr>
              <w:spacing w:line="272" w:lineRule="auto"/>
              <w:rPr>
                <w:rFonts w:ascii="Arial"/>
                <w:sz w:val="21"/>
              </w:rPr>
            </w:pPr>
          </w:p>
          <w:p w14:paraId="7C7812EB">
            <w:pPr>
              <w:spacing w:line="272" w:lineRule="auto"/>
              <w:rPr>
                <w:rFonts w:ascii="Arial"/>
                <w:sz w:val="21"/>
              </w:rPr>
            </w:pPr>
          </w:p>
          <w:p w14:paraId="0DA35205">
            <w:pPr>
              <w:spacing w:line="272" w:lineRule="auto"/>
              <w:rPr>
                <w:rFonts w:ascii="Arial"/>
                <w:sz w:val="21"/>
              </w:rPr>
            </w:pPr>
          </w:p>
          <w:p w14:paraId="531E5E76">
            <w:pPr>
              <w:spacing w:line="273" w:lineRule="auto"/>
              <w:rPr>
                <w:rFonts w:ascii="Arial"/>
                <w:sz w:val="21"/>
              </w:rPr>
            </w:pPr>
          </w:p>
          <w:p w14:paraId="2E84F99D">
            <w:pPr>
              <w:spacing w:line="273" w:lineRule="auto"/>
              <w:rPr>
                <w:rFonts w:ascii="Arial"/>
                <w:sz w:val="21"/>
              </w:rPr>
            </w:pPr>
          </w:p>
          <w:p w14:paraId="358FF6A1">
            <w:pPr>
              <w:spacing w:line="273" w:lineRule="auto"/>
              <w:rPr>
                <w:rFonts w:ascii="Arial"/>
                <w:sz w:val="21"/>
              </w:rPr>
            </w:pPr>
          </w:p>
          <w:p w14:paraId="164F675C">
            <w:pPr>
              <w:pStyle w:val="6"/>
              <w:spacing w:before="58" w:line="219" w:lineRule="auto"/>
              <w:ind w:left="949"/>
              <w:rPr>
                <w:sz w:val="18"/>
                <w:szCs w:val="18"/>
              </w:rPr>
            </w:pPr>
            <w:r>
              <w:rPr>
                <w:spacing w:val="2"/>
                <w:sz w:val="18"/>
                <w:szCs w:val="18"/>
              </w:rPr>
              <w:t>自伤和人际暴力</w:t>
            </w:r>
          </w:p>
        </w:tc>
        <w:tc>
          <w:tcPr>
            <w:tcW w:w="2556" w:type="dxa"/>
            <w:tcBorders>
              <w:top w:val="single" w:color="000000" w:sz="4" w:space="0"/>
              <w:bottom w:val="single" w:color="000000" w:sz="4" w:space="0"/>
            </w:tcBorders>
            <w:vAlign w:val="top"/>
          </w:tcPr>
          <w:p w14:paraId="7AEEBFDA">
            <w:pPr>
              <w:pStyle w:val="6"/>
              <w:spacing w:before="88" w:line="220" w:lineRule="auto"/>
              <w:ind w:left="554"/>
              <w:rPr>
                <w:sz w:val="18"/>
                <w:szCs w:val="18"/>
              </w:rPr>
            </w:pPr>
            <w:r>
              <w:rPr>
                <w:spacing w:val="-1"/>
                <w:sz w:val="18"/>
                <w:szCs w:val="18"/>
              </w:rPr>
              <w:t>药物治疗的不良反应</w:t>
            </w:r>
          </w:p>
          <w:p w14:paraId="24F0E532">
            <w:pPr>
              <w:pStyle w:val="6"/>
              <w:spacing w:before="155" w:line="220" w:lineRule="auto"/>
              <w:ind w:left="554"/>
              <w:rPr>
                <w:sz w:val="18"/>
                <w:szCs w:val="18"/>
              </w:rPr>
            </w:pPr>
            <w:r>
              <w:rPr>
                <w:spacing w:val="-2"/>
                <w:sz w:val="18"/>
                <w:szCs w:val="18"/>
              </w:rPr>
              <w:t>动物接触</w:t>
            </w:r>
          </w:p>
          <w:p w14:paraId="085C5CAA">
            <w:pPr>
              <w:pStyle w:val="6"/>
              <w:spacing w:before="165" w:line="219" w:lineRule="auto"/>
              <w:ind w:left="554"/>
              <w:rPr>
                <w:sz w:val="18"/>
                <w:szCs w:val="18"/>
              </w:rPr>
            </w:pPr>
            <w:r>
              <w:rPr>
                <w:spacing w:val="-2"/>
                <w:sz w:val="18"/>
                <w:szCs w:val="18"/>
              </w:rPr>
              <w:t>异物吸入</w:t>
            </w:r>
          </w:p>
          <w:p w14:paraId="69242094">
            <w:pPr>
              <w:pStyle w:val="6"/>
              <w:spacing w:before="165" w:line="219" w:lineRule="auto"/>
              <w:ind w:left="554"/>
              <w:rPr>
                <w:sz w:val="18"/>
                <w:szCs w:val="18"/>
              </w:rPr>
            </w:pPr>
            <w:r>
              <w:rPr>
                <w:spacing w:val="-1"/>
                <w:sz w:val="18"/>
                <w:szCs w:val="18"/>
              </w:rPr>
              <w:t>环境冷热暴露</w:t>
            </w:r>
          </w:p>
          <w:p w14:paraId="72E84E92">
            <w:pPr>
              <w:pStyle w:val="6"/>
              <w:spacing w:before="176" w:line="219" w:lineRule="auto"/>
              <w:ind w:left="554"/>
              <w:rPr>
                <w:sz w:val="18"/>
                <w:szCs w:val="18"/>
              </w:rPr>
            </w:pPr>
            <w:r>
              <w:rPr>
                <w:spacing w:val="1"/>
                <w:sz w:val="18"/>
                <w:szCs w:val="18"/>
              </w:rPr>
              <w:t>自然灾害暴露</w:t>
            </w:r>
          </w:p>
          <w:p w14:paraId="3543DF2C">
            <w:pPr>
              <w:spacing w:line="466" w:lineRule="auto"/>
              <w:rPr>
                <w:rFonts w:ascii="Arial"/>
                <w:sz w:val="21"/>
              </w:rPr>
            </w:pPr>
          </w:p>
          <w:p w14:paraId="3A98395C">
            <w:pPr>
              <w:pStyle w:val="6"/>
              <w:spacing w:before="59" w:line="219" w:lineRule="auto"/>
              <w:ind w:left="554"/>
              <w:rPr>
                <w:sz w:val="18"/>
                <w:szCs w:val="18"/>
              </w:rPr>
            </w:pPr>
            <w:r>
              <w:rPr>
                <w:spacing w:val="8"/>
                <w:sz w:val="18"/>
                <w:szCs w:val="18"/>
              </w:rPr>
              <w:t>自伤</w:t>
            </w:r>
          </w:p>
          <w:p w14:paraId="438B0DE0">
            <w:pPr>
              <w:pStyle w:val="6"/>
              <w:spacing w:before="155" w:line="219" w:lineRule="auto"/>
              <w:ind w:left="554"/>
              <w:rPr>
                <w:sz w:val="18"/>
                <w:szCs w:val="18"/>
              </w:rPr>
            </w:pPr>
            <w:r>
              <w:rPr>
                <w:spacing w:val="3"/>
                <w:sz w:val="18"/>
                <w:szCs w:val="18"/>
              </w:rPr>
              <w:t>人际暴力</w:t>
            </w:r>
          </w:p>
          <w:p w14:paraId="2ADC95BA">
            <w:pPr>
              <w:pStyle w:val="6"/>
              <w:spacing w:before="158" w:line="219" w:lineRule="auto"/>
              <w:ind w:left="554"/>
              <w:rPr>
                <w:sz w:val="18"/>
                <w:szCs w:val="18"/>
              </w:rPr>
            </w:pPr>
            <w:r>
              <w:rPr>
                <w:spacing w:val="-1"/>
                <w:sz w:val="18"/>
                <w:szCs w:val="18"/>
              </w:rPr>
              <w:t>冲突与恐怖主义</w:t>
            </w:r>
          </w:p>
          <w:p w14:paraId="36860418">
            <w:pPr>
              <w:pStyle w:val="6"/>
              <w:spacing w:before="155" w:line="219" w:lineRule="auto"/>
              <w:ind w:left="554"/>
              <w:rPr>
                <w:sz w:val="18"/>
                <w:szCs w:val="18"/>
              </w:rPr>
            </w:pPr>
            <w:r>
              <w:rPr>
                <w:spacing w:val="-2"/>
                <w:sz w:val="18"/>
                <w:szCs w:val="18"/>
              </w:rPr>
              <w:t>暴力执法</w:t>
            </w:r>
          </w:p>
        </w:tc>
        <w:tc>
          <w:tcPr>
            <w:tcW w:w="3058" w:type="dxa"/>
            <w:tcBorders>
              <w:top w:val="single" w:color="000000" w:sz="4" w:space="0"/>
              <w:bottom w:val="single" w:color="000000" w:sz="4" w:space="0"/>
            </w:tcBorders>
            <w:vAlign w:val="top"/>
          </w:tcPr>
          <w:p w14:paraId="00A337F0">
            <w:pPr>
              <w:pStyle w:val="6"/>
              <w:spacing w:before="106" w:line="239" w:lineRule="auto"/>
              <w:ind w:left="1348"/>
              <w:rPr>
                <w:sz w:val="18"/>
                <w:szCs w:val="18"/>
              </w:rPr>
            </w:pPr>
            <w:r>
              <w:rPr>
                <w:spacing w:val="-2"/>
                <w:sz w:val="18"/>
                <w:szCs w:val="18"/>
              </w:rPr>
              <w:t>64.1</w:t>
            </w:r>
          </w:p>
          <w:p w14:paraId="2DF636ED">
            <w:pPr>
              <w:pStyle w:val="6"/>
              <w:spacing w:before="137" w:line="239" w:lineRule="auto"/>
              <w:ind w:left="1348"/>
              <w:rPr>
                <w:sz w:val="18"/>
                <w:szCs w:val="18"/>
              </w:rPr>
            </w:pPr>
            <w:r>
              <w:rPr>
                <w:spacing w:val="-2"/>
                <w:sz w:val="18"/>
                <w:szCs w:val="18"/>
              </w:rPr>
              <w:t>62.9</w:t>
            </w:r>
          </w:p>
          <w:p w14:paraId="612E95C9">
            <w:pPr>
              <w:pStyle w:val="6"/>
              <w:spacing w:before="146" w:line="239" w:lineRule="auto"/>
              <w:ind w:left="1348"/>
              <w:rPr>
                <w:sz w:val="18"/>
                <w:szCs w:val="18"/>
              </w:rPr>
            </w:pPr>
            <w:r>
              <w:rPr>
                <w:spacing w:val="-3"/>
                <w:sz w:val="18"/>
                <w:szCs w:val="18"/>
              </w:rPr>
              <w:t>77.8</w:t>
            </w:r>
          </w:p>
          <w:p w14:paraId="7A117C50">
            <w:pPr>
              <w:pStyle w:val="6"/>
              <w:spacing w:before="146" w:line="239" w:lineRule="auto"/>
              <w:ind w:left="1348"/>
              <w:rPr>
                <w:sz w:val="18"/>
                <w:szCs w:val="18"/>
              </w:rPr>
            </w:pPr>
            <w:r>
              <w:rPr>
                <w:spacing w:val="-2"/>
                <w:sz w:val="18"/>
                <w:szCs w:val="18"/>
              </w:rPr>
              <w:t>20.4</w:t>
            </w:r>
          </w:p>
          <w:p w14:paraId="32600558">
            <w:pPr>
              <w:pStyle w:val="6"/>
              <w:spacing w:before="157" w:line="239" w:lineRule="auto"/>
              <w:ind w:left="1348"/>
              <w:rPr>
                <w:sz w:val="18"/>
                <w:szCs w:val="18"/>
              </w:rPr>
            </w:pPr>
            <w:r>
              <w:rPr>
                <w:spacing w:val="-4"/>
                <w:sz w:val="18"/>
                <w:szCs w:val="18"/>
              </w:rPr>
              <w:t>14.0</w:t>
            </w:r>
          </w:p>
          <w:p w14:paraId="7E28D9CE">
            <w:pPr>
              <w:pStyle w:val="6"/>
              <w:spacing w:before="137" w:line="239" w:lineRule="auto"/>
              <w:ind w:left="1298"/>
              <w:rPr>
                <w:sz w:val="18"/>
                <w:szCs w:val="18"/>
              </w:rPr>
            </w:pPr>
            <w:r>
              <w:rPr>
                <w:spacing w:val="-2"/>
                <w:sz w:val="18"/>
                <w:szCs w:val="18"/>
              </w:rPr>
              <w:t>870.4</w:t>
            </w:r>
          </w:p>
          <w:p w14:paraId="2AC743EB">
            <w:pPr>
              <w:pStyle w:val="6"/>
              <w:spacing w:before="137" w:line="239" w:lineRule="auto"/>
              <w:ind w:left="1298"/>
              <w:rPr>
                <w:sz w:val="18"/>
                <w:szCs w:val="18"/>
              </w:rPr>
            </w:pPr>
            <w:r>
              <w:rPr>
                <w:spacing w:val="-2"/>
                <w:sz w:val="18"/>
                <w:szCs w:val="18"/>
              </w:rPr>
              <w:t>410.1</w:t>
            </w:r>
          </w:p>
          <w:p w14:paraId="3F166C3C">
            <w:pPr>
              <w:pStyle w:val="6"/>
              <w:spacing w:before="136" w:line="239" w:lineRule="auto"/>
              <w:ind w:left="1298"/>
              <w:rPr>
                <w:sz w:val="18"/>
                <w:szCs w:val="18"/>
              </w:rPr>
            </w:pPr>
            <w:r>
              <w:rPr>
                <w:spacing w:val="-2"/>
                <w:sz w:val="18"/>
                <w:szCs w:val="18"/>
              </w:rPr>
              <w:t>336.4</w:t>
            </w:r>
          </w:p>
          <w:p w14:paraId="2960AD23">
            <w:pPr>
              <w:pStyle w:val="6"/>
              <w:spacing w:before="138" w:line="239" w:lineRule="auto"/>
              <w:ind w:left="1298"/>
              <w:rPr>
                <w:sz w:val="18"/>
                <w:szCs w:val="18"/>
              </w:rPr>
            </w:pPr>
            <w:r>
              <w:rPr>
                <w:spacing w:val="-4"/>
                <w:sz w:val="18"/>
                <w:szCs w:val="18"/>
              </w:rPr>
              <w:t>111.8</w:t>
            </w:r>
          </w:p>
          <w:p w14:paraId="26098DA2">
            <w:pPr>
              <w:pStyle w:val="6"/>
              <w:spacing w:before="137" w:line="239" w:lineRule="auto"/>
              <w:ind w:left="1348"/>
              <w:rPr>
                <w:sz w:val="18"/>
                <w:szCs w:val="18"/>
              </w:rPr>
            </w:pPr>
            <w:r>
              <w:rPr>
                <w:spacing w:val="-4"/>
                <w:sz w:val="18"/>
                <w:szCs w:val="18"/>
              </w:rPr>
              <w:t>12.1</w:t>
            </w:r>
          </w:p>
        </w:tc>
      </w:tr>
    </w:tbl>
    <w:p w14:paraId="1A0AF714">
      <w:pPr>
        <w:spacing w:before="62" w:line="219" w:lineRule="auto"/>
        <w:ind w:left="760"/>
        <w:rPr>
          <w:rFonts w:ascii="宋体" w:hAnsi="宋体" w:eastAsia="宋体" w:cs="宋体"/>
          <w:sz w:val="18"/>
          <w:szCs w:val="18"/>
        </w:rPr>
      </w:pPr>
      <w:r>
        <w:rPr>
          <w:rFonts w:ascii="宋体" w:hAnsi="宋体" w:eastAsia="宋体" w:cs="宋体"/>
          <w:sz w:val="18"/>
          <w:szCs w:val="18"/>
        </w:rPr>
        <w:t>注：*表中仅列出常见的“其他非故意伤害”类</w:t>
      </w:r>
      <w:r>
        <w:rPr>
          <w:rFonts w:ascii="宋体" w:hAnsi="宋体" w:eastAsia="宋体" w:cs="宋体"/>
          <w:spacing w:val="-1"/>
          <w:sz w:val="18"/>
          <w:szCs w:val="18"/>
        </w:rPr>
        <w:t>型。</w:t>
      </w:r>
    </w:p>
    <w:p w14:paraId="4028257F">
      <w:pPr>
        <w:spacing w:before="83" w:line="192" w:lineRule="auto"/>
        <w:ind w:left="8250"/>
        <w:rPr>
          <w:rFonts w:ascii="Times New Roman" w:hAnsi="Times New Roman" w:eastAsia="Times New Roman" w:cs="Times New Roman"/>
          <w:sz w:val="16"/>
          <w:szCs w:val="16"/>
        </w:rPr>
      </w:pPr>
      <w:r>
        <w:rPr>
          <w:rFonts w:ascii="Times New Roman" w:hAnsi="Times New Roman" w:eastAsia="Times New Roman" w:cs="Times New Roman"/>
          <w:spacing w:val="-1"/>
          <w:sz w:val="16"/>
          <w:szCs w:val="16"/>
        </w:rPr>
        <w:t>(GBD,2021)</w:t>
      </w:r>
    </w:p>
    <w:p w14:paraId="0488D1BB">
      <w:pPr>
        <w:spacing w:line="347" w:lineRule="auto"/>
        <w:rPr>
          <w:rFonts w:ascii="Arial"/>
          <w:sz w:val="21"/>
        </w:rPr>
      </w:pPr>
    </w:p>
    <w:p w14:paraId="21584805">
      <w:pPr>
        <w:pStyle w:val="2"/>
        <w:spacing w:before="69" w:line="222" w:lineRule="auto"/>
        <w:ind w:left="1060"/>
        <w:rPr>
          <w:sz w:val="21"/>
          <w:szCs w:val="21"/>
        </w:rPr>
      </w:pPr>
      <w:r>
        <w:rPr>
          <w:spacing w:val="16"/>
          <w:sz w:val="21"/>
          <w:szCs w:val="21"/>
        </w:rPr>
        <w:t>(一)地区分布</w:t>
      </w:r>
    </w:p>
    <w:p w14:paraId="137B5FF3">
      <w:pPr>
        <w:spacing w:before="55" w:line="344" w:lineRule="auto"/>
        <w:ind w:left="650" w:right="49" w:firstLine="409"/>
        <w:jc w:val="both"/>
        <w:rPr>
          <w:rFonts w:ascii="宋体" w:hAnsi="宋体" w:eastAsia="宋体" w:cs="宋体"/>
          <w:sz w:val="16"/>
          <w:szCs w:val="16"/>
        </w:rPr>
      </w:pPr>
      <w:r>
        <w:rPr>
          <w:rFonts w:ascii="宋体" w:hAnsi="宋体" w:eastAsia="宋体" w:cs="宋体"/>
          <w:spacing w:val="-7"/>
          <w:sz w:val="21"/>
          <w:szCs w:val="21"/>
        </w:rPr>
        <w:t>总体而言，发展中国家的伤害死亡率高于发达国家。自2000年以来，非洲地区的道路交通伤</w:t>
      </w:r>
      <w:r>
        <w:rPr>
          <w:rFonts w:ascii="宋体" w:hAnsi="宋体" w:eastAsia="宋体" w:cs="宋体"/>
          <w:spacing w:val="3"/>
          <w:sz w:val="21"/>
          <w:szCs w:val="21"/>
        </w:rPr>
        <w:t xml:space="preserve"> </w:t>
      </w:r>
      <w:r>
        <w:rPr>
          <w:rFonts w:ascii="宋体" w:hAnsi="宋体" w:eastAsia="宋体" w:cs="宋体"/>
          <w:sz w:val="21"/>
          <w:szCs w:val="21"/>
        </w:rPr>
        <w:t>害显著增加，因残疾而损失的健康寿命年增加了75%。图15-1和表15-2分别列出了2021年全球</w:t>
      </w:r>
      <w:r>
        <w:rPr>
          <w:rFonts w:ascii="宋体" w:hAnsi="宋体" w:eastAsia="宋体" w:cs="宋体"/>
          <w:spacing w:val="12"/>
          <w:sz w:val="21"/>
          <w:szCs w:val="21"/>
        </w:rPr>
        <w:t xml:space="preserve"> </w:t>
      </w:r>
      <w:r>
        <w:rPr>
          <w:rFonts w:ascii="宋体" w:hAnsi="宋体" w:eastAsia="宋体" w:cs="宋体"/>
          <w:spacing w:val="-9"/>
          <w:sz w:val="21"/>
          <w:szCs w:val="21"/>
        </w:rPr>
        <w:t>不同地区各类伤害的年龄标准化DALY</w:t>
      </w:r>
      <w:r>
        <w:rPr>
          <w:rFonts w:ascii="宋体" w:hAnsi="宋体" w:eastAsia="宋体" w:cs="宋体"/>
          <w:spacing w:val="39"/>
          <w:sz w:val="21"/>
          <w:szCs w:val="21"/>
        </w:rPr>
        <w:t xml:space="preserve"> </w:t>
      </w:r>
      <w:r>
        <w:rPr>
          <w:rFonts w:ascii="宋体" w:hAnsi="宋体" w:eastAsia="宋体" w:cs="宋体"/>
          <w:spacing w:val="-9"/>
          <w:sz w:val="21"/>
          <w:szCs w:val="21"/>
        </w:rPr>
        <w:t>率以及不同社</w:t>
      </w:r>
      <w:r>
        <w:rPr>
          <w:rFonts w:ascii="宋体" w:hAnsi="宋体" w:eastAsia="宋体" w:cs="宋体"/>
          <w:spacing w:val="-10"/>
          <w:sz w:val="21"/>
          <w:szCs w:val="21"/>
        </w:rPr>
        <w:t>会人口指数(socio-demographic index,SDI)的</w:t>
      </w:r>
      <w:r>
        <w:rPr>
          <w:rFonts w:ascii="宋体" w:hAnsi="宋体" w:eastAsia="宋体" w:cs="宋体"/>
          <w:sz w:val="21"/>
          <w:szCs w:val="21"/>
        </w:rPr>
        <w:t xml:space="preserve"> </w:t>
      </w:r>
      <w:r>
        <w:rPr>
          <w:rFonts w:ascii="宋体" w:hAnsi="宋体" w:eastAsia="宋体" w:cs="宋体"/>
          <w:spacing w:val="-6"/>
          <w:sz w:val="16"/>
          <w:szCs w:val="16"/>
        </w:rPr>
        <w:t>影 响</w:t>
      </w:r>
      <w:r>
        <w:rPr>
          <w:rFonts w:ascii="宋体" w:hAnsi="宋体" w:eastAsia="宋体" w:cs="宋体"/>
          <w:spacing w:val="-14"/>
          <w:sz w:val="16"/>
          <w:szCs w:val="16"/>
        </w:rPr>
        <w:t xml:space="preserve"> </w:t>
      </w:r>
      <w:r>
        <w:rPr>
          <w:rFonts w:ascii="宋体" w:hAnsi="宋体" w:eastAsia="宋体" w:cs="宋体"/>
          <w:spacing w:val="-6"/>
          <w:sz w:val="16"/>
          <w:szCs w:val="16"/>
        </w:rPr>
        <w:t>。</w:t>
      </w:r>
    </w:p>
    <w:p w14:paraId="303F1DF1">
      <w:pPr>
        <w:pStyle w:val="2"/>
        <w:spacing w:before="221" w:line="3497" w:lineRule="exact"/>
        <w:ind w:firstLine="760"/>
      </w:pPr>
      <w:r>
        <mc:AlternateContent>
          <mc:Choice Requires="wps">
            <w:drawing>
              <wp:anchor distT="0" distB="0" distL="0" distR="0" simplePos="0" relativeHeight="251851776" behindDoc="0" locked="0" layoutInCell="1" allowOverlap="1">
                <wp:simplePos x="0" y="0"/>
                <wp:positionH relativeFrom="column">
                  <wp:posOffset>365760</wp:posOffset>
                </wp:positionH>
                <wp:positionV relativeFrom="paragraph">
                  <wp:posOffset>502285</wp:posOffset>
                </wp:positionV>
                <wp:extent cx="269240" cy="104775"/>
                <wp:effectExtent l="0" t="0" r="0" b="0"/>
                <wp:wrapNone/>
                <wp:docPr id="596" name="TextBox 596"/>
                <wp:cNvGraphicFramePr/>
                <a:graphic xmlns:a="http://schemas.openxmlformats.org/drawingml/2006/main">
                  <a:graphicData uri="http://schemas.microsoft.com/office/word/2010/wordprocessingShape">
                    <wps:wsp>
                      <wps:cNvSpPr txBox="1"/>
                      <wps:spPr>
                        <a:xfrm rot="16200000">
                          <a:off x="366137" y="502418"/>
                          <a:ext cx="269240" cy="104775"/>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5191BEB9">
                            <w:pPr>
                              <w:spacing w:before="37" w:line="220" w:lineRule="auto"/>
                              <w:ind w:left="20"/>
                              <w:rPr>
                                <w:rFonts w:ascii="宋体" w:hAnsi="宋体" w:eastAsia="宋体" w:cs="宋体"/>
                                <w:sz w:val="9"/>
                                <w:szCs w:val="9"/>
                              </w:rPr>
                            </w:pPr>
                            <w:r>
                              <w:rPr>
                                <w:rFonts w:ascii="宋体" w:hAnsi="宋体" w:eastAsia="宋体" w:cs="宋体"/>
                                <w:spacing w:val="-6"/>
                                <w:sz w:val="9"/>
                                <w:szCs w:val="9"/>
                              </w:rPr>
                              <w:t>1</w:t>
                            </w:r>
                            <w:r>
                              <w:rPr>
                                <w:rFonts w:ascii="宋体" w:hAnsi="宋体" w:eastAsia="宋体" w:cs="宋体"/>
                                <w:spacing w:val="18"/>
                                <w:w w:val="101"/>
                                <w:sz w:val="9"/>
                                <w:szCs w:val="9"/>
                              </w:rPr>
                              <w:t xml:space="preserve"> </w:t>
                            </w:r>
                            <w:r>
                              <w:rPr>
                                <w:rFonts w:ascii="宋体" w:hAnsi="宋体" w:eastAsia="宋体" w:cs="宋体"/>
                                <w:spacing w:val="-6"/>
                                <w:sz w:val="9"/>
                                <w:szCs w:val="9"/>
                              </w:rPr>
                              <w:t>0</w:t>
                            </w:r>
                            <w:r>
                              <w:rPr>
                                <w:rFonts w:ascii="宋体" w:hAnsi="宋体" w:eastAsia="宋体" w:cs="宋体"/>
                                <w:spacing w:val="17"/>
                                <w:sz w:val="9"/>
                                <w:szCs w:val="9"/>
                              </w:rPr>
                              <w:t xml:space="preserve"> </w:t>
                            </w:r>
                            <w:r>
                              <w:rPr>
                                <w:rFonts w:ascii="宋体" w:hAnsi="宋体" w:eastAsia="宋体" w:cs="宋体"/>
                                <w:spacing w:val="-6"/>
                                <w:sz w:val="9"/>
                                <w:szCs w:val="9"/>
                              </w:rPr>
                              <w:t>万</w:t>
                            </w:r>
                            <w:r>
                              <w:rPr>
                                <w:rFonts w:ascii="宋体" w:hAnsi="宋体" w:eastAsia="宋体" w:cs="宋体"/>
                                <w:spacing w:val="15"/>
                                <w:sz w:val="9"/>
                                <w:szCs w:val="9"/>
                              </w:rPr>
                              <w:t xml:space="preserve"> </w:t>
                            </w:r>
                            <w:r>
                              <w:rPr>
                                <w:rFonts w:ascii="宋体" w:hAnsi="宋体" w:eastAsia="宋体" w:cs="宋体"/>
                                <w:spacing w:val="-6"/>
                                <w:sz w:val="9"/>
                                <w:szCs w:val="9"/>
                              </w:rPr>
                              <w:t>)</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596" o:spid="_x0000_s1026" o:spt="202" type="#_x0000_t202" style="position:absolute;left:0pt;margin-left:28.8pt;margin-top:39.55pt;height:8.25pt;width:21.2pt;rotation:-5898240f;z-index:251851776;mso-width-relative:page;mso-height-relative:page;" filled="f" stroked="f" coordsize="21600,21600" o:gfxdata="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BX/flq1gAAAAgBAAAPAAAA&#10;AAAAAAEAIAAAACIAAABkcnMvZG93bnJldi54bWxQSwECFAAUAAAACACHTuJAZFr5nFACAACjBAAA&#10;DgAAAAAAAAABACAAAAAlAQAAZHJzL2Uyb0RvYy54bWxQSwUGAAAAAAYABgBZAQAA5wUAAAAA&#10;">
                <v:fill on="f" focussize="0,0"/>
                <v:stroke on="f" weight="0pt" miterlimit="0" joinstyle="miter"/>
                <v:imagedata o:title=""/>
                <o:lock v:ext="edit" aspectratio="f"/>
                <v:textbox inset="0mm,0mm,0mm,0mm">
                  <w:txbxContent>
                    <w:p w14:paraId="5191BEB9">
                      <w:pPr>
                        <w:spacing w:before="37" w:line="220" w:lineRule="auto"/>
                        <w:ind w:left="20"/>
                        <w:rPr>
                          <w:rFonts w:ascii="宋体" w:hAnsi="宋体" w:eastAsia="宋体" w:cs="宋体"/>
                          <w:sz w:val="9"/>
                          <w:szCs w:val="9"/>
                        </w:rPr>
                      </w:pPr>
                      <w:r>
                        <w:rPr>
                          <w:rFonts w:ascii="宋体" w:hAnsi="宋体" w:eastAsia="宋体" w:cs="宋体"/>
                          <w:spacing w:val="-6"/>
                          <w:sz w:val="9"/>
                          <w:szCs w:val="9"/>
                        </w:rPr>
                        <w:t>1</w:t>
                      </w:r>
                      <w:r>
                        <w:rPr>
                          <w:rFonts w:ascii="宋体" w:hAnsi="宋体" w:eastAsia="宋体" w:cs="宋体"/>
                          <w:spacing w:val="18"/>
                          <w:w w:val="101"/>
                          <w:sz w:val="9"/>
                          <w:szCs w:val="9"/>
                        </w:rPr>
                        <w:t xml:space="preserve"> </w:t>
                      </w:r>
                      <w:r>
                        <w:rPr>
                          <w:rFonts w:ascii="宋体" w:hAnsi="宋体" w:eastAsia="宋体" w:cs="宋体"/>
                          <w:spacing w:val="-6"/>
                          <w:sz w:val="9"/>
                          <w:szCs w:val="9"/>
                        </w:rPr>
                        <w:t>0</w:t>
                      </w:r>
                      <w:r>
                        <w:rPr>
                          <w:rFonts w:ascii="宋体" w:hAnsi="宋体" w:eastAsia="宋体" w:cs="宋体"/>
                          <w:spacing w:val="17"/>
                          <w:sz w:val="9"/>
                          <w:szCs w:val="9"/>
                        </w:rPr>
                        <w:t xml:space="preserve"> </w:t>
                      </w:r>
                      <w:r>
                        <w:rPr>
                          <w:rFonts w:ascii="宋体" w:hAnsi="宋体" w:eastAsia="宋体" w:cs="宋体"/>
                          <w:spacing w:val="-6"/>
                          <w:sz w:val="9"/>
                          <w:szCs w:val="9"/>
                        </w:rPr>
                        <w:t>万</w:t>
                      </w:r>
                      <w:r>
                        <w:rPr>
                          <w:rFonts w:ascii="宋体" w:hAnsi="宋体" w:eastAsia="宋体" w:cs="宋体"/>
                          <w:spacing w:val="15"/>
                          <w:sz w:val="9"/>
                          <w:szCs w:val="9"/>
                        </w:rPr>
                        <w:t xml:space="preserve"> </w:t>
                      </w:r>
                      <w:r>
                        <w:rPr>
                          <w:rFonts w:ascii="宋体" w:hAnsi="宋体" w:eastAsia="宋体" w:cs="宋体"/>
                          <w:spacing w:val="-6"/>
                          <w:sz w:val="9"/>
                          <w:szCs w:val="9"/>
                        </w:rPr>
                        <w:t>)</w:t>
                      </w:r>
                    </w:p>
                  </w:txbxContent>
                </v:textbox>
              </v:shape>
            </w:pict>
          </mc:Fallback>
        </mc:AlternateContent>
      </w:r>
      <w:r>
        <mc:AlternateContent>
          <mc:Choice Requires="wps">
            <w:drawing>
              <wp:anchor distT="0" distB="0" distL="0" distR="0" simplePos="0" relativeHeight="251852800" behindDoc="0" locked="0" layoutInCell="1" allowOverlap="1">
                <wp:simplePos x="0" y="0"/>
                <wp:positionH relativeFrom="column">
                  <wp:posOffset>331470</wp:posOffset>
                </wp:positionH>
                <wp:positionV relativeFrom="paragraph">
                  <wp:posOffset>822325</wp:posOffset>
                </wp:positionV>
                <wp:extent cx="337820" cy="104140"/>
                <wp:effectExtent l="0" t="0" r="0" b="0"/>
                <wp:wrapNone/>
                <wp:docPr id="598" name="TextBox 598"/>
                <wp:cNvGraphicFramePr/>
                <a:graphic xmlns:a="http://schemas.openxmlformats.org/drawingml/2006/main">
                  <a:graphicData uri="http://schemas.microsoft.com/office/word/2010/wordprocessingShape">
                    <wps:wsp>
                      <wps:cNvSpPr txBox="1"/>
                      <wps:spPr>
                        <a:xfrm rot="16200000">
                          <a:off x="332063" y="822796"/>
                          <a:ext cx="337820" cy="104139"/>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7DF57DB5">
                            <w:pPr>
                              <w:spacing w:before="37" w:line="219" w:lineRule="auto"/>
                              <w:ind w:left="20"/>
                              <w:rPr>
                                <w:rFonts w:ascii="宋体" w:hAnsi="宋体" w:eastAsia="宋体" w:cs="宋体"/>
                                <w:sz w:val="9"/>
                                <w:szCs w:val="9"/>
                              </w:rPr>
                            </w:pPr>
                            <w:r>
                              <w:rPr>
                                <w:rFonts w:ascii="宋体" w:hAnsi="宋体" w:eastAsia="宋体" w:cs="宋体"/>
                                <w:spacing w:val="-8"/>
                                <w:sz w:val="9"/>
                                <w:szCs w:val="9"/>
                              </w:rPr>
                              <w:t>率</w:t>
                            </w:r>
                            <w:r>
                              <w:rPr>
                                <w:rFonts w:ascii="宋体" w:hAnsi="宋体" w:eastAsia="宋体" w:cs="宋体"/>
                                <w:spacing w:val="16"/>
                                <w:w w:val="101"/>
                                <w:sz w:val="9"/>
                                <w:szCs w:val="9"/>
                              </w:rPr>
                              <w:t xml:space="preserve"> </w:t>
                            </w:r>
                            <w:r>
                              <w:rPr>
                                <w:rFonts w:ascii="宋体" w:hAnsi="宋体" w:eastAsia="宋体" w:cs="宋体"/>
                                <w:spacing w:val="-8"/>
                                <w:sz w:val="9"/>
                                <w:szCs w:val="9"/>
                              </w:rPr>
                              <w:t>/</w:t>
                            </w:r>
                            <w:r>
                              <w:rPr>
                                <w:rFonts w:ascii="宋体" w:hAnsi="宋体" w:eastAsia="宋体" w:cs="宋体"/>
                                <w:spacing w:val="30"/>
                                <w:w w:val="102"/>
                                <w:sz w:val="9"/>
                                <w:szCs w:val="9"/>
                              </w:rPr>
                              <w:t xml:space="preserve"> </w:t>
                            </w:r>
                            <w:r>
                              <w:rPr>
                                <w:rFonts w:ascii="宋体" w:hAnsi="宋体" w:eastAsia="宋体" w:cs="宋体"/>
                                <w:spacing w:val="-8"/>
                                <w:sz w:val="9"/>
                                <w:szCs w:val="9"/>
                              </w:rPr>
                              <w:t>(</w:t>
                            </w:r>
                            <w:r>
                              <w:rPr>
                                <w:rFonts w:ascii="宋体" w:hAnsi="宋体" w:eastAsia="宋体" w:cs="宋体"/>
                                <w:spacing w:val="21"/>
                                <w:w w:val="101"/>
                                <w:sz w:val="9"/>
                                <w:szCs w:val="9"/>
                              </w:rPr>
                              <w:t xml:space="preserve"> </w:t>
                            </w:r>
                            <w:r>
                              <w:rPr>
                                <w:rFonts w:ascii="宋体" w:hAnsi="宋体" w:eastAsia="宋体" w:cs="宋体"/>
                                <w:spacing w:val="-8"/>
                                <w:sz w:val="9"/>
                                <w:szCs w:val="9"/>
                              </w:rPr>
                              <w:t>1</w:t>
                            </w:r>
                            <w:r>
                              <w:rPr>
                                <w:rFonts w:ascii="宋体" w:hAnsi="宋体" w:eastAsia="宋体" w:cs="宋体"/>
                                <w:spacing w:val="14"/>
                                <w:w w:val="101"/>
                                <w:sz w:val="9"/>
                                <w:szCs w:val="9"/>
                              </w:rPr>
                              <w:t xml:space="preserve"> </w:t>
                            </w:r>
                            <w:r>
                              <w:rPr>
                                <w:rFonts w:ascii="宋体" w:hAnsi="宋体" w:eastAsia="宋体" w:cs="宋体"/>
                                <w:spacing w:val="-8"/>
                                <w:sz w:val="9"/>
                                <w:szCs w:val="9"/>
                              </w:rPr>
                              <w:t>/</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598" o:spid="_x0000_s1026" o:spt="202" type="#_x0000_t202" style="position:absolute;left:0pt;margin-left:26.1pt;margin-top:64.75pt;height:8.2pt;width:26.6pt;rotation:-5898240f;z-index:251852800;mso-width-relative:page;mso-height-relative:page;" filled="f" stroked="f" coordsize="21600,21600" o:gfxdata="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UKshtgAAAAKAQAADwAA&#10;AAAAAAABACAAAAAiAAAAZHJzL2Rvd25yZXYueG1sUEsBAhQAFAAAAAgAh07iQOH9aZNPAgAAowQA&#10;AA4AAAAAAAAAAQAgAAAAJwEAAGRycy9lMm9Eb2MueG1sUEsFBgAAAAAGAAYAWQEAAOgFAAAAAA==&#10;">
                <v:fill on="f" focussize="0,0"/>
                <v:stroke on="f" weight="0pt" miterlimit="0" joinstyle="miter"/>
                <v:imagedata o:title=""/>
                <o:lock v:ext="edit" aspectratio="f"/>
                <v:textbox inset="0mm,0mm,0mm,0mm">
                  <w:txbxContent>
                    <w:p w14:paraId="7DF57DB5">
                      <w:pPr>
                        <w:spacing w:before="37" w:line="219" w:lineRule="auto"/>
                        <w:ind w:left="20"/>
                        <w:rPr>
                          <w:rFonts w:ascii="宋体" w:hAnsi="宋体" w:eastAsia="宋体" w:cs="宋体"/>
                          <w:sz w:val="9"/>
                          <w:szCs w:val="9"/>
                        </w:rPr>
                      </w:pPr>
                      <w:r>
                        <w:rPr>
                          <w:rFonts w:ascii="宋体" w:hAnsi="宋体" w:eastAsia="宋体" w:cs="宋体"/>
                          <w:spacing w:val="-8"/>
                          <w:sz w:val="9"/>
                          <w:szCs w:val="9"/>
                        </w:rPr>
                        <w:t>率</w:t>
                      </w:r>
                      <w:r>
                        <w:rPr>
                          <w:rFonts w:ascii="宋体" w:hAnsi="宋体" w:eastAsia="宋体" w:cs="宋体"/>
                          <w:spacing w:val="16"/>
                          <w:w w:val="101"/>
                          <w:sz w:val="9"/>
                          <w:szCs w:val="9"/>
                        </w:rPr>
                        <w:t xml:space="preserve"> </w:t>
                      </w:r>
                      <w:r>
                        <w:rPr>
                          <w:rFonts w:ascii="宋体" w:hAnsi="宋体" w:eastAsia="宋体" w:cs="宋体"/>
                          <w:spacing w:val="-8"/>
                          <w:sz w:val="9"/>
                          <w:szCs w:val="9"/>
                        </w:rPr>
                        <w:t>/</w:t>
                      </w:r>
                      <w:r>
                        <w:rPr>
                          <w:rFonts w:ascii="宋体" w:hAnsi="宋体" w:eastAsia="宋体" w:cs="宋体"/>
                          <w:spacing w:val="30"/>
                          <w:w w:val="102"/>
                          <w:sz w:val="9"/>
                          <w:szCs w:val="9"/>
                        </w:rPr>
                        <w:t xml:space="preserve"> </w:t>
                      </w:r>
                      <w:r>
                        <w:rPr>
                          <w:rFonts w:ascii="宋体" w:hAnsi="宋体" w:eastAsia="宋体" w:cs="宋体"/>
                          <w:spacing w:val="-8"/>
                          <w:sz w:val="9"/>
                          <w:szCs w:val="9"/>
                        </w:rPr>
                        <w:t>(</w:t>
                      </w:r>
                      <w:r>
                        <w:rPr>
                          <w:rFonts w:ascii="宋体" w:hAnsi="宋体" w:eastAsia="宋体" w:cs="宋体"/>
                          <w:spacing w:val="21"/>
                          <w:w w:val="101"/>
                          <w:sz w:val="9"/>
                          <w:szCs w:val="9"/>
                        </w:rPr>
                        <w:t xml:space="preserve"> </w:t>
                      </w:r>
                      <w:r>
                        <w:rPr>
                          <w:rFonts w:ascii="宋体" w:hAnsi="宋体" w:eastAsia="宋体" w:cs="宋体"/>
                          <w:spacing w:val="-8"/>
                          <w:sz w:val="9"/>
                          <w:szCs w:val="9"/>
                        </w:rPr>
                        <w:t>1</w:t>
                      </w:r>
                      <w:r>
                        <w:rPr>
                          <w:rFonts w:ascii="宋体" w:hAnsi="宋体" w:eastAsia="宋体" w:cs="宋体"/>
                          <w:spacing w:val="14"/>
                          <w:w w:val="101"/>
                          <w:sz w:val="9"/>
                          <w:szCs w:val="9"/>
                        </w:rPr>
                        <w:t xml:space="preserve"> </w:t>
                      </w:r>
                      <w:r>
                        <w:rPr>
                          <w:rFonts w:ascii="宋体" w:hAnsi="宋体" w:eastAsia="宋体" w:cs="宋体"/>
                          <w:spacing w:val="-8"/>
                          <w:sz w:val="9"/>
                          <w:szCs w:val="9"/>
                        </w:rPr>
                        <w:t>/</w:t>
                      </w:r>
                    </w:p>
                  </w:txbxContent>
                </v:textbox>
              </v:shape>
            </w:pict>
          </mc:Fallback>
        </mc:AlternateContent>
      </w:r>
      <w:r>
        <mc:AlternateContent>
          <mc:Choice Requires="wps">
            <w:drawing>
              <wp:anchor distT="0" distB="0" distL="0" distR="0" simplePos="0" relativeHeight="251850752" behindDoc="0" locked="0" layoutInCell="1" allowOverlap="1">
                <wp:simplePos x="0" y="0"/>
                <wp:positionH relativeFrom="column">
                  <wp:posOffset>145415</wp:posOffset>
                </wp:positionH>
                <wp:positionV relativeFrom="paragraph">
                  <wp:posOffset>1358900</wp:posOffset>
                </wp:positionV>
                <wp:extent cx="709930" cy="104140"/>
                <wp:effectExtent l="0" t="0" r="0" b="0"/>
                <wp:wrapNone/>
                <wp:docPr id="600" name="TextBox 600"/>
                <wp:cNvGraphicFramePr/>
                <a:graphic xmlns:a="http://schemas.openxmlformats.org/drawingml/2006/main">
                  <a:graphicData uri="http://schemas.microsoft.com/office/word/2010/wordprocessingShape">
                    <wps:wsp>
                      <wps:cNvSpPr txBox="1"/>
                      <wps:spPr>
                        <a:xfrm rot="16200000">
                          <a:off x="146046" y="1359270"/>
                          <a:ext cx="709930" cy="104139"/>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2957F080">
                            <w:pPr>
                              <w:spacing w:before="37" w:line="219" w:lineRule="auto"/>
                              <w:ind w:left="20"/>
                              <w:rPr>
                                <w:rFonts w:ascii="宋体" w:hAnsi="宋体" w:eastAsia="宋体" w:cs="宋体"/>
                                <w:sz w:val="9"/>
                                <w:szCs w:val="9"/>
                              </w:rPr>
                            </w:pPr>
                            <w:r>
                              <w:rPr>
                                <w:rFonts w:ascii="宋体" w:hAnsi="宋体" w:eastAsia="宋体" w:cs="宋体"/>
                                <w:spacing w:val="-3"/>
                                <w:sz w:val="9"/>
                                <w:szCs w:val="9"/>
                              </w:rPr>
                              <w:t>年</w:t>
                            </w:r>
                            <w:r>
                              <w:rPr>
                                <w:rFonts w:ascii="宋体" w:hAnsi="宋体" w:eastAsia="宋体" w:cs="宋体"/>
                                <w:spacing w:val="15"/>
                                <w:w w:val="101"/>
                                <w:sz w:val="9"/>
                                <w:szCs w:val="9"/>
                              </w:rPr>
                              <w:t xml:space="preserve"> </w:t>
                            </w:r>
                            <w:r>
                              <w:rPr>
                                <w:rFonts w:ascii="宋体" w:hAnsi="宋体" w:eastAsia="宋体" w:cs="宋体"/>
                                <w:spacing w:val="-3"/>
                                <w:sz w:val="9"/>
                                <w:szCs w:val="9"/>
                              </w:rPr>
                              <w:t>龄</w:t>
                            </w:r>
                            <w:r>
                              <w:rPr>
                                <w:rFonts w:ascii="宋体" w:hAnsi="宋体" w:eastAsia="宋体" w:cs="宋体"/>
                                <w:spacing w:val="15"/>
                                <w:sz w:val="9"/>
                                <w:szCs w:val="9"/>
                              </w:rPr>
                              <w:t xml:space="preserve"> </w:t>
                            </w:r>
                            <w:r>
                              <w:rPr>
                                <w:rFonts w:ascii="宋体" w:hAnsi="宋体" w:eastAsia="宋体" w:cs="宋体"/>
                                <w:spacing w:val="-3"/>
                                <w:sz w:val="9"/>
                                <w:szCs w:val="9"/>
                              </w:rPr>
                              <w:t>标</w:t>
                            </w:r>
                            <w:r>
                              <w:rPr>
                                <w:rFonts w:ascii="宋体" w:hAnsi="宋体" w:eastAsia="宋体" w:cs="宋体"/>
                                <w:spacing w:val="15"/>
                                <w:w w:val="102"/>
                                <w:sz w:val="9"/>
                                <w:szCs w:val="9"/>
                              </w:rPr>
                              <w:t xml:space="preserve"> </w:t>
                            </w:r>
                            <w:r>
                              <w:rPr>
                                <w:rFonts w:ascii="宋体" w:hAnsi="宋体" w:eastAsia="宋体" w:cs="宋体"/>
                                <w:spacing w:val="-3"/>
                                <w:sz w:val="9"/>
                                <w:szCs w:val="9"/>
                              </w:rPr>
                              <w:t>准</w:t>
                            </w:r>
                            <w:r>
                              <w:rPr>
                                <w:rFonts w:ascii="宋体" w:hAnsi="宋体" w:eastAsia="宋体" w:cs="宋体"/>
                                <w:spacing w:val="15"/>
                                <w:sz w:val="9"/>
                                <w:szCs w:val="9"/>
                              </w:rPr>
                              <w:t xml:space="preserve"> </w:t>
                            </w:r>
                            <w:r>
                              <w:rPr>
                                <w:rFonts w:ascii="宋体" w:hAnsi="宋体" w:eastAsia="宋体" w:cs="宋体"/>
                                <w:spacing w:val="-3"/>
                                <w:sz w:val="9"/>
                                <w:szCs w:val="9"/>
                              </w:rPr>
                              <w:t>化</w:t>
                            </w:r>
                            <w:r>
                              <w:rPr>
                                <w:rFonts w:ascii="宋体" w:hAnsi="宋体" w:eastAsia="宋体" w:cs="宋体"/>
                                <w:spacing w:val="13"/>
                                <w:sz w:val="9"/>
                                <w:szCs w:val="9"/>
                              </w:rPr>
                              <w:t xml:space="preserve"> </w:t>
                            </w:r>
                            <w:r>
                              <w:rPr>
                                <w:rFonts w:ascii="宋体" w:hAnsi="宋体" w:eastAsia="宋体" w:cs="宋体"/>
                                <w:spacing w:val="-3"/>
                                <w:sz w:val="9"/>
                                <w:szCs w:val="9"/>
                              </w:rPr>
                              <w:t>D</w:t>
                            </w:r>
                            <w:r>
                              <w:rPr>
                                <w:rFonts w:ascii="宋体" w:hAnsi="宋体" w:eastAsia="宋体" w:cs="宋体"/>
                                <w:spacing w:val="13"/>
                                <w:sz w:val="9"/>
                                <w:szCs w:val="9"/>
                              </w:rPr>
                              <w:t xml:space="preserve"> </w:t>
                            </w:r>
                            <w:r>
                              <w:rPr>
                                <w:rFonts w:ascii="宋体" w:hAnsi="宋体" w:eastAsia="宋体" w:cs="宋体"/>
                                <w:spacing w:val="-3"/>
                                <w:sz w:val="9"/>
                                <w:szCs w:val="9"/>
                              </w:rPr>
                              <w:t>V</w:t>
                            </w:r>
                            <w:r>
                              <w:rPr>
                                <w:rFonts w:ascii="宋体" w:hAnsi="宋体" w:eastAsia="宋体" w:cs="宋体"/>
                                <w:spacing w:val="14"/>
                                <w:sz w:val="9"/>
                                <w:szCs w:val="9"/>
                              </w:rPr>
                              <w:t xml:space="preserve"> </w:t>
                            </w:r>
                            <w:r>
                              <w:rPr>
                                <w:rFonts w:ascii="宋体" w:hAnsi="宋体" w:eastAsia="宋体" w:cs="宋体"/>
                                <w:spacing w:val="-3"/>
                                <w:sz w:val="9"/>
                                <w:szCs w:val="9"/>
                              </w:rPr>
                              <w:t>L</w:t>
                            </w:r>
                            <w:r>
                              <w:rPr>
                                <w:rFonts w:ascii="宋体" w:hAnsi="宋体" w:eastAsia="宋体" w:cs="宋体"/>
                                <w:spacing w:val="13"/>
                                <w:w w:val="101"/>
                                <w:sz w:val="9"/>
                                <w:szCs w:val="9"/>
                              </w:rPr>
                              <w:t xml:space="preserve"> </w:t>
                            </w:r>
                            <w:r>
                              <w:rPr>
                                <w:rFonts w:ascii="宋体" w:hAnsi="宋体" w:eastAsia="宋体" w:cs="宋体"/>
                                <w:spacing w:val="-3"/>
                                <w:sz w:val="9"/>
                                <w:szCs w:val="9"/>
                              </w:rPr>
                              <w:t>Y</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600" o:spid="_x0000_s1026" o:spt="202" type="#_x0000_t202" style="position:absolute;left:0pt;margin-left:11.45pt;margin-top:107pt;height:8.2pt;width:55.9pt;rotation:-5898240f;z-index:251850752;mso-width-relative:page;mso-height-relative:page;" filled="f" stroked="f" coordsize="21600,21600" o:gfxdata="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jT/W4dkAAAAKAQAADwAA&#10;AAAAAAABACAAAAAiAAAAZHJzL2Rvd25yZXYueG1sUEsBAhQAFAAAAAgAh07iQGBpa15OAgAApAQA&#10;AA4AAAAAAAAAAQAgAAAAKAEAAGRycy9lMm9Eb2MueG1sUEsFBgAAAAAGAAYAWQEAAOgFAAAAAA==&#10;">
                <v:fill on="f" focussize="0,0"/>
                <v:stroke on="f" weight="0pt" miterlimit="0" joinstyle="miter"/>
                <v:imagedata o:title=""/>
                <o:lock v:ext="edit" aspectratio="f"/>
                <v:textbox inset="0mm,0mm,0mm,0mm">
                  <w:txbxContent>
                    <w:p w14:paraId="2957F080">
                      <w:pPr>
                        <w:spacing w:before="37" w:line="219" w:lineRule="auto"/>
                        <w:ind w:left="20"/>
                        <w:rPr>
                          <w:rFonts w:ascii="宋体" w:hAnsi="宋体" w:eastAsia="宋体" w:cs="宋体"/>
                          <w:sz w:val="9"/>
                          <w:szCs w:val="9"/>
                        </w:rPr>
                      </w:pPr>
                      <w:r>
                        <w:rPr>
                          <w:rFonts w:ascii="宋体" w:hAnsi="宋体" w:eastAsia="宋体" w:cs="宋体"/>
                          <w:spacing w:val="-3"/>
                          <w:sz w:val="9"/>
                          <w:szCs w:val="9"/>
                        </w:rPr>
                        <w:t>年</w:t>
                      </w:r>
                      <w:r>
                        <w:rPr>
                          <w:rFonts w:ascii="宋体" w:hAnsi="宋体" w:eastAsia="宋体" w:cs="宋体"/>
                          <w:spacing w:val="15"/>
                          <w:w w:val="101"/>
                          <w:sz w:val="9"/>
                          <w:szCs w:val="9"/>
                        </w:rPr>
                        <w:t xml:space="preserve"> </w:t>
                      </w:r>
                      <w:r>
                        <w:rPr>
                          <w:rFonts w:ascii="宋体" w:hAnsi="宋体" w:eastAsia="宋体" w:cs="宋体"/>
                          <w:spacing w:val="-3"/>
                          <w:sz w:val="9"/>
                          <w:szCs w:val="9"/>
                        </w:rPr>
                        <w:t>龄</w:t>
                      </w:r>
                      <w:r>
                        <w:rPr>
                          <w:rFonts w:ascii="宋体" w:hAnsi="宋体" w:eastAsia="宋体" w:cs="宋体"/>
                          <w:spacing w:val="15"/>
                          <w:sz w:val="9"/>
                          <w:szCs w:val="9"/>
                        </w:rPr>
                        <w:t xml:space="preserve"> </w:t>
                      </w:r>
                      <w:r>
                        <w:rPr>
                          <w:rFonts w:ascii="宋体" w:hAnsi="宋体" w:eastAsia="宋体" w:cs="宋体"/>
                          <w:spacing w:val="-3"/>
                          <w:sz w:val="9"/>
                          <w:szCs w:val="9"/>
                        </w:rPr>
                        <w:t>标</w:t>
                      </w:r>
                      <w:r>
                        <w:rPr>
                          <w:rFonts w:ascii="宋体" w:hAnsi="宋体" w:eastAsia="宋体" w:cs="宋体"/>
                          <w:spacing w:val="15"/>
                          <w:w w:val="102"/>
                          <w:sz w:val="9"/>
                          <w:szCs w:val="9"/>
                        </w:rPr>
                        <w:t xml:space="preserve"> </w:t>
                      </w:r>
                      <w:r>
                        <w:rPr>
                          <w:rFonts w:ascii="宋体" w:hAnsi="宋体" w:eastAsia="宋体" w:cs="宋体"/>
                          <w:spacing w:val="-3"/>
                          <w:sz w:val="9"/>
                          <w:szCs w:val="9"/>
                        </w:rPr>
                        <w:t>准</w:t>
                      </w:r>
                      <w:r>
                        <w:rPr>
                          <w:rFonts w:ascii="宋体" w:hAnsi="宋体" w:eastAsia="宋体" w:cs="宋体"/>
                          <w:spacing w:val="15"/>
                          <w:sz w:val="9"/>
                          <w:szCs w:val="9"/>
                        </w:rPr>
                        <w:t xml:space="preserve"> </w:t>
                      </w:r>
                      <w:r>
                        <w:rPr>
                          <w:rFonts w:ascii="宋体" w:hAnsi="宋体" w:eastAsia="宋体" w:cs="宋体"/>
                          <w:spacing w:val="-3"/>
                          <w:sz w:val="9"/>
                          <w:szCs w:val="9"/>
                        </w:rPr>
                        <w:t>化</w:t>
                      </w:r>
                      <w:r>
                        <w:rPr>
                          <w:rFonts w:ascii="宋体" w:hAnsi="宋体" w:eastAsia="宋体" w:cs="宋体"/>
                          <w:spacing w:val="13"/>
                          <w:sz w:val="9"/>
                          <w:szCs w:val="9"/>
                        </w:rPr>
                        <w:t xml:space="preserve"> </w:t>
                      </w:r>
                      <w:r>
                        <w:rPr>
                          <w:rFonts w:ascii="宋体" w:hAnsi="宋体" w:eastAsia="宋体" w:cs="宋体"/>
                          <w:spacing w:val="-3"/>
                          <w:sz w:val="9"/>
                          <w:szCs w:val="9"/>
                        </w:rPr>
                        <w:t>D</w:t>
                      </w:r>
                      <w:r>
                        <w:rPr>
                          <w:rFonts w:ascii="宋体" w:hAnsi="宋体" w:eastAsia="宋体" w:cs="宋体"/>
                          <w:spacing w:val="13"/>
                          <w:sz w:val="9"/>
                          <w:szCs w:val="9"/>
                        </w:rPr>
                        <w:t xml:space="preserve"> </w:t>
                      </w:r>
                      <w:r>
                        <w:rPr>
                          <w:rFonts w:ascii="宋体" w:hAnsi="宋体" w:eastAsia="宋体" w:cs="宋体"/>
                          <w:spacing w:val="-3"/>
                          <w:sz w:val="9"/>
                          <w:szCs w:val="9"/>
                        </w:rPr>
                        <w:t>V</w:t>
                      </w:r>
                      <w:r>
                        <w:rPr>
                          <w:rFonts w:ascii="宋体" w:hAnsi="宋体" w:eastAsia="宋体" w:cs="宋体"/>
                          <w:spacing w:val="14"/>
                          <w:sz w:val="9"/>
                          <w:szCs w:val="9"/>
                        </w:rPr>
                        <w:t xml:space="preserve"> </w:t>
                      </w:r>
                      <w:r>
                        <w:rPr>
                          <w:rFonts w:ascii="宋体" w:hAnsi="宋体" w:eastAsia="宋体" w:cs="宋体"/>
                          <w:spacing w:val="-3"/>
                          <w:sz w:val="9"/>
                          <w:szCs w:val="9"/>
                        </w:rPr>
                        <w:t>L</w:t>
                      </w:r>
                      <w:r>
                        <w:rPr>
                          <w:rFonts w:ascii="宋体" w:hAnsi="宋体" w:eastAsia="宋体" w:cs="宋体"/>
                          <w:spacing w:val="13"/>
                          <w:w w:val="101"/>
                          <w:sz w:val="9"/>
                          <w:szCs w:val="9"/>
                        </w:rPr>
                        <w:t xml:space="preserve"> </w:t>
                      </w:r>
                      <w:r>
                        <w:rPr>
                          <w:rFonts w:ascii="宋体" w:hAnsi="宋体" w:eastAsia="宋体" w:cs="宋体"/>
                          <w:spacing w:val="-3"/>
                          <w:sz w:val="9"/>
                          <w:szCs w:val="9"/>
                        </w:rPr>
                        <w:t>Y</w:t>
                      </w:r>
                    </w:p>
                  </w:txbxContent>
                </v:textbox>
              </v:shape>
            </w:pict>
          </mc:Fallback>
        </mc:AlternateContent>
      </w:r>
      <w:r>
        <w:rPr>
          <w:position w:val="-69"/>
        </w:rPr>
        <w:pict>
          <v:group id="_x0000_s1169" o:spid="_x0000_s1169" o:spt="203" style="height:174.85pt;width:420.5pt;" coordsize="8410,3497">
            <o:lock v:ext="edit"/>
            <v:shape id="_x0000_s1170" o:spid="_x0000_s1170" o:spt="75" type="#_x0000_t75" style="position:absolute;left:0;top:0;height:3451;width:7820;" filled="f" stroked="f" coordsize="21600,21600">
              <v:path/>
              <v:fill on="f" focussize="0,0"/>
              <v:stroke on="f"/>
              <v:imagedata r:id="rId641" o:title=""/>
              <o:lock v:ext="edit" aspectratio="t"/>
            </v:shape>
            <v:shape id="_x0000_s1171" o:spid="_x0000_s1171" o:spt="202" type="#_x0000_t202" style="position:absolute;left:89;top:288;height:3072;width:8340;" filled="f" stroked="f" coordsize="21600,21600">
              <v:path/>
              <v:fill on="f" focussize="0,0"/>
              <v:stroke on="f"/>
              <v:imagedata o:title=""/>
              <o:lock v:ext="edit" aspectratio="f"/>
              <v:textbox inset="0mm,0mm,0mm,0mm">
                <w:txbxContent>
                  <w:p w14:paraId="552D8CC1">
                    <w:pPr>
                      <w:spacing w:before="20" w:line="110" w:lineRule="exact"/>
                      <w:ind w:left="20"/>
                      <w:rPr>
                        <w:rFonts w:ascii="Times New Roman" w:hAnsi="Times New Roman" w:eastAsia="Times New Roman" w:cs="Times New Roman"/>
                        <w:sz w:val="16"/>
                        <w:szCs w:val="16"/>
                      </w:rPr>
                    </w:pPr>
                    <w:r>
                      <w:rPr>
                        <w:rFonts w:ascii="Times New Roman" w:hAnsi="Times New Roman" w:eastAsia="Times New Roman" w:cs="Times New Roman"/>
                        <w:spacing w:val="-1"/>
                        <w:position w:val="-2"/>
                        <w:sz w:val="16"/>
                        <w:szCs w:val="16"/>
                      </w:rPr>
                      <w:t>4500.00</w:t>
                    </w:r>
                  </w:p>
                  <w:p w14:paraId="3C5EA974">
                    <w:pPr>
                      <w:spacing w:line="182" w:lineRule="auto"/>
                      <w:ind w:right="1"/>
                      <w:jc w:val="right"/>
                      <w:rPr>
                        <w:rFonts w:ascii="宋体" w:hAnsi="宋体" w:eastAsia="宋体" w:cs="宋体"/>
                        <w:sz w:val="16"/>
                        <w:szCs w:val="16"/>
                      </w:rPr>
                    </w:pPr>
                    <w:r>
                      <w:rPr>
                        <w:rFonts w:ascii="宋体" w:hAnsi="宋体" w:eastAsia="宋体" w:cs="宋体"/>
                        <w:spacing w:val="-17"/>
                        <w:sz w:val="16"/>
                        <w:szCs w:val="16"/>
                      </w:rPr>
                      <w:t>图非故</w:t>
                    </w:r>
                    <w:r>
                      <w:rPr>
                        <w:rFonts w:ascii="宋体" w:hAnsi="宋体" w:eastAsia="宋体" w:cs="宋体"/>
                        <w:spacing w:val="-16"/>
                        <w:sz w:val="16"/>
                        <w:szCs w:val="16"/>
                      </w:rPr>
                      <w:t>意伤</w:t>
                    </w:r>
                    <w:r>
                      <w:rPr>
                        <w:rFonts w:ascii="宋体" w:hAnsi="宋体" w:eastAsia="宋体" w:cs="宋体"/>
                        <w:spacing w:val="-13"/>
                        <w:sz w:val="16"/>
                        <w:szCs w:val="16"/>
                      </w:rPr>
                      <w:t>害</w:t>
                    </w:r>
                  </w:p>
                  <w:p w14:paraId="22E5E74D">
                    <w:pPr>
                      <w:spacing w:before="72" w:line="188" w:lineRule="auto"/>
                      <w:ind w:left="20"/>
                      <w:rPr>
                        <w:rFonts w:ascii="Times New Roman" w:hAnsi="Times New Roman" w:eastAsia="Times New Roman" w:cs="Times New Roman"/>
                        <w:sz w:val="16"/>
                        <w:szCs w:val="16"/>
                      </w:rPr>
                    </w:pPr>
                    <w:r>
                      <w:rPr>
                        <w:rFonts w:ascii="Times New Roman" w:hAnsi="Times New Roman" w:eastAsia="Times New Roman" w:cs="Times New Roman"/>
                        <w:spacing w:val="-1"/>
                        <w:sz w:val="16"/>
                        <w:szCs w:val="16"/>
                      </w:rPr>
                      <w:t>000.00</w:t>
                    </w:r>
                  </w:p>
                  <w:p w14:paraId="61A6331F">
                    <w:pPr>
                      <w:spacing w:before="165" w:line="398" w:lineRule="auto"/>
                      <w:ind w:left="20" w:right="7806"/>
                      <w:rPr>
                        <w:rFonts w:ascii="Times New Roman" w:hAnsi="Times New Roman" w:eastAsia="Times New Roman" w:cs="Times New Roman"/>
                        <w:sz w:val="16"/>
                        <w:szCs w:val="16"/>
                      </w:rPr>
                    </w:pPr>
                    <w:r>
                      <w:rPr>
                        <w:rFonts w:ascii="Times New Roman" w:hAnsi="Times New Roman" w:eastAsia="Times New Roman" w:cs="Times New Roman"/>
                        <w:spacing w:val="-1"/>
                        <w:sz w:val="16"/>
                        <w:szCs w:val="16"/>
                      </w:rPr>
                      <w:t>3500.00</w:t>
                    </w:r>
                    <w:r>
                      <w:rPr>
                        <w:rFonts w:ascii="Times New Roman" w:hAnsi="Times New Roman" w:eastAsia="Times New Roman" w:cs="Times New Roman"/>
                        <w:sz w:val="16"/>
                        <w:szCs w:val="16"/>
                      </w:rPr>
                      <w:t xml:space="preserve"> </w:t>
                    </w:r>
                    <w:r>
                      <w:rPr>
                        <w:rFonts w:ascii="Times New Roman" w:hAnsi="Times New Roman" w:eastAsia="Times New Roman" w:cs="Times New Roman"/>
                        <w:spacing w:val="-1"/>
                        <w:sz w:val="16"/>
                        <w:szCs w:val="16"/>
                      </w:rPr>
                      <w:t>300.00</w:t>
                    </w:r>
                  </w:p>
                  <w:p w14:paraId="6D15487D">
                    <w:pPr>
                      <w:spacing w:line="398" w:lineRule="auto"/>
                      <w:ind w:left="20" w:right="7802"/>
                      <w:jc w:val="both"/>
                      <w:rPr>
                        <w:rFonts w:ascii="Times New Roman" w:hAnsi="Times New Roman" w:eastAsia="Times New Roman" w:cs="Times New Roman"/>
                        <w:sz w:val="14"/>
                        <w:szCs w:val="14"/>
                      </w:rPr>
                    </w:pPr>
                    <w:r>
                      <w:rPr>
                        <w:rFonts w:ascii="Times New Roman" w:hAnsi="Times New Roman" w:eastAsia="Times New Roman" w:cs="Times New Roman"/>
                        <w:spacing w:val="-1"/>
                        <w:sz w:val="16"/>
                        <w:szCs w:val="16"/>
                      </w:rPr>
                      <w:t>2500.00</w:t>
                    </w:r>
                    <w:r>
                      <w:rPr>
                        <w:rFonts w:ascii="Times New Roman" w:hAnsi="Times New Roman" w:eastAsia="Times New Roman" w:cs="Times New Roman"/>
                        <w:spacing w:val="2"/>
                        <w:sz w:val="16"/>
                        <w:szCs w:val="16"/>
                      </w:rPr>
                      <w:t xml:space="preserve"> </w:t>
                    </w:r>
                    <w:r>
                      <w:rPr>
                        <w:rFonts w:ascii="Times New Roman" w:hAnsi="Times New Roman" w:eastAsia="Times New Roman" w:cs="Times New Roman"/>
                        <w:spacing w:val="-1"/>
                        <w:sz w:val="16"/>
                        <w:szCs w:val="16"/>
                      </w:rPr>
                      <w:t>2000.00</w:t>
                    </w:r>
                    <w:r>
                      <w:rPr>
                        <w:rFonts w:ascii="Times New Roman" w:hAnsi="Times New Roman" w:eastAsia="Times New Roman" w:cs="Times New Roman"/>
                        <w:spacing w:val="2"/>
                        <w:sz w:val="16"/>
                        <w:szCs w:val="16"/>
                      </w:rPr>
                      <w:t xml:space="preserve"> </w:t>
                    </w:r>
                    <w:r>
                      <w:rPr>
                        <w:rFonts w:ascii="Times New Roman" w:hAnsi="Times New Roman" w:eastAsia="Times New Roman" w:cs="Times New Roman"/>
                        <w:spacing w:val="-3"/>
                        <w:sz w:val="16"/>
                        <w:szCs w:val="16"/>
                      </w:rPr>
                      <w:t>1500.00</w:t>
                    </w:r>
                    <w:r>
                      <w:rPr>
                        <w:rFonts w:ascii="Times New Roman" w:hAnsi="Times New Roman" w:eastAsia="Times New Roman" w:cs="Times New Roman"/>
                        <w:spacing w:val="1"/>
                        <w:sz w:val="16"/>
                        <w:szCs w:val="16"/>
                      </w:rPr>
                      <w:t xml:space="preserve"> </w:t>
                    </w:r>
                    <w:r>
                      <w:rPr>
                        <w:rFonts w:ascii="Times New Roman" w:hAnsi="Times New Roman" w:eastAsia="Times New Roman" w:cs="Times New Roman"/>
                        <w:spacing w:val="-2"/>
                        <w:sz w:val="14"/>
                        <w:szCs w:val="14"/>
                      </w:rPr>
                      <w:t>1000.00</w:t>
                    </w:r>
                  </w:p>
                  <w:p w14:paraId="61C370BD">
                    <w:pPr>
                      <w:spacing w:before="11" w:line="188" w:lineRule="auto"/>
                      <w:ind w:left="130"/>
                      <w:rPr>
                        <w:rFonts w:ascii="Times New Roman" w:hAnsi="Times New Roman" w:eastAsia="Times New Roman" w:cs="Times New Roman"/>
                        <w:sz w:val="14"/>
                        <w:szCs w:val="14"/>
                      </w:rPr>
                    </w:pPr>
                    <w:r>
                      <w:rPr>
                        <w:rFonts w:ascii="Times New Roman" w:hAnsi="Times New Roman" w:eastAsia="Times New Roman" w:cs="Times New Roman"/>
                        <w:spacing w:val="-1"/>
                        <w:sz w:val="14"/>
                        <w:szCs w:val="14"/>
                      </w:rPr>
                      <w:t>500.00</w:t>
                    </w:r>
                  </w:p>
                  <w:p w14:paraId="30D2FD73">
                    <w:pPr>
                      <w:spacing w:before="128" w:line="176" w:lineRule="auto"/>
                      <w:ind w:left="280"/>
                      <w:rPr>
                        <w:rFonts w:ascii="Times New Roman" w:hAnsi="Times New Roman" w:eastAsia="Times New Roman" w:cs="Times New Roman"/>
                        <w:sz w:val="19"/>
                        <w:szCs w:val="19"/>
                      </w:rPr>
                    </w:pPr>
                    <w:r>
                      <w:rPr>
                        <w:rFonts w:ascii="Times New Roman" w:hAnsi="Times New Roman" w:eastAsia="Times New Roman" w:cs="Times New Roman"/>
                        <w:spacing w:val="-2"/>
                        <w:sz w:val="19"/>
                        <w:szCs w:val="19"/>
                      </w:rPr>
                      <w:t>0.00</w:t>
                    </w:r>
                  </w:p>
                  <w:p w14:paraId="31242D90">
                    <w:pPr>
                      <w:spacing w:line="224" w:lineRule="auto"/>
                      <w:ind w:left="900"/>
                      <w:rPr>
                        <w:rFonts w:ascii="FangSong" w:hAnsi="FangSong" w:eastAsia="FangSong" w:cs="FangSong"/>
                        <w:sz w:val="16"/>
                        <w:szCs w:val="16"/>
                      </w:rPr>
                    </w:pPr>
                    <w:r>
                      <w:rPr>
                        <w:rFonts w:ascii="FangSong" w:hAnsi="FangSong" w:eastAsia="FangSong" w:cs="FangSong"/>
                        <w:spacing w:val="-4"/>
                        <w:sz w:val="16"/>
                        <w:szCs w:val="16"/>
                      </w:rPr>
                      <w:t>全球</w:t>
                    </w:r>
                  </w:p>
                </w:txbxContent>
              </v:textbox>
            </v:shape>
            <v:shape id="_x0000_s1172" o:spid="_x0000_s1172" o:spt="202" type="#_x0000_t202" style="position:absolute;left:1750;top:3135;height:380;width:5285;" filled="f" stroked="f" coordsize="21600,21600">
              <v:path/>
              <v:fill on="f" focussize="0,0"/>
              <v:stroke on="f"/>
              <v:imagedata o:title=""/>
              <o:lock v:ext="edit" aspectratio="f"/>
              <v:textbox inset="0mm,0mm,0mm,0mm">
                <w:txbxContent>
                  <w:p w14:paraId="2B82EC6F">
                    <w:pPr>
                      <w:spacing w:before="19" w:line="191" w:lineRule="auto"/>
                      <w:ind w:left="20"/>
                      <w:rPr>
                        <w:rFonts w:ascii="宋体" w:hAnsi="宋体" w:eastAsia="宋体" w:cs="宋体"/>
                        <w:sz w:val="16"/>
                        <w:szCs w:val="16"/>
                      </w:rPr>
                    </w:pPr>
                    <w:r>
                      <w:rPr>
                        <w:rFonts w:ascii="黑体" w:hAnsi="黑体" w:eastAsia="黑体" w:cs="黑体"/>
                        <w:spacing w:val="-10"/>
                        <w:sz w:val="16"/>
                        <w:szCs w:val="16"/>
                      </w:rPr>
                      <w:t xml:space="preserve">西欧地区    </w:t>
                    </w:r>
                    <w:r>
                      <w:rPr>
                        <w:rFonts w:ascii="宋体" w:hAnsi="宋体" w:eastAsia="宋体" w:cs="宋体"/>
                        <w:spacing w:val="-10"/>
                        <w:sz w:val="16"/>
                        <w:szCs w:val="16"/>
                      </w:rPr>
                      <w:t>北美地区</w:t>
                    </w:r>
                    <w:r>
                      <w:rPr>
                        <w:rFonts w:ascii="宋体" w:hAnsi="宋体" w:eastAsia="宋体" w:cs="宋体"/>
                        <w:spacing w:val="2"/>
                        <w:sz w:val="16"/>
                        <w:szCs w:val="16"/>
                      </w:rPr>
                      <w:t xml:space="preserve">   </w:t>
                    </w:r>
                    <w:r>
                      <w:rPr>
                        <w:rFonts w:ascii="宋体" w:hAnsi="宋体" w:eastAsia="宋体" w:cs="宋体"/>
                        <w:spacing w:val="-10"/>
                        <w:sz w:val="16"/>
                        <w:szCs w:val="16"/>
                      </w:rPr>
                      <w:t>拉丁美洲和</w:t>
                    </w:r>
                    <w:r>
                      <w:rPr>
                        <w:rFonts w:ascii="宋体" w:hAnsi="宋体" w:eastAsia="宋体" w:cs="宋体"/>
                        <w:spacing w:val="15"/>
                        <w:sz w:val="16"/>
                        <w:szCs w:val="16"/>
                      </w:rPr>
                      <w:t xml:space="preserve">  </w:t>
                    </w:r>
                    <w:r>
                      <w:rPr>
                        <w:rFonts w:ascii="宋体" w:hAnsi="宋体" w:eastAsia="宋体" w:cs="宋体"/>
                        <w:spacing w:val="-10"/>
                        <w:sz w:val="16"/>
                        <w:szCs w:val="16"/>
                      </w:rPr>
                      <w:t>大洋洲地区</w:t>
                    </w:r>
                    <w:r>
                      <w:rPr>
                        <w:rFonts w:ascii="宋体" w:hAnsi="宋体" w:eastAsia="宋体" w:cs="宋体"/>
                        <w:spacing w:val="14"/>
                        <w:sz w:val="16"/>
                        <w:szCs w:val="16"/>
                      </w:rPr>
                      <w:t xml:space="preserve">  </w:t>
                    </w:r>
                    <w:r>
                      <w:rPr>
                        <w:rFonts w:ascii="宋体" w:hAnsi="宋体" w:eastAsia="宋体" w:cs="宋体"/>
                        <w:spacing w:val="-10"/>
                        <w:sz w:val="16"/>
                        <w:szCs w:val="16"/>
                      </w:rPr>
                      <w:t>东南亚地区  撒哈拉以南</w:t>
                    </w:r>
                  </w:p>
                  <w:p w14:paraId="572E4D8F">
                    <w:pPr>
                      <w:spacing w:line="226" w:lineRule="auto"/>
                      <w:ind w:left="1740"/>
                      <w:rPr>
                        <w:rFonts w:ascii="宋体" w:hAnsi="宋体" w:eastAsia="宋体" w:cs="宋体"/>
                        <w:sz w:val="16"/>
                        <w:szCs w:val="16"/>
                      </w:rPr>
                    </w:pPr>
                    <w:r>
                      <w:rPr>
                        <w:rFonts w:ascii="宋体" w:hAnsi="宋体" w:eastAsia="宋体" w:cs="宋体"/>
                        <w:spacing w:val="-10"/>
                        <w:sz w:val="16"/>
                        <w:szCs w:val="16"/>
                      </w:rPr>
                      <w:t>加勒比地区</w:t>
                    </w:r>
                    <w:r>
                      <w:rPr>
                        <w:rFonts w:ascii="宋体" w:hAnsi="宋体" w:eastAsia="宋体" w:cs="宋体"/>
                        <w:sz w:val="16"/>
                        <w:szCs w:val="16"/>
                      </w:rPr>
                      <w:t xml:space="preserve">                          </w:t>
                    </w:r>
                    <w:r>
                      <w:rPr>
                        <w:rFonts w:ascii="宋体" w:hAnsi="宋体" w:eastAsia="宋体" w:cs="宋体"/>
                        <w:spacing w:val="-10"/>
                        <w:position w:val="-1"/>
                        <w:sz w:val="16"/>
                        <w:szCs w:val="16"/>
                      </w:rPr>
                      <w:t>非洲地区</w:t>
                    </w:r>
                  </w:p>
                </w:txbxContent>
              </v:textbox>
            </v:shape>
            <v:shape id="_x0000_s1173" o:spid="_x0000_s1173" o:spt="202" type="#_x0000_t202" style="position:absolute;left:7529;top:546;height:200;width:770;" filled="f" stroked="f" coordsize="21600,21600">
              <v:path/>
              <v:fill on="f" focussize="0,0"/>
              <v:stroke on="f"/>
              <v:imagedata o:title=""/>
              <o:lock v:ext="edit" aspectratio="f"/>
              <v:textbox inset="0mm,0mm,0mm,0mm">
                <w:txbxContent>
                  <w:p w14:paraId="2151BB7D">
                    <w:pPr>
                      <w:spacing w:before="20" w:line="219" w:lineRule="auto"/>
                      <w:ind w:left="20"/>
                      <w:rPr>
                        <w:rFonts w:ascii="宋体" w:hAnsi="宋体" w:eastAsia="宋体" w:cs="宋体"/>
                        <w:sz w:val="16"/>
                        <w:szCs w:val="16"/>
                      </w:rPr>
                    </w:pPr>
                    <w:r>
                      <w:rPr>
                        <w:rFonts w:ascii="宋体" w:hAnsi="宋体" w:eastAsia="宋体" w:cs="宋体"/>
                        <w:spacing w:val="-12"/>
                        <w:sz w:val="16"/>
                        <w:szCs w:val="16"/>
                      </w:rPr>
                      <w:t>■故意伤害</w:t>
                    </w:r>
                  </w:p>
                </w:txbxContent>
              </v:textbox>
            </v:shape>
            <w10:wrap type="none"/>
            <w10:anchorlock/>
          </v:group>
        </w:pict>
      </w:r>
    </w:p>
    <w:p w14:paraId="4580A810">
      <w:pPr>
        <w:spacing w:before="76" w:line="232" w:lineRule="auto"/>
        <w:ind w:left="4450"/>
        <w:rPr>
          <w:rFonts w:ascii="FangSong" w:hAnsi="FangSong" w:eastAsia="FangSong" w:cs="FangSong"/>
          <w:sz w:val="16"/>
          <w:szCs w:val="16"/>
        </w:rPr>
      </w:pPr>
      <w:r>
        <w:rPr>
          <w:rFonts w:ascii="FangSong" w:hAnsi="FangSong" w:eastAsia="FangSong" w:cs="FangSong"/>
          <w:spacing w:val="-3"/>
          <w:sz w:val="16"/>
          <w:szCs w:val="16"/>
        </w:rPr>
        <w:t>地区</w:t>
      </w:r>
    </w:p>
    <w:p w14:paraId="0C026E34">
      <w:pPr>
        <w:pStyle w:val="2"/>
        <w:spacing w:before="181" w:line="221" w:lineRule="auto"/>
        <w:ind w:left="2420"/>
        <w:rPr>
          <w:sz w:val="16"/>
          <w:szCs w:val="16"/>
        </w:rPr>
      </w:pPr>
      <w:r>
        <w:rPr>
          <w:spacing w:val="22"/>
          <w:sz w:val="16"/>
          <w:szCs w:val="16"/>
        </w:rPr>
        <w:t>图15-</w:t>
      </w:r>
      <w:r>
        <w:rPr>
          <w:spacing w:val="-30"/>
          <w:sz w:val="16"/>
          <w:szCs w:val="16"/>
        </w:rPr>
        <w:t xml:space="preserve"> </w:t>
      </w:r>
      <w:r>
        <w:rPr>
          <w:spacing w:val="22"/>
          <w:sz w:val="16"/>
          <w:szCs w:val="16"/>
        </w:rPr>
        <w:t>12021年全球不同地区各类伤害的年龄标准化</w:t>
      </w:r>
      <w:r>
        <w:rPr>
          <w:rFonts w:ascii="宋体" w:hAnsi="宋体" w:eastAsia="宋体" w:cs="宋体"/>
          <w:sz w:val="16"/>
          <w:szCs w:val="16"/>
        </w:rPr>
        <w:t>DALY</w:t>
      </w:r>
      <w:r>
        <w:rPr>
          <w:rFonts w:ascii="宋体" w:hAnsi="宋体" w:eastAsia="宋体" w:cs="宋体"/>
          <w:spacing w:val="22"/>
          <w:sz w:val="16"/>
          <w:szCs w:val="16"/>
        </w:rPr>
        <w:t xml:space="preserve">  </w:t>
      </w:r>
      <w:r>
        <w:rPr>
          <w:spacing w:val="22"/>
          <w:sz w:val="16"/>
          <w:szCs w:val="16"/>
        </w:rPr>
        <w:t>率</w:t>
      </w:r>
    </w:p>
    <w:p w14:paraId="0E323F52">
      <w:pPr>
        <w:spacing w:before="117" w:line="192" w:lineRule="auto"/>
        <w:ind w:left="4340"/>
        <w:rPr>
          <w:rFonts w:ascii="Times New Roman" w:hAnsi="Times New Roman" w:eastAsia="Times New Roman" w:cs="Times New Roman"/>
          <w:sz w:val="16"/>
          <w:szCs w:val="16"/>
        </w:rPr>
      </w:pPr>
      <w:r>
        <w:rPr>
          <w:rFonts w:ascii="Times New Roman" w:hAnsi="Times New Roman" w:eastAsia="Times New Roman" w:cs="Times New Roman"/>
          <w:spacing w:val="-1"/>
          <w:sz w:val="16"/>
          <w:szCs w:val="16"/>
        </w:rPr>
        <w:t>(GBD,2021)</w:t>
      </w:r>
    </w:p>
    <w:p w14:paraId="09CDDF5E">
      <w:pPr>
        <w:spacing w:line="430" w:lineRule="auto"/>
        <w:rPr>
          <w:rFonts w:ascii="Arial"/>
          <w:sz w:val="21"/>
        </w:rPr>
      </w:pPr>
    </w:p>
    <w:p w14:paraId="242EE202">
      <w:pPr>
        <w:pStyle w:val="2"/>
        <w:spacing w:before="52" w:line="221" w:lineRule="auto"/>
        <w:ind w:left="1720"/>
        <w:rPr>
          <w:sz w:val="16"/>
          <w:szCs w:val="16"/>
        </w:rPr>
      </w:pPr>
      <w:r>
        <w:rPr>
          <w:spacing w:val="8"/>
          <w:sz w:val="16"/>
          <w:szCs w:val="16"/>
        </w:rPr>
        <w:t>表</w:t>
      </w:r>
      <w:r>
        <w:rPr>
          <w:spacing w:val="-16"/>
          <w:sz w:val="16"/>
          <w:szCs w:val="16"/>
        </w:rPr>
        <w:t xml:space="preserve"> </w:t>
      </w:r>
      <w:r>
        <w:rPr>
          <w:spacing w:val="8"/>
          <w:sz w:val="16"/>
          <w:szCs w:val="16"/>
        </w:rPr>
        <w:t>1</w:t>
      </w:r>
      <w:r>
        <w:rPr>
          <w:spacing w:val="-37"/>
          <w:sz w:val="16"/>
          <w:szCs w:val="16"/>
        </w:rPr>
        <w:t xml:space="preserve"> </w:t>
      </w:r>
      <w:r>
        <w:rPr>
          <w:spacing w:val="8"/>
          <w:sz w:val="16"/>
          <w:szCs w:val="16"/>
        </w:rPr>
        <w:t>5</w:t>
      </w:r>
      <w:r>
        <w:rPr>
          <w:spacing w:val="-37"/>
          <w:sz w:val="16"/>
          <w:szCs w:val="16"/>
        </w:rPr>
        <w:t xml:space="preserve"> </w:t>
      </w:r>
      <w:r>
        <w:rPr>
          <w:spacing w:val="8"/>
          <w:sz w:val="16"/>
          <w:szCs w:val="16"/>
        </w:rPr>
        <w:t>-</w:t>
      </w:r>
      <w:r>
        <w:rPr>
          <w:spacing w:val="-34"/>
          <w:sz w:val="16"/>
          <w:szCs w:val="16"/>
        </w:rPr>
        <w:t xml:space="preserve"> </w:t>
      </w:r>
      <w:r>
        <w:rPr>
          <w:spacing w:val="8"/>
          <w:sz w:val="16"/>
          <w:szCs w:val="16"/>
        </w:rPr>
        <w:t>2</w:t>
      </w:r>
      <w:r>
        <w:rPr>
          <w:spacing w:val="-35"/>
          <w:sz w:val="16"/>
          <w:szCs w:val="16"/>
        </w:rPr>
        <w:t xml:space="preserve"> </w:t>
      </w:r>
      <w:r>
        <w:rPr>
          <w:spacing w:val="8"/>
          <w:sz w:val="16"/>
          <w:szCs w:val="16"/>
        </w:rPr>
        <w:t>2</w:t>
      </w:r>
      <w:r>
        <w:rPr>
          <w:spacing w:val="-35"/>
          <w:sz w:val="16"/>
          <w:szCs w:val="16"/>
        </w:rPr>
        <w:t xml:space="preserve"> </w:t>
      </w:r>
      <w:r>
        <w:rPr>
          <w:spacing w:val="8"/>
          <w:sz w:val="16"/>
          <w:szCs w:val="16"/>
        </w:rPr>
        <w:t>0</w:t>
      </w:r>
      <w:r>
        <w:rPr>
          <w:spacing w:val="-35"/>
          <w:sz w:val="16"/>
          <w:szCs w:val="16"/>
        </w:rPr>
        <w:t xml:space="preserve"> </w:t>
      </w:r>
      <w:r>
        <w:rPr>
          <w:spacing w:val="8"/>
          <w:sz w:val="16"/>
          <w:szCs w:val="16"/>
        </w:rPr>
        <w:t>2</w:t>
      </w:r>
      <w:r>
        <w:rPr>
          <w:spacing w:val="-25"/>
          <w:sz w:val="16"/>
          <w:szCs w:val="16"/>
        </w:rPr>
        <w:t xml:space="preserve"> </w:t>
      </w:r>
      <w:r>
        <w:rPr>
          <w:spacing w:val="8"/>
          <w:sz w:val="16"/>
          <w:szCs w:val="16"/>
        </w:rPr>
        <w:t>1</w:t>
      </w:r>
      <w:r>
        <w:rPr>
          <w:spacing w:val="-33"/>
          <w:sz w:val="16"/>
          <w:szCs w:val="16"/>
        </w:rPr>
        <w:t xml:space="preserve"> </w:t>
      </w:r>
      <w:r>
        <w:rPr>
          <w:spacing w:val="8"/>
          <w:sz w:val="16"/>
          <w:szCs w:val="16"/>
        </w:rPr>
        <w:t>年</w:t>
      </w:r>
      <w:r>
        <w:rPr>
          <w:spacing w:val="-32"/>
          <w:sz w:val="16"/>
          <w:szCs w:val="16"/>
        </w:rPr>
        <w:t xml:space="preserve"> </w:t>
      </w:r>
      <w:r>
        <w:rPr>
          <w:spacing w:val="8"/>
          <w:sz w:val="16"/>
          <w:szCs w:val="16"/>
        </w:rPr>
        <w:t>全</w:t>
      </w:r>
      <w:r>
        <w:rPr>
          <w:spacing w:val="-32"/>
          <w:sz w:val="16"/>
          <w:szCs w:val="16"/>
        </w:rPr>
        <w:t xml:space="preserve"> </w:t>
      </w:r>
      <w:r>
        <w:rPr>
          <w:spacing w:val="8"/>
          <w:sz w:val="16"/>
          <w:szCs w:val="16"/>
        </w:rPr>
        <w:t>球</w:t>
      </w:r>
      <w:r>
        <w:rPr>
          <w:spacing w:val="-32"/>
          <w:sz w:val="16"/>
          <w:szCs w:val="16"/>
        </w:rPr>
        <w:t xml:space="preserve"> </w:t>
      </w:r>
      <w:r>
        <w:rPr>
          <w:spacing w:val="8"/>
          <w:sz w:val="16"/>
          <w:szCs w:val="16"/>
        </w:rPr>
        <w:t>不</w:t>
      </w:r>
      <w:r>
        <w:rPr>
          <w:spacing w:val="-25"/>
          <w:sz w:val="16"/>
          <w:szCs w:val="16"/>
        </w:rPr>
        <w:t xml:space="preserve"> </w:t>
      </w:r>
      <w:r>
        <w:rPr>
          <w:spacing w:val="8"/>
          <w:sz w:val="16"/>
          <w:szCs w:val="16"/>
        </w:rPr>
        <w:t>同</w:t>
      </w:r>
      <w:r>
        <w:rPr>
          <w:rFonts w:ascii="宋体" w:hAnsi="宋体" w:eastAsia="宋体" w:cs="宋体"/>
          <w:sz w:val="16"/>
          <w:szCs w:val="16"/>
        </w:rPr>
        <w:t>SDI</w:t>
      </w:r>
      <w:r>
        <w:rPr>
          <w:rFonts w:ascii="宋体" w:hAnsi="宋体" w:eastAsia="宋体" w:cs="宋体"/>
          <w:spacing w:val="27"/>
          <w:sz w:val="16"/>
          <w:szCs w:val="16"/>
        </w:rPr>
        <w:t xml:space="preserve"> </w:t>
      </w:r>
      <w:r>
        <w:rPr>
          <w:spacing w:val="8"/>
          <w:sz w:val="16"/>
          <w:szCs w:val="16"/>
        </w:rPr>
        <w:t>地区不同类型伤害的分性别年龄标准化</w:t>
      </w:r>
      <w:r>
        <w:rPr>
          <w:rFonts w:ascii="宋体" w:hAnsi="宋体" w:eastAsia="宋体" w:cs="宋体"/>
          <w:sz w:val="16"/>
          <w:szCs w:val="16"/>
        </w:rPr>
        <w:t>DALY</w:t>
      </w:r>
      <w:r>
        <w:rPr>
          <w:rFonts w:ascii="宋体" w:hAnsi="宋体" w:eastAsia="宋体" w:cs="宋体"/>
          <w:spacing w:val="8"/>
          <w:sz w:val="16"/>
          <w:szCs w:val="16"/>
        </w:rPr>
        <w:t xml:space="preserve">   </w:t>
      </w:r>
      <w:r>
        <w:rPr>
          <w:spacing w:val="8"/>
          <w:sz w:val="16"/>
          <w:szCs w:val="16"/>
        </w:rPr>
        <w:t>率</w:t>
      </w:r>
    </w:p>
    <w:p w14:paraId="4EA35664">
      <w:pPr>
        <w:spacing w:before="92" w:line="220" w:lineRule="auto"/>
        <w:ind w:left="7960"/>
        <w:rPr>
          <w:rFonts w:ascii="宋体" w:hAnsi="宋体" w:eastAsia="宋体" w:cs="宋体"/>
          <w:sz w:val="20"/>
          <w:szCs w:val="20"/>
        </w:rPr>
      </w:pPr>
      <w:r>
        <w:rPr>
          <w:rFonts w:ascii="宋体" w:hAnsi="宋体" w:eastAsia="宋体" w:cs="宋体"/>
          <w:spacing w:val="1"/>
          <w:sz w:val="20"/>
          <w:szCs w:val="20"/>
        </w:rPr>
        <w:t>单位：1/10万</w:t>
      </w:r>
    </w:p>
    <w:p w14:paraId="09C39C80">
      <w:pPr>
        <w:spacing w:line="89" w:lineRule="auto"/>
        <w:rPr>
          <w:rFonts w:ascii="Arial"/>
          <w:sz w:val="2"/>
        </w:rPr>
      </w:pPr>
    </w:p>
    <w:tbl>
      <w:tblPr>
        <w:tblStyle w:val="5"/>
        <w:tblW w:w="8499" w:type="dxa"/>
        <w:tblInd w:w="72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0" w:type="dxa"/>
          <w:left w:w="0" w:type="dxa"/>
          <w:bottom w:w="0" w:type="dxa"/>
          <w:right w:w="0" w:type="dxa"/>
        </w:tblCellMar>
      </w:tblPr>
      <w:tblGrid>
        <w:gridCol w:w="2630"/>
        <w:gridCol w:w="1989"/>
        <w:gridCol w:w="1290"/>
        <w:gridCol w:w="1270"/>
        <w:gridCol w:w="1320"/>
      </w:tblGrid>
      <w:tr w14:paraId="1B72F245">
        <w:trPr>
          <w:trHeight w:val="353" w:hRule="atLeast"/>
        </w:trPr>
        <w:tc>
          <w:tcPr>
            <w:tcW w:w="2630" w:type="dxa"/>
            <w:tcBorders>
              <w:top w:val="single" w:color="000000" w:sz="4" w:space="0"/>
              <w:bottom w:val="single" w:color="000000" w:sz="4" w:space="0"/>
            </w:tcBorders>
            <w:shd w:val="clear" w:color="auto" w:fill="D2D5D7"/>
            <w:vAlign w:val="top"/>
          </w:tcPr>
          <w:p w14:paraId="358F6073">
            <w:pPr>
              <w:pStyle w:val="6"/>
              <w:spacing w:before="83" w:line="219" w:lineRule="auto"/>
              <w:ind w:left="510"/>
            </w:pPr>
            <w:r>
              <w:rPr>
                <w:spacing w:val="5"/>
              </w:rPr>
              <w:t>伤害原因</w:t>
            </w:r>
          </w:p>
        </w:tc>
        <w:tc>
          <w:tcPr>
            <w:tcW w:w="1989" w:type="dxa"/>
            <w:tcBorders>
              <w:top w:val="single" w:color="000000" w:sz="4" w:space="0"/>
              <w:bottom w:val="single" w:color="000000" w:sz="4" w:space="0"/>
            </w:tcBorders>
            <w:shd w:val="clear" w:color="auto" w:fill="D6D8D7"/>
            <w:vAlign w:val="top"/>
          </w:tcPr>
          <w:p w14:paraId="5F19EB22">
            <w:pPr>
              <w:pStyle w:val="6"/>
              <w:spacing w:before="83" w:line="219" w:lineRule="auto"/>
              <w:ind w:left="540"/>
            </w:pPr>
            <w:r>
              <w:rPr>
                <w:spacing w:val="-2"/>
              </w:rPr>
              <w:t>SDI分位数</w:t>
            </w:r>
          </w:p>
        </w:tc>
        <w:tc>
          <w:tcPr>
            <w:tcW w:w="1290" w:type="dxa"/>
            <w:tcBorders>
              <w:top w:val="single" w:color="000000" w:sz="4" w:space="0"/>
              <w:bottom w:val="single" w:color="000000" w:sz="4" w:space="0"/>
            </w:tcBorders>
            <w:shd w:val="clear" w:color="auto" w:fill="D5D5D1"/>
            <w:vAlign w:val="top"/>
          </w:tcPr>
          <w:p w14:paraId="5B5CE0AB">
            <w:pPr>
              <w:pStyle w:val="6"/>
              <w:spacing w:before="83" w:line="219" w:lineRule="auto"/>
              <w:ind w:left="440"/>
            </w:pPr>
            <w:r>
              <w:rPr>
                <w:spacing w:val="-2"/>
              </w:rPr>
              <w:t>全部</w:t>
            </w:r>
          </w:p>
        </w:tc>
        <w:tc>
          <w:tcPr>
            <w:tcW w:w="1270" w:type="dxa"/>
            <w:tcBorders>
              <w:top w:val="single" w:color="000000" w:sz="4" w:space="0"/>
              <w:bottom w:val="single" w:color="000000" w:sz="4" w:space="0"/>
            </w:tcBorders>
            <w:shd w:val="clear" w:color="auto" w:fill="C9CAC5"/>
            <w:vAlign w:val="top"/>
          </w:tcPr>
          <w:p w14:paraId="1F0E30E2">
            <w:pPr>
              <w:pStyle w:val="6"/>
              <w:spacing w:before="83" w:line="219" w:lineRule="auto"/>
              <w:ind w:left="430"/>
            </w:pPr>
            <w:r>
              <w:rPr>
                <w:spacing w:val="3"/>
              </w:rPr>
              <w:t>女性</w:t>
            </w:r>
          </w:p>
        </w:tc>
        <w:tc>
          <w:tcPr>
            <w:tcW w:w="1320" w:type="dxa"/>
            <w:tcBorders>
              <w:top w:val="single" w:color="000000" w:sz="4" w:space="0"/>
              <w:bottom w:val="single" w:color="000000" w:sz="4" w:space="0"/>
            </w:tcBorders>
            <w:shd w:val="clear" w:color="auto" w:fill="C8C9C4"/>
            <w:vAlign w:val="top"/>
          </w:tcPr>
          <w:p w14:paraId="22FAE069">
            <w:pPr>
              <w:pStyle w:val="6"/>
              <w:spacing w:before="83" w:line="220" w:lineRule="auto"/>
              <w:ind w:left="461"/>
            </w:pPr>
            <w:r>
              <w:rPr>
                <w:spacing w:val="3"/>
              </w:rPr>
              <w:t>男性</w:t>
            </w:r>
          </w:p>
        </w:tc>
      </w:tr>
      <w:tr w14:paraId="70AF2125">
        <w:trPr>
          <w:trHeight w:val="389" w:hRule="atLeast"/>
        </w:trPr>
        <w:tc>
          <w:tcPr>
            <w:tcW w:w="2630" w:type="dxa"/>
            <w:vMerge w:val="restart"/>
            <w:tcBorders>
              <w:top w:val="single" w:color="000000" w:sz="4" w:space="0"/>
              <w:bottom w:val="nil"/>
            </w:tcBorders>
            <w:vAlign w:val="top"/>
          </w:tcPr>
          <w:p w14:paraId="771BD7CF">
            <w:pPr>
              <w:pStyle w:val="6"/>
              <w:spacing w:before="100" w:line="219" w:lineRule="auto"/>
              <w:ind w:left="510"/>
            </w:pPr>
            <w:r>
              <w:rPr>
                <w:spacing w:val="6"/>
              </w:rPr>
              <w:t>伤害</w:t>
            </w:r>
          </w:p>
        </w:tc>
        <w:tc>
          <w:tcPr>
            <w:tcW w:w="1989" w:type="dxa"/>
            <w:tcBorders>
              <w:top w:val="single" w:color="000000" w:sz="4" w:space="0"/>
            </w:tcBorders>
            <w:vAlign w:val="top"/>
          </w:tcPr>
          <w:p w14:paraId="188AF07B">
            <w:pPr>
              <w:pStyle w:val="6"/>
              <w:spacing w:before="101" w:line="221" w:lineRule="auto"/>
              <w:ind w:left="739"/>
            </w:pPr>
            <w:r>
              <w:rPr>
                <w:spacing w:val="18"/>
              </w:rPr>
              <w:t>低</w:t>
            </w:r>
            <w:r>
              <w:t>SDI</w:t>
            </w:r>
          </w:p>
        </w:tc>
        <w:tc>
          <w:tcPr>
            <w:tcW w:w="1290" w:type="dxa"/>
            <w:tcBorders>
              <w:top w:val="single" w:color="000000" w:sz="4" w:space="0"/>
            </w:tcBorders>
            <w:vAlign w:val="top"/>
          </w:tcPr>
          <w:p w14:paraId="7B3AC710">
            <w:pPr>
              <w:pStyle w:val="6"/>
              <w:spacing w:before="120" w:line="239" w:lineRule="auto"/>
              <w:ind w:left="341"/>
            </w:pPr>
            <w:r>
              <w:rPr>
                <w:spacing w:val="-1"/>
              </w:rPr>
              <w:t>4359.3</w:t>
            </w:r>
          </w:p>
        </w:tc>
        <w:tc>
          <w:tcPr>
            <w:tcW w:w="1270" w:type="dxa"/>
            <w:tcBorders>
              <w:top w:val="single" w:color="000000" w:sz="4" w:space="0"/>
            </w:tcBorders>
            <w:vAlign w:val="top"/>
          </w:tcPr>
          <w:p w14:paraId="0A13C23A">
            <w:pPr>
              <w:pStyle w:val="6"/>
              <w:spacing w:before="120" w:line="239" w:lineRule="auto"/>
              <w:ind w:left="331"/>
            </w:pPr>
            <w:r>
              <w:rPr>
                <w:spacing w:val="-2"/>
              </w:rPr>
              <w:t>2787.9</w:t>
            </w:r>
          </w:p>
        </w:tc>
        <w:tc>
          <w:tcPr>
            <w:tcW w:w="1320" w:type="dxa"/>
            <w:tcBorders>
              <w:top w:val="single" w:color="000000" w:sz="4" w:space="0"/>
            </w:tcBorders>
            <w:vAlign w:val="top"/>
          </w:tcPr>
          <w:p w14:paraId="455B538E">
            <w:pPr>
              <w:pStyle w:val="6"/>
              <w:spacing w:before="120" w:line="239" w:lineRule="auto"/>
              <w:ind w:left="360"/>
            </w:pPr>
            <w:r>
              <w:rPr>
                <w:spacing w:val="-2"/>
              </w:rPr>
              <w:t>5958.8</w:t>
            </w:r>
          </w:p>
        </w:tc>
      </w:tr>
      <w:tr w14:paraId="4A618510">
        <w:trPr>
          <w:trHeight w:val="383" w:hRule="atLeast"/>
        </w:trPr>
        <w:tc>
          <w:tcPr>
            <w:tcW w:w="2630" w:type="dxa"/>
            <w:vMerge w:val="continue"/>
            <w:tcBorders>
              <w:top w:val="nil"/>
              <w:bottom w:val="nil"/>
            </w:tcBorders>
            <w:vAlign w:val="top"/>
          </w:tcPr>
          <w:p w14:paraId="7B6ED254">
            <w:pPr>
              <w:rPr>
                <w:rFonts w:ascii="Arial"/>
                <w:sz w:val="21"/>
              </w:rPr>
            </w:pPr>
          </w:p>
        </w:tc>
        <w:tc>
          <w:tcPr>
            <w:tcW w:w="1989" w:type="dxa"/>
            <w:vAlign w:val="top"/>
          </w:tcPr>
          <w:p w14:paraId="3137A7F6">
            <w:pPr>
              <w:pStyle w:val="6"/>
              <w:spacing w:before="101" w:line="220" w:lineRule="auto"/>
              <w:ind w:left="640"/>
            </w:pPr>
            <w:r>
              <w:rPr>
                <w:spacing w:val="9"/>
              </w:rPr>
              <w:t>中低</w:t>
            </w:r>
            <w:r>
              <w:t>SDI</w:t>
            </w:r>
          </w:p>
        </w:tc>
        <w:tc>
          <w:tcPr>
            <w:tcW w:w="1290" w:type="dxa"/>
            <w:vAlign w:val="top"/>
          </w:tcPr>
          <w:p w14:paraId="0F5A1023">
            <w:pPr>
              <w:pStyle w:val="6"/>
              <w:spacing w:before="121" w:line="232" w:lineRule="auto"/>
              <w:ind w:left="341"/>
            </w:pPr>
            <w:r>
              <w:rPr>
                <w:spacing w:val="-2"/>
              </w:rPr>
              <w:t>3400.8</w:t>
            </w:r>
          </w:p>
        </w:tc>
        <w:tc>
          <w:tcPr>
            <w:tcW w:w="1270" w:type="dxa"/>
            <w:vAlign w:val="top"/>
          </w:tcPr>
          <w:p w14:paraId="22AA373B">
            <w:pPr>
              <w:pStyle w:val="6"/>
              <w:spacing w:before="121" w:line="232" w:lineRule="auto"/>
              <w:ind w:left="331"/>
            </w:pPr>
            <w:r>
              <w:rPr>
                <w:spacing w:val="-2"/>
              </w:rPr>
              <w:t>2250.4</w:t>
            </w:r>
          </w:p>
        </w:tc>
        <w:tc>
          <w:tcPr>
            <w:tcW w:w="1320" w:type="dxa"/>
            <w:vAlign w:val="top"/>
          </w:tcPr>
          <w:p w14:paraId="06483511">
            <w:pPr>
              <w:pStyle w:val="6"/>
              <w:spacing w:before="121" w:line="232" w:lineRule="auto"/>
              <w:ind w:left="360"/>
            </w:pPr>
            <w:r>
              <w:rPr>
                <w:spacing w:val="-1"/>
              </w:rPr>
              <w:t>4551.5</w:t>
            </w:r>
          </w:p>
        </w:tc>
      </w:tr>
      <w:tr w14:paraId="3543D246">
        <w:trPr>
          <w:trHeight w:val="385" w:hRule="atLeast"/>
        </w:trPr>
        <w:tc>
          <w:tcPr>
            <w:tcW w:w="2630" w:type="dxa"/>
            <w:vMerge w:val="continue"/>
            <w:tcBorders>
              <w:top w:val="nil"/>
              <w:bottom w:val="single" w:color="000000" w:sz="4" w:space="0"/>
            </w:tcBorders>
            <w:vAlign w:val="top"/>
          </w:tcPr>
          <w:p w14:paraId="044E72DE">
            <w:pPr>
              <w:rPr>
                <w:rFonts w:ascii="Arial"/>
                <w:sz w:val="21"/>
              </w:rPr>
            </w:pPr>
          </w:p>
        </w:tc>
        <w:tc>
          <w:tcPr>
            <w:tcW w:w="1989" w:type="dxa"/>
            <w:tcBorders>
              <w:bottom w:val="single" w:color="000000" w:sz="4" w:space="0"/>
            </w:tcBorders>
            <w:vAlign w:val="top"/>
          </w:tcPr>
          <w:p w14:paraId="2385453A">
            <w:pPr>
              <w:pStyle w:val="6"/>
              <w:spacing w:before="98" w:line="220" w:lineRule="auto"/>
              <w:ind w:left="739"/>
            </w:pPr>
            <w:r>
              <w:rPr>
                <w:spacing w:val="18"/>
              </w:rPr>
              <w:t>中</w:t>
            </w:r>
            <w:r>
              <w:t>SDI</w:t>
            </w:r>
          </w:p>
        </w:tc>
        <w:tc>
          <w:tcPr>
            <w:tcW w:w="1290" w:type="dxa"/>
            <w:tcBorders>
              <w:bottom w:val="single" w:color="000000" w:sz="4" w:space="0"/>
            </w:tcBorders>
            <w:vAlign w:val="top"/>
          </w:tcPr>
          <w:p w14:paraId="21EB759D">
            <w:pPr>
              <w:pStyle w:val="6"/>
              <w:spacing w:before="118" w:line="237" w:lineRule="auto"/>
              <w:ind w:left="341"/>
            </w:pPr>
            <w:r>
              <w:rPr>
                <w:spacing w:val="-2"/>
              </w:rPr>
              <w:t>2924.4</w:t>
            </w:r>
          </w:p>
        </w:tc>
        <w:tc>
          <w:tcPr>
            <w:tcW w:w="1270" w:type="dxa"/>
            <w:tcBorders>
              <w:bottom w:val="single" w:color="000000" w:sz="4" w:space="0"/>
            </w:tcBorders>
            <w:vAlign w:val="top"/>
          </w:tcPr>
          <w:p w14:paraId="451E1653">
            <w:pPr>
              <w:pStyle w:val="6"/>
              <w:spacing w:before="118" w:line="237" w:lineRule="auto"/>
              <w:ind w:left="331"/>
            </w:pPr>
            <w:r>
              <w:rPr>
                <w:spacing w:val="-4"/>
              </w:rPr>
              <w:t>1668.4</w:t>
            </w:r>
          </w:p>
        </w:tc>
        <w:tc>
          <w:tcPr>
            <w:tcW w:w="1320" w:type="dxa"/>
            <w:tcBorders>
              <w:bottom w:val="single" w:color="000000" w:sz="4" w:space="0"/>
            </w:tcBorders>
            <w:vAlign w:val="top"/>
          </w:tcPr>
          <w:p w14:paraId="047A9CA3">
            <w:pPr>
              <w:pStyle w:val="6"/>
              <w:spacing w:before="118" w:line="237" w:lineRule="auto"/>
              <w:ind w:left="360"/>
            </w:pPr>
            <w:r>
              <w:rPr>
                <w:spacing w:val="-1"/>
              </w:rPr>
              <w:t>4161.1</w:t>
            </w:r>
          </w:p>
        </w:tc>
      </w:tr>
    </w:tbl>
    <w:p w14:paraId="2E54D840">
      <w:pPr>
        <w:rPr>
          <w:rFonts w:ascii="Arial"/>
          <w:sz w:val="21"/>
        </w:rPr>
      </w:pPr>
    </w:p>
    <w:p w14:paraId="3D65E652">
      <w:pPr>
        <w:rPr>
          <w:rFonts w:ascii="Arial" w:hAnsi="Arial" w:eastAsia="Arial" w:cs="Arial"/>
          <w:sz w:val="21"/>
          <w:szCs w:val="21"/>
        </w:rPr>
        <w:sectPr>
          <w:footerReference r:id="rId255" w:type="default"/>
          <w:pgSz w:w="11900" w:h="16820"/>
          <w:pgMar w:top="400" w:right="1650" w:bottom="811" w:left="1029" w:header="0" w:footer="667" w:gutter="0"/>
          <w:cols w:space="720" w:num="1"/>
        </w:sectPr>
      </w:pPr>
    </w:p>
    <w:p w14:paraId="2CDFB254">
      <w:pPr>
        <w:spacing w:line="339" w:lineRule="auto"/>
        <w:rPr>
          <w:rFonts w:ascii="Arial"/>
          <w:sz w:val="21"/>
        </w:rPr>
      </w:pPr>
    </w:p>
    <w:p w14:paraId="0A3B8509">
      <w:pPr>
        <w:pStyle w:val="2"/>
        <w:spacing w:before="65" w:line="221" w:lineRule="auto"/>
        <w:ind w:left="7080"/>
        <w:rPr>
          <w:sz w:val="20"/>
          <w:szCs w:val="20"/>
        </w:rPr>
      </w:pPr>
      <w:r>
        <w:rPr>
          <w:spacing w:val="-21"/>
          <w:sz w:val="20"/>
          <w:szCs w:val="20"/>
        </w:rPr>
        <w:t>第十五章 伤害流行病学</w:t>
      </w:r>
    </w:p>
    <w:p w14:paraId="2DE13260">
      <w:pPr>
        <w:spacing w:line="262" w:lineRule="auto"/>
        <w:rPr>
          <w:rFonts w:ascii="Arial"/>
          <w:sz w:val="21"/>
        </w:rPr>
      </w:pPr>
    </w:p>
    <w:p w14:paraId="21708AE0">
      <w:pPr>
        <w:spacing w:line="262" w:lineRule="auto"/>
        <w:rPr>
          <w:rFonts w:ascii="Arial"/>
          <w:sz w:val="21"/>
        </w:rPr>
      </w:pPr>
    </w:p>
    <w:p w14:paraId="326E44AE">
      <w:pPr>
        <w:spacing w:before="65" w:line="220" w:lineRule="auto"/>
        <w:ind w:left="8169"/>
        <w:rPr>
          <w:rFonts w:ascii="宋体" w:hAnsi="宋体" w:eastAsia="宋体" w:cs="宋体"/>
          <w:sz w:val="20"/>
          <w:szCs w:val="20"/>
        </w:rPr>
      </w:pPr>
      <w:r>
        <w:rPr>
          <w:rFonts w:ascii="宋体" w:hAnsi="宋体" w:eastAsia="宋体" w:cs="宋体"/>
          <w:spacing w:val="-3"/>
          <w:sz w:val="20"/>
          <w:szCs w:val="20"/>
        </w:rPr>
        <w:t>续表</w:t>
      </w:r>
    </w:p>
    <w:p w14:paraId="6D790C9C">
      <w:pPr>
        <w:spacing w:line="42" w:lineRule="exact"/>
      </w:pPr>
    </w:p>
    <w:tbl>
      <w:tblPr>
        <w:tblStyle w:val="5"/>
        <w:tblW w:w="9029"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0" w:type="dxa"/>
          <w:left w:w="0" w:type="dxa"/>
          <w:bottom w:w="0" w:type="dxa"/>
          <w:right w:w="0" w:type="dxa"/>
        </w:tblCellMar>
      </w:tblPr>
      <w:tblGrid>
        <w:gridCol w:w="3470"/>
        <w:gridCol w:w="1590"/>
        <w:gridCol w:w="1359"/>
        <w:gridCol w:w="1270"/>
        <w:gridCol w:w="1340"/>
      </w:tblGrid>
      <w:tr w14:paraId="3C01B76F">
        <w:trPr>
          <w:trHeight w:val="379" w:hRule="atLeast"/>
        </w:trPr>
        <w:tc>
          <w:tcPr>
            <w:tcW w:w="3470" w:type="dxa"/>
            <w:tcBorders>
              <w:bottom w:val="single" w:color="000000" w:sz="4" w:space="0"/>
            </w:tcBorders>
            <w:shd w:val="clear" w:color="auto" w:fill="C3CACA"/>
            <w:vAlign w:val="top"/>
          </w:tcPr>
          <w:p w14:paraId="6AE750A8">
            <w:pPr>
              <w:pStyle w:val="6"/>
              <w:spacing w:before="105" w:line="219" w:lineRule="auto"/>
              <w:ind w:left="1332"/>
            </w:pPr>
            <w:r>
              <w:drawing>
                <wp:anchor distT="0" distB="0" distL="0" distR="0" simplePos="0" relativeHeight="251853824" behindDoc="1" locked="0" layoutInCell="1" allowOverlap="1">
                  <wp:simplePos x="0" y="0"/>
                  <wp:positionH relativeFrom="column">
                    <wp:posOffset>0</wp:posOffset>
                  </wp:positionH>
                  <wp:positionV relativeFrom="paragraph">
                    <wp:posOffset>0</wp:posOffset>
                  </wp:positionV>
                  <wp:extent cx="5676900" cy="241300"/>
                  <wp:effectExtent l="0" t="0" r="0" b="0"/>
                  <wp:wrapNone/>
                  <wp:docPr id="602" name="IM 602"/>
                  <wp:cNvGraphicFramePr/>
                  <a:graphic xmlns:a="http://schemas.openxmlformats.org/drawingml/2006/main">
                    <a:graphicData uri="http://schemas.openxmlformats.org/drawingml/2006/picture">
                      <pic:pic xmlns:pic="http://schemas.openxmlformats.org/drawingml/2006/picture">
                        <pic:nvPicPr>
                          <pic:cNvPr id="602" name="IM 602"/>
                          <pic:cNvPicPr/>
                        </pic:nvPicPr>
                        <pic:blipFill>
                          <a:blip r:embed="rId642"/>
                          <a:stretch>
                            <a:fillRect/>
                          </a:stretch>
                        </pic:blipFill>
                        <pic:spPr>
                          <a:xfrm>
                            <a:off x="0" y="0"/>
                            <a:ext cx="5676896" cy="241277"/>
                          </a:xfrm>
                          <a:prstGeom prst="rect">
                            <a:avLst/>
                          </a:prstGeom>
                        </pic:spPr>
                      </pic:pic>
                    </a:graphicData>
                  </a:graphic>
                </wp:anchor>
              </w:drawing>
            </w:r>
            <w:r>
              <w:rPr>
                <w:b/>
                <w:bCs/>
                <w:spacing w:val="1"/>
              </w:rPr>
              <w:t>伤害原因</w:t>
            </w:r>
          </w:p>
        </w:tc>
        <w:tc>
          <w:tcPr>
            <w:tcW w:w="1590" w:type="dxa"/>
            <w:tcBorders>
              <w:bottom w:val="single" w:color="000000" w:sz="4" w:space="0"/>
            </w:tcBorders>
            <w:shd w:val="clear" w:color="auto" w:fill="C8C9C2"/>
            <w:vAlign w:val="top"/>
          </w:tcPr>
          <w:p w14:paraId="32410B90">
            <w:pPr>
              <w:pStyle w:val="6"/>
              <w:spacing w:before="108" w:line="219" w:lineRule="auto"/>
              <w:ind w:left="340"/>
            </w:pPr>
            <w:r>
              <w:rPr>
                <w:spacing w:val="-2"/>
              </w:rPr>
              <w:t>SDI分位数</w:t>
            </w:r>
          </w:p>
        </w:tc>
        <w:tc>
          <w:tcPr>
            <w:tcW w:w="1359" w:type="dxa"/>
            <w:tcBorders>
              <w:bottom w:val="single" w:color="000000" w:sz="4" w:space="0"/>
            </w:tcBorders>
            <w:shd w:val="clear" w:color="auto" w:fill="C9C8C1"/>
            <w:vAlign w:val="top"/>
          </w:tcPr>
          <w:p w14:paraId="7BE7C513">
            <w:pPr>
              <w:pStyle w:val="6"/>
              <w:spacing w:before="105" w:line="219" w:lineRule="auto"/>
              <w:ind w:left="482"/>
            </w:pPr>
            <w:r>
              <w:rPr>
                <w:b/>
                <w:bCs/>
                <w:spacing w:val="-5"/>
              </w:rPr>
              <w:t>全部</w:t>
            </w:r>
          </w:p>
        </w:tc>
        <w:tc>
          <w:tcPr>
            <w:tcW w:w="1270" w:type="dxa"/>
            <w:tcBorders>
              <w:bottom w:val="single" w:color="000000" w:sz="4" w:space="0"/>
            </w:tcBorders>
            <w:shd w:val="clear" w:color="auto" w:fill="CFCDC6"/>
            <w:vAlign w:val="top"/>
          </w:tcPr>
          <w:p w14:paraId="62170AF6">
            <w:pPr>
              <w:pStyle w:val="6"/>
              <w:spacing w:before="108" w:line="219" w:lineRule="auto"/>
              <w:ind w:left="430"/>
            </w:pPr>
            <w:r>
              <w:rPr>
                <w:spacing w:val="3"/>
              </w:rPr>
              <w:t>女性</w:t>
            </w:r>
          </w:p>
        </w:tc>
        <w:tc>
          <w:tcPr>
            <w:tcW w:w="1340" w:type="dxa"/>
            <w:tcBorders>
              <w:bottom w:val="single" w:color="000000" w:sz="4" w:space="0"/>
            </w:tcBorders>
            <w:shd w:val="clear" w:color="auto" w:fill="D2D0C6"/>
            <w:vAlign w:val="top"/>
          </w:tcPr>
          <w:p w14:paraId="7BB04087">
            <w:pPr>
              <w:pStyle w:val="6"/>
              <w:spacing w:before="108" w:line="220" w:lineRule="auto"/>
              <w:ind w:left="470"/>
            </w:pPr>
            <w:r>
              <w:rPr>
                <w:spacing w:val="3"/>
              </w:rPr>
              <w:t>男性</w:t>
            </w:r>
          </w:p>
        </w:tc>
      </w:tr>
      <w:tr w14:paraId="474F4E28">
        <w:trPr>
          <w:trHeight w:val="386" w:hRule="atLeast"/>
        </w:trPr>
        <w:tc>
          <w:tcPr>
            <w:tcW w:w="3470" w:type="dxa"/>
            <w:vMerge w:val="restart"/>
            <w:tcBorders>
              <w:top w:val="single" w:color="000000" w:sz="4" w:space="0"/>
              <w:bottom w:val="nil"/>
            </w:tcBorders>
            <w:vAlign w:val="top"/>
          </w:tcPr>
          <w:p w14:paraId="2D4EE737">
            <w:pPr>
              <w:spacing w:line="254" w:lineRule="auto"/>
              <w:rPr>
                <w:rFonts w:ascii="Arial"/>
                <w:sz w:val="21"/>
              </w:rPr>
            </w:pPr>
            <w:r>
              <w:pict>
                <v:shape id="_x0000_s1174" o:spid="_x0000_s1174" style="position:absolute;left:0pt;margin-left:82pt;margin-top:39.25pt;height:0.5pt;width:91.55pt;mso-position-horizontal-relative:page;mso-position-vertical-relative:page;z-index:251854848;mso-width-relative:page;mso-height-relative:page;" filled="f" stroked="t" coordsize="1831,10" path="m0,5l1830,5m0,5l1830,5e">
                  <v:fill on="f" focussize="0,0"/>
                  <v:stroke weight="0.5pt" color="#000000" miterlimit="10" joinstyle="miter"/>
                  <v:imagedata o:title=""/>
                  <o:lock v:ext="edit"/>
                </v:shape>
              </w:pict>
            </w:r>
          </w:p>
          <w:p w14:paraId="72468177">
            <w:pPr>
              <w:spacing w:line="254" w:lineRule="auto"/>
              <w:rPr>
                <w:rFonts w:ascii="Arial"/>
                <w:sz w:val="21"/>
              </w:rPr>
            </w:pPr>
          </w:p>
          <w:p w14:paraId="220D539F">
            <w:pPr>
              <w:spacing w:line="255" w:lineRule="auto"/>
              <w:rPr>
                <w:rFonts w:ascii="Arial"/>
                <w:sz w:val="21"/>
              </w:rPr>
            </w:pPr>
          </w:p>
          <w:p w14:paraId="5E25A3F9">
            <w:pPr>
              <w:spacing w:line="255" w:lineRule="auto"/>
              <w:rPr>
                <w:rFonts w:ascii="Arial"/>
                <w:sz w:val="21"/>
              </w:rPr>
            </w:pPr>
          </w:p>
          <w:p w14:paraId="3511635F">
            <w:pPr>
              <w:pStyle w:val="6"/>
              <w:spacing w:before="65" w:line="219" w:lineRule="auto"/>
              <w:ind w:left="1770"/>
            </w:pPr>
            <w:r>
              <w:rPr>
                <w:spacing w:val="3"/>
              </w:rPr>
              <w:t>交通伤害</w:t>
            </w:r>
          </w:p>
        </w:tc>
        <w:tc>
          <w:tcPr>
            <w:tcW w:w="1590" w:type="dxa"/>
            <w:tcBorders>
              <w:top w:val="single" w:color="000000" w:sz="4" w:space="0"/>
            </w:tcBorders>
            <w:vAlign w:val="top"/>
          </w:tcPr>
          <w:p w14:paraId="48A79EF2">
            <w:pPr>
              <w:pStyle w:val="6"/>
              <w:spacing w:before="89" w:line="219" w:lineRule="auto"/>
              <w:ind w:left="439"/>
            </w:pPr>
            <w:r>
              <w:rPr>
                <w:spacing w:val="9"/>
              </w:rPr>
              <w:t>中高</w:t>
            </w:r>
            <w:r>
              <w:t>SDI</w:t>
            </w:r>
          </w:p>
        </w:tc>
        <w:tc>
          <w:tcPr>
            <w:tcW w:w="1359" w:type="dxa"/>
            <w:tcBorders>
              <w:top w:val="single" w:color="000000" w:sz="4" w:space="0"/>
            </w:tcBorders>
            <w:vAlign w:val="top"/>
          </w:tcPr>
          <w:p w14:paraId="38328C20">
            <w:pPr>
              <w:pStyle w:val="6"/>
              <w:spacing w:before="108" w:line="239" w:lineRule="auto"/>
              <w:ind w:left="379"/>
            </w:pPr>
            <w:r>
              <w:rPr>
                <w:spacing w:val="-2"/>
              </w:rPr>
              <w:t>2395.3</w:t>
            </w:r>
          </w:p>
        </w:tc>
        <w:tc>
          <w:tcPr>
            <w:tcW w:w="1270" w:type="dxa"/>
            <w:tcBorders>
              <w:top w:val="single" w:color="000000" w:sz="4" w:space="0"/>
            </w:tcBorders>
            <w:vAlign w:val="top"/>
          </w:tcPr>
          <w:p w14:paraId="25B2F9BC">
            <w:pPr>
              <w:pStyle w:val="6"/>
              <w:spacing w:before="108" w:line="239" w:lineRule="auto"/>
              <w:ind w:left="331"/>
            </w:pPr>
            <w:r>
              <w:rPr>
                <w:spacing w:val="-4"/>
              </w:rPr>
              <w:t>1384.7</w:t>
            </w:r>
          </w:p>
        </w:tc>
        <w:tc>
          <w:tcPr>
            <w:tcW w:w="1340" w:type="dxa"/>
            <w:tcBorders>
              <w:top w:val="single" w:color="000000" w:sz="4" w:space="0"/>
            </w:tcBorders>
            <w:vAlign w:val="top"/>
          </w:tcPr>
          <w:p w14:paraId="7754C5DF">
            <w:pPr>
              <w:pStyle w:val="6"/>
              <w:spacing w:before="108" w:line="239" w:lineRule="auto"/>
              <w:ind w:left="370"/>
            </w:pPr>
            <w:r>
              <w:rPr>
                <w:spacing w:val="-2"/>
              </w:rPr>
              <w:t>3381.0</w:t>
            </w:r>
          </w:p>
        </w:tc>
      </w:tr>
      <w:tr w14:paraId="78E0152A">
        <w:trPr>
          <w:trHeight w:val="393" w:hRule="atLeast"/>
        </w:trPr>
        <w:tc>
          <w:tcPr>
            <w:tcW w:w="3470" w:type="dxa"/>
            <w:vMerge w:val="continue"/>
            <w:tcBorders>
              <w:top w:val="nil"/>
              <w:bottom w:val="nil"/>
            </w:tcBorders>
            <w:vAlign w:val="top"/>
          </w:tcPr>
          <w:p w14:paraId="439DA8DC">
            <w:pPr>
              <w:rPr>
                <w:rFonts w:ascii="Arial"/>
                <w:sz w:val="21"/>
              </w:rPr>
            </w:pPr>
          </w:p>
        </w:tc>
        <w:tc>
          <w:tcPr>
            <w:tcW w:w="1590" w:type="dxa"/>
            <w:tcBorders>
              <w:bottom w:val="single" w:color="000000" w:sz="4" w:space="0"/>
            </w:tcBorders>
            <w:vAlign w:val="top"/>
          </w:tcPr>
          <w:p w14:paraId="5BA5E051">
            <w:pPr>
              <w:pStyle w:val="6"/>
              <w:spacing w:before="103" w:line="219" w:lineRule="auto"/>
              <w:ind w:left="539"/>
            </w:pPr>
            <w:r>
              <w:rPr>
                <w:spacing w:val="18"/>
              </w:rPr>
              <w:t>高</w:t>
            </w:r>
            <w:r>
              <w:t>SDI</w:t>
            </w:r>
          </w:p>
        </w:tc>
        <w:tc>
          <w:tcPr>
            <w:tcW w:w="1359" w:type="dxa"/>
            <w:tcBorders>
              <w:bottom w:val="single" w:color="000000" w:sz="4" w:space="0"/>
            </w:tcBorders>
            <w:vAlign w:val="top"/>
          </w:tcPr>
          <w:p w14:paraId="6F265582">
            <w:pPr>
              <w:pStyle w:val="6"/>
              <w:spacing w:before="122" w:line="239" w:lineRule="auto"/>
              <w:ind w:left="379"/>
            </w:pPr>
            <w:r>
              <w:rPr>
                <w:spacing w:val="-2"/>
              </w:rPr>
              <w:t>2263.7</w:t>
            </w:r>
          </w:p>
        </w:tc>
        <w:tc>
          <w:tcPr>
            <w:tcW w:w="1270" w:type="dxa"/>
            <w:tcBorders>
              <w:bottom w:val="single" w:color="000000" w:sz="4" w:space="0"/>
            </w:tcBorders>
            <w:vAlign w:val="top"/>
          </w:tcPr>
          <w:p w14:paraId="32910B18">
            <w:pPr>
              <w:pStyle w:val="6"/>
              <w:spacing w:before="122" w:line="239" w:lineRule="auto"/>
              <w:ind w:left="331"/>
            </w:pPr>
            <w:r>
              <w:rPr>
                <w:spacing w:val="-4"/>
              </w:rPr>
              <w:t>1447.4</w:t>
            </w:r>
          </w:p>
        </w:tc>
        <w:tc>
          <w:tcPr>
            <w:tcW w:w="1340" w:type="dxa"/>
            <w:tcBorders>
              <w:bottom w:val="single" w:color="000000" w:sz="4" w:space="0"/>
            </w:tcBorders>
            <w:vAlign w:val="top"/>
          </w:tcPr>
          <w:p w14:paraId="07B16DF4">
            <w:pPr>
              <w:pStyle w:val="6"/>
              <w:spacing w:before="122" w:line="239" w:lineRule="auto"/>
              <w:ind w:left="370"/>
            </w:pPr>
            <w:r>
              <w:rPr>
                <w:spacing w:val="-2"/>
              </w:rPr>
              <w:t>3050.8</w:t>
            </w:r>
          </w:p>
        </w:tc>
      </w:tr>
      <w:tr w14:paraId="26D7AF64">
        <w:trPr>
          <w:trHeight w:val="407" w:hRule="atLeast"/>
        </w:trPr>
        <w:tc>
          <w:tcPr>
            <w:tcW w:w="3470" w:type="dxa"/>
            <w:vMerge w:val="continue"/>
            <w:tcBorders>
              <w:top w:val="nil"/>
              <w:bottom w:val="nil"/>
            </w:tcBorders>
            <w:vAlign w:val="top"/>
          </w:tcPr>
          <w:p w14:paraId="3D765AF6">
            <w:pPr>
              <w:rPr>
                <w:rFonts w:ascii="Arial"/>
                <w:sz w:val="21"/>
              </w:rPr>
            </w:pPr>
          </w:p>
        </w:tc>
        <w:tc>
          <w:tcPr>
            <w:tcW w:w="1590" w:type="dxa"/>
            <w:tcBorders>
              <w:top w:val="single" w:color="000000" w:sz="4" w:space="0"/>
            </w:tcBorders>
            <w:vAlign w:val="top"/>
          </w:tcPr>
          <w:p w14:paraId="0EB215FB">
            <w:pPr>
              <w:pStyle w:val="6"/>
              <w:spacing w:before="111" w:line="221" w:lineRule="auto"/>
              <w:ind w:left="539"/>
            </w:pPr>
            <w:r>
              <w:rPr>
                <w:spacing w:val="18"/>
              </w:rPr>
              <w:t>低</w:t>
            </w:r>
            <w:r>
              <w:t>SDI</w:t>
            </w:r>
          </w:p>
        </w:tc>
        <w:tc>
          <w:tcPr>
            <w:tcW w:w="1359" w:type="dxa"/>
            <w:tcBorders>
              <w:top w:val="single" w:color="000000" w:sz="4" w:space="0"/>
            </w:tcBorders>
            <w:vAlign w:val="top"/>
          </w:tcPr>
          <w:p w14:paraId="3BEDECA7">
            <w:pPr>
              <w:pStyle w:val="6"/>
              <w:spacing w:before="129" w:line="239" w:lineRule="auto"/>
              <w:ind w:left="379"/>
            </w:pPr>
            <w:r>
              <w:rPr>
                <w:spacing w:val="-4"/>
              </w:rPr>
              <w:t>1132.5</w:t>
            </w:r>
          </w:p>
        </w:tc>
        <w:tc>
          <w:tcPr>
            <w:tcW w:w="1270" w:type="dxa"/>
            <w:tcBorders>
              <w:top w:val="single" w:color="000000" w:sz="4" w:space="0"/>
            </w:tcBorders>
            <w:vAlign w:val="top"/>
          </w:tcPr>
          <w:p w14:paraId="5E7963F9">
            <w:pPr>
              <w:pStyle w:val="6"/>
              <w:spacing w:before="129" w:line="239" w:lineRule="auto"/>
              <w:ind w:left="381"/>
            </w:pPr>
            <w:r>
              <w:rPr>
                <w:spacing w:val="-2"/>
              </w:rPr>
              <w:t>605.2</w:t>
            </w:r>
          </w:p>
        </w:tc>
        <w:tc>
          <w:tcPr>
            <w:tcW w:w="1340" w:type="dxa"/>
            <w:tcBorders>
              <w:top w:val="single" w:color="000000" w:sz="4" w:space="0"/>
            </w:tcBorders>
            <w:vAlign w:val="top"/>
          </w:tcPr>
          <w:p w14:paraId="5F510E85">
            <w:pPr>
              <w:pStyle w:val="6"/>
              <w:spacing w:before="129" w:line="239" w:lineRule="auto"/>
              <w:ind w:left="370"/>
            </w:pPr>
            <w:r>
              <w:rPr>
                <w:spacing w:val="-4"/>
              </w:rPr>
              <w:t>1672.9</w:t>
            </w:r>
          </w:p>
        </w:tc>
      </w:tr>
      <w:tr w14:paraId="17006D82">
        <w:trPr>
          <w:trHeight w:val="385" w:hRule="atLeast"/>
        </w:trPr>
        <w:tc>
          <w:tcPr>
            <w:tcW w:w="3470" w:type="dxa"/>
            <w:vMerge w:val="continue"/>
            <w:tcBorders>
              <w:top w:val="nil"/>
              <w:bottom w:val="nil"/>
            </w:tcBorders>
            <w:vAlign w:val="top"/>
          </w:tcPr>
          <w:p w14:paraId="272D89E9">
            <w:pPr>
              <w:rPr>
                <w:rFonts w:ascii="Arial"/>
                <w:sz w:val="21"/>
              </w:rPr>
            </w:pPr>
          </w:p>
        </w:tc>
        <w:tc>
          <w:tcPr>
            <w:tcW w:w="1590" w:type="dxa"/>
            <w:vAlign w:val="top"/>
          </w:tcPr>
          <w:p w14:paraId="5E2A5FA8">
            <w:pPr>
              <w:pStyle w:val="6"/>
              <w:spacing w:before="103" w:line="220" w:lineRule="auto"/>
              <w:ind w:left="439"/>
            </w:pPr>
            <w:r>
              <w:rPr>
                <w:spacing w:val="9"/>
              </w:rPr>
              <w:t>中低</w:t>
            </w:r>
            <w:r>
              <w:t>SDI</w:t>
            </w:r>
          </w:p>
        </w:tc>
        <w:tc>
          <w:tcPr>
            <w:tcW w:w="1359" w:type="dxa"/>
            <w:vAlign w:val="top"/>
          </w:tcPr>
          <w:p w14:paraId="73E73F9E">
            <w:pPr>
              <w:pStyle w:val="6"/>
              <w:spacing w:before="123" w:line="232" w:lineRule="auto"/>
              <w:ind w:left="429"/>
            </w:pPr>
            <w:r>
              <w:rPr>
                <w:spacing w:val="-2"/>
              </w:rPr>
              <w:t>945.9</w:t>
            </w:r>
          </w:p>
        </w:tc>
        <w:tc>
          <w:tcPr>
            <w:tcW w:w="1270" w:type="dxa"/>
            <w:vAlign w:val="top"/>
          </w:tcPr>
          <w:p w14:paraId="6AD69FA0">
            <w:pPr>
              <w:pStyle w:val="6"/>
              <w:spacing w:before="123" w:line="232" w:lineRule="auto"/>
              <w:ind w:left="381"/>
            </w:pPr>
            <w:r>
              <w:rPr>
                <w:spacing w:val="-2"/>
              </w:rPr>
              <w:t>414.1</w:t>
            </w:r>
          </w:p>
        </w:tc>
        <w:tc>
          <w:tcPr>
            <w:tcW w:w="1340" w:type="dxa"/>
            <w:vAlign w:val="top"/>
          </w:tcPr>
          <w:p w14:paraId="3ED5EDC3">
            <w:pPr>
              <w:pStyle w:val="6"/>
              <w:spacing w:before="123" w:line="232" w:lineRule="auto"/>
              <w:ind w:left="370"/>
            </w:pPr>
            <w:r>
              <w:rPr>
                <w:spacing w:val="-4"/>
              </w:rPr>
              <w:t>1482.1</w:t>
            </w:r>
          </w:p>
        </w:tc>
      </w:tr>
      <w:tr w14:paraId="18AB2DAA">
        <w:trPr>
          <w:trHeight w:val="384" w:hRule="atLeast"/>
        </w:trPr>
        <w:tc>
          <w:tcPr>
            <w:tcW w:w="3470" w:type="dxa"/>
            <w:vMerge w:val="continue"/>
            <w:tcBorders>
              <w:top w:val="nil"/>
            </w:tcBorders>
            <w:vAlign w:val="top"/>
          </w:tcPr>
          <w:p w14:paraId="7621EE40">
            <w:pPr>
              <w:rPr>
                <w:rFonts w:ascii="Arial"/>
                <w:sz w:val="21"/>
              </w:rPr>
            </w:pPr>
          </w:p>
        </w:tc>
        <w:tc>
          <w:tcPr>
            <w:tcW w:w="1590" w:type="dxa"/>
            <w:vAlign w:val="top"/>
          </w:tcPr>
          <w:p w14:paraId="54755777">
            <w:pPr>
              <w:pStyle w:val="6"/>
              <w:spacing w:before="88" w:line="220" w:lineRule="auto"/>
              <w:ind w:left="539"/>
            </w:pPr>
            <w:r>
              <w:rPr>
                <w:spacing w:val="18"/>
              </w:rPr>
              <w:t>中</w:t>
            </w:r>
            <w:r>
              <w:t>SDI</w:t>
            </w:r>
          </w:p>
        </w:tc>
        <w:tc>
          <w:tcPr>
            <w:tcW w:w="1359" w:type="dxa"/>
            <w:vAlign w:val="top"/>
          </w:tcPr>
          <w:p w14:paraId="28F6820A">
            <w:pPr>
              <w:pStyle w:val="6"/>
              <w:spacing w:before="108" w:line="239" w:lineRule="auto"/>
              <w:ind w:left="429"/>
            </w:pPr>
            <w:r>
              <w:rPr>
                <w:spacing w:val="-2"/>
              </w:rPr>
              <w:t>923.8</w:t>
            </w:r>
          </w:p>
        </w:tc>
        <w:tc>
          <w:tcPr>
            <w:tcW w:w="1270" w:type="dxa"/>
            <w:vAlign w:val="top"/>
          </w:tcPr>
          <w:p w14:paraId="6207B682">
            <w:pPr>
              <w:pStyle w:val="6"/>
              <w:spacing w:before="108" w:line="239" w:lineRule="auto"/>
              <w:ind w:left="381"/>
            </w:pPr>
            <w:r>
              <w:rPr>
                <w:spacing w:val="-2"/>
              </w:rPr>
              <w:t>413.3</w:t>
            </w:r>
          </w:p>
        </w:tc>
        <w:tc>
          <w:tcPr>
            <w:tcW w:w="1340" w:type="dxa"/>
            <w:vAlign w:val="top"/>
          </w:tcPr>
          <w:p w14:paraId="46E9052F">
            <w:pPr>
              <w:pStyle w:val="6"/>
              <w:spacing w:before="108" w:line="239" w:lineRule="auto"/>
              <w:ind w:left="370"/>
            </w:pPr>
            <w:r>
              <w:rPr>
                <w:spacing w:val="-4"/>
              </w:rPr>
              <w:t>1428.8</w:t>
            </w:r>
          </w:p>
        </w:tc>
      </w:tr>
      <w:tr w14:paraId="466D45E2">
        <w:trPr>
          <w:trHeight w:val="409" w:hRule="atLeast"/>
        </w:trPr>
        <w:tc>
          <w:tcPr>
            <w:tcW w:w="3470" w:type="dxa"/>
            <w:vMerge w:val="restart"/>
            <w:tcBorders>
              <w:bottom w:val="nil"/>
            </w:tcBorders>
            <w:vAlign w:val="top"/>
          </w:tcPr>
          <w:p w14:paraId="6F80EFDE">
            <w:pPr>
              <w:spacing w:line="254" w:lineRule="auto"/>
              <w:rPr>
                <w:rFonts w:ascii="Arial"/>
                <w:sz w:val="21"/>
              </w:rPr>
            </w:pPr>
          </w:p>
          <w:p w14:paraId="4AF09212">
            <w:pPr>
              <w:pStyle w:val="6"/>
              <w:spacing w:before="65" w:line="219" w:lineRule="auto"/>
              <w:ind w:left="122"/>
            </w:pPr>
            <w:r>
              <w:rPr>
                <w:b/>
                <w:bCs/>
                <w:spacing w:val="-4"/>
              </w:rPr>
              <w:t>非故意伤害</w:t>
            </w:r>
          </w:p>
        </w:tc>
        <w:tc>
          <w:tcPr>
            <w:tcW w:w="1590" w:type="dxa"/>
            <w:vAlign w:val="top"/>
          </w:tcPr>
          <w:p w14:paraId="0231635E">
            <w:pPr>
              <w:pStyle w:val="6"/>
              <w:spacing w:before="104" w:line="219" w:lineRule="auto"/>
              <w:ind w:left="439"/>
            </w:pPr>
            <w:r>
              <w:rPr>
                <w:spacing w:val="9"/>
              </w:rPr>
              <w:t>中高</w:t>
            </w:r>
            <w:r>
              <w:t>SDI</w:t>
            </w:r>
          </w:p>
        </w:tc>
        <w:tc>
          <w:tcPr>
            <w:tcW w:w="1359" w:type="dxa"/>
            <w:vAlign w:val="top"/>
          </w:tcPr>
          <w:p w14:paraId="1FE5CA8B">
            <w:pPr>
              <w:pStyle w:val="6"/>
              <w:spacing w:before="123" w:line="239" w:lineRule="auto"/>
              <w:ind w:left="429"/>
            </w:pPr>
            <w:r>
              <w:rPr>
                <w:spacing w:val="-2"/>
              </w:rPr>
              <w:t>693.6</w:t>
            </w:r>
          </w:p>
        </w:tc>
        <w:tc>
          <w:tcPr>
            <w:tcW w:w="1270" w:type="dxa"/>
            <w:vAlign w:val="top"/>
          </w:tcPr>
          <w:p w14:paraId="7A9EEB4A">
            <w:pPr>
              <w:pStyle w:val="6"/>
              <w:spacing w:before="123" w:line="239" w:lineRule="auto"/>
              <w:ind w:left="381"/>
            </w:pPr>
            <w:r>
              <w:rPr>
                <w:spacing w:val="-2"/>
              </w:rPr>
              <w:t>332.1</w:t>
            </w:r>
          </w:p>
        </w:tc>
        <w:tc>
          <w:tcPr>
            <w:tcW w:w="1340" w:type="dxa"/>
            <w:vAlign w:val="top"/>
          </w:tcPr>
          <w:p w14:paraId="41D48C2E">
            <w:pPr>
              <w:pStyle w:val="6"/>
              <w:spacing w:before="123" w:line="239" w:lineRule="auto"/>
              <w:ind w:left="370"/>
            </w:pPr>
            <w:r>
              <w:rPr>
                <w:spacing w:val="-4"/>
              </w:rPr>
              <w:t>1043.7</w:t>
            </w:r>
          </w:p>
        </w:tc>
      </w:tr>
      <w:tr w14:paraId="539629E1">
        <w:trPr>
          <w:trHeight w:val="416" w:hRule="atLeast"/>
        </w:trPr>
        <w:tc>
          <w:tcPr>
            <w:tcW w:w="3470" w:type="dxa"/>
            <w:vMerge w:val="continue"/>
            <w:tcBorders>
              <w:top w:val="nil"/>
              <w:bottom w:val="nil"/>
            </w:tcBorders>
            <w:vAlign w:val="top"/>
          </w:tcPr>
          <w:p w14:paraId="754F4C6A">
            <w:pPr>
              <w:rPr>
                <w:rFonts w:ascii="Arial"/>
                <w:sz w:val="21"/>
              </w:rPr>
            </w:pPr>
          </w:p>
        </w:tc>
        <w:tc>
          <w:tcPr>
            <w:tcW w:w="1590" w:type="dxa"/>
            <w:vAlign w:val="top"/>
          </w:tcPr>
          <w:p w14:paraId="03F212EC">
            <w:pPr>
              <w:pStyle w:val="6"/>
              <w:spacing w:before="115" w:line="219" w:lineRule="auto"/>
              <w:ind w:left="539"/>
            </w:pPr>
            <w:r>
              <w:rPr>
                <w:spacing w:val="18"/>
              </w:rPr>
              <w:t>高</w:t>
            </w:r>
            <w:r>
              <w:t>SDI</w:t>
            </w:r>
          </w:p>
        </w:tc>
        <w:tc>
          <w:tcPr>
            <w:tcW w:w="1359" w:type="dxa"/>
            <w:vAlign w:val="top"/>
          </w:tcPr>
          <w:p w14:paraId="3B4FD358">
            <w:pPr>
              <w:pStyle w:val="6"/>
              <w:spacing w:before="134" w:line="239" w:lineRule="auto"/>
              <w:ind w:left="429"/>
            </w:pPr>
            <w:r>
              <w:rPr>
                <w:spacing w:val="-2"/>
              </w:rPr>
              <w:t>540.2</w:t>
            </w:r>
          </w:p>
        </w:tc>
        <w:tc>
          <w:tcPr>
            <w:tcW w:w="1270" w:type="dxa"/>
            <w:vAlign w:val="top"/>
          </w:tcPr>
          <w:p w14:paraId="23F0A372">
            <w:pPr>
              <w:pStyle w:val="6"/>
              <w:spacing w:before="134" w:line="239" w:lineRule="auto"/>
              <w:ind w:left="381"/>
            </w:pPr>
            <w:r>
              <w:rPr>
                <w:spacing w:val="-2"/>
              </w:rPr>
              <w:t>293.6</w:t>
            </w:r>
          </w:p>
        </w:tc>
        <w:tc>
          <w:tcPr>
            <w:tcW w:w="1340" w:type="dxa"/>
            <w:vAlign w:val="top"/>
          </w:tcPr>
          <w:p w14:paraId="79A9080F">
            <w:pPr>
              <w:pStyle w:val="6"/>
              <w:spacing w:before="134" w:line="239" w:lineRule="auto"/>
              <w:ind w:left="420"/>
            </w:pPr>
            <w:r>
              <w:rPr>
                <w:spacing w:val="-3"/>
              </w:rPr>
              <w:t>777.7</w:t>
            </w:r>
          </w:p>
        </w:tc>
      </w:tr>
      <w:tr w14:paraId="6CE679A5">
        <w:trPr>
          <w:trHeight w:val="404" w:hRule="atLeast"/>
        </w:trPr>
        <w:tc>
          <w:tcPr>
            <w:tcW w:w="3470" w:type="dxa"/>
            <w:vMerge w:val="continue"/>
            <w:tcBorders>
              <w:top w:val="nil"/>
              <w:bottom w:val="nil"/>
            </w:tcBorders>
            <w:vAlign w:val="top"/>
          </w:tcPr>
          <w:p w14:paraId="27722971">
            <w:pPr>
              <w:rPr>
                <w:rFonts w:ascii="Arial"/>
                <w:sz w:val="21"/>
              </w:rPr>
            </w:pPr>
          </w:p>
        </w:tc>
        <w:tc>
          <w:tcPr>
            <w:tcW w:w="1590" w:type="dxa"/>
            <w:vAlign w:val="top"/>
          </w:tcPr>
          <w:p w14:paraId="253EBC48">
            <w:pPr>
              <w:pStyle w:val="6"/>
              <w:spacing w:before="110" w:line="221" w:lineRule="auto"/>
              <w:ind w:left="539"/>
            </w:pPr>
            <w:r>
              <w:rPr>
                <w:spacing w:val="18"/>
              </w:rPr>
              <w:t>低</w:t>
            </w:r>
            <w:r>
              <w:t>SDI</w:t>
            </w:r>
          </w:p>
        </w:tc>
        <w:tc>
          <w:tcPr>
            <w:tcW w:w="1359" w:type="dxa"/>
            <w:vAlign w:val="top"/>
          </w:tcPr>
          <w:p w14:paraId="633A09D3">
            <w:pPr>
              <w:pStyle w:val="6"/>
              <w:spacing w:before="129" w:line="239" w:lineRule="auto"/>
              <w:ind w:left="379"/>
            </w:pPr>
            <w:r>
              <w:rPr>
                <w:spacing w:val="-4"/>
              </w:rPr>
              <w:t>1846.3</w:t>
            </w:r>
          </w:p>
        </w:tc>
        <w:tc>
          <w:tcPr>
            <w:tcW w:w="1270" w:type="dxa"/>
            <w:vAlign w:val="top"/>
          </w:tcPr>
          <w:p w14:paraId="4C96BF13">
            <w:pPr>
              <w:pStyle w:val="6"/>
              <w:spacing w:before="129" w:line="239" w:lineRule="auto"/>
              <w:ind w:left="331"/>
            </w:pPr>
            <w:r>
              <w:rPr>
                <w:spacing w:val="-4"/>
              </w:rPr>
              <w:t>1497.8</w:t>
            </w:r>
          </w:p>
        </w:tc>
        <w:tc>
          <w:tcPr>
            <w:tcW w:w="1340" w:type="dxa"/>
            <w:vAlign w:val="top"/>
          </w:tcPr>
          <w:p w14:paraId="310D976A">
            <w:pPr>
              <w:pStyle w:val="6"/>
              <w:spacing w:before="129" w:line="239" w:lineRule="auto"/>
              <w:ind w:left="370"/>
            </w:pPr>
            <w:r>
              <w:rPr>
                <w:spacing w:val="-2"/>
              </w:rPr>
              <w:t>2195.5</w:t>
            </w:r>
          </w:p>
        </w:tc>
      </w:tr>
      <w:tr w14:paraId="7B62D425">
        <w:trPr>
          <w:trHeight w:val="394" w:hRule="atLeast"/>
        </w:trPr>
        <w:tc>
          <w:tcPr>
            <w:tcW w:w="3470" w:type="dxa"/>
            <w:vMerge w:val="continue"/>
            <w:tcBorders>
              <w:top w:val="nil"/>
            </w:tcBorders>
            <w:vAlign w:val="top"/>
          </w:tcPr>
          <w:p w14:paraId="27A65152">
            <w:pPr>
              <w:rPr>
                <w:rFonts w:ascii="Arial"/>
                <w:sz w:val="21"/>
              </w:rPr>
            </w:pPr>
          </w:p>
        </w:tc>
        <w:tc>
          <w:tcPr>
            <w:tcW w:w="1590" w:type="dxa"/>
            <w:vAlign w:val="top"/>
          </w:tcPr>
          <w:p w14:paraId="480146CF">
            <w:pPr>
              <w:pStyle w:val="6"/>
              <w:spacing w:before="105" w:line="220" w:lineRule="auto"/>
              <w:ind w:left="439"/>
            </w:pPr>
            <w:r>
              <w:rPr>
                <w:spacing w:val="9"/>
              </w:rPr>
              <w:t>中低</w:t>
            </w:r>
            <w:r>
              <w:t>SDI</w:t>
            </w:r>
          </w:p>
        </w:tc>
        <w:tc>
          <w:tcPr>
            <w:tcW w:w="1359" w:type="dxa"/>
            <w:vAlign w:val="top"/>
          </w:tcPr>
          <w:p w14:paraId="78EC3517">
            <w:pPr>
              <w:pStyle w:val="6"/>
              <w:spacing w:before="125" w:line="239" w:lineRule="auto"/>
              <w:ind w:left="379"/>
            </w:pPr>
            <w:r>
              <w:rPr>
                <w:spacing w:val="-4"/>
              </w:rPr>
              <w:t>1544.3</w:t>
            </w:r>
          </w:p>
        </w:tc>
        <w:tc>
          <w:tcPr>
            <w:tcW w:w="1270" w:type="dxa"/>
            <w:vAlign w:val="top"/>
          </w:tcPr>
          <w:p w14:paraId="504242CD">
            <w:pPr>
              <w:pStyle w:val="6"/>
              <w:spacing w:before="125" w:line="239" w:lineRule="auto"/>
              <w:ind w:left="331"/>
            </w:pPr>
            <w:r>
              <w:rPr>
                <w:spacing w:val="-4"/>
              </w:rPr>
              <w:t>1296.3</w:t>
            </w:r>
          </w:p>
        </w:tc>
        <w:tc>
          <w:tcPr>
            <w:tcW w:w="1340" w:type="dxa"/>
            <w:vAlign w:val="top"/>
          </w:tcPr>
          <w:p w14:paraId="7B037A42">
            <w:pPr>
              <w:pStyle w:val="6"/>
              <w:spacing w:before="125" w:line="239" w:lineRule="auto"/>
              <w:ind w:left="370"/>
            </w:pPr>
            <w:r>
              <w:rPr>
                <w:spacing w:val="-4"/>
              </w:rPr>
              <w:t>1785.2</w:t>
            </w:r>
          </w:p>
        </w:tc>
      </w:tr>
      <w:tr w14:paraId="601CFED8">
        <w:trPr>
          <w:trHeight w:val="389" w:hRule="atLeast"/>
        </w:trPr>
        <w:tc>
          <w:tcPr>
            <w:tcW w:w="3470" w:type="dxa"/>
            <w:vMerge w:val="restart"/>
            <w:tcBorders>
              <w:bottom w:val="nil"/>
            </w:tcBorders>
            <w:vAlign w:val="top"/>
          </w:tcPr>
          <w:p w14:paraId="79730889">
            <w:pPr>
              <w:pStyle w:val="6"/>
              <w:spacing w:before="101" w:line="219" w:lineRule="auto"/>
              <w:ind w:left="1770"/>
            </w:pPr>
            <w:r>
              <w:rPr>
                <w:spacing w:val="1"/>
              </w:rPr>
              <w:t>其他非故意伤害</w:t>
            </w:r>
          </w:p>
        </w:tc>
        <w:tc>
          <w:tcPr>
            <w:tcW w:w="1590" w:type="dxa"/>
            <w:vAlign w:val="top"/>
          </w:tcPr>
          <w:p w14:paraId="0E3E11BC">
            <w:pPr>
              <w:pStyle w:val="6"/>
              <w:spacing w:before="101" w:line="220" w:lineRule="auto"/>
              <w:ind w:left="539"/>
            </w:pPr>
            <w:r>
              <w:rPr>
                <w:spacing w:val="18"/>
              </w:rPr>
              <w:t>中</w:t>
            </w:r>
            <w:r>
              <w:t>SDI</w:t>
            </w:r>
          </w:p>
        </w:tc>
        <w:tc>
          <w:tcPr>
            <w:tcW w:w="1359" w:type="dxa"/>
            <w:vAlign w:val="top"/>
          </w:tcPr>
          <w:p w14:paraId="1B9A6A33">
            <w:pPr>
              <w:pStyle w:val="6"/>
              <w:spacing w:before="121" w:line="238" w:lineRule="auto"/>
              <w:ind w:left="379"/>
            </w:pPr>
            <w:r>
              <w:rPr>
                <w:spacing w:val="-4"/>
              </w:rPr>
              <w:t>1192.7</w:t>
            </w:r>
          </w:p>
        </w:tc>
        <w:tc>
          <w:tcPr>
            <w:tcW w:w="1270" w:type="dxa"/>
            <w:vAlign w:val="top"/>
          </w:tcPr>
          <w:p w14:paraId="6436EDB3">
            <w:pPr>
              <w:pStyle w:val="6"/>
              <w:spacing w:before="121" w:line="238" w:lineRule="auto"/>
              <w:ind w:left="381"/>
            </w:pPr>
            <w:r>
              <w:rPr>
                <w:spacing w:val="-2"/>
              </w:rPr>
              <w:t>849.4</w:t>
            </w:r>
          </w:p>
        </w:tc>
        <w:tc>
          <w:tcPr>
            <w:tcW w:w="1340" w:type="dxa"/>
            <w:vAlign w:val="top"/>
          </w:tcPr>
          <w:p w14:paraId="1A4D9B96">
            <w:pPr>
              <w:pStyle w:val="6"/>
              <w:spacing w:before="121" w:line="238" w:lineRule="auto"/>
              <w:ind w:left="370"/>
            </w:pPr>
            <w:r>
              <w:rPr>
                <w:spacing w:val="-4"/>
              </w:rPr>
              <w:t>1527.8</w:t>
            </w:r>
          </w:p>
        </w:tc>
      </w:tr>
      <w:tr w14:paraId="21E6FC6C">
        <w:trPr>
          <w:trHeight w:val="394" w:hRule="atLeast"/>
        </w:trPr>
        <w:tc>
          <w:tcPr>
            <w:tcW w:w="3470" w:type="dxa"/>
            <w:vMerge w:val="continue"/>
            <w:tcBorders>
              <w:top w:val="nil"/>
              <w:bottom w:val="nil"/>
            </w:tcBorders>
            <w:vAlign w:val="top"/>
          </w:tcPr>
          <w:p w14:paraId="23306BCC">
            <w:pPr>
              <w:rPr>
                <w:rFonts w:ascii="Arial"/>
                <w:sz w:val="21"/>
              </w:rPr>
            </w:pPr>
          </w:p>
        </w:tc>
        <w:tc>
          <w:tcPr>
            <w:tcW w:w="1590" w:type="dxa"/>
            <w:vAlign w:val="top"/>
          </w:tcPr>
          <w:p w14:paraId="6F4AFB3B">
            <w:pPr>
              <w:pStyle w:val="6"/>
              <w:spacing w:before="102" w:line="219" w:lineRule="auto"/>
              <w:ind w:left="439"/>
            </w:pPr>
            <w:r>
              <w:rPr>
                <w:spacing w:val="9"/>
              </w:rPr>
              <w:t>中高</w:t>
            </w:r>
            <w:r>
              <w:t>SDI</w:t>
            </w:r>
          </w:p>
        </w:tc>
        <w:tc>
          <w:tcPr>
            <w:tcW w:w="1359" w:type="dxa"/>
            <w:vAlign w:val="top"/>
          </w:tcPr>
          <w:p w14:paraId="017D1235">
            <w:pPr>
              <w:pStyle w:val="6"/>
              <w:spacing w:before="121" w:line="239" w:lineRule="auto"/>
              <w:ind w:left="379"/>
            </w:pPr>
            <w:r>
              <w:rPr>
                <w:spacing w:val="-4"/>
              </w:rPr>
              <w:t>1141.5</w:t>
            </w:r>
          </w:p>
        </w:tc>
        <w:tc>
          <w:tcPr>
            <w:tcW w:w="1270" w:type="dxa"/>
            <w:vAlign w:val="top"/>
          </w:tcPr>
          <w:p w14:paraId="17FF834B">
            <w:pPr>
              <w:pStyle w:val="6"/>
              <w:spacing w:before="121" w:line="239" w:lineRule="auto"/>
              <w:ind w:left="381"/>
            </w:pPr>
            <w:r>
              <w:rPr>
                <w:spacing w:val="-3"/>
              </w:rPr>
              <w:t>745.8</w:t>
            </w:r>
          </w:p>
        </w:tc>
        <w:tc>
          <w:tcPr>
            <w:tcW w:w="1340" w:type="dxa"/>
            <w:vAlign w:val="top"/>
          </w:tcPr>
          <w:p w14:paraId="2962E395">
            <w:pPr>
              <w:pStyle w:val="6"/>
              <w:spacing w:before="121" w:line="239" w:lineRule="auto"/>
              <w:ind w:left="370"/>
            </w:pPr>
            <w:r>
              <w:rPr>
                <w:spacing w:val="-4"/>
              </w:rPr>
              <w:t>1530.4</w:t>
            </w:r>
          </w:p>
        </w:tc>
      </w:tr>
      <w:tr w14:paraId="22698945">
        <w:trPr>
          <w:trHeight w:val="403" w:hRule="atLeast"/>
        </w:trPr>
        <w:tc>
          <w:tcPr>
            <w:tcW w:w="3470" w:type="dxa"/>
            <w:vMerge w:val="continue"/>
            <w:tcBorders>
              <w:top w:val="nil"/>
              <w:bottom w:val="single" w:color="000000" w:sz="4" w:space="0"/>
            </w:tcBorders>
            <w:vAlign w:val="top"/>
          </w:tcPr>
          <w:p w14:paraId="7B61827C">
            <w:pPr>
              <w:rPr>
                <w:rFonts w:ascii="Arial"/>
                <w:sz w:val="21"/>
              </w:rPr>
            </w:pPr>
          </w:p>
        </w:tc>
        <w:tc>
          <w:tcPr>
            <w:tcW w:w="1590" w:type="dxa"/>
            <w:tcBorders>
              <w:bottom w:val="single" w:color="000000" w:sz="4" w:space="0"/>
            </w:tcBorders>
            <w:vAlign w:val="top"/>
          </w:tcPr>
          <w:p w14:paraId="2BF69557">
            <w:pPr>
              <w:pStyle w:val="6"/>
              <w:spacing w:before="108" w:line="219" w:lineRule="auto"/>
              <w:ind w:left="539"/>
            </w:pPr>
            <w:r>
              <w:rPr>
                <w:spacing w:val="18"/>
              </w:rPr>
              <w:t>高</w:t>
            </w:r>
            <w:r>
              <w:t>SDI</w:t>
            </w:r>
          </w:p>
        </w:tc>
        <w:tc>
          <w:tcPr>
            <w:tcW w:w="1359" w:type="dxa"/>
            <w:tcBorders>
              <w:bottom w:val="single" w:color="000000" w:sz="4" w:space="0"/>
            </w:tcBorders>
            <w:vAlign w:val="top"/>
          </w:tcPr>
          <w:p w14:paraId="6BC773A2">
            <w:pPr>
              <w:pStyle w:val="6"/>
              <w:spacing w:before="127" w:line="239" w:lineRule="auto"/>
              <w:ind w:left="379"/>
            </w:pPr>
            <w:r>
              <w:rPr>
                <w:spacing w:val="-4"/>
              </w:rPr>
              <w:t>1013.0</w:t>
            </w:r>
          </w:p>
        </w:tc>
        <w:tc>
          <w:tcPr>
            <w:tcW w:w="1270" w:type="dxa"/>
            <w:tcBorders>
              <w:bottom w:val="single" w:color="000000" w:sz="4" w:space="0"/>
            </w:tcBorders>
            <w:vAlign w:val="top"/>
          </w:tcPr>
          <w:p w14:paraId="054515B6">
            <w:pPr>
              <w:pStyle w:val="6"/>
              <w:spacing w:before="127" w:line="239" w:lineRule="auto"/>
              <w:ind w:left="381"/>
            </w:pPr>
            <w:r>
              <w:rPr>
                <w:spacing w:val="-3"/>
              </w:rPr>
              <w:t>796.6</w:t>
            </w:r>
          </w:p>
        </w:tc>
        <w:tc>
          <w:tcPr>
            <w:tcW w:w="1340" w:type="dxa"/>
            <w:tcBorders>
              <w:bottom w:val="single" w:color="000000" w:sz="4" w:space="0"/>
            </w:tcBorders>
            <w:vAlign w:val="top"/>
          </w:tcPr>
          <w:p w14:paraId="6384D57F">
            <w:pPr>
              <w:pStyle w:val="6"/>
              <w:spacing w:before="127" w:line="239" w:lineRule="auto"/>
              <w:ind w:left="370"/>
            </w:pPr>
            <w:r>
              <w:rPr>
                <w:spacing w:val="-4"/>
              </w:rPr>
              <w:t>1223.5</w:t>
            </w:r>
          </w:p>
        </w:tc>
      </w:tr>
      <w:tr w14:paraId="22B41A5D">
        <w:trPr>
          <w:trHeight w:val="397" w:hRule="atLeast"/>
        </w:trPr>
        <w:tc>
          <w:tcPr>
            <w:tcW w:w="3470" w:type="dxa"/>
            <w:vMerge w:val="restart"/>
            <w:tcBorders>
              <w:top w:val="single" w:color="000000" w:sz="4" w:space="0"/>
              <w:bottom w:val="nil"/>
            </w:tcBorders>
            <w:vAlign w:val="top"/>
          </w:tcPr>
          <w:p w14:paraId="0A53A49B">
            <w:pPr>
              <w:spacing w:line="277" w:lineRule="auto"/>
              <w:rPr>
                <w:rFonts w:ascii="Arial"/>
                <w:sz w:val="21"/>
              </w:rPr>
            </w:pPr>
          </w:p>
          <w:p w14:paraId="709495FE">
            <w:pPr>
              <w:spacing w:line="278" w:lineRule="auto"/>
              <w:rPr>
                <w:rFonts w:ascii="Arial"/>
                <w:sz w:val="21"/>
              </w:rPr>
            </w:pPr>
          </w:p>
          <w:p w14:paraId="26F6B4C4">
            <w:pPr>
              <w:spacing w:line="278" w:lineRule="auto"/>
              <w:rPr>
                <w:rFonts w:ascii="Arial"/>
                <w:sz w:val="21"/>
              </w:rPr>
            </w:pPr>
          </w:p>
          <w:p w14:paraId="4FBFDC1D">
            <w:pPr>
              <w:pStyle w:val="6"/>
              <w:spacing w:before="65" w:line="219" w:lineRule="auto"/>
              <w:ind w:left="119"/>
            </w:pPr>
            <w:r>
              <w:rPr>
                <w:spacing w:val="2"/>
              </w:rPr>
              <w:t>自伤和人际暴力</w:t>
            </w:r>
          </w:p>
        </w:tc>
        <w:tc>
          <w:tcPr>
            <w:tcW w:w="1590" w:type="dxa"/>
            <w:tcBorders>
              <w:top w:val="single" w:color="000000" w:sz="4" w:space="0"/>
            </w:tcBorders>
            <w:vAlign w:val="top"/>
          </w:tcPr>
          <w:p w14:paraId="241EA2C8">
            <w:pPr>
              <w:pStyle w:val="6"/>
              <w:spacing w:before="106" w:line="221" w:lineRule="auto"/>
              <w:ind w:left="539"/>
            </w:pPr>
            <w:r>
              <w:rPr>
                <w:spacing w:val="18"/>
              </w:rPr>
              <w:t>低</w:t>
            </w:r>
            <w:r>
              <w:t>SDI</w:t>
            </w:r>
          </w:p>
        </w:tc>
        <w:tc>
          <w:tcPr>
            <w:tcW w:w="1359" w:type="dxa"/>
            <w:tcBorders>
              <w:top w:val="single" w:color="000000" w:sz="4" w:space="0"/>
            </w:tcBorders>
            <w:vAlign w:val="top"/>
          </w:tcPr>
          <w:p w14:paraId="4ED7B421">
            <w:pPr>
              <w:pStyle w:val="6"/>
              <w:spacing w:before="125" w:line="239" w:lineRule="auto"/>
              <w:ind w:left="379"/>
            </w:pPr>
            <w:r>
              <w:rPr>
                <w:spacing w:val="-4"/>
              </w:rPr>
              <w:t>1380.4</w:t>
            </w:r>
          </w:p>
        </w:tc>
        <w:tc>
          <w:tcPr>
            <w:tcW w:w="1270" w:type="dxa"/>
            <w:tcBorders>
              <w:top w:val="single" w:color="000000" w:sz="4" w:space="0"/>
            </w:tcBorders>
            <w:vAlign w:val="top"/>
          </w:tcPr>
          <w:p w14:paraId="27CD37C2">
            <w:pPr>
              <w:pStyle w:val="6"/>
              <w:spacing w:before="125" w:line="239" w:lineRule="auto"/>
              <w:ind w:left="381"/>
            </w:pPr>
            <w:r>
              <w:rPr>
                <w:spacing w:val="-2"/>
              </w:rPr>
              <w:t>684.9</w:t>
            </w:r>
          </w:p>
        </w:tc>
        <w:tc>
          <w:tcPr>
            <w:tcW w:w="1340" w:type="dxa"/>
            <w:tcBorders>
              <w:top w:val="single" w:color="000000" w:sz="4" w:space="0"/>
            </w:tcBorders>
            <w:vAlign w:val="top"/>
          </w:tcPr>
          <w:p w14:paraId="270958F4">
            <w:pPr>
              <w:pStyle w:val="6"/>
              <w:spacing w:before="125" w:line="239" w:lineRule="auto"/>
              <w:ind w:left="370"/>
            </w:pPr>
            <w:r>
              <w:rPr>
                <w:spacing w:val="-2"/>
              </w:rPr>
              <w:t>2090.4</w:t>
            </w:r>
          </w:p>
        </w:tc>
      </w:tr>
      <w:tr w14:paraId="0E98F86D">
        <w:trPr>
          <w:trHeight w:val="389" w:hRule="atLeast"/>
        </w:trPr>
        <w:tc>
          <w:tcPr>
            <w:tcW w:w="3470" w:type="dxa"/>
            <w:vMerge w:val="continue"/>
            <w:tcBorders>
              <w:top w:val="nil"/>
              <w:bottom w:val="nil"/>
            </w:tcBorders>
            <w:vAlign w:val="top"/>
          </w:tcPr>
          <w:p w14:paraId="46780E9A">
            <w:pPr>
              <w:rPr>
                <w:rFonts w:ascii="Arial"/>
                <w:sz w:val="21"/>
              </w:rPr>
            </w:pPr>
          </w:p>
        </w:tc>
        <w:tc>
          <w:tcPr>
            <w:tcW w:w="1590" w:type="dxa"/>
            <w:vAlign w:val="top"/>
          </w:tcPr>
          <w:p w14:paraId="29076C13">
            <w:pPr>
              <w:pStyle w:val="6"/>
              <w:spacing w:before="108" w:line="220" w:lineRule="auto"/>
              <w:ind w:left="439"/>
            </w:pPr>
            <w:r>
              <w:rPr>
                <w:spacing w:val="9"/>
              </w:rPr>
              <w:t>中低</w:t>
            </w:r>
            <w:r>
              <w:t>SDI</w:t>
            </w:r>
          </w:p>
        </w:tc>
        <w:tc>
          <w:tcPr>
            <w:tcW w:w="1359" w:type="dxa"/>
            <w:vAlign w:val="top"/>
          </w:tcPr>
          <w:p w14:paraId="0634F405">
            <w:pPr>
              <w:pStyle w:val="6"/>
              <w:spacing w:before="128" w:line="231" w:lineRule="auto"/>
              <w:ind w:left="429"/>
            </w:pPr>
            <w:r>
              <w:rPr>
                <w:spacing w:val="-2"/>
              </w:rPr>
              <w:t>910.6</w:t>
            </w:r>
          </w:p>
        </w:tc>
        <w:tc>
          <w:tcPr>
            <w:tcW w:w="1270" w:type="dxa"/>
            <w:vAlign w:val="top"/>
          </w:tcPr>
          <w:p w14:paraId="24A0CDDF">
            <w:pPr>
              <w:pStyle w:val="6"/>
              <w:spacing w:before="128" w:line="231" w:lineRule="auto"/>
              <w:ind w:left="381"/>
            </w:pPr>
            <w:r>
              <w:rPr>
                <w:spacing w:val="-2"/>
              </w:rPr>
              <w:t>540.0</w:t>
            </w:r>
          </w:p>
        </w:tc>
        <w:tc>
          <w:tcPr>
            <w:tcW w:w="1340" w:type="dxa"/>
            <w:vAlign w:val="top"/>
          </w:tcPr>
          <w:p w14:paraId="2C893499">
            <w:pPr>
              <w:pStyle w:val="6"/>
              <w:spacing w:before="128" w:line="231" w:lineRule="auto"/>
              <w:ind w:left="370"/>
            </w:pPr>
            <w:r>
              <w:rPr>
                <w:spacing w:val="-4"/>
              </w:rPr>
              <w:t>1284.3</w:t>
            </w:r>
          </w:p>
        </w:tc>
      </w:tr>
      <w:tr w14:paraId="5FAA80B7">
        <w:trPr>
          <w:trHeight w:val="399" w:hRule="atLeast"/>
        </w:trPr>
        <w:tc>
          <w:tcPr>
            <w:tcW w:w="3470" w:type="dxa"/>
            <w:vMerge w:val="continue"/>
            <w:tcBorders>
              <w:top w:val="nil"/>
              <w:bottom w:val="nil"/>
            </w:tcBorders>
            <w:vAlign w:val="top"/>
          </w:tcPr>
          <w:p w14:paraId="7AC4AF11">
            <w:pPr>
              <w:rPr>
                <w:rFonts w:ascii="Arial"/>
                <w:sz w:val="21"/>
              </w:rPr>
            </w:pPr>
          </w:p>
        </w:tc>
        <w:tc>
          <w:tcPr>
            <w:tcW w:w="1590" w:type="dxa"/>
            <w:vAlign w:val="top"/>
          </w:tcPr>
          <w:p w14:paraId="74229F0B">
            <w:pPr>
              <w:pStyle w:val="6"/>
              <w:spacing w:before="99" w:line="220" w:lineRule="auto"/>
              <w:ind w:left="539"/>
            </w:pPr>
            <w:r>
              <w:rPr>
                <w:spacing w:val="18"/>
              </w:rPr>
              <w:t>中</w:t>
            </w:r>
            <w:r>
              <w:t>SDI</w:t>
            </w:r>
          </w:p>
        </w:tc>
        <w:tc>
          <w:tcPr>
            <w:tcW w:w="1359" w:type="dxa"/>
            <w:vAlign w:val="top"/>
          </w:tcPr>
          <w:p w14:paraId="3BD9AF4B">
            <w:pPr>
              <w:pStyle w:val="6"/>
              <w:spacing w:before="118" w:line="239" w:lineRule="auto"/>
              <w:ind w:left="429"/>
            </w:pPr>
            <w:r>
              <w:rPr>
                <w:spacing w:val="-2"/>
              </w:rPr>
              <w:t>807.9</w:t>
            </w:r>
          </w:p>
        </w:tc>
        <w:tc>
          <w:tcPr>
            <w:tcW w:w="1270" w:type="dxa"/>
            <w:vAlign w:val="top"/>
          </w:tcPr>
          <w:p w14:paraId="3103533C">
            <w:pPr>
              <w:pStyle w:val="6"/>
              <w:spacing w:before="118" w:line="239" w:lineRule="auto"/>
              <w:ind w:left="381"/>
            </w:pPr>
            <w:r>
              <w:rPr>
                <w:spacing w:val="-2"/>
              </w:rPr>
              <w:t>405.7</w:t>
            </w:r>
          </w:p>
        </w:tc>
        <w:tc>
          <w:tcPr>
            <w:tcW w:w="1340" w:type="dxa"/>
            <w:vAlign w:val="top"/>
          </w:tcPr>
          <w:p w14:paraId="26840D72">
            <w:pPr>
              <w:pStyle w:val="6"/>
              <w:spacing w:before="118" w:line="239" w:lineRule="auto"/>
              <w:ind w:left="370"/>
            </w:pPr>
            <w:r>
              <w:rPr>
                <w:spacing w:val="-4"/>
              </w:rPr>
              <w:t>1204.4</w:t>
            </w:r>
          </w:p>
        </w:tc>
      </w:tr>
      <w:tr w14:paraId="3F7D1C55">
        <w:trPr>
          <w:trHeight w:val="414" w:hRule="atLeast"/>
        </w:trPr>
        <w:tc>
          <w:tcPr>
            <w:tcW w:w="3470" w:type="dxa"/>
            <w:vMerge w:val="continue"/>
            <w:tcBorders>
              <w:top w:val="nil"/>
              <w:bottom w:val="nil"/>
            </w:tcBorders>
            <w:vAlign w:val="top"/>
          </w:tcPr>
          <w:p w14:paraId="4C3777E3">
            <w:pPr>
              <w:rPr>
                <w:rFonts w:ascii="Arial"/>
                <w:sz w:val="21"/>
              </w:rPr>
            </w:pPr>
          </w:p>
        </w:tc>
        <w:tc>
          <w:tcPr>
            <w:tcW w:w="1590" w:type="dxa"/>
            <w:vAlign w:val="top"/>
          </w:tcPr>
          <w:p w14:paraId="6F923E2B">
            <w:pPr>
              <w:pStyle w:val="6"/>
              <w:spacing w:before="120" w:line="219" w:lineRule="auto"/>
              <w:ind w:left="439"/>
            </w:pPr>
            <w:r>
              <w:rPr>
                <w:spacing w:val="9"/>
              </w:rPr>
              <w:t>中高</w:t>
            </w:r>
            <w:r>
              <w:t>SDI</w:t>
            </w:r>
          </w:p>
        </w:tc>
        <w:tc>
          <w:tcPr>
            <w:tcW w:w="1359" w:type="dxa"/>
            <w:vAlign w:val="top"/>
          </w:tcPr>
          <w:p w14:paraId="5F15E260">
            <w:pPr>
              <w:pStyle w:val="6"/>
              <w:spacing w:before="139" w:line="239" w:lineRule="auto"/>
              <w:ind w:left="429"/>
            </w:pPr>
            <w:r>
              <w:rPr>
                <w:spacing w:val="-2"/>
              </w:rPr>
              <w:t>560.1</w:t>
            </w:r>
          </w:p>
        </w:tc>
        <w:tc>
          <w:tcPr>
            <w:tcW w:w="1270" w:type="dxa"/>
            <w:vAlign w:val="top"/>
          </w:tcPr>
          <w:p w14:paraId="5EB637F7">
            <w:pPr>
              <w:pStyle w:val="6"/>
              <w:spacing w:before="139" w:line="239" w:lineRule="auto"/>
              <w:ind w:left="381"/>
            </w:pPr>
            <w:r>
              <w:rPr>
                <w:spacing w:val="-2"/>
              </w:rPr>
              <w:t>306.7</w:t>
            </w:r>
          </w:p>
        </w:tc>
        <w:tc>
          <w:tcPr>
            <w:tcW w:w="1340" w:type="dxa"/>
            <w:vAlign w:val="top"/>
          </w:tcPr>
          <w:p w14:paraId="103DD2B7">
            <w:pPr>
              <w:pStyle w:val="6"/>
              <w:spacing w:before="139" w:line="239" w:lineRule="auto"/>
              <w:ind w:left="420"/>
            </w:pPr>
            <w:r>
              <w:rPr>
                <w:spacing w:val="-2"/>
              </w:rPr>
              <w:t>806.9</w:t>
            </w:r>
          </w:p>
        </w:tc>
      </w:tr>
      <w:tr w14:paraId="0DD847C1">
        <w:trPr>
          <w:trHeight w:val="393" w:hRule="atLeast"/>
        </w:trPr>
        <w:tc>
          <w:tcPr>
            <w:tcW w:w="3470" w:type="dxa"/>
            <w:vMerge w:val="continue"/>
            <w:tcBorders>
              <w:top w:val="nil"/>
              <w:bottom w:val="single" w:color="000000" w:sz="4" w:space="0"/>
            </w:tcBorders>
            <w:vAlign w:val="top"/>
          </w:tcPr>
          <w:p w14:paraId="4964DC11">
            <w:pPr>
              <w:rPr>
                <w:rFonts w:ascii="Arial"/>
                <w:sz w:val="21"/>
              </w:rPr>
            </w:pPr>
          </w:p>
        </w:tc>
        <w:tc>
          <w:tcPr>
            <w:tcW w:w="1590" w:type="dxa"/>
            <w:tcBorders>
              <w:bottom w:val="single" w:color="000000" w:sz="4" w:space="0"/>
            </w:tcBorders>
            <w:vAlign w:val="top"/>
          </w:tcPr>
          <w:p w14:paraId="2D674BFB">
            <w:pPr>
              <w:pStyle w:val="6"/>
              <w:spacing w:before="116" w:line="219" w:lineRule="auto"/>
              <w:ind w:left="539"/>
            </w:pPr>
            <w:r>
              <w:rPr>
                <w:spacing w:val="18"/>
              </w:rPr>
              <w:t>高</w:t>
            </w:r>
            <w:r>
              <w:t>SDI</w:t>
            </w:r>
          </w:p>
        </w:tc>
        <w:tc>
          <w:tcPr>
            <w:tcW w:w="1359" w:type="dxa"/>
            <w:tcBorders>
              <w:bottom w:val="single" w:color="000000" w:sz="4" w:space="0"/>
            </w:tcBorders>
            <w:vAlign w:val="top"/>
          </w:tcPr>
          <w:p w14:paraId="4792C0B6">
            <w:pPr>
              <w:pStyle w:val="6"/>
              <w:spacing w:before="135" w:line="228" w:lineRule="auto"/>
              <w:ind w:left="429"/>
            </w:pPr>
            <w:r>
              <w:rPr>
                <w:spacing w:val="-3"/>
              </w:rPr>
              <w:t>710.5</w:t>
            </w:r>
          </w:p>
        </w:tc>
        <w:tc>
          <w:tcPr>
            <w:tcW w:w="1270" w:type="dxa"/>
            <w:tcBorders>
              <w:bottom w:val="single" w:color="000000" w:sz="4" w:space="0"/>
            </w:tcBorders>
            <w:vAlign w:val="top"/>
          </w:tcPr>
          <w:p w14:paraId="33FBA733">
            <w:pPr>
              <w:pStyle w:val="6"/>
              <w:spacing w:before="135" w:line="228" w:lineRule="auto"/>
              <w:ind w:left="381"/>
            </w:pPr>
            <w:r>
              <w:rPr>
                <w:spacing w:val="-2"/>
              </w:rPr>
              <w:t>357.2</w:t>
            </w:r>
          </w:p>
        </w:tc>
        <w:tc>
          <w:tcPr>
            <w:tcW w:w="1340" w:type="dxa"/>
            <w:tcBorders>
              <w:bottom w:val="single" w:color="000000" w:sz="4" w:space="0"/>
            </w:tcBorders>
            <w:vAlign w:val="top"/>
          </w:tcPr>
          <w:p w14:paraId="43D273DA">
            <w:pPr>
              <w:pStyle w:val="6"/>
              <w:spacing w:before="135" w:line="228" w:lineRule="auto"/>
              <w:ind w:left="370"/>
            </w:pPr>
            <w:r>
              <w:rPr>
                <w:spacing w:val="-4"/>
              </w:rPr>
              <w:t>1049.6</w:t>
            </w:r>
          </w:p>
        </w:tc>
      </w:tr>
    </w:tbl>
    <w:p w14:paraId="76588EB1">
      <w:pPr>
        <w:spacing w:before="40" w:line="216" w:lineRule="auto"/>
        <w:ind w:left="7859"/>
        <w:rPr>
          <w:rFonts w:ascii="宋体" w:hAnsi="宋体" w:eastAsia="宋体" w:cs="宋体"/>
          <w:sz w:val="20"/>
          <w:szCs w:val="20"/>
        </w:rPr>
      </w:pPr>
      <w:r>
        <w:rPr>
          <w:rFonts w:ascii="宋体" w:hAnsi="宋体" w:eastAsia="宋体" w:cs="宋体"/>
          <w:spacing w:val="-5"/>
          <w:sz w:val="20"/>
          <w:szCs w:val="20"/>
        </w:rPr>
        <w:t>(GBD,2021)</w:t>
      </w:r>
    </w:p>
    <w:p w14:paraId="1E585967">
      <w:pPr>
        <w:spacing w:line="248" w:lineRule="auto"/>
        <w:rPr>
          <w:rFonts w:ascii="Arial"/>
          <w:sz w:val="21"/>
        </w:rPr>
      </w:pPr>
    </w:p>
    <w:p w14:paraId="1CE429BC">
      <w:pPr>
        <w:pStyle w:val="2"/>
        <w:spacing w:before="79" w:line="221" w:lineRule="auto"/>
        <w:ind w:left="449"/>
        <w:rPr>
          <w:sz w:val="24"/>
          <w:szCs w:val="24"/>
        </w:rPr>
      </w:pPr>
      <w:r>
        <w:rPr>
          <w:sz w:val="24"/>
          <w:szCs w:val="24"/>
        </w:rPr>
        <w:t>(二)人群分布</w:t>
      </w:r>
    </w:p>
    <w:p w14:paraId="6184FDB6">
      <w:pPr>
        <w:spacing w:before="101" w:line="343" w:lineRule="auto"/>
        <w:ind w:left="19" w:right="615" w:firstLine="389"/>
        <w:jc w:val="both"/>
        <w:rPr>
          <w:rFonts w:ascii="宋体" w:hAnsi="宋体" w:eastAsia="宋体" w:cs="宋体"/>
          <w:sz w:val="20"/>
          <w:szCs w:val="20"/>
        </w:rPr>
      </w:pPr>
      <w:r>
        <w:rPr>
          <w:rFonts w:ascii="宋体" w:hAnsi="宋体" w:eastAsia="宋体" w:cs="宋体"/>
          <w:spacing w:val="12"/>
          <w:sz w:val="20"/>
          <w:szCs w:val="20"/>
        </w:rPr>
        <w:t>不同年龄人群伤害的发生率与死亡率有着各自不同的分布特点。2019年全球不同年龄组人群</w:t>
      </w:r>
      <w:r>
        <w:rPr>
          <w:rFonts w:ascii="宋体" w:hAnsi="宋体" w:eastAsia="宋体" w:cs="宋体"/>
          <w:spacing w:val="13"/>
          <w:sz w:val="20"/>
          <w:szCs w:val="20"/>
        </w:rPr>
        <w:t xml:space="preserve"> </w:t>
      </w:r>
      <w:r>
        <w:rPr>
          <w:rFonts w:ascii="宋体" w:hAnsi="宋体" w:eastAsia="宋体" w:cs="宋体"/>
          <w:spacing w:val="12"/>
          <w:sz w:val="20"/>
          <w:szCs w:val="20"/>
        </w:rPr>
        <w:t>的主要死因顺位显示，对于15～29岁的人来说，前</w:t>
      </w:r>
      <w:r>
        <w:rPr>
          <w:rFonts w:ascii="宋体" w:hAnsi="宋体" w:eastAsia="宋体" w:cs="宋体"/>
          <w:spacing w:val="11"/>
          <w:sz w:val="20"/>
          <w:szCs w:val="20"/>
        </w:rPr>
        <w:t>四大死因中有三项与伤害有关，即道路交通伤</w:t>
      </w:r>
      <w:r>
        <w:rPr>
          <w:rFonts w:ascii="宋体" w:hAnsi="宋体" w:eastAsia="宋体" w:cs="宋体"/>
          <w:sz w:val="20"/>
          <w:szCs w:val="20"/>
        </w:rPr>
        <w:t xml:space="preserve"> </w:t>
      </w:r>
      <w:r>
        <w:rPr>
          <w:rFonts w:ascii="宋体" w:hAnsi="宋体" w:eastAsia="宋体" w:cs="宋体"/>
          <w:spacing w:val="9"/>
          <w:sz w:val="20"/>
          <w:szCs w:val="20"/>
        </w:rPr>
        <w:t>害、人际暴力和自伤(表15-3)。道路交通伤害是5～14岁儿</w:t>
      </w:r>
      <w:r>
        <w:rPr>
          <w:rFonts w:ascii="宋体" w:hAnsi="宋体" w:eastAsia="宋体" w:cs="宋体"/>
          <w:spacing w:val="8"/>
          <w:sz w:val="20"/>
          <w:szCs w:val="20"/>
        </w:rPr>
        <w:t>童的第二大死亡原因，溺水是第六大死</w:t>
      </w:r>
      <w:r>
        <w:rPr>
          <w:rFonts w:ascii="宋体" w:hAnsi="宋体" w:eastAsia="宋体" w:cs="宋体"/>
          <w:sz w:val="20"/>
          <w:szCs w:val="20"/>
        </w:rPr>
        <w:t xml:space="preserve"> </w:t>
      </w:r>
      <w:r>
        <w:rPr>
          <w:rFonts w:ascii="宋体" w:hAnsi="宋体" w:eastAsia="宋体" w:cs="宋体"/>
          <w:spacing w:val="8"/>
          <w:sz w:val="20"/>
          <w:szCs w:val="20"/>
        </w:rPr>
        <w:t>亡原因。2019年跌倒导致超过68.4万人死亡，这是一个需要得到充分重视的公共卫生问题。</w:t>
      </w:r>
    </w:p>
    <w:p w14:paraId="1779A42D">
      <w:pPr>
        <w:spacing w:before="165" w:line="219" w:lineRule="auto"/>
        <w:ind w:left="2139"/>
        <w:rPr>
          <w:rFonts w:ascii="宋体" w:hAnsi="宋体" w:eastAsia="宋体" w:cs="宋体"/>
          <w:sz w:val="19"/>
          <w:szCs w:val="19"/>
        </w:rPr>
      </w:pPr>
      <w:r>
        <w:rPr>
          <w:rFonts w:ascii="宋体" w:hAnsi="宋体" w:eastAsia="宋体" w:cs="宋体"/>
          <w:sz w:val="19"/>
          <w:szCs w:val="19"/>
        </w:rPr>
        <w:t>表15-32019年全球不同年龄组人群主要</w:t>
      </w:r>
      <w:r>
        <w:rPr>
          <w:rFonts w:ascii="宋体" w:hAnsi="宋体" w:eastAsia="宋体" w:cs="宋体"/>
          <w:spacing w:val="-1"/>
          <w:sz w:val="19"/>
          <w:szCs w:val="19"/>
        </w:rPr>
        <w:t>死因中的伤害顺位</w:t>
      </w:r>
    </w:p>
    <w:p w14:paraId="571B1939">
      <w:pPr>
        <w:spacing w:line="22" w:lineRule="exact"/>
      </w:pPr>
    </w:p>
    <w:tbl>
      <w:tblPr>
        <w:tblStyle w:val="5"/>
        <w:tblW w:w="8969" w:type="dxa"/>
        <w:tblInd w:w="29"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0" w:type="dxa"/>
          <w:left w:w="0" w:type="dxa"/>
          <w:bottom w:w="0" w:type="dxa"/>
          <w:right w:w="0" w:type="dxa"/>
        </w:tblCellMar>
      </w:tblPr>
      <w:tblGrid>
        <w:gridCol w:w="1470"/>
        <w:gridCol w:w="979"/>
        <w:gridCol w:w="910"/>
        <w:gridCol w:w="930"/>
        <w:gridCol w:w="960"/>
        <w:gridCol w:w="880"/>
        <w:gridCol w:w="950"/>
        <w:gridCol w:w="930"/>
        <w:gridCol w:w="960"/>
      </w:tblGrid>
      <w:tr w14:paraId="18C3A888">
        <w:trPr>
          <w:trHeight w:val="633" w:hRule="atLeast"/>
        </w:trPr>
        <w:tc>
          <w:tcPr>
            <w:tcW w:w="1470" w:type="dxa"/>
            <w:tcBorders>
              <w:top w:val="single" w:color="000000" w:sz="4" w:space="0"/>
              <w:bottom w:val="single" w:color="000000" w:sz="4" w:space="0"/>
            </w:tcBorders>
            <w:shd w:val="clear" w:color="auto" w:fill="D7DDE7"/>
            <w:vAlign w:val="top"/>
          </w:tcPr>
          <w:p w14:paraId="72339CB6">
            <w:pPr>
              <w:pStyle w:val="6"/>
              <w:spacing w:before="223" w:line="220" w:lineRule="auto"/>
              <w:ind w:left="119"/>
              <w:rPr>
                <w:sz w:val="19"/>
                <w:szCs w:val="19"/>
              </w:rPr>
            </w:pPr>
            <w:r>
              <w:rPr>
                <w:spacing w:val="-2"/>
                <w:sz w:val="19"/>
                <w:szCs w:val="19"/>
              </w:rPr>
              <w:t>死因顺位</w:t>
            </w:r>
          </w:p>
        </w:tc>
        <w:tc>
          <w:tcPr>
            <w:tcW w:w="979" w:type="dxa"/>
            <w:tcBorders>
              <w:top w:val="single" w:color="000000" w:sz="4" w:space="0"/>
              <w:bottom w:val="single" w:color="000000" w:sz="4" w:space="0"/>
            </w:tcBorders>
            <w:shd w:val="clear" w:color="auto" w:fill="CED2D2"/>
            <w:vAlign w:val="top"/>
          </w:tcPr>
          <w:p w14:paraId="0A9410DA">
            <w:pPr>
              <w:pStyle w:val="6"/>
              <w:spacing w:before="112" w:line="226" w:lineRule="auto"/>
              <w:ind w:left="159" w:right="260" w:firstLine="200"/>
              <w:rPr>
                <w:sz w:val="19"/>
                <w:szCs w:val="19"/>
              </w:rPr>
            </w:pPr>
            <w:r>
              <w:rPr>
                <w:spacing w:val="25"/>
                <w:w w:val="104"/>
                <w:sz w:val="19"/>
                <w:szCs w:val="19"/>
              </w:rPr>
              <w:t>1~</w:t>
            </w:r>
            <w:r>
              <w:rPr>
                <w:sz w:val="19"/>
                <w:szCs w:val="19"/>
              </w:rPr>
              <w:t xml:space="preserve">  </w:t>
            </w:r>
            <w:r>
              <w:rPr>
                <w:spacing w:val="-3"/>
                <w:sz w:val="19"/>
                <w:szCs w:val="19"/>
              </w:rPr>
              <w:t>59月龄</w:t>
            </w:r>
          </w:p>
        </w:tc>
        <w:tc>
          <w:tcPr>
            <w:tcW w:w="910" w:type="dxa"/>
            <w:tcBorders>
              <w:top w:val="single" w:color="000000" w:sz="4" w:space="0"/>
              <w:bottom w:val="single" w:color="000000" w:sz="4" w:space="0"/>
            </w:tcBorders>
            <w:shd w:val="clear" w:color="auto" w:fill="CED1CF"/>
            <w:vAlign w:val="top"/>
          </w:tcPr>
          <w:p w14:paraId="4754519A">
            <w:pPr>
              <w:pStyle w:val="6"/>
              <w:spacing w:before="102" w:line="238" w:lineRule="auto"/>
              <w:ind w:left="211" w:right="292"/>
              <w:rPr>
                <w:sz w:val="19"/>
                <w:szCs w:val="19"/>
              </w:rPr>
            </w:pPr>
            <w:r>
              <w:rPr>
                <w:spacing w:val="17"/>
                <w:w w:val="118"/>
                <w:sz w:val="19"/>
                <w:szCs w:val="19"/>
              </w:rPr>
              <w:t>5~</w:t>
            </w:r>
            <w:r>
              <w:rPr>
                <w:sz w:val="19"/>
                <w:szCs w:val="19"/>
              </w:rPr>
              <w:t xml:space="preserve">  </w:t>
            </w:r>
            <w:r>
              <w:rPr>
                <w:spacing w:val="8"/>
                <w:sz w:val="19"/>
                <w:szCs w:val="19"/>
              </w:rPr>
              <w:t>14岁</w:t>
            </w:r>
          </w:p>
        </w:tc>
        <w:tc>
          <w:tcPr>
            <w:tcW w:w="930" w:type="dxa"/>
            <w:tcBorders>
              <w:top w:val="single" w:color="000000" w:sz="4" w:space="0"/>
              <w:bottom w:val="single" w:color="000000" w:sz="4" w:space="0"/>
            </w:tcBorders>
            <w:shd w:val="clear" w:color="auto" w:fill="CBCDCA"/>
            <w:vAlign w:val="top"/>
          </w:tcPr>
          <w:p w14:paraId="58C5B473">
            <w:pPr>
              <w:pStyle w:val="6"/>
              <w:spacing w:before="72" w:line="267" w:lineRule="auto"/>
              <w:ind w:left="230" w:right="293"/>
              <w:rPr>
                <w:sz w:val="19"/>
                <w:szCs w:val="19"/>
              </w:rPr>
            </w:pPr>
            <w:r>
              <w:rPr>
                <w:spacing w:val="-8"/>
                <w:sz w:val="19"/>
                <w:szCs w:val="19"/>
              </w:rPr>
              <w:t>15~</w:t>
            </w:r>
            <w:r>
              <w:rPr>
                <w:sz w:val="19"/>
                <w:szCs w:val="19"/>
              </w:rPr>
              <w:t xml:space="preserve">  </w:t>
            </w:r>
            <w:r>
              <w:rPr>
                <w:spacing w:val="8"/>
                <w:sz w:val="19"/>
                <w:szCs w:val="19"/>
              </w:rPr>
              <w:t>29岁</w:t>
            </w:r>
          </w:p>
        </w:tc>
        <w:tc>
          <w:tcPr>
            <w:tcW w:w="960" w:type="dxa"/>
            <w:tcBorders>
              <w:top w:val="single" w:color="000000" w:sz="4" w:space="0"/>
              <w:bottom w:val="single" w:color="000000" w:sz="4" w:space="0"/>
            </w:tcBorders>
            <w:shd w:val="clear" w:color="auto" w:fill="CBCCC8"/>
            <w:vAlign w:val="top"/>
          </w:tcPr>
          <w:p w14:paraId="0E79DD92">
            <w:pPr>
              <w:pStyle w:val="6"/>
              <w:spacing w:before="102" w:line="253" w:lineRule="auto"/>
              <w:ind w:left="260" w:right="292"/>
              <w:rPr>
                <w:sz w:val="19"/>
                <w:szCs w:val="19"/>
              </w:rPr>
            </w:pPr>
            <w:r>
              <w:rPr>
                <w:spacing w:val="-4"/>
                <w:sz w:val="19"/>
                <w:szCs w:val="19"/>
              </w:rPr>
              <w:t>30~</w:t>
            </w:r>
            <w:r>
              <w:rPr>
                <w:sz w:val="19"/>
                <w:szCs w:val="19"/>
              </w:rPr>
              <w:t xml:space="preserve">  </w:t>
            </w:r>
            <w:r>
              <w:rPr>
                <w:spacing w:val="8"/>
                <w:sz w:val="19"/>
                <w:szCs w:val="19"/>
              </w:rPr>
              <w:t>49岁</w:t>
            </w:r>
          </w:p>
        </w:tc>
        <w:tc>
          <w:tcPr>
            <w:tcW w:w="880" w:type="dxa"/>
            <w:tcBorders>
              <w:top w:val="single" w:color="000000" w:sz="4" w:space="0"/>
              <w:bottom w:val="single" w:color="000000" w:sz="4" w:space="0"/>
            </w:tcBorders>
            <w:shd w:val="clear" w:color="auto" w:fill="C4C5C0"/>
            <w:vAlign w:val="top"/>
          </w:tcPr>
          <w:p w14:paraId="7D37CB23">
            <w:pPr>
              <w:pStyle w:val="6"/>
              <w:spacing w:before="102" w:line="253" w:lineRule="auto"/>
              <w:ind w:left="220" w:right="252"/>
              <w:rPr>
                <w:sz w:val="19"/>
                <w:szCs w:val="19"/>
              </w:rPr>
            </w:pPr>
            <w:r>
              <w:rPr>
                <w:spacing w:val="22"/>
                <w:sz w:val="19"/>
                <w:szCs w:val="19"/>
              </w:rPr>
              <w:t>50~</w:t>
            </w:r>
            <w:r>
              <w:rPr>
                <w:spacing w:val="1"/>
                <w:sz w:val="19"/>
                <w:szCs w:val="19"/>
              </w:rPr>
              <w:t xml:space="preserve"> </w:t>
            </w:r>
            <w:r>
              <w:rPr>
                <w:spacing w:val="8"/>
                <w:sz w:val="19"/>
                <w:szCs w:val="19"/>
              </w:rPr>
              <w:t>59岁</w:t>
            </w:r>
          </w:p>
        </w:tc>
        <w:tc>
          <w:tcPr>
            <w:tcW w:w="950" w:type="dxa"/>
            <w:tcBorders>
              <w:top w:val="single" w:color="000000" w:sz="4" w:space="0"/>
              <w:bottom w:val="single" w:color="000000" w:sz="4" w:space="0"/>
            </w:tcBorders>
            <w:shd w:val="clear" w:color="auto" w:fill="CCCDC8"/>
            <w:vAlign w:val="top"/>
          </w:tcPr>
          <w:p w14:paraId="6AE036D2">
            <w:pPr>
              <w:pStyle w:val="6"/>
              <w:spacing w:before="102" w:line="253" w:lineRule="auto"/>
              <w:ind w:left="240" w:right="302"/>
              <w:rPr>
                <w:sz w:val="19"/>
                <w:szCs w:val="19"/>
              </w:rPr>
            </w:pPr>
            <w:r>
              <w:rPr>
                <w:spacing w:val="-3"/>
                <w:sz w:val="19"/>
                <w:szCs w:val="19"/>
              </w:rPr>
              <w:t>60~</w:t>
            </w:r>
            <w:r>
              <w:rPr>
                <w:sz w:val="19"/>
                <w:szCs w:val="19"/>
              </w:rPr>
              <w:t xml:space="preserve">  </w:t>
            </w:r>
            <w:r>
              <w:rPr>
                <w:spacing w:val="8"/>
                <w:sz w:val="19"/>
                <w:szCs w:val="19"/>
              </w:rPr>
              <w:t>69岁</w:t>
            </w:r>
          </w:p>
        </w:tc>
        <w:tc>
          <w:tcPr>
            <w:tcW w:w="930" w:type="dxa"/>
            <w:tcBorders>
              <w:top w:val="single" w:color="000000" w:sz="4" w:space="0"/>
              <w:bottom w:val="single" w:color="000000" w:sz="4" w:space="0"/>
            </w:tcBorders>
            <w:shd w:val="clear" w:color="auto" w:fill="CCCDC8"/>
            <w:vAlign w:val="top"/>
          </w:tcPr>
          <w:p w14:paraId="5965DB93">
            <w:pPr>
              <w:pStyle w:val="6"/>
              <w:spacing w:before="94" w:line="257" w:lineRule="auto"/>
              <w:ind w:left="240" w:right="228" w:hanging="120"/>
              <w:rPr>
                <w:sz w:val="19"/>
                <w:szCs w:val="19"/>
              </w:rPr>
            </w:pPr>
            <w:r>
              <w:rPr>
                <w:spacing w:val="2"/>
                <w:sz w:val="19"/>
                <w:szCs w:val="19"/>
              </w:rPr>
              <w:t>70岁及</w:t>
            </w:r>
            <w:r>
              <w:rPr>
                <w:spacing w:val="1"/>
                <w:sz w:val="19"/>
                <w:szCs w:val="19"/>
              </w:rPr>
              <w:t xml:space="preserve"> </w:t>
            </w:r>
            <w:r>
              <w:rPr>
                <w:spacing w:val="4"/>
                <w:sz w:val="19"/>
                <w:szCs w:val="19"/>
              </w:rPr>
              <w:t>以上</w:t>
            </w:r>
          </w:p>
        </w:tc>
        <w:tc>
          <w:tcPr>
            <w:tcW w:w="960" w:type="dxa"/>
            <w:tcBorders>
              <w:top w:val="single" w:color="000000" w:sz="4" w:space="0"/>
              <w:bottom w:val="single" w:color="000000" w:sz="4" w:space="0"/>
            </w:tcBorders>
            <w:shd w:val="clear" w:color="auto" w:fill="D0D1CA"/>
            <w:vAlign w:val="top"/>
          </w:tcPr>
          <w:p w14:paraId="70C27944">
            <w:pPr>
              <w:pStyle w:val="6"/>
              <w:spacing w:before="223" w:line="219" w:lineRule="auto"/>
              <w:ind w:left="191"/>
              <w:rPr>
                <w:sz w:val="19"/>
                <w:szCs w:val="19"/>
              </w:rPr>
            </w:pPr>
            <w:r>
              <w:rPr>
                <w:spacing w:val="-2"/>
                <w:sz w:val="19"/>
                <w:szCs w:val="19"/>
              </w:rPr>
              <w:t>全年龄</w:t>
            </w:r>
          </w:p>
        </w:tc>
      </w:tr>
      <w:tr w14:paraId="706CEEFB">
        <w:trPr>
          <w:trHeight w:val="389" w:hRule="atLeast"/>
        </w:trPr>
        <w:tc>
          <w:tcPr>
            <w:tcW w:w="1470" w:type="dxa"/>
            <w:tcBorders>
              <w:top w:val="single" w:color="000000" w:sz="4" w:space="0"/>
            </w:tcBorders>
            <w:vAlign w:val="top"/>
          </w:tcPr>
          <w:p w14:paraId="0DB6B87E">
            <w:pPr>
              <w:pStyle w:val="6"/>
              <w:spacing w:before="99" w:line="219" w:lineRule="auto"/>
              <w:ind w:left="119"/>
              <w:rPr>
                <w:sz w:val="19"/>
                <w:szCs w:val="19"/>
              </w:rPr>
            </w:pPr>
            <w:r>
              <w:rPr>
                <w:spacing w:val="-1"/>
                <w:sz w:val="19"/>
                <w:szCs w:val="19"/>
              </w:rPr>
              <w:t>道路交通伤害</w:t>
            </w:r>
          </w:p>
        </w:tc>
        <w:tc>
          <w:tcPr>
            <w:tcW w:w="979" w:type="dxa"/>
            <w:tcBorders>
              <w:top w:val="single" w:color="000000" w:sz="4" w:space="0"/>
            </w:tcBorders>
            <w:vAlign w:val="top"/>
          </w:tcPr>
          <w:p w14:paraId="1E274989">
            <w:pPr>
              <w:rPr>
                <w:rFonts w:ascii="Arial"/>
                <w:sz w:val="21"/>
              </w:rPr>
            </w:pPr>
          </w:p>
        </w:tc>
        <w:tc>
          <w:tcPr>
            <w:tcW w:w="910" w:type="dxa"/>
            <w:tcBorders>
              <w:top w:val="single" w:color="000000" w:sz="4" w:space="0"/>
            </w:tcBorders>
            <w:vAlign w:val="top"/>
          </w:tcPr>
          <w:p w14:paraId="2D09BA43">
            <w:pPr>
              <w:pStyle w:val="6"/>
              <w:spacing w:before="118" w:line="241" w:lineRule="auto"/>
              <w:ind w:left="401"/>
              <w:rPr>
                <w:sz w:val="19"/>
                <w:szCs w:val="19"/>
              </w:rPr>
            </w:pPr>
            <w:r>
              <w:rPr>
                <w:sz w:val="19"/>
                <w:szCs w:val="19"/>
              </w:rPr>
              <w:t>2</w:t>
            </w:r>
          </w:p>
        </w:tc>
        <w:tc>
          <w:tcPr>
            <w:tcW w:w="930" w:type="dxa"/>
            <w:tcBorders>
              <w:top w:val="single" w:color="000000" w:sz="4" w:space="0"/>
            </w:tcBorders>
            <w:vAlign w:val="top"/>
          </w:tcPr>
          <w:p w14:paraId="612844BA">
            <w:pPr>
              <w:pStyle w:val="6"/>
              <w:spacing w:before="118" w:line="241" w:lineRule="auto"/>
              <w:ind w:left="411"/>
              <w:rPr>
                <w:sz w:val="19"/>
                <w:szCs w:val="19"/>
              </w:rPr>
            </w:pPr>
            <w:r>
              <w:rPr>
                <w:sz w:val="19"/>
                <w:szCs w:val="19"/>
              </w:rPr>
              <w:t>1</w:t>
            </w:r>
          </w:p>
        </w:tc>
        <w:tc>
          <w:tcPr>
            <w:tcW w:w="960" w:type="dxa"/>
            <w:tcBorders>
              <w:top w:val="single" w:color="000000" w:sz="4" w:space="0"/>
            </w:tcBorders>
            <w:vAlign w:val="top"/>
          </w:tcPr>
          <w:p w14:paraId="56BA3D94">
            <w:pPr>
              <w:pStyle w:val="6"/>
              <w:spacing w:before="118"/>
              <w:ind w:left="431"/>
              <w:rPr>
                <w:sz w:val="19"/>
                <w:szCs w:val="19"/>
              </w:rPr>
            </w:pPr>
            <w:r>
              <w:rPr>
                <w:sz w:val="19"/>
                <w:szCs w:val="19"/>
              </w:rPr>
              <w:t>3</w:t>
            </w:r>
          </w:p>
        </w:tc>
        <w:tc>
          <w:tcPr>
            <w:tcW w:w="880" w:type="dxa"/>
            <w:tcBorders>
              <w:top w:val="single" w:color="000000" w:sz="4" w:space="0"/>
            </w:tcBorders>
            <w:vAlign w:val="top"/>
          </w:tcPr>
          <w:p w14:paraId="105DC8A5">
            <w:pPr>
              <w:pStyle w:val="6"/>
              <w:spacing w:before="118"/>
              <w:ind w:left="391"/>
              <w:rPr>
                <w:sz w:val="19"/>
                <w:szCs w:val="19"/>
              </w:rPr>
            </w:pPr>
            <w:r>
              <w:rPr>
                <w:sz w:val="19"/>
                <w:szCs w:val="19"/>
              </w:rPr>
              <w:t>7</w:t>
            </w:r>
          </w:p>
        </w:tc>
        <w:tc>
          <w:tcPr>
            <w:tcW w:w="950" w:type="dxa"/>
            <w:tcBorders>
              <w:top w:val="single" w:color="000000" w:sz="4" w:space="0"/>
            </w:tcBorders>
            <w:vAlign w:val="top"/>
          </w:tcPr>
          <w:p w14:paraId="45770AE6">
            <w:pPr>
              <w:pStyle w:val="6"/>
              <w:spacing w:before="118" w:line="241" w:lineRule="auto"/>
              <w:ind w:left="381"/>
              <w:rPr>
                <w:sz w:val="19"/>
                <w:szCs w:val="19"/>
              </w:rPr>
            </w:pPr>
            <w:r>
              <w:rPr>
                <w:spacing w:val="-6"/>
                <w:sz w:val="19"/>
                <w:szCs w:val="19"/>
              </w:rPr>
              <w:t>14</w:t>
            </w:r>
          </w:p>
        </w:tc>
        <w:tc>
          <w:tcPr>
            <w:tcW w:w="930" w:type="dxa"/>
            <w:tcBorders>
              <w:top w:val="single" w:color="000000" w:sz="4" w:space="0"/>
            </w:tcBorders>
            <w:vAlign w:val="top"/>
          </w:tcPr>
          <w:p w14:paraId="66725E0D">
            <w:pPr>
              <w:pStyle w:val="6"/>
              <w:spacing w:before="118" w:line="241" w:lineRule="auto"/>
              <w:ind w:left="370"/>
              <w:rPr>
                <w:sz w:val="19"/>
                <w:szCs w:val="19"/>
              </w:rPr>
            </w:pPr>
            <w:r>
              <w:rPr>
                <w:spacing w:val="-3"/>
                <w:sz w:val="19"/>
                <w:szCs w:val="19"/>
              </w:rPr>
              <w:t>24</w:t>
            </w:r>
          </w:p>
        </w:tc>
        <w:tc>
          <w:tcPr>
            <w:tcW w:w="960" w:type="dxa"/>
            <w:tcBorders>
              <w:top w:val="single" w:color="000000" w:sz="4" w:space="0"/>
            </w:tcBorders>
            <w:vAlign w:val="top"/>
          </w:tcPr>
          <w:p w14:paraId="2AB930C5">
            <w:pPr>
              <w:pStyle w:val="6"/>
              <w:spacing w:before="118" w:line="241" w:lineRule="auto"/>
              <w:ind w:left="380"/>
              <w:rPr>
                <w:sz w:val="19"/>
                <w:szCs w:val="19"/>
              </w:rPr>
            </w:pPr>
            <w:r>
              <w:rPr>
                <w:spacing w:val="-6"/>
                <w:sz w:val="19"/>
                <w:szCs w:val="19"/>
              </w:rPr>
              <w:t>12</w:t>
            </w:r>
          </w:p>
        </w:tc>
      </w:tr>
      <w:tr w14:paraId="4133ED62">
        <w:trPr>
          <w:trHeight w:val="399" w:hRule="atLeast"/>
        </w:trPr>
        <w:tc>
          <w:tcPr>
            <w:tcW w:w="1470" w:type="dxa"/>
            <w:vAlign w:val="top"/>
          </w:tcPr>
          <w:p w14:paraId="1E33079C">
            <w:pPr>
              <w:pStyle w:val="6"/>
              <w:spacing w:before="111" w:line="220" w:lineRule="auto"/>
              <w:ind w:left="119"/>
              <w:rPr>
                <w:sz w:val="19"/>
                <w:szCs w:val="19"/>
              </w:rPr>
            </w:pPr>
            <w:r>
              <w:rPr>
                <w:spacing w:val="6"/>
                <w:sz w:val="19"/>
                <w:szCs w:val="19"/>
              </w:rPr>
              <w:t>跌倒</w:t>
            </w:r>
          </w:p>
        </w:tc>
        <w:tc>
          <w:tcPr>
            <w:tcW w:w="979" w:type="dxa"/>
            <w:vAlign w:val="top"/>
          </w:tcPr>
          <w:p w14:paraId="664B8BE7">
            <w:pPr>
              <w:pStyle w:val="6"/>
              <w:spacing w:before="129"/>
              <w:ind w:left="389"/>
              <w:rPr>
                <w:sz w:val="19"/>
                <w:szCs w:val="19"/>
              </w:rPr>
            </w:pPr>
            <w:r>
              <w:rPr>
                <w:spacing w:val="-6"/>
                <w:sz w:val="19"/>
                <w:szCs w:val="19"/>
              </w:rPr>
              <w:t>19</w:t>
            </w:r>
          </w:p>
        </w:tc>
        <w:tc>
          <w:tcPr>
            <w:tcW w:w="910" w:type="dxa"/>
            <w:vAlign w:val="top"/>
          </w:tcPr>
          <w:p w14:paraId="2B84F0DA">
            <w:pPr>
              <w:pStyle w:val="6"/>
              <w:spacing w:before="129" w:line="241" w:lineRule="auto"/>
              <w:ind w:left="360"/>
              <w:rPr>
                <w:sz w:val="19"/>
                <w:szCs w:val="19"/>
              </w:rPr>
            </w:pPr>
            <w:r>
              <w:rPr>
                <w:spacing w:val="-6"/>
                <w:sz w:val="19"/>
                <w:szCs w:val="19"/>
              </w:rPr>
              <w:t>14</w:t>
            </w:r>
          </w:p>
        </w:tc>
        <w:tc>
          <w:tcPr>
            <w:tcW w:w="930" w:type="dxa"/>
            <w:vAlign w:val="top"/>
          </w:tcPr>
          <w:p w14:paraId="27EB5431">
            <w:pPr>
              <w:pStyle w:val="6"/>
              <w:spacing w:before="129"/>
              <w:ind w:left="371"/>
              <w:rPr>
                <w:sz w:val="19"/>
                <w:szCs w:val="19"/>
              </w:rPr>
            </w:pPr>
            <w:r>
              <w:rPr>
                <w:spacing w:val="-6"/>
                <w:sz w:val="19"/>
                <w:szCs w:val="19"/>
              </w:rPr>
              <w:t>15</w:t>
            </w:r>
          </w:p>
        </w:tc>
        <w:tc>
          <w:tcPr>
            <w:tcW w:w="960" w:type="dxa"/>
            <w:vAlign w:val="top"/>
          </w:tcPr>
          <w:p w14:paraId="7F524460">
            <w:pPr>
              <w:pStyle w:val="6"/>
              <w:spacing w:before="129" w:line="241" w:lineRule="auto"/>
              <w:ind w:left="381"/>
              <w:rPr>
                <w:sz w:val="19"/>
                <w:szCs w:val="19"/>
              </w:rPr>
            </w:pPr>
            <w:r>
              <w:rPr>
                <w:spacing w:val="-3"/>
                <w:sz w:val="19"/>
                <w:szCs w:val="19"/>
              </w:rPr>
              <w:t>21</w:t>
            </w:r>
          </w:p>
        </w:tc>
        <w:tc>
          <w:tcPr>
            <w:tcW w:w="880" w:type="dxa"/>
            <w:vAlign w:val="top"/>
          </w:tcPr>
          <w:p w14:paraId="3A7AD488">
            <w:pPr>
              <w:pStyle w:val="6"/>
              <w:spacing w:before="129"/>
              <w:ind w:left="341"/>
              <w:rPr>
                <w:sz w:val="19"/>
                <w:szCs w:val="19"/>
              </w:rPr>
            </w:pPr>
            <w:r>
              <w:rPr>
                <w:spacing w:val="-3"/>
                <w:sz w:val="19"/>
                <w:szCs w:val="19"/>
              </w:rPr>
              <w:t>23</w:t>
            </w:r>
          </w:p>
        </w:tc>
        <w:tc>
          <w:tcPr>
            <w:tcW w:w="950" w:type="dxa"/>
            <w:shd w:val="clear" w:color="auto" w:fill="E4E4E7"/>
            <w:vAlign w:val="top"/>
          </w:tcPr>
          <w:p w14:paraId="1CE981AE">
            <w:pPr>
              <w:pStyle w:val="6"/>
              <w:spacing w:before="129" w:line="241" w:lineRule="auto"/>
              <w:ind w:left="381"/>
              <w:rPr>
                <w:sz w:val="19"/>
                <w:szCs w:val="19"/>
              </w:rPr>
            </w:pPr>
            <w:r>
              <w:rPr>
                <w:spacing w:val="-3"/>
                <w:sz w:val="19"/>
                <w:szCs w:val="19"/>
              </w:rPr>
              <w:t>21</w:t>
            </w:r>
          </w:p>
        </w:tc>
        <w:tc>
          <w:tcPr>
            <w:tcW w:w="930" w:type="dxa"/>
            <w:shd w:val="clear" w:color="auto" w:fill="E7E7E8"/>
            <w:vAlign w:val="top"/>
          </w:tcPr>
          <w:p w14:paraId="54A2B040">
            <w:pPr>
              <w:pStyle w:val="6"/>
              <w:spacing w:before="129" w:line="241" w:lineRule="auto"/>
              <w:ind w:left="370"/>
              <w:rPr>
                <w:sz w:val="19"/>
                <w:szCs w:val="19"/>
              </w:rPr>
            </w:pPr>
            <w:r>
              <w:rPr>
                <w:spacing w:val="-6"/>
                <w:sz w:val="19"/>
                <w:szCs w:val="19"/>
              </w:rPr>
              <w:t>12</w:t>
            </w:r>
          </w:p>
        </w:tc>
        <w:tc>
          <w:tcPr>
            <w:tcW w:w="960" w:type="dxa"/>
            <w:shd w:val="clear" w:color="auto" w:fill="E5E4E4"/>
            <w:vAlign w:val="top"/>
          </w:tcPr>
          <w:p w14:paraId="249CDC64">
            <w:pPr>
              <w:pStyle w:val="6"/>
              <w:spacing w:before="129"/>
              <w:ind w:left="380"/>
              <w:rPr>
                <w:sz w:val="19"/>
                <w:szCs w:val="19"/>
              </w:rPr>
            </w:pPr>
            <w:r>
              <w:rPr>
                <w:spacing w:val="-6"/>
                <w:sz w:val="19"/>
                <w:szCs w:val="19"/>
              </w:rPr>
              <w:t>18</w:t>
            </w:r>
          </w:p>
        </w:tc>
      </w:tr>
      <w:tr w14:paraId="3D4218E3">
        <w:trPr>
          <w:trHeight w:val="438" w:hRule="atLeast"/>
        </w:trPr>
        <w:tc>
          <w:tcPr>
            <w:tcW w:w="1470" w:type="dxa"/>
            <w:vAlign w:val="top"/>
          </w:tcPr>
          <w:p w14:paraId="716C0EDA">
            <w:pPr>
              <w:pStyle w:val="6"/>
              <w:spacing w:before="131" w:line="219" w:lineRule="auto"/>
              <w:ind w:left="119"/>
              <w:rPr>
                <w:sz w:val="19"/>
                <w:szCs w:val="19"/>
              </w:rPr>
            </w:pPr>
            <w:r>
              <w:rPr>
                <w:spacing w:val="-3"/>
                <w:sz w:val="19"/>
                <w:szCs w:val="19"/>
              </w:rPr>
              <w:t>溺水</w:t>
            </w:r>
          </w:p>
        </w:tc>
        <w:tc>
          <w:tcPr>
            <w:tcW w:w="979" w:type="dxa"/>
            <w:vAlign w:val="top"/>
          </w:tcPr>
          <w:p w14:paraId="5E42097C">
            <w:pPr>
              <w:pStyle w:val="6"/>
              <w:spacing w:before="150"/>
              <w:ind w:left="389"/>
              <w:rPr>
                <w:sz w:val="19"/>
                <w:szCs w:val="19"/>
              </w:rPr>
            </w:pPr>
            <w:r>
              <w:rPr>
                <w:spacing w:val="-6"/>
                <w:sz w:val="19"/>
                <w:szCs w:val="19"/>
              </w:rPr>
              <w:t>13</w:t>
            </w:r>
          </w:p>
        </w:tc>
        <w:tc>
          <w:tcPr>
            <w:tcW w:w="910" w:type="dxa"/>
            <w:vAlign w:val="top"/>
          </w:tcPr>
          <w:p w14:paraId="02A984C7">
            <w:pPr>
              <w:pStyle w:val="6"/>
              <w:spacing w:before="150"/>
              <w:ind w:left="401"/>
              <w:rPr>
                <w:sz w:val="19"/>
                <w:szCs w:val="19"/>
              </w:rPr>
            </w:pPr>
            <w:r>
              <w:rPr>
                <w:sz w:val="19"/>
                <w:szCs w:val="19"/>
              </w:rPr>
              <w:t>6</w:t>
            </w:r>
          </w:p>
        </w:tc>
        <w:tc>
          <w:tcPr>
            <w:tcW w:w="930" w:type="dxa"/>
            <w:vAlign w:val="top"/>
          </w:tcPr>
          <w:p w14:paraId="638BEADC">
            <w:pPr>
              <w:pStyle w:val="6"/>
              <w:spacing w:before="150" w:line="241" w:lineRule="auto"/>
              <w:ind w:left="371"/>
              <w:rPr>
                <w:sz w:val="19"/>
                <w:szCs w:val="19"/>
              </w:rPr>
            </w:pPr>
            <w:r>
              <w:rPr>
                <w:spacing w:val="-6"/>
                <w:sz w:val="19"/>
                <w:szCs w:val="19"/>
              </w:rPr>
              <w:t>12</w:t>
            </w:r>
          </w:p>
        </w:tc>
        <w:tc>
          <w:tcPr>
            <w:tcW w:w="960" w:type="dxa"/>
            <w:vAlign w:val="top"/>
          </w:tcPr>
          <w:p w14:paraId="4148D840">
            <w:pPr>
              <w:rPr>
                <w:rFonts w:ascii="Arial"/>
                <w:sz w:val="21"/>
              </w:rPr>
            </w:pPr>
          </w:p>
        </w:tc>
        <w:tc>
          <w:tcPr>
            <w:tcW w:w="880" w:type="dxa"/>
            <w:vAlign w:val="top"/>
          </w:tcPr>
          <w:p w14:paraId="6E511D44">
            <w:pPr>
              <w:rPr>
                <w:rFonts w:ascii="Arial"/>
                <w:sz w:val="21"/>
              </w:rPr>
            </w:pPr>
          </w:p>
        </w:tc>
        <w:tc>
          <w:tcPr>
            <w:tcW w:w="950" w:type="dxa"/>
            <w:vAlign w:val="top"/>
          </w:tcPr>
          <w:p w14:paraId="562AE775">
            <w:pPr>
              <w:rPr>
                <w:rFonts w:ascii="Arial"/>
                <w:sz w:val="21"/>
              </w:rPr>
            </w:pPr>
          </w:p>
        </w:tc>
        <w:tc>
          <w:tcPr>
            <w:tcW w:w="930" w:type="dxa"/>
            <w:vAlign w:val="top"/>
          </w:tcPr>
          <w:p w14:paraId="4261FFC9">
            <w:pPr>
              <w:rPr>
                <w:rFonts w:ascii="Arial"/>
                <w:sz w:val="21"/>
              </w:rPr>
            </w:pPr>
          </w:p>
        </w:tc>
        <w:tc>
          <w:tcPr>
            <w:tcW w:w="960" w:type="dxa"/>
            <w:vAlign w:val="top"/>
          </w:tcPr>
          <w:p w14:paraId="30E1093B">
            <w:pPr>
              <w:rPr>
                <w:rFonts w:ascii="Arial"/>
                <w:sz w:val="21"/>
              </w:rPr>
            </w:pPr>
          </w:p>
        </w:tc>
      </w:tr>
      <w:tr w14:paraId="2B56BE6D">
        <w:trPr>
          <w:trHeight w:val="389" w:hRule="atLeast"/>
        </w:trPr>
        <w:tc>
          <w:tcPr>
            <w:tcW w:w="1470" w:type="dxa"/>
            <w:vAlign w:val="top"/>
          </w:tcPr>
          <w:p w14:paraId="5C2C3843">
            <w:pPr>
              <w:pStyle w:val="6"/>
              <w:spacing w:before="113" w:line="219" w:lineRule="auto"/>
              <w:ind w:left="119"/>
              <w:rPr>
                <w:sz w:val="19"/>
                <w:szCs w:val="19"/>
              </w:rPr>
            </w:pPr>
            <w:r>
              <w:rPr>
                <w:spacing w:val="-2"/>
                <w:sz w:val="19"/>
                <w:szCs w:val="19"/>
              </w:rPr>
              <w:t>火、高温和热源</w:t>
            </w:r>
          </w:p>
        </w:tc>
        <w:tc>
          <w:tcPr>
            <w:tcW w:w="979" w:type="dxa"/>
            <w:vAlign w:val="top"/>
          </w:tcPr>
          <w:p w14:paraId="6AE54A54">
            <w:pPr>
              <w:pStyle w:val="6"/>
              <w:spacing w:before="133" w:line="239" w:lineRule="auto"/>
              <w:ind w:left="389"/>
              <w:rPr>
                <w:sz w:val="19"/>
                <w:szCs w:val="19"/>
              </w:rPr>
            </w:pPr>
            <w:r>
              <w:rPr>
                <w:spacing w:val="-6"/>
                <w:sz w:val="19"/>
                <w:szCs w:val="19"/>
              </w:rPr>
              <w:t>16</w:t>
            </w:r>
          </w:p>
        </w:tc>
        <w:tc>
          <w:tcPr>
            <w:tcW w:w="910" w:type="dxa"/>
            <w:vAlign w:val="top"/>
          </w:tcPr>
          <w:p w14:paraId="5DB0A871">
            <w:pPr>
              <w:pStyle w:val="6"/>
              <w:spacing w:before="133" w:line="239" w:lineRule="auto"/>
              <w:ind w:left="360"/>
              <w:rPr>
                <w:sz w:val="19"/>
                <w:szCs w:val="19"/>
              </w:rPr>
            </w:pPr>
            <w:r>
              <w:rPr>
                <w:spacing w:val="-3"/>
                <w:sz w:val="19"/>
                <w:szCs w:val="19"/>
              </w:rPr>
              <w:t>25</w:t>
            </w:r>
          </w:p>
        </w:tc>
        <w:tc>
          <w:tcPr>
            <w:tcW w:w="930" w:type="dxa"/>
            <w:vAlign w:val="top"/>
          </w:tcPr>
          <w:p w14:paraId="7A5FF344">
            <w:pPr>
              <w:rPr>
                <w:rFonts w:ascii="Arial"/>
                <w:sz w:val="21"/>
              </w:rPr>
            </w:pPr>
          </w:p>
        </w:tc>
        <w:tc>
          <w:tcPr>
            <w:tcW w:w="960" w:type="dxa"/>
            <w:vAlign w:val="top"/>
          </w:tcPr>
          <w:p w14:paraId="4B320781">
            <w:pPr>
              <w:rPr>
                <w:rFonts w:ascii="Arial"/>
                <w:sz w:val="21"/>
              </w:rPr>
            </w:pPr>
          </w:p>
        </w:tc>
        <w:tc>
          <w:tcPr>
            <w:tcW w:w="880" w:type="dxa"/>
            <w:vAlign w:val="top"/>
          </w:tcPr>
          <w:p w14:paraId="40CD5C0A">
            <w:pPr>
              <w:rPr>
                <w:rFonts w:ascii="Arial"/>
                <w:sz w:val="21"/>
              </w:rPr>
            </w:pPr>
          </w:p>
        </w:tc>
        <w:tc>
          <w:tcPr>
            <w:tcW w:w="950" w:type="dxa"/>
            <w:shd w:val="clear" w:color="auto" w:fill="E7E8EE"/>
            <w:vAlign w:val="top"/>
          </w:tcPr>
          <w:p w14:paraId="0925D211">
            <w:pPr>
              <w:rPr>
                <w:rFonts w:ascii="Arial"/>
                <w:sz w:val="21"/>
              </w:rPr>
            </w:pPr>
          </w:p>
        </w:tc>
        <w:tc>
          <w:tcPr>
            <w:tcW w:w="930" w:type="dxa"/>
            <w:vAlign w:val="top"/>
          </w:tcPr>
          <w:p w14:paraId="4B39FAF1">
            <w:pPr>
              <w:rPr>
                <w:rFonts w:ascii="Arial"/>
                <w:sz w:val="21"/>
              </w:rPr>
            </w:pPr>
          </w:p>
        </w:tc>
        <w:tc>
          <w:tcPr>
            <w:tcW w:w="960" w:type="dxa"/>
            <w:shd w:val="clear" w:color="auto" w:fill="E8E7E7"/>
            <w:vAlign w:val="top"/>
          </w:tcPr>
          <w:p w14:paraId="60D160EA">
            <w:pPr>
              <w:rPr>
                <w:rFonts w:ascii="Arial"/>
                <w:sz w:val="21"/>
              </w:rPr>
            </w:pPr>
          </w:p>
        </w:tc>
      </w:tr>
      <w:tr w14:paraId="7D00D203">
        <w:trPr>
          <w:trHeight w:val="389" w:hRule="atLeast"/>
        </w:trPr>
        <w:tc>
          <w:tcPr>
            <w:tcW w:w="1470" w:type="dxa"/>
            <w:vAlign w:val="top"/>
          </w:tcPr>
          <w:p w14:paraId="1929255F">
            <w:pPr>
              <w:pStyle w:val="6"/>
              <w:spacing w:before="114" w:line="219" w:lineRule="auto"/>
              <w:ind w:left="119"/>
              <w:rPr>
                <w:sz w:val="19"/>
                <w:szCs w:val="19"/>
              </w:rPr>
            </w:pPr>
            <w:r>
              <w:rPr>
                <w:spacing w:val="5"/>
                <w:sz w:val="19"/>
                <w:szCs w:val="19"/>
              </w:rPr>
              <w:t>中毒</w:t>
            </w:r>
          </w:p>
        </w:tc>
        <w:tc>
          <w:tcPr>
            <w:tcW w:w="979" w:type="dxa"/>
            <w:vAlign w:val="top"/>
          </w:tcPr>
          <w:p w14:paraId="266121C6">
            <w:pPr>
              <w:pStyle w:val="6"/>
              <w:spacing w:before="134" w:line="238" w:lineRule="auto"/>
              <w:ind w:left="389"/>
              <w:rPr>
                <w:sz w:val="19"/>
                <w:szCs w:val="19"/>
              </w:rPr>
            </w:pPr>
            <w:r>
              <w:rPr>
                <w:spacing w:val="-6"/>
                <w:sz w:val="19"/>
                <w:szCs w:val="19"/>
              </w:rPr>
              <w:t>18</w:t>
            </w:r>
          </w:p>
        </w:tc>
        <w:tc>
          <w:tcPr>
            <w:tcW w:w="910" w:type="dxa"/>
            <w:vAlign w:val="top"/>
          </w:tcPr>
          <w:p w14:paraId="16989C00">
            <w:pPr>
              <w:rPr>
                <w:rFonts w:ascii="Arial"/>
                <w:sz w:val="21"/>
              </w:rPr>
            </w:pPr>
          </w:p>
        </w:tc>
        <w:tc>
          <w:tcPr>
            <w:tcW w:w="930" w:type="dxa"/>
            <w:vAlign w:val="top"/>
          </w:tcPr>
          <w:p w14:paraId="2389621E">
            <w:pPr>
              <w:rPr>
                <w:rFonts w:ascii="Arial"/>
                <w:sz w:val="21"/>
              </w:rPr>
            </w:pPr>
          </w:p>
        </w:tc>
        <w:tc>
          <w:tcPr>
            <w:tcW w:w="960" w:type="dxa"/>
            <w:vAlign w:val="top"/>
          </w:tcPr>
          <w:p w14:paraId="5E05FED4">
            <w:pPr>
              <w:rPr>
                <w:rFonts w:ascii="Arial"/>
                <w:sz w:val="21"/>
              </w:rPr>
            </w:pPr>
          </w:p>
        </w:tc>
        <w:tc>
          <w:tcPr>
            <w:tcW w:w="880" w:type="dxa"/>
            <w:vAlign w:val="top"/>
          </w:tcPr>
          <w:p w14:paraId="758F5D1D">
            <w:pPr>
              <w:rPr>
                <w:rFonts w:ascii="Arial"/>
                <w:sz w:val="21"/>
              </w:rPr>
            </w:pPr>
          </w:p>
        </w:tc>
        <w:tc>
          <w:tcPr>
            <w:tcW w:w="950" w:type="dxa"/>
            <w:vAlign w:val="top"/>
          </w:tcPr>
          <w:p w14:paraId="35E19978">
            <w:pPr>
              <w:rPr>
                <w:rFonts w:ascii="Arial"/>
                <w:sz w:val="21"/>
              </w:rPr>
            </w:pPr>
          </w:p>
        </w:tc>
        <w:tc>
          <w:tcPr>
            <w:tcW w:w="930" w:type="dxa"/>
            <w:vAlign w:val="top"/>
          </w:tcPr>
          <w:p w14:paraId="02C44009">
            <w:pPr>
              <w:rPr>
                <w:rFonts w:ascii="Arial"/>
                <w:sz w:val="21"/>
              </w:rPr>
            </w:pPr>
          </w:p>
        </w:tc>
        <w:tc>
          <w:tcPr>
            <w:tcW w:w="960" w:type="dxa"/>
            <w:vAlign w:val="top"/>
          </w:tcPr>
          <w:p w14:paraId="245CF3B2">
            <w:pPr>
              <w:rPr>
                <w:rFonts w:ascii="Arial"/>
                <w:sz w:val="21"/>
              </w:rPr>
            </w:pPr>
          </w:p>
        </w:tc>
      </w:tr>
      <w:tr w14:paraId="765075DA">
        <w:trPr>
          <w:trHeight w:val="419" w:hRule="atLeast"/>
        </w:trPr>
        <w:tc>
          <w:tcPr>
            <w:tcW w:w="1470" w:type="dxa"/>
            <w:vAlign w:val="top"/>
          </w:tcPr>
          <w:p w14:paraId="1DA812C4">
            <w:pPr>
              <w:pStyle w:val="6"/>
              <w:spacing w:before="125" w:line="219" w:lineRule="auto"/>
              <w:ind w:left="119"/>
              <w:rPr>
                <w:sz w:val="19"/>
                <w:szCs w:val="19"/>
              </w:rPr>
            </w:pPr>
            <w:r>
              <w:rPr>
                <w:spacing w:val="8"/>
                <w:sz w:val="19"/>
                <w:szCs w:val="19"/>
              </w:rPr>
              <w:t>自伤</w:t>
            </w:r>
          </w:p>
        </w:tc>
        <w:tc>
          <w:tcPr>
            <w:tcW w:w="979" w:type="dxa"/>
            <w:vAlign w:val="top"/>
          </w:tcPr>
          <w:p w14:paraId="4A844AF7">
            <w:pPr>
              <w:rPr>
                <w:rFonts w:ascii="Arial"/>
                <w:sz w:val="21"/>
              </w:rPr>
            </w:pPr>
          </w:p>
        </w:tc>
        <w:tc>
          <w:tcPr>
            <w:tcW w:w="910" w:type="dxa"/>
            <w:vAlign w:val="top"/>
          </w:tcPr>
          <w:p w14:paraId="3680DF1B">
            <w:pPr>
              <w:pStyle w:val="6"/>
              <w:spacing w:before="144"/>
              <w:ind w:left="360"/>
              <w:rPr>
                <w:sz w:val="19"/>
                <w:szCs w:val="19"/>
              </w:rPr>
            </w:pPr>
            <w:r>
              <w:rPr>
                <w:spacing w:val="-6"/>
                <w:sz w:val="19"/>
                <w:szCs w:val="19"/>
              </w:rPr>
              <w:t>18</w:t>
            </w:r>
          </w:p>
        </w:tc>
        <w:tc>
          <w:tcPr>
            <w:tcW w:w="930" w:type="dxa"/>
            <w:vAlign w:val="top"/>
          </w:tcPr>
          <w:p w14:paraId="44A75B07">
            <w:pPr>
              <w:pStyle w:val="6"/>
              <w:spacing w:before="144" w:line="241" w:lineRule="auto"/>
              <w:ind w:left="411"/>
              <w:rPr>
                <w:sz w:val="19"/>
                <w:szCs w:val="19"/>
              </w:rPr>
            </w:pPr>
            <w:r>
              <w:rPr>
                <w:sz w:val="19"/>
                <w:szCs w:val="19"/>
              </w:rPr>
              <w:t>4</w:t>
            </w:r>
          </w:p>
        </w:tc>
        <w:tc>
          <w:tcPr>
            <w:tcW w:w="960" w:type="dxa"/>
            <w:vAlign w:val="top"/>
          </w:tcPr>
          <w:p w14:paraId="6535DC0C">
            <w:pPr>
              <w:pStyle w:val="6"/>
              <w:spacing w:before="144"/>
              <w:ind w:left="431"/>
              <w:rPr>
                <w:sz w:val="19"/>
                <w:szCs w:val="19"/>
              </w:rPr>
            </w:pPr>
            <w:r>
              <w:rPr>
                <w:sz w:val="19"/>
                <w:szCs w:val="19"/>
              </w:rPr>
              <w:t>7</w:t>
            </w:r>
          </w:p>
        </w:tc>
        <w:tc>
          <w:tcPr>
            <w:tcW w:w="880" w:type="dxa"/>
            <w:shd w:val="clear" w:color="auto" w:fill="D2D4D8"/>
            <w:vAlign w:val="top"/>
          </w:tcPr>
          <w:p w14:paraId="17432A68">
            <w:pPr>
              <w:pStyle w:val="6"/>
              <w:spacing w:before="144"/>
              <w:ind w:left="341"/>
              <w:rPr>
                <w:sz w:val="19"/>
                <w:szCs w:val="19"/>
              </w:rPr>
            </w:pPr>
            <w:r>
              <w:rPr>
                <w:spacing w:val="-6"/>
                <w:sz w:val="19"/>
                <w:szCs w:val="19"/>
              </w:rPr>
              <w:t>15</w:t>
            </w:r>
          </w:p>
        </w:tc>
        <w:tc>
          <w:tcPr>
            <w:tcW w:w="950" w:type="dxa"/>
            <w:shd w:val="clear" w:color="auto" w:fill="DBDCDE"/>
            <w:vAlign w:val="top"/>
          </w:tcPr>
          <w:p w14:paraId="2060F1A3">
            <w:pPr>
              <w:pStyle w:val="6"/>
              <w:spacing w:before="144"/>
              <w:ind w:left="381"/>
              <w:rPr>
                <w:sz w:val="19"/>
                <w:szCs w:val="19"/>
              </w:rPr>
            </w:pPr>
            <w:r>
              <w:rPr>
                <w:spacing w:val="-3"/>
                <w:sz w:val="19"/>
                <w:szCs w:val="19"/>
              </w:rPr>
              <w:t>23</w:t>
            </w:r>
          </w:p>
        </w:tc>
        <w:tc>
          <w:tcPr>
            <w:tcW w:w="930" w:type="dxa"/>
            <w:shd w:val="clear" w:color="auto" w:fill="DFDFE1"/>
            <w:vAlign w:val="top"/>
          </w:tcPr>
          <w:p w14:paraId="1B726719">
            <w:pPr>
              <w:rPr>
                <w:rFonts w:ascii="Arial"/>
                <w:sz w:val="21"/>
              </w:rPr>
            </w:pPr>
          </w:p>
        </w:tc>
        <w:tc>
          <w:tcPr>
            <w:tcW w:w="960" w:type="dxa"/>
            <w:shd w:val="clear" w:color="auto" w:fill="DFDFE1"/>
            <w:vAlign w:val="top"/>
          </w:tcPr>
          <w:p w14:paraId="75184798">
            <w:pPr>
              <w:pStyle w:val="6"/>
              <w:spacing w:before="144"/>
              <w:ind w:left="380"/>
              <w:rPr>
                <w:sz w:val="19"/>
                <w:szCs w:val="19"/>
              </w:rPr>
            </w:pPr>
            <w:r>
              <w:rPr>
                <w:spacing w:val="-6"/>
                <w:sz w:val="19"/>
                <w:szCs w:val="19"/>
              </w:rPr>
              <w:t>17</w:t>
            </w:r>
          </w:p>
        </w:tc>
      </w:tr>
      <w:tr w14:paraId="693A3574">
        <w:trPr>
          <w:trHeight w:val="393" w:hRule="atLeast"/>
        </w:trPr>
        <w:tc>
          <w:tcPr>
            <w:tcW w:w="1470" w:type="dxa"/>
            <w:tcBorders>
              <w:bottom w:val="single" w:color="000000" w:sz="4" w:space="0"/>
            </w:tcBorders>
            <w:vAlign w:val="top"/>
          </w:tcPr>
          <w:p w14:paraId="04873470">
            <w:pPr>
              <w:pStyle w:val="6"/>
              <w:spacing w:before="115" w:line="219" w:lineRule="auto"/>
              <w:ind w:left="119"/>
              <w:rPr>
                <w:sz w:val="19"/>
                <w:szCs w:val="19"/>
              </w:rPr>
            </w:pPr>
            <w:r>
              <w:rPr>
                <w:spacing w:val="4"/>
                <w:sz w:val="19"/>
                <w:szCs w:val="19"/>
              </w:rPr>
              <w:t>人际暴力</w:t>
            </w:r>
          </w:p>
        </w:tc>
        <w:tc>
          <w:tcPr>
            <w:tcW w:w="979" w:type="dxa"/>
            <w:tcBorders>
              <w:bottom w:val="single" w:color="000000" w:sz="4" w:space="0"/>
            </w:tcBorders>
            <w:vAlign w:val="top"/>
          </w:tcPr>
          <w:p w14:paraId="53DE2E20">
            <w:pPr>
              <w:pStyle w:val="6"/>
              <w:spacing w:before="135"/>
              <w:ind w:left="389"/>
              <w:rPr>
                <w:sz w:val="19"/>
                <w:szCs w:val="19"/>
              </w:rPr>
            </w:pPr>
            <w:r>
              <w:rPr>
                <w:spacing w:val="-3"/>
                <w:sz w:val="19"/>
                <w:szCs w:val="19"/>
              </w:rPr>
              <w:t>23</w:t>
            </w:r>
          </w:p>
        </w:tc>
        <w:tc>
          <w:tcPr>
            <w:tcW w:w="910" w:type="dxa"/>
            <w:tcBorders>
              <w:bottom w:val="single" w:color="000000" w:sz="4" w:space="0"/>
            </w:tcBorders>
            <w:vAlign w:val="top"/>
          </w:tcPr>
          <w:p w14:paraId="6A311901">
            <w:pPr>
              <w:pStyle w:val="6"/>
              <w:spacing w:before="135"/>
              <w:ind w:left="360"/>
              <w:rPr>
                <w:sz w:val="19"/>
                <w:szCs w:val="19"/>
              </w:rPr>
            </w:pPr>
            <w:r>
              <w:rPr>
                <w:spacing w:val="-6"/>
                <w:sz w:val="19"/>
                <w:szCs w:val="19"/>
              </w:rPr>
              <w:t>13</w:t>
            </w:r>
          </w:p>
        </w:tc>
        <w:tc>
          <w:tcPr>
            <w:tcW w:w="930" w:type="dxa"/>
            <w:tcBorders>
              <w:bottom w:val="single" w:color="000000" w:sz="4" w:space="0"/>
            </w:tcBorders>
            <w:vAlign w:val="top"/>
          </w:tcPr>
          <w:p w14:paraId="1ECD141C">
            <w:pPr>
              <w:pStyle w:val="6"/>
              <w:spacing w:before="135"/>
              <w:ind w:left="411"/>
              <w:rPr>
                <w:sz w:val="19"/>
                <w:szCs w:val="19"/>
              </w:rPr>
            </w:pPr>
            <w:r>
              <w:rPr>
                <w:sz w:val="19"/>
                <w:szCs w:val="19"/>
              </w:rPr>
              <w:t>3</w:t>
            </w:r>
          </w:p>
        </w:tc>
        <w:tc>
          <w:tcPr>
            <w:tcW w:w="960" w:type="dxa"/>
            <w:tcBorders>
              <w:bottom w:val="single" w:color="000000" w:sz="4" w:space="0"/>
            </w:tcBorders>
            <w:vAlign w:val="top"/>
          </w:tcPr>
          <w:p w14:paraId="57539478">
            <w:pPr>
              <w:pStyle w:val="6"/>
              <w:spacing w:before="135"/>
              <w:ind w:left="431"/>
              <w:rPr>
                <w:sz w:val="19"/>
                <w:szCs w:val="19"/>
              </w:rPr>
            </w:pPr>
            <w:r>
              <w:rPr>
                <w:sz w:val="19"/>
                <w:szCs w:val="19"/>
              </w:rPr>
              <w:t>8</w:t>
            </w:r>
          </w:p>
        </w:tc>
        <w:tc>
          <w:tcPr>
            <w:tcW w:w="880" w:type="dxa"/>
            <w:tcBorders>
              <w:bottom w:val="single" w:color="000000" w:sz="4" w:space="0"/>
            </w:tcBorders>
            <w:vAlign w:val="top"/>
          </w:tcPr>
          <w:p w14:paraId="4E76F1D6">
            <w:pPr>
              <w:rPr>
                <w:rFonts w:ascii="Arial"/>
                <w:sz w:val="21"/>
              </w:rPr>
            </w:pPr>
          </w:p>
        </w:tc>
        <w:tc>
          <w:tcPr>
            <w:tcW w:w="950" w:type="dxa"/>
            <w:tcBorders>
              <w:bottom w:val="single" w:color="000000" w:sz="4" w:space="0"/>
            </w:tcBorders>
            <w:vAlign w:val="top"/>
          </w:tcPr>
          <w:p w14:paraId="43FA02FA">
            <w:pPr>
              <w:rPr>
                <w:rFonts w:ascii="Arial"/>
                <w:sz w:val="21"/>
              </w:rPr>
            </w:pPr>
          </w:p>
        </w:tc>
        <w:tc>
          <w:tcPr>
            <w:tcW w:w="930" w:type="dxa"/>
            <w:tcBorders>
              <w:bottom w:val="single" w:color="000000" w:sz="4" w:space="0"/>
            </w:tcBorders>
            <w:vAlign w:val="top"/>
          </w:tcPr>
          <w:p w14:paraId="0287F8FB">
            <w:pPr>
              <w:rPr>
                <w:rFonts w:ascii="Arial"/>
                <w:sz w:val="21"/>
              </w:rPr>
            </w:pPr>
          </w:p>
        </w:tc>
        <w:tc>
          <w:tcPr>
            <w:tcW w:w="960" w:type="dxa"/>
            <w:tcBorders>
              <w:bottom w:val="single" w:color="000000" w:sz="4" w:space="0"/>
            </w:tcBorders>
            <w:vAlign w:val="top"/>
          </w:tcPr>
          <w:p w14:paraId="3DCB8C16">
            <w:pPr>
              <w:pStyle w:val="6"/>
              <w:spacing w:before="135"/>
              <w:ind w:left="380"/>
              <w:rPr>
                <w:sz w:val="19"/>
                <w:szCs w:val="19"/>
              </w:rPr>
            </w:pPr>
            <w:r>
              <w:rPr>
                <w:spacing w:val="-3"/>
                <w:sz w:val="19"/>
                <w:szCs w:val="19"/>
              </w:rPr>
              <w:t>23</w:t>
            </w:r>
          </w:p>
        </w:tc>
      </w:tr>
    </w:tbl>
    <w:p w14:paraId="2566A166">
      <w:pPr>
        <w:spacing w:before="60" w:line="216" w:lineRule="auto"/>
        <w:ind w:left="6180"/>
        <w:rPr>
          <w:rFonts w:ascii="宋体" w:hAnsi="宋体" w:eastAsia="宋体" w:cs="宋体"/>
          <w:sz w:val="19"/>
          <w:szCs w:val="19"/>
        </w:rPr>
      </w:pPr>
      <w:r>
        <w:rPr>
          <w:rFonts w:ascii="宋体" w:hAnsi="宋体" w:eastAsia="宋体" w:cs="宋体"/>
          <w:spacing w:val="-2"/>
          <w:sz w:val="19"/>
          <w:szCs w:val="19"/>
        </w:rPr>
        <w:t>(Global</w:t>
      </w:r>
      <w:r>
        <w:rPr>
          <w:rFonts w:ascii="宋体" w:hAnsi="宋体" w:eastAsia="宋体" w:cs="宋体"/>
          <w:spacing w:val="30"/>
          <w:sz w:val="19"/>
          <w:szCs w:val="19"/>
        </w:rPr>
        <w:t xml:space="preserve"> </w:t>
      </w:r>
      <w:r>
        <w:rPr>
          <w:rFonts w:ascii="宋体" w:hAnsi="宋体" w:eastAsia="宋体" w:cs="宋体"/>
          <w:spacing w:val="-2"/>
          <w:sz w:val="19"/>
          <w:szCs w:val="19"/>
        </w:rPr>
        <w:t>Health</w:t>
      </w:r>
      <w:r>
        <w:rPr>
          <w:rFonts w:ascii="宋体" w:hAnsi="宋体" w:eastAsia="宋体" w:cs="宋体"/>
          <w:spacing w:val="26"/>
          <w:sz w:val="19"/>
          <w:szCs w:val="19"/>
        </w:rPr>
        <w:t xml:space="preserve"> </w:t>
      </w:r>
      <w:r>
        <w:rPr>
          <w:rFonts w:ascii="宋体" w:hAnsi="宋体" w:eastAsia="宋体" w:cs="宋体"/>
          <w:spacing w:val="-2"/>
          <w:sz w:val="19"/>
          <w:szCs w:val="19"/>
        </w:rPr>
        <w:t>Estimates,2019)</w:t>
      </w:r>
    </w:p>
    <w:p w14:paraId="6B04E3C7">
      <w:pPr>
        <w:spacing w:line="216" w:lineRule="auto"/>
        <w:rPr>
          <w:rFonts w:ascii="宋体" w:hAnsi="宋体" w:eastAsia="宋体" w:cs="宋体"/>
          <w:sz w:val="19"/>
          <w:szCs w:val="19"/>
        </w:rPr>
        <w:sectPr>
          <w:footerReference r:id="rId256" w:type="default"/>
          <w:pgSz w:w="11900" w:h="16820"/>
          <w:pgMar w:top="400" w:right="904" w:bottom="849" w:left="1450" w:header="0" w:footer="669" w:gutter="0"/>
          <w:cols w:space="720" w:num="1"/>
        </w:sectPr>
      </w:pPr>
    </w:p>
    <w:p w14:paraId="5B816217">
      <w:pPr>
        <w:pStyle w:val="2"/>
        <w:spacing w:before="166" w:line="221" w:lineRule="auto"/>
        <w:ind w:left="699"/>
        <w:rPr>
          <w:sz w:val="20"/>
          <w:szCs w:val="20"/>
        </w:rPr>
      </w:pPr>
      <w:r>
        <w:rPr>
          <w:spacing w:val="-21"/>
          <w:sz w:val="20"/>
          <w:szCs w:val="20"/>
        </w:rPr>
        <w:t>第十五章 伤害流行病学</w:t>
      </w:r>
    </w:p>
    <w:p w14:paraId="337C93AA">
      <w:pPr>
        <w:spacing w:line="266" w:lineRule="auto"/>
        <w:rPr>
          <w:rFonts w:ascii="Arial"/>
          <w:sz w:val="21"/>
        </w:rPr>
      </w:pPr>
    </w:p>
    <w:p w14:paraId="29B9004D">
      <w:pPr>
        <w:spacing w:line="266" w:lineRule="auto"/>
        <w:rPr>
          <w:rFonts w:ascii="Arial"/>
          <w:sz w:val="21"/>
        </w:rPr>
      </w:pPr>
    </w:p>
    <w:p w14:paraId="63F15FBE">
      <w:pPr>
        <w:pStyle w:val="2"/>
        <w:spacing w:before="78" w:line="222" w:lineRule="auto"/>
        <w:ind w:left="1099"/>
        <w:rPr>
          <w:sz w:val="24"/>
          <w:szCs w:val="24"/>
        </w:rPr>
      </w:pPr>
      <w:bookmarkStart w:id="397" w:name="bookmark534"/>
      <w:bookmarkEnd w:id="397"/>
      <w:r>
        <w:rPr>
          <w:spacing w:val="-2"/>
          <w:sz w:val="24"/>
          <w:szCs w:val="24"/>
        </w:rPr>
        <w:t>(三)时间分布</w:t>
      </w:r>
    </w:p>
    <w:p w14:paraId="40C292C1">
      <w:pPr>
        <w:spacing w:before="99" w:line="325" w:lineRule="auto"/>
        <w:ind w:left="699" w:right="111" w:firstLine="399"/>
        <w:rPr>
          <w:rFonts w:ascii="宋体" w:hAnsi="宋体" w:eastAsia="宋体" w:cs="宋体"/>
          <w:sz w:val="20"/>
          <w:szCs w:val="20"/>
        </w:rPr>
      </w:pPr>
      <w:r>
        <w:rPr>
          <w:rFonts w:ascii="宋体" w:hAnsi="宋体" w:eastAsia="宋体" w:cs="宋体"/>
          <w:spacing w:val="14"/>
          <w:sz w:val="20"/>
          <w:szCs w:val="20"/>
        </w:rPr>
        <w:t>从全球范围来看，对比2010年、2019—2021年的数据，总体上不同伤害类型的年龄标准化</w:t>
      </w:r>
      <w:r>
        <w:rPr>
          <w:rFonts w:ascii="宋体" w:hAnsi="宋体" w:eastAsia="宋体" w:cs="宋体"/>
          <w:spacing w:val="17"/>
          <w:sz w:val="20"/>
          <w:szCs w:val="20"/>
        </w:rPr>
        <w:t xml:space="preserve"> </w:t>
      </w:r>
      <w:r>
        <w:rPr>
          <w:rFonts w:ascii="Times New Roman" w:hAnsi="Times New Roman" w:eastAsia="Times New Roman" w:cs="Times New Roman"/>
          <w:sz w:val="20"/>
          <w:szCs w:val="20"/>
        </w:rPr>
        <w:t>DALY</w:t>
      </w:r>
      <w:r>
        <w:rPr>
          <w:rFonts w:ascii="宋体" w:hAnsi="宋体" w:eastAsia="宋体" w:cs="宋体"/>
          <w:spacing w:val="5"/>
          <w:sz w:val="20"/>
          <w:szCs w:val="20"/>
        </w:rPr>
        <w:t>率呈现下降趋势(表15-4)。</w:t>
      </w:r>
    </w:p>
    <w:p w14:paraId="74AED655">
      <w:pPr>
        <w:spacing w:before="186" w:line="219" w:lineRule="auto"/>
        <w:ind w:left="2219"/>
        <w:rPr>
          <w:rFonts w:ascii="宋体" w:hAnsi="宋体" w:eastAsia="宋体" w:cs="宋体"/>
          <w:sz w:val="20"/>
          <w:szCs w:val="20"/>
        </w:rPr>
      </w:pPr>
      <w:r>
        <w:rPr>
          <w:rFonts w:ascii="宋体" w:hAnsi="宋体" w:eastAsia="宋体" w:cs="宋体"/>
          <w:spacing w:val="-2"/>
          <w:sz w:val="20"/>
          <w:szCs w:val="20"/>
        </w:rPr>
        <w:t>表15-42010年、2019—2021年全球不同伤害类型的年</w:t>
      </w:r>
      <w:r>
        <w:rPr>
          <w:rFonts w:ascii="宋体" w:hAnsi="宋体" w:eastAsia="宋体" w:cs="宋体"/>
          <w:spacing w:val="-3"/>
          <w:sz w:val="20"/>
          <w:szCs w:val="20"/>
        </w:rPr>
        <w:t>龄标准化DALY率</w:t>
      </w:r>
    </w:p>
    <w:p w14:paraId="47BB560E">
      <w:pPr>
        <w:spacing w:line="98" w:lineRule="auto"/>
        <w:rPr>
          <w:rFonts w:ascii="Arial"/>
          <w:sz w:val="2"/>
        </w:rPr>
      </w:pPr>
    </w:p>
    <w:tbl>
      <w:tblPr>
        <w:tblStyle w:val="5"/>
        <w:tblW w:w="8880" w:type="dxa"/>
        <w:tblInd w:w="729"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0" w:type="dxa"/>
          <w:left w:w="0" w:type="dxa"/>
          <w:bottom w:w="0" w:type="dxa"/>
          <w:right w:w="0" w:type="dxa"/>
        </w:tblCellMar>
      </w:tblPr>
      <w:tblGrid>
        <w:gridCol w:w="3010"/>
        <w:gridCol w:w="1486"/>
        <w:gridCol w:w="1710"/>
        <w:gridCol w:w="1349"/>
        <w:gridCol w:w="1325"/>
      </w:tblGrid>
      <w:tr w14:paraId="2A1F2C3C">
        <w:trPr>
          <w:trHeight w:val="381" w:hRule="atLeast"/>
        </w:trPr>
        <w:tc>
          <w:tcPr>
            <w:tcW w:w="3010" w:type="dxa"/>
            <w:vMerge w:val="restart"/>
            <w:tcBorders>
              <w:top w:val="single" w:color="000000" w:sz="4" w:space="0"/>
              <w:bottom w:val="nil"/>
            </w:tcBorders>
            <w:vAlign w:val="top"/>
          </w:tcPr>
          <w:p w14:paraId="0C6F5769">
            <w:pPr>
              <w:pStyle w:val="6"/>
              <w:spacing w:before="283" w:line="219" w:lineRule="auto"/>
              <w:ind w:left="1130"/>
            </w:pPr>
            <w:r>
              <w:rPr>
                <w:spacing w:val="5"/>
              </w:rPr>
              <w:t>伤害原因</w:t>
            </w:r>
          </w:p>
        </w:tc>
        <w:tc>
          <w:tcPr>
            <w:tcW w:w="1486" w:type="dxa"/>
            <w:vMerge w:val="restart"/>
            <w:tcBorders>
              <w:top w:val="single" w:color="000000" w:sz="4" w:space="0"/>
              <w:bottom w:val="nil"/>
            </w:tcBorders>
            <w:vAlign w:val="top"/>
          </w:tcPr>
          <w:p w14:paraId="7CE44449">
            <w:pPr>
              <w:spacing w:line="405" w:lineRule="auto"/>
              <w:rPr>
                <w:rFonts w:ascii="Arial"/>
                <w:sz w:val="21"/>
              </w:rPr>
            </w:pPr>
          </w:p>
          <w:p w14:paraId="49E1174D">
            <w:pPr>
              <w:pStyle w:val="6"/>
              <w:spacing w:before="65" w:line="219" w:lineRule="auto"/>
              <w:ind w:left="679"/>
            </w:pPr>
            <w:r>
              <w:rPr>
                <w:spacing w:val="-2"/>
              </w:rPr>
              <w:t>2010年</w:t>
            </w:r>
          </w:p>
        </w:tc>
        <w:tc>
          <w:tcPr>
            <w:tcW w:w="3059" w:type="dxa"/>
            <w:gridSpan w:val="2"/>
            <w:tcBorders>
              <w:top w:val="single" w:color="000000" w:sz="4" w:space="0"/>
            </w:tcBorders>
            <w:vAlign w:val="top"/>
          </w:tcPr>
          <w:p w14:paraId="00C442E5">
            <w:pPr>
              <w:pStyle w:val="6"/>
              <w:spacing w:before="93" w:line="219" w:lineRule="auto"/>
              <w:ind w:left="224"/>
            </w:pPr>
            <w:r>
              <w:rPr>
                <w:spacing w:val="3"/>
              </w:rPr>
              <w:t>年龄标准化</w:t>
            </w:r>
            <w:r>
              <w:t>DALY</w:t>
            </w:r>
            <w:r>
              <w:rPr>
                <w:spacing w:val="3"/>
              </w:rPr>
              <w:t>率/(1/10万)</w:t>
            </w:r>
          </w:p>
        </w:tc>
        <w:tc>
          <w:tcPr>
            <w:tcW w:w="1325" w:type="dxa"/>
            <w:vMerge w:val="restart"/>
            <w:tcBorders>
              <w:top w:val="single" w:color="000000" w:sz="4" w:space="0"/>
              <w:bottom w:val="nil"/>
            </w:tcBorders>
            <w:vAlign w:val="top"/>
          </w:tcPr>
          <w:p w14:paraId="34B9477C">
            <w:pPr>
              <w:spacing w:line="405" w:lineRule="auto"/>
              <w:rPr>
                <w:rFonts w:ascii="Arial"/>
                <w:sz w:val="21"/>
              </w:rPr>
            </w:pPr>
          </w:p>
          <w:p w14:paraId="6A54348C">
            <w:pPr>
              <w:pStyle w:val="6"/>
              <w:spacing w:before="65" w:line="219" w:lineRule="auto"/>
              <w:ind w:left="335"/>
            </w:pPr>
            <w:r>
              <w:rPr>
                <w:spacing w:val="-2"/>
              </w:rPr>
              <w:t>2021年</w:t>
            </w:r>
          </w:p>
        </w:tc>
      </w:tr>
      <w:tr w14:paraId="78E982A9">
        <w:trPr>
          <w:trHeight w:val="373" w:hRule="atLeast"/>
        </w:trPr>
        <w:tc>
          <w:tcPr>
            <w:tcW w:w="3010" w:type="dxa"/>
            <w:vMerge w:val="continue"/>
            <w:tcBorders>
              <w:top w:val="nil"/>
              <w:bottom w:val="single" w:color="000000" w:sz="4" w:space="0"/>
            </w:tcBorders>
            <w:vAlign w:val="top"/>
          </w:tcPr>
          <w:p w14:paraId="6EA553FE">
            <w:pPr>
              <w:rPr>
                <w:rFonts w:ascii="Arial"/>
                <w:sz w:val="21"/>
              </w:rPr>
            </w:pPr>
          </w:p>
        </w:tc>
        <w:tc>
          <w:tcPr>
            <w:tcW w:w="1486" w:type="dxa"/>
            <w:vMerge w:val="continue"/>
            <w:tcBorders>
              <w:top w:val="nil"/>
              <w:bottom w:val="single" w:color="000000" w:sz="4" w:space="0"/>
            </w:tcBorders>
            <w:vAlign w:val="top"/>
          </w:tcPr>
          <w:p w14:paraId="39BA6F4A">
            <w:pPr>
              <w:rPr>
                <w:rFonts w:ascii="Arial"/>
                <w:sz w:val="21"/>
              </w:rPr>
            </w:pPr>
          </w:p>
        </w:tc>
        <w:tc>
          <w:tcPr>
            <w:tcW w:w="1710" w:type="dxa"/>
            <w:tcBorders>
              <w:bottom w:val="single" w:color="000000" w:sz="4" w:space="0"/>
            </w:tcBorders>
            <w:vAlign w:val="top"/>
          </w:tcPr>
          <w:p w14:paraId="561757EA">
            <w:pPr>
              <w:pStyle w:val="6"/>
              <w:spacing w:before="92" w:line="219" w:lineRule="auto"/>
              <w:ind w:left="774"/>
            </w:pPr>
            <w:r>
              <w:rPr>
                <w:spacing w:val="-2"/>
              </w:rPr>
              <w:t>2019年</w:t>
            </w:r>
          </w:p>
        </w:tc>
        <w:tc>
          <w:tcPr>
            <w:tcW w:w="1349" w:type="dxa"/>
            <w:tcBorders>
              <w:bottom w:val="single" w:color="000000" w:sz="4" w:space="0"/>
            </w:tcBorders>
            <w:vAlign w:val="top"/>
          </w:tcPr>
          <w:p w14:paraId="16E69728">
            <w:pPr>
              <w:pStyle w:val="6"/>
              <w:spacing w:before="92" w:line="219" w:lineRule="auto"/>
              <w:ind w:left="353"/>
            </w:pPr>
            <w:r>
              <w:rPr>
                <w:spacing w:val="-2"/>
              </w:rPr>
              <w:t>2020年</w:t>
            </w:r>
          </w:p>
        </w:tc>
        <w:tc>
          <w:tcPr>
            <w:tcW w:w="1325" w:type="dxa"/>
            <w:vMerge w:val="continue"/>
            <w:tcBorders>
              <w:top w:val="nil"/>
              <w:bottom w:val="single" w:color="000000" w:sz="4" w:space="0"/>
            </w:tcBorders>
            <w:vAlign w:val="top"/>
          </w:tcPr>
          <w:p w14:paraId="1CFE34BD">
            <w:pPr>
              <w:rPr>
                <w:rFonts w:ascii="Arial"/>
                <w:sz w:val="21"/>
              </w:rPr>
            </w:pPr>
          </w:p>
        </w:tc>
      </w:tr>
      <w:tr w14:paraId="3567B99B">
        <w:trPr>
          <w:trHeight w:val="396" w:hRule="atLeast"/>
        </w:trPr>
        <w:tc>
          <w:tcPr>
            <w:tcW w:w="3010" w:type="dxa"/>
            <w:tcBorders>
              <w:top w:val="single" w:color="000000" w:sz="4" w:space="0"/>
            </w:tcBorders>
            <w:vAlign w:val="top"/>
          </w:tcPr>
          <w:p w14:paraId="39DE1062">
            <w:pPr>
              <w:pStyle w:val="6"/>
              <w:spacing w:before="99" w:line="219" w:lineRule="auto"/>
              <w:ind w:left="1330"/>
            </w:pPr>
            <w:r>
              <w:rPr>
                <w:spacing w:val="6"/>
              </w:rPr>
              <w:t>伤害</w:t>
            </w:r>
          </w:p>
        </w:tc>
        <w:tc>
          <w:tcPr>
            <w:tcW w:w="1486" w:type="dxa"/>
            <w:tcBorders>
              <w:top w:val="single" w:color="000000" w:sz="4" w:space="0"/>
            </w:tcBorders>
            <w:vAlign w:val="top"/>
          </w:tcPr>
          <w:p w14:paraId="5792F1B8">
            <w:pPr>
              <w:pStyle w:val="6"/>
              <w:spacing w:before="118" w:line="239" w:lineRule="auto"/>
              <w:ind w:left="679"/>
            </w:pPr>
            <w:r>
              <w:rPr>
                <w:spacing w:val="-1"/>
              </w:rPr>
              <w:t>4080.1</w:t>
            </w:r>
          </w:p>
        </w:tc>
        <w:tc>
          <w:tcPr>
            <w:tcW w:w="1710" w:type="dxa"/>
            <w:tcBorders>
              <w:top w:val="single" w:color="000000" w:sz="4" w:space="0"/>
            </w:tcBorders>
            <w:vAlign w:val="top"/>
          </w:tcPr>
          <w:p w14:paraId="282594C1">
            <w:pPr>
              <w:pStyle w:val="6"/>
              <w:spacing w:before="118" w:line="239" w:lineRule="auto"/>
              <w:ind w:left="774"/>
            </w:pPr>
            <w:r>
              <w:rPr>
                <w:spacing w:val="-2"/>
              </w:rPr>
              <w:t>3232.8</w:t>
            </w:r>
          </w:p>
        </w:tc>
        <w:tc>
          <w:tcPr>
            <w:tcW w:w="1349" w:type="dxa"/>
            <w:tcBorders>
              <w:top w:val="single" w:color="000000" w:sz="4" w:space="0"/>
            </w:tcBorders>
            <w:vAlign w:val="top"/>
          </w:tcPr>
          <w:p w14:paraId="27CDFDC2">
            <w:pPr>
              <w:pStyle w:val="6"/>
              <w:spacing w:before="118" w:line="239" w:lineRule="auto"/>
              <w:ind w:left="353"/>
            </w:pPr>
            <w:r>
              <w:rPr>
                <w:spacing w:val="-2"/>
              </w:rPr>
              <w:t>3131.6</w:t>
            </w:r>
          </w:p>
        </w:tc>
        <w:tc>
          <w:tcPr>
            <w:tcW w:w="1325" w:type="dxa"/>
            <w:tcBorders>
              <w:top w:val="single" w:color="000000" w:sz="4" w:space="0"/>
            </w:tcBorders>
            <w:vAlign w:val="top"/>
          </w:tcPr>
          <w:p w14:paraId="28698B6B">
            <w:pPr>
              <w:pStyle w:val="6"/>
              <w:spacing w:before="118" w:line="239" w:lineRule="auto"/>
              <w:ind w:left="335"/>
            </w:pPr>
            <w:r>
              <w:rPr>
                <w:spacing w:val="-2"/>
              </w:rPr>
              <w:t>3098.8</w:t>
            </w:r>
          </w:p>
        </w:tc>
      </w:tr>
      <w:tr w14:paraId="0041B13C">
        <w:trPr>
          <w:trHeight w:val="419" w:hRule="atLeast"/>
        </w:trPr>
        <w:tc>
          <w:tcPr>
            <w:tcW w:w="3010" w:type="dxa"/>
            <w:vAlign w:val="top"/>
          </w:tcPr>
          <w:p w14:paraId="23781714">
            <w:pPr>
              <w:pStyle w:val="6"/>
              <w:spacing w:before="103" w:line="219" w:lineRule="auto"/>
              <w:ind w:left="1130"/>
            </w:pPr>
            <w:r>
              <w:rPr>
                <w:spacing w:val="3"/>
              </w:rPr>
              <w:t>交通伤害</w:t>
            </w:r>
          </w:p>
        </w:tc>
        <w:tc>
          <w:tcPr>
            <w:tcW w:w="1486" w:type="dxa"/>
            <w:vAlign w:val="top"/>
          </w:tcPr>
          <w:p w14:paraId="633ABC3B">
            <w:pPr>
              <w:pStyle w:val="6"/>
              <w:spacing w:before="122" w:line="239" w:lineRule="auto"/>
              <w:ind w:left="679"/>
            </w:pPr>
            <w:r>
              <w:rPr>
                <w:spacing w:val="-4"/>
              </w:rPr>
              <w:t>1120.5</w:t>
            </w:r>
          </w:p>
        </w:tc>
        <w:tc>
          <w:tcPr>
            <w:tcW w:w="1710" w:type="dxa"/>
            <w:vAlign w:val="top"/>
          </w:tcPr>
          <w:p w14:paraId="5E3F0DEA">
            <w:pPr>
              <w:pStyle w:val="6"/>
              <w:spacing w:before="122" w:line="239" w:lineRule="auto"/>
              <w:ind w:left="824"/>
            </w:pPr>
            <w:r>
              <w:rPr>
                <w:spacing w:val="-2"/>
              </w:rPr>
              <w:t>897.8</w:t>
            </w:r>
          </w:p>
        </w:tc>
        <w:tc>
          <w:tcPr>
            <w:tcW w:w="1349" w:type="dxa"/>
            <w:vAlign w:val="top"/>
          </w:tcPr>
          <w:p w14:paraId="0BCC049D">
            <w:pPr>
              <w:pStyle w:val="6"/>
              <w:spacing w:before="122" w:line="239" w:lineRule="auto"/>
              <w:ind w:left="403"/>
            </w:pPr>
            <w:r>
              <w:rPr>
                <w:spacing w:val="-2"/>
              </w:rPr>
              <w:t>872.6</w:t>
            </w:r>
          </w:p>
        </w:tc>
        <w:tc>
          <w:tcPr>
            <w:tcW w:w="1325" w:type="dxa"/>
            <w:vAlign w:val="top"/>
          </w:tcPr>
          <w:p w14:paraId="29340425">
            <w:pPr>
              <w:pStyle w:val="6"/>
              <w:spacing w:before="122" w:line="239" w:lineRule="auto"/>
              <w:ind w:left="385"/>
            </w:pPr>
            <w:r>
              <w:rPr>
                <w:spacing w:val="-2"/>
              </w:rPr>
              <w:t>864.5</w:t>
            </w:r>
          </w:p>
        </w:tc>
      </w:tr>
      <w:tr w14:paraId="2029D05B">
        <w:trPr>
          <w:trHeight w:val="429" w:hRule="atLeast"/>
        </w:trPr>
        <w:tc>
          <w:tcPr>
            <w:tcW w:w="3010" w:type="dxa"/>
            <w:vAlign w:val="top"/>
          </w:tcPr>
          <w:p w14:paraId="5041BE8E">
            <w:pPr>
              <w:pStyle w:val="6"/>
              <w:spacing w:before="124" w:line="219" w:lineRule="auto"/>
              <w:ind w:left="1130"/>
            </w:pPr>
            <w:r>
              <w:rPr>
                <w:spacing w:val="3"/>
              </w:rPr>
              <w:t>道路伤害</w:t>
            </w:r>
          </w:p>
        </w:tc>
        <w:tc>
          <w:tcPr>
            <w:tcW w:w="1486" w:type="dxa"/>
            <w:vAlign w:val="top"/>
          </w:tcPr>
          <w:p w14:paraId="6A2AB26C">
            <w:pPr>
              <w:pStyle w:val="6"/>
              <w:spacing w:before="143" w:line="239" w:lineRule="auto"/>
              <w:ind w:left="679"/>
            </w:pPr>
            <w:r>
              <w:rPr>
                <w:spacing w:val="-4"/>
              </w:rPr>
              <w:t>1049.4</w:t>
            </w:r>
          </w:p>
        </w:tc>
        <w:tc>
          <w:tcPr>
            <w:tcW w:w="1710" w:type="dxa"/>
            <w:vAlign w:val="top"/>
          </w:tcPr>
          <w:p w14:paraId="5A864412">
            <w:pPr>
              <w:pStyle w:val="6"/>
              <w:spacing w:before="143" w:line="239" w:lineRule="auto"/>
              <w:ind w:left="824"/>
            </w:pPr>
            <w:r>
              <w:rPr>
                <w:spacing w:val="-2"/>
              </w:rPr>
              <w:t>839.9</w:t>
            </w:r>
          </w:p>
        </w:tc>
        <w:tc>
          <w:tcPr>
            <w:tcW w:w="1349" w:type="dxa"/>
            <w:vAlign w:val="top"/>
          </w:tcPr>
          <w:p w14:paraId="0F49E780">
            <w:pPr>
              <w:pStyle w:val="6"/>
              <w:spacing w:before="143" w:line="239" w:lineRule="auto"/>
              <w:ind w:left="403"/>
            </w:pPr>
            <w:r>
              <w:rPr>
                <w:spacing w:val="-2"/>
              </w:rPr>
              <w:t>817.2</w:t>
            </w:r>
          </w:p>
        </w:tc>
        <w:tc>
          <w:tcPr>
            <w:tcW w:w="1325" w:type="dxa"/>
            <w:vAlign w:val="top"/>
          </w:tcPr>
          <w:p w14:paraId="197E5CDD">
            <w:pPr>
              <w:pStyle w:val="6"/>
              <w:spacing w:before="143" w:line="239" w:lineRule="auto"/>
              <w:ind w:left="385"/>
            </w:pPr>
            <w:r>
              <w:rPr>
                <w:spacing w:val="-2"/>
              </w:rPr>
              <w:t>808.9</w:t>
            </w:r>
          </w:p>
        </w:tc>
      </w:tr>
      <w:tr w14:paraId="3D6ED905">
        <w:trPr>
          <w:trHeight w:val="409" w:hRule="atLeast"/>
        </w:trPr>
        <w:tc>
          <w:tcPr>
            <w:tcW w:w="3010" w:type="dxa"/>
            <w:vAlign w:val="top"/>
          </w:tcPr>
          <w:p w14:paraId="329116F3">
            <w:pPr>
              <w:pStyle w:val="6"/>
              <w:spacing w:before="115" w:line="219" w:lineRule="auto"/>
              <w:ind w:left="929"/>
            </w:pPr>
            <w:r>
              <w:rPr>
                <w:spacing w:val="2"/>
              </w:rPr>
              <w:t>其他交通伤害</w:t>
            </w:r>
          </w:p>
        </w:tc>
        <w:tc>
          <w:tcPr>
            <w:tcW w:w="1486" w:type="dxa"/>
            <w:vAlign w:val="top"/>
          </w:tcPr>
          <w:p w14:paraId="32439BDE">
            <w:pPr>
              <w:pStyle w:val="6"/>
              <w:spacing w:before="134" w:line="239" w:lineRule="auto"/>
              <w:ind w:left="780"/>
            </w:pPr>
            <w:r>
              <w:rPr>
                <w:spacing w:val="-3"/>
              </w:rPr>
              <w:t>71.1</w:t>
            </w:r>
          </w:p>
        </w:tc>
        <w:tc>
          <w:tcPr>
            <w:tcW w:w="1710" w:type="dxa"/>
            <w:vAlign w:val="top"/>
          </w:tcPr>
          <w:p w14:paraId="5DF662B4">
            <w:pPr>
              <w:pStyle w:val="6"/>
              <w:spacing w:before="134" w:line="239" w:lineRule="auto"/>
              <w:ind w:left="873"/>
            </w:pPr>
            <w:r>
              <w:rPr>
                <w:spacing w:val="-3"/>
              </w:rPr>
              <w:t>57.9</w:t>
            </w:r>
          </w:p>
        </w:tc>
        <w:tc>
          <w:tcPr>
            <w:tcW w:w="1349" w:type="dxa"/>
            <w:vAlign w:val="top"/>
          </w:tcPr>
          <w:p w14:paraId="3CB3A82C">
            <w:pPr>
              <w:pStyle w:val="6"/>
              <w:spacing w:before="134" w:line="239" w:lineRule="auto"/>
              <w:ind w:left="453"/>
            </w:pPr>
            <w:r>
              <w:rPr>
                <w:spacing w:val="-3"/>
              </w:rPr>
              <w:t>55.4</w:t>
            </w:r>
          </w:p>
        </w:tc>
        <w:tc>
          <w:tcPr>
            <w:tcW w:w="1325" w:type="dxa"/>
            <w:vAlign w:val="top"/>
          </w:tcPr>
          <w:p w14:paraId="79A3BC0A">
            <w:pPr>
              <w:pStyle w:val="6"/>
              <w:spacing w:before="134" w:line="239" w:lineRule="auto"/>
              <w:ind w:left="435"/>
            </w:pPr>
            <w:r>
              <w:rPr>
                <w:spacing w:val="-3"/>
              </w:rPr>
              <w:t>55.6</w:t>
            </w:r>
          </w:p>
        </w:tc>
      </w:tr>
      <w:tr w14:paraId="7DDF58F5">
        <w:trPr>
          <w:trHeight w:val="415" w:hRule="atLeast"/>
        </w:trPr>
        <w:tc>
          <w:tcPr>
            <w:tcW w:w="3010" w:type="dxa"/>
            <w:vAlign w:val="top"/>
          </w:tcPr>
          <w:p w14:paraId="2D343B07">
            <w:pPr>
              <w:pStyle w:val="6"/>
              <w:spacing w:before="106" w:line="219" w:lineRule="auto"/>
              <w:ind w:left="830"/>
            </w:pPr>
            <w:r>
              <w:rPr>
                <w:spacing w:val="1"/>
              </w:rPr>
              <w:t>其他非故意伤害</w:t>
            </w:r>
          </w:p>
        </w:tc>
        <w:tc>
          <w:tcPr>
            <w:tcW w:w="1486" w:type="dxa"/>
            <w:vAlign w:val="top"/>
          </w:tcPr>
          <w:p w14:paraId="535CF5E1">
            <w:pPr>
              <w:pStyle w:val="6"/>
              <w:spacing w:before="125" w:line="239" w:lineRule="auto"/>
              <w:ind w:left="679"/>
            </w:pPr>
            <w:r>
              <w:rPr>
                <w:spacing w:val="-4"/>
              </w:rPr>
              <w:t>1978.0</w:t>
            </w:r>
          </w:p>
        </w:tc>
        <w:tc>
          <w:tcPr>
            <w:tcW w:w="1710" w:type="dxa"/>
            <w:vAlign w:val="top"/>
          </w:tcPr>
          <w:p w14:paraId="6181125F">
            <w:pPr>
              <w:pStyle w:val="6"/>
              <w:spacing w:before="125" w:line="239" w:lineRule="auto"/>
              <w:ind w:left="774"/>
            </w:pPr>
            <w:r>
              <w:rPr>
                <w:spacing w:val="-4"/>
              </w:rPr>
              <w:t>1426.4</w:t>
            </w:r>
          </w:p>
        </w:tc>
        <w:tc>
          <w:tcPr>
            <w:tcW w:w="1349" w:type="dxa"/>
            <w:vAlign w:val="top"/>
          </w:tcPr>
          <w:p w14:paraId="78A0C697">
            <w:pPr>
              <w:pStyle w:val="6"/>
              <w:spacing w:before="125" w:line="239" w:lineRule="auto"/>
              <w:ind w:left="353"/>
            </w:pPr>
            <w:r>
              <w:rPr>
                <w:spacing w:val="-4"/>
              </w:rPr>
              <w:t>1391.7</w:t>
            </w:r>
          </w:p>
        </w:tc>
        <w:tc>
          <w:tcPr>
            <w:tcW w:w="1325" w:type="dxa"/>
            <w:vAlign w:val="top"/>
          </w:tcPr>
          <w:p w14:paraId="7EFB97BB">
            <w:pPr>
              <w:pStyle w:val="6"/>
              <w:spacing w:before="125" w:line="239" w:lineRule="auto"/>
              <w:ind w:left="335"/>
            </w:pPr>
            <w:r>
              <w:rPr>
                <w:spacing w:val="-4"/>
              </w:rPr>
              <w:t>1363.9</w:t>
            </w:r>
          </w:p>
        </w:tc>
      </w:tr>
      <w:tr w14:paraId="601C2FDF">
        <w:trPr>
          <w:trHeight w:val="420" w:hRule="atLeast"/>
        </w:trPr>
        <w:tc>
          <w:tcPr>
            <w:tcW w:w="3010" w:type="dxa"/>
            <w:vAlign w:val="top"/>
          </w:tcPr>
          <w:p w14:paraId="740BCDB0">
            <w:pPr>
              <w:pStyle w:val="6"/>
              <w:spacing w:before="121" w:line="220" w:lineRule="auto"/>
              <w:ind w:left="1330"/>
            </w:pPr>
            <w:r>
              <w:rPr>
                <w:spacing w:val="6"/>
              </w:rPr>
              <w:t>跌倒</w:t>
            </w:r>
          </w:p>
        </w:tc>
        <w:tc>
          <w:tcPr>
            <w:tcW w:w="1486" w:type="dxa"/>
            <w:vAlign w:val="top"/>
          </w:tcPr>
          <w:p w14:paraId="3366F0AC">
            <w:pPr>
              <w:pStyle w:val="6"/>
              <w:spacing w:before="140" w:line="239" w:lineRule="auto"/>
              <w:ind w:left="730"/>
            </w:pPr>
            <w:r>
              <w:rPr>
                <w:spacing w:val="-2"/>
              </w:rPr>
              <w:t>570.9</w:t>
            </w:r>
          </w:p>
        </w:tc>
        <w:tc>
          <w:tcPr>
            <w:tcW w:w="1710" w:type="dxa"/>
            <w:vAlign w:val="top"/>
          </w:tcPr>
          <w:p w14:paraId="65C14C5E">
            <w:pPr>
              <w:pStyle w:val="6"/>
              <w:spacing w:before="140" w:line="239" w:lineRule="auto"/>
              <w:ind w:left="824"/>
            </w:pPr>
            <w:r>
              <w:rPr>
                <w:spacing w:val="-2"/>
              </w:rPr>
              <w:t>536.7</w:t>
            </w:r>
          </w:p>
        </w:tc>
        <w:tc>
          <w:tcPr>
            <w:tcW w:w="1349" w:type="dxa"/>
            <w:vAlign w:val="top"/>
          </w:tcPr>
          <w:p w14:paraId="73190911">
            <w:pPr>
              <w:pStyle w:val="6"/>
              <w:spacing w:before="140" w:line="239" w:lineRule="auto"/>
              <w:ind w:left="403"/>
            </w:pPr>
            <w:r>
              <w:rPr>
                <w:spacing w:val="-2"/>
              </w:rPr>
              <w:t>535.5</w:t>
            </w:r>
          </w:p>
        </w:tc>
        <w:tc>
          <w:tcPr>
            <w:tcW w:w="1325" w:type="dxa"/>
            <w:vAlign w:val="top"/>
          </w:tcPr>
          <w:p w14:paraId="25ABE832">
            <w:pPr>
              <w:pStyle w:val="6"/>
              <w:spacing w:before="140" w:line="239" w:lineRule="auto"/>
              <w:ind w:left="385"/>
            </w:pPr>
            <w:r>
              <w:rPr>
                <w:spacing w:val="-2"/>
              </w:rPr>
              <w:t>531.2</w:t>
            </w:r>
          </w:p>
        </w:tc>
      </w:tr>
      <w:tr w14:paraId="2E7B0EE3">
        <w:trPr>
          <w:trHeight w:val="413" w:hRule="atLeast"/>
        </w:trPr>
        <w:tc>
          <w:tcPr>
            <w:tcW w:w="3010" w:type="dxa"/>
            <w:vAlign w:val="top"/>
          </w:tcPr>
          <w:p w14:paraId="2A606756">
            <w:pPr>
              <w:pStyle w:val="6"/>
              <w:spacing w:before="111" w:line="219" w:lineRule="auto"/>
              <w:ind w:left="1330"/>
            </w:pPr>
            <w:r>
              <w:rPr>
                <w:spacing w:val="-3"/>
              </w:rPr>
              <w:t>溺水</w:t>
            </w:r>
          </w:p>
        </w:tc>
        <w:tc>
          <w:tcPr>
            <w:tcW w:w="1486" w:type="dxa"/>
            <w:vAlign w:val="top"/>
          </w:tcPr>
          <w:p w14:paraId="7759F120">
            <w:pPr>
              <w:pStyle w:val="6"/>
              <w:spacing w:before="130" w:line="239" w:lineRule="auto"/>
              <w:ind w:left="730"/>
            </w:pPr>
            <w:r>
              <w:rPr>
                <w:spacing w:val="-2"/>
              </w:rPr>
              <w:t>341.3</w:t>
            </w:r>
          </w:p>
        </w:tc>
        <w:tc>
          <w:tcPr>
            <w:tcW w:w="1710" w:type="dxa"/>
            <w:vAlign w:val="top"/>
          </w:tcPr>
          <w:p w14:paraId="072CAB09">
            <w:pPr>
              <w:pStyle w:val="6"/>
              <w:spacing w:before="130" w:line="239" w:lineRule="auto"/>
              <w:ind w:left="824"/>
            </w:pPr>
            <w:r>
              <w:rPr>
                <w:spacing w:val="-2"/>
              </w:rPr>
              <w:t>235.0</w:t>
            </w:r>
          </w:p>
        </w:tc>
        <w:tc>
          <w:tcPr>
            <w:tcW w:w="1349" w:type="dxa"/>
            <w:vAlign w:val="top"/>
          </w:tcPr>
          <w:p w14:paraId="627B6F08">
            <w:pPr>
              <w:pStyle w:val="6"/>
              <w:spacing w:before="130" w:line="239" w:lineRule="auto"/>
              <w:ind w:left="403"/>
            </w:pPr>
            <w:r>
              <w:rPr>
                <w:spacing w:val="-2"/>
              </w:rPr>
              <w:t>220.8</w:t>
            </w:r>
          </w:p>
        </w:tc>
        <w:tc>
          <w:tcPr>
            <w:tcW w:w="1325" w:type="dxa"/>
            <w:vAlign w:val="top"/>
          </w:tcPr>
          <w:p w14:paraId="30C33365">
            <w:pPr>
              <w:pStyle w:val="6"/>
              <w:spacing w:before="130" w:line="239" w:lineRule="auto"/>
              <w:ind w:left="385"/>
            </w:pPr>
            <w:r>
              <w:rPr>
                <w:spacing w:val="-2"/>
              </w:rPr>
              <w:t>211.9</w:t>
            </w:r>
          </w:p>
        </w:tc>
      </w:tr>
      <w:tr w14:paraId="45D0AD16">
        <w:trPr>
          <w:trHeight w:val="414" w:hRule="atLeast"/>
        </w:trPr>
        <w:tc>
          <w:tcPr>
            <w:tcW w:w="3010" w:type="dxa"/>
            <w:vAlign w:val="top"/>
          </w:tcPr>
          <w:p w14:paraId="08BAD34D">
            <w:pPr>
              <w:pStyle w:val="6"/>
              <w:spacing w:before="118" w:line="219" w:lineRule="auto"/>
              <w:ind w:left="830"/>
            </w:pPr>
            <w:r>
              <w:rPr>
                <w:spacing w:val="-2"/>
              </w:rPr>
              <w:t>火、高温和热源</w:t>
            </w:r>
          </w:p>
        </w:tc>
        <w:tc>
          <w:tcPr>
            <w:tcW w:w="1486" w:type="dxa"/>
            <w:vAlign w:val="top"/>
          </w:tcPr>
          <w:p w14:paraId="718BA27C">
            <w:pPr>
              <w:pStyle w:val="6"/>
              <w:spacing w:before="137" w:line="239" w:lineRule="auto"/>
              <w:ind w:left="730"/>
            </w:pPr>
            <w:r>
              <w:rPr>
                <w:spacing w:val="-4"/>
              </w:rPr>
              <w:t>145.4</w:t>
            </w:r>
          </w:p>
        </w:tc>
        <w:tc>
          <w:tcPr>
            <w:tcW w:w="1710" w:type="dxa"/>
            <w:vAlign w:val="top"/>
          </w:tcPr>
          <w:p w14:paraId="629EEFB6">
            <w:pPr>
              <w:pStyle w:val="6"/>
              <w:spacing w:before="137" w:line="239" w:lineRule="auto"/>
              <w:ind w:left="824"/>
            </w:pPr>
            <w:r>
              <w:rPr>
                <w:spacing w:val="-4"/>
              </w:rPr>
              <w:t>112.4</w:t>
            </w:r>
          </w:p>
        </w:tc>
        <w:tc>
          <w:tcPr>
            <w:tcW w:w="1349" w:type="dxa"/>
            <w:vAlign w:val="top"/>
          </w:tcPr>
          <w:p w14:paraId="3F58E4D0">
            <w:pPr>
              <w:pStyle w:val="6"/>
              <w:spacing w:before="137" w:line="239" w:lineRule="auto"/>
              <w:ind w:left="403"/>
            </w:pPr>
            <w:r>
              <w:rPr>
                <w:spacing w:val="-4"/>
              </w:rPr>
              <w:t>109.6</w:t>
            </w:r>
          </w:p>
        </w:tc>
        <w:tc>
          <w:tcPr>
            <w:tcW w:w="1325" w:type="dxa"/>
            <w:vAlign w:val="top"/>
          </w:tcPr>
          <w:p w14:paraId="2BA6EDC9">
            <w:pPr>
              <w:pStyle w:val="6"/>
              <w:spacing w:before="137" w:line="239" w:lineRule="auto"/>
              <w:ind w:left="385"/>
            </w:pPr>
            <w:r>
              <w:rPr>
                <w:spacing w:val="-4"/>
              </w:rPr>
              <w:t>108.5</w:t>
            </w:r>
          </w:p>
        </w:tc>
      </w:tr>
      <w:tr w14:paraId="2E93EB2F">
        <w:trPr>
          <w:trHeight w:val="420" w:hRule="atLeast"/>
        </w:trPr>
        <w:tc>
          <w:tcPr>
            <w:tcW w:w="3010" w:type="dxa"/>
            <w:vAlign w:val="top"/>
          </w:tcPr>
          <w:p w14:paraId="1590E6B0">
            <w:pPr>
              <w:pStyle w:val="6"/>
              <w:spacing w:before="113" w:line="219" w:lineRule="auto"/>
              <w:ind w:left="1130"/>
            </w:pPr>
            <w:r>
              <w:rPr>
                <w:spacing w:val="3"/>
              </w:rPr>
              <w:t>机械伤害</w:t>
            </w:r>
          </w:p>
        </w:tc>
        <w:tc>
          <w:tcPr>
            <w:tcW w:w="1486" w:type="dxa"/>
            <w:vAlign w:val="top"/>
          </w:tcPr>
          <w:p w14:paraId="56F38836">
            <w:pPr>
              <w:pStyle w:val="6"/>
              <w:spacing w:before="134" w:line="239" w:lineRule="auto"/>
              <w:ind w:left="730"/>
            </w:pPr>
            <w:r>
              <w:rPr>
                <w:spacing w:val="-4"/>
              </w:rPr>
              <w:t>165.1</w:t>
            </w:r>
          </w:p>
        </w:tc>
        <w:tc>
          <w:tcPr>
            <w:tcW w:w="1710" w:type="dxa"/>
            <w:vAlign w:val="top"/>
          </w:tcPr>
          <w:p w14:paraId="18413D63">
            <w:pPr>
              <w:pStyle w:val="6"/>
              <w:spacing w:before="134" w:line="239" w:lineRule="auto"/>
              <w:ind w:left="824"/>
            </w:pPr>
            <w:r>
              <w:rPr>
                <w:spacing w:val="-4"/>
              </w:rPr>
              <w:t>132.8</w:t>
            </w:r>
          </w:p>
        </w:tc>
        <w:tc>
          <w:tcPr>
            <w:tcW w:w="1349" w:type="dxa"/>
            <w:vAlign w:val="top"/>
          </w:tcPr>
          <w:p w14:paraId="37C72067">
            <w:pPr>
              <w:pStyle w:val="6"/>
              <w:spacing w:before="134" w:line="239" w:lineRule="auto"/>
              <w:ind w:left="403"/>
            </w:pPr>
            <w:r>
              <w:rPr>
                <w:spacing w:val="-4"/>
              </w:rPr>
              <w:t>129.0</w:t>
            </w:r>
          </w:p>
        </w:tc>
        <w:tc>
          <w:tcPr>
            <w:tcW w:w="1325" w:type="dxa"/>
            <w:vAlign w:val="top"/>
          </w:tcPr>
          <w:p w14:paraId="159F9453">
            <w:pPr>
              <w:pStyle w:val="6"/>
              <w:spacing w:before="134" w:line="239" w:lineRule="auto"/>
              <w:ind w:left="385"/>
            </w:pPr>
            <w:r>
              <w:rPr>
                <w:spacing w:val="-4"/>
              </w:rPr>
              <w:t>126.6</w:t>
            </w:r>
          </w:p>
        </w:tc>
      </w:tr>
      <w:tr w14:paraId="061502EC">
        <w:trPr>
          <w:trHeight w:val="424" w:hRule="atLeast"/>
        </w:trPr>
        <w:tc>
          <w:tcPr>
            <w:tcW w:w="3010" w:type="dxa"/>
            <w:vAlign w:val="top"/>
          </w:tcPr>
          <w:p w14:paraId="7799D82B">
            <w:pPr>
              <w:pStyle w:val="6"/>
              <w:spacing w:before="122" w:line="219" w:lineRule="auto"/>
              <w:ind w:left="929"/>
            </w:pPr>
            <w:r>
              <w:rPr>
                <w:spacing w:val="1"/>
              </w:rPr>
              <w:t>自然灾害暴露</w:t>
            </w:r>
          </w:p>
        </w:tc>
        <w:tc>
          <w:tcPr>
            <w:tcW w:w="1486" w:type="dxa"/>
            <w:vAlign w:val="top"/>
          </w:tcPr>
          <w:p w14:paraId="595A2991">
            <w:pPr>
              <w:pStyle w:val="6"/>
              <w:spacing w:before="143" w:line="239" w:lineRule="auto"/>
              <w:ind w:left="730"/>
            </w:pPr>
            <w:r>
              <w:rPr>
                <w:spacing w:val="-2"/>
              </w:rPr>
              <w:t>250.1</w:t>
            </w:r>
          </w:p>
        </w:tc>
        <w:tc>
          <w:tcPr>
            <w:tcW w:w="1710" w:type="dxa"/>
            <w:vAlign w:val="top"/>
          </w:tcPr>
          <w:p w14:paraId="7B29AE39">
            <w:pPr>
              <w:pStyle w:val="6"/>
              <w:spacing w:before="143" w:line="239" w:lineRule="auto"/>
              <w:ind w:left="873"/>
            </w:pPr>
            <w:r>
              <w:rPr>
                <w:spacing w:val="-5"/>
              </w:rPr>
              <w:t>14.7</w:t>
            </w:r>
          </w:p>
        </w:tc>
        <w:tc>
          <w:tcPr>
            <w:tcW w:w="1349" w:type="dxa"/>
            <w:vAlign w:val="top"/>
          </w:tcPr>
          <w:p w14:paraId="0789C0E4">
            <w:pPr>
              <w:pStyle w:val="6"/>
              <w:spacing w:before="143" w:line="239" w:lineRule="auto"/>
              <w:ind w:left="453"/>
            </w:pPr>
            <w:r>
              <w:rPr>
                <w:spacing w:val="-5"/>
              </w:rPr>
              <w:t>14.1</w:t>
            </w:r>
          </w:p>
        </w:tc>
        <w:tc>
          <w:tcPr>
            <w:tcW w:w="1325" w:type="dxa"/>
            <w:vAlign w:val="top"/>
          </w:tcPr>
          <w:p w14:paraId="684EE4EB">
            <w:pPr>
              <w:pStyle w:val="6"/>
              <w:spacing w:before="143" w:line="239" w:lineRule="auto"/>
              <w:ind w:left="435"/>
            </w:pPr>
            <w:r>
              <w:rPr>
                <w:spacing w:val="-5"/>
              </w:rPr>
              <w:t>14.0</w:t>
            </w:r>
          </w:p>
        </w:tc>
      </w:tr>
      <w:tr w14:paraId="5B080430">
        <w:trPr>
          <w:trHeight w:val="409" w:hRule="atLeast"/>
        </w:trPr>
        <w:tc>
          <w:tcPr>
            <w:tcW w:w="3010" w:type="dxa"/>
            <w:vAlign w:val="top"/>
          </w:tcPr>
          <w:p w14:paraId="05D28F18">
            <w:pPr>
              <w:pStyle w:val="6"/>
              <w:spacing w:before="118" w:line="219" w:lineRule="auto"/>
              <w:ind w:left="729"/>
            </w:pPr>
            <w:r>
              <w:rPr>
                <w:spacing w:val="15"/>
              </w:rPr>
              <w:t>自伤和人际暴力°</w:t>
            </w:r>
          </w:p>
        </w:tc>
        <w:tc>
          <w:tcPr>
            <w:tcW w:w="1486" w:type="dxa"/>
            <w:vAlign w:val="top"/>
          </w:tcPr>
          <w:p w14:paraId="7B766CB1">
            <w:pPr>
              <w:pStyle w:val="6"/>
              <w:spacing w:before="139" w:line="239" w:lineRule="auto"/>
              <w:ind w:left="730"/>
            </w:pPr>
            <w:r>
              <w:rPr>
                <w:spacing w:val="-2"/>
              </w:rPr>
              <w:t>981.6</w:t>
            </w:r>
          </w:p>
        </w:tc>
        <w:tc>
          <w:tcPr>
            <w:tcW w:w="1710" w:type="dxa"/>
            <w:vAlign w:val="top"/>
          </w:tcPr>
          <w:p w14:paraId="04124AF0">
            <w:pPr>
              <w:pStyle w:val="6"/>
              <w:spacing w:before="139" w:line="239" w:lineRule="auto"/>
              <w:ind w:left="824"/>
            </w:pPr>
            <w:r>
              <w:rPr>
                <w:spacing w:val="-2"/>
              </w:rPr>
              <w:t>908.6</w:t>
            </w:r>
          </w:p>
        </w:tc>
        <w:tc>
          <w:tcPr>
            <w:tcW w:w="1349" w:type="dxa"/>
            <w:vAlign w:val="top"/>
          </w:tcPr>
          <w:p w14:paraId="043658F4">
            <w:pPr>
              <w:pStyle w:val="6"/>
              <w:spacing w:before="139" w:line="239" w:lineRule="auto"/>
              <w:ind w:left="403"/>
            </w:pPr>
            <w:r>
              <w:rPr>
                <w:spacing w:val="-2"/>
              </w:rPr>
              <w:t>867.3</w:t>
            </w:r>
          </w:p>
        </w:tc>
        <w:tc>
          <w:tcPr>
            <w:tcW w:w="1325" w:type="dxa"/>
            <w:vAlign w:val="top"/>
          </w:tcPr>
          <w:p w14:paraId="629230EE">
            <w:pPr>
              <w:pStyle w:val="6"/>
              <w:spacing w:before="139" w:line="239" w:lineRule="auto"/>
              <w:ind w:left="385"/>
            </w:pPr>
            <w:r>
              <w:rPr>
                <w:spacing w:val="-2"/>
              </w:rPr>
              <w:t>870.4</w:t>
            </w:r>
          </w:p>
        </w:tc>
      </w:tr>
      <w:tr w14:paraId="058F1634">
        <w:trPr>
          <w:trHeight w:val="414" w:hRule="atLeast"/>
        </w:trPr>
        <w:tc>
          <w:tcPr>
            <w:tcW w:w="3010" w:type="dxa"/>
            <w:vAlign w:val="top"/>
          </w:tcPr>
          <w:p w14:paraId="6CCDEB45">
            <w:pPr>
              <w:pStyle w:val="6"/>
              <w:spacing w:before="111" w:line="219" w:lineRule="auto"/>
              <w:ind w:left="1330"/>
            </w:pPr>
            <w:r>
              <w:rPr>
                <w:spacing w:val="8"/>
              </w:rPr>
              <w:t>自伤</w:t>
            </w:r>
          </w:p>
        </w:tc>
        <w:tc>
          <w:tcPr>
            <w:tcW w:w="1486" w:type="dxa"/>
            <w:vAlign w:val="top"/>
          </w:tcPr>
          <w:p w14:paraId="0710F93A">
            <w:pPr>
              <w:pStyle w:val="6"/>
              <w:spacing w:before="130" w:line="239" w:lineRule="auto"/>
              <w:ind w:left="730"/>
            </w:pPr>
            <w:r>
              <w:rPr>
                <w:spacing w:val="-2"/>
              </w:rPr>
              <w:t>502.1</w:t>
            </w:r>
          </w:p>
        </w:tc>
        <w:tc>
          <w:tcPr>
            <w:tcW w:w="1710" w:type="dxa"/>
            <w:vAlign w:val="top"/>
          </w:tcPr>
          <w:p w14:paraId="35CE9783">
            <w:pPr>
              <w:pStyle w:val="6"/>
              <w:spacing w:before="130" w:line="239" w:lineRule="auto"/>
              <w:ind w:left="824"/>
            </w:pPr>
            <w:r>
              <w:rPr>
                <w:spacing w:val="-2"/>
              </w:rPr>
              <w:t>417.5</w:t>
            </w:r>
          </w:p>
        </w:tc>
        <w:tc>
          <w:tcPr>
            <w:tcW w:w="1349" w:type="dxa"/>
            <w:vAlign w:val="top"/>
          </w:tcPr>
          <w:p w14:paraId="7D48336B">
            <w:pPr>
              <w:pStyle w:val="6"/>
              <w:spacing w:before="130" w:line="239" w:lineRule="auto"/>
              <w:ind w:left="403"/>
            </w:pPr>
            <w:r>
              <w:rPr>
                <w:spacing w:val="-2"/>
              </w:rPr>
              <w:t>410.8</w:t>
            </w:r>
          </w:p>
        </w:tc>
        <w:tc>
          <w:tcPr>
            <w:tcW w:w="1325" w:type="dxa"/>
            <w:vAlign w:val="top"/>
          </w:tcPr>
          <w:p w14:paraId="102A363F">
            <w:pPr>
              <w:pStyle w:val="6"/>
              <w:spacing w:before="130" w:line="239" w:lineRule="auto"/>
              <w:ind w:left="385"/>
            </w:pPr>
            <w:r>
              <w:rPr>
                <w:spacing w:val="-2"/>
              </w:rPr>
              <w:t>410.1</w:t>
            </w:r>
          </w:p>
        </w:tc>
      </w:tr>
      <w:tr w14:paraId="552D3FDA">
        <w:trPr>
          <w:trHeight w:val="433" w:hRule="atLeast"/>
        </w:trPr>
        <w:tc>
          <w:tcPr>
            <w:tcW w:w="3010" w:type="dxa"/>
            <w:tcBorders>
              <w:bottom w:val="single" w:color="000000" w:sz="4" w:space="0"/>
            </w:tcBorders>
            <w:vAlign w:val="top"/>
          </w:tcPr>
          <w:p w14:paraId="611CB63B">
            <w:pPr>
              <w:pStyle w:val="6"/>
              <w:spacing w:before="125" w:line="219" w:lineRule="auto"/>
              <w:ind w:left="1130"/>
            </w:pPr>
            <w:r>
              <w:rPr>
                <w:spacing w:val="4"/>
              </w:rPr>
              <w:t>人际暴力</w:t>
            </w:r>
          </w:p>
        </w:tc>
        <w:tc>
          <w:tcPr>
            <w:tcW w:w="1486" w:type="dxa"/>
            <w:tcBorders>
              <w:bottom w:val="single" w:color="000000" w:sz="4" w:space="0"/>
            </w:tcBorders>
            <w:vAlign w:val="top"/>
          </w:tcPr>
          <w:p w14:paraId="66D741B9">
            <w:pPr>
              <w:pStyle w:val="6"/>
              <w:spacing w:before="146" w:line="239" w:lineRule="auto"/>
              <w:ind w:left="730"/>
            </w:pPr>
            <w:r>
              <w:rPr>
                <w:spacing w:val="-2"/>
              </w:rPr>
              <w:t>393.0</w:t>
            </w:r>
          </w:p>
        </w:tc>
        <w:tc>
          <w:tcPr>
            <w:tcW w:w="1710" w:type="dxa"/>
            <w:tcBorders>
              <w:bottom w:val="single" w:color="000000" w:sz="4" w:space="0"/>
            </w:tcBorders>
            <w:vAlign w:val="top"/>
          </w:tcPr>
          <w:p w14:paraId="68405DC5">
            <w:pPr>
              <w:pStyle w:val="6"/>
              <w:spacing w:before="146" w:line="239" w:lineRule="auto"/>
              <w:ind w:left="824"/>
            </w:pPr>
            <w:r>
              <w:rPr>
                <w:spacing w:val="-2"/>
              </w:rPr>
              <w:t>345.1</w:t>
            </w:r>
          </w:p>
        </w:tc>
        <w:tc>
          <w:tcPr>
            <w:tcW w:w="1349" w:type="dxa"/>
            <w:tcBorders>
              <w:bottom w:val="single" w:color="000000" w:sz="4" w:space="0"/>
            </w:tcBorders>
            <w:vAlign w:val="top"/>
          </w:tcPr>
          <w:p w14:paraId="398980CE">
            <w:pPr>
              <w:pStyle w:val="6"/>
              <w:spacing w:before="146" w:line="239" w:lineRule="auto"/>
              <w:ind w:left="403"/>
            </w:pPr>
            <w:r>
              <w:rPr>
                <w:spacing w:val="-2"/>
              </w:rPr>
              <w:t>339.4</w:t>
            </w:r>
          </w:p>
        </w:tc>
        <w:tc>
          <w:tcPr>
            <w:tcW w:w="1325" w:type="dxa"/>
            <w:tcBorders>
              <w:bottom w:val="single" w:color="000000" w:sz="4" w:space="0"/>
            </w:tcBorders>
            <w:vAlign w:val="top"/>
          </w:tcPr>
          <w:p w14:paraId="072AFCAA">
            <w:pPr>
              <w:pStyle w:val="6"/>
              <w:spacing w:before="146" w:line="239" w:lineRule="auto"/>
              <w:ind w:left="385"/>
            </w:pPr>
            <w:r>
              <w:rPr>
                <w:spacing w:val="-2"/>
              </w:rPr>
              <w:t>336.4</w:t>
            </w:r>
          </w:p>
        </w:tc>
      </w:tr>
    </w:tbl>
    <w:p w14:paraId="3E21E6E5">
      <w:pPr>
        <w:spacing w:before="53" w:line="219" w:lineRule="auto"/>
        <w:ind w:left="1259"/>
        <w:rPr>
          <w:rFonts w:ascii="宋体" w:hAnsi="宋体" w:eastAsia="宋体" w:cs="宋体"/>
          <w:sz w:val="20"/>
          <w:szCs w:val="20"/>
        </w:rPr>
      </w:pPr>
      <w:r>
        <w:rPr>
          <w:rFonts w:ascii="宋体" w:hAnsi="宋体" w:eastAsia="宋体" w:cs="宋体"/>
          <w:spacing w:val="-1"/>
          <w:sz w:val="20"/>
          <w:szCs w:val="20"/>
        </w:rPr>
        <w:t>注：*仅列出常见类型。</w:t>
      </w:r>
    </w:p>
    <w:p w14:paraId="26F76CEF">
      <w:pPr>
        <w:spacing w:before="31" w:line="192" w:lineRule="auto"/>
        <w:ind w:right="20"/>
        <w:jc w:val="right"/>
        <w:rPr>
          <w:rFonts w:ascii="Times New Roman" w:hAnsi="Times New Roman" w:eastAsia="Times New Roman" w:cs="Times New Roman"/>
          <w:sz w:val="20"/>
          <w:szCs w:val="20"/>
        </w:rPr>
      </w:pPr>
      <w:r>
        <w:rPr>
          <w:rFonts w:ascii="Times New Roman" w:hAnsi="Times New Roman" w:eastAsia="Times New Roman" w:cs="Times New Roman"/>
          <w:spacing w:val="-4"/>
          <w:sz w:val="20"/>
          <w:szCs w:val="20"/>
        </w:rPr>
        <w:t>(GBD,2021)</w:t>
      </w:r>
    </w:p>
    <w:p w14:paraId="54974835">
      <w:pPr>
        <w:spacing w:line="413" w:lineRule="auto"/>
        <w:rPr>
          <w:rFonts w:ascii="Arial"/>
          <w:sz w:val="21"/>
        </w:rPr>
      </w:pPr>
    </w:p>
    <w:p w14:paraId="6648F29C">
      <w:pPr>
        <w:pStyle w:val="2"/>
        <w:spacing w:before="78" w:line="221" w:lineRule="auto"/>
        <w:ind w:left="1103"/>
        <w:outlineLvl w:val="4"/>
        <w:rPr>
          <w:sz w:val="24"/>
          <w:szCs w:val="24"/>
        </w:rPr>
      </w:pPr>
      <w:bookmarkStart w:id="398" w:name="bookmark252"/>
      <w:bookmarkEnd w:id="398"/>
      <w:r>
        <w:rPr>
          <w:b/>
          <w:bCs/>
          <w:sz w:val="24"/>
          <w:szCs w:val="24"/>
        </w:rPr>
        <w:t>二</w:t>
      </w:r>
      <w:r>
        <w:rPr>
          <w:spacing w:val="-51"/>
          <w:sz w:val="24"/>
          <w:szCs w:val="24"/>
        </w:rPr>
        <w:t xml:space="preserve"> </w:t>
      </w:r>
      <w:r>
        <w:rPr>
          <w:b/>
          <w:bCs/>
          <w:sz w:val="24"/>
          <w:szCs w:val="24"/>
        </w:rPr>
        <w:t>、我国的流行特征</w:t>
      </w:r>
    </w:p>
    <w:p w14:paraId="166FF70A">
      <w:pPr>
        <w:spacing w:before="276" w:line="340" w:lineRule="auto"/>
        <w:ind w:left="699" w:right="50" w:firstLine="399"/>
        <w:jc w:val="both"/>
        <w:rPr>
          <w:rFonts w:ascii="宋体" w:hAnsi="宋体" w:eastAsia="宋体" w:cs="宋体"/>
          <w:sz w:val="20"/>
          <w:szCs w:val="20"/>
        </w:rPr>
      </w:pPr>
      <w:r>
        <w:rPr>
          <w:rFonts w:ascii="宋体" w:hAnsi="宋体" w:eastAsia="宋体" w:cs="宋体"/>
          <w:spacing w:val="16"/>
          <w:sz w:val="20"/>
          <w:szCs w:val="20"/>
        </w:rPr>
        <w:t xml:space="preserve">2021年全国疾病监测系统死因监测结果显示，伤害位居我国居民死因顺位的第5位(死亡率 </w:t>
      </w:r>
      <w:r>
        <w:rPr>
          <w:rFonts w:ascii="宋体" w:hAnsi="宋体" w:eastAsia="宋体" w:cs="宋体"/>
          <w:spacing w:val="10"/>
          <w:sz w:val="20"/>
          <w:szCs w:val="20"/>
        </w:rPr>
        <w:t>46.90/10万),占全人群死亡的6.61%。值得关注的是，每发生1例因伤致死的事件，同时会伴有更</w:t>
      </w:r>
      <w:r>
        <w:rPr>
          <w:rFonts w:ascii="宋体" w:hAnsi="宋体" w:eastAsia="宋体" w:cs="宋体"/>
          <w:spacing w:val="8"/>
          <w:sz w:val="20"/>
          <w:szCs w:val="20"/>
        </w:rPr>
        <w:t xml:space="preserve"> </w:t>
      </w:r>
      <w:r>
        <w:rPr>
          <w:rFonts w:ascii="宋体" w:hAnsi="宋体" w:eastAsia="宋体" w:cs="宋体"/>
          <w:spacing w:val="9"/>
          <w:sz w:val="20"/>
          <w:szCs w:val="20"/>
        </w:rPr>
        <w:t>多的因伤住院、因伤致残等其他后果。我国每年在伤害方面消耗的直接医疗费用约为6</w:t>
      </w:r>
      <w:r>
        <w:rPr>
          <w:rFonts w:ascii="宋体" w:hAnsi="宋体" w:eastAsia="宋体" w:cs="宋体"/>
          <w:spacing w:val="8"/>
          <w:sz w:val="20"/>
          <w:szCs w:val="20"/>
        </w:rPr>
        <w:t>50亿元人民</w:t>
      </w:r>
      <w:r>
        <w:rPr>
          <w:rFonts w:ascii="宋体" w:hAnsi="宋体" w:eastAsia="宋体" w:cs="宋体"/>
          <w:sz w:val="20"/>
          <w:szCs w:val="20"/>
        </w:rPr>
        <w:t xml:space="preserve"> </w:t>
      </w:r>
      <w:r>
        <w:rPr>
          <w:rFonts w:ascii="宋体" w:hAnsi="宋体" w:eastAsia="宋体" w:cs="宋体"/>
          <w:spacing w:val="7"/>
          <w:sz w:val="20"/>
          <w:szCs w:val="20"/>
        </w:rPr>
        <w:t>币，每年造成的生产力损失达1260万人年，超过呼</w:t>
      </w:r>
      <w:r>
        <w:rPr>
          <w:rFonts w:ascii="宋体" w:hAnsi="宋体" w:eastAsia="宋体" w:cs="宋体"/>
          <w:spacing w:val="6"/>
          <w:sz w:val="20"/>
          <w:szCs w:val="20"/>
        </w:rPr>
        <w:t>吸系统疾病、心血管疾病、传染病和肿瘤造成的</w:t>
      </w:r>
      <w:r>
        <w:rPr>
          <w:rFonts w:ascii="宋体" w:hAnsi="宋体" w:eastAsia="宋体" w:cs="宋体"/>
          <w:sz w:val="20"/>
          <w:szCs w:val="20"/>
        </w:rPr>
        <w:t xml:space="preserve"> </w:t>
      </w:r>
      <w:r>
        <w:rPr>
          <w:rFonts w:ascii="宋体" w:hAnsi="宋体" w:eastAsia="宋体" w:cs="宋体"/>
          <w:spacing w:val="13"/>
          <w:sz w:val="20"/>
          <w:szCs w:val="20"/>
        </w:rPr>
        <w:t>损失。</w:t>
      </w:r>
    </w:p>
    <w:p w14:paraId="0406E2C6">
      <w:pPr>
        <w:pStyle w:val="2"/>
        <w:spacing w:before="1" w:line="222" w:lineRule="auto"/>
        <w:ind w:left="1099"/>
        <w:rPr>
          <w:sz w:val="24"/>
          <w:szCs w:val="24"/>
        </w:rPr>
      </w:pPr>
      <w:r>
        <w:rPr>
          <w:spacing w:val="-3"/>
          <w:sz w:val="24"/>
          <w:szCs w:val="24"/>
        </w:rPr>
        <w:t>(一)地区分布</w:t>
      </w:r>
    </w:p>
    <w:p w14:paraId="0C951B71">
      <w:pPr>
        <w:spacing w:before="109" w:line="350" w:lineRule="auto"/>
        <w:ind w:left="699" w:right="90" w:firstLine="399"/>
        <w:rPr>
          <w:rFonts w:ascii="宋体" w:hAnsi="宋体" w:eastAsia="宋体" w:cs="宋体"/>
          <w:sz w:val="20"/>
          <w:szCs w:val="20"/>
        </w:rPr>
      </w:pPr>
      <w:r>
        <w:rPr>
          <w:rFonts w:ascii="宋体" w:hAnsi="宋体" w:eastAsia="宋体" w:cs="宋体"/>
          <w:spacing w:val="6"/>
          <w:sz w:val="20"/>
          <w:szCs w:val="20"/>
        </w:rPr>
        <w:t>在城乡分布上，2004—2021年我国居民主要伤害死亡率变化趋势的分析结果显示，每年农村伤</w:t>
      </w:r>
      <w:r>
        <w:rPr>
          <w:rFonts w:ascii="宋体" w:hAnsi="宋体" w:eastAsia="宋体" w:cs="宋体"/>
          <w:sz w:val="20"/>
          <w:szCs w:val="20"/>
        </w:rPr>
        <w:t xml:space="preserve"> </w:t>
      </w:r>
      <w:r>
        <w:rPr>
          <w:rFonts w:ascii="宋体" w:hAnsi="宋体" w:eastAsia="宋体" w:cs="宋体"/>
          <w:spacing w:val="3"/>
          <w:sz w:val="20"/>
          <w:szCs w:val="20"/>
        </w:rPr>
        <w:t>害标准化死亡率均高于城市，其中农村男性高于农村女性，城市男性高于城市女性，见图15-2。</w:t>
      </w:r>
    </w:p>
    <w:p w14:paraId="5C1CB533">
      <w:pPr>
        <w:pStyle w:val="2"/>
        <w:spacing w:before="1" w:line="220" w:lineRule="auto"/>
        <w:ind w:left="1099"/>
        <w:rPr>
          <w:sz w:val="20"/>
          <w:szCs w:val="20"/>
        </w:rPr>
      </w:pPr>
      <w:r>
        <w:rPr>
          <w:spacing w:val="31"/>
          <w:sz w:val="20"/>
          <w:szCs w:val="20"/>
        </w:rPr>
        <w:t>(二)人群分布</w:t>
      </w:r>
    </w:p>
    <w:p w14:paraId="28F99E0B">
      <w:pPr>
        <w:spacing w:before="124" w:line="343" w:lineRule="auto"/>
        <w:ind w:left="699" w:firstLine="399"/>
        <w:jc w:val="both"/>
        <w:rPr>
          <w:rFonts w:ascii="宋体" w:hAnsi="宋体" w:eastAsia="宋体" w:cs="宋体"/>
          <w:sz w:val="20"/>
          <w:szCs w:val="20"/>
        </w:rPr>
      </w:pPr>
      <w:r>
        <w:rPr>
          <w:rFonts w:ascii="宋体" w:hAnsi="宋体" w:eastAsia="宋体" w:cs="宋体"/>
          <w:spacing w:val="8"/>
          <w:sz w:val="20"/>
          <w:szCs w:val="20"/>
        </w:rPr>
        <w:t>2004—2021年我国居民男性伤害标准化死亡率均高于女性，其中男性和女性的道路交通伤害、</w:t>
      </w:r>
      <w:r>
        <w:rPr>
          <w:rFonts w:ascii="宋体" w:hAnsi="宋体" w:eastAsia="宋体" w:cs="宋体"/>
          <w:sz w:val="20"/>
          <w:szCs w:val="20"/>
        </w:rPr>
        <w:t xml:space="preserve"> </w:t>
      </w:r>
      <w:r>
        <w:rPr>
          <w:rFonts w:ascii="宋体" w:hAnsi="宋体" w:eastAsia="宋体" w:cs="宋体"/>
          <w:spacing w:val="9"/>
          <w:sz w:val="20"/>
          <w:szCs w:val="20"/>
        </w:rPr>
        <w:t>溺水、自杀及后遗症和非故意中毒的标准化死亡率分别以年均-5.78%、-4.21%、-4.94%、-2.</w:t>
      </w:r>
      <w:r>
        <w:rPr>
          <w:rFonts w:ascii="宋体" w:hAnsi="宋体" w:eastAsia="宋体" w:cs="宋体"/>
          <w:spacing w:val="8"/>
          <w:sz w:val="20"/>
          <w:szCs w:val="20"/>
        </w:rPr>
        <w:t>85%</w:t>
      </w:r>
      <w:r>
        <w:rPr>
          <w:rFonts w:ascii="宋体" w:hAnsi="宋体" w:eastAsia="宋体" w:cs="宋体"/>
          <w:sz w:val="20"/>
          <w:szCs w:val="20"/>
        </w:rPr>
        <w:t xml:space="preserve"> </w:t>
      </w:r>
      <w:r>
        <w:rPr>
          <w:rFonts w:ascii="宋体" w:hAnsi="宋体" w:eastAsia="宋体" w:cs="宋体"/>
          <w:spacing w:val="10"/>
          <w:sz w:val="20"/>
          <w:szCs w:val="20"/>
        </w:rPr>
        <w:t>和-4.28%、</w:t>
      </w:r>
      <w:r>
        <w:rPr>
          <w:rFonts w:ascii="宋体" w:hAnsi="宋体" w:eastAsia="宋体" w:cs="宋体"/>
          <w:spacing w:val="-55"/>
          <w:sz w:val="20"/>
          <w:szCs w:val="20"/>
        </w:rPr>
        <w:t xml:space="preserve"> </w:t>
      </w:r>
      <w:r>
        <w:rPr>
          <w:rFonts w:ascii="宋体" w:hAnsi="宋体" w:eastAsia="宋体" w:cs="宋体"/>
          <w:spacing w:val="10"/>
          <w:sz w:val="20"/>
          <w:szCs w:val="20"/>
        </w:rPr>
        <w:t>-3.98%、</w:t>
      </w:r>
      <w:r>
        <w:rPr>
          <w:rFonts w:ascii="宋体" w:hAnsi="宋体" w:eastAsia="宋体" w:cs="宋体"/>
          <w:spacing w:val="-53"/>
          <w:sz w:val="20"/>
          <w:szCs w:val="20"/>
        </w:rPr>
        <w:t xml:space="preserve"> </w:t>
      </w:r>
      <w:r>
        <w:rPr>
          <w:rFonts w:ascii="宋体" w:hAnsi="宋体" w:eastAsia="宋体" w:cs="宋体"/>
          <w:spacing w:val="10"/>
          <w:sz w:val="20"/>
          <w:szCs w:val="20"/>
        </w:rPr>
        <w:t>-6.67%、</w:t>
      </w:r>
      <w:r>
        <w:rPr>
          <w:rFonts w:ascii="宋体" w:hAnsi="宋体" w:eastAsia="宋体" w:cs="宋体"/>
          <w:spacing w:val="-54"/>
          <w:sz w:val="20"/>
          <w:szCs w:val="20"/>
        </w:rPr>
        <w:t xml:space="preserve"> </w:t>
      </w:r>
      <w:r>
        <w:rPr>
          <w:rFonts w:ascii="宋体" w:hAnsi="宋体" w:eastAsia="宋体" w:cs="宋体"/>
          <w:spacing w:val="10"/>
          <w:sz w:val="20"/>
          <w:szCs w:val="20"/>
        </w:rPr>
        <w:t>-4.13%的速</w:t>
      </w:r>
      <w:r>
        <w:rPr>
          <w:rFonts w:ascii="宋体" w:hAnsi="宋体" w:eastAsia="宋体" w:cs="宋体"/>
          <w:spacing w:val="9"/>
          <w:sz w:val="20"/>
          <w:szCs w:val="20"/>
        </w:rPr>
        <w:t>度下降，非故意跌倒分别以年均0.76%和2.22%的速度</w:t>
      </w:r>
      <w:r>
        <w:rPr>
          <w:rFonts w:ascii="宋体" w:hAnsi="宋体" w:eastAsia="宋体" w:cs="宋体"/>
          <w:sz w:val="20"/>
          <w:szCs w:val="20"/>
        </w:rPr>
        <w:t xml:space="preserve"> </w:t>
      </w:r>
      <w:r>
        <w:rPr>
          <w:rFonts w:ascii="宋体" w:hAnsi="宋体" w:eastAsia="宋体" w:cs="宋体"/>
          <w:spacing w:val="3"/>
          <w:sz w:val="20"/>
          <w:szCs w:val="20"/>
        </w:rPr>
        <w:t>上升。</w:t>
      </w:r>
    </w:p>
    <w:p w14:paraId="5C299472">
      <w:pPr>
        <w:spacing w:before="12" w:line="219" w:lineRule="auto"/>
        <w:ind w:left="1099"/>
        <w:rPr>
          <w:rFonts w:ascii="宋体" w:hAnsi="宋体" w:eastAsia="宋体" w:cs="宋体"/>
          <w:sz w:val="20"/>
          <w:szCs w:val="20"/>
        </w:rPr>
      </w:pPr>
      <w:r>
        <w:rPr>
          <w:rFonts w:ascii="宋体" w:hAnsi="宋体" w:eastAsia="宋体" w:cs="宋体"/>
          <w:spacing w:val="21"/>
          <w:sz w:val="20"/>
          <w:szCs w:val="20"/>
        </w:rPr>
        <w:t>在不同年龄阶段，主要的伤害致死原因各异。0~&lt;15岁，溺水是该年龄组死亡首因；</w:t>
      </w:r>
      <w:r>
        <w:rPr>
          <w:rFonts w:ascii="宋体" w:hAnsi="宋体" w:eastAsia="宋体" w:cs="宋体"/>
          <w:spacing w:val="20"/>
          <w:sz w:val="20"/>
          <w:szCs w:val="20"/>
        </w:rPr>
        <w:t>15~</w:t>
      </w:r>
    </w:p>
    <w:p w14:paraId="44B65C0C">
      <w:pPr>
        <w:spacing w:line="219" w:lineRule="auto"/>
        <w:rPr>
          <w:rFonts w:ascii="宋体" w:hAnsi="宋体" w:eastAsia="宋体" w:cs="宋体"/>
          <w:sz w:val="20"/>
          <w:szCs w:val="20"/>
        </w:rPr>
        <w:sectPr>
          <w:footerReference r:id="rId257" w:type="default"/>
          <w:pgSz w:w="11900" w:h="16820"/>
          <w:pgMar w:top="400" w:right="1469" w:bottom="819" w:left="770" w:header="0" w:footer="639" w:gutter="0"/>
          <w:cols w:space="720" w:num="1"/>
        </w:sectPr>
      </w:pPr>
    </w:p>
    <w:p w14:paraId="139EE46B">
      <w:pPr>
        <w:pStyle w:val="2"/>
        <w:spacing w:before="46" w:line="221" w:lineRule="auto"/>
        <w:ind w:left="7050"/>
        <w:rPr>
          <w:sz w:val="19"/>
          <w:szCs w:val="19"/>
        </w:rPr>
      </w:pPr>
      <w:bookmarkStart w:id="399" w:name="bookmark535"/>
      <w:bookmarkEnd w:id="399"/>
      <w:r>
        <w:rPr>
          <w:spacing w:val="-5"/>
          <w:sz w:val="19"/>
          <w:szCs w:val="19"/>
        </w:rPr>
        <w:t>第十五章伤害流行病学</w:t>
      </w:r>
    </w:p>
    <w:p w14:paraId="00BB8B24">
      <w:pPr>
        <w:spacing w:line="449" w:lineRule="auto"/>
        <w:rPr>
          <w:rFonts w:ascii="Arial"/>
          <w:sz w:val="21"/>
        </w:rPr>
      </w:pPr>
    </w:p>
    <w:p w14:paraId="3AFECE46">
      <w:pPr>
        <w:spacing w:before="62" w:line="219" w:lineRule="auto"/>
        <w:ind w:left="5239"/>
        <w:rPr>
          <w:rFonts w:ascii="宋体" w:hAnsi="宋体" w:eastAsia="宋体" w:cs="宋体"/>
          <w:sz w:val="19"/>
          <w:szCs w:val="19"/>
        </w:rPr>
      </w:pPr>
      <w:r>
        <w:pict>
          <v:shape id="_x0000_s1175" o:spid="_x0000_s1175" o:spt="202" type="#_x0000_t202" style="position:absolute;left:0pt;margin-left:44.45pt;margin-top:8.5pt;height:8.8pt;width:9.35pt;z-index:251876352;mso-width-relative:page;mso-height-relative:page;" filled="f" stroked="f" coordsize="21600,21600">
            <v:path/>
            <v:fill on="f" focussize="0,0"/>
            <v:stroke on="f"/>
            <v:imagedata o:title=""/>
            <o:lock v:ext="edit" aspectratio="f"/>
            <v:textbox inset="0mm,0mm,0mm,0mm">
              <w:txbxContent>
                <w:p w14:paraId="5E3A11F8">
                  <w:pPr>
                    <w:spacing w:before="20" w:line="188" w:lineRule="auto"/>
                    <w:ind w:left="20"/>
                    <w:rPr>
                      <w:rFonts w:ascii="Times New Roman" w:hAnsi="Times New Roman" w:eastAsia="Times New Roman" w:cs="Times New Roman"/>
                      <w:sz w:val="15"/>
                      <w:szCs w:val="15"/>
                    </w:rPr>
                  </w:pPr>
                  <w:r>
                    <w:rPr>
                      <w:rFonts w:ascii="Times New Roman" w:hAnsi="Times New Roman" w:eastAsia="Times New Roman" w:cs="Times New Roman"/>
                      <w:spacing w:val="-1"/>
                      <w:sz w:val="15"/>
                      <w:szCs w:val="15"/>
                    </w:rPr>
                    <w:t>20</w:t>
                  </w:r>
                </w:p>
              </w:txbxContent>
            </v:textbox>
          </v:shape>
        </w:pict>
      </w:r>
      <w:r>
        <w:rPr>
          <w:rFonts w:ascii="宋体" w:hAnsi="宋体" w:eastAsia="宋体" w:cs="宋体"/>
          <w:spacing w:val="-10"/>
          <w:sz w:val="19"/>
          <w:szCs w:val="19"/>
        </w:rPr>
        <w:t>一    城市男性</w:t>
      </w:r>
    </w:p>
    <w:p w14:paraId="785D6C96">
      <w:pPr>
        <w:spacing w:before="173" w:line="219" w:lineRule="auto"/>
        <w:ind w:left="5620"/>
        <w:rPr>
          <w:rFonts w:ascii="宋体" w:hAnsi="宋体" w:eastAsia="宋体" w:cs="宋体"/>
          <w:sz w:val="19"/>
          <w:szCs w:val="19"/>
        </w:rPr>
      </w:pPr>
      <w:r>
        <w:rPr>
          <w:rFonts w:ascii="宋体" w:hAnsi="宋体" w:eastAsia="宋体" w:cs="宋体"/>
          <w:spacing w:val="-2"/>
          <w:sz w:val="19"/>
          <w:szCs w:val="19"/>
        </w:rPr>
        <w:t>-农村男性</w:t>
      </w:r>
    </w:p>
    <w:p w14:paraId="01C9A4BC">
      <w:pPr>
        <w:spacing w:before="195" w:line="212" w:lineRule="auto"/>
        <w:ind w:left="5590"/>
        <w:rPr>
          <w:rFonts w:ascii="宋体" w:hAnsi="宋体" w:eastAsia="宋体" w:cs="宋体"/>
          <w:sz w:val="19"/>
          <w:szCs w:val="19"/>
        </w:rPr>
      </w:pPr>
      <w:r>
        <w:rPr>
          <w:rFonts w:ascii="宋体" w:hAnsi="宋体" w:eastAsia="宋体" w:cs="宋体"/>
          <w:spacing w:val="4"/>
          <w:sz w:val="19"/>
          <w:szCs w:val="19"/>
        </w:rPr>
        <w:t>-城市女性</w:t>
      </w:r>
    </w:p>
    <w:p w14:paraId="49752374">
      <w:pPr>
        <w:spacing w:line="188" w:lineRule="auto"/>
        <w:ind w:left="909"/>
        <w:rPr>
          <w:rFonts w:ascii="Times New Roman" w:hAnsi="Times New Roman" w:eastAsia="Times New Roman" w:cs="Times New Roman"/>
          <w:sz w:val="15"/>
          <w:szCs w:val="15"/>
        </w:rPr>
      </w:pPr>
      <w:r>
        <w:drawing>
          <wp:anchor distT="0" distB="0" distL="0" distR="0" simplePos="0" relativeHeight="251855872" behindDoc="1" locked="0" layoutInCell="1" allowOverlap="1">
            <wp:simplePos x="0" y="0"/>
            <wp:positionH relativeFrom="column">
              <wp:posOffset>558800</wp:posOffset>
            </wp:positionH>
            <wp:positionV relativeFrom="paragraph">
              <wp:posOffset>-682625</wp:posOffset>
            </wp:positionV>
            <wp:extent cx="4768850" cy="3302000"/>
            <wp:effectExtent l="0" t="0" r="0" b="0"/>
            <wp:wrapNone/>
            <wp:docPr id="604" name="IM 604"/>
            <wp:cNvGraphicFramePr/>
            <a:graphic xmlns:a="http://schemas.openxmlformats.org/drawingml/2006/main">
              <a:graphicData uri="http://schemas.openxmlformats.org/drawingml/2006/picture">
                <pic:pic xmlns:pic="http://schemas.openxmlformats.org/drawingml/2006/picture">
                  <pic:nvPicPr>
                    <pic:cNvPr id="604" name="IM 604"/>
                    <pic:cNvPicPr/>
                  </pic:nvPicPr>
                  <pic:blipFill>
                    <a:blip r:embed="rId643"/>
                    <a:stretch>
                      <a:fillRect/>
                    </a:stretch>
                  </pic:blipFill>
                  <pic:spPr>
                    <a:xfrm>
                      <a:off x="0" y="0"/>
                      <a:ext cx="4768831" cy="3302045"/>
                    </a:xfrm>
                    <a:prstGeom prst="rect">
                      <a:avLst/>
                    </a:prstGeom>
                  </pic:spPr>
                </pic:pic>
              </a:graphicData>
            </a:graphic>
          </wp:anchor>
        </w:drawing>
      </w:r>
      <w:r>
        <w:rPr>
          <w:rFonts w:ascii="Times New Roman" w:hAnsi="Times New Roman" w:eastAsia="Times New Roman" w:cs="Times New Roman"/>
          <w:spacing w:val="-5"/>
          <w:sz w:val="15"/>
          <w:szCs w:val="15"/>
        </w:rPr>
        <w:t>16</w:t>
      </w:r>
    </w:p>
    <w:p w14:paraId="7BDDE7B4">
      <w:pPr>
        <w:pStyle w:val="2"/>
        <w:spacing w:before="35" w:line="222" w:lineRule="auto"/>
        <w:ind w:left="5239"/>
        <w:rPr>
          <w:rFonts w:ascii="宋体" w:hAnsi="宋体" w:eastAsia="宋体" w:cs="宋体"/>
          <w:sz w:val="19"/>
          <w:szCs w:val="19"/>
        </w:rPr>
      </w:pPr>
      <w:r>
        <w:rPr>
          <w:spacing w:val="-10"/>
          <w:sz w:val="19"/>
          <w:szCs w:val="19"/>
        </w:rPr>
        <w:t>--3-一</w:t>
      </w:r>
      <w:r>
        <w:rPr>
          <w:rFonts w:ascii="宋体" w:hAnsi="宋体" w:eastAsia="宋体" w:cs="宋体"/>
          <w:spacing w:val="-10"/>
          <w:sz w:val="19"/>
          <w:szCs w:val="19"/>
        </w:rPr>
        <w:t>农村女性</w:t>
      </w:r>
    </w:p>
    <w:p w14:paraId="051384CC">
      <w:pPr>
        <w:spacing w:line="456" w:lineRule="auto"/>
        <w:rPr>
          <w:rFonts w:ascii="Arial"/>
          <w:sz w:val="21"/>
        </w:rPr>
      </w:pPr>
      <w:r>
        <mc:AlternateContent>
          <mc:Choice Requires="wps">
            <w:drawing>
              <wp:anchor distT="0" distB="0" distL="0" distR="0" simplePos="0" relativeHeight="251856896" behindDoc="0" locked="0" layoutInCell="1" allowOverlap="1">
                <wp:simplePos x="0" y="0"/>
                <wp:positionH relativeFrom="column">
                  <wp:posOffset>-23495</wp:posOffset>
                </wp:positionH>
                <wp:positionV relativeFrom="paragraph">
                  <wp:posOffset>573405</wp:posOffset>
                </wp:positionV>
                <wp:extent cx="880110" cy="227965"/>
                <wp:effectExtent l="0" t="0" r="0" b="0"/>
                <wp:wrapNone/>
                <wp:docPr id="606" name="TextBox 606"/>
                <wp:cNvGraphicFramePr/>
                <a:graphic xmlns:a="http://schemas.openxmlformats.org/drawingml/2006/main">
                  <a:graphicData uri="http://schemas.microsoft.com/office/word/2010/wordprocessingShape">
                    <wps:wsp>
                      <wps:cNvSpPr txBox="1"/>
                      <wps:spPr>
                        <a:xfrm rot="16200000">
                          <a:off x="-23942" y="573513"/>
                          <a:ext cx="880110" cy="227965"/>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22A41DE2">
                            <w:pPr>
                              <w:spacing w:before="64" w:line="220" w:lineRule="auto"/>
                              <w:ind w:left="20"/>
                              <w:rPr>
                                <w:rFonts w:ascii="宋体" w:hAnsi="宋体" w:eastAsia="宋体" w:cs="宋体"/>
                                <w:sz w:val="23"/>
                                <w:szCs w:val="23"/>
                              </w:rPr>
                            </w:pPr>
                            <w:r>
                              <w:rPr>
                                <w:rFonts w:ascii="宋体" w:hAnsi="宋体" w:eastAsia="宋体" w:cs="宋体"/>
                                <w:spacing w:val="-12"/>
                                <w:sz w:val="23"/>
                                <w:szCs w:val="23"/>
                              </w:rPr>
                              <w:t>VADR/(1/10万)</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606" o:spid="_x0000_s1026" o:spt="202" type="#_x0000_t202" style="position:absolute;left:0pt;margin-left:-1.85pt;margin-top:45.15pt;height:17.95pt;width:69.3pt;rotation:-5898240f;z-index:251856896;mso-width-relative:page;mso-height-relative:page;" filled="f" stroked="f" coordsize="21600,21600" o:gfxdata="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B0wtWI2AAAAAkBAAAP&#10;AAAAAAAAAAEAIAAAACIAAABkcnMvZG93bnJldi54bWxQSwECFAAUAAAACACHTuJAWLinQ1ECAACj&#10;BAAADgAAAAAAAAABACAAAAAnAQAAZHJzL2Uyb0RvYy54bWxQSwUGAAAAAAYABgBZAQAA6gUAAAAA&#10;">
                <v:fill on="f" focussize="0,0"/>
                <v:stroke on="f" weight="0pt" miterlimit="0" joinstyle="miter"/>
                <v:imagedata o:title=""/>
                <o:lock v:ext="edit" aspectratio="f"/>
                <v:textbox inset="0mm,0mm,0mm,0mm">
                  <w:txbxContent>
                    <w:p w14:paraId="22A41DE2">
                      <w:pPr>
                        <w:spacing w:before="64" w:line="220" w:lineRule="auto"/>
                        <w:ind w:left="20"/>
                        <w:rPr>
                          <w:rFonts w:ascii="宋体" w:hAnsi="宋体" w:eastAsia="宋体" w:cs="宋体"/>
                          <w:sz w:val="23"/>
                          <w:szCs w:val="23"/>
                        </w:rPr>
                      </w:pPr>
                      <w:r>
                        <w:rPr>
                          <w:rFonts w:ascii="宋体" w:hAnsi="宋体" w:eastAsia="宋体" w:cs="宋体"/>
                          <w:spacing w:val="-12"/>
                          <w:sz w:val="23"/>
                          <w:szCs w:val="23"/>
                        </w:rPr>
                        <w:t>VADR/(1/10万)</w:t>
                      </w:r>
                    </w:p>
                  </w:txbxContent>
                </v:textbox>
              </v:shape>
            </w:pict>
          </mc:Fallback>
        </mc:AlternateContent>
      </w:r>
    </w:p>
    <w:p w14:paraId="2D630623">
      <w:pPr>
        <w:spacing w:before="43" w:line="188" w:lineRule="auto"/>
        <w:ind w:left="909"/>
        <w:rPr>
          <w:rFonts w:ascii="Times New Roman" w:hAnsi="Times New Roman" w:eastAsia="Times New Roman" w:cs="Times New Roman"/>
          <w:sz w:val="15"/>
          <w:szCs w:val="15"/>
        </w:rPr>
      </w:pPr>
      <w:r>
        <w:rPr>
          <w:rFonts w:ascii="Times New Roman" w:hAnsi="Times New Roman" w:eastAsia="Times New Roman" w:cs="Times New Roman"/>
          <w:spacing w:val="-5"/>
          <w:sz w:val="15"/>
          <w:szCs w:val="15"/>
        </w:rPr>
        <w:t>12</w:t>
      </w:r>
    </w:p>
    <w:p w14:paraId="659BE143">
      <w:pPr>
        <w:spacing w:line="335" w:lineRule="auto"/>
        <w:rPr>
          <w:rFonts w:ascii="Arial"/>
          <w:sz w:val="21"/>
        </w:rPr>
      </w:pPr>
    </w:p>
    <w:p w14:paraId="7B9E28BB">
      <w:pPr>
        <w:spacing w:line="336" w:lineRule="auto"/>
        <w:rPr>
          <w:rFonts w:ascii="Arial"/>
          <w:sz w:val="21"/>
        </w:rPr>
      </w:pPr>
    </w:p>
    <w:p w14:paraId="7F6AE117">
      <w:pPr>
        <w:spacing w:before="56"/>
        <w:ind w:left="1009"/>
        <w:rPr>
          <w:rFonts w:ascii="宋体" w:hAnsi="宋体" w:eastAsia="宋体" w:cs="宋体"/>
          <w:sz w:val="17"/>
          <w:szCs w:val="17"/>
        </w:rPr>
      </w:pPr>
      <w:r>
        <w:rPr>
          <w:rFonts w:ascii="宋体" w:hAnsi="宋体" w:eastAsia="宋体" w:cs="宋体"/>
          <w:sz w:val="17"/>
          <w:szCs w:val="17"/>
        </w:rPr>
        <w:t>8</w:t>
      </w:r>
    </w:p>
    <w:p w14:paraId="404251E7">
      <w:pPr>
        <w:spacing w:line="337" w:lineRule="auto"/>
        <w:rPr>
          <w:rFonts w:ascii="Arial"/>
          <w:sz w:val="21"/>
        </w:rPr>
      </w:pPr>
    </w:p>
    <w:p w14:paraId="055C5A7D">
      <w:pPr>
        <w:spacing w:line="338" w:lineRule="auto"/>
        <w:rPr>
          <w:rFonts w:ascii="Arial"/>
          <w:sz w:val="21"/>
        </w:rPr>
      </w:pPr>
    </w:p>
    <w:p w14:paraId="4E279C85">
      <w:pPr>
        <w:spacing w:before="44" w:line="188" w:lineRule="auto"/>
        <w:ind w:left="999"/>
        <w:rPr>
          <w:rFonts w:ascii="Times New Roman" w:hAnsi="Times New Roman" w:eastAsia="Times New Roman" w:cs="Times New Roman"/>
          <w:sz w:val="15"/>
          <w:szCs w:val="15"/>
        </w:rPr>
      </w:pPr>
      <w:r>
        <w:rPr>
          <w:rFonts w:ascii="Times New Roman" w:hAnsi="Times New Roman" w:eastAsia="Times New Roman" w:cs="Times New Roman"/>
          <w:sz w:val="15"/>
          <w:szCs w:val="15"/>
        </w:rPr>
        <w:t>4</w:t>
      </w:r>
    </w:p>
    <w:p w14:paraId="14C07B4B">
      <w:pPr>
        <w:spacing w:line="352" w:lineRule="auto"/>
        <w:rPr>
          <w:rFonts w:ascii="Arial"/>
          <w:sz w:val="21"/>
        </w:rPr>
      </w:pPr>
    </w:p>
    <w:p w14:paraId="024DB275">
      <w:pPr>
        <w:spacing w:line="353" w:lineRule="auto"/>
        <w:rPr>
          <w:rFonts w:ascii="Arial"/>
          <w:sz w:val="21"/>
        </w:rPr>
      </w:pPr>
    </w:p>
    <w:p w14:paraId="799CC5BD">
      <w:pPr>
        <w:spacing w:before="44" w:line="188" w:lineRule="auto"/>
        <w:ind w:left="999"/>
        <w:rPr>
          <w:rFonts w:ascii="Times New Roman" w:hAnsi="Times New Roman" w:eastAsia="Times New Roman" w:cs="Times New Roman"/>
          <w:sz w:val="15"/>
          <w:szCs w:val="15"/>
        </w:rPr>
      </w:pPr>
      <w:r>
        <mc:AlternateContent>
          <mc:Choice Requires="wps">
            <w:drawing>
              <wp:anchor distT="0" distB="0" distL="0" distR="0" simplePos="0" relativeHeight="251875328" behindDoc="0" locked="0" layoutInCell="1" allowOverlap="1">
                <wp:simplePos x="0" y="0"/>
                <wp:positionH relativeFrom="column">
                  <wp:posOffset>635000</wp:posOffset>
                </wp:positionH>
                <wp:positionV relativeFrom="paragraph">
                  <wp:posOffset>93980</wp:posOffset>
                </wp:positionV>
                <wp:extent cx="229235" cy="165100"/>
                <wp:effectExtent l="0" t="0" r="0" b="0"/>
                <wp:wrapNone/>
                <wp:docPr id="608" name="TextBox 608"/>
                <wp:cNvGraphicFramePr/>
                <a:graphic xmlns:a="http://schemas.openxmlformats.org/drawingml/2006/main">
                  <a:graphicData uri="http://schemas.microsoft.com/office/word/2010/wordprocessingShape">
                    <wps:wsp>
                      <wps:cNvSpPr txBox="1"/>
                      <wps:spPr>
                        <a:xfrm rot="5400000">
                          <a:off x="635151" y="94458"/>
                          <a:ext cx="229234" cy="165100"/>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518BCC5E">
                            <w:pPr>
                              <w:spacing w:before="70" w:line="184" w:lineRule="auto"/>
                              <w:ind w:left="20"/>
                              <w:rPr>
                                <w:rFonts w:ascii="宋体" w:hAnsi="宋体" w:eastAsia="宋体" w:cs="宋体"/>
                                <w:sz w:val="17"/>
                                <w:szCs w:val="17"/>
                              </w:rPr>
                            </w:pPr>
                            <w:r>
                              <w:rPr>
                                <w:rFonts w:ascii="宋体" w:hAnsi="宋体" w:eastAsia="宋体" w:cs="宋体"/>
                                <w:spacing w:val="-4"/>
                                <w:sz w:val="17"/>
                                <w:szCs w:val="17"/>
                              </w:rPr>
                              <w:t>100Z</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608" o:spid="_x0000_s1026" o:spt="202" type="#_x0000_t202" style="position:absolute;left:0pt;margin-left:50pt;margin-top:7.4pt;height:13pt;width:18.05pt;rotation:5898240f;z-index:251875328;mso-width-relative:page;mso-height-relative:page;" filled="f" stroked="f" coordsize="21600,21600" o:gfxdata="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AFh+QM1gAAAAkBAAAPAAAA&#10;AAAAAAEAIAAAACIAAABkcnMvZG93bnJldi54bWxQSwECFAAUAAAACACHTuJAHPKYJ1ACAAChBAAA&#10;DgAAAAAAAAABACAAAAAlAQAAZHJzL2Uyb0RvYy54bWxQSwUGAAAAAAYABgBZAQAA5wUAAAAA&#10;">
                <v:fill on="f" focussize="0,0"/>
                <v:stroke on="f" weight="0pt" miterlimit="0" joinstyle="miter"/>
                <v:imagedata o:title=""/>
                <o:lock v:ext="edit" aspectratio="f"/>
                <v:textbox inset="0mm,0mm,0mm,0mm">
                  <w:txbxContent>
                    <w:p w14:paraId="518BCC5E">
                      <w:pPr>
                        <w:spacing w:before="70" w:line="184" w:lineRule="auto"/>
                        <w:ind w:left="20"/>
                        <w:rPr>
                          <w:rFonts w:ascii="宋体" w:hAnsi="宋体" w:eastAsia="宋体" w:cs="宋体"/>
                          <w:sz w:val="17"/>
                          <w:szCs w:val="17"/>
                        </w:rPr>
                      </w:pPr>
                      <w:r>
                        <w:rPr>
                          <w:rFonts w:ascii="宋体" w:hAnsi="宋体" w:eastAsia="宋体" w:cs="宋体"/>
                          <w:spacing w:val="-4"/>
                          <w:sz w:val="17"/>
                          <w:szCs w:val="17"/>
                        </w:rPr>
                        <w:t>100Z</w:t>
                      </w:r>
                    </w:p>
                  </w:txbxContent>
                </v:textbox>
              </v:shape>
            </w:pict>
          </mc:Fallback>
        </mc:AlternateContent>
      </w:r>
      <w:r>
        <mc:AlternateContent>
          <mc:Choice Requires="wps">
            <w:drawing>
              <wp:anchor distT="0" distB="0" distL="0" distR="0" simplePos="0" relativeHeight="251871232" behindDoc="0" locked="0" layoutInCell="1" allowOverlap="1">
                <wp:simplePos x="0" y="0"/>
                <wp:positionH relativeFrom="column">
                  <wp:posOffset>941705</wp:posOffset>
                </wp:positionH>
                <wp:positionV relativeFrom="paragraph">
                  <wp:posOffset>106045</wp:posOffset>
                </wp:positionV>
                <wp:extent cx="236220" cy="198120"/>
                <wp:effectExtent l="0" t="0" r="0" b="0"/>
                <wp:wrapNone/>
                <wp:docPr id="610" name="TextBox 610"/>
                <wp:cNvGraphicFramePr/>
                <a:graphic xmlns:a="http://schemas.openxmlformats.org/drawingml/2006/main">
                  <a:graphicData uri="http://schemas.microsoft.com/office/word/2010/wordprocessingShape">
                    <wps:wsp>
                      <wps:cNvSpPr txBox="1"/>
                      <wps:spPr>
                        <a:xfrm rot="16200000">
                          <a:off x="941858" y="106087"/>
                          <a:ext cx="236220" cy="198120"/>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0B9BAB9A">
                            <w:pPr>
                              <w:spacing w:before="70"/>
                              <w:ind w:left="20"/>
                              <w:rPr>
                                <w:rFonts w:ascii="宋体" w:hAnsi="宋体" w:eastAsia="宋体" w:cs="宋体"/>
                                <w:sz w:val="17"/>
                                <w:szCs w:val="17"/>
                              </w:rPr>
                            </w:pPr>
                            <w:r>
                              <w:rPr>
                                <w:rFonts w:ascii="宋体" w:hAnsi="宋体" w:eastAsia="宋体" w:cs="宋体"/>
                                <w:spacing w:val="-2"/>
                                <w:sz w:val="17"/>
                                <w:szCs w:val="17"/>
                              </w:rPr>
                              <w:t>2005</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610" o:spid="_x0000_s1026" o:spt="202" type="#_x0000_t202" style="position:absolute;left:0pt;margin-left:74.15pt;margin-top:8.35pt;height:15.6pt;width:18.6pt;rotation:-5898240f;z-index:251871232;mso-width-relative:page;mso-height-relative:page;" filled="f" stroked="f" coordsize="21600,21600" o:gfxdata="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">
                <v:fill on="f" focussize="0,0"/>
                <v:stroke on="f" weight="0pt" miterlimit="0" joinstyle="miter"/>
                <v:imagedata o:title=""/>
                <o:lock v:ext="edit" aspectratio="f"/>
                <v:textbox inset="0mm,0mm,0mm,0mm">
                  <w:txbxContent>
                    <w:p w14:paraId="0B9BAB9A">
                      <w:pPr>
                        <w:spacing w:before="70"/>
                        <w:ind w:left="20"/>
                        <w:rPr>
                          <w:rFonts w:ascii="宋体" w:hAnsi="宋体" w:eastAsia="宋体" w:cs="宋体"/>
                          <w:sz w:val="17"/>
                          <w:szCs w:val="17"/>
                        </w:rPr>
                      </w:pPr>
                      <w:r>
                        <w:rPr>
                          <w:rFonts w:ascii="宋体" w:hAnsi="宋体" w:eastAsia="宋体" w:cs="宋体"/>
                          <w:spacing w:val="-2"/>
                          <w:sz w:val="17"/>
                          <w:szCs w:val="17"/>
                        </w:rPr>
                        <w:t>2005</w:t>
                      </w:r>
                    </w:p>
                  </w:txbxContent>
                </v:textbox>
              </v:shape>
            </w:pict>
          </mc:Fallback>
        </mc:AlternateContent>
      </w:r>
      <w:r>
        <mc:AlternateContent>
          <mc:Choice Requires="wps">
            <w:drawing>
              <wp:anchor distT="0" distB="0" distL="0" distR="0" simplePos="0" relativeHeight="251872256" behindDoc="0" locked="0" layoutInCell="1" allowOverlap="1">
                <wp:simplePos x="0" y="0"/>
                <wp:positionH relativeFrom="column">
                  <wp:posOffset>1221105</wp:posOffset>
                </wp:positionH>
                <wp:positionV relativeFrom="paragraph">
                  <wp:posOffset>112395</wp:posOffset>
                </wp:positionV>
                <wp:extent cx="236220" cy="198120"/>
                <wp:effectExtent l="0" t="0" r="0" b="0"/>
                <wp:wrapNone/>
                <wp:docPr id="612" name="TextBox 612"/>
                <wp:cNvGraphicFramePr/>
                <a:graphic xmlns:a="http://schemas.openxmlformats.org/drawingml/2006/main">
                  <a:graphicData uri="http://schemas.microsoft.com/office/word/2010/wordprocessingShape">
                    <wps:wsp>
                      <wps:cNvSpPr txBox="1"/>
                      <wps:spPr>
                        <a:xfrm rot="16200000">
                          <a:off x="1221222" y="112495"/>
                          <a:ext cx="236220" cy="198120"/>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73FDE555">
                            <w:pPr>
                              <w:spacing w:before="70"/>
                              <w:ind w:left="20"/>
                              <w:rPr>
                                <w:rFonts w:ascii="宋体" w:hAnsi="宋体" w:eastAsia="宋体" w:cs="宋体"/>
                                <w:sz w:val="17"/>
                                <w:szCs w:val="17"/>
                              </w:rPr>
                            </w:pPr>
                            <w:r>
                              <w:rPr>
                                <w:rFonts w:ascii="宋体" w:hAnsi="宋体" w:eastAsia="宋体" w:cs="宋体"/>
                                <w:spacing w:val="-2"/>
                                <w:sz w:val="17"/>
                                <w:szCs w:val="17"/>
                              </w:rPr>
                              <w:t>2006</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612" o:spid="_x0000_s1026" o:spt="202" type="#_x0000_t202" style="position:absolute;left:0pt;margin-left:96.15pt;margin-top:8.85pt;height:15.6pt;width:18.6pt;rotation:-5898240f;z-index:251872256;mso-width-relative:page;mso-height-relative:page;" filled="f" stroked="f" coordsize="21600,21600" o:gfxdata="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">
                <v:fill on="f" focussize="0,0"/>
                <v:stroke on="f" weight="0pt" miterlimit="0" joinstyle="miter"/>
                <v:imagedata o:title=""/>
                <o:lock v:ext="edit" aspectratio="f"/>
                <v:textbox inset="0mm,0mm,0mm,0mm">
                  <w:txbxContent>
                    <w:p w14:paraId="73FDE555">
                      <w:pPr>
                        <w:spacing w:before="70"/>
                        <w:ind w:left="20"/>
                        <w:rPr>
                          <w:rFonts w:ascii="宋体" w:hAnsi="宋体" w:eastAsia="宋体" w:cs="宋体"/>
                          <w:sz w:val="17"/>
                          <w:szCs w:val="17"/>
                        </w:rPr>
                      </w:pPr>
                      <w:r>
                        <w:rPr>
                          <w:rFonts w:ascii="宋体" w:hAnsi="宋体" w:eastAsia="宋体" w:cs="宋体"/>
                          <w:spacing w:val="-2"/>
                          <w:sz w:val="17"/>
                          <w:szCs w:val="17"/>
                        </w:rPr>
                        <w:t>2006</w:t>
                      </w:r>
                    </w:p>
                  </w:txbxContent>
                </v:textbox>
              </v:shape>
            </w:pict>
          </mc:Fallback>
        </mc:AlternateContent>
      </w:r>
      <w:r>
        <mc:AlternateContent>
          <mc:Choice Requires="wps">
            <w:drawing>
              <wp:anchor distT="0" distB="0" distL="0" distR="0" simplePos="0" relativeHeight="251870208" behindDoc="0" locked="0" layoutInCell="1" allowOverlap="1">
                <wp:simplePos x="0" y="0"/>
                <wp:positionH relativeFrom="column">
                  <wp:posOffset>1481455</wp:posOffset>
                </wp:positionH>
                <wp:positionV relativeFrom="paragraph">
                  <wp:posOffset>112395</wp:posOffset>
                </wp:positionV>
                <wp:extent cx="236220" cy="198120"/>
                <wp:effectExtent l="0" t="0" r="0" b="0"/>
                <wp:wrapNone/>
                <wp:docPr id="614" name="TextBox 614"/>
                <wp:cNvGraphicFramePr/>
                <a:graphic xmlns:a="http://schemas.openxmlformats.org/drawingml/2006/main">
                  <a:graphicData uri="http://schemas.microsoft.com/office/word/2010/wordprocessingShape">
                    <wps:wsp>
                      <wps:cNvSpPr txBox="1"/>
                      <wps:spPr>
                        <a:xfrm rot="16200000">
                          <a:off x="1481543" y="112495"/>
                          <a:ext cx="236220" cy="198120"/>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6A3B2B61">
                            <w:pPr>
                              <w:spacing w:before="70"/>
                              <w:ind w:left="20"/>
                              <w:rPr>
                                <w:rFonts w:ascii="宋体" w:hAnsi="宋体" w:eastAsia="宋体" w:cs="宋体"/>
                                <w:sz w:val="17"/>
                                <w:szCs w:val="17"/>
                              </w:rPr>
                            </w:pPr>
                            <w:r>
                              <w:rPr>
                                <w:rFonts w:ascii="宋体" w:hAnsi="宋体" w:eastAsia="宋体" w:cs="宋体"/>
                                <w:spacing w:val="-2"/>
                                <w:sz w:val="17"/>
                                <w:szCs w:val="17"/>
                              </w:rPr>
                              <w:t>2007</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614" o:spid="_x0000_s1026" o:spt="202" type="#_x0000_t202" style="position:absolute;left:0pt;margin-left:116.65pt;margin-top:8.85pt;height:15.6pt;width:18.6pt;rotation:-5898240f;z-index:251870208;mso-width-relative:page;mso-height-relative:page;" filled="f" stroked="f" coordsize="21600,21600" o:gfxdata="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A0CVX/2AAAAAkBAAAPAAAA&#10;AAAAAAEAIAAAACIAAABkcnMvZG93bnJldi54bWxQSwECFAAUAAAACACHTuJAK8AhDU4CAACkBAAA&#10;DgAAAAAAAAABACAAAAAnAQAAZHJzL2Uyb0RvYy54bWxQSwUGAAAAAAYABgBZAQAA5wUAAAAA&#10;">
                <v:fill on="f" focussize="0,0"/>
                <v:stroke on="f" weight="0pt" miterlimit="0" joinstyle="miter"/>
                <v:imagedata o:title=""/>
                <o:lock v:ext="edit" aspectratio="f"/>
                <v:textbox inset="0mm,0mm,0mm,0mm">
                  <w:txbxContent>
                    <w:p w14:paraId="6A3B2B61">
                      <w:pPr>
                        <w:spacing w:before="70"/>
                        <w:ind w:left="20"/>
                        <w:rPr>
                          <w:rFonts w:ascii="宋体" w:hAnsi="宋体" w:eastAsia="宋体" w:cs="宋体"/>
                          <w:sz w:val="17"/>
                          <w:szCs w:val="17"/>
                        </w:rPr>
                      </w:pPr>
                      <w:r>
                        <w:rPr>
                          <w:rFonts w:ascii="宋体" w:hAnsi="宋体" w:eastAsia="宋体" w:cs="宋体"/>
                          <w:spacing w:val="-2"/>
                          <w:sz w:val="17"/>
                          <w:szCs w:val="17"/>
                        </w:rPr>
                        <w:t>2007</w:t>
                      </w:r>
                    </w:p>
                  </w:txbxContent>
                </v:textbox>
              </v:shape>
            </w:pict>
          </mc:Fallback>
        </mc:AlternateContent>
      </w:r>
      <w:r>
        <mc:AlternateContent>
          <mc:Choice Requires="wps">
            <w:drawing>
              <wp:anchor distT="0" distB="0" distL="0" distR="0" simplePos="0" relativeHeight="251873280" behindDoc="0" locked="0" layoutInCell="1" allowOverlap="1">
                <wp:simplePos x="0" y="0"/>
                <wp:positionH relativeFrom="column">
                  <wp:posOffset>1754505</wp:posOffset>
                </wp:positionH>
                <wp:positionV relativeFrom="paragraph">
                  <wp:posOffset>112395</wp:posOffset>
                </wp:positionV>
                <wp:extent cx="236220" cy="198120"/>
                <wp:effectExtent l="0" t="0" r="0" b="0"/>
                <wp:wrapNone/>
                <wp:docPr id="616" name="TextBox 616"/>
                <wp:cNvGraphicFramePr/>
                <a:graphic xmlns:a="http://schemas.openxmlformats.org/drawingml/2006/main">
                  <a:graphicData uri="http://schemas.microsoft.com/office/word/2010/wordprocessingShape">
                    <wps:wsp>
                      <wps:cNvSpPr txBox="1"/>
                      <wps:spPr>
                        <a:xfrm rot="16200000">
                          <a:off x="1754635" y="112494"/>
                          <a:ext cx="236220" cy="198120"/>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71B79F38">
                            <w:pPr>
                              <w:spacing w:before="70"/>
                              <w:ind w:left="20"/>
                              <w:rPr>
                                <w:rFonts w:ascii="宋体" w:hAnsi="宋体" w:eastAsia="宋体" w:cs="宋体"/>
                                <w:sz w:val="17"/>
                                <w:szCs w:val="17"/>
                              </w:rPr>
                            </w:pPr>
                            <w:r>
                              <w:rPr>
                                <w:rFonts w:ascii="宋体" w:hAnsi="宋体" w:eastAsia="宋体" w:cs="宋体"/>
                                <w:spacing w:val="-2"/>
                                <w:sz w:val="17"/>
                                <w:szCs w:val="17"/>
                              </w:rPr>
                              <w:t>2008</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616" o:spid="_x0000_s1026" o:spt="202" type="#_x0000_t202" style="position:absolute;left:0pt;margin-left:138.15pt;margin-top:8.85pt;height:15.6pt;width:18.6pt;rotation:-5898240f;z-index:251873280;mso-width-relative:page;mso-height-relative:page;" filled="f" stroked="f" coordsize="21600,21600" o:gfxdata="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MNaANNgAAAAJAQAADwAA&#10;AAAAAAABACAAAAAiAAAAZHJzL2Rvd25yZXYueG1sUEsBAhQAFAAAAAgAh07iQEQVT/dPAgAApAQA&#10;AA4AAAAAAAAAAQAgAAAAJwEAAGRycy9lMm9Eb2MueG1sUEsFBgAAAAAGAAYAWQEAAOgFAAAAAA==&#10;">
                <v:fill on="f" focussize="0,0"/>
                <v:stroke on="f" weight="0pt" miterlimit="0" joinstyle="miter"/>
                <v:imagedata o:title=""/>
                <o:lock v:ext="edit" aspectratio="f"/>
                <v:textbox inset="0mm,0mm,0mm,0mm">
                  <w:txbxContent>
                    <w:p w14:paraId="71B79F38">
                      <w:pPr>
                        <w:spacing w:before="70"/>
                        <w:ind w:left="20"/>
                        <w:rPr>
                          <w:rFonts w:ascii="宋体" w:hAnsi="宋体" w:eastAsia="宋体" w:cs="宋体"/>
                          <w:sz w:val="17"/>
                          <w:szCs w:val="17"/>
                        </w:rPr>
                      </w:pPr>
                      <w:r>
                        <w:rPr>
                          <w:rFonts w:ascii="宋体" w:hAnsi="宋体" w:eastAsia="宋体" w:cs="宋体"/>
                          <w:spacing w:val="-2"/>
                          <w:sz w:val="17"/>
                          <w:szCs w:val="17"/>
                        </w:rPr>
                        <w:t>2008</w:t>
                      </w:r>
                    </w:p>
                  </w:txbxContent>
                </v:textbox>
              </v:shape>
            </w:pict>
          </mc:Fallback>
        </mc:AlternateContent>
      </w:r>
      <w:r>
        <mc:AlternateContent>
          <mc:Choice Requires="wps">
            <w:drawing>
              <wp:anchor distT="0" distB="0" distL="0" distR="0" simplePos="0" relativeHeight="251874304" behindDoc="0" locked="0" layoutInCell="1" allowOverlap="1">
                <wp:simplePos x="0" y="0"/>
                <wp:positionH relativeFrom="column">
                  <wp:posOffset>2014855</wp:posOffset>
                </wp:positionH>
                <wp:positionV relativeFrom="paragraph">
                  <wp:posOffset>112395</wp:posOffset>
                </wp:positionV>
                <wp:extent cx="236220" cy="198120"/>
                <wp:effectExtent l="0" t="0" r="0" b="0"/>
                <wp:wrapNone/>
                <wp:docPr id="618" name="TextBox 618"/>
                <wp:cNvGraphicFramePr/>
                <a:graphic xmlns:a="http://schemas.openxmlformats.org/drawingml/2006/main">
                  <a:graphicData uri="http://schemas.microsoft.com/office/word/2010/wordprocessingShape">
                    <wps:wsp>
                      <wps:cNvSpPr txBox="1"/>
                      <wps:spPr>
                        <a:xfrm rot="16200000">
                          <a:off x="2014956" y="112494"/>
                          <a:ext cx="236220" cy="198120"/>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42977D19">
                            <w:pPr>
                              <w:spacing w:before="70"/>
                              <w:ind w:left="20"/>
                              <w:rPr>
                                <w:rFonts w:ascii="宋体" w:hAnsi="宋体" w:eastAsia="宋体" w:cs="宋体"/>
                                <w:sz w:val="17"/>
                                <w:szCs w:val="17"/>
                              </w:rPr>
                            </w:pPr>
                            <w:r>
                              <w:rPr>
                                <w:rFonts w:ascii="宋体" w:hAnsi="宋体" w:eastAsia="宋体" w:cs="宋体"/>
                                <w:spacing w:val="-2"/>
                                <w:sz w:val="17"/>
                                <w:szCs w:val="17"/>
                              </w:rPr>
                              <w:t>2009</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618" o:spid="_x0000_s1026" o:spt="202" type="#_x0000_t202" style="position:absolute;left:0pt;margin-left:158.65pt;margin-top:8.85pt;height:15.6pt;width:18.6pt;rotation:-5898240f;z-index:251874304;mso-width-relative:page;mso-height-relative:page;" filled="f" stroked="f" coordsize="21600,21600" o:gfxdata="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">
                <v:fill on="f" focussize="0,0"/>
                <v:stroke on="f" weight="0pt" miterlimit="0" joinstyle="miter"/>
                <v:imagedata o:title=""/>
                <o:lock v:ext="edit" aspectratio="f"/>
                <v:textbox inset="0mm,0mm,0mm,0mm">
                  <w:txbxContent>
                    <w:p w14:paraId="42977D19">
                      <w:pPr>
                        <w:spacing w:before="70"/>
                        <w:ind w:left="20"/>
                        <w:rPr>
                          <w:rFonts w:ascii="宋体" w:hAnsi="宋体" w:eastAsia="宋体" w:cs="宋体"/>
                          <w:sz w:val="17"/>
                          <w:szCs w:val="17"/>
                        </w:rPr>
                      </w:pPr>
                      <w:r>
                        <w:rPr>
                          <w:rFonts w:ascii="宋体" w:hAnsi="宋体" w:eastAsia="宋体" w:cs="宋体"/>
                          <w:spacing w:val="-2"/>
                          <w:sz w:val="17"/>
                          <w:szCs w:val="17"/>
                        </w:rPr>
                        <w:t>2009</w:t>
                      </w:r>
                    </w:p>
                  </w:txbxContent>
                </v:textbox>
              </v:shape>
            </w:pict>
          </mc:Fallback>
        </mc:AlternateContent>
      </w:r>
      <w:r>
        <mc:AlternateContent>
          <mc:Choice Requires="wps">
            <w:drawing>
              <wp:anchor distT="0" distB="0" distL="0" distR="0" simplePos="0" relativeHeight="251869184" behindDoc="0" locked="0" layoutInCell="1" allowOverlap="1">
                <wp:simplePos x="0" y="0"/>
                <wp:positionH relativeFrom="column">
                  <wp:posOffset>2281555</wp:posOffset>
                </wp:positionH>
                <wp:positionV relativeFrom="paragraph">
                  <wp:posOffset>112395</wp:posOffset>
                </wp:positionV>
                <wp:extent cx="236220" cy="198120"/>
                <wp:effectExtent l="0" t="0" r="0" b="0"/>
                <wp:wrapNone/>
                <wp:docPr id="620" name="TextBox 620"/>
                <wp:cNvGraphicFramePr/>
                <a:graphic xmlns:a="http://schemas.openxmlformats.org/drawingml/2006/main">
                  <a:graphicData uri="http://schemas.microsoft.com/office/word/2010/wordprocessingShape">
                    <wps:wsp>
                      <wps:cNvSpPr txBox="1"/>
                      <wps:spPr>
                        <a:xfrm rot="16200000">
                          <a:off x="2281701" y="112494"/>
                          <a:ext cx="236220" cy="198120"/>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14F33A8F">
                            <w:pPr>
                              <w:spacing w:before="70"/>
                              <w:ind w:left="20"/>
                              <w:rPr>
                                <w:rFonts w:ascii="宋体" w:hAnsi="宋体" w:eastAsia="宋体" w:cs="宋体"/>
                                <w:sz w:val="17"/>
                                <w:szCs w:val="17"/>
                              </w:rPr>
                            </w:pPr>
                            <w:r>
                              <w:rPr>
                                <w:rFonts w:ascii="宋体" w:hAnsi="宋体" w:eastAsia="宋体" w:cs="宋体"/>
                                <w:spacing w:val="-2"/>
                                <w:sz w:val="17"/>
                                <w:szCs w:val="17"/>
                              </w:rPr>
                              <w:t>2010</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620" o:spid="_x0000_s1026" o:spt="202" type="#_x0000_t202" style="position:absolute;left:0pt;margin-left:179.65pt;margin-top:8.85pt;height:15.6pt;width:18.6pt;rotation:-5898240f;z-index:251869184;mso-width-relative:page;mso-height-relative:page;" filled="f" stroked="f" coordsize="21600,21600" o:gfxdata="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">
                <v:fill on="f" focussize="0,0"/>
                <v:stroke on="f" weight="0pt" miterlimit="0" joinstyle="miter"/>
                <v:imagedata o:title=""/>
                <o:lock v:ext="edit" aspectratio="f"/>
                <v:textbox inset="0mm,0mm,0mm,0mm">
                  <w:txbxContent>
                    <w:p w14:paraId="14F33A8F">
                      <w:pPr>
                        <w:spacing w:before="70"/>
                        <w:ind w:left="20"/>
                        <w:rPr>
                          <w:rFonts w:ascii="宋体" w:hAnsi="宋体" w:eastAsia="宋体" w:cs="宋体"/>
                          <w:sz w:val="17"/>
                          <w:szCs w:val="17"/>
                        </w:rPr>
                      </w:pPr>
                      <w:r>
                        <w:rPr>
                          <w:rFonts w:ascii="宋体" w:hAnsi="宋体" w:eastAsia="宋体" w:cs="宋体"/>
                          <w:spacing w:val="-2"/>
                          <w:sz w:val="17"/>
                          <w:szCs w:val="17"/>
                        </w:rPr>
                        <w:t>2010</w:t>
                      </w:r>
                    </w:p>
                  </w:txbxContent>
                </v:textbox>
              </v:shape>
            </w:pict>
          </mc:Fallback>
        </mc:AlternateContent>
      </w:r>
      <w:r>
        <mc:AlternateContent>
          <mc:Choice Requires="wps">
            <w:drawing>
              <wp:anchor distT="0" distB="0" distL="0" distR="0" simplePos="0" relativeHeight="251860992" behindDoc="0" locked="0" layoutInCell="1" allowOverlap="1">
                <wp:simplePos x="0" y="0"/>
                <wp:positionH relativeFrom="column">
                  <wp:posOffset>2525395</wp:posOffset>
                </wp:positionH>
                <wp:positionV relativeFrom="paragraph">
                  <wp:posOffset>73025</wp:posOffset>
                </wp:positionV>
                <wp:extent cx="253365" cy="259080"/>
                <wp:effectExtent l="0" t="0" r="0" b="0"/>
                <wp:wrapNone/>
                <wp:docPr id="622" name="TextBox 622"/>
                <wp:cNvGraphicFramePr/>
                <a:graphic xmlns:a="http://schemas.openxmlformats.org/drawingml/2006/main">
                  <a:graphicData uri="http://schemas.microsoft.com/office/word/2010/wordprocessingShape">
                    <wps:wsp>
                      <wps:cNvSpPr txBox="1"/>
                      <wps:spPr>
                        <a:xfrm rot="16200000">
                          <a:off x="2525924" y="73346"/>
                          <a:ext cx="253365" cy="259079"/>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26D9CDB5">
                            <w:pPr>
                              <w:spacing w:before="88"/>
                              <w:jc w:val="right"/>
                              <w:rPr>
                                <w:rFonts w:ascii="宋体" w:hAnsi="宋体" w:eastAsia="宋体" w:cs="宋体"/>
                                <w:sz w:val="23"/>
                                <w:szCs w:val="23"/>
                              </w:rPr>
                            </w:pPr>
                            <w:r>
                              <w:rPr>
                                <w:rFonts w:ascii="宋体" w:hAnsi="宋体" w:eastAsia="宋体" w:cs="宋体"/>
                                <w:spacing w:val="-27"/>
                                <w:sz w:val="23"/>
                                <w:szCs w:val="23"/>
                              </w:rPr>
                              <w:t>20</w:t>
                            </w:r>
                            <w:r>
                              <w:rPr>
                                <w:rFonts w:ascii="宋体" w:hAnsi="宋体" w:eastAsia="宋体" w:cs="宋体"/>
                                <w:spacing w:val="-26"/>
                                <w:sz w:val="23"/>
                                <w:szCs w:val="23"/>
                              </w:rPr>
                              <w:t>1</w:t>
                            </w:r>
                            <w:r>
                              <w:rPr>
                                <w:rFonts w:ascii="宋体" w:hAnsi="宋体" w:eastAsia="宋体" w:cs="宋体"/>
                                <w:spacing w:val="-24"/>
                                <w:sz w:val="23"/>
                                <w:szCs w:val="23"/>
                              </w:rPr>
                              <w:t>1</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622" o:spid="_x0000_s1026" o:spt="202" type="#_x0000_t202" style="position:absolute;left:0pt;margin-left:198.85pt;margin-top:5.75pt;height:20.4pt;width:19.95pt;rotation:-5898240f;z-index:251860992;mso-width-relative:page;mso-height-relative:page;" filled="f" stroked="f" coordsize="21600,21600" o:gfxdata="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GLBD89gAAAAJAQAADwAA&#10;AAAAAAABACAAAAAiAAAAZHJzL2Rvd25yZXYueG1sUEsBAhQAFAAAAAgAh07iQLnyLKJPAgAAowQA&#10;AA4AAAAAAAAAAQAgAAAAJwEAAGRycy9lMm9Eb2MueG1sUEsFBgAAAAAGAAYAWQEAAOgFAAAAAA==&#10;">
                <v:fill on="f" focussize="0,0"/>
                <v:stroke on="f" weight="0pt" miterlimit="0" joinstyle="miter"/>
                <v:imagedata o:title=""/>
                <o:lock v:ext="edit" aspectratio="f"/>
                <v:textbox inset="0mm,0mm,0mm,0mm">
                  <w:txbxContent>
                    <w:p w14:paraId="26D9CDB5">
                      <w:pPr>
                        <w:spacing w:before="88"/>
                        <w:jc w:val="right"/>
                        <w:rPr>
                          <w:rFonts w:ascii="宋体" w:hAnsi="宋体" w:eastAsia="宋体" w:cs="宋体"/>
                          <w:sz w:val="23"/>
                          <w:szCs w:val="23"/>
                        </w:rPr>
                      </w:pPr>
                      <w:r>
                        <w:rPr>
                          <w:rFonts w:ascii="宋体" w:hAnsi="宋体" w:eastAsia="宋体" w:cs="宋体"/>
                          <w:spacing w:val="-27"/>
                          <w:sz w:val="23"/>
                          <w:szCs w:val="23"/>
                        </w:rPr>
                        <w:t>20</w:t>
                      </w:r>
                      <w:r>
                        <w:rPr>
                          <w:rFonts w:ascii="宋体" w:hAnsi="宋体" w:eastAsia="宋体" w:cs="宋体"/>
                          <w:spacing w:val="-26"/>
                          <w:sz w:val="23"/>
                          <w:szCs w:val="23"/>
                        </w:rPr>
                        <w:t>1</w:t>
                      </w:r>
                      <w:r>
                        <w:rPr>
                          <w:rFonts w:ascii="宋体" w:hAnsi="宋体" w:eastAsia="宋体" w:cs="宋体"/>
                          <w:spacing w:val="-24"/>
                          <w:sz w:val="23"/>
                          <w:szCs w:val="23"/>
                        </w:rPr>
                        <w:t>1</w:t>
                      </w:r>
                    </w:p>
                  </w:txbxContent>
                </v:textbox>
              </v:shape>
            </w:pict>
          </mc:Fallback>
        </mc:AlternateContent>
      </w:r>
      <w:r>
        <mc:AlternateContent>
          <mc:Choice Requires="wps">
            <w:drawing>
              <wp:anchor distT="0" distB="0" distL="0" distR="0" simplePos="0" relativeHeight="251858944" behindDoc="0" locked="0" layoutInCell="1" allowOverlap="1">
                <wp:simplePos x="0" y="0"/>
                <wp:positionH relativeFrom="column">
                  <wp:posOffset>2781935</wp:posOffset>
                </wp:positionH>
                <wp:positionV relativeFrom="paragraph">
                  <wp:posOffset>74930</wp:posOffset>
                </wp:positionV>
                <wp:extent cx="261620" cy="259080"/>
                <wp:effectExtent l="0" t="0" r="0" b="0"/>
                <wp:wrapNone/>
                <wp:docPr id="624" name="TextBox 624"/>
                <wp:cNvGraphicFramePr/>
                <a:graphic xmlns:a="http://schemas.openxmlformats.org/drawingml/2006/main">
                  <a:graphicData uri="http://schemas.microsoft.com/office/word/2010/wordprocessingShape">
                    <wps:wsp>
                      <wps:cNvSpPr txBox="1"/>
                      <wps:spPr>
                        <a:xfrm rot="16200000">
                          <a:off x="2782228" y="75554"/>
                          <a:ext cx="261620" cy="259079"/>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1C5C554E">
                            <w:pPr>
                              <w:spacing w:before="88"/>
                              <w:jc w:val="right"/>
                              <w:rPr>
                                <w:rFonts w:ascii="宋体" w:hAnsi="宋体" w:eastAsia="宋体" w:cs="宋体"/>
                                <w:sz w:val="23"/>
                                <w:szCs w:val="23"/>
                              </w:rPr>
                            </w:pPr>
                            <w:r>
                              <w:rPr>
                                <w:rFonts w:ascii="宋体" w:hAnsi="宋体" w:eastAsia="宋体" w:cs="宋体"/>
                                <w:spacing w:val="-26"/>
                                <w:sz w:val="23"/>
                                <w:szCs w:val="23"/>
                              </w:rPr>
                              <w:t>20</w:t>
                            </w:r>
                            <w:r>
                              <w:rPr>
                                <w:rFonts w:ascii="宋体" w:hAnsi="宋体" w:eastAsia="宋体" w:cs="宋体"/>
                                <w:spacing w:val="-25"/>
                                <w:sz w:val="23"/>
                                <w:szCs w:val="23"/>
                              </w:rPr>
                              <w:t>1</w:t>
                            </w:r>
                            <w:r>
                              <w:rPr>
                                <w:rFonts w:ascii="宋体" w:hAnsi="宋体" w:eastAsia="宋体" w:cs="宋体"/>
                                <w:spacing w:val="-15"/>
                                <w:sz w:val="23"/>
                                <w:szCs w:val="23"/>
                              </w:rPr>
                              <w:t>2</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624" o:spid="_x0000_s1026" o:spt="202" type="#_x0000_t202" style="position:absolute;left:0pt;margin-left:219.05pt;margin-top:5.9pt;height:20.4pt;width:20.6pt;rotation:-5898240f;z-index:251858944;mso-width-relative:page;mso-height-relative:page;" filled="f" stroked="f" coordsize="21600,21600" o:gfxdata="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A2MMwO2AAAAAkBAAAPAAAA&#10;AAAAAAEAIAAAACIAAABkcnMvZG93bnJldi54bWxQSwECFAAUAAAACACHTuJAzB/BNU4CAACjBAAA&#10;DgAAAAAAAAABACAAAAAnAQAAZHJzL2Uyb0RvYy54bWxQSwUGAAAAAAYABgBZAQAA5wUAAAAA&#10;">
                <v:fill on="f" focussize="0,0"/>
                <v:stroke on="f" weight="0pt" miterlimit="0" joinstyle="miter"/>
                <v:imagedata o:title=""/>
                <o:lock v:ext="edit" aspectratio="f"/>
                <v:textbox inset="0mm,0mm,0mm,0mm">
                  <w:txbxContent>
                    <w:p w14:paraId="1C5C554E">
                      <w:pPr>
                        <w:spacing w:before="88"/>
                        <w:jc w:val="right"/>
                        <w:rPr>
                          <w:rFonts w:ascii="宋体" w:hAnsi="宋体" w:eastAsia="宋体" w:cs="宋体"/>
                          <w:sz w:val="23"/>
                          <w:szCs w:val="23"/>
                        </w:rPr>
                      </w:pPr>
                      <w:r>
                        <w:rPr>
                          <w:rFonts w:ascii="宋体" w:hAnsi="宋体" w:eastAsia="宋体" w:cs="宋体"/>
                          <w:spacing w:val="-26"/>
                          <w:sz w:val="23"/>
                          <w:szCs w:val="23"/>
                        </w:rPr>
                        <w:t>20</w:t>
                      </w:r>
                      <w:r>
                        <w:rPr>
                          <w:rFonts w:ascii="宋体" w:hAnsi="宋体" w:eastAsia="宋体" w:cs="宋体"/>
                          <w:spacing w:val="-25"/>
                          <w:sz w:val="23"/>
                          <w:szCs w:val="23"/>
                        </w:rPr>
                        <w:t>1</w:t>
                      </w:r>
                      <w:r>
                        <w:rPr>
                          <w:rFonts w:ascii="宋体" w:hAnsi="宋体" w:eastAsia="宋体" w:cs="宋体"/>
                          <w:spacing w:val="-15"/>
                          <w:sz w:val="23"/>
                          <w:szCs w:val="23"/>
                        </w:rPr>
                        <w:t>2</w:t>
                      </w:r>
                    </w:p>
                  </w:txbxContent>
                </v:textbox>
              </v:shape>
            </w:pict>
          </mc:Fallback>
        </mc:AlternateContent>
      </w:r>
      <w:r>
        <mc:AlternateContent>
          <mc:Choice Requires="wps">
            <w:drawing>
              <wp:anchor distT="0" distB="0" distL="0" distR="0" simplePos="0" relativeHeight="251857920" behindDoc="0" locked="0" layoutInCell="1" allowOverlap="1">
                <wp:simplePos x="0" y="0"/>
                <wp:positionH relativeFrom="column">
                  <wp:posOffset>3042285</wp:posOffset>
                </wp:positionH>
                <wp:positionV relativeFrom="paragraph">
                  <wp:posOffset>74930</wp:posOffset>
                </wp:positionV>
                <wp:extent cx="261620" cy="259080"/>
                <wp:effectExtent l="0" t="0" r="0" b="0"/>
                <wp:wrapNone/>
                <wp:docPr id="626" name="TextBox 626"/>
                <wp:cNvGraphicFramePr/>
                <a:graphic xmlns:a="http://schemas.openxmlformats.org/drawingml/2006/main">
                  <a:graphicData uri="http://schemas.microsoft.com/office/word/2010/wordprocessingShape">
                    <wps:wsp>
                      <wps:cNvSpPr txBox="1"/>
                      <wps:spPr>
                        <a:xfrm rot="16200000">
                          <a:off x="3042550" y="75554"/>
                          <a:ext cx="261620" cy="259079"/>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2BB83FC0">
                            <w:pPr>
                              <w:spacing w:before="88"/>
                              <w:jc w:val="right"/>
                              <w:rPr>
                                <w:rFonts w:ascii="宋体" w:hAnsi="宋体" w:eastAsia="宋体" w:cs="宋体"/>
                                <w:sz w:val="23"/>
                                <w:szCs w:val="23"/>
                              </w:rPr>
                            </w:pPr>
                            <w:r>
                              <w:rPr>
                                <w:rFonts w:ascii="宋体" w:hAnsi="宋体" w:eastAsia="宋体" w:cs="宋体"/>
                                <w:spacing w:val="-26"/>
                                <w:sz w:val="23"/>
                                <w:szCs w:val="23"/>
                              </w:rPr>
                              <w:t>20</w:t>
                            </w:r>
                            <w:r>
                              <w:rPr>
                                <w:rFonts w:ascii="宋体" w:hAnsi="宋体" w:eastAsia="宋体" w:cs="宋体"/>
                                <w:spacing w:val="-25"/>
                                <w:sz w:val="23"/>
                                <w:szCs w:val="23"/>
                              </w:rPr>
                              <w:t>1</w:t>
                            </w:r>
                            <w:r>
                              <w:rPr>
                                <w:rFonts w:ascii="宋体" w:hAnsi="宋体" w:eastAsia="宋体" w:cs="宋体"/>
                                <w:spacing w:val="-15"/>
                                <w:sz w:val="23"/>
                                <w:szCs w:val="23"/>
                              </w:rPr>
                              <w:t>3</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626" o:spid="_x0000_s1026" o:spt="202" type="#_x0000_t202" style="position:absolute;left:0pt;margin-left:239.55pt;margin-top:5.9pt;height:20.4pt;width:20.6pt;rotation:-5898240f;z-index:251857920;mso-width-relative:page;mso-height-relative:page;" filled="f" stroked="f" coordsize="21600,21600" o:gfxdata="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">
                <v:fill on="f" focussize="0,0"/>
                <v:stroke on="f" weight="0pt" miterlimit="0" joinstyle="miter"/>
                <v:imagedata o:title=""/>
                <o:lock v:ext="edit" aspectratio="f"/>
                <v:textbox inset="0mm,0mm,0mm,0mm">
                  <w:txbxContent>
                    <w:p w14:paraId="2BB83FC0">
                      <w:pPr>
                        <w:spacing w:before="88"/>
                        <w:jc w:val="right"/>
                        <w:rPr>
                          <w:rFonts w:ascii="宋体" w:hAnsi="宋体" w:eastAsia="宋体" w:cs="宋体"/>
                          <w:sz w:val="23"/>
                          <w:szCs w:val="23"/>
                        </w:rPr>
                      </w:pPr>
                      <w:r>
                        <w:rPr>
                          <w:rFonts w:ascii="宋体" w:hAnsi="宋体" w:eastAsia="宋体" w:cs="宋体"/>
                          <w:spacing w:val="-26"/>
                          <w:sz w:val="23"/>
                          <w:szCs w:val="23"/>
                        </w:rPr>
                        <w:t>20</w:t>
                      </w:r>
                      <w:r>
                        <w:rPr>
                          <w:rFonts w:ascii="宋体" w:hAnsi="宋体" w:eastAsia="宋体" w:cs="宋体"/>
                          <w:spacing w:val="-25"/>
                          <w:sz w:val="23"/>
                          <w:szCs w:val="23"/>
                        </w:rPr>
                        <w:t>1</w:t>
                      </w:r>
                      <w:r>
                        <w:rPr>
                          <w:rFonts w:ascii="宋体" w:hAnsi="宋体" w:eastAsia="宋体" w:cs="宋体"/>
                          <w:spacing w:val="-15"/>
                          <w:sz w:val="23"/>
                          <w:szCs w:val="23"/>
                        </w:rPr>
                        <w:t>3</w:t>
                      </w:r>
                    </w:p>
                  </w:txbxContent>
                </v:textbox>
              </v:shape>
            </w:pict>
          </mc:Fallback>
        </mc:AlternateContent>
      </w:r>
      <w:r>
        <mc:AlternateContent>
          <mc:Choice Requires="wps">
            <w:drawing>
              <wp:anchor distT="0" distB="0" distL="0" distR="0" simplePos="0" relativeHeight="251863040" behindDoc="0" locked="0" layoutInCell="1" allowOverlap="1">
                <wp:simplePos x="0" y="0"/>
                <wp:positionH relativeFrom="column">
                  <wp:posOffset>3329305</wp:posOffset>
                </wp:positionH>
                <wp:positionV relativeFrom="paragraph">
                  <wp:posOffset>112395</wp:posOffset>
                </wp:positionV>
                <wp:extent cx="236220" cy="198120"/>
                <wp:effectExtent l="0" t="0" r="0" b="0"/>
                <wp:wrapNone/>
                <wp:docPr id="628" name="TextBox 628"/>
                <wp:cNvGraphicFramePr/>
                <a:graphic xmlns:a="http://schemas.openxmlformats.org/drawingml/2006/main">
                  <a:graphicData uri="http://schemas.microsoft.com/office/word/2010/wordprocessingShape">
                    <wps:wsp>
                      <wps:cNvSpPr txBox="1"/>
                      <wps:spPr>
                        <a:xfrm rot="16200000">
                          <a:off x="3329409" y="112494"/>
                          <a:ext cx="236220" cy="198120"/>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4ECB93DD">
                            <w:pPr>
                              <w:spacing w:before="70"/>
                              <w:ind w:left="20"/>
                              <w:rPr>
                                <w:rFonts w:ascii="宋体" w:hAnsi="宋体" w:eastAsia="宋体" w:cs="宋体"/>
                                <w:sz w:val="17"/>
                                <w:szCs w:val="17"/>
                              </w:rPr>
                            </w:pPr>
                            <w:r>
                              <w:rPr>
                                <w:rFonts w:ascii="宋体" w:hAnsi="宋体" w:eastAsia="宋体" w:cs="宋体"/>
                                <w:spacing w:val="-2"/>
                                <w:sz w:val="17"/>
                                <w:szCs w:val="17"/>
                              </w:rPr>
                              <w:t>2014</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628" o:spid="_x0000_s1026" o:spt="202" type="#_x0000_t202" style="position:absolute;left:0pt;margin-left:262.15pt;margin-top:8.85pt;height:15.6pt;width:18.6pt;rotation:-5898240f;z-index:251863040;mso-width-relative:page;mso-height-relative:page;" filled="f" stroked="f" coordsize="21600,21600" o:gfxdata="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uvwSTtkAAAAJAQAADwAA&#10;AAAAAAABACAAAAAiAAAAZHJzL2Rvd25yZXYueG1sUEsBAhQAFAAAAAgAh07iQHcN97ROAgAApAQA&#10;AA4AAAAAAAAAAQAgAAAAKAEAAGRycy9lMm9Eb2MueG1sUEsFBgAAAAAGAAYAWQEAAOgFAAAAAA==&#10;">
                <v:fill on="f" focussize="0,0"/>
                <v:stroke on="f" weight="0pt" miterlimit="0" joinstyle="miter"/>
                <v:imagedata o:title=""/>
                <o:lock v:ext="edit" aspectratio="f"/>
                <v:textbox inset="0mm,0mm,0mm,0mm">
                  <w:txbxContent>
                    <w:p w14:paraId="4ECB93DD">
                      <w:pPr>
                        <w:spacing w:before="70"/>
                        <w:ind w:left="20"/>
                        <w:rPr>
                          <w:rFonts w:ascii="宋体" w:hAnsi="宋体" w:eastAsia="宋体" w:cs="宋体"/>
                          <w:sz w:val="17"/>
                          <w:szCs w:val="17"/>
                        </w:rPr>
                      </w:pPr>
                      <w:r>
                        <w:rPr>
                          <w:rFonts w:ascii="宋体" w:hAnsi="宋体" w:eastAsia="宋体" w:cs="宋体"/>
                          <w:spacing w:val="-2"/>
                          <w:sz w:val="17"/>
                          <w:szCs w:val="17"/>
                        </w:rPr>
                        <w:t>2014</w:t>
                      </w:r>
                    </w:p>
                  </w:txbxContent>
                </v:textbox>
              </v:shape>
            </w:pict>
          </mc:Fallback>
        </mc:AlternateContent>
      </w:r>
      <w:r>
        <mc:AlternateContent>
          <mc:Choice Requires="wps">
            <w:drawing>
              <wp:anchor distT="0" distB="0" distL="0" distR="0" simplePos="0" relativeHeight="251864064" behindDoc="0" locked="0" layoutInCell="1" allowOverlap="1">
                <wp:simplePos x="0" y="0"/>
                <wp:positionH relativeFrom="column">
                  <wp:posOffset>3589655</wp:posOffset>
                </wp:positionH>
                <wp:positionV relativeFrom="paragraph">
                  <wp:posOffset>106045</wp:posOffset>
                </wp:positionV>
                <wp:extent cx="236220" cy="198120"/>
                <wp:effectExtent l="0" t="0" r="0" b="0"/>
                <wp:wrapNone/>
                <wp:docPr id="630" name="TextBox 630"/>
                <wp:cNvGraphicFramePr/>
                <a:graphic xmlns:a="http://schemas.openxmlformats.org/drawingml/2006/main">
                  <a:graphicData uri="http://schemas.microsoft.com/office/word/2010/wordprocessingShape">
                    <wps:wsp>
                      <wps:cNvSpPr txBox="1"/>
                      <wps:spPr>
                        <a:xfrm rot="16200000">
                          <a:off x="3589807" y="106086"/>
                          <a:ext cx="236220" cy="198120"/>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7A1B33EB">
                            <w:pPr>
                              <w:spacing w:before="70"/>
                              <w:ind w:left="20"/>
                              <w:rPr>
                                <w:rFonts w:ascii="宋体" w:hAnsi="宋体" w:eastAsia="宋体" w:cs="宋体"/>
                                <w:sz w:val="17"/>
                                <w:szCs w:val="17"/>
                              </w:rPr>
                            </w:pPr>
                            <w:r>
                              <w:rPr>
                                <w:rFonts w:ascii="宋体" w:hAnsi="宋体" w:eastAsia="宋体" w:cs="宋体"/>
                                <w:spacing w:val="-2"/>
                                <w:sz w:val="17"/>
                                <w:szCs w:val="17"/>
                              </w:rPr>
                              <w:t>2015</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630" o:spid="_x0000_s1026" o:spt="202" type="#_x0000_t202" style="position:absolute;left:0pt;margin-left:282.65pt;margin-top:8.35pt;height:15.6pt;width:18.6pt;rotation:-5898240f;z-index:251864064;mso-width-relative:page;mso-height-relative:page;" filled="f" stroked="f" coordsize="21600,21600" o:gfxdata="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BjKaLi2AAAAAkBAAAPAAAA&#10;AAAAAAEAIAAAACIAAABkcnMvZG93bnJldi54bWxQSwECFAAUAAAACACHTuJAA1sSi04CAACkBAAA&#10;DgAAAAAAAAABACAAAAAnAQAAZHJzL2Uyb0RvYy54bWxQSwUGAAAAAAYABgBZAQAA5wUAAAAA&#10;">
                <v:fill on="f" focussize="0,0"/>
                <v:stroke on="f" weight="0pt" miterlimit="0" joinstyle="miter"/>
                <v:imagedata o:title=""/>
                <o:lock v:ext="edit" aspectratio="f"/>
                <v:textbox inset="0mm,0mm,0mm,0mm">
                  <w:txbxContent>
                    <w:p w14:paraId="7A1B33EB">
                      <w:pPr>
                        <w:spacing w:before="70"/>
                        <w:ind w:left="20"/>
                        <w:rPr>
                          <w:rFonts w:ascii="宋体" w:hAnsi="宋体" w:eastAsia="宋体" w:cs="宋体"/>
                          <w:sz w:val="17"/>
                          <w:szCs w:val="17"/>
                        </w:rPr>
                      </w:pPr>
                      <w:r>
                        <w:rPr>
                          <w:rFonts w:ascii="宋体" w:hAnsi="宋体" w:eastAsia="宋体" w:cs="宋体"/>
                          <w:spacing w:val="-2"/>
                          <w:sz w:val="17"/>
                          <w:szCs w:val="17"/>
                        </w:rPr>
                        <w:t>2015</w:t>
                      </w:r>
                    </w:p>
                  </w:txbxContent>
                </v:textbox>
              </v:shape>
            </w:pict>
          </mc:Fallback>
        </mc:AlternateContent>
      </w:r>
      <w:r>
        <mc:AlternateContent>
          <mc:Choice Requires="wps">
            <w:drawing>
              <wp:anchor distT="0" distB="0" distL="0" distR="0" simplePos="0" relativeHeight="251859968" behindDoc="0" locked="0" layoutInCell="1" allowOverlap="1">
                <wp:simplePos x="0" y="0"/>
                <wp:positionH relativeFrom="column">
                  <wp:posOffset>3823970</wp:posOffset>
                </wp:positionH>
                <wp:positionV relativeFrom="paragraph">
                  <wp:posOffset>69850</wp:posOffset>
                </wp:positionV>
                <wp:extent cx="260350" cy="259080"/>
                <wp:effectExtent l="0" t="0" r="0" b="0"/>
                <wp:wrapNone/>
                <wp:docPr id="632" name="TextBox 632"/>
                <wp:cNvGraphicFramePr/>
                <a:graphic xmlns:a="http://schemas.openxmlformats.org/drawingml/2006/main">
                  <a:graphicData uri="http://schemas.microsoft.com/office/word/2010/wordprocessingShape">
                    <wps:wsp>
                      <wps:cNvSpPr txBox="1"/>
                      <wps:spPr>
                        <a:xfrm rot="16200000">
                          <a:off x="3824220" y="69883"/>
                          <a:ext cx="260350" cy="259079"/>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3F3371BE">
                            <w:pPr>
                              <w:spacing w:before="88"/>
                              <w:jc w:val="right"/>
                              <w:rPr>
                                <w:rFonts w:ascii="宋体" w:hAnsi="宋体" w:eastAsia="宋体" w:cs="宋体"/>
                                <w:sz w:val="23"/>
                                <w:szCs w:val="23"/>
                              </w:rPr>
                            </w:pPr>
                            <w:r>
                              <w:rPr>
                                <w:rFonts w:ascii="宋体" w:hAnsi="宋体" w:eastAsia="宋体" w:cs="宋体"/>
                                <w:spacing w:val="-27"/>
                                <w:sz w:val="23"/>
                                <w:szCs w:val="23"/>
                              </w:rPr>
                              <w:t>20</w:t>
                            </w:r>
                            <w:r>
                              <w:rPr>
                                <w:rFonts w:ascii="宋体" w:hAnsi="宋体" w:eastAsia="宋体" w:cs="宋体"/>
                                <w:spacing w:val="-26"/>
                                <w:sz w:val="23"/>
                                <w:szCs w:val="23"/>
                              </w:rPr>
                              <w:t>1</w:t>
                            </w:r>
                            <w:r>
                              <w:rPr>
                                <w:rFonts w:ascii="宋体" w:hAnsi="宋体" w:eastAsia="宋体" w:cs="宋体"/>
                                <w:spacing w:val="-12"/>
                                <w:sz w:val="23"/>
                                <w:szCs w:val="23"/>
                              </w:rPr>
                              <w:t>6</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632" o:spid="_x0000_s1026" o:spt="202" type="#_x0000_t202" style="position:absolute;left:0pt;margin-left:301.1pt;margin-top:5.5pt;height:20.4pt;width:20.5pt;rotation:-5898240f;z-index:251859968;mso-width-relative:page;mso-height-relative:page;" filled="f" stroked="f" coordsize="21600,21600" o:gfxdata="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AMi1JU1wAAAAkBAAAPAAAA&#10;AAAAAAEAIAAAACIAAABkcnMvZG93bnJldi54bWxQSwECFAAUAAAACACHTuJAL64AQU8CAACjBAAA&#10;DgAAAAAAAAABACAAAAAmAQAAZHJzL2Uyb0RvYy54bWxQSwUGAAAAAAYABgBZAQAA5wUAAAAA&#10;">
                <v:fill on="f" focussize="0,0"/>
                <v:stroke on="f" weight="0pt" miterlimit="0" joinstyle="miter"/>
                <v:imagedata o:title=""/>
                <o:lock v:ext="edit" aspectratio="f"/>
                <v:textbox inset="0mm,0mm,0mm,0mm">
                  <w:txbxContent>
                    <w:p w14:paraId="3F3371BE">
                      <w:pPr>
                        <w:spacing w:before="88"/>
                        <w:jc w:val="right"/>
                        <w:rPr>
                          <w:rFonts w:ascii="宋体" w:hAnsi="宋体" w:eastAsia="宋体" w:cs="宋体"/>
                          <w:sz w:val="23"/>
                          <w:szCs w:val="23"/>
                        </w:rPr>
                      </w:pPr>
                      <w:r>
                        <w:rPr>
                          <w:rFonts w:ascii="宋体" w:hAnsi="宋体" w:eastAsia="宋体" w:cs="宋体"/>
                          <w:spacing w:val="-27"/>
                          <w:sz w:val="23"/>
                          <w:szCs w:val="23"/>
                        </w:rPr>
                        <w:t>20</w:t>
                      </w:r>
                      <w:r>
                        <w:rPr>
                          <w:rFonts w:ascii="宋体" w:hAnsi="宋体" w:eastAsia="宋体" w:cs="宋体"/>
                          <w:spacing w:val="-26"/>
                          <w:sz w:val="23"/>
                          <w:szCs w:val="23"/>
                        </w:rPr>
                        <w:t>1</w:t>
                      </w:r>
                      <w:r>
                        <w:rPr>
                          <w:rFonts w:ascii="宋体" w:hAnsi="宋体" w:eastAsia="宋体" w:cs="宋体"/>
                          <w:spacing w:val="-12"/>
                          <w:sz w:val="23"/>
                          <w:szCs w:val="23"/>
                        </w:rPr>
                        <w:t>6</w:t>
                      </w:r>
                    </w:p>
                  </w:txbxContent>
                </v:textbox>
              </v:shape>
            </w:pict>
          </mc:Fallback>
        </mc:AlternateContent>
      </w:r>
      <w:r>
        <mc:AlternateContent>
          <mc:Choice Requires="wps">
            <w:drawing>
              <wp:anchor distT="0" distB="0" distL="0" distR="0" simplePos="0" relativeHeight="251866112" behindDoc="0" locked="0" layoutInCell="1" allowOverlap="1">
                <wp:simplePos x="0" y="0"/>
                <wp:positionH relativeFrom="column">
                  <wp:posOffset>4110355</wp:posOffset>
                </wp:positionH>
                <wp:positionV relativeFrom="paragraph">
                  <wp:posOffset>106045</wp:posOffset>
                </wp:positionV>
                <wp:extent cx="236220" cy="198120"/>
                <wp:effectExtent l="0" t="0" r="0" b="0"/>
                <wp:wrapNone/>
                <wp:docPr id="634" name="TextBox 634"/>
                <wp:cNvGraphicFramePr/>
                <a:graphic xmlns:a="http://schemas.openxmlformats.org/drawingml/2006/main">
                  <a:graphicData uri="http://schemas.microsoft.com/office/word/2010/wordprocessingShape">
                    <wps:wsp>
                      <wps:cNvSpPr txBox="1"/>
                      <wps:spPr>
                        <a:xfrm rot="16200000">
                          <a:off x="4110449" y="106086"/>
                          <a:ext cx="236220" cy="198120"/>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531DD8DF">
                            <w:pPr>
                              <w:spacing w:before="70"/>
                              <w:ind w:left="20"/>
                              <w:rPr>
                                <w:rFonts w:ascii="宋体" w:hAnsi="宋体" w:eastAsia="宋体" w:cs="宋体"/>
                                <w:sz w:val="17"/>
                                <w:szCs w:val="17"/>
                              </w:rPr>
                            </w:pPr>
                            <w:r>
                              <w:rPr>
                                <w:rFonts w:ascii="宋体" w:hAnsi="宋体" w:eastAsia="宋体" w:cs="宋体"/>
                                <w:spacing w:val="-2"/>
                                <w:sz w:val="17"/>
                                <w:szCs w:val="17"/>
                              </w:rPr>
                              <w:t>2017</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634" o:spid="_x0000_s1026" o:spt="202" type="#_x0000_t202" style="position:absolute;left:0pt;margin-left:323.65pt;margin-top:8.35pt;height:15.6pt;width:18.6pt;rotation:-5898240f;z-index:251866112;mso-width-relative:page;mso-height-relative:page;" filled="f" stroked="f" coordsize="21600,21600" o:gfxdata="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DfnoeR2AAAAAkBAAAPAAAA&#10;AAAAAAEAIAAAACIAAABkcnMvZG93bnJldi54bWxQSwECFAAUAAAACACHTuJAF2b+QU4CAACkBAAA&#10;DgAAAAAAAAABACAAAAAnAQAAZHJzL2Uyb0RvYy54bWxQSwUGAAAAAAYABgBZAQAA5wUAAAAA&#10;">
                <v:fill on="f" focussize="0,0"/>
                <v:stroke on="f" weight="0pt" miterlimit="0" joinstyle="miter"/>
                <v:imagedata o:title=""/>
                <o:lock v:ext="edit" aspectratio="f"/>
                <v:textbox inset="0mm,0mm,0mm,0mm">
                  <w:txbxContent>
                    <w:p w14:paraId="531DD8DF">
                      <w:pPr>
                        <w:spacing w:before="70"/>
                        <w:ind w:left="20"/>
                        <w:rPr>
                          <w:rFonts w:ascii="宋体" w:hAnsi="宋体" w:eastAsia="宋体" w:cs="宋体"/>
                          <w:sz w:val="17"/>
                          <w:szCs w:val="17"/>
                        </w:rPr>
                      </w:pPr>
                      <w:r>
                        <w:rPr>
                          <w:rFonts w:ascii="宋体" w:hAnsi="宋体" w:eastAsia="宋体" w:cs="宋体"/>
                          <w:spacing w:val="-2"/>
                          <w:sz w:val="17"/>
                          <w:szCs w:val="17"/>
                        </w:rPr>
                        <w:t>2017</w:t>
                      </w:r>
                    </w:p>
                  </w:txbxContent>
                </v:textbox>
              </v:shape>
            </w:pict>
          </mc:Fallback>
        </mc:AlternateContent>
      </w:r>
      <w:r>
        <mc:AlternateContent>
          <mc:Choice Requires="wps">
            <w:drawing>
              <wp:anchor distT="0" distB="0" distL="0" distR="0" simplePos="0" relativeHeight="251867136" behindDoc="0" locked="0" layoutInCell="1" allowOverlap="1">
                <wp:simplePos x="0" y="0"/>
                <wp:positionH relativeFrom="column">
                  <wp:posOffset>4370705</wp:posOffset>
                </wp:positionH>
                <wp:positionV relativeFrom="paragraph">
                  <wp:posOffset>118745</wp:posOffset>
                </wp:positionV>
                <wp:extent cx="236220" cy="198120"/>
                <wp:effectExtent l="0" t="0" r="0" b="0"/>
                <wp:wrapNone/>
                <wp:docPr id="636" name="TextBox 636"/>
                <wp:cNvGraphicFramePr/>
                <a:graphic xmlns:a="http://schemas.openxmlformats.org/drawingml/2006/main">
                  <a:graphicData uri="http://schemas.microsoft.com/office/word/2010/wordprocessingShape">
                    <wps:wsp>
                      <wps:cNvSpPr txBox="1"/>
                      <wps:spPr>
                        <a:xfrm rot="16200000">
                          <a:off x="4370846" y="118796"/>
                          <a:ext cx="236220" cy="198120"/>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7A96B15C">
                            <w:pPr>
                              <w:spacing w:before="70"/>
                              <w:ind w:left="20"/>
                              <w:rPr>
                                <w:rFonts w:ascii="宋体" w:hAnsi="宋体" w:eastAsia="宋体" w:cs="宋体"/>
                                <w:sz w:val="17"/>
                                <w:szCs w:val="17"/>
                              </w:rPr>
                            </w:pPr>
                            <w:r>
                              <w:rPr>
                                <w:rFonts w:ascii="宋体" w:hAnsi="宋体" w:eastAsia="宋体" w:cs="宋体"/>
                                <w:spacing w:val="-2"/>
                                <w:sz w:val="17"/>
                                <w:szCs w:val="17"/>
                              </w:rPr>
                              <w:t>2018</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636" o:spid="_x0000_s1026" o:spt="202" type="#_x0000_t202" style="position:absolute;left:0pt;margin-left:344.15pt;margin-top:9.35pt;height:15.6pt;width:18.6pt;rotation:-5898240f;z-index:251867136;mso-width-relative:page;mso-height-relative:page;" filled="f" stroked="f" coordsize="21600,21600" o:gfxdata="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AvUwIZ2AAAAAkBAAAPAAAA&#10;AAAAAAEAIAAAACIAAABkcnMvZG93bnJldi54bWxQSwECFAAUAAAACACHTuJAU2KpYk4CAACkBAAA&#10;DgAAAAAAAAABACAAAAAnAQAAZHJzL2Uyb0RvYy54bWxQSwUGAAAAAAYABgBZAQAA5wUAAAAA&#10;">
                <v:fill on="f" focussize="0,0"/>
                <v:stroke on="f" weight="0pt" miterlimit="0" joinstyle="miter"/>
                <v:imagedata o:title=""/>
                <o:lock v:ext="edit" aspectratio="f"/>
                <v:textbox inset="0mm,0mm,0mm,0mm">
                  <w:txbxContent>
                    <w:p w14:paraId="7A96B15C">
                      <w:pPr>
                        <w:spacing w:before="70"/>
                        <w:ind w:left="20"/>
                        <w:rPr>
                          <w:rFonts w:ascii="宋体" w:hAnsi="宋体" w:eastAsia="宋体" w:cs="宋体"/>
                          <w:sz w:val="17"/>
                          <w:szCs w:val="17"/>
                        </w:rPr>
                      </w:pPr>
                      <w:r>
                        <w:rPr>
                          <w:rFonts w:ascii="宋体" w:hAnsi="宋体" w:eastAsia="宋体" w:cs="宋体"/>
                          <w:spacing w:val="-2"/>
                          <w:sz w:val="17"/>
                          <w:szCs w:val="17"/>
                        </w:rPr>
                        <w:t>2018</w:t>
                      </w:r>
                    </w:p>
                  </w:txbxContent>
                </v:textbox>
              </v:shape>
            </w:pict>
          </mc:Fallback>
        </mc:AlternateContent>
      </w:r>
      <w:r>
        <mc:AlternateContent>
          <mc:Choice Requires="wps">
            <w:drawing>
              <wp:anchor distT="0" distB="0" distL="0" distR="0" simplePos="0" relativeHeight="251868160" behindDoc="0" locked="0" layoutInCell="1" allowOverlap="1">
                <wp:simplePos x="0" y="0"/>
                <wp:positionH relativeFrom="column">
                  <wp:posOffset>4624705</wp:posOffset>
                </wp:positionH>
                <wp:positionV relativeFrom="paragraph">
                  <wp:posOffset>118745</wp:posOffset>
                </wp:positionV>
                <wp:extent cx="236220" cy="198120"/>
                <wp:effectExtent l="0" t="0" r="0" b="0"/>
                <wp:wrapNone/>
                <wp:docPr id="638" name="TextBox 638"/>
                <wp:cNvGraphicFramePr/>
                <a:graphic xmlns:a="http://schemas.openxmlformats.org/drawingml/2006/main">
                  <a:graphicData uri="http://schemas.microsoft.com/office/word/2010/wordprocessingShape">
                    <wps:wsp>
                      <wps:cNvSpPr txBox="1"/>
                      <wps:spPr>
                        <a:xfrm rot="16200000">
                          <a:off x="4624820" y="118796"/>
                          <a:ext cx="236220" cy="198120"/>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7267E16D">
                            <w:pPr>
                              <w:spacing w:before="70"/>
                              <w:ind w:left="20"/>
                              <w:rPr>
                                <w:rFonts w:ascii="宋体" w:hAnsi="宋体" w:eastAsia="宋体" w:cs="宋体"/>
                                <w:sz w:val="17"/>
                                <w:szCs w:val="17"/>
                              </w:rPr>
                            </w:pPr>
                            <w:r>
                              <w:rPr>
                                <w:rFonts w:ascii="宋体" w:hAnsi="宋体" w:eastAsia="宋体" w:cs="宋体"/>
                                <w:spacing w:val="-2"/>
                                <w:sz w:val="17"/>
                                <w:szCs w:val="17"/>
                              </w:rPr>
                              <w:t>2019</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638" o:spid="_x0000_s1026" o:spt="202" type="#_x0000_t202" style="position:absolute;left:0pt;margin-left:364.15pt;margin-top:9.35pt;height:15.6pt;width:18.6pt;rotation:-5898240f;z-index:251868160;mso-width-relative:page;mso-height-relative:page;" filled="f" stroked="f" coordsize="21600,21600" o:gfxdata="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">
                <v:fill on="f" focussize="0,0"/>
                <v:stroke on="f" weight="0pt" miterlimit="0" joinstyle="miter"/>
                <v:imagedata o:title=""/>
                <o:lock v:ext="edit" aspectratio="f"/>
                <v:textbox inset="0mm,0mm,0mm,0mm">
                  <w:txbxContent>
                    <w:p w14:paraId="7267E16D">
                      <w:pPr>
                        <w:spacing w:before="70"/>
                        <w:ind w:left="20"/>
                        <w:rPr>
                          <w:rFonts w:ascii="宋体" w:hAnsi="宋体" w:eastAsia="宋体" w:cs="宋体"/>
                          <w:sz w:val="17"/>
                          <w:szCs w:val="17"/>
                        </w:rPr>
                      </w:pPr>
                      <w:r>
                        <w:rPr>
                          <w:rFonts w:ascii="宋体" w:hAnsi="宋体" w:eastAsia="宋体" w:cs="宋体"/>
                          <w:spacing w:val="-2"/>
                          <w:sz w:val="17"/>
                          <w:szCs w:val="17"/>
                        </w:rPr>
                        <w:t>2019</w:t>
                      </w:r>
                    </w:p>
                  </w:txbxContent>
                </v:textbox>
              </v:shape>
            </w:pict>
          </mc:Fallback>
        </mc:AlternateContent>
      </w:r>
      <w:r>
        <mc:AlternateContent>
          <mc:Choice Requires="wps">
            <w:drawing>
              <wp:anchor distT="0" distB="0" distL="0" distR="0" simplePos="0" relativeHeight="251865088" behindDoc="0" locked="0" layoutInCell="1" allowOverlap="1">
                <wp:simplePos x="0" y="0"/>
                <wp:positionH relativeFrom="column">
                  <wp:posOffset>4891405</wp:posOffset>
                </wp:positionH>
                <wp:positionV relativeFrom="paragraph">
                  <wp:posOffset>118745</wp:posOffset>
                </wp:positionV>
                <wp:extent cx="236220" cy="198120"/>
                <wp:effectExtent l="0" t="0" r="0" b="0"/>
                <wp:wrapNone/>
                <wp:docPr id="640" name="TextBox 640"/>
                <wp:cNvGraphicFramePr/>
                <a:graphic xmlns:a="http://schemas.openxmlformats.org/drawingml/2006/main">
                  <a:graphicData uri="http://schemas.microsoft.com/office/word/2010/wordprocessingShape">
                    <wps:wsp>
                      <wps:cNvSpPr txBox="1"/>
                      <wps:spPr>
                        <a:xfrm rot="16200000">
                          <a:off x="4891564" y="118796"/>
                          <a:ext cx="236220" cy="198120"/>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0A8C0870">
                            <w:pPr>
                              <w:spacing w:before="70"/>
                              <w:ind w:left="20"/>
                              <w:rPr>
                                <w:rFonts w:ascii="宋体" w:hAnsi="宋体" w:eastAsia="宋体" w:cs="宋体"/>
                                <w:sz w:val="17"/>
                                <w:szCs w:val="17"/>
                              </w:rPr>
                            </w:pPr>
                            <w:r>
                              <w:rPr>
                                <w:rFonts w:ascii="宋体" w:hAnsi="宋体" w:eastAsia="宋体" w:cs="宋体"/>
                                <w:spacing w:val="-2"/>
                                <w:sz w:val="17"/>
                                <w:szCs w:val="17"/>
                              </w:rPr>
                              <w:t>2020</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640" o:spid="_x0000_s1026" o:spt="202" type="#_x0000_t202" style="position:absolute;left:0pt;margin-left:385.15pt;margin-top:9.35pt;height:15.6pt;width:18.6pt;rotation:-5898240f;z-index:251865088;mso-width-relative:page;mso-height-relative:page;" filled="f" stroked="f" coordsize="21600,21600" o:gfxdata="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BOIOyNgAAAAJAQAADwAA&#10;AAAAAAABACAAAAAiAAAAZHJzL2Rvd25yZXYueG1sUEsBAhQAFAAAAAgAh07iQKGsXwtPAgAApAQA&#10;AA4AAAAAAAAAAQAgAAAAJwEAAGRycy9lMm9Eb2MueG1sUEsFBgAAAAAGAAYAWQEAAOgFAAAAAA==&#10;">
                <v:fill on="f" focussize="0,0"/>
                <v:stroke on="f" weight="0pt" miterlimit="0" joinstyle="miter"/>
                <v:imagedata o:title=""/>
                <o:lock v:ext="edit" aspectratio="f"/>
                <v:textbox inset="0mm,0mm,0mm,0mm">
                  <w:txbxContent>
                    <w:p w14:paraId="0A8C0870">
                      <w:pPr>
                        <w:spacing w:before="70"/>
                        <w:ind w:left="20"/>
                        <w:rPr>
                          <w:rFonts w:ascii="宋体" w:hAnsi="宋体" w:eastAsia="宋体" w:cs="宋体"/>
                          <w:sz w:val="17"/>
                          <w:szCs w:val="17"/>
                        </w:rPr>
                      </w:pPr>
                      <w:r>
                        <w:rPr>
                          <w:rFonts w:ascii="宋体" w:hAnsi="宋体" w:eastAsia="宋体" w:cs="宋体"/>
                          <w:spacing w:val="-2"/>
                          <w:sz w:val="17"/>
                          <w:szCs w:val="17"/>
                        </w:rPr>
                        <w:t>2020</w:t>
                      </w:r>
                    </w:p>
                  </w:txbxContent>
                </v:textbox>
              </v:shape>
            </w:pict>
          </mc:Fallback>
        </mc:AlternateContent>
      </w:r>
      <w:r>
        <mc:AlternateContent>
          <mc:Choice Requires="wps">
            <w:drawing>
              <wp:anchor distT="0" distB="0" distL="0" distR="0" simplePos="0" relativeHeight="251862016" behindDoc="0" locked="0" layoutInCell="1" allowOverlap="1">
                <wp:simplePos x="0" y="0"/>
                <wp:positionH relativeFrom="column">
                  <wp:posOffset>5128895</wp:posOffset>
                </wp:positionH>
                <wp:positionV relativeFrom="paragraph">
                  <wp:posOffset>79375</wp:posOffset>
                </wp:positionV>
                <wp:extent cx="253365" cy="259080"/>
                <wp:effectExtent l="0" t="0" r="0" b="0"/>
                <wp:wrapNone/>
                <wp:docPr id="642" name="TextBox 642"/>
                <wp:cNvGraphicFramePr/>
                <a:graphic xmlns:a="http://schemas.openxmlformats.org/drawingml/2006/main">
                  <a:graphicData uri="http://schemas.microsoft.com/office/word/2010/wordprocessingShape">
                    <wps:wsp>
                      <wps:cNvSpPr txBox="1"/>
                      <wps:spPr>
                        <a:xfrm rot="16200000">
                          <a:off x="5129497" y="79704"/>
                          <a:ext cx="253365" cy="259079"/>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488DE91A">
                            <w:pPr>
                              <w:spacing w:before="88"/>
                              <w:jc w:val="right"/>
                              <w:rPr>
                                <w:rFonts w:ascii="宋体" w:hAnsi="宋体" w:eastAsia="宋体" w:cs="宋体"/>
                                <w:sz w:val="23"/>
                                <w:szCs w:val="23"/>
                              </w:rPr>
                            </w:pPr>
                            <w:r>
                              <w:rPr>
                                <w:rFonts w:ascii="宋体" w:hAnsi="宋体" w:eastAsia="宋体" w:cs="宋体"/>
                                <w:spacing w:val="-27"/>
                                <w:sz w:val="23"/>
                                <w:szCs w:val="23"/>
                              </w:rPr>
                              <w:t>20</w:t>
                            </w:r>
                            <w:r>
                              <w:rPr>
                                <w:rFonts w:ascii="宋体" w:hAnsi="宋体" w:eastAsia="宋体" w:cs="宋体"/>
                                <w:spacing w:val="-26"/>
                                <w:sz w:val="23"/>
                                <w:szCs w:val="23"/>
                              </w:rPr>
                              <w:t>2</w:t>
                            </w:r>
                            <w:r>
                              <w:rPr>
                                <w:rFonts w:ascii="宋体" w:hAnsi="宋体" w:eastAsia="宋体" w:cs="宋体"/>
                                <w:spacing w:val="-24"/>
                                <w:sz w:val="23"/>
                                <w:szCs w:val="23"/>
                              </w:rPr>
                              <w:t>1</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642" o:spid="_x0000_s1026" o:spt="202" type="#_x0000_t202" style="position:absolute;left:0pt;margin-left:403.85pt;margin-top:6.25pt;height:20.4pt;width:19.95pt;rotation:-5898240f;z-index:251862016;mso-width-relative:page;mso-height-relative:page;" filled="f" stroked="f" coordsize="21600,21600" o:gfxdata="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Li4QhtgAAAAJAQAA&#10;DwAAAAAAAAABACAAAAAiAAAAZHJzL2Rvd25yZXYueG1sUEsBAhQAFAAAAAgAh07iQH9g9IxSAgAA&#10;owQAAA4AAAAAAAAAAQAgAAAAJwEAAGRycy9lMm9Eb2MueG1sUEsFBgAAAAAGAAYAWQEAAOsFAAAA&#10;AA==&#10;">
                <v:fill on="f" focussize="0,0"/>
                <v:stroke on="f" weight="0pt" miterlimit="0" joinstyle="miter"/>
                <v:imagedata o:title=""/>
                <o:lock v:ext="edit" aspectratio="f"/>
                <v:textbox inset="0mm,0mm,0mm,0mm">
                  <w:txbxContent>
                    <w:p w14:paraId="488DE91A">
                      <w:pPr>
                        <w:spacing w:before="88"/>
                        <w:jc w:val="right"/>
                        <w:rPr>
                          <w:rFonts w:ascii="宋体" w:hAnsi="宋体" w:eastAsia="宋体" w:cs="宋体"/>
                          <w:sz w:val="23"/>
                          <w:szCs w:val="23"/>
                        </w:rPr>
                      </w:pPr>
                      <w:r>
                        <w:rPr>
                          <w:rFonts w:ascii="宋体" w:hAnsi="宋体" w:eastAsia="宋体" w:cs="宋体"/>
                          <w:spacing w:val="-27"/>
                          <w:sz w:val="23"/>
                          <w:szCs w:val="23"/>
                        </w:rPr>
                        <w:t>20</w:t>
                      </w:r>
                      <w:r>
                        <w:rPr>
                          <w:rFonts w:ascii="宋体" w:hAnsi="宋体" w:eastAsia="宋体" w:cs="宋体"/>
                          <w:spacing w:val="-26"/>
                          <w:sz w:val="23"/>
                          <w:szCs w:val="23"/>
                        </w:rPr>
                        <w:t>2</w:t>
                      </w:r>
                      <w:r>
                        <w:rPr>
                          <w:rFonts w:ascii="宋体" w:hAnsi="宋体" w:eastAsia="宋体" w:cs="宋体"/>
                          <w:spacing w:val="-24"/>
                          <w:sz w:val="23"/>
                          <w:szCs w:val="23"/>
                        </w:rPr>
                        <w:t>1</w:t>
                      </w:r>
                    </w:p>
                  </w:txbxContent>
                </v:textbox>
              </v:shape>
            </w:pict>
          </mc:Fallback>
        </mc:AlternateContent>
      </w:r>
      <w:r>
        <w:rPr>
          <w:rFonts w:ascii="Times New Roman" w:hAnsi="Times New Roman" w:eastAsia="Times New Roman" w:cs="Times New Roman"/>
          <w:sz w:val="15"/>
          <w:szCs w:val="15"/>
        </w:rPr>
        <w:t>0</w:t>
      </w:r>
    </w:p>
    <w:p w14:paraId="097B9068">
      <w:pPr>
        <w:spacing w:line="353" w:lineRule="auto"/>
        <w:rPr>
          <w:rFonts w:ascii="Arial"/>
          <w:sz w:val="21"/>
        </w:rPr>
      </w:pPr>
    </w:p>
    <w:p w14:paraId="3C3AED3E">
      <w:pPr>
        <w:pStyle w:val="2"/>
        <w:spacing w:before="62" w:line="223" w:lineRule="auto"/>
        <w:ind w:left="4400"/>
        <w:rPr>
          <w:sz w:val="19"/>
          <w:szCs w:val="19"/>
        </w:rPr>
      </w:pPr>
      <w:r>
        <w:rPr>
          <w:spacing w:val="-3"/>
          <w:sz w:val="19"/>
          <w:szCs w:val="19"/>
        </w:rPr>
        <w:t>年份</w:t>
      </w:r>
    </w:p>
    <w:p w14:paraId="69E384A4">
      <w:pPr>
        <w:spacing w:before="180" w:line="219" w:lineRule="auto"/>
        <w:ind w:left="1589"/>
        <w:rPr>
          <w:rFonts w:ascii="宋体" w:hAnsi="宋体" w:eastAsia="宋体" w:cs="宋体"/>
          <w:sz w:val="19"/>
          <w:szCs w:val="19"/>
        </w:rPr>
      </w:pPr>
      <w:r>
        <w:rPr>
          <w:rFonts w:ascii="宋体" w:hAnsi="宋体" w:eastAsia="宋体" w:cs="宋体"/>
          <w:spacing w:val="10"/>
          <w:sz w:val="19"/>
          <w:szCs w:val="19"/>
        </w:rPr>
        <w:t>图15-22004—2021年我国不同</w:t>
      </w:r>
      <w:r>
        <w:rPr>
          <w:rFonts w:ascii="宋体" w:hAnsi="宋体" w:eastAsia="宋体" w:cs="宋体"/>
          <w:spacing w:val="9"/>
          <w:sz w:val="19"/>
          <w:szCs w:val="19"/>
        </w:rPr>
        <w:t>人群主要伤害标准化死亡率变化趋势</w:t>
      </w:r>
    </w:p>
    <w:p w14:paraId="7F85D939">
      <w:pPr>
        <w:spacing w:before="53" w:line="212" w:lineRule="auto"/>
        <w:ind w:left="2559"/>
        <w:rPr>
          <w:rFonts w:ascii="宋体" w:hAnsi="宋体" w:eastAsia="宋体" w:cs="宋体"/>
          <w:sz w:val="19"/>
          <w:szCs w:val="19"/>
        </w:rPr>
      </w:pPr>
      <w:r>
        <w:rPr>
          <w:rFonts w:ascii="Times New Roman" w:hAnsi="Times New Roman" w:eastAsia="Times New Roman" w:cs="Times New Roman"/>
          <w:sz w:val="19"/>
          <w:szCs w:val="19"/>
        </w:rPr>
        <w:t>AADR.</w:t>
      </w:r>
      <w:r>
        <w:rPr>
          <w:rFonts w:ascii="宋体" w:hAnsi="宋体" w:eastAsia="宋体" w:cs="宋体"/>
          <w:sz w:val="19"/>
          <w:szCs w:val="19"/>
        </w:rPr>
        <w:t>年龄调整死亡率</w:t>
      </w:r>
      <w:r>
        <w:rPr>
          <w:rFonts w:ascii="Times New Roman" w:hAnsi="Times New Roman" w:eastAsia="Times New Roman" w:cs="Times New Roman"/>
          <w:sz w:val="19"/>
          <w:szCs w:val="19"/>
        </w:rPr>
        <w:t>(age-adjusted</w:t>
      </w:r>
      <w:r>
        <w:rPr>
          <w:rFonts w:ascii="Times New Roman" w:hAnsi="Times New Roman" w:eastAsia="Times New Roman" w:cs="Times New Roman"/>
          <w:spacing w:val="24"/>
          <w:w w:val="101"/>
          <w:sz w:val="19"/>
          <w:szCs w:val="19"/>
        </w:rPr>
        <w:t xml:space="preserve"> </w:t>
      </w:r>
      <w:r>
        <w:rPr>
          <w:rFonts w:ascii="Times New Roman" w:hAnsi="Times New Roman" w:eastAsia="Times New Roman" w:cs="Times New Roman"/>
          <w:sz w:val="19"/>
          <w:szCs w:val="19"/>
        </w:rPr>
        <w:t>death</w:t>
      </w:r>
      <w:r>
        <w:rPr>
          <w:rFonts w:ascii="Times New Roman" w:hAnsi="Times New Roman" w:eastAsia="Times New Roman" w:cs="Times New Roman"/>
          <w:spacing w:val="13"/>
          <w:w w:val="101"/>
          <w:sz w:val="19"/>
          <w:szCs w:val="19"/>
        </w:rPr>
        <w:t xml:space="preserve"> </w:t>
      </w:r>
      <w:r>
        <w:rPr>
          <w:rFonts w:ascii="Times New Roman" w:hAnsi="Times New Roman" w:eastAsia="Times New Roman" w:cs="Times New Roman"/>
          <w:sz w:val="19"/>
          <w:szCs w:val="19"/>
        </w:rPr>
        <w:t>rate)</w:t>
      </w:r>
      <w:r>
        <w:rPr>
          <w:rFonts w:ascii="宋体" w:hAnsi="宋体" w:eastAsia="宋体" w:cs="宋体"/>
          <w:sz w:val="19"/>
          <w:szCs w:val="19"/>
        </w:rPr>
        <w:t>。</w:t>
      </w:r>
    </w:p>
    <w:p w14:paraId="5C225B9A">
      <w:pPr>
        <w:spacing w:before="104" w:line="219" w:lineRule="auto"/>
        <w:ind w:left="3899"/>
        <w:rPr>
          <w:rFonts w:ascii="宋体" w:hAnsi="宋体" w:eastAsia="宋体" w:cs="宋体"/>
          <w:sz w:val="19"/>
          <w:szCs w:val="19"/>
        </w:rPr>
      </w:pPr>
      <w:r>
        <w:rPr>
          <w:rFonts w:ascii="宋体" w:hAnsi="宋体" w:eastAsia="宋体" w:cs="宋体"/>
          <w:spacing w:val="-2"/>
          <w:sz w:val="19"/>
          <w:szCs w:val="19"/>
        </w:rPr>
        <w:t>(王素贤，2024)</w:t>
      </w:r>
    </w:p>
    <w:p w14:paraId="48F29D09">
      <w:pPr>
        <w:spacing w:line="410" w:lineRule="auto"/>
        <w:rPr>
          <w:rFonts w:ascii="Arial"/>
          <w:sz w:val="21"/>
        </w:rPr>
      </w:pPr>
    </w:p>
    <w:p w14:paraId="5AF2FA73">
      <w:pPr>
        <w:spacing w:before="62" w:line="371" w:lineRule="auto"/>
        <w:ind w:right="642"/>
        <w:rPr>
          <w:rFonts w:ascii="宋体" w:hAnsi="宋体" w:eastAsia="宋体" w:cs="宋体"/>
          <w:sz w:val="19"/>
          <w:szCs w:val="19"/>
        </w:rPr>
      </w:pPr>
      <w:r>
        <w:rPr>
          <w:rFonts w:ascii="宋体" w:hAnsi="宋体" w:eastAsia="宋体" w:cs="宋体"/>
          <w:spacing w:val="24"/>
          <w:sz w:val="19"/>
          <w:szCs w:val="19"/>
        </w:rPr>
        <w:t>&lt;65岁是伤害死亡的高发年龄，道路交通伤害死亡位列该年龄组的首位；对于65岁及以上的老年</w:t>
      </w:r>
      <w:r>
        <w:rPr>
          <w:rFonts w:ascii="宋体" w:hAnsi="宋体" w:eastAsia="宋体" w:cs="宋体"/>
          <w:spacing w:val="6"/>
          <w:sz w:val="19"/>
          <w:szCs w:val="19"/>
        </w:rPr>
        <w:t xml:space="preserve"> </w:t>
      </w:r>
      <w:r>
        <w:rPr>
          <w:rFonts w:ascii="宋体" w:hAnsi="宋体" w:eastAsia="宋体" w:cs="宋体"/>
          <w:spacing w:val="17"/>
          <w:sz w:val="19"/>
          <w:szCs w:val="19"/>
        </w:rPr>
        <w:t>人群，非故意跌倒是最常见的伤害类型。见表15-5。</w:t>
      </w:r>
    </w:p>
    <w:p w14:paraId="7151C7C6">
      <w:pPr>
        <w:spacing w:before="146" w:line="219" w:lineRule="auto"/>
        <w:ind w:left="1760"/>
        <w:rPr>
          <w:rFonts w:ascii="宋体" w:hAnsi="宋体" w:eastAsia="宋体" w:cs="宋体"/>
          <w:sz w:val="20"/>
          <w:szCs w:val="20"/>
        </w:rPr>
      </w:pPr>
      <w:r>
        <w:rPr>
          <w:rFonts w:ascii="宋体" w:hAnsi="宋体" w:eastAsia="宋体" w:cs="宋体"/>
          <w:spacing w:val="-8"/>
          <w:sz w:val="20"/>
          <w:szCs w:val="20"/>
        </w:rPr>
        <w:t>表15-5</w:t>
      </w:r>
      <w:r>
        <w:rPr>
          <w:rFonts w:ascii="宋体" w:hAnsi="宋体" w:eastAsia="宋体" w:cs="宋体"/>
          <w:spacing w:val="25"/>
          <w:sz w:val="20"/>
          <w:szCs w:val="20"/>
        </w:rPr>
        <w:t xml:space="preserve">   </w:t>
      </w:r>
      <w:r>
        <w:rPr>
          <w:rFonts w:ascii="宋体" w:hAnsi="宋体" w:eastAsia="宋体" w:cs="宋体"/>
          <w:spacing w:val="-8"/>
          <w:position w:val="-1"/>
          <w:sz w:val="20"/>
          <w:szCs w:val="20"/>
        </w:rPr>
        <w:t xml:space="preserve">2004—2 </w:t>
      </w:r>
      <w:r>
        <w:rPr>
          <w:rFonts w:ascii="宋体" w:hAnsi="宋体" w:eastAsia="宋体" w:cs="宋体"/>
          <w:spacing w:val="-8"/>
          <w:sz w:val="20"/>
          <w:szCs w:val="20"/>
        </w:rPr>
        <w:t>021年我国居民各年龄</w:t>
      </w:r>
      <w:r>
        <w:rPr>
          <w:rFonts w:ascii="宋体" w:hAnsi="宋体" w:eastAsia="宋体" w:cs="宋体"/>
          <w:spacing w:val="-8"/>
          <w:sz w:val="20"/>
          <w:szCs w:val="20"/>
          <w:shd w:val="clear" w:fill="505050"/>
        </w:rPr>
        <w:t>组主要伤害死</w:t>
      </w:r>
      <w:r>
        <w:rPr>
          <w:rFonts w:ascii="宋体" w:hAnsi="宋体" w:eastAsia="宋体" w:cs="宋体"/>
          <w:spacing w:val="-8"/>
          <w:sz w:val="20"/>
          <w:szCs w:val="20"/>
          <w:shd w:val="clear" w:fill="B8B8B8"/>
        </w:rPr>
        <w:t>亡率顺位</w:t>
      </w:r>
    </w:p>
    <w:tbl>
      <w:tblPr>
        <w:tblStyle w:val="5"/>
        <w:tblW w:w="8989" w:type="dxa"/>
        <w:tblInd w:w="29"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0" w:type="dxa"/>
          <w:left w:w="0" w:type="dxa"/>
          <w:bottom w:w="0" w:type="dxa"/>
          <w:right w:w="0" w:type="dxa"/>
        </w:tblCellMar>
      </w:tblPr>
      <w:tblGrid>
        <w:gridCol w:w="1440"/>
        <w:gridCol w:w="1181"/>
        <w:gridCol w:w="748"/>
        <w:gridCol w:w="1157"/>
        <w:gridCol w:w="743"/>
        <w:gridCol w:w="1127"/>
        <w:gridCol w:w="723"/>
        <w:gridCol w:w="1122"/>
        <w:gridCol w:w="748"/>
      </w:tblGrid>
      <w:tr w14:paraId="3A15BA41">
        <w:trPr>
          <w:trHeight w:val="371" w:hRule="atLeast"/>
        </w:trPr>
        <w:tc>
          <w:tcPr>
            <w:tcW w:w="1440" w:type="dxa"/>
            <w:vMerge w:val="restart"/>
            <w:tcBorders>
              <w:top w:val="single" w:color="000000" w:sz="4" w:space="0"/>
              <w:bottom w:val="nil"/>
            </w:tcBorders>
            <w:shd w:val="clear" w:color="auto" w:fill="D8E2E9"/>
            <w:vAlign w:val="top"/>
          </w:tcPr>
          <w:p w14:paraId="3E849D68">
            <w:pPr>
              <w:spacing w:line="356" w:lineRule="auto"/>
              <w:rPr>
                <w:rFonts w:ascii="Arial"/>
                <w:sz w:val="21"/>
              </w:rPr>
            </w:pPr>
          </w:p>
          <w:p w14:paraId="782472F4">
            <w:pPr>
              <w:pStyle w:val="6"/>
              <w:spacing w:before="65" w:line="219" w:lineRule="auto"/>
              <w:ind w:left="99"/>
            </w:pPr>
            <w:r>
              <w:rPr>
                <w:spacing w:val="4"/>
              </w:rPr>
              <w:t>伤害类别</w:t>
            </w:r>
          </w:p>
        </w:tc>
        <w:tc>
          <w:tcPr>
            <w:tcW w:w="1929" w:type="dxa"/>
            <w:gridSpan w:val="2"/>
            <w:tcBorders>
              <w:top w:val="single" w:color="000000" w:sz="4" w:space="0"/>
              <w:bottom w:val="single" w:color="000000" w:sz="4" w:space="0"/>
            </w:tcBorders>
            <w:shd w:val="clear" w:color="auto" w:fill="C1C6C4"/>
            <w:vAlign w:val="top"/>
          </w:tcPr>
          <w:p w14:paraId="5975F0FB">
            <w:pPr>
              <w:pStyle w:val="6"/>
              <w:spacing w:before="94" w:line="221" w:lineRule="auto"/>
              <w:ind w:left="610"/>
            </w:pPr>
            <w:r>
              <w:rPr>
                <w:spacing w:val="4"/>
              </w:rPr>
              <w:t>0~&lt;15岁</w:t>
            </w:r>
          </w:p>
        </w:tc>
        <w:tc>
          <w:tcPr>
            <w:tcW w:w="1900" w:type="dxa"/>
            <w:gridSpan w:val="2"/>
            <w:tcBorders>
              <w:top w:val="single" w:color="000000" w:sz="4" w:space="0"/>
              <w:bottom w:val="single" w:color="000000" w:sz="4" w:space="0"/>
            </w:tcBorders>
            <w:shd w:val="clear" w:color="auto" w:fill="BFC1BE"/>
            <w:vAlign w:val="top"/>
          </w:tcPr>
          <w:p w14:paraId="357B0167">
            <w:pPr>
              <w:pStyle w:val="6"/>
              <w:spacing w:before="94" w:line="221" w:lineRule="auto"/>
              <w:ind w:left="550"/>
            </w:pPr>
            <w:r>
              <w:rPr>
                <w:spacing w:val="3"/>
              </w:rPr>
              <w:t>15~&lt;45岁</w:t>
            </w:r>
          </w:p>
        </w:tc>
        <w:tc>
          <w:tcPr>
            <w:tcW w:w="1850" w:type="dxa"/>
            <w:gridSpan w:val="2"/>
            <w:tcBorders>
              <w:top w:val="single" w:color="000000" w:sz="4" w:space="0"/>
              <w:bottom w:val="single" w:color="000000" w:sz="4" w:space="0"/>
            </w:tcBorders>
            <w:shd w:val="clear" w:color="auto" w:fill="C8C9C3"/>
            <w:vAlign w:val="top"/>
          </w:tcPr>
          <w:p w14:paraId="41223FF5">
            <w:pPr>
              <w:pStyle w:val="6"/>
              <w:spacing w:before="94" w:line="221" w:lineRule="auto"/>
              <w:ind w:left="520"/>
            </w:pPr>
            <w:r>
              <w:rPr>
                <w:spacing w:val="3"/>
              </w:rPr>
              <w:t>45~&lt;65岁</w:t>
            </w:r>
          </w:p>
        </w:tc>
        <w:tc>
          <w:tcPr>
            <w:tcW w:w="1870" w:type="dxa"/>
            <w:gridSpan w:val="2"/>
            <w:tcBorders>
              <w:top w:val="single" w:color="000000" w:sz="4" w:space="0"/>
              <w:bottom w:val="single" w:color="000000" w:sz="4" w:space="0"/>
            </w:tcBorders>
            <w:shd w:val="clear" w:color="auto" w:fill="D0D0CA"/>
            <w:vAlign w:val="top"/>
          </w:tcPr>
          <w:p w14:paraId="32401AC3">
            <w:pPr>
              <w:pStyle w:val="6"/>
              <w:spacing w:before="94" w:line="221" w:lineRule="auto"/>
              <w:ind w:left="630"/>
            </w:pPr>
            <w:r>
              <w:rPr>
                <w:spacing w:val="6"/>
              </w:rPr>
              <w:t>≥65岁</w:t>
            </w:r>
          </w:p>
        </w:tc>
      </w:tr>
      <w:tr w14:paraId="41E28412">
        <w:trPr>
          <w:trHeight w:val="648" w:hRule="atLeast"/>
        </w:trPr>
        <w:tc>
          <w:tcPr>
            <w:tcW w:w="1440" w:type="dxa"/>
            <w:vMerge w:val="continue"/>
            <w:tcBorders>
              <w:top w:val="nil"/>
              <w:bottom w:val="single" w:color="000000" w:sz="4" w:space="0"/>
            </w:tcBorders>
            <w:vAlign w:val="top"/>
          </w:tcPr>
          <w:p w14:paraId="6D173561">
            <w:pPr>
              <w:rPr>
                <w:rFonts w:ascii="Arial"/>
                <w:sz w:val="21"/>
              </w:rPr>
            </w:pPr>
          </w:p>
        </w:tc>
        <w:tc>
          <w:tcPr>
            <w:tcW w:w="1181" w:type="dxa"/>
            <w:tcBorders>
              <w:top w:val="single" w:color="000000" w:sz="4" w:space="0"/>
              <w:bottom w:val="single" w:color="000000" w:sz="4" w:space="0"/>
            </w:tcBorders>
            <w:shd w:val="clear" w:color="auto" w:fill="D5D8DB"/>
            <w:vAlign w:val="top"/>
          </w:tcPr>
          <w:p w14:paraId="5888AFA0">
            <w:pPr>
              <w:pStyle w:val="6"/>
              <w:spacing w:before="112" w:line="219" w:lineRule="auto"/>
              <w:ind w:left="169"/>
            </w:pPr>
            <w:r>
              <w:rPr>
                <w:spacing w:val="26"/>
              </w:rPr>
              <w:t>死亡率/</w:t>
            </w:r>
          </w:p>
          <w:p w14:paraId="196537B7">
            <w:pPr>
              <w:pStyle w:val="6"/>
              <w:spacing w:before="23" w:line="220" w:lineRule="auto"/>
              <w:ind w:left="169"/>
            </w:pPr>
            <w:r>
              <w:rPr>
                <w:spacing w:val="6"/>
              </w:rPr>
              <w:t>(1/10万)</w:t>
            </w:r>
          </w:p>
        </w:tc>
        <w:tc>
          <w:tcPr>
            <w:tcW w:w="748" w:type="dxa"/>
            <w:tcBorders>
              <w:top w:val="single" w:color="000000" w:sz="4" w:space="0"/>
              <w:bottom w:val="single" w:color="000000" w:sz="4" w:space="0"/>
            </w:tcBorders>
            <w:shd w:val="clear" w:color="auto" w:fill="CACDCC"/>
            <w:vAlign w:val="top"/>
          </w:tcPr>
          <w:p w14:paraId="642A0FFB">
            <w:pPr>
              <w:pStyle w:val="6"/>
              <w:spacing w:before="232" w:line="220" w:lineRule="auto"/>
              <w:ind w:left="168"/>
            </w:pPr>
            <w:r>
              <w:rPr>
                <w:spacing w:val="-3"/>
              </w:rPr>
              <w:t>顺位</w:t>
            </w:r>
          </w:p>
        </w:tc>
        <w:tc>
          <w:tcPr>
            <w:tcW w:w="1157" w:type="dxa"/>
            <w:tcBorders>
              <w:top w:val="single" w:color="000000" w:sz="4" w:space="0"/>
              <w:bottom w:val="single" w:color="000000" w:sz="4" w:space="0"/>
            </w:tcBorders>
            <w:shd w:val="clear" w:color="auto" w:fill="CBCCCA"/>
            <w:vAlign w:val="top"/>
          </w:tcPr>
          <w:p w14:paraId="689E001E">
            <w:pPr>
              <w:pStyle w:val="6"/>
              <w:spacing w:before="92" w:line="219" w:lineRule="auto"/>
              <w:ind w:left="151"/>
            </w:pPr>
            <w:r>
              <w:rPr>
                <w:spacing w:val="26"/>
              </w:rPr>
              <w:t>死亡率/</w:t>
            </w:r>
          </w:p>
          <w:p w14:paraId="6FD49A24">
            <w:pPr>
              <w:pStyle w:val="6"/>
              <w:spacing w:before="33" w:line="220" w:lineRule="auto"/>
              <w:ind w:left="151"/>
            </w:pPr>
            <w:r>
              <w:rPr>
                <w:spacing w:val="6"/>
              </w:rPr>
              <w:t>(1/10万)</w:t>
            </w:r>
          </w:p>
        </w:tc>
        <w:tc>
          <w:tcPr>
            <w:tcW w:w="743" w:type="dxa"/>
            <w:tcBorders>
              <w:top w:val="single" w:color="000000" w:sz="4" w:space="0"/>
              <w:bottom w:val="single" w:color="000000" w:sz="4" w:space="0"/>
            </w:tcBorders>
            <w:shd w:val="clear" w:color="auto" w:fill="CBCCCA"/>
            <w:vAlign w:val="top"/>
          </w:tcPr>
          <w:p w14:paraId="3C6FA6D3">
            <w:pPr>
              <w:pStyle w:val="6"/>
              <w:spacing w:before="232" w:line="220" w:lineRule="auto"/>
              <w:ind w:left="164"/>
            </w:pPr>
            <w:r>
              <w:rPr>
                <w:spacing w:val="-3"/>
              </w:rPr>
              <w:t>顺位</w:t>
            </w:r>
          </w:p>
        </w:tc>
        <w:tc>
          <w:tcPr>
            <w:tcW w:w="1127" w:type="dxa"/>
            <w:tcBorders>
              <w:top w:val="single" w:color="000000" w:sz="4" w:space="0"/>
              <w:bottom w:val="single" w:color="000000" w:sz="4" w:space="0"/>
            </w:tcBorders>
            <w:shd w:val="clear" w:color="auto" w:fill="C9CAC3"/>
            <w:vAlign w:val="top"/>
          </w:tcPr>
          <w:p w14:paraId="180FE362">
            <w:pPr>
              <w:pStyle w:val="6"/>
              <w:spacing w:before="92" w:line="219" w:lineRule="auto"/>
              <w:ind w:left="120"/>
            </w:pPr>
            <w:r>
              <w:rPr>
                <w:spacing w:val="26"/>
              </w:rPr>
              <w:t>死亡率/</w:t>
            </w:r>
          </w:p>
          <w:p w14:paraId="27228491">
            <w:pPr>
              <w:pStyle w:val="6"/>
              <w:spacing w:before="33" w:line="220" w:lineRule="auto"/>
              <w:ind w:left="120"/>
            </w:pPr>
            <w:r>
              <w:rPr>
                <w:spacing w:val="6"/>
              </w:rPr>
              <w:t>(1/10万)</w:t>
            </w:r>
          </w:p>
        </w:tc>
        <w:tc>
          <w:tcPr>
            <w:tcW w:w="723" w:type="dxa"/>
            <w:tcBorders>
              <w:top w:val="single" w:color="000000" w:sz="4" w:space="0"/>
              <w:bottom w:val="single" w:color="000000" w:sz="4" w:space="0"/>
            </w:tcBorders>
            <w:shd w:val="clear" w:color="auto" w:fill="C9CAC3"/>
            <w:vAlign w:val="top"/>
          </w:tcPr>
          <w:p w14:paraId="0A7ED62F">
            <w:pPr>
              <w:pStyle w:val="6"/>
              <w:spacing w:before="232" w:line="220" w:lineRule="auto"/>
              <w:ind w:left="163"/>
            </w:pPr>
            <w:r>
              <w:rPr>
                <w:spacing w:val="-3"/>
              </w:rPr>
              <w:t>顺位</w:t>
            </w:r>
          </w:p>
        </w:tc>
        <w:tc>
          <w:tcPr>
            <w:tcW w:w="1122" w:type="dxa"/>
            <w:tcBorders>
              <w:top w:val="single" w:color="000000" w:sz="4" w:space="0"/>
              <w:bottom w:val="single" w:color="000000" w:sz="4" w:space="0"/>
            </w:tcBorders>
            <w:shd w:val="clear" w:color="auto" w:fill="D1D0CB"/>
            <w:vAlign w:val="top"/>
          </w:tcPr>
          <w:p w14:paraId="6CF2A71B">
            <w:pPr>
              <w:pStyle w:val="6"/>
              <w:spacing w:before="102" w:line="219" w:lineRule="auto"/>
              <w:ind w:left="130"/>
            </w:pPr>
            <w:r>
              <w:rPr>
                <w:spacing w:val="26"/>
              </w:rPr>
              <w:t>死亡率/</w:t>
            </w:r>
          </w:p>
          <w:p w14:paraId="4C4CDAE7">
            <w:pPr>
              <w:pStyle w:val="6"/>
              <w:spacing w:before="33" w:line="220" w:lineRule="auto"/>
              <w:ind w:left="130"/>
            </w:pPr>
            <w:r>
              <w:rPr>
                <w:spacing w:val="6"/>
              </w:rPr>
              <w:t>(1/10万)</w:t>
            </w:r>
          </w:p>
        </w:tc>
        <w:tc>
          <w:tcPr>
            <w:tcW w:w="748" w:type="dxa"/>
            <w:tcBorders>
              <w:top w:val="single" w:color="000000" w:sz="4" w:space="0"/>
              <w:bottom w:val="single" w:color="000000" w:sz="4" w:space="0"/>
            </w:tcBorders>
            <w:shd w:val="clear" w:color="auto" w:fill="D1D0CB"/>
            <w:vAlign w:val="top"/>
          </w:tcPr>
          <w:p w14:paraId="51F2060B">
            <w:pPr>
              <w:pStyle w:val="6"/>
              <w:spacing w:before="232" w:line="220" w:lineRule="auto"/>
              <w:ind w:left="148"/>
            </w:pPr>
            <w:r>
              <w:rPr>
                <w:spacing w:val="-3"/>
              </w:rPr>
              <w:t>顺位</w:t>
            </w:r>
          </w:p>
        </w:tc>
      </w:tr>
    </w:tbl>
    <w:p w14:paraId="7781BF27">
      <w:pPr>
        <w:spacing w:line="83" w:lineRule="exact"/>
        <w:rPr>
          <w:rFonts w:ascii="Arial"/>
          <w:sz w:val="7"/>
        </w:rPr>
      </w:pPr>
    </w:p>
    <w:p w14:paraId="4A84F790">
      <w:pPr>
        <w:spacing w:line="83" w:lineRule="exact"/>
        <w:rPr>
          <w:rFonts w:ascii="Arial" w:hAnsi="Arial" w:eastAsia="Arial" w:cs="Arial"/>
          <w:sz w:val="7"/>
          <w:szCs w:val="7"/>
        </w:rPr>
        <w:sectPr>
          <w:footerReference r:id="rId258" w:type="default"/>
          <w:pgSz w:w="11900" w:h="16820"/>
          <w:pgMar w:top="400" w:right="879" w:bottom="840" w:left="1430" w:header="0" w:footer="668" w:gutter="0"/>
          <w:cols w:equalWidth="0" w:num="1">
            <w:col w:w="9591"/>
          </w:cols>
        </w:sectPr>
      </w:pPr>
    </w:p>
    <w:p w14:paraId="32F45252">
      <w:pPr>
        <w:spacing w:before="40" w:line="219" w:lineRule="auto"/>
        <w:ind w:left="129"/>
        <w:rPr>
          <w:rFonts w:ascii="宋体" w:hAnsi="宋体" w:eastAsia="宋体" w:cs="宋体"/>
          <w:sz w:val="20"/>
          <w:szCs w:val="20"/>
        </w:rPr>
      </w:pPr>
      <w:r>
        <w:rPr>
          <w:rFonts w:ascii="宋体" w:hAnsi="宋体" w:eastAsia="宋体" w:cs="宋体"/>
          <w:spacing w:val="2"/>
          <w:sz w:val="20"/>
          <w:szCs w:val="20"/>
        </w:rPr>
        <w:t>道路交通伤害</w:t>
      </w:r>
    </w:p>
    <w:p w14:paraId="08DBCB2A">
      <w:pPr>
        <w:spacing w:line="14" w:lineRule="auto"/>
        <w:rPr>
          <w:rFonts w:ascii="Arial"/>
          <w:sz w:val="2"/>
        </w:rPr>
      </w:pPr>
      <w:r>
        <w:rPr>
          <w:rFonts w:ascii="Arial" w:hAnsi="Arial" w:eastAsia="Arial" w:cs="Arial"/>
          <w:sz w:val="2"/>
          <w:szCs w:val="2"/>
        </w:rPr>
        <w:br w:type="column"/>
      </w:r>
    </w:p>
    <w:p w14:paraId="1A8D05BB">
      <w:pPr>
        <w:spacing w:before="59" w:line="221" w:lineRule="auto"/>
        <w:rPr>
          <w:rFonts w:ascii="宋体" w:hAnsi="宋体" w:eastAsia="宋体" w:cs="宋体"/>
          <w:sz w:val="20"/>
          <w:szCs w:val="20"/>
        </w:rPr>
      </w:pPr>
      <w:r>
        <w:rPr>
          <w:rFonts w:ascii="宋体" w:hAnsi="宋体" w:eastAsia="宋体" w:cs="宋体"/>
          <w:spacing w:val="-3"/>
          <w:sz w:val="20"/>
          <w:szCs w:val="20"/>
        </w:rPr>
        <w:t>3.78</w:t>
      </w:r>
    </w:p>
    <w:p w14:paraId="54413BE0">
      <w:pPr>
        <w:spacing w:line="14" w:lineRule="auto"/>
        <w:rPr>
          <w:rFonts w:ascii="Arial"/>
          <w:sz w:val="2"/>
        </w:rPr>
      </w:pPr>
      <w:r>
        <w:rPr>
          <w:rFonts w:ascii="Arial" w:hAnsi="Arial" w:eastAsia="Arial" w:cs="Arial"/>
          <w:sz w:val="2"/>
          <w:szCs w:val="2"/>
        </w:rPr>
        <w:br w:type="column"/>
      </w:r>
    </w:p>
    <w:p w14:paraId="0FB6BE2E">
      <w:pPr>
        <w:spacing w:before="59" w:line="221" w:lineRule="auto"/>
        <w:rPr>
          <w:rFonts w:ascii="宋体" w:hAnsi="宋体" w:eastAsia="宋体" w:cs="宋体"/>
          <w:sz w:val="20"/>
          <w:szCs w:val="20"/>
        </w:rPr>
      </w:pPr>
      <w:r>
        <w:rPr>
          <w:rFonts w:ascii="宋体" w:hAnsi="宋体" w:eastAsia="宋体" w:cs="宋体"/>
          <w:sz w:val="20"/>
          <w:szCs w:val="20"/>
        </w:rPr>
        <w:t>2</w:t>
      </w:r>
    </w:p>
    <w:p w14:paraId="0B2E9095">
      <w:pPr>
        <w:spacing w:line="14" w:lineRule="auto"/>
        <w:rPr>
          <w:rFonts w:ascii="Arial"/>
          <w:sz w:val="2"/>
        </w:rPr>
      </w:pPr>
      <w:r>
        <w:rPr>
          <w:rFonts w:ascii="Arial" w:hAnsi="Arial" w:eastAsia="Arial" w:cs="Arial"/>
          <w:sz w:val="2"/>
          <w:szCs w:val="2"/>
        </w:rPr>
        <w:br w:type="column"/>
      </w:r>
    </w:p>
    <w:p w14:paraId="49F6797B">
      <w:pPr>
        <w:spacing w:before="59" w:line="221" w:lineRule="auto"/>
        <w:rPr>
          <w:rFonts w:ascii="宋体" w:hAnsi="宋体" w:eastAsia="宋体" w:cs="宋体"/>
          <w:sz w:val="20"/>
          <w:szCs w:val="20"/>
        </w:rPr>
      </w:pPr>
      <w:r>
        <w:rPr>
          <w:rFonts w:ascii="宋体" w:hAnsi="宋体" w:eastAsia="宋体" w:cs="宋体"/>
          <w:spacing w:val="-4"/>
          <w:sz w:val="20"/>
          <w:szCs w:val="20"/>
        </w:rPr>
        <w:t>13.30</w:t>
      </w:r>
    </w:p>
    <w:p w14:paraId="1A88B041">
      <w:pPr>
        <w:spacing w:line="14" w:lineRule="auto"/>
        <w:rPr>
          <w:rFonts w:ascii="Arial"/>
          <w:sz w:val="2"/>
        </w:rPr>
      </w:pPr>
      <w:r>
        <w:rPr>
          <w:rFonts w:ascii="Arial" w:hAnsi="Arial" w:eastAsia="Arial" w:cs="Arial"/>
          <w:sz w:val="2"/>
          <w:szCs w:val="2"/>
        </w:rPr>
        <w:br w:type="column"/>
      </w:r>
    </w:p>
    <w:p w14:paraId="6174CA1A">
      <w:pPr>
        <w:spacing w:before="59" w:line="221" w:lineRule="auto"/>
        <w:rPr>
          <w:rFonts w:ascii="宋体" w:hAnsi="宋体" w:eastAsia="宋体" w:cs="宋体"/>
          <w:sz w:val="20"/>
          <w:szCs w:val="20"/>
        </w:rPr>
      </w:pPr>
      <w:r>
        <w:rPr>
          <w:rFonts w:ascii="宋体" w:hAnsi="宋体" w:eastAsia="宋体" w:cs="宋体"/>
          <w:sz w:val="20"/>
          <w:szCs w:val="20"/>
        </w:rPr>
        <w:t>1</w:t>
      </w:r>
    </w:p>
    <w:p w14:paraId="41734F5F">
      <w:pPr>
        <w:spacing w:line="14" w:lineRule="auto"/>
        <w:rPr>
          <w:rFonts w:ascii="Arial"/>
          <w:sz w:val="2"/>
        </w:rPr>
      </w:pPr>
      <w:r>
        <w:rPr>
          <w:rFonts w:ascii="Arial" w:hAnsi="Arial" w:eastAsia="Arial" w:cs="Arial"/>
          <w:sz w:val="2"/>
          <w:szCs w:val="2"/>
        </w:rPr>
        <w:br w:type="column"/>
      </w:r>
    </w:p>
    <w:p w14:paraId="09598337">
      <w:pPr>
        <w:spacing w:before="59" w:line="221" w:lineRule="auto"/>
        <w:rPr>
          <w:rFonts w:ascii="宋体" w:hAnsi="宋体" w:eastAsia="宋体" w:cs="宋体"/>
          <w:sz w:val="20"/>
          <w:szCs w:val="20"/>
        </w:rPr>
      </w:pPr>
      <w:r>
        <w:rPr>
          <w:rFonts w:ascii="宋体" w:hAnsi="宋体" w:eastAsia="宋体" w:cs="宋体"/>
          <w:spacing w:val="-2"/>
          <w:sz w:val="20"/>
          <w:szCs w:val="20"/>
        </w:rPr>
        <w:t>22.41</w:t>
      </w:r>
    </w:p>
    <w:p w14:paraId="510F1AC8">
      <w:pPr>
        <w:spacing w:line="14" w:lineRule="auto"/>
        <w:rPr>
          <w:rFonts w:ascii="Arial"/>
          <w:sz w:val="2"/>
        </w:rPr>
      </w:pPr>
      <w:r>
        <w:rPr>
          <w:rFonts w:ascii="Arial" w:hAnsi="Arial" w:eastAsia="Arial" w:cs="Arial"/>
          <w:sz w:val="2"/>
          <w:szCs w:val="2"/>
        </w:rPr>
        <w:br w:type="column"/>
      </w:r>
    </w:p>
    <w:p w14:paraId="73FA2C96">
      <w:pPr>
        <w:spacing w:before="59" w:line="221" w:lineRule="auto"/>
        <w:ind w:left="19"/>
        <w:rPr>
          <w:rFonts w:ascii="宋体" w:hAnsi="宋体" w:eastAsia="宋体" w:cs="宋体"/>
          <w:sz w:val="20"/>
          <w:szCs w:val="20"/>
        </w:rPr>
      </w:pPr>
      <w:r>
        <w:rPr>
          <w:rFonts w:ascii="宋体" w:hAnsi="宋体" w:eastAsia="宋体" w:cs="宋体"/>
          <w:sz w:val="20"/>
          <w:szCs w:val="20"/>
        </w:rPr>
        <w:t>1</w:t>
      </w:r>
    </w:p>
    <w:p w14:paraId="490E5907">
      <w:pPr>
        <w:spacing w:line="14" w:lineRule="auto"/>
        <w:rPr>
          <w:rFonts w:ascii="Arial"/>
          <w:sz w:val="2"/>
        </w:rPr>
      </w:pPr>
      <w:r>
        <w:rPr>
          <w:rFonts w:ascii="Arial" w:hAnsi="Arial" w:eastAsia="Arial" w:cs="Arial"/>
          <w:sz w:val="2"/>
          <w:szCs w:val="2"/>
        </w:rPr>
        <w:br w:type="column"/>
      </w:r>
    </w:p>
    <w:p w14:paraId="4A462242">
      <w:pPr>
        <w:spacing w:before="59" w:line="221" w:lineRule="auto"/>
        <w:rPr>
          <w:rFonts w:ascii="宋体" w:hAnsi="宋体" w:eastAsia="宋体" w:cs="宋体"/>
          <w:sz w:val="20"/>
          <w:szCs w:val="20"/>
        </w:rPr>
      </w:pPr>
      <w:r>
        <w:rPr>
          <w:rFonts w:ascii="宋体" w:hAnsi="宋体" w:eastAsia="宋体" w:cs="宋体"/>
          <w:spacing w:val="-2"/>
          <w:sz w:val="20"/>
          <w:szCs w:val="20"/>
        </w:rPr>
        <w:t>34.85</w:t>
      </w:r>
    </w:p>
    <w:p w14:paraId="3877DC7C">
      <w:pPr>
        <w:spacing w:line="14" w:lineRule="auto"/>
        <w:rPr>
          <w:rFonts w:ascii="Arial"/>
          <w:sz w:val="2"/>
        </w:rPr>
      </w:pPr>
      <w:r>
        <w:rPr>
          <w:rFonts w:ascii="Arial" w:hAnsi="Arial" w:eastAsia="Arial" w:cs="Arial"/>
          <w:sz w:val="2"/>
          <w:szCs w:val="2"/>
        </w:rPr>
        <w:br w:type="column"/>
      </w:r>
    </w:p>
    <w:p w14:paraId="31416CEB">
      <w:pPr>
        <w:spacing w:before="59" w:line="221" w:lineRule="auto"/>
        <w:rPr>
          <w:rFonts w:ascii="宋体" w:hAnsi="宋体" w:eastAsia="宋体" w:cs="宋体"/>
          <w:sz w:val="20"/>
          <w:szCs w:val="20"/>
        </w:rPr>
      </w:pPr>
      <w:r>
        <w:rPr>
          <w:rFonts w:ascii="宋体" w:hAnsi="宋体" w:eastAsia="宋体" w:cs="宋体"/>
          <w:sz w:val="20"/>
          <w:szCs w:val="20"/>
        </w:rPr>
        <w:t>2</w:t>
      </w:r>
    </w:p>
    <w:p w14:paraId="337FF3FD">
      <w:pPr>
        <w:spacing w:line="221" w:lineRule="auto"/>
        <w:rPr>
          <w:rFonts w:ascii="宋体" w:hAnsi="宋体" w:eastAsia="宋体" w:cs="宋体"/>
          <w:sz w:val="20"/>
          <w:szCs w:val="20"/>
        </w:rPr>
        <w:sectPr>
          <w:type w:val="continuous"/>
          <w:pgSz w:w="11900" w:h="16820"/>
          <w:pgMar w:top="400" w:right="879" w:bottom="840" w:left="1430" w:header="0" w:footer="668" w:gutter="0"/>
          <w:cols w:equalWidth="0" w:num="9">
            <w:col w:w="1760" w:space="100"/>
            <w:col w:w="1011" w:space="100"/>
            <w:col w:w="720" w:space="29"/>
            <w:col w:w="1051" w:space="100"/>
            <w:col w:w="720" w:space="20"/>
            <w:col w:w="1010" w:space="100"/>
            <w:col w:w="720" w:space="0"/>
            <w:col w:w="1031" w:space="100"/>
            <w:col w:w="1021"/>
          </w:cols>
        </w:sectPr>
      </w:pPr>
    </w:p>
    <w:p w14:paraId="5961702E">
      <w:pPr>
        <w:spacing w:line="47" w:lineRule="exact"/>
      </w:pPr>
    </w:p>
    <w:tbl>
      <w:tblPr>
        <w:tblStyle w:val="5"/>
        <w:tblW w:w="8989" w:type="dxa"/>
        <w:tblInd w:w="29"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0" w:type="dxa"/>
          <w:left w:w="0" w:type="dxa"/>
          <w:bottom w:w="0" w:type="dxa"/>
          <w:right w:w="0" w:type="dxa"/>
        </w:tblCellMar>
      </w:tblPr>
      <w:tblGrid>
        <w:gridCol w:w="1440"/>
        <w:gridCol w:w="1180"/>
        <w:gridCol w:w="750"/>
        <w:gridCol w:w="1150"/>
        <w:gridCol w:w="750"/>
        <w:gridCol w:w="1129"/>
        <w:gridCol w:w="720"/>
        <w:gridCol w:w="1080"/>
        <w:gridCol w:w="790"/>
      </w:tblGrid>
      <w:tr w14:paraId="6B645F0D">
        <w:trPr>
          <w:trHeight w:val="392" w:hRule="atLeast"/>
        </w:trPr>
        <w:tc>
          <w:tcPr>
            <w:tcW w:w="1440" w:type="dxa"/>
            <w:tcBorders>
              <w:top w:val="single" w:color="000000" w:sz="4" w:space="0"/>
              <w:bottom w:val="single" w:color="000000" w:sz="4" w:space="0"/>
            </w:tcBorders>
            <w:vAlign w:val="top"/>
          </w:tcPr>
          <w:p w14:paraId="58DF7FD0">
            <w:pPr>
              <w:pStyle w:val="6"/>
              <w:spacing w:before="103" w:line="220" w:lineRule="auto"/>
              <w:ind w:left="99"/>
            </w:pPr>
            <w:r>
              <w:rPr>
                <w:spacing w:val="2"/>
              </w:rPr>
              <w:t>非故意跌倒</w:t>
            </w:r>
          </w:p>
        </w:tc>
        <w:tc>
          <w:tcPr>
            <w:tcW w:w="1180" w:type="dxa"/>
            <w:tcBorders>
              <w:top w:val="single" w:color="000000" w:sz="4" w:space="0"/>
              <w:bottom w:val="single" w:color="000000" w:sz="4" w:space="0"/>
            </w:tcBorders>
            <w:shd w:val="clear" w:color="auto" w:fill="E8E7EB"/>
            <w:vAlign w:val="top"/>
          </w:tcPr>
          <w:p w14:paraId="5FCEFC42">
            <w:pPr>
              <w:pStyle w:val="6"/>
              <w:spacing w:before="123" w:line="239" w:lineRule="auto"/>
              <w:ind w:left="389"/>
            </w:pPr>
            <w:r>
              <w:rPr>
                <w:spacing w:val="-5"/>
              </w:rPr>
              <w:t>1.26</w:t>
            </w:r>
          </w:p>
        </w:tc>
        <w:tc>
          <w:tcPr>
            <w:tcW w:w="750" w:type="dxa"/>
            <w:tcBorders>
              <w:top w:val="single" w:color="000000" w:sz="4" w:space="0"/>
              <w:bottom w:val="single" w:color="000000" w:sz="4" w:space="0"/>
            </w:tcBorders>
            <w:shd w:val="clear" w:color="auto" w:fill="E4E4E6"/>
            <w:vAlign w:val="top"/>
          </w:tcPr>
          <w:p w14:paraId="25F730B0">
            <w:pPr>
              <w:pStyle w:val="6"/>
              <w:spacing w:before="123" w:line="239" w:lineRule="auto"/>
              <w:ind w:left="320"/>
            </w:pPr>
            <w:r>
              <w:t>3</w:t>
            </w:r>
          </w:p>
        </w:tc>
        <w:tc>
          <w:tcPr>
            <w:tcW w:w="1150" w:type="dxa"/>
            <w:tcBorders>
              <w:top w:val="single" w:color="000000" w:sz="4" w:space="0"/>
              <w:bottom w:val="single" w:color="000000" w:sz="4" w:space="0"/>
            </w:tcBorders>
            <w:shd w:val="clear" w:color="auto" w:fill="E4E4E4"/>
            <w:vAlign w:val="top"/>
          </w:tcPr>
          <w:p w14:paraId="19B78201">
            <w:pPr>
              <w:pStyle w:val="6"/>
              <w:spacing w:before="123" w:line="239" w:lineRule="auto"/>
              <w:ind w:left="369"/>
            </w:pPr>
            <w:r>
              <w:rPr>
                <w:spacing w:val="-2"/>
              </w:rPr>
              <w:t>2.77</w:t>
            </w:r>
          </w:p>
        </w:tc>
        <w:tc>
          <w:tcPr>
            <w:tcW w:w="750" w:type="dxa"/>
            <w:tcBorders>
              <w:top w:val="single" w:color="000000" w:sz="4" w:space="0"/>
              <w:bottom w:val="single" w:color="000000" w:sz="4" w:space="0"/>
            </w:tcBorders>
            <w:shd w:val="clear" w:color="auto" w:fill="DDDDDD"/>
            <w:vAlign w:val="top"/>
          </w:tcPr>
          <w:p w14:paraId="4F1809DC">
            <w:pPr>
              <w:pStyle w:val="6"/>
              <w:spacing w:before="123" w:line="239" w:lineRule="auto"/>
              <w:ind w:left="319"/>
            </w:pPr>
            <w:r>
              <w:t>3</w:t>
            </w:r>
          </w:p>
        </w:tc>
        <w:tc>
          <w:tcPr>
            <w:tcW w:w="1129" w:type="dxa"/>
            <w:tcBorders>
              <w:top w:val="single" w:color="000000" w:sz="4" w:space="0"/>
              <w:bottom w:val="single" w:color="000000" w:sz="4" w:space="0"/>
            </w:tcBorders>
            <w:shd w:val="clear" w:color="auto" w:fill="DCDCDC"/>
            <w:vAlign w:val="top"/>
          </w:tcPr>
          <w:p w14:paraId="1E915709">
            <w:pPr>
              <w:pStyle w:val="6"/>
              <w:spacing w:before="123" w:line="239" w:lineRule="auto"/>
              <w:ind w:left="360"/>
            </w:pPr>
            <w:r>
              <w:rPr>
                <w:spacing w:val="-2"/>
              </w:rPr>
              <w:t>8.17</w:t>
            </w:r>
          </w:p>
        </w:tc>
        <w:tc>
          <w:tcPr>
            <w:tcW w:w="720" w:type="dxa"/>
            <w:tcBorders>
              <w:top w:val="single" w:color="000000" w:sz="4" w:space="0"/>
              <w:bottom w:val="single" w:color="000000" w:sz="4" w:space="0"/>
            </w:tcBorders>
            <w:shd w:val="clear" w:color="auto" w:fill="D6D4D5"/>
            <w:vAlign w:val="top"/>
          </w:tcPr>
          <w:p w14:paraId="70B2982B">
            <w:pPr>
              <w:pStyle w:val="6"/>
              <w:spacing w:before="123" w:line="239" w:lineRule="auto"/>
              <w:ind w:left="310"/>
            </w:pPr>
            <w:r>
              <w:t>2</w:t>
            </w:r>
          </w:p>
        </w:tc>
        <w:tc>
          <w:tcPr>
            <w:tcW w:w="1080" w:type="dxa"/>
            <w:tcBorders>
              <w:top w:val="single" w:color="000000" w:sz="4" w:space="0"/>
              <w:bottom w:val="single" w:color="000000" w:sz="4" w:space="0"/>
            </w:tcBorders>
            <w:shd w:val="clear" w:color="auto" w:fill="DFDCDA"/>
            <w:vAlign w:val="top"/>
          </w:tcPr>
          <w:p w14:paraId="1326D808">
            <w:pPr>
              <w:pStyle w:val="6"/>
              <w:spacing w:before="123" w:line="239" w:lineRule="auto"/>
              <w:ind w:left="291"/>
            </w:pPr>
            <w:r>
              <w:rPr>
                <w:spacing w:val="-2"/>
              </w:rPr>
              <w:t>59.48</w:t>
            </w:r>
          </w:p>
        </w:tc>
        <w:tc>
          <w:tcPr>
            <w:tcW w:w="790" w:type="dxa"/>
            <w:tcBorders>
              <w:top w:val="single" w:color="000000" w:sz="4" w:space="0"/>
              <w:bottom w:val="single" w:color="000000" w:sz="4" w:space="0"/>
            </w:tcBorders>
            <w:shd w:val="clear" w:color="auto" w:fill="E7E3E2"/>
            <w:vAlign w:val="top"/>
          </w:tcPr>
          <w:p w14:paraId="4AC7F23A">
            <w:pPr>
              <w:pStyle w:val="6"/>
              <w:spacing w:before="123" w:line="239" w:lineRule="auto"/>
              <w:ind w:left="341"/>
            </w:pPr>
            <w:r>
              <w:t>1</w:t>
            </w:r>
          </w:p>
        </w:tc>
      </w:tr>
      <w:tr w14:paraId="4632D572">
        <w:trPr>
          <w:trHeight w:val="407" w:hRule="atLeast"/>
        </w:trPr>
        <w:tc>
          <w:tcPr>
            <w:tcW w:w="1440" w:type="dxa"/>
            <w:tcBorders>
              <w:top w:val="single" w:color="000000" w:sz="4" w:space="0"/>
              <w:bottom w:val="single" w:color="000000" w:sz="4" w:space="0"/>
            </w:tcBorders>
            <w:vAlign w:val="top"/>
          </w:tcPr>
          <w:p w14:paraId="08B0E3B3">
            <w:pPr>
              <w:pStyle w:val="6"/>
              <w:spacing w:before="111" w:line="219" w:lineRule="auto"/>
              <w:ind w:left="99"/>
            </w:pPr>
            <w:r>
              <w:rPr>
                <w:spacing w:val="-3"/>
              </w:rPr>
              <w:t>溺水</w:t>
            </w:r>
          </w:p>
        </w:tc>
        <w:tc>
          <w:tcPr>
            <w:tcW w:w="1180" w:type="dxa"/>
            <w:tcBorders>
              <w:top w:val="single" w:color="000000" w:sz="4" w:space="0"/>
              <w:bottom w:val="single" w:color="000000" w:sz="4" w:space="0"/>
            </w:tcBorders>
            <w:vAlign w:val="top"/>
          </w:tcPr>
          <w:p w14:paraId="20687297">
            <w:pPr>
              <w:pStyle w:val="6"/>
              <w:spacing w:before="130" w:line="239" w:lineRule="auto"/>
              <w:ind w:left="389"/>
            </w:pPr>
            <w:r>
              <w:rPr>
                <w:spacing w:val="-3"/>
              </w:rPr>
              <w:t>5.76</w:t>
            </w:r>
          </w:p>
        </w:tc>
        <w:tc>
          <w:tcPr>
            <w:tcW w:w="750" w:type="dxa"/>
            <w:tcBorders>
              <w:top w:val="single" w:color="000000" w:sz="4" w:space="0"/>
              <w:bottom w:val="single" w:color="000000" w:sz="4" w:space="0"/>
            </w:tcBorders>
            <w:vAlign w:val="top"/>
          </w:tcPr>
          <w:p w14:paraId="2183C506">
            <w:pPr>
              <w:pStyle w:val="6"/>
              <w:spacing w:before="131" w:line="241" w:lineRule="auto"/>
              <w:ind w:left="320"/>
            </w:pPr>
            <w:r>
              <w:t>1</w:t>
            </w:r>
          </w:p>
        </w:tc>
        <w:tc>
          <w:tcPr>
            <w:tcW w:w="1150" w:type="dxa"/>
            <w:tcBorders>
              <w:top w:val="single" w:color="000000" w:sz="4" w:space="0"/>
              <w:bottom w:val="single" w:color="000000" w:sz="4" w:space="0"/>
            </w:tcBorders>
            <w:vAlign w:val="top"/>
          </w:tcPr>
          <w:p w14:paraId="688E0616">
            <w:pPr>
              <w:pStyle w:val="6"/>
              <w:spacing w:before="130" w:line="239" w:lineRule="auto"/>
              <w:ind w:left="369"/>
            </w:pPr>
            <w:r>
              <w:rPr>
                <w:spacing w:val="-2"/>
              </w:rPr>
              <w:t>2.17</w:t>
            </w:r>
          </w:p>
        </w:tc>
        <w:tc>
          <w:tcPr>
            <w:tcW w:w="750" w:type="dxa"/>
            <w:tcBorders>
              <w:top w:val="single" w:color="000000" w:sz="4" w:space="0"/>
              <w:bottom w:val="single" w:color="000000" w:sz="4" w:space="0"/>
            </w:tcBorders>
            <w:vAlign w:val="top"/>
          </w:tcPr>
          <w:p w14:paraId="1030A2B7">
            <w:pPr>
              <w:pStyle w:val="6"/>
              <w:spacing w:before="131" w:line="241" w:lineRule="auto"/>
              <w:ind w:left="319"/>
            </w:pPr>
            <w:r>
              <w:t>4</w:t>
            </w:r>
          </w:p>
        </w:tc>
        <w:tc>
          <w:tcPr>
            <w:tcW w:w="1129" w:type="dxa"/>
            <w:tcBorders>
              <w:top w:val="single" w:color="000000" w:sz="4" w:space="0"/>
              <w:bottom w:val="single" w:color="000000" w:sz="4" w:space="0"/>
            </w:tcBorders>
            <w:vAlign w:val="top"/>
          </w:tcPr>
          <w:p w14:paraId="677EB46D">
            <w:pPr>
              <w:pStyle w:val="6"/>
              <w:spacing w:before="130" w:line="239" w:lineRule="auto"/>
              <w:ind w:left="360"/>
            </w:pPr>
            <w:r>
              <w:rPr>
                <w:spacing w:val="-2"/>
              </w:rPr>
              <w:t>2.77</w:t>
            </w:r>
          </w:p>
        </w:tc>
        <w:tc>
          <w:tcPr>
            <w:tcW w:w="720" w:type="dxa"/>
            <w:tcBorders>
              <w:top w:val="single" w:color="000000" w:sz="4" w:space="0"/>
              <w:bottom w:val="single" w:color="000000" w:sz="4" w:space="0"/>
            </w:tcBorders>
            <w:vAlign w:val="top"/>
          </w:tcPr>
          <w:p w14:paraId="39E42BC7">
            <w:pPr>
              <w:pStyle w:val="6"/>
              <w:spacing w:before="130"/>
              <w:ind w:left="310"/>
            </w:pPr>
            <w:r>
              <w:t>5</w:t>
            </w:r>
          </w:p>
        </w:tc>
        <w:tc>
          <w:tcPr>
            <w:tcW w:w="1080" w:type="dxa"/>
            <w:tcBorders>
              <w:top w:val="single" w:color="000000" w:sz="4" w:space="0"/>
              <w:bottom w:val="single" w:color="000000" w:sz="4" w:space="0"/>
            </w:tcBorders>
            <w:vAlign w:val="top"/>
          </w:tcPr>
          <w:p w14:paraId="42A93999">
            <w:pPr>
              <w:pStyle w:val="6"/>
              <w:spacing w:before="130" w:line="239" w:lineRule="auto"/>
              <w:ind w:left="340"/>
            </w:pPr>
            <w:r>
              <w:rPr>
                <w:spacing w:val="-2"/>
              </w:rPr>
              <w:t>8.96</w:t>
            </w:r>
          </w:p>
        </w:tc>
        <w:tc>
          <w:tcPr>
            <w:tcW w:w="790" w:type="dxa"/>
            <w:tcBorders>
              <w:top w:val="single" w:color="000000" w:sz="4" w:space="0"/>
              <w:bottom w:val="single" w:color="000000" w:sz="4" w:space="0"/>
            </w:tcBorders>
            <w:vAlign w:val="top"/>
          </w:tcPr>
          <w:p w14:paraId="7606ABE6">
            <w:pPr>
              <w:pStyle w:val="6"/>
              <w:spacing w:before="131" w:line="241" w:lineRule="auto"/>
              <w:ind w:left="341"/>
            </w:pPr>
            <w:r>
              <w:t>4</w:t>
            </w:r>
          </w:p>
        </w:tc>
      </w:tr>
      <w:tr w14:paraId="0F4CDD6C">
        <w:trPr>
          <w:trHeight w:val="388" w:hRule="atLeast"/>
        </w:trPr>
        <w:tc>
          <w:tcPr>
            <w:tcW w:w="1440" w:type="dxa"/>
            <w:tcBorders>
              <w:top w:val="single" w:color="000000" w:sz="4" w:space="0"/>
              <w:bottom w:val="single" w:color="000000" w:sz="4" w:space="0"/>
            </w:tcBorders>
            <w:shd w:val="clear" w:color="auto" w:fill="E6E7EE"/>
            <w:vAlign w:val="top"/>
          </w:tcPr>
          <w:p w14:paraId="7BBFBCD2">
            <w:pPr>
              <w:pStyle w:val="6"/>
              <w:spacing w:before="104" w:line="219" w:lineRule="auto"/>
              <w:ind w:left="99"/>
            </w:pPr>
            <w:r>
              <w:rPr>
                <w:spacing w:val="1"/>
              </w:rPr>
              <w:t>自杀及后遗症</w:t>
            </w:r>
          </w:p>
        </w:tc>
        <w:tc>
          <w:tcPr>
            <w:tcW w:w="1180" w:type="dxa"/>
            <w:tcBorders>
              <w:top w:val="single" w:color="000000" w:sz="4" w:space="0"/>
              <w:bottom w:val="single" w:color="000000" w:sz="4" w:space="0"/>
            </w:tcBorders>
            <w:shd w:val="clear" w:color="auto" w:fill="E4E4E8"/>
            <w:vAlign w:val="top"/>
          </w:tcPr>
          <w:p w14:paraId="74FF12D9">
            <w:pPr>
              <w:pStyle w:val="6"/>
              <w:spacing w:before="124" w:line="234" w:lineRule="auto"/>
              <w:ind w:left="389"/>
            </w:pPr>
            <w:r>
              <w:rPr>
                <w:spacing w:val="-2"/>
              </w:rPr>
              <w:t>0.39</w:t>
            </w:r>
          </w:p>
        </w:tc>
        <w:tc>
          <w:tcPr>
            <w:tcW w:w="750" w:type="dxa"/>
            <w:tcBorders>
              <w:top w:val="single" w:color="000000" w:sz="4" w:space="0"/>
              <w:bottom w:val="single" w:color="000000" w:sz="4" w:space="0"/>
            </w:tcBorders>
            <w:shd w:val="clear" w:color="auto" w:fill="E3E4E4"/>
            <w:vAlign w:val="top"/>
          </w:tcPr>
          <w:p w14:paraId="2005CDBB">
            <w:pPr>
              <w:pStyle w:val="6"/>
              <w:spacing w:before="124" w:line="234" w:lineRule="auto"/>
              <w:ind w:left="320"/>
            </w:pPr>
            <w:r>
              <w:t>5</w:t>
            </w:r>
          </w:p>
        </w:tc>
        <w:tc>
          <w:tcPr>
            <w:tcW w:w="1150" w:type="dxa"/>
            <w:tcBorders>
              <w:top w:val="single" w:color="000000" w:sz="4" w:space="0"/>
              <w:bottom w:val="single" w:color="000000" w:sz="4" w:space="0"/>
            </w:tcBorders>
            <w:shd w:val="clear" w:color="auto" w:fill="E0E0DF"/>
            <w:vAlign w:val="top"/>
          </w:tcPr>
          <w:p w14:paraId="53E1D490">
            <w:pPr>
              <w:pStyle w:val="6"/>
              <w:spacing w:before="124" w:line="234" w:lineRule="auto"/>
              <w:ind w:left="369"/>
            </w:pPr>
            <w:r>
              <w:rPr>
                <w:spacing w:val="-2"/>
              </w:rPr>
              <w:t>4.16</w:t>
            </w:r>
          </w:p>
        </w:tc>
        <w:tc>
          <w:tcPr>
            <w:tcW w:w="750" w:type="dxa"/>
            <w:tcBorders>
              <w:top w:val="single" w:color="000000" w:sz="4" w:space="0"/>
              <w:bottom w:val="single" w:color="000000" w:sz="4" w:space="0"/>
            </w:tcBorders>
            <w:shd w:val="clear" w:color="auto" w:fill="E0E1E0"/>
            <w:vAlign w:val="top"/>
          </w:tcPr>
          <w:p w14:paraId="6267132F">
            <w:pPr>
              <w:pStyle w:val="6"/>
              <w:spacing w:before="124" w:line="234" w:lineRule="auto"/>
              <w:ind w:left="319"/>
            </w:pPr>
            <w:r>
              <w:t>2</w:t>
            </w:r>
          </w:p>
        </w:tc>
        <w:tc>
          <w:tcPr>
            <w:tcW w:w="1129" w:type="dxa"/>
            <w:tcBorders>
              <w:top w:val="single" w:color="000000" w:sz="4" w:space="0"/>
              <w:bottom w:val="single" w:color="000000" w:sz="4" w:space="0"/>
            </w:tcBorders>
            <w:shd w:val="clear" w:color="auto" w:fill="E5E4E3"/>
            <w:vAlign w:val="top"/>
          </w:tcPr>
          <w:p w14:paraId="4F2DB728">
            <w:pPr>
              <w:pStyle w:val="6"/>
              <w:spacing w:before="124" w:line="234" w:lineRule="auto"/>
              <w:ind w:left="360"/>
            </w:pPr>
            <w:r>
              <w:rPr>
                <w:spacing w:val="-3"/>
              </w:rPr>
              <w:t>7.19</w:t>
            </w:r>
          </w:p>
        </w:tc>
        <w:tc>
          <w:tcPr>
            <w:tcW w:w="720" w:type="dxa"/>
            <w:tcBorders>
              <w:top w:val="single" w:color="000000" w:sz="4" w:space="0"/>
              <w:bottom w:val="single" w:color="000000" w:sz="4" w:space="0"/>
            </w:tcBorders>
            <w:shd w:val="clear" w:color="auto" w:fill="E5E4E2"/>
            <w:vAlign w:val="top"/>
          </w:tcPr>
          <w:p w14:paraId="504C75FD">
            <w:pPr>
              <w:pStyle w:val="6"/>
              <w:spacing w:before="124" w:line="234" w:lineRule="auto"/>
              <w:ind w:left="310"/>
            </w:pPr>
            <w:r>
              <w:t>3</w:t>
            </w:r>
          </w:p>
        </w:tc>
        <w:tc>
          <w:tcPr>
            <w:tcW w:w="1080" w:type="dxa"/>
            <w:tcBorders>
              <w:top w:val="single" w:color="000000" w:sz="4" w:space="0"/>
              <w:bottom w:val="single" w:color="000000" w:sz="4" w:space="0"/>
            </w:tcBorders>
            <w:shd w:val="clear" w:color="auto" w:fill="EAE9E5"/>
            <w:vAlign w:val="top"/>
          </w:tcPr>
          <w:p w14:paraId="376A14EB">
            <w:pPr>
              <w:pStyle w:val="6"/>
              <w:spacing w:before="124" w:line="234" w:lineRule="auto"/>
              <w:ind w:left="291"/>
            </w:pPr>
            <w:r>
              <w:rPr>
                <w:spacing w:val="-2"/>
              </w:rPr>
              <w:t>27.19</w:t>
            </w:r>
          </w:p>
        </w:tc>
        <w:tc>
          <w:tcPr>
            <w:tcW w:w="790" w:type="dxa"/>
            <w:tcBorders>
              <w:top w:val="single" w:color="000000" w:sz="4" w:space="0"/>
              <w:bottom w:val="single" w:color="000000" w:sz="4" w:space="0"/>
            </w:tcBorders>
            <w:shd w:val="clear" w:color="auto" w:fill="E5E4DF"/>
            <w:vAlign w:val="top"/>
          </w:tcPr>
          <w:p w14:paraId="3EC76005">
            <w:pPr>
              <w:pStyle w:val="6"/>
              <w:spacing w:before="124" w:line="234" w:lineRule="auto"/>
              <w:ind w:left="341"/>
            </w:pPr>
            <w:r>
              <w:t>3</w:t>
            </w:r>
          </w:p>
        </w:tc>
      </w:tr>
      <w:tr w14:paraId="5A0553F5">
        <w:trPr>
          <w:trHeight w:val="403" w:hRule="atLeast"/>
        </w:trPr>
        <w:tc>
          <w:tcPr>
            <w:tcW w:w="1440" w:type="dxa"/>
            <w:tcBorders>
              <w:top w:val="single" w:color="000000" w:sz="4" w:space="0"/>
              <w:bottom w:val="single" w:color="000000" w:sz="4" w:space="0"/>
            </w:tcBorders>
            <w:vAlign w:val="top"/>
          </w:tcPr>
          <w:p w14:paraId="72DC8581">
            <w:pPr>
              <w:pStyle w:val="6"/>
              <w:spacing w:before="106" w:line="219" w:lineRule="auto"/>
              <w:ind w:left="99"/>
            </w:pPr>
            <w:r>
              <w:rPr>
                <w:spacing w:val="2"/>
              </w:rPr>
              <w:t>非故意中毒</w:t>
            </w:r>
          </w:p>
        </w:tc>
        <w:tc>
          <w:tcPr>
            <w:tcW w:w="1180" w:type="dxa"/>
            <w:tcBorders>
              <w:top w:val="single" w:color="000000" w:sz="4" w:space="0"/>
              <w:bottom w:val="single" w:color="000000" w:sz="4" w:space="0"/>
            </w:tcBorders>
            <w:vAlign w:val="top"/>
          </w:tcPr>
          <w:p w14:paraId="01C241E9">
            <w:pPr>
              <w:pStyle w:val="6"/>
              <w:spacing w:before="126" w:line="239" w:lineRule="auto"/>
              <w:ind w:left="389"/>
            </w:pPr>
            <w:r>
              <w:rPr>
                <w:spacing w:val="-2"/>
              </w:rPr>
              <w:t>0.59</w:t>
            </w:r>
          </w:p>
        </w:tc>
        <w:tc>
          <w:tcPr>
            <w:tcW w:w="750" w:type="dxa"/>
            <w:tcBorders>
              <w:top w:val="single" w:color="000000" w:sz="4" w:space="0"/>
              <w:bottom w:val="single" w:color="000000" w:sz="4" w:space="0"/>
            </w:tcBorders>
            <w:vAlign w:val="top"/>
          </w:tcPr>
          <w:p w14:paraId="3E0E66A3">
            <w:pPr>
              <w:pStyle w:val="6"/>
              <w:spacing w:before="126" w:line="241" w:lineRule="auto"/>
              <w:ind w:left="320"/>
            </w:pPr>
            <w:r>
              <w:t>4</w:t>
            </w:r>
          </w:p>
        </w:tc>
        <w:tc>
          <w:tcPr>
            <w:tcW w:w="1150" w:type="dxa"/>
            <w:tcBorders>
              <w:top w:val="single" w:color="000000" w:sz="4" w:space="0"/>
              <w:bottom w:val="single" w:color="000000" w:sz="4" w:space="0"/>
            </w:tcBorders>
            <w:vAlign w:val="top"/>
          </w:tcPr>
          <w:p w14:paraId="1A17E83C">
            <w:pPr>
              <w:pStyle w:val="6"/>
              <w:spacing w:before="126" w:line="239" w:lineRule="auto"/>
              <w:ind w:left="369"/>
            </w:pPr>
            <w:r>
              <w:rPr>
                <w:spacing w:val="-2"/>
              </w:rPr>
              <w:t>2.05</w:t>
            </w:r>
          </w:p>
        </w:tc>
        <w:tc>
          <w:tcPr>
            <w:tcW w:w="750" w:type="dxa"/>
            <w:tcBorders>
              <w:top w:val="single" w:color="000000" w:sz="4" w:space="0"/>
              <w:bottom w:val="single" w:color="000000" w:sz="4" w:space="0"/>
            </w:tcBorders>
            <w:vAlign w:val="top"/>
          </w:tcPr>
          <w:p w14:paraId="5CEFBB15">
            <w:pPr>
              <w:pStyle w:val="6"/>
              <w:spacing w:before="125"/>
              <w:ind w:left="319"/>
            </w:pPr>
            <w:r>
              <w:t>5</w:t>
            </w:r>
          </w:p>
        </w:tc>
        <w:tc>
          <w:tcPr>
            <w:tcW w:w="1129" w:type="dxa"/>
            <w:tcBorders>
              <w:top w:val="single" w:color="000000" w:sz="4" w:space="0"/>
              <w:bottom w:val="single" w:color="000000" w:sz="4" w:space="0"/>
            </w:tcBorders>
            <w:vAlign w:val="top"/>
          </w:tcPr>
          <w:p w14:paraId="0739C350">
            <w:pPr>
              <w:pStyle w:val="6"/>
              <w:spacing w:before="126" w:line="239" w:lineRule="auto"/>
              <w:ind w:left="360"/>
            </w:pPr>
            <w:r>
              <w:rPr>
                <w:spacing w:val="-3"/>
              </w:rPr>
              <w:t>3.80</w:t>
            </w:r>
          </w:p>
        </w:tc>
        <w:tc>
          <w:tcPr>
            <w:tcW w:w="720" w:type="dxa"/>
            <w:tcBorders>
              <w:top w:val="single" w:color="000000" w:sz="4" w:space="0"/>
              <w:bottom w:val="single" w:color="000000" w:sz="4" w:space="0"/>
            </w:tcBorders>
            <w:vAlign w:val="top"/>
          </w:tcPr>
          <w:p w14:paraId="0FEA261B">
            <w:pPr>
              <w:pStyle w:val="6"/>
              <w:spacing w:before="126" w:line="241" w:lineRule="auto"/>
              <w:ind w:left="310"/>
            </w:pPr>
            <w:r>
              <w:t>4</w:t>
            </w:r>
          </w:p>
        </w:tc>
        <w:tc>
          <w:tcPr>
            <w:tcW w:w="1080" w:type="dxa"/>
            <w:tcBorders>
              <w:top w:val="single" w:color="000000" w:sz="4" w:space="0"/>
              <w:bottom w:val="single" w:color="000000" w:sz="4" w:space="0"/>
            </w:tcBorders>
            <w:vAlign w:val="top"/>
          </w:tcPr>
          <w:p w14:paraId="4290A4BA">
            <w:pPr>
              <w:pStyle w:val="6"/>
              <w:spacing w:before="126" w:line="239" w:lineRule="auto"/>
              <w:ind w:left="340"/>
            </w:pPr>
            <w:r>
              <w:rPr>
                <w:spacing w:val="-3"/>
              </w:rPr>
              <w:t>7.51</w:t>
            </w:r>
          </w:p>
        </w:tc>
        <w:tc>
          <w:tcPr>
            <w:tcW w:w="790" w:type="dxa"/>
            <w:tcBorders>
              <w:top w:val="single" w:color="000000" w:sz="4" w:space="0"/>
              <w:bottom w:val="single" w:color="000000" w:sz="4" w:space="0"/>
            </w:tcBorders>
            <w:vAlign w:val="top"/>
          </w:tcPr>
          <w:p w14:paraId="3462815F">
            <w:pPr>
              <w:pStyle w:val="6"/>
              <w:spacing w:before="125"/>
              <w:ind w:left="341"/>
            </w:pPr>
            <w:r>
              <w:t>5</w:t>
            </w:r>
          </w:p>
        </w:tc>
      </w:tr>
    </w:tbl>
    <w:p w14:paraId="51F764CC">
      <w:pPr>
        <w:spacing w:before="63" w:line="219" w:lineRule="auto"/>
        <w:ind w:left="7380"/>
        <w:rPr>
          <w:rFonts w:ascii="宋体" w:hAnsi="宋体" w:eastAsia="宋体" w:cs="宋体"/>
          <w:sz w:val="20"/>
          <w:szCs w:val="20"/>
        </w:rPr>
      </w:pPr>
      <w:r>
        <w:rPr>
          <w:rFonts w:ascii="宋体" w:hAnsi="宋体" w:eastAsia="宋体" w:cs="宋体"/>
          <w:spacing w:val="4"/>
          <w:sz w:val="20"/>
          <w:szCs w:val="20"/>
        </w:rPr>
        <w:t>(王素贤，2024)</w:t>
      </w:r>
    </w:p>
    <w:p w14:paraId="7BB24E0E">
      <w:pPr>
        <w:pStyle w:val="2"/>
        <w:spacing w:before="275" w:line="222" w:lineRule="auto"/>
        <w:ind w:left="469"/>
        <w:rPr>
          <w:sz w:val="24"/>
          <w:szCs w:val="24"/>
        </w:rPr>
      </w:pPr>
      <w:r>
        <w:rPr>
          <w:spacing w:val="3"/>
          <w:sz w:val="24"/>
          <w:szCs w:val="24"/>
        </w:rPr>
        <w:t>(三)时间分布</w:t>
      </w:r>
    </w:p>
    <w:p w14:paraId="5CAFFBFA">
      <w:pPr>
        <w:spacing w:before="119" w:line="219" w:lineRule="auto"/>
        <w:ind w:left="449"/>
        <w:rPr>
          <w:rFonts w:ascii="宋体" w:hAnsi="宋体" w:eastAsia="宋体" w:cs="宋体"/>
          <w:sz w:val="19"/>
          <w:szCs w:val="19"/>
        </w:rPr>
      </w:pPr>
      <w:r>
        <w:rPr>
          <w:rFonts w:ascii="宋体" w:hAnsi="宋体" w:eastAsia="宋体" w:cs="宋体"/>
          <w:spacing w:val="19"/>
          <w:sz w:val="19"/>
          <w:szCs w:val="19"/>
        </w:rPr>
        <w:t>2004</w:t>
      </w:r>
      <w:r>
        <w:rPr>
          <w:rFonts w:ascii="宋体" w:hAnsi="宋体" w:eastAsia="宋体" w:cs="宋体"/>
          <w:spacing w:val="-58"/>
          <w:sz w:val="19"/>
          <w:szCs w:val="19"/>
        </w:rPr>
        <w:t xml:space="preserve"> </w:t>
      </w:r>
      <w:r>
        <w:rPr>
          <w:rFonts w:ascii="宋体" w:hAnsi="宋体" w:eastAsia="宋体" w:cs="宋体"/>
          <w:spacing w:val="19"/>
          <w:sz w:val="19"/>
          <w:szCs w:val="19"/>
        </w:rPr>
        <w:t>—</w:t>
      </w:r>
      <w:r>
        <w:rPr>
          <w:rFonts w:ascii="宋体" w:hAnsi="宋体" w:eastAsia="宋体" w:cs="宋体"/>
          <w:spacing w:val="-64"/>
          <w:sz w:val="19"/>
          <w:szCs w:val="19"/>
        </w:rPr>
        <w:t xml:space="preserve"> </w:t>
      </w:r>
      <w:r>
        <w:rPr>
          <w:rFonts w:ascii="宋体" w:hAnsi="宋体" w:eastAsia="宋体" w:cs="宋体"/>
          <w:spacing w:val="19"/>
          <w:sz w:val="19"/>
          <w:szCs w:val="19"/>
        </w:rPr>
        <w:t>2021年中国伤害标准化死亡率总体呈下降趋势(从18.</w:t>
      </w:r>
      <w:r>
        <w:rPr>
          <w:rFonts w:ascii="宋体" w:hAnsi="宋体" w:eastAsia="宋体" w:cs="宋体"/>
          <w:spacing w:val="-51"/>
          <w:sz w:val="19"/>
          <w:szCs w:val="19"/>
        </w:rPr>
        <w:t xml:space="preserve"> </w:t>
      </w:r>
      <w:r>
        <w:rPr>
          <w:rFonts w:ascii="宋体" w:hAnsi="宋体" w:eastAsia="宋体" w:cs="宋体"/>
          <w:spacing w:val="19"/>
          <w:sz w:val="19"/>
          <w:szCs w:val="19"/>
        </w:rPr>
        <w:t>13/10万降至8.55/10万);其中</w:t>
      </w:r>
    </w:p>
    <w:p w14:paraId="7D4DE19A">
      <w:pPr>
        <w:spacing w:before="112" w:line="350" w:lineRule="auto"/>
        <w:ind w:right="555"/>
        <w:rPr>
          <w:rFonts w:ascii="宋体" w:hAnsi="宋体" w:eastAsia="宋体" w:cs="宋体"/>
          <w:sz w:val="19"/>
          <w:szCs w:val="19"/>
        </w:rPr>
      </w:pPr>
      <w:r>
        <w:rPr>
          <w:rFonts w:ascii="宋体" w:hAnsi="宋体" w:eastAsia="宋体" w:cs="宋体"/>
          <w:spacing w:val="21"/>
          <w:sz w:val="19"/>
          <w:szCs w:val="19"/>
        </w:rPr>
        <w:t>2013</w:t>
      </w:r>
      <w:r>
        <w:rPr>
          <w:rFonts w:ascii="宋体" w:hAnsi="宋体" w:eastAsia="宋体" w:cs="宋体"/>
          <w:spacing w:val="-61"/>
          <w:sz w:val="19"/>
          <w:szCs w:val="19"/>
        </w:rPr>
        <w:t xml:space="preserve"> </w:t>
      </w:r>
      <w:r>
        <w:rPr>
          <w:rFonts w:ascii="宋体" w:hAnsi="宋体" w:eastAsia="宋体" w:cs="宋体"/>
          <w:spacing w:val="21"/>
          <w:sz w:val="19"/>
          <w:szCs w:val="19"/>
        </w:rPr>
        <w:t>—</w:t>
      </w:r>
      <w:r>
        <w:rPr>
          <w:rFonts w:ascii="宋体" w:hAnsi="宋体" w:eastAsia="宋体" w:cs="宋体"/>
          <w:spacing w:val="-58"/>
          <w:sz w:val="19"/>
          <w:szCs w:val="19"/>
        </w:rPr>
        <w:t xml:space="preserve"> </w:t>
      </w:r>
      <w:r>
        <w:rPr>
          <w:rFonts w:ascii="宋体" w:hAnsi="宋体" w:eastAsia="宋体" w:cs="宋体"/>
          <w:spacing w:val="21"/>
          <w:sz w:val="19"/>
          <w:szCs w:val="19"/>
        </w:rPr>
        <w:t>2021年伤害标准化死亡率下降</w:t>
      </w:r>
      <w:r>
        <w:rPr>
          <w:rFonts w:ascii="宋体" w:hAnsi="宋体" w:eastAsia="宋体" w:cs="宋体"/>
          <w:spacing w:val="20"/>
          <w:sz w:val="19"/>
          <w:szCs w:val="19"/>
        </w:rPr>
        <w:t>速度较之前更快[年度变化百分比</w:t>
      </w:r>
      <w:r>
        <w:rPr>
          <w:rFonts w:ascii="Times New Roman" w:hAnsi="Times New Roman" w:eastAsia="Times New Roman" w:cs="Times New Roman"/>
          <w:spacing w:val="20"/>
          <w:sz w:val="19"/>
          <w:szCs w:val="19"/>
        </w:rPr>
        <w:t>(</w:t>
      </w:r>
      <w:r>
        <w:rPr>
          <w:rFonts w:ascii="Times New Roman" w:hAnsi="Times New Roman" w:eastAsia="Times New Roman" w:cs="Times New Roman"/>
          <w:sz w:val="19"/>
          <w:szCs w:val="19"/>
        </w:rPr>
        <w:t>annual</w:t>
      </w:r>
      <w:r>
        <w:rPr>
          <w:rFonts w:ascii="Times New Roman" w:hAnsi="Times New Roman" w:eastAsia="Times New Roman" w:cs="Times New Roman"/>
          <w:spacing w:val="20"/>
          <w:sz w:val="19"/>
          <w:szCs w:val="19"/>
        </w:rPr>
        <w:t xml:space="preserve">    </w:t>
      </w:r>
      <w:r>
        <w:rPr>
          <w:rFonts w:ascii="Times New Roman" w:hAnsi="Times New Roman" w:eastAsia="Times New Roman" w:cs="Times New Roman"/>
          <w:sz w:val="19"/>
          <w:szCs w:val="19"/>
        </w:rPr>
        <w:t>percent</w:t>
      </w:r>
      <w:r>
        <w:rPr>
          <w:rFonts w:ascii="Times New Roman" w:hAnsi="Times New Roman" w:eastAsia="Times New Roman" w:cs="Times New Roman"/>
          <w:spacing w:val="20"/>
          <w:sz w:val="19"/>
          <w:szCs w:val="19"/>
        </w:rPr>
        <w:t xml:space="preserve">     </w:t>
      </w:r>
      <w:r>
        <w:rPr>
          <w:rFonts w:ascii="Times New Roman" w:hAnsi="Times New Roman" w:eastAsia="Times New Roman" w:cs="Times New Roman"/>
          <w:sz w:val="19"/>
          <w:szCs w:val="19"/>
        </w:rPr>
        <w:t>change</w:t>
      </w:r>
      <w:r>
        <w:rPr>
          <w:rFonts w:ascii="Times New Roman" w:hAnsi="Times New Roman" w:eastAsia="Times New Roman" w:cs="Times New Roman"/>
          <w:spacing w:val="20"/>
          <w:sz w:val="19"/>
          <w:szCs w:val="19"/>
        </w:rPr>
        <w:t>,</w:t>
      </w:r>
      <w:r>
        <w:rPr>
          <w:rFonts w:ascii="Times New Roman" w:hAnsi="Times New Roman" w:eastAsia="Times New Roman" w:cs="Times New Roman"/>
          <w:sz w:val="19"/>
          <w:szCs w:val="19"/>
        </w:rPr>
        <w:t xml:space="preserve">   </w:t>
      </w:r>
      <w:r>
        <w:rPr>
          <w:rFonts w:ascii="宋体" w:hAnsi="宋体" w:eastAsia="宋体" w:cs="宋体"/>
          <w:sz w:val="19"/>
          <w:szCs w:val="19"/>
        </w:rPr>
        <w:t>APC</w:t>
      </w:r>
      <w:r>
        <w:rPr>
          <w:rFonts w:ascii="宋体" w:hAnsi="宋体" w:eastAsia="宋体" w:cs="宋体"/>
          <w:spacing w:val="14"/>
          <w:sz w:val="19"/>
          <w:szCs w:val="19"/>
        </w:rPr>
        <w:t>)=-5.54%]。   我国主要伤害死因中，道路交通伤害、溺水、自杀及后遗症和非故意中毒分别以</w:t>
      </w:r>
      <w:r>
        <w:rPr>
          <w:rFonts w:ascii="宋体" w:hAnsi="宋体" w:eastAsia="宋体" w:cs="宋体"/>
          <w:spacing w:val="9"/>
          <w:sz w:val="19"/>
          <w:szCs w:val="19"/>
        </w:rPr>
        <w:t xml:space="preserve">  </w:t>
      </w:r>
      <w:r>
        <w:rPr>
          <w:rFonts w:ascii="宋体" w:hAnsi="宋体" w:eastAsia="宋体" w:cs="宋体"/>
          <w:spacing w:val="16"/>
          <w:sz w:val="19"/>
          <w:szCs w:val="19"/>
        </w:rPr>
        <w:t>年均-5</w:t>
      </w:r>
      <w:r>
        <w:rPr>
          <w:rFonts w:ascii="宋体" w:hAnsi="宋体" w:eastAsia="宋体" w:cs="宋体"/>
          <w:spacing w:val="-57"/>
          <w:sz w:val="19"/>
          <w:szCs w:val="19"/>
        </w:rPr>
        <w:t xml:space="preserve"> </w:t>
      </w:r>
      <w:r>
        <w:rPr>
          <w:rFonts w:ascii="宋体" w:hAnsi="宋体" w:eastAsia="宋体" w:cs="宋体"/>
          <w:spacing w:val="16"/>
          <w:sz w:val="19"/>
          <w:szCs w:val="19"/>
        </w:rPr>
        <w:t>.44%、 -4</w:t>
      </w:r>
      <w:r>
        <w:rPr>
          <w:rFonts w:ascii="宋体" w:hAnsi="宋体" w:eastAsia="宋体" w:cs="宋体"/>
          <w:spacing w:val="-57"/>
          <w:sz w:val="19"/>
          <w:szCs w:val="19"/>
        </w:rPr>
        <w:t xml:space="preserve"> </w:t>
      </w:r>
      <w:r>
        <w:rPr>
          <w:rFonts w:ascii="宋体" w:hAnsi="宋体" w:eastAsia="宋体" w:cs="宋体"/>
          <w:spacing w:val="16"/>
          <w:sz w:val="19"/>
          <w:szCs w:val="19"/>
        </w:rPr>
        <w:t>.</w:t>
      </w:r>
      <w:r>
        <w:rPr>
          <w:rFonts w:ascii="宋体" w:hAnsi="宋体" w:eastAsia="宋体" w:cs="宋体"/>
          <w:spacing w:val="-48"/>
          <w:sz w:val="19"/>
          <w:szCs w:val="19"/>
        </w:rPr>
        <w:t xml:space="preserve"> </w:t>
      </w:r>
      <w:r>
        <w:rPr>
          <w:rFonts w:ascii="宋体" w:hAnsi="宋体" w:eastAsia="宋体" w:cs="宋体"/>
          <w:spacing w:val="16"/>
          <w:sz w:val="19"/>
          <w:szCs w:val="19"/>
        </w:rPr>
        <w:t>16%、</w:t>
      </w:r>
      <w:r>
        <w:rPr>
          <w:rFonts w:ascii="宋体" w:hAnsi="宋体" w:eastAsia="宋体" w:cs="宋体"/>
          <w:spacing w:val="-8"/>
          <w:sz w:val="19"/>
          <w:szCs w:val="19"/>
        </w:rPr>
        <w:t xml:space="preserve"> </w:t>
      </w:r>
      <w:r>
        <w:rPr>
          <w:rFonts w:ascii="宋体" w:hAnsi="宋体" w:eastAsia="宋体" w:cs="宋体"/>
          <w:spacing w:val="16"/>
          <w:sz w:val="19"/>
          <w:szCs w:val="19"/>
        </w:rPr>
        <w:t>-5</w:t>
      </w:r>
      <w:r>
        <w:rPr>
          <w:rFonts w:ascii="宋体" w:hAnsi="宋体" w:eastAsia="宋体" w:cs="宋体"/>
          <w:spacing w:val="-57"/>
          <w:sz w:val="19"/>
          <w:szCs w:val="19"/>
        </w:rPr>
        <w:t xml:space="preserve"> </w:t>
      </w:r>
      <w:r>
        <w:rPr>
          <w:rFonts w:ascii="宋体" w:hAnsi="宋体" w:eastAsia="宋体" w:cs="宋体"/>
          <w:spacing w:val="16"/>
          <w:sz w:val="19"/>
          <w:szCs w:val="19"/>
        </w:rPr>
        <w:t>.87%和-3</w:t>
      </w:r>
      <w:r>
        <w:rPr>
          <w:rFonts w:ascii="宋体" w:hAnsi="宋体" w:eastAsia="宋体" w:cs="宋体"/>
          <w:spacing w:val="-57"/>
          <w:sz w:val="19"/>
          <w:szCs w:val="19"/>
        </w:rPr>
        <w:t xml:space="preserve"> </w:t>
      </w:r>
      <w:r>
        <w:rPr>
          <w:rFonts w:ascii="宋体" w:hAnsi="宋体" w:eastAsia="宋体" w:cs="宋体"/>
          <w:spacing w:val="16"/>
          <w:sz w:val="19"/>
          <w:szCs w:val="19"/>
        </w:rPr>
        <w:t>.24%的速度</w:t>
      </w:r>
      <w:r>
        <w:rPr>
          <w:rFonts w:ascii="宋体" w:hAnsi="宋体" w:eastAsia="宋体" w:cs="宋体"/>
          <w:spacing w:val="15"/>
          <w:sz w:val="19"/>
          <w:szCs w:val="19"/>
        </w:rPr>
        <w:t>下降，而非故意跌倒以年均1</w:t>
      </w:r>
      <w:r>
        <w:rPr>
          <w:rFonts w:ascii="宋体" w:hAnsi="宋体" w:eastAsia="宋体" w:cs="宋体"/>
          <w:spacing w:val="-57"/>
          <w:sz w:val="19"/>
          <w:szCs w:val="19"/>
        </w:rPr>
        <w:t xml:space="preserve"> </w:t>
      </w:r>
      <w:r>
        <w:rPr>
          <w:rFonts w:ascii="宋体" w:hAnsi="宋体" w:eastAsia="宋体" w:cs="宋体"/>
          <w:spacing w:val="15"/>
          <w:sz w:val="19"/>
          <w:szCs w:val="19"/>
        </w:rPr>
        <w:t>.</w:t>
      </w:r>
      <w:r>
        <w:rPr>
          <w:rFonts w:ascii="宋体" w:hAnsi="宋体" w:eastAsia="宋体" w:cs="宋体"/>
          <w:spacing w:val="-48"/>
          <w:sz w:val="19"/>
          <w:szCs w:val="19"/>
        </w:rPr>
        <w:t xml:space="preserve"> </w:t>
      </w:r>
      <w:r>
        <w:rPr>
          <w:rFonts w:ascii="宋体" w:hAnsi="宋体" w:eastAsia="宋体" w:cs="宋体"/>
          <w:spacing w:val="15"/>
          <w:sz w:val="19"/>
          <w:szCs w:val="19"/>
        </w:rPr>
        <w:t>12%的速度上升。</w:t>
      </w:r>
      <w:r>
        <w:rPr>
          <w:rFonts w:ascii="宋体" w:hAnsi="宋体" w:eastAsia="宋体" w:cs="宋体"/>
          <w:sz w:val="19"/>
          <w:szCs w:val="19"/>
        </w:rPr>
        <w:t xml:space="preserve"> </w:t>
      </w:r>
      <w:r>
        <w:rPr>
          <w:rFonts w:ascii="宋体" w:hAnsi="宋体" w:eastAsia="宋体" w:cs="宋体"/>
          <w:spacing w:val="19"/>
          <w:sz w:val="19"/>
          <w:szCs w:val="19"/>
        </w:rPr>
        <w:t>其中，非故意跌倒标准化死亡率的变化分为2个时期：2004</w:t>
      </w:r>
      <w:r>
        <w:rPr>
          <w:rFonts w:ascii="宋体" w:hAnsi="宋体" w:eastAsia="宋体" w:cs="宋体"/>
          <w:spacing w:val="-50"/>
          <w:sz w:val="19"/>
          <w:szCs w:val="19"/>
        </w:rPr>
        <w:t xml:space="preserve"> </w:t>
      </w:r>
      <w:r>
        <w:rPr>
          <w:rFonts w:ascii="宋体" w:hAnsi="宋体" w:eastAsia="宋体" w:cs="宋体"/>
          <w:spacing w:val="19"/>
          <w:sz w:val="19"/>
          <w:szCs w:val="19"/>
        </w:rPr>
        <w:t>—</w:t>
      </w:r>
      <w:r>
        <w:rPr>
          <w:rFonts w:ascii="宋体" w:hAnsi="宋体" w:eastAsia="宋体" w:cs="宋体"/>
          <w:spacing w:val="-57"/>
          <w:sz w:val="19"/>
          <w:szCs w:val="19"/>
        </w:rPr>
        <w:t xml:space="preserve"> </w:t>
      </w:r>
      <w:r>
        <w:rPr>
          <w:rFonts w:ascii="宋体" w:hAnsi="宋体" w:eastAsia="宋体" w:cs="宋体"/>
          <w:spacing w:val="19"/>
          <w:sz w:val="19"/>
          <w:szCs w:val="19"/>
        </w:rPr>
        <w:t>2011年平稳下降(</w:t>
      </w:r>
      <w:r>
        <w:rPr>
          <w:rFonts w:ascii="宋体" w:hAnsi="宋体" w:eastAsia="宋体" w:cs="宋体"/>
          <w:sz w:val="19"/>
          <w:szCs w:val="19"/>
        </w:rPr>
        <w:t>APC</w:t>
      </w:r>
      <w:r>
        <w:rPr>
          <w:rFonts w:ascii="宋体" w:hAnsi="宋体" w:eastAsia="宋体" w:cs="宋体"/>
          <w:spacing w:val="19"/>
          <w:sz w:val="19"/>
          <w:szCs w:val="19"/>
        </w:rPr>
        <w:t>=-0.31%),</w:t>
      </w:r>
    </w:p>
    <w:p w14:paraId="24DC7887">
      <w:pPr>
        <w:spacing w:before="1" w:line="278" w:lineRule="auto"/>
        <w:ind w:right="641"/>
        <w:rPr>
          <w:rFonts w:ascii="宋体" w:hAnsi="宋体" w:eastAsia="宋体" w:cs="宋体"/>
          <w:sz w:val="19"/>
          <w:szCs w:val="19"/>
        </w:rPr>
      </w:pPr>
      <w:r>
        <w:rPr>
          <w:rFonts w:ascii="宋体" w:hAnsi="宋体" w:eastAsia="宋体" w:cs="宋体"/>
          <w:spacing w:val="15"/>
          <w:sz w:val="19"/>
          <w:szCs w:val="19"/>
        </w:rPr>
        <w:t>2011</w:t>
      </w:r>
      <w:r>
        <w:rPr>
          <w:rFonts w:ascii="宋体" w:hAnsi="宋体" w:eastAsia="宋体" w:cs="宋体"/>
          <w:spacing w:val="-55"/>
          <w:sz w:val="19"/>
          <w:szCs w:val="19"/>
        </w:rPr>
        <w:t xml:space="preserve"> </w:t>
      </w:r>
      <w:r>
        <w:rPr>
          <w:rFonts w:ascii="宋体" w:hAnsi="宋体" w:eastAsia="宋体" w:cs="宋体"/>
          <w:spacing w:val="15"/>
          <w:sz w:val="19"/>
          <w:szCs w:val="19"/>
        </w:rPr>
        <w:t>—</w:t>
      </w:r>
      <w:r>
        <w:rPr>
          <w:rFonts w:ascii="宋体" w:hAnsi="宋体" w:eastAsia="宋体" w:cs="宋体"/>
          <w:spacing w:val="-51"/>
          <w:sz w:val="19"/>
          <w:szCs w:val="19"/>
        </w:rPr>
        <w:t xml:space="preserve"> </w:t>
      </w:r>
      <w:r>
        <w:rPr>
          <w:rFonts w:ascii="宋体" w:hAnsi="宋体" w:eastAsia="宋体" w:cs="宋体"/>
          <w:spacing w:val="15"/>
          <w:sz w:val="19"/>
          <w:szCs w:val="19"/>
        </w:rPr>
        <w:t>2021年加速上升</w:t>
      </w:r>
      <w:r>
        <w:rPr>
          <w:rFonts w:ascii="Times New Roman" w:hAnsi="Times New Roman" w:eastAsia="Times New Roman" w:cs="Times New Roman"/>
          <w:spacing w:val="15"/>
          <w:sz w:val="19"/>
          <w:szCs w:val="19"/>
        </w:rPr>
        <w:t>(</w:t>
      </w:r>
      <w:r>
        <w:rPr>
          <w:rFonts w:ascii="Times New Roman" w:hAnsi="Times New Roman" w:eastAsia="Times New Roman" w:cs="Times New Roman"/>
          <w:sz w:val="19"/>
          <w:szCs w:val="19"/>
        </w:rPr>
        <w:t>APC</w:t>
      </w:r>
      <w:r>
        <w:rPr>
          <w:rFonts w:ascii="Times New Roman" w:hAnsi="Times New Roman" w:eastAsia="Times New Roman" w:cs="Times New Roman"/>
          <w:spacing w:val="15"/>
          <w:sz w:val="19"/>
          <w:szCs w:val="19"/>
        </w:rPr>
        <w:t>=2.13%)</w:t>
      </w:r>
      <w:r>
        <w:rPr>
          <w:rFonts w:ascii="Times New Roman" w:hAnsi="Times New Roman" w:eastAsia="Times New Roman" w:cs="Times New Roman"/>
          <w:spacing w:val="-22"/>
          <w:sz w:val="19"/>
          <w:szCs w:val="19"/>
        </w:rPr>
        <w:t xml:space="preserve"> </w:t>
      </w:r>
      <w:r>
        <w:rPr>
          <w:rFonts w:ascii="宋体" w:hAnsi="宋体" w:eastAsia="宋体" w:cs="宋体"/>
          <w:spacing w:val="15"/>
          <w:sz w:val="19"/>
          <w:szCs w:val="19"/>
        </w:rPr>
        <w:t>。</w:t>
      </w:r>
      <w:r>
        <w:rPr>
          <w:rFonts w:ascii="Times New Roman" w:hAnsi="Times New Roman" w:eastAsia="Times New Roman" w:cs="Times New Roman"/>
          <w:spacing w:val="15"/>
          <w:sz w:val="19"/>
          <w:szCs w:val="19"/>
        </w:rPr>
        <w:t>2004—202</w:t>
      </w:r>
      <w:r>
        <w:rPr>
          <w:rFonts w:ascii="Times New Roman" w:hAnsi="Times New Roman" w:eastAsia="Times New Roman" w:cs="Times New Roman"/>
          <w:spacing w:val="14"/>
          <w:sz w:val="19"/>
          <w:szCs w:val="19"/>
        </w:rPr>
        <w:t xml:space="preserve">1         </w:t>
      </w:r>
      <w:r>
        <w:rPr>
          <w:rFonts w:ascii="宋体" w:hAnsi="宋体" w:eastAsia="宋体" w:cs="宋体"/>
          <w:spacing w:val="14"/>
          <w:sz w:val="19"/>
          <w:szCs w:val="19"/>
        </w:rPr>
        <w:t>年我国主要伤害标准化死亡率变化趋势见</w:t>
      </w:r>
      <w:r>
        <w:rPr>
          <w:rFonts w:ascii="宋体" w:hAnsi="宋体" w:eastAsia="宋体" w:cs="宋体"/>
          <w:sz w:val="19"/>
          <w:szCs w:val="19"/>
        </w:rPr>
        <w:t xml:space="preserve"> </w:t>
      </w:r>
      <w:r>
        <w:rPr>
          <w:rFonts w:ascii="宋体" w:hAnsi="宋体" w:eastAsia="宋体" w:cs="宋体"/>
          <w:spacing w:val="6"/>
          <w:sz w:val="19"/>
          <w:szCs w:val="19"/>
        </w:rPr>
        <w:t>图15</w:t>
      </w:r>
      <w:r>
        <w:rPr>
          <w:rFonts w:ascii="宋体" w:hAnsi="宋体" w:eastAsia="宋体" w:cs="宋体"/>
          <w:spacing w:val="-52"/>
          <w:sz w:val="19"/>
          <w:szCs w:val="19"/>
        </w:rPr>
        <w:t xml:space="preserve"> </w:t>
      </w:r>
      <w:r>
        <w:rPr>
          <w:rFonts w:ascii="宋体" w:hAnsi="宋体" w:eastAsia="宋体" w:cs="宋体"/>
          <w:spacing w:val="6"/>
          <w:sz w:val="19"/>
          <w:szCs w:val="19"/>
        </w:rPr>
        <w:t>-</w:t>
      </w:r>
      <w:r>
        <w:rPr>
          <w:rFonts w:ascii="宋体" w:hAnsi="宋体" w:eastAsia="宋体" w:cs="宋体"/>
          <w:spacing w:val="-49"/>
          <w:sz w:val="19"/>
          <w:szCs w:val="19"/>
        </w:rPr>
        <w:t xml:space="preserve"> </w:t>
      </w:r>
      <w:r>
        <w:rPr>
          <w:rFonts w:ascii="宋体" w:hAnsi="宋体" w:eastAsia="宋体" w:cs="宋体"/>
          <w:spacing w:val="6"/>
          <w:sz w:val="19"/>
          <w:szCs w:val="19"/>
        </w:rPr>
        <w:t>3。</w:t>
      </w:r>
    </w:p>
    <w:p w14:paraId="06F3C3CB">
      <w:pPr>
        <w:spacing w:line="278" w:lineRule="auto"/>
        <w:rPr>
          <w:rFonts w:ascii="宋体" w:hAnsi="宋体" w:eastAsia="宋体" w:cs="宋体"/>
          <w:sz w:val="19"/>
          <w:szCs w:val="19"/>
        </w:rPr>
        <w:sectPr>
          <w:type w:val="continuous"/>
          <w:pgSz w:w="11900" w:h="16820"/>
          <w:pgMar w:top="400" w:right="879" w:bottom="840" w:left="1430" w:header="0" w:footer="668" w:gutter="0"/>
          <w:cols w:equalWidth="0" w:num="1">
            <w:col w:w="9591"/>
          </w:cols>
        </w:sectPr>
      </w:pPr>
    </w:p>
    <w:p w14:paraId="438C8232">
      <w:pPr>
        <w:pStyle w:val="2"/>
        <w:spacing w:before="95" w:line="221" w:lineRule="auto"/>
        <w:ind w:left="719"/>
        <w:rPr>
          <w:sz w:val="18"/>
          <w:szCs w:val="18"/>
        </w:rPr>
      </w:pPr>
      <w:r>
        <w:rPr>
          <w:spacing w:val="1"/>
          <w:sz w:val="18"/>
          <w:szCs w:val="18"/>
        </w:rPr>
        <w:t>第十五章伤害流行病学</w:t>
      </w:r>
    </w:p>
    <w:p w14:paraId="25130834">
      <w:pPr>
        <w:spacing w:line="277" w:lineRule="auto"/>
        <w:rPr>
          <w:rFonts w:ascii="Arial"/>
          <w:sz w:val="21"/>
        </w:rPr>
      </w:pPr>
    </w:p>
    <w:p w14:paraId="0D591E0F">
      <w:pPr>
        <w:spacing w:line="278" w:lineRule="auto"/>
        <w:rPr>
          <w:rFonts w:ascii="Arial"/>
          <w:sz w:val="21"/>
        </w:rPr>
      </w:pPr>
    </w:p>
    <w:p w14:paraId="2986018A">
      <w:pPr>
        <w:pStyle w:val="2"/>
        <w:spacing w:line="6507" w:lineRule="exact"/>
        <w:ind w:firstLine="1059"/>
      </w:pPr>
      <w:r>
        <mc:AlternateContent>
          <mc:Choice Requires="wps">
            <w:drawing>
              <wp:anchor distT="0" distB="0" distL="0" distR="0" simplePos="0" relativeHeight="251899904" behindDoc="0" locked="0" layoutInCell="1" allowOverlap="1">
                <wp:simplePos x="0" y="0"/>
                <wp:positionH relativeFrom="column">
                  <wp:posOffset>194310</wp:posOffset>
                </wp:positionH>
                <wp:positionV relativeFrom="paragraph">
                  <wp:posOffset>1915160</wp:posOffset>
                </wp:positionV>
                <wp:extent cx="894715" cy="140335"/>
                <wp:effectExtent l="0" t="0" r="0" b="0"/>
                <wp:wrapNone/>
                <wp:docPr id="644" name="TextBox 644"/>
                <wp:cNvGraphicFramePr/>
                <a:graphic xmlns:a="http://schemas.openxmlformats.org/drawingml/2006/main">
                  <a:graphicData uri="http://schemas.microsoft.com/office/word/2010/wordprocessingShape">
                    <wps:wsp>
                      <wps:cNvSpPr txBox="1"/>
                      <wps:spPr>
                        <a:xfrm rot="16200000">
                          <a:off x="194521" y="1915210"/>
                          <a:ext cx="894714" cy="140335"/>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51795167">
                            <w:pPr>
                              <w:spacing w:before="45" w:line="220" w:lineRule="auto"/>
                              <w:ind w:left="20"/>
                              <w:rPr>
                                <w:rFonts w:ascii="宋体" w:hAnsi="宋体" w:eastAsia="宋体" w:cs="宋体"/>
                                <w:sz w:val="13"/>
                                <w:szCs w:val="13"/>
                              </w:rPr>
                            </w:pPr>
                            <w:r>
                              <w:rPr>
                                <w:rFonts w:ascii="宋体" w:hAnsi="宋体" w:eastAsia="宋体" w:cs="宋体"/>
                                <w:spacing w:val="-8"/>
                                <w:sz w:val="13"/>
                                <w:szCs w:val="13"/>
                              </w:rPr>
                              <w:t>V</w:t>
                            </w:r>
                            <w:r>
                              <w:rPr>
                                <w:rFonts w:ascii="宋体" w:hAnsi="宋体" w:eastAsia="宋体" w:cs="宋体"/>
                                <w:spacing w:val="-10"/>
                                <w:sz w:val="13"/>
                                <w:szCs w:val="13"/>
                              </w:rPr>
                              <w:t xml:space="preserve"> </w:t>
                            </w:r>
                            <w:r>
                              <w:rPr>
                                <w:rFonts w:ascii="宋体" w:hAnsi="宋体" w:eastAsia="宋体" w:cs="宋体"/>
                                <w:spacing w:val="-8"/>
                                <w:sz w:val="13"/>
                                <w:szCs w:val="13"/>
                              </w:rPr>
                              <w:t>A</w:t>
                            </w:r>
                            <w:r>
                              <w:rPr>
                                <w:rFonts w:ascii="宋体" w:hAnsi="宋体" w:eastAsia="宋体" w:cs="宋体"/>
                                <w:spacing w:val="-15"/>
                                <w:sz w:val="13"/>
                                <w:szCs w:val="13"/>
                              </w:rPr>
                              <w:t xml:space="preserve"> </w:t>
                            </w:r>
                            <w:r>
                              <w:rPr>
                                <w:rFonts w:ascii="宋体" w:hAnsi="宋体" w:eastAsia="宋体" w:cs="宋体"/>
                                <w:spacing w:val="-8"/>
                                <w:sz w:val="13"/>
                                <w:szCs w:val="13"/>
                              </w:rPr>
                              <w:t>D</w:t>
                            </w:r>
                            <w:r>
                              <w:rPr>
                                <w:rFonts w:ascii="宋体" w:hAnsi="宋体" w:eastAsia="宋体" w:cs="宋体"/>
                                <w:spacing w:val="-13"/>
                                <w:sz w:val="13"/>
                                <w:szCs w:val="13"/>
                              </w:rPr>
                              <w:t xml:space="preserve"> </w:t>
                            </w:r>
                            <w:r>
                              <w:rPr>
                                <w:rFonts w:ascii="宋体" w:hAnsi="宋体" w:eastAsia="宋体" w:cs="宋体"/>
                                <w:spacing w:val="-8"/>
                                <w:sz w:val="13"/>
                                <w:szCs w:val="13"/>
                              </w:rPr>
                              <w:t>R</w:t>
                            </w:r>
                            <w:r>
                              <w:rPr>
                                <w:rFonts w:ascii="宋体" w:hAnsi="宋体" w:eastAsia="宋体" w:cs="宋体"/>
                                <w:spacing w:val="-13"/>
                                <w:sz w:val="13"/>
                                <w:szCs w:val="13"/>
                              </w:rPr>
                              <w:t xml:space="preserve"> </w:t>
                            </w:r>
                            <w:r>
                              <w:rPr>
                                <w:rFonts w:ascii="宋体" w:hAnsi="宋体" w:eastAsia="宋体" w:cs="宋体"/>
                                <w:spacing w:val="-8"/>
                                <w:sz w:val="13"/>
                                <w:szCs w:val="13"/>
                              </w:rPr>
                              <w:t>/</w:t>
                            </w:r>
                            <w:r>
                              <w:rPr>
                                <w:rFonts w:ascii="宋体" w:hAnsi="宋体" w:eastAsia="宋体" w:cs="宋体"/>
                                <w:spacing w:val="11"/>
                                <w:sz w:val="13"/>
                                <w:szCs w:val="13"/>
                              </w:rPr>
                              <w:t xml:space="preserve"> </w:t>
                            </w:r>
                            <w:r>
                              <w:rPr>
                                <w:rFonts w:ascii="宋体" w:hAnsi="宋体" w:eastAsia="宋体" w:cs="宋体"/>
                                <w:spacing w:val="-8"/>
                                <w:sz w:val="13"/>
                                <w:szCs w:val="13"/>
                              </w:rPr>
                              <w:t>( 1 / 1 0 万</w:t>
                            </w:r>
                            <w:r>
                              <w:rPr>
                                <w:rFonts w:ascii="宋体" w:hAnsi="宋体" w:eastAsia="宋体" w:cs="宋体"/>
                                <w:spacing w:val="-11"/>
                                <w:sz w:val="13"/>
                                <w:szCs w:val="13"/>
                              </w:rPr>
                              <w:t xml:space="preserve"> </w:t>
                            </w:r>
                            <w:r>
                              <w:rPr>
                                <w:rFonts w:ascii="宋体" w:hAnsi="宋体" w:eastAsia="宋体" w:cs="宋体"/>
                                <w:spacing w:val="-8"/>
                                <w:sz w:val="13"/>
                                <w:szCs w:val="13"/>
                              </w:rPr>
                              <w:t>)</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644" o:spid="_x0000_s1026" o:spt="202" type="#_x0000_t202" style="position:absolute;left:0pt;margin-left:15.3pt;margin-top:150.8pt;height:11.05pt;width:70.45pt;rotation:-5898240f;z-index:251899904;mso-width-relative:page;mso-height-relative:page;" filled="f" stroked="f" coordsize="21600,21600" o:gfxdata="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">
                <v:fill on="f" focussize="0,0"/>
                <v:stroke on="f" weight="0pt" miterlimit="0" joinstyle="miter"/>
                <v:imagedata o:title=""/>
                <o:lock v:ext="edit" aspectratio="f"/>
                <v:textbox inset="0mm,0mm,0mm,0mm">
                  <w:txbxContent>
                    <w:p w14:paraId="51795167">
                      <w:pPr>
                        <w:spacing w:before="45" w:line="220" w:lineRule="auto"/>
                        <w:ind w:left="20"/>
                        <w:rPr>
                          <w:rFonts w:ascii="宋体" w:hAnsi="宋体" w:eastAsia="宋体" w:cs="宋体"/>
                          <w:sz w:val="13"/>
                          <w:szCs w:val="13"/>
                        </w:rPr>
                      </w:pPr>
                      <w:r>
                        <w:rPr>
                          <w:rFonts w:ascii="宋体" w:hAnsi="宋体" w:eastAsia="宋体" w:cs="宋体"/>
                          <w:spacing w:val="-8"/>
                          <w:sz w:val="13"/>
                          <w:szCs w:val="13"/>
                        </w:rPr>
                        <w:t>V</w:t>
                      </w:r>
                      <w:r>
                        <w:rPr>
                          <w:rFonts w:ascii="宋体" w:hAnsi="宋体" w:eastAsia="宋体" w:cs="宋体"/>
                          <w:spacing w:val="-10"/>
                          <w:sz w:val="13"/>
                          <w:szCs w:val="13"/>
                        </w:rPr>
                        <w:t xml:space="preserve"> </w:t>
                      </w:r>
                      <w:r>
                        <w:rPr>
                          <w:rFonts w:ascii="宋体" w:hAnsi="宋体" w:eastAsia="宋体" w:cs="宋体"/>
                          <w:spacing w:val="-8"/>
                          <w:sz w:val="13"/>
                          <w:szCs w:val="13"/>
                        </w:rPr>
                        <w:t>A</w:t>
                      </w:r>
                      <w:r>
                        <w:rPr>
                          <w:rFonts w:ascii="宋体" w:hAnsi="宋体" w:eastAsia="宋体" w:cs="宋体"/>
                          <w:spacing w:val="-15"/>
                          <w:sz w:val="13"/>
                          <w:szCs w:val="13"/>
                        </w:rPr>
                        <w:t xml:space="preserve"> </w:t>
                      </w:r>
                      <w:r>
                        <w:rPr>
                          <w:rFonts w:ascii="宋体" w:hAnsi="宋体" w:eastAsia="宋体" w:cs="宋体"/>
                          <w:spacing w:val="-8"/>
                          <w:sz w:val="13"/>
                          <w:szCs w:val="13"/>
                        </w:rPr>
                        <w:t>D</w:t>
                      </w:r>
                      <w:r>
                        <w:rPr>
                          <w:rFonts w:ascii="宋体" w:hAnsi="宋体" w:eastAsia="宋体" w:cs="宋体"/>
                          <w:spacing w:val="-13"/>
                          <w:sz w:val="13"/>
                          <w:szCs w:val="13"/>
                        </w:rPr>
                        <w:t xml:space="preserve"> </w:t>
                      </w:r>
                      <w:r>
                        <w:rPr>
                          <w:rFonts w:ascii="宋体" w:hAnsi="宋体" w:eastAsia="宋体" w:cs="宋体"/>
                          <w:spacing w:val="-8"/>
                          <w:sz w:val="13"/>
                          <w:szCs w:val="13"/>
                        </w:rPr>
                        <w:t>R</w:t>
                      </w:r>
                      <w:r>
                        <w:rPr>
                          <w:rFonts w:ascii="宋体" w:hAnsi="宋体" w:eastAsia="宋体" w:cs="宋体"/>
                          <w:spacing w:val="-13"/>
                          <w:sz w:val="13"/>
                          <w:szCs w:val="13"/>
                        </w:rPr>
                        <w:t xml:space="preserve"> </w:t>
                      </w:r>
                      <w:r>
                        <w:rPr>
                          <w:rFonts w:ascii="宋体" w:hAnsi="宋体" w:eastAsia="宋体" w:cs="宋体"/>
                          <w:spacing w:val="-8"/>
                          <w:sz w:val="13"/>
                          <w:szCs w:val="13"/>
                        </w:rPr>
                        <w:t>/</w:t>
                      </w:r>
                      <w:r>
                        <w:rPr>
                          <w:rFonts w:ascii="宋体" w:hAnsi="宋体" w:eastAsia="宋体" w:cs="宋体"/>
                          <w:spacing w:val="11"/>
                          <w:sz w:val="13"/>
                          <w:szCs w:val="13"/>
                        </w:rPr>
                        <w:t xml:space="preserve"> </w:t>
                      </w:r>
                      <w:r>
                        <w:rPr>
                          <w:rFonts w:ascii="宋体" w:hAnsi="宋体" w:eastAsia="宋体" w:cs="宋体"/>
                          <w:spacing w:val="-8"/>
                          <w:sz w:val="13"/>
                          <w:szCs w:val="13"/>
                        </w:rPr>
                        <w:t>( 1 / 1 0 万</w:t>
                      </w:r>
                      <w:r>
                        <w:rPr>
                          <w:rFonts w:ascii="宋体" w:hAnsi="宋体" w:eastAsia="宋体" w:cs="宋体"/>
                          <w:spacing w:val="-11"/>
                          <w:sz w:val="13"/>
                          <w:szCs w:val="13"/>
                        </w:rPr>
                        <w:t xml:space="preserve"> </w:t>
                      </w:r>
                      <w:r>
                        <w:rPr>
                          <w:rFonts w:ascii="宋体" w:hAnsi="宋体" w:eastAsia="宋体" w:cs="宋体"/>
                          <w:spacing w:val="-8"/>
                          <w:sz w:val="13"/>
                          <w:szCs w:val="13"/>
                        </w:rPr>
                        <w:t>)</w:t>
                      </w:r>
                    </w:p>
                  </w:txbxContent>
                </v:textbox>
              </v:shape>
            </w:pict>
          </mc:Fallback>
        </mc:AlternateContent>
      </w:r>
      <w:r>
        <mc:AlternateContent>
          <mc:Choice Requires="wps">
            <w:drawing>
              <wp:anchor distT="0" distB="0" distL="0" distR="0" simplePos="0" relativeHeight="251900928" behindDoc="0" locked="0" layoutInCell="1" allowOverlap="1">
                <wp:simplePos x="0" y="0"/>
                <wp:positionH relativeFrom="column">
                  <wp:posOffset>791210</wp:posOffset>
                </wp:positionH>
                <wp:positionV relativeFrom="paragraph">
                  <wp:posOffset>3828415</wp:posOffset>
                </wp:positionV>
                <wp:extent cx="186690" cy="157480"/>
                <wp:effectExtent l="0" t="0" r="0" b="0"/>
                <wp:wrapNone/>
                <wp:docPr id="646" name="TextBox 646"/>
                <wp:cNvGraphicFramePr/>
                <a:graphic xmlns:a="http://schemas.openxmlformats.org/drawingml/2006/main">
                  <a:graphicData uri="http://schemas.microsoft.com/office/word/2010/wordprocessingShape">
                    <wps:wsp>
                      <wps:cNvSpPr txBox="1"/>
                      <wps:spPr>
                        <a:xfrm rot="16200000">
                          <a:off x="791590" y="3829018"/>
                          <a:ext cx="186689" cy="157479"/>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3A1A466B">
                            <w:pPr>
                              <w:spacing w:before="58"/>
                              <w:ind w:left="20"/>
                              <w:rPr>
                                <w:rFonts w:ascii="宋体" w:hAnsi="宋体" w:eastAsia="宋体" w:cs="宋体"/>
                                <w:sz w:val="13"/>
                                <w:szCs w:val="13"/>
                              </w:rPr>
                            </w:pPr>
                            <w:r>
                              <w:rPr>
                                <w:rFonts w:ascii="宋体" w:hAnsi="宋体" w:eastAsia="宋体" w:cs="宋体"/>
                                <w:spacing w:val="-2"/>
                                <w:sz w:val="13"/>
                                <w:szCs w:val="13"/>
                              </w:rPr>
                              <w:t>2004</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646" o:spid="_x0000_s1026" o:spt="202" type="#_x0000_t202" style="position:absolute;left:0pt;margin-left:62.3pt;margin-top:301.45pt;height:12.4pt;width:14.7pt;rotation:-5898240f;z-index:251900928;mso-width-relative:page;mso-height-relative:page;" filled="f" stroked="f" coordsize="21600,21600" o:gfxdata="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BEU1udkAAAALAQAA&#10;DwAAAAAAAAABACAAAAAiAAAAZHJzL2Rvd25yZXYueG1sUEsBAhQAFAAAAAgAh07iQN8Bfp1RAgAA&#10;pAQAAA4AAAAAAAAAAQAgAAAAKAEAAGRycy9lMm9Eb2MueG1sUEsFBgAAAAAGAAYAWQEAAOsFAAAA&#10;AA==&#10;">
                <v:fill on="f" focussize="0,0"/>
                <v:stroke on="f" weight="0pt" miterlimit="0" joinstyle="miter"/>
                <v:imagedata o:title=""/>
                <o:lock v:ext="edit" aspectratio="f"/>
                <v:textbox inset="0mm,0mm,0mm,0mm">
                  <w:txbxContent>
                    <w:p w14:paraId="3A1A466B">
                      <w:pPr>
                        <w:spacing w:before="58"/>
                        <w:ind w:left="20"/>
                        <w:rPr>
                          <w:rFonts w:ascii="宋体" w:hAnsi="宋体" w:eastAsia="宋体" w:cs="宋体"/>
                          <w:sz w:val="13"/>
                          <w:szCs w:val="13"/>
                        </w:rPr>
                      </w:pPr>
                      <w:r>
                        <w:rPr>
                          <w:rFonts w:ascii="宋体" w:hAnsi="宋体" w:eastAsia="宋体" w:cs="宋体"/>
                          <w:spacing w:val="-2"/>
                          <w:sz w:val="13"/>
                          <w:szCs w:val="13"/>
                        </w:rPr>
                        <w:t>2004</w:t>
                      </w:r>
                    </w:p>
                  </w:txbxContent>
                </v:textbox>
              </v:shape>
            </w:pict>
          </mc:Fallback>
        </mc:AlternateContent>
      </w:r>
      <w:r>
        <mc:AlternateContent>
          <mc:Choice Requires="wps">
            <w:drawing>
              <wp:anchor distT="0" distB="0" distL="0" distR="0" simplePos="0" relativeHeight="251901952" behindDoc="0" locked="0" layoutInCell="1" allowOverlap="1">
                <wp:simplePos x="0" y="0"/>
                <wp:positionH relativeFrom="column">
                  <wp:posOffset>1032510</wp:posOffset>
                </wp:positionH>
                <wp:positionV relativeFrom="paragraph">
                  <wp:posOffset>3748405</wp:posOffset>
                </wp:positionV>
                <wp:extent cx="260985" cy="218440"/>
                <wp:effectExtent l="0" t="0" r="0" b="0"/>
                <wp:wrapNone/>
                <wp:docPr id="648" name="TextBox 648"/>
                <wp:cNvGraphicFramePr/>
                <a:graphic xmlns:a="http://schemas.openxmlformats.org/drawingml/2006/main">
                  <a:graphicData uri="http://schemas.microsoft.com/office/word/2010/wordprocessingShape">
                    <wps:wsp>
                      <wps:cNvSpPr txBox="1"/>
                      <wps:spPr>
                        <a:xfrm rot="16200000">
                          <a:off x="1032823" y="3748778"/>
                          <a:ext cx="260984" cy="218440"/>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3F881A9A">
                            <w:pPr>
                              <w:spacing w:before="76"/>
                              <w:ind w:left="20"/>
                              <w:rPr>
                                <w:rFonts w:ascii="宋体" w:hAnsi="宋体" w:eastAsia="宋体" w:cs="宋体"/>
                                <w:sz w:val="19"/>
                                <w:szCs w:val="19"/>
                              </w:rPr>
                            </w:pPr>
                            <w:r>
                              <w:rPr>
                                <w:rFonts w:ascii="宋体" w:hAnsi="宋体" w:eastAsia="宋体" w:cs="宋体"/>
                                <w:spacing w:val="-2"/>
                                <w:sz w:val="19"/>
                                <w:szCs w:val="19"/>
                              </w:rPr>
                              <w:t>2005</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648" o:spid="_x0000_s1026" o:spt="202" type="#_x0000_t202" style="position:absolute;left:0pt;margin-left:81.3pt;margin-top:295.15pt;height:17.2pt;width:20.55pt;rotation:-5898240f;z-index:251901952;mso-width-relative:page;mso-height-relative:page;" filled="f" stroked="f" coordsize="21600,21600" o:gfxdata="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AAAAAZHJzL1BLAQIUABQAAAAIAIdO4kA6viHf2QAAAAsB&#10;AAAPAAAAAAAAAAEAIAAAACIAAABkcnMvZG93bnJldi54bWxQSwECFAAUAAAACACHTuJAmSzGw1MC&#10;AAClBAAADgAAAAAAAAABACAAAAAoAQAAZHJzL2Uyb0RvYy54bWxQSwUGAAAAAAYABgBZAQAA7QUA&#10;AAAA&#10;">
                <v:fill on="f" focussize="0,0"/>
                <v:stroke on="f" weight="0pt" miterlimit="0" joinstyle="miter"/>
                <v:imagedata o:title=""/>
                <o:lock v:ext="edit" aspectratio="f"/>
                <v:textbox inset="0mm,0mm,0mm,0mm">
                  <w:txbxContent>
                    <w:p w14:paraId="3F881A9A">
                      <w:pPr>
                        <w:spacing w:before="76"/>
                        <w:ind w:left="20"/>
                        <w:rPr>
                          <w:rFonts w:ascii="宋体" w:hAnsi="宋体" w:eastAsia="宋体" w:cs="宋体"/>
                          <w:sz w:val="19"/>
                          <w:szCs w:val="19"/>
                        </w:rPr>
                      </w:pPr>
                      <w:r>
                        <w:rPr>
                          <w:rFonts w:ascii="宋体" w:hAnsi="宋体" w:eastAsia="宋体" w:cs="宋体"/>
                          <w:spacing w:val="-2"/>
                          <w:sz w:val="19"/>
                          <w:szCs w:val="19"/>
                        </w:rPr>
                        <w:t>2005</w:t>
                      </w:r>
                    </w:p>
                  </w:txbxContent>
                </v:textbox>
              </v:shape>
            </w:pict>
          </mc:Fallback>
        </mc:AlternateContent>
      </w:r>
      <w:r>
        <mc:AlternateContent>
          <mc:Choice Requires="wps">
            <w:drawing>
              <wp:anchor distT="0" distB="0" distL="0" distR="0" simplePos="0" relativeHeight="251894784" behindDoc="0" locked="0" layoutInCell="1" allowOverlap="1">
                <wp:simplePos x="0" y="0"/>
                <wp:positionH relativeFrom="column">
                  <wp:posOffset>1311910</wp:posOffset>
                </wp:positionH>
                <wp:positionV relativeFrom="paragraph">
                  <wp:posOffset>3742055</wp:posOffset>
                </wp:positionV>
                <wp:extent cx="260985" cy="218440"/>
                <wp:effectExtent l="0" t="0" r="0" b="0"/>
                <wp:wrapNone/>
                <wp:docPr id="650" name="TextBox 650"/>
                <wp:cNvGraphicFramePr/>
                <a:graphic xmlns:a="http://schemas.openxmlformats.org/drawingml/2006/main">
                  <a:graphicData uri="http://schemas.microsoft.com/office/word/2010/wordprocessingShape">
                    <wps:wsp>
                      <wps:cNvSpPr txBox="1"/>
                      <wps:spPr>
                        <a:xfrm rot="16200000">
                          <a:off x="1312262" y="3742477"/>
                          <a:ext cx="260984" cy="218440"/>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52C1C772">
                            <w:pPr>
                              <w:spacing w:before="76"/>
                              <w:ind w:left="20"/>
                              <w:rPr>
                                <w:rFonts w:ascii="宋体" w:hAnsi="宋体" w:eastAsia="宋体" w:cs="宋体"/>
                                <w:sz w:val="19"/>
                                <w:szCs w:val="19"/>
                              </w:rPr>
                            </w:pPr>
                            <w:r>
                              <w:rPr>
                                <w:rFonts w:ascii="宋体" w:hAnsi="宋体" w:eastAsia="宋体" w:cs="宋体"/>
                                <w:spacing w:val="-2"/>
                                <w:sz w:val="19"/>
                                <w:szCs w:val="19"/>
                              </w:rPr>
                              <w:t>2006</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650" o:spid="_x0000_s1026" o:spt="202" type="#_x0000_t202" style="position:absolute;left:0pt;margin-left:103.3pt;margin-top:294.65pt;height:17.2pt;width:20.55pt;rotation:-5898240f;z-index:251894784;mso-width-relative:page;mso-height-relative:page;" filled="f" stroked="f" coordsize="21600,21600" o:gfxdata="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AAAAAZHJzL1BLAQIUABQAAAAIAIdO4kDszEBV2gAAAAsB&#10;AAAPAAAAAAAAAAEAIAAAACIAAABkcnMvZG93bnJldi54bWxQSwECFAAUAAAACACHTuJAizhwhVIC&#10;AAClBAAADgAAAAAAAAABACAAAAApAQAAZHJzL2Uyb0RvYy54bWxQSwUGAAAAAAYABgBZAQAA7QUA&#10;AAAA&#10;">
                <v:fill on="f" focussize="0,0"/>
                <v:stroke on="f" weight="0pt" miterlimit="0" joinstyle="miter"/>
                <v:imagedata o:title=""/>
                <o:lock v:ext="edit" aspectratio="f"/>
                <v:textbox inset="0mm,0mm,0mm,0mm">
                  <w:txbxContent>
                    <w:p w14:paraId="52C1C772">
                      <w:pPr>
                        <w:spacing w:before="76"/>
                        <w:ind w:left="20"/>
                        <w:rPr>
                          <w:rFonts w:ascii="宋体" w:hAnsi="宋体" w:eastAsia="宋体" w:cs="宋体"/>
                          <w:sz w:val="19"/>
                          <w:szCs w:val="19"/>
                        </w:rPr>
                      </w:pPr>
                      <w:r>
                        <w:rPr>
                          <w:rFonts w:ascii="宋体" w:hAnsi="宋体" w:eastAsia="宋体" w:cs="宋体"/>
                          <w:spacing w:val="-2"/>
                          <w:sz w:val="19"/>
                          <w:szCs w:val="19"/>
                        </w:rPr>
                        <w:t>2006</w:t>
                      </w:r>
                    </w:p>
                  </w:txbxContent>
                </v:textbox>
              </v:shape>
            </w:pict>
          </mc:Fallback>
        </mc:AlternateContent>
      </w:r>
      <w:r>
        <mc:AlternateContent>
          <mc:Choice Requires="wps">
            <w:drawing>
              <wp:anchor distT="0" distB="0" distL="0" distR="0" simplePos="0" relativeHeight="251895808" behindDoc="0" locked="0" layoutInCell="1" allowOverlap="1">
                <wp:simplePos x="0" y="0"/>
                <wp:positionH relativeFrom="column">
                  <wp:posOffset>1617980</wp:posOffset>
                </wp:positionH>
                <wp:positionV relativeFrom="paragraph">
                  <wp:posOffset>3761740</wp:posOffset>
                </wp:positionV>
                <wp:extent cx="187960" cy="132080"/>
                <wp:effectExtent l="0" t="0" r="0" b="0"/>
                <wp:wrapNone/>
                <wp:docPr id="652" name="TextBox 652"/>
                <wp:cNvGraphicFramePr/>
                <a:graphic xmlns:a="http://schemas.openxmlformats.org/drawingml/2006/main">
                  <a:graphicData uri="http://schemas.microsoft.com/office/word/2010/wordprocessingShape">
                    <wps:wsp>
                      <wps:cNvSpPr txBox="1"/>
                      <wps:spPr>
                        <a:xfrm rot="5400000">
                          <a:off x="1618050" y="3762087"/>
                          <a:ext cx="187960" cy="132079"/>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0D5EC7E7">
                            <w:pPr>
                              <w:spacing w:before="58" w:line="183" w:lineRule="auto"/>
                              <w:ind w:left="20"/>
                              <w:rPr>
                                <w:rFonts w:ascii="宋体" w:hAnsi="宋体" w:eastAsia="宋体" w:cs="宋体"/>
                                <w:sz w:val="13"/>
                                <w:szCs w:val="13"/>
                              </w:rPr>
                            </w:pPr>
                            <w:r>
                              <w:rPr>
                                <w:rFonts w:ascii="宋体" w:hAnsi="宋体" w:eastAsia="宋体" w:cs="宋体"/>
                                <w:spacing w:val="-1"/>
                                <w:sz w:val="13"/>
                                <w:szCs w:val="13"/>
                              </w:rPr>
                              <w:t>L00Z</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652" o:spid="_x0000_s1026" o:spt="202" type="#_x0000_t202" style="position:absolute;left:0pt;margin-left:127.4pt;margin-top:296.2pt;height:10.4pt;width:14.8pt;rotation:5898240f;z-index:251895808;mso-width-relative:page;mso-height-relative:page;" filled="f" stroked="f" coordsize="21600,21600" o:gfxdata="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5Pd799oAAAALAQAA&#10;DwAAAAAAAAABACAAAAAiAAAAZHJzL2Rvd25yZXYueG1sUEsBAhQAFAAAAAgAh07iQGCjjvJQAgAA&#10;pAQAAA4AAAAAAAAAAQAgAAAAKQEAAGRycy9lMm9Eb2MueG1sUEsFBgAAAAAGAAYAWQEAAOsFAAAA&#10;AA==&#10;">
                <v:fill on="f" focussize="0,0"/>
                <v:stroke on="f" weight="0pt" miterlimit="0" joinstyle="miter"/>
                <v:imagedata o:title=""/>
                <o:lock v:ext="edit" aspectratio="f"/>
                <v:textbox inset="0mm,0mm,0mm,0mm">
                  <w:txbxContent>
                    <w:p w14:paraId="0D5EC7E7">
                      <w:pPr>
                        <w:spacing w:before="58" w:line="183" w:lineRule="auto"/>
                        <w:ind w:left="20"/>
                        <w:rPr>
                          <w:rFonts w:ascii="宋体" w:hAnsi="宋体" w:eastAsia="宋体" w:cs="宋体"/>
                          <w:sz w:val="13"/>
                          <w:szCs w:val="13"/>
                        </w:rPr>
                      </w:pPr>
                      <w:r>
                        <w:rPr>
                          <w:rFonts w:ascii="宋体" w:hAnsi="宋体" w:eastAsia="宋体" w:cs="宋体"/>
                          <w:spacing w:val="-1"/>
                          <w:sz w:val="13"/>
                          <w:szCs w:val="13"/>
                        </w:rPr>
                        <w:t>L00Z</w:t>
                      </w:r>
                    </w:p>
                  </w:txbxContent>
                </v:textbox>
              </v:shape>
            </w:pict>
          </mc:Fallback>
        </mc:AlternateContent>
      </w:r>
      <w:r>
        <mc:AlternateContent>
          <mc:Choice Requires="wps">
            <w:drawing>
              <wp:anchor distT="0" distB="0" distL="0" distR="0" simplePos="0" relativeHeight="251893760" behindDoc="0" locked="0" layoutInCell="1" allowOverlap="1">
                <wp:simplePos x="0" y="0"/>
                <wp:positionH relativeFrom="column">
                  <wp:posOffset>1896110</wp:posOffset>
                </wp:positionH>
                <wp:positionV relativeFrom="paragraph">
                  <wp:posOffset>3735705</wp:posOffset>
                </wp:positionV>
                <wp:extent cx="260985" cy="218440"/>
                <wp:effectExtent l="0" t="0" r="0" b="0"/>
                <wp:wrapNone/>
                <wp:docPr id="654" name="TextBox 654"/>
                <wp:cNvGraphicFramePr/>
                <a:graphic xmlns:a="http://schemas.openxmlformats.org/drawingml/2006/main">
                  <a:graphicData uri="http://schemas.microsoft.com/office/word/2010/wordprocessingShape">
                    <wps:wsp>
                      <wps:cNvSpPr txBox="1"/>
                      <wps:spPr>
                        <a:xfrm rot="16200000">
                          <a:off x="1896455" y="3736069"/>
                          <a:ext cx="260984" cy="218440"/>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2DFDF600">
                            <w:pPr>
                              <w:spacing w:before="76"/>
                              <w:ind w:left="20"/>
                              <w:rPr>
                                <w:rFonts w:ascii="宋体" w:hAnsi="宋体" w:eastAsia="宋体" w:cs="宋体"/>
                                <w:sz w:val="19"/>
                                <w:szCs w:val="19"/>
                              </w:rPr>
                            </w:pPr>
                            <w:r>
                              <w:rPr>
                                <w:rFonts w:ascii="宋体" w:hAnsi="宋体" w:eastAsia="宋体" w:cs="宋体"/>
                                <w:spacing w:val="-2"/>
                                <w:sz w:val="19"/>
                                <w:szCs w:val="19"/>
                              </w:rPr>
                              <w:t>2008</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654" o:spid="_x0000_s1026" o:spt="202" type="#_x0000_t202" style="position:absolute;left:0pt;margin-left:149.3pt;margin-top:294.15pt;height:17.2pt;width:20.55pt;rotation:-5898240f;z-index:251893760;mso-width-relative:page;mso-height-relative:page;" filled="f" stroked="f" coordsize="21600,21600" o:gfxdata="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AAAAAGRycy9QSwECFAAUAAAACACHTuJAUrjVY9oAAAAL&#10;AQAADwAAAAAAAAABACAAAAAiAAAAZHJzL2Rvd25yZXYueG1sUEsBAhQAFAAAAAgAh07iQL/3PsJT&#10;AgAApQQAAA4AAAAAAAAAAQAgAAAAKQEAAGRycy9lMm9Eb2MueG1sUEsFBgAAAAAGAAYAWQEAAO4F&#10;AAAAAA==&#10;">
                <v:fill on="f" focussize="0,0"/>
                <v:stroke on="f" weight="0pt" miterlimit="0" joinstyle="miter"/>
                <v:imagedata o:title=""/>
                <o:lock v:ext="edit" aspectratio="f"/>
                <v:textbox inset="0mm,0mm,0mm,0mm">
                  <w:txbxContent>
                    <w:p w14:paraId="2DFDF600">
                      <w:pPr>
                        <w:spacing w:before="76"/>
                        <w:ind w:left="20"/>
                        <w:rPr>
                          <w:rFonts w:ascii="宋体" w:hAnsi="宋体" w:eastAsia="宋体" w:cs="宋体"/>
                          <w:sz w:val="19"/>
                          <w:szCs w:val="19"/>
                        </w:rPr>
                      </w:pPr>
                      <w:r>
                        <w:rPr>
                          <w:rFonts w:ascii="宋体" w:hAnsi="宋体" w:eastAsia="宋体" w:cs="宋体"/>
                          <w:spacing w:val="-2"/>
                          <w:sz w:val="19"/>
                          <w:szCs w:val="19"/>
                        </w:rPr>
                        <w:t>2008</w:t>
                      </w:r>
                    </w:p>
                  </w:txbxContent>
                </v:textbox>
              </v:shape>
            </w:pict>
          </mc:Fallback>
        </mc:AlternateContent>
      </w:r>
      <w:r>
        <mc:AlternateContent>
          <mc:Choice Requires="wps">
            <w:drawing>
              <wp:anchor distT="0" distB="0" distL="0" distR="0" simplePos="0" relativeHeight="251892736" behindDoc="0" locked="0" layoutInCell="1" allowOverlap="1">
                <wp:simplePos x="0" y="0"/>
                <wp:positionH relativeFrom="column">
                  <wp:posOffset>2512060</wp:posOffset>
                </wp:positionH>
                <wp:positionV relativeFrom="paragraph">
                  <wp:posOffset>3810000</wp:posOffset>
                </wp:positionV>
                <wp:extent cx="186690" cy="157480"/>
                <wp:effectExtent l="0" t="0" r="0" b="0"/>
                <wp:wrapNone/>
                <wp:docPr id="656" name="TextBox 656"/>
                <wp:cNvGraphicFramePr/>
                <a:graphic xmlns:a="http://schemas.openxmlformats.org/drawingml/2006/main">
                  <a:graphicData uri="http://schemas.microsoft.com/office/word/2010/wordprocessingShape">
                    <wps:wsp>
                      <wps:cNvSpPr txBox="1"/>
                      <wps:spPr>
                        <a:xfrm rot="16200000">
                          <a:off x="2512431" y="3810006"/>
                          <a:ext cx="186689" cy="157479"/>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3BD12CDB">
                            <w:pPr>
                              <w:spacing w:before="58"/>
                              <w:ind w:left="20"/>
                              <w:rPr>
                                <w:rFonts w:ascii="宋体" w:hAnsi="宋体" w:eastAsia="宋体" w:cs="宋体"/>
                                <w:sz w:val="13"/>
                                <w:szCs w:val="13"/>
                              </w:rPr>
                            </w:pPr>
                            <w:r>
                              <w:rPr>
                                <w:rFonts w:ascii="宋体" w:hAnsi="宋体" w:eastAsia="宋体" w:cs="宋体"/>
                                <w:spacing w:val="-2"/>
                                <w:sz w:val="13"/>
                                <w:szCs w:val="13"/>
                              </w:rPr>
                              <w:t>2010</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656" o:spid="_x0000_s1026" o:spt="202" type="#_x0000_t202" style="position:absolute;left:0pt;margin-left:197.8pt;margin-top:300pt;height:12.4pt;width:14.7pt;rotation:-5898240f;z-index:251892736;mso-width-relative:page;mso-height-relative:page;" filled="f" stroked="f" coordsize="21600,21600" o:gfxdata="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AAAAAZHJzL1BLAQIUABQAAAAIAIdO4kCq5Pz22QAAAAsB&#10;AAAPAAAAAAAAAAEAIAAAACIAAABkcnMvZG93bnJldi54bWxQSwECFAAUAAAACACHTuJAWUvgy1MC&#10;AAClBAAADgAAAAAAAAABACAAAAAoAQAAZHJzL2Uyb0RvYy54bWxQSwUGAAAAAAYABgBZAQAA7QUA&#10;AAAA&#10;">
                <v:fill on="f" focussize="0,0"/>
                <v:stroke on="f" weight="0pt" miterlimit="0" joinstyle="miter"/>
                <v:imagedata o:title=""/>
                <o:lock v:ext="edit" aspectratio="f"/>
                <v:textbox inset="0mm,0mm,0mm,0mm">
                  <w:txbxContent>
                    <w:p w14:paraId="3BD12CDB">
                      <w:pPr>
                        <w:spacing w:before="58"/>
                        <w:ind w:left="20"/>
                        <w:rPr>
                          <w:rFonts w:ascii="宋体" w:hAnsi="宋体" w:eastAsia="宋体" w:cs="宋体"/>
                          <w:sz w:val="13"/>
                          <w:szCs w:val="13"/>
                        </w:rPr>
                      </w:pPr>
                      <w:r>
                        <w:rPr>
                          <w:rFonts w:ascii="宋体" w:hAnsi="宋体" w:eastAsia="宋体" w:cs="宋体"/>
                          <w:spacing w:val="-2"/>
                          <w:sz w:val="13"/>
                          <w:szCs w:val="13"/>
                        </w:rPr>
                        <w:t>2010</w:t>
                      </w:r>
                    </w:p>
                  </w:txbxContent>
                </v:textbox>
              </v:shape>
            </w:pict>
          </mc:Fallback>
        </mc:AlternateContent>
      </w:r>
      <w:r>
        <mc:AlternateContent>
          <mc:Choice Requires="wps">
            <w:drawing>
              <wp:anchor distT="0" distB="0" distL="0" distR="0" simplePos="0" relativeHeight="251896832" behindDoc="0" locked="0" layoutInCell="1" allowOverlap="1">
                <wp:simplePos x="0" y="0"/>
                <wp:positionH relativeFrom="column">
                  <wp:posOffset>2202815</wp:posOffset>
                </wp:positionH>
                <wp:positionV relativeFrom="paragraph">
                  <wp:posOffset>3754755</wp:posOffset>
                </wp:positionV>
                <wp:extent cx="186690" cy="132080"/>
                <wp:effectExtent l="0" t="0" r="0" b="0"/>
                <wp:wrapNone/>
                <wp:docPr id="658" name="TextBox 658"/>
                <wp:cNvGraphicFramePr/>
                <a:graphic xmlns:a="http://schemas.openxmlformats.org/drawingml/2006/main">
                  <a:graphicData uri="http://schemas.microsoft.com/office/word/2010/wordprocessingShape">
                    <wps:wsp>
                      <wps:cNvSpPr txBox="1"/>
                      <wps:spPr>
                        <a:xfrm rot="5400000">
                          <a:off x="2202904" y="3755018"/>
                          <a:ext cx="186689" cy="132079"/>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21CE39C6">
                            <w:pPr>
                              <w:spacing w:before="58" w:line="183" w:lineRule="auto"/>
                              <w:ind w:left="20"/>
                              <w:rPr>
                                <w:rFonts w:ascii="宋体" w:hAnsi="宋体" w:eastAsia="宋体" w:cs="宋体"/>
                                <w:sz w:val="13"/>
                                <w:szCs w:val="13"/>
                              </w:rPr>
                            </w:pPr>
                            <w:r>
                              <w:rPr>
                                <w:rFonts w:ascii="宋体" w:hAnsi="宋体" w:eastAsia="宋体" w:cs="宋体"/>
                                <w:spacing w:val="-2"/>
                                <w:sz w:val="13"/>
                                <w:szCs w:val="13"/>
                              </w:rPr>
                              <w:t>600Z</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658" o:spid="_x0000_s1026" o:spt="202" type="#_x0000_t202" style="position:absolute;left:0pt;margin-left:173.45pt;margin-top:295.65pt;height:10.4pt;width:14.7pt;rotation:5898240f;z-index:251896832;mso-width-relative:page;mso-height-relative:page;" filled="f" stroked="f" coordsize="21600,21600" o:gfxdata="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AAAAAZHJzL1BLAQIUABQAAAAIAIdO4kDWc/cW2gAAAAsB&#10;AAAPAAAAAAAAAAEAIAAAACIAAABkcnMvZG93bnJldi54bWxQSwECFAAUAAAACACHTuJAwSZDC1IC&#10;AACkBAAADgAAAAAAAAABACAAAAApAQAAZHJzL2Uyb0RvYy54bWxQSwUGAAAAAAYABgBZAQAA7QUA&#10;AAAA&#10;">
                <v:fill on="f" focussize="0,0"/>
                <v:stroke on="f" weight="0pt" miterlimit="0" joinstyle="miter"/>
                <v:imagedata o:title=""/>
                <o:lock v:ext="edit" aspectratio="f"/>
                <v:textbox inset="0mm,0mm,0mm,0mm">
                  <w:txbxContent>
                    <w:p w14:paraId="21CE39C6">
                      <w:pPr>
                        <w:spacing w:before="58" w:line="183" w:lineRule="auto"/>
                        <w:ind w:left="20"/>
                        <w:rPr>
                          <w:rFonts w:ascii="宋体" w:hAnsi="宋体" w:eastAsia="宋体" w:cs="宋体"/>
                          <w:sz w:val="13"/>
                          <w:szCs w:val="13"/>
                        </w:rPr>
                      </w:pPr>
                      <w:r>
                        <w:rPr>
                          <w:rFonts w:ascii="宋体" w:hAnsi="宋体" w:eastAsia="宋体" w:cs="宋体"/>
                          <w:spacing w:val="-2"/>
                          <w:sz w:val="13"/>
                          <w:szCs w:val="13"/>
                        </w:rPr>
                        <w:t>600Z</w:t>
                      </w:r>
                    </w:p>
                  </w:txbxContent>
                </v:textbox>
              </v:shape>
            </w:pict>
          </mc:Fallback>
        </mc:AlternateContent>
      </w:r>
      <w:r>
        <mc:AlternateContent>
          <mc:Choice Requires="wps">
            <w:drawing>
              <wp:anchor distT="0" distB="0" distL="0" distR="0" simplePos="0" relativeHeight="251898880" behindDoc="0" locked="0" layoutInCell="1" allowOverlap="1">
                <wp:simplePos x="0" y="0"/>
                <wp:positionH relativeFrom="column">
                  <wp:posOffset>3300095</wp:posOffset>
                </wp:positionH>
                <wp:positionV relativeFrom="paragraph">
                  <wp:posOffset>3453765</wp:posOffset>
                </wp:positionV>
                <wp:extent cx="58420" cy="158750"/>
                <wp:effectExtent l="0" t="0" r="0" b="0"/>
                <wp:wrapNone/>
                <wp:docPr id="660" name="TextBox 660"/>
                <wp:cNvGraphicFramePr/>
                <a:graphic xmlns:a="http://schemas.openxmlformats.org/drawingml/2006/main">
                  <a:graphicData uri="http://schemas.microsoft.com/office/word/2010/wordprocessingShape">
                    <wps:wsp>
                      <wps:cNvSpPr txBox="1"/>
                      <wps:spPr>
                        <a:xfrm rot="16200000">
                          <a:off x="3300486" y="3454393"/>
                          <a:ext cx="58419" cy="158750"/>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03657A88">
                            <w:pPr>
                              <w:spacing w:before="59" w:line="241" w:lineRule="auto"/>
                              <w:ind w:left="20"/>
                              <w:rPr>
                                <w:rFonts w:ascii="宋体" w:hAnsi="宋体" w:eastAsia="宋体" w:cs="宋体"/>
                                <w:sz w:val="13"/>
                                <w:szCs w:val="13"/>
                              </w:rPr>
                            </w:pPr>
                            <w:r>
                              <w:rPr>
                                <w:rFonts w:ascii="宋体" w:hAnsi="宋体" w:eastAsia="宋体" w:cs="宋体"/>
                                <w:sz w:val="13"/>
                                <w:szCs w:val="13"/>
                              </w:rPr>
                              <w:t>i</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660" o:spid="_x0000_s1026" o:spt="202" type="#_x0000_t202" style="position:absolute;left:0pt;margin-left:259.85pt;margin-top:271.95pt;height:12.5pt;width:4.6pt;rotation:-5898240f;z-index:251898880;mso-width-relative:page;mso-height-relative:page;" filled="f" stroked="f" coordsize="21600,21600" o:gfxdata="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BfOAzE2AAAAAsBAAAP&#10;AAAAAAAAAAEAIAAAACIAAABkcnMvZG93bnJldi54bWxQSwECFAAUAAAACACHTuJAXaj+OFECAACk&#10;BAAADgAAAAAAAAABACAAAAAnAQAAZHJzL2Uyb0RvYy54bWxQSwUGAAAAAAYABgBZAQAA6gUAAAAA&#10;">
                <v:fill on="f" focussize="0,0"/>
                <v:stroke on="f" weight="0pt" miterlimit="0" joinstyle="miter"/>
                <v:imagedata o:title=""/>
                <o:lock v:ext="edit" aspectratio="f"/>
                <v:textbox inset="0mm,0mm,0mm,0mm">
                  <w:txbxContent>
                    <w:p w14:paraId="03657A88">
                      <w:pPr>
                        <w:spacing w:before="59" w:line="241" w:lineRule="auto"/>
                        <w:ind w:left="20"/>
                        <w:rPr>
                          <w:rFonts w:ascii="宋体" w:hAnsi="宋体" w:eastAsia="宋体" w:cs="宋体"/>
                          <w:sz w:val="13"/>
                          <w:szCs w:val="13"/>
                        </w:rPr>
                      </w:pPr>
                      <w:r>
                        <w:rPr>
                          <w:rFonts w:ascii="宋体" w:hAnsi="宋体" w:eastAsia="宋体" w:cs="宋体"/>
                          <w:sz w:val="13"/>
                          <w:szCs w:val="13"/>
                        </w:rPr>
                        <w:t>i</w:t>
                      </w:r>
                    </w:p>
                  </w:txbxContent>
                </v:textbox>
              </v:shape>
            </w:pict>
          </mc:Fallback>
        </mc:AlternateContent>
      </w:r>
      <w:r>
        <mc:AlternateContent>
          <mc:Choice Requires="wps">
            <w:drawing>
              <wp:anchor distT="0" distB="0" distL="0" distR="0" simplePos="0" relativeHeight="251891712" behindDoc="0" locked="0" layoutInCell="1" allowOverlap="1">
                <wp:simplePos x="0" y="0"/>
                <wp:positionH relativeFrom="column">
                  <wp:posOffset>3365500</wp:posOffset>
                </wp:positionH>
                <wp:positionV relativeFrom="paragraph">
                  <wp:posOffset>3444240</wp:posOffset>
                </wp:positionV>
                <wp:extent cx="92710" cy="156845"/>
                <wp:effectExtent l="0" t="0" r="0" b="0"/>
                <wp:wrapNone/>
                <wp:docPr id="662" name="TextBox 662"/>
                <wp:cNvGraphicFramePr/>
                <a:graphic xmlns:a="http://schemas.openxmlformats.org/drawingml/2006/main">
                  <a:graphicData uri="http://schemas.microsoft.com/office/word/2010/wordprocessingShape">
                    <wps:wsp>
                      <wps:cNvSpPr txBox="1"/>
                      <wps:spPr>
                        <a:xfrm rot="16200000">
                          <a:off x="3365914" y="3444574"/>
                          <a:ext cx="92710" cy="156845"/>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31281CBF">
                            <w:pPr>
                              <w:spacing w:before="58" w:line="239" w:lineRule="auto"/>
                              <w:ind w:left="20"/>
                              <w:rPr>
                                <w:rFonts w:ascii="宋体" w:hAnsi="宋体" w:eastAsia="宋体" w:cs="宋体"/>
                                <w:sz w:val="13"/>
                                <w:szCs w:val="13"/>
                              </w:rPr>
                            </w:pPr>
                            <w:r>
                              <w:rPr>
                                <w:rFonts w:ascii="宋体" w:hAnsi="宋体" w:eastAsia="宋体" w:cs="宋体"/>
                                <w:spacing w:val="-13"/>
                                <w:sz w:val="13"/>
                                <w:szCs w:val="13"/>
                              </w:rPr>
                              <w:t>!i</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662" o:spid="_x0000_s1026" o:spt="202" type="#_x0000_t202" style="position:absolute;left:0pt;margin-left:265pt;margin-top:271.2pt;height:12.35pt;width:7.3pt;rotation:-5898240f;z-index:251891712;mso-width-relative:page;mso-height-relative:page;" filled="f" stroked="f" coordsize="21600,21600" o:gfxdata="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PDz1DzaAAAACwEA&#10;AA8AAAAAAAAAAQAgAAAAIgAAAGRycy9kb3ducmV2LnhtbFBLAQIUABQAAAAIAIdO4kBJafbIUQIA&#10;AKQEAAAOAAAAAAAAAAEAIAAAACkBAABkcnMvZTJvRG9jLnhtbFBLBQYAAAAABgAGAFkBAADsBQAA&#10;AAA=&#10;">
                <v:fill on="f" focussize="0,0"/>
                <v:stroke on="f" weight="0pt" miterlimit="0" joinstyle="miter"/>
                <v:imagedata o:title=""/>
                <o:lock v:ext="edit" aspectratio="f"/>
                <v:textbox inset="0mm,0mm,0mm,0mm">
                  <w:txbxContent>
                    <w:p w14:paraId="31281CBF">
                      <w:pPr>
                        <w:spacing w:before="58" w:line="239" w:lineRule="auto"/>
                        <w:ind w:left="20"/>
                        <w:rPr>
                          <w:rFonts w:ascii="宋体" w:hAnsi="宋体" w:eastAsia="宋体" w:cs="宋体"/>
                          <w:sz w:val="13"/>
                          <w:szCs w:val="13"/>
                        </w:rPr>
                      </w:pPr>
                      <w:r>
                        <w:rPr>
                          <w:rFonts w:ascii="宋体" w:hAnsi="宋体" w:eastAsia="宋体" w:cs="宋体"/>
                          <w:spacing w:val="-13"/>
                          <w:sz w:val="13"/>
                          <w:szCs w:val="13"/>
                        </w:rPr>
                        <w:t>!i</w:t>
                      </w:r>
                    </w:p>
                  </w:txbxContent>
                </v:textbox>
              </v:shape>
            </w:pict>
          </mc:Fallback>
        </mc:AlternateContent>
      </w:r>
      <w:r>
        <mc:AlternateContent>
          <mc:Choice Requires="wps">
            <w:drawing>
              <wp:anchor distT="0" distB="0" distL="0" distR="0" simplePos="0" relativeHeight="251889664" behindDoc="0" locked="0" layoutInCell="1" allowOverlap="1">
                <wp:simplePos x="0" y="0"/>
                <wp:positionH relativeFrom="column">
                  <wp:posOffset>3343910</wp:posOffset>
                </wp:positionH>
                <wp:positionV relativeFrom="paragraph">
                  <wp:posOffset>3395345</wp:posOffset>
                </wp:positionV>
                <wp:extent cx="245745" cy="139700"/>
                <wp:effectExtent l="0" t="0" r="0" b="0"/>
                <wp:wrapNone/>
                <wp:docPr id="664" name="TextBox 664"/>
                <wp:cNvGraphicFramePr/>
                <a:graphic xmlns:a="http://schemas.openxmlformats.org/drawingml/2006/main">
                  <a:graphicData uri="http://schemas.microsoft.com/office/word/2010/wordprocessingShape">
                    <wps:wsp>
                      <wps:cNvSpPr txBox="1"/>
                      <wps:spPr>
                        <a:xfrm rot="16200000">
                          <a:off x="3344357" y="3395704"/>
                          <a:ext cx="245745" cy="139700"/>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63A8CBFC">
                            <w:pPr>
                              <w:spacing w:before="44" w:line="219" w:lineRule="auto"/>
                              <w:ind w:left="20"/>
                              <w:rPr>
                                <w:rFonts w:ascii="宋体" w:hAnsi="宋体" w:eastAsia="宋体" w:cs="宋体"/>
                                <w:sz w:val="13"/>
                                <w:szCs w:val="13"/>
                              </w:rPr>
                            </w:pPr>
                            <w:r>
                              <w:rPr>
                                <w:rFonts w:ascii="宋体" w:hAnsi="宋体" w:eastAsia="宋体" w:cs="宋体"/>
                                <w:spacing w:val="-4"/>
                                <w:sz w:val="13"/>
                                <w:szCs w:val="13"/>
                              </w:rPr>
                              <w:t>x</w:t>
                            </w:r>
                            <w:r>
                              <w:rPr>
                                <w:rFonts w:ascii="宋体" w:hAnsi="宋体" w:eastAsia="宋体" w:cs="宋体"/>
                                <w:spacing w:val="-13"/>
                                <w:sz w:val="13"/>
                                <w:szCs w:val="13"/>
                              </w:rPr>
                              <w:t xml:space="preserve"> </w:t>
                            </w:r>
                            <w:r>
                              <w:rPr>
                                <w:rFonts w:ascii="宋体" w:hAnsi="宋体" w:eastAsia="宋体" w:cs="宋体"/>
                                <w:spacing w:val="-4"/>
                                <w:sz w:val="13"/>
                                <w:szCs w:val="13"/>
                              </w:rPr>
                              <w:t>9</w:t>
                            </w:r>
                            <w:r>
                              <w:rPr>
                                <w:rFonts w:ascii="宋体" w:hAnsi="宋体" w:eastAsia="宋体" w:cs="宋体"/>
                                <w:spacing w:val="-15"/>
                                <w:sz w:val="13"/>
                                <w:szCs w:val="13"/>
                              </w:rPr>
                              <w:t xml:space="preserve"> </w:t>
                            </w:r>
                            <w:r>
                              <w:rPr>
                                <w:rFonts w:ascii="宋体" w:hAnsi="宋体" w:eastAsia="宋体" w:cs="宋体"/>
                                <w:spacing w:val="-4"/>
                                <w:sz w:val="13"/>
                                <w:szCs w:val="13"/>
                              </w:rPr>
                              <w:t>怀</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664" o:spid="_x0000_s1026" o:spt="202" type="#_x0000_t202" style="position:absolute;left:0pt;margin-left:263.3pt;margin-top:267.35pt;height:11pt;width:19.35pt;rotation:-5898240f;z-index:251889664;mso-width-relative:page;mso-height-relative:page;" filled="f" stroked="f" coordsize="21600,21600" o:gfxdata="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EPSuBrZAAAACwEA&#10;AA8AAAAAAAAAAQAgAAAAIgAAAGRycy9kb3ducmV2LnhtbFBLAQIUABQAAAAIAIdO4kA8jyOmUgIA&#10;AKUEAAAOAAAAAAAAAAEAIAAAACgBAABkcnMvZTJvRG9jLnhtbFBLBQYAAAAABgAGAFkBAADsBQAA&#10;AAA=&#10;">
                <v:fill on="f" focussize="0,0"/>
                <v:stroke on="f" weight="0pt" miterlimit="0" joinstyle="miter"/>
                <v:imagedata o:title=""/>
                <o:lock v:ext="edit" aspectratio="f"/>
                <v:textbox inset="0mm,0mm,0mm,0mm">
                  <w:txbxContent>
                    <w:p w14:paraId="63A8CBFC">
                      <w:pPr>
                        <w:spacing w:before="44" w:line="219" w:lineRule="auto"/>
                        <w:ind w:left="20"/>
                        <w:rPr>
                          <w:rFonts w:ascii="宋体" w:hAnsi="宋体" w:eastAsia="宋体" w:cs="宋体"/>
                          <w:sz w:val="13"/>
                          <w:szCs w:val="13"/>
                        </w:rPr>
                      </w:pPr>
                      <w:r>
                        <w:rPr>
                          <w:rFonts w:ascii="宋体" w:hAnsi="宋体" w:eastAsia="宋体" w:cs="宋体"/>
                          <w:spacing w:val="-4"/>
                          <w:sz w:val="13"/>
                          <w:szCs w:val="13"/>
                        </w:rPr>
                        <w:t>x</w:t>
                      </w:r>
                      <w:r>
                        <w:rPr>
                          <w:rFonts w:ascii="宋体" w:hAnsi="宋体" w:eastAsia="宋体" w:cs="宋体"/>
                          <w:spacing w:val="-13"/>
                          <w:sz w:val="13"/>
                          <w:szCs w:val="13"/>
                        </w:rPr>
                        <w:t xml:space="preserve"> </w:t>
                      </w:r>
                      <w:r>
                        <w:rPr>
                          <w:rFonts w:ascii="宋体" w:hAnsi="宋体" w:eastAsia="宋体" w:cs="宋体"/>
                          <w:spacing w:val="-4"/>
                          <w:sz w:val="13"/>
                          <w:szCs w:val="13"/>
                        </w:rPr>
                        <w:t>9</w:t>
                      </w:r>
                      <w:r>
                        <w:rPr>
                          <w:rFonts w:ascii="宋体" w:hAnsi="宋体" w:eastAsia="宋体" w:cs="宋体"/>
                          <w:spacing w:val="-15"/>
                          <w:sz w:val="13"/>
                          <w:szCs w:val="13"/>
                        </w:rPr>
                        <w:t xml:space="preserve"> </w:t>
                      </w:r>
                      <w:r>
                        <w:rPr>
                          <w:rFonts w:ascii="宋体" w:hAnsi="宋体" w:eastAsia="宋体" w:cs="宋体"/>
                          <w:spacing w:val="-4"/>
                          <w:sz w:val="13"/>
                          <w:szCs w:val="13"/>
                        </w:rPr>
                        <w:t>怀</w:t>
                      </w:r>
                    </w:p>
                  </w:txbxContent>
                </v:textbox>
              </v:shape>
            </w:pict>
          </mc:Fallback>
        </mc:AlternateContent>
      </w:r>
      <w:r>
        <mc:AlternateContent>
          <mc:Choice Requires="wps">
            <w:drawing>
              <wp:anchor distT="0" distB="0" distL="0" distR="0" simplePos="0" relativeHeight="251890688" behindDoc="0" locked="0" layoutInCell="1" allowOverlap="1">
                <wp:simplePos x="0" y="0"/>
                <wp:positionH relativeFrom="column">
                  <wp:posOffset>2810510</wp:posOffset>
                </wp:positionH>
                <wp:positionV relativeFrom="paragraph">
                  <wp:posOffset>3796665</wp:posOffset>
                </wp:positionV>
                <wp:extent cx="186690" cy="157480"/>
                <wp:effectExtent l="0" t="0" r="0" b="0"/>
                <wp:wrapNone/>
                <wp:docPr id="666" name="TextBox 666"/>
                <wp:cNvGraphicFramePr/>
                <a:graphic xmlns:a="http://schemas.openxmlformats.org/drawingml/2006/main">
                  <a:graphicData uri="http://schemas.microsoft.com/office/word/2010/wordprocessingShape">
                    <wps:wsp>
                      <wps:cNvSpPr txBox="1"/>
                      <wps:spPr>
                        <a:xfrm rot="16200000">
                          <a:off x="2810838" y="3797297"/>
                          <a:ext cx="186689" cy="157479"/>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26CC9980">
                            <w:pPr>
                              <w:spacing w:before="58"/>
                              <w:ind w:left="20"/>
                              <w:rPr>
                                <w:rFonts w:ascii="宋体" w:hAnsi="宋体" w:eastAsia="宋体" w:cs="宋体"/>
                                <w:sz w:val="13"/>
                                <w:szCs w:val="13"/>
                              </w:rPr>
                            </w:pPr>
                            <w:r>
                              <w:rPr>
                                <w:rFonts w:ascii="宋体" w:hAnsi="宋体" w:eastAsia="宋体" w:cs="宋体"/>
                                <w:spacing w:val="-2"/>
                                <w:sz w:val="13"/>
                                <w:szCs w:val="13"/>
                              </w:rPr>
                              <w:t>2011</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666" o:spid="_x0000_s1026" o:spt="202" type="#_x0000_t202" style="position:absolute;left:0pt;margin-left:221.3pt;margin-top:298.95pt;height:12.4pt;width:14.7pt;rotation:-5898240f;z-index:251890688;mso-width-relative:page;mso-height-relative:page;" filled="f" stroked="f" coordsize="21600,21600" o:gfxdata="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AAAAAZHJzL1BLAQIUABQAAAAIAIdO4kBP6tkb2gAAAAsB&#10;AAAPAAAAAAAAAAEAIAAAACIAAABkcnMvZG93bnJldi54bWxQSwECFAAUAAAACACHTuJAg0jvJFIC&#10;AAClBAAADgAAAAAAAAABACAAAAApAQAAZHJzL2Uyb0RvYy54bWxQSwUGAAAAAAYABgBZAQAA7QUA&#10;AAAA&#10;">
                <v:fill on="f" focussize="0,0"/>
                <v:stroke on="f" weight="0pt" miterlimit="0" joinstyle="miter"/>
                <v:imagedata o:title=""/>
                <o:lock v:ext="edit" aspectratio="f"/>
                <v:textbox inset="0mm,0mm,0mm,0mm">
                  <w:txbxContent>
                    <w:p w14:paraId="26CC9980">
                      <w:pPr>
                        <w:spacing w:before="58"/>
                        <w:ind w:left="20"/>
                        <w:rPr>
                          <w:rFonts w:ascii="宋体" w:hAnsi="宋体" w:eastAsia="宋体" w:cs="宋体"/>
                          <w:sz w:val="13"/>
                          <w:szCs w:val="13"/>
                        </w:rPr>
                      </w:pPr>
                      <w:r>
                        <w:rPr>
                          <w:rFonts w:ascii="宋体" w:hAnsi="宋体" w:eastAsia="宋体" w:cs="宋体"/>
                          <w:spacing w:val="-2"/>
                          <w:sz w:val="13"/>
                          <w:szCs w:val="13"/>
                        </w:rPr>
                        <w:t>2011</w:t>
                      </w:r>
                    </w:p>
                  </w:txbxContent>
                </v:textbox>
              </v:shape>
            </w:pict>
          </mc:Fallback>
        </mc:AlternateContent>
      </w:r>
      <w:r>
        <mc:AlternateContent>
          <mc:Choice Requires="wps">
            <w:drawing>
              <wp:anchor distT="0" distB="0" distL="0" distR="0" simplePos="0" relativeHeight="251888640" behindDoc="0" locked="0" layoutInCell="1" allowOverlap="1">
                <wp:simplePos x="0" y="0"/>
                <wp:positionH relativeFrom="column">
                  <wp:posOffset>3064510</wp:posOffset>
                </wp:positionH>
                <wp:positionV relativeFrom="paragraph">
                  <wp:posOffset>3735705</wp:posOffset>
                </wp:positionV>
                <wp:extent cx="260985" cy="218440"/>
                <wp:effectExtent l="0" t="0" r="0" b="0"/>
                <wp:wrapNone/>
                <wp:docPr id="668" name="TextBox 668"/>
                <wp:cNvGraphicFramePr/>
                <a:graphic xmlns:a="http://schemas.openxmlformats.org/drawingml/2006/main">
                  <a:graphicData uri="http://schemas.microsoft.com/office/word/2010/wordprocessingShape">
                    <wps:wsp>
                      <wps:cNvSpPr txBox="1"/>
                      <wps:spPr>
                        <a:xfrm rot="16200000">
                          <a:off x="3064841" y="3736069"/>
                          <a:ext cx="260984" cy="218440"/>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0D5B293E">
                            <w:pPr>
                              <w:spacing w:before="76"/>
                              <w:ind w:left="20"/>
                              <w:rPr>
                                <w:rFonts w:ascii="宋体" w:hAnsi="宋体" w:eastAsia="宋体" w:cs="宋体"/>
                                <w:sz w:val="19"/>
                                <w:szCs w:val="19"/>
                              </w:rPr>
                            </w:pPr>
                            <w:r>
                              <w:rPr>
                                <w:rFonts w:ascii="宋体" w:hAnsi="宋体" w:eastAsia="宋体" w:cs="宋体"/>
                                <w:spacing w:val="-2"/>
                                <w:sz w:val="19"/>
                                <w:szCs w:val="19"/>
                              </w:rPr>
                              <w:t>2012</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668" o:spid="_x0000_s1026" o:spt="202" type="#_x0000_t202" style="position:absolute;left:0pt;margin-left:241.3pt;margin-top:294.15pt;height:17.2pt;width:20.55pt;rotation:-5898240f;z-index:251888640;mso-width-relative:page;mso-height-relative:page;" filled="f" stroked="f" coordsize="21600,21600" o:gfxdata="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AAAAAZHJzL1BLAQIUABQAAAAIAIdO4kACHW2W2gAAAAsB&#10;AAAPAAAAAAAAAAEAIAAAACIAAABkcnMvZG93bnJldi54bWxQSwECFAAUAAAACACHTuJAcdfwulIC&#10;AAClBAAADgAAAAAAAAABACAAAAApAQAAZHJzL2Uyb0RvYy54bWxQSwUGAAAAAAYABgBZAQAA7QUA&#10;AAAA&#10;">
                <v:fill on="f" focussize="0,0"/>
                <v:stroke on="f" weight="0pt" miterlimit="0" joinstyle="miter"/>
                <v:imagedata o:title=""/>
                <o:lock v:ext="edit" aspectratio="f"/>
                <v:textbox inset="0mm,0mm,0mm,0mm">
                  <w:txbxContent>
                    <w:p w14:paraId="0D5B293E">
                      <w:pPr>
                        <w:spacing w:before="76"/>
                        <w:ind w:left="20"/>
                        <w:rPr>
                          <w:rFonts w:ascii="宋体" w:hAnsi="宋体" w:eastAsia="宋体" w:cs="宋体"/>
                          <w:sz w:val="19"/>
                          <w:szCs w:val="19"/>
                        </w:rPr>
                      </w:pPr>
                      <w:r>
                        <w:rPr>
                          <w:rFonts w:ascii="宋体" w:hAnsi="宋体" w:eastAsia="宋体" w:cs="宋体"/>
                          <w:spacing w:val="-2"/>
                          <w:sz w:val="19"/>
                          <w:szCs w:val="19"/>
                        </w:rPr>
                        <w:t>2012</w:t>
                      </w:r>
                    </w:p>
                  </w:txbxContent>
                </v:textbox>
              </v:shape>
            </w:pict>
          </mc:Fallback>
        </mc:AlternateContent>
      </w:r>
      <w:r>
        <mc:AlternateContent>
          <mc:Choice Requires="wps">
            <w:drawing>
              <wp:anchor distT="0" distB="0" distL="0" distR="0" simplePos="0" relativeHeight="251887616" behindDoc="0" locked="0" layoutInCell="1" allowOverlap="1">
                <wp:simplePos x="0" y="0"/>
                <wp:positionH relativeFrom="column">
                  <wp:posOffset>3356610</wp:posOffset>
                </wp:positionH>
                <wp:positionV relativeFrom="paragraph">
                  <wp:posOffset>3729355</wp:posOffset>
                </wp:positionV>
                <wp:extent cx="260985" cy="218440"/>
                <wp:effectExtent l="0" t="0" r="0" b="0"/>
                <wp:wrapNone/>
                <wp:docPr id="670" name="TextBox 670"/>
                <wp:cNvGraphicFramePr/>
                <a:graphic xmlns:a="http://schemas.openxmlformats.org/drawingml/2006/main">
                  <a:graphicData uri="http://schemas.microsoft.com/office/word/2010/wordprocessingShape">
                    <wps:wsp>
                      <wps:cNvSpPr txBox="1"/>
                      <wps:spPr>
                        <a:xfrm rot="16200000">
                          <a:off x="3356900" y="3729767"/>
                          <a:ext cx="260984" cy="218440"/>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2B24A8E8">
                            <w:pPr>
                              <w:spacing w:before="76"/>
                              <w:ind w:left="20"/>
                              <w:rPr>
                                <w:rFonts w:ascii="宋体" w:hAnsi="宋体" w:eastAsia="宋体" w:cs="宋体"/>
                                <w:sz w:val="19"/>
                                <w:szCs w:val="19"/>
                              </w:rPr>
                            </w:pPr>
                            <w:r>
                              <w:rPr>
                                <w:rFonts w:ascii="宋体" w:hAnsi="宋体" w:eastAsia="宋体" w:cs="宋体"/>
                                <w:spacing w:val="-2"/>
                                <w:sz w:val="19"/>
                                <w:szCs w:val="19"/>
                              </w:rPr>
                              <w:t>2013</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670" o:spid="_x0000_s1026" o:spt="202" type="#_x0000_t202" style="position:absolute;left:0pt;margin-left:264.3pt;margin-top:293.65pt;height:17.2pt;width:20.55pt;rotation:-5898240f;z-index:251887616;mso-width-relative:page;mso-height-relative:page;" filled="f" stroked="f" coordsize="21600,21600" o:gfxdata="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NJ7sOzaAAAACwEA&#10;AA8AAAAAAAAAAQAgAAAAIgAAAGRycy9kb3ducmV2LnhtbFBLAQIUABQAAAAIAIdO4kADG+/uUQIA&#10;AKUEAAAOAAAAAAAAAAEAIAAAACkBAABkcnMvZTJvRG9jLnhtbFBLBQYAAAAABgAGAFkBAADsBQAA&#10;AAA=&#10;">
                <v:fill on="f" focussize="0,0"/>
                <v:stroke on="f" weight="0pt" miterlimit="0" joinstyle="miter"/>
                <v:imagedata o:title=""/>
                <o:lock v:ext="edit" aspectratio="f"/>
                <v:textbox inset="0mm,0mm,0mm,0mm">
                  <w:txbxContent>
                    <w:p w14:paraId="2B24A8E8">
                      <w:pPr>
                        <w:spacing w:before="76"/>
                        <w:ind w:left="20"/>
                        <w:rPr>
                          <w:rFonts w:ascii="宋体" w:hAnsi="宋体" w:eastAsia="宋体" w:cs="宋体"/>
                          <w:sz w:val="19"/>
                          <w:szCs w:val="19"/>
                        </w:rPr>
                      </w:pPr>
                      <w:r>
                        <w:rPr>
                          <w:rFonts w:ascii="宋体" w:hAnsi="宋体" w:eastAsia="宋体" w:cs="宋体"/>
                          <w:spacing w:val="-2"/>
                          <w:sz w:val="19"/>
                          <w:szCs w:val="19"/>
                        </w:rPr>
                        <w:t>2013</w:t>
                      </w:r>
                    </w:p>
                  </w:txbxContent>
                </v:textbox>
              </v:shape>
            </w:pict>
          </mc:Fallback>
        </mc:AlternateContent>
      </w:r>
      <w:r>
        <mc:AlternateContent>
          <mc:Choice Requires="wps">
            <w:drawing>
              <wp:anchor distT="0" distB="0" distL="0" distR="0" simplePos="0" relativeHeight="251886592" behindDoc="0" locked="0" layoutInCell="1" allowOverlap="1">
                <wp:simplePos x="0" y="0"/>
                <wp:positionH relativeFrom="column">
                  <wp:posOffset>3661410</wp:posOffset>
                </wp:positionH>
                <wp:positionV relativeFrom="paragraph">
                  <wp:posOffset>3723005</wp:posOffset>
                </wp:positionV>
                <wp:extent cx="260985" cy="218440"/>
                <wp:effectExtent l="0" t="0" r="0" b="0"/>
                <wp:wrapNone/>
                <wp:docPr id="672" name="TextBox 672"/>
                <wp:cNvGraphicFramePr/>
                <a:graphic xmlns:a="http://schemas.openxmlformats.org/drawingml/2006/main">
                  <a:graphicData uri="http://schemas.microsoft.com/office/word/2010/wordprocessingShape">
                    <wps:wsp>
                      <wps:cNvSpPr txBox="1"/>
                      <wps:spPr>
                        <a:xfrm rot="16200000">
                          <a:off x="3661729" y="3723359"/>
                          <a:ext cx="260984" cy="218440"/>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26EBFCC9">
                            <w:pPr>
                              <w:spacing w:before="76"/>
                              <w:ind w:left="20"/>
                              <w:rPr>
                                <w:rFonts w:ascii="宋体" w:hAnsi="宋体" w:eastAsia="宋体" w:cs="宋体"/>
                                <w:sz w:val="19"/>
                                <w:szCs w:val="19"/>
                              </w:rPr>
                            </w:pPr>
                            <w:r>
                              <w:rPr>
                                <w:rFonts w:ascii="宋体" w:hAnsi="宋体" w:eastAsia="宋体" w:cs="宋体"/>
                                <w:spacing w:val="-2"/>
                                <w:sz w:val="19"/>
                                <w:szCs w:val="19"/>
                              </w:rPr>
                              <w:t>2014</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672" o:spid="_x0000_s1026" o:spt="202" type="#_x0000_t202" style="position:absolute;left:0pt;margin-left:288.3pt;margin-top:293.15pt;height:17.2pt;width:20.55pt;rotation:-5898240f;z-index:251886592;mso-width-relative:page;mso-height-relative:page;" filled="f" stroked="f" coordsize="21600,21600" o:gfxdata="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B8N0wfYAAAACwEA&#10;AA8AAAAAAAAAAQAgAAAAIgAAAGRycy9kb3ducmV2LnhtbFBLAQIUABQAAAAIAIdO4kDmBwlzUwIA&#10;AKUEAAAOAAAAAAAAAAEAIAAAACcBAABkcnMvZTJvRG9jLnhtbFBLBQYAAAAABgAGAFkBAADsBQAA&#10;AAA=&#10;">
                <v:fill on="f" focussize="0,0"/>
                <v:stroke on="f" weight="0pt" miterlimit="0" joinstyle="miter"/>
                <v:imagedata o:title=""/>
                <o:lock v:ext="edit" aspectratio="f"/>
                <v:textbox inset="0mm,0mm,0mm,0mm">
                  <w:txbxContent>
                    <w:p w14:paraId="26EBFCC9">
                      <w:pPr>
                        <w:spacing w:before="76"/>
                        <w:ind w:left="20"/>
                        <w:rPr>
                          <w:rFonts w:ascii="宋体" w:hAnsi="宋体" w:eastAsia="宋体" w:cs="宋体"/>
                          <w:sz w:val="19"/>
                          <w:szCs w:val="19"/>
                        </w:rPr>
                      </w:pPr>
                      <w:r>
                        <w:rPr>
                          <w:rFonts w:ascii="宋体" w:hAnsi="宋体" w:eastAsia="宋体" w:cs="宋体"/>
                          <w:spacing w:val="-2"/>
                          <w:sz w:val="19"/>
                          <w:szCs w:val="19"/>
                        </w:rPr>
                        <w:t>2014</w:t>
                      </w:r>
                    </w:p>
                  </w:txbxContent>
                </v:textbox>
              </v:shape>
            </w:pict>
          </mc:Fallback>
        </mc:AlternateContent>
      </w:r>
      <w:r>
        <mc:AlternateContent>
          <mc:Choice Requires="wps">
            <w:drawing>
              <wp:anchor distT="0" distB="0" distL="0" distR="0" simplePos="0" relativeHeight="251885568" behindDoc="0" locked="0" layoutInCell="1" allowOverlap="1">
                <wp:simplePos x="0" y="0"/>
                <wp:positionH relativeFrom="column">
                  <wp:posOffset>3959860</wp:posOffset>
                </wp:positionH>
                <wp:positionV relativeFrom="paragraph">
                  <wp:posOffset>3723005</wp:posOffset>
                </wp:positionV>
                <wp:extent cx="260985" cy="218440"/>
                <wp:effectExtent l="0" t="0" r="0" b="0"/>
                <wp:wrapNone/>
                <wp:docPr id="674" name="TextBox 674"/>
                <wp:cNvGraphicFramePr/>
                <a:graphic xmlns:a="http://schemas.openxmlformats.org/drawingml/2006/main">
                  <a:graphicData uri="http://schemas.microsoft.com/office/word/2010/wordprocessingShape">
                    <wps:wsp>
                      <wps:cNvSpPr txBox="1"/>
                      <wps:spPr>
                        <a:xfrm rot="16200000">
                          <a:off x="3960212" y="3723359"/>
                          <a:ext cx="260984" cy="218440"/>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4E8384EF">
                            <w:pPr>
                              <w:spacing w:before="76"/>
                              <w:ind w:left="20"/>
                              <w:rPr>
                                <w:rFonts w:ascii="宋体" w:hAnsi="宋体" w:eastAsia="宋体" w:cs="宋体"/>
                                <w:sz w:val="19"/>
                                <w:szCs w:val="19"/>
                              </w:rPr>
                            </w:pPr>
                            <w:r>
                              <w:rPr>
                                <w:rFonts w:ascii="宋体" w:hAnsi="宋体" w:eastAsia="宋体" w:cs="宋体"/>
                                <w:spacing w:val="-2"/>
                                <w:sz w:val="19"/>
                                <w:szCs w:val="19"/>
                              </w:rPr>
                              <w:t>2015</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674" o:spid="_x0000_s1026" o:spt="202" type="#_x0000_t202" style="position:absolute;left:0pt;margin-left:311.8pt;margin-top:293.15pt;height:17.2pt;width:20.55pt;rotation:-5898240f;z-index:251885568;mso-width-relative:page;mso-height-relative:page;" filled="f" stroked="f" coordsize="21600,21600" o:gfxdata="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AAAAAZHJzL1BLAQIUABQAAAAIAIdO4kAjx/qB2QAAAAsB&#10;AAAPAAAAAAAAAAEAIAAAACIAAABkcnMvZG93bnJldi54bWxQSwECFAAUAAAACACHTuJA4fa+llMC&#10;AAClBAAADgAAAAAAAAABACAAAAAoAQAAZHJzL2Uyb0RvYy54bWxQSwUGAAAAAAYABgBZAQAA7QUA&#10;AAAA&#10;">
                <v:fill on="f" focussize="0,0"/>
                <v:stroke on="f" weight="0pt" miterlimit="0" joinstyle="miter"/>
                <v:imagedata o:title=""/>
                <o:lock v:ext="edit" aspectratio="f"/>
                <v:textbox inset="0mm,0mm,0mm,0mm">
                  <w:txbxContent>
                    <w:p w14:paraId="4E8384EF">
                      <w:pPr>
                        <w:spacing w:before="76"/>
                        <w:ind w:left="20"/>
                        <w:rPr>
                          <w:rFonts w:ascii="宋体" w:hAnsi="宋体" w:eastAsia="宋体" w:cs="宋体"/>
                          <w:sz w:val="19"/>
                          <w:szCs w:val="19"/>
                        </w:rPr>
                      </w:pPr>
                      <w:r>
                        <w:rPr>
                          <w:rFonts w:ascii="宋体" w:hAnsi="宋体" w:eastAsia="宋体" w:cs="宋体"/>
                          <w:spacing w:val="-2"/>
                          <w:sz w:val="19"/>
                          <w:szCs w:val="19"/>
                        </w:rPr>
                        <w:t>2015</w:t>
                      </w:r>
                    </w:p>
                  </w:txbxContent>
                </v:textbox>
              </v:shape>
            </w:pict>
          </mc:Fallback>
        </mc:AlternateContent>
      </w:r>
      <w:r>
        <mc:AlternateContent>
          <mc:Choice Requires="wps">
            <w:drawing>
              <wp:anchor distT="0" distB="0" distL="0" distR="0" simplePos="0" relativeHeight="251884544" behindDoc="0" locked="0" layoutInCell="1" allowOverlap="1">
                <wp:simplePos x="0" y="0"/>
                <wp:positionH relativeFrom="column">
                  <wp:posOffset>4302760</wp:posOffset>
                </wp:positionH>
                <wp:positionV relativeFrom="paragraph">
                  <wp:posOffset>3783965</wp:posOffset>
                </wp:positionV>
                <wp:extent cx="186690" cy="157480"/>
                <wp:effectExtent l="0" t="0" r="0" b="0"/>
                <wp:wrapNone/>
                <wp:docPr id="676" name="TextBox 676"/>
                <wp:cNvGraphicFramePr/>
                <a:graphic xmlns:a="http://schemas.openxmlformats.org/drawingml/2006/main">
                  <a:graphicData uri="http://schemas.microsoft.com/office/word/2010/wordprocessingShape">
                    <wps:wsp>
                      <wps:cNvSpPr txBox="1"/>
                      <wps:spPr>
                        <a:xfrm rot="16200000">
                          <a:off x="4303096" y="3784587"/>
                          <a:ext cx="186689" cy="157479"/>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704D8CF6">
                            <w:pPr>
                              <w:spacing w:before="58"/>
                              <w:ind w:left="20"/>
                              <w:rPr>
                                <w:rFonts w:ascii="宋体" w:hAnsi="宋体" w:eastAsia="宋体" w:cs="宋体"/>
                                <w:sz w:val="13"/>
                                <w:szCs w:val="13"/>
                              </w:rPr>
                            </w:pPr>
                            <w:r>
                              <w:rPr>
                                <w:rFonts w:ascii="宋体" w:hAnsi="宋体" w:eastAsia="宋体" w:cs="宋体"/>
                                <w:spacing w:val="-2"/>
                                <w:sz w:val="13"/>
                                <w:szCs w:val="13"/>
                              </w:rPr>
                              <w:t>2016</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676" o:spid="_x0000_s1026" o:spt="202" type="#_x0000_t202" style="position:absolute;left:0pt;margin-left:338.8pt;margin-top:297.95pt;height:12.4pt;width:14.7pt;rotation:-5898240f;z-index:251884544;mso-width-relative:page;mso-height-relative:page;" filled="f" stroked="f" coordsize="21600,21600" o:gfxdata="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EsH6xfZAAAACwEA&#10;AA8AAAAAAAAAAQAgAAAAIgAAAGRycy9kb3ducmV2LnhtbFBLAQIUABQAAAAIAIdO4kDFjUEVUgIA&#10;AKUEAAAOAAAAAAAAAAEAIAAAACgBAABkcnMvZTJvRG9jLnhtbFBLBQYAAAAABgAGAFkBAADsBQAA&#10;AAA=&#10;">
                <v:fill on="f" focussize="0,0"/>
                <v:stroke on="f" weight="0pt" miterlimit="0" joinstyle="miter"/>
                <v:imagedata o:title=""/>
                <o:lock v:ext="edit" aspectratio="f"/>
                <v:textbox inset="0mm,0mm,0mm,0mm">
                  <w:txbxContent>
                    <w:p w14:paraId="704D8CF6">
                      <w:pPr>
                        <w:spacing w:before="58"/>
                        <w:ind w:left="20"/>
                        <w:rPr>
                          <w:rFonts w:ascii="宋体" w:hAnsi="宋体" w:eastAsia="宋体" w:cs="宋体"/>
                          <w:sz w:val="13"/>
                          <w:szCs w:val="13"/>
                        </w:rPr>
                      </w:pPr>
                      <w:r>
                        <w:rPr>
                          <w:rFonts w:ascii="宋体" w:hAnsi="宋体" w:eastAsia="宋体" w:cs="宋体"/>
                          <w:spacing w:val="-2"/>
                          <w:sz w:val="13"/>
                          <w:szCs w:val="13"/>
                        </w:rPr>
                        <w:t>2016</w:t>
                      </w:r>
                    </w:p>
                  </w:txbxContent>
                </v:textbox>
              </v:shape>
            </w:pict>
          </mc:Fallback>
        </mc:AlternateContent>
      </w:r>
      <w:r>
        <mc:AlternateContent>
          <mc:Choice Requires="wps">
            <w:drawing>
              <wp:anchor distT="0" distB="0" distL="0" distR="0" simplePos="0" relativeHeight="251882496" behindDoc="0" locked="0" layoutInCell="1" allowOverlap="1">
                <wp:simplePos x="0" y="0"/>
                <wp:positionH relativeFrom="column">
                  <wp:posOffset>4613910</wp:posOffset>
                </wp:positionH>
                <wp:positionV relativeFrom="paragraph">
                  <wp:posOffset>3783965</wp:posOffset>
                </wp:positionV>
                <wp:extent cx="186690" cy="157480"/>
                <wp:effectExtent l="0" t="0" r="0" b="0"/>
                <wp:wrapNone/>
                <wp:docPr id="678" name="TextBox 678"/>
                <wp:cNvGraphicFramePr/>
                <a:graphic xmlns:a="http://schemas.openxmlformats.org/drawingml/2006/main">
                  <a:graphicData uri="http://schemas.microsoft.com/office/word/2010/wordprocessingShape">
                    <wps:wsp>
                      <wps:cNvSpPr txBox="1"/>
                      <wps:spPr>
                        <a:xfrm rot="16200000">
                          <a:off x="4614272" y="3784587"/>
                          <a:ext cx="186689" cy="157479"/>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12256E62">
                            <w:pPr>
                              <w:spacing w:before="58"/>
                              <w:ind w:left="20"/>
                              <w:rPr>
                                <w:rFonts w:ascii="宋体" w:hAnsi="宋体" w:eastAsia="宋体" w:cs="宋体"/>
                                <w:sz w:val="13"/>
                                <w:szCs w:val="13"/>
                              </w:rPr>
                            </w:pPr>
                            <w:r>
                              <w:rPr>
                                <w:rFonts w:ascii="宋体" w:hAnsi="宋体" w:eastAsia="宋体" w:cs="宋体"/>
                                <w:spacing w:val="-2"/>
                                <w:sz w:val="13"/>
                                <w:szCs w:val="13"/>
                              </w:rPr>
                              <w:t>2017</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678" o:spid="_x0000_s1026" o:spt="202" type="#_x0000_t202" style="position:absolute;left:0pt;margin-left:363.3pt;margin-top:297.95pt;height:12.4pt;width:14.7pt;rotation:-5898240f;z-index:251882496;mso-width-relative:page;mso-height-relative:page;" filled="f" stroked="f" coordsize="21600,21600" o:gfxdata="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AAAAAZHJzL1BLAQIUABQAAAAIAIdO4kCdyliU2QAAAAsB&#10;AAAPAAAAAAAAAAEAIAAAACIAAABkcnMvZG93bnJldi54bWxQSwECFAAUAAAACACHTuJA048EGVMC&#10;AAClBAAADgAAAAAAAAABACAAAAAoAQAAZHJzL2Uyb0RvYy54bWxQSwUGAAAAAAYABgBZAQAA7QUA&#10;AAAA&#10;">
                <v:fill on="f" focussize="0,0"/>
                <v:stroke on="f" weight="0pt" miterlimit="0" joinstyle="miter"/>
                <v:imagedata o:title=""/>
                <o:lock v:ext="edit" aspectratio="f"/>
                <v:textbox inset="0mm,0mm,0mm,0mm">
                  <w:txbxContent>
                    <w:p w14:paraId="12256E62">
                      <w:pPr>
                        <w:spacing w:before="58"/>
                        <w:ind w:left="20"/>
                        <w:rPr>
                          <w:rFonts w:ascii="宋体" w:hAnsi="宋体" w:eastAsia="宋体" w:cs="宋体"/>
                          <w:sz w:val="13"/>
                          <w:szCs w:val="13"/>
                        </w:rPr>
                      </w:pPr>
                      <w:r>
                        <w:rPr>
                          <w:rFonts w:ascii="宋体" w:hAnsi="宋体" w:eastAsia="宋体" w:cs="宋体"/>
                          <w:spacing w:val="-2"/>
                          <w:sz w:val="13"/>
                          <w:szCs w:val="13"/>
                        </w:rPr>
                        <w:t>2017</w:t>
                      </w:r>
                    </w:p>
                  </w:txbxContent>
                </v:textbox>
              </v:shape>
            </w:pict>
          </mc:Fallback>
        </mc:AlternateContent>
      </w:r>
      <w:r>
        <mc:AlternateContent>
          <mc:Choice Requires="wps">
            <w:drawing>
              <wp:anchor distT="0" distB="0" distL="0" distR="0" simplePos="0" relativeHeight="251883520" behindDoc="0" locked="0" layoutInCell="1" allowOverlap="1">
                <wp:simplePos x="0" y="0"/>
                <wp:positionH relativeFrom="column">
                  <wp:posOffset>4766310</wp:posOffset>
                </wp:positionH>
                <wp:positionV relativeFrom="paragraph">
                  <wp:posOffset>3390900</wp:posOffset>
                </wp:positionV>
                <wp:extent cx="133985" cy="285115"/>
                <wp:effectExtent l="0" t="0" r="0" b="0"/>
                <wp:wrapNone/>
                <wp:docPr id="680" name="TextBox 680"/>
                <wp:cNvGraphicFramePr/>
                <a:graphic xmlns:a="http://schemas.openxmlformats.org/drawingml/2006/main">
                  <a:graphicData uri="http://schemas.microsoft.com/office/word/2010/wordprocessingShape">
                    <wps:wsp>
                      <wps:cNvSpPr txBox="1"/>
                      <wps:spPr>
                        <a:xfrm rot="16200000">
                          <a:off x="4766567" y="3391330"/>
                          <a:ext cx="133985" cy="285115"/>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3196C761">
                            <w:pPr>
                              <w:spacing w:before="129" w:line="299" w:lineRule="exact"/>
                              <w:jc w:val="right"/>
                              <w:rPr>
                                <w:rFonts w:ascii="宋体" w:hAnsi="宋体" w:eastAsia="宋体" w:cs="宋体"/>
                                <w:sz w:val="19"/>
                                <w:szCs w:val="19"/>
                              </w:rPr>
                            </w:pPr>
                            <w:r>
                              <w:rPr>
                                <w:rFonts w:ascii="宋体" w:hAnsi="宋体" w:eastAsia="宋体" w:cs="宋体"/>
                                <w:position w:val="2"/>
                                <w:sz w:val="19"/>
                                <w:szCs w:val="19"/>
                              </w:rPr>
                              <w:t>…</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680" o:spid="_x0000_s1026" o:spt="202" type="#_x0000_t202" style="position:absolute;left:0pt;margin-left:375.3pt;margin-top:267pt;height:22.45pt;width:10.55pt;rotation:-5898240f;z-index:251883520;mso-width-relative:page;mso-height-relative:page;" filled="f" stroked="f" coordsize="21600,21600" o:gfxdata="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BzoG7u2QAAAAsBAAAP&#10;AAAAAAAAAAEAIAAAACIAAABkcnMvZG93bnJldi54bWxQSwECFAAUAAAACACHTuJAFkgM51ACAACl&#10;BAAADgAAAAAAAAABACAAAAAoAQAAZHJzL2Uyb0RvYy54bWxQSwUGAAAAAAYABgBZAQAA6gUAAAAA&#10;">
                <v:fill on="f" focussize="0,0"/>
                <v:stroke on="f" weight="0pt" miterlimit="0" joinstyle="miter"/>
                <v:imagedata o:title=""/>
                <o:lock v:ext="edit" aspectratio="f"/>
                <v:textbox inset="0mm,0mm,0mm,0mm">
                  <w:txbxContent>
                    <w:p w14:paraId="3196C761">
                      <w:pPr>
                        <w:spacing w:before="129" w:line="299" w:lineRule="exact"/>
                        <w:jc w:val="right"/>
                        <w:rPr>
                          <w:rFonts w:ascii="宋体" w:hAnsi="宋体" w:eastAsia="宋体" w:cs="宋体"/>
                          <w:sz w:val="19"/>
                          <w:szCs w:val="19"/>
                        </w:rPr>
                      </w:pPr>
                      <w:r>
                        <w:rPr>
                          <w:rFonts w:ascii="宋体" w:hAnsi="宋体" w:eastAsia="宋体" w:cs="宋体"/>
                          <w:position w:val="2"/>
                          <w:sz w:val="19"/>
                          <w:szCs w:val="19"/>
                        </w:rPr>
                        <w:t>…</w:t>
                      </w:r>
                    </w:p>
                  </w:txbxContent>
                </v:textbox>
              </v:shape>
            </w:pict>
          </mc:Fallback>
        </mc:AlternateContent>
      </w:r>
      <w:r>
        <mc:AlternateContent>
          <mc:Choice Requires="wps">
            <w:drawing>
              <wp:anchor distT="0" distB="0" distL="0" distR="0" simplePos="0" relativeHeight="251880448" behindDoc="0" locked="0" layoutInCell="1" allowOverlap="1">
                <wp:simplePos x="0" y="0"/>
                <wp:positionH relativeFrom="column">
                  <wp:posOffset>4856480</wp:posOffset>
                </wp:positionH>
                <wp:positionV relativeFrom="paragraph">
                  <wp:posOffset>3691255</wp:posOffset>
                </wp:positionV>
                <wp:extent cx="261620" cy="269240"/>
                <wp:effectExtent l="0" t="0" r="0" b="0"/>
                <wp:wrapNone/>
                <wp:docPr id="682" name="TextBox 682"/>
                <wp:cNvGraphicFramePr/>
                <a:graphic xmlns:a="http://schemas.openxmlformats.org/drawingml/2006/main">
                  <a:graphicData uri="http://schemas.microsoft.com/office/word/2010/wordprocessingShape">
                    <wps:wsp>
                      <wps:cNvSpPr txBox="1"/>
                      <wps:spPr>
                        <a:xfrm rot="16200000">
                          <a:off x="4856508" y="3691444"/>
                          <a:ext cx="261620" cy="269240"/>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7173ADDF">
                            <w:pPr>
                              <w:spacing w:before="91"/>
                              <w:jc w:val="right"/>
                              <w:rPr>
                                <w:rFonts w:ascii="宋体" w:hAnsi="宋体" w:eastAsia="宋体" w:cs="宋体"/>
                                <w:sz w:val="24"/>
                                <w:szCs w:val="24"/>
                              </w:rPr>
                            </w:pPr>
                            <w:r>
                              <w:rPr>
                                <w:rFonts w:ascii="宋体" w:hAnsi="宋体" w:eastAsia="宋体" w:cs="宋体"/>
                                <w:spacing w:val="-33"/>
                                <w:sz w:val="24"/>
                                <w:szCs w:val="24"/>
                              </w:rPr>
                              <w:t>2</w:t>
                            </w:r>
                            <w:r>
                              <w:rPr>
                                <w:rFonts w:ascii="宋体" w:hAnsi="宋体" w:eastAsia="宋体" w:cs="宋体"/>
                                <w:spacing w:val="-32"/>
                                <w:sz w:val="24"/>
                                <w:szCs w:val="24"/>
                              </w:rPr>
                              <w:t>01</w:t>
                            </w:r>
                            <w:r>
                              <w:rPr>
                                <w:rFonts w:ascii="宋体" w:hAnsi="宋体" w:eastAsia="宋体" w:cs="宋体"/>
                                <w:spacing w:val="-15"/>
                                <w:sz w:val="24"/>
                                <w:szCs w:val="24"/>
                              </w:rPr>
                              <w:t>8</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682" o:spid="_x0000_s1026" o:spt="202" type="#_x0000_t202" style="position:absolute;left:0pt;margin-left:382.4pt;margin-top:290.65pt;height:21.2pt;width:20.6pt;rotation:-5898240f;z-index:251880448;mso-width-relative:page;mso-height-relative:page;" filled="f" stroked="f" coordsize="21600,21600" o:gfxdata="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qG3LDdkAAAALAQAA&#10;DwAAAAAAAAABACAAAAAiAAAAZHJzL2Rvd25yZXYueG1sUEsBAhQAFAAAAAgAh07iQFSMYZ5RAgAA&#10;pQQAAA4AAAAAAAAAAQAgAAAAKAEAAGRycy9lMm9Eb2MueG1sUEsFBgAAAAAGAAYAWQEAAOsFAAAA&#10;AA==&#10;">
                <v:fill on="f" focussize="0,0"/>
                <v:stroke on="f" weight="0pt" miterlimit="0" joinstyle="miter"/>
                <v:imagedata o:title=""/>
                <o:lock v:ext="edit" aspectratio="f"/>
                <v:textbox inset="0mm,0mm,0mm,0mm">
                  <w:txbxContent>
                    <w:p w14:paraId="7173ADDF">
                      <w:pPr>
                        <w:spacing w:before="91"/>
                        <w:jc w:val="right"/>
                        <w:rPr>
                          <w:rFonts w:ascii="宋体" w:hAnsi="宋体" w:eastAsia="宋体" w:cs="宋体"/>
                          <w:sz w:val="24"/>
                          <w:szCs w:val="24"/>
                        </w:rPr>
                      </w:pPr>
                      <w:r>
                        <w:rPr>
                          <w:rFonts w:ascii="宋体" w:hAnsi="宋体" w:eastAsia="宋体" w:cs="宋体"/>
                          <w:spacing w:val="-33"/>
                          <w:sz w:val="24"/>
                          <w:szCs w:val="24"/>
                        </w:rPr>
                        <w:t>2</w:t>
                      </w:r>
                      <w:r>
                        <w:rPr>
                          <w:rFonts w:ascii="宋体" w:hAnsi="宋体" w:eastAsia="宋体" w:cs="宋体"/>
                          <w:spacing w:val="-32"/>
                          <w:sz w:val="24"/>
                          <w:szCs w:val="24"/>
                        </w:rPr>
                        <w:t>01</w:t>
                      </w:r>
                      <w:r>
                        <w:rPr>
                          <w:rFonts w:ascii="宋体" w:hAnsi="宋体" w:eastAsia="宋体" w:cs="宋体"/>
                          <w:spacing w:val="-15"/>
                          <w:sz w:val="24"/>
                          <w:szCs w:val="24"/>
                        </w:rPr>
                        <w:t>8</w:t>
                      </w:r>
                    </w:p>
                  </w:txbxContent>
                </v:textbox>
              </v:shape>
            </w:pict>
          </mc:Fallback>
        </mc:AlternateContent>
      </w:r>
      <w:r>
        <mc:AlternateContent>
          <mc:Choice Requires="wps">
            <w:drawing>
              <wp:anchor distT="0" distB="0" distL="0" distR="0" simplePos="0" relativeHeight="251881472" behindDoc="0" locked="0" layoutInCell="1" allowOverlap="1">
                <wp:simplePos x="0" y="0"/>
                <wp:positionH relativeFrom="column">
                  <wp:posOffset>5166360</wp:posOffset>
                </wp:positionH>
                <wp:positionV relativeFrom="paragraph">
                  <wp:posOffset>3716655</wp:posOffset>
                </wp:positionV>
                <wp:extent cx="260985" cy="218440"/>
                <wp:effectExtent l="0" t="0" r="0" b="0"/>
                <wp:wrapNone/>
                <wp:docPr id="684" name="TextBox 684"/>
                <wp:cNvGraphicFramePr/>
                <a:graphic xmlns:a="http://schemas.openxmlformats.org/drawingml/2006/main">
                  <a:graphicData uri="http://schemas.microsoft.com/office/word/2010/wordprocessingShape">
                    <wps:wsp>
                      <wps:cNvSpPr txBox="1"/>
                      <wps:spPr>
                        <a:xfrm rot="16200000">
                          <a:off x="5166682" y="3717057"/>
                          <a:ext cx="260984" cy="218440"/>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0E4A255D">
                            <w:pPr>
                              <w:spacing w:before="76"/>
                              <w:ind w:left="20"/>
                              <w:rPr>
                                <w:rFonts w:ascii="宋体" w:hAnsi="宋体" w:eastAsia="宋体" w:cs="宋体"/>
                                <w:sz w:val="19"/>
                                <w:szCs w:val="19"/>
                              </w:rPr>
                            </w:pPr>
                            <w:r>
                              <w:rPr>
                                <w:rFonts w:ascii="宋体" w:hAnsi="宋体" w:eastAsia="宋体" w:cs="宋体"/>
                                <w:spacing w:val="-2"/>
                                <w:sz w:val="19"/>
                                <w:szCs w:val="19"/>
                              </w:rPr>
                              <w:t>2019</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684" o:spid="_x0000_s1026" o:spt="202" type="#_x0000_t202" style="position:absolute;left:0pt;margin-left:406.8pt;margin-top:292.65pt;height:17.2pt;width:20.55pt;rotation:-5898240f;z-index:251881472;mso-width-relative:page;mso-height-relative:page;" filled="f" stroked="f" coordsize="21600,21600" o:gfxdata="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LcPeSjbAAAA&#10;CwEAAA8AAAAAAAAAAQAgAAAAIgAAAGRycy9kb3ducmV2LnhtbFBLAQIUABQAAAAIAIdO4kAX5f8t&#10;UwIAAKUEAAAOAAAAAAAAAAEAIAAAACoBAABkcnMvZTJvRG9jLnhtbFBLBQYAAAAABgAGAFkBAADv&#10;BQAAAAA=&#10;">
                <v:fill on="f" focussize="0,0"/>
                <v:stroke on="f" weight="0pt" miterlimit="0" joinstyle="miter"/>
                <v:imagedata o:title=""/>
                <o:lock v:ext="edit" aspectratio="f"/>
                <v:textbox inset="0mm,0mm,0mm,0mm">
                  <w:txbxContent>
                    <w:p w14:paraId="0E4A255D">
                      <w:pPr>
                        <w:spacing w:before="76"/>
                        <w:ind w:left="20"/>
                        <w:rPr>
                          <w:rFonts w:ascii="宋体" w:hAnsi="宋体" w:eastAsia="宋体" w:cs="宋体"/>
                          <w:sz w:val="19"/>
                          <w:szCs w:val="19"/>
                        </w:rPr>
                      </w:pPr>
                      <w:r>
                        <w:rPr>
                          <w:rFonts w:ascii="宋体" w:hAnsi="宋体" w:eastAsia="宋体" w:cs="宋体"/>
                          <w:spacing w:val="-2"/>
                          <w:sz w:val="19"/>
                          <w:szCs w:val="19"/>
                        </w:rPr>
                        <w:t>2019</w:t>
                      </w:r>
                    </w:p>
                  </w:txbxContent>
                </v:textbox>
              </v:shape>
            </w:pict>
          </mc:Fallback>
        </mc:AlternateContent>
      </w:r>
      <w:r>
        <mc:AlternateContent>
          <mc:Choice Requires="wps">
            <w:drawing>
              <wp:anchor distT="0" distB="0" distL="0" distR="0" simplePos="0" relativeHeight="251897856" behindDoc="0" locked="0" layoutInCell="1" allowOverlap="1">
                <wp:simplePos x="0" y="0"/>
                <wp:positionH relativeFrom="column">
                  <wp:posOffset>5509260</wp:posOffset>
                </wp:positionH>
                <wp:positionV relativeFrom="paragraph">
                  <wp:posOffset>3771265</wp:posOffset>
                </wp:positionV>
                <wp:extent cx="186690" cy="157480"/>
                <wp:effectExtent l="0" t="0" r="0" b="0"/>
                <wp:wrapNone/>
                <wp:docPr id="686" name="TextBox 686"/>
                <wp:cNvGraphicFramePr/>
                <a:graphic xmlns:a="http://schemas.openxmlformats.org/drawingml/2006/main">
                  <a:graphicData uri="http://schemas.microsoft.com/office/word/2010/wordprocessingShape">
                    <wps:wsp>
                      <wps:cNvSpPr txBox="1"/>
                      <wps:spPr>
                        <a:xfrm rot="16200000">
                          <a:off x="5509642" y="3771877"/>
                          <a:ext cx="186689" cy="157479"/>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5C639BC7">
                            <w:pPr>
                              <w:spacing w:before="58"/>
                              <w:ind w:left="20"/>
                              <w:rPr>
                                <w:rFonts w:ascii="宋体" w:hAnsi="宋体" w:eastAsia="宋体" w:cs="宋体"/>
                                <w:sz w:val="13"/>
                                <w:szCs w:val="13"/>
                              </w:rPr>
                            </w:pPr>
                            <w:r>
                              <w:rPr>
                                <w:rFonts w:ascii="宋体" w:hAnsi="宋体" w:eastAsia="宋体" w:cs="宋体"/>
                                <w:spacing w:val="-2"/>
                                <w:sz w:val="13"/>
                                <w:szCs w:val="13"/>
                              </w:rPr>
                              <w:t>2020</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686" o:spid="_x0000_s1026" o:spt="202" type="#_x0000_t202" style="position:absolute;left:0pt;margin-left:433.8pt;margin-top:296.95pt;height:12.4pt;width:14.7pt;rotation:-5898240f;z-index:251897856;mso-width-relative:page;mso-height-relative:page;" filled="f" stroked="f" coordsize="21600,21600" o:gfxdata="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AAAAAZHJzL1BLAQIUABQAAAAIAIdO4kBIHQQ42QAAAAsB&#10;AAAPAAAAAAAAAAEAIAAAACIAAABkcnMvZG93bnJldi54bWxQSwECFAAUAAAACACHTuJAPaZeelMC&#10;AAClBAAADgAAAAAAAAABACAAAAAoAQAAZHJzL2Uyb0RvYy54bWxQSwUGAAAAAAYABgBZAQAA7QUA&#10;AAAA&#10;">
                <v:fill on="f" focussize="0,0"/>
                <v:stroke on="f" weight="0pt" miterlimit="0" joinstyle="miter"/>
                <v:imagedata o:title=""/>
                <o:lock v:ext="edit" aspectratio="f"/>
                <v:textbox inset="0mm,0mm,0mm,0mm">
                  <w:txbxContent>
                    <w:p w14:paraId="5C639BC7">
                      <w:pPr>
                        <w:spacing w:before="58"/>
                        <w:ind w:left="20"/>
                        <w:rPr>
                          <w:rFonts w:ascii="宋体" w:hAnsi="宋体" w:eastAsia="宋体" w:cs="宋体"/>
                          <w:sz w:val="13"/>
                          <w:szCs w:val="13"/>
                        </w:rPr>
                      </w:pPr>
                      <w:r>
                        <w:rPr>
                          <w:rFonts w:ascii="宋体" w:hAnsi="宋体" w:eastAsia="宋体" w:cs="宋体"/>
                          <w:spacing w:val="-2"/>
                          <w:sz w:val="13"/>
                          <w:szCs w:val="13"/>
                        </w:rPr>
                        <w:t>2020</w:t>
                      </w:r>
                    </w:p>
                  </w:txbxContent>
                </v:textbox>
              </v:shape>
            </w:pict>
          </mc:Fallback>
        </mc:AlternateContent>
      </w:r>
      <w:r>
        <mc:AlternateContent>
          <mc:Choice Requires="wps">
            <w:drawing>
              <wp:anchor distT="0" distB="0" distL="0" distR="0" simplePos="0" relativeHeight="251879424" behindDoc="0" locked="0" layoutInCell="1" allowOverlap="1">
                <wp:simplePos x="0" y="0"/>
                <wp:positionH relativeFrom="column">
                  <wp:posOffset>5763260</wp:posOffset>
                </wp:positionH>
                <wp:positionV relativeFrom="paragraph">
                  <wp:posOffset>3691255</wp:posOffset>
                </wp:positionV>
                <wp:extent cx="260985" cy="218440"/>
                <wp:effectExtent l="0" t="0" r="0" b="0"/>
                <wp:wrapNone/>
                <wp:docPr id="688" name="TextBox 688"/>
                <wp:cNvGraphicFramePr/>
                <a:graphic xmlns:a="http://schemas.openxmlformats.org/drawingml/2006/main">
                  <a:graphicData uri="http://schemas.microsoft.com/office/word/2010/wordprocessingShape">
                    <wps:wsp>
                      <wps:cNvSpPr txBox="1"/>
                      <wps:spPr>
                        <a:xfrm rot="16200000">
                          <a:off x="5763570" y="3691638"/>
                          <a:ext cx="260984" cy="218440"/>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45E6C607">
                            <w:pPr>
                              <w:spacing w:before="76"/>
                              <w:ind w:left="20"/>
                              <w:rPr>
                                <w:rFonts w:ascii="宋体" w:hAnsi="宋体" w:eastAsia="宋体" w:cs="宋体"/>
                                <w:sz w:val="19"/>
                                <w:szCs w:val="19"/>
                              </w:rPr>
                            </w:pPr>
                            <w:r>
                              <w:rPr>
                                <w:rFonts w:ascii="宋体" w:hAnsi="宋体" w:eastAsia="宋体" w:cs="宋体"/>
                                <w:spacing w:val="-2"/>
                                <w:sz w:val="19"/>
                                <w:szCs w:val="19"/>
                              </w:rPr>
                              <w:t>2021</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688" o:spid="_x0000_s1026" o:spt="202" type="#_x0000_t202" style="position:absolute;left:0pt;margin-left:453.8pt;margin-top:290.65pt;height:17.2pt;width:20.55pt;rotation:-5898240f;z-index:251879424;mso-width-relative:page;mso-height-relative:page;" filled="f" stroked="f" coordsize="21600,21600" o:gfxdata="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KeLtqfaAAAA&#10;CwEAAA8AAAAAAAAAAQAgAAAAIgAAAGRycy9kb3ducmV2LnhtbFBLAQIUABQAAAAIAIdO4kAfPbJ8&#10;VAIAAKUEAAAOAAAAAAAAAAEAIAAAACkBAABkcnMvZTJvRG9jLnhtbFBLBQYAAAAABgAGAFkBAADv&#10;BQAAAAA=&#10;">
                <v:fill on="f" focussize="0,0"/>
                <v:stroke on="f" weight="0pt" miterlimit="0" joinstyle="miter"/>
                <v:imagedata o:title=""/>
                <o:lock v:ext="edit" aspectratio="f"/>
                <v:textbox inset="0mm,0mm,0mm,0mm">
                  <w:txbxContent>
                    <w:p w14:paraId="45E6C607">
                      <w:pPr>
                        <w:spacing w:before="76"/>
                        <w:ind w:left="20"/>
                        <w:rPr>
                          <w:rFonts w:ascii="宋体" w:hAnsi="宋体" w:eastAsia="宋体" w:cs="宋体"/>
                          <w:sz w:val="19"/>
                          <w:szCs w:val="19"/>
                        </w:rPr>
                      </w:pPr>
                      <w:r>
                        <w:rPr>
                          <w:rFonts w:ascii="宋体" w:hAnsi="宋体" w:eastAsia="宋体" w:cs="宋体"/>
                          <w:spacing w:val="-2"/>
                          <w:sz w:val="19"/>
                          <w:szCs w:val="19"/>
                        </w:rPr>
                        <w:t>2021</w:t>
                      </w:r>
                    </w:p>
                  </w:txbxContent>
                </v:textbox>
              </v:shape>
            </w:pict>
          </mc:Fallback>
        </mc:AlternateContent>
      </w:r>
      <w:r>
        <w:rPr>
          <w:position w:val="-130"/>
        </w:rPr>
        <w:pict>
          <v:group id="_x0000_s1176" o:spid="_x0000_s1176" o:spt="203" style="height:325.35pt;width:417pt;" coordsize="8340,6507">
            <o:lock v:ext="edit"/>
            <v:shape id="_x0000_s1177" o:spid="_x0000_s1177" o:spt="75" type="#_x0000_t75" style="position:absolute;left:0;top:0;height:6330;width:8340;" filled="f" stroked="f" coordsize="21600,21600">
              <v:path/>
              <v:fill on="f" focussize="0,0"/>
              <v:stroke on="f"/>
              <v:imagedata r:id="rId644" o:title=""/>
              <o:lock v:ext="edit" aspectratio="t"/>
            </v:shape>
            <v:shape id="_x0000_s1178" o:spid="_x0000_s1178" o:spt="202" type="#_x0000_t202" style="position:absolute;left:90;top:14;height:6512;width:7429;" filled="f" stroked="f" coordsize="21600,21600">
              <v:path/>
              <v:fill on="f" focussize="0,0"/>
              <v:stroke on="f"/>
              <v:imagedata o:title=""/>
              <o:lock v:ext="edit" aspectratio="f"/>
              <v:textbox inset="0mm,0mm,0mm,0mm">
                <w:txbxContent>
                  <w:p w14:paraId="341E60F5">
                    <w:pPr>
                      <w:spacing w:before="20" w:line="216" w:lineRule="auto"/>
                      <w:ind w:right="20"/>
                      <w:jc w:val="right"/>
                      <w:rPr>
                        <w:rFonts w:ascii="宋体" w:hAnsi="宋体" w:eastAsia="宋体" w:cs="宋体"/>
                        <w:sz w:val="18"/>
                        <w:szCs w:val="18"/>
                      </w:rPr>
                    </w:pPr>
                    <w:r>
                      <w:rPr>
                        <w:rFonts w:ascii="宋体" w:hAnsi="宋体" w:eastAsia="宋体" w:cs="宋体"/>
                        <w:spacing w:val="-5"/>
                        <w:sz w:val="18"/>
                        <w:szCs w:val="18"/>
                      </w:rPr>
                      <w:t>■合计：2004—2013年APC=-3.43%,2013—2021 年APC=-5.54%;AAPC=-4.43%</w:t>
                    </w:r>
                  </w:p>
                  <w:p w14:paraId="29457D23">
                    <w:pPr>
                      <w:spacing w:line="327" w:lineRule="auto"/>
                      <w:rPr>
                        <w:rFonts w:ascii="Arial"/>
                        <w:sz w:val="21"/>
                      </w:rPr>
                    </w:pPr>
                  </w:p>
                  <w:p w14:paraId="62C4A22A">
                    <w:pPr>
                      <w:spacing w:line="328" w:lineRule="auto"/>
                      <w:rPr>
                        <w:rFonts w:ascii="Arial"/>
                        <w:sz w:val="21"/>
                      </w:rPr>
                    </w:pPr>
                  </w:p>
                  <w:p w14:paraId="4D6873EF">
                    <w:pPr>
                      <w:spacing w:line="70" w:lineRule="exact"/>
                      <w:ind w:firstLine="189"/>
                    </w:pPr>
                    <w:r>
                      <w:rPr>
                        <w:position w:val="-1"/>
                      </w:rPr>
                      <w:drawing>
                        <wp:inline distT="0" distB="0" distL="0" distR="0">
                          <wp:extent cx="41275" cy="43815"/>
                          <wp:effectExtent l="0" t="0" r="0" b="0"/>
                          <wp:docPr id="690" name="IM 690"/>
                          <wp:cNvGraphicFramePr/>
                          <a:graphic xmlns:a="http://schemas.openxmlformats.org/drawingml/2006/main">
                            <a:graphicData uri="http://schemas.openxmlformats.org/drawingml/2006/picture">
                              <pic:pic xmlns:pic="http://schemas.openxmlformats.org/drawingml/2006/picture">
                                <pic:nvPicPr>
                                  <pic:cNvPr id="690" name="IM 690"/>
                                  <pic:cNvPicPr/>
                                </pic:nvPicPr>
                                <pic:blipFill>
                                  <a:blip r:embed="rId650"/>
                                  <a:stretch>
                                    <a:fillRect/>
                                  </a:stretch>
                                </pic:blipFill>
                                <pic:spPr>
                                  <a:xfrm>
                                    <a:off x="0" y="0"/>
                                    <a:ext cx="41296" cy="44432"/>
                                  </a:xfrm>
                                  <a:prstGeom prst="rect">
                                    <a:avLst/>
                                  </a:prstGeom>
                                </pic:spPr>
                              </pic:pic>
                            </a:graphicData>
                          </a:graphic>
                        </wp:inline>
                      </w:drawing>
                    </w:r>
                  </w:p>
                  <w:p w14:paraId="39D6BAEB">
                    <w:pPr>
                      <w:spacing w:line="316" w:lineRule="auto"/>
                      <w:rPr>
                        <w:rFonts w:ascii="Arial"/>
                        <w:sz w:val="21"/>
                      </w:rPr>
                    </w:pPr>
                  </w:p>
                  <w:p w14:paraId="2BFF9BF2">
                    <w:pPr>
                      <w:spacing w:line="316" w:lineRule="auto"/>
                      <w:rPr>
                        <w:rFonts w:ascii="Arial"/>
                        <w:sz w:val="21"/>
                      </w:rPr>
                    </w:pPr>
                  </w:p>
                  <w:p w14:paraId="73E955C6">
                    <w:pPr>
                      <w:spacing w:line="317" w:lineRule="auto"/>
                      <w:rPr>
                        <w:rFonts w:ascii="Arial"/>
                        <w:sz w:val="21"/>
                      </w:rPr>
                    </w:pPr>
                  </w:p>
                  <w:p w14:paraId="03CDA25C">
                    <w:pPr>
                      <w:spacing w:line="330" w:lineRule="exact"/>
                      <w:ind w:firstLine="2859"/>
                    </w:pPr>
                    <w:r>
                      <w:rPr>
                        <w:position w:val="-6"/>
                      </w:rPr>
                      <w:drawing>
                        <wp:inline distT="0" distB="0" distL="0" distR="0">
                          <wp:extent cx="666750" cy="209550"/>
                          <wp:effectExtent l="0" t="0" r="0" b="0"/>
                          <wp:docPr id="692" name="IM 692"/>
                          <wp:cNvGraphicFramePr/>
                          <a:graphic xmlns:a="http://schemas.openxmlformats.org/drawingml/2006/main">
                            <a:graphicData uri="http://schemas.openxmlformats.org/drawingml/2006/picture">
                              <pic:pic xmlns:pic="http://schemas.openxmlformats.org/drawingml/2006/picture">
                                <pic:nvPicPr>
                                  <pic:cNvPr id="692" name="IM 692"/>
                                  <pic:cNvPicPr/>
                                </pic:nvPicPr>
                                <pic:blipFill>
                                  <a:blip r:embed="rId651"/>
                                  <a:stretch>
                                    <a:fillRect/>
                                  </a:stretch>
                                </pic:blipFill>
                                <pic:spPr>
                                  <a:xfrm>
                                    <a:off x="0" y="0"/>
                                    <a:ext cx="666785" cy="209556"/>
                                  </a:xfrm>
                                  <a:prstGeom prst="rect">
                                    <a:avLst/>
                                  </a:prstGeom>
                                </pic:spPr>
                              </pic:pic>
                            </a:graphicData>
                          </a:graphic>
                        </wp:inline>
                      </w:drawing>
                    </w:r>
                  </w:p>
                  <w:p w14:paraId="12AA8CC6">
                    <w:pPr>
                      <w:spacing w:before="139" w:line="121" w:lineRule="exact"/>
                      <w:ind w:firstLine="4699"/>
                    </w:pPr>
                    <w:r>
                      <w:rPr>
                        <w:position w:val="-2"/>
                      </w:rPr>
                      <w:drawing>
                        <wp:inline distT="0" distB="0" distL="0" distR="0">
                          <wp:extent cx="88900" cy="76200"/>
                          <wp:effectExtent l="0" t="0" r="0" b="0"/>
                          <wp:docPr id="694" name="IM 694"/>
                          <wp:cNvGraphicFramePr/>
                          <a:graphic xmlns:a="http://schemas.openxmlformats.org/drawingml/2006/main">
                            <a:graphicData uri="http://schemas.openxmlformats.org/drawingml/2006/picture">
                              <pic:pic xmlns:pic="http://schemas.openxmlformats.org/drawingml/2006/picture">
                                <pic:nvPicPr>
                                  <pic:cNvPr id="694" name="IM 694"/>
                                  <pic:cNvPicPr/>
                                </pic:nvPicPr>
                                <pic:blipFill>
                                  <a:blip r:embed="rId652"/>
                                  <a:stretch>
                                    <a:fillRect/>
                                  </a:stretch>
                                </pic:blipFill>
                                <pic:spPr>
                                  <a:xfrm>
                                    <a:off x="0" y="0"/>
                                    <a:ext cx="88939" cy="76259"/>
                                  </a:xfrm>
                                  <a:prstGeom prst="rect">
                                    <a:avLst/>
                                  </a:prstGeom>
                                </pic:spPr>
                              </pic:pic>
                            </a:graphicData>
                          </a:graphic>
                        </wp:inline>
                      </w:drawing>
                    </w:r>
                  </w:p>
                  <w:p w14:paraId="4752D437">
                    <w:pPr>
                      <w:spacing w:before="34" w:line="241" w:lineRule="auto"/>
                      <w:ind w:left="20"/>
                      <w:rPr>
                        <w:rFonts w:ascii="宋体" w:hAnsi="宋体" w:eastAsia="宋体" w:cs="宋体"/>
                        <w:sz w:val="18"/>
                        <w:szCs w:val="18"/>
                      </w:rPr>
                    </w:pPr>
                    <w:r>
                      <w:rPr>
                        <w:rFonts w:ascii="宋体" w:hAnsi="宋体" w:eastAsia="宋体" w:cs="宋体"/>
                        <w:spacing w:val="-6"/>
                        <w:sz w:val="18"/>
                        <w:szCs w:val="18"/>
                      </w:rPr>
                      <w:t>12</w:t>
                    </w:r>
                  </w:p>
                  <w:p w14:paraId="22718970">
                    <w:pPr>
                      <w:spacing w:line="119" w:lineRule="exact"/>
                      <w:ind w:firstLine="5679"/>
                    </w:pPr>
                    <w:r>
                      <w:rPr>
                        <w:position w:val="-2"/>
                      </w:rPr>
                      <w:drawing>
                        <wp:inline distT="0" distB="0" distL="0" distR="0">
                          <wp:extent cx="88265" cy="75565"/>
                          <wp:effectExtent l="0" t="0" r="0" b="0"/>
                          <wp:docPr id="696" name="IM 696"/>
                          <wp:cNvGraphicFramePr/>
                          <a:graphic xmlns:a="http://schemas.openxmlformats.org/drawingml/2006/main">
                            <a:graphicData uri="http://schemas.openxmlformats.org/drawingml/2006/picture">
                              <pic:pic xmlns:pic="http://schemas.openxmlformats.org/drawingml/2006/picture">
                                <pic:nvPicPr>
                                  <pic:cNvPr id="696" name="IM 696"/>
                                  <pic:cNvPicPr/>
                                </pic:nvPicPr>
                                <pic:blipFill>
                                  <a:blip r:embed="rId653"/>
                                  <a:stretch>
                                    <a:fillRect/>
                                  </a:stretch>
                                </pic:blipFill>
                                <pic:spPr>
                                  <a:xfrm>
                                    <a:off x="0" y="0"/>
                                    <a:ext cx="88864" cy="76152"/>
                                  </a:xfrm>
                                  <a:prstGeom prst="rect">
                                    <a:avLst/>
                                  </a:prstGeom>
                                </pic:spPr>
                              </pic:pic>
                            </a:graphicData>
                          </a:graphic>
                        </wp:inline>
                      </w:drawing>
                    </w:r>
                  </w:p>
                  <w:p w14:paraId="5B49F87E">
                    <w:pPr>
                      <w:spacing w:before="113" w:line="157" w:lineRule="auto"/>
                      <w:ind w:left="6159"/>
                      <w:rPr>
                        <w:rFonts w:ascii="Arial" w:hAnsi="Arial" w:eastAsia="Arial" w:cs="Arial"/>
                        <w:sz w:val="18"/>
                        <w:szCs w:val="18"/>
                      </w:rPr>
                    </w:pPr>
                    <w:r>
                      <w:rPr>
                        <w:rFonts w:ascii="Arial" w:hAnsi="Arial" w:eastAsia="Arial" w:cs="Arial"/>
                        <w:sz w:val="18"/>
                        <w:szCs w:val="18"/>
                      </w:rPr>
                      <w:t>m</w:t>
                    </w:r>
                  </w:p>
                  <w:p w14:paraId="7728C619">
                    <w:pPr>
                      <w:spacing w:line="435" w:lineRule="auto"/>
                      <w:rPr>
                        <w:rFonts w:ascii="Arial"/>
                        <w:sz w:val="21"/>
                      </w:rPr>
                    </w:pPr>
                  </w:p>
                  <w:p w14:paraId="2206AC21">
                    <w:pPr>
                      <w:spacing w:before="59"/>
                      <w:ind w:left="69"/>
                      <w:rPr>
                        <w:rFonts w:ascii="宋体" w:hAnsi="宋体" w:eastAsia="宋体" w:cs="宋体"/>
                        <w:sz w:val="18"/>
                        <w:szCs w:val="18"/>
                      </w:rPr>
                    </w:pPr>
                    <w:r>
                      <w:rPr>
                        <w:rFonts w:ascii="宋体" w:hAnsi="宋体" w:eastAsia="宋体" w:cs="宋体"/>
                        <w:sz w:val="18"/>
                        <w:szCs w:val="18"/>
                      </w:rPr>
                      <w:t>8</w:t>
                    </w:r>
                  </w:p>
                  <w:p w14:paraId="4802829D">
                    <w:pPr>
                      <w:spacing w:line="453" w:lineRule="auto"/>
                      <w:rPr>
                        <w:rFonts w:ascii="Arial"/>
                        <w:sz w:val="21"/>
                      </w:rPr>
                    </w:pPr>
                  </w:p>
                  <w:p w14:paraId="7DA99592">
                    <w:pPr>
                      <w:spacing w:before="1" w:line="72" w:lineRule="exact"/>
                      <w:ind w:firstLine="4744"/>
                    </w:pPr>
                    <w:r>
                      <w:rPr>
                        <w:position w:val="-1"/>
                      </w:rPr>
                      <w:drawing>
                        <wp:inline distT="0" distB="0" distL="0" distR="0">
                          <wp:extent cx="53975" cy="45720"/>
                          <wp:effectExtent l="0" t="0" r="0" b="0"/>
                          <wp:docPr id="698" name="IM 698"/>
                          <wp:cNvGraphicFramePr/>
                          <a:graphic xmlns:a="http://schemas.openxmlformats.org/drawingml/2006/main">
                            <a:graphicData uri="http://schemas.openxmlformats.org/drawingml/2006/picture">
                              <pic:pic xmlns:pic="http://schemas.openxmlformats.org/drawingml/2006/picture">
                                <pic:nvPicPr>
                                  <pic:cNvPr id="698" name="IM 698"/>
                                  <pic:cNvPicPr/>
                                </pic:nvPicPr>
                                <pic:blipFill>
                                  <a:blip r:embed="rId654"/>
                                  <a:stretch>
                                    <a:fillRect/>
                                  </a:stretch>
                                </pic:blipFill>
                                <pic:spPr>
                                  <a:xfrm>
                                    <a:off x="0" y="0"/>
                                    <a:ext cx="53990" cy="45833"/>
                                  </a:xfrm>
                                  <a:prstGeom prst="rect">
                                    <a:avLst/>
                                  </a:prstGeom>
                                </pic:spPr>
                              </pic:pic>
                            </a:graphicData>
                          </a:graphic>
                        </wp:inline>
                      </w:drawing>
                    </w:r>
                  </w:p>
                  <w:p w14:paraId="6970D06F">
                    <w:pPr>
                      <w:spacing w:line="233" w:lineRule="auto"/>
                      <w:ind w:left="5219"/>
                      <w:rPr>
                        <w:rFonts w:ascii="宋体" w:hAnsi="宋体" w:eastAsia="宋体" w:cs="宋体"/>
                        <w:sz w:val="18"/>
                        <w:szCs w:val="18"/>
                      </w:rPr>
                    </w:pPr>
                    <w:r>
                      <w:rPr>
                        <w:rFonts w:ascii="宋体" w:hAnsi="宋体" w:eastAsia="宋体" w:cs="宋体"/>
                        <w:sz w:val="18"/>
                        <w:szCs w:val="18"/>
                      </w:rPr>
                      <w:t>◎</w:t>
                    </w:r>
                  </w:p>
                  <w:p w14:paraId="3D7CD34E">
                    <w:pPr>
                      <w:spacing w:before="81" w:line="241" w:lineRule="auto"/>
                      <w:ind w:left="59"/>
                      <w:rPr>
                        <w:rFonts w:ascii="宋体" w:hAnsi="宋体" w:eastAsia="宋体" w:cs="宋体"/>
                        <w:sz w:val="18"/>
                        <w:szCs w:val="18"/>
                      </w:rPr>
                    </w:pPr>
                    <w:r>
                      <w:rPr>
                        <w:rFonts w:ascii="宋体" w:hAnsi="宋体" w:eastAsia="宋体" w:cs="宋体"/>
                        <w:sz w:val="18"/>
                        <w:szCs w:val="18"/>
                      </w:rPr>
                      <w:t>4</w:t>
                    </w:r>
                  </w:p>
                  <w:p w14:paraId="47515FB6">
                    <w:pPr>
                      <w:spacing w:before="140" w:line="653" w:lineRule="exact"/>
                      <w:ind w:left="1009"/>
                      <w:rPr>
                        <w:sz w:val="60"/>
                        <w:szCs w:val="60"/>
                      </w:rPr>
                    </w:pPr>
                    <w:bookmarkStart w:id="625" w:name="bookmark536"/>
                    <w:bookmarkEnd w:id="625"/>
                    <w:r>
                      <w:fldChar w:fldCharType="begin"/>
                    </w:r>
                    <w:r>
                      <w:instrText xml:space="preserve">EQ \* jc3 \* hps18 \o\al(\s\up 19(</w:instrText>
                    </w:r>
                    <w:r>
                      <w:rPr>
                        <w:rFonts w:ascii="宋体" w:hAnsi="宋体" w:eastAsia="宋体" w:cs="宋体"/>
                        <w:w w:val="91"/>
                        <w:position w:val="7"/>
                        <w:sz w:val="18"/>
                        <w:szCs w:val="18"/>
                      </w:rPr>
                      <w:instrText xml:space="preserve">◆</w:instrText>
                    </w:r>
                    <w:r>
                      <w:instrText xml:space="preserve">),</w:instrText>
                    </w:r>
                    <w:r>
                      <w:rPr>
                        <w:rFonts w:ascii="宋体" w:hAnsi="宋体" w:eastAsia="宋体" w:cs="宋体"/>
                        <w:w w:val="92"/>
                        <w:position w:val="4"/>
                        <w:sz w:val="60"/>
                        <w:szCs w:val="60"/>
                      </w:rPr>
                      <w:instrText xml:space="preserve">x</w:instrText>
                    </w:r>
                    <w:r>
                      <w:instrText xml:space="preserve">)</w:instrText>
                    </w:r>
                    <w:r>
                      <w:fldChar w:fldCharType="end"/>
                    </w:r>
                    <w:r>
                      <w:rPr>
                        <w:rFonts w:ascii="宋体" w:hAnsi="宋体" w:eastAsia="宋体" w:cs="宋体"/>
                        <w:spacing w:val="-79"/>
                        <w:position w:val="44"/>
                        <w:sz w:val="60"/>
                        <w:szCs w:val="60"/>
                      </w:rPr>
                      <w:t xml:space="preserve"> </w:t>
                    </w:r>
                    <w:r>
                      <w:rPr>
                        <w:position w:val="44"/>
                        <w:sz w:val="60"/>
                        <w:szCs w:val="60"/>
                      </w:rPr>
                      <w:drawing>
                        <wp:inline distT="0" distB="0" distL="0" distR="0">
                          <wp:extent cx="69215" cy="76200"/>
                          <wp:effectExtent l="0" t="0" r="0" b="0"/>
                          <wp:docPr id="700" name="IM 700"/>
                          <wp:cNvGraphicFramePr/>
                          <a:graphic xmlns:a="http://schemas.openxmlformats.org/drawingml/2006/main">
                            <a:graphicData uri="http://schemas.openxmlformats.org/drawingml/2006/picture">
                              <pic:pic xmlns:pic="http://schemas.openxmlformats.org/drawingml/2006/picture">
                                <pic:nvPicPr>
                                  <pic:cNvPr id="700" name="IM 700"/>
                                  <pic:cNvPicPr/>
                                </pic:nvPicPr>
                                <pic:blipFill>
                                  <a:blip r:embed="rId655"/>
                                  <a:stretch>
                                    <a:fillRect/>
                                  </a:stretch>
                                </pic:blipFill>
                                <pic:spPr>
                                  <a:xfrm>
                                    <a:off x="0" y="0"/>
                                    <a:ext cx="69822" cy="76259"/>
                                  </a:xfrm>
                                  <a:prstGeom prst="rect">
                                    <a:avLst/>
                                  </a:prstGeom>
                                </pic:spPr>
                              </pic:pic>
                            </a:graphicData>
                          </a:graphic>
                        </wp:inline>
                      </w:drawing>
                    </w:r>
                  </w:p>
                  <w:p w14:paraId="12974E44">
                    <w:pPr>
                      <w:spacing w:before="32"/>
                      <w:ind w:left="59"/>
                      <w:rPr>
                        <w:rFonts w:ascii="宋体" w:hAnsi="宋体" w:eastAsia="宋体" w:cs="宋体"/>
                        <w:sz w:val="18"/>
                        <w:szCs w:val="18"/>
                      </w:rPr>
                    </w:pPr>
                    <w:r>
                      <w:rPr>
                        <w:rFonts w:ascii="宋体" w:hAnsi="宋体" w:eastAsia="宋体" w:cs="宋体"/>
                        <w:sz w:val="18"/>
                        <w:szCs w:val="18"/>
                      </w:rPr>
                      <w:t>0</w:t>
                    </w:r>
                  </w:p>
                  <w:p w14:paraId="475C2C25">
                    <w:pPr>
                      <w:spacing w:line="248" w:lineRule="auto"/>
                      <w:rPr>
                        <w:rFonts w:ascii="Arial"/>
                        <w:sz w:val="21"/>
                      </w:rPr>
                    </w:pPr>
                  </w:p>
                  <w:p w14:paraId="4F9CF391">
                    <w:pPr>
                      <w:spacing w:before="59" w:line="219" w:lineRule="auto"/>
                      <w:ind w:left="3939"/>
                      <w:rPr>
                        <w:rFonts w:ascii="宋体" w:hAnsi="宋体" w:eastAsia="宋体" w:cs="宋体"/>
                        <w:sz w:val="18"/>
                        <w:szCs w:val="18"/>
                      </w:rPr>
                    </w:pPr>
                    <w:r>
                      <w:rPr>
                        <w:rFonts w:ascii="宋体" w:hAnsi="宋体" w:eastAsia="宋体" w:cs="宋体"/>
                        <w:spacing w:val="-2"/>
                        <w:sz w:val="18"/>
                        <w:szCs w:val="18"/>
                      </w:rPr>
                      <w:t>年份</w:t>
                    </w:r>
                  </w:p>
                </w:txbxContent>
              </v:textbox>
            </v:shape>
            <v:shape id="_x0000_s1179" o:spid="_x0000_s1179" o:spt="75" type="#_x0000_t75" style="position:absolute;left:6680;top:5289;height:520;width:920;" filled="f" stroked="f" coordsize="21600,21600">
              <v:path/>
              <v:fill on="f" focussize="0,0"/>
              <v:stroke on="f"/>
              <v:imagedata r:id="rId645" o:title=""/>
              <o:lock v:ext="edit" aspectratio="t"/>
            </v:shape>
            <v:shape id="_x0000_s1180" o:spid="_x0000_s1180" o:spt="202" type="#_x0000_t202" style="position:absolute;left:3559;top:5259;height:400;width:592;" filled="f" stroked="f" coordsize="21600,21600">
              <v:path/>
              <v:fill on="f" focussize="0,0"/>
              <v:stroke on="f"/>
              <v:imagedata o:title=""/>
              <o:lock v:ext="edit" aspectratio="f"/>
              <v:textbox inset="0mm,0mm,0mm,0mm">
                <w:txbxContent>
                  <w:p w14:paraId="002557A7">
                    <w:pPr>
                      <w:spacing w:before="20"/>
                      <w:ind w:right="2"/>
                      <w:jc w:val="right"/>
                      <w:rPr>
                        <w:rFonts w:ascii="宋体" w:hAnsi="宋体" w:eastAsia="宋体" w:cs="宋体"/>
                        <w:sz w:val="13"/>
                        <w:szCs w:val="13"/>
                      </w:rPr>
                    </w:pPr>
                    <w:r>
                      <w:rPr>
                        <w:rFonts w:ascii="宋体" w:hAnsi="宋体" w:eastAsia="宋体" w:cs="宋体"/>
                        <w:spacing w:val="-4"/>
                        <w:sz w:val="19"/>
                        <w:szCs w:val="19"/>
                      </w:rPr>
                      <w:t>三</w:t>
                    </w:r>
                    <w:r>
                      <w:rPr>
                        <w:rFonts w:ascii="宋体" w:hAnsi="宋体" w:eastAsia="宋体" w:cs="宋体"/>
                        <w:spacing w:val="-68"/>
                        <w:sz w:val="19"/>
                        <w:szCs w:val="19"/>
                      </w:rPr>
                      <w:t xml:space="preserve"> </w:t>
                    </w:r>
                    <w:r>
                      <w:rPr>
                        <w:position w:val="-2"/>
                        <w:sz w:val="19"/>
                        <w:szCs w:val="19"/>
                      </w:rPr>
                      <w:drawing>
                        <wp:inline distT="0" distB="0" distL="0" distR="0">
                          <wp:extent cx="62865" cy="177800"/>
                          <wp:effectExtent l="0" t="0" r="0" b="0"/>
                          <wp:docPr id="702" name="IM 702"/>
                          <wp:cNvGraphicFramePr/>
                          <a:graphic xmlns:a="http://schemas.openxmlformats.org/drawingml/2006/main">
                            <a:graphicData uri="http://schemas.openxmlformats.org/drawingml/2006/picture">
                              <pic:pic xmlns:pic="http://schemas.openxmlformats.org/drawingml/2006/picture">
                                <pic:nvPicPr>
                                  <pic:cNvPr id="702" name="IM 702"/>
                                  <pic:cNvPicPr/>
                                </pic:nvPicPr>
                                <pic:blipFill>
                                  <a:blip r:embed="rId656"/>
                                  <a:stretch>
                                    <a:fillRect/>
                                  </a:stretch>
                                </pic:blipFill>
                                <pic:spPr>
                                  <a:xfrm>
                                    <a:off x="0" y="0"/>
                                    <a:ext cx="63474" cy="177833"/>
                                  </a:xfrm>
                                  <a:prstGeom prst="rect">
                                    <a:avLst/>
                                  </a:prstGeom>
                                </pic:spPr>
                              </pic:pic>
                            </a:graphicData>
                          </a:graphic>
                        </wp:inline>
                      </w:drawing>
                    </w:r>
                    <w:r>
                      <w:rPr>
                        <w:position w:val="-5"/>
                        <w:sz w:val="19"/>
                        <w:szCs w:val="19"/>
                      </w:rPr>
                      <w:drawing>
                        <wp:inline distT="0" distB="0" distL="0" distR="0">
                          <wp:extent cx="82550" cy="227965"/>
                          <wp:effectExtent l="0" t="0" r="0" b="0"/>
                          <wp:docPr id="704" name="IM 704"/>
                          <wp:cNvGraphicFramePr/>
                          <a:graphic xmlns:a="http://schemas.openxmlformats.org/drawingml/2006/main">
                            <a:graphicData uri="http://schemas.openxmlformats.org/drawingml/2006/picture">
                              <pic:pic xmlns:pic="http://schemas.openxmlformats.org/drawingml/2006/picture">
                                <pic:nvPicPr>
                                  <pic:cNvPr id="704" name="IM 704"/>
                                  <pic:cNvPicPr/>
                                </pic:nvPicPr>
                                <pic:blipFill>
                                  <a:blip r:embed="rId657"/>
                                  <a:stretch>
                                    <a:fillRect/>
                                  </a:stretch>
                                </pic:blipFill>
                                <pic:spPr>
                                  <a:xfrm>
                                    <a:off x="0" y="0"/>
                                    <a:ext cx="82592" cy="228567"/>
                                  </a:xfrm>
                                  <a:prstGeom prst="rect">
                                    <a:avLst/>
                                  </a:prstGeom>
                                </pic:spPr>
                              </pic:pic>
                            </a:graphicData>
                          </a:graphic>
                        </wp:inline>
                      </w:drawing>
                    </w:r>
                    <w:r>
                      <w:rPr>
                        <w:rFonts w:ascii="宋体" w:hAnsi="宋体" w:eastAsia="宋体" w:cs="宋体"/>
                        <w:spacing w:val="-4"/>
                        <w:position w:val="-1"/>
                        <w:sz w:val="13"/>
                        <w:szCs w:val="13"/>
                      </w:rPr>
                      <w:t>二</w:t>
                    </w:r>
                  </w:p>
                </w:txbxContent>
              </v:textbox>
            </v:shape>
            <v:shape id="_x0000_s1181" o:spid="_x0000_s1181" o:spt="202" type="#_x0000_t202" style="position:absolute;left:4990;top:5417;height:267;width:700;" filled="f" stroked="f" coordsize="21600,21600">
              <v:path/>
              <v:fill on="f" focussize="0,0"/>
              <v:stroke on="f"/>
              <v:imagedata o:title=""/>
              <o:lock v:ext="edit" aspectratio="f"/>
              <v:textbox inset="0mm,0mm,0mm,0mm">
                <w:txbxContent>
                  <w:p w14:paraId="4483606C">
                    <w:pPr>
                      <w:spacing w:before="20" w:line="272" w:lineRule="exact"/>
                      <w:ind w:left="20"/>
                      <w:rPr>
                        <w:rFonts w:ascii="黑体" w:hAnsi="黑体" w:eastAsia="黑体" w:cs="黑体"/>
                        <w:sz w:val="18"/>
                        <w:szCs w:val="18"/>
                      </w:rPr>
                    </w:pPr>
                    <w:r>
                      <w:rPr>
                        <w:rFonts w:ascii="黑体" w:hAnsi="黑体" w:eastAsia="黑体" w:cs="黑体"/>
                        <w:spacing w:val="-6"/>
                        <w:position w:val="3"/>
                        <w:sz w:val="18"/>
                        <w:szCs w:val="18"/>
                      </w:rPr>
                      <w:t>二</w:t>
                    </w:r>
                    <w:r>
                      <w:rPr>
                        <w:rFonts w:ascii="黑体" w:hAnsi="黑体" w:eastAsia="黑体" w:cs="黑体"/>
                        <w:spacing w:val="-27"/>
                        <w:position w:val="3"/>
                        <w:sz w:val="18"/>
                        <w:szCs w:val="18"/>
                      </w:rPr>
                      <w:t xml:space="preserve"> </w:t>
                    </w:r>
                    <w:r>
                      <w:rPr>
                        <w:rFonts w:ascii="黑体" w:hAnsi="黑体" w:eastAsia="黑体" w:cs="黑体"/>
                        <w:spacing w:val="-6"/>
                        <w:position w:val="3"/>
                        <w:sz w:val="18"/>
                        <w:szCs w:val="18"/>
                      </w:rPr>
                      <w:t xml:space="preserve">要 </w:t>
                    </w:r>
                    <w:r>
                      <w:rPr>
                        <w:rFonts w:ascii="黑体" w:hAnsi="黑体" w:eastAsia="黑体" w:cs="黑体"/>
                        <w:spacing w:val="-6"/>
                        <w:sz w:val="18"/>
                        <w:szCs w:val="18"/>
                      </w:rPr>
                      <w:t>三</w:t>
                    </w:r>
                  </w:p>
                </w:txbxContent>
              </v:textbox>
            </v:shape>
            <v:shape id="_x0000_s1182" o:spid="_x0000_s1182" o:spt="75" type="#_x0000_t75" style="position:absolute;left:650;top:4979;height:530;width:180;" filled="f" stroked="f" coordsize="21600,21600">
              <v:path/>
              <v:fill on="f" focussize="0,0"/>
              <v:stroke on="f"/>
              <v:imagedata r:id="rId646" o:title=""/>
              <o:lock v:ext="edit" aspectratio="t"/>
            </v:shape>
            <v:shape id="_x0000_s1183" o:spid="_x0000_s1183" o:spt="202" type="#_x0000_t202" style="position:absolute;left:7830;top:5469;height:222;width:442;" filled="f" stroked="f" coordsize="21600,21600">
              <v:path/>
              <v:fill on="f" focussize="0,0"/>
              <v:stroke on="f"/>
              <v:imagedata o:title=""/>
              <o:lock v:ext="edit" aspectratio="f"/>
              <v:textbox inset="0mm,0mm,0mm,0mm">
                <w:txbxContent>
                  <w:p w14:paraId="60EE1F01">
                    <w:pPr>
                      <w:spacing w:before="20" w:line="235" w:lineRule="auto"/>
                      <w:ind w:left="20"/>
                      <w:rPr>
                        <w:rFonts w:ascii="黑体" w:hAnsi="黑体" w:eastAsia="黑体" w:cs="黑体"/>
                        <w:sz w:val="18"/>
                        <w:szCs w:val="18"/>
                      </w:rPr>
                    </w:pPr>
                    <w:r>
                      <w:rPr>
                        <w:rFonts w:ascii="黑体" w:hAnsi="黑体" w:eastAsia="黑体" w:cs="黑体"/>
                        <w:spacing w:val="25"/>
                        <w:sz w:val="18"/>
                        <w:szCs w:val="18"/>
                      </w:rPr>
                      <w:t>三三</w:t>
                    </w:r>
                  </w:p>
                </w:txbxContent>
              </v:textbox>
            </v:shape>
            <v:shape id="_x0000_s1184" o:spid="_x0000_s1184" o:spt="202" type="#_x0000_t202" style="position:absolute;left:6040;top:5459;height:230;width:380;" filled="f" stroked="f" coordsize="21600,21600">
              <v:path/>
              <v:fill on="f" focussize="0,0"/>
              <v:stroke on="f"/>
              <v:imagedata o:title=""/>
              <o:lock v:ext="edit" aspectratio="f"/>
              <v:textbox inset="0mm,0mm,0mm,0mm">
                <w:txbxContent>
                  <w:p w14:paraId="19A7D6D1">
                    <w:pPr>
                      <w:spacing w:before="20" w:line="221" w:lineRule="auto"/>
                      <w:jc w:val="right"/>
                      <w:rPr>
                        <w:rFonts w:ascii="宋体" w:hAnsi="宋体" w:eastAsia="宋体" w:cs="宋体"/>
                        <w:sz w:val="19"/>
                        <w:szCs w:val="19"/>
                      </w:rPr>
                    </w:pPr>
                    <w:r>
                      <w:rPr>
                        <w:rFonts w:ascii="黑体" w:hAnsi="黑体" w:eastAsia="黑体" w:cs="黑体"/>
                        <w:spacing w:val="-5"/>
                        <w:sz w:val="18"/>
                        <w:szCs w:val="18"/>
                      </w:rPr>
                      <w:t>二</w:t>
                    </w:r>
                    <w:r>
                      <w:rPr>
                        <w:rFonts w:ascii="宋体" w:hAnsi="宋体" w:eastAsia="宋体" w:cs="宋体"/>
                        <w:spacing w:val="-5"/>
                        <w:sz w:val="19"/>
                        <w:szCs w:val="19"/>
                      </w:rPr>
                      <w:t>文</w:t>
                    </w:r>
                  </w:p>
                </w:txbxContent>
              </v:textbox>
            </v:shape>
            <v:shape id="_x0000_s1185" o:spid="_x0000_s1185" o:spt="202" type="#_x0000_t202" style="position:absolute;left:4814;top:5283;height:372;width:160;" filled="f" stroked="f" coordsize="21600,21600">
              <v:path/>
              <v:fill on="f" focussize="0,0"/>
              <v:stroke on="f"/>
              <v:imagedata o:title=""/>
              <o:lock v:ext="edit" aspectratio="f"/>
              <v:textbox inset="0mm,0mm,0mm,0mm" style="layout-flow:vertical-ideographic;">
                <w:txbxContent>
                  <w:p w14:paraId="5895CF78">
                    <w:pPr>
                      <w:spacing w:before="20" w:line="205" w:lineRule="auto"/>
                      <w:ind w:left="20"/>
                      <w:rPr>
                        <w:rFonts w:ascii="宋体" w:hAnsi="宋体" w:eastAsia="宋体" w:cs="宋体"/>
                        <w:sz w:val="13"/>
                        <w:szCs w:val="13"/>
                      </w:rPr>
                    </w:pPr>
                    <w:r>
                      <w:rPr>
                        <w:rFonts w:ascii="宋体" w:hAnsi="宋体" w:eastAsia="宋体" w:cs="宋体"/>
                        <w:sz w:val="13"/>
                        <w:szCs w:val="13"/>
                      </w:rPr>
                      <w:t>念</w:t>
                    </w:r>
                    <w:r>
                      <w:rPr>
                        <w:rFonts w:ascii="宋体" w:hAnsi="宋体" w:eastAsia="宋体" w:cs="宋体"/>
                        <w:spacing w:val="6"/>
                        <w:sz w:val="13"/>
                        <w:szCs w:val="13"/>
                      </w:rPr>
                      <w:t xml:space="preserve"> </w:t>
                    </w:r>
                    <w:r>
                      <w:rPr>
                        <w:rFonts w:ascii="宋体" w:hAnsi="宋体" w:eastAsia="宋体" w:cs="宋体"/>
                        <w:sz w:val="13"/>
                        <w:szCs w:val="13"/>
                      </w:rPr>
                      <w:t>叉</w:t>
                    </w:r>
                  </w:p>
                </w:txbxContent>
              </v:textbox>
            </v:shape>
            <v:shape id="_x0000_s1186" o:spid="_x0000_s1186" o:spt="202" type="#_x0000_t202" style="position:absolute;left:5762;top:5460;height:222;width:207;" filled="f" stroked="f" coordsize="21600,21600">
              <v:path/>
              <v:fill on="f" focussize="0,0"/>
              <v:stroke on="f"/>
              <v:imagedata o:title=""/>
              <o:lock v:ext="edit" aspectratio="f"/>
              <v:textbox inset="0mm,0mm,0mm,0mm">
                <w:txbxContent>
                  <w:p w14:paraId="4D0B0466">
                    <w:pPr>
                      <w:spacing w:before="19" w:line="226" w:lineRule="auto"/>
                      <w:ind w:left="20"/>
                      <w:rPr>
                        <w:rFonts w:ascii="黑体" w:hAnsi="黑体" w:eastAsia="黑体" w:cs="黑体"/>
                        <w:sz w:val="18"/>
                        <w:szCs w:val="18"/>
                      </w:rPr>
                    </w:pPr>
                    <w:r>
                      <w:rPr>
                        <w:rFonts w:ascii="黑体" w:hAnsi="黑体" w:eastAsia="黑体" w:cs="黑体"/>
                        <w:sz w:val="18"/>
                        <w:szCs w:val="18"/>
                      </w:rPr>
                      <w:t>支</w:t>
                    </w:r>
                  </w:p>
                </w:txbxContent>
              </v:textbox>
            </v:shape>
            <v:shape id="_x0000_s1187" o:spid="_x0000_s1187" o:spt="75" type="#_x0000_t75" style="position:absolute;left:6259;top:4619;height:151;width:171;" filled="f" stroked="f" coordsize="21600,21600">
              <v:path/>
              <v:fill on="f" focussize="0,0"/>
              <v:stroke on="f"/>
              <v:imagedata r:id="rId647" o:title=""/>
              <o:lock v:ext="edit" aspectratio="t"/>
            </v:shape>
            <v:shape id="_x0000_s1188" o:spid="_x0000_s1188" o:spt="75" type="#_x0000_t75" style="position:absolute;left:5780;top:4529;height:151;width:170;" filled="f" stroked="f" coordsize="21600,21600">
              <v:path/>
              <v:fill on="f" focussize="0,0"/>
              <v:stroke on="f"/>
              <v:imagedata r:id="rId648" o:title=""/>
              <o:lock v:ext="edit" aspectratio="t"/>
            </v:shape>
            <v:shape id="_x0000_s1189" o:spid="_x0000_s1189" o:spt="75" type="#_x0000_t75" style="position:absolute;left:7210;top:4839;height:151;width:150;" filled="f" stroked="f" coordsize="21600,21600">
              <v:path/>
              <v:fill on="f" focussize="0,0"/>
              <v:stroke on="f"/>
              <v:imagedata r:id="rId649" o:title=""/>
              <o:lock v:ext="edit" aspectratio="t"/>
            </v:shape>
            <v:shape id="_x0000_s1190" o:spid="_x0000_s1190" o:spt="202" type="#_x0000_t202" style="position:absolute;left:5290;top:2604;height:222;width:156;" filled="f" stroked="f" coordsize="21600,21600">
              <v:path/>
              <v:fill on="f" focussize="0,0"/>
              <v:stroke on="f"/>
              <v:imagedata o:title=""/>
              <o:lock v:ext="edit" aspectratio="f"/>
              <v:textbox inset="0mm,0mm,0mm,0mm">
                <w:txbxContent>
                  <w:p w14:paraId="7101AE16">
                    <w:pPr>
                      <w:spacing w:before="20" w:line="230" w:lineRule="auto"/>
                      <w:jc w:val="right"/>
                      <w:rPr>
                        <w:rFonts w:ascii="黑体" w:hAnsi="黑体" w:eastAsia="黑体" w:cs="黑体"/>
                        <w:sz w:val="18"/>
                        <w:szCs w:val="18"/>
                      </w:rPr>
                    </w:pPr>
                    <w:r>
                      <w:rPr>
                        <w:rFonts w:ascii="黑体" w:hAnsi="黑体" w:eastAsia="黑体" w:cs="黑体"/>
                        <w:spacing w:val="-31"/>
                        <w:w w:val="81"/>
                        <w:sz w:val="18"/>
                        <w:szCs w:val="18"/>
                      </w:rPr>
                      <w:t>回</w:t>
                    </w:r>
                  </w:p>
                </w:txbxContent>
              </v:textbox>
            </v:shape>
            <v:shape id="_x0000_s1191" o:spid="_x0000_s1191" o:spt="202" type="#_x0000_t202" style="position:absolute;left:2010;top:5509;height:158;width:211;" filled="f" stroked="f" coordsize="21600,21600">
              <v:path/>
              <v:fill on="f" focussize="0,0"/>
              <v:stroke on="f"/>
              <v:imagedata o:title=""/>
              <o:lock v:ext="edit" aspectratio="f"/>
              <v:textbox inset="0mm,0mm,0mm,0mm">
                <w:txbxContent>
                  <w:p w14:paraId="60BA67EA">
                    <w:pPr>
                      <w:spacing w:before="19" w:line="177" w:lineRule="auto"/>
                      <w:ind w:left="20"/>
                      <w:rPr>
                        <w:rFonts w:ascii="黑体" w:hAnsi="黑体" w:eastAsia="黑体" w:cs="黑体"/>
                        <w:sz w:val="18"/>
                        <w:szCs w:val="18"/>
                      </w:rPr>
                    </w:pPr>
                    <w:r>
                      <w:rPr>
                        <w:rFonts w:ascii="黑体" w:hAnsi="黑体" w:eastAsia="黑体" w:cs="黑体"/>
                        <w:sz w:val="18"/>
                        <w:szCs w:val="18"/>
                      </w:rPr>
                      <w:t>二</w:t>
                    </w:r>
                  </w:p>
                </w:txbxContent>
              </v:textbox>
            </v:shape>
            <v:shape id="_x0000_s1192" o:spid="_x0000_s1192" o:spt="202" type="#_x0000_t202" style="position:absolute;left:4440;top:5457;height:151;width:216;" filled="f" stroked="f" coordsize="21600,21600">
              <v:path/>
              <v:fill on="f" focussize="0,0"/>
              <v:stroke on="f"/>
              <v:imagedata o:title=""/>
              <o:lock v:ext="edit" aspectratio="f"/>
              <v:textbox inset="0mm,0mm,0mm,0mm">
                <w:txbxContent>
                  <w:p w14:paraId="6F40C8D2">
                    <w:pPr>
                      <w:spacing w:before="20" w:line="169" w:lineRule="auto"/>
                      <w:ind w:left="20"/>
                      <w:rPr>
                        <w:rFonts w:ascii="LiSu" w:hAnsi="LiSu" w:eastAsia="LiSu" w:cs="LiSu"/>
                        <w:sz w:val="18"/>
                        <w:szCs w:val="18"/>
                      </w:rPr>
                    </w:pPr>
                    <w:r>
                      <w:rPr>
                        <w:rFonts w:ascii="LiSu" w:hAnsi="LiSu" w:eastAsia="LiSu" w:cs="LiSu"/>
                        <w:sz w:val="18"/>
                        <w:szCs w:val="18"/>
                      </w:rPr>
                      <w:t>望</w:t>
                    </w:r>
                  </w:p>
                </w:txbxContent>
              </v:textbox>
            </v:shape>
            <v:shape id="_x0000_s1193" o:spid="_x0000_s1193" o:spt="202" type="#_x0000_t202" style="position:absolute;left:6730;top:4714;height:220;width:133;" filled="f" stroked="f" coordsize="21600,21600">
              <v:path/>
              <v:fill on="f" focussize="0,0"/>
              <v:stroke on="f"/>
              <v:imagedata o:title=""/>
              <o:lock v:ext="edit" aspectratio="f"/>
              <v:textbox inset="0mm,0mm,0mm,0mm">
                <w:txbxContent>
                  <w:p w14:paraId="06CAB217">
                    <w:pPr>
                      <w:spacing w:before="19" w:line="237" w:lineRule="auto"/>
                      <w:jc w:val="right"/>
                      <w:rPr>
                        <w:rFonts w:ascii="宋体" w:hAnsi="宋体" w:eastAsia="宋体" w:cs="宋体"/>
                        <w:sz w:val="18"/>
                        <w:szCs w:val="18"/>
                      </w:rPr>
                    </w:pPr>
                    <w:r>
                      <w:rPr>
                        <w:rFonts w:ascii="宋体" w:hAnsi="宋体" w:eastAsia="宋体" w:cs="宋体"/>
                        <w:spacing w:val="-31"/>
                        <w:w w:val="69"/>
                        <w:sz w:val="18"/>
                        <w:szCs w:val="18"/>
                      </w:rPr>
                      <w:t>●</w:t>
                    </w:r>
                  </w:p>
                </w:txbxContent>
              </v:textbox>
            </v:shape>
            <v:shape id="_x0000_s1194" o:spid="_x0000_s1194" o:spt="202" type="#_x0000_t202" style="position:absolute;left:7687;top:5372;height:329;width:93;" filled="f" stroked="f" coordsize="21600,21600">
              <v:path/>
              <v:fill on="f" focussize="0,0"/>
              <v:stroke on="f"/>
              <v:imagedata o:title=""/>
              <o:lock v:ext="edit" aspectratio="f"/>
              <v:textbox inset="0mm,0mm,0mm,0mm" style="layout-flow:vertical-ideographic;">
                <w:txbxContent>
                  <w:p w14:paraId="5CCA8D60">
                    <w:pPr>
                      <w:spacing w:before="19" w:line="197" w:lineRule="auto"/>
                      <w:ind w:left="20"/>
                      <w:rPr>
                        <w:rFonts w:ascii="宋体" w:hAnsi="宋体" w:eastAsia="宋体" w:cs="宋体"/>
                        <w:sz w:val="6"/>
                        <w:szCs w:val="6"/>
                      </w:rPr>
                    </w:pPr>
                    <w:r>
                      <w:rPr>
                        <w:rFonts w:ascii="宋体" w:hAnsi="宋体" w:eastAsia="宋体" w:cs="宋体"/>
                        <w:sz w:val="6"/>
                        <w:szCs w:val="6"/>
                      </w:rPr>
                      <w:t>◆</w:t>
                    </w:r>
                    <w:r>
                      <w:rPr>
                        <w:rFonts w:ascii="宋体" w:hAnsi="宋体" w:eastAsia="宋体" w:cs="宋体"/>
                        <w:spacing w:val="3"/>
                        <w:sz w:val="6"/>
                        <w:szCs w:val="6"/>
                      </w:rPr>
                      <w:t xml:space="preserve">     </w:t>
                    </w:r>
                    <w:r>
                      <w:rPr>
                        <w:rFonts w:ascii="宋体" w:hAnsi="宋体" w:eastAsia="宋体" w:cs="宋体"/>
                        <w:sz w:val="6"/>
                        <w:szCs w:val="6"/>
                      </w:rPr>
                      <w:t>冲</w:t>
                    </w:r>
                  </w:p>
                </w:txbxContent>
              </v:textbox>
            </v:shape>
            <w10:wrap type="none"/>
            <w10:anchorlock/>
          </v:group>
        </w:pict>
      </w:r>
    </w:p>
    <w:p w14:paraId="43A61126">
      <w:pPr>
        <w:spacing w:before="220" w:line="219" w:lineRule="auto"/>
        <w:ind w:left="2589"/>
        <w:rPr>
          <w:rFonts w:ascii="宋体" w:hAnsi="宋体" w:eastAsia="宋体" w:cs="宋体"/>
          <w:sz w:val="18"/>
          <w:szCs w:val="18"/>
        </w:rPr>
      </w:pPr>
      <w:r>
        <w:rPr>
          <w:rFonts w:ascii="宋体" w:hAnsi="宋体" w:eastAsia="宋体" w:cs="宋体"/>
          <w:spacing w:val="17"/>
          <w:sz w:val="18"/>
          <w:szCs w:val="18"/>
        </w:rPr>
        <w:t>图15-32004</w:t>
      </w:r>
      <w:r>
        <w:rPr>
          <w:rFonts w:ascii="宋体" w:hAnsi="宋体" w:eastAsia="宋体" w:cs="宋体"/>
          <w:spacing w:val="-65"/>
          <w:sz w:val="18"/>
          <w:szCs w:val="18"/>
        </w:rPr>
        <w:t xml:space="preserve"> </w:t>
      </w:r>
      <w:r>
        <w:rPr>
          <w:rFonts w:ascii="宋体" w:hAnsi="宋体" w:eastAsia="宋体" w:cs="宋体"/>
          <w:spacing w:val="17"/>
          <w:sz w:val="18"/>
          <w:szCs w:val="18"/>
        </w:rPr>
        <w:t>—</w:t>
      </w:r>
      <w:r>
        <w:rPr>
          <w:rFonts w:ascii="宋体" w:hAnsi="宋体" w:eastAsia="宋体" w:cs="宋体"/>
          <w:spacing w:val="-60"/>
          <w:sz w:val="18"/>
          <w:szCs w:val="18"/>
        </w:rPr>
        <w:t xml:space="preserve"> </w:t>
      </w:r>
      <w:r>
        <w:rPr>
          <w:rFonts w:ascii="宋体" w:hAnsi="宋体" w:eastAsia="宋体" w:cs="宋体"/>
          <w:spacing w:val="17"/>
          <w:sz w:val="18"/>
          <w:szCs w:val="18"/>
        </w:rPr>
        <w:t>2021年我国主要伤害标</w:t>
      </w:r>
      <w:r>
        <w:rPr>
          <w:rFonts w:ascii="宋体" w:hAnsi="宋体" w:eastAsia="宋体" w:cs="宋体"/>
          <w:spacing w:val="16"/>
          <w:sz w:val="18"/>
          <w:szCs w:val="18"/>
        </w:rPr>
        <w:t>准化死亡率变化趋势</w:t>
      </w:r>
    </w:p>
    <w:p w14:paraId="6F8C95C3">
      <w:pPr>
        <w:spacing w:before="100" w:line="214" w:lineRule="auto"/>
        <w:ind w:left="2699"/>
        <w:rPr>
          <w:rFonts w:ascii="宋体" w:hAnsi="宋体" w:eastAsia="宋体" w:cs="宋体"/>
          <w:sz w:val="18"/>
          <w:szCs w:val="18"/>
        </w:rPr>
      </w:pPr>
      <w:r>
        <w:rPr>
          <w:rFonts w:ascii="宋体" w:hAnsi="宋体" w:eastAsia="宋体" w:cs="宋体"/>
          <w:spacing w:val="-4"/>
          <w:sz w:val="18"/>
          <w:szCs w:val="18"/>
        </w:rPr>
        <w:t>AAPC.</w:t>
      </w:r>
      <w:r>
        <w:rPr>
          <w:rFonts w:ascii="宋体" w:hAnsi="宋体" w:eastAsia="宋体" w:cs="宋体"/>
          <w:spacing w:val="-19"/>
          <w:sz w:val="18"/>
          <w:szCs w:val="18"/>
        </w:rPr>
        <w:t xml:space="preserve"> </w:t>
      </w:r>
      <w:r>
        <w:rPr>
          <w:rFonts w:ascii="宋体" w:hAnsi="宋体" w:eastAsia="宋体" w:cs="宋体"/>
          <w:spacing w:val="-4"/>
          <w:sz w:val="18"/>
          <w:szCs w:val="18"/>
        </w:rPr>
        <w:t xml:space="preserve">平均年度变化百分比(average annual percent </w:t>
      </w:r>
      <w:r>
        <w:rPr>
          <w:rFonts w:ascii="宋体" w:hAnsi="宋体" w:eastAsia="宋体" w:cs="宋体"/>
          <w:spacing w:val="-5"/>
          <w:sz w:val="18"/>
          <w:szCs w:val="18"/>
        </w:rPr>
        <w:t>change)。</w:t>
      </w:r>
    </w:p>
    <w:p w14:paraId="05704325">
      <w:pPr>
        <w:spacing w:before="87" w:line="219" w:lineRule="auto"/>
        <w:ind w:left="4450"/>
        <w:rPr>
          <w:rFonts w:ascii="宋体" w:hAnsi="宋体" w:eastAsia="宋体" w:cs="宋体"/>
          <w:sz w:val="18"/>
          <w:szCs w:val="18"/>
        </w:rPr>
      </w:pPr>
      <w:r>
        <w:rPr>
          <w:rFonts w:ascii="宋体" w:hAnsi="宋体" w:eastAsia="宋体" w:cs="宋体"/>
          <w:spacing w:val="3"/>
          <w:sz w:val="18"/>
          <w:szCs w:val="18"/>
        </w:rPr>
        <w:t>(王素贤，2024)</w:t>
      </w:r>
    </w:p>
    <w:p w14:paraId="77A5C838">
      <w:pPr>
        <w:spacing w:line="468" w:lineRule="auto"/>
        <w:rPr>
          <w:rFonts w:ascii="Arial"/>
          <w:sz w:val="21"/>
        </w:rPr>
      </w:pPr>
    </w:p>
    <w:p w14:paraId="3775AD31">
      <w:pPr>
        <w:pStyle w:val="2"/>
        <w:spacing w:before="98" w:line="221" w:lineRule="auto"/>
        <w:ind w:left="3179"/>
        <w:outlineLvl w:val="1"/>
      </w:pPr>
      <w:bookmarkStart w:id="400" w:name="bookmark253"/>
      <w:bookmarkEnd w:id="400"/>
      <w:r>
        <w:rPr>
          <w:spacing w:val="-2"/>
          <w:sz w:val="18"/>
          <w:szCs w:val="18"/>
        </w:rPr>
        <w:t>第</w:t>
      </w:r>
      <w:r>
        <w:rPr>
          <w:spacing w:val="96"/>
          <w:sz w:val="18"/>
          <w:szCs w:val="18"/>
        </w:rPr>
        <w:t xml:space="preserve"> </w:t>
      </w:r>
      <w:r>
        <w:rPr>
          <w:spacing w:val="-2"/>
          <w:sz w:val="18"/>
          <w:szCs w:val="18"/>
        </w:rPr>
        <w:t>三</w:t>
      </w:r>
      <w:r>
        <w:rPr>
          <w:spacing w:val="84"/>
          <w:sz w:val="18"/>
          <w:szCs w:val="18"/>
        </w:rPr>
        <w:t xml:space="preserve"> </w:t>
      </w:r>
      <w:r>
        <w:rPr>
          <w:spacing w:val="-2"/>
          <w:sz w:val="18"/>
          <w:szCs w:val="18"/>
        </w:rPr>
        <w:t xml:space="preserve">节   </w:t>
      </w:r>
      <w:r>
        <w:rPr>
          <w:spacing w:val="-2"/>
        </w:rPr>
        <w:t>伤害的流行病学研究</w:t>
      </w:r>
    </w:p>
    <w:p w14:paraId="7973B166">
      <w:pPr>
        <w:spacing w:line="243" w:lineRule="auto"/>
        <w:rPr>
          <w:rFonts w:ascii="Arial"/>
          <w:sz w:val="21"/>
        </w:rPr>
      </w:pPr>
    </w:p>
    <w:p w14:paraId="554781B7">
      <w:pPr>
        <w:spacing w:line="244" w:lineRule="auto"/>
        <w:rPr>
          <w:rFonts w:ascii="Arial"/>
          <w:sz w:val="21"/>
        </w:rPr>
      </w:pPr>
    </w:p>
    <w:p w14:paraId="107BF166">
      <w:pPr>
        <w:pStyle w:val="2"/>
        <w:spacing w:before="59" w:line="223" w:lineRule="auto"/>
        <w:ind w:left="1160"/>
        <w:outlineLvl w:val="4"/>
        <w:rPr>
          <w:sz w:val="18"/>
          <w:szCs w:val="18"/>
        </w:rPr>
      </w:pPr>
      <w:bookmarkStart w:id="401" w:name="bookmark254"/>
      <w:bookmarkEnd w:id="401"/>
      <w:r>
        <w:rPr>
          <w:spacing w:val="-13"/>
          <w:sz w:val="18"/>
          <w:szCs w:val="18"/>
        </w:rPr>
        <w:t>一</w:t>
      </w:r>
      <w:r>
        <w:rPr>
          <w:spacing w:val="55"/>
          <w:sz w:val="18"/>
          <w:szCs w:val="18"/>
        </w:rPr>
        <w:t xml:space="preserve"> </w:t>
      </w:r>
      <w:r>
        <w:rPr>
          <w:spacing w:val="-13"/>
          <w:sz w:val="18"/>
          <w:szCs w:val="18"/>
        </w:rPr>
        <w:t>、测</w:t>
      </w:r>
      <w:r>
        <w:rPr>
          <w:spacing w:val="13"/>
          <w:sz w:val="18"/>
          <w:szCs w:val="18"/>
        </w:rPr>
        <w:t xml:space="preserve"> </w:t>
      </w:r>
      <w:r>
        <w:rPr>
          <w:spacing w:val="-13"/>
          <w:sz w:val="18"/>
          <w:szCs w:val="18"/>
        </w:rPr>
        <w:t>量</w:t>
      </w:r>
      <w:r>
        <w:rPr>
          <w:spacing w:val="10"/>
          <w:sz w:val="18"/>
          <w:szCs w:val="18"/>
        </w:rPr>
        <w:t xml:space="preserve"> </w:t>
      </w:r>
      <w:r>
        <w:rPr>
          <w:spacing w:val="-13"/>
          <w:sz w:val="18"/>
          <w:szCs w:val="18"/>
        </w:rPr>
        <w:t>指</w:t>
      </w:r>
      <w:r>
        <w:rPr>
          <w:spacing w:val="8"/>
          <w:sz w:val="18"/>
          <w:szCs w:val="18"/>
        </w:rPr>
        <w:t xml:space="preserve"> </w:t>
      </w:r>
      <w:r>
        <w:rPr>
          <w:spacing w:val="-13"/>
          <w:sz w:val="18"/>
          <w:szCs w:val="18"/>
        </w:rPr>
        <w:t>标</w:t>
      </w:r>
    </w:p>
    <w:p w14:paraId="002221F8">
      <w:pPr>
        <w:spacing w:line="250" w:lineRule="auto"/>
        <w:rPr>
          <w:rFonts w:ascii="Arial"/>
          <w:sz w:val="21"/>
        </w:rPr>
      </w:pPr>
    </w:p>
    <w:p w14:paraId="078885FE">
      <w:pPr>
        <w:pStyle w:val="2"/>
        <w:spacing w:before="59" w:line="221" w:lineRule="auto"/>
        <w:ind w:left="1130"/>
        <w:rPr>
          <w:sz w:val="18"/>
          <w:szCs w:val="18"/>
        </w:rPr>
      </w:pPr>
      <w:r>
        <w:rPr>
          <w:spacing w:val="-11"/>
          <w:sz w:val="18"/>
          <w:szCs w:val="18"/>
        </w:rPr>
        <w:t>(</w:t>
      </w:r>
      <w:r>
        <w:rPr>
          <w:spacing w:val="-26"/>
          <w:sz w:val="18"/>
          <w:szCs w:val="18"/>
        </w:rPr>
        <w:t xml:space="preserve"> </w:t>
      </w:r>
      <w:r>
        <w:rPr>
          <w:spacing w:val="-11"/>
          <w:sz w:val="18"/>
          <w:szCs w:val="18"/>
        </w:rPr>
        <w:t>一</w:t>
      </w:r>
      <w:r>
        <w:rPr>
          <w:spacing w:val="-42"/>
          <w:sz w:val="18"/>
          <w:szCs w:val="18"/>
        </w:rPr>
        <w:t xml:space="preserve"> </w:t>
      </w:r>
      <w:r>
        <w:rPr>
          <w:spacing w:val="-11"/>
          <w:sz w:val="18"/>
          <w:szCs w:val="18"/>
        </w:rPr>
        <w:t>)</w:t>
      </w:r>
      <w:r>
        <w:rPr>
          <w:spacing w:val="-40"/>
          <w:sz w:val="18"/>
          <w:szCs w:val="18"/>
        </w:rPr>
        <w:t xml:space="preserve"> </w:t>
      </w:r>
      <w:r>
        <w:rPr>
          <w:spacing w:val="-11"/>
          <w:sz w:val="18"/>
          <w:szCs w:val="18"/>
        </w:rPr>
        <w:t>伤</w:t>
      </w:r>
      <w:r>
        <w:rPr>
          <w:spacing w:val="-30"/>
          <w:sz w:val="18"/>
          <w:szCs w:val="18"/>
        </w:rPr>
        <w:t xml:space="preserve"> </w:t>
      </w:r>
      <w:r>
        <w:rPr>
          <w:spacing w:val="-11"/>
          <w:sz w:val="18"/>
          <w:szCs w:val="18"/>
        </w:rPr>
        <w:t>害</w:t>
      </w:r>
      <w:r>
        <w:rPr>
          <w:spacing w:val="-37"/>
          <w:sz w:val="18"/>
          <w:szCs w:val="18"/>
        </w:rPr>
        <w:t xml:space="preserve"> </w:t>
      </w:r>
      <w:r>
        <w:rPr>
          <w:spacing w:val="-11"/>
          <w:sz w:val="18"/>
          <w:szCs w:val="18"/>
        </w:rPr>
        <w:t>发</w:t>
      </w:r>
      <w:r>
        <w:rPr>
          <w:spacing w:val="-40"/>
          <w:sz w:val="18"/>
          <w:szCs w:val="18"/>
        </w:rPr>
        <w:t xml:space="preserve"> </w:t>
      </w:r>
      <w:r>
        <w:rPr>
          <w:spacing w:val="-11"/>
          <w:sz w:val="18"/>
          <w:szCs w:val="18"/>
        </w:rPr>
        <w:t>生</w:t>
      </w:r>
      <w:r>
        <w:rPr>
          <w:spacing w:val="-40"/>
          <w:sz w:val="18"/>
          <w:szCs w:val="18"/>
        </w:rPr>
        <w:t xml:space="preserve"> </w:t>
      </w:r>
      <w:r>
        <w:rPr>
          <w:spacing w:val="-11"/>
          <w:sz w:val="18"/>
          <w:szCs w:val="18"/>
        </w:rPr>
        <w:t>频</w:t>
      </w:r>
      <w:r>
        <w:rPr>
          <w:spacing w:val="-37"/>
          <w:sz w:val="18"/>
          <w:szCs w:val="18"/>
        </w:rPr>
        <w:t xml:space="preserve"> </w:t>
      </w:r>
      <w:r>
        <w:rPr>
          <w:spacing w:val="-11"/>
          <w:sz w:val="18"/>
          <w:szCs w:val="18"/>
        </w:rPr>
        <w:t>率</w:t>
      </w:r>
      <w:r>
        <w:rPr>
          <w:spacing w:val="-28"/>
          <w:sz w:val="18"/>
          <w:szCs w:val="18"/>
        </w:rPr>
        <w:t xml:space="preserve"> </w:t>
      </w:r>
      <w:r>
        <w:rPr>
          <w:spacing w:val="-11"/>
          <w:sz w:val="18"/>
          <w:szCs w:val="18"/>
        </w:rPr>
        <w:t>的</w:t>
      </w:r>
      <w:r>
        <w:rPr>
          <w:spacing w:val="-40"/>
          <w:sz w:val="18"/>
          <w:szCs w:val="18"/>
        </w:rPr>
        <w:t xml:space="preserve"> </w:t>
      </w:r>
      <w:r>
        <w:rPr>
          <w:spacing w:val="-11"/>
          <w:sz w:val="18"/>
          <w:szCs w:val="18"/>
        </w:rPr>
        <w:t>测</w:t>
      </w:r>
      <w:r>
        <w:rPr>
          <w:spacing w:val="-37"/>
          <w:sz w:val="18"/>
          <w:szCs w:val="18"/>
        </w:rPr>
        <w:t xml:space="preserve"> </w:t>
      </w:r>
      <w:r>
        <w:rPr>
          <w:spacing w:val="-11"/>
          <w:sz w:val="18"/>
          <w:szCs w:val="18"/>
        </w:rPr>
        <w:t>量</w:t>
      </w:r>
      <w:r>
        <w:rPr>
          <w:spacing w:val="-39"/>
          <w:sz w:val="18"/>
          <w:szCs w:val="18"/>
        </w:rPr>
        <w:t xml:space="preserve"> </w:t>
      </w:r>
      <w:r>
        <w:rPr>
          <w:spacing w:val="-11"/>
          <w:sz w:val="18"/>
          <w:szCs w:val="18"/>
        </w:rPr>
        <w:t>指</w:t>
      </w:r>
      <w:r>
        <w:rPr>
          <w:spacing w:val="-42"/>
          <w:sz w:val="18"/>
          <w:szCs w:val="18"/>
        </w:rPr>
        <w:t xml:space="preserve"> </w:t>
      </w:r>
      <w:r>
        <w:rPr>
          <w:spacing w:val="-11"/>
          <w:sz w:val="18"/>
          <w:szCs w:val="18"/>
        </w:rPr>
        <w:t>标</w:t>
      </w:r>
    </w:p>
    <w:p w14:paraId="441ADE1B">
      <w:pPr>
        <w:spacing w:before="146" w:line="219" w:lineRule="auto"/>
        <w:ind w:left="1140"/>
        <w:rPr>
          <w:rFonts w:ascii="宋体" w:hAnsi="宋体" w:eastAsia="宋体" w:cs="宋体"/>
          <w:sz w:val="18"/>
          <w:szCs w:val="18"/>
        </w:rPr>
      </w:pPr>
      <w:r>
        <w:rPr>
          <w:rFonts w:ascii="宋体" w:hAnsi="宋体" w:eastAsia="宋体" w:cs="宋体"/>
          <w:spacing w:val="22"/>
          <w:sz w:val="18"/>
          <w:szCs w:val="18"/>
        </w:rPr>
        <w:t>伤害发生频率的测量指标包括伤害发生率、伤害死</w:t>
      </w:r>
      <w:r>
        <w:rPr>
          <w:rFonts w:ascii="宋体" w:hAnsi="宋体" w:eastAsia="宋体" w:cs="宋体"/>
          <w:spacing w:val="21"/>
          <w:sz w:val="18"/>
          <w:szCs w:val="18"/>
        </w:rPr>
        <w:t>亡率等。</w:t>
      </w:r>
    </w:p>
    <w:p w14:paraId="686D2AB4">
      <w:pPr>
        <w:pStyle w:val="2"/>
        <w:spacing w:before="155" w:line="350" w:lineRule="auto"/>
        <w:ind w:left="729" w:right="37" w:firstLine="410"/>
        <w:rPr>
          <w:rFonts w:ascii="宋体" w:hAnsi="宋体" w:eastAsia="宋体" w:cs="宋体"/>
          <w:sz w:val="19"/>
          <w:szCs w:val="19"/>
        </w:rPr>
      </w:pPr>
      <w:r>
        <w:rPr>
          <w:rFonts w:ascii="宋体" w:hAnsi="宋体" w:eastAsia="宋体" w:cs="宋体"/>
          <w:spacing w:val="22"/>
          <w:sz w:val="18"/>
          <w:szCs w:val="18"/>
        </w:rPr>
        <w:t xml:space="preserve">1. </w:t>
      </w:r>
      <w:r>
        <w:rPr>
          <w:spacing w:val="22"/>
          <w:sz w:val="19"/>
          <w:szCs w:val="19"/>
        </w:rPr>
        <w:t>伤害发生率</w:t>
      </w:r>
      <w:r>
        <w:rPr>
          <w:spacing w:val="8"/>
          <w:sz w:val="19"/>
          <w:szCs w:val="19"/>
        </w:rPr>
        <w:t xml:space="preserve">  </w:t>
      </w:r>
      <w:r>
        <w:rPr>
          <w:rFonts w:ascii="宋体" w:hAnsi="宋体" w:eastAsia="宋体" w:cs="宋体"/>
          <w:spacing w:val="22"/>
          <w:sz w:val="19"/>
          <w:szCs w:val="19"/>
        </w:rPr>
        <w:t>指单位时间(通常是年)内伤害发生的人数(或人次数)与同期该人群的平均</w:t>
      </w:r>
      <w:r>
        <w:rPr>
          <w:rFonts w:ascii="宋体" w:hAnsi="宋体" w:eastAsia="宋体" w:cs="宋体"/>
          <w:spacing w:val="1"/>
          <w:sz w:val="19"/>
          <w:szCs w:val="19"/>
        </w:rPr>
        <w:t xml:space="preserve"> </w:t>
      </w:r>
      <w:r>
        <w:rPr>
          <w:rFonts w:ascii="宋体" w:hAnsi="宋体" w:eastAsia="宋体" w:cs="宋体"/>
          <w:spacing w:val="10"/>
          <w:sz w:val="19"/>
          <w:szCs w:val="19"/>
        </w:rPr>
        <w:t>人口数之比，是进行伤害研究与监测常用的指标。</w:t>
      </w:r>
    </w:p>
    <w:p w14:paraId="6E8C7024">
      <w:pPr>
        <w:spacing w:line="251" w:lineRule="auto"/>
        <w:rPr>
          <w:rFonts w:ascii="Arial"/>
          <w:sz w:val="21"/>
        </w:rPr>
      </w:pPr>
      <w:r>
        <w:drawing>
          <wp:anchor distT="0" distB="0" distL="0" distR="0" simplePos="0" relativeHeight="251877376" behindDoc="0" locked="0" layoutInCell="1" allowOverlap="1">
            <wp:simplePos x="0" y="0"/>
            <wp:positionH relativeFrom="column">
              <wp:posOffset>1637665</wp:posOffset>
            </wp:positionH>
            <wp:positionV relativeFrom="paragraph">
              <wp:posOffset>84455</wp:posOffset>
            </wp:positionV>
            <wp:extent cx="3238500" cy="355600"/>
            <wp:effectExtent l="0" t="0" r="0" b="0"/>
            <wp:wrapNone/>
            <wp:docPr id="706" name="IM 706"/>
            <wp:cNvGraphicFramePr/>
            <a:graphic xmlns:a="http://schemas.openxmlformats.org/drawingml/2006/main">
              <a:graphicData uri="http://schemas.openxmlformats.org/drawingml/2006/picture">
                <pic:pic xmlns:pic="http://schemas.openxmlformats.org/drawingml/2006/picture">
                  <pic:nvPicPr>
                    <pic:cNvPr id="706" name="IM 706"/>
                    <pic:cNvPicPr/>
                  </pic:nvPicPr>
                  <pic:blipFill>
                    <a:blip r:embed="rId658"/>
                    <a:stretch>
                      <a:fillRect/>
                    </a:stretch>
                  </pic:blipFill>
                  <pic:spPr>
                    <a:xfrm>
                      <a:off x="0" y="0"/>
                      <a:ext cx="3238564" cy="355667"/>
                    </a:xfrm>
                    <a:prstGeom prst="rect">
                      <a:avLst/>
                    </a:prstGeom>
                  </pic:spPr>
                </pic:pic>
              </a:graphicData>
            </a:graphic>
          </wp:anchor>
        </w:drawing>
      </w:r>
    </w:p>
    <w:p w14:paraId="1AB3139C">
      <w:pPr>
        <w:spacing w:before="59" w:line="221" w:lineRule="auto"/>
        <w:jc w:val="right"/>
        <w:rPr>
          <w:rFonts w:ascii="宋体" w:hAnsi="宋体" w:eastAsia="宋体" w:cs="宋体"/>
          <w:sz w:val="18"/>
          <w:szCs w:val="18"/>
        </w:rPr>
      </w:pPr>
      <w:r>
        <w:rPr>
          <w:rFonts w:ascii="宋体" w:hAnsi="宋体" w:eastAsia="宋体" w:cs="宋体"/>
          <w:spacing w:val="11"/>
          <w:sz w:val="18"/>
          <w:szCs w:val="18"/>
        </w:rPr>
        <w:t>式(15-</w:t>
      </w:r>
      <w:r>
        <w:rPr>
          <w:rFonts w:ascii="宋体" w:hAnsi="宋体" w:eastAsia="宋体" w:cs="宋体"/>
          <w:spacing w:val="-48"/>
          <w:sz w:val="18"/>
          <w:szCs w:val="18"/>
        </w:rPr>
        <w:t xml:space="preserve"> </w:t>
      </w:r>
      <w:r>
        <w:rPr>
          <w:rFonts w:ascii="宋体" w:hAnsi="宋体" w:eastAsia="宋体" w:cs="宋体"/>
          <w:spacing w:val="11"/>
          <w:sz w:val="18"/>
          <w:szCs w:val="18"/>
        </w:rPr>
        <w:t>1)</w:t>
      </w:r>
    </w:p>
    <w:p w14:paraId="3FA47353">
      <w:pPr>
        <w:spacing w:line="411" w:lineRule="auto"/>
        <w:rPr>
          <w:rFonts w:ascii="Arial"/>
          <w:sz w:val="21"/>
        </w:rPr>
      </w:pPr>
    </w:p>
    <w:p w14:paraId="131124E0">
      <w:pPr>
        <w:spacing w:before="60" w:line="383" w:lineRule="auto"/>
        <w:ind w:left="719" w:right="57" w:firstLine="410"/>
        <w:jc w:val="both"/>
        <w:rPr>
          <w:rFonts w:ascii="宋体" w:hAnsi="宋体" w:eastAsia="宋体" w:cs="宋体"/>
          <w:sz w:val="18"/>
          <w:szCs w:val="18"/>
        </w:rPr>
      </w:pPr>
      <w:r>
        <w:rPr>
          <w:rFonts w:ascii="宋体" w:hAnsi="宋体" w:eastAsia="宋体" w:cs="宋体"/>
          <w:spacing w:val="31"/>
          <w:sz w:val="18"/>
          <w:szCs w:val="18"/>
        </w:rPr>
        <w:t>在计算伤害发生率时会出现很多种情况。以交通</w:t>
      </w:r>
      <w:r>
        <w:rPr>
          <w:rFonts w:ascii="宋体" w:hAnsi="宋体" w:eastAsia="宋体" w:cs="宋体"/>
          <w:spacing w:val="30"/>
          <w:sz w:val="18"/>
          <w:szCs w:val="18"/>
        </w:rPr>
        <w:t>伤害发生率为例，可以有机动车驾驶员伤害</w:t>
      </w:r>
      <w:r>
        <w:rPr>
          <w:rFonts w:ascii="宋体" w:hAnsi="宋体" w:eastAsia="宋体" w:cs="宋体"/>
          <w:sz w:val="18"/>
          <w:szCs w:val="18"/>
        </w:rPr>
        <w:t xml:space="preserve"> </w:t>
      </w:r>
      <w:r>
        <w:rPr>
          <w:rFonts w:ascii="宋体" w:hAnsi="宋体" w:eastAsia="宋体" w:cs="宋体"/>
          <w:spacing w:val="25"/>
          <w:sz w:val="18"/>
          <w:szCs w:val="18"/>
        </w:rPr>
        <w:t>发生率，也可以有一般人群的机动车伤害发生率。在国外研究机动车驾驶员伤害发生率时，有时应</w:t>
      </w:r>
      <w:r>
        <w:rPr>
          <w:rFonts w:ascii="宋体" w:hAnsi="宋体" w:eastAsia="宋体" w:cs="宋体"/>
          <w:spacing w:val="1"/>
          <w:sz w:val="18"/>
          <w:szCs w:val="18"/>
        </w:rPr>
        <w:t xml:space="preserve"> </w:t>
      </w:r>
      <w:r>
        <w:rPr>
          <w:rFonts w:ascii="宋体" w:hAnsi="宋体" w:eastAsia="宋体" w:cs="宋体"/>
          <w:spacing w:val="23"/>
          <w:sz w:val="18"/>
          <w:szCs w:val="18"/>
        </w:rPr>
        <w:t>用车辆数或车辆×公里数作分母。</w:t>
      </w:r>
    </w:p>
    <w:p w14:paraId="6277A312">
      <w:pPr>
        <w:pStyle w:val="2"/>
        <w:spacing w:before="1" w:line="409" w:lineRule="auto"/>
        <w:ind w:left="709" w:right="31" w:firstLine="389"/>
        <w:rPr>
          <w:rFonts w:ascii="宋体" w:hAnsi="宋体" w:eastAsia="宋体" w:cs="宋体"/>
          <w:sz w:val="18"/>
          <w:szCs w:val="18"/>
        </w:rPr>
      </w:pPr>
      <w:r>
        <w:drawing>
          <wp:anchor distT="0" distB="0" distL="0" distR="0" simplePos="0" relativeHeight="251878400" behindDoc="0" locked="0" layoutInCell="1" allowOverlap="1">
            <wp:simplePos x="0" y="0"/>
            <wp:positionH relativeFrom="column">
              <wp:posOffset>1695450</wp:posOffset>
            </wp:positionH>
            <wp:positionV relativeFrom="paragraph">
              <wp:posOffset>554355</wp:posOffset>
            </wp:positionV>
            <wp:extent cx="3175000" cy="361950"/>
            <wp:effectExtent l="0" t="0" r="0" b="0"/>
            <wp:wrapNone/>
            <wp:docPr id="708" name="IM 708"/>
            <wp:cNvGraphicFramePr/>
            <a:graphic xmlns:a="http://schemas.openxmlformats.org/drawingml/2006/main">
              <a:graphicData uri="http://schemas.openxmlformats.org/drawingml/2006/picture">
                <pic:pic xmlns:pic="http://schemas.openxmlformats.org/drawingml/2006/picture">
                  <pic:nvPicPr>
                    <pic:cNvPr id="708" name="IM 708"/>
                    <pic:cNvPicPr/>
                  </pic:nvPicPr>
                  <pic:blipFill>
                    <a:blip r:embed="rId659"/>
                    <a:stretch>
                      <a:fillRect/>
                    </a:stretch>
                  </pic:blipFill>
                  <pic:spPr>
                    <a:xfrm>
                      <a:off x="0" y="0"/>
                      <a:ext cx="3175015" cy="361968"/>
                    </a:xfrm>
                    <a:prstGeom prst="rect">
                      <a:avLst/>
                    </a:prstGeom>
                  </pic:spPr>
                </pic:pic>
              </a:graphicData>
            </a:graphic>
          </wp:anchor>
        </w:drawing>
      </w:r>
      <w:r>
        <w:rPr>
          <w:rFonts w:ascii="宋体" w:hAnsi="宋体" w:eastAsia="宋体" w:cs="宋体"/>
          <w:spacing w:val="23"/>
          <w:sz w:val="18"/>
          <w:szCs w:val="18"/>
        </w:rPr>
        <w:t xml:space="preserve">2. </w:t>
      </w:r>
      <w:r>
        <w:rPr>
          <w:spacing w:val="23"/>
          <w:sz w:val="18"/>
          <w:szCs w:val="18"/>
        </w:rPr>
        <w:t>伤</w:t>
      </w:r>
      <w:r>
        <w:rPr>
          <w:spacing w:val="-28"/>
          <w:sz w:val="18"/>
          <w:szCs w:val="18"/>
        </w:rPr>
        <w:t xml:space="preserve"> </w:t>
      </w:r>
      <w:r>
        <w:rPr>
          <w:spacing w:val="23"/>
          <w:sz w:val="18"/>
          <w:szCs w:val="18"/>
        </w:rPr>
        <w:t>害</w:t>
      </w:r>
      <w:r>
        <w:rPr>
          <w:spacing w:val="-34"/>
          <w:sz w:val="18"/>
          <w:szCs w:val="18"/>
        </w:rPr>
        <w:t xml:space="preserve"> </w:t>
      </w:r>
      <w:r>
        <w:rPr>
          <w:spacing w:val="23"/>
          <w:sz w:val="18"/>
          <w:szCs w:val="18"/>
        </w:rPr>
        <w:t>死</w:t>
      </w:r>
      <w:r>
        <w:rPr>
          <w:spacing w:val="-35"/>
          <w:sz w:val="18"/>
          <w:szCs w:val="18"/>
        </w:rPr>
        <w:t xml:space="preserve"> </w:t>
      </w:r>
      <w:r>
        <w:rPr>
          <w:spacing w:val="23"/>
          <w:sz w:val="18"/>
          <w:szCs w:val="18"/>
        </w:rPr>
        <w:t>亡</w:t>
      </w:r>
      <w:r>
        <w:rPr>
          <w:spacing w:val="-35"/>
          <w:sz w:val="18"/>
          <w:szCs w:val="18"/>
        </w:rPr>
        <w:t xml:space="preserve"> </w:t>
      </w:r>
      <w:r>
        <w:rPr>
          <w:spacing w:val="23"/>
          <w:sz w:val="18"/>
          <w:szCs w:val="18"/>
        </w:rPr>
        <w:t>率</w:t>
      </w:r>
      <w:r>
        <w:rPr>
          <w:spacing w:val="11"/>
          <w:sz w:val="18"/>
          <w:szCs w:val="18"/>
        </w:rPr>
        <w:t xml:space="preserve">  </w:t>
      </w:r>
      <w:r>
        <w:rPr>
          <w:rFonts w:ascii="宋体" w:hAnsi="宋体" w:eastAsia="宋体" w:cs="宋体"/>
          <w:spacing w:val="23"/>
          <w:sz w:val="18"/>
          <w:szCs w:val="18"/>
        </w:rPr>
        <w:t>指因伤害致死的频率。可以计算伤害的总死亡率，也可以按照</w:t>
      </w:r>
      <w:r>
        <w:rPr>
          <w:rFonts w:ascii="宋体" w:hAnsi="宋体" w:eastAsia="宋体" w:cs="宋体"/>
          <w:spacing w:val="22"/>
          <w:sz w:val="18"/>
          <w:szCs w:val="18"/>
        </w:rPr>
        <w:t>伤害的种类计</w:t>
      </w:r>
      <w:r>
        <w:rPr>
          <w:rFonts w:ascii="宋体" w:hAnsi="宋体" w:eastAsia="宋体" w:cs="宋体"/>
          <w:sz w:val="18"/>
          <w:szCs w:val="18"/>
        </w:rPr>
        <w:t xml:space="preserve"> </w:t>
      </w:r>
      <w:r>
        <w:rPr>
          <w:rFonts w:ascii="宋体" w:hAnsi="宋体" w:eastAsia="宋体" w:cs="宋体"/>
          <w:spacing w:val="20"/>
          <w:sz w:val="18"/>
          <w:szCs w:val="18"/>
        </w:rPr>
        <w:t>算分年龄别、性别等人群特征的死亡率。</w:t>
      </w:r>
    </w:p>
    <w:p w14:paraId="77E4F632">
      <w:pPr>
        <w:spacing w:before="273" w:line="221" w:lineRule="auto"/>
        <w:ind w:right="10"/>
        <w:jc w:val="right"/>
        <w:rPr>
          <w:rFonts w:ascii="宋体" w:hAnsi="宋体" w:eastAsia="宋体" w:cs="宋体"/>
          <w:sz w:val="18"/>
          <w:szCs w:val="18"/>
        </w:rPr>
      </w:pPr>
      <w:r>
        <w:rPr>
          <w:rFonts w:ascii="宋体" w:hAnsi="宋体" w:eastAsia="宋体" w:cs="宋体"/>
          <w:spacing w:val="12"/>
          <w:sz w:val="18"/>
          <w:szCs w:val="18"/>
        </w:rPr>
        <w:t>式(15-2)</w:t>
      </w:r>
    </w:p>
    <w:p w14:paraId="39B7E5FF">
      <w:pPr>
        <w:spacing w:line="221" w:lineRule="auto"/>
        <w:rPr>
          <w:rFonts w:ascii="宋体" w:hAnsi="宋体" w:eastAsia="宋体" w:cs="宋体"/>
          <w:sz w:val="18"/>
          <w:szCs w:val="18"/>
        </w:rPr>
        <w:sectPr>
          <w:footerReference r:id="rId259" w:type="default"/>
          <w:pgSz w:w="11900" w:h="16820"/>
          <w:pgMar w:top="400" w:right="1480" w:bottom="754" w:left="810" w:header="0" w:footer="519" w:gutter="0"/>
          <w:cols w:space="720" w:num="1"/>
        </w:sectPr>
      </w:pPr>
    </w:p>
    <w:p w14:paraId="60BA0FD1">
      <w:pPr>
        <w:pStyle w:val="2"/>
        <w:spacing w:before="286" w:line="221" w:lineRule="auto"/>
        <w:ind w:left="7100"/>
        <w:rPr>
          <w:sz w:val="20"/>
          <w:szCs w:val="20"/>
        </w:rPr>
      </w:pPr>
      <w:r>
        <w:rPr>
          <w:spacing w:val="-19"/>
          <w:sz w:val="20"/>
          <w:szCs w:val="20"/>
        </w:rPr>
        <w:t>第十五章 伤害流行病学</w:t>
      </w:r>
    </w:p>
    <w:p w14:paraId="501F92C2">
      <w:pPr>
        <w:spacing w:line="478" w:lineRule="auto"/>
        <w:rPr>
          <w:rFonts w:ascii="Arial"/>
          <w:sz w:val="21"/>
        </w:rPr>
      </w:pPr>
    </w:p>
    <w:p w14:paraId="04045188">
      <w:pPr>
        <w:pStyle w:val="2"/>
        <w:spacing w:before="81" w:line="222" w:lineRule="auto"/>
        <w:ind w:left="439"/>
        <w:rPr>
          <w:sz w:val="25"/>
          <w:szCs w:val="25"/>
        </w:rPr>
      </w:pPr>
      <w:bookmarkStart w:id="402" w:name="bookmark537"/>
      <w:bookmarkEnd w:id="402"/>
      <w:r>
        <w:rPr>
          <w:spacing w:val="-13"/>
          <w:sz w:val="25"/>
          <w:szCs w:val="25"/>
        </w:rPr>
        <w:t>(二)伤害造成的损失程度的测量指标</w:t>
      </w:r>
    </w:p>
    <w:p w14:paraId="62EC8628">
      <w:pPr>
        <w:spacing w:before="66" w:line="339" w:lineRule="auto"/>
        <w:ind w:right="667" w:firstLine="399"/>
        <w:jc w:val="both"/>
        <w:rPr>
          <w:rFonts w:ascii="宋体" w:hAnsi="宋体" w:eastAsia="宋体" w:cs="宋体"/>
          <w:sz w:val="20"/>
          <w:szCs w:val="20"/>
        </w:rPr>
      </w:pPr>
      <w:r>
        <w:rPr>
          <w:rFonts w:ascii="宋体" w:hAnsi="宋体" w:eastAsia="宋体" w:cs="宋体"/>
          <w:spacing w:val="13"/>
          <w:sz w:val="20"/>
          <w:szCs w:val="20"/>
        </w:rPr>
        <w:t>反映伤害造成的损失程度还可以采用潜在减寿年数</w:t>
      </w:r>
      <w:r>
        <w:rPr>
          <w:rFonts w:ascii="Times New Roman" w:hAnsi="Times New Roman" w:eastAsia="Times New Roman" w:cs="Times New Roman"/>
          <w:spacing w:val="13"/>
          <w:sz w:val="20"/>
          <w:szCs w:val="20"/>
        </w:rPr>
        <w:t>(</w:t>
      </w:r>
      <w:r>
        <w:rPr>
          <w:rFonts w:ascii="Times New Roman" w:hAnsi="Times New Roman" w:eastAsia="Times New Roman" w:cs="Times New Roman"/>
          <w:sz w:val="20"/>
          <w:szCs w:val="20"/>
        </w:rPr>
        <w:t>PYLL</w:t>
      </w:r>
      <w:r>
        <w:rPr>
          <w:rFonts w:ascii="Times New Roman" w:hAnsi="Times New Roman" w:eastAsia="Times New Roman" w:cs="Times New Roman"/>
          <w:spacing w:val="13"/>
          <w:sz w:val="20"/>
          <w:szCs w:val="20"/>
        </w:rPr>
        <w:t>)</w:t>
      </w:r>
      <w:r>
        <w:rPr>
          <w:rFonts w:ascii="Times New Roman" w:hAnsi="Times New Roman" w:eastAsia="Times New Roman" w:cs="Times New Roman"/>
          <w:spacing w:val="64"/>
          <w:sz w:val="20"/>
          <w:szCs w:val="20"/>
        </w:rPr>
        <w:t xml:space="preserve"> </w:t>
      </w:r>
      <w:r>
        <w:rPr>
          <w:rFonts w:ascii="宋体" w:hAnsi="宋体" w:eastAsia="宋体" w:cs="宋体"/>
          <w:spacing w:val="13"/>
          <w:sz w:val="20"/>
          <w:szCs w:val="20"/>
        </w:rPr>
        <w:t>和伤残调整寿命年</w:t>
      </w:r>
      <w:r>
        <w:rPr>
          <w:rFonts w:ascii="Times New Roman" w:hAnsi="Times New Roman" w:eastAsia="Times New Roman" w:cs="Times New Roman"/>
          <w:spacing w:val="13"/>
          <w:sz w:val="20"/>
          <w:szCs w:val="20"/>
        </w:rPr>
        <w:t>(</w:t>
      </w:r>
      <w:r>
        <w:rPr>
          <w:rFonts w:ascii="Times New Roman" w:hAnsi="Times New Roman" w:eastAsia="Times New Roman" w:cs="Times New Roman"/>
          <w:sz w:val="20"/>
          <w:szCs w:val="20"/>
        </w:rPr>
        <w:t>DALY</w:t>
      </w:r>
      <w:r>
        <w:rPr>
          <w:rFonts w:ascii="Times New Roman" w:hAnsi="Times New Roman" w:eastAsia="Times New Roman" w:cs="Times New Roman"/>
          <w:spacing w:val="13"/>
          <w:sz w:val="20"/>
          <w:szCs w:val="20"/>
        </w:rPr>
        <w:t>)</w:t>
      </w:r>
      <w:r>
        <w:rPr>
          <w:rFonts w:ascii="Times New Roman" w:hAnsi="Times New Roman" w:eastAsia="Times New Roman" w:cs="Times New Roman"/>
          <w:spacing w:val="39"/>
          <w:w w:val="101"/>
          <w:sz w:val="20"/>
          <w:szCs w:val="20"/>
        </w:rPr>
        <w:t xml:space="preserve"> </w:t>
      </w:r>
      <w:r>
        <w:rPr>
          <w:rFonts w:ascii="宋体" w:hAnsi="宋体" w:eastAsia="宋体" w:cs="宋体"/>
          <w:spacing w:val="13"/>
          <w:sz w:val="20"/>
          <w:szCs w:val="20"/>
        </w:rPr>
        <w:t>等测量</w:t>
      </w:r>
      <w:r>
        <w:rPr>
          <w:rFonts w:ascii="宋体" w:hAnsi="宋体" w:eastAsia="宋体" w:cs="宋体"/>
          <w:sz w:val="20"/>
          <w:szCs w:val="20"/>
        </w:rPr>
        <w:t xml:space="preserve"> </w:t>
      </w:r>
      <w:r>
        <w:rPr>
          <w:rFonts w:ascii="宋体" w:hAnsi="宋体" w:eastAsia="宋体" w:cs="宋体"/>
          <w:spacing w:val="13"/>
          <w:sz w:val="20"/>
          <w:szCs w:val="20"/>
        </w:rPr>
        <w:t>指标，相关内容详见本书第二章。表15-6列出了2021年全球不同伤害原因的</w:t>
      </w:r>
      <w:r>
        <w:rPr>
          <w:rFonts w:ascii="Times New Roman" w:hAnsi="Times New Roman" w:eastAsia="Times New Roman" w:cs="Times New Roman"/>
          <w:sz w:val="20"/>
          <w:szCs w:val="20"/>
        </w:rPr>
        <w:t>DALYs</w:t>
      </w:r>
      <w:r>
        <w:rPr>
          <w:rFonts w:ascii="宋体" w:hAnsi="宋体" w:eastAsia="宋体" w:cs="宋体"/>
          <w:spacing w:val="13"/>
          <w:sz w:val="20"/>
          <w:szCs w:val="20"/>
        </w:rPr>
        <w:t>、健康寿命损</w:t>
      </w:r>
      <w:r>
        <w:rPr>
          <w:rFonts w:ascii="宋体" w:hAnsi="宋体" w:eastAsia="宋体" w:cs="宋体"/>
          <w:spacing w:val="3"/>
          <w:sz w:val="20"/>
          <w:szCs w:val="20"/>
        </w:rPr>
        <w:t xml:space="preserve"> </w:t>
      </w:r>
      <w:r>
        <w:rPr>
          <w:rFonts w:ascii="宋体" w:hAnsi="宋体" w:eastAsia="宋体" w:cs="宋体"/>
          <w:spacing w:val="10"/>
          <w:sz w:val="20"/>
          <w:szCs w:val="20"/>
        </w:rPr>
        <w:t>失年</w:t>
      </w:r>
      <w:r>
        <w:rPr>
          <w:rFonts w:ascii="Times New Roman" w:hAnsi="Times New Roman" w:eastAsia="Times New Roman" w:cs="Times New Roman"/>
          <w:spacing w:val="10"/>
          <w:sz w:val="20"/>
          <w:szCs w:val="20"/>
        </w:rPr>
        <w:t>(</w:t>
      </w:r>
      <w:r>
        <w:rPr>
          <w:rFonts w:ascii="Times New Roman" w:hAnsi="Times New Roman" w:eastAsia="Times New Roman" w:cs="Times New Roman"/>
          <w:sz w:val="20"/>
          <w:szCs w:val="20"/>
        </w:rPr>
        <w:t>YLD</w:t>
      </w:r>
      <w:r>
        <w:rPr>
          <w:rFonts w:ascii="Times New Roman" w:hAnsi="Times New Roman" w:eastAsia="Times New Roman" w:cs="Times New Roman"/>
          <w:spacing w:val="10"/>
          <w:sz w:val="20"/>
          <w:szCs w:val="20"/>
        </w:rPr>
        <w:t xml:space="preserve">)  </w:t>
      </w:r>
      <w:r>
        <w:rPr>
          <w:rFonts w:ascii="宋体" w:hAnsi="宋体" w:eastAsia="宋体" w:cs="宋体"/>
          <w:spacing w:val="10"/>
          <w:sz w:val="20"/>
          <w:szCs w:val="20"/>
        </w:rPr>
        <w:t>和寿命损失年</w:t>
      </w:r>
      <w:r>
        <w:rPr>
          <w:rFonts w:ascii="Times New Roman" w:hAnsi="Times New Roman" w:eastAsia="Times New Roman" w:cs="Times New Roman"/>
          <w:spacing w:val="10"/>
          <w:sz w:val="20"/>
          <w:szCs w:val="20"/>
        </w:rPr>
        <w:t>(</w:t>
      </w:r>
      <w:r>
        <w:rPr>
          <w:rFonts w:ascii="Times New Roman" w:hAnsi="Times New Roman" w:eastAsia="Times New Roman" w:cs="Times New Roman"/>
          <w:sz w:val="20"/>
          <w:szCs w:val="20"/>
        </w:rPr>
        <w:t>YLL</w:t>
      </w:r>
      <w:r>
        <w:rPr>
          <w:rFonts w:ascii="Times New Roman" w:hAnsi="Times New Roman" w:eastAsia="Times New Roman" w:cs="Times New Roman"/>
          <w:spacing w:val="10"/>
          <w:sz w:val="20"/>
          <w:szCs w:val="20"/>
        </w:rPr>
        <w:t>)</w:t>
      </w:r>
      <w:r>
        <w:rPr>
          <w:rFonts w:ascii="宋体" w:hAnsi="宋体" w:eastAsia="宋体" w:cs="宋体"/>
          <w:spacing w:val="10"/>
          <w:sz w:val="20"/>
          <w:szCs w:val="20"/>
        </w:rPr>
        <w:t>。</w:t>
      </w:r>
    </w:p>
    <w:p w14:paraId="22068618">
      <w:pPr>
        <w:tabs>
          <w:tab w:val="left" w:pos="1998"/>
        </w:tabs>
        <w:spacing w:before="170" w:line="241" w:lineRule="auto"/>
        <w:ind w:left="29" w:right="597"/>
        <w:rPr>
          <w:rFonts w:ascii="宋体" w:hAnsi="宋体" w:eastAsia="宋体" w:cs="宋体"/>
          <w:sz w:val="20"/>
          <w:szCs w:val="20"/>
        </w:rPr>
      </w:pPr>
      <w:r>
        <mc:AlternateContent>
          <mc:Choice Requires="wps">
            <w:drawing>
              <wp:anchor distT="0" distB="0" distL="0" distR="0" simplePos="0" relativeHeight="251902976" behindDoc="1" locked="0" layoutInCell="1" allowOverlap="1">
                <wp:simplePos x="0" y="0"/>
                <wp:positionH relativeFrom="column">
                  <wp:posOffset>4761865</wp:posOffset>
                </wp:positionH>
                <wp:positionV relativeFrom="paragraph">
                  <wp:posOffset>96520</wp:posOffset>
                </wp:positionV>
                <wp:extent cx="1003300" cy="445135"/>
                <wp:effectExtent l="0" t="0" r="0" b="0"/>
                <wp:wrapNone/>
                <wp:docPr id="710" name="Rect 710"/>
                <wp:cNvGraphicFramePr/>
                <a:graphic xmlns:a="http://schemas.openxmlformats.org/drawingml/2006/main">
                  <a:graphicData uri="http://schemas.microsoft.com/office/word/2010/wordprocessingShape">
                    <wps:wsp>
                      <wps:cNvSpPr/>
                      <wps:spPr>
                        <a:xfrm>
                          <a:off x="4762484" y="96586"/>
                          <a:ext cx="1003300" cy="445134"/>
                        </a:xfrm>
                        <a:prstGeom prst="rect">
                          <a:avLst/>
                        </a:prstGeom>
                        <a:solidFill>
                          <a:srgbClr val="D6D6CF"/>
                        </a:solidFill>
                        <a:ln w="0">
                          <a:noFill/>
                        </a:ln>
                      </wps:spPr>
                      <wps:style>
                        <a:lnRef idx="0">
                          <a:schemeClr val="accent1"/>
                        </a:lnRef>
                        <a:fillRef idx="0">
                          <a:schemeClr val="accent1"/>
                        </a:fillRef>
                        <a:effectRef idx="0">
                          <a:schemeClr val="accent1"/>
                        </a:effectRef>
                        <a:fontRef idx="minor">
                          <a:schemeClr val="dk1"/>
                        </a:fontRef>
                      </wps:style>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rect id="Rect 710" o:spid="_x0000_s1026" o:spt="1" style="position:absolute;left:0pt;margin-left:374.95pt;margin-top:7.6pt;height:35.05pt;width:79pt;z-index:-251413504;mso-width-relative:page;mso-height-relative:page;" fillcolor="#D6D6CF" filled="t" stroked="f" coordsize="21600,21600" o:gfxdata="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">
                <v:fill on="t" focussize="0,0"/>
                <v:stroke on="f" weight="0pt"/>
                <v:imagedata o:title=""/>
                <o:lock v:ext="edit" aspectratio="f"/>
                <v:textbox inset="0mm,0mm,0mm,0mm"/>
              </v:rect>
            </w:pict>
          </mc:Fallback>
        </mc:AlternateContent>
      </w:r>
      <w:r>
        <w:pict>
          <v:shape id="_x0000_s1195" o:spid="_x0000_s1195" style="position:absolute;left:0pt;margin-left:1.45pt;margin-top:42.35pt;height:0.5pt;width:452.5pt;z-index:251911168;mso-width-relative:page;mso-height-relative:page;" filled="f" stroked="t" coordsize="9050,10" path="m7469,5l9049,5m0,5l1949,5m1949,5l4700,5m4700,5l6309,5m6309,5l7469,5m0,5l1949,5m1949,5l4700,5m4700,5l6309,5m6309,5l7469,5m7469,5l9049,5e">
            <v:fill on="f" focussize="0,0"/>
            <v:stroke weight="0.5pt" color="#000000" miterlimit="10" joinstyle="miter"/>
            <v:imagedata o:title=""/>
            <o:lock v:ext="edit"/>
          </v:shape>
        </w:pict>
      </w:r>
      <w:r>
        <w:rPr>
          <w:rFonts w:ascii="宋体" w:hAnsi="宋体" w:eastAsia="宋体" w:cs="宋体"/>
          <w:sz w:val="20"/>
          <w:szCs w:val="20"/>
          <w:u w:val="single" w:color="auto"/>
        </w:rPr>
        <w:tab/>
      </w:r>
      <w:r>
        <w:rPr>
          <w:rFonts w:ascii="宋体" w:hAnsi="宋体" w:eastAsia="宋体" w:cs="宋体"/>
          <w:spacing w:val="-2"/>
          <w:sz w:val="20"/>
          <w:szCs w:val="20"/>
          <w:u w:val="single" w:color="auto"/>
        </w:rPr>
        <w:t xml:space="preserve">表15-62021年全球不同伤害原因的DALYs、YLD、YLL          </w:t>
      </w:r>
      <w:r>
        <w:rPr>
          <w:rFonts w:ascii="宋体" w:hAnsi="宋体" w:eastAsia="宋体" w:cs="宋体"/>
          <w:spacing w:val="38"/>
          <w:sz w:val="20"/>
          <w:szCs w:val="20"/>
        </w:rPr>
        <w:t xml:space="preserve">  </w:t>
      </w:r>
      <w:r>
        <w:rPr>
          <w:rFonts w:ascii="宋体" w:hAnsi="宋体" w:eastAsia="宋体" w:cs="宋体"/>
          <w:spacing w:val="-2"/>
          <w:position w:val="4"/>
          <w:sz w:val="20"/>
          <w:szCs w:val="20"/>
        </w:rPr>
        <w:t>单位：百万人年</w:t>
      </w:r>
      <w:r>
        <w:rPr>
          <w:rFonts w:ascii="宋体" w:hAnsi="宋体" w:eastAsia="宋体" w:cs="宋体"/>
          <w:position w:val="4"/>
          <w:sz w:val="20"/>
          <w:szCs w:val="20"/>
        </w:rPr>
        <w:t xml:space="preserve"> </w:t>
      </w:r>
      <w:r>
        <w:rPr>
          <w:rFonts w:ascii="宋体" w:hAnsi="宋体" w:eastAsia="宋体" w:cs="宋体"/>
          <w:position w:val="-10"/>
          <w:sz w:val="20"/>
          <w:szCs w:val="20"/>
        </w:rPr>
        <w:drawing>
          <wp:inline distT="0" distB="0" distL="0" distR="0">
            <wp:extent cx="1237615" cy="241300"/>
            <wp:effectExtent l="0" t="0" r="0" b="0"/>
            <wp:docPr id="712" name="IM 712"/>
            <wp:cNvGraphicFramePr/>
            <a:graphic xmlns:a="http://schemas.openxmlformats.org/drawingml/2006/main">
              <a:graphicData uri="http://schemas.openxmlformats.org/drawingml/2006/picture">
                <pic:pic xmlns:pic="http://schemas.openxmlformats.org/drawingml/2006/picture">
                  <pic:nvPicPr>
                    <pic:cNvPr id="712" name="IM 712"/>
                    <pic:cNvPicPr/>
                  </pic:nvPicPr>
                  <pic:blipFill>
                    <a:blip r:embed="rId660"/>
                    <a:stretch>
                      <a:fillRect/>
                    </a:stretch>
                  </pic:blipFill>
                  <pic:spPr>
                    <a:xfrm>
                      <a:off x="0" y="0"/>
                      <a:ext cx="1238208" cy="241383"/>
                    </a:xfrm>
                    <a:prstGeom prst="rect">
                      <a:avLst/>
                    </a:prstGeom>
                  </pic:spPr>
                </pic:pic>
              </a:graphicData>
            </a:graphic>
          </wp:inline>
        </w:drawing>
      </w:r>
      <w:r>
        <w:rPr>
          <w:rFonts w:ascii="宋体" w:hAnsi="宋体" w:eastAsia="宋体" w:cs="宋体"/>
          <w:spacing w:val="8"/>
          <w:sz w:val="20"/>
          <w:szCs w:val="20"/>
          <w:shd w:val="clear" w:fill="D7D8D8"/>
        </w:rPr>
        <w:t xml:space="preserve">         </w:t>
      </w:r>
      <w:r>
        <w:rPr>
          <w:rFonts w:ascii="宋体" w:hAnsi="宋体" w:eastAsia="宋体" w:cs="宋体"/>
          <w:spacing w:val="1"/>
          <w:sz w:val="20"/>
          <w:szCs w:val="20"/>
          <w:shd w:val="clear" w:fill="D7D8D8"/>
        </w:rPr>
        <w:t>伤害原因</w:t>
      </w:r>
      <w:r>
        <w:rPr>
          <w:rFonts w:ascii="宋体" w:hAnsi="宋体" w:eastAsia="宋体" w:cs="宋体"/>
          <w:spacing w:val="7"/>
          <w:sz w:val="20"/>
          <w:szCs w:val="20"/>
          <w:shd w:val="clear" w:fill="D7D8D8"/>
        </w:rPr>
        <w:t xml:space="preserve">         </w:t>
      </w:r>
      <w:r>
        <w:rPr>
          <w:rFonts w:ascii="宋体" w:hAnsi="宋体" w:eastAsia="宋体" w:cs="宋体"/>
          <w:spacing w:val="10"/>
          <w:sz w:val="20"/>
          <w:szCs w:val="20"/>
          <w:shd w:val="clear" w:fill="D5D5D2"/>
        </w:rPr>
        <w:t xml:space="preserve">     </w:t>
      </w:r>
      <w:r>
        <w:rPr>
          <w:rFonts w:ascii="宋体" w:hAnsi="宋体" w:eastAsia="宋体" w:cs="宋体"/>
          <w:position w:val="-1"/>
          <w:sz w:val="20"/>
          <w:szCs w:val="20"/>
          <w:shd w:val="clear" w:fill="D5D5D2"/>
        </w:rPr>
        <w:t>DALYs</w:t>
      </w:r>
      <w:r>
        <w:rPr>
          <w:rFonts w:ascii="宋体" w:hAnsi="宋体" w:eastAsia="宋体" w:cs="宋体"/>
          <w:spacing w:val="12"/>
          <w:position w:val="-1"/>
          <w:sz w:val="20"/>
          <w:szCs w:val="20"/>
          <w:shd w:val="clear" w:fill="D5D5D2"/>
        </w:rPr>
        <w:t xml:space="preserve">     </w:t>
      </w:r>
      <w:r>
        <w:rPr>
          <w:rFonts w:ascii="宋体" w:hAnsi="宋体" w:eastAsia="宋体" w:cs="宋体"/>
          <w:spacing w:val="8"/>
          <w:position w:val="-1"/>
          <w:sz w:val="20"/>
          <w:szCs w:val="20"/>
          <w:shd w:val="clear" w:fill="D5D6D0"/>
        </w:rPr>
        <w:t xml:space="preserve">    </w:t>
      </w:r>
      <w:r>
        <w:rPr>
          <w:rFonts w:ascii="宋体" w:hAnsi="宋体" w:eastAsia="宋体" w:cs="宋体"/>
          <w:position w:val="-1"/>
          <w:sz w:val="20"/>
          <w:szCs w:val="20"/>
          <w:shd w:val="clear" w:fill="D5D6D0"/>
        </w:rPr>
        <w:t>YLD</w:t>
      </w:r>
      <w:r>
        <w:rPr>
          <w:rFonts w:ascii="宋体" w:hAnsi="宋体" w:eastAsia="宋体" w:cs="宋体"/>
          <w:spacing w:val="9"/>
          <w:position w:val="-1"/>
          <w:sz w:val="20"/>
          <w:szCs w:val="20"/>
          <w:shd w:val="clear" w:fill="D5D6D0"/>
        </w:rPr>
        <w:t xml:space="preserve">    </w:t>
      </w:r>
      <w:r>
        <w:rPr>
          <w:rFonts w:ascii="宋体" w:hAnsi="宋体" w:eastAsia="宋体" w:cs="宋体"/>
          <w:spacing w:val="1"/>
          <w:position w:val="-1"/>
          <w:sz w:val="20"/>
          <w:szCs w:val="20"/>
        </w:rPr>
        <w:t xml:space="preserve">      </w:t>
      </w:r>
      <w:r>
        <w:rPr>
          <w:rFonts w:ascii="宋体" w:hAnsi="宋体" w:eastAsia="宋体" w:cs="宋体"/>
          <w:sz w:val="20"/>
          <w:szCs w:val="20"/>
        </w:rPr>
        <w:t>YLL</w:t>
      </w:r>
    </w:p>
    <w:p w14:paraId="3B1252B1">
      <w:pPr>
        <w:spacing w:line="78" w:lineRule="exact"/>
      </w:pPr>
    </w:p>
    <w:p w14:paraId="3C0446A3">
      <w:pPr>
        <w:spacing w:line="78" w:lineRule="exact"/>
        <w:sectPr>
          <w:footerReference r:id="rId260" w:type="default"/>
          <w:pgSz w:w="11900" w:h="16820"/>
          <w:pgMar w:top="400" w:right="824" w:bottom="829" w:left="1400" w:header="0" w:footer="649" w:gutter="0"/>
          <w:cols w:equalWidth="0" w:num="1">
            <w:col w:w="9676"/>
          </w:cols>
        </w:sectPr>
      </w:pPr>
    </w:p>
    <w:p w14:paraId="51F8467B">
      <w:pPr>
        <w:spacing w:line="352" w:lineRule="auto"/>
        <w:rPr>
          <w:rFonts w:ascii="Arial"/>
          <w:sz w:val="21"/>
        </w:rPr>
      </w:pPr>
    </w:p>
    <w:p w14:paraId="7A3B870D">
      <w:pPr>
        <w:spacing w:before="66" w:line="219" w:lineRule="auto"/>
        <w:ind w:left="1180"/>
        <w:rPr>
          <w:rFonts w:ascii="宋体" w:hAnsi="宋体" w:eastAsia="宋体" w:cs="宋体"/>
          <w:sz w:val="20"/>
          <w:szCs w:val="20"/>
        </w:rPr>
      </w:pPr>
      <w:r>
        <w:rPr>
          <w:rFonts w:ascii="宋体" w:hAnsi="宋体" w:eastAsia="宋体" w:cs="宋体"/>
          <w:spacing w:val="3"/>
          <w:sz w:val="20"/>
          <w:szCs w:val="20"/>
        </w:rPr>
        <w:t>交通伤害</w:t>
      </w:r>
    </w:p>
    <w:p w14:paraId="40442A01">
      <w:pPr>
        <w:spacing w:line="290" w:lineRule="auto"/>
        <w:rPr>
          <w:rFonts w:ascii="Arial"/>
          <w:sz w:val="21"/>
        </w:rPr>
      </w:pPr>
    </w:p>
    <w:p w14:paraId="7B81EE0C">
      <w:pPr>
        <w:spacing w:line="291" w:lineRule="auto"/>
        <w:rPr>
          <w:rFonts w:ascii="Arial"/>
          <w:sz w:val="21"/>
        </w:rPr>
      </w:pPr>
    </w:p>
    <w:p w14:paraId="02A30D6D">
      <w:pPr>
        <w:spacing w:line="291" w:lineRule="auto"/>
        <w:rPr>
          <w:rFonts w:ascii="Arial"/>
          <w:sz w:val="21"/>
        </w:rPr>
      </w:pPr>
    </w:p>
    <w:p w14:paraId="065A1E27">
      <w:pPr>
        <w:spacing w:before="65" w:line="219" w:lineRule="auto"/>
        <w:ind w:left="379"/>
        <w:rPr>
          <w:rFonts w:ascii="宋体" w:hAnsi="宋体" w:eastAsia="宋体" w:cs="宋体"/>
          <w:sz w:val="20"/>
          <w:szCs w:val="20"/>
        </w:rPr>
      </w:pPr>
      <w:r>
        <w:rPr>
          <w:rFonts w:ascii="宋体" w:hAnsi="宋体" w:eastAsia="宋体" w:cs="宋体"/>
          <w:spacing w:val="15"/>
          <w:sz w:val="20"/>
          <w:szCs w:val="20"/>
        </w:rPr>
        <w:t>其他非故意伤害°</w:t>
      </w:r>
    </w:p>
    <w:p w14:paraId="5FB9AEEC">
      <w:pPr>
        <w:spacing w:line="296" w:lineRule="auto"/>
        <w:rPr>
          <w:rFonts w:ascii="Arial"/>
          <w:sz w:val="21"/>
        </w:rPr>
      </w:pPr>
    </w:p>
    <w:p w14:paraId="688479D5">
      <w:pPr>
        <w:spacing w:line="297" w:lineRule="auto"/>
        <w:rPr>
          <w:rFonts w:ascii="Arial"/>
          <w:sz w:val="21"/>
        </w:rPr>
      </w:pPr>
    </w:p>
    <w:p w14:paraId="699ACA5A">
      <w:pPr>
        <w:spacing w:line="297" w:lineRule="auto"/>
        <w:rPr>
          <w:rFonts w:ascii="Arial"/>
          <w:sz w:val="21"/>
        </w:rPr>
      </w:pPr>
    </w:p>
    <w:p w14:paraId="2AE87188">
      <w:pPr>
        <w:spacing w:before="66" w:line="219" w:lineRule="auto"/>
        <w:ind w:left="580"/>
        <w:rPr>
          <w:rFonts w:ascii="宋体" w:hAnsi="宋体" w:eastAsia="宋体" w:cs="宋体"/>
          <w:sz w:val="20"/>
          <w:szCs w:val="20"/>
        </w:rPr>
      </w:pPr>
      <w:r>
        <w:pict>
          <v:shape id="_x0000_s1196" o:spid="_x0000_s1196" style="position:absolute;left:0pt;margin-left:1.7pt;margin-top:38.4pt;height:0.5pt;width:452.5pt;z-index:251906048;mso-width-relative:page;mso-height-relative:page;" filled="f" stroked="t" coordsize="9050,10" path="m0,5l1949,5m1949,5l4700,5m4700,5l6309,5m6309,5l7469,5m7469,5l9049,5m0,5l9049,5e">
            <v:fill on="f" focussize="0,0"/>
            <v:stroke weight="0.5pt" color="#000000" miterlimit="10" joinstyle="miter"/>
            <v:imagedata o:title=""/>
            <o:lock v:ext="edit"/>
          </v:shape>
        </w:pict>
      </w:r>
      <w:r>
        <w:rPr>
          <w:rFonts w:ascii="宋体" w:hAnsi="宋体" w:eastAsia="宋体" w:cs="宋体"/>
          <w:spacing w:val="2"/>
          <w:sz w:val="20"/>
          <w:szCs w:val="20"/>
        </w:rPr>
        <w:t>自伤和人际暴力</w:t>
      </w:r>
    </w:p>
    <w:p w14:paraId="64614313">
      <w:pPr>
        <w:spacing w:line="14" w:lineRule="auto"/>
        <w:rPr>
          <w:rFonts w:ascii="Arial"/>
          <w:sz w:val="2"/>
        </w:rPr>
      </w:pPr>
      <w:r>
        <w:rPr>
          <w:rFonts w:ascii="Arial" w:hAnsi="Arial" w:eastAsia="Arial" w:cs="Arial"/>
          <w:sz w:val="2"/>
          <w:szCs w:val="2"/>
        </w:rPr>
        <w:br w:type="column"/>
      </w:r>
    </w:p>
    <w:p w14:paraId="4D6353B8">
      <w:pPr>
        <w:spacing w:line="341" w:lineRule="auto"/>
        <w:rPr>
          <w:rFonts w:ascii="Arial"/>
          <w:sz w:val="21"/>
        </w:rPr>
      </w:pPr>
    </w:p>
    <w:p w14:paraId="080EAF07">
      <w:pPr>
        <w:spacing w:before="65" w:line="219" w:lineRule="auto"/>
        <w:ind w:left="200"/>
        <w:rPr>
          <w:rFonts w:ascii="宋体" w:hAnsi="宋体" w:eastAsia="宋体" w:cs="宋体"/>
          <w:sz w:val="20"/>
          <w:szCs w:val="20"/>
        </w:rPr>
      </w:pPr>
      <w:r>
        <w:rPr>
          <w:rFonts w:ascii="宋体" w:hAnsi="宋体" w:eastAsia="宋体" w:cs="宋体"/>
          <w:spacing w:val="3"/>
          <w:sz w:val="20"/>
          <w:szCs w:val="20"/>
        </w:rPr>
        <w:t>道路伤害</w:t>
      </w:r>
    </w:p>
    <w:p w14:paraId="54F0A2C3">
      <w:pPr>
        <w:spacing w:before="153" w:line="219" w:lineRule="auto"/>
        <w:rPr>
          <w:rFonts w:ascii="宋体" w:hAnsi="宋体" w:eastAsia="宋体" w:cs="宋体"/>
          <w:sz w:val="20"/>
          <w:szCs w:val="20"/>
        </w:rPr>
      </w:pPr>
      <w:r>
        <w:rPr>
          <w:rFonts w:ascii="宋体" w:hAnsi="宋体" w:eastAsia="宋体" w:cs="宋体"/>
          <w:spacing w:val="2"/>
          <w:sz w:val="20"/>
          <w:szCs w:val="20"/>
        </w:rPr>
        <w:t>其他交通伤害</w:t>
      </w:r>
    </w:p>
    <w:p w14:paraId="6A3066A1">
      <w:pPr>
        <w:spacing w:line="252" w:lineRule="auto"/>
        <w:rPr>
          <w:rFonts w:ascii="Arial"/>
          <w:sz w:val="21"/>
        </w:rPr>
      </w:pPr>
    </w:p>
    <w:p w14:paraId="74366340">
      <w:pPr>
        <w:spacing w:line="253" w:lineRule="auto"/>
        <w:rPr>
          <w:rFonts w:ascii="Arial"/>
          <w:sz w:val="21"/>
        </w:rPr>
      </w:pPr>
    </w:p>
    <w:p w14:paraId="608903C0">
      <w:pPr>
        <w:spacing w:before="65" w:line="220" w:lineRule="auto"/>
        <w:ind w:left="399"/>
        <w:rPr>
          <w:rFonts w:ascii="宋体" w:hAnsi="宋体" w:eastAsia="宋体" w:cs="宋体"/>
          <w:sz w:val="20"/>
          <w:szCs w:val="20"/>
        </w:rPr>
      </w:pPr>
      <w:r>
        <w:rPr>
          <w:rFonts w:ascii="宋体" w:hAnsi="宋体" w:eastAsia="宋体" w:cs="宋体"/>
          <w:spacing w:val="7"/>
          <w:sz w:val="20"/>
          <w:szCs w:val="20"/>
        </w:rPr>
        <w:t>跌倒</w:t>
      </w:r>
    </w:p>
    <w:p w14:paraId="56E9FD15">
      <w:pPr>
        <w:spacing w:before="151" w:line="219" w:lineRule="auto"/>
        <w:ind w:left="399"/>
        <w:rPr>
          <w:rFonts w:ascii="宋体" w:hAnsi="宋体" w:eastAsia="宋体" w:cs="宋体"/>
          <w:sz w:val="20"/>
          <w:szCs w:val="20"/>
        </w:rPr>
      </w:pPr>
      <w:r>
        <w:rPr>
          <w:rFonts w:ascii="宋体" w:hAnsi="宋体" w:eastAsia="宋体" w:cs="宋体"/>
          <w:spacing w:val="-3"/>
          <w:sz w:val="20"/>
          <w:szCs w:val="20"/>
        </w:rPr>
        <w:t>溺水</w:t>
      </w:r>
    </w:p>
    <w:p w14:paraId="33271D2B">
      <w:pPr>
        <w:spacing w:line="242" w:lineRule="auto"/>
        <w:rPr>
          <w:rFonts w:ascii="Arial"/>
          <w:sz w:val="21"/>
        </w:rPr>
      </w:pPr>
    </w:p>
    <w:p w14:paraId="7DA86517">
      <w:pPr>
        <w:spacing w:line="242" w:lineRule="auto"/>
        <w:rPr>
          <w:rFonts w:ascii="Arial"/>
          <w:sz w:val="21"/>
        </w:rPr>
      </w:pPr>
    </w:p>
    <w:p w14:paraId="163CC994">
      <w:pPr>
        <w:spacing w:before="66" w:line="219" w:lineRule="auto"/>
        <w:ind w:left="399"/>
        <w:rPr>
          <w:rFonts w:ascii="宋体" w:hAnsi="宋体" w:eastAsia="宋体" w:cs="宋体"/>
          <w:sz w:val="20"/>
          <w:szCs w:val="20"/>
        </w:rPr>
      </w:pPr>
      <w:r>
        <w:rPr>
          <w:rFonts w:ascii="宋体" w:hAnsi="宋体" w:eastAsia="宋体" w:cs="宋体"/>
          <w:spacing w:val="9"/>
          <w:sz w:val="20"/>
          <w:szCs w:val="20"/>
        </w:rPr>
        <w:t>自伤</w:t>
      </w:r>
    </w:p>
    <w:p w14:paraId="04FED749">
      <w:pPr>
        <w:spacing w:before="172" w:line="219" w:lineRule="auto"/>
        <w:ind w:left="200"/>
        <w:rPr>
          <w:rFonts w:ascii="宋体" w:hAnsi="宋体" w:eastAsia="宋体" w:cs="宋体"/>
          <w:sz w:val="20"/>
          <w:szCs w:val="20"/>
        </w:rPr>
      </w:pPr>
      <w:r>
        <w:rPr>
          <w:rFonts w:ascii="宋体" w:hAnsi="宋体" w:eastAsia="宋体" w:cs="宋体"/>
          <w:spacing w:val="4"/>
          <w:sz w:val="20"/>
          <w:szCs w:val="20"/>
        </w:rPr>
        <w:t>人际暴力</w:t>
      </w:r>
    </w:p>
    <w:p w14:paraId="7E5216B5">
      <w:pPr>
        <w:spacing w:line="14" w:lineRule="auto"/>
        <w:rPr>
          <w:rFonts w:ascii="Arial"/>
          <w:sz w:val="2"/>
        </w:rPr>
      </w:pPr>
      <w:r>
        <w:rPr>
          <w:rFonts w:ascii="Arial" w:hAnsi="Arial" w:eastAsia="Arial" w:cs="Arial"/>
          <w:sz w:val="2"/>
          <w:szCs w:val="2"/>
        </w:rPr>
        <w:br w:type="column"/>
      </w:r>
    </w:p>
    <w:p w14:paraId="64F5AA44">
      <w:pPr>
        <w:spacing w:line="38" w:lineRule="exact"/>
      </w:pPr>
    </w:p>
    <w:tbl>
      <w:tblPr>
        <w:tblStyle w:val="5"/>
        <w:tblW w:w="3200" w:type="dxa"/>
        <w:tblInd w:w="549"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0" w:type="dxa"/>
          <w:left w:w="0" w:type="dxa"/>
          <w:bottom w:w="0" w:type="dxa"/>
          <w:right w:w="0" w:type="dxa"/>
        </w:tblCellMar>
      </w:tblPr>
      <w:tblGrid>
        <w:gridCol w:w="959"/>
        <w:gridCol w:w="1360"/>
        <w:gridCol w:w="881"/>
      </w:tblGrid>
      <w:tr w14:paraId="7FB493DC">
        <w:trPr>
          <w:trHeight w:val="1389" w:hRule="atLeast"/>
        </w:trPr>
        <w:tc>
          <w:tcPr>
            <w:tcW w:w="959" w:type="dxa"/>
            <w:vAlign w:val="top"/>
          </w:tcPr>
          <w:p w14:paraId="13F915DD">
            <w:pPr>
              <w:pStyle w:val="6"/>
              <w:spacing w:line="238" w:lineRule="auto"/>
              <w:ind w:left="50"/>
            </w:pPr>
            <w:r>
              <w:rPr>
                <w:spacing w:val="-2"/>
              </w:rPr>
              <w:t>69.6</w:t>
            </w:r>
          </w:p>
          <w:p w14:paraId="4BF4866B">
            <w:pPr>
              <w:pStyle w:val="6"/>
              <w:spacing w:before="130" w:line="239" w:lineRule="auto"/>
              <w:ind w:left="50"/>
            </w:pPr>
            <w:r>
              <w:rPr>
                <w:spacing w:val="-2"/>
              </w:rPr>
              <w:t>65.1</w:t>
            </w:r>
          </w:p>
          <w:p w14:paraId="750D2D4C">
            <w:pPr>
              <w:pStyle w:val="6"/>
              <w:spacing w:before="131" w:line="239" w:lineRule="auto"/>
              <w:ind w:left="100"/>
            </w:pPr>
            <w:r>
              <w:rPr>
                <w:spacing w:val="-2"/>
              </w:rPr>
              <w:t>4.5</w:t>
            </w:r>
          </w:p>
          <w:p w14:paraId="6316A0F2">
            <w:pPr>
              <w:pStyle w:val="6"/>
              <w:spacing w:before="151" w:line="174" w:lineRule="auto"/>
            </w:pPr>
            <w:r>
              <w:rPr>
                <w:spacing w:val="-4"/>
              </w:rPr>
              <w:t>108.0</w:t>
            </w:r>
          </w:p>
        </w:tc>
        <w:tc>
          <w:tcPr>
            <w:tcW w:w="1360" w:type="dxa"/>
            <w:vAlign w:val="top"/>
          </w:tcPr>
          <w:p w14:paraId="71A71AD7">
            <w:pPr>
              <w:pStyle w:val="6"/>
              <w:spacing w:line="238" w:lineRule="auto"/>
              <w:ind w:left="530"/>
            </w:pPr>
            <w:r>
              <w:rPr>
                <w:spacing w:val="-2"/>
              </w:rPr>
              <w:t>9.0</w:t>
            </w:r>
          </w:p>
          <w:p w14:paraId="44A8EE61">
            <w:pPr>
              <w:pStyle w:val="6"/>
              <w:spacing w:before="130" w:line="239" w:lineRule="auto"/>
              <w:ind w:left="530"/>
            </w:pPr>
            <w:r>
              <w:rPr>
                <w:spacing w:val="-2"/>
              </w:rPr>
              <w:t>8.3</w:t>
            </w:r>
          </w:p>
          <w:p w14:paraId="55167DE9">
            <w:pPr>
              <w:pStyle w:val="6"/>
              <w:spacing w:before="131" w:line="239" w:lineRule="auto"/>
              <w:ind w:left="530"/>
            </w:pPr>
            <w:r>
              <w:rPr>
                <w:spacing w:val="-3"/>
              </w:rPr>
              <w:t>0.7</w:t>
            </w:r>
          </w:p>
          <w:p w14:paraId="63A61EBA">
            <w:pPr>
              <w:pStyle w:val="6"/>
              <w:spacing w:before="151" w:line="174" w:lineRule="auto"/>
              <w:ind w:left="481"/>
            </w:pPr>
            <w:r>
              <w:rPr>
                <w:spacing w:val="-3"/>
              </w:rPr>
              <w:t>39.1</w:t>
            </w:r>
          </w:p>
        </w:tc>
        <w:tc>
          <w:tcPr>
            <w:tcW w:w="881" w:type="dxa"/>
            <w:vAlign w:val="top"/>
          </w:tcPr>
          <w:p w14:paraId="20080214">
            <w:pPr>
              <w:pStyle w:val="6"/>
              <w:spacing w:line="238" w:lineRule="auto"/>
              <w:jc w:val="right"/>
            </w:pPr>
            <w:r>
              <w:rPr>
                <w:spacing w:val="-3"/>
              </w:rPr>
              <w:t>60.7</w:t>
            </w:r>
          </w:p>
          <w:p w14:paraId="5208265F">
            <w:pPr>
              <w:pStyle w:val="6"/>
              <w:spacing w:before="130" w:line="239" w:lineRule="auto"/>
              <w:jc w:val="right"/>
            </w:pPr>
            <w:r>
              <w:rPr>
                <w:spacing w:val="-3"/>
              </w:rPr>
              <w:t>56.9</w:t>
            </w:r>
          </w:p>
          <w:p w14:paraId="42D31240">
            <w:pPr>
              <w:pStyle w:val="6"/>
              <w:spacing w:before="131" w:line="239" w:lineRule="auto"/>
              <w:ind w:left="541"/>
            </w:pPr>
            <w:r>
              <w:rPr>
                <w:spacing w:val="-3"/>
              </w:rPr>
              <w:t>3.8</w:t>
            </w:r>
          </w:p>
          <w:p w14:paraId="6E44BA6F">
            <w:pPr>
              <w:pStyle w:val="6"/>
              <w:spacing w:before="151" w:line="174" w:lineRule="auto"/>
              <w:jc w:val="right"/>
            </w:pPr>
            <w:r>
              <w:rPr>
                <w:spacing w:val="-3"/>
              </w:rPr>
              <w:t>69.0</w:t>
            </w:r>
          </w:p>
        </w:tc>
      </w:tr>
    </w:tbl>
    <w:p w14:paraId="62EDCC6D">
      <w:pPr>
        <w:spacing w:line="303" w:lineRule="auto"/>
        <w:rPr>
          <w:rFonts w:ascii="Arial"/>
          <w:sz w:val="21"/>
        </w:rPr>
      </w:pPr>
      <w:r>
        <w:pict>
          <v:rect id="_x0000_s1197" o:spid="_x0000_s1197" o:spt="1" style="position:absolute;left:0pt;margin-left:0pt;margin-top:3.55pt;height:39.55pt;width:217.5pt;z-index:251907072;mso-width-relative:page;mso-height-relative:page;" fillcolor="#E8E8E9" filled="t" stroked="f" coordsize="21600,21600">
            <v:path/>
            <v:fill on="t" focussize="0,0"/>
            <v:stroke on="f"/>
            <v:imagedata o:title=""/>
            <o:lock v:ext="edit"/>
          </v:rect>
        </w:pict>
      </w:r>
      <w:r>
        <w:pict>
          <v:shape id="_x0000_s1198" o:spid="_x0000_s1198" o:spt="202" type="#_x0000_t202" style="position:absolute;left:0pt;margin-left:29pt;margin-top:8.95pt;height:34.4pt;width:21.65pt;z-index:251909120;mso-width-relative:page;mso-height-relative:page;" filled="f" stroked="f" coordsize="21600,21600">
            <v:path/>
            <v:fill on="f" focussize="0,0"/>
            <v:stroke on="f"/>
            <v:imagedata o:title=""/>
            <o:lock v:ext="edit" aspectratio="f"/>
            <v:textbox inset="0mm,0mm,0mm,0mm">
              <w:txbxContent>
                <w:p w14:paraId="3152CC27">
                  <w:pPr>
                    <w:spacing w:before="19" w:line="309" w:lineRule="auto"/>
                    <w:ind w:left="20" w:right="20"/>
                    <w:rPr>
                      <w:rFonts w:ascii="宋体" w:hAnsi="宋体" w:eastAsia="宋体" w:cs="宋体"/>
                      <w:sz w:val="20"/>
                      <w:szCs w:val="20"/>
                    </w:rPr>
                  </w:pPr>
                  <w:r>
                    <w:rPr>
                      <w:rFonts w:ascii="宋体" w:hAnsi="宋体" w:eastAsia="宋体" w:cs="宋体"/>
                      <w:spacing w:val="-2"/>
                      <w:sz w:val="20"/>
                      <w:szCs w:val="20"/>
                    </w:rPr>
                    <w:t>43.8</w:t>
                  </w:r>
                  <w:r>
                    <w:rPr>
                      <w:rFonts w:ascii="宋体" w:hAnsi="宋体" w:eastAsia="宋体" w:cs="宋体"/>
                      <w:sz w:val="20"/>
                      <w:szCs w:val="20"/>
                    </w:rPr>
                    <w:t xml:space="preserve"> </w:t>
                  </w:r>
                  <w:r>
                    <w:rPr>
                      <w:rFonts w:ascii="宋体" w:hAnsi="宋体" w:eastAsia="宋体" w:cs="宋体"/>
                      <w:spacing w:val="-5"/>
                      <w:sz w:val="20"/>
                      <w:szCs w:val="20"/>
                    </w:rPr>
                    <w:t>15.7</w:t>
                  </w:r>
                </w:p>
              </w:txbxContent>
            </v:textbox>
          </v:shape>
        </w:pict>
      </w:r>
      <w:r>
        <w:pict>
          <v:shape id="_x0000_s1199" o:spid="_x0000_s1199" o:spt="202" type="#_x0000_t202" style="position:absolute;left:0pt;margin-left:98.45pt;margin-top:8.95pt;height:34.4pt;width:21.5pt;z-index:251908096;mso-width-relative:page;mso-height-relative:page;" filled="f" stroked="f" coordsize="21600,21600">
            <v:path/>
            <v:fill on="f" focussize="0,0"/>
            <v:stroke on="f"/>
            <v:imagedata o:title=""/>
            <o:lock v:ext="edit" aspectratio="f"/>
            <v:textbox inset="0mm,0mm,0mm,0mm">
              <w:txbxContent>
                <w:p w14:paraId="4A128C11">
                  <w:pPr>
                    <w:spacing w:before="19" w:line="309" w:lineRule="auto"/>
                    <w:ind w:left="69" w:right="20" w:hanging="49"/>
                    <w:rPr>
                      <w:rFonts w:ascii="宋体" w:hAnsi="宋体" w:eastAsia="宋体" w:cs="宋体"/>
                      <w:sz w:val="20"/>
                      <w:szCs w:val="20"/>
                    </w:rPr>
                  </w:pPr>
                  <w:r>
                    <w:rPr>
                      <w:rFonts w:ascii="宋体" w:hAnsi="宋体" w:eastAsia="宋体" w:cs="宋体"/>
                      <w:spacing w:val="-3"/>
                      <w:sz w:val="20"/>
                      <w:szCs w:val="20"/>
                    </w:rPr>
                    <w:t>24.2</w:t>
                  </w:r>
                  <w:r>
                    <w:rPr>
                      <w:rFonts w:ascii="宋体" w:hAnsi="宋体" w:eastAsia="宋体" w:cs="宋体"/>
                      <w:sz w:val="20"/>
                      <w:szCs w:val="20"/>
                    </w:rPr>
                    <w:t xml:space="preserve"> </w:t>
                  </w:r>
                  <w:r>
                    <w:rPr>
                      <w:rFonts w:ascii="宋体" w:hAnsi="宋体" w:eastAsia="宋体" w:cs="宋体"/>
                      <w:spacing w:val="-3"/>
                      <w:sz w:val="20"/>
                      <w:szCs w:val="20"/>
                    </w:rPr>
                    <w:t>0.1</w:t>
                  </w:r>
                </w:p>
              </w:txbxContent>
            </v:textbox>
          </v:shape>
        </w:pict>
      </w:r>
      <w:r>
        <w:pict>
          <v:shape id="_x0000_s1200" o:spid="_x0000_s1200" o:spt="202" type="#_x0000_t202" style="position:absolute;left:0pt;margin-left:166.95pt;margin-top:8.95pt;height:34.4pt;width:20.9pt;z-index:251910144;mso-width-relative:page;mso-height-relative:page;" filled="f" stroked="f" coordsize="21600,21600">
            <v:path/>
            <v:fill on="f" focussize="0,0"/>
            <v:stroke on="f"/>
            <v:imagedata o:title=""/>
            <o:lock v:ext="edit" aspectratio="f"/>
            <v:textbox inset="0mm,0mm,0mm,0mm">
              <w:txbxContent>
                <w:p w14:paraId="73BAD4FF">
                  <w:pPr>
                    <w:spacing w:before="19" w:line="309" w:lineRule="auto"/>
                    <w:ind w:left="20" w:right="20"/>
                    <w:rPr>
                      <w:rFonts w:ascii="宋体" w:hAnsi="宋体" w:eastAsia="宋体" w:cs="宋体"/>
                      <w:sz w:val="20"/>
                      <w:szCs w:val="20"/>
                    </w:rPr>
                  </w:pPr>
                  <w:r>
                    <w:rPr>
                      <w:rFonts w:ascii="宋体" w:hAnsi="宋体" w:eastAsia="宋体" w:cs="宋体"/>
                      <w:spacing w:val="-6"/>
                      <w:sz w:val="20"/>
                      <w:szCs w:val="20"/>
                    </w:rPr>
                    <w:t>19.6</w:t>
                  </w:r>
                  <w:r>
                    <w:rPr>
                      <w:rFonts w:ascii="宋体" w:hAnsi="宋体" w:eastAsia="宋体" w:cs="宋体"/>
                      <w:sz w:val="20"/>
                      <w:szCs w:val="20"/>
                    </w:rPr>
                    <w:t xml:space="preserve"> </w:t>
                  </w:r>
                  <w:r>
                    <w:rPr>
                      <w:rFonts w:ascii="宋体" w:hAnsi="宋体" w:eastAsia="宋体" w:cs="宋体"/>
                      <w:spacing w:val="-6"/>
                      <w:sz w:val="20"/>
                      <w:szCs w:val="20"/>
                    </w:rPr>
                    <w:t>15.6</w:t>
                  </w:r>
                </w:p>
              </w:txbxContent>
            </v:textbox>
          </v:shape>
        </w:pict>
      </w:r>
    </w:p>
    <w:p w14:paraId="0B966BE7">
      <w:pPr>
        <w:spacing w:line="303" w:lineRule="auto"/>
        <w:rPr>
          <w:rFonts w:ascii="Arial"/>
          <w:sz w:val="21"/>
        </w:rPr>
      </w:pPr>
    </w:p>
    <w:p w14:paraId="4F0B62EB">
      <w:pPr>
        <w:spacing w:line="303" w:lineRule="auto"/>
        <w:rPr>
          <w:rFonts w:ascii="Arial"/>
          <w:sz w:val="21"/>
        </w:rPr>
      </w:pPr>
    </w:p>
    <w:p w14:paraId="22407270">
      <w:pPr>
        <w:spacing w:before="66" w:line="374" w:lineRule="auto"/>
        <w:ind w:left="599" w:right="3955"/>
        <w:rPr>
          <w:rFonts w:ascii="宋体" w:hAnsi="宋体" w:eastAsia="宋体" w:cs="宋体"/>
          <w:sz w:val="20"/>
          <w:szCs w:val="20"/>
        </w:rPr>
      </w:pPr>
      <w:r>
        <w:pict>
          <v:shape id="_x0000_s1201" o:spid="_x0000_s1201" o:spt="202" type="#_x0000_t202" style="position:absolute;left:0pt;margin-left:100.95pt;margin-top:2.25pt;height:55.45pt;width:16.6pt;z-index:251905024;mso-width-relative:page;mso-height-relative:page;" filled="f" stroked="f" coordsize="21600,21600">
            <v:path/>
            <v:fill on="f" focussize="0,0"/>
            <v:stroke on="f"/>
            <v:imagedata o:title=""/>
            <o:lock v:ext="edit" aspectratio="f"/>
            <v:textbox inset="0mm,0mm,0mm,0mm">
              <w:txbxContent>
                <w:p w14:paraId="2BAB4A2C">
                  <w:pPr>
                    <w:spacing w:before="19" w:line="374" w:lineRule="auto"/>
                    <w:ind w:left="20" w:right="20"/>
                    <w:rPr>
                      <w:rFonts w:ascii="宋体" w:hAnsi="宋体" w:eastAsia="宋体" w:cs="宋体"/>
                      <w:sz w:val="20"/>
                      <w:szCs w:val="20"/>
                    </w:rPr>
                  </w:pPr>
                  <w:r>
                    <w:rPr>
                      <w:rFonts w:ascii="宋体" w:hAnsi="宋体" w:eastAsia="宋体" w:cs="宋体"/>
                      <w:spacing w:val="-3"/>
                      <w:sz w:val="20"/>
                      <w:szCs w:val="20"/>
                    </w:rPr>
                    <w:t>8.5</w:t>
                  </w:r>
                  <w:r>
                    <w:rPr>
                      <w:rFonts w:ascii="宋体" w:hAnsi="宋体" w:eastAsia="宋体" w:cs="宋体"/>
                      <w:sz w:val="20"/>
                      <w:szCs w:val="20"/>
                    </w:rPr>
                    <w:t xml:space="preserve"> </w:t>
                  </w:r>
                  <w:r>
                    <w:rPr>
                      <w:rFonts w:ascii="宋体" w:hAnsi="宋体" w:eastAsia="宋体" w:cs="宋体"/>
                      <w:spacing w:val="-4"/>
                      <w:sz w:val="20"/>
                      <w:szCs w:val="20"/>
                    </w:rPr>
                    <w:t>0.9</w:t>
                  </w:r>
                </w:p>
                <w:p w14:paraId="0BDAA2A5">
                  <w:pPr>
                    <w:spacing w:line="238" w:lineRule="auto"/>
                    <w:ind w:left="20"/>
                    <w:rPr>
                      <w:rFonts w:ascii="宋体" w:hAnsi="宋体" w:eastAsia="宋体" w:cs="宋体"/>
                      <w:sz w:val="20"/>
                      <w:szCs w:val="20"/>
                    </w:rPr>
                  </w:pPr>
                  <w:r>
                    <w:rPr>
                      <w:rFonts w:ascii="宋体" w:hAnsi="宋体" w:eastAsia="宋体" w:cs="宋体"/>
                      <w:spacing w:val="-3"/>
                      <w:sz w:val="20"/>
                      <w:szCs w:val="20"/>
                    </w:rPr>
                    <w:t>5.2</w:t>
                  </w:r>
                </w:p>
              </w:txbxContent>
            </v:textbox>
          </v:shape>
        </w:pict>
      </w:r>
      <w:r>
        <w:pict>
          <v:shape id="_x0000_s1202" o:spid="_x0000_s1202" o:spt="202" type="#_x0000_t202" style="position:absolute;left:0pt;margin-left:166.95pt;margin-top:2.25pt;height:55.45pt;width:21.55pt;z-index:251904000;mso-width-relative:page;mso-height-relative:page;" filled="f" stroked="f" coordsize="21600,21600">
            <v:path/>
            <v:fill on="f" focussize="0,0"/>
            <v:stroke on="f"/>
            <v:imagedata o:title=""/>
            <o:lock v:ext="edit" aspectratio="f"/>
            <v:textbox inset="0mm,0mm,0mm,0mm">
              <w:txbxContent>
                <w:p w14:paraId="65E41593">
                  <w:pPr>
                    <w:spacing w:before="19" w:line="374" w:lineRule="auto"/>
                    <w:ind w:left="20" w:right="20"/>
                    <w:rPr>
                      <w:rFonts w:ascii="宋体" w:hAnsi="宋体" w:eastAsia="宋体" w:cs="宋体"/>
                      <w:sz w:val="20"/>
                      <w:szCs w:val="20"/>
                    </w:rPr>
                  </w:pPr>
                  <w:r>
                    <w:rPr>
                      <w:rFonts w:ascii="宋体" w:hAnsi="宋体" w:eastAsia="宋体" w:cs="宋体"/>
                      <w:spacing w:val="-3"/>
                      <w:sz w:val="20"/>
                      <w:szCs w:val="20"/>
                    </w:rPr>
                    <w:t>61.5</w:t>
                  </w:r>
                  <w:r>
                    <w:rPr>
                      <w:rFonts w:ascii="宋体" w:hAnsi="宋体" w:eastAsia="宋体" w:cs="宋体"/>
                      <w:spacing w:val="1"/>
                      <w:sz w:val="20"/>
                      <w:szCs w:val="20"/>
                    </w:rPr>
                    <w:t xml:space="preserve"> </w:t>
                  </w:r>
                  <w:r>
                    <w:rPr>
                      <w:rFonts w:ascii="宋体" w:hAnsi="宋体" w:eastAsia="宋体" w:cs="宋体"/>
                      <w:spacing w:val="-3"/>
                      <w:sz w:val="20"/>
                      <w:szCs w:val="20"/>
                    </w:rPr>
                    <w:t>32.6</w:t>
                  </w:r>
                </w:p>
                <w:p w14:paraId="6006D796">
                  <w:pPr>
                    <w:spacing w:line="238" w:lineRule="auto"/>
                    <w:ind w:left="20"/>
                    <w:rPr>
                      <w:rFonts w:ascii="宋体" w:hAnsi="宋体" w:eastAsia="宋体" w:cs="宋体"/>
                      <w:sz w:val="20"/>
                      <w:szCs w:val="20"/>
                    </w:rPr>
                  </w:pPr>
                  <w:r>
                    <w:rPr>
                      <w:rFonts w:ascii="宋体" w:hAnsi="宋体" w:eastAsia="宋体" w:cs="宋体"/>
                      <w:spacing w:val="-2"/>
                      <w:sz w:val="20"/>
                      <w:szCs w:val="20"/>
                    </w:rPr>
                    <w:t>21.6</w:t>
                  </w:r>
                </w:p>
              </w:txbxContent>
            </v:textbox>
          </v:shape>
        </w:pict>
      </w:r>
      <w:r>
        <w:rPr>
          <w:rFonts w:ascii="宋体" w:hAnsi="宋体" w:eastAsia="宋体" w:cs="宋体"/>
          <w:spacing w:val="-3"/>
          <w:sz w:val="20"/>
          <w:szCs w:val="20"/>
        </w:rPr>
        <w:t>69.9</w:t>
      </w:r>
      <w:r>
        <w:rPr>
          <w:rFonts w:ascii="宋体" w:hAnsi="宋体" w:eastAsia="宋体" w:cs="宋体"/>
          <w:spacing w:val="1"/>
          <w:sz w:val="20"/>
          <w:szCs w:val="20"/>
        </w:rPr>
        <w:t xml:space="preserve"> </w:t>
      </w:r>
      <w:r>
        <w:rPr>
          <w:rFonts w:ascii="宋体" w:hAnsi="宋体" w:eastAsia="宋体" w:cs="宋体"/>
          <w:spacing w:val="-3"/>
          <w:sz w:val="20"/>
          <w:szCs w:val="20"/>
        </w:rPr>
        <w:t>33.5</w:t>
      </w:r>
    </w:p>
    <w:p w14:paraId="44CB75F6">
      <w:pPr>
        <w:spacing w:line="221" w:lineRule="auto"/>
        <w:ind w:left="599"/>
        <w:rPr>
          <w:rFonts w:ascii="宋体" w:hAnsi="宋体" w:eastAsia="宋体" w:cs="宋体"/>
          <w:sz w:val="20"/>
          <w:szCs w:val="20"/>
        </w:rPr>
      </w:pPr>
      <w:r>
        <w:rPr>
          <w:rFonts w:ascii="宋体" w:hAnsi="宋体" w:eastAsia="宋体" w:cs="宋体"/>
          <w:spacing w:val="-2"/>
          <w:sz w:val="20"/>
          <w:szCs w:val="20"/>
        </w:rPr>
        <w:t>26.8</w:t>
      </w:r>
    </w:p>
    <w:p w14:paraId="6E66C387">
      <w:pPr>
        <w:spacing w:line="221" w:lineRule="auto"/>
        <w:rPr>
          <w:rFonts w:ascii="宋体" w:hAnsi="宋体" w:eastAsia="宋体" w:cs="宋体"/>
          <w:sz w:val="20"/>
          <w:szCs w:val="20"/>
        </w:rPr>
        <w:sectPr>
          <w:type w:val="continuous"/>
          <w:pgSz w:w="11900" w:h="16820"/>
          <w:pgMar w:top="400" w:right="824" w:bottom="829" w:left="1400" w:header="0" w:footer="649" w:gutter="0"/>
          <w:cols w:equalWidth="0" w:num="3">
            <w:col w:w="2650" w:space="100"/>
            <w:col w:w="1881" w:space="100"/>
            <w:col w:w="4946"/>
          </w:cols>
        </w:sectPr>
      </w:pPr>
    </w:p>
    <w:p w14:paraId="171A3719">
      <w:pPr>
        <w:spacing w:before="100" w:line="219" w:lineRule="auto"/>
        <w:ind w:left="49"/>
        <w:rPr>
          <w:rFonts w:ascii="宋体" w:hAnsi="宋体" w:eastAsia="宋体" w:cs="宋体"/>
          <w:sz w:val="20"/>
          <w:szCs w:val="20"/>
        </w:rPr>
      </w:pPr>
      <w:r>
        <w:rPr>
          <w:rFonts w:ascii="宋体" w:hAnsi="宋体" w:eastAsia="宋体" w:cs="宋体"/>
          <w:spacing w:val="-1"/>
          <w:sz w:val="20"/>
          <w:szCs w:val="20"/>
        </w:rPr>
        <w:t>注：*右侧仅列出常见类型。</w:t>
      </w:r>
    </w:p>
    <w:p w14:paraId="4572F3C6">
      <w:pPr>
        <w:spacing w:before="1" w:line="192" w:lineRule="auto"/>
        <w:ind w:left="8069"/>
        <w:rPr>
          <w:rFonts w:ascii="Times New Roman" w:hAnsi="Times New Roman" w:eastAsia="Times New Roman" w:cs="Times New Roman"/>
          <w:sz w:val="20"/>
          <w:szCs w:val="20"/>
        </w:rPr>
      </w:pPr>
      <w:r>
        <w:rPr>
          <w:rFonts w:ascii="Times New Roman" w:hAnsi="Times New Roman" w:eastAsia="Times New Roman" w:cs="Times New Roman"/>
          <w:spacing w:val="-5"/>
          <w:sz w:val="20"/>
          <w:szCs w:val="20"/>
        </w:rPr>
        <w:t>(GBD,2021)</w:t>
      </w:r>
    </w:p>
    <w:p w14:paraId="01268017">
      <w:pPr>
        <w:spacing w:line="396" w:lineRule="auto"/>
        <w:rPr>
          <w:rFonts w:ascii="Arial"/>
          <w:sz w:val="21"/>
        </w:rPr>
      </w:pPr>
    </w:p>
    <w:p w14:paraId="2EB7E486">
      <w:pPr>
        <w:pStyle w:val="2"/>
        <w:spacing w:before="82" w:line="223" w:lineRule="auto"/>
        <w:ind w:left="439"/>
        <w:outlineLvl w:val="4"/>
        <w:rPr>
          <w:sz w:val="25"/>
          <w:szCs w:val="25"/>
        </w:rPr>
      </w:pPr>
      <w:bookmarkStart w:id="403" w:name="bookmark255"/>
      <w:bookmarkEnd w:id="403"/>
      <w:r>
        <w:rPr>
          <w:spacing w:val="1"/>
          <w:sz w:val="25"/>
          <w:szCs w:val="25"/>
        </w:rPr>
        <w:t>二</w:t>
      </w:r>
      <w:r>
        <w:rPr>
          <w:spacing w:val="-62"/>
          <w:sz w:val="25"/>
          <w:szCs w:val="25"/>
        </w:rPr>
        <w:t xml:space="preserve"> </w:t>
      </w:r>
      <w:r>
        <w:rPr>
          <w:spacing w:val="1"/>
          <w:sz w:val="25"/>
          <w:szCs w:val="25"/>
        </w:rPr>
        <w:t>、伤害监测</w:t>
      </w:r>
    </w:p>
    <w:p w14:paraId="3938038B">
      <w:pPr>
        <w:pStyle w:val="2"/>
        <w:spacing w:before="225" w:line="221" w:lineRule="auto"/>
        <w:ind w:left="439"/>
        <w:rPr>
          <w:sz w:val="25"/>
          <w:szCs w:val="25"/>
        </w:rPr>
      </w:pPr>
      <w:r>
        <w:rPr>
          <w:spacing w:val="9"/>
          <w:sz w:val="25"/>
          <w:szCs w:val="25"/>
        </w:rPr>
        <w:t>(一)概述</w:t>
      </w:r>
    </w:p>
    <w:p w14:paraId="45E514FA">
      <w:pPr>
        <w:spacing w:before="104" w:line="341" w:lineRule="auto"/>
        <w:ind w:right="575" w:firstLine="439"/>
        <w:jc w:val="both"/>
        <w:rPr>
          <w:rFonts w:ascii="宋体" w:hAnsi="宋体" w:eastAsia="宋体" w:cs="宋体"/>
          <w:sz w:val="20"/>
          <w:szCs w:val="20"/>
        </w:rPr>
      </w:pPr>
      <w:r>
        <w:rPr>
          <w:rFonts w:ascii="宋体" w:hAnsi="宋体" w:eastAsia="宋体" w:cs="宋体"/>
          <w:spacing w:val="9"/>
          <w:sz w:val="20"/>
          <w:szCs w:val="20"/>
        </w:rPr>
        <w:t>1989年首届世界意外和伤害预防大会在瑞典斯德哥尔摩举行，会议提出开展伤害预防行动，许</w:t>
      </w:r>
      <w:r>
        <w:rPr>
          <w:rFonts w:ascii="宋体" w:hAnsi="宋体" w:eastAsia="宋体" w:cs="宋体"/>
          <w:sz w:val="20"/>
          <w:szCs w:val="20"/>
        </w:rPr>
        <w:t xml:space="preserve"> </w:t>
      </w:r>
      <w:r>
        <w:rPr>
          <w:rFonts w:ascii="宋体" w:hAnsi="宋体" w:eastAsia="宋体" w:cs="宋体"/>
          <w:spacing w:val="17"/>
          <w:sz w:val="20"/>
          <w:szCs w:val="20"/>
        </w:rPr>
        <w:t>多国家和国际组织将完善伤害监测作为解决伤害问题的优先举</w:t>
      </w:r>
      <w:r>
        <w:rPr>
          <w:rFonts w:ascii="宋体" w:hAnsi="宋体" w:eastAsia="宋体" w:cs="宋体"/>
          <w:spacing w:val="16"/>
          <w:sz w:val="20"/>
          <w:szCs w:val="20"/>
        </w:rPr>
        <w:t>措。伤害监测作为掌握伤害发生、</w:t>
      </w:r>
      <w:r>
        <w:rPr>
          <w:rFonts w:ascii="宋体" w:hAnsi="宋体" w:eastAsia="宋体" w:cs="宋体"/>
          <w:sz w:val="20"/>
          <w:szCs w:val="20"/>
        </w:rPr>
        <w:t xml:space="preserve"> </w:t>
      </w:r>
      <w:r>
        <w:rPr>
          <w:rFonts w:ascii="宋体" w:hAnsi="宋体" w:eastAsia="宋体" w:cs="宋体"/>
          <w:spacing w:val="15"/>
          <w:sz w:val="20"/>
          <w:szCs w:val="20"/>
        </w:rPr>
        <w:t>发展状况的主要途径，已成为预防和控制伤</w:t>
      </w:r>
      <w:r>
        <w:rPr>
          <w:rFonts w:ascii="宋体" w:hAnsi="宋体" w:eastAsia="宋体" w:cs="宋体"/>
          <w:spacing w:val="14"/>
          <w:sz w:val="20"/>
          <w:szCs w:val="20"/>
        </w:rPr>
        <w:t>害的全球共识和重大举措。伤害监测是指长期不间断</w:t>
      </w:r>
      <w:r>
        <w:rPr>
          <w:rFonts w:ascii="宋体" w:hAnsi="宋体" w:eastAsia="宋体" w:cs="宋体"/>
          <w:sz w:val="20"/>
          <w:szCs w:val="20"/>
        </w:rPr>
        <w:t xml:space="preserve">  </w:t>
      </w:r>
      <w:r>
        <w:rPr>
          <w:rFonts w:ascii="宋体" w:hAnsi="宋体" w:eastAsia="宋体" w:cs="宋体"/>
          <w:spacing w:val="9"/>
          <w:sz w:val="20"/>
          <w:szCs w:val="20"/>
        </w:rPr>
        <w:t>地收集不同人群伤害的发生、死亡、伤残和经济损失等资料，其主要目的是阐明伤害类型</w:t>
      </w:r>
      <w:r>
        <w:rPr>
          <w:rFonts w:ascii="宋体" w:hAnsi="宋体" w:eastAsia="宋体" w:cs="宋体"/>
          <w:spacing w:val="8"/>
          <w:sz w:val="20"/>
          <w:szCs w:val="20"/>
        </w:rPr>
        <w:t>-人群-时</w:t>
      </w:r>
      <w:r>
        <w:rPr>
          <w:rFonts w:ascii="宋体" w:hAnsi="宋体" w:eastAsia="宋体" w:cs="宋体"/>
          <w:sz w:val="20"/>
          <w:szCs w:val="20"/>
        </w:rPr>
        <w:t xml:space="preserve">  </w:t>
      </w:r>
      <w:r>
        <w:rPr>
          <w:rFonts w:ascii="宋体" w:hAnsi="宋体" w:eastAsia="宋体" w:cs="宋体"/>
          <w:spacing w:val="5"/>
          <w:sz w:val="20"/>
          <w:szCs w:val="20"/>
        </w:rPr>
        <w:t>间分布的特点和趋势，掌握何人、何时、何地和如何发生伤害等详细资料，旨在寻找与环</w:t>
      </w:r>
      <w:r>
        <w:rPr>
          <w:rFonts w:ascii="宋体" w:hAnsi="宋体" w:eastAsia="宋体" w:cs="宋体"/>
          <w:spacing w:val="4"/>
          <w:sz w:val="20"/>
          <w:szCs w:val="20"/>
        </w:rPr>
        <w:t>境、人群和</w:t>
      </w:r>
      <w:r>
        <w:rPr>
          <w:rFonts w:ascii="宋体" w:hAnsi="宋体" w:eastAsia="宋体" w:cs="宋体"/>
          <w:sz w:val="20"/>
          <w:szCs w:val="20"/>
        </w:rPr>
        <w:t xml:space="preserve">  </w:t>
      </w:r>
      <w:r>
        <w:rPr>
          <w:rFonts w:ascii="宋体" w:hAnsi="宋体" w:eastAsia="宋体" w:cs="宋体"/>
          <w:spacing w:val="7"/>
          <w:sz w:val="20"/>
          <w:szCs w:val="20"/>
        </w:rPr>
        <w:t>成本-效益相关的伤害预防与控制方法，确定与特定地点、特定人群相关的伤害发生类型，并结合伤</w:t>
      </w:r>
      <w:r>
        <w:rPr>
          <w:rFonts w:ascii="宋体" w:hAnsi="宋体" w:eastAsia="宋体" w:cs="宋体"/>
          <w:sz w:val="20"/>
          <w:szCs w:val="20"/>
        </w:rPr>
        <w:t xml:space="preserve">  </w:t>
      </w:r>
      <w:r>
        <w:rPr>
          <w:rFonts w:ascii="宋体" w:hAnsi="宋体" w:eastAsia="宋体" w:cs="宋体"/>
          <w:spacing w:val="10"/>
          <w:sz w:val="20"/>
          <w:szCs w:val="20"/>
        </w:rPr>
        <w:t>害干预模型对伤害控制进行系统评价，从根本上减少伤害的发生。</w:t>
      </w:r>
    </w:p>
    <w:p w14:paraId="29CB8A55">
      <w:pPr>
        <w:pStyle w:val="2"/>
        <w:spacing w:before="1" w:line="220" w:lineRule="auto"/>
        <w:ind w:left="439"/>
        <w:rPr>
          <w:sz w:val="20"/>
          <w:szCs w:val="20"/>
        </w:rPr>
      </w:pPr>
      <w:r>
        <w:rPr>
          <w:spacing w:val="-13"/>
          <w:sz w:val="20"/>
          <w:szCs w:val="20"/>
        </w:rPr>
        <w:t>(</w:t>
      </w:r>
      <w:r>
        <w:rPr>
          <w:spacing w:val="-35"/>
          <w:sz w:val="20"/>
          <w:szCs w:val="20"/>
        </w:rPr>
        <w:t xml:space="preserve"> </w:t>
      </w:r>
      <w:r>
        <w:rPr>
          <w:spacing w:val="-13"/>
          <w:sz w:val="20"/>
          <w:szCs w:val="20"/>
        </w:rPr>
        <w:t>二</w:t>
      </w:r>
      <w:r>
        <w:rPr>
          <w:spacing w:val="-48"/>
          <w:sz w:val="20"/>
          <w:szCs w:val="20"/>
        </w:rPr>
        <w:t xml:space="preserve"> </w:t>
      </w:r>
      <w:r>
        <w:rPr>
          <w:spacing w:val="-13"/>
          <w:sz w:val="20"/>
          <w:szCs w:val="20"/>
        </w:rPr>
        <w:t>)</w:t>
      </w:r>
      <w:r>
        <w:rPr>
          <w:spacing w:val="-45"/>
          <w:sz w:val="20"/>
          <w:szCs w:val="20"/>
        </w:rPr>
        <w:t xml:space="preserve"> </w:t>
      </w:r>
      <w:r>
        <w:rPr>
          <w:spacing w:val="-13"/>
          <w:sz w:val="20"/>
          <w:szCs w:val="20"/>
        </w:rPr>
        <w:t>伤</w:t>
      </w:r>
      <w:r>
        <w:rPr>
          <w:spacing w:val="-35"/>
          <w:sz w:val="20"/>
          <w:szCs w:val="20"/>
        </w:rPr>
        <w:t xml:space="preserve"> </w:t>
      </w:r>
      <w:r>
        <w:rPr>
          <w:spacing w:val="-13"/>
          <w:sz w:val="20"/>
          <w:szCs w:val="20"/>
        </w:rPr>
        <w:t>害</w:t>
      </w:r>
      <w:r>
        <w:rPr>
          <w:spacing w:val="-45"/>
          <w:sz w:val="20"/>
          <w:szCs w:val="20"/>
        </w:rPr>
        <w:t xml:space="preserve"> </w:t>
      </w:r>
      <w:r>
        <w:rPr>
          <w:spacing w:val="-13"/>
          <w:sz w:val="20"/>
          <w:szCs w:val="20"/>
        </w:rPr>
        <w:t>监</w:t>
      </w:r>
      <w:r>
        <w:rPr>
          <w:spacing w:val="-46"/>
          <w:sz w:val="20"/>
          <w:szCs w:val="20"/>
        </w:rPr>
        <w:t xml:space="preserve"> </w:t>
      </w:r>
      <w:r>
        <w:rPr>
          <w:spacing w:val="-13"/>
          <w:sz w:val="20"/>
          <w:szCs w:val="20"/>
        </w:rPr>
        <w:t>测</w:t>
      </w:r>
      <w:r>
        <w:rPr>
          <w:spacing w:val="-41"/>
          <w:sz w:val="20"/>
          <w:szCs w:val="20"/>
        </w:rPr>
        <w:t xml:space="preserve"> </w:t>
      </w:r>
      <w:r>
        <w:rPr>
          <w:spacing w:val="-13"/>
          <w:sz w:val="20"/>
          <w:szCs w:val="20"/>
        </w:rPr>
        <w:t>系</w:t>
      </w:r>
      <w:r>
        <w:rPr>
          <w:spacing w:val="-45"/>
          <w:sz w:val="20"/>
          <w:szCs w:val="20"/>
        </w:rPr>
        <w:t xml:space="preserve"> </w:t>
      </w:r>
      <w:r>
        <w:rPr>
          <w:spacing w:val="-13"/>
          <w:sz w:val="20"/>
          <w:szCs w:val="20"/>
        </w:rPr>
        <w:t>统</w:t>
      </w:r>
    </w:p>
    <w:p w14:paraId="56B5D860">
      <w:pPr>
        <w:spacing w:before="133" w:line="341" w:lineRule="auto"/>
        <w:ind w:right="556" w:firstLine="439"/>
        <w:jc w:val="both"/>
        <w:rPr>
          <w:rFonts w:ascii="宋体" w:hAnsi="宋体" w:eastAsia="宋体" w:cs="宋体"/>
          <w:sz w:val="20"/>
          <w:szCs w:val="20"/>
        </w:rPr>
      </w:pPr>
      <w:r>
        <w:rPr>
          <w:rFonts w:ascii="宋体" w:hAnsi="宋体" w:eastAsia="宋体" w:cs="宋体"/>
          <w:spacing w:val="11"/>
          <w:sz w:val="20"/>
          <w:szCs w:val="20"/>
        </w:rPr>
        <w:t>在全球范围内，伤害主要通过以医院为基础建立的伤害监测系统进行监测。2016年中共中央、</w:t>
      </w:r>
      <w:r>
        <w:rPr>
          <w:rFonts w:ascii="宋体" w:hAnsi="宋体" w:eastAsia="宋体" w:cs="宋体"/>
          <w:spacing w:val="5"/>
          <w:sz w:val="20"/>
          <w:szCs w:val="20"/>
        </w:rPr>
        <w:t xml:space="preserve"> </w:t>
      </w:r>
      <w:r>
        <w:rPr>
          <w:rFonts w:ascii="宋体" w:hAnsi="宋体" w:eastAsia="宋体" w:cs="宋体"/>
          <w:spacing w:val="7"/>
          <w:sz w:val="20"/>
          <w:szCs w:val="20"/>
        </w:rPr>
        <w:t>国务院印发并实施《“健康中国2030”规划纲要》,明确提出“建立伤</w:t>
      </w:r>
      <w:r>
        <w:rPr>
          <w:rFonts w:ascii="宋体" w:hAnsi="宋体" w:eastAsia="宋体" w:cs="宋体"/>
          <w:spacing w:val="6"/>
          <w:sz w:val="20"/>
          <w:szCs w:val="20"/>
        </w:rPr>
        <w:t>害综合监测体系，开发重点伤</w:t>
      </w:r>
      <w:r>
        <w:rPr>
          <w:rFonts w:ascii="宋体" w:hAnsi="宋体" w:eastAsia="宋体" w:cs="宋体"/>
          <w:sz w:val="20"/>
          <w:szCs w:val="20"/>
        </w:rPr>
        <w:t xml:space="preserve">  </w:t>
      </w:r>
      <w:r>
        <w:rPr>
          <w:rFonts w:ascii="宋体" w:hAnsi="宋体" w:eastAsia="宋体" w:cs="宋体"/>
          <w:spacing w:val="15"/>
          <w:sz w:val="20"/>
          <w:szCs w:val="20"/>
        </w:rPr>
        <w:t>害干预技术指南和标准”的指导建议，将伤</w:t>
      </w:r>
      <w:r>
        <w:rPr>
          <w:rFonts w:ascii="宋体" w:hAnsi="宋体" w:eastAsia="宋体" w:cs="宋体"/>
          <w:spacing w:val="14"/>
          <w:sz w:val="20"/>
          <w:szCs w:val="20"/>
        </w:rPr>
        <w:t>害监测和预防工作对维护人民健康的重要性提升到新</w:t>
      </w:r>
      <w:r>
        <w:rPr>
          <w:rFonts w:ascii="宋体" w:hAnsi="宋体" w:eastAsia="宋体" w:cs="宋体"/>
          <w:sz w:val="20"/>
          <w:szCs w:val="20"/>
        </w:rPr>
        <w:t xml:space="preserve">  </w:t>
      </w:r>
      <w:r>
        <w:rPr>
          <w:rFonts w:ascii="宋体" w:hAnsi="宋体" w:eastAsia="宋体" w:cs="宋体"/>
          <w:spacing w:val="2"/>
          <w:sz w:val="20"/>
          <w:szCs w:val="20"/>
        </w:rPr>
        <w:t>的战略高度。《“十四五”国民健康规划》(国办发〔2022〕11号)、《中国儿童发展纲要(2021—2030</w:t>
      </w:r>
      <w:r>
        <w:rPr>
          <w:rFonts w:ascii="宋体" w:hAnsi="宋体" w:eastAsia="宋体" w:cs="宋体"/>
          <w:spacing w:val="1"/>
          <w:sz w:val="20"/>
          <w:szCs w:val="20"/>
        </w:rPr>
        <w:t xml:space="preserve">  </w:t>
      </w:r>
      <w:r>
        <w:rPr>
          <w:rFonts w:ascii="宋体" w:hAnsi="宋体" w:eastAsia="宋体" w:cs="宋体"/>
          <w:spacing w:val="16"/>
          <w:sz w:val="20"/>
          <w:szCs w:val="20"/>
        </w:rPr>
        <w:t>年)》(国发〔2021〕16号)等文件进一步推进了</w:t>
      </w:r>
      <w:r>
        <w:rPr>
          <w:rFonts w:ascii="宋体" w:hAnsi="宋体" w:eastAsia="宋体" w:cs="宋体"/>
          <w:spacing w:val="15"/>
          <w:sz w:val="20"/>
          <w:szCs w:val="20"/>
        </w:rPr>
        <w:t>伤害监测体系建设，并强调要加强儿童伤害监测</w:t>
      </w:r>
      <w:r>
        <w:rPr>
          <w:rFonts w:ascii="宋体" w:hAnsi="宋体" w:eastAsia="宋体" w:cs="宋体"/>
          <w:sz w:val="20"/>
          <w:szCs w:val="20"/>
        </w:rPr>
        <w:t xml:space="preserve">  </w:t>
      </w:r>
      <w:r>
        <w:rPr>
          <w:rFonts w:ascii="宋体" w:hAnsi="宋体" w:eastAsia="宋体" w:cs="宋体"/>
          <w:spacing w:val="13"/>
          <w:sz w:val="20"/>
          <w:szCs w:val="20"/>
        </w:rPr>
        <w:t>工作。</w:t>
      </w:r>
    </w:p>
    <w:p w14:paraId="5784EA9A">
      <w:pPr>
        <w:spacing w:before="4" w:line="302" w:lineRule="auto"/>
        <w:ind w:right="659" w:firstLine="439"/>
        <w:jc w:val="both"/>
        <w:rPr>
          <w:rFonts w:ascii="宋体" w:hAnsi="宋体" w:eastAsia="宋体" w:cs="宋体"/>
          <w:sz w:val="20"/>
          <w:szCs w:val="20"/>
        </w:rPr>
      </w:pPr>
      <w:r>
        <w:rPr>
          <w:rFonts w:ascii="宋体" w:hAnsi="宋体" w:eastAsia="宋体" w:cs="宋体"/>
          <w:spacing w:val="9"/>
          <w:sz w:val="20"/>
          <w:szCs w:val="20"/>
        </w:rPr>
        <w:t>伤害监测系统的目的：①提供伤害的描述流行病学资料，同时提供病因分析的资料；②监测伤</w:t>
      </w:r>
      <w:r>
        <w:rPr>
          <w:rFonts w:ascii="宋体" w:hAnsi="宋体" w:eastAsia="宋体" w:cs="宋体"/>
          <w:sz w:val="20"/>
          <w:szCs w:val="20"/>
        </w:rPr>
        <w:t xml:space="preserve"> </w:t>
      </w:r>
      <w:r>
        <w:rPr>
          <w:rFonts w:ascii="宋体" w:hAnsi="宋体" w:eastAsia="宋体" w:cs="宋体"/>
          <w:spacing w:val="10"/>
          <w:sz w:val="20"/>
          <w:szCs w:val="20"/>
        </w:rPr>
        <w:t>害发生的时间趋势和地理分布特征，识别暴发或聚集性事件，</w:t>
      </w:r>
      <w:r>
        <w:rPr>
          <w:rFonts w:ascii="宋体" w:hAnsi="宋体" w:eastAsia="宋体" w:cs="宋体"/>
          <w:spacing w:val="9"/>
          <w:sz w:val="20"/>
          <w:szCs w:val="20"/>
        </w:rPr>
        <w:t>及时预警和响应；③提供干预成功的</w:t>
      </w:r>
      <w:r>
        <w:rPr>
          <w:rFonts w:ascii="宋体" w:hAnsi="宋体" w:eastAsia="宋体" w:cs="宋体"/>
          <w:sz w:val="20"/>
          <w:szCs w:val="20"/>
        </w:rPr>
        <w:t xml:space="preserve"> </w:t>
      </w:r>
      <w:r>
        <w:rPr>
          <w:rFonts w:ascii="宋体" w:hAnsi="宋体" w:eastAsia="宋体" w:cs="宋体"/>
          <w:spacing w:val="10"/>
          <w:sz w:val="20"/>
          <w:szCs w:val="20"/>
        </w:rPr>
        <w:t>资料；④确认伤害发生最危险的人群；⑤对</w:t>
      </w:r>
      <w:r>
        <w:rPr>
          <w:rFonts w:ascii="宋体" w:hAnsi="宋体" w:eastAsia="宋体" w:cs="宋体"/>
          <w:spacing w:val="9"/>
          <w:sz w:val="20"/>
          <w:szCs w:val="20"/>
        </w:rPr>
        <w:t>伤害发生严重的地区和今后趋于严重的地区进行预防活</w:t>
      </w:r>
      <w:r>
        <w:rPr>
          <w:rFonts w:ascii="宋体" w:hAnsi="宋体" w:eastAsia="宋体" w:cs="宋体"/>
          <w:sz w:val="20"/>
          <w:szCs w:val="20"/>
        </w:rPr>
        <w:t xml:space="preserve"> </w:t>
      </w:r>
      <w:r>
        <w:rPr>
          <w:rFonts w:ascii="宋体" w:hAnsi="宋体" w:eastAsia="宋体" w:cs="宋体"/>
          <w:spacing w:val="14"/>
          <w:sz w:val="20"/>
          <w:szCs w:val="20"/>
        </w:rPr>
        <w:t>动的指导。</w:t>
      </w:r>
    </w:p>
    <w:p w14:paraId="356E1651">
      <w:pPr>
        <w:spacing w:line="302" w:lineRule="auto"/>
        <w:rPr>
          <w:rFonts w:ascii="宋体" w:hAnsi="宋体" w:eastAsia="宋体" w:cs="宋体"/>
          <w:sz w:val="20"/>
          <w:szCs w:val="20"/>
        </w:rPr>
        <w:sectPr>
          <w:type w:val="continuous"/>
          <w:pgSz w:w="11900" w:h="16820"/>
          <w:pgMar w:top="400" w:right="824" w:bottom="829" w:left="1400" w:header="0" w:footer="649" w:gutter="0"/>
          <w:cols w:equalWidth="0" w:num="1">
            <w:col w:w="9676"/>
          </w:cols>
        </w:sectPr>
      </w:pPr>
    </w:p>
    <w:p w14:paraId="58ED14D8">
      <w:pPr>
        <w:spacing w:line="269" w:lineRule="auto"/>
        <w:rPr>
          <w:rFonts w:ascii="Arial"/>
          <w:sz w:val="21"/>
        </w:rPr>
      </w:pPr>
    </w:p>
    <w:p w14:paraId="2F28FAEA">
      <w:pPr>
        <w:pStyle w:val="2"/>
        <w:spacing w:before="65" w:line="221" w:lineRule="auto"/>
        <w:ind w:left="689"/>
        <w:rPr>
          <w:sz w:val="20"/>
          <w:szCs w:val="20"/>
        </w:rPr>
      </w:pPr>
      <w:r>
        <w:rPr>
          <w:spacing w:val="-21"/>
          <w:sz w:val="20"/>
          <w:szCs w:val="20"/>
        </w:rPr>
        <w:t>第十五章 伤害流行病学</w:t>
      </w:r>
    </w:p>
    <w:p w14:paraId="0A2A7045">
      <w:pPr>
        <w:spacing w:line="262" w:lineRule="auto"/>
        <w:rPr>
          <w:rFonts w:ascii="Arial"/>
          <w:sz w:val="21"/>
        </w:rPr>
      </w:pPr>
    </w:p>
    <w:p w14:paraId="608CB1DF">
      <w:pPr>
        <w:spacing w:line="263" w:lineRule="auto"/>
        <w:rPr>
          <w:rFonts w:ascii="Arial"/>
          <w:sz w:val="21"/>
        </w:rPr>
      </w:pPr>
    </w:p>
    <w:p w14:paraId="0DFFF6CE">
      <w:pPr>
        <w:spacing w:before="65" w:line="342" w:lineRule="auto"/>
        <w:ind w:left="689" w:right="90" w:firstLine="399"/>
        <w:jc w:val="both"/>
        <w:rPr>
          <w:rFonts w:ascii="宋体" w:hAnsi="宋体" w:eastAsia="宋体" w:cs="宋体"/>
          <w:sz w:val="20"/>
          <w:szCs w:val="20"/>
        </w:rPr>
      </w:pPr>
      <w:r>
        <w:rPr>
          <w:rFonts w:ascii="宋体" w:hAnsi="宋体" w:eastAsia="宋体" w:cs="宋体"/>
          <w:spacing w:val="5"/>
          <w:sz w:val="20"/>
          <w:szCs w:val="20"/>
        </w:rPr>
        <w:t xml:space="preserve">全国伤害监测系统与全国死因监测、全国住院病人信息收集、全国人群伤害发生状况调查以及 </w:t>
      </w:r>
      <w:r>
        <w:rPr>
          <w:rFonts w:ascii="宋体" w:hAnsi="宋体" w:eastAsia="宋体" w:cs="宋体"/>
          <w:spacing w:val="10"/>
          <w:sz w:val="20"/>
          <w:szCs w:val="20"/>
        </w:rPr>
        <w:t>伤害专项调查和监测等共同构成全国伤害监测体系，为伤害防控策略措施的制定与评价提供可靠</w:t>
      </w:r>
      <w:r>
        <w:rPr>
          <w:rFonts w:ascii="宋体" w:hAnsi="宋体" w:eastAsia="宋体" w:cs="宋体"/>
          <w:spacing w:val="8"/>
          <w:sz w:val="20"/>
          <w:szCs w:val="20"/>
        </w:rPr>
        <w:t xml:space="preserve"> </w:t>
      </w:r>
      <w:r>
        <w:rPr>
          <w:rFonts w:ascii="宋体" w:hAnsi="宋体" w:eastAsia="宋体" w:cs="宋体"/>
          <w:spacing w:val="6"/>
          <w:sz w:val="20"/>
          <w:szCs w:val="20"/>
        </w:rPr>
        <w:t>依据。</w:t>
      </w:r>
    </w:p>
    <w:p w14:paraId="216246FC">
      <w:pPr>
        <w:spacing w:line="255" w:lineRule="auto"/>
        <w:rPr>
          <w:rFonts w:ascii="Arial"/>
          <w:sz w:val="21"/>
        </w:rPr>
      </w:pPr>
    </w:p>
    <w:p w14:paraId="0CF339ED">
      <w:pPr>
        <w:pStyle w:val="2"/>
        <w:spacing w:before="98" w:line="221" w:lineRule="auto"/>
        <w:ind w:left="3484"/>
        <w:outlineLvl w:val="1"/>
      </w:pPr>
      <w:bookmarkStart w:id="404" w:name="bookmark256"/>
      <w:bookmarkEnd w:id="404"/>
      <w:bookmarkStart w:id="405" w:name="bookmark538"/>
      <w:bookmarkEnd w:id="405"/>
      <w:r>
        <w:rPr>
          <w:b/>
          <w:bCs/>
          <w:spacing w:val="-9"/>
        </w:rPr>
        <w:t>第四节</w:t>
      </w:r>
      <w:r>
        <w:rPr>
          <w:spacing w:val="123"/>
        </w:rPr>
        <w:t xml:space="preserve"> </w:t>
      </w:r>
      <w:r>
        <w:rPr>
          <w:b/>
          <w:bCs/>
          <w:spacing w:val="-9"/>
        </w:rPr>
        <w:t>预防策略与措施</w:t>
      </w:r>
    </w:p>
    <w:p w14:paraId="5ADC5314">
      <w:pPr>
        <w:spacing w:line="323" w:lineRule="auto"/>
        <w:rPr>
          <w:rFonts w:ascii="Arial"/>
          <w:sz w:val="21"/>
        </w:rPr>
      </w:pPr>
    </w:p>
    <w:p w14:paraId="1B033D95">
      <w:pPr>
        <w:spacing w:before="65" w:line="342" w:lineRule="auto"/>
        <w:ind w:left="689" w:right="62" w:firstLine="399"/>
        <w:jc w:val="both"/>
        <w:rPr>
          <w:rFonts w:ascii="宋体" w:hAnsi="宋体" w:eastAsia="宋体" w:cs="宋体"/>
          <w:sz w:val="20"/>
          <w:szCs w:val="20"/>
        </w:rPr>
      </w:pPr>
      <w:r>
        <w:rPr>
          <w:rFonts w:ascii="宋体" w:hAnsi="宋体" w:eastAsia="宋体" w:cs="宋体"/>
          <w:spacing w:val="11"/>
          <w:sz w:val="20"/>
          <w:szCs w:val="20"/>
        </w:rPr>
        <w:t>通过对伤害流行特征的认识和危险因素的分析，人们逐渐认识到</w:t>
      </w:r>
      <w:r>
        <w:rPr>
          <w:rFonts w:ascii="宋体" w:hAnsi="宋体" w:eastAsia="宋体" w:cs="宋体"/>
          <w:spacing w:val="10"/>
          <w:sz w:val="20"/>
          <w:szCs w:val="20"/>
        </w:rPr>
        <w:t>伤害是能够预防的。伤害流</w:t>
      </w:r>
      <w:r>
        <w:rPr>
          <w:rFonts w:ascii="宋体" w:hAnsi="宋体" w:eastAsia="宋体" w:cs="宋体"/>
          <w:sz w:val="20"/>
          <w:szCs w:val="20"/>
        </w:rPr>
        <w:t xml:space="preserve"> </w:t>
      </w:r>
      <w:r>
        <w:rPr>
          <w:rFonts w:ascii="宋体" w:hAnsi="宋体" w:eastAsia="宋体" w:cs="宋体"/>
          <w:spacing w:val="10"/>
          <w:sz w:val="20"/>
          <w:szCs w:val="20"/>
        </w:rPr>
        <w:t>行病学研究的主要目的是预防伤害发生并减低伤害危害程度。将伤害的预防策略局限到某个伤害</w:t>
      </w:r>
      <w:r>
        <w:rPr>
          <w:rFonts w:ascii="宋体" w:hAnsi="宋体" w:eastAsia="宋体" w:cs="宋体"/>
          <w:spacing w:val="12"/>
          <w:sz w:val="20"/>
          <w:szCs w:val="20"/>
        </w:rPr>
        <w:t xml:space="preserve"> </w:t>
      </w:r>
      <w:r>
        <w:rPr>
          <w:rFonts w:ascii="宋体" w:hAnsi="宋体" w:eastAsia="宋体" w:cs="宋体"/>
          <w:spacing w:val="10"/>
          <w:sz w:val="20"/>
          <w:szCs w:val="20"/>
        </w:rPr>
        <w:t>发生的单一原因是片面的且效果不佳，成功的策略需要多领域合作。预防伤害是为了降低伤害谱</w:t>
      </w:r>
      <w:r>
        <w:rPr>
          <w:rFonts w:ascii="宋体" w:hAnsi="宋体" w:eastAsia="宋体" w:cs="宋体"/>
          <w:spacing w:val="7"/>
          <w:sz w:val="20"/>
          <w:szCs w:val="20"/>
        </w:rPr>
        <w:t xml:space="preserve"> </w:t>
      </w:r>
      <w:r>
        <w:rPr>
          <w:rFonts w:ascii="宋体" w:hAnsi="宋体" w:eastAsia="宋体" w:cs="宋体"/>
          <w:spacing w:val="11"/>
          <w:sz w:val="20"/>
          <w:szCs w:val="20"/>
        </w:rPr>
        <w:t>中所有类型伤害的严重性、预测伤害的发生及对所有危险因素进行积极控制。与许</w:t>
      </w:r>
      <w:r>
        <w:rPr>
          <w:rFonts w:ascii="宋体" w:hAnsi="宋体" w:eastAsia="宋体" w:cs="宋体"/>
          <w:spacing w:val="10"/>
          <w:sz w:val="20"/>
          <w:szCs w:val="20"/>
        </w:rPr>
        <w:t>多慢性病不同</w:t>
      </w:r>
      <w:r>
        <w:rPr>
          <w:rFonts w:ascii="宋体" w:hAnsi="宋体" w:eastAsia="宋体" w:cs="宋体"/>
          <w:sz w:val="20"/>
          <w:szCs w:val="20"/>
        </w:rPr>
        <w:t xml:space="preserve"> </w:t>
      </w:r>
      <w:r>
        <w:rPr>
          <w:rFonts w:ascii="宋体" w:hAnsi="宋体" w:eastAsia="宋体" w:cs="宋体"/>
          <w:spacing w:val="5"/>
          <w:sz w:val="20"/>
          <w:szCs w:val="20"/>
        </w:rPr>
        <w:t>的是，伤害因子通常是可知且可以被测量的，能量由环境到宿主的转换机制也可被描述。除了某些</w:t>
      </w:r>
      <w:r>
        <w:rPr>
          <w:rFonts w:ascii="宋体" w:hAnsi="宋体" w:eastAsia="宋体" w:cs="宋体"/>
          <w:spacing w:val="14"/>
          <w:sz w:val="20"/>
          <w:szCs w:val="20"/>
        </w:rPr>
        <w:t xml:space="preserve"> </w:t>
      </w:r>
      <w:r>
        <w:rPr>
          <w:rFonts w:ascii="宋体" w:hAnsi="宋体" w:eastAsia="宋体" w:cs="宋体"/>
          <w:spacing w:val="5"/>
          <w:sz w:val="20"/>
          <w:szCs w:val="20"/>
        </w:rPr>
        <w:t>中毒和烧伤，伤害经常在暴露之后突然发生，很少有较长的潜伏期。因此，伤害控制的主要步骤是</w:t>
      </w:r>
      <w:r>
        <w:rPr>
          <w:rFonts w:ascii="宋体" w:hAnsi="宋体" w:eastAsia="宋体" w:cs="宋体"/>
          <w:spacing w:val="14"/>
          <w:sz w:val="20"/>
          <w:szCs w:val="20"/>
        </w:rPr>
        <w:t xml:space="preserve"> </w:t>
      </w:r>
      <w:r>
        <w:rPr>
          <w:rFonts w:ascii="宋体" w:hAnsi="宋体" w:eastAsia="宋体" w:cs="宋体"/>
          <w:spacing w:val="5"/>
          <w:sz w:val="20"/>
          <w:szCs w:val="20"/>
        </w:rPr>
        <w:t>明确促使伤害发生的能量形式和人类的暴露机制，在伤害自然史的不同阶段明确干预措施，并对其</w:t>
      </w:r>
      <w:r>
        <w:rPr>
          <w:rFonts w:ascii="宋体" w:hAnsi="宋体" w:eastAsia="宋体" w:cs="宋体"/>
          <w:spacing w:val="12"/>
          <w:sz w:val="20"/>
          <w:szCs w:val="20"/>
        </w:rPr>
        <w:t xml:space="preserve"> </w:t>
      </w:r>
      <w:r>
        <w:rPr>
          <w:rFonts w:ascii="宋体" w:hAnsi="宋体" w:eastAsia="宋体" w:cs="宋体"/>
          <w:spacing w:val="7"/>
          <w:sz w:val="20"/>
          <w:szCs w:val="20"/>
        </w:rPr>
        <w:t>效果进行评价。</w:t>
      </w:r>
    </w:p>
    <w:p w14:paraId="51C6C05D">
      <w:pPr>
        <w:pStyle w:val="2"/>
        <w:spacing w:before="224" w:line="222" w:lineRule="auto"/>
        <w:ind w:left="1092"/>
        <w:outlineLvl w:val="4"/>
        <w:rPr>
          <w:sz w:val="20"/>
          <w:szCs w:val="20"/>
        </w:rPr>
      </w:pPr>
      <w:bookmarkStart w:id="406" w:name="bookmark257"/>
      <w:bookmarkEnd w:id="406"/>
      <w:r>
        <w:rPr>
          <w:b/>
          <w:bCs/>
          <w:spacing w:val="-15"/>
          <w:sz w:val="20"/>
          <w:szCs w:val="20"/>
        </w:rPr>
        <w:t>一</w:t>
      </w:r>
      <w:r>
        <w:rPr>
          <w:spacing w:val="23"/>
          <w:sz w:val="20"/>
          <w:szCs w:val="20"/>
        </w:rPr>
        <w:t xml:space="preserve"> </w:t>
      </w:r>
      <w:r>
        <w:rPr>
          <w:b/>
          <w:bCs/>
          <w:spacing w:val="-15"/>
          <w:sz w:val="20"/>
          <w:szCs w:val="20"/>
        </w:rPr>
        <w:t>、策</w:t>
      </w:r>
      <w:r>
        <w:rPr>
          <w:spacing w:val="33"/>
          <w:sz w:val="20"/>
          <w:szCs w:val="20"/>
        </w:rPr>
        <w:t xml:space="preserve"> </w:t>
      </w:r>
      <w:r>
        <w:rPr>
          <w:b/>
          <w:bCs/>
          <w:spacing w:val="-15"/>
          <w:sz w:val="20"/>
          <w:szCs w:val="20"/>
        </w:rPr>
        <w:t>略</w:t>
      </w:r>
    </w:p>
    <w:p w14:paraId="5F946139">
      <w:pPr>
        <w:pStyle w:val="2"/>
        <w:spacing w:before="282" w:line="221" w:lineRule="auto"/>
        <w:ind w:left="1089"/>
        <w:rPr>
          <w:sz w:val="20"/>
          <w:szCs w:val="20"/>
        </w:rPr>
      </w:pPr>
      <w:r>
        <w:rPr>
          <w:spacing w:val="14"/>
          <w:sz w:val="20"/>
          <w:szCs w:val="20"/>
        </w:rPr>
        <w:t>(</w:t>
      </w:r>
      <w:r>
        <w:rPr>
          <w:spacing w:val="-45"/>
          <w:sz w:val="20"/>
          <w:szCs w:val="20"/>
        </w:rPr>
        <w:t xml:space="preserve"> </w:t>
      </w:r>
      <w:r>
        <w:rPr>
          <w:spacing w:val="14"/>
          <w:sz w:val="20"/>
          <w:szCs w:val="20"/>
        </w:rPr>
        <w:t>一</w:t>
      </w:r>
      <w:r>
        <w:rPr>
          <w:spacing w:val="-54"/>
          <w:sz w:val="20"/>
          <w:szCs w:val="20"/>
        </w:rPr>
        <w:t xml:space="preserve"> </w:t>
      </w:r>
      <w:r>
        <w:rPr>
          <w:spacing w:val="14"/>
          <w:sz w:val="20"/>
          <w:szCs w:val="20"/>
        </w:rPr>
        <w:t>)三级预防</w:t>
      </w:r>
    </w:p>
    <w:p w14:paraId="13E24439">
      <w:pPr>
        <w:spacing w:before="112" w:line="336" w:lineRule="auto"/>
        <w:ind w:left="689" w:right="91" w:firstLine="399"/>
        <w:rPr>
          <w:rFonts w:ascii="宋体" w:hAnsi="宋体" w:eastAsia="宋体" w:cs="宋体"/>
          <w:sz w:val="20"/>
          <w:szCs w:val="20"/>
        </w:rPr>
      </w:pPr>
      <w:r>
        <w:rPr>
          <w:rFonts w:ascii="宋体" w:hAnsi="宋体" w:eastAsia="宋体" w:cs="宋体"/>
          <w:spacing w:val="6"/>
          <w:sz w:val="20"/>
          <w:szCs w:val="20"/>
        </w:rPr>
        <w:t>从公共卫生的角度，针对伤害发生前、发生中和发</w:t>
      </w:r>
      <w:r>
        <w:rPr>
          <w:rFonts w:ascii="宋体" w:hAnsi="宋体" w:eastAsia="宋体" w:cs="宋体"/>
          <w:spacing w:val="5"/>
          <w:sz w:val="20"/>
          <w:szCs w:val="20"/>
        </w:rPr>
        <w:t>生后这三个阶段，可将伤害预防策略分为三</w:t>
      </w:r>
      <w:r>
        <w:rPr>
          <w:rFonts w:ascii="宋体" w:hAnsi="宋体" w:eastAsia="宋体" w:cs="宋体"/>
          <w:sz w:val="20"/>
          <w:szCs w:val="20"/>
        </w:rPr>
        <w:t xml:space="preserve"> </w:t>
      </w:r>
      <w:r>
        <w:rPr>
          <w:rFonts w:ascii="宋体" w:hAnsi="宋体" w:eastAsia="宋体" w:cs="宋体"/>
          <w:spacing w:val="2"/>
          <w:sz w:val="20"/>
          <w:szCs w:val="20"/>
        </w:rPr>
        <w:t>级预防。</w:t>
      </w:r>
    </w:p>
    <w:p w14:paraId="2EE161F7">
      <w:pPr>
        <w:pStyle w:val="2"/>
        <w:spacing w:before="11" w:line="342" w:lineRule="auto"/>
        <w:ind w:left="689" w:right="86" w:firstLine="399"/>
        <w:jc w:val="both"/>
        <w:rPr>
          <w:rFonts w:ascii="宋体" w:hAnsi="宋体" w:eastAsia="宋体" w:cs="宋体"/>
          <w:sz w:val="20"/>
          <w:szCs w:val="20"/>
        </w:rPr>
      </w:pPr>
      <w:r>
        <w:rPr>
          <w:rFonts w:ascii="宋体" w:hAnsi="宋体" w:eastAsia="宋体" w:cs="宋体"/>
          <w:spacing w:val="8"/>
          <w:sz w:val="20"/>
          <w:szCs w:val="20"/>
        </w:rPr>
        <w:t>1.</w:t>
      </w:r>
      <w:r>
        <w:rPr>
          <w:rFonts w:ascii="宋体" w:hAnsi="宋体" w:eastAsia="宋体" w:cs="宋体"/>
          <w:spacing w:val="-9"/>
          <w:sz w:val="20"/>
          <w:szCs w:val="20"/>
        </w:rPr>
        <w:t xml:space="preserve"> </w:t>
      </w:r>
      <w:r>
        <w:rPr>
          <w:spacing w:val="8"/>
          <w:sz w:val="20"/>
          <w:szCs w:val="20"/>
        </w:rPr>
        <w:t xml:space="preserve">第一级预防  </w:t>
      </w:r>
      <w:r>
        <w:rPr>
          <w:rFonts w:ascii="宋体" w:hAnsi="宋体" w:eastAsia="宋体" w:cs="宋体"/>
          <w:spacing w:val="8"/>
          <w:sz w:val="20"/>
          <w:szCs w:val="20"/>
        </w:rPr>
        <w:t>其目标是通过减少能量传递或暴露的机制来预防可导致伤害发生的事件。交</w:t>
      </w:r>
      <w:r>
        <w:rPr>
          <w:rFonts w:ascii="宋体" w:hAnsi="宋体" w:eastAsia="宋体" w:cs="宋体"/>
          <w:sz w:val="20"/>
          <w:szCs w:val="20"/>
        </w:rPr>
        <w:t xml:space="preserve"> </w:t>
      </w:r>
      <w:r>
        <w:rPr>
          <w:rFonts w:ascii="宋体" w:hAnsi="宋体" w:eastAsia="宋体" w:cs="宋体"/>
          <w:spacing w:val="5"/>
          <w:sz w:val="20"/>
          <w:szCs w:val="20"/>
        </w:rPr>
        <w:t>通安全法律、游泳池周围的栅栏、有毒物品的安全盖、枪支的保险装置都属于第一级预防措施。第</w:t>
      </w:r>
      <w:r>
        <w:rPr>
          <w:rFonts w:ascii="宋体" w:hAnsi="宋体" w:eastAsia="宋体" w:cs="宋体"/>
          <w:spacing w:val="17"/>
          <w:sz w:val="20"/>
          <w:szCs w:val="20"/>
        </w:rPr>
        <w:t xml:space="preserve"> </w:t>
      </w:r>
      <w:r>
        <w:rPr>
          <w:rFonts w:ascii="宋体" w:hAnsi="宋体" w:eastAsia="宋体" w:cs="宋体"/>
          <w:spacing w:val="4"/>
          <w:sz w:val="20"/>
          <w:szCs w:val="20"/>
        </w:rPr>
        <w:t>一级预防通过如下策略实现：</w:t>
      </w:r>
    </w:p>
    <w:p w14:paraId="434A013A">
      <w:pPr>
        <w:spacing w:before="2" w:line="300" w:lineRule="auto"/>
        <w:ind w:left="689" w:right="64" w:firstLine="399"/>
        <w:rPr>
          <w:rFonts w:ascii="宋体" w:hAnsi="宋体" w:eastAsia="宋体" w:cs="宋体"/>
          <w:sz w:val="20"/>
          <w:szCs w:val="20"/>
        </w:rPr>
      </w:pPr>
      <w:r>
        <w:rPr>
          <w:rFonts w:ascii="宋体" w:hAnsi="宋体" w:eastAsia="宋体" w:cs="宋体"/>
          <w:spacing w:val="4"/>
          <w:sz w:val="20"/>
          <w:szCs w:val="20"/>
        </w:rPr>
        <w:t>(1)全人群策略：针对全人群，如社区居民、工厂的所有</w:t>
      </w:r>
      <w:r>
        <w:rPr>
          <w:rFonts w:ascii="宋体" w:hAnsi="宋体" w:eastAsia="宋体" w:cs="宋体"/>
          <w:spacing w:val="3"/>
          <w:sz w:val="20"/>
          <w:szCs w:val="20"/>
        </w:rPr>
        <w:t>职工、学校的所有师生开展伤害预防的</w:t>
      </w:r>
      <w:r>
        <w:rPr>
          <w:rFonts w:ascii="宋体" w:hAnsi="宋体" w:eastAsia="宋体" w:cs="宋体"/>
          <w:sz w:val="20"/>
          <w:szCs w:val="20"/>
        </w:rPr>
        <w:t xml:space="preserve"> </w:t>
      </w:r>
      <w:r>
        <w:rPr>
          <w:rFonts w:ascii="宋体" w:hAnsi="宋体" w:eastAsia="宋体" w:cs="宋体"/>
          <w:spacing w:val="11"/>
          <w:sz w:val="20"/>
          <w:szCs w:val="20"/>
        </w:rPr>
        <w:t>健康教育。这一策略的目的是提高全民对伤害危害和预防伤害</w:t>
      </w:r>
      <w:r>
        <w:rPr>
          <w:rFonts w:ascii="宋体" w:hAnsi="宋体" w:eastAsia="宋体" w:cs="宋体"/>
          <w:spacing w:val="10"/>
          <w:sz w:val="20"/>
          <w:szCs w:val="20"/>
        </w:rPr>
        <w:t>的重要性的认识，进而提高每个人</w:t>
      </w:r>
      <w:r>
        <w:rPr>
          <w:rFonts w:ascii="宋体" w:hAnsi="宋体" w:eastAsia="宋体" w:cs="宋体"/>
          <w:sz w:val="20"/>
          <w:szCs w:val="20"/>
        </w:rPr>
        <w:t xml:space="preserve"> 的伤害预防意识，加强自我保护。</w:t>
      </w:r>
    </w:p>
    <w:p w14:paraId="2AAD8007">
      <w:pPr>
        <w:spacing w:before="131" w:line="311" w:lineRule="auto"/>
        <w:ind w:left="689" w:right="62" w:firstLine="399"/>
        <w:rPr>
          <w:rFonts w:ascii="宋体" w:hAnsi="宋体" w:eastAsia="宋体" w:cs="宋体"/>
          <w:sz w:val="20"/>
          <w:szCs w:val="20"/>
        </w:rPr>
      </w:pPr>
      <w:r>
        <w:rPr>
          <w:rFonts w:ascii="宋体" w:hAnsi="宋体" w:eastAsia="宋体" w:cs="宋体"/>
          <w:spacing w:val="9"/>
          <w:sz w:val="20"/>
          <w:szCs w:val="20"/>
        </w:rPr>
        <w:t>(2)高危人群策略：针对伤害发生的高危人</w:t>
      </w:r>
      <w:r>
        <w:rPr>
          <w:rFonts w:ascii="宋体" w:hAnsi="宋体" w:eastAsia="宋体" w:cs="宋体"/>
          <w:spacing w:val="8"/>
          <w:sz w:val="20"/>
          <w:szCs w:val="20"/>
        </w:rPr>
        <w:t>群，有针对性地开展伤害预防教育与培训，如对驾</w:t>
      </w:r>
      <w:r>
        <w:rPr>
          <w:rFonts w:ascii="宋体" w:hAnsi="宋体" w:eastAsia="宋体" w:cs="宋体"/>
          <w:sz w:val="20"/>
          <w:szCs w:val="20"/>
        </w:rPr>
        <w:t xml:space="preserve"> </w:t>
      </w:r>
      <w:r>
        <w:rPr>
          <w:rFonts w:ascii="宋体" w:hAnsi="宋体" w:eastAsia="宋体" w:cs="宋体"/>
          <w:spacing w:val="5"/>
          <w:sz w:val="20"/>
          <w:szCs w:val="20"/>
        </w:rPr>
        <w:t>驶员的安全培训。通过开发或推广防酒驾教育类应用程序，向驾驶员提供酒驾危害科普、酒精摄入</w:t>
      </w:r>
      <w:r>
        <w:rPr>
          <w:rFonts w:ascii="宋体" w:hAnsi="宋体" w:eastAsia="宋体" w:cs="宋体"/>
          <w:spacing w:val="12"/>
          <w:sz w:val="20"/>
          <w:szCs w:val="20"/>
        </w:rPr>
        <w:t xml:space="preserve"> </w:t>
      </w:r>
      <w:r>
        <w:rPr>
          <w:rFonts w:ascii="宋体" w:hAnsi="宋体" w:eastAsia="宋体" w:cs="宋体"/>
          <w:spacing w:val="1"/>
          <w:sz w:val="20"/>
          <w:szCs w:val="20"/>
        </w:rPr>
        <w:t>计算器等，帮助自我评估。对学校学生进行防火、交通安全、</w:t>
      </w:r>
      <w:r>
        <w:rPr>
          <w:rFonts w:ascii="宋体" w:hAnsi="宋体" w:eastAsia="宋体" w:cs="宋体"/>
          <w:sz w:val="20"/>
          <w:szCs w:val="20"/>
        </w:rPr>
        <w:t xml:space="preserve">防电和防溺水的专题教育，可以降低这 </w:t>
      </w:r>
      <w:r>
        <w:rPr>
          <w:rFonts w:ascii="宋体" w:hAnsi="宋体" w:eastAsia="宋体" w:cs="宋体"/>
          <w:spacing w:val="4"/>
          <w:sz w:val="20"/>
          <w:szCs w:val="20"/>
        </w:rPr>
        <w:t>些伤害易发人群的暴露风险。</w:t>
      </w:r>
    </w:p>
    <w:p w14:paraId="21BCAD68">
      <w:pPr>
        <w:spacing w:before="134" w:line="303" w:lineRule="auto"/>
        <w:ind w:left="689" w:firstLine="399"/>
        <w:rPr>
          <w:rFonts w:ascii="宋体" w:hAnsi="宋体" w:eastAsia="宋体" w:cs="宋体"/>
          <w:sz w:val="20"/>
          <w:szCs w:val="20"/>
        </w:rPr>
      </w:pPr>
      <w:r>
        <w:rPr>
          <w:rFonts w:ascii="宋体" w:hAnsi="宋体" w:eastAsia="宋体" w:cs="宋体"/>
          <w:spacing w:val="14"/>
          <w:sz w:val="20"/>
          <w:szCs w:val="20"/>
        </w:rPr>
        <w:t>(3)健康促进策略：该策略是20世纪80年代由澳大利亚学者提出的环境与健康的整合策略。</w:t>
      </w:r>
      <w:r>
        <w:rPr>
          <w:rFonts w:ascii="宋体" w:hAnsi="宋体" w:eastAsia="宋体" w:cs="宋体"/>
          <w:spacing w:val="17"/>
          <w:sz w:val="20"/>
          <w:szCs w:val="20"/>
        </w:rPr>
        <w:t xml:space="preserve"> </w:t>
      </w:r>
      <w:r>
        <w:rPr>
          <w:rFonts w:ascii="宋体" w:hAnsi="宋体" w:eastAsia="宋体" w:cs="宋体"/>
          <w:spacing w:val="6"/>
          <w:sz w:val="20"/>
          <w:szCs w:val="20"/>
        </w:rPr>
        <w:t>例如，针对工作场所的伤害现象，可以采取</w:t>
      </w:r>
      <w:r>
        <w:rPr>
          <w:rFonts w:ascii="宋体" w:hAnsi="宋体" w:eastAsia="宋体" w:cs="宋体"/>
          <w:spacing w:val="5"/>
          <w:sz w:val="20"/>
          <w:szCs w:val="20"/>
        </w:rPr>
        <w:t>工作场所健康促进措施，即通过以下方面使工作场所的</w:t>
      </w:r>
      <w:r>
        <w:rPr>
          <w:rFonts w:ascii="宋体" w:hAnsi="宋体" w:eastAsia="宋体" w:cs="宋体"/>
          <w:sz w:val="20"/>
          <w:szCs w:val="20"/>
        </w:rPr>
        <w:t xml:space="preserve">  </w:t>
      </w:r>
      <w:r>
        <w:rPr>
          <w:rFonts w:ascii="宋体" w:hAnsi="宋体" w:eastAsia="宋体" w:cs="宋体"/>
          <w:spacing w:val="10"/>
          <w:sz w:val="20"/>
          <w:szCs w:val="20"/>
        </w:rPr>
        <w:t>伤害得到有效控制：①把伤害预防纳入企业政策；②由雇员与雇主共同讨论建立一个安全的工作</w:t>
      </w:r>
      <w:r>
        <w:rPr>
          <w:rFonts w:ascii="宋体" w:hAnsi="宋体" w:eastAsia="宋体" w:cs="宋体"/>
          <w:spacing w:val="6"/>
          <w:sz w:val="20"/>
          <w:szCs w:val="20"/>
        </w:rPr>
        <w:t xml:space="preserve">  </w:t>
      </w:r>
      <w:r>
        <w:rPr>
          <w:rFonts w:ascii="宋体" w:hAnsi="宋体" w:eastAsia="宋体" w:cs="宋体"/>
          <w:spacing w:val="7"/>
          <w:sz w:val="20"/>
          <w:szCs w:val="20"/>
        </w:rPr>
        <w:t>环境；③通过岗位培训和职业教育加强工人的伤害预防能力；④通过投资改善不合理的生产环境；</w:t>
      </w:r>
    </w:p>
    <w:p w14:paraId="03EECB74">
      <w:pPr>
        <w:spacing w:before="125" w:line="217" w:lineRule="auto"/>
        <w:ind w:left="689"/>
        <w:rPr>
          <w:rFonts w:ascii="宋体" w:hAnsi="宋体" w:eastAsia="宋体" w:cs="宋体"/>
          <w:sz w:val="20"/>
          <w:szCs w:val="20"/>
        </w:rPr>
      </w:pPr>
      <w:r>
        <w:rPr>
          <w:rFonts w:ascii="宋体" w:hAnsi="宋体" w:eastAsia="宋体" w:cs="宋体"/>
          <w:spacing w:val="5"/>
          <w:sz w:val="20"/>
          <w:szCs w:val="20"/>
        </w:rPr>
        <w:t>⑤明确雇主和雇员在职业伤害预防中的责任；⑥共同参与伤害预防活动等。</w:t>
      </w:r>
    </w:p>
    <w:p w14:paraId="69819371">
      <w:pPr>
        <w:spacing w:before="186" w:line="332" w:lineRule="auto"/>
        <w:ind w:left="689" w:right="66" w:firstLine="399"/>
        <w:jc w:val="both"/>
        <w:rPr>
          <w:rFonts w:ascii="宋体" w:hAnsi="宋体" w:eastAsia="宋体" w:cs="宋体"/>
          <w:sz w:val="20"/>
          <w:szCs w:val="20"/>
        </w:rPr>
      </w:pPr>
      <w:r>
        <w:rPr>
          <w:rFonts w:ascii="宋体" w:hAnsi="宋体" w:eastAsia="宋体" w:cs="宋体"/>
          <w:spacing w:val="8"/>
          <w:sz w:val="20"/>
          <w:szCs w:val="20"/>
        </w:rPr>
        <w:t>2. 第二级预防</w:t>
      </w:r>
      <w:r>
        <w:rPr>
          <w:rFonts w:ascii="宋体" w:hAnsi="宋体" w:eastAsia="宋体" w:cs="宋体"/>
          <w:spacing w:val="99"/>
          <w:sz w:val="20"/>
          <w:szCs w:val="20"/>
        </w:rPr>
        <w:t xml:space="preserve"> </w:t>
      </w:r>
      <w:r>
        <w:rPr>
          <w:rFonts w:ascii="宋体" w:hAnsi="宋体" w:eastAsia="宋体" w:cs="宋体"/>
          <w:spacing w:val="8"/>
          <w:sz w:val="20"/>
          <w:szCs w:val="20"/>
        </w:rPr>
        <w:t>其目标是在事故或事件发生时，降低伤害的发生风险及其严重程度。摩托车</w:t>
      </w:r>
      <w:r>
        <w:rPr>
          <w:rFonts w:ascii="宋体" w:hAnsi="宋体" w:eastAsia="宋体" w:cs="宋体"/>
          <w:sz w:val="20"/>
          <w:szCs w:val="20"/>
        </w:rPr>
        <w:t xml:space="preserve"> </w:t>
      </w:r>
      <w:r>
        <w:rPr>
          <w:rFonts w:ascii="宋体" w:hAnsi="宋体" w:eastAsia="宋体" w:cs="宋体"/>
          <w:spacing w:val="6"/>
          <w:sz w:val="20"/>
          <w:szCs w:val="20"/>
        </w:rPr>
        <w:t>头盔、安全带、儿童约束装置、救生衣和防弹衣都是第二级预防的范例。</w:t>
      </w:r>
      <w:r>
        <w:rPr>
          <w:rFonts w:ascii="宋体" w:hAnsi="宋体" w:eastAsia="宋体" w:cs="宋体"/>
          <w:spacing w:val="5"/>
          <w:sz w:val="20"/>
          <w:szCs w:val="20"/>
        </w:rPr>
        <w:t>这些措施并不能阻止事故</w:t>
      </w:r>
      <w:r>
        <w:rPr>
          <w:rFonts w:ascii="宋体" w:hAnsi="宋体" w:eastAsia="宋体" w:cs="宋体"/>
          <w:sz w:val="20"/>
          <w:szCs w:val="20"/>
        </w:rPr>
        <w:t xml:space="preserve"> </w:t>
      </w:r>
      <w:r>
        <w:rPr>
          <w:rFonts w:ascii="宋体" w:hAnsi="宋体" w:eastAsia="宋体" w:cs="宋体"/>
          <w:spacing w:val="5"/>
          <w:sz w:val="20"/>
          <w:szCs w:val="20"/>
        </w:rPr>
        <w:t>的发生，但能够在事故发生时起到保护作用，减轻伤害的发生强度或致命风险。佩戴摩托车头盔可</w:t>
      </w:r>
      <w:r>
        <w:rPr>
          <w:rFonts w:ascii="宋体" w:hAnsi="宋体" w:eastAsia="宋体" w:cs="宋体"/>
          <w:spacing w:val="12"/>
          <w:sz w:val="20"/>
          <w:szCs w:val="20"/>
        </w:rPr>
        <w:t xml:space="preserve"> </w:t>
      </w:r>
      <w:r>
        <w:rPr>
          <w:rFonts w:ascii="宋体" w:hAnsi="宋体" w:eastAsia="宋体" w:cs="宋体"/>
          <w:spacing w:val="14"/>
          <w:sz w:val="20"/>
          <w:szCs w:val="20"/>
        </w:rPr>
        <w:t>使重伤风险降低近70%,死亡风险降低约40%;而系安全带可使驾驶员和前座乘者的轻伤和重伤风</w:t>
      </w:r>
      <w:r>
        <w:rPr>
          <w:rFonts w:ascii="宋体" w:hAnsi="宋体" w:eastAsia="宋体" w:cs="宋体"/>
          <w:spacing w:val="18"/>
          <w:sz w:val="20"/>
          <w:szCs w:val="20"/>
        </w:rPr>
        <w:t xml:space="preserve"> </w:t>
      </w:r>
      <w:r>
        <w:rPr>
          <w:rFonts w:ascii="宋体" w:hAnsi="宋体" w:eastAsia="宋体" w:cs="宋体"/>
          <w:spacing w:val="20"/>
          <w:sz w:val="20"/>
          <w:szCs w:val="20"/>
        </w:rPr>
        <w:t>险降低20%～45%,并使死亡风险降低45%～50%;儿童约束装置能使碰撞后1岁以下儿童的伤害</w:t>
      </w:r>
    </w:p>
    <w:p w14:paraId="0D0A08E7">
      <w:pPr>
        <w:spacing w:line="332" w:lineRule="auto"/>
        <w:rPr>
          <w:rFonts w:ascii="宋体" w:hAnsi="宋体" w:eastAsia="宋体" w:cs="宋体"/>
          <w:sz w:val="20"/>
          <w:szCs w:val="20"/>
        </w:rPr>
        <w:sectPr>
          <w:footerReference r:id="rId261" w:type="default"/>
          <w:pgSz w:w="11900" w:h="16820"/>
          <w:pgMar w:top="400" w:right="1479" w:bottom="787" w:left="810" w:header="0" w:footer="606" w:gutter="0"/>
          <w:cols w:space="720" w:num="1"/>
        </w:sectPr>
      </w:pPr>
    </w:p>
    <w:p w14:paraId="27084DAD">
      <w:pPr>
        <w:pStyle w:val="2"/>
        <w:spacing w:before="16" w:line="221" w:lineRule="auto"/>
        <w:ind w:left="7100"/>
        <w:rPr>
          <w:sz w:val="21"/>
          <w:szCs w:val="21"/>
        </w:rPr>
      </w:pPr>
      <w:bookmarkStart w:id="407" w:name="bookmark539"/>
      <w:bookmarkEnd w:id="407"/>
      <w:r>
        <w:rPr>
          <w:spacing w:val="-20"/>
          <w:sz w:val="21"/>
          <w:szCs w:val="21"/>
        </w:rPr>
        <w:t>第十五章伤害流行病学</w:t>
      </w:r>
    </w:p>
    <w:p w14:paraId="05A3AFE9">
      <w:pPr>
        <w:spacing w:line="273" w:lineRule="auto"/>
        <w:rPr>
          <w:rFonts w:ascii="Arial"/>
          <w:sz w:val="21"/>
        </w:rPr>
      </w:pPr>
    </w:p>
    <w:p w14:paraId="14494EC3">
      <w:pPr>
        <w:spacing w:line="274" w:lineRule="auto"/>
        <w:rPr>
          <w:rFonts w:ascii="Arial"/>
          <w:sz w:val="21"/>
        </w:rPr>
      </w:pPr>
    </w:p>
    <w:p w14:paraId="433CECFF">
      <w:pPr>
        <w:spacing w:before="68" w:line="334" w:lineRule="auto"/>
        <w:ind w:right="638"/>
        <w:jc w:val="both"/>
        <w:rPr>
          <w:rFonts w:ascii="宋体" w:hAnsi="宋体" w:eastAsia="宋体" w:cs="宋体"/>
          <w:sz w:val="21"/>
          <w:szCs w:val="21"/>
        </w:rPr>
      </w:pPr>
      <w:r>
        <w:rPr>
          <w:rFonts w:ascii="宋体" w:hAnsi="宋体" w:eastAsia="宋体" w:cs="宋体"/>
          <w:spacing w:val="1"/>
          <w:sz w:val="21"/>
          <w:szCs w:val="21"/>
        </w:rPr>
        <w:t>风险降低71%。值得注意的是，有效的第二级预防措施并不能够减少所有的伤害。例如，摩托车头</w:t>
      </w:r>
      <w:r>
        <w:rPr>
          <w:rFonts w:ascii="宋体" w:hAnsi="宋体" w:eastAsia="宋体" w:cs="宋体"/>
          <w:spacing w:val="12"/>
          <w:sz w:val="21"/>
          <w:szCs w:val="21"/>
        </w:rPr>
        <w:t xml:space="preserve"> </w:t>
      </w:r>
      <w:r>
        <w:rPr>
          <w:rFonts w:ascii="宋体" w:hAnsi="宋体" w:eastAsia="宋体" w:cs="宋体"/>
          <w:spacing w:val="-1"/>
          <w:sz w:val="21"/>
          <w:szCs w:val="21"/>
        </w:rPr>
        <w:t>盔对减少头部损伤非常有效，但对于身体其他部</w:t>
      </w:r>
      <w:r>
        <w:rPr>
          <w:rFonts w:ascii="宋体" w:hAnsi="宋体" w:eastAsia="宋体" w:cs="宋体"/>
          <w:spacing w:val="-2"/>
          <w:sz w:val="21"/>
          <w:szCs w:val="21"/>
        </w:rPr>
        <w:t>位的损伤缺乏保护作用；安全带也无法限制四肢的</w:t>
      </w:r>
      <w:r>
        <w:rPr>
          <w:rFonts w:ascii="宋体" w:hAnsi="宋体" w:eastAsia="宋体" w:cs="宋体"/>
          <w:sz w:val="21"/>
          <w:szCs w:val="21"/>
        </w:rPr>
        <w:t xml:space="preserve"> </w:t>
      </w:r>
      <w:r>
        <w:rPr>
          <w:rFonts w:ascii="宋体" w:hAnsi="宋体" w:eastAsia="宋体" w:cs="宋体"/>
          <w:spacing w:val="-4"/>
          <w:sz w:val="21"/>
          <w:szCs w:val="21"/>
        </w:rPr>
        <w:t>活动以及预防交通伤害中割伤、擦伤、四肢骨折的发</w:t>
      </w:r>
      <w:r>
        <w:rPr>
          <w:rFonts w:ascii="宋体" w:hAnsi="宋体" w:eastAsia="宋体" w:cs="宋体"/>
          <w:spacing w:val="-5"/>
          <w:sz w:val="21"/>
          <w:szCs w:val="21"/>
        </w:rPr>
        <w:t>生。</w:t>
      </w:r>
    </w:p>
    <w:p w14:paraId="4A1AD834">
      <w:pPr>
        <w:pStyle w:val="2"/>
        <w:spacing w:before="1" w:line="326" w:lineRule="auto"/>
        <w:ind w:right="651" w:firstLine="429"/>
        <w:rPr>
          <w:rFonts w:ascii="宋体" w:hAnsi="宋体" w:eastAsia="宋体" w:cs="宋体"/>
          <w:sz w:val="21"/>
          <w:szCs w:val="21"/>
        </w:rPr>
      </w:pPr>
      <w:r>
        <w:rPr>
          <w:rFonts w:ascii="宋体" w:hAnsi="宋体" w:eastAsia="宋体" w:cs="宋体"/>
          <w:spacing w:val="1"/>
          <w:sz w:val="21"/>
          <w:szCs w:val="21"/>
        </w:rPr>
        <w:t xml:space="preserve">3. </w:t>
      </w:r>
      <w:r>
        <w:rPr>
          <w:spacing w:val="1"/>
          <w:sz w:val="21"/>
          <w:szCs w:val="21"/>
        </w:rPr>
        <w:t>第三级预防</w:t>
      </w:r>
      <w:r>
        <w:rPr>
          <w:spacing w:val="97"/>
          <w:sz w:val="21"/>
          <w:szCs w:val="21"/>
        </w:rPr>
        <w:t xml:space="preserve"> </w:t>
      </w:r>
      <w:r>
        <w:rPr>
          <w:rFonts w:ascii="宋体" w:hAnsi="宋体" w:eastAsia="宋体" w:cs="宋体"/>
          <w:spacing w:val="1"/>
          <w:sz w:val="21"/>
          <w:szCs w:val="21"/>
        </w:rPr>
        <w:t>指伤害已经发生后，减轻伤害或疾病带来的长期影响和功能损失，帮助病人</w:t>
      </w:r>
      <w:r>
        <w:rPr>
          <w:rFonts w:ascii="宋体" w:hAnsi="宋体" w:eastAsia="宋体" w:cs="宋体"/>
          <w:sz w:val="21"/>
          <w:szCs w:val="21"/>
        </w:rPr>
        <w:t xml:space="preserve"> </w:t>
      </w:r>
      <w:r>
        <w:rPr>
          <w:rFonts w:ascii="宋体" w:hAnsi="宋体" w:eastAsia="宋体" w:cs="宋体"/>
          <w:spacing w:val="-3"/>
          <w:sz w:val="21"/>
          <w:szCs w:val="21"/>
        </w:rPr>
        <w:t>恢复或提高生活质量。现场紧急救助、心肺复苏、康复等均属于第三级预防。</w:t>
      </w:r>
    </w:p>
    <w:p w14:paraId="43D4E361">
      <w:pPr>
        <w:pStyle w:val="2"/>
        <w:spacing w:before="4" w:line="222" w:lineRule="auto"/>
        <w:ind w:left="432"/>
        <w:rPr>
          <w:sz w:val="21"/>
          <w:szCs w:val="21"/>
        </w:rPr>
      </w:pPr>
      <w:r>
        <w:rPr>
          <w:b/>
          <w:bCs/>
          <w:spacing w:val="22"/>
          <w:sz w:val="21"/>
          <w:szCs w:val="21"/>
        </w:rPr>
        <w:t>(二)主动干预与被动干预</w:t>
      </w:r>
    </w:p>
    <w:p w14:paraId="51BD6B9D">
      <w:pPr>
        <w:spacing w:before="128" w:line="326" w:lineRule="auto"/>
        <w:ind w:right="584" w:firstLine="429"/>
        <w:jc w:val="both"/>
        <w:rPr>
          <w:rFonts w:ascii="宋体" w:hAnsi="宋体" w:eastAsia="宋体" w:cs="宋体"/>
          <w:sz w:val="21"/>
          <w:szCs w:val="21"/>
        </w:rPr>
      </w:pPr>
      <w:r>
        <w:rPr>
          <w:rFonts w:ascii="宋体" w:hAnsi="宋体" w:eastAsia="宋体" w:cs="宋体"/>
          <w:spacing w:val="4"/>
          <w:sz w:val="21"/>
          <w:szCs w:val="21"/>
        </w:rPr>
        <w:t>伤害预防策略依据宿主的行为可分为两类：主动干预和被动干预。主</w:t>
      </w:r>
      <w:r>
        <w:rPr>
          <w:rFonts w:ascii="宋体" w:hAnsi="宋体" w:eastAsia="宋体" w:cs="宋体"/>
          <w:spacing w:val="3"/>
          <w:sz w:val="21"/>
          <w:szCs w:val="21"/>
        </w:rPr>
        <w:t>动干预要求宿主采取措</w:t>
      </w:r>
      <w:r>
        <w:rPr>
          <w:rFonts w:ascii="宋体" w:hAnsi="宋体" w:eastAsia="宋体" w:cs="宋体"/>
          <w:sz w:val="21"/>
          <w:szCs w:val="21"/>
        </w:rPr>
        <w:t xml:space="preserve"> </w:t>
      </w:r>
      <w:r>
        <w:rPr>
          <w:rFonts w:ascii="宋体" w:hAnsi="宋体" w:eastAsia="宋体" w:cs="宋体"/>
          <w:spacing w:val="-1"/>
          <w:sz w:val="21"/>
          <w:szCs w:val="21"/>
        </w:rPr>
        <w:t>施使干预奏效，它要求人们改变某种行为，并且记住在每次暴露于危险行为时应实施安全行为。安</w:t>
      </w:r>
      <w:r>
        <w:rPr>
          <w:rFonts w:ascii="宋体" w:hAnsi="宋体" w:eastAsia="宋体" w:cs="宋体"/>
          <w:spacing w:val="14"/>
          <w:sz w:val="21"/>
          <w:szCs w:val="21"/>
        </w:rPr>
        <w:t xml:space="preserve"> </w:t>
      </w:r>
      <w:r>
        <w:rPr>
          <w:rFonts w:ascii="宋体" w:hAnsi="宋体" w:eastAsia="宋体" w:cs="宋体"/>
          <w:spacing w:val="-1"/>
          <w:sz w:val="21"/>
          <w:szCs w:val="21"/>
        </w:rPr>
        <w:t>全带、头盔的应用即为主动干预的范例。被动干预不需要宿主的行动，一般通</w:t>
      </w:r>
      <w:r>
        <w:rPr>
          <w:rFonts w:ascii="宋体" w:hAnsi="宋体" w:eastAsia="宋体" w:cs="宋体"/>
          <w:spacing w:val="-2"/>
          <w:sz w:val="21"/>
          <w:szCs w:val="21"/>
        </w:rPr>
        <w:t>过改善因子、媒介或</w:t>
      </w:r>
      <w:r>
        <w:rPr>
          <w:rFonts w:ascii="宋体" w:hAnsi="宋体" w:eastAsia="宋体" w:cs="宋体"/>
          <w:sz w:val="21"/>
          <w:szCs w:val="21"/>
        </w:rPr>
        <w:t xml:space="preserve"> </w:t>
      </w:r>
      <w:r>
        <w:rPr>
          <w:rFonts w:ascii="宋体" w:hAnsi="宋体" w:eastAsia="宋体" w:cs="宋体"/>
          <w:spacing w:val="-1"/>
          <w:sz w:val="21"/>
          <w:szCs w:val="21"/>
        </w:rPr>
        <w:t>环境来实现，是自动发生作用的措施。在车辆设计中改善刹车装置、安装安</w:t>
      </w:r>
      <w:r>
        <w:rPr>
          <w:rFonts w:ascii="宋体" w:hAnsi="宋体" w:eastAsia="宋体" w:cs="宋体"/>
          <w:spacing w:val="-2"/>
          <w:sz w:val="21"/>
          <w:szCs w:val="21"/>
        </w:rPr>
        <w:t>全气囊等均为被动干预</w:t>
      </w:r>
      <w:r>
        <w:rPr>
          <w:rFonts w:ascii="宋体" w:hAnsi="宋体" w:eastAsia="宋体" w:cs="宋体"/>
          <w:sz w:val="21"/>
          <w:szCs w:val="21"/>
        </w:rPr>
        <w:t xml:space="preserve"> </w:t>
      </w:r>
      <w:r>
        <w:rPr>
          <w:rFonts w:ascii="宋体" w:hAnsi="宋体" w:eastAsia="宋体" w:cs="宋体"/>
          <w:spacing w:val="1"/>
          <w:sz w:val="21"/>
          <w:szCs w:val="21"/>
        </w:rPr>
        <w:t>措施。被动干预相比主动干预更具成效，因为后者需要宿主采取行动且花费时间，例如戴头盔(主</w:t>
      </w:r>
      <w:r>
        <w:rPr>
          <w:rFonts w:ascii="宋体" w:hAnsi="宋体" w:eastAsia="宋体" w:cs="宋体"/>
          <w:spacing w:val="12"/>
          <w:sz w:val="21"/>
          <w:szCs w:val="21"/>
        </w:rPr>
        <w:t xml:space="preserve"> </w:t>
      </w:r>
      <w:r>
        <w:rPr>
          <w:rFonts w:ascii="宋体" w:hAnsi="宋体" w:eastAsia="宋体" w:cs="宋体"/>
          <w:spacing w:val="1"/>
          <w:sz w:val="21"/>
          <w:szCs w:val="21"/>
        </w:rPr>
        <w:t>动干预)对预防严重的摩托车伤害是有效的，但在实施过程中首先要教育车手戴头盔的重要性，其</w:t>
      </w:r>
      <w:r>
        <w:rPr>
          <w:rFonts w:ascii="宋体" w:hAnsi="宋体" w:eastAsia="宋体" w:cs="宋体"/>
          <w:spacing w:val="9"/>
          <w:sz w:val="21"/>
          <w:szCs w:val="21"/>
        </w:rPr>
        <w:t xml:space="preserve"> </w:t>
      </w:r>
      <w:r>
        <w:rPr>
          <w:rFonts w:ascii="宋体" w:hAnsi="宋体" w:eastAsia="宋体" w:cs="宋体"/>
          <w:spacing w:val="5"/>
          <w:sz w:val="21"/>
          <w:szCs w:val="21"/>
        </w:rPr>
        <w:t>次车手在每次骑车时都需要记住戴上头盔。相比较而言，提高道路和机动车的安全性(被动干预)</w:t>
      </w:r>
      <w:r>
        <w:rPr>
          <w:rFonts w:ascii="宋体" w:hAnsi="宋体" w:eastAsia="宋体" w:cs="宋体"/>
          <w:sz w:val="21"/>
          <w:szCs w:val="21"/>
        </w:rPr>
        <w:t xml:space="preserve"> </w:t>
      </w:r>
      <w:r>
        <w:rPr>
          <w:rFonts w:ascii="宋体" w:hAnsi="宋体" w:eastAsia="宋体" w:cs="宋体"/>
          <w:spacing w:val="-1"/>
          <w:sz w:val="21"/>
          <w:szCs w:val="21"/>
        </w:rPr>
        <w:t>对预防道路伤害更为有效。同样，在预防儿童误服药物导致中毒方面，使用安全药盖(被</w:t>
      </w:r>
      <w:r>
        <w:rPr>
          <w:rFonts w:ascii="宋体" w:hAnsi="宋体" w:eastAsia="宋体" w:cs="宋体"/>
          <w:spacing w:val="-2"/>
          <w:sz w:val="21"/>
          <w:szCs w:val="21"/>
        </w:rPr>
        <w:t>动干预)比</w:t>
      </w:r>
      <w:r>
        <w:rPr>
          <w:rFonts w:ascii="宋体" w:hAnsi="宋体" w:eastAsia="宋体" w:cs="宋体"/>
          <w:sz w:val="21"/>
          <w:szCs w:val="21"/>
        </w:rPr>
        <w:t xml:space="preserve"> </w:t>
      </w:r>
      <w:r>
        <w:rPr>
          <w:rFonts w:ascii="宋体" w:hAnsi="宋体" w:eastAsia="宋体" w:cs="宋体"/>
          <w:spacing w:val="3"/>
          <w:sz w:val="21"/>
          <w:szCs w:val="21"/>
        </w:rPr>
        <w:t>教育儿童不要乱服药或提醒父母把药物锁到安全的地方(主动干预)更有效。在实践中，应将两种</w:t>
      </w:r>
      <w:r>
        <w:rPr>
          <w:rFonts w:ascii="宋体" w:hAnsi="宋体" w:eastAsia="宋体" w:cs="宋体"/>
          <w:spacing w:val="15"/>
          <w:sz w:val="21"/>
          <w:szCs w:val="21"/>
        </w:rPr>
        <w:t xml:space="preserve"> </w:t>
      </w:r>
      <w:r>
        <w:rPr>
          <w:rFonts w:ascii="宋体" w:hAnsi="宋体" w:eastAsia="宋体" w:cs="宋体"/>
          <w:spacing w:val="2"/>
          <w:sz w:val="21"/>
          <w:szCs w:val="21"/>
        </w:rPr>
        <w:t>策略结合以达到预防与控制伤害的目的。</w:t>
      </w:r>
    </w:p>
    <w:p w14:paraId="42ADA871">
      <w:pPr>
        <w:pStyle w:val="2"/>
        <w:spacing w:before="53" w:line="221" w:lineRule="auto"/>
        <w:ind w:left="429"/>
        <w:rPr>
          <w:sz w:val="21"/>
          <w:szCs w:val="21"/>
        </w:rPr>
      </w:pPr>
      <w:r>
        <w:rPr>
          <w:spacing w:val="1"/>
          <w:sz w:val="21"/>
          <w:szCs w:val="21"/>
        </w:rPr>
        <w:t>( 三 )</w:t>
      </w:r>
      <w:r>
        <w:rPr>
          <w:rFonts w:ascii="宋体" w:hAnsi="宋体" w:eastAsia="宋体" w:cs="宋体"/>
          <w:sz w:val="21"/>
          <w:szCs w:val="21"/>
        </w:rPr>
        <w:t>Haddon</w:t>
      </w:r>
      <w:r>
        <w:rPr>
          <w:rFonts w:ascii="宋体" w:hAnsi="宋体" w:eastAsia="宋体" w:cs="宋体"/>
          <w:spacing w:val="42"/>
          <w:sz w:val="21"/>
          <w:szCs w:val="21"/>
        </w:rPr>
        <w:t xml:space="preserve">  </w:t>
      </w:r>
      <w:r>
        <w:rPr>
          <w:spacing w:val="1"/>
          <w:sz w:val="21"/>
          <w:szCs w:val="21"/>
        </w:rPr>
        <w:t>伤害预防的十大策略</w:t>
      </w:r>
    </w:p>
    <w:p w14:paraId="2127738C">
      <w:pPr>
        <w:spacing w:before="110" w:line="329" w:lineRule="auto"/>
        <w:ind w:right="639" w:firstLine="429"/>
        <w:rPr>
          <w:rFonts w:ascii="宋体" w:hAnsi="宋体" w:eastAsia="宋体" w:cs="宋体"/>
          <w:sz w:val="21"/>
          <w:szCs w:val="21"/>
        </w:rPr>
      </w:pPr>
      <w:r>
        <w:rPr>
          <w:rFonts w:ascii="Times New Roman" w:hAnsi="Times New Roman" w:eastAsia="Times New Roman" w:cs="Times New Roman"/>
          <w:sz w:val="21"/>
          <w:szCs w:val="21"/>
        </w:rPr>
        <w:t>Haddon</w:t>
      </w:r>
      <w:r>
        <w:rPr>
          <w:rFonts w:ascii="Times New Roman" w:hAnsi="Times New Roman" w:eastAsia="Times New Roman" w:cs="Times New Roman"/>
          <w:spacing w:val="26"/>
          <w:sz w:val="21"/>
          <w:szCs w:val="21"/>
        </w:rPr>
        <w:t xml:space="preserve"> </w:t>
      </w:r>
      <w:r>
        <w:rPr>
          <w:rFonts w:ascii="宋体" w:hAnsi="宋体" w:eastAsia="宋体" w:cs="宋体"/>
          <w:spacing w:val="1"/>
          <w:sz w:val="21"/>
          <w:szCs w:val="21"/>
        </w:rPr>
        <w:t>在伤害的预防与控制方面做了大量的研究，以下是他提出的预防与控制伤害发生和减</w:t>
      </w:r>
      <w:r>
        <w:rPr>
          <w:rFonts w:ascii="宋体" w:hAnsi="宋体" w:eastAsia="宋体" w:cs="宋体"/>
          <w:sz w:val="21"/>
          <w:szCs w:val="21"/>
        </w:rPr>
        <w:t xml:space="preserve"> </w:t>
      </w:r>
      <w:r>
        <w:rPr>
          <w:rFonts w:ascii="宋体" w:hAnsi="宋体" w:eastAsia="宋体" w:cs="宋体"/>
          <w:spacing w:val="3"/>
          <w:sz w:val="21"/>
          <w:szCs w:val="21"/>
        </w:rPr>
        <w:t>少死亡的十大策略。</w:t>
      </w:r>
    </w:p>
    <w:p w14:paraId="675AFCCD">
      <w:pPr>
        <w:pStyle w:val="2"/>
        <w:spacing w:line="282" w:lineRule="auto"/>
        <w:ind w:right="640" w:firstLine="429"/>
        <w:rPr>
          <w:rFonts w:ascii="宋体" w:hAnsi="宋体" w:eastAsia="宋体" w:cs="宋体"/>
          <w:sz w:val="21"/>
          <w:szCs w:val="21"/>
        </w:rPr>
      </w:pPr>
      <w:r>
        <w:rPr>
          <w:rFonts w:ascii="宋体" w:hAnsi="宋体" w:eastAsia="宋体" w:cs="宋体"/>
          <w:spacing w:val="-3"/>
          <w:sz w:val="21"/>
          <w:szCs w:val="21"/>
        </w:rPr>
        <w:t xml:space="preserve">1. </w:t>
      </w:r>
      <w:r>
        <w:rPr>
          <w:spacing w:val="-3"/>
          <w:sz w:val="21"/>
          <w:szCs w:val="21"/>
        </w:rPr>
        <w:t>预防危险因素的形成</w:t>
      </w:r>
      <w:r>
        <w:rPr>
          <w:spacing w:val="77"/>
          <w:sz w:val="21"/>
          <w:szCs w:val="21"/>
        </w:rPr>
        <w:t xml:space="preserve"> </w:t>
      </w:r>
      <w:r>
        <w:rPr>
          <w:rFonts w:ascii="宋体" w:hAnsi="宋体" w:eastAsia="宋体" w:cs="宋体"/>
          <w:spacing w:val="-3"/>
          <w:sz w:val="21"/>
          <w:szCs w:val="21"/>
        </w:rPr>
        <w:t>从源头上避免危险因素，例如禁止生产</w:t>
      </w:r>
      <w:r>
        <w:rPr>
          <w:rFonts w:ascii="宋体" w:hAnsi="宋体" w:eastAsia="宋体" w:cs="宋体"/>
          <w:spacing w:val="-4"/>
          <w:sz w:val="21"/>
          <w:szCs w:val="21"/>
        </w:rPr>
        <w:t>有毒、致癌杀虫剂，宣布禁止</w:t>
      </w:r>
      <w:r>
        <w:rPr>
          <w:rFonts w:ascii="宋体" w:hAnsi="宋体" w:eastAsia="宋体" w:cs="宋体"/>
          <w:sz w:val="21"/>
          <w:szCs w:val="21"/>
        </w:rPr>
        <w:t xml:space="preserve"> </w:t>
      </w:r>
      <w:r>
        <w:rPr>
          <w:rFonts w:ascii="宋体" w:hAnsi="宋体" w:eastAsia="宋体" w:cs="宋体"/>
          <w:spacing w:val="-2"/>
          <w:sz w:val="21"/>
          <w:szCs w:val="21"/>
        </w:rPr>
        <w:t>进口或销售潜在有害物质，可达到消除危险物形成的目的。</w:t>
      </w:r>
    </w:p>
    <w:p w14:paraId="0FED060E">
      <w:pPr>
        <w:pStyle w:val="2"/>
        <w:spacing w:before="110" w:line="290" w:lineRule="auto"/>
        <w:ind w:right="658" w:firstLine="429"/>
        <w:rPr>
          <w:rFonts w:ascii="宋体" w:hAnsi="宋体" w:eastAsia="宋体" w:cs="宋体"/>
          <w:sz w:val="21"/>
          <w:szCs w:val="21"/>
        </w:rPr>
      </w:pPr>
      <w:r>
        <w:rPr>
          <w:rFonts w:ascii="宋体" w:hAnsi="宋体" w:eastAsia="宋体" w:cs="宋体"/>
          <w:spacing w:val="2"/>
          <w:sz w:val="21"/>
          <w:szCs w:val="21"/>
        </w:rPr>
        <w:t xml:space="preserve">2. </w:t>
      </w:r>
      <w:r>
        <w:rPr>
          <w:spacing w:val="2"/>
          <w:sz w:val="21"/>
          <w:szCs w:val="21"/>
        </w:rPr>
        <w:t>降低危险因素</w:t>
      </w:r>
      <w:r>
        <w:rPr>
          <w:spacing w:val="60"/>
          <w:sz w:val="21"/>
          <w:szCs w:val="21"/>
        </w:rPr>
        <w:t xml:space="preserve"> </w:t>
      </w:r>
      <w:r>
        <w:rPr>
          <w:rFonts w:ascii="宋体" w:hAnsi="宋体" w:eastAsia="宋体" w:cs="宋体"/>
          <w:spacing w:val="2"/>
          <w:sz w:val="21"/>
          <w:szCs w:val="21"/>
        </w:rPr>
        <w:t>减少或控制危险因素的数量或降低、控制其强</w:t>
      </w:r>
      <w:r>
        <w:rPr>
          <w:rFonts w:ascii="宋体" w:hAnsi="宋体" w:eastAsia="宋体" w:cs="宋体"/>
          <w:spacing w:val="1"/>
          <w:sz w:val="21"/>
          <w:szCs w:val="21"/>
        </w:rPr>
        <w:t>度。例如，为了预防交通伤</w:t>
      </w:r>
      <w:r>
        <w:rPr>
          <w:rFonts w:ascii="宋体" w:hAnsi="宋体" w:eastAsia="宋体" w:cs="宋体"/>
          <w:sz w:val="21"/>
          <w:szCs w:val="21"/>
        </w:rPr>
        <w:t xml:space="preserve"> </w:t>
      </w:r>
      <w:r>
        <w:rPr>
          <w:rFonts w:ascii="宋体" w:hAnsi="宋体" w:eastAsia="宋体" w:cs="宋体"/>
          <w:spacing w:val="-6"/>
          <w:sz w:val="21"/>
          <w:szCs w:val="21"/>
        </w:rPr>
        <w:t>害，限制车速；限制城市游泳池跳台的高度；限制武器使</w:t>
      </w:r>
      <w:r>
        <w:rPr>
          <w:rFonts w:ascii="宋体" w:hAnsi="宋体" w:eastAsia="宋体" w:cs="宋体"/>
          <w:spacing w:val="-7"/>
          <w:sz w:val="21"/>
          <w:szCs w:val="21"/>
        </w:rPr>
        <w:t>用范围，禁止私人藏有武器；有毒物品应采</w:t>
      </w:r>
      <w:r>
        <w:rPr>
          <w:rFonts w:ascii="宋体" w:hAnsi="宋体" w:eastAsia="宋体" w:cs="宋体"/>
          <w:sz w:val="21"/>
          <w:szCs w:val="21"/>
        </w:rPr>
        <w:t xml:space="preserve"> </w:t>
      </w:r>
      <w:r>
        <w:rPr>
          <w:rFonts w:ascii="宋体" w:hAnsi="宋体" w:eastAsia="宋体" w:cs="宋体"/>
          <w:spacing w:val="-4"/>
          <w:sz w:val="21"/>
          <w:szCs w:val="21"/>
        </w:rPr>
        <w:t>用小包装、安全包装等。</w:t>
      </w:r>
    </w:p>
    <w:p w14:paraId="7D7DF4ED">
      <w:pPr>
        <w:pStyle w:val="2"/>
        <w:spacing w:before="131" w:line="290" w:lineRule="auto"/>
        <w:ind w:right="637" w:firstLine="429"/>
        <w:rPr>
          <w:rFonts w:ascii="宋体" w:hAnsi="宋体" w:eastAsia="宋体" w:cs="宋体"/>
          <w:sz w:val="21"/>
          <w:szCs w:val="21"/>
        </w:rPr>
      </w:pPr>
      <w:r>
        <w:rPr>
          <w:rFonts w:ascii="宋体" w:hAnsi="宋体" w:eastAsia="宋体" w:cs="宋体"/>
          <w:spacing w:val="2"/>
          <w:sz w:val="21"/>
          <w:szCs w:val="21"/>
        </w:rPr>
        <w:t xml:space="preserve">3. </w:t>
      </w:r>
      <w:r>
        <w:rPr>
          <w:spacing w:val="2"/>
          <w:sz w:val="21"/>
          <w:szCs w:val="21"/>
        </w:rPr>
        <w:t>预防危险因素的释放</w:t>
      </w:r>
      <w:r>
        <w:rPr>
          <w:spacing w:val="77"/>
          <w:sz w:val="21"/>
          <w:szCs w:val="21"/>
        </w:rPr>
        <w:t xml:space="preserve"> </w:t>
      </w:r>
      <w:r>
        <w:rPr>
          <w:rFonts w:ascii="宋体" w:hAnsi="宋体" w:eastAsia="宋体" w:cs="宋体"/>
          <w:spacing w:val="2"/>
          <w:sz w:val="21"/>
          <w:szCs w:val="21"/>
        </w:rPr>
        <w:t>在危险因素释放前采取预防措施，减少其释放的</w:t>
      </w:r>
      <w:r>
        <w:rPr>
          <w:rFonts w:ascii="宋体" w:hAnsi="宋体" w:eastAsia="宋体" w:cs="宋体"/>
          <w:spacing w:val="1"/>
          <w:sz w:val="21"/>
          <w:szCs w:val="21"/>
        </w:rPr>
        <w:t>可能性。例如，应</w:t>
      </w:r>
      <w:r>
        <w:rPr>
          <w:rFonts w:ascii="宋体" w:hAnsi="宋体" w:eastAsia="宋体" w:cs="宋体"/>
          <w:sz w:val="21"/>
          <w:szCs w:val="21"/>
        </w:rPr>
        <w:t xml:space="preserve"> </w:t>
      </w:r>
      <w:r>
        <w:rPr>
          <w:rFonts w:ascii="宋体" w:hAnsi="宋体" w:eastAsia="宋体" w:cs="宋体"/>
          <w:spacing w:val="-2"/>
          <w:sz w:val="21"/>
          <w:szCs w:val="21"/>
        </w:rPr>
        <w:t>用儿童安全药物容器盛放药物，防止儿童误食药物引起中毒；浴盆不要太滑，以防跌倒；使用儿童</w:t>
      </w:r>
      <w:r>
        <w:rPr>
          <w:rFonts w:ascii="宋体" w:hAnsi="宋体" w:eastAsia="宋体" w:cs="宋体"/>
          <w:spacing w:val="14"/>
          <w:sz w:val="21"/>
          <w:szCs w:val="21"/>
        </w:rPr>
        <w:t xml:space="preserve"> </w:t>
      </w:r>
      <w:r>
        <w:rPr>
          <w:rFonts w:ascii="宋体" w:hAnsi="宋体" w:eastAsia="宋体" w:cs="宋体"/>
          <w:spacing w:val="5"/>
          <w:sz w:val="21"/>
          <w:szCs w:val="21"/>
        </w:rPr>
        <w:t>安全锁等。</w:t>
      </w:r>
    </w:p>
    <w:p w14:paraId="7E0374FE">
      <w:pPr>
        <w:pStyle w:val="2"/>
        <w:spacing w:before="110" w:line="285" w:lineRule="auto"/>
        <w:ind w:right="648" w:firstLine="429"/>
        <w:rPr>
          <w:rFonts w:ascii="宋体" w:hAnsi="宋体" w:eastAsia="宋体" w:cs="宋体"/>
          <w:sz w:val="21"/>
          <w:szCs w:val="21"/>
        </w:rPr>
      </w:pPr>
      <w:r>
        <w:rPr>
          <w:rFonts w:ascii="宋体" w:hAnsi="宋体" w:eastAsia="宋体" w:cs="宋体"/>
          <w:spacing w:val="2"/>
          <w:sz w:val="21"/>
          <w:szCs w:val="21"/>
        </w:rPr>
        <w:t xml:space="preserve">4. </w:t>
      </w:r>
      <w:r>
        <w:rPr>
          <w:spacing w:val="2"/>
          <w:sz w:val="21"/>
          <w:szCs w:val="21"/>
        </w:rPr>
        <w:t>改变危险因素的空间分布</w:t>
      </w:r>
      <w:r>
        <w:rPr>
          <w:spacing w:val="62"/>
          <w:sz w:val="21"/>
          <w:szCs w:val="21"/>
        </w:rPr>
        <w:t xml:space="preserve"> </w:t>
      </w:r>
      <w:r>
        <w:rPr>
          <w:rFonts w:ascii="宋体" w:hAnsi="宋体" w:eastAsia="宋体" w:cs="宋体"/>
          <w:spacing w:val="2"/>
          <w:sz w:val="21"/>
          <w:szCs w:val="21"/>
        </w:rPr>
        <w:t>减少潜在性致伤能量或增加能量转移的缓冲。例如，</w:t>
      </w:r>
      <w:r>
        <w:rPr>
          <w:rFonts w:ascii="宋体" w:hAnsi="宋体" w:eastAsia="宋体" w:cs="宋体"/>
          <w:spacing w:val="1"/>
          <w:sz w:val="21"/>
          <w:szCs w:val="21"/>
        </w:rPr>
        <w:t>机动车司</w:t>
      </w:r>
      <w:r>
        <w:rPr>
          <w:rFonts w:ascii="宋体" w:hAnsi="宋体" w:eastAsia="宋体" w:cs="宋体"/>
          <w:sz w:val="21"/>
          <w:szCs w:val="21"/>
        </w:rPr>
        <w:t xml:space="preserve"> </w:t>
      </w:r>
      <w:r>
        <w:rPr>
          <w:rFonts w:ascii="宋体" w:hAnsi="宋体" w:eastAsia="宋体" w:cs="宋体"/>
          <w:spacing w:val="1"/>
          <w:sz w:val="21"/>
          <w:szCs w:val="21"/>
        </w:rPr>
        <w:t>机及乘客应按规定使用安全带等。</w:t>
      </w:r>
    </w:p>
    <w:p w14:paraId="3BE8C720">
      <w:pPr>
        <w:pStyle w:val="2"/>
        <w:spacing w:before="102" w:line="285" w:lineRule="auto"/>
        <w:ind w:right="628" w:firstLine="429"/>
        <w:rPr>
          <w:rFonts w:ascii="宋体" w:hAnsi="宋体" w:eastAsia="宋体" w:cs="宋体"/>
          <w:sz w:val="21"/>
          <w:szCs w:val="21"/>
        </w:rPr>
      </w:pPr>
      <w:r>
        <w:rPr>
          <w:rFonts w:ascii="宋体" w:hAnsi="宋体" w:eastAsia="宋体" w:cs="宋体"/>
          <w:spacing w:val="2"/>
          <w:sz w:val="21"/>
          <w:szCs w:val="21"/>
        </w:rPr>
        <w:t xml:space="preserve">5. </w:t>
      </w:r>
      <w:r>
        <w:rPr>
          <w:spacing w:val="2"/>
          <w:sz w:val="21"/>
          <w:szCs w:val="21"/>
        </w:rPr>
        <w:t>将危险因素从时间、空间上与受保护者分开</w:t>
      </w:r>
      <w:r>
        <w:rPr>
          <w:spacing w:val="78"/>
          <w:sz w:val="21"/>
          <w:szCs w:val="21"/>
        </w:rPr>
        <w:t xml:space="preserve"> </w:t>
      </w:r>
      <w:r>
        <w:rPr>
          <w:rFonts w:ascii="宋体" w:hAnsi="宋体" w:eastAsia="宋体" w:cs="宋体"/>
          <w:spacing w:val="2"/>
          <w:sz w:val="21"/>
          <w:szCs w:val="21"/>
        </w:rPr>
        <w:t>例如，行人走人行道，特定环境场所戴安全</w:t>
      </w:r>
      <w:r>
        <w:rPr>
          <w:rFonts w:ascii="宋体" w:hAnsi="宋体" w:eastAsia="宋体" w:cs="宋体"/>
          <w:sz w:val="21"/>
          <w:szCs w:val="21"/>
        </w:rPr>
        <w:t xml:space="preserve"> </w:t>
      </w:r>
      <w:r>
        <w:rPr>
          <w:rFonts w:ascii="宋体" w:hAnsi="宋体" w:eastAsia="宋体" w:cs="宋体"/>
          <w:spacing w:val="-11"/>
          <w:sz w:val="21"/>
          <w:szCs w:val="21"/>
        </w:rPr>
        <w:t>帽，穿防护服，穿防护背心，戴拳击手套等。</w:t>
      </w:r>
    </w:p>
    <w:p w14:paraId="37A4EBC4">
      <w:pPr>
        <w:pStyle w:val="2"/>
        <w:spacing w:before="120" w:line="222" w:lineRule="auto"/>
        <w:ind w:left="429"/>
        <w:rPr>
          <w:rFonts w:ascii="宋体" w:hAnsi="宋体" w:eastAsia="宋体" w:cs="宋体"/>
          <w:sz w:val="21"/>
          <w:szCs w:val="21"/>
        </w:rPr>
      </w:pPr>
      <w:r>
        <w:rPr>
          <w:rFonts w:ascii="宋体" w:hAnsi="宋体" w:eastAsia="宋体" w:cs="宋体"/>
          <w:spacing w:val="1"/>
          <w:sz w:val="21"/>
          <w:szCs w:val="21"/>
        </w:rPr>
        <w:t xml:space="preserve">6. </w:t>
      </w:r>
      <w:r>
        <w:rPr>
          <w:spacing w:val="1"/>
          <w:sz w:val="21"/>
          <w:szCs w:val="21"/>
        </w:rPr>
        <w:t>用屏障将危险因素与受保护者分开</w:t>
      </w:r>
      <w:r>
        <w:rPr>
          <w:spacing w:val="71"/>
          <w:sz w:val="21"/>
          <w:szCs w:val="21"/>
        </w:rPr>
        <w:t xml:space="preserve"> </w:t>
      </w:r>
      <w:r>
        <w:rPr>
          <w:rFonts w:ascii="宋体" w:hAnsi="宋体" w:eastAsia="宋体" w:cs="宋体"/>
          <w:spacing w:val="1"/>
          <w:sz w:val="21"/>
          <w:szCs w:val="21"/>
        </w:rPr>
        <w:t>例如用绝缘物把电缆与行人隔开。</w:t>
      </w:r>
    </w:p>
    <w:p w14:paraId="2BA76BC3">
      <w:pPr>
        <w:pStyle w:val="2"/>
        <w:spacing w:before="118" w:line="277" w:lineRule="auto"/>
        <w:ind w:right="659" w:firstLine="429"/>
        <w:rPr>
          <w:rFonts w:ascii="宋体" w:hAnsi="宋体" w:eastAsia="宋体" w:cs="宋体"/>
          <w:sz w:val="21"/>
          <w:szCs w:val="21"/>
        </w:rPr>
      </w:pPr>
      <w:r>
        <w:rPr>
          <w:rFonts w:ascii="宋体" w:hAnsi="宋体" w:eastAsia="宋体" w:cs="宋体"/>
          <w:spacing w:val="1"/>
          <w:sz w:val="21"/>
          <w:szCs w:val="21"/>
        </w:rPr>
        <w:t xml:space="preserve">7. </w:t>
      </w:r>
      <w:r>
        <w:rPr>
          <w:spacing w:val="1"/>
          <w:sz w:val="21"/>
          <w:szCs w:val="21"/>
        </w:rPr>
        <w:t>改变危险因素的基本性质</w:t>
      </w:r>
      <w:r>
        <w:rPr>
          <w:spacing w:val="89"/>
          <w:sz w:val="21"/>
          <w:szCs w:val="21"/>
        </w:rPr>
        <w:t xml:space="preserve"> </w:t>
      </w:r>
      <w:r>
        <w:rPr>
          <w:rFonts w:ascii="宋体" w:hAnsi="宋体" w:eastAsia="宋体" w:cs="宋体"/>
          <w:spacing w:val="1"/>
          <w:sz w:val="21"/>
          <w:szCs w:val="21"/>
        </w:rPr>
        <w:t>例如，机动车车内突出的尖锐器件应改成钝角或软体，以防触</w:t>
      </w:r>
      <w:r>
        <w:rPr>
          <w:rFonts w:ascii="宋体" w:hAnsi="宋体" w:eastAsia="宋体" w:cs="宋体"/>
          <w:sz w:val="21"/>
          <w:szCs w:val="21"/>
        </w:rPr>
        <w:t xml:space="preserve"> </w:t>
      </w:r>
      <w:r>
        <w:rPr>
          <w:rFonts w:ascii="宋体" w:hAnsi="宋体" w:eastAsia="宋体" w:cs="宋体"/>
          <w:spacing w:val="-5"/>
          <w:sz w:val="21"/>
          <w:szCs w:val="21"/>
        </w:rPr>
        <w:t>及人体导致伤害；加固油箱以防止撞车时油箱破裂、漏油造成火灾。</w:t>
      </w:r>
    </w:p>
    <w:p w14:paraId="5FB45A5B">
      <w:pPr>
        <w:pStyle w:val="2"/>
        <w:spacing w:before="120" w:line="299" w:lineRule="auto"/>
        <w:ind w:right="661" w:firstLine="429"/>
        <w:rPr>
          <w:rFonts w:ascii="宋体" w:hAnsi="宋体" w:eastAsia="宋体" w:cs="宋体"/>
          <w:sz w:val="21"/>
          <w:szCs w:val="21"/>
        </w:rPr>
      </w:pPr>
      <w:r>
        <w:rPr>
          <w:rFonts w:ascii="宋体" w:hAnsi="宋体" w:eastAsia="宋体" w:cs="宋体"/>
          <w:spacing w:val="1"/>
          <w:sz w:val="21"/>
          <w:szCs w:val="21"/>
        </w:rPr>
        <w:t xml:space="preserve">8. </w:t>
      </w:r>
      <w:r>
        <w:rPr>
          <w:spacing w:val="1"/>
          <w:sz w:val="21"/>
          <w:szCs w:val="21"/>
        </w:rPr>
        <w:t>增加人体对危险因素的抵抗力</w:t>
      </w:r>
      <w:r>
        <w:rPr>
          <w:spacing w:val="96"/>
          <w:sz w:val="21"/>
          <w:szCs w:val="21"/>
        </w:rPr>
        <w:t xml:space="preserve"> </w:t>
      </w:r>
      <w:r>
        <w:rPr>
          <w:rFonts w:ascii="宋体" w:hAnsi="宋体" w:eastAsia="宋体" w:cs="宋体"/>
          <w:spacing w:val="1"/>
          <w:sz w:val="21"/>
          <w:szCs w:val="21"/>
        </w:rPr>
        <w:t>人体对机械能量缺乏自然抵抗力，</w:t>
      </w:r>
      <w:r>
        <w:rPr>
          <w:rFonts w:ascii="宋体" w:hAnsi="宋体" w:eastAsia="宋体" w:cs="宋体"/>
          <w:sz w:val="21"/>
          <w:szCs w:val="21"/>
        </w:rPr>
        <w:t xml:space="preserve">特别是血友病、骨质疏 </w:t>
      </w:r>
      <w:r>
        <w:rPr>
          <w:rFonts w:ascii="宋体" w:hAnsi="宋体" w:eastAsia="宋体" w:cs="宋体"/>
          <w:spacing w:val="-2"/>
          <w:sz w:val="21"/>
          <w:szCs w:val="21"/>
        </w:rPr>
        <w:t>松症等病人。但反复暴露于机械能，会使皮肤增厚、骨骼肌肉耐力增强。人体长期慢性暴露于缺氧</w:t>
      </w:r>
      <w:r>
        <w:rPr>
          <w:rFonts w:ascii="宋体" w:hAnsi="宋体" w:eastAsia="宋体" w:cs="宋体"/>
          <w:spacing w:val="14"/>
          <w:sz w:val="21"/>
          <w:szCs w:val="21"/>
        </w:rPr>
        <w:t xml:space="preserve"> </w:t>
      </w:r>
      <w:r>
        <w:rPr>
          <w:rFonts w:ascii="宋体" w:hAnsi="宋体" w:eastAsia="宋体" w:cs="宋体"/>
          <w:spacing w:val="-2"/>
          <w:sz w:val="21"/>
          <w:szCs w:val="21"/>
        </w:rPr>
        <w:t>状态时，亦可逐渐适应高原缺氧环境。基于对影响伤害易感性因素的研究，制定提高机体对伤害抵</w:t>
      </w:r>
      <w:r>
        <w:rPr>
          <w:rFonts w:ascii="宋体" w:hAnsi="宋体" w:eastAsia="宋体" w:cs="宋体"/>
          <w:spacing w:val="13"/>
          <w:sz w:val="21"/>
          <w:szCs w:val="21"/>
        </w:rPr>
        <w:t xml:space="preserve"> </w:t>
      </w:r>
      <w:r>
        <w:rPr>
          <w:rFonts w:ascii="宋体" w:hAnsi="宋体" w:eastAsia="宋体" w:cs="宋体"/>
          <w:spacing w:val="3"/>
          <w:sz w:val="21"/>
          <w:szCs w:val="21"/>
        </w:rPr>
        <w:t>抗力的预防措施。</w:t>
      </w:r>
    </w:p>
    <w:p w14:paraId="480D28BB">
      <w:pPr>
        <w:pStyle w:val="2"/>
        <w:spacing w:before="129" w:line="221" w:lineRule="auto"/>
        <w:ind w:left="429"/>
        <w:rPr>
          <w:rFonts w:ascii="宋体" w:hAnsi="宋体" w:eastAsia="宋体" w:cs="宋体"/>
          <w:sz w:val="21"/>
          <w:szCs w:val="21"/>
        </w:rPr>
      </w:pPr>
      <w:r>
        <w:rPr>
          <w:rFonts w:ascii="宋体" w:hAnsi="宋体" w:eastAsia="宋体" w:cs="宋体"/>
          <w:spacing w:val="1"/>
          <w:sz w:val="21"/>
          <w:szCs w:val="21"/>
        </w:rPr>
        <w:t xml:space="preserve">9. </w:t>
      </w:r>
      <w:r>
        <w:rPr>
          <w:spacing w:val="1"/>
          <w:sz w:val="21"/>
          <w:szCs w:val="21"/>
        </w:rPr>
        <w:t>对已造成的损伤提供有针对性的预防与控</w:t>
      </w:r>
      <w:r>
        <w:rPr>
          <w:sz w:val="21"/>
          <w:szCs w:val="21"/>
        </w:rPr>
        <w:t>制措施</w:t>
      </w:r>
      <w:r>
        <w:rPr>
          <w:spacing w:val="76"/>
          <w:sz w:val="21"/>
          <w:szCs w:val="21"/>
        </w:rPr>
        <w:t xml:space="preserve"> </w:t>
      </w:r>
      <w:r>
        <w:rPr>
          <w:rFonts w:ascii="宋体" w:hAnsi="宋体" w:eastAsia="宋体" w:cs="宋体"/>
          <w:sz w:val="21"/>
          <w:szCs w:val="21"/>
        </w:rPr>
        <w:t>及时提供有效的急救和医疗服务，例如</w:t>
      </w:r>
    </w:p>
    <w:p w14:paraId="4BBB4AC1">
      <w:pPr>
        <w:spacing w:line="221" w:lineRule="auto"/>
        <w:rPr>
          <w:rFonts w:ascii="宋体" w:hAnsi="宋体" w:eastAsia="宋体" w:cs="宋体"/>
          <w:sz w:val="21"/>
          <w:szCs w:val="21"/>
        </w:rPr>
        <w:sectPr>
          <w:footerReference r:id="rId262" w:type="default"/>
          <w:pgSz w:w="11900" w:h="16820"/>
          <w:pgMar w:top="400" w:right="849" w:bottom="846" w:left="1430" w:header="0" w:footer="657" w:gutter="0"/>
          <w:cols w:space="720" w:num="1"/>
        </w:sectPr>
      </w:pPr>
    </w:p>
    <w:p w14:paraId="0F702EDF">
      <w:pPr>
        <w:pStyle w:val="2"/>
        <w:spacing w:before="216" w:line="221" w:lineRule="auto"/>
        <w:ind w:left="669"/>
        <w:rPr>
          <w:sz w:val="19"/>
          <w:szCs w:val="19"/>
        </w:rPr>
      </w:pPr>
      <w:r>
        <w:rPr>
          <w:spacing w:val="-12"/>
          <w:sz w:val="19"/>
          <w:szCs w:val="19"/>
        </w:rPr>
        <w:t>第十五章 伤害流行病学</w:t>
      </w:r>
    </w:p>
    <w:p w14:paraId="29ABA5BD">
      <w:pPr>
        <w:spacing w:line="284" w:lineRule="auto"/>
        <w:rPr>
          <w:rFonts w:ascii="Arial"/>
          <w:sz w:val="21"/>
        </w:rPr>
      </w:pPr>
    </w:p>
    <w:p w14:paraId="3D785D25">
      <w:pPr>
        <w:spacing w:line="284" w:lineRule="auto"/>
        <w:rPr>
          <w:rFonts w:ascii="Arial"/>
          <w:sz w:val="21"/>
        </w:rPr>
      </w:pPr>
    </w:p>
    <w:p w14:paraId="6D798B82">
      <w:pPr>
        <w:spacing w:before="61" w:line="362" w:lineRule="auto"/>
        <w:ind w:left="669" w:right="84"/>
        <w:rPr>
          <w:rFonts w:ascii="宋体" w:hAnsi="宋体" w:eastAsia="宋体" w:cs="宋体"/>
          <w:sz w:val="19"/>
          <w:szCs w:val="19"/>
        </w:rPr>
      </w:pPr>
      <w:r>
        <w:rPr>
          <w:rFonts w:ascii="宋体" w:hAnsi="宋体" w:eastAsia="宋体" w:cs="宋体"/>
          <w:spacing w:val="13"/>
          <w:sz w:val="19"/>
          <w:szCs w:val="19"/>
        </w:rPr>
        <w:t>建立急救站，培训急救人员，加强现代化通信设施，让急救中心派车将受伤者转运走，实施抢救措</w:t>
      </w:r>
      <w:r>
        <w:rPr>
          <w:rFonts w:ascii="宋体" w:hAnsi="宋体" w:eastAsia="宋体" w:cs="宋体"/>
          <w:spacing w:val="10"/>
          <w:sz w:val="19"/>
          <w:szCs w:val="19"/>
        </w:rPr>
        <w:t xml:space="preserve"> </w:t>
      </w:r>
      <w:r>
        <w:rPr>
          <w:rFonts w:ascii="宋体" w:hAnsi="宋体" w:eastAsia="宋体" w:cs="宋体"/>
          <w:spacing w:val="9"/>
          <w:sz w:val="19"/>
          <w:szCs w:val="19"/>
        </w:rPr>
        <w:t>施，从而降低残疾率和死亡率。</w:t>
      </w:r>
    </w:p>
    <w:p w14:paraId="2C8D7398">
      <w:pPr>
        <w:pStyle w:val="2"/>
        <w:spacing w:before="15" w:line="341" w:lineRule="auto"/>
        <w:ind w:left="669" w:right="68" w:firstLine="390"/>
        <w:jc w:val="both"/>
        <w:rPr>
          <w:rFonts w:ascii="宋体" w:hAnsi="宋体" w:eastAsia="宋体" w:cs="宋体"/>
          <w:sz w:val="19"/>
          <w:szCs w:val="19"/>
        </w:rPr>
      </w:pPr>
      <w:r>
        <w:rPr>
          <w:rFonts w:ascii="宋体" w:hAnsi="宋体" w:eastAsia="宋体" w:cs="宋体"/>
          <w:spacing w:val="12"/>
          <w:sz w:val="19"/>
          <w:szCs w:val="19"/>
        </w:rPr>
        <w:t xml:space="preserve">10. </w:t>
      </w:r>
      <w:r>
        <w:rPr>
          <w:spacing w:val="12"/>
          <w:sz w:val="19"/>
          <w:szCs w:val="19"/>
        </w:rPr>
        <w:t xml:space="preserve">对伤者采取有效治疗及康复措施  </w:t>
      </w:r>
      <w:r>
        <w:rPr>
          <w:rFonts w:ascii="宋体" w:hAnsi="宋体" w:eastAsia="宋体" w:cs="宋体"/>
          <w:spacing w:val="12"/>
          <w:sz w:val="19"/>
          <w:szCs w:val="19"/>
        </w:rPr>
        <w:t>帮助伤者恢复健康和功能，例如提供物理治疗、职业康</w:t>
      </w:r>
      <w:r>
        <w:rPr>
          <w:rFonts w:ascii="宋体" w:hAnsi="宋体" w:eastAsia="宋体" w:cs="宋体"/>
          <w:spacing w:val="9"/>
          <w:sz w:val="19"/>
          <w:szCs w:val="19"/>
        </w:rPr>
        <w:t xml:space="preserve"> </w:t>
      </w:r>
      <w:r>
        <w:rPr>
          <w:rFonts w:ascii="宋体" w:hAnsi="宋体" w:eastAsia="宋体" w:cs="宋体"/>
          <w:spacing w:val="14"/>
          <w:sz w:val="19"/>
          <w:szCs w:val="19"/>
        </w:rPr>
        <w:t>复和心理支持。而在交通不便、医疗条件有限的地区，伤者则</w:t>
      </w:r>
      <w:r>
        <w:rPr>
          <w:rFonts w:ascii="宋体" w:hAnsi="宋体" w:eastAsia="宋体" w:cs="宋体"/>
          <w:spacing w:val="13"/>
          <w:sz w:val="19"/>
          <w:szCs w:val="19"/>
        </w:rPr>
        <w:t>可能因缺乏医疗设备或错过抢救时机</w:t>
      </w:r>
      <w:r>
        <w:rPr>
          <w:rFonts w:ascii="宋体" w:hAnsi="宋体" w:eastAsia="宋体" w:cs="宋体"/>
          <w:sz w:val="19"/>
          <w:szCs w:val="19"/>
        </w:rPr>
        <w:t xml:space="preserve"> </w:t>
      </w:r>
      <w:r>
        <w:rPr>
          <w:rFonts w:ascii="宋体" w:hAnsi="宋体" w:eastAsia="宋体" w:cs="宋体"/>
          <w:spacing w:val="15"/>
          <w:sz w:val="19"/>
          <w:szCs w:val="19"/>
        </w:rPr>
        <w:t>而死于伤害。</w:t>
      </w:r>
    </w:p>
    <w:p w14:paraId="7A4B32DA">
      <w:pPr>
        <w:pStyle w:val="2"/>
        <w:spacing w:before="55" w:line="221" w:lineRule="auto"/>
        <w:ind w:left="1060"/>
        <w:rPr>
          <w:sz w:val="19"/>
          <w:szCs w:val="19"/>
        </w:rPr>
      </w:pPr>
      <w:r>
        <w:rPr>
          <w:spacing w:val="19"/>
          <w:sz w:val="19"/>
          <w:szCs w:val="19"/>
        </w:rPr>
        <w:t>(四)“5</w:t>
      </w:r>
      <w:r>
        <w:rPr>
          <w:rFonts w:ascii="Times New Roman" w:hAnsi="Times New Roman" w:eastAsia="Times New Roman" w:cs="Times New Roman"/>
          <w:spacing w:val="19"/>
          <w:sz w:val="19"/>
          <w:szCs w:val="19"/>
        </w:rPr>
        <w:t>E”</w:t>
      </w:r>
      <w:r>
        <w:rPr>
          <w:rFonts w:ascii="Times New Roman" w:hAnsi="Times New Roman" w:eastAsia="Times New Roman" w:cs="Times New Roman"/>
          <w:spacing w:val="50"/>
          <w:sz w:val="19"/>
          <w:szCs w:val="19"/>
        </w:rPr>
        <w:t xml:space="preserve"> </w:t>
      </w:r>
      <w:r>
        <w:rPr>
          <w:spacing w:val="19"/>
          <w:sz w:val="19"/>
          <w:szCs w:val="19"/>
        </w:rPr>
        <w:t>伤害预防综合策略</w:t>
      </w:r>
    </w:p>
    <w:p w14:paraId="2B58C5D8">
      <w:pPr>
        <w:spacing w:before="134" w:line="349" w:lineRule="auto"/>
        <w:ind w:left="669" w:right="80" w:firstLine="347"/>
        <w:rPr>
          <w:rFonts w:ascii="宋体" w:hAnsi="宋体" w:eastAsia="宋体" w:cs="宋体"/>
          <w:sz w:val="19"/>
          <w:szCs w:val="19"/>
        </w:rPr>
      </w:pPr>
      <w:r>
        <w:rPr>
          <w:rFonts w:ascii="Times New Roman" w:hAnsi="Times New Roman" w:eastAsia="Times New Roman" w:cs="Times New Roman"/>
          <w:spacing w:val="17"/>
          <w:sz w:val="19"/>
          <w:szCs w:val="19"/>
        </w:rPr>
        <w:t>“5E”</w:t>
      </w:r>
      <w:r>
        <w:rPr>
          <w:rFonts w:ascii="Times New Roman" w:hAnsi="Times New Roman" w:eastAsia="Times New Roman" w:cs="Times New Roman"/>
          <w:spacing w:val="39"/>
          <w:w w:val="101"/>
          <w:sz w:val="19"/>
          <w:szCs w:val="19"/>
        </w:rPr>
        <w:t xml:space="preserve"> </w:t>
      </w:r>
      <w:r>
        <w:rPr>
          <w:rFonts w:ascii="宋体" w:hAnsi="宋体" w:eastAsia="宋体" w:cs="宋体"/>
          <w:spacing w:val="17"/>
          <w:sz w:val="19"/>
          <w:szCs w:val="19"/>
        </w:rPr>
        <w:t>伤害预防综合策略是目前国际公认的伤害预防综合策略，该策略的有效性在</w:t>
      </w:r>
      <w:r>
        <w:rPr>
          <w:rFonts w:ascii="宋体" w:hAnsi="宋体" w:eastAsia="宋体" w:cs="宋体"/>
          <w:spacing w:val="16"/>
          <w:sz w:val="19"/>
          <w:szCs w:val="19"/>
        </w:rPr>
        <w:t>很多国家的</w:t>
      </w:r>
      <w:r>
        <w:rPr>
          <w:rFonts w:ascii="宋体" w:hAnsi="宋体" w:eastAsia="宋体" w:cs="宋体"/>
          <w:sz w:val="19"/>
          <w:szCs w:val="19"/>
        </w:rPr>
        <w:t xml:space="preserve"> </w:t>
      </w:r>
      <w:r>
        <w:rPr>
          <w:rFonts w:ascii="宋体" w:hAnsi="宋体" w:eastAsia="宋体" w:cs="宋体"/>
          <w:spacing w:val="13"/>
          <w:sz w:val="19"/>
          <w:szCs w:val="19"/>
        </w:rPr>
        <w:t>应用实践中都得到证明，在减少与控制伤害发生和死亡方面发挥了重要作用。其包括五个方面：</w:t>
      </w:r>
    </w:p>
    <w:p w14:paraId="63E4AADC">
      <w:pPr>
        <w:pStyle w:val="2"/>
        <w:spacing w:before="2" w:line="319" w:lineRule="auto"/>
        <w:ind w:left="669" w:right="85" w:firstLine="390"/>
        <w:rPr>
          <w:rFonts w:ascii="宋体" w:hAnsi="宋体" w:eastAsia="宋体" w:cs="宋体"/>
          <w:sz w:val="19"/>
          <w:szCs w:val="19"/>
        </w:rPr>
      </w:pPr>
      <w:r>
        <w:rPr>
          <w:rFonts w:ascii="Times New Roman" w:hAnsi="Times New Roman" w:eastAsia="Times New Roman" w:cs="Times New Roman"/>
          <w:spacing w:val="10"/>
          <w:sz w:val="19"/>
          <w:szCs w:val="19"/>
        </w:rPr>
        <w:t xml:space="preserve">1.   </w:t>
      </w:r>
      <w:r>
        <w:rPr>
          <w:rFonts w:ascii="宋体" w:hAnsi="宋体" w:eastAsia="宋体" w:cs="宋体"/>
          <w:spacing w:val="10"/>
          <w:sz w:val="19"/>
          <w:szCs w:val="19"/>
        </w:rPr>
        <w:t>教育预防策略</w:t>
      </w:r>
      <w:r>
        <w:rPr>
          <w:spacing w:val="10"/>
          <w:sz w:val="19"/>
          <w:szCs w:val="19"/>
        </w:rPr>
        <w:t>(</w:t>
      </w:r>
      <w:r>
        <w:rPr>
          <w:sz w:val="19"/>
          <w:szCs w:val="19"/>
        </w:rPr>
        <w:t>e</w:t>
      </w:r>
      <w:r>
        <w:rPr>
          <w:spacing w:val="-13"/>
          <w:sz w:val="19"/>
          <w:szCs w:val="19"/>
        </w:rPr>
        <w:t xml:space="preserve"> </w:t>
      </w:r>
      <w:r>
        <w:rPr>
          <w:rFonts w:ascii="Times New Roman" w:hAnsi="Times New Roman" w:eastAsia="Times New Roman" w:cs="Times New Roman"/>
          <w:sz w:val="19"/>
          <w:szCs w:val="19"/>
        </w:rPr>
        <w:t>ducation</w:t>
      </w:r>
      <w:r>
        <w:rPr>
          <w:rFonts w:ascii="Times New Roman" w:hAnsi="Times New Roman" w:eastAsia="Times New Roman" w:cs="Times New Roman"/>
          <w:spacing w:val="10"/>
          <w:sz w:val="19"/>
          <w:szCs w:val="19"/>
        </w:rPr>
        <w:t xml:space="preserve">    </w:t>
      </w:r>
      <w:r>
        <w:rPr>
          <w:rFonts w:ascii="Times New Roman" w:hAnsi="Times New Roman" w:eastAsia="Times New Roman" w:cs="Times New Roman"/>
          <w:sz w:val="19"/>
          <w:szCs w:val="19"/>
        </w:rPr>
        <w:t>strategy</w:t>
      </w:r>
      <w:r>
        <w:rPr>
          <w:rFonts w:ascii="Times New Roman" w:hAnsi="Times New Roman" w:eastAsia="Times New Roman" w:cs="Times New Roman"/>
          <w:spacing w:val="10"/>
          <w:sz w:val="19"/>
          <w:szCs w:val="19"/>
        </w:rPr>
        <w:t xml:space="preserve">)   </w:t>
      </w:r>
      <w:r>
        <w:rPr>
          <w:rFonts w:ascii="宋体" w:hAnsi="宋体" w:eastAsia="宋体" w:cs="宋体"/>
          <w:spacing w:val="10"/>
          <w:sz w:val="19"/>
          <w:szCs w:val="19"/>
        </w:rPr>
        <w:t>提高公众对伤害预防的认识和知识水平，改变危险行为</w:t>
      </w:r>
      <w:r>
        <w:rPr>
          <w:rFonts w:ascii="宋体" w:hAnsi="宋体" w:eastAsia="宋体" w:cs="宋体"/>
          <w:sz w:val="19"/>
          <w:szCs w:val="19"/>
        </w:rPr>
        <w:t xml:space="preserve"> </w:t>
      </w:r>
      <w:r>
        <w:rPr>
          <w:rFonts w:ascii="宋体" w:hAnsi="宋体" w:eastAsia="宋体" w:cs="宋体"/>
          <w:spacing w:val="13"/>
          <w:sz w:val="19"/>
          <w:szCs w:val="19"/>
        </w:rPr>
        <w:t>和习惯。例如在一般人群中开展改变态度、信念和行为的公共宣传、安全培训项目，同时还可针对</w:t>
      </w:r>
      <w:r>
        <w:rPr>
          <w:rFonts w:ascii="宋体" w:hAnsi="宋体" w:eastAsia="宋体" w:cs="宋体"/>
          <w:spacing w:val="8"/>
          <w:sz w:val="19"/>
          <w:szCs w:val="19"/>
        </w:rPr>
        <w:t xml:space="preserve"> </w:t>
      </w:r>
      <w:r>
        <w:rPr>
          <w:rFonts w:ascii="宋体" w:hAnsi="宋体" w:eastAsia="宋体" w:cs="宋体"/>
          <w:spacing w:val="14"/>
          <w:sz w:val="19"/>
          <w:szCs w:val="19"/>
        </w:rPr>
        <w:t>引起或受到伤害的高危个体开展伤害预防教育。</w:t>
      </w:r>
    </w:p>
    <w:p w14:paraId="60885B62">
      <w:pPr>
        <w:spacing w:before="143" w:line="313" w:lineRule="auto"/>
        <w:ind w:left="669" w:right="86" w:firstLine="390"/>
        <w:rPr>
          <w:rFonts w:ascii="宋体" w:hAnsi="宋体" w:eastAsia="宋体" w:cs="宋体"/>
          <w:sz w:val="19"/>
          <w:szCs w:val="19"/>
        </w:rPr>
      </w:pPr>
      <w:r>
        <w:rPr>
          <w:rFonts w:ascii="Times New Roman" w:hAnsi="Times New Roman" w:eastAsia="Times New Roman" w:cs="Times New Roman"/>
          <w:spacing w:val="11"/>
          <w:sz w:val="19"/>
          <w:szCs w:val="19"/>
        </w:rPr>
        <w:t>2.</w:t>
      </w:r>
      <w:r>
        <w:rPr>
          <w:rFonts w:ascii="Times New Roman" w:hAnsi="Times New Roman" w:eastAsia="Times New Roman" w:cs="Times New Roman"/>
          <w:spacing w:val="30"/>
          <w:w w:val="101"/>
          <w:sz w:val="19"/>
          <w:szCs w:val="19"/>
        </w:rPr>
        <w:t xml:space="preserve">  </w:t>
      </w:r>
      <w:r>
        <w:rPr>
          <w:rFonts w:ascii="宋体" w:hAnsi="宋体" w:eastAsia="宋体" w:cs="宋体"/>
          <w:spacing w:val="11"/>
          <w:sz w:val="19"/>
          <w:szCs w:val="19"/>
        </w:rPr>
        <w:t>环境改善策略</w:t>
      </w:r>
      <w:r>
        <w:rPr>
          <w:rFonts w:ascii="Times New Roman" w:hAnsi="Times New Roman" w:eastAsia="Times New Roman" w:cs="Times New Roman"/>
          <w:spacing w:val="11"/>
          <w:sz w:val="19"/>
          <w:szCs w:val="19"/>
        </w:rPr>
        <w:t>(</w:t>
      </w:r>
      <w:r>
        <w:rPr>
          <w:rFonts w:ascii="Times New Roman" w:hAnsi="Times New Roman" w:eastAsia="Times New Roman" w:cs="Times New Roman"/>
          <w:sz w:val="19"/>
          <w:szCs w:val="19"/>
        </w:rPr>
        <w:t>environmental</w:t>
      </w:r>
      <w:r>
        <w:rPr>
          <w:rFonts w:ascii="Times New Roman" w:hAnsi="Times New Roman" w:eastAsia="Times New Roman" w:cs="Times New Roman"/>
          <w:spacing w:val="11"/>
          <w:sz w:val="19"/>
          <w:szCs w:val="19"/>
        </w:rPr>
        <w:t xml:space="preserve">   </w:t>
      </w:r>
      <w:r>
        <w:rPr>
          <w:rFonts w:ascii="Times New Roman" w:hAnsi="Times New Roman" w:eastAsia="Times New Roman" w:cs="Times New Roman"/>
          <w:sz w:val="19"/>
          <w:szCs w:val="19"/>
        </w:rPr>
        <w:t>modification</w:t>
      </w:r>
      <w:r>
        <w:rPr>
          <w:rFonts w:ascii="Times New Roman" w:hAnsi="Times New Roman" w:eastAsia="Times New Roman" w:cs="Times New Roman"/>
          <w:spacing w:val="11"/>
          <w:sz w:val="19"/>
          <w:szCs w:val="19"/>
        </w:rPr>
        <w:t xml:space="preserve">    </w:t>
      </w:r>
      <w:r>
        <w:rPr>
          <w:rFonts w:ascii="Times New Roman" w:hAnsi="Times New Roman" w:eastAsia="Times New Roman" w:cs="Times New Roman"/>
          <w:sz w:val="19"/>
          <w:szCs w:val="19"/>
        </w:rPr>
        <w:t>strategy</w:t>
      </w:r>
      <w:r>
        <w:rPr>
          <w:rFonts w:ascii="Times New Roman" w:hAnsi="Times New Roman" w:eastAsia="Times New Roman" w:cs="Times New Roman"/>
          <w:spacing w:val="11"/>
          <w:sz w:val="19"/>
          <w:szCs w:val="19"/>
        </w:rPr>
        <w:t xml:space="preserve">)   </w:t>
      </w:r>
      <w:r>
        <w:rPr>
          <w:rFonts w:ascii="宋体" w:hAnsi="宋体" w:eastAsia="宋体" w:cs="宋体"/>
          <w:spacing w:val="11"/>
          <w:sz w:val="19"/>
          <w:szCs w:val="19"/>
        </w:rPr>
        <w:t>通过改善物理环境来减少伤害发生的可</w:t>
      </w:r>
      <w:r>
        <w:rPr>
          <w:rFonts w:ascii="宋体" w:hAnsi="宋体" w:eastAsia="宋体" w:cs="宋体"/>
          <w:sz w:val="19"/>
          <w:szCs w:val="19"/>
        </w:rPr>
        <w:t xml:space="preserve"> </w:t>
      </w:r>
      <w:r>
        <w:rPr>
          <w:rFonts w:ascii="宋体" w:hAnsi="宋体" w:eastAsia="宋体" w:cs="宋体"/>
          <w:spacing w:val="13"/>
          <w:sz w:val="19"/>
          <w:szCs w:val="19"/>
        </w:rPr>
        <w:t>能性和严重性。例如，在道路中设置交通信号灯，在公共场所和家庭中安装防滑地板，在工作场所</w:t>
      </w:r>
      <w:r>
        <w:rPr>
          <w:rFonts w:ascii="宋体" w:hAnsi="宋体" w:eastAsia="宋体" w:cs="宋体"/>
          <w:spacing w:val="6"/>
          <w:sz w:val="19"/>
          <w:szCs w:val="19"/>
        </w:rPr>
        <w:t xml:space="preserve"> </w:t>
      </w:r>
      <w:r>
        <w:rPr>
          <w:rFonts w:ascii="宋体" w:hAnsi="宋体" w:eastAsia="宋体" w:cs="宋体"/>
          <w:spacing w:val="14"/>
          <w:sz w:val="19"/>
          <w:szCs w:val="19"/>
        </w:rPr>
        <w:t>提供通风和防护设施等。</w:t>
      </w:r>
    </w:p>
    <w:p w14:paraId="2F65929E">
      <w:pPr>
        <w:spacing w:before="143" w:line="300" w:lineRule="auto"/>
        <w:ind w:left="669" w:firstLine="390"/>
        <w:rPr>
          <w:rFonts w:ascii="宋体" w:hAnsi="宋体" w:eastAsia="宋体" w:cs="宋体"/>
          <w:sz w:val="19"/>
          <w:szCs w:val="19"/>
        </w:rPr>
      </w:pPr>
      <w:r>
        <w:rPr>
          <w:rFonts w:ascii="Times New Roman" w:hAnsi="Times New Roman" w:eastAsia="Times New Roman" w:cs="Times New Roman"/>
          <w:spacing w:val="12"/>
          <w:sz w:val="19"/>
          <w:szCs w:val="19"/>
        </w:rPr>
        <w:t>3.</w:t>
      </w:r>
      <w:r>
        <w:rPr>
          <w:rFonts w:ascii="Times New Roman" w:hAnsi="Times New Roman" w:eastAsia="Times New Roman" w:cs="Times New Roman"/>
          <w:spacing w:val="1"/>
          <w:sz w:val="19"/>
          <w:szCs w:val="19"/>
        </w:rPr>
        <w:t xml:space="preserve">   </w:t>
      </w:r>
      <w:r>
        <w:rPr>
          <w:rFonts w:ascii="宋体" w:hAnsi="宋体" w:eastAsia="宋体" w:cs="宋体"/>
          <w:spacing w:val="12"/>
          <w:sz w:val="19"/>
          <w:szCs w:val="19"/>
        </w:rPr>
        <w:t>工程策略</w:t>
      </w:r>
      <w:r>
        <w:rPr>
          <w:rFonts w:ascii="Times New Roman" w:hAnsi="Times New Roman" w:eastAsia="Times New Roman" w:cs="Times New Roman"/>
          <w:spacing w:val="12"/>
          <w:sz w:val="19"/>
          <w:szCs w:val="19"/>
        </w:rPr>
        <w:t>(</w:t>
      </w:r>
      <w:r>
        <w:rPr>
          <w:rFonts w:ascii="Times New Roman" w:hAnsi="Times New Roman" w:eastAsia="Times New Roman" w:cs="Times New Roman"/>
          <w:sz w:val="19"/>
          <w:szCs w:val="19"/>
        </w:rPr>
        <w:t>engineering</w:t>
      </w:r>
      <w:r>
        <w:rPr>
          <w:rFonts w:ascii="Times New Roman" w:hAnsi="Times New Roman" w:eastAsia="Times New Roman" w:cs="Times New Roman"/>
          <w:spacing w:val="12"/>
          <w:sz w:val="19"/>
          <w:szCs w:val="19"/>
        </w:rPr>
        <w:t xml:space="preserve">     </w:t>
      </w:r>
      <w:r>
        <w:rPr>
          <w:rFonts w:ascii="Times New Roman" w:hAnsi="Times New Roman" w:eastAsia="Times New Roman" w:cs="Times New Roman"/>
          <w:sz w:val="19"/>
          <w:szCs w:val="19"/>
        </w:rPr>
        <w:t>strategy</w:t>
      </w:r>
      <w:r>
        <w:rPr>
          <w:rFonts w:ascii="Times New Roman" w:hAnsi="Times New Roman" w:eastAsia="Times New Roman" w:cs="Times New Roman"/>
          <w:spacing w:val="12"/>
          <w:sz w:val="19"/>
          <w:szCs w:val="19"/>
        </w:rPr>
        <w:t>)</w:t>
      </w:r>
      <w:r>
        <w:rPr>
          <w:rFonts w:ascii="Times New Roman" w:hAnsi="Times New Roman" w:eastAsia="Times New Roman" w:cs="Times New Roman"/>
          <w:spacing w:val="18"/>
          <w:w w:val="101"/>
          <w:sz w:val="19"/>
          <w:szCs w:val="19"/>
        </w:rPr>
        <w:t xml:space="preserve">  </w:t>
      </w:r>
      <w:r>
        <w:rPr>
          <w:rFonts w:ascii="宋体" w:hAnsi="宋体" w:eastAsia="宋体" w:cs="宋体"/>
          <w:spacing w:val="12"/>
          <w:sz w:val="19"/>
          <w:szCs w:val="19"/>
        </w:rPr>
        <w:t>通过安全设计和技术</w:t>
      </w:r>
      <w:r>
        <w:rPr>
          <w:rFonts w:ascii="宋体" w:hAnsi="宋体" w:eastAsia="宋体" w:cs="宋体"/>
          <w:spacing w:val="11"/>
          <w:sz w:val="19"/>
          <w:szCs w:val="19"/>
        </w:rPr>
        <w:t>改进来消除或减低环境中的危险因素，</w:t>
      </w:r>
      <w:r>
        <w:rPr>
          <w:rFonts w:ascii="宋体" w:hAnsi="宋体" w:eastAsia="宋体" w:cs="宋体"/>
          <w:sz w:val="19"/>
          <w:szCs w:val="19"/>
        </w:rPr>
        <w:t xml:space="preserve"> </w:t>
      </w:r>
      <w:r>
        <w:rPr>
          <w:rFonts w:ascii="宋体" w:hAnsi="宋体" w:eastAsia="宋体" w:cs="宋体"/>
          <w:spacing w:val="12"/>
          <w:sz w:val="19"/>
          <w:szCs w:val="19"/>
        </w:rPr>
        <w:t>例如安装儿童安全座椅、安装自动喷水灭火系统</w:t>
      </w:r>
      <w:r>
        <w:rPr>
          <w:rFonts w:ascii="宋体" w:hAnsi="宋体" w:eastAsia="宋体" w:cs="宋体"/>
          <w:spacing w:val="11"/>
          <w:sz w:val="19"/>
          <w:szCs w:val="19"/>
        </w:rPr>
        <w:t>和烟雾探测器、安装车辆的自动紧急制动系统等。</w:t>
      </w:r>
    </w:p>
    <w:p w14:paraId="5F55BE11">
      <w:pPr>
        <w:spacing w:before="122" w:line="320" w:lineRule="auto"/>
        <w:ind w:left="669" w:right="67" w:firstLine="390"/>
        <w:rPr>
          <w:rFonts w:ascii="宋体" w:hAnsi="宋体" w:eastAsia="宋体" w:cs="宋体"/>
          <w:sz w:val="19"/>
          <w:szCs w:val="19"/>
        </w:rPr>
      </w:pPr>
      <w:r>
        <w:rPr>
          <w:rFonts w:ascii="Times New Roman" w:hAnsi="Times New Roman" w:eastAsia="Times New Roman" w:cs="Times New Roman"/>
          <w:spacing w:val="12"/>
          <w:sz w:val="19"/>
          <w:szCs w:val="19"/>
        </w:rPr>
        <w:t>4.</w:t>
      </w:r>
      <w:r>
        <w:rPr>
          <w:rFonts w:ascii="Times New Roman" w:hAnsi="Times New Roman" w:eastAsia="Times New Roman" w:cs="Times New Roman"/>
          <w:spacing w:val="7"/>
          <w:sz w:val="19"/>
          <w:szCs w:val="19"/>
        </w:rPr>
        <w:t xml:space="preserve">   </w:t>
      </w:r>
      <w:r>
        <w:rPr>
          <w:rFonts w:ascii="宋体" w:hAnsi="宋体" w:eastAsia="宋体" w:cs="宋体"/>
          <w:spacing w:val="12"/>
          <w:sz w:val="19"/>
          <w:szCs w:val="19"/>
        </w:rPr>
        <w:t>强化执法策略</w:t>
      </w:r>
      <w:r>
        <w:rPr>
          <w:rFonts w:ascii="Times New Roman" w:hAnsi="Times New Roman" w:eastAsia="Times New Roman" w:cs="Times New Roman"/>
          <w:spacing w:val="12"/>
          <w:sz w:val="19"/>
          <w:szCs w:val="19"/>
        </w:rPr>
        <w:t>(</w:t>
      </w:r>
      <w:r>
        <w:rPr>
          <w:rFonts w:ascii="Times New Roman" w:hAnsi="Times New Roman" w:eastAsia="Times New Roman" w:cs="Times New Roman"/>
          <w:sz w:val="19"/>
          <w:szCs w:val="19"/>
        </w:rPr>
        <w:t>enforcement</w:t>
      </w:r>
      <w:r>
        <w:rPr>
          <w:rFonts w:ascii="Times New Roman" w:hAnsi="Times New Roman" w:eastAsia="Times New Roman" w:cs="Times New Roman"/>
          <w:spacing w:val="12"/>
          <w:sz w:val="19"/>
          <w:szCs w:val="19"/>
        </w:rPr>
        <w:t xml:space="preserve">    </w:t>
      </w:r>
      <w:r>
        <w:rPr>
          <w:rFonts w:ascii="Times New Roman" w:hAnsi="Times New Roman" w:eastAsia="Times New Roman" w:cs="Times New Roman"/>
          <w:sz w:val="19"/>
          <w:szCs w:val="19"/>
        </w:rPr>
        <w:t>strategy</w:t>
      </w:r>
      <w:r>
        <w:rPr>
          <w:rFonts w:ascii="Times New Roman" w:hAnsi="Times New Roman" w:eastAsia="Times New Roman" w:cs="Times New Roman"/>
          <w:spacing w:val="12"/>
          <w:sz w:val="19"/>
          <w:szCs w:val="19"/>
        </w:rPr>
        <w:t xml:space="preserve">)    </w:t>
      </w:r>
      <w:r>
        <w:rPr>
          <w:rFonts w:ascii="宋体" w:hAnsi="宋体" w:eastAsia="宋体" w:cs="宋体"/>
          <w:spacing w:val="12"/>
          <w:sz w:val="19"/>
          <w:szCs w:val="19"/>
        </w:rPr>
        <w:t>通过制定和执行法律和公安部门的措施，确保在人群</w:t>
      </w:r>
      <w:r>
        <w:rPr>
          <w:rFonts w:ascii="宋体" w:hAnsi="宋体" w:eastAsia="宋体" w:cs="宋体"/>
          <w:spacing w:val="1"/>
          <w:sz w:val="19"/>
          <w:szCs w:val="19"/>
        </w:rPr>
        <w:t xml:space="preserve"> </w:t>
      </w:r>
      <w:r>
        <w:rPr>
          <w:rFonts w:ascii="宋体" w:hAnsi="宋体" w:eastAsia="宋体" w:cs="宋体"/>
          <w:spacing w:val="18"/>
          <w:sz w:val="19"/>
          <w:szCs w:val="19"/>
        </w:rPr>
        <w:t>中维持某些行为和规范的实施。该策略不仅涵盖强制实施法律以创造安全环境，还包括制定和执</w:t>
      </w:r>
      <w:r>
        <w:rPr>
          <w:rFonts w:ascii="宋体" w:hAnsi="宋体" w:eastAsia="宋体" w:cs="宋体"/>
          <w:spacing w:val="1"/>
          <w:sz w:val="19"/>
          <w:szCs w:val="19"/>
        </w:rPr>
        <w:t xml:space="preserve"> </w:t>
      </w:r>
      <w:r>
        <w:rPr>
          <w:rFonts w:ascii="宋体" w:hAnsi="宋体" w:eastAsia="宋体" w:cs="宋体"/>
          <w:spacing w:val="11"/>
          <w:sz w:val="19"/>
          <w:szCs w:val="19"/>
        </w:rPr>
        <w:t>行确保安全产品生产和销售的法律和规范，例如工伤保</w:t>
      </w:r>
      <w:r>
        <w:rPr>
          <w:rFonts w:ascii="宋体" w:hAnsi="宋体" w:eastAsia="宋体" w:cs="宋体"/>
          <w:spacing w:val="10"/>
          <w:sz w:val="19"/>
          <w:szCs w:val="19"/>
        </w:rPr>
        <w:t>险条例、酒驾处罚等。</w:t>
      </w:r>
    </w:p>
    <w:p w14:paraId="0ABCEFAF">
      <w:pPr>
        <w:pStyle w:val="2"/>
        <w:spacing w:before="134" w:line="307" w:lineRule="auto"/>
        <w:ind w:left="669" w:right="67" w:firstLine="390"/>
        <w:rPr>
          <w:rFonts w:ascii="宋体" w:hAnsi="宋体" w:eastAsia="宋体" w:cs="宋体"/>
          <w:sz w:val="19"/>
          <w:szCs w:val="19"/>
        </w:rPr>
      </w:pPr>
      <w:r>
        <w:rPr>
          <w:rFonts w:ascii="Times New Roman" w:hAnsi="Times New Roman" w:eastAsia="Times New Roman" w:cs="Times New Roman"/>
          <w:spacing w:val="15"/>
          <w:sz w:val="19"/>
          <w:szCs w:val="19"/>
        </w:rPr>
        <w:t>5.</w:t>
      </w:r>
      <w:r>
        <w:rPr>
          <w:rFonts w:ascii="Times New Roman" w:hAnsi="Times New Roman" w:eastAsia="Times New Roman" w:cs="Times New Roman"/>
          <w:spacing w:val="6"/>
          <w:sz w:val="19"/>
          <w:szCs w:val="19"/>
        </w:rPr>
        <w:t xml:space="preserve">   </w:t>
      </w:r>
      <w:r>
        <w:rPr>
          <w:rFonts w:ascii="宋体" w:hAnsi="宋体" w:eastAsia="宋体" w:cs="宋体"/>
          <w:spacing w:val="15"/>
          <w:sz w:val="19"/>
          <w:szCs w:val="19"/>
        </w:rPr>
        <w:t>评估策略</w:t>
      </w:r>
      <w:r>
        <w:rPr>
          <w:spacing w:val="15"/>
          <w:sz w:val="19"/>
          <w:szCs w:val="19"/>
        </w:rPr>
        <w:t>(</w:t>
      </w:r>
      <w:r>
        <w:rPr>
          <w:spacing w:val="-45"/>
          <w:sz w:val="19"/>
          <w:szCs w:val="19"/>
        </w:rPr>
        <w:t xml:space="preserve"> </w:t>
      </w:r>
      <w:r>
        <w:rPr>
          <w:rFonts w:ascii="Times New Roman" w:hAnsi="Times New Roman" w:eastAsia="Times New Roman" w:cs="Times New Roman"/>
          <w:sz w:val="19"/>
          <w:szCs w:val="19"/>
        </w:rPr>
        <w:t>evaluation</w:t>
      </w:r>
      <w:r>
        <w:rPr>
          <w:rFonts w:ascii="Times New Roman" w:hAnsi="Times New Roman" w:eastAsia="Times New Roman" w:cs="Times New Roman"/>
          <w:spacing w:val="15"/>
          <w:sz w:val="19"/>
          <w:szCs w:val="19"/>
        </w:rPr>
        <w:t xml:space="preserve">     </w:t>
      </w:r>
      <w:r>
        <w:rPr>
          <w:rFonts w:ascii="Times New Roman" w:hAnsi="Times New Roman" w:eastAsia="Times New Roman" w:cs="Times New Roman"/>
          <w:sz w:val="19"/>
          <w:szCs w:val="19"/>
        </w:rPr>
        <w:t>strategy</w:t>
      </w:r>
      <w:r>
        <w:rPr>
          <w:rFonts w:ascii="Times New Roman" w:hAnsi="Times New Roman" w:eastAsia="Times New Roman" w:cs="Times New Roman"/>
          <w:spacing w:val="15"/>
          <w:sz w:val="19"/>
          <w:szCs w:val="19"/>
        </w:rPr>
        <w:t xml:space="preserve">)  </w:t>
      </w:r>
      <w:r>
        <w:rPr>
          <w:rFonts w:ascii="宋体" w:hAnsi="宋体" w:eastAsia="宋体" w:cs="宋体"/>
          <w:spacing w:val="15"/>
          <w:sz w:val="19"/>
          <w:szCs w:val="19"/>
        </w:rPr>
        <w:t>目标是通过监测和评估来衡量哪些干预措施、项目和政策</w:t>
      </w:r>
      <w:r>
        <w:rPr>
          <w:rFonts w:ascii="宋体" w:hAnsi="宋体" w:eastAsia="宋体" w:cs="宋体"/>
          <w:sz w:val="19"/>
          <w:szCs w:val="19"/>
        </w:rPr>
        <w:t xml:space="preserve"> </w:t>
      </w:r>
      <w:r>
        <w:rPr>
          <w:rFonts w:ascii="宋体" w:hAnsi="宋体" w:eastAsia="宋体" w:cs="宋体"/>
          <w:spacing w:val="19"/>
          <w:sz w:val="19"/>
          <w:szCs w:val="19"/>
        </w:rPr>
        <w:t>对预防伤害最有效，使研究者和政策制定者知</w:t>
      </w:r>
      <w:r>
        <w:rPr>
          <w:rFonts w:ascii="宋体" w:hAnsi="宋体" w:eastAsia="宋体" w:cs="宋体"/>
          <w:spacing w:val="18"/>
          <w:sz w:val="19"/>
          <w:szCs w:val="19"/>
        </w:rPr>
        <w:t>道什么是预防和控制伤害的最佳方法，并持续改进</w:t>
      </w:r>
      <w:r>
        <w:rPr>
          <w:rFonts w:ascii="宋体" w:hAnsi="宋体" w:eastAsia="宋体" w:cs="宋体"/>
          <w:sz w:val="19"/>
          <w:szCs w:val="19"/>
        </w:rPr>
        <w:t xml:space="preserve"> </w:t>
      </w:r>
      <w:r>
        <w:rPr>
          <w:rFonts w:ascii="宋体" w:hAnsi="宋体" w:eastAsia="宋体" w:cs="宋体"/>
          <w:spacing w:val="-9"/>
          <w:sz w:val="19"/>
          <w:szCs w:val="19"/>
        </w:rPr>
        <w:t>策</w:t>
      </w:r>
      <w:r>
        <w:rPr>
          <w:rFonts w:ascii="宋体" w:hAnsi="宋体" w:eastAsia="宋体" w:cs="宋体"/>
          <w:spacing w:val="-28"/>
          <w:sz w:val="19"/>
          <w:szCs w:val="19"/>
        </w:rPr>
        <w:t xml:space="preserve"> </w:t>
      </w:r>
      <w:r>
        <w:rPr>
          <w:rFonts w:ascii="宋体" w:hAnsi="宋体" w:eastAsia="宋体" w:cs="宋体"/>
          <w:spacing w:val="-9"/>
          <w:sz w:val="19"/>
          <w:szCs w:val="19"/>
        </w:rPr>
        <w:t>略</w:t>
      </w:r>
      <w:r>
        <w:rPr>
          <w:rFonts w:ascii="宋体" w:hAnsi="宋体" w:eastAsia="宋体" w:cs="宋体"/>
          <w:spacing w:val="-44"/>
          <w:sz w:val="19"/>
          <w:szCs w:val="19"/>
        </w:rPr>
        <w:t xml:space="preserve"> </w:t>
      </w:r>
      <w:r>
        <w:rPr>
          <w:rFonts w:ascii="宋体" w:hAnsi="宋体" w:eastAsia="宋体" w:cs="宋体"/>
          <w:spacing w:val="-9"/>
          <w:sz w:val="19"/>
          <w:szCs w:val="19"/>
        </w:rPr>
        <w:t>。</w:t>
      </w:r>
    </w:p>
    <w:p w14:paraId="63A85B28">
      <w:pPr>
        <w:spacing w:line="249" w:lineRule="auto"/>
        <w:rPr>
          <w:rFonts w:ascii="Arial"/>
          <w:sz w:val="21"/>
        </w:rPr>
      </w:pPr>
    </w:p>
    <w:p w14:paraId="7008EC99">
      <w:pPr>
        <w:pStyle w:val="2"/>
        <w:spacing w:before="82" w:line="223" w:lineRule="auto"/>
        <w:ind w:left="1063"/>
        <w:outlineLvl w:val="4"/>
        <w:rPr>
          <w:sz w:val="25"/>
          <w:szCs w:val="25"/>
        </w:rPr>
      </w:pPr>
      <w:bookmarkStart w:id="408" w:name="bookmark258"/>
      <w:bookmarkEnd w:id="408"/>
      <w:r>
        <w:rPr>
          <w:b/>
          <w:bCs/>
          <w:spacing w:val="-7"/>
          <w:sz w:val="25"/>
          <w:szCs w:val="25"/>
        </w:rPr>
        <w:t>二、措施</w:t>
      </w:r>
    </w:p>
    <w:p w14:paraId="675818D6">
      <w:pPr>
        <w:spacing w:before="25"/>
      </w:pPr>
    </w:p>
    <w:p w14:paraId="7E07F32C">
      <w:pPr>
        <w:sectPr>
          <w:footerReference r:id="rId263" w:type="default"/>
          <w:pgSz w:w="11900" w:h="16820"/>
          <w:pgMar w:top="400" w:right="1524" w:bottom="852" w:left="880" w:header="0" w:footer="681" w:gutter="0"/>
          <w:cols w:equalWidth="0" w:num="1">
            <w:col w:w="9496"/>
          </w:cols>
        </w:sectPr>
      </w:pPr>
    </w:p>
    <w:p w14:paraId="7DB7EFDF">
      <w:pPr>
        <w:pStyle w:val="2"/>
        <w:spacing w:before="1" w:line="220" w:lineRule="auto"/>
        <w:ind w:left="1060"/>
        <w:rPr>
          <w:sz w:val="19"/>
          <w:szCs w:val="19"/>
        </w:rPr>
      </w:pPr>
      <w:r>
        <w:rPr>
          <w:spacing w:val="24"/>
          <w:sz w:val="19"/>
          <w:szCs w:val="19"/>
        </w:rPr>
        <w:t>(</w:t>
      </w:r>
      <w:r>
        <w:rPr>
          <w:spacing w:val="-40"/>
          <w:sz w:val="19"/>
          <w:szCs w:val="19"/>
        </w:rPr>
        <w:t xml:space="preserve"> </w:t>
      </w:r>
      <w:r>
        <w:rPr>
          <w:spacing w:val="24"/>
          <w:sz w:val="19"/>
          <w:szCs w:val="19"/>
        </w:rPr>
        <w:t>一</w:t>
      </w:r>
      <w:r>
        <w:rPr>
          <w:spacing w:val="-55"/>
          <w:sz w:val="19"/>
          <w:szCs w:val="19"/>
        </w:rPr>
        <w:t xml:space="preserve"> </w:t>
      </w:r>
      <w:r>
        <w:rPr>
          <w:spacing w:val="24"/>
          <w:sz w:val="19"/>
          <w:szCs w:val="19"/>
        </w:rPr>
        <w:t>)四步骤公共卫生方法的流程</w:t>
      </w:r>
    </w:p>
    <w:p w14:paraId="708C442F">
      <w:pPr>
        <w:spacing w:before="156" w:line="305" w:lineRule="auto"/>
        <w:ind w:left="669" w:right="125" w:firstLine="390"/>
        <w:rPr>
          <w:rFonts w:ascii="宋体" w:hAnsi="宋体" w:eastAsia="宋体" w:cs="宋体"/>
          <w:sz w:val="19"/>
          <w:szCs w:val="19"/>
        </w:rPr>
      </w:pPr>
      <w:r>
        <w:rPr>
          <w:rFonts w:ascii="宋体" w:hAnsi="宋体" w:eastAsia="宋体" w:cs="宋体"/>
          <w:spacing w:val="17"/>
          <w:sz w:val="19"/>
          <w:szCs w:val="19"/>
        </w:rPr>
        <w:t>2</w:t>
      </w:r>
      <w:r>
        <w:rPr>
          <w:rFonts w:ascii="宋体" w:hAnsi="宋体" w:eastAsia="宋体" w:cs="宋体"/>
          <w:spacing w:val="-29"/>
          <w:sz w:val="19"/>
          <w:szCs w:val="19"/>
        </w:rPr>
        <w:t xml:space="preserve"> </w:t>
      </w:r>
      <w:r>
        <w:rPr>
          <w:rFonts w:ascii="宋体" w:hAnsi="宋体" w:eastAsia="宋体" w:cs="宋体"/>
          <w:spacing w:val="17"/>
          <w:sz w:val="19"/>
          <w:szCs w:val="19"/>
        </w:rPr>
        <w:t>0</w:t>
      </w:r>
      <w:r>
        <w:rPr>
          <w:rFonts w:ascii="宋体" w:hAnsi="宋体" w:eastAsia="宋体" w:cs="宋体"/>
          <w:spacing w:val="-37"/>
          <w:sz w:val="19"/>
          <w:szCs w:val="19"/>
        </w:rPr>
        <w:t xml:space="preserve"> </w:t>
      </w:r>
      <w:r>
        <w:rPr>
          <w:rFonts w:ascii="宋体" w:hAnsi="宋体" w:eastAsia="宋体" w:cs="宋体"/>
          <w:spacing w:val="17"/>
          <w:sz w:val="19"/>
          <w:szCs w:val="19"/>
        </w:rPr>
        <w:t>0</w:t>
      </w:r>
      <w:r>
        <w:rPr>
          <w:rFonts w:ascii="宋体" w:hAnsi="宋体" w:eastAsia="宋体" w:cs="宋体"/>
          <w:spacing w:val="-34"/>
          <w:sz w:val="19"/>
          <w:szCs w:val="19"/>
        </w:rPr>
        <w:t xml:space="preserve"> </w:t>
      </w:r>
      <w:r>
        <w:rPr>
          <w:rFonts w:ascii="宋体" w:hAnsi="宋体" w:eastAsia="宋体" w:cs="宋体"/>
          <w:spacing w:val="17"/>
          <w:sz w:val="19"/>
          <w:szCs w:val="19"/>
        </w:rPr>
        <w:t>7</w:t>
      </w:r>
      <w:r>
        <w:rPr>
          <w:rFonts w:ascii="宋体" w:hAnsi="宋体" w:eastAsia="宋体" w:cs="宋体"/>
          <w:spacing w:val="-37"/>
          <w:sz w:val="19"/>
          <w:szCs w:val="19"/>
        </w:rPr>
        <w:t xml:space="preserve"> </w:t>
      </w:r>
      <w:r>
        <w:rPr>
          <w:rFonts w:ascii="宋体" w:hAnsi="宋体" w:eastAsia="宋体" w:cs="宋体"/>
          <w:spacing w:val="17"/>
          <w:sz w:val="19"/>
          <w:szCs w:val="19"/>
        </w:rPr>
        <w:t>年</w:t>
      </w:r>
      <w:r>
        <w:rPr>
          <w:rFonts w:ascii="Times New Roman" w:hAnsi="Times New Roman" w:eastAsia="Times New Roman" w:cs="Times New Roman"/>
          <w:sz w:val="19"/>
          <w:szCs w:val="19"/>
        </w:rPr>
        <w:t>WHO</w:t>
      </w:r>
      <w:r>
        <w:rPr>
          <w:rFonts w:ascii="Times New Roman" w:hAnsi="Times New Roman" w:eastAsia="Times New Roman" w:cs="Times New Roman"/>
          <w:spacing w:val="17"/>
          <w:sz w:val="19"/>
          <w:szCs w:val="19"/>
        </w:rPr>
        <w:t xml:space="preserve">  </w:t>
      </w:r>
      <w:r>
        <w:rPr>
          <w:rFonts w:ascii="宋体" w:hAnsi="宋体" w:eastAsia="宋体" w:cs="宋体"/>
          <w:spacing w:val="17"/>
          <w:sz w:val="19"/>
          <w:szCs w:val="19"/>
        </w:rPr>
        <w:t>提出的伤害预防四步骤公共卫生方</w:t>
      </w:r>
      <w:r>
        <w:rPr>
          <w:rFonts w:ascii="宋体" w:hAnsi="宋体" w:eastAsia="宋体" w:cs="宋体"/>
          <w:sz w:val="19"/>
          <w:szCs w:val="19"/>
        </w:rPr>
        <w:t xml:space="preserve"> </w:t>
      </w:r>
      <w:r>
        <w:rPr>
          <w:rFonts w:ascii="宋体" w:hAnsi="宋体" w:eastAsia="宋体" w:cs="宋体"/>
          <w:spacing w:val="9"/>
          <w:sz w:val="19"/>
          <w:szCs w:val="19"/>
        </w:rPr>
        <w:t>法，提供了伤害的干预流程和工作模式，用于干预工作的</w:t>
      </w:r>
      <w:r>
        <w:rPr>
          <w:rFonts w:ascii="宋体" w:hAnsi="宋体" w:eastAsia="宋体" w:cs="宋体"/>
          <w:spacing w:val="8"/>
          <w:sz w:val="19"/>
          <w:szCs w:val="19"/>
        </w:rPr>
        <w:t xml:space="preserve"> </w:t>
      </w:r>
      <w:r>
        <w:rPr>
          <w:rFonts w:ascii="宋体" w:hAnsi="宋体" w:eastAsia="宋体" w:cs="宋体"/>
          <w:spacing w:val="10"/>
          <w:sz w:val="19"/>
          <w:szCs w:val="19"/>
        </w:rPr>
        <w:t>设计、评估和监控。具体步骤如下(图15-4):</w:t>
      </w:r>
    </w:p>
    <w:p w14:paraId="27B705E0">
      <w:pPr>
        <w:spacing w:before="166" w:line="352" w:lineRule="auto"/>
        <w:ind w:left="669" w:right="44" w:firstLine="390"/>
        <w:rPr>
          <w:rFonts w:ascii="宋体" w:hAnsi="宋体" w:eastAsia="宋体" w:cs="宋体"/>
          <w:sz w:val="19"/>
          <w:szCs w:val="19"/>
        </w:rPr>
      </w:pPr>
      <w:r>
        <w:rPr>
          <w:rFonts w:ascii="宋体" w:hAnsi="宋体" w:eastAsia="宋体" w:cs="宋体"/>
          <w:spacing w:val="4"/>
          <w:sz w:val="19"/>
          <w:szCs w:val="19"/>
        </w:rPr>
        <w:t>第一步：就问题的规模、特点、范围和后果，在地方、</w:t>
      </w:r>
      <w:r>
        <w:rPr>
          <w:rFonts w:ascii="宋体" w:hAnsi="宋体" w:eastAsia="宋体" w:cs="宋体"/>
          <w:spacing w:val="17"/>
          <w:sz w:val="19"/>
          <w:szCs w:val="19"/>
        </w:rPr>
        <w:t xml:space="preserve"> </w:t>
      </w:r>
      <w:r>
        <w:rPr>
          <w:rFonts w:ascii="宋体" w:hAnsi="宋体" w:eastAsia="宋体" w:cs="宋体"/>
          <w:spacing w:val="13"/>
          <w:sz w:val="19"/>
          <w:szCs w:val="19"/>
        </w:rPr>
        <w:t>国家和国际层面搜集数据。</w:t>
      </w:r>
    </w:p>
    <w:p w14:paraId="57C18F2A">
      <w:pPr>
        <w:spacing w:before="26" w:line="351" w:lineRule="auto"/>
        <w:ind w:left="669" w:right="132" w:firstLine="390"/>
        <w:rPr>
          <w:rFonts w:ascii="宋体" w:hAnsi="宋体" w:eastAsia="宋体" w:cs="宋体"/>
          <w:sz w:val="19"/>
          <w:szCs w:val="19"/>
        </w:rPr>
      </w:pPr>
      <w:r>
        <w:rPr>
          <w:rFonts w:ascii="宋体" w:hAnsi="宋体" w:eastAsia="宋体" w:cs="宋体"/>
          <w:spacing w:val="9"/>
          <w:sz w:val="19"/>
          <w:szCs w:val="19"/>
        </w:rPr>
        <w:t xml:space="preserve">第二步：确认问题的原因，以及加剧或缓解个人遭遇 </w:t>
      </w:r>
      <w:r>
        <w:rPr>
          <w:rFonts w:ascii="宋体" w:hAnsi="宋体" w:eastAsia="宋体" w:cs="宋体"/>
          <w:spacing w:val="10"/>
          <w:sz w:val="19"/>
          <w:szCs w:val="19"/>
        </w:rPr>
        <w:t>问题的危险因素，并研究分析如何来修正这些因素。</w:t>
      </w:r>
    </w:p>
    <w:p w14:paraId="591AFEA5">
      <w:pPr>
        <w:spacing w:before="17" w:line="331" w:lineRule="auto"/>
        <w:ind w:left="669" w:right="130" w:firstLine="390"/>
        <w:rPr>
          <w:rFonts w:ascii="宋体" w:hAnsi="宋体" w:eastAsia="宋体" w:cs="宋体"/>
          <w:sz w:val="19"/>
          <w:szCs w:val="19"/>
        </w:rPr>
      </w:pPr>
      <w:r>
        <w:rPr>
          <w:rFonts w:ascii="宋体" w:hAnsi="宋体" w:eastAsia="宋体" w:cs="宋体"/>
          <w:spacing w:val="9"/>
          <w:sz w:val="19"/>
          <w:szCs w:val="19"/>
        </w:rPr>
        <w:t>第三步：基于第一步和第二步获得的信息，设计、实</w:t>
      </w:r>
      <w:r>
        <w:rPr>
          <w:rFonts w:ascii="宋体" w:hAnsi="宋体" w:eastAsia="宋体" w:cs="宋体"/>
          <w:spacing w:val="11"/>
          <w:sz w:val="19"/>
          <w:szCs w:val="19"/>
        </w:rPr>
        <w:t xml:space="preserve"> </w:t>
      </w:r>
      <w:r>
        <w:rPr>
          <w:rFonts w:ascii="宋体" w:hAnsi="宋体" w:eastAsia="宋体" w:cs="宋体"/>
          <w:spacing w:val="10"/>
          <w:sz w:val="19"/>
          <w:szCs w:val="19"/>
        </w:rPr>
        <w:t>施、监控和评估旨在预防问题的干预措施。</w:t>
      </w:r>
    </w:p>
    <w:p w14:paraId="29165F17">
      <w:pPr>
        <w:spacing w:before="29" w:line="338" w:lineRule="auto"/>
        <w:ind w:left="669" w:right="75" w:firstLine="390"/>
        <w:jc w:val="both"/>
        <w:rPr>
          <w:rFonts w:ascii="宋体" w:hAnsi="宋体" w:eastAsia="宋体" w:cs="宋体"/>
          <w:sz w:val="19"/>
          <w:szCs w:val="19"/>
        </w:rPr>
      </w:pPr>
      <w:r>
        <w:rPr>
          <w:rFonts w:ascii="宋体" w:hAnsi="宋体" w:eastAsia="宋体" w:cs="宋体"/>
          <w:spacing w:val="12"/>
          <w:sz w:val="19"/>
          <w:szCs w:val="19"/>
        </w:rPr>
        <w:t>第四步：将有效干预措施试点后，推广至更大</w:t>
      </w:r>
      <w:r>
        <w:rPr>
          <w:rFonts w:ascii="宋体" w:hAnsi="宋体" w:eastAsia="宋体" w:cs="宋体"/>
          <w:spacing w:val="11"/>
          <w:sz w:val="19"/>
          <w:szCs w:val="19"/>
        </w:rPr>
        <w:t>范围，</w:t>
      </w:r>
      <w:r>
        <w:rPr>
          <w:rFonts w:ascii="宋体" w:hAnsi="宋体" w:eastAsia="宋体" w:cs="宋体"/>
          <w:sz w:val="19"/>
          <w:szCs w:val="19"/>
        </w:rPr>
        <w:t xml:space="preserve"> </w:t>
      </w:r>
      <w:r>
        <w:rPr>
          <w:rFonts w:ascii="宋体" w:hAnsi="宋体" w:eastAsia="宋体" w:cs="宋体"/>
          <w:spacing w:val="17"/>
          <w:sz w:val="19"/>
          <w:szCs w:val="19"/>
        </w:rPr>
        <w:t>推动干预措施的全面实施；并持续监测效果以确保干预</w:t>
      </w:r>
      <w:r>
        <w:rPr>
          <w:rFonts w:ascii="宋体" w:hAnsi="宋体" w:eastAsia="宋体" w:cs="宋体"/>
          <w:spacing w:val="9"/>
          <w:sz w:val="19"/>
          <w:szCs w:val="19"/>
        </w:rPr>
        <w:t xml:space="preserve"> </w:t>
      </w:r>
      <w:r>
        <w:rPr>
          <w:rFonts w:ascii="宋体" w:hAnsi="宋体" w:eastAsia="宋体" w:cs="宋体"/>
          <w:spacing w:val="15"/>
          <w:sz w:val="19"/>
          <w:szCs w:val="19"/>
        </w:rPr>
        <w:t>的长期有效性。</w:t>
      </w:r>
    </w:p>
    <w:p w14:paraId="0610FB51">
      <w:pPr>
        <w:spacing w:line="14" w:lineRule="auto"/>
        <w:rPr>
          <w:rFonts w:ascii="Arial"/>
          <w:sz w:val="2"/>
        </w:rPr>
      </w:pPr>
      <w:r>
        <w:rPr>
          <w:rFonts w:ascii="Arial" w:hAnsi="Arial" w:eastAsia="Arial" w:cs="Arial"/>
          <w:sz w:val="2"/>
          <w:szCs w:val="2"/>
        </w:rPr>
        <w:br w:type="column"/>
      </w:r>
    </w:p>
    <w:p w14:paraId="4D7A44B9">
      <w:pPr>
        <w:spacing w:line="299" w:lineRule="auto"/>
        <w:rPr>
          <w:rFonts w:ascii="Arial"/>
          <w:sz w:val="21"/>
        </w:rPr>
      </w:pPr>
    </w:p>
    <w:p w14:paraId="6D2E2F47">
      <w:pPr>
        <w:spacing w:line="299" w:lineRule="auto"/>
        <w:rPr>
          <w:rFonts w:ascii="Arial"/>
          <w:sz w:val="21"/>
        </w:rPr>
      </w:pPr>
    </w:p>
    <w:p w14:paraId="7935FCC5">
      <w:pPr>
        <w:pStyle w:val="2"/>
        <w:spacing w:before="1" w:line="2950" w:lineRule="exact"/>
      </w:pPr>
      <w:r>
        <w:rPr>
          <w:position w:val="-59"/>
        </w:rPr>
        <w:pict>
          <v:group id="_x0000_s1203" o:spid="_x0000_s1203" o:spt="203" style="height:147.55pt;width:178.5pt;" coordsize="3570,2951">
            <o:lock v:ext="edit"/>
            <v:shape id="_x0000_s1204" o:spid="_x0000_s1204" o:spt="75" type="#_x0000_t75" style="position:absolute;left:0;top:0;height:2951;width:3570;" filled="f" stroked="f" coordsize="21600,21600">
              <v:path/>
              <v:fill on="f" focussize="0,0"/>
              <v:stroke on="f"/>
              <v:imagedata r:id="rId661" o:title=""/>
              <o:lock v:ext="edit" aspectratio="t"/>
            </v:shape>
            <v:shape id="_x0000_s1205" o:spid="_x0000_s1205" o:spt="202" type="#_x0000_t202" style="position:absolute;left:240;top:375;height:2213;width:3215;" filled="f" stroked="f" coordsize="21600,21600">
              <v:path/>
              <v:fill on="f" focussize="0,0"/>
              <v:stroke on="f"/>
              <v:imagedata o:title=""/>
              <o:lock v:ext="edit" aspectratio="f"/>
              <v:textbox inset="0mm,0mm,0mm,0mm">
                <w:txbxContent>
                  <w:p w14:paraId="2C01A583">
                    <w:pPr>
                      <w:spacing w:line="20" w:lineRule="exact"/>
                    </w:pPr>
                  </w:p>
                  <w:tbl>
                    <w:tblPr>
                      <w:tblStyle w:val="5"/>
                      <w:tblW w:w="3174" w:type="dxa"/>
                      <w:tblInd w:w="2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0" w:type="dxa"/>
                        <w:left w:w="0" w:type="dxa"/>
                        <w:bottom w:w="0" w:type="dxa"/>
                        <w:right w:w="0" w:type="dxa"/>
                      </w:tblCellMar>
                    </w:tblPr>
                    <w:tblGrid>
                      <w:gridCol w:w="1487"/>
                      <w:gridCol w:w="1687"/>
                    </w:tblGrid>
                    <w:tr w14:paraId="03CBC309">
                      <w:trPr>
                        <w:trHeight w:val="2172" w:hRule="atLeast"/>
                      </w:trPr>
                      <w:tc>
                        <w:tcPr>
                          <w:tcW w:w="1487" w:type="dxa"/>
                          <w:vAlign w:val="top"/>
                        </w:tcPr>
                        <w:p w14:paraId="42A0AE6B">
                          <w:pPr>
                            <w:spacing w:before="22" w:line="197" w:lineRule="auto"/>
                            <w:ind w:right="452"/>
                            <w:rPr>
                              <w:rFonts w:ascii="宋体" w:hAnsi="宋体" w:eastAsia="宋体" w:cs="宋体"/>
                              <w:sz w:val="19"/>
                              <w:szCs w:val="19"/>
                            </w:rPr>
                          </w:pPr>
                          <w:r>
                            <w:rPr>
                              <w:rFonts w:ascii="宋体" w:hAnsi="宋体" w:eastAsia="宋体" w:cs="宋体"/>
                              <w:spacing w:val="-18"/>
                              <w:sz w:val="19"/>
                              <w:szCs w:val="19"/>
                            </w:rPr>
                            <w:t>第一步：监测</w:t>
                          </w:r>
                          <w:r>
                            <w:rPr>
                              <w:rFonts w:ascii="宋体" w:hAnsi="宋体" w:eastAsia="宋体" w:cs="宋体"/>
                              <w:spacing w:val="1"/>
                              <w:sz w:val="19"/>
                              <w:szCs w:val="19"/>
                            </w:rPr>
                            <w:t xml:space="preserve"> </w:t>
                          </w:r>
                          <w:r>
                            <w:rPr>
                              <w:rFonts w:ascii="宋体" w:hAnsi="宋体" w:eastAsia="宋体" w:cs="宋体"/>
                              <w:spacing w:val="-13"/>
                              <w:sz w:val="19"/>
                              <w:szCs w:val="19"/>
                            </w:rPr>
                            <w:t>问题是什么</w:t>
                          </w:r>
                        </w:p>
                        <w:p w14:paraId="197C784F">
                          <w:pPr>
                            <w:spacing w:line="262" w:lineRule="auto"/>
                            <w:rPr>
                              <w:rFonts w:ascii="Arial"/>
                              <w:sz w:val="21"/>
                            </w:rPr>
                          </w:pPr>
                        </w:p>
                        <w:p w14:paraId="29705BD5">
                          <w:pPr>
                            <w:spacing w:line="262" w:lineRule="auto"/>
                            <w:rPr>
                              <w:rFonts w:ascii="Arial"/>
                              <w:sz w:val="21"/>
                            </w:rPr>
                          </w:pPr>
                        </w:p>
                        <w:p w14:paraId="1A504431">
                          <w:pPr>
                            <w:spacing w:line="263" w:lineRule="auto"/>
                            <w:rPr>
                              <w:rFonts w:ascii="Arial"/>
                              <w:sz w:val="21"/>
                            </w:rPr>
                          </w:pPr>
                        </w:p>
                        <w:p w14:paraId="0910B391">
                          <w:pPr>
                            <w:spacing w:line="263" w:lineRule="auto"/>
                            <w:rPr>
                              <w:rFonts w:ascii="Arial"/>
                              <w:sz w:val="21"/>
                            </w:rPr>
                          </w:pPr>
                        </w:p>
                        <w:p w14:paraId="60C47519">
                          <w:pPr>
                            <w:spacing w:line="263" w:lineRule="auto"/>
                            <w:rPr>
                              <w:rFonts w:ascii="Arial"/>
                              <w:sz w:val="21"/>
                            </w:rPr>
                          </w:pPr>
                        </w:p>
                        <w:p w14:paraId="149D7458">
                          <w:pPr>
                            <w:spacing w:before="62" w:line="170" w:lineRule="auto"/>
                            <w:ind w:right="458"/>
                            <w:rPr>
                              <w:rFonts w:ascii="宋体" w:hAnsi="宋体" w:eastAsia="宋体" w:cs="宋体"/>
                              <w:sz w:val="19"/>
                              <w:szCs w:val="19"/>
                            </w:rPr>
                          </w:pPr>
                          <w:r>
                            <w:rPr>
                              <w:rFonts w:ascii="宋体" w:hAnsi="宋体" w:eastAsia="宋体" w:cs="宋体"/>
                              <w:spacing w:val="-19"/>
                              <w:sz w:val="19"/>
                              <w:szCs w:val="19"/>
                            </w:rPr>
                            <w:t>第四步：实施</w:t>
                          </w:r>
                          <w:r>
                            <w:rPr>
                              <w:rFonts w:ascii="宋体" w:hAnsi="宋体" w:eastAsia="宋体" w:cs="宋体"/>
                              <w:spacing w:val="1"/>
                              <w:sz w:val="19"/>
                              <w:szCs w:val="19"/>
                            </w:rPr>
                            <w:t xml:space="preserve"> </w:t>
                          </w:r>
                          <w:r>
                            <w:rPr>
                              <w:rFonts w:ascii="宋体" w:hAnsi="宋体" w:eastAsia="宋体" w:cs="宋体"/>
                              <w:spacing w:val="-14"/>
                              <w:sz w:val="19"/>
                              <w:szCs w:val="19"/>
                            </w:rPr>
                            <w:t>如何完成</w:t>
                          </w:r>
                        </w:p>
                      </w:tc>
                      <w:tc>
                        <w:tcPr>
                          <w:tcW w:w="1687" w:type="dxa"/>
                          <w:vAlign w:val="top"/>
                        </w:tcPr>
                        <w:p w14:paraId="0AA3EA93">
                          <w:pPr>
                            <w:spacing w:line="208" w:lineRule="auto"/>
                            <w:ind w:left="532" w:right="105" w:firstLine="12"/>
                            <w:rPr>
                              <w:rFonts w:ascii="宋体" w:hAnsi="宋体" w:eastAsia="宋体" w:cs="宋体"/>
                              <w:sz w:val="19"/>
                              <w:szCs w:val="19"/>
                            </w:rPr>
                          </w:pPr>
                          <w:r>
                            <w:rPr>
                              <w:rFonts w:ascii="宋体" w:hAnsi="宋体" w:eastAsia="宋体" w:cs="宋体"/>
                              <w:b/>
                              <w:bCs/>
                              <w:spacing w:val="-20"/>
                              <w:sz w:val="19"/>
                              <w:szCs w:val="19"/>
                            </w:rPr>
                            <w:t>第二步：确定</w:t>
                          </w:r>
                          <w:r>
                            <w:rPr>
                              <w:rFonts w:ascii="宋体" w:hAnsi="宋体" w:eastAsia="宋体" w:cs="宋体"/>
                              <w:spacing w:val="3"/>
                              <w:sz w:val="19"/>
                              <w:szCs w:val="19"/>
                            </w:rPr>
                            <w:t xml:space="preserve"> </w:t>
                          </w:r>
                          <w:r>
                            <w:rPr>
                              <w:rFonts w:ascii="宋体" w:hAnsi="宋体" w:eastAsia="宋体" w:cs="宋体"/>
                              <w:spacing w:val="-10"/>
                              <w:sz w:val="19"/>
                              <w:szCs w:val="19"/>
                            </w:rPr>
                            <w:t>风险因素</w:t>
                          </w:r>
                        </w:p>
                        <w:p w14:paraId="330FFDC8">
                          <w:pPr>
                            <w:spacing w:line="254" w:lineRule="auto"/>
                            <w:rPr>
                              <w:rFonts w:ascii="Arial"/>
                              <w:sz w:val="21"/>
                            </w:rPr>
                          </w:pPr>
                        </w:p>
                        <w:p w14:paraId="430AFAF8">
                          <w:pPr>
                            <w:spacing w:line="255" w:lineRule="auto"/>
                            <w:rPr>
                              <w:rFonts w:ascii="Arial"/>
                              <w:sz w:val="21"/>
                            </w:rPr>
                          </w:pPr>
                        </w:p>
                        <w:p w14:paraId="4D33096A">
                          <w:pPr>
                            <w:spacing w:line="255" w:lineRule="auto"/>
                            <w:rPr>
                              <w:rFonts w:ascii="Arial"/>
                              <w:sz w:val="21"/>
                            </w:rPr>
                          </w:pPr>
                        </w:p>
                        <w:p w14:paraId="5663E17B">
                          <w:pPr>
                            <w:spacing w:line="255" w:lineRule="auto"/>
                            <w:rPr>
                              <w:rFonts w:ascii="Arial"/>
                              <w:sz w:val="21"/>
                            </w:rPr>
                          </w:pPr>
                        </w:p>
                        <w:p w14:paraId="27A08DEB">
                          <w:pPr>
                            <w:spacing w:line="255" w:lineRule="auto"/>
                            <w:rPr>
                              <w:rFonts w:ascii="Arial"/>
                              <w:sz w:val="21"/>
                            </w:rPr>
                          </w:pPr>
                        </w:p>
                        <w:p w14:paraId="6F7FC8A6">
                          <w:pPr>
                            <w:spacing w:before="62" w:line="189" w:lineRule="auto"/>
                            <w:ind w:left="452" w:firstLine="19"/>
                            <w:rPr>
                              <w:rFonts w:ascii="宋体" w:hAnsi="宋体" w:eastAsia="宋体" w:cs="宋体"/>
                              <w:sz w:val="19"/>
                              <w:szCs w:val="19"/>
                            </w:rPr>
                          </w:pPr>
                          <w:r>
                            <w:rPr>
                              <w:rFonts w:ascii="宋体" w:hAnsi="宋体" w:eastAsia="宋体" w:cs="宋体"/>
                              <w:spacing w:val="-18"/>
                              <w:sz w:val="19"/>
                              <w:szCs w:val="19"/>
                            </w:rPr>
                            <w:t>第</w:t>
                          </w:r>
                          <w:r>
                            <w:rPr>
                              <w:rFonts w:ascii="宋体" w:hAnsi="宋体" w:eastAsia="宋体" w:cs="宋体"/>
                              <w:spacing w:val="-17"/>
                              <w:sz w:val="19"/>
                              <w:szCs w:val="19"/>
                            </w:rPr>
                            <w:t>三</w:t>
                          </w:r>
                          <w:r>
                            <w:rPr>
                              <w:rFonts w:ascii="黑体" w:hAnsi="黑体" w:eastAsia="黑体" w:cs="黑体"/>
                              <w:spacing w:val="-17"/>
                              <w:sz w:val="19"/>
                              <w:szCs w:val="19"/>
                            </w:rPr>
                            <w:t>步：制定</w:t>
                          </w:r>
                          <w:r>
                            <w:rPr>
                              <w:rFonts w:ascii="黑体" w:hAnsi="黑体" w:eastAsia="黑体" w:cs="黑体"/>
                              <w:spacing w:val="-16"/>
                              <w:sz w:val="19"/>
                              <w:szCs w:val="19"/>
                            </w:rPr>
                            <w:t>和</w:t>
                          </w:r>
                          <w:r>
                            <w:rPr>
                              <w:rFonts w:ascii="黑体" w:hAnsi="黑体" w:eastAsia="黑体" w:cs="黑体"/>
                              <w:spacing w:val="2"/>
                              <w:sz w:val="19"/>
                              <w:szCs w:val="19"/>
                            </w:rPr>
                            <w:t xml:space="preserve"> </w:t>
                          </w:r>
                          <w:r>
                            <w:rPr>
                              <w:rFonts w:ascii="宋体" w:hAnsi="宋体" w:eastAsia="宋体" w:cs="宋体"/>
                              <w:spacing w:val="-10"/>
                              <w:sz w:val="19"/>
                              <w:szCs w:val="19"/>
                            </w:rPr>
                            <w:t>评估干预措施</w:t>
                          </w:r>
                        </w:p>
                      </w:tc>
                    </w:tr>
                  </w:tbl>
                  <w:p w14:paraId="1574F769">
                    <w:pPr>
                      <w:rPr>
                        <w:rFonts w:ascii="Arial"/>
                        <w:sz w:val="21"/>
                      </w:rPr>
                    </w:pPr>
                  </w:p>
                </w:txbxContent>
              </v:textbox>
            </v:shape>
            <w10:wrap type="none"/>
            <w10:anchorlock/>
          </v:group>
        </w:pict>
      </w:r>
    </w:p>
    <w:p w14:paraId="5E38E050">
      <w:pPr>
        <w:pStyle w:val="2"/>
        <w:spacing w:before="136" w:line="221" w:lineRule="auto"/>
        <w:ind w:left="99"/>
        <w:rPr>
          <w:sz w:val="19"/>
          <w:szCs w:val="19"/>
        </w:rPr>
      </w:pPr>
      <w:r>
        <w:rPr>
          <w:spacing w:val="-1"/>
          <w:sz w:val="19"/>
          <w:szCs w:val="19"/>
        </w:rPr>
        <w:t>图15-4</w:t>
      </w:r>
      <w:r>
        <w:rPr>
          <w:spacing w:val="83"/>
          <w:sz w:val="19"/>
          <w:szCs w:val="19"/>
        </w:rPr>
        <w:t xml:space="preserve"> </w:t>
      </w:r>
      <w:r>
        <w:rPr>
          <w:spacing w:val="-1"/>
          <w:sz w:val="19"/>
          <w:szCs w:val="19"/>
        </w:rPr>
        <w:t>四步骤公共卫生方法流程示意图</w:t>
      </w:r>
    </w:p>
    <w:p w14:paraId="03A5E719">
      <w:pPr>
        <w:spacing w:line="221" w:lineRule="auto"/>
        <w:rPr>
          <w:sz w:val="19"/>
          <w:szCs w:val="19"/>
        </w:rPr>
        <w:sectPr>
          <w:type w:val="continuous"/>
          <w:pgSz w:w="11900" w:h="16820"/>
          <w:pgMar w:top="400" w:right="1524" w:bottom="852" w:left="880" w:header="0" w:footer="681" w:gutter="0"/>
          <w:cols w:equalWidth="0" w:num="2">
            <w:col w:w="5781" w:space="100"/>
            <w:col w:w="3616"/>
          </w:cols>
        </w:sectPr>
      </w:pPr>
    </w:p>
    <w:p w14:paraId="7567A32B">
      <w:pPr>
        <w:pStyle w:val="2"/>
        <w:spacing w:line="223" w:lineRule="auto"/>
        <w:ind w:left="1060"/>
        <w:rPr>
          <w:sz w:val="25"/>
          <w:szCs w:val="25"/>
        </w:rPr>
      </w:pPr>
      <w:r>
        <w:rPr>
          <w:spacing w:val="-1"/>
          <w:sz w:val="25"/>
          <w:szCs w:val="25"/>
        </w:rPr>
        <w:t>(二)</w:t>
      </w:r>
      <w:r>
        <w:rPr>
          <w:rFonts w:ascii="宋体" w:hAnsi="宋体" w:eastAsia="宋体" w:cs="宋体"/>
          <w:spacing w:val="-1"/>
          <w:sz w:val="25"/>
          <w:szCs w:val="25"/>
        </w:rPr>
        <w:t xml:space="preserve">Haddon </w:t>
      </w:r>
      <w:r>
        <w:rPr>
          <w:spacing w:val="-1"/>
          <w:sz w:val="25"/>
          <w:szCs w:val="25"/>
        </w:rPr>
        <w:t>模型</w:t>
      </w:r>
    </w:p>
    <w:p w14:paraId="4670594D">
      <w:pPr>
        <w:spacing w:before="135" w:line="184" w:lineRule="auto"/>
        <w:ind w:left="1060"/>
        <w:rPr>
          <w:rFonts w:ascii="宋体" w:hAnsi="宋体" w:eastAsia="宋体" w:cs="宋体"/>
          <w:sz w:val="19"/>
          <w:szCs w:val="19"/>
        </w:rPr>
      </w:pPr>
      <w:r>
        <w:rPr>
          <w:rFonts w:ascii="宋体" w:hAnsi="宋体" w:eastAsia="宋体" w:cs="宋体"/>
          <w:spacing w:val="12"/>
          <w:sz w:val="19"/>
          <w:szCs w:val="19"/>
        </w:rPr>
        <w:t>根据伤害发生的阶段，</w:t>
      </w:r>
      <w:r>
        <w:rPr>
          <w:rFonts w:ascii="Times New Roman" w:hAnsi="Times New Roman" w:eastAsia="Times New Roman" w:cs="Times New Roman"/>
          <w:sz w:val="19"/>
          <w:szCs w:val="19"/>
        </w:rPr>
        <w:t>Haddon</w:t>
      </w:r>
      <w:r>
        <w:rPr>
          <w:rFonts w:ascii="Times New Roman" w:hAnsi="Times New Roman" w:eastAsia="Times New Roman" w:cs="Times New Roman"/>
          <w:spacing w:val="44"/>
          <w:w w:val="102"/>
          <w:sz w:val="19"/>
          <w:szCs w:val="19"/>
        </w:rPr>
        <w:t xml:space="preserve"> </w:t>
      </w:r>
      <w:r>
        <w:rPr>
          <w:rFonts w:ascii="宋体" w:hAnsi="宋体" w:eastAsia="宋体" w:cs="宋体"/>
          <w:spacing w:val="12"/>
          <w:sz w:val="19"/>
          <w:szCs w:val="19"/>
        </w:rPr>
        <w:t>于1979年提出按伤害发生的三个时间阶段(发生前、发生中</w:t>
      </w:r>
      <w:r>
        <w:rPr>
          <w:rFonts w:ascii="宋体" w:hAnsi="宋体" w:eastAsia="宋体" w:cs="宋体"/>
          <w:spacing w:val="11"/>
          <w:sz w:val="19"/>
          <w:szCs w:val="19"/>
        </w:rPr>
        <w:t>和发</w:t>
      </w:r>
    </w:p>
    <w:p w14:paraId="26BAF9BC">
      <w:pPr>
        <w:spacing w:line="184" w:lineRule="auto"/>
        <w:rPr>
          <w:rFonts w:ascii="宋体" w:hAnsi="宋体" w:eastAsia="宋体" w:cs="宋体"/>
          <w:sz w:val="19"/>
          <w:szCs w:val="19"/>
        </w:rPr>
        <w:sectPr>
          <w:type w:val="continuous"/>
          <w:pgSz w:w="11900" w:h="16820"/>
          <w:pgMar w:top="400" w:right="1524" w:bottom="852" w:left="880" w:header="0" w:footer="681" w:gutter="0"/>
          <w:cols w:equalWidth="0" w:num="1">
            <w:col w:w="9496"/>
          </w:cols>
        </w:sectPr>
      </w:pPr>
    </w:p>
    <w:p w14:paraId="7CF2B8A0">
      <w:pPr>
        <w:pStyle w:val="2"/>
        <w:spacing w:before="255" w:line="221" w:lineRule="auto"/>
        <w:ind w:left="7209"/>
        <w:rPr>
          <w:sz w:val="18"/>
          <w:szCs w:val="18"/>
        </w:rPr>
      </w:pPr>
      <w:bookmarkStart w:id="409" w:name="bookmark540"/>
      <w:bookmarkEnd w:id="409"/>
      <w:r>
        <w:rPr>
          <w:spacing w:val="-1"/>
          <w:sz w:val="18"/>
          <w:szCs w:val="18"/>
        </w:rPr>
        <w:t>第十五章 伤害流行病学</w:t>
      </w:r>
    </w:p>
    <w:p w14:paraId="4D4C51EF">
      <w:pPr>
        <w:spacing w:line="272" w:lineRule="auto"/>
        <w:rPr>
          <w:rFonts w:ascii="Arial"/>
          <w:sz w:val="21"/>
        </w:rPr>
      </w:pPr>
    </w:p>
    <w:p w14:paraId="4E6CA7EC">
      <w:pPr>
        <w:spacing w:line="273" w:lineRule="auto"/>
        <w:rPr>
          <w:rFonts w:ascii="Arial"/>
          <w:sz w:val="21"/>
        </w:rPr>
      </w:pPr>
    </w:p>
    <w:p w14:paraId="0050BA4E">
      <w:pPr>
        <w:spacing w:before="69" w:line="219" w:lineRule="auto"/>
        <w:rPr>
          <w:rFonts w:ascii="宋体" w:hAnsi="宋体" w:eastAsia="宋体" w:cs="宋体"/>
          <w:sz w:val="21"/>
          <w:szCs w:val="21"/>
        </w:rPr>
      </w:pPr>
      <w:r>
        <w:rPr>
          <w:rFonts w:ascii="宋体" w:hAnsi="宋体" w:eastAsia="宋体" w:cs="宋体"/>
          <w:spacing w:val="3"/>
          <w:sz w:val="21"/>
          <w:szCs w:val="21"/>
        </w:rPr>
        <w:t>生后)以及伤害发生的三个条件(宿主、致病因子和环境)实施有针对性的预防。</w:t>
      </w:r>
    </w:p>
    <w:p w14:paraId="6973C1A7">
      <w:pPr>
        <w:spacing w:before="121" w:line="317" w:lineRule="auto"/>
        <w:ind w:right="607" w:firstLine="409"/>
        <w:jc w:val="both"/>
        <w:rPr>
          <w:rFonts w:ascii="宋体" w:hAnsi="宋体" w:eastAsia="宋体" w:cs="宋体"/>
          <w:sz w:val="21"/>
          <w:szCs w:val="21"/>
        </w:rPr>
      </w:pPr>
      <w:r>
        <w:rPr>
          <w:rFonts w:ascii="宋体" w:hAnsi="宋体" w:eastAsia="宋体" w:cs="宋体"/>
          <w:spacing w:val="1"/>
          <w:sz w:val="21"/>
          <w:szCs w:val="21"/>
        </w:rPr>
        <w:t>在伤害实际发生时，往往多个因素和发生时间交织在一起，需要针对宿主、致病因子和环境开</w:t>
      </w:r>
      <w:r>
        <w:rPr>
          <w:rFonts w:ascii="宋体" w:hAnsi="宋体" w:eastAsia="宋体" w:cs="宋体"/>
          <w:spacing w:val="17"/>
          <w:sz w:val="21"/>
          <w:szCs w:val="21"/>
        </w:rPr>
        <w:t xml:space="preserve"> </w:t>
      </w:r>
      <w:r>
        <w:rPr>
          <w:rFonts w:ascii="宋体" w:hAnsi="宋体" w:eastAsia="宋体" w:cs="宋体"/>
          <w:spacing w:val="-3"/>
          <w:sz w:val="21"/>
          <w:szCs w:val="21"/>
        </w:rPr>
        <w:t>展综合预防。同时，不同种类伤害发生的时间、地点</w:t>
      </w:r>
      <w:r>
        <w:rPr>
          <w:rFonts w:ascii="宋体" w:hAnsi="宋体" w:eastAsia="宋体" w:cs="宋体"/>
          <w:spacing w:val="-4"/>
          <w:sz w:val="21"/>
          <w:szCs w:val="21"/>
        </w:rPr>
        <w:t>不同，其预防措施也各异，在实际工作中应予以</w:t>
      </w:r>
      <w:r>
        <w:rPr>
          <w:rFonts w:ascii="宋体" w:hAnsi="宋体" w:eastAsia="宋体" w:cs="宋体"/>
          <w:sz w:val="21"/>
          <w:szCs w:val="21"/>
        </w:rPr>
        <w:t xml:space="preserve"> </w:t>
      </w:r>
      <w:r>
        <w:rPr>
          <w:rFonts w:ascii="宋体" w:hAnsi="宋体" w:eastAsia="宋体" w:cs="宋体"/>
          <w:spacing w:val="2"/>
          <w:sz w:val="21"/>
          <w:szCs w:val="21"/>
        </w:rPr>
        <w:t>考虑。表15-7以农民伤害风险和应对为例，显示了基于</w:t>
      </w:r>
      <w:r>
        <w:rPr>
          <w:rFonts w:ascii="Times New Roman" w:hAnsi="Times New Roman" w:eastAsia="Times New Roman" w:cs="Times New Roman"/>
          <w:sz w:val="21"/>
          <w:szCs w:val="21"/>
        </w:rPr>
        <w:t>Haddon</w:t>
      </w:r>
      <w:r>
        <w:rPr>
          <w:rFonts w:ascii="Times New Roman" w:hAnsi="Times New Roman" w:eastAsia="Times New Roman" w:cs="Times New Roman"/>
          <w:spacing w:val="2"/>
          <w:sz w:val="21"/>
          <w:szCs w:val="21"/>
        </w:rPr>
        <w:t xml:space="preserve"> </w:t>
      </w:r>
      <w:r>
        <w:rPr>
          <w:rFonts w:ascii="宋体" w:hAnsi="宋体" w:eastAsia="宋体" w:cs="宋体"/>
          <w:spacing w:val="2"/>
          <w:sz w:val="21"/>
          <w:szCs w:val="21"/>
        </w:rPr>
        <w:t>模</w:t>
      </w:r>
      <w:r>
        <w:rPr>
          <w:rFonts w:ascii="宋体" w:hAnsi="宋体" w:eastAsia="宋体" w:cs="宋体"/>
          <w:spacing w:val="1"/>
          <w:sz w:val="21"/>
          <w:szCs w:val="21"/>
        </w:rPr>
        <w:t>型和“5</w:t>
      </w:r>
      <w:r>
        <w:rPr>
          <w:rFonts w:ascii="Times New Roman" w:hAnsi="Times New Roman" w:eastAsia="Times New Roman" w:cs="Times New Roman"/>
          <w:spacing w:val="1"/>
          <w:sz w:val="21"/>
          <w:szCs w:val="21"/>
        </w:rPr>
        <w:t>E”</w:t>
      </w:r>
      <w:r>
        <w:rPr>
          <w:rFonts w:ascii="宋体" w:hAnsi="宋体" w:eastAsia="宋体" w:cs="宋体"/>
          <w:spacing w:val="1"/>
          <w:sz w:val="21"/>
          <w:szCs w:val="21"/>
        </w:rPr>
        <w:t>干预的组合策略。</w:t>
      </w:r>
    </w:p>
    <w:p w14:paraId="24912A14">
      <w:pPr>
        <w:spacing w:before="205" w:line="223" w:lineRule="auto"/>
        <w:ind w:left="1709"/>
        <w:rPr>
          <w:rFonts w:ascii="宋体" w:hAnsi="宋体" w:eastAsia="宋体" w:cs="宋体"/>
          <w:sz w:val="20"/>
          <w:szCs w:val="20"/>
        </w:rPr>
      </w:pPr>
      <w:r>
        <w:rPr>
          <w:rFonts w:ascii="宋体" w:hAnsi="宋体" w:eastAsia="宋体" w:cs="宋体"/>
          <w:spacing w:val="-5"/>
          <w:sz w:val="20"/>
          <w:szCs w:val="20"/>
        </w:rPr>
        <w:t>表15</w:t>
      </w:r>
      <w:r>
        <w:rPr>
          <w:rFonts w:ascii="宋体" w:hAnsi="宋体" w:eastAsia="宋体" w:cs="宋体"/>
          <w:spacing w:val="9"/>
          <w:sz w:val="20"/>
          <w:szCs w:val="20"/>
        </w:rPr>
        <w:t xml:space="preserve">    </w:t>
      </w:r>
      <w:r>
        <w:rPr>
          <w:rFonts w:ascii="宋体" w:hAnsi="宋体" w:eastAsia="宋体" w:cs="宋体"/>
          <w:spacing w:val="-5"/>
          <w:sz w:val="20"/>
          <w:szCs w:val="20"/>
        </w:rPr>
        <w:t>-7针对农民伤害的Had</w:t>
      </w:r>
      <w:r>
        <w:rPr>
          <w:rFonts w:ascii="宋体" w:hAnsi="宋体" w:eastAsia="宋体" w:cs="宋体"/>
          <w:spacing w:val="33"/>
          <w:sz w:val="20"/>
          <w:szCs w:val="20"/>
        </w:rPr>
        <w:t xml:space="preserve">  </w:t>
      </w:r>
      <w:r>
        <w:rPr>
          <w:rFonts w:ascii="宋体" w:hAnsi="宋体" w:eastAsia="宋体" w:cs="宋体"/>
          <w:spacing w:val="-5"/>
          <w:sz w:val="20"/>
          <w:szCs w:val="20"/>
        </w:rPr>
        <w:t>don模型和“5E”干预策略 组合</w:t>
      </w:r>
    </w:p>
    <w:p w14:paraId="7CAA05EA">
      <w:pPr>
        <w:spacing w:line="16" w:lineRule="exact"/>
      </w:pPr>
    </w:p>
    <w:tbl>
      <w:tblPr>
        <w:tblStyle w:val="5"/>
        <w:tblW w:w="9139" w:type="dxa"/>
        <w:tblInd w:w="19"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0" w:type="dxa"/>
          <w:left w:w="0" w:type="dxa"/>
          <w:bottom w:w="0" w:type="dxa"/>
          <w:right w:w="0" w:type="dxa"/>
        </w:tblCellMar>
      </w:tblPr>
      <w:tblGrid>
        <w:gridCol w:w="1420"/>
        <w:gridCol w:w="950"/>
        <w:gridCol w:w="2200"/>
        <w:gridCol w:w="2318"/>
        <w:gridCol w:w="2251"/>
      </w:tblGrid>
      <w:tr w14:paraId="6106E623">
        <w:trPr>
          <w:trHeight w:val="345" w:hRule="atLeast"/>
        </w:trPr>
        <w:tc>
          <w:tcPr>
            <w:tcW w:w="1420" w:type="dxa"/>
            <w:vMerge w:val="restart"/>
            <w:tcBorders>
              <w:top w:val="single" w:color="000000" w:sz="4" w:space="0"/>
              <w:bottom w:val="nil"/>
            </w:tcBorders>
            <w:shd w:val="clear" w:color="auto" w:fill="D5E3E8"/>
            <w:vAlign w:val="top"/>
          </w:tcPr>
          <w:p w14:paraId="4767EF72">
            <w:pPr>
              <w:pStyle w:val="6"/>
              <w:spacing w:before="263" w:line="220" w:lineRule="auto"/>
              <w:ind w:left="309"/>
            </w:pPr>
            <w:r>
              <w:rPr>
                <w:spacing w:val="-2"/>
              </w:rPr>
              <w:t>预防策略</w:t>
            </w:r>
          </w:p>
        </w:tc>
        <w:tc>
          <w:tcPr>
            <w:tcW w:w="950" w:type="dxa"/>
            <w:vMerge w:val="restart"/>
            <w:tcBorders>
              <w:top w:val="single" w:color="000000" w:sz="4" w:space="0"/>
              <w:bottom w:val="nil"/>
            </w:tcBorders>
            <w:shd w:val="clear" w:color="auto" w:fill="CBD0D6"/>
            <w:vAlign w:val="top"/>
          </w:tcPr>
          <w:p w14:paraId="1D7C42C7">
            <w:pPr>
              <w:pStyle w:val="6"/>
              <w:spacing w:before="116" w:line="221" w:lineRule="auto"/>
              <w:ind w:left="269"/>
            </w:pPr>
            <w:r>
              <w:rPr>
                <w:spacing w:val="26"/>
              </w:rPr>
              <w:t>时间</w:t>
            </w:r>
          </w:p>
          <w:p w14:paraId="15E29067">
            <w:pPr>
              <w:pStyle w:val="6"/>
              <w:spacing w:before="48" w:line="220" w:lineRule="auto"/>
              <w:ind w:left="269"/>
            </w:pPr>
            <w:r>
              <w:rPr>
                <w:spacing w:val="14"/>
              </w:rPr>
              <w:t>节点</w:t>
            </w:r>
          </w:p>
        </w:tc>
        <w:tc>
          <w:tcPr>
            <w:tcW w:w="6769" w:type="dxa"/>
            <w:gridSpan w:val="3"/>
            <w:tcBorders>
              <w:top w:val="single" w:color="000000" w:sz="4" w:space="0"/>
              <w:bottom w:val="single" w:color="000000" w:sz="4" w:space="0"/>
            </w:tcBorders>
            <w:shd w:val="clear" w:color="auto" w:fill="CDD2CE"/>
            <w:vAlign w:val="top"/>
          </w:tcPr>
          <w:p w14:paraId="4AAEE519">
            <w:pPr>
              <w:pStyle w:val="6"/>
              <w:spacing w:before="73" w:line="220" w:lineRule="auto"/>
              <w:ind w:left="2680"/>
            </w:pPr>
            <w:r>
              <w:rPr>
                <w:spacing w:val="-2"/>
              </w:rPr>
              <w:t>预防和控制措施</w:t>
            </w:r>
          </w:p>
        </w:tc>
      </w:tr>
      <w:tr w14:paraId="1623F4C2">
        <w:trPr>
          <w:trHeight w:val="370" w:hRule="atLeast"/>
        </w:trPr>
        <w:tc>
          <w:tcPr>
            <w:tcW w:w="1420" w:type="dxa"/>
            <w:vMerge w:val="continue"/>
            <w:tcBorders>
              <w:top w:val="nil"/>
              <w:bottom w:val="single" w:color="000000" w:sz="4" w:space="0"/>
            </w:tcBorders>
            <w:vAlign w:val="top"/>
          </w:tcPr>
          <w:p w14:paraId="2253E85E">
            <w:pPr>
              <w:rPr>
                <w:rFonts w:ascii="Arial"/>
                <w:sz w:val="21"/>
              </w:rPr>
            </w:pPr>
          </w:p>
        </w:tc>
        <w:tc>
          <w:tcPr>
            <w:tcW w:w="950" w:type="dxa"/>
            <w:vMerge w:val="continue"/>
            <w:tcBorders>
              <w:top w:val="nil"/>
              <w:bottom w:val="single" w:color="000000" w:sz="4" w:space="0"/>
            </w:tcBorders>
            <w:vAlign w:val="top"/>
          </w:tcPr>
          <w:p w14:paraId="5FD015DC">
            <w:pPr>
              <w:rPr>
                <w:rFonts w:ascii="Arial"/>
                <w:sz w:val="21"/>
              </w:rPr>
            </w:pPr>
          </w:p>
        </w:tc>
        <w:tc>
          <w:tcPr>
            <w:tcW w:w="2200" w:type="dxa"/>
            <w:tcBorders>
              <w:top w:val="single" w:color="000000" w:sz="4" w:space="0"/>
              <w:bottom w:val="single" w:color="000000" w:sz="4" w:space="0"/>
            </w:tcBorders>
            <w:shd w:val="clear" w:color="auto" w:fill="C8CECC"/>
            <w:vAlign w:val="top"/>
          </w:tcPr>
          <w:p w14:paraId="605D3A9F">
            <w:pPr>
              <w:pStyle w:val="6"/>
              <w:spacing w:before="88" w:line="219" w:lineRule="auto"/>
              <w:ind w:left="900"/>
            </w:pPr>
            <w:r>
              <w:rPr>
                <w:spacing w:val="5"/>
              </w:rPr>
              <w:t>宿主</w:t>
            </w:r>
          </w:p>
        </w:tc>
        <w:tc>
          <w:tcPr>
            <w:tcW w:w="2318" w:type="dxa"/>
            <w:tcBorders>
              <w:top w:val="single" w:color="000000" w:sz="4" w:space="0"/>
              <w:bottom w:val="single" w:color="000000" w:sz="4" w:space="0"/>
            </w:tcBorders>
            <w:shd w:val="clear" w:color="auto" w:fill="CFD1CB"/>
            <w:vAlign w:val="top"/>
          </w:tcPr>
          <w:p w14:paraId="6F3D1024">
            <w:pPr>
              <w:pStyle w:val="6"/>
              <w:spacing w:before="88" w:line="220" w:lineRule="auto"/>
              <w:ind w:left="110"/>
            </w:pPr>
            <w:r>
              <w:rPr>
                <w:spacing w:val="4"/>
              </w:rPr>
              <w:t>因子</w:t>
            </w:r>
          </w:p>
        </w:tc>
        <w:tc>
          <w:tcPr>
            <w:tcW w:w="2251" w:type="dxa"/>
            <w:tcBorders>
              <w:top w:val="single" w:color="000000" w:sz="4" w:space="0"/>
              <w:bottom w:val="single" w:color="000000" w:sz="4" w:space="0"/>
            </w:tcBorders>
            <w:shd w:val="clear" w:color="auto" w:fill="D1D0C7"/>
            <w:vAlign w:val="top"/>
          </w:tcPr>
          <w:p w14:paraId="34648580">
            <w:pPr>
              <w:pStyle w:val="6"/>
              <w:spacing w:before="86" w:line="219" w:lineRule="auto"/>
              <w:ind w:left="51"/>
            </w:pPr>
            <w:r>
              <w:rPr>
                <w:spacing w:val="1"/>
              </w:rPr>
              <w:t>自然社会环境</w:t>
            </w:r>
          </w:p>
        </w:tc>
      </w:tr>
      <w:tr w14:paraId="406CBF93">
        <w:trPr>
          <w:trHeight w:val="2698" w:hRule="atLeast"/>
        </w:trPr>
        <w:tc>
          <w:tcPr>
            <w:tcW w:w="1420" w:type="dxa"/>
            <w:tcBorders>
              <w:top w:val="single" w:color="000000" w:sz="4" w:space="0"/>
              <w:bottom w:val="single" w:color="000000" w:sz="4" w:space="0"/>
            </w:tcBorders>
            <w:vAlign w:val="top"/>
          </w:tcPr>
          <w:p w14:paraId="4976C87C">
            <w:pPr>
              <w:spacing w:line="250" w:lineRule="auto"/>
              <w:rPr>
                <w:rFonts w:ascii="Arial"/>
                <w:sz w:val="21"/>
              </w:rPr>
            </w:pPr>
          </w:p>
          <w:p w14:paraId="00EFE81B">
            <w:pPr>
              <w:spacing w:line="250" w:lineRule="auto"/>
              <w:rPr>
                <w:rFonts w:ascii="Arial"/>
                <w:sz w:val="21"/>
              </w:rPr>
            </w:pPr>
          </w:p>
          <w:p w14:paraId="1E2D00AE">
            <w:pPr>
              <w:pStyle w:val="6"/>
              <w:spacing w:before="65" w:line="219" w:lineRule="auto"/>
              <w:ind w:left="109"/>
            </w:pPr>
            <w:r>
              <w:rPr>
                <w:spacing w:val="-2"/>
              </w:rPr>
              <w:t>教育预防策略</w:t>
            </w:r>
          </w:p>
        </w:tc>
        <w:tc>
          <w:tcPr>
            <w:tcW w:w="950" w:type="dxa"/>
            <w:tcBorders>
              <w:top w:val="single" w:color="000000" w:sz="4" w:space="0"/>
              <w:bottom w:val="single" w:color="000000" w:sz="4" w:space="0"/>
            </w:tcBorders>
            <w:vAlign w:val="top"/>
          </w:tcPr>
          <w:p w14:paraId="714D48BD">
            <w:pPr>
              <w:spacing w:line="250" w:lineRule="auto"/>
              <w:rPr>
                <w:rFonts w:ascii="Arial"/>
                <w:sz w:val="21"/>
              </w:rPr>
            </w:pPr>
          </w:p>
          <w:p w14:paraId="14E401F5">
            <w:pPr>
              <w:spacing w:line="250" w:lineRule="auto"/>
              <w:rPr>
                <w:rFonts w:ascii="Arial"/>
                <w:sz w:val="21"/>
              </w:rPr>
            </w:pPr>
          </w:p>
          <w:p w14:paraId="581C7A33">
            <w:pPr>
              <w:pStyle w:val="6"/>
              <w:spacing w:before="65" w:line="219" w:lineRule="auto"/>
              <w:ind w:left="169"/>
            </w:pPr>
            <w:r>
              <w:rPr>
                <w:spacing w:val="-2"/>
              </w:rPr>
              <w:t>事件前</w:t>
            </w:r>
          </w:p>
          <w:p w14:paraId="555742CA">
            <w:pPr>
              <w:spacing w:line="356" w:lineRule="auto"/>
              <w:rPr>
                <w:rFonts w:ascii="Arial"/>
                <w:sz w:val="21"/>
              </w:rPr>
            </w:pPr>
          </w:p>
          <w:p w14:paraId="37744649">
            <w:pPr>
              <w:spacing w:line="357" w:lineRule="auto"/>
              <w:rPr>
                <w:rFonts w:ascii="Arial"/>
                <w:sz w:val="21"/>
              </w:rPr>
            </w:pPr>
          </w:p>
          <w:p w14:paraId="57C78CF0">
            <w:pPr>
              <w:pStyle w:val="6"/>
              <w:spacing w:before="65" w:line="219" w:lineRule="auto"/>
              <w:ind w:left="169"/>
            </w:pPr>
            <w:r>
              <w:rPr>
                <w:spacing w:val="7"/>
              </w:rPr>
              <w:t>事件中</w:t>
            </w:r>
          </w:p>
          <w:p w14:paraId="40643D53">
            <w:pPr>
              <w:spacing w:line="385" w:lineRule="auto"/>
              <w:rPr>
                <w:rFonts w:ascii="Arial"/>
                <w:sz w:val="21"/>
              </w:rPr>
            </w:pPr>
          </w:p>
          <w:p w14:paraId="047D055B">
            <w:pPr>
              <w:pStyle w:val="6"/>
              <w:spacing w:before="65" w:line="219" w:lineRule="auto"/>
              <w:ind w:left="169"/>
            </w:pPr>
            <w:r>
              <w:rPr>
                <w:spacing w:val="4"/>
              </w:rPr>
              <w:t>事件后</w:t>
            </w:r>
          </w:p>
        </w:tc>
        <w:tc>
          <w:tcPr>
            <w:tcW w:w="2200" w:type="dxa"/>
            <w:tcBorders>
              <w:top w:val="single" w:color="000000" w:sz="4" w:space="0"/>
              <w:bottom w:val="single" w:color="000000" w:sz="4" w:space="0"/>
            </w:tcBorders>
            <w:vAlign w:val="top"/>
          </w:tcPr>
          <w:p w14:paraId="414B817B">
            <w:pPr>
              <w:pStyle w:val="6"/>
              <w:spacing w:before="107" w:line="256" w:lineRule="auto"/>
              <w:ind w:left="109" w:right="258"/>
            </w:pPr>
            <w:r>
              <w:rPr>
                <w:spacing w:val="3"/>
              </w:rPr>
              <w:t xml:space="preserve">提升安全生产的知识 </w:t>
            </w:r>
            <w:r>
              <w:rPr>
                <w:spacing w:val="-2"/>
              </w:rPr>
              <w:t>平和意愿</w:t>
            </w:r>
          </w:p>
          <w:p w14:paraId="54FB8CD3">
            <w:pPr>
              <w:pStyle w:val="6"/>
              <w:spacing w:before="244" w:line="219" w:lineRule="auto"/>
              <w:ind w:left="499"/>
            </w:pPr>
            <w:r>
              <w:rPr>
                <w:spacing w:val="1"/>
              </w:rPr>
              <w:t>宣传减少饮酒</w:t>
            </w:r>
          </w:p>
          <w:p w14:paraId="0F430CEF">
            <w:pPr>
              <w:spacing w:line="256" w:lineRule="auto"/>
              <w:rPr>
                <w:rFonts w:ascii="Arial"/>
                <w:sz w:val="21"/>
              </w:rPr>
            </w:pPr>
          </w:p>
          <w:p w14:paraId="055D42F2">
            <w:pPr>
              <w:pStyle w:val="6"/>
              <w:spacing w:before="65" w:line="263" w:lineRule="auto"/>
              <w:ind w:left="99" w:right="80"/>
            </w:pPr>
            <w:r>
              <w:rPr>
                <w:spacing w:val="1"/>
              </w:rPr>
              <w:t>加强响应能力和非技术</w:t>
            </w:r>
            <w:r>
              <w:rPr>
                <w:spacing w:val="8"/>
              </w:rPr>
              <w:t xml:space="preserve"> </w:t>
            </w:r>
            <w:r>
              <w:rPr>
                <w:spacing w:val="4"/>
              </w:rPr>
              <w:t>技能的方向</w:t>
            </w:r>
          </w:p>
          <w:p w14:paraId="4810572E">
            <w:pPr>
              <w:pStyle w:val="6"/>
              <w:spacing w:before="119" w:line="245" w:lineRule="auto"/>
              <w:ind w:left="109" w:right="78"/>
            </w:pPr>
            <w:r>
              <w:rPr>
                <w:spacing w:val="1"/>
              </w:rPr>
              <w:t>受过教育的农民寻求及</w:t>
            </w:r>
            <w:r>
              <w:t xml:space="preserve"> </w:t>
            </w:r>
            <w:r>
              <w:rPr>
                <w:spacing w:val="2"/>
              </w:rPr>
              <w:t>时恰当的创伤护理</w:t>
            </w:r>
          </w:p>
        </w:tc>
        <w:tc>
          <w:tcPr>
            <w:tcW w:w="2318" w:type="dxa"/>
            <w:tcBorders>
              <w:top w:val="single" w:color="000000" w:sz="4" w:space="0"/>
              <w:bottom w:val="single" w:color="000000" w:sz="4" w:space="0"/>
            </w:tcBorders>
            <w:vAlign w:val="top"/>
          </w:tcPr>
          <w:p w14:paraId="06878E26">
            <w:pPr>
              <w:pStyle w:val="6"/>
              <w:spacing w:before="108" w:line="251" w:lineRule="auto"/>
              <w:ind w:left="98" w:right="49" w:hanging="79"/>
            </w:pPr>
            <w:r>
              <w:rPr>
                <w:spacing w:val="-12"/>
              </w:rPr>
              <w:t>水  安全操作农用车辆和设</w:t>
            </w:r>
            <w:r>
              <w:rPr>
                <w:spacing w:val="3"/>
              </w:rPr>
              <w:t xml:space="preserve"> </w:t>
            </w:r>
            <w:r>
              <w:rPr>
                <w:spacing w:val="4"/>
              </w:rPr>
              <w:t>备的教育</w:t>
            </w:r>
          </w:p>
          <w:p w14:paraId="1D435B34">
            <w:pPr>
              <w:pStyle w:val="6"/>
              <w:spacing w:before="255" w:line="219" w:lineRule="auto"/>
              <w:ind w:left="110"/>
            </w:pPr>
            <w:r>
              <w:t>正确使用农药和喷雾器</w:t>
            </w:r>
          </w:p>
          <w:p w14:paraId="3FAA1591">
            <w:pPr>
              <w:spacing w:line="375" w:lineRule="auto"/>
              <w:rPr>
                <w:rFonts w:ascii="Arial"/>
                <w:sz w:val="21"/>
              </w:rPr>
            </w:pPr>
          </w:p>
          <w:p w14:paraId="107D4EE2">
            <w:pPr>
              <w:pStyle w:val="6"/>
              <w:spacing w:before="65" w:line="219" w:lineRule="auto"/>
              <w:ind w:left="110"/>
            </w:pPr>
            <w:r>
              <w:rPr>
                <w:spacing w:val="2"/>
              </w:rPr>
              <w:t>创新农业技术使用培训</w:t>
            </w:r>
          </w:p>
          <w:p w14:paraId="1EADF44C">
            <w:pPr>
              <w:spacing w:line="383" w:lineRule="auto"/>
              <w:rPr>
                <w:rFonts w:ascii="Arial"/>
                <w:sz w:val="21"/>
              </w:rPr>
            </w:pPr>
          </w:p>
          <w:p w14:paraId="2BBEDDD1">
            <w:pPr>
              <w:pStyle w:val="6"/>
              <w:spacing w:before="66" w:line="219" w:lineRule="auto"/>
              <w:ind w:left="110"/>
            </w:pPr>
            <w:r>
              <w:rPr>
                <w:spacing w:val="2"/>
              </w:rPr>
              <w:t>农村医务人员急救培训</w:t>
            </w:r>
          </w:p>
        </w:tc>
        <w:tc>
          <w:tcPr>
            <w:tcW w:w="2251" w:type="dxa"/>
            <w:tcBorders>
              <w:top w:val="single" w:color="000000" w:sz="4" w:space="0"/>
              <w:bottom w:val="single" w:color="000000" w:sz="4" w:space="0"/>
            </w:tcBorders>
            <w:vAlign w:val="top"/>
          </w:tcPr>
          <w:p w14:paraId="7CE9017F">
            <w:pPr>
              <w:pStyle w:val="6"/>
              <w:spacing w:before="236" w:line="219" w:lineRule="auto"/>
              <w:ind w:left="51"/>
            </w:pPr>
            <w:r>
              <w:rPr>
                <w:spacing w:val="-1"/>
              </w:rPr>
              <w:t>政府对教育项目的激励</w:t>
            </w:r>
          </w:p>
          <w:p w14:paraId="4212A675">
            <w:pPr>
              <w:spacing w:line="257" w:lineRule="auto"/>
              <w:rPr>
                <w:rFonts w:ascii="Arial"/>
                <w:sz w:val="21"/>
              </w:rPr>
            </w:pPr>
          </w:p>
          <w:p w14:paraId="1B39A67A">
            <w:pPr>
              <w:pStyle w:val="6"/>
              <w:spacing w:before="65" w:line="260" w:lineRule="auto"/>
              <w:ind w:left="51" w:right="180"/>
            </w:pPr>
            <w:r>
              <w:rPr>
                <w:spacing w:val="1"/>
              </w:rPr>
              <w:t>进村人户为老年农民提</w:t>
            </w:r>
            <w:r>
              <w:rPr>
                <w:spacing w:val="7"/>
              </w:rPr>
              <w:t xml:space="preserve"> </w:t>
            </w:r>
            <w:r>
              <w:rPr>
                <w:spacing w:val="-2"/>
              </w:rPr>
              <w:t>供教育服务</w:t>
            </w:r>
          </w:p>
          <w:p w14:paraId="5437DC25">
            <w:pPr>
              <w:pStyle w:val="6"/>
              <w:spacing w:before="106" w:line="279" w:lineRule="auto"/>
              <w:ind w:left="51" w:right="179"/>
            </w:pPr>
            <w:r>
              <w:rPr>
                <w:spacing w:val="1"/>
              </w:rPr>
              <w:t>家庭和同伴的积极安全</w:t>
            </w:r>
            <w:r>
              <w:rPr>
                <w:spacing w:val="8"/>
              </w:rPr>
              <w:t xml:space="preserve"> </w:t>
            </w:r>
            <w:r>
              <w:rPr>
                <w:spacing w:val="4"/>
              </w:rPr>
              <w:t>行为教育</w:t>
            </w:r>
          </w:p>
        </w:tc>
      </w:tr>
      <w:tr w14:paraId="45E767C2">
        <w:trPr>
          <w:trHeight w:val="793" w:hRule="atLeast"/>
        </w:trPr>
        <w:tc>
          <w:tcPr>
            <w:tcW w:w="1420" w:type="dxa"/>
            <w:vMerge w:val="restart"/>
            <w:tcBorders>
              <w:top w:val="single" w:color="000000" w:sz="4" w:space="0"/>
              <w:bottom w:val="nil"/>
            </w:tcBorders>
            <w:shd w:val="clear" w:color="auto" w:fill="EFF5FD"/>
            <w:vAlign w:val="top"/>
          </w:tcPr>
          <w:p w14:paraId="192BF487">
            <w:pPr>
              <w:spacing w:line="316" w:lineRule="auto"/>
              <w:rPr>
                <w:rFonts w:ascii="Arial"/>
                <w:sz w:val="21"/>
              </w:rPr>
            </w:pPr>
          </w:p>
          <w:p w14:paraId="288CF352">
            <w:pPr>
              <w:spacing w:line="317" w:lineRule="auto"/>
              <w:rPr>
                <w:rFonts w:ascii="Arial"/>
                <w:sz w:val="21"/>
              </w:rPr>
            </w:pPr>
          </w:p>
          <w:p w14:paraId="7CC6669C">
            <w:pPr>
              <w:spacing w:line="317" w:lineRule="auto"/>
              <w:rPr>
                <w:rFonts w:ascii="Arial"/>
                <w:sz w:val="21"/>
              </w:rPr>
            </w:pPr>
          </w:p>
          <w:p w14:paraId="4DA9E30C">
            <w:pPr>
              <w:pStyle w:val="6"/>
              <w:spacing w:before="65" w:line="220" w:lineRule="auto"/>
              <w:ind w:left="309"/>
            </w:pPr>
            <w:r>
              <w:rPr>
                <w:spacing w:val="-2"/>
              </w:rPr>
              <w:t>工程策略</w:t>
            </w:r>
          </w:p>
        </w:tc>
        <w:tc>
          <w:tcPr>
            <w:tcW w:w="950" w:type="dxa"/>
            <w:tcBorders>
              <w:top w:val="single" w:color="000000" w:sz="4" w:space="0"/>
            </w:tcBorders>
            <w:vAlign w:val="top"/>
          </w:tcPr>
          <w:p w14:paraId="16538143">
            <w:pPr>
              <w:spacing w:line="333" w:lineRule="auto"/>
              <w:rPr>
                <w:rFonts w:ascii="Arial"/>
                <w:sz w:val="21"/>
              </w:rPr>
            </w:pPr>
          </w:p>
          <w:p w14:paraId="13198902">
            <w:pPr>
              <w:pStyle w:val="6"/>
              <w:spacing w:before="65" w:line="219" w:lineRule="auto"/>
              <w:ind w:left="169"/>
            </w:pPr>
            <w:r>
              <w:rPr>
                <w:spacing w:val="-2"/>
              </w:rPr>
              <w:t>事件前</w:t>
            </w:r>
          </w:p>
        </w:tc>
        <w:tc>
          <w:tcPr>
            <w:tcW w:w="2200" w:type="dxa"/>
            <w:vMerge w:val="restart"/>
            <w:tcBorders>
              <w:top w:val="single" w:color="000000" w:sz="4" w:space="0"/>
              <w:bottom w:val="nil"/>
            </w:tcBorders>
            <w:vAlign w:val="top"/>
          </w:tcPr>
          <w:p w14:paraId="321C5B04">
            <w:pPr>
              <w:pStyle w:val="6"/>
              <w:spacing w:line="992" w:lineRule="exact"/>
            </w:pPr>
            <w:r>
              <w:rPr>
                <w:position w:val="-19"/>
              </w:rPr>
              <w:pict>
                <v:shape id="_x0000_s1206" o:spid="_x0000_s1206" o:spt="202" type="#_x0000_t202" style="height:50.05pt;width:110pt;" fillcolor="#E0E4E8" filled="t" stroked="f" coordsize="21600,21600">
                  <v:path/>
                  <v:fill on="t" focussize="0,0"/>
                  <v:stroke on="f"/>
                  <v:imagedata o:title=""/>
                  <o:lock v:ext="edit" aspectratio="f"/>
                  <v:textbox inset="0mm,0mm,0mm,0mm">
                    <w:txbxContent>
                      <w:p w14:paraId="45A04A87">
                        <w:pPr>
                          <w:spacing w:before="149" w:line="259" w:lineRule="auto"/>
                          <w:ind w:left="109" w:right="79"/>
                          <w:jc w:val="both"/>
                          <w:rPr>
                            <w:rFonts w:ascii="宋体" w:hAnsi="宋体" w:eastAsia="宋体" w:cs="宋体"/>
                            <w:sz w:val="20"/>
                            <w:szCs w:val="20"/>
                          </w:rPr>
                        </w:pPr>
                        <w:r>
                          <w:rPr>
                            <w:rFonts w:ascii="宋体" w:hAnsi="宋体" w:eastAsia="宋体" w:cs="宋体"/>
                            <w:spacing w:val="-1"/>
                            <w:sz w:val="20"/>
                            <w:szCs w:val="20"/>
                          </w:rPr>
                          <w:t>制定针对农民的安全教</w:t>
                        </w:r>
                        <w:r>
                          <w:rPr>
                            <w:rFonts w:ascii="宋体" w:hAnsi="宋体" w:eastAsia="宋体" w:cs="宋体"/>
                            <w:sz w:val="20"/>
                            <w:szCs w:val="20"/>
                          </w:rPr>
                          <w:t xml:space="preserve"> </w:t>
                        </w:r>
                        <w:r>
                          <w:rPr>
                            <w:rFonts w:ascii="宋体" w:hAnsi="宋体" w:eastAsia="宋体" w:cs="宋体"/>
                            <w:spacing w:val="11"/>
                            <w:sz w:val="20"/>
                            <w:szCs w:val="20"/>
                          </w:rPr>
                          <w:t>育干预模型(例如增强</w:t>
                        </w:r>
                        <w:r>
                          <w:rPr>
                            <w:rFonts w:ascii="宋体" w:hAnsi="宋体" w:eastAsia="宋体" w:cs="宋体"/>
                            <w:sz w:val="20"/>
                            <w:szCs w:val="20"/>
                          </w:rPr>
                          <w:t xml:space="preserve"> </w:t>
                        </w:r>
                        <w:r>
                          <w:rPr>
                            <w:rFonts w:ascii="宋体" w:hAnsi="宋体" w:eastAsia="宋体" w:cs="宋体"/>
                            <w:spacing w:val="7"/>
                            <w:sz w:val="20"/>
                            <w:szCs w:val="20"/>
                          </w:rPr>
                          <w:t>现实三维模拟器)</w:t>
                        </w:r>
                      </w:p>
                    </w:txbxContent>
                  </v:textbox>
                  <w10:wrap type="none"/>
                  <w10:anchorlock/>
                </v:shape>
              </w:pict>
            </w:r>
          </w:p>
        </w:tc>
        <w:tc>
          <w:tcPr>
            <w:tcW w:w="2318" w:type="dxa"/>
            <w:vMerge w:val="restart"/>
            <w:tcBorders>
              <w:top w:val="single" w:color="000000" w:sz="4" w:space="0"/>
              <w:bottom w:val="nil"/>
            </w:tcBorders>
            <w:vAlign w:val="top"/>
          </w:tcPr>
          <w:p w14:paraId="0E0C0471">
            <w:pPr>
              <w:pStyle w:val="6"/>
              <w:spacing w:before="130" w:line="269" w:lineRule="auto"/>
              <w:ind w:left="99" w:right="25"/>
            </w:pPr>
            <w:r>
              <w:rPr>
                <w:spacing w:val="-1"/>
              </w:rPr>
              <w:t>手动工具的设计，如增加</w:t>
            </w:r>
            <w:r>
              <w:rPr>
                <w:spacing w:val="2"/>
              </w:rPr>
              <w:t xml:space="preserve"> </w:t>
            </w:r>
            <w:r>
              <w:rPr>
                <w:spacing w:val="1"/>
              </w:rPr>
              <w:t>手柄长度和覆盖软垫等</w:t>
            </w:r>
          </w:p>
          <w:p w14:paraId="2A6A6ED6">
            <w:pPr>
              <w:spacing w:line="330" w:lineRule="auto"/>
              <w:rPr>
                <w:rFonts w:ascii="Arial"/>
                <w:sz w:val="21"/>
              </w:rPr>
            </w:pPr>
          </w:p>
          <w:p w14:paraId="3341458C">
            <w:pPr>
              <w:pStyle w:val="6"/>
              <w:spacing w:before="65" w:line="250" w:lineRule="auto"/>
              <w:ind w:left="110" w:right="7"/>
              <w:jc w:val="both"/>
            </w:pPr>
            <w:r>
              <w:rPr>
                <w:spacing w:val="11"/>
              </w:rPr>
              <w:t>改进个人和设备的防护</w:t>
            </w:r>
            <w:r>
              <w:rPr>
                <w:spacing w:val="1"/>
              </w:rPr>
              <w:t xml:space="preserve">  </w:t>
            </w:r>
            <w:r>
              <w:rPr>
                <w:spacing w:val="9"/>
              </w:rPr>
              <w:t>装置(如滚动保护结构、</w:t>
            </w:r>
            <w:r>
              <w:t xml:space="preserve"> </w:t>
            </w:r>
            <w:r>
              <w:rPr>
                <w:spacing w:val="36"/>
              </w:rPr>
              <w:t>拖拉机上的动力输出</w:t>
            </w:r>
            <w:r>
              <w:t xml:space="preserve"> </w:t>
            </w:r>
            <w:r>
              <w:rPr>
                <w:spacing w:val="17"/>
              </w:rPr>
              <w:t>口等)</w:t>
            </w:r>
          </w:p>
        </w:tc>
        <w:tc>
          <w:tcPr>
            <w:tcW w:w="2251" w:type="dxa"/>
            <w:vMerge w:val="restart"/>
            <w:tcBorders>
              <w:top w:val="single" w:color="000000" w:sz="4" w:space="0"/>
              <w:bottom w:val="nil"/>
            </w:tcBorders>
            <w:vAlign w:val="top"/>
          </w:tcPr>
          <w:p w14:paraId="4F8D2331">
            <w:pPr>
              <w:spacing w:line="332" w:lineRule="auto"/>
              <w:rPr>
                <w:rFonts w:ascii="Arial"/>
                <w:sz w:val="21"/>
              </w:rPr>
            </w:pPr>
          </w:p>
          <w:p w14:paraId="0E73A13F">
            <w:pPr>
              <w:pStyle w:val="6"/>
              <w:spacing w:before="65" w:line="219" w:lineRule="auto"/>
              <w:ind w:left="51"/>
            </w:pPr>
            <w:r>
              <w:rPr>
                <w:spacing w:val="-1"/>
              </w:rPr>
              <w:t>农村道路和交通的改善</w:t>
            </w:r>
          </w:p>
          <w:p w14:paraId="37D80F90">
            <w:pPr>
              <w:spacing w:line="407" w:lineRule="auto"/>
              <w:rPr>
                <w:rFonts w:ascii="Arial"/>
                <w:sz w:val="21"/>
              </w:rPr>
            </w:pPr>
          </w:p>
          <w:p w14:paraId="34F47DA8">
            <w:pPr>
              <w:pStyle w:val="6"/>
              <w:spacing w:before="65" w:line="252" w:lineRule="auto"/>
              <w:ind w:left="41" w:right="219"/>
            </w:pPr>
            <w:r>
              <w:rPr>
                <w:spacing w:val="-2"/>
              </w:rPr>
              <w:t>建设并使用工作场所逃</w:t>
            </w:r>
            <w:r>
              <w:rPr>
                <w:spacing w:val="8"/>
              </w:rPr>
              <w:t xml:space="preserve"> </w:t>
            </w:r>
            <w:r>
              <w:rPr>
                <w:spacing w:val="2"/>
              </w:rPr>
              <w:t>生通道或避难场所</w:t>
            </w:r>
          </w:p>
        </w:tc>
      </w:tr>
      <w:tr w14:paraId="297DC6C4">
        <w:trPr>
          <w:trHeight w:val="1435" w:hRule="atLeast"/>
        </w:trPr>
        <w:tc>
          <w:tcPr>
            <w:tcW w:w="1420" w:type="dxa"/>
            <w:vMerge w:val="continue"/>
            <w:tcBorders>
              <w:top w:val="nil"/>
              <w:bottom w:val="single" w:color="000000" w:sz="4" w:space="0"/>
            </w:tcBorders>
            <w:vAlign w:val="top"/>
          </w:tcPr>
          <w:p w14:paraId="62B5F6E0">
            <w:pPr>
              <w:rPr>
                <w:rFonts w:ascii="Arial"/>
                <w:sz w:val="21"/>
              </w:rPr>
            </w:pPr>
          </w:p>
        </w:tc>
        <w:tc>
          <w:tcPr>
            <w:tcW w:w="950" w:type="dxa"/>
            <w:tcBorders>
              <w:bottom w:val="single" w:color="000000" w:sz="4" w:space="0"/>
            </w:tcBorders>
            <w:vAlign w:val="top"/>
          </w:tcPr>
          <w:p w14:paraId="46070812">
            <w:pPr>
              <w:pStyle w:val="6"/>
              <w:spacing w:before="199" w:line="1225" w:lineRule="exact"/>
            </w:pPr>
            <w:r>
              <w:rPr>
                <w:position w:val="-25"/>
              </w:rPr>
              <w:pict>
                <v:shape id="_x0000_s1207" o:spid="_x0000_s1207" o:spt="202" type="#_x0000_t202" style="height:62pt;width:47.5pt;" fillcolor="#E5E9F1" filled="t" stroked="f" coordsize="21600,21600">
                  <v:path/>
                  <v:fill on="t" focussize="0,0"/>
                  <v:stroke on="f"/>
                  <v:imagedata o:title=""/>
                  <o:lock v:ext="edit" aspectratio="f"/>
                  <v:textbox inset="0mm,0mm,0mm,0mm">
                    <w:txbxContent>
                      <w:p w14:paraId="2F3E2ECC">
                        <w:pPr>
                          <w:spacing w:line="460" w:lineRule="auto"/>
                          <w:rPr>
                            <w:rFonts w:ascii="Arial"/>
                            <w:sz w:val="21"/>
                          </w:rPr>
                        </w:pPr>
                      </w:p>
                      <w:p w14:paraId="3D0E1B81">
                        <w:pPr>
                          <w:spacing w:before="65" w:line="219" w:lineRule="auto"/>
                          <w:ind w:left="169"/>
                          <w:rPr>
                            <w:rFonts w:ascii="宋体" w:hAnsi="宋体" w:eastAsia="宋体" w:cs="宋体"/>
                            <w:sz w:val="20"/>
                            <w:szCs w:val="20"/>
                          </w:rPr>
                        </w:pPr>
                        <w:r>
                          <w:rPr>
                            <w:rFonts w:ascii="宋体" w:hAnsi="宋体" w:eastAsia="宋体" w:cs="宋体"/>
                            <w:spacing w:val="7"/>
                            <w:sz w:val="20"/>
                            <w:szCs w:val="20"/>
                          </w:rPr>
                          <w:t>事件中</w:t>
                        </w:r>
                      </w:p>
                    </w:txbxContent>
                  </v:textbox>
                  <w10:wrap type="none"/>
                  <w10:anchorlock/>
                </v:shape>
              </w:pict>
            </w:r>
          </w:p>
        </w:tc>
        <w:tc>
          <w:tcPr>
            <w:tcW w:w="2200" w:type="dxa"/>
            <w:vMerge w:val="continue"/>
            <w:tcBorders>
              <w:top w:val="nil"/>
              <w:bottom w:val="single" w:color="000000" w:sz="4" w:space="0"/>
            </w:tcBorders>
            <w:vAlign w:val="top"/>
          </w:tcPr>
          <w:p w14:paraId="1FEFAEF1">
            <w:pPr>
              <w:rPr>
                <w:rFonts w:ascii="Arial"/>
                <w:sz w:val="21"/>
              </w:rPr>
            </w:pPr>
          </w:p>
        </w:tc>
        <w:tc>
          <w:tcPr>
            <w:tcW w:w="2318" w:type="dxa"/>
            <w:vMerge w:val="continue"/>
            <w:tcBorders>
              <w:top w:val="nil"/>
              <w:bottom w:val="single" w:color="000000" w:sz="4" w:space="0"/>
            </w:tcBorders>
            <w:vAlign w:val="top"/>
          </w:tcPr>
          <w:p w14:paraId="54CCE8E3">
            <w:pPr>
              <w:rPr>
                <w:rFonts w:ascii="Arial"/>
                <w:sz w:val="21"/>
              </w:rPr>
            </w:pPr>
          </w:p>
        </w:tc>
        <w:tc>
          <w:tcPr>
            <w:tcW w:w="2251" w:type="dxa"/>
            <w:vMerge w:val="continue"/>
            <w:tcBorders>
              <w:top w:val="nil"/>
              <w:bottom w:val="single" w:color="000000" w:sz="4" w:space="0"/>
            </w:tcBorders>
            <w:vAlign w:val="top"/>
          </w:tcPr>
          <w:p w14:paraId="2FB10169">
            <w:pPr>
              <w:rPr>
                <w:rFonts w:ascii="Arial"/>
                <w:sz w:val="21"/>
              </w:rPr>
            </w:pPr>
          </w:p>
        </w:tc>
      </w:tr>
      <w:tr w14:paraId="77E48863">
        <w:trPr>
          <w:trHeight w:val="2328" w:hRule="atLeast"/>
        </w:trPr>
        <w:tc>
          <w:tcPr>
            <w:tcW w:w="1420" w:type="dxa"/>
            <w:tcBorders>
              <w:top w:val="single" w:color="000000" w:sz="4" w:space="0"/>
              <w:bottom w:val="single" w:color="000000" w:sz="4" w:space="0"/>
            </w:tcBorders>
            <w:vAlign w:val="top"/>
          </w:tcPr>
          <w:p w14:paraId="5447797D">
            <w:pPr>
              <w:spacing w:line="250" w:lineRule="auto"/>
              <w:rPr>
                <w:rFonts w:ascii="Arial"/>
                <w:sz w:val="21"/>
              </w:rPr>
            </w:pPr>
          </w:p>
          <w:p w14:paraId="7F731334">
            <w:pPr>
              <w:spacing w:line="250" w:lineRule="auto"/>
              <w:rPr>
                <w:rFonts w:ascii="Arial"/>
                <w:sz w:val="21"/>
              </w:rPr>
            </w:pPr>
          </w:p>
          <w:p w14:paraId="4F00B9CB">
            <w:pPr>
              <w:spacing w:line="250" w:lineRule="auto"/>
              <w:rPr>
                <w:rFonts w:ascii="Arial"/>
                <w:sz w:val="21"/>
              </w:rPr>
            </w:pPr>
          </w:p>
          <w:p w14:paraId="5BE9052C">
            <w:pPr>
              <w:spacing w:line="251" w:lineRule="auto"/>
              <w:rPr>
                <w:rFonts w:ascii="Arial"/>
                <w:sz w:val="21"/>
              </w:rPr>
            </w:pPr>
          </w:p>
          <w:p w14:paraId="0103A859">
            <w:pPr>
              <w:pStyle w:val="6"/>
              <w:spacing w:before="65" w:line="219" w:lineRule="auto"/>
              <w:ind w:left="309"/>
            </w:pPr>
            <w:r>
              <w:rPr>
                <w:spacing w:val="-2"/>
              </w:rPr>
              <w:t>执法策略</w:t>
            </w:r>
          </w:p>
        </w:tc>
        <w:tc>
          <w:tcPr>
            <w:tcW w:w="950" w:type="dxa"/>
            <w:tcBorders>
              <w:top w:val="single" w:color="000000" w:sz="4" w:space="0"/>
              <w:bottom w:val="single" w:color="000000" w:sz="4" w:space="0"/>
            </w:tcBorders>
            <w:vAlign w:val="top"/>
          </w:tcPr>
          <w:p w14:paraId="7E743871">
            <w:pPr>
              <w:pStyle w:val="6"/>
              <w:spacing w:before="242" w:line="219" w:lineRule="auto"/>
              <w:ind w:left="169"/>
            </w:pPr>
            <w:r>
              <w:rPr>
                <w:spacing w:val="-2"/>
              </w:rPr>
              <w:t>事件前</w:t>
            </w:r>
          </w:p>
          <w:p w14:paraId="5D8116CD">
            <w:pPr>
              <w:spacing w:line="385" w:lineRule="auto"/>
              <w:rPr>
                <w:rFonts w:ascii="Arial"/>
                <w:sz w:val="21"/>
              </w:rPr>
            </w:pPr>
          </w:p>
          <w:p w14:paraId="6DB5011E">
            <w:pPr>
              <w:pStyle w:val="6"/>
              <w:spacing w:before="65" w:line="219" w:lineRule="auto"/>
              <w:ind w:left="169"/>
            </w:pPr>
            <w:r>
              <w:rPr>
                <w:spacing w:val="7"/>
              </w:rPr>
              <w:t>事件中</w:t>
            </w:r>
          </w:p>
          <w:p w14:paraId="19FD95FA">
            <w:pPr>
              <w:spacing w:line="262" w:lineRule="auto"/>
              <w:rPr>
                <w:rFonts w:ascii="Arial"/>
                <w:sz w:val="21"/>
              </w:rPr>
            </w:pPr>
          </w:p>
          <w:p w14:paraId="5740FBE5">
            <w:pPr>
              <w:spacing w:line="262" w:lineRule="auto"/>
              <w:rPr>
                <w:rFonts w:ascii="Arial"/>
                <w:sz w:val="21"/>
              </w:rPr>
            </w:pPr>
          </w:p>
          <w:p w14:paraId="4106093F">
            <w:pPr>
              <w:pStyle w:val="6"/>
              <w:spacing w:before="65" w:line="219" w:lineRule="auto"/>
              <w:ind w:left="169"/>
            </w:pPr>
            <w:r>
              <w:rPr>
                <w:spacing w:val="4"/>
              </w:rPr>
              <w:t>事件后</w:t>
            </w:r>
          </w:p>
        </w:tc>
        <w:tc>
          <w:tcPr>
            <w:tcW w:w="2200" w:type="dxa"/>
            <w:tcBorders>
              <w:top w:val="single" w:color="000000" w:sz="4" w:space="0"/>
              <w:bottom w:val="single" w:color="000000" w:sz="4" w:space="0"/>
            </w:tcBorders>
            <w:vAlign w:val="top"/>
          </w:tcPr>
          <w:p w14:paraId="4FF12296">
            <w:pPr>
              <w:pStyle w:val="6"/>
              <w:spacing w:before="242" w:line="220" w:lineRule="auto"/>
              <w:ind w:left="99"/>
            </w:pPr>
            <w:r>
              <w:rPr>
                <w:spacing w:val="1"/>
              </w:rPr>
              <w:t>制定工人工作轮岗制度</w:t>
            </w:r>
          </w:p>
          <w:p w14:paraId="0644318E">
            <w:pPr>
              <w:spacing w:line="306" w:lineRule="auto"/>
              <w:rPr>
                <w:rFonts w:ascii="Arial"/>
                <w:sz w:val="21"/>
              </w:rPr>
            </w:pPr>
          </w:p>
          <w:p w14:paraId="0231DBEA">
            <w:pPr>
              <w:spacing w:line="306" w:lineRule="auto"/>
              <w:rPr>
                <w:rFonts w:ascii="Arial"/>
                <w:sz w:val="21"/>
              </w:rPr>
            </w:pPr>
          </w:p>
          <w:p w14:paraId="0ACC4DF8">
            <w:pPr>
              <w:spacing w:line="307" w:lineRule="auto"/>
              <w:rPr>
                <w:rFonts w:ascii="Arial"/>
                <w:sz w:val="21"/>
              </w:rPr>
            </w:pPr>
          </w:p>
          <w:p w14:paraId="5BEED2FD">
            <w:pPr>
              <w:pStyle w:val="6"/>
              <w:spacing w:before="65" w:line="260" w:lineRule="auto"/>
              <w:ind w:left="109" w:right="54"/>
              <w:jc w:val="both"/>
            </w:pPr>
            <w:r>
              <w:rPr>
                <w:spacing w:val="3"/>
              </w:rPr>
              <w:t>每年对受伤工人进行常</w:t>
            </w:r>
            <w:r>
              <w:t xml:space="preserve"> </w:t>
            </w:r>
            <w:r>
              <w:rPr>
                <w:spacing w:val="3"/>
              </w:rPr>
              <w:t>规体检，并提供必要的</w:t>
            </w:r>
            <w:r>
              <w:rPr>
                <w:spacing w:val="4"/>
              </w:rPr>
              <w:t xml:space="preserve"> </w:t>
            </w:r>
            <w:r>
              <w:rPr>
                <w:spacing w:val="-2"/>
              </w:rPr>
              <w:t>卫生服务</w:t>
            </w:r>
          </w:p>
        </w:tc>
        <w:tc>
          <w:tcPr>
            <w:tcW w:w="2318" w:type="dxa"/>
            <w:tcBorders>
              <w:top w:val="single" w:color="000000" w:sz="4" w:space="0"/>
              <w:bottom w:val="single" w:color="000000" w:sz="4" w:space="0"/>
            </w:tcBorders>
            <w:vAlign w:val="top"/>
          </w:tcPr>
          <w:p w14:paraId="45A1C4DE">
            <w:pPr>
              <w:pStyle w:val="6"/>
              <w:spacing w:before="111" w:line="261" w:lineRule="auto"/>
              <w:ind w:left="89" w:right="35"/>
            </w:pPr>
            <w:r>
              <w:rPr>
                <w:spacing w:val="-1"/>
              </w:rPr>
              <w:t>针对枪支、农药和危险材</w:t>
            </w:r>
            <w:r>
              <w:rPr>
                <w:spacing w:val="2"/>
              </w:rPr>
              <w:t xml:space="preserve"> </w:t>
            </w:r>
            <w:r>
              <w:rPr>
                <w:spacing w:val="4"/>
              </w:rPr>
              <w:t>料滥用和储存的立法</w:t>
            </w:r>
          </w:p>
          <w:p w14:paraId="59FC1800">
            <w:pPr>
              <w:pStyle w:val="6"/>
              <w:spacing w:before="104" w:line="279" w:lineRule="auto"/>
              <w:ind w:left="110" w:right="173"/>
            </w:pPr>
            <w:r>
              <w:rPr>
                <w:spacing w:val="3"/>
              </w:rPr>
              <w:t xml:space="preserve">个人和农用车辆防护用 </w:t>
            </w:r>
            <w:r>
              <w:t>品的立法和执法</w:t>
            </w:r>
          </w:p>
        </w:tc>
        <w:tc>
          <w:tcPr>
            <w:tcW w:w="2251" w:type="dxa"/>
            <w:tcBorders>
              <w:top w:val="single" w:color="000000" w:sz="4" w:space="0"/>
              <w:bottom w:val="single" w:color="000000" w:sz="4" w:space="0"/>
            </w:tcBorders>
            <w:vAlign w:val="top"/>
          </w:tcPr>
          <w:p w14:paraId="36956706">
            <w:pPr>
              <w:pStyle w:val="6"/>
              <w:spacing w:before="111" w:line="261" w:lineRule="auto"/>
              <w:ind w:left="41" w:right="216"/>
            </w:pPr>
            <w:r>
              <w:rPr>
                <w:spacing w:val="-1"/>
              </w:rPr>
              <w:t>对工作场所进行例行检</w:t>
            </w:r>
            <w:r>
              <w:rPr>
                <w:spacing w:val="1"/>
              </w:rPr>
              <w:t xml:space="preserve"> </w:t>
            </w:r>
            <w:r>
              <w:rPr>
                <w:spacing w:val="3"/>
              </w:rPr>
              <w:t>查和突击检查</w:t>
            </w:r>
          </w:p>
          <w:p w14:paraId="0E39A2E1">
            <w:pPr>
              <w:pStyle w:val="6"/>
              <w:spacing w:before="105" w:line="271" w:lineRule="auto"/>
              <w:ind w:left="41" w:right="193"/>
            </w:pPr>
            <w:r>
              <w:rPr>
                <w:spacing w:val="1"/>
              </w:rPr>
              <w:t>施工要求和机械状态的</w:t>
            </w:r>
            <w:r>
              <w:rPr>
                <w:spacing w:val="4"/>
              </w:rPr>
              <w:t xml:space="preserve"> </w:t>
            </w:r>
            <w:r>
              <w:rPr>
                <w:spacing w:val="16"/>
              </w:rPr>
              <w:t>规定</w:t>
            </w:r>
          </w:p>
          <w:p w14:paraId="35868228">
            <w:pPr>
              <w:pStyle w:val="6"/>
              <w:spacing w:before="102" w:line="260" w:lineRule="auto"/>
              <w:ind w:left="41" w:right="197"/>
              <w:jc w:val="both"/>
            </w:pPr>
            <w:r>
              <w:rPr>
                <w:spacing w:val="23"/>
              </w:rPr>
              <w:t>对受伤农民的管理政</w:t>
            </w:r>
            <w:r>
              <w:t xml:space="preserve"> </w:t>
            </w:r>
            <w:r>
              <w:rPr>
                <w:spacing w:val="1"/>
              </w:rPr>
              <w:t>策，包括制定轮岗制度</w:t>
            </w:r>
            <w:r>
              <w:t xml:space="preserve"> </w:t>
            </w:r>
            <w:r>
              <w:rPr>
                <w:spacing w:val="4"/>
              </w:rPr>
              <w:t>和适当休息等</w:t>
            </w:r>
          </w:p>
        </w:tc>
      </w:tr>
      <w:tr w14:paraId="71D372A9">
        <w:trPr>
          <w:trHeight w:val="1488" w:hRule="atLeast"/>
        </w:trPr>
        <w:tc>
          <w:tcPr>
            <w:tcW w:w="1420" w:type="dxa"/>
            <w:vMerge w:val="restart"/>
            <w:tcBorders>
              <w:top w:val="single" w:color="000000" w:sz="4" w:space="0"/>
              <w:bottom w:val="nil"/>
            </w:tcBorders>
            <w:shd w:val="clear" w:color="auto" w:fill="F0F5FD"/>
            <w:vAlign w:val="top"/>
          </w:tcPr>
          <w:p w14:paraId="4F333FB1">
            <w:pPr>
              <w:spacing w:line="284" w:lineRule="auto"/>
              <w:rPr>
                <w:rFonts w:ascii="Arial"/>
                <w:sz w:val="21"/>
              </w:rPr>
            </w:pPr>
          </w:p>
          <w:p w14:paraId="076A9386">
            <w:pPr>
              <w:spacing w:line="285" w:lineRule="auto"/>
              <w:rPr>
                <w:rFonts w:ascii="Arial"/>
                <w:sz w:val="21"/>
              </w:rPr>
            </w:pPr>
          </w:p>
          <w:p w14:paraId="0CF447ED">
            <w:pPr>
              <w:spacing w:line="285" w:lineRule="auto"/>
              <w:rPr>
                <w:rFonts w:ascii="Arial"/>
                <w:sz w:val="21"/>
              </w:rPr>
            </w:pPr>
          </w:p>
          <w:p w14:paraId="179B8D26">
            <w:pPr>
              <w:pStyle w:val="6"/>
              <w:spacing w:before="65" w:line="219" w:lineRule="auto"/>
              <w:ind w:left="109"/>
            </w:pPr>
            <w:r>
              <w:rPr>
                <w:spacing w:val="-2"/>
              </w:rPr>
              <w:t>经济激励策略</w:t>
            </w:r>
          </w:p>
        </w:tc>
        <w:tc>
          <w:tcPr>
            <w:tcW w:w="950" w:type="dxa"/>
            <w:vMerge w:val="restart"/>
            <w:tcBorders>
              <w:top w:val="single" w:color="000000" w:sz="4" w:space="0"/>
              <w:bottom w:val="nil"/>
            </w:tcBorders>
            <w:shd w:val="clear" w:color="auto" w:fill="E5E8EF"/>
            <w:vAlign w:val="top"/>
          </w:tcPr>
          <w:p w14:paraId="751F9B82">
            <w:pPr>
              <w:pStyle w:val="6"/>
              <w:spacing w:before="254" w:line="219" w:lineRule="auto"/>
              <w:ind w:left="169"/>
            </w:pPr>
            <w:r>
              <w:rPr>
                <w:spacing w:val="-2"/>
              </w:rPr>
              <w:t>事件前</w:t>
            </w:r>
          </w:p>
          <w:p w14:paraId="57863986">
            <w:pPr>
              <w:spacing w:line="385" w:lineRule="auto"/>
              <w:rPr>
                <w:rFonts w:ascii="Arial"/>
                <w:sz w:val="21"/>
              </w:rPr>
            </w:pPr>
          </w:p>
          <w:p w14:paraId="28EE034D">
            <w:pPr>
              <w:pStyle w:val="6"/>
              <w:spacing w:before="65" w:line="219" w:lineRule="auto"/>
              <w:ind w:left="169"/>
            </w:pPr>
            <w:r>
              <w:rPr>
                <w:spacing w:val="7"/>
              </w:rPr>
              <w:t>事件中</w:t>
            </w:r>
          </w:p>
          <w:p w14:paraId="212C024C">
            <w:pPr>
              <w:spacing w:line="365" w:lineRule="auto"/>
              <w:rPr>
                <w:rFonts w:ascii="Arial"/>
                <w:sz w:val="21"/>
              </w:rPr>
            </w:pPr>
          </w:p>
          <w:p w14:paraId="0F287EBA">
            <w:pPr>
              <w:pStyle w:val="6"/>
              <w:spacing w:before="65" w:line="219" w:lineRule="auto"/>
              <w:ind w:left="169"/>
            </w:pPr>
            <w:r>
              <w:rPr>
                <w:spacing w:val="4"/>
              </w:rPr>
              <w:t>事件后</w:t>
            </w:r>
          </w:p>
        </w:tc>
        <w:tc>
          <w:tcPr>
            <w:tcW w:w="2200" w:type="dxa"/>
            <w:vMerge w:val="restart"/>
            <w:tcBorders>
              <w:top w:val="single" w:color="000000" w:sz="4" w:space="0"/>
              <w:bottom w:val="nil"/>
            </w:tcBorders>
            <w:shd w:val="clear" w:color="auto" w:fill="E2E4E8"/>
            <w:vAlign w:val="top"/>
          </w:tcPr>
          <w:p w14:paraId="3ED3295C">
            <w:pPr>
              <w:pStyle w:val="6"/>
              <w:spacing w:before="104" w:line="251" w:lineRule="auto"/>
              <w:ind w:left="109" w:right="97"/>
            </w:pPr>
            <w:r>
              <w:rPr>
                <w:spacing w:val="-1"/>
              </w:rPr>
              <w:t>补贴投入农民的职业安</w:t>
            </w:r>
            <w:r>
              <w:rPr>
                <w:spacing w:val="1"/>
              </w:rPr>
              <w:t xml:space="preserve"> </w:t>
            </w:r>
            <w:r>
              <w:rPr>
                <w:spacing w:val="3"/>
              </w:rPr>
              <w:t>全教育和培训</w:t>
            </w:r>
          </w:p>
          <w:p w14:paraId="0EECF0EC">
            <w:pPr>
              <w:spacing w:line="248" w:lineRule="auto"/>
              <w:rPr>
                <w:rFonts w:ascii="Arial"/>
                <w:sz w:val="21"/>
              </w:rPr>
            </w:pPr>
          </w:p>
          <w:p w14:paraId="0A20F6D2">
            <w:pPr>
              <w:spacing w:line="248" w:lineRule="auto"/>
              <w:rPr>
                <w:rFonts w:ascii="Arial"/>
                <w:sz w:val="21"/>
              </w:rPr>
            </w:pPr>
          </w:p>
          <w:p w14:paraId="114859FE">
            <w:pPr>
              <w:spacing w:line="248" w:lineRule="auto"/>
              <w:rPr>
                <w:rFonts w:ascii="Arial"/>
                <w:sz w:val="21"/>
              </w:rPr>
            </w:pPr>
          </w:p>
          <w:p w14:paraId="1BE7555B">
            <w:pPr>
              <w:pStyle w:val="6"/>
              <w:spacing w:before="65" w:line="256" w:lineRule="auto"/>
              <w:ind w:left="89" w:right="93"/>
            </w:pPr>
            <w:r>
              <w:rPr>
                <w:spacing w:val="1"/>
              </w:rPr>
              <w:t>对受伤农民进行药品和</w:t>
            </w:r>
            <w:r>
              <w:rPr>
                <w:spacing w:val="5"/>
              </w:rPr>
              <w:t xml:space="preserve"> </w:t>
            </w:r>
            <w:r>
              <w:rPr>
                <w:spacing w:val="4"/>
              </w:rPr>
              <w:t>体检补贴</w:t>
            </w:r>
          </w:p>
        </w:tc>
        <w:tc>
          <w:tcPr>
            <w:tcW w:w="2318" w:type="dxa"/>
            <w:tcBorders>
              <w:top w:val="single" w:color="000000" w:sz="4" w:space="0"/>
            </w:tcBorders>
            <w:vAlign w:val="top"/>
          </w:tcPr>
          <w:p w14:paraId="2192DCD1">
            <w:pPr>
              <w:pStyle w:val="6"/>
              <w:spacing w:line="1376" w:lineRule="exact"/>
            </w:pPr>
            <w:r>
              <w:rPr>
                <w:position w:val="-27"/>
              </w:rPr>
              <w:pict>
                <v:shape id="_x0000_s1208" o:spid="_x0000_s1208" o:spt="202" type="#_x0000_t202" style="height:69pt;width:114.15pt;" fillcolor="#EDECED" filled="t" stroked="f" coordsize="21600,21600">
                  <v:path/>
                  <v:fill on="t" focussize="0,0"/>
                  <v:stroke on="f"/>
                  <v:imagedata o:title=""/>
                  <o:lock v:ext="edit" aspectratio="f"/>
                  <v:textbox inset="0mm,0mm,0mm,0mm">
                    <w:txbxContent>
                      <w:p w14:paraId="2F1D6BCF">
                        <w:pPr>
                          <w:spacing w:before="107" w:line="262" w:lineRule="auto"/>
                          <w:ind w:left="89"/>
                          <w:rPr>
                            <w:rFonts w:ascii="宋体" w:hAnsi="宋体" w:eastAsia="宋体" w:cs="宋体"/>
                            <w:sz w:val="20"/>
                            <w:szCs w:val="20"/>
                          </w:rPr>
                        </w:pPr>
                        <w:r>
                          <w:rPr>
                            <w:rFonts w:ascii="宋体" w:hAnsi="宋体" w:eastAsia="宋体" w:cs="宋体"/>
                            <w:spacing w:val="-1"/>
                            <w:sz w:val="20"/>
                            <w:szCs w:val="20"/>
                          </w:rPr>
                          <w:t>在技术、安全设备、基础</w:t>
                        </w:r>
                        <w:r>
                          <w:rPr>
                            <w:rFonts w:ascii="宋体" w:hAnsi="宋体" w:eastAsia="宋体" w:cs="宋体"/>
                            <w:spacing w:val="3"/>
                            <w:sz w:val="20"/>
                            <w:szCs w:val="20"/>
                          </w:rPr>
                          <w:t xml:space="preserve"> </w:t>
                        </w:r>
                        <w:r>
                          <w:rPr>
                            <w:rFonts w:ascii="宋体" w:hAnsi="宋体" w:eastAsia="宋体" w:cs="宋体"/>
                            <w:spacing w:val="4"/>
                            <w:sz w:val="20"/>
                            <w:szCs w:val="20"/>
                          </w:rPr>
                          <w:t>设施和建筑方面的投资</w:t>
                        </w:r>
                      </w:p>
                      <w:p w14:paraId="25B412F8">
                        <w:pPr>
                          <w:spacing w:before="122" w:line="261" w:lineRule="auto"/>
                          <w:ind w:left="110" w:right="157"/>
                          <w:rPr>
                            <w:rFonts w:ascii="宋体" w:hAnsi="宋体" w:eastAsia="宋体" w:cs="宋体"/>
                            <w:sz w:val="20"/>
                            <w:szCs w:val="20"/>
                          </w:rPr>
                        </w:pPr>
                        <w:r>
                          <w:rPr>
                            <w:rFonts w:ascii="宋体" w:hAnsi="宋体" w:eastAsia="宋体" w:cs="宋体"/>
                            <w:spacing w:val="1"/>
                            <w:sz w:val="20"/>
                            <w:szCs w:val="20"/>
                          </w:rPr>
                          <w:t>免费为农民提供必要的</w:t>
                        </w:r>
                        <w:r>
                          <w:rPr>
                            <w:rFonts w:ascii="宋体" w:hAnsi="宋体" w:eastAsia="宋体" w:cs="宋体"/>
                            <w:spacing w:val="4"/>
                            <w:sz w:val="20"/>
                            <w:szCs w:val="20"/>
                          </w:rPr>
                          <w:t xml:space="preserve"> </w:t>
                        </w:r>
                        <w:r>
                          <w:rPr>
                            <w:rFonts w:ascii="宋体" w:hAnsi="宋体" w:eastAsia="宋体" w:cs="宋体"/>
                            <w:spacing w:val="3"/>
                            <w:sz w:val="20"/>
                            <w:szCs w:val="20"/>
                          </w:rPr>
                          <w:t>个人防护装备</w:t>
                        </w:r>
                      </w:p>
                    </w:txbxContent>
                  </v:textbox>
                  <w10:wrap type="none"/>
                  <w10:anchorlock/>
                </v:shape>
              </w:pict>
            </w:r>
          </w:p>
        </w:tc>
        <w:tc>
          <w:tcPr>
            <w:tcW w:w="2251" w:type="dxa"/>
            <w:vMerge w:val="restart"/>
            <w:tcBorders>
              <w:top w:val="single" w:color="000000" w:sz="4" w:space="0"/>
              <w:bottom w:val="nil"/>
            </w:tcBorders>
            <w:shd w:val="clear" w:color="auto" w:fill="EBE8E4"/>
            <w:vAlign w:val="top"/>
          </w:tcPr>
          <w:p w14:paraId="23DE08D6">
            <w:pPr>
              <w:pStyle w:val="6"/>
              <w:spacing w:before="103" w:line="261" w:lineRule="auto"/>
              <w:ind w:left="41" w:right="216"/>
            </w:pPr>
            <w:r>
              <w:rPr>
                <w:spacing w:val="-1"/>
              </w:rPr>
              <w:t>政府对安全生产场所建</w:t>
            </w:r>
            <w:r>
              <w:rPr>
                <w:spacing w:val="1"/>
              </w:rPr>
              <w:t xml:space="preserve"> </w:t>
            </w:r>
            <w:r>
              <w:rPr>
                <w:spacing w:val="2"/>
              </w:rPr>
              <w:t>设的财政支持</w:t>
            </w:r>
          </w:p>
          <w:p w14:paraId="4B7BE140">
            <w:pPr>
              <w:spacing w:line="242" w:lineRule="auto"/>
              <w:rPr>
                <w:rFonts w:ascii="Arial"/>
                <w:sz w:val="21"/>
              </w:rPr>
            </w:pPr>
          </w:p>
          <w:p w14:paraId="13516345">
            <w:pPr>
              <w:spacing w:line="242" w:lineRule="auto"/>
              <w:rPr>
                <w:rFonts w:ascii="Arial"/>
                <w:sz w:val="21"/>
              </w:rPr>
            </w:pPr>
          </w:p>
          <w:p w14:paraId="6AF38219">
            <w:pPr>
              <w:spacing w:line="242" w:lineRule="auto"/>
              <w:rPr>
                <w:rFonts w:ascii="Arial"/>
                <w:sz w:val="21"/>
              </w:rPr>
            </w:pPr>
          </w:p>
          <w:p w14:paraId="559F686E">
            <w:pPr>
              <w:pStyle w:val="6"/>
              <w:spacing w:before="65" w:line="255" w:lineRule="auto"/>
              <w:ind w:left="61" w:right="196"/>
            </w:pPr>
            <w:r>
              <w:rPr>
                <w:spacing w:val="-1"/>
              </w:rPr>
              <w:t>对职业安全私人或商业</w:t>
            </w:r>
            <w:r>
              <w:rPr>
                <w:spacing w:val="1"/>
              </w:rPr>
              <w:t xml:space="preserve"> </w:t>
            </w:r>
            <w:r>
              <w:rPr>
                <w:spacing w:val="-1"/>
              </w:rPr>
              <w:t>健康保险的补贴</w:t>
            </w:r>
          </w:p>
        </w:tc>
      </w:tr>
      <w:tr w14:paraId="0BC880C7">
        <w:trPr>
          <w:trHeight w:val="540" w:hRule="atLeast"/>
        </w:trPr>
        <w:tc>
          <w:tcPr>
            <w:tcW w:w="1420" w:type="dxa"/>
            <w:vMerge w:val="continue"/>
            <w:tcBorders>
              <w:top w:val="nil"/>
              <w:bottom w:val="single" w:color="000000" w:sz="4" w:space="0"/>
            </w:tcBorders>
            <w:vAlign w:val="top"/>
          </w:tcPr>
          <w:p w14:paraId="753F4118">
            <w:pPr>
              <w:rPr>
                <w:rFonts w:ascii="Arial"/>
                <w:sz w:val="21"/>
              </w:rPr>
            </w:pPr>
          </w:p>
        </w:tc>
        <w:tc>
          <w:tcPr>
            <w:tcW w:w="950" w:type="dxa"/>
            <w:vMerge w:val="continue"/>
            <w:tcBorders>
              <w:top w:val="nil"/>
              <w:bottom w:val="single" w:color="000000" w:sz="4" w:space="0"/>
            </w:tcBorders>
            <w:vAlign w:val="top"/>
          </w:tcPr>
          <w:p w14:paraId="3DD55E54">
            <w:pPr>
              <w:rPr>
                <w:rFonts w:ascii="Arial"/>
                <w:sz w:val="21"/>
              </w:rPr>
            </w:pPr>
          </w:p>
        </w:tc>
        <w:tc>
          <w:tcPr>
            <w:tcW w:w="2200" w:type="dxa"/>
            <w:vMerge w:val="continue"/>
            <w:tcBorders>
              <w:top w:val="nil"/>
              <w:bottom w:val="single" w:color="000000" w:sz="4" w:space="0"/>
            </w:tcBorders>
            <w:vAlign w:val="top"/>
          </w:tcPr>
          <w:p w14:paraId="485D1BCB">
            <w:pPr>
              <w:rPr>
                <w:rFonts w:ascii="Arial"/>
                <w:sz w:val="21"/>
              </w:rPr>
            </w:pPr>
          </w:p>
        </w:tc>
        <w:tc>
          <w:tcPr>
            <w:tcW w:w="2318" w:type="dxa"/>
            <w:tcBorders>
              <w:bottom w:val="single" w:color="000000" w:sz="4" w:space="0"/>
            </w:tcBorders>
            <w:vAlign w:val="top"/>
          </w:tcPr>
          <w:p w14:paraId="5C77E73C">
            <w:pPr>
              <w:pStyle w:val="6"/>
              <w:spacing w:before="126" w:line="220" w:lineRule="auto"/>
              <w:ind w:left="110"/>
            </w:pPr>
            <w:r>
              <w:t>医疗资源的补充和准备</w:t>
            </w:r>
          </w:p>
        </w:tc>
        <w:tc>
          <w:tcPr>
            <w:tcW w:w="2251" w:type="dxa"/>
            <w:vMerge w:val="continue"/>
            <w:tcBorders>
              <w:top w:val="nil"/>
              <w:bottom w:val="single" w:color="000000" w:sz="4" w:space="0"/>
            </w:tcBorders>
            <w:vAlign w:val="top"/>
          </w:tcPr>
          <w:p w14:paraId="65F35495">
            <w:pPr>
              <w:rPr>
                <w:rFonts w:ascii="Arial"/>
                <w:sz w:val="21"/>
              </w:rPr>
            </w:pPr>
          </w:p>
        </w:tc>
      </w:tr>
      <w:tr w14:paraId="7CB88BE4">
        <w:trPr>
          <w:trHeight w:val="2073" w:hRule="atLeast"/>
        </w:trPr>
        <w:tc>
          <w:tcPr>
            <w:tcW w:w="1420" w:type="dxa"/>
            <w:tcBorders>
              <w:top w:val="single" w:color="000000" w:sz="4" w:space="0"/>
              <w:bottom w:val="single" w:color="000000" w:sz="4" w:space="0"/>
            </w:tcBorders>
            <w:vAlign w:val="top"/>
          </w:tcPr>
          <w:p w14:paraId="65022247">
            <w:pPr>
              <w:spacing w:line="292" w:lineRule="auto"/>
              <w:rPr>
                <w:rFonts w:ascii="Arial"/>
                <w:sz w:val="21"/>
              </w:rPr>
            </w:pPr>
          </w:p>
          <w:p w14:paraId="6FD774F8">
            <w:pPr>
              <w:spacing w:line="292" w:lineRule="auto"/>
              <w:rPr>
                <w:rFonts w:ascii="Arial"/>
                <w:sz w:val="21"/>
              </w:rPr>
            </w:pPr>
          </w:p>
          <w:p w14:paraId="6EA67BFF">
            <w:pPr>
              <w:spacing w:line="292" w:lineRule="auto"/>
              <w:rPr>
                <w:rFonts w:ascii="Arial"/>
                <w:sz w:val="21"/>
              </w:rPr>
            </w:pPr>
          </w:p>
          <w:p w14:paraId="2776DA76">
            <w:pPr>
              <w:pStyle w:val="6"/>
              <w:spacing w:before="65" w:line="220" w:lineRule="auto"/>
              <w:ind w:left="109"/>
            </w:pPr>
            <w:r>
              <w:rPr>
                <w:spacing w:val="-2"/>
              </w:rPr>
              <w:t>应急反应策略</w:t>
            </w:r>
          </w:p>
        </w:tc>
        <w:tc>
          <w:tcPr>
            <w:tcW w:w="950" w:type="dxa"/>
            <w:tcBorders>
              <w:top w:val="single" w:color="000000" w:sz="4" w:space="0"/>
              <w:bottom w:val="single" w:color="000000" w:sz="4" w:space="0"/>
            </w:tcBorders>
            <w:vAlign w:val="top"/>
          </w:tcPr>
          <w:p w14:paraId="49C7C885">
            <w:pPr>
              <w:pStyle w:val="6"/>
              <w:spacing w:before="246" w:line="219" w:lineRule="auto"/>
              <w:ind w:left="169"/>
            </w:pPr>
            <w:r>
              <w:rPr>
                <w:spacing w:val="-2"/>
              </w:rPr>
              <w:t>事件前</w:t>
            </w:r>
          </w:p>
          <w:p w14:paraId="039528E3">
            <w:pPr>
              <w:spacing w:line="385" w:lineRule="auto"/>
              <w:rPr>
                <w:rFonts w:ascii="Arial"/>
                <w:sz w:val="21"/>
              </w:rPr>
            </w:pPr>
          </w:p>
          <w:p w14:paraId="542C5905">
            <w:pPr>
              <w:pStyle w:val="6"/>
              <w:spacing w:before="65" w:line="219" w:lineRule="auto"/>
              <w:ind w:left="169"/>
            </w:pPr>
            <w:r>
              <w:rPr>
                <w:spacing w:val="7"/>
              </w:rPr>
              <w:t>事件中</w:t>
            </w:r>
          </w:p>
          <w:p w14:paraId="2416DBB6">
            <w:pPr>
              <w:spacing w:line="395" w:lineRule="auto"/>
              <w:rPr>
                <w:rFonts w:ascii="Arial"/>
                <w:sz w:val="21"/>
              </w:rPr>
            </w:pPr>
          </w:p>
          <w:p w14:paraId="00DD35B4">
            <w:pPr>
              <w:pStyle w:val="6"/>
              <w:spacing w:before="65" w:line="219" w:lineRule="auto"/>
              <w:ind w:left="169"/>
            </w:pPr>
            <w:r>
              <w:rPr>
                <w:spacing w:val="4"/>
              </w:rPr>
              <w:t>事件后</w:t>
            </w:r>
          </w:p>
        </w:tc>
        <w:tc>
          <w:tcPr>
            <w:tcW w:w="2200" w:type="dxa"/>
            <w:tcBorders>
              <w:top w:val="single" w:color="000000" w:sz="4" w:space="0"/>
              <w:bottom w:val="single" w:color="000000" w:sz="4" w:space="0"/>
            </w:tcBorders>
            <w:vAlign w:val="top"/>
          </w:tcPr>
          <w:p w14:paraId="11C521AE">
            <w:pPr>
              <w:pStyle w:val="6"/>
              <w:spacing w:before="246" w:line="220" w:lineRule="auto"/>
              <w:ind w:left="300"/>
            </w:pPr>
            <w:r>
              <w:rPr>
                <w:spacing w:val="1"/>
              </w:rPr>
              <w:t>为农户发放应急卡</w:t>
            </w:r>
          </w:p>
          <w:p w14:paraId="53C7F023">
            <w:pPr>
              <w:pStyle w:val="6"/>
              <w:spacing w:before="301" w:line="260" w:lineRule="auto"/>
              <w:ind w:left="79" w:right="127"/>
            </w:pPr>
            <w:r>
              <w:rPr>
                <w:spacing w:val="-1"/>
              </w:rPr>
              <w:t>在日常农事工作中总结</w:t>
            </w:r>
            <w:r>
              <w:rPr>
                <w:spacing w:val="1"/>
              </w:rPr>
              <w:t xml:space="preserve"> </w:t>
            </w:r>
            <w:r>
              <w:rPr>
                <w:spacing w:val="4"/>
              </w:rPr>
              <w:t>经验，做好准备</w:t>
            </w:r>
          </w:p>
        </w:tc>
        <w:tc>
          <w:tcPr>
            <w:tcW w:w="2318" w:type="dxa"/>
            <w:tcBorders>
              <w:top w:val="single" w:color="000000" w:sz="4" w:space="0"/>
              <w:bottom w:val="single" w:color="000000" w:sz="4" w:space="0"/>
            </w:tcBorders>
            <w:vAlign w:val="top"/>
          </w:tcPr>
          <w:p w14:paraId="197D820A">
            <w:pPr>
              <w:pStyle w:val="6"/>
              <w:spacing w:before="105" w:line="259" w:lineRule="auto"/>
              <w:ind w:left="110" w:right="184"/>
            </w:pPr>
            <w:r>
              <w:rPr>
                <w:spacing w:val="2"/>
              </w:rPr>
              <w:t xml:space="preserve">对车辆和设备进行定期 </w:t>
            </w:r>
            <w:r>
              <w:rPr>
                <w:spacing w:val="-2"/>
              </w:rPr>
              <w:t>检查和评估</w:t>
            </w:r>
          </w:p>
          <w:p w14:paraId="52D65CC7">
            <w:pPr>
              <w:pStyle w:val="6"/>
              <w:spacing w:before="119" w:line="253" w:lineRule="auto"/>
              <w:ind w:left="99" w:right="225"/>
            </w:pPr>
            <w:r>
              <w:rPr>
                <w:spacing w:val="-1"/>
              </w:rPr>
              <w:t>农村卫生工作者和医疗</w:t>
            </w:r>
            <w:r>
              <w:rPr>
                <w:spacing w:val="1"/>
              </w:rPr>
              <w:t xml:space="preserve"> </w:t>
            </w:r>
            <w:r>
              <w:rPr>
                <w:spacing w:val="3"/>
              </w:rPr>
              <w:t>资源的准备和实践</w:t>
            </w:r>
          </w:p>
          <w:p w14:paraId="21EF8E91">
            <w:pPr>
              <w:pStyle w:val="6"/>
              <w:spacing w:before="302" w:line="219" w:lineRule="auto"/>
              <w:ind w:left="110"/>
            </w:pPr>
            <w:r>
              <w:rPr>
                <w:spacing w:val="1"/>
              </w:rPr>
              <w:t>改善急诊医疗服务</w:t>
            </w:r>
          </w:p>
        </w:tc>
        <w:tc>
          <w:tcPr>
            <w:tcW w:w="2251" w:type="dxa"/>
            <w:tcBorders>
              <w:top w:val="single" w:color="000000" w:sz="4" w:space="0"/>
              <w:bottom w:val="single" w:color="000000" w:sz="4" w:space="0"/>
            </w:tcBorders>
            <w:vAlign w:val="top"/>
          </w:tcPr>
          <w:p w14:paraId="3F9F2908">
            <w:pPr>
              <w:pStyle w:val="6"/>
              <w:spacing w:before="246" w:line="219" w:lineRule="auto"/>
              <w:ind w:left="51"/>
            </w:pPr>
            <w:r>
              <w:rPr>
                <w:spacing w:val="-1"/>
              </w:rPr>
              <w:t>农业伤害监测的完善</w:t>
            </w:r>
          </w:p>
          <w:p w14:paraId="794BA0D0">
            <w:pPr>
              <w:spacing w:line="300" w:lineRule="auto"/>
              <w:rPr>
                <w:rFonts w:ascii="Arial"/>
                <w:sz w:val="21"/>
              </w:rPr>
            </w:pPr>
          </w:p>
          <w:p w14:paraId="6824BF3D">
            <w:pPr>
              <w:spacing w:line="300" w:lineRule="auto"/>
              <w:rPr>
                <w:rFonts w:ascii="Arial"/>
                <w:sz w:val="21"/>
              </w:rPr>
            </w:pPr>
          </w:p>
          <w:p w14:paraId="647F1719">
            <w:pPr>
              <w:spacing w:line="300" w:lineRule="auto"/>
              <w:rPr>
                <w:rFonts w:ascii="Arial"/>
                <w:sz w:val="21"/>
              </w:rPr>
            </w:pPr>
          </w:p>
          <w:p w14:paraId="0E2F44FA">
            <w:pPr>
              <w:pStyle w:val="6"/>
              <w:spacing w:before="65" w:line="259" w:lineRule="auto"/>
              <w:ind w:left="51" w:right="173"/>
            </w:pPr>
            <w:r>
              <w:rPr>
                <w:spacing w:val="2"/>
              </w:rPr>
              <w:t>对农场条件进行有效的</w:t>
            </w:r>
            <w:r>
              <w:rPr>
                <w:spacing w:val="4"/>
              </w:rPr>
              <w:t xml:space="preserve"> </w:t>
            </w:r>
            <w:r>
              <w:rPr>
                <w:spacing w:val="-1"/>
              </w:rPr>
              <w:t>风险评估和任务管理</w:t>
            </w:r>
          </w:p>
        </w:tc>
      </w:tr>
    </w:tbl>
    <w:p w14:paraId="3071FB0B">
      <w:pPr>
        <w:spacing w:before="28" w:line="214" w:lineRule="auto"/>
        <w:ind w:left="6959"/>
        <w:rPr>
          <w:rFonts w:ascii="宋体" w:hAnsi="宋体" w:eastAsia="宋体" w:cs="宋体"/>
          <w:sz w:val="20"/>
          <w:szCs w:val="20"/>
        </w:rPr>
      </w:pPr>
      <w:r>
        <w:rPr>
          <w:rFonts w:ascii="宋体" w:hAnsi="宋体" w:eastAsia="宋体" w:cs="宋体"/>
          <w:spacing w:val="-4"/>
          <w:sz w:val="20"/>
          <w:szCs w:val="20"/>
        </w:rPr>
        <w:t>(Qi</w:t>
      </w:r>
      <w:r>
        <w:rPr>
          <w:rFonts w:ascii="宋体" w:hAnsi="宋体" w:eastAsia="宋体" w:cs="宋体"/>
          <w:spacing w:val="102"/>
          <w:sz w:val="20"/>
          <w:szCs w:val="20"/>
        </w:rPr>
        <w:t xml:space="preserve"> </w:t>
      </w:r>
      <w:r>
        <w:rPr>
          <w:rFonts w:ascii="宋体" w:hAnsi="宋体" w:eastAsia="宋体" w:cs="宋体"/>
          <w:spacing w:val="-4"/>
          <w:sz w:val="20"/>
          <w:szCs w:val="20"/>
        </w:rPr>
        <w:t>Xuejie,2024)</w:t>
      </w:r>
    </w:p>
    <w:p w14:paraId="6A5DF6E2">
      <w:pPr>
        <w:spacing w:line="214" w:lineRule="auto"/>
        <w:rPr>
          <w:rFonts w:ascii="宋体" w:hAnsi="宋体" w:eastAsia="宋体" w:cs="宋体"/>
          <w:sz w:val="20"/>
          <w:szCs w:val="20"/>
        </w:rPr>
        <w:sectPr>
          <w:footerReference r:id="rId264" w:type="default"/>
          <w:pgSz w:w="11900" w:h="16820"/>
          <w:pgMar w:top="400" w:right="803" w:bottom="815" w:left="1400" w:header="0" w:footer="653" w:gutter="0"/>
          <w:cols w:space="720" w:num="1"/>
        </w:sectPr>
      </w:pPr>
    </w:p>
    <w:p w14:paraId="2CF173CF">
      <w:pPr>
        <w:spacing w:line="256" w:lineRule="auto"/>
        <w:rPr>
          <w:rFonts w:ascii="Arial"/>
          <w:sz w:val="21"/>
        </w:rPr>
      </w:pPr>
    </w:p>
    <w:p w14:paraId="0DF63648">
      <w:pPr>
        <w:pStyle w:val="2"/>
        <w:spacing w:before="69" w:line="221" w:lineRule="auto"/>
        <w:ind w:left="790"/>
        <w:rPr>
          <w:sz w:val="21"/>
          <w:szCs w:val="21"/>
        </w:rPr>
      </w:pPr>
      <w:r>
        <w:rPr>
          <w:spacing w:val="-17"/>
          <w:sz w:val="21"/>
          <w:szCs w:val="21"/>
        </w:rPr>
        <w:t>第十五章伤害流行病学</w:t>
      </w:r>
    </w:p>
    <w:p w14:paraId="7A19E75C">
      <w:pPr>
        <w:spacing w:line="273" w:lineRule="auto"/>
        <w:rPr>
          <w:rFonts w:ascii="Arial"/>
          <w:sz w:val="21"/>
        </w:rPr>
      </w:pPr>
    </w:p>
    <w:p w14:paraId="4D082863">
      <w:pPr>
        <w:spacing w:line="273" w:lineRule="auto"/>
        <w:rPr>
          <w:rFonts w:ascii="Arial"/>
          <w:sz w:val="21"/>
        </w:rPr>
      </w:pPr>
    </w:p>
    <w:p w14:paraId="20554202">
      <w:pPr>
        <w:pStyle w:val="2"/>
        <w:spacing w:before="68" w:line="222" w:lineRule="auto"/>
        <w:ind w:left="1232"/>
        <w:rPr>
          <w:sz w:val="21"/>
          <w:szCs w:val="21"/>
        </w:rPr>
      </w:pPr>
      <w:bookmarkStart w:id="410" w:name="bookmark541"/>
      <w:bookmarkEnd w:id="410"/>
      <w:r>
        <w:rPr>
          <w:b/>
          <w:bCs/>
          <w:spacing w:val="27"/>
          <w:sz w:val="21"/>
          <w:szCs w:val="21"/>
        </w:rPr>
        <w:t>(三)安全社区</w:t>
      </w:r>
    </w:p>
    <w:p w14:paraId="549290DF">
      <w:pPr>
        <w:spacing w:before="117" w:line="326" w:lineRule="auto"/>
        <w:ind w:left="790" w:right="124" w:firstLine="439"/>
        <w:jc w:val="both"/>
        <w:rPr>
          <w:rFonts w:ascii="宋体" w:hAnsi="宋体" w:eastAsia="宋体" w:cs="宋体"/>
          <w:sz w:val="21"/>
          <w:szCs w:val="21"/>
        </w:rPr>
      </w:pPr>
      <w:r>
        <w:rPr>
          <w:rFonts w:ascii="宋体" w:hAnsi="宋体" w:eastAsia="宋体" w:cs="宋体"/>
          <w:spacing w:val="9"/>
          <w:sz w:val="21"/>
          <w:szCs w:val="21"/>
        </w:rPr>
        <w:t>安全社区的概念始于20世纪80年代末，由</w:t>
      </w:r>
      <w:r>
        <w:rPr>
          <w:rFonts w:ascii="宋体" w:hAnsi="宋体" w:eastAsia="宋体" w:cs="宋体"/>
          <w:sz w:val="21"/>
          <w:szCs w:val="21"/>
        </w:rPr>
        <w:t>WHO</w:t>
      </w:r>
      <w:r>
        <w:rPr>
          <w:rFonts w:ascii="宋体" w:hAnsi="宋体" w:eastAsia="宋体" w:cs="宋体"/>
          <w:spacing w:val="9"/>
          <w:sz w:val="21"/>
          <w:szCs w:val="21"/>
        </w:rPr>
        <w:t xml:space="preserve">  倡导并在瑞典斯德哥尔摩市举</w:t>
      </w:r>
      <w:r>
        <w:rPr>
          <w:rFonts w:ascii="宋体" w:hAnsi="宋体" w:eastAsia="宋体" w:cs="宋体"/>
          <w:spacing w:val="8"/>
          <w:sz w:val="21"/>
          <w:szCs w:val="21"/>
        </w:rPr>
        <w:t>行的首届世界</w:t>
      </w:r>
      <w:r>
        <w:rPr>
          <w:rFonts w:ascii="宋体" w:hAnsi="宋体" w:eastAsia="宋体" w:cs="宋体"/>
          <w:sz w:val="21"/>
          <w:szCs w:val="21"/>
        </w:rPr>
        <w:t xml:space="preserve"> </w:t>
      </w:r>
      <w:r>
        <w:rPr>
          <w:rFonts w:ascii="宋体" w:hAnsi="宋体" w:eastAsia="宋体" w:cs="宋体"/>
          <w:spacing w:val="1"/>
          <w:sz w:val="21"/>
          <w:szCs w:val="21"/>
        </w:rPr>
        <w:t>意外和伤害预防大会上正式提出此概念。“安全社区”是</w:t>
      </w:r>
      <w:r>
        <w:rPr>
          <w:rFonts w:ascii="宋体" w:hAnsi="宋体" w:eastAsia="宋体" w:cs="宋体"/>
          <w:sz w:val="21"/>
          <w:szCs w:val="21"/>
        </w:rPr>
        <w:t xml:space="preserve">指具有针对所有人、环境和条件的积极的  </w:t>
      </w:r>
      <w:r>
        <w:rPr>
          <w:rFonts w:ascii="宋体" w:hAnsi="宋体" w:eastAsia="宋体" w:cs="宋体"/>
          <w:spacing w:val="-4"/>
          <w:sz w:val="21"/>
          <w:szCs w:val="21"/>
        </w:rPr>
        <w:t>安全和伤害预防项目，并且作为国家制定的包括政府、卫生服务机构、志愿者组织、企业和个人等共</w:t>
      </w:r>
      <w:r>
        <w:rPr>
          <w:rFonts w:ascii="宋体" w:hAnsi="宋体" w:eastAsia="宋体" w:cs="宋体"/>
          <w:spacing w:val="3"/>
          <w:sz w:val="21"/>
          <w:szCs w:val="21"/>
        </w:rPr>
        <w:t xml:space="preserve"> 同参与的工作网络的地方社区。其宗旨是为了整合社区资源，开</w:t>
      </w:r>
      <w:r>
        <w:rPr>
          <w:rFonts w:ascii="宋体" w:hAnsi="宋体" w:eastAsia="宋体" w:cs="宋体"/>
          <w:spacing w:val="2"/>
          <w:sz w:val="21"/>
          <w:szCs w:val="21"/>
        </w:rPr>
        <w:t>展各类伤害预防和安全促进活动，</w:t>
      </w:r>
      <w:r>
        <w:rPr>
          <w:rFonts w:ascii="宋体" w:hAnsi="宋体" w:eastAsia="宋体" w:cs="宋体"/>
          <w:sz w:val="21"/>
          <w:szCs w:val="21"/>
        </w:rPr>
        <w:t xml:space="preserve"> </w:t>
      </w:r>
      <w:r>
        <w:rPr>
          <w:rFonts w:ascii="宋体" w:hAnsi="宋体" w:eastAsia="宋体" w:cs="宋体"/>
          <w:spacing w:val="1"/>
          <w:sz w:val="21"/>
          <w:szCs w:val="21"/>
        </w:rPr>
        <w:t>最大限度地降低各类伤害的发生。1991年6月，</w:t>
      </w:r>
      <w:r>
        <w:rPr>
          <w:rFonts w:ascii="Times New Roman" w:hAnsi="Times New Roman" w:eastAsia="Times New Roman" w:cs="Times New Roman"/>
          <w:sz w:val="21"/>
          <w:szCs w:val="21"/>
        </w:rPr>
        <w:t>WHO</w:t>
      </w:r>
      <w:r>
        <w:rPr>
          <w:rFonts w:ascii="宋体" w:hAnsi="宋体" w:eastAsia="宋体" w:cs="宋体"/>
          <w:spacing w:val="1"/>
          <w:sz w:val="21"/>
          <w:szCs w:val="21"/>
        </w:rPr>
        <w:t>“社区安全促进合作中心”在瑞典举行了第一</w:t>
      </w:r>
      <w:r>
        <w:rPr>
          <w:rFonts w:ascii="宋体" w:hAnsi="宋体" w:eastAsia="宋体" w:cs="宋体"/>
          <w:spacing w:val="10"/>
          <w:sz w:val="21"/>
          <w:szCs w:val="21"/>
        </w:rPr>
        <w:t xml:space="preserve"> </w:t>
      </w:r>
      <w:r>
        <w:rPr>
          <w:rFonts w:ascii="宋体" w:hAnsi="宋体" w:eastAsia="宋体" w:cs="宋体"/>
          <w:spacing w:val="5"/>
          <w:sz w:val="21"/>
          <w:szCs w:val="21"/>
        </w:rPr>
        <w:t>届国际安全社区大会，到2024年已举办了18届国际安全社区大会，通过知识共享和经验交流，推</w:t>
      </w:r>
      <w:r>
        <w:rPr>
          <w:rFonts w:ascii="宋体" w:hAnsi="宋体" w:eastAsia="宋体" w:cs="宋体"/>
          <w:spacing w:val="1"/>
          <w:sz w:val="21"/>
          <w:szCs w:val="21"/>
        </w:rPr>
        <w:t xml:space="preserve">  </w:t>
      </w:r>
      <w:r>
        <w:rPr>
          <w:rFonts w:ascii="宋体" w:hAnsi="宋体" w:eastAsia="宋体" w:cs="宋体"/>
          <w:sz w:val="21"/>
          <w:szCs w:val="21"/>
        </w:rPr>
        <w:t>动了全球范围内的社区安全建设，促进了伤害预防</w:t>
      </w:r>
      <w:r>
        <w:rPr>
          <w:rFonts w:ascii="宋体" w:hAnsi="宋体" w:eastAsia="宋体" w:cs="宋体"/>
          <w:spacing w:val="-1"/>
          <w:sz w:val="21"/>
          <w:szCs w:val="21"/>
        </w:rPr>
        <w:t>和安全提升。</w:t>
      </w:r>
    </w:p>
    <w:p w14:paraId="43E2ABD8">
      <w:pPr>
        <w:spacing w:before="4" w:line="318" w:lineRule="auto"/>
        <w:ind w:left="790" w:right="125" w:firstLine="439"/>
        <w:jc w:val="both"/>
        <w:rPr>
          <w:rFonts w:ascii="宋体" w:hAnsi="宋体" w:eastAsia="宋体" w:cs="宋体"/>
          <w:sz w:val="21"/>
          <w:szCs w:val="21"/>
        </w:rPr>
      </w:pPr>
      <w:r>
        <w:rPr>
          <w:rFonts w:ascii="Times New Roman" w:hAnsi="Times New Roman" w:eastAsia="Times New Roman" w:cs="Times New Roman"/>
          <w:spacing w:val="-1"/>
          <w:sz w:val="21"/>
          <w:szCs w:val="21"/>
        </w:rPr>
        <w:t>WHO</w:t>
      </w:r>
      <w:r>
        <w:rPr>
          <w:rFonts w:ascii="Times New Roman" w:hAnsi="Times New Roman" w:eastAsia="Times New Roman" w:cs="Times New Roman"/>
          <w:spacing w:val="1"/>
          <w:sz w:val="21"/>
          <w:szCs w:val="21"/>
        </w:rPr>
        <w:t xml:space="preserve"> </w:t>
      </w:r>
      <w:r>
        <w:rPr>
          <w:rFonts w:ascii="宋体" w:hAnsi="宋体" w:eastAsia="宋体" w:cs="宋体"/>
          <w:spacing w:val="-1"/>
          <w:sz w:val="21"/>
          <w:szCs w:val="21"/>
        </w:rPr>
        <w:t>安全社区的标准包括：有多部门参与的、合作的、负责本社区安全促进工作的组织机构；</w:t>
      </w:r>
      <w:r>
        <w:rPr>
          <w:rFonts w:ascii="宋体" w:hAnsi="宋体" w:eastAsia="宋体" w:cs="宋体"/>
          <w:sz w:val="21"/>
          <w:szCs w:val="21"/>
        </w:rPr>
        <w:t xml:space="preserve"> </w:t>
      </w:r>
      <w:r>
        <w:rPr>
          <w:rFonts w:ascii="宋体" w:hAnsi="宋体" w:eastAsia="宋体" w:cs="宋体"/>
          <w:spacing w:val="-4"/>
          <w:sz w:val="21"/>
          <w:szCs w:val="21"/>
        </w:rPr>
        <w:t>有长期、持续、能覆盖不同性别、年龄的人员和环境的伤害预防计划；有针对高</w:t>
      </w:r>
      <w:r>
        <w:rPr>
          <w:rFonts w:ascii="宋体" w:hAnsi="宋体" w:eastAsia="宋体" w:cs="宋体"/>
          <w:spacing w:val="-5"/>
          <w:sz w:val="21"/>
          <w:szCs w:val="21"/>
        </w:rPr>
        <w:t>危人群、高危环境和</w:t>
      </w:r>
      <w:r>
        <w:rPr>
          <w:rFonts w:ascii="宋体" w:hAnsi="宋体" w:eastAsia="宋体" w:cs="宋体"/>
          <w:sz w:val="21"/>
          <w:szCs w:val="21"/>
        </w:rPr>
        <w:t xml:space="preserve">  </w:t>
      </w:r>
      <w:r>
        <w:rPr>
          <w:rFonts w:ascii="宋体" w:hAnsi="宋体" w:eastAsia="宋体" w:cs="宋体"/>
          <w:spacing w:val="1"/>
          <w:sz w:val="21"/>
          <w:szCs w:val="21"/>
        </w:rPr>
        <w:t>弱势群体的伤害预防项目；有记录伤害发生频</w:t>
      </w:r>
      <w:r>
        <w:rPr>
          <w:rFonts w:ascii="宋体" w:hAnsi="宋体" w:eastAsia="宋体" w:cs="宋体"/>
          <w:sz w:val="21"/>
          <w:szCs w:val="21"/>
        </w:rPr>
        <w:t xml:space="preserve">率的监测系统和发生原因的分析系统；有对伤害预防  </w:t>
      </w:r>
      <w:r>
        <w:rPr>
          <w:rFonts w:ascii="宋体" w:hAnsi="宋体" w:eastAsia="宋体" w:cs="宋体"/>
          <w:spacing w:val="1"/>
          <w:sz w:val="21"/>
          <w:szCs w:val="21"/>
        </w:rPr>
        <w:t>项目的实施及其效果进行测量和评价的方法；积极参与国家</w:t>
      </w:r>
      <w:r>
        <w:rPr>
          <w:rFonts w:ascii="宋体" w:hAnsi="宋体" w:eastAsia="宋体" w:cs="宋体"/>
          <w:sz w:val="21"/>
          <w:szCs w:val="21"/>
        </w:rPr>
        <w:t xml:space="preserve">、国际安全社区工作网络的相关工作与  </w:t>
      </w:r>
      <w:r>
        <w:rPr>
          <w:rFonts w:ascii="宋体" w:hAnsi="宋体" w:eastAsia="宋体" w:cs="宋体"/>
          <w:spacing w:val="3"/>
          <w:sz w:val="21"/>
          <w:szCs w:val="21"/>
        </w:rPr>
        <w:t>交流活动。</w:t>
      </w:r>
    </w:p>
    <w:p w14:paraId="59D100D1">
      <w:pPr>
        <w:spacing w:before="55" w:line="325" w:lineRule="auto"/>
        <w:ind w:left="790" w:right="125" w:firstLine="439"/>
        <w:jc w:val="both"/>
        <w:rPr>
          <w:rFonts w:ascii="宋体" w:hAnsi="宋体" w:eastAsia="宋体" w:cs="宋体"/>
          <w:sz w:val="21"/>
          <w:szCs w:val="21"/>
        </w:rPr>
      </w:pPr>
      <w:r>
        <w:rPr>
          <w:rFonts w:ascii="宋体" w:hAnsi="宋体" w:eastAsia="宋体" w:cs="宋体"/>
          <w:spacing w:val="10"/>
          <w:sz w:val="21"/>
          <w:szCs w:val="21"/>
        </w:rPr>
        <w:t>瑞典的法尔雪平是1991年全球首个被</w:t>
      </w:r>
      <w:r>
        <w:rPr>
          <w:rFonts w:ascii="Times New Roman" w:hAnsi="Times New Roman" w:eastAsia="Times New Roman" w:cs="Times New Roman"/>
          <w:sz w:val="21"/>
          <w:szCs w:val="21"/>
        </w:rPr>
        <w:t>WHO</w:t>
      </w:r>
      <w:r>
        <w:rPr>
          <w:rFonts w:ascii="Times New Roman" w:hAnsi="Times New Roman" w:eastAsia="Times New Roman" w:cs="Times New Roman"/>
          <w:spacing w:val="10"/>
          <w:sz w:val="21"/>
          <w:szCs w:val="21"/>
        </w:rPr>
        <w:t xml:space="preserve"> </w:t>
      </w:r>
      <w:r>
        <w:rPr>
          <w:rFonts w:ascii="宋体" w:hAnsi="宋体" w:eastAsia="宋体" w:cs="宋体"/>
          <w:spacing w:val="9"/>
          <w:sz w:val="21"/>
          <w:szCs w:val="21"/>
        </w:rPr>
        <w:t>认定的安全社区。其通过一系列交通安全措施，</w:t>
      </w:r>
      <w:r>
        <w:rPr>
          <w:rFonts w:ascii="宋体" w:hAnsi="宋体" w:eastAsia="宋体" w:cs="宋体"/>
          <w:sz w:val="21"/>
          <w:szCs w:val="21"/>
        </w:rPr>
        <w:t xml:space="preserve"> </w:t>
      </w:r>
      <w:r>
        <w:rPr>
          <w:rFonts w:ascii="宋体" w:hAnsi="宋体" w:eastAsia="宋体" w:cs="宋体"/>
          <w:spacing w:val="1"/>
          <w:sz w:val="21"/>
          <w:szCs w:val="21"/>
        </w:rPr>
        <w:t>减少了交通伤害；同时，社区教育和参与项目也显著降低了家</w:t>
      </w:r>
      <w:r>
        <w:rPr>
          <w:rFonts w:ascii="宋体" w:hAnsi="宋体" w:eastAsia="宋体" w:cs="宋体"/>
          <w:sz w:val="21"/>
          <w:szCs w:val="21"/>
        </w:rPr>
        <w:t xml:space="preserve">庭和工作场所的伤害发生率。山东省  </w:t>
      </w:r>
      <w:r>
        <w:rPr>
          <w:rFonts w:ascii="宋体" w:hAnsi="宋体" w:eastAsia="宋体" w:cs="宋体"/>
          <w:spacing w:val="7"/>
          <w:sz w:val="21"/>
          <w:szCs w:val="21"/>
        </w:rPr>
        <w:t>济南市槐荫区青年公园社区于2006年被</w:t>
      </w:r>
      <w:r>
        <w:rPr>
          <w:rFonts w:ascii="Times New Roman" w:hAnsi="Times New Roman" w:eastAsia="Times New Roman" w:cs="Times New Roman"/>
          <w:sz w:val="21"/>
          <w:szCs w:val="21"/>
        </w:rPr>
        <w:t>WHO</w:t>
      </w:r>
      <w:r>
        <w:rPr>
          <w:rFonts w:ascii="Times New Roman" w:hAnsi="Times New Roman" w:eastAsia="Times New Roman" w:cs="Times New Roman"/>
          <w:spacing w:val="2"/>
          <w:sz w:val="21"/>
          <w:szCs w:val="21"/>
        </w:rPr>
        <w:t xml:space="preserve"> </w:t>
      </w:r>
      <w:r>
        <w:rPr>
          <w:rFonts w:ascii="宋体" w:hAnsi="宋体" w:eastAsia="宋体" w:cs="宋体"/>
          <w:spacing w:val="7"/>
          <w:sz w:val="21"/>
          <w:szCs w:val="21"/>
        </w:rPr>
        <w:t>认定为安全社区，随后2007年北京市朝阳区望京街</w:t>
      </w:r>
      <w:r>
        <w:rPr>
          <w:rFonts w:ascii="宋体" w:hAnsi="宋体" w:eastAsia="宋体" w:cs="宋体"/>
          <w:sz w:val="21"/>
          <w:szCs w:val="21"/>
        </w:rPr>
        <w:t xml:space="preserve">  </w:t>
      </w:r>
      <w:r>
        <w:rPr>
          <w:rFonts w:ascii="宋体" w:hAnsi="宋体" w:eastAsia="宋体" w:cs="宋体"/>
          <w:spacing w:val="5"/>
          <w:sz w:val="21"/>
          <w:szCs w:val="21"/>
        </w:rPr>
        <w:t>道等也获得安全社区称号。值得一提的是，上海市杨浦区延吉新村街道于2012年首次获批安全社</w:t>
      </w:r>
      <w:r>
        <w:rPr>
          <w:rFonts w:ascii="宋体" w:hAnsi="宋体" w:eastAsia="宋体" w:cs="宋体"/>
          <w:spacing w:val="4"/>
          <w:sz w:val="21"/>
          <w:szCs w:val="21"/>
        </w:rPr>
        <w:t xml:space="preserve">  </w:t>
      </w:r>
      <w:r>
        <w:rPr>
          <w:rFonts w:ascii="宋体" w:hAnsi="宋体" w:eastAsia="宋体" w:cs="宋体"/>
          <w:spacing w:val="5"/>
          <w:sz w:val="21"/>
          <w:szCs w:val="21"/>
        </w:rPr>
        <w:t>区后，持续推进安全社区建设，并于2024年第3次被</w:t>
      </w:r>
      <w:r>
        <w:rPr>
          <w:rFonts w:ascii="Times New Roman" w:hAnsi="Times New Roman" w:eastAsia="Times New Roman" w:cs="Times New Roman"/>
          <w:sz w:val="21"/>
          <w:szCs w:val="21"/>
        </w:rPr>
        <w:t>WHO</w:t>
      </w:r>
      <w:r>
        <w:rPr>
          <w:rFonts w:ascii="Times New Roman" w:hAnsi="Times New Roman" w:eastAsia="Times New Roman" w:cs="Times New Roman"/>
          <w:spacing w:val="5"/>
          <w:sz w:val="21"/>
          <w:szCs w:val="21"/>
        </w:rPr>
        <w:t xml:space="preserve"> </w:t>
      </w:r>
      <w:r>
        <w:rPr>
          <w:rFonts w:ascii="宋体" w:hAnsi="宋体" w:eastAsia="宋体" w:cs="宋体"/>
          <w:spacing w:val="5"/>
          <w:sz w:val="21"/>
          <w:szCs w:val="21"/>
        </w:rPr>
        <w:t>命名为安全社区，并</w:t>
      </w:r>
      <w:r>
        <w:rPr>
          <w:rFonts w:ascii="宋体" w:hAnsi="宋体" w:eastAsia="宋体" w:cs="宋体"/>
          <w:spacing w:val="4"/>
          <w:sz w:val="21"/>
          <w:szCs w:val="21"/>
        </w:rPr>
        <w:t>成为国际安全社区</w:t>
      </w:r>
      <w:r>
        <w:rPr>
          <w:rFonts w:ascii="宋体" w:hAnsi="宋体" w:eastAsia="宋体" w:cs="宋体"/>
          <w:sz w:val="21"/>
          <w:szCs w:val="21"/>
        </w:rPr>
        <w:t xml:space="preserve">  </w:t>
      </w:r>
      <w:r>
        <w:rPr>
          <w:rFonts w:ascii="宋体" w:hAnsi="宋体" w:eastAsia="宋体" w:cs="宋体"/>
          <w:spacing w:val="3"/>
          <w:sz w:val="21"/>
          <w:szCs w:val="21"/>
        </w:rPr>
        <w:t>(共同体)网络成员单位。目前，我国已拥有分布在不同省份的127家国际安全社区认证单位。安全</w:t>
      </w:r>
      <w:r>
        <w:rPr>
          <w:rFonts w:ascii="宋体" w:hAnsi="宋体" w:eastAsia="宋体" w:cs="宋体"/>
          <w:spacing w:val="8"/>
          <w:sz w:val="21"/>
          <w:szCs w:val="21"/>
        </w:rPr>
        <w:t xml:space="preserve"> </w:t>
      </w:r>
      <w:r>
        <w:rPr>
          <w:rFonts w:ascii="宋体" w:hAnsi="宋体" w:eastAsia="宋体" w:cs="宋体"/>
          <w:spacing w:val="1"/>
          <w:sz w:val="21"/>
          <w:szCs w:val="21"/>
        </w:rPr>
        <w:t>社区建设体现了先进的社区建设理念，贯彻了公</w:t>
      </w:r>
      <w:r>
        <w:rPr>
          <w:rFonts w:ascii="宋体" w:hAnsi="宋体" w:eastAsia="宋体" w:cs="宋体"/>
          <w:sz w:val="21"/>
          <w:szCs w:val="21"/>
        </w:rPr>
        <w:t xml:space="preserve">众参与、公众受益的原则；同时，安全社区建设也  </w:t>
      </w:r>
      <w:r>
        <w:rPr>
          <w:rFonts w:ascii="宋体" w:hAnsi="宋体" w:eastAsia="宋体" w:cs="宋体"/>
          <w:spacing w:val="-1"/>
          <w:sz w:val="21"/>
          <w:szCs w:val="21"/>
        </w:rPr>
        <w:t>是我国适应全球一体化，全面建成小康社会、构建和谐社会和平安社会的重要组</w:t>
      </w:r>
      <w:r>
        <w:rPr>
          <w:rFonts w:ascii="宋体" w:hAnsi="宋体" w:eastAsia="宋体" w:cs="宋体"/>
          <w:spacing w:val="-2"/>
          <w:sz w:val="21"/>
          <w:szCs w:val="21"/>
        </w:rPr>
        <w:t>成部分。</w:t>
      </w:r>
    </w:p>
    <w:p w14:paraId="0D03C2FC">
      <w:pPr>
        <w:spacing w:before="1" w:line="311" w:lineRule="auto"/>
        <w:ind w:left="790" w:right="218" w:firstLine="429"/>
        <w:jc w:val="both"/>
        <w:rPr>
          <w:rFonts w:ascii="宋体" w:hAnsi="宋体" w:eastAsia="宋体" w:cs="宋体"/>
          <w:sz w:val="21"/>
          <w:szCs w:val="21"/>
        </w:rPr>
      </w:pPr>
      <w:r>
        <w:rPr>
          <w:rFonts w:ascii="宋体" w:hAnsi="宋体" w:eastAsia="宋体" w:cs="宋体"/>
          <w:spacing w:val="5"/>
          <w:sz w:val="21"/>
          <w:szCs w:val="21"/>
        </w:rPr>
        <w:t xml:space="preserve">实践证明，安全社区规划可以明显降低伤害危险，使伤害发生率降低30%～60%。因此，作为 </w:t>
      </w:r>
      <w:r>
        <w:rPr>
          <w:rFonts w:ascii="宋体" w:hAnsi="宋体" w:eastAsia="宋体" w:cs="宋体"/>
          <w:sz w:val="21"/>
          <w:szCs w:val="21"/>
        </w:rPr>
        <w:t>预防与控制伤害的有效途径之一，创建安全社区、积极开展安全社区活动，能够通过营造安全的生</w:t>
      </w:r>
      <w:r>
        <w:rPr>
          <w:rFonts w:ascii="宋体" w:hAnsi="宋体" w:eastAsia="宋体" w:cs="宋体"/>
          <w:spacing w:val="8"/>
          <w:sz w:val="21"/>
          <w:szCs w:val="21"/>
        </w:rPr>
        <w:t xml:space="preserve"> </w:t>
      </w:r>
      <w:r>
        <w:rPr>
          <w:rFonts w:ascii="宋体" w:hAnsi="宋体" w:eastAsia="宋体" w:cs="宋体"/>
          <w:spacing w:val="-2"/>
          <w:sz w:val="21"/>
          <w:szCs w:val="21"/>
        </w:rPr>
        <w:t>活和工作环境，从根本上消除发生伤害的隐患。</w:t>
      </w:r>
    </w:p>
    <w:p w14:paraId="2BDF9B7B">
      <w:pPr>
        <w:pStyle w:val="2"/>
        <w:spacing w:line="223" w:lineRule="auto"/>
        <w:ind w:left="9130"/>
        <w:rPr>
          <w:sz w:val="25"/>
          <w:szCs w:val="25"/>
        </w:rPr>
      </w:pPr>
      <w:r>
        <w:rPr>
          <w:spacing w:val="14"/>
          <w:sz w:val="25"/>
          <w:szCs w:val="25"/>
        </w:rPr>
        <w:t>(苏虹)</w:t>
      </w:r>
    </w:p>
    <w:p w14:paraId="56124453">
      <w:pPr>
        <w:spacing w:line="255" w:lineRule="auto"/>
        <w:rPr>
          <w:rFonts w:ascii="Arial"/>
          <w:sz w:val="21"/>
        </w:rPr>
      </w:pPr>
    </w:p>
    <w:p w14:paraId="25447624">
      <w:pPr>
        <w:spacing w:before="1" w:line="470" w:lineRule="exact"/>
        <w:ind w:firstLine="9619"/>
      </w:pPr>
      <w:r>
        <w:rPr>
          <w:position w:val="-9"/>
        </w:rPr>
        <w:drawing>
          <wp:inline distT="0" distB="0" distL="0" distR="0">
            <wp:extent cx="279400" cy="297815"/>
            <wp:effectExtent l="0" t="0" r="0" b="0"/>
            <wp:docPr id="714" name="IM 714"/>
            <wp:cNvGraphicFramePr/>
            <a:graphic xmlns:a="http://schemas.openxmlformats.org/drawingml/2006/main">
              <a:graphicData uri="http://schemas.openxmlformats.org/drawingml/2006/picture">
                <pic:pic xmlns:pic="http://schemas.openxmlformats.org/drawingml/2006/picture">
                  <pic:nvPicPr>
                    <pic:cNvPr id="714" name="IM 714"/>
                    <pic:cNvPicPr/>
                  </pic:nvPicPr>
                  <pic:blipFill>
                    <a:blip r:embed="rId662"/>
                    <a:stretch>
                      <a:fillRect/>
                    </a:stretch>
                  </pic:blipFill>
                  <pic:spPr>
                    <a:xfrm>
                      <a:off x="0" y="0"/>
                      <a:ext cx="279439" cy="298418"/>
                    </a:xfrm>
                    <a:prstGeom prst="rect">
                      <a:avLst/>
                    </a:prstGeom>
                  </pic:spPr>
                </pic:pic>
              </a:graphicData>
            </a:graphic>
          </wp:inline>
        </w:drawing>
      </w:r>
    </w:p>
    <w:p w14:paraId="1A698087">
      <w:pPr>
        <w:pStyle w:val="2"/>
        <w:spacing w:before="107" w:line="222" w:lineRule="auto"/>
        <w:ind w:left="1233"/>
        <w:rPr>
          <w:sz w:val="25"/>
          <w:szCs w:val="25"/>
        </w:rPr>
      </w:pPr>
      <w:r>
        <w:rPr>
          <w:b/>
          <w:bCs/>
          <w:spacing w:val="5"/>
          <w:sz w:val="25"/>
          <w:szCs w:val="25"/>
        </w:rPr>
        <w:t>思考题</w:t>
      </w:r>
    </w:p>
    <w:p w14:paraId="7694507B">
      <w:pPr>
        <w:spacing w:before="100" w:line="219" w:lineRule="auto"/>
        <w:ind w:left="2070"/>
        <w:rPr>
          <w:rFonts w:ascii="宋体" w:hAnsi="宋体" w:eastAsia="宋体" w:cs="宋体"/>
          <w:sz w:val="21"/>
          <w:szCs w:val="21"/>
        </w:rPr>
      </w:pPr>
      <w:r>
        <w:rPr>
          <w:rFonts w:ascii="宋体" w:hAnsi="宋体" w:eastAsia="宋体" w:cs="宋体"/>
          <w:spacing w:val="3"/>
          <w:sz w:val="21"/>
          <w:szCs w:val="21"/>
        </w:rPr>
        <w:t>1.</w:t>
      </w:r>
      <w:r>
        <w:rPr>
          <w:rFonts w:ascii="宋体" w:hAnsi="宋体" w:eastAsia="宋体" w:cs="宋体"/>
          <w:spacing w:val="-38"/>
          <w:sz w:val="21"/>
          <w:szCs w:val="21"/>
        </w:rPr>
        <w:t xml:space="preserve"> </w:t>
      </w:r>
      <w:r>
        <w:rPr>
          <w:rFonts w:ascii="宋体" w:hAnsi="宋体" w:eastAsia="宋体" w:cs="宋体"/>
          <w:spacing w:val="3"/>
          <w:sz w:val="21"/>
          <w:szCs w:val="21"/>
        </w:rPr>
        <w:t>伤害流行病学的主要研究目的有哪些?</w:t>
      </w:r>
    </w:p>
    <w:p w14:paraId="24030EF7">
      <w:pPr>
        <w:spacing w:before="111" w:line="219" w:lineRule="auto"/>
        <w:ind w:left="2070"/>
        <w:rPr>
          <w:rFonts w:ascii="宋体" w:hAnsi="宋体" w:eastAsia="宋体" w:cs="宋体"/>
          <w:sz w:val="21"/>
          <w:szCs w:val="21"/>
        </w:rPr>
      </w:pPr>
      <w:r>
        <w:rPr>
          <w:rFonts w:ascii="宋体" w:hAnsi="宋体" w:eastAsia="宋体" w:cs="宋体"/>
          <w:spacing w:val="-1"/>
          <w:sz w:val="21"/>
          <w:szCs w:val="21"/>
        </w:rPr>
        <w:t>2.</w:t>
      </w:r>
      <w:r>
        <w:rPr>
          <w:rFonts w:ascii="宋体" w:hAnsi="宋体" w:eastAsia="宋体" w:cs="宋体"/>
          <w:spacing w:val="-33"/>
          <w:sz w:val="21"/>
          <w:szCs w:val="21"/>
        </w:rPr>
        <w:t xml:space="preserve"> </w:t>
      </w:r>
      <w:r>
        <w:rPr>
          <w:rFonts w:ascii="宋体" w:hAnsi="宋体" w:eastAsia="宋体" w:cs="宋体"/>
          <w:spacing w:val="-1"/>
          <w:sz w:val="21"/>
          <w:szCs w:val="21"/>
        </w:rPr>
        <w:t>请举例说明，何谓伤害预防策略中的主动干预与被动干预。</w:t>
      </w:r>
    </w:p>
    <w:p w14:paraId="3620D8CD">
      <w:pPr>
        <w:spacing w:before="130" w:line="218" w:lineRule="auto"/>
        <w:ind w:left="2070"/>
        <w:rPr>
          <w:rFonts w:ascii="宋体" w:hAnsi="宋体" w:eastAsia="宋体" w:cs="宋体"/>
          <w:sz w:val="21"/>
          <w:szCs w:val="21"/>
        </w:rPr>
      </w:pPr>
      <w:r>
        <w:rPr>
          <w:rFonts w:ascii="宋体" w:hAnsi="宋体" w:eastAsia="宋体" w:cs="宋体"/>
          <w:spacing w:val="-1"/>
          <w:sz w:val="21"/>
          <w:szCs w:val="21"/>
        </w:rPr>
        <w:t>3.</w:t>
      </w:r>
      <w:r>
        <w:rPr>
          <w:rFonts w:ascii="宋体" w:hAnsi="宋体" w:eastAsia="宋体" w:cs="宋体"/>
          <w:spacing w:val="-52"/>
          <w:sz w:val="21"/>
          <w:szCs w:val="21"/>
        </w:rPr>
        <w:t xml:space="preserve"> </w:t>
      </w:r>
      <w:r>
        <w:rPr>
          <w:rFonts w:ascii="宋体" w:hAnsi="宋体" w:eastAsia="宋体" w:cs="宋体"/>
          <w:spacing w:val="-1"/>
          <w:sz w:val="21"/>
          <w:szCs w:val="21"/>
        </w:rPr>
        <w:t>请举例说明，如何理解伤害发生率、伤害死亡率以及伤</w:t>
      </w:r>
      <w:r>
        <w:rPr>
          <w:rFonts w:ascii="宋体" w:hAnsi="宋体" w:eastAsia="宋体" w:cs="宋体"/>
          <w:spacing w:val="-2"/>
          <w:sz w:val="21"/>
          <w:szCs w:val="21"/>
        </w:rPr>
        <w:t>残调整寿命年的应用价值。</w:t>
      </w:r>
    </w:p>
    <w:p w14:paraId="494F1517">
      <w:pPr>
        <w:spacing w:line="218" w:lineRule="auto"/>
        <w:rPr>
          <w:rFonts w:ascii="宋体" w:hAnsi="宋体" w:eastAsia="宋体" w:cs="宋体"/>
          <w:sz w:val="21"/>
          <w:szCs w:val="21"/>
        </w:rPr>
        <w:sectPr>
          <w:footerReference r:id="rId265" w:type="default"/>
          <w:pgSz w:w="11900" w:h="16820"/>
          <w:pgMar w:top="400" w:right="1269" w:bottom="796" w:left="570" w:header="0" w:footer="606" w:gutter="0"/>
          <w:cols w:space="720" w:num="1"/>
        </w:sectPr>
      </w:pPr>
    </w:p>
    <w:p w14:paraId="2B456155">
      <w:pPr>
        <w:spacing w:line="302" w:lineRule="auto"/>
        <w:rPr>
          <w:rFonts w:ascii="Arial"/>
          <w:sz w:val="21"/>
        </w:rPr>
      </w:pPr>
    </w:p>
    <w:p w14:paraId="3083A1A7">
      <w:pPr>
        <w:spacing w:line="302" w:lineRule="auto"/>
        <w:rPr>
          <w:rFonts w:ascii="Arial"/>
          <w:sz w:val="21"/>
        </w:rPr>
      </w:pPr>
    </w:p>
    <w:p w14:paraId="1B2B8A0A">
      <w:pPr>
        <w:spacing w:line="302" w:lineRule="auto"/>
        <w:rPr>
          <w:rFonts w:ascii="Arial"/>
          <w:sz w:val="21"/>
        </w:rPr>
      </w:pPr>
    </w:p>
    <w:p w14:paraId="0398E649">
      <w:pPr>
        <w:pStyle w:val="2"/>
        <w:spacing w:before="94" w:line="222" w:lineRule="auto"/>
        <w:ind w:left="3944"/>
        <w:outlineLvl w:val="0"/>
        <w:rPr>
          <w:sz w:val="29"/>
          <w:szCs w:val="29"/>
        </w:rPr>
      </w:pPr>
      <w:r>
        <w:drawing>
          <wp:anchor distT="0" distB="0" distL="0" distR="0" simplePos="0" relativeHeight="251912192" behindDoc="0" locked="0" layoutInCell="1" allowOverlap="1">
            <wp:simplePos x="0" y="0"/>
            <wp:positionH relativeFrom="column">
              <wp:posOffset>5136515</wp:posOffset>
            </wp:positionH>
            <wp:positionV relativeFrom="paragraph">
              <wp:posOffset>74295</wp:posOffset>
            </wp:positionV>
            <wp:extent cx="571500" cy="590550"/>
            <wp:effectExtent l="0" t="0" r="0" b="0"/>
            <wp:wrapNone/>
            <wp:docPr id="716" name="IM 716"/>
            <wp:cNvGraphicFramePr/>
            <a:graphic xmlns:a="http://schemas.openxmlformats.org/drawingml/2006/main">
              <a:graphicData uri="http://schemas.openxmlformats.org/drawingml/2006/picture">
                <pic:pic xmlns:pic="http://schemas.openxmlformats.org/drawingml/2006/picture">
                  <pic:nvPicPr>
                    <pic:cNvPr id="716" name="IM 716"/>
                    <pic:cNvPicPr/>
                  </pic:nvPicPr>
                  <pic:blipFill>
                    <a:blip r:embed="rId663"/>
                    <a:stretch>
                      <a:fillRect/>
                    </a:stretch>
                  </pic:blipFill>
                  <pic:spPr>
                    <a:xfrm>
                      <a:off x="0" y="0"/>
                      <a:ext cx="571498" cy="590536"/>
                    </a:xfrm>
                    <a:prstGeom prst="rect">
                      <a:avLst/>
                    </a:prstGeom>
                  </pic:spPr>
                </pic:pic>
              </a:graphicData>
            </a:graphic>
          </wp:anchor>
        </w:drawing>
      </w:r>
      <w:bookmarkStart w:id="411" w:name="bookmark259"/>
      <w:bookmarkEnd w:id="411"/>
      <w:r>
        <w:rPr>
          <w:b/>
          <w:bCs/>
          <w:spacing w:val="-6"/>
          <w:sz w:val="29"/>
          <w:szCs w:val="29"/>
        </w:rPr>
        <w:t>第十六章</w:t>
      </w:r>
    </w:p>
    <w:p w14:paraId="532A0E13">
      <w:pPr>
        <w:pStyle w:val="2"/>
        <w:spacing w:before="113" w:line="221" w:lineRule="auto"/>
        <w:ind w:left="1806"/>
        <w:outlineLvl w:val="0"/>
        <w:rPr>
          <w:sz w:val="45"/>
          <w:szCs w:val="45"/>
        </w:rPr>
      </w:pPr>
      <w:bookmarkStart w:id="412" w:name="bookmark259"/>
      <w:bookmarkEnd w:id="412"/>
      <w:bookmarkStart w:id="413" w:name="bookmark542"/>
      <w:bookmarkEnd w:id="413"/>
      <w:r>
        <w:rPr>
          <w:b/>
          <w:bCs/>
          <w:spacing w:val="-4"/>
          <w:sz w:val="45"/>
          <w:szCs w:val="45"/>
        </w:rPr>
        <w:t>突发公共卫生事件流行病学</w:t>
      </w:r>
    </w:p>
    <w:p w14:paraId="4946523F">
      <w:pPr>
        <w:spacing w:line="263" w:lineRule="auto"/>
        <w:rPr>
          <w:rFonts w:ascii="Arial"/>
          <w:sz w:val="21"/>
        </w:rPr>
      </w:pPr>
    </w:p>
    <w:p w14:paraId="4DFAF3DB">
      <w:pPr>
        <w:spacing w:line="263" w:lineRule="auto"/>
        <w:rPr>
          <w:rFonts w:ascii="Arial"/>
          <w:sz w:val="21"/>
        </w:rPr>
      </w:pPr>
    </w:p>
    <w:p w14:paraId="24F9594E">
      <w:pPr>
        <w:spacing w:line="264" w:lineRule="auto"/>
        <w:rPr>
          <w:rFonts w:ascii="Arial"/>
          <w:sz w:val="21"/>
        </w:rPr>
      </w:pPr>
    </w:p>
    <w:p w14:paraId="7ADF4072">
      <w:pPr>
        <w:spacing w:before="83" w:line="198" w:lineRule="auto"/>
        <w:ind w:left="890"/>
        <w:rPr>
          <w:rFonts w:ascii="Arial" w:hAnsi="Arial" w:eastAsia="Arial" w:cs="Arial"/>
          <w:sz w:val="29"/>
          <w:szCs w:val="29"/>
        </w:rPr>
      </w:pPr>
      <w:r>
        <w:rPr>
          <w:rFonts w:ascii="Arial" w:hAnsi="Arial" w:eastAsia="Arial" w:cs="Arial"/>
          <w:b/>
          <w:bCs/>
          <w:spacing w:val="-5"/>
          <w:sz w:val="29"/>
          <w:szCs w:val="29"/>
        </w:rPr>
        <w:t>Chapter</w:t>
      </w:r>
      <w:r>
        <w:rPr>
          <w:rFonts w:ascii="Arial" w:hAnsi="Arial" w:eastAsia="Arial" w:cs="Arial"/>
          <w:b/>
          <w:bCs/>
          <w:spacing w:val="17"/>
          <w:sz w:val="29"/>
          <w:szCs w:val="29"/>
        </w:rPr>
        <w:t xml:space="preserve"> </w:t>
      </w:r>
      <w:r>
        <w:rPr>
          <w:rFonts w:ascii="Arial" w:hAnsi="Arial" w:eastAsia="Arial" w:cs="Arial"/>
          <w:b/>
          <w:bCs/>
          <w:spacing w:val="-5"/>
          <w:sz w:val="29"/>
          <w:szCs w:val="29"/>
        </w:rPr>
        <w:t>16</w:t>
      </w:r>
      <w:r>
        <w:rPr>
          <w:rFonts w:ascii="Arial" w:hAnsi="Arial" w:eastAsia="Arial" w:cs="Arial"/>
          <w:b/>
          <w:bCs/>
          <w:spacing w:val="19"/>
          <w:sz w:val="29"/>
          <w:szCs w:val="29"/>
        </w:rPr>
        <w:t xml:space="preserve"> </w:t>
      </w:r>
      <w:r>
        <w:rPr>
          <w:rFonts w:ascii="Arial" w:hAnsi="Arial" w:eastAsia="Arial" w:cs="Arial"/>
          <w:b/>
          <w:bCs/>
          <w:spacing w:val="-5"/>
          <w:sz w:val="29"/>
          <w:szCs w:val="29"/>
        </w:rPr>
        <w:t>Epidemiology of Public</w:t>
      </w:r>
      <w:r>
        <w:rPr>
          <w:rFonts w:ascii="Arial" w:hAnsi="Arial" w:eastAsia="Arial" w:cs="Arial"/>
          <w:b/>
          <w:bCs/>
          <w:spacing w:val="19"/>
          <w:sz w:val="29"/>
          <w:szCs w:val="29"/>
        </w:rPr>
        <w:t xml:space="preserve"> </w:t>
      </w:r>
      <w:r>
        <w:rPr>
          <w:rFonts w:ascii="Arial" w:hAnsi="Arial" w:eastAsia="Arial" w:cs="Arial"/>
          <w:b/>
          <w:bCs/>
          <w:spacing w:val="-5"/>
          <w:sz w:val="29"/>
          <w:szCs w:val="29"/>
        </w:rPr>
        <w:t>Hea</w:t>
      </w:r>
      <w:r>
        <w:rPr>
          <w:rFonts w:ascii="Arial" w:hAnsi="Arial" w:eastAsia="Arial" w:cs="Arial"/>
          <w:b/>
          <w:bCs/>
          <w:spacing w:val="-6"/>
          <w:sz w:val="29"/>
          <w:szCs w:val="29"/>
        </w:rPr>
        <w:t>lth</w:t>
      </w:r>
      <w:r>
        <w:rPr>
          <w:rFonts w:ascii="Arial" w:hAnsi="Arial" w:eastAsia="Arial" w:cs="Arial"/>
          <w:b/>
          <w:bCs/>
          <w:spacing w:val="19"/>
          <w:sz w:val="29"/>
          <w:szCs w:val="29"/>
        </w:rPr>
        <w:t xml:space="preserve"> </w:t>
      </w:r>
      <w:r>
        <w:rPr>
          <w:rFonts w:ascii="Arial" w:hAnsi="Arial" w:eastAsia="Arial" w:cs="Arial"/>
          <w:b/>
          <w:bCs/>
          <w:spacing w:val="-6"/>
          <w:sz w:val="29"/>
          <w:szCs w:val="29"/>
        </w:rPr>
        <w:t>Emergency</w:t>
      </w:r>
    </w:p>
    <w:p w14:paraId="01CB1097">
      <w:pPr>
        <w:spacing w:line="416" w:lineRule="auto"/>
        <w:rPr>
          <w:rFonts w:ascii="Arial"/>
          <w:sz w:val="21"/>
        </w:rPr>
      </w:pPr>
    </w:p>
    <w:p w14:paraId="4275F20B">
      <w:pPr>
        <w:spacing w:before="58" w:line="371" w:lineRule="auto"/>
        <w:ind w:right="631" w:firstLine="419"/>
        <w:jc w:val="both"/>
        <w:rPr>
          <w:rFonts w:ascii="Times New Roman" w:hAnsi="Times New Roman" w:eastAsia="Times New Roman" w:cs="Times New Roman"/>
          <w:sz w:val="20"/>
          <w:szCs w:val="20"/>
        </w:rPr>
      </w:pPr>
      <w:r>
        <w:rPr>
          <w:rFonts w:ascii="Times New Roman" w:hAnsi="Times New Roman" w:eastAsia="Times New Roman" w:cs="Times New Roman"/>
          <w:sz w:val="20"/>
          <w:szCs w:val="20"/>
        </w:rPr>
        <w:t>Since  2000,public  health  emergencies</w:t>
      </w:r>
      <w:r>
        <w:rPr>
          <w:rFonts w:ascii="Times New Roman" w:hAnsi="Times New Roman" w:eastAsia="Times New Roman" w:cs="Times New Roman"/>
          <w:spacing w:val="6"/>
          <w:sz w:val="20"/>
          <w:szCs w:val="20"/>
        </w:rPr>
        <w:t xml:space="preserve">  </w:t>
      </w:r>
      <w:r>
        <w:rPr>
          <w:rFonts w:ascii="Times New Roman" w:hAnsi="Times New Roman" w:eastAsia="Times New Roman" w:cs="Times New Roman"/>
          <w:sz w:val="20"/>
          <w:szCs w:val="20"/>
        </w:rPr>
        <w:t>have</w:t>
      </w:r>
      <w:r>
        <w:rPr>
          <w:rFonts w:ascii="Times New Roman" w:hAnsi="Times New Roman" w:eastAsia="Times New Roman" w:cs="Times New Roman"/>
          <w:spacing w:val="5"/>
          <w:sz w:val="20"/>
          <w:szCs w:val="20"/>
        </w:rPr>
        <w:t xml:space="preserve">  </w:t>
      </w:r>
      <w:r>
        <w:rPr>
          <w:rFonts w:ascii="Times New Roman" w:hAnsi="Times New Roman" w:eastAsia="Times New Roman" w:cs="Times New Roman"/>
          <w:sz w:val="20"/>
          <w:szCs w:val="20"/>
        </w:rPr>
        <w:t>become</w:t>
      </w:r>
      <w:r>
        <w:rPr>
          <w:rFonts w:ascii="Times New Roman" w:hAnsi="Times New Roman" w:eastAsia="Times New Roman" w:cs="Times New Roman"/>
          <w:spacing w:val="10"/>
          <w:sz w:val="20"/>
          <w:szCs w:val="20"/>
        </w:rPr>
        <w:t xml:space="preserve">  </w:t>
      </w:r>
      <w:r>
        <w:rPr>
          <w:rFonts w:ascii="Times New Roman" w:hAnsi="Times New Roman" w:eastAsia="Times New Roman" w:cs="Times New Roman"/>
          <w:sz w:val="20"/>
          <w:szCs w:val="20"/>
        </w:rPr>
        <w:t>a</w:t>
      </w:r>
      <w:r>
        <w:rPr>
          <w:rFonts w:ascii="Times New Roman" w:hAnsi="Times New Roman" w:eastAsia="Times New Roman" w:cs="Times New Roman"/>
          <w:spacing w:val="5"/>
          <w:sz w:val="20"/>
          <w:szCs w:val="20"/>
        </w:rPr>
        <w:t xml:space="preserve">  </w:t>
      </w:r>
      <w:r>
        <w:rPr>
          <w:rFonts w:ascii="Times New Roman" w:hAnsi="Times New Roman" w:eastAsia="Times New Roman" w:cs="Times New Roman"/>
          <w:sz w:val="20"/>
          <w:szCs w:val="20"/>
        </w:rPr>
        <w:t>big</w:t>
      </w:r>
      <w:r>
        <w:rPr>
          <w:rFonts w:ascii="Times New Roman" w:hAnsi="Times New Roman" w:eastAsia="Times New Roman" w:cs="Times New Roman"/>
          <w:spacing w:val="9"/>
          <w:sz w:val="20"/>
          <w:szCs w:val="20"/>
        </w:rPr>
        <w:t xml:space="preserve">  </w:t>
      </w:r>
      <w:r>
        <w:rPr>
          <w:rFonts w:ascii="Times New Roman" w:hAnsi="Times New Roman" w:eastAsia="Times New Roman" w:cs="Times New Roman"/>
          <w:sz w:val="20"/>
          <w:szCs w:val="20"/>
        </w:rPr>
        <w:t>challenge</w:t>
      </w:r>
      <w:r>
        <w:rPr>
          <w:rFonts w:ascii="Times New Roman" w:hAnsi="Times New Roman" w:eastAsia="Times New Roman" w:cs="Times New Roman"/>
          <w:spacing w:val="10"/>
          <w:sz w:val="20"/>
          <w:szCs w:val="20"/>
        </w:rPr>
        <w:t xml:space="preserve">  </w:t>
      </w:r>
      <w:r>
        <w:rPr>
          <w:rFonts w:ascii="Times New Roman" w:hAnsi="Times New Roman" w:eastAsia="Times New Roman" w:cs="Times New Roman"/>
          <w:sz w:val="20"/>
          <w:szCs w:val="20"/>
        </w:rPr>
        <w:t>for</w:t>
      </w:r>
      <w:r>
        <w:rPr>
          <w:rFonts w:ascii="Times New Roman" w:hAnsi="Times New Roman" w:eastAsia="Times New Roman" w:cs="Times New Roman"/>
          <w:spacing w:val="5"/>
          <w:sz w:val="20"/>
          <w:szCs w:val="20"/>
        </w:rPr>
        <w:t xml:space="preserve">  </w:t>
      </w:r>
      <w:r>
        <w:rPr>
          <w:rFonts w:ascii="Times New Roman" w:hAnsi="Times New Roman" w:eastAsia="Times New Roman" w:cs="Times New Roman"/>
          <w:sz w:val="20"/>
          <w:szCs w:val="20"/>
        </w:rPr>
        <w:t>hu</w:t>
      </w:r>
      <w:r>
        <w:rPr>
          <w:rFonts w:ascii="Times New Roman" w:hAnsi="Times New Roman" w:eastAsia="Times New Roman" w:cs="Times New Roman"/>
          <w:spacing w:val="-1"/>
          <w:sz w:val="20"/>
          <w:szCs w:val="20"/>
        </w:rPr>
        <w:t>man</w:t>
      </w:r>
      <w:r>
        <w:rPr>
          <w:rFonts w:ascii="Times New Roman" w:hAnsi="Times New Roman" w:eastAsia="Times New Roman" w:cs="Times New Roman"/>
          <w:spacing w:val="6"/>
          <w:sz w:val="20"/>
          <w:szCs w:val="20"/>
        </w:rPr>
        <w:t xml:space="preserve">  </w:t>
      </w:r>
      <w:r>
        <w:rPr>
          <w:rFonts w:ascii="Times New Roman" w:hAnsi="Times New Roman" w:eastAsia="Times New Roman" w:cs="Times New Roman"/>
          <w:spacing w:val="-1"/>
          <w:sz w:val="20"/>
          <w:szCs w:val="20"/>
        </w:rPr>
        <w:t>beings,such</w:t>
      </w:r>
      <w:r>
        <w:rPr>
          <w:rFonts w:ascii="Times New Roman" w:hAnsi="Times New Roman" w:eastAsia="Times New Roman" w:cs="Times New Roman"/>
          <w:spacing w:val="9"/>
          <w:sz w:val="20"/>
          <w:szCs w:val="20"/>
        </w:rPr>
        <w:t xml:space="preserve">  </w:t>
      </w:r>
      <w:r>
        <w:rPr>
          <w:rFonts w:ascii="Times New Roman" w:hAnsi="Times New Roman" w:eastAsia="Times New Roman" w:cs="Times New Roman"/>
          <w:spacing w:val="-1"/>
          <w:sz w:val="20"/>
          <w:szCs w:val="20"/>
        </w:rPr>
        <w:t>as</w:t>
      </w:r>
      <w:r>
        <w:rPr>
          <w:rFonts w:ascii="Times New Roman" w:hAnsi="Times New Roman" w:eastAsia="Times New Roman" w:cs="Times New Roman"/>
          <w:spacing w:val="6"/>
          <w:sz w:val="20"/>
          <w:szCs w:val="20"/>
        </w:rPr>
        <w:t xml:space="preserve">  </w:t>
      </w:r>
      <w:r>
        <w:rPr>
          <w:rFonts w:ascii="Times New Roman" w:hAnsi="Times New Roman" w:eastAsia="Times New Roman" w:cs="Times New Roman"/>
          <w:spacing w:val="-1"/>
          <w:sz w:val="20"/>
          <w:szCs w:val="20"/>
        </w:rPr>
        <w:t>the</w:t>
      </w:r>
      <w:r>
        <w:rPr>
          <w:rFonts w:ascii="Times New Roman" w:hAnsi="Times New Roman" w:eastAsia="Times New Roman" w:cs="Times New Roman"/>
          <w:spacing w:val="1"/>
          <w:sz w:val="20"/>
          <w:szCs w:val="20"/>
        </w:rPr>
        <w:t xml:space="preserve"> </w:t>
      </w:r>
      <w:r>
        <w:rPr>
          <w:rFonts w:ascii="Times New Roman" w:hAnsi="Times New Roman" w:eastAsia="Times New Roman" w:cs="Times New Roman"/>
          <w:sz w:val="20"/>
          <w:szCs w:val="20"/>
        </w:rPr>
        <w:t>outbreak  of</w:t>
      </w:r>
      <w:r>
        <w:rPr>
          <w:rFonts w:ascii="Times New Roman" w:hAnsi="Times New Roman" w:eastAsia="Times New Roman" w:cs="Times New Roman"/>
          <w:spacing w:val="39"/>
          <w:sz w:val="20"/>
          <w:szCs w:val="20"/>
        </w:rPr>
        <w:t xml:space="preserve"> </w:t>
      </w:r>
      <w:r>
        <w:rPr>
          <w:rFonts w:ascii="Times New Roman" w:hAnsi="Times New Roman" w:eastAsia="Times New Roman" w:cs="Times New Roman"/>
          <w:sz w:val="20"/>
          <w:szCs w:val="20"/>
        </w:rPr>
        <w:t>SARS  in  2003,H1N1  in  2009,Zika  in  2016,and  monkeypox  in</w:t>
      </w:r>
      <w:r>
        <w:rPr>
          <w:rFonts w:ascii="Times New Roman" w:hAnsi="Times New Roman" w:eastAsia="Times New Roman" w:cs="Times New Roman"/>
          <w:spacing w:val="-1"/>
          <w:sz w:val="20"/>
          <w:szCs w:val="20"/>
        </w:rPr>
        <w:t xml:space="preserve">  2022.The  first  section  of</w:t>
      </w:r>
      <w:r>
        <w:rPr>
          <w:rFonts w:ascii="Times New Roman" w:hAnsi="Times New Roman" w:eastAsia="Times New Roman" w:cs="Times New Roman"/>
          <w:spacing w:val="28"/>
          <w:sz w:val="20"/>
          <w:szCs w:val="20"/>
        </w:rPr>
        <w:t xml:space="preserve"> </w:t>
      </w:r>
      <w:r>
        <w:rPr>
          <w:rFonts w:ascii="Times New Roman" w:hAnsi="Times New Roman" w:eastAsia="Times New Roman" w:cs="Times New Roman"/>
          <w:spacing w:val="-1"/>
          <w:sz w:val="20"/>
          <w:szCs w:val="20"/>
        </w:rPr>
        <w:t>this</w:t>
      </w:r>
      <w:r>
        <w:rPr>
          <w:rFonts w:ascii="Times New Roman" w:hAnsi="Times New Roman" w:eastAsia="Times New Roman" w:cs="Times New Roman"/>
          <w:sz w:val="20"/>
          <w:szCs w:val="20"/>
        </w:rPr>
        <w:t xml:space="preserve"> chapter   introduces</w:t>
      </w:r>
      <w:r>
        <w:rPr>
          <w:rFonts w:ascii="Times New Roman" w:hAnsi="Times New Roman" w:eastAsia="Times New Roman" w:cs="Times New Roman"/>
          <w:spacing w:val="24"/>
          <w:w w:val="101"/>
          <w:sz w:val="20"/>
          <w:szCs w:val="20"/>
        </w:rPr>
        <w:t xml:space="preserve">  </w:t>
      </w:r>
      <w:r>
        <w:rPr>
          <w:rFonts w:ascii="Times New Roman" w:hAnsi="Times New Roman" w:eastAsia="Times New Roman" w:cs="Times New Roman"/>
          <w:sz w:val="20"/>
          <w:szCs w:val="20"/>
        </w:rPr>
        <w:t>the   concept,characteristics,categories,stages,and   grades   of  public   health   emergency. Public</w:t>
      </w:r>
      <w:r>
        <w:rPr>
          <w:rFonts w:ascii="Times New Roman" w:hAnsi="Times New Roman" w:eastAsia="Times New Roman" w:cs="Times New Roman"/>
          <w:spacing w:val="15"/>
          <w:sz w:val="20"/>
          <w:szCs w:val="20"/>
        </w:rPr>
        <w:t xml:space="preserve">  </w:t>
      </w:r>
      <w:r>
        <w:rPr>
          <w:rFonts w:ascii="Times New Roman" w:hAnsi="Times New Roman" w:eastAsia="Times New Roman" w:cs="Times New Roman"/>
          <w:sz w:val="20"/>
          <w:szCs w:val="20"/>
        </w:rPr>
        <w:t>health</w:t>
      </w:r>
      <w:r>
        <w:rPr>
          <w:rFonts w:ascii="Times New Roman" w:hAnsi="Times New Roman" w:eastAsia="Times New Roman" w:cs="Times New Roman"/>
          <w:spacing w:val="17"/>
          <w:w w:val="101"/>
          <w:sz w:val="20"/>
          <w:szCs w:val="20"/>
        </w:rPr>
        <w:t xml:space="preserve">  </w:t>
      </w:r>
      <w:r>
        <w:rPr>
          <w:rFonts w:ascii="Times New Roman" w:hAnsi="Times New Roman" w:eastAsia="Times New Roman" w:cs="Times New Roman"/>
          <w:sz w:val="20"/>
          <w:szCs w:val="20"/>
        </w:rPr>
        <w:t>emergency</w:t>
      </w:r>
      <w:r>
        <w:rPr>
          <w:rFonts w:ascii="Times New Roman" w:hAnsi="Times New Roman" w:eastAsia="Times New Roman" w:cs="Times New Roman"/>
          <w:spacing w:val="17"/>
          <w:w w:val="101"/>
          <w:sz w:val="20"/>
          <w:szCs w:val="20"/>
        </w:rPr>
        <w:t xml:space="preserve">  </w:t>
      </w:r>
      <w:r>
        <w:rPr>
          <w:rFonts w:ascii="Times New Roman" w:hAnsi="Times New Roman" w:eastAsia="Times New Roman" w:cs="Times New Roman"/>
          <w:sz w:val="20"/>
          <w:szCs w:val="20"/>
        </w:rPr>
        <w:t>can</w:t>
      </w:r>
      <w:r>
        <w:rPr>
          <w:rFonts w:ascii="Times New Roman" w:hAnsi="Times New Roman" w:eastAsia="Times New Roman" w:cs="Times New Roman"/>
          <w:spacing w:val="13"/>
          <w:w w:val="101"/>
          <w:sz w:val="20"/>
          <w:szCs w:val="20"/>
        </w:rPr>
        <w:t xml:space="preserve">  </w:t>
      </w:r>
      <w:r>
        <w:rPr>
          <w:rFonts w:ascii="Times New Roman" w:hAnsi="Times New Roman" w:eastAsia="Times New Roman" w:cs="Times New Roman"/>
          <w:sz w:val="20"/>
          <w:szCs w:val="20"/>
        </w:rPr>
        <w:t>be</w:t>
      </w:r>
      <w:r>
        <w:rPr>
          <w:rFonts w:ascii="Times New Roman" w:hAnsi="Times New Roman" w:eastAsia="Times New Roman" w:cs="Times New Roman"/>
          <w:spacing w:val="17"/>
          <w:w w:val="101"/>
          <w:sz w:val="20"/>
          <w:szCs w:val="20"/>
        </w:rPr>
        <w:t xml:space="preserve">  </w:t>
      </w:r>
      <w:r>
        <w:rPr>
          <w:rFonts w:ascii="Times New Roman" w:hAnsi="Times New Roman" w:eastAsia="Times New Roman" w:cs="Times New Roman"/>
          <w:sz w:val="20"/>
          <w:szCs w:val="20"/>
        </w:rPr>
        <w:t>divided</w:t>
      </w:r>
      <w:r>
        <w:rPr>
          <w:rFonts w:ascii="Times New Roman" w:hAnsi="Times New Roman" w:eastAsia="Times New Roman" w:cs="Times New Roman"/>
          <w:spacing w:val="13"/>
          <w:w w:val="101"/>
          <w:sz w:val="20"/>
          <w:szCs w:val="20"/>
        </w:rPr>
        <w:t xml:space="preserve">  </w:t>
      </w:r>
      <w:r>
        <w:rPr>
          <w:rFonts w:ascii="Times New Roman" w:hAnsi="Times New Roman" w:eastAsia="Times New Roman" w:cs="Times New Roman"/>
          <w:sz w:val="20"/>
          <w:szCs w:val="20"/>
        </w:rPr>
        <w:t>broadly</w:t>
      </w:r>
      <w:r>
        <w:rPr>
          <w:rFonts w:ascii="Times New Roman" w:hAnsi="Times New Roman" w:eastAsia="Times New Roman" w:cs="Times New Roman"/>
          <w:spacing w:val="17"/>
          <w:sz w:val="20"/>
          <w:szCs w:val="20"/>
        </w:rPr>
        <w:t xml:space="preserve">  </w:t>
      </w:r>
      <w:r>
        <w:rPr>
          <w:rFonts w:ascii="Times New Roman" w:hAnsi="Times New Roman" w:eastAsia="Times New Roman" w:cs="Times New Roman"/>
          <w:sz w:val="20"/>
          <w:szCs w:val="20"/>
        </w:rPr>
        <w:t>into</w:t>
      </w:r>
      <w:r>
        <w:rPr>
          <w:rFonts w:ascii="Times New Roman" w:hAnsi="Times New Roman" w:eastAsia="Times New Roman" w:cs="Times New Roman"/>
          <w:spacing w:val="18"/>
          <w:sz w:val="20"/>
          <w:szCs w:val="20"/>
        </w:rPr>
        <w:t xml:space="preserve">  </w:t>
      </w:r>
      <w:r>
        <w:rPr>
          <w:rFonts w:ascii="Times New Roman" w:hAnsi="Times New Roman" w:eastAsia="Times New Roman" w:cs="Times New Roman"/>
          <w:sz w:val="20"/>
          <w:szCs w:val="20"/>
        </w:rPr>
        <w:t>four</w:t>
      </w:r>
      <w:r>
        <w:rPr>
          <w:rFonts w:ascii="Times New Roman" w:hAnsi="Times New Roman" w:eastAsia="Times New Roman" w:cs="Times New Roman"/>
          <w:spacing w:val="16"/>
          <w:w w:val="101"/>
          <w:sz w:val="20"/>
          <w:szCs w:val="20"/>
        </w:rPr>
        <w:t xml:space="preserve">  </w:t>
      </w:r>
      <w:r>
        <w:rPr>
          <w:rFonts w:ascii="Times New Roman" w:hAnsi="Times New Roman" w:eastAsia="Times New Roman" w:cs="Times New Roman"/>
          <w:sz w:val="20"/>
          <w:szCs w:val="20"/>
        </w:rPr>
        <w:t>categ</w:t>
      </w:r>
      <w:r>
        <w:rPr>
          <w:rFonts w:ascii="Times New Roman" w:hAnsi="Times New Roman" w:eastAsia="Times New Roman" w:cs="Times New Roman"/>
          <w:spacing w:val="-1"/>
          <w:sz w:val="20"/>
          <w:szCs w:val="20"/>
        </w:rPr>
        <w:t>ories:outbreak</w:t>
      </w:r>
      <w:r>
        <w:rPr>
          <w:rFonts w:ascii="Times New Roman" w:hAnsi="Times New Roman" w:eastAsia="Times New Roman" w:cs="Times New Roman"/>
          <w:spacing w:val="17"/>
          <w:sz w:val="20"/>
          <w:szCs w:val="20"/>
        </w:rPr>
        <w:t xml:space="preserve">  </w:t>
      </w:r>
      <w:r>
        <w:rPr>
          <w:rFonts w:ascii="Times New Roman" w:hAnsi="Times New Roman" w:eastAsia="Times New Roman" w:cs="Times New Roman"/>
          <w:spacing w:val="-1"/>
          <w:sz w:val="20"/>
          <w:szCs w:val="20"/>
        </w:rPr>
        <w:t>of  infectious</w:t>
      </w:r>
      <w:r>
        <w:rPr>
          <w:rFonts w:ascii="Times New Roman" w:hAnsi="Times New Roman" w:eastAsia="Times New Roman" w:cs="Times New Roman"/>
          <w:spacing w:val="17"/>
          <w:w w:val="101"/>
          <w:sz w:val="20"/>
          <w:szCs w:val="20"/>
        </w:rPr>
        <w:t xml:space="preserve">  </w:t>
      </w:r>
      <w:r>
        <w:rPr>
          <w:rFonts w:ascii="Times New Roman" w:hAnsi="Times New Roman" w:eastAsia="Times New Roman" w:cs="Times New Roman"/>
          <w:spacing w:val="-1"/>
          <w:sz w:val="20"/>
          <w:szCs w:val="20"/>
        </w:rPr>
        <w:t>diseases,</w:t>
      </w:r>
      <w:r>
        <w:rPr>
          <w:rFonts w:ascii="Times New Roman" w:hAnsi="Times New Roman" w:eastAsia="Times New Roman" w:cs="Times New Roman"/>
          <w:sz w:val="20"/>
          <w:szCs w:val="20"/>
        </w:rPr>
        <w:t xml:space="preserve"> unidentified</w:t>
      </w:r>
      <w:r>
        <w:rPr>
          <w:rFonts w:ascii="Times New Roman" w:hAnsi="Times New Roman" w:eastAsia="Times New Roman" w:cs="Times New Roman"/>
          <w:spacing w:val="48"/>
          <w:w w:val="101"/>
          <w:sz w:val="20"/>
          <w:szCs w:val="20"/>
        </w:rPr>
        <w:t xml:space="preserve"> </w:t>
      </w:r>
      <w:r>
        <w:rPr>
          <w:rFonts w:ascii="Times New Roman" w:hAnsi="Times New Roman" w:eastAsia="Times New Roman" w:cs="Times New Roman"/>
          <w:sz w:val="20"/>
          <w:szCs w:val="20"/>
        </w:rPr>
        <w:t xml:space="preserve">population  diseases,food  and  occupational  poisoning,and  others.The  second </w:t>
      </w:r>
      <w:r>
        <w:rPr>
          <w:rFonts w:ascii="Times New Roman" w:hAnsi="Times New Roman" w:eastAsia="Times New Roman" w:cs="Times New Roman"/>
          <w:spacing w:val="-1"/>
          <w:sz w:val="20"/>
          <w:szCs w:val="20"/>
        </w:rPr>
        <w:t xml:space="preserve"> section</w:t>
      </w:r>
      <w:r>
        <w:rPr>
          <w:rFonts w:ascii="Times New Roman" w:hAnsi="Times New Roman" w:eastAsia="Times New Roman" w:cs="Times New Roman"/>
          <w:spacing w:val="2"/>
          <w:sz w:val="20"/>
          <w:szCs w:val="20"/>
        </w:rPr>
        <w:t xml:space="preserve">  </w:t>
      </w:r>
      <w:r>
        <w:rPr>
          <w:rFonts w:ascii="Times New Roman" w:hAnsi="Times New Roman" w:eastAsia="Times New Roman" w:cs="Times New Roman"/>
          <w:spacing w:val="-1"/>
          <w:sz w:val="20"/>
          <w:szCs w:val="20"/>
        </w:rPr>
        <w:t>illustrates</w:t>
      </w:r>
      <w:r>
        <w:rPr>
          <w:rFonts w:ascii="Times New Roman" w:hAnsi="Times New Roman" w:eastAsia="Times New Roman" w:cs="Times New Roman"/>
          <w:spacing w:val="1"/>
          <w:sz w:val="20"/>
          <w:szCs w:val="20"/>
        </w:rPr>
        <w:t xml:space="preserve"> </w:t>
      </w:r>
      <w:r>
        <w:rPr>
          <w:rFonts w:ascii="Times New Roman" w:hAnsi="Times New Roman" w:eastAsia="Times New Roman" w:cs="Times New Roman"/>
          <w:sz w:val="20"/>
          <w:szCs w:val="20"/>
        </w:rPr>
        <w:t>the  application  of  epidemiological  investigation</w:t>
      </w:r>
      <w:r>
        <w:rPr>
          <w:rFonts w:ascii="Times New Roman" w:hAnsi="Times New Roman" w:eastAsia="Times New Roman" w:cs="Times New Roman"/>
          <w:spacing w:val="7"/>
          <w:sz w:val="20"/>
          <w:szCs w:val="20"/>
        </w:rPr>
        <w:t xml:space="preserve">  </w:t>
      </w:r>
      <w:r>
        <w:rPr>
          <w:rFonts w:ascii="Times New Roman" w:hAnsi="Times New Roman" w:eastAsia="Times New Roman" w:cs="Times New Roman"/>
          <w:sz w:val="20"/>
          <w:szCs w:val="20"/>
        </w:rPr>
        <w:t>in</w:t>
      </w:r>
      <w:r>
        <w:rPr>
          <w:rFonts w:ascii="Times New Roman" w:hAnsi="Times New Roman" w:eastAsia="Times New Roman" w:cs="Times New Roman"/>
          <w:spacing w:val="7"/>
          <w:sz w:val="20"/>
          <w:szCs w:val="20"/>
        </w:rPr>
        <w:t xml:space="preserve">  </w:t>
      </w:r>
      <w:r>
        <w:rPr>
          <w:rFonts w:ascii="Times New Roman" w:hAnsi="Times New Roman" w:eastAsia="Times New Roman" w:cs="Times New Roman"/>
          <w:sz w:val="20"/>
          <w:szCs w:val="20"/>
        </w:rPr>
        <w:t>disease</w:t>
      </w:r>
      <w:r>
        <w:rPr>
          <w:rFonts w:ascii="Times New Roman" w:hAnsi="Times New Roman" w:eastAsia="Times New Roman" w:cs="Times New Roman"/>
          <w:spacing w:val="7"/>
          <w:sz w:val="20"/>
          <w:szCs w:val="20"/>
        </w:rPr>
        <w:t xml:space="preserve">  </w:t>
      </w:r>
      <w:r>
        <w:rPr>
          <w:rFonts w:ascii="Times New Roman" w:hAnsi="Times New Roman" w:eastAsia="Times New Roman" w:cs="Times New Roman"/>
          <w:sz w:val="20"/>
          <w:szCs w:val="20"/>
        </w:rPr>
        <w:t>outbreaks,and</w:t>
      </w:r>
      <w:r>
        <w:rPr>
          <w:rFonts w:ascii="Times New Roman" w:hAnsi="Times New Roman" w:eastAsia="Times New Roman" w:cs="Times New Roman"/>
          <w:spacing w:val="5"/>
          <w:sz w:val="20"/>
          <w:szCs w:val="20"/>
        </w:rPr>
        <w:t xml:space="preserve">  </w:t>
      </w:r>
      <w:r>
        <w:rPr>
          <w:rFonts w:ascii="Times New Roman" w:hAnsi="Times New Roman" w:eastAsia="Times New Roman" w:cs="Times New Roman"/>
          <w:sz w:val="20"/>
          <w:szCs w:val="20"/>
        </w:rPr>
        <w:t>natural</w:t>
      </w:r>
      <w:r>
        <w:rPr>
          <w:rFonts w:ascii="Times New Roman" w:hAnsi="Times New Roman" w:eastAsia="Times New Roman" w:cs="Times New Roman"/>
          <w:spacing w:val="7"/>
          <w:sz w:val="20"/>
          <w:szCs w:val="20"/>
        </w:rPr>
        <w:t xml:space="preserve">  </w:t>
      </w:r>
      <w:r>
        <w:rPr>
          <w:rFonts w:ascii="Times New Roman" w:hAnsi="Times New Roman" w:eastAsia="Times New Roman" w:cs="Times New Roman"/>
          <w:sz w:val="20"/>
          <w:szCs w:val="20"/>
        </w:rPr>
        <w:t>or</w:t>
      </w:r>
      <w:r>
        <w:rPr>
          <w:rFonts w:ascii="Times New Roman" w:hAnsi="Times New Roman" w:eastAsia="Times New Roman" w:cs="Times New Roman"/>
          <w:spacing w:val="5"/>
          <w:sz w:val="20"/>
          <w:szCs w:val="20"/>
        </w:rPr>
        <w:t xml:space="preserve">  </w:t>
      </w:r>
      <w:r>
        <w:rPr>
          <w:rFonts w:ascii="Times New Roman" w:hAnsi="Times New Roman" w:eastAsia="Times New Roman" w:cs="Times New Roman"/>
          <w:sz w:val="20"/>
          <w:szCs w:val="20"/>
        </w:rPr>
        <w:t>man-m</w:t>
      </w:r>
      <w:r>
        <w:rPr>
          <w:rFonts w:ascii="Times New Roman" w:hAnsi="Times New Roman" w:eastAsia="Times New Roman" w:cs="Times New Roman"/>
          <w:spacing w:val="-1"/>
          <w:sz w:val="20"/>
          <w:szCs w:val="20"/>
        </w:rPr>
        <w:t>ade</w:t>
      </w:r>
      <w:r>
        <w:rPr>
          <w:rFonts w:ascii="Times New Roman" w:hAnsi="Times New Roman" w:eastAsia="Times New Roman" w:cs="Times New Roman"/>
          <w:spacing w:val="7"/>
          <w:sz w:val="20"/>
          <w:szCs w:val="20"/>
        </w:rPr>
        <w:t xml:space="preserve">  </w:t>
      </w:r>
      <w:r>
        <w:rPr>
          <w:rFonts w:ascii="Times New Roman" w:hAnsi="Times New Roman" w:eastAsia="Times New Roman" w:cs="Times New Roman"/>
          <w:spacing w:val="-1"/>
          <w:sz w:val="20"/>
          <w:szCs w:val="20"/>
        </w:rPr>
        <w:t>disasters.</w:t>
      </w:r>
      <w:r>
        <w:rPr>
          <w:rFonts w:ascii="Times New Roman" w:hAnsi="Times New Roman" w:eastAsia="Times New Roman" w:cs="Times New Roman"/>
          <w:sz w:val="20"/>
          <w:szCs w:val="20"/>
        </w:rPr>
        <w:t xml:space="preserve"> This</w:t>
      </w:r>
      <w:r>
        <w:rPr>
          <w:rFonts w:ascii="Times New Roman" w:hAnsi="Times New Roman" w:eastAsia="Times New Roman" w:cs="Times New Roman"/>
          <w:spacing w:val="23"/>
          <w:w w:val="101"/>
          <w:sz w:val="20"/>
          <w:szCs w:val="20"/>
        </w:rPr>
        <w:t xml:space="preserve"> </w:t>
      </w:r>
      <w:r>
        <w:rPr>
          <w:rFonts w:ascii="Times New Roman" w:hAnsi="Times New Roman" w:eastAsia="Times New Roman" w:cs="Times New Roman"/>
          <w:sz w:val="20"/>
          <w:szCs w:val="20"/>
        </w:rPr>
        <w:t>chapter</w:t>
      </w:r>
      <w:r>
        <w:rPr>
          <w:rFonts w:ascii="Times New Roman" w:hAnsi="Times New Roman" w:eastAsia="Times New Roman" w:cs="Times New Roman"/>
          <w:spacing w:val="22"/>
          <w:w w:val="101"/>
          <w:sz w:val="20"/>
          <w:szCs w:val="20"/>
        </w:rPr>
        <w:t xml:space="preserve"> </w:t>
      </w:r>
      <w:r>
        <w:rPr>
          <w:rFonts w:ascii="Times New Roman" w:hAnsi="Times New Roman" w:eastAsia="Times New Roman" w:cs="Times New Roman"/>
          <w:sz w:val="20"/>
          <w:szCs w:val="20"/>
        </w:rPr>
        <w:t>ends</w:t>
      </w:r>
      <w:r>
        <w:rPr>
          <w:rFonts w:ascii="Times New Roman" w:hAnsi="Times New Roman" w:eastAsia="Times New Roman" w:cs="Times New Roman"/>
          <w:spacing w:val="17"/>
          <w:sz w:val="20"/>
          <w:szCs w:val="20"/>
        </w:rPr>
        <w:t xml:space="preserve"> </w:t>
      </w:r>
      <w:r>
        <w:rPr>
          <w:rFonts w:ascii="Times New Roman" w:hAnsi="Times New Roman" w:eastAsia="Times New Roman" w:cs="Times New Roman"/>
          <w:sz w:val="20"/>
          <w:szCs w:val="20"/>
        </w:rPr>
        <w:t>with</w:t>
      </w:r>
      <w:r>
        <w:rPr>
          <w:rFonts w:ascii="Times New Roman" w:hAnsi="Times New Roman" w:eastAsia="Times New Roman" w:cs="Times New Roman"/>
          <w:spacing w:val="18"/>
          <w:sz w:val="20"/>
          <w:szCs w:val="20"/>
        </w:rPr>
        <w:t xml:space="preserve"> </w:t>
      </w:r>
      <w:r>
        <w:rPr>
          <w:rFonts w:ascii="Times New Roman" w:hAnsi="Times New Roman" w:eastAsia="Times New Roman" w:cs="Times New Roman"/>
          <w:sz w:val="20"/>
          <w:szCs w:val="20"/>
        </w:rPr>
        <w:t>the</w:t>
      </w:r>
      <w:r>
        <w:rPr>
          <w:rFonts w:ascii="Times New Roman" w:hAnsi="Times New Roman" w:eastAsia="Times New Roman" w:cs="Times New Roman"/>
          <w:spacing w:val="16"/>
          <w:sz w:val="20"/>
          <w:szCs w:val="20"/>
        </w:rPr>
        <w:t xml:space="preserve"> </w:t>
      </w:r>
      <w:r>
        <w:rPr>
          <w:rFonts w:ascii="Times New Roman" w:hAnsi="Times New Roman" w:eastAsia="Times New Roman" w:cs="Times New Roman"/>
          <w:sz w:val="20"/>
          <w:szCs w:val="20"/>
        </w:rPr>
        <w:t>prepared</w:t>
      </w:r>
      <w:r>
        <w:rPr>
          <w:rFonts w:ascii="Times New Roman" w:hAnsi="Times New Roman" w:eastAsia="Times New Roman" w:cs="Times New Roman"/>
          <w:spacing w:val="-1"/>
          <w:sz w:val="20"/>
          <w:szCs w:val="20"/>
        </w:rPr>
        <w:t>ness</w:t>
      </w:r>
      <w:r>
        <w:rPr>
          <w:rFonts w:ascii="Times New Roman" w:hAnsi="Times New Roman" w:eastAsia="Times New Roman" w:cs="Times New Roman"/>
          <w:spacing w:val="23"/>
          <w:w w:val="101"/>
          <w:sz w:val="20"/>
          <w:szCs w:val="20"/>
        </w:rPr>
        <w:t xml:space="preserve"> </w:t>
      </w:r>
      <w:r>
        <w:rPr>
          <w:rFonts w:ascii="Times New Roman" w:hAnsi="Times New Roman" w:eastAsia="Times New Roman" w:cs="Times New Roman"/>
          <w:spacing w:val="-1"/>
          <w:sz w:val="20"/>
          <w:szCs w:val="20"/>
        </w:rPr>
        <w:t>for</w:t>
      </w:r>
      <w:r>
        <w:rPr>
          <w:rFonts w:ascii="Times New Roman" w:hAnsi="Times New Roman" w:eastAsia="Times New Roman" w:cs="Times New Roman"/>
          <w:spacing w:val="22"/>
          <w:sz w:val="20"/>
          <w:szCs w:val="20"/>
        </w:rPr>
        <w:t xml:space="preserve"> </w:t>
      </w:r>
      <w:r>
        <w:rPr>
          <w:rFonts w:ascii="Times New Roman" w:hAnsi="Times New Roman" w:eastAsia="Times New Roman" w:cs="Times New Roman"/>
          <w:spacing w:val="-1"/>
          <w:sz w:val="20"/>
          <w:szCs w:val="20"/>
        </w:rPr>
        <w:t>and</w:t>
      </w:r>
      <w:r>
        <w:rPr>
          <w:rFonts w:ascii="Times New Roman" w:hAnsi="Times New Roman" w:eastAsia="Times New Roman" w:cs="Times New Roman"/>
          <w:spacing w:val="17"/>
          <w:sz w:val="20"/>
          <w:szCs w:val="20"/>
        </w:rPr>
        <w:t xml:space="preserve"> </w:t>
      </w:r>
      <w:r>
        <w:rPr>
          <w:rFonts w:ascii="Times New Roman" w:hAnsi="Times New Roman" w:eastAsia="Times New Roman" w:cs="Times New Roman"/>
          <w:spacing w:val="-1"/>
          <w:sz w:val="20"/>
          <w:szCs w:val="20"/>
        </w:rPr>
        <w:t>response</w:t>
      </w:r>
      <w:r>
        <w:rPr>
          <w:rFonts w:ascii="Times New Roman" w:hAnsi="Times New Roman" w:eastAsia="Times New Roman" w:cs="Times New Roman"/>
          <w:spacing w:val="18"/>
          <w:sz w:val="20"/>
          <w:szCs w:val="20"/>
        </w:rPr>
        <w:t xml:space="preserve"> </w:t>
      </w:r>
      <w:r>
        <w:rPr>
          <w:rFonts w:ascii="Times New Roman" w:hAnsi="Times New Roman" w:eastAsia="Times New Roman" w:cs="Times New Roman"/>
          <w:spacing w:val="-1"/>
          <w:sz w:val="20"/>
          <w:szCs w:val="20"/>
        </w:rPr>
        <w:t>to</w:t>
      </w:r>
      <w:r>
        <w:rPr>
          <w:rFonts w:ascii="Times New Roman" w:hAnsi="Times New Roman" w:eastAsia="Times New Roman" w:cs="Times New Roman"/>
          <w:spacing w:val="18"/>
          <w:sz w:val="20"/>
          <w:szCs w:val="20"/>
        </w:rPr>
        <w:t xml:space="preserve"> </w:t>
      </w:r>
      <w:r>
        <w:rPr>
          <w:rFonts w:ascii="Times New Roman" w:hAnsi="Times New Roman" w:eastAsia="Times New Roman" w:cs="Times New Roman"/>
          <w:spacing w:val="-1"/>
          <w:sz w:val="20"/>
          <w:szCs w:val="20"/>
        </w:rPr>
        <w:t>the</w:t>
      </w:r>
      <w:r>
        <w:rPr>
          <w:rFonts w:ascii="Times New Roman" w:hAnsi="Times New Roman" w:eastAsia="Times New Roman" w:cs="Times New Roman"/>
          <w:spacing w:val="23"/>
          <w:sz w:val="20"/>
          <w:szCs w:val="20"/>
        </w:rPr>
        <w:t xml:space="preserve"> </w:t>
      </w:r>
      <w:r>
        <w:rPr>
          <w:rFonts w:ascii="Times New Roman" w:hAnsi="Times New Roman" w:eastAsia="Times New Roman" w:cs="Times New Roman"/>
          <w:spacing w:val="-1"/>
          <w:sz w:val="20"/>
          <w:szCs w:val="20"/>
        </w:rPr>
        <w:t>onset</w:t>
      </w:r>
      <w:r>
        <w:rPr>
          <w:rFonts w:ascii="Times New Roman" w:hAnsi="Times New Roman" w:eastAsia="Times New Roman" w:cs="Times New Roman"/>
          <w:spacing w:val="22"/>
          <w:w w:val="101"/>
          <w:sz w:val="20"/>
          <w:szCs w:val="20"/>
        </w:rPr>
        <w:t xml:space="preserve"> </w:t>
      </w:r>
      <w:r>
        <w:rPr>
          <w:rFonts w:ascii="Times New Roman" w:hAnsi="Times New Roman" w:eastAsia="Times New Roman" w:cs="Times New Roman"/>
          <w:spacing w:val="-1"/>
          <w:sz w:val="20"/>
          <w:szCs w:val="20"/>
        </w:rPr>
        <w:t>of a</w:t>
      </w:r>
      <w:r>
        <w:rPr>
          <w:rFonts w:ascii="Times New Roman" w:hAnsi="Times New Roman" w:eastAsia="Times New Roman" w:cs="Times New Roman"/>
          <w:spacing w:val="15"/>
          <w:w w:val="101"/>
          <w:sz w:val="20"/>
          <w:szCs w:val="20"/>
        </w:rPr>
        <w:t xml:space="preserve"> </w:t>
      </w:r>
      <w:r>
        <w:rPr>
          <w:rFonts w:ascii="Times New Roman" w:hAnsi="Times New Roman" w:eastAsia="Times New Roman" w:cs="Times New Roman"/>
          <w:spacing w:val="-1"/>
          <w:sz w:val="20"/>
          <w:szCs w:val="20"/>
        </w:rPr>
        <w:t>public</w:t>
      </w:r>
      <w:r>
        <w:rPr>
          <w:rFonts w:ascii="Times New Roman" w:hAnsi="Times New Roman" w:eastAsia="Times New Roman" w:cs="Times New Roman"/>
          <w:spacing w:val="17"/>
          <w:w w:val="101"/>
          <w:sz w:val="20"/>
          <w:szCs w:val="20"/>
        </w:rPr>
        <w:t xml:space="preserve"> </w:t>
      </w:r>
      <w:r>
        <w:rPr>
          <w:rFonts w:ascii="Times New Roman" w:hAnsi="Times New Roman" w:eastAsia="Times New Roman" w:cs="Times New Roman"/>
          <w:spacing w:val="-1"/>
          <w:sz w:val="20"/>
          <w:szCs w:val="20"/>
        </w:rPr>
        <w:t>health</w:t>
      </w:r>
      <w:r>
        <w:rPr>
          <w:rFonts w:ascii="Times New Roman" w:hAnsi="Times New Roman" w:eastAsia="Times New Roman" w:cs="Times New Roman"/>
          <w:spacing w:val="23"/>
          <w:w w:val="101"/>
          <w:sz w:val="20"/>
          <w:szCs w:val="20"/>
        </w:rPr>
        <w:t xml:space="preserve"> </w:t>
      </w:r>
      <w:r>
        <w:rPr>
          <w:rFonts w:ascii="Times New Roman" w:hAnsi="Times New Roman" w:eastAsia="Times New Roman" w:cs="Times New Roman"/>
          <w:spacing w:val="-1"/>
          <w:sz w:val="20"/>
          <w:szCs w:val="20"/>
        </w:rPr>
        <w:t>emergency.</w:t>
      </w:r>
    </w:p>
    <w:p w14:paraId="73C5B98F">
      <w:pPr>
        <w:spacing w:line="378" w:lineRule="auto"/>
        <w:rPr>
          <w:rFonts w:ascii="Arial"/>
          <w:sz w:val="21"/>
        </w:rPr>
      </w:pPr>
    </w:p>
    <w:p w14:paraId="269F1520">
      <w:pPr>
        <w:spacing w:before="65" w:line="341" w:lineRule="auto"/>
        <w:ind w:right="586" w:firstLine="419"/>
        <w:jc w:val="both"/>
        <w:rPr>
          <w:rFonts w:ascii="宋体" w:hAnsi="宋体" w:eastAsia="宋体" w:cs="宋体"/>
          <w:sz w:val="20"/>
          <w:szCs w:val="20"/>
        </w:rPr>
      </w:pPr>
      <w:r>
        <w:rPr>
          <w:rFonts w:ascii="宋体" w:hAnsi="宋体" w:eastAsia="宋体" w:cs="宋体"/>
          <w:spacing w:val="10"/>
          <w:sz w:val="20"/>
          <w:szCs w:val="20"/>
        </w:rPr>
        <w:t>突发公共卫生事件是威胁人类健康、社会安全和造成重大社会经济</w:t>
      </w:r>
      <w:r>
        <w:rPr>
          <w:rFonts w:ascii="宋体" w:hAnsi="宋体" w:eastAsia="宋体" w:cs="宋体"/>
          <w:spacing w:val="9"/>
          <w:sz w:val="20"/>
          <w:szCs w:val="20"/>
        </w:rPr>
        <w:t>负担的重要公共卫生问题，</w:t>
      </w:r>
      <w:r>
        <w:rPr>
          <w:rFonts w:ascii="宋体" w:hAnsi="宋体" w:eastAsia="宋体" w:cs="宋体"/>
          <w:sz w:val="20"/>
          <w:szCs w:val="20"/>
        </w:rPr>
        <w:t xml:space="preserve"> </w:t>
      </w:r>
      <w:r>
        <w:rPr>
          <w:rFonts w:ascii="宋体" w:hAnsi="宋体" w:eastAsia="宋体" w:cs="宋体"/>
          <w:spacing w:val="13"/>
          <w:sz w:val="20"/>
          <w:szCs w:val="20"/>
        </w:rPr>
        <w:t>探索科学有效的应对方法至关重要。开展流行病学调查是应对突发公共卫生事件的重要环节，有</w:t>
      </w:r>
      <w:r>
        <w:rPr>
          <w:rFonts w:ascii="宋体" w:hAnsi="宋体" w:eastAsia="宋体" w:cs="宋体"/>
          <w:spacing w:val="3"/>
          <w:sz w:val="20"/>
          <w:szCs w:val="20"/>
        </w:rPr>
        <w:t xml:space="preserve"> </w:t>
      </w:r>
      <w:r>
        <w:rPr>
          <w:rFonts w:ascii="宋体" w:hAnsi="宋体" w:eastAsia="宋体" w:cs="宋体"/>
          <w:spacing w:val="8"/>
          <w:sz w:val="20"/>
          <w:szCs w:val="20"/>
        </w:rPr>
        <w:t>助于尽早查明其原因，及时采取措施，控制事件发展。20世纪，人类在公共卫生领域取得</w:t>
      </w:r>
      <w:r>
        <w:rPr>
          <w:rFonts w:ascii="宋体" w:hAnsi="宋体" w:eastAsia="宋体" w:cs="宋体"/>
          <w:spacing w:val="7"/>
          <w:sz w:val="20"/>
          <w:szCs w:val="20"/>
        </w:rPr>
        <w:t>的辉煌成</w:t>
      </w:r>
      <w:r>
        <w:rPr>
          <w:rFonts w:ascii="宋体" w:hAnsi="宋体" w:eastAsia="宋体" w:cs="宋体"/>
          <w:sz w:val="20"/>
          <w:szCs w:val="20"/>
        </w:rPr>
        <w:t xml:space="preserve"> </w:t>
      </w:r>
      <w:r>
        <w:rPr>
          <w:rFonts w:ascii="宋体" w:hAnsi="宋体" w:eastAsia="宋体" w:cs="宋体"/>
          <w:spacing w:val="4"/>
          <w:sz w:val="20"/>
          <w:szCs w:val="20"/>
        </w:rPr>
        <w:t>就，如消灭天花、接近消灭脊髓灰质炎、有</w:t>
      </w:r>
      <w:r>
        <w:rPr>
          <w:rFonts w:ascii="宋体" w:hAnsi="宋体" w:eastAsia="宋体" w:cs="宋体"/>
          <w:spacing w:val="3"/>
          <w:sz w:val="20"/>
          <w:szCs w:val="20"/>
        </w:rPr>
        <w:t>效控制鼠疫和霍乱等传染病，都与严谨的流行病学研究密</w:t>
      </w:r>
      <w:r>
        <w:rPr>
          <w:rFonts w:ascii="宋体" w:hAnsi="宋体" w:eastAsia="宋体" w:cs="宋体"/>
          <w:sz w:val="20"/>
          <w:szCs w:val="20"/>
        </w:rPr>
        <w:t xml:space="preserve"> </w:t>
      </w:r>
      <w:r>
        <w:rPr>
          <w:rFonts w:ascii="宋体" w:hAnsi="宋体" w:eastAsia="宋体" w:cs="宋体"/>
          <w:spacing w:val="8"/>
          <w:sz w:val="20"/>
          <w:szCs w:val="20"/>
        </w:rPr>
        <w:t>不可分。尽管全球健康状况明显改善，但近年来突发公共卫生事件频发，危</w:t>
      </w:r>
      <w:r>
        <w:rPr>
          <w:rFonts w:ascii="宋体" w:hAnsi="宋体" w:eastAsia="宋体" w:cs="宋体"/>
          <w:spacing w:val="7"/>
          <w:sz w:val="20"/>
          <w:szCs w:val="20"/>
        </w:rPr>
        <w:t>害日显突出，2007年至</w:t>
      </w:r>
      <w:r>
        <w:rPr>
          <w:rFonts w:ascii="宋体" w:hAnsi="宋体" w:eastAsia="宋体" w:cs="宋体"/>
          <w:sz w:val="20"/>
          <w:szCs w:val="20"/>
        </w:rPr>
        <w:t xml:space="preserve"> </w:t>
      </w:r>
      <w:r>
        <w:rPr>
          <w:rFonts w:ascii="宋体" w:hAnsi="宋体" w:eastAsia="宋体" w:cs="宋体"/>
          <w:spacing w:val="7"/>
          <w:sz w:val="20"/>
          <w:szCs w:val="20"/>
        </w:rPr>
        <w:t>2023年间，</w:t>
      </w:r>
      <w:r>
        <w:rPr>
          <w:rFonts w:ascii="Times New Roman" w:hAnsi="Times New Roman" w:eastAsia="Times New Roman" w:cs="Times New Roman"/>
          <w:sz w:val="20"/>
          <w:szCs w:val="20"/>
        </w:rPr>
        <w:t>WHO</w:t>
      </w:r>
      <w:r>
        <w:rPr>
          <w:rFonts w:ascii="Times New Roman" w:hAnsi="Times New Roman" w:eastAsia="Times New Roman" w:cs="Times New Roman"/>
          <w:spacing w:val="7"/>
          <w:sz w:val="20"/>
          <w:szCs w:val="20"/>
        </w:rPr>
        <w:t xml:space="preserve"> </w:t>
      </w:r>
      <w:r>
        <w:rPr>
          <w:rFonts w:ascii="宋体" w:hAnsi="宋体" w:eastAsia="宋体" w:cs="宋体"/>
          <w:spacing w:val="7"/>
          <w:sz w:val="20"/>
          <w:szCs w:val="20"/>
        </w:rPr>
        <w:t>共宣布了七次国际关注的突发公共卫生事件</w:t>
      </w:r>
      <w:r>
        <w:rPr>
          <w:rFonts w:ascii="Times New Roman" w:hAnsi="Times New Roman" w:eastAsia="Times New Roman" w:cs="Times New Roman"/>
          <w:spacing w:val="7"/>
          <w:sz w:val="20"/>
          <w:szCs w:val="20"/>
        </w:rPr>
        <w:t>(</w:t>
      </w:r>
      <w:r>
        <w:rPr>
          <w:rFonts w:ascii="Times New Roman" w:hAnsi="Times New Roman" w:eastAsia="Times New Roman" w:cs="Times New Roman"/>
          <w:sz w:val="20"/>
          <w:szCs w:val="20"/>
        </w:rPr>
        <w:t>public</w:t>
      </w:r>
      <w:r>
        <w:rPr>
          <w:rFonts w:ascii="Times New Roman" w:hAnsi="Times New Roman" w:eastAsia="Times New Roman" w:cs="Times New Roman"/>
          <w:spacing w:val="35"/>
          <w:sz w:val="20"/>
          <w:szCs w:val="20"/>
        </w:rPr>
        <w:t xml:space="preserve"> </w:t>
      </w:r>
      <w:r>
        <w:rPr>
          <w:rFonts w:ascii="Times New Roman" w:hAnsi="Times New Roman" w:eastAsia="Times New Roman" w:cs="Times New Roman"/>
          <w:sz w:val="20"/>
          <w:szCs w:val="20"/>
        </w:rPr>
        <w:t>health</w:t>
      </w:r>
      <w:r>
        <w:rPr>
          <w:rFonts w:ascii="Times New Roman" w:hAnsi="Times New Roman" w:eastAsia="Times New Roman" w:cs="Times New Roman"/>
          <w:spacing w:val="34"/>
          <w:sz w:val="20"/>
          <w:szCs w:val="20"/>
        </w:rPr>
        <w:t xml:space="preserve"> </w:t>
      </w:r>
      <w:r>
        <w:rPr>
          <w:rFonts w:ascii="Times New Roman" w:hAnsi="Times New Roman" w:eastAsia="Times New Roman" w:cs="Times New Roman"/>
          <w:sz w:val="20"/>
          <w:szCs w:val="20"/>
        </w:rPr>
        <w:t>emergency</w:t>
      </w:r>
      <w:r>
        <w:rPr>
          <w:rFonts w:ascii="Times New Roman" w:hAnsi="Times New Roman" w:eastAsia="Times New Roman" w:cs="Times New Roman"/>
          <w:spacing w:val="33"/>
          <w:w w:val="101"/>
          <w:sz w:val="20"/>
          <w:szCs w:val="20"/>
        </w:rPr>
        <w:t xml:space="preserve"> </w:t>
      </w:r>
      <w:r>
        <w:rPr>
          <w:rFonts w:ascii="Times New Roman" w:hAnsi="Times New Roman" w:eastAsia="Times New Roman" w:cs="Times New Roman"/>
          <w:sz w:val="20"/>
          <w:szCs w:val="20"/>
        </w:rPr>
        <w:t>of</w:t>
      </w:r>
      <w:r>
        <w:rPr>
          <w:rFonts w:ascii="Times New Roman" w:hAnsi="Times New Roman" w:eastAsia="Times New Roman" w:cs="Times New Roman"/>
          <w:spacing w:val="7"/>
          <w:sz w:val="20"/>
          <w:szCs w:val="20"/>
        </w:rPr>
        <w:t xml:space="preserve"> </w:t>
      </w:r>
      <w:r>
        <w:rPr>
          <w:rFonts w:ascii="Times New Roman" w:hAnsi="Times New Roman" w:eastAsia="Times New Roman" w:cs="Times New Roman"/>
          <w:sz w:val="20"/>
          <w:szCs w:val="20"/>
        </w:rPr>
        <w:t>international  concem</w:t>
      </w:r>
      <w:r>
        <w:rPr>
          <w:rFonts w:ascii="Times New Roman" w:hAnsi="Times New Roman" w:eastAsia="Times New Roman" w:cs="Times New Roman"/>
          <w:spacing w:val="9"/>
          <w:sz w:val="20"/>
          <w:szCs w:val="20"/>
        </w:rPr>
        <w:t>,</w:t>
      </w:r>
      <w:r>
        <w:rPr>
          <w:rFonts w:ascii="Times New Roman" w:hAnsi="Times New Roman" w:eastAsia="Times New Roman" w:cs="Times New Roman"/>
          <w:sz w:val="20"/>
          <w:szCs w:val="20"/>
        </w:rPr>
        <w:t>PHEIC</w:t>
      </w:r>
      <w:r>
        <w:rPr>
          <w:rFonts w:ascii="Times New Roman" w:hAnsi="Times New Roman" w:eastAsia="Times New Roman" w:cs="Times New Roman"/>
          <w:spacing w:val="9"/>
          <w:sz w:val="20"/>
          <w:szCs w:val="20"/>
        </w:rPr>
        <w:t xml:space="preserve">),    </w:t>
      </w:r>
      <w:r>
        <w:rPr>
          <w:rFonts w:ascii="宋体" w:hAnsi="宋体" w:eastAsia="宋体" w:cs="宋体"/>
          <w:spacing w:val="9"/>
          <w:sz w:val="20"/>
          <w:szCs w:val="20"/>
        </w:rPr>
        <w:t>包括2009年甲型</w:t>
      </w:r>
      <w:r>
        <w:rPr>
          <w:rFonts w:ascii="Times New Roman" w:hAnsi="Times New Roman" w:eastAsia="Times New Roman" w:cs="Times New Roman"/>
          <w:spacing w:val="9"/>
          <w:sz w:val="20"/>
          <w:szCs w:val="20"/>
        </w:rPr>
        <w:t>H1N1</w:t>
      </w:r>
      <w:r>
        <w:rPr>
          <w:rFonts w:ascii="Times New Roman" w:hAnsi="Times New Roman" w:eastAsia="Times New Roman" w:cs="Times New Roman"/>
          <w:spacing w:val="15"/>
          <w:sz w:val="20"/>
          <w:szCs w:val="20"/>
        </w:rPr>
        <w:t xml:space="preserve"> </w:t>
      </w:r>
      <w:r>
        <w:rPr>
          <w:rFonts w:ascii="宋体" w:hAnsi="宋体" w:eastAsia="宋体" w:cs="宋体"/>
          <w:spacing w:val="9"/>
          <w:sz w:val="20"/>
          <w:szCs w:val="20"/>
        </w:rPr>
        <w:t>流感疫情、2014年脊髓灰质炎疫情、20</w:t>
      </w:r>
      <w:r>
        <w:rPr>
          <w:rFonts w:ascii="宋体" w:hAnsi="宋体" w:eastAsia="宋体" w:cs="宋体"/>
          <w:spacing w:val="8"/>
          <w:sz w:val="20"/>
          <w:szCs w:val="20"/>
        </w:rPr>
        <w:t>13—2016年西非埃</w:t>
      </w:r>
      <w:r>
        <w:rPr>
          <w:rFonts w:ascii="宋体" w:hAnsi="宋体" w:eastAsia="宋体" w:cs="宋体"/>
          <w:sz w:val="20"/>
          <w:szCs w:val="20"/>
        </w:rPr>
        <w:t xml:space="preserve"> </w:t>
      </w:r>
      <w:r>
        <w:rPr>
          <w:rFonts w:ascii="宋体" w:hAnsi="宋体" w:eastAsia="宋体" w:cs="宋体"/>
          <w:spacing w:val="7"/>
          <w:sz w:val="20"/>
          <w:szCs w:val="20"/>
        </w:rPr>
        <w:t>博拉病毒病疫情、2016年寨卡病毒病疫情、2018年开始的刚果(金)埃博拉病毒</w:t>
      </w:r>
      <w:r>
        <w:rPr>
          <w:rFonts w:ascii="宋体" w:hAnsi="宋体" w:eastAsia="宋体" w:cs="宋体"/>
          <w:spacing w:val="6"/>
          <w:sz w:val="20"/>
          <w:szCs w:val="20"/>
        </w:rPr>
        <w:t>病疫情、2020—2023</w:t>
      </w:r>
      <w:r>
        <w:rPr>
          <w:rFonts w:ascii="宋体" w:hAnsi="宋体" w:eastAsia="宋体" w:cs="宋体"/>
          <w:sz w:val="20"/>
          <w:szCs w:val="20"/>
        </w:rPr>
        <w:t xml:space="preserve"> </w:t>
      </w:r>
      <w:r>
        <w:rPr>
          <w:rFonts w:ascii="宋体" w:hAnsi="宋体" w:eastAsia="宋体" w:cs="宋体"/>
          <w:spacing w:val="7"/>
          <w:sz w:val="20"/>
          <w:szCs w:val="20"/>
        </w:rPr>
        <w:t>年新型冠状病毒感染疫情、2022—2023年猴痘疫情，反映了全球范围内突发公共卫生事件的严重影</w:t>
      </w:r>
      <w:r>
        <w:rPr>
          <w:rFonts w:ascii="宋体" w:hAnsi="宋体" w:eastAsia="宋体" w:cs="宋体"/>
          <w:spacing w:val="18"/>
          <w:sz w:val="20"/>
          <w:szCs w:val="20"/>
        </w:rPr>
        <w:t xml:space="preserve"> </w:t>
      </w:r>
      <w:r>
        <w:rPr>
          <w:rFonts w:ascii="宋体" w:hAnsi="宋体" w:eastAsia="宋体" w:cs="宋体"/>
          <w:sz w:val="20"/>
          <w:szCs w:val="20"/>
        </w:rPr>
        <w:t>响，需要国际社会广泛关注、协同应对。</w:t>
      </w:r>
    </w:p>
    <w:p w14:paraId="1DC2F4FE">
      <w:pPr>
        <w:spacing w:before="22" w:line="343" w:lineRule="auto"/>
        <w:ind w:right="648" w:firstLine="419"/>
        <w:jc w:val="both"/>
        <w:rPr>
          <w:rFonts w:ascii="宋体" w:hAnsi="宋体" w:eastAsia="宋体" w:cs="宋体"/>
          <w:sz w:val="20"/>
          <w:szCs w:val="20"/>
        </w:rPr>
      </w:pPr>
      <w:r>
        <w:rPr>
          <w:rFonts w:ascii="宋体" w:hAnsi="宋体" w:eastAsia="宋体" w:cs="宋体"/>
          <w:spacing w:val="8"/>
          <w:sz w:val="20"/>
          <w:szCs w:val="20"/>
        </w:rPr>
        <w:t>突发公共卫生事件流行病学，是流行病学在突发公共卫生事件调查和处置中的应用，包括判定</w:t>
      </w:r>
      <w:r>
        <w:rPr>
          <w:rFonts w:ascii="宋体" w:hAnsi="宋体" w:eastAsia="宋体" w:cs="宋体"/>
          <w:spacing w:val="4"/>
          <w:sz w:val="20"/>
          <w:szCs w:val="20"/>
        </w:rPr>
        <w:t xml:space="preserve"> </w:t>
      </w:r>
      <w:r>
        <w:rPr>
          <w:rFonts w:ascii="宋体" w:hAnsi="宋体" w:eastAsia="宋体" w:cs="宋体"/>
          <w:spacing w:val="8"/>
          <w:sz w:val="20"/>
          <w:szCs w:val="20"/>
        </w:rPr>
        <w:t>事件性质、分析事件发生的原因和危险因素、识别高危人群、采取相对应的控制措施以及评价控制</w:t>
      </w:r>
      <w:r>
        <w:rPr>
          <w:rFonts w:ascii="宋体" w:hAnsi="宋体" w:eastAsia="宋体" w:cs="宋体"/>
          <w:spacing w:val="12"/>
          <w:sz w:val="20"/>
          <w:szCs w:val="20"/>
        </w:rPr>
        <w:t xml:space="preserve"> </w:t>
      </w:r>
      <w:r>
        <w:rPr>
          <w:rFonts w:ascii="宋体" w:hAnsi="宋体" w:eastAsia="宋体" w:cs="宋体"/>
          <w:spacing w:val="9"/>
          <w:sz w:val="20"/>
          <w:szCs w:val="20"/>
        </w:rPr>
        <w:t>效果等。</w:t>
      </w:r>
    </w:p>
    <w:p w14:paraId="7AFB19C9">
      <w:pPr>
        <w:spacing w:line="386" w:lineRule="auto"/>
        <w:rPr>
          <w:rFonts w:ascii="Arial"/>
          <w:sz w:val="21"/>
        </w:rPr>
      </w:pPr>
    </w:p>
    <w:p w14:paraId="28CDCB5D">
      <w:pPr>
        <w:pStyle w:val="2"/>
        <w:spacing w:before="94" w:line="221" w:lineRule="auto"/>
        <w:ind w:left="2464"/>
        <w:outlineLvl w:val="1"/>
        <w:rPr>
          <w:sz w:val="29"/>
          <w:szCs w:val="29"/>
        </w:rPr>
      </w:pPr>
      <w:bookmarkStart w:id="414" w:name="bookmark260"/>
      <w:bookmarkEnd w:id="414"/>
      <w:r>
        <w:rPr>
          <w:b/>
          <w:bCs/>
          <w:spacing w:val="3"/>
          <w:sz w:val="29"/>
          <w:szCs w:val="29"/>
        </w:rPr>
        <w:t>第一节</w:t>
      </w:r>
      <w:r>
        <w:rPr>
          <w:spacing w:val="137"/>
          <w:sz w:val="29"/>
          <w:szCs w:val="29"/>
        </w:rPr>
        <w:t xml:space="preserve"> </w:t>
      </w:r>
      <w:r>
        <w:rPr>
          <w:b/>
          <w:bCs/>
          <w:spacing w:val="3"/>
          <w:sz w:val="29"/>
          <w:szCs w:val="29"/>
        </w:rPr>
        <w:t>突发公共卫生事件概述</w:t>
      </w:r>
    </w:p>
    <w:p w14:paraId="615CD90C">
      <w:pPr>
        <w:spacing w:line="375" w:lineRule="auto"/>
        <w:rPr>
          <w:rFonts w:ascii="Arial"/>
          <w:sz w:val="21"/>
        </w:rPr>
      </w:pPr>
    </w:p>
    <w:p w14:paraId="639AE828">
      <w:pPr>
        <w:pStyle w:val="2"/>
        <w:spacing w:before="85" w:line="221" w:lineRule="auto"/>
        <w:ind w:left="423"/>
        <w:outlineLvl w:val="4"/>
        <w:rPr>
          <w:sz w:val="26"/>
          <w:szCs w:val="26"/>
        </w:rPr>
      </w:pPr>
      <w:bookmarkStart w:id="415" w:name="bookmark261"/>
      <w:bookmarkEnd w:id="415"/>
      <w:r>
        <w:rPr>
          <w:b/>
          <w:bCs/>
          <w:spacing w:val="-17"/>
          <w:sz w:val="26"/>
          <w:szCs w:val="26"/>
        </w:rPr>
        <w:t>一</w:t>
      </w:r>
      <w:r>
        <w:rPr>
          <w:spacing w:val="-57"/>
          <w:sz w:val="26"/>
          <w:szCs w:val="26"/>
        </w:rPr>
        <w:t xml:space="preserve"> </w:t>
      </w:r>
      <w:r>
        <w:rPr>
          <w:b/>
          <w:bCs/>
          <w:spacing w:val="-17"/>
          <w:sz w:val="26"/>
          <w:szCs w:val="26"/>
        </w:rPr>
        <w:t>、定义与特征</w:t>
      </w:r>
    </w:p>
    <w:p w14:paraId="1DE46B62">
      <w:pPr>
        <w:pStyle w:val="2"/>
        <w:spacing w:before="278" w:line="221" w:lineRule="auto"/>
        <w:ind w:left="422"/>
        <w:rPr>
          <w:sz w:val="20"/>
          <w:szCs w:val="20"/>
        </w:rPr>
      </w:pPr>
      <w:r>
        <w:rPr>
          <w:b/>
          <w:bCs/>
          <w:spacing w:val="19"/>
          <w:sz w:val="20"/>
          <w:szCs w:val="20"/>
        </w:rPr>
        <w:t>(</w:t>
      </w:r>
      <w:r>
        <w:rPr>
          <w:spacing w:val="-41"/>
          <w:sz w:val="20"/>
          <w:szCs w:val="20"/>
        </w:rPr>
        <w:t xml:space="preserve"> </w:t>
      </w:r>
      <w:r>
        <w:rPr>
          <w:b/>
          <w:bCs/>
          <w:spacing w:val="19"/>
          <w:sz w:val="20"/>
          <w:szCs w:val="20"/>
        </w:rPr>
        <w:t>一</w:t>
      </w:r>
      <w:r>
        <w:rPr>
          <w:spacing w:val="-55"/>
          <w:sz w:val="20"/>
          <w:szCs w:val="20"/>
        </w:rPr>
        <w:t xml:space="preserve"> </w:t>
      </w:r>
      <w:r>
        <w:rPr>
          <w:b/>
          <w:bCs/>
          <w:spacing w:val="19"/>
          <w:sz w:val="20"/>
          <w:szCs w:val="20"/>
        </w:rPr>
        <w:t>)突发事件的定义</w:t>
      </w:r>
    </w:p>
    <w:p w14:paraId="557AACFB">
      <w:pPr>
        <w:spacing w:before="80" w:line="347" w:lineRule="auto"/>
        <w:ind w:right="655" w:firstLine="319"/>
        <w:jc w:val="both"/>
        <w:rPr>
          <w:rFonts w:ascii="宋体" w:hAnsi="宋体" w:eastAsia="宋体" w:cs="宋体"/>
          <w:sz w:val="20"/>
          <w:szCs w:val="20"/>
        </w:rPr>
      </w:pPr>
      <w:r>
        <w:rPr>
          <w:rFonts w:ascii="宋体" w:hAnsi="宋体" w:eastAsia="宋体" w:cs="宋体"/>
          <w:spacing w:val="-4"/>
          <w:sz w:val="20"/>
          <w:szCs w:val="20"/>
        </w:rPr>
        <w:t>“突发事件”</w:t>
      </w:r>
      <w:r>
        <w:rPr>
          <w:rFonts w:ascii="Times New Roman" w:hAnsi="Times New Roman" w:eastAsia="Times New Roman" w:cs="Times New Roman"/>
          <w:spacing w:val="-4"/>
          <w:sz w:val="20"/>
          <w:szCs w:val="20"/>
        </w:rPr>
        <w:t>(emergency    event)</w:t>
      </w:r>
      <w:r>
        <w:rPr>
          <w:rFonts w:ascii="宋体" w:hAnsi="宋体" w:eastAsia="宋体" w:cs="宋体"/>
          <w:spacing w:val="-4"/>
          <w:sz w:val="20"/>
          <w:szCs w:val="20"/>
        </w:rPr>
        <w:t>又被称为“紧急事件”“非常状态”和“特别状态”等。根据</w:t>
      </w:r>
      <w:r>
        <w:rPr>
          <w:rFonts w:ascii="宋体" w:hAnsi="宋体" w:eastAsia="宋体" w:cs="宋体"/>
          <w:spacing w:val="-5"/>
          <w:sz w:val="20"/>
          <w:szCs w:val="20"/>
        </w:rPr>
        <w:t>2024年</w:t>
      </w:r>
      <w:r>
        <w:rPr>
          <w:rFonts w:ascii="宋体" w:hAnsi="宋体" w:eastAsia="宋体" w:cs="宋体"/>
          <w:sz w:val="20"/>
          <w:szCs w:val="20"/>
        </w:rPr>
        <w:t xml:space="preserve"> </w:t>
      </w:r>
      <w:r>
        <w:rPr>
          <w:rFonts w:ascii="宋体" w:hAnsi="宋体" w:eastAsia="宋体" w:cs="宋体"/>
          <w:spacing w:val="8"/>
          <w:sz w:val="20"/>
          <w:szCs w:val="20"/>
        </w:rPr>
        <w:t>6月28日修订的《中华人民共和国突发事件应对法》,突发事件是指突</w:t>
      </w:r>
      <w:r>
        <w:rPr>
          <w:rFonts w:ascii="宋体" w:hAnsi="宋体" w:eastAsia="宋体" w:cs="宋体"/>
          <w:spacing w:val="7"/>
          <w:sz w:val="20"/>
          <w:szCs w:val="20"/>
        </w:rPr>
        <w:t>然发生，造成或者可能造成严</w:t>
      </w:r>
      <w:r>
        <w:rPr>
          <w:rFonts w:ascii="宋体" w:hAnsi="宋体" w:eastAsia="宋体" w:cs="宋体"/>
          <w:sz w:val="20"/>
          <w:szCs w:val="20"/>
        </w:rPr>
        <w:t xml:space="preserve"> </w:t>
      </w:r>
      <w:r>
        <w:rPr>
          <w:rFonts w:ascii="宋体" w:hAnsi="宋体" w:eastAsia="宋体" w:cs="宋体"/>
          <w:spacing w:val="8"/>
          <w:sz w:val="20"/>
          <w:szCs w:val="20"/>
        </w:rPr>
        <w:t>重社会危害，需要采取应急处置措施予以应对的自然灾害、事故灾难、公共卫生事件和社会安全事</w:t>
      </w:r>
      <w:r>
        <w:rPr>
          <w:rFonts w:ascii="宋体" w:hAnsi="宋体" w:eastAsia="宋体" w:cs="宋体"/>
          <w:spacing w:val="4"/>
          <w:sz w:val="20"/>
          <w:szCs w:val="20"/>
        </w:rPr>
        <w:t xml:space="preserve"> </w:t>
      </w:r>
      <w:r>
        <w:rPr>
          <w:rFonts w:ascii="宋体" w:hAnsi="宋体" w:eastAsia="宋体" w:cs="宋体"/>
          <w:spacing w:val="2"/>
          <w:sz w:val="20"/>
          <w:szCs w:val="20"/>
        </w:rPr>
        <w:t>件。突发事件包括两层含义：</w:t>
      </w:r>
      <w:r>
        <w:rPr>
          <w:rFonts w:ascii="宋体" w:hAnsi="宋体" w:eastAsia="宋体" w:cs="宋体"/>
          <w:spacing w:val="-39"/>
          <w:sz w:val="20"/>
          <w:szCs w:val="20"/>
        </w:rPr>
        <w:t xml:space="preserve"> </w:t>
      </w:r>
      <w:r>
        <w:rPr>
          <w:rFonts w:ascii="宋体" w:hAnsi="宋体" w:eastAsia="宋体" w:cs="宋体"/>
          <w:spacing w:val="2"/>
          <w:sz w:val="20"/>
          <w:szCs w:val="20"/>
        </w:rPr>
        <w:t>一是事件发生、发展的速度很快，出乎意料；二是事件难以应对，必须</w:t>
      </w:r>
      <w:r>
        <w:rPr>
          <w:rFonts w:ascii="宋体" w:hAnsi="宋体" w:eastAsia="宋体" w:cs="宋体"/>
          <w:sz w:val="20"/>
          <w:szCs w:val="20"/>
        </w:rPr>
        <w:t xml:space="preserve"> </w:t>
      </w:r>
      <w:r>
        <w:rPr>
          <w:rFonts w:ascii="宋体" w:hAnsi="宋体" w:eastAsia="宋体" w:cs="宋体"/>
          <w:spacing w:val="10"/>
          <w:sz w:val="20"/>
          <w:szCs w:val="20"/>
        </w:rPr>
        <w:t>采取非常规方法来处理。</w:t>
      </w:r>
    </w:p>
    <w:p w14:paraId="03BE6FEE">
      <w:pPr>
        <w:spacing w:line="347" w:lineRule="auto"/>
        <w:rPr>
          <w:rFonts w:ascii="宋体" w:hAnsi="宋体" w:eastAsia="宋体" w:cs="宋体"/>
          <w:sz w:val="20"/>
          <w:szCs w:val="20"/>
        </w:rPr>
        <w:sectPr>
          <w:footerReference r:id="rId266" w:type="default"/>
          <w:pgSz w:w="11900" w:h="16820"/>
          <w:pgMar w:top="400" w:right="844" w:bottom="839" w:left="1450" w:header="0" w:footer="659" w:gutter="0"/>
          <w:cols w:space="720" w:num="1"/>
        </w:sectPr>
      </w:pPr>
    </w:p>
    <w:p w14:paraId="050A1015">
      <w:pPr>
        <w:pStyle w:val="2"/>
        <w:spacing w:before="186" w:line="221" w:lineRule="auto"/>
        <w:ind w:left="699"/>
        <w:rPr>
          <w:sz w:val="20"/>
          <w:szCs w:val="20"/>
        </w:rPr>
      </w:pPr>
      <w:bookmarkStart w:id="416" w:name="bookmark543"/>
      <w:bookmarkEnd w:id="416"/>
      <w:r>
        <w:rPr>
          <w:spacing w:val="-18"/>
          <w:w w:val="97"/>
          <w:sz w:val="20"/>
          <w:szCs w:val="20"/>
        </w:rPr>
        <w:t>第十六章 突发公共卫生事件流行病学</w:t>
      </w:r>
    </w:p>
    <w:p w14:paraId="29EB4EE9">
      <w:pPr>
        <w:spacing w:line="271" w:lineRule="auto"/>
        <w:rPr>
          <w:rFonts w:ascii="Arial"/>
          <w:sz w:val="21"/>
        </w:rPr>
      </w:pPr>
    </w:p>
    <w:p w14:paraId="031B9EFD">
      <w:pPr>
        <w:spacing w:line="272" w:lineRule="auto"/>
        <w:rPr>
          <w:rFonts w:ascii="Arial"/>
          <w:sz w:val="21"/>
        </w:rPr>
      </w:pPr>
    </w:p>
    <w:p w14:paraId="3CC77A5D">
      <w:pPr>
        <w:pStyle w:val="2"/>
        <w:spacing w:before="75" w:line="221" w:lineRule="auto"/>
        <w:ind w:left="1129"/>
        <w:rPr>
          <w:sz w:val="23"/>
          <w:szCs w:val="23"/>
        </w:rPr>
      </w:pPr>
      <w:r>
        <w:rPr>
          <w:spacing w:val="3"/>
          <w:sz w:val="23"/>
          <w:szCs w:val="23"/>
        </w:rPr>
        <w:t>(二)突发事件的分类</w:t>
      </w:r>
    </w:p>
    <w:p w14:paraId="3BDD3261">
      <w:pPr>
        <w:spacing w:before="112" w:line="216" w:lineRule="auto"/>
        <w:ind w:left="1129"/>
        <w:rPr>
          <w:rFonts w:ascii="宋体" w:hAnsi="宋体" w:eastAsia="宋体" w:cs="宋体"/>
          <w:sz w:val="20"/>
          <w:szCs w:val="20"/>
        </w:rPr>
      </w:pPr>
      <w:r>
        <w:rPr>
          <w:rFonts w:ascii="宋体" w:hAnsi="宋体" w:eastAsia="宋体" w:cs="宋体"/>
          <w:spacing w:val="3"/>
          <w:sz w:val="20"/>
          <w:szCs w:val="20"/>
        </w:rPr>
        <w:t>根据《中华人民共和国突发事件应对法》,突发事件分为以下四类：</w:t>
      </w:r>
    </w:p>
    <w:p w14:paraId="0C635F89">
      <w:pPr>
        <w:pStyle w:val="2"/>
        <w:spacing w:before="127" w:line="290" w:lineRule="auto"/>
        <w:ind w:left="699" w:right="103" w:firstLine="429"/>
        <w:rPr>
          <w:rFonts w:ascii="宋体" w:hAnsi="宋体" w:eastAsia="宋体" w:cs="宋体"/>
          <w:sz w:val="20"/>
          <w:szCs w:val="20"/>
        </w:rPr>
      </w:pPr>
      <w:r>
        <w:rPr>
          <w:rFonts w:ascii="宋体" w:hAnsi="宋体" w:eastAsia="宋体" w:cs="宋体"/>
          <w:spacing w:val="6"/>
          <w:sz w:val="20"/>
          <w:szCs w:val="20"/>
        </w:rPr>
        <w:t xml:space="preserve">1. </w:t>
      </w:r>
      <w:r>
        <w:rPr>
          <w:spacing w:val="6"/>
          <w:sz w:val="20"/>
          <w:szCs w:val="20"/>
        </w:rPr>
        <w:t>自然灾害</w:t>
      </w:r>
      <w:r>
        <w:rPr>
          <w:spacing w:val="74"/>
          <w:sz w:val="20"/>
          <w:szCs w:val="20"/>
        </w:rPr>
        <w:t xml:space="preserve"> </w:t>
      </w:r>
      <w:r>
        <w:rPr>
          <w:rFonts w:ascii="宋体" w:hAnsi="宋体" w:eastAsia="宋体" w:cs="宋体"/>
          <w:spacing w:val="6"/>
          <w:sz w:val="20"/>
          <w:szCs w:val="20"/>
        </w:rPr>
        <w:t>如水旱灾害、气象灾害、地震灾</w:t>
      </w:r>
      <w:r>
        <w:rPr>
          <w:rFonts w:ascii="宋体" w:hAnsi="宋体" w:eastAsia="宋体" w:cs="宋体"/>
          <w:spacing w:val="5"/>
          <w:sz w:val="20"/>
          <w:szCs w:val="20"/>
        </w:rPr>
        <w:t>害、地质灾害、海洋灾害、生物灾害和森林草原</w:t>
      </w:r>
      <w:r>
        <w:rPr>
          <w:rFonts w:ascii="宋体" w:hAnsi="宋体" w:eastAsia="宋体" w:cs="宋体"/>
          <w:sz w:val="20"/>
          <w:szCs w:val="20"/>
        </w:rPr>
        <w:t xml:space="preserve"> </w:t>
      </w:r>
      <w:r>
        <w:rPr>
          <w:rFonts w:ascii="宋体" w:hAnsi="宋体" w:eastAsia="宋体" w:cs="宋体"/>
          <w:spacing w:val="7"/>
          <w:sz w:val="20"/>
          <w:szCs w:val="20"/>
        </w:rPr>
        <w:t>火灾等。</w:t>
      </w:r>
    </w:p>
    <w:p w14:paraId="79361C33">
      <w:pPr>
        <w:pStyle w:val="2"/>
        <w:spacing w:before="142" w:line="304" w:lineRule="auto"/>
        <w:ind w:left="699" w:right="88" w:firstLine="429"/>
        <w:rPr>
          <w:rFonts w:ascii="宋体" w:hAnsi="宋体" w:eastAsia="宋体" w:cs="宋体"/>
          <w:sz w:val="20"/>
          <w:szCs w:val="20"/>
        </w:rPr>
      </w:pPr>
      <w:r>
        <w:rPr>
          <w:rFonts w:ascii="宋体" w:hAnsi="宋体" w:eastAsia="宋体" w:cs="宋体"/>
          <w:spacing w:val="6"/>
          <w:sz w:val="20"/>
          <w:szCs w:val="20"/>
        </w:rPr>
        <w:t xml:space="preserve">2. </w:t>
      </w:r>
      <w:r>
        <w:rPr>
          <w:spacing w:val="6"/>
          <w:sz w:val="20"/>
          <w:szCs w:val="20"/>
        </w:rPr>
        <w:t>事故灾难</w:t>
      </w:r>
      <w:r>
        <w:rPr>
          <w:spacing w:val="80"/>
          <w:sz w:val="20"/>
          <w:szCs w:val="20"/>
        </w:rPr>
        <w:t xml:space="preserve"> </w:t>
      </w:r>
      <w:r>
        <w:rPr>
          <w:rFonts w:ascii="宋体" w:hAnsi="宋体" w:eastAsia="宋体" w:cs="宋体"/>
          <w:spacing w:val="6"/>
          <w:sz w:val="20"/>
          <w:szCs w:val="20"/>
        </w:rPr>
        <w:t>如危险化学品事故、矿山事故、特种设备事故、桥梁突</w:t>
      </w:r>
      <w:r>
        <w:rPr>
          <w:rFonts w:ascii="宋体" w:hAnsi="宋体" w:eastAsia="宋体" w:cs="宋体"/>
          <w:spacing w:val="5"/>
          <w:sz w:val="20"/>
          <w:szCs w:val="20"/>
        </w:rPr>
        <w:t>发事故、人防工程事故灾</w:t>
      </w:r>
      <w:r>
        <w:rPr>
          <w:rFonts w:ascii="宋体" w:hAnsi="宋体" w:eastAsia="宋体" w:cs="宋体"/>
          <w:sz w:val="20"/>
          <w:szCs w:val="20"/>
        </w:rPr>
        <w:t xml:space="preserve"> </w:t>
      </w:r>
      <w:r>
        <w:rPr>
          <w:rFonts w:ascii="宋体" w:hAnsi="宋体" w:eastAsia="宋体" w:cs="宋体"/>
          <w:spacing w:val="6"/>
          <w:sz w:val="20"/>
          <w:szCs w:val="20"/>
        </w:rPr>
        <w:t>难、道路交通事故、火灾事故、建筑施工突发事故、城市公共供</w:t>
      </w:r>
      <w:r>
        <w:rPr>
          <w:rFonts w:ascii="宋体" w:hAnsi="宋体" w:eastAsia="宋体" w:cs="宋体"/>
          <w:spacing w:val="5"/>
          <w:sz w:val="20"/>
          <w:szCs w:val="20"/>
        </w:rPr>
        <w:t>/排水突发事件、重特大电力突发事</w:t>
      </w:r>
      <w:r>
        <w:rPr>
          <w:rFonts w:ascii="宋体" w:hAnsi="宋体" w:eastAsia="宋体" w:cs="宋体"/>
          <w:sz w:val="20"/>
          <w:szCs w:val="20"/>
        </w:rPr>
        <w:t xml:space="preserve"> </w:t>
      </w:r>
      <w:r>
        <w:rPr>
          <w:rFonts w:ascii="宋体" w:hAnsi="宋体" w:eastAsia="宋体" w:cs="宋体"/>
          <w:spacing w:val="6"/>
          <w:sz w:val="20"/>
          <w:szCs w:val="20"/>
        </w:rPr>
        <w:t>件、燃气/供热事故、环境污染与生态破坏突发事件、核事件与</w:t>
      </w:r>
      <w:r>
        <w:rPr>
          <w:rFonts w:ascii="宋体" w:hAnsi="宋体" w:eastAsia="宋体" w:cs="宋体"/>
          <w:spacing w:val="5"/>
          <w:sz w:val="20"/>
          <w:szCs w:val="20"/>
        </w:rPr>
        <w:t>放射性污染、通信线路和通信设施事</w:t>
      </w:r>
      <w:r>
        <w:rPr>
          <w:rFonts w:ascii="宋体" w:hAnsi="宋体" w:eastAsia="宋体" w:cs="宋体"/>
          <w:sz w:val="20"/>
          <w:szCs w:val="20"/>
        </w:rPr>
        <w:t xml:space="preserve"> </w:t>
      </w:r>
      <w:r>
        <w:rPr>
          <w:rFonts w:ascii="宋体" w:hAnsi="宋体" w:eastAsia="宋体" w:cs="宋体"/>
          <w:spacing w:val="2"/>
          <w:sz w:val="20"/>
          <w:szCs w:val="20"/>
        </w:rPr>
        <w:t>故、地下管线事故、信息安全事件与高技术犯罪、超高层建筑综合事故、旅游场所突发事件。</w:t>
      </w:r>
    </w:p>
    <w:p w14:paraId="677F12AB">
      <w:pPr>
        <w:pStyle w:val="2"/>
        <w:spacing w:before="169" w:line="302" w:lineRule="auto"/>
        <w:ind w:left="699" w:right="91" w:firstLine="429"/>
        <w:rPr>
          <w:rFonts w:ascii="宋体" w:hAnsi="宋体" w:eastAsia="宋体" w:cs="宋体"/>
          <w:sz w:val="20"/>
          <w:szCs w:val="20"/>
        </w:rPr>
      </w:pPr>
      <w:r>
        <w:rPr>
          <w:rFonts w:ascii="宋体" w:hAnsi="宋体" w:eastAsia="宋体" w:cs="宋体"/>
          <w:spacing w:val="9"/>
          <w:sz w:val="20"/>
          <w:szCs w:val="20"/>
        </w:rPr>
        <w:t xml:space="preserve">3. </w:t>
      </w:r>
      <w:r>
        <w:rPr>
          <w:spacing w:val="9"/>
          <w:sz w:val="20"/>
          <w:szCs w:val="20"/>
        </w:rPr>
        <w:t>公共卫生事件</w:t>
      </w:r>
      <w:r>
        <w:rPr>
          <w:spacing w:val="90"/>
          <w:sz w:val="20"/>
          <w:szCs w:val="20"/>
        </w:rPr>
        <w:t xml:space="preserve"> </w:t>
      </w:r>
      <w:r>
        <w:rPr>
          <w:rFonts w:ascii="宋体" w:hAnsi="宋体" w:eastAsia="宋体" w:cs="宋体"/>
          <w:spacing w:val="9"/>
          <w:sz w:val="20"/>
          <w:szCs w:val="20"/>
        </w:rPr>
        <w:t>如重大传染病疫情(</w:t>
      </w:r>
      <w:r>
        <w:rPr>
          <w:rFonts w:ascii="宋体" w:hAnsi="宋体" w:eastAsia="宋体" w:cs="宋体"/>
          <w:sz w:val="20"/>
          <w:szCs w:val="20"/>
        </w:rPr>
        <w:t>SARS</w:t>
      </w:r>
      <w:r>
        <w:rPr>
          <w:rFonts w:ascii="宋体" w:hAnsi="宋体" w:eastAsia="宋体" w:cs="宋体"/>
          <w:spacing w:val="9"/>
          <w:sz w:val="20"/>
          <w:szCs w:val="20"/>
        </w:rPr>
        <w:t>、</w:t>
      </w:r>
      <w:r>
        <w:rPr>
          <w:rFonts w:ascii="宋体" w:hAnsi="宋体" w:eastAsia="宋体" w:cs="宋体"/>
          <w:spacing w:val="-27"/>
          <w:sz w:val="20"/>
          <w:szCs w:val="20"/>
        </w:rPr>
        <w:t xml:space="preserve"> </w:t>
      </w:r>
      <w:r>
        <w:rPr>
          <w:rFonts w:ascii="宋体" w:hAnsi="宋体" w:eastAsia="宋体" w:cs="宋体"/>
          <w:spacing w:val="9"/>
          <w:sz w:val="20"/>
          <w:szCs w:val="20"/>
        </w:rPr>
        <w:t>流感、炭疽等)</w:t>
      </w:r>
      <w:r>
        <w:rPr>
          <w:rFonts w:ascii="宋体" w:hAnsi="宋体" w:eastAsia="宋体" w:cs="宋体"/>
          <w:spacing w:val="8"/>
          <w:sz w:val="20"/>
          <w:szCs w:val="20"/>
        </w:rPr>
        <w:t>,重大动植物疫情(口蹄疫、禽流</w:t>
      </w:r>
      <w:r>
        <w:rPr>
          <w:rFonts w:ascii="宋体" w:hAnsi="宋体" w:eastAsia="宋体" w:cs="宋体"/>
          <w:sz w:val="20"/>
          <w:szCs w:val="20"/>
        </w:rPr>
        <w:t xml:space="preserve"> </w:t>
      </w:r>
      <w:r>
        <w:rPr>
          <w:rFonts w:ascii="宋体" w:hAnsi="宋体" w:eastAsia="宋体" w:cs="宋体"/>
          <w:spacing w:val="10"/>
          <w:sz w:val="20"/>
          <w:szCs w:val="20"/>
        </w:rPr>
        <w:t>感等),食品安全与职业危害(食物中毒等),群体性不明原因疾病，以及其他严重影响公众健</w:t>
      </w:r>
      <w:r>
        <w:rPr>
          <w:rFonts w:ascii="宋体" w:hAnsi="宋体" w:eastAsia="宋体" w:cs="宋体"/>
          <w:spacing w:val="9"/>
          <w:sz w:val="20"/>
          <w:szCs w:val="20"/>
        </w:rPr>
        <w:t>康和生</w:t>
      </w:r>
      <w:r>
        <w:rPr>
          <w:rFonts w:ascii="宋体" w:hAnsi="宋体" w:eastAsia="宋体" w:cs="宋体"/>
          <w:sz w:val="20"/>
          <w:szCs w:val="20"/>
        </w:rPr>
        <w:t xml:space="preserve"> </w:t>
      </w:r>
      <w:r>
        <w:rPr>
          <w:rFonts w:ascii="宋体" w:hAnsi="宋体" w:eastAsia="宋体" w:cs="宋体"/>
          <w:spacing w:val="9"/>
          <w:sz w:val="20"/>
          <w:szCs w:val="20"/>
        </w:rPr>
        <w:t>命安全的事件。</w:t>
      </w:r>
    </w:p>
    <w:p w14:paraId="09205979">
      <w:pPr>
        <w:spacing w:before="132" w:line="301" w:lineRule="auto"/>
        <w:ind w:left="699" w:right="70" w:firstLine="429"/>
        <w:rPr>
          <w:rFonts w:ascii="宋体" w:hAnsi="宋体" w:eastAsia="宋体" w:cs="宋体"/>
          <w:sz w:val="20"/>
          <w:szCs w:val="20"/>
        </w:rPr>
      </w:pPr>
      <w:r>
        <w:rPr>
          <w:rFonts w:ascii="宋体" w:hAnsi="宋体" w:eastAsia="宋体" w:cs="宋体"/>
          <w:spacing w:val="13"/>
          <w:sz w:val="20"/>
          <w:szCs w:val="20"/>
        </w:rPr>
        <w:t>4. 社会安全事件如经济安全事件(经济危机、</w:t>
      </w:r>
      <w:r>
        <w:rPr>
          <w:rFonts w:ascii="宋体" w:hAnsi="宋体" w:eastAsia="宋体" w:cs="宋体"/>
          <w:spacing w:val="12"/>
          <w:sz w:val="20"/>
          <w:szCs w:val="20"/>
        </w:rPr>
        <w:t>金融危机、粮食危机等)、重大群体事件(重大</w:t>
      </w:r>
      <w:r>
        <w:rPr>
          <w:rFonts w:ascii="宋体" w:hAnsi="宋体" w:eastAsia="宋体" w:cs="宋体"/>
          <w:sz w:val="20"/>
          <w:szCs w:val="20"/>
        </w:rPr>
        <w:t xml:space="preserve"> </w:t>
      </w:r>
      <w:r>
        <w:rPr>
          <w:rFonts w:ascii="宋体" w:hAnsi="宋体" w:eastAsia="宋体" w:cs="宋体"/>
          <w:spacing w:val="6"/>
          <w:sz w:val="20"/>
          <w:szCs w:val="20"/>
        </w:rPr>
        <w:t>群体上访、公共场所滋事、校园安全事件等)、重大刑事案件</w:t>
      </w:r>
      <w:r>
        <w:rPr>
          <w:rFonts w:ascii="宋体" w:hAnsi="宋体" w:eastAsia="宋体" w:cs="宋体"/>
          <w:spacing w:val="5"/>
          <w:sz w:val="20"/>
          <w:szCs w:val="20"/>
        </w:rPr>
        <w:t>(重大恐怖事件和刑事案件等)、涉外突</w:t>
      </w:r>
      <w:r>
        <w:rPr>
          <w:rFonts w:ascii="宋体" w:hAnsi="宋体" w:eastAsia="宋体" w:cs="宋体"/>
          <w:sz w:val="20"/>
          <w:szCs w:val="20"/>
        </w:rPr>
        <w:t xml:space="preserve"> </w:t>
      </w:r>
      <w:r>
        <w:rPr>
          <w:rFonts w:ascii="宋体" w:hAnsi="宋体" w:eastAsia="宋体" w:cs="宋体"/>
          <w:spacing w:val="4"/>
          <w:sz w:val="20"/>
          <w:szCs w:val="20"/>
        </w:rPr>
        <w:t>发事件(外交事件、使馆周边事件等)。</w:t>
      </w:r>
    </w:p>
    <w:p w14:paraId="577E1A28">
      <w:pPr>
        <w:pStyle w:val="2"/>
        <w:spacing w:before="111" w:line="221" w:lineRule="auto"/>
        <w:ind w:left="1129"/>
        <w:rPr>
          <w:sz w:val="23"/>
          <w:szCs w:val="23"/>
        </w:rPr>
      </w:pPr>
      <w:r>
        <w:rPr>
          <w:spacing w:val="-2"/>
          <w:sz w:val="23"/>
          <w:szCs w:val="23"/>
        </w:rPr>
        <w:t>(三)突发公共卫生事件的定义</w:t>
      </w:r>
    </w:p>
    <w:p w14:paraId="06FC6DED">
      <w:pPr>
        <w:spacing w:before="104" w:line="350" w:lineRule="auto"/>
        <w:ind w:left="699" w:right="86" w:firstLine="429"/>
        <w:jc w:val="both"/>
        <w:rPr>
          <w:rFonts w:ascii="宋体" w:hAnsi="宋体" w:eastAsia="宋体" w:cs="宋体"/>
          <w:sz w:val="20"/>
          <w:szCs w:val="20"/>
        </w:rPr>
      </w:pPr>
      <w:r>
        <w:rPr>
          <w:rFonts w:ascii="宋体" w:hAnsi="宋体" w:eastAsia="宋体" w:cs="宋体"/>
          <w:spacing w:val="6"/>
          <w:sz w:val="20"/>
          <w:szCs w:val="20"/>
        </w:rPr>
        <w:t>突发公共卫生事件</w:t>
      </w:r>
      <w:r>
        <w:rPr>
          <w:rFonts w:ascii="Times New Roman" w:hAnsi="Times New Roman" w:eastAsia="Times New Roman" w:cs="Times New Roman"/>
          <w:spacing w:val="6"/>
          <w:sz w:val="20"/>
          <w:szCs w:val="20"/>
        </w:rPr>
        <w:t>(</w:t>
      </w:r>
      <w:r>
        <w:rPr>
          <w:rFonts w:ascii="Times New Roman" w:hAnsi="Times New Roman" w:eastAsia="Times New Roman" w:cs="Times New Roman"/>
          <w:sz w:val="20"/>
          <w:szCs w:val="20"/>
        </w:rPr>
        <w:t>public</w:t>
      </w:r>
      <w:r>
        <w:rPr>
          <w:rFonts w:ascii="Times New Roman" w:hAnsi="Times New Roman" w:eastAsia="Times New Roman" w:cs="Times New Roman"/>
          <w:spacing w:val="6"/>
          <w:sz w:val="20"/>
          <w:szCs w:val="20"/>
        </w:rPr>
        <w:t xml:space="preserve">   </w:t>
      </w:r>
      <w:r>
        <w:rPr>
          <w:rFonts w:ascii="Times New Roman" w:hAnsi="Times New Roman" w:eastAsia="Times New Roman" w:cs="Times New Roman"/>
          <w:sz w:val="20"/>
          <w:szCs w:val="20"/>
        </w:rPr>
        <w:t>health</w:t>
      </w:r>
      <w:r>
        <w:rPr>
          <w:rFonts w:ascii="Times New Roman" w:hAnsi="Times New Roman" w:eastAsia="Times New Roman" w:cs="Times New Roman"/>
          <w:spacing w:val="6"/>
          <w:sz w:val="20"/>
          <w:szCs w:val="20"/>
        </w:rPr>
        <w:t xml:space="preserve">   </w:t>
      </w:r>
      <w:r>
        <w:rPr>
          <w:rFonts w:ascii="Times New Roman" w:hAnsi="Times New Roman" w:eastAsia="Times New Roman" w:cs="Times New Roman"/>
          <w:sz w:val="20"/>
          <w:szCs w:val="20"/>
        </w:rPr>
        <w:t>emergency</w:t>
      </w:r>
      <w:r>
        <w:rPr>
          <w:rFonts w:ascii="Times New Roman" w:hAnsi="Times New Roman" w:eastAsia="Times New Roman" w:cs="Times New Roman"/>
          <w:spacing w:val="6"/>
          <w:sz w:val="20"/>
          <w:szCs w:val="20"/>
        </w:rPr>
        <w:t>)</w:t>
      </w:r>
      <w:r>
        <w:rPr>
          <w:rFonts w:ascii="宋体" w:hAnsi="宋体" w:eastAsia="宋体" w:cs="宋体"/>
          <w:spacing w:val="6"/>
          <w:sz w:val="20"/>
          <w:szCs w:val="20"/>
        </w:rPr>
        <w:t>是突发事件的一种，我国《突发公共卫</w:t>
      </w:r>
      <w:r>
        <w:rPr>
          <w:rFonts w:ascii="宋体" w:hAnsi="宋体" w:eastAsia="宋体" w:cs="宋体"/>
          <w:spacing w:val="5"/>
          <w:sz w:val="20"/>
          <w:szCs w:val="20"/>
        </w:rPr>
        <w:t>生事件应急</w:t>
      </w:r>
      <w:r>
        <w:rPr>
          <w:rFonts w:ascii="宋体" w:hAnsi="宋体" w:eastAsia="宋体" w:cs="宋体"/>
          <w:sz w:val="20"/>
          <w:szCs w:val="20"/>
        </w:rPr>
        <w:t xml:space="preserve"> </w:t>
      </w:r>
      <w:r>
        <w:rPr>
          <w:rFonts w:ascii="宋体" w:hAnsi="宋体" w:eastAsia="宋体" w:cs="宋体"/>
          <w:spacing w:val="3"/>
          <w:sz w:val="20"/>
          <w:szCs w:val="20"/>
        </w:rPr>
        <w:t>条例》将其定义为：突然发生，造成或者可能造成社会公众健康严重损害的重大传染病疫情、群体性</w:t>
      </w:r>
      <w:r>
        <w:rPr>
          <w:rFonts w:ascii="宋体" w:hAnsi="宋体" w:eastAsia="宋体" w:cs="宋体"/>
          <w:spacing w:val="14"/>
          <w:sz w:val="20"/>
          <w:szCs w:val="20"/>
        </w:rPr>
        <w:t xml:space="preserve"> </w:t>
      </w:r>
      <w:r>
        <w:rPr>
          <w:rFonts w:ascii="宋体" w:hAnsi="宋体" w:eastAsia="宋体" w:cs="宋体"/>
          <w:spacing w:val="8"/>
          <w:sz w:val="20"/>
          <w:szCs w:val="20"/>
        </w:rPr>
        <w:t>不明原因疾病、重大食物和职业中毒以及其他严重影响公众健康的事件。</w:t>
      </w:r>
    </w:p>
    <w:p w14:paraId="1A375805">
      <w:pPr>
        <w:pStyle w:val="2"/>
        <w:spacing w:before="3" w:line="221" w:lineRule="auto"/>
        <w:ind w:left="1129"/>
        <w:rPr>
          <w:sz w:val="20"/>
          <w:szCs w:val="20"/>
        </w:rPr>
      </w:pPr>
      <w:r>
        <w:rPr>
          <w:spacing w:val="25"/>
          <w:sz w:val="20"/>
          <w:szCs w:val="20"/>
        </w:rPr>
        <w:t>(四)突发公共卫生事件的特征</w:t>
      </w:r>
    </w:p>
    <w:p w14:paraId="24F0ADEB">
      <w:pPr>
        <w:pStyle w:val="2"/>
        <w:spacing w:before="131" w:line="281" w:lineRule="auto"/>
        <w:ind w:left="699" w:right="83" w:firstLine="429"/>
        <w:rPr>
          <w:rFonts w:ascii="宋体" w:hAnsi="宋体" w:eastAsia="宋体" w:cs="宋体"/>
          <w:sz w:val="20"/>
          <w:szCs w:val="20"/>
        </w:rPr>
      </w:pPr>
      <w:r>
        <w:rPr>
          <w:rFonts w:ascii="宋体" w:hAnsi="宋体" w:eastAsia="宋体" w:cs="宋体"/>
          <w:spacing w:val="13"/>
          <w:sz w:val="20"/>
          <w:szCs w:val="20"/>
        </w:rPr>
        <w:t xml:space="preserve">1. </w:t>
      </w:r>
      <w:r>
        <w:rPr>
          <w:spacing w:val="13"/>
          <w:sz w:val="20"/>
          <w:szCs w:val="20"/>
        </w:rPr>
        <w:t xml:space="preserve">发生的突然性 </w:t>
      </w:r>
      <w:r>
        <w:rPr>
          <w:rFonts w:ascii="宋体" w:hAnsi="宋体" w:eastAsia="宋体" w:cs="宋体"/>
          <w:spacing w:val="13"/>
          <w:sz w:val="20"/>
          <w:szCs w:val="20"/>
        </w:rPr>
        <w:t>突发公共卫生事件多为突</w:t>
      </w:r>
      <w:r>
        <w:rPr>
          <w:rFonts w:ascii="宋体" w:hAnsi="宋体" w:eastAsia="宋体" w:cs="宋体"/>
          <w:spacing w:val="12"/>
          <w:sz w:val="20"/>
          <w:szCs w:val="20"/>
        </w:rPr>
        <w:t>然发生，很难对其发生时间、地点进行准确预测</w:t>
      </w:r>
      <w:r>
        <w:rPr>
          <w:rFonts w:ascii="宋体" w:hAnsi="宋体" w:eastAsia="宋体" w:cs="宋体"/>
          <w:sz w:val="20"/>
          <w:szCs w:val="20"/>
        </w:rPr>
        <w:t xml:space="preserve"> </w:t>
      </w:r>
      <w:r>
        <w:rPr>
          <w:rFonts w:ascii="宋体" w:hAnsi="宋体" w:eastAsia="宋体" w:cs="宋体"/>
          <w:spacing w:val="2"/>
          <w:sz w:val="20"/>
          <w:szCs w:val="20"/>
        </w:rPr>
        <w:t>和及时识别，其蔓延范围、发展速度、发展趋势和结局亦很难预测。</w:t>
      </w:r>
    </w:p>
    <w:p w14:paraId="452A66F4">
      <w:pPr>
        <w:pStyle w:val="2"/>
        <w:spacing w:before="130" w:line="302" w:lineRule="auto"/>
        <w:ind w:left="699" w:firstLine="429"/>
        <w:rPr>
          <w:rFonts w:ascii="宋体" w:hAnsi="宋体" w:eastAsia="宋体" w:cs="宋体"/>
          <w:sz w:val="20"/>
          <w:szCs w:val="20"/>
        </w:rPr>
      </w:pPr>
      <w:r>
        <w:rPr>
          <w:rFonts w:ascii="宋体" w:hAnsi="宋体" w:eastAsia="宋体" w:cs="宋体"/>
          <w:spacing w:val="8"/>
          <w:sz w:val="20"/>
          <w:szCs w:val="20"/>
        </w:rPr>
        <w:t xml:space="preserve">2. </w:t>
      </w:r>
      <w:r>
        <w:rPr>
          <w:spacing w:val="8"/>
          <w:sz w:val="20"/>
          <w:szCs w:val="20"/>
        </w:rPr>
        <w:t>预防准备的困难性</w:t>
      </w:r>
      <w:r>
        <w:rPr>
          <w:spacing w:val="72"/>
          <w:sz w:val="20"/>
          <w:szCs w:val="20"/>
        </w:rPr>
        <w:t xml:space="preserve"> </w:t>
      </w:r>
      <w:r>
        <w:rPr>
          <w:rFonts w:ascii="宋体" w:hAnsi="宋体" w:eastAsia="宋体" w:cs="宋体"/>
          <w:spacing w:val="8"/>
          <w:sz w:val="20"/>
          <w:szCs w:val="20"/>
        </w:rPr>
        <w:t>由于事发突然，人们很难以最适当的方法进行准备。在事件发生之前，</w:t>
      </w:r>
      <w:r>
        <w:rPr>
          <w:rFonts w:ascii="宋体" w:hAnsi="宋体" w:eastAsia="宋体" w:cs="宋体"/>
          <w:sz w:val="20"/>
          <w:szCs w:val="20"/>
        </w:rPr>
        <w:t xml:space="preserve"> </w:t>
      </w:r>
      <w:r>
        <w:rPr>
          <w:rFonts w:ascii="宋体" w:hAnsi="宋体" w:eastAsia="宋体" w:cs="宋体"/>
          <w:spacing w:val="8"/>
          <w:sz w:val="20"/>
          <w:szCs w:val="20"/>
        </w:rPr>
        <w:t>准确判断所需的技术手段、设备、物资和经费较为困难，难以采取能完全避免此类事件发生的预防</w:t>
      </w:r>
      <w:r>
        <w:rPr>
          <w:rFonts w:ascii="宋体" w:hAnsi="宋体" w:eastAsia="宋体" w:cs="宋体"/>
          <w:spacing w:val="2"/>
          <w:sz w:val="20"/>
          <w:szCs w:val="20"/>
        </w:rPr>
        <w:t xml:space="preserve">  </w:t>
      </w:r>
      <w:r>
        <w:rPr>
          <w:rFonts w:ascii="宋体" w:hAnsi="宋体" w:eastAsia="宋体" w:cs="宋体"/>
          <w:spacing w:val="10"/>
          <w:sz w:val="20"/>
          <w:szCs w:val="20"/>
        </w:rPr>
        <w:t>措施。</w:t>
      </w:r>
    </w:p>
    <w:p w14:paraId="3DE11A9B">
      <w:pPr>
        <w:pStyle w:val="2"/>
        <w:spacing w:before="118" w:line="312" w:lineRule="auto"/>
        <w:ind w:left="699" w:right="91" w:firstLine="429"/>
        <w:rPr>
          <w:rFonts w:ascii="宋体" w:hAnsi="宋体" w:eastAsia="宋体" w:cs="宋体"/>
          <w:sz w:val="20"/>
          <w:szCs w:val="20"/>
        </w:rPr>
      </w:pPr>
      <w:r>
        <w:rPr>
          <w:rFonts w:ascii="宋体" w:hAnsi="宋体" w:eastAsia="宋体" w:cs="宋体"/>
          <w:spacing w:val="15"/>
          <w:sz w:val="20"/>
          <w:szCs w:val="20"/>
        </w:rPr>
        <w:t xml:space="preserve">3. </w:t>
      </w:r>
      <w:r>
        <w:rPr>
          <w:spacing w:val="15"/>
          <w:sz w:val="20"/>
          <w:szCs w:val="20"/>
        </w:rPr>
        <w:t xml:space="preserve">表现的多样性  </w:t>
      </w:r>
      <w:r>
        <w:rPr>
          <w:rFonts w:ascii="宋体" w:hAnsi="宋体" w:eastAsia="宋体" w:cs="宋体"/>
          <w:spacing w:val="15"/>
          <w:sz w:val="20"/>
          <w:szCs w:val="20"/>
        </w:rPr>
        <w:t>造成突发公共卫生事件的原因众多，因此</w:t>
      </w:r>
      <w:r>
        <w:rPr>
          <w:rFonts w:ascii="宋体" w:hAnsi="宋体" w:eastAsia="宋体" w:cs="宋体"/>
          <w:spacing w:val="14"/>
          <w:sz w:val="20"/>
          <w:szCs w:val="20"/>
        </w:rPr>
        <w:t>突发公共卫生事件呈现的种类</w:t>
      </w:r>
      <w:r>
        <w:rPr>
          <w:rFonts w:ascii="宋体" w:hAnsi="宋体" w:eastAsia="宋体" w:cs="宋体"/>
          <w:sz w:val="20"/>
          <w:szCs w:val="20"/>
        </w:rPr>
        <w:t xml:space="preserve"> </w:t>
      </w:r>
      <w:r>
        <w:rPr>
          <w:rFonts w:ascii="宋体" w:hAnsi="宋体" w:eastAsia="宋体" w:cs="宋体"/>
          <w:spacing w:val="12"/>
          <w:sz w:val="20"/>
          <w:szCs w:val="20"/>
        </w:rPr>
        <w:t>和特征日趋多元化和复杂化。仅以化学中毒为例，截至2019年，全球登记的化学物质数量已超过</w:t>
      </w:r>
      <w:r>
        <w:rPr>
          <w:rFonts w:ascii="宋体" w:hAnsi="宋体" w:eastAsia="宋体" w:cs="宋体"/>
          <w:spacing w:val="18"/>
          <w:sz w:val="20"/>
          <w:szCs w:val="20"/>
        </w:rPr>
        <w:t xml:space="preserve"> </w:t>
      </w:r>
      <w:r>
        <w:rPr>
          <w:rFonts w:ascii="宋体" w:hAnsi="宋体" w:eastAsia="宋体" w:cs="宋体"/>
          <w:spacing w:val="5"/>
          <w:sz w:val="20"/>
          <w:szCs w:val="20"/>
        </w:rPr>
        <w:t>1.5亿种，不同毒物以及同一种毒物在不同接触途径、不同剂量下和不同个体中，都可能呈现不同的</w:t>
      </w:r>
      <w:r>
        <w:rPr>
          <w:rFonts w:ascii="宋体" w:hAnsi="宋体" w:eastAsia="宋体" w:cs="宋体"/>
          <w:spacing w:val="9"/>
          <w:sz w:val="20"/>
          <w:szCs w:val="20"/>
        </w:rPr>
        <w:t xml:space="preserve"> </w:t>
      </w:r>
      <w:r>
        <w:rPr>
          <w:rFonts w:ascii="宋体" w:hAnsi="宋体" w:eastAsia="宋体" w:cs="宋体"/>
          <w:spacing w:val="10"/>
          <w:sz w:val="20"/>
          <w:szCs w:val="20"/>
        </w:rPr>
        <w:t>表现。</w:t>
      </w:r>
    </w:p>
    <w:p w14:paraId="6067BC14">
      <w:pPr>
        <w:pStyle w:val="2"/>
        <w:spacing w:before="148" w:line="306" w:lineRule="auto"/>
        <w:ind w:left="699" w:firstLine="429"/>
        <w:rPr>
          <w:rFonts w:ascii="宋体" w:hAnsi="宋体" w:eastAsia="宋体" w:cs="宋体"/>
          <w:sz w:val="20"/>
          <w:szCs w:val="20"/>
        </w:rPr>
      </w:pPr>
      <w:r>
        <w:rPr>
          <w:rFonts w:ascii="宋体" w:hAnsi="宋体" w:eastAsia="宋体" w:cs="宋体"/>
          <w:spacing w:val="13"/>
          <w:sz w:val="20"/>
          <w:szCs w:val="20"/>
        </w:rPr>
        <w:t xml:space="preserve">4. </w:t>
      </w:r>
      <w:r>
        <w:rPr>
          <w:spacing w:val="13"/>
          <w:sz w:val="20"/>
          <w:szCs w:val="20"/>
        </w:rPr>
        <w:t>处置的复杂性</w:t>
      </w:r>
      <w:r>
        <w:rPr>
          <w:spacing w:val="78"/>
          <w:sz w:val="20"/>
          <w:szCs w:val="20"/>
        </w:rPr>
        <w:t xml:space="preserve"> </w:t>
      </w:r>
      <w:r>
        <w:rPr>
          <w:rFonts w:ascii="宋体" w:hAnsi="宋体" w:eastAsia="宋体" w:cs="宋体"/>
          <w:spacing w:val="13"/>
          <w:sz w:val="20"/>
          <w:szCs w:val="20"/>
        </w:rPr>
        <w:t>由于突发公共卫生事件的突然性，其现场控制与处理、原因分析与调</w:t>
      </w:r>
      <w:r>
        <w:rPr>
          <w:rFonts w:ascii="宋体" w:hAnsi="宋体" w:eastAsia="宋体" w:cs="宋体"/>
          <w:spacing w:val="12"/>
          <w:sz w:val="20"/>
          <w:szCs w:val="20"/>
        </w:rPr>
        <w:t>查、</w:t>
      </w:r>
      <w:r>
        <w:rPr>
          <w:rFonts w:ascii="宋体" w:hAnsi="宋体" w:eastAsia="宋体" w:cs="宋体"/>
          <w:sz w:val="20"/>
          <w:szCs w:val="20"/>
        </w:rPr>
        <w:t xml:space="preserve"> </w:t>
      </w:r>
      <w:r>
        <w:rPr>
          <w:rFonts w:ascii="宋体" w:hAnsi="宋体" w:eastAsia="宋体" w:cs="宋体"/>
          <w:spacing w:val="13"/>
          <w:sz w:val="20"/>
          <w:szCs w:val="20"/>
        </w:rPr>
        <w:t>善后总结与预防涉及多个部门和机构，政策性与协调性较强，是一项综合性的系统工程与紧迫性</w:t>
      </w:r>
      <w:r>
        <w:rPr>
          <w:rFonts w:ascii="宋体" w:hAnsi="宋体" w:eastAsia="宋体" w:cs="宋体"/>
          <w:sz w:val="20"/>
          <w:szCs w:val="20"/>
        </w:rPr>
        <w:t xml:space="preserve">  </w:t>
      </w:r>
      <w:r>
        <w:rPr>
          <w:rFonts w:ascii="宋体" w:hAnsi="宋体" w:eastAsia="宋体" w:cs="宋体"/>
          <w:spacing w:val="9"/>
          <w:sz w:val="20"/>
          <w:szCs w:val="20"/>
        </w:rPr>
        <w:t>任务，需要在政府部门的统一布控与系统指挥下，多个部门</w:t>
      </w:r>
      <w:r>
        <w:rPr>
          <w:rFonts w:ascii="宋体" w:hAnsi="宋体" w:eastAsia="宋体" w:cs="宋体"/>
          <w:spacing w:val="8"/>
          <w:sz w:val="20"/>
          <w:szCs w:val="20"/>
        </w:rPr>
        <w:t>密切配合，果断决策，迅速干预，稳妥</w:t>
      </w:r>
      <w:r>
        <w:rPr>
          <w:rFonts w:ascii="宋体" w:hAnsi="宋体" w:eastAsia="宋体" w:cs="宋体"/>
          <w:sz w:val="20"/>
          <w:szCs w:val="20"/>
        </w:rPr>
        <w:t xml:space="preserve"> </w:t>
      </w:r>
      <w:r>
        <w:rPr>
          <w:rFonts w:ascii="宋体" w:hAnsi="宋体" w:eastAsia="宋体" w:cs="宋体"/>
          <w:spacing w:val="10"/>
          <w:sz w:val="20"/>
          <w:szCs w:val="20"/>
        </w:rPr>
        <w:t>推进。</w:t>
      </w:r>
    </w:p>
    <w:p w14:paraId="79B7D52C">
      <w:pPr>
        <w:pStyle w:val="2"/>
        <w:spacing w:before="144" w:line="305" w:lineRule="auto"/>
        <w:ind w:left="699" w:right="90" w:firstLine="429"/>
        <w:rPr>
          <w:rFonts w:ascii="宋体" w:hAnsi="宋体" w:eastAsia="宋体" w:cs="宋体"/>
          <w:sz w:val="20"/>
          <w:szCs w:val="20"/>
        </w:rPr>
      </w:pPr>
      <w:r>
        <w:rPr>
          <w:rFonts w:ascii="宋体" w:hAnsi="宋体" w:eastAsia="宋体" w:cs="宋体"/>
          <w:spacing w:val="10"/>
          <w:sz w:val="20"/>
          <w:szCs w:val="20"/>
        </w:rPr>
        <w:t xml:space="preserve">5. </w:t>
      </w:r>
      <w:r>
        <w:rPr>
          <w:spacing w:val="10"/>
          <w:sz w:val="20"/>
          <w:szCs w:val="20"/>
        </w:rPr>
        <w:t>影响的群体性</w:t>
      </w:r>
      <w:r>
        <w:rPr>
          <w:spacing w:val="107"/>
          <w:sz w:val="20"/>
          <w:szCs w:val="20"/>
        </w:rPr>
        <w:t xml:space="preserve"> </w:t>
      </w:r>
      <w:r>
        <w:rPr>
          <w:rFonts w:ascii="宋体" w:hAnsi="宋体" w:eastAsia="宋体" w:cs="宋体"/>
          <w:spacing w:val="10"/>
          <w:sz w:val="20"/>
          <w:szCs w:val="20"/>
        </w:rPr>
        <w:t>突发公共卫生事件累及人数众多，特别是在经济全球化的当下，突发公共</w:t>
      </w:r>
      <w:r>
        <w:rPr>
          <w:rFonts w:ascii="宋体" w:hAnsi="宋体" w:eastAsia="宋体" w:cs="宋体"/>
          <w:sz w:val="20"/>
          <w:szCs w:val="20"/>
        </w:rPr>
        <w:t xml:space="preserve"> </w:t>
      </w:r>
      <w:r>
        <w:rPr>
          <w:rFonts w:ascii="宋体" w:hAnsi="宋体" w:eastAsia="宋体" w:cs="宋体"/>
          <w:spacing w:val="15"/>
          <w:sz w:val="20"/>
          <w:szCs w:val="20"/>
        </w:rPr>
        <w:t>卫生事件在空间上波及的范围越来越广，甚至出现跨地区/国界传播。有时事件直接涉及范围较</w:t>
      </w:r>
      <w:r>
        <w:rPr>
          <w:rFonts w:ascii="宋体" w:hAnsi="宋体" w:eastAsia="宋体" w:cs="宋体"/>
          <w:spacing w:val="17"/>
          <w:sz w:val="20"/>
          <w:szCs w:val="20"/>
        </w:rPr>
        <w:t xml:space="preserve"> </w:t>
      </w:r>
      <w:r>
        <w:rPr>
          <w:rFonts w:ascii="宋体" w:hAnsi="宋体" w:eastAsia="宋体" w:cs="宋体"/>
          <w:spacing w:val="8"/>
          <w:sz w:val="20"/>
          <w:szCs w:val="20"/>
        </w:rPr>
        <w:t>小，却可通过媒体报道而引起公众关注，成为社会热点，并造成公众心理恐慌和社会秩序混乱等更</w:t>
      </w:r>
      <w:r>
        <w:rPr>
          <w:rFonts w:ascii="宋体" w:hAnsi="宋体" w:eastAsia="宋体" w:cs="宋体"/>
          <w:spacing w:val="4"/>
          <w:sz w:val="20"/>
          <w:szCs w:val="20"/>
        </w:rPr>
        <w:t xml:space="preserve"> </w:t>
      </w:r>
      <w:r>
        <w:rPr>
          <w:rFonts w:ascii="宋体" w:hAnsi="宋体" w:eastAsia="宋体" w:cs="宋体"/>
          <w:spacing w:val="8"/>
          <w:sz w:val="20"/>
          <w:szCs w:val="20"/>
        </w:rPr>
        <w:t>广范围的不良影响。</w:t>
      </w:r>
    </w:p>
    <w:p w14:paraId="47ADDAC8">
      <w:pPr>
        <w:spacing w:before="142" w:line="300" w:lineRule="auto"/>
        <w:ind w:left="699" w:right="84" w:firstLine="429"/>
        <w:rPr>
          <w:rFonts w:ascii="宋体" w:hAnsi="宋体" w:eastAsia="宋体" w:cs="宋体"/>
          <w:sz w:val="20"/>
          <w:szCs w:val="20"/>
        </w:rPr>
      </w:pPr>
      <w:r>
        <w:rPr>
          <w:rFonts w:ascii="宋体" w:hAnsi="宋体" w:eastAsia="宋体" w:cs="宋体"/>
          <w:spacing w:val="12"/>
          <w:sz w:val="20"/>
          <w:szCs w:val="20"/>
        </w:rPr>
        <w:t>6. 后果的严重性</w:t>
      </w:r>
      <w:r>
        <w:rPr>
          <w:rFonts w:ascii="宋体" w:hAnsi="宋体" w:eastAsia="宋体" w:cs="宋体"/>
          <w:spacing w:val="42"/>
          <w:sz w:val="20"/>
          <w:szCs w:val="20"/>
        </w:rPr>
        <w:t xml:space="preserve"> </w:t>
      </w:r>
      <w:r>
        <w:rPr>
          <w:rFonts w:ascii="宋体" w:hAnsi="宋体" w:eastAsia="宋体" w:cs="宋体"/>
          <w:spacing w:val="12"/>
          <w:sz w:val="20"/>
          <w:szCs w:val="20"/>
        </w:rPr>
        <w:t>突发公共卫生事件可造成人员伤亡，或对其身心健</w:t>
      </w:r>
      <w:r>
        <w:rPr>
          <w:rFonts w:ascii="宋体" w:hAnsi="宋体" w:eastAsia="宋体" w:cs="宋体"/>
          <w:spacing w:val="11"/>
          <w:sz w:val="20"/>
          <w:szCs w:val="20"/>
        </w:rPr>
        <w:t>康产生长期影响，增加</w:t>
      </w:r>
      <w:r>
        <w:rPr>
          <w:rFonts w:ascii="宋体" w:hAnsi="宋体" w:eastAsia="宋体" w:cs="宋体"/>
          <w:sz w:val="20"/>
          <w:szCs w:val="20"/>
        </w:rPr>
        <w:t xml:space="preserve"> </w:t>
      </w:r>
      <w:r>
        <w:rPr>
          <w:rFonts w:ascii="宋体" w:hAnsi="宋体" w:eastAsia="宋体" w:cs="宋体"/>
          <w:spacing w:val="3"/>
          <w:sz w:val="20"/>
          <w:szCs w:val="20"/>
        </w:rPr>
        <w:t>医疗支出，造成财产损失、公众不安，影响经济发展，扰乱社会稳定，危害国家安全。这一特征迫使</w:t>
      </w:r>
      <w:r>
        <w:rPr>
          <w:rFonts w:ascii="宋体" w:hAnsi="宋体" w:eastAsia="宋体" w:cs="宋体"/>
          <w:spacing w:val="17"/>
          <w:sz w:val="20"/>
          <w:szCs w:val="20"/>
        </w:rPr>
        <w:t xml:space="preserve"> </w:t>
      </w:r>
      <w:r>
        <w:rPr>
          <w:rFonts w:ascii="宋体" w:hAnsi="宋体" w:eastAsia="宋体" w:cs="宋体"/>
          <w:spacing w:val="8"/>
          <w:sz w:val="20"/>
          <w:szCs w:val="20"/>
        </w:rPr>
        <w:t>政府部门需要及时有效地控制危机局面，减轻其社会危害度和蔓延破坏力。</w:t>
      </w:r>
    </w:p>
    <w:p w14:paraId="7B805544">
      <w:pPr>
        <w:spacing w:line="300" w:lineRule="auto"/>
        <w:rPr>
          <w:rFonts w:ascii="宋体" w:hAnsi="宋体" w:eastAsia="宋体" w:cs="宋体"/>
          <w:sz w:val="20"/>
          <w:szCs w:val="20"/>
        </w:rPr>
        <w:sectPr>
          <w:footerReference r:id="rId267" w:type="default"/>
          <w:pgSz w:w="11900" w:h="16820"/>
          <w:pgMar w:top="400" w:right="1409" w:bottom="819" w:left="750" w:header="0" w:footer="639" w:gutter="0"/>
          <w:cols w:space="720" w:num="1"/>
        </w:sectPr>
      </w:pPr>
    </w:p>
    <w:p w14:paraId="48AAA350">
      <w:pPr>
        <w:pStyle w:val="2"/>
        <w:spacing w:before="126" w:line="221" w:lineRule="auto"/>
        <w:ind w:left="6089"/>
        <w:rPr>
          <w:sz w:val="20"/>
          <w:szCs w:val="20"/>
        </w:rPr>
      </w:pPr>
      <w:r>
        <w:rPr>
          <w:spacing w:val="-19"/>
          <w:w w:val="97"/>
          <w:sz w:val="20"/>
          <w:szCs w:val="20"/>
        </w:rPr>
        <w:t>第十六章 突发公共卫生事件流行病学</w:t>
      </w:r>
    </w:p>
    <w:p w14:paraId="678E3E2E">
      <w:pPr>
        <w:spacing w:line="245" w:lineRule="auto"/>
        <w:rPr>
          <w:rFonts w:ascii="Arial"/>
          <w:sz w:val="21"/>
        </w:rPr>
      </w:pPr>
    </w:p>
    <w:p w14:paraId="6D749394">
      <w:pPr>
        <w:spacing w:line="245" w:lineRule="auto"/>
        <w:rPr>
          <w:rFonts w:ascii="Arial"/>
          <w:sz w:val="21"/>
        </w:rPr>
      </w:pPr>
    </w:p>
    <w:p w14:paraId="266E101F">
      <w:pPr>
        <w:pStyle w:val="2"/>
        <w:spacing w:before="78" w:line="221" w:lineRule="auto"/>
        <w:ind w:left="429"/>
        <w:rPr>
          <w:sz w:val="24"/>
          <w:szCs w:val="24"/>
        </w:rPr>
      </w:pPr>
      <w:r>
        <w:rPr>
          <w:spacing w:val="-10"/>
          <w:sz w:val="24"/>
          <w:szCs w:val="24"/>
        </w:rPr>
        <w:t>(五)其他突发事件造成的公共卫生问题</w:t>
      </w:r>
    </w:p>
    <w:p w14:paraId="1828D4D2">
      <w:pPr>
        <w:spacing w:before="111" w:line="352" w:lineRule="auto"/>
        <w:ind w:right="576" w:firstLine="429"/>
        <w:jc w:val="both"/>
        <w:rPr>
          <w:rFonts w:ascii="宋体" w:hAnsi="宋体" w:eastAsia="宋体" w:cs="宋体"/>
          <w:sz w:val="20"/>
          <w:szCs w:val="20"/>
        </w:rPr>
      </w:pPr>
      <w:r>
        <w:rPr>
          <w:rFonts w:ascii="宋体" w:hAnsi="宋体" w:eastAsia="宋体" w:cs="宋体"/>
          <w:spacing w:val="10"/>
          <w:sz w:val="20"/>
          <w:szCs w:val="20"/>
        </w:rPr>
        <w:t>在四类突发事件中，除突发公共卫生事件以</w:t>
      </w:r>
      <w:r>
        <w:rPr>
          <w:rFonts w:ascii="宋体" w:hAnsi="宋体" w:eastAsia="宋体" w:cs="宋体"/>
          <w:spacing w:val="9"/>
          <w:sz w:val="20"/>
          <w:szCs w:val="20"/>
        </w:rPr>
        <w:t>外的其他3类突发事件也可能危及公众健康，引发</w:t>
      </w:r>
      <w:r>
        <w:rPr>
          <w:rFonts w:ascii="宋体" w:hAnsi="宋体" w:eastAsia="宋体" w:cs="宋体"/>
          <w:sz w:val="20"/>
          <w:szCs w:val="20"/>
        </w:rPr>
        <w:t xml:space="preserve"> </w:t>
      </w:r>
      <w:r>
        <w:rPr>
          <w:rFonts w:ascii="宋体" w:hAnsi="宋体" w:eastAsia="宋体" w:cs="宋体"/>
          <w:spacing w:val="6"/>
          <w:sz w:val="20"/>
          <w:szCs w:val="20"/>
        </w:rPr>
        <w:t>突发公共卫生事件。特别是自然灾害(如地震、洪涝灾害),会导致生态环境破坏、水源和食品污染、</w:t>
      </w:r>
      <w:r>
        <w:rPr>
          <w:rFonts w:ascii="宋体" w:hAnsi="宋体" w:eastAsia="宋体" w:cs="宋体"/>
          <w:spacing w:val="18"/>
          <w:sz w:val="20"/>
          <w:szCs w:val="20"/>
        </w:rPr>
        <w:t xml:space="preserve"> </w:t>
      </w:r>
      <w:r>
        <w:rPr>
          <w:rFonts w:ascii="宋体" w:hAnsi="宋体" w:eastAsia="宋体" w:cs="宋体"/>
          <w:spacing w:val="7"/>
          <w:sz w:val="20"/>
          <w:szCs w:val="20"/>
        </w:rPr>
        <w:t>媒介生物滋生、传染病暴发等公共卫生问题。</w:t>
      </w:r>
    </w:p>
    <w:p w14:paraId="6BD6075D">
      <w:pPr>
        <w:pStyle w:val="2"/>
        <w:spacing w:before="187" w:line="221" w:lineRule="auto"/>
        <w:ind w:left="429"/>
        <w:outlineLvl w:val="4"/>
        <w:rPr>
          <w:sz w:val="24"/>
          <w:szCs w:val="24"/>
        </w:rPr>
      </w:pPr>
      <w:bookmarkStart w:id="417" w:name="bookmark262"/>
      <w:bookmarkEnd w:id="417"/>
      <w:r>
        <w:rPr>
          <w:spacing w:val="-22"/>
          <w:sz w:val="24"/>
          <w:szCs w:val="24"/>
        </w:rPr>
        <w:t>二 、分 类</w:t>
      </w:r>
    </w:p>
    <w:p w14:paraId="5433BC1F">
      <w:pPr>
        <w:spacing w:before="273" w:line="219" w:lineRule="auto"/>
        <w:ind w:left="429"/>
        <w:rPr>
          <w:rFonts w:ascii="宋体" w:hAnsi="宋体" w:eastAsia="宋体" w:cs="宋体"/>
          <w:sz w:val="20"/>
          <w:szCs w:val="20"/>
        </w:rPr>
      </w:pPr>
      <w:r>
        <w:rPr>
          <w:rFonts w:ascii="宋体" w:hAnsi="宋体" w:eastAsia="宋体" w:cs="宋体"/>
          <w:spacing w:val="7"/>
          <w:sz w:val="20"/>
          <w:szCs w:val="20"/>
        </w:rPr>
        <w:t>根据突发公共卫生事件的定义，可将突发公共卫生事件分为以下四类：</w:t>
      </w:r>
    </w:p>
    <w:p w14:paraId="6D6AD5C5">
      <w:pPr>
        <w:pStyle w:val="2"/>
        <w:spacing w:before="123" w:line="222" w:lineRule="auto"/>
        <w:ind w:left="429"/>
        <w:rPr>
          <w:sz w:val="24"/>
          <w:szCs w:val="24"/>
        </w:rPr>
      </w:pPr>
      <w:r>
        <w:rPr>
          <w:spacing w:val="-4"/>
          <w:sz w:val="24"/>
          <w:szCs w:val="24"/>
        </w:rPr>
        <w:t>(一)重大传染病疫情</w:t>
      </w:r>
    </w:p>
    <w:p w14:paraId="63DF5FB9">
      <w:pPr>
        <w:spacing w:before="96" w:line="339" w:lineRule="auto"/>
        <w:ind w:right="615" w:firstLine="429"/>
        <w:jc w:val="both"/>
        <w:rPr>
          <w:rFonts w:ascii="宋体" w:hAnsi="宋体" w:eastAsia="宋体" w:cs="宋体"/>
          <w:sz w:val="20"/>
          <w:szCs w:val="20"/>
        </w:rPr>
      </w:pPr>
      <w:r>
        <w:rPr>
          <w:rFonts w:ascii="宋体" w:hAnsi="宋体" w:eastAsia="宋体" w:cs="宋体"/>
          <w:spacing w:val="7"/>
          <w:sz w:val="20"/>
          <w:szCs w:val="20"/>
        </w:rPr>
        <w:t>指某种传染病在短时间内发生，波及范围广泛，出现大量的病人或死亡病例，其发病率远超常</w:t>
      </w:r>
      <w:r>
        <w:rPr>
          <w:rFonts w:ascii="宋体" w:hAnsi="宋体" w:eastAsia="宋体" w:cs="宋体"/>
          <w:spacing w:val="3"/>
          <w:sz w:val="20"/>
          <w:szCs w:val="20"/>
        </w:rPr>
        <w:t xml:space="preserve"> </w:t>
      </w:r>
      <w:r>
        <w:rPr>
          <w:rFonts w:ascii="宋体" w:hAnsi="宋体" w:eastAsia="宋体" w:cs="宋体"/>
          <w:spacing w:val="10"/>
          <w:sz w:val="20"/>
          <w:szCs w:val="20"/>
        </w:rPr>
        <w:t>年发病水平。主要是由病毒、细菌、寄生虫等病原微生物导致的传染病暴发、流行。如2009年4月</w:t>
      </w:r>
      <w:r>
        <w:rPr>
          <w:rFonts w:ascii="宋体" w:hAnsi="宋体" w:eastAsia="宋体" w:cs="宋体"/>
          <w:sz w:val="20"/>
          <w:szCs w:val="20"/>
        </w:rPr>
        <w:t xml:space="preserve"> </w:t>
      </w:r>
      <w:r>
        <w:rPr>
          <w:rFonts w:ascii="宋体" w:hAnsi="宋体" w:eastAsia="宋体" w:cs="宋体"/>
          <w:spacing w:val="11"/>
          <w:sz w:val="20"/>
          <w:szCs w:val="20"/>
        </w:rPr>
        <w:t>在墨西哥、美国暴发的甲型</w:t>
      </w:r>
      <w:r>
        <w:rPr>
          <w:rFonts w:ascii="Times New Roman" w:hAnsi="Times New Roman" w:eastAsia="Times New Roman" w:cs="Times New Roman"/>
          <w:spacing w:val="11"/>
          <w:sz w:val="20"/>
          <w:szCs w:val="20"/>
        </w:rPr>
        <w:t>H1N1</w:t>
      </w:r>
      <w:r>
        <w:rPr>
          <w:rFonts w:ascii="Times New Roman" w:hAnsi="Times New Roman" w:eastAsia="Times New Roman" w:cs="Times New Roman"/>
          <w:spacing w:val="3"/>
          <w:sz w:val="20"/>
          <w:szCs w:val="20"/>
        </w:rPr>
        <w:t xml:space="preserve">  </w:t>
      </w:r>
      <w:r>
        <w:rPr>
          <w:rFonts w:ascii="宋体" w:hAnsi="宋体" w:eastAsia="宋体" w:cs="宋体"/>
          <w:spacing w:val="11"/>
          <w:sz w:val="20"/>
          <w:szCs w:val="20"/>
        </w:rPr>
        <w:t>流感，后在全球大规模流行，至2010年8月，</w:t>
      </w:r>
      <w:r>
        <w:rPr>
          <w:rFonts w:ascii="Times New Roman" w:hAnsi="Times New Roman" w:eastAsia="Times New Roman" w:cs="Times New Roman"/>
          <w:sz w:val="20"/>
          <w:szCs w:val="20"/>
        </w:rPr>
        <w:t>WHO</w:t>
      </w:r>
      <w:r>
        <w:rPr>
          <w:rFonts w:ascii="Times New Roman" w:hAnsi="Times New Roman" w:eastAsia="Times New Roman" w:cs="Times New Roman"/>
          <w:spacing w:val="26"/>
          <w:w w:val="101"/>
          <w:sz w:val="20"/>
          <w:szCs w:val="20"/>
        </w:rPr>
        <w:t xml:space="preserve"> </w:t>
      </w:r>
      <w:r>
        <w:rPr>
          <w:rFonts w:ascii="宋体" w:hAnsi="宋体" w:eastAsia="宋体" w:cs="宋体"/>
          <w:spacing w:val="11"/>
          <w:sz w:val="20"/>
          <w:szCs w:val="20"/>
        </w:rPr>
        <w:t>才宣布甲型</w:t>
      </w:r>
      <w:r>
        <w:rPr>
          <w:rFonts w:ascii="宋体" w:hAnsi="宋体" w:eastAsia="宋体" w:cs="宋体"/>
          <w:sz w:val="20"/>
          <w:szCs w:val="20"/>
        </w:rPr>
        <w:t xml:space="preserve"> </w:t>
      </w:r>
      <w:r>
        <w:rPr>
          <w:rFonts w:ascii="Times New Roman" w:hAnsi="Times New Roman" w:eastAsia="Times New Roman" w:cs="Times New Roman"/>
          <w:spacing w:val="16"/>
          <w:sz w:val="20"/>
          <w:szCs w:val="20"/>
        </w:rPr>
        <w:t>H1N1</w:t>
      </w:r>
      <w:r>
        <w:rPr>
          <w:rFonts w:ascii="Times New Roman" w:hAnsi="Times New Roman" w:eastAsia="Times New Roman" w:cs="Times New Roman"/>
          <w:spacing w:val="24"/>
          <w:w w:val="101"/>
          <w:sz w:val="20"/>
          <w:szCs w:val="20"/>
        </w:rPr>
        <w:t xml:space="preserve"> </w:t>
      </w:r>
      <w:r>
        <w:rPr>
          <w:rFonts w:ascii="宋体" w:hAnsi="宋体" w:eastAsia="宋体" w:cs="宋体"/>
          <w:spacing w:val="16"/>
          <w:sz w:val="20"/>
          <w:szCs w:val="20"/>
        </w:rPr>
        <w:t>流感大流行期结束；又如2018年刚果(金)暴</w:t>
      </w:r>
      <w:r>
        <w:rPr>
          <w:rFonts w:ascii="宋体" w:hAnsi="宋体" w:eastAsia="宋体" w:cs="宋体"/>
          <w:spacing w:val="15"/>
          <w:sz w:val="20"/>
          <w:szCs w:val="20"/>
        </w:rPr>
        <w:t>发埃博拉病毒病疫情，2018年8月1日到2019</w:t>
      </w:r>
      <w:r>
        <w:rPr>
          <w:rFonts w:ascii="宋体" w:hAnsi="宋体" w:eastAsia="宋体" w:cs="宋体"/>
          <w:sz w:val="20"/>
          <w:szCs w:val="20"/>
        </w:rPr>
        <w:t xml:space="preserve"> </w:t>
      </w:r>
      <w:r>
        <w:rPr>
          <w:rFonts w:ascii="宋体" w:hAnsi="宋体" w:eastAsia="宋体" w:cs="宋体"/>
          <w:spacing w:val="17"/>
          <w:sz w:val="20"/>
          <w:szCs w:val="20"/>
        </w:rPr>
        <w:t>年8月30日期间，累计报告病例3004例，其中确诊病例2899例，死亡病例2006例。这是全球史</w:t>
      </w:r>
      <w:r>
        <w:rPr>
          <w:rFonts w:ascii="宋体" w:hAnsi="宋体" w:eastAsia="宋体" w:cs="宋体"/>
          <w:spacing w:val="1"/>
          <w:sz w:val="20"/>
          <w:szCs w:val="20"/>
        </w:rPr>
        <w:t xml:space="preserve"> </w:t>
      </w:r>
      <w:r>
        <w:rPr>
          <w:rFonts w:ascii="宋体" w:hAnsi="宋体" w:eastAsia="宋体" w:cs="宋体"/>
          <w:spacing w:val="13"/>
          <w:sz w:val="20"/>
          <w:szCs w:val="20"/>
        </w:rPr>
        <w:t>上第二严重的埃博拉病毒病疫情，仅次于2013年至2016年夺走1.1万余人生命的西非埃博拉病毒</w:t>
      </w:r>
      <w:r>
        <w:rPr>
          <w:rFonts w:ascii="宋体" w:hAnsi="宋体" w:eastAsia="宋体" w:cs="宋体"/>
          <w:spacing w:val="8"/>
          <w:sz w:val="20"/>
          <w:szCs w:val="20"/>
        </w:rPr>
        <w:t xml:space="preserve"> </w:t>
      </w:r>
      <w:r>
        <w:rPr>
          <w:rFonts w:ascii="宋体" w:hAnsi="宋体" w:eastAsia="宋体" w:cs="宋体"/>
          <w:spacing w:val="12"/>
          <w:sz w:val="20"/>
          <w:szCs w:val="20"/>
        </w:rPr>
        <w:t>病疫情。</w:t>
      </w:r>
    </w:p>
    <w:p w14:paraId="35012369">
      <w:pPr>
        <w:pStyle w:val="2"/>
        <w:spacing w:before="1" w:line="220" w:lineRule="auto"/>
        <w:ind w:left="433"/>
        <w:rPr>
          <w:sz w:val="24"/>
          <w:szCs w:val="24"/>
        </w:rPr>
      </w:pPr>
      <w:r>
        <w:rPr>
          <w:b/>
          <w:bCs/>
          <w:spacing w:val="-7"/>
          <w:sz w:val="24"/>
          <w:szCs w:val="24"/>
        </w:rPr>
        <w:t>(二)群体性不明原因疾病</w:t>
      </w:r>
    </w:p>
    <w:p w14:paraId="1A58DDB6">
      <w:pPr>
        <w:spacing w:before="76" w:line="342" w:lineRule="auto"/>
        <w:ind w:right="555" w:firstLine="429"/>
        <w:jc w:val="both"/>
        <w:rPr>
          <w:rFonts w:ascii="宋体" w:hAnsi="宋体" w:eastAsia="宋体" w:cs="宋体"/>
          <w:sz w:val="20"/>
          <w:szCs w:val="20"/>
        </w:rPr>
      </w:pPr>
      <w:r>
        <w:rPr>
          <w:rFonts w:ascii="宋体" w:hAnsi="宋体" w:eastAsia="宋体" w:cs="宋体"/>
          <w:spacing w:val="7"/>
          <w:sz w:val="20"/>
          <w:szCs w:val="20"/>
        </w:rPr>
        <w:t>指在短时间内(通常是指2周内)、某个相对集中的区域内(如一个医疗机构、自然村、社区或建 筑工地、学校等集体单位)同时或者相继出现的、具有共同临床表现的多位病人，且病例不断增多、</w:t>
      </w:r>
      <w:r>
        <w:rPr>
          <w:rFonts w:ascii="宋体" w:hAnsi="宋体" w:eastAsia="宋体" w:cs="宋体"/>
          <w:sz w:val="20"/>
          <w:szCs w:val="20"/>
        </w:rPr>
        <w:t xml:space="preserve"> </w:t>
      </w:r>
      <w:r>
        <w:rPr>
          <w:rFonts w:ascii="宋体" w:hAnsi="宋体" w:eastAsia="宋体" w:cs="宋体"/>
          <w:spacing w:val="8"/>
          <w:sz w:val="20"/>
          <w:szCs w:val="20"/>
        </w:rPr>
        <w:t>范围不断扩大，又暂时不能明确原因的疾病。查找病因是一个循</w:t>
      </w:r>
      <w:r>
        <w:rPr>
          <w:rFonts w:ascii="宋体" w:hAnsi="宋体" w:eastAsia="宋体" w:cs="宋体"/>
          <w:spacing w:val="7"/>
          <w:sz w:val="20"/>
          <w:szCs w:val="20"/>
        </w:rPr>
        <w:t>序渐进、逐步深入的过程，“原因</w:t>
      </w:r>
      <w:r>
        <w:rPr>
          <w:rFonts w:ascii="宋体" w:hAnsi="宋体" w:eastAsia="宋体" w:cs="宋体"/>
          <w:sz w:val="20"/>
          <w:szCs w:val="20"/>
        </w:rPr>
        <w:t xml:space="preserve"> </w:t>
      </w:r>
      <w:r>
        <w:rPr>
          <w:rFonts w:ascii="宋体" w:hAnsi="宋体" w:eastAsia="宋体" w:cs="宋体"/>
          <w:spacing w:val="4"/>
          <w:sz w:val="20"/>
          <w:szCs w:val="20"/>
        </w:rPr>
        <w:t>不明”仅仅是暂时的现象，或用常规手段难以发现其原因。随</w:t>
      </w:r>
      <w:r>
        <w:rPr>
          <w:rFonts w:ascii="宋体" w:hAnsi="宋体" w:eastAsia="宋体" w:cs="宋体"/>
          <w:spacing w:val="3"/>
          <w:sz w:val="20"/>
          <w:szCs w:val="20"/>
        </w:rPr>
        <w:t>着流行病学调查研究的不断深人，</w:t>
      </w:r>
      <w:r>
        <w:rPr>
          <w:rFonts w:ascii="宋体" w:hAnsi="宋体" w:eastAsia="宋体" w:cs="宋体"/>
          <w:spacing w:val="63"/>
          <w:sz w:val="20"/>
          <w:szCs w:val="20"/>
        </w:rPr>
        <w:t xml:space="preserve"> </w:t>
      </w:r>
      <w:r>
        <w:rPr>
          <w:rFonts w:ascii="宋体" w:hAnsi="宋体" w:eastAsia="宋体" w:cs="宋体"/>
          <w:spacing w:val="3"/>
          <w:sz w:val="20"/>
          <w:szCs w:val="20"/>
        </w:rPr>
        <w:t>一</w:t>
      </w:r>
      <w:r>
        <w:rPr>
          <w:rFonts w:ascii="宋体" w:hAnsi="宋体" w:eastAsia="宋体" w:cs="宋体"/>
          <w:sz w:val="20"/>
          <w:szCs w:val="20"/>
        </w:rPr>
        <w:t xml:space="preserve">  </w:t>
      </w:r>
      <w:r>
        <w:rPr>
          <w:rFonts w:ascii="宋体" w:hAnsi="宋体" w:eastAsia="宋体" w:cs="宋体"/>
          <w:spacing w:val="7"/>
          <w:sz w:val="20"/>
          <w:szCs w:val="20"/>
        </w:rPr>
        <w:t>些“原因不明”的疾病最终可以被揭示出致病的真正原因。1935年，我国黑龙江省克山县发现一种</w:t>
      </w:r>
      <w:r>
        <w:rPr>
          <w:rFonts w:ascii="宋体" w:hAnsi="宋体" w:eastAsia="宋体" w:cs="宋体"/>
          <w:spacing w:val="4"/>
          <w:sz w:val="20"/>
          <w:szCs w:val="20"/>
        </w:rPr>
        <w:t xml:space="preserve">  </w:t>
      </w:r>
      <w:r>
        <w:rPr>
          <w:rFonts w:ascii="宋体" w:hAnsi="宋体" w:eastAsia="宋体" w:cs="宋体"/>
          <w:spacing w:val="5"/>
          <w:sz w:val="20"/>
          <w:szCs w:val="20"/>
        </w:rPr>
        <w:t>疾病流行，随后在其他一些地区也陆续发现。 一开始人们认为是类似鼠疫的急性传染病，后</w:t>
      </w:r>
      <w:r>
        <w:rPr>
          <w:rFonts w:ascii="宋体" w:hAnsi="宋体" w:eastAsia="宋体" w:cs="宋体"/>
          <w:spacing w:val="4"/>
          <w:sz w:val="20"/>
          <w:szCs w:val="20"/>
        </w:rPr>
        <w:t>来被证</w:t>
      </w:r>
      <w:r>
        <w:rPr>
          <w:rFonts w:ascii="宋体" w:hAnsi="宋体" w:eastAsia="宋体" w:cs="宋体"/>
          <w:sz w:val="20"/>
          <w:szCs w:val="20"/>
        </w:rPr>
        <w:t xml:space="preserve">  </w:t>
      </w:r>
      <w:r>
        <w:rPr>
          <w:rFonts w:ascii="宋体" w:hAnsi="宋体" w:eastAsia="宋体" w:cs="宋体"/>
          <w:spacing w:val="7"/>
          <w:sz w:val="20"/>
          <w:szCs w:val="20"/>
        </w:rPr>
        <w:t>明为原因不明的心肌坏死病(克山病)。目前，虽然克山病的病因尚未完全明确，但研究表明，绝大</w:t>
      </w:r>
      <w:r>
        <w:rPr>
          <w:rFonts w:ascii="宋体" w:hAnsi="宋体" w:eastAsia="宋体" w:cs="宋体"/>
          <w:spacing w:val="5"/>
          <w:sz w:val="20"/>
          <w:szCs w:val="20"/>
        </w:rPr>
        <w:t xml:space="preserve">  </w:t>
      </w:r>
      <w:r>
        <w:rPr>
          <w:rFonts w:ascii="宋体" w:hAnsi="宋体" w:eastAsia="宋体" w:cs="宋体"/>
          <w:spacing w:val="12"/>
          <w:sz w:val="20"/>
          <w:szCs w:val="20"/>
        </w:rPr>
        <w:t>多数克山病病例分布在我国从东北到西南的缺硒地区，提示该病可能与缺硒</w:t>
      </w:r>
      <w:r>
        <w:rPr>
          <w:rFonts w:ascii="宋体" w:hAnsi="宋体" w:eastAsia="宋体" w:cs="宋体"/>
          <w:spacing w:val="11"/>
          <w:sz w:val="20"/>
          <w:szCs w:val="20"/>
        </w:rPr>
        <w:t>有很大关系。2005年</w:t>
      </w:r>
      <w:r>
        <w:rPr>
          <w:rFonts w:ascii="宋体" w:hAnsi="宋体" w:eastAsia="宋体" w:cs="宋体"/>
          <w:sz w:val="20"/>
          <w:szCs w:val="20"/>
        </w:rPr>
        <w:t xml:space="preserve">  </w:t>
      </w:r>
      <w:r>
        <w:rPr>
          <w:rFonts w:ascii="宋体" w:hAnsi="宋体" w:eastAsia="宋体" w:cs="宋体"/>
          <w:spacing w:val="7"/>
          <w:sz w:val="20"/>
          <w:szCs w:val="20"/>
        </w:rPr>
        <w:t>6月下旬，四川省发生不明原因疾病疫情，病例具有高热、畏寒和瘀点、瘀斑等症状和体征。7月22</w:t>
      </w:r>
      <w:r>
        <w:rPr>
          <w:rFonts w:ascii="宋体" w:hAnsi="宋体" w:eastAsia="宋体" w:cs="宋体"/>
          <w:spacing w:val="3"/>
          <w:sz w:val="20"/>
          <w:szCs w:val="20"/>
        </w:rPr>
        <w:t xml:space="preserve">  </w:t>
      </w:r>
      <w:r>
        <w:rPr>
          <w:rFonts w:ascii="宋体" w:hAnsi="宋体" w:eastAsia="宋体" w:cs="宋体"/>
          <w:spacing w:val="9"/>
          <w:sz w:val="20"/>
          <w:szCs w:val="20"/>
        </w:rPr>
        <w:t>日，卫生部首次在新闻媒体上公布此次不明原因疾病疫情。7月25日，查明此次疫情为人感染猪链</w:t>
      </w:r>
      <w:r>
        <w:rPr>
          <w:rFonts w:ascii="宋体" w:hAnsi="宋体" w:eastAsia="宋体" w:cs="宋体"/>
          <w:spacing w:val="1"/>
          <w:sz w:val="20"/>
          <w:szCs w:val="20"/>
        </w:rPr>
        <w:t xml:space="preserve">  </w:t>
      </w:r>
      <w:r>
        <w:rPr>
          <w:rFonts w:ascii="宋体" w:hAnsi="宋体" w:eastAsia="宋体" w:cs="宋体"/>
          <w:spacing w:val="12"/>
          <w:sz w:val="20"/>
          <w:szCs w:val="20"/>
        </w:rPr>
        <w:t>球菌病。</w:t>
      </w:r>
    </w:p>
    <w:p w14:paraId="4ACC0C6F">
      <w:pPr>
        <w:pStyle w:val="2"/>
        <w:spacing w:before="56" w:line="222" w:lineRule="auto"/>
        <w:ind w:left="429"/>
        <w:rPr>
          <w:sz w:val="20"/>
          <w:szCs w:val="20"/>
        </w:rPr>
      </w:pPr>
      <w:r>
        <w:rPr>
          <w:spacing w:val="29"/>
          <w:sz w:val="20"/>
          <w:szCs w:val="20"/>
        </w:rPr>
        <w:t>(三)重大食物和职业中毒</w:t>
      </w:r>
    </w:p>
    <w:p w14:paraId="53C6183A">
      <w:pPr>
        <w:spacing w:before="119" w:line="219" w:lineRule="auto"/>
        <w:ind w:left="429"/>
        <w:rPr>
          <w:rFonts w:ascii="宋体" w:hAnsi="宋体" w:eastAsia="宋体" w:cs="宋体"/>
          <w:sz w:val="20"/>
          <w:szCs w:val="20"/>
        </w:rPr>
      </w:pPr>
      <w:r>
        <w:rPr>
          <w:rFonts w:ascii="宋体" w:hAnsi="宋体" w:eastAsia="宋体" w:cs="宋体"/>
          <w:spacing w:val="9"/>
          <w:sz w:val="20"/>
          <w:szCs w:val="20"/>
        </w:rPr>
        <w:t>指由食品污染和职业危害因素造成的人数众多或者伤亡较重的中毒事件。</w:t>
      </w:r>
    </w:p>
    <w:p w14:paraId="73EDD792">
      <w:pPr>
        <w:pStyle w:val="2"/>
        <w:spacing w:before="124" w:line="342" w:lineRule="auto"/>
        <w:ind w:right="642" w:firstLine="429"/>
        <w:jc w:val="both"/>
        <w:rPr>
          <w:rFonts w:ascii="宋体" w:hAnsi="宋体" w:eastAsia="宋体" w:cs="宋体"/>
          <w:sz w:val="20"/>
          <w:szCs w:val="20"/>
        </w:rPr>
      </w:pPr>
      <w:r>
        <w:rPr>
          <w:rFonts w:ascii="宋体" w:hAnsi="宋体" w:eastAsia="宋体" w:cs="宋体"/>
          <w:spacing w:val="17"/>
          <w:sz w:val="20"/>
          <w:szCs w:val="20"/>
        </w:rPr>
        <w:t xml:space="preserve">1. </w:t>
      </w:r>
      <w:r>
        <w:rPr>
          <w:spacing w:val="17"/>
          <w:sz w:val="20"/>
          <w:szCs w:val="20"/>
        </w:rPr>
        <w:t xml:space="preserve">食物中毒 </w:t>
      </w:r>
      <w:r>
        <w:rPr>
          <w:rFonts w:ascii="宋体" w:hAnsi="宋体" w:eastAsia="宋体" w:cs="宋体"/>
          <w:spacing w:val="17"/>
          <w:sz w:val="20"/>
          <w:szCs w:val="20"/>
        </w:rPr>
        <w:t>指摄入含有生物性、化学性有毒有</w:t>
      </w:r>
      <w:r>
        <w:rPr>
          <w:rFonts w:ascii="宋体" w:hAnsi="宋体" w:eastAsia="宋体" w:cs="宋体"/>
          <w:spacing w:val="16"/>
          <w:sz w:val="20"/>
          <w:szCs w:val="20"/>
        </w:rPr>
        <w:t>害物质的食品或把有毒有害物质当作食品</w:t>
      </w:r>
      <w:r>
        <w:rPr>
          <w:rFonts w:ascii="宋体" w:hAnsi="宋体" w:eastAsia="宋体" w:cs="宋体"/>
          <w:sz w:val="20"/>
          <w:szCs w:val="20"/>
        </w:rPr>
        <w:t xml:space="preserve"> </w:t>
      </w:r>
      <w:r>
        <w:rPr>
          <w:rFonts w:ascii="宋体" w:hAnsi="宋体" w:eastAsia="宋体" w:cs="宋体"/>
          <w:spacing w:val="17"/>
          <w:sz w:val="20"/>
          <w:szCs w:val="20"/>
        </w:rPr>
        <w:t>摄人后所出现的非传染性(不属传染病)急性、亚急性疾病。食物中毒不包括暴饮暴食引起的急</w:t>
      </w:r>
      <w:r>
        <w:rPr>
          <w:rFonts w:ascii="宋体" w:hAnsi="宋体" w:eastAsia="宋体" w:cs="宋体"/>
          <w:spacing w:val="8"/>
          <w:sz w:val="20"/>
          <w:szCs w:val="20"/>
        </w:rPr>
        <w:t xml:space="preserve"> </w:t>
      </w:r>
      <w:r>
        <w:rPr>
          <w:rFonts w:ascii="宋体" w:hAnsi="宋体" w:eastAsia="宋体" w:cs="宋体"/>
          <w:spacing w:val="12"/>
          <w:sz w:val="20"/>
          <w:szCs w:val="20"/>
        </w:rPr>
        <w:t>性胃肠炎、食源性肠道传染病，有毒食物导致的慢性毒性损害(致癌、致畸、致突变)亦不属于此</w:t>
      </w:r>
      <w:r>
        <w:rPr>
          <w:rFonts w:ascii="宋体" w:hAnsi="宋体" w:eastAsia="宋体" w:cs="宋体"/>
          <w:spacing w:val="1"/>
          <w:sz w:val="20"/>
          <w:szCs w:val="20"/>
        </w:rPr>
        <w:t xml:space="preserve"> </w:t>
      </w:r>
      <w:r>
        <w:rPr>
          <w:rFonts w:ascii="宋体" w:hAnsi="宋体" w:eastAsia="宋体" w:cs="宋体"/>
          <w:spacing w:val="10"/>
          <w:sz w:val="20"/>
          <w:szCs w:val="20"/>
        </w:rPr>
        <w:t>范畴。</w:t>
      </w:r>
    </w:p>
    <w:p w14:paraId="269EDC35">
      <w:pPr>
        <w:spacing w:before="5" w:line="342" w:lineRule="auto"/>
        <w:ind w:right="595" w:firstLine="429"/>
        <w:jc w:val="both"/>
        <w:rPr>
          <w:rFonts w:ascii="宋体" w:hAnsi="宋体" w:eastAsia="宋体" w:cs="宋体"/>
          <w:sz w:val="20"/>
          <w:szCs w:val="20"/>
        </w:rPr>
      </w:pPr>
      <w:r>
        <w:rPr>
          <w:rFonts w:ascii="宋体" w:hAnsi="宋体" w:eastAsia="宋体" w:cs="宋体"/>
          <w:spacing w:val="3"/>
          <w:sz w:val="20"/>
          <w:szCs w:val="20"/>
        </w:rPr>
        <w:t>食物中毒的发病特征有：潜伏期短，发病突然，常呈暴发性；中毒者一般具有相似的临床症状，</w:t>
      </w:r>
      <w:r>
        <w:rPr>
          <w:rFonts w:ascii="宋体" w:hAnsi="宋体" w:eastAsia="宋体" w:cs="宋体"/>
          <w:spacing w:val="13"/>
          <w:sz w:val="20"/>
          <w:szCs w:val="20"/>
        </w:rPr>
        <w:t xml:space="preserve"> </w:t>
      </w:r>
      <w:r>
        <w:rPr>
          <w:rFonts w:ascii="宋体" w:hAnsi="宋体" w:eastAsia="宋体" w:cs="宋体"/>
          <w:spacing w:val="2"/>
          <w:sz w:val="20"/>
          <w:szCs w:val="20"/>
        </w:rPr>
        <w:t>常出现恶心、呕吐、腹痛、腹泻等消化道症状，但由于个体差异，其症状轻重可能略有不同；发病与</w:t>
      </w:r>
      <w:r>
        <w:rPr>
          <w:rFonts w:ascii="宋体" w:hAnsi="宋体" w:eastAsia="宋体" w:cs="宋体"/>
          <w:spacing w:val="17"/>
          <w:sz w:val="20"/>
          <w:szCs w:val="20"/>
        </w:rPr>
        <w:t xml:space="preserve"> </w:t>
      </w:r>
      <w:r>
        <w:rPr>
          <w:rFonts w:ascii="宋体" w:hAnsi="宋体" w:eastAsia="宋体" w:cs="宋体"/>
          <w:spacing w:val="7"/>
          <w:sz w:val="20"/>
          <w:szCs w:val="20"/>
        </w:rPr>
        <w:t>进食物质有明确的关系；病人对健康者无传染性，停止食用有毒食物后发病很快停止；从中毒</w:t>
      </w:r>
      <w:r>
        <w:rPr>
          <w:rFonts w:ascii="宋体" w:hAnsi="宋体" w:eastAsia="宋体" w:cs="宋体"/>
          <w:spacing w:val="6"/>
          <w:sz w:val="20"/>
          <w:szCs w:val="20"/>
        </w:rPr>
        <w:t>食物</w:t>
      </w:r>
      <w:r>
        <w:rPr>
          <w:rFonts w:ascii="宋体" w:hAnsi="宋体" w:eastAsia="宋体" w:cs="宋体"/>
          <w:sz w:val="20"/>
          <w:szCs w:val="20"/>
        </w:rPr>
        <w:t xml:space="preserve"> </w:t>
      </w:r>
      <w:r>
        <w:rPr>
          <w:rFonts w:ascii="宋体" w:hAnsi="宋体" w:eastAsia="宋体" w:cs="宋体"/>
          <w:spacing w:val="9"/>
          <w:sz w:val="20"/>
          <w:szCs w:val="20"/>
        </w:rPr>
        <w:t>和病人的生物样品中能检出引起中毒临床表现的有毒有害物质。</w:t>
      </w:r>
    </w:p>
    <w:p w14:paraId="3DF7B76F">
      <w:pPr>
        <w:spacing w:line="334" w:lineRule="auto"/>
        <w:ind w:right="646" w:firstLine="429"/>
        <w:rPr>
          <w:rFonts w:ascii="宋体" w:hAnsi="宋体" w:eastAsia="宋体" w:cs="宋体"/>
          <w:sz w:val="20"/>
          <w:szCs w:val="20"/>
        </w:rPr>
      </w:pPr>
      <w:r>
        <w:rPr>
          <w:rFonts w:ascii="宋体" w:hAnsi="宋体" w:eastAsia="宋体" w:cs="宋体"/>
          <w:spacing w:val="2"/>
          <w:sz w:val="20"/>
          <w:szCs w:val="20"/>
        </w:rPr>
        <w:t>食物中毒主要包括以下五类：细菌性食物中毒、真菌毒素食物中毒、有毒动物食物中毒、有毒植</w:t>
      </w:r>
      <w:r>
        <w:rPr>
          <w:rFonts w:ascii="宋体" w:hAnsi="宋体" w:eastAsia="宋体" w:cs="宋体"/>
          <w:spacing w:val="3"/>
          <w:sz w:val="20"/>
          <w:szCs w:val="20"/>
        </w:rPr>
        <w:t xml:space="preserve"> </w:t>
      </w:r>
      <w:r>
        <w:rPr>
          <w:rFonts w:ascii="宋体" w:hAnsi="宋体" w:eastAsia="宋体" w:cs="宋体"/>
          <w:spacing w:val="2"/>
          <w:sz w:val="20"/>
          <w:szCs w:val="20"/>
        </w:rPr>
        <w:t>物食物中毒、化学性食物中毒。</w:t>
      </w:r>
    </w:p>
    <w:p w14:paraId="3FB40D53">
      <w:pPr>
        <w:spacing w:line="334" w:lineRule="auto"/>
        <w:rPr>
          <w:rFonts w:ascii="宋体" w:hAnsi="宋体" w:eastAsia="宋体" w:cs="宋体"/>
          <w:sz w:val="20"/>
          <w:szCs w:val="20"/>
        </w:rPr>
        <w:sectPr>
          <w:footerReference r:id="rId268" w:type="default"/>
          <w:pgSz w:w="11900" w:h="16820"/>
          <w:pgMar w:top="400" w:right="874" w:bottom="877" w:left="1460" w:header="0" w:footer="696" w:gutter="0"/>
          <w:cols w:space="720" w:num="1"/>
        </w:sectPr>
      </w:pPr>
    </w:p>
    <w:p w14:paraId="3DD84771">
      <w:pPr>
        <w:pStyle w:val="2"/>
        <w:spacing w:before="156" w:line="221" w:lineRule="auto"/>
        <w:ind w:left="730"/>
        <w:rPr>
          <w:sz w:val="20"/>
          <w:szCs w:val="20"/>
        </w:rPr>
      </w:pPr>
      <w:bookmarkStart w:id="418" w:name="bookmark544"/>
      <w:bookmarkEnd w:id="418"/>
      <w:r>
        <w:rPr>
          <w:spacing w:val="-17"/>
          <w:sz w:val="20"/>
          <w:szCs w:val="20"/>
        </w:rPr>
        <w:t>第十六章突发公共卫生事件流行病学</w:t>
      </w:r>
    </w:p>
    <w:p w14:paraId="59806012">
      <w:pPr>
        <w:spacing w:line="276" w:lineRule="auto"/>
        <w:rPr>
          <w:rFonts w:ascii="Arial"/>
          <w:sz w:val="21"/>
        </w:rPr>
      </w:pPr>
    </w:p>
    <w:p w14:paraId="2D1AAA17">
      <w:pPr>
        <w:spacing w:line="276" w:lineRule="auto"/>
        <w:rPr>
          <w:rFonts w:ascii="Arial"/>
          <w:sz w:val="21"/>
        </w:rPr>
      </w:pPr>
    </w:p>
    <w:p w14:paraId="7B5545AD">
      <w:pPr>
        <w:pStyle w:val="2"/>
        <w:spacing w:before="65" w:line="342" w:lineRule="auto"/>
        <w:ind w:left="730" w:right="91" w:firstLine="399"/>
        <w:jc w:val="both"/>
        <w:rPr>
          <w:rFonts w:ascii="宋体" w:hAnsi="宋体" w:eastAsia="宋体" w:cs="宋体"/>
          <w:sz w:val="20"/>
          <w:szCs w:val="20"/>
        </w:rPr>
      </w:pPr>
      <w:r>
        <w:rPr>
          <w:rFonts w:ascii="宋体" w:hAnsi="宋体" w:eastAsia="宋体" w:cs="宋体"/>
          <w:spacing w:val="14"/>
          <w:sz w:val="20"/>
          <w:szCs w:val="20"/>
        </w:rPr>
        <w:t xml:space="preserve">2. </w:t>
      </w:r>
      <w:r>
        <w:rPr>
          <w:spacing w:val="14"/>
          <w:sz w:val="20"/>
          <w:szCs w:val="20"/>
        </w:rPr>
        <w:t>职业中毒</w:t>
      </w:r>
      <w:r>
        <w:rPr>
          <w:spacing w:val="99"/>
          <w:sz w:val="20"/>
          <w:szCs w:val="20"/>
        </w:rPr>
        <w:t xml:space="preserve"> </w:t>
      </w:r>
      <w:r>
        <w:rPr>
          <w:rFonts w:ascii="宋体" w:hAnsi="宋体" w:eastAsia="宋体" w:cs="宋体"/>
          <w:spacing w:val="14"/>
          <w:sz w:val="20"/>
          <w:szCs w:val="20"/>
        </w:rPr>
        <w:t>劳动者在生产过程中接触存在于工作环境中的</w:t>
      </w:r>
      <w:r>
        <w:rPr>
          <w:rFonts w:ascii="宋体" w:hAnsi="宋体" w:eastAsia="宋体" w:cs="宋体"/>
          <w:spacing w:val="13"/>
          <w:sz w:val="20"/>
          <w:szCs w:val="20"/>
        </w:rPr>
        <w:t>生产性毒物而引起的中毒称为职</w:t>
      </w:r>
      <w:r>
        <w:rPr>
          <w:rFonts w:ascii="宋体" w:hAnsi="宋体" w:eastAsia="宋体" w:cs="宋体"/>
          <w:sz w:val="20"/>
          <w:szCs w:val="20"/>
        </w:rPr>
        <w:t xml:space="preserve"> </w:t>
      </w:r>
      <w:r>
        <w:rPr>
          <w:rFonts w:ascii="宋体" w:hAnsi="宋体" w:eastAsia="宋体" w:cs="宋体"/>
          <w:spacing w:val="16"/>
          <w:sz w:val="20"/>
          <w:szCs w:val="20"/>
        </w:rPr>
        <w:t>业中毒。生产性毒物主要通过呼吸道、皮肤和消化道进入人体</w:t>
      </w:r>
      <w:r>
        <w:rPr>
          <w:rFonts w:ascii="宋体" w:hAnsi="宋体" w:eastAsia="宋体" w:cs="宋体"/>
          <w:spacing w:val="15"/>
          <w:sz w:val="20"/>
          <w:szCs w:val="20"/>
        </w:rPr>
        <w:t>导致中毒。如2002年某箱包生产企</w:t>
      </w:r>
      <w:r>
        <w:rPr>
          <w:rFonts w:ascii="宋体" w:hAnsi="宋体" w:eastAsia="宋体" w:cs="宋体"/>
          <w:sz w:val="20"/>
          <w:szCs w:val="20"/>
        </w:rPr>
        <w:t xml:space="preserve"> </w:t>
      </w:r>
      <w:r>
        <w:rPr>
          <w:rFonts w:ascii="宋体" w:hAnsi="宋体" w:eastAsia="宋体" w:cs="宋体"/>
          <w:spacing w:val="11"/>
          <w:sz w:val="20"/>
          <w:szCs w:val="20"/>
        </w:rPr>
        <w:t>业数名职工发生苯中毒，导致6人死亡。</w:t>
      </w:r>
    </w:p>
    <w:p w14:paraId="19EE8211">
      <w:pPr>
        <w:spacing w:before="19" w:line="219" w:lineRule="auto"/>
        <w:ind w:left="1130"/>
        <w:rPr>
          <w:rFonts w:ascii="宋体" w:hAnsi="宋体" w:eastAsia="宋体" w:cs="宋体"/>
          <w:sz w:val="20"/>
          <w:szCs w:val="20"/>
        </w:rPr>
      </w:pPr>
      <w:r>
        <w:rPr>
          <w:rFonts w:ascii="宋体" w:hAnsi="宋体" w:eastAsia="宋体" w:cs="宋体"/>
          <w:spacing w:val="14"/>
          <w:sz w:val="20"/>
          <w:szCs w:val="20"/>
        </w:rPr>
        <w:t>造成职业中毒的生产性毒物主要包括以下6类：</w:t>
      </w:r>
    </w:p>
    <w:p w14:paraId="64D088B0">
      <w:pPr>
        <w:spacing w:before="112" w:line="285" w:lineRule="auto"/>
        <w:ind w:left="730" w:right="89" w:firstLine="399"/>
        <w:rPr>
          <w:rFonts w:ascii="宋体" w:hAnsi="宋体" w:eastAsia="宋体" w:cs="宋体"/>
          <w:sz w:val="20"/>
          <w:szCs w:val="20"/>
        </w:rPr>
      </w:pPr>
      <w:r>
        <w:rPr>
          <w:rFonts w:ascii="宋体" w:hAnsi="宋体" w:eastAsia="宋体" w:cs="宋体"/>
          <w:spacing w:val="14"/>
          <w:sz w:val="20"/>
          <w:szCs w:val="20"/>
        </w:rPr>
        <w:t>(1)金属与类金属；如铅、锰。金属和类金属及其合金在工业上应用广泛，它们引起的中毒在</w:t>
      </w:r>
      <w:r>
        <w:rPr>
          <w:rFonts w:ascii="宋体" w:hAnsi="宋体" w:eastAsia="宋体" w:cs="宋体"/>
          <w:spacing w:val="1"/>
          <w:sz w:val="20"/>
          <w:szCs w:val="20"/>
        </w:rPr>
        <w:t xml:space="preserve"> </w:t>
      </w:r>
      <w:r>
        <w:rPr>
          <w:rFonts w:ascii="宋体" w:hAnsi="宋体" w:eastAsia="宋体" w:cs="宋体"/>
          <w:spacing w:val="11"/>
          <w:sz w:val="20"/>
          <w:szCs w:val="20"/>
        </w:rPr>
        <w:t>职业中毒中具有重要地位。</w:t>
      </w:r>
    </w:p>
    <w:p w14:paraId="2CF7F83E">
      <w:pPr>
        <w:spacing w:before="141" w:line="285" w:lineRule="auto"/>
        <w:ind w:left="730" w:right="91" w:firstLine="399"/>
        <w:rPr>
          <w:rFonts w:ascii="宋体" w:hAnsi="宋体" w:eastAsia="宋体" w:cs="宋体"/>
          <w:sz w:val="20"/>
          <w:szCs w:val="20"/>
        </w:rPr>
      </w:pPr>
      <w:r>
        <w:rPr>
          <w:rFonts w:ascii="宋体" w:hAnsi="宋体" w:eastAsia="宋体" w:cs="宋体"/>
          <w:spacing w:val="9"/>
          <w:sz w:val="20"/>
          <w:szCs w:val="20"/>
        </w:rPr>
        <w:t>(2)刺激性气体：如臭氧、甲醛。刺激性气体是指对眼、呼吸道黏膜和皮肤具有刺激作用，引起</w:t>
      </w:r>
      <w:r>
        <w:rPr>
          <w:rFonts w:ascii="宋体" w:hAnsi="宋体" w:eastAsia="宋体" w:cs="宋体"/>
          <w:sz w:val="20"/>
          <w:szCs w:val="20"/>
        </w:rPr>
        <w:t xml:space="preserve"> </w:t>
      </w:r>
      <w:r>
        <w:rPr>
          <w:rFonts w:ascii="宋体" w:hAnsi="宋体" w:eastAsia="宋体" w:cs="宋体"/>
          <w:spacing w:val="9"/>
          <w:sz w:val="20"/>
          <w:szCs w:val="20"/>
        </w:rPr>
        <w:t>机体以急性炎症、肺水肿为主要病理改变的一类</w:t>
      </w:r>
      <w:r>
        <w:rPr>
          <w:rFonts w:ascii="宋体" w:hAnsi="宋体" w:eastAsia="宋体" w:cs="宋体"/>
          <w:spacing w:val="8"/>
          <w:sz w:val="20"/>
          <w:szCs w:val="20"/>
        </w:rPr>
        <w:t>气态物质。</w:t>
      </w:r>
    </w:p>
    <w:p w14:paraId="7F805D98">
      <w:pPr>
        <w:spacing w:before="133" w:line="296" w:lineRule="auto"/>
        <w:ind w:left="730" w:firstLine="399"/>
        <w:rPr>
          <w:rFonts w:ascii="宋体" w:hAnsi="宋体" w:eastAsia="宋体" w:cs="宋体"/>
          <w:sz w:val="20"/>
          <w:szCs w:val="20"/>
        </w:rPr>
      </w:pPr>
      <w:r>
        <w:rPr>
          <w:rFonts w:ascii="宋体" w:hAnsi="宋体" w:eastAsia="宋体" w:cs="宋体"/>
          <w:spacing w:val="11"/>
          <w:sz w:val="20"/>
          <w:szCs w:val="20"/>
        </w:rPr>
        <w:t>(3)窒息性气体：如一氧化碳、硫化氢。窒息性气体是指被机体吸收后，可使氧的供给、摄取、</w:t>
      </w:r>
      <w:r>
        <w:rPr>
          <w:rFonts w:ascii="宋体" w:hAnsi="宋体" w:eastAsia="宋体" w:cs="宋体"/>
          <w:spacing w:val="5"/>
          <w:sz w:val="20"/>
          <w:szCs w:val="20"/>
        </w:rPr>
        <w:t xml:space="preserve"> </w:t>
      </w:r>
      <w:r>
        <w:rPr>
          <w:rFonts w:ascii="宋体" w:hAnsi="宋体" w:eastAsia="宋体" w:cs="宋体"/>
          <w:spacing w:val="17"/>
          <w:sz w:val="20"/>
          <w:szCs w:val="20"/>
        </w:rPr>
        <w:t>运输和利用发生障碍，使全身组织细胞得不到</w:t>
      </w:r>
      <w:r>
        <w:rPr>
          <w:rFonts w:ascii="宋体" w:hAnsi="宋体" w:eastAsia="宋体" w:cs="宋体"/>
          <w:spacing w:val="16"/>
          <w:sz w:val="20"/>
          <w:szCs w:val="20"/>
        </w:rPr>
        <w:t>或不能利用氧，从而导致组织细胞缺氧窒息的有害</w:t>
      </w:r>
      <w:r>
        <w:rPr>
          <w:rFonts w:ascii="宋体" w:hAnsi="宋体" w:eastAsia="宋体" w:cs="宋体"/>
          <w:sz w:val="20"/>
          <w:szCs w:val="20"/>
        </w:rPr>
        <w:t xml:space="preserve">  </w:t>
      </w:r>
      <w:r>
        <w:rPr>
          <w:rFonts w:ascii="宋体" w:hAnsi="宋体" w:eastAsia="宋体" w:cs="宋体"/>
          <w:spacing w:val="13"/>
          <w:sz w:val="20"/>
          <w:szCs w:val="20"/>
        </w:rPr>
        <w:t>气体。</w:t>
      </w:r>
    </w:p>
    <w:p w14:paraId="07585DFA">
      <w:pPr>
        <w:spacing w:before="128" w:line="286" w:lineRule="auto"/>
        <w:ind w:left="730" w:right="91" w:firstLine="399"/>
        <w:rPr>
          <w:rFonts w:ascii="宋体" w:hAnsi="宋体" w:eastAsia="宋体" w:cs="宋体"/>
          <w:sz w:val="20"/>
          <w:szCs w:val="20"/>
        </w:rPr>
      </w:pPr>
      <w:r>
        <w:rPr>
          <w:rFonts w:ascii="宋体" w:hAnsi="宋体" w:eastAsia="宋体" w:cs="宋体"/>
          <w:spacing w:val="9"/>
          <w:sz w:val="20"/>
          <w:szCs w:val="20"/>
        </w:rPr>
        <w:t>(4)有机溶剂：如苯、二氯乙烷。有机溶剂主要用于清洗、去油污、稀释和萃取，许多溶剂也可</w:t>
      </w:r>
      <w:r>
        <w:rPr>
          <w:rFonts w:ascii="宋体" w:hAnsi="宋体" w:eastAsia="宋体" w:cs="宋体"/>
          <w:sz w:val="20"/>
          <w:szCs w:val="20"/>
        </w:rPr>
        <w:t xml:space="preserve"> </w:t>
      </w:r>
      <w:r>
        <w:rPr>
          <w:rFonts w:ascii="宋体" w:hAnsi="宋体" w:eastAsia="宋体" w:cs="宋体"/>
          <w:spacing w:val="4"/>
          <w:sz w:val="20"/>
          <w:szCs w:val="20"/>
        </w:rPr>
        <w:t>作为原料，制备其他化学品。</w:t>
      </w:r>
    </w:p>
    <w:p w14:paraId="2F021CDA">
      <w:pPr>
        <w:spacing w:before="140" w:line="285" w:lineRule="auto"/>
        <w:ind w:left="730" w:right="89" w:firstLine="399"/>
        <w:rPr>
          <w:rFonts w:ascii="宋体" w:hAnsi="宋体" w:eastAsia="宋体" w:cs="宋体"/>
          <w:sz w:val="20"/>
          <w:szCs w:val="20"/>
        </w:rPr>
      </w:pPr>
      <w:r>
        <w:rPr>
          <w:rFonts w:ascii="宋体" w:hAnsi="宋体" w:eastAsia="宋体" w:cs="宋体"/>
          <w:spacing w:val="14"/>
          <w:sz w:val="20"/>
          <w:szCs w:val="20"/>
        </w:rPr>
        <w:t>(5)高分子化合物：如氯乙烯、丙烯腈。高分子化合物是指分子量高达几千甚至几百万，化学</w:t>
      </w:r>
      <w:r>
        <w:rPr>
          <w:rFonts w:ascii="宋体" w:hAnsi="宋体" w:eastAsia="宋体" w:cs="宋体"/>
          <w:spacing w:val="1"/>
          <w:sz w:val="20"/>
          <w:szCs w:val="20"/>
        </w:rPr>
        <w:t xml:space="preserve"> </w:t>
      </w:r>
      <w:r>
        <w:rPr>
          <w:rFonts w:ascii="宋体" w:hAnsi="宋体" w:eastAsia="宋体" w:cs="宋体"/>
          <w:spacing w:val="9"/>
          <w:sz w:val="20"/>
          <w:szCs w:val="20"/>
        </w:rPr>
        <w:t>组成简单，由一种或几种单体经聚合或缩聚而</w:t>
      </w:r>
      <w:r>
        <w:rPr>
          <w:rFonts w:ascii="宋体" w:hAnsi="宋体" w:eastAsia="宋体" w:cs="宋体"/>
          <w:spacing w:val="8"/>
          <w:sz w:val="20"/>
          <w:szCs w:val="20"/>
        </w:rPr>
        <w:t>成的化合物。</w:t>
      </w:r>
    </w:p>
    <w:p w14:paraId="7680BE44">
      <w:pPr>
        <w:spacing w:before="112" w:line="295" w:lineRule="auto"/>
        <w:ind w:left="730" w:right="90" w:firstLine="399"/>
        <w:rPr>
          <w:rFonts w:ascii="宋体" w:hAnsi="宋体" w:eastAsia="宋体" w:cs="宋体"/>
          <w:sz w:val="20"/>
          <w:szCs w:val="20"/>
        </w:rPr>
      </w:pPr>
      <w:r>
        <w:rPr>
          <w:rFonts w:ascii="宋体" w:hAnsi="宋体" w:eastAsia="宋体" w:cs="宋体"/>
          <w:spacing w:val="9"/>
          <w:sz w:val="20"/>
          <w:szCs w:val="20"/>
        </w:rPr>
        <w:t>(6)农药：如杀虫剂、杀鼠剂。农药是指用于预防、消灭或者控制危害农业、林业的病、虫、草</w:t>
      </w:r>
      <w:r>
        <w:rPr>
          <w:rFonts w:ascii="宋体" w:hAnsi="宋体" w:eastAsia="宋体" w:cs="宋体"/>
          <w:spacing w:val="1"/>
          <w:sz w:val="20"/>
          <w:szCs w:val="20"/>
        </w:rPr>
        <w:t xml:space="preserve"> </w:t>
      </w:r>
      <w:r>
        <w:rPr>
          <w:rFonts w:ascii="宋体" w:hAnsi="宋体" w:eastAsia="宋体" w:cs="宋体"/>
          <w:spacing w:val="5"/>
          <w:sz w:val="20"/>
          <w:szCs w:val="20"/>
        </w:rPr>
        <w:t>和其他有害生物，以及调节植物、昆虫生长的化学物。</w:t>
      </w:r>
    </w:p>
    <w:p w14:paraId="50EE53E3">
      <w:pPr>
        <w:pStyle w:val="2"/>
        <w:spacing w:before="143" w:line="222" w:lineRule="auto"/>
        <w:ind w:left="1199"/>
        <w:rPr>
          <w:sz w:val="20"/>
          <w:szCs w:val="20"/>
        </w:rPr>
      </w:pPr>
      <w:r>
        <w:rPr>
          <w:spacing w:val="27"/>
          <w:sz w:val="20"/>
          <w:szCs w:val="20"/>
        </w:rPr>
        <w:t>(四)其他严重影响公众健康的事件</w:t>
      </w:r>
    </w:p>
    <w:p w14:paraId="75D44FEB">
      <w:pPr>
        <w:spacing w:before="117" w:line="342" w:lineRule="auto"/>
        <w:ind w:left="730" w:right="85" w:firstLine="399"/>
        <w:jc w:val="both"/>
        <w:rPr>
          <w:rFonts w:ascii="宋体" w:hAnsi="宋体" w:eastAsia="宋体" w:cs="宋体"/>
          <w:sz w:val="20"/>
          <w:szCs w:val="20"/>
        </w:rPr>
      </w:pPr>
      <w:r>
        <w:rPr>
          <w:rFonts w:ascii="宋体" w:hAnsi="宋体" w:eastAsia="宋体" w:cs="宋体"/>
          <w:spacing w:val="9"/>
          <w:sz w:val="20"/>
          <w:szCs w:val="20"/>
        </w:rPr>
        <w:t>这类事件包括：自然灾害、事故灾难、突发社会安全事件引发的健康问题(如严重威胁或危害公</w:t>
      </w:r>
      <w:r>
        <w:rPr>
          <w:rFonts w:ascii="宋体" w:hAnsi="宋体" w:eastAsia="宋体" w:cs="宋体"/>
          <w:spacing w:val="12"/>
          <w:sz w:val="20"/>
          <w:szCs w:val="20"/>
        </w:rPr>
        <w:t xml:space="preserve"> </w:t>
      </w:r>
      <w:r>
        <w:rPr>
          <w:rFonts w:ascii="宋体" w:hAnsi="宋体" w:eastAsia="宋体" w:cs="宋体"/>
          <w:spacing w:val="14"/>
          <w:sz w:val="20"/>
          <w:szCs w:val="20"/>
        </w:rPr>
        <w:t>众健康的突发性环境污染事件等);生物、化学和</w:t>
      </w:r>
      <w:r>
        <w:rPr>
          <w:rFonts w:ascii="宋体" w:hAnsi="宋体" w:eastAsia="宋体" w:cs="宋体"/>
          <w:spacing w:val="13"/>
          <w:sz w:val="20"/>
          <w:szCs w:val="20"/>
        </w:rPr>
        <w:t>核辐射恐怖袭击事件；动物疫情(如有潜在威胁的</w:t>
      </w:r>
      <w:r>
        <w:rPr>
          <w:rFonts w:ascii="宋体" w:hAnsi="宋体" w:eastAsia="宋体" w:cs="宋体"/>
          <w:sz w:val="20"/>
          <w:szCs w:val="20"/>
        </w:rPr>
        <w:t xml:space="preserve"> </w:t>
      </w:r>
      <w:r>
        <w:rPr>
          <w:rFonts w:ascii="宋体" w:hAnsi="宋体" w:eastAsia="宋体" w:cs="宋体"/>
          <w:spacing w:val="13"/>
          <w:sz w:val="20"/>
          <w:szCs w:val="20"/>
        </w:rPr>
        <w:t>传染病动物宿主、媒介生物发生异常等);其他严重影响公众健康和生命安全的事件(如预防接种或</w:t>
      </w:r>
      <w:r>
        <w:rPr>
          <w:rFonts w:ascii="宋体" w:hAnsi="宋体" w:eastAsia="宋体" w:cs="宋体"/>
          <w:spacing w:val="15"/>
          <w:sz w:val="20"/>
          <w:szCs w:val="20"/>
        </w:rPr>
        <w:t xml:space="preserve"> </w:t>
      </w:r>
      <w:r>
        <w:rPr>
          <w:rFonts w:ascii="宋体" w:hAnsi="宋体" w:eastAsia="宋体" w:cs="宋体"/>
          <w:spacing w:val="6"/>
          <w:sz w:val="20"/>
          <w:szCs w:val="20"/>
        </w:rPr>
        <w:t>预防性服药后出现群体性异常反应，传染病菌种、毒种丢失等)。</w:t>
      </w:r>
    </w:p>
    <w:p w14:paraId="7E0FD5C3">
      <w:pPr>
        <w:spacing w:before="2" w:line="342" w:lineRule="auto"/>
        <w:ind w:left="730" w:firstLine="399"/>
        <w:rPr>
          <w:rFonts w:ascii="宋体" w:hAnsi="宋体" w:eastAsia="宋体" w:cs="宋体"/>
          <w:sz w:val="20"/>
          <w:szCs w:val="20"/>
        </w:rPr>
      </w:pPr>
      <w:r>
        <w:rPr>
          <w:rFonts w:ascii="宋体" w:hAnsi="宋体" w:eastAsia="宋体" w:cs="宋体"/>
          <w:spacing w:val="12"/>
          <w:sz w:val="20"/>
          <w:szCs w:val="20"/>
        </w:rPr>
        <w:t>自21世纪以来，世界范围的环境问题日益严重，突发性环境污染事件频发，引起人们的重视。</w:t>
      </w:r>
      <w:r>
        <w:rPr>
          <w:rFonts w:ascii="宋体" w:hAnsi="宋体" w:eastAsia="宋体" w:cs="宋体"/>
          <w:spacing w:val="14"/>
          <w:sz w:val="20"/>
          <w:szCs w:val="20"/>
        </w:rPr>
        <w:t xml:space="preserve"> </w:t>
      </w:r>
      <w:r>
        <w:rPr>
          <w:rFonts w:ascii="宋体" w:hAnsi="宋体" w:eastAsia="宋体" w:cs="宋体"/>
          <w:spacing w:val="19"/>
          <w:sz w:val="20"/>
          <w:szCs w:val="20"/>
        </w:rPr>
        <w:t>突发性环境污染事件是指在瞬间或较短时间内大量非</w:t>
      </w:r>
      <w:r>
        <w:rPr>
          <w:rFonts w:ascii="宋体" w:hAnsi="宋体" w:eastAsia="宋体" w:cs="宋体"/>
          <w:spacing w:val="18"/>
          <w:sz w:val="20"/>
          <w:szCs w:val="20"/>
        </w:rPr>
        <w:t>正常排放或泄漏的剧毒或污染环境的物质，</w:t>
      </w:r>
      <w:r>
        <w:rPr>
          <w:rFonts w:ascii="宋体" w:hAnsi="宋体" w:eastAsia="宋体" w:cs="宋体"/>
          <w:sz w:val="20"/>
          <w:szCs w:val="20"/>
        </w:rPr>
        <w:t xml:space="preserve"> </w:t>
      </w:r>
      <w:r>
        <w:rPr>
          <w:rFonts w:ascii="宋体" w:hAnsi="宋体" w:eastAsia="宋体" w:cs="宋体"/>
          <w:spacing w:val="14"/>
          <w:sz w:val="20"/>
          <w:szCs w:val="20"/>
        </w:rPr>
        <w:t>造成巨大的生命财产损失，严重危害生态环境</w:t>
      </w:r>
      <w:r>
        <w:rPr>
          <w:rFonts w:ascii="宋体" w:hAnsi="宋体" w:eastAsia="宋体" w:cs="宋体"/>
          <w:spacing w:val="13"/>
          <w:sz w:val="20"/>
          <w:szCs w:val="20"/>
        </w:rPr>
        <w:t>的恶性环境污染事件。不同于一般的环境污染事件，</w:t>
      </w:r>
      <w:r>
        <w:rPr>
          <w:rFonts w:ascii="宋体" w:hAnsi="宋体" w:eastAsia="宋体" w:cs="宋体"/>
          <w:sz w:val="20"/>
          <w:szCs w:val="20"/>
        </w:rPr>
        <w:t xml:space="preserve"> </w:t>
      </w:r>
      <w:r>
        <w:rPr>
          <w:rFonts w:ascii="宋体" w:hAnsi="宋体" w:eastAsia="宋体" w:cs="宋体"/>
          <w:spacing w:val="11"/>
          <w:sz w:val="20"/>
          <w:szCs w:val="20"/>
        </w:rPr>
        <w:t>突发性环境污染事件具有发生突然、扩散迅速、危害严重及污染物不明等特点。随着现代科学技术</w:t>
      </w:r>
      <w:r>
        <w:rPr>
          <w:rFonts w:ascii="宋体" w:hAnsi="宋体" w:eastAsia="宋体" w:cs="宋体"/>
          <w:spacing w:val="7"/>
          <w:sz w:val="20"/>
          <w:szCs w:val="20"/>
        </w:rPr>
        <w:t xml:space="preserve">  </w:t>
      </w:r>
      <w:r>
        <w:rPr>
          <w:rFonts w:ascii="宋体" w:hAnsi="宋体" w:eastAsia="宋体" w:cs="宋体"/>
          <w:spacing w:val="11"/>
          <w:sz w:val="20"/>
          <w:szCs w:val="20"/>
        </w:rPr>
        <w:t>的发展，可能造成突发性环境污染事件的物质种类和数量逐年增加，带来极大的安全隐患。此类事</w:t>
      </w:r>
      <w:r>
        <w:rPr>
          <w:rFonts w:ascii="宋体" w:hAnsi="宋体" w:eastAsia="宋体" w:cs="宋体"/>
          <w:spacing w:val="7"/>
          <w:sz w:val="20"/>
          <w:szCs w:val="20"/>
        </w:rPr>
        <w:t xml:space="preserve">  </w:t>
      </w:r>
      <w:r>
        <w:rPr>
          <w:rFonts w:ascii="宋体" w:hAnsi="宋体" w:eastAsia="宋体" w:cs="宋体"/>
          <w:spacing w:val="5"/>
          <w:sz w:val="20"/>
          <w:szCs w:val="20"/>
        </w:rPr>
        <w:t>件不仅可致急性损害，还能引起慢性病变，或具有致癌、致畸、致突变等远期危害。</w:t>
      </w:r>
    </w:p>
    <w:p w14:paraId="6D8862B9">
      <w:pPr>
        <w:spacing w:before="14" w:line="343" w:lineRule="auto"/>
        <w:ind w:left="730" w:right="72" w:firstLine="399"/>
        <w:rPr>
          <w:rFonts w:ascii="宋体" w:hAnsi="宋体" w:eastAsia="宋体" w:cs="宋体"/>
          <w:sz w:val="20"/>
          <w:szCs w:val="20"/>
        </w:rPr>
      </w:pPr>
      <w:r>
        <w:rPr>
          <w:rFonts w:ascii="宋体" w:hAnsi="宋体" w:eastAsia="宋体" w:cs="宋体"/>
          <w:spacing w:val="12"/>
          <w:sz w:val="20"/>
          <w:szCs w:val="20"/>
        </w:rPr>
        <w:t>根据事件的发生原因、主要污染物的性质和事故表现形式等，通常可将突发性环境污染事件分</w:t>
      </w:r>
      <w:r>
        <w:rPr>
          <w:rFonts w:ascii="宋体" w:hAnsi="宋体" w:eastAsia="宋体" w:cs="宋体"/>
          <w:spacing w:val="15"/>
          <w:sz w:val="20"/>
          <w:szCs w:val="20"/>
        </w:rPr>
        <w:t xml:space="preserve"> </w:t>
      </w:r>
      <w:r>
        <w:rPr>
          <w:rFonts w:ascii="宋体" w:hAnsi="宋体" w:eastAsia="宋体" w:cs="宋体"/>
          <w:spacing w:val="9"/>
          <w:sz w:val="20"/>
          <w:szCs w:val="20"/>
        </w:rPr>
        <w:t>为以下几种：</w:t>
      </w:r>
    </w:p>
    <w:p w14:paraId="4CA5493B">
      <w:pPr>
        <w:spacing w:before="9" w:line="300" w:lineRule="auto"/>
        <w:ind w:left="730" w:right="49" w:firstLine="399"/>
        <w:rPr>
          <w:rFonts w:ascii="宋体" w:hAnsi="宋体" w:eastAsia="宋体" w:cs="宋体"/>
          <w:sz w:val="20"/>
          <w:szCs w:val="20"/>
        </w:rPr>
      </w:pPr>
      <w:r>
        <w:rPr>
          <w:rFonts w:ascii="宋体" w:hAnsi="宋体" w:eastAsia="宋体" w:cs="宋体"/>
          <w:spacing w:val="10"/>
          <w:sz w:val="20"/>
          <w:szCs w:val="20"/>
        </w:rPr>
        <w:t>(1)有毒有害物质污染事件：指在生产、生活</w:t>
      </w:r>
      <w:r>
        <w:rPr>
          <w:rFonts w:ascii="宋体" w:hAnsi="宋体" w:eastAsia="宋体" w:cs="宋体"/>
          <w:spacing w:val="9"/>
          <w:sz w:val="20"/>
          <w:szCs w:val="20"/>
        </w:rPr>
        <w:t>过程中因使用、贮存、运输、排放以及生产操作等</w:t>
      </w:r>
      <w:r>
        <w:rPr>
          <w:rFonts w:ascii="宋体" w:hAnsi="宋体" w:eastAsia="宋体" w:cs="宋体"/>
          <w:sz w:val="20"/>
          <w:szCs w:val="20"/>
        </w:rPr>
        <w:t xml:space="preserve"> </w:t>
      </w:r>
      <w:r>
        <w:rPr>
          <w:rFonts w:ascii="宋体" w:hAnsi="宋体" w:eastAsia="宋体" w:cs="宋体"/>
          <w:spacing w:val="12"/>
          <w:sz w:val="20"/>
          <w:szCs w:val="20"/>
        </w:rPr>
        <w:t>不当导致有毒有害物质泄漏、爆炸、扩散而污染环境的事件。主要的有毒有害气体有一氧化碳、二</w:t>
      </w:r>
      <w:r>
        <w:rPr>
          <w:rFonts w:ascii="宋体" w:hAnsi="宋体" w:eastAsia="宋体" w:cs="宋体"/>
          <w:spacing w:val="13"/>
          <w:sz w:val="20"/>
          <w:szCs w:val="20"/>
        </w:rPr>
        <w:t xml:space="preserve"> </w:t>
      </w:r>
      <w:r>
        <w:rPr>
          <w:rFonts w:ascii="宋体" w:hAnsi="宋体" w:eastAsia="宋体" w:cs="宋体"/>
          <w:spacing w:val="-3"/>
          <w:sz w:val="20"/>
          <w:szCs w:val="20"/>
        </w:rPr>
        <w:t>氧化碳、氮氧化物、氯气、氨气等。</w:t>
      </w:r>
    </w:p>
    <w:p w14:paraId="5BD7902F">
      <w:pPr>
        <w:spacing w:before="134" w:line="300" w:lineRule="auto"/>
        <w:ind w:left="730" w:right="89" w:firstLine="399"/>
        <w:rPr>
          <w:rFonts w:ascii="宋体" w:hAnsi="宋体" w:eastAsia="宋体" w:cs="宋体"/>
          <w:sz w:val="20"/>
          <w:szCs w:val="20"/>
        </w:rPr>
      </w:pPr>
      <w:r>
        <w:rPr>
          <w:rFonts w:ascii="宋体" w:hAnsi="宋体" w:eastAsia="宋体" w:cs="宋体"/>
          <w:spacing w:val="19"/>
          <w:sz w:val="20"/>
          <w:szCs w:val="20"/>
        </w:rPr>
        <w:t>(2)爆炸污染事件：指一些易燃易爆物当其浓度达到爆炸极限后发生燃烧爆炸形成的污染事</w:t>
      </w:r>
      <w:r>
        <w:rPr>
          <w:rFonts w:ascii="宋体" w:hAnsi="宋体" w:eastAsia="宋体" w:cs="宋体"/>
          <w:spacing w:val="8"/>
          <w:sz w:val="20"/>
          <w:szCs w:val="20"/>
        </w:rPr>
        <w:t xml:space="preserve"> </w:t>
      </w:r>
      <w:r>
        <w:rPr>
          <w:rFonts w:ascii="宋体" w:hAnsi="宋体" w:eastAsia="宋体" w:cs="宋体"/>
          <w:spacing w:val="7"/>
          <w:sz w:val="20"/>
          <w:szCs w:val="20"/>
        </w:rPr>
        <w:t>件。此类物质包括煤气、瓦斯气体、石油液化气、天然气</w:t>
      </w:r>
      <w:r>
        <w:rPr>
          <w:rFonts w:ascii="宋体" w:hAnsi="宋体" w:eastAsia="宋体" w:cs="宋体"/>
          <w:spacing w:val="6"/>
          <w:sz w:val="20"/>
          <w:szCs w:val="20"/>
        </w:rPr>
        <w:t>以及甲醇、苯等易挥发的有机溶剂等。有些</w:t>
      </w:r>
      <w:r>
        <w:rPr>
          <w:rFonts w:ascii="宋体" w:hAnsi="宋体" w:eastAsia="宋体" w:cs="宋体"/>
          <w:sz w:val="20"/>
          <w:szCs w:val="20"/>
        </w:rPr>
        <w:t xml:space="preserve"> </w:t>
      </w:r>
      <w:r>
        <w:rPr>
          <w:rFonts w:ascii="宋体" w:hAnsi="宋体" w:eastAsia="宋体" w:cs="宋体"/>
          <w:spacing w:val="7"/>
          <w:sz w:val="20"/>
          <w:szCs w:val="20"/>
        </w:rPr>
        <w:t>固体废物、垃圾因堆放或处置不当，也会发生爆炸污染事件。</w:t>
      </w:r>
    </w:p>
    <w:p w14:paraId="2D980019">
      <w:pPr>
        <w:spacing w:before="126" w:line="284" w:lineRule="auto"/>
        <w:ind w:left="730" w:right="84" w:firstLine="399"/>
        <w:rPr>
          <w:rFonts w:ascii="宋体" w:hAnsi="宋体" w:eastAsia="宋体" w:cs="宋体"/>
          <w:sz w:val="20"/>
          <w:szCs w:val="20"/>
        </w:rPr>
      </w:pPr>
      <w:r>
        <w:rPr>
          <w:rFonts w:ascii="宋体" w:hAnsi="宋体" w:eastAsia="宋体" w:cs="宋体"/>
          <w:spacing w:val="14"/>
          <w:sz w:val="20"/>
          <w:szCs w:val="20"/>
        </w:rPr>
        <w:t>(3)剧毒农药污染事件：指剧毒农药在生产直至使用过程中因意外或操作不当引起泄漏导致的</w:t>
      </w:r>
      <w:r>
        <w:rPr>
          <w:rFonts w:ascii="宋体" w:hAnsi="宋体" w:eastAsia="宋体" w:cs="宋体"/>
          <w:spacing w:val="6"/>
          <w:sz w:val="20"/>
          <w:szCs w:val="20"/>
        </w:rPr>
        <w:t xml:space="preserve"> </w:t>
      </w:r>
      <w:r>
        <w:rPr>
          <w:rFonts w:ascii="宋体" w:hAnsi="宋体" w:eastAsia="宋体" w:cs="宋体"/>
          <w:spacing w:val="14"/>
          <w:sz w:val="20"/>
          <w:szCs w:val="20"/>
        </w:rPr>
        <w:t>环境污染事件。常用的剧毒农药如有机氯类农药。</w:t>
      </w:r>
    </w:p>
    <w:p w14:paraId="6BF7533E">
      <w:pPr>
        <w:spacing w:before="154" w:line="219" w:lineRule="auto"/>
        <w:ind w:left="1130"/>
        <w:rPr>
          <w:rFonts w:ascii="宋体" w:hAnsi="宋体" w:eastAsia="宋体" w:cs="宋体"/>
          <w:sz w:val="20"/>
          <w:szCs w:val="20"/>
        </w:rPr>
      </w:pPr>
      <w:r>
        <w:rPr>
          <w:rFonts w:ascii="宋体" w:hAnsi="宋体" w:eastAsia="宋体" w:cs="宋体"/>
          <w:spacing w:val="10"/>
          <w:sz w:val="20"/>
          <w:szCs w:val="20"/>
        </w:rPr>
        <w:t>(4)溢油污染事件：指原油、燃料油以及各种</w:t>
      </w:r>
      <w:r>
        <w:rPr>
          <w:rFonts w:ascii="宋体" w:hAnsi="宋体" w:eastAsia="宋体" w:cs="宋体"/>
          <w:spacing w:val="9"/>
          <w:sz w:val="20"/>
          <w:szCs w:val="20"/>
        </w:rPr>
        <w:t>油制品在生产、贮存、运输和使用过程中因意外或</w:t>
      </w:r>
    </w:p>
    <w:p w14:paraId="31B71BFA">
      <w:pPr>
        <w:spacing w:line="219" w:lineRule="auto"/>
        <w:rPr>
          <w:rFonts w:ascii="宋体" w:hAnsi="宋体" w:eastAsia="宋体" w:cs="宋体"/>
          <w:sz w:val="20"/>
          <w:szCs w:val="20"/>
        </w:rPr>
        <w:sectPr>
          <w:footerReference r:id="rId269" w:type="default"/>
          <w:pgSz w:w="11900" w:h="16820"/>
          <w:pgMar w:top="400" w:right="1349" w:bottom="827" w:left="639" w:header="0" w:footer="646" w:gutter="0"/>
          <w:cols w:space="720" w:num="1"/>
        </w:sectPr>
      </w:pPr>
    </w:p>
    <w:p w14:paraId="5D177349">
      <w:pPr>
        <w:pStyle w:val="2"/>
        <w:spacing w:before="275" w:line="221" w:lineRule="auto"/>
        <w:ind w:left="6079"/>
        <w:rPr>
          <w:sz w:val="17"/>
          <w:szCs w:val="17"/>
        </w:rPr>
      </w:pPr>
      <w:bookmarkStart w:id="419" w:name="bookmark545"/>
      <w:bookmarkEnd w:id="419"/>
      <w:r>
        <w:rPr>
          <w:spacing w:val="1"/>
          <w:sz w:val="17"/>
          <w:szCs w:val="17"/>
        </w:rPr>
        <w:t>第十六章 突发公共卫生事件流行病学</w:t>
      </w:r>
    </w:p>
    <w:p w14:paraId="4E29B918">
      <w:pPr>
        <w:spacing w:line="285" w:lineRule="auto"/>
        <w:rPr>
          <w:rFonts w:ascii="Arial"/>
          <w:sz w:val="21"/>
        </w:rPr>
      </w:pPr>
    </w:p>
    <w:p w14:paraId="533DC34D">
      <w:pPr>
        <w:spacing w:line="285" w:lineRule="auto"/>
        <w:rPr>
          <w:rFonts w:ascii="Arial"/>
          <w:sz w:val="21"/>
        </w:rPr>
      </w:pPr>
    </w:p>
    <w:p w14:paraId="1DA77567">
      <w:pPr>
        <w:spacing w:before="65" w:line="337" w:lineRule="auto"/>
        <w:ind w:right="628"/>
        <w:rPr>
          <w:rFonts w:ascii="宋体" w:hAnsi="宋体" w:eastAsia="宋体" w:cs="宋体"/>
          <w:sz w:val="20"/>
          <w:szCs w:val="20"/>
        </w:rPr>
      </w:pPr>
      <w:r>
        <w:rPr>
          <w:rFonts w:ascii="宋体" w:hAnsi="宋体" w:eastAsia="宋体" w:cs="宋体"/>
          <w:spacing w:val="2"/>
          <w:sz w:val="20"/>
          <w:szCs w:val="20"/>
        </w:rPr>
        <w:t>不当操作而造成泄漏的污染事件，如炼油厂、油库、油车漏油，海上采油</w:t>
      </w:r>
      <w:r>
        <w:rPr>
          <w:rFonts w:ascii="宋体" w:hAnsi="宋体" w:eastAsia="宋体" w:cs="宋体"/>
          <w:spacing w:val="1"/>
          <w:sz w:val="20"/>
          <w:szCs w:val="20"/>
        </w:rPr>
        <w:t>平台井喷，油轮触礁等。此</w:t>
      </w:r>
      <w:r>
        <w:rPr>
          <w:rFonts w:ascii="宋体" w:hAnsi="宋体" w:eastAsia="宋体" w:cs="宋体"/>
          <w:sz w:val="20"/>
          <w:szCs w:val="20"/>
        </w:rPr>
        <w:t xml:space="preserve"> </w:t>
      </w:r>
      <w:r>
        <w:rPr>
          <w:rFonts w:ascii="宋体" w:hAnsi="宋体" w:eastAsia="宋体" w:cs="宋体"/>
          <w:spacing w:val="2"/>
          <w:sz w:val="20"/>
          <w:szCs w:val="20"/>
        </w:rPr>
        <w:t>类事件多发生于海洋，污染使鱼类、海鸟等海洋生物死亡，严重破坏海洋生态。</w:t>
      </w:r>
    </w:p>
    <w:p w14:paraId="579062B7">
      <w:pPr>
        <w:spacing w:line="301" w:lineRule="auto"/>
        <w:ind w:right="607" w:firstLine="399"/>
        <w:rPr>
          <w:rFonts w:ascii="宋体" w:hAnsi="宋体" w:eastAsia="宋体" w:cs="宋体"/>
          <w:sz w:val="20"/>
          <w:szCs w:val="20"/>
        </w:rPr>
      </w:pPr>
      <w:r>
        <w:rPr>
          <w:rFonts w:ascii="宋体" w:hAnsi="宋体" w:eastAsia="宋体" w:cs="宋体"/>
          <w:spacing w:val="5"/>
          <w:sz w:val="20"/>
          <w:szCs w:val="20"/>
        </w:rPr>
        <w:t>(5)放射性污染事件：指生产、使用、贮存、运输放射</w:t>
      </w:r>
      <w:r>
        <w:rPr>
          <w:rFonts w:ascii="宋体" w:hAnsi="宋体" w:eastAsia="宋体" w:cs="宋体"/>
          <w:spacing w:val="4"/>
          <w:sz w:val="20"/>
          <w:szCs w:val="20"/>
        </w:rPr>
        <w:t>性物质过程中不当操作导致放射性物质泄</w:t>
      </w:r>
      <w:r>
        <w:rPr>
          <w:rFonts w:ascii="宋体" w:hAnsi="宋体" w:eastAsia="宋体" w:cs="宋体"/>
          <w:sz w:val="20"/>
          <w:szCs w:val="20"/>
        </w:rPr>
        <w:t xml:space="preserve"> </w:t>
      </w:r>
      <w:r>
        <w:rPr>
          <w:rFonts w:ascii="宋体" w:hAnsi="宋体" w:eastAsia="宋体" w:cs="宋体"/>
          <w:spacing w:val="7"/>
          <w:sz w:val="20"/>
          <w:szCs w:val="20"/>
        </w:rPr>
        <w:t>漏而产生核辐射危害的污染事件。核电厂发生火</w:t>
      </w:r>
      <w:r>
        <w:rPr>
          <w:rFonts w:ascii="宋体" w:hAnsi="宋体" w:eastAsia="宋体" w:cs="宋体"/>
          <w:spacing w:val="6"/>
          <w:sz w:val="20"/>
          <w:szCs w:val="20"/>
        </w:rPr>
        <w:t>灾，核反应器爆炸、反应堆冷却系统破裂等都可使</w:t>
      </w:r>
      <w:r>
        <w:rPr>
          <w:rFonts w:ascii="宋体" w:hAnsi="宋体" w:eastAsia="宋体" w:cs="宋体"/>
          <w:sz w:val="20"/>
          <w:szCs w:val="20"/>
        </w:rPr>
        <w:t xml:space="preserve"> </w:t>
      </w:r>
      <w:r>
        <w:rPr>
          <w:rFonts w:ascii="宋体" w:hAnsi="宋体" w:eastAsia="宋体" w:cs="宋体"/>
          <w:spacing w:val="9"/>
          <w:sz w:val="20"/>
          <w:szCs w:val="20"/>
        </w:rPr>
        <w:t>放射性物质泄漏。</w:t>
      </w:r>
    </w:p>
    <w:p w14:paraId="4725B92B">
      <w:pPr>
        <w:spacing w:before="130" w:line="301" w:lineRule="auto"/>
        <w:ind w:right="625" w:firstLine="399"/>
        <w:rPr>
          <w:rFonts w:ascii="宋体" w:hAnsi="宋体" w:eastAsia="宋体" w:cs="宋体"/>
          <w:sz w:val="20"/>
          <w:szCs w:val="20"/>
        </w:rPr>
      </w:pPr>
      <w:r>
        <w:rPr>
          <w:rFonts w:ascii="宋体" w:hAnsi="宋体" w:eastAsia="宋体" w:cs="宋体"/>
          <w:spacing w:val="9"/>
          <w:sz w:val="20"/>
          <w:szCs w:val="20"/>
        </w:rPr>
        <w:t>(6)废水非正常排放污染事件：指不当操作或事故使大量高浓度废水突然排入地表水体，致使</w:t>
      </w:r>
      <w:r>
        <w:rPr>
          <w:rFonts w:ascii="宋体" w:hAnsi="宋体" w:eastAsia="宋体" w:cs="宋体"/>
          <w:spacing w:val="1"/>
          <w:sz w:val="20"/>
          <w:szCs w:val="20"/>
        </w:rPr>
        <w:t xml:space="preserve"> </w:t>
      </w:r>
      <w:r>
        <w:rPr>
          <w:rFonts w:ascii="宋体" w:hAnsi="宋体" w:eastAsia="宋体" w:cs="宋体"/>
          <w:spacing w:val="6"/>
          <w:sz w:val="20"/>
          <w:szCs w:val="20"/>
        </w:rPr>
        <w:t>水质突然恶化的污染事件。如厂矿大量未经处理的废水直接排入河流、湖泊，使水中溶解氧含量迅</w:t>
      </w:r>
      <w:r>
        <w:rPr>
          <w:rFonts w:ascii="宋体" w:hAnsi="宋体" w:eastAsia="宋体" w:cs="宋体"/>
          <w:spacing w:val="18"/>
          <w:sz w:val="20"/>
          <w:szCs w:val="20"/>
        </w:rPr>
        <w:t xml:space="preserve"> </w:t>
      </w:r>
      <w:r>
        <w:rPr>
          <w:rFonts w:ascii="宋体" w:hAnsi="宋体" w:eastAsia="宋体" w:cs="宋体"/>
          <w:sz w:val="20"/>
          <w:szCs w:val="20"/>
        </w:rPr>
        <w:t>速降低，生物窒息死亡，水体发黑发臭，影响水体生态系统。</w:t>
      </w:r>
    </w:p>
    <w:p w14:paraId="405ECB3E">
      <w:pPr>
        <w:pStyle w:val="2"/>
        <w:spacing w:before="311" w:line="222" w:lineRule="auto"/>
        <w:ind w:left="433"/>
        <w:outlineLvl w:val="4"/>
        <w:rPr>
          <w:sz w:val="26"/>
          <w:szCs w:val="26"/>
        </w:rPr>
      </w:pPr>
      <w:bookmarkStart w:id="420" w:name="bookmark263"/>
      <w:bookmarkEnd w:id="420"/>
      <w:r>
        <w:rPr>
          <w:b/>
          <w:bCs/>
          <w:spacing w:val="-8"/>
          <w:sz w:val="26"/>
          <w:szCs w:val="26"/>
        </w:rPr>
        <w:t>三、分期</w:t>
      </w:r>
    </w:p>
    <w:p w14:paraId="5062A563">
      <w:pPr>
        <w:spacing w:before="249" w:line="331" w:lineRule="auto"/>
        <w:ind w:right="627" w:firstLine="429"/>
        <w:rPr>
          <w:rFonts w:ascii="宋体" w:hAnsi="宋体" w:eastAsia="宋体" w:cs="宋体"/>
          <w:sz w:val="20"/>
          <w:szCs w:val="20"/>
        </w:rPr>
      </w:pPr>
      <w:r>
        <w:rPr>
          <w:rFonts w:ascii="宋体" w:hAnsi="宋体" w:eastAsia="宋体" w:cs="宋体"/>
          <w:spacing w:val="13"/>
          <w:sz w:val="20"/>
          <w:szCs w:val="20"/>
        </w:rPr>
        <w:t>依据2024年6月28日修订的《中华人民共和国突发事件应对法》</w:t>
      </w:r>
      <w:r>
        <w:rPr>
          <w:rFonts w:ascii="宋体" w:hAnsi="宋体" w:eastAsia="宋体" w:cs="宋体"/>
          <w:spacing w:val="12"/>
          <w:sz w:val="20"/>
          <w:szCs w:val="20"/>
        </w:rPr>
        <w:t>中对突发事件的应对处置流</w:t>
      </w:r>
      <w:r>
        <w:rPr>
          <w:rFonts w:ascii="宋体" w:hAnsi="宋体" w:eastAsia="宋体" w:cs="宋体"/>
          <w:sz w:val="20"/>
          <w:szCs w:val="20"/>
        </w:rPr>
        <w:t xml:space="preserve"> </w:t>
      </w:r>
      <w:r>
        <w:rPr>
          <w:rFonts w:ascii="宋体" w:hAnsi="宋体" w:eastAsia="宋体" w:cs="宋体"/>
          <w:spacing w:val="3"/>
          <w:sz w:val="20"/>
          <w:szCs w:val="20"/>
        </w:rPr>
        <w:t>程，将突发公共卫生事件分为如下四期：</w:t>
      </w:r>
    </w:p>
    <w:p w14:paraId="599EB68D">
      <w:pPr>
        <w:spacing w:before="3" w:line="315" w:lineRule="auto"/>
        <w:ind w:right="627" w:firstLine="429"/>
        <w:rPr>
          <w:rFonts w:ascii="宋体" w:hAnsi="宋体" w:eastAsia="宋体" w:cs="宋体"/>
          <w:sz w:val="20"/>
          <w:szCs w:val="20"/>
        </w:rPr>
      </w:pPr>
      <w:r>
        <w:rPr>
          <w:rFonts w:ascii="Times New Roman" w:hAnsi="Times New Roman" w:eastAsia="Times New Roman" w:cs="Times New Roman"/>
          <w:spacing w:val="4"/>
          <w:sz w:val="20"/>
          <w:szCs w:val="20"/>
        </w:rPr>
        <w:t xml:space="preserve">1.   </w:t>
      </w:r>
      <w:r>
        <w:rPr>
          <w:rFonts w:ascii="宋体" w:hAnsi="宋体" w:eastAsia="宋体" w:cs="宋体"/>
          <w:spacing w:val="4"/>
          <w:sz w:val="20"/>
          <w:szCs w:val="20"/>
        </w:rPr>
        <w:t>预防准备期</w:t>
      </w:r>
      <w:r>
        <w:rPr>
          <w:rFonts w:ascii="Times New Roman" w:hAnsi="Times New Roman" w:eastAsia="Times New Roman" w:cs="Times New Roman"/>
          <w:spacing w:val="4"/>
          <w:sz w:val="20"/>
          <w:szCs w:val="20"/>
        </w:rPr>
        <w:t>(</w:t>
      </w:r>
      <w:r>
        <w:rPr>
          <w:rFonts w:ascii="Times New Roman" w:hAnsi="Times New Roman" w:eastAsia="Times New Roman" w:cs="Times New Roman"/>
          <w:sz w:val="20"/>
          <w:szCs w:val="20"/>
        </w:rPr>
        <w:t>prevention</w:t>
      </w:r>
      <w:r>
        <w:rPr>
          <w:rFonts w:ascii="Times New Roman" w:hAnsi="Times New Roman" w:eastAsia="Times New Roman" w:cs="Times New Roman"/>
          <w:spacing w:val="24"/>
          <w:w w:val="101"/>
          <w:sz w:val="20"/>
          <w:szCs w:val="20"/>
        </w:rPr>
        <w:t xml:space="preserve">  </w:t>
      </w:r>
      <w:r>
        <w:rPr>
          <w:rFonts w:ascii="Times New Roman" w:hAnsi="Times New Roman" w:eastAsia="Times New Roman" w:cs="Times New Roman"/>
          <w:sz w:val="20"/>
          <w:szCs w:val="20"/>
        </w:rPr>
        <w:t>and</w:t>
      </w:r>
      <w:r>
        <w:rPr>
          <w:rFonts w:ascii="Times New Roman" w:hAnsi="Times New Roman" w:eastAsia="Times New Roman" w:cs="Times New Roman"/>
          <w:spacing w:val="4"/>
          <w:sz w:val="20"/>
          <w:szCs w:val="20"/>
        </w:rPr>
        <w:t xml:space="preserve">  </w:t>
      </w:r>
      <w:r>
        <w:rPr>
          <w:rFonts w:ascii="Times New Roman" w:hAnsi="Times New Roman" w:eastAsia="Times New Roman" w:cs="Times New Roman"/>
          <w:sz w:val="20"/>
          <w:szCs w:val="20"/>
        </w:rPr>
        <w:t>preparedness</w:t>
      </w:r>
      <w:r>
        <w:rPr>
          <w:rFonts w:ascii="Times New Roman" w:hAnsi="Times New Roman" w:eastAsia="Times New Roman" w:cs="Times New Roman"/>
          <w:spacing w:val="4"/>
          <w:sz w:val="20"/>
          <w:szCs w:val="20"/>
        </w:rPr>
        <w:t xml:space="preserve">    </w:t>
      </w:r>
      <w:r>
        <w:rPr>
          <w:rFonts w:ascii="Times New Roman" w:hAnsi="Times New Roman" w:eastAsia="Times New Roman" w:cs="Times New Roman"/>
          <w:sz w:val="20"/>
          <w:szCs w:val="20"/>
        </w:rPr>
        <w:t>phase</w:t>
      </w:r>
      <w:r>
        <w:rPr>
          <w:rFonts w:ascii="Times New Roman" w:hAnsi="Times New Roman" w:eastAsia="Times New Roman" w:cs="Times New Roman"/>
          <w:spacing w:val="4"/>
          <w:sz w:val="20"/>
          <w:szCs w:val="20"/>
        </w:rPr>
        <w:t xml:space="preserve">)   </w:t>
      </w:r>
      <w:r>
        <w:rPr>
          <w:rFonts w:ascii="宋体" w:hAnsi="宋体" w:eastAsia="宋体" w:cs="宋体"/>
          <w:spacing w:val="4"/>
          <w:sz w:val="20"/>
          <w:szCs w:val="20"/>
        </w:rPr>
        <w:t>此时突发公共卫生事件尚未发生，但本期</w:t>
      </w:r>
      <w:r>
        <w:rPr>
          <w:rFonts w:ascii="宋体" w:hAnsi="宋体" w:eastAsia="宋体" w:cs="宋体"/>
          <w:sz w:val="20"/>
          <w:szCs w:val="20"/>
        </w:rPr>
        <w:t xml:space="preserve"> </w:t>
      </w:r>
      <w:r>
        <w:rPr>
          <w:rFonts w:ascii="宋体" w:hAnsi="宋体" w:eastAsia="宋体" w:cs="宋体"/>
          <w:spacing w:val="6"/>
          <w:sz w:val="20"/>
          <w:szCs w:val="20"/>
        </w:rPr>
        <w:t>是做好未雨绸缪工作的关键时期，应积极制订预案，建立健全各种突发公共卫生事件的预防策略和</w:t>
      </w:r>
      <w:r>
        <w:rPr>
          <w:rFonts w:ascii="宋体" w:hAnsi="宋体" w:eastAsia="宋体" w:cs="宋体"/>
          <w:spacing w:val="7"/>
          <w:sz w:val="20"/>
          <w:szCs w:val="20"/>
        </w:rPr>
        <w:t xml:space="preserve"> 措施，防止可避免的突发公共卫生事件发生</w:t>
      </w:r>
      <w:r>
        <w:rPr>
          <w:rFonts w:ascii="宋体" w:hAnsi="宋体" w:eastAsia="宋体" w:cs="宋体"/>
          <w:spacing w:val="6"/>
          <w:sz w:val="20"/>
          <w:szCs w:val="20"/>
        </w:rPr>
        <w:t>；建立与维护监测预警系统和紧急处理系统；训练救援</w:t>
      </w:r>
      <w:r>
        <w:rPr>
          <w:rFonts w:ascii="宋体" w:hAnsi="宋体" w:eastAsia="宋体" w:cs="宋体"/>
          <w:sz w:val="20"/>
          <w:szCs w:val="20"/>
        </w:rPr>
        <w:t xml:space="preserve"> </w:t>
      </w:r>
      <w:r>
        <w:rPr>
          <w:rFonts w:ascii="宋体" w:hAnsi="宋体" w:eastAsia="宋体" w:cs="宋体"/>
          <w:spacing w:val="2"/>
          <w:sz w:val="20"/>
          <w:szCs w:val="20"/>
        </w:rPr>
        <w:t>人员，动员应急人员待命；实时发布预警消息，协助群众做好应对准备。</w:t>
      </w:r>
    </w:p>
    <w:p w14:paraId="17D6E86B">
      <w:pPr>
        <w:pStyle w:val="2"/>
        <w:spacing w:before="130" w:line="302" w:lineRule="auto"/>
        <w:ind w:right="624" w:firstLine="429"/>
        <w:rPr>
          <w:rFonts w:ascii="宋体" w:hAnsi="宋体" w:eastAsia="宋体" w:cs="宋体"/>
          <w:sz w:val="20"/>
          <w:szCs w:val="20"/>
        </w:rPr>
      </w:pPr>
      <w:r>
        <w:rPr>
          <w:rFonts w:ascii="Times New Roman" w:hAnsi="Times New Roman" w:eastAsia="Times New Roman" w:cs="Times New Roman"/>
          <w:spacing w:val="6"/>
          <w:sz w:val="20"/>
          <w:szCs w:val="20"/>
        </w:rPr>
        <w:t>2.</w:t>
      </w:r>
      <w:r>
        <w:rPr>
          <w:rFonts w:ascii="Times New Roman" w:hAnsi="Times New Roman" w:eastAsia="Times New Roman" w:cs="Times New Roman"/>
          <w:spacing w:val="22"/>
          <w:sz w:val="20"/>
          <w:szCs w:val="20"/>
        </w:rPr>
        <w:t xml:space="preserve">  </w:t>
      </w:r>
      <w:r>
        <w:rPr>
          <w:spacing w:val="6"/>
          <w:sz w:val="20"/>
          <w:szCs w:val="20"/>
        </w:rPr>
        <w:t>事件发生期</w:t>
      </w:r>
      <w:r>
        <w:rPr>
          <w:rFonts w:ascii="Times New Roman" w:hAnsi="Times New Roman" w:eastAsia="Times New Roman" w:cs="Times New Roman"/>
          <w:spacing w:val="6"/>
          <w:sz w:val="20"/>
          <w:szCs w:val="20"/>
        </w:rPr>
        <w:t>(</w:t>
      </w:r>
      <w:r>
        <w:rPr>
          <w:rFonts w:ascii="Times New Roman" w:hAnsi="Times New Roman" w:eastAsia="Times New Roman" w:cs="Times New Roman"/>
          <w:sz w:val="20"/>
          <w:szCs w:val="20"/>
        </w:rPr>
        <w:t>impact</w:t>
      </w:r>
      <w:r>
        <w:rPr>
          <w:rFonts w:ascii="Times New Roman" w:hAnsi="Times New Roman" w:eastAsia="Times New Roman" w:cs="Times New Roman"/>
          <w:spacing w:val="6"/>
          <w:sz w:val="20"/>
          <w:szCs w:val="20"/>
        </w:rPr>
        <w:t xml:space="preserve">     </w:t>
      </w:r>
      <w:r>
        <w:rPr>
          <w:rFonts w:ascii="Times New Roman" w:hAnsi="Times New Roman" w:eastAsia="Times New Roman" w:cs="Times New Roman"/>
          <w:sz w:val="20"/>
          <w:szCs w:val="20"/>
        </w:rPr>
        <w:t>phase</w:t>
      </w:r>
      <w:r>
        <w:rPr>
          <w:rFonts w:ascii="Times New Roman" w:hAnsi="Times New Roman" w:eastAsia="Times New Roman" w:cs="Times New Roman"/>
          <w:spacing w:val="6"/>
          <w:sz w:val="20"/>
          <w:szCs w:val="20"/>
        </w:rPr>
        <w:t>)</w:t>
      </w:r>
      <w:r>
        <w:rPr>
          <w:rFonts w:ascii="Times New Roman" w:hAnsi="Times New Roman" w:eastAsia="Times New Roman" w:cs="Times New Roman"/>
          <w:spacing w:val="21"/>
          <w:sz w:val="20"/>
          <w:szCs w:val="20"/>
        </w:rPr>
        <w:t xml:space="preserve">  </w:t>
      </w:r>
      <w:r>
        <w:rPr>
          <w:rFonts w:ascii="宋体" w:hAnsi="宋体" w:eastAsia="宋体" w:cs="宋体"/>
          <w:spacing w:val="6"/>
          <w:sz w:val="20"/>
          <w:szCs w:val="20"/>
        </w:rPr>
        <w:t>不同性质的突发公共卫生事</w:t>
      </w:r>
      <w:r>
        <w:rPr>
          <w:rFonts w:ascii="宋体" w:hAnsi="宋体" w:eastAsia="宋体" w:cs="宋体"/>
          <w:spacing w:val="5"/>
          <w:sz w:val="20"/>
          <w:szCs w:val="20"/>
        </w:rPr>
        <w:t>件，其持续时间的长短不一，如一</w:t>
      </w:r>
      <w:r>
        <w:rPr>
          <w:rFonts w:ascii="宋体" w:hAnsi="宋体" w:eastAsia="宋体" w:cs="宋体"/>
          <w:sz w:val="20"/>
          <w:szCs w:val="20"/>
        </w:rPr>
        <w:t xml:space="preserve"> </w:t>
      </w:r>
      <w:r>
        <w:rPr>
          <w:rFonts w:ascii="宋体" w:hAnsi="宋体" w:eastAsia="宋体" w:cs="宋体"/>
          <w:spacing w:val="11"/>
          <w:sz w:val="20"/>
          <w:szCs w:val="20"/>
        </w:rPr>
        <w:t>次聚餐导致的食物中毒一般会持续几天，而传染病暴发则能持续数月之久。此期要求具备快速反</w:t>
      </w:r>
      <w:r>
        <w:rPr>
          <w:rFonts w:ascii="宋体" w:hAnsi="宋体" w:eastAsia="宋体" w:cs="宋体"/>
          <w:spacing w:val="14"/>
          <w:sz w:val="20"/>
          <w:szCs w:val="20"/>
        </w:rPr>
        <w:t xml:space="preserve"> </w:t>
      </w:r>
      <w:r>
        <w:rPr>
          <w:rFonts w:ascii="宋体" w:hAnsi="宋体" w:eastAsia="宋体" w:cs="宋体"/>
          <w:spacing w:val="5"/>
          <w:sz w:val="20"/>
          <w:szCs w:val="20"/>
        </w:rPr>
        <w:t>应能力，及时控制事件并防止其蔓延。</w:t>
      </w:r>
    </w:p>
    <w:p w14:paraId="160906FC">
      <w:pPr>
        <w:spacing w:before="130" w:line="309" w:lineRule="auto"/>
        <w:ind w:right="535" w:firstLine="429"/>
        <w:rPr>
          <w:rFonts w:ascii="宋体" w:hAnsi="宋体" w:eastAsia="宋体" w:cs="宋体"/>
          <w:sz w:val="20"/>
          <w:szCs w:val="20"/>
        </w:rPr>
      </w:pPr>
      <w:r>
        <w:rPr>
          <w:rFonts w:ascii="Times New Roman" w:hAnsi="Times New Roman" w:eastAsia="Times New Roman" w:cs="Times New Roman"/>
          <w:spacing w:val="5"/>
          <w:sz w:val="20"/>
          <w:szCs w:val="20"/>
        </w:rPr>
        <w:t>3.</w:t>
      </w:r>
      <w:r>
        <w:rPr>
          <w:rFonts w:ascii="Times New Roman" w:hAnsi="Times New Roman" w:eastAsia="Times New Roman" w:cs="Times New Roman"/>
          <w:spacing w:val="24"/>
          <w:sz w:val="20"/>
          <w:szCs w:val="20"/>
        </w:rPr>
        <w:t xml:space="preserve">  </w:t>
      </w:r>
      <w:r>
        <w:rPr>
          <w:rFonts w:ascii="宋体" w:hAnsi="宋体" w:eastAsia="宋体" w:cs="宋体"/>
          <w:spacing w:val="5"/>
          <w:sz w:val="20"/>
          <w:szCs w:val="20"/>
        </w:rPr>
        <w:t>应急处置期</w:t>
      </w:r>
      <w:r>
        <w:rPr>
          <w:rFonts w:ascii="Times New Roman" w:hAnsi="Times New Roman" w:eastAsia="Times New Roman" w:cs="Times New Roman"/>
          <w:spacing w:val="5"/>
          <w:sz w:val="20"/>
          <w:szCs w:val="20"/>
        </w:rPr>
        <w:t>(</w:t>
      </w:r>
      <w:r>
        <w:rPr>
          <w:rFonts w:ascii="Times New Roman" w:hAnsi="Times New Roman" w:eastAsia="Times New Roman" w:cs="Times New Roman"/>
          <w:sz w:val="20"/>
          <w:szCs w:val="20"/>
        </w:rPr>
        <w:t>response</w:t>
      </w:r>
      <w:r>
        <w:rPr>
          <w:rFonts w:ascii="Times New Roman" w:hAnsi="Times New Roman" w:eastAsia="Times New Roman" w:cs="Times New Roman"/>
          <w:spacing w:val="5"/>
          <w:sz w:val="20"/>
          <w:szCs w:val="20"/>
        </w:rPr>
        <w:t xml:space="preserve">    </w:t>
      </w:r>
      <w:r>
        <w:rPr>
          <w:rFonts w:ascii="Times New Roman" w:hAnsi="Times New Roman" w:eastAsia="Times New Roman" w:cs="Times New Roman"/>
          <w:sz w:val="20"/>
          <w:szCs w:val="20"/>
        </w:rPr>
        <w:t>phase</w:t>
      </w:r>
      <w:r>
        <w:rPr>
          <w:rFonts w:ascii="Times New Roman" w:hAnsi="Times New Roman" w:eastAsia="Times New Roman" w:cs="Times New Roman"/>
          <w:spacing w:val="5"/>
          <w:sz w:val="20"/>
          <w:szCs w:val="20"/>
        </w:rPr>
        <w:t xml:space="preserve">)   </w:t>
      </w:r>
      <w:r>
        <w:rPr>
          <w:rFonts w:ascii="宋体" w:hAnsi="宋体" w:eastAsia="宋体" w:cs="宋体"/>
          <w:spacing w:val="5"/>
          <w:sz w:val="20"/>
          <w:szCs w:val="20"/>
        </w:rPr>
        <w:t>传染病疫情的处理工作主要包括</w:t>
      </w:r>
      <w:r>
        <w:rPr>
          <w:rFonts w:ascii="宋体" w:hAnsi="宋体" w:eastAsia="宋体" w:cs="宋体"/>
          <w:spacing w:val="4"/>
          <w:sz w:val="20"/>
          <w:szCs w:val="20"/>
        </w:rPr>
        <w:t>：隔离治疗病人，宰杀病畜，</w:t>
      </w:r>
      <w:r>
        <w:rPr>
          <w:rFonts w:ascii="宋体" w:hAnsi="宋体" w:eastAsia="宋体" w:cs="宋体"/>
          <w:sz w:val="20"/>
          <w:szCs w:val="20"/>
        </w:rPr>
        <w:t xml:space="preserve"> </w:t>
      </w:r>
      <w:r>
        <w:rPr>
          <w:rFonts w:ascii="宋体" w:hAnsi="宋体" w:eastAsia="宋体" w:cs="宋体"/>
          <w:spacing w:val="7"/>
          <w:sz w:val="20"/>
          <w:szCs w:val="20"/>
        </w:rPr>
        <w:t>封锁疫源地，取消公共活动，对可能被污染的</w:t>
      </w:r>
      <w:r>
        <w:rPr>
          <w:rFonts w:ascii="宋体" w:hAnsi="宋体" w:eastAsia="宋体" w:cs="宋体"/>
          <w:spacing w:val="6"/>
          <w:sz w:val="20"/>
          <w:szCs w:val="20"/>
        </w:rPr>
        <w:t>物品和场所进行消毒，封闭被污染的饮用水源，禁止</w:t>
      </w:r>
      <w:r>
        <w:rPr>
          <w:rFonts w:ascii="宋体" w:hAnsi="宋体" w:eastAsia="宋体" w:cs="宋体"/>
          <w:sz w:val="20"/>
          <w:szCs w:val="20"/>
        </w:rPr>
        <w:t xml:space="preserve">  </w:t>
      </w:r>
      <w:r>
        <w:rPr>
          <w:rFonts w:ascii="宋体" w:hAnsi="宋体" w:eastAsia="宋体" w:cs="宋体"/>
          <w:spacing w:val="7"/>
          <w:sz w:val="20"/>
          <w:szCs w:val="20"/>
        </w:rPr>
        <w:t>销售受污染的食物，紧急开展疫苗接种和个人防护。发生技术</w:t>
      </w:r>
      <w:r>
        <w:rPr>
          <w:rFonts w:ascii="宋体" w:hAnsi="宋体" w:eastAsia="宋体" w:cs="宋体"/>
          <w:spacing w:val="6"/>
          <w:sz w:val="20"/>
          <w:szCs w:val="20"/>
        </w:rPr>
        <w:t>事故时要完成的任务有：调查事故原</w:t>
      </w:r>
      <w:r>
        <w:rPr>
          <w:rFonts w:ascii="宋体" w:hAnsi="宋体" w:eastAsia="宋体" w:cs="宋体"/>
          <w:sz w:val="20"/>
          <w:szCs w:val="20"/>
        </w:rPr>
        <w:t xml:space="preserve">  </w:t>
      </w:r>
      <w:r>
        <w:rPr>
          <w:rFonts w:ascii="宋体" w:hAnsi="宋体" w:eastAsia="宋体" w:cs="宋体"/>
          <w:spacing w:val="1"/>
          <w:sz w:val="20"/>
          <w:szCs w:val="20"/>
        </w:rPr>
        <w:t>因，终止危害的扩大，清除环境中残存的隐患，稳定社会情绪等。</w:t>
      </w:r>
    </w:p>
    <w:p w14:paraId="06824191">
      <w:pPr>
        <w:spacing w:before="130" w:line="302" w:lineRule="auto"/>
        <w:ind w:right="535" w:firstLine="429"/>
        <w:rPr>
          <w:rFonts w:ascii="宋体" w:hAnsi="宋体" w:eastAsia="宋体" w:cs="宋体"/>
          <w:sz w:val="20"/>
          <w:szCs w:val="20"/>
        </w:rPr>
      </w:pPr>
      <w:r>
        <w:rPr>
          <w:rFonts w:ascii="Times New Roman" w:hAnsi="Times New Roman" w:eastAsia="Times New Roman" w:cs="Times New Roman"/>
          <w:spacing w:val="7"/>
          <w:sz w:val="20"/>
          <w:szCs w:val="20"/>
        </w:rPr>
        <w:t xml:space="preserve">4.   </w:t>
      </w:r>
      <w:r>
        <w:rPr>
          <w:rFonts w:ascii="宋体" w:hAnsi="宋体" w:eastAsia="宋体" w:cs="宋体"/>
          <w:spacing w:val="7"/>
          <w:sz w:val="20"/>
          <w:szCs w:val="20"/>
        </w:rPr>
        <w:t>恢复重建期</w:t>
      </w:r>
      <w:r>
        <w:rPr>
          <w:rFonts w:ascii="Times New Roman" w:hAnsi="Times New Roman" w:eastAsia="Times New Roman" w:cs="Times New Roman"/>
          <w:spacing w:val="7"/>
          <w:sz w:val="20"/>
          <w:szCs w:val="20"/>
        </w:rPr>
        <w:t>(</w:t>
      </w:r>
      <w:r>
        <w:rPr>
          <w:rFonts w:ascii="Times New Roman" w:hAnsi="Times New Roman" w:eastAsia="Times New Roman" w:cs="Times New Roman"/>
          <w:sz w:val="20"/>
          <w:szCs w:val="20"/>
        </w:rPr>
        <w:t>recovery</w:t>
      </w:r>
      <w:r>
        <w:rPr>
          <w:rFonts w:ascii="Times New Roman" w:hAnsi="Times New Roman" w:eastAsia="Times New Roman" w:cs="Times New Roman"/>
          <w:spacing w:val="7"/>
          <w:sz w:val="20"/>
          <w:szCs w:val="20"/>
        </w:rPr>
        <w:t xml:space="preserve">   </w:t>
      </w:r>
      <w:r>
        <w:rPr>
          <w:rFonts w:ascii="Times New Roman" w:hAnsi="Times New Roman" w:eastAsia="Times New Roman" w:cs="Times New Roman"/>
          <w:sz w:val="20"/>
          <w:szCs w:val="20"/>
        </w:rPr>
        <w:t>and</w:t>
      </w:r>
      <w:r>
        <w:rPr>
          <w:rFonts w:ascii="Times New Roman" w:hAnsi="Times New Roman" w:eastAsia="Times New Roman" w:cs="Times New Roman"/>
          <w:spacing w:val="7"/>
          <w:sz w:val="20"/>
          <w:szCs w:val="20"/>
        </w:rPr>
        <w:t xml:space="preserve">   </w:t>
      </w:r>
      <w:r>
        <w:rPr>
          <w:rFonts w:ascii="Times New Roman" w:hAnsi="Times New Roman" w:eastAsia="Times New Roman" w:cs="Times New Roman"/>
          <w:sz w:val="20"/>
          <w:szCs w:val="20"/>
        </w:rPr>
        <w:t>reconstruction</w:t>
      </w:r>
      <w:r>
        <w:rPr>
          <w:rFonts w:ascii="Times New Roman" w:hAnsi="Times New Roman" w:eastAsia="Times New Roman" w:cs="Times New Roman"/>
          <w:spacing w:val="31"/>
          <w:w w:val="101"/>
          <w:sz w:val="20"/>
          <w:szCs w:val="20"/>
        </w:rPr>
        <w:t xml:space="preserve">  </w:t>
      </w:r>
      <w:r>
        <w:rPr>
          <w:rFonts w:ascii="Times New Roman" w:hAnsi="Times New Roman" w:eastAsia="Times New Roman" w:cs="Times New Roman"/>
          <w:sz w:val="20"/>
          <w:szCs w:val="20"/>
        </w:rPr>
        <w:t>phase</w:t>
      </w:r>
      <w:r>
        <w:rPr>
          <w:rFonts w:ascii="Times New Roman" w:hAnsi="Times New Roman" w:eastAsia="Times New Roman" w:cs="Times New Roman"/>
          <w:spacing w:val="7"/>
          <w:sz w:val="20"/>
          <w:szCs w:val="20"/>
        </w:rPr>
        <w:t>)</w:t>
      </w:r>
      <w:r>
        <w:rPr>
          <w:rFonts w:ascii="Times New Roman" w:hAnsi="Times New Roman" w:eastAsia="Times New Roman" w:cs="Times New Roman"/>
          <w:spacing w:val="16"/>
          <w:sz w:val="20"/>
          <w:szCs w:val="20"/>
        </w:rPr>
        <w:t xml:space="preserve">  </w:t>
      </w:r>
      <w:r>
        <w:rPr>
          <w:rFonts w:ascii="宋体" w:hAnsi="宋体" w:eastAsia="宋体" w:cs="宋体"/>
          <w:spacing w:val="7"/>
          <w:sz w:val="20"/>
          <w:szCs w:val="20"/>
        </w:rPr>
        <w:t>此期的工作重点是尽快让事件发生地区或</w:t>
      </w:r>
      <w:r>
        <w:rPr>
          <w:rFonts w:ascii="宋体" w:hAnsi="宋体" w:eastAsia="宋体" w:cs="宋体"/>
          <w:sz w:val="20"/>
          <w:szCs w:val="20"/>
        </w:rPr>
        <w:t xml:space="preserve"> </w:t>
      </w:r>
      <w:r>
        <w:rPr>
          <w:rFonts w:ascii="宋体" w:hAnsi="宋体" w:eastAsia="宋体" w:cs="宋体"/>
          <w:spacing w:val="9"/>
          <w:sz w:val="20"/>
          <w:szCs w:val="20"/>
        </w:rPr>
        <w:t>波及地区恢复正常秩序，包括做好受害人群躯体伤害的康</w:t>
      </w:r>
      <w:r>
        <w:rPr>
          <w:rFonts w:ascii="宋体" w:hAnsi="宋体" w:eastAsia="宋体" w:cs="宋体"/>
          <w:spacing w:val="8"/>
          <w:sz w:val="20"/>
          <w:szCs w:val="20"/>
        </w:rPr>
        <w:t>复工作，评估受害人群的心理健康状况，</w:t>
      </w:r>
      <w:r>
        <w:rPr>
          <w:rFonts w:ascii="宋体" w:hAnsi="宋体" w:eastAsia="宋体" w:cs="宋体"/>
          <w:sz w:val="20"/>
          <w:szCs w:val="20"/>
        </w:rPr>
        <w:t xml:space="preserve"> </w:t>
      </w:r>
      <w:r>
        <w:rPr>
          <w:rFonts w:ascii="宋体" w:hAnsi="宋体" w:eastAsia="宋体" w:cs="宋体"/>
          <w:spacing w:val="9"/>
          <w:sz w:val="20"/>
          <w:szCs w:val="20"/>
        </w:rPr>
        <w:t>针对可能产生的创伤后应激障碍进行预防和处理。</w:t>
      </w:r>
    </w:p>
    <w:p w14:paraId="26FF9811">
      <w:pPr>
        <w:pStyle w:val="2"/>
        <w:spacing w:before="299" w:line="221" w:lineRule="auto"/>
        <w:ind w:left="433"/>
        <w:outlineLvl w:val="4"/>
        <w:rPr>
          <w:sz w:val="26"/>
          <w:szCs w:val="26"/>
        </w:rPr>
      </w:pPr>
      <w:bookmarkStart w:id="421" w:name="bookmark264"/>
      <w:bookmarkEnd w:id="421"/>
      <w:r>
        <w:rPr>
          <w:b/>
          <w:bCs/>
          <w:spacing w:val="-10"/>
          <w:sz w:val="26"/>
          <w:szCs w:val="26"/>
        </w:rPr>
        <w:t>四、分级</w:t>
      </w:r>
    </w:p>
    <w:p w14:paraId="5D108EC0">
      <w:pPr>
        <w:spacing w:before="291" w:line="302" w:lineRule="auto"/>
        <w:ind w:right="626" w:firstLine="429"/>
        <w:rPr>
          <w:rFonts w:ascii="宋体" w:hAnsi="宋体" w:eastAsia="宋体" w:cs="宋体"/>
          <w:sz w:val="20"/>
          <w:szCs w:val="20"/>
        </w:rPr>
      </w:pPr>
      <w:r>
        <w:rPr>
          <w:rFonts w:ascii="宋体" w:hAnsi="宋体" w:eastAsia="宋体" w:cs="宋体"/>
          <w:spacing w:val="1"/>
          <w:sz w:val="20"/>
          <w:szCs w:val="20"/>
        </w:rPr>
        <w:t>根据突发公共卫生事件的性质、危害程度、涉及范围，突发公共卫生事件可划分为四级：特别重</w:t>
      </w:r>
      <w:r>
        <w:rPr>
          <w:rFonts w:ascii="宋体" w:hAnsi="宋体" w:eastAsia="宋体" w:cs="宋体"/>
          <w:spacing w:val="6"/>
          <w:sz w:val="20"/>
          <w:szCs w:val="20"/>
        </w:rPr>
        <w:t xml:space="preserve"> </w:t>
      </w:r>
      <w:r>
        <w:rPr>
          <w:rFonts w:ascii="宋体" w:hAnsi="宋体" w:eastAsia="宋体" w:cs="宋体"/>
          <w:sz w:val="20"/>
          <w:szCs w:val="20"/>
        </w:rPr>
        <w:t>大</w:t>
      </w:r>
      <w:r>
        <w:rPr>
          <w:rFonts w:ascii="宋体" w:hAnsi="宋体" w:eastAsia="宋体" w:cs="宋体"/>
          <w:spacing w:val="-45"/>
          <w:sz w:val="20"/>
          <w:szCs w:val="20"/>
        </w:rPr>
        <w:t xml:space="preserve"> </w:t>
      </w:r>
      <w:r>
        <w:rPr>
          <w:rFonts w:ascii="Times New Roman" w:hAnsi="Times New Roman" w:eastAsia="Times New Roman" w:cs="Times New Roman"/>
          <w:sz w:val="20"/>
          <w:szCs w:val="20"/>
        </w:rPr>
        <w:t>(I</w:t>
      </w:r>
      <w:r>
        <w:rPr>
          <w:rFonts w:ascii="Times New Roman" w:hAnsi="Times New Roman" w:eastAsia="Times New Roman" w:cs="Times New Roman"/>
          <w:spacing w:val="22"/>
          <w:w w:val="101"/>
          <w:sz w:val="20"/>
          <w:szCs w:val="20"/>
        </w:rPr>
        <w:t xml:space="preserve">  </w:t>
      </w:r>
      <w:r>
        <w:rPr>
          <w:rFonts w:ascii="宋体" w:hAnsi="宋体" w:eastAsia="宋体" w:cs="宋体"/>
          <w:sz w:val="20"/>
          <w:szCs w:val="20"/>
        </w:rPr>
        <w:t>级)、重大(Ⅱ级)、较大(Ⅲ级)和一般</w:t>
      </w:r>
      <w:r>
        <w:rPr>
          <w:rFonts w:ascii="Times New Roman" w:hAnsi="Times New Roman" w:eastAsia="Times New Roman" w:cs="Times New Roman"/>
          <w:sz w:val="20"/>
          <w:szCs w:val="20"/>
        </w:rPr>
        <w:t xml:space="preserve">(IV </w:t>
      </w:r>
      <w:r>
        <w:rPr>
          <w:rFonts w:ascii="宋体" w:hAnsi="宋体" w:eastAsia="宋体" w:cs="宋体"/>
          <w:sz w:val="20"/>
          <w:szCs w:val="20"/>
        </w:rPr>
        <w:t>级),详见《国家突发公共卫生事件应急预案》。</w:t>
      </w:r>
    </w:p>
    <w:p w14:paraId="7416B591">
      <w:pPr>
        <w:spacing w:before="82" w:line="335" w:lineRule="auto"/>
        <w:ind w:right="626" w:firstLine="429"/>
        <w:jc w:val="both"/>
        <w:rPr>
          <w:rFonts w:ascii="宋体" w:hAnsi="宋体" w:eastAsia="宋体" w:cs="宋体"/>
          <w:sz w:val="20"/>
          <w:szCs w:val="20"/>
        </w:rPr>
      </w:pPr>
      <w:r>
        <w:rPr>
          <w:rFonts w:ascii="宋体" w:hAnsi="宋体" w:eastAsia="宋体" w:cs="宋体"/>
          <w:spacing w:val="9"/>
          <w:sz w:val="20"/>
          <w:szCs w:val="20"/>
        </w:rPr>
        <w:t>根据《国家突发公共卫生事件应急预案》,我</w:t>
      </w:r>
      <w:r>
        <w:rPr>
          <w:rFonts w:ascii="宋体" w:hAnsi="宋体" w:eastAsia="宋体" w:cs="宋体"/>
          <w:spacing w:val="8"/>
          <w:sz w:val="20"/>
          <w:szCs w:val="20"/>
        </w:rPr>
        <w:t>国对突发公共卫生事件实行分级管理。全国突发</w:t>
      </w:r>
      <w:r>
        <w:rPr>
          <w:rFonts w:ascii="宋体" w:hAnsi="宋体" w:eastAsia="宋体" w:cs="宋体"/>
          <w:sz w:val="20"/>
          <w:szCs w:val="20"/>
        </w:rPr>
        <w:t xml:space="preserve"> </w:t>
      </w:r>
      <w:r>
        <w:rPr>
          <w:rFonts w:ascii="宋体" w:hAnsi="宋体" w:eastAsia="宋体" w:cs="宋体"/>
          <w:spacing w:val="7"/>
          <w:sz w:val="20"/>
          <w:szCs w:val="20"/>
        </w:rPr>
        <w:t>公共卫生事件应急指挥部负责对特别重大突</w:t>
      </w:r>
      <w:r>
        <w:rPr>
          <w:rFonts w:ascii="宋体" w:hAnsi="宋体" w:eastAsia="宋体" w:cs="宋体"/>
          <w:spacing w:val="6"/>
          <w:sz w:val="20"/>
          <w:szCs w:val="20"/>
        </w:rPr>
        <w:t>发公共卫生事件的统一领导、统一指挥；省级突发公共</w:t>
      </w:r>
      <w:r>
        <w:rPr>
          <w:rFonts w:ascii="宋体" w:hAnsi="宋体" w:eastAsia="宋体" w:cs="宋体"/>
          <w:sz w:val="20"/>
          <w:szCs w:val="20"/>
        </w:rPr>
        <w:t xml:space="preserve"> </w:t>
      </w:r>
      <w:r>
        <w:rPr>
          <w:rFonts w:ascii="宋体" w:hAnsi="宋体" w:eastAsia="宋体" w:cs="宋体"/>
          <w:spacing w:val="8"/>
          <w:sz w:val="20"/>
          <w:szCs w:val="20"/>
        </w:rPr>
        <w:t>卫生事件应急指挥部负责对本行政区域内突发公共卫生事件应急处理的协调和指挥。</w:t>
      </w:r>
    </w:p>
    <w:p w14:paraId="0887C43F">
      <w:pPr>
        <w:spacing w:line="254" w:lineRule="auto"/>
        <w:rPr>
          <w:rFonts w:ascii="Arial"/>
          <w:sz w:val="21"/>
        </w:rPr>
      </w:pPr>
    </w:p>
    <w:p w14:paraId="38A7448C">
      <w:pPr>
        <w:pStyle w:val="2"/>
        <w:spacing w:before="98" w:line="221" w:lineRule="auto"/>
        <w:ind w:left="1724"/>
        <w:outlineLvl w:val="1"/>
      </w:pPr>
      <w:bookmarkStart w:id="422" w:name="bookmark265"/>
      <w:bookmarkEnd w:id="422"/>
      <w:r>
        <w:rPr>
          <w:b/>
          <w:bCs/>
          <w:spacing w:val="-10"/>
        </w:rPr>
        <w:t>第二节</w:t>
      </w:r>
      <w:r>
        <w:rPr>
          <w:spacing w:val="113"/>
        </w:rPr>
        <w:t xml:space="preserve"> </w:t>
      </w:r>
      <w:r>
        <w:rPr>
          <w:b/>
          <w:bCs/>
          <w:spacing w:val="-10"/>
        </w:rPr>
        <w:t>突发公共卫生事件的流行病学调查</w:t>
      </w:r>
    </w:p>
    <w:p w14:paraId="67E41D32">
      <w:pPr>
        <w:spacing w:line="336" w:lineRule="auto"/>
        <w:rPr>
          <w:rFonts w:ascii="Arial"/>
          <w:sz w:val="21"/>
        </w:rPr>
      </w:pPr>
    </w:p>
    <w:p w14:paraId="61E35A50">
      <w:pPr>
        <w:spacing w:before="66" w:line="333" w:lineRule="auto"/>
        <w:ind w:right="627" w:firstLine="429"/>
        <w:jc w:val="both"/>
        <w:rPr>
          <w:rFonts w:ascii="宋体" w:hAnsi="宋体" w:eastAsia="宋体" w:cs="宋体"/>
          <w:sz w:val="20"/>
          <w:szCs w:val="20"/>
        </w:rPr>
      </w:pPr>
      <w:r>
        <w:rPr>
          <w:rFonts w:ascii="宋体" w:hAnsi="宋体" w:eastAsia="宋体" w:cs="宋体"/>
          <w:spacing w:val="11"/>
          <w:sz w:val="20"/>
          <w:szCs w:val="20"/>
        </w:rPr>
        <w:t>突发公共卫生事件的流行病学调查以现场调查为核心，即深人疾病和突发公共卫生事件实际</w:t>
      </w:r>
      <w:r>
        <w:rPr>
          <w:rFonts w:ascii="宋体" w:hAnsi="宋体" w:eastAsia="宋体" w:cs="宋体"/>
          <w:spacing w:val="7"/>
          <w:sz w:val="20"/>
          <w:szCs w:val="20"/>
        </w:rPr>
        <w:t xml:space="preserve"> </w:t>
      </w:r>
      <w:r>
        <w:rPr>
          <w:rFonts w:ascii="宋体" w:hAnsi="宋体" w:eastAsia="宋体" w:cs="宋体"/>
          <w:spacing w:val="11"/>
          <w:sz w:val="20"/>
          <w:szCs w:val="20"/>
        </w:rPr>
        <w:t>发生的地方，针对病因和流行因素进行研究。这是流行病学工作者应对突发公共卫生</w:t>
      </w:r>
      <w:r>
        <w:rPr>
          <w:rFonts w:ascii="宋体" w:hAnsi="宋体" w:eastAsia="宋体" w:cs="宋体"/>
          <w:spacing w:val="10"/>
          <w:sz w:val="20"/>
          <w:szCs w:val="20"/>
        </w:rPr>
        <w:t>事件以及开</w:t>
      </w:r>
      <w:r>
        <w:rPr>
          <w:rFonts w:ascii="宋体" w:hAnsi="宋体" w:eastAsia="宋体" w:cs="宋体"/>
          <w:sz w:val="20"/>
          <w:szCs w:val="20"/>
        </w:rPr>
        <w:t xml:space="preserve"> </w:t>
      </w:r>
      <w:r>
        <w:rPr>
          <w:rFonts w:ascii="宋体" w:hAnsi="宋体" w:eastAsia="宋体" w:cs="宋体"/>
          <w:spacing w:val="5"/>
          <w:sz w:val="20"/>
          <w:szCs w:val="20"/>
        </w:rPr>
        <w:t>展常规流行病学研究时，对现场调查的共识。</w:t>
      </w:r>
    </w:p>
    <w:p w14:paraId="48AB828E">
      <w:pPr>
        <w:spacing w:line="333" w:lineRule="auto"/>
        <w:rPr>
          <w:rFonts w:ascii="宋体" w:hAnsi="宋体" w:eastAsia="宋体" w:cs="宋体"/>
          <w:sz w:val="20"/>
          <w:szCs w:val="20"/>
        </w:rPr>
        <w:sectPr>
          <w:footerReference r:id="rId270" w:type="default"/>
          <w:pgSz w:w="11900" w:h="16820"/>
          <w:pgMar w:top="400" w:right="914" w:bottom="829" w:left="1480" w:header="0" w:footer="649" w:gutter="0"/>
          <w:cols w:space="720" w:num="1"/>
        </w:sectPr>
      </w:pPr>
    </w:p>
    <w:p w14:paraId="6898DC98">
      <w:pPr>
        <w:pStyle w:val="2"/>
        <w:spacing w:before="146" w:line="221" w:lineRule="auto"/>
        <w:ind w:left="720"/>
        <w:rPr>
          <w:sz w:val="21"/>
          <w:szCs w:val="21"/>
        </w:rPr>
      </w:pPr>
      <w:r>
        <w:rPr>
          <w:spacing w:val="-17"/>
          <w:w w:val="95"/>
          <w:sz w:val="21"/>
          <w:szCs w:val="21"/>
        </w:rPr>
        <w:t>第十六章突发公共卫生事件流行病学</w:t>
      </w:r>
    </w:p>
    <w:p w14:paraId="103A9160">
      <w:pPr>
        <w:spacing w:line="355" w:lineRule="auto"/>
        <w:rPr>
          <w:rFonts w:ascii="Arial"/>
          <w:sz w:val="21"/>
        </w:rPr>
      </w:pPr>
    </w:p>
    <w:p w14:paraId="71AB5677">
      <w:pPr>
        <w:spacing w:line="355" w:lineRule="auto"/>
        <w:rPr>
          <w:rFonts w:ascii="Arial"/>
          <w:sz w:val="21"/>
        </w:rPr>
      </w:pPr>
    </w:p>
    <w:p w14:paraId="3466EFF6">
      <w:pPr>
        <w:pStyle w:val="2"/>
        <w:spacing w:before="81" w:line="221" w:lineRule="auto"/>
        <w:ind w:left="1153"/>
        <w:outlineLvl w:val="4"/>
        <w:rPr>
          <w:sz w:val="25"/>
          <w:szCs w:val="25"/>
        </w:rPr>
      </w:pPr>
      <w:bookmarkStart w:id="423" w:name="bookmark266"/>
      <w:bookmarkEnd w:id="423"/>
      <w:r>
        <w:rPr>
          <w:b/>
          <w:bCs/>
          <w:spacing w:val="-5"/>
          <w:sz w:val="25"/>
          <w:szCs w:val="25"/>
        </w:rPr>
        <w:t>一</w:t>
      </w:r>
      <w:r>
        <w:rPr>
          <w:spacing w:val="-58"/>
          <w:sz w:val="25"/>
          <w:szCs w:val="25"/>
        </w:rPr>
        <w:t xml:space="preserve"> </w:t>
      </w:r>
      <w:r>
        <w:rPr>
          <w:b/>
          <w:bCs/>
          <w:spacing w:val="-5"/>
          <w:sz w:val="25"/>
          <w:szCs w:val="25"/>
        </w:rPr>
        <w:t>、开展流行病学调查的意义</w:t>
      </w:r>
    </w:p>
    <w:p w14:paraId="4A0A848E">
      <w:pPr>
        <w:pStyle w:val="2"/>
        <w:spacing w:before="273" w:line="290" w:lineRule="auto"/>
        <w:ind w:left="720" w:right="15" w:firstLine="429"/>
        <w:rPr>
          <w:rFonts w:ascii="宋体" w:hAnsi="宋体" w:eastAsia="宋体" w:cs="宋体"/>
          <w:sz w:val="21"/>
          <w:szCs w:val="21"/>
        </w:rPr>
      </w:pPr>
      <w:r>
        <w:rPr>
          <w:rFonts w:ascii="宋体" w:hAnsi="宋体" w:eastAsia="宋体" w:cs="宋体"/>
          <w:sz w:val="21"/>
          <w:szCs w:val="21"/>
        </w:rPr>
        <w:t xml:space="preserve">1. </w:t>
      </w:r>
      <w:r>
        <w:rPr>
          <w:sz w:val="21"/>
          <w:szCs w:val="21"/>
        </w:rPr>
        <w:t xml:space="preserve">查明原因 </w:t>
      </w:r>
      <w:r>
        <w:rPr>
          <w:rFonts w:ascii="宋体" w:hAnsi="宋体" w:eastAsia="宋体" w:cs="宋体"/>
          <w:sz w:val="21"/>
          <w:szCs w:val="21"/>
        </w:rPr>
        <w:t>开展流行病学调查研究，有助于寻找病因线索、明确病因或危险因素，获取更多</w:t>
      </w:r>
      <w:r>
        <w:rPr>
          <w:rFonts w:ascii="宋体" w:hAnsi="宋体" w:eastAsia="宋体" w:cs="宋体"/>
          <w:spacing w:val="8"/>
          <w:sz w:val="21"/>
          <w:szCs w:val="21"/>
        </w:rPr>
        <w:t xml:space="preserve"> </w:t>
      </w:r>
      <w:r>
        <w:rPr>
          <w:rFonts w:ascii="宋体" w:hAnsi="宋体" w:eastAsia="宋体" w:cs="宋体"/>
          <w:sz w:val="21"/>
          <w:szCs w:val="21"/>
        </w:rPr>
        <w:t>的有关宿主、病因和环境之间相互关系的信息，弥补个案病例研究的不足，更全面地探究疾病的全</w:t>
      </w:r>
      <w:r>
        <w:rPr>
          <w:rFonts w:ascii="宋体" w:hAnsi="宋体" w:eastAsia="宋体" w:cs="宋体"/>
          <w:spacing w:val="8"/>
          <w:sz w:val="21"/>
          <w:szCs w:val="21"/>
        </w:rPr>
        <w:t xml:space="preserve"> </w:t>
      </w:r>
      <w:r>
        <w:rPr>
          <w:rFonts w:ascii="宋体" w:hAnsi="宋体" w:eastAsia="宋体" w:cs="宋体"/>
          <w:spacing w:val="-3"/>
          <w:sz w:val="21"/>
          <w:szCs w:val="21"/>
        </w:rPr>
        <w:t>貌。这既能促进疾病的理论研究，又能直接为疾病防控服务。</w:t>
      </w:r>
    </w:p>
    <w:p w14:paraId="6FF4FAC7">
      <w:pPr>
        <w:pStyle w:val="2"/>
        <w:spacing w:before="122" w:line="294" w:lineRule="auto"/>
        <w:ind w:left="720" w:firstLine="429"/>
        <w:rPr>
          <w:rFonts w:ascii="宋体" w:hAnsi="宋体" w:eastAsia="宋体" w:cs="宋体"/>
          <w:sz w:val="21"/>
          <w:szCs w:val="21"/>
        </w:rPr>
      </w:pPr>
      <w:r>
        <w:rPr>
          <w:rFonts w:ascii="宋体" w:hAnsi="宋体" w:eastAsia="宋体" w:cs="宋体"/>
          <w:spacing w:val="4"/>
          <w:sz w:val="21"/>
          <w:szCs w:val="21"/>
        </w:rPr>
        <w:t xml:space="preserve">2. </w:t>
      </w:r>
      <w:r>
        <w:rPr>
          <w:spacing w:val="4"/>
          <w:sz w:val="21"/>
          <w:szCs w:val="21"/>
        </w:rPr>
        <w:t>控制事态发展，终止暴发或流行</w:t>
      </w:r>
      <w:r>
        <w:rPr>
          <w:spacing w:val="82"/>
          <w:sz w:val="21"/>
          <w:szCs w:val="21"/>
        </w:rPr>
        <w:t xml:space="preserve"> </w:t>
      </w:r>
      <w:r>
        <w:rPr>
          <w:rFonts w:ascii="宋体" w:hAnsi="宋体" w:eastAsia="宋体" w:cs="宋体"/>
          <w:spacing w:val="4"/>
          <w:sz w:val="21"/>
          <w:szCs w:val="21"/>
        </w:rPr>
        <w:t>预防和控制突发</w:t>
      </w:r>
      <w:r>
        <w:rPr>
          <w:rFonts w:ascii="宋体" w:hAnsi="宋体" w:eastAsia="宋体" w:cs="宋体"/>
          <w:spacing w:val="3"/>
          <w:sz w:val="21"/>
          <w:szCs w:val="21"/>
        </w:rPr>
        <w:t>公共卫生事件的危害进一步扩大是流行</w:t>
      </w:r>
      <w:r>
        <w:rPr>
          <w:rFonts w:ascii="宋体" w:hAnsi="宋体" w:eastAsia="宋体" w:cs="宋体"/>
          <w:sz w:val="21"/>
          <w:szCs w:val="21"/>
        </w:rPr>
        <w:t xml:space="preserve"> </w:t>
      </w:r>
      <w:r>
        <w:rPr>
          <w:rFonts w:ascii="宋体" w:hAnsi="宋体" w:eastAsia="宋体" w:cs="宋体"/>
          <w:spacing w:val="6"/>
          <w:sz w:val="21"/>
          <w:szCs w:val="21"/>
        </w:rPr>
        <w:t>病学调查研究的根本目的。运用流行病学的调查方法及逻辑思维方</w:t>
      </w:r>
      <w:r>
        <w:rPr>
          <w:rFonts w:ascii="宋体" w:hAnsi="宋体" w:eastAsia="宋体" w:cs="宋体"/>
          <w:spacing w:val="5"/>
          <w:sz w:val="21"/>
          <w:szCs w:val="21"/>
        </w:rPr>
        <w:t>法，对突发公共卫生事件进行</w:t>
      </w:r>
      <w:r>
        <w:rPr>
          <w:rFonts w:ascii="宋体" w:hAnsi="宋体" w:eastAsia="宋体" w:cs="宋体"/>
          <w:sz w:val="21"/>
          <w:szCs w:val="21"/>
        </w:rPr>
        <w:t xml:space="preserve"> </w:t>
      </w:r>
      <w:r>
        <w:rPr>
          <w:rFonts w:ascii="宋体" w:hAnsi="宋体" w:eastAsia="宋体" w:cs="宋体"/>
          <w:spacing w:val="1"/>
          <w:sz w:val="21"/>
          <w:szCs w:val="21"/>
        </w:rPr>
        <w:t>调查研究，有助于从宏观角度掌握突发公共卫生事件的流行特征和发展规</w:t>
      </w:r>
      <w:r>
        <w:rPr>
          <w:rFonts w:ascii="宋体" w:hAnsi="宋体" w:eastAsia="宋体" w:cs="宋体"/>
          <w:sz w:val="21"/>
          <w:szCs w:val="21"/>
        </w:rPr>
        <w:t xml:space="preserve">律，评估事件造成的危害 </w:t>
      </w:r>
      <w:r>
        <w:rPr>
          <w:rFonts w:ascii="宋体" w:hAnsi="宋体" w:eastAsia="宋体" w:cs="宋体"/>
          <w:spacing w:val="-5"/>
          <w:sz w:val="21"/>
          <w:szCs w:val="21"/>
        </w:rPr>
        <w:t>及引发的需求，制定适宜的干预策略和措施，以控制事态进展。</w:t>
      </w:r>
    </w:p>
    <w:p w14:paraId="67A4F90E">
      <w:pPr>
        <w:pStyle w:val="2"/>
        <w:spacing w:before="151" w:line="299" w:lineRule="auto"/>
        <w:ind w:left="720" w:right="4" w:firstLine="429"/>
        <w:rPr>
          <w:rFonts w:ascii="宋体" w:hAnsi="宋体" w:eastAsia="宋体" w:cs="宋体"/>
          <w:sz w:val="21"/>
          <w:szCs w:val="21"/>
        </w:rPr>
      </w:pPr>
      <w:r>
        <w:rPr>
          <w:rFonts w:ascii="宋体" w:hAnsi="宋体" w:eastAsia="宋体" w:cs="宋体"/>
          <w:spacing w:val="4"/>
          <w:sz w:val="21"/>
          <w:szCs w:val="21"/>
        </w:rPr>
        <w:t xml:space="preserve">3. </w:t>
      </w:r>
      <w:r>
        <w:rPr>
          <w:spacing w:val="4"/>
          <w:sz w:val="21"/>
          <w:szCs w:val="21"/>
        </w:rPr>
        <w:t>提高对疾病特征和流行规律的认识</w:t>
      </w:r>
      <w:r>
        <w:rPr>
          <w:spacing w:val="64"/>
          <w:sz w:val="21"/>
          <w:szCs w:val="21"/>
        </w:rPr>
        <w:t xml:space="preserve"> </w:t>
      </w:r>
      <w:r>
        <w:rPr>
          <w:rFonts w:ascii="宋体" w:hAnsi="宋体" w:eastAsia="宋体" w:cs="宋体"/>
          <w:spacing w:val="4"/>
          <w:sz w:val="21"/>
          <w:szCs w:val="21"/>
        </w:rPr>
        <w:t>利用流行病学的疾病监测技术，建立突发公共卫生事</w:t>
      </w:r>
      <w:r>
        <w:rPr>
          <w:rFonts w:ascii="宋体" w:hAnsi="宋体" w:eastAsia="宋体" w:cs="宋体"/>
          <w:sz w:val="21"/>
          <w:szCs w:val="21"/>
        </w:rPr>
        <w:t xml:space="preserve"> </w:t>
      </w:r>
      <w:r>
        <w:rPr>
          <w:rFonts w:ascii="宋体" w:hAnsi="宋体" w:eastAsia="宋体" w:cs="宋体"/>
          <w:spacing w:val="1"/>
          <w:sz w:val="21"/>
          <w:szCs w:val="21"/>
        </w:rPr>
        <w:t>件监测网，并实施连续监测，有助于获得不同地区各类突发公共卫</w:t>
      </w:r>
      <w:r>
        <w:rPr>
          <w:rFonts w:ascii="宋体" w:hAnsi="宋体" w:eastAsia="宋体" w:cs="宋体"/>
          <w:sz w:val="21"/>
          <w:szCs w:val="21"/>
        </w:rPr>
        <w:t xml:space="preserve">生事件的基线信息，把握其流行 </w:t>
      </w:r>
      <w:r>
        <w:rPr>
          <w:rFonts w:ascii="宋体" w:hAnsi="宋体" w:eastAsia="宋体" w:cs="宋体"/>
          <w:spacing w:val="-4"/>
          <w:sz w:val="21"/>
          <w:szCs w:val="21"/>
        </w:rPr>
        <w:t>形势，实现准确预测、及时预警，还能够评价不同地区突发公共卫生事件的防制水平</w:t>
      </w:r>
      <w:r>
        <w:rPr>
          <w:rFonts w:ascii="宋体" w:hAnsi="宋体" w:eastAsia="宋体" w:cs="宋体"/>
          <w:spacing w:val="-5"/>
          <w:sz w:val="21"/>
          <w:szCs w:val="21"/>
        </w:rPr>
        <w:t>，进而调整突发</w:t>
      </w:r>
      <w:r>
        <w:rPr>
          <w:rFonts w:ascii="宋体" w:hAnsi="宋体" w:eastAsia="宋体" w:cs="宋体"/>
          <w:sz w:val="21"/>
          <w:szCs w:val="21"/>
        </w:rPr>
        <w:t xml:space="preserve"> </w:t>
      </w:r>
      <w:r>
        <w:rPr>
          <w:rFonts w:ascii="宋体" w:hAnsi="宋体" w:eastAsia="宋体" w:cs="宋体"/>
          <w:spacing w:val="1"/>
          <w:sz w:val="21"/>
          <w:szCs w:val="21"/>
        </w:rPr>
        <w:t>公共卫生事件的工作重点。</w:t>
      </w:r>
    </w:p>
    <w:p w14:paraId="613E4BA6">
      <w:pPr>
        <w:spacing w:line="243" w:lineRule="auto"/>
        <w:rPr>
          <w:rFonts w:ascii="Arial"/>
          <w:sz w:val="21"/>
        </w:rPr>
      </w:pPr>
    </w:p>
    <w:p w14:paraId="5362764E">
      <w:pPr>
        <w:pStyle w:val="2"/>
        <w:spacing w:before="82" w:line="221" w:lineRule="auto"/>
        <w:ind w:left="1153"/>
        <w:outlineLvl w:val="4"/>
        <w:rPr>
          <w:sz w:val="25"/>
          <w:szCs w:val="25"/>
        </w:rPr>
      </w:pPr>
      <w:bookmarkStart w:id="424" w:name="bookmark267"/>
      <w:bookmarkEnd w:id="424"/>
      <w:r>
        <w:rPr>
          <w:b/>
          <w:bCs/>
          <w:spacing w:val="-9"/>
          <w:sz w:val="25"/>
          <w:szCs w:val="25"/>
        </w:rPr>
        <w:t>二</w:t>
      </w:r>
      <w:r>
        <w:rPr>
          <w:spacing w:val="-55"/>
          <w:sz w:val="25"/>
          <w:szCs w:val="25"/>
        </w:rPr>
        <w:t xml:space="preserve"> </w:t>
      </w:r>
      <w:r>
        <w:rPr>
          <w:b/>
          <w:bCs/>
          <w:spacing w:val="-9"/>
          <w:sz w:val="25"/>
          <w:szCs w:val="25"/>
        </w:rPr>
        <w:t>、暴发调查</w:t>
      </w:r>
    </w:p>
    <w:p w14:paraId="5182C035">
      <w:pPr>
        <w:spacing w:before="272" w:line="318" w:lineRule="auto"/>
        <w:ind w:left="720" w:right="2" w:firstLine="429"/>
        <w:jc w:val="both"/>
        <w:rPr>
          <w:rFonts w:ascii="宋体" w:hAnsi="宋体" w:eastAsia="宋体" w:cs="宋体"/>
          <w:sz w:val="21"/>
          <w:szCs w:val="21"/>
        </w:rPr>
      </w:pPr>
      <w:r>
        <w:rPr>
          <w:rFonts w:ascii="宋体" w:hAnsi="宋体" w:eastAsia="宋体" w:cs="宋体"/>
          <w:spacing w:val="6"/>
          <w:sz w:val="21"/>
          <w:szCs w:val="21"/>
        </w:rPr>
        <w:t>突发公共卫生事件常以疾病暴发或聚集性疫情的形式出现。暴发不仅见</w:t>
      </w:r>
      <w:r>
        <w:rPr>
          <w:rFonts w:ascii="宋体" w:hAnsi="宋体" w:eastAsia="宋体" w:cs="宋体"/>
          <w:spacing w:val="5"/>
          <w:sz w:val="21"/>
          <w:szCs w:val="21"/>
        </w:rPr>
        <w:t>于传染病，也常见于</w:t>
      </w:r>
      <w:r>
        <w:rPr>
          <w:rFonts w:ascii="宋体" w:hAnsi="宋体" w:eastAsia="宋体" w:cs="宋体"/>
          <w:sz w:val="21"/>
          <w:szCs w:val="21"/>
        </w:rPr>
        <w:t xml:space="preserve"> </w:t>
      </w:r>
      <w:r>
        <w:rPr>
          <w:rFonts w:ascii="宋体" w:hAnsi="宋体" w:eastAsia="宋体" w:cs="宋体"/>
          <w:spacing w:val="1"/>
          <w:sz w:val="21"/>
          <w:szCs w:val="21"/>
        </w:rPr>
        <w:t>非传染性疾病，如农药中毒、维生素缺乏症等。对于传染病暴发</w:t>
      </w:r>
      <w:r>
        <w:rPr>
          <w:rFonts w:ascii="宋体" w:hAnsi="宋体" w:eastAsia="宋体" w:cs="宋体"/>
          <w:sz w:val="21"/>
          <w:szCs w:val="21"/>
        </w:rPr>
        <w:t xml:space="preserve">，病例多有相同的传染源或传播途 </w:t>
      </w:r>
      <w:r>
        <w:rPr>
          <w:rFonts w:ascii="宋体" w:hAnsi="宋体" w:eastAsia="宋体" w:cs="宋体"/>
          <w:spacing w:val="6"/>
          <w:sz w:val="21"/>
          <w:szCs w:val="21"/>
        </w:rPr>
        <w:t>径，大多数病例出现在该病的最长潜伏期内。在疾病暴发初期</w:t>
      </w:r>
      <w:r>
        <w:rPr>
          <w:rFonts w:ascii="宋体" w:hAnsi="宋体" w:eastAsia="宋体" w:cs="宋体"/>
          <w:spacing w:val="5"/>
          <w:sz w:val="21"/>
          <w:szCs w:val="21"/>
        </w:rPr>
        <w:t>，通常原因不明且发展迅速，欲对</w:t>
      </w:r>
      <w:r>
        <w:rPr>
          <w:rFonts w:ascii="宋体" w:hAnsi="宋体" w:eastAsia="宋体" w:cs="宋体"/>
          <w:sz w:val="21"/>
          <w:szCs w:val="21"/>
        </w:rPr>
        <w:t xml:space="preserve"> </w:t>
      </w:r>
      <w:r>
        <w:rPr>
          <w:rFonts w:ascii="宋体" w:hAnsi="宋体" w:eastAsia="宋体" w:cs="宋体"/>
          <w:spacing w:val="1"/>
          <w:sz w:val="21"/>
          <w:szCs w:val="21"/>
        </w:rPr>
        <w:t>其进行有效控制，需要获得及时、真实、充足的信息，以便</w:t>
      </w:r>
      <w:r>
        <w:rPr>
          <w:rFonts w:ascii="宋体" w:hAnsi="宋体" w:eastAsia="宋体" w:cs="宋体"/>
          <w:sz w:val="21"/>
          <w:szCs w:val="21"/>
        </w:rPr>
        <w:t xml:space="preserve">更快查明原因，并采取有针对性的处置 </w:t>
      </w:r>
      <w:r>
        <w:rPr>
          <w:rFonts w:ascii="宋体" w:hAnsi="宋体" w:eastAsia="宋体" w:cs="宋体"/>
          <w:spacing w:val="1"/>
          <w:sz w:val="21"/>
          <w:szCs w:val="21"/>
        </w:rPr>
        <w:t>措施。</w:t>
      </w:r>
    </w:p>
    <w:p w14:paraId="1BD2B5AE">
      <w:pPr>
        <w:spacing w:before="32" w:line="326" w:lineRule="auto"/>
        <w:ind w:left="720" w:firstLine="429"/>
        <w:jc w:val="both"/>
        <w:rPr>
          <w:rFonts w:ascii="宋体" w:hAnsi="宋体" w:eastAsia="宋体" w:cs="宋体"/>
          <w:sz w:val="21"/>
          <w:szCs w:val="21"/>
        </w:rPr>
      </w:pPr>
      <w:r>
        <w:rPr>
          <w:rFonts w:ascii="宋体" w:hAnsi="宋体" w:eastAsia="宋体" w:cs="宋体"/>
          <w:spacing w:val="1"/>
          <w:sz w:val="21"/>
          <w:szCs w:val="21"/>
        </w:rPr>
        <w:t>暴发调查一般先采用描述流行病学研究来掌握疾病的</w:t>
      </w:r>
      <w:r>
        <w:rPr>
          <w:rFonts w:ascii="宋体" w:hAnsi="宋体" w:eastAsia="宋体" w:cs="宋体"/>
          <w:sz w:val="21"/>
          <w:szCs w:val="21"/>
        </w:rPr>
        <w:t>三间分布、确定高危人群、提供病因线索 以建立病因假设；再用分析流行病学方法(病例对照研究和队列研究)来检验和验证病因假设、研究</w:t>
      </w:r>
      <w:r>
        <w:rPr>
          <w:rFonts w:ascii="宋体" w:hAnsi="宋体" w:eastAsia="宋体" w:cs="宋体"/>
          <w:spacing w:val="10"/>
          <w:sz w:val="21"/>
          <w:szCs w:val="21"/>
        </w:rPr>
        <w:t xml:space="preserve"> </w:t>
      </w:r>
      <w:r>
        <w:rPr>
          <w:rFonts w:ascii="宋体" w:hAnsi="宋体" w:eastAsia="宋体" w:cs="宋体"/>
          <w:spacing w:val="1"/>
          <w:sz w:val="21"/>
          <w:szCs w:val="21"/>
        </w:rPr>
        <w:t>疾病自然史和评价干预措施的效果；开展卫生学调查，了解可</w:t>
      </w:r>
      <w:r>
        <w:rPr>
          <w:rFonts w:ascii="宋体" w:hAnsi="宋体" w:eastAsia="宋体" w:cs="宋体"/>
          <w:sz w:val="21"/>
          <w:szCs w:val="21"/>
        </w:rPr>
        <w:t xml:space="preserve">能的暴露环节；有时还需采用实验流 </w:t>
      </w:r>
      <w:r>
        <w:rPr>
          <w:rFonts w:ascii="宋体" w:hAnsi="宋体" w:eastAsia="宋体" w:cs="宋体"/>
          <w:spacing w:val="-2"/>
          <w:sz w:val="21"/>
          <w:szCs w:val="21"/>
        </w:rPr>
        <w:t>行病学方法来验证病因假设、评价干预措施的效果。</w:t>
      </w:r>
    </w:p>
    <w:p w14:paraId="6177A458">
      <w:pPr>
        <w:pStyle w:val="2"/>
        <w:spacing w:before="39" w:line="222" w:lineRule="auto"/>
        <w:ind w:left="1150"/>
        <w:rPr>
          <w:sz w:val="21"/>
          <w:szCs w:val="21"/>
        </w:rPr>
      </w:pPr>
      <w:r>
        <w:rPr>
          <w:spacing w:val="19"/>
          <w:sz w:val="21"/>
          <w:szCs w:val="21"/>
        </w:rPr>
        <w:t>(</w:t>
      </w:r>
      <w:r>
        <w:rPr>
          <w:spacing w:val="-53"/>
          <w:sz w:val="21"/>
          <w:szCs w:val="21"/>
        </w:rPr>
        <w:t xml:space="preserve"> </w:t>
      </w:r>
      <w:r>
        <w:rPr>
          <w:spacing w:val="19"/>
          <w:sz w:val="21"/>
          <w:szCs w:val="21"/>
        </w:rPr>
        <w:t>一)准备和组织</w:t>
      </w:r>
    </w:p>
    <w:p w14:paraId="745A9A15">
      <w:pPr>
        <w:spacing w:before="106" w:line="219" w:lineRule="auto"/>
        <w:ind w:left="1150"/>
        <w:rPr>
          <w:rFonts w:ascii="宋体" w:hAnsi="宋体" w:eastAsia="宋体" w:cs="宋体"/>
          <w:sz w:val="21"/>
          <w:szCs w:val="21"/>
        </w:rPr>
      </w:pPr>
      <w:r>
        <w:rPr>
          <w:rFonts w:ascii="宋体" w:hAnsi="宋体" w:eastAsia="宋体" w:cs="宋体"/>
          <w:spacing w:val="-1"/>
          <w:sz w:val="21"/>
          <w:szCs w:val="21"/>
        </w:rPr>
        <w:t>周密的准备和组织将使现场工作事半功倍，组织工作可以从以下几方面入手：</w:t>
      </w:r>
    </w:p>
    <w:p w14:paraId="7F5760A3">
      <w:pPr>
        <w:pStyle w:val="2"/>
        <w:spacing w:before="111" w:line="277" w:lineRule="auto"/>
        <w:ind w:left="720" w:right="17" w:firstLine="429"/>
        <w:rPr>
          <w:rFonts w:ascii="宋体" w:hAnsi="宋体" w:eastAsia="宋体" w:cs="宋体"/>
          <w:sz w:val="21"/>
          <w:szCs w:val="21"/>
        </w:rPr>
      </w:pPr>
      <w:r>
        <w:rPr>
          <w:rFonts w:ascii="宋体" w:hAnsi="宋体" w:eastAsia="宋体" w:cs="宋体"/>
          <w:spacing w:val="3"/>
          <w:sz w:val="21"/>
          <w:szCs w:val="21"/>
        </w:rPr>
        <w:t xml:space="preserve">1. </w:t>
      </w:r>
      <w:r>
        <w:rPr>
          <w:spacing w:val="3"/>
          <w:sz w:val="21"/>
          <w:szCs w:val="21"/>
        </w:rPr>
        <w:t xml:space="preserve">区域的确定和划分  </w:t>
      </w:r>
      <w:r>
        <w:rPr>
          <w:rFonts w:ascii="宋体" w:hAnsi="宋体" w:eastAsia="宋体" w:cs="宋体"/>
          <w:spacing w:val="3"/>
          <w:sz w:val="21"/>
          <w:szCs w:val="21"/>
        </w:rPr>
        <w:t>首先是明确调查的范围，将</w:t>
      </w:r>
      <w:r>
        <w:rPr>
          <w:rFonts w:ascii="宋体" w:hAnsi="宋体" w:eastAsia="宋体" w:cs="宋体"/>
          <w:spacing w:val="2"/>
          <w:sz w:val="21"/>
          <w:szCs w:val="21"/>
        </w:rPr>
        <w:t>调查范围划分成多个区域，并确定重点调</w:t>
      </w:r>
      <w:r>
        <w:rPr>
          <w:rFonts w:ascii="宋体" w:hAnsi="宋体" w:eastAsia="宋体" w:cs="宋体"/>
          <w:sz w:val="21"/>
          <w:szCs w:val="21"/>
        </w:rPr>
        <w:t xml:space="preserve"> </w:t>
      </w:r>
      <w:r>
        <w:rPr>
          <w:rFonts w:ascii="宋体" w:hAnsi="宋体" w:eastAsia="宋体" w:cs="宋体"/>
          <w:spacing w:val="-3"/>
          <w:sz w:val="21"/>
          <w:szCs w:val="21"/>
        </w:rPr>
        <w:t>查区，每区安排一支合适的调查队。</w:t>
      </w:r>
    </w:p>
    <w:p w14:paraId="62CDE41D">
      <w:pPr>
        <w:pStyle w:val="2"/>
        <w:spacing w:before="120" w:line="290" w:lineRule="auto"/>
        <w:ind w:left="720" w:right="3" w:firstLine="429"/>
        <w:rPr>
          <w:rFonts w:ascii="宋体" w:hAnsi="宋体" w:eastAsia="宋体" w:cs="宋体"/>
          <w:sz w:val="21"/>
          <w:szCs w:val="21"/>
        </w:rPr>
      </w:pPr>
      <w:r>
        <w:rPr>
          <w:rFonts w:ascii="宋体" w:hAnsi="宋体" w:eastAsia="宋体" w:cs="宋体"/>
          <w:spacing w:val="4"/>
          <w:sz w:val="21"/>
          <w:szCs w:val="21"/>
        </w:rPr>
        <w:t xml:space="preserve">2. </w:t>
      </w:r>
      <w:r>
        <w:rPr>
          <w:spacing w:val="4"/>
          <w:sz w:val="21"/>
          <w:szCs w:val="21"/>
        </w:rPr>
        <w:t>人员的选择</w:t>
      </w:r>
      <w:r>
        <w:rPr>
          <w:spacing w:val="67"/>
          <w:sz w:val="21"/>
          <w:szCs w:val="21"/>
        </w:rPr>
        <w:t xml:space="preserve"> </w:t>
      </w:r>
      <w:r>
        <w:rPr>
          <w:rFonts w:ascii="宋体" w:hAnsi="宋体" w:eastAsia="宋体" w:cs="宋体"/>
          <w:spacing w:val="4"/>
          <w:sz w:val="21"/>
          <w:szCs w:val="21"/>
        </w:rPr>
        <w:t>现场调查队需要哪些专家和人员取决于资深卫生工作者对暴发作出</w:t>
      </w:r>
      <w:r>
        <w:rPr>
          <w:rFonts w:ascii="宋体" w:hAnsi="宋体" w:eastAsia="宋体" w:cs="宋体"/>
          <w:spacing w:val="3"/>
          <w:sz w:val="21"/>
          <w:szCs w:val="21"/>
        </w:rPr>
        <w:t>的初步假</w:t>
      </w:r>
      <w:r>
        <w:rPr>
          <w:rFonts w:ascii="宋体" w:hAnsi="宋体" w:eastAsia="宋体" w:cs="宋体"/>
          <w:sz w:val="21"/>
          <w:szCs w:val="21"/>
        </w:rPr>
        <w:t xml:space="preserve"> </w:t>
      </w:r>
      <w:r>
        <w:rPr>
          <w:rFonts w:ascii="宋体" w:hAnsi="宋体" w:eastAsia="宋体" w:cs="宋体"/>
          <w:spacing w:val="1"/>
          <w:sz w:val="21"/>
          <w:szCs w:val="21"/>
        </w:rPr>
        <w:t>设。调查队成员一般包括：组织带队者以及流行病学、实验室、临床</w:t>
      </w:r>
      <w:r>
        <w:rPr>
          <w:rFonts w:ascii="宋体" w:hAnsi="宋体" w:eastAsia="宋体" w:cs="宋体"/>
          <w:sz w:val="21"/>
          <w:szCs w:val="21"/>
        </w:rPr>
        <w:t xml:space="preserve">医学、健康教育和消毒杀虫专 </w:t>
      </w:r>
      <w:r>
        <w:rPr>
          <w:rFonts w:ascii="宋体" w:hAnsi="宋体" w:eastAsia="宋体" w:cs="宋体"/>
          <w:spacing w:val="-4"/>
          <w:sz w:val="21"/>
          <w:szCs w:val="21"/>
        </w:rPr>
        <w:t>业人员，必要时还应增加其他专业人员，如心理、毒理和翻译等专业人员。</w:t>
      </w:r>
    </w:p>
    <w:p w14:paraId="0570DD08">
      <w:pPr>
        <w:pStyle w:val="2"/>
        <w:spacing w:before="121" w:line="276" w:lineRule="auto"/>
        <w:ind w:left="720" w:right="4" w:firstLine="429"/>
        <w:rPr>
          <w:rFonts w:ascii="宋体" w:hAnsi="宋体" w:eastAsia="宋体" w:cs="宋体"/>
          <w:sz w:val="21"/>
          <w:szCs w:val="21"/>
        </w:rPr>
      </w:pPr>
      <w:r>
        <w:rPr>
          <w:rFonts w:ascii="宋体" w:hAnsi="宋体" w:eastAsia="宋体" w:cs="宋体"/>
          <w:spacing w:val="-2"/>
          <w:sz w:val="21"/>
          <w:szCs w:val="21"/>
        </w:rPr>
        <w:t xml:space="preserve">3. </w:t>
      </w:r>
      <w:r>
        <w:rPr>
          <w:spacing w:val="-2"/>
          <w:sz w:val="21"/>
          <w:szCs w:val="21"/>
        </w:rPr>
        <w:t>技术支持</w:t>
      </w:r>
      <w:r>
        <w:rPr>
          <w:spacing w:val="102"/>
          <w:sz w:val="21"/>
          <w:szCs w:val="21"/>
        </w:rPr>
        <w:t xml:space="preserve"> </w:t>
      </w:r>
      <w:r>
        <w:rPr>
          <w:rFonts w:ascii="宋体" w:hAnsi="宋体" w:eastAsia="宋体" w:cs="宋体"/>
          <w:spacing w:val="-2"/>
          <w:sz w:val="21"/>
          <w:szCs w:val="21"/>
        </w:rPr>
        <w:t>携带专业书籍、应急预案、应急处置技术方案、监测方案和调查表等。如无相关</w:t>
      </w:r>
      <w:r>
        <w:rPr>
          <w:rFonts w:ascii="宋体" w:hAnsi="宋体" w:eastAsia="宋体" w:cs="宋体"/>
          <w:sz w:val="21"/>
          <w:szCs w:val="21"/>
        </w:rPr>
        <w:t xml:space="preserve"> 资料或遇到本地区罕见疾病暴发，可短时间内查阅有关文献。</w:t>
      </w:r>
    </w:p>
    <w:p w14:paraId="6175A17E">
      <w:pPr>
        <w:pStyle w:val="2"/>
        <w:spacing w:before="131" w:line="290" w:lineRule="auto"/>
        <w:ind w:left="720" w:right="4" w:firstLine="429"/>
        <w:rPr>
          <w:rFonts w:ascii="宋体" w:hAnsi="宋体" w:eastAsia="宋体" w:cs="宋体"/>
          <w:sz w:val="21"/>
          <w:szCs w:val="21"/>
        </w:rPr>
      </w:pPr>
      <w:r>
        <w:rPr>
          <w:rFonts w:ascii="宋体" w:hAnsi="宋体" w:eastAsia="宋体" w:cs="宋体"/>
          <w:spacing w:val="6"/>
          <w:sz w:val="21"/>
          <w:szCs w:val="21"/>
        </w:rPr>
        <w:t>4.</w:t>
      </w:r>
      <w:r>
        <w:rPr>
          <w:rFonts w:ascii="宋体" w:hAnsi="宋体" w:eastAsia="宋体" w:cs="宋体"/>
          <w:spacing w:val="-17"/>
          <w:sz w:val="21"/>
          <w:szCs w:val="21"/>
        </w:rPr>
        <w:t xml:space="preserve"> </w:t>
      </w:r>
      <w:r>
        <w:rPr>
          <w:spacing w:val="6"/>
          <w:sz w:val="21"/>
          <w:szCs w:val="21"/>
        </w:rPr>
        <w:t xml:space="preserve">物资准备与后勤保障 </w:t>
      </w:r>
      <w:r>
        <w:rPr>
          <w:rFonts w:ascii="宋体" w:hAnsi="宋体" w:eastAsia="宋体" w:cs="宋体"/>
          <w:spacing w:val="6"/>
          <w:sz w:val="21"/>
          <w:szCs w:val="21"/>
        </w:rPr>
        <w:t>必须在最短时间内获得必要的物资和持续稳定的后勤供应。所需物</w:t>
      </w:r>
      <w:r>
        <w:rPr>
          <w:rFonts w:ascii="宋体" w:hAnsi="宋体" w:eastAsia="宋体" w:cs="宋体"/>
          <w:sz w:val="21"/>
          <w:szCs w:val="21"/>
        </w:rPr>
        <w:t xml:space="preserve"> </w:t>
      </w:r>
      <w:r>
        <w:rPr>
          <w:rFonts w:ascii="宋体" w:hAnsi="宋体" w:eastAsia="宋体" w:cs="宋体"/>
          <w:spacing w:val="-4"/>
          <w:sz w:val="21"/>
          <w:szCs w:val="21"/>
        </w:rPr>
        <w:t>资主要有：防护设备(如防护服、手套、口罩和呼吸器等)、消毒药剂和器械、标本采集运送</w:t>
      </w:r>
      <w:r>
        <w:rPr>
          <w:rFonts w:ascii="宋体" w:hAnsi="宋体" w:eastAsia="宋体" w:cs="宋体"/>
          <w:spacing w:val="-5"/>
          <w:sz w:val="21"/>
          <w:szCs w:val="21"/>
        </w:rPr>
        <w:t>装置、健</w:t>
      </w:r>
      <w:r>
        <w:rPr>
          <w:rFonts w:ascii="宋体" w:hAnsi="宋体" w:eastAsia="宋体" w:cs="宋体"/>
          <w:sz w:val="21"/>
          <w:szCs w:val="21"/>
        </w:rPr>
        <w:t xml:space="preserve"> </w:t>
      </w:r>
      <w:r>
        <w:rPr>
          <w:rFonts w:ascii="宋体" w:hAnsi="宋体" w:eastAsia="宋体" w:cs="宋体"/>
          <w:spacing w:val="-8"/>
          <w:sz w:val="21"/>
          <w:szCs w:val="21"/>
        </w:rPr>
        <w:t>康教育材料、摄录器材、交通工具、通信工具、救护装备、生活用品、各种药物和充足的</w:t>
      </w:r>
      <w:r>
        <w:rPr>
          <w:rFonts w:ascii="宋体" w:hAnsi="宋体" w:eastAsia="宋体" w:cs="宋体"/>
          <w:spacing w:val="-9"/>
          <w:sz w:val="21"/>
          <w:szCs w:val="21"/>
        </w:rPr>
        <w:t>现金等。</w:t>
      </w:r>
    </w:p>
    <w:p w14:paraId="2849DC24">
      <w:pPr>
        <w:pStyle w:val="2"/>
        <w:spacing w:before="111" w:line="269" w:lineRule="auto"/>
        <w:ind w:left="720" w:right="5" w:firstLine="429"/>
        <w:rPr>
          <w:rFonts w:ascii="宋体" w:hAnsi="宋体" w:eastAsia="宋体" w:cs="宋体"/>
          <w:sz w:val="21"/>
          <w:szCs w:val="21"/>
        </w:rPr>
      </w:pPr>
      <w:r>
        <w:rPr>
          <w:rFonts w:ascii="宋体" w:hAnsi="宋体" w:eastAsia="宋体" w:cs="宋体"/>
          <w:spacing w:val="3"/>
          <w:sz w:val="21"/>
          <w:szCs w:val="21"/>
        </w:rPr>
        <w:t xml:space="preserve">5. </w:t>
      </w:r>
      <w:r>
        <w:rPr>
          <w:spacing w:val="3"/>
          <w:sz w:val="21"/>
          <w:szCs w:val="21"/>
        </w:rPr>
        <w:t xml:space="preserve">实验室支持  </w:t>
      </w:r>
      <w:r>
        <w:rPr>
          <w:rFonts w:ascii="宋体" w:hAnsi="宋体" w:eastAsia="宋体" w:cs="宋体"/>
          <w:spacing w:val="3"/>
          <w:sz w:val="21"/>
          <w:szCs w:val="21"/>
        </w:rPr>
        <w:t>事先应通知权威或专业的实验室，获取实验室支持，安排好</w:t>
      </w:r>
      <w:r>
        <w:rPr>
          <w:rFonts w:ascii="宋体" w:hAnsi="宋体" w:eastAsia="宋体" w:cs="宋体"/>
          <w:spacing w:val="2"/>
          <w:sz w:val="21"/>
          <w:szCs w:val="21"/>
        </w:rPr>
        <w:t>标本的采集和检</w:t>
      </w:r>
      <w:r>
        <w:rPr>
          <w:rFonts w:ascii="宋体" w:hAnsi="宋体" w:eastAsia="宋体" w:cs="宋体"/>
          <w:sz w:val="21"/>
          <w:szCs w:val="21"/>
        </w:rPr>
        <w:t xml:space="preserve"> </w:t>
      </w:r>
      <w:r>
        <w:rPr>
          <w:rFonts w:ascii="宋体" w:hAnsi="宋体" w:eastAsia="宋体" w:cs="宋体"/>
          <w:spacing w:val="3"/>
          <w:sz w:val="21"/>
          <w:szCs w:val="21"/>
        </w:rPr>
        <w:t>测工作。</w:t>
      </w:r>
    </w:p>
    <w:p w14:paraId="63755A6E">
      <w:pPr>
        <w:spacing w:before="129" w:line="219" w:lineRule="auto"/>
        <w:ind w:left="1150"/>
        <w:rPr>
          <w:rFonts w:ascii="宋体" w:hAnsi="宋体" w:eastAsia="宋体" w:cs="宋体"/>
          <w:sz w:val="21"/>
          <w:szCs w:val="21"/>
        </w:rPr>
      </w:pPr>
      <w:r>
        <w:rPr>
          <w:rFonts w:ascii="宋体" w:hAnsi="宋体" w:eastAsia="宋体" w:cs="宋体"/>
          <w:sz w:val="21"/>
          <w:szCs w:val="21"/>
        </w:rPr>
        <w:t>准备工作一旦完成，调查队</w:t>
      </w:r>
      <w:r>
        <w:rPr>
          <w:rFonts w:ascii="宋体" w:hAnsi="宋体" w:eastAsia="宋体" w:cs="宋体"/>
          <w:sz w:val="21"/>
          <w:szCs w:val="21"/>
          <w:u w:val="single" w:color="auto"/>
        </w:rPr>
        <w:t>员应立</w:t>
      </w:r>
      <w:r>
        <w:rPr>
          <w:rFonts w:ascii="宋体" w:hAnsi="宋体" w:eastAsia="宋体" w:cs="宋体"/>
          <w:sz w:val="21"/>
          <w:szCs w:val="21"/>
        </w:rPr>
        <w:t>即奔赴现场。</w:t>
      </w:r>
    </w:p>
    <w:p w14:paraId="5D98752F">
      <w:pPr>
        <w:spacing w:line="219" w:lineRule="auto"/>
        <w:rPr>
          <w:rFonts w:ascii="宋体" w:hAnsi="宋体" w:eastAsia="宋体" w:cs="宋体"/>
          <w:sz w:val="21"/>
          <w:szCs w:val="21"/>
        </w:rPr>
        <w:sectPr>
          <w:footerReference r:id="rId271" w:type="default"/>
          <w:pgSz w:w="11900" w:h="16820"/>
          <w:pgMar w:top="400" w:right="1425" w:bottom="824" w:left="689" w:header="0" w:footer="634" w:gutter="0"/>
          <w:cols w:space="720" w:num="1"/>
        </w:sectPr>
      </w:pPr>
    </w:p>
    <w:p w14:paraId="03EA2F47">
      <w:pPr>
        <w:pStyle w:val="2"/>
        <w:spacing w:line="220" w:lineRule="auto"/>
        <w:ind w:left="6079"/>
        <w:rPr>
          <w:sz w:val="20"/>
          <w:szCs w:val="20"/>
        </w:rPr>
      </w:pPr>
      <w:bookmarkStart w:id="425" w:name="bookmark546"/>
      <w:bookmarkEnd w:id="425"/>
      <w:r>
        <w:rPr>
          <w:spacing w:val="-19"/>
          <w:w w:val="97"/>
          <w:sz w:val="20"/>
          <w:szCs w:val="20"/>
        </w:rPr>
        <w:t>第十六章 突发公共卫生事件流行病学</w:t>
      </w:r>
    </w:p>
    <w:p w14:paraId="2F7B76B4">
      <w:pPr>
        <w:spacing w:line="260" w:lineRule="auto"/>
        <w:rPr>
          <w:rFonts w:ascii="Arial"/>
          <w:sz w:val="21"/>
        </w:rPr>
      </w:pPr>
    </w:p>
    <w:p w14:paraId="0B6FF5D0">
      <w:pPr>
        <w:spacing w:line="260" w:lineRule="auto"/>
        <w:rPr>
          <w:rFonts w:ascii="Arial"/>
          <w:sz w:val="21"/>
        </w:rPr>
      </w:pPr>
    </w:p>
    <w:p w14:paraId="40ED44F6">
      <w:pPr>
        <w:pStyle w:val="2"/>
        <w:spacing w:before="78" w:line="221" w:lineRule="auto"/>
        <w:ind w:left="419"/>
        <w:rPr>
          <w:sz w:val="24"/>
          <w:szCs w:val="24"/>
        </w:rPr>
      </w:pPr>
      <w:r>
        <w:rPr>
          <w:spacing w:val="3"/>
          <w:sz w:val="24"/>
          <w:szCs w:val="24"/>
        </w:rPr>
        <w:t>(二)核实诊断</w:t>
      </w:r>
    </w:p>
    <w:p w14:paraId="20403462">
      <w:pPr>
        <w:spacing w:before="130" w:line="342" w:lineRule="auto"/>
        <w:ind w:right="635" w:firstLine="419"/>
        <w:jc w:val="both"/>
        <w:rPr>
          <w:rFonts w:ascii="宋体" w:hAnsi="宋体" w:eastAsia="宋体" w:cs="宋体"/>
          <w:sz w:val="20"/>
          <w:szCs w:val="20"/>
        </w:rPr>
      </w:pPr>
      <w:r>
        <w:rPr>
          <w:rFonts w:ascii="宋体" w:hAnsi="宋体" w:eastAsia="宋体" w:cs="宋体"/>
          <w:spacing w:val="7"/>
          <w:sz w:val="20"/>
          <w:szCs w:val="20"/>
        </w:rPr>
        <w:t>到现场后，通常先到收治病人的医疗机构了解情况，收集病人的基本信息，如年龄、性别、地</w:t>
      </w:r>
      <w:r>
        <w:rPr>
          <w:rFonts w:ascii="宋体" w:hAnsi="宋体" w:eastAsia="宋体" w:cs="宋体"/>
          <w:spacing w:val="10"/>
          <w:sz w:val="20"/>
          <w:szCs w:val="20"/>
        </w:rPr>
        <w:t xml:space="preserve"> </w:t>
      </w:r>
      <w:r>
        <w:rPr>
          <w:rFonts w:ascii="宋体" w:hAnsi="宋体" w:eastAsia="宋体" w:cs="宋体"/>
          <w:spacing w:val="3"/>
          <w:sz w:val="20"/>
          <w:szCs w:val="20"/>
        </w:rPr>
        <w:t>址、职业以及发病日期，对流行过程作出简单描述。同时，收集病人的症状、体征和实验室资料。根</w:t>
      </w:r>
      <w:r>
        <w:rPr>
          <w:rFonts w:ascii="宋体" w:hAnsi="宋体" w:eastAsia="宋体" w:cs="宋体"/>
          <w:spacing w:val="4"/>
          <w:sz w:val="20"/>
          <w:szCs w:val="20"/>
        </w:rPr>
        <w:t xml:space="preserve"> </w:t>
      </w:r>
      <w:r>
        <w:rPr>
          <w:rFonts w:ascii="宋体" w:hAnsi="宋体" w:eastAsia="宋体" w:cs="宋体"/>
          <w:spacing w:val="8"/>
          <w:sz w:val="20"/>
          <w:szCs w:val="20"/>
        </w:rPr>
        <w:t>据病例的临床表现、实验室检查结果，与流行病学资料相互结合进行综合分析、作出</w:t>
      </w:r>
      <w:r>
        <w:rPr>
          <w:rFonts w:ascii="宋体" w:hAnsi="宋体" w:eastAsia="宋体" w:cs="宋体"/>
          <w:spacing w:val="7"/>
          <w:sz w:val="20"/>
          <w:szCs w:val="20"/>
        </w:rPr>
        <w:t>判断。核实诊</w:t>
      </w:r>
      <w:r>
        <w:rPr>
          <w:rFonts w:ascii="宋体" w:hAnsi="宋体" w:eastAsia="宋体" w:cs="宋体"/>
          <w:sz w:val="20"/>
          <w:szCs w:val="20"/>
        </w:rPr>
        <w:t xml:space="preserve"> </w:t>
      </w:r>
      <w:r>
        <w:rPr>
          <w:rFonts w:ascii="宋体" w:hAnsi="宋体" w:eastAsia="宋体" w:cs="宋体"/>
          <w:spacing w:val="7"/>
          <w:sz w:val="20"/>
          <w:szCs w:val="20"/>
        </w:rPr>
        <w:t>断可以通过检查病例、查阅病史及实验室检验结果进行。如果大多数病人的体征、症状与诊断相符</w:t>
      </w:r>
      <w:r>
        <w:rPr>
          <w:rFonts w:ascii="宋体" w:hAnsi="宋体" w:eastAsia="宋体" w:cs="宋体"/>
          <w:spacing w:val="15"/>
          <w:sz w:val="20"/>
          <w:szCs w:val="20"/>
        </w:rPr>
        <w:t xml:space="preserve"> </w:t>
      </w:r>
      <w:r>
        <w:rPr>
          <w:rFonts w:ascii="宋体" w:hAnsi="宋体" w:eastAsia="宋体" w:cs="宋体"/>
          <w:spacing w:val="6"/>
          <w:sz w:val="20"/>
          <w:szCs w:val="20"/>
        </w:rPr>
        <w:t>合，且已有部分病人已经由实验室确诊，则不需要再对</w:t>
      </w:r>
      <w:r>
        <w:rPr>
          <w:rFonts w:ascii="宋体" w:hAnsi="宋体" w:eastAsia="宋体" w:cs="宋体"/>
          <w:spacing w:val="5"/>
          <w:sz w:val="20"/>
          <w:szCs w:val="20"/>
        </w:rPr>
        <w:t>更多的病例进行实验室检测。</w:t>
      </w:r>
    </w:p>
    <w:p w14:paraId="02A80EA1">
      <w:pPr>
        <w:pStyle w:val="2"/>
        <w:spacing w:before="1" w:line="220" w:lineRule="auto"/>
        <w:ind w:left="419"/>
        <w:rPr>
          <w:sz w:val="24"/>
          <w:szCs w:val="24"/>
        </w:rPr>
      </w:pPr>
      <w:r>
        <w:rPr>
          <w:spacing w:val="-3"/>
          <w:sz w:val="24"/>
          <w:szCs w:val="24"/>
        </w:rPr>
        <w:t>(三)确定暴发的存在</w:t>
      </w:r>
    </w:p>
    <w:p w14:paraId="537BD9D7">
      <w:pPr>
        <w:spacing w:before="121" w:line="343" w:lineRule="auto"/>
        <w:ind w:right="545" w:firstLine="419"/>
        <w:jc w:val="both"/>
        <w:rPr>
          <w:rFonts w:ascii="宋体" w:hAnsi="宋体" w:eastAsia="宋体" w:cs="宋体"/>
          <w:sz w:val="20"/>
          <w:szCs w:val="20"/>
        </w:rPr>
      </w:pPr>
      <w:r>
        <w:rPr>
          <w:rFonts w:ascii="宋体" w:hAnsi="宋体" w:eastAsia="宋体" w:cs="宋体"/>
          <w:spacing w:val="5"/>
          <w:sz w:val="20"/>
          <w:szCs w:val="20"/>
        </w:rPr>
        <w:t>疾病暴发的信息最初可能来自基层医疗单位、疾病监测点、常规和紧急报告；或来源于实验</w:t>
      </w:r>
      <w:r>
        <w:rPr>
          <w:rFonts w:ascii="宋体" w:hAnsi="宋体" w:eastAsia="宋体" w:cs="宋体"/>
          <w:spacing w:val="4"/>
          <w:sz w:val="20"/>
          <w:szCs w:val="20"/>
        </w:rPr>
        <w:t>室、</w:t>
      </w:r>
      <w:r>
        <w:rPr>
          <w:rFonts w:ascii="宋体" w:hAnsi="宋体" w:eastAsia="宋体" w:cs="宋体"/>
          <w:sz w:val="20"/>
          <w:szCs w:val="20"/>
        </w:rPr>
        <w:t xml:space="preserve"> </w:t>
      </w:r>
      <w:r>
        <w:rPr>
          <w:rFonts w:ascii="宋体" w:hAnsi="宋体" w:eastAsia="宋体" w:cs="宋体"/>
          <w:spacing w:val="6"/>
          <w:sz w:val="20"/>
          <w:szCs w:val="20"/>
        </w:rPr>
        <w:t>药房、兽医站；还有可能首先被教师、居委会主任等人员发现。</w:t>
      </w:r>
      <w:r>
        <w:rPr>
          <w:rFonts w:ascii="宋体" w:hAnsi="宋体" w:eastAsia="宋体" w:cs="宋体"/>
          <w:spacing w:val="-39"/>
          <w:sz w:val="20"/>
          <w:szCs w:val="20"/>
        </w:rPr>
        <w:t xml:space="preserve"> </w:t>
      </w:r>
      <w:r>
        <w:rPr>
          <w:rFonts w:ascii="宋体" w:hAnsi="宋体" w:eastAsia="宋体" w:cs="宋体"/>
          <w:spacing w:val="6"/>
          <w:sz w:val="20"/>
          <w:szCs w:val="20"/>
          <w:u w:val="single" w:color="auto"/>
        </w:rPr>
        <w:t>卫生工</w:t>
      </w:r>
      <w:r>
        <w:rPr>
          <w:rFonts w:ascii="宋体" w:hAnsi="宋体" w:eastAsia="宋体" w:cs="宋体"/>
          <w:spacing w:val="6"/>
          <w:sz w:val="20"/>
          <w:szCs w:val="20"/>
        </w:rPr>
        <w:t>作者接到暴发信息后，必须</w:t>
      </w:r>
      <w:r>
        <w:rPr>
          <w:rFonts w:ascii="宋体" w:hAnsi="宋体" w:eastAsia="宋体" w:cs="宋体"/>
          <w:sz w:val="20"/>
          <w:szCs w:val="20"/>
        </w:rPr>
        <w:t xml:space="preserve">  </w:t>
      </w:r>
      <w:r>
        <w:rPr>
          <w:rFonts w:ascii="宋体" w:hAnsi="宋体" w:eastAsia="宋体" w:cs="宋体"/>
          <w:spacing w:val="7"/>
          <w:sz w:val="20"/>
          <w:szCs w:val="20"/>
        </w:rPr>
        <w:t>仔细核查信息的真实性，排除疫情被人为地夸大和缩小的可能性。此时可从三方面人手：</w:t>
      </w:r>
    </w:p>
    <w:p w14:paraId="58C6DAF8">
      <w:pPr>
        <w:spacing w:before="17" w:line="219" w:lineRule="auto"/>
        <w:ind w:left="419"/>
        <w:rPr>
          <w:rFonts w:ascii="宋体" w:hAnsi="宋体" w:eastAsia="宋体" w:cs="宋体"/>
          <w:sz w:val="20"/>
          <w:szCs w:val="20"/>
        </w:rPr>
      </w:pPr>
      <w:r>
        <w:rPr>
          <w:rFonts w:ascii="宋体" w:hAnsi="宋体" w:eastAsia="宋体" w:cs="宋体"/>
          <w:spacing w:val="7"/>
          <w:sz w:val="20"/>
          <w:szCs w:val="20"/>
        </w:rPr>
        <w:t>1.</w:t>
      </w:r>
      <w:r>
        <w:rPr>
          <w:rFonts w:ascii="宋体" w:hAnsi="宋体" w:eastAsia="宋体" w:cs="宋体"/>
          <w:spacing w:val="-30"/>
          <w:sz w:val="20"/>
          <w:szCs w:val="20"/>
        </w:rPr>
        <w:t xml:space="preserve"> </w:t>
      </w:r>
      <w:r>
        <w:rPr>
          <w:rFonts w:ascii="宋体" w:hAnsi="宋体" w:eastAsia="宋体" w:cs="宋体"/>
          <w:spacing w:val="7"/>
          <w:sz w:val="20"/>
          <w:szCs w:val="20"/>
        </w:rPr>
        <w:t>尽快从多个渠道收集信息，将不同来源的信息进行比较。</w:t>
      </w:r>
    </w:p>
    <w:p w14:paraId="0142C635">
      <w:pPr>
        <w:spacing w:before="143" w:line="219" w:lineRule="auto"/>
        <w:ind w:left="419"/>
        <w:rPr>
          <w:rFonts w:ascii="宋体" w:hAnsi="宋体" w:eastAsia="宋体" w:cs="宋体"/>
          <w:sz w:val="20"/>
          <w:szCs w:val="20"/>
        </w:rPr>
      </w:pPr>
      <w:r>
        <w:rPr>
          <w:rFonts w:ascii="宋体" w:hAnsi="宋体" w:eastAsia="宋体" w:cs="宋体"/>
          <w:spacing w:val="7"/>
          <w:sz w:val="20"/>
          <w:szCs w:val="20"/>
        </w:rPr>
        <w:t>2.</w:t>
      </w:r>
      <w:r>
        <w:rPr>
          <w:rFonts w:ascii="宋体" w:hAnsi="宋体" w:eastAsia="宋体" w:cs="宋体"/>
          <w:spacing w:val="-25"/>
          <w:sz w:val="20"/>
          <w:szCs w:val="20"/>
        </w:rPr>
        <w:t xml:space="preserve"> </w:t>
      </w:r>
      <w:r>
        <w:rPr>
          <w:rFonts w:ascii="宋体" w:hAnsi="宋体" w:eastAsia="宋体" w:cs="宋体"/>
          <w:spacing w:val="7"/>
          <w:sz w:val="20"/>
          <w:szCs w:val="20"/>
        </w:rPr>
        <w:t>及时向发病单位的行政管理人员、医师等详细了解有关情况。</w:t>
      </w:r>
    </w:p>
    <w:p w14:paraId="5ABDDB5B">
      <w:pPr>
        <w:spacing w:before="121" w:line="281" w:lineRule="auto"/>
        <w:ind w:right="637" w:firstLine="419"/>
        <w:rPr>
          <w:rFonts w:ascii="宋体" w:hAnsi="宋体" w:eastAsia="宋体" w:cs="宋体"/>
          <w:sz w:val="20"/>
          <w:szCs w:val="20"/>
        </w:rPr>
      </w:pPr>
      <w:r>
        <w:rPr>
          <w:rFonts w:ascii="宋体" w:hAnsi="宋体" w:eastAsia="宋体" w:cs="宋体"/>
          <w:spacing w:val="6"/>
          <w:sz w:val="20"/>
          <w:szCs w:val="20"/>
        </w:rPr>
        <w:t>3.</w:t>
      </w:r>
      <w:r>
        <w:rPr>
          <w:rFonts w:ascii="宋体" w:hAnsi="宋体" w:eastAsia="宋体" w:cs="宋体"/>
          <w:spacing w:val="-28"/>
          <w:sz w:val="20"/>
          <w:szCs w:val="20"/>
        </w:rPr>
        <w:t xml:space="preserve"> </w:t>
      </w:r>
      <w:r>
        <w:rPr>
          <w:rFonts w:ascii="宋体" w:hAnsi="宋体" w:eastAsia="宋体" w:cs="宋体"/>
          <w:spacing w:val="6"/>
          <w:sz w:val="20"/>
          <w:szCs w:val="20"/>
        </w:rPr>
        <w:t>派遣经验丰富的公共卫生医师进行快速的现场访问，根据临床特征，结合实</w:t>
      </w:r>
      <w:r>
        <w:rPr>
          <w:rFonts w:ascii="宋体" w:hAnsi="宋体" w:eastAsia="宋体" w:cs="宋体"/>
          <w:spacing w:val="5"/>
          <w:sz w:val="20"/>
          <w:szCs w:val="20"/>
        </w:rPr>
        <w:t>验室检查判断暴</w:t>
      </w:r>
      <w:r>
        <w:rPr>
          <w:rFonts w:ascii="宋体" w:hAnsi="宋体" w:eastAsia="宋体" w:cs="宋体"/>
          <w:sz w:val="20"/>
          <w:szCs w:val="20"/>
        </w:rPr>
        <w:t xml:space="preserve"> </w:t>
      </w:r>
      <w:r>
        <w:rPr>
          <w:rFonts w:ascii="宋体" w:hAnsi="宋体" w:eastAsia="宋体" w:cs="宋体"/>
          <w:spacing w:val="9"/>
          <w:sz w:val="20"/>
          <w:szCs w:val="20"/>
        </w:rPr>
        <w:t>发信息的确凿性。</w:t>
      </w:r>
    </w:p>
    <w:p w14:paraId="4B77E4F4">
      <w:pPr>
        <w:spacing w:before="142" w:line="339" w:lineRule="auto"/>
        <w:ind w:right="565" w:firstLine="419"/>
        <w:jc w:val="both"/>
        <w:rPr>
          <w:rFonts w:ascii="宋体" w:hAnsi="宋体" w:eastAsia="宋体" w:cs="宋体"/>
          <w:sz w:val="20"/>
          <w:szCs w:val="20"/>
        </w:rPr>
      </w:pPr>
      <w:r>
        <w:rPr>
          <w:rFonts w:ascii="宋体" w:hAnsi="宋体" w:eastAsia="宋体" w:cs="宋体"/>
          <w:spacing w:val="8"/>
          <w:sz w:val="20"/>
          <w:szCs w:val="20"/>
        </w:rPr>
        <w:t>如果经确认，暴发信息不真实，应立即向公众澄清事实，以免引起不必要的恐慌。</w:t>
      </w:r>
      <w:r>
        <w:rPr>
          <w:rFonts w:ascii="宋体" w:hAnsi="宋体" w:eastAsia="宋体" w:cs="宋体"/>
          <w:spacing w:val="7"/>
          <w:sz w:val="20"/>
          <w:szCs w:val="20"/>
        </w:rPr>
        <w:t>导致暴发信</w:t>
      </w:r>
      <w:r>
        <w:rPr>
          <w:rFonts w:ascii="宋体" w:hAnsi="宋体" w:eastAsia="宋体" w:cs="宋体"/>
          <w:sz w:val="20"/>
          <w:szCs w:val="20"/>
        </w:rPr>
        <w:t xml:space="preserve"> </w:t>
      </w:r>
      <w:r>
        <w:rPr>
          <w:rFonts w:ascii="宋体" w:hAnsi="宋体" w:eastAsia="宋体" w:cs="宋体"/>
          <w:spacing w:val="5"/>
          <w:sz w:val="20"/>
          <w:szCs w:val="20"/>
        </w:rPr>
        <w:t>息不真实的主要原因有：误诊、误报、监测系统调整、报告制度改变、诊断</w:t>
      </w:r>
      <w:r>
        <w:rPr>
          <w:rFonts w:ascii="宋体" w:hAnsi="宋体" w:eastAsia="宋体" w:cs="宋体"/>
          <w:spacing w:val="4"/>
          <w:sz w:val="20"/>
          <w:szCs w:val="20"/>
        </w:rPr>
        <w:t>标准或诊断方法变化等。</w:t>
      </w:r>
      <w:r>
        <w:rPr>
          <w:rFonts w:ascii="宋体" w:hAnsi="宋体" w:eastAsia="宋体" w:cs="宋体"/>
          <w:sz w:val="20"/>
          <w:szCs w:val="20"/>
        </w:rPr>
        <w:t xml:space="preserve"> </w:t>
      </w:r>
      <w:r>
        <w:rPr>
          <w:rFonts w:ascii="宋体" w:hAnsi="宋体" w:eastAsia="宋体" w:cs="宋体"/>
          <w:spacing w:val="7"/>
          <w:sz w:val="20"/>
          <w:szCs w:val="20"/>
        </w:rPr>
        <w:t>一旦认定暴发属实，接下来就要初步分析暴发的总体形势，分析疾病的性质和严重程度，分析暴发</w:t>
      </w:r>
      <w:r>
        <w:rPr>
          <w:rFonts w:ascii="宋体" w:hAnsi="宋体" w:eastAsia="宋体" w:cs="宋体"/>
          <w:spacing w:val="8"/>
          <w:sz w:val="20"/>
          <w:szCs w:val="20"/>
        </w:rPr>
        <w:t xml:space="preserve">  </w:t>
      </w:r>
      <w:r>
        <w:rPr>
          <w:rFonts w:ascii="宋体" w:hAnsi="宋体" w:eastAsia="宋体" w:cs="宋体"/>
          <w:spacing w:val="5"/>
          <w:sz w:val="20"/>
          <w:szCs w:val="20"/>
        </w:rPr>
        <w:t>影响的范围、发病人数、受威胁人数。根据对形势的初步推断，紧急做好暴</w:t>
      </w:r>
      <w:r>
        <w:rPr>
          <w:rFonts w:ascii="宋体" w:hAnsi="宋体" w:eastAsia="宋体" w:cs="宋体"/>
          <w:spacing w:val="4"/>
          <w:sz w:val="20"/>
          <w:szCs w:val="20"/>
        </w:rPr>
        <w:t>发控制准备和组织工作。</w:t>
      </w:r>
    </w:p>
    <w:p w14:paraId="5232BBED">
      <w:pPr>
        <w:pStyle w:val="2"/>
        <w:spacing w:line="222" w:lineRule="auto"/>
        <w:ind w:left="423"/>
        <w:rPr>
          <w:sz w:val="24"/>
          <w:szCs w:val="24"/>
        </w:rPr>
      </w:pPr>
      <w:r>
        <w:rPr>
          <w:b/>
          <w:bCs/>
          <w:spacing w:val="-1"/>
          <w:sz w:val="24"/>
          <w:szCs w:val="24"/>
        </w:rPr>
        <w:t>(四)病例定义</w:t>
      </w:r>
    </w:p>
    <w:p w14:paraId="0B12C3BC">
      <w:pPr>
        <w:spacing w:before="122" w:line="342" w:lineRule="auto"/>
        <w:ind w:right="636" w:firstLine="419"/>
        <w:jc w:val="both"/>
        <w:rPr>
          <w:rFonts w:ascii="宋体" w:hAnsi="宋体" w:eastAsia="宋体" w:cs="宋体"/>
          <w:sz w:val="20"/>
          <w:szCs w:val="20"/>
        </w:rPr>
      </w:pPr>
      <w:r>
        <w:rPr>
          <w:rFonts w:ascii="宋体" w:hAnsi="宋体" w:eastAsia="宋体" w:cs="宋体"/>
          <w:spacing w:val="7"/>
          <w:sz w:val="20"/>
          <w:szCs w:val="20"/>
        </w:rPr>
        <w:t>制定病例定义主要是确定发现病例的统一标准，使发现的病例具有可比性，并符合突发公共卫</w:t>
      </w:r>
      <w:r>
        <w:rPr>
          <w:rFonts w:ascii="宋体" w:hAnsi="宋体" w:eastAsia="宋体" w:cs="宋体"/>
          <w:spacing w:val="11"/>
          <w:sz w:val="20"/>
          <w:szCs w:val="20"/>
        </w:rPr>
        <w:t xml:space="preserve"> </w:t>
      </w:r>
      <w:r>
        <w:rPr>
          <w:rFonts w:ascii="宋体" w:hAnsi="宋体" w:eastAsia="宋体" w:cs="宋体"/>
          <w:spacing w:val="12"/>
          <w:sz w:val="20"/>
          <w:szCs w:val="20"/>
        </w:rPr>
        <w:t>生事件调查的要求。病例定义一般可分为疑似病例、可能病例和确诊病例。现场调查中的病例定</w:t>
      </w:r>
      <w:r>
        <w:rPr>
          <w:rFonts w:ascii="宋体" w:hAnsi="宋体" w:eastAsia="宋体" w:cs="宋体"/>
          <w:spacing w:val="18"/>
          <w:sz w:val="20"/>
          <w:szCs w:val="20"/>
        </w:rPr>
        <w:t xml:space="preserve"> </w:t>
      </w:r>
      <w:r>
        <w:rPr>
          <w:rFonts w:ascii="宋体" w:hAnsi="宋体" w:eastAsia="宋体" w:cs="宋体"/>
          <w:spacing w:val="5"/>
          <w:sz w:val="20"/>
          <w:szCs w:val="20"/>
        </w:rPr>
        <w:t>义应包括流行病学信息、临床信息和实验室检查信息：流行病学信息包括病例的三间分布(时</w:t>
      </w:r>
      <w:r>
        <w:rPr>
          <w:rFonts w:ascii="宋体" w:hAnsi="宋体" w:eastAsia="宋体" w:cs="宋体"/>
          <w:spacing w:val="4"/>
          <w:sz w:val="20"/>
          <w:szCs w:val="20"/>
        </w:rPr>
        <w:t>间、人</w:t>
      </w:r>
      <w:r>
        <w:rPr>
          <w:rFonts w:ascii="宋体" w:hAnsi="宋体" w:eastAsia="宋体" w:cs="宋体"/>
          <w:sz w:val="20"/>
          <w:szCs w:val="20"/>
        </w:rPr>
        <w:t xml:space="preserve"> </w:t>
      </w:r>
      <w:r>
        <w:rPr>
          <w:rFonts w:ascii="宋体" w:hAnsi="宋体" w:eastAsia="宋体" w:cs="宋体"/>
          <w:spacing w:val="5"/>
          <w:sz w:val="20"/>
          <w:szCs w:val="20"/>
        </w:rPr>
        <w:t>群、地区分布)信息；临床信息包括病人的症状、体征、体格检查、临床检查和治疗效果等信息；实</w:t>
      </w:r>
      <w:r>
        <w:rPr>
          <w:rFonts w:ascii="宋体" w:hAnsi="宋体" w:eastAsia="宋体" w:cs="宋体"/>
          <w:sz w:val="20"/>
          <w:szCs w:val="20"/>
        </w:rPr>
        <w:t xml:space="preserve"> </w:t>
      </w:r>
      <w:r>
        <w:rPr>
          <w:rFonts w:ascii="宋体" w:hAnsi="宋体" w:eastAsia="宋体" w:cs="宋体"/>
          <w:spacing w:val="8"/>
          <w:sz w:val="20"/>
          <w:szCs w:val="20"/>
        </w:rPr>
        <w:t>验室检查包括抗原抗体检测、核酸检测和病</w:t>
      </w:r>
      <w:r>
        <w:rPr>
          <w:rFonts w:ascii="宋体" w:hAnsi="宋体" w:eastAsia="宋体" w:cs="宋体"/>
          <w:spacing w:val="7"/>
          <w:sz w:val="20"/>
          <w:szCs w:val="20"/>
        </w:rPr>
        <w:t>原分离培养，以及化学毒物等其他致病因子的检测结果</w:t>
      </w:r>
      <w:r>
        <w:rPr>
          <w:rFonts w:ascii="宋体" w:hAnsi="宋体" w:eastAsia="宋体" w:cs="宋体"/>
          <w:sz w:val="20"/>
          <w:szCs w:val="20"/>
        </w:rPr>
        <w:t xml:space="preserve"> </w:t>
      </w:r>
      <w:r>
        <w:rPr>
          <w:rFonts w:ascii="宋体" w:hAnsi="宋体" w:eastAsia="宋体" w:cs="宋体"/>
          <w:spacing w:val="2"/>
          <w:sz w:val="20"/>
          <w:szCs w:val="20"/>
        </w:rPr>
        <w:t>等。定义病例时最好运用简单和客观的方法。例如，发热、</w:t>
      </w:r>
      <w:r>
        <w:rPr>
          <w:rFonts w:ascii="Times New Roman" w:hAnsi="Times New Roman" w:eastAsia="Times New Roman" w:cs="Times New Roman"/>
          <w:spacing w:val="2"/>
          <w:sz w:val="20"/>
          <w:szCs w:val="20"/>
        </w:rPr>
        <w:t xml:space="preserve">X </w:t>
      </w:r>
      <w:r>
        <w:rPr>
          <w:rFonts w:ascii="宋体" w:hAnsi="宋体" w:eastAsia="宋体" w:cs="宋体"/>
          <w:spacing w:val="2"/>
          <w:sz w:val="20"/>
          <w:szCs w:val="20"/>
        </w:rPr>
        <w:t>线诊断、脑脊液中的白细胞计数、血便</w:t>
      </w:r>
      <w:r>
        <w:rPr>
          <w:rFonts w:ascii="宋体" w:hAnsi="宋体" w:eastAsia="宋体" w:cs="宋体"/>
          <w:spacing w:val="14"/>
          <w:sz w:val="20"/>
          <w:szCs w:val="20"/>
        </w:rPr>
        <w:t xml:space="preserve"> </w:t>
      </w:r>
      <w:r>
        <w:rPr>
          <w:rFonts w:ascii="宋体" w:hAnsi="宋体" w:eastAsia="宋体" w:cs="宋体"/>
          <w:spacing w:val="8"/>
          <w:sz w:val="20"/>
          <w:szCs w:val="20"/>
        </w:rPr>
        <w:t>或皮疹等。现场调查早期应使用较敏感的病例定</w:t>
      </w:r>
      <w:r>
        <w:rPr>
          <w:rFonts w:ascii="宋体" w:hAnsi="宋体" w:eastAsia="宋体" w:cs="宋体"/>
          <w:spacing w:val="7"/>
          <w:sz w:val="20"/>
          <w:szCs w:val="20"/>
        </w:rPr>
        <w:t>义，如疑似病例，以便发现更多的病例；调查中期</w:t>
      </w:r>
      <w:r>
        <w:rPr>
          <w:rFonts w:ascii="宋体" w:hAnsi="宋体" w:eastAsia="宋体" w:cs="宋体"/>
          <w:sz w:val="20"/>
          <w:szCs w:val="20"/>
        </w:rPr>
        <w:t xml:space="preserve"> </w:t>
      </w:r>
      <w:r>
        <w:rPr>
          <w:rFonts w:ascii="宋体" w:hAnsi="宋体" w:eastAsia="宋体" w:cs="宋体"/>
          <w:spacing w:val="8"/>
          <w:sz w:val="20"/>
          <w:szCs w:val="20"/>
        </w:rPr>
        <w:t>建议使用较特异的病例定义，如可能病例和确诊病例，以便应用</w:t>
      </w:r>
      <w:r>
        <w:rPr>
          <w:rFonts w:ascii="宋体" w:hAnsi="宋体" w:eastAsia="宋体" w:cs="宋体"/>
          <w:spacing w:val="7"/>
          <w:sz w:val="20"/>
          <w:szCs w:val="20"/>
        </w:rPr>
        <w:t>病例对照研究和队列研究进行病因</w:t>
      </w:r>
      <w:r>
        <w:rPr>
          <w:rFonts w:ascii="宋体" w:hAnsi="宋体" w:eastAsia="宋体" w:cs="宋体"/>
          <w:sz w:val="20"/>
          <w:szCs w:val="20"/>
        </w:rPr>
        <w:t xml:space="preserve"> </w:t>
      </w:r>
      <w:r>
        <w:rPr>
          <w:rFonts w:ascii="宋体" w:hAnsi="宋体" w:eastAsia="宋体" w:cs="宋体"/>
          <w:spacing w:val="8"/>
          <w:sz w:val="20"/>
          <w:szCs w:val="20"/>
        </w:rPr>
        <w:t>研究；调查后期或调查结束后，应建立监测用的病例定义，以便开展进一步监测，评</w:t>
      </w:r>
      <w:r>
        <w:rPr>
          <w:rFonts w:ascii="宋体" w:hAnsi="宋体" w:eastAsia="宋体" w:cs="宋体"/>
          <w:spacing w:val="7"/>
          <w:sz w:val="20"/>
          <w:szCs w:val="20"/>
        </w:rPr>
        <w:t>估突发公共卫</w:t>
      </w:r>
      <w:r>
        <w:rPr>
          <w:rFonts w:ascii="宋体" w:hAnsi="宋体" w:eastAsia="宋体" w:cs="宋体"/>
          <w:sz w:val="20"/>
          <w:szCs w:val="20"/>
        </w:rPr>
        <w:t xml:space="preserve"> </w:t>
      </w:r>
      <w:r>
        <w:rPr>
          <w:rFonts w:ascii="宋体" w:hAnsi="宋体" w:eastAsia="宋体" w:cs="宋体"/>
          <w:spacing w:val="10"/>
          <w:sz w:val="20"/>
          <w:szCs w:val="20"/>
        </w:rPr>
        <w:t>生事件控制措施的效果。</w:t>
      </w:r>
    </w:p>
    <w:p w14:paraId="60A7FC75">
      <w:pPr>
        <w:spacing w:before="59" w:line="341" w:lineRule="auto"/>
        <w:ind w:right="565" w:firstLine="419"/>
        <w:jc w:val="both"/>
        <w:rPr>
          <w:rFonts w:ascii="宋体" w:hAnsi="宋体" w:eastAsia="宋体" w:cs="宋体"/>
          <w:sz w:val="20"/>
          <w:szCs w:val="20"/>
        </w:rPr>
      </w:pPr>
      <w:r>
        <w:rPr>
          <w:rFonts w:ascii="宋体" w:hAnsi="宋体" w:eastAsia="宋体" w:cs="宋体"/>
          <w:spacing w:val="5"/>
          <w:sz w:val="20"/>
          <w:szCs w:val="20"/>
        </w:rPr>
        <w:t>例如，2019年5月某学校发生脱氧雪腐镰刀菌烯醇(</w:t>
      </w:r>
      <w:r>
        <w:rPr>
          <w:rFonts w:ascii="宋体" w:hAnsi="宋体" w:eastAsia="宋体" w:cs="宋体"/>
          <w:sz w:val="20"/>
          <w:szCs w:val="20"/>
        </w:rPr>
        <w:t>deoxynivalenol</w:t>
      </w:r>
      <w:r>
        <w:rPr>
          <w:rFonts w:ascii="宋体" w:hAnsi="宋体" w:eastAsia="宋体" w:cs="宋体"/>
          <w:spacing w:val="5"/>
          <w:sz w:val="20"/>
          <w:szCs w:val="20"/>
        </w:rPr>
        <w:t>)所致食物中毒事件，开展调</w:t>
      </w:r>
      <w:r>
        <w:rPr>
          <w:rFonts w:ascii="宋体" w:hAnsi="宋体" w:eastAsia="宋体" w:cs="宋体"/>
          <w:spacing w:val="7"/>
          <w:sz w:val="20"/>
          <w:szCs w:val="20"/>
        </w:rPr>
        <w:t xml:space="preserve">  </w:t>
      </w:r>
      <w:r>
        <w:rPr>
          <w:rFonts w:ascii="宋体" w:hAnsi="宋体" w:eastAsia="宋体" w:cs="宋体"/>
          <w:spacing w:val="11"/>
          <w:sz w:val="20"/>
          <w:szCs w:val="20"/>
        </w:rPr>
        <w:t>查时病例的定义如下：①疑似病例：2019年5月16日或之后出现以下症状之一的该校学生或教师：</w:t>
      </w:r>
      <w:r>
        <w:rPr>
          <w:rFonts w:ascii="宋体" w:hAnsi="宋体" w:eastAsia="宋体" w:cs="宋体"/>
          <w:spacing w:val="2"/>
          <w:sz w:val="20"/>
          <w:szCs w:val="20"/>
        </w:rPr>
        <w:t xml:space="preserve"> </w:t>
      </w:r>
      <w:r>
        <w:rPr>
          <w:rFonts w:ascii="宋体" w:hAnsi="宋体" w:eastAsia="宋体" w:cs="宋体"/>
          <w:spacing w:val="7"/>
          <w:sz w:val="20"/>
          <w:szCs w:val="20"/>
        </w:rPr>
        <w:t>呕吐、恶心、腹痛、腹泻、头痛、头晕和/或发热。②可能病例：2019年5月16日早餐后</w:t>
      </w:r>
      <w:r>
        <w:rPr>
          <w:rFonts w:ascii="宋体" w:hAnsi="宋体" w:eastAsia="宋体" w:cs="宋体"/>
          <w:spacing w:val="6"/>
          <w:sz w:val="20"/>
          <w:szCs w:val="20"/>
        </w:rPr>
        <w:t>出现呕吐的</w:t>
      </w:r>
      <w:r>
        <w:rPr>
          <w:rFonts w:ascii="宋体" w:hAnsi="宋体" w:eastAsia="宋体" w:cs="宋体"/>
          <w:sz w:val="20"/>
          <w:szCs w:val="20"/>
        </w:rPr>
        <w:t xml:space="preserve">  </w:t>
      </w:r>
      <w:r>
        <w:rPr>
          <w:rFonts w:ascii="宋体" w:hAnsi="宋体" w:eastAsia="宋体" w:cs="宋体"/>
          <w:spacing w:val="8"/>
          <w:sz w:val="20"/>
          <w:szCs w:val="20"/>
        </w:rPr>
        <w:t>疑似病例。③确诊病例：疑似病例或可能病例</w:t>
      </w:r>
      <w:r>
        <w:rPr>
          <w:rFonts w:ascii="宋体" w:hAnsi="宋体" w:eastAsia="宋体" w:cs="宋体"/>
          <w:spacing w:val="7"/>
          <w:sz w:val="20"/>
          <w:szCs w:val="20"/>
        </w:rPr>
        <w:t>，并从吃剩的食品或制作食品的原料中检测出脱氧雪</w:t>
      </w:r>
      <w:r>
        <w:rPr>
          <w:rFonts w:ascii="宋体" w:hAnsi="宋体" w:eastAsia="宋体" w:cs="宋体"/>
          <w:sz w:val="20"/>
          <w:szCs w:val="20"/>
        </w:rPr>
        <w:t xml:space="preserve">  </w:t>
      </w:r>
      <w:r>
        <w:rPr>
          <w:rFonts w:ascii="宋体" w:hAnsi="宋体" w:eastAsia="宋体" w:cs="宋体"/>
          <w:spacing w:val="11"/>
          <w:sz w:val="20"/>
          <w:szCs w:val="20"/>
        </w:rPr>
        <w:t>腐镰刀菌烯醇。</w:t>
      </w:r>
    </w:p>
    <w:p w14:paraId="0FC1D6D7">
      <w:pPr>
        <w:pStyle w:val="2"/>
        <w:spacing w:before="1" w:line="220" w:lineRule="auto"/>
        <w:ind w:left="419"/>
        <w:rPr>
          <w:sz w:val="24"/>
          <w:szCs w:val="24"/>
        </w:rPr>
      </w:pPr>
      <w:r>
        <w:rPr>
          <w:spacing w:val="-3"/>
          <w:sz w:val="24"/>
          <w:szCs w:val="24"/>
        </w:rPr>
        <w:t>(五)病例发现与核实</w:t>
      </w:r>
    </w:p>
    <w:p w14:paraId="74E5B83D">
      <w:pPr>
        <w:spacing w:before="131" w:line="343" w:lineRule="auto"/>
        <w:ind w:right="638" w:firstLine="419"/>
        <w:jc w:val="both"/>
        <w:rPr>
          <w:rFonts w:ascii="宋体" w:hAnsi="宋体" w:eastAsia="宋体" w:cs="宋体"/>
          <w:sz w:val="20"/>
          <w:szCs w:val="20"/>
        </w:rPr>
      </w:pPr>
      <w:r>
        <w:rPr>
          <w:rFonts w:ascii="宋体" w:hAnsi="宋体" w:eastAsia="宋体" w:cs="宋体"/>
          <w:spacing w:val="3"/>
          <w:sz w:val="20"/>
          <w:szCs w:val="20"/>
        </w:rPr>
        <w:t>发现病例可通过多种途径，如询问医师、查阅门诊日志和住院病历、电话</w:t>
      </w:r>
      <w:r>
        <w:rPr>
          <w:rFonts w:ascii="宋体" w:hAnsi="宋体" w:eastAsia="宋体" w:cs="宋体"/>
          <w:spacing w:val="2"/>
          <w:sz w:val="20"/>
          <w:szCs w:val="20"/>
        </w:rPr>
        <w:t>调查、走访村民、人户</w:t>
      </w:r>
      <w:r>
        <w:rPr>
          <w:rFonts w:ascii="宋体" w:hAnsi="宋体" w:eastAsia="宋体" w:cs="宋体"/>
          <w:sz w:val="20"/>
          <w:szCs w:val="20"/>
        </w:rPr>
        <w:t xml:space="preserve"> </w:t>
      </w:r>
      <w:r>
        <w:rPr>
          <w:rFonts w:ascii="宋体" w:hAnsi="宋体" w:eastAsia="宋体" w:cs="宋体"/>
          <w:spacing w:val="8"/>
          <w:sz w:val="20"/>
          <w:szCs w:val="20"/>
        </w:rPr>
        <w:t>调查、血清学调查等。还可利用现有的疾病监测系</w:t>
      </w:r>
      <w:r>
        <w:rPr>
          <w:rFonts w:ascii="宋体" w:hAnsi="宋体" w:eastAsia="宋体" w:cs="宋体"/>
          <w:spacing w:val="7"/>
          <w:sz w:val="20"/>
          <w:szCs w:val="20"/>
        </w:rPr>
        <w:t>统搜索病例，或建立主动监测系统，提高发现病</w:t>
      </w:r>
      <w:r>
        <w:rPr>
          <w:rFonts w:ascii="宋体" w:hAnsi="宋体" w:eastAsia="宋体" w:cs="宋体"/>
          <w:sz w:val="20"/>
          <w:szCs w:val="20"/>
        </w:rPr>
        <w:t xml:space="preserve"> </w:t>
      </w:r>
      <w:r>
        <w:rPr>
          <w:rFonts w:ascii="宋体" w:hAnsi="宋体" w:eastAsia="宋体" w:cs="宋体"/>
          <w:spacing w:val="8"/>
          <w:sz w:val="20"/>
          <w:szCs w:val="20"/>
        </w:rPr>
        <w:t>例的能力。根据疾病本身特点和发生地区情况，</w:t>
      </w:r>
      <w:r>
        <w:rPr>
          <w:rFonts w:ascii="宋体" w:hAnsi="宋体" w:eastAsia="宋体" w:cs="宋体"/>
          <w:spacing w:val="7"/>
          <w:sz w:val="20"/>
          <w:szCs w:val="20"/>
        </w:rPr>
        <w:t>查找病例的方法也应相应调整。发现病例后，应积</w:t>
      </w:r>
      <w:r>
        <w:rPr>
          <w:rFonts w:ascii="宋体" w:hAnsi="宋体" w:eastAsia="宋体" w:cs="宋体"/>
          <w:sz w:val="20"/>
          <w:szCs w:val="20"/>
        </w:rPr>
        <w:t xml:space="preserve"> </w:t>
      </w:r>
      <w:r>
        <w:rPr>
          <w:rFonts w:ascii="宋体" w:hAnsi="宋体" w:eastAsia="宋体" w:cs="宋体"/>
          <w:spacing w:val="7"/>
          <w:sz w:val="20"/>
          <w:szCs w:val="20"/>
        </w:rPr>
        <w:t>极救治和隔离，并对密切接触者进行密切观察。</w:t>
      </w:r>
    </w:p>
    <w:p w14:paraId="0BB1E914">
      <w:pPr>
        <w:spacing w:line="343" w:lineRule="auto"/>
        <w:rPr>
          <w:rFonts w:ascii="宋体" w:hAnsi="宋体" w:eastAsia="宋体" w:cs="宋体"/>
          <w:sz w:val="20"/>
          <w:szCs w:val="20"/>
        </w:rPr>
        <w:sectPr>
          <w:footerReference r:id="rId272" w:type="default"/>
          <w:pgSz w:w="11900" w:h="16820"/>
          <w:pgMar w:top="386" w:right="874" w:bottom="829" w:left="1450" w:header="0" w:footer="649" w:gutter="0"/>
          <w:cols w:space="720" w:num="1"/>
        </w:sectPr>
      </w:pPr>
    </w:p>
    <w:p w14:paraId="6A395664">
      <w:pPr>
        <w:pStyle w:val="2"/>
        <w:spacing w:before="286" w:line="221" w:lineRule="auto"/>
        <w:ind w:left="669"/>
        <w:rPr>
          <w:sz w:val="19"/>
          <w:szCs w:val="19"/>
        </w:rPr>
      </w:pPr>
      <w:bookmarkStart w:id="426" w:name="bookmark547"/>
      <w:bookmarkEnd w:id="426"/>
      <w:r>
        <w:rPr>
          <w:spacing w:val="-16"/>
          <w:sz w:val="19"/>
          <w:szCs w:val="19"/>
        </w:rPr>
        <w:t>第十六章突发公共卫生事件流行病学</w:t>
      </w:r>
    </w:p>
    <w:p w14:paraId="49F97CA8">
      <w:pPr>
        <w:spacing w:line="283" w:lineRule="auto"/>
        <w:rPr>
          <w:rFonts w:ascii="Arial"/>
          <w:sz w:val="21"/>
        </w:rPr>
      </w:pPr>
    </w:p>
    <w:p w14:paraId="472ED39A">
      <w:pPr>
        <w:spacing w:line="283" w:lineRule="auto"/>
        <w:rPr>
          <w:rFonts w:ascii="Arial"/>
          <w:sz w:val="21"/>
        </w:rPr>
      </w:pPr>
    </w:p>
    <w:p w14:paraId="469140AD">
      <w:pPr>
        <w:spacing w:before="61" w:line="352" w:lineRule="auto"/>
        <w:ind w:left="669" w:right="80" w:firstLine="400"/>
        <w:jc w:val="both"/>
        <w:rPr>
          <w:rFonts w:ascii="宋体" w:hAnsi="宋体" w:eastAsia="宋体" w:cs="宋体"/>
          <w:sz w:val="19"/>
          <w:szCs w:val="19"/>
        </w:rPr>
      </w:pPr>
      <w:r>
        <w:rPr>
          <w:rFonts w:ascii="宋体" w:hAnsi="宋体" w:eastAsia="宋体" w:cs="宋体"/>
          <w:spacing w:val="9"/>
          <w:sz w:val="19"/>
          <w:szCs w:val="19"/>
        </w:rPr>
        <w:t>对发现的病例开展个案调查，目的是调查暴发的“来龙去脉”,了解病</w:t>
      </w:r>
      <w:r>
        <w:rPr>
          <w:rFonts w:ascii="宋体" w:hAnsi="宋体" w:eastAsia="宋体" w:cs="宋体"/>
          <w:spacing w:val="8"/>
          <w:sz w:val="19"/>
          <w:szCs w:val="19"/>
        </w:rPr>
        <w:t>例是怎样被传染的，是否</w:t>
      </w:r>
      <w:r>
        <w:rPr>
          <w:rFonts w:ascii="宋体" w:hAnsi="宋体" w:eastAsia="宋体" w:cs="宋体"/>
          <w:sz w:val="19"/>
          <w:szCs w:val="19"/>
        </w:rPr>
        <w:t xml:space="preserve"> </w:t>
      </w:r>
      <w:r>
        <w:rPr>
          <w:rFonts w:ascii="宋体" w:hAnsi="宋体" w:eastAsia="宋体" w:cs="宋体"/>
          <w:spacing w:val="7"/>
          <w:sz w:val="19"/>
          <w:szCs w:val="19"/>
        </w:rPr>
        <w:t>为输人性病例。调查病例的活动、饮水、饮食、动物接</w:t>
      </w:r>
      <w:r>
        <w:rPr>
          <w:rFonts w:ascii="宋体" w:hAnsi="宋体" w:eastAsia="宋体" w:cs="宋体"/>
          <w:spacing w:val="6"/>
          <w:sz w:val="19"/>
          <w:szCs w:val="19"/>
        </w:rPr>
        <w:t>触和各种危险因素暴露，发现可疑线索。个案</w:t>
      </w:r>
      <w:r>
        <w:rPr>
          <w:rFonts w:ascii="宋体" w:hAnsi="宋体" w:eastAsia="宋体" w:cs="宋体"/>
          <w:sz w:val="19"/>
          <w:szCs w:val="19"/>
        </w:rPr>
        <w:t xml:space="preserve"> </w:t>
      </w:r>
      <w:r>
        <w:rPr>
          <w:rFonts w:ascii="宋体" w:hAnsi="宋体" w:eastAsia="宋体" w:cs="宋体"/>
          <w:spacing w:val="8"/>
          <w:sz w:val="19"/>
          <w:szCs w:val="19"/>
        </w:rPr>
        <w:t>调查时还要采集生物标本进行检测，以便明确诊断。</w:t>
      </w:r>
    </w:p>
    <w:p w14:paraId="585C2B8C">
      <w:pPr>
        <w:pStyle w:val="2"/>
        <w:spacing w:before="34" w:line="221" w:lineRule="auto"/>
        <w:ind w:left="1070"/>
        <w:rPr>
          <w:sz w:val="19"/>
          <w:szCs w:val="19"/>
        </w:rPr>
      </w:pPr>
      <w:r>
        <w:rPr>
          <w:spacing w:val="29"/>
          <w:sz w:val="19"/>
          <w:szCs w:val="19"/>
        </w:rPr>
        <w:t>(六)描述疾病的三间分布</w:t>
      </w:r>
    </w:p>
    <w:p w14:paraId="2350CAE4">
      <w:pPr>
        <w:spacing w:before="143" w:line="351" w:lineRule="auto"/>
        <w:ind w:left="669" w:right="104" w:firstLine="400"/>
        <w:jc w:val="both"/>
        <w:rPr>
          <w:rFonts w:ascii="宋体" w:hAnsi="宋体" w:eastAsia="宋体" w:cs="宋体"/>
          <w:sz w:val="19"/>
          <w:szCs w:val="19"/>
        </w:rPr>
      </w:pPr>
      <w:r>
        <w:rPr>
          <w:rFonts w:ascii="宋体" w:hAnsi="宋体" w:eastAsia="宋体" w:cs="宋体"/>
          <w:spacing w:val="16"/>
          <w:sz w:val="19"/>
          <w:szCs w:val="19"/>
        </w:rPr>
        <w:t>许多疾病都有其独特的流行病学特征，不同类型疾病的流行病学</w:t>
      </w:r>
      <w:r>
        <w:rPr>
          <w:rFonts w:ascii="宋体" w:hAnsi="宋体" w:eastAsia="宋体" w:cs="宋体"/>
          <w:spacing w:val="15"/>
          <w:sz w:val="19"/>
          <w:szCs w:val="19"/>
        </w:rPr>
        <w:t>分布特点各异。在暴发调查</w:t>
      </w:r>
      <w:r>
        <w:rPr>
          <w:rFonts w:ascii="宋体" w:hAnsi="宋体" w:eastAsia="宋体" w:cs="宋体"/>
          <w:sz w:val="19"/>
          <w:szCs w:val="19"/>
        </w:rPr>
        <w:t xml:space="preserve"> </w:t>
      </w:r>
      <w:r>
        <w:rPr>
          <w:rFonts w:ascii="宋体" w:hAnsi="宋体" w:eastAsia="宋体" w:cs="宋体"/>
          <w:spacing w:val="11"/>
          <w:sz w:val="19"/>
          <w:szCs w:val="19"/>
        </w:rPr>
        <w:t>中，描述疾病的三间分布有助于发现高危人群及防制重点，</w:t>
      </w:r>
      <w:r>
        <w:rPr>
          <w:rFonts w:ascii="宋体" w:hAnsi="宋体" w:eastAsia="宋体" w:cs="宋体"/>
          <w:spacing w:val="10"/>
          <w:sz w:val="19"/>
          <w:szCs w:val="19"/>
        </w:rPr>
        <w:t>为疾病防制提供依据，并可通过描述暴</w:t>
      </w:r>
      <w:r>
        <w:rPr>
          <w:rFonts w:ascii="宋体" w:hAnsi="宋体" w:eastAsia="宋体" w:cs="宋体"/>
          <w:sz w:val="19"/>
          <w:szCs w:val="19"/>
        </w:rPr>
        <w:t xml:space="preserve"> </w:t>
      </w:r>
      <w:r>
        <w:rPr>
          <w:rFonts w:ascii="宋体" w:hAnsi="宋体" w:eastAsia="宋体" w:cs="宋体"/>
          <w:spacing w:val="8"/>
          <w:sz w:val="19"/>
          <w:szCs w:val="19"/>
        </w:rPr>
        <w:t>露因素与疾病之间的关联，逐步建立病因假设。</w:t>
      </w:r>
    </w:p>
    <w:p w14:paraId="194714C0">
      <w:pPr>
        <w:pStyle w:val="2"/>
        <w:spacing w:before="27" w:line="349" w:lineRule="auto"/>
        <w:ind w:left="669" w:right="19" w:firstLine="400"/>
        <w:jc w:val="both"/>
        <w:rPr>
          <w:rFonts w:ascii="宋体" w:hAnsi="宋体" w:eastAsia="宋体" w:cs="宋体"/>
          <w:sz w:val="19"/>
          <w:szCs w:val="19"/>
        </w:rPr>
      </w:pPr>
      <w:r>
        <w:rPr>
          <w:rFonts w:ascii="宋体" w:hAnsi="宋体" w:eastAsia="宋体" w:cs="宋体"/>
          <w:spacing w:val="13"/>
          <w:sz w:val="19"/>
          <w:szCs w:val="19"/>
        </w:rPr>
        <w:t xml:space="preserve">1. </w:t>
      </w:r>
      <w:r>
        <w:rPr>
          <w:spacing w:val="13"/>
          <w:sz w:val="19"/>
          <w:szCs w:val="19"/>
        </w:rPr>
        <w:t>时间分布</w:t>
      </w:r>
      <w:r>
        <w:rPr>
          <w:spacing w:val="8"/>
          <w:sz w:val="19"/>
          <w:szCs w:val="19"/>
        </w:rPr>
        <w:t xml:space="preserve">  </w:t>
      </w:r>
      <w:r>
        <w:rPr>
          <w:rFonts w:ascii="宋体" w:hAnsi="宋体" w:eastAsia="宋体" w:cs="宋体"/>
          <w:spacing w:val="13"/>
          <w:sz w:val="19"/>
          <w:szCs w:val="19"/>
        </w:rPr>
        <w:t>时间分布是对疾病按照时间的变化进行描述，暴发调查时也需要将特定时间内</w:t>
      </w:r>
      <w:r>
        <w:rPr>
          <w:rFonts w:ascii="宋体" w:hAnsi="宋体" w:eastAsia="宋体" w:cs="宋体"/>
          <w:sz w:val="19"/>
          <w:szCs w:val="19"/>
        </w:rPr>
        <w:t xml:space="preserve"> </w:t>
      </w:r>
      <w:r>
        <w:rPr>
          <w:rFonts w:ascii="宋体" w:hAnsi="宋体" w:eastAsia="宋体" w:cs="宋体"/>
          <w:spacing w:val="13"/>
          <w:sz w:val="19"/>
          <w:szCs w:val="19"/>
        </w:rPr>
        <w:t>的病例数与同期的预期病例数进行比较，以便判断是否为暴发或</w:t>
      </w:r>
      <w:r>
        <w:rPr>
          <w:rFonts w:ascii="宋体" w:hAnsi="宋体" w:eastAsia="宋体" w:cs="宋体"/>
          <w:spacing w:val="12"/>
          <w:sz w:val="19"/>
          <w:szCs w:val="19"/>
        </w:rPr>
        <w:t>流行。在进行时间分布的分析时，</w:t>
      </w:r>
      <w:r>
        <w:rPr>
          <w:rFonts w:ascii="宋体" w:hAnsi="宋体" w:eastAsia="宋体" w:cs="宋体"/>
          <w:sz w:val="19"/>
          <w:szCs w:val="19"/>
        </w:rPr>
        <w:t xml:space="preserve"> </w:t>
      </w:r>
      <w:r>
        <w:rPr>
          <w:rFonts w:ascii="宋体" w:hAnsi="宋体" w:eastAsia="宋体" w:cs="宋体"/>
          <w:spacing w:val="6"/>
          <w:sz w:val="19"/>
          <w:szCs w:val="19"/>
        </w:rPr>
        <w:t>首先确定各病例的发病时间，画出疾病的流行曲线</w:t>
      </w:r>
      <w:r>
        <w:rPr>
          <w:rFonts w:ascii="Times New Roman" w:hAnsi="Times New Roman" w:eastAsia="Times New Roman" w:cs="Times New Roman"/>
          <w:spacing w:val="6"/>
          <w:sz w:val="19"/>
          <w:szCs w:val="19"/>
        </w:rPr>
        <w:t>(</w:t>
      </w:r>
      <w:r>
        <w:rPr>
          <w:rFonts w:ascii="Times New Roman" w:hAnsi="Times New Roman" w:eastAsia="Times New Roman" w:cs="Times New Roman"/>
          <w:sz w:val="19"/>
          <w:szCs w:val="19"/>
        </w:rPr>
        <w:t>epidemic</w:t>
      </w:r>
      <w:r>
        <w:rPr>
          <w:rFonts w:ascii="Times New Roman" w:hAnsi="Times New Roman" w:eastAsia="Times New Roman" w:cs="Times New Roman"/>
          <w:spacing w:val="6"/>
          <w:sz w:val="19"/>
          <w:szCs w:val="19"/>
        </w:rPr>
        <w:t xml:space="preserve">     </w:t>
      </w:r>
      <w:r>
        <w:rPr>
          <w:rFonts w:ascii="Times New Roman" w:hAnsi="Times New Roman" w:eastAsia="Times New Roman" w:cs="Times New Roman"/>
          <w:sz w:val="19"/>
          <w:szCs w:val="19"/>
        </w:rPr>
        <w:t>curve</w:t>
      </w:r>
      <w:r>
        <w:rPr>
          <w:rFonts w:ascii="Times New Roman" w:hAnsi="Times New Roman" w:eastAsia="Times New Roman" w:cs="Times New Roman"/>
          <w:spacing w:val="6"/>
          <w:sz w:val="19"/>
          <w:szCs w:val="19"/>
        </w:rPr>
        <w:t>),</w:t>
      </w:r>
      <w:r>
        <w:rPr>
          <w:rFonts w:ascii="宋体" w:hAnsi="宋体" w:eastAsia="宋体" w:cs="宋体"/>
          <w:spacing w:val="6"/>
          <w:sz w:val="19"/>
          <w:szCs w:val="19"/>
        </w:rPr>
        <w:t>即以时间(时、天)为横坐标，以</w:t>
      </w:r>
      <w:r>
        <w:rPr>
          <w:rFonts w:ascii="宋体" w:hAnsi="宋体" w:eastAsia="宋体" w:cs="宋体"/>
          <w:spacing w:val="16"/>
          <w:sz w:val="19"/>
          <w:szCs w:val="19"/>
        </w:rPr>
        <w:t xml:space="preserve"> </w:t>
      </w:r>
      <w:r>
        <w:rPr>
          <w:rFonts w:ascii="宋体" w:hAnsi="宋体" w:eastAsia="宋体" w:cs="宋体"/>
          <w:spacing w:val="10"/>
          <w:sz w:val="19"/>
          <w:szCs w:val="19"/>
        </w:rPr>
        <w:t>发病数为纵坐标所画的直方图。</w:t>
      </w:r>
      <w:r>
        <w:rPr>
          <w:rFonts w:ascii="宋体" w:hAnsi="宋体" w:eastAsia="宋体" w:cs="宋体"/>
          <w:spacing w:val="-45"/>
          <w:sz w:val="19"/>
          <w:szCs w:val="19"/>
        </w:rPr>
        <w:t xml:space="preserve"> </w:t>
      </w:r>
      <w:r>
        <w:rPr>
          <w:rFonts w:ascii="Times New Roman" w:hAnsi="Times New Roman" w:eastAsia="Times New Roman" w:cs="Times New Roman"/>
          <w:spacing w:val="10"/>
          <w:sz w:val="19"/>
          <w:szCs w:val="19"/>
        </w:rPr>
        <w:t xml:space="preserve">X </w:t>
      </w:r>
      <w:r>
        <w:rPr>
          <w:rFonts w:ascii="宋体" w:hAnsi="宋体" w:eastAsia="宋体" w:cs="宋体"/>
          <w:spacing w:val="10"/>
          <w:sz w:val="19"/>
          <w:szCs w:val="19"/>
        </w:rPr>
        <w:t>轴上最合适的时间单位应根据疾病的潜伏期、疾</w:t>
      </w:r>
      <w:r>
        <w:rPr>
          <w:rFonts w:ascii="宋体" w:hAnsi="宋体" w:eastAsia="宋体" w:cs="宋体"/>
          <w:spacing w:val="9"/>
          <w:sz w:val="19"/>
          <w:szCs w:val="19"/>
        </w:rPr>
        <w:t>病分布的时间长</w:t>
      </w:r>
      <w:r>
        <w:rPr>
          <w:rFonts w:ascii="宋体" w:hAnsi="宋体" w:eastAsia="宋体" w:cs="宋体"/>
          <w:sz w:val="19"/>
          <w:szCs w:val="19"/>
        </w:rPr>
        <w:t xml:space="preserve"> </w:t>
      </w:r>
      <w:r>
        <w:rPr>
          <w:rFonts w:ascii="宋体" w:hAnsi="宋体" w:eastAsia="宋体" w:cs="宋体"/>
          <w:spacing w:val="13"/>
          <w:sz w:val="19"/>
          <w:szCs w:val="19"/>
        </w:rPr>
        <w:t>度等决定，经验表明，间隔时间单位应该是可疑</w:t>
      </w:r>
      <w:r>
        <w:rPr>
          <w:rFonts w:ascii="宋体" w:hAnsi="宋体" w:eastAsia="宋体" w:cs="宋体"/>
          <w:spacing w:val="12"/>
          <w:sz w:val="19"/>
          <w:szCs w:val="19"/>
        </w:rPr>
        <w:t>疾病潜伏期的1/8～1/3,这样可以较清楚地表达传</w:t>
      </w:r>
      <w:r>
        <w:rPr>
          <w:rFonts w:ascii="宋体" w:hAnsi="宋体" w:eastAsia="宋体" w:cs="宋体"/>
          <w:sz w:val="19"/>
          <w:szCs w:val="19"/>
        </w:rPr>
        <w:t xml:space="preserve"> </w:t>
      </w:r>
      <w:r>
        <w:rPr>
          <w:rFonts w:ascii="宋体" w:hAnsi="宋体" w:eastAsia="宋体" w:cs="宋体"/>
          <w:spacing w:val="10"/>
          <w:sz w:val="19"/>
          <w:szCs w:val="19"/>
        </w:rPr>
        <w:t>播模式、潜伏期长短和二代病例发病情况，还可以估计病例的暴露时间以及评价控制</w:t>
      </w:r>
      <w:r>
        <w:rPr>
          <w:rFonts w:ascii="宋体" w:hAnsi="宋体" w:eastAsia="宋体" w:cs="宋体"/>
          <w:spacing w:val="9"/>
          <w:sz w:val="19"/>
          <w:szCs w:val="19"/>
        </w:rPr>
        <w:t>措施的效果。</w:t>
      </w:r>
    </w:p>
    <w:p w14:paraId="1F7FBC5A">
      <w:pPr>
        <w:spacing w:before="64" w:line="341" w:lineRule="auto"/>
        <w:ind w:left="669" w:right="19" w:firstLine="400"/>
        <w:jc w:val="both"/>
        <w:rPr>
          <w:rFonts w:ascii="宋体" w:hAnsi="宋体" w:eastAsia="宋体" w:cs="宋体"/>
          <w:sz w:val="19"/>
          <w:szCs w:val="19"/>
        </w:rPr>
      </w:pPr>
      <w:r>
        <w:rPr>
          <w:rFonts w:ascii="宋体" w:hAnsi="宋体" w:eastAsia="宋体" w:cs="宋体"/>
          <w:spacing w:val="6"/>
          <w:sz w:val="19"/>
          <w:szCs w:val="19"/>
        </w:rPr>
        <w:t>流行曲线因病原体、传播方式、代际间隔、暴露类型及其时间长短、潜伏期及暴露的易感者人数</w:t>
      </w:r>
      <w:r>
        <w:rPr>
          <w:rFonts w:ascii="宋体" w:hAnsi="宋体" w:eastAsia="宋体" w:cs="宋体"/>
          <w:spacing w:val="15"/>
          <w:sz w:val="19"/>
          <w:szCs w:val="19"/>
        </w:rPr>
        <w:t xml:space="preserve"> </w:t>
      </w:r>
      <w:r>
        <w:rPr>
          <w:rFonts w:ascii="宋体" w:hAnsi="宋体" w:eastAsia="宋体" w:cs="宋体"/>
          <w:spacing w:val="10"/>
          <w:sz w:val="19"/>
          <w:szCs w:val="19"/>
        </w:rPr>
        <w:t>而异。典型的流行曲线图包括点源传播、持续同源传播和人-人传播模式；此外还有混合传播模式，</w:t>
      </w:r>
      <w:r>
        <w:rPr>
          <w:rFonts w:ascii="宋体" w:hAnsi="宋体" w:eastAsia="宋体" w:cs="宋体"/>
          <w:spacing w:val="8"/>
          <w:sz w:val="19"/>
          <w:szCs w:val="19"/>
        </w:rPr>
        <w:t xml:space="preserve"> </w:t>
      </w:r>
      <w:r>
        <w:rPr>
          <w:rFonts w:ascii="宋体" w:hAnsi="宋体" w:eastAsia="宋体" w:cs="宋体"/>
          <w:spacing w:val="11"/>
          <w:sz w:val="19"/>
          <w:szCs w:val="19"/>
        </w:rPr>
        <w:t>兼具上述三种传播模式的特点。</w:t>
      </w:r>
    </w:p>
    <w:p w14:paraId="2D0553FA">
      <w:pPr>
        <w:spacing w:before="19" w:line="364" w:lineRule="auto"/>
        <w:ind w:left="669" w:right="66" w:firstLine="400"/>
        <w:jc w:val="both"/>
        <w:rPr>
          <w:rFonts w:ascii="宋体" w:hAnsi="宋体" w:eastAsia="宋体" w:cs="宋体"/>
          <w:sz w:val="19"/>
          <w:szCs w:val="19"/>
        </w:rPr>
      </w:pPr>
      <w:r>
        <w:rPr>
          <w:rFonts w:ascii="宋体" w:hAnsi="宋体" w:eastAsia="宋体" w:cs="宋体"/>
          <w:spacing w:val="13"/>
          <w:sz w:val="19"/>
          <w:szCs w:val="19"/>
        </w:rPr>
        <w:t>点源传播</w:t>
      </w:r>
      <w:r>
        <w:rPr>
          <w:rFonts w:ascii="Times New Roman" w:hAnsi="Times New Roman" w:eastAsia="Times New Roman" w:cs="Times New Roman"/>
          <w:spacing w:val="13"/>
          <w:sz w:val="19"/>
          <w:szCs w:val="19"/>
        </w:rPr>
        <w:t>(</w:t>
      </w:r>
      <w:r>
        <w:rPr>
          <w:rFonts w:ascii="Times New Roman" w:hAnsi="Times New Roman" w:eastAsia="Times New Roman" w:cs="Times New Roman"/>
          <w:sz w:val="19"/>
          <w:szCs w:val="19"/>
        </w:rPr>
        <w:t>point</w:t>
      </w:r>
      <w:r>
        <w:rPr>
          <w:rFonts w:ascii="Times New Roman" w:hAnsi="Times New Roman" w:eastAsia="Times New Roman" w:cs="Times New Roman"/>
          <w:spacing w:val="13"/>
          <w:sz w:val="19"/>
          <w:szCs w:val="19"/>
        </w:rPr>
        <w:t xml:space="preserve">   </w:t>
      </w:r>
      <w:r>
        <w:rPr>
          <w:rFonts w:ascii="Times New Roman" w:hAnsi="Times New Roman" w:eastAsia="Times New Roman" w:cs="Times New Roman"/>
          <w:sz w:val="19"/>
          <w:szCs w:val="19"/>
        </w:rPr>
        <w:t>source</w:t>
      </w:r>
      <w:r>
        <w:rPr>
          <w:rFonts w:ascii="Times New Roman" w:hAnsi="Times New Roman" w:eastAsia="Times New Roman" w:cs="Times New Roman"/>
          <w:spacing w:val="13"/>
          <w:sz w:val="19"/>
          <w:szCs w:val="19"/>
        </w:rPr>
        <w:t xml:space="preserve">   </w:t>
      </w:r>
      <w:r>
        <w:rPr>
          <w:rFonts w:ascii="Times New Roman" w:hAnsi="Times New Roman" w:eastAsia="Times New Roman" w:cs="Times New Roman"/>
          <w:sz w:val="19"/>
          <w:szCs w:val="19"/>
        </w:rPr>
        <w:t>transmission</w:t>
      </w:r>
      <w:r>
        <w:rPr>
          <w:rFonts w:ascii="Times New Roman" w:hAnsi="Times New Roman" w:eastAsia="Times New Roman" w:cs="Times New Roman"/>
          <w:spacing w:val="13"/>
          <w:sz w:val="19"/>
          <w:szCs w:val="19"/>
        </w:rPr>
        <w:t>)</w:t>
      </w:r>
      <w:r>
        <w:rPr>
          <w:rFonts w:ascii="宋体" w:hAnsi="宋体" w:eastAsia="宋体" w:cs="宋体"/>
          <w:spacing w:val="13"/>
          <w:sz w:val="19"/>
          <w:szCs w:val="19"/>
        </w:rPr>
        <w:t>是指某易感人群中的成员同时暴露于某共同的病原体或传</w:t>
      </w:r>
      <w:r>
        <w:rPr>
          <w:rFonts w:ascii="宋体" w:hAnsi="宋体" w:eastAsia="宋体" w:cs="宋体"/>
          <w:sz w:val="19"/>
          <w:szCs w:val="19"/>
        </w:rPr>
        <w:t xml:space="preserve"> </w:t>
      </w:r>
      <w:r>
        <w:rPr>
          <w:rFonts w:ascii="宋体" w:hAnsi="宋体" w:eastAsia="宋体" w:cs="宋体"/>
          <w:spacing w:val="11"/>
          <w:sz w:val="19"/>
          <w:szCs w:val="19"/>
        </w:rPr>
        <w:t>染源导致的暴发。流行曲线的特点是快速上升，快速下降；几乎所有病例的发生都集中在该病的最</w:t>
      </w:r>
      <w:r>
        <w:rPr>
          <w:rFonts w:ascii="宋体" w:hAnsi="宋体" w:eastAsia="宋体" w:cs="宋体"/>
          <w:spacing w:val="5"/>
          <w:sz w:val="19"/>
          <w:szCs w:val="19"/>
        </w:rPr>
        <w:t xml:space="preserve"> </w:t>
      </w:r>
      <w:r>
        <w:rPr>
          <w:rFonts w:ascii="宋体" w:hAnsi="宋体" w:eastAsia="宋体" w:cs="宋体"/>
          <w:spacing w:val="16"/>
          <w:sz w:val="19"/>
          <w:szCs w:val="19"/>
        </w:rPr>
        <w:t>长潜伏期内。暴露时点与首例病例发病日期、病例高峰时间以及末例病例发病日期之间的间隔分</w:t>
      </w:r>
      <w:r>
        <w:rPr>
          <w:rFonts w:ascii="宋体" w:hAnsi="宋体" w:eastAsia="宋体" w:cs="宋体"/>
          <w:spacing w:val="15"/>
          <w:sz w:val="19"/>
          <w:szCs w:val="19"/>
        </w:rPr>
        <w:t xml:space="preserve"> </w:t>
      </w:r>
      <w:r>
        <w:rPr>
          <w:rFonts w:ascii="宋体" w:hAnsi="宋体" w:eastAsia="宋体" w:cs="宋体"/>
          <w:spacing w:val="12"/>
          <w:sz w:val="19"/>
          <w:szCs w:val="19"/>
        </w:rPr>
        <w:t>别对应该病的最短、平均和最长潜伏期。在明确暴发疾</w:t>
      </w:r>
      <w:r>
        <w:rPr>
          <w:rFonts w:ascii="宋体" w:hAnsi="宋体" w:eastAsia="宋体" w:cs="宋体"/>
          <w:spacing w:val="11"/>
          <w:sz w:val="19"/>
          <w:szCs w:val="19"/>
        </w:rPr>
        <w:t>病的潜伏期情况下，可以通过流行曲线估计</w:t>
      </w:r>
      <w:r>
        <w:rPr>
          <w:rFonts w:ascii="宋体" w:hAnsi="宋体" w:eastAsia="宋体" w:cs="宋体"/>
          <w:sz w:val="19"/>
          <w:szCs w:val="19"/>
        </w:rPr>
        <w:t xml:space="preserve"> </w:t>
      </w:r>
      <w:r>
        <w:rPr>
          <w:rFonts w:ascii="宋体" w:hAnsi="宋体" w:eastAsia="宋体" w:cs="宋体"/>
          <w:spacing w:val="7"/>
          <w:sz w:val="19"/>
          <w:szCs w:val="19"/>
        </w:rPr>
        <w:t>暴露时间，如一次聚餐导致的细菌性痢疾暴发，见图16-1。</w:t>
      </w:r>
    </w:p>
    <w:p w14:paraId="0CD74FE4">
      <w:pPr>
        <w:spacing w:before="48" w:line="2310" w:lineRule="exact"/>
        <w:ind w:firstLine="2290"/>
      </w:pPr>
      <w:r>
        <mc:AlternateContent>
          <mc:Choice Requires="wps">
            <w:drawing>
              <wp:anchor distT="0" distB="0" distL="0" distR="0" simplePos="0" relativeHeight="251913216" behindDoc="0" locked="0" layoutInCell="1" allowOverlap="1">
                <wp:simplePos x="0" y="0"/>
                <wp:positionH relativeFrom="column">
                  <wp:posOffset>1093470</wp:posOffset>
                </wp:positionH>
                <wp:positionV relativeFrom="paragraph">
                  <wp:posOffset>601980</wp:posOffset>
                </wp:positionV>
                <wp:extent cx="614045" cy="147955"/>
                <wp:effectExtent l="0" t="0" r="0" b="0"/>
                <wp:wrapNone/>
                <wp:docPr id="718" name="TextBox 718"/>
                <wp:cNvGraphicFramePr/>
                <a:graphic xmlns:a="http://schemas.openxmlformats.org/drawingml/2006/main">
                  <a:graphicData uri="http://schemas.microsoft.com/office/word/2010/wordprocessingShape">
                    <wps:wsp>
                      <wps:cNvSpPr txBox="1"/>
                      <wps:spPr>
                        <a:xfrm rot="16200000">
                          <a:off x="1093802" y="602371"/>
                          <a:ext cx="614044" cy="147954"/>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1708A5E9">
                            <w:pPr>
                              <w:spacing w:before="46" w:line="219" w:lineRule="auto"/>
                              <w:ind w:left="20"/>
                              <w:rPr>
                                <w:rFonts w:ascii="宋体" w:hAnsi="宋体" w:eastAsia="宋体" w:cs="宋体"/>
                                <w:sz w:val="14"/>
                                <w:szCs w:val="14"/>
                              </w:rPr>
                            </w:pPr>
                            <w:r>
                              <w:rPr>
                                <w:rFonts w:ascii="宋体" w:hAnsi="宋体" w:eastAsia="宋体" w:cs="宋体"/>
                                <w:spacing w:val="-6"/>
                                <w:sz w:val="14"/>
                                <w:szCs w:val="14"/>
                              </w:rPr>
                              <w:t>发</w:t>
                            </w:r>
                            <w:r>
                              <w:rPr>
                                <w:rFonts w:ascii="宋体" w:hAnsi="宋体" w:eastAsia="宋体" w:cs="宋体"/>
                                <w:spacing w:val="-28"/>
                                <w:sz w:val="14"/>
                                <w:szCs w:val="14"/>
                              </w:rPr>
                              <w:t xml:space="preserve"> </w:t>
                            </w:r>
                            <w:r>
                              <w:rPr>
                                <w:rFonts w:ascii="宋体" w:hAnsi="宋体" w:eastAsia="宋体" w:cs="宋体"/>
                                <w:spacing w:val="-6"/>
                                <w:sz w:val="14"/>
                                <w:szCs w:val="14"/>
                              </w:rPr>
                              <w:t>病</w:t>
                            </w:r>
                            <w:r>
                              <w:rPr>
                                <w:rFonts w:ascii="宋体" w:hAnsi="宋体" w:eastAsia="宋体" w:cs="宋体"/>
                                <w:spacing w:val="-31"/>
                                <w:sz w:val="14"/>
                                <w:szCs w:val="14"/>
                              </w:rPr>
                              <w:t xml:space="preserve"> </w:t>
                            </w:r>
                            <w:r>
                              <w:rPr>
                                <w:rFonts w:ascii="宋体" w:hAnsi="宋体" w:eastAsia="宋体" w:cs="宋体"/>
                                <w:spacing w:val="-6"/>
                                <w:sz w:val="14"/>
                                <w:szCs w:val="14"/>
                              </w:rPr>
                              <w:t>人</w:t>
                            </w:r>
                            <w:r>
                              <w:rPr>
                                <w:rFonts w:ascii="宋体" w:hAnsi="宋体" w:eastAsia="宋体" w:cs="宋体"/>
                                <w:spacing w:val="-31"/>
                                <w:sz w:val="14"/>
                                <w:szCs w:val="14"/>
                              </w:rPr>
                              <w:t xml:space="preserve"> </w:t>
                            </w:r>
                            <w:r>
                              <w:rPr>
                                <w:rFonts w:ascii="宋体" w:hAnsi="宋体" w:eastAsia="宋体" w:cs="宋体"/>
                                <w:spacing w:val="-6"/>
                                <w:sz w:val="14"/>
                                <w:szCs w:val="14"/>
                              </w:rPr>
                              <w:t>数</w:t>
                            </w:r>
                            <w:r>
                              <w:rPr>
                                <w:rFonts w:ascii="宋体" w:hAnsi="宋体" w:eastAsia="宋体" w:cs="宋体"/>
                                <w:spacing w:val="-32"/>
                                <w:sz w:val="14"/>
                                <w:szCs w:val="14"/>
                              </w:rPr>
                              <w:t xml:space="preserve"> </w:t>
                            </w:r>
                            <w:r>
                              <w:rPr>
                                <w:rFonts w:ascii="宋体" w:hAnsi="宋体" w:eastAsia="宋体" w:cs="宋体"/>
                                <w:spacing w:val="-6"/>
                                <w:sz w:val="14"/>
                                <w:szCs w:val="14"/>
                              </w:rPr>
                              <w:t>/</w:t>
                            </w:r>
                            <w:r>
                              <w:rPr>
                                <w:rFonts w:ascii="宋体" w:hAnsi="宋体" w:eastAsia="宋体" w:cs="宋体"/>
                                <w:spacing w:val="-31"/>
                                <w:sz w:val="14"/>
                                <w:szCs w:val="14"/>
                              </w:rPr>
                              <w:t xml:space="preserve"> </w:t>
                            </w:r>
                            <w:r>
                              <w:rPr>
                                <w:rFonts w:ascii="宋体" w:hAnsi="宋体" w:eastAsia="宋体" w:cs="宋体"/>
                                <w:spacing w:val="-6"/>
                                <w:sz w:val="14"/>
                                <w:szCs w:val="14"/>
                              </w:rPr>
                              <w:t>人</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718" o:spid="_x0000_s1026" o:spt="202" type="#_x0000_t202" style="position:absolute;left:0pt;margin-left:86.1pt;margin-top:47.4pt;height:11.65pt;width:48.35pt;rotation:-5898240f;z-index:251913216;mso-width-relative:page;mso-height-relative:page;" filled="f" stroked="f" coordsize="21600,21600" o:gfxdata="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AdkUu71wAAAAoBAAAP&#10;AAAAAAAAAAEAIAAAACIAAABkcnMvZG93bnJldi54bWxQSwECFAAUAAAACACHTuJAUIZx+lICAACk&#10;BAAADgAAAAAAAAABACAAAAAmAQAAZHJzL2Uyb0RvYy54bWxQSwUGAAAAAAYABgBZAQAA6gUAAAAA&#10;">
                <v:fill on="f" focussize="0,0"/>
                <v:stroke on="f" weight="0pt" miterlimit="0" joinstyle="miter"/>
                <v:imagedata o:title=""/>
                <o:lock v:ext="edit" aspectratio="f"/>
                <v:textbox inset="0mm,0mm,0mm,0mm">
                  <w:txbxContent>
                    <w:p w14:paraId="1708A5E9">
                      <w:pPr>
                        <w:spacing w:before="46" w:line="219" w:lineRule="auto"/>
                        <w:ind w:left="20"/>
                        <w:rPr>
                          <w:rFonts w:ascii="宋体" w:hAnsi="宋体" w:eastAsia="宋体" w:cs="宋体"/>
                          <w:sz w:val="14"/>
                          <w:szCs w:val="14"/>
                        </w:rPr>
                      </w:pPr>
                      <w:r>
                        <w:rPr>
                          <w:rFonts w:ascii="宋体" w:hAnsi="宋体" w:eastAsia="宋体" w:cs="宋体"/>
                          <w:spacing w:val="-6"/>
                          <w:sz w:val="14"/>
                          <w:szCs w:val="14"/>
                        </w:rPr>
                        <w:t>发</w:t>
                      </w:r>
                      <w:r>
                        <w:rPr>
                          <w:rFonts w:ascii="宋体" w:hAnsi="宋体" w:eastAsia="宋体" w:cs="宋体"/>
                          <w:spacing w:val="-28"/>
                          <w:sz w:val="14"/>
                          <w:szCs w:val="14"/>
                        </w:rPr>
                        <w:t xml:space="preserve"> </w:t>
                      </w:r>
                      <w:r>
                        <w:rPr>
                          <w:rFonts w:ascii="宋体" w:hAnsi="宋体" w:eastAsia="宋体" w:cs="宋体"/>
                          <w:spacing w:val="-6"/>
                          <w:sz w:val="14"/>
                          <w:szCs w:val="14"/>
                        </w:rPr>
                        <w:t>病</w:t>
                      </w:r>
                      <w:r>
                        <w:rPr>
                          <w:rFonts w:ascii="宋体" w:hAnsi="宋体" w:eastAsia="宋体" w:cs="宋体"/>
                          <w:spacing w:val="-31"/>
                          <w:sz w:val="14"/>
                          <w:szCs w:val="14"/>
                        </w:rPr>
                        <w:t xml:space="preserve"> </w:t>
                      </w:r>
                      <w:r>
                        <w:rPr>
                          <w:rFonts w:ascii="宋体" w:hAnsi="宋体" w:eastAsia="宋体" w:cs="宋体"/>
                          <w:spacing w:val="-6"/>
                          <w:sz w:val="14"/>
                          <w:szCs w:val="14"/>
                        </w:rPr>
                        <w:t>人</w:t>
                      </w:r>
                      <w:r>
                        <w:rPr>
                          <w:rFonts w:ascii="宋体" w:hAnsi="宋体" w:eastAsia="宋体" w:cs="宋体"/>
                          <w:spacing w:val="-31"/>
                          <w:sz w:val="14"/>
                          <w:szCs w:val="14"/>
                        </w:rPr>
                        <w:t xml:space="preserve"> </w:t>
                      </w:r>
                      <w:r>
                        <w:rPr>
                          <w:rFonts w:ascii="宋体" w:hAnsi="宋体" w:eastAsia="宋体" w:cs="宋体"/>
                          <w:spacing w:val="-6"/>
                          <w:sz w:val="14"/>
                          <w:szCs w:val="14"/>
                        </w:rPr>
                        <w:t>数</w:t>
                      </w:r>
                      <w:r>
                        <w:rPr>
                          <w:rFonts w:ascii="宋体" w:hAnsi="宋体" w:eastAsia="宋体" w:cs="宋体"/>
                          <w:spacing w:val="-32"/>
                          <w:sz w:val="14"/>
                          <w:szCs w:val="14"/>
                        </w:rPr>
                        <w:t xml:space="preserve"> </w:t>
                      </w:r>
                      <w:r>
                        <w:rPr>
                          <w:rFonts w:ascii="宋体" w:hAnsi="宋体" w:eastAsia="宋体" w:cs="宋体"/>
                          <w:spacing w:val="-6"/>
                          <w:sz w:val="14"/>
                          <w:szCs w:val="14"/>
                        </w:rPr>
                        <w:t>/</w:t>
                      </w:r>
                      <w:r>
                        <w:rPr>
                          <w:rFonts w:ascii="宋体" w:hAnsi="宋体" w:eastAsia="宋体" w:cs="宋体"/>
                          <w:spacing w:val="-31"/>
                          <w:sz w:val="14"/>
                          <w:szCs w:val="14"/>
                        </w:rPr>
                        <w:t xml:space="preserve"> </w:t>
                      </w:r>
                      <w:r>
                        <w:rPr>
                          <w:rFonts w:ascii="宋体" w:hAnsi="宋体" w:eastAsia="宋体" w:cs="宋体"/>
                          <w:spacing w:val="-6"/>
                          <w:sz w:val="14"/>
                          <w:szCs w:val="14"/>
                        </w:rPr>
                        <w:t>人</w:t>
                      </w:r>
                    </w:p>
                  </w:txbxContent>
                </v:textbox>
              </v:shape>
            </w:pict>
          </mc:Fallback>
        </mc:AlternateContent>
      </w:r>
      <w:r>
        <w:rPr>
          <w:position w:val="-46"/>
        </w:rPr>
        <w:drawing>
          <wp:inline distT="0" distB="0" distL="0" distR="0">
            <wp:extent cx="3637915" cy="1466850"/>
            <wp:effectExtent l="0" t="0" r="0" b="0"/>
            <wp:docPr id="720" name="IM 720"/>
            <wp:cNvGraphicFramePr/>
            <a:graphic xmlns:a="http://schemas.openxmlformats.org/drawingml/2006/main">
              <a:graphicData uri="http://schemas.openxmlformats.org/drawingml/2006/picture">
                <pic:pic xmlns:pic="http://schemas.openxmlformats.org/drawingml/2006/picture">
                  <pic:nvPicPr>
                    <pic:cNvPr id="720" name="IM 720"/>
                    <pic:cNvPicPr/>
                  </pic:nvPicPr>
                  <pic:blipFill>
                    <a:blip r:embed="rId664"/>
                    <a:stretch>
                      <a:fillRect/>
                    </a:stretch>
                  </pic:blipFill>
                  <pic:spPr>
                    <a:xfrm>
                      <a:off x="0" y="0"/>
                      <a:ext cx="3638529" cy="1466887"/>
                    </a:xfrm>
                    <a:prstGeom prst="rect">
                      <a:avLst/>
                    </a:prstGeom>
                  </pic:spPr>
                </pic:pic>
              </a:graphicData>
            </a:graphic>
          </wp:inline>
        </w:drawing>
      </w:r>
    </w:p>
    <w:p w14:paraId="30F05D65">
      <w:pPr>
        <w:spacing w:before="48" w:line="220" w:lineRule="auto"/>
        <w:ind w:left="4640"/>
        <w:rPr>
          <w:rFonts w:ascii="宋体" w:hAnsi="宋体" w:eastAsia="宋体" w:cs="宋体"/>
          <w:sz w:val="19"/>
          <w:szCs w:val="19"/>
        </w:rPr>
      </w:pPr>
      <w:r>
        <w:rPr>
          <w:rFonts w:ascii="宋体" w:hAnsi="宋体" w:eastAsia="宋体" w:cs="宋体"/>
          <w:spacing w:val="-19"/>
          <w:sz w:val="19"/>
          <w:szCs w:val="19"/>
        </w:rPr>
        <w:t>发病时间/天</w:t>
      </w:r>
    </w:p>
    <w:p w14:paraId="5D68EE65">
      <w:pPr>
        <w:pStyle w:val="2"/>
        <w:spacing w:before="141" w:line="221" w:lineRule="auto"/>
        <w:ind w:left="4090"/>
        <w:rPr>
          <w:sz w:val="19"/>
          <w:szCs w:val="19"/>
        </w:rPr>
      </w:pPr>
      <w:r>
        <w:rPr>
          <w:sz w:val="19"/>
          <w:szCs w:val="19"/>
        </w:rPr>
        <w:t>图16-1</w:t>
      </w:r>
      <w:r>
        <w:rPr>
          <w:spacing w:val="76"/>
          <w:sz w:val="19"/>
          <w:szCs w:val="19"/>
        </w:rPr>
        <w:t xml:space="preserve"> </w:t>
      </w:r>
      <w:r>
        <w:rPr>
          <w:sz w:val="19"/>
          <w:szCs w:val="19"/>
        </w:rPr>
        <w:t>点源传播模式</w:t>
      </w:r>
    </w:p>
    <w:p w14:paraId="18FF9CD5">
      <w:pPr>
        <w:spacing w:before="222" w:line="367" w:lineRule="auto"/>
        <w:ind w:left="669" w:firstLine="400"/>
        <w:jc w:val="both"/>
        <w:rPr>
          <w:rFonts w:ascii="宋体" w:hAnsi="宋体" w:eastAsia="宋体" w:cs="宋体"/>
          <w:sz w:val="19"/>
          <w:szCs w:val="19"/>
        </w:rPr>
      </w:pPr>
      <w:r>
        <w:rPr>
          <w:rFonts w:ascii="宋体" w:hAnsi="宋体" w:eastAsia="宋体" w:cs="宋体"/>
          <w:spacing w:val="10"/>
          <w:sz w:val="19"/>
          <w:szCs w:val="19"/>
        </w:rPr>
        <w:t>持续同源传播</w:t>
      </w:r>
      <w:r>
        <w:rPr>
          <w:rFonts w:ascii="Times New Roman" w:hAnsi="Times New Roman" w:eastAsia="Times New Roman" w:cs="Times New Roman"/>
          <w:spacing w:val="10"/>
          <w:sz w:val="19"/>
          <w:szCs w:val="19"/>
        </w:rPr>
        <w:t>(</w:t>
      </w:r>
      <w:r>
        <w:rPr>
          <w:rFonts w:ascii="Times New Roman" w:hAnsi="Times New Roman" w:eastAsia="Times New Roman" w:cs="Times New Roman"/>
          <w:sz w:val="19"/>
          <w:szCs w:val="19"/>
        </w:rPr>
        <w:t>continuous</w:t>
      </w:r>
      <w:r>
        <w:rPr>
          <w:rFonts w:ascii="Times New Roman" w:hAnsi="Times New Roman" w:eastAsia="Times New Roman" w:cs="Times New Roman"/>
          <w:spacing w:val="10"/>
          <w:sz w:val="19"/>
          <w:szCs w:val="19"/>
        </w:rPr>
        <w:t xml:space="preserve">   </w:t>
      </w:r>
      <w:r>
        <w:rPr>
          <w:rFonts w:ascii="Times New Roman" w:hAnsi="Times New Roman" w:eastAsia="Times New Roman" w:cs="Times New Roman"/>
          <w:sz w:val="19"/>
          <w:szCs w:val="19"/>
        </w:rPr>
        <w:t>common</w:t>
      </w:r>
      <w:r>
        <w:rPr>
          <w:rFonts w:ascii="Times New Roman" w:hAnsi="Times New Roman" w:eastAsia="Times New Roman" w:cs="Times New Roman"/>
          <w:spacing w:val="10"/>
          <w:sz w:val="19"/>
          <w:szCs w:val="19"/>
        </w:rPr>
        <w:t xml:space="preserve">    </w:t>
      </w:r>
      <w:r>
        <w:rPr>
          <w:rFonts w:ascii="Times New Roman" w:hAnsi="Times New Roman" w:eastAsia="Times New Roman" w:cs="Times New Roman"/>
          <w:sz w:val="19"/>
          <w:szCs w:val="19"/>
        </w:rPr>
        <w:t>source</w:t>
      </w:r>
      <w:r>
        <w:rPr>
          <w:rFonts w:ascii="Times New Roman" w:hAnsi="Times New Roman" w:eastAsia="Times New Roman" w:cs="Times New Roman"/>
          <w:spacing w:val="10"/>
          <w:sz w:val="19"/>
          <w:szCs w:val="19"/>
        </w:rPr>
        <w:t xml:space="preserve">    </w:t>
      </w:r>
      <w:r>
        <w:rPr>
          <w:rFonts w:ascii="Times New Roman" w:hAnsi="Times New Roman" w:eastAsia="Times New Roman" w:cs="Times New Roman"/>
          <w:sz w:val="19"/>
          <w:szCs w:val="19"/>
        </w:rPr>
        <w:t>transmission</w:t>
      </w:r>
      <w:r>
        <w:rPr>
          <w:rFonts w:ascii="Times New Roman" w:hAnsi="Times New Roman" w:eastAsia="Times New Roman" w:cs="Times New Roman"/>
          <w:spacing w:val="10"/>
          <w:sz w:val="19"/>
          <w:szCs w:val="19"/>
        </w:rPr>
        <w:t>)</w:t>
      </w:r>
      <w:r>
        <w:rPr>
          <w:rFonts w:ascii="宋体" w:hAnsi="宋体" w:eastAsia="宋体" w:cs="宋体"/>
          <w:spacing w:val="10"/>
          <w:sz w:val="19"/>
          <w:szCs w:val="19"/>
        </w:rPr>
        <w:t>是持续暴露于同一传染源导致的暴发。</w:t>
      </w:r>
      <w:r>
        <w:rPr>
          <w:rFonts w:ascii="宋体" w:hAnsi="宋体" w:eastAsia="宋体" w:cs="宋体"/>
          <w:sz w:val="19"/>
          <w:szCs w:val="19"/>
        </w:rPr>
        <w:t xml:space="preserve"> </w:t>
      </w:r>
      <w:r>
        <w:rPr>
          <w:rFonts w:ascii="宋体" w:hAnsi="宋体" w:eastAsia="宋体" w:cs="宋体"/>
          <w:spacing w:val="11"/>
          <w:sz w:val="19"/>
          <w:szCs w:val="19"/>
        </w:rPr>
        <w:t>与点源传播类似，流行曲线快速上升，达到发病高峰后，出现一个平台期；如果传染源消除，则曲</w:t>
      </w:r>
      <w:r>
        <w:rPr>
          <w:rFonts w:ascii="宋体" w:hAnsi="宋体" w:eastAsia="宋体" w:cs="宋体"/>
          <w:spacing w:val="17"/>
          <w:sz w:val="19"/>
          <w:szCs w:val="19"/>
        </w:rPr>
        <w:t xml:space="preserve"> </w:t>
      </w:r>
      <w:r>
        <w:rPr>
          <w:rFonts w:ascii="宋体" w:hAnsi="宋体" w:eastAsia="宋体" w:cs="宋体"/>
          <w:spacing w:val="11"/>
          <w:sz w:val="19"/>
          <w:szCs w:val="19"/>
        </w:rPr>
        <w:t>线快速下降；如果传染源自然损耗，则曲线呈缓慢下降，如受污染食品导致的沙门菌感染暴发，见</w:t>
      </w:r>
      <w:r>
        <w:rPr>
          <w:rFonts w:ascii="宋体" w:hAnsi="宋体" w:eastAsia="宋体" w:cs="宋体"/>
          <w:spacing w:val="3"/>
          <w:sz w:val="19"/>
          <w:szCs w:val="19"/>
        </w:rPr>
        <w:t xml:space="preserve">  </w:t>
      </w:r>
      <w:r>
        <w:rPr>
          <w:rFonts w:ascii="宋体" w:hAnsi="宋体" w:eastAsia="宋体" w:cs="宋体"/>
          <w:spacing w:val="7"/>
          <w:sz w:val="19"/>
          <w:szCs w:val="19"/>
        </w:rPr>
        <w:t>图16-2。</w:t>
      </w:r>
    </w:p>
    <w:p w14:paraId="23B52522">
      <w:pPr>
        <w:spacing w:before="7" w:line="352" w:lineRule="auto"/>
        <w:ind w:left="669" w:right="86" w:firstLine="400"/>
        <w:jc w:val="both"/>
        <w:rPr>
          <w:rFonts w:ascii="宋体" w:hAnsi="宋体" w:eastAsia="宋体" w:cs="宋体"/>
          <w:sz w:val="19"/>
          <w:szCs w:val="19"/>
        </w:rPr>
      </w:pPr>
      <w:r>
        <w:rPr>
          <w:rFonts w:ascii="宋体" w:hAnsi="宋体" w:eastAsia="宋体" w:cs="宋体"/>
          <w:spacing w:val="-2"/>
          <w:sz w:val="19"/>
          <w:szCs w:val="19"/>
        </w:rPr>
        <w:t>人-</w:t>
      </w:r>
      <w:r>
        <w:rPr>
          <w:rFonts w:ascii="宋体" w:hAnsi="宋体" w:eastAsia="宋体" w:cs="宋体"/>
          <w:spacing w:val="-55"/>
          <w:sz w:val="19"/>
          <w:szCs w:val="19"/>
        </w:rPr>
        <w:t xml:space="preserve"> </w:t>
      </w:r>
      <w:r>
        <w:rPr>
          <w:rFonts w:ascii="宋体" w:hAnsi="宋体" w:eastAsia="宋体" w:cs="宋体"/>
          <w:spacing w:val="-2"/>
          <w:sz w:val="19"/>
          <w:szCs w:val="19"/>
        </w:rPr>
        <w:t>人传播(person-to-person or propagated transmissio</w:t>
      </w:r>
      <w:r>
        <w:rPr>
          <w:rFonts w:ascii="宋体" w:hAnsi="宋体" w:eastAsia="宋体" w:cs="宋体"/>
          <w:spacing w:val="-3"/>
          <w:sz w:val="19"/>
          <w:szCs w:val="19"/>
        </w:rPr>
        <w:t>n)没有共同的传染源，病原体在易感个体</w:t>
      </w:r>
      <w:r>
        <w:rPr>
          <w:rFonts w:ascii="宋体" w:hAnsi="宋体" w:eastAsia="宋体" w:cs="宋体"/>
          <w:sz w:val="19"/>
          <w:szCs w:val="19"/>
        </w:rPr>
        <w:t xml:space="preserve"> </w:t>
      </w:r>
      <w:r>
        <w:rPr>
          <w:rFonts w:ascii="宋体" w:hAnsi="宋体" w:eastAsia="宋体" w:cs="宋体"/>
          <w:spacing w:val="15"/>
          <w:sz w:val="19"/>
          <w:szCs w:val="19"/>
        </w:rPr>
        <w:t>间传播引起暴发；传播可能直接发生(人与人之间)或通过中间宿主。流行曲线往往表现为一系列</w:t>
      </w:r>
      <w:r>
        <w:rPr>
          <w:rFonts w:ascii="宋体" w:hAnsi="宋体" w:eastAsia="宋体" w:cs="宋体"/>
          <w:spacing w:val="9"/>
          <w:sz w:val="19"/>
          <w:szCs w:val="19"/>
        </w:rPr>
        <w:t xml:space="preserve"> </w:t>
      </w:r>
      <w:r>
        <w:rPr>
          <w:rFonts w:ascii="宋体" w:hAnsi="宋体" w:eastAsia="宋体" w:cs="宋体"/>
          <w:spacing w:val="11"/>
          <w:sz w:val="19"/>
          <w:szCs w:val="19"/>
        </w:rPr>
        <w:t>不规则的高峰，反映了感染的世代数，具有较明显的周期性。发病高峰过后，易感人群减少可</w:t>
      </w:r>
      <w:r>
        <w:rPr>
          <w:rFonts w:ascii="宋体" w:hAnsi="宋体" w:eastAsia="宋体" w:cs="宋体"/>
          <w:spacing w:val="10"/>
          <w:sz w:val="19"/>
          <w:szCs w:val="19"/>
        </w:rPr>
        <w:t>使曲</w:t>
      </w:r>
      <w:r>
        <w:rPr>
          <w:rFonts w:ascii="宋体" w:hAnsi="宋体" w:eastAsia="宋体" w:cs="宋体"/>
          <w:sz w:val="19"/>
          <w:szCs w:val="19"/>
        </w:rPr>
        <w:t xml:space="preserve"> </w:t>
      </w:r>
      <w:r>
        <w:rPr>
          <w:rFonts w:ascii="宋体" w:hAnsi="宋体" w:eastAsia="宋体" w:cs="宋体"/>
          <w:spacing w:val="7"/>
          <w:sz w:val="19"/>
          <w:szCs w:val="19"/>
        </w:rPr>
        <w:t>线快速下降，如学校流行性感冒暴发，见图16-3。</w:t>
      </w:r>
    </w:p>
    <w:p w14:paraId="6F1AC2EC">
      <w:pPr>
        <w:spacing w:before="45" w:line="219" w:lineRule="auto"/>
        <w:ind w:left="1070"/>
        <w:rPr>
          <w:rFonts w:ascii="宋体" w:hAnsi="宋体" w:eastAsia="宋体" w:cs="宋体"/>
          <w:sz w:val="19"/>
          <w:szCs w:val="19"/>
        </w:rPr>
      </w:pPr>
      <w:r>
        <w:rPr>
          <w:rFonts w:ascii="宋体" w:hAnsi="宋体" w:eastAsia="宋体" w:cs="宋体"/>
          <w:spacing w:val="16"/>
          <w:sz w:val="19"/>
          <w:szCs w:val="19"/>
        </w:rPr>
        <w:t>2. 地区分布  地区分布可提示事件发生的范围，有利于进一步建立暴发假设。早在1848</w:t>
      </w:r>
      <w:r>
        <w:rPr>
          <w:rFonts w:ascii="宋体" w:hAnsi="宋体" w:eastAsia="宋体" w:cs="宋体"/>
          <w:spacing w:val="-54"/>
          <w:sz w:val="19"/>
          <w:szCs w:val="19"/>
        </w:rPr>
        <w:t xml:space="preserve"> </w:t>
      </w:r>
      <w:r>
        <w:rPr>
          <w:rFonts w:ascii="宋体" w:hAnsi="宋体" w:eastAsia="宋体" w:cs="宋体"/>
          <w:spacing w:val="16"/>
          <w:sz w:val="19"/>
          <w:szCs w:val="19"/>
        </w:rPr>
        <w:t>—</w:t>
      </w:r>
    </w:p>
    <w:p w14:paraId="6311CD4B">
      <w:pPr>
        <w:spacing w:line="219" w:lineRule="auto"/>
        <w:rPr>
          <w:rFonts w:ascii="宋体" w:hAnsi="宋体" w:eastAsia="宋体" w:cs="宋体"/>
          <w:sz w:val="19"/>
          <w:szCs w:val="19"/>
        </w:rPr>
        <w:sectPr>
          <w:footerReference r:id="rId273" w:type="default"/>
          <w:pgSz w:w="11900" w:h="16820"/>
          <w:pgMar w:top="400" w:right="1575" w:bottom="862" w:left="919" w:header="0" w:footer="691" w:gutter="0"/>
          <w:cols w:space="720" w:num="1"/>
        </w:sectPr>
      </w:pPr>
    </w:p>
    <w:p w14:paraId="15047C83">
      <w:pPr>
        <w:pStyle w:val="2"/>
        <w:spacing w:before="303" w:line="221" w:lineRule="auto"/>
        <w:ind w:left="6002"/>
        <w:rPr>
          <w:sz w:val="20"/>
          <w:szCs w:val="20"/>
        </w:rPr>
      </w:pPr>
      <w:r>
        <w:rPr>
          <w:b/>
          <w:bCs/>
          <w:spacing w:val="-16"/>
          <w:w w:val="97"/>
          <w:sz w:val="20"/>
          <w:szCs w:val="20"/>
        </w:rPr>
        <w:t>第十六章突发公共卫生事件流行病学</w:t>
      </w:r>
    </w:p>
    <w:p w14:paraId="54847896">
      <w:pPr>
        <w:spacing w:line="256" w:lineRule="auto"/>
        <w:rPr>
          <w:rFonts w:ascii="Arial"/>
          <w:sz w:val="21"/>
        </w:rPr>
      </w:pPr>
    </w:p>
    <w:p w14:paraId="3FBFCC2D">
      <w:pPr>
        <w:spacing w:line="257" w:lineRule="auto"/>
        <w:rPr>
          <w:rFonts w:ascii="Arial"/>
          <w:sz w:val="21"/>
        </w:rPr>
      </w:pPr>
    </w:p>
    <w:p w14:paraId="5FA6D2E3">
      <w:pPr>
        <w:spacing w:line="2850" w:lineRule="exact"/>
        <w:ind w:firstLine="1609"/>
      </w:pPr>
      <w:r>
        <mc:AlternateContent>
          <mc:Choice Requires="wps">
            <w:drawing>
              <wp:anchor distT="0" distB="0" distL="0" distR="0" simplePos="0" relativeHeight="251914240" behindDoc="0" locked="0" layoutInCell="1" allowOverlap="1">
                <wp:simplePos x="0" y="0"/>
                <wp:positionH relativeFrom="column">
                  <wp:posOffset>634365</wp:posOffset>
                </wp:positionH>
                <wp:positionV relativeFrom="paragraph">
                  <wp:posOffset>730250</wp:posOffset>
                </wp:positionV>
                <wp:extent cx="633730" cy="217805"/>
                <wp:effectExtent l="0" t="0" r="0" b="0"/>
                <wp:wrapNone/>
                <wp:docPr id="722" name="TextBox 722"/>
                <wp:cNvGraphicFramePr/>
                <a:graphic xmlns:a="http://schemas.openxmlformats.org/drawingml/2006/main">
                  <a:graphicData uri="http://schemas.microsoft.com/office/word/2010/wordprocessingShape">
                    <wps:wsp>
                      <wps:cNvSpPr txBox="1"/>
                      <wps:spPr>
                        <a:xfrm rot="16200000">
                          <a:off x="634916" y="730633"/>
                          <a:ext cx="633730" cy="217804"/>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62BE94D6">
                            <w:pPr>
                              <w:spacing w:before="61" w:line="219" w:lineRule="auto"/>
                              <w:jc w:val="right"/>
                              <w:rPr>
                                <w:rFonts w:ascii="宋体" w:hAnsi="宋体" w:eastAsia="宋体" w:cs="宋体"/>
                                <w:sz w:val="22"/>
                                <w:szCs w:val="22"/>
                              </w:rPr>
                            </w:pPr>
                            <w:r>
                              <w:rPr>
                                <w:rFonts w:ascii="宋体" w:hAnsi="宋体" w:eastAsia="宋体" w:cs="宋体"/>
                                <w:spacing w:val="-15"/>
                                <w:w w:val="86"/>
                                <w:sz w:val="22"/>
                                <w:szCs w:val="22"/>
                              </w:rPr>
                              <w:t>发病人数</w:t>
                            </w:r>
                            <w:r>
                              <w:rPr>
                                <w:rFonts w:ascii="宋体" w:hAnsi="宋体" w:eastAsia="宋体" w:cs="宋体"/>
                                <w:spacing w:val="-14"/>
                                <w:w w:val="86"/>
                                <w:sz w:val="22"/>
                                <w:szCs w:val="22"/>
                              </w:rPr>
                              <w:t>/</w:t>
                            </w:r>
                            <w:r>
                              <w:rPr>
                                <w:rFonts w:ascii="宋体" w:hAnsi="宋体" w:eastAsia="宋体" w:cs="宋体"/>
                                <w:spacing w:val="-10"/>
                                <w:w w:val="86"/>
                                <w:sz w:val="22"/>
                                <w:szCs w:val="22"/>
                              </w:rPr>
                              <w:t>人</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722" o:spid="_x0000_s1026" o:spt="202" type="#_x0000_t202" style="position:absolute;left:0pt;margin-left:49.95pt;margin-top:57.5pt;height:17.15pt;width:49.9pt;rotation:-5898240f;z-index:251914240;mso-width-relative:page;mso-height-relative:page;" filled="f" stroked="f" coordsize="21600,21600" o:gfxdata="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">
                <v:fill on="f" focussize="0,0"/>
                <v:stroke on="f" weight="0pt" miterlimit="0" joinstyle="miter"/>
                <v:imagedata o:title=""/>
                <o:lock v:ext="edit" aspectratio="f"/>
                <v:textbox inset="0mm,0mm,0mm,0mm">
                  <w:txbxContent>
                    <w:p w14:paraId="62BE94D6">
                      <w:pPr>
                        <w:spacing w:before="61" w:line="219" w:lineRule="auto"/>
                        <w:jc w:val="right"/>
                        <w:rPr>
                          <w:rFonts w:ascii="宋体" w:hAnsi="宋体" w:eastAsia="宋体" w:cs="宋体"/>
                          <w:sz w:val="22"/>
                          <w:szCs w:val="22"/>
                        </w:rPr>
                      </w:pPr>
                      <w:r>
                        <w:rPr>
                          <w:rFonts w:ascii="宋体" w:hAnsi="宋体" w:eastAsia="宋体" w:cs="宋体"/>
                          <w:spacing w:val="-15"/>
                          <w:w w:val="86"/>
                          <w:sz w:val="22"/>
                          <w:szCs w:val="22"/>
                        </w:rPr>
                        <w:t>发病人数</w:t>
                      </w:r>
                      <w:r>
                        <w:rPr>
                          <w:rFonts w:ascii="宋体" w:hAnsi="宋体" w:eastAsia="宋体" w:cs="宋体"/>
                          <w:spacing w:val="-14"/>
                          <w:w w:val="86"/>
                          <w:sz w:val="22"/>
                          <w:szCs w:val="22"/>
                        </w:rPr>
                        <w:t>/</w:t>
                      </w:r>
                      <w:r>
                        <w:rPr>
                          <w:rFonts w:ascii="宋体" w:hAnsi="宋体" w:eastAsia="宋体" w:cs="宋体"/>
                          <w:spacing w:val="-10"/>
                          <w:w w:val="86"/>
                          <w:sz w:val="22"/>
                          <w:szCs w:val="22"/>
                        </w:rPr>
                        <w:t>人</w:t>
                      </w:r>
                    </w:p>
                  </w:txbxContent>
                </v:textbox>
              </v:shape>
            </w:pict>
          </mc:Fallback>
        </mc:AlternateContent>
      </w:r>
      <w:r>
        <w:rPr>
          <w:position w:val="-56"/>
        </w:rPr>
        <w:drawing>
          <wp:inline distT="0" distB="0" distL="0" distR="0">
            <wp:extent cx="3714750" cy="1809115"/>
            <wp:effectExtent l="0" t="0" r="0" b="0"/>
            <wp:docPr id="724" name="IM 724"/>
            <wp:cNvGraphicFramePr/>
            <a:graphic xmlns:a="http://schemas.openxmlformats.org/drawingml/2006/main">
              <a:graphicData uri="http://schemas.openxmlformats.org/drawingml/2006/picture">
                <pic:pic xmlns:pic="http://schemas.openxmlformats.org/drawingml/2006/picture">
                  <pic:nvPicPr>
                    <pic:cNvPr id="724" name="IM 724"/>
                    <pic:cNvPicPr/>
                  </pic:nvPicPr>
                  <pic:blipFill>
                    <a:blip r:embed="rId665"/>
                    <a:stretch>
                      <a:fillRect/>
                    </a:stretch>
                  </pic:blipFill>
                  <pic:spPr>
                    <a:xfrm>
                      <a:off x="0" y="0"/>
                      <a:ext cx="3714775" cy="1809738"/>
                    </a:xfrm>
                    <a:prstGeom prst="rect">
                      <a:avLst/>
                    </a:prstGeom>
                  </pic:spPr>
                </pic:pic>
              </a:graphicData>
            </a:graphic>
          </wp:inline>
        </w:drawing>
      </w:r>
    </w:p>
    <w:p w14:paraId="0D5E7200">
      <w:pPr>
        <w:spacing w:before="46" w:line="220" w:lineRule="auto"/>
        <w:ind w:left="4172"/>
        <w:rPr>
          <w:rFonts w:ascii="宋体" w:hAnsi="宋体" w:eastAsia="宋体" w:cs="宋体"/>
          <w:sz w:val="20"/>
          <w:szCs w:val="20"/>
        </w:rPr>
      </w:pPr>
      <w:r>
        <w:rPr>
          <w:rFonts w:ascii="宋体" w:hAnsi="宋体" w:eastAsia="宋体" w:cs="宋体"/>
          <w:b/>
          <w:bCs/>
          <w:spacing w:val="-20"/>
          <w:w w:val="96"/>
          <w:sz w:val="20"/>
          <w:szCs w:val="20"/>
        </w:rPr>
        <w:t>发病时间/天</w:t>
      </w:r>
    </w:p>
    <w:p w14:paraId="34DD5177">
      <w:pPr>
        <w:pStyle w:val="2"/>
        <w:spacing w:before="139" w:line="221" w:lineRule="auto"/>
        <w:ind w:left="3292"/>
        <w:rPr>
          <w:sz w:val="20"/>
          <w:szCs w:val="20"/>
        </w:rPr>
      </w:pPr>
      <w:r>
        <w:rPr>
          <w:b/>
          <w:bCs/>
          <w:spacing w:val="-8"/>
          <w:sz w:val="20"/>
          <w:szCs w:val="20"/>
        </w:rPr>
        <w:t>图16-2</w:t>
      </w:r>
      <w:r>
        <w:rPr>
          <w:spacing w:val="58"/>
          <w:sz w:val="20"/>
          <w:szCs w:val="20"/>
        </w:rPr>
        <w:t xml:space="preserve"> </w:t>
      </w:r>
      <w:r>
        <w:rPr>
          <w:b/>
          <w:bCs/>
          <w:spacing w:val="-8"/>
          <w:sz w:val="20"/>
          <w:szCs w:val="20"/>
        </w:rPr>
        <w:t>持续同源传播模式</w:t>
      </w:r>
    </w:p>
    <w:p w14:paraId="43B28311">
      <w:pPr>
        <w:spacing w:line="394" w:lineRule="auto"/>
        <w:rPr>
          <w:rFonts w:ascii="Arial"/>
          <w:sz w:val="21"/>
        </w:rPr>
      </w:pPr>
    </w:p>
    <w:p w14:paraId="2B141676">
      <w:pPr>
        <w:spacing w:line="2820" w:lineRule="exact"/>
        <w:ind w:firstLine="1599"/>
      </w:pPr>
      <w:r>
        <mc:AlternateContent>
          <mc:Choice Requires="wps">
            <w:drawing>
              <wp:anchor distT="0" distB="0" distL="0" distR="0" simplePos="0" relativeHeight="251915264" behindDoc="0" locked="0" layoutInCell="1" allowOverlap="1">
                <wp:simplePos x="0" y="0"/>
                <wp:positionH relativeFrom="column">
                  <wp:posOffset>634365</wp:posOffset>
                </wp:positionH>
                <wp:positionV relativeFrom="paragraph">
                  <wp:posOffset>723900</wp:posOffset>
                </wp:positionV>
                <wp:extent cx="621030" cy="217805"/>
                <wp:effectExtent l="0" t="0" r="0" b="0"/>
                <wp:wrapNone/>
                <wp:docPr id="726" name="TextBox 726"/>
                <wp:cNvGraphicFramePr/>
                <a:graphic xmlns:a="http://schemas.openxmlformats.org/drawingml/2006/main">
                  <a:graphicData uri="http://schemas.microsoft.com/office/word/2010/wordprocessingShape">
                    <wps:wsp>
                      <wps:cNvSpPr txBox="1"/>
                      <wps:spPr>
                        <a:xfrm rot="16200000">
                          <a:off x="634974" y="724205"/>
                          <a:ext cx="621030" cy="217804"/>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2196B368">
                            <w:pPr>
                              <w:spacing w:before="61" w:line="219" w:lineRule="auto"/>
                              <w:jc w:val="right"/>
                              <w:rPr>
                                <w:rFonts w:ascii="宋体" w:hAnsi="宋体" w:eastAsia="宋体" w:cs="宋体"/>
                                <w:sz w:val="22"/>
                                <w:szCs w:val="22"/>
                              </w:rPr>
                            </w:pPr>
                            <w:r>
                              <w:rPr>
                                <w:rFonts w:ascii="宋体" w:hAnsi="宋体" w:eastAsia="宋体" w:cs="宋体"/>
                                <w:spacing w:val="-15"/>
                                <w:w w:val="84"/>
                                <w:sz w:val="22"/>
                                <w:szCs w:val="22"/>
                              </w:rPr>
                              <w:t>发病人数</w:t>
                            </w:r>
                            <w:r>
                              <w:rPr>
                                <w:rFonts w:ascii="宋体" w:hAnsi="宋体" w:eastAsia="宋体" w:cs="宋体"/>
                                <w:spacing w:val="-14"/>
                                <w:w w:val="84"/>
                                <w:sz w:val="22"/>
                                <w:szCs w:val="22"/>
                              </w:rPr>
                              <w:t>/</w:t>
                            </w:r>
                            <w:r>
                              <w:rPr>
                                <w:rFonts w:ascii="宋体" w:hAnsi="宋体" w:eastAsia="宋体" w:cs="宋体"/>
                                <w:spacing w:val="-10"/>
                                <w:w w:val="84"/>
                                <w:sz w:val="22"/>
                                <w:szCs w:val="22"/>
                              </w:rPr>
                              <w:t>人</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726" o:spid="_x0000_s1026" o:spt="202" type="#_x0000_t202" style="position:absolute;left:0pt;margin-left:49.95pt;margin-top:57pt;height:17.15pt;width:48.9pt;rotation:-5898240f;z-index:251915264;mso-width-relative:page;mso-height-relative:page;" filled="f" stroked="f" coordsize="21600,21600" o:gfxdata="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FlVIp/ZAAAACgEAAA8A&#10;AAAAAAAAAQAgAAAAIgAAAGRycy9kb3ducmV2LnhtbFBLAQIUABQAAAAIAIdO4kACEFqaTwIAAKME&#10;AAAOAAAAAAAAAAEAIAAAACgBAABkcnMvZTJvRG9jLnhtbFBLBQYAAAAABgAGAFkBAADpBQAAAAA=&#10;">
                <v:fill on="f" focussize="0,0"/>
                <v:stroke on="f" weight="0pt" miterlimit="0" joinstyle="miter"/>
                <v:imagedata o:title=""/>
                <o:lock v:ext="edit" aspectratio="f"/>
                <v:textbox inset="0mm,0mm,0mm,0mm">
                  <w:txbxContent>
                    <w:p w14:paraId="2196B368">
                      <w:pPr>
                        <w:spacing w:before="61" w:line="219" w:lineRule="auto"/>
                        <w:jc w:val="right"/>
                        <w:rPr>
                          <w:rFonts w:ascii="宋体" w:hAnsi="宋体" w:eastAsia="宋体" w:cs="宋体"/>
                          <w:sz w:val="22"/>
                          <w:szCs w:val="22"/>
                        </w:rPr>
                      </w:pPr>
                      <w:r>
                        <w:rPr>
                          <w:rFonts w:ascii="宋体" w:hAnsi="宋体" w:eastAsia="宋体" w:cs="宋体"/>
                          <w:spacing w:val="-15"/>
                          <w:w w:val="84"/>
                          <w:sz w:val="22"/>
                          <w:szCs w:val="22"/>
                        </w:rPr>
                        <w:t>发病人数</w:t>
                      </w:r>
                      <w:r>
                        <w:rPr>
                          <w:rFonts w:ascii="宋体" w:hAnsi="宋体" w:eastAsia="宋体" w:cs="宋体"/>
                          <w:spacing w:val="-14"/>
                          <w:w w:val="84"/>
                          <w:sz w:val="22"/>
                          <w:szCs w:val="22"/>
                        </w:rPr>
                        <w:t>/</w:t>
                      </w:r>
                      <w:r>
                        <w:rPr>
                          <w:rFonts w:ascii="宋体" w:hAnsi="宋体" w:eastAsia="宋体" w:cs="宋体"/>
                          <w:spacing w:val="-10"/>
                          <w:w w:val="84"/>
                          <w:sz w:val="22"/>
                          <w:szCs w:val="22"/>
                        </w:rPr>
                        <w:t>人</w:t>
                      </w:r>
                    </w:p>
                  </w:txbxContent>
                </v:textbox>
              </v:shape>
            </w:pict>
          </mc:Fallback>
        </mc:AlternateContent>
      </w:r>
      <w:r>
        <w:rPr>
          <w:position w:val="-56"/>
        </w:rPr>
        <w:drawing>
          <wp:inline distT="0" distB="0" distL="0" distR="0">
            <wp:extent cx="3740150" cy="1790700"/>
            <wp:effectExtent l="0" t="0" r="0" b="0"/>
            <wp:docPr id="728" name="IM 728"/>
            <wp:cNvGraphicFramePr/>
            <a:graphic xmlns:a="http://schemas.openxmlformats.org/drawingml/2006/main">
              <a:graphicData uri="http://schemas.openxmlformats.org/drawingml/2006/picture">
                <pic:pic xmlns:pic="http://schemas.openxmlformats.org/drawingml/2006/picture">
                  <pic:nvPicPr>
                    <pic:cNvPr id="728" name="IM 728"/>
                    <pic:cNvPicPr/>
                  </pic:nvPicPr>
                  <pic:blipFill>
                    <a:blip r:embed="rId666"/>
                    <a:stretch>
                      <a:fillRect/>
                    </a:stretch>
                  </pic:blipFill>
                  <pic:spPr>
                    <a:xfrm>
                      <a:off x="0" y="0"/>
                      <a:ext cx="3740165" cy="1790725"/>
                    </a:xfrm>
                    <a:prstGeom prst="rect">
                      <a:avLst/>
                    </a:prstGeom>
                  </pic:spPr>
                </pic:pic>
              </a:graphicData>
            </a:graphic>
          </wp:inline>
        </w:drawing>
      </w:r>
    </w:p>
    <w:p w14:paraId="1E1AF808">
      <w:pPr>
        <w:spacing w:before="79" w:line="220" w:lineRule="auto"/>
        <w:ind w:left="4169"/>
        <w:rPr>
          <w:rFonts w:ascii="宋体" w:hAnsi="宋体" w:eastAsia="宋体" w:cs="宋体"/>
          <w:sz w:val="20"/>
          <w:szCs w:val="20"/>
        </w:rPr>
      </w:pPr>
      <w:r>
        <w:rPr>
          <w:rFonts w:ascii="宋体" w:hAnsi="宋体" w:eastAsia="宋体" w:cs="宋体"/>
          <w:spacing w:val="-20"/>
          <w:w w:val="98"/>
          <w:sz w:val="20"/>
          <w:szCs w:val="20"/>
        </w:rPr>
        <w:t>发病时间/天</w:t>
      </w:r>
    </w:p>
    <w:p w14:paraId="6C9FB168">
      <w:pPr>
        <w:pStyle w:val="2"/>
        <w:spacing w:before="139" w:line="222" w:lineRule="auto"/>
        <w:ind w:left="3420"/>
        <w:rPr>
          <w:sz w:val="20"/>
          <w:szCs w:val="20"/>
        </w:rPr>
      </w:pPr>
      <w:r>
        <w:rPr>
          <w:spacing w:val="-3"/>
          <w:sz w:val="20"/>
          <w:szCs w:val="20"/>
        </w:rPr>
        <w:t>图16-3</w:t>
      </w:r>
      <w:r>
        <w:rPr>
          <w:spacing w:val="69"/>
          <w:sz w:val="20"/>
          <w:szCs w:val="20"/>
        </w:rPr>
        <w:t xml:space="preserve"> </w:t>
      </w:r>
      <w:r>
        <w:rPr>
          <w:spacing w:val="-3"/>
          <w:sz w:val="20"/>
          <w:szCs w:val="20"/>
        </w:rPr>
        <w:t>人-人传播模式</w:t>
      </w:r>
    </w:p>
    <w:p w14:paraId="1DD63954">
      <w:pPr>
        <w:spacing w:line="341" w:lineRule="auto"/>
        <w:rPr>
          <w:rFonts w:ascii="Arial"/>
          <w:sz w:val="21"/>
        </w:rPr>
      </w:pPr>
    </w:p>
    <w:p w14:paraId="3CE784DE">
      <w:pPr>
        <w:spacing w:before="66" w:line="342" w:lineRule="auto"/>
        <w:ind w:right="635"/>
        <w:jc w:val="both"/>
        <w:rPr>
          <w:rFonts w:ascii="宋体" w:hAnsi="宋体" w:eastAsia="宋体" w:cs="宋体"/>
          <w:sz w:val="20"/>
          <w:szCs w:val="20"/>
        </w:rPr>
      </w:pPr>
      <w:r>
        <w:rPr>
          <w:rFonts w:ascii="宋体" w:hAnsi="宋体" w:eastAsia="宋体" w:cs="宋体"/>
          <w:spacing w:val="8"/>
          <w:sz w:val="20"/>
          <w:szCs w:val="20"/>
        </w:rPr>
        <w:t>1854年，</w:t>
      </w:r>
      <w:r>
        <w:rPr>
          <w:rFonts w:ascii="Times New Roman" w:hAnsi="Times New Roman" w:eastAsia="Times New Roman" w:cs="Times New Roman"/>
          <w:sz w:val="20"/>
          <w:szCs w:val="20"/>
        </w:rPr>
        <w:t>John</w:t>
      </w:r>
      <w:r>
        <w:rPr>
          <w:rFonts w:ascii="Times New Roman" w:hAnsi="Times New Roman" w:eastAsia="Times New Roman" w:cs="Times New Roman"/>
          <w:spacing w:val="8"/>
          <w:sz w:val="20"/>
          <w:szCs w:val="20"/>
        </w:rPr>
        <w:t xml:space="preserve">  </w:t>
      </w:r>
      <w:r>
        <w:rPr>
          <w:rFonts w:ascii="Times New Roman" w:hAnsi="Times New Roman" w:eastAsia="Times New Roman" w:cs="Times New Roman"/>
          <w:sz w:val="20"/>
          <w:szCs w:val="20"/>
        </w:rPr>
        <w:t>Snow</w:t>
      </w:r>
      <w:r>
        <w:rPr>
          <w:rFonts w:ascii="宋体" w:hAnsi="宋体" w:eastAsia="宋体" w:cs="宋体"/>
          <w:spacing w:val="8"/>
          <w:sz w:val="20"/>
          <w:szCs w:val="20"/>
        </w:rPr>
        <w:t>就以标点地图法揭示了伦敦霍乱死亡的分布规律，分析出污染的饮用水为其传</w:t>
      </w:r>
      <w:r>
        <w:rPr>
          <w:rFonts w:ascii="宋体" w:hAnsi="宋体" w:eastAsia="宋体" w:cs="宋体"/>
          <w:sz w:val="20"/>
          <w:szCs w:val="20"/>
        </w:rPr>
        <w:t xml:space="preserve"> </w:t>
      </w:r>
      <w:r>
        <w:rPr>
          <w:rFonts w:ascii="宋体" w:hAnsi="宋体" w:eastAsia="宋体" w:cs="宋体"/>
          <w:spacing w:val="6"/>
          <w:sz w:val="20"/>
          <w:szCs w:val="20"/>
        </w:rPr>
        <w:t>播途径，并推论其病原可能为一种活的物质，进而追溯出污染的源头。需要说明的是，1884</w:t>
      </w:r>
      <w:r>
        <w:rPr>
          <w:rFonts w:ascii="宋体" w:hAnsi="宋体" w:eastAsia="宋体" w:cs="宋体"/>
          <w:spacing w:val="5"/>
          <w:sz w:val="20"/>
          <w:szCs w:val="20"/>
        </w:rPr>
        <w:t>年人类</w:t>
      </w:r>
      <w:r>
        <w:rPr>
          <w:rFonts w:ascii="宋体" w:hAnsi="宋体" w:eastAsia="宋体" w:cs="宋体"/>
          <w:sz w:val="20"/>
          <w:szCs w:val="20"/>
        </w:rPr>
        <w:t xml:space="preserve"> </w:t>
      </w:r>
      <w:r>
        <w:rPr>
          <w:rFonts w:ascii="宋体" w:hAnsi="宋体" w:eastAsia="宋体" w:cs="宋体"/>
          <w:spacing w:val="5"/>
          <w:sz w:val="20"/>
          <w:szCs w:val="20"/>
        </w:rPr>
        <w:t>才发现霍乱弧菌，这一成功的流行病学调查成为流行病学史上不朽的里程碑。</w:t>
      </w:r>
    </w:p>
    <w:p w14:paraId="43D92834">
      <w:pPr>
        <w:spacing w:before="5" w:line="339" w:lineRule="auto"/>
        <w:ind w:right="566" w:firstLine="399"/>
        <w:jc w:val="both"/>
        <w:rPr>
          <w:rFonts w:ascii="宋体" w:hAnsi="宋体" w:eastAsia="宋体" w:cs="宋体"/>
          <w:sz w:val="20"/>
          <w:szCs w:val="20"/>
        </w:rPr>
      </w:pPr>
      <w:r>
        <w:rPr>
          <w:rFonts w:ascii="宋体" w:hAnsi="宋体" w:eastAsia="宋体" w:cs="宋体"/>
          <w:spacing w:val="7"/>
          <w:sz w:val="20"/>
          <w:szCs w:val="20"/>
        </w:rPr>
        <w:t>收集的地区分布的资料应包括居住地、工作场</w:t>
      </w:r>
      <w:r>
        <w:rPr>
          <w:rFonts w:ascii="宋体" w:hAnsi="宋体" w:eastAsia="宋体" w:cs="宋体"/>
          <w:spacing w:val="6"/>
          <w:sz w:val="20"/>
          <w:szCs w:val="20"/>
        </w:rPr>
        <w:t>所、学校和旅行地等资料，同时还要收集在上述</w:t>
      </w:r>
      <w:r>
        <w:rPr>
          <w:rFonts w:ascii="宋体" w:hAnsi="宋体" w:eastAsia="宋体" w:cs="宋体"/>
          <w:sz w:val="20"/>
          <w:szCs w:val="20"/>
        </w:rPr>
        <w:t xml:space="preserve"> </w:t>
      </w:r>
      <w:r>
        <w:rPr>
          <w:rFonts w:ascii="宋体" w:hAnsi="宋体" w:eastAsia="宋体" w:cs="宋体"/>
          <w:spacing w:val="13"/>
          <w:sz w:val="20"/>
          <w:szCs w:val="20"/>
        </w:rPr>
        <w:t>地点详细的活动方式和停留时间等资料。在观察病例的地区分布特点时，要注</w:t>
      </w:r>
      <w:r>
        <w:rPr>
          <w:rFonts w:ascii="宋体" w:hAnsi="宋体" w:eastAsia="宋体" w:cs="宋体"/>
          <w:spacing w:val="12"/>
          <w:sz w:val="20"/>
          <w:szCs w:val="20"/>
        </w:rPr>
        <w:t>意分布的独特性，</w:t>
      </w:r>
      <w:r>
        <w:rPr>
          <w:rFonts w:ascii="宋体" w:hAnsi="宋体" w:eastAsia="宋体" w:cs="宋体"/>
          <w:sz w:val="20"/>
          <w:szCs w:val="20"/>
        </w:rPr>
        <w:t xml:space="preserve"> </w:t>
      </w:r>
      <w:r>
        <w:rPr>
          <w:rFonts w:ascii="宋体" w:hAnsi="宋体" w:eastAsia="宋体" w:cs="宋体"/>
          <w:spacing w:val="11"/>
          <w:sz w:val="20"/>
          <w:szCs w:val="20"/>
        </w:rPr>
        <w:t>如是否在同一供水系统范围内，班级和交通工具中的座位顺序，同一风向的下风处等。将病例按</w:t>
      </w:r>
      <w:r>
        <w:rPr>
          <w:rFonts w:ascii="宋体" w:hAnsi="宋体" w:eastAsia="宋体" w:cs="宋体"/>
          <w:spacing w:val="8"/>
          <w:sz w:val="20"/>
          <w:szCs w:val="20"/>
        </w:rPr>
        <w:t xml:space="preserve"> </w:t>
      </w:r>
      <w:r>
        <w:rPr>
          <w:rFonts w:ascii="宋体" w:hAnsi="宋体" w:eastAsia="宋体" w:cs="宋体"/>
          <w:spacing w:val="17"/>
          <w:sz w:val="20"/>
          <w:szCs w:val="20"/>
        </w:rPr>
        <w:t>地理特征绘制成图，有助于分析传播途径和暴</w:t>
      </w:r>
      <w:r>
        <w:rPr>
          <w:rFonts w:ascii="宋体" w:hAnsi="宋体" w:eastAsia="宋体" w:cs="宋体"/>
          <w:spacing w:val="16"/>
          <w:sz w:val="20"/>
          <w:szCs w:val="20"/>
        </w:rPr>
        <w:t>露因素。在一起突发公共卫生事件中，比较不同</w:t>
      </w:r>
      <w:r>
        <w:rPr>
          <w:rFonts w:ascii="宋体" w:hAnsi="宋体" w:eastAsia="宋体" w:cs="宋体"/>
          <w:sz w:val="20"/>
          <w:szCs w:val="20"/>
        </w:rPr>
        <w:t xml:space="preserve"> </w:t>
      </w:r>
      <w:r>
        <w:rPr>
          <w:rFonts w:ascii="宋体" w:hAnsi="宋体" w:eastAsia="宋体" w:cs="宋体"/>
          <w:spacing w:val="11"/>
          <w:sz w:val="20"/>
          <w:szCs w:val="20"/>
        </w:rPr>
        <w:t>时间的病例标点地图，还可以估计病例在地理位置上的变化趋势，如疫情可能沿着河流、交通线</w:t>
      </w:r>
      <w:r>
        <w:rPr>
          <w:rFonts w:ascii="宋体" w:hAnsi="宋体" w:eastAsia="宋体" w:cs="宋体"/>
          <w:spacing w:val="10"/>
          <w:sz w:val="20"/>
          <w:szCs w:val="20"/>
        </w:rPr>
        <w:t xml:space="preserve"> </w:t>
      </w:r>
      <w:r>
        <w:rPr>
          <w:rFonts w:ascii="宋体" w:hAnsi="宋体" w:eastAsia="宋体" w:cs="宋体"/>
          <w:spacing w:val="13"/>
          <w:sz w:val="20"/>
          <w:szCs w:val="20"/>
        </w:rPr>
        <w:t>蔓延。</w:t>
      </w:r>
    </w:p>
    <w:p w14:paraId="71D899DA">
      <w:pPr>
        <w:pStyle w:val="2"/>
        <w:spacing w:before="2" w:line="333" w:lineRule="auto"/>
        <w:ind w:right="636" w:firstLine="429"/>
        <w:jc w:val="both"/>
        <w:rPr>
          <w:rFonts w:ascii="宋体" w:hAnsi="宋体" w:eastAsia="宋体" w:cs="宋体"/>
          <w:sz w:val="20"/>
          <w:szCs w:val="20"/>
        </w:rPr>
      </w:pPr>
      <w:r>
        <w:rPr>
          <w:rFonts w:ascii="宋体" w:hAnsi="宋体" w:eastAsia="宋体" w:cs="宋体"/>
          <w:spacing w:val="4"/>
          <w:sz w:val="20"/>
          <w:szCs w:val="20"/>
        </w:rPr>
        <w:t xml:space="preserve">3. </w:t>
      </w:r>
      <w:r>
        <w:rPr>
          <w:spacing w:val="4"/>
          <w:sz w:val="20"/>
          <w:szCs w:val="20"/>
        </w:rPr>
        <w:t>人群分布</w:t>
      </w:r>
      <w:r>
        <w:rPr>
          <w:spacing w:val="78"/>
          <w:sz w:val="20"/>
          <w:szCs w:val="20"/>
        </w:rPr>
        <w:t xml:space="preserve"> </w:t>
      </w:r>
      <w:r>
        <w:rPr>
          <w:rFonts w:ascii="宋体" w:hAnsi="宋体" w:eastAsia="宋体" w:cs="宋体"/>
          <w:spacing w:val="4"/>
          <w:sz w:val="20"/>
          <w:szCs w:val="20"/>
        </w:rPr>
        <w:t>按人群特征(如年龄、性别、职业、文化程度、经济状</w:t>
      </w:r>
      <w:r>
        <w:rPr>
          <w:rFonts w:ascii="宋体" w:hAnsi="宋体" w:eastAsia="宋体" w:cs="宋体"/>
          <w:spacing w:val="3"/>
          <w:sz w:val="20"/>
          <w:szCs w:val="20"/>
        </w:rPr>
        <w:t>况、生活习惯等)分别计算</w:t>
      </w:r>
      <w:r>
        <w:rPr>
          <w:rFonts w:ascii="宋体" w:hAnsi="宋体" w:eastAsia="宋体" w:cs="宋体"/>
          <w:sz w:val="20"/>
          <w:szCs w:val="20"/>
        </w:rPr>
        <w:t xml:space="preserve"> </w:t>
      </w:r>
      <w:r>
        <w:rPr>
          <w:rFonts w:ascii="宋体" w:hAnsi="宋体" w:eastAsia="宋体" w:cs="宋体"/>
          <w:spacing w:val="6"/>
          <w:sz w:val="20"/>
          <w:szCs w:val="20"/>
        </w:rPr>
        <w:t>其罹患率、死亡率，比较不同人群的罹患率差异，有助于发现与危险因素有关的宿主特征。有些疾</w:t>
      </w:r>
      <w:r>
        <w:rPr>
          <w:rFonts w:ascii="宋体" w:hAnsi="宋体" w:eastAsia="宋体" w:cs="宋体"/>
          <w:spacing w:val="9"/>
          <w:sz w:val="20"/>
          <w:szCs w:val="20"/>
        </w:rPr>
        <w:t xml:space="preserve"> </w:t>
      </w:r>
      <w:r>
        <w:rPr>
          <w:rFonts w:ascii="宋体" w:hAnsi="宋体" w:eastAsia="宋体" w:cs="宋体"/>
          <w:spacing w:val="7"/>
          <w:sz w:val="20"/>
          <w:szCs w:val="20"/>
        </w:rPr>
        <w:t>病高发于一定的年龄组，例如诺如病毒急性胃肠炎的全人群发病率在3.8/100人年至10.4/100人年</w:t>
      </w:r>
      <w:r>
        <w:rPr>
          <w:rFonts w:ascii="宋体" w:hAnsi="宋体" w:eastAsia="宋体" w:cs="宋体"/>
          <w:spacing w:val="17"/>
          <w:sz w:val="20"/>
          <w:szCs w:val="20"/>
        </w:rPr>
        <w:t xml:space="preserve"> </w:t>
      </w:r>
      <w:r>
        <w:rPr>
          <w:rFonts w:ascii="宋体" w:hAnsi="宋体" w:eastAsia="宋体" w:cs="宋体"/>
          <w:spacing w:val="9"/>
          <w:sz w:val="20"/>
          <w:szCs w:val="20"/>
        </w:rPr>
        <w:t>之间，而5岁以下儿童的发病率高于其他年龄段人群。</w:t>
      </w:r>
      <w:r>
        <w:rPr>
          <w:rFonts w:ascii="宋体" w:hAnsi="宋体" w:eastAsia="宋体" w:cs="宋体"/>
          <w:spacing w:val="8"/>
          <w:sz w:val="20"/>
          <w:szCs w:val="20"/>
        </w:rPr>
        <w:t>有些疾病与职业明显相关，如发热伴血小板</w:t>
      </w:r>
      <w:r>
        <w:rPr>
          <w:rFonts w:ascii="宋体" w:hAnsi="宋体" w:eastAsia="宋体" w:cs="宋体"/>
          <w:sz w:val="20"/>
          <w:szCs w:val="20"/>
        </w:rPr>
        <w:t xml:space="preserve"> </w:t>
      </w:r>
      <w:r>
        <w:rPr>
          <w:rFonts w:ascii="宋体" w:hAnsi="宋体" w:eastAsia="宋体" w:cs="宋体"/>
          <w:spacing w:val="7"/>
          <w:sz w:val="20"/>
          <w:szCs w:val="20"/>
        </w:rPr>
        <w:t>减少综合征病例多为从事农业和林木业生产者。</w:t>
      </w:r>
    </w:p>
    <w:p w14:paraId="3ADA3D89">
      <w:pPr>
        <w:pStyle w:val="2"/>
        <w:spacing w:before="35" w:line="222" w:lineRule="auto"/>
        <w:ind w:left="429"/>
        <w:rPr>
          <w:sz w:val="20"/>
          <w:szCs w:val="20"/>
        </w:rPr>
      </w:pPr>
      <w:r>
        <w:rPr>
          <w:spacing w:val="28"/>
          <w:sz w:val="20"/>
          <w:szCs w:val="20"/>
        </w:rPr>
        <w:t>(七)建立假设及验证假设</w:t>
      </w:r>
    </w:p>
    <w:p w14:paraId="5E4287E5">
      <w:pPr>
        <w:spacing w:before="106" w:line="343" w:lineRule="auto"/>
        <w:ind w:left="2" w:right="634" w:firstLine="429"/>
        <w:jc w:val="both"/>
        <w:rPr>
          <w:rFonts w:ascii="宋体" w:hAnsi="宋体" w:eastAsia="宋体" w:cs="宋体"/>
          <w:sz w:val="20"/>
          <w:szCs w:val="20"/>
        </w:rPr>
      </w:pPr>
      <w:r>
        <w:rPr>
          <w:rFonts w:ascii="宋体" w:hAnsi="宋体" w:eastAsia="宋体" w:cs="宋体"/>
          <w:b/>
          <w:bCs/>
          <w:spacing w:val="9"/>
          <w:sz w:val="20"/>
          <w:szCs w:val="20"/>
        </w:rPr>
        <w:t>暴发调查的成功与否取决于根据调查数据所建立的科学假设的</w:t>
      </w:r>
      <w:r>
        <w:rPr>
          <w:rFonts w:ascii="宋体" w:hAnsi="宋体" w:eastAsia="宋体" w:cs="宋体"/>
          <w:b/>
          <w:bCs/>
          <w:spacing w:val="8"/>
          <w:sz w:val="20"/>
          <w:szCs w:val="20"/>
        </w:rPr>
        <w:t>质量高低。建立假设时要始终</w:t>
      </w:r>
      <w:r>
        <w:rPr>
          <w:rFonts w:ascii="宋体" w:hAnsi="宋体" w:eastAsia="宋体" w:cs="宋体"/>
          <w:sz w:val="20"/>
          <w:szCs w:val="20"/>
        </w:rPr>
        <w:t xml:space="preserve"> </w:t>
      </w:r>
      <w:r>
        <w:rPr>
          <w:rFonts w:ascii="宋体" w:hAnsi="宋体" w:eastAsia="宋体" w:cs="宋体"/>
          <w:b/>
          <w:bCs/>
          <w:spacing w:val="4"/>
          <w:sz w:val="20"/>
          <w:szCs w:val="20"/>
        </w:rPr>
        <w:t>保持开放的思维，及时请教相关领域专家，并注重到现场去寻找线索。假设必须建立在分析流行病</w:t>
      </w:r>
      <w:r>
        <w:rPr>
          <w:rFonts w:ascii="宋体" w:hAnsi="宋体" w:eastAsia="宋体" w:cs="宋体"/>
          <w:spacing w:val="5"/>
          <w:sz w:val="20"/>
          <w:szCs w:val="20"/>
        </w:rPr>
        <w:t xml:space="preserve"> </w:t>
      </w:r>
      <w:r>
        <w:rPr>
          <w:rFonts w:ascii="宋体" w:hAnsi="宋体" w:eastAsia="宋体" w:cs="宋体"/>
          <w:b/>
          <w:bCs/>
          <w:spacing w:val="3"/>
          <w:sz w:val="20"/>
          <w:szCs w:val="20"/>
        </w:rPr>
        <w:t>学研究之前，在一次暴发调查中经常会产生几个假设。假设应该包括传染来源、传播方式和危险因</w:t>
      </w:r>
    </w:p>
    <w:p w14:paraId="56EBB94F">
      <w:pPr>
        <w:spacing w:line="343" w:lineRule="auto"/>
        <w:rPr>
          <w:rFonts w:ascii="宋体" w:hAnsi="宋体" w:eastAsia="宋体" w:cs="宋体"/>
          <w:sz w:val="20"/>
          <w:szCs w:val="20"/>
        </w:rPr>
        <w:sectPr>
          <w:footerReference r:id="rId274" w:type="default"/>
          <w:pgSz w:w="11900" w:h="16820"/>
          <w:pgMar w:top="400" w:right="904" w:bottom="849" w:left="1489" w:header="0" w:footer="669" w:gutter="0"/>
          <w:cols w:space="720" w:num="1"/>
        </w:sectPr>
      </w:pPr>
    </w:p>
    <w:p w14:paraId="4EA45BB4">
      <w:pPr>
        <w:pStyle w:val="2"/>
        <w:spacing w:before="186" w:line="221" w:lineRule="auto"/>
        <w:ind w:left="740"/>
        <w:rPr>
          <w:sz w:val="20"/>
          <w:szCs w:val="20"/>
        </w:rPr>
      </w:pPr>
      <w:r>
        <w:rPr>
          <w:spacing w:val="-19"/>
          <w:w w:val="98"/>
          <w:sz w:val="20"/>
          <w:szCs w:val="20"/>
        </w:rPr>
        <w:t>第十六章 突发公共卫生事件流行病学</w:t>
      </w:r>
    </w:p>
    <w:p w14:paraId="7141399D">
      <w:pPr>
        <w:spacing w:line="272" w:lineRule="auto"/>
        <w:rPr>
          <w:rFonts w:ascii="Arial"/>
          <w:sz w:val="21"/>
        </w:rPr>
      </w:pPr>
    </w:p>
    <w:p w14:paraId="118CC15E">
      <w:pPr>
        <w:spacing w:line="272" w:lineRule="auto"/>
        <w:rPr>
          <w:rFonts w:ascii="Arial"/>
          <w:sz w:val="21"/>
        </w:rPr>
      </w:pPr>
    </w:p>
    <w:p w14:paraId="34843995">
      <w:pPr>
        <w:spacing w:before="65" w:line="219" w:lineRule="auto"/>
        <w:ind w:left="740"/>
        <w:rPr>
          <w:rFonts w:ascii="宋体" w:hAnsi="宋体" w:eastAsia="宋体" w:cs="宋体"/>
          <w:sz w:val="20"/>
          <w:szCs w:val="20"/>
        </w:rPr>
      </w:pPr>
      <w:r>
        <w:rPr>
          <w:rFonts w:ascii="宋体" w:hAnsi="宋体" w:eastAsia="宋体" w:cs="宋体"/>
          <w:spacing w:val="1"/>
          <w:sz w:val="20"/>
          <w:szCs w:val="20"/>
        </w:rPr>
        <w:t>素、高危人群等。</w:t>
      </w:r>
    </w:p>
    <w:p w14:paraId="751ACB25">
      <w:pPr>
        <w:spacing w:before="130" w:line="343" w:lineRule="auto"/>
        <w:ind w:left="740" w:right="49" w:firstLine="439"/>
        <w:jc w:val="both"/>
        <w:rPr>
          <w:rFonts w:ascii="宋体" w:hAnsi="宋体" w:eastAsia="宋体" w:cs="宋体"/>
          <w:sz w:val="20"/>
          <w:szCs w:val="20"/>
        </w:rPr>
      </w:pPr>
      <w:r>
        <w:rPr>
          <w:rFonts w:ascii="宋体" w:hAnsi="宋体" w:eastAsia="宋体" w:cs="宋体"/>
          <w:spacing w:val="15"/>
          <w:sz w:val="20"/>
          <w:szCs w:val="20"/>
        </w:rPr>
        <w:t>建立假设后，需要用病例对照研究和队列研究来验证。假设要符合</w:t>
      </w:r>
      <w:r>
        <w:rPr>
          <w:rFonts w:ascii="宋体" w:hAnsi="宋体" w:eastAsia="宋体" w:cs="宋体"/>
          <w:spacing w:val="14"/>
          <w:sz w:val="20"/>
          <w:szCs w:val="20"/>
        </w:rPr>
        <w:t>因果推断标准，如关联强</w:t>
      </w:r>
      <w:r>
        <w:rPr>
          <w:rFonts w:ascii="宋体" w:hAnsi="宋体" w:eastAsia="宋体" w:cs="宋体"/>
          <w:sz w:val="20"/>
          <w:szCs w:val="20"/>
        </w:rPr>
        <w:t xml:space="preserve">  </w:t>
      </w:r>
      <w:r>
        <w:rPr>
          <w:rFonts w:ascii="宋体" w:hAnsi="宋体" w:eastAsia="宋体" w:cs="宋体"/>
          <w:spacing w:val="5"/>
          <w:sz w:val="20"/>
          <w:szCs w:val="20"/>
        </w:rPr>
        <w:t>度、暴露与疾病的时间顺序、剂量-反应关系、可重复性、生物学合理性、实验证据。如</w:t>
      </w:r>
      <w:r>
        <w:rPr>
          <w:rFonts w:ascii="宋体" w:hAnsi="宋体" w:eastAsia="宋体" w:cs="宋体"/>
          <w:spacing w:val="4"/>
          <w:sz w:val="20"/>
          <w:szCs w:val="20"/>
        </w:rPr>
        <w:t>果通过验证，</w:t>
      </w:r>
      <w:r>
        <w:rPr>
          <w:rFonts w:ascii="宋体" w:hAnsi="宋体" w:eastAsia="宋体" w:cs="宋体"/>
          <w:sz w:val="20"/>
          <w:szCs w:val="20"/>
        </w:rPr>
        <w:t xml:space="preserve"> </w:t>
      </w:r>
      <w:r>
        <w:rPr>
          <w:rFonts w:ascii="宋体" w:hAnsi="宋体" w:eastAsia="宋体" w:cs="宋体"/>
          <w:spacing w:val="3"/>
          <w:sz w:val="20"/>
          <w:szCs w:val="20"/>
        </w:rPr>
        <w:t>提出的假设是错误的，则必须重新修改、完善假设，再进行调查研究。</w:t>
      </w:r>
    </w:p>
    <w:p w14:paraId="170E4F16">
      <w:pPr>
        <w:spacing w:before="7" w:line="343" w:lineRule="auto"/>
        <w:ind w:left="740" w:right="136" w:firstLine="439"/>
        <w:jc w:val="both"/>
        <w:rPr>
          <w:rFonts w:ascii="宋体" w:hAnsi="宋体" w:eastAsia="宋体" w:cs="宋体"/>
          <w:sz w:val="20"/>
          <w:szCs w:val="20"/>
        </w:rPr>
      </w:pPr>
      <w:r>
        <w:rPr>
          <w:rFonts w:ascii="宋体" w:hAnsi="宋体" w:eastAsia="宋体" w:cs="宋体"/>
          <w:spacing w:val="10"/>
          <w:sz w:val="20"/>
          <w:szCs w:val="20"/>
        </w:rPr>
        <w:t>例如，在一起流行性腮腺炎暴发调查中，回顾性队列</w:t>
      </w:r>
      <w:r>
        <w:rPr>
          <w:rFonts w:ascii="宋体" w:hAnsi="宋体" w:eastAsia="宋体" w:cs="宋体"/>
          <w:spacing w:val="9"/>
          <w:sz w:val="20"/>
          <w:szCs w:val="20"/>
        </w:rPr>
        <w:t>研究显示，乘坐校车和未应急接种为发病</w:t>
      </w:r>
      <w:r>
        <w:rPr>
          <w:rFonts w:ascii="宋体" w:hAnsi="宋体" w:eastAsia="宋体" w:cs="宋体"/>
          <w:sz w:val="20"/>
          <w:szCs w:val="20"/>
        </w:rPr>
        <w:t xml:space="preserve"> </w:t>
      </w:r>
      <w:r>
        <w:rPr>
          <w:rFonts w:ascii="宋体" w:hAnsi="宋体" w:eastAsia="宋体" w:cs="宋体"/>
          <w:spacing w:val="9"/>
          <w:sz w:val="20"/>
          <w:szCs w:val="20"/>
        </w:rPr>
        <w:t>的危险因素(表16-1)。在一起食源性急性胃肠炎暴发调查中，病例对照研究显示，刀豆炒肉片是此</w:t>
      </w:r>
      <w:r>
        <w:rPr>
          <w:rFonts w:ascii="宋体" w:hAnsi="宋体" w:eastAsia="宋体" w:cs="宋体"/>
          <w:spacing w:val="12"/>
          <w:sz w:val="20"/>
          <w:szCs w:val="20"/>
        </w:rPr>
        <w:t xml:space="preserve"> </w:t>
      </w:r>
      <w:r>
        <w:rPr>
          <w:rFonts w:ascii="宋体" w:hAnsi="宋体" w:eastAsia="宋体" w:cs="宋体"/>
          <w:spacing w:val="8"/>
          <w:sz w:val="20"/>
          <w:szCs w:val="20"/>
        </w:rPr>
        <w:t>次食物中毒的危险因素(表16-2)。</w:t>
      </w:r>
    </w:p>
    <w:p w14:paraId="7C10AC14">
      <w:pPr>
        <w:pStyle w:val="2"/>
        <w:spacing w:before="123" w:line="221" w:lineRule="auto"/>
        <w:ind w:left="2330"/>
        <w:rPr>
          <w:sz w:val="20"/>
          <w:szCs w:val="20"/>
        </w:rPr>
      </w:pPr>
      <w:r>
        <w:rPr>
          <w:spacing w:val="-1"/>
          <w:sz w:val="20"/>
          <w:szCs w:val="20"/>
        </w:rPr>
        <w:t>表16-1</w:t>
      </w:r>
      <w:r>
        <w:rPr>
          <w:spacing w:val="72"/>
          <w:sz w:val="20"/>
          <w:szCs w:val="20"/>
        </w:rPr>
        <w:t xml:space="preserve"> </w:t>
      </w:r>
      <w:r>
        <w:rPr>
          <w:spacing w:val="-1"/>
          <w:sz w:val="20"/>
          <w:szCs w:val="20"/>
        </w:rPr>
        <w:t>2013年某小学流行性腮腺炎发病危险因素的回顾性队列研究</w:t>
      </w:r>
    </w:p>
    <w:p w14:paraId="0765C492">
      <w:pPr>
        <w:spacing w:line="39" w:lineRule="exact"/>
      </w:pPr>
    </w:p>
    <w:tbl>
      <w:tblPr>
        <w:tblStyle w:val="5"/>
        <w:tblW w:w="9120" w:type="dxa"/>
        <w:tblInd w:w="79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0" w:type="dxa"/>
          <w:left w:w="0" w:type="dxa"/>
          <w:bottom w:w="0" w:type="dxa"/>
          <w:right w:w="0" w:type="dxa"/>
        </w:tblCellMar>
      </w:tblPr>
      <w:tblGrid>
        <w:gridCol w:w="1190"/>
        <w:gridCol w:w="930"/>
        <w:gridCol w:w="920"/>
        <w:gridCol w:w="1140"/>
        <w:gridCol w:w="940"/>
        <w:gridCol w:w="950"/>
        <w:gridCol w:w="1190"/>
        <w:gridCol w:w="1860"/>
      </w:tblGrid>
      <w:tr w14:paraId="29CB4399">
        <w:trPr>
          <w:trHeight w:val="373" w:hRule="atLeast"/>
        </w:trPr>
        <w:tc>
          <w:tcPr>
            <w:tcW w:w="1190" w:type="dxa"/>
            <w:vMerge w:val="restart"/>
            <w:tcBorders>
              <w:top w:val="single" w:color="000000" w:sz="4" w:space="0"/>
              <w:bottom w:val="nil"/>
            </w:tcBorders>
            <w:shd w:val="clear" w:color="auto" w:fill="DBDDE1"/>
            <w:vAlign w:val="top"/>
          </w:tcPr>
          <w:p w14:paraId="3E5883AC">
            <w:pPr>
              <w:pStyle w:val="6"/>
              <w:spacing w:before="273" w:line="219" w:lineRule="auto"/>
              <w:ind w:left="190"/>
            </w:pPr>
            <w:r>
              <w:rPr>
                <w:spacing w:val="-2"/>
              </w:rPr>
              <w:t>危险因素</w:t>
            </w:r>
          </w:p>
        </w:tc>
        <w:tc>
          <w:tcPr>
            <w:tcW w:w="2990" w:type="dxa"/>
            <w:gridSpan w:val="3"/>
            <w:tcBorders>
              <w:top w:val="single" w:color="000000" w:sz="4" w:space="0"/>
              <w:bottom w:val="single" w:color="000000" w:sz="4" w:space="0"/>
            </w:tcBorders>
            <w:shd w:val="clear" w:color="auto" w:fill="E0E0E0"/>
            <w:vAlign w:val="top"/>
          </w:tcPr>
          <w:p w14:paraId="6DD39F66">
            <w:pPr>
              <w:pStyle w:val="6"/>
              <w:spacing w:before="91" w:line="219" w:lineRule="auto"/>
              <w:ind w:left="1190"/>
            </w:pPr>
            <w:r>
              <w:rPr>
                <w:spacing w:val="-2"/>
              </w:rPr>
              <w:t>暴露组</w:t>
            </w:r>
          </w:p>
        </w:tc>
        <w:tc>
          <w:tcPr>
            <w:tcW w:w="3080" w:type="dxa"/>
            <w:gridSpan w:val="3"/>
            <w:tcBorders>
              <w:top w:val="single" w:color="000000" w:sz="4" w:space="0"/>
              <w:bottom w:val="single" w:color="000000" w:sz="4" w:space="0"/>
            </w:tcBorders>
            <w:shd w:val="clear" w:color="auto" w:fill="DEDBD7"/>
            <w:vAlign w:val="top"/>
          </w:tcPr>
          <w:p w14:paraId="2700033A">
            <w:pPr>
              <w:pStyle w:val="6"/>
              <w:spacing w:before="91" w:line="219" w:lineRule="auto"/>
              <w:ind w:left="1140"/>
            </w:pPr>
            <w:r>
              <w:rPr>
                <w:spacing w:val="-3"/>
              </w:rPr>
              <w:t>非暴露组</w:t>
            </w:r>
          </w:p>
        </w:tc>
        <w:tc>
          <w:tcPr>
            <w:tcW w:w="1860" w:type="dxa"/>
            <w:vMerge w:val="restart"/>
            <w:tcBorders>
              <w:top w:val="single" w:color="000000" w:sz="4" w:space="0"/>
              <w:bottom w:val="nil"/>
            </w:tcBorders>
            <w:shd w:val="clear" w:color="auto" w:fill="CECDC3"/>
            <w:vAlign w:val="top"/>
          </w:tcPr>
          <w:p w14:paraId="655204F2">
            <w:pPr>
              <w:pStyle w:val="6"/>
              <w:spacing w:before="276" w:line="222" w:lineRule="auto"/>
              <w:ind w:left="479"/>
            </w:pPr>
            <w:r>
              <w:rPr>
                <w:spacing w:val="-1"/>
              </w:rPr>
              <w:t>RR(95%CI)</w:t>
            </w:r>
          </w:p>
        </w:tc>
      </w:tr>
      <w:tr w14:paraId="2BD24494">
        <w:trPr>
          <w:trHeight w:val="348" w:hRule="atLeast"/>
        </w:trPr>
        <w:tc>
          <w:tcPr>
            <w:tcW w:w="1190" w:type="dxa"/>
            <w:vMerge w:val="continue"/>
            <w:tcBorders>
              <w:top w:val="nil"/>
              <w:bottom w:val="single" w:color="000000" w:sz="4" w:space="0"/>
            </w:tcBorders>
            <w:vAlign w:val="top"/>
          </w:tcPr>
          <w:p w14:paraId="3555F4D5">
            <w:pPr>
              <w:rPr>
                <w:rFonts w:ascii="Arial"/>
                <w:sz w:val="21"/>
              </w:rPr>
            </w:pPr>
          </w:p>
        </w:tc>
        <w:tc>
          <w:tcPr>
            <w:tcW w:w="930" w:type="dxa"/>
            <w:tcBorders>
              <w:top w:val="single" w:color="000000" w:sz="4" w:space="0"/>
              <w:bottom w:val="single" w:color="000000" w:sz="4" w:space="0"/>
            </w:tcBorders>
            <w:shd w:val="clear" w:color="auto" w:fill="DCDCDF"/>
            <w:vAlign w:val="top"/>
          </w:tcPr>
          <w:p w14:paraId="1F51BA25">
            <w:pPr>
              <w:pStyle w:val="6"/>
              <w:spacing w:before="80" w:line="219" w:lineRule="auto"/>
              <w:ind w:left="159"/>
            </w:pPr>
            <w:r>
              <w:rPr>
                <w:spacing w:val="-2"/>
              </w:rPr>
              <w:t>病例数</w:t>
            </w:r>
          </w:p>
        </w:tc>
        <w:tc>
          <w:tcPr>
            <w:tcW w:w="920" w:type="dxa"/>
            <w:tcBorders>
              <w:top w:val="single" w:color="000000" w:sz="4" w:space="0"/>
              <w:bottom w:val="single" w:color="000000" w:sz="4" w:space="0"/>
            </w:tcBorders>
            <w:shd w:val="clear" w:color="auto" w:fill="E0E0DF"/>
            <w:vAlign w:val="top"/>
          </w:tcPr>
          <w:p w14:paraId="6DD9A55F">
            <w:pPr>
              <w:pStyle w:val="6"/>
              <w:spacing w:before="80" w:line="219" w:lineRule="auto"/>
              <w:ind w:left="160"/>
            </w:pPr>
            <w:r>
              <w:rPr>
                <w:spacing w:val="2"/>
              </w:rPr>
              <w:t>总人数</w:t>
            </w:r>
          </w:p>
        </w:tc>
        <w:tc>
          <w:tcPr>
            <w:tcW w:w="1140" w:type="dxa"/>
            <w:tcBorders>
              <w:top w:val="single" w:color="000000" w:sz="4" w:space="0"/>
              <w:bottom w:val="single" w:color="000000" w:sz="4" w:space="0"/>
            </w:tcBorders>
            <w:shd w:val="clear" w:color="auto" w:fill="E4E3E2"/>
            <w:vAlign w:val="top"/>
          </w:tcPr>
          <w:p w14:paraId="27A36759">
            <w:pPr>
              <w:pStyle w:val="6"/>
              <w:spacing w:before="80" w:line="219" w:lineRule="auto"/>
              <w:ind w:left="170"/>
            </w:pPr>
            <w:r>
              <w:rPr>
                <w:spacing w:val="-3"/>
              </w:rPr>
              <w:t>罹患率1%</w:t>
            </w:r>
          </w:p>
        </w:tc>
        <w:tc>
          <w:tcPr>
            <w:tcW w:w="940" w:type="dxa"/>
            <w:tcBorders>
              <w:top w:val="single" w:color="000000" w:sz="4" w:space="0"/>
              <w:bottom w:val="single" w:color="000000" w:sz="4" w:space="0"/>
            </w:tcBorders>
            <w:shd w:val="clear" w:color="auto" w:fill="E1E0DC"/>
            <w:vAlign w:val="top"/>
          </w:tcPr>
          <w:p w14:paraId="6ACD9808">
            <w:pPr>
              <w:pStyle w:val="6"/>
              <w:spacing w:before="80" w:line="219" w:lineRule="auto"/>
              <w:ind w:left="170"/>
            </w:pPr>
            <w:r>
              <w:rPr>
                <w:spacing w:val="-2"/>
              </w:rPr>
              <w:t>病例数</w:t>
            </w:r>
          </w:p>
        </w:tc>
        <w:tc>
          <w:tcPr>
            <w:tcW w:w="950" w:type="dxa"/>
            <w:tcBorders>
              <w:top w:val="single" w:color="000000" w:sz="4" w:space="0"/>
              <w:bottom w:val="single" w:color="000000" w:sz="4" w:space="0"/>
            </w:tcBorders>
            <w:shd w:val="clear" w:color="auto" w:fill="DFDCD9"/>
            <w:vAlign w:val="top"/>
          </w:tcPr>
          <w:p w14:paraId="5B458E98">
            <w:pPr>
              <w:pStyle w:val="6"/>
              <w:spacing w:before="80" w:line="219" w:lineRule="auto"/>
              <w:ind w:left="170"/>
            </w:pPr>
            <w:r>
              <w:rPr>
                <w:spacing w:val="2"/>
              </w:rPr>
              <w:t>总人数</w:t>
            </w:r>
          </w:p>
        </w:tc>
        <w:tc>
          <w:tcPr>
            <w:tcW w:w="1190" w:type="dxa"/>
            <w:tcBorders>
              <w:top w:val="single" w:color="000000" w:sz="4" w:space="0"/>
              <w:bottom w:val="single" w:color="000000" w:sz="4" w:space="0"/>
            </w:tcBorders>
            <w:shd w:val="clear" w:color="auto" w:fill="D9D8D5"/>
            <w:vAlign w:val="top"/>
          </w:tcPr>
          <w:p w14:paraId="235DA894">
            <w:pPr>
              <w:pStyle w:val="6"/>
              <w:spacing w:before="80" w:line="219" w:lineRule="auto"/>
              <w:ind w:left="189"/>
            </w:pPr>
            <w:r>
              <w:rPr>
                <w:spacing w:val="-3"/>
              </w:rPr>
              <w:t>罹患率1%</w:t>
            </w:r>
          </w:p>
        </w:tc>
        <w:tc>
          <w:tcPr>
            <w:tcW w:w="1860" w:type="dxa"/>
            <w:vMerge w:val="continue"/>
            <w:tcBorders>
              <w:top w:val="nil"/>
              <w:bottom w:val="single" w:color="000000" w:sz="4" w:space="0"/>
            </w:tcBorders>
            <w:vAlign w:val="top"/>
          </w:tcPr>
          <w:p w14:paraId="63E4123D">
            <w:pPr>
              <w:rPr>
                <w:rFonts w:ascii="Arial"/>
                <w:sz w:val="21"/>
              </w:rPr>
            </w:pPr>
          </w:p>
        </w:tc>
      </w:tr>
      <w:tr w14:paraId="251A938B">
        <w:trPr>
          <w:trHeight w:val="404" w:hRule="atLeast"/>
        </w:trPr>
        <w:tc>
          <w:tcPr>
            <w:tcW w:w="1190" w:type="dxa"/>
            <w:tcBorders>
              <w:top w:val="single" w:color="000000" w:sz="4" w:space="0"/>
            </w:tcBorders>
            <w:vAlign w:val="top"/>
          </w:tcPr>
          <w:p w14:paraId="4F048333">
            <w:pPr>
              <w:pStyle w:val="6"/>
              <w:spacing w:before="112" w:line="219" w:lineRule="auto"/>
              <w:ind w:left="190"/>
            </w:pPr>
            <w:r>
              <w:rPr>
                <w:spacing w:val="-2"/>
              </w:rPr>
              <w:t>乘坐校车</w:t>
            </w:r>
          </w:p>
        </w:tc>
        <w:tc>
          <w:tcPr>
            <w:tcW w:w="930" w:type="dxa"/>
            <w:tcBorders>
              <w:top w:val="single" w:color="000000" w:sz="4" w:space="0"/>
            </w:tcBorders>
            <w:vAlign w:val="top"/>
          </w:tcPr>
          <w:p w14:paraId="267B43A7">
            <w:pPr>
              <w:pStyle w:val="6"/>
              <w:spacing w:before="131"/>
              <w:ind w:left="309"/>
            </w:pPr>
            <w:r>
              <w:rPr>
                <w:spacing w:val="-6"/>
              </w:rPr>
              <w:t>117</w:t>
            </w:r>
          </w:p>
        </w:tc>
        <w:tc>
          <w:tcPr>
            <w:tcW w:w="920" w:type="dxa"/>
            <w:tcBorders>
              <w:top w:val="single" w:color="000000" w:sz="4" w:space="0"/>
            </w:tcBorders>
            <w:vAlign w:val="top"/>
          </w:tcPr>
          <w:p w14:paraId="63D0F9AC">
            <w:pPr>
              <w:pStyle w:val="6"/>
              <w:spacing w:before="131"/>
              <w:ind w:left="309"/>
            </w:pPr>
            <w:r>
              <w:rPr>
                <w:spacing w:val="-2"/>
              </w:rPr>
              <w:t>457</w:t>
            </w:r>
          </w:p>
        </w:tc>
        <w:tc>
          <w:tcPr>
            <w:tcW w:w="1140" w:type="dxa"/>
            <w:tcBorders>
              <w:top w:val="single" w:color="000000" w:sz="4" w:space="0"/>
            </w:tcBorders>
            <w:vAlign w:val="top"/>
          </w:tcPr>
          <w:p w14:paraId="74C34FAF">
            <w:pPr>
              <w:pStyle w:val="6"/>
              <w:spacing w:before="131" w:line="239" w:lineRule="auto"/>
              <w:ind w:left="319"/>
            </w:pPr>
            <w:r>
              <w:rPr>
                <w:spacing w:val="-2"/>
              </w:rPr>
              <w:t>25.60</w:t>
            </w:r>
          </w:p>
        </w:tc>
        <w:tc>
          <w:tcPr>
            <w:tcW w:w="940" w:type="dxa"/>
            <w:tcBorders>
              <w:top w:val="single" w:color="000000" w:sz="4" w:space="0"/>
            </w:tcBorders>
            <w:vAlign w:val="top"/>
          </w:tcPr>
          <w:p w14:paraId="73D187C4">
            <w:pPr>
              <w:pStyle w:val="6"/>
              <w:spacing w:before="131"/>
              <w:ind w:left="369"/>
            </w:pPr>
            <w:r>
              <w:rPr>
                <w:spacing w:val="-3"/>
              </w:rPr>
              <w:t>35</w:t>
            </w:r>
          </w:p>
        </w:tc>
        <w:tc>
          <w:tcPr>
            <w:tcW w:w="950" w:type="dxa"/>
            <w:tcBorders>
              <w:top w:val="single" w:color="000000" w:sz="4" w:space="0"/>
            </w:tcBorders>
            <w:vAlign w:val="top"/>
          </w:tcPr>
          <w:p w14:paraId="0168DBCD">
            <w:pPr>
              <w:pStyle w:val="6"/>
              <w:spacing w:before="132" w:line="241" w:lineRule="auto"/>
              <w:ind w:left="319"/>
            </w:pPr>
            <w:r>
              <w:rPr>
                <w:spacing w:val="-3"/>
              </w:rPr>
              <w:t>241</w:t>
            </w:r>
          </w:p>
        </w:tc>
        <w:tc>
          <w:tcPr>
            <w:tcW w:w="1190" w:type="dxa"/>
            <w:tcBorders>
              <w:top w:val="single" w:color="000000" w:sz="4" w:space="0"/>
            </w:tcBorders>
            <w:vAlign w:val="top"/>
          </w:tcPr>
          <w:p w14:paraId="6CB51A20">
            <w:pPr>
              <w:pStyle w:val="6"/>
              <w:spacing w:before="131" w:line="239" w:lineRule="auto"/>
              <w:ind w:left="339"/>
            </w:pPr>
            <w:r>
              <w:rPr>
                <w:spacing w:val="-4"/>
              </w:rPr>
              <w:t>14.52</w:t>
            </w:r>
          </w:p>
        </w:tc>
        <w:tc>
          <w:tcPr>
            <w:tcW w:w="1860" w:type="dxa"/>
            <w:tcBorders>
              <w:top w:val="single" w:color="000000" w:sz="4" w:space="0"/>
            </w:tcBorders>
            <w:vAlign w:val="top"/>
          </w:tcPr>
          <w:p w14:paraId="0983DA49">
            <w:pPr>
              <w:pStyle w:val="6"/>
              <w:spacing w:before="115" w:line="222" w:lineRule="auto"/>
              <w:ind w:left="130"/>
            </w:pPr>
            <w:r>
              <w:rPr>
                <w:spacing w:val="-2"/>
              </w:rPr>
              <w:t>1.76(1.27～2.45)</w:t>
            </w:r>
          </w:p>
        </w:tc>
      </w:tr>
      <w:tr w14:paraId="0063DFC2">
        <w:trPr>
          <w:trHeight w:val="398" w:hRule="atLeast"/>
        </w:trPr>
        <w:tc>
          <w:tcPr>
            <w:tcW w:w="1190" w:type="dxa"/>
            <w:vAlign w:val="top"/>
          </w:tcPr>
          <w:p w14:paraId="6DDFD15D">
            <w:pPr>
              <w:pStyle w:val="6"/>
              <w:spacing w:before="108" w:line="219" w:lineRule="auto"/>
              <w:ind w:left="190"/>
            </w:pPr>
            <w:r>
              <w:rPr>
                <w:spacing w:val="-2"/>
              </w:rPr>
              <w:t>集体午餐</w:t>
            </w:r>
          </w:p>
        </w:tc>
        <w:tc>
          <w:tcPr>
            <w:tcW w:w="930" w:type="dxa"/>
            <w:vAlign w:val="top"/>
          </w:tcPr>
          <w:p w14:paraId="7AE644CC">
            <w:pPr>
              <w:pStyle w:val="6"/>
              <w:spacing w:before="128"/>
              <w:ind w:left="309"/>
            </w:pPr>
            <w:r>
              <w:rPr>
                <w:spacing w:val="-6"/>
              </w:rPr>
              <w:t>141</w:t>
            </w:r>
          </w:p>
        </w:tc>
        <w:tc>
          <w:tcPr>
            <w:tcW w:w="920" w:type="dxa"/>
            <w:vAlign w:val="top"/>
          </w:tcPr>
          <w:p w14:paraId="13DEE7D9">
            <w:pPr>
              <w:pStyle w:val="6"/>
              <w:spacing w:before="127"/>
              <w:ind w:left="309"/>
            </w:pPr>
            <w:r>
              <w:rPr>
                <w:spacing w:val="-3"/>
              </w:rPr>
              <w:t>640</w:t>
            </w:r>
          </w:p>
        </w:tc>
        <w:tc>
          <w:tcPr>
            <w:tcW w:w="1140" w:type="dxa"/>
            <w:vAlign w:val="top"/>
          </w:tcPr>
          <w:p w14:paraId="23CB8CCC">
            <w:pPr>
              <w:pStyle w:val="6"/>
              <w:spacing w:before="127" w:line="239" w:lineRule="auto"/>
              <w:ind w:left="319"/>
            </w:pPr>
            <w:r>
              <w:rPr>
                <w:spacing w:val="-2"/>
              </w:rPr>
              <w:t>22.03</w:t>
            </w:r>
          </w:p>
        </w:tc>
        <w:tc>
          <w:tcPr>
            <w:tcW w:w="940" w:type="dxa"/>
            <w:vAlign w:val="top"/>
          </w:tcPr>
          <w:p w14:paraId="3E20104B">
            <w:pPr>
              <w:pStyle w:val="6"/>
              <w:spacing w:before="128"/>
              <w:ind w:left="369"/>
            </w:pPr>
            <w:r>
              <w:rPr>
                <w:spacing w:val="-6"/>
              </w:rPr>
              <w:t>11</w:t>
            </w:r>
          </w:p>
        </w:tc>
        <w:tc>
          <w:tcPr>
            <w:tcW w:w="950" w:type="dxa"/>
            <w:vAlign w:val="top"/>
          </w:tcPr>
          <w:p w14:paraId="5886434F">
            <w:pPr>
              <w:pStyle w:val="6"/>
              <w:spacing w:before="127"/>
              <w:ind w:left="369"/>
            </w:pPr>
            <w:r>
              <w:rPr>
                <w:spacing w:val="-3"/>
              </w:rPr>
              <w:t>58</w:t>
            </w:r>
          </w:p>
        </w:tc>
        <w:tc>
          <w:tcPr>
            <w:tcW w:w="1190" w:type="dxa"/>
            <w:vAlign w:val="top"/>
          </w:tcPr>
          <w:p w14:paraId="67F10199">
            <w:pPr>
              <w:pStyle w:val="6"/>
              <w:spacing w:before="127" w:line="239" w:lineRule="auto"/>
              <w:ind w:left="339"/>
            </w:pPr>
            <w:r>
              <w:rPr>
                <w:spacing w:val="-4"/>
              </w:rPr>
              <w:t>18.97</w:t>
            </w:r>
          </w:p>
        </w:tc>
        <w:tc>
          <w:tcPr>
            <w:tcW w:w="1860" w:type="dxa"/>
            <w:vAlign w:val="top"/>
          </w:tcPr>
          <w:p w14:paraId="2F27F281">
            <w:pPr>
              <w:pStyle w:val="6"/>
              <w:spacing w:before="111" w:line="222" w:lineRule="auto"/>
              <w:ind w:left="130"/>
            </w:pPr>
            <w:r>
              <w:rPr>
                <w:spacing w:val="-2"/>
              </w:rPr>
              <w:t>1.16(0.61～2.39)</w:t>
            </w:r>
          </w:p>
        </w:tc>
      </w:tr>
      <w:tr w14:paraId="488072B3">
        <w:trPr>
          <w:trHeight w:val="396" w:hRule="atLeast"/>
        </w:trPr>
        <w:tc>
          <w:tcPr>
            <w:tcW w:w="1190" w:type="dxa"/>
            <w:tcBorders>
              <w:bottom w:val="single" w:color="000000" w:sz="4" w:space="0"/>
            </w:tcBorders>
            <w:vAlign w:val="top"/>
          </w:tcPr>
          <w:p w14:paraId="64462811">
            <w:pPr>
              <w:pStyle w:val="6"/>
              <w:spacing w:before="110" w:line="220" w:lineRule="auto"/>
              <w:ind w:left="89"/>
            </w:pPr>
            <w:r>
              <w:rPr>
                <w:spacing w:val="2"/>
              </w:rPr>
              <w:t>未应急接种</w:t>
            </w:r>
          </w:p>
        </w:tc>
        <w:tc>
          <w:tcPr>
            <w:tcW w:w="930" w:type="dxa"/>
            <w:tcBorders>
              <w:bottom w:val="single" w:color="000000" w:sz="4" w:space="0"/>
            </w:tcBorders>
            <w:vAlign w:val="top"/>
          </w:tcPr>
          <w:p w14:paraId="23318277">
            <w:pPr>
              <w:pStyle w:val="6"/>
              <w:spacing w:before="130" w:line="236" w:lineRule="auto"/>
              <w:ind w:left="359"/>
            </w:pPr>
            <w:r>
              <w:rPr>
                <w:spacing w:val="-6"/>
              </w:rPr>
              <w:t>16</w:t>
            </w:r>
          </w:p>
        </w:tc>
        <w:tc>
          <w:tcPr>
            <w:tcW w:w="920" w:type="dxa"/>
            <w:tcBorders>
              <w:bottom w:val="single" w:color="000000" w:sz="4" w:space="0"/>
            </w:tcBorders>
            <w:vAlign w:val="top"/>
          </w:tcPr>
          <w:p w14:paraId="7048F312">
            <w:pPr>
              <w:pStyle w:val="6"/>
              <w:spacing w:before="130" w:line="236" w:lineRule="auto"/>
              <w:ind w:left="309"/>
            </w:pPr>
            <w:r>
              <w:rPr>
                <w:spacing w:val="-3"/>
              </w:rPr>
              <w:t>262</w:t>
            </w:r>
          </w:p>
        </w:tc>
        <w:tc>
          <w:tcPr>
            <w:tcW w:w="1140" w:type="dxa"/>
            <w:tcBorders>
              <w:bottom w:val="single" w:color="000000" w:sz="4" w:space="0"/>
            </w:tcBorders>
            <w:vAlign w:val="top"/>
          </w:tcPr>
          <w:p w14:paraId="422A5FEC">
            <w:pPr>
              <w:pStyle w:val="6"/>
              <w:spacing w:before="130" w:line="236" w:lineRule="auto"/>
              <w:ind w:left="369"/>
            </w:pPr>
            <w:r>
              <w:rPr>
                <w:spacing w:val="-2"/>
              </w:rPr>
              <w:t>6.11</w:t>
            </w:r>
          </w:p>
        </w:tc>
        <w:tc>
          <w:tcPr>
            <w:tcW w:w="940" w:type="dxa"/>
            <w:tcBorders>
              <w:bottom w:val="single" w:color="000000" w:sz="4" w:space="0"/>
            </w:tcBorders>
            <w:vAlign w:val="top"/>
          </w:tcPr>
          <w:p w14:paraId="103DD2F6">
            <w:pPr>
              <w:pStyle w:val="6"/>
              <w:spacing w:before="130" w:line="236" w:lineRule="auto"/>
              <w:ind w:left="419"/>
            </w:pPr>
            <w:r>
              <w:t>8</w:t>
            </w:r>
          </w:p>
        </w:tc>
        <w:tc>
          <w:tcPr>
            <w:tcW w:w="950" w:type="dxa"/>
            <w:tcBorders>
              <w:bottom w:val="single" w:color="000000" w:sz="4" w:space="0"/>
            </w:tcBorders>
            <w:vAlign w:val="top"/>
          </w:tcPr>
          <w:p w14:paraId="1658BB97">
            <w:pPr>
              <w:pStyle w:val="6"/>
              <w:spacing w:before="130" w:line="236" w:lineRule="auto"/>
              <w:ind w:left="319"/>
            </w:pPr>
            <w:r>
              <w:rPr>
                <w:spacing w:val="-3"/>
              </w:rPr>
              <w:t>308</w:t>
            </w:r>
          </w:p>
        </w:tc>
        <w:tc>
          <w:tcPr>
            <w:tcW w:w="1190" w:type="dxa"/>
            <w:tcBorders>
              <w:bottom w:val="single" w:color="000000" w:sz="4" w:space="0"/>
            </w:tcBorders>
            <w:vAlign w:val="top"/>
          </w:tcPr>
          <w:p w14:paraId="66AB2A24">
            <w:pPr>
              <w:pStyle w:val="6"/>
              <w:spacing w:before="130" w:line="236" w:lineRule="auto"/>
              <w:ind w:left="390"/>
            </w:pPr>
            <w:r>
              <w:rPr>
                <w:spacing w:val="-2"/>
              </w:rPr>
              <w:t>2.60</w:t>
            </w:r>
          </w:p>
        </w:tc>
        <w:tc>
          <w:tcPr>
            <w:tcW w:w="1860" w:type="dxa"/>
            <w:tcBorders>
              <w:bottom w:val="single" w:color="000000" w:sz="4" w:space="0"/>
            </w:tcBorders>
            <w:vAlign w:val="top"/>
          </w:tcPr>
          <w:p w14:paraId="462C552B">
            <w:pPr>
              <w:pStyle w:val="6"/>
              <w:spacing w:before="113" w:line="222" w:lineRule="auto"/>
              <w:ind w:left="130"/>
            </w:pPr>
            <w:r>
              <w:rPr>
                <w:spacing w:val="-1"/>
              </w:rPr>
              <w:t>2.35(1.03～3.46)</w:t>
            </w:r>
          </w:p>
        </w:tc>
      </w:tr>
    </w:tbl>
    <w:p w14:paraId="44706DB3">
      <w:pPr>
        <w:spacing w:before="53" w:line="220" w:lineRule="auto"/>
        <w:ind w:left="8379"/>
        <w:rPr>
          <w:rFonts w:ascii="宋体" w:hAnsi="宋体" w:eastAsia="宋体" w:cs="宋体"/>
          <w:sz w:val="20"/>
          <w:szCs w:val="20"/>
        </w:rPr>
      </w:pPr>
      <w:r>
        <w:rPr>
          <w:rFonts w:ascii="宋体" w:hAnsi="宋体" w:eastAsia="宋体" w:cs="宋体"/>
          <w:spacing w:val="4"/>
          <w:sz w:val="20"/>
          <w:szCs w:val="20"/>
        </w:rPr>
        <w:t>(李波，2015)</w:t>
      </w:r>
    </w:p>
    <w:p w14:paraId="580837F1">
      <w:pPr>
        <w:pStyle w:val="2"/>
        <w:spacing w:before="300" w:line="222" w:lineRule="auto"/>
        <w:ind w:left="2970"/>
        <w:rPr>
          <w:sz w:val="20"/>
          <w:szCs w:val="20"/>
        </w:rPr>
      </w:pPr>
      <w:r>
        <w:rPr>
          <w:spacing w:val="8"/>
          <w:sz w:val="20"/>
          <w:szCs w:val="20"/>
        </w:rPr>
        <w:t>表16-22014年某公司食堂食物中毒的病例对照研究</w:t>
      </w:r>
    </w:p>
    <w:p w14:paraId="7291464D">
      <w:pPr>
        <w:spacing w:line="38" w:lineRule="exact"/>
      </w:pPr>
    </w:p>
    <w:tbl>
      <w:tblPr>
        <w:tblStyle w:val="5"/>
        <w:tblW w:w="9059" w:type="dxa"/>
        <w:tblInd w:w="81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0" w:type="dxa"/>
          <w:left w:w="0" w:type="dxa"/>
          <w:bottom w:w="0" w:type="dxa"/>
          <w:right w:w="0" w:type="dxa"/>
        </w:tblCellMar>
      </w:tblPr>
      <w:tblGrid>
        <w:gridCol w:w="1670"/>
        <w:gridCol w:w="846"/>
        <w:gridCol w:w="1603"/>
        <w:gridCol w:w="837"/>
        <w:gridCol w:w="1613"/>
        <w:gridCol w:w="2490"/>
      </w:tblGrid>
      <w:tr w14:paraId="2D56EADB">
        <w:trPr>
          <w:trHeight w:val="323" w:hRule="atLeast"/>
        </w:trPr>
        <w:tc>
          <w:tcPr>
            <w:tcW w:w="1670" w:type="dxa"/>
            <w:vMerge w:val="restart"/>
            <w:tcBorders>
              <w:top w:val="single" w:color="000000" w:sz="4" w:space="0"/>
              <w:bottom w:val="nil"/>
            </w:tcBorders>
            <w:shd w:val="clear" w:color="auto" w:fill="D8DADF"/>
            <w:vAlign w:val="top"/>
          </w:tcPr>
          <w:p w14:paraId="4AC1D22E">
            <w:pPr>
              <w:pStyle w:val="6"/>
              <w:spacing w:before="273" w:line="220" w:lineRule="auto"/>
              <w:ind w:left="240"/>
              <w:rPr>
                <w:sz w:val="19"/>
                <w:szCs w:val="19"/>
              </w:rPr>
            </w:pPr>
            <w:r>
              <w:rPr>
                <w:spacing w:val="-2"/>
                <w:sz w:val="19"/>
                <w:szCs w:val="19"/>
              </w:rPr>
              <w:t>食物</w:t>
            </w:r>
          </w:p>
        </w:tc>
        <w:tc>
          <w:tcPr>
            <w:tcW w:w="846" w:type="dxa"/>
            <w:vMerge w:val="restart"/>
            <w:tcBorders>
              <w:top w:val="single" w:color="000000" w:sz="4" w:space="0"/>
              <w:bottom w:val="nil"/>
            </w:tcBorders>
            <w:vAlign w:val="top"/>
          </w:tcPr>
          <w:p w14:paraId="144BFB78">
            <w:pPr>
              <w:spacing w:line="397" w:lineRule="auto"/>
              <w:rPr>
                <w:rFonts w:ascii="Arial"/>
                <w:sz w:val="21"/>
              </w:rPr>
            </w:pPr>
          </w:p>
          <w:p w14:paraId="23925EF1">
            <w:pPr>
              <w:pStyle w:val="6"/>
              <w:spacing w:before="62" w:line="219" w:lineRule="auto"/>
              <w:ind w:left="390"/>
              <w:rPr>
                <w:sz w:val="19"/>
                <w:szCs w:val="19"/>
              </w:rPr>
            </w:pPr>
            <w:r>
              <mc:AlternateContent>
                <mc:Choice Requires="wps">
                  <w:drawing>
                    <wp:anchor distT="0" distB="0" distL="0" distR="0" simplePos="0" relativeHeight="251922432" behindDoc="1" locked="0" layoutInCell="1" allowOverlap="1">
                      <wp:simplePos x="0" y="0"/>
                      <wp:positionH relativeFrom="column">
                        <wp:posOffset>0</wp:posOffset>
                      </wp:positionH>
                      <wp:positionV relativeFrom="paragraph">
                        <wp:posOffset>-21590</wp:posOffset>
                      </wp:positionV>
                      <wp:extent cx="736600" cy="234950"/>
                      <wp:effectExtent l="0" t="0" r="0" b="0"/>
                      <wp:wrapNone/>
                      <wp:docPr id="730" name="Rect 730"/>
                      <wp:cNvGraphicFramePr/>
                      <a:graphic xmlns:a="http://schemas.openxmlformats.org/drawingml/2006/main">
                        <a:graphicData uri="http://schemas.microsoft.com/office/word/2010/wordprocessingShape">
                          <wps:wsp>
                            <wps:cNvSpPr/>
                            <wps:spPr>
                              <a:xfrm>
                                <a:off x="29" y="-22101"/>
                                <a:ext cx="736600" cy="234950"/>
                              </a:xfrm>
                              <a:prstGeom prst="rect">
                                <a:avLst/>
                              </a:prstGeom>
                              <a:solidFill>
                                <a:srgbClr val="D8D8DB"/>
                              </a:solidFill>
                              <a:ln w="0">
                                <a:noFill/>
                              </a:ln>
                            </wps:spPr>
                            <wps:style>
                              <a:lnRef idx="0">
                                <a:schemeClr val="accent1"/>
                              </a:lnRef>
                              <a:fillRef idx="0">
                                <a:schemeClr val="accent1"/>
                              </a:fillRef>
                              <a:effectRef idx="0">
                                <a:schemeClr val="accent1"/>
                              </a:effectRef>
                              <a:fontRef idx="minor">
                                <a:schemeClr val="dk1"/>
                              </a:fontRef>
                            </wps:style>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rect id="Rect 730" o:spid="_x0000_s1026" o:spt="1" style="position:absolute;left:0pt;margin-left:0pt;margin-top:-1.7pt;height:18.5pt;width:58pt;z-index:-251394048;mso-width-relative:page;mso-height-relative:page;" fillcolor="#D8D8DB" filled="t" stroked="f" coordsize="21600,21600" o:gfxdata="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">
                      <v:fill on="t" focussize="0,0"/>
                      <v:stroke on="f" weight="0pt"/>
                      <v:imagedata o:title=""/>
                      <o:lock v:ext="edit" aspectratio="f"/>
                      <v:textbox inset="0mm,0mm,0mm,0mm"/>
                    </v:rect>
                  </w:pict>
                </mc:Fallback>
              </mc:AlternateContent>
            </w:r>
            <w:r>
              <w:rPr>
                <w:spacing w:val="-2"/>
                <w:sz w:val="19"/>
                <w:szCs w:val="19"/>
              </w:rPr>
              <w:t>暴露</w:t>
            </w:r>
          </w:p>
        </w:tc>
        <w:tc>
          <w:tcPr>
            <w:tcW w:w="1603" w:type="dxa"/>
            <w:tcBorders>
              <w:top w:val="single" w:color="000000" w:sz="4" w:space="0"/>
            </w:tcBorders>
            <w:vAlign w:val="top"/>
          </w:tcPr>
          <w:p w14:paraId="367A29DA">
            <w:pPr>
              <w:pStyle w:val="6"/>
              <w:spacing w:before="93" w:line="213" w:lineRule="auto"/>
              <w:ind w:left="94"/>
              <w:rPr>
                <w:sz w:val="19"/>
                <w:szCs w:val="19"/>
              </w:rPr>
            </w:pPr>
            <w:r>
              <mc:AlternateContent>
                <mc:Choice Requires="wps">
                  <w:drawing>
                    <wp:anchor distT="0" distB="0" distL="0" distR="0" simplePos="0" relativeHeight="251921408" behindDoc="1" locked="0" layoutInCell="1" allowOverlap="1">
                      <wp:simplePos x="0" y="0"/>
                      <wp:positionH relativeFrom="column">
                        <wp:posOffset>-536575</wp:posOffset>
                      </wp:positionH>
                      <wp:positionV relativeFrom="paragraph">
                        <wp:posOffset>-3175</wp:posOffset>
                      </wp:positionV>
                      <wp:extent cx="1555750" cy="235585"/>
                      <wp:effectExtent l="0" t="0" r="0" b="0"/>
                      <wp:wrapNone/>
                      <wp:docPr id="732" name="Rect 732"/>
                      <wp:cNvGraphicFramePr/>
                      <a:graphic xmlns:a="http://schemas.openxmlformats.org/drawingml/2006/main">
                        <a:graphicData uri="http://schemas.microsoft.com/office/word/2010/wordprocessingShape">
                          <wps:wsp>
                            <wps:cNvSpPr/>
                            <wps:spPr>
                              <a:xfrm>
                                <a:off x="-537180" y="-3313"/>
                                <a:ext cx="1555750" cy="235584"/>
                              </a:xfrm>
                              <a:prstGeom prst="rect">
                                <a:avLst/>
                              </a:prstGeom>
                              <a:solidFill>
                                <a:srgbClr val="DCDCDC"/>
                              </a:solidFill>
                              <a:ln w="0">
                                <a:noFill/>
                              </a:ln>
                            </wps:spPr>
                            <wps:style>
                              <a:lnRef idx="0">
                                <a:schemeClr val="accent1"/>
                              </a:lnRef>
                              <a:fillRef idx="0">
                                <a:schemeClr val="accent1"/>
                              </a:fillRef>
                              <a:effectRef idx="0">
                                <a:schemeClr val="accent1"/>
                              </a:effectRef>
                              <a:fontRef idx="minor">
                                <a:schemeClr val="dk1"/>
                              </a:fontRef>
                            </wps:style>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rect id="Rect 732" o:spid="_x0000_s1026" o:spt="1" style="position:absolute;left:0pt;margin-left:-42.25pt;margin-top:-0.25pt;height:18.55pt;width:122.5pt;z-index:-251395072;mso-width-relative:page;mso-height-relative:page;" fillcolor="#DCDCDC" filled="t" stroked="f" coordsize="21600,21600" o:gfxdata="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">
                      <v:fill on="t" focussize="0,0"/>
                      <v:stroke on="f" weight="0pt"/>
                      <v:imagedata o:title=""/>
                      <o:lock v:ext="edit" aspectratio="f"/>
                      <v:textbox inset="0mm,0mm,0mm,0mm"/>
                    </v:rect>
                  </w:pict>
                </mc:Fallback>
              </mc:AlternateContent>
            </w:r>
            <w:r>
              <w:rPr>
                <w:spacing w:val="-2"/>
                <w:sz w:val="19"/>
                <w:szCs w:val="19"/>
              </w:rPr>
              <w:t>病例组</w:t>
            </w:r>
          </w:p>
        </w:tc>
        <w:tc>
          <w:tcPr>
            <w:tcW w:w="837" w:type="dxa"/>
            <w:vMerge w:val="restart"/>
            <w:tcBorders>
              <w:top w:val="single" w:color="000000" w:sz="4" w:space="0"/>
              <w:bottom w:val="nil"/>
            </w:tcBorders>
            <w:vAlign w:val="top"/>
          </w:tcPr>
          <w:p w14:paraId="577541A7">
            <w:pPr>
              <w:spacing w:line="397" w:lineRule="auto"/>
              <w:rPr>
                <w:rFonts w:ascii="Arial"/>
                <w:sz w:val="21"/>
              </w:rPr>
            </w:pPr>
          </w:p>
          <w:p w14:paraId="23559DD3">
            <w:pPr>
              <w:pStyle w:val="6"/>
              <w:spacing w:before="62" w:line="219" w:lineRule="auto"/>
              <w:ind w:left="370"/>
              <w:rPr>
                <w:sz w:val="19"/>
                <w:szCs w:val="19"/>
              </w:rPr>
            </w:pPr>
            <w:r>
              <mc:AlternateContent>
                <mc:Choice Requires="wps">
                  <w:drawing>
                    <wp:anchor distT="0" distB="0" distL="0" distR="0" simplePos="0" relativeHeight="251920384" behindDoc="1" locked="0" layoutInCell="1" allowOverlap="1">
                      <wp:simplePos x="0" y="0"/>
                      <wp:positionH relativeFrom="column">
                        <wp:posOffset>635</wp:posOffset>
                      </wp:positionH>
                      <wp:positionV relativeFrom="paragraph">
                        <wp:posOffset>-21590</wp:posOffset>
                      </wp:positionV>
                      <wp:extent cx="718185" cy="234950"/>
                      <wp:effectExtent l="0" t="0" r="0" b="0"/>
                      <wp:wrapNone/>
                      <wp:docPr id="734" name="Rect 734"/>
                      <wp:cNvGraphicFramePr/>
                      <a:graphic xmlns:a="http://schemas.openxmlformats.org/drawingml/2006/main">
                        <a:graphicData uri="http://schemas.microsoft.com/office/word/2010/wordprocessingShape">
                          <wps:wsp>
                            <wps:cNvSpPr/>
                            <wps:spPr>
                              <a:xfrm>
                                <a:off x="645" y="-22101"/>
                                <a:ext cx="718184" cy="234950"/>
                              </a:xfrm>
                              <a:prstGeom prst="rect">
                                <a:avLst/>
                              </a:prstGeom>
                              <a:solidFill>
                                <a:srgbClr val="D6D4D4"/>
                              </a:solidFill>
                              <a:ln w="0">
                                <a:noFill/>
                              </a:ln>
                            </wps:spPr>
                            <wps:style>
                              <a:lnRef idx="0">
                                <a:schemeClr val="accent1"/>
                              </a:lnRef>
                              <a:fillRef idx="0">
                                <a:schemeClr val="accent1"/>
                              </a:fillRef>
                              <a:effectRef idx="0">
                                <a:schemeClr val="accent1"/>
                              </a:effectRef>
                              <a:fontRef idx="minor">
                                <a:schemeClr val="dk1"/>
                              </a:fontRef>
                            </wps:style>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rect id="Rect 734" o:spid="_x0000_s1026" o:spt="1" style="position:absolute;left:0pt;margin-left:0.05pt;margin-top:-1.7pt;height:18.5pt;width:56.55pt;z-index:-251396096;mso-width-relative:page;mso-height-relative:page;" fillcolor="#D6D4D4" filled="t" stroked="f" coordsize="21600,21600" o:gfxdata="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">
                      <v:fill on="t" focussize="0,0"/>
                      <v:stroke on="f" weight="0pt"/>
                      <v:imagedata o:title=""/>
                      <o:lock v:ext="edit" aspectratio="f"/>
                      <v:textbox inset="0mm,0mm,0mm,0mm"/>
                    </v:rect>
                  </w:pict>
                </mc:Fallback>
              </mc:AlternateContent>
            </w:r>
            <w:r>
              <w:rPr>
                <w:spacing w:val="-2"/>
                <w:sz w:val="19"/>
                <w:szCs w:val="19"/>
              </w:rPr>
              <w:t>暴露</w:t>
            </w:r>
          </w:p>
        </w:tc>
        <w:tc>
          <w:tcPr>
            <w:tcW w:w="1613" w:type="dxa"/>
            <w:tcBorders>
              <w:top w:val="single" w:color="000000" w:sz="4" w:space="0"/>
            </w:tcBorders>
            <w:vAlign w:val="top"/>
          </w:tcPr>
          <w:p w14:paraId="74297B80">
            <w:pPr>
              <w:pStyle w:val="6"/>
              <w:spacing w:before="93" w:line="213" w:lineRule="auto"/>
              <w:ind w:left="103"/>
              <w:rPr>
                <w:sz w:val="19"/>
                <w:szCs w:val="19"/>
              </w:rPr>
            </w:pPr>
            <w:r>
              <mc:AlternateContent>
                <mc:Choice Requires="wps">
                  <w:drawing>
                    <wp:anchor distT="0" distB="0" distL="0" distR="0" simplePos="0" relativeHeight="251923456" behindDoc="1" locked="0" layoutInCell="1" allowOverlap="1">
                      <wp:simplePos x="0" y="0"/>
                      <wp:positionH relativeFrom="column">
                        <wp:posOffset>-530225</wp:posOffset>
                      </wp:positionH>
                      <wp:positionV relativeFrom="paragraph">
                        <wp:posOffset>-3175</wp:posOffset>
                      </wp:positionV>
                      <wp:extent cx="1555750" cy="235585"/>
                      <wp:effectExtent l="0" t="0" r="0" b="0"/>
                      <wp:wrapNone/>
                      <wp:docPr id="736" name="Rect 736"/>
                      <wp:cNvGraphicFramePr/>
                      <a:graphic xmlns:a="http://schemas.openxmlformats.org/drawingml/2006/main">
                        <a:graphicData uri="http://schemas.microsoft.com/office/word/2010/wordprocessingShape">
                          <wps:wsp>
                            <wps:cNvSpPr/>
                            <wps:spPr>
                              <a:xfrm>
                                <a:off x="-530849" y="-3313"/>
                                <a:ext cx="1555750" cy="235584"/>
                              </a:xfrm>
                              <a:prstGeom prst="rect">
                                <a:avLst/>
                              </a:prstGeom>
                              <a:solidFill>
                                <a:srgbClr val="D6D3D2"/>
                              </a:solidFill>
                              <a:ln w="0">
                                <a:noFill/>
                              </a:ln>
                            </wps:spPr>
                            <wps:style>
                              <a:lnRef idx="0">
                                <a:schemeClr val="accent1"/>
                              </a:lnRef>
                              <a:fillRef idx="0">
                                <a:schemeClr val="accent1"/>
                              </a:fillRef>
                              <a:effectRef idx="0">
                                <a:schemeClr val="accent1"/>
                              </a:effectRef>
                              <a:fontRef idx="minor">
                                <a:schemeClr val="dk1"/>
                              </a:fontRef>
                            </wps:style>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rect id="Rect 736" o:spid="_x0000_s1026" o:spt="1" style="position:absolute;left:0pt;margin-left:-41.75pt;margin-top:-0.25pt;height:18.55pt;width:122.5pt;z-index:-251393024;mso-width-relative:page;mso-height-relative:page;" fillcolor="#D6D3D2" filled="t" stroked="f" coordsize="21600,21600" o:gfxdata="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">
                      <v:fill on="t" focussize="0,0"/>
                      <v:stroke on="f" weight="0pt"/>
                      <v:imagedata o:title=""/>
                      <o:lock v:ext="edit" aspectratio="f"/>
                      <v:textbox inset="0mm,0mm,0mm,0mm"/>
                    </v:rect>
                  </w:pict>
                </mc:Fallback>
              </mc:AlternateContent>
            </w:r>
            <w:r>
              <w:rPr>
                <w:spacing w:val="-2"/>
                <w:sz w:val="19"/>
                <w:szCs w:val="19"/>
              </w:rPr>
              <w:t>对照组</w:t>
            </w:r>
          </w:p>
        </w:tc>
        <w:tc>
          <w:tcPr>
            <w:tcW w:w="2490" w:type="dxa"/>
            <w:vMerge w:val="restart"/>
            <w:tcBorders>
              <w:top w:val="single" w:color="000000" w:sz="4" w:space="0"/>
              <w:bottom w:val="nil"/>
            </w:tcBorders>
            <w:shd w:val="clear" w:color="auto" w:fill="CAC8C1"/>
            <w:vAlign w:val="top"/>
          </w:tcPr>
          <w:p w14:paraId="35E0E11B">
            <w:pPr>
              <w:pStyle w:val="6"/>
              <w:spacing w:before="275" w:line="222" w:lineRule="auto"/>
              <w:ind w:left="811"/>
              <w:rPr>
                <w:sz w:val="19"/>
                <w:szCs w:val="19"/>
              </w:rPr>
            </w:pPr>
            <w:r>
              <w:rPr>
                <w:spacing w:val="-1"/>
                <w:sz w:val="19"/>
                <w:szCs w:val="19"/>
              </w:rPr>
              <w:t>OR(95%CI)</w:t>
            </w:r>
          </w:p>
        </w:tc>
      </w:tr>
      <w:tr w14:paraId="5155AA82">
        <w:trPr>
          <w:trHeight w:val="409" w:hRule="atLeast"/>
        </w:trPr>
        <w:tc>
          <w:tcPr>
            <w:tcW w:w="1670" w:type="dxa"/>
            <w:vMerge w:val="continue"/>
            <w:tcBorders>
              <w:top w:val="nil"/>
              <w:bottom w:val="single" w:color="000000" w:sz="4" w:space="0"/>
            </w:tcBorders>
            <w:vAlign w:val="top"/>
          </w:tcPr>
          <w:p w14:paraId="59EDB389">
            <w:pPr>
              <w:rPr>
                <w:rFonts w:ascii="Arial"/>
                <w:sz w:val="21"/>
              </w:rPr>
            </w:pPr>
          </w:p>
        </w:tc>
        <w:tc>
          <w:tcPr>
            <w:tcW w:w="846" w:type="dxa"/>
            <w:vMerge w:val="continue"/>
            <w:tcBorders>
              <w:top w:val="nil"/>
              <w:bottom w:val="single" w:color="000000" w:sz="4" w:space="0"/>
            </w:tcBorders>
            <w:vAlign w:val="top"/>
          </w:tcPr>
          <w:p w14:paraId="27C6C360">
            <w:pPr>
              <w:rPr>
                <w:rFonts w:ascii="Arial"/>
                <w:sz w:val="21"/>
              </w:rPr>
            </w:pPr>
          </w:p>
        </w:tc>
        <w:tc>
          <w:tcPr>
            <w:tcW w:w="1603" w:type="dxa"/>
            <w:tcBorders>
              <w:bottom w:val="single" w:color="000000" w:sz="4" w:space="0"/>
            </w:tcBorders>
            <w:vAlign w:val="top"/>
          </w:tcPr>
          <w:p w14:paraId="07956E7F">
            <w:pPr>
              <w:pStyle w:val="6"/>
              <w:spacing w:before="42" w:line="357" w:lineRule="exact"/>
              <w:ind w:firstLine="313"/>
            </w:pPr>
            <w:r>
              <w:rPr>
                <w:position w:val="-8"/>
              </w:rPr>
              <w:pict>
                <v:shape id="_x0000_s1209" o:spid="_x0000_s1209" o:spt="202" type="#_x0000_t202" style="height:18.5pt;width:64.55pt;" fillcolor="#D9D8DA" filled="t" stroked="f" coordsize="21600,21600">
                  <v:path/>
                  <v:fill on="t" focussize="0,0"/>
                  <v:stroke on="f"/>
                  <v:imagedata o:title=""/>
                  <o:lock v:ext="edit" aspectratio="f"/>
                  <v:textbox inset="0mm,0mm,0mm,0mm">
                    <w:txbxContent>
                      <w:p w14:paraId="5B7C9987">
                        <w:pPr>
                          <w:spacing w:before="96" w:line="219" w:lineRule="auto"/>
                          <w:ind w:left="360"/>
                          <w:rPr>
                            <w:rFonts w:ascii="宋体" w:hAnsi="宋体" w:eastAsia="宋体" w:cs="宋体"/>
                            <w:sz w:val="19"/>
                            <w:szCs w:val="19"/>
                          </w:rPr>
                        </w:pPr>
                        <w:r>
                          <w:rPr>
                            <w:rFonts w:ascii="宋体" w:hAnsi="宋体" w:eastAsia="宋体" w:cs="宋体"/>
                            <w:spacing w:val="-3"/>
                            <w:sz w:val="19"/>
                            <w:szCs w:val="19"/>
                          </w:rPr>
                          <w:t>非暴露</w:t>
                        </w:r>
                      </w:p>
                    </w:txbxContent>
                  </v:textbox>
                  <w10:wrap type="none"/>
                  <w10:anchorlock/>
                </v:shape>
              </w:pict>
            </w:r>
          </w:p>
        </w:tc>
        <w:tc>
          <w:tcPr>
            <w:tcW w:w="837" w:type="dxa"/>
            <w:vMerge w:val="continue"/>
            <w:tcBorders>
              <w:top w:val="nil"/>
              <w:bottom w:val="single" w:color="000000" w:sz="4" w:space="0"/>
            </w:tcBorders>
            <w:vAlign w:val="top"/>
          </w:tcPr>
          <w:p w14:paraId="49649D50">
            <w:pPr>
              <w:rPr>
                <w:rFonts w:ascii="Arial"/>
                <w:sz w:val="21"/>
              </w:rPr>
            </w:pPr>
          </w:p>
        </w:tc>
        <w:tc>
          <w:tcPr>
            <w:tcW w:w="1613" w:type="dxa"/>
            <w:tcBorders>
              <w:bottom w:val="single" w:color="000000" w:sz="4" w:space="0"/>
            </w:tcBorders>
            <w:vAlign w:val="top"/>
          </w:tcPr>
          <w:p w14:paraId="190236DF">
            <w:pPr>
              <w:pStyle w:val="6"/>
              <w:spacing w:before="42" w:line="357" w:lineRule="exact"/>
              <w:ind w:firstLine="294"/>
            </w:pPr>
            <w:r>
              <w:rPr>
                <w:position w:val="-8"/>
              </w:rPr>
              <w:pict>
                <v:shape id="_x0000_s1210" o:spid="_x0000_s1210" o:spt="202" type="#_x0000_t202" style="height:18.5pt;width:66pt;" fillcolor="#D7D3D2" filled="t" stroked="f" coordsize="21600,21600">
                  <v:path/>
                  <v:fill on="t" focussize="0,0"/>
                  <v:stroke on="f"/>
                  <v:imagedata o:title=""/>
                  <o:lock v:ext="edit" aspectratio="f"/>
                  <v:textbox inset="0mm,0mm,0mm,0mm">
                    <w:txbxContent>
                      <w:p w14:paraId="3639F669">
                        <w:pPr>
                          <w:spacing w:before="96" w:line="219" w:lineRule="auto"/>
                          <w:ind w:left="369"/>
                          <w:rPr>
                            <w:rFonts w:ascii="宋体" w:hAnsi="宋体" w:eastAsia="宋体" w:cs="宋体"/>
                            <w:sz w:val="19"/>
                            <w:szCs w:val="19"/>
                          </w:rPr>
                        </w:pPr>
                        <w:r>
                          <w:rPr>
                            <w:rFonts w:ascii="宋体" w:hAnsi="宋体" w:eastAsia="宋体" w:cs="宋体"/>
                            <w:spacing w:val="-3"/>
                            <w:sz w:val="19"/>
                            <w:szCs w:val="19"/>
                          </w:rPr>
                          <w:t>非暴露</w:t>
                        </w:r>
                      </w:p>
                    </w:txbxContent>
                  </v:textbox>
                  <w10:wrap type="none"/>
                  <w10:anchorlock/>
                </v:shape>
              </w:pict>
            </w:r>
          </w:p>
        </w:tc>
        <w:tc>
          <w:tcPr>
            <w:tcW w:w="2490" w:type="dxa"/>
            <w:vMerge w:val="continue"/>
            <w:tcBorders>
              <w:top w:val="nil"/>
              <w:bottom w:val="single" w:color="000000" w:sz="4" w:space="0"/>
            </w:tcBorders>
            <w:vAlign w:val="top"/>
          </w:tcPr>
          <w:p w14:paraId="2F2BC3B7">
            <w:pPr>
              <w:rPr>
                <w:rFonts w:ascii="Arial"/>
                <w:sz w:val="21"/>
              </w:rPr>
            </w:pPr>
          </w:p>
        </w:tc>
      </w:tr>
      <w:tr w14:paraId="0CCEF8DF">
        <w:trPr>
          <w:trHeight w:val="399" w:hRule="atLeast"/>
        </w:trPr>
        <w:tc>
          <w:tcPr>
            <w:tcW w:w="1670" w:type="dxa"/>
            <w:tcBorders>
              <w:top w:val="single" w:color="000000" w:sz="4" w:space="0"/>
              <w:bottom w:val="single" w:color="000000" w:sz="4" w:space="0"/>
            </w:tcBorders>
            <w:vAlign w:val="top"/>
          </w:tcPr>
          <w:p w14:paraId="7A1DF996">
            <w:pPr>
              <w:pStyle w:val="6"/>
              <w:spacing w:before="111" w:line="220" w:lineRule="auto"/>
              <w:ind w:left="240"/>
              <w:rPr>
                <w:sz w:val="19"/>
                <w:szCs w:val="19"/>
              </w:rPr>
            </w:pPr>
            <w:r>
              <w:rPr>
                <w:spacing w:val="2"/>
                <w:sz w:val="19"/>
                <w:szCs w:val="19"/>
              </w:rPr>
              <w:t>刀豆炒肉片</w:t>
            </w:r>
          </w:p>
        </w:tc>
        <w:tc>
          <w:tcPr>
            <w:tcW w:w="846" w:type="dxa"/>
            <w:tcBorders>
              <w:top w:val="single" w:color="000000" w:sz="4" w:space="0"/>
              <w:bottom w:val="single" w:color="000000" w:sz="4" w:space="0"/>
            </w:tcBorders>
            <w:vAlign w:val="top"/>
          </w:tcPr>
          <w:p w14:paraId="7D041A98">
            <w:pPr>
              <w:pStyle w:val="6"/>
              <w:spacing w:before="129"/>
              <w:ind w:left="479"/>
              <w:rPr>
                <w:sz w:val="19"/>
                <w:szCs w:val="19"/>
              </w:rPr>
            </w:pPr>
            <w:r>
              <w:rPr>
                <w:spacing w:val="-3"/>
                <w:sz w:val="19"/>
                <w:szCs w:val="19"/>
              </w:rPr>
              <w:t>28</w:t>
            </w:r>
          </w:p>
        </w:tc>
        <w:tc>
          <w:tcPr>
            <w:tcW w:w="1603" w:type="dxa"/>
            <w:tcBorders>
              <w:top w:val="single" w:color="000000" w:sz="4" w:space="0"/>
              <w:bottom w:val="single" w:color="000000" w:sz="4" w:space="0"/>
            </w:tcBorders>
            <w:vAlign w:val="top"/>
          </w:tcPr>
          <w:p w14:paraId="68711B38">
            <w:pPr>
              <w:pStyle w:val="6"/>
              <w:spacing w:before="129"/>
              <w:ind w:left="903"/>
              <w:rPr>
                <w:sz w:val="19"/>
                <w:szCs w:val="19"/>
              </w:rPr>
            </w:pPr>
            <w:r>
              <w:rPr>
                <w:sz w:val="19"/>
                <w:szCs w:val="19"/>
              </w:rPr>
              <w:t>0</w:t>
            </w:r>
          </w:p>
        </w:tc>
        <w:tc>
          <w:tcPr>
            <w:tcW w:w="837" w:type="dxa"/>
            <w:tcBorders>
              <w:top w:val="single" w:color="000000" w:sz="4" w:space="0"/>
              <w:bottom w:val="single" w:color="000000" w:sz="4" w:space="0"/>
            </w:tcBorders>
            <w:vAlign w:val="top"/>
          </w:tcPr>
          <w:p w14:paraId="0F771984">
            <w:pPr>
              <w:pStyle w:val="6"/>
              <w:spacing w:before="129"/>
              <w:ind w:left="470"/>
              <w:rPr>
                <w:sz w:val="19"/>
                <w:szCs w:val="19"/>
              </w:rPr>
            </w:pPr>
            <w:r>
              <w:rPr>
                <w:spacing w:val="-3"/>
                <w:sz w:val="19"/>
                <w:szCs w:val="19"/>
              </w:rPr>
              <w:t>88</w:t>
            </w:r>
          </w:p>
        </w:tc>
        <w:tc>
          <w:tcPr>
            <w:tcW w:w="1613" w:type="dxa"/>
            <w:tcBorders>
              <w:top w:val="single" w:color="000000" w:sz="4" w:space="0"/>
              <w:bottom w:val="single" w:color="000000" w:sz="4" w:space="0"/>
            </w:tcBorders>
            <w:vAlign w:val="top"/>
          </w:tcPr>
          <w:p w14:paraId="5A53D21E">
            <w:pPr>
              <w:pStyle w:val="6"/>
              <w:spacing w:before="129"/>
              <w:ind w:left="803"/>
              <w:rPr>
                <w:sz w:val="19"/>
                <w:szCs w:val="19"/>
              </w:rPr>
            </w:pPr>
            <w:r>
              <w:rPr>
                <w:spacing w:val="-5"/>
                <w:sz w:val="19"/>
                <w:szCs w:val="19"/>
              </w:rPr>
              <w:t>182</w:t>
            </w:r>
          </w:p>
        </w:tc>
        <w:tc>
          <w:tcPr>
            <w:tcW w:w="2490" w:type="dxa"/>
            <w:tcBorders>
              <w:top w:val="single" w:color="000000" w:sz="4" w:space="0"/>
              <w:bottom w:val="single" w:color="000000" w:sz="4" w:space="0"/>
            </w:tcBorders>
            <w:vAlign w:val="top"/>
          </w:tcPr>
          <w:p w14:paraId="36E64860">
            <w:pPr>
              <w:pStyle w:val="6"/>
              <w:spacing w:before="113" w:line="222" w:lineRule="auto"/>
              <w:ind w:left="340"/>
              <w:rPr>
                <w:sz w:val="19"/>
                <w:szCs w:val="19"/>
              </w:rPr>
            </w:pPr>
            <w:r>
              <w:rPr>
                <w:spacing w:val="-1"/>
                <w:sz w:val="19"/>
                <w:szCs w:val="19"/>
              </w:rPr>
              <w:t>56.63(7.91～444.82)</w:t>
            </w:r>
          </w:p>
        </w:tc>
      </w:tr>
      <w:tr w14:paraId="50297393">
        <w:trPr>
          <w:trHeight w:val="398" w:hRule="atLeast"/>
        </w:trPr>
        <w:tc>
          <w:tcPr>
            <w:tcW w:w="1670" w:type="dxa"/>
            <w:tcBorders>
              <w:top w:val="single" w:color="000000" w:sz="4" w:space="0"/>
              <w:bottom w:val="single" w:color="000000" w:sz="4" w:space="0"/>
            </w:tcBorders>
            <w:vAlign w:val="top"/>
          </w:tcPr>
          <w:p w14:paraId="56BF7DBB">
            <w:pPr>
              <w:pStyle w:val="6"/>
              <w:spacing w:before="111" w:line="219" w:lineRule="auto"/>
              <w:ind w:left="240"/>
              <w:rPr>
                <w:sz w:val="19"/>
                <w:szCs w:val="19"/>
              </w:rPr>
            </w:pPr>
            <w:r>
              <w:rPr>
                <w:spacing w:val="1"/>
                <w:sz w:val="19"/>
                <w:szCs w:val="19"/>
              </w:rPr>
              <w:t>西红柿炒蛋</w:t>
            </w:r>
          </w:p>
        </w:tc>
        <w:tc>
          <w:tcPr>
            <w:tcW w:w="846" w:type="dxa"/>
            <w:tcBorders>
              <w:top w:val="single" w:color="000000" w:sz="4" w:space="0"/>
              <w:bottom w:val="single" w:color="000000" w:sz="4" w:space="0"/>
            </w:tcBorders>
            <w:vAlign w:val="top"/>
          </w:tcPr>
          <w:p w14:paraId="3373FBFF">
            <w:pPr>
              <w:pStyle w:val="6"/>
              <w:spacing w:before="130"/>
              <w:ind w:left="479"/>
              <w:rPr>
                <w:sz w:val="19"/>
                <w:szCs w:val="19"/>
              </w:rPr>
            </w:pPr>
            <w:r>
              <mc:AlternateContent>
                <mc:Choice Requires="wps">
                  <w:drawing>
                    <wp:anchor distT="0" distB="0" distL="0" distR="0" simplePos="0" relativeHeight="251916288" behindDoc="1" locked="0" layoutInCell="1" allowOverlap="1">
                      <wp:simplePos x="0" y="0"/>
                      <wp:positionH relativeFrom="column">
                        <wp:posOffset>0</wp:posOffset>
                      </wp:positionH>
                      <wp:positionV relativeFrom="paragraph">
                        <wp:posOffset>-3810</wp:posOffset>
                      </wp:positionV>
                      <wp:extent cx="736600" cy="260350"/>
                      <wp:effectExtent l="0" t="0" r="0" b="0"/>
                      <wp:wrapNone/>
                      <wp:docPr id="738" name="Rect 738"/>
                      <wp:cNvGraphicFramePr/>
                      <a:graphic xmlns:a="http://schemas.openxmlformats.org/drawingml/2006/main">
                        <a:graphicData uri="http://schemas.microsoft.com/office/word/2010/wordprocessingShape">
                          <wps:wsp>
                            <wps:cNvSpPr/>
                            <wps:spPr>
                              <a:xfrm>
                                <a:off x="29" y="-4130"/>
                                <a:ext cx="736600" cy="260350"/>
                              </a:xfrm>
                              <a:prstGeom prst="rect">
                                <a:avLst/>
                              </a:prstGeom>
                              <a:solidFill>
                                <a:srgbClr val="ECEBEF"/>
                              </a:solidFill>
                              <a:ln w="0">
                                <a:noFill/>
                              </a:ln>
                            </wps:spPr>
                            <wps:style>
                              <a:lnRef idx="0">
                                <a:schemeClr val="accent1"/>
                              </a:lnRef>
                              <a:fillRef idx="0">
                                <a:schemeClr val="accent1"/>
                              </a:fillRef>
                              <a:effectRef idx="0">
                                <a:schemeClr val="accent1"/>
                              </a:effectRef>
                              <a:fontRef idx="minor">
                                <a:schemeClr val="dk1"/>
                              </a:fontRef>
                            </wps:style>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rect id="Rect 738" o:spid="_x0000_s1026" o:spt="1" style="position:absolute;left:0pt;margin-left:0pt;margin-top:-0.3pt;height:20.5pt;width:58pt;z-index:-251400192;mso-width-relative:page;mso-height-relative:page;" fillcolor="#ECEBEF" filled="t" stroked="f" coordsize="21600,21600" o:gfxdata="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">
                      <v:fill on="t" focussize="0,0"/>
                      <v:stroke on="f" weight="0pt"/>
                      <v:imagedata o:title=""/>
                      <o:lock v:ext="edit" aspectratio="f"/>
                      <v:textbox inset="0mm,0mm,0mm,0mm"/>
                    </v:rect>
                  </w:pict>
                </mc:Fallback>
              </mc:AlternateContent>
            </w:r>
            <w:r>
              <w:rPr>
                <w:spacing w:val="-6"/>
                <w:sz w:val="19"/>
                <w:szCs w:val="19"/>
              </w:rPr>
              <w:t>10</w:t>
            </w:r>
          </w:p>
        </w:tc>
        <w:tc>
          <w:tcPr>
            <w:tcW w:w="1603" w:type="dxa"/>
            <w:tcBorders>
              <w:top w:val="single" w:color="000000" w:sz="4" w:space="0"/>
              <w:bottom w:val="single" w:color="000000" w:sz="4" w:space="0"/>
            </w:tcBorders>
            <w:vAlign w:val="top"/>
          </w:tcPr>
          <w:p w14:paraId="1A2EAD25">
            <w:pPr>
              <w:pStyle w:val="6"/>
              <w:spacing w:line="387" w:lineRule="exact"/>
              <w:ind w:firstLine="313"/>
            </w:pPr>
            <w:r>
              <w:rPr>
                <w:position w:val="-9"/>
              </w:rPr>
              <w:pict>
                <v:shape id="_x0000_s1211" o:spid="_x0000_s1211" o:spt="202" type="#_x0000_t202" style="height:20.5pt;width:64.55pt;" fillcolor="#ECECED" filled="t" stroked="f" coordsize="21600,21600">
                  <v:path/>
                  <v:fill on="t" focussize="0,0"/>
                  <v:stroke on="f"/>
                  <v:imagedata o:title=""/>
                  <o:lock v:ext="edit" aspectratio="f"/>
                  <v:textbox inset="0mm,0mm,0mm,0mm">
                    <w:txbxContent>
                      <w:p w14:paraId="0ED72529">
                        <w:pPr>
                          <w:spacing w:before="136"/>
                          <w:ind w:left="550"/>
                          <w:rPr>
                            <w:rFonts w:ascii="宋体" w:hAnsi="宋体" w:eastAsia="宋体" w:cs="宋体"/>
                            <w:sz w:val="19"/>
                            <w:szCs w:val="19"/>
                          </w:rPr>
                        </w:pPr>
                        <w:r>
                          <w:rPr>
                            <w:rFonts w:ascii="宋体" w:hAnsi="宋体" w:eastAsia="宋体" w:cs="宋体"/>
                            <w:spacing w:val="-6"/>
                            <w:sz w:val="19"/>
                            <w:szCs w:val="19"/>
                          </w:rPr>
                          <w:t>18</w:t>
                        </w:r>
                      </w:p>
                    </w:txbxContent>
                  </v:textbox>
                  <w10:wrap type="none"/>
                  <w10:anchorlock/>
                </v:shape>
              </w:pict>
            </w:r>
          </w:p>
        </w:tc>
        <w:tc>
          <w:tcPr>
            <w:tcW w:w="837" w:type="dxa"/>
            <w:tcBorders>
              <w:top w:val="single" w:color="000000" w:sz="4" w:space="0"/>
              <w:bottom w:val="single" w:color="000000" w:sz="4" w:space="0"/>
            </w:tcBorders>
            <w:vAlign w:val="top"/>
          </w:tcPr>
          <w:p w14:paraId="3B82C154">
            <w:pPr>
              <w:pStyle w:val="6"/>
              <w:spacing w:before="130"/>
              <w:ind w:left="470"/>
              <w:rPr>
                <w:sz w:val="19"/>
                <w:szCs w:val="19"/>
              </w:rPr>
            </w:pPr>
            <w:r>
              <mc:AlternateContent>
                <mc:Choice Requires="wps">
                  <w:drawing>
                    <wp:anchor distT="0" distB="0" distL="0" distR="0" simplePos="0" relativeHeight="251919360" behindDoc="1" locked="0" layoutInCell="1" allowOverlap="1">
                      <wp:simplePos x="0" y="0"/>
                      <wp:positionH relativeFrom="column">
                        <wp:posOffset>635</wp:posOffset>
                      </wp:positionH>
                      <wp:positionV relativeFrom="paragraph">
                        <wp:posOffset>-3810</wp:posOffset>
                      </wp:positionV>
                      <wp:extent cx="718185" cy="260350"/>
                      <wp:effectExtent l="0" t="0" r="0" b="0"/>
                      <wp:wrapNone/>
                      <wp:docPr id="740" name="Rect 740"/>
                      <wp:cNvGraphicFramePr/>
                      <a:graphic xmlns:a="http://schemas.openxmlformats.org/drawingml/2006/main">
                        <a:graphicData uri="http://schemas.microsoft.com/office/word/2010/wordprocessingShape">
                          <wps:wsp>
                            <wps:cNvSpPr/>
                            <wps:spPr>
                              <a:xfrm>
                                <a:off x="645" y="-4130"/>
                                <a:ext cx="718184" cy="260350"/>
                              </a:xfrm>
                              <a:prstGeom prst="rect">
                                <a:avLst/>
                              </a:prstGeom>
                              <a:solidFill>
                                <a:srgbClr val="EAE8E8"/>
                              </a:solidFill>
                              <a:ln w="0">
                                <a:noFill/>
                              </a:ln>
                            </wps:spPr>
                            <wps:style>
                              <a:lnRef idx="0">
                                <a:schemeClr val="accent1"/>
                              </a:lnRef>
                              <a:fillRef idx="0">
                                <a:schemeClr val="accent1"/>
                              </a:fillRef>
                              <a:effectRef idx="0">
                                <a:schemeClr val="accent1"/>
                              </a:effectRef>
                              <a:fontRef idx="minor">
                                <a:schemeClr val="dk1"/>
                              </a:fontRef>
                            </wps:style>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rect id="Rect 740" o:spid="_x0000_s1026" o:spt="1" style="position:absolute;left:0pt;margin-left:0.05pt;margin-top:-0.3pt;height:20.5pt;width:56.55pt;z-index:-251397120;mso-width-relative:page;mso-height-relative:page;" fillcolor="#EAE8E8" filled="t" stroked="f" coordsize="21600,21600" o:gfxdata="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AAAAABkcnMvUEsBAhQAFAAAAAgA&#10;h07iQHzK1mHQAAAABQEAAA8AAAAAAAAAAQAgAAAAIgAAAGRycy9kb3ducmV2LnhtbFBLAQIUABQA&#10;AAAIAIdO4kA+wrhRMQIAAGsEAAAOAAAAAAAAAAEAIAAAAB8BAABkcnMvZTJvRG9jLnhtbFBLBQYA&#10;AAAABgAGAFkBAADCBQAAAAA=&#10;">
                      <v:fill on="t" focussize="0,0"/>
                      <v:stroke on="f" weight="0pt"/>
                      <v:imagedata o:title=""/>
                      <o:lock v:ext="edit" aspectratio="f"/>
                      <v:textbox inset="0mm,0mm,0mm,0mm"/>
                    </v:rect>
                  </w:pict>
                </mc:Fallback>
              </mc:AlternateContent>
            </w:r>
            <w:r>
              <w:rPr>
                <w:spacing w:val="-3"/>
                <w:sz w:val="19"/>
                <w:szCs w:val="19"/>
              </w:rPr>
              <w:t>73</w:t>
            </w:r>
          </w:p>
        </w:tc>
        <w:tc>
          <w:tcPr>
            <w:tcW w:w="1613" w:type="dxa"/>
            <w:tcBorders>
              <w:top w:val="single" w:color="000000" w:sz="4" w:space="0"/>
              <w:bottom w:val="single" w:color="000000" w:sz="4" w:space="0"/>
            </w:tcBorders>
            <w:vAlign w:val="top"/>
          </w:tcPr>
          <w:p w14:paraId="333362A7">
            <w:pPr>
              <w:pStyle w:val="6"/>
              <w:spacing w:line="387" w:lineRule="exact"/>
              <w:ind w:firstLine="294"/>
            </w:pPr>
            <w:r>
              <w:rPr>
                <w:position w:val="-9"/>
              </w:rPr>
              <w:pict>
                <v:shape id="_x0000_s1212" o:spid="_x0000_s1212" o:spt="202" type="#_x0000_t202" style="height:20.5pt;width:66pt;" fillcolor="#E7E4E3" filled="t" stroked="f" coordsize="21600,21600">
                  <v:path/>
                  <v:fill on="t" focussize="0,0"/>
                  <v:stroke on="f"/>
                  <v:imagedata o:title=""/>
                  <o:lock v:ext="edit" aspectratio="f"/>
                  <v:textbox inset="0mm,0mm,0mm,0mm">
                    <w:txbxContent>
                      <w:p w14:paraId="53FA62FB">
                        <w:pPr>
                          <w:spacing w:before="136"/>
                          <w:ind w:left="509"/>
                          <w:rPr>
                            <w:rFonts w:ascii="宋体" w:hAnsi="宋体" w:eastAsia="宋体" w:cs="宋体"/>
                            <w:sz w:val="19"/>
                            <w:szCs w:val="19"/>
                          </w:rPr>
                        </w:pPr>
                        <w:r>
                          <w:rPr>
                            <w:rFonts w:ascii="宋体" w:hAnsi="宋体" w:eastAsia="宋体" w:cs="宋体"/>
                            <w:spacing w:val="-5"/>
                            <w:sz w:val="19"/>
                            <w:szCs w:val="19"/>
                          </w:rPr>
                          <w:t>197</w:t>
                        </w:r>
                      </w:p>
                    </w:txbxContent>
                  </v:textbox>
                  <w10:wrap type="none"/>
                  <w10:anchorlock/>
                </v:shape>
              </w:pict>
            </w:r>
          </w:p>
        </w:tc>
        <w:tc>
          <w:tcPr>
            <w:tcW w:w="2490" w:type="dxa"/>
            <w:tcBorders>
              <w:top w:val="single" w:color="000000" w:sz="4" w:space="0"/>
              <w:bottom w:val="single" w:color="000000" w:sz="4" w:space="0"/>
            </w:tcBorders>
            <w:shd w:val="clear" w:color="auto" w:fill="DFDBD9"/>
            <w:vAlign w:val="top"/>
          </w:tcPr>
          <w:p w14:paraId="29FEF4EE">
            <w:pPr>
              <w:pStyle w:val="6"/>
              <w:spacing w:before="114" w:line="222" w:lineRule="auto"/>
              <w:ind w:left="481"/>
              <w:rPr>
                <w:sz w:val="19"/>
                <w:szCs w:val="19"/>
              </w:rPr>
            </w:pPr>
            <w:r>
              <w:rPr>
                <w:spacing w:val="-2"/>
                <w:sz w:val="19"/>
                <w:szCs w:val="19"/>
              </w:rPr>
              <w:t>1.50(0.66～3.40)</w:t>
            </w:r>
          </w:p>
        </w:tc>
      </w:tr>
      <w:tr w14:paraId="5F11CBB9">
        <w:trPr>
          <w:trHeight w:val="398" w:hRule="atLeast"/>
        </w:trPr>
        <w:tc>
          <w:tcPr>
            <w:tcW w:w="1670" w:type="dxa"/>
            <w:tcBorders>
              <w:top w:val="single" w:color="000000" w:sz="4" w:space="0"/>
              <w:bottom w:val="single" w:color="000000" w:sz="4" w:space="0"/>
            </w:tcBorders>
            <w:vAlign w:val="top"/>
          </w:tcPr>
          <w:p w14:paraId="56B40CCE">
            <w:pPr>
              <w:pStyle w:val="6"/>
              <w:spacing w:before="113" w:line="219" w:lineRule="auto"/>
              <w:ind w:left="240"/>
              <w:rPr>
                <w:sz w:val="19"/>
                <w:szCs w:val="19"/>
              </w:rPr>
            </w:pPr>
            <w:r>
              <w:rPr>
                <w:spacing w:val="-2"/>
                <w:sz w:val="19"/>
                <w:szCs w:val="19"/>
              </w:rPr>
              <w:t>酸辣包菜</w:t>
            </w:r>
          </w:p>
        </w:tc>
        <w:tc>
          <w:tcPr>
            <w:tcW w:w="846" w:type="dxa"/>
            <w:tcBorders>
              <w:top w:val="single" w:color="000000" w:sz="4" w:space="0"/>
              <w:bottom w:val="single" w:color="000000" w:sz="4" w:space="0"/>
            </w:tcBorders>
            <w:vAlign w:val="top"/>
          </w:tcPr>
          <w:p w14:paraId="41BBBCF8">
            <w:pPr>
              <w:pStyle w:val="6"/>
              <w:spacing w:before="132"/>
              <w:ind w:left="529"/>
              <w:rPr>
                <w:sz w:val="19"/>
                <w:szCs w:val="19"/>
              </w:rPr>
            </w:pPr>
            <w:r>
              <w:rPr>
                <w:sz w:val="19"/>
                <w:szCs w:val="19"/>
              </w:rPr>
              <w:t>6</w:t>
            </w:r>
          </w:p>
        </w:tc>
        <w:tc>
          <w:tcPr>
            <w:tcW w:w="1603" w:type="dxa"/>
            <w:tcBorders>
              <w:top w:val="single" w:color="000000" w:sz="4" w:space="0"/>
              <w:bottom w:val="single" w:color="000000" w:sz="4" w:space="0"/>
            </w:tcBorders>
            <w:vAlign w:val="top"/>
          </w:tcPr>
          <w:p w14:paraId="5D12F8D2">
            <w:pPr>
              <w:pStyle w:val="6"/>
              <w:spacing w:before="132" w:line="241" w:lineRule="auto"/>
              <w:ind w:left="863"/>
              <w:rPr>
                <w:sz w:val="19"/>
                <w:szCs w:val="19"/>
              </w:rPr>
            </w:pPr>
            <w:r>
              <w:rPr>
                <w:spacing w:val="-3"/>
                <w:sz w:val="19"/>
                <w:szCs w:val="19"/>
              </w:rPr>
              <w:t>22</w:t>
            </w:r>
          </w:p>
        </w:tc>
        <w:tc>
          <w:tcPr>
            <w:tcW w:w="837" w:type="dxa"/>
            <w:tcBorders>
              <w:top w:val="single" w:color="000000" w:sz="4" w:space="0"/>
              <w:bottom w:val="single" w:color="000000" w:sz="4" w:space="0"/>
            </w:tcBorders>
            <w:vAlign w:val="top"/>
          </w:tcPr>
          <w:p w14:paraId="06D17331">
            <w:pPr>
              <w:pStyle w:val="6"/>
              <w:spacing w:before="132"/>
              <w:ind w:left="470"/>
              <w:rPr>
                <w:sz w:val="19"/>
                <w:szCs w:val="19"/>
              </w:rPr>
            </w:pPr>
            <w:r>
              <w:rPr>
                <w:spacing w:val="-3"/>
                <w:sz w:val="19"/>
                <w:szCs w:val="19"/>
              </w:rPr>
              <w:t>90</w:t>
            </w:r>
          </w:p>
        </w:tc>
        <w:tc>
          <w:tcPr>
            <w:tcW w:w="1613" w:type="dxa"/>
            <w:tcBorders>
              <w:top w:val="single" w:color="000000" w:sz="4" w:space="0"/>
              <w:bottom w:val="single" w:color="000000" w:sz="4" w:space="0"/>
            </w:tcBorders>
            <w:vAlign w:val="top"/>
          </w:tcPr>
          <w:p w14:paraId="1E7E15DE">
            <w:pPr>
              <w:pStyle w:val="6"/>
              <w:spacing w:before="132"/>
              <w:ind w:left="803"/>
              <w:rPr>
                <w:sz w:val="19"/>
                <w:szCs w:val="19"/>
              </w:rPr>
            </w:pPr>
            <w:r>
              <w:rPr>
                <w:spacing w:val="-5"/>
                <w:sz w:val="19"/>
                <w:szCs w:val="19"/>
              </w:rPr>
              <w:t>180</w:t>
            </w:r>
          </w:p>
        </w:tc>
        <w:tc>
          <w:tcPr>
            <w:tcW w:w="2490" w:type="dxa"/>
            <w:tcBorders>
              <w:top w:val="single" w:color="000000" w:sz="4" w:space="0"/>
              <w:bottom w:val="single" w:color="000000" w:sz="4" w:space="0"/>
            </w:tcBorders>
            <w:vAlign w:val="top"/>
          </w:tcPr>
          <w:p w14:paraId="0417BE0B">
            <w:pPr>
              <w:pStyle w:val="6"/>
              <w:spacing w:before="116" w:line="222" w:lineRule="auto"/>
              <w:ind w:left="481"/>
              <w:rPr>
                <w:sz w:val="19"/>
                <w:szCs w:val="19"/>
              </w:rPr>
            </w:pPr>
            <w:r>
              <w:rPr>
                <w:spacing w:val="-1"/>
                <w:sz w:val="19"/>
                <w:szCs w:val="19"/>
              </w:rPr>
              <w:t>0.55(0.21～1.39)</w:t>
            </w:r>
          </w:p>
        </w:tc>
      </w:tr>
      <w:tr w14:paraId="3F1B27AA">
        <w:trPr>
          <w:trHeight w:val="388" w:hRule="atLeast"/>
        </w:trPr>
        <w:tc>
          <w:tcPr>
            <w:tcW w:w="1670" w:type="dxa"/>
            <w:tcBorders>
              <w:top w:val="single" w:color="000000" w:sz="4" w:space="0"/>
              <w:bottom w:val="single" w:color="000000" w:sz="4" w:space="0"/>
            </w:tcBorders>
            <w:shd w:val="clear" w:color="auto" w:fill="E8E7EC"/>
            <w:vAlign w:val="top"/>
          </w:tcPr>
          <w:p w14:paraId="093353EC">
            <w:pPr>
              <w:pStyle w:val="6"/>
              <w:spacing w:before="104" w:line="219" w:lineRule="auto"/>
              <w:ind w:left="240"/>
              <w:rPr>
                <w:sz w:val="19"/>
                <w:szCs w:val="19"/>
              </w:rPr>
            </w:pPr>
            <w:r>
              <w:rPr>
                <w:spacing w:val="4"/>
                <w:sz w:val="19"/>
                <w:szCs w:val="19"/>
              </w:rPr>
              <w:t>青椒卤肉</w:t>
            </w:r>
          </w:p>
        </w:tc>
        <w:tc>
          <w:tcPr>
            <w:tcW w:w="846" w:type="dxa"/>
            <w:tcBorders>
              <w:top w:val="single" w:color="000000" w:sz="4" w:space="0"/>
              <w:bottom w:val="single" w:color="000000" w:sz="4" w:space="0"/>
            </w:tcBorders>
            <w:vAlign w:val="top"/>
          </w:tcPr>
          <w:p w14:paraId="4F7BF821">
            <w:pPr>
              <w:pStyle w:val="6"/>
              <w:spacing w:before="124" w:line="241" w:lineRule="auto"/>
              <w:ind w:left="529"/>
              <w:rPr>
                <w:sz w:val="19"/>
                <w:szCs w:val="19"/>
              </w:rPr>
            </w:pPr>
            <w:r>
              <mc:AlternateContent>
                <mc:Choice Requires="wps">
                  <w:drawing>
                    <wp:anchor distT="0" distB="0" distL="0" distR="0" simplePos="0" relativeHeight="251918336" behindDoc="1" locked="0" layoutInCell="1" allowOverlap="1">
                      <wp:simplePos x="0" y="0"/>
                      <wp:positionH relativeFrom="column">
                        <wp:posOffset>0</wp:posOffset>
                      </wp:positionH>
                      <wp:positionV relativeFrom="paragraph">
                        <wp:posOffset>-1270</wp:posOffset>
                      </wp:positionV>
                      <wp:extent cx="736600" cy="254000"/>
                      <wp:effectExtent l="0" t="0" r="0" b="0"/>
                      <wp:wrapNone/>
                      <wp:docPr id="742" name="Rect 742"/>
                      <wp:cNvGraphicFramePr/>
                      <a:graphic xmlns:a="http://schemas.openxmlformats.org/drawingml/2006/main">
                        <a:graphicData uri="http://schemas.microsoft.com/office/word/2010/wordprocessingShape">
                          <wps:wsp>
                            <wps:cNvSpPr/>
                            <wps:spPr>
                              <a:xfrm>
                                <a:off x="29" y="-1317"/>
                                <a:ext cx="736600" cy="254000"/>
                              </a:xfrm>
                              <a:prstGeom prst="rect">
                                <a:avLst/>
                              </a:prstGeom>
                              <a:solidFill>
                                <a:srgbClr val="ECEBEF"/>
                              </a:solidFill>
                              <a:ln w="0">
                                <a:noFill/>
                              </a:ln>
                            </wps:spPr>
                            <wps:style>
                              <a:lnRef idx="0">
                                <a:schemeClr val="accent1"/>
                              </a:lnRef>
                              <a:fillRef idx="0">
                                <a:schemeClr val="accent1"/>
                              </a:fillRef>
                              <a:effectRef idx="0">
                                <a:schemeClr val="accent1"/>
                              </a:effectRef>
                              <a:fontRef idx="minor">
                                <a:schemeClr val="dk1"/>
                              </a:fontRef>
                            </wps:style>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rect id="Rect 742" o:spid="_x0000_s1026" o:spt="1" style="position:absolute;left:0pt;margin-left:0pt;margin-top:-0.1pt;height:20pt;width:58pt;z-index:-251398144;mso-width-relative:page;mso-height-relative:page;" fillcolor="#ECEBEF" filled="t" stroked="f" coordsize="21600,21600" o:gfxdata="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AAAAABkcnMvUEsBAhQAFAAA&#10;AAgAh07iQE3ih7XVAAAABQEAAA8AAAAAAAAAAQAgAAAAIgAAAGRycy9kb3ducmV2LnhtbFBLAQIU&#10;ABQAAAAIAIdO4kCbCg5HLwIAAGoEAAAOAAAAAAAAAAEAIAAAACQBAABkcnMvZTJvRG9jLnhtbFBL&#10;BQYAAAAABgAGAFkBAADFBQAAAAA=&#10;">
                      <v:fill on="t" focussize="0,0"/>
                      <v:stroke on="f" weight="0pt"/>
                      <v:imagedata o:title=""/>
                      <o:lock v:ext="edit" aspectratio="f"/>
                      <v:textbox inset="0mm,0mm,0mm,0mm"/>
                    </v:rect>
                  </w:pict>
                </mc:Fallback>
              </mc:AlternateContent>
            </w:r>
            <w:r>
              <w:rPr>
                <w:sz w:val="19"/>
                <w:szCs w:val="19"/>
              </w:rPr>
              <w:t>2</w:t>
            </w:r>
          </w:p>
        </w:tc>
        <w:tc>
          <w:tcPr>
            <w:tcW w:w="1603" w:type="dxa"/>
            <w:tcBorders>
              <w:top w:val="single" w:color="000000" w:sz="4" w:space="0"/>
              <w:bottom w:val="single" w:color="000000" w:sz="4" w:space="0"/>
            </w:tcBorders>
            <w:vAlign w:val="top"/>
          </w:tcPr>
          <w:p w14:paraId="42964488">
            <w:pPr>
              <w:pStyle w:val="6"/>
              <w:spacing w:line="377" w:lineRule="exact"/>
              <w:ind w:firstLine="313"/>
            </w:pPr>
            <w:r>
              <w:rPr>
                <w:position w:val="-9"/>
              </w:rPr>
              <w:pict>
                <v:shape id="_x0000_s1213" o:spid="_x0000_s1213" o:spt="202" type="#_x0000_t202" style="height:20pt;width:64.55pt;" fillcolor="#ECECED" filled="t" stroked="f" coordsize="21600,21600">
                  <v:path/>
                  <v:fill on="t" focussize="0,0"/>
                  <v:stroke on="f"/>
                  <v:imagedata o:title=""/>
                  <o:lock v:ext="edit" aspectratio="f"/>
                  <v:textbox inset="0mm,0mm,0mm,0mm">
                    <w:txbxContent>
                      <w:p w14:paraId="348913B0">
                        <w:pPr>
                          <w:spacing w:before="126"/>
                          <w:ind w:left="550"/>
                          <w:rPr>
                            <w:rFonts w:ascii="宋体" w:hAnsi="宋体" w:eastAsia="宋体" w:cs="宋体"/>
                            <w:sz w:val="19"/>
                            <w:szCs w:val="19"/>
                          </w:rPr>
                        </w:pPr>
                        <w:r>
                          <w:rPr>
                            <w:rFonts w:ascii="宋体" w:hAnsi="宋体" w:eastAsia="宋体" w:cs="宋体"/>
                            <w:spacing w:val="-3"/>
                            <w:sz w:val="19"/>
                            <w:szCs w:val="19"/>
                          </w:rPr>
                          <w:t>26</w:t>
                        </w:r>
                      </w:p>
                    </w:txbxContent>
                  </v:textbox>
                  <w10:wrap type="none"/>
                  <w10:anchorlock/>
                </v:shape>
              </w:pict>
            </w:r>
          </w:p>
        </w:tc>
        <w:tc>
          <w:tcPr>
            <w:tcW w:w="837" w:type="dxa"/>
            <w:tcBorders>
              <w:top w:val="single" w:color="000000" w:sz="4" w:space="0"/>
              <w:bottom w:val="single" w:color="000000" w:sz="4" w:space="0"/>
            </w:tcBorders>
            <w:vAlign w:val="top"/>
          </w:tcPr>
          <w:p w14:paraId="188F0899">
            <w:pPr>
              <w:pStyle w:val="6"/>
              <w:spacing w:before="124"/>
              <w:ind w:left="470"/>
              <w:rPr>
                <w:sz w:val="19"/>
                <w:szCs w:val="19"/>
              </w:rPr>
            </w:pPr>
            <w:r>
              <mc:AlternateContent>
                <mc:Choice Requires="wps">
                  <w:drawing>
                    <wp:anchor distT="0" distB="0" distL="0" distR="0" simplePos="0" relativeHeight="251917312" behindDoc="1" locked="0" layoutInCell="1" allowOverlap="1">
                      <wp:simplePos x="0" y="0"/>
                      <wp:positionH relativeFrom="column">
                        <wp:posOffset>635</wp:posOffset>
                      </wp:positionH>
                      <wp:positionV relativeFrom="paragraph">
                        <wp:posOffset>-1270</wp:posOffset>
                      </wp:positionV>
                      <wp:extent cx="718185" cy="254000"/>
                      <wp:effectExtent l="0" t="0" r="0" b="0"/>
                      <wp:wrapNone/>
                      <wp:docPr id="744" name="Rect 744"/>
                      <wp:cNvGraphicFramePr/>
                      <a:graphic xmlns:a="http://schemas.openxmlformats.org/drawingml/2006/main">
                        <a:graphicData uri="http://schemas.microsoft.com/office/word/2010/wordprocessingShape">
                          <wps:wsp>
                            <wps:cNvSpPr/>
                            <wps:spPr>
                              <a:xfrm>
                                <a:off x="645" y="-1606"/>
                                <a:ext cx="718184" cy="254000"/>
                              </a:xfrm>
                              <a:prstGeom prst="rect">
                                <a:avLst/>
                              </a:prstGeom>
                              <a:solidFill>
                                <a:srgbClr val="EDECEC"/>
                              </a:solidFill>
                              <a:ln w="0">
                                <a:noFill/>
                              </a:ln>
                            </wps:spPr>
                            <wps:style>
                              <a:lnRef idx="0">
                                <a:schemeClr val="accent1"/>
                              </a:lnRef>
                              <a:fillRef idx="0">
                                <a:schemeClr val="accent1"/>
                              </a:fillRef>
                              <a:effectRef idx="0">
                                <a:schemeClr val="accent1"/>
                              </a:effectRef>
                              <a:fontRef idx="minor">
                                <a:schemeClr val="dk1"/>
                              </a:fontRef>
                            </wps:style>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rect id="Rect 744" o:spid="_x0000_s1026" o:spt="1" style="position:absolute;left:0pt;margin-left:0.05pt;margin-top:-0.1pt;height:20pt;width:56.55pt;z-index:-251399168;mso-width-relative:page;mso-height-relative:page;" fillcolor="#EDECEC" filled="t" stroked="f" coordsize="21600,21600" o:gfxdata="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jAiW1dIAAAAFAQAADwAAAAAAAAABACAAAAAiAAAAZHJzL2Rvd25yZXYueG1sUEsBAhQA&#10;FAAAAAgAh07iQJor6lUxAgAAawQAAA4AAAAAAAAAAQAgAAAAIQEAAGRycy9lMm9Eb2MueG1sUEsF&#10;BgAAAAAGAAYAWQEAAMQFAAAAAA==&#10;">
                      <v:fill on="t" focussize="0,0"/>
                      <v:stroke on="f" weight="0pt"/>
                      <v:imagedata o:title=""/>
                      <o:lock v:ext="edit" aspectratio="f"/>
                      <v:textbox inset="0mm,0mm,0mm,0mm"/>
                    </v:rect>
                  </w:pict>
                </mc:Fallback>
              </mc:AlternateContent>
            </w:r>
            <w:r>
              <w:rPr>
                <w:spacing w:val="-3"/>
                <w:sz w:val="19"/>
                <w:szCs w:val="19"/>
              </w:rPr>
              <w:t>93</w:t>
            </w:r>
          </w:p>
        </w:tc>
        <w:tc>
          <w:tcPr>
            <w:tcW w:w="1613" w:type="dxa"/>
            <w:tcBorders>
              <w:top w:val="single" w:color="000000" w:sz="4" w:space="0"/>
              <w:bottom w:val="single" w:color="000000" w:sz="4" w:space="0"/>
            </w:tcBorders>
            <w:vAlign w:val="top"/>
          </w:tcPr>
          <w:p w14:paraId="3B51B841">
            <w:pPr>
              <w:pStyle w:val="6"/>
              <w:spacing w:before="124"/>
              <w:ind w:left="803"/>
              <w:rPr>
                <w:sz w:val="19"/>
                <w:szCs w:val="19"/>
              </w:rPr>
            </w:pPr>
            <w:r>
              <w:rPr>
                <w:spacing w:val="-5"/>
                <w:sz w:val="19"/>
                <w:szCs w:val="19"/>
              </w:rPr>
              <w:t>177</w:t>
            </w:r>
          </w:p>
        </w:tc>
        <w:tc>
          <w:tcPr>
            <w:tcW w:w="2490" w:type="dxa"/>
            <w:tcBorders>
              <w:top w:val="single" w:color="000000" w:sz="4" w:space="0"/>
              <w:bottom w:val="single" w:color="000000" w:sz="4" w:space="0"/>
            </w:tcBorders>
            <w:shd w:val="clear" w:color="auto" w:fill="DEDBDA"/>
            <w:vAlign w:val="top"/>
          </w:tcPr>
          <w:p w14:paraId="62501B5E">
            <w:pPr>
              <w:pStyle w:val="6"/>
              <w:spacing w:before="108" w:line="222" w:lineRule="auto"/>
              <w:ind w:left="481"/>
              <w:rPr>
                <w:sz w:val="19"/>
                <w:szCs w:val="19"/>
              </w:rPr>
            </w:pPr>
            <w:r>
              <w:rPr>
                <w:spacing w:val="-1"/>
                <w:sz w:val="19"/>
                <w:szCs w:val="19"/>
              </w:rPr>
              <w:t>0.15(0.03～0.63)</w:t>
            </w:r>
          </w:p>
        </w:tc>
      </w:tr>
      <w:tr w14:paraId="6A842029">
        <w:trPr>
          <w:trHeight w:val="384" w:hRule="atLeast"/>
        </w:trPr>
        <w:tc>
          <w:tcPr>
            <w:tcW w:w="1670" w:type="dxa"/>
            <w:tcBorders>
              <w:top w:val="single" w:color="000000" w:sz="4" w:space="0"/>
              <w:bottom w:val="single" w:color="000000" w:sz="4" w:space="0"/>
            </w:tcBorders>
            <w:vAlign w:val="top"/>
          </w:tcPr>
          <w:p w14:paraId="3B4B2B54">
            <w:pPr>
              <w:pStyle w:val="6"/>
              <w:spacing w:before="108" w:line="220" w:lineRule="auto"/>
              <w:ind w:left="240"/>
              <w:rPr>
                <w:sz w:val="19"/>
                <w:szCs w:val="19"/>
              </w:rPr>
            </w:pPr>
            <w:r>
              <w:rPr>
                <w:spacing w:val="-2"/>
                <w:sz w:val="19"/>
                <w:szCs w:val="19"/>
              </w:rPr>
              <w:t>豆椒白鲢鱼块</w:t>
            </w:r>
          </w:p>
        </w:tc>
        <w:tc>
          <w:tcPr>
            <w:tcW w:w="846" w:type="dxa"/>
            <w:tcBorders>
              <w:top w:val="single" w:color="000000" w:sz="4" w:space="0"/>
              <w:bottom w:val="single" w:color="000000" w:sz="4" w:space="0"/>
            </w:tcBorders>
            <w:vAlign w:val="top"/>
          </w:tcPr>
          <w:p w14:paraId="5E8C70FC">
            <w:pPr>
              <w:pStyle w:val="6"/>
              <w:spacing w:before="126"/>
              <w:ind w:left="529"/>
              <w:rPr>
                <w:sz w:val="19"/>
                <w:szCs w:val="19"/>
              </w:rPr>
            </w:pPr>
            <w:r>
              <w:rPr>
                <w:sz w:val="19"/>
                <w:szCs w:val="19"/>
              </w:rPr>
              <w:t>7</w:t>
            </w:r>
          </w:p>
        </w:tc>
        <w:tc>
          <w:tcPr>
            <w:tcW w:w="1603" w:type="dxa"/>
            <w:tcBorders>
              <w:top w:val="single" w:color="000000" w:sz="4" w:space="0"/>
              <w:bottom w:val="single" w:color="000000" w:sz="4" w:space="0"/>
            </w:tcBorders>
            <w:vAlign w:val="top"/>
          </w:tcPr>
          <w:p w14:paraId="3B625BB8">
            <w:pPr>
              <w:pStyle w:val="6"/>
              <w:spacing w:before="127"/>
              <w:ind w:left="863"/>
              <w:rPr>
                <w:sz w:val="19"/>
                <w:szCs w:val="19"/>
              </w:rPr>
            </w:pPr>
            <w:r>
              <w:rPr>
                <w:spacing w:val="-3"/>
                <w:sz w:val="19"/>
                <w:szCs w:val="19"/>
              </w:rPr>
              <w:t>21</w:t>
            </w:r>
          </w:p>
        </w:tc>
        <w:tc>
          <w:tcPr>
            <w:tcW w:w="837" w:type="dxa"/>
            <w:tcBorders>
              <w:top w:val="single" w:color="000000" w:sz="4" w:space="0"/>
              <w:bottom w:val="single" w:color="000000" w:sz="4" w:space="0"/>
            </w:tcBorders>
            <w:vAlign w:val="top"/>
          </w:tcPr>
          <w:p w14:paraId="4EA0C070">
            <w:pPr>
              <w:pStyle w:val="6"/>
              <w:spacing w:before="126"/>
              <w:ind w:left="470"/>
              <w:rPr>
                <w:sz w:val="19"/>
                <w:szCs w:val="19"/>
              </w:rPr>
            </w:pPr>
            <w:r>
              <w:rPr>
                <w:spacing w:val="-2"/>
                <w:sz w:val="19"/>
                <w:szCs w:val="19"/>
              </w:rPr>
              <w:t>48</w:t>
            </w:r>
          </w:p>
        </w:tc>
        <w:tc>
          <w:tcPr>
            <w:tcW w:w="1613" w:type="dxa"/>
            <w:tcBorders>
              <w:top w:val="single" w:color="000000" w:sz="4" w:space="0"/>
              <w:bottom w:val="single" w:color="000000" w:sz="4" w:space="0"/>
            </w:tcBorders>
            <w:vAlign w:val="top"/>
          </w:tcPr>
          <w:p w14:paraId="08EED3C0">
            <w:pPr>
              <w:pStyle w:val="6"/>
              <w:spacing w:before="126"/>
              <w:ind w:left="803"/>
              <w:rPr>
                <w:sz w:val="19"/>
                <w:szCs w:val="19"/>
              </w:rPr>
            </w:pPr>
            <w:r>
              <w:rPr>
                <w:spacing w:val="-3"/>
                <w:sz w:val="19"/>
                <w:szCs w:val="19"/>
              </w:rPr>
              <w:t>232</w:t>
            </w:r>
          </w:p>
        </w:tc>
        <w:tc>
          <w:tcPr>
            <w:tcW w:w="2490" w:type="dxa"/>
            <w:tcBorders>
              <w:top w:val="single" w:color="000000" w:sz="4" w:space="0"/>
              <w:bottom w:val="single" w:color="000000" w:sz="4" w:space="0"/>
            </w:tcBorders>
            <w:vAlign w:val="top"/>
          </w:tcPr>
          <w:p w14:paraId="5074F74C">
            <w:pPr>
              <w:pStyle w:val="6"/>
              <w:spacing w:before="110" w:line="222" w:lineRule="auto"/>
              <w:ind w:left="481"/>
              <w:rPr>
                <w:sz w:val="19"/>
                <w:szCs w:val="19"/>
              </w:rPr>
            </w:pPr>
            <w:r>
              <w:rPr>
                <w:spacing w:val="-2"/>
                <w:sz w:val="19"/>
                <w:szCs w:val="19"/>
              </w:rPr>
              <w:t>1.61(0.65～4.00)</w:t>
            </w:r>
          </w:p>
        </w:tc>
      </w:tr>
    </w:tbl>
    <w:p w14:paraId="00DC4BF4">
      <w:pPr>
        <w:spacing w:before="64" w:line="221" w:lineRule="auto"/>
        <w:ind w:left="7960"/>
        <w:rPr>
          <w:rFonts w:ascii="宋体" w:hAnsi="宋体" w:eastAsia="宋体" w:cs="宋体"/>
          <w:sz w:val="19"/>
          <w:szCs w:val="19"/>
        </w:rPr>
      </w:pPr>
      <w:r>
        <w:rPr>
          <w:rFonts w:ascii="宋体" w:hAnsi="宋体" w:eastAsia="宋体" w:cs="宋体"/>
          <w:spacing w:val="4"/>
          <w:sz w:val="19"/>
          <w:szCs w:val="19"/>
        </w:rPr>
        <w:t>(缪国忠，2015)</w:t>
      </w:r>
    </w:p>
    <w:p w14:paraId="7BB10691">
      <w:pPr>
        <w:spacing w:line="271" w:lineRule="auto"/>
        <w:rPr>
          <w:rFonts w:ascii="Arial"/>
          <w:sz w:val="21"/>
        </w:rPr>
      </w:pPr>
    </w:p>
    <w:p w14:paraId="6D98E146">
      <w:pPr>
        <w:pStyle w:val="2"/>
        <w:spacing w:before="78" w:line="221" w:lineRule="auto"/>
        <w:ind w:left="1180"/>
        <w:rPr>
          <w:sz w:val="24"/>
          <w:szCs w:val="24"/>
        </w:rPr>
      </w:pPr>
      <w:r>
        <w:rPr>
          <w:spacing w:val="-6"/>
          <w:sz w:val="24"/>
          <w:szCs w:val="24"/>
        </w:rPr>
        <w:t>(八)完善现场调查</w:t>
      </w:r>
    </w:p>
    <w:p w14:paraId="089E14EF">
      <w:pPr>
        <w:spacing w:before="95" w:line="339" w:lineRule="auto"/>
        <w:ind w:left="740" w:right="91" w:firstLine="439"/>
        <w:jc w:val="both"/>
        <w:rPr>
          <w:rFonts w:ascii="宋体" w:hAnsi="宋体" w:eastAsia="宋体" w:cs="宋体"/>
          <w:sz w:val="20"/>
          <w:szCs w:val="20"/>
        </w:rPr>
      </w:pPr>
      <w:r>
        <w:rPr>
          <w:rFonts w:ascii="宋体" w:hAnsi="宋体" w:eastAsia="宋体" w:cs="宋体"/>
          <w:spacing w:val="11"/>
          <w:sz w:val="20"/>
          <w:szCs w:val="20"/>
        </w:rPr>
        <w:t>为了使现场调查更加完善，需进行更加详细的调查，用多种方</w:t>
      </w:r>
      <w:r>
        <w:rPr>
          <w:rFonts w:ascii="宋体" w:hAnsi="宋体" w:eastAsia="宋体" w:cs="宋体"/>
          <w:spacing w:val="10"/>
          <w:sz w:val="20"/>
          <w:szCs w:val="20"/>
        </w:rPr>
        <w:t>法调查高危人群，以期发现更多</w:t>
      </w:r>
      <w:r>
        <w:rPr>
          <w:rFonts w:ascii="宋体" w:hAnsi="宋体" w:eastAsia="宋体" w:cs="宋体"/>
          <w:sz w:val="20"/>
          <w:szCs w:val="20"/>
        </w:rPr>
        <w:t xml:space="preserve"> </w:t>
      </w:r>
      <w:r>
        <w:rPr>
          <w:rFonts w:ascii="宋体" w:hAnsi="宋体" w:eastAsia="宋体" w:cs="宋体"/>
          <w:spacing w:val="6"/>
          <w:sz w:val="20"/>
          <w:szCs w:val="20"/>
        </w:rPr>
        <w:t>的病例，并力求发现准确、真实的受累人群。对于新发或不明原因疾病，要进一步了解其自然史、病</w:t>
      </w:r>
      <w:r>
        <w:rPr>
          <w:rFonts w:ascii="宋体" w:hAnsi="宋体" w:eastAsia="宋体" w:cs="宋体"/>
          <w:spacing w:val="9"/>
          <w:sz w:val="20"/>
          <w:szCs w:val="20"/>
        </w:rPr>
        <w:t xml:space="preserve"> 原学/来源和传播模式；对于已知疾病，要掌握其更</w:t>
      </w:r>
      <w:r>
        <w:rPr>
          <w:rFonts w:ascii="宋体" w:hAnsi="宋体" w:eastAsia="宋体" w:cs="宋体"/>
          <w:spacing w:val="8"/>
          <w:sz w:val="20"/>
          <w:szCs w:val="20"/>
        </w:rPr>
        <w:t>多的特征，如分析危险因素、评价诊断方法、测</w:t>
      </w:r>
      <w:r>
        <w:rPr>
          <w:rFonts w:ascii="宋体" w:hAnsi="宋体" w:eastAsia="宋体" w:cs="宋体"/>
          <w:sz w:val="20"/>
          <w:szCs w:val="20"/>
        </w:rPr>
        <w:t xml:space="preserve"> </w:t>
      </w:r>
      <w:r>
        <w:rPr>
          <w:rFonts w:ascii="宋体" w:hAnsi="宋体" w:eastAsia="宋体" w:cs="宋体"/>
          <w:spacing w:val="8"/>
          <w:sz w:val="20"/>
          <w:szCs w:val="20"/>
        </w:rPr>
        <w:t>量控制措施的效果等。</w:t>
      </w:r>
    </w:p>
    <w:p w14:paraId="537E85DC">
      <w:pPr>
        <w:pStyle w:val="2"/>
        <w:spacing w:before="1" w:line="221" w:lineRule="auto"/>
        <w:ind w:left="1180"/>
        <w:rPr>
          <w:sz w:val="24"/>
          <w:szCs w:val="24"/>
        </w:rPr>
      </w:pPr>
      <w:r>
        <w:rPr>
          <w:spacing w:val="-2"/>
          <w:sz w:val="24"/>
          <w:szCs w:val="24"/>
        </w:rPr>
        <w:t>(九)实施控制措施</w:t>
      </w:r>
    </w:p>
    <w:p w14:paraId="3B738F1C">
      <w:pPr>
        <w:spacing w:before="132" w:line="333" w:lineRule="auto"/>
        <w:ind w:left="740" w:right="70" w:firstLine="439"/>
        <w:jc w:val="both"/>
        <w:rPr>
          <w:rFonts w:ascii="宋体" w:hAnsi="宋体" w:eastAsia="宋体" w:cs="宋体"/>
          <w:sz w:val="20"/>
          <w:szCs w:val="20"/>
        </w:rPr>
      </w:pPr>
      <w:r>
        <w:rPr>
          <w:rFonts w:ascii="宋体" w:hAnsi="宋体" w:eastAsia="宋体" w:cs="宋体"/>
          <w:spacing w:val="11"/>
          <w:sz w:val="20"/>
          <w:szCs w:val="20"/>
        </w:rPr>
        <w:t>现场调查的最终目的是采取防控措施，防止疾病的发生与流</w:t>
      </w:r>
      <w:r>
        <w:rPr>
          <w:rFonts w:ascii="宋体" w:hAnsi="宋体" w:eastAsia="宋体" w:cs="宋体"/>
          <w:spacing w:val="10"/>
          <w:sz w:val="20"/>
          <w:szCs w:val="20"/>
        </w:rPr>
        <w:t>行。需要特别注意的是，实施控制</w:t>
      </w:r>
      <w:r>
        <w:rPr>
          <w:rFonts w:ascii="宋体" w:hAnsi="宋体" w:eastAsia="宋体" w:cs="宋体"/>
          <w:sz w:val="20"/>
          <w:szCs w:val="20"/>
        </w:rPr>
        <w:t xml:space="preserve"> </w:t>
      </w:r>
      <w:r>
        <w:rPr>
          <w:rFonts w:ascii="宋体" w:hAnsi="宋体" w:eastAsia="宋体" w:cs="宋体"/>
          <w:spacing w:val="11"/>
          <w:sz w:val="20"/>
          <w:szCs w:val="20"/>
        </w:rPr>
        <w:t>措施应尽早开展，与现场调查应同步进行，如一旦发现甲类和按照甲类管理的传染病病人，必须隔</w:t>
      </w:r>
      <w:r>
        <w:rPr>
          <w:rFonts w:ascii="宋体" w:hAnsi="宋体" w:eastAsia="宋体" w:cs="宋体"/>
          <w:spacing w:val="1"/>
          <w:sz w:val="20"/>
          <w:szCs w:val="20"/>
        </w:rPr>
        <w:t xml:space="preserve"> </w:t>
      </w:r>
      <w:r>
        <w:rPr>
          <w:rFonts w:ascii="宋体" w:hAnsi="宋体" w:eastAsia="宋体" w:cs="宋体"/>
          <w:spacing w:val="16"/>
          <w:sz w:val="20"/>
          <w:szCs w:val="20"/>
        </w:rPr>
        <w:t>离治疗。在现场调查中一定要提出有效且可行的防制措施。根据调查结果提出有针对性的控</w:t>
      </w:r>
      <w:r>
        <w:rPr>
          <w:rFonts w:ascii="宋体" w:hAnsi="宋体" w:eastAsia="宋体" w:cs="宋体"/>
          <w:spacing w:val="15"/>
          <w:sz w:val="20"/>
          <w:szCs w:val="20"/>
        </w:rPr>
        <w:t>制措</w:t>
      </w:r>
      <w:r>
        <w:rPr>
          <w:rFonts w:ascii="宋体" w:hAnsi="宋体" w:eastAsia="宋体" w:cs="宋体"/>
          <w:sz w:val="20"/>
          <w:szCs w:val="20"/>
        </w:rPr>
        <w:t xml:space="preserve"> </w:t>
      </w:r>
      <w:r>
        <w:rPr>
          <w:rFonts w:ascii="宋体" w:hAnsi="宋体" w:eastAsia="宋体" w:cs="宋体"/>
          <w:spacing w:val="7"/>
          <w:sz w:val="20"/>
          <w:szCs w:val="20"/>
        </w:rPr>
        <w:t>施，以排除暴露源，减少人群暴露机会或防止进一步暴露，及时保护高危人群</w:t>
      </w:r>
      <w:r>
        <w:rPr>
          <w:rFonts w:ascii="宋体" w:hAnsi="宋体" w:eastAsia="宋体" w:cs="宋体"/>
          <w:spacing w:val="6"/>
          <w:sz w:val="20"/>
          <w:szCs w:val="20"/>
        </w:rPr>
        <w:t>，同时要考虑怎样防止</w:t>
      </w:r>
      <w:r>
        <w:rPr>
          <w:rFonts w:ascii="宋体" w:hAnsi="宋体" w:eastAsia="宋体" w:cs="宋体"/>
          <w:sz w:val="20"/>
          <w:szCs w:val="20"/>
        </w:rPr>
        <w:t xml:space="preserve"> </w:t>
      </w:r>
      <w:r>
        <w:rPr>
          <w:rFonts w:ascii="宋体" w:hAnsi="宋体" w:eastAsia="宋体" w:cs="宋体"/>
          <w:spacing w:val="13"/>
          <w:sz w:val="20"/>
          <w:szCs w:val="20"/>
        </w:rPr>
        <w:t>类似事件再次发生。</w:t>
      </w:r>
    </w:p>
    <w:p w14:paraId="43B1B6C4">
      <w:pPr>
        <w:pStyle w:val="2"/>
        <w:spacing w:before="5" w:line="224" w:lineRule="auto"/>
        <w:ind w:left="1183"/>
        <w:rPr>
          <w:sz w:val="24"/>
          <w:szCs w:val="24"/>
        </w:rPr>
      </w:pPr>
      <w:r>
        <w:rPr>
          <w:b/>
          <w:bCs/>
          <w:spacing w:val="-1"/>
          <w:sz w:val="24"/>
          <w:szCs w:val="24"/>
        </w:rPr>
        <w:t>(十)总结报告</w:t>
      </w:r>
    </w:p>
    <w:p w14:paraId="4FBD9798">
      <w:pPr>
        <w:spacing w:before="98" w:line="371" w:lineRule="auto"/>
        <w:ind w:left="740" w:right="68" w:firstLine="439"/>
        <w:rPr>
          <w:rFonts w:ascii="宋体" w:hAnsi="宋体" w:eastAsia="宋体" w:cs="宋体"/>
          <w:sz w:val="20"/>
          <w:szCs w:val="20"/>
        </w:rPr>
      </w:pPr>
      <w:r>
        <w:rPr>
          <w:rFonts w:ascii="宋体" w:hAnsi="宋体" w:eastAsia="宋体" w:cs="宋体"/>
          <w:spacing w:val="11"/>
          <w:sz w:val="20"/>
          <w:szCs w:val="20"/>
        </w:rPr>
        <w:t>突发公共卫生事件应急反应终止的条件是：突发公共卫生事件隐患或相关危险因素消除，或末</w:t>
      </w:r>
      <w:r>
        <w:rPr>
          <w:rFonts w:ascii="宋体" w:hAnsi="宋体" w:eastAsia="宋体" w:cs="宋体"/>
          <w:spacing w:val="9"/>
          <w:sz w:val="20"/>
          <w:szCs w:val="20"/>
        </w:rPr>
        <w:t xml:space="preserve"> </w:t>
      </w:r>
      <w:r>
        <w:rPr>
          <w:rFonts w:ascii="宋体" w:hAnsi="宋体" w:eastAsia="宋体" w:cs="宋体"/>
          <w:spacing w:val="16"/>
          <w:sz w:val="20"/>
          <w:szCs w:val="20"/>
        </w:rPr>
        <w:t>例传染病病例发生后经过最长潜伏期无新的病例出现。调查过程中和调查结束后，调查者应将调</w:t>
      </w:r>
    </w:p>
    <w:p w14:paraId="209964ED">
      <w:pPr>
        <w:spacing w:line="371" w:lineRule="auto"/>
        <w:rPr>
          <w:rFonts w:ascii="宋体" w:hAnsi="宋体" w:eastAsia="宋体" w:cs="宋体"/>
          <w:sz w:val="20"/>
          <w:szCs w:val="20"/>
        </w:rPr>
        <w:sectPr>
          <w:footerReference r:id="rId275" w:type="default"/>
          <w:pgSz w:w="11900" w:h="16820"/>
          <w:pgMar w:top="400" w:right="1319" w:bottom="829" w:left="669" w:header="0" w:footer="649" w:gutter="0"/>
          <w:cols w:space="720" w:num="1"/>
        </w:sectPr>
      </w:pPr>
    </w:p>
    <w:p w14:paraId="5F28773D">
      <w:pPr>
        <w:pStyle w:val="2"/>
        <w:spacing w:before="6" w:line="221" w:lineRule="auto"/>
        <w:ind w:left="6019"/>
        <w:rPr>
          <w:sz w:val="20"/>
          <w:szCs w:val="20"/>
        </w:rPr>
      </w:pPr>
      <w:r>
        <w:rPr>
          <w:spacing w:val="-16"/>
          <w:w w:val="97"/>
          <w:sz w:val="20"/>
          <w:szCs w:val="20"/>
        </w:rPr>
        <w:t>第十六章突发公共卫生事件流行病学</w:t>
      </w:r>
    </w:p>
    <w:p w14:paraId="554CCBB5">
      <w:pPr>
        <w:spacing w:line="286" w:lineRule="auto"/>
        <w:rPr>
          <w:rFonts w:ascii="Arial"/>
          <w:sz w:val="21"/>
        </w:rPr>
      </w:pPr>
    </w:p>
    <w:p w14:paraId="4D21200A">
      <w:pPr>
        <w:spacing w:line="286" w:lineRule="auto"/>
        <w:rPr>
          <w:rFonts w:ascii="Arial"/>
          <w:sz w:val="21"/>
        </w:rPr>
      </w:pPr>
    </w:p>
    <w:p w14:paraId="482B59FE">
      <w:pPr>
        <w:spacing w:before="65" w:line="219" w:lineRule="auto"/>
        <w:rPr>
          <w:rFonts w:ascii="宋体" w:hAnsi="宋体" w:eastAsia="宋体" w:cs="宋体"/>
          <w:sz w:val="20"/>
          <w:szCs w:val="20"/>
        </w:rPr>
      </w:pPr>
      <w:r>
        <w:rPr>
          <w:rFonts w:ascii="宋体" w:hAnsi="宋体" w:eastAsia="宋体" w:cs="宋体"/>
          <w:spacing w:val="5"/>
          <w:sz w:val="20"/>
          <w:szCs w:val="20"/>
        </w:rPr>
        <w:t>查过程整理成书面材料，报上级机关存档备案或著文发表以推广工作经验。</w:t>
      </w:r>
    </w:p>
    <w:p w14:paraId="77041E74">
      <w:pPr>
        <w:spacing w:before="119" w:line="352" w:lineRule="auto"/>
        <w:ind w:right="613" w:firstLine="419"/>
        <w:rPr>
          <w:rFonts w:ascii="宋体" w:hAnsi="宋体" w:eastAsia="宋体" w:cs="宋体"/>
          <w:sz w:val="20"/>
          <w:szCs w:val="20"/>
        </w:rPr>
      </w:pPr>
      <w:r>
        <w:rPr>
          <w:rFonts w:ascii="宋体" w:hAnsi="宋体" w:eastAsia="宋体" w:cs="宋体"/>
          <w:spacing w:val="9"/>
          <w:sz w:val="20"/>
          <w:szCs w:val="20"/>
        </w:rPr>
        <w:t>参照我国卫生部制定的《国家突发公共卫生事件相关信息报告管理工作规范(</w:t>
      </w:r>
      <w:r>
        <w:rPr>
          <w:rFonts w:ascii="宋体" w:hAnsi="宋体" w:eastAsia="宋体" w:cs="宋体"/>
          <w:spacing w:val="8"/>
          <w:sz w:val="20"/>
          <w:szCs w:val="20"/>
        </w:rPr>
        <w:t>试行)》,突发公</w:t>
      </w:r>
      <w:r>
        <w:rPr>
          <w:rFonts w:ascii="宋体" w:hAnsi="宋体" w:eastAsia="宋体" w:cs="宋体"/>
          <w:sz w:val="20"/>
          <w:szCs w:val="20"/>
        </w:rPr>
        <w:t xml:space="preserve"> </w:t>
      </w:r>
      <w:r>
        <w:rPr>
          <w:rFonts w:ascii="宋体" w:hAnsi="宋体" w:eastAsia="宋体" w:cs="宋体"/>
          <w:spacing w:val="6"/>
          <w:sz w:val="20"/>
          <w:szCs w:val="20"/>
        </w:rPr>
        <w:t>共卫生事件报告包括初次报告、进程报告和</w:t>
      </w:r>
      <w:r>
        <w:rPr>
          <w:rFonts w:ascii="宋体" w:hAnsi="宋体" w:eastAsia="宋体" w:cs="宋体"/>
          <w:spacing w:val="5"/>
          <w:sz w:val="20"/>
          <w:szCs w:val="20"/>
        </w:rPr>
        <w:t>结案报告。</w:t>
      </w:r>
    </w:p>
    <w:p w14:paraId="14F691EF">
      <w:pPr>
        <w:pStyle w:val="2"/>
        <w:spacing w:before="1" w:line="285" w:lineRule="auto"/>
        <w:ind w:right="667" w:firstLine="419"/>
        <w:rPr>
          <w:rFonts w:ascii="宋体" w:hAnsi="宋体" w:eastAsia="宋体" w:cs="宋体"/>
          <w:sz w:val="20"/>
          <w:szCs w:val="20"/>
        </w:rPr>
      </w:pPr>
      <w:r>
        <w:rPr>
          <w:rFonts w:ascii="宋体" w:hAnsi="宋体" w:eastAsia="宋体" w:cs="宋体"/>
          <w:spacing w:val="4"/>
          <w:sz w:val="20"/>
          <w:szCs w:val="20"/>
        </w:rPr>
        <w:t xml:space="preserve">1. </w:t>
      </w:r>
      <w:r>
        <w:rPr>
          <w:spacing w:val="4"/>
          <w:sz w:val="20"/>
          <w:szCs w:val="20"/>
        </w:rPr>
        <w:t>初次报告</w:t>
      </w:r>
      <w:r>
        <w:rPr>
          <w:spacing w:val="59"/>
          <w:sz w:val="20"/>
          <w:szCs w:val="20"/>
        </w:rPr>
        <w:t xml:space="preserve"> </w:t>
      </w:r>
      <w:r>
        <w:rPr>
          <w:rFonts w:ascii="宋体" w:hAnsi="宋体" w:eastAsia="宋体" w:cs="宋体"/>
          <w:spacing w:val="4"/>
          <w:sz w:val="20"/>
          <w:szCs w:val="20"/>
        </w:rPr>
        <w:t>事件的初次报告强调及时性，而不求准确和全面。主要内</w:t>
      </w:r>
      <w:r>
        <w:rPr>
          <w:rFonts w:ascii="宋体" w:hAnsi="宋体" w:eastAsia="宋体" w:cs="宋体"/>
          <w:spacing w:val="3"/>
          <w:sz w:val="20"/>
          <w:szCs w:val="20"/>
        </w:rPr>
        <w:t>容包括：事件名称、发</w:t>
      </w:r>
      <w:r>
        <w:rPr>
          <w:rFonts w:ascii="宋体" w:hAnsi="宋体" w:eastAsia="宋体" w:cs="宋体"/>
          <w:sz w:val="20"/>
          <w:szCs w:val="20"/>
        </w:rPr>
        <w:t xml:space="preserve"> </w:t>
      </w:r>
      <w:r>
        <w:rPr>
          <w:rFonts w:ascii="宋体" w:hAnsi="宋体" w:eastAsia="宋体" w:cs="宋体"/>
          <w:spacing w:val="1"/>
          <w:sz w:val="20"/>
          <w:szCs w:val="20"/>
        </w:rPr>
        <w:t>生时间、发生地点、发病和死亡人数、波及人口或潜在影响和联</w:t>
      </w:r>
      <w:r>
        <w:rPr>
          <w:rFonts w:ascii="宋体" w:hAnsi="宋体" w:eastAsia="宋体" w:cs="宋体"/>
          <w:sz w:val="20"/>
          <w:szCs w:val="20"/>
        </w:rPr>
        <w:t>系人等。</w:t>
      </w:r>
    </w:p>
    <w:p w14:paraId="61E311C9">
      <w:pPr>
        <w:pStyle w:val="2"/>
        <w:spacing w:before="141" w:line="281" w:lineRule="auto"/>
        <w:ind w:right="645" w:firstLine="419"/>
        <w:rPr>
          <w:rFonts w:ascii="宋体" w:hAnsi="宋体" w:eastAsia="宋体" w:cs="宋体"/>
          <w:sz w:val="20"/>
          <w:szCs w:val="20"/>
        </w:rPr>
      </w:pPr>
      <w:r>
        <w:rPr>
          <w:rFonts w:ascii="宋体" w:hAnsi="宋体" w:eastAsia="宋体" w:cs="宋体"/>
          <w:spacing w:val="4"/>
          <w:sz w:val="20"/>
          <w:szCs w:val="20"/>
        </w:rPr>
        <w:t xml:space="preserve">2. </w:t>
      </w:r>
      <w:r>
        <w:rPr>
          <w:spacing w:val="4"/>
          <w:sz w:val="20"/>
          <w:szCs w:val="20"/>
        </w:rPr>
        <w:t>进程报告</w:t>
      </w:r>
      <w:r>
        <w:rPr>
          <w:spacing w:val="89"/>
          <w:sz w:val="20"/>
          <w:szCs w:val="20"/>
        </w:rPr>
        <w:t xml:space="preserve"> </w:t>
      </w:r>
      <w:r>
        <w:rPr>
          <w:rFonts w:ascii="宋体" w:hAnsi="宋体" w:eastAsia="宋体" w:cs="宋体"/>
          <w:spacing w:val="4"/>
          <w:sz w:val="20"/>
          <w:szCs w:val="20"/>
        </w:rPr>
        <w:t>进程报告可以有多次，随着疾病暴发的</w:t>
      </w:r>
      <w:r>
        <w:rPr>
          <w:rFonts w:ascii="宋体" w:hAnsi="宋体" w:eastAsia="宋体" w:cs="宋体"/>
          <w:spacing w:val="3"/>
          <w:sz w:val="20"/>
          <w:szCs w:val="20"/>
        </w:rPr>
        <w:t>发展，要及时报告疫情发展趋势、发病最</w:t>
      </w:r>
      <w:r>
        <w:rPr>
          <w:rFonts w:ascii="宋体" w:hAnsi="宋体" w:eastAsia="宋体" w:cs="宋体"/>
          <w:sz w:val="20"/>
          <w:szCs w:val="20"/>
        </w:rPr>
        <w:t xml:space="preserve"> </w:t>
      </w:r>
      <w:r>
        <w:rPr>
          <w:rFonts w:ascii="宋体" w:hAnsi="宋体" w:eastAsia="宋体" w:cs="宋体"/>
          <w:spacing w:val="9"/>
          <w:sz w:val="20"/>
          <w:szCs w:val="20"/>
        </w:rPr>
        <w:t>新情况和调查最新结果。</w:t>
      </w:r>
    </w:p>
    <w:p w14:paraId="2A1DA3B1">
      <w:pPr>
        <w:pStyle w:val="2"/>
        <w:spacing w:before="141" w:line="289" w:lineRule="auto"/>
        <w:ind w:right="644" w:firstLine="419"/>
        <w:rPr>
          <w:rFonts w:ascii="宋体" w:hAnsi="宋体" w:eastAsia="宋体" w:cs="宋体"/>
          <w:sz w:val="20"/>
          <w:szCs w:val="20"/>
        </w:rPr>
      </w:pPr>
      <w:r>
        <w:rPr>
          <w:rFonts w:ascii="宋体" w:hAnsi="宋体" w:eastAsia="宋体" w:cs="宋体"/>
          <w:spacing w:val="13"/>
          <w:sz w:val="20"/>
          <w:szCs w:val="20"/>
        </w:rPr>
        <w:t xml:space="preserve">3. </w:t>
      </w:r>
      <w:r>
        <w:rPr>
          <w:spacing w:val="13"/>
          <w:sz w:val="20"/>
          <w:szCs w:val="20"/>
        </w:rPr>
        <w:t xml:space="preserve">结案报告  </w:t>
      </w:r>
      <w:r>
        <w:rPr>
          <w:rFonts w:ascii="宋体" w:hAnsi="宋体" w:eastAsia="宋体" w:cs="宋体"/>
          <w:spacing w:val="13"/>
          <w:sz w:val="20"/>
          <w:szCs w:val="20"/>
        </w:rPr>
        <w:t>在调查结束后及时写出结案报告。内容主要包括一般情况、事</w:t>
      </w:r>
      <w:r>
        <w:rPr>
          <w:rFonts w:ascii="宋体" w:hAnsi="宋体" w:eastAsia="宋体" w:cs="宋体"/>
          <w:spacing w:val="12"/>
          <w:sz w:val="20"/>
          <w:szCs w:val="20"/>
        </w:rPr>
        <w:t>件总体情况描</w:t>
      </w:r>
      <w:r>
        <w:rPr>
          <w:rFonts w:ascii="宋体" w:hAnsi="宋体" w:eastAsia="宋体" w:cs="宋体"/>
          <w:sz w:val="20"/>
          <w:szCs w:val="20"/>
        </w:rPr>
        <w:t xml:space="preserve"> </w:t>
      </w:r>
      <w:r>
        <w:rPr>
          <w:rFonts w:ascii="宋体" w:hAnsi="宋体" w:eastAsia="宋体" w:cs="宋体"/>
          <w:spacing w:val="2"/>
          <w:sz w:val="20"/>
          <w:szCs w:val="20"/>
        </w:rPr>
        <w:t>述、暴发的主要原因、采取的控制措施及效果评价、经验教训和下一步工作建议等。</w:t>
      </w:r>
    </w:p>
    <w:p w14:paraId="62BE4B41">
      <w:pPr>
        <w:pStyle w:val="2"/>
        <w:spacing w:before="134" w:line="221" w:lineRule="auto"/>
        <w:ind w:left="419"/>
        <w:rPr>
          <w:sz w:val="20"/>
          <w:szCs w:val="20"/>
        </w:rPr>
      </w:pPr>
      <w:r>
        <w:rPr>
          <w:spacing w:val="23"/>
          <w:sz w:val="20"/>
          <w:szCs w:val="20"/>
        </w:rPr>
        <w:t>(十</w:t>
      </w:r>
      <w:r>
        <w:rPr>
          <w:spacing w:val="-44"/>
          <w:sz w:val="20"/>
          <w:szCs w:val="20"/>
        </w:rPr>
        <w:t xml:space="preserve"> </w:t>
      </w:r>
      <w:r>
        <w:rPr>
          <w:spacing w:val="23"/>
          <w:sz w:val="20"/>
          <w:szCs w:val="20"/>
        </w:rPr>
        <w:t>一</w:t>
      </w:r>
      <w:r>
        <w:rPr>
          <w:spacing w:val="-60"/>
          <w:sz w:val="20"/>
          <w:szCs w:val="20"/>
        </w:rPr>
        <w:t xml:space="preserve"> </w:t>
      </w:r>
      <w:r>
        <w:rPr>
          <w:spacing w:val="23"/>
          <w:sz w:val="20"/>
          <w:szCs w:val="20"/>
        </w:rPr>
        <w:t>)暴发调查应注意的问题</w:t>
      </w:r>
    </w:p>
    <w:p w14:paraId="498BC3CC">
      <w:pPr>
        <w:pStyle w:val="2"/>
        <w:spacing w:before="131" w:line="301" w:lineRule="auto"/>
        <w:ind w:right="595" w:firstLine="419"/>
        <w:rPr>
          <w:rFonts w:ascii="宋体" w:hAnsi="宋体" w:eastAsia="宋体" w:cs="宋体"/>
          <w:sz w:val="20"/>
          <w:szCs w:val="20"/>
        </w:rPr>
      </w:pPr>
      <w:r>
        <w:rPr>
          <w:rFonts w:ascii="宋体" w:hAnsi="宋体" w:eastAsia="宋体" w:cs="宋体"/>
          <w:spacing w:val="10"/>
          <w:sz w:val="20"/>
          <w:szCs w:val="20"/>
        </w:rPr>
        <w:t xml:space="preserve">1. </w:t>
      </w:r>
      <w:r>
        <w:rPr>
          <w:spacing w:val="10"/>
          <w:sz w:val="20"/>
          <w:szCs w:val="20"/>
        </w:rPr>
        <w:t>调查与控制同步进行</w:t>
      </w:r>
      <w:r>
        <w:rPr>
          <w:spacing w:val="79"/>
          <w:sz w:val="20"/>
          <w:szCs w:val="20"/>
        </w:rPr>
        <w:t xml:space="preserve"> </w:t>
      </w:r>
      <w:r>
        <w:rPr>
          <w:rFonts w:ascii="宋体" w:hAnsi="宋体" w:eastAsia="宋体" w:cs="宋体"/>
          <w:spacing w:val="10"/>
          <w:sz w:val="20"/>
          <w:szCs w:val="20"/>
        </w:rPr>
        <w:t>暴发控制才是现场调查的真正目的。随着调查不断获得新的发现，</w:t>
      </w:r>
      <w:r>
        <w:rPr>
          <w:rFonts w:ascii="宋体" w:hAnsi="宋体" w:eastAsia="宋体" w:cs="宋体"/>
          <w:sz w:val="20"/>
          <w:szCs w:val="20"/>
        </w:rPr>
        <w:t xml:space="preserve"> </w:t>
      </w:r>
      <w:r>
        <w:rPr>
          <w:rFonts w:ascii="宋体" w:hAnsi="宋体" w:eastAsia="宋体" w:cs="宋体"/>
          <w:spacing w:val="2"/>
          <w:sz w:val="20"/>
          <w:szCs w:val="20"/>
        </w:rPr>
        <w:t>应及时调整控制措施，直至疫情平息。只顾调查暴发原因，而不采取措施，必会招致工作失败、</w:t>
      </w:r>
      <w:r>
        <w:rPr>
          <w:rFonts w:ascii="宋体" w:hAnsi="宋体" w:eastAsia="宋体" w:cs="宋体"/>
          <w:spacing w:val="1"/>
          <w:sz w:val="20"/>
          <w:szCs w:val="20"/>
        </w:rPr>
        <w:t>公众</w:t>
      </w:r>
      <w:r>
        <w:rPr>
          <w:rFonts w:ascii="宋体" w:hAnsi="宋体" w:eastAsia="宋体" w:cs="宋体"/>
          <w:sz w:val="20"/>
          <w:szCs w:val="20"/>
        </w:rPr>
        <w:t xml:space="preserve"> </w:t>
      </w:r>
      <w:r>
        <w:rPr>
          <w:rFonts w:ascii="宋体" w:hAnsi="宋体" w:eastAsia="宋体" w:cs="宋体"/>
          <w:spacing w:val="2"/>
          <w:sz w:val="20"/>
          <w:szCs w:val="20"/>
        </w:rPr>
        <w:t>反感，甚至是法律诉讼。</w:t>
      </w:r>
    </w:p>
    <w:p w14:paraId="376F6160">
      <w:pPr>
        <w:pStyle w:val="2"/>
        <w:spacing w:before="151" w:line="285" w:lineRule="auto"/>
        <w:ind w:right="555" w:firstLine="419"/>
        <w:rPr>
          <w:rFonts w:ascii="宋体" w:hAnsi="宋体" w:eastAsia="宋体" w:cs="宋体"/>
          <w:sz w:val="20"/>
          <w:szCs w:val="20"/>
        </w:rPr>
      </w:pPr>
      <w:r>
        <w:rPr>
          <w:rFonts w:ascii="宋体" w:hAnsi="宋体" w:eastAsia="宋体" w:cs="宋体"/>
          <w:spacing w:val="11"/>
          <w:sz w:val="20"/>
          <w:szCs w:val="20"/>
        </w:rPr>
        <w:t xml:space="preserve">2. </w:t>
      </w:r>
      <w:r>
        <w:rPr>
          <w:spacing w:val="11"/>
          <w:sz w:val="20"/>
          <w:szCs w:val="20"/>
        </w:rPr>
        <w:t>充分运用法律武器</w:t>
      </w:r>
      <w:r>
        <w:rPr>
          <w:spacing w:val="78"/>
          <w:sz w:val="20"/>
          <w:szCs w:val="20"/>
        </w:rPr>
        <w:t xml:space="preserve"> </w:t>
      </w:r>
      <w:r>
        <w:rPr>
          <w:rFonts w:ascii="宋体" w:hAnsi="宋体" w:eastAsia="宋体" w:cs="宋体"/>
          <w:spacing w:val="11"/>
          <w:sz w:val="20"/>
          <w:szCs w:val="20"/>
        </w:rPr>
        <w:t>法律赋予了流行病学工作者调查疾病暴发的权利和公众合作的义务。</w:t>
      </w:r>
      <w:r>
        <w:rPr>
          <w:rFonts w:ascii="宋体" w:hAnsi="宋体" w:eastAsia="宋体" w:cs="宋体"/>
          <w:sz w:val="20"/>
          <w:szCs w:val="20"/>
        </w:rPr>
        <w:t xml:space="preserve"> </w:t>
      </w:r>
      <w:r>
        <w:rPr>
          <w:rFonts w:ascii="宋体" w:hAnsi="宋体" w:eastAsia="宋体" w:cs="宋体"/>
          <w:spacing w:val="4"/>
          <w:sz w:val="20"/>
          <w:szCs w:val="20"/>
        </w:rPr>
        <w:t>对于少数不配合调查者，可依法采取措施，强制其接受调查和提供必要的资料。</w:t>
      </w:r>
    </w:p>
    <w:p w14:paraId="1820416C">
      <w:pPr>
        <w:pStyle w:val="2"/>
        <w:spacing w:before="134" w:line="311" w:lineRule="auto"/>
        <w:ind w:right="610" w:firstLine="419"/>
        <w:rPr>
          <w:rFonts w:ascii="宋体" w:hAnsi="宋体" w:eastAsia="宋体" w:cs="宋体"/>
          <w:sz w:val="20"/>
          <w:szCs w:val="20"/>
        </w:rPr>
      </w:pPr>
      <w:r>
        <w:rPr>
          <w:rFonts w:ascii="宋体" w:hAnsi="宋体" w:eastAsia="宋体" w:cs="宋体"/>
          <w:spacing w:val="10"/>
          <w:sz w:val="20"/>
          <w:szCs w:val="20"/>
        </w:rPr>
        <w:t xml:space="preserve">3. </w:t>
      </w:r>
      <w:r>
        <w:rPr>
          <w:spacing w:val="10"/>
          <w:sz w:val="20"/>
          <w:szCs w:val="20"/>
        </w:rPr>
        <w:t>伦理道德问题</w:t>
      </w:r>
      <w:r>
        <w:rPr>
          <w:spacing w:val="50"/>
          <w:sz w:val="20"/>
          <w:szCs w:val="20"/>
        </w:rPr>
        <w:t xml:space="preserve"> </w:t>
      </w:r>
      <w:r>
        <w:rPr>
          <w:rFonts w:ascii="宋体" w:hAnsi="宋体" w:eastAsia="宋体" w:cs="宋体"/>
          <w:spacing w:val="10"/>
          <w:sz w:val="20"/>
          <w:szCs w:val="20"/>
        </w:rPr>
        <w:t>流行病学调查中的伦理问题主要包</w:t>
      </w:r>
      <w:r>
        <w:rPr>
          <w:rFonts w:ascii="宋体" w:hAnsi="宋体" w:eastAsia="宋体" w:cs="宋体"/>
          <w:spacing w:val="9"/>
          <w:sz w:val="20"/>
          <w:szCs w:val="20"/>
        </w:rPr>
        <w:t>括知情同意、尊重当地习俗文化、信息</w:t>
      </w:r>
      <w:r>
        <w:rPr>
          <w:rFonts w:ascii="宋体" w:hAnsi="宋体" w:eastAsia="宋体" w:cs="宋体"/>
          <w:sz w:val="20"/>
          <w:szCs w:val="20"/>
        </w:rPr>
        <w:t xml:space="preserve"> </w:t>
      </w:r>
      <w:r>
        <w:rPr>
          <w:rFonts w:ascii="宋体" w:hAnsi="宋体" w:eastAsia="宋体" w:cs="宋体"/>
          <w:spacing w:val="6"/>
          <w:sz w:val="20"/>
          <w:szCs w:val="20"/>
        </w:rPr>
        <w:t>保密、尊重调查对象和及时沟通调查结果等。例如被调查者享有司法保护权和隐私权，病人的病案</w:t>
      </w:r>
      <w:r>
        <w:rPr>
          <w:rFonts w:ascii="宋体" w:hAnsi="宋体" w:eastAsia="宋体" w:cs="宋体"/>
          <w:spacing w:val="1"/>
          <w:sz w:val="20"/>
          <w:szCs w:val="20"/>
        </w:rPr>
        <w:t xml:space="preserve"> </w:t>
      </w:r>
      <w:r>
        <w:rPr>
          <w:rFonts w:ascii="宋体" w:hAnsi="宋体" w:eastAsia="宋体" w:cs="宋体"/>
          <w:spacing w:val="9"/>
          <w:sz w:val="20"/>
          <w:szCs w:val="20"/>
        </w:rPr>
        <w:t>记录和个人资料未经授权不得披露；流行病学调查不要影响对病人的救治；对密切接触者医学(隔</w:t>
      </w:r>
      <w:r>
        <w:rPr>
          <w:rFonts w:ascii="宋体" w:hAnsi="宋体" w:eastAsia="宋体" w:cs="宋体"/>
          <w:spacing w:val="7"/>
          <w:sz w:val="20"/>
          <w:szCs w:val="20"/>
        </w:rPr>
        <w:t xml:space="preserve"> </w:t>
      </w:r>
      <w:r>
        <w:rPr>
          <w:rFonts w:ascii="宋体" w:hAnsi="宋体" w:eastAsia="宋体" w:cs="宋体"/>
          <w:spacing w:val="10"/>
          <w:sz w:val="20"/>
          <w:szCs w:val="20"/>
        </w:rPr>
        <w:t>离)观察时不要损害其权益。</w:t>
      </w:r>
    </w:p>
    <w:p w14:paraId="4931C6F0">
      <w:pPr>
        <w:pStyle w:val="2"/>
        <w:spacing w:before="141" w:line="285" w:lineRule="auto"/>
        <w:ind w:right="636" w:firstLine="419"/>
        <w:rPr>
          <w:rFonts w:ascii="宋体" w:hAnsi="宋体" w:eastAsia="宋体" w:cs="宋体"/>
          <w:sz w:val="20"/>
          <w:szCs w:val="20"/>
        </w:rPr>
      </w:pPr>
      <w:r>
        <w:rPr>
          <w:rFonts w:ascii="宋体" w:hAnsi="宋体" w:eastAsia="宋体" w:cs="宋体"/>
          <w:spacing w:val="5"/>
          <w:sz w:val="20"/>
          <w:szCs w:val="20"/>
        </w:rPr>
        <w:t>4.</w:t>
      </w:r>
      <w:r>
        <w:rPr>
          <w:rFonts w:ascii="宋体" w:hAnsi="宋体" w:eastAsia="宋体" w:cs="宋体"/>
          <w:spacing w:val="-16"/>
          <w:sz w:val="20"/>
          <w:szCs w:val="20"/>
        </w:rPr>
        <w:t xml:space="preserve"> </w:t>
      </w:r>
      <w:r>
        <w:rPr>
          <w:spacing w:val="5"/>
          <w:sz w:val="20"/>
          <w:szCs w:val="20"/>
        </w:rPr>
        <w:t>广泛合作</w:t>
      </w:r>
      <w:r>
        <w:rPr>
          <w:spacing w:val="59"/>
          <w:sz w:val="20"/>
          <w:szCs w:val="20"/>
        </w:rPr>
        <w:t xml:space="preserve"> </w:t>
      </w:r>
      <w:r>
        <w:rPr>
          <w:rFonts w:ascii="宋体" w:hAnsi="宋体" w:eastAsia="宋体" w:cs="宋体"/>
          <w:spacing w:val="5"/>
          <w:sz w:val="20"/>
          <w:szCs w:val="20"/>
        </w:rPr>
        <w:t>暴发调查应讲究工作方法，只有争取各个相关部门的协作，获得群众的支持，消</w:t>
      </w:r>
      <w:r>
        <w:rPr>
          <w:rFonts w:ascii="宋体" w:hAnsi="宋体" w:eastAsia="宋体" w:cs="宋体"/>
          <w:sz w:val="20"/>
          <w:szCs w:val="20"/>
        </w:rPr>
        <w:t xml:space="preserve"> </w:t>
      </w:r>
      <w:r>
        <w:rPr>
          <w:rFonts w:ascii="宋体" w:hAnsi="宋体" w:eastAsia="宋体" w:cs="宋体"/>
          <w:spacing w:val="6"/>
          <w:sz w:val="20"/>
          <w:szCs w:val="20"/>
        </w:rPr>
        <w:t>除有关人员的顾虑，方能保证调查工作顺利进行。</w:t>
      </w:r>
    </w:p>
    <w:p w14:paraId="5BB18BC6">
      <w:pPr>
        <w:pStyle w:val="2"/>
        <w:spacing w:before="142" w:line="301" w:lineRule="auto"/>
        <w:ind w:right="616" w:firstLine="419"/>
        <w:rPr>
          <w:rFonts w:ascii="宋体" w:hAnsi="宋体" w:eastAsia="宋体" w:cs="宋体"/>
          <w:sz w:val="20"/>
          <w:szCs w:val="20"/>
        </w:rPr>
      </w:pPr>
      <w:r>
        <w:rPr>
          <w:rFonts w:ascii="宋体" w:hAnsi="宋体" w:eastAsia="宋体" w:cs="宋体"/>
          <w:spacing w:val="9"/>
          <w:sz w:val="20"/>
          <w:szCs w:val="20"/>
        </w:rPr>
        <w:t xml:space="preserve">5. </w:t>
      </w:r>
      <w:r>
        <w:rPr>
          <w:spacing w:val="9"/>
          <w:sz w:val="20"/>
          <w:szCs w:val="20"/>
        </w:rPr>
        <w:t>媒体沟通</w:t>
      </w:r>
      <w:r>
        <w:rPr>
          <w:spacing w:val="92"/>
          <w:sz w:val="20"/>
          <w:szCs w:val="20"/>
        </w:rPr>
        <w:t xml:space="preserve"> </w:t>
      </w:r>
      <w:r>
        <w:rPr>
          <w:rFonts w:ascii="宋体" w:hAnsi="宋体" w:eastAsia="宋体" w:cs="宋体"/>
          <w:spacing w:val="9"/>
          <w:sz w:val="20"/>
          <w:szCs w:val="20"/>
        </w:rPr>
        <w:t>突发公共卫生事件发生时，通常会引起媒体的极</w:t>
      </w:r>
      <w:r>
        <w:rPr>
          <w:rFonts w:ascii="宋体" w:hAnsi="宋体" w:eastAsia="宋体" w:cs="宋体"/>
          <w:spacing w:val="8"/>
          <w:sz w:val="20"/>
          <w:szCs w:val="20"/>
        </w:rPr>
        <w:t>大关注，因此需要充分把握网</w:t>
      </w:r>
      <w:r>
        <w:rPr>
          <w:rFonts w:ascii="宋体" w:hAnsi="宋体" w:eastAsia="宋体" w:cs="宋体"/>
          <w:sz w:val="20"/>
          <w:szCs w:val="20"/>
        </w:rPr>
        <w:t xml:space="preserve"> </w:t>
      </w:r>
      <w:r>
        <w:rPr>
          <w:rFonts w:ascii="宋体" w:hAnsi="宋体" w:eastAsia="宋体" w:cs="宋体"/>
          <w:spacing w:val="2"/>
          <w:sz w:val="20"/>
          <w:szCs w:val="20"/>
        </w:rPr>
        <w:t>络舆论规律，及时、客观、真实地发布疫情信息，解答群众疑虑，以防止引起群众的过激反应和造成</w:t>
      </w:r>
      <w:r>
        <w:rPr>
          <w:rFonts w:ascii="宋体" w:hAnsi="宋体" w:eastAsia="宋体" w:cs="宋体"/>
          <w:sz w:val="20"/>
          <w:szCs w:val="20"/>
        </w:rPr>
        <w:t xml:space="preserve"> </w:t>
      </w:r>
      <w:r>
        <w:rPr>
          <w:rFonts w:ascii="宋体" w:hAnsi="宋体" w:eastAsia="宋体" w:cs="宋体"/>
          <w:spacing w:val="6"/>
          <w:sz w:val="20"/>
          <w:szCs w:val="20"/>
        </w:rPr>
        <w:t>不必要的混乱与恐慌。同时要提高专业人员与媒体交流的能力，加强相应培训和模拟演练。</w:t>
      </w:r>
    </w:p>
    <w:p w14:paraId="675BD927">
      <w:pPr>
        <w:pStyle w:val="2"/>
        <w:spacing w:before="304" w:line="221" w:lineRule="auto"/>
        <w:ind w:left="419"/>
        <w:outlineLvl w:val="4"/>
        <w:rPr>
          <w:sz w:val="26"/>
          <w:szCs w:val="26"/>
        </w:rPr>
      </w:pPr>
      <w:bookmarkStart w:id="427" w:name="bookmark268"/>
      <w:bookmarkEnd w:id="427"/>
      <w:r>
        <w:rPr>
          <w:spacing w:val="-9"/>
          <w:sz w:val="26"/>
          <w:szCs w:val="26"/>
        </w:rPr>
        <w:t>三</w:t>
      </w:r>
      <w:r>
        <w:rPr>
          <w:spacing w:val="-53"/>
          <w:sz w:val="26"/>
          <w:szCs w:val="26"/>
        </w:rPr>
        <w:t xml:space="preserve"> </w:t>
      </w:r>
      <w:r>
        <w:rPr>
          <w:spacing w:val="-9"/>
          <w:sz w:val="26"/>
          <w:szCs w:val="26"/>
        </w:rPr>
        <w:t>、自然灾害和技术事故的流行病学调查</w:t>
      </w:r>
    </w:p>
    <w:p w14:paraId="0868F38B">
      <w:pPr>
        <w:spacing w:before="279" w:line="341" w:lineRule="auto"/>
        <w:ind w:right="613" w:firstLine="419"/>
        <w:jc w:val="both"/>
        <w:rPr>
          <w:rFonts w:ascii="宋体" w:hAnsi="宋体" w:eastAsia="宋体" w:cs="宋体"/>
          <w:sz w:val="20"/>
          <w:szCs w:val="20"/>
        </w:rPr>
      </w:pPr>
      <w:r>
        <w:rPr>
          <w:rFonts w:ascii="宋体" w:hAnsi="宋体" w:eastAsia="宋体" w:cs="宋体"/>
          <w:spacing w:val="6"/>
          <w:sz w:val="20"/>
          <w:szCs w:val="20"/>
        </w:rPr>
        <w:t>与暴发调查的侧重点略有不同，在发生自然灾害或技术事故类突发公共卫生事</w:t>
      </w:r>
      <w:r>
        <w:rPr>
          <w:rFonts w:ascii="宋体" w:hAnsi="宋体" w:eastAsia="宋体" w:cs="宋体"/>
          <w:spacing w:val="5"/>
          <w:sz w:val="20"/>
          <w:szCs w:val="20"/>
        </w:rPr>
        <w:t>件后，开展流行</w:t>
      </w:r>
      <w:r>
        <w:rPr>
          <w:rFonts w:ascii="宋体" w:hAnsi="宋体" w:eastAsia="宋体" w:cs="宋体"/>
          <w:sz w:val="20"/>
          <w:szCs w:val="20"/>
        </w:rPr>
        <w:t xml:space="preserve"> </w:t>
      </w:r>
      <w:r>
        <w:rPr>
          <w:rFonts w:ascii="宋体" w:hAnsi="宋体" w:eastAsia="宋体" w:cs="宋体"/>
          <w:spacing w:val="7"/>
          <w:sz w:val="20"/>
          <w:szCs w:val="20"/>
        </w:rPr>
        <w:t>病学调查的主要内容是评估事件对人群、环境、公共设施等产生的影响大小</w:t>
      </w:r>
      <w:r>
        <w:rPr>
          <w:rFonts w:ascii="宋体" w:hAnsi="宋体" w:eastAsia="宋体" w:cs="宋体"/>
          <w:spacing w:val="6"/>
          <w:sz w:val="20"/>
          <w:szCs w:val="20"/>
        </w:rPr>
        <w:t>，评估人员伤亡以及医</w:t>
      </w:r>
      <w:r>
        <w:rPr>
          <w:rFonts w:ascii="宋体" w:hAnsi="宋体" w:eastAsia="宋体" w:cs="宋体"/>
          <w:sz w:val="20"/>
          <w:szCs w:val="20"/>
        </w:rPr>
        <w:t xml:space="preserve"> </w:t>
      </w:r>
      <w:r>
        <w:rPr>
          <w:rFonts w:ascii="宋体" w:hAnsi="宋体" w:eastAsia="宋体" w:cs="宋体"/>
          <w:spacing w:val="7"/>
          <w:sz w:val="20"/>
          <w:szCs w:val="20"/>
        </w:rPr>
        <w:t>疗卫生需求，开展现场卫生学评估，为政府和卫生行政部门的决策提供科学</w:t>
      </w:r>
      <w:r>
        <w:rPr>
          <w:rFonts w:ascii="宋体" w:hAnsi="宋体" w:eastAsia="宋体" w:cs="宋体"/>
          <w:spacing w:val="6"/>
          <w:sz w:val="20"/>
          <w:szCs w:val="20"/>
        </w:rPr>
        <w:t>依据，保证当地群众尽</w:t>
      </w:r>
      <w:r>
        <w:rPr>
          <w:rFonts w:ascii="宋体" w:hAnsi="宋体" w:eastAsia="宋体" w:cs="宋体"/>
          <w:sz w:val="20"/>
          <w:szCs w:val="20"/>
        </w:rPr>
        <w:t xml:space="preserve"> </w:t>
      </w:r>
      <w:r>
        <w:rPr>
          <w:rFonts w:ascii="宋体" w:hAnsi="宋体" w:eastAsia="宋体" w:cs="宋体"/>
          <w:spacing w:val="10"/>
          <w:sz w:val="20"/>
          <w:szCs w:val="20"/>
        </w:rPr>
        <w:t>快恢复生活和生产秩序。</w:t>
      </w:r>
    </w:p>
    <w:p w14:paraId="6CE76C2B">
      <w:pPr>
        <w:spacing w:before="2" w:line="344" w:lineRule="auto"/>
        <w:ind w:right="645" w:firstLine="419"/>
        <w:jc w:val="both"/>
        <w:rPr>
          <w:rFonts w:ascii="宋体" w:hAnsi="宋体" w:eastAsia="宋体" w:cs="宋体"/>
          <w:sz w:val="20"/>
          <w:szCs w:val="20"/>
        </w:rPr>
      </w:pPr>
      <w:r>
        <w:rPr>
          <w:rFonts w:ascii="宋体" w:hAnsi="宋体" w:eastAsia="宋体" w:cs="宋体"/>
          <w:spacing w:val="11"/>
          <w:sz w:val="20"/>
          <w:szCs w:val="20"/>
        </w:rPr>
        <w:t>突发公共卫生事件发生后，对人群和环境开展卫生学评估是有针对性开展预防控制措施</w:t>
      </w:r>
      <w:r>
        <w:rPr>
          <w:rFonts w:ascii="宋体" w:hAnsi="宋体" w:eastAsia="宋体" w:cs="宋体"/>
          <w:spacing w:val="10"/>
          <w:sz w:val="20"/>
          <w:szCs w:val="20"/>
        </w:rPr>
        <w:t>的前</w:t>
      </w:r>
      <w:r>
        <w:rPr>
          <w:rFonts w:ascii="宋体" w:hAnsi="宋体" w:eastAsia="宋体" w:cs="宋体"/>
          <w:sz w:val="20"/>
          <w:szCs w:val="20"/>
        </w:rPr>
        <w:t xml:space="preserve"> </w:t>
      </w:r>
      <w:r>
        <w:rPr>
          <w:rFonts w:ascii="宋体" w:hAnsi="宋体" w:eastAsia="宋体" w:cs="宋体"/>
          <w:spacing w:val="6"/>
          <w:sz w:val="20"/>
          <w:szCs w:val="20"/>
        </w:rPr>
        <w:t>提和关键。对突发公共卫生事件可能波及的场所，均应开展卫生学评估，重点评估公共场所以及生</w:t>
      </w:r>
      <w:r>
        <w:rPr>
          <w:rFonts w:ascii="宋体" w:hAnsi="宋体" w:eastAsia="宋体" w:cs="宋体"/>
          <w:sz w:val="20"/>
          <w:szCs w:val="20"/>
        </w:rPr>
        <w:t xml:space="preserve"> </w:t>
      </w:r>
      <w:r>
        <w:rPr>
          <w:rFonts w:ascii="宋体" w:hAnsi="宋体" w:eastAsia="宋体" w:cs="宋体"/>
          <w:spacing w:val="5"/>
          <w:sz w:val="20"/>
          <w:szCs w:val="20"/>
        </w:rPr>
        <w:t>产、经营、工作和教学场所的卫生质量是否符合卫生标</w:t>
      </w:r>
      <w:r>
        <w:rPr>
          <w:rFonts w:ascii="宋体" w:hAnsi="宋体" w:eastAsia="宋体" w:cs="宋体"/>
          <w:spacing w:val="4"/>
          <w:sz w:val="20"/>
          <w:szCs w:val="20"/>
        </w:rPr>
        <w:t>准和卫生要求。</w:t>
      </w:r>
    </w:p>
    <w:p w14:paraId="00F7C757">
      <w:pPr>
        <w:spacing w:before="2" w:line="341" w:lineRule="auto"/>
        <w:ind w:right="616" w:firstLine="419"/>
        <w:jc w:val="both"/>
        <w:rPr>
          <w:rFonts w:ascii="宋体" w:hAnsi="宋体" w:eastAsia="宋体" w:cs="宋体"/>
          <w:sz w:val="20"/>
          <w:szCs w:val="20"/>
        </w:rPr>
      </w:pPr>
      <w:r>
        <w:rPr>
          <w:rFonts w:ascii="宋体" w:hAnsi="宋体" w:eastAsia="宋体" w:cs="宋体"/>
          <w:spacing w:val="7"/>
          <w:sz w:val="20"/>
          <w:szCs w:val="20"/>
        </w:rPr>
        <w:t>卫生学评估包括早期应急现场快速评估、中期跟</w:t>
      </w:r>
      <w:r>
        <w:rPr>
          <w:rFonts w:ascii="宋体" w:hAnsi="宋体" w:eastAsia="宋体" w:cs="宋体"/>
          <w:spacing w:val="6"/>
          <w:sz w:val="20"/>
          <w:szCs w:val="20"/>
        </w:rPr>
        <w:t>踪评估和事件结束后的终期评估，由卫生行政</w:t>
      </w:r>
      <w:r>
        <w:rPr>
          <w:rFonts w:ascii="宋体" w:hAnsi="宋体" w:eastAsia="宋体" w:cs="宋体"/>
          <w:sz w:val="20"/>
          <w:szCs w:val="20"/>
        </w:rPr>
        <w:t xml:space="preserve"> </w:t>
      </w:r>
      <w:r>
        <w:rPr>
          <w:rFonts w:ascii="宋体" w:hAnsi="宋体" w:eastAsia="宋体" w:cs="宋体"/>
          <w:spacing w:val="6"/>
          <w:sz w:val="20"/>
          <w:szCs w:val="20"/>
        </w:rPr>
        <w:t>管理者以及流行病学、食品营养、环境卫生和饮水卫生等方面的专家组成评估小组来进行。获取资</w:t>
      </w:r>
      <w:r>
        <w:rPr>
          <w:rFonts w:ascii="宋体" w:hAnsi="宋体" w:eastAsia="宋体" w:cs="宋体"/>
          <w:spacing w:val="5"/>
          <w:sz w:val="20"/>
          <w:szCs w:val="20"/>
        </w:rPr>
        <w:t xml:space="preserve"> </w:t>
      </w:r>
      <w:r>
        <w:rPr>
          <w:rFonts w:ascii="宋体" w:hAnsi="宋体" w:eastAsia="宋体" w:cs="宋体"/>
          <w:spacing w:val="3"/>
          <w:sz w:val="20"/>
          <w:szCs w:val="20"/>
        </w:rPr>
        <w:t>料和信息的主要方式有：利用各部门现有资料、实地考</w:t>
      </w:r>
      <w:r>
        <w:rPr>
          <w:rFonts w:ascii="宋体" w:hAnsi="宋体" w:eastAsia="宋体" w:cs="宋体"/>
          <w:spacing w:val="2"/>
          <w:sz w:val="20"/>
          <w:szCs w:val="20"/>
        </w:rPr>
        <w:t>察、访谈知情者和快速调查。</w:t>
      </w:r>
    </w:p>
    <w:p w14:paraId="3E27B848">
      <w:pPr>
        <w:spacing w:before="1" w:line="352" w:lineRule="auto"/>
        <w:ind w:right="611" w:firstLine="419"/>
        <w:jc w:val="both"/>
        <w:rPr>
          <w:rFonts w:ascii="宋体" w:hAnsi="宋体" w:eastAsia="宋体" w:cs="宋体"/>
          <w:sz w:val="20"/>
          <w:szCs w:val="20"/>
        </w:rPr>
      </w:pPr>
      <w:r>
        <w:rPr>
          <w:rFonts w:ascii="宋体" w:hAnsi="宋体" w:eastAsia="宋体" w:cs="宋体"/>
          <w:spacing w:val="7"/>
          <w:sz w:val="20"/>
          <w:szCs w:val="20"/>
        </w:rPr>
        <w:t>评估工作结束后，应综合现场流行病学调查、实验室检测、健</w:t>
      </w:r>
      <w:r>
        <w:rPr>
          <w:rFonts w:ascii="宋体" w:hAnsi="宋体" w:eastAsia="宋体" w:cs="宋体"/>
          <w:spacing w:val="6"/>
          <w:sz w:val="20"/>
          <w:szCs w:val="20"/>
        </w:rPr>
        <w:t>康危险因素评估和健康检查等资</w:t>
      </w:r>
      <w:r>
        <w:rPr>
          <w:rFonts w:ascii="宋体" w:hAnsi="宋体" w:eastAsia="宋体" w:cs="宋体"/>
          <w:sz w:val="20"/>
          <w:szCs w:val="20"/>
        </w:rPr>
        <w:t xml:space="preserve"> </w:t>
      </w:r>
      <w:r>
        <w:rPr>
          <w:rFonts w:ascii="宋体" w:hAnsi="宋体" w:eastAsia="宋体" w:cs="宋体"/>
          <w:spacing w:val="6"/>
          <w:sz w:val="20"/>
          <w:szCs w:val="20"/>
        </w:rPr>
        <w:t>料，分析形成总结报告，及时报送给突发公共卫生事件应急处置指挥部门。涉及违法犯罪的，</w:t>
      </w:r>
      <w:r>
        <w:rPr>
          <w:rFonts w:ascii="宋体" w:hAnsi="宋体" w:eastAsia="宋体" w:cs="宋体"/>
          <w:spacing w:val="5"/>
          <w:sz w:val="20"/>
          <w:szCs w:val="20"/>
        </w:rPr>
        <w:t>收集</w:t>
      </w:r>
      <w:r>
        <w:rPr>
          <w:rFonts w:ascii="宋体" w:hAnsi="宋体" w:eastAsia="宋体" w:cs="宋体"/>
          <w:sz w:val="20"/>
          <w:szCs w:val="20"/>
        </w:rPr>
        <w:t xml:space="preserve"> </w:t>
      </w:r>
      <w:r>
        <w:rPr>
          <w:rFonts w:ascii="宋体" w:hAnsi="宋体" w:eastAsia="宋体" w:cs="宋体"/>
          <w:spacing w:val="5"/>
          <w:sz w:val="20"/>
          <w:szCs w:val="20"/>
        </w:rPr>
        <w:t>相关证据，依法追究刑事责任。</w:t>
      </w:r>
    </w:p>
    <w:p w14:paraId="7365DF95">
      <w:pPr>
        <w:spacing w:line="352" w:lineRule="auto"/>
        <w:rPr>
          <w:rFonts w:ascii="宋体" w:hAnsi="宋体" w:eastAsia="宋体" w:cs="宋体"/>
          <w:sz w:val="20"/>
          <w:szCs w:val="20"/>
        </w:rPr>
        <w:sectPr>
          <w:footerReference r:id="rId276" w:type="default"/>
          <w:pgSz w:w="11900" w:h="16820"/>
          <w:pgMar w:top="400" w:right="904" w:bottom="859" w:left="1489" w:header="0" w:footer="679" w:gutter="0"/>
          <w:cols w:space="720" w:num="1"/>
        </w:sectPr>
      </w:pPr>
    </w:p>
    <w:p w14:paraId="487426E3">
      <w:pPr>
        <w:pStyle w:val="2"/>
        <w:spacing w:before="246" w:line="221" w:lineRule="auto"/>
        <w:ind w:left="689"/>
        <w:rPr>
          <w:sz w:val="20"/>
          <w:szCs w:val="20"/>
        </w:rPr>
      </w:pPr>
      <w:r>
        <w:rPr>
          <w:spacing w:val="-19"/>
          <w:w w:val="97"/>
          <w:sz w:val="20"/>
          <w:szCs w:val="20"/>
        </w:rPr>
        <w:t>第十六章 突发公共卫生事件流行病学</w:t>
      </w:r>
    </w:p>
    <w:p w14:paraId="442DE489">
      <w:pPr>
        <w:spacing w:line="292" w:lineRule="auto"/>
        <w:rPr>
          <w:rFonts w:ascii="Arial"/>
          <w:sz w:val="21"/>
        </w:rPr>
      </w:pPr>
    </w:p>
    <w:p w14:paraId="3574E787">
      <w:pPr>
        <w:spacing w:line="292" w:lineRule="auto"/>
        <w:rPr>
          <w:rFonts w:ascii="Arial"/>
          <w:sz w:val="21"/>
        </w:rPr>
      </w:pPr>
    </w:p>
    <w:p w14:paraId="2A824964">
      <w:pPr>
        <w:spacing w:line="292" w:lineRule="auto"/>
        <w:rPr>
          <w:rFonts w:ascii="Arial"/>
          <w:sz w:val="21"/>
        </w:rPr>
      </w:pPr>
    </w:p>
    <w:p w14:paraId="5DE0F7D3">
      <w:pPr>
        <w:pStyle w:val="2"/>
        <w:spacing w:before="98" w:line="221" w:lineRule="auto"/>
        <w:ind w:left="1934"/>
        <w:outlineLvl w:val="1"/>
      </w:pPr>
      <w:bookmarkStart w:id="428" w:name="bookmark269"/>
      <w:bookmarkEnd w:id="428"/>
      <w:r>
        <w:rPr>
          <w:b/>
          <w:bCs/>
          <w:spacing w:val="-10"/>
        </w:rPr>
        <w:t>第三节</w:t>
      </w:r>
      <w:r>
        <w:rPr>
          <w:spacing w:val="128"/>
        </w:rPr>
        <w:t xml:space="preserve"> </w:t>
      </w:r>
      <w:r>
        <w:rPr>
          <w:b/>
          <w:bCs/>
          <w:spacing w:val="-10"/>
        </w:rPr>
        <w:t>突发公共卫生事件的应急准备与应急处置</w:t>
      </w:r>
    </w:p>
    <w:p w14:paraId="04894478">
      <w:pPr>
        <w:spacing w:line="338" w:lineRule="auto"/>
        <w:rPr>
          <w:rFonts w:ascii="Arial"/>
          <w:sz w:val="21"/>
        </w:rPr>
      </w:pPr>
    </w:p>
    <w:p w14:paraId="6A208A6A">
      <w:pPr>
        <w:spacing w:before="65" w:line="342" w:lineRule="auto"/>
        <w:ind w:left="689" w:right="39" w:firstLine="409"/>
        <w:jc w:val="both"/>
        <w:rPr>
          <w:rFonts w:ascii="宋体" w:hAnsi="宋体" w:eastAsia="宋体" w:cs="宋体"/>
          <w:sz w:val="20"/>
          <w:szCs w:val="20"/>
        </w:rPr>
      </w:pPr>
      <w:r>
        <w:rPr>
          <w:rFonts w:ascii="宋体" w:hAnsi="宋体" w:eastAsia="宋体" w:cs="宋体"/>
          <w:spacing w:val="12"/>
          <w:sz w:val="20"/>
          <w:szCs w:val="20"/>
        </w:rPr>
        <w:t>对突发公共卫生事件的管理不应仅限于事件发生时的</w:t>
      </w:r>
      <w:r>
        <w:rPr>
          <w:rFonts w:ascii="宋体" w:hAnsi="宋体" w:eastAsia="宋体" w:cs="宋体"/>
          <w:spacing w:val="11"/>
          <w:sz w:val="20"/>
          <w:szCs w:val="20"/>
        </w:rPr>
        <w:t>应对。全面应对需贯穿所有阶段，即突</w:t>
      </w:r>
      <w:r>
        <w:rPr>
          <w:rFonts w:ascii="宋体" w:hAnsi="宋体" w:eastAsia="宋体" w:cs="宋体"/>
          <w:sz w:val="20"/>
          <w:szCs w:val="20"/>
        </w:rPr>
        <w:t xml:space="preserve"> </w:t>
      </w:r>
      <w:r>
        <w:rPr>
          <w:rFonts w:ascii="宋体" w:hAnsi="宋体" w:eastAsia="宋体" w:cs="宋体"/>
          <w:spacing w:val="6"/>
          <w:sz w:val="20"/>
          <w:szCs w:val="20"/>
        </w:rPr>
        <w:t>发事件前阶段、应对阶段、恢复阶段。每个阶段的准备和处置都至关重要。例如，在突发事件前阶</w:t>
      </w:r>
      <w:r>
        <w:rPr>
          <w:rFonts w:ascii="宋体" w:hAnsi="宋体" w:eastAsia="宋体" w:cs="宋体"/>
          <w:spacing w:val="9"/>
          <w:sz w:val="20"/>
          <w:szCs w:val="20"/>
        </w:rPr>
        <w:t xml:space="preserve"> </w:t>
      </w:r>
      <w:r>
        <w:rPr>
          <w:rFonts w:ascii="宋体" w:hAnsi="宋体" w:eastAsia="宋体" w:cs="宋体"/>
          <w:spacing w:val="11"/>
          <w:sz w:val="20"/>
          <w:szCs w:val="20"/>
        </w:rPr>
        <w:t>段，应采取措施防止突发事件的发生，或开展研究以实现精确预测和早期警报。当突发事件发生</w:t>
      </w:r>
      <w:r>
        <w:rPr>
          <w:rFonts w:ascii="宋体" w:hAnsi="宋体" w:eastAsia="宋体" w:cs="宋体"/>
          <w:spacing w:val="6"/>
          <w:sz w:val="20"/>
          <w:szCs w:val="20"/>
        </w:rPr>
        <w:t xml:space="preserve"> </w:t>
      </w:r>
      <w:r>
        <w:rPr>
          <w:rFonts w:ascii="宋体" w:hAnsi="宋体" w:eastAsia="宋体" w:cs="宋体"/>
          <w:spacing w:val="2"/>
          <w:sz w:val="20"/>
          <w:szCs w:val="20"/>
        </w:rPr>
        <w:t>时，可以将它们造成的伤害降到最低。以往经验表明，无论是自然灾害、技术事故还是疾病暴发，充</w:t>
      </w:r>
      <w:r>
        <w:rPr>
          <w:rFonts w:ascii="宋体" w:hAnsi="宋体" w:eastAsia="宋体" w:cs="宋体"/>
          <w:spacing w:val="3"/>
          <w:sz w:val="20"/>
          <w:szCs w:val="20"/>
        </w:rPr>
        <w:t xml:space="preserve"> </w:t>
      </w:r>
      <w:r>
        <w:rPr>
          <w:rFonts w:ascii="宋体" w:hAnsi="宋体" w:eastAsia="宋体" w:cs="宋体"/>
          <w:spacing w:val="6"/>
          <w:sz w:val="20"/>
          <w:szCs w:val="20"/>
        </w:rPr>
        <w:t>分的事前准备对成功管理突发公共卫生事件都具有重要意义。</w:t>
      </w:r>
    </w:p>
    <w:p w14:paraId="76832D52">
      <w:pPr>
        <w:pStyle w:val="2"/>
        <w:spacing w:before="174" w:line="223" w:lineRule="auto"/>
        <w:ind w:left="1103"/>
        <w:outlineLvl w:val="4"/>
        <w:rPr>
          <w:sz w:val="23"/>
          <w:szCs w:val="23"/>
        </w:rPr>
      </w:pPr>
      <w:bookmarkStart w:id="429" w:name="bookmark270"/>
      <w:bookmarkEnd w:id="429"/>
      <w:r>
        <w:rPr>
          <w:b/>
          <w:bCs/>
          <w:spacing w:val="2"/>
          <w:sz w:val="23"/>
          <w:szCs w:val="23"/>
        </w:rPr>
        <w:t>一</w:t>
      </w:r>
      <w:r>
        <w:rPr>
          <w:spacing w:val="-31"/>
          <w:sz w:val="23"/>
          <w:szCs w:val="23"/>
        </w:rPr>
        <w:t xml:space="preserve"> </w:t>
      </w:r>
      <w:r>
        <w:rPr>
          <w:b/>
          <w:bCs/>
          <w:spacing w:val="2"/>
          <w:sz w:val="23"/>
          <w:szCs w:val="23"/>
        </w:rPr>
        <w:t>、应急准备</w:t>
      </w:r>
    </w:p>
    <w:p w14:paraId="06F4BB37">
      <w:pPr>
        <w:pStyle w:val="2"/>
        <w:spacing w:before="262" w:line="221" w:lineRule="auto"/>
        <w:ind w:left="1099"/>
        <w:rPr>
          <w:sz w:val="23"/>
          <w:szCs w:val="23"/>
        </w:rPr>
      </w:pPr>
      <w:r>
        <w:rPr>
          <w:spacing w:val="-1"/>
          <w:sz w:val="23"/>
          <w:szCs w:val="23"/>
        </w:rPr>
        <w:t>(一)应急准备的概念</w:t>
      </w:r>
    </w:p>
    <w:p w14:paraId="51897A2D">
      <w:pPr>
        <w:spacing w:before="104" w:line="336" w:lineRule="auto"/>
        <w:ind w:left="689" w:right="43" w:firstLine="409"/>
        <w:jc w:val="both"/>
        <w:rPr>
          <w:rFonts w:ascii="宋体" w:hAnsi="宋体" w:eastAsia="宋体" w:cs="宋体"/>
          <w:sz w:val="20"/>
          <w:szCs w:val="20"/>
        </w:rPr>
      </w:pPr>
      <w:r>
        <w:rPr>
          <w:rFonts w:ascii="宋体" w:hAnsi="宋体" w:eastAsia="宋体" w:cs="宋体"/>
          <w:spacing w:val="23"/>
          <w:sz w:val="20"/>
          <w:szCs w:val="20"/>
        </w:rPr>
        <w:t>突发公共卫生事件的应急准备是一个长期持续的规划和实施过程，目的是增强国家和地</w:t>
      </w:r>
      <w:r>
        <w:rPr>
          <w:rFonts w:ascii="宋体" w:hAnsi="宋体" w:eastAsia="宋体" w:cs="宋体"/>
          <w:spacing w:val="2"/>
          <w:sz w:val="20"/>
          <w:szCs w:val="20"/>
        </w:rPr>
        <w:t xml:space="preserve"> </w:t>
      </w:r>
      <w:r>
        <w:rPr>
          <w:rFonts w:ascii="宋体" w:hAnsi="宋体" w:eastAsia="宋体" w:cs="宋体"/>
          <w:spacing w:val="17"/>
          <w:sz w:val="20"/>
          <w:szCs w:val="20"/>
        </w:rPr>
        <w:t>区在面对突发公共卫生事件时的抵抗力、接受力和恢复能力，以有效预</w:t>
      </w:r>
      <w:r>
        <w:rPr>
          <w:rFonts w:ascii="宋体" w:hAnsi="宋体" w:eastAsia="宋体" w:cs="宋体"/>
          <w:spacing w:val="16"/>
          <w:sz w:val="20"/>
          <w:szCs w:val="20"/>
        </w:rPr>
        <w:t>防和处理各种突发公共</w:t>
      </w:r>
      <w:r>
        <w:rPr>
          <w:rFonts w:ascii="宋体" w:hAnsi="宋体" w:eastAsia="宋体" w:cs="宋体"/>
          <w:sz w:val="20"/>
          <w:szCs w:val="20"/>
        </w:rPr>
        <w:t xml:space="preserve"> </w:t>
      </w:r>
      <w:r>
        <w:rPr>
          <w:rFonts w:ascii="宋体" w:hAnsi="宋体" w:eastAsia="宋体" w:cs="宋体"/>
          <w:spacing w:val="12"/>
          <w:sz w:val="20"/>
          <w:szCs w:val="20"/>
        </w:rPr>
        <w:t>卫生事件，便于受害地区从事件中有序过渡，恢复到持</w:t>
      </w:r>
      <w:r>
        <w:rPr>
          <w:rFonts w:ascii="宋体" w:hAnsi="宋体" w:eastAsia="宋体" w:cs="宋体"/>
          <w:spacing w:val="11"/>
          <w:sz w:val="20"/>
          <w:szCs w:val="20"/>
        </w:rPr>
        <w:t>续发展，以实现平时常备不懈、遇事迅速</w:t>
      </w:r>
      <w:r>
        <w:rPr>
          <w:rFonts w:ascii="宋体" w:hAnsi="宋体" w:eastAsia="宋体" w:cs="宋体"/>
          <w:sz w:val="20"/>
          <w:szCs w:val="20"/>
        </w:rPr>
        <w:t xml:space="preserve"> </w:t>
      </w:r>
      <w:r>
        <w:rPr>
          <w:rFonts w:ascii="宋体" w:hAnsi="宋体" w:eastAsia="宋体" w:cs="宋体"/>
          <w:spacing w:val="10"/>
          <w:sz w:val="20"/>
          <w:szCs w:val="20"/>
        </w:rPr>
        <w:t>处置。</w:t>
      </w:r>
    </w:p>
    <w:p w14:paraId="3640C151">
      <w:pPr>
        <w:spacing w:before="45" w:line="333" w:lineRule="auto"/>
        <w:ind w:left="689" w:right="40" w:firstLine="409"/>
        <w:jc w:val="both"/>
        <w:rPr>
          <w:rFonts w:ascii="宋体" w:hAnsi="宋体" w:eastAsia="宋体" w:cs="宋体"/>
          <w:sz w:val="20"/>
          <w:szCs w:val="20"/>
        </w:rPr>
      </w:pPr>
      <w:r>
        <w:rPr>
          <w:rFonts w:ascii="宋体" w:hAnsi="宋体" w:eastAsia="宋体" w:cs="宋体"/>
          <w:spacing w:val="6"/>
          <w:sz w:val="20"/>
          <w:szCs w:val="20"/>
        </w:rPr>
        <w:t>应急准备虽不能完全消除所有危害，但它是确保对紧急情况作出快速和有效反应，从而最大限</w:t>
      </w:r>
      <w:r>
        <w:rPr>
          <w:rFonts w:ascii="宋体" w:hAnsi="宋体" w:eastAsia="宋体" w:cs="宋体"/>
          <w:spacing w:val="14"/>
          <w:sz w:val="20"/>
          <w:szCs w:val="20"/>
        </w:rPr>
        <w:t xml:space="preserve"> </w:t>
      </w:r>
      <w:r>
        <w:rPr>
          <w:rFonts w:ascii="宋体" w:hAnsi="宋体" w:eastAsia="宋体" w:cs="宋体"/>
          <w:spacing w:val="7"/>
          <w:sz w:val="20"/>
          <w:szCs w:val="20"/>
        </w:rPr>
        <w:t>度地降低发病率、死亡率和减少其他损害的有力先决条件。例如，气象警</w:t>
      </w:r>
      <w:r>
        <w:rPr>
          <w:rFonts w:ascii="宋体" w:hAnsi="宋体" w:eastAsia="宋体" w:cs="宋体"/>
          <w:spacing w:val="6"/>
          <w:sz w:val="20"/>
          <w:szCs w:val="20"/>
        </w:rPr>
        <w:t>示和物资储备可以帮助居</w:t>
      </w:r>
      <w:r>
        <w:rPr>
          <w:rFonts w:ascii="宋体" w:hAnsi="宋体" w:eastAsia="宋体" w:cs="宋体"/>
          <w:sz w:val="20"/>
          <w:szCs w:val="20"/>
        </w:rPr>
        <w:t xml:space="preserve"> </w:t>
      </w:r>
      <w:r>
        <w:rPr>
          <w:rFonts w:ascii="宋体" w:hAnsi="宋体" w:eastAsia="宋体" w:cs="宋体"/>
          <w:spacing w:val="11"/>
          <w:sz w:val="20"/>
          <w:szCs w:val="20"/>
        </w:rPr>
        <w:t>民抵御极端高温和极寒天气，广泛覆盖的免疫接种程序和系统的监测系统有助于社区预防传染病</w:t>
      </w:r>
      <w:r>
        <w:rPr>
          <w:rFonts w:ascii="宋体" w:hAnsi="宋体" w:eastAsia="宋体" w:cs="宋体"/>
          <w:spacing w:val="10"/>
          <w:sz w:val="20"/>
          <w:szCs w:val="20"/>
        </w:rPr>
        <w:t xml:space="preserve"> </w:t>
      </w:r>
      <w:r>
        <w:rPr>
          <w:rFonts w:ascii="宋体" w:hAnsi="宋体" w:eastAsia="宋体" w:cs="宋体"/>
          <w:spacing w:val="4"/>
          <w:sz w:val="20"/>
          <w:szCs w:val="20"/>
        </w:rPr>
        <w:t>的暴发。</w:t>
      </w:r>
    </w:p>
    <w:p w14:paraId="1AC1EBE0">
      <w:pPr>
        <w:pStyle w:val="2"/>
        <w:spacing w:before="8" w:line="222" w:lineRule="auto"/>
        <w:ind w:left="1099"/>
        <w:rPr>
          <w:sz w:val="23"/>
          <w:szCs w:val="23"/>
        </w:rPr>
      </w:pPr>
      <w:r>
        <w:rPr>
          <w:spacing w:val="-3"/>
          <w:sz w:val="23"/>
          <w:szCs w:val="23"/>
        </w:rPr>
        <w:t>(二)应急准备的主要内容</w:t>
      </w:r>
    </w:p>
    <w:p w14:paraId="250D0A28">
      <w:pPr>
        <w:pStyle w:val="2"/>
        <w:spacing w:before="141" w:line="275" w:lineRule="auto"/>
        <w:ind w:left="689" w:right="43" w:firstLine="409"/>
        <w:rPr>
          <w:rFonts w:ascii="宋体" w:hAnsi="宋体" w:eastAsia="宋体" w:cs="宋体"/>
          <w:sz w:val="20"/>
          <w:szCs w:val="20"/>
        </w:rPr>
      </w:pPr>
      <w:r>
        <w:rPr>
          <w:rFonts w:ascii="宋体" w:hAnsi="宋体" w:eastAsia="宋体" w:cs="宋体"/>
          <w:spacing w:val="4"/>
          <w:sz w:val="20"/>
          <w:szCs w:val="20"/>
        </w:rPr>
        <w:t xml:space="preserve">1. </w:t>
      </w:r>
      <w:r>
        <w:rPr>
          <w:spacing w:val="4"/>
          <w:sz w:val="20"/>
          <w:szCs w:val="20"/>
        </w:rPr>
        <w:t>构建组织指挥体系</w:t>
      </w:r>
      <w:r>
        <w:rPr>
          <w:spacing w:val="109"/>
          <w:sz w:val="20"/>
          <w:szCs w:val="20"/>
        </w:rPr>
        <w:t xml:space="preserve"> </w:t>
      </w:r>
      <w:r>
        <w:rPr>
          <w:rFonts w:ascii="宋体" w:hAnsi="宋体" w:eastAsia="宋体" w:cs="宋体"/>
          <w:spacing w:val="4"/>
          <w:sz w:val="20"/>
          <w:szCs w:val="20"/>
        </w:rPr>
        <w:t>建立高效融合、反应灵敏、决策科学的组织指挥体系，打破部门和地域</w:t>
      </w:r>
      <w:r>
        <w:rPr>
          <w:rFonts w:ascii="宋体" w:hAnsi="宋体" w:eastAsia="宋体" w:cs="宋体"/>
          <w:sz w:val="20"/>
          <w:szCs w:val="20"/>
        </w:rPr>
        <w:t xml:space="preserve"> </w:t>
      </w:r>
      <w:r>
        <w:rPr>
          <w:rFonts w:ascii="宋体" w:hAnsi="宋体" w:eastAsia="宋体" w:cs="宋体"/>
          <w:spacing w:val="-2"/>
          <w:sz w:val="20"/>
          <w:szCs w:val="20"/>
        </w:rPr>
        <w:t>界限，完善重大风险研判、评估、决策及防控协同机制，做到统一领导、统一指</w:t>
      </w:r>
      <w:r>
        <w:rPr>
          <w:rFonts w:ascii="宋体" w:hAnsi="宋体" w:eastAsia="宋体" w:cs="宋体"/>
          <w:spacing w:val="-3"/>
          <w:sz w:val="20"/>
          <w:szCs w:val="20"/>
        </w:rPr>
        <w:t>挥、统一行动。</w:t>
      </w:r>
    </w:p>
    <w:p w14:paraId="4BBF3025">
      <w:pPr>
        <w:pStyle w:val="2"/>
        <w:spacing w:before="144" w:line="271" w:lineRule="auto"/>
        <w:ind w:left="689" w:right="39" w:firstLine="409"/>
        <w:rPr>
          <w:rFonts w:ascii="宋体" w:hAnsi="宋体" w:eastAsia="宋体" w:cs="宋体"/>
          <w:sz w:val="20"/>
          <w:szCs w:val="20"/>
        </w:rPr>
      </w:pPr>
      <w:r>
        <w:rPr>
          <w:rFonts w:ascii="宋体" w:hAnsi="宋体" w:eastAsia="宋体" w:cs="宋体"/>
          <w:spacing w:val="11"/>
          <w:sz w:val="20"/>
          <w:szCs w:val="20"/>
        </w:rPr>
        <w:t xml:space="preserve">2. </w:t>
      </w:r>
      <w:r>
        <w:rPr>
          <w:spacing w:val="11"/>
          <w:sz w:val="20"/>
          <w:szCs w:val="20"/>
        </w:rPr>
        <w:t xml:space="preserve">加强信息化建设 </w:t>
      </w:r>
      <w:r>
        <w:rPr>
          <w:rFonts w:ascii="宋体" w:hAnsi="宋体" w:eastAsia="宋体" w:cs="宋体"/>
          <w:spacing w:val="11"/>
          <w:sz w:val="20"/>
          <w:szCs w:val="20"/>
        </w:rPr>
        <w:t>加强疾病预防控制信息化建设，共享并综合运用相关数据，发挥大数据</w:t>
      </w:r>
      <w:r>
        <w:rPr>
          <w:rFonts w:ascii="宋体" w:hAnsi="宋体" w:eastAsia="宋体" w:cs="宋体"/>
          <w:spacing w:val="18"/>
          <w:sz w:val="20"/>
          <w:szCs w:val="20"/>
        </w:rPr>
        <w:t xml:space="preserve"> </w:t>
      </w:r>
      <w:r>
        <w:rPr>
          <w:rFonts w:ascii="宋体" w:hAnsi="宋体" w:eastAsia="宋体" w:cs="宋体"/>
          <w:spacing w:val="5"/>
          <w:sz w:val="20"/>
          <w:szCs w:val="20"/>
        </w:rPr>
        <w:t>在传染病和突发公共卫生事件监测分析、防控救治、疫情溯源以及资源调配等方面的作用。</w:t>
      </w:r>
    </w:p>
    <w:p w14:paraId="41DA9882">
      <w:pPr>
        <w:pStyle w:val="2"/>
        <w:spacing w:before="145" w:line="294" w:lineRule="auto"/>
        <w:ind w:left="689" w:right="18" w:firstLine="409"/>
        <w:rPr>
          <w:rFonts w:ascii="宋体" w:hAnsi="宋体" w:eastAsia="宋体" w:cs="宋体"/>
          <w:sz w:val="20"/>
          <w:szCs w:val="20"/>
        </w:rPr>
      </w:pPr>
      <w:r>
        <w:rPr>
          <w:rFonts w:ascii="宋体" w:hAnsi="宋体" w:eastAsia="宋体" w:cs="宋体"/>
          <w:spacing w:val="20"/>
          <w:sz w:val="20"/>
          <w:szCs w:val="20"/>
        </w:rPr>
        <w:t>3.</w:t>
      </w:r>
      <w:r>
        <w:rPr>
          <w:rFonts w:ascii="宋体" w:hAnsi="宋体" w:eastAsia="宋体" w:cs="宋体"/>
          <w:spacing w:val="7"/>
          <w:sz w:val="20"/>
          <w:szCs w:val="20"/>
        </w:rPr>
        <w:t xml:space="preserve"> </w:t>
      </w:r>
      <w:r>
        <w:rPr>
          <w:spacing w:val="20"/>
          <w:sz w:val="20"/>
          <w:szCs w:val="20"/>
        </w:rPr>
        <w:t>提高物资保障能力</w:t>
      </w:r>
      <w:r>
        <w:rPr>
          <w:spacing w:val="6"/>
          <w:sz w:val="20"/>
          <w:szCs w:val="20"/>
        </w:rPr>
        <w:t xml:space="preserve">  </w:t>
      </w:r>
      <w:r>
        <w:rPr>
          <w:rFonts w:ascii="宋体" w:hAnsi="宋体" w:eastAsia="宋体" w:cs="宋体"/>
          <w:spacing w:val="20"/>
          <w:sz w:val="20"/>
          <w:szCs w:val="20"/>
        </w:rPr>
        <w:t>国家建立健全公共卫生应急物资保障体系，健全国家应急医疗物</w:t>
      </w:r>
      <w:r>
        <w:rPr>
          <w:rFonts w:ascii="宋体" w:hAnsi="宋体" w:eastAsia="宋体" w:cs="宋体"/>
          <w:sz w:val="20"/>
          <w:szCs w:val="20"/>
        </w:rPr>
        <w:t xml:space="preserve"> </w:t>
      </w:r>
      <w:r>
        <w:rPr>
          <w:rFonts w:ascii="宋体" w:hAnsi="宋体" w:eastAsia="宋体" w:cs="宋体"/>
          <w:spacing w:val="17"/>
          <w:sz w:val="20"/>
          <w:szCs w:val="20"/>
        </w:rPr>
        <w:t>资保障调度平台。同时，建立重要民生商品应急物资储备目录清单，丰富品种，优化储备仓库</w:t>
      </w:r>
      <w:r>
        <w:rPr>
          <w:rFonts w:ascii="宋体" w:hAnsi="宋体" w:eastAsia="宋体" w:cs="宋体"/>
          <w:spacing w:val="15"/>
          <w:sz w:val="20"/>
          <w:szCs w:val="20"/>
        </w:rPr>
        <w:t xml:space="preserve"> </w:t>
      </w:r>
      <w:r>
        <w:rPr>
          <w:rFonts w:ascii="宋体" w:hAnsi="宋体" w:eastAsia="宋体" w:cs="宋体"/>
          <w:spacing w:val="10"/>
          <w:sz w:val="20"/>
          <w:szCs w:val="20"/>
        </w:rPr>
        <w:t>布局。</w:t>
      </w:r>
    </w:p>
    <w:p w14:paraId="10417A4F">
      <w:pPr>
        <w:pStyle w:val="2"/>
        <w:spacing w:before="153" w:line="276" w:lineRule="auto"/>
        <w:ind w:left="689" w:right="15" w:firstLine="409"/>
        <w:rPr>
          <w:rFonts w:ascii="宋体" w:hAnsi="宋体" w:eastAsia="宋体" w:cs="宋体"/>
          <w:sz w:val="20"/>
          <w:szCs w:val="20"/>
        </w:rPr>
      </w:pPr>
      <w:r>
        <w:rPr>
          <w:rFonts w:ascii="宋体" w:hAnsi="宋体" w:eastAsia="宋体" w:cs="宋体"/>
          <w:spacing w:val="7"/>
          <w:sz w:val="20"/>
          <w:szCs w:val="20"/>
        </w:rPr>
        <w:t xml:space="preserve">4. </w:t>
      </w:r>
      <w:r>
        <w:rPr>
          <w:spacing w:val="7"/>
          <w:sz w:val="20"/>
          <w:szCs w:val="20"/>
        </w:rPr>
        <w:t xml:space="preserve">强化法治保障 </w:t>
      </w:r>
      <w:r>
        <w:rPr>
          <w:rFonts w:ascii="宋体" w:hAnsi="宋体" w:eastAsia="宋体" w:cs="宋体"/>
          <w:spacing w:val="7"/>
          <w:sz w:val="20"/>
          <w:szCs w:val="20"/>
        </w:rPr>
        <w:t>构建系统完备、科学规范、运行有效的公共卫生法治体系，运用法治思维和</w:t>
      </w:r>
      <w:r>
        <w:rPr>
          <w:rFonts w:ascii="宋体" w:hAnsi="宋体" w:eastAsia="宋体" w:cs="宋体"/>
          <w:spacing w:val="4"/>
          <w:sz w:val="20"/>
          <w:szCs w:val="20"/>
        </w:rPr>
        <w:t xml:space="preserve"> </w:t>
      </w:r>
      <w:r>
        <w:rPr>
          <w:rFonts w:ascii="宋体" w:hAnsi="宋体" w:eastAsia="宋体" w:cs="宋体"/>
          <w:spacing w:val="6"/>
          <w:sz w:val="20"/>
          <w:szCs w:val="20"/>
        </w:rPr>
        <w:t>方式应对突发公共卫生事件。</w:t>
      </w:r>
    </w:p>
    <w:p w14:paraId="60E4D670">
      <w:pPr>
        <w:pStyle w:val="2"/>
        <w:spacing w:before="124" w:line="301" w:lineRule="auto"/>
        <w:ind w:left="689" w:right="39" w:firstLine="409"/>
        <w:rPr>
          <w:rFonts w:ascii="宋体" w:hAnsi="宋体" w:eastAsia="宋体" w:cs="宋体"/>
          <w:sz w:val="20"/>
          <w:szCs w:val="20"/>
        </w:rPr>
      </w:pPr>
      <w:r>
        <w:rPr>
          <w:rFonts w:ascii="宋体" w:hAnsi="宋体" w:eastAsia="宋体" w:cs="宋体"/>
          <w:spacing w:val="9"/>
          <w:sz w:val="20"/>
          <w:szCs w:val="20"/>
        </w:rPr>
        <w:t xml:space="preserve">5. </w:t>
      </w:r>
      <w:r>
        <w:rPr>
          <w:spacing w:val="9"/>
          <w:sz w:val="20"/>
          <w:szCs w:val="20"/>
        </w:rPr>
        <w:t>加强人才队伍建设</w:t>
      </w:r>
      <w:r>
        <w:rPr>
          <w:spacing w:val="4"/>
          <w:sz w:val="20"/>
          <w:szCs w:val="20"/>
        </w:rPr>
        <w:t xml:space="preserve">  </w:t>
      </w:r>
      <w:r>
        <w:rPr>
          <w:rFonts w:ascii="宋体" w:hAnsi="宋体" w:eastAsia="宋体" w:cs="宋体"/>
          <w:spacing w:val="9"/>
          <w:sz w:val="20"/>
          <w:szCs w:val="20"/>
        </w:rPr>
        <w:t>完善公共卫生和卫生应急人才发展规划，推进公共卫生医师规范化培</w:t>
      </w:r>
      <w:r>
        <w:rPr>
          <w:rFonts w:ascii="宋体" w:hAnsi="宋体" w:eastAsia="宋体" w:cs="宋体"/>
          <w:spacing w:val="1"/>
          <w:sz w:val="20"/>
          <w:szCs w:val="20"/>
        </w:rPr>
        <w:t xml:space="preserve"> </w:t>
      </w:r>
      <w:r>
        <w:rPr>
          <w:rFonts w:ascii="宋体" w:hAnsi="宋体" w:eastAsia="宋体" w:cs="宋体"/>
          <w:spacing w:val="2"/>
          <w:sz w:val="20"/>
          <w:szCs w:val="20"/>
        </w:rPr>
        <w:t>训，强化高校与疾控机构、传染病医院的医教研合作，建设高层次公共卫生人才队伍，并持续加强医</w:t>
      </w:r>
      <w:r>
        <w:rPr>
          <w:rFonts w:ascii="宋体" w:hAnsi="宋体" w:eastAsia="宋体" w:cs="宋体"/>
          <w:spacing w:val="3"/>
          <w:sz w:val="20"/>
          <w:szCs w:val="20"/>
        </w:rPr>
        <w:t xml:space="preserve"> </w:t>
      </w:r>
      <w:r>
        <w:rPr>
          <w:rFonts w:ascii="宋体" w:hAnsi="宋体" w:eastAsia="宋体" w:cs="宋体"/>
          <w:spacing w:val="7"/>
          <w:sz w:val="20"/>
          <w:szCs w:val="20"/>
        </w:rPr>
        <w:t>护人员和应急处置人员培训演练。</w:t>
      </w:r>
    </w:p>
    <w:p w14:paraId="79110E90">
      <w:pPr>
        <w:pStyle w:val="2"/>
        <w:spacing w:before="136" w:line="296" w:lineRule="auto"/>
        <w:ind w:left="689" w:right="21" w:firstLine="409"/>
        <w:rPr>
          <w:rFonts w:ascii="宋体" w:hAnsi="宋体" w:eastAsia="宋体" w:cs="宋体"/>
          <w:sz w:val="20"/>
          <w:szCs w:val="20"/>
        </w:rPr>
      </w:pPr>
      <w:r>
        <w:rPr>
          <w:rFonts w:ascii="宋体" w:hAnsi="宋体" w:eastAsia="宋体" w:cs="宋体"/>
          <w:spacing w:val="12"/>
          <w:sz w:val="20"/>
          <w:szCs w:val="20"/>
        </w:rPr>
        <w:t xml:space="preserve">6. </w:t>
      </w:r>
      <w:r>
        <w:rPr>
          <w:spacing w:val="12"/>
          <w:sz w:val="20"/>
          <w:szCs w:val="20"/>
        </w:rPr>
        <w:t>制定应急预案</w:t>
      </w:r>
      <w:r>
        <w:rPr>
          <w:sz w:val="20"/>
          <w:szCs w:val="20"/>
        </w:rPr>
        <w:t xml:space="preserve">  </w:t>
      </w:r>
      <w:r>
        <w:rPr>
          <w:rFonts w:ascii="宋体" w:hAnsi="宋体" w:eastAsia="宋体" w:cs="宋体"/>
          <w:spacing w:val="12"/>
          <w:sz w:val="20"/>
          <w:szCs w:val="20"/>
        </w:rPr>
        <w:t>根据2024年发布的《突发事件应</w:t>
      </w:r>
      <w:r>
        <w:rPr>
          <w:rFonts w:ascii="宋体" w:hAnsi="宋体" w:eastAsia="宋体" w:cs="宋体"/>
          <w:spacing w:val="11"/>
          <w:sz w:val="20"/>
          <w:szCs w:val="20"/>
        </w:rPr>
        <w:t>急预案管理办法》,各级人民政府及其部</w:t>
      </w:r>
      <w:r>
        <w:rPr>
          <w:rFonts w:ascii="宋体" w:hAnsi="宋体" w:eastAsia="宋体" w:cs="宋体"/>
          <w:spacing w:val="1"/>
          <w:sz w:val="20"/>
          <w:szCs w:val="20"/>
        </w:rPr>
        <w:t xml:space="preserve"> </w:t>
      </w:r>
      <w:r>
        <w:rPr>
          <w:rFonts w:ascii="宋体" w:hAnsi="宋体" w:eastAsia="宋体" w:cs="宋体"/>
          <w:spacing w:val="2"/>
          <w:sz w:val="20"/>
          <w:szCs w:val="20"/>
        </w:rPr>
        <w:t>门、基层组织、企事业单位和社会组织等应预先制定详细预案，实现依法、迅速、科学、有序应对突</w:t>
      </w:r>
      <w:r>
        <w:rPr>
          <w:rFonts w:ascii="宋体" w:hAnsi="宋体" w:eastAsia="宋体" w:cs="宋体"/>
          <w:spacing w:val="5"/>
          <w:sz w:val="20"/>
          <w:szCs w:val="20"/>
        </w:rPr>
        <w:t xml:space="preserve"> </w:t>
      </w:r>
      <w:r>
        <w:rPr>
          <w:rFonts w:ascii="宋体" w:hAnsi="宋体" w:eastAsia="宋体" w:cs="宋体"/>
          <w:spacing w:val="1"/>
          <w:sz w:val="20"/>
          <w:szCs w:val="20"/>
        </w:rPr>
        <w:t>发事件，最大限度减少损害。</w:t>
      </w:r>
    </w:p>
    <w:p w14:paraId="61CD1D46">
      <w:pPr>
        <w:pStyle w:val="2"/>
        <w:spacing w:before="150" w:line="304" w:lineRule="auto"/>
        <w:ind w:left="689" w:firstLine="409"/>
        <w:rPr>
          <w:rFonts w:ascii="宋体" w:hAnsi="宋体" w:eastAsia="宋体" w:cs="宋体"/>
          <w:sz w:val="20"/>
          <w:szCs w:val="20"/>
        </w:rPr>
      </w:pPr>
      <w:r>
        <w:rPr>
          <w:rFonts w:ascii="宋体" w:hAnsi="宋体" w:eastAsia="宋体" w:cs="宋体"/>
          <w:spacing w:val="5"/>
          <w:sz w:val="20"/>
          <w:szCs w:val="20"/>
        </w:rPr>
        <w:t xml:space="preserve">7. </w:t>
      </w:r>
      <w:r>
        <w:rPr>
          <w:spacing w:val="5"/>
          <w:sz w:val="20"/>
          <w:szCs w:val="20"/>
        </w:rPr>
        <w:t>开展风险评估</w:t>
      </w:r>
      <w:r>
        <w:rPr>
          <w:spacing w:val="48"/>
          <w:sz w:val="20"/>
          <w:szCs w:val="20"/>
        </w:rPr>
        <w:t xml:space="preserve"> </w:t>
      </w:r>
      <w:r>
        <w:rPr>
          <w:rFonts w:ascii="宋体" w:hAnsi="宋体" w:eastAsia="宋体" w:cs="宋体"/>
          <w:spacing w:val="5"/>
          <w:sz w:val="20"/>
          <w:szCs w:val="20"/>
        </w:rPr>
        <w:t>风险评估(</w:t>
      </w:r>
      <w:r>
        <w:rPr>
          <w:rFonts w:ascii="宋体" w:hAnsi="宋体" w:eastAsia="宋体" w:cs="宋体"/>
          <w:sz w:val="20"/>
          <w:szCs w:val="20"/>
        </w:rPr>
        <w:t>risk</w:t>
      </w:r>
      <w:r>
        <w:rPr>
          <w:rFonts w:ascii="宋体" w:hAnsi="宋体" w:eastAsia="宋体" w:cs="宋体"/>
          <w:spacing w:val="5"/>
          <w:sz w:val="20"/>
          <w:szCs w:val="20"/>
        </w:rPr>
        <w:t xml:space="preserve"> </w:t>
      </w:r>
      <w:r>
        <w:rPr>
          <w:rFonts w:ascii="宋体" w:hAnsi="宋体" w:eastAsia="宋体" w:cs="宋体"/>
          <w:sz w:val="20"/>
          <w:szCs w:val="20"/>
        </w:rPr>
        <w:t>assessment</w:t>
      </w:r>
      <w:r>
        <w:rPr>
          <w:rFonts w:ascii="宋体" w:hAnsi="宋体" w:eastAsia="宋体" w:cs="宋体"/>
          <w:spacing w:val="5"/>
          <w:sz w:val="20"/>
          <w:szCs w:val="20"/>
        </w:rPr>
        <w:t>)是指系统收集数据</w:t>
      </w:r>
      <w:r>
        <w:rPr>
          <w:rFonts w:ascii="宋体" w:hAnsi="宋体" w:eastAsia="宋体" w:cs="宋体"/>
          <w:spacing w:val="4"/>
          <w:sz w:val="20"/>
          <w:szCs w:val="20"/>
        </w:rPr>
        <w:t>，识别地区面临的各种突发公</w:t>
      </w:r>
      <w:r>
        <w:rPr>
          <w:rFonts w:ascii="宋体" w:hAnsi="宋体" w:eastAsia="宋体" w:cs="宋体"/>
          <w:sz w:val="20"/>
          <w:szCs w:val="20"/>
        </w:rPr>
        <w:t xml:space="preserve"> </w:t>
      </w:r>
      <w:r>
        <w:rPr>
          <w:rFonts w:ascii="宋体" w:hAnsi="宋体" w:eastAsia="宋体" w:cs="宋体"/>
          <w:spacing w:val="7"/>
          <w:sz w:val="20"/>
          <w:szCs w:val="20"/>
        </w:rPr>
        <w:t>共卫生事件风险，评估其发生概率及潜在危害，确定当地政府、社会和群众承受风险的能力及防控</w:t>
      </w:r>
      <w:r>
        <w:rPr>
          <w:rFonts w:ascii="宋体" w:hAnsi="宋体" w:eastAsia="宋体" w:cs="宋体"/>
          <w:spacing w:val="6"/>
          <w:sz w:val="20"/>
          <w:szCs w:val="20"/>
        </w:rPr>
        <w:t xml:space="preserve"> </w:t>
      </w:r>
      <w:r>
        <w:rPr>
          <w:rFonts w:ascii="宋体" w:hAnsi="宋体" w:eastAsia="宋体" w:cs="宋体"/>
          <w:spacing w:val="9"/>
          <w:sz w:val="20"/>
          <w:szCs w:val="20"/>
        </w:rPr>
        <w:t>优先级，包括日常风险评估(事件发生前评估某地区的危害脆弱性)和特定风险评估(事件发生后评</w:t>
      </w:r>
      <w:r>
        <w:rPr>
          <w:rFonts w:ascii="宋体" w:hAnsi="宋体" w:eastAsia="宋体" w:cs="宋体"/>
          <w:spacing w:val="10"/>
          <w:sz w:val="20"/>
          <w:szCs w:val="20"/>
        </w:rPr>
        <w:t xml:space="preserve"> </w:t>
      </w:r>
      <w:r>
        <w:rPr>
          <w:rFonts w:ascii="宋体" w:hAnsi="宋体" w:eastAsia="宋体" w:cs="宋体"/>
          <w:spacing w:val="6"/>
          <w:sz w:val="20"/>
          <w:szCs w:val="20"/>
        </w:rPr>
        <w:t>估该事件可能造成的进一步风险)。</w:t>
      </w:r>
    </w:p>
    <w:p w14:paraId="4212A06D">
      <w:pPr>
        <w:spacing w:line="304" w:lineRule="auto"/>
        <w:rPr>
          <w:rFonts w:ascii="宋体" w:hAnsi="宋体" w:eastAsia="宋体" w:cs="宋体"/>
          <w:sz w:val="20"/>
          <w:szCs w:val="20"/>
        </w:rPr>
        <w:sectPr>
          <w:footerReference r:id="rId277" w:type="default"/>
          <w:pgSz w:w="11900" w:h="16820"/>
          <w:pgMar w:top="400" w:right="1478" w:bottom="819" w:left="800" w:header="0" w:footer="639" w:gutter="0"/>
          <w:cols w:space="720" w:num="1"/>
        </w:sectPr>
      </w:pPr>
    </w:p>
    <w:p w14:paraId="329E3B94">
      <w:pPr>
        <w:pStyle w:val="2"/>
        <w:spacing w:before="26" w:line="221" w:lineRule="auto"/>
        <w:ind w:left="6019"/>
        <w:rPr>
          <w:sz w:val="20"/>
          <w:szCs w:val="20"/>
        </w:rPr>
      </w:pPr>
      <w:r>
        <w:rPr>
          <w:spacing w:val="-18"/>
          <w:w w:val="95"/>
          <w:sz w:val="20"/>
          <w:szCs w:val="20"/>
        </w:rPr>
        <w:t>第十六章 突发公共卫生事件流行病学</w:t>
      </w:r>
    </w:p>
    <w:p w14:paraId="37575593">
      <w:pPr>
        <w:spacing w:line="357" w:lineRule="auto"/>
        <w:rPr>
          <w:rFonts w:ascii="Arial"/>
          <w:sz w:val="21"/>
        </w:rPr>
      </w:pPr>
    </w:p>
    <w:p w14:paraId="76879255">
      <w:pPr>
        <w:spacing w:line="358" w:lineRule="auto"/>
        <w:rPr>
          <w:rFonts w:ascii="Arial"/>
          <w:sz w:val="21"/>
        </w:rPr>
      </w:pPr>
    </w:p>
    <w:p w14:paraId="52D53E2C">
      <w:pPr>
        <w:pStyle w:val="2"/>
        <w:spacing w:before="82" w:line="223" w:lineRule="auto"/>
        <w:ind w:left="433"/>
        <w:outlineLvl w:val="4"/>
        <w:rPr>
          <w:sz w:val="25"/>
          <w:szCs w:val="25"/>
        </w:rPr>
      </w:pPr>
      <w:bookmarkStart w:id="430" w:name="bookmark271"/>
      <w:bookmarkEnd w:id="430"/>
      <w:r>
        <w:rPr>
          <w:b/>
          <w:bCs/>
          <w:spacing w:val="-5"/>
          <w:sz w:val="25"/>
          <w:szCs w:val="25"/>
        </w:rPr>
        <w:t>二</w:t>
      </w:r>
      <w:r>
        <w:rPr>
          <w:spacing w:val="-55"/>
          <w:sz w:val="25"/>
          <w:szCs w:val="25"/>
        </w:rPr>
        <w:t xml:space="preserve"> </w:t>
      </w:r>
      <w:r>
        <w:rPr>
          <w:b/>
          <w:bCs/>
          <w:spacing w:val="-5"/>
          <w:sz w:val="25"/>
          <w:szCs w:val="25"/>
        </w:rPr>
        <w:t>、应急处置</w:t>
      </w:r>
    </w:p>
    <w:p w14:paraId="26519656">
      <w:pPr>
        <w:pStyle w:val="2"/>
        <w:spacing w:before="228" w:line="221" w:lineRule="auto"/>
        <w:ind w:left="429"/>
        <w:rPr>
          <w:sz w:val="25"/>
          <w:szCs w:val="25"/>
        </w:rPr>
      </w:pPr>
      <w:r>
        <w:rPr>
          <w:spacing w:val="-11"/>
          <w:sz w:val="25"/>
          <w:szCs w:val="25"/>
        </w:rPr>
        <w:t>(一)应急处置的概念</w:t>
      </w:r>
    </w:p>
    <w:p w14:paraId="250D97C8">
      <w:pPr>
        <w:spacing w:before="110" w:line="338" w:lineRule="auto"/>
        <w:ind w:right="637" w:firstLine="429"/>
        <w:rPr>
          <w:rFonts w:ascii="宋体" w:hAnsi="宋体" w:eastAsia="宋体" w:cs="宋体"/>
          <w:sz w:val="20"/>
          <w:szCs w:val="20"/>
        </w:rPr>
      </w:pPr>
      <w:r>
        <w:rPr>
          <w:rFonts w:ascii="宋体" w:hAnsi="宋体" w:eastAsia="宋体" w:cs="宋体"/>
          <w:spacing w:val="11"/>
          <w:sz w:val="20"/>
          <w:szCs w:val="20"/>
        </w:rPr>
        <w:t>应急处置是指在获知发生或可能发生突发公共卫生事件后所采</w:t>
      </w:r>
      <w:r>
        <w:rPr>
          <w:rFonts w:ascii="宋体" w:hAnsi="宋体" w:eastAsia="宋体" w:cs="宋体"/>
          <w:spacing w:val="10"/>
          <w:sz w:val="20"/>
          <w:szCs w:val="20"/>
        </w:rPr>
        <w:t>取的紧急筹划和应对行动，以</w:t>
      </w:r>
      <w:r>
        <w:rPr>
          <w:rFonts w:ascii="宋体" w:hAnsi="宋体" w:eastAsia="宋体" w:cs="宋体"/>
          <w:sz w:val="20"/>
          <w:szCs w:val="20"/>
        </w:rPr>
        <w:t xml:space="preserve"> </w:t>
      </w:r>
      <w:r>
        <w:rPr>
          <w:rFonts w:ascii="宋体" w:hAnsi="宋体" w:eastAsia="宋体" w:cs="宋体"/>
          <w:spacing w:val="6"/>
          <w:sz w:val="20"/>
          <w:szCs w:val="20"/>
        </w:rPr>
        <w:t>最大限度地减轻事件危害，保护公众生命和财产安全。</w:t>
      </w:r>
    </w:p>
    <w:p w14:paraId="21F48388">
      <w:pPr>
        <w:pStyle w:val="2"/>
        <w:spacing w:line="222" w:lineRule="auto"/>
        <w:ind w:left="429"/>
        <w:rPr>
          <w:sz w:val="25"/>
          <w:szCs w:val="25"/>
        </w:rPr>
      </w:pPr>
      <w:r>
        <w:rPr>
          <w:spacing w:val="-10"/>
          <w:sz w:val="25"/>
          <w:szCs w:val="25"/>
        </w:rPr>
        <w:t>(二)应急处置的内容</w:t>
      </w:r>
    </w:p>
    <w:p w14:paraId="0A293E06">
      <w:pPr>
        <w:pStyle w:val="2"/>
        <w:spacing w:before="124" w:line="342" w:lineRule="auto"/>
        <w:ind w:right="641" w:firstLine="429"/>
        <w:jc w:val="both"/>
        <w:rPr>
          <w:rFonts w:ascii="宋体" w:hAnsi="宋体" w:eastAsia="宋体" w:cs="宋体"/>
          <w:sz w:val="20"/>
          <w:szCs w:val="20"/>
        </w:rPr>
      </w:pPr>
      <w:r>
        <w:rPr>
          <w:rFonts w:ascii="宋体" w:hAnsi="宋体" w:eastAsia="宋体" w:cs="宋体"/>
          <w:spacing w:val="10"/>
          <w:sz w:val="20"/>
          <w:szCs w:val="20"/>
        </w:rPr>
        <w:t xml:space="preserve">1. </w:t>
      </w:r>
      <w:r>
        <w:rPr>
          <w:spacing w:val="10"/>
          <w:sz w:val="20"/>
          <w:szCs w:val="20"/>
        </w:rPr>
        <w:t xml:space="preserve">启动应急预案 </w:t>
      </w:r>
      <w:r>
        <w:rPr>
          <w:rFonts w:ascii="宋体" w:hAnsi="宋体" w:eastAsia="宋体" w:cs="宋体"/>
          <w:spacing w:val="10"/>
          <w:sz w:val="20"/>
          <w:szCs w:val="20"/>
        </w:rPr>
        <w:t>突发公共卫生事件发</w:t>
      </w:r>
      <w:r>
        <w:rPr>
          <w:rFonts w:ascii="宋体" w:hAnsi="宋体" w:eastAsia="宋体" w:cs="宋体"/>
          <w:spacing w:val="9"/>
          <w:sz w:val="20"/>
          <w:szCs w:val="20"/>
        </w:rPr>
        <w:t>生后，卫生行政主管部门应组织专家对事件进行综合</w:t>
      </w:r>
      <w:r>
        <w:rPr>
          <w:rFonts w:ascii="宋体" w:hAnsi="宋体" w:eastAsia="宋体" w:cs="宋体"/>
          <w:sz w:val="20"/>
          <w:szCs w:val="20"/>
        </w:rPr>
        <w:t xml:space="preserve"> </w:t>
      </w:r>
      <w:r>
        <w:rPr>
          <w:rFonts w:ascii="宋体" w:hAnsi="宋体" w:eastAsia="宋体" w:cs="宋体"/>
          <w:spacing w:val="6"/>
          <w:sz w:val="20"/>
          <w:szCs w:val="20"/>
        </w:rPr>
        <w:t>评估，初步判断事件类型，确定启动应急预案的级别。应急指挥部发布启动命令，各部</w:t>
      </w:r>
      <w:r>
        <w:rPr>
          <w:rFonts w:ascii="宋体" w:hAnsi="宋体" w:eastAsia="宋体" w:cs="宋体"/>
          <w:spacing w:val="5"/>
          <w:sz w:val="20"/>
          <w:szCs w:val="20"/>
        </w:rPr>
        <w:t>门按照应急</w:t>
      </w:r>
      <w:r>
        <w:rPr>
          <w:rFonts w:ascii="宋体" w:hAnsi="宋体" w:eastAsia="宋体" w:cs="宋体"/>
          <w:sz w:val="20"/>
          <w:szCs w:val="20"/>
        </w:rPr>
        <w:t xml:space="preserve"> </w:t>
      </w:r>
      <w:r>
        <w:rPr>
          <w:rFonts w:ascii="宋体" w:hAnsi="宋体" w:eastAsia="宋体" w:cs="宋体"/>
          <w:spacing w:val="5"/>
          <w:sz w:val="20"/>
          <w:szCs w:val="20"/>
        </w:rPr>
        <w:t>预案的要求，开展应急处置工作。</w:t>
      </w:r>
    </w:p>
    <w:p w14:paraId="616250A4">
      <w:pPr>
        <w:pStyle w:val="2"/>
        <w:spacing w:before="1" w:line="307" w:lineRule="auto"/>
        <w:ind w:right="556" w:firstLine="429"/>
        <w:rPr>
          <w:rFonts w:ascii="宋体" w:hAnsi="宋体" w:eastAsia="宋体" w:cs="宋体"/>
          <w:sz w:val="20"/>
          <w:szCs w:val="20"/>
        </w:rPr>
      </w:pPr>
      <w:r>
        <w:rPr>
          <w:rFonts w:ascii="宋体" w:hAnsi="宋体" w:eastAsia="宋体" w:cs="宋体"/>
          <w:spacing w:val="6"/>
          <w:sz w:val="20"/>
          <w:szCs w:val="20"/>
        </w:rPr>
        <w:t xml:space="preserve">2. </w:t>
      </w:r>
      <w:r>
        <w:rPr>
          <w:spacing w:val="6"/>
          <w:sz w:val="20"/>
          <w:szCs w:val="20"/>
        </w:rPr>
        <w:t>医疗救护和现场救援</w:t>
      </w:r>
      <w:r>
        <w:rPr>
          <w:spacing w:val="60"/>
          <w:sz w:val="20"/>
          <w:szCs w:val="20"/>
        </w:rPr>
        <w:t xml:space="preserve"> </w:t>
      </w:r>
      <w:r>
        <w:rPr>
          <w:rFonts w:ascii="宋体" w:hAnsi="宋体" w:eastAsia="宋体" w:cs="宋体"/>
          <w:spacing w:val="6"/>
          <w:sz w:val="20"/>
          <w:szCs w:val="20"/>
        </w:rPr>
        <w:t>严重事件会造成大量病人或伤员，因此首要任务是及时诊断</w:t>
      </w:r>
      <w:r>
        <w:rPr>
          <w:rFonts w:ascii="宋体" w:hAnsi="宋体" w:eastAsia="宋体" w:cs="宋体"/>
          <w:spacing w:val="5"/>
          <w:sz w:val="20"/>
          <w:szCs w:val="20"/>
        </w:rPr>
        <w:t>和救治。</w:t>
      </w:r>
      <w:r>
        <w:rPr>
          <w:rFonts w:ascii="宋体" w:hAnsi="宋体" w:eastAsia="宋体" w:cs="宋体"/>
          <w:sz w:val="20"/>
          <w:szCs w:val="20"/>
        </w:rPr>
        <w:t xml:space="preserve"> </w:t>
      </w:r>
      <w:r>
        <w:rPr>
          <w:rFonts w:ascii="宋体" w:hAnsi="宋体" w:eastAsia="宋体" w:cs="宋体"/>
          <w:spacing w:val="11"/>
          <w:sz w:val="20"/>
          <w:szCs w:val="20"/>
        </w:rPr>
        <w:t>传染病病人和疑似病人必须隔离治疗，对甲类及按甲类处置的传染</w:t>
      </w:r>
      <w:r>
        <w:rPr>
          <w:rFonts w:ascii="宋体" w:hAnsi="宋体" w:eastAsia="宋体" w:cs="宋体"/>
          <w:spacing w:val="10"/>
          <w:sz w:val="20"/>
          <w:szCs w:val="20"/>
        </w:rPr>
        <w:t>病的密切接触者也应采取必要</w:t>
      </w:r>
      <w:r>
        <w:rPr>
          <w:rFonts w:ascii="宋体" w:hAnsi="宋体" w:eastAsia="宋体" w:cs="宋体"/>
          <w:sz w:val="20"/>
          <w:szCs w:val="20"/>
        </w:rPr>
        <w:t xml:space="preserve">  </w:t>
      </w:r>
      <w:r>
        <w:rPr>
          <w:rFonts w:ascii="宋体" w:hAnsi="宋体" w:eastAsia="宋体" w:cs="宋体"/>
          <w:spacing w:val="13"/>
          <w:sz w:val="20"/>
          <w:szCs w:val="20"/>
        </w:rPr>
        <w:t>的管理措施。</w:t>
      </w:r>
    </w:p>
    <w:p w14:paraId="25D88D1E">
      <w:pPr>
        <w:pStyle w:val="2"/>
        <w:spacing w:before="142" w:line="290" w:lineRule="auto"/>
        <w:ind w:right="643" w:firstLine="429"/>
        <w:rPr>
          <w:rFonts w:ascii="宋体" w:hAnsi="宋体" w:eastAsia="宋体" w:cs="宋体"/>
          <w:sz w:val="20"/>
          <w:szCs w:val="20"/>
        </w:rPr>
      </w:pPr>
      <w:r>
        <w:rPr>
          <w:rFonts w:ascii="宋体" w:hAnsi="宋体" w:eastAsia="宋体" w:cs="宋体"/>
          <w:spacing w:val="3"/>
          <w:sz w:val="20"/>
          <w:szCs w:val="20"/>
        </w:rPr>
        <w:t>3.</w:t>
      </w:r>
      <w:r>
        <w:rPr>
          <w:rFonts w:ascii="宋体" w:hAnsi="宋体" w:eastAsia="宋体" w:cs="宋体"/>
          <w:spacing w:val="37"/>
          <w:sz w:val="20"/>
          <w:szCs w:val="20"/>
        </w:rPr>
        <w:t xml:space="preserve"> </w:t>
      </w:r>
      <w:r>
        <w:rPr>
          <w:spacing w:val="3"/>
          <w:sz w:val="20"/>
          <w:szCs w:val="20"/>
        </w:rPr>
        <w:t>食品、饮用水卫生措施</w:t>
      </w:r>
      <w:r>
        <w:rPr>
          <w:spacing w:val="61"/>
          <w:sz w:val="20"/>
          <w:szCs w:val="20"/>
        </w:rPr>
        <w:t xml:space="preserve"> </w:t>
      </w:r>
      <w:r>
        <w:rPr>
          <w:rFonts w:ascii="宋体" w:hAnsi="宋体" w:eastAsia="宋体" w:cs="宋体"/>
          <w:spacing w:val="3"/>
          <w:sz w:val="20"/>
          <w:szCs w:val="20"/>
        </w:rPr>
        <w:t>加强食品卫生、饮用水卫生的管理，依法做好供水单位和食品生产</w:t>
      </w:r>
      <w:r>
        <w:rPr>
          <w:rFonts w:ascii="宋体" w:hAnsi="宋体" w:eastAsia="宋体" w:cs="宋体"/>
          <w:sz w:val="20"/>
          <w:szCs w:val="20"/>
        </w:rPr>
        <w:t xml:space="preserve"> </w:t>
      </w:r>
      <w:r>
        <w:rPr>
          <w:rFonts w:ascii="宋体" w:hAnsi="宋体" w:eastAsia="宋体" w:cs="宋体"/>
          <w:spacing w:val="11"/>
          <w:sz w:val="20"/>
          <w:szCs w:val="20"/>
        </w:rPr>
        <w:t>流通部门的监督监测工作。</w:t>
      </w:r>
    </w:p>
    <w:p w14:paraId="363856D3">
      <w:pPr>
        <w:pStyle w:val="2"/>
        <w:spacing w:before="131" w:line="280" w:lineRule="auto"/>
        <w:ind w:right="644" w:firstLine="429"/>
        <w:rPr>
          <w:rFonts w:ascii="宋体" w:hAnsi="宋体" w:eastAsia="宋体" w:cs="宋体"/>
          <w:sz w:val="20"/>
          <w:szCs w:val="20"/>
        </w:rPr>
      </w:pPr>
      <w:r>
        <w:rPr>
          <w:rFonts w:ascii="宋体" w:hAnsi="宋体" w:eastAsia="宋体" w:cs="宋体"/>
          <w:spacing w:val="4"/>
          <w:sz w:val="20"/>
          <w:szCs w:val="20"/>
        </w:rPr>
        <w:t xml:space="preserve">4. </w:t>
      </w:r>
      <w:r>
        <w:rPr>
          <w:spacing w:val="4"/>
          <w:sz w:val="20"/>
          <w:szCs w:val="20"/>
        </w:rPr>
        <w:t>环境卫生处理</w:t>
      </w:r>
      <w:r>
        <w:rPr>
          <w:spacing w:val="72"/>
          <w:sz w:val="20"/>
          <w:szCs w:val="20"/>
        </w:rPr>
        <w:t xml:space="preserve"> </w:t>
      </w:r>
      <w:r>
        <w:rPr>
          <w:rFonts w:ascii="宋体" w:hAnsi="宋体" w:eastAsia="宋体" w:cs="宋体"/>
          <w:spacing w:val="4"/>
          <w:sz w:val="20"/>
          <w:szCs w:val="20"/>
        </w:rPr>
        <w:t>开展公共场所卫生监督，及</w:t>
      </w:r>
      <w:r>
        <w:rPr>
          <w:rFonts w:ascii="宋体" w:hAnsi="宋体" w:eastAsia="宋体" w:cs="宋体"/>
          <w:spacing w:val="3"/>
          <w:sz w:val="20"/>
          <w:szCs w:val="20"/>
        </w:rPr>
        <w:t>时清理垃圾、粪便，指导人畜尸体无害化处理工</w:t>
      </w:r>
      <w:r>
        <w:rPr>
          <w:rFonts w:ascii="宋体" w:hAnsi="宋体" w:eastAsia="宋体" w:cs="宋体"/>
          <w:sz w:val="20"/>
          <w:szCs w:val="20"/>
        </w:rPr>
        <w:t xml:space="preserve"> </w:t>
      </w:r>
      <w:r>
        <w:rPr>
          <w:rFonts w:ascii="宋体" w:hAnsi="宋体" w:eastAsia="宋体" w:cs="宋体"/>
          <w:spacing w:val="1"/>
          <w:sz w:val="20"/>
          <w:szCs w:val="20"/>
        </w:rPr>
        <w:t>作，对住房、公共场所和安置点及时实施消</w:t>
      </w:r>
      <w:r>
        <w:rPr>
          <w:rFonts w:ascii="宋体" w:hAnsi="宋体" w:eastAsia="宋体" w:cs="宋体"/>
          <w:sz w:val="20"/>
          <w:szCs w:val="20"/>
        </w:rPr>
        <w:t>毒、杀虫和灭鼠，并有效控制病媒生物。</w:t>
      </w:r>
    </w:p>
    <w:p w14:paraId="7C98AD1B">
      <w:pPr>
        <w:pStyle w:val="2"/>
        <w:spacing w:before="142" w:line="295" w:lineRule="auto"/>
        <w:ind w:right="646" w:firstLine="429"/>
        <w:rPr>
          <w:rFonts w:ascii="宋体" w:hAnsi="宋体" w:eastAsia="宋体" w:cs="宋体"/>
          <w:sz w:val="20"/>
          <w:szCs w:val="20"/>
        </w:rPr>
      </w:pPr>
      <w:r>
        <w:rPr>
          <w:rFonts w:ascii="宋体" w:hAnsi="宋体" w:eastAsia="宋体" w:cs="宋体"/>
          <w:spacing w:val="4"/>
          <w:sz w:val="20"/>
          <w:szCs w:val="20"/>
        </w:rPr>
        <w:t xml:space="preserve">5. </w:t>
      </w:r>
      <w:r>
        <w:rPr>
          <w:spacing w:val="4"/>
          <w:sz w:val="20"/>
          <w:szCs w:val="20"/>
        </w:rPr>
        <w:t>易感人群的保护</w:t>
      </w:r>
      <w:r>
        <w:rPr>
          <w:spacing w:val="65"/>
          <w:sz w:val="20"/>
          <w:szCs w:val="20"/>
        </w:rPr>
        <w:t xml:space="preserve"> </w:t>
      </w:r>
      <w:r>
        <w:rPr>
          <w:rFonts w:ascii="宋体" w:hAnsi="宋体" w:eastAsia="宋体" w:cs="宋体"/>
          <w:spacing w:val="4"/>
          <w:sz w:val="20"/>
          <w:szCs w:val="20"/>
        </w:rPr>
        <w:t>根据疾病严重性、传播难易和暴露危害</w:t>
      </w:r>
      <w:r>
        <w:rPr>
          <w:rFonts w:ascii="宋体" w:hAnsi="宋体" w:eastAsia="宋体" w:cs="宋体"/>
          <w:spacing w:val="3"/>
          <w:sz w:val="20"/>
          <w:szCs w:val="20"/>
        </w:rPr>
        <w:t>程度，采取基本防护、加强防护或</w:t>
      </w:r>
      <w:r>
        <w:rPr>
          <w:rFonts w:ascii="宋体" w:hAnsi="宋体" w:eastAsia="宋体" w:cs="宋体"/>
          <w:sz w:val="20"/>
          <w:szCs w:val="20"/>
        </w:rPr>
        <w:t xml:space="preserve"> </w:t>
      </w:r>
      <w:r>
        <w:rPr>
          <w:rFonts w:ascii="宋体" w:hAnsi="宋体" w:eastAsia="宋体" w:cs="宋体"/>
          <w:spacing w:val="6"/>
          <w:sz w:val="20"/>
          <w:szCs w:val="20"/>
        </w:rPr>
        <w:t>严密防护措施。为防止疫情扩散，可根据疫情可能波及的范围划定疫点、</w:t>
      </w:r>
      <w:r>
        <w:rPr>
          <w:rFonts w:ascii="宋体" w:hAnsi="宋体" w:eastAsia="宋体" w:cs="宋体"/>
          <w:spacing w:val="5"/>
          <w:sz w:val="20"/>
          <w:szCs w:val="20"/>
        </w:rPr>
        <w:t>疫区，必要时依法报请政</w:t>
      </w:r>
      <w:r>
        <w:rPr>
          <w:rFonts w:ascii="宋体" w:hAnsi="宋体" w:eastAsia="宋体" w:cs="宋体"/>
          <w:sz w:val="20"/>
          <w:szCs w:val="20"/>
        </w:rPr>
        <w:t xml:space="preserve"> </w:t>
      </w:r>
      <w:r>
        <w:rPr>
          <w:rFonts w:ascii="宋体" w:hAnsi="宋体" w:eastAsia="宋体" w:cs="宋体"/>
          <w:spacing w:val="13"/>
          <w:sz w:val="20"/>
          <w:szCs w:val="20"/>
        </w:rPr>
        <w:t>府实施封锁管制。</w:t>
      </w:r>
    </w:p>
    <w:p w14:paraId="1E372270">
      <w:pPr>
        <w:pStyle w:val="2"/>
        <w:spacing w:before="163" w:line="284" w:lineRule="auto"/>
        <w:ind w:right="646" w:firstLine="429"/>
        <w:rPr>
          <w:rFonts w:ascii="宋体" w:hAnsi="宋体" w:eastAsia="宋体" w:cs="宋体"/>
          <w:sz w:val="20"/>
          <w:szCs w:val="20"/>
        </w:rPr>
      </w:pPr>
      <w:r>
        <w:rPr>
          <w:rFonts w:ascii="宋体" w:hAnsi="宋体" w:eastAsia="宋体" w:cs="宋体"/>
          <w:spacing w:val="7"/>
          <w:sz w:val="20"/>
          <w:szCs w:val="20"/>
        </w:rPr>
        <w:t xml:space="preserve">6. </w:t>
      </w:r>
      <w:r>
        <w:rPr>
          <w:spacing w:val="7"/>
          <w:sz w:val="20"/>
          <w:szCs w:val="20"/>
        </w:rPr>
        <w:t xml:space="preserve">信息收集与报告  </w:t>
      </w:r>
      <w:r>
        <w:rPr>
          <w:rFonts w:ascii="宋体" w:hAnsi="宋体" w:eastAsia="宋体" w:cs="宋体"/>
          <w:spacing w:val="7"/>
          <w:sz w:val="20"/>
          <w:szCs w:val="20"/>
        </w:rPr>
        <w:t>实行卫生应急信息日报告制度，及时向上级卫生行政部门及当地政府报</w:t>
      </w:r>
      <w:r>
        <w:rPr>
          <w:rFonts w:ascii="宋体" w:hAnsi="宋体" w:eastAsia="宋体" w:cs="宋体"/>
          <w:spacing w:val="17"/>
          <w:sz w:val="20"/>
          <w:szCs w:val="20"/>
        </w:rPr>
        <w:t xml:space="preserve"> </w:t>
      </w:r>
      <w:r>
        <w:rPr>
          <w:rFonts w:ascii="宋体" w:hAnsi="宋体" w:eastAsia="宋体" w:cs="宋体"/>
          <w:spacing w:val="6"/>
          <w:sz w:val="20"/>
          <w:szCs w:val="20"/>
        </w:rPr>
        <w:t>告事件信息及应急工作进展，加强与相关部门的信息沟通。</w:t>
      </w:r>
    </w:p>
    <w:p w14:paraId="7D8E5D1E">
      <w:pPr>
        <w:pStyle w:val="2"/>
        <w:spacing w:before="135" w:line="276" w:lineRule="auto"/>
        <w:ind w:right="645" w:firstLine="429"/>
        <w:rPr>
          <w:rFonts w:ascii="宋体" w:hAnsi="宋体" w:eastAsia="宋体" w:cs="宋体"/>
          <w:sz w:val="20"/>
          <w:szCs w:val="20"/>
        </w:rPr>
      </w:pPr>
      <w:r>
        <w:rPr>
          <w:rFonts w:ascii="宋体" w:hAnsi="宋体" w:eastAsia="宋体" w:cs="宋体"/>
          <w:spacing w:val="8"/>
          <w:sz w:val="20"/>
          <w:szCs w:val="20"/>
        </w:rPr>
        <w:t xml:space="preserve">7. </w:t>
      </w:r>
      <w:r>
        <w:rPr>
          <w:spacing w:val="8"/>
          <w:sz w:val="20"/>
          <w:szCs w:val="20"/>
        </w:rPr>
        <w:t>知识宣传和风险沟通</w:t>
      </w:r>
      <w:r>
        <w:rPr>
          <w:spacing w:val="91"/>
          <w:sz w:val="20"/>
          <w:szCs w:val="20"/>
        </w:rPr>
        <w:t xml:space="preserve"> </w:t>
      </w:r>
      <w:r>
        <w:rPr>
          <w:rFonts w:ascii="宋体" w:hAnsi="宋体" w:eastAsia="宋体" w:cs="宋体"/>
          <w:spacing w:val="8"/>
          <w:sz w:val="20"/>
          <w:szCs w:val="20"/>
        </w:rPr>
        <w:t>有针对性地开展自救、互救及卫生防病知识宣传，向媒体和公众做</w:t>
      </w:r>
      <w:r>
        <w:rPr>
          <w:rFonts w:ascii="宋体" w:hAnsi="宋体" w:eastAsia="宋体" w:cs="宋体"/>
          <w:sz w:val="20"/>
          <w:szCs w:val="20"/>
        </w:rPr>
        <w:t xml:space="preserve"> </w:t>
      </w:r>
      <w:r>
        <w:rPr>
          <w:rFonts w:ascii="宋体" w:hAnsi="宋体" w:eastAsia="宋体" w:cs="宋体"/>
          <w:spacing w:val="16"/>
          <w:sz w:val="20"/>
          <w:szCs w:val="20"/>
        </w:rPr>
        <w:t>好风险沟通。</w:t>
      </w:r>
    </w:p>
    <w:p w14:paraId="5FE76178">
      <w:pPr>
        <w:spacing w:before="151" w:line="285" w:lineRule="auto"/>
        <w:ind w:right="637" w:firstLine="429"/>
        <w:rPr>
          <w:rFonts w:ascii="宋体" w:hAnsi="宋体" w:eastAsia="宋体" w:cs="宋体"/>
          <w:sz w:val="20"/>
          <w:szCs w:val="20"/>
        </w:rPr>
      </w:pPr>
      <w:r>
        <w:rPr>
          <w:rFonts w:ascii="宋体" w:hAnsi="宋体" w:eastAsia="宋体" w:cs="宋体"/>
          <w:spacing w:val="8"/>
          <w:sz w:val="20"/>
          <w:szCs w:val="20"/>
        </w:rPr>
        <w:t>8. 心理援助  国家建立重大传染病疫情心理援助制度</w:t>
      </w:r>
      <w:r>
        <w:rPr>
          <w:rFonts w:ascii="宋体" w:hAnsi="宋体" w:eastAsia="宋体" w:cs="宋体"/>
          <w:spacing w:val="7"/>
          <w:sz w:val="20"/>
          <w:szCs w:val="20"/>
        </w:rPr>
        <w:t>。根据实际需要，组织专业人员为重点</w:t>
      </w:r>
      <w:r>
        <w:rPr>
          <w:rFonts w:ascii="宋体" w:hAnsi="宋体" w:eastAsia="宋体" w:cs="宋体"/>
          <w:sz w:val="20"/>
          <w:szCs w:val="20"/>
        </w:rPr>
        <w:t xml:space="preserve"> </w:t>
      </w:r>
      <w:r>
        <w:rPr>
          <w:rFonts w:ascii="宋体" w:hAnsi="宋体" w:eastAsia="宋体" w:cs="宋体"/>
          <w:spacing w:val="4"/>
          <w:sz w:val="20"/>
          <w:szCs w:val="20"/>
        </w:rPr>
        <w:t>人群以及社会公众提供心理疏导和危机干预，消除焦虑、恐慌等负</w:t>
      </w:r>
      <w:r>
        <w:rPr>
          <w:rFonts w:ascii="宋体" w:hAnsi="宋体" w:eastAsia="宋体" w:cs="宋体"/>
          <w:spacing w:val="3"/>
          <w:sz w:val="20"/>
          <w:szCs w:val="20"/>
        </w:rPr>
        <w:t>面情绪。</w:t>
      </w:r>
    </w:p>
    <w:p w14:paraId="22B4F847">
      <w:pPr>
        <w:pStyle w:val="2"/>
        <w:spacing w:before="133" w:line="300" w:lineRule="auto"/>
        <w:ind w:right="646" w:firstLine="429"/>
        <w:rPr>
          <w:rFonts w:ascii="宋体" w:hAnsi="宋体" w:eastAsia="宋体" w:cs="宋体"/>
          <w:sz w:val="20"/>
          <w:szCs w:val="20"/>
        </w:rPr>
      </w:pPr>
      <w:r>
        <w:rPr>
          <w:rFonts w:ascii="宋体" w:hAnsi="宋体" w:eastAsia="宋体" w:cs="宋体"/>
          <w:spacing w:val="8"/>
          <w:sz w:val="20"/>
          <w:szCs w:val="20"/>
        </w:rPr>
        <w:t xml:space="preserve">9. </w:t>
      </w:r>
      <w:r>
        <w:rPr>
          <w:spacing w:val="8"/>
          <w:sz w:val="20"/>
          <w:szCs w:val="20"/>
        </w:rPr>
        <w:t>特定风险评估</w:t>
      </w:r>
      <w:r>
        <w:rPr>
          <w:spacing w:val="90"/>
          <w:sz w:val="20"/>
          <w:szCs w:val="20"/>
        </w:rPr>
        <w:t xml:space="preserve"> </w:t>
      </w:r>
      <w:r>
        <w:rPr>
          <w:rFonts w:ascii="宋体" w:hAnsi="宋体" w:eastAsia="宋体" w:cs="宋体"/>
          <w:spacing w:val="8"/>
          <w:sz w:val="20"/>
          <w:szCs w:val="20"/>
        </w:rPr>
        <w:t>事件发生后，及时进行专业风险评估对于高效应对至关重要，包括明确事</w:t>
      </w:r>
      <w:r>
        <w:rPr>
          <w:rFonts w:ascii="宋体" w:hAnsi="宋体" w:eastAsia="宋体" w:cs="宋体"/>
          <w:sz w:val="20"/>
          <w:szCs w:val="20"/>
        </w:rPr>
        <w:t xml:space="preserve"> </w:t>
      </w:r>
      <w:r>
        <w:rPr>
          <w:rFonts w:ascii="宋体" w:hAnsi="宋体" w:eastAsia="宋体" w:cs="宋体"/>
          <w:spacing w:val="6"/>
          <w:sz w:val="20"/>
          <w:szCs w:val="20"/>
        </w:rPr>
        <w:t>件的类型和性质、评价影响范围及严重程度、预测发展趋势、确定事件</w:t>
      </w:r>
      <w:r>
        <w:rPr>
          <w:rFonts w:ascii="宋体" w:hAnsi="宋体" w:eastAsia="宋体" w:cs="宋体"/>
          <w:spacing w:val="5"/>
          <w:sz w:val="20"/>
          <w:szCs w:val="20"/>
        </w:rPr>
        <w:t>分级和启动响应。在国家标</w:t>
      </w:r>
      <w:r>
        <w:rPr>
          <w:rFonts w:ascii="宋体" w:hAnsi="宋体" w:eastAsia="宋体" w:cs="宋体"/>
          <w:sz w:val="20"/>
          <w:szCs w:val="20"/>
        </w:rPr>
        <w:t xml:space="preserve"> </w:t>
      </w:r>
      <w:r>
        <w:rPr>
          <w:rFonts w:ascii="宋体" w:hAnsi="宋体" w:eastAsia="宋体" w:cs="宋体"/>
          <w:spacing w:val="4"/>
          <w:sz w:val="20"/>
          <w:szCs w:val="20"/>
        </w:rPr>
        <w:t>准化管理委员会发布的风险管理标准中，风险评估包括风险识别、风险分析和风险评价三个过程。</w:t>
      </w:r>
    </w:p>
    <w:p w14:paraId="512E13FC">
      <w:pPr>
        <w:pStyle w:val="2"/>
        <w:spacing w:before="139" w:line="224" w:lineRule="auto"/>
        <w:ind w:left="8129"/>
        <w:rPr>
          <w:sz w:val="20"/>
          <w:szCs w:val="20"/>
        </w:rPr>
      </w:pPr>
      <w:r>
        <w:rPr>
          <w:spacing w:val="-15"/>
          <w:w w:val="99"/>
          <w:sz w:val="20"/>
          <w:szCs w:val="20"/>
        </w:rPr>
        <w:t>(</w:t>
      </w:r>
      <w:r>
        <w:rPr>
          <w:spacing w:val="-12"/>
          <w:sz w:val="20"/>
          <w:szCs w:val="20"/>
        </w:rPr>
        <w:t xml:space="preserve"> </w:t>
      </w:r>
      <w:r>
        <w:rPr>
          <w:spacing w:val="-15"/>
          <w:w w:val="99"/>
          <w:sz w:val="20"/>
          <w:szCs w:val="20"/>
        </w:rPr>
        <w:t>朱</w:t>
      </w:r>
      <w:r>
        <w:rPr>
          <w:spacing w:val="-14"/>
          <w:sz w:val="20"/>
          <w:szCs w:val="20"/>
        </w:rPr>
        <w:t xml:space="preserve"> </w:t>
      </w:r>
      <w:r>
        <w:rPr>
          <w:spacing w:val="-15"/>
          <w:w w:val="99"/>
          <w:sz w:val="20"/>
          <w:szCs w:val="20"/>
        </w:rPr>
        <w:t>红</w:t>
      </w:r>
      <w:r>
        <w:rPr>
          <w:spacing w:val="-17"/>
          <w:sz w:val="20"/>
          <w:szCs w:val="20"/>
        </w:rPr>
        <w:t xml:space="preserve"> </w:t>
      </w:r>
      <w:r>
        <w:rPr>
          <w:spacing w:val="-15"/>
          <w:w w:val="99"/>
          <w:sz w:val="20"/>
          <w:szCs w:val="20"/>
        </w:rPr>
        <w:t>)</w:t>
      </w:r>
    </w:p>
    <w:p w14:paraId="5B2DAEA7">
      <w:pPr>
        <w:spacing w:line="255" w:lineRule="auto"/>
        <w:rPr>
          <w:rFonts w:ascii="Arial"/>
          <w:sz w:val="21"/>
        </w:rPr>
      </w:pPr>
    </w:p>
    <w:p w14:paraId="5E39BBA1">
      <w:pPr>
        <w:spacing w:line="256" w:lineRule="auto"/>
        <w:rPr>
          <w:rFonts w:ascii="Arial"/>
          <w:sz w:val="21"/>
        </w:rPr>
      </w:pPr>
    </w:p>
    <w:p w14:paraId="0C3C6865">
      <w:pPr>
        <w:spacing w:line="256" w:lineRule="auto"/>
        <w:rPr>
          <w:rFonts w:ascii="Arial"/>
          <w:sz w:val="21"/>
        </w:rPr>
      </w:pPr>
    </w:p>
    <w:p w14:paraId="4135105A">
      <w:pPr>
        <w:pStyle w:val="2"/>
        <w:spacing w:before="81" w:line="222" w:lineRule="auto"/>
        <w:ind w:left="433"/>
        <w:rPr>
          <w:sz w:val="25"/>
          <w:szCs w:val="25"/>
        </w:rPr>
      </w:pPr>
      <w:r>
        <w:rPr>
          <w:b/>
          <w:bCs/>
          <w:spacing w:val="12"/>
          <w:sz w:val="25"/>
          <w:szCs w:val="25"/>
        </w:rPr>
        <w:t>思考题</w:t>
      </w:r>
    </w:p>
    <w:p w14:paraId="529EF5F3">
      <w:pPr>
        <w:spacing w:before="110" w:line="219" w:lineRule="auto"/>
        <w:ind w:left="1289"/>
        <w:rPr>
          <w:rFonts w:ascii="宋体" w:hAnsi="宋体" w:eastAsia="宋体" w:cs="宋体"/>
          <w:sz w:val="20"/>
          <w:szCs w:val="20"/>
        </w:rPr>
      </w:pPr>
      <w:r>
        <w:rPr>
          <w:rFonts w:ascii="宋体" w:hAnsi="宋体" w:eastAsia="宋体" w:cs="宋体"/>
          <w:spacing w:val="6"/>
          <w:sz w:val="20"/>
          <w:szCs w:val="20"/>
        </w:rPr>
        <w:t>1.</w:t>
      </w:r>
      <w:r>
        <w:rPr>
          <w:rFonts w:ascii="宋体" w:hAnsi="宋体" w:eastAsia="宋体" w:cs="宋体"/>
          <w:spacing w:val="-11"/>
          <w:sz w:val="20"/>
          <w:szCs w:val="20"/>
        </w:rPr>
        <w:t xml:space="preserve"> </w:t>
      </w:r>
      <w:r>
        <w:rPr>
          <w:rFonts w:ascii="宋体" w:hAnsi="宋体" w:eastAsia="宋体" w:cs="宋体"/>
          <w:spacing w:val="6"/>
          <w:sz w:val="20"/>
          <w:szCs w:val="20"/>
        </w:rPr>
        <w:t>暴发调查的基本步骤有哪些?</w:t>
      </w:r>
    </w:p>
    <w:p w14:paraId="430D5731">
      <w:pPr>
        <w:spacing w:before="144" w:line="219" w:lineRule="auto"/>
        <w:ind w:left="1289"/>
        <w:rPr>
          <w:rFonts w:ascii="宋体" w:hAnsi="宋体" w:eastAsia="宋体" w:cs="宋体"/>
          <w:sz w:val="20"/>
          <w:szCs w:val="20"/>
        </w:rPr>
      </w:pPr>
      <w:r>
        <w:rPr>
          <w:rFonts w:ascii="宋体" w:hAnsi="宋体" w:eastAsia="宋体" w:cs="宋体"/>
          <w:spacing w:val="9"/>
          <w:sz w:val="20"/>
          <w:szCs w:val="20"/>
        </w:rPr>
        <w:t>2.</w:t>
      </w:r>
      <w:r>
        <w:rPr>
          <w:rFonts w:ascii="宋体" w:hAnsi="宋体" w:eastAsia="宋体" w:cs="宋体"/>
          <w:spacing w:val="-21"/>
          <w:sz w:val="20"/>
          <w:szCs w:val="20"/>
        </w:rPr>
        <w:t xml:space="preserve"> </w:t>
      </w:r>
      <w:r>
        <w:rPr>
          <w:rFonts w:ascii="宋体" w:hAnsi="宋体" w:eastAsia="宋体" w:cs="宋体"/>
          <w:spacing w:val="9"/>
          <w:sz w:val="20"/>
          <w:szCs w:val="20"/>
        </w:rPr>
        <w:t>突发公共卫生事件应急准备的意义是什么?主要内容包括哪些?</w:t>
      </w:r>
    </w:p>
    <w:p w14:paraId="29154A13">
      <w:pPr>
        <w:spacing w:before="132" w:line="219" w:lineRule="auto"/>
        <w:ind w:left="1289"/>
        <w:rPr>
          <w:rFonts w:ascii="宋体" w:hAnsi="宋体" w:eastAsia="宋体" w:cs="宋体"/>
          <w:sz w:val="20"/>
          <w:szCs w:val="20"/>
        </w:rPr>
      </w:pPr>
      <w:r>
        <w:rPr>
          <w:rFonts w:ascii="宋体" w:hAnsi="宋体" w:eastAsia="宋体" w:cs="宋体"/>
          <w:spacing w:val="6"/>
          <w:sz w:val="20"/>
          <w:szCs w:val="20"/>
        </w:rPr>
        <w:t>3.</w:t>
      </w:r>
      <w:r>
        <w:rPr>
          <w:rFonts w:ascii="宋体" w:hAnsi="宋体" w:eastAsia="宋体" w:cs="宋体"/>
          <w:spacing w:val="-35"/>
          <w:sz w:val="20"/>
          <w:szCs w:val="20"/>
        </w:rPr>
        <w:t xml:space="preserve"> </w:t>
      </w:r>
      <w:r>
        <w:rPr>
          <w:rFonts w:ascii="宋体" w:hAnsi="宋体" w:eastAsia="宋体" w:cs="宋体"/>
          <w:spacing w:val="6"/>
          <w:sz w:val="20"/>
          <w:szCs w:val="20"/>
        </w:rPr>
        <w:t>突发公共卫生事件应急处置的主要内容包括哪些?</w:t>
      </w:r>
    </w:p>
    <w:p w14:paraId="47476B40">
      <w:pPr>
        <w:spacing w:line="219" w:lineRule="auto"/>
        <w:rPr>
          <w:rFonts w:ascii="宋体" w:hAnsi="宋体" w:eastAsia="宋体" w:cs="宋体"/>
          <w:sz w:val="20"/>
          <w:szCs w:val="20"/>
        </w:rPr>
        <w:sectPr>
          <w:footerReference r:id="rId278" w:type="default"/>
          <w:pgSz w:w="11900" w:h="16820"/>
          <w:pgMar w:top="400" w:right="904" w:bottom="839" w:left="1499" w:header="0" w:footer="659" w:gutter="0"/>
          <w:cols w:space="720" w:num="1"/>
        </w:sectPr>
      </w:pPr>
    </w:p>
    <w:p w14:paraId="49E9F931">
      <w:pPr>
        <w:spacing w:line="274" w:lineRule="auto"/>
        <w:rPr>
          <w:rFonts w:ascii="Arial"/>
          <w:sz w:val="21"/>
        </w:rPr>
      </w:pPr>
    </w:p>
    <w:p w14:paraId="1B96658D">
      <w:pPr>
        <w:spacing w:line="274" w:lineRule="auto"/>
        <w:rPr>
          <w:rFonts w:ascii="Arial"/>
          <w:sz w:val="21"/>
        </w:rPr>
      </w:pPr>
    </w:p>
    <w:p w14:paraId="68BBC567">
      <w:pPr>
        <w:spacing w:line="275" w:lineRule="auto"/>
        <w:rPr>
          <w:rFonts w:ascii="Arial"/>
          <w:sz w:val="21"/>
        </w:rPr>
      </w:pPr>
    </w:p>
    <w:p w14:paraId="37D06327">
      <w:pPr>
        <w:pStyle w:val="2"/>
        <w:spacing w:before="97" w:line="222" w:lineRule="auto"/>
        <w:ind w:left="4614"/>
        <w:outlineLvl w:val="0"/>
      </w:pPr>
      <w:r>
        <w:drawing>
          <wp:anchor distT="0" distB="0" distL="0" distR="0" simplePos="0" relativeHeight="251924480" behindDoc="0" locked="0" layoutInCell="1" allowOverlap="1">
            <wp:simplePos x="0" y="0"/>
            <wp:positionH relativeFrom="column">
              <wp:posOffset>438150</wp:posOffset>
            </wp:positionH>
            <wp:positionV relativeFrom="paragraph">
              <wp:posOffset>64135</wp:posOffset>
            </wp:positionV>
            <wp:extent cx="577850" cy="590550"/>
            <wp:effectExtent l="0" t="0" r="0" b="0"/>
            <wp:wrapNone/>
            <wp:docPr id="746" name="IM 746"/>
            <wp:cNvGraphicFramePr/>
            <a:graphic xmlns:a="http://schemas.openxmlformats.org/drawingml/2006/main">
              <a:graphicData uri="http://schemas.openxmlformats.org/drawingml/2006/picture">
                <pic:pic xmlns:pic="http://schemas.openxmlformats.org/drawingml/2006/picture">
                  <pic:nvPicPr>
                    <pic:cNvPr id="746" name="IM 746"/>
                    <pic:cNvPicPr/>
                  </pic:nvPicPr>
                  <pic:blipFill>
                    <a:blip r:embed="rId667"/>
                    <a:stretch>
                      <a:fillRect/>
                    </a:stretch>
                  </pic:blipFill>
                  <pic:spPr>
                    <a:xfrm>
                      <a:off x="0" y="0"/>
                      <a:ext cx="577845" cy="590536"/>
                    </a:xfrm>
                    <a:prstGeom prst="rect">
                      <a:avLst/>
                    </a:prstGeom>
                  </pic:spPr>
                </pic:pic>
              </a:graphicData>
            </a:graphic>
          </wp:anchor>
        </w:drawing>
      </w:r>
      <w:bookmarkStart w:id="431" w:name="bookmark272"/>
      <w:bookmarkEnd w:id="431"/>
      <w:r>
        <w:rPr>
          <w:b/>
          <w:bCs/>
          <w:spacing w:val="-6"/>
        </w:rPr>
        <w:t>第十七章</w:t>
      </w:r>
    </w:p>
    <w:p w14:paraId="4AF1C228">
      <w:pPr>
        <w:pStyle w:val="2"/>
        <w:spacing w:before="101" w:line="221" w:lineRule="auto"/>
        <w:ind w:left="3866"/>
        <w:outlineLvl w:val="0"/>
        <w:rPr>
          <w:sz w:val="45"/>
          <w:szCs w:val="45"/>
        </w:rPr>
      </w:pPr>
      <w:bookmarkStart w:id="432" w:name="bookmark548"/>
      <w:bookmarkEnd w:id="432"/>
      <w:bookmarkStart w:id="433" w:name="bookmark272"/>
      <w:bookmarkEnd w:id="433"/>
      <w:r>
        <w:rPr>
          <w:b/>
          <w:bCs/>
          <w:spacing w:val="-3"/>
          <w:sz w:val="45"/>
          <w:szCs w:val="45"/>
        </w:rPr>
        <w:t>分子流行病学</w:t>
      </w:r>
    </w:p>
    <w:p w14:paraId="426BD10E">
      <w:pPr>
        <w:spacing w:line="266" w:lineRule="auto"/>
        <w:rPr>
          <w:rFonts w:ascii="Arial"/>
          <w:sz w:val="21"/>
        </w:rPr>
      </w:pPr>
    </w:p>
    <w:p w14:paraId="615959EF">
      <w:pPr>
        <w:spacing w:line="266" w:lineRule="auto"/>
        <w:rPr>
          <w:rFonts w:ascii="Arial"/>
          <w:sz w:val="21"/>
        </w:rPr>
      </w:pPr>
    </w:p>
    <w:p w14:paraId="30E3F059">
      <w:pPr>
        <w:spacing w:line="266" w:lineRule="auto"/>
        <w:rPr>
          <w:rFonts w:ascii="Arial"/>
          <w:sz w:val="21"/>
        </w:rPr>
      </w:pPr>
    </w:p>
    <w:p w14:paraId="6AC87BB9">
      <w:pPr>
        <w:spacing w:before="86" w:line="198" w:lineRule="auto"/>
        <w:ind w:left="2760"/>
        <w:rPr>
          <w:rFonts w:ascii="Arial" w:hAnsi="Arial" w:eastAsia="Arial" w:cs="Arial"/>
          <w:sz w:val="30"/>
          <w:szCs w:val="30"/>
        </w:rPr>
      </w:pPr>
      <w:r>
        <w:rPr>
          <w:rFonts w:ascii="Arial" w:hAnsi="Arial" w:eastAsia="Arial" w:cs="Arial"/>
          <w:spacing w:val="-3"/>
          <w:sz w:val="30"/>
          <w:szCs w:val="30"/>
        </w:rPr>
        <w:t>Chapter</w:t>
      </w:r>
      <w:r>
        <w:rPr>
          <w:rFonts w:ascii="Arial" w:hAnsi="Arial" w:eastAsia="Arial" w:cs="Arial"/>
          <w:spacing w:val="78"/>
          <w:sz w:val="30"/>
          <w:szCs w:val="30"/>
        </w:rPr>
        <w:t xml:space="preserve"> </w:t>
      </w:r>
      <w:r>
        <w:rPr>
          <w:rFonts w:ascii="Arial" w:hAnsi="Arial" w:eastAsia="Arial" w:cs="Arial"/>
          <w:spacing w:val="-3"/>
          <w:sz w:val="30"/>
          <w:szCs w:val="30"/>
        </w:rPr>
        <w:t>17</w:t>
      </w:r>
      <w:r>
        <w:rPr>
          <w:rFonts w:ascii="Arial" w:hAnsi="Arial" w:eastAsia="Arial" w:cs="Arial"/>
          <w:spacing w:val="68"/>
          <w:sz w:val="30"/>
          <w:szCs w:val="30"/>
        </w:rPr>
        <w:t xml:space="preserve"> </w:t>
      </w:r>
      <w:r>
        <w:rPr>
          <w:rFonts w:ascii="Arial" w:hAnsi="Arial" w:eastAsia="Arial" w:cs="Arial"/>
          <w:spacing w:val="-3"/>
          <w:sz w:val="30"/>
          <w:szCs w:val="30"/>
        </w:rPr>
        <w:t>Molecular</w:t>
      </w:r>
      <w:r>
        <w:rPr>
          <w:rFonts w:ascii="Arial" w:hAnsi="Arial" w:eastAsia="Arial" w:cs="Arial"/>
          <w:spacing w:val="65"/>
          <w:sz w:val="30"/>
          <w:szCs w:val="30"/>
        </w:rPr>
        <w:t xml:space="preserve"> </w:t>
      </w:r>
      <w:r>
        <w:rPr>
          <w:rFonts w:ascii="Arial" w:hAnsi="Arial" w:eastAsia="Arial" w:cs="Arial"/>
          <w:spacing w:val="-3"/>
          <w:sz w:val="30"/>
          <w:szCs w:val="30"/>
        </w:rPr>
        <w:t>Epidemiology</w:t>
      </w:r>
    </w:p>
    <w:p w14:paraId="10EDC0A3">
      <w:pPr>
        <w:spacing w:line="369" w:lineRule="auto"/>
        <w:rPr>
          <w:rFonts w:ascii="Arial"/>
          <w:sz w:val="21"/>
        </w:rPr>
      </w:pPr>
    </w:p>
    <w:p w14:paraId="0BB732CB">
      <w:pPr>
        <w:spacing w:before="60" w:line="365" w:lineRule="auto"/>
        <w:ind w:left="710" w:right="117" w:firstLine="419"/>
        <w:jc w:val="both"/>
        <w:rPr>
          <w:rFonts w:ascii="Times New Roman" w:hAnsi="Times New Roman" w:eastAsia="Times New Roman" w:cs="Times New Roman"/>
          <w:sz w:val="21"/>
          <w:szCs w:val="21"/>
        </w:rPr>
      </w:pPr>
      <w:r>
        <w:rPr>
          <w:rFonts w:ascii="Times New Roman" w:hAnsi="Times New Roman" w:eastAsia="Times New Roman" w:cs="Times New Roman"/>
          <w:sz w:val="21"/>
          <w:szCs w:val="21"/>
        </w:rPr>
        <w:t>Molecular</w:t>
      </w:r>
      <w:r>
        <w:rPr>
          <w:rFonts w:ascii="Times New Roman" w:hAnsi="Times New Roman" w:eastAsia="Times New Roman" w:cs="Times New Roman"/>
          <w:spacing w:val="15"/>
          <w:w w:val="101"/>
          <w:sz w:val="21"/>
          <w:szCs w:val="21"/>
        </w:rPr>
        <w:t xml:space="preserve"> </w:t>
      </w:r>
      <w:r>
        <w:rPr>
          <w:rFonts w:ascii="Times New Roman" w:hAnsi="Times New Roman" w:eastAsia="Times New Roman" w:cs="Times New Roman"/>
          <w:sz w:val="21"/>
          <w:szCs w:val="21"/>
        </w:rPr>
        <w:t>epidemiology</w:t>
      </w:r>
      <w:r>
        <w:rPr>
          <w:rFonts w:ascii="Times New Roman" w:hAnsi="Times New Roman" w:eastAsia="Times New Roman" w:cs="Times New Roman"/>
          <w:spacing w:val="15"/>
          <w:sz w:val="21"/>
          <w:szCs w:val="21"/>
        </w:rPr>
        <w:t xml:space="preserve"> </w:t>
      </w:r>
      <w:r>
        <w:rPr>
          <w:rFonts w:ascii="Times New Roman" w:hAnsi="Times New Roman" w:eastAsia="Times New Roman" w:cs="Times New Roman"/>
          <w:sz w:val="21"/>
          <w:szCs w:val="21"/>
        </w:rPr>
        <w:t>is</w:t>
      </w:r>
      <w:r>
        <w:rPr>
          <w:rFonts w:ascii="Times New Roman" w:hAnsi="Times New Roman" w:eastAsia="Times New Roman" w:cs="Times New Roman"/>
          <w:spacing w:val="16"/>
          <w:w w:val="101"/>
          <w:sz w:val="21"/>
          <w:szCs w:val="21"/>
        </w:rPr>
        <w:t xml:space="preserve"> </w:t>
      </w:r>
      <w:r>
        <w:rPr>
          <w:rFonts w:ascii="Times New Roman" w:hAnsi="Times New Roman" w:eastAsia="Times New Roman" w:cs="Times New Roman"/>
          <w:sz w:val="21"/>
          <w:szCs w:val="21"/>
        </w:rPr>
        <w:t>a branch</w:t>
      </w:r>
      <w:r>
        <w:rPr>
          <w:rFonts w:ascii="Times New Roman" w:hAnsi="Times New Roman" w:eastAsia="Times New Roman" w:cs="Times New Roman"/>
          <w:spacing w:val="16"/>
          <w:sz w:val="21"/>
          <w:szCs w:val="21"/>
        </w:rPr>
        <w:t xml:space="preserve"> </w:t>
      </w:r>
      <w:r>
        <w:rPr>
          <w:rFonts w:ascii="Times New Roman" w:hAnsi="Times New Roman" w:eastAsia="Times New Roman" w:cs="Times New Roman"/>
          <w:sz w:val="21"/>
          <w:szCs w:val="21"/>
        </w:rPr>
        <w:t>of epidemiology that</w:t>
      </w:r>
      <w:r>
        <w:rPr>
          <w:rFonts w:ascii="Times New Roman" w:hAnsi="Times New Roman" w:eastAsia="Times New Roman" w:cs="Times New Roman"/>
          <w:spacing w:val="14"/>
          <w:w w:val="101"/>
          <w:sz w:val="21"/>
          <w:szCs w:val="21"/>
        </w:rPr>
        <w:t xml:space="preserve"> </w:t>
      </w:r>
      <w:r>
        <w:rPr>
          <w:rFonts w:ascii="Times New Roman" w:hAnsi="Times New Roman" w:eastAsia="Times New Roman" w:cs="Times New Roman"/>
          <w:sz w:val="21"/>
          <w:szCs w:val="21"/>
        </w:rPr>
        <w:t>integrates theories</w:t>
      </w:r>
      <w:r>
        <w:rPr>
          <w:rFonts w:ascii="Times New Roman" w:hAnsi="Times New Roman" w:eastAsia="Times New Roman" w:cs="Times New Roman"/>
          <w:spacing w:val="16"/>
          <w:w w:val="101"/>
          <w:sz w:val="21"/>
          <w:szCs w:val="21"/>
        </w:rPr>
        <w:t xml:space="preserve"> </w:t>
      </w:r>
      <w:r>
        <w:rPr>
          <w:rFonts w:ascii="Times New Roman" w:hAnsi="Times New Roman" w:eastAsia="Times New Roman" w:cs="Times New Roman"/>
          <w:sz w:val="21"/>
          <w:szCs w:val="21"/>
        </w:rPr>
        <w:t>and methods</w:t>
      </w:r>
      <w:r>
        <w:rPr>
          <w:rFonts w:ascii="Times New Roman" w:hAnsi="Times New Roman" w:eastAsia="Times New Roman" w:cs="Times New Roman"/>
          <w:spacing w:val="17"/>
          <w:sz w:val="21"/>
          <w:szCs w:val="21"/>
        </w:rPr>
        <w:t xml:space="preserve"> </w:t>
      </w:r>
      <w:r>
        <w:rPr>
          <w:rFonts w:ascii="Times New Roman" w:hAnsi="Times New Roman" w:eastAsia="Times New Roman" w:cs="Times New Roman"/>
          <w:sz w:val="21"/>
          <w:szCs w:val="21"/>
        </w:rPr>
        <w:t>f</w:t>
      </w:r>
      <w:r>
        <w:rPr>
          <w:rFonts w:ascii="Times New Roman" w:hAnsi="Times New Roman" w:eastAsia="Times New Roman" w:cs="Times New Roman"/>
          <w:spacing w:val="-1"/>
          <w:sz w:val="21"/>
          <w:szCs w:val="21"/>
        </w:rPr>
        <w:t>rom both</w:t>
      </w:r>
      <w:r>
        <w:rPr>
          <w:rFonts w:ascii="Times New Roman" w:hAnsi="Times New Roman" w:eastAsia="Times New Roman" w:cs="Times New Roman"/>
          <w:sz w:val="21"/>
          <w:szCs w:val="21"/>
        </w:rPr>
        <w:t xml:space="preserve"> epidemiology and molecular biology.It is distinguished from traditional</w:t>
      </w:r>
      <w:r>
        <w:rPr>
          <w:rFonts w:ascii="Times New Roman" w:hAnsi="Times New Roman" w:eastAsia="Times New Roman" w:cs="Times New Roman"/>
          <w:spacing w:val="13"/>
          <w:w w:val="101"/>
          <w:sz w:val="21"/>
          <w:szCs w:val="21"/>
        </w:rPr>
        <w:t xml:space="preserve"> </w:t>
      </w:r>
      <w:r>
        <w:rPr>
          <w:rFonts w:ascii="Times New Roman" w:hAnsi="Times New Roman" w:eastAsia="Times New Roman" w:cs="Times New Roman"/>
          <w:sz w:val="21"/>
          <w:szCs w:val="21"/>
        </w:rPr>
        <w:t>epidemiology</w:t>
      </w:r>
      <w:r>
        <w:rPr>
          <w:rFonts w:ascii="Times New Roman" w:hAnsi="Times New Roman" w:eastAsia="Times New Roman" w:cs="Times New Roman"/>
          <w:spacing w:val="2"/>
          <w:sz w:val="21"/>
          <w:szCs w:val="21"/>
        </w:rPr>
        <w:t xml:space="preserve"> </w:t>
      </w:r>
      <w:r>
        <w:rPr>
          <w:rFonts w:ascii="Times New Roman" w:hAnsi="Times New Roman" w:eastAsia="Times New Roman" w:cs="Times New Roman"/>
          <w:sz w:val="21"/>
          <w:szCs w:val="21"/>
        </w:rPr>
        <w:t>by</w:t>
      </w:r>
      <w:r>
        <w:rPr>
          <w:rFonts w:ascii="Times New Roman" w:hAnsi="Times New Roman" w:eastAsia="Times New Roman" w:cs="Times New Roman"/>
          <w:spacing w:val="9"/>
          <w:sz w:val="21"/>
          <w:szCs w:val="21"/>
        </w:rPr>
        <w:t xml:space="preserve"> </w:t>
      </w:r>
      <w:r>
        <w:rPr>
          <w:rFonts w:ascii="Times New Roman" w:hAnsi="Times New Roman" w:eastAsia="Times New Roman" w:cs="Times New Roman"/>
          <w:sz w:val="21"/>
          <w:szCs w:val="21"/>
        </w:rPr>
        <w:t>its</w:t>
      </w:r>
      <w:r>
        <w:rPr>
          <w:rFonts w:ascii="Times New Roman" w:hAnsi="Times New Roman" w:eastAsia="Times New Roman" w:cs="Times New Roman"/>
          <w:spacing w:val="3"/>
          <w:sz w:val="21"/>
          <w:szCs w:val="21"/>
        </w:rPr>
        <w:t xml:space="preserve"> </w:t>
      </w:r>
      <w:r>
        <w:rPr>
          <w:rFonts w:ascii="Times New Roman" w:hAnsi="Times New Roman" w:eastAsia="Times New Roman" w:cs="Times New Roman"/>
          <w:sz w:val="21"/>
          <w:szCs w:val="21"/>
        </w:rPr>
        <w:t>utilization</w:t>
      </w:r>
      <w:r>
        <w:rPr>
          <w:rFonts w:ascii="Times New Roman" w:hAnsi="Times New Roman" w:eastAsia="Times New Roman" w:cs="Times New Roman"/>
          <w:spacing w:val="10"/>
          <w:sz w:val="21"/>
          <w:szCs w:val="21"/>
        </w:rPr>
        <w:t xml:space="preserve"> </w:t>
      </w:r>
      <w:r>
        <w:rPr>
          <w:rFonts w:ascii="Times New Roman" w:hAnsi="Times New Roman" w:eastAsia="Times New Roman" w:cs="Times New Roman"/>
          <w:sz w:val="21"/>
          <w:szCs w:val="21"/>
        </w:rPr>
        <w:t>of  biologieal</w:t>
      </w:r>
      <w:r>
        <w:rPr>
          <w:rFonts w:ascii="Times New Roman" w:hAnsi="Times New Roman" w:eastAsia="Times New Roman" w:cs="Times New Roman"/>
          <w:spacing w:val="27"/>
          <w:w w:val="101"/>
          <w:sz w:val="21"/>
          <w:szCs w:val="21"/>
        </w:rPr>
        <w:t xml:space="preserve"> </w:t>
      </w:r>
      <w:r>
        <w:rPr>
          <w:rFonts w:ascii="Times New Roman" w:hAnsi="Times New Roman" w:eastAsia="Times New Roman" w:cs="Times New Roman"/>
          <w:sz w:val="21"/>
          <w:szCs w:val="21"/>
        </w:rPr>
        <w:t>and</w:t>
      </w:r>
      <w:r>
        <w:rPr>
          <w:rFonts w:ascii="Times New Roman" w:hAnsi="Times New Roman" w:eastAsia="Times New Roman" w:cs="Times New Roman"/>
          <w:spacing w:val="19"/>
          <w:sz w:val="21"/>
          <w:szCs w:val="21"/>
        </w:rPr>
        <w:t xml:space="preserve"> </w:t>
      </w:r>
      <w:r>
        <w:rPr>
          <w:rFonts w:ascii="Times New Roman" w:hAnsi="Times New Roman" w:eastAsia="Times New Roman" w:cs="Times New Roman"/>
          <w:sz w:val="21"/>
          <w:szCs w:val="21"/>
        </w:rPr>
        <w:t>partieularly</w:t>
      </w:r>
      <w:r>
        <w:rPr>
          <w:rFonts w:ascii="Times New Roman" w:hAnsi="Times New Roman" w:eastAsia="Times New Roman" w:cs="Times New Roman"/>
          <w:spacing w:val="26"/>
          <w:sz w:val="21"/>
          <w:szCs w:val="21"/>
        </w:rPr>
        <w:t xml:space="preserve"> </w:t>
      </w:r>
      <w:r>
        <w:rPr>
          <w:rFonts w:ascii="Times New Roman" w:hAnsi="Times New Roman" w:eastAsia="Times New Roman" w:cs="Times New Roman"/>
          <w:sz w:val="21"/>
          <w:szCs w:val="21"/>
        </w:rPr>
        <w:t>genetie</w:t>
      </w:r>
      <w:r>
        <w:rPr>
          <w:rFonts w:ascii="Times New Roman" w:hAnsi="Times New Roman" w:eastAsia="Times New Roman" w:cs="Times New Roman"/>
          <w:spacing w:val="21"/>
          <w:sz w:val="21"/>
          <w:szCs w:val="21"/>
        </w:rPr>
        <w:t xml:space="preserve"> </w:t>
      </w:r>
      <w:r>
        <w:rPr>
          <w:rFonts w:ascii="Times New Roman" w:hAnsi="Times New Roman" w:eastAsia="Times New Roman" w:cs="Times New Roman"/>
          <w:sz w:val="21"/>
          <w:szCs w:val="21"/>
        </w:rPr>
        <w:t>markers</w:t>
      </w:r>
      <w:r>
        <w:rPr>
          <w:rFonts w:ascii="Times New Roman" w:hAnsi="Times New Roman" w:eastAsia="Times New Roman" w:cs="Times New Roman"/>
          <w:spacing w:val="22"/>
          <w:sz w:val="21"/>
          <w:szCs w:val="21"/>
        </w:rPr>
        <w:t xml:space="preserve"> </w:t>
      </w:r>
      <w:r>
        <w:rPr>
          <w:rFonts w:ascii="Times New Roman" w:hAnsi="Times New Roman" w:eastAsia="Times New Roman" w:cs="Times New Roman"/>
          <w:sz w:val="21"/>
          <w:szCs w:val="21"/>
        </w:rPr>
        <w:t>t</w:t>
      </w:r>
      <w:r>
        <w:rPr>
          <w:rFonts w:ascii="Times New Roman" w:hAnsi="Times New Roman" w:eastAsia="Times New Roman" w:cs="Times New Roman"/>
          <w:spacing w:val="-1"/>
          <w:sz w:val="21"/>
          <w:szCs w:val="21"/>
        </w:rPr>
        <w:t>o</w:t>
      </w:r>
      <w:r>
        <w:rPr>
          <w:rFonts w:ascii="Times New Roman" w:hAnsi="Times New Roman" w:eastAsia="Times New Roman" w:cs="Times New Roman"/>
          <w:spacing w:val="27"/>
          <w:sz w:val="21"/>
          <w:szCs w:val="21"/>
        </w:rPr>
        <w:t xml:space="preserve"> </w:t>
      </w:r>
      <w:r>
        <w:rPr>
          <w:rFonts w:ascii="Times New Roman" w:hAnsi="Times New Roman" w:eastAsia="Times New Roman" w:cs="Times New Roman"/>
          <w:spacing w:val="-1"/>
          <w:sz w:val="21"/>
          <w:szCs w:val="21"/>
        </w:rPr>
        <w:t>assess</w:t>
      </w:r>
      <w:r>
        <w:rPr>
          <w:rFonts w:ascii="Times New Roman" w:hAnsi="Times New Roman" w:eastAsia="Times New Roman" w:cs="Times New Roman"/>
          <w:spacing w:val="22"/>
          <w:sz w:val="21"/>
          <w:szCs w:val="21"/>
        </w:rPr>
        <w:t xml:space="preserve"> </w:t>
      </w:r>
      <w:r>
        <w:rPr>
          <w:rFonts w:ascii="Times New Roman" w:hAnsi="Times New Roman" w:eastAsia="Times New Roman" w:cs="Times New Roman"/>
          <w:spacing w:val="-1"/>
          <w:sz w:val="21"/>
          <w:szCs w:val="21"/>
        </w:rPr>
        <w:t>the</w:t>
      </w:r>
      <w:r>
        <w:rPr>
          <w:rFonts w:ascii="Times New Roman" w:hAnsi="Times New Roman" w:eastAsia="Times New Roman" w:cs="Times New Roman"/>
          <w:spacing w:val="21"/>
          <w:sz w:val="21"/>
          <w:szCs w:val="21"/>
        </w:rPr>
        <w:t xml:space="preserve"> </w:t>
      </w:r>
      <w:r>
        <w:rPr>
          <w:rFonts w:ascii="Times New Roman" w:hAnsi="Times New Roman" w:eastAsia="Times New Roman" w:cs="Times New Roman"/>
          <w:spacing w:val="-1"/>
          <w:sz w:val="21"/>
          <w:szCs w:val="21"/>
        </w:rPr>
        <w:t>risk</w:t>
      </w:r>
      <w:r>
        <w:rPr>
          <w:rFonts w:ascii="Times New Roman" w:hAnsi="Times New Roman" w:eastAsia="Times New Roman" w:cs="Times New Roman"/>
          <w:spacing w:val="25"/>
          <w:w w:val="101"/>
          <w:sz w:val="21"/>
          <w:szCs w:val="21"/>
        </w:rPr>
        <w:t xml:space="preserve"> </w:t>
      </w:r>
      <w:r>
        <w:rPr>
          <w:rFonts w:ascii="Times New Roman" w:hAnsi="Times New Roman" w:eastAsia="Times New Roman" w:cs="Times New Roman"/>
          <w:spacing w:val="-1"/>
          <w:sz w:val="21"/>
          <w:szCs w:val="21"/>
        </w:rPr>
        <w:t>of a</w:t>
      </w:r>
      <w:r>
        <w:rPr>
          <w:rFonts w:ascii="Times New Roman" w:hAnsi="Times New Roman" w:eastAsia="Times New Roman" w:cs="Times New Roman"/>
          <w:spacing w:val="26"/>
          <w:w w:val="101"/>
          <w:sz w:val="21"/>
          <w:szCs w:val="21"/>
        </w:rPr>
        <w:t xml:space="preserve"> </w:t>
      </w:r>
      <w:r>
        <w:rPr>
          <w:rFonts w:ascii="Times New Roman" w:hAnsi="Times New Roman" w:eastAsia="Times New Roman" w:cs="Times New Roman"/>
          <w:spacing w:val="-1"/>
          <w:sz w:val="21"/>
          <w:szCs w:val="21"/>
        </w:rPr>
        <w:t>disease</w:t>
      </w:r>
      <w:r>
        <w:rPr>
          <w:rFonts w:ascii="Times New Roman" w:hAnsi="Times New Roman" w:eastAsia="Times New Roman" w:cs="Times New Roman"/>
          <w:spacing w:val="26"/>
          <w:w w:val="101"/>
          <w:sz w:val="21"/>
          <w:szCs w:val="21"/>
        </w:rPr>
        <w:t xml:space="preserve"> </w:t>
      </w:r>
      <w:r>
        <w:rPr>
          <w:rFonts w:ascii="Times New Roman" w:hAnsi="Times New Roman" w:eastAsia="Times New Roman" w:cs="Times New Roman"/>
          <w:spacing w:val="-1"/>
          <w:sz w:val="21"/>
          <w:szCs w:val="21"/>
        </w:rPr>
        <w:t>or</w:t>
      </w:r>
      <w:r>
        <w:rPr>
          <w:rFonts w:ascii="Times New Roman" w:hAnsi="Times New Roman" w:eastAsia="Times New Roman" w:cs="Times New Roman"/>
          <w:spacing w:val="26"/>
          <w:sz w:val="21"/>
          <w:szCs w:val="21"/>
        </w:rPr>
        <w:t xml:space="preserve"> </w:t>
      </w:r>
      <w:r>
        <w:rPr>
          <w:rFonts w:ascii="Times New Roman" w:hAnsi="Times New Roman" w:eastAsia="Times New Roman" w:cs="Times New Roman"/>
          <w:spacing w:val="-1"/>
          <w:sz w:val="21"/>
          <w:szCs w:val="21"/>
        </w:rPr>
        <w:t>as</w:t>
      </w:r>
      <w:r>
        <w:rPr>
          <w:rFonts w:ascii="Times New Roman" w:hAnsi="Times New Roman" w:eastAsia="Times New Roman" w:cs="Times New Roman"/>
          <w:spacing w:val="27"/>
          <w:sz w:val="21"/>
          <w:szCs w:val="21"/>
        </w:rPr>
        <w:t xml:space="preserve"> </w:t>
      </w:r>
      <w:r>
        <w:rPr>
          <w:rFonts w:ascii="Times New Roman" w:hAnsi="Times New Roman" w:eastAsia="Times New Roman" w:cs="Times New Roman"/>
          <w:spacing w:val="-1"/>
          <w:sz w:val="21"/>
          <w:szCs w:val="21"/>
        </w:rPr>
        <w:t>an</w:t>
      </w:r>
      <w:r>
        <w:rPr>
          <w:rFonts w:ascii="Times New Roman" w:hAnsi="Times New Roman" w:eastAsia="Times New Roman" w:cs="Times New Roman"/>
          <w:spacing w:val="26"/>
          <w:sz w:val="21"/>
          <w:szCs w:val="21"/>
        </w:rPr>
        <w:t xml:space="preserve"> </w:t>
      </w:r>
      <w:r>
        <w:rPr>
          <w:rFonts w:ascii="Times New Roman" w:hAnsi="Times New Roman" w:eastAsia="Times New Roman" w:cs="Times New Roman"/>
          <w:spacing w:val="-1"/>
          <w:sz w:val="21"/>
          <w:szCs w:val="21"/>
        </w:rPr>
        <w:t>indicator</w:t>
      </w:r>
      <w:r>
        <w:rPr>
          <w:rFonts w:ascii="Times New Roman" w:hAnsi="Times New Roman" w:eastAsia="Times New Roman" w:cs="Times New Roman"/>
          <w:spacing w:val="25"/>
          <w:w w:val="101"/>
          <w:sz w:val="21"/>
          <w:szCs w:val="21"/>
        </w:rPr>
        <w:t xml:space="preserve"> </w:t>
      </w:r>
      <w:r>
        <w:rPr>
          <w:rFonts w:ascii="Times New Roman" w:hAnsi="Times New Roman" w:eastAsia="Times New Roman" w:cs="Times New Roman"/>
          <w:spacing w:val="-1"/>
          <w:sz w:val="21"/>
          <w:szCs w:val="21"/>
        </w:rPr>
        <w:t>of a</w:t>
      </w:r>
      <w:r>
        <w:rPr>
          <w:rFonts w:ascii="Times New Roman" w:hAnsi="Times New Roman" w:eastAsia="Times New Roman" w:cs="Times New Roman"/>
          <w:spacing w:val="26"/>
          <w:w w:val="101"/>
          <w:sz w:val="21"/>
          <w:szCs w:val="21"/>
        </w:rPr>
        <w:t xml:space="preserve"> </w:t>
      </w:r>
      <w:r>
        <w:rPr>
          <w:rFonts w:ascii="Times New Roman" w:hAnsi="Times New Roman" w:eastAsia="Times New Roman" w:cs="Times New Roman"/>
          <w:spacing w:val="-1"/>
          <w:sz w:val="21"/>
          <w:szCs w:val="21"/>
        </w:rPr>
        <w:t>disease</w:t>
      </w:r>
      <w:r>
        <w:rPr>
          <w:rFonts w:ascii="Times New Roman" w:hAnsi="Times New Roman" w:eastAsia="Times New Roman" w:cs="Times New Roman"/>
          <w:sz w:val="21"/>
          <w:szCs w:val="21"/>
        </w:rPr>
        <w:t xml:space="preserve"> or</w:t>
      </w:r>
      <w:r>
        <w:rPr>
          <w:rFonts w:ascii="Times New Roman" w:hAnsi="Times New Roman" w:eastAsia="Times New Roman" w:cs="Times New Roman"/>
          <w:spacing w:val="29"/>
          <w:sz w:val="21"/>
          <w:szCs w:val="21"/>
        </w:rPr>
        <w:t xml:space="preserve"> </w:t>
      </w:r>
      <w:r>
        <w:rPr>
          <w:rFonts w:ascii="Times New Roman" w:hAnsi="Times New Roman" w:eastAsia="Times New Roman" w:cs="Times New Roman"/>
          <w:sz w:val="21"/>
          <w:szCs w:val="21"/>
        </w:rPr>
        <w:t>an</w:t>
      </w:r>
      <w:r>
        <w:rPr>
          <w:rFonts w:ascii="Times New Roman" w:hAnsi="Times New Roman" w:eastAsia="Times New Roman" w:cs="Times New Roman"/>
          <w:spacing w:val="30"/>
          <w:sz w:val="21"/>
          <w:szCs w:val="21"/>
        </w:rPr>
        <w:t xml:space="preserve"> </w:t>
      </w:r>
      <w:r>
        <w:rPr>
          <w:rFonts w:ascii="Times New Roman" w:hAnsi="Times New Roman" w:eastAsia="Times New Roman" w:cs="Times New Roman"/>
          <w:sz w:val="21"/>
          <w:szCs w:val="21"/>
        </w:rPr>
        <w:t>exposure</w:t>
      </w:r>
      <w:r>
        <w:rPr>
          <w:rFonts w:ascii="Times New Roman" w:hAnsi="Times New Roman" w:eastAsia="Times New Roman" w:cs="Times New Roman"/>
          <w:spacing w:val="28"/>
          <w:w w:val="101"/>
          <w:sz w:val="21"/>
          <w:szCs w:val="21"/>
        </w:rPr>
        <w:t xml:space="preserve"> </w:t>
      </w:r>
      <w:r>
        <w:rPr>
          <w:rFonts w:ascii="Times New Roman" w:hAnsi="Times New Roman" w:eastAsia="Times New Roman" w:cs="Times New Roman"/>
          <w:sz w:val="21"/>
          <w:szCs w:val="21"/>
        </w:rPr>
        <w:t>in</w:t>
      </w:r>
      <w:r>
        <w:rPr>
          <w:rFonts w:ascii="Times New Roman" w:hAnsi="Times New Roman" w:eastAsia="Times New Roman" w:cs="Times New Roman"/>
          <w:spacing w:val="24"/>
          <w:w w:val="101"/>
          <w:sz w:val="21"/>
          <w:szCs w:val="21"/>
        </w:rPr>
        <w:t xml:space="preserve"> </w:t>
      </w:r>
      <w:r>
        <w:rPr>
          <w:rFonts w:ascii="Times New Roman" w:hAnsi="Times New Roman" w:eastAsia="Times New Roman" w:cs="Times New Roman"/>
          <w:sz w:val="21"/>
          <w:szCs w:val="21"/>
        </w:rPr>
        <w:t>the</w:t>
      </w:r>
      <w:r>
        <w:rPr>
          <w:rFonts w:ascii="Times New Roman" w:hAnsi="Times New Roman" w:eastAsia="Times New Roman" w:cs="Times New Roman"/>
          <w:spacing w:val="32"/>
          <w:w w:val="101"/>
          <w:sz w:val="21"/>
          <w:szCs w:val="21"/>
        </w:rPr>
        <w:t xml:space="preserve"> </w:t>
      </w:r>
      <w:r>
        <w:rPr>
          <w:rFonts w:ascii="Times New Roman" w:hAnsi="Times New Roman" w:eastAsia="Times New Roman" w:cs="Times New Roman"/>
          <w:sz w:val="21"/>
          <w:szCs w:val="21"/>
        </w:rPr>
        <w:t>st</w:t>
      </w:r>
      <w:r>
        <w:rPr>
          <w:rFonts w:ascii="Times New Roman" w:hAnsi="Times New Roman" w:eastAsia="Times New Roman" w:cs="Times New Roman"/>
          <w:spacing w:val="-1"/>
          <w:sz w:val="21"/>
          <w:szCs w:val="21"/>
        </w:rPr>
        <w:t>udies</w:t>
      </w:r>
      <w:r>
        <w:rPr>
          <w:rFonts w:ascii="Times New Roman" w:hAnsi="Times New Roman" w:eastAsia="Times New Roman" w:cs="Times New Roman"/>
          <w:spacing w:val="29"/>
          <w:w w:val="101"/>
          <w:sz w:val="21"/>
          <w:szCs w:val="21"/>
        </w:rPr>
        <w:t xml:space="preserve"> </w:t>
      </w:r>
      <w:r>
        <w:rPr>
          <w:rFonts w:ascii="Times New Roman" w:hAnsi="Times New Roman" w:eastAsia="Times New Roman" w:cs="Times New Roman"/>
          <w:spacing w:val="-1"/>
          <w:sz w:val="21"/>
          <w:szCs w:val="21"/>
        </w:rPr>
        <w:t>of disease</w:t>
      </w:r>
      <w:r>
        <w:rPr>
          <w:rFonts w:ascii="Times New Roman" w:hAnsi="Times New Roman" w:eastAsia="Times New Roman" w:cs="Times New Roman"/>
          <w:spacing w:val="29"/>
          <w:w w:val="101"/>
          <w:sz w:val="21"/>
          <w:szCs w:val="21"/>
        </w:rPr>
        <w:t xml:space="preserve"> </w:t>
      </w:r>
      <w:r>
        <w:rPr>
          <w:rFonts w:ascii="Times New Roman" w:hAnsi="Times New Roman" w:eastAsia="Times New Roman" w:cs="Times New Roman"/>
          <w:spacing w:val="-1"/>
          <w:sz w:val="21"/>
          <w:szCs w:val="21"/>
        </w:rPr>
        <w:t>distribution</w:t>
      </w:r>
      <w:r>
        <w:rPr>
          <w:rFonts w:ascii="Times New Roman" w:hAnsi="Times New Roman" w:eastAsia="Times New Roman" w:cs="Times New Roman"/>
          <w:spacing w:val="29"/>
          <w:w w:val="101"/>
          <w:sz w:val="21"/>
          <w:szCs w:val="21"/>
        </w:rPr>
        <w:t xml:space="preserve"> </w:t>
      </w:r>
      <w:r>
        <w:rPr>
          <w:rFonts w:ascii="Times New Roman" w:hAnsi="Times New Roman" w:eastAsia="Times New Roman" w:cs="Times New Roman"/>
          <w:spacing w:val="-1"/>
          <w:sz w:val="21"/>
          <w:szCs w:val="21"/>
        </w:rPr>
        <w:t>and</w:t>
      </w:r>
      <w:r>
        <w:rPr>
          <w:rFonts w:ascii="Times New Roman" w:hAnsi="Times New Roman" w:eastAsia="Times New Roman" w:cs="Times New Roman"/>
          <w:spacing w:val="29"/>
          <w:sz w:val="21"/>
          <w:szCs w:val="21"/>
        </w:rPr>
        <w:t xml:space="preserve"> </w:t>
      </w:r>
      <w:r>
        <w:rPr>
          <w:rFonts w:ascii="Times New Roman" w:hAnsi="Times New Roman" w:eastAsia="Times New Roman" w:cs="Times New Roman"/>
          <w:spacing w:val="-1"/>
          <w:sz w:val="21"/>
          <w:szCs w:val="21"/>
        </w:rPr>
        <w:t>causes.Molecular</w:t>
      </w:r>
      <w:r>
        <w:rPr>
          <w:rFonts w:ascii="Times New Roman" w:hAnsi="Times New Roman" w:eastAsia="Times New Roman" w:cs="Times New Roman"/>
          <w:spacing w:val="29"/>
          <w:sz w:val="21"/>
          <w:szCs w:val="21"/>
        </w:rPr>
        <w:t xml:space="preserve"> </w:t>
      </w:r>
      <w:r>
        <w:rPr>
          <w:rFonts w:ascii="Times New Roman" w:hAnsi="Times New Roman" w:eastAsia="Times New Roman" w:cs="Times New Roman"/>
          <w:spacing w:val="-1"/>
          <w:sz w:val="21"/>
          <w:szCs w:val="21"/>
        </w:rPr>
        <w:t>epidemiology</w:t>
      </w:r>
      <w:r>
        <w:rPr>
          <w:rFonts w:ascii="Times New Roman" w:hAnsi="Times New Roman" w:eastAsia="Times New Roman" w:cs="Times New Roman"/>
          <w:spacing w:val="24"/>
          <w:sz w:val="21"/>
          <w:szCs w:val="21"/>
        </w:rPr>
        <w:t xml:space="preserve"> </w:t>
      </w:r>
      <w:r>
        <w:rPr>
          <w:rFonts w:ascii="Times New Roman" w:hAnsi="Times New Roman" w:eastAsia="Times New Roman" w:cs="Times New Roman"/>
          <w:spacing w:val="-1"/>
          <w:sz w:val="21"/>
          <w:szCs w:val="21"/>
        </w:rPr>
        <w:t>mainly</w:t>
      </w:r>
      <w:r>
        <w:rPr>
          <w:rFonts w:ascii="Times New Roman" w:hAnsi="Times New Roman" w:eastAsia="Times New Roman" w:cs="Times New Roman"/>
          <w:spacing w:val="30"/>
          <w:w w:val="101"/>
          <w:sz w:val="21"/>
          <w:szCs w:val="21"/>
        </w:rPr>
        <w:t xml:space="preserve"> </w:t>
      </w:r>
      <w:r>
        <w:rPr>
          <w:rFonts w:ascii="Times New Roman" w:hAnsi="Times New Roman" w:eastAsia="Times New Roman" w:cs="Times New Roman"/>
          <w:spacing w:val="-1"/>
          <w:sz w:val="21"/>
          <w:szCs w:val="21"/>
        </w:rPr>
        <w:t>focuses</w:t>
      </w:r>
      <w:r>
        <w:rPr>
          <w:rFonts w:ascii="Times New Roman" w:hAnsi="Times New Roman" w:eastAsia="Times New Roman" w:cs="Times New Roman"/>
          <w:sz w:val="21"/>
          <w:szCs w:val="21"/>
        </w:rPr>
        <w:t xml:space="preserve"> on</w:t>
      </w:r>
      <w:r>
        <w:rPr>
          <w:rFonts w:ascii="Times New Roman" w:hAnsi="Times New Roman" w:eastAsia="Times New Roman" w:cs="Times New Roman"/>
          <w:spacing w:val="18"/>
          <w:sz w:val="21"/>
          <w:szCs w:val="21"/>
        </w:rPr>
        <w:t xml:space="preserve">  </w:t>
      </w:r>
      <w:r>
        <w:rPr>
          <w:rFonts w:ascii="Times New Roman" w:hAnsi="Times New Roman" w:eastAsia="Times New Roman" w:cs="Times New Roman"/>
          <w:sz w:val="21"/>
          <w:szCs w:val="21"/>
        </w:rPr>
        <w:t>biomarkers,including</w:t>
      </w:r>
      <w:r>
        <w:rPr>
          <w:rFonts w:ascii="Times New Roman" w:hAnsi="Times New Roman" w:eastAsia="Times New Roman" w:cs="Times New Roman"/>
          <w:spacing w:val="22"/>
          <w:sz w:val="21"/>
          <w:szCs w:val="21"/>
        </w:rPr>
        <w:t xml:space="preserve">  </w:t>
      </w:r>
      <w:r>
        <w:rPr>
          <w:rFonts w:ascii="Times New Roman" w:hAnsi="Times New Roman" w:eastAsia="Times New Roman" w:cs="Times New Roman"/>
          <w:sz w:val="21"/>
          <w:szCs w:val="21"/>
        </w:rPr>
        <w:t>exposure</w:t>
      </w:r>
      <w:r>
        <w:rPr>
          <w:rFonts w:ascii="Times New Roman" w:hAnsi="Times New Roman" w:eastAsia="Times New Roman" w:cs="Times New Roman"/>
          <w:spacing w:val="19"/>
          <w:sz w:val="21"/>
          <w:szCs w:val="21"/>
        </w:rPr>
        <w:t xml:space="preserve">  </w:t>
      </w:r>
      <w:r>
        <w:rPr>
          <w:rFonts w:ascii="Times New Roman" w:hAnsi="Times New Roman" w:eastAsia="Times New Roman" w:cs="Times New Roman"/>
          <w:sz w:val="21"/>
          <w:szCs w:val="21"/>
        </w:rPr>
        <w:t>markers,effect</w:t>
      </w:r>
      <w:r>
        <w:rPr>
          <w:rFonts w:ascii="Times New Roman" w:hAnsi="Times New Roman" w:eastAsia="Times New Roman" w:cs="Times New Roman"/>
          <w:spacing w:val="18"/>
          <w:w w:val="101"/>
          <w:sz w:val="21"/>
          <w:szCs w:val="21"/>
        </w:rPr>
        <w:t xml:space="preserve">  </w:t>
      </w:r>
      <w:r>
        <w:rPr>
          <w:rFonts w:ascii="Times New Roman" w:hAnsi="Times New Roman" w:eastAsia="Times New Roman" w:cs="Times New Roman"/>
          <w:sz w:val="21"/>
          <w:szCs w:val="21"/>
        </w:rPr>
        <w:t>marker</w:t>
      </w:r>
      <w:r>
        <w:rPr>
          <w:rFonts w:ascii="Times New Roman" w:hAnsi="Times New Roman" w:eastAsia="Times New Roman" w:cs="Times New Roman"/>
          <w:spacing w:val="-1"/>
          <w:sz w:val="21"/>
          <w:szCs w:val="21"/>
        </w:rPr>
        <w:t>s,and</w:t>
      </w:r>
      <w:r>
        <w:rPr>
          <w:rFonts w:ascii="Times New Roman" w:hAnsi="Times New Roman" w:eastAsia="Times New Roman" w:cs="Times New Roman"/>
          <w:spacing w:val="23"/>
          <w:sz w:val="21"/>
          <w:szCs w:val="21"/>
        </w:rPr>
        <w:t xml:space="preserve">  </w:t>
      </w:r>
      <w:r>
        <w:rPr>
          <w:rFonts w:ascii="Times New Roman" w:hAnsi="Times New Roman" w:eastAsia="Times New Roman" w:cs="Times New Roman"/>
          <w:spacing w:val="-1"/>
          <w:sz w:val="21"/>
          <w:szCs w:val="21"/>
        </w:rPr>
        <w:t>susceptibility</w:t>
      </w:r>
      <w:r>
        <w:rPr>
          <w:rFonts w:ascii="Times New Roman" w:hAnsi="Times New Roman" w:eastAsia="Times New Roman" w:cs="Times New Roman"/>
          <w:spacing w:val="19"/>
          <w:sz w:val="21"/>
          <w:szCs w:val="21"/>
        </w:rPr>
        <w:t xml:space="preserve">  </w:t>
      </w:r>
      <w:r>
        <w:rPr>
          <w:rFonts w:ascii="Times New Roman" w:hAnsi="Times New Roman" w:eastAsia="Times New Roman" w:cs="Times New Roman"/>
          <w:spacing w:val="-1"/>
          <w:sz w:val="21"/>
          <w:szCs w:val="21"/>
        </w:rPr>
        <w:t>markers.Through</w:t>
      </w:r>
      <w:r>
        <w:rPr>
          <w:rFonts w:ascii="Times New Roman" w:hAnsi="Times New Roman" w:eastAsia="Times New Roman" w:cs="Times New Roman"/>
          <w:spacing w:val="19"/>
          <w:sz w:val="21"/>
          <w:szCs w:val="21"/>
        </w:rPr>
        <w:t xml:space="preserve">  </w:t>
      </w:r>
      <w:r>
        <w:rPr>
          <w:rFonts w:ascii="Times New Roman" w:hAnsi="Times New Roman" w:eastAsia="Times New Roman" w:cs="Times New Roman"/>
          <w:spacing w:val="-1"/>
          <w:sz w:val="21"/>
          <w:szCs w:val="21"/>
        </w:rPr>
        <w:t>these</w:t>
      </w:r>
      <w:r>
        <w:rPr>
          <w:rFonts w:ascii="Times New Roman" w:hAnsi="Times New Roman" w:eastAsia="Times New Roman" w:cs="Times New Roman"/>
          <w:sz w:val="21"/>
          <w:szCs w:val="21"/>
        </w:rPr>
        <w:t xml:space="preserve"> markers,molecular epidemiology improves</w:t>
      </w:r>
      <w:r>
        <w:rPr>
          <w:rFonts w:ascii="Times New Roman" w:hAnsi="Times New Roman" w:eastAsia="Times New Roman" w:cs="Times New Roman"/>
          <w:spacing w:val="-1"/>
          <w:sz w:val="21"/>
          <w:szCs w:val="21"/>
        </w:rPr>
        <w:t xml:space="preserve"> our understanding of</w:t>
      </w:r>
      <w:r>
        <w:rPr>
          <w:rFonts w:ascii="Times New Roman" w:hAnsi="Times New Roman" w:eastAsia="Times New Roman" w:cs="Times New Roman"/>
          <w:spacing w:val="-20"/>
          <w:sz w:val="21"/>
          <w:szCs w:val="21"/>
        </w:rPr>
        <w:t xml:space="preserve"> </w:t>
      </w:r>
      <w:r>
        <w:rPr>
          <w:rFonts w:ascii="Times New Roman" w:hAnsi="Times New Roman" w:eastAsia="Times New Roman" w:cs="Times New Roman"/>
          <w:spacing w:val="-1"/>
          <w:sz w:val="21"/>
          <w:szCs w:val="21"/>
        </w:rPr>
        <w:t>the occurrence,development and prognosis</w:t>
      </w:r>
      <w:r>
        <w:rPr>
          <w:rFonts w:ascii="Times New Roman" w:hAnsi="Times New Roman" w:eastAsia="Times New Roman" w:cs="Times New Roman"/>
          <w:sz w:val="21"/>
          <w:szCs w:val="21"/>
        </w:rPr>
        <w:t xml:space="preserve"> of</w:t>
      </w:r>
      <w:r>
        <w:rPr>
          <w:rFonts w:ascii="Times New Roman" w:hAnsi="Times New Roman" w:eastAsia="Times New Roman" w:cs="Times New Roman"/>
          <w:spacing w:val="31"/>
          <w:w w:val="101"/>
          <w:sz w:val="21"/>
          <w:szCs w:val="21"/>
        </w:rPr>
        <w:t xml:space="preserve"> </w:t>
      </w:r>
      <w:r>
        <w:rPr>
          <w:rFonts w:ascii="Times New Roman" w:hAnsi="Times New Roman" w:eastAsia="Times New Roman" w:cs="Times New Roman"/>
          <w:sz w:val="21"/>
          <w:szCs w:val="21"/>
        </w:rPr>
        <w:t>disease,evaluates</w:t>
      </w:r>
      <w:r>
        <w:rPr>
          <w:rFonts w:ascii="Times New Roman" w:hAnsi="Times New Roman" w:eastAsia="Times New Roman" w:cs="Times New Roman"/>
          <w:spacing w:val="47"/>
          <w:w w:val="101"/>
          <w:sz w:val="21"/>
          <w:szCs w:val="21"/>
        </w:rPr>
        <w:t xml:space="preserve"> </w:t>
      </w:r>
      <w:r>
        <w:rPr>
          <w:rFonts w:ascii="Times New Roman" w:hAnsi="Times New Roman" w:eastAsia="Times New Roman" w:cs="Times New Roman"/>
          <w:sz w:val="21"/>
          <w:szCs w:val="21"/>
        </w:rPr>
        <w:t>the  effectiveness  of</w:t>
      </w:r>
      <w:r>
        <w:rPr>
          <w:rFonts w:ascii="Times New Roman" w:hAnsi="Times New Roman" w:eastAsia="Times New Roman" w:cs="Times New Roman"/>
          <w:spacing w:val="23"/>
          <w:w w:val="101"/>
          <w:sz w:val="21"/>
          <w:szCs w:val="21"/>
        </w:rPr>
        <w:t xml:space="preserve"> </w:t>
      </w:r>
      <w:r>
        <w:rPr>
          <w:rFonts w:ascii="Times New Roman" w:hAnsi="Times New Roman" w:eastAsia="Times New Roman" w:cs="Times New Roman"/>
          <w:sz w:val="21"/>
          <w:szCs w:val="21"/>
        </w:rPr>
        <w:t>preventive  and</w:t>
      </w:r>
      <w:r>
        <w:rPr>
          <w:rFonts w:ascii="Times New Roman" w:hAnsi="Times New Roman" w:eastAsia="Times New Roman" w:cs="Times New Roman"/>
          <w:spacing w:val="47"/>
          <w:sz w:val="21"/>
          <w:szCs w:val="21"/>
        </w:rPr>
        <w:t xml:space="preserve"> </w:t>
      </w:r>
      <w:r>
        <w:rPr>
          <w:rFonts w:ascii="Times New Roman" w:hAnsi="Times New Roman" w:eastAsia="Times New Roman" w:cs="Times New Roman"/>
          <w:sz w:val="21"/>
          <w:szCs w:val="21"/>
        </w:rPr>
        <w:t>therapeutic  interventions,</w:t>
      </w:r>
      <w:r>
        <w:rPr>
          <w:rFonts w:ascii="Times New Roman" w:hAnsi="Times New Roman" w:eastAsia="Times New Roman" w:cs="Times New Roman"/>
          <w:spacing w:val="-1"/>
          <w:sz w:val="21"/>
          <w:szCs w:val="21"/>
        </w:rPr>
        <w:t>and</w:t>
      </w:r>
      <w:r>
        <w:rPr>
          <w:rFonts w:ascii="Times New Roman" w:hAnsi="Times New Roman" w:eastAsia="Times New Roman" w:cs="Times New Roman"/>
          <w:spacing w:val="44"/>
          <w:w w:val="101"/>
          <w:sz w:val="21"/>
          <w:szCs w:val="21"/>
        </w:rPr>
        <w:t xml:space="preserve"> </w:t>
      </w:r>
      <w:r>
        <w:rPr>
          <w:rFonts w:ascii="Times New Roman" w:hAnsi="Times New Roman" w:eastAsia="Times New Roman" w:cs="Times New Roman"/>
          <w:spacing w:val="-1"/>
          <w:sz w:val="21"/>
          <w:szCs w:val="21"/>
        </w:rPr>
        <w:t>provides  crucial</w:t>
      </w:r>
      <w:r>
        <w:rPr>
          <w:rFonts w:ascii="Times New Roman" w:hAnsi="Times New Roman" w:eastAsia="Times New Roman" w:cs="Times New Roman"/>
          <w:sz w:val="21"/>
          <w:szCs w:val="21"/>
        </w:rPr>
        <w:t xml:space="preserve"> evidence  for  clinical  and  healthcare  decision-making  in  a  defined  population.I</w:t>
      </w:r>
      <w:r>
        <w:rPr>
          <w:rFonts w:ascii="Times New Roman" w:hAnsi="Times New Roman" w:eastAsia="Times New Roman" w:cs="Times New Roman"/>
          <w:spacing w:val="-1"/>
          <w:sz w:val="21"/>
          <w:szCs w:val="21"/>
        </w:rPr>
        <w:t>n  the  era</w:t>
      </w:r>
      <w:r>
        <w:rPr>
          <w:rFonts w:ascii="Times New Roman" w:hAnsi="Times New Roman" w:eastAsia="Times New Roman" w:cs="Times New Roman"/>
          <w:spacing w:val="3"/>
          <w:sz w:val="21"/>
          <w:szCs w:val="21"/>
        </w:rPr>
        <w:t xml:space="preserve">  </w:t>
      </w:r>
      <w:r>
        <w:rPr>
          <w:rFonts w:ascii="Times New Roman" w:hAnsi="Times New Roman" w:eastAsia="Times New Roman" w:cs="Times New Roman"/>
          <w:spacing w:val="-1"/>
          <w:sz w:val="21"/>
          <w:szCs w:val="21"/>
        </w:rPr>
        <w:t>of</w:t>
      </w:r>
      <w:r>
        <w:rPr>
          <w:rFonts w:ascii="Times New Roman" w:hAnsi="Times New Roman" w:eastAsia="Times New Roman" w:cs="Times New Roman"/>
          <w:spacing w:val="29"/>
          <w:sz w:val="21"/>
          <w:szCs w:val="21"/>
        </w:rPr>
        <w:t xml:space="preserve"> </w:t>
      </w:r>
      <w:r>
        <w:rPr>
          <w:rFonts w:ascii="Times New Roman" w:hAnsi="Times New Roman" w:eastAsia="Times New Roman" w:cs="Times New Roman"/>
          <w:spacing w:val="-1"/>
          <w:sz w:val="21"/>
          <w:szCs w:val="21"/>
        </w:rPr>
        <w:t>precision</w:t>
      </w:r>
      <w:r>
        <w:rPr>
          <w:rFonts w:ascii="Times New Roman" w:hAnsi="Times New Roman" w:eastAsia="Times New Roman" w:cs="Times New Roman"/>
          <w:sz w:val="21"/>
          <w:szCs w:val="21"/>
        </w:rPr>
        <w:t xml:space="preserve"> medicine,molecular</w:t>
      </w:r>
      <w:r>
        <w:rPr>
          <w:rFonts w:ascii="Times New Roman" w:hAnsi="Times New Roman" w:eastAsia="Times New Roman" w:cs="Times New Roman"/>
          <w:spacing w:val="41"/>
          <w:sz w:val="21"/>
          <w:szCs w:val="21"/>
        </w:rPr>
        <w:t xml:space="preserve"> </w:t>
      </w:r>
      <w:r>
        <w:rPr>
          <w:rFonts w:ascii="Times New Roman" w:hAnsi="Times New Roman" w:eastAsia="Times New Roman" w:cs="Times New Roman"/>
          <w:sz w:val="21"/>
          <w:szCs w:val="21"/>
        </w:rPr>
        <w:t>epidemiology</w:t>
      </w:r>
      <w:r>
        <w:rPr>
          <w:rFonts w:ascii="Times New Roman" w:hAnsi="Times New Roman" w:eastAsia="Times New Roman" w:cs="Times New Roman"/>
          <w:spacing w:val="35"/>
          <w:sz w:val="21"/>
          <w:szCs w:val="21"/>
        </w:rPr>
        <w:t xml:space="preserve"> </w:t>
      </w:r>
      <w:r>
        <w:rPr>
          <w:rFonts w:ascii="Times New Roman" w:hAnsi="Times New Roman" w:eastAsia="Times New Roman" w:cs="Times New Roman"/>
          <w:sz w:val="21"/>
          <w:szCs w:val="21"/>
        </w:rPr>
        <w:t>will</w:t>
      </w:r>
      <w:r>
        <w:rPr>
          <w:rFonts w:ascii="Times New Roman" w:hAnsi="Times New Roman" w:eastAsia="Times New Roman" w:cs="Times New Roman"/>
          <w:spacing w:val="34"/>
          <w:sz w:val="21"/>
          <w:szCs w:val="21"/>
        </w:rPr>
        <w:t xml:space="preserve"> </w:t>
      </w:r>
      <w:r>
        <w:rPr>
          <w:rFonts w:ascii="Times New Roman" w:hAnsi="Times New Roman" w:eastAsia="Times New Roman" w:cs="Times New Roman"/>
          <w:sz w:val="21"/>
          <w:szCs w:val="21"/>
        </w:rPr>
        <w:t>play</w:t>
      </w:r>
      <w:r>
        <w:rPr>
          <w:rFonts w:ascii="Times New Roman" w:hAnsi="Times New Roman" w:eastAsia="Times New Roman" w:cs="Times New Roman"/>
          <w:spacing w:val="41"/>
          <w:w w:val="101"/>
          <w:sz w:val="21"/>
          <w:szCs w:val="21"/>
        </w:rPr>
        <w:t xml:space="preserve"> </w:t>
      </w:r>
      <w:r>
        <w:rPr>
          <w:rFonts w:ascii="Times New Roman" w:hAnsi="Times New Roman" w:eastAsia="Times New Roman" w:cs="Times New Roman"/>
          <w:sz w:val="21"/>
          <w:szCs w:val="21"/>
        </w:rPr>
        <w:t>a</w:t>
      </w:r>
      <w:r>
        <w:rPr>
          <w:rFonts w:ascii="Times New Roman" w:hAnsi="Times New Roman" w:eastAsia="Times New Roman" w:cs="Times New Roman"/>
          <w:spacing w:val="35"/>
          <w:w w:val="101"/>
          <w:sz w:val="21"/>
          <w:szCs w:val="21"/>
        </w:rPr>
        <w:t xml:space="preserve"> </w:t>
      </w:r>
      <w:r>
        <w:rPr>
          <w:rFonts w:ascii="Times New Roman" w:hAnsi="Times New Roman" w:eastAsia="Times New Roman" w:cs="Times New Roman"/>
          <w:sz w:val="21"/>
          <w:szCs w:val="21"/>
        </w:rPr>
        <w:t>more</w:t>
      </w:r>
      <w:r>
        <w:rPr>
          <w:rFonts w:ascii="Times New Roman" w:hAnsi="Times New Roman" w:eastAsia="Times New Roman" w:cs="Times New Roman"/>
          <w:spacing w:val="40"/>
          <w:sz w:val="21"/>
          <w:szCs w:val="21"/>
        </w:rPr>
        <w:t xml:space="preserve"> </w:t>
      </w:r>
      <w:r>
        <w:rPr>
          <w:rFonts w:ascii="Times New Roman" w:hAnsi="Times New Roman" w:eastAsia="Times New Roman" w:cs="Times New Roman"/>
          <w:sz w:val="21"/>
          <w:szCs w:val="21"/>
        </w:rPr>
        <w:t>i</w:t>
      </w:r>
      <w:r>
        <w:rPr>
          <w:rFonts w:ascii="Times New Roman" w:hAnsi="Times New Roman" w:eastAsia="Times New Roman" w:cs="Times New Roman"/>
          <w:spacing w:val="-1"/>
          <w:sz w:val="21"/>
          <w:szCs w:val="21"/>
        </w:rPr>
        <w:t>mportant</w:t>
      </w:r>
      <w:r>
        <w:rPr>
          <w:rFonts w:ascii="Times New Roman" w:hAnsi="Times New Roman" w:eastAsia="Times New Roman" w:cs="Times New Roman"/>
          <w:spacing w:val="35"/>
          <w:sz w:val="21"/>
          <w:szCs w:val="21"/>
        </w:rPr>
        <w:t xml:space="preserve"> </w:t>
      </w:r>
      <w:r>
        <w:rPr>
          <w:rFonts w:ascii="Times New Roman" w:hAnsi="Times New Roman" w:eastAsia="Times New Roman" w:cs="Times New Roman"/>
          <w:spacing w:val="-1"/>
          <w:sz w:val="21"/>
          <w:szCs w:val="21"/>
        </w:rPr>
        <w:t>role</w:t>
      </w:r>
      <w:r>
        <w:rPr>
          <w:rFonts w:ascii="Times New Roman" w:hAnsi="Times New Roman" w:eastAsia="Times New Roman" w:cs="Times New Roman"/>
          <w:spacing w:val="34"/>
          <w:sz w:val="21"/>
          <w:szCs w:val="21"/>
        </w:rPr>
        <w:t xml:space="preserve"> </w:t>
      </w:r>
      <w:r>
        <w:rPr>
          <w:rFonts w:ascii="Times New Roman" w:hAnsi="Times New Roman" w:eastAsia="Times New Roman" w:cs="Times New Roman"/>
          <w:spacing w:val="-1"/>
          <w:sz w:val="21"/>
          <w:szCs w:val="21"/>
        </w:rPr>
        <w:t>by</w:t>
      </w:r>
      <w:r>
        <w:rPr>
          <w:rFonts w:ascii="Times New Roman" w:hAnsi="Times New Roman" w:eastAsia="Times New Roman" w:cs="Times New Roman"/>
          <w:spacing w:val="33"/>
          <w:w w:val="101"/>
          <w:sz w:val="21"/>
          <w:szCs w:val="21"/>
        </w:rPr>
        <w:t xml:space="preserve"> </w:t>
      </w:r>
      <w:r>
        <w:rPr>
          <w:rFonts w:ascii="Times New Roman" w:hAnsi="Times New Roman" w:eastAsia="Times New Roman" w:cs="Times New Roman"/>
          <w:spacing w:val="-1"/>
          <w:sz w:val="21"/>
          <w:szCs w:val="21"/>
        </w:rPr>
        <w:t>providing</w:t>
      </w:r>
      <w:r>
        <w:rPr>
          <w:rFonts w:ascii="Times New Roman" w:hAnsi="Times New Roman" w:eastAsia="Times New Roman" w:cs="Times New Roman"/>
          <w:spacing w:val="36"/>
          <w:sz w:val="21"/>
          <w:szCs w:val="21"/>
        </w:rPr>
        <w:t xml:space="preserve"> </w:t>
      </w:r>
      <w:r>
        <w:rPr>
          <w:rFonts w:ascii="Times New Roman" w:hAnsi="Times New Roman" w:eastAsia="Times New Roman" w:cs="Times New Roman"/>
          <w:spacing w:val="-1"/>
          <w:sz w:val="21"/>
          <w:szCs w:val="21"/>
        </w:rPr>
        <w:t>the</w:t>
      </w:r>
      <w:r>
        <w:rPr>
          <w:rFonts w:ascii="Times New Roman" w:hAnsi="Times New Roman" w:eastAsia="Times New Roman" w:cs="Times New Roman"/>
          <w:spacing w:val="36"/>
          <w:sz w:val="21"/>
          <w:szCs w:val="21"/>
        </w:rPr>
        <w:t xml:space="preserve"> </w:t>
      </w:r>
      <w:r>
        <w:rPr>
          <w:rFonts w:ascii="Times New Roman" w:hAnsi="Times New Roman" w:eastAsia="Times New Roman" w:cs="Times New Roman"/>
          <w:spacing w:val="-1"/>
          <w:sz w:val="21"/>
          <w:szCs w:val="21"/>
        </w:rPr>
        <w:t>molecular</w:t>
      </w:r>
      <w:r>
        <w:rPr>
          <w:rFonts w:ascii="Times New Roman" w:hAnsi="Times New Roman" w:eastAsia="Times New Roman" w:cs="Times New Roman"/>
          <w:spacing w:val="39"/>
          <w:sz w:val="21"/>
          <w:szCs w:val="21"/>
        </w:rPr>
        <w:t xml:space="preserve"> </w:t>
      </w:r>
      <w:r>
        <w:rPr>
          <w:rFonts w:ascii="Times New Roman" w:hAnsi="Times New Roman" w:eastAsia="Times New Roman" w:cs="Times New Roman"/>
          <w:spacing w:val="-1"/>
          <w:sz w:val="21"/>
          <w:szCs w:val="21"/>
        </w:rPr>
        <w:t>insights</w:t>
      </w:r>
      <w:r>
        <w:rPr>
          <w:rFonts w:ascii="Times New Roman" w:hAnsi="Times New Roman" w:eastAsia="Times New Roman" w:cs="Times New Roman"/>
          <w:sz w:val="21"/>
          <w:szCs w:val="21"/>
        </w:rPr>
        <w:t xml:space="preserve"> </w:t>
      </w:r>
      <w:r>
        <w:rPr>
          <w:rFonts w:ascii="Times New Roman" w:hAnsi="Times New Roman" w:eastAsia="Times New Roman" w:cs="Times New Roman"/>
          <w:spacing w:val="-1"/>
          <w:sz w:val="21"/>
          <w:szCs w:val="21"/>
        </w:rPr>
        <w:t>necessary to develop and implement target</w:t>
      </w:r>
      <w:r>
        <w:rPr>
          <w:rFonts w:ascii="Times New Roman" w:hAnsi="Times New Roman" w:eastAsia="Times New Roman" w:cs="Times New Roman"/>
          <w:spacing w:val="-2"/>
          <w:sz w:val="21"/>
          <w:szCs w:val="21"/>
        </w:rPr>
        <w:t>ed interventions that are tailored to</w:t>
      </w:r>
      <w:r>
        <w:rPr>
          <w:rFonts w:ascii="Times New Roman" w:hAnsi="Times New Roman" w:eastAsia="Times New Roman" w:cs="Times New Roman"/>
          <w:spacing w:val="6"/>
          <w:sz w:val="21"/>
          <w:szCs w:val="21"/>
        </w:rPr>
        <w:t xml:space="preserve"> </w:t>
      </w:r>
      <w:r>
        <w:rPr>
          <w:rFonts w:ascii="Times New Roman" w:hAnsi="Times New Roman" w:eastAsia="Times New Roman" w:cs="Times New Roman"/>
          <w:spacing w:val="-2"/>
          <w:sz w:val="21"/>
          <w:szCs w:val="21"/>
        </w:rPr>
        <w:t>individual</w:t>
      </w:r>
      <w:r>
        <w:rPr>
          <w:rFonts w:ascii="Times New Roman" w:hAnsi="Times New Roman" w:eastAsia="Times New Roman" w:cs="Times New Roman"/>
          <w:spacing w:val="6"/>
          <w:sz w:val="21"/>
          <w:szCs w:val="21"/>
        </w:rPr>
        <w:t xml:space="preserve"> </w:t>
      </w:r>
      <w:r>
        <w:rPr>
          <w:rFonts w:ascii="Times New Roman" w:hAnsi="Times New Roman" w:eastAsia="Times New Roman" w:cs="Times New Roman"/>
          <w:spacing w:val="-2"/>
          <w:sz w:val="21"/>
          <w:szCs w:val="21"/>
        </w:rPr>
        <w:t>characteristics.</w:t>
      </w:r>
    </w:p>
    <w:p w14:paraId="5B637896">
      <w:pPr>
        <w:spacing w:line="308" w:lineRule="auto"/>
        <w:rPr>
          <w:rFonts w:ascii="Arial"/>
          <w:sz w:val="21"/>
        </w:rPr>
      </w:pPr>
    </w:p>
    <w:p w14:paraId="1028417B">
      <w:pPr>
        <w:spacing w:before="68" w:line="330" w:lineRule="auto"/>
        <w:ind w:left="710" w:right="20" w:firstLine="419"/>
        <w:jc w:val="both"/>
        <w:rPr>
          <w:rFonts w:ascii="宋体" w:hAnsi="宋体" w:eastAsia="宋体" w:cs="宋体"/>
          <w:sz w:val="21"/>
          <w:szCs w:val="21"/>
        </w:rPr>
      </w:pPr>
      <w:r>
        <w:rPr>
          <w:rFonts w:ascii="宋体" w:hAnsi="宋体" w:eastAsia="宋体" w:cs="宋体"/>
          <w:sz w:val="21"/>
          <w:szCs w:val="21"/>
        </w:rPr>
        <w:t>分子流行病学</w:t>
      </w:r>
      <w:r>
        <w:rPr>
          <w:rFonts w:ascii="Times New Roman" w:hAnsi="Times New Roman" w:eastAsia="Times New Roman" w:cs="Times New Roman"/>
          <w:sz w:val="21"/>
          <w:szCs w:val="21"/>
        </w:rPr>
        <w:t>(molecular  epidemiology)</w:t>
      </w:r>
      <w:r>
        <w:rPr>
          <w:rFonts w:ascii="宋体" w:hAnsi="宋体" w:eastAsia="宋体" w:cs="宋体"/>
          <w:sz w:val="21"/>
          <w:szCs w:val="21"/>
        </w:rPr>
        <w:t>是传统流行病学与新兴生物学技术，特别是分子生物学</w:t>
      </w:r>
      <w:r>
        <w:rPr>
          <w:rFonts w:ascii="宋体" w:hAnsi="宋体" w:eastAsia="宋体" w:cs="宋体"/>
          <w:spacing w:val="4"/>
          <w:sz w:val="21"/>
          <w:szCs w:val="21"/>
        </w:rPr>
        <w:t xml:space="preserve">  </w:t>
      </w:r>
      <w:r>
        <w:rPr>
          <w:rFonts w:ascii="宋体" w:hAnsi="宋体" w:eastAsia="宋体" w:cs="宋体"/>
          <w:spacing w:val="1"/>
          <w:sz w:val="21"/>
          <w:szCs w:val="21"/>
        </w:rPr>
        <w:t>技术相结合而产生的流行病学分支学科，主要从分子</w:t>
      </w:r>
      <w:r>
        <w:rPr>
          <w:rFonts w:ascii="宋体" w:hAnsi="宋体" w:eastAsia="宋体" w:cs="宋体"/>
          <w:sz w:val="21"/>
          <w:szCs w:val="21"/>
        </w:rPr>
        <w:t xml:space="preserve">水平阐明疾病发生、发展规律及其影响因素， </w:t>
      </w:r>
      <w:r>
        <w:rPr>
          <w:rFonts w:ascii="宋体" w:hAnsi="宋体" w:eastAsia="宋体" w:cs="宋体"/>
          <w:spacing w:val="4"/>
          <w:sz w:val="21"/>
          <w:szCs w:val="21"/>
        </w:rPr>
        <w:t>有效解决传统流行病学在微观领域的局限性，使得疾病的防治手段更加有效。分子流行病学可以</w:t>
      </w:r>
      <w:r>
        <w:rPr>
          <w:rFonts w:ascii="宋体" w:hAnsi="宋体" w:eastAsia="宋体" w:cs="宋体"/>
          <w:sz w:val="21"/>
          <w:szCs w:val="21"/>
        </w:rPr>
        <w:t xml:space="preserve">  </w:t>
      </w:r>
      <w:r>
        <w:rPr>
          <w:rFonts w:ascii="宋体" w:hAnsi="宋体" w:eastAsia="宋体" w:cs="宋体"/>
          <w:spacing w:val="-1"/>
          <w:sz w:val="21"/>
          <w:szCs w:val="21"/>
        </w:rPr>
        <w:t>根据其所研究的疾病进一步细分，如肿瘤分子流行病学、传染病分子流行病学等。纵观分</w:t>
      </w:r>
      <w:r>
        <w:rPr>
          <w:rFonts w:ascii="宋体" w:hAnsi="宋体" w:eastAsia="宋体" w:cs="宋体"/>
          <w:spacing w:val="-2"/>
          <w:sz w:val="21"/>
          <w:szCs w:val="21"/>
        </w:rPr>
        <w:t>子流行病</w:t>
      </w:r>
      <w:r>
        <w:rPr>
          <w:rFonts w:ascii="宋体" w:hAnsi="宋体" w:eastAsia="宋体" w:cs="宋体"/>
          <w:sz w:val="21"/>
          <w:szCs w:val="21"/>
        </w:rPr>
        <w:t xml:space="preserve">  </w:t>
      </w:r>
      <w:r>
        <w:rPr>
          <w:rFonts w:ascii="宋体" w:hAnsi="宋体" w:eastAsia="宋体" w:cs="宋体"/>
          <w:spacing w:val="1"/>
          <w:sz w:val="21"/>
          <w:szCs w:val="21"/>
        </w:rPr>
        <w:t>学的发展历程和医学、生命科学的发展趋势，分子流行病学代表着流行病学发展的一个重要方向，</w:t>
      </w:r>
      <w:r>
        <w:rPr>
          <w:rFonts w:ascii="宋体" w:hAnsi="宋体" w:eastAsia="宋体" w:cs="宋体"/>
          <w:sz w:val="21"/>
          <w:szCs w:val="21"/>
        </w:rPr>
        <w:t xml:space="preserve"> 将对流行病学的发展和疾病的防治产生重大而深远的影响。</w:t>
      </w:r>
    </w:p>
    <w:p w14:paraId="7123B5B0">
      <w:pPr>
        <w:spacing w:line="419" w:lineRule="auto"/>
        <w:rPr>
          <w:rFonts w:ascii="Arial"/>
          <w:sz w:val="21"/>
        </w:rPr>
      </w:pPr>
    </w:p>
    <w:p w14:paraId="18EC90D1">
      <w:pPr>
        <w:pStyle w:val="2"/>
        <w:spacing w:before="98" w:line="221" w:lineRule="auto"/>
        <w:ind w:left="4154"/>
        <w:outlineLvl w:val="1"/>
      </w:pPr>
      <w:bookmarkStart w:id="434" w:name="bookmark273"/>
      <w:bookmarkEnd w:id="434"/>
      <w:r>
        <w:rPr>
          <w:b/>
          <w:bCs/>
          <w:spacing w:val="-8"/>
        </w:rPr>
        <w:t>第一节</w:t>
      </w:r>
      <w:r>
        <w:rPr>
          <w:spacing w:val="135"/>
        </w:rPr>
        <w:t xml:space="preserve"> </w:t>
      </w:r>
      <w:r>
        <w:rPr>
          <w:b/>
          <w:bCs/>
          <w:spacing w:val="-8"/>
        </w:rPr>
        <w:t>概</w:t>
      </w:r>
      <w:r>
        <w:rPr>
          <w:spacing w:val="14"/>
        </w:rPr>
        <w:t xml:space="preserve">  </w:t>
      </w:r>
      <w:r>
        <w:rPr>
          <w:b/>
          <w:bCs/>
          <w:spacing w:val="-8"/>
        </w:rPr>
        <w:t>述</w:t>
      </w:r>
    </w:p>
    <w:p w14:paraId="07524CC1">
      <w:pPr>
        <w:spacing w:line="376" w:lineRule="auto"/>
        <w:rPr>
          <w:rFonts w:ascii="Arial"/>
          <w:sz w:val="21"/>
        </w:rPr>
      </w:pPr>
    </w:p>
    <w:p w14:paraId="22502D77">
      <w:pPr>
        <w:pStyle w:val="2"/>
        <w:spacing w:before="82" w:line="221" w:lineRule="auto"/>
        <w:ind w:left="1133"/>
        <w:outlineLvl w:val="4"/>
        <w:rPr>
          <w:sz w:val="25"/>
          <w:szCs w:val="25"/>
        </w:rPr>
      </w:pPr>
      <w:bookmarkStart w:id="435" w:name="bookmark274"/>
      <w:bookmarkEnd w:id="435"/>
      <w:r>
        <w:rPr>
          <w:b/>
          <w:bCs/>
          <w:spacing w:val="-5"/>
          <w:sz w:val="25"/>
          <w:szCs w:val="25"/>
        </w:rPr>
        <w:t>一</w:t>
      </w:r>
      <w:r>
        <w:rPr>
          <w:spacing w:val="-53"/>
          <w:sz w:val="25"/>
          <w:szCs w:val="25"/>
        </w:rPr>
        <w:t xml:space="preserve"> </w:t>
      </w:r>
      <w:r>
        <w:rPr>
          <w:b/>
          <w:bCs/>
          <w:spacing w:val="-5"/>
          <w:sz w:val="25"/>
          <w:szCs w:val="25"/>
        </w:rPr>
        <w:t>、分子流行病学的定义</w:t>
      </w:r>
    </w:p>
    <w:p w14:paraId="5666788E">
      <w:pPr>
        <w:spacing w:before="284" w:line="331" w:lineRule="auto"/>
        <w:ind w:left="710" w:right="102" w:firstLine="419"/>
        <w:jc w:val="both"/>
        <w:rPr>
          <w:rFonts w:ascii="宋体" w:hAnsi="宋体" w:eastAsia="宋体" w:cs="宋体"/>
          <w:sz w:val="21"/>
          <w:szCs w:val="21"/>
        </w:rPr>
      </w:pPr>
      <w:r>
        <w:rPr>
          <w:rFonts w:ascii="宋体" w:hAnsi="宋体" w:eastAsia="宋体" w:cs="宋体"/>
          <w:spacing w:val="-1"/>
          <w:sz w:val="21"/>
          <w:szCs w:val="21"/>
        </w:rPr>
        <w:t>分子流行病学中的“分子”是指应用分子生物学理论和技术来解决流行病学问题</w:t>
      </w:r>
      <w:r>
        <w:rPr>
          <w:rFonts w:ascii="宋体" w:hAnsi="宋体" w:eastAsia="宋体" w:cs="宋体"/>
          <w:spacing w:val="-2"/>
          <w:sz w:val="21"/>
          <w:szCs w:val="21"/>
        </w:rPr>
        <w:t>，而“流行病</w:t>
      </w:r>
      <w:r>
        <w:rPr>
          <w:rFonts w:ascii="宋体" w:hAnsi="宋体" w:eastAsia="宋体" w:cs="宋体"/>
          <w:sz w:val="21"/>
          <w:szCs w:val="21"/>
        </w:rPr>
        <w:t xml:space="preserve"> </w:t>
      </w:r>
      <w:r>
        <w:rPr>
          <w:rFonts w:ascii="宋体" w:hAnsi="宋体" w:eastAsia="宋体" w:cs="宋体"/>
          <w:spacing w:val="-1"/>
          <w:sz w:val="21"/>
          <w:szCs w:val="21"/>
        </w:rPr>
        <w:t>学”则是指从流行病学的观点出发，运用流行病学研究方法探讨分子生物学技术在人群生物样本中</w:t>
      </w:r>
      <w:r>
        <w:rPr>
          <w:rFonts w:ascii="宋体" w:hAnsi="宋体" w:eastAsia="宋体" w:cs="宋体"/>
          <w:spacing w:val="4"/>
          <w:sz w:val="21"/>
          <w:szCs w:val="21"/>
        </w:rPr>
        <w:t xml:space="preserve"> </w:t>
      </w:r>
      <w:r>
        <w:rPr>
          <w:rFonts w:ascii="宋体" w:hAnsi="宋体" w:eastAsia="宋体" w:cs="宋体"/>
          <w:spacing w:val="-4"/>
          <w:sz w:val="21"/>
          <w:szCs w:val="21"/>
        </w:rPr>
        <w:t>所检测到的结果，将实验室数据转化为对人群中疾病病因、发病</w:t>
      </w:r>
      <w:r>
        <w:rPr>
          <w:rFonts w:ascii="宋体" w:hAnsi="宋体" w:eastAsia="宋体" w:cs="宋体"/>
          <w:spacing w:val="-5"/>
          <w:sz w:val="21"/>
          <w:szCs w:val="21"/>
        </w:rPr>
        <w:t>机制的诠释。</w:t>
      </w:r>
    </w:p>
    <w:p w14:paraId="7780DE04">
      <w:pPr>
        <w:spacing w:before="2" w:line="326" w:lineRule="auto"/>
        <w:ind w:left="710" w:right="105" w:firstLine="419"/>
        <w:jc w:val="both"/>
        <w:rPr>
          <w:rFonts w:ascii="宋体" w:hAnsi="宋体" w:eastAsia="宋体" w:cs="宋体"/>
          <w:sz w:val="21"/>
          <w:szCs w:val="21"/>
        </w:rPr>
      </w:pPr>
      <w:r>
        <w:rPr>
          <w:rFonts w:ascii="宋体" w:hAnsi="宋体" w:eastAsia="宋体" w:cs="宋体"/>
          <w:spacing w:val="-1"/>
          <w:sz w:val="21"/>
          <w:szCs w:val="21"/>
        </w:rPr>
        <w:t>根据分子流行病学的研究内容，结合传统流行病学的定义，目前关于分子流行病学较</w:t>
      </w:r>
      <w:r>
        <w:rPr>
          <w:rFonts w:ascii="宋体" w:hAnsi="宋体" w:eastAsia="宋体" w:cs="宋体"/>
          <w:spacing w:val="-2"/>
          <w:sz w:val="21"/>
          <w:szCs w:val="21"/>
        </w:rPr>
        <w:t>为公认的</w:t>
      </w:r>
      <w:r>
        <w:rPr>
          <w:rFonts w:ascii="宋体" w:hAnsi="宋体" w:eastAsia="宋体" w:cs="宋体"/>
          <w:sz w:val="21"/>
          <w:szCs w:val="21"/>
        </w:rPr>
        <w:t xml:space="preserve"> </w:t>
      </w:r>
      <w:r>
        <w:rPr>
          <w:rFonts w:ascii="宋体" w:hAnsi="宋体" w:eastAsia="宋体" w:cs="宋体"/>
          <w:spacing w:val="2"/>
          <w:sz w:val="21"/>
          <w:szCs w:val="21"/>
        </w:rPr>
        <w:t>定义为：分子流行病学是研究人群和生物群体</w:t>
      </w:r>
      <w:r>
        <w:rPr>
          <w:rFonts w:ascii="宋体" w:hAnsi="宋体" w:eastAsia="宋体" w:cs="宋体"/>
          <w:spacing w:val="1"/>
          <w:sz w:val="21"/>
          <w:szCs w:val="21"/>
        </w:rPr>
        <w:t>中医学相关生物标志的分布及其与疾病/健康的关系</w:t>
      </w:r>
      <w:r>
        <w:rPr>
          <w:rFonts w:ascii="宋体" w:hAnsi="宋体" w:eastAsia="宋体" w:cs="宋体"/>
          <w:sz w:val="21"/>
          <w:szCs w:val="21"/>
        </w:rPr>
        <w:t xml:space="preserve"> </w:t>
      </w:r>
      <w:r>
        <w:rPr>
          <w:rFonts w:ascii="宋体" w:hAnsi="宋体" w:eastAsia="宋体" w:cs="宋体"/>
          <w:spacing w:val="-5"/>
          <w:sz w:val="21"/>
          <w:szCs w:val="21"/>
        </w:rPr>
        <w:t>和影响因素，并研究防治疾病、促进健康的策略与措施的科学。</w:t>
      </w:r>
    </w:p>
    <w:p w14:paraId="57B00209">
      <w:pPr>
        <w:spacing w:before="10" w:line="328" w:lineRule="auto"/>
        <w:ind w:left="710" w:firstLine="419"/>
        <w:jc w:val="both"/>
        <w:rPr>
          <w:rFonts w:ascii="宋体" w:hAnsi="宋体" w:eastAsia="宋体" w:cs="宋体"/>
          <w:sz w:val="21"/>
          <w:szCs w:val="21"/>
        </w:rPr>
      </w:pPr>
      <w:r>
        <w:rPr>
          <w:rFonts w:ascii="宋体" w:hAnsi="宋体" w:eastAsia="宋体" w:cs="宋体"/>
          <w:spacing w:val="-3"/>
          <w:sz w:val="21"/>
          <w:szCs w:val="21"/>
        </w:rPr>
        <w:t>分子流行病学的研究首先必须确定生物标志(biological marker;biomarker)。生物标志主要指</w:t>
      </w:r>
      <w:r>
        <w:rPr>
          <w:rFonts w:ascii="宋体" w:hAnsi="宋体" w:eastAsia="宋体" w:cs="宋体"/>
          <w:spacing w:val="7"/>
          <w:sz w:val="21"/>
          <w:szCs w:val="21"/>
        </w:rPr>
        <w:t xml:space="preserve">  </w:t>
      </w:r>
      <w:r>
        <w:rPr>
          <w:rFonts w:ascii="宋体" w:hAnsi="宋体" w:eastAsia="宋体" w:cs="宋体"/>
          <w:spacing w:val="-3"/>
          <w:sz w:val="21"/>
          <w:szCs w:val="21"/>
        </w:rPr>
        <w:t>从暴露到疾病这个连续过程中可测量的、能反映功能或结构变化的</w:t>
      </w:r>
      <w:r>
        <w:rPr>
          <w:rFonts w:ascii="宋体" w:hAnsi="宋体" w:eastAsia="宋体" w:cs="宋体"/>
          <w:spacing w:val="-4"/>
          <w:sz w:val="21"/>
          <w:szCs w:val="21"/>
        </w:rPr>
        <w:t>细胞、亚细胞、分子水平的物质。</w:t>
      </w:r>
      <w:r>
        <w:rPr>
          <w:rFonts w:ascii="宋体" w:hAnsi="宋体" w:eastAsia="宋体" w:cs="宋体"/>
          <w:sz w:val="21"/>
          <w:szCs w:val="21"/>
        </w:rPr>
        <w:t xml:space="preserve"> </w:t>
      </w:r>
      <w:r>
        <w:rPr>
          <w:rFonts w:ascii="宋体" w:hAnsi="宋体" w:eastAsia="宋体" w:cs="宋体"/>
          <w:spacing w:val="5"/>
          <w:sz w:val="21"/>
          <w:szCs w:val="21"/>
        </w:rPr>
        <w:t>由于生物的生命现象极其复杂，而且可以说任</w:t>
      </w:r>
      <w:r>
        <w:rPr>
          <w:rFonts w:ascii="宋体" w:hAnsi="宋体" w:eastAsia="宋体" w:cs="宋体"/>
          <w:spacing w:val="4"/>
          <w:sz w:val="21"/>
          <w:szCs w:val="21"/>
        </w:rPr>
        <w:t>何生命现象都具有物质基础，所以生物标志的范围</w:t>
      </w:r>
      <w:r>
        <w:rPr>
          <w:rFonts w:ascii="宋体" w:hAnsi="宋体" w:eastAsia="宋体" w:cs="宋体"/>
          <w:sz w:val="21"/>
          <w:szCs w:val="21"/>
        </w:rPr>
        <w:t xml:space="preserve">  </w:t>
      </w:r>
      <w:r>
        <w:rPr>
          <w:rFonts w:ascii="宋体" w:hAnsi="宋体" w:eastAsia="宋体" w:cs="宋体"/>
          <w:spacing w:val="-5"/>
          <w:sz w:val="21"/>
          <w:szCs w:val="21"/>
        </w:rPr>
        <w:t>非常广泛，包括细胞的、生化与分子生物学的、免疫学的、遗传的或生理功能的等。广义地说，分子</w:t>
      </w:r>
    </w:p>
    <w:p w14:paraId="716E95B4">
      <w:pPr>
        <w:spacing w:line="328" w:lineRule="auto"/>
        <w:rPr>
          <w:rFonts w:ascii="宋体" w:hAnsi="宋体" w:eastAsia="宋体" w:cs="宋体"/>
          <w:sz w:val="21"/>
          <w:szCs w:val="21"/>
        </w:rPr>
        <w:sectPr>
          <w:footerReference r:id="rId279" w:type="default"/>
          <w:pgSz w:w="11900" w:h="16820"/>
          <w:pgMar w:top="400" w:right="1374" w:bottom="816" w:left="719" w:header="0" w:footer="626" w:gutter="0"/>
          <w:cols w:space="720" w:num="1"/>
        </w:sectPr>
      </w:pPr>
    </w:p>
    <w:p w14:paraId="47ED7E00">
      <w:pPr>
        <w:pStyle w:val="2"/>
        <w:spacing w:before="266" w:line="221" w:lineRule="auto"/>
        <w:ind w:left="6899"/>
        <w:rPr>
          <w:sz w:val="20"/>
          <w:szCs w:val="20"/>
        </w:rPr>
      </w:pPr>
      <w:r>
        <w:rPr>
          <w:spacing w:val="-15"/>
          <w:sz w:val="20"/>
          <w:szCs w:val="20"/>
        </w:rPr>
        <w:t>第十七章分子流行病学</w:t>
      </w:r>
    </w:p>
    <w:p w14:paraId="6F24E4E6">
      <w:pPr>
        <w:spacing w:line="256" w:lineRule="auto"/>
        <w:rPr>
          <w:rFonts w:ascii="Arial"/>
          <w:sz w:val="21"/>
        </w:rPr>
      </w:pPr>
    </w:p>
    <w:p w14:paraId="4102B476">
      <w:pPr>
        <w:spacing w:line="256" w:lineRule="auto"/>
        <w:rPr>
          <w:rFonts w:ascii="Arial"/>
          <w:sz w:val="21"/>
        </w:rPr>
      </w:pPr>
    </w:p>
    <w:p w14:paraId="4E857302">
      <w:pPr>
        <w:spacing w:before="65" w:line="344" w:lineRule="auto"/>
        <w:ind w:right="647"/>
        <w:jc w:val="both"/>
        <w:rPr>
          <w:rFonts w:ascii="宋体" w:hAnsi="宋体" w:eastAsia="宋体" w:cs="宋体"/>
          <w:sz w:val="20"/>
          <w:szCs w:val="20"/>
        </w:rPr>
      </w:pPr>
      <w:r>
        <w:rPr>
          <w:rFonts w:ascii="宋体" w:hAnsi="宋体" w:eastAsia="宋体" w:cs="宋体"/>
          <w:spacing w:val="-3"/>
          <w:sz w:val="20"/>
          <w:szCs w:val="20"/>
        </w:rPr>
        <w:t>流行病学研究一切生物标志，但目前应用较多的主要是分子生物标志，如核酸、蛋白质、代谢物、抗</w:t>
      </w:r>
      <w:r>
        <w:rPr>
          <w:rFonts w:ascii="宋体" w:hAnsi="宋体" w:eastAsia="宋体" w:cs="宋体"/>
          <w:spacing w:val="18"/>
          <w:sz w:val="20"/>
          <w:szCs w:val="20"/>
        </w:rPr>
        <w:t xml:space="preserve"> </w:t>
      </w:r>
      <w:r>
        <w:rPr>
          <w:rFonts w:ascii="宋体" w:hAnsi="宋体" w:eastAsia="宋体" w:cs="宋体"/>
          <w:spacing w:val="7"/>
          <w:sz w:val="20"/>
          <w:szCs w:val="20"/>
        </w:rPr>
        <w:t>体等。这些与疾病或健康状态相关的生物标志(即可识别的物质特征)构成了分子流行病学的测量</w:t>
      </w:r>
      <w:r>
        <w:rPr>
          <w:rFonts w:ascii="宋体" w:hAnsi="宋体" w:eastAsia="宋体" w:cs="宋体"/>
          <w:spacing w:val="6"/>
          <w:sz w:val="20"/>
          <w:szCs w:val="20"/>
        </w:rPr>
        <w:t xml:space="preserve"> 指标。</w:t>
      </w:r>
    </w:p>
    <w:p w14:paraId="131431F5">
      <w:pPr>
        <w:pStyle w:val="2"/>
        <w:spacing w:before="179" w:line="221" w:lineRule="auto"/>
        <w:ind w:left="423"/>
        <w:outlineLvl w:val="4"/>
        <w:rPr>
          <w:sz w:val="24"/>
          <w:szCs w:val="24"/>
        </w:rPr>
      </w:pPr>
      <w:bookmarkStart w:id="436" w:name="bookmark275"/>
      <w:bookmarkEnd w:id="436"/>
      <w:r>
        <w:rPr>
          <w:b/>
          <w:bCs/>
          <w:spacing w:val="2"/>
          <w:sz w:val="24"/>
          <w:szCs w:val="24"/>
        </w:rPr>
        <w:t>二</w:t>
      </w:r>
      <w:r>
        <w:rPr>
          <w:spacing w:val="-39"/>
          <w:sz w:val="24"/>
          <w:szCs w:val="24"/>
        </w:rPr>
        <w:t xml:space="preserve"> </w:t>
      </w:r>
      <w:r>
        <w:rPr>
          <w:b/>
          <w:bCs/>
          <w:spacing w:val="2"/>
          <w:sz w:val="24"/>
          <w:szCs w:val="24"/>
        </w:rPr>
        <w:t>、分子流行病学的发展简史</w:t>
      </w:r>
    </w:p>
    <w:p w14:paraId="7817D145">
      <w:pPr>
        <w:pStyle w:val="2"/>
        <w:spacing w:before="256" w:line="221" w:lineRule="auto"/>
        <w:ind w:left="420"/>
        <w:rPr>
          <w:sz w:val="24"/>
          <w:szCs w:val="24"/>
        </w:rPr>
      </w:pPr>
      <w:r>
        <w:rPr>
          <w:spacing w:val="4"/>
          <w:sz w:val="24"/>
          <w:szCs w:val="24"/>
        </w:rPr>
        <w:t>(一)产生背景</w:t>
      </w:r>
    </w:p>
    <w:p w14:paraId="55559A43">
      <w:pPr>
        <w:spacing w:before="102" w:line="335" w:lineRule="auto"/>
        <w:ind w:right="646" w:firstLine="420"/>
        <w:rPr>
          <w:rFonts w:ascii="宋体" w:hAnsi="宋体" w:eastAsia="宋体" w:cs="宋体"/>
          <w:sz w:val="20"/>
          <w:szCs w:val="20"/>
        </w:rPr>
      </w:pPr>
      <w:r>
        <w:rPr>
          <w:rFonts w:ascii="宋体" w:hAnsi="宋体" w:eastAsia="宋体" w:cs="宋体"/>
          <w:spacing w:val="7"/>
          <w:sz w:val="20"/>
          <w:szCs w:val="20"/>
        </w:rPr>
        <w:t>分子流行病学是传统流行病学学科发展的强烈需求和分子生物学理论与技术取得的巨大成就</w:t>
      </w:r>
      <w:r>
        <w:rPr>
          <w:rFonts w:ascii="宋体" w:hAnsi="宋体" w:eastAsia="宋体" w:cs="宋体"/>
          <w:spacing w:val="8"/>
          <w:sz w:val="20"/>
          <w:szCs w:val="20"/>
        </w:rPr>
        <w:t xml:space="preserve"> </w:t>
      </w:r>
      <w:r>
        <w:rPr>
          <w:rFonts w:ascii="宋体" w:hAnsi="宋体" w:eastAsia="宋体" w:cs="宋体"/>
          <w:spacing w:val="2"/>
          <w:sz w:val="20"/>
          <w:szCs w:val="20"/>
        </w:rPr>
        <w:t>相结合的产物，其诞生的原因主要包括以下两方面：</w:t>
      </w:r>
    </w:p>
    <w:p w14:paraId="183B57B7">
      <w:pPr>
        <w:pStyle w:val="2"/>
        <w:spacing w:before="23" w:line="332" w:lineRule="auto"/>
        <w:ind w:right="646" w:firstLine="420"/>
        <w:jc w:val="both"/>
        <w:rPr>
          <w:rFonts w:ascii="宋体" w:hAnsi="宋体" w:eastAsia="宋体" w:cs="宋体"/>
          <w:sz w:val="20"/>
          <w:szCs w:val="20"/>
        </w:rPr>
      </w:pPr>
      <w:r>
        <w:rPr>
          <w:rFonts w:ascii="宋体" w:hAnsi="宋体" w:eastAsia="宋体" w:cs="宋体"/>
          <w:spacing w:val="4"/>
          <w:sz w:val="20"/>
          <w:szCs w:val="20"/>
        </w:rPr>
        <w:t xml:space="preserve">1. </w:t>
      </w:r>
      <w:r>
        <w:rPr>
          <w:spacing w:val="4"/>
          <w:sz w:val="20"/>
          <w:szCs w:val="20"/>
        </w:rPr>
        <w:t xml:space="preserve">疾病防治中出现的新问题  </w:t>
      </w:r>
      <w:r>
        <w:rPr>
          <w:rFonts w:ascii="宋体" w:hAnsi="宋体" w:eastAsia="宋体" w:cs="宋体"/>
          <w:spacing w:val="4"/>
          <w:sz w:val="20"/>
          <w:szCs w:val="20"/>
        </w:rPr>
        <w:t>一直以来，流行病学在疾病的预防和治疗、疾病危险因素的研</w:t>
      </w:r>
      <w:r>
        <w:rPr>
          <w:rFonts w:ascii="宋体" w:hAnsi="宋体" w:eastAsia="宋体" w:cs="宋体"/>
          <w:spacing w:val="15"/>
          <w:sz w:val="20"/>
          <w:szCs w:val="20"/>
        </w:rPr>
        <w:t xml:space="preserve"> </w:t>
      </w:r>
      <w:r>
        <w:rPr>
          <w:rFonts w:ascii="宋体" w:hAnsi="宋体" w:eastAsia="宋体" w:cs="宋体"/>
          <w:spacing w:val="7"/>
          <w:sz w:val="20"/>
          <w:szCs w:val="20"/>
        </w:rPr>
        <w:t xml:space="preserve">究和控制等方面都发挥着十分重要的作用。然而，自20世纪后期以来，随着疾病预防控制和健康 </w:t>
      </w:r>
      <w:r>
        <w:rPr>
          <w:rFonts w:ascii="宋体" w:hAnsi="宋体" w:eastAsia="宋体" w:cs="宋体"/>
          <w:spacing w:val="2"/>
          <w:sz w:val="20"/>
          <w:szCs w:val="20"/>
        </w:rPr>
        <w:t>促进工作的深入和人们对健康的需求越来越高，流行病学的研究和应用遇到了一些新的挑战。</w:t>
      </w:r>
    </w:p>
    <w:p w14:paraId="4628A5EF">
      <w:pPr>
        <w:spacing w:before="2" w:line="317" w:lineRule="auto"/>
        <w:ind w:right="609" w:firstLine="420"/>
        <w:rPr>
          <w:rFonts w:ascii="宋体" w:hAnsi="宋体" w:eastAsia="宋体" w:cs="宋体"/>
          <w:sz w:val="20"/>
          <w:szCs w:val="20"/>
        </w:rPr>
      </w:pPr>
      <w:r>
        <w:rPr>
          <w:rFonts w:ascii="宋体" w:hAnsi="宋体" w:eastAsia="宋体" w:cs="宋体"/>
          <w:spacing w:val="5"/>
          <w:sz w:val="20"/>
          <w:szCs w:val="20"/>
        </w:rPr>
        <w:t>(1)传染病防治面临新的挑战，而传统流行</w:t>
      </w:r>
      <w:r>
        <w:rPr>
          <w:rFonts w:ascii="宋体" w:hAnsi="宋体" w:eastAsia="宋体" w:cs="宋体"/>
          <w:spacing w:val="4"/>
          <w:sz w:val="20"/>
          <w:szCs w:val="20"/>
        </w:rPr>
        <w:t>病学研究方法难以解决。主要表现在：①病原生物</w:t>
      </w:r>
      <w:r>
        <w:rPr>
          <w:rFonts w:ascii="宋体" w:hAnsi="宋体" w:eastAsia="宋体" w:cs="宋体"/>
          <w:sz w:val="20"/>
          <w:szCs w:val="20"/>
        </w:rPr>
        <w:t xml:space="preserve"> </w:t>
      </w:r>
      <w:r>
        <w:rPr>
          <w:rFonts w:ascii="宋体" w:hAnsi="宋体" w:eastAsia="宋体" w:cs="宋体"/>
          <w:spacing w:val="-2"/>
          <w:sz w:val="20"/>
          <w:szCs w:val="20"/>
        </w:rPr>
        <w:t>不断表现出多样性和多变性，如流感病毒、</w:t>
      </w:r>
      <w:r>
        <w:rPr>
          <w:rFonts w:ascii="Times New Roman" w:hAnsi="Times New Roman" w:eastAsia="Times New Roman" w:cs="Times New Roman"/>
          <w:spacing w:val="-2"/>
          <w:sz w:val="20"/>
          <w:szCs w:val="20"/>
        </w:rPr>
        <w:t xml:space="preserve">HIV </w:t>
      </w:r>
      <w:r>
        <w:rPr>
          <w:rFonts w:ascii="宋体" w:hAnsi="宋体" w:eastAsia="宋体" w:cs="宋体"/>
          <w:spacing w:val="-2"/>
          <w:sz w:val="20"/>
          <w:szCs w:val="20"/>
        </w:rPr>
        <w:t>等；传染病流行规律与传播机制愈显复</w:t>
      </w:r>
      <w:r>
        <w:rPr>
          <w:rFonts w:ascii="宋体" w:hAnsi="宋体" w:eastAsia="宋体" w:cs="宋体"/>
          <w:spacing w:val="-3"/>
          <w:sz w:val="20"/>
          <w:szCs w:val="20"/>
        </w:rPr>
        <w:t>杂，向多因素</w:t>
      </w:r>
      <w:r>
        <w:rPr>
          <w:rFonts w:ascii="宋体" w:hAnsi="宋体" w:eastAsia="宋体" w:cs="宋体"/>
          <w:sz w:val="20"/>
          <w:szCs w:val="20"/>
        </w:rPr>
        <w:t xml:space="preserve"> </w:t>
      </w:r>
      <w:r>
        <w:rPr>
          <w:rFonts w:ascii="宋体" w:hAnsi="宋体" w:eastAsia="宋体" w:cs="宋体"/>
          <w:spacing w:val="7"/>
          <w:sz w:val="20"/>
          <w:szCs w:val="20"/>
        </w:rPr>
        <w:t>发展；病因由单病因单效应发展至多病因多效应。②抗菌药的广泛应用使各种耐药性病原体不断</w:t>
      </w:r>
      <w:r>
        <w:rPr>
          <w:rFonts w:ascii="宋体" w:hAnsi="宋体" w:eastAsia="宋体" w:cs="宋体"/>
          <w:spacing w:val="13"/>
          <w:sz w:val="20"/>
          <w:szCs w:val="20"/>
        </w:rPr>
        <w:t xml:space="preserve"> </w:t>
      </w:r>
      <w:r>
        <w:rPr>
          <w:rFonts w:ascii="宋体" w:hAnsi="宋体" w:eastAsia="宋体" w:cs="宋体"/>
          <w:spacing w:val="4"/>
          <w:sz w:val="20"/>
          <w:szCs w:val="20"/>
        </w:rPr>
        <w:t>出现(如耐药结核分枝杆菌、耐药金黄色葡萄球菌等),且呈现广泛传播的趋势。③新发传染病不断</w:t>
      </w:r>
      <w:r>
        <w:rPr>
          <w:rFonts w:ascii="宋体" w:hAnsi="宋体" w:eastAsia="宋体" w:cs="宋体"/>
          <w:spacing w:val="11"/>
          <w:sz w:val="20"/>
          <w:szCs w:val="20"/>
        </w:rPr>
        <w:t xml:space="preserve"> </w:t>
      </w:r>
      <w:r>
        <w:rPr>
          <w:rFonts w:ascii="宋体" w:hAnsi="宋体" w:eastAsia="宋体" w:cs="宋体"/>
          <w:spacing w:val="-1"/>
          <w:sz w:val="20"/>
          <w:szCs w:val="20"/>
        </w:rPr>
        <w:t>出现，需要更有效、更快速的技术方法来阐明疾病发生的原因，并进行环</w:t>
      </w:r>
      <w:r>
        <w:rPr>
          <w:rFonts w:ascii="宋体" w:hAnsi="宋体" w:eastAsia="宋体" w:cs="宋体"/>
          <w:spacing w:val="-2"/>
          <w:sz w:val="20"/>
          <w:szCs w:val="20"/>
        </w:rPr>
        <w:t>境生物群落的研究和监测。</w:t>
      </w:r>
    </w:p>
    <w:p w14:paraId="7C0C3E6D">
      <w:pPr>
        <w:spacing w:before="150" w:line="310" w:lineRule="auto"/>
        <w:ind w:right="572" w:firstLine="420"/>
        <w:rPr>
          <w:rFonts w:ascii="宋体" w:hAnsi="宋体" w:eastAsia="宋体" w:cs="宋体"/>
          <w:sz w:val="20"/>
          <w:szCs w:val="20"/>
        </w:rPr>
      </w:pPr>
      <w:r>
        <w:rPr>
          <w:rFonts w:ascii="宋体" w:hAnsi="宋体" w:eastAsia="宋体" w:cs="宋体"/>
          <w:spacing w:val="6"/>
          <w:sz w:val="20"/>
          <w:szCs w:val="20"/>
        </w:rPr>
        <w:t>(2)对于慢性非传染性疾病而言，传统的“黑箱原理”式的病因研究方法主要是判断某个(些)</w:t>
      </w:r>
      <w:r>
        <w:rPr>
          <w:rFonts w:ascii="宋体" w:hAnsi="宋体" w:eastAsia="宋体" w:cs="宋体"/>
          <w:spacing w:val="4"/>
          <w:sz w:val="20"/>
          <w:szCs w:val="20"/>
        </w:rPr>
        <w:t xml:space="preserve"> </w:t>
      </w:r>
      <w:r>
        <w:rPr>
          <w:rFonts w:ascii="宋体" w:hAnsi="宋体" w:eastAsia="宋体" w:cs="宋体"/>
          <w:spacing w:val="7"/>
          <w:sz w:val="20"/>
          <w:szCs w:val="20"/>
        </w:rPr>
        <w:t>暴露因素与某个(些)疾病的发生是否相关联，并不关注中间具体发展过程。多数慢性非传染性疾</w:t>
      </w:r>
      <w:r>
        <w:rPr>
          <w:rFonts w:ascii="宋体" w:hAnsi="宋体" w:eastAsia="宋体" w:cs="宋体"/>
          <w:spacing w:val="6"/>
          <w:sz w:val="20"/>
          <w:szCs w:val="20"/>
        </w:rPr>
        <w:t xml:space="preserve"> </w:t>
      </w:r>
      <w:r>
        <w:rPr>
          <w:rFonts w:ascii="宋体" w:hAnsi="宋体" w:eastAsia="宋体" w:cs="宋体"/>
          <w:spacing w:val="3"/>
          <w:sz w:val="20"/>
          <w:szCs w:val="20"/>
        </w:rPr>
        <w:t>病具有多病因、多阶段、长诱导期等特征，从暴</w:t>
      </w:r>
      <w:r>
        <w:rPr>
          <w:rFonts w:ascii="宋体" w:hAnsi="宋体" w:eastAsia="宋体" w:cs="宋体"/>
          <w:spacing w:val="2"/>
          <w:sz w:val="20"/>
          <w:szCs w:val="20"/>
        </w:rPr>
        <w:t>露到发病或死亡的时间往往需要几年或几十年。暴</w:t>
      </w:r>
      <w:r>
        <w:rPr>
          <w:rFonts w:ascii="宋体" w:hAnsi="宋体" w:eastAsia="宋体" w:cs="宋体"/>
          <w:sz w:val="20"/>
          <w:szCs w:val="20"/>
        </w:rPr>
        <w:t xml:space="preserve"> </w:t>
      </w:r>
      <w:r>
        <w:rPr>
          <w:rFonts w:ascii="宋体" w:hAnsi="宋体" w:eastAsia="宋体" w:cs="宋体"/>
          <w:spacing w:val="12"/>
          <w:sz w:val="20"/>
          <w:szCs w:val="20"/>
        </w:rPr>
        <w:t>露因素究竟是如何导致该疾病发生的?暴露因素作用于人体后，最早的</w:t>
      </w:r>
      <w:r>
        <w:rPr>
          <w:rFonts w:ascii="宋体" w:hAnsi="宋体" w:eastAsia="宋体" w:cs="宋体"/>
          <w:spacing w:val="11"/>
          <w:sz w:val="20"/>
          <w:szCs w:val="20"/>
        </w:rPr>
        <w:t>生物学效应是什么?它们</w:t>
      </w:r>
      <w:r>
        <w:rPr>
          <w:rFonts w:ascii="宋体" w:hAnsi="宋体" w:eastAsia="宋体" w:cs="宋体"/>
          <w:sz w:val="20"/>
          <w:szCs w:val="20"/>
        </w:rPr>
        <w:t xml:space="preserve">  </w:t>
      </w:r>
      <w:r>
        <w:rPr>
          <w:rFonts w:ascii="宋体" w:hAnsi="宋体" w:eastAsia="宋体" w:cs="宋体"/>
          <w:spacing w:val="6"/>
          <w:sz w:val="20"/>
          <w:szCs w:val="20"/>
        </w:rPr>
        <w:t>与疾病发生、发展的关系如何?传统流行病学的研究方法无法解答上述问题。</w:t>
      </w:r>
    </w:p>
    <w:p w14:paraId="6C885AD4">
      <w:pPr>
        <w:spacing w:before="173" w:line="310" w:lineRule="auto"/>
        <w:ind w:right="645" w:firstLine="420"/>
        <w:rPr>
          <w:rFonts w:ascii="宋体" w:hAnsi="宋体" w:eastAsia="宋体" w:cs="宋体"/>
          <w:sz w:val="20"/>
          <w:szCs w:val="20"/>
        </w:rPr>
      </w:pPr>
      <w:r>
        <w:rPr>
          <w:rFonts w:ascii="宋体" w:hAnsi="宋体" w:eastAsia="宋体" w:cs="宋体"/>
          <w:spacing w:val="9"/>
          <w:sz w:val="20"/>
          <w:szCs w:val="20"/>
        </w:rPr>
        <w:t>(3)生物个体间环境及遗传因素的不同造成不同个体或群体之间对于疾病的易感性或者治疗</w:t>
      </w:r>
      <w:r>
        <w:rPr>
          <w:rFonts w:ascii="宋体" w:hAnsi="宋体" w:eastAsia="宋体" w:cs="宋体"/>
          <w:spacing w:val="18"/>
          <w:sz w:val="20"/>
          <w:szCs w:val="20"/>
        </w:rPr>
        <w:t xml:space="preserve"> </w:t>
      </w:r>
      <w:r>
        <w:rPr>
          <w:rFonts w:ascii="宋体" w:hAnsi="宋体" w:eastAsia="宋体" w:cs="宋体"/>
          <w:spacing w:val="2"/>
          <w:sz w:val="20"/>
          <w:szCs w:val="20"/>
        </w:rPr>
        <w:t>的反应差别甚大。例如，在疾病发生、发展过程中，不同个体对于病原体的易感程度或者对环境有</w:t>
      </w:r>
      <w:r>
        <w:rPr>
          <w:rFonts w:ascii="宋体" w:hAnsi="宋体" w:eastAsia="宋体" w:cs="宋体"/>
          <w:spacing w:val="3"/>
          <w:sz w:val="20"/>
          <w:szCs w:val="20"/>
        </w:rPr>
        <w:t xml:space="preserve"> 害物质的代谢能力不同；在疾病治疗的预后转归中，</w:t>
      </w:r>
      <w:r>
        <w:rPr>
          <w:rFonts w:ascii="宋体" w:hAnsi="宋体" w:eastAsia="宋体" w:cs="宋体"/>
          <w:spacing w:val="2"/>
          <w:sz w:val="20"/>
          <w:szCs w:val="20"/>
        </w:rPr>
        <w:t>不同个体对于治疗手段的反应程度或者药物不</w:t>
      </w:r>
      <w:r>
        <w:rPr>
          <w:rFonts w:ascii="宋体" w:hAnsi="宋体" w:eastAsia="宋体" w:cs="宋体"/>
          <w:sz w:val="20"/>
          <w:szCs w:val="20"/>
        </w:rPr>
        <w:t xml:space="preserve"> </w:t>
      </w:r>
      <w:r>
        <w:rPr>
          <w:rFonts w:ascii="宋体" w:hAnsi="宋体" w:eastAsia="宋体" w:cs="宋体"/>
          <w:spacing w:val="7"/>
          <w:sz w:val="20"/>
          <w:szCs w:val="20"/>
        </w:rPr>
        <w:t>良反应的耐受程度等存在差异。传统流行病学方法在确定这些差异及其在疾病发生、发展和防治</w:t>
      </w:r>
      <w:r>
        <w:rPr>
          <w:rFonts w:ascii="宋体" w:hAnsi="宋体" w:eastAsia="宋体" w:cs="宋体"/>
          <w:spacing w:val="2"/>
          <w:sz w:val="20"/>
          <w:szCs w:val="20"/>
        </w:rPr>
        <w:t xml:space="preserve"> </w:t>
      </w:r>
      <w:r>
        <w:rPr>
          <w:rFonts w:ascii="宋体" w:hAnsi="宋体" w:eastAsia="宋体" w:cs="宋体"/>
          <w:spacing w:val="9"/>
          <w:sz w:val="20"/>
          <w:szCs w:val="20"/>
        </w:rPr>
        <w:t>中的意义时常显得无能为力。</w:t>
      </w:r>
    </w:p>
    <w:p w14:paraId="0073C83D">
      <w:pPr>
        <w:spacing w:before="144" w:line="339" w:lineRule="auto"/>
        <w:ind w:right="646" w:firstLine="420"/>
        <w:jc w:val="both"/>
        <w:rPr>
          <w:rFonts w:ascii="宋体" w:hAnsi="宋体" w:eastAsia="宋体" w:cs="宋体"/>
          <w:sz w:val="20"/>
          <w:szCs w:val="20"/>
        </w:rPr>
      </w:pPr>
      <w:r>
        <w:rPr>
          <w:rFonts w:ascii="宋体" w:hAnsi="宋体" w:eastAsia="宋体" w:cs="宋体"/>
          <w:spacing w:val="2"/>
          <w:sz w:val="20"/>
          <w:szCs w:val="20"/>
        </w:rPr>
        <w:t>在遇到上述难题以后，学者们意识到：如果以一系列疾病发生、发展的中间事件而不是仅以发</w:t>
      </w:r>
      <w:r>
        <w:rPr>
          <w:rFonts w:ascii="宋体" w:hAnsi="宋体" w:eastAsia="宋体" w:cs="宋体"/>
          <w:spacing w:val="5"/>
          <w:sz w:val="20"/>
          <w:szCs w:val="20"/>
        </w:rPr>
        <w:t xml:space="preserve"> </w:t>
      </w:r>
      <w:r>
        <w:rPr>
          <w:rFonts w:ascii="宋体" w:hAnsi="宋体" w:eastAsia="宋体" w:cs="宋体"/>
          <w:spacing w:val="3"/>
          <w:sz w:val="20"/>
          <w:szCs w:val="20"/>
        </w:rPr>
        <w:t>病结局为测量指标来研究疾病的分布规律、影响</w:t>
      </w:r>
      <w:r>
        <w:rPr>
          <w:rFonts w:ascii="宋体" w:hAnsi="宋体" w:eastAsia="宋体" w:cs="宋体"/>
          <w:spacing w:val="2"/>
          <w:sz w:val="20"/>
          <w:szCs w:val="20"/>
        </w:rPr>
        <w:t>因素以及评价干预效果，将极大地提高流行病学研</w:t>
      </w:r>
      <w:r>
        <w:rPr>
          <w:rFonts w:ascii="宋体" w:hAnsi="宋体" w:eastAsia="宋体" w:cs="宋体"/>
          <w:sz w:val="20"/>
          <w:szCs w:val="20"/>
        </w:rPr>
        <w:t xml:space="preserve"> </w:t>
      </w:r>
      <w:r>
        <w:rPr>
          <w:rFonts w:ascii="宋体" w:hAnsi="宋体" w:eastAsia="宋体" w:cs="宋体"/>
          <w:spacing w:val="3"/>
          <w:sz w:val="20"/>
          <w:szCs w:val="20"/>
        </w:rPr>
        <w:t>究的效能；如果将个体间的遗传易感性纳入疾</w:t>
      </w:r>
      <w:r>
        <w:rPr>
          <w:rFonts w:ascii="宋体" w:hAnsi="宋体" w:eastAsia="宋体" w:cs="宋体"/>
          <w:spacing w:val="2"/>
          <w:sz w:val="20"/>
          <w:szCs w:val="20"/>
        </w:rPr>
        <w:t>病病因或危险因素的研究与防治效果评价中，可获得</w:t>
      </w:r>
      <w:r>
        <w:rPr>
          <w:rFonts w:ascii="宋体" w:hAnsi="宋体" w:eastAsia="宋体" w:cs="宋体"/>
          <w:sz w:val="20"/>
          <w:szCs w:val="20"/>
        </w:rPr>
        <w:t xml:space="preserve"> </w:t>
      </w:r>
      <w:r>
        <w:rPr>
          <w:rFonts w:ascii="宋体" w:hAnsi="宋体" w:eastAsia="宋体" w:cs="宋体"/>
          <w:spacing w:val="7"/>
          <w:sz w:val="20"/>
          <w:szCs w:val="20"/>
        </w:rPr>
        <w:t>更好的效果。但关键问题是如何测量这些中间事件以及易感性。分子生物学理论的快速发展和分</w:t>
      </w:r>
      <w:r>
        <w:rPr>
          <w:rFonts w:ascii="宋体" w:hAnsi="宋体" w:eastAsia="宋体" w:cs="宋体"/>
          <w:spacing w:val="13"/>
          <w:sz w:val="20"/>
          <w:szCs w:val="20"/>
        </w:rPr>
        <w:t xml:space="preserve"> </w:t>
      </w:r>
      <w:r>
        <w:rPr>
          <w:rFonts w:ascii="宋体" w:hAnsi="宋体" w:eastAsia="宋体" w:cs="宋体"/>
          <w:spacing w:val="3"/>
          <w:sz w:val="20"/>
          <w:szCs w:val="20"/>
        </w:rPr>
        <w:t>子生物学技术的大量涌现，为解决这一难题带来了可能。</w:t>
      </w:r>
    </w:p>
    <w:p w14:paraId="59D5DBAE">
      <w:pPr>
        <w:pStyle w:val="2"/>
        <w:spacing w:before="2" w:line="342" w:lineRule="auto"/>
        <w:ind w:right="556" w:firstLine="420"/>
        <w:jc w:val="both"/>
        <w:rPr>
          <w:rFonts w:ascii="宋体" w:hAnsi="宋体" w:eastAsia="宋体" w:cs="宋体"/>
          <w:sz w:val="20"/>
          <w:szCs w:val="20"/>
        </w:rPr>
      </w:pPr>
      <w:r>
        <w:rPr>
          <w:rFonts w:ascii="宋体" w:hAnsi="宋体" w:eastAsia="宋体" w:cs="宋体"/>
          <w:spacing w:val="7"/>
          <w:sz w:val="20"/>
          <w:szCs w:val="20"/>
        </w:rPr>
        <w:t xml:space="preserve">2. </w:t>
      </w:r>
      <w:r>
        <w:rPr>
          <w:spacing w:val="7"/>
          <w:sz w:val="20"/>
          <w:szCs w:val="20"/>
        </w:rPr>
        <w:t>分子生物学理论和技术的迅速发展</w:t>
      </w:r>
      <w:r>
        <w:rPr>
          <w:spacing w:val="84"/>
          <w:sz w:val="20"/>
          <w:szCs w:val="20"/>
        </w:rPr>
        <w:t xml:space="preserve"> </w:t>
      </w:r>
      <w:r>
        <w:rPr>
          <w:rFonts w:ascii="宋体" w:hAnsi="宋体" w:eastAsia="宋体" w:cs="宋体"/>
          <w:spacing w:val="7"/>
          <w:sz w:val="20"/>
          <w:szCs w:val="20"/>
        </w:rPr>
        <w:t>20世纪后期，随着基因和蛋白水平研究的不断深入，</w:t>
      </w:r>
      <w:r>
        <w:rPr>
          <w:rFonts w:ascii="宋体" w:hAnsi="宋体" w:eastAsia="宋体" w:cs="宋体"/>
          <w:sz w:val="20"/>
          <w:szCs w:val="20"/>
        </w:rPr>
        <w:t xml:space="preserve"> </w:t>
      </w:r>
      <w:r>
        <w:rPr>
          <w:rFonts w:ascii="宋体" w:hAnsi="宋体" w:eastAsia="宋体" w:cs="宋体"/>
          <w:spacing w:val="2"/>
          <w:sz w:val="20"/>
          <w:szCs w:val="20"/>
        </w:rPr>
        <w:t>分子生物学理论(如</w:t>
      </w:r>
      <w:r>
        <w:rPr>
          <w:rFonts w:ascii="Times New Roman" w:hAnsi="Times New Roman" w:eastAsia="Times New Roman" w:cs="Times New Roman"/>
          <w:sz w:val="20"/>
          <w:szCs w:val="20"/>
        </w:rPr>
        <w:t>DNA</w:t>
      </w:r>
      <w:r>
        <w:rPr>
          <w:rFonts w:ascii="Times New Roman" w:hAnsi="Times New Roman" w:eastAsia="Times New Roman" w:cs="Times New Roman"/>
          <w:spacing w:val="-10"/>
          <w:sz w:val="20"/>
          <w:szCs w:val="20"/>
        </w:rPr>
        <w:t xml:space="preserve"> </w:t>
      </w:r>
      <w:r>
        <w:rPr>
          <w:rFonts w:ascii="宋体" w:hAnsi="宋体" w:eastAsia="宋体" w:cs="宋体"/>
          <w:spacing w:val="2"/>
          <w:sz w:val="20"/>
          <w:szCs w:val="20"/>
        </w:rPr>
        <w:t>双螺旋结构、中心法则、</w:t>
      </w:r>
      <w:r>
        <w:rPr>
          <w:rFonts w:ascii="Times New Roman" w:hAnsi="Times New Roman" w:eastAsia="Times New Roman" w:cs="Times New Roman"/>
          <w:sz w:val="20"/>
          <w:szCs w:val="20"/>
        </w:rPr>
        <w:t>RNA</w:t>
      </w:r>
      <w:r>
        <w:rPr>
          <w:rFonts w:ascii="Times New Roman" w:hAnsi="Times New Roman" w:eastAsia="Times New Roman" w:cs="Times New Roman"/>
          <w:spacing w:val="-18"/>
          <w:sz w:val="20"/>
          <w:szCs w:val="20"/>
        </w:rPr>
        <w:t xml:space="preserve"> </w:t>
      </w:r>
      <w:r>
        <w:rPr>
          <w:rFonts w:ascii="宋体" w:hAnsi="宋体" w:eastAsia="宋体" w:cs="宋体"/>
          <w:spacing w:val="2"/>
          <w:sz w:val="20"/>
          <w:szCs w:val="20"/>
        </w:rPr>
        <w:t>逆转录</w:t>
      </w:r>
      <w:r>
        <w:rPr>
          <w:rFonts w:ascii="宋体" w:hAnsi="宋体" w:eastAsia="宋体" w:cs="宋体"/>
          <w:spacing w:val="1"/>
          <w:sz w:val="20"/>
          <w:szCs w:val="20"/>
        </w:rPr>
        <w:t>、表观遗传修饰等)和技术(如凝胶电</w:t>
      </w:r>
      <w:r>
        <w:rPr>
          <w:rFonts w:ascii="宋体" w:hAnsi="宋体" w:eastAsia="宋体" w:cs="宋体"/>
          <w:sz w:val="20"/>
          <w:szCs w:val="20"/>
        </w:rPr>
        <w:t xml:space="preserve">  </w:t>
      </w:r>
      <w:r>
        <w:rPr>
          <w:rFonts w:ascii="宋体" w:hAnsi="宋体" w:eastAsia="宋体" w:cs="宋体"/>
          <w:spacing w:val="-5"/>
          <w:sz w:val="20"/>
          <w:szCs w:val="20"/>
        </w:rPr>
        <w:t>泳、体外核酸扩增、</w:t>
      </w:r>
      <w:r>
        <w:rPr>
          <w:rFonts w:ascii="Times New Roman" w:hAnsi="Times New Roman" w:eastAsia="Times New Roman" w:cs="Times New Roman"/>
          <w:spacing w:val="-5"/>
          <w:sz w:val="20"/>
          <w:szCs w:val="20"/>
        </w:rPr>
        <w:t>DNA</w:t>
      </w:r>
      <w:r>
        <w:rPr>
          <w:rFonts w:ascii="宋体" w:hAnsi="宋体" w:eastAsia="宋体" w:cs="宋体"/>
          <w:spacing w:val="-5"/>
          <w:sz w:val="20"/>
          <w:szCs w:val="20"/>
        </w:rPr>
        <w:t>测序、蛋白质测序、分子杂交、基因编辑等)得到了飞速发展。此外，随着人</w:t>
      </w:r>
      <w:r>
        <w:rPr>
          <w:rFonts w:ascii="宋体" w:hAnsi="宋体" w:eastAsia="宋体" w:cs="宋体"/>
          <w:spacing w:val="2"/>
          <w:sz w:val="20"/>
          <w:szCs w:val="20"/>
        </w:rPr>
        <w:t xml:space="preserve">  </w:t>
      </w:r>
      <w:r>
        <w:rPr>
          <w:rFonts w:ascii="宋体" w:hAnsi="宋体" w:eastAsia="宋体" w:cs="宋体"/>
          <w:spacing w:val="7"/>
          <w:sz w:val="20"/>
          <w:szCs w:val="20"/>
        </w:rPr>
        <w:t>类基因组计划而发展起来的生物芯片技术和新测序技术近年来的应用范围也不断扩大，为基因和</w:t>
      </w:r>
      <w:r>
        <w:rPr>
          <w:rFonts w:ascii="宋体" w:hAnsi="宋体" w:eastAsia="宋体" w:cs="宋体"/>
          <w:sz w:val="20"/>
          <w:szCs w:val="20"/>
        </w:rPr>
        <w:t xml:space="preserve">  </w:t>
      </w:r>
      <w:r>
        <w:rPr>
          <w:rFonts w:ascii="宋体" w:hAnsi="宋体" w:eastAsia="宋体" w:cs="宋体"/>
          <w:spacing w:val="5"/>
          <w:sz w:val="20"/>
          <w:szCs w:val="20"/>
        </w:rPr>
        <w:t>蛋白质结构和功能的深人解析及高通量检测</w:t>
      </w:r>
      <w:r>
        <w:rPr>
          <w:rFonts w:ascii="宋体" w:hAnsi="宋体" w:eastAsia="宋体" w:cs="宋体"/>
          <w:spacing w:val="4"/>
          <w:sz w:val="20"/>
          <w:szCs w:val="20"/>
        </w:rPr>
        <w:t>提供了更为有效的手段。</w:t>
      </w:r>
    </w:p>
    <w:p w14:paraId="0B2F97BB">
      <w:pPr>
        <w:spacing w:before="26" w:line="343" w:lineRule="auto"/>
        <w:ind w:right="647" w:firstLine="420"/>
        <w:jc w:val="both"/>
        <w:rPr>
          <w:rFonts w:ascii="宋体" w:hAnsi="宋体" w:eastAsia="宋体" w:cs="宋体"/>
          <w:sz w:val="20"/>
          <w:szCs w:val="20"/>
        </w:rPr>
      </w:pPr>
      <w:r>
        <w:rPr>
          <w:rFonts w:ascii="宋体" w:hAnsi="宋体" w:eastAsia="宋体" w:cs="宋体"/>
          <w:spacing w:val="7"/>
          <w:sz w:val="20"/>
          <w:szCs w:val="20"/>
        </w:rPr>
        <w:t xml:space="preserve">这些理论和技术的成熟与发展赋予了流行病学新的特征，使得研究者在流行病学研究和分析 </w:t>
      </w:r>
      <w:r>
        <w:rPr>
          <w:rFonts w:ascii="宋体" w:hAnsi="宋体" w:eastAsia="宋体" w:cs="宋体"/>
          <w:spacing w:val="9"/>
          <w:sz w:val="20"/>
          <w:szCs w:val="20"/>
        </w:rPr>
        <w:t xml:space="preserve">中开始大量采用生物标志作为客观评价指标来解决关于疾病发生、发展过程中的中间结局/事件 </w:t>
      </w:r>
      <w:r>
        <w:rPr>
          <w:rFonts w:ascii="宋体" w:hAnsi="宋体" w:eastAsia="宋体" w:cs="宋体"/>
          <w:spacing w:val="7"/>
          <w:sz w:val="20"/>
          <w:szCs w:val="20"/>
        </w:rPr>
        <w:t>以及易感性的测量问题，并探讨其影响因素及最佳防治策略和措施，从而形成了</w:t>
      </w:r>
      <w:r>
        <w:rPr>
          <w:rFonts w:ascii="宋体" w:hAnsi="宋体" w:eastAsia="宋体" w:cs="宋体"/>
          <w:spacing w:val="6"/>
          <w:sz w:val="20"/>
          <w:szCs w:val="20"/>
        </w:rPr>
        <w:t>流行病学新的分</w:t>
      </w:r>
    </w:p>
    <w:p w14:paraId="6D7AEF24">
      <w:pPr>
        <w:spacing w:line="343" w:lineRule="auto"/>
        <w:rPr>
          <w:rFonts w:ascii="宋体" w:hAnsi="宋体" w:eastAsia="宋体" w:cs="宋体"/>
          <w:sz w:val="20"/>
          <w:szCs w:val="20"/>
        </w:rPr>
        <w:sectPr>
          <w:footerReference r:id="rId280" w:type="default"/>
          <w:pgSz w:w="11900" w:h="16820"/>
          <w:pgMar w:top="400" w:right="984" w:bottom="819" w:left="1559" w:header="0" w:footer="639" w:gutter="0"/>
          <w:cols w:space="720" w:num="1"/>
        </w:sectPr>
      </w:pPr>
    </w:p>
    <w:p w14:paraId="7A8ED3C2">
      <w:pPr>
        <w:spacing w:line="269" w:lineRule="auto"/>
        <w:rPr>
          <w:rFonts w:ascii="Arial"/>
          <w:sz w:val="21"/>
        </w:rPr>
      </w:pPr>
    </w:p>
    <w:p w14:paraId="17B0DF47">
      <w:pPr>
        <w:pStyle w:val="2"/>
        <w:spacing w:before="65" w:line="221" w:lineRule="auto"/>
        <w:ind w:left="639"/>
        <w:rPr>
          <w:sz w:val="20"/>
          <w:szCs w:val="20"/>
        </w:rPr>
      </w:pPr>
      <w:r>
        <w:rPr>
          <w:spacing w:val="-15"/>
          <w:w w:val="97"/>
          <w:sz w:val="20"/>
          <w:szCs w:val="20"/>
        </w:rPr>
        <w:t>第十七章分子流行病学</w:t>
      </w:r>
    </w:p>
    <w:p w14:paraId="5AB367FC">
      <w:pPr>
        <w:spacing w:line="272" w:lineRule="auto"/>
        <w:rPr>
          <w:rFonts w:ascii="Arial"/>
          <w:sz w:val="21"/>
        </w:rPr>
      </w:pPr>
    </w:p>
    <w:p w14:paraId="78A27D59">
      <w:pPr>
        <w:spacing w:line="272" w:lineRule="auto"/>
        <w:rPr>
          <w:rFonts w:ascii="Arial"/>
          <w:sz w:val="21"/>
        </w:rPr>
      </w:pPr>
    </w:p>
    <w:p w14:paraId="129B4770">
      <w:pPr>
        <w:spacing w:before="65" w:line="220" w:lineRule="auto"/>
        <w:ind w:left="639"/>
        <w:rPr>
          <w:rFonts w:ascii="宋体" w:hAnsi="宋体" w:eastAsia="宋体" w:cs="宋体"/>
          <w:sz w:val="20"/>
          <w:szCs w:val="20"/>
        </w:rPr>
      </w:pPr>
      <w:r>
        <w:rPr>
          <w:rFonts w:ascii="宋体" w:hAnsi="宋体" w:eastAsia="宋体" w:cs="宋体"/>
          <w:spacing w:val="1"/>
          <w:sz w:val="20"/>
          <w:szCs w:val="20"/>
        </w:rPr>
        <w:t>支——分子流行病学。</w:t>
      </w:r>
    </w:p>
    <w:p w14:paraId="55D46AB3">
      <w:pPr>
        <w:pStyle w:val="2"/>
        <w:spacing w:before="129" w:line="221" w:lineRule="auto"/>
        <w:ind w:left="1040"/>
        <w:rPr>
          <w:sz w:val="20"/>
          <w:szCs w:val="20"/>
        </w:rPr>
      </w:pPr>
      <w:r>
        <w:rPr>
          <w:spacing w:val="28"/>
          <w:sz w:val="20"/>
          <w:szCs w:val="20"/>
        </w:rPr>
        <w:t>(二)发展历程</w:t>
      </w:r>
    </w:p>
    <w:p w14:paraId="1086A738">
      <w:pPr>
        <w:pStyle w:val="2"/>
        <w:spacing w:before="132" w:line="339" w:lineRule="auto"/>
        <w:ind w:left="539" w:firstLine="500"/>
        <w:jc w:val="both"/>
        <w:rPr>
          <w:rFonts w:ascii="宋体" w:hAnsi="宋体" w:eastAsia="宋体" w:cs="宋体"/>
          <w:sz w:val="20"/>
          <w:szCs w:val="20"/>
        </w:rPr>
      </w:pPr>
      <w:r>
        <w:rPr>
          <w:rFonts w:ascii="宋体" w:hAnsi="宋体" w:eastAsia="宋体" w:cs="宋体"/>
          <w:spacing w:val="6"/>
          <w:sz w:val="20"/>
          <w:szCs w:val="20"/>
        </w:rPr>
        <w:t xml:space="preserve">1. </w:t>
      </w:r>
      <w:r>
        <w:rPr>
          <w:spacing w:val="6"/>
          <w:sz w:val="20"/>
          <w:szCs w:val="20"/>
        </w:rPr>
        <w:t>分子流行病学概念的演变</w:t>
      </w:r>
      <w:r>
        <w:rPr>
          <w:spacing w:val="88"/>
          <w:sz w:val="20"/>
          <w:szCs w:val="20"/>
        </w:rPr>
        <w:t xml:space="preserve"> </w:t>
      </w:r>
      <w:r>
        <w:rPr>
          <w:rFonts w:ascii="Times New Roman" w:hAnsi="Times New Roman" w:eastAsia="Times New Roman" w:cs="Times New Roman"/>
          <w:spacing w:val="6"/>
          <w:sz w:val="20"/>
          <w:szCs w:val="20"/>
        </w:rPr>
        <w:t>1</w:t>
      </w:r>
      <w:r>
        <w:rPr>
          <w:rFonts w:ascii="宋体" w:hAnsi="宋体" w:eastAsia="宋体" w:cs="宋体"/>
          <w:spacing w:val="6"/>
          <w:sz w:val="20"/>
          <w:szCs w:val="20"/>
        </w:rPr>
        <w:t>972年，</w:t>
      </w:r>
      <w:r>
        <w:rPr>
          <w:rFonts w:ascii="宋体" w:hAnsi="宋体" w:eastAsia="宋体" w:cs="宋体"/>
          <w:sz w:val="20"/>
          <w:szCs w:val="20"/>
        </w:rPr>
        <w:t>Kilbourne</w:t>
      </w:r>
      <w:r>
        <w:rPr>
          <w:rFonts w:ascii="宋体" w:hAnsi="宋体" w:eastAsia="宋体" w:cs="宋体"/>
          <w:spacing w:val="6"/>
          <w:sz w:val="20"/>
          <w:szCs w:val="20"/>
        </w:rPr>
        <w:t>在美国传染病学会第10届年会上做</w:t>
      </w:r>
      <w:r>
        <w:rPr>
          <w:rFonts w:ascii="宋体" w:hAnsi="宋体" w:eastAsia="宋体" w:cs="宋体"/>
          <w:spacing w:val="5"/>
          <w:sz w:val="20"/>
          <w:szCs w:val="20"/>
        </w:rPr>
        <w:t>了题为</w:t>
      </w:r>
      <w:r>
        <w:rPr>
          <w:rFonts w:ascii="宋体" w:hAnsi="宋体" w:eastAsia="宋体" w:cs="宋体"/>
          <w:sz w:val="20"/>
          <w:szCs w:val="20"/>
        </w:rPr>
        <w:t xml:space="preserve">  </w:t>
      </w:r>
      <w:r>
        <w:rPr>
          <w:rFonts w:ascii="宋体" w:hAnsi="宋体" w:eastAsia="宋体" w:cs="宋体"/>
          <w:spacing w:val="-2"/>
          <w:sz w:val="20"/>
          <w:szCs w:val="20"/>
        </w:rPr>
        <w:t>“流感的分子流行病学”的学术报告，第一次使用了“分子流行病学”这一术语。1977年，法国学者</w:t>
      </w:r>
      <w:r>
        <w:rPr>
          <w:rFonts w:ascii="宋体" w:hAnsi="宋体" w:eastAsia="宋体" w:cs="宋体"/>
          <w:spacing w:val="5"/>
          <w:sz w:val="20"/>
          <w:szCs w:val="20"/>
        </w:rPr>
        <w:t xml:space="preserve">  </w:t>
      </w:r>
      <w:r>
        <w:rPr>
          <w:rFonts w:ascii="宋体" w:hAnsi="宋体" w:eastAsia="宋体" w:cs="宋体"/>
          <w:sz w:val="20"/>
          <w:szCs w:val="20"/>
        </w:rPr>
        <w:t>Higginson</w:t>
      </w:r>
      <w:r>
        <w:rPr>
          <w:rFonts w:ascii="宋体" w:hAnsi="宋体" w:eastAsia="宋体" w:cs="宋体"/>
          <w:spacing w:val="3"/>
          <w:sz w:val="20"/>
          <w:szCs w:val="20"/>
        </w:rPr>
        <w:t>对分子流行病学做了如下解释：应用精细技术进行生物材料的流行病学</w:t>
      </w:r>
      <w:r>
        <w:rPr>
          <w:rFonts w:ascii="宋体" w:hAnsi="宋体" w:eastAsia="宋体" w:cs="宋体"/>
          <w:spacing w:val="2"/>
          <w:sz w:val="20"/>
          <w:szCs w:val="20"/>
        </w:rPr>
        <w:t>研究。这一时期，</w:t>
      </w:r>
      <w:r>
        <w:rPr>
          <w:rFonts w:ascii="宋体" w:hAnsi="宋体" w:eastAsia="宋体" w:cs="宋体"/>
          <w:sz w:val="20"/>
          <w:szCs w:val="20"/>
        </w:rPr>
        <w:t xml:space="preserve"> </w:t>
      </w:r>
      <w:r>
        <w:rPr>
          <w:rFonts w:ascii="宋体" w:hAnsi="宋体" w:eastAsia="宋体" w:cs="宋体"/>
          <w:spacing w:val="3"/>
          <w:sz w:val="20"/>
          <w:szCs w:val="20"/>
        </w:rPr>
        <w:t>分子流行病学主要应用于传染病的研究，可称之为传染病</w:t>
      </w:r>
      <w:r>
        <w:rPr>
          <w:rFonts w:ascii="宋体" w:hAnsi="宋体" w:eastAsia="宋体" w:cs="宋体"/>
          <w:spacing w:val="2"/>
          <w:sz w:val="20"/>
          <w:szCs w:val="20"/>
        </w:rPr>
        <w:t>分子流行病学的诞生阶段。</w:t>
      </w:r>
    </w:p>
    <w:p w14:paraId="426F859A">
      <w:pPr>
        <w:spacing w:before="3" w:line="339" w:lineRule="auto"/>
        <w:ind w:left="639" w:firstLine="400"/>
        <w:jc w:val="both"/>
        <w:rPr>
          <w:rFonts w:ascii="宋体" w:hAnsi="宋体" w:eastAsia="宋体" w:cs="宋体"/>
          <w:sz w:val="20"/>
          <w:szCs w:val="20"/>
        </w:rPr>
      </w:pPr>
      <w:r>
        <w:rPr>
          <w:rFonts w:ascii="宋体" w:hAnsi="宋体" w:eastAsia="宋体" w:cs="宋体"/>
          <w:spacing w:val="12"/>
          <w:sz w:val="20"/>
          <w:szCs w:val="20"/>
        </w:rPr>
        <w:t>20世纪80年代以后，分子流行病学开始被应用到肿瘤、心血管疾病等的研究</w:t>
      </w:r>
      <w:r>
        <w:rPr>
          <w:rFonts w:ascii="宋体" w:hAnsi="宋体" w:eastAsia="宋体" w:cs="宋体"/>
          <w:spacing w:val="11"/>
          <w:sz w:val="20"/>
          <w:szCs w:val="20"/>
        </w:rPr>
        <w:t>中。1982年，</w:t>
      </w:r>
      <w:r>
        <w:rPr>
          <w:rFonts w:ascii="宋体" w:hAnsi="宋体" w:eastAsia="宋体" w:cs="宋体"/>
          <w:sz w:val="20"/>
          <w:szCs w:val="20"/>
        </w:rPr>
        <w:t xml:space="preserve"> </w:t>
      </w:r>
      <w:r>
        <w:rPr>
          <w:rFonts w:ascii="Times New Roman" w:hAnsi="Times New Roman" w:eastAsia="Times New Roman" w:cs="Times New Roman"/>
          <w:spacing w:val="-2"/>
          <w:sz w:val="20"/>
          <w:szCs w:val="20"/>
        </w:rPr>
        <w:t xml:space="preserve">Perera </w:t>
      </w:r>
      <w:r>
        <w:rPr>
          <w:rFonts w:ascii="宋体" w:hAnsi="宋体" w:eastAsia="宋体" w:cs="宋体"/>
          <w:spacing w:val="-2"/>
          <w:sz w:val="20"/>
          <w:szCs w:val="20"/>
        </w:rPr>
        <w:t>和</w:t>
      </w:r>
      <w:r>
        <w:rPr>
          <w:rFonts w:ascii="宋体" w:hAnsi="宋体" w:eastAsia="宋体" w:cs="宋体"/>
          <w:spacing w:val="-28"/>
          <w:sz w:val="20"/>
          <w:szCs w:val="20"/>
        </w:rPr>
        <w:t xml:space="preserve"> </w:t>
      </w:r>
      <w:r>
        <w:rPr>
          <w:rFonts w:ascii="Times New Roman" w:hAnsi="Times New Roman" w:eastAsia="Times New Roman" w:cs="Times New Roman"/>
          <w:spacing w:val="-2"/>
          <w:sz w:val="20"/>
          <w:szCs w:val="20"/>
        </w:rPr>
        <w:t xml:space="preserve">Weinstein </w:t>
      </w:r>
      <w:r>
        <w:rPr>
          <w:rFonts w:ascii="宋体" w:hAnsi="宋体" w:eastAsia="宋体" w:cs="宋体"/>
          <w:spacing w:val="-2"/>
          <w:sz w:val="20"/>
          <w:szCs w:val="20"/>
        </w:rPr>
        <w:t>提出“癌症分子流行病学”</w:t>
      </w:r>
      <w:r>
        <w:rPr>
          <w:rFonts w:ascii="Times New Roman" w:hAnsi="Times New Roman" w:eastAsia="Times New Roman" w:cs="Times New Roman"/>
          <w:spacing w:val="-2"/>
          <w:sz w:val="20"/>
          <w:szCs w:val="20"/>
        </w:rPr>
        <w:t>(molecular</w:t>
      </w:r>
      <w:r>
        <w:rPr>
          <w:rFonts w:ascii="Times New Roman" w:hAnsi="Times New Roman" w:eastAsia="Times New Roman" w:cs="Times New Roman"/>
          <w:spacing w:val="14"/>
          <w:w w:val="101"/>
          <w:sz w:val="20"/>
          <w:szCs w:val="20"/>
        </w:rPr>
        <w:t xml:space="preserve">  </w:t>
      </w:r>
      <w:r>
        <w:rPr>
          <w:rFonts w:ascii="Times New Roman" w:hAnsi="Times New Roman" w:eastAsia="Times New Roman" w:cs="Times New Roman"/>
          <w:spacing w:val="-2"/>
          <w:sz w:val="20"/>
          <w:szCs w:val="20"/>
        </w:rPr>
        <w:t>cancer</w:t>
      </w:r>
      <w:r>
        <w:rPr>
          <w:rFonts w:ascii="Times New Roman" w:hAnsi="Times New Roman" w:eastAsia="Times New Roman" w:cs="Times New Roman"/>
          <w:spacing w:val="15"/>
          <w:sz w:val="20"/>
          <w:szCs w:val="20"/>
        </w:rPr>
        <w:t xml:space="preserve">  </w:t>
      </w:r>
      <w:r>
        <w:rPr>
          <w:rFonts w:ascii="Times New Roman" w:hAnsi="Times New Roman" w:eastAsia="Times New Roman" w:cs="Times New Roman"/>
          <w:spacing w:val="-2"/>
          <w:sz w:val="20"/>
          <w:szCs w:val="20"/>
        </w:rPr>
        <w:t>epidemiology),</w:t>
      </w:r>
      <w:r>
        <w:rPr>
          <w:rFonts w:ascii="宋体" w:hAnsi="宋体" w:eastAsia="宋体" w:cs="宋体"/>
          <w:spacing w:val="-2"/>
          <w:sz w:val="20"/>
          <w:szCs w:val="20"/>
        </w:rPr>
        <w:t>并认为癌症分子流行</w:t>
      </w:r>
      <w:r>
        <w:rPr>
          <w:rFonts w:ascii="宋体" w:hAnsi="宋体" w:eastAsia="宋体" w:cs="宋体"/>
          <w:sz w:val="20"/>
          <w:szCs w:val="20"/>
        </w:rPr>
        <w:t xml:space="preserve">  </w:t>
      </w:r>
      <w:r>
        <w:rPr>
          <w:rFonts w:ascii="宋体" w:hAnsi="宋体" w:eastAsia="宋体" w:cs="宋体"/>
          <w:spacing w:val="1"/>
          <w:sz w:val="20"/>
          <w:szCs w:val="20"/>
        </w:rPr>
        <w:t>病学是一种方法，这种方法应用先进的实验室技术</w:t>
      </w:r>
      <w:r>
        <w:rPr>
          <w:rFonts w:ascii="宋体" w:hAnsi="宋体" w:eastAsia="宋体" w:cs="宋体"/>
          <w:sz w:val="20"/>
          <w:szCs w:val="20"/>
        </w:rPr>
        <w:t xml:space="preserve">结合分析流行病学方法，在生化或分子水平确定  </w:t>
      </w:r>
      <w:r>
        <w:rPr>
          <w:rFonts w:ascii="宋体" w:hAnsi="宋体" w:eastAsia="宋体" w:cs="宋体"/>
          <w:spacing w:val="7"/>
          <w:sz w:val="20"/>
          <w:szCs w:val="20"/>
        </w:rPr>
        <w:t>人类癌症病因中起作用的特异性外源因素和/或宿主因素。1996年第14届国际流行病学学术会议</w:t>
      </w:r>
      <w:r>
        <w:rPr>
          <w:rFonts w:ascii="宋体" w:hAnsi="宋体" w:eastAsia="宋体" w:cs="宋体"/>
          <w:spacing w:val="1"/>
          <w:sz w:val="20"/>
          <w:szCs w:val="20"/>
        </w:rPr>
        <w:t xml:space="preserve">  </w:t>
      </w:r>
      <w:r>
        <w:rPr>
          <w:rFonts w:ascii="宋体" w:hAnsi="宋体" w:eastAsia="宋体" w:cs="宋体"/>
          <w:spacing w:val="-1"/>
          <w:sz w:val="20"/>
          <w:szCs w:val="20"/>
        </w:rPr>
        <w:t>上</w:t>
      </w:r>
      <w:r>
        <w:rPr>
          <w:rFonts w:ascii="宋体" w:hAnsi="宋体" w:eastAsia="宋体" w:cs="宋体"/>
          <w:spacing w:val="-46"/>
          <w:sz w:val="20"/>
          <w:szCs w:val="20"/>
        </w:rPr>
        <w:t xml:space="preserve"> </w:t>
      </w:r>
      <w:r>
        <w:rPr>
          <w:rFonts w:ascii="宋体" w:hAnsi="宋体" w:eastAsia="宋体" w:cs="宋体"/>
          <w:spacing w:val="-1"/>
          <w:sz w:val="20"/>
          <w:szCs w:val="20"/>
        </w:rPr>
        <w:t>，</w:t>
      </w:r>
      <w:r>
        <w:rPr>
          <w:rFonts w:ascii="Times New Roman" w:hAnsi="Times New Roman" w:eastAsia="Times New Roman" w:cs="Times New Roman"/>
          <w:spacing w:val="-1"/>
          <w:sz w:val="20"/>
          <w:szCs w:val="20"/>
        </w:rPr>
        <w:t xml:space="preserve">Saracci </w:t>
      </w:r>
      <w:r>
        <w:rPr>
          <w:rFonts w:ascii="宋体" w:hAnsi="宋体" w:eastAsia="宋体" w:cs="宋体"/>
          <w:spacing w:val="-1"/>
          <w:sz w:val="20"/>
          <w:szCs w:val="20"/>
        </w:rPr>
        <w:t>提出：分子流行病学研究</w:t>
      </w:r>
      <w:r>
        <w:rPr>
          <w:rFonts w:ascii="宋体" w:hAnsi="宋体" w:eastAsia="宋体" w:cs="宋体"/>
          <w:spacing w:val="-2"/>
          <w:sz w:val="20"/>
          <w:szCs w:val="20"/>
        </w:rPr>
        <w:t>在狭义上讲测量的是作为暴露或效应的生物标志——信息大分</w:t>
      </w:r>
      <w:r>
        <w:rPr>
          <w:rFonts w:ascii="宋体" w:hAnsi="宋体" w:eastAsia="宋体" w:cs="宋体"/>
          <w:sz w:val="20"/>
          <w:szCs w:val="20"/>
        </w:rPr>
        <w:t xml:space="preserve">  </w:t>
      </w:r>
      <w:r>
        <w:rPr>
          <w:rFonts w:ascii="宋体" w:hAnsi="宋体" w:eastAsia="宋体" w:cs="宋体"/>
          <w:spacing w:val="-4"/>
          <w:sz w:val="20"/>
          <w:szCs w:val="20"/>
        </w:rPr>
        <w:t>子，即DNA、RNA</w:t>
      </w:r>
      <w:r>
        <w:rPr>
          <w:rFonts w:ascii="宋体" w:hAnsi="宋体" w:eastAsia="宋体" w:cs="宋体"/>
          <w:spacing w:val="101"/>
          <w:sz w:val="20"/>
          <w:szCs w:val="20"/>
        </w:rPr>
        <w:t xml:space="preserve"> </w:t>
      </w:r>
      <w:r>
        <w:rPr>
          <w:rFonts w:ascii="宋体" w:hAnsi="宋体" w:eastAsia="宋体" w:cs="宋体"/>
          <w:spacing w:val="-4"/>
          <w:sz w:val="20"/>
          <w:szCs w:val="20"/>
        </w:rPr>
        <w:t>和蛋白质，广义上讲则包括任何实验的、生化和分子生物学的测量，也包括血清流</w:t>
      </w:r>
      <w:r>
        <w:rPr>
          <w:rFonts w:ascii="宋体" w:hAnsi="宋体" w:eastAsia="宋体" w:cs="宋体"/>
          <w:sz w:val="20"/>
          <w:szCs w:val="20"/>
        </w:rPr>
        <w:t xml:space="preserve">  行病学等内容。这些概念的发展丰富了分子流行病学的内</w:t>
      </w:r>
      <w:r>
        <w:rPr>
          <w:rFonts w:ascii="宋体" w:hAnsi="宋体" w:eastAsia="宋体" w:cs="宋体"/>
          <w:spacing w:val="-1"/>
          <w:sz w:val="20"/>
          <w:szCs w:val="20"/>
        </w:rPr>
        <w:t>涵，扩大了其研究领域。</w:t>
      </w:r>
    </w:p>
    <w:p w14:paraId="14A8C185">
      <w:pPr>
        <w:pStyle w:val="2"/>
        <w:spacing w:before="2" w:line="318" w:lineRule="auto"/>
        <w:ind w:left="639" w:right="64" w:firstLine="400"/>
        <w:rPr>
          <w:rFonts w:ascii="宋体" w:hAnsi="宋体" w:eastAsia="宋体" w:cs="宋体"/>
          <w:sz w:val="20"/>
          <w:szCs w:val="20"/>
        </w:rPr>
      </w:pPr>
      <w:r>
        <w:rPr>
          <w:rFonts w:ascii="宋体" w:hAnsi="宋体" w:eastAsia="宋体" w:cs="宋体"/>
          <w:spacing w:val="-1"/>
          <w:sz w:val="20"/>
          <w:szCs w:val="20"/>
        </w:rPr>
        <w:t xml:space="preserve">2. </w:t>
      </w:r>
      <w:r>
        <w:rPr>
          <w:spacing w:val="-1"/>
          <w:sz w:val="20"/>
          <w:szCs w:val="20"/>
        </w:rPr>
        <w:t>人类基因组流行病学的产生和发展</w:t>
      </w:r>
      <w:r>
        <w:rPr>
          <w:spacing w:val="98"/>
          <w:sz w:val="20"/>
          <w:szCs w:val="20"/>
        </w:rPr>
        <w:t xml:space="preserve"> </w:t>
      </w:r>
      <w:r>
        <w:rPr>
          <w:rFonts w:ascii="宋体" w:hAnsi="宋体" w:eastAsia="宋体" w:cs="宋体"/>
          <w:spacing w:val="-1"/>
          <w:sz w:val="20"/>
          <w:szCs w:val="20"/>
        </w:rPr>
        <w:t>随着人类基因组计划(human</w:t>
      </w:r>
      <w:r>
        <w:rPr>
          <w:rFonts w:ascii="宋体" w:hAnsi="宋体" w:eastAsia="宋体" w:cs="宋体"/>
          <w:spacing w:val="89"/>
          <w:sz w:val="20"/>
          <w:szCs w:val="20"/>
        </w:rPr>
        <w:t xml:space="preserve"> </w:t>
      </w:r>
      <w:r>
        <w:rPr>
          <w:rFonts w:ascii="宋体" w:hAnsi="宋体" w:eastAsia="宋体" w:cs="宋体"/>
          <w:spacing w:val="-1"/>
          <w:sz w:val="20"/>
          <w:szCs w:val="20"/>
        </w:rPr>
        <w:t>geno</w:t>
      </w:r>
      <w:r>
        <w:rPr>
          <w:rFonts w:ascii="宋体" w:hAnsi="宋体" w:eastAsia="宋体" w:cs="宋体"/>
          <w:spacing w:val="-2"/>
          <w:sz w:val="20"/>
          <w:szCs w:val="20"/>
        </w:rPr>
        <w:t>me</w:t>
      </w:r>
      <w:r>
        <w:rPr>
          <w:rFonts w:ascii="宋体" w:hAnsi="宋体" w:eastAsia="宋体" w:cs="宋体"/>
          <w:spacing w:val="84"/>
          <w:sz w:val="20"/>
          <w:szCs w:val="20"/>
        </w:rPr>
        <w:t xml:space="preserve"> </w:t>
      </w:r>
      <w:r>
        <w:rPr>
          <w:rFonts w:ascii="宋体" w:hAnsi="宋体" w:eastAsia="宋体" w:cs="宋体"/>
          <w:spacing w:val="-2"/>
          <w:sz w:val="20"/>
          <w:szCs w:val="20"/>
        </w:rPr>
        <w:t>project,HGP)的</w:t>
      </w:r>
      <w:r>
        <w:rPr>
          <w:rFonts w:ascii="宋体" w:hAnsi="宋体" w:eastAsia="宋体" w:cs="宋体"/>
          <w:sz w:val="20"/>
          <w:szCs w:val="20"/>
        </w:rPr>
        <w:t xml:space="preserve"> </w:t>
      </w:r>
      <w:r>
        <w:rPr>
          <w:rFonts w:ascii="宋体" w:hAnsi="宋体" w:eastAsia="宋体" w:cs="宋体"/>
          <w:spacing w:val="-1"/>
          <w:sz w:val="20"/>
          <w:szCs w:val="20"/>
        </w:rPr>
        <w:t>实施和完成，人类基因组流行病学</w:t>
      </w:r>
      <w:r>
        <w:rPr>
          <w:rFonts w:ascii="Times New Roman" w:hAnsi="Times New Roman" w:eastAsia="Times New Roman" w:cs="Times New Roman"/>
          <w:spacing w:val="-1"/>
          <w:sz w:val="20"/>
          <w:szCs w:val="20"/>
        </w:rPr>
        <w:t>(human</w:t>
      </w:r>
      <w:r>
        <w:rPr>
          <w:rFonts w:ascii="Times New Roman" w:hAnsi="Times New Roman" w:eastAsia="Times New Roman" w:cs="Times New Roman"/>
          <w:spacing w:val="22"/>
          <w:sz w:val="20"/>
          <w:szCs w:val="20"/>
        </w:rPr>
        <w:t xml:space="preserve">  </w:t>
      </w:r>
      <w:r>
        <w:rPr>
          <w:rFonts w:ascii="Times New Roman" w:hAnsi="Times New Roman" w:eastAsia="Times New Roman" w:cs="Times New Roman"/>
          <w:spacing w:val="-1"/>
          <w:sz w:val="20"/>
          <w:szCs w:val="20"/>
        </w:rPr>
        <w:t>genome</w:t>
      </w:r>
      <w:r>
        <w:rPr>
          <w:rFonts w:ascii="Times New Roman" w:hAnsi="Times New Roman" w:eastAsia="Times New Roman" w:cs="Times New Roman"/>
          <w:spacing w:val="23"/>
          <w:sz w:val="20"/>
          <w:szCs w:val="20"/>
        </w:rPr>
        <w:t xml:space="preserve">  </w:t>
      </w:r>
      <w:r>
        <w:rPr>
          <w:rFonts w:ascii="Times New Roman" w:hAnsi="Times New Roman" w:eastAsia="Times New Roman" w:cs="Times New Roman"/>
          <w:spacing w:val="-1"/>
          <w:sz w:val="20"/>
          <w:szCs w:val="20"/>
        </w:rPr>
        <w:t>epidemiology,HuGE)</w:t>
      </w:r>
      <w:r>
        <w:rPr>
          <w:rFonts w:ascii="宋体" w:hAnsi="宋体" w:eastAsia="宋体" w:cs="宋体"/>
          <w:spacing w:val="-1"/>
          <w:sz w:val="20"/>
          <w:szCs w:val="20"/>
        </w:rPr>
        <w:t>应运而生。近年来</w:t>
      </w:r>
      <w:r>
        <w:rPr>
          <w:rFonts w:ascii="宋体" w:hAnsi="宋体" w:eastAsia="宋体" w:cs="宋体"/>
          <w:spacing w:val="-2"/>
          <w:sz w:val="20"/>
          <w:szCs w:val="20"/>
        </w:rPr>
        <w:t>，基因组</w:t>
      </w:r>
      <w:r>
        <w:rPr>
          <w:rFonts w:ascii="宋体" w:hAnsi="宋体" w:eastAsia="宋体" w:cs="宋体"/>
          <w:sz w:val="20"/>
          <w:szCs w:val="20"/>
        </w:rPr>
        <w:t xml:space="preserve"> </w:t>
      </w:r>
      <w:r>
        <w:rPr>
          <w:rFonts w:ascii="宋体" w:hAnsi="宋体" w:eastAsia="宋体" w:cs="宋体"/>
          <w:spacing w:val="3"/>
          <w:sz w:val="20"/>
          <w:szCs w:val="20"/>
        </w:rPr>
        <w:t>学检测平台快速发展，研究者可以在全基因组范围选择上百万个单核苷酸多态性</w:t>
      </w:r>
      <w:r>
        <w:rPr>
          <w:rFonts w:ascii="Times New Roman" w:hAnsi="Times New Roman" w:eastAsia="Times New Roman" w:cs="Times New Roman"/>
          <w:spacing w:val="3"/>
          <w:sz w:val="20"/>
          <w:szCs w:val="20"/>
        </w:rPr>
        <w:t>(</w:t>
      </w:r>
      <w:r>
        <w:rPr>
          <w:rFonts w:ascii="Times New Roman" w:hAnsi="Times New Roman" w:eastAsia="Times New Roman" w:cs="Times New Roman"/>
          <w:sz w:val="20"/>
          <w:szCs w:val="20"/>
        </w:rPr>
        <w:t>single</w:t>
      </w:r>
      <w:r>
        <w:rPr>
          <w:rFonts w:ascii="Times New Roman" w:hAnsi="Times New Roman" w:eastAsia="Times New Roman" w:cs="Times New Roman"/>
          <w:spacing w:val="3"/>
          <w:sz w:val="20"/>
          <w:szCs w:val="20"/>
        </w:rPr>
        <w:t xml:space="preserve">   </w:t>
      </w:r>
      <w:r>
        <w:rPr>
          <w:rFonts w:ascii="Times New Roman" w:hAnsi="Times New Roman" w:eastAsia="Times New Roman" w:cs="Times New Roman"/>
          <w:sz w:val="20"/>
          <w:szCs w:val="20"/>
        </w:rPr>
        <w:t>nucleotide polymorphisms</w:t>
      </w:r>
      <w:r>
        <w:rPr>
          <w:rFonts w:ascii="Times New Roman" w:hAnsi="Times New Roman" w:eastAsia="Times New Roman" w:cs="Times New Roman"/>
          <w:spacing w:val="1"/>
          <w:sz w:val="20"/>
          <w:szCs w:val="20"/>
        </w:rPr>
        <w:t>,</w:t>
      </w:r>
      <w:r>
        <w:rPr>
          <w:rFonts w:ascii="Times New Roman" w:hAnsi="Times New Roman" w:eastAsia="Times New Roman" w:cs="Times New Roman"/>
          <w:sz w:val="20"/>
          <w:szCs w:val="20"/>
        </w:rPr>
        <w:t>SNPs</w:t>
      </w:r>
      <w:r>
        <w:rPr>
          <w:rFonts w:ascii="Times New Roman" w:hAnsi="Times New Roman" w:eastAsia="Times New Roman" w:cs="Times New Roman"/>
          <w:spacing w:val="1"/>
          <w:sz w:val="20"/>
          <w:szCs w:val="20"/>
        </w:rPr>
        <w:t>)</w:t>
      </w:r>
      <w:r>
        <w:rPr>
          <w:rFonts w:ascii="宋体" w:hAnsi="宋体" w:eastAsia="宋体" w:cs="宋体"/>
          <w:spacing w:val="1"/>
          <w:sz w:val="20"/>
          <w:szCs w:val="20"/>
        </w:rPr>
        <w:t>来开展全基因组关联分析</w:t>
      </w:r>
      <w:r>
        <w:rPr>
          <w:rFonts w:ascii="Times New Roman" w:hAnsi="Times New Roman" w:eastAsia="Times New Roman" w:cs="Times New Roman"/>
          <w:spacing w:val="1"/>
          <w:sz w:val="20"/>
          <w:szCs w:val="20"/>
        </w:rPr>
        <w:t>(</w:t>
      </w:r>
      <w:r>
        <w:rPr>
          <w:rFonts w:ascii="Times New Roman" w:hAnsi="Times New Roman" w:eastAsia="Times New Roman" w:cs="Times New Roman"/>
          <w:sz w:val="20"/>
          <w:szCs w:val="20"/>
        </w:rPr>
        <w:t>genome</w:t>
      </w:r>
      <w:r>
        <w:rPr>
          <w:rFonts w:ascii="Times New Roman" w:hAnsi="Times New Roman" w:eastAsia="Times New Roman" w:cs="Times New Roman"/>
          <w:spacing w:val="39"/>
          <w:sz w:val="20"/>
          <w:szCs w:val="20"/>
        </w:rPr>
        <w:t xml:space="preserve"> </w:t>
      </w:r>
      <w:r>
        <w:rPr>
          <w:rFonts w:ascii="Times New Roman" w:hAnsi="Times New Roman" w:eastAsia="Times New Roman" w:cs="Times New Roman"/>
          <w:sz w:val="20"/>
          <w:szCs w:val="20"/>
        </w:rPr>
        <w:t>wide</w:t>
      </w:r>
      <w:r>
        <w:rPr>
          <w:rFonts w:ascii="Times New Roman" w:hAnsi="Times New Roman" w:eastAsia="Times New Roman" w:cs="Times New Roman"/>
          <w:spacing w:val="45"/>
          <w:sz w:val="20"/>
          <w:szCs w:val="20"/>
        </w:rPr>
        <w:t xml:space="preserve"> </w:t>
      </w:r>
      <w:r>
        <w:rPr>
          <w:rFonts w:ascii="Times New Roman" w:hAnsi="Times New Roman" w:eastAsia="Times New Roman" w:cs="Times New Roman"/>
          <w:sz w:val="20"/>
          <w:szCs w:val="20"/>
        </w:rPr>
        <w:t>association</w:t>
      </w:r>
      <w:r>
        <w:rPr>
          <w:rFonts w:ascii="Times New Roman" w:hAnsi="Times New Roman" w:eastAsia="Times New Roman" w:cs="Times New Roman"/>
          <w:spacing w:val="47"/>
          <w:w w:val="101"/>
          <w:sz w:val="20"/>
          <w:szCs w:val="20"/>
        </w:rPr>
        <w:t xml:space="preserve"> </w:t>
      </w:r>
      <w:r>
        <w:rPr>
          <w:rFonts w:ascii="Times New Roman" w:hAnsi="Times New Roman" w:eastAsia="Times New Roman" w:cs="Times New Roman"/>
          <w:sz w:val="20"/>
          <w:szCs w:val="20"/>
        </w:rPr>
        <w:t>study</w:t>
      </w:r>
      <w:r>
        <w:rPr>
          <w:rFonts w:ascii="Times New Roman" w:hAnsi="Times New Roman" w:eastAsia="Times New Roman" w:cs="Times New Roman"/>
          <w:spacing w:val="1"/>
          <w:sz w:val="20"/>
          <w:szCs w:val="20"/>
        </w:rPr>
        <w:t>,</w:t>
      </w:r>
      <w:r>
        <w:rPr>
          <w:rFonts w:ascii="Times New Roman" w:hAnsi="Times New Roman" w:eastAsia="Times New Roman" w:cs="Times New Roman"/>
          <w:sz w:val="20"/>
          <w:szCs w:val="20"/>
        </w:rPr>
        <w:t>GWAS</w:t>
      </w:r>
      <w:r>
        <w:rPr>
          <w:rFonts w:ascii="Times New Roman" w:hAnsi="Times New Roman" w:eastAsia="Times New Roman" w:cs="Times New Roman"/>
          <w:spacing w:val="1"/>
          <w:sz w:val="20"/>
          <w:szCs w:val="20"/>
        </w:rPr>
        <w:t>)</w:t>
      </w:r>
      <w:r>
        <w:rPr>
          <w:rFonts w:ascii="宋体" w:hAnsi="宋体" w:eastAsia="宋体" w:cs="宋体"/>
          <w:spacing w:val="1"/>
          <w:sz w:val="20"/>
          <w:szCs w:val="20"/>
        </w:rPr>
        <w:t>。该方法特别</w:t>
      </w:r>
      <w:r>
        <w:rPr>
          <w:rFonts w:ascii="宋体" w:hAnsi="宋体" w:eastAsia="宋体" w:cs="宋体"/>
          <w:sz w:val="20"/>
          <w:szCs w:val="20"/>
        </w:rPr>
        <w:t xml:space="preserve"> </w:t>
      </w:r>
      <w:r>
        <w:rPr>
          <w:rFonts w:ascii="宋体" w:hAnsi="宋体" w:eastAsia="宋体" w:cs="宋体"/>
          <w:spacing w:val="-4"/>
          <w:sz w:val="20"/>
          <w:szCs w:val="20"/>
        </w:rPr>
        <w:t>适用于鉴定常见的复杂性疾病如肿瘤、心脏病、糖尿病等的易感基因。</w:t>
      </w:r>
    </w:p>
    <w:p w14:paraId="4BE838C0">
      <w:pPr>
        <w:pStyle w:val="2"/>
        <w:spacing w:before="112" w:line="316" w:lineRule="auto"/>
        <w:ind w:left="639" w:right="63" w:firstLine="400"/>
        <w:rPr>
          <w:rFonts w:ascii="宋体" w:hAnsi="宋体" w:eastAsia="宋体" w:cs="宋体"/>
          <w:sz w:val="20"/>
          <w:szCs w:val="20"/>
        </w:rPr>
      </w:pPr>
      <w:r>
        <w:rPr>
          <w:rFonts w:ascii="宋体" w:hAnsi="宋体" w:eastAsia="宋体" w:cs="宋体"/>
          <w:spacing w:val="9"/>
          <w:sz w:val="20"/>
          <w:szCs w:val="20"/>
        </w:rPr>
        <w:t>3.</w:t>
      </w:r>
      <w:r>
        <w:rPr>
          <w:rFonts w:ascii="宋体" w:hAnsi="宋体" w:eastAsia="宋体" w:cs="宋体"/>
          <w:spacing w:val="-18"/>
          <w:sz w:val="20"/>
          <w:szCs w:val="20"/>
        </w:rPr>
        <w:t xml:space="preserve"> </w:t>
      </w:r>
      <w:r>
        <w:rPr>
          <w:spacing w:val="9"/>
          <w:sz w:val="20"/>
          <w:szCs w:val="20"/>
        </w:rPr>
        <w:t>分子流行病学在我国的发展</w:t>
      </w:r>
      <w:r>
        <w:rPr>
          <w:spacing w:val="78"/>
          <w:sz w:val="20"/>
          <w:szCs w:val="20"/>
        </w:rPr>
        <w:t xml:space="preserve"> </w:t>
      </w:r>
      <w:r>
        <w:rPr>
          <w:rFonts w:ascii="宋体" w:hAnsi="宋体" w:eastAsia="宋体" w:cs="宋体"/>
          <w:spacing w:val="9"/>
          <w:sz w:val="20"/>
          <w:szCs w:val="20"/>
        </w:rPr>
        <w:t>我国从20世纪80年代初开始进行分子流行</w:t>
      </w:r>
      <w:r>
        <w:rPr>
          <w:rFonts w:ascii="宋体" w:hAnsi="宋体" w:eastAsia="宋体" w:cs="宋体"/>
          <w:spacing w:val="8"/>
          <w:sz w:val="20"/>
          <w:szCs w:val="20"/>
        </w:rPr>
        <w:t>病学研究。早期</w:t>
      </w:r>
      <w:r>
        <w:rPr>
          <w:rFonts w:ascii="宋体" w:hAnsi="宋体" w:eastAsia="宋体" w:cs="宋体"/>
          <w:sz w:val="20"/>
          <w:szCs w:val="20"/>
        </w:rPr>
        <w:t xml:space="preserve"> </w:t>
      </w:r>
      <w:r>
        <w:rPr>
          <w:rFonts w:ascii="宋体" w:hAnsi="宋体" w:eastAsia="宋体" w:cs="宋体"/>
          <w:spacing w:val="1"/>
          <w:sz w:val="20"/>
          <w:szCs w:val="20"/>
        </w:rPr>
        <w:t>的分子流行病学研究仅局限于传染病，如对</w:t>
      </w:r>
      <w:r>
        <w:rPr>
          <w:rFonts w:ascii="宋体" w:hAnsi="宋体" w:eastAsia="宋体" w:cs="宋体"/>
          <w:sz w:val="20"/>
          <w:szCs w:val="20"/>
        </w:rPr>
        <w:t>轮状病毒、大肠埃希菌等病原体基因序列特征分析。90 年代中后期，分子流行病学的概念写人了中文教科书：“分子流行病学是利用分子生物学原理和技</w:t>
      </w:r>
      <w:r>
        <w:rPr>
          <w:rFonts w:ascii="宋体" w:hAnsi="宋体" w:eastAsia="宋体" w:cs="宋体"/>
          <w:spacing w:val="17"/>
          <w:sz w:val="20"/>
          <w:szCs w:val="20"/>
        </w:rPr>
        <w:t xml:space="preserve"> </w:t>
      </w:r>
      <w:r>
        <w:rPr>
          <w:rFonts w:ascii="宋体" w:hAnsi="宋体" w:eastAsia="宋体" w:cs="宋体"/>
          <w:spacing w:val="5"/>
          <w:sz w:val="20"/>
          <w:szCs w:val="20"/>
        </w:rPr>
        <w:t>术，从分子乃至基因水平上研究医学事件在人群和环境生物群体中的分布及其决定因素和调控手</w:t>
      </w:r>
      <w:r>
        <w:rPr>
          <w:rFonts w:ascii="宋体" w:hAnsi="宋体" w:eastAsia="宋体" w:cs="宋体"/>
          <w:spacing w:val="7"/>
          <w:sz w:val="20"/>
          <w:szCs w:val="20"/>
        </w:rPr>
        <w:t xml:space="preserve"> </w:t>
      </w:r>
      <w:r>
        <w:rPr>
          <w:rFonts w:ascii="宋体" w:hAnsi="宋体" w:eastAsia="宋体" w:cs="宋体"/>
          <w:spacing w:val="1"/>
          <w:sz w:val="20"/>
          <w:szCs w:val="20"/>
        </w:rPr>
        <w:t xml:space="preserve">段的学科”。近20多年来，我国学者无论在新发传染病病原体的快速鉴定、基因工程疫苗的研制和 </w:t>
      </w:r>
      <w:r>
        <w:rPr>
          <w:rFonts w:ascii="宋体" w:hAnsi="宋体" w:eastAsia="宋体" w:cs="宋体"/>
          <w:spacing w:val="5"/>
          <w:sz w:val="20"/>
          <w:szCs w:val="20"/>
        </w:rPr>
        <w:t>应用，还是在肿瘤、心血管疾病等慢性非传染性疾病的全基因组关联分析等方面均取得了显著进</w:t>
      </w:r>
      <w:r>
        <w:rPr>
          <w:rFonts w:ascii="宋体" w:hAnsi="宋体" w:eastAsia="宋体" w:cs="宋体"/>
          <w:spacing w:val="6"/>
          <w:sz w:val="20"/>
          <w:szCs w:val="20"/>
        </w:rPr>
        <w:t xml:space="preserve"> </w:t>
      </w:r>
      <w:r>
        <w:rPr>
          <w:rFonts w:ascii="宋体" w:hAnsi="宋体" w:eastAsia="宋体" w:cs="宋体"/>
          <w:sz w:val="20"/>
          <w:szCs w:val="20"/>
        </w:rPr>
        <w:t>展。目前，分子流行病学已经发展成为我国流行病学研究中最为活跃的领域之一。</w:t>
      </w:r>
    </w:p>
    <w:p w14:paraId="773CFDCF">
      <w:pPr>
        <w:pStyle w:val="2"/>
        <w:spacing w:before="185" w:line="313" w:lineRule="auto"/>
        <w:ind w:left="639" w:right="49" w:firstLine="400"/>
        <w:rPr>
          <w:rFonts w:ascii="宋体" w:hAnsi="宋体" w:eastAsia="宋体" w:cs="宋体"/>
          <w:sz w:val="20"/>
          <w:szCs w:val="20"/>
        </w:rPr>
      </w:pPr>
      <w:r>
        <w:rPr>
          <w:rFonts w:ascii="宋体" w:hAnsi="宋体" w:eastAsia="宋体" w:cs="宋体"/>
          <w:spacing w:val="5"/>
          <w:sz w:val="20"/>
          <w:szCs w:val="20"/>
        </w:rPr>
        <w:t xml:space="preserve">4. </w:t>
      </w:r>
      <w:r>
        <w:rPr>
          <w:spacing w:val="5"/>
          <w:sz w:val="20"/>
          <w:szCs w:val="20"/>
        </w:rPr>
        <w:t>分子流行病学的应用现状</w:t>
      </w:r>
      <w:r>
        <w:rPr>
          <w:spacing w:val="42"/>
          <w:sz w:val="20"/>
          <w:szCs w:val="20"/>
        </w:rPr>
        <w:t xml:space="preserve"> </w:t>
      </w:r>
      <w:r>
        <w:rPr>
          <w:rFonts w:ascii="宋体" w:hAnsi="宋体" w:eastAsia="宋体" w:cs="宋体"/>
          <w:spacing w:val="5"/>
          <w:sz w:val="20"/>
          <w:szCs w:val="20"/>
        </w:rPr>
        <w:t>分子流行病学经过40多年的发展，已经形成比</w:t>
      </w:r>
      <w:r>
        <w:rPr>
          <w:rFonts w:ascii="宋体" w:hAnsi="宋体" w:eastAsia="宋体" w:cs="宋体"/>
          <w:spacing w:val="4"/>
          <w:sz w:val="20"/>
          <w:szCs w:val="20"/>
        </w:rPr>
        <w:t>较完整的理论和</w:t>
      </w:r>
      <w:r>
        <w:rPr>
          <w:rFonts w:ascii="宋体" w:hAnsi="宋体" w:eastAsia="宋体" w:cs="宋体"/>
          <w:sz w:val="20"/>
          <w:szCs w:val="20"/>
        </w:rPr>
        <w:t xml:space="preserve"> </w:t>
      </w:r>
      <w:r>
        <w:rPr>
          <w:rFonts w:ascii="宋体" w:hAnsi="宋体" w:eastAsia="宋体" w:cs="宋体"/>
          <w:spacing w:val="1"/>
          <w:sz w:val="20"/>
          <w:szCs w:val="20"/>
        </w:rPr>
        <w:t>方法体系，在传染病的研究和防治中作出了</w:t>
      </w:r>
      <w:r>
        <w:rPr>
          <w:rFonts w:ascii="宋体" w:hAnsi="宋体" w:eastAsia="宋体" w:cs="宋体"/>
          <w:sz w:val="20"/>
          <w:szCs w:val="20"/>
        </w:rPr>
        <w:t xml:space="preserve">突出贡献，如流感病毒的变异及其监测，艾滋病病人及 </w:t>
      </w:r>
      <w:r>
        <w:rPr>
          <w:rFonts w:ascii="Times New Roman" w:hAnsi="Times New Roman" w:eastAsia="Times New Roman" w:cs="Times New Roman"/>
          <w:spacing w:val="-1"/>
          <w:sz w:val="20"/>
          <w:szCs w:val="20"/>
        </w:rPr>
        <w:t>HIV</w:t>
      </w:r>
      <w:r>
        <w:rPr>
          <w:rFonts w:ascii="Times New Roman" w:hAnsi="Times New Roman" w:eastAsia="Times New Roman" w:cs="Times New Roman"/>
          <w:spacing w:val="-22"/>
          <w:sz w:val="20"/>
          <w:szCs w:val="20"/>
        </w:rPr>
        <w:t xml:space="preserve"> </w:t>
      </w:r>
      <w:r>
        <w:rPr>
          <w:rFonts w:ascii="宋体" w:hAnsi="宋体" w:eastAsia="宋体" w:cs="宋体"/>
          <w:spacing w:val="-1"/>
          <w:sz w:val="20"/>
          <w:szCs w:val="20"/>
        </w:rPr>
        <w:t>携带者的监测及病毒变异和耐药性研</w:t>
      </w:r>
      <w:r>
        <w:rPr>
          <w:rFonts w:ascii="宋体" w:hAnsi="宋体" w:eastAsia="宋体" w:cs="宋体"/>
          <w:spacing w:val="-2"/>
          <w:sz w:val="20"/>
          <w:szCs w:val="20"/>
        </w:rPr>
        <w:t>究，</w:t>
      </w:r>
      <w:r>
        <w:rPr>
          <w:rFonts w:ascii="Times New Roman" w:hAnsi="Times New Roman" w:eastAsia="Times New Roman" w:cs="Times New Roman"/>
          <w:spacing w:val="-2"/>
          <w:sz w:val="20"/>
          <w:szCs w:val="20"/>
        </w:rPr>
        <w:t xml:space="preserve">SARS </w:t>
      </w:r>
      <w:r>
        <w:rPr>
          <w:rFonts w:ascii="宋体" w:hAnsi="宋体" w:eastAsia="宋体" w:cs="宋体"/>
          <w:spacing w:val="-2"/>
          <w:sz w:val="20"/>
          <w:szCs w:val="20"/>
        </w:rPr>
        <w:t>等呼吸道传染病以及霍乱、痢疾、病毒性腹泻等</w:t>
      </w:r>
      <w:r>
        <w:rPr>
          <w:rFonts w:ascii="宋体" w:hAnsi="宋体" w:eastAsia="宋体" w:cs="宋体"/>
          <w:sz w:val="20"/>
          <w:szCs w:val="20"/>
        </w:rPr>
        <w:t xml:space="preserve"> 肠道传染病暴发或流行中传染源、传播途径的确定，疫苗相关病例的判定，病原体耐药性及其传播</w:t>
      </w:r>
      <w:r>
        <w:rPr>
          <w:rFonts w:ascii="宋体" w:hAnsi="宋体" w:eastAsia="宋体" w:cs="宋体"/>
          <w:spacing w:val="17"/>
          <w:sz w:val="20"/>
          <w:szCs w:val="20"/>
        </w:rPr>
        <w:t xml:space="preserve"> </w:t>
      </w:r>
      <w:r>
        <w:rPr>
          <w:rFonts w:ascii="宋体" w:hAnsi="宋体" w:eastAsia="宋体" w:cs="宋体"/>
          <w:spacing w:val="-4"/>
          <w:sz w:val="20"/>
          <w:szCs w:val="20"/>
        </w:rPr>
        <w:t>规律的探索，预防接种效果评价等；在慢性非传染性疾病，如肿瘤、心血管疾病、糖尿病等的病因和</w:t>
      </w:r>
      <w:r>
        <w:rPr>
          <w:rFonts w:ascii="宋体" w:hAnsi="宋体" w:eastAsia="宋体" w:cs="宋体"/>
          <w:spacing w:val="1"/>
          <w:sz w:val="20"/>
          <w:szCs w:val="20"/>
        </w:rPr>
        <w:t xml:space="preserve"> </w:t>
      </w:r>
      <w:r>
        <w:rPr>
          <w:rFonts w:ascii="宋体" w:hAnsi="宋体" w:eastAsia="宋体" w:cs="宋体"/>
          <w:spacing w:val="-2"/>
          <w:sz w:val="20"/>
          <w:szCs w:val="20"/>
        </w:rPr>
        <w:t>发病机制以及个体易感性等的研究中，同样作出了巨大贡献。</w:t>
      </w:r>
    </w:p>
    <w:p w14:paraId="31FD6558">
      <w:pPr>
        <w:spacing w:before="194" w:line="308" w:lineRule="auto"/>
        <w:ind w:left="639" w:right="70" w:firstLine="400"/>
        <w:rPr>
          <w:rFonts w:ascii="宋体" w:hAnsi="宋体" w:eastAsia="宋体" w:cs="宋体"/>
          <w:sz w:val="20"/>
          <w:szCs w:val="20"/>
        </w:rPr>
      </w:pPr>
      <w:r>
        <w:rPr>
          <w:rFonts w:ascii="宋体" w:hAnsi="宋体" w:eastAsia="宋体" w:cs="宋体"/>
          <w:spacing w:val="11"/>
          <w:sz w:val="20"/>
          <w:szCs w:val="20"/>
        </w:rPr>
        <w:t>分子流行病学在疾病的防治中发挥着越来越重要的作用，尤其是近年来发展很快，主要表</w:t>
      </w:r>
      <w:r>
        <w:rPr>
          <w:rFonts w:ascii="宋体" w:hAnsi="宋体" w:eastAsia="宋体" w:cs="宋体"/>
          <w:spacing w:val="8"/>
          <w:sz w:val="20"/>
          <w:szCs w:val="20"/>
        </w:rPr>
        <w:t xml:space="preserve"> </w:t>
      </w:r>
      <w:r>
        <w:rPr>
          <w:rFonts w:ascii="宋体" w:hAnsi="宋体" w:eastAsia="宋体" w:cs="宋体"/>
          <w:spacing w:val="-3"/>
          <w:sz w:val="20"/>
          <w:szCs w:val="20"/>
        </w:rPr>
        <w:t>现在：</w:t>
      </w:r>
    </w:p>
    <w:p w14:paraId="28120E86">
      <w:pPr>
        <w:spacing w:before="61" w:line="289" w:lineRule="auto"/>
        <w:ind w:left="639" w:right="43" w:firstLine="400"/>
        <w:rPr>
          <w:rFonts w:ascii="宋体" w:hAnsi="宋体" w:eastAsia="宋体" w:cs="宋体"/>
          <w:sz w:val="20"/>
          <w:szCs w:val="20"/>
        </w:rPr>
      </w:pPr>
      <w:r>
        <w:rPr>
          <w:rFonts w:ascii="宋体" w:hAnsi="宋体" w:eastAsia="宋体" w:cs="宋体"/>
          <w:spacing w:val="4"/>
          <w:sz w:val="20"/>
          <w:szCs w:val="20"/>
        </w:rPr>
        <w:t>(1)研究内容更加丰富：分子流行病学从最初研究传染病，后来逐渐扩展到疾病和健康</w:t>
      </w:r>
      <w:r>
        <w:rPr>
          <w:rFonts w:ascii="宋体" w:hAnsi="宋体" w:eastAsia="宋体" w:cs="宋体"/>
          <w:spacing w:val="3"/>
          <w:sz w:val="20"/>
          <w:szCs w:val="20"/>
        </w:rPr>
        <w:t>状态相</w:t>
      </w:r>
      <w:r>
        <w:rPr>
          <w:rFonts w:ascii="宋体" w:hAnsi="宋体" w:eastAsia="宋体" w:cs="宋体"/>
          <w:sz w:val="20"/>
          <w:szCs w:val="20"/>
        </w:rPr>
        <w:t xml:space="preserve"> </w:t>
      </w:r>
      <w:r>
        <w:rPr>
          <w:rFonts w:ascii="宋体" w:hAnsi="宋体" w:eastAsia="宋体" w:cs="宋体"/>
          <w:spacing w:val="-4"/>
          <w:sz w:val="20"/>
          <w:szCs w:val="20"/>
        </w:rPr>
        <w:t>关生物标志的分布、影响因素、人群易感性、防治效果评价、预后分析及病原生物进化变异规律和检</w:t>
      </w:r>
      <w:r>
        <w:rPr>
          <w:rFonts w:ascii="宋体" w:hAnsi="宋体" w:eastAsia="宋体" w:cs="宋体"/>
          <w:spacing w:val="13"/>
          <w:sz w:val="20"/>
          <w:szCs w:val="20"/>
        </w:rPr>
        <w:t xml:space="preserve"> </w:t>
      </w:r>
      <w:r>
        <w:rPr>
          <w:rFonts w:ascii="宋体" w:hAnsi="宋体" w:eastAsia="宋体" w:cs="宋体"/>
          <w:spacing w:val="2"/>
          <w:sz w:val="20"/>
          <w:szCs w:val="20"/>
        </w:rPr>
        <w:t>测手段等。</w:t>
      </w:r>
    </w:p>
    <w:p w14:paraId="0F4BECEB">
      <w:pPr>
        <w:spacing w:before="142" w:line="301" w:lineRule="auto"/>
        <w:ind w:left="639" w:right="48" w:firstLine="400"/>
        <w:rPr>
          <w:rFonts w:ascii="宋体" w:hAnsi="宋体" w:eastAsia="宋体" w:cs="宋体"/>
          <w:sz w:val="20"/>
          <w:szCs w:val="20"/>
        </w:rPr>
      </w:pPr>
      <w:r>
        <w:rPr>
          <w:rFonts w:ascii="宋体" w:hAnsi="宋体" w:eastAsia="宋体" w:cs="宋体"/>
          <w:spacing w:val="4"/>
          <w:sz w:val="20"/>
          <w:szCs w:val="20"/>
        </w:rPr>
        <w:t>(2)研究手段越来越多：除应用传统流行病学的群体调查研究方法外，分子</w:t>
      </w:r>
      <w:r>
        <w:rPr>
          <w:rFonts w:ascii="宋体" w:hAnsi="宋体" w:eastAsia="宋体" w:cs="宋体"/>
          <w:spacing w:val="3"/>
          <w:sz w:val="20"/>
          <w:szCs w:val="20"/>
        </w:rPr>
        <w:t>流行病学还应用一</w:t>
      </w:r>
      <w:r>
        <w:rPr>
          <w:rFonts w:ascii="宋体" w:hAnsi="宋体" w:eastAsia="宋体" w:cs="宋体"/>
          <w:sz w:val="20"/>
          <w:szCs w:val="20"/>
        </w:rPr>
        <w:t xml:space="preserve"> </w:t>
      </w:r>
      <w:r>
        <w:rPr>
          <w:rFonts w:ascii="宋体" w:hAnsi="宋体" w:eastAsia="宋体" w:cs="宋体"/>
          <w:spacing w:val="5"/>
          <w:sz w:val="20"/>
          <w:szCs w:val="20"/>
        </w:rPr>
        <w:t>些独特的现场和实验室方法。在分子流行病学产生初期，主要检测手段是质粒图谱、核酸分子杂</w:t>
      </w:r>
      <w:r>
        <w:rPr>
          <w:rFonts w:ascii="宋体" w:hAnsi="宋体" w:eastAsia="宋体" w:cs="宋体"/>
          <w:spacing w:val="14"/>
          <w:sz w:val="20"/>
          <w:szCs w:val="20"/>
        </w:rPr>
        <w:t xml:space="preserve"> </w:t>
      </w:r>
      <w:r>
        <w:rPr>
          <w:rFonts w:ascii="宋体" w:hAnsi="宋体" w:eastAsia="宋体" w:cs="宋体"/>
          <w:sz w:val="20"/>
          <w:szCs w:val="20"/>
        </w:rPr>
        <w:t>交、抗原抗体技术等。随着生物芯片技术、基因组测序技术及质谱技术等日益普及，生物标志的检</w:t>
      </w:r>
    </w:p>
    <w:p w14:paraId="3F0C1823">
      <w:pPr>
        <w:spacing w:line="301" w:lineRule="auto"/>
        <w:rPr>
          <w:rFonts w:ascii="宋体" w:hAnsi="宋体" w:eastAsia="宋体" w:cs="宋体"/>
          <w:sz w:val="20"/>
          <w:szCs w:val="20"/>
        </w:rPr>
        <w:sectPr>
          <w:footerReference r:id="rId281" w:type="default"/>
          <w:pgSz w:w="11900" w:h="16820"/>
          <w:pgMar w:top="400" w:right="1570" w:bottom="829" w:left="979" w:header="0" w:footer="649" w:gutter="0"/>
          <w:cols w:space="720" w:num="1"/>
        </w:sectPr>
      </w:pPr>
    </w:p>
    <w:p w14:paraId="3ECF1C61">
      <w:pPr>
        <w:pStyle w:val="2"/>
        <w:spacing w:before="106" w:line="221" w:lineRule="auto"/>
        <w:ind w:left="7030"/>
        <w:rPr>
          <w:sz w:val="20"/>
          <w:szCs w:val="20"/>
        </w:rPr>
      </w:pPr>
      <w:r>
        <w:rPr>
          <w:spacing w:val="-22"/>
          <w:sz w:val="20"/>
          <w:szCs w:val="20"/>
        </w:rPr>
        <w:t>第十七章 分子流行病学</w:t>
      </w:r>
    </w:p>
    <w:p w14:paraId="1366FE44">
      <w:pPr>
        <w:spacing w:line="266" w:lineRule="auto"/>
        <w:rPr>
          <w:rFonts w:ascii="Arial"/>
          <w:sz w:val="21"/>
        </w:rPr>
      </w:pPr>
    </w:p>
    <w:p w14:paraId="575356E1">
      <w:pPr>
        <w:spacing w:line="266" w:lineRule="auto"/>
        <w:rPr>
          <w:rFonts w:ascii="Arial"/>
          <w:sz w:val="21"/>
        </w:rPr>
      </w:pPr>
    </w:p>
    <w:p w14:paraId="72492330">
      <w:pPr>
        <w:spacing w:before="65" w:line="218" w:lineRule="auto"/>
        <w:rPr>
          <w:rFonts w:ascii="宋体" w:hAnsi="宋体" w:eastAsia="宋体" w:cs="宋体"/>
          <w:sz w:val="20"/>
          <w:szCs w:val="20"/>
        </w:rPr>
      </w:pPr>
      <w:r>
        <w:rPr>
          <w:rFonts w:ascii="宋体" w:hAnsi="宋体" w:eastAsia="宋体" w:cs="宋体"/>
          <w:spacing w:val="12"/>
          <w:sz w:val="20"/>
          <w:szCs w:val="20"/>
        </w:rPr>
        <w:t>测效率大幅提高。</w:t>
      </w:r>
    </w:p>
    <w:p w14:paraId="7B39948A">
      <w:pPr>
        <w:spacing w:before="156" w:line="284" w:lineRule="auto"/>
        <w:ind w:right="634" w:firstLine="399"/>
        <w:rPr>
          <w:rFonts w:ascii="宋体" w:hAnsi="宋体" w:eastAsia="宋体" w:cs="宋体"/>
          <w:sz w:val="20"/>
          <w:szCs w:val="20"/>
        </w:rPr>
      </w:pPr>
      <w:r>
        <w:rPr>
          <w:rFonts w:ascii="宋体" w:hAnsi="宋体" w:eastAsia="宋体" w:cs="宋体"/>
          <w:spacing w:val="8"/>
          <w:sz w:val="20"/>
          <w:szCs w:val="20"/>
        </w:rPr>
        <w:t>(3)应用范围不断扩大：随着分子流行病学的快速发展，其应用已从预防医学逐步拓展到基础</w:t>
      </w:r>
      <w:r>
        <w:rPr>
          <w:rFonts w:ascii="宋体" w:hAnsi="宋体" w:eastAsia="宋体" w:cs="宋体"/>
          <w:spacing w:val="14"/>
          <w:sz w:val="20"/>
          <w:szCs w:val="20"/>
        </w:rPr>
        <w:t xml:space="preserve"> </w:t>
      </w:r>
      <w:r>
        <w:rPr>
          <w:rFonts w:ascii="宋体" w:hAnsi="宋体" w:eastAsia="宋体" w:cs="宋体"/>
          <w:spacing w:val="-2"/>
          <w:sz w:val="20"/>
          <w:szCs w:val="20"/>
        </w:rPr>
        <w:t>医学、临床医学、生物学、遗传学、环境科学和人类学等研究领域，并取得了一</w:t>
      </w:r>
      <w:r>
        <w:rPr>
          <w:rFonts w:ascii="宋体" w:hAnsi="宋体" w:eastAsia="宋体" w:cs="宋体"/>
          <w:spacing w:val="-3"/>
          <w:sz w:val="20"/>
          <w:szCs w:val="20"/>
        </w:rPr>
        <w:t>系列成果。</w:t>
      </w:r>
    </w:p>
    <w:p w14:paraId="309AB1C2">
      <w:pPr>
        <w:spacing w:before="144" w:line="326" w:lineRule="auto"/>
        <w:ind w:right="612" w:firstLine="399"/>
        <w:rPr>
          <w:rFonts w:ascii="宋体" w:hAnsi="宋体" w:eastAsia="宋体" w:cs="宋体"/>
          <w:sz w:val="20"/>
          <w:szCs w:val="20"/>
        </w:rPr>
      </w:pPr>
      <w:r>
        <w:rPr>
          <w:rFonts w:ascii="宋体" w:hAnsi="宋体" w:eastAsia="宋体" w:cs="宋体"/>
          <w:spacing w:val="9"/>
          <w:sz w:val="20"/>
          <w:szCs w:val="20"/>
        </w:rPr>
        <w:t>(4)系统流行病学正在兴起：当前，分子流行病学所涉及的各种分子生物学检测</w:t>
      </w:r>
      <w:r>
        <w:rPr>
          <w:rFonts w:ascii="宋体" w:hAnsi="宋体" w:eastAsia="宋体" w:cs="宋体"/>
          <w:spacing w:val="8"/>
          <w:sz w:val="20"/>
          <w:szCs w:val="20"/>
        </w:rPr>
        <w:t>技术正在经历</w:t>
      </w:r>
      <w:r>
        <w:rPr>
          <w:rFonts w:ascii="宋体" w:hAnsi="宋体" w:eastAsia="宋体" w:cs="宋体"/>
          <w:sz w:val="20"/>
          <w:szCs w:val="20"/>
        </w:rPr>
        <w:t xml:space="preserve"> </w:t>
      </w:r>
      <w:r>
        <w:rPr>
          <w:rFonts w:ascii="宋体" w:hAnsi="宋体" w:eastAsia="宋体" w:cs="宋体"/>
          <w:spacing w:val="1"/>
          <w:sz w:val="20"/>
          <w:szCs w:val="20"/>
        </w:rPr>
        <w:t>重大变革，包括基因组学、表观组学、转录组学、蛋白组学、代谢组学等新兴组学研究领域正随着高</w:t>
      </w:r>
      <w:r>
        <w:rPr>
          <w:rFonts w:ascii="宋体" w:hAnsi="宋体" w:eastAsia="宋体" w:cs="宋体"/>
          <w:spacing w:val="4"/>
          <w:sz w:val="20"/>
          <w:szCs w:val="20"/>
        </w:rPr>
        <w:t xml:space="preserve"> </w:t>
      </w:r>
      <w:r>
        <w:rPr>
          <w:rFonts w:ascii="宋体" w:hAnsi="宋体" w:eastAsia="宋体" w:cs="宋体"/>
          <w:spacing w:val="11"/>
          <w:sz w:val="20"/>
          <w:szCs w:val="20"/>
        </w:rPr>
        <w:t>通量检测技术的日新月异而蓬勃发展。这些组学研究的发展推</w:t>
      </w:r>
      <w:r>
        <w:rPr>
          <w:rFonts w:ascii="宋体" w:hAnsi="宋体" w:eastAsia="宋体" w:cs="宋体"/>
          <w:spacing w:val="10"/>
          <w:sz w:val="20"/>
          <w:szCs w:val="20"/>
        </w:rPr>
        <w:t>动分子流行病学研究不再局限于单</w:t>
      </w:r>
      <w:r>
        <w:rPr>
          <w:rFonts w:ascii="宋体" w:hAnsi="宋体" w:eastAsia="宋体" w:cs="宋体"/>
          <w:sz w:val="20"/>
          <w:szCs w:val="20"/>
        </w:rPr>
        <w:t xml:space="preserve"> </w:t>
      </w:r>
      <w:r>
        <w:rPr>
          <w:rFonts w:ascii="宋体" w:hAnsi="宋体" w:eastAsia="宋体" w:cs="宋体"/>
          <w:spacing w:val="6"/>
          <w:sz w:val="20"/>
          <w:szCs w:val="20"/>
        </w:rPr>
        <w:t>一的分子标志与疾病的关系，而是将传统流行病学理论和多维度的组学数</w:t>
      </w:r>
      <w:r>
        <w:rPr>
          <w:rFonts w:ascii="宋体" w:hAnsi="宋体" w:eastAsia="宋体" w:cs="宋体"/>
          <w:spacing w:val="5"/>
          <w:sz w:val="20"/>
          <w:szCs w:val="20"/>
        </w:rPr>
        <w:t>据相结合，形成一个与疾</w:t>
      </w:r>
      <w:r>
        <w:rPr>
          <w:rFonts w:ascii="宋体" w:hAnsi="宋体" w:eastAsia="宋体" w:cs="宋体"/>
          <w:sz w:val="20"/>
          <w:szCs w:val="20"/>
        </w:rPr>
        <w:t xml:space="preserve"> </w:t>
      </w:r>
      <w:r>
        <w:rPr>
          <w:rFonts w:ascii="宋体" w:hAnsi="宋体" w:eastAsia="宋体" w:cs="宋体"/>
          <w:spacing w:val="11"/>
          <w:sz w:val="20"/>
          <w:szCs w:val="20"/>
        </w:rPr>
        <w:t>病或表型相关的数据网络系统。这种新的研究模式整合了大量的信</w:t>
      </w:r>
      <w:r>
        <w:rPr>
          <w:rFonts w:ascii="宋体" w:hAnsi="宋体" w:eastAsia="宋体" w:cs="宋体"/>
          <w:spacing w:val="10"/>
          <w:sz w:val="20"/>
          <w:szCs w:val="20"/>
        </w:rPr>
        <w:t>息，包括将遗传易感性、表观</w:t>
      </w:r>
      <w:r>
        <w:rPr>
          <w:rFonts w:ascii="宋体" w:hAnsi="宋体" w:eastAsia="宋体" w:cs="宋体"/>
          <w:sz w:val="20"/>
          <w:szCs w:val="20"/>
        </w:rPr>
        <w:t xml:space="preserve"> </w:t>
      </w:r>
      <w:r>
        <w:rPr>
          <w:rFonts w:ascii="宋体" w:hAnsi="宋体" w:eastAsia="宋体" w:cs="宋体"/>
          <w:spacing w:val="1"/>
          <w:sz w:val="20"/>
          <w:szCs w:val="20"/>
        </w:rPr>
        <w:t>遗传改变、基因表达、代谢、肠道微生物等信息都整合进人群研究中，为深入理解疾病发生的内在分</w:t>
      </w:r>
      <w:r>
        <w:rPr>
          <w:rFonts w:ascii="宋体" w:hAnsi="宋体" w:eastAsia="宋体" w:cs="宋体"/>
          <w:spacing w:val="3"/>
          <w:sz w:val="20"/>
          <w:szCs w:val="20"/>
        </w:rPr>
        <w:t xml:space="preserve"> </w:t>
      </w:r>
      <w:r>
        <w:rPr>
          <w:rFonts w:ascii="宋体" w:hAnsi="宋体" w:eastAsia="宋体" w:cs="宋体"/>
          <w:spacing w:val="7"/>
          <w:sz w:val="20"/>
          <w:szCs w:val="20"/>
        </w:rPr>
        <w:t>子机制提供了一个全面、系统的全新视角。因此</w:t>
      </w:r>
      <w:r>
        <w:rPr>
          <w:rFonts w:ascii="宋体" w:hAnsi="宋体" w:eastAsia="宋体" w:cs="宋体"/>
          <w:spacing w:val="6"/>
          <w:sz w:val="20"/>
          <w:szCs w:val="20"/>
        </w:rPr>
        <w:t>，系统流行病学</w:t>
      </w:r>
      <w:r>
        <w:rPr>
          <w:rFonts w:ascii="Times New Roman" w:hAnsi="Times New Roman" w:eastAsia="Times New Roman" w:cs="Times New Roman"/>
          <w:spacing w:val="6"/>
          <w:sz w:val="20"/>
          <w:szCs w:val="20"/>
        </w:rPr>
        <w:t>(</w:t>
      </w:r>
      <w:r>
        <w:rPr>
          <w:rFonts w:ascii="Times New Roman" w:hAnsi="Times New Roman" w:eastAsia="Times New Roman" w:cs="Times New Roman"/>
          <w:sz w:val="20"/>
          <w:szCs w:val="20"/>
        </w:rPr>
        <w:t>systems</w:t>
      </w:r>
      <w:r>
        <w:rPr>
          <w:rFonts w:ascii="Times New Roman" w:hAnsi="Times New Roman" w:eastAsia="Times New Roman" w:cs="Times New Roman"/>
          <w:spacing w:val="24"/>
          <w:w w:val="101"/>
          <w:sz w:val="20"/>
          <w:szCs w:val="20"/>
        </w:rPr>
        <w:t xml:space="preserve">  </w:t>
      </w:r>
      <w:r>
        <w:rPr>
          <w:rFonts w:ascii="Times New Roman" w:hAnsi="Times New Roman" w:eastAsia="Times New Roman" w:cs="Times New Roman"/>
          <w:sz w:val="20"/>
          <w:szCs w:val="20"/>
        </w:rPr>
        <w:t>epidemiology</w:t>
      </w:r>
      <w:r>
        <w:rPr>
          <w:rFonts w:ascii="Times New Roman" w:hAnsi="Times New Roman" w:eastAsia="Times New Roman" w:cs="Times New Roman"/>
          <w:spacing w:val="6"/>
          <w:sz w:val="20"/>
          <w:szCs w:val="20"/>
        </w:rPr>
        <w:t>)</w:t>
      </w:r>
      <w:r>
        <w:rPr>
          <w:rFonts w:ascii="宋体" w:hAnsi="宋体" w:eastAsia="宋体" w:cs="宋体"/>
          <w:spacing w:val="6"/>
          <w:sz w:val="20"/>
          <w:szCs w:val="20"/>
        </w:rPr>
        <w:t>的概念应运</w:t>
      </w:r>
      <w:r>
        <w:rPr>
          <w:rFonts w:ascii="宋体" w:hAnsi="宋体" w:eastAsia="宋体" w:cs="宋体"/>
          <w:sz w:val="20"/>
          <w:szCs w:val="20"/>
        </w:rPr>
        <w:t xml:space="preserve"> </w:t>
      </w:r>
      <w:r>
        <w:rPr>
          <w:rFonts w:ascii="宋体" w:hAnsi="宋体" w:eastAsia="宋体" w:cs="宋体"/>
          <w:spacing w:val="4"/>
          <w:sz w:val="20"/>
          <w:szCs w:val="20"/>
        </w:rPr>
        <w:t>而生，已经逐渐成为一个由流行病学人群观察、干预研究与系统生物学概念交叉形成的新</w:t>
      </w:r>
      <w:r>
        <w:rPr>
          <w:rFonts w:ascii="宋体" w:hAnsi="宋体" w:eastAsia="宋体" w:cs="宋体"/>
          <w:spacing w:val="3"/>
          <w:sz w:val="20"/>
          <w:szCs w:val="20"/>
        </w:rPr>
        <w:t>兴学科。</w:t>
      </w:r>
    </w:p>
    <w:p w14:paraId="28FCD73C">
      <w:pPr>
        <w:spacing w:before="144" w:line="352" w:lineRule="auto"/>
        <w:ind w:right="637" w:firstLine="399"/>
        <w:jc w:val="both"/>
        <w:rPr>
          <w:rFonts w:ascii="宋体" w:hAnsi="宋体" w:eastAsia="宋体" w:cs="宋体"/>
          <w:sz w:val="20"/>
          <w:szCs w:val="20"/>
        </w:rPr>
      </w:pPr>
      <w:r>
        <w:rPr>
          <w:rFonts w:ascii="宋体" w:hAnsi="宋体" w:eastAsia="宋体" w:cs="宋体"/>
          <w:spacing w:val="6"/>
          <w:sz w:val="20"/>
          <w:szCs w:val="20"/>
        </w:rPr>
        <w:t>可以预见，随着分子流行病学、人类基因组流行病</w:t>
      </w:r>
      <w:r>
        <w:rPr>
          <w:rFonts w:ascii="宋体" w:hAnsi="宋体" w:eastAsia="宋体" w:cs="宋体"/>
          <w:spacing w:val="5"/>
          <w:sz w:val="20"/>
          <w:szCs w:val="20"/>
        </w:rPr>
        <w:t>学以及系统流行病学的发展，今后将会有越</w:t>
      </w:r>
      <w:r>
        <w:rPr>
          <w:rFonts w:ascii="宋体" w:hAnsi="宋体" w:eastAsia="宋体" w:cs="宋体"/>
          <w:sz w:val="20"/>
          <w:szCs w:val="20"/>
        </w:rPr>
        <w:t xml:space="preserve"> </w:t>
      </w:r>
      <w:r>
        <w:rPr>
          <w:rFonts w:ascii="宋体" w:hAnsi="宋体" w:eastAsia="宋体" w:cs="宋体"/>
          <w:spacing w:val="6"/>
          <w:sz w:val="20"/>
          <w:szCs w:val="20"/>
        </w:rPr>
        <w:t>来越多的疾病的病因、发病机制、发生发展及转归规律等在分子、基因微</w:t>
      </w:r>
      <w:r>
        <w:rPr>
          <w:rFonts w:ascii="宋体" w:hAnsi="宋体" w:eastAsia="宋体" w:cs="宋体"/>
          <w:spacing w:val="5"/>
          <w:sz w:val="20"/>
          <w:szCs w:val="20"/>
        </w:rPr>
        <w:t>观水平及宏观人群水平上</w:t>
      </w:r>
      <w:r>
        <w:rPr>
          <w:rFonts w:ascii="宋体" w:hAnsi="宋体" w:eastAsia="宋体" w:cs="宋体"/>
          <w:sz w:val="20"/>
          <w:szCs w:val="20"/>
        </w:rPr>
        <w:t xml:space="preserve"> </w:t>
      </w:r>
      <w:r>
        <w:rPr>
          <w:rFonts w:ascii="宋体" w:hAnsi="宋体" w:eastAsia="宋体" w:cs="宋体"/>
          <w:spacing w:val="12"/>
          <w:sz w:val="20"/>
          <w:szCs w:val="20"/>
        </w:rPr>
        <w:t>得到系统阐明。</w:t>
      </w:r>
    </w:p>
    <w:p w14:paraId="16E8EB0A">
      <w:pPr>
        <w:pStyle w:val="2"/>
        <w:spacing w:before="162" w:line="221" w:lineRule="auto"/>
        <w:ind w:left="403"/>
        <w:outlineLvl w:val="4"/>
        <w:rPr>
          <w:sz w:val="26"/>
          <w:szCs w:val="26"/>
        </w:rPr>
      </w:pPr>
      <w:bookmarkStart w:id="437" w:name="bookmark276"/>
      <w:bookmarkEnd w:id="437"/>
      <w:r>
        <w:rPr>
          <w:b/>
          <w:bCs/>
          <w:spacing w:val="-8"/>
          <w:sz w:val="26"/>
          <w:szCs w:val="26"/>
        </w:rPr>
        <w:t>三</w:t>
      </w:r>
      <w:r>
        <w:rPr>
          <w:spacing w:val="-62"/>
          <w:sz w:val="26"/>
          <w:szCs w:val="26"/>
        </w:rPr>
        <w:t xml:space="preserve"> </w:t>
      </w:r>
      <w:r>
        <w:rPr>
          <w:b/>
          <w:bCs/>
          <w:spacing w:val="-8"/>
          <w:sz w:val="26"/>
          <w:szCs w:val="26"/>
        </w:rPr>
        <w:t>、与传统流行病学的关系</w:t>
      </w:r>
    </w:p>
    <w:p w14:paraId="13F04972">
      <w:pPr>
        <w:spacing w:before="255" w:line="341" w:lineRule="auto"/>
        <w:ind w:right="545" w:firstLine="399"/>
        <w:jc w:val="both"/>
        <w:rPr>
          <w:rFonts w:ascii="宋体" w:hAnsi="宋体" w:eastAsia="宋体" w:cs="宋体"/>
          <w:sz w:val="20"/>
          <w:szCs w:val="20"/>
        </w:rPr>
      </w:pPr>
      <w:r>
        <w:rPr>
          <w:rFonts w:ascii="宋体" w:hAnsi="宋体" w:eastAsia="宋体" w:cs="宋体"/>
          <w:spacing w:val="14"/>
          <w:sz w:val="20"/>
          <w:szCs w:val="20"/>
        </w:rPr>
        <w:t>传统流行病学在病因研究和疾病防治等方面起着十分重要的作用。如</w:t>
      </w:r>
      <w:r>
        <w:rPr>
          <w:rFonts w:ascii="Times New Roman" w:hAnsi="Times New Roman" w:eastAsia="Times New Roman" w:cs="Times New Roman"/>
          <w:sz w:val="20"/>
          <w:szCs w:val="20"/>
        </w:rPr>
        <w:t>John</w:t>
      </w:r>
      <w:r>
        <w:rPr>
          <w:rFonts w:ascii="Times New Roman" w:hAnsi="Times New Roman" w:eastAsia="Times New Roman" w:cs="Times New Roman"/>
          <w:spacing w:val="53"/>
          <w:sz w:val="20"/>
          <w:szCs w:val="20"/>
        </w:rPr>
        <w:t xml:space="preserve"> </w:t>
      </w:r>
      <w:r>
        <w:rPr>
          <w:rFonts w:ascii="Times New Roman" w:hAnsi="Times New Roman" w:eastAsia="Times New Roman" w:cs="Times New Roman"/>
          <w:sz w:val="20"/>
          <w:szCs w:val="20"/>
        </w:rPr>
        <w:t>Snow</w:t>
      </w:r>
      <w:r>
        <w:rPr>
          <w:rFonts w:ascii="宋体" w:hAnsi="宋体" w:eastAsia="宋体" w:cs="宋体"/>
          <w:spacing w:val="14"/>
          <w:sz w:val="20"/>
          <w:szCs w:val="20"/>
        </w:rPr>
        <w:t>在19世纪中</w:t>
      </w:r>
      <w:r>
        <w:rPr>
          <w:rFonts w:ascii="宋体" w:hAnsi="宋体" w:eastAsia="宋体" w:cs="宋体"/>
          <w:sz w:val="20"/>
          <w:szCs w:val="20"/>
        </w:rPr>
        <w:t xml:space="preserve">  </w:t>
      </w:r>
      <w:r>
        <w:rPr>
          <w:rFonts w:ascii="宋体" w:hAnsi="宋体" w:eastAsia="宋体" w:cs="宋体"/>
          <w:spacing w:val="11"/>
          <w:sz w:val="20"/>
          <w:szCs w:val="20"/>
        </w:rPr>
        <w:t>叶对霍乱的流行病学研究和20世纪中叶</w:t>
      </w:r>
      <w:r>
        <w:rPr>
          <w:rFonts w:ascii="宋体" w:hAnsi="宋体" w:eastAsia="宋体" w:cs="宋体"/>
          <w:sz w:val="20"/>
          <w:szCs w:val="20"/>
        </w:rPr>
        <w:t>Doll</w:t>
      </w:r>
      <w:r>
        <w:rPr>
          <w:rFonts w:ascii="宋体" w:hAnsi="宋体" w:eastAsia="宋体" w:cs="宋体"/>
          <w:spacing w:val="11"/>
          <w:sz w:val="20"/>
          <w:szCs w:val="20"/>
        </w:rPr>
        <w:t>和</w:t>
      </w:r>
      <w:r>
        <w:rPr>
          <w:rFonts w:ascii="宋体" w:hAnsi="宋体" w:eastAsia="宋体" w:cs="宋体"/>
          <w:spacing w:val="-42"/>
          <w:sz w:val="20"/>
          <w:szCs w:val="20"/>
        </w:rPr>
        <w:t xml:space="preserve"> </w:t>
      </w:r>
      <w:r>
        <w:rPr>
          <w:rFonts w:ascii="宋体" w:hAnsi="宋体" w:eastAsia="宋体" w:cs="宋体"/>
          <w:sz w:val="20"/>
          <w:szCs w:val="20"/>
        </w:rPr>
        <w:t>Hill</w:t>
      </w:r>
      <w:r>
        <w:rPr>
          <w:rFonts w:ascii="宋体" w:hAnsi="宋体" w:eastAsia="宋体" w:cs="宋体"/>
          <w:spacing w:val="-36"/>
          <w:sz w:val="20"/>
          <w:szCs w:val="20"/>
        </w:rPr>
        <w:t xml:space="preserve"> </w:t>
      </w:r>
      <w:r>
        <w:rPr>
          <w:rFonts w:ascii="宋体" w:hAnsi="宋体" w:eastAsia="宋体" w:cs="宋体"/>
          <w:spacing w:val="11"/>
          <w:sz w:val="20"/>
          <w:szCs w:val="20"/>
        </w:rPr>
        <w:t>关于吸烟与肺癌的</w:t>
      </w:r>
      <w:r>
        <w:rPr>
          <w:rFonts w:ascii="宋体" w:hAnsi="宋体" w:eastAsia="宋体" w:cs="宋体"/>
          <w:spacing w:val="10"/>
          <w:sz w:val="20"/>
          <w:szCs w:val="20"/>
        </w:rPr>
        <w:t>研究就是两个典型的例子，</w:t>
      </w:r>
      <w:r>
        <w:rPr>
          <w:rFonts w:ascii="宋体" w:hAnsi="宋体" w:eastAsia="宋体" w:cs="宋体"/>
          <w:sz w:val="20"/>
          <w:szCs w:val="20"/>
        </w:rPr>
        <w:t xml:space="preserve"> </w:t>
      </w:r>
      <w:r>
        <w:rPr>
          <w:rFonts w:ascii="宋体" w:hAnsi="宋体" w:eastAsia="宋体" w:cs="宋体"/>
          <w:spacing w:val="8"/>
          <w:sz w:val="20"/>
          <w:szCs w:val="20"/>
        </w:rPr>
        <w:t>它们在流行病学发展史上具有里程碑式的重要意义。但是传统流行病学在研究暴露与疾</w:t>
      </w:r>
      <w:r>
        <w:rPr>
          <w:rFonts w:ascii="宋体" w:hAnsi="宋体" w:eastAsia="宋体" w:cs="宋体"/>
          <w:spacing w:val="7"/>
          <w:sz w:val="20"/>
          <w:szCs w:val="20"/>
        </w:rPr>
        <w:t>病关系时，</w:t>
      </w:r>
      <w:r>
        <w:rPr>
          <w:rFonts w:ascii="宋体" w:hAnsi="宋体" w:eastAsia="宋体" w:cs="宋体"/>
          <w:sz w:val="20"/>
          <w:szCs w:val="20"/>
        </w:rPr>
        <w:t xml:space="preserve"> </w:t>
      </w:r>
      <w:r>
        <w:rPr>
          <w:rFonts w:ascii="宋体" w:hAnsi="宋体" w:eastAsia="宋体" w:cs="宋体"/>
          <w:spacing w:val="6"/>
          <w:sz w:val="20"/>
          <w:szCs w:val="20"/>
        </w:rPr>
        <w:t>通常从宏观出发观察人群是否暴露于某病因或危险因素，然后根据最终发</w:t>
      </w:r>
      <w:r>
        <w:rPr>
          <w:rFonts w:ascii="宋体" w:hAnsi="宋体" w:eastAsia="宋体" w:cs="宋体"/>
          <w:spacing w:val="5"/>
          <w:sz w:val="20"/>
          <w:szCs w:val="20"/>
        </w:rPr>
        <w:t>病、死亡或出现其他事件</w:t>
      </w:r>
      <w:r>
        <w:rPr>
          <w:rFonts w:ascii="宋体" w:hAnsi="宋体" w:eastAsia="宋体" w:cs="宋体"/>
          <w:sz w:val="20"/>
          <w:szCs w:val="20"/>
        </w:rPr>
        <w:t xml:space="preserve">  </w:t>
      </w:r>
      <w:r>
        <w:rPr>
          <w:rFonts w:ascii="宋体" w:hAnsi="宋体" w:eastAsia="宋体" w:cs="宋体"/>
          <w:spacing w:val="5"/>
          <w:sz w:val="20"/>
          <w:szCs w:val="20"/>
        </w:rPr>
        <w:t>的结果来推断疾病病因，其中间的过程称为“黑匣子”(图17-1)。虽然发病和死亡测量可以直接反</w:t>
      </w:r>
      <w:r>
        <w:rPr>
          <w:rFonts w:ascii="宋体" w:hAnsi="宋体" w:eastAsia="宋体" w:cs="宋体"/>
          <w:spacing w:val="7"/>
          <w:sz w:val="20"/>
          <w:szCs w:val="20"/>
        </w:rPr>
        <w:t xml:space="preserve">  </w:t>
      </w:r>
      <w:r>
        <w:rPr>
          <w:rFonts w:ascii="宋体" w:hAnsi="宋体" w:eastAsia="宋体" w:cs="宋体"/>
          <w:spacing w:val="1"/>
          <w:sz w:val="20"/>
          <w:szCs w:val="20"/>
        </w:rPr>
        <w:t xml:space="preserve">映人群疾病和健康状况，但由于“黑匣子”的存在，难以得到暴露和疾病之间关系的直接证据，因此  </w:t>
      </w:r>
      <w:r>
        <w:rPr>
          <w:rFonts w:ascii="宋体" w:hAnsi="宋体" w:eastAsia="宋体" w:cs="宋体"/>
          <w:spacing w:val="11"/>
          <w:sz w:val="20"/>
          <w:szCs w:val="20"/>
        </w:rPr>
        <w:t>远远不能适应现代疾病防治的需要。而分子流行病学应用分子生物学技术从分子和基因水平阐明</w:t>
      </w:r>
      <w:r>
        <w:rPr>
          <w:rFonts w:ascii="宋体" w:hAnsi="宋体" w:eastAsia="宋体" w:cs="宋体"/>
          <w:sz w:val="20"/>
          <w:szCs w:val="20"/>
        </w:rPr>
        <w:t xml:space="preserve"> </w:t>
      </w:r>
      <w:r>
        <w:rPr>
          <w:rFonts w:ascii="宋体" w:hAnsi="宋体" w:eastAsia="宋体" w:cs="宋体"/>
          <w:spacing w:val="10"/>
          <w:sz w:val="20"/>
          <w:szCs w:val="20"/>
        </w:rPr>
        <w:t>生物标志在人群中的分布及其与疾病/健康的关系和影响因素，可以揭示疾病自然史的分子事件，</w:t>
      </w:r>
      <w:r>
        <w:rPr>
          <w:rFonts w:ascii="宋体" w:hAnsi="宋体" w:eastAsia="宋体" w:cs="宋体"/>
          <w:spacing w:val="8"/>
          <w:sz w:val="20"/>
          <w:szCs w:val="20"/>
        </w:rPr>
        <w:t xml:space="preserve"> </w:t>
      </w:r>
      <w:r>
        <w:rPr>
          <w:rFonts w:ascii="宋体" w:hAnsi="宋体" w:eastAsia="宋体" w:cs="宋体"/>
          <w:spacing w:val="4"/>
          <w:sz w:val="20"/>
          <w:szCs w:val="20"/>
        </w:rPr>
        <w:t>打开传统流行病学中的“黑匣子”,为病因研究和防治措施评价开辟新的途径。</w:t>
      </w:r>
    </w:p>
    <w:p w14:paraId="3CF89C19">
      <w:pPr>
        <w:spacing w:line="224" w:lineRule="exact"/>
      </w:pPr>
    </w:p>
    <w:p w14:paraId="5DA76B60">
      <w:pPr>
        <w:spacing w:line="224" w:lineRule="exact"/>
        <w:sectPr>
          <w:footerReference r:id="rId282" w:type="default"/>
          <w:pgSz w:w="11900" w:h="16820"/>
          <w:pgMar w:top="400" w:right="914" w:bottom="809" w:left="1499" w:header="0" w:footer="629" w:gutter="0"/>
          <w:cols w:equalWidth="0" w:num="1">
            <w:col w:w="9486"/>
          </w:cols>
        </w:sectPr>
      </w:pPr>
    </w:p>
    <w:p w14:paraId="3CB45589">
      <w:pPr>
        <w:spacing w:before="187" w:line="219" w:lineRule="auto"/>
        <w:ind w:left="1030"/>
        <w:rPr>
          <w:rFonts w:ascii="宋体" w:hAnsi="宋体" w:eastAsia="宋体" w:cs="宋体"/>
          <w:sz w:val="20"/>
          <w:szCs w:val="20"/>
        </w:rPr>
      </w:pPr>
      <w:r>
        <w:rPr>
          <w:rFonts w:ascii="宋体" w:hAnsi="宋体" w:eastAsia="宋体" w:cs="宋体"/>
          <w:spacing w:val="-16"/>
          <w:w w:val="98"/>
          <w:sz w:val="20"/>
          <w:szCs w:val="20"/>
        </w:rPr>
        <w:t>传统流行病学</w:t>
      </w:r>
    </w:p>
    <w:p w14:paraId="0C4F5601">
      <w:pPr>
        <w:spacing w:line="291" w:lineRule="auto"/>
        <w:rPr>
          <w:rFonts w:ascii="Arial"/>
          <w:sz w:val="21"/>
        </w:rPr>
      </w:pPr>
    </w:p>
    <w:p w14:paraId="09E66BFA">
      <w:pPr>
        <w:spacing w:line="291" w:lineRule="auto"/>
        <w:rPr>
          <w:rFonts w:ascii="Arial"/>
          <w:sz w:val="21"/>
        </w:rPr>
      </w:pPr>
    </w:p>
    <w:p w14:paraId="0B401088">
      <w:pPr>
        <w:spacing w:line="292" w:lineRule="auto"/>
        <w:rPr>
          <w:rFonts w:ascii="Arial"/>
          <w:sz w:val="21"/>
        </w:rPr>
      </w:pPr>
    </w:p>
    <w:p w14:paraId="30904F5E">
      <w:pPr>
        <w:spacing w:before="65" w:line="220" w:lineRule="auto"/>
        <w:ind w:left="1030"/>
        <w:rPr>
          <w:rFonts w:ascii="宋体" w:hAnsi="宋体" w:eastAsia="宋体" w:cs="宋体"/>
          <w:sz w:val="20"/>
          <w:szCs w:val="20"/>
        </w:rPr>
      </w:pPr>
      <w:r>
        <w:rPr>
          <w:rFonts w:ascii="宋体" w:hAnsi="宋体" w:eastAsia="宋体" w:cs="宋体"/>
          <w:spacing w:val="-18"/>
          <w:w w:val="99"/>
          <w:sz w:val="20"/>
          <w:szCs w:val="20"/>
        </w:rPr>
        <w:t>分子流行病学</w:t>
      </w:r>
    </w:p>
    <w:p w14:paraId="7B3EDF93">
      <w:pPr>
        <w:spacing w:before="232"/>
      </w:pPr>
    </w:p>
    <w:p w14:paraId="5D244C97">
      <w:pPr>
        <w:spacing w:line="14" w:lineRule="auto"/>
        <w:rPr>
          <w:rFonts w:ascii="Arial"/>
          <w:sz w:val="2"/>
        </w:rPr>
      </w:pPr>
      <w:r>
        <w:rPr>
          <w:rFonts w:ascii="Arial" w:hAnsi="Arial" w:eastAsia="Arial" w:cs="Arial"/>
          <w:sz w:val="2"/>
          <w:szCs w:val="2"/>
        </w:rPr>
        <w:br w:type="column"/>
      </w:r>
    </w:p>
    <w:p w14:paraId="1596AC3A">
      <w:pPr>
        <w:pStyle w:val="2"/>
        <w:spacing w:before="39" w:line="1670" w:lineRule="exact"/>
      </w:pPr>
      <w:r>
        <w:rPr>
          <w:position w:val="-33"/>
        </w:rPr>
        <w:pict>
          <v:group id="_x0000_s1214" o:spid="_x0000_s1214" o:spt="203" style="height:83.55pt;width:280.05pt;" coordsize="5600,1671">
            <o:lock v:ext="edit"/>
            <v:shape id="_x0000_s1215" o:spid="_x0000_s1215" o:spt="75" type="#_x0000_t75" style="position:absolute;left:0;top:0;height:1671;width:5600;" filled="f" stroked="f" coordsize="21600,21600">
              <v:path/>
              <v:fill on="f" focussize="0,0"/>
              <v:stroke on="f"/>
              <v:imagedata r:id="rId668" o:title=""/>
              <o:lock v:ext="edit" aspectratio="t"/>
            </v:shape>
            <v:shape id="_x0000_s1216" o:spid="_x0000_s1216" o:spt="202" type="#_x0000_t202" style="position:absolute;left:-20;top:-20;height:1711;width:5640;" filled="f" stroked="f" coordsize="21600,21600">
              <v:path/>
              <v:fill on="f" focussize="0,0"/>
              <v:stroke on="f"/>
              <v:imagedata o:title=""/>
              <o:lock v:ext="edit" aspectratio="f"/>
              <v:textbox inset="0mm,0mm,0mm,0mm">
                <w:txbxContent>
                  <w:p w14:paraId="14A11953">
                    <w:pPr>
                      <w:spacing w:before="183" w:line="221" w:lineRule="auto"/>
                      <w:ind w:left="959"/>
                      <w:rPr>
                        <w:rFonts w:ascii="黑体" w:hAnsi="黑体" w:eastAsia="黑体" w:cs="黑体"/>
                        <w:sz w:val="20"/>
                        <w:szCs w:val="20"/>
                      </w:rPr>
                    </w:pPr>
                    <w:r>
                      <w:rPr>
                        <w:rFonts w:ascii="宋体" w:hAnsi="宋体" w:eastAsia="宋体" w:cs="宋体"/>
                        <w:spacing w:val="-13"/>
                        <w:w w:val="98"/>
                        <w:sz w:val="20"/>
                        <w:szCs w:val="20"/>
                      </w:rPr>
                      <w:t>暴露</w:t>
                    </w:r>
                    <w:r>
                      <w:rPr>
                        <w:rFonts w:ascii="宋体" w:hAnsi="宋体" w:eastAsia="宋体" w:cs="宋体"/>
                        <w:spacing w:val="2"/>
                        <w:sz w:val="20"/>
                        <w:szCs w:val="20"/>
                      </w:rPr>
                      <w:t xml:space="preserve">                         </w:t>
                    </w:r>
                    <w:r>
                      <w:rPr>
                        <w:rFonts w:ascii="黑体" w:hAnsi="黑体" w:eastAsia="黑体" w:cs="黑体"/>
                        <w:b/>
                        <w:bCs/>
                        <w:spacing w:val="-13"/>
                        <w:w w:val="98"/>
                        <w:sz w:val="20"/>
                        <w:szCs w:val="20"/>
                      </w:rPr>
                      <w:t>疾病</w:t>
                    </w:r>
                  </w:p>
                  <w:p w14:paraId="7D283933">
                    <w:pPr>
                      <w:spacing w:line="288" w:lineRule="auto"/>
                      <w:rPr>
                        <w:rFonts w:ascii="Arial"/>
                        <w:sz w:val="21"/>
                      </w:rPr>
                    </w:pPr>
                  </w:p>
                  <w:p w14:paraId="4AB990F7">
                    <w:pPr>
                      <w:spacing w:line="288" w:lineRule="auto"/>
                      <w:rPr>
                        <w:rFonts w:ascii="Arial"/>
                        <w:sz w:val="21"/>
                      </w:rPr>
                    </w:pPr>
                  </w:p>
                  <w:p w14:paraId="7D38E225">
                    <w:pPr>
                      <w:spacing w:line="288" w:lineRule="auto"/>
                      <w:rPr>
                        <w:rFonts w:ascii="Arial"/>
                        <w:sz w:val="21"/>
                      </w:rPr>
                    </w:pPr>
                  </w:p>
                  <w:p w14:paraId="06C34AA9">
                    <w:pPr>
                      <w:spacing w:before="65" w:line="227" w:lineRule="auto"/>
                      <w:ind w:left="149"/>
                      <w:rPr>
                        <w:rFonts w:ascii="宋体" w:hAnsi="宋体" w:eastAsia="宋体" w:cs="宋体"/>
                        <w:sz w:val="20"/>
                        <w:szCs w:val="20"/>
                      </w:rPr>
                    </w:pPr>
                    <w:r>
                      <w:rPr>
                        <w:rFonts w:ascii="黑体" w:hAnsi="黑体" w:eastAsia="黑体" w:cs="黑体"/>
                        <w:spacing w:val="-22"/>
                        <w:position w:val="1"/>
                        <w:sz w:val="20"/>
                        <w:szCs w:val="20"/>
                      </w:rPr>
                      <w:t xml:space="preserve">暴露   </w:t>
                    </w:r>
                    <w:r>
                      <w:rPr>
                        <w:rFonts w:ascii="宋体" w:hAnsi="宋体" w:eastAsia="宋体" w:cs="宋体"/>
                        <w:spacing w:val="-22"/>
                        <w:position w:val="-6"/>
                        <w:sz w:val="20"/>
                        <w:szCs w:val="20"/>
                      </w:rPr>
                      <w:t xml:space="preserve">内暴露→  </w:t>
                    </w:r>
                    <w:r>
                      <w:rPr>
                        <w:rFonts w:ascii="宋体" w:hAnsi="宋体" w:eastAsia="宋体" w:cs="宋体"/>
                        <w:spacing w:val="-22"/>
                        <w:position w:val="1"/>
                        <w:sz w:val="20"/>
                        <w:szCs w:val="20"/>
                      </w:rPr>
                      <w:t>早期生物学效应     结构和功能变异    临床疾病</w:t>
                    </w:r>
                  </w:p>
                </w:txbxContent>
              </v:textbox>
            </v:shape>
            <w10:wrap type="none"/>
            <w10:anchorlock/>
          </v:group>
        </w:pict>
      </w:r>
    </w:p>
    <w:p w14:paraId="792122EE">
      <w:pPr>
        <w:pStyle w:val="2"/>
        <w:spacing w:before="126" w:line="221" w:lineRule="auto"/>
        <w:ind w:left="270"/>
        <w:rPr>
          <w:sz w:val="20"/>
          <w:szCs w:val="20"/>
        </w:rPr>
      </w:pPr>
      <w:r>
        <w:rPr>
          <w:spacing w:val="-9"/>
          <w:sz w:val="20"/>
          <w:szCs w:val="20"/>
        </w:rPr>
        <w:t>图17-1</w:t>
      </w:r>
      <w:r>
        <w:rPr>
          <w:spacing w:val="51"/>
          <w:sz w:val="20"/>
          <w:szCs w:val="20"/>
        </w:rPr>
        <w:t xml:space="preserve"> </w:t>
      </w:r>
      <w:r>
        <w:rPr>
          <w:spacing w:val="-9"/>
          <w:sz w:val="20"/>
          <w:szCs w:val="20"/>
        </w:rPr>
        <w:t>传统流行病学和分子流行病学的关系</w:t>
      </w:r>
    </w:p>
    <w:p w14:paraId="36A13937">
      <w:pPr>
        <w:spacing w:line="221" w:lineRule="auto"/>
        <w:rPr>
          <w:sz w:val="20"/>
          <w:szCs w:val="20"/>
        </w:rPr>
        <w:sectPr>
          <w:type w:val="continuous"/>
          <w:pgSz w:w="11900" w:h="16820"/>
          <w:pgMar w:top="400" w:right="914" w:bottom="809" w:left="1499" w:header="0" w:footer="629" w:gutter="0"/>
          <w:cols w:equalWidth="0" w:num="2">
            <w:col w:w="2261" w:space="100"/>
            <w:col w:w="7126"/>
          </w:cols>
        </w:sectPr>
      </w:pPr>
    </w:p>
    <w:p w14:paraId="5A2D6DA4">
      <w:pPr>
        <w:spacing w:line="309" w:lineRule="auto"/>
        <w:rPr>
          <w:rFonts w:ascii="Arial"/>
          <w:sz w:val="21"/>
        </w:rPr>
      </w:pPr>
    </w:p>
    <w:p w14:paraId="6FD74CFE">
      <w:pPr>
        <w:spacing w:before="65" w:line="343" w:lineRule="auto"/>
        <w:ind w:right="635" w:firstLine="399"/>
        <w:jc w:val="both"/>
        <w:rPr>
          <w:rFonts w:ascii="宋体" w:hAnsi="宋体" w:eastAsia="宋体" w:cs="宋体"/>
          <w:sz w:val="20"/>
          <w:szCs w:val="20"/>
        </w:rPr>
      </w:pPr>
      <w:r>
        <w:rPr>
          <w:rFonts w:ascii="宋体" w:hAnsi="宋体" w:eastAsia="宋体" w:cs="宋体"/>
          <w:spacing w:val="10"/>
          <w:sz w:val="20"/>
          <w:szCs w:val="20"/>
        </w:rPr>
        <w:t>传统流行病学与分子流行病学的不同特征可以通过图17-2～图17-5举例说明。如图所示，传</w:t>
      </w:r>
      <w:r>
        <w:rPr>
          <w:rFonts w:ascii="宋体" w:hAnsi="宋体" w:eastAsia="宋体" w:cs="宋体"/>
          <w:spacing w:val="9"/>
          <w:sz w:val="20"/>
          <w:szCs w:val="20"/>
        </w:rPr>
        <w:t xml:space="preserve"> </w:t>
      </w:r>
      <w:r>
        <w:rPr>
          <w:rFonts w:ascii="宋体" w:hAnsi="宋体" w:eastAsia="宋体" w:cs="宋体"/>
          <w:spacing w:val="8"/>
          <w:sz w:val="20"/>
          <w:szCs w:val="20"/>
        </w:rPr>
        <w:t>统流行病学主要采用病例对照研究或者队列研究来评估某种暴露(如吸烟，以</w:t>
      </w:r>
      <w:r>
        <w:rPr>
          <w:rFonts w:ascii="Times New Roman" w:hAnsi="Times New Roman" w:eastAsia="Times New Roman" w:cs="Times New Roman"/>
          <w:spacing w:val="8"/>
          <w:sz w:val="20"/>
          <w:szCs w:val="20"/>
        </w:rPr>
        <w:t xml:space="preserve">E </w:t>
      </w:r>
      <w:r>
        <w:rPr>
          <w:rFonts w:ascii="宋体" w:hAnsi="宋体" w:eastAsia="宋体" w:cs="宋体"/>
          <w:spacing w:val="8"/>
          <w:sz w:val="20"/>
          <w:szCs w:val="20"/>
        </w:rPr>
        <w:t>表示)与疾病(如肺</w:t>
      </w:r>
      <w:r>
        <w:rPr>
          <w:rFonts w:ascii="宋体" w:hAnsi="宋体" w:eastAsia="宋体" w:cs="宋体"/>
          <w:spacing w:val="15"/>
          <w:sz w:val="20"/>
          <w:szCs w:val="20"/>
        </w:rPr>
        <w:t xml:space="preserve"> </w:t>
      </w:r>
      <w:r>
        <w:rPr>
          <w:rFonts w:ascii="宋体" w:hAnsi="宋体" w:eastAsia="宋体" w:cs="宋体"/>
          <w:spacing w:val="5"/>
          <w:sz w:val="20"/>
          <w:szCs w:val="20"/>
        </w:rPr>
        <w:t>癌，以</w:t>
      </w:r>
      <w:r>
        <w:rPr>
          <w:rFonts w:ascii="Times New Roman" w:hAnsi="Times New Roman" w:eastAsia="Times New Roman" w:cs="Times New Roman"/>
          <w:spacing w:val="5"/>
          <w:sz w:val="20"/>
          <w:szCs w:val="20"/>
        </w:rPr>
        <w:t>D</w:t>
      </w:r>
      <w:r>
        <w:rPr>
          <w:rFonts w:ascii="Times New Roman" w:hAnsi="Times New Roman" w:eastAsia="Times New Roman" w:cs="Times New Roman"/>
          <w:spacing w:val="-1"/>
          <w:sz w:val="20"/>
          <w:szCs w:val="20"/>
        </w:rPr>
        <w:t xml:space="preserve"> </w:t>
      </w:r>
      <w:r>
        <w:rPr>
          <w:rFonts w:ascii="宋体" w:hAnsi="宋体" w:eastAsia="宋体" w:cs="宋体"/>
          <w:spacing w:val="5"/>
          <w:sz w:val="20"/>
          <w:szCs w:val="20"/>
        </w:rPr>
        <w:t>表示)之间是否存在关联，暴露信息可以通过问卷调查或者查询医院记录获得。</w:t>
      </w:r>
    </w:p>
    <w:p w14:paraId="689F189A">
      <w:pPr>
        <w:spacing w:before="6" w:line="327" w:lineRule="auto"/>
        <w:ind w:right="628" w:firstLine="399"/>
        <w:rPr>
          <w:rFonts w:ascii="宋体" w:hAnsi="宋体" w:eastAsia="宋体" w:cs="宋体"/>
          <w:sz w:val="20"/>
          <w:szCs w:val="20"/>
        </w:rPr>
      </w:pPr>
      <w:r>
        <w:rPr>
          <w:rFonts w:ascii="宋体" w:hAnsi="宋体" w:eastAsia="宋体" w:cs="宋体"/>
          <w:spacing w:val="13"/>
          <w:sz w:val="20"/>
          <w:szCs w:val="20"/>
        </w:rPr>
        <w:t>传统流行病学主要是探讨</w:t>
      </w:r>
      <w:r>
        <w:rPr>
          <w:rFonts w:ascii="Times New Roman" w:hAnsi="Times New Roman" w:eastAsia="Times New Roman" w:cs="Times New Roman"/>
          <w:spacing w:val="13"/>
          <w:sz w:val="20"/>
          <w:szCs w:val="20"/>
        </w:rPr>
        <w:t>E-D</w:t>
      </w:r>
      <w:r>
        <w:rPr>
          <w:rFonts w:ascii="Times New Roman" w:hAnsi="Times New Roman" w:eastAsia="Times New Roman" w:cs="Times New Roman"/>
          <w:spacing w:val="27"/>
          <w:sz w:val="20"/>
          <w:szCs w:val="20"/>
        </w:rPr>
        <w:t xml:space="preserve"> </w:t>
      </w:r>
      <w:r>
        <w:rPr>
          <w:rFonts w:ascii="宋体" w:hAnsi="宋体" w:eastAsia="宋体" w:cs="宋体"/>
          <w:spacing w:val="13"/>
          <w:sz w:val="20"/>
          <w:szCs w:val="20"/>
        </w:rPr>
        <w:t>(吸烟-肺癌)之间是否存在关联，但无法解释此类关联的机制</w:t>
      </w:r>
      <w:r>
        <w:rPr>
          <w:rFonts w:ascii="宋体" w:hAnsi="宋体" w:eastAsia="宋体" w:cs="宋体"/>
          <w:sz w:val="20"/>
          <w:szCs w:val="20"/>
        </w:rPr>
        <w:t xml:space="preserve"> </w:t>
      </w:r>
      <w:r>
        <w:rPr>
          <w:rFonts w:ascii="宋体" w:hAnsi="宋体" w:eastAsia="宋体" w:cs="宋体"/>
          <w:spacing w:val="8"/>
          <w:sz w:val="20"/>
          <w:szCs w:val="20"/>
        </w:rPr>
        <w:t>(图17-2)。</w:t>
      </w:r>
    </w:p>
    <w:p w14:paraId="309B71BA">
      <w:pPr>
        <w:spacing w:before="2" w:line="269" w:lineRule="auto"/>
        <w:ind w:right="657" w:firstLine="399"/>
        <w:rPr>
          <w:rFonts w:ascii="宋体" w:hAnsi="宋体" w:eastAsia="宋体" w:cs="宋体"/>
          <w:sz w:val="20"/>
          <w:szCs w:val="20"/>
        </w:rPr>
      </w:pPr>
      <w:r>
        <w:rPr>
          <w:rFonts w:ascii="宋体" w:hAnsi="宋体" w:eastAsia="宋体" w:cs="宋体"/>
          <w:spacing w:val="7"/>
          <w:sz w:val="20"/>
          <w:szCs w:val="20"/>
        </w:rPr>
        <w:t>血清可替宁</w:t>
      </w:r>
      <w:r>
        <w:rPr>
          <w:rFonts w:ascii="Times New Roman" w:hAnsi="Times New Roman" w:eastAsia="Times New Roman" w:cs="Times New Roman"/>
          <w:spacing w:val="7"/>
          <w:sz w:val="20"/>
          <w:szCs w:val="20"/>
        </w:rPr>
        <w:t>(</w:t>
      </w:r>
      <w:r>
        <w:rPr>
          <w:rFonts w:ascii="Times New Roman" w:hAnsi="Times New Roman" w:eastAsia="Times New Roman" w:cs="Times New Roman"/>
          <w:sz w:val="20"/>
          <w:szCs w:val="20"/>
        </w:rPr>
        <w:t>cotinine</w:t>
      </w:r>
      <w:r>
        <w:rPr>
          <w:rFonts w:ascii="Times New Roman" w:hAnsi="Times New Roman" w:eastAsia="Times New Roman" w:cs="Times New Roman"/>
          <w:spacing w:val="7"/>
          <w:sz w:val="20"/>
          <w:szCs w:val="20"/>
        </w:rPr>
        <w:t xml:space="preserve">)   </w:t>
      </w:r>
      <w:r>
        <w:rPr>
          <w:rFonts w:ascii="宋体" w:hAnsi="宋体" w:eastAsia="宋体" w:cs="宋体"/>
          <w:spacing w:val="7"/>
          <w:sz w:val="20"/>
          <w:szCs w:val="20"/>
        </w:rPr>
        <w:t>或者尿液中4-(甲基亚硝胺)-1-(3-毗啶基)-1-丁醇</w:t>
      </w:r>
      <w:r>
        <w:rPr>
          <w:rFonts w:ascii="Times New Roman" w:hAnsi="Times New Roman" w:eastAsia="Times New Roman" w:cs="Times New Roman"/>
          <w:spacing w:val="7"/>
          <w:sz w:val="20"/>
          <w:szCs w:val="20"/>
        </w:rPr>
        <w:t>(</w:t>
      </w:r>
      <w:r>
        <w:rPr>
          <w:rFonts w:ascii="Times New Roman" w:hAnsi="Times New Roman" w:eastAsia="Times New Roman" w:cs="Times New Roman"/>
          <w:sz w:val="20"/>
          <w:szCs w:val="20"/>
        </w:rPr>
        <w:t>NNAL</w:t>
      </w:r>
      <w:r>
        <w:rPr>
          <w:rFonts w:ascii="Times New Roman" w:hAnsi="Times New Roman" w:eastAsia="Times New Roman" w:cs="Times New Roman"/>
          <w:spacing w:val="7"/>
          <w:sz w:val="20"/>
          <w:szCs w:val="20"/>
        </w:rPr>
        <w:t>)</w:t>
      </w:r>
      <w:r>
        <w:rPr>
          <w:rFonts w:ascii="Times New Roman" w:hAnsi="Times New Roman" w:eastAsia="Times New Roman" w:cs="Times New Roman"/>
          <w:spacing w:val="39"/>
          <w:w w:val="101"/>
          <w:sz w:val="20"/>
          <w:szCs w:val="20"/>
        </w:rPr>
        <w:t xml:space="preserve"> </w:t>
      </w:r>
      <w:r>
        <w:rPr>
          <w:rFonts w:ascii="宋体" w:hAnsi="宋体" w:eastAsia="宋体" w:cs="宋体"/>
          <w:spacing w:val="7"/>
          <w:sz w:val="20"/>
          <w:szCs w:val="20"/>
        </w:rPr>
        <w:t>可以衡量吸</w:t>
      </w:r>
      <w:r>
        <w:rPr>
          <w:rFonts w:ascii="宋体" w:hAnsi="宋体" w:eastAsia="宋体" w:cs="宋体"/>
          <w:sz w:val="20"/>
          <w:szCs w:val="20"/>
        </w:rPr>
        <w:t xml:space="preserve"> </w:t>
      </w:r>
      <w:r>
        <w:rPr>
          <w:rFonts w:ascii="宋体" w:hAnsi="宋体" w:eastAsia="宋体" w:cs="宋体"/>
          <w:spacing w:val="6"/>
          <w:sz w:val="20"/>
          <w:szCs w:val="20"/>
        </w:rPr>
        <w:t>烟者的暴露水平，而多环芳烃</w:t>
      </w:r>
      <w:r>
        <w:rPr>
          <w:rFonts w:ascii="Times New Roman" w:hAnsi="Times New Roman" w:eastAsia="Times New Roman" w:cs="Times New Roman"/>
          <w:spacing w:val="6"/>
          <w:sz w:val="20"/>
          <w:szCs w:val="20"/>
        </w:rPr>
        <w:t>(</w:t>
      </w:r>
      <w:r>
        <w:rPr>
          <w:rFonts w:ascii="Times New Roman" w:hAnsi="Times New Roman" w:eastAsia="Times New Roman" w:cs="Times New Roman"/>
          <w:sz w:val="20"/>
          <w:szCs w:val="20"/>
        </w:rPr>
        <w:t>PAH</w:t>
      </w:r>
      <w:r>
        <w:rPr>
          <w:rFonts w:ascii="Times New Roman" w:hAnsi="Times New Roman" w:eastAsia="Times New Roman" w:cs="Times New Roman"/>
          <w:spacing w:val="6"/>
          <w:sz w:val="20"/>
          <w:szCs w:val="20"/>
        </w:rPr>
        <w:t xml:space="preserve">)  </w:t>
      </w:r>
      <w:r>
        <w:rPr>
          <w:rFonts w:ascii="宋体" w:hAnsi="宋体" w:eastAsia="宋体" w:cs="宋体"/>
          <w:spacing w:val="6"/>
          <w:sz w:val="20"/>
          <w:szCs w:val="20"/>
        </w:rPr>
        <w:t>加合物可以估计吸烟产生致癌物</w:t>
      </w:r>
      <w:r>
        <w:rPr>
          <w:rFonts w:ascii="宋体" w:hAnsi="宋体" w:eastAsia="宋体" w:cs="宋体"/>
          <w:spacing w:val="5"/>
          <w:sz w:val="20"/>
          <w:szCs w:val="20"/>
        </w:rPr>
        <w:t>的实际剂量(图17-3)。</w:t>
      </w:r>
    </w:p>
    <w:p w14:paraId="4265089A">
      <w:pPr>
        <w:spacing w:line="269" w:lineRule="auto"/>
        <w:rPr>
          <w:rFonts w:ascii="宋体" w:hAnsi="宋体" w:eastAsia="宋体" w:cs="宋体"/>
          <w:sz w:val="20"/>
          <w:szCs w:val="20"/>
        </w:rPr>
        <w:sectPr>
          <w:type w:val="continuous"/>
          <w:pgSz w:w="11900" w:h="16820"/>
          <w:pgMar w:top="400" w:right="914" w:bottom="809" w:left="1499" w:header="0" w:footer="629" w:gutter="0"/>
          <w:cols w:equalWidth="0" w:num="1">
            <w:col w:w="9486"/>
          </w:cols>
        </w:sectPr>
      </w:pPr>
    </w:p>
    <w:p w14:paraId="259B2F1B">
      <w:pPr>
        <w:pStyle w:val="2"/>
        <w:spacing w:before="226" w:line="221" w:lineRule="auto"/>
        <w:ind w:left="720"/>
        <w:rPr>
          <w:sz w:val="20"/>
          <w:szCs w:val="20"/>
        </w:rPr>
      </w:pPr>
      <w:r>
        <w:rPr>
          <w:spacing w:val="-19"/>
          <w:sz w:val="20"/>
          <w:szCs w:val="20"/>
        </w:rPr>
        <w:t>第十七章 分子流行病学</w:t>
      </w:r>
    </w:p>
    <w:p w14:paraId="479860C0">
      <w:pPr>
        <w:spacing w:line="246" w:lineRule="auto"/>
        <w:rPr>
          <w:rFonts w:ascii="Arial"/>
          <w:sz w:val="21"/>
        </w:rPr>
      </w:pPr>
    </w:p>
    <w:p w14:paraId="4241E64A">
      <w:pPr>
        <w:spacing w:line="247" w:lineRule="auto"/>
        <w:rPr>
          <w:rFonts w:ascii="Arial"/>
          <w:sz w:val="21"/>
        </w:rPr>
      </w:pPr>
    </w:p>
    <w:p w14:paraId="10B95C4F">
      <w:pPr>
        <w:spacing w:before="65" w:line="351" w:lineRule="auto"/>
        <w:ind w:left="720" w:right="78" w:firstLine="409"/>
        <w:rPr>
          <w:rFonts w:ascii="宋体" w:hAnsi="宋体" w:eastAsia="宋体" w:cs="宋体"/>
          <w:sz w:val="20"/>
          <w:szCs w:val="20"/>
        </w:rPr>
      </w:pPr>
      <w:r>
        <w:rPr>
          <w:rFonts w:ascii="宋体" w:hAnsi="宋体" w:eastAsia="宋体" w:cs="宋体"/>
          <w:spacing w:val="14"/>
          <w:sz w:val="20"/>
          <w:szCs w:val="20"/>
        </w:rPr>
        <w:t>易感性标志是指可以改变宿主对于暴露的易感或耐受程度的宿主因素，包括遗传或者非遗传</w:t>
      </w:r>
      <w:r>
        <w:rPr>
          <w:rFonts w:ascii="宋体" w:hAnsi="宋体" w:eastAsia="宋体" w:cs="宋体"/>
          <w:sz w:val="20"/>
          <w:szCs w:val="20"/>
        </w:rPr>
        <w:t xml:space="preserve"> </w:t>
      </w:r>
      <w:r>
        <w:rPr>
          <w:rFonts w:ascii="宋体" w:hAnsi="宋体" w:eastAsia="宋体" w:cs="宋体"/>
          <w:spacing w:val="6"/>
          <w:sz w:val="20"/>
          <w:szCs w:val="20"/>
        </w:rPr>
        <w:t>因素，如</w:t>
      </w:r>
      <w:r>
        <w:rPr>
          <w:rFonts w:ascii="Times New Roman" w:hAnsi="Times New Roman" w:eastAsia="Times New Roman" w:cs="Times New Roman"/>
          <w:sz w:val="20"/>
          <w:szCs w:val="20"/>
        </w:rPr>
        <w:t>GSTMI</w:t>
      </w:r>
      <w:r>
        <w:rPr>
          <w:rFonts w:ascii="Times New Roman" w:hAnsi="Times New Roman" w:eastAsia="Times New Roman" w:cs="Times New Roman"/>
          <w:spacing w:val="-15"/>
          <w:sz w:val="20"/>
          <w:szCs w:val="20"/>
        </w:rPr>
        <w:t xml:space="preserve"> </w:t>
      </w:r>
      <w:r>
        <w:rPr>
          <w:rFonts w:ascii="宋体" w:hAnsi="宋体" w:eastAsia="宋体" w:cs="宋体"/>
          <w:spacing w:val="6"/>
          <w:sz w:val="20"/>
          <w:szCs w:val="20"/>
        </w:rPr>
        <w:t>遗传缺陷导致的代谢能力的改变(图1</w:t>
      </w:r>
      <w:r>
        <w:rPr>
          <w:rFonts w:ascii="宋体" w:hAnsi="宋体" w:eastAsia="宋体" w:cs="宋体"/>
          <w:spacing w:val="5"/>
          <w:sz w:val="20"/>
          <w:szCs w:val="20"/>
        </w:rPr>
        <w:t>7-4)。</w:t>
      </w:r>
    </w:p>
    <w:p w14:paraId="0895485C">
      <w:pPr>
        <w:spacing w:before="1" w:line="371" w:lineRule="auto"/>
        <w:ind w:left="720" w:right="55" w:firstLine="409"/>
        <w:rPr>
          <w:rFonts w:ascii="宋体" w:hAnsi="宋体" w:eastAsia="宋体" w:cs="宋体"/>
          <w:sz w:val="20"/>
          <w:szCs w:val="20"/>
        </w:rPr>
      </w:pPr>
      <w:r>
        <w:rPr>
          <w:rFonts w:ascii="宋体" w:hAnsi="宋体" w:eastAsia="宋体" w:cs="宋体"/>
          <w:spacing w:val="9"/>
          <w:sz w:val="20"/>
          <w:szCs w:val="20"/>
        </w:rPr>
        <w:t>疾病或者效应标志的范围比较广泛，包括抑癌基因的突变、细胞学或表观遗传的改变、表达异</w:t>
      </w:r>
      <w:r>
        <w:rPr>
          <w:rFonts w:ascii="宋体" w:hAnsi="宋体" w:eastAsia="宋体" w:cs="宋体"/>
          <w:spacing w:val="12"/>
          <w:sz w:val="20"/>
          <w:szCs w:val="20"/>
        </w:rPr>
        <w:t xml:space="preserve"> </w:t>
      </w:r>
      <w:r>
        <w:rPr>
          <w:rFonts w:ascii="宋体" w:hAnsi="宋体" w:eastAsia="宋体" w:cs="宋体"/>
          <w:spacing w:val="5"/>
          <w:sz w:val="20"/>
          <w:szCs w:val="20"/>
        </w:rPr>
        <w:t>常等(图17-5)。</w:t>
      </w:r>
    </w:p>
    <w:p w14:paraId="31B17907">
      <w:pPr>
        <w:spacing w:line="163" w:lineRule="exact"/>
      </w:pPr>
    </w:p>
    <w:p w14:paraId="49D426FE">
      <w:pPr>
        <w:spacing w:line="163" w:lineRule="exact"/>
        <w:sectPr>
          <w:headerReference r:id="rId283" w:type="default"/>
          <w:footerReference r:id="rId284" w:type="default"/>
          <w:pgSz w:w="11900" w:h="16820"/>
          <w:pgMar w:top="400" w:right="1401" w:bottom="799" w:left="729" w:header="0" w:footer="619" w:gutter="0"/>
          <w:cols w:equalWidth="0" w:num="1">
            <w:col w:w="9769"/>
          </w:cols>
        </w:sectPr>
      </w:pPr>
    </w:p>
    <w:p w14:paraId="751BF76A">
      <w:pPr>
        <w:spacing w:line="343" w:lineRule="auto"/>
        <w:rPr>
          <w:rFonts w:ascii="Arial"/>
          <w:sz w:val="21"/>
        </w:rPr>
      </w:pPr>
    </w:p>
    <w:p w14:paraId="33E2FB96">
      <w:pPr>
        <w:spacing w:line="344" w:lineRule="auto"/>
        <w:rPr>
          <w:rFonts w:ascii="Arial"/>
          <w:sz w:val="21"/>
        </w:rPr>
      </w:pPr>
    </w:p>
    <w:p w14:paraId="5C5AECEE">
      <w:pPr>
        <w:spacing w:before="58" w:line="185" w:lineRule="auto"/>
        <w:ind w:left="1640"/>
        <w:rPr>
          <w:rFonts w:ascii="Times New Roman" w:hAnsi="Times New Roman" w:eastAsia="Times New Roman" w:cs="Times New Roman"/>
          <w:sz w:val="20"/>
          <w:szCs w:val="20"/>
        </w:rPr>
      </w:pPr>
      <w:r>
        <w:rPr>
          <w:rFonts w:ascii="Times New Roman" w:hAnsi="Times New Roman" w:eastAsia="Times New Roman" w:cs="Times New Roman"/>
          <w:spacing w:val="-3"/>
          <w:sz w:val="20"/>
          <w:szCs w:val="20"/>
        </w:rPr>
        <w:t>E</w:t>
      </w:r>
      <w:r>
        <w:rPr>
          <w:rFonts w:ascii="Times New Roman" w:hAnsi="Times New Roman" w:eastAsia="Times New Roman" w:cs="Times New Roman"/>
          <w:spacing w:val="1"/>
          <w:sz w:val="20"/>
          <w:szCs w:val="20"/>
        </w:rPr>
        <w:t xml:space="preserve">                                         </w:t>
      </w:r>
      <w:r>
        <w:rPr>
          <w:rFonts w:ascii="Times New Roman" w:hAnsi="Times New Roman" w:eastAsia="Times New Roman" w:cs="Times New Roman"/>
          <w:sz w:val="20"/>
          <w:szCs w:val="20"/>
        </w:rPr>
        <w:t xml:space="preserve">          </w:t>
      </w:r>
      <w:r>
        <w:rPr>
          <w:rFonts w:ascii="Times New Roman" w:hAnsi="Times New Roman" w:eastAsia="Times New Roman" w:cs="Times New Roman"/>
          <w:spacing w:val="-3"/>
          <w:sz w:val="20"/>
          <w:szCs w:val="20"/>
        </w:rPr>
        <w:t>D</w:t>
      </w:r>
    </w:p>
    <w:p w14:paraId="33CEC4F2">
      <w:pPr>
        <w:pStyle w:val="2"/>
        <w:spacing w:before="214" w:line="229" w:lineRule="auto"/>
        <w:ind w:left="1530"/>
        <w:rPr>
          <w:rFonts w:ascii="宋体" w:hAnsi="宋体" w:eastAsia="宋体" w:cs="宋体"/>
          <w:sz w:val="20"/>
          <w:szCs w:val="20"/>
        </w:rPr>
      </w:pPr>
      <w:r>
        <w:rPr>
          <w:spacing w:val="-14"/>
          <w:sz w:val="20"/>
          <w:szCs w:val="20"/>
        </w:rPr>
        <w:t>吸烟</w:t>
      </w:r>
      <w:r>
        <w:rPr>
          <w:sz w:val="20"/>
          <w:szCs w:val="20"/>
        </w:rPr>
        <w:t xml:space="preserve">                    </w:t>
      </w:r>
      <w:r>
        <w:rPr>
          <w:rFonts w:ascii="宋体" w:hAnsi="宋体" w:eastAsia="宋体" w:cs="宋体"/>
          <w:spacing w:val="-14"/>
          <w:sz w:val="20"/>
          <w:szCs w:val="20"/>
        </w:rPr>
        <w:t>→</w:t>
      </w:r>
      <w:r>
        <w:rPr>
          <w:rFonts w:ascii="宋体" w:hAnsi="宋体" w:eastAsia="宋体" w:cs="宋体"/>
          <w:spacing w:val="-19"/>
          <w:sz w:val="20"/>
          <w:szCs w:val="20"/>
        </w:rPr>
        <w:t xml:space="preserve"> </w:t>
      </w:r>
      <w:r>
        <w:rPr>
          <w:rFonts w:ascii="宋体" w:hAnsi="宋体" w:eastAsia="宋体" w:cs="宋体"/>
          <w:spacing w:val="-14"/>
          <w:sz w:val="20"/>
          <w:szCs w:val="20"/>
        </w:rPr>
        <w:t>肺</w:t>
      </w:r>
      <w:r>
        <w:rPr>
          <w:rFonts w:ascii="宋体" w:hAnsi="宋体" w:eastAsia="宋体" w:cs="宋体"/>
          <w:spacing w:val="-33"/>
          <w:sz w:val="20"/>
          <w:szCs w:val="20"/>
        </w:rPr>
        <w:t xml:space="preserve"> </w:t>
      </w:r>
      <w:r>
        <w:rPr>
          <w:rFonts w:ascii="宋体" w:hAnsi="宋体" w:eastAsia="宋体" w:cs="宋体"/>
          <w:spacing w:val="-14"/>
          <w:sz w:val="20"/>
          <w:szCs w:val="20"/>
        </w:rPr>
        <w:t>癌</w:t>
      </w:r>
    </w:p>
    <w:p w14:paraId="23593DE5">
      <w:pPr>
        <w:pStyle w:val="2"/>
        <w:spacing w:before="131" w:line="221" w:lineRule="auto"/>
        <w:ind w:left="1730"/>
        <w:rPr>
          <w:sz w:val="20"/>
          <w:szCs w:val="20"/>
        </w:rPr>
      </w:pPr>
      <w:r>
        <w:rPr>
          <w:spacing w:val="-5"/>
          <w:sz w:val="20"/>
          <w:szCs w:val="20"/>
        </w:rPr>
        <w:t>图17-2</w:t>
      </w:r>
      <w:r>
        <w:rPr>
          <w:spacing w:val="53"/>
          <w:sz w:val="20"/>
          <w:szCs w:val="20"/>
        </w:rPr>
        <w:t xml:space="preserve"> </w:t>
      </w:r>
      <w:r>
        <w:rPr>
          <w:spacing w:val="-5"/>
          <w:sz w:val="20"/>
          <w:szCs w:val="20"/>
        </w:rPr>
        <w:t>传统流行病学评估方法</w:t>
      </w:r>
    </w:p>
    <w:p w14:paraId="5B501F93">
      <w:pPr>
        <w:spacing w:line="275" w:lineRule="auto"/>
        <w:rPr>
          <w:rFonts w:ascii="Arial"/>
          <w:sz w:val="21"/>
        </w:rPr>
      </w:pPr>
    </w:p>
    <w:p w14:paraId="4D3E31FF">
      <w:pPr>
        <w:spacing w:before="57" w:line="198" w:lineRule="auto"/>
        <w:ind w:left="3020"/>
        <w:rPr>
          <w:rFonts w:ascii="Arial" w:hAnsi="Arial" w:eastAsia="Arial" w:cs="Arial"/>
          <w:sz w:val="20"/>
          <w:szCs w:val="20"/>
        </w:rPr>
      </w:pPr>
      <w:r>
        <w:rPr>
          <w:rFonts w:ascii="Arial" w:hAnsi="Arial" w:eastAsia="Arial" w:cs="Arial"/>
          <w:sz w:val="20"/>
          <w:szCs w:val="20"/>
        </w:rPr>
        <w:t>G</w:t>
      </w:r>
    </w:p>
    <w:p w14:paraId="644A2DB2">
      <w:pPr>
        <w:spacing w:line="256" w:lineRule="auto"/>
        <w:rPr>
          <w:rFonts w:ascii="Arial"/>
          <w:sz w:val="21"/>
        </w:rPr>
      </w:pPr>
    </w:p>
    <w:p w14:paraId="15D82FFD">
      <w:pPr>
        <w:spacing w:before="59" w:line="158" w:lineRule="auto"/>
        <w:ind w:left="1640"/>
        <w:rPr>
          <w:rFonts w:ascii="Times New Roman" w:hAnsi="Times New Roman" w:eastAsia="Times New Roman" w:cs="Times New Roman"/>
          <w:sz w:val="20"/>
          <w:szCs w:val="20"/>
        </w:rPr>
      </w:pPr>
      <w:r>
        <w:rPr>
          <w:rFonts w:ascii="Times New Roman" w:hAnsi="Times New Roman" w:eastAsia="Times New Roman" w:cs="Times New Roman"/>
          <w:spacing w:val="-3"/>
          <w:sz w:val="20"/>
          <w:szCs w:val="20"/>
        </w:rPr>
        <w:t>E</w:t>
      </w:r>
      <w:r>
        <w:rPr>
          <w:rFonts w:ascii="Times New Roman" w:hAnsi="Times New Roman" w:eastAsia="Times New Roman" w:cs="Times New Roman"/>
          <w:sz w:val="20"/>
          <w:szCs w:val="20"/>
        </w:rPr>
        <w:t xml:space="preserve">                                                    </w:t>
      </w:r>
      <w:r>
        <w:rPr>
          <w:rFonts w:ascii="Times New Roman" w:hAnsi="Times New Roman" w:eastAsia="Times New Roman" w:cs="Times New Roman"/>
          <w:spacing w:val="-3"/>
          <w:sz w:val="20"/>
          <w:szCs w:val="20"/>
        </w:rPr>
        <w:t>D</w:t>
      </w:r>
    </w:p>
    <w:p w14:paraId="61FC207C">
      <w:pPr>
        <w:spacing w:line="235" w:lineRule="auto"/>
        <w:ind w:left="2340" w:right="1477" w:firstLine="150"/>
        <w:rPr>
          <w:rFonts w:ascii="宋体" w:hAnsi="宋体" w:eastAsia="宋体" w:cs="宋体"/>
          <w:sz w:val="20"/>
          <w:szCs w:val="20"/>
        </w:rPr>
      </w:pPr>
      <w:r>
        <w:rPr>
          <w:rFonts w:ascii="宋体" w:hAnsi="宋体" w:eastAsia="宋体" w:cs="宋体"/>
          <w:spacing w:val="-19"/>
          <w:w w:val="95"/>
          <w:sz w:val="20"/>
          <w:szCs w:val="20"/>
        </w:rPr>
        <w:t>遗传易感性标志</w:t>
      </w:r>
      <w:r>
        <w:rPr>
          <w:rFonts w:ascii="宋体" w:hAnsi="宋体" w:eastAsia="宋体" w:cs="宋体"/>
          <w:spacing w:val="1"/>
          <w:sz w:val="20"/>
          <w:szCs w:val="20"/>
        </w:rPr>
        <w:t xml:space="preserve">  </w:t>
      </w:r>
      <w:r>
        <w:rPr>
          <w:rFonts w:ascii="Times New Roman" w:hAnsi="Times New Roman" w:eastAsia="Times New Roman" w:cs="Times New Roman"/>
          <w:spacing w:val="-5"/>
          <w:sz w:val="20"/>
          <w:szCs w:val="20"/>
        </w:rPr>
        <w:t>GSTM1(-)</w:t>
      </w:r>
      <w:r>
        <w:rPr>
          <w:rFonts w:ascii="Times New Roman" w:hAnsi="Times New Roman" w:eastAsia="Times New Roman" w:cs="Times New Roman"/>
          <w:spacing w:val="41"/>
          <w:sz w:val="20"/>
          <w:szCs w:val="20"/>
        </w:rPr>
        <w:t xml:space="preserve"> </w:t>
      </w:r>
      <w:r>
        <w:rPr>
          <w:rFonts w:ascii="宋体" w:hAnsi="宋体" w:eastAsia="宋体" w:cs="宋体"/>
          <w:spacing w:val="-5"/>
          <w:sz w:val="20"/>
          <w:szCs w:val="20"/>
        </w:rPr>
        <w:t>基因型</w:t>
      </w:r>
    </w:p>
    <w:p w14:paraId="2AF72C4C">
      <w:pPr>
        <w:pStyle w:val="2"/>
        <w:spacing w:before="271" w:line="229" w:lineRule="auto"/>
        <w:ind w:left="1530"/>
        <w:rPr>
          <w:rFonts w:ascii="宋体" w:hAnsi="宋体" w:eastAsia="宋体" w:cs="宋体"/>
          <w:sz w:val="20"/>
          <w:szCs w:val="20"/>
        </w:rPr>
      </w:pPr>
      <w:r>
        <w:rPr>
          <w:spacing w:val="-15"/>
          <w:sz w:val="20"/>
          <w:szCs w:val="20"/>
        </w:rPr>
        <w:t>吸烟</w:t>
      </w:r>
      <w:r>
        <w:rPr>
          <w:spacing w:val="2"/>
          <w:sz w:val="20"/>
          <w:szCs w:val="20"/>
        </w:rPr>
        <w:t xml:space="preserve">                       </w:t>
      </w:r>
      <w:r>
        <w:rPr>
          <w:rFonts w:ascii="宋体" w:hAnsi="宋体" w:eastAsia="宋体" w:cs="宋体"/>
          <w:spacing w:val="-15"/>
          <w:sz w:val="20"/>
          <w:szCs w:val="20"/>
        </w:rPr>
        <w:t>肺癌</w:t>
      </w:r>
    </w:p>
    <w:p w14:paraId="71BC553A">
      <w:pPr>
        <w:spacing w:line="21" w:lineRule="exact"/>
      </w:pPr>
    </w:p>
    <w:p w14:paraId="6EAB2AD6">
      <w:pPr>
        <w:spacing w:line="14" w:lineRule="auto"/>
        <w:rPr>
          <w:rFonts w:ascii="Arial"/>
          <w:sz w:val="2"/>
        </w:rPr>
      </w:pPr>
      <w:r>
        <w:rPr>
          <w:rFonts w:ascii="Arial" w:hAnsi="Arial" w:eastAsia="Arial" w:cs="Arial"/>
          <w:sz w:val="2"/>
          <w:szCs w:val="2"/>
        </w:rPr>
        <w:br w:type="column"/>
      </w:r>
    </w:p>
    <w:p w14:paraId="60F17590">
      <w:pPr>
        <w:spacing w:before="27" w:line="196" w:lineRule="auto"/>
        <w:ind w:left="209"/>
        <w:rPr>
          <w:rFonts w:ascii="Times New Roman" w:hAnsi="Times New Roman" w:eastAsia="Times New Roman" w:cs="Times New Roman"/>
          <w:sz w:val="20"/>
          <w:szCs w:val="20"/>
        </w:rPr>
      </w:pPr>
      <w:r>
        <w:rPr>
          <w:rFonts w:ascii="Times New Roman" w:hAnsi="Times New Roman" w:eastAsia="Times New Roman" w:cs="Times New Roman"/>
          <w:sz w:val="20"/>
          <w:szCs w:val="20"/>
        </w:rPr>
        <w:t xml:space="preserve">E                     </w:t>
      </w:r>
      <w:r>
        <w:rPr>
          <w:rFonts w:ascii="Times New Roman" w:hAnsi="Times New Roman" w:eastAsia="Times New Roman" w:cs="Times New Roman"/>
          <w:spacing w:val="-1"/>
          <w:sz w:val="20"/>
          <w:szCs w:val="20"/>
        </w:rPr>
        <w:t xml:space="preserve">                                 D</w:t>
      </w:r>
    </w:p>
    <w:p w14:paraId="2AA56EC4">
      <w:pPr>
        <w:spacing w:before="305" w:line="219" w:lineRule="auto"/>
        <w:ind w:left="109"/>
        <w:rPr>
          <w:rFonts w:ascii="宋体" w:hAnsi="宋体" w:eastAsia="宋体" w:cs="宋体"/>
          <w:sz w:val="20"/>
          <w:szCs w:val="20"/>
        </w:rPr>
      </w:pPr>
      <w:r>
        <w:rPr>
          <w:rFonts w:ascii="宋体" w:hAnsi="宋体" w:eastAsia="宋体" w:cs="宋体"/>
          <w:spacing w:val="-14"/>
          <w:w w:val="95"/>
          <w:sz w:val="20"/>
          <w:szCs w:val="20"/>
        </w:rPr>
        <w:t>血清可替宁或者尿液中</w:t>
      </w:r>
      <w:r>
        <w:rPr>
          <w:rFonts w:ascii="Times New Roman" w:hAnsi="Times New Roman" w:eastAsia="Times New Roman" w:cs="Times New Roman"/>
          <w:spacing w:val="-14"/>
          <w:w w:val="95"/>
          <w:sz w:val="20"/>
          <w:szCs w:val="20"/>
        </w:rPr>
        <w:t>NNAL</w:t>
      </w:r>
      <w:r>
        <w:rPr>
          <w:rFonts w:ascii="宋体" w:hAnsi="宋体" w:eastAsia="宋体" w:cs="宋体"/>
          <w:spacing w:val="-14"/>
          <w:w w:val="95"/>
          <w:sz w:val="20"/>
          <w:szCs w:val="20"/>
        </w:rPr>
        <w:t>或</w:t>
      </w:r>
      <w:r>
        <w:rPr>
          <w:rFonts w:ascii="Times New Roman" w:hAnsi="Times New Roman" w:eastAsia="Times New Roman" w:cs="Times New Roman"/>
          <w:spacing w:val="-14"/>
          <w:w w:val="95"/>
          <w:sz w:val="20"/>
          <w:szCs w:val="20"/>
        </w:rPr>
        <w:t>PAH</w:t>
      </w:r>
      <w:r>
        <w:rPr>
          <w:rFonts w:ascii="宋体" w:hAnsi="宋体" w:eastAsia="宋体" w:cs="宋体"/>
          <w:spacing w:val="-14"/>
          <w:w w:val="95"/>
          <w:sz w:val="20"/>
          <w:szCs w:val="20"/>
        </w:rPr>
        <w:t>加合物</w:t>
      </w:r>
    </w:p>
    <w:p w14:paraId="487154A5">
      <w:pPr>
        <w:spacing w:before="241" w:line="171" w:lineRule="auto"/>
        <w:ind w:left="1219"/>
        <w:rPr>
          <w:rFonts w:ascii="宋体" w:hAnsi="宋体" w:eastAsia="宋体" w:cs="宋体"/>
          <w:sz w:val="20"/>
          <w:szCs w:val="20"/>
        </w:rPr>
      </w:pPr>
      <w:r>
        <w:rPr>
          <w:rFonts w:ascii="宋体" w:hAnsi="宋体" w:eastAsia="宋体" w:cs="宋体"/>
          <w:spacing w:val="-15"/>
          <w:sz w:val="20"/>
          <w:szCs w:val="20"/>
        </w:rPr>
        <w:t>暴露标志</w:t>
      </w:r>
    </w:p>
    <w:p w14:paraId="683A0F2F">
      <w:pPr>
        <w:pStyle w:val="2"/>
        <w:spacing w:before="1" w:line="207" w:lineRule="auto"/>
        <w:ind w:left="119"/>
        <w:rPr>
          <w:rFonts w:ascii="宋体" w:hAnsi="宋体" w:eastAsia="宋体" w:cs="宋体"/>
          <w:sz w:val="20"/>
          <w:szCs w:val="20"/>
        </w:rPr>
      </w:pPr>
      <w:r>
        <w:rPr>
          <w:spacing w:val="-12"/>
          <w:sz w:val="20"/>
          <w:szCs w:val="20"/>
        </w:rPr>
        <w:t>吸烟</w:t>
      </w:r>
      <w:r>
        <w:rPr>
          <w:spacing w:val="1"/>
          <w:sz w:val="20"/>
          <w:szCs w:val="20"/>
        </w:rPr>
        <w:t xml:space="preserve">                      </w:t>
      </w:r>
      <w:r>
        <w:rPr>
          <w:sz w:val="20"/>
          <w:szCs w:val="20"/>
        </w:rPr>
        <w:t xml:space="preserve">  </w:t>
      </w:r>
      <w:r>
        <w:rPr>
          <w:rFonts w:ascii="宋体" w:hAnsi="宋体" w:eastAsia="宋体" w:cs="宋体"/>
          <w:spacing w:val="-12"/>
          <w:sz w:val="20"/>
          <w:szCs w:val="20"/>
        </w:rPr>
        <w:t>肺癌</w:t>
      </w:r>
    </w:p>
    <w:p w14:paraId="7AC47AA3">
      <w:pPr>
        <w:pStyle w:val="2"/>
        <w:spacing w:before="131" w:line="222" w:lineRule="auto"/>
        <w:ind w:left="959"/>
        <w:rPr>
          <w:sz w:val="20"/>
          <w:szCs w:val="20"/>
        </w:rPr>
      </w:pPr>
      <w:r>
        <w:rPr>
          <w:spacing w:val="1"/>
          <w:sz w:val="20"/>
          <w:szCs w:val="20"/>
        </w:rPr>
        <w:t>图17-3</w:t>
      </w:r>
      <w:r>
        <w:rPr>
          <w:spacing w:val="93"/>
          <w:sz w:val="20"/>
          <w:szCs w:val="20"/>
        </w:rPr>
        <w:t xml:space="preserve"> </w:t>
      </w:r>
      <w:r>
        <w:rPr>
          <w:spacing w:val="1"/>
          <w:sz w:val="20"/>
          <w:szCs w:val="20"/>
        </w:rPr>
        <w:t>暴露标志</w:t>
      </w:r>
    </w:p>
    <w:p w14:paraId="09EACCAD">
      <w:pPr>
        <w:spacing w:line="283" w:lineRule="auto"/>
        <w:rPr>
          <w:rFonts w:ascii="Arial"/>
          <w:sz w:val="21"/>
        </w:rPr>
      </w:pPr>
    </w:p>
    <w:p w14:paraId="1436CCCA">
      <w:pPr>
        <w:spacing w:line="283" w:lineRule="auto"/>
        <w:rPr>
          <w:rFonts w:ascii="Arial"/>
          <w:sz w:val="21"/>
        </w:rPr>
      </w:pPr>
    </w:p>
    <w:p w14:paraId="031EF4E4">
      <w:pPr>
        <w:spacing w:before="58" w:line="185" w:lineRule="auto"/>
        <w:ind w:left="369"/>
        <w:rPr>
          <w:rFonts w:ascii="Times New Roman" w:hAnsi="Times New Roman" w:eastAsia="Times New Roman" w:cs="Times New Roman"/>
          <w:sz w:val="20"/>
          <w:szCs w:val="20"/>
        </w:rPr>
      </w:pPr>
      <w:r>
        <w:rPr>
          <w:rFonts w:ascii="Times New Roman" w:hAnsi="Times New Roman" w:eastAsia="Times New Roman" w:cs="Times New Roman"/>
          <w:spacing w:val="-3"/>
          <w:sz w:val="20"/>
          <w:szCs w:val="20"/>
        </w:rPr>
        <w:t>E</w:t>
      </w:r>
      <w:r>
        <w:rPr>
          <w:rFonts w:ascii="Times New Roman" w:hAnsi="Times New Roman" w:eastAsia="Times New Roman" w:cs="Times New Roman"/>
          <w:sz w:val="20"/>
          <w:szCs w:val="20"/>
        </w:rPr>
        <w:t xml:space="preserve">                                                     </w:t>
      </w:r>
      <w:r>
        <w:rPr>
          <w:rFonts w:ascii="Times New Roman" w:hAnsi="Times New Roman" w:eastAsia="Times New Roman" w:cs="Times New Roman"/>
          <w:spacing w:val="-3"/>
          <w:sz w:val="20"/>
          <w:szCs w:val="20"/>
        </w:rPr>
        <w:t>D</w:t>
      </w:r>
    </w:p>
    <w:p w14:paraId="372EF27E">
      <w:pPr>
        <w:spacing w:before="271" w:line="212" w:lineRule="auto"/>
        <w:ind w:right="748"/>
        <w:rPr>
          <w:rFonts w:ascii="宋体" w:hAnsi="宋体" w:eastAsia="宋体" w:cs="宋体"/>
          <w:sz w:val="20"/>
          <w:szCs w:val="20"/>
        </w:rPr>
      </w:pPr>
      <w:r>
        <w:rPr>
          <w:rFonts w:ascii="宋体" w:hAnsi="宋体" w:eastAsia="宋体" w:cs="宋体"/>
          <w:spacing w:val="-21"/>
          <w:sz w:val="20"/>
          <w:szCs w:val="20"/>
        </w:rPr>
        <w:t>肿瘤的基因突变，如抑癌基因</w:t>
      </w:r>
      <w:r>
        <w:rPr>
          <w:rFonts w:ascii="Times New Roman" w:hAnsi="Times New Roman" w:eastAsia="Times New Roman" w:cs="Times New Roman"/>
          <w:spacing w:val="-21"/>
          <w:sz w:val="20"/>
          <w:szCs w:val="20"/>
        </w:rPr>
        <w:t>p53G&gt;T</w:t>
      </w:r>
      <w:r>
        <w:rPr>
          <w:rFonts w:ascii="宋体" w:hAnsi="宋体" w:eastAsia="宋体" w:cs="宋体"/>
          <w:spacing w:val="-21"/>
          <w:sz w:val="20"/>
          <w:szCs w:val="20"/>
        </w:rPr>
        <w:t>的颠换；</w:t>
      </w:r>
      <w:r>
        <w:rPr>
          <w:rFonts w:ascii="宋体" w:hAnsi="宋体" w:eastAsia="宋体" w:cs="宋体"/>
          <w:spacing w:val="12"/>
          <w:sz w:val="20"/>
          <w:szCs w:val="20"/>
        </w:rPr>
        <w:t xml:space="preserve"> </w:t>
      </w:r>
      <w:r>
        <w:rPr>
          <w:rFonts w:ascii="宋体" w:hAnsi="宋体" w:eastAsia="宋体" w:cs="宋体"/>
          <w:spacing w:val="-19"/>
          <w:w w:val="98"/>
          <w:sz w:val="20"/>
          <w:szCs w:val="20"/>
        </w:rPr>
        <w:t>细胞遗传学、表观遗传以及基因表达的异常等</w:t>
      </w:r>
    </w:p>
    <w:p w14:paraId="65BD32F2">
      <w:pPr>
        <w:pStyle w:val="2"/>
        <w:spacing w:before="145" w:line="231" w:lineRule="auto"/>
        <w:ind w:left="260"/>
        <w:rPr>
          <w:rFonts w:ascii="宋体" w:hAnsi="宋体" w:eastAsia="宋体" w:cs="宋体"/>
          <w:sz w:val="20"/>
          <w:szCs w:val="20"/>
        </w:rPr>
      </w:pPr>
      <w:r>
        <w:rPr>
          <w:spacing w:val="-13"/>
          <w:position w:val="-4"/>
          <w:sz w:val="20"/>
          <w:szCs w:val="20"/>
        </w:rPr>
        <w:t>吸烟</w:t>
      </w:r>
      <w:r>
        <w:rPr>
          <w:spacing w:val="25"/>
          <w:position w:val="-4"/>
          <w:sz w:val="20"/>
          <w:szCs w:val="20"/>
        </w:rPr>
        <w:t xml:space="preserve">    </w:t>
      </w:r>
      <w:r>
        <w:rPr>
          <w:rFonts w:ascii="宋体" w:hAnsi="宋体" w:eastAsia="宋体" w:cs="宋体"/>
          <w:spacing w:val="-13"/>
          <w:position w:val="2"/>
          <w:sz w:val="20"/>
          <w:szCs w:val="20"/>
        </w:rPr>
        <w:t xml:space="preserve">疾病或效应标志       </w:t>
      </w:r>
      <w:r>
        <w:rPr>
          <w:rFonts w:ascii="宋体" w:hAnsi="宋体" w:eastAsia="宋体" w:cs="宋体"/>
          <w:spacing w:val="-13"/>
          <w:position w:val="-5"/>
          <w:sz w:val="20"/>
          <w:szCs w:val="20"/>
        </w:rPr>
        <w:t>肺癌</w:t>
      </w:r>
    </w:p>
    <w:p w14:paraId="4DB25E09">
      <w:pPr>
        <w:spacing w:line="231" w:lineRule="auto"/>
        <w:rPr>
          <w:rFonts w:ascii="宋体" w:hAnsi="宋体" w:eastAsia="宋体" w:cs="宋体"/>
          <w:sz w:val="20"/>
          <w:szCs w:val="20"/>
        </w:rPr>
        <w:sectPr>
          <w:type w:val="continuous"/>
          <w:pgSz w:w="11900" w:h="16820"/>
          <w:pgMar w:top="400" w:right="1401" w:bottom="799" w:left="729" w:header="0" w:footer="619" w:gutter="0"/>
          <w:cols w:equalWidth="0" w:num="2">
            <w:col w:w="5311" w:space="100"/>
            <w:col w:w="4359"/>
          </w:cols>
        </w:sectPr>
      </w:pPr>
    </w:p>
    <w:p w14:paraId="745EE10D">
      <w:pPr>
        <w:pStyle w:val="2"/>
        <w:spacing w:before="90" w:line="222" w:lineRule="auto"/>
        <w:ind w:left="2200"/>
        <w:rPr>
          <w:sz w:val="20"/>
          <w:szCs w:val="20"/>
        </w:rPr>
      </w:pPr>
      <w:r>
        <w:rPr>
          <w:spacing w:val="-2"/>
          <w:sz w:val="20"/>
          <w:szCs w:val="20"/>
        </w:rPr>
        <w:t>图17-4  易感性标志                      图17-5</w:t>
      </w:r>
      <w:r>
        <w:rPr>
          <w:spacing w:val="79"/>
          <w:sz w:val="20"/>
          <w:szCs w:val="20"/>
        </w:rPr>
        <w:t xml:space="preserve"> </w:t>
      </w:r>
      <w:r>
        <w:rPr>
          <w:spacing w:val="-2"/>
          <w:sz w:val="20"/>
          <w:szCs w:val="20"/>
        </w:rPr>
        <w:t>疾病</w:t>
      </w:r>
      <w:r>
        <w:rPr>
          <w:spacing w:val="-3"/>
          <w:sz w:val="20"/>
          <w:szCs w:val="20"/>
        </w:rPr>
        <w:t>或效应标志</w:t>
      </w:r>
    </w:p>
    <w:p w14:paraId="30FC313B">
      <w:pPr>
        <w:spacing w:line="336" w:lineRule="auto"/>
        <w:rPr>
          <w:rFonts w:ascii="Arial"/>
          <w:sz w:val="21"/>
        </w:rPr>
      </w:pPr>
    </w:p>
    <w:p w14:paraId="37205E34">
      <w:pPr>
        <w:pStyle w:val="2"/>
        <w:spacing w:before="101" w:line="222" w:lineRule="auto"/>
        <w:ind w:left="4044"/>
        <w:outlineLvl w:val="1"/>
        <w:rPr>
          <w:sz w:val="31"/>
          <w:szCs w:val="31"/>
        </w:rPr>
      </w:pPr>
      <w:bookmarkStart w:id="438" w:name="bookmark277"/>
      <w:bookmarkEnd w:id="438"/>
      <w:r>
        <w:rPr>
          <w:b/>
          <w:bCs/>
          <w:spacing w:val="-10"/>
          <w:sz w:val="31"/>
          <w:szCs w:val="31"/>
        </w:rPr>
        <w:t>第二节</w:t>
      </w:r>
      <w:r>
        <w:rPr>
          <w:spacing w:val="125"/>
          <w:sz w:val="31"/>
          <w:szCs w:val="31"/>
        </w:rPr>
        <w:t xml:space="preserve"> </w:t>
      </w:r>
      <w:r>
        <w:rPr>
          <w:b/>
          <w:bCs/>
          <w:spacing w:val="-10"/>
          <w:sz w:val="31"/>
          <w:szCs w:val="31"/>
        </w:rPr>
        <w:t>生物标志</w:t>
      </w:r>
    </w:p>
    <w:p w14:paraId="2883E142">
      <w:pPr>
        <w:spacing w:line="371" w:lineRule="auto"/>
        <w:rPr>
          <w:rFonts w:ascii="Arial"/>
          <w:sz w:val="21"/>
        </w:rPr>
      </w:pPr>
    </w:p>
    <w:p w14:paraId="41F15151">
      <w:pPr>
        <w:spacing w:before="66" w:line="329" w:lineRule="auto"/>
        <w:ind w:left="720" w:firstLine="409"/>
        <w:jc w:val="both"/>
        <w:rPr>
          <w:rFonts w:ascii="宋体" w:hAnsi="宋体" w:eastAsia="宋体" w:cs="宋体"/>
          <w:sz w:val="20"/>
          <w:szCs w:val="20"/>
        </w:rPr>
      </w:pPr>
      <w:r>
        <w:rPr>
          <w:rFonts w:ascii="宋体" w:hAnsi="宋体" w:eastAsia="宋体" w:cs="宋体"/>
          <w:spacing w:val="15"/>
          <w:sz w:val="20"/>
          <w:szCs w:val="20"/>
        </w:rPr>
        <w:t>分子流行病学研究实际上是将生物标志的检</w:t>
      </w:r>
      <w:r>
        <w:rPr>
          <w:rFonts w:ascii="宋体" w:hAnsi="宋体" w:eastAsia="宋体" w:cs="宋体"/>
          <w:spacing w:val="14"/>
          <w:sz w:val="20"/>
          <w:szCs w:val="20"/>
        </w:rPr>
        <w:t>测技术应用于常规的流行病学研究中。分子流行</w:t>
      </w:r>
      <w:r>
        <w:rPr>
          <w:rFonts w:ascii="宋体" w:hAnsi="宋体" w:eastAsia="宋体" w:cs="宋体"/>
          <w:sz w:val="20"/>
          <w:szCs w:val="20"/>
        </w:rPr>
        <w:t xml:space="preserve"> </w:t>
      </w:r>
      <w:r>
        <w:rPr>
          <w:rFonts w:ascii="宋体" w:hAnsi="宋体" w:eastAsia="宋体" w:cs="宋体"/>
          <w:spacing w:val="10"/>
          <w:sz w:val="20"/>
          <w:szCs w:val="20"/>
        </w:rPr>
        <w:t>病学研究中的生物标志总体上可分为三类：暴露生物标志</w:t>
      </w:r>
      <w:r>
        <w:rPr>
          <w:rFonts w:ascii="Times New Roman" w:hAnsi="Times New Roman" w:eastAsia="Times New Roman" w:cs="Times New Roman"/>
          <w:spacing w:val="10"/>
          <w:sz w:val="20"/>
          <w:szCs w:val="20"/>
        </w:rPr>
        <w:t>(</w:t>
      </w:r>
      <w:r>
        <w:rPr>
          <w:rFonts w:ascii="Times New Roman" w:hAnsi="Times New Roman" w:eastAsia="Times New Roman" w:cs="Times New Roman"/>
          <w:sz w:val="20"/>
          <w:szCs w:val="20"/>
        </w:rPr>
        <w:t>exposure</w:t>
      </w:r>
      <w:r>
        <w:rPr>
          <w:rFonts w:ascii="Times New Roman" w:hAnsi="Times New Roman" w:eastAsia="Times New Roman" w:cs="Times New Roman"/>
          <w:spacing w:val="10"/>
          <w:sz w:val="20"/>
          <w:szCs w:val="20"/>
        </w:rPr>
        <w:t xml:space="preserve">      </w:t>
      </w:r>
      <w:r>
        <w:rPr>
          <w:rFonts w:ascii="Times New Roman" w:hAnsi="Times New Roman" w:eastAsia="Times New Roman" w:cs="Times New Roman"/>
          <w:sz w:val="20"/>
          <w:szCs w:val="20"/>
        </w:rPr>
        <w:t>biomarker</w:t>
      </w:r>
      <w:r>
        <w:rPr>
          <w:rFonts w:ascii="Times New Roman" w:hAnsi="Times New Roman" w:eastAsia="Times New Roman" w:cs="Times New Roman"/>
          <w:spacing w:val="10"/>
          <w:sz w:val="20"/>
          <w:szCs w:val="20"/>
        </w:rPr>
        <w:t>),</w:t>
      </w:r>
      <w:r>
        <w:rPr>
          <w:rFonts w:ascii="宋体" w:hAnsi="宋体" w:eastAsia="宋体" w:cs="宋体"/>
          <w:spacing w:val="10"/>
          <w:sz w:val="20"/>
          <w:szCs w:val="20"/>
        </w:rPr>
        <w:t>简称暴露标志；效</w:t>
      </w:r>
      <w:r>
        <w:rPr>
          <w:rFonts w:ascii="宋体" w:hAnsi="宋体" w:eastAsia="宋体" w:cs="宋体"/>
          <w:sz w:val="20"/>
          <w:szCs w:val="20"/>
        </w:rPr>
        <w:t xml:space="preserve"> </w:t>
      </w:r>
      <w:r>
        <w:rPr>
          <w:rFonts w:ascii="宋体" w:hAnsi="宋体" w:eastAsia="宋体" w:cs="宋体"/>
          <w:spacing w:val="8"/>
          <w:sz w:val="20"/>
          <w:szCs w:val="20"/>
        </w:rPr>
        <w:t>应生物标志</w:t>
      </w:r>
      <w:r>
        <w:rPr>
          <w:rFonts w:ascii="Times New Roman" w:hAnsi="Times New Roman" w:eastAsia="Times New Roman" w:cs="Times New Roman"/>
          <w:spacing w:val="8"/>
          <w:sz w:val="20"/>
          <w:szCs w:val="20"/>
        </w:rPr>
        <w:t>(</w:t>
      </w:r>
      <w:r>
        <w:rPr>
          <w:rFonts w:ascii="Times New Roman" w:hAnsi="Times New Roman" w:eastAsia="Times New Roman" w:cs="Times New Roman"/>
          <w:sz w:val="20"/>
          <w:szCs w:val="20"/>
        </w:rPr>
        <w:t>effect</w:t>
      </w:r>
      <w:r>
        <w:rPr>
          <w:rFonts w:ascii="Times New Roman" w:hAnsi="Times New Roman" w:eastAsia="Times New Roman" w:cs="Times New Roman"/>
          <w:spacing w:val="8"/>
          <w:sz w:val="20"/>
          <w:szCs w:val="20"/>
        </w:rPr>
        <w:t xml:space="preserve">     </w:t>
      </w:r>
      <w:r>
        <w:rPr>
          <w:rFonts w:ascii="Times New Roman" w:hAnsi="Times New Roman" w:eastAsia="Times New Roman" w:cs="Times New Roman"/>
          <w:sz w:val="20"/>
          <w:szCs w:val="20"/>
        </w:rPr>
        <w:t>biomarker</w:t>
      </w:r>
      <w:r>
        <w:rPr>
          <w:rFonts w:ascii="Times New Roman" w:hAnsi="Times New Roman" w:eastAsia="Times New Roman" w:cs="Times New Roman"/>
          <w:spacing w:val="8"/>
          <w:sz w:val="20"/>
          <w:szCs w:val="20"/>
        </w:rPr>
        <w:t>),</w:t>
      </w:r>
      <w:r>
        <w:rPr>
          <w:rFonts w:ascii="宋体" w:hAnsi="宋体" w:eastAsia="宋体" w:cs="宋体"/>
          <w:spacing w:val="8"/>
          <w:sz w:val="20"/>
          <w:szCs w:val="20"/>
        </w:rPr>
        <w:t>简称效应标志；易感生物标志</w:t>
      </w:r>
      <w:r>
        <w:rPr>
          <w:rFonts w:ascii="Times New Roman" w:hAnsi="Times New Roman" w:eastAsia="Times New Roman" w:cs="Times New Roman"/>
          <w:spacing w:val="8"/>
          <w:sz w:val="20"/>
          <w:szCs w:val="20"/>
        </w:rPr>
        <w:t>(</w:t>
      </w:r>
      <w:r>
        <w:rPr>
          <w:rFonts w:ascii="Times New Roman" w:hAnsi="Times New Roman" w:eastAsia="Times New Roman" w:cs="Times New Roman"/>
          <w:sz w:val="20"/>
          <w:szCs w:val="20"/>
        </w:rPr>
        <w:t>susceptibility</w:t>
      </w:r>
      <w:r>
        <w:rPr>
          <w:rFonts w:ascii="Times New Roman" w:hAnsi="Times New Roman" w:eastAsia="Times New Roman" w:cs="Times New Roman"/>
          <w:spacing w:val="8"/>
          <w:sz w:val="20"/>
          <w:szCs w:val="20"/>
        </w:rPr>
        <w:t xml:space="preserve">      </w:t>
      </w:r>
      <w:r>
        <w:rPr>
          <w:rFonts w:ascii="Times New Roman" w:hAnsi="Times New Roman" w:eastAsia="Times New Roman" w:cs="Times New Roman"/>
          <w:sz w:val="20"/>
          <w:szCs w:val="20"/>
        </w:rPr>
        <w:t>biomarker</w:t>
      </w:r>
      <w:r>
        <w:rPr>
          <w:rFonts w:ascii="Times New Roman" w:hAnsi="Times New Roman" w:eastAsia="Times New Roman" w:cs="Times New Roman"/>
          <w:spacing w:val="8"/>
          <w:sz w:val="20"/>
          <w:szCs w:val="20"/>
        </w:rPr>
        <w:t>),</w:t>
      </w:r>
      <w:r>
        <w:rPr>
          <w:rFonts w:ascii="宋体" w:hAnsi="宋体" w:eastAsia="宋体" w:cs="宋体"/>
          <w:spacing w:val="8"/>
          <w:sz w:val="20"/>
          <w:szCs w:val="20"/>
        </w:rPr>
        <w:t>简称易感性</w:t>
      </w:r>
      <w:r>
        <w:rPr>
          <w:rFonts w:ascii="宋体" w:hAnsi="宋体" w:eastAsia="宋体" w:cs="宋体"/>
          <w:spacing w:val="4"/>
          <w:sz w:val="20"/>
          <w:szCs w:val="20"/>
        </w:rPr>
        <w:t xml:space="preserve"> </w:t>
      </w:r>
      <w:r>
        <w:rPr>
          <w:rFonts w:ascii="宋体" w:hAnsi="宋体" w:eastAsia="宋体" w:cs="宋体"/>
          <w:spacing w:val="9"/>
          <w:sz w:val="20"/>
          <w:szCs w:val="20"/>
        </w:rPr>
        <w:t>标志。其中，易感性标志可以潜在地修饰从暴露到疾病发生及预后的每一步骤。</w:t>
      </w:r>
    </w:p>
    <w:p w14:paraId="5FD9E42D">
      <w:pPr>
        <w:pStyle w:val="2"/>
        <w:spacing w:before="223" w:line="223" w:lineRule="auto"/>
        <w:ind w:left="1133"/>
        <w:outlineLvl w:val="4"/>
        <w:rPr>
          <w:sz w:val="24"/>
          <w:szCs w:val="24"/>
        </w:rPr>
      </w:pPr>
      <w:bookmarkStart w:id="439" w:name="bookmark278"/>
      <w:bookmarkEnd w:id="439"/>
      <w:r>
        <w:rPr>
          <w:b/>
          <w:bCs/>
          <w:spacing w:val="-1"/>
          <w:sz w:val="24"/>
          <w:szCs w:val="24"/>
        </w:rPr>
        <w:t>一</w:t>
      </w:r>
      <w:r>
        <w:rPr>
          <w:spacing w:val="-58"/>
          <w:sz w:val="24"/>
          <w:szCs w:val="24"/>
        </w:rPr>
        <w:t xml:space="preserve"> </w:t>
      </w:r>
      <w:r>
        <w:rPr>
          <w:b/>
          <w:bCs/>
          <w:spacing w:val="-1"/>
          <w:sz w:val="24"/>
          <w:szCs w:val="24"/>
        </w:rPr>
        <w:t>、暴露标志</w:t>
      </w:r>
    </w:p>
    <w:p w14:paraId="2AAB91D7">
      <w:pPr>
        <w:spacing w:before="268" w:line="330" w:lineRule="auto"/>
        <w:ind w:left="720" w:right="256" w:firstLine="409"/>
        <w:rPr>
          <w:rFonts w:ascii="宋体" w:hAnsi="宋体" w:eastAsia="宋体" w:cs="宋体"/>
          <w:sz w:val="20"/>
          <w:szCs w:val="20"/>
        </w:rPr>
      </w:pPr>
      <w:r>
        <w:rPr>
          <w:rFonts w:ascii="宋体" w:hAnsi="宋体" w:eastAsia="宋体" w:cs="宋体"/>
          <w:spacing w:val="25"/>
          <w:sz w:val="20"/>
          <w:szCs w:val="20"/>
        </w:rPr>
        <w:t>与疾病或健康状态有关的暴露因素的生物标志称为暴露标志，主要</w:t>
      </w:r>
      <w:r>
        <w:rPr>
          <w:rFonts w:ascii="宋体" w:hAnsi="宋体" w:eastAsia="宋体" w:cs="宋体"/>
          <w:spacing w:val="24"/>
          <w:sz w:val="20"/>
          <w:szCs w:val="20"/>
        </w:rPr>
        <w:t>包括外暴露</w:t>
      </w:r>
      <w:r>
        <w:rPr>
          <w:rFonts w:ascii="Times New Roman" w:hAnsi="Times New Roman" w:eastAsia="Times New Roman" w:cs="Times New Roman"/>
          <w:spacing w:val="24"/>
          <w:sz w:val="20"/>
          <w:szCs w:val="20"/>
        </w:rPr>
        <w:t>(</w:t>
      </w:r>
      <w:r>
        <w:rPr>
          <w:rFonts w:ascii="Times New Roman" w:hAnsi="Times New Roman" w:eastAsia="Times New Roman" w:cs="Times New Roman"/>
          <w:sz w:val="20"/>
          <w:szCs w:val="20"/>
        </w:rPr>
        <w:t>external exposure</w:t>
      </w:r>
      <w:r>
        <w:rPr>
          <w:rFonts w:ascii="Times New Roman" w:hAnsi="Times New Roman" w:eastAsia="Times New Roman" w:cs="Times New Roman"/>
          <w:spacing w:val="5"/>
          <w:sz w:val="20"/>
          <w:szCs w:val="20"/>
        </w:rPr>
        <w:t>)</w:t>
      </w:r>
      <w:r>
        <w:rPr>
          <w:rFonts w:ascii="Times New Roman" w:hAnsi="Times New Roman" w:eastAsia="Times New Roman" w:cs="Times New Roman"/>
          <w:spacing w:val="31"/>
          <w:w w:val="101"/>
          <w:sz w:val="20"/>
          <w:szCs w:val="20"/>
        </w:rPr>
        <w:t xml:space="preserve"> </w:t>
      </w:r>
      <w:r>
        <w:rPr>
          <w:rFonts w:ascii="宋体" w:hAnsi="宋体" w:eastAsia="宋体" w:cs="宋体"/>
          <w:spacing w:val="5"/>
          <w:sz w:val="20"/>
          <w:szCs w:val="20"/>
        </w:rPr>
        <w:t>标志、内暴露剂量</w:t>
      </w:r>
      <w:r>
        <w:rPr>
          <w:rFonts w:ascii="Times New Roman" w:hAnsi="Times New Roman" w:eastAsia="Times New Roman" w:cs="Times New Roman"/>
          <w:spacing w:val="5"/>
          <w:sz w:val="20"/>
          <w:szCs w:val="20"/>
        </w:rPr>
        <w:t>(</w:t>
      </w:r>
      <w:r>
        <w:rPr>
          <w:rFonts w:ascii="Times New Roman" w:hAnsi="Times New Roman" w:eastAsia="Times New Roman" w:cs="Times New Roman"/>
          <w:sz w:val="20"/>
          <w:szCs w:val="20"/>
        </w:rPr>
        <w:t>internal</w:t>
      </w:r>
      <w:r>
        <w:rPr>
          <w:rFonts w:ascii="Times New Roman" w:hAnsi="Times New Roman" w:eastAsia="Times New Roman" w:cs="Times New Roman"/>
          <w:spacing w:val="5"/>
          <w:sz w:val="20"/>
          <w:szCs w:val="20"/>
        </w:rPr>
        <w:t xml:space="preserve">    </w:t>
      </w:r>
      <w:r>
        <w:rPr>
          <w:rFonts w:ascii="Times New Roman" w:hAnsi="Times New Roman" w:eastAsia="Times New Roman" w:cs="Times New Roman"/>
          <w:sz w:val="20"/>
          <w:szCs w:val="20"/>
        </w:rPr>
        <w:t>dose</w:t>
      </w:r>
      <w:r>
        <w:rPr>
          <w:rFonts w:ascii="Times New Roman" w:hAnsi="Times New Roman" w:eastAsia="Times New Roman" w:cs="Times New Roman"/>
          <w:spacing w:val="5"/>
          <w:sz w:val="20"/>
          <w:szCs w:val="20"/>
        </w:rPr>
        <w:t>)</w:t>
      </w:r>
      <w:r>
        <w:rPr>
          <w:rFonts w:ascii="宋体" w:hAnsi="宋体" w:eastAsia="宋体" w:cs="宋体"/>
          <w:spacing w:val="5"/>
          <w:sz w:val="20"/>
          <w:szCs w:val="20"/>
        </w:rPr>
        <w:t>标志和生物有效剂量</w:t>
      </w:r>
      <w:r>
        <w:rPr>
          <w:rFonts w:ascii="Times New Roman" w:hAnsi="Times New Roman" w:eastAsia="Times New Roman" w:cs="Times New Roman"/>
          <w:spacing w:val="5"/>
          <w:sz w:val="20"/>
          <w:szCs w:val="20"/>
        </w:rPr>
        <w:t>(</w:t>
      </w:r>
      <w:r>
        <w:rPr>
          <w:rFonts w:ascii="Times New Roman" w:hAnsi="Times New Roman" w:eastAsia="Times New Roman" w:cs="Times New Roman"/>
          <w:sz w:val="20"/>
          <w:szCs w:val="20"/>
        </w:rPr>
        <w:t>biologically</w:t>
      </w:r>
      <w:r>
        <w:rPr>
          <w:rFonts w:ascii="Times New Roman" w:hAnsi="Times New Roman" w:eastAsia="Times New Roman" w:cs="Times New Roman"/>
          <w:spacing w:val="12"/>
          <w:w w:val="101"/>
          <w:sz w:val="20"/>
          <w:szCs w:val="20"/>
        </w:rPr>
        <w:t xml:space="preserve">  </w:t>
      </w:r>
      <w:r>
        <w:rPr>
          <w:rFonts w:ascii="Times New Roman" w:hAnsi="Times New Roman" w:eastAsia="Times New Roman" w:cs="Times New Roman"/>
          <w:sz w:val="20"/>
          <w:szCs w:val="20"/>
        </w:rPr>
        <w:t>effective</w:t>
      </w:r>
      <w:r>
        <w:rPr>
          <w:rFonts w:ascii="Times New Roman" w:hAnsi="Times New Roman" w:eastAsia="Times New Roman" w:cs="Times New Roman"/>
          <w:spacing w:val="11"/>
          <w:sz w:val="20"/>
          <w:szCs w:val="20"/>
        </w:rPr>
        <w:t xml:space="preserve">  </w:t>
      </w:r>
      <w:r>
        <w:rPr>
          <w:rFonts w:ascii="Times New Roman" w:hAnsi="Times New Roman" w:eastAsia="Times New Roman" w:cs="Times New Roman"/>
          <w:sz w:val="20"/>
          <w:szCs w:val="20"/>
        </w:rPr>
        <w:t>dose</w:t>
      </w:r>
      <w:r>
        <w:rPr>
          <w:rFonts w:ascii="Times New Roman" w:hAnsi="Times New Roman" w:eastAsia="Times New Roman" w:cs="Times New Roman"/>
          <w:spacing w:val="5"/>
          <w:sz w:val="20"/>
          <w:szCs w:val="20"/>
        </w:rPr>
        <w:t>)</w:t>
      </w:r>
      <w:r>
        <w:rPr>
          <w:rFonts w:ascii="宋体" w:hAnsi="宋体" w:eastAsia="宋体" w:cs="宋体"/>
          <w:spacing w:val="5"/>
          <w:sz w:val="20"/>
          <w:szCs w:val="20"/>
        </w:rPr>
        <w:t>标志。</w:t>
      </w:r>
    </w:p>
    <w:p w14:paraId="1C59DD45">
      <w:pPr>
        <w:pStyle w:val="2"/>
        <w:spacing w:line="223" w:lineRule="auto"/>
        <w:ind w:left="1130"/>
        <w:rPr>
          <w:sz w:val="24"/>
          <w:szCs w:val="24"/>
        </w:rPr>
      </w:pPr>
      <w:r>
        <w:rPr>
          <w:spacing w:val="-2"/>
          <w:sz w:val="24"/>
          <w:szCs w:val="24"/>
        </w:rPr>
        <w:t>(一)外暴露标志</w:t>
      </w:r>
    </w:p>
    <w:p w14:paraId="2791DDD6">
      <w:pPr>
        <w:spacing w:before="118" w:line="342" w:lineRule="auto"/>
        <w:ind w:left="720" w:right="26" w:firstLine="409"/>
        <w:jc w:val="both"/>
        <w:rPr>
          <w:rFonts w:ascii="宋体" w:hAnsi="宋体" w:eastAsia="宋体" w:cs="宋体"/>
          <w:sz w:val="20"/>
          <w:szCs w:val="20"/>
        </w:rPr>
      </w:pPr>
      <w:r>
        <w:rPr>
          <w:rFonts w:ascii="宋体" w:hAnsi="宋体" w:eastAsia="宋体" w:cs="宋体"/>
          <w:spacing w:val="15"/>
          <w:sz w:val="20"/>
          <w:szCs w:val="20"/>
        </w:rPr>
        <w:t>外暴露标志是指暴露因素进入机体之前的标</w:t>
      </w:r>
      <w:r>
        <w:rPr>
          <w:rFonts w:ascii="宋体" w:hAnsi="宋体" w:eastAsia="宋体" w:cs="宋体"/>
          <w:spacing w:val="14"/>
          <w:sz w:val="20"/>
          <w:szCs w:val="20"/>
        </w:rPr>
        <w:t>志和剂量，可分为生物性的和非生物性的。生物</w:t>
      </w:r>
      <w:r>
        <w:rPr>
          <w:rFonts w:ascii="宋体" w:hAnsi="宋体" w:eastAsia="宋体" w:cs="宋体"/>
          <w:sz w:val="20"/>
          <w:szCs w:val="20"/>
        </w:rPr>
        <w:t xml:space="preserve"> </w:t>
      </w:r>
      <w:r>
        <w:rPr>
          <w:rFonts w:ascii="宋体" w:hAnsi="宋体" w:eastAsia="宋体" w:cs="宋体"/>
          <w:spacing w:val="7"/>
          <w:sz w:val="20"/>
          <w:szCs w:val="20"/>
        </w:rPr>
        <w:t xml:space="preserve">性因素主要有细菌、病毒、寄生虫和毒素等，主要用于病原生物的分子分型/分类和检测鉴定，病原 </w:t>
      </w:r>
      <w:r>
        <w:rPr>
          <w:rFonts w:ascii="宋体" w:hAnsi="宋体" w:eastAsia="宋体" w:cs="宋体"/>
          <w:spacing w:val="15"/>
          <w:sz w:val="20"/>
          <w:szCs w:val="20"/>
        </w:rPr>
        <w:t>生物进化变异规律研究，以及传染病病原体</w:t>
      </w:r>
      <w:r>
        <w:rPr>
          <w:rFonts w:ascii="宋体" w:hAnsi="宋体" w:eastAsia="宋体" w:cs="宋体"/>
          <w:spacing w:val="14"/>
          <w:sz w:val="20"/>
          <w:szCs w:val="20"/>
        </w:rPr>
        <w:t>传播途径的研究等。非生物性因素主要包括外在的化</w:t>
      </w:r>
      <w:r>
        <w:rPr>
          <w:rFonts w:ascii="宋体" w:hAnsi="宋体" w:eastAsia="宋体" w:cs="宋体"/>
          <w:sz w:val="20"/>
          <w:szCs w:val="20"/>
        </w:rPr>
        <w:t xml:space="preserve"> </w:t>
      </w:r>
      <w:r>
        <w:rPr>
          <w:rFonts w:ascii="宋体" w:hAnsi="宋体" w:eastAsia="宋体" w:cs="宋体"/>
          <w:spacing w:val="5"/>
          <w:sz w:val="20"/>
          <w:szCs w:val="20"/>
        </w:rPr>
        <w:t>学、物理因素等，是确定与内暴露和早期生物效应相关的暴露剂量或比例，如吸烟烟雾浓度、环境中</w:t>
      </w:r>
      <w:r>
        <w:rPr>
          <w:rFonts w:ascii="宋体" w:hAnsi="宋体" w:eastAsia="宋体" w:cs="宋体"/>
          <w:spacing w:val="1"/>
          <w:sz w:val="20"/>
          <w:szCs w:val="20"/>
        </w:rPr>
        <w:t xml:space="preserve"> </w:t>
      </w:r>
      <w:r>
        <w:rPr>
          <w:rFonts w:ascii="宋体" w:hAnsi="宋体" w:eastAsia="宋体" w:cs="宋体"/>
          <w:spacing w:val="8"/>
          <w:sz w:val="20"/>
          <w:szCs w:val="20"/>
        </w:rPr>
        <w:t>的有毒元素和化学物质含量、汽车尾气中一</w:t>
      </w:r>
      <w:r>
        <w:rPr>
          <w:rFonts w:ascii="宋体" w:hAnsi="宋体" w:eastAsia="宋体" w:cs="宋体"/>
          <w:spacing w:val="7"/>
          <w:sz w:val="20"/>
          <w:szCs w:val="20"/>
        </w:rPr>
        <w:t>氧化碳和氮氧化物的浓度、空气中大气颗粒物(如</w:t>
      </w:r>
      <w:r>
        <w:rPr>
          <w:rFonts w:ascii="宋体" w:hAnsi="宋体" w:eastAsia="宋体" w:cs="宋体"/>
          <w:sz w:val="20"/>
          <w:szCs w:val="20"/>
        </w:rPr>
        <w:t>PM</w:t>
      </w:r>
      <w:r>
        <w:rPr>
          <w:rFonts w:ascii="Calibri" w:hAnsi="Calibri" w:eastAsia="Calibri" w:cs="Calibri"/>
          <w:spacing w:val="7"/>
          <w:sz w:val="20"/>
          <w:szCs w:val="20"/>
        </w:rPr>
        <w:t>₂</w:t>
      </w:r>
      <w:r>
        <w:rPr>
          <w:rFonts w:ascii="Calibri" w:hAnsi="Calibri" w:eastAsia="Calibri" w:cs="Calibri"/>
          <w:spacing w:val="-29"/>
          <w:sz w:val="20"/>
          <w:szCs w:val="20"/>
        </w:rPr>
        <w:t xml:space="preserve"> </w:t>
      </w:r>
      <w:r>
        <w:rPr>
          <w:rFonts w:ascii="宋体" w:hAnsi="宋体" w:eastAsia="宋体" w:cs="宋体"/>
          <w:spacing w:val="7"/>
          <w:sz w:val="20"/>
          <w:szCs w:val="20"/>
        </w:rPr>
        <w:t>s)</w:t>
      </w:r>
      <w:r>
        <w:rPr>
          <w:rFonts w:ascii="宋体" w:hAnsi="宋体" w:eastAsia="宋体" w:cs="宋体"/>
          <w:sz w:val="20"/>
          <w:szCs w:val="20"/>
        </w:rPr>
        <w:t xml:space="preserve">  </w:t>
      </w:r>
      <w:r>
        <w:rPr>
          <w:rFonts w:ascii="宋体" w:hAnsi="宋体" w:eastAsia="宋体" w:cs="宋体"/>
          <w:spacing w:val="6"/>
          <w:sz w:val="20"/>
          <w:szCs w:val="20"/>
        </w:rPr>
        <w:t>的浓度、饮食因素等，为进一步的内暴露和早期效应研究提供证据。</w:t>
      </w:r>
    </w:p>
    <w:p w14:paraId="28910419">
      <w:pPr>
        <w:pStyle w:val="2"/>
        <w:spacing w:before="15" w:line="223" w:lineRule="auto"/>
        <w:ind w:left="1132"/>
        <w:rPr>
          <w:sz w:val="20"/>
          <w:szCs w:val="20"/>
        </w:rPr>
      </w:pPr>
      <w:r>
        <w:rPr>
          <w:b/>
          <w:bCs/>
          <w:spacing w:val="29"/>
          <w:sz w:val="20"/>
          <w:szCs w:val="20"/>
        </w:rPr>
        <w:t>(二)内暴露剂量标志</w:t>
      </w:r>
    </w:p>
    <w:p w14:paraId="7D236C10">
      <w:pPr>
        <w:spacing w:before="141" w:line="302" w:lineRule="auto"/>
        <w:ind w:left="720" w:right="36" w:firstLine="409"/>
        <w:jc w:val="both"/>
        <w:rPr>
          <w:rFonts w:ascii="宋体" w:hAnsi="宋体" w:eastAsia="宋体" w:cs="宋体"/>
          <w:sz w:val="20"/>
          <w:szCs w:val="20"/>
        </w:rPr>
      </w:pPr>
      <w:r>
        <w:rPr>
          <w:rFonts w:ascii="宋体" w:hAnsi="宋体" w:eastAsia="宋体" w:cs="宋体"/>
          <w:spacing w:val="15"/>
          <w:sz w:val="20"/>
          <w:szCs w:val="20"/>
        </w:rPr>
        <w:t>内暴露剂量标志是指被宿主吸收的外源性暴露</w:t>
      </w:r>
      <w:r>
        <w:rPr>
          <w:rFonts w:ascii="宋体" w:hAnsi="宋体" w:eastAsia="宋体" w:cs="宋体"/>
          <w:spacing w:val="14"/>
          <w:sz w:val="20"/>
          <w:szCs w:val="20"/>
        </w:rPr>
        <w:t>物质的量，这是外源性物质进入人体的可靠依</w:t>
      </w:r>
      <w:r>
        <w:rPr>
          <w:rFonts w:ascii="宋体" w:hAnsi="宋体" w:eastAsia="宋体" w:cs="宋体"/>
          <w:sz w:val="20"/>
          <w:szCs w:val="20"/>
        </w:rPr>
        <w:t xml:space="preserve"> </w:t>
      </w:r>
      <w:r>
        <w:rPr>
          <w:rFonts w:ascii="宋体" w:hAnsi="宋体" w:eastAsia="宋体" w:cs="宋体"/>
          <w:spacing w:val="10"/>
          <w:sz w:val="20"/>
          <w:szCs w:val="20"/>
        </w:rPr>
        <w:t>据。因为内暴露剂量标志测定的精确性、可靠性以及与</w:t>
      </w:r>
      <w:r>
        <w:rPr>
          <w:rFonts w:ascii="宋体" w:hAnsi="宋体" w:eastAsia="宋体" w:cs="宋体"/>
          <w:spacing w:val="9"/>
          <w:sz w:val="20"/>
          <w:szCs w:val="20"/>
        </w:rPr>
        <w:t>个体发病危险的相关性，其已被广泛应用于</w:t>
      </w:r>
      <w:r>
        <w:rPr>
          <w:rFonts w:ascii="宋体" w:hAnsi="宋体" w:eastAsia="宋体" w:cs="宋体"/>
          <w:sz w:val="20"/>
          <w:szCs w:val="20"/>
        </w:rPr>
        <w:t xml:space="preserve"> </w:t>
      </w:r>
      <w:r>
        <w:rPr>
          <w:rFonts w:ascii="宋体" w:hAnsi="宋体" w:eastAsia="宋体" w:cs="宋体"/>
          <w:spacing w:val="15"/>
          <w:sz w:val="20"/>
          <w:szCs w:val="20"/>
        </w:rPr>
        <w:t>测定人体对外源性致癌物和有毒物质的暴露水</w:t>
      </w:r>
      <w:r>
        <w:rPr>
          <w:rFonts w:ascii="宋体" w:hAnsi="宋体" w:eastAsia="宋体" w:cs="宋体"/>
          <w:spacing w:val="14"/>
          <w:sz w:val="20"/>
          <w:szCs w:val="20"/>
        </w:rPr>
        <w:t>平。内暴露剂量不仅能反映多种途径暴露的总体水</w:t>
      </w:r>
      <w:r>
        <w:rPr>
          <w:rFonts w:ascii="宋体" w:hAnsi="宋体" w:eastAsia="宋体" w:cs="宋体"/>
          <w:sz w:val="20"/>
          <w:szCs w:val="20"/>
        </w:rPr>
        <w:t xml:space="preserve"> </w:t>
      </w:r>
      <w:r>
        <w:rPr>
          <w:rFonts w:ascii="宋体" w:hAnsi="宋体" w:eastAsia="宋体" w:cs="宋体"/>
          <w:spacing w:val="10"/>
          <w:sz w:val="20"/>
          <w:szCs w:val="20"/>
        </w:rPr>
        <w:t>平，而且能避免机体在吸收、代谢的生物转运过程中个</w:t>
      </w:r>
      <w:r>
        <w:rPr>
          <w:rFonts w:ascii="宋体" w:hAnsi="宋体" w:eastAsia="宋体" w:cs="宋体"/>
          <w:spacing w:val="9"/>
          <w:sz w:val="20"/>
          <w:szCs w:val="20"/>
        </w:rPr>
        <w:t>体差异的影响，定量地显示体内组织和器官</w:t>
      </w:r>
    </w:p>
    <w:p w14:paraId="49747BA8">
      <w:pPr>
        <w:spacing w:line="302" w:lineRule="auto"/>
        <w:rPr>
          <w:rFonts w:ascii="宋体" w:hAnsi="宋体" w:eastAsia="宋体" w:cs="宋体"/>
          <w:sz w:val="20"/>
          <w:szCs w:val="20"/>
        </w:rPr>
        <w:sectPr>
          <w:type w:val="continuous"/>
          <w:pgSz w:w="11900" w:h="16820"/>
          <w:pgMar w:top="400" w:right="1401" w:bottom="799" w:left="729" w:header="0" w:footer="619" w:gutter="0"/>
          <w:cols w:equalWidth="0" w:num="1">
            <w:col w:w="9769"/>
          </w:cols>
        </w:sectPr>
      </w:pPr>
    </w:p>
    <w:p w14:paraId="1958511B">
      <w:pPr>
        <w:pStyle w:val="2"/>
        <w:spacing w:before="116" w:line="221" w:lineRule="auto"/>
        <w:ind w:left="7010"/>
        <w:rPr>
          <w:sz w:val="20"/>
          <w:szCs w:val="20"/>
        </w:rPr>
      </w:pPr>
      <w:r>
        <w:rPr>
          <w:spacing w:val="-22"/>
          <w:sz w:val="20"/>
          <w:szCs w:val="20"/>
        </w:rPr>
        <w:t>第十七章 分子流行病学</w:t>
      </w:r>
    </w:p>
    <w:p w14:paraId="35F1C5E0">
      <w:pPr>
        <w:spacing w:line="276" w:lineRule="auto"/>
        <w:rPr>
          <w:rFonts w:ascii="Arial"/>
          <w:sz w:val="21"/>
        </w:rPr>
      </w:pPr>
    </w:p>
    <w:p w14:paraId="0CADB36B">
      <w:pPr>
        <w:spacing w:line="276" w:lineRule="auto"/>
        <w:rPr>
          <w:rFonts w:ascii="Arial"/>
          <w:sz w:val="21"/>
        </w:rPr>
      </w:pPr>
    </w:p>
    <w:p w14:paraId="23A76120">
      <w:pPr>
        <w:spacing w:before="65" w:line="219" w:lineRule="auto"/>
        <w:rPr>
          <w:rFonts w:ascii="宋体" w:hAnsi="宋体" w:eastAsia="宋体" w:cs="宋体"/>
          <w:sz w:val="20"/>
          <w:szCs w:val="20"/>
        </w:rPr>
      </w:pPr>
      <w:r>
        <w:rPr>
          <w:rFonts w:ascii="宋体" w:hAnsi="宋体" w:eastAsia="宋体" w:cs="宋体"/>
          <w:spacing w:val="12"/>
          <w:sz w:val="20"/>
          <w:szCs w:val="20"/>
        </w:rPr>
        <w:t>的实际暴露水平和分布。</w:t>
      </w:r>
    </w:p>
    <w:p w14:paraId="02726056">
      <w:pPr>
        <w:spacing w:before="152" w:line="338" w:lineRule="auto"/>
        <w:ind w:right="586" w:firstLine="419"/>
        <w:jc w:val="both"/>
        <w:rPr>
          <w:rFonts w:ascii="宋体" w:hAnsi="宋体" w:eastAsia="宋体" w:cs="宋体"/>
          <w:sz w:val="20"/>
          <w:szCs w:val="20"/>
        </w:rPr>
      </w:pPr>
      <w:r>
        <w:rPr>
          <w:rFonts w:ascii="宋体" w:hAnsi="宋体" w:eastAsia="宋体" w:cs="宋体"/>
          <w:spacing w:val="12"/>
          <w:sz w:val="20"/>
          <w:szCs w:val="20"/>
        </w:rPr>
        <w:t>内暴露剂量标志涉及化学毒物、饮食中的营养素和可能致癌物以及微生物感染等多种指标。</w:t>
      </w:r>
      <w:r>
        <w:rPr>
          <w:rFonts w:ascii="宋体" w:hAnsi="宋体" w:eastAsia="宋体" w:cs="宋体"/>
          <w:spacing w:val="18"/>
          <w:sz w:val="20"/>
          <w:szCs w:val="20"/>
        </w:rPr>
        <w:t xml:space="preserve"> </w:t>
      </w:r>
      <w:r>
        <w:rPr>
          <w:rFonts w:ascii="宋体" w:hAnsi="宋体" w:eastAsia="宋体" w:cs="宋体"/>
          <w:spacing w:val="4"/>
          <w:sz w:val="20"/>
          <w:szCs w:val="20"/>
        </w:rPr>
        <w:t>例如，与吸烟暴露有关的血或尿中的尼古丁</w:t>
      </w:r>
      <w:r>
        <w:rPr>
          <w:rFonts w:ascii="Times New Roman" w:hAnsi="Times New Roman" w:eastAsia="Times New Roman" w:cs="Times New Roman"/>
          <w:spacing w:val="4"/>
          <w:sz w:val="20"/>
          <w:szCs w:val="20"/>
        </w:rPr>
        <w:t>(</w:t>
      </w:r>
      <w:r>
        <w:rPr>
          <w:rFonts w:ascii="Times New Roman" w:hAnsi="Times New Roman" w:eastAsia="Times New Roman" w:cs="Times New Roman"/>
          <w:sz w:val="20"/>
          <w:szCs w:val="20"/>
        </w:rPr>
        <w:t>nicotine</w:t>
      </w:r>
      <w:r>
        <w:rPr>
          <w:rFonts w:ascii="Times New Roman" w:hAnsi="Times New Roman" w:eastAsia="Times New Roman" w:cs="Times New Roman"/>
          <w:spacing w:val="4"/>
          <w:sz w:val="20"/>
          <w:szCs w:val="20"/>
        </w:rPr>
        <w:t>)</w:t>
      </w:r>
      <w:r>
        <w:rPr>
          <w:rFonts w:ascii="Times New Roman" w:hAnsi="Times New Roman" w:eastAsia="Times New Roman" w:cs="Times New Roman"/>
          <w:spacing w:val="8"/>
          <w:sz w:val="20"/>
          <w:szCs w:val="20"/>
        </w:rPr>
        <w:t xml:space="preserve">  </w:t>
      </w:r>
      <w:r>
        <w:rPr>
          <w:rFonts w:ascii="宋体" w:hAnsi="宋体" w:eastAsia="宋体" w:cs="宋体"/>
          <w:spacing w:val="4"/>
          <w:sz w:val="20"/>
          <w:szCs w:val="20"/>
        </w:rPr>
        <w:t>水平、烟草代谢产物可替宁浓度、与多环芳烃</w:t>
      </w:r>
      <w:r>
        <w:rPr>
          <w:rFonts w:ascii="宋体" w:hAnsi="宋体" w:eastAsia="宋体" w:cs="宋体"/>
          <w:spacing w:val="1"/>
          <w:sz w:val="20"/>
          <w:szCs w:val="20"/>
        </w:rPr>
        <w:t xml:space="preserve"> </w:t>
      </w:r>
      <w:r>
        <w:rPr>
          <w:rFonts w:ascii="宋体" w:hAnsi="宋体" w:eastAsia="宋体" w:cs="宋体"/>
          <w:spacing w:val="4"/>
          <w:sz w:val="20"/>
          <w:szCs w:val="20"/>
        </w:rPr>
        <w:t>有关的尿中1-羟基芘(1-</w:t>
      </w:r>
      <w:r>
        <w:rPr>
          <w:rFonts w:ascii="宋体" w:hAnsi="宋体" w:eastAsia="宋体" w:cs="宋体"/>
          <w:sz w:val="20"/>
          <w:szCs w:val="20"/>
        </w:rPr>
        <w:t>hydroxypyrene</w:t>
      </w:r>
      <w:r>
        <w:rPr>
          <w:rFonts w:ascii="宋体" w:hAnsi="宋体" w:eastAsia="宋体" w:cs="宋体"/>
          <w:spacing w:val="4"/>
          <w:sz w:val="20"/>
          <w:szCs w:val="20"/>
        </w:rPr>
        <w:t>)水平、与饮食有关的血液中营养素水平、与工作暴露和</w:t>
      </w:r>
      <w:r>
        <w:rPr>
          <w:rFonts w:ascii="宋体" w:hAnsi="宋体" w:eastAsia="宋体" w:cs="宋体"/>
          <w:spacing w:val="3"/>
          <w:sz w:val="20"/>
          <w:szCs w:val="20"/>
        </w:rPr>
        <w:t>环境</w:t>
      </w:r>
      <w:r>
        <w:rPr>
          <w:rFonts w:ascii="宋体" w:hAnsi="宋体" w:eastAsia="宋体" w:cs="宋体"/>
          <w:sz w:val="20"/>
          <w:szCs w:val="20"/>
        </w:rPr>
        <w:t xml:space="preserve"> </w:t>
      </w:r>
      <w:r>
        <w:rPr>
          <w:rFonts w:ascii="宋体" w:hAnsi="宋体" w:eastAsia="宋体" w:cs="宋体"/>
          <w:spacing w:val="-3"/>
          <w:sz w:val="20"/>
          <w:szCs w:val="20"/>
        </w:rPr>
        <w:t>污染有关的血清或脂肪组织中的杀虫剂DDT(dichloro</w:t>
      </w:r>
      <w:r>
        <w:rPr>
          <w:rFonts w:ascii="宋体" w:hAnsi="宋体" w:eastAsia="宋体" w:cs="宋体"/>
          <w:spacing w:val="-4"/>
          <w:sz w:val="20"/>
          <w:szCs w:val="20"/>
        </w:rPr>
        <w:t>-diphenyl-trichloroethane)含量等。</w:t>
      </w:r>
    </w:p>
    <w:p w14:paraId="0A3E6B58">
      <w:pPr>
        <w:spacing w:before="15" w:line="343" w:lineRule="auto"/>
        <w:ind w:right="649" w:firstLine="419"/>
        <w:jc w:val="both"/>
        <w:rPr>
          <w:rFonts w:ascii="宋体" w:hAnsi="宋体" w:eastAsia="宋体" w:cs="宋体"/>
          <w:sz w:val="20"/>
          <w:szCs w:val="20"/>
        </w:rPr>
      </w:pPr>
      <w:r>
        <w:rPr>
          <w:rFonts w:ascii="宋体" w:hAnsi="宋体" w:eastAsia="宋体" w:cs="宋体"/>
          <w:spacing w:val="11"/>
          <w:sz w:val="20"/>
          <w:szCs w:val="20"/>
        </w:rPr>
        <w:t>在进行研究设计时，要充分考虑暴露物在体内的半衰期。不同的暴</w:t>
      </w:r>
      <w:r>
        <w:rPr>
          <w:rFonts w:ascii="宋体" w:hAnsi="宋体" w:eastAsia="宋体" w:cs="宋体"/>
          <w:spacing w:val="10"/>
          <w:sz w:val="20"/>
          <w:szCs w:val="20"/>
        </w:rPr>
        <w:t>露物在体内的半衰期可能</w:t>
      </w:r>
      <w:r>
        <w:rPr>
          <w:rFonts w:ascii="宋体" w:hAnsi="宋体" w:eastAsia="宋体" w:cs="宋体"/>
          <w:sz w:val="20"/>
          <w:szCs w:val="20"/>
        </w:rPr>
        <w:t xml:space="preserve"> </w:t>
      </w:r>
      <w:r>
        <w:rPr>
          <w:rFonts w:ascii="宋体" w:hAnsi="宋体" w:eastAsia="宋体" w:cs="宋体"/>
          <w:spacing w:val="6"/>
          <w:sz w:val="20"/>
          <w:szCs w:val="20"/>
        </w:rPr>
        <w:t>不同，短的仅有几个小时，长的可持续数十年。体液(血或尿)中潜在致癌物的</w:t>
      </w:r>
      <w:r>
        <w:rPr>
          <w:rFonts w:ascii="宋体" w:hAnsi="宋体" w:eastAsia="宋体" w:cs="宋体"/>
          <w:spacing w:val="5"/>
          <w:sz w:val="20"/>
          <w:szCs w:val="20"/>
        </w:rPr>
        <w:t>半衰期相对较短，测</w:t>
      </w:r>
      <w:r>
        <w:rPr>
          <w:rFonts w:ascii="宋体" w:hAnsi="宋体" w:eastAsia="宋体" w:cs="宋体"/>
          <w:sz w:val="20"/>
          <w:szCs w:val="20"/>
        </w:rPr>
        <w:t xml:space="preserve"> </w:t>
      </w:r>
      <w:r>
        <w:rPr>
          <w:rFonts w:ascii="宋体" w:hAnsi="宋体" w:eastAsia="宋体" w:cs="宋体"/>
          <w:spacing w:val="6"/>
          <w:sz w:val="20"/>
          <w:szCs w:val="20"/>
        </w:rPr>
        <w:t>定结果主要体现目前的暴露水平，可能无法反映以往或长期的暴露状况。</w:t>
      </w:r>
    </w:p>
    <w:p w14:paraId="16404AAE">
      <w:pPr>
        <w:pStyle w:val="2"/>
        <w:spacing w:before="6" w:line="221" w:lineRule="auto"/>
        <w:ind w:left="419"/>
        <w:rPr>
          <w:sz w:val="24"/>
          <w:szCs w:val="24"/>
        </w:rPr>
      </w:pPr>
      <w:r>
        <w:rPr>
          <w:spacing w:val="-1"/>
          <w:sz w:val="24"/>
          <w:szCs w:val="24"/>
        </w:rPr>
        <w:t>(三)生物有效剂量标志</w:t>
      </w:r>
    </w:p>
    <w:p w14:paraId="3711B8BD">
      <w:pPr>
        <w:spacing w:before="78" w:line="342" w:lineRule="auto"/>
        <w:ind w:right="565" w:firstLine="419"/>
        <w:jc w:val="both"/>
        <w:rPr>
          <w:rFonts w:ascii="宋体" w:hAnsi="宋体" w:eastAsia="宋体" w:cs="宋体"/>
          <w:sz w:val="20"/>
          <w:szCs w:val="20"/>
        </w:rPr>
      </w:pPr>
      <w:r>
        <w:rPr>
          <w:rFonts w:ascii="宋体" w:hAnsi="宋体" w:eastAsia="宋体" w:cs="宋体"/>
          <w:spacing w:val="4"/>
          <w:sz w:val="20"/>
          <w:szCs w:val="20"/>
        </w:rPr>
        <w:t>生物有效剂量指经吸收、代谢活化、转运，最终与靶组织细胞内</w:t>
      </w:r>
      <w:r>
        <w:rPr>
          <w:rFonts w:ascii="宋体" w:hAnsi="宋体" w:eastAsia="宋体" w:cs="宋体"/>
          <w:sz w:val="20"/>
          <w:szCs w:val="20"/>
        </w:rPr>
        <w:t>DNA</w:t>
      </w:r>
      <w:r>
        <w:rPr>
          <w:rFonts w:ascii="宋体" w:hAnsi="宋体" w:eastAsia="宋体" w:cs="宋体"/>
          <w:spacing w:val="71"/>
          <w:sz w:val="20"/>
          <w:szCs w:val="20"/>
        </w:rPr>
        <w:t xml:space="preserve"> </w:t>
      </w:r>
      <w:r>
        <w:rPr>
          <w:rFonts w:ascii="宋体" w:hAnsi="宋体" w:eastAsia="宋体" w:cs="宋体"/>
          <w:spacing w:val="4"/>
          <w:sz w:val="20"/>
          <w:szCs w:val="20"/>
        </w:rPr>
        <w:t>或蛋白质相互作用的外源</w:t>
      </w:r>
      <w:r>
        <w:rPr>
          <w:rFonts w:ascii="宋体" w:hAnsi="宋体" w:eastAsia="宋体" w:cs="宋体"/>
          <w:sz w:val="20"/>
          <w:szCs w:val="20"/>
        </w:rPr>
        <w:t xml:space="preserve">  </w:t>
      </w:r>
      <w:r>
        <w:rPr>
          <w:rFonts w:ascii="宋体" w:hAnsi="宋体" w:eastAsia="宋体" w:cs="宋体"/>
          <w:spacing w:val="9"/>
          <w:sz w:val="20"/>
          <w:szCs w:val="20"/>
        </w:rPr>
        <w:t>性物质或其反应产物的含量。它是反映靶细胞分子内接触剂量的生物标志，主要包括</w:t>
      </w:r>
      <w:r>
        <w:rPr>
          <w:rFonts w:ascii="Times New Roman" w:hAnsi="Times New Roman" w:eastAsia="Times New Roman" w:cs="Times New Roman"/>
          <w:sz w:val="20"/>
          <w:szCs w:val="20"/>
        </w:rPr>
        <w:t>DNA</w:t>
      </w:r>
      <w:r>
        <w:rPr>
          <w:rFonts w:ascii="Times New Roman" w:hAnsi="Times New Roman" w:eastAsia="Times New Roman" w:cs="Times New Roman"/>
          <w:spacing w:val="9"/>
          <w:sz w:val="20"/>
          <w:szCs w:val="20"/>
        </w:rPr>
        <w:t xml:space="preserve"> </w:t>
      </w:r>
      <w:r>
        <w:rPr>
          <w:rFonts w:ascii="宋体" w:hAnsi="宋体" w:eastAsia="宋体" w:cs="宋体"/>
          <w:spacing w:val="9"/>
          <w:sz w:val="20"/>
          <w:szCs w:val="20"/>
        </w:rPr>
        <w:t>加合物</w:t>
      </w:r>
      <w:r>
        <w:rPr>
          <w:rFonts w:ascii="宋体" w:hAnsi="宋体" w:eastAsia="宋体" w:cs="宋体"/>
          <w:spacing w:val="16"/>
          <w:sz w:val="20"/>
          <w:szCs w:val="20"/>
        </w:rPr>
        <w:t xml:space="preserve"> </w:t>
      </w:r>
      <w:r>
        <w:rPr>
          <w:rFonts w:ascii="Times New Roman" w:hAnsi="Times New Roman" w:eastAsia="Times New Roman" w:cs="Times New Roman"/>
          <w:spacing w:val="1"/>
          <w:sz w:val="20"/>
          <w:szCs w:val="20"/>
        </w:rPr>
        <w:t>(</w:t>
      </w:r>
      <w:r>
        <w:rPr>
          <w:rFonts w:ascii="Times New Roman" w:hAnsi="Times New Roman" w:eastAsia="Times New Roman" w:cs="Times New Roman"/>
          <w:sz w:val="20"/>
          <w:szCs w:val="20"/>
        </w:rPr>
        <w:t>DNA</w:t>
      </w:r>
      <w:r>
        <w:rPr>
          <w:rFonts w:ascii="Times New Roman" w:hAnsi="Times New Roman" w:eastAsia="Times New Roman" w:cs="Times New Roman"/>
          <w:spacing w:val="1"/>
          <w:sz w:val="20"/>
          <w:szCs w:val="20"/>
        </w:rPr>
        <w:t xml:space="preserve">     </w:t>
      </w:r>
      <w:r>
        <w:rPr>
          <w:rFonts w:ascii="Times New Roman" w:hAnsi="Times New Roman" w:eastAsia="Times New Roman" w:cs="Times New Roman"/>
          <w:sz w:val="20"/>
          <w:szCs w:val="20"/>
        </w:rPr>
        <w:t>adduct</w:t>
      </w:r>
      <w:r>
        <w:rPr>
          <w:rFonts w:ascii="Times New Roman" w:hAnsi="Times New Roman" w:eastAsia="Times New Roman" w:cs="Times New Roman"/>
          <w:spacing w:val="1"/>
          <w:sz w:val="20"/>
          <w:szCs w:val="20"/>
        </w:rPr>
        <w:t>)</w:t>
      </w:r>
      <w:r>
        <w:rPr>
          <w:rFonts w:ascii="宋体" w:hAnsi="宋体" w:eastAsia="宋体" w:cs="宋体"/>
          <w:spacing w:val="1"/>
          <w:sz w:val="20"/>
          <w:szCs w:val="20"/>
        </w:rPr>
        <w:t>、蛋白质加合物</w:t>
      </w:r>
      <w:r>
        <w:rPr>
          <w:rFonts w:ascii="Times New Roman" w:hAnsi="Times New Roman" w:eastAsia="Times New Roman" w:cs="Times New Roman"/>
          <w:spacing w:val="1"/>
          <w:sz w:val="20"/>
          <w:szCs w:val="20"/>
        </w:rPr>
        <w:t>(</w:t>
      </w:r>
      <w:r>
        <w:rPr>
          <w:rFonts w:ascii="Times New Roman" w:hAnsi="Times New Roman" w:eastAsia="Times New Roman" w:cs="Times New Roman"/>
          <w:sz w:val="20"/>
          <w:szCs w:val="20"/>
        </w:rPr>
        <w:t>protein</w:t>
      </w:r>
      <w:r>
        <w:rPr>
          <w:rFonts w:ascii="Times New Roman" w:hAnsi="Times New Roman" w:eastAsia="Times New Roman" w:cs="Times New Roman"/>
          <w:spacing w:val="21"/>
          <w:sz w:val="20"/>
          <w:szCs w:val="20"/>
        </w:rPr>
        <w:t xml:space="preserve">  </w:t>
      </w:r>
      <w:r>
        <w:rPr>
          <w:rFonts w:ascii="Times New Roman" w:hAnsi="Times New Roman" w:eastAsia="Times New Roman" w:cs="Times New Roman"/>
          <w:sz w:val="20"/>
          <w:szCs w:val="20"/>
        </w:rPr>
        <w:t>adduct</w:t>
      </w:r>
      <w:r>
        <w:rPr>
          <w:rFonts w:ascii="Times New Roman" w:hAnsi="Times New Roman" w:eastAsia="Times New Roman" w:cs="Times New Roman"/>
          <w:spacing w:val="1"/>
          <w:sz w:val="20"/>
          <w:szCs w:val="20"/>
        </w:rPr>
        <w:t>)</w:t>
      </w:r>
      <w:r>
        <w:rPr>
          <w:rFonts w:ascii="Times New Roman" w:hAnsi="Times New Roman" w:eastAsia="Times New Roman" w:cs="Times New Roman"/>
          <w:spacing w:val="-29"/>
          <w:sz w:val="20"/>
          <w:szCs w:val="20"/>
        </w:rPr>
        <w:t xml:space="preserve"> </w:t>
      </w:r>
      <w:r>
        <w:rPr>
          <w:rFonts w:ascii="宋体" w:hAnsi="宋体" w:eastAsia="宋体" w:cs="宋体"/>
          <w:spacing w:val="1"/>
          <w:sz w:val="20"/>
          <w:szCs w:val="20"/>
        </w:rPr>
        <w:t>、</w:t>
      </w:r>
      <w:r>
        <w:rPr>
          <w:rFonts w:ascii="Times New Roman" w:hAnsi="Times New Roman" w:eastAsia="Times New Roman" w:cs="Times New Roman"/>
          <w:sz w:val="20"/>
          <w:szCs w:val="20"/>
        </w:rPr>
        <w:t>DNA</w:t>
      </w:r>
      <w:r>
        <w:rPr>
          <w:rFonts w:ascii="Times New Roman" w:hAnsi="Times New Roman" w:eastAsia="Times New Roman" w:cs="Times New Roman"/>
          <w:spacing w:val="1"/>
          <w:sz w:val="20"/>
          <w:szCs w:val="20"/>
        </w:rPr>
        <w:t>-</w:t>
      </w:r>
      <w:r>
        <w:rPr>
          <w:rFonts w:ascii="宋体" w:hAnsi="宋体" w:eastAsia="宋体" w:cs="宋体"/>
          <w:spacing w:val="1"/>
          <w:sz w:val="20"/>
          <w:szCs w:val="20"/>
        </w:rPr>
        <w:t>蛋白交</w:t>
      </w:r>
      <w:r>
        <w:rPr>
          <w:rFonts w:ascii="宋体" w:hAnsi="宋体" w:eastAsia="宋体" w:cs="宋体"/>
          <w:sz w:val="20"/>
          <w:szCs w:val="20"/>
        </w:rPr>
        <w:t>联物</w:t>
      </w:r>
      <w:r>
        <w:rPr>
          <w:rFonts w:ascii="Times New Roman" w:hAnsi="Times New Roman" w:eastAsia="Times New Roman" w:cs="Times New Roman"/>
          <w:sz w:val="20"/>
          <w:szCs w:val="20"/>
        </w:rPr>
        <w:t>(DNA-protein   crosslink)</w:t>
      </w:r>
      <w:r>
        <w:rPr>
          <w:rFonts w:ascii="宋体" w:hAnsi="宋体" w:eastAsia="宋体" w:cs="宋体"/>
          <w:sz w:val="20"/>
          <w:szCs w:val="20"/>
        </w:rPr>
        <w:t xml:space="preserve">等。例如， </w:t>
      </w:r>
      <w:r>
        <w:rPr>
          <w:rFonts w:ascii="宋体" w:hAnsi="宋体" w:eastAsia="宋体" w:cs="宋体"/>
          <w:spacing w:val="5"/>
          <w:sz w:val="20"/>
          <w:szCs w:val="20"/>
        </w:rPr>
        <w:t>香烟中的多环芳烃、芳香胺、亚硝胺等被认为是引起机体形成</w:t>
      </w:r>
      <w:r>
        <w:rPr>
          <w:rFonts w:ascii="Times New Roman" w:hAnsi="Times New Roman" w:eastAsia="Times New Roman" w:cs="Times New Roman"/>
          <w:sz w:val="20"/>
          <w:szCs w:val="20"/>
        </w:rPr>
        <w:t>DNA</w:t>
      </w:r>
      <w:r>
        <w:rPr>
          <w:rFonts w:ascii="宋体" w:hAnsi="宋体" w:eastAsia="宋体" w:cs="宋体"/>
          <w:spacing w:val="5"/>
          <w:sz w:val="20"/>
          <w:szCs w:val="20"/>
        </w:rPr>
        <w:t>加合物的主要</w:t>
      </w:r>
      <w:r>
        <w:rPr>
          <w:rFonts w:ascii="宋体" w:hAnsi="宋体" w:eastAsia="宋体" w:cs="宋体"/>
          <w:spacing w:val="4"/>
          <w:sz w:val="20"/>
          <w:szCs w:val="20"/>
        </w:rPr>
        <w:t>致癌物；饮水和食</w:t>
      </w:r>
      <w:r>
        <w:rPr>
          <w:rFonts w:ascii="宋体" w:hAnsi="宋体" w:eastAsia="宋体" w:cs="宋体"/>
          <w:sz w:val="20"/>
          <w:szCs w:val="20"/>
        </w:rPr>
        <w:t xml:space="preserve">  </w:t>
      </w:r>
      <w:r>
        <w:rPr>
          <w:rFonts w:ascii="宋体" w:hAnsi="宋体" w:eastAsia="宋体" w:cs="宋体"/>
          <w:spacing w:val="1"/>
          <w:sz w:val="20"/>
          <w:szCs w:val="20"/>
        </w:rPr>
        <w:t xml:space="preserve">物中硝酸盐、亚硝酸盐、胺类化合物摄人量与胃癌有关，前者在体内形成亚硝基化合物，并可与细胞  </w:t>
      </w:r>
      <w:r>
        <w:rPr>
          <w:rFonts w:ascii="宋体" w:hAnsi="宋体" w:eastAsia="宋体" w:cs="宋体"/>
          <w:spacing w:val="6"/>
          <w:sz w:val="20"/>
          <w:szCs w:val="20"/>
        </w:rPr>
        <w:t>内</w:t>
      </w:r>
      <w:r>
        <w:rPr>
          <w:rFonts w:ascii="宋体" w:hAnsi="宋体" w:eastAsia="宋体" w:cs="宋体"/>
          <w:spacing w:val="-38"/>
          <w:sz w:val="20"/>
          <w:szCs w:val="20"/>
        </w:rPr>
        <w:t xml:space="preserve"> </w:t>
      </w:r>
      <w:r>
        <w:rPr>
          <w:rFonts w:ascii="Times New Roman" w:hAnsi="Times New Roman" w:eastAsia="Times New Roman" w:cs="Times New Roman"/>
          <w:sz w:val="20"/>
          <w:szCs w:val="20"/>
        </w:rPr>
        <w:t>DNA</w:t>
      </w:r>
      <w:r>
        <w:rPr>
          <w:rFonts w:ascii="Times New Roman" w:hAnsi="Times New Roman" w:eastAsia="Times New Roman" w:cs="Times New Roman"/>
          <w:spacing w:val="6"/>
          <w:sz w:val="20"/>
          <w:szCs w:val="20"/>
        </w:rPr>
        <w:t xml:space="preserve"> </w:t>
      </w:r>
      <w:r>
        <w:rPr>
          <w:rFonts w:ascii="宋体" w:hAnsi="宋体" w:eastAsia="宋体" w:cs="宋体"/>
          <w:spacing w:val="6"/>
          <w:sz w:val="20"/>
          <w:szCs w:val="20"/>
        </w:rPr>
        <w:t>形成加合物。因此，</w:t>
      </w:r>
      <w:r>
        <w:rPr>
          <w:rFonts w:ascii="Times New Roman" w:hAnsi="Times New Roman" w:eastAsia="Times New Roman" w:cs="Times New Roman"/>
          <w:sz w:val="20"/>
          <w:szCs w:val="20"/>
        </w:rPr>
        <w:t>DNA</w:t>
      </w:r>
      <w:r>
        <w:rPr>
          <w:rFonts w:ascii="Times New Roman" w:hAnsi="Times New Roman" w:eastAsia="Times New Roman" w:cs="Times New Roman"/>
          <w:spacing w:val="6"/>
          <w:sz w:val="20"/>
          <w:szCs w:val="20"/>
        </w:rPr>
        <w:t xml:space="preserve"> </w:t>
      </w:r>
      <w:r>
        <w:rPr>
          <w:rFonts w:ascii="宋体" w:hAnsi="宋体" w:eastAsia="宋体" w:cs="宋体"/>
          <w:spacing w:val="6"/>
          <w:sz w:val="20"/>
          <w:szCs w:val="20"/>
        </w:rPr>
        <w:t>加合物水平可以视</w:t>
      </w:r>
      <w:r>
        <w:rPr>
          <w:rFonts w:ascii="宋体" w:hAnsi="宋体" w:eastAsia="宋体" w:cs="宋体"/>
          <w:spacing w:val="5"/>
          <w:sz w:val="20"/>
          <w:szCs w:val="20"/>
        </w:rPr>
        <w:t>为上述致癌物的生物有效剂量标志，为进一步</w:t>
      </w:r>
      <w:r>
        <w:rPr>
          <w:rFonts w:ascii="宋体" w:hAnsi="宋体" w:eastAsia="宋体" w:cs="宋体"/>
          <w:sz w:val="20"/>
          <w:szCs w:val="20"/>
        </w:rPr>
        <w:t xml:space="preserve">  </w:t>
      </w:r>
      <w:r>
        <w:rPr>
          <w:rFonts w:ascii="宋体" w:hAnsi="宋体" w:eastAsia="宋体" w:cs="宋体"/>
          <w:spacing w:val="10"/>
          <w:sz w:val="20"/>
          <w:szCs w:val="20"/>
        </w:rPr>
        <w:t>研究其与致癌效应的关系提供了生物学基础。如果形成的</w:t>
      </w:r>
      <w:r>
        <w:rPr>
          <w:rFonts w:ascii="Times New Roman" w:hAnsi="Times New Roman" w:eastAsia="Times New Roman" w:cs="Times New Roman"/>
          <w:sz w:val="20"/>
          <w:szCs w:val="20"/>
        </w:rPr>
        <w:t>DNA</w:t>
      </w:r>
      <w:r>
        <w:rPr>
          <w:rFonts w:ascii="宋体" w:hAnsi="宋体" w:eastAsia="宋体" w:cs="宋体"/>
          <w:spacing w:val="10"/>
          <w:sz w:val="20"/>
          <w:szCs w:val="20"/>
        </w:rPr>
        <w:t>加合物没有被及时修复，其可导致</w:t>
      </w:r>
      <w:r>
        <w:rPr>
          <w:rFonts w:ascii="宋体" w:hAnsi="宋体" w:eastAsia="宋体" w:cs="宋体"/>
          <w:spacing w:val="6"/>
          <w:sz w:val="20"/>
          <w:szCs w:val="20"/>
        </w:rPr>
        <w:t xml:space="preserve">  </w:t>
      </w:r>
      <w:r>
        <w:rPr>
          <w:rFonts w:ascii="宋体" w:hAnsi="宋体" w:eastAsia="宋体" w:cs="宋体"/>
          <w:spacing w:val="7"/>
          <w:sz w:val="20"/>
          <w:szCs w:val="20"/>
        </w:rPr>
        <w:t>基因突变及染色体损伤，进而促使肿瘤的发生。</w:t>
      </w:r>
    </w:p>
    <w:p w14:paraId="676BFD8B">
      <w:pPr>
        <w:pStyle w:val="2"/>
        <w:spacing w:before="217" w:line="221" w:lineRule="auto"/>
        <w:ind w:left="423"/>
        <w:outlineLvl w:val="4"/>
        <w:rPr>
          <w:sz w:val="24"/>
          <w:szCs w:val="24"/>
        </w:rPr>
      </w:pPr>
      <w:bookmarkStart w:id="440" w:name="bookmark279"/>
      <w:bookmarkEnd w:id="440"/>
      <w:r>
        <w:rPr>
          <w:b/>
          <w:bCs/>
          <w:spacing w:val="3"/>
          <w:sz w:val="24"/>
          <w:szCs w:val="24"/>
        </w:rPr>
        <w:t>二</w:t>
      </w:r>
      <w:r>
        <w:rPr>
          <w:spacing w:val="-41"/>
          <w:sz w:val="24"/>
          <w:szCs w:val="24"/>
        </w:rPr>
        <w:t xml:space="preserve"> </w:t>
      </w:r>
      <w:r>
        <w:rPr>
          <w:b/>
          <w:bCs/>
          <w:spacing w:val="3"/>
          <w:sz w:val="24"/>
          <w:szCs w:val="24"/>
        </w:rPr>
        <w:t>、效应标志</w:t>
      </w:r>
    </w:p>
    <w:p w14:paraId="0E9B0A2F">
      <w:pPr>
        <w:spacing w:before="286" w:line="332" w:lineRule="auto"/>
        <w:ind w:right="565" w:firstLine="419"/>
        <w:jc w:val="both"/>
        <w:rPr>
          <w:rFonts w:ascii="宋体" w:hAnsi="宋体" w:eastAsia="宋体" w:cs="宋体"/>
          <w:sz w:val="20"/>
          <w:szCs w:val="20"/>
        </w:rPr>
      </w:pPr>
      <w:r>
        <w:rPr>
          <w:rFonts w:ascii="宋体" w:hAnsi="宋体" w:eastAsia="宋体" w:cs="宋体"/>
          <w:spacing w:val="11"/>
          <w:sz w:val="20"/>
          <w:szCs w:val="20"/>
        </w:rPr>
        <w:t>宿主暴露后产生功能性或结构性变化，并进一步引起疾病进入亚临床阶段和疾</w:t>
      </w:r>
      <w:r>
        <w:rPr>
          <w:rFonts w:ascii="宋体" w:hAnsi="宋体" w:eastAsia="宋体" w:cs="宋体"/>
          <w:spacing w:val="10"/>
          <w:sz w:val="20"/>
          <w:szCs w:val="20"/>
        </w:rPr>
        <w:t>病发生过程的</w:t>
      </w:r>
      <w:r>
        <w:rPr>
          <w:rFonts w:ascii="宋体" w:hAnsi="宋体" w:eastAsia="宋体" w:cs="宋体"/>
          <w:sz w:val="20"/>
          <w:szCs w:val="20"/>
        </w:rPr>
        <w:t xml:space="preserve">  </w:t>
      </w:r>
      <w:r>
        <w:rPr>
          <w:rFonts w:ascii="宋体" w:hAnsi="宋体" w:eastAsia="宋体" w:cs="宋体"/>
          <w:spacing w:val="-8"/>
          <w:sz w:val="20"/>
          <w:szCs w:val="20"/>
        </w:rPr>
        <w:t>生物标志称为效应标志，主要包括早期生物效应标志(early biological r</w:t>
      </w:r>
      <w:r>
        <w:rPr>
          <w:rFonts w:ascii="宋体" w:hAnsi="宋体" w:eastAsia="宋体" w:cs="宋体"/>
          <w:spacing w:val="-9"/>
          <w:sz w:val="20"/>
          <w:szCs w:val="20"/>
        </w:rPr>
        <w:t>esponse biomarker)、结构和/或</w:t>
      </w:r>
      <w:r>
        <w:rPr>
          <w:rFonts w:ascii="宋体" w:hAnsi="宋体" w:eastAsia="宋体" w:cs="宋体"/>
          <w:sz w:val="20"/>
          <w:szCs w:val="20"/>
        </w:rPr>
        <w:t xml:space="preserve">  功能改变标志</w:t>
      </w:r>
      <w:r>
        <w:rPr>
          <w:rFonts w:ascii="Times New Roman" w:hAnsi="Times New Roman" w:eastAsia="Times New Roman" w:cs="Times New Roman"/>
          <w:sz w:val="20"/>
          <w:szCs w:val="20"/>
        </w:rPr>
        <w:t>(altered</w:t>
      </w:r>
      <w:r>
        <w:rPr>
          <w:rFonts w:ascii="Times New Roman" w:hAnsi="Times New Roman" w:eastAsia="Times New Roman" w:cs="Times New Roman"/>
          <w:spacing w:val="33"/>
          <w:sz w:val="20"/>
          <w:szCs w:val="20"/>
        </w:rPr>
        <w:t xml:space="preserve"> </w:t>
      </w:r>
      <w:r>
        <w:rPr>
          <w:rFonts w:ascii="Times New Roman" w:hAnsi="Times New Roman" w:eastAsia="Times New Roman" w:cs="Times New Roman"/>
          <w:sz w:val="20"/>
          <w:szCs w:val="20"/>
        </w:rPr>
        <w:t>structure</w:t>
      </w:r>
      <w:r>
        <w:rPr>
          <w:rFonts w:ascii="Times New Roman" w:hAnsi="Times New Roman" w:eastAsia="Times New Roman" w:cs="Times New Roman"/>
          <w:spacing w:val="30"/>
          <w:w w:val="101"/>
          <w:sz w:val="20"/>
          <w:szCs w:val="20"/>
        </w:rPr>
        <w:t xml:space="preserve"> </w:t>
      </w:r>
      <w:r>
        <w:rPr>
          <w:rFonts w:ascii="Times New Roman" w:hAnsi="Times New Roman" w:eastAsia="Times New Roman" w:cs="Times New Roman"/>
          <w:sz w:val="20"/>
          <w:szCs w:val="20"/>
        </w:rPr>
        <w:t>and/or</w:t>
      </w:r>
      <w:r>
        <w:rPr>
          <w:rFonts w:ascii="Times New Roman" w:hAnsi="Times New Roman" w:eastAsia="Times New Roman" w:cs="Times New Roman"/>
          <w:spacing w:val="30"/>
          <w:w w:val="101"/>
          <w:sz w:val="20"/>
          <w:szCs w:val="20"/>
        </w:rPr>
        <w:t xml:space="preserve"> </w:t>
      </w:r>
      <w:r>
        <w:rPr>
          <w:rFonts w:ascii="Times New Roman" w:hAnsi="Times New Roman" w:eastAsia="Times New Roman" w:cs="Times New Roman"/>
          <w:sz w:val="20"/>
          <w:szCs w:val="20"/>
        </w:rPr>
        <w:t>function</w:t>
      </w:r>
      <w:r>
        <w:rPr>
          <w:rFonts w:ascii="Times New Roman" w:hAnsi="Times New Roman" w:eastAsia="Times New Roman" w:cs="Times New Roman"/>
          <w:spacing w:val="23"/>
          <w:sz w:val="20"/>
          <w:szCs w:val="20"/>
        </w:rPr>
        <w:t xml:space="preserve"> </w:t>
      </w:r>
      <w:r>
        <w:rPr>
          <w:rFonts w:ascii="Times New Roman" w:hAnsi="Times New Roman" w:eastAsia="Times New Roman" w:cs="Times New Roman"/>
          <w:sz w:val="20"/>
          <w:szCs w:val="20"/>
        </w:rPr>
        <w:t>bioma</w:t>
      </w:r>
      <w:r>
        <w:rPr>
          <w:rFonts w:ascii="Times New Roman" w:hAnsi="Times New Roman" w:eastAsia="Times New Roman" w:cs="Times New Roman"/>
          <w:spacing w:val="-1"/>
          <w:sz w:val="20"/>
          <w:szCs w:val="20"/>
        </w:rPr>
        <w:t>rker)</w:t>
      </w:r>
      <w:r>
        <w:rPr>
          <w:rFonts w:ascii="宋体" w:hAnsi="宋体" w:eastAsia="宋体" w:cs="宋体"/>
          <w:spacing w:val="-1"/>
          <w:sz w:val="20"/>
          <w:szCs w:val="20"/>
        </w:rPr>
        <w:t>、临床疾病标志</w:t>
      </w:r>
      <w:r>
        <w:rPr>
          <w:rFonts w:ascii="Times New Roman" w:hAnsi="Times New Roman" w:eastAsia="Times New Roman" w:cs="Times New Roman"/>
          <w:spacing w:val="-1"/>
          <w:sz w:val="20"/>
          <w:szCs w:val="20"/>
        </w:rPr>
        <w:t>(clinical</w:t>
      </w:r>
      <w:r>
        <w:rPr>
          <w:rFonts w:ascii="Times New Roman" w:hAnsi="Times New Roman" w:eastAsia="Times New Roman" w:cs="Times New Roman"/>
          <w:spacing w:val="35"/>
          <w:w w:val="101"/>
          <w:sz w:val="20"/>
          <w:szCs w:val="20"/>
        </w:rPr>
        <w:t xml:space="preserve"> </w:t>
      </w:r>
      <w:r>
        <w:rPr>
          <w:rFonts w:ascii="Times New Roman" w:hAnsi="Times New Roman" w:eastAsia="Times New Roman" w:cs="Times New Roman"/>
          <w:spacing w:val="-1"/>
          <w:sz w:val="20"/>
          <w:szCs w:val="20"/>
        </w:rPr>
        <w:t>disease</w:t>
      </w:r>
      <w:r>
        <w:rPr>
          <w:rFonts w:ascii="Times New Roman" w:hAnsi="Times New Roman" w:eastAsia="Times New Roman" w:cs="Times New Roman"/>
          <w:spacing w:val="29"/>
          <w:sz w:val="20"/>
          <w:szCs w:val="20"/>
        </w:rPr>
        <w:t xml:space="preserve"> </w:t>
      </w:r>
      <w:r>
        <w:rPr>
          <w:rFonts w:ascii="Times New Roman" w:hAnsi="Times New Roman" w:eastAsia="Times New Roman" w:cs="Times New Roman"/>
          <w:spacing w:val="-1"/>
          <w:sz w:val="20"/>
          <w:szCs w:val="20"/>
        </w:rPr>
        <w:t>biomarker)</w:t>
      </w:r>
      <w:r>
        <w:rPr>
          <w:rFonts w:ascii="宋体" w:hAnsi="宋体" w:eastAsia="宋体" w:cs="宋体"/>
          <w:spacing w:val="-1"/>
          <w:sz w:val="20"/>
          <w:szCs w:val="20"/>
        </w:rPr>
        <w:t>等。</w:t>
      </w:r>
    </w:p>
    <w:p w14:paraId="7F389F27">
      <w:pPr>
        <w:pStyle w:val="2"/>
        <w:spacing w:before="1" w:line="221" w:lineRule="auto"/>
        <w:ind w:left="419"/>
        <w:rPr>
          <w:sz w:val="24"/>
          <w:szCs w:val="24"/>
        </w:rPr>
      </w:pPr>
      <w:r>
        <w:rPr>
          <w:spacing w:val="-5"/>
          <w:sz w:val="24"/>
          <w:szCs w:val="24"/>
        </w:rPr>
        <w:t>(一)早期生物效应标志</w:t>
      </w:r>
    </w:p>
    <w:p w14:paraId="66E149E6">
      <w:pPr>
        <w:spacing w:before="123" w:line="341" w:lineRule="auto"/>
        <w:ind w:right="564" w:firstLine="419"/>
        <w:jc w:val="both"/>
        <w:rPr>
          <w:rFonts w:ascii="宋体" w:hAnsi="宋体" w:eastAsia="宋体" w:cs="宋体"/>
          <w:sz w:val="20"/>
          <w:szCs w:val="20"/>
        </w:rPr>
      </w:pPr>
      <w:r>
        <w:rPr>
          <w:rFonts w:ascii="宋体" w:hAnsi="宋体" w:eastAsia="宋体" w:cs="宋体"/>
          <w:spacing w:val="6"/>
          <w:sz w:val="20"/>
          <w:szCs w:val="20"/>
        </w:rPr>
        <w:t>结合到靶组织上的外源性物质的持续作用，引起组织</w:t>
      </w:r>
      <w:r>
        <w:rPr>
          <w:rFonts w:ascii="宋体" w:hAnsi="宋体" w:eastAsia="宋体" w:cs="宋体"/>
          <w:spacing w:val="5"/>
          <w:sz w:val="20"/>
          <w:szCs w:val="20"/>
        </w:rPr>
        <w:t>细胞的生物改变，从而产生疾病前期的生</w:t>
      </w:r>
      <w:r>
        <w:rPr>
          <w:rFonts w:ascii="宋体" w:hAnsi="宋体" w:eastAsia="宋体" w:cs="宋体"/>
          <w:sz w:val="20"/>
          <w:szCs w:val="20"/>
        </w:rPr>
        <w:t xml:space="preserve">  </w:t>
      </w:r>
      <w:r>
        <w:rPr>
          <w:rFonts w:ascii="宋体" w:hAnsi="宋体" w:eastAsia="宋体" w:cs="宋体"/>
          <w:spacing w:val="6"/>
          <w:sz w:val="20"/>
          <w:szCs w:val="20"/>
        </w:rPr>
        <w:t>物标志，称为早期生物效应标志。由于早期生物效应常是暴露因素直接作用的结果，</w:t>
      </w:r>
      <w:r>
        <w:rPr>
          <w:rFonts w:ascii="宋体" w:hAnsi="宋体" w:eastAsia="宋体" w:cs="宋体"/>
          <w:spacing w:val="5"/>
          <w:sz w:val="20"/>
          <w:szCs w:val="20"/>
        </w:rPr>
        <w:t>应用此类标志</w:t>
      </w:r>
      <w:r>
        <w:rPr>
          <w:rFonts w:ascii="宋体" w:hAnsi="宋体" w:eastAsia="宋体" w:cs="宋体"/>
          <w:sz w:val="20"/>
          <w:szCs w:val="20"/>
        </w:rPr>
        <w:t xml:space="preserve">  </w:t>
      </w:r>
      <w:r>
        <w:rPr>
          <w:rFonts w:ascii="宋体" w:hAnsi="宋体" w:eastAsia="宋体" w:cs="宋体"/>
          <w:spacing w:val="11"/>
          <w:sz w:val="20"/>
          <w:szCs w:val="20"/>
        </w:rPr>
        <w:t>物可以更好地研究不同暴露因素的作用强度和作用机制。早</w:t>
      </w:r>
      <w:r>
        <w:rPr>
          <w:rFonts w:ascii="宋体" w:hAnsi="宋体" w:eastAsia="宋体" w:cs="宋体"/>
          <w:spacing w:val="10"/>
          <w:sz w:val="20"/>
          <w:szCs w:val="20"/>
        </w:rPr>
        <w:t>期生物效应标志主要包括细胞毒性反</w:t>
      </w:r>
      <w:r>
        <w:rPr>
          <w:rFonts w:ascii="宋体" w:hAnsi="宋体" w:eastAsia="宋体" w:cs="宋体"/>
          <w:sz w:val="20"/>
          <w:szCs w:val="20"/>
        </w:rPr>
        <w:t xml:space="preserve">  应，染色体畸变，</w:t>
      </w:r>
      <w:r>
        <w:rPr>
          <w:rFonts w:ascii="Times New Roman" w:hAnsi="Times New Roman" w:eastAsia="Times New Roman" w:cs="Times New Roman"/>
          <w:sz w:val="20"/>
          <w:szCs w:val="20"/>
        </w:rPr>
        <w:t>DNA</w:t>
      </w:r>
      <w:r>
        <w:rPr>
          <w:rFonts w:ascii="Times New Roman" w:hAnsi="Times New Roman" w:eastAsia="Times New Roman" w:cs="Times New Roman"/>
          <w:spacing w:val="-29"/>
          <w:sz w:val="20"/>
          <w:szCs w:val="20"/>
        </w:rPr>
        <w:t xml:space="preserve"> </w:t>
      </w:r>
      <w:r>
        <w:rPr>
          <w:rFonts w:ascii="宋体" w:hAnsi="宋体" w:eastAsia="宋体" w:cs="宋体"/>
          <w:sz w:val="20"/>
          <w:szCs w:val="20"/>
        </w:rPr>
        <w:t>、</w:t>
      </w:r>
      <w:r>
        <w:rPr>
          <w:rFonts w:ascii="Times New Roman" w:hAnsi="Times New Roman" w:eastAsia="Times New Roman" w:cs="Times New Roman"/>
          <w:sz w:val="20"/>
          <w:szCs w:val="20"/>
        </w:rPr>
        <w:t>RNA</w:t>
      </w:r>
      <w:r>
        <w:rPr>
          <w:rFonts w:ascii="宋体" w:hAnsi="宋体" w:eastAsia="宋体" w:cs="宋体"/>
          <w:sz w:val="20"/>
          <w:szCs w:val="20"/>
        </w:rPr>
        <w:t>和蛋白表达，</w:t>
      </w:r>
      <w:r>
        <w:rPr>
          <w:rFonts w:ascii="Times New Roman" w:hAnsi="Times New Roman" w:eastAsia="Times New Roman" w:cs="Times New Roman"/>
          <w:sz w:val="20"/>
          <w:szCs w:val="20"/>
        </w:rPr>
        <w:t>DNA</w:t>
      </w:r>
      <w:r>
        <w:rPr>
          <w:rFonts w:ascii="宋体" w:hAnsi="宋体" w:eastAsia="宋体" w:cs="宋体"/>
          <w:sz w:val="20"/>
          <w:szCs w:val="20"/>
        </w:rPr>
        <w:t>甲基化水平，以及细胞功能的一些早期变化</w:t>
      </w:r>
      <w:r>
        <w:rPr>
          <w:rFonts w:ascii="宋体" w:hAnsi="宋体" w:eastAsia="宋体" w:cs="宋体"/>
          <w:spacing w:val="-1"/>
          <w:sz w:val="20"/>
          <w:szCs w:val="20"/>
        </w:rPr>
        <w:t>(如</w:t>
      </w:r>
      <w:r>
        <w:rPr>
          <w:rFonts w:ascii="Times New Roman" w:hAnsi="Times New Roman" w:eastAsia="Times New Roman" w:cs="Times New Roman"/>
          <w:spacing w:val="-1"/>
          <w:sz w:val="20"/>
          <w:szCs w:val="20"/>
        </w:rPr>
        <w:t>DNA</w:t>
      </w:r>
      <w:r>
        <w:rPr>
          <w:rFonts w:ascii="Times New Roman" w:hAnsi="Times New Roman" w:eastAsia="Times New Roman" w:cs="Times New Roman"/>
          <w:sz w:val="20"/>
          <w:szCs w:val="20"/>
        </w:rPr>
        <w:t xml:space="preserve">   </w:t>
      </w:r>
      <w:r>
        <w:rPr>
          <w:rFonts w:ascii="宋体" w:hAnsi="宋体" w:eastAsia="宋体" w:cs="宋体"/>
          <w:spacing w:val="7"/>
          <w:sz w:val="20"/>
          <w:szCs w:val="20"/>
        </w:rPr>
        <w:t>修复以及免疫功能的改变)。以肺癌为例，许多研究表明，染色体3</w:t>
      </w:r>
      <w:r>
        <w:rPr>
          <w:rFonts w:ascii="Times New Roman" w:hAnsi="Times New Roman" w:eastAsia="Times New Roman" w:cs="Times New Roman"/>
          <w:spacing w:val="7"/>
          <w:sz w:val="20"/>
          <w:szCs w:val="20"/>
        </w:rPr>
        <w:t>p</w:t>
      </w:r>
      <w:r>
        <w:rPr>
          <w:rFonts w:ascii="宋体" w:hAnsi="宋体" w:eastAsia="宋体" w:cs="宋体"/>
          <w:spacing w:val="7"/>
          <w:sz w:val="20"/>
          <w:szCs w:val="20"/>
        </w:rPr>
        <w:t>、</w:t>
      </w:r>
      <w:r>
        <w:rPr>
          <w:rFonts w:ascii="Times New Roman" w:hAnsi="Times New Roman" w:eastAsia="Times New Roman" w:cs="Times New Roman"/>
          <w:spacing w:val="7"/>
          <w:sz w:val="20"/>
          <w:szCs w:val="20"/>
        </w:rPr>
        <w:t>9p</w:t>
      </w:r>
      <w:r>
        <w:rPr>
          <w:rFonts w:ascii="宋体" w:hAnsi="宋体" w:eastAsia="宋体" w:cs="宋体"/>
          <w:spacing w:val="7"/>
          <w:sz w:val="20"/>
          <w:szCs w:val="20"/>
        </w:rPr>
        <w:t>、</w:t>
      </w:r>
      <w:r>
        <w:rPr>
          <w:rFonts w:ascii="Times New Roman" w:hAnsi="Times New Roman" w:eastAsia="Times New Roman" w:cs="Times New Roman"/>
          <w:spacing w:val="7"/>
          <w:sz w:val="20"/>
          <w:szCs w:val="20"/>
        </w:rPr>
        <w:t>13q</w:t>
      </w:r>
      <w:r>
        <w:rPr>
          <w:rFonts w:ascii="宋体" w:hAnsi="宋体" w:eastAsia="宋体" w:cs="宋体"/>
          <w:spacing w:val="7"/>
          <w:sz w:val="20"/>
          <w:szCs w:val="20"/>
        </w:rPr>
        <w:t>和17</w:t>
      </w:r>
      <w:r>
        <w:rPr>
          <w:rFonts w:ascii="Times New Roman" w:hAnsi="Times New Roman" w:eastAsia="Times New Roman" w:cs="Times New Roman"/>
          <w:spacing w:val="7"/>
          <w:sz w:val="20"/>
          <w:szCs w:val="20"/>
        </w:rPr>
        <w:t>q</w:t>
      </w:r>
      <w:r>
        <w:rPr>
          <w:rFonts w:ascii="宋体" w:hAnsi="宋体" w:eastAsia="宋体" w:cs="宋体"/>
          <w:spacing w:val="7"/>
          <w:sz w:val="20"/>
          <w:szCs w:val="20"/>
        </w:rPr>
        <w:t>的杂合性缺失</w:t>
      </w:r>
      <w:r>
        <w:rPr>
          <w:rFonts w:ascii="宋体" w:hAnsi="宋体" w:eastAsia="宋体" w:cs="宋体"/>
          <w:spacing w:val="6"/>
          <w:sz w:val="20"/>
          <w:szCs w:val="20"/>
        </w:rPr>
        <w:t xml:space="preserve">  与肺癌高度相关，但不同病理类型的肺癌及肺癌的不同阶段，具体情况可能</w:t>
      </w:r>
      <w:r>
        <w:rPr>
          <w:rFonts w:ascii="宋体" w:hAnsi="宋体" w:eastAsia="宋体" w:cs="宋体"/>
          <w:spacing w:val="5"/>
          <w:sz w:val="20"/>
          <w:szCs w:val="20"/>
        </w:rPr>
        <w:t>不同。</w:t>
      </w:r>
      <w:r>
        <w:rPr>
          <w:rFonts w:ascii="宋体" w:hAnsi="宋体" w:eastAsia="宋体" w:cs="宋体"/>
          <w:spacing w:val="-49"/>
          <w:sz w:val="20"/>
          <w:szCs w:val="20"/>
        </w:rPr>
        <w:t xml:space="preserve"> </w:t>
      </w:r>
      <w:r>
        <w:rPr>
          <w:rFonts w:ascii="Times New Roman" w:hAnsi="Times New Roman" w:eastAsia="Times New Roman" w:cs="Times New Roman"/>
          <w:sz w:val="20"/>
          <w:szCs w:val="20"/>
        </w:rPr>
        <w:t>KRAS</w:t>
      </w:r>
      <w:r>
        <w:rPr>
          <w:rFonts w:ascii="Times New Roman" w:hAnsi="Times New Roman" w:eastAsia="Times New Roman" w:cs="Times New Roman"/>
          <w:spacing w:val="-29"/>
          <w:sz w:val="20"/>
          <w:szCs w:val="20"/>
        </w:rPr>
        <w:t xml:space="preserve"> </w:t>
      </w:r>
      <w:r>
        <w:rPr>
          <w:rFonts w:ascii="宋体" w:hAnsi="宋体" w:eastAsia="宋体" w:cs="宋体"/>
          <w:spacing w:val="5"/>
          <w:sz w:val="20"/>
          <w:szCs w:val="20"/>
        </w:rPr>
        <w:t>、</w:t>
      </w:r>
      <w:r>
        <w:rPr>
          <w:rFonts w:ascii="Times New Roman" w:hAnsi="Times New Roman" w:eastAsia="Times New Roman" w:cs="Times New Roman"/>
          <w:sz w:val="20"/>
          <w:szCs w:val="20"/>
        </w:rPr>
        <w:t>EGFR</w:t>
      </w:r>
      <w:r>
        <w:rPr>
          <w:rFonts w:ascii="宋体" w:hAnsi="宋体" w:eastAsia="宋体" w:cs="宋体"/>
          <w:spacing w:val="5"/>
          <w:sz w:val="20"/>
          <w:szCs w:val="20"/>
        </w:rPr>
        <w:t>、</w:t>
      </w:r>
      <w:r>
        <w:rPr>
          <w:rFonts w:ascii="宋体" w:hAnsi="宋体" w:eastAsia="宋体" w:cs="宋体"/>
          <w:sz w:val="20"/>
          <w:szCs w:val="20"/>
        </w:rPr>
        <w:t xml:space="preserve"> </w:t>
      </w:r>
      <w:r>
        <w:rPr>
          <w:rFonts w:ascii="Times New Roman" w:hAnsi="Times New Roman" w:eastAsia="Times New Roman" w:cs="Times New Roman"/>
          <w:sz w:val="20"/>
          <w:szCs w:val="20"/>
        </w:rPr>
        <w:t>ALK</w:t>
      </w:r>
      <w:r>
        <w:rPr>
          <w:rFonts w:ascii="宋体" w:hAnsi="宋体" w:eastAsia="宋体" w:cs="宋体"/>
          <w:spacing w:val="8"/>
          <w:sz w:val="20"/>
          <w:szCs w:val="20"/>
        </w:rPr>
        <w:t>等基因的突变被证明与肺癌的发生发展密切相关。此外，</w:t>
      </w:r>
      <w:r>
        <w:rPr>
          <w:rFonts w:ascii="Times New Roman" w:hAnsi="Times New Roman" w:eastAsia="Times New Roman" w:cs="Times New Roman"/>
          <w:sz w:val="20"/>
          <w:szCs w:val="20"/>
        </w:rPr>
        <w:t>pl</w:t>
      </w:r>
      <w:r>
        <w:rPr>
          <w:rFonts w:ascii="Times New Roman" w:hAnsi="Times New Roman" w:eastAsia="Times New Roman" w:cs="Times New Roman"/>
          <w:spacing w:val="8"/>
          <w:sz w:val="20"/>
          <w:szCs w:val="20"/>
        </w:rPr>
        <w:t>6</w:t>
      </w:r>
      <w:r>
        <w:rPr>
          <w:rFonts w:ascii="Times New Roman" w:hAnsi="Times New Roman" w:eastAsia="Times New Roman" w:cs="Times New Roman"/>
          <w:spacing w:val="45"/>
          <w:sz w:val="20"/>
          <w:szCs w:val="20"/>
        </w:rPr>
        <w:t xml:space="preserve"> </w:t>
      </w:r>
      <w:r>
        <w:rPr>
          <w:rFonts w:ascii="宋体" w:hAnsi="宋体" w:eastAsia="宋体" w:cs="宋体"/>
          <w:spacing w:val="7"/>
          <w:sz w:val="20"/>
          <w:szCs w:val="20"/>
        </w:rPr>
        <w:t>基因启动子区域甲基化水平的改</w:t>
      </w:r>
      <w:r>
        <w:rPr>
          <w:rFonts w:ascii="宋体" w:hAnsi="宋体" w:eastAsia="宋体" w:cs="宋体"/>
          <w:sz w:val="20"/>
          <w:szCs w:val="20"/>
        </w:rPr>
        <w:t xml:space="preserve"> </w:t>
      </w:r>
      <w:r>
        <w:rPr>
          <w:rFonts w:ascii="宋体" w:hAnsi="宋体" w:eastAsia="宋体" w:cs="宋体"/>
          <w:spacing w:val="3"/>
          <w:sz w:val="20"/>
          <w:szCs w:val="20"/>
        </w:rPr>
        <w:t>变是肺癌、胃癌、结直肠癌等常见肿瘤的早期效应标志。</w:t>
      </w:r>
    </w:p>
    <w:p w14:paraId="59F3EA33">
      <w:pPr>
        <w:spacing w:before="26" w:line="333" w:lineRule="auto"/>
        <w:ind w:right="565" w:firstLine="419"/>
        <w:jc w:val="both"/>
        <w:rPr>
          <w:rFonts w:ascii="宋体" w:hAnsi="宋体" w:eastAsia="宋体" w:cs="宋体"/>
          <w:sz w:val="20"/>
          <w:szCs w:val="20"/>
        </w:rPr>
      </w:pPr>
      <w:r>
        <w:rPr>
          <w:rFonts w:ascii="宋体" w:hAnsi="宋体" w:eastAsia="宋体" w:cs="宋体"/>
          <w:spacing w:val="10"/>
          <w:sz w:val="20"/>
          <w:szCs w:val="20"/>
        </w:rPr>
        <w:t>外周血因其容易获得，已成为检测早期效应标志的主要来源(红细胞、白细胞、血浆、血清、</w:t>
      </w:r>
      <w:r>
        <w:rPr>
          <w:rFonts w:ascii="宋体" w:hAnsi="宋体" w:eastAsia="宋体" w:cs="宋体"/>
          <w:spacing w:val="8"/>
          <w:sz w:val="20"/>
          <w:szCs w:val="20"/>
        </w:rPr>
        <w:t xml:space="preserve"> </w:t>
      </w:r>
      <w:r>
        <w:rPr>
          <w:rFonts w:ascii="宋体" w:hAnsi="宋体" w:eastAsia="宋体" w:cs="宋体"/>
          <w:sz w:val="20"/>
          <w:szCs w:val="20"/>
        </w:rPr>
        <w:t>DNA</w:t>
      </w:r>
      <w:r>
        <w:rPr>
          <w:rFonts w:ascii="宋体" w:hAnsi="宋体" w:eastAsia="宋体" w:cs="宋体"/>
          <w:spacing w:val="74"/>
          <w:sz w:val="20"/>
          <w:szCs w:val="20"/>
        </w:rPr>
        <w:t xml:space="preserve"> </w:t>
      </w:r>
      <w:r>
        <w:rPr>
          <w:rFonts w:ascii="宋体" w:hAnsi="宋体" w:eastAsia="宋体" w:cs="宋体"/>
          <w:spacing w:val="2"/>
          <w:sz w:val="20"/>
          <w:szCs w:val="20"/>
        </w:rPr>
        <w:t xml:space="preserve">及 </w:t>
      </w:r>
      <w:r>
        <w:rPr>
          <w:rFonts w:ascii="宋体" w:hAnsi="宋体" w:eastAsia="宋体" w:cs="宋体"/>
          <w:sz w:val="20"/>
          <w:szCs w:val="20"/>
        </w:rPr>
        <w:t>RNA</w:t>
      </w:r>
      <w:r>
        <w:rPr>
          <w:rFonts w:ascii="宋体" w:hAnsi="宋体" w:eastAsia="宋体" w:cs="宋体"/>
          <w:spacing w:val="2"/>
          <w:sz w:val="20"/>
          <w:szCs w:val="20"/>
        </w:rPr>
        <w:t xml:space="preserve">  等)。此外，其他一些组织来源，如皮肤、宫颈和结肠组织切片以</w:t>
      </w:r>
      <w:r>
        <w:rPr>
          <w:rFonts w:ascii="宋体" w:hAnsi="宋体" w:eastAsia="宋体" w:cs="宋体"/>
          <w:spacing w:val="1"/>
          <w:sz w:val="20"/>
          <w:szCs w:val="20"/>
        </w:rPr>
        <w:t>及表皮组织刮片或痰</w:t>
      </w:r>
      <w:r>
        <w:rPr>
          <w:rFonts w:ascii="宋体" w:hAnsi="宋体" w:eastAsia="宋体" w:cs="宋体"/>
          <w:sz w:val="20"/>
          <w:szCs w:val="20"/>
        </w:rPr>
        <w:t xml:space="preserve">  </w:t>
      </w:r>
      <w:r>
        <w:rPr>
          <w:rFonts w:ascii="宋体" w:hAnsi="宋体" w:eastAsia="宋体" w:cs="宋体"/>
          <w:spacing w:val="8"/>
          <w:sz w:val="20"/>
          <w:szCs w:val="20"/>
        </w:rPr>
        <w:t>液中的上皮细胞等，均可用于早期生物效应的检测。研究还发现在粪便中检测</w:t>
      </w:r>
      <w:r>
        <w:rPr>
          <w:rFonts w:ascii="Times New Roman" w:hAnsi="Times New Roman" w:eastAsia="Times New Roman" w:cs="Times New Roman"/>
          <w:sz w:val="20"/>
          <w:szCs w:val="20"/>
        </w:rPr>
        <w:t>KRAS</w:t>
      </w:r>
      <w:r>
        <w:rPr>
          <w:rFonts w:ascii="宋体" w:hAnsi="宋体" w:eastAsia="宋体" w:cs="宋体"/>
          <w:spacing w:val="8"/>
          <w:sz w:val="20"/>
          <w:szCs w:val="20"/>
        </w:rPr>
        <w:t>基因</w:t>
      </w:r>
      <w:r>
        <w:rPr>
          <w:rFonts w:ascii="宋体" w:hAnsi="宋体" w:eastAsia="宋体" w:cs="宋体"/>
          <w:spacing w:val="7"/>
          <w:sz w:val="20"/>
          <w:szCs w:val="20"/>
        </w:rPr>
        <w:t>突变以及</w:t>
      </w:r>
      <w:r>
        <w:rPr>
          <w:rFonts w:ascii="宋体" w:hAnsi="宋体" w:eastAsia="宋体" w:cs="宋体"/>
          <w:sz w:val="20"/>
          <w:szCs w:val="20"/>
        </w:rPr>
        <w:t xml:space="preserve">  </w:t>
      </w:r>
      <w:r>
        <w:rPr>
          <w:rFonts w:ascii="Times New Roman" w:hAnsi="Times New Roman" w:eastAsia="Times New Roman" w:cs="Times New Roman"/>
          <w:sz w:val="20"/>
          <w:szCs w:val="20"/>
        </w:rPr>
        <w:t>NDRG</w:t>
      </w:r>
      <w:r>
        <w:rPr>
          <w:rFonts w:ascii="Times New Roman" w:hAnsi="Times New Roman" w:eastAsia="Times New Roman" w:cs="Times New Roman"/>
          <w:spacing w:val="6"/>
          <w:sz w:val="20"/>
          <w:szCs w:val="20"/>
        </w:rPr>
        <w:t>4</w:t>
      </w:r>
      <w:r>
        <w:rPr>
          <w:rFonts w:ascii="宋体" w:hAnsi="宋体" w:eastAsia="宋体" w:cs="宋体"/>
          <w:spacing w:val="6"/>
          <w:sz w:val="20"/>
          <w:szCs w:val="20"/>
        </w:rPr>
        <w:t>和</w:t>
      </w:r>
      <w:r>
        <w:rPr>
          <w:rFonts w:ascii="宋体" w:hAnsi="宋体" w:eastAsia="宋体" w:cs="宋体"/>
          <w:spacing w:val="-26"/>
          <w:sz w:val="20"/>
          <w:szCs w:val="20"/>
        </w:rPr>
        <w:t xml:space="preserve"> </w:t>
      </w:r>
      <w:r>
        <w:rPr>
          <w:rFonts w:ascii="Times New Roman" w:hAnsi="Times New Roman" w:eastAsia="Times New Roman" w:cs="Times New Roman"/>
          <w:sz w:val="20"/>
          <w:szCs w:val="20"/>
        </w:rPr>
        <w:t>BMP</w:t>
      </w:r>
      <w:r>
        <w:rPr>
          <w:rFonts w:ascii="Times New Roman" w:hAnsi="Times New Roman" w:eastAsia="Times New Roman" w:cs="Times New Roman"/>
          <w:spacing w:val="6"/>
          <w:sz w:val="20"/>
          <w:szCs w:val="20"/>
        </w:rPr>
        <w:t>3</w:t>
      </w:r>
      <w:r>
        <w:rPr>
          <w:rFonts w:ascii="Times New Roman" w:hAnsi="Times New Roman" w:eastAsia="Times New Roman" w:cs="Times New Roman"/>
          <w:spacing w:val="21"/>
          <w:w w:val="101"/>
          <w:sz w:val="20"/>
          <w:szCs w:val="20"/>
        </w:rPr>
        <w:t xml:space="preserve"> </w:t>
      </w:r>
      <w:r>
        <w:rPr>
          <w:rFonts w:ascii="宋体" w:hAnsi="宋体" w:eastAsia="宋体" w:cs="宋体"/>
          <w:spacing w:val="6"/>
          <w:sz w:val="20"/>
          <w:szCs w:val="20"/>
        </w:rPr>
        <w:t>基因甲基化水平可用于结直肠癌发病风险预测。</w:t>
      </w:r>
    </w:p>
    <w:p w14:paraId="78F4FED4">
      <w:pPr>
        <w:pStyle w:val="2"/>
        <w:spacing w:before="35" w:line="222" w:lineRule="auto"/>
        <w:ind w:left="419"/>
        <w:rPr>
          <w:sz w:val="20"/>
          <w:szCs w:val="20"/>
        </w:rPr>
      </w:pPr>
      <w:r>
        <w:rPr>
          <w:spacing w:val="29"/>
          <w:sz w:val="20"/>
          <w:szCs w:val="20"/>
        </w:rPr>
        <w:t>(二)结构和/或功能改变标志</w:t>
      </w:r>
    </w:p>
    <w:p w14:paraId="5364E2E0">
      <w:pPr>
        <w:spacing w:before="150" w:line="324" w:lineRule="auto"/>
        <w:ind w:right="585" w:firstLine="419"/>
        <w:jc w:val="both"/>
        <w:rPr>
          <w:rFonts w:ascii="宋体" w:hAnsi="宋体" w:eastAsia="宋体" w:cs="宋体"/>
          <w:sz w:val="20"/>
          <w:szCs w:val="20"/>
        </w:rPr>
      </w:pPr>
      <w:r>
        <w:rPr>
          <w:rFonts w:ascii="宋体" w:hAnsi="宋体" w:eastAsia="宋体" w:cs="宋体"/>
          <w:spacing w:val="7"/>
          <w:sz w:val="20"/>
          <w:szCs w:val="20"/>
        </w:rPr>
        <w:t>主要指形态学或功能学的改变，是在暴露-疾病连续带中更接近观察终点(即疾病发生)的标志</w:t>
      </w:r>
      <w:r>
        <w:rPr>
          <w:rFonts w:ascii="宋体" w:hAnsi="宋体" w:eastAsia="宋体" w:cs="宋体"/>
          <w:spacing w:val="9"/>
          <w:sz w:val="20"/>
          <w:szCs w:val="20"/>
        </w:rPr>
        <w:t xml:space="preserve">  </w:t>
      </w:r>
      <w:r>
        <w:rPr>
          <w:rFonts w:ascii="宋体" w:hAnsi="宋体" w:eastAsia="宋体" w:cs="宋体"/>
          <w:spacing w:val="2"/>
          <w:sz w:val="20"/>
          <w:szCs w:val="20"/>
        </w:rPr>
        <w:t>物。此时，一些增生或癌前病变可能已经发生，通过标准的病理学方法即可检测。</w:t>
      </w:r>
      <w:r>
        <w:rPr>
          <w:rFonts w:ascii="宋体" w:hAnsi="宋体" w:eastAsia="宋体" w:cs="宋体"/>
          <w:spacing w:val="47"/>
          <w:sz w:val="20"/>
          <w:szCs w:val="20"/>
        </w:rPr>
        <w:t xml:space="preserve"> </w:t>
      </w:r>
      <w:r>
        <w:rPr>
          <w:rFonts w:ascii="宋体" w:hAnsi="宋体" w:eastAsia="宋体" w:cs="宋体"/>
          <w:spacing w:val="2"/>
          <w:sz w:val="20"/>
          <w:szCs w:val="20"/>
        </w:rPr>
        <w:t>一些更早期的病</w:t>
      </w:r>
      <w:r>
        <w:rPr>
          <w:rFonts w:ascii="宋体" w:hAnsi="宋体" w:eastAsia="宋体" w:cs="宋体"/>
          <w:sz w:val="20"/>
          <w:szCs w:val="20"/>
        </w:rPr>
        <w:t xml:space="preserve">  </w:t>
      </w:r>
      <w:r>
        <w:rPr>
          <w:rFonts w:ascii="宋体" w:hAnsi="宋体" w:eastAsia="宋体" w:cs="宋体"/>
          <w:spacing w:val="7"/>
          <w:sz w:val="20"/>
          <w:szCs w:val="20"/>
        </w:rPr>
        <w:t>变则可以通过增殖实验、凋亡实验和细胞分析等反映细胞周期调控早期事件的实验方法进行研究。</w:t>
      </w:r>
    </w:p>
    <w:p w14:paraId="71ED62F0">
      <w:pPr>
        <w:spacing w:line="324" w:lineRule="auto"/>
        <w:rPr>
          <w:rFonts w:ascii="宋体" w:hAnsi="宋体" w:eastAsia="宋体" w:cs="宋体"/>
          <w:sz w:val="20"/>
          <w:szCs w:val="20"/>
        </w:rPr>
        <w:sectPr>
          <w:headerReference r:id="rId285" w:type="default"/>
          <w:footerReference r:id="rId286" w:type="default"/>
          <w:pgSz w:w="11900" w:h="16820"/>
          <w:pgMar w:top="400" w:right="894" w:bottom="829" w:left="1499" w:header="0" w:footer="649" w:gutter="0"/>
          <w:cols w:space="720" w:num="1"/>
        </w:sectPr>
      </w:pPr>
    </w:p>
    <w:p w14:paraId="03D69E8F">
      <w:pPr>
        <w:pStyle w:val="2"/>
        <w:spacing w:before="206" w:line="221" w:lineRule="auto"/>
        <w:ind w:left="699"/>
        <w:rPr>
          <w:sz w:val="21"/>
          <w:szCs w:val="21"/>
        </w:rPr>
      </w:pPr>
      <w:bookmarkStart w:id="441" w:name="bookmark549"/>
      <w:bookmarkEnd w:id="441"/>
      <w:r>
        <w:rPr>
          <w:spacing w:val="-22"/>
          <w:w w:val="97"/>
          <w:sz w:val="21"/>
          <w:szCs w:val="21"/>
        </w:rPr>
        <w:t>第十七章 分子流行病学</w:t>
      </w:r>
    </w:p>
    <w:p w14:paraId="207E978E">
      <w:pPr>
        <w:spacing w:line="268" w:lineRule="auto"/>
        <w:rPr>
          <w:rFonts w:ascii="Arial"/>
          <w:sz w:val="21"/>
        </w:rPr>
      </w:pPr>
    </w:p>
    <w:p w14:paraId="45F57F50">
      <w:pPr>
        <w:spacing w:line="269" w:lineRule="auto"/>
        <w:rPr>
          <w:rFonts w:ascii="Arial"/>
          <w:sz w:val="21"/>
        </w:rPr>
      </w:pPr>
    </w:p>
    <w:p w14:paraId="2AC7E85F">
      <w:pPr>
        <w:spacing w:before="68" w:line="219" w:lineRule="auto"/>
        <w:ind w:left="699"/>
        <w:rPr>
          <w:rFonts w:ascii="宋体" w:hAnsi="宋体" w:eastAsia="宋体" w:cs="宋体"/>
          <w:sz w:val="21"/>
          <w:szCs w:val="21"/>
        </w:rPr>
      </w:pPr>
      <w:r>
        <w:rPr>
          <w:rFonts w:ascii="宋体" w:hAnsi="宋体" w:eastAsia="宋体" w:cs="宋体"/>
          <w:spacing w:val="-5"/>
          <w:sz w:val="21"/>
          <w:szCs w:val="21"/>
        </w:rPr>
        <w:t>结构和/或功能改变标志通常来自靶器官的组织。</w:t>
      </w:r>
    </w:p>
    <w:p w14:paraId="1A45372D">
      <w:pPr>
        <w:pStyle w:val="2"/>
        <w:spacing w:before="110" w:line="221" w:lineRule="auto"/>
        <w:ind w:left="1119"/>
        <w:rPr>
          <w:sz w:val="21"/>
          <w:szCs w:val="21"/>
        </w:rPr>
      </w:pPr>
      <w:r>
        <w:rPr>
          <w:spacing w:val="18"/>
          <w:sz w:val="21"/>
          <w:szCs w:val="21"/>
        </w:rPr>
        <w:t>(三)临床疾病标志</w:t>
      </w:r>
    </w:p>
    <w:p w14:paraId="3F051A26">
      <w:pPr>
        <w:spacing w:before="118" w:line="325" w:lineRule="auto"/>
        <w:ind w:left="699" w:right="114" w:firstLine="419"/>
        <w:jc w:val="both"/>
        <w:rPr>
          <w:rFonts w:ascii="宋体" w:hAnsi="宋体" w:eastAsia="宋体" w:cs="宋体"/>
          <w:sz w:val="21"/>
          <w:szCs w:val="21"/>
        </w:rPr>
      </w:pPr>
      <w:r>
        <w:rPr>
          <w:rFonts w:ascii="宋体" w:hAnsi="宋体" w:eastAsia="宋体" w:cs="宋体"/>
          <w:spacing w:val="-4"/>
          <w:sz w:val="21"/>
          <w:szCs w:val="21"/>
        </w:rPr>
        <w:t>指疾病发生后特有的分子生物标志，对于了解发病机制</w:t>
      </w:r>
      <w:r>
        <w:rPr>
          <w:rFonts w:ascii="宋体" w:hAnsi="宋体" w:eastAsia="宋体" w:cs="宋体"/>
          <w:spacing w:val="-5"/>
          <w:sz w:val="21"/>
          <w:szCs w:val="21"/>
        </w:rPr>
        <w:t>、进行早期诊断及选取个体化治疗方案</w:t>
      </w:r>
      <w:r>
        <w:rPr>
          <w:rFonts w:ascii="宋体" w:hAnsi="宋体" w:eastAsia="宋体" w:cs="宋体"/>
          <w:sz w:val="21"/>
          <w:szCs w:val="21"/>
        </w:rPr>
        <w:t xml:space="preserve"> </w:t>
      </w:r>
      <w:r>
        <w:rPr>
          <w:rFonts w:ascii="宋体" w:hAnsi="宋体" w:eastAsia="宋体" w:cs="宋体"/>
          <w:spacing w:val="-5"/>
          <w:sz w:val="21"/>
          <w:szCs w:val="21"/>
        </w:rPr>
        <w:t>等有着重大意义。目前，人们已发现多种对肿瘤及其他疾病具有一定辅助诊断价值的标志物，如血</w:t>
      </w:r>
      <w:r>
        <w:rPr>
          <w:rFonts w:ascii="宋体" w:hAnsi="宋体" w:eastAsia="宋体" w:cs="宋体"/>
          <w:spacing w:val="12"/>
          <w:sz w:val="21"/>
          <w:szCs w:val="21"/>
        </w:rPr>
        <w:t xml:space="preserve"> </w:t>
      </w:r>
      <w:r>
        <w:rPr>
          <w:rFonts w:ascii="宋体" w:hAnsi="宋体" w:eastAsia="宋体" w:cs="宋体"/>
          <w:spacing w:val="-2"/>
          <w:sz w:val="21"/>
          <w:szCs w:val="21"/>
        </w:rPr>
        <w:t>清甲胎蛋白</w:t>
      </w:r>
      <w:r>
        <w:rPr>
          <w:rFonts w:ascii="Times New Roman" w:hAnsi="Times New Roman" w:eastAsia="Times New Roman" w:cs="Times New Roman"/>
          <w:spacing w:val="-2"/>
          <w:sz w:val="21"/>
          <w:szCs w:val="21"/>
        </w:rPr>
        <w:t>(AFP)</w:t>
      </w:r>
      <w:r>
        <w:rPr>
          <w:rFonts w:ascii="宋体" w:hAnsi="宋体" w:eastAsia="宋体" w:cs="宋体"/>
          <w:spacing w:val="-2"/>
          <w:sz w:val="21"/>
          <w:szCs w:val="21"/>
        </w:rPr>
        <w:t>、癌胚抗原</w:t>
      </w:r>
      <w:r>
        <w:rPr>
          <w:rFonts w:ascii="Times New Roman" w:hAnsi="Times New Roman" w:eastAsia="Times New Roman" w:cs="Times New Roman"/>
          <w:spacing w:val="-2"/>
          <w:sz w:val="21"/>
          <w:szCs w:val="21"/>
        </w:rPr>
        <w:t>(CEA)</w:t>
      </w:r>
      <w:r>
        <w:rPr>
          <w:rFonts w:ascii="宋体" w:hAnsi="宋体" w:eastAsia="宋体" w:cs="宋体"/>
          <w:spacing w:val="-2"/>
          <w:sz w:val="21"/>
          <w:szCs w:val="21"/>
        </w:rPr>
        <w:t>、前列腺特异性抗原</w:t>
      </w:r>
      <w:r>
        <w:rPr>
          <w:rFonts w:ascii="Times New Roman" w:hAnsi="Times New Roman" w:eastAsia="Times New Roman" w:cs="Times New Roman"/>
          <w:spacing w:val="-2"/>
          <w:sz w:val="21"/>
          <w:szCs w:val="21"/>
        </w:rPr>
        <w:t>(PSA)</w:t>
      </w:r>
      <w:r>
        <w:rPr>
          <w:rFonts w:ascii="宋体" w:hAnsi="宋体" w:eastAsia="宋体" w:cs="宋体"/>
          <w:spacing w:val="-2"/>
          <w:sz w:val="21"/>
          <w:szCs w:val="21"/>
        </w:rPr>
        <w:t>、天冬氨酸转氨酶</w:t>
      </w:r>
      <w:r>
        <w:rPr>
          <w:rFonts w:ascii="Times New Roman" w:hAnsi="Times New Roman" w:eastAsia="Times New Roman" w:cs="Times New Roman"/>
          <w:spacing w:val="-2"/>
          <w:sz w:val="21"/>
          <w:szCs w:val="21"/>
        </w:rPr>
        <w:t>(AST,</w:t>
      </w:r>
      <w:r>
        <w:rPr>
          <w:rFonts w:ascii="Times New Roman" w:hAnsi="Times New Roman" w:eastAsia="Times New Roman" w:cs="Times New Roman"/>
          <w:spacing w:val="50"/>
          <w:sz w:val="21"/>
          <w:szCs w:val="21"/>
        </w:rPr>
        <w:t xml:space="preserve"> </w:t>
      </w:r>
      <w:r>
        <w:rPr>
          <w:rFonts w:ascii="宋体" w:hAnsi="宋体" w:eastAsia="宋体" w:cs="宋体"/>
          <w:spacing w:val="-2"/>
          <w:sz w:val="21"/>
          <w:szCs w:val="21"/>
        </w:rPr>
        <w:t>又称谷草转</w:t>
      </w:r>
      <w:r>
        <w:rPr>
          <w:rFonts w:ascii="宋体" w:hAnsi="宋体" w:eastAsia="宋体" w:cs="宋体"/>
          <w:sz w:val="21"/>
          <w:szCs w:val="21"/>
        </w:rPr>
        <w:t xml:space="preserve"> </w:t>
      </w:r>
      <w:r>
        <w:rPr>
          <w:rFonts w:ascii="宋体" w:hAnsi="宋体" w:eastAsia="宋体" w:cs="宋体"/>
          <w:spacing w:val="-2"/>
          <w:sz w:val="21"/>
          <w:szCs w:val="21"/>
        </w:rPr>
        <w:t>氨酶)等。但这些标志物的灵敏度和特异度还不够高，因此主要用于疾病的辅助诊断，不能作为疾</w:t>
      </w:r>
      <w:r>
        <w:rPr>
          <w:rFonts w:ascii="宋体" w:hAnsi="宋体" w:eastAsia="宋体" w:cs="宋体"/>
          <w:spacing w:val="8"/>
          <w:sz w:val="21"/>
          <w:szCs w:val="21"/>
        </w:rPr>
        <w:t xml:space="preserve"> </w:t>
      </w:r>
      <w:r>
        <w:rPr>
          <w:rFonts w:ascii="宋体" w:hAnsi="宋体" w:eastAsia="宋体" w:cs="宋体"/>
          <w:spacing w:val="-4"/>
          <w:sz w:val="21"/>
          <w:szCs w:val="21"/>
        </w:rPr>
        <w:t>病诊断的主要依据。</w:t>
      </w:r>
    </w:p>
    <w:p w14:paraId="67BCDC6E">
      <w:pPr>
        <w:pStyle w:val="2"/>
        <w:spacing w:before="231" w:line="223" w:lineRule="auto"/>
        <w:ind w:left="1122"/>
        <w:outlineLvl w:val="4"/>
        <w:rPr>
          <w:sz w:val="21"/>
          <w:szCs w:val="21"/>
        </w:rPr>
      </w:pPr>
      <w:bookmarkStart w:id="442" w:name="bookmark280"/>
      <w:bookmarkEnd w:id="442"/>
      <w:r>
        <w:rPr>
          <w:b/>
          <w:bCs/>
          <w:spacing w:val="18"/>
          <w:sz w:val="21"/>
          <w:szCs w:val="21"/>
        </w:rPr>
        <w:t>三</w:t>
      </w:r>
      <w:r>
        <w:rPr>
          <w:spacing w:val="18"/>
          <w:sz w:val="21"/>
          <w:szCs w:val="21"/>
        </w:rPr>
        <w:t xml:space="preserve"> </w:t>
      </w:r>
      <w:r>
        <w:rPr>
          <w:b/>
          <w:bCs/>
          <w:spacing w:val="18"/>
          <w:sz w:val="21"/>
          <w:szCs w:val="21"/>
        </w:rPr>
        <w:t>、易感性标志</w:t>
      </w:r>
    </w:p>
    <w:p w14:paraId="7EADE669">
      <w:pPr>
        <w:spacing w:before="266" w:line="328" w:lineRule="auto"/>
        <w:ind w:left="699" w:right="90" w:firstLine="419"/>
        <w:jc w:val="both"/>
        <w:rPr>
          <w:rFonts w:ascii="宋体" w:hAnsi="宋体" w:eastAsia="宋体" w:cs="宋体"/>
          <w:sz w:val="21"/>
          <w:szCs w:val="21"/>
        </w:rPr>
      </w:pPr>
      <w:r>
        <w:rPr>
          <w:rFonts w:ascii="宋体" w:hAnsi="宋体" w:eastAsia="宋体" w:cs="宋体"/>
          <w:spacing w:val="-9"/>
          <w:sz w:val="21"/>
          <w:szCs w:val="21"/>
        </w:rPr>
        <w:t>在暴露因素作用下，宿主对疾病发生、发展易感程度的生物标志，称为易感性标志。目前，疾病</w:t>
      </w:r>
      <w:r>
        <w:rPr>
          <w:rFonts w:ascii="宋体" w:hAnsi="宋体" w:eastAsia="宋体" w:cs="宋体"/>
          <w:spacing w:val="11"/>
          <w:sz w:val="21"/>
          <w:szCs w:val="21"/>
        </w:rPr>
        <w:t xml:space="preserve"> </w:t>
      </w:r>
      <w:r>
        <w:rPr>
          <w:rFonts w:ascii="宋体" w:hAnsi="宋体" w:eastAsia="宋体" w:cs="宋体"/>
          <w:spacing w:val="1"/>
          <w:sz w:val="21"/>
          <w:szCs w:val="21"/>
        </w:rPr>
        <w:t>易感性研究主要关注遗传易感性，即由个体遗传背景差异所导致的不同</w:t>
      </w:r>
      <w:r>
        <w:rPr>
          <w:rFonts w:ascii="宋体" w:hAnsi="宋体" w:eastAsia="宋体" w:cs="宋体"/>
          <w:sz w:val="21"/>
          <w:szCs w:val="21"/>
        </w:rPr>
        <w:t xml:space="preserve">个体对同一疾病易感程度 </w:t>
      </w:r>
      <w:r>
        <w:rPr>
          <w:rFonts w:ascii="宋体" w:hAnsi="宋体" w:eastAsia="宋体" w:cs="宋体"/>
          <w:spacing w:val="-5"/>
          <w:sz w:val="21"/>
          <w:szCs w:val="21"/>
        </w:rPr>
        <w:t>或治疗反应的强弱。</w:t>
      </w:r>
    </w:p>
    <w:p w14:paraId="48135D47">
      <w:pPr>
        <w:spacing w:before="3" w:line="325" w:lineRule="auto"/>
        <w:ind w:left="699" w:right="105" w:firstLine="419"/>
        <w:jc w:val="both"/>
        <w:rPr>
          <w:rFonts w:ascii="宋体" w:hAnsi="宋体" w:eastAsia="宋体" w:cs="宋体"/>
          <w:sz w:val="21"/>
          <w:szCs w:val="21"/>
        </w:rPr>
      </w:pPr>
      <w:r>
        <w:rPr>
          <w:rFonts w:ascii="宋体" w:hAnsi="宋体" w:eastAsia="宋体" w:cs="宋体"/>
          <w:spacing w:val="1"/>
          <w:sz w:val="21"/>
          <w:szCs w:val="21"/>
        </w:rPr>
        <w:t>遗传易感性生物标志是机体稳定存在的遗传性的可测量指标，这种生物标志可以</w:t>
      </w:r>
      <w:r>
        <w:rPr>
          <w:rFonts w:ascii="宋体" w:hAnsi="宋体" w:eastAsia="宋体" w:cs="宋体"/>
          <w:sz w:val="21"/>
          <w:szCs w:val="21"/>
        </w:rPr>
        <w:t xml:space="preserve">是基因型的 </w:t>
      </w:r>
      <w:r>
        <w:rPr>
          <w:rFonts w:ascii="宋体" w:hAnsi="宋体" w:eastAsia="宋体" w:cs="宋体"/>
          <w:spacing w:val="-1"/>
          <w:sz w:val="21"/>
          <w:szCs w:val="21"/>
        </w:rPr>
        <w:t>改变，如某个基因的缺失、某段未知染色体片段的拷贝数变</w:t>
      </w:r>
      <w:r>
        <w:rPr>
          <w:rFonts w:ascii="宋体" w:hAnsi="宋体" w:eastAsia="宋体" w:cs="宋体"/>
          <w:spacing w:val="-2"/>
          <w:sz w:val="21"/>
          <w:szCs w:val="21"/>
        </w:rPr>
        <w:t>异</w:t>
      </w:r>
      <w:r>
        <w:rPr>
          <w:rFonts w:ascii="Times New Roman" w:hAnsi="Times New Roman" w:eastAsia="Times New Roman" w:cs="Times New Roman"/>
          <w:spacing w:val="-2"/>
          <w:sz w:val="21"/>
          <w:szCs w:val="21"/>
        </w:rPr>
        <w:t>(copy</w:t>
      </w:r>
      <w:r>
        <w:rPr>
          <w:rFonts w:ascii="Times New Roman" w:hAnsi="Times New Roman" w:eastAsia="Times New Roman" w:cs="Times New Roman"/>
          <w:spacing w:val="15"/>
          <w:w w:val="101"/>
          <w:sz w:val="21"/>
          <w:szCs w:val="21"/>
        </w:rPr>
        <w:t xml:space="preserve">   </w:t>
      </w:r>
      <w:r>
        <w:rPr>
          <w:rFonts w:ascii="Times New Roman" w:hAnsi="Times New Roman" w:eastAsia="Times New Roman" w:cs="Times New Roman"/>
          <w:spacing w:val="-2"/>
          <w:sz w:val="21"/>
          <w:szCs w:val="21"/>
        </w:rPr>
        <w:t>number</w:t>
      </w:r>
      <w:r>
        <w:rPr>
          <w:rFonts w:ascii="Times New Roman" w:hAnsi="Times New Roman" w:eastAsia="Times New Roman" w:cs="Times New Roman"/>
          <w:spacing w:val="15"/>
          <w:w w:val="101"/>
          <w:sz w:val="21"/>
          <w:szCs w:val="21"/>
        </w:rPr>
        <w:t xml:space="preserve">   </w:t>
      </w:r>
      <w:r>
        <w:rPr>
          <w:rFonts w:ascii="Times New Roman" w:hAnsi="Times New Roman" w:eastAsia="Times New Roman" w:cs="Times New Roman"/>
          <w:spacing w:val="-2"/>
          <w:sz w:val="21"/>
          <w:szCs w:val="21"/>
        </w:rPr>
        <w:t>variation,CNV)</w:t>
      </w:r>
      <w:r>
        <w:rPr>
          <w:rFonts w:ascii="宋体" w:hAnsi="宋体" w:eastAsia="宋体" w:cs="宋体"/>
          <w:spacing w:val="-2"/>
          <w:sz w:val="21"/>
          <w:szCs w:val="21"/>
        </w:rPr>
        <w:t>或者</w:t>
      </w:r>
      <w:r>
        <w:rPr>
          <w:rFonts w:ascii="宋体" w:hAnsi="宋体" w:eastAsia="宋体" w:cs="宋体"/>
          <w:sz w:val="21"/>
          <w:szCs w:val="21"/>
        </w:rPr>
        <w:t xml:space="preserve"> </w:t>
      </w:r>
      <w:r>
        <w:rPr>
          <w:rFonts w:ascii="Times New Roman" w:hAnsi="Times New Roman" w:eastAsia="Times New Roman" w:cs="Times New Roman"/>
          <w:spacing w:val="-2"/>
          <w:sz w:val="21"/>
          <w:szCs w:val="21"/>
        </w:rPr>
        <w:t>SNPs;</w:t>
      </w:r>
      <w:r>
        <w:rPr>
          <w:rFonts w:ascii="宋体" w:hAnsi="宋体" w:eastAsia="宋体" w:cs="宋体"/>
          <w:spacing w:val="-2"/>
          <w:sz w:val="21"/>
          <w:szCs w:val="21"/>
        </w:rPr>
        <w:t>也可以是功能学或者表型的改变，如代谢表型、</w:t>
      </w:r>
      <w:r>
        <w:rPr>
          <w:rFonts w:ascii="Times New Roman" w:hAnsi="Times New Roman" w:eastAsia="Times New Roman" w:cs="Times New Roman"/>
          <w:spacing w:val="-2"/>
          <w:sz w:val="21"/>
          <w:szCs w:val="21"/>
        </w:rPr>
        <w:t>D</w:t>
      </w:r>
      <w:r>
        <w:rPr>
          <w:rFonts w:ascii="Times New Roman" w:hAnsi="Times New Roman" w:eastAsia="Times New Roman" w:cs="Times New Roman"/>
          <w:spacing w:val="-3"/>
          <w:sz w:val="21"/>
          <w:szCs w:val="21"/>
        </w:rPr>
        <w:t>NA</w:t>
      </w:r>
      <w:r>
        <w:rPr>
          <w:rFonts w:ascii="宋体" w:hAnsi="宋体" w:eastAsia="宋体" w:cs="宋体"/>
          <w:spacing w:val="-3"/>
          <w:sz w:val="21"/>
          <w:szCs w:val="21"/>
        </w:rPr>
        <w:t>修复能力等。随着人类基因组计划及环</w:t>
      </w:r>
      <w:r>
        <w:rPr>
          <w:rFonts w:ascii="宋体" w:hAnsi="宋体" w:eastAsia="宋体" w:cs="宋体"/>
          <w:sz w:val="21"/>
          <w:szCs w:val="21"/>
        </w:rPr>
        <w:t xml:space="preserve"> </w:t>
      </w:r>
      <w:r>
        <w:rPr>
          <w:rFonts w:ascii="宋体" w:hAnsi="宋体" w:eastAsia="宋体" w:cs="宋体"/>
          <w:spacing w:val="-4"/>
          <w:sz w:val="21"/>
          <w:szCs w:val="21"/>
        </w:rPr>
        <w:t>境基因组计划的完成，越来越多的基因及其多态性被发现，这些基因大多行使机体的重要功能，多</w:t>
      </w:r>
      <w:r>
        <w:rPr>
          <w:rFonts w:ascii="宋体" w:hAnsi="宋体" w:eastAsia="宋体" w:cs="宋体"/>
          <w:sz w:val="21"/>
          <w:szCs w:val="21"/>
        </w:rPr>
        <w:t xml:space="preserve"> </w:t>
      </w:r>
      <w:r>
        <w:rPr>
          <w:rFonts w:ascii="宋体" w:hAnsi="宋体" w:eastAsia="宋体" w:cs="宋体"/>
          <w:spacing w:val="-6"/>
          <w:sz w:val="21"/>
          <w:szCs w:val="21"/>
        </w:rPr>
        <w:t>态性的改变可能影响其参与的多个生物学途径，如细胞</w:t>
      </w:r>
      <w:r>
        <w:rPr>
          <w:rFonts w:ascii="宋体" w:hAnsi="宋体" w:eastAsia="宋体" w:cs="宋体"/>
          <w:spacing w:val="-7"/>
          <w:sz w:val="21"/>
          <w:szCs w:val="21"/>
        </w:rPr>
        <w:t>分化、细胞凋亡、细胞周期调控以及DNA</w:t>
      </w:r>
      <w:r>
        <w:rPr>
          <w:rFonts w:ascii="宋体" w:hAnsi="宋体" w:eastAsia="宋体" w:cs="宋体"/>
          <w:spacing w:val="74"/>
          <w:sz w:val="21"/>
          <w:szCs w:val="21"/>
        </w:rPr>
        <w:t xml:space="preserve"> </w:t>
      </w:r>
      <w:r>
        <w:rPr>
          <w:rFonts w:ascii="宋体" w:hAnsi="宋体" w:eastAsia="宋体" w:cs="宋体"/>
          <w:spacing w:val="-7"/>
          <w:sz w:val="21"/>
          <w:szCs w:val="21"/>
        </w:rPr>
        <w:t>修</w:t>
      </w:r>
      <w:r>
        <w:rPr>
          <w:rFonts w:ascii="宋体" w:hAnsi="宋体" w:eastAsia="宋体" w:cs="宋体"/>
          <w:sz w:val="21"/>
          <w:szCs w:val="21"/>
        </w:rPr>
        <w:t xml:space="preserve"> </w:t>
      </w:r>
      <w:r>
        <w:rPr>
          <w:rFonts w:ascii="宋体" w:hAnsi="宋体" w:eastAsia="宋体" w:cs="宋体"/>
          <w:spacing w:val="-8"/>
          <w:sz w:val="21"/>
          <w:szCs w:val="21"/>
        </w:rPr>
        <w:t>复等，从而导致一系列健康异常状况的出现。</w:t>
      </w:r>
    </w:p>
    <w:p w14:paraId="31A2A334">
      <w:pPr>
        <w:spacing w:before="1" w:line="219" w:lineRule="auto"/>
        <w:ind w:left="1119"/>
        <w:rPr>
          <w:rFonts w:ascii="宋体" w:hAnsi="宋体" w:eastAsia="宋体" w:cs="宋体"/>
          <w:sz w:val="21"/>
          <w:szCs w:val="21"/>
        </w:rPr>
      </w:pPr>
      <w:r>
        <w:rPr>
          <w:rFonts w:ascii="宋体" w:hAnsi="宋体" w:eastAsia="宋体" w:cs="宋体"/>
          <w:spacing w:val="-7"/>
          <w:sz w:val="21"/>
          <w:szCs w:val="21"/>
        </w:rPr>
        <w:t>目前，遗传易感性研究根据其研究设计的不</w:t>
      </w:r>
      <w:r>
        <w:rPr>
          <w:rFonts w:ascii="宋体" w:hAnsi="宋体" w:eastAsia="宋体" w:cs="宋体"/>
          <w:spacing w:val="-8"/>
          <w:sz w:val="21"/>
          <w:szCs w:val="21"/>
        </w:rPr>
        <w:t>同特点，可以分为以下两种主要类型：</w:t>
      </w:r>
    </w:p>
    <w:p w14:paraId="4C10D43D">
      <w:pPr>
        <w:pStyle w:val="2"/>
        <w:spacing w:before="121" w:line="222" w:lineRule="auto"/>
        <w:ind w:left="1119"/>
        <w:rPr>
          <w:sz w:val="21"/>
          <w:szCs w:val="21"/>
        </w:rPr>
      </w:pPr>
      <w:r>
        <w:rPr>
          <w:spacing w:val="12"/>
          <w:sz w:val="21"/>
          <w:szCs w:val="21"/>
        </w:rPr>
        <w:t>(一)候选基因策略的易感性研究</w:t>
      </w:r>
    </w:p>
    <w:p w14:paraId="0CB60B0E">
      <w:pPr>
        <w:spacing w:before="98" w:line="326" w:lineRule="auto"/>
        <w:ind w:left="699" w:right="115" w:firstLine="419"/>
        <w:jc w:val="both"/>
        <w:rPr>
          <w:rFonts w:ascii="宋体" w:hAnsi="宋体" w:eastAsia="宋体" w:cs="宋体"/>
          <w:sz w:val="21"/>
          <w:szCs w:val="21"/>
        </w:rPr>
      </w:pPr>
      <w:r>
        <w:rPr>
          <w:rFonts w:ascii="宋体" w:hAnsi="宋体" w:eastAsia="宋体" w:cs="宋体"/>
          <w:spacing w:val="-2"/>
          <w:sz w:val="21"/>
          <w:szCs w:val="21"/>
        </w:rPr>
        <w:t>候选基因策略就是研究者根据已知的基因结构或功能特点，提出某个或某些(通常是几个或几</w:t>
      </w:r>
      <w:r>
        <w:rPr>
          <w:rFonts w:ascii="宋体" w:hAnsi="宋体" w:eastAsia="宋体" w:cs="宋体"/>
          <w:spacing w:val="4"/>
          <w:sz w:val="21"/>
          <w:szCs w:val="21"/>
        </w:rPr>
        <w:t xml:space="preserve"> </w:t>
      </w:r>
      <w:r>
        <w:rPr>
          <w:rFonts w:ascii="宋体" w:hAnsi="宋体" w:eastAsia="宋体" w:cs="宋体"/>
          <w:spacing w:val="-2"/>
          <w:sz w:val="21"/>
          <w:szCs w:val="21"/>
        </w:rPr>
        <w:t>十个)基因可能与待研究疾病易感性存在关联的科学假设。基于这样的科学假设，选择位于特定基</w:t>
      </w:r>
      <w:r>
        <w:rPr>
          <w:rFonts w:ascii="宋体" w:hAnsi="宋体" w:eastAsia="宋体" w:cs="宋体"/>
          <w:spacing w:val="9"/>
          <w:sz w:val="21"/>
          <w:szCs w:val="21"/>
        </w:rPr>
        <w:t xml:space="preserve"> </w:t>
      </w:r>
      <w:r>
        <w:rPr>
          <w:rFonts w:ascii="宋体" w:hAnsi="宋体" w:eastAsia="宋体" w:cs="宋体"/>
          <w:spacing w:val="1"/>
          <w:sz w:val="21"/>
          <w:szCs w:val="21"/>
        </w:rPr>
        <w:t>因上的一定数量的遗传标志，并对其与疾病易感性的关系进行</w:t>
      </w:r>
      <w:r>
        <w:rPr>
          <w:rFonts w:ascii="宋体" w:hAnsi="宋体" w:eastAsia="宋体" w:cs="宋体"/>
          <w:sz w:val="21"/>
          <w:szCs w:val="21"/>
        </w:rPr>
        <w:t xml:space="preserve">研究。这种研究设计的优点是比较 </w:t>
      </w:r>
      <w:r>
        <w:rPr>
          <w:rFonts w:ascii="宋体" w:hAnsi="宋体" w:eastAsia="宋体" w:cs="宋体"/>
          <w:spacing w:val="-4"/>
          <w:sz w:val="21"/>
          <w:szCs w:val="21"/>
        </w:rPr>
        <w:t>容易开展，科学假设明确，便于阐述遗传标志与疾病易感性的潜在作用机</w:t>
      </w:r>
      <w:r>
        <w:rPr>
          <w:rFonts w:ascii="宋体" w:hAnsi="宋体" w:eastAsia="宋体" w:cs="宋体"/>
          <w:spacing w:val="-5"/>
          <w:sz w:val="21"/>
          <w:szCs w:val="21"/>
        </w:rPr>
        <w:t>制；缺点是单次研究所涉</w:t>
      </w:r>
      <w:r>
        <w:rPr>
          <w:rFonts w:ascii="宋体" w:hAnsi="宋体" w:eastAsia="宋体" w:cs="宋体"/>
          <w:sz w:val="21"/>
          <w:szCs w:val="21"/>
        </w:rPr>
        <w:t xml:space="preserve"> </w:t>
      </w:r>
      <w:r>
        <w:rPr>
          <w:rFonts w:ascii="宋体" w:hAnsi="宋体" w:eastAsia="宋体" w:cs="宋体"/>
          <w:spacing w:val="-8"/>
          <w:sz w:val="21"/>
          <w:szCs w:val="21"/>
        </w:rPr>
        <w:t>及的基因和遗传标志数量有限，效率不高。</w:t>
      </w:r>
    </w:p>
    <w:p w14:paraId="64DCD308">
      <w:pPr>
        <w:pStyle w:val="2"/>
        <w:spacing w:before="5" w:line="222" w:lineRule="auto"/>
        <w:ind w:left="1119"/>
        <w:rPr>
          <w:sz w:val="21"/>
          <w:szCs w:val="21"/>
        </w:rPr>
      </w:pPr>
      <w:r>
        <w:rPr>
          <w:spacing w:val="12"/>
          <w:sz w:val="21"/>
          <w:szCs w:val="21"/>
        </w:rPr>
        <w:t>(二)全基因组关联分析策略的易感性研究</w:t>
      </w:r>
    </w:p>
    <w:p w14:paraId="42A67442">
      <w:pPr>
        <w:spacing w:before="120" w:line="316" w:lineRule="auto"/>
        <w:ind w:left="699" w:right="40" w:firstLine="419"/>
        <w:jc w:val="both"/>
        <w:rPr>
          <w:rFonts w:ascii="宋体" w:hAnsi="宋体" w:eastAsia="宋体" w:cs="宋体"/>
          <w:sz w:val="21"/>
          <w:szCs w:val="21"/>
        </w:rPr>
      </w:pPr>
      <w:r>
        <w:rPr>
          <w:rFonts w:ascii="宋体" w:hAnsi="宋体" w:eastAsia="宋体" w:cs="宋体"/>
          <w:spacing w:val="1"/>
          <w:sz w:val="21"/>
          <w:szCs w:val="21"/>
        </w:rPr>
        <w:t>日益降低的检测成本和不断提升的检测通量，促使遗传易感</w:t>
      </w:r>
      <w:r>
        <w:rPr>
          <w:rFonts w:ascii="宋体" w:hAnsi="宋体" w:eastAsia="宋体" w:cs="宋体"/>
          <w:sz w:val="21"/>
          <w:szCs w:val="21"/>
        </w:rPr>
        <w:t xml:space="preserve">性研究不断衍生发展，全基因组 </w:t>
      </w:r>
      <w:r>
        <w:rPr>
          <w:rFonts w:ascii="宋体" w:hAnsi="宋体" w:eastAsia="宋体" w:cs="宋体"/>
          <w:spacing w:val="6"/>
          <w:sz w:val="21"/>
          <w:szCs w:val="21"/>
        </w:rPr>
        <w:t>关联分析</w:t>
      </w:r>
      <w:r>
        <w:rPr>
          <w:rFonts w:ascii="Times New Roman" w:hAnsi="Times New Roman" w:eastAsia="Times New Roman" w:cs="Times New Roman"/>
          <w:spacing w:val="6"/>
          <w:sz w:val="21"/>
          <w:szCs w:val="21"/>
        </w:rPr>
        <w:t>(</w:t>
      </w:r>
      <w:r>
        <w:rPr>
          <w:rFonts w:ascii="Times New Roman" w:hAnsi="Times New Roman" w:eastAsia="Times New Roman" w:cs="Times New Roman"/>
          <w:sz w:val="21"/>
          <w:szCs w:val="21"/>
        </w:rPr>
        <w:t>GWAS</w:t>
      </w:r>
      <w:r>
        <w:rPr>
          <w:rFonts w:ascii="Times New Roman" w:hAnsi="Times New Roman" w:eastAsia="Times New Roman" w:cs="Times New Roman"/>
          <w:spacing w:val="6"/>
          <w:sz w:val="21"/>
          <w:szCs w:val="21"/>
        </w:rPr>
        <w:t>)</w:t>
      </w:r>
      <w:r>
        <w:rPr>
          <w:rFonts w:ascii="Times New Roman" w:hAnsi="Times New Roman" w:eastAsia="Times New Roman" w:cs="Times New Roman"/>
          <w:spacing w:val="28"/>
          <w:sz w:val="21"/>
          <w:szCs w:val="21"/>
        </w:rPr>
        <w:t xml:space="preserve"> </w:t>
      </w:r>
      <w:r>
        <w:rPr>
          <w:rFonts w:ascii="宋体" w:hAnsi="宋体" w:eastAsia="宋体" w:cs="宋体"/>
          <w:spacing w:val="6"/>
          <w:sz w:val="21"/>
          <w:szCs w:val="21"/>
        </w:rPr>
        <w:t>应运而生。基于芯片的</w:t>
      </w:r>
      <w:r>
        <w:rPr>
          <w:rFonts w:ascii="Times New Roman" w:hAnsi="Times New Roman" w:eastAsia="Times New Roman" w:cs="Times New Roman"/>
          <w:sz w:val="21"/>
          <w:szCs w:val="21"/>
        </w:rPr>
        <w:t>GWAS</w:t>
      </w:r>
      <w:r>
        <w:rPr>
          <w:rFonts w:ascii="Times New Roman" w:hAnsi="Times New Roman" w:eastAsia="Times New Roman" w:cs="Times New Roman"/>
          <w:spacing w:val="-14"/>
          <w:sz w:val="21"/>
          <w:szCs w:val="21"/>
        </w:rPr>
        <w:t xml:space="preserve"> </w:t>
      </w:r>
      <w:r>
        <w:rPr>
          <w:rFonts w:ascii="宋体" w:hAnsi="宋体" w:eastAsia="宋体" w:cs="宋体"/>
          <w:spacing w:val="6"/>
          <w:sz w:val="21"/>
          <w:szCs w:val="21"/>
        </w:rPr>
        <w:t>利用预先设计好的基因芯片来检测全基因组范</w:t>
      </w:r>
      <w:r>
        <w:rPr>
          <w:rFonts w:ascii="宋体" w:hAnsi="宋体" w:eastAsia="宋体" w:cs="宋体"/>
          <w:sz w:val="21"/>
          <w:szCs w:val="21"/>
        </w:rPr>
        <w:t xml:space="preserve"> </w:t>
      </w:r>
      <w:r>
        <w:rPr>
          <w:rFonts w:ascii="宋体" w:hAnsi="宋体" w:eastAsia="宋体" w:cs="宋体"/>
          <w:spacing w:val="3"/>
          <w:sz w:val="21"/>
          <w:szCs w:val="21"/>
        </w:rPr>
        <w:t>围内的几十万甚至上百万个</w:t>
      </w:r>
      <w:r>
        <w:rPr>
          <w:rFonts w:ascii="宋体" w:hAnsi="宋体" w:eastAsia="宋体" w:cs="宋体"/>
          <w:sz w:val="21"/>
          <w:szCs w:val="21"/>
        </w:rPr>
        <w:t>SNPs</w:t>
      </w:r>
      <w:r>
        <w:rPr>
          <w:rFonts w:ascii="宋体" w:hAnsi="宋体" w:eastAsia="宋体" w:cs="宋体"/>
          <w:spacing w:val="3"/>
          <w:sz w:val="21"/>
          <w:szCs w:val="21"/>
        </w:rPr>
        <w:t>,</w:t>
      </w:r>
      <w:r>
        <w:rPr>
          <w:rFonts w:ascii="宋体" w:hAnsi="宋体" w:eastAsia="宋体" w:cs="宋体"/>
          <w:spacing w:val="-17"/>
          <w:sz w:val="21"/>
          <w:szCs w:val="21"/>
        </w:rPr>
        <w:t xml:space="preserve"> </w:t>
      </w:r>
      <w:r>
        <w:rPr>
          <w:rFonts w:ascii="宋体" w:hAnsi="宋体" w:eastAsia="宋体" w:cs="宋体"/>
          <w:spacing w:val="3"/>
          <w:sz w:val="21"/>
          <w:szCs w:val="21"/>
        </w:rPr>
        <w:t>具有大样本量和多阶段验证的设计特点，研究效率高。同时，</w:t>
      </w:r>
      <w:r>
        <w:rPr>
          <w:rFonts w:ascii="宋体" w:hAnsi="宋体" w:eastAsia="宋体" w:cs="宋体"/>
          <w:sz w:val="21"/>
          <w:szCs w:val="21"/>
        </w:rPr>
        <w:t xml:space="preserve"> </w:t>
      </w:r>
      <w:r>
        <w:rPr>
          <w:rFonts w:ascii="宋体" w:hAnsi="宋体" w:eastAsia="宋体" w:cs="宋体"/>
          <w:spacing w:val="7"/>
          <w:sz w:val="21"/>
          <w:szCs w:val="21"/>
        </w:rPr>
        <w:t>新一代测序技术的进步，使能够同时检测全基因组范围内多种类型的遗传变异(包括</w:t>
      </w:r>
      <w:r>
        <w:rPr>
          <w:rFonts w:ascii="Times New Roman" w:hAnsi="Times New Roman" w:eastAsia="Times New Roman" w:cs="Times New Roman"/>
          <w:sz w:val="21"/>
          <w:szCs w:val="21"/>
        </w:rPr>
        <w:t>SNPs</w:t>
      </w:r>
      <w:r>
        <w:rPr>
          <w:rFonts w:ascii="宋体" w:hAnsi="宋体" w:eastAsia="宋体" w:cs="宋体"/>
          <w:spacing w:val="7"/>
          <w:sz w:val="21"/>
          <w:szCs w:val="21"/>
        </w:rPr>
        <w:t>、插</w:t>
      </w:r>
      <w:r>
        <w:rPr>
          <w:rFonts w:ascii="宋体" w:hAnsi="宋体" w:eastAsia="宋体" w:cs="宋体"/>
          <w:spacing w:val="16"/>
          <w:sz w:val="21"/>
          <w:szCs w:val="21"/>
        </w:rPr>
        <w:t xml:space="preserve"> </w:t>
      </w:r>
      <w:r>
        <w:rPr>
          <w:rFonts w:ascii="宋体" w:hAnsi="宋体" w:eastAsia="宋体" w:cs="宋体"/>
          <w:spacing w:val="3"/>
          <w:sz w:val="21"/>
          <w:szCs w:val="21"/>
        </w:rPr>
        <w:t xml:space="preserve">入/缺失、结构变异等),且具有更高的检测分辨率，为全面揭示复杂性疾病的遗传机制提供了新 </w:t>
      </w:r>
      <w:r>
        <w:rPr>
          <w:rFonts w:ascii="宋体" w:hAnsi="宋体" w:eastAsia="宋体" w:cs="宋体"/>
          <w:spacing w:val="5"/>
          <w:sz w:val="21"/>
          <w:szCs w:val="21"/>
        </w:rPr>
        <w:t>机遇。</w:t>
      </w:r>
    </w:p>
    <w:p w14:paraId="0A992F74">
      <w:pPr>
        <w:spacing w:line="408" w:lineRule="auto"/>
        <w:rPr>
          <w:rFonts w:ascii="Arial"/>
          <w:sz w:val="21"/>
        </w:rPr>
      </w:pPr>
    </w:p>
    <w:p w14:paraId="609B8F6D">
      <w:pPr>
        <w:pStyle w:val="2"/>
        <w:spacing w:before="99" w:line="221" w:lineRule="auto"/>
        <w:ind w:left="3704"/>
        <w:outlineLvl w:val="1"/>
      </w:pPr>
      <w:bookmarkStart w:id="443" w:name="bookmark281"/>
      <w:bookmarkEnd w:id="443"/>
      <w:r>
        <w:rPr>
          <w:b/>
          <w:bCs/>
          <w:spacing w:val="-10"/>
        </w:rPr>
        <w:t>第三节</w:t>
      </w:r>
      <w:r>
        <w:rPr>
          <w:spacing w:val="127"/>
        </w:rPr>
        <w:t xml:space="preserve"> </w:t>
      </w:r>
      <w:r>
        <w:rPr>
          <w:b/>
          <w:bCs/>
          <w:spacing w:val="-10"/>
        </w:rPr>
        <w:t>主要研究方法</w:t>
      </w:r>
    </w:p>
    <w:p w14:paraId="58148490">
      <w:pPr>
        <w:spacing w:line="354" w:lineRule="auto"/>
        <w:rPr>
          <w:rFonts w:ascii="Arial"/>
          <w:sz w:val="21"/>
        </w:rPr>
      </w:pPr>
    </w:p>
    <w:p w14:paraId="37FC19FF">
      <w:pPr>
        <w:pStyle w:val="2"/>
        <w:spacing w:before="84" w:line="222" w:lineRule="auto"/>
        <w:ind w:left="1123"/>
        <w:outlineLvl w:val="4"/>
        <w:rPr>
          <w:sz w:val="26"/>
          <w:szCs w:val="26"/>
        </w:rPr>
      </w:pPr>
      <w:bookmarkStart w:id="444" w:name="bookmark282"/>
      <w:bookmarkEnd w:id="444"/>
      <w:r>
        <w:rPr>
          <w:b/>
          <w:bCs/>
          <w:spacing w:val="-7"/>
          <w:sz w:val="26"/>
          <w:szCs w:val="26"/>
        </w:rPr>
        <w:t>一、研究设计</w:t>
      </w:r>
    </w:p>
    <w:p w14:paraId="0C767D1D">
      <w:pPr>
        <w:spacing w:before="270" w:line="318" w:lineRule="auto"/>
        <w:ind w:left="699" w:firstLine="419"/>
        <w:rPr>
          <w:rFonts w:ascii="宋体" w:hAnsi="宋体" w:eastAsia="宋体" w:cs="宋体"/>
          <w:sz w:val="21"/>
          <w:szCs w:val="21"/>
        </w:rPr>
      </w:pPr>
      <w:r>
        <w:rPr>
          <w:rFonts w:ascii="宋体" w:hAnsi="宋体" w:eastAsia="宋体" w:cs="宋体"/>
          <w:spacing w:val="-6"/>
          <w:sz w:val="21"/>
          <w:szCs w:val="21"/>
        </w:rPr>
        <w:t>一般来说，流行病学描述性、分析性、实验(干预)性研</w:t>
      </w:r>
      <w:r>
        <w:rPr>
          <w:rFonts w:ascii="宋体" w:hAnsi="宋体" w:eastAsia="宋体" w:cs="宋体"/>
          <w:spacing w:val="-7"/>
          <w:sz w:val="21"/>
          <w:szCs w:val="21"/>
        </w:rPr>
        <w:t>究方法都可以应用于分子流行病学研究，</w:t>
      </w:r>
      <w:r>
        <w:rPr>
          <w:rFonts w:ascii="宋体" w:hAnsi="宋体" w:eastAsia="宋体" w:cs="宋体"/>
          <w:sz w:val="21"/>
          <w:szCs w:val="21"/>
        </w:rPr>
        <w:t xml:space="preserve"> </w:t>
      </w:r>
      <w:r>
        <w:rPr>
          <w:rFonts w:ascii="宋体" w:hAnsi="宋体" w:eastAsia="宋体" w:cs="宋体"/>
          <w:spacing w:val="-2"/>
          <w:sz w:val="21"/>
          <w:szCs w:val="21"/>
        </w:rPr>
        <w:t>可以根据不同的研究内容采用不同的研究设计。下面主要介绍五种常用的研究设计。</w:t>
      </w:r>
    </w:p>
    <w:p w14:paraId="6D030BDF">
      <w:pPr>
        <w:spacing w:line="318" w:lineRule="auto"/>
        <w:rPr>
          <w:rFonts w:ascii="宋体" w:hAnsi="宋体" w:eastAsia="宋体" w:cs="宋体"/>
          <w:sz w:val="21"/>
          <w:szCs w:val="21"/>
        </w:rPr>
        <w:sectPr>
          <w:footerReference r:id="rId287" w:type="default"/>
          <w:pgSz w:w="11900" w:h="16820"/>
          <w:pgMar w:top="400" w:right="1445" w:bottom="876" w:left="790" w:header="0" w:footer="687" w:gutter="0"/>
          <w:cols w:space="720" w:num="1"/>
        </w:sectPr>
      </w:pPr>
    </w:p>
    <w:p w14:paraId="47B4E092">
      <w:pPr>
        <w:pStyle w:val="2"/>
        <w:spacing w:before="46" w:line="221" w:lineRule="auto"/>
        <w:ind w:left="7010"/>
        <w:rPr>
          <w:sz w:val="20"/>
          <w:szCs w:val="20"/>
        </w:rPr>
      </w:pPr>
      <w:r>
        <w:rPr>
          <w:spacing w:val="-13"/>
          <w:sz w:val="20"/>
          <w:szCs w:val="20"/>
        </w:rPr>
        <w:t>第十七章分子流行病学</w:t>
      </w:r>
    </w:p>
    <w:p w14:paraId="02378606">
      <w:pPr>
        <w:spacing w:line="254" w:lineRule="auto"/>
        <w:rPr>
          <w:rFonts w:ascii="Arial"/>
          <w:sz w:val="21"/>
        </w:rPr>
      </w:pPr>
    </w:p>
    <w:p w14:paraId="5D5FAA03">
      <w:pPr>
        <w:spacing w:line="254" w:lineRule="auto"/>
        <w:rPr>
          <w:rFonts w:ascii="Arial"/>
          <w:sz w:val="21"/>
        </w:rPr>
      </w:pPr>
    </w:p>
    <w:p w14:paraId="2BF988C0">
      <w:pPr>
        <w:pStyle w:val="2"/>
        <w:spacing w:before="81" w:line="222" w:lineRule="auto"/>
        <w:ind w:left="419"/>
        <w:rPr>
          <w:sz w:val="25"/>
          <w:szCs w:val="25"/>
        </w:rPr>
      </w:pPr>
      <w:r>
        <w:rPr>
          <w:spacing w:val="-9"/>
          <w:sz w:val="25"/>
          <w:szCs w:val="25"/>
        </w:rPr>
        <w:t>(一)病例对照研究</w:t>
      </w:r>
    </w:p>
    <w:p w14:paraId="070F94EE">
      <w:pPr>
        <w:spacing w:before="108" w:line="343" w:lineRule="auto"/>
        <w:ind w:right="545" w:firstLine="419"/>
        <w:jc w:val="both"/>
        <w:rPr>
          <w:rFonts w:ascii="宋体" w:hAnsi="宋体" w:eastAsia="宋体" w:cs="宋体"/>
          <w:sz w:val="20"/>
          <w:szCs w:val="20"/>
        </w:rPr>
      </w:pPr>
      <w:r>
        <w:rPr>
          <w:rFonts w:ascii="宋体" w:hAnsi="宋体" w:eastAsia="宋体" w:cs="宋体"/>
          <w:spacing w:val="8"/>
          <w:sz w:val="20"/>
          <w:szCs w:val="20"/>
        </w:rPr>
        <w:t>与传统病例对照研究的设计和分析思路一样，需要尽可能选择合适、可</w:t>
      </w:r>
      <w:r>
        <w:rPr>
          <w:rFonts w:ascii="宋体" w:hAnsi="宋体" w:eastAsia="宋体" w:cs="宋体"/>
          <w:spacing w:val="7"/>
          <w:sz w:val="20"/>
          <w:szCs w:val="20"/>
        </w:rPr>
        <w:t>比的对照并控制偏倚。</w:t>
      </w:r>
      <w:r>
        <w:rPr>
          <w:rFonts w:ascii="宋体" w:hAnsi="宋体" w:eastAsia="宋体" w:cs="宋体"/>
          <w:sz w:val="20"/>
          <w:szCs w:val="20"/>
        </w:rPr>
        <w:t xml:space="preserve"> </w:t>
      </w:r>
      <w:r>
        <w:rPr>
          <w:rFonts w:ascii="宋体" w:hAnsi="宋体" w:eastAsia="宋体" w:cs="宋体"/>
          <w:spacing w:val="5"/>
          <w:sz w:val="20"/>
          <w:szCs w:val="20"/>
        </w:rPr>
        <w:t>以遗传易感性研究为例，对照应该选自产生病例的人群，应具有较好的代表性。若某病病例来自携</w:t>
      </w:r>
      <w:r>
        <w:rPr>
          <w:rFonts w:ascii="宋体" w:hAnsi="宋体" w:eastAsia="宋体" w:cs="宋体"/>
          <w:spacing w:val="7"/>
          <w:sz w:val="20"/>
          <w:szCs w:val="20"/>
        </w:rPr>
        <w:t xml:space="preserve">  </w:t>
      </w:r>
      <w:r>
        <w:rPr>
          <w:rFonts w:ascii="宋体" w:hAnsi="宋体" w:eastAsia="宋体" w:cs="宋体"/>
          <w:spacing w:val="6"/>
          <w:sz w:val="20"/>
          <w:szCs w:val="20"/>
        </w:rPr>
        <w:t>带基因多态性频率较高的人群，而对照选自携带基因多态性频率较低的另一个人群，则可产生假阳</w:t>
      </w:r>
      <w:r>
        <w:rPr>
          <w:rFonts w:ascii="宋体" w:hAnsi="宋体" w:eastAsia="宋体" w:cs="宋体"/>
          <w:spacing w:val="2"/>
          <w:sz w:val="20"/>
          <w:szCs w:val="20"/>
        </w:rPr>
        <w:t xml:space="preserve"> </w:t>
      </w:r>
      <w:r>
        <w:rPr>
          <w:rFonts w:ascii="宋体" w:hAnsi="宋体" w:eastAsia="宋体" w:cs="宋体"/>
          <w:spacing w:val="12"/>
          <w:sz w:val="20"/>
          <w:szCs w:val="20"/>
        </w:rPr>
        <w:t>性结果。</w:t>
      </w:r>
    </w:p>
    <w:p w14:paraId="5EC3E6BB">
      <w:pPr>
        <w:pStyle w:val="2"/>
        <w:spacing w:before="20" w:line="212" w:lineRule="auto"/>
        <w:ind w:left="419"/>
        <w:rPr>
          <w:rFonts w:ascii="Times New Roman" w:hAnsi="Times New Roman" w:eastAsia="Times New Roman" w:cs="Times New Roman"/>
          <w:sz w:val="20"/>
          <w:szCs w:val="20"/>
        </w:rPr>
      </w:pPr>
      <w:r>
        <w:rPr>
          <w:spacing w:val="20"/>
          <w:sz w:val="20"/>
          <w:szCs w:val="20"/>
        </w:rPr>
        <w:t>(二)巢式病例对照研究</w:t>
      </w:r>
      <w:r>
        <w:rPr>
          <w:rFonts w:ascii="Times New Roman" w:hAnsi="Times New Roman" w:eastAsia="Times New Roman" w:cs="Times New Roman"/>
          <w:spacing w:val="20"/>
          <w:sz w:val="20"/>
          <w:szCs w:val="20"/>
        </w:rPr>
        <w:t>(</w:t>
      </w:r>
      <w:r>
        <w:rPr>
          <w:rFonts w:ascii="Times New Roman" w:hAnsi="Times New Roman" w:eastAsia="Times New Roman" w:cs="Times New Roman"/>
          <w:sz w:val="20"/>
          <w:szCs w:val="20"/>
        </w:rPr>
        <w:t>nested</w:t>
      </w:r>
      <w:r>
        <w:rPr>
          <w:rFonts w:ascii="Times New Roman" w:hAnsi="Times New Roman" w:eastAsia="Times New Roman" w:cs="Times New Roman"/>
          <w:spacing w:val="20"/>
          <w:sz w:val="20"/>
          <w:szCs w:val="20"/>
        </w:rPr>
        <w:t xml:space="preserve">   </w:t>
      </w:r>
      <w:r>
        <w:rPr>
          <w:rFonts w:ascii="Times New Roman" w:hAnsi="Times New Roman" w:eastAsia="Times New Roman" w:cs="Times New Roman"/>
          <w:sz w:val="20"/>
          <w:szCs w:val="20"/>
        </w:rPr>
        <w:t>case</w:t>
      </w:r>
      <w:r>
        <w:rPr>
          <w:rFonts w:ascii="Times New Roman" w:hAnsi="Times New Roman" w:eastAsia="Times New Roman" w:cs="Times New Roman"/>
          <w:spacing w:val="20"/>
          <w:sz w:val="20"/>
          <w:szCs w:val="20"/>
        </w:rPr>
        <w:t>-</w:t>
      </w:r>
      <w:r>
        <w:rPr>
          <w:rFonts w:ascii="Times New Roman" w:hAnsi="Times New Roman" w:eastAsia="Times New Roman" w:cs="Times New Roman"/>
          <w:sz w:val="20"/>
          <w:szCs w:val="20"/>
        </w:rPr>
        <w:t>control</w:t>
      </w:r>
      <w:r>
        <w:rPr>
          <w:rFonts w:ascii="Times New Roman" w:hAnsi="Times New Roman" w:eastAsia="Times New Roman" w:cs="Times New Roman"/>
          <w:spacing w:val="20"/>
          <w:sz w:val="20"/>
          <w:szCs w:val="20"/>
        </w:rPr>
        <w:t xml:space="preserve">   </w:t>
      </w:r>
      <w:r>
        <w:rPr>
          <w:rFonts w:ascii="Times New Roman" w:hAnsi="Times New Roman" w:eastAsia="Times New Roman" w:cs="Times New Roman"/>
          <w:sz w:val="20"/>
          <w:szCs w:val="20"/>
        </w:rPr>
        <w:t>study</w:t>
      </w:r>
      <w:r>
        <w:rPr>
          <w:rFonts w:ascii="Times New Roman" w:hAnsi="Times New Roman" w:eastAsia="Times New Roman" w:cs="Times New Roman"/>
          <w:spacing w:val="20"/>
          <w:sz w:val="20"/>
          <w:szCs w:val="20"/>
        </w:rPr>
        <w:t>)</w:t>
      </w:r>
    </w:p>
    <w:p w14:paraId="1A854B09">
      <w:pPr>
        <w:spacing w:before="144" w:line="342" w:lineRule="auto"/>
        <w:ind w:right="623" w:firstLine="419"/>
        <w:jc w:val="both"/>
        <w:rPr>
          <w:rFonts w:ascii="宋体" w:hAnsi="宋体" w:eastAsia="宋体" w:cs="宋体"/>
          <w:sz w:val="20"/>
          <w:szCs w:val="20"/>
        </w:rPr>
      </w:pPr>
      <w:r>
        <w:rPr>
          <w:rFonts w:ascii="宋体" w:hAnsi="宋体" w:eastAsia="宋体" w:cs="宋体"/>
          <w:spacing w:val="6"/>
          <w:sz w:val="20"/>
          <w:szCs w:val="20"/>
        </w:rPr>
        <w:t>这是一种在队列研究基础上的病例对照研究，基本设计方法是在队</w:t>
      </w:r>
      <w:r>
        <w:rPr>
          <w:rFonts w:ascii="宋体" w:hAnsi="宋体" w:eastAsia="宋体" w:cs="宋体"/>
          <w:spacing w:val="5"/>
          <w:sz w:val="20"/>
          <w:szCs w:val="20"/>
        </w:rPr>
        <w:t>列研究的基础上，在一定的</w:t>
      </w:r>
      <w:r>
        <w:rPr>
          <w:rFonts w:ascii="宋体" w:hAnsi="宋体" w:eastAsia="宋体" w:cs="宋体"/>
          <w:sz w:val="20"/>
          <w:szCs w:val="20"/>
        </w:rPr>
        <w:t xml:space="preserve"> </w:t>
      </w:r>
      <w:r>
        <w:rPr>
          <w:rFonts w:ascii="宋体" w:hAnsi="宋体" w:eastAsia="宋体" w:cs="宋体"/>
          <w:spacing w:val="3"/>
          <w:sz w:val="20"/>
          <w:szCs w:val="20"/>
        </w:rPr>
        <w:t>观察期内，当所研究疾病的新发病例累积到一定数量时，则可将全部病例集中组成“病例组”;在每</w:t>
      </w:r>
      <w:r>
        <w:rPr>
          <w:rFonts w:ascii="宋体" w:hAnsi="宋体" w:eastAsia="宋体" w:cs="宋体"/>
          <w:spacing w:val="15"/>
          <w:sz w:val="20"/>
          <w:szCs w:val="20"/>
        </w:rPr>
        <w:t xml:space="preserve"> </w:t>
      </w:r>
      <w:r>
        <w:rPr>
          <w:rFonts w:ascii="宋体" w:hAnsi="宋体" w:eastAsia="宋体" w:cs="宋体"/>
          <w:spacing w:val="4"/>
          <w:sz w:val="20"/>
          <w:szCs w:val="20"/>
        </w:rPr>
        <w:t>个病例发病当时，从同一队列的未发病者中，按一定匹配条件随机</w:t>
      </w:r>
      <w:r>
        <w:rPr>
          <w:rFonts w:ascii="宋体" w:hAnsi="宋体" w:eastAsia="宋体" w:cs="宋体"/>
          <w:spacing w:val="3"/>
          <w:sz w:val="20"/>
          <w:szCs w:val="20"/>
        </w:rPr>
        <w:t>选择对照，集中组成“对照组”;</w:t>
      </w:r>
      <w:r>
        <w:rPr>
          <w:rFonts w:ascii="宋体" w:hAnsi="宋体" w:eastAsia="宋体" w:cs="宋体"/>
          <w:sz w:val="20"/>
          <w:szCs w:val="20"/>
        </w:rPr>
        <w:t xml:space="preserve"> </w:t>
      </w:r>
      <w:r>
        <w:rPr>
          <w:rFonts w:ascii="宋体" w:hAnsi="宋体" w:eastAsia="宋体" w:cs="宋体"/>
          <w:spacing w:val="6"/>
          <w:sz w:val="20"/>
          <w:szCs w:val="20"/>
        </w:rPr>
        <w:t>然后，抽取病例与对照的基线资料，并检测收集的生物学标本，按匹配病例对照研究的方</w:t>
      </w:r>
      <w:r>
        <w:rPr>
          <w:rFonts w:ascii="宋体" w:hAnsi="宋体" w:eastAsia="宋体" w:cs="宋体"/>
          <w:spacing w:val="5"/>
          <w:sz w:val="20"/>
          <w:szCs w:val="20"/>
        </w:rPr>
        <w:t>法进行资</w:t>
      </w:r>
      <w:r>
        <w:rPr>
          <w:rFonts w:ascii="宋体" w:hAnsi="宋体" w:eastAsia="宋体" w:cs="宋体"/>
          <w:sz w:val="20"/>
          <w:szCs w:val="20"/>
        </w:rPr>
        <w:t xml:space="preserve"> </w:t>
      </w:r>
      <w:r>
        <w:rPr>
          <w:rFonts w:ascii="宋体" w:hAnsi="宋体" w:eastAsia="宋体" w:cs="宋体"/>
          <w:spacing w:val="10"/>
          <w:sz w:val="20"/>
          <w:szCs w:val="20"/>
        </w:rPr>
        <w:t>料的统计分析。该设计特别适用于分子流行病学研究。</w:t>
      </w:r>
    </w:p>
    <w:p w14:paraId="6EEE9F44">
      <w:pPr>
        <w:pStyle w:val="2"/>
        <w:spacing w:before="44" w:line="212" w:lineRule="auto"/>
        <w:ind w:left="419"/>
        <w:rPr>
          <w:rFonts w:ascii="Times New Roman" w:hAnsi="Times New Roman" w:eastAsia="Times New Roman" w:cs="Times New Roman"/>
          <w:sz w:val="20"/>
          <w:szCs w:val="20"/>
        </w:rPr>
      </w:pPr>
      <w:r>
        <w:rPr>
          <w:spacing w:val="-7"/>
          <w:sz w:val="20"/>
          <w:szCs w:val="20"/>
        </w:rPr>
        <w:t>(</w:t>
      </w:r>
      <w:r>
        <w:rPr>
          <w:spacing w:val="-26"/>
          <w:sz w:val="20"/>
          <w:szCs w:val="20"/>
        </w:rPr>
        <w:t xml:space="preserve"> </w:t>
      </w:r>
      <w:r>
        <w:rPr>
          <w:spacing w:val="-7"/>
          <w:sz w:val="20"/>
          <w:szCs w:val="20"/>
        </w:rPr>
        <w:t>三</w:t>
      </w:r>
      <w:r>
        <w:rPr>
          <w:spacing w:val="-49"/>
          <w:sz w:val="20"/>
          <w:szCs w:val="20"/>
        </w:rPr>
        <w:t xml:space="preserve"> </w:t>
      </w:r>
      <w:r>
        <w:rPr>
          <w:spacing w:val="-7"/>
          <w:sz w:val="20"/>
          <w:szCs w:val="20"/>
        </w:rPr>
        <w:t>)</w:t>
      </w:r>
      <w:r>
        <w:rPr>
          <w:spacing w:val="-47"/>
          <w:sz w:val="20"/>
          <w:szCs w:val="20"/>
        </w:rPr>
        <w:t xml:space="preserve"> </w:t>
      </w:r>
      <w:r>
        <w:rPr>
          <w:spacing w:val="-7"/>
          <w:sz w:val="20"/>
          <w:szCs w:val="20"/>
        </w:rPr>
        <w:t>病</w:t>
      </w:r>
      <w:r>
        <w:rPr>
          <w:spacing w:val="-47"/>
          <w:sz w:val="20"/>
          <w:szCs w:val="20"/>
        </w:rPr>
        <w:t xml:space="preserve"> </w:t>
      </w:r>
      <w:r>
        <w:rPr>
          <w:spacing w:val="-7"/>
          <w:sz w:val="20"/>
          <w:szCs w:val="20"/>
        </w:rPr>
        <w:t>例</w:t>
      </w:r>
      <w:r>
        <w:rPr>
          <w:spacing w:val="-49"/>
          <w:sz w:val="20"/>
          <w:szCs w:val="20"/>
        </w:rPr>
        <w:t xml:space="preserve"> </w:t>
      </w:r>
      <w:r>
        <w:rPr>
          <w:spacing w:val="-7"/>
          <w:sz w:val="20"/>
          <w:szCs w:val="20"/>
        </w:rPr>
        <w:t>-</w:t>
      </w:r>
      <w:r>
        <w:rPr>
          <w:spacing w:val="-36"/>
          <w:sz w:val="20"/>
          <w:szCs w:val="20"/>
        </w:rPr>
        <w:t xml:space="preserve"> </w:t>
      </w:r>
      <w:r>
        <w:rPr>
          <w:spacing w:val="-7"/>
          <w:sz w:val="20"/>
          <w:szCs w:val="20"/>
        </w:rPr>
        <w:t>队</w:t>
      </w:r>
      <w:r>
        <w:rPr>
          <w:spacing w:val="-43"/>
          <w:sz w:val="20"/>
          <w:szCs w:val="20"/>
        </w:rPr>
        <w:t xml:space="preserve"> </w:t>
      </w:r>
      <w:r>
        <w:rPr>
          <w:spacing w:val="-7"/>
          <w:sz w:val="20"/>
          <w:szCs w:val="20"/>
        </w:rPr>
        <w:t>列</w:t>
      </w:r>
      <w:r>
        <w:rPr>
          <w:spacing w:val="-48"/>
          <w:sz w:val="20"/>
          <w:szCs w:val="20"/>
        </w:rPr>
        <w:t xml:space="preserve"> </w:t>
      </w:r>
      <w:r>
        <w:rPr>
          <w:spacing w:val="-7"/>
          <w:sz w:val="20"/>
          <w:szCs w:val="20"/>
        </w:rPr>
        <w:t>研</w:t>
      </w:r>
      <w:r>
        <w:rPr>
          <w:spacing w:val="-46"/>
          <w:sz w:val="20"/>
          <w:szCs w:val="20"/>
        </w:rPr>
        <w:t xml:space="preserve"> </w:t>
      </w:r>
      <w:r>
        <w:rPr>
          <w:spacing w:val="-7"/>
          <w:sz w:val="20"/>
          <w:szCs w:val="20"/>
        </w:rPr>
        <w:t>究(case-</w:t>
      </w:r>
      <w:r>
        <w:rPr>
          <w:rFonts w:ascii="Arial" w:hAnsi="Arial" w:eastAsia="Arial" w:cs="Arial"/>
          <w:spacing w:val="-7"/>
          <w:sz w:val="20"/>
          <w:szCs w:val="20"/>
        </w:rPr>
        <w:t>c</w:t>
      </w:r>
      <w:r>
        <w:rPr>
          <w:rFonts w:ascii="Times New Roman" w:hAnsi="Times New Roman" w:eastAsia="Times New Roman" w:cs="Times New Roman"/>
          <w:spacing w:val="-7"/>
          <w:sz w:val="20"/>
          <w:szCs w:val="20"/>
        </w:rPr>
        <w:t>ohort</w:t>
      </w:r>
      <w:r>
        <w:rPr>
          <w:rFonts w:ascii="Times New Roman" w:hAnsi="Times New Roman" w:eastAsia="Times New Roman" w:cs="Times New Roman"/>
          <w:spacing w:val="11"/>
          <w:sz w:val="20"/>
          <w:szCs w:val="20"/>
        </w:rPr>
        <w:t xml:space="preserve">   </w:t>
      </w:r>
      <w:r>
        <w:rPr>
          <w:rFonts w:ascii="Times New Roman" w:hAnsi="Times New Roman" w:eastAsia="Times New Roman" w:cs="Times New Roman"/>
          <w:spacing w:val="-7"/>
          <w:sz w:val="20"/>
          <w:szCs w:val="20"/>
        </w:rPr>
        <w:t>study)</w:t>
      </w:r>
    </w:p>
    <w:p w14:paraId="1801739D">
      <w:pPr>
        <w:spacing w:before="133" w:line="342" w:lineRule="auto"/>
        <w:ind w:right="629" w:firstLine="419"/>
        <w:jc w:val="both"/>
        <w:rPr>
          <w:rFonts w:ascii="宋体" w:hAnsi="宋体" w:eastAsia="宋体" w:cs="宋体"/>
          <w:sz w:val="20"/>
          <w:szCs w:val="20"/>
        </w:rPr>
      </w:pPr>
      <w:r>
        <w:rPr>
          <w:rFonts w:ascii="宋体" w:hAnsi="宋体" w:eastAsia="宋体" w:cs="宋体"/>
          <w:spacing w:val="11"/>
          <w:sz w:val="20"/>
          <w:szCs w:val="20"/>
        </w:rPr>
        <w:t>这也是一种队列研究与病例对照研究相结合的设计。基本设计方法是在参加基线</w:t>
      </w:r>
      <w:r>
        <w:rPr>
          <w:rFonts w:ascii="宋体" w:hAnsi="宋体" w:eastAsia="宋体" w:cs="宋体"/>
          <w:spacing w:val="10"/>
          <w:sz w:val="20"/>
          <w:szCs w:val="20"/>
        </w:rPr>
        <w:t>调查的队列</w:t>
      </w:r>
      <w:r>
        <w:rPr>
          <w:rFonts w:ascii="宋体" w:hAnsi="宋体" w:eastAsia="宋体" w:cs="宋体"/>
          <w:sz w:val="20"/>
          <w:szCs w:val="20"/>
        </w:rPr>
        <w:t xml:space="preserve"> </w:t>
      </w:r>
      <w:r>
        <w:rPr>
          <w:rFonts w:ascii="宋体" w:hAnsi="宋体" w:eastAsia="宋体" w:cs="宋体"/>
          <w:spacing w:val="6"/>
          <w:sz w:val="20"/>
          <w:szCs w:val="20"/>
        </w:rPr>
        <w:t>人群中按一定比例随机抽样选出一个有代表性的样本作为对照组；随访</w:t>
      </w:r>
      <w:r>
        <w:rPr>
          <w:rFonts w:ascii="宋体" w:hAnsi="宋体" w:eastAsia="宋体" w:cs="宋体"/>
          <w:spacing w:val="5"/>
          <w:sz w:val="20"/>
          <w:szCs w:val="20"/>
        </w:rPr>
        <w:t>观察结束时，将队列中出现</w:t>
      </w:r>
      <w:r>
        <w:rPr>
          <w:rFonts w:ascii="宋体" w:hAnsi="宋体" w:eastAsia="宋体" w:cs="宋体"/>
          <w:sz w:val="20"/>
          <w:szCs w:val="20"/>
        </w:rPr>
        <w:t xml:space="preserve"> </w:t>
      </w:r>
      <w:r>
        <w:rPr>
          <w:rFonts w:ascii="宋体" w:hAnsi="宋体" w:eastAsia="宋体" w:cs="宋体"/>
          <w:spacing w:val="6"/>
          <w:sz w:val="20"/>
          <w:szCs w:val="20"/>
        </w:rPr>
        <w:t>所研究疾病的全部病例作为病例组；抽取病例与对照的基线资料，并检测收集</w:t>
      </w:r>
      <w:r>
        <w:rPr>
          <w:rFonts w:ascii="宋体" w:hAnsi="宋体" w:eastAsia="宋体" w:cs="宋体"/>
          <w:spacing w:val="5"/>
          <w:sz w:val="20"/>
          <w:szCs w:val="20"/>
        </w:rPr>
        <w:t>的生物学标本，进行</w:t>
      </w:r>
      <w:r>
        <w:rPr>
          <w:rFonts w:ascii="宋体" w:hAnsi="宋体" w:eastAsia="宋体" w:cs="宋体"/>
          <w:sz w:val="20"/>
          <w:szCs w:val="20"/>
        </w:rPr>
        <w:t xml:space="preserve"> </w:t>
      </w:r>
      <w:r>
        <w:rPr>
          <w:rFonts w:ascii="宋体" w:hAnsi="宋体" w:eastAsia="宋体" w:cs="宋体"/>
          <w:spacing w:val="8"/>
          <w:sz w:val="20"/>
          <w:szCs w:val="20"/>
        </w:rPr>
        <w:t>组间比较。病例-队列研究与巢式病例对照研究的不同之处在于：①前者的对照是从基线纳人的全</w:t>
      </w:r>
      <w:r>
        <w:rPr>
          <w:rFonts w:ascii="宋体" w:hAnsi="宋体" w:eastAsia="宋体" w:cs="宋体"/>
          <w:spacing w:val="4"/>
          <w:sz w:val="20"/>
          <w:szCs w:val="20"/>
        </w:rPr>
        <w:t xml:space="preserve"> </w:t>
      </w:r>
      <w:r>
        <w:rPr>
          <w:rFonts w:ascii="宋体" w:hAnsi="宋体" w:eastAsia="宋体" w:cs="宋体"/>
          <w:spacing w:val="11"/>
          <w:sz w:val="20"/>
          <w:szCs w:val="20"/>
        </w:rPr>
        <w:t>部队列成员中随机选取的，而后者的对照是与病例按个体匹配</w:t>
      </w:r>
      <w:r>
        <w:rPr>
          <w:rFonts w:ascii="宋体" w:hAnsi="宋体" w:eastAsia="宋体" w:cs="宋体"/>
          <w:spacing w:val="10"/>
          <w:sz w:val="20"/>
          <w:szCs w:val="20"/>
        </w:rPr>
        <w:t>的。②前者的对照组可作为多种疾</w:t>
      </w:r>
      <w:r>
        <w:rPr>
          <w:rFonts w:ascii="宋体" w:hAnsi="宋体" w:eastAsia="宋体" w:cs="宋体"/>
          <w:sz w:val="20"/>
          <w:szCs w:val="20"/>
        </w:rPr>
        <w:t xml:space="preserve"> </w:t>
      </w:r>
      <w:r>
        <w:rPr>
          <w:rFonts w:ascii="宋体" w:hAnsi="宋体" w:eastAsia="宋体" w:cs="宋体"/>
          <w:spacing w:val="2"/>
          <w:sz w:val="20"/>
          <w:szCs w:val="20"/>
        </w:rPr>
        <w:t>病结局的共用对照组；而在后者中，不同疾病结局的研究，对照组不同。</w:t>
      </w:r>
    </w:p>
    <w:p w14:paraId="05FF9F7B">
      <w:pPr>
        <w:pStyle w:val="2"/>
        <w:spacing w:before="34" w:line="212" w:lineRule="auto"/>
        <w:ind w:left="419"/>
        <w:rPr>
          <w:rFonts w:ascii="Times New Roman" w:hAnsi="Times New Roman" w:eastAsia="Times New Roman" w:cs="Times New Roman"/>
          <w:sz w:val="20"/>
          <w:szCs w:val="20"/>
        </w:rPr>
      </w:pPr>
      <w:r>
        <w:rPr>
          <w:spacing w:val="16"/>
          <w:sz w:val="20"/>
          <w:szCs w:val="20"/>
        </w:rPr>
        <w:t>(四)病例</w:t>
      </w:r>
      <w:r>
        <w:rPr>
          <w:spacing w:val="-50"/>
          <w:sz w:val="20"/>
          <w:szCs w:val="20"/>
        </w:rPr>
        <w:t xml:space="preserve"> </w:t>
      </w:r>
      <w:r>
        <w:rPr>
          <w:spacing w:val="16"/>
          <w:sz w:val="20"/>
          <w:szCs w:val="20"/>
        </w:rPr>
        <w:t>-</w:t>
      </w:r>
      <w:r>
        <w:rPr>
          <w:spacing w:val="-51"/>
          <w:sz w:val="20"/>
          <w:szCs w:val="20"/>
        </w:rPr>
        <w:t xml:space="preserve"> </w:t>
      </w:r>
      <w:r>
        <w:rPr>
          <w:spacing w:val="16"/>
          <w:sz w:val="20"/>
          <w:szCs w:val="20"/>
        </w:rPr>
        <w:t>病例研究</w:t>
      </w:r>
      <w:r>
        <w:rPr>
          <w:rFonts w:ascii="Times New Roman" w:hAnsi="Times New Roman" w:eastAsia="Times New Roman" w:cs="Times New Roman"/>
          <w:spacing w:val="16"/>
          <w:sz w:val="20"/>
          <w:szCs w:val="20"/>
        </w:rPr>
        <w:t>(</w:t>
      </w:r>
      <w:r>
        <w:rPr>
          <w:rFonts w:ascii="Times New Roman" w:hAnsi="Times New Roman" w:eastAsia="Times New Roman" w:cs="Times New Roman"/>
          <w:sz w:val="20"/>
          <w:szCs w:val="20"/>
        </w:rPr>
        <w:t>case</w:t>
      </w:r>
      <w:r>
        <w:rPr>
          <w:rFonts w:ascii="Times New Roman" w:hAnsi="Times New Roman" w:eastAsia="Times New Roman" w:cs="Times New Roman"/>
          <w:spacing w:val="16"/>
          <w:sz w:val="20"/>
          <w:szCs w:val="20"/>
        </w:rPr>
        <w:t>-</w:t>
      </w:r>
      <w:r>
        <w:rPr>
          <w:rFonts w:ascii="Times New Roman" w:hAnsi="Times New Roman" w:eastAsia="Times New Roman" w:cs="Times New Roman"/>
          <w:sz w:val="20"/>
          <w:szCs w:val="20"/>
        </w:rPr>
        <w:t>case</w:t>
      </w:r>
      <w:r>
        <w:rPr>
          <w:rFonts w:ascii="Times New Roman" w:hAnsi="Times New Roman" w:eastAsia="Times New Roman" w:cs="Times New Roman"/>
          <w:spacing w:val="16"/>
          <w:sz w:val="20"/>
          <w:szCs w:val="20"/>
        </w:rPr>
        <w:t xml:space="preserve">     </w:t>
      </w:r>
      <w:r>
        <w:rPr>
          <w:rFonts w:ascii="Times New Roman" w:hAnsi="Times New Roman" w:eastAsia="Times New Roman" w:cs="Times New Roman"/>
          <w:sz w:val="20"/>
          <w:szCs w:val="20"/>
        </w:rPr>
        <w:t>study</w:t>
      </w:r>
      <w:r>
        <w:rPr>
          <w:rFonts w:ascii="Times New Roman" w:hAnsi="Times New Roman" w:eastAsia="Times New Roman" w:cs="Times New Roman"/>
          <w:spacing w:val="16"/>
          <w:sz w:val="20"/>
          <w:szCs w:val="20"/>
        </w:rPr>
        <w:t>)</w:t>
      </w:r>
    </w:p>
    <w:p w14:paraId="2820BC79">
      <w:pPr>
        <w:spacing w:before="101" w:line="350" w:lineRule="auto"/>
        <w:ind w:right="616" w:firstLine="419"/>
        <w:jc w:val="both"/>
        <w:rPr>
          <w:rFonts w:ascii="宋体" w:hAnsi="宋体" w:eastAsia="宋体" w:cs="宋体"/>
          <w:sz w:val="20"/>
          <w:szCs w:val="20"/>
        </w:rPr>
      </w:pPr>
      <w:r>
        <w:rPr>
          <w:rFonts w:ascii="宋体" w:hAnsi="宋体" w:eastAsia="宋体" w:cs="宋体"/>
          <w:spacing w:val="6"/>
          <w:sz w:val="20"/>
          <w:szCs w:val="20"/>
        </w:rPr>
        <w:t>在病例对照研究中，有时选择合适的对照颇为不易，从无疾病的对照中去获取某种生物学标本</w:t>
      </w:r>
      <w:r>
        <w:rPr>
          <w:rFonts w:ascii="宋体" w:hAnsi="宋体" w:eastAsia="宋体" w:cs="宋体"/>
          <w:spacing w:val="2"/>
          <w:sz w:val="20"/>
          <w:szCs w:val="20"/>
        </w:rPr>
        <w:t xml:space="preserve"> </w:t>
      </w:r>
      <w:r>
        <w:rPr>
          <w:rFonts w:ascii="宋体" w:hAnsi="宋体" w:eastAsia="宋体" w:cs="宋体"/>
          <w:spacing w:val="6"/>
          <w:sz w:val="20"/>
          <w:szCs w:val="20"/>
        </w:rPr>
        <w:t>也受到医学伦理方面的制约。如果对一种疾病的两个亚型进行对比研究，例如p53</w:t>
      </w:r>
      <w:r>
        <w:rPr>
          <w:rFonts w:ascii="宋体" w:hAnsi="宋体" w:eastAsia="宋体" w:cs="宋体"/>
          <w:spacing w:val="-12"/>
          <w:sz w:val="20"/>
          <w:szCs w:val="20"/>
        </w:rPr>
        <w:t xml:space="preserve"> </w:t>
      </w:r>
      <w:r>
        <w:rPr>
          <w:rFonts w:ascii="宋体" w:hAnsi="宋体" w:eastAsia="宋体" w:cs="宋体"/>
          <w:spacing w:val="6"/>
          <w:sz w:val="20"/>
          <w:szCs w:val="20"/>
        </w:rPr>
        <w:t>突变阳性基因型</w:t>
      </w:r>
      <w:r>
        <w:rPr>
          <w:rFonts w:ascii="宋体" w:hAnsi="宋体" w:eastAsia="宋体" w:cs="宋体"/>
          <w:sz w:val="20"/>
          <w:szCs w:val="20"/>
        </w:rPr>
        <w:t xml:space="preserve"> </w:t>
      </w:r>
      <w:r>
        <w:rPr>
          <w:rFonts w:ascii="宋体" w:hAnsi="宋体" w:eastAsia="宋体" w:cs="宋体"/>
          <w:spacing w:val="6"/>
          <w:sz w:val="20"/>
          <w:szCs w:val="20"/>
        </w:rPr>
        <w:t>的食管癌与p53 突变阴性基因型的食管癌比较</w:t>
      </w:r>
      <w:r>
        <w:rPr>
          <w:rFonts w:ascii="宋体" w:hAnsi="宋体" w:eastAsia="宋体" w:cs="宋体"/>
          <w:spacing w:val="5"/>
          <w:sz w:val="20"/>
          <w:szCs w:val="20"/>
        </w:rPr>
        <w:t>研究，可以不另外设对照组，而进行两个亚组的直接</w:t>
      </w:r>
      <w:r>
        <w:rPr>
          <w:rFonts w:ascii="宋体" w:hAnsi="宋体" w:eastAsia="宋体" w:cs="宋体"/>
          <w:sz w:val="20"/>
          <w:szCs w:val="20"/>
        </w:rPr>
        <w:t xml:space="preserve"> </w:t>
      </w:r>
      <w:r>
        <w:rPr>
          <w:rFonts w:ascii="宋体" w:hAnsi="宋体" w:eastAsia="宋体" w:cs="宋体"/>
          <w:spacing w:val="-1"/>
          <w:sz w:val="20"/>
          <w:szCs w:val="20"/>
        </w:rPr>
        <w:t>比较。由于比较的两组均为病例，故称为病例-病例研究，也称为单纯病例研究</w:t>
      </w:r>
      <w:r>
        <w:rPr>
          <w:rFonts w:ascii="宋体" w:hAnsi="宋体" w:eastAsia="宋体" w:cs="宋体"/>
          <w:spacing w:val="-2"/>
          <w:sz w:val="20"/>
          <w:szCs w:val="20"/>
        </w:rPr>
        <w:t>(case-only study)。</w:t>
      </w:r>
    </w:p>
    <w:p w14:paraId="0BE92B1D">
      <w:pPr>
        <w:pStyle w:val="2"/>
        <w:spacing w:before="5" w:line="222" w:lineRule="auto"/>
        <w:ind w:left="419"/>
        <w:rPr>
          <w:sz w:val="20"/>
          <w:szCs w:val="20"/>
        </w:rPr>
      </w:pPr>
      <w:r>
        <w:rPr>
          <w:spacing w:val="-14"/>
          <w:sz w:val="20"/>
          <w:szCs w:val="20"/>
        </w:rPr>
        <w:t>(</w:t>
      </w:r>
      <w:r>
        <w:rPr>
          <w:spacing w:val="-34"/>
          <w:sz w:val="20"/>
          <w:szCs w:val="20"/>
        </w:rPr>
        <w:t xml:space="preserve"> </w:t>
      </w:r>
      <w:r>
        <w:rPr>
          <w:spacing w:val="-14"/>
          <w:sz w:val="20"/>
          <w:szCs w:val="20"/>
        </w:rPr>
        <w:t>五</w:t>
      </w:r>
      <w:r>
        <w:rPr>
          <w:spacing w:val="-44"/>
          <w:sz w:val="20"/>
          <w:szCs w:val="20"/>
        </w:rPr>
        <w:t xml:space="preserve"> </w:t>
      </w:r>
      <w:r>
        <w:rPr>
          <w:spacing w:val="-14"/>
          <w:sz w:val="20"/>
          <w:szCs w:val="20"/>
        </w:rPr>
        <w:t>)</w:t>
      </w:r>
      <w:r>
        <w:rPr>
          <w:spacing w:val="-30"/>
          <w:sz w:val="20"/>
          <w:szCs w:val="20"/>
        </w:rPr>
        <w:t xml:space="preserve"> </w:t>
      </w:r>
      <w:r>
        <w:rPr>
          <w:spacing w:val="-14"/>
          <w:sz w:val="20"/>
          <w:szCs w:val="20"/>
        </w:rPr>
        <w:t>队</w:t>
      </w:r>
      <w:r>
        <w:rPr>
          <w:spacing w:val="-38"/>
          <w:sz w:val="20"/>
          <w:szCs w:val="20"/>
        </w:rPr>
        <w:t xml:space="preserve"> </w:t>
      </w:r>
      <w:r>
        <w:rPr>
          <w:spacing w:val="-14"/>
          <w:sz w:val="20"/>
          <w:szCs w:val="20"/>
        </w:rPr>
        <w:t>列</w:t>
      </w:r>
      <w:r>
        <w:rPr>
          <w:spacing w:val="-43"/>
          <w:sz w:val="20"/>
          <w:szCs w:val="20"/>
        </w:rPr>
        <w:t xml:space="preserve"> </w:t>
      </w:r>
      <w:r>
        <w:rPr>
          <w:spacing w:val="-14"/>
          <w:sz w:val="20"/>
          <w:szCs w:val="20"/>
        </w:rPr>
        <w:t>研</w:t>
      </w:r>
      <w:r>
        <w:rPr>
          <w:spacing w:val="-41"/>
          <w:sz w:val="20"/>
          <w:szCs w:val="20"/>
        </w:rPr>
        <w:t xml:space="preserve"> </w:t>
      </w:r>
      <w:r>
        <w:rPr>
          <w:spacing w:val="-14"/>
          <w:sz w:val="20"/>
          <w:szCs w:val="20"/>
        </w:rPr>
        <w:t>究</w:t>
      </w:r>
    </w:p>
    <w:p w14:paraId="52B471EC">
      <w:pPr>
        <w:spacing w:before="110" w:line="342" w:lineRule="auto"/>
        <w:ind w:right="630" w:firstLine="419"/>
        <w:jc w:val="both"/>
        <w:rPr>
          <w:rFonts w:ascii="宋体" w:hAnsi="宋体" w:eastAsia="宋体" w:cs="宋体"/>
          <w:sz w:val="20"/>
          <w:szCs w:val="20"/>
        </w:rPr>
      </w:pPr>
      <w:r>
        <w:rPr>
          <w:rFonts w:ascii="宋体" w:hAnsi="宋体" w:eastAsia="宋体" w:cs="宋体"/>
          <w:spacing w:val="11"/>
          <w:sz w:val="20"/>
          <w:szCs w:val="20"/>
        </w:rPr>
        <w:t>由于队列研究的前瞻性特点符合因果推断的必要前提——时间</w:t>
      </w:r>
      <w:r>
        <w:rPr>
          <w:rFonts w:ascii="宋体" w:hAnsi="宋体" w:eastAsia="宋体" w:cs="宋体"/>
          <w:spacing w:val="10"/>
          <w:sz w:val="20"/>
          <w:szCs w:val="20"/>
        </w:rPr>
        <w:t>顺序，在排除偏倚和混杂后可</w:t>
      </w:r>
      <w:r>
        <w:rPr>
          <w:rFonts w:ascii="宋体" w:hAnsi="宋体" w:eastAsia="宋体" w:cs="宋体"/>
          <w:sz w:val="20"/>
          <w:szCs w:val="20"/>
        </w:rPr>
        <w:t xml:space="preserve"> </w:t>
      </w:r>
      <w:r>
        <w:rPr>
          <w:rFonts w:ascii="宋体" w:hAnsi="宋体" w:eastAsia="宋体" w:cs="宋体"/>
          <w:spacing w:val="11"/>
          <w:sz w:val="20"/>
          <w:szCs w:val="20"/>
        </w:rPr>
        <w:t>提供较高等级的人群证据。队列研究既可以充分探讨从暴露开始至疾病或事件</w:t>
      </w:r>
      <w:r>
        <w:rPr>
          <w:rFonts w:ascii="宋体" w:hAnsi="宋体" w:eastAsia="宋体" w:cs="宋体"/>
          <w:spacing w:val="10"/>
          <w:sz w:val="20"/>
          <w:szCs w:val="20"/>
        </w:rPr>
        <w:t>发生期间各阶段的</w:t>
      </w:r>
      <w:r>
        <w:rPr>
          <w:rFonts w:ascii="宋体" w:hAnsi="宋体" w:eastAsia="宋体" w:cs="宋体"/>
          <w:sz w:val="20"/>
          <w:szCs w:val="20"/>
        </w:rPr>
        <w:t xml:space="preserve"> </w:t>
      </w:r>
      <w:r>
        <w:rPr>
          <w:rFonts w:ascii="宋体" w:hAnsi="宋体" w:eastAsia="宋体" w:cs="宋体"/>
          <w:spacing w:val="6"/>
          <w:sz w:val="20"/>
          <w:szCs w:val="20"/>
        </w:rPr>
        <w:t>生物学标志及其变化动态，也可以揭示生物标志与多个结局之间的关联</w:t>
      </w:r>
      <w:r>
        <w:rPr>
          <w:rFonts w:ascii="宋体" w:hAnsi="宋体" w:eastAsia="宋体" w:cs="宋体"/>
          <w:spacing w:val="5"/>
          <w:sz w:val="20"/>
          <w:szCs w:val="20"/>
        </w:rPr>
        <w:t>，是探讨疾病致病因素和评</w:t>
      </w:r>
      <w:r>
        <w:rPr>
          <w:rFonts w:ascii="宋体" w:hAnsi="宋体" w:eastAsia="宋体" w:cs="宋体"/>
          <w:sz w:val="20"/>
          <w:szCs w:val="20"/>
        </w:rPr>
        <w:t xml:space="preserve"> </w:t>
      </w:r>
      <w:r>
        <w:rPr>
          <w:rFonts w:ascii="宋体" w:hAnsi="宋体" w:eastAsia="宋体" w:cs="宋体"/>
          <w:spacing w:val="5"/>
          <w:sz w:val="20"/>
          <w:szCs w:val="20"/>
        </w:rPr>
        <w:t>价干预措施的有效方法，也是将生物标志的基础研究结果转化应用到疾病防治实践的重要途径。</w:t>
      </w:r>
    </w:p>
    <w:p w14:paraId="02E855FA">
      <w:pPr>
        <w:pStyle w:val="2"/>
        <w:spacing w:before="197" w:line="222" w:lineRule="auto"/>
        <w:ind w:left="423"/>
        <w:outlineLvl w:val="4"/>
        <w:rPr>
          <w:sz w:val="25"/>
          <w:szCs w:val="25"/>
        </w:rPr>
      </w:pPr>
      <w:bookmarkStart w:id="445" w:name="bookmark283"/>
      <w:bookmarkEnd w:id="445"/>
      <w:r>
        <w:rPr>
          <w:b/>
          <w:bCs/>
          <w:spacing w:val="-7"/>
          <w:sz w:val="25"/>
          <w:szCs w:val="25"/>
        </w:rPr>
        <w:t>二</w:t>
      </w:r>
      <w:r>
        <w:rPr>
          <w:spacing w:val="-47"/>
          <w:sz w:val="25"/>
          <w:szCs w:val="25"/>
        </w:rPr>
        <w:t xml:space="preserve"> </w:t>
      </w:r>
      <w:r>
        <w:rPr>
          <w:b/>
          <w:bCs/>
          <w:spacing w:val="-7"/>
          <w:sz w:val="25"/>
          <w:szCs w:val="25"/>
        </w:rPr>
        <w:t>、生物标本采集</w:t>
      </w:r>
    </w:p>
    <w:p w14:paraId="34D7DC78">
      <w:pPr>
        <w:pStyle w:val="2"/>
        <w:spacing w:before="279" w:line="221" w:lineRule="auto"/>
        <w:ind w:left="419"/>
        <w:rPr>
          <w:sz w:val="20"/>
          <w:szCs w:val="20"/>
        </w:rPr>
      </w:pPr>
      <w:r>
        <w:rPr>
          <w:spacing w:val="22"/>
          <w:sz w:val="20"/>
          <w:szCs w:val="20"/>
        </w:rPr>
        <w:t>(</w:t>
      </w:r>
      <w:r>
        <w:rPr>
          <w:spacing w:val="-49"/>
          <w:sz w:val="20"/>
          <w:szCs w:val="20"/>
        </w:rPr>
        <w:t xml:space="preserve"> </w:t>
      </w:r>
      <w:r>
        <w:rPr>
          <w:spacing w:val="22"/>
          <w:sz w:val="20"/>
          <w:szCs w:val="20"/>
        </w:rPr>
        <w:t>一</w:t>
      </w:r>
      <w:r>
        <w:rPr>
          <w:spacing w:val="-57"/>
          <w:sz w:val="20"/>
          <w:szCs w:val="20"/>
        </w:rPr>
        <w:t xml:space="preserve"> </w:t>
      </w:r>
      <w:r>
        <w:rPr>
          <w:spacing w:val="22"/>
          <w:sz w:val="20"/>
          <w:szCs w:val="20"/>
        </w:rPr>
        <w:t>)生物样本库的概念</w:t>
      </w:r>
    </w:p>
    <w:p w14:paraId="03936231">
      <w:pPr>
        <w:spacing w:before="129" w:line="343" w:lineRule="auto"/>
        <w:ind w:right="630" w:firstLine="419"/>
        <w:jc w:val="both"/>
        <w:rPr>
          <w:rFonts w:ascii="宋体" w:hAnsi="宋体" w:eastAsia="宋体" w:cs="宋体"/>
          <w:sz w:val="20"/>
          <w:szCs w:val="20"/>
        </w:rPr>
      </w:pPr>
      <w:r>
        <w:rPr>
          <w:rFonts w:ascii="宋体" w:hAnsi="宋体" w:eastAsia="宋体" w:cs="宋体"/>
          <w:spacing w:val="10"/>
          <w:sz w:val="20"/>
          <w:szCs w:val="20"/>
        </w:rPr>
        <w:t>分子流行病学需要从生物标本这个载体中获取信息，标本来源一般包括病原标本和人体的生</w:t>
      </w:r>
      <w:r>
        <w:rPr>
          <w:rFonts w:ascii="宋体" w:hAnsi="宋体" w:eastAsia="宋体" w:cs="宋体"/>
          <w:spacing w:val="8"/>
          <w:sz w:val="20"/>
          <w:szCs w:val="20"/>
        </w:rPr>
        <w:t xml:space="preserve"> </w:t>
      </w:r>
      <w:r>
        <w:rPr>
          <w:rFonts w:ascii="宋体" w:hAnsi="宋体" w:eastAsia="宋体" w:cs="宋体"/>
          <w:spacing w:val="6"/>
          <w:sz w:val="20"/>
          <w:szCs w:val="20"/>
        </w:rPr>
        <w:t>物标本，其采集过程应按照标准的操作流程开展，并按照规范的程序储存于生</w:t>
      </w:r>
      <w:r>
        <w:rPr>
          <w:rFonts w:ascii="宋体" w:hAnsi="宋体" w:eastAsia="宋体" w:cs="宋体"/>
          <w:spacing w:val="5"/>
          <w:sz w:val="20"/>
          <w:szCs w:val="20"/>
        </w:rPr>
        <w:t>物样本库，根据研究</w:t>
      </w:r>
      <w:r>
        <w:rPr>
          <w:rFonts w:ascii="宋体" w:hAnsi="宋体" w:eastAsia="宋体" w:cs="宋体"/>
          <w:sz w:val="20"/>
          <w:szCs w:val="20"/>
        </w:rPr>
        <w:t xml:space="preserve"> </w:t>
      </w:r>
      <w:r>
        <w:rPr>
          <w:rFonts w:ascii="宋体" w:hAnsi="宋体" w:eastAsia="宋体" w:cs="宋体"/>
          <w:spacing w:val="11"/>
          <w:sz w:val="20"/>
          <w:szCs w:val="20"/>
        </w:rPr>
        <w:t>内容选择相应的标本进行指标的检测。通常将储存有一种类型或多种类型生物</w:t>
      </w:r>
      <w:r>
        <w:rPr>
          <w:rFonts w:ascii="宋体" w:hAnsi="宋体" w:eastAsia="宋体" w:cs="宋体"/>
          <w:spacing w:val="10"/>
          <w:sz w:val="20"/>
          <w:szCs w:val="20"/>
        </w:rPr>
        <w:t>标本，并能保持它</w:t>
      </w:r>
      <w:r>
        <w:rPr>
          <w:rFonts w:ascii="宋体" w:hAnsi="宋体" w:eastAsia="宋体" w:cs="宋体"/>
          <w:sz w:val="20"/>
          <w:szCs w:val="20"/>
        </w:rPr>
        <w:t xml:space="preserve"> </w:t>
      </w:r>
      <w:r>
        <w:rPr>
          <w:rFonts w:ascii="宋体" w:hAnsi="宋体" w:eastAsia="宋体" w:cs="宋体"/>
          <w:spacing w:val="-1"/>
          <w:sz w:val="20"/>
          <w:szCs w:val="20"/>
        </w:rPr>
        <w:t>们的生物活性以供研究之用的系统称为生物样本库(biological specimen bank,BSB),如血清库</w:t>
      </w:r>
      <w:r>
        <w:rPr>
          <w:rFonts w:ascii="宋体" w:hAnsi="宋体" w:eastAsia="宋体" w:cs="宋体"/>
          <w:spacing w:val="-2"/>
          <w:sz w:val="20"/>
          <w:szCs w:val="20"/>
        </w:rPr>
        <w:t>、组织</w:t>
      </w:r>
      <w:r>
        <w:rPr>
          <w:rFonts w:ascii="宋体" w:hAnsi="宋体" w:eastAsia="宋体" w:cs="宋体"/>
          <w:sz w:val="20"/>
          <w:szCs w:val="20"/>
        </w:rPr>
        <w:t xml:space="preserve"> </w:t>
      </w:r>
      <w:r>
        <w:rPr>
          <w:rFonts w:ascii="宋体" w:hAnsi="宋体" w:eastAsia="宋体" w:cs="宋体"/>
          <w:spacing w:val="3"/>
          <w:sz w:val="20"/>
          <w:szCs w:val="20"/>
        </w:rPr>
        <w:t>库、病原生物库等。</w:t>
      </w:r>
    </w:p>
    <w:p w14:paraId="6F9B9D5C">
      <w:pPr>
        <w:pStyle w:val="2"/>
        <w:spacing w:before="24" w:line="221" w:lineRule="auto"/>
        <w:ind w:left="419"/>
        <w:rPr>
          <w:sz w:val="20"/>
          <w:szCs w:val="20"/>
        </w:rPr>
      </w:pPr>
      <w:r>
        <w:rPr>
          <w:spacing w:val="26"/>
          <w:sz w:val="20"/>
          <w:szCs w:val="20"/>
        </w:rPr>
        <w:t>(二)分子流行病学研究中常见的生物标本</w:t>
      </w:r>
    </w:p>
    <w:p w14:paraId="4FCE414C">
      <w:pPr>
        <w:spacing w:before="131" w:line="334" w:lineRule="auto"/>
        <w:ind w:right="658" w:firstLine="419"/>
        <w:rPr>
          <w:rFonts w:ascii="宋体" w:hAnsi="宋体" w:eastAsia="宋体" w:cs="宋体"/>
          <w:sz w:val="20"/>
          <w:szCs w:val="20"/>
        </w:rPr>
      </w:pPr>
      <w:r>
        <w:rPr>
          <w:rFonts w:ascii="宋体" w:hAnsi="宋体" w:eastAsia="宋体" w:cs="宋体"/>
          <w:sz w:val="20"/>
          <w:szCs w:val="20"/>
        </w:rPr>
        <w:t>常用的生物标本有：病原生物标本、血液(血清、血浆、白细胞、红细胞)标本、组织标本、其他</w:t>
      </w:r>
      <w:r>
        <w:rPr>
          <w:rFonts w:ascii="宋体" w:hAnsi="宋体" w:eastAsia="宋体" w:cs="宋体"/>
          <w:spacing w:val="6"/>
          <w:sz w:val="20"/>
          <w:szCs w:val="20"/>
        </w:rPr>
        <w:t xml:space="preserve"> </w:t>
      </w:r>
      <w:r>
        <w:rPr>
          <w:rFonts w:ascii="宋体" w:hAnsi="宋体" w:eastAsia="宋体" w:cs="宋体"/>
          <w:spacing w:val="-5"/>
          <w:sz w:val="20"/>
          <w:szCs w:val="20"/>
        </w:rPr>
        <w:t>生物标本(如唾液、胃液、尿液、精液、头发、媒介生物等)。</w:t>
      </w:r>
    </w:p>
    <w:p w14:paraId="5B570E86">
      <w:pPr>
        <w:spacing w:line="334" w:lineRule="auto"/>
        <w:rPr>
          <w:rFonts w:ascii="宋体" w:hAnsi="宋体" w:eastAsia="宋体" w:cs="宋体"/>
          <w:sz w:val="20"/>
          <w:szCs w:val="20"/>
        </w:rPr>
        <w:sectPr>
          <w:footerReference r:id="rId288" w:type="default"/>
          <w:pgSz w:w="11900" w:h="16820"/>
          <w:pgMar w:top="400" w:right="904" w:bottom="849" w:left="1509" w:header="0" w:footer="669" w:gutter="0"/>
          <w:cols w:space="720" w:num="1"/>
        </w:sectPr>
      </w:pPr>
    </w:p>
    <w:p w14:paraId="6AC36647">
      <w:pPr>
        <w:pStyle w:val="2"/>
        <w:spacing w:before="256" w:line="221" w:lineRule="auto"/>
        <w:ind w:left="699"/>
        <w:rPr>
          <w:sz w:val="20"/>
          <w:szCs w:val="20"/>
        </w:rPr>
      </w:pPr>
      <w:bookmarkStart w:id="446" w:name="bookmark550"/>
      <w:bookmarkEnd w:id="446"/>
      <w:r>
        <w:rPr>
          <w:spacing w:val="-20"/>
          <w:sz w:val="20"/>
          <w:szCs w:val="20"/>
        </w:rPr>
        <w:t>第十七章 分子流行病学</w:t>
      </w:r>
    </w:p>
    <w:p w14:paraId="138CC04D">
      <w:pPr>
        <w:spacing w:line="276" w:lineRule="auto"/>
        <w:rPr>
          <w:rFonts w:ascii="Arial"/>
          <w:sz w:val="21"/>
        </w:rPr>
      </w:pPr>
    </w:p>
    <w:p w14:paraId="61201F5A">
      <w:pPr>
        <w:spacing w:line="276" w:lineRule="auto"/>
        <w:rPr>
          <w:rFonts w:ascii="Arial"/>
          <w:sz w:val="21"/>
        </w:rPr>
      </w:pPr>
    </w:p>
    <w:p w14:paraId="4EFEE37E">
      <w:pPr>
        <w:spacing w:before="65" w:line="219" w:lineRule="auto"/>
        <w:ind w:left="1099"/>
        <w:rPr>
          <w:rFonts w:ascii="宋体" w:hAnsi="宋体" w:eastAsia="宋体" w:cs="宋体"/>
          <w:sz w:val="20"/>
          <w:szCs w:val="20"/>
        </w:rPr>
      </w:pPr>
      <w:r>
        <w:rPr>
          <w:rFonts w:ascii="宋体" w:hAnsi="宋体" w:eastAsia="宋体" w:cs="宋体"/>
          <w:spacing w:val="6"/>
          <w:sz w:val="20"/>
          <w:szCs w:val="20"/>
        </w:rPr>
        <w:t>下面对几种分子流行病学研究中常见的生物标本进行简要介绍：</w:t>
      </w:r>
    </w:p>
    <w:p w14:paraId="6A9930F9">
      <w:pPr>
        <w:spacing w:before="123" w:line="301" w:lineRule="auto"/>
        <w:ind w:left="699" w:right="49" w:firstLine="399"/>
        <w:rPr>
          <w:rFonts w:ascii="宋体" w:hAnsi="宋体" w:eastAsia="宋体" w:cs="宋体"/>
          <w:sz w:val="20"/>
          <w:szCs w:val="20"/>
        </w:rPr>
      </w:pPr>
      <w:r>
        <w:rPr>
          <w:rFonts w:ascii="宋体" w:hAnsi="宋体" w:eastAsia="宋体" w:cs="宋体"/>
          <w:spacing w:val="11"/>
          <w:sz w:val="20"/>
          <w:szCs w:val="20"/>
        </w:rPr>
        <w:t>1. 血液血液中可以分离出多种成分，包括白细胞、红细胞、血小板及血清/血</w:t>
      </w:r>
      <w:r>
        <w:rPr>
          <w:rFonts w:ascii="宋体" w:hAnsi="宋体" w:eastAsia="宋体" w:cs="宋体"/>
          <w:spacing w:val="10"/>
          <w:sz w:val="20"/>
          <w:szCs w:val="20"/>
        </w:rPr>
        <w:t>浆等。基因组</w:t>
      </w:r>
      <w:r>
        <w:rPr>
          <w:rFonts w:ascii="宋体" w:hAnsi="宋体" w:eastAsia="宋体" w:cs="宋体"/>
          <w:sz w:val="20"/>
          <w:szCs w:val="20"/>
        </w:rPr>
        <w:t xml:space="preserve"> </w:t>
      </w:r>
      <w:r>
        <w:rPr>
          <w:rFonts w:ascii="Times New Roman" w:hAnsi="Times New Roman" w:eastAsia="Times New Roman" w:cs="Times New Roman"/>
          <w:sz w:val="20"/>
          <w:szCs w:val="20"/>
        </w:rPr>
        <w:t>DNA</w:t>
      </w:r>
      <w:r>
        <w:rPr>
          <w:rFonts w:ascii="Times New Roman" w:hAnsi="Times New Roman" w:eastAsia="Times New Roman" w:cs="Times New Roman"/>
          <w:spacing w:val="27"/>
          <w:sz w:val="20"/>
          <w:szCs w:val="20"/>
        </w:rPr>
        <w:t xml:space="preserve"> </w:t>
      </w:r>
      <w:r>
        <w:rPr>
          <w:rFonts w:ascii="宋体" w:hAnsi="宋体" w:eastAsia="宋体" w:cs="宋体"/>
          <w:spacing w:val="5"/>
          <w:sz w:val="20"/>
          <w:szCs w:val="20"/>
        </w:rPr>
        <w:t>主要存在于白细胞中；血清/血浆可用于检测营养素、激素、血脂、非编码</w:t>
      </w:r>
      <w:r>
        <w:rPr>
          <w:rFonts w:ascii="Times New Roman" w:hAnsi="Times New Roman" w:eastAsia="Times New Roman" w:cs="Times New Roman"/>
          <w:sz w:val="20"/>
          <w:szCs w:val="20"/>
        </w:rPr>
        <w:t>RNA</w:t>
      </w:r>
      <w:r>
        <w:rPr>
          <w:rFonts w:ascii="Times New Roman" w:hAnsi="Times New Roman" w:eastAsia="Times New Roman" w:cs="Times New Roman"/>
          <w:spacing w:val="21"/>
          <w:w w:val="101"/>
          <w:sz w:val="20"/>
          <w:szCs w:val="20"/>
        </w:rPr>
        <w:t xml:space="preserve"> </w:t>
      </w:r>
      <w:r>
        <w:rPr>
          <w:rFonts w:ascii="宋体" w:hAnsi="宋体" w:eastAsia="宋体" w:cs="宋体"/>
          <w:spacing w:val="5"/>
          <w:sz w:val="20"/>
          <w:szCs w:val="20"/>
        </w:rPr>
        <w:t>以及其他生物</w:t>
      </w:r>
      <w:r>
        <w:rPr>
          <w:rFonts w:ascii="宋体" w:hAnsi="宋体" w:eastAsia="宋体" w:cs="宋体"/>
          <w:sz w:val="20"/>
          <w:szCs w:val="20"/>
        </w:rPr>
        <w:t xml:space="preserve"> </w:t>
      </w:r>
      <w:r>
        <w:rPr>
          <w:rFonts w:ascii="宋体" w:hAnsi="宋体" w:eastAsia="宋体" w:cs="宋体"/>
          <w:spacing w:val="7"/>
          <w:sz w:val="20"/>
          <w:szCs w:val="20"/>
        </w:rPr>
        <w:t>标志的循环水平。</w:t>
      </w:r>
    </w:p>
    <w:p w14:paraId="46A70D8B">
      <w:pPr>
        <w:pStyle w:val="2"/>
        <w:spacing w:before="151" w:line="295" w:lineRule="auto"/>
        <w:ind w:left="699" w:right="79" w:firstLine="399"/>
        <w:rPr>
          <w:rFonts w:ascii="宋体" w:hAnsi="宋体" w:eastAsia="宋体" w:cs="宋体"/>
          <w:sz w:val="20"/>
          <w:szCs w:val="20"/>
        </w:rPr>
      </w:pPr>
      <w:r>
        <w:rPr>
          <w:rFonts w:ascii="宋体" w:hAnsi="宋体" w:eastAsia="宋体" w:cs="宋体"/>
          <w:spacing w:val="22"/>
          <w:sz w:val="20"/>
          <w:szCs w:val="20"/>
        </w:rPr>
        <w:t xml:space="preserve">2. </w:t>
      </w:r>
      <w:r>
        <w:rPr>
          <w:spacing w:val="22"/>
          <w:sz w:val="20"/>
          <w:szCs w:val="20"/>
        </w:rPr>
        <w:t xml:space="preserve">口腔脱落细胞 </w:t>
      </w:r>
      <w:r>
        <w:rPr>
          <w:rFonts w:ascii="宋体" w:hAnsi="宋体" w:eastAsia="宋体" w:cs="宋体"/>
          <w:spacing w:val="22"/>
          <w:sz w:val="20"/>
          <w:szCs w:val="20"/>
        </w:rPr>
        <w:t>来自唾液或者漱口水中的口腔黏膜脱落细胞</w:t>
      </w:r>
      <w:r>
        <w:rPr>
          <w:rFonts w:ascii="宋体" w:hAnsi="宋体" w:eastAsia="宋体" w:cs="宋体"/>
          <w:spacing w:val="21"/>
          <w:sz w:val="20"/>
          <w:szCs w:val="20"/>
        </w:rPr>
        <w:t>可替代血液用于提取基因</w:t>
      </w:r>
      <w:r>
        <w:rPr>
          <w:rFonts w:ascii="宋体" w:hAnsi="宋体" w:eastAsia="宋体" w:cs="宋体"/>
          <w:sz w:val="20"/>
          <w:szCs w:val="20"/>
        </w:rPr>
        <w:t xml:space="preserve"> </w:t>
      </w:r>
      <w:r>
        <w:rPr>
          <w:rFonts w:ascii="宋体" w:hAnsi="宋体" w:eastAsia="宋体" w:cs="宋体"/>
          <w:spacing w:val="7"/>
          <w:sz w:val="20"/>
          <w:szCs w:val="20"/>
        </w:rPr>
        <w:t>组</w:t>
      </w:r>
      <w:r>
        <w:rPr>
          <w:rFonts w:ascii="宋体" w:hAnsi="宋体" w:eastAsia="宋体" w:cs="宋体"/>
          <w:spacing w:val="-30"/>
          <w:sz w:val="20"/>
          <w:szCs w:val="20"/>
        </w:rPr>
        <w:t xml:space="preserve"> </w:t>
      </w:r>
      <w:r>
        <w:rPr>
          <w:rFonts w:ascii="Times New Roman" w:hAnsi="Times New Roman" w:eastAsia="Times New Roman" w:cs="Times New Roman"/>
          <w:sz w:val="20"/>
          <w:szCs w:val="20"/>
        </w:rPr>
        <w:t>DNA</w:t>
      </w:r>
      <w:r>
        <w:rPr>
          <w:rFonts w:ascii="Times New Roman" w:hAnsi="Times New Roman" w:eastAsia="Times New Roman" w:cs="Times New Roman"/>
          <w:spacing w:val="7"/>
          <w:sz w:val="20"/>
          <w:szCs w:val="20"/>
        </w:rPr>
        <w:t>.</w:t>
      </w:r>
      <w:r>
        <w:rPr>
          <w:rFonts w:ascii="Times New Roman" w:hAnsi="Times New Roman" w:eastAsia="Times New Roman" w:cs="Times New Roman"/>
          <w:spacing w:val="30"/>
          <w:w w:val="101"/>
          <w:sz w:val="20"/>
          <w:szCs w:val="20"/>
        </w:rPr>
        <w:t xml:space="preserve"> </w:t>
      </w:r>
      <w:r>
        <w:rPr>
          <w:rFonts w:ascii="宋体" w:hAnsi="宋体" w:eastAsia="宋体" w:cs="宋体"/>
          <w:spacing w:val="7"/>
          <w:sz w:val="20"/>
          <w:szCs w:val="20"/>
        </w:rPr>
        <w:t>且标本来源容易、无创伤、简便快速。但因其</w:t>
      </w:r>
      <w:r>
        <w:rPr>
          <w:rFonts w:ascii="Times New Roman" w:hAnsi="Times New Roman" w:eastAsia="Times New Roman" w:cs="Times New Roman"/>
          <w:sz w:val="20"/>
          <w:szCs w:val="20"/>
        </w:rPr>
        <w:t>DNA</w:t>
      </w:r>
      <w:r>
        <w:rPr>
          <w:rFonts w:ascii="Times New Roman" w:hAnsi="Times New Roman" w:eastAsia="Times New Roman" w:cs="Times New Roman"/>
          <w:spacing w:val="6"/>
          <w:sz w:val="20"/>
          <w:szCs w:val="20"/>
        </w:rPr>
        <w:t xml:space="preserve"> </w:t>
      </w:r>
      <w:r>
        <w:rPr>
          <w:rFonts w:ascii="宋体" w:hAnsi="宋体" w:eastAsia="宋体" w:cs="宋体"/>
          <w:spacing w:val="6"/>
          <w:sz w:val="20"/>
          <w:szCs w:val="20"/>
        </w:rPr>
        <w:t>量较低，不适用于对</w:t>
      </w:r>
      <w:r>
        <w:rPr>
          <w:rFonts w:ascii="Times New Roman" w:hAnsi="Times New Roman" w:eastAsia="Times New Roman" w:cs="Times New Roman"/>
          <w:sz w:val="20"/>
          <w:szCs w:val="20"/>
        </w:rPr>
        <w:t>DNA</w:t>
      </w:r>
      <w:r>
        <w:rPr>
          <w:rFonts w:ascii="Times New Roman" w:hAnsi="Times New Roman" w:eastAsia="Times New Roman" w:cs="Times New Roman"/>
          <w:spacing w:val="20"/>
          <w:sz w:val="20"/>
          <w:szCs w:val="20"/>
        </w:rPr>
        <w:t xml:space="preserve"> </w:t>
      </w:r>
      <w:r>
        <w:rPr>
          <w:rFonts w:ascii="宋体" w:hAnsi="宋体" w:eastAsia="宋体" w:cs="宋体"/>
          <w:spacing w:val="6"/>
          <w:sz w:val="20"/>
          <w:szCs w:val="20"/>
        </w:rPr>
        <w:t>量要求高的</w:t>
      </w:r>
      <w:r>
        <w:rPr>
          <w:rFonts w:ascii="宋体" w:hAnsi="宋体" w:eastAsia="宋体" w:cs="宋体"/>
          <w:sz w:val="20"/>
          <w:szCs w:val="20"/>
        </w:rPr>
        <w:t xml:space="preserve"> </w:t>
      </w:r>
      <w:r>
        <w:rPr>
          <w:rFonts w:ascii="宋体" w:hAnsi="宋体" w:eastAsia="宋体" w:cs="宋体"/>
          <w:spacing w:val="13"/>
          <w:sz w:val="20"/>
          <w:szCs w:val="20"/>
        </w:rPr>
        <w:t>检测。</w:t>
      </w:r>
    </w:p>
    <w:p w14:paraId="6B3B7EFA">
      <w:pPr>
        <w:spacing w:before="161" w:line="267" w:lineRule="auto"/>
        <w:ind w:left="699" w:right="89" w:firstLine="399"/>
        <w:rPr>
          <w:rFonts w:ascii="宋体" w:hAnsi="宋体" w:eastAsia="宋体" w:cs="宋体"/>
          <w:sz w:val="20"/>
          <w:szCs w:val="20"/>
        </w:rPr>
      </w:pPr>
      <w:r>
        <w:rPr>
          <w:rFonts w:ascii="宋体" w:hAnsi="宋体" w:eastAsia="宋体" w:cs="宋体"/>
          <w:spacing w:val="14"/>
          <w:sz w:val="20"/>
          <w:szCs w:val="20"/>
        </w:rPr>
        <w:t>3. 尿液尿液可用于检测多种暴露和代谢相关的生物标志</w:t>
      </w:r>
      <w:r>
        <w:rPr>
          <w:rFonts w:ascii="宋体" w:hAnsi="宋体" w:eastAsia="宋体" w:cs="宋体"/>
          <w:spacing w:val="13"/>
          <w:sz w:val="20"/>
          <w:szCs w:val="20"/>
        </w:rPr>
        <w:t>。例如，通过检测尿液中羟基多环</w:t>
      </w:r>
      <w:r>
        <w:rPr>
          <w:rFonts w:ascii="宋体" w:hAnsi="宋体" w:eastAsia="宋体" w:cs="宋体"/>
          <w:sz w:val="20"/>
          <w:szCs w:val="20"/>
        </w:rPr>
        <w:t xml:space="preserve"> </w:t>
      </w:r>
      <w:r>
        <w:rPr>
          <w:rFonts w:ascii="宋体" w:hAnsi="宋体" w:eastAsia="宋体" w:cs="宋体"/>
          <w:spacing w:val="3"/>
          <w:sz w:val="20"/>
          <w:szCs w:val="20"/>
        </w:rPr>
        <w:t>芳</w:t>
      </w:r>
      <w:r>
        <w:rPr>
          <w:rFonts w:ascii="宋体" w:hAnsi="宋体" w:eastAsia="宋体" w:cs="宋体"/>
          <w:spacing w:val="-29"/>
          <w:sz w:val="20"/>
          <w:szCs w:val="20"/>
        </w:rPr>
        <w:t xml:space="preserve"> </w:t>
      </w:r>
      <w:r>
        <w:rPr>
          <w:rFonts w:ascii="宋体" w:hAnsi="宋体" w:eastAsia="宋体" w:cs="宋体"/>
          <w:spacing w:val="3"/>
          <w:sz w:val="20"/>
          <w:szCs w:val="20"/>
        </w:rPr>
        <w:t>烃</w:t>
      </w:r>
      <w:r>
        <w:rPr>
          <w:rFonts w:ascii="Times New Roman" w:hAnsi="Times New Roman" w:eastAsia="Times New Roman" w:cs="Times New Roman"/>
          <w:spacing w:val="3"/>
          <w:sz w:val="20"/>
          <w:szCs w:val="20"/>
        </w:rPr>
        <w:t>(</w:t>
      </w:r>
      <w:r>
        <w:rPr>
          <w:rFonts w:ascii="Times New Roman" w:hAnsi="Times New Roman" w:eastAsia="Times New Roman" w:cs="Times New Roman"/>
          <w:sz w:val="20"/>
          <w:szCs w:val="20"/>
        </w:rPr>
        <w:t>OH</w:t>
      </w:r>
      <w:r>
        <w:rPr>
          <w:rFonts w:ascii="Times New Roman" w:hAnsi="Times New Roman" w:eastAsia="Times New Roman" w:cs="Times New Roman"/>
          <w:spacing w:val="3"/>
          <w:sz w:val="20"/>
          <w:szCs w:val="20"/>
        </w:rPr>
        <w:t>-</w:t>
      </w:r>
      <w:r>
        <w:rPr>
          <w:rFonts w:ascii="Times New Roman" w:hAnsi="Times New Roman" w:eastAsia="Times New Roman" w:cs="Times New Roman"/>
          <w:sz w:val="20"/>
          <w:szCs w:val="20"/>
        </w:rPr>
        <w:t>PAHs</w:t>
      </w:r>
      <w:r>
        <w:rPr>
          <w:rFonts w:ascii="Times New Roman" w:hAnsi="Times New Roman" w:eastAsia="Times New Roman" w:cs="Times New Roman"/>
          <w:spacing w:val="3"/>
          <w:sz w:val="20"/>
          <w:szCs w:val="20"/>
        </w:rPr>
        <w:t xml:space="preserve">)  </w:t>
      </w:r>
      <w:r>
        <w:rPr>
          <w:rFonts w:ascii="宋体" w:hAnsi="宋体" w:eastAsia="宋体" w:cs="宋体"/>
          <w:spacing w:val="3"/>
          <w:sz w:val="20"/>
          <w:szCs w:val="20"/>
        </w:rPr>
        <w:t>的水平来评价多环芳烃在人体内的暴露状况。</w:t>
      </w:r>
    </w:p>
    <w:p w14:paraId="63619545">
      <w:pPr>
        <w:pStyle w:val="2"/>
        <w:spacing w:before="141" w:line="285" w:lineRule="auto"/>
        <w:ind w:left="699" w:right="89" w:firstLine="399"/>
        <w:rPr>
          <w:rFonts w:ascii="宋体" w:hAnsi="宋体" w:eastAsia="宋体" w:cs="宋体"/>
          <w:sz w:val="20"/>
          <w:szCs w:val="20"/>
        </w:rPr>
      </w:pPr>
      <w:r>
        <w:rPr>
          <w:rFonts w:ascii="宋体" w:hAnsi="宋体" w:eastAsia="宋体" w:cs="宋体"/>
          <w:spacing w:val="6"/>
          <w:sz w:val="20"/>
          <w:szCs w:val="20"/>
        </w:rPr>
        <w:t xml:space="preserve">4. </w:t>
      </w:r>
      <w:r>
        <w:rPr>
          <w:spacing w:val="6"/>
          <w:sz w:val="20"/>
          <w:szCs w:val="20"/>
        </w:rPr>
        <w:t>肿</w:t>
      </w:r>
      <w:r>
        <w:rPr>
          <w:spacing w:val="-19"/>
          <w:sz w:val="20"/>
          <w:szCs w:val="20"/>
        </w:rPr>
        <w:t xml:space="preserve"> </w:t>
      </w:r>
      <w:r>
        <w:rPr>
          <w:spacing w:val="6"/>
          <w:sz w:val="20"/>
          <w:szCs w:val="20"/>
        </w:rPr>
        <w:t>瘤</w:t>
      </w:r>
      <w:r>
        <w:rPr>
          <w:spacing w:val="-26"/>
          <w:sz w:val="20"/>
          <w:szCs w:val="20"/>
        </w:rPr>
        <w:t xml:space="preserve"> </w:t>
      </w:r>
      <w:r>
        <w:rPr>
          <w:spacing w:val="6"/>
          <w:sz w:val="20"/>
          <w:szCs w:val="20"/>
        </w:rPr>
        <w:t>组</w:t>
      </w:r>
      <w:r>
        <w:rPr>
          <w:spacing w:val="-23"/>
          <w:sz w:val="20"/>
          <w:szCs w:val="20"/>
        </w:rPr>
        <w:t xml:space="preserve"> </w:t>
      </w:r>
      <w:r>
        <w:rPr>
          <w:spacing w:val="6"/>
          <w:sz w:val="20"/>
          <w:szCs w:val="20"/>
        </w:rPr>
        <w:t>织</w:t>
      </w:r>
      <w:r>
        <w:rPr>
          <w:spacing w:val="-19"/>
          <w:sz w:val="20"/>
          <w:szCs w:val="20"/>
        </w:rPr>
        <w:t xml:space="preserve"> </w:t>
      </w:r>
      <w:r>
        <w:rPr>
          <w:spacing w:val="6"/>
          <w:sz w:val="20"/>
          <w:szCs w:val="20"/>
        </w:rPr>
        <w:t>恶</w:t>
      </w:r>
      <w:r>
        <w:rPr>
          <w:rFonts w:ascii="宋体" w:hAnsi="宋体" w:eastAsia="宋体" w:cs="宋体"/>
          <w:spacing w:val="6"/>
          <w:sz w:val="20"/>
          <w:szCs w:val="20"/>
        </w:rPr>
        <w:t>性肿瘤细胞常伴染色体异常和基因突变，因此分子流行病学研究常采用免疫</w:t>
      </w:r>
      <w:r>
        <w:rPr>
          <w:rFonts w:ascii="宋体" w:hAnsi="宋体" w:eastAsia="宋体" w:cs="宋体"/>
          <w:sz w:val="20"/>
          <w:szCs w:val="20"/>
        </w:rPr>
        <w:t xml:space="preserve"> </w:t>
      </w:r>
      <w:r>
        <w:rPr>
          <w:rFonts w:ascii="宋体" w:hAnsi="宋体" w:eastAsia="宋体" w:cs="宋体"/>
          <w:spacing w:val="3"/>
          <w:sz w:val="20"/>
          <w:szCs w:val="20"/>
        </w:rPr>
        <w:t>组化、原位核酸杂交、逆转录</w:t>
      </w:r>
      <w:r>
        <w:rPr>
          <w:rFonts w:ascii="Times New Roman" w:hAnsi="Times New Roman" w:eastAsia="Times New Roman" w:cs="Times New Roman"/>
          <w:sz w:val="20"/>
          <w:szCs w:val="20"/>
        </w:rPr>
        <w:t>PCR</w:t>
      </w:r>
      <w:r>
        <w:rPr>
          <w:rFonts w:ascii="Times New Roman" w:hAnsi="Times New Roman" w:eastAsia="Times New Roman" w:cs="Times New Roman"/>
          <w:spacing w:val="3"/>
          <w:sz w:val="20"/>
          <w:szCs w:val="20"/>
        </w:rPr>
        <w:t xml:space="preserve"> </w:t>
      </w:r>
      <w:r>
        <w:rPr>
          <w:rFonts w:ascii="宋体" w:hAnsi="宋体" w:eastAsia="宋体" w:cs="宋体"/>
          <w:spacing w:val="3"/>
          <w:sz w:val="20"/>
          <w:szCs w:val="20"/>
        </w:rPr>
        <w:t>等方法检测组织标本中的这些分子标志。</w:t>
      </w:r>
    </w:p>
    <w:p w14:paraId="117DB970">
      <w:pPr>
        <w:pStyle w:val="2"/>
        <w:spacing w:before="162" w:line="221" w:lineRule="auto"/>
        <w:ind w:left="1099"/>
        <w:rPr>
          <w:sz w:val="20"/>
          <w:szCs w:val="20"/>
        </w:rPr>
      </w:pPr>
      <w:r>
        <w:rPr>
          <w:spacing w:val="23"/>
          <w:sz w:val="20"/>
          <w:szCs w:val="20"/>
        </w:rPr>
        <w:t>(三)大型人群队列的生物样本库</w:t>
      </w:r>
    </w:p>
    <w:p w14:paraId="2550DE39">
      <w:pPr>
        <w:spacing w:before="101" w:line="342" w:lineRule="auto"/>
        <w:ind w:left="699" w:firstLine="399"/>
        <w:jc w:val="both"/>
        <w:rPr>
          <w:rFonts w:ascii="宋体" w:hAnsi="宋体" w:eastAsia="宋体" w:cs="宋体"/>
          <w:sz w:val="20"/>
          <w:szCs w:val="20"/>
        </w:rPr>
      </w:pPr>
      <w:r>
        <w:rPr>
          <w:rFonts w:ascii="宋体" w:hAnsi="宋体" w:eastAsia="宋体" w:cs="宋体"/>
          <w:spacing w:val="11"/>
          <w:sz w:val="20"/>
          <w:szCs w:val="20"/>
        </w:rPr>
        <w:t>目前，生物样本库的建立通常与大型人群队列建设紧密结合。这是因为生物样本库要</w:t>
      </w:r>
      <w:r>
        <w:rPr>
          <w:rFonts w:ascii="宋体" w:hAnsi="宋体" w:eastAsia="宋体" w:cs="宋体"/>
          <w:spacing w:val="10"/>
          <w:sz w:val="20"/>
          <w:szCs w:val="20"/>
        </w:rPr>
        <w:t>想在分</w:t>
      </w:r>
      <w:r>
        <w:rPr>
          <w:rFonts w:ascii="宋体" w:hAnsi="宋体" w:eastAsia="宋体" w:cs="宋体"/>
          <w:sz w:val="20"/>
          <w:szCs w:val="20"/>
        </w:rPr>
        <w:t xml:space="preserve">  </w:t>
      </w:r>
      <w:r>
        <w:rPr>
          <w:rFonts w:ascii="宋体" w:hAnsi="宋体" w:eastAsia="宋体" w:cs="宋体"/>
          <w:spacing w:val="6"/>
          <w:sz w:val="20"/>
          <w:szCs w:val="20"/>
        </w:rPr>
        <w:t>子流行病学领域发挥显著作用，就必须和完备的人口信息资料、环境暴露数据以及临床健康档案等</w:t>
      </w:r>
      <w:r>
        <w:rPr>
          <w:rFonts w:ascii="宋体" w:hAnsi="宋体" w:eastAsia="宋体" w:cs="宋体"/>
          <w:sz w:val="20"/>
          <w:szCs w:val="20"/>
        </w:rPr>
        <w:t xml:space="preserve">  </w:t>
      </w:r>
      <w:r>
        <w:rPr>
          <w:rFonts w:ascii="宋体" w:hAnsi="宋体" w:eastAsia="宋体" w:cs="宋体"/>
          <w:spacing w:val="12"/>
          <w:sz w:val="20"/>
          <w:szCs w:val="20"/>
        </w:rPr>
        <w:t>信息相结合。大型人群队列研究为系统化地收集生物样本</w:t>
      </w:r>
      <w:r>
        <w:rPr>
          <w:rFonts w:ascii="宋体" w:hAnsi="宋体" w:eastAsia="宋体" w:cs="宋体"/>
          <w:spacing w:val="11"/>
          <w:sz w:val="20"/>
          <w:szCs w:val="20"/>
        </w:rPr>
        <w:t>和相关信息提供了很好的平台。截至目</w:t>
      </w:r>
      <w:r>
        <w:rPr>
          <w:rFonts w:ascii="宋体" w:hAnsi="宋体" w:eastAsia="宋体" w:cs="宋体"/>
          <w:sz w:val="20"/>
          <w:szCs w:val="20"/>
        </w:rPr>
        <w:t xml:space="preserve"> </w:t>
      </w:r>
      <w:r>
        <w:rPr>
          <w:rFonts w:ascii="宋体" w:hAnsi="宋体" w:eastAsia="宋体" w:cs="宋体"/>
          <w:spacing w:val="4"/>
          <w:sz w:val="20"/>
          <w:szCs w:val="20"/>
        </w:rPr>
        <w:t>前，国外人群队列中生物学样本库规模较大的是英国生物</w:t>
      </w:r>
      <w:r>
        <w:rPr>
          <w:rFonts w:ascii="宋体" w:hAnsi="宋体" w:eastAsia="宋体" w:cs="宋体"/>
          <w:spacing w:val="3"/>
          <w:sz w:val="20"/>
          <w:szCs w:val="20"/>
        </w:rPr>
        <w:t>银行(</w:t>
      </w:r>
      <w:r>
        <w:rPr>
          <w:rFonts w:ascii="宋体" w:hAnsi="宋体" w:eastAsia="宋体" w:cs="宋体"/>
          <w:sz w:val="20"/>
          <w:szCs w:val="20"/>
        </w:rPr>
        <w:t>UK</w:t>
      </w:r>
      <w:r>
        <w:rPr>
          <w:rFonts w:ascii="宋体" w:hAnsi="宋体" w:eastAsia="宋体" w:cs="宋体"/>
          <w:spacing w:val="98"/>
          <w:sz w:val="20"/>
          <w:szCs w:val="20"/>
        </w:rPr>
        <w:t xml:space="preserve"> </w:t>
      </w:r>
      <w:r>
        <w:rPr>
          <w:rFonts w:ascii="宋体" w:hAnsi="宋体" w:eastAsia="宋体" w:cs="宋体"/>
          <w:sz w:val="20"/>
          <w:szCs w:val="20"/>
        </w:rPr>
        <w:t>Biobank</w:t>
      </w:r>
      <w:r>
        <w:rPr>
          <w:rFonts w:ascii="宋体" w:hAnsi="宋体" w:eastAsia="宋体" w:cs="宋体"/>
          <w:spacing w:val="3"/>
          <w:sz w:val="20"/>
          <w:szCs w:val="20"/>
        </w:rPr>
        <w:t>,49.8万份血液和尿液)。</w:t>
      </w:r>
      <w:r>
        <w:rPr>
          <w:rFonts w:ascii="宋体" w:hAnsi="宋体" w:eastAsia="宋体" w:cs="宋体"/>
          <w:sz w:val="20"/>
          <w:szCs w:val="20"/>
        </w:rPr>
        <w:t xml:space="preserve"> </w:t>
      </w:r>
      <w:r>
        <w:rPr>
          <w:rFonts w:ascii="宋体" w:hAnsi="宋体" w:eastAsia="宋体" w:cs="宋体"/>
          <w:spacing w:val="10"/>
          <w:sz w:val="20"/>
          <w:szCs w:val="20"/>
        </w:rPr>
        <w:t>我国的大型人群队列以</w:t>
      </w:r>
      <w:r>
        <w:rPr>
          <w:rFonts w:ascii="宋体" w:hAnsi="宋体" w:eastAsia="宋体" w:cs="宋体"/>
          <w:sz w:val="20"/>
          <w:szCs w:val="20"/>
        </w:rPr>
        <w:t>CKB</w:t>
      </w:r>
      <w:r>
        <w:rPr>
          <w:rFonts w:ascii="宋体" w:hAnsi="宋体" w:eastAsia="宋体" w:cs="宋体"/>
          <w:spacing w:val="57"/>
          <w:sz w:val="20"/>
          <w:szCs w:val="20"/>
        </w:rPr>
        <w:t xml:space="preserve"> </w:t>
      </w:r>
      <w:r>
        <w:rPr>
          <w:rFonts w:ascii="宋体" w:hAnsi="宋体" w:eastAsia="宋体" w:cs="宋体"/>
          <w:spacing w:val="10"/>
          <w:sz w:val="20"/>
          <w:szCs w:val="20"/>
        </w:rPr>
        <w:t>为代表，至今存储了51.3万人的基线调查和部分人的三次重复调查数</w:t>
      </w:r>
      <w:r>
        <w:rPr>
          <w:rFonts w:ascii="宋体" w:hAnsi="宋体" w:eastAsia="宋体" w:cs="宋体"/>
          <w:sz w:val="20"/>
          <w:szCs w:val="20"/>
        </w:rPr>
        <w:t xml:space="preserve"> </w:t>
      </w:r>
      <w:r>
        <w:rPr>
          <w:rFonts w:ascii="宋体" w:hAnsi="宋体" w:eastAsia="宋体" w:cs="宋体"/>
          <w:spacing w:val="1"/>
          <w:sz w:val="20"/>
          <w:szCs w:val="20"/>
        </w:rPr>
        <w:t>据，血液样本达到58.8万份，还有部分尿液、唾液、粪便样本，为制定慢性病预防和控制对策、开发</w:t>
      </w:r>
      <w:r>
        <w:rPr>
          <w:rFonts w:ascii="宋体" w:hAnsi="宋体" w:eastAsia="宋体" w:cs="宋体"/>
          <w:spacing w:val="5"/>
          <w:sz w:val="20"/>
          <w:szCs w:val="20"/>
        </w:rPr>
        <w:t xml:space="preserve">  </w:t>
      </w:r>
      <w:r>
        <w:rPr>
          <w:rFonts w:ascii="宋体" w:hAnsi="宋体" w:eastAsia="宋体" w:cs="宋体"/>
          <w:spacing w:val="6"/>
          <w:sz w:val="20"/>
          <w:szCs w:val="20"/>
        </w:rPr>
        <w:t>新的治疗和干预手段奠定了研究基础。此外，随着对生命早期健康重视程度的日益提升，开始</w:t>
      </w:r>
      <w:r>
        <w:rPr>
          <w:rFonts w:ascii="宋体" w:hAnsi="宋体" w:eastAsia="宋体" w:cs="宋体"/>
          <w:spacing w:val="5"/>
          <w:sz w:val="20"/>
          <w:szCs w:val="20"/>
        </w:rPr>
        <w:t>出现</w:t>
      </w:r>
      <w:r>
        <w:rPr>
          <w:rFonts w:ascii="宋体" w:hAnsi="宋体" w:eastAsia="宋体" w:cs="宋体"/>
          <w:sz w:val="20"/>
          <w:szCs w:val="20"/>
        </w:rPr>
        <w:t xml:space="preserve">  </w:t>
      </w:r>
      <w:r>
        <w:rPr>
          <w:rFonts w:ascii="宋体" w:hAnsi="宋体" w:eastAsia="宋体" w:cs="宋体"/>
          <w:spacing w:val="11"/>
          <w:sz w:val="20"/>
          <w:szCs w:val="20"/>
        </w:rPr>
        <w:t>聚焦母婴健康的队列研究及生物样本库，通过系统地收集母婴在关键发育阶段的健康数</w:t>
      </w:r>
      <w:r>
        <w:rPr>
          <w:rFonts w:ascii="宋体" w:hAnsi="宋体" w:eastAsia="宋体" w:cs="宋体"/>
          <w:spacing w:val="10"/>
          <w:sz w:val="20"/>
          <w:szCs w:val="20"/>
        </w:rPr>
        <w:t>据与生物</w:t>
      </w:r>
      <w:r>
        <w:rPr>
          <w:rFonts w:ascii="宋体" w:hAnsi="宋体" w:eastAsia="宋体" w:cs="宋体"/>
          <w:sz w:val="20"/>
          <w:szCs w:val="20"/>
        </w:rPr>
        <w:t xml:space="preserve">  </w:t>
      </w:r>
      <w:r>
        <w:rPr>
          <w:rFonts w:ascii="宋体" w:hAnsi="宋体" w:eastAsia="宋体" w:cs="宋体"/>
          <w:spacing w:val="3"/>
          <w:sz w:val="20"/>
          <w:szCs w:val="20"/>
        </w:rPr>
        <w:t>样本，为研究生命早期暴露和致病因素提供新的视角和资源。</w:t>
      </w:r>
    </w:p>
    <w:p w14:paraId="08F361AE">
      <w:pPr>
        <w:pStyle w:val="2"/>
        <w:spacing w:before="243" w:line="222" w:lineRule="auto"/>
        <w:ind w:left="1182"/>
        <w:outlineLvl w:val="4"/>
        <w:rPr>
          <w:sz w:val="20"/>
          <w:szCs w:val="20"/>
        </w:rPr>
      </w:pPr>
      <w:bookmarkStart w:id="447" w:name="bookmark284"/>
      <w:bookmarkEnd w:id="447"/>
      <w:r>
        <w:rPr>
          <w:b/>
          <w:bCs/>
          <w:spacing w:val="-11"/>
          <w:sz w:val="20"/>
          <w:szCs w:val="20"/>
        </w:rPr>
        <w:t>三</w:t>
      </w:r>
      <w:r>
        <w:rPr>
          <w:spacing w:val="-11"/>
          <w:sz w:val="20"/>
          <w:szCs w:val="20"/>
        </w:rPr>
        <w:t xml:space="preserve"> </w:t>
      </w:r>
      <w:r>
        <w:rPr>
          <w:b/>
          <w:bCs/>
          <w:spacing w:val="-11"/>
          <w:sz w:val="20"/>
          <w:szCs w:val="20"/>
        </w:rPr>
        <w:t>、生</w:t>
      </w:r>
      <w:r>
        <w:rPr>
          <w:spacing w:val="-35"/>
          <w:sz w:val="20"/>
          <w:szCs w:val="20"/>
        </w:rPr>
        <w:t xml:space="preserve"> </w:t>
      </w:r>
      <w:r>
        <w:rPr>
          <w:b/>
          <w:bCs/>
          <w:spacing w:val="-11"/>
          <w:sz w:val="20"/>
          <w:szCs w:val="20"/>
        </w:rPr>
        <w:t>物</w:t>
      </w:r>
      <w:r>
        <w:rPr>
          <w:spacing w:val="-39"/>
          <w:sz w:val="20"/>
          <w:szCs w:val="20"/>
        </w:rPr>
        <w:t xml:space="preserve"> </w:t>
      </w:r>
      <w:r>
        <w:rPr>
          <w:b/>
          <w:bCs/>
          <w:spacing w:val="-11"/>
          <w:sz w:val="20"/>
          <w:szCs w:val="20"/>
        </w:rPr>
        <w:t>标</w:t>
      </w:r>
      <w:r>
        <w:rPr>
          <w:spacing w:val="-34"/>
          <w:sz w:val="20"/>
          <w:szCs w:val="20"/>
        </w:rPr>
        <w:t xml:space="preserve"> </w:t>
      </w:r>
      <w:r>
        <w:rPr>
          <w:b/>
          <w:bCs/>
          <w:spacing w:val="-11"/>
          <w:sz w:val="20"/>
          <w:szCs w:val="20"/>
        </w:rPr>
        <w:t>志</w:t>
      </w:r>
      <w:r>
        <w:rPr>
          <w:spacing w:val="-24"/>
          <w:sz w:val="20"/>
          <w:szCs w:val="20"/>
        </w:rPr>
        <w:t xml:space="preserve"> </w:t>
      </w:r>
      <w:r>
        <w:rPr>
          <w:b/>
          <w:bCs/>
          <w:spacing w:val="-11"/>
          <w:sz w:val="20"/>
          <w:szCs w:val="20"/>
        </w:rPr>
        <w:t>的</w:t>
      </w:r>
      <w:r>
        <w:rPr>
          <w:spacing w:val="-31"/>
          <w:sz w:val="20"/>
          <w:szCs w:val="20"/>
        </w:rPr>
        <w:t xml:space="preserve"> </w:t>
      </w:r>
      <w:r>
        <w:rPr>
          <w:b/>
          <w:bCs/>
          <w:spacing w:val="-11"/>
          <w:sz w:val="20"/>
          <w:szCs w:val="20"/>
        </w:rPr>
        <w:t>选</w:t>
      </w:r>
      <w:r>
        <w:rPr>
          <w:spacing w:val="-37"/>
          <w:sz w:val="20"/>
          <w:szCs w:val="20"/>
        </w:rPr>
        <w:t xml:space="preserve"> </w:t>
      </w:r>
      <w:r>
        <w:rPr>
          <w:b/>
          <w:bCs/>
          <w:spacing w:val="-11"/>
          <w:sz w:val="20"/>
          <w:szCs w:val="20"/>
        </w:rPr>
        <w:t>择</w:t>
      </w:r>
      <w:r>
        <w:rPr>
          <w:spacing w:val="-34"/>
          <w:sz w:val="20"/>
          <w:szCs w:val="20"/>
        </w:rPr>
        <w:t xml:space="preserve"> </w:t>
      </w:r>
      <w:r>
        <w:rPr>
          <w:b/>
          <w:bCs/>
          <w:spacing w:val="-11"/>
          <w:sz w:val="20"/>
          <w:szCs w:val="20"/>
        </w:rPr>
        <w:t>和</w:t>
      </w:r>
      <w:r>
        <w:rPr>
          <w:spacing w:val="-37"/>
          <w:sz w:val="20"/>
          <w:szCs w:val="20"/>
        </w:rPr>
        <w:t xml:space="preserve"> </w:t>
      </w:r>
      <w:r>
        <w:rPr>
          <w:b/>
          <w:bCs/>
          <w:spacing w:val="-11"/>
          <w:sz w:val="20"/>
          <w:szCs w:val="20"/>
        </w:rPr>
        <w:t>检</w:t>
      </w:r>
      <w:r>
        <w:rPr>
          <w:spacing w:val="-37"/>
          <w:sz w:val="20"/>
          <w:szCs w:val="20"/>
        </w:rPr>
        <w:t xml:space="preserve"> </w:t>
      </w:r>
      <w:r>
        <w:rPr>
          <w:b/>
          <w:bCs/>
          <w:spacing w:val="-11"/>
          <w:sz w:val="20"/>
          <w:szCs w:val="20"/>
        </w:rPr>
        <w:t>测</w:t>
      </w:r>
    </w:p>
    <w:p w14:paraId="69F6D54D">
      <w:pPr>
        <w:pStyle w:val="2"/>
        <w:spacing w:before="282" w:line="222" w:lineRule="auto"/>
        <w:ind w:left="1099"/>
        <w:rPr>
          <w:sz w:val="20"/>
          <w:szCs w:val="20"/>
        </w:rPr>
      </w:pPr>
      <w:r>
        <w:rPr>
          <w:spacing w:val="20"/>
          <w:sz w:val="20"/>
          <w:szCs w:val="20"/>
        </w:rPr>
        <w:t>(</w:t>
      </w:r>
      <w:r>
        <w:rPr>
          <w:spacing w:val="-46"/>
          <w:sz w:val="20"/>
          <w:szCs w:val="20"/>
        </w:rPr>
        <w:t xml:space="preserve"> </w:t>
      </w:r>
      <w:r>
        <w:rPr>
          <w:spacing w:val="20"/>
          <w:sz w:val="20"/>
          <w:szCs w:val="20"/>
        </w:rPr>
        <w:t>一</w:t>
      </w:r>
      <w:r>
        <w:rPr>
          <w:spacing w:val="-58"/>
          <w:sz w:val="20"/>
          <w:szCs w:val="20"/>
        </w:rPr>
        <w:t xml:space="preserve"> </w:t>
      </w:r>
      <w:r>
        <w:rPr>
          <w:spacing w:val="20"/>
          <w:sz w:val="20"/>
          <w:szCs w:val="20"/>
        </w:rPr>
        <w:t>)生物标志的选择</w:t>
      </w:r>
    </w:p>
    <w:p w14:paraId="15A136F4">
      <w:pPr>
        <w:spacing w:before="101" w:line="343" w:lineRule="auto"/>
        <w:ind w:left="699" w:right="89" w:firstLine="399"/>
        <w:jc w:val="both"/>
        <w:rPr>
          <w:rFonts w:ascii="宋体" w:hAnsi="宋体" w:eastAsia="宋体" w:cs="宋体"/>
          <w:sz w:val="20"/>
          <w:szCs w:val="20"/>
        </w:rPr>
      </w:pPr>
      <w:r>
        <w:rPr>
          <w:rFonts w:ascii="宋体" w:hAnsi="宋体" w:eastAsia="宋体" w:cs="宋体"/>
          <w:spacing w:val="12"/>
          <w:sz w:val="20"/>
          <w:szCs w:val="20"/>
        </w:rPr>
        <w:t>机体在从暴露到产生结局的过程中会发生许</w:t>
      </w:r>
      <w:r>
        <w:rPr>
          <w:rFonts w:ascii="宋体" w:hAnsi="宋体" w:eastAsia="宋体" w:cs="宋体"/>
          <w:spacing w:val="11"/>
          <w:sz w:val="20"/>
          <w:szCs w:val="20"/>
        </w:rPr>
        <w:t>多生物学特征的变化，但具有代表性且能够作为</w:t>
      </w:r>
      <w:r>
        <w:rPr>
          <w:rFonts w:ascii="宋体" w:hAnsi="宋体" w:eastAsia="宋体" w:cs="宋体"/>
          <w:sz w:val="20"/>
          <w:szCs w:val="20"/>
        </w:rPr>
        <w:t xml:space="preserve"> </w:t>
      </w:r>
      <w:r>
        <w:rPr>
          <w:rFonts w:ascii="宋体" w:hAnsi="宋体" w:eastAsia="宋体" w:cs="宋体"/>
          <w:spacing w:val="6"/>
          <w:sz w:val="20"/>
          <w:szCs w:val="20"/>
        </w:rPr>
        <w:t>生物标志的可能只是其中很小一部分。因此，在不同阶段需要根据候选生物标志的特性、在疾</w:t>
      </w:r>
      <w:r>
        <w:rPr>
          <w:rFonts w:ascii="宋体" w:hAnsi="宋体" w:eastAsia="宋体" w:cs="宋体"/>
          <w:spacing w:val="5"/>
          <w:sz w:val="20"/>
          <w:szCs w:val="20"/>
        </w:rPr>
        <w:t>病过</w:t>
      </w:r>
      <w:r>
        <w:rPr>
          <w:rFonts w:ascii="宋体" w:hAnsi="宋体" w:eastAsia="宋体" w:cs="宋体"/>
          <w:sz w:val="20"/>
          <w:szCs w:val="20"/>
        </w:rPr>
        <w:t xml:space="preserve"> </w:t>
      </w:r>
      <w:r>
        <w:rPr>
          <w:rFonts w:ascii="宋体" w:hAnsi="宋体" w:eastAsia="宋体" w:cs="宋体"/>
          <w:spacing w:val="3"/>
          <w:sz w:val="20"/>
          <w:szCs w:val="20"/>
        </w:rPr>
        <w:t>程中的意义、检测方法等情况结合其关联程度进行筛选。</w:t>
      </w:r>
    </w:p>
    <w:p w14:paraId="66FFB22D">
      <w:pPr>
        <w:pStyle w:val="2"/>
        <w:spacing w:before="7" w:line="333" w:lineRule="auto"/>
        <w:ind w:left="699" w:firstLine="399"/>
        <w:jc w:val="both"/>
        <w:rPr>
          <w:rFonts w:ascii="宋体" w:hAnsi="宋体" w:eastAsia="宋体" w:cs="宋体"/>
          <w:sz w:val="20"/>
          <w:szCs w:val="20"/>
        </w:rPr>
      </w:pPr>
      <w:r>
        <w:rPr>
          <w:rFonts w:ascii="宋体" w:hAnsi="宋体" w:eastAsia="宋体" w:cs="宋体"/>
          <w:spacing w:val="10"/>
          <w:sz w:val="20"/>
          <w:szCs w:val="20"/>
        </w:rPr>
        <w:t xml:space="preserve">1. </w:t>
      </w:r>
      <w:r>
        <w:rPr>
          <w:spacing w:val="10"/>
          <w:sz w:val="20"/>
          <w:szCs w:val="20"/>
        </w:rPr>
        <w:t>生物标志选择的原则</w:t>
      </w:r>
      <w:r>
        <w:rPr>
          <w:spacing w:val="70"/>
          <w:sz w:val="20"/>
          <w:szCs w:val="20"/>
        </w:rPr>
        <w:t xml:space="preserve"> </w:t>
      </w:r>
      <w:r>
        <w:rPr>
          <w:rFonts w:ascii="宋体" w:hAnsi="宋体" w:eastAsia="宋体" w:cs="宋体"/>
          <w:spacing w:val="10"/>
          <w:sz w:val="20"/>
          <w:szCs w:val="20"/>
        </w:rPr>
        <w:t>在分子流行病学研</w:t>
      </w:r>
      <w:r>
        <w:rPr>
          <w:rFonts w:ascii="宋体" w:hAnsi="宋体" w:eastAsia="宋体" w:cs="宋体"/>
          <w:spacing w:val="9"/>
          <w:sz w:val="20"/>
          <w:szCs w:val="20"/>
        </w:rPr>
        <w:t>究中，应根据研究目的的不同，选择相应的生物</w:t>
      </w:r>
      <w:r>
        <w:rPr>
          <w:rFonts w:ascii="宋体" w:hAnsi="宋体" w:eastAsia="宋体" w:cs="宋体"/>
          <w:sz w:val="20"/>
          <w:szCs w:val="20"/>
        </w:rPr>
        <w:t xml:space="preserve">  </w:t>
      </w:r>
      <w:r>
        <w:rPr>
          <w:rFonts w:ascii="宋体" w:hAnsi="宋体" w:eastAsia="宋体" w:cs="宋体"/>
          <w:spacing w:val="11"/>
          <w:sz w:val="20"/>
          <w:szCs w:val="20"/>
        </w:rPr>
        <w:t>标志。若要研究暴露及其水平与疾病的关系，则选择暴露标志；探讨暴露引起的生物学效应及其</w:t>
      </w:r>
      <w:r>
        <w:rPr>
          <w:rFonts w:ascii="宋体" w:hAnsi="宋体" w:eastAsia="宋体" w:cs="宋体"/>
          <w:spacing w:val="15"/>
          <w:sz w:val="20"/>
          <w:szCs w:val="20"/>
        </w:rPr>
        <w:t xml:space="preserve"> </w:t>
      </w:r>
      <w:r>
        <w:rPr>
          <w:rFonts w:ascii="宋体" w:hAnsi="宋体" w:eastAsia="宋体" w:cs="宋体"/>
          <w:spacing w:val="8"/>
          <w:sz w:val="20"/>
          <w:szCs w:val="20"/>
        </w:rPr>
        <w:t>与疾病的关系，可选择效应标志；研究易感性在疾病发生发展中的作用，则必须确定易感性标志；</w:t>
      </w:r>
      <w:r>
        <w:rPr>
          <w:rFonts w:ascii="宋体" w:hAnsi="宋体" w:eastAsia="宋体" w:cs="宋体"/>
          <w:spacing w:val="4"/>
          <w:sz w:val="20"/>
          <w:szCs w:val="20"/>
        </w:rPr>
        <w:t xml:space="preserve"> </w:t>
      </w:r>
      <w:r>
        <w:rPr>
          <w:rFonts w:ascii="宋体" w:hAnsi="宋体" w:eastAsia="宋体" w:cs="宋体"/>
          <w:spacing w:val="16"/>
          <w:sz w:val="20"/>
          <w:szCs w:val="20"/>
        </w:rPr>
        <w:t>若需要进行多方面的综合研究，就要选择多项(类)生物标志等。生物标志的选</w:t>
      </w:r>
      <w:r>
        <w:rPr>
          <w:rFonts w:ascii="宋体" w:hAnsi="宋体" w:eastAsia="宋体" w:cs="宋体"/>
          <w:spacing w:val="15"/>
          <w:sz w:val="20"/>
          <w:szCs w:val="20"/>
        </w:rPr>
        <w:t>择还需符合下列</w:t>
      </w:r>
      <w:r>
        <w:rPr>
          <w:rFonts w:ascii="宋体" w:hAnsi="宋体" w:eastAsia="宋体" w:cs="宋体"/>
          <w:sz w:val="20"/>
          <w:szCs w:val="20"/>
        </w:rPr>
        <w:t xml:space="preserve">  </w:t>
      </w:r>
      <w:r>
        <w:rPr>
          <w:rFonts w:ascii="宋体" w:hAnsi="宋体" w:eastAsia="宋体" w:cs="宋体"/>
          <w:spacing w:val="6"/>
          <w:sz w:val="20"/>
          <w:szCs w:val="20"/>
        </w:rPr>
        <w:t>原则：</w:t>
      </w:r>
    </w:p>
    <w:p w14:paraId="13D24498">
      <w:pPr>
        <w:spacing w:before="54" w:line="219" w:lineRule="auto"/>
        <w:ind w:left="1099"/>
        <w:rPr>
          <w:rFonts w:ascii="宋体" w:hAnsi="宋体" w:eastAsia="宋体" w:cs="宋体"/>
          <w:sz w:val="20"/>
          <w:szCs w:val="20"/>
        </w:rPr>
      </w:pPr>
      <w:r>
        <w:rPr>
          <w:rFonts w:ascii="宋体" w:hAnsi="宋体" w:eastAsia="宋体" w:cs="宋体"/>
          <w:spacing w:val="7"/>
          <w:sz w:val="20"/>
          <w:szCs w:val="20"/>
        </w:rPr>
        <w:t>(1)生物标志应特异、稳定。</w:t>
      </w:r>
    </w:p>
    <w:p w14:paraId="37605F64">
      <w:pPr>
        <w:spacing w:before="122" w:line="219" w:lineRule="auto"/>
        <w:ind w:left="1099"/>
        <w:rPr>
          <w:rFonts w:ascii="宋体" w:hAnsi="宋体" w:eastAsia="宋体" w:cs="宋体"/>
          <w:sz w:val="20"/>
          <w:szCs w:val="20"/>
        </w:rPr>
      </w:pPr>
      <w:r>
        <w:rPr>
          <w:rFonts w:ascii="宋体" w:hAnsi="宋体" w:eastAsia="宋体" w:cs="宋体"/>
          <w:spacing w:val="7"/>
          <w:sz w:val="20"/>
          <w:szCs w:val="20"/>
        </w:rPr>
        <w:t>(2)标本采集、储存方便。</w:t>
      </w:r>
    </w:p>
    <w:p w14:paraId="11BECC03">
      <w:pPr>
        <w:spacing w:before="143" w:line="219" w:lineRule="auto"/>
        <w:ind w:left="1099"/>
        <w:rPr>
          <w:rFonts w:ascii="宋体" w:hAnsi="宋体" w:eastAsia="宋体" w:cs="宋体"/>
          <w:sz w:val="20"/>
          <w:szCs w:val="20"/>
        </w:rPr>
      </w:pPr>
      <w:r>
        <w:rPr>
          <w:rFonts w:ascii="宋体" w:hAnsi="宋体" w:eastAsia="宋体" w:cs="宋体"/>
          <w:spacing w:val="3"/>
          <w:sz w:val="20"/>
          <w:szCs w:val="20"/>
        </w:rPr>
        <w:t>(3)检测方法简单、实用，而且操作规范，便于与同类研究结果比较。</w:t>
      </w:r>
    </w:p>
    <w:p w14:paraId="018FF27B">
      <w:pPr>
        <w:spacing w:before="124" w:line="219" w:lineRule="auto"/>
        <w:ind w:left="1099"/>
        <w:rPr>
          <w:rFonts w:ascii="宋体" w:hAnsi="宋体" w:eastAsia="宋体" w:cs="宋体"/>
          <w:sz w:val="20"/>
          <w:szCs w:val="20"/>
        </w:rPr>
      </w:pPr>
      <w:r>
        <w:rPr>
          <w:rFonts w:ascii="宋体" w:hAnsi="宋体" w:eastAsia="宋体" w:cs="宋体"/>
          <w:spacing w:val="12"/>
          <w:sz w:val="20"/>
          <w:szCs w:val="20"/>
        </w:rPr>
        <w:t>(4)检测方法的灵敏度和特异度高。</w:t>
      </w:r>
    </w:p>
    <w:p w14:paraId="10978377">
      <w:pPr>
        <w:spacing w:before="143" w:line="220" w:lineRule="auto"/>
        <w:ind w:left="1099"/>
        <w:rPr>
          <w:rFonts w:ascii="宋体" w:hAnsi="宋体" w:eastAsia="宋体" w:cs="宋体"/>
          <w:sz w:val="20"/>
          <w:szCs w:val="20"/>
        </w:rPr>
      </w:pPr>
      <w:r>
        <w:rPr>
          <w:rFonts w:ascii="宋体" w:hAnsi="宋体" w:eastAsia="宋体" w:cs="宋体"/>
          <w:spacing w:val="10"/>
          <w:sz w:val="20"/>
          <w:szCs w:val="20"/>
        </w:rPr>
        <w:t>2.</w:t>
      </w:r>
      <w:r>
        <w:rPr>
          <w:rFonts w:ascii="宋体" w:hAnsi="宋体" w:eastAsia="宋体" w:cs="宋体"/>
          <w:spacing w:val="-3"/>
          <w:sz w:val="20"/>
          <w:szCs w:val="20"/>
        </w:rPr>
        <w:t xml:space="preserve"> </w:t>
      </w:r>
      <w:r>
        <w:rPr>
          <w:rFonts w:ascii="宋体" w:hAnsi="宋体" w:eastAsia="宋体" w:cs="宋体"/>
          <w:spacing w:val="10"/>
          <w:sz w:val="20"/>
          <w:szCs w:val="20"/>
        </w:rPr>
        <w:t>测量指标的选择</w:t>
      </w:r>
    </w:p>
    <w:p w14:paraId="1A49F41D">
      <w:pPr>
        <w:spacing w:before="110" w:line="362" w:lineRule="auto"/>
        <w:ind w:left="699" w:right="30" w:firstLine="399"/>
        <w:rPr>
          <w:rFonts w:ascii="宋体" w:hAnsi="宋体" w:eastAsia="宋体" w:cs="宋体"/>
          <w:sz w:val="20"/>
          <w:szCs w:val="20"/>
        </w:rPr>
      </w:pPr>
      <w:r>
        <w:rPr>
          <w:rFonts w:ascii="宋体" w:hAnsi="宋体" w:eastAsia="宋体" w:cs="宋体"/>
          <w:spacing w:val="5"/>
          <w:sz w:val="20"/>
          <w:szCs w:val="20"/>
        </w:rPr>
        <w:t>(1)暴露指标：暴露可以是内暴露，也可以是外暴露；</w:t>
      </w:r>
      <w:r>
        <w:rPr>
          <w:rFonts w:ascii="宋体" w:hAnsi="宋体" w:eastAsia="宋体" w:cs="宋体"/>
          <w:spacing w:val="4"/>
          <w:sz w:val="20"/>
          <w:szCs w:val="20"/>
        </w:rPr>
        <w:t>可以是危险因子，也可以是保护因子。选</w:t>
      </w:r>
      <w:r>
        <w:rPr>
          <w:rFonts w:ascii="宋体" w:hAnsi="宋体" w:eastAsia="宋体" w:cs="宋体"/>
          <w:sz w:val="20"/>
          <w:szCs w:val="20"/>
        </w:rPr>
        <w:t xml:space="preserve"> </w:t>
      </w:r>
      <w:r>
        <w:rPr>
          <w:rFonts w:ascii="宋体" w:hAnsi="宋体" w:eastAsia="宋体" w:cs="宋体"/>
          <w:spacing w:val="12"/>
          <w:sz w:val="20"/>
          <w:szCs w:val="20"/>
        </w:rPr>
        <w:t>择何种生物标志作为暴露指标应考虑最好能代表接触剂量或生物作用剂量，前者便于以后进行大</w:t>
      </w:r>
    </w:p>
    <w:p w14:paraId="4E967608">
      <w:pPr>
        <w:spacing w:line="362" w:lineRule="auto"/>
        <w:rPr>
          <w:rFonts w:ascii="宋体" w:hAnsi="宋体" w:eastAsia="宋体" w:cs="宋体"/>
          <w:sz w:val="20"/>
          <w:szCs w:val="20"/>
        </w:rPr>
        <w:sectPr>
          <w:footerReference r:id="rId289" w:type="default"/>
          <w:pgSz w:w="11900" w:h="16820"/>
          <w:pgMar w:top="400" w:right="1449" w:bottom="789" w:left="800" w:header="0" w:footer="609" w:gutter="0"/>
          <w:cols w:space="720" w:num="1"/>
        </w:sectPr>
      </w:pPr>
    </w:p>
    <w:p w14:paraId="178D4C90">
      <w:pPr>
        <w:pStyle w:val="2"/>
        <w:spacing w:line="220" w:lineRule="auto"/>
        <w:ind w:left="7050"/>
        <w:rPr>
          <w:sz w:val="20"/>
          <w:szCs w:val="20"/>
        </w:rPr>
      </w:pPr>
      <w:r>
        <w:rPr>
          <w:spacing w:val="-21"/>
          <w:sz w:val="20"/>
          <w:szCs w:val="20"/>
        </w:rPr>
        <w:t>第十七章 分子流行病学</w:t>
      </w:r>
    </w:p>
    <w:p w14:paraId="7CD323D5">
      <w:pPr>
        <w:spacing w:line="281" w:lineRule="auto"/>
        <w:rPr>
          <w:rFonts w:ascii="Arial"/>
          <w:sz w:val="21"/>
        </w:rPr>
      </w:pPr>
    </w:p>
    <w:p w14:paraId="1FBEABC8">
      <w:pPr>
        <w:spacing w:line="281" w:lineRule="auto"/>
        <w:rPr>
          <w:rFonts w:ascii="Arial"/>
          <w:sz w:val="21"/>
        </w:rPr>
      </w:pPr>
    </w:p>
    <w:p w14:paraId="126FB871">
      <w:pPr>
        <w:spacing w:before="65" w:line="219" w:lineRule="auto"/>
        <w:rPr>
          <w:rFonts w:ascii="宋体" w:hAnsi="宋体" w:eastAsia="宋体" w:cs="宋体"/>
          <w:sz w:val="20"/>
          <w:szCs w:val="20"/>
        </w:rPr>
      </w:pPr>
      <w:r>
        <w:rPr>
          <w:rFonts w:ascii="宋体" w:hAnsi="宋体" w:eastAsia="宋体" w:cs="宋体"/>
          <w:spacing w:val="6"/>
          <w:sz w:val="20"/>
          <w:szCs w:val="20"/>
        </w:rPr>
        <w:t>样本人群研究和制定疾病防治策略措施，后者对进一步研究早期生物效应等具有意义。</w:t>
      </w:r>
    </w:p>
    <w:p w14:paraId="7CC7C79C">
      <w:pPr>
        <w:spacing w:before="135" w:line="310" w:lineRule="auto"/>
        <w:ind w:right="555" w:firstLine="409"/>
        <w:rPr>
          <w:rFonts w:ascii="宋体" w:hAnsi="宋体" w:eastAsia="宋体" w:cs="宋体"/>
          <w:sz w:val="20"/>
          <w:szCs w:val="20"/>
        </w:rPr>
      </w:pPr>
      <w:r>
        <w:rPr>
          <w:rFonts w:ascii="宋体" w:hAnsi="宋体" w:eastAsia="宋体" w:cs="宋体"/>
          <w:spacing w:val="6"/>
          <w:sz w:val="20"/>
          <w:szCs w:val="20"/>
        </w:rPr>
        <w:t>(2)效应指标：宿主暴露以后会产生一系列相应的生物效应</w:t>
      </w:r>
      <w:r>
        <w:rPr>
          <w:rFonts w:ascii="宋体" w:hAnsi="宋体" w:eastAsia="宋体" w:cs="宋体"/>
          <w:spacing w:val="5"/>
          <w:sz w:val="20"/>
          <w:szCs w:val="20"/>
        </w:rPr>
        <w:t>，直到最终结局。</w:t>
      </w:r>
      <w:r>
        <w:rPr>
          <w:rFonts w:ascii="宋体" w:hAnsi="宋体" w:eastAsia="宋体" w:cs="宋体"/>
          <w:spacing w:val="51"/>
          <w:sz w:val="20"/>
          <w:szCs w:val="20"/>
        </w:rPr>
        <w:t xml:space="preserve"> </w:t>
      </w:r>
      <w:r>
        <w:rPr>
          <w:rFonts w:ascii="宋体" w:hAnsi="宋体" w:eastAsia="宋体" w:cs="宋体"/>
          <w:spacing w:val="5"/>
          <w:sz w:val="20"/>
          <w:szCs w:val="20"/>
        </w:rPr>
        <w:t>一般以最早期生</w:t>
      </w:r>
      <w:r>
        <w:rPr>
          <w:rFonts w:ascii="宋体" w:hAnsi="宋体" w:eastAsia="宋体" w:cs="宋体"/>
          <w:sz w:val="20"/>
          <w:szCs w:val="20"/>
        </w:rPr>
        <w:t xml:space="preserve"> </w:t>
      </w:r>
      <w:r>
        <w:rPr>
          <w:rFonts w:ascii="宋体" w:hAnsi="宋体" w:eastAsia="宋体" w:cs="宋体"/>
          <w:spacing w:val="7"/>
          <w:sz w:val="20"/>
          <w:szCs w:val="20"/>
        </w:rPr>
        <w:t>物效应标志作为探索暴露因素的致病作用或干预措施</w:t>
      </w:r>
      <w:r>
        <w:rPr>
          <w:rFonts w:ascii="宋体" w:hAnsi="宋体" w:eastAsia="宋体" w:cs="宋体"/>
          <w:spacing w:val="6"/>
          <w:sz w:val="20"/>
          <w:szCs w:val="20"/>
        </w:rPr>
        <w:t>的短期效果评价的指标，如抗体产生、代谢异</w:t>
      </w:r>
      <w:r>
        <w:rPr>
          <w:rFonts w:ascii="宋体" w:hAnsi="宋体" w:eastAsia="宋体" w:cs="宋体"/>
          <w:sz w:val="20"/>
          <w:szCs w:val="20"/>
        </w:rPr>
        <w:t xml:space="preserve">  </w:t>
      </w:r>
      <w:r>
        <w:rPr>
          <w:rFonts w:ascii="宋体" w:hAnsi="宋体" w:eastAsia="宋体" w:cs="宋体"/>
          <w:spacing w:val="4"/>
          <w:sz w:val="20"/>
          <w:szCs w:val="20"/>
        </w:rPr>
        <w:t>常、基因表达异常等；选择结构和功能改变作为确定暴露的致病作用和早期诊断、早</w:t>
      </w:r>
      <w:r>
        <w:rPr>
          <w:rFonts w:ascii="宋体" w:hAnsi="宋体" w:eastAsia="宋体" w:cs="宋体"/>
          <w:spacing w:val="3"/>
          <w:sz w:val="20"/>
          <w:szCs w:val="20"/>
        </w:rPr>
        <w:t>期预防的指标；</w:t>
      </w:r>
      <w:r>
        <w:rPr>
          <w:rFonts w:ascii="宋体" w:hAnsi="宋体" w:eastAsia="宋体" w:cs="宋体"/>
          <w:sz w:val="20"/>
          <w:szCs w:val="20"/>
        </w:rPr>
        <w:t xml:space="preserve"> </w:t>
      </w:r>
      <w:r>
        <w:rPr>
          <w:rFonts w:ascii="宋体" w:hAnsi="宋体" w:eastAsia="宋体" w:cs="宋体"/>
          <w:spacing w:val="10"/>
          <w:sz w:val="20"/>
          <w:szCs w:val="20"/>
        </w:rPr>
        <w:t>应用临床诊断标志作为干预措施长期效果评价或预后的指标。</w:t>
      </w:r>
    </w:p>
    <w:p w14:paraId="4007F057">
      <w:pPr>
        <w:spacing w:before="163" w:line="295" w:lineRule="auto"/>
        <w:ind w:right="622" w:firstLine="409"/>
        <w:rPr>
          <w:rFonts w:ascii="宋体" w:hAnsi="宋体" w:eastAsia="宋体" w:cs="宋体"/>
          <w:sz w:val="20"/>
          <w:szCs w:val="20"/>
        </w:rPr>
      </w:pPr>
      <w:r>
        <w:rPr>
          <w:rFonts w:ascii="宋体" w:hAnsi="宋体" w:eastAsia="宋体" w:cs="宋体"/>
          <w:spacing w:val="9"/>
          <w:sz w:val="20"/>
          <w:szCs w:val="20"/>
        </w:rPr>
        <w:t>(3)易感性指标：传染病易感性标志一般选择抗体水平，而易感基因及其表达产物等可作为心</w:t>
      </w:r>
      <w:r>
        <w:rPr>
          <w:rFonts w:ascii="宋体" w:hAnsi="宋体" w:eastAsia="宋体" w:cs="宋体"/>
          <w:spacing w:val="14"/>
          <w:sz w:val="20"/>
          <w:szCs w:val="20"/>
        </w:rPr>
        <w:t xml:space="preserve"> </w:t>
      </w:r>
      <w:r>
        <w:rPr>
          <w:rFonts w:ascii="宋体" w:hAnsi="宋体" w:eastAsia="宋体" w:cs="宋体"/>
          <w:spacing w:val="2"/>
          <w:sz w:val="20"/>
          <w:szCs w:val="20"/>
        </w:rPr>
        <w:t>血管疾病、恶性肿瘤、糖尿病、遗传病等慢性非传染性疾病的易感性标志</w:t>
      </w:r>
      <w:r>
        <w:rPr>
          <w:rFonts w:ascii="宋体" w:hAnsi="宋体" w:eastAsia="宋体" w:cs="宋体"/>
          <w:spacing w:val="1"/>
          <w:sz w:val="20"/>
          <w:szCs w:val="20"/>
        </w:rPr>
        <w:t>。目前，研究较多的易感性</w:t>
      </w:r>
      <w:r>
        <w:rPr>
          <w:rFonts w:ascii="宋体" w:hAnsi="宋体" w:eastAsia="宋体" w:cs="宋体"/>
          <w:sz w:val="20"/>
          <w:szCs w:val="20"/>
        </w:rPr>
        <w:t xml:space="preserve"> </w:t>
      </w:r>
      <w:r>
        <w:rPr>
          <w:rFonts w:ascii="宋体" w:hAnsi="宋体" w:eastAsia="宋体" w:cs="宋体"/>
          <w:spacing w:val="10"/>
          <w:sz w:val="20"/>
          <w:szCs w:val="20"/>
        </w:rPr>
        <w:t>指标主要有</w:t>
      </w:r>
      <w:r>
        <w:rPr>
          <w:rFonts w:ascii="Times New Roman" w:hAnsi="Times New Roman" w:eastAsia="Times New Roman" w:cs="Times New Roman"/>
          <w:sz w:val="20"/>
          <w:szCs w:val="20"/>
        </w:rPr>
        <w:t>SNPs</w:t>
      </w:r>
      <w:r>
        <w:rPr>
          <w:rFonts w:ascii="Times New Roman" w:hAnsi="Times New Roman" w:eastAsia="Times New Roman" w:cs="Times New Roman"/>
          <w:spacing w:val="10"/>
          <w:sz w:val="20"/>
          <w:szCs w:val="20"/>
        </w:rPr>
        <w:t xml:space="preserve">,  </w:t>
      </w:r>
      <w:r>
        <w:rPr>
          <w:rFonts w:ascii="宋体" w:hAnsi="宋体" w:eastAsia="宋体" w:cs="宋体"/>
          <w:spacing w:val="10"/>
          <w:sz w:val="20"/>
          <w:szCs w:val="20"/>
        </w:rPr>
        <w:t>这类研究的研究方法比较成熟且结果可靠。</w:t>
      </w:r>
    </w:p>
    <w:p w14:paraId="6A08C478">
      <w:pPr>
        <w:pStyle w:val="2"/>
        <w:spacing w:before="184" w:line="223" w:lineRule="auto"/>
        <w:ind w:left="429"/>
        <w:rPr>
          <w:sz w:val="20"/>
          <w:szCs w:val="20"/>
        </w:rPr>
      </w:pPr>
      <w:r>
        <w:rPr>
          <w:spacing w:val="34"/>
          <w:sz w:val="20"/>
          <w:szCs w:val="20"/>
        </w:rPr>
        <w:t>(二)生物标志的检测</w:t>
      </w:r>
    </w:p>
    <w:p w14:paraId="19DA81E1">
      <w:pPr>
        <w:pStyle w:val="2"/>
        <w:spacing w:before="126" w:line="324" w:lineRule="auto"/>
        <w:ind w:right="535" w:firstLine="429"/>
        <w:rPr>
          <w:rFonts w:ascii="宋体" w:hAnsi="宋体" w:eastAsia="宋体" w:cs="宋体"/>
          <w:sz w:val="20"/>
          <w:szCs w:val="20"/>
        </w:rPr>
      </w:pPr>
      <w:r>
        <w:rPr>
          <w:rFonts w:ascii="宋体" w:hAnsi="宋体" w:eastAsia="宋体" w:cs="宋体"/>
          <w:spacing w:val="10"/>
          <w:sz w:val="20"/>
          <w:szCs w:val="20"/>
        </w:rPr>
        <w:t xml:space="preserve">1. </w:t>
      </w:r>
      <w:r>
        <w:rPr>
          <w:spacing w:val="10"/>
          <w:sz w:val="20"/>
          <w:szCs w:val="20"/>
        </w:rPr>
        <w:t>生物标志的特性</w:t>
      </w:r>
      <w:r>
        <w:rPr>
          <w:spacing w:val="48"/>
          <w:sz w:val="20"/>
          <w:szCs w:val="20"/>
        </w:rPr>
        <w:t xml:space="preserve"> </w:t>
      </w:r>
      <w:r>
        <w:rPr>
          <w:rFonts w:ascii="宋体" w:hAnsi="宋体" w:eastAsia="宋体" w:cs="宋体"/>
          <w:spacing w:val="10"/>
          <w:sz w:val="20"/>
          <w:szCs w:val="20"/>
        </w:rPr>
        <w:t>分子流行病学的研究中需要明确生物标志的具体特性，确保生物</w:t>
      </w:r>
      <w:r>
        <w:rPr>
          <w:rFonts w:ascii="宋体" w:hAnsi="宋体" w:eastAsia="宋体" w:cs="宋体"/>
          <w:spacing w:val="9"/>
          <w:sz w:val="20"/>
          <w:szCs w:val="20"/>
        </w:rPr>
        <w:t>标志测</w:t>
      </w:r>
      <w:r>
        <w:rPr>
          <w:rFonts w:ascii="宋体" w:hAnsi="宋体" w:eastAsia="宋体" w:cs="宋体"/>
          <w:sz w:val="20"/>
          <w:szCs w:val="20"/>
        </w:rPr>
        <w:t xml:space="preserve">  </w:t>
      </w:r>
      <w:r>
        <w:rPr>
          <w:rFonts w:ascii="宋体" w:hAnsi="宋体" w:eastAsia="宋体" w:cs="宋体"/>
          <w:spacing w:val="9"/>
          <w:sz w:val="20"/>
          <w:szCs w:val="20"/>
        </w:rPr>
        <w:t>量的准确性。生物标志的特性主要包括：①分子特性：</w:t>
      </w:r>
      <w:r>
        <w:rPr>
          <w:rFonts w:ascii="宋体" w:hAnsi="宋体" w:eastAsia="宋体" w:cs="宋体"/>
          <w:spacing w:val="8"/>
          <w:sz w:val="20"/>
          <w:szCs w:val="20"/>
        </w:rPr>
        <w:t>即生物标志的化学结构和组成、物理特性、</w:t>
      </w:r>
      <w:r>
        <w:rPr>
          <w:rFonts w:ascii="宋体" w:hAnsi="宋体" w:eastAsia="宋体" w:cs="宋体"/>
          <w:sz w:val="20"/>
          <w:szCs w:val="20"/>
        </w:rPr>
        <w:t xml:space="preserve"> </w:t>
      </w:r>
      <w:r>
        <w:rPr>
          <w:rFonts w:ascii="宋体" w:hAnsi="宋体" w:eastAsia="宋体" w:cs="宋体"/>
          <w:spacing w:val="7"/>
          <w:sz w:val="20"/>
          <w:szCs w:val="20"/>
        </w:rPr>
        <w:t>稳定性等；②时相特性：即生物标志在不同进展阶段的表现和意义；③个体内变异：由于生</w:t>
      </w:r>
      <w:r>
        <w:rPr>
          <w:rFonts w:ascii="宋体" w:hAnsi="宋体" w:eastAsia="宋体" w:cs="宋体"/>
          <w:spacing w:val="6"/>
          <w:sz w:val="20"/>
          <w:szCs w:val="20"/>
        </w:rPr>
        <w:t>物标本</w:t>
      </w:r>
      <w:r>
        <w:rPr>
          <w:rFonts w:ascii="宋体" w:hAnsi="宋体" w:eastAsia="宋体" w:cs="宋体"/>
          <w:sz w:val="20"/>
          <w:szCs w:val="20"/>
        </w:rPr>
        <w:t xml:space="preserve">  </w:t>
      </w:r>
      <w:r>
        <w:rPr>
          <w:rFonts w:ascii="宋体" w:hAnsi="宋体" w:eastAsia="宋体" w:cs="宋体"/>
          <w:spacing w:val="7"/>
          <w:sz w:val="20"/>
          <w:szCs w:val="20"/>
        </w:rPr>
        <w:t>采集时间、部位等不同，即使同一个体，其生物标本检测的结果也可能具有一定差异；④</w:t>
      </w:r>
      <w:r>
        <w:rPr>
          <w:rFonts w:ascii="宋体" w:hAnsi="宋体" w:eastAsia="宋体" w:cs="宋体"/>
          <w:spacing w:val="6"/>
          <w:sz w:val="20"/>
          <w:szCs w:val="20"/>
        </w:rPr>
        <w:t>个体间变</w:t>
      </w:r>
      <w:r>
        <w:rPr>
          <w:rFonts w:ascii="宋体" w:hAnsi="宋体" w:eastAsia="宋体" w:cs="宋体"/>
          <w:sz w:val="20"/>
          <w:szCs w:val="20"/>
        </w:rPr>
        <w:t xml:space="preserve">  </w:t>
      </w:r>
      <w:r>
        <w:rPr>
          <w:rFonts w:ascii="宋体" w:hAnsi="宋体" w:eastAsia="宋体" w:cs="宋体"/>
          <w:spacing w:val="7"/>
          <w:sz w:val="20"/>
          <w:szCs w:val="20"/>
        </w:rPr>
        <w:t>异：不同生物体之间生物标志检测结果的差异；⑤群体间</w:t>
      </w:r>
      <w:r>
        <w:rPr>
          <w:rFonts w:ascii="宋体" w:hAnsi="宋体" w:eastAsia="宋体" w:cs="宋体"/>
          <w:spacing w:val="6"/>
          <w:sz w:val="20"/>
          <w:szCs w:val="20"/>
        </w:rPr>
        <w:t>变异：不同生物群体(如不同年龄、性别、</w:t>
      </w:r>
      <w:r>
        <w:rPr>
          <w:rFonts w:ascii="宋体" w:hAnsi="宋体" w:eastAsia="宋体" w:cs="宋体"/>
          <w:sz w:val="20"/>
          <w:szCs w:val="20"/>
        </w:rPr>
        <w:t xml:space="preserve"> </w:t>
      </w:r>
      <w:r>
        <w:rPr>
          <w:rFonts w:ascii="宋体" w:hAnsi="宋体" w:eastAsia="宋体" w:cs="宋体"/>
          <w:spacing w:val="4"/>
          <w:sz w:val="20"/>
          <w:szCs w:val="20"/>
        </w:rPr>
        <w:t>民族等群体)生物标志检测结果的差异；⑥储存变异：生物标志的生物特性、储存条件、储存时间等</w:t>
      </w:r>
      <w:r>
        <w:rPr>
          <w:rFonts w:ascii="宋体" w:hAnsi="宋体" w:eastAsia="宋体" w:cs="宋体"/>
          <w:spacing w:val="1"/>
          <w:sz w:val="20"/>
          <w:szCs w:val="20"/>
        </w:rPr>
        <w:t xml:space="preserve">  </w:t>
      </w:r>
      <w:r>
        <w:rPr>
          <w:rFonts w:ascii="宋体" w:hAnsi="宋体" w:eastAsia="宋体" w:cs="宋体"/>
          <w:spacing w:val="13"/>
          <w:sz w:val="20"/>
          <w:szCs w:val="20"/>
        </w:rPr>
        <w:t>都会影响其检测结果。</w:t>
      </w:r>
    </w:p>
    <w:p w14:paraId="7D189D71">
      <w:pPr>
        <w:pStyle w:val="2"/>
        <w:spacing w:before="165" w:line="317" w:lineRule="auto"/>
        <w:ind w:right="555" w:firstLine="429"/>
        <w:rPr>
          <w:rFonts w:ascii="宋体" w:hAnsi="宋体" w:eastAsia="宋体" w:cs="宋体"/>
          <w:sz w:val="20"/>
          <w:szCs w:val="20"/>
        </w:rPr>
      </w:pPr>
      <w:r>
        <w:rPr>
          <w:rFonts w:ascii="宋体" w:hAnsi="宋体" w:eastAsia="宋体" w:cs="宋体"/>
          <w:spacing w:val="16"/>
          <w:sz w:val="20"/>
          <w:szCs w:val="20"/>
        </w:rPr>
        <w:t xml:space="preserve">2. </w:t>
      </w:r>
      <w:r>
        <w:rPr>
          <w:spacing w:val="16"/>
          <w:sz w:val="20"/>
          <w:szCs w:val="20"/>
        </w:rPr>
        <w:t>生物标志的检测方法</w:t>
      </w:r>
      <w:r>
        <w:rPr>
          <w:spacing w:val="98"/>
          <w:sz w:val="20"/>
          <w:szCs w:val="20"/>
        </w:rPr>
        <w:t xml:space="preserve"> </w:t>
      </w:r>
      <w:r>
        <w:rPr>
          <w:rFonts w:ascii="宋体" w:hAnsi="宋体" w:eastAsia="宋体" w:cs="宋体"/>
          <w:spacing w:val="16"/>
          <w:sz w:val="20"/>
          <w:szCs w:val="20"/>
        </w:rPr>
        <w:t>由于流行病学研究的样本量一般较大，生物标志检测花费较高，</w:t>
      </w:r>
      <w:r>
        <w:rPr>
          <w:rFonts w:ascii="宋体" w:hAnsi="宋体" w:eastAsia="宋体" w:cs="宋体"/>
          <w:sz w:val="20"/>
          <w:szCs w:val="20"/>
        </w:rPr>
        <w:t xml:space="preserve"> </w:t>
      </w:r>
      <w:r>
        <w:rPr>
          <w:rFonts w:ascii="宋体" w:hAnsi="宋体" w:eastAsia="宋体" w:cs="宋体"/>
          <w:spacing w:val="6"/>
          <w:sz w:val="20"/>
          <w:szCs w:val="20"/>
        </w:rPr>
        <w:t>因此，应选择生物标志检测的“最佳”方法，即具有便捷、高效、稳定的特性，而不应盲目追求所</w:t>
      </w:r>
      <w:r>
        <w:rPr>
          <w:rFonts w:ascii="宋体" w:hAnsi="宋体" w:eastAsia="宋体" w:cs="宋体"/>
          <w:spacing w:val="9"/>
          <w:sz w:val="20"/>
          <w:szCs w:val="20"/>
        </w:rPr>
        <w:t xml:space="preserve">  </w:t>
      </w:r>
      <w:r>
        <w:rPr>
          <w:rFonts w:ascii="宋体" w:hAnsi="宋体" w:eastAsia="宋体" w:cs="宋体"/>
          <w:spacing w:val="5"/>
          <w:sz w:val="20"/>
          <w:szCs w:val="20"/>
        </w:rPr>
        <w:t>谓的“最新”方法。</w:t>
      </w:r>
      <w:r>
        <w:rPr>
          <w:rFonts w:ascii="宋体" w:hAnsi="宋体" w:eastAsia="宋体" w:cs="宋体"/>
          <w:spacing w:val="-18"/>
          <w:sz w:val="20"/>
          <w:szCs w:val="20"/>
        </w:rPr>
        <w:t xml:space="preserve"> </w:t>
      </w:r>
      <w:r>
        <w:rPr>
          <w:rFonts w:ascii="宋体" w:hAnsi="宋体" w:eastAsia="宋体" w:cs="宋体"/>
          <w:spacing w:val="5"/>
          <w:sz w:val="20"/>
          <w:szCs w:val="20"/>
        </w:rPr>
        <w:t>一般将分子流行病学技术分为分子生物学技术、血清学技术和免疫学技术，应</w:t>
      </w:r>
      <w:r>
        <w:rPr>
          <w:rFonts w:ascii="宋体" w:hAnsi="宋体" w:eastAsia="宋体" w:cs="宋体"/>
          <w:sz w:val="20"/>
          <w:szCs w:val="20"/>
        </w:rPr>
        <w:t xml:space="preserve"> </w:t>
      </w:r>
      <w:r>
        <w:rPr>
          <w:rFonts w:ascii="宋体" w:hAnsi="宋体" w:eastAsia="宋体" w:cs="宋体"/>
          <w:spacing w:val="12"/>
          <w:sz w:val="20"/>
          <w:szCs w:val="20"/>
        </w:rPr>
        <w:t>用最多的是分子生物学技术，如核酸研究技术、蛋白质研究技术、酶学技术、生物</w:t>
      </w:r>
      <w:r>
        <w:rPr>
          <w:rFonts w:ascii="宋体" w:hAnsi="宋体" w:eastAsia="宋体" w:cs="宋体"/>
          <w:spacing w:val="11"/>
          <w:sz w:val="20"/>
          <w:szCs w:val="20"/>
        </w:rPr>
        <w:t>芯片及测序技</w:t>
      </w:r>
      <w:r>
        <w:rPr>
          <w:rFonts w:ascii="宋体" w:hAnsi="宋体" w:eastAsia="宋体" w:cs="宋体"/>
          <w:sz w:val="20"/>
          <w:szCs w:val="20"/>
        </w:rPr>
        <w:t xml:space="preserve"> </w:t>
      </w:r>
      <w:r>
        <w:rPr>
          <w:rFonts w:ascii="宋体" w:hAnsi="宋体" w:eastAsia="宋体" w:cs="宋体"/>
          <w:spacing w:val="16"/>
          <w:sz w:val="20"/>
          <w:szCs w:val="20"/>
        </w:rPr>
        <w:t>术等。</w:t>
      </w:r>
    </w:p>
    <w:p w14:paraId="2EEF346B">
      <w:pPr>
        <w:pStyle w:val="2"/>
        <w:spacing w:before="178" w:line="222" w:lineRule="auto"/>
        <w:ind w:left="432"/>
        <w:rPr>
          <w:sz w:val="20"/>
          <w:szCs w:val="20"/>
        </w:rPr>
      </w:pPr>
      <w:r>
        <w:rPr>
          <w:b/>
          <w:bCs/>
          <w:spacing w:val="27"/>
          <w:sz w:val="20"/>
          <w:szCs w:val="20"/>
        </w:rPr>
        <w:t>(三)实验中的质量控制</w:t>
      </w:r>
    </w:p>
    <w:p w14:paraId="21B0F56E">
      <w:pPr>
        <w:spacing w:before="113" w:line="351" w:lineRule="auto"/>
        <w:ind w:right="622" w:firstLine="429"/>
        <w:rPr>
          <w:rFonts w:ascii="宋体" w:hAnsi="宋体" w:eastAsia="宋体" w:cs="宋体"/>
          <w:sz w:val="20"/>
          <w:szCs w:val="20"/>
        </w:rPr>
      </w:pPr>
      <w:r>
        <w:rPr>
          <w:rFonts w:ascii="宋体" w:hAnsi="宋体" w:eastAsia="宋体" w:cs="宋体"/>
          <w:spacing w:val="7"/>
          <w:sz w:val="20"/>
          <w:szCs w:val="20"/>
        </w:rPr>
        <w:t>实验室检测中的质量控制极为关键，决定了生物标志检测结</w:t>
      </w:r>
      <w:r>
        <w:rPr>
          <w:rFonts w:ascii="宋体" w:hAnsi="宋体" w:eastAsia="宋体" w:cs="宋体"/>
          <w:spacing w:val="6"/>
          <w:sz w:val="20"/>
          <w:szCs w:val="20"/>
        </w:rPr>
        <w:t>果的真实性和可靠性，属于流行病</w:t>
      </w:r>
      <w:r>
        <w:rPr>
          <w:rFonts w:ascii="宋体" w:hAnsi="宋体" w:eastAsia="宋体" w:cs="宋体"/>
          <w:sz w:val="20"/>
          <w:szCs w:val="20"/>
        </w:rPr>
        <w:t xml:space="preserve"> </w:t>
      </w:r>
      <w:r>
        <w:rPr>
          <w:rFonts w:ascii="宋体" w:hAnsi="宋体" w:eastAsia="宋体" w:cs="宋体"/>
          <w:spacing w:val="6"/>
          <w:sz w:val="20"/>
          <w:szCs w:val="20"/>
        </w:rPr>
        <w:t>学研究中信息偏倚的控制范畴，其要点如下：</w:t>
      </w:r>
    </w:p>
    <w:p w14:paraId="664F0246">
      <w:pPr>
        <w:pStyle w:val="2"/>
        <w:spacing w:before="2" w:line="295" w:lineRule="auto"/>
        <w:ind w:right="627" w:firstLine="429"/>
        <w:rPr>
          <w:rFonts w:ascii="宋体" w:hAnsi="宋体" w:eastAsia="宋体" w:cs="宋体"/>
          <w:sz w:val="20"/>
          <w:szCs w:val="20"/>
        </w:rPr>
      </w:pPr>
      <w:r>
        <w:rPr>
          <w:rFonts w:ascii="宋体" w:hAnsi="宋体" w:eastAsia="宋体" w:cs="宋体"/>
          <w:spacing w:val="9"/>
          <w:sz w:val="20"/>
          <w:szCs w:val="20"/>
        </w:rPr>
        <w:t xml:space="preserve">1. </w:t>
      </w:r>
      <w:r>
        <w:rPr>
          <w:spacing w:val="9"/>
          <w:sz w:val="20"/>
          <w:szCs w:val="20"/>
        </w:rPr>
        <w:t>标本采集和储存</w:t>
      </w:r>
      <w:r>
        <w:rPr>
          <w:spacing w:val="78"/>
          <w:sz w:val="20"/>
          <w:szCs w:val="20"/>
        </w:rPr>
        <w:t xml:space="preserve"> </w:t>
      </w:r>
      <w:r>
        <w:rPr>
          <w:rFonts w:ascii="宋体" w:hAnsi="宋体" w:eastAsia="宋体" w:cs="宋体"/>
          <w:spacing w:val="9"/>
          <w:sz w:val="20"/>
          <w:szCs w:val="20"/>
        </w:rPr>
        <w:t>采集的主要影响因素有采集部位、时间和方法；储存的影响因素有储存</w:t>
      </w:r>
      <w:r>
        <w:rPr>
          <w:rFonts w:ascii="宋体" w:hAnsi="宋体" w:eastAsia="宋体" w:cs="宋体"/>
          <w:sz w:val="20"/>
          <w:szCs w:val="20"/>
        </w:rPr>
        <w:t xml:space="preserve"> </w:t>
      </w:r>
      <w:r>
        <w:rPr>
          <w:rFonts w:ascii="宋体" w:hAnsi="宋体" w:eastAsia="宋体" w:cs="宋体"/>
          <w:spacing w:val="7"/>
          <w:sz w:val="20"/>
          <w:szCs w:val="20"/>
        </w:rPr>
        <w:t>温度、时间和标本介质等。应确保样本采集过程和储存条件符合标准化操作流程，减少人</w:t>
      </w:r>
      <w:r>
        <w:rPr>
          <w:rFonts w:ascii="宋体" w:hAnsi="宋体" w:eastAsia="宋体" w:cs="宋体"/>
          <w:spacing w:val="6"/>
          <w:sz w:val="20"/>
          <w:szCs w:val="20"/>
        </w:rPr>
        <w:t>为因素造</w:t>
      </w:r>
      <w:r>
        <w:rPr>
          <w:rFonts w:ascii="宋体" w:hAnsi="宋体" w:eastAsia="宋体" w:cs="宋体"/>
          <w:sz w:val="20"/>
          <w:szCs w:val="20"/>
        </w:rPr>
        <w:t xml:space="preserve"> </w:t>
      </w:r>
      <w:r>
        <w:rPr>
          <w:rFonts w:ascii="宋体" w:hAnsi="宋体" w:eastAsia="宋体" w:cs="宋体"/>
          <w:spacing w:val="11"/>
          <w:sz w:val="20"/>
          <w:szCs w:val="20"/>
        </w:rPr>
        <w:t>成的影响。</w:t>
      </w:r>
    </w:p>
    <w:p w14:paraId="02B49588">
      <w:pPr>
        <w:spacing w:before="168" w:line="281" w:lineRule="auto"/>
        <w:ind w:right="628" w:firstLine="429"/>
        <w:rPr>
          <w:rFonts w:ascii="宋体" w:hAnsi="宋体" w:eastAsia="宋体" w:cs="宋体"/>
          <w:sz w:val="20"/>
          <w:szCs w:val="20"/>
        </w:rPr>
      </w:pPr>
      <w:r>
        <w:rPr>
          <w:rFonts w:ascii="宋体" w:hAnsi="宋体" w:eastAsia="宋体" w:cs="宋体"/>
          <w:spacing w:val="10"/>
          <w:sz w:val="20"/>
          <w:szCs w:val="20"/>
        </w:rPr>
        <w:t>2. 试剂和材料</w:t>
      </w:r>
      <w:r>
        <w:rPr>
          <w:rFonts w:ascii="宋体" w:hAnsi="宋体" w:eastAsia="宋体" w:cs="宋体"/>
          <w:spacing w:val="56"/>
          <w:sz w:val="20"/>
          <w:szCs w:val="20"/>
        </w:rPr>
        <w:t xml:space="preserve"> </w:t>
      </w:r>
      <w:r>
        <w:rPr>
          <w:rFonts w:ascii="宋体" w:hAnsi="宋体" w:eastAsia="宋体" w:cs="宋体"/>
          <w:spacing w:val="10"/>
          <w:sz w:val="20"/>
          <w:szCs w:val="20"/>
        </w:rPr>
        <w:t>同一测定指标最好使用同一批次的试剂材料，确需使用两批及以上试剂材料</w:t>
      </w:r>
      <w:r>
        <w:rPr>
          <w:rFonts w:ascii="宋体" w:hAnsi="宋体" w:eastAsia="宋体" w:cs="宋体"/>
          <w:sz w:val="20"/>
          <w:szCs w:val="20"/>
        </w:rPr>
        <w:t xml:space="preserve"> </w:t>
      </w:r>
      <w:r>
        <w:rPr>
          <w:rFonts w:ascii="宋体" w:hAnsi="宋体" w:eastAsia="宋体" w:cs="宋体"/>
          <w:spacing w:val="7"/>
          <w:sz w:val="20"/>
          <w:szCs w:val="20"/>
        </w:rPr>
        <w:t>时，则不同批次的检测结果要进行对比分析和标准化。</w:t>
      </w:r>
    </w:p>
    <w:p w14:paraId="47E5E91B">
      <w:pPr>
        <w:spacing w:before="132" w:line="276" w:lineRule="auto"/>
        <w:ind w:right="660" w:firstLine="429"/>
        <w:rPr>
          <w:rFonts w:ascii="宋体" w:hAnsi="宋体" w:eastAsia="宋体" w:cs="宋体"/>
          <w:sz w:val="20"/>
          <w:szCs w:val="20"/>
        </w:rPr>
      </w:pPr>
      <w:r>
        <w:rPr>
          <w:rFonts w:ascii="宋体" w:hAnsi="宋体" w:eastAsia="宋体" w:cs="宋体"/>
          <w:spacing w:val="6"/>
          <w:sz w:val="20"/>
          <w:szCs w:val="20"/>
        </w:rPr>
        <w:t>3. 仪</w:t>
      </w:r>
      <w:r>
        <w:rPr>
          <w:rFonts w:ascii="宋体" w:hAnsi="宋体" w:eastAsia="宋体" w:cs="宋体"/>
          <w:spacing w:val="-24"/>
          <w:sz w:val="20"/>
          <w:szCs w:val="20"/>
        </w:rPr>
        <w:t xml:space="preserve"> </w:t>
      </w:r>
      <w:r>
        <w:rPr>
          <w:rFonts w:ascii="宋体" w:hAnsi="宋体" w:eastAsia="宋体" w:cs="宋体"/>
          <w:spacing w:val="6"/>
          <w:sz w:val="20"/>
          <w:szCs w:val="20"/>
        </w:rPr>
        <w:t>器  原则上使用前对仪器进行统一调校，不要随意更换，特别是有量度的仪器设备。确</w:t>
      </w:r>
      <w:r>
        <w:rPr>
          <w:rFonts w:ascii="宋体" w:hAnsi="宋体" w:eastAsia="宋体" w:cs="宋体"/>
          <w:sz w:val="20"/>
          <w:szCs w:val="20"/>
        </w:rPr>
        <w:t xml:space="preserve"> </w:t>
      </w:r>
      <w:r>
        <w:rPr>
          <w:rFonts w:ascii="宋体" w:hAnsi="宋体" w:eastAsia="宋体" w:cs="宋体"/>
          <w:spacing w:val="7"/>
          <w:sz w:val="20"/>
          <w:szCs w:val="20"/>
        </w:rPr>
        <w:t>需使用不同型号仪器时，仪器间要进行检测结果比对分析。</w:t>
      </w:r>
    </w:p>
    <w:p w14:paraId="0867C88C">
      <w:pPr>
        <w:pStyle w:val="2"/>
        <w:spacing w:before="151" w:line="221" w:lineRule="auto"/>
        <w:ind w:left="429"/>
        <w:rPr>
          <w:rFonts w:ascii="宋体" w:hAnsi="宋体" w:eastAsia="宋体" w:cs="宋体"/>
          <w:sz w:val="20"/>
          <w:szCs w:val="20"/>
        </w:rPr>
      </w:pPr>
      <w:r>
        <w:rPr>
          <w:rFonts w:ascii="宋体" w:hAnsi="宋体" w:eastAsia="宋体" w:cs="宋体"/>
          <w:spacing w:val="8"/>
          <w:sz w:val="20"/>
          <w:szCs w:val="20"/>
        </w:rPr>
        <w:t xml:space="preserve">4. </w:t>
      </w:r>
      <w:r>
        <w:rPr>
          <w:spacing w:val="8"/>
          <w:sz w:val="20"/>
          <w:szCs w:val="20"/>
        </w:rPr>
        <w:t>实验方法</w:t>
      </w:r>
      <w:r>
        <w:rPr>
          <w:spacing w:val="58"/>
          <w:sz w:val="20"/>
          <w:szCs w:val="20"/>
        </w:rPr>
        <w:t xml:space="preserve"> </w:t>
      </w:r>
      <w:r>
        <w:rPr>
          <w:rFonts w:ascii="宋体" w:hAnsi="宋体" w:eastAsia="宋体" w:cs="宋体"/>
          <w:spacing w:val="8"/>
          <w:sz w:val="20"/>
          <w:szCs w:val="20"/>
        </w:rPr>
        <w:t>一项研究中，同一种生物标志的测量方法要统一。</w:t>
      </w:r>
    </w:p>
    <w:p w14:paraId="4DAE71BB">
      <w:pPr>
        <w:pStyle w:val="2"/>
        <w:spacing w:before="153" w:line="271" w:lineRule="auto"/>
        <w:ind w:right="634" w:firstLine="429"/>
        <w:rPr>
          <w:rFonts w:ascii="宋体" w:hAnsi="宋体" w:eastAsia="宋体" w:cs="宋体"/>
          <w:sz w:val="20"/>
          <w:szCs w:val="20"/>
        </w:rPr>
      </w:pPr>
      <w:r>
        <w:rPr>
          <w:rFonts w:ascii="宋体" w:hAnsi="宋体" w:eastAsia="宋体" w:cs="宋体"/>
          <w:spacing w:val="13"/>
          <w:sz w:val="20"/>
          <w:szCs w:val="20"/>
        </w:rPr>
        <w:t xml:space="preserve">5. </w:t>
      </w:r>
      <w:r>
        <w:rPr>
          <w:spacing w:val="13"/>
          <w:sz w:val="20"/>
          <w:szCs w:val="20"/>
        </w:rPr>
        <w:t xml:space="preserve">操作规范 </w:t>
      </w:r>
      <w:r>
        <w:rPr>
          <w:rFonts w:ascii="宋体" w:hAnsi="宋体" w:eastAsia="宋体" w:cs="宋体"/>
          <w:spacing w:val="13"/>
          <w:sz w:val="20"/>
          <w:szCs w:val="20"/>
        </w:rPr>
        <w:t>每一步骤都要制定操作规范，要保证操作者内(即同一操作者)和操作者间(即</w:t>
      </w:r>
      <w:r>
        <w:rPr>
          <w:rFonts w:ascii="宋体" w:hAnsi="宋体" w:eastAsia="宋体" w:cs="宋体"/>
          <w:spacing w:val="1"/>
          <w:sz w:val="20"/>
          <w:szCs w:val="20"/>
        </w:rPr>
        <w:t xml:space="preserve"> </w:t>
      </w:r>
      <w:r>
        <w:rPr>
          <w:rFonts w:ascii="宋体" w:hAnsi="宋体" w:eastAsia="宋体" w:cs="宋体"/>
          <w:spacing w:val="13"/>
          <w:sz w:val="20"/>
          <w:szCs w:val="20"/>
        </w:rPr>
        <w:t>不同操作者)的可重复性。</w:t>
      </w:r>
    </w:p>
    <w:p w14:paraId="7CE82CA0">
      <w:pPr>
        <w:spacing w:before="142" w:line="342" w:lineRule="auto"/>
        <w:ind w:right="645" w:firstLine="429"/>
        <w:jc w:val="both"/>
        <w:rPr>
          <w:rFonts w:ascii="宋体" w:hAnsi="宋体" w:eastAsia="宋体" w:cs="宋体"/>
          <w:sz w:val="20"/>
          <w:szCs w:val="20"/>
        </w:rPr>
      </w:pPr>
      <w:r>
        <w:rPr>
          <w:rFonts w:ascii="宋体" w:hAnsi="宋体" w:eastAsia="宋体" w:cs="宋体"/>
          <w:spacing w:val="11"/>
          <w:sz w:val="20"/>
          <w:szCs w:val="20"/>
        </w:rPr>
        <w:t>此外，设立对照和重复实验也是进行实验室质量控制的重要原则。在实验过程中可以通过盲</w:t>
      </w:r>
      <w:r>
        <w:rPr>
          <w:rFonts w:ascii="宋体" w:hAnsi="宋体" w:eastAsia="宋体" w:cs="宋体"/>
          <w:spacing w:val="9"/>
          <w:sz w:val="20"/>
          <w:szCs w:val="20"/>
        </w:rPr>
        <w:t xml:space="preserve"> </w:t>
      </w:r>
      <w:r>
        <w:rPr>
          <w:rFonts w:ascii="宋体" w:hAnsi="宋体" w:eastAsia="宋体" w:cs="宋体"/>
          <w:spacing w:val="7"/>
          <w:sz w:val="20"/>
          <w:szCs w:val="20"/>
        </w:rPr>
        <w:t>法的原则在实验样本中加入一定量的标准对照</w:t>
      </w:r>
      <w:r>
        <w:rPr>
          <w:rFonts w:ascii="宋体" w:hAnsi="宋体" w:eastAsia="宋体" w:cs="宋体"/>
          <w:spacing w:val="6"/>
          <w:sz w:val="20"/>
          <w:szCs w:val="20"/>
        </w:rPr>
        <w:t>、空白对照和重复对照，以监督和控制检测质量。重</w:t>
      </w:r>
      <w:r>
        <w:rPr>
          <w:rFonts w:ascii="宋体" w:hAnsi="宋体" w:eastAsia="宋体" w:cs="宋体"/>
          <w:sz w:val="20"/>
          <w:szCs w:val="20"/>
        </w:rPr>
        <w:t xml:space="preserve"> </w:t>
      </w:r>
      <w:r>
        <w:rPr>
          <w:rFonts w:ascii="宋体" w:hAnsi="宋体" w:eastAsia="宋体" w:cs="宋体"/>
          <w:spacing w:val="7"/>
          <w:sz w:val="20"/>
          <w:szCs w:val="20"/>
        </w:rPr>
        <w:t>复试验包括实验室内重复试验和实验室间重</w:t>
      </w:r>
      <w:r>
        <w:rPr>
          <w:rFonts w:ascii="宋体" w:hAnsi="宋体" w:eastAsia="宋体" w:cs="宋体"/>
          <w:spacing w:val="6"/>
          <w:sz w:val="20"/>
          <w:szCs w:val="20"/>
        </w:rPr>
        <w:t>复试验：前者是为控制实验室内操作偏倚，在同一实验</w:t>
      </w:r>
      <w:r>
        <w:rPr>
          <w:rFonts w:ascii="宋体" w:hAnsi="宋体" w:eastAsia="宋体" w:cs="宋体"/>
          <w:sz w:val="20"/>
          <w:szCs w:val="20"/>
        </w:rPr>
        <w:t xml:space="preserve"> </w:t>
      </w:r>
      <w:r>
        <w:rPr>
          <w:rFonts w:ascii="宋体" w:hAnsi="宋体" w:eastAsia="宋体" w:cs="宋体"/>
          <w:spacing w:val="11"/>
          <w:sz w:val="20"/>
          <w:szCs w:val="20"/>
        </w:rPr>
        <w:t>室内部不定期进行不同操作者之间的交叉重复试验；后者是为控制实验室间系统偏倚或检验实验</w:t>
      </w:r>
      <w:r>
        <w:rPr>
          <w:rFonts w:ascii="宋体" w:hAnsi="宋体" w:eastAsia="宋体" w:cs="宋体"/>
          <w:spacing w:val="15"/>
          <w:sz w:val="20"/>
          <w:szCs w:val="20"/>
        </w:rPr>
        <w:t xml:space="preserve"> </w:t>
      </w:r>
      <w:r>
        <w:rPr>
          <w:rFonts w:ascii="宋体" w:hAnsi="宋体" w:eastAsia="宋体" w:cs="宋体"/>
          <w:spacing w:val="5"/>
          <w:sz w:val="20"/>
          <w:szCs w:val="20"/>
        </w:rPr>
        <w:t>室内结果的可靠性，在不同实验室进行同一批</w:t>
      </w:r>
      <w:r>
        <w:rPr>
          <w:rFonts w:ascii="宋体" w:hAnsi="宋体" w:eastAsia="宋体" w:cs="宋体"/>
          <w:spacing w:val="4"/>
          <w:sz w:val="20"/>
          <w:szCs w:val="20"/>
        </w:rPr>
        <w:t>标本的检测，核查其一致性。</w:t>
      </w:r>
    </w:p>
    <w:p w14:paraId="1500F668">
      <w:pPr>
        <w:spacing w:line="342" w:lineRule="auto"/>
        <w:rPr>
          <w:rFonts w:ascii="宋体" w:hAnsi="宋体" w:eastAsia="宋体" w:cs="宋体"/>
          <w:sz w:val="20"/>
          <w:szCs w:val="20"/>
        </w:rPr>
        <w:sectPr>
          <w:footerReference r:id="rId290" w:type="default"/>
          <w:pgSz w:w="11900" w:h="16820"/>
          <w:pgMar w:top="346" w:right="884" w:bottom="897" w:left="1489" w:header="0" w:footer="716" w:gutter="0"/>
          <w:cols w:space="720" w:num="1"/>
        </w:sectPr>
      </w:pPr>
    </w:p>
    <w:p w14:paraId="53086FD6">
      <w:pPr>
        <w:pStyle w:val="2"/>
        <w:spacing w:before="176" w:line="221" w:lineRule="auto"/>
        <w:ind w:left="699"/>
        <w:rPr>
          <w:sz w:val="21"/>
          <w:szCs w:val="21"/>
        </w:rPr>
      </w:pPr>
      <w:r>
        <w:rPr>
          <w:spacing w:val="-22"/>
          <w:w w:val="96"/>
          <w:sz w:val="21"/>
          <w:szCs w:val="21"/>
        </w:rPr>
        <w:t>第十七章 分子流行病学</w:t>
      </w:r>
    </w:p>
    <w:p w14:paraId="781C6E2E">
      <w:pPr>
        <w:spacing w:line="241" w:lineRule="auto"/>
        <w:rPr>
          <w:rFonts w:ascii="Arial"/>
          <w:sz w:val="21"/>
        </w:rPr>
      </w:pPr>
    </w:p>
    <w:p w14:paraId="3E823FC5">
      <w:pPr>
        <w:spacing w:line="241" w:lineRule="auto"/>
        <w:rPr>
          <w:rFonts w:ascii="Arial"/>
          <w:sz w:val="21"/>
        </w:rPr>
      </w:pPr>
    </w:p>
    <w:p w14:paraId="46C87E1D">
      <w:pPr>
        <w:spacing w:line="241" w:lineRule="auto"/>
        <w:rPr>
          <w:rFonts w:ascii="Arial"/>
          <w:sz w:val="21"/>
        </w:rPr>
      </w:pPr>
    </w:p>
    <w:p w14:paraId="76367FF4">
      <w:pPr>
        <w:spacing w:line="241" w:lineRule="auto"/>
        <w:rPr>
          <w:rFonts w:ascii="Arial"/>
          <w:sz w:val="21"/>
        </w:rPr>
      </w:pPr>
    </w:p>
    <w:p w14:paraId="5B4125A4">
      <w:pPr>
        <w:pStyle w:val="2"/>
        <w:spacing w:before="98" w:line="222" w:lineRule="auto"/>
        <w:ind w:left="3774"/>
        <w:outlineLvl w:val="1"/>
      </w:pPr>
      <w:bookmarkStart w:id="448" w:name="bookmark551"/>
      <w:bookmarkEnd w:id="448"/>
      <w:bookmarkStart w:id="449" w:name="bookmark285"/>
      <w:bookmarkEnd w:id="449"/>
      <w:r>
        <w:rPr>
          <w:b/>
          <w:bCs/>
          <w:spacing w:val="-10"/>
        </w:rPr>
        <w:t>第四节</w:t>
      </w:r>
      <w:r>
        <w:rPr>
          <w:spacing w:val="112"/>
        </w:rPr>
        <w:t xml:space="preserve"> </w:t>
      </w:r>
      <w:r>
        <w:rPr>
          <w:b/>
          <w:bCs/>
          <w:spacing w:val="-10"/>
        </w:rPr>
        <w:t>应用与展望</w:t>
      </w:r>
    </w:p>
    <w:p w14:paraId="168818E9">
      <w:pPr>
        <w:spacing w:line="426" w:lineRule="auto"/>
        <w:rPr>
          <w:rFonts w:ascii="Arial"/>
          <w:sz w:val="21"/>
        </w:rPr>
      </w:pPr>
    </w:p>
    <w:p w14:paraId="6C5BDEDA">
      <w:pPr>
        <w:pStyle w:val="2"/>
        <w:spacing w:before="68" w:line="221" w:lineRule="auto"/>
        <w:ind w:left="1102"/>
        <w:outlineLvl w:val="4"/>
        <w:rPr>
          <w:sz w:val="21"/>
          <w:szCs w:val="21"/>
        </w:rPr>
      </w:pPr>
      <w:bookmarkStart w:id="450" w:name="bookmark286"/>
      <w:bookmarkEnd w:id="450"/>
      <w:r>
        <w:rPr>
          <w:b/>
          <w:bCs/>
          <w:spacing w:val="17"/>
          <w:sz w:val="21"/>
          <w:szCs w:val="21"/>
        </w:rPr>
        <w:t>一</w:t>
      </w:r>
      <w:r>
        <w:rPr>
          <w:spacing w:val="17"/>
          <w:sz w:val="21"/>
          <w:szCs w:val="21"/>
        </w:rPr>
        <w:t xml:space="preserve"> </w:t>
      </w:r>
      <w:r>
        <w:rPr>
          <w:b/>
          <w:bCs/>
          <w:spacing w:val="17"/>
          <w:sz w:val="21"/>
          <w:szCs w:val="21"/>
        </w:rPr>
        <w:t>、传染病防治</w:t>
      </w:r>
    </w:p>
    <w:p w14:paraId="5F0A9A50">
      <w:pPr>
        <w:spacing w:before="282" w:line="317" w:lineRule="auto"/>
        <w:ind w:left="699" w:right="39" w:firstLine="399"/>
        <w:rPr>
          <w:rFonts w:ascii="宋体" w:hAnsi="宋体" w:eastAsia="宋体" w:cs="宋体"/>
          <w:sz w:val="21"/>
          <w:szCs w:val="21"/>
        </w:rPr>
      </w:pPr>
      <w:r>
        <w:rPr>
          <w:rFonts w:ascii="宋体" w:hAnsi="宋体" w:eastAsia="宋体" w:cs="宋体"/>
          <w:spacing w:val="2"/>
          <w:sz w:val="21"/>
          <w:szCs w:val="21"/>
        </w:rPr>
        <w:t>传染病分子流行病学研究主要指对某一种传染病的病原</w:t>
      </w:r>
      <w:r>
        <w:rPr>
          <w:rFonts w:ascii="宋体" w:hAnsi="宋体" w:eastAsia="宋体" w:cs="宋体"/>
          <w:spacing w:val="1"/>
          <w:sz w:val="21"/>
          <w:szCs w:val="21"/>
        </w:rPr>
        <w:t>体或宿主在基因水平上分析其特征，</w:t>
      </w:r>
      <w:r>
        <w:rPr>
          <w:rFonts w:ascii="宋体" w:hAnsi="宋体" w:eastAsia="宋体" w:cs="宋体"/>
          <w:sz w:val="21"/>
          <w:szCs w:val="21"/>
        </w:rPr>
        <w:t xml:space="preserve"> </w:t>
      </w:r>
      <w:r>
        <w:rPr>
          <w:rFonts w:ascii="宋体" w:hAnsi="宋体" w:eastAsia="宋体" w:cs="宋体"/>
          <w:spacing w:val="-6"/>
          <w:sz w:val="21"/>
          <w:szCs w:val="21"/>
        </w:rPr>
        <w:t>从而更准确地解决传染病相关的传染源、传播途径及宿主易感性等流行病学问题。</w:t>
      </w:r>
    </w:p>
    <w:p w14:paraId="41E76D05">
      <w:pPr>
        <w:pStyle w:val="2"/>
        <w:spacing w:line="222" w:lineRule="auto"/>
        <w:ind w:left="1099"/>
        <w:rPr>
          <w:sz w:val="21"/>
          <w:szCs w:val="21"/>
        </w:rPr>
      </w:pPr>
      <w:r>
        <w:rPr>
          <w:spacing w:val="13"/>
          <w:sz w:val="21"/>
          <w:szCs w:val="21"/>
        </w:rPr>
        <w:t>(一)病原体的分离和检测</w:t>
      </w:r>
    </w:p>
    <w:p w14:paraId="20678BEC">
      <w:pPr>
        <w:spacing w:before="107" w:line="317" w:lineRule="auto"/>
        <w:ind w:left="699" w:right="89" w:firstLine="399"/>
        <w:jc w:val="both"/>
        <w:rPr>
          <w:rFonts w:ascii="宋体" w:hAnsi="宋体" w:eastAsia="宋体" w:cs="宋体"/>
          <w:sz w:val="21"/>
          <w:szCs w:val="21"/>
        </w:rPr>
      </w:pPr>
      <w:r>
        <w:rPr>
          <w:rFonts w:ascii="宋体" w:hAnsi="宋体" w:eastAsia="宋体" w:cs="宋体"/>
          <w:sz w:val="21"/>
          <w:szCs w:val="21"/>
        </w:rPr>
        <w:t>病原体的分离和检测是确定病原体种类、了解其生物学特性和制定防控</w:t>
      </w:r>
      <w:r>
        <w:rPr>
          <w:rFonts w:ascii="宋体" w:hAnsi="宋体" w:eastAsia="宋体" w:cs="宋体"/>
          <w:spacing w:val="-1"/>
          <w:sz w:val="21"/>
          <w:szCs w:val="21"/>
        </w:rPr>
        <w:t>措施的关键。传统的</w:t>
      </w:r>
      <w:r>
        <w:rPr>
          <w:rFonts w:ascii="宋体" w:hAnsi="宋体" w:eastAsia="宋体" w:cs="宋体"/>
          <w:sz w:val="21"/>
          <w:szCs w:val="21"/>
        </w:rPr>
        <w:t xml:space="preserve"> </w:t>
      </w:r>
      <w:r>
        <w:rPr>
          <w:rFonts w:ascii="宋体" w:hAnsi="宋体" w:eastAsia="宋体" w:cs="宋体"/>
          <w:spacing w:val="-5"/>
          <w:sz w:val="21"/>
          <w:szCs w:val="21"/>
        </w:rPr>
        <w:t>病原体检测方法包括分离培养、血清学检测和显微镜检测等，这些方法存在灵敏度和特异度有限的</w:t>
      </w:r>
      <w:r>
        <w:rPr>
          <w:rFonts w:ascii="宋体" w:hAnsi="宋体" w:eastAsia="宋体" w:cs="宋体"/>
          <w:sz w:val="21"/>
          <w:szCs w:val="21"/>
        </w:rPr>
        <w:t xml:space="preserve"> </w:t>
      </w:r>
      <w:r>
        <w:rPr>
          <w:rFonts w:ascii="宋体" w:hAnsi="宋体" w:eastAsia="宋体" w:cs="宋体"/>
          <w:spacing w:val="-4"/>
          <w:sz w:val="21"/>
          <w:szCs w:val="21"/>
        </w:rPr>
        <w:t>问题。分子流行病学通过遗传学分型技术，</w:t>
      </w:r>
      <w:r>
        <w:rPr>
          <w:rFonts w:ascii="宋体" w:hAnsi="宋体" w:eastAsia="宋体" w:cs="宋体"/>
          <w:spacing w:val="-5"/>
          <w:sz w:val="21"/>
          <w:szCs w:val="21"/>
        </w:rPr>
        <w:t>如</w:t>
      </w:r>
      <w:r>
        <w:rPr>
          <w:rFonts w:ascii="Times New Roman" w:hAnsi="Times New Roman" w:eastAsia="Times New Roman" w:cs="Times New Roman"/>
          <w:spacing w:val="-5"/>
          <w:sz w:val="21"/>
          <w:szCs w:val="21"/>
        </w:rPr>
        <w:t>PCR</w:t>
      </w:r>
      <w:r>
        <w:rPr>
          <w:rFonts w:ascii="宋体" w:hAnsi="宋体" w:eastAsia="宋体" w:cs="宋体"/>
          <w:spacing w:val="-5"/>
          <w:sz w:val="21"/>
          <w:szCs w:val="21"/>
        </w:rPr>
        <w:t>、基因测序、生物芯片等，能够实现病原体的快</w:t>
      </w:r>
      <w:r>
        <w:rPr>
          <w:rFonts w:ascii="宋体" w:hAnsi="宋体" w:eastAsia="宋体" w:cs="宋体"/>
          <w:sz w:val="21"/>
          <w:szCs w:val="21"/>
        </w:rPr>
        <w:t xml:space="preserve"> </w:t>
      </w:r>
      <w:r>
        <w:rPr>
          <w:rFonts w:ascii="宋体" w:hAnsi="宋体" w:eastAsia="宋体" w:cs="宋体"/>
          <w:spacing w:val="-10"/>
          <w:sz w:val="21"/>
          <w:szCs w:val="21"/>
        </w:rPr>
        <w:t>速、准确检测。例如，通过对流感病毒进行基因测序，可以对病毒株进行快速鉴定和分型，为流感疫</w:t>
      </w:r>
      <w:r>
        <w:rPr>
          <w:rFonts w:ascii="宋体" w:hAnsi="宋体" w:eastAsia="宋体" w:cs="宋体"/>
          <w:spacing w:val="9"/>
          <w:sz w:val="21"/>
          <w:szCs w:val="21"/>
        </w:rPr>
        <w:t xml:space="preserve"> </w:t>
      </w:r>
      <w:r>
        <w:rPr>
          <w:rFonts w:ascii="宋体" w:hAnsi="宋体" w:eastAsia="宋体" w:cs="宋体"/>
          <w:spacing w:val="-6"/>
          <w:sz w:val="21"/>
          <w:szCs w:val="21"/>
        </w:rPr>
        <w:t>情的防控提供科学依据。</w:t>
      </w:r>
    </w:p>
    <w:p w14:paraId="00524C1F">
      <w:pPr>
        <w:pStyle w:val="2"/>
        <w:spacing w:before="65" w:line="222" w:lineRule="auto"/>
        <w:ind w:left="1099"/>
        <w:rPr>
          <w:sz w:val="21"/>
          <w:szCs w:val="21"/>
        </w:rPr>
      </w:pPr>
      <w:r>
        <w:rPr>
          <w:spacing w:val="11"/>
          <w:sz w:val="21"/>
          <w:szCs w:val="21"/>
        </w:rPr>
        <w:t>(二)病原生物进化变异规律研究</w:t>
      </w:r>
    </w:p>
    <w:p w14:paraId="581C2ACF">
      <w:pPr>
        <w:spacing w:before="110" w:line="323" w:lineRule="auto"/>
        <w:ind w:left="699" w:right="94" w:firstLine="399"/>
        <w:jc w:val="both"/>
        <w:rPr>
          <w:rFonts w:ascii="宋体" w:hAnsi="宋体" w:eastAsia="宋体" w:cs="宋体"/>
          <w:sz w:val="21"/>
          <w:szCs w:val="21"/>
        </w:rPr>
      </w:pPr>
      <w:r>
        <w:rPr>
          <w:rFonts w:ascii="宋体" w:hAnsi="宋体" w:eastAsia="宋体" w:cs="宋体"/>
          <w:sz w:val="21"/>
          <w:szCs w:val="21"/>
        </w:rPr>
        <w:t>分子流行病学在促进病原生物进化变异规律研究方面发挥了重要</w:t>
      </w:r>
      <w:r>
        <w:rPr>
          <w:rFonts w:ascii="宋体" w:hAnsi="宋体" w:eastAsia="宋体" w:cs="宋体"/>
          <w:spacing w:val="-1"/>
          <w:sz w:val="21"/>
          <w:szCs w:val="21"/>
        </w:rPr>
        <w:t>作用。通过深人研究病原生</w:t>
      </w:r>
      <w:r>
        <w:rPr>
          <w:rFonts w:ascii="宋体" w:hAnsi="宋体" w:eastAsia="宋体" w:cs="宋体"/>
          <w:sz w:val="21"/>
          <w:szCs w:val="21"/>
        </w:rPr>
        <w:t xml:space="preserve"> </w:t>
      </w:r>
      <w:r>
        <w:rPr>
          <w:rFonts w:ascii="宋体" w:hAnsi="宋体" w:eastAsia="宋体" w:cs="宋体"/>
          <w:spacing w:val="-6"/>
          <w:sz w:val="21"/>
          <w:szCs w:val="21"/>
        </w:rPr>
        <w:t>物的遗传关系和进化变异规律，可以更好地理解疾病的传播机制、致病机制以及药物敏感性等方面</w:t>
      </w:r>
      <w:r>
        <w:rPr>
          <w:rFonts w:ascii="宋体" w:hAnsi="宋体" w:eastAsia="宋体" w:cs="宋体"/>
          <w:spacing w:val="15"/>
          <w:sz w:val="21"/>
          <w:szCs w:val="21"/>
        </w:rPr>
        <w:t xml:space="preserve"> </w:t>
      </w:r>
      <w:r>
        <w:rPr>
          <w:rFonts w:ascii="宋体" w:hAnsi="宋体" w:eastAsia="宋体" w:cs="宋体"/>
          <w:spacing w:val="-6"/>
          <w:sz w:val="21"/>
          <w:szCs w:val="21"/>
        </w:rPr>
        <w:t>的变化，从而为制定有效的防控措施和疫苗研发提供科学依据。例如，分子流行病学研究发现，流</w:t>
      </w:r>
      <w:r>
        <w:rPr>
          <w:rFonts w:ascii="宋体" w:hAnsi="宋体" w:eastAsia="宋体" w:cs="宋体"/>
          <w:spacing w:val="15"/>
          <w:sz w:val="21"/>
          <w:szCs w:val="21"/>
        </w:rPr>
        <w:t xml:space="preserve"> </w:t>
      </w:r>
      <w:r>
        <w:rPr>
          <w:rFonts w:ascii="宋体" w:hAnsi="宋体" w:eastAsia="宋体" w:cs="宋体"/>
          <w:sz w:val="21"/>
          <w:szCs w:val="21"/>
        </w:rPr>
        <w:t>感病毒的抗原漂移和抗原转变是其逃避宿主免疫应答和导致流行的主要</w:t>
      </w:r>
      <w:r>
        <w:rPr>
          <w:rFonts w:ascii="宋体" w:hAnsi="宋体" w:eastAsia="宋体" w:cs="宋体"/>
          <w:spacing w:val="-1"/>
          <w:sz w:val="21"/>
          <w:szCs w:val="21"/>
        </w:rPr>
        <w:t>原因，通过监测病毒的基</w:t>
      </w:r>
      <w:r>
        <w:rPr>
          <w:rFonts w:ascii="宋体" w:hAnsi="宋体" w:eastAsia="宋体" w:cs="宋体"/>
          <w:sz w:val="21"/>
          <w:szCs w:val="21"/>
        </w:rPr>
        <w:t xml:space="preserve"> </w:t>
      </w:r>
      <w:r>
        <w:rPr>
          <w:rFonts w:ascii="宋体" w:hAnsi="宋体" w:eastAsia="宋体" w:cs="宋体"/>
          <w:spacing w:val="-8"/>
          <w:sz w:val="21"/>
          <w:szCs w:val="21"/>
        </w:rPr>
        <w:t>因序列变化，可以预测流感病毒的流行趋势和疫苗的有效性。</w:t>
      </w:r>
    </w:p>
    <w:p w14:paraId="45C76047">
      <w:pPr>
        <w:pStyle w:val="2"/>
        <w:spacing w:before="1" w:line="220" w:lineRule="auto"/>
        <w:ind w:left="1099"/>
        <w:rPr>
          <w:sz w:val="21"/>
          <w:szCs w:val="21"/>
        </w:rPr>
      </w:pPr>
      <w:r>
        <w:rPr>
          <w:spacing w:val="17"/>
          <w:sz w:val="21"/>
          <w:szCs w:val="21"/>
        </w:rPr>
        <w:t>(三)传染源追踪</w:t>
      </w:r>
    </w:p>
    <w:p w14:paraId="6517F54C">
      <w:pPr>
        <w:spacing w:before="101" w:line="326" w:lineRule="auto"/>
        <w:ind w:left="699" w:right="94" w:firstLine="399"/>
        <w:jc w:val="both"/>
        <w:rPr>
          <w:rFonts w:ascii="宋体" w:hAnsi="宋体" w:eastAsia="宋体" w:cs="宋体"/>
          <w:sz w:val="21"/>
          <w:szCs w:val="21"/>
        </w:rPr>
      </w:pPr>
      <w:r>
        <w:rPr>
          <w:rFonts w:ascii="宋体" w:hAnsi="宋体" w:eastAsia="宋体" w:cs="宋体"/>
          <w:spacing w:val="-5"/>
          <w:sz w:val="21"/>
          <w:szCs w:val="21"/>
        </w:rPr>
        <w:t>分子流行病学在追踪传染源方面具有显著优势。例如，某地区发生结核病聚集性疫情，为了追</w:t>
      </w:r>
      <w:r>
        <w:rPr>
          <w:rFonts w:ascii="宋体" w:hAnsi="宋体" w:eastAsia="宋体" w:cs="宋体"/>
          <w:spacing w:val="3"/>
          <w:sz w:val="21"/>
          <w:szCs w:val="21"/>
        </w:rPr>
        <w:t xml:space="preserve"> </w:t>
      </w:r>
      <w:r>
        <w:rPr>
          <w:rFonts w:ascii="宋体" w:hAnsi="宋体" w:eastAsia="宋体" w:cs="宋体"/>
          <w:sz w:val="21"/>
          <w:szCs w:val="21"/>
        </w:rPr>
        <w:t>踪传染源并有效控制疫情，当地疾控中心采用分子流行病学方法对痰液</w:t>
      </w:r>
      <w:r>
        <w:rPr>
          <w:rFonts w:ascii="宋体" w:hAnsi="宋体" w:eastAsia="宋体" w:cs="宋体"/>
          <w:spacing w:val="-1"/>
          <w:sz w:val="21"/>
          <w:szCs w:val="21"/>
        </w:rPr>
        <w:t>等样本进行检测和分析发</w:t>
      </w:r>
      <w:r>
        <w:rPr>
          <w:rFonts w:ascii="宋体" w:hAnsi="宋体" w:eastAsia="宋体" w:cs="宋体"/>
          <w:sz w:val="21"/>
          <w:szCs w:val="21"/>
        </w:rPr>
        <w:t xml:space="preserve"> </w:t>
      </w:r>
      <w:r>
        <w:rPr>
          <w:rFonts w:ascii="宋体" w:hAnsi="宋体" w:eastAsia="宋体" w:cs="宋体"/>
          <w:spacing w:val="-5"/>
          <w:sz w:val="21"/>
          <w:szCs w:val="21"/>
        </w:rPr>
        <w:t>现，不同病人的结核分枝杆菌基因序列存在明显的遗传联系，进一步结合流行病</w:t>
      </w:r>
      <w:r>
        <w:rPr>
          <w:rFonts w:ascii="宋体" w:hAnsi="宋体" w:eastAsia="宋体" w:cs="宋体"/>
          <w:spacing w:val="-6"/>
          <w:sz w:val="21"/>
          <w:szCs w:val="21"/>
        </w:rPr>
        <w:t>学调查，揭示首发</w:t>
      </w:r>
      <w:r>
        <w:rPr>
          <w:rFonts w:ascii="宋体" w:hAnsi="宋体" w:eastAsia="宋体" w:cs="宋体"/>
          <w:sz w:val="21"/>
          <w:szCs w:val="21"/>
        </w:rPr>
        <w:t xml:space="preserve"> </w:t>
      </w:r>
      <w:r>
        <w:rPr>
          <w:rFonts w:ascii="宋体" w:hAnsi="宋体" w:eastAsia="宋体" w:cs="宋体"/>
          <w:spacing w:val="-5"/>
          <w:sz w:val="21"/>
          <w:szCs w:val="21"/>
        </w:rPr>
        <w:t>病例和续发病例之间的关联，成功确定了一名未及时发现和治疗的肺结核病人为传</w:t>
      </w:r>
      <w:r>
        <w:rPr>
          <w:rFonts w:ascii="宋体" w:hAnsi="宋体" w:eastAsia="宋体" w:cs="宋体"/>
          <w:spacing w:val="-6"/>
          <w:sz w:val="21"/>
          <w:szCs w:val="21"/>
        </w:rPr>
        <w:t>染源，通过采取</w:t>
      </w:r>
      <w:r>
        <w:rPr>
          <w:rFonts w:ascii="宋体" w:hAnsi="宋体" w:eastAsia="宋体" w:cs="宋体"/>
          <w:sz w:val="21"/>
          <w:szCs w:val="21"/>
        </w:rPr>
        <w:t xml:space="preserve"> </w:t>
      </w:r>
      <w:r>
        <w:rPr>
          <w:rFonts w:ascii="宋体" w:hAnsi="宋体" w:eastAsia="宋体" w:cs="宋体"/>
          <w:spacing w:val="-9"/>
          <w:sz w:val="21"/>
          <w:szCs w:val="21"/>
        </w:rPr>
        <w:t>针对性的防控措施，有效控制了疫情的扩散。</w:t>
      </w:r>
    </w:p>
    <w:p w14:paraId="249F8706">
      <w:pPr>
        <w:pStyle w:val="2"/>
        <w:spacing w:before="31" w:line="222" w:lineRule="auto"/>
        <w:ind w:left="1102"/>
        <w:rPr>
          <w:sz w:val="21"/>
          <w:szCs w:val="21"/>
        </w:rPr>
      </w:pPr>
      <w:r>
        <w:rPr>
          <w:b/>
          <w:bCs/>
          <w:spacing w:val="16"/>
          <w:sz w:val="21"/>
          <w:szCs w:val="21"/>
        </w:rPr>
        <w:t>(四)确定传播途径</w:t>
      </w:r>
    </w:p>
    <w:p w14:paraId="27475254">
      <w:pPr>
        <w:spacing w:before="123" w:line="317" w:lineRule="auto"/>
        <w:ind w:left="699" w:right="76" w:firstLine="399"/>
        <w:jc w:val="both"/>
        <w:rPr>
          <w:rFonts w:ascii="宋体" w:hAnsi="宋体" w:eastAsia="宋体" w:cs="宋体"/>
          <w:sz w:val="21"/>
          <w:szCs w:val="21"/>
        </w:rPr>
      </w:pPr>
      <w:r>
        <w:rPr>
          <w:rFonts w:ascii="宋体" w:hAnsi="宋体" w:eastAsia="宋体" w:cs="宋体"/>
          <w:spacing w:val="5"/>
          <w:sz w:val="21"/>
          <w:szCs w:val="21"/>
        </w:rPr>
        <w:t>过去，传染病流行中传播途径或传播媒介的调查通常使用排除法，同时尽可能在媒介物中</w:t>
      </w:r>
      <w:r>
        <w:rPr>
          <w:rFonts w:ascii="宋体" w:hAnsi="宋体" w:eastAsia="宋体" w:cs="宋体"/>
          <w:spacing w:val="16"/>
          <w:sz w:val="21"/>
          <w:szCs w:val="21"/>
        </w:rPr>
        <w:t xml:space="preserve"> </w:t>
      </w:r>
      <w:r>
        <w:rPr>
          <w:rFonts w:ascii="宋体" w:hAnsi="宋体" w:eastAsia="宋体" w:cs="宋体"/>
          <w:spacing w:val="10"/>
          <w:sz w:val="21"/>
          <w:szCs w:val="21"/>
        </w:rPr>
        <w:t>分离到引起流行的病原体或检测到病原学标志。分子流行病学的发展引入一些新的分子生物</w:t>
      </w:r>
      <w:r>
        <w:rPr>
          <w:rFonts w:ascii="宋体" w:hAnsi="宋体" w:eastAsia="宋体" w:cs="宋体"/>
          <w:spacing w:val="9"/>
          <w:sz w:val="21"/>
          <w:szCs w:val="21"/>
        </w:rPr>
        <w:t xml:space="preserve"> </w:t>
      </w:r>
      <w:r>
        <w:rPr>
          <w:rFonts w:ascii="宋体" w:hAnsi="宋体" w:eastAsia="宋体" w:cs="宋体"/>
          <w:spacing w:val="3"/>
          <w:sz w:val="21"/>
          <w:szCs w:val="21"/>
        </w:rPr>
        <w:t>学技术，从而可以更准确地确定传播途径。例如，在结核病聚集性疫情中可以利用</w:t>
      </w:r>
      <w:r>
        <w:rPr>
          <w:rFonts w:ascii="Times New Roman" w:hAnsi="Times New Roman" w:eastAsia="Times New Roman" w:cs="Times New Roman"/>
          <w:sz w:val="21"/>
          <w:szCs w:val="21"/>
        </w:rPr>
        <w:t>IS</w:t>
      </w:r>
      <w:r>
        <w:rPr>
          <w:rFonts w:ascii="Times New Roman" w:hAnsi="Times New Roman" w:eastAsia="Times New Roman" w:cs="Times New Roman"/>
          <w:spacing w:val="3"/>
          <w:sz w:val="21"/>
          <w:szCs w:val="21"/>
        </w:rPr>
        <w:t>6110</w:t>
      </w:r>
      <w:r>
        <w:rPr>
          <w:rFonts w:ascii="Times New Roman" w:hAnsi="Times New Roman" w:eastAsia="Times New Roman" w:cs="Times New Roman"/>
          <w:spacing w:val="62"/>
          <w:sz w:val="21"/>
          <w:szCs w:val="21"/>
        </w:rPr>
        <w:t xml:space="preserve"> </w:t>
      </w:r>
      <w:r>
        <w:rPr>
          <w:rFonts w:ascii="宋体" w:hAnsi="宋体" w:eastAsia="宋体" w:cs="宋体"/>
          <w:spacing w:val="3"/>
          <w:sz w:val="21"/>
          <w:szCs w:val="21"/>
        </w:rPr>
        <w:t>指纹</w:t>
      </w:r>
      <w:r>
        <w:rPr>
          <w:rFonts w:ascii="宋体" w:hAnsi="宋体" w:eastAsia="宋体" w:cs="宋体"/>
          <w:sz w:val="21"/>
          <w:szCs w:val="21"/>
        </w:rPr>
        <w:t xml:space="preserve"> </w:t>
      </w:r>
      <w:r>
        <w:rPr>
          <w:rFonts w:ascii="宋体" w:hAnsi="宋体" w:eastAsia="宋体" w:cs="宋体"/>
          <w:spacing w:val="3"/>
          <w:sz w:val="21"/>
          <w:szCs w:val="21"/>
        </w:rPr>
        <w:t>图谱分析技术，通过扩增并测序结核分枝杆菌中的</w:t>
      </w:r>
      <w:r>
        <w:rPr>
          <w:rFonts w:ascii="Times New Roman" w:hAnsi="Times New Roman" w:eastAsia="Times New Roman" w:cs="Times New Roman"/>
          <w:sz w:val="21"/>
          <w:szCs w:val="21"/>
        </w:rPr>
        <w:t>IS</w:t>
      </w:r>
      <w:r>
        <w:rPr>
          <w:rFonts w:ascii="Times New Roman" w:hAnsi="Times New Roman" w:eastAsia="Times New Roman" w:cs="Times New Roman"/>
          <w:spacing w:val="3"/>
          <w:sz w:val="21"/>
          <w:szCs w:val="21"/>
        </w:rPr>
        <w:t xml:space="preserve">6110  </w:t>
      </w:r>
      <w:r>
        <w:rPr>
          <w:rFonts w:ascii="宋体" w:hAnsi="宋体" w:eastAsia="宋体" w:cs="宋体"/>
          <w:spacing w:val="3"/>
          <w:sz w:val="21"/>
          <w:szCs w:val="21"/>
        </w:rPr>
        <w:t>序列，获</w:t>
      </w:r>
      <w:r>
        <w:rPr>
          <w:rFonts w:ascii="宋体" w:hAnsi="宋体" w:eastAsia="宋体" w:cs="宋体"/>
          <w:spacing w:val="2"/>
          <w:sz w:val="21"/>
          <w:szCs w:val="21"/>
        </w:rPr>
        <w:t>得其指纹图谱，比较不同菌</w:t>
      </w:r>
      <w:r>
        <w:rPr>
          <w:rFonts w:ascii="宋体" w:hAnsi="宋体" w:eastAsia="宋体" w:cs="宋体"/>
          <w:sz w:val="21"/>
          <w:szCs w:val="21"/>
        </w:rPr>
        <w:t xml:space="preserve"> 株的指纹图谱可以确定它们是否属于同一传播链，进一步结合暴露史、接</w:t>
      </w:r>
      <w:r>
        <w:rPr>
          <w:rFonts w:ascii="宋体" w:hAnsi="宋体" w:eastAsia="宋体" w:cs="宋体"/>
          <w:spacing w:val="-1"/>
          <w:sz w:val="21"/>
          <w:szCs w:val="21"/>
        </w:rPr>
        <w:t>触史等信息，明确传播</w:t>
      </w:r>
      <w:r>
        <w:rPr>
          <w:rFonts w:ascii="宋体" w:hAnsi="宋体" w:eastAsia="宋体" w:cs="宋体"/>
          <w:sz w:val="21"/>
          <w:szCs w:val="21"/>
        </w:rPr>
        <w:t xml:space="preserve"> </w:t>
      </w:r>
      <w:r>
        <w:rPr>
          <w:rFonts w:ascii="宋体" w:hAnsi="宋体" w:eastAsia="宋体" w:cs="宋体"/>
          <w:spacing w:val="8"/>
          <w:sz w:val="21"/>
          <w:szCs w:val="21"/>
        </w:rPr>
        <w:t>途径。</w:t>
      </w:r>
    </w:p>
    <w:p w14:paraId="2E39E675">
      <w:pPr>
        <w:pStyle w:val="2"/>
        <w:spacing w:before="50" w:line="221" w:lineRule="auto"/>
        <w:ind w:left="1102"/>
        <w:rPr>
          <w:sz w:val="21"/>
          <w:szCs w:val="21"/>
        </w:rPr>
      </w:pPr>
      <w:r>
        <w:rPr>
          <w:b/>
          <w:bCs/>
          <w:spacing w:val="10"/>
          <w:sz w:val="21"/>
          <w:szCs w:val="21"/>
        </w:rPr>
        <w:t>(五)传染病防治措施及其效果评价</w:t>
      </w:r>
    </w:p>
    <w:p w14:paraId="54E50988">
      <w:pPr>
        <w:spacing w:before="120" w:line="326" w:lineRule="auto"/>
        <w:ind w:left="699" w:firstLine="399"/>
        <w:jc w:val="both"/>
        <w:rPr>
          <w:rFonts w:ascii="宋体" w:hAnsi="宋体" w:eastAsia="宋体" w:cs="宋体"/>
          <w:sz w:val="21"/>
          <w:szCs w:val="21"/>
        </w:rPr>
      </w:pPr>
      <w:r>
        <w:rPr>
          <w:rFonts w:ascii="宋体" w:hAnsi="宋体" w:eastAsia="宋体" w:cs="宋体"/>
          <w:spacing w:val="1"/>
          <w:sz w:val="21"/>
          <w:szCs w:val="21"/>
        </w:rPr>
        <w:t>分子流行病学在传染病的研究中应用了分子生物学等现代技术，</w:t>
      </w:r>
      <w:r>
        <w:rPr>
          <w:rFonts w:ascii="宋体" w:hAnsi="宋体" w:eastAsia="宋体" w:cs="宋体"/>
          <w:sz w:val="21"/>
          <w:szCs w:val="21"/>
        </w:rPr>
        <w:t xml:space="preserve">对传染源的追踪以及传播途 </w:t>
      </w:r>
      <w:r>
        <w:rPr>
          <w:rFonts w:ascii="宋体" w:hAnsi="宋体" w:eastAsia="宋体" w:cs="宋体"/>
          <w:spacing w:val="-8"/>
          <w:sz w:val="21"/>
          <w:szCs w:val="21"/>
        </w:rPr>
        <w:t>径、传播媒介和易感人群的确定更为精确，因而据此提出的防治措施更有针对性，更有成效。例如，</w:t>
      </w:r>
      <w:r>
        <w:rPr>
          <w:rFonts w:ascii="宋体" w:hAnsi="宋体" w:eastAsia="宋体" w:cs="宋体"/>
          <w:spacing w:val="16"/>
          <w:sz w:val="21"/>
          <w:szCs w:val="21"/>
        </w:rPr>
        <w:t xml:space="preserve"> </w:t>
      </w:r>
      <w:r>
        <w:rPr>
          <w:rFonts w:ascii="宋体" w:hAnsi="宋体" w:eastAsia="宋体" w:cs="宋体"/>
          <w:spacing w:val="-5"/>
          <w:sz w:val="21"/>
          <w:szCs w:val="21"/>
        </w:rPr>
        <w:t>现在应用最多的是灭活或减毒活疫苗，但存在免疫原性较差、毒力回复等缺点。</w:t>
      </w:r>
      <w:r>
        <w:rPr>
          <w:rFonts w:ascii="宋体" w:hAnsi="宋体" w:eastAsia="宋体" w:cs="宋体"/>
          <w:spacing w:val="-6"/>
          <w:sz w:val="21"/>
          <w:szCs w:val="21"/>
        </w:rPr>
        <w:t>分子生物学技术可</w:t>
      </w:r>
      <w:r>
        <w:rPr>
          <w:rFonts w:ascii="宋体" w:hAnsi="宋体" w:eastAsia="宋体" w:cs="宋体"/>
          <w:sz w:val="21"/>
          <w:szCs w:val="21"/>
        </w:rPr>
        <w:t xml:space="preserve">  </w:t>
      </w:r>
      <w:r>
        <w:rPr>
          <w:rFonts w:ascii="宋体" w:hAnsi="宋体" w:eastAsia="宋体" w:cs="宋体"/>
          <w:spacing w:val="-4"/>
          <w:sz w:val="21"/>
          <w:szCs w:val="21"/>
        </w:rPr>
        <w:t>以通过</w:t>
      </w:r>
      <w:r>
        <w:rPr>
          <w:rFonts w:ascii="Times New Roman" w:hAnsi="Times New Roman" w:eastAsia="Times New Roman" w:cs="Times New Roman"/>
          <w:spacing w:val="-4"/>
          <w:sz w:val="21"/>
          <w:szCs w:val="21"/>
        </w:rPr>
        <w:t>DNA</w:t>
      </w:r>
      <w:r>
        <w:rPr>
          <w:rFonts w:ascii="宋体" w:hAnsi="宋体" w:eastAsia="宋体" w:cs="宋体"/>
          <w:spacing w:val="-4"/>
          <w:sz w:val="21"/>
          <w:szCs w:val="21"/>
        </w:rPr>
        <w:t>重组技术，把天然的或人工合成的遗传物质定向插入细菌、酵母菌或哺乳动物细胞中，</w:t>
      </w:r>
      <w:r>
        <w:rPr>
          <w:rFonts w:ascii="宋体" w:hAnsi="宋体" w:eastAsia="宋体" w:cs="宋体"/>
          <w:spacing w:val="15"/>
          <w:sz w:val="21"/>
          <w:szCs w:val="21"/>
        </w:rPr>
        <w:t xml:space="preserve"> </w:t>
      </w:r>
      <w:r>
        <w:rPr>
          <w:rFonts w:ascii="宋体" w:hAnsi="宋体" w:eastAsia="宋体" w:cs="宋体"/>
          <w:spacing w:val="-5"/>
          <w:sz w:val="21"/>
          <w:szCs w:val="21"/>
        </w:rPr>
        <w:t>使之充分表达，经纯化后，能制出不含感染性物质的亚单位疫苗、稳定的减毒疫苗及能预防多种疾</w:t>
      </w:r>
      <w:r>
        <w:rPr>
          <w:rFonts w:ascii="宋体" w:hAnsi="宋体" w:eastAsia="宋体" w:cs="宋体"/>
          <w:spacing w:val="12"/>
          <w:sz w:val="21"/>
          <w:szCs w:val="21"/>
        </w:rPr>
        <w:t xml:space="preserve"> </w:t>
      </w:r>
      <w:r>
        <w:rPr>
          <w:rFonts w:ascii="宋体" w:hAnsi="宋体" w:eastAsia="宋体" w:cs="宋体"/>
          <w:spacing w:val="-6"/>
          <w:sz w:val="21"/>
          <w:szCs w:val="21"/>
        </w:rPr>
        <w:t>病的多价疫苗，从而克服了传统疫苗的一些固有缺陷。</w:t>
      </w:r>
    </w:p>
    <w:p w14:paraId="355845E3">
      <w:pPr>
        <w:spacing w:line="326" w:lineRule="auto"/>
        <w:rPr>
          <w:rFonts w:ascii="宋体" w:hAnsi="宋体" w:eastAsia="宋体" w:cs="宋体"/>
          <w:sz w:val="21"/>
          <w:szCs w:val="21"/>
        </w:rPr>
        <w:sectPr>
          <w:footerReference r:id="rId291" w:type="default"/>
          <w:pgSz w:w="11900" w:h="16820"/>
          <w:pgMar w:top="400" w:right="1464" w:bottom="903" w:left="830" w:header="0" w:footer="714" w:gutter="0"/>
          <w:cols w:space="720" w:num="1"/>
        </w:sectPr>
      </w:pPr>
    </w:p>
    <w:p w14:paraId="5D202D7C">
      <w:pPr>
        <w:pStyle w:val="2"/>
        <w:spacing w:before="136" w:line="221" w:lineRule="auto"/>
        <w:ind w:left="6960"/>
        <w:rPr>
          <w:sz w:val="21"/>
          <w:szCs w:val="21"/>
        </w:rPr>
      </w:pPr>
      <w:r>
        <w:rPr>
          <w:spacing w:val="-22"/>
          <w:w w:val="96"/>
          <w:sz w:val="21"/>
          <w:szCs w:val="21"/>
        </w:rPr>
        <w:t>第十七章 分子流行病学</w:t>
      </w:r>
    </w:p>
    <w:p w14:paraId="783747FD">
      <w:pPr>
        <w:spacing w:line="268" w:lineRule="auto"/>
        <w:rPr>
          <w:rFonts w:ascii="Arial"/>
          <w:sz w:val="21"/>
        </w:rPr>
      </w:pPr>
    </w:p>
    <w:p w14:paraId="0FC62913">
      <w:pPr>
        <w:spacing w:line="268" w:lineRule="auto"/>
        <w:rPr>
          <w:rFonts w:ascii="Arial"/>
          <w:sz w:val="21"/>
        </w:rPr>
      </w:pPr>
    </w:p>
    <w:p w14:paraId="094B3CB1">
      <w:pPr>
        <w:pStyle w:val="2"/>
        <w:spacing w:before="69" w:line="221" w:lineRule="auto"/>
        <w:ind w:left="410"/>
        <w:rPr>
          <w:sz w:val="21"/>
          <w:szCs w:val="21"/>
        </w:rPr>
      </w:pPr>
      <w:r>
        <w:rPr>
          <w:spacing w:val="14"/>
          <w:sz w:val="21"/>
          <w:szCs w:val="21"/>
        </w:rPr>
        <w:t>(六)宏基因组学在病原体鉴定中的应用和前景</w:t>
      </w:r>
    </w:p>
    <w:p w14:paraId="41BF8428">
      <w:pPr>
        <w:spacing w:before="86" w:line="331" w:lineRule="auto"/>
        <w:ind w:right="595" w:firstLine="410"/>
        <w:jc w:val="both"/>
        <w:rPr>
          <w:rFonts w:ascii="宋体" w:hAnsi="宋体" w:eastAsia="宋体" w:cs="宋体"/>
          <w:sz w:val="21"/>
          <w:szCs w:val="21"/>
        </w:rPr>
      </w:pPr>
      <w:r>
        <w:rPr>
          <w:rFonts w:ascii="宋体" w:hAnsi="宋体" w:eastAsia="宋体" w:cs="宋体"/>
          <w:spacing w:val="-4"/>
          <w:sz w:val="21"/>
          <w:szCs w:val="21"/>
        </w:rPr>
        <w:t>宏基因组学</w:t>
      </w:r>
      <w:r>
        <w:rPr>
          <w:rFonts w:ascii="Times New Roman" w:hAnsi="Times New Roman" w:eastAsia="Times New Roman" w:cs="Times New Roman"/>
          <w:spacing w:val="-4"/>
          <w:sz w:val="21"/>
          <w:szCs w:val="21"/>
        </w:rPr>
        <w:t>(metagenomics)</w:t>
      </w:r>
      <w:r>
        <w:rPr>
          <w:rFonts w:ascii="Times New Roman" w:hAnsi="Times New Roman" w:eastAsia="Times New Roman" w:cs="Times New Roman"/>
          <w:spacing w:val="24"/>
          <w:w w:val="101"/>
          <w:sz w:val="21"/>
          <w:szCs w:val="21"/>
        </w:rPr>
        <w:t xml:space="preserve"> </w:t>
      </w:r>
      <w:r>
        <w:rPr>
          <w:rFonts w:ascii="宋体" w:hAnsi="宋体" w:eastAsia="宋体" w:cs="宋体"/>
          <w:spacing w:val="-4"/>
          <w:sz w:val="21"/>
          <w:szCs w:val="21"/>
        </w:rPr>
        <w:t>是近年来逐渐受到关注的新兴研究领域，宏基因组主要指特定环境</w:t>
      </w:r>
      <w:r>
        <w:rPr>
          <w:rFonts w:ascii="宋体" w:hAnsi="宋体" w:eastAsia="宋体" w:cs="宋体"/>
          <w:sz w:val="21"/>
          <w:szCs w:val="21"/>
        </w:rPr>
        <w:t xml:space="preserve"> </w:t>
      </w:r>
      <w:r>
        <w:rPr>
          <w:rFonts w:ascii="宋体" w:hAnsi="宋体" w:eastAsia="宋体" w:cs="宋体"/>
          <w:spacing w:val="-6"/>
          <w:sz w:val="21"/>
          <w:szCs w:val="21"/>
        </w:rPr>
        <w:t>下所有微生物菌群基因组的总和。利用新一代测序技术和流行病学研究设计针对病毒、细菌、寄生</w:t>
      </w:r>
      <w:r>
        <w:rPr>
          <w:rFonts w:ascii="宋体" w:hAnsi="宋体" w:eastAsia="宋体" w:cs="宋体"/>
          <w:spacing w:val="16"/>
          <w:sz w:val="21"/>
          <w:szCs w:val="21"/>
        </w:rPr>
        <w:t xml:space="preserve"> </w:t>
      </w:r>
      <w:r>
        <w:rPr>
          <w:rFonts w:ascii="宋体" w:hAnsi="宋体" w:eastAsia="宋体" w:cs="宋体"/>
          <w:spacing w:val="-4"/>
          <w:sz w:val="21"/>
          <w:szCs w:val="21"/>
        </w:rPr>
        <w:t>虫等传染病病原体开展宏基因组学和分子流行病学研究，将能够更精准地对病原体型别进行鉴定，</w:t>
      </w:r>
      <w:r>
        <w:rPr>
          <w:rFonts w:ascii="宋体" w:hAnsi="宋体" w:eastAsia="宋体" w:cs="宋体"/>
          <w:spacing w:val="6"/>
          <w:sz w:val="21"/>
          <w:szCs w:val="21"/>
        </w:rPr>
        <w:t xml:space="preserve"> </w:t>
      </w:r>
      <w:r>
        <w:rPr>
          <w:rFonts w:ascii="宋体" w:hAnsi="宋体" w:eastAsia="宋体" w:cs="宋体"/>
          <w:sz w:val="21"/>
          <w:szCs w:val="21"/>
        </w:rPr>
        <w:t>掌握病原体致病力的衍变机制及其与宿主机体的相互作用规律</w:t>
      </w:r>
      <w:r>
        <w:rPr>
          <w:rFonts w:ascii="宋体" w:hAnsi="宋体" w:eastAsia="宋体" w:cs="宋体"/>
          <w:spacing w:val="-1"/>
          <w:sz w:val="21"/>
          <w:szCs w:val="21"/>
        </w:rPr>
        <w:t>，这些对于传染病的预防和控制都</w:t>
      </w:r>
      <w:r>
        <w:rPr>
          <w:rFonts w:ascii="宋体" w:hAnsi="宋体" w:eastAsia="宋体" w:cs="宋体"/>
          <w:sz w:val="21"/>
          <w:szCs w:val="21"/>
        </w:rPr>
        <w:t xml:space="preserve"> </w:t>
      </w:r>
      <w:r>
        <w:rPr>
          <w:rFonts w:ascii="宋体" w:hAnsi="宋体" w:eastAsia="宋体" w:cs="宋体"/>
          <w:spacing w:val="4"/>
          <w:sz w:val="21"/>
          <w:szCs w:val="21"/>
        </w:rPr>
        <w:t>具有十分重要的意义。</w:t>
      </w:r>
    </w:p>
    <w:p w14:paraId="7E2F95CA">
      <w:pPr>
        <w:pStyle w:val="2"/>
        <w:spacing w:before="157" w:line="221" w:lineRule="auto"/>
        <w:ind w:left="413"/>
        <w:outlineLvl w:val="4"/>
        <w:rPr>
          <w:sz w:val="26"/>
          <w:szCs w:val="26"/>
        </w:rPr>
      </w:pPr>
      <w:bookmarkStart w:id="451" w:name="bookmark287"/>
      <w:bookmarkEnd w:id="451"/>
      <w:r>
        <w:rPr>
          <w:b/>
          <w:bCs/>
          <w:spacing w:val="-5"/>
          <w:sz w:val="26"/>
          <w:szCs w:val="26"/>
        </w:rPr>
        <w:t>二、慢性非传染性疾病防治</w:t>
      </w:r>
    </w:p>
    <w:p w14:paraId="4805492E">
      <w:pPr>
        <w:spacing w:before="263" w:line="326" w:lineRule="auto"/>
        <w:ind w:right="650" w:firstLine="410"/>
        <w:jc w:val="both"/>
        <w:rPr>
          <w:rFonts w:ascii="宋体" w:hAnsi="宋体" w:eastAsia="宋体" w:cs="宋体"/>
          <w:sz w:val="21"/>
          <w:szCs w:val="21"/>
        </w:rPr>
      </w:pPr>
      <w:r>
        <w:rPr>
          <w:rFonts w:ascii="宋体" w:hAnsi="宋体" w:eastAsia="宋体" w:cs="宋体"/>
          <w:spacing w:val="-5"/>
          <w:sz w:val="21"/>
          <w:szCs w:val="21"/>
        </w:rPr>
        <w:t>随着生活水平的提高，恶性肿瘤、心血管疾病、糖尿病等慢性非传染性疾病的</w:t>
      </w:r>
      <w:r>
        <w:rPr>
          <w:rFonts w:ascii="宋体" w:hAnsi="宋体" w:eastAsia="宋体" w:cs="宋体"/>
          <w:spacing w:val="-6"/>
          <w:sz w:val="21"/>
          <w:szCs w:val="21"/>
        </w:rPr>
        <w:t>发病率和死亡率</w:t>
      </w:r>
      <w:r>
        <w:rPr>
          <w:rFonts w:ascii="宋体" w:hAnsi="宋体" w:eastAsia="宋体" w:cs="宋体"/>
          <w:sz w:val="21"/>
          <w:szCs w:val="21"/>
        </w:rPr>
        <w:t xml:space="preserve"> </w:t>
      </w:r>
      <w:r>
        <w:rPr>
          <w:rFonts w:ascii="宋体" w:hAnsi="宋体" w:eastAsia="宋体" w:cs="宋体"/>
          <w:spacing w:val="-6"/>
          <w:sz w:val="21"/>
          <w:szCs w:val="21"/>
        </w:rPr>
        <w:t>逐年上升，严重威胁人类健康。分子流行病学在慢性非传染性疾病的病因探索、发病机制研究以及</w:t>
      </w:r>
      <w:r>
        <w:rPr>
          <w:rFonts w:ascii="宋体" w:hAnsi="宋体" w:eastAsia="宋体" w:cs="宋体"/>
          <w:spacing w:val="18"/>
          <w:sz w:val="21"/>
          <w:szCs w:val="21"/>
        </w:rPr>
        <w:t xml:space="preserve"> </w:t>
      </w:r>
      <w:r>
        <w:rPr>
          <w:rFonts w:ascii="宋体" w:hAnsi="宋体" w:eastAsia="宋体" w:cs="宋体"/>
          <w:spacing w:val="-2"/>
          <w:sz w:val="21"/>
          <w:szCs w:val="21"/>
        </w:rPr>
        <w:t>机体易感性测定等方面，同样作出了巨大贡献。</w:t>
      </w:r>
    </w:p>
    <w:p w14:paraId="454F6F80">
      <w:pPr>
        <w:pStyle w:val="2"/>
        <w:spacing w:before="5" w:line="221" w:lineRule="auto"/>
        <w:ind w:left="410"/>
        <w:rPr>
          <w:sz w:val="21"/>
          <w:szCs w:val="21"/>
        </w:rPr>
      </w:pPr>
      <w:r>
        <w:rPr>
          <w:spacing w:val="21"/>
          <w:sz w:val="21"/>
          <w:szCs w:val="21"/>
        </w:rPr>
        <w:t>(一)探索疾病的病因及发病机制</w:t>
      </w:r>
    </w:p>
    <w:p w14:paraId="1503CD8D">
      <w:pPr>
        <w:spacing w:before="108" w:line="326" w:lineRule="auto"/>
        <w:ind w:right="629" w:firstLine="410"/>
        <w:jc w:val="both"/>
        <w:rPr>
          <w:rFonts w:ascii="宋体" w:hAnsi="宋体" w:eastAsia="宋体" w:cs="宋体"/>
          <w:sz w:val="21"/>
          <w:szCs w:val="21"/>
        </w:rPr>
      </w:pPr>
      <w:r>
        <w:rPr>
          <w:rFonts w:ascii="宋体" w:hAnsi="宋体" w:eastAsia="宋体" w:cs="宋体"/>
          <w:spacing w:val="-5"/>
          <w:sz w:val="21"/>
          <w:szCs w:val="21"/>
        </w:rPr>
        <w:t>分子流行病学把流行病学方法与分子生物学技术相结合，选择多种生物标志，探讨疾病发生的</w:t>
      </w:r>
      <w:r>
        <w:rPr>
          <w:rFonts w:ascii="宋体" w:hAnsi="宋体" w:eastAsia="宋体" w:cs="宋体"/>
          <w:sz w:val="21"/>
          <w:szCs w:val="21"/>
        </w:rPr>
        <w:t xml:space="preserve"> </w:t>
      </w:r>
      <w:r>
        <w:rPr>
          <w:rFonts w:ascii="宋体" w:hAnsi="宋体" w:eastAsia="宋体" w:cs="宋体"/>
          <w:spacing w:val="-5"/>
          <w:sz w:val="21"/>
          <w:szCs w:val="21"/>
        </w:rPr>
        <w:t>全过程及各事件之间的内在联系，为确定暴露与疾病之间的因果关系提供更可靠的证</w:t>
      </w:r>
      <w:r>
        <w:rPr>
          <w:rFonts w:ascii="宋体" w:hAnsi="宋体" w:eastAsia="宋体" w:cs="宋体"/>
          <w:spacing w:val="-6"/>
          <w:sz w:val="21"/>
          <w:szCs w:val="21"/>
        </w:rPr>
        <w:t>据。例如，传</w:t>
      </w:r>
      <w:r>
        <w:rPr>
          <w:rFonts w:ascii="宋体" w:hAnsi="宋体" w:eastAsia="宋体" w:cs="宋体"/>
          <w:sz w:val="21"/>
          <w:szCs w:val="21"/>
        </w:rPr>
        <w:t xml:space="preserve"> 统的流行病学已证明吸烟是肺癌的主要病因，但具体机制并不明确。分子流行病学通过多种生物</w:t>
      </w:r>
      <w:r>
        <w:rPr>
          <w:rFonts w:ascii="宋体" w:hAnsi="宋体" w:eastAsia="宋体" w:cs="宋体"/>
          <w:spacing w:val="9"/>
          <w:sz w:val="21"/>
          <w:szCs w:val="21"/>
        </w:rPr>
        <w:t xml:space="preserve"> </w:t>
      </w:r>
      <w:r>
        <w:rPr>
          <w:rFonts w:ascii="宋体" w:hAnsi="宋体" w:eastAsia="宋体" w:cs="宋体"/>
          <w:spacing w:val="-6"/>
          <w:sz w:val="21"/>
          <w:szCs w:val="21"/>
        </w:rPr>
        <w:t>标志的检测，研究烟草中的致癌物进入人体后，经代谢活化形成</w:t>
      </w:r>
      <w:r>
        <w:rPr>
          <w:rFonts w:ascii="Times New Roman" w:hAnsi="Times New Roman" w:eastAsia="Times New Roman" w:cs="Times New Roman"/>
          <w:spacing w:val="-6"/>
          <w:sz w:val="21"/>
          <w:szCs w:val="21"/>
        </w:rPr>
        <w:t>DNA</w:t>
      </w:r>
      <w:r>
        <w:rPr>
          <w:rFonts w:ascii="宋体" w:hAnsi="宋体" w:eastAsia="宋体" w:cs="宋体"/>
          <w:spacing w:val="-6"/>
          <w:sz w:val="21"/>
          <w:szCs w:val="21"/>
        </w:rPr>
        <w:t>加合物，引起癌基因激活和抑</w:t>
      </w:r>
      <w:r>
        <w:rPr>
          <w:rFonts w:ascii="宋体" w:hAnsi="宋体" w:eastAsia="宋体" w:cs="宋体"/>
          <w:spacing w:val="10"/>
          <w:sz w:val="21"/>
          <w:szCs w:val="21"/>
        </w:rPr>
        <w:t xml:space="preserve"> </w:t>
      </w:r>
      <w:r>
        <w:rPr>
          <w:rFonts w:ascii="宋体" w:hAnsi="宋体" w:eastAsia="宋体" w:cs="宋体"/>
          <w:spacing w:val="-5"/>
          <w:sz w:val="21"/>
          <w:szCs w:val="21"/>
        </w:rPr>
        <w:t>癌基因的失活，并最终导致细胞发生转化及癌变的一系列致癌过程，阐明了烟草致肺癌发生的内在</w:t>
      </w:r>
      <w:r>
        <w:rPr>
          <w:rFonts w:ascii="宋体" w:hAnsi="宋体" w:eastAsia="宋体" w:cs="宋体"/>
          <w:spacing w:val="15"/>
          <w:sz w:val="21"/>
          <w:szCs w:val="21"/>
        </w:rPr>
        <w:t xml:space="preserve"> </w:t>
      </w:r>
      <w:r>
        <w:rPr>
          <w:rFonts w:ascii="宋体" w:hAnsi="宋体" w:eastAsia="宋体" w:cs="宋体"/>
          <w:spacing w:val="1"/>
          <w:sz w:val="21"/>
          <w:szCs w:val="21"/>
        </w:rPr>
        <w:t>机制。</w:t>
      </w:r>
    </w:p>
    <w:p w14:paraId="5619F7F2">
      <w:pPr>
        <w:pStyle w:val="2"/>
        <w:spacing w:before="6" w:line="221" w:lineRule="auto"/>
        <w:ind w:left="410"/>
        <w:rPr>
          <w:sz w:val="21"/>
          <w:szCs w:val="21"/>
        </w:rPr>
      </w:pPr>
      <w:r>
        <w:rPr>
          <w:spacing w:val="19"/>
          <w:sz w:val="21"/>
          <w:szCs w:val="21"/>
        </w:rPr>
        <w:t>(二)评估个体易感性和确定高危人群</w:t>
      </w:r>
    </w:p>
    <w:p w14:paraId="4D33DA0F">
      <w:pPr>
        <w:spacing w:before="116" w:line="317" w:lineRule="auto"/>
        <w:ind w:right="638" w:firstLine="410"/>
        <w:jc w:val="both"/>
        <w:rPr>
          <w:rFonts w:ascii="宋体" w:hAnsi="宋体" w:eastAsia="宋体" w:cs="宋体"/>
          <w:sz w:val="21"/>
          <w:szCs w:val="21"/>
        </w:rPr>
      </w:pPr>
      <w:r>
        <w:rPr>
          <w:rFonts w:ascii="宋体" w:hAnsi="宋体" w:eastAsia="宋体" w:cs="宋体"/>
          <w:spacing w:val="-5"/>
          <w:sz w:val="21"/>
          <w:szCs w:val="21"/>
        </w:rPr>
        <w:t>分子流行病学研究表明，心血管疾病、恶性肿瘤、糖尿病等慢性非传染性疾病都存在影响其易</w:t>
      </w:r>
      <w:r>
        <w:rPr>
          <w:rFonts w:ascii="宋体" w:hAnsi="宋体" w:eastAsia="宋体" w:cs="宋体"/>
          <w:spacing w:val="5"/>
          <w:sz w:val="21"/>
          <w:szCs w:val="21"/>
        </w:rPr>
        <w:t xml:space="preserve"> </w:t>
      </w:r>
      <w:r>
        <w:rPr>
          <w:rFonts w:ascii="宋体" w:hAnsi="宋体" w:eastAsia="宋体" w:cs="宋体"/>
          <w:spacing w:val="-5"/>
          <w:sz w:val="21"/>
          <w:szCs w:val="21"/>
        </w:rPr>
        <w:t>感性的遗传标志。基于</w:t>
      </w:r>
      <w:r>
        <w:rPr>
          <w:rFonts w:ascii="Times New Roman" w:hAnsi="Times New Roman" w:eastAsia="Times New Roman" w:cs="Times New Roman"/>
          <w:spacing w:val="-5"/>
          <w:sz w:val="21"/>
          <w:szCs w:val="21"/>
        </w:rPr>
        <w:t>GWAS</w:t>
      </w:r>
      <w:r>
        <w:rPr>
          <w:rFonts w:ascii="宋体" w:hAnsi="宋体" w:eastAsia="宋体" w:cs="宋体"/>
          <w:spacing w:val="-5"/>
          <w:sz w:val="21"/>
          <w:szCs w:val="21"/>
        </w:rPr>
        <w:t>研究方法，国内外学者鉴定了大量的疾病易感基因和位点，为揭示复</w:t>
      </w:r>
      <w:r>
        <w:rPr>
          <w:rFonts w:ascii="宋体" w:hAnsi="宋体" w:eastAsia="宋体" w:cs="宋体"/>
          <w:spacing w:val="10"/>
          <w:sz w:val="21"/>
          <w:szCs w:val="21"/>
        </w:rPr>
        <w:t xml:space="preserve"> </w:t>
      </w:r>
      <w:r>
        <w:rPr>
          <w:rFonts w:ascii="宋体" w:hAnsi="宋体" w:eastAsia="宋体" w:cs="宋体"/>
          <w:sz w:val="21"/>
          <w:szCs w:val="21"/>
        </w:rPr>
        <w:t>杂性疾病的遗传机制，以及从基因组水平进行疾病风险预测奠定了科学</w:t>
      </w:r>
      <w:r>
        <w:rPr>
          <w:rFonts w:ascii="宋体" w:hAnsi="宋体" w:eastAsia="宋体" w:cs="宋体"/>
          <w:spacing w:val="-1"/>
          <w:sz w:val="21"/>
          <w:szCs w:val="21"/>
        </w:rPr>
        <w:t>基础。由于复杂性疾病的</w:t>
      </w:r>
      <w:r>
        <w:rPr>
          <w:rFonts w:ascii="宋体" w:hAnsi="宋体" w:eastAsia="宋体" w:cs="宋体"/>
          <w:sz w:val="21"/>
          <w:szCs w:val="21"/>
        </w:rPr>
        <w:t xml:space="preserve"> </w:t>
      </w:r>
      <w:r>
        <w:rPr>
          <w:rFonts w:ascii="宋体" w:hAnsi="宋体" w:eastAsia="宋体" w:cs="宋体"/>
          <w:spacing w:val="-5"/>
          <w:sz w:val="21"/>
          <w:szCs w:val="21"/>
        </w:rPr>
        <w:t>发生受控于多基因、多位点，单个或少数基因位点的效应较弱，无法准确识别高危人群</w:t>
      </w:r>
      <w:r>
        <w:rPr>
          <w:rFonts w:ascii="宋体" w:hAnsi="宋体" w:eastAsia="宋体" w:cs="宋体"/>
          <w:spacing w:val="-6"/>
          <w:sz w:val="21"/>
          <w:szCs w:val="21"/>
        </w:rPr>
        <w:t>。目前的常</w:t>
      </w:r>
      <w:r>
        <w:rPr>
          <w:rFonts w:ascii="宋体" w:hAnsi="宋体" w:eastAsia="宋体" w:cs="宋体"/>
          <w:sz w:val="21"/>
          <w:szCs w:val="21"/>
        </w:rPr>
        <w:t xml:space="preserve"> </w:t>
      </w:r>
      <w:r>
        <w:rPr>
          <w:rFonts w:ascii="宋体" w:hAnsi="宋体" w:eastAsia="宋体" w:cs="宋体"/>
          <w:spacing w:val="1"/>
          <w:sz w:val="21"/>
          <w:szCs w:val="21"/>
        </w:rPr>
        <w:t>用策略是构建多基因遗传风险评分</w:t>
      </w:r>
      <w:r>
        <w:rPr>
          <w:rFonts w:ascii="Times New Roman" w:hAnsi="Times New Roman" w:eastAsia="Times New Roman" w:cs="Times New Roman"/>
          <w:spacing w:val="1"/>
          <w:sz w:val="21"/>
          <w:szCs w:val="21"/>
        </w:rPr>
        <w:t>(</w:t>
      </w:r>
      <w:r>
        <w:rPr>
          <w:rFonts w:ascii="Times New Roman" w:hAnsi="Times New Roman" w:eastAsia="Times New Roman" w:cs="Times New Roman"/>
          <w:sz w:val="21"/>
          <w:szCs w:val="21"/>
        </w:rPr>
        <w:t>polygenic</w:t>
      </w:r>
      <w:r>
        <w:rPr>
          <w:rFonts w:ascii="Times New Roman" w:hAnsi="Times New Roman" w:eastAsia="Times New Roman" w:cs="Times New Roman"/>
          <w:spacing w:val="17"/>
          <w:sz w:val="21"/>
          <w:szCs w:val="21"/>
        </w:rPr>
        <w:t xml:space="preserve">  </w:t>
      </w:r>
      <w:r>
        <w:rPr>
          <w:rFonts w:ascii="Times New Roman" w:hAnsi="Times New Roman" w:eastAsia="Times New Roman" w:cs="Times New Roman"/>
          <w:sz w:val="21"/>
          <w:szCs w:val="21"/>
        </w:rPr>
        <w:t>risk</w:t>
      </w:r>
      <w:r>
        <w:rPr>
          <w:rFonts w:ascii="Times New Roman" w:hAnsi="Times New Roman" w:eastAsia="Times New Roman" w:cs="Times New Roman"/>
          <w:spacing w:val="21"/>
          <w:sz w:val="21"/>
          <w:szCs w:val="21"/>
        </w:rPr>
        <w:t xml:space="preserve">  </w:t>
      </w:r>
      <w:r>
        <w:rPr>
          <w:rFonts w:ascii="Times New Roman" w:hAnsi="Times New Roman" w:eastAsia="Times New Roman" w:cs="Times New Roman"/>
          <w:sz w:val="21"/>
          <w:szCs w:val="21"/>
        </w:rPr>
        <w:t>score</w:t>
      </w:r>
      <w:r>
        <w:rPr>
          <w:rFonts w:ascii="Times New Roman" w:hAnsi="Times New Roman" w:eastAsia="Times New Roman" w:cs="Times New Roman"/>
          <w:spacing w:val="1"/>
          <w:sz w:val="21"/>
          <w:szCs w:val="21"/>
        </w:rPr>
        <w:t>,</w:t>
      </w:r>
      <w:r>
        <w:rPr>
          <w:rFonts w:ascii="Times New Roman" w:hAnsi="Times New Roman" w:eastAsia="Times New Roman" w:cs="Times New Roman"/>
          <w:sz w:val="21"/>
          <w:szCs w:val="21"/>
        </w:rPr>
        <w:t>PRS</w:t>
      </w:r>
      <w:r>
        <w:rPr>
          <w:rFonts w:ascii="Times New Roman" w:hAnsi="Times New Roman" w:eastAsia="Times New Roman" w:cs="Times New Roman"/>
          <w:spacing w:val="1"/>
          <w:sz w:val="21"/>
          <w:szCs w:val="21"/>
        </w:rPr>
        <w:t>),</w:t>
      </w:r>
      <w:r>
        <w:rPr>
          <w:rFonts w:ascii="宋体" w:hAnsi="宋体" w:eastAsia="宋体" w:cs="宋体"/>
          <w:spacing w:val="1"/>
          <w:sz w:val="21"/>
          <w:szCs w:val="21"/>
        </w:rPr>
        <w:t>即通过</w:t>
      </w:r>
      <w:r>
        <w:rPr>
          <w:rFonts w:ascii="宋体" w:hAnsi="宋体" w:eastAsia="宋体" w:cs="宋体"/>
          <w:sz w:val="21"/>
          <w:szCs w:val="21"/>
        </w:rPr>
        <w:t xml:space="preserve">整合多个遗传易感位点的信 </w:t>
      </w:r>
      <w:r>
        <w:rPr>
          <w:rFonts w:ascii="宋体" w:hAnsi="宋体" w:eastAsia="宋体" w:cs="宋体"/>
          <w:spacing w:val="-4"/>
          <w:sz w:val="21"/>
          <w:szCs w:val="21"/>
        </w:rPr>
        <w:t>息，提高人群风险预测水平。</w:t>
      </w:r>
    </w:p>
    <w:p w14:paraId="52DECBC4">
      <w:pPr>
        <w:pStyle w:val="2"/>
        <w:spacing w:before="56" w:line="221" w:lineRule="auto"/>
        <w:ind w:left="413"/>
        <w:rPr>
          <w:sz w:val="21"/>
          <w:szCs w:val="21"/>
        </w:rPr>
      </w:pPr>
      <w:r>
        <w:rPr>
          <w:b/>
          <w:bCs/>
          <w:spacing w:val="14"/>
          <w:sz w:val="21"/>
          <w:szCs w:val="21"/>
        </w:rPr>
        <w:t>(三)慢性病防治措施的制定及其效果评价</w:t>
      </w:r>
    </w:p>
    <w:p w14:paraId="0B188D85">
      <w:pPr>
        <w:spacing w:before="114" w:line="326" w:lineRule="auto"/>
        <w:ind w:right="555" w:firstLine="410"/>
        <w:jc w:val="both"/>
        <w:rPr>
          <w:rFonts w:ascii="宋体" w:hAnsi="宋体" w:eastAsia="宋体" w:cs="宋体"/>
          <w:sz w:val="21"/>
          <w:szCs w:val="21"/>
        </w:rPr>
      </w:pPr>
      <w:r>
        <w:rPr>
          <w:rFonts w:ascii="宋体" w:hAnsi="宋体" w:eastAsia="宋体" w:cs="宋体"/>
          <w:spacing w:val="-5"/>
          <w:sz w:val="21"/>
          <w:szCs w:val="21"/>
        </w:rPr>
        <w:t>基于分子流行病学的研究结果，可以制定出更加个性化的慢性病防治措施，</w:t>
      </w:r>
      <w:r>
        <w:rPr>
          <w:rFonts w:ascii="宋体" w:hAnsi="宋体" w:eastAsia="宋体" w:cs="宋体"/>
          <w:spacing w:val="-6"/>
          <w:sz w:val="21"/>
          <w:szCs w:val="21"/>
        </w:rPr>
        <w:t>并通过随访评价其</w:t>
      </w:r>
      <w:r>
        <w:rPr>
          <w:rFonts w:ascii="宋体" w:hAnsi="宋体" w:eastAsia="宋体" w:cs="宋体"/>
          <w:sz w:val="21"/>
          <w:szCs w:val="21"/>
        </w:rPr>
        <w:t xml:space="preserve">  </w:t>
      </w:r>
      <w:r>
        <w:rPr>
          <w:rFonts w:ascii="宋体" w:hAnsi="宋体" w:eastAsia="宋体" w:cs="宋体"/>
          <w:spacing w:val="-3"/>
          <w:sz w:val="21"/>
          <w:szCs w:val="21"/>
        </w:rPr>
        <w:t>有效性。例如，随机对照试验研究发现，将</w:t>
      </w:r>
      <w:r>
        <w:rPr>
          <w:rFonts w:ascii="宋体" w:hAnsi="宋体" w:eastAsia="宋体" w:cs="宋体"/>
          <w:spacing w:val="-4"/>
          <w:sz w:val="21"/>
          <w:szCs w:val="21"/>
        </w:rPr>
        <w:t>研究对象根据冠心病的</w:t>
      </w:r>
      <w:r>
        <w:rPr>
          <w:rFonts w:ascii="Times New Roman" w:hAnsi="Times New Roman" w:eastAsia="Times New Roman" w:cs="Times New Roman"/>
          <w:spacing w:val="-4"/>
          <w:sz w:val="21"/>
          <w:szCs w:val="21"/>
        </w:rPr>
        <w:t>PRS</w:t>
      </w:r>
      <w:r>
        <w:rPr>
          <w:rFonts w:ascii="宋体" w:hAnsi="宋体" w:eastAsia="宋体" w:cs="宋体"/>
          <w:spacing w:val="-4"/>
          <w:sz w:val="21"/>
          <w:szCs w:val="21"/>
        </w:rPr>
        <w:t>进行遗传风险的分组，高遗</w:t>
      </w:r>
      <w:r>
        <w:rPr>
          <w:rFonts w:ascii="宋体" w:hAnsi="宋体" w:eastAsia="宋体" w:cs="宋体"/>
          <w:sz w:val="21"/>
          <w:szCs w:val="21"/>
        </w:rPr>
        <w:t xml:space="preserve"> </w:t>
      </w:r>
      <w:r>
        <w:rPr>
          <w:rFonts w:ascii="宋体" w:hAnsi="宋体" w:eastAsia="宋体" w:cs="宋体"/>
          <w:spacing w:val="2"/>
          <w:sz w:val="21"/>
          <w:szCs w:val="21"/>
        </w:rPr>
        <w:t>传风险组的人在服用他汀类药物后发生冠状动脉粥样硬化的风险降低幅度显著高于其他风险组，</w:t>
      </w:r>
      <w:r>
        <w:rPr>
          <w:rFonts w:ascii="宋体" w:hAnsi="宋体" w:eastAsia="宋体" w:cs="宋体"/>
          <w:sz w:val="21"/>
          <w:szCs w:val="21"/>
        </w:rPr>
        <w:t xml:space="preserve"> 因此支持采用</w:t>
      </w:r>
      <w:r>
        <w:rPr>
          <w:rFonts w:ascii="Times New Roman" w:hAnsi="Times New Roman" w:eastAsia="Times New Roman" w:cs="Times New Roman"/>
          <w:sz w:val="21"/>
          <w:szCs w:val="21"/>
        </w:rPr>
        <w:t>PRS</w:t>
      </w:r>
      <w:r>
        <w:rPr>
          <w:rFonts w:ascii="Times New Roman" w:hAnsi="Times New Roman" w:eastAsia="Times New Roman" w:cs="Times New Roman"/>
          <w:spacing w:val="17"/>
          <w:w w:val="101"/>
          <w:sz w:val="21"/>
          <w:szCs w:val="21"/>
        </w:rPr>
        <w:t xml:space="preserve"> </w:t>
      </w:r>
      <w:r>
        <w:rPr>
          <w:rFonts w:ascii="宋体" w:hAnsi="宋体" w:eastAsia="宋体" w:cs="宋体"/>
          <w:sz w:val="21"/>
          <w:szCs w:val="21"/>
        </w:rPr>
        <w:t>优化心血管疾病高危人群的筛选</w:t>
      </w:r>
      <w:r>
        <w:rPr>
          <w:rFonts w:ascii="宋体" w:hAnsi="宋体" w:eastAsia="宋体" w:cs="宋体"/>
          <w:spacing w:val="-1"/>
          <w:sz w:val="21"/>
          <w:szCs w:val="21"/>
        </w:rPr>
        <w:t>标准，从而使这些人最大限度地从预防性服用</w:t>
      </w:r>
      <w:r>
        <w:rPr>
          <w:rFonts w:ascii="宋体" w:hAnsi="宋体" w:eastAsia="宋体" w:cs="宋体"/>
          <w:sz w:val="21"/>
          <w:szCs w:val="21"/>
        </w:rPr>
        <w:t xml:space="preserve"> </w:t>
      </w:r>
      <w:r>
        <w:rPr>
          <w:rFonts w:ascii="宋体" w:hAnsi="宋体" w:eastAsia="宋体" w:cs="宋体"/>
          <w:spacing w:val="2"/>
          <w:sz w:val="21"/>
          <w:szCs w:val="21"/>
        </w:rPr>
        <w:t>他汀类药物中获益。</w:t>
      </w:r>
    </w:p>
    <w:p w14:paraId="052BF11C">
      <w:pPr>
        <w:pStyle w:val="2"/>
        <w:spacing w:before="23" w:line="221" w:lineRule="auto"/>
        <w:ind w:left="410"/>
        <w:rPr>
          <w:sz w:val="21"/>
          <w:szCs w:val="21"/>
        </w:rPr>
      </w:pPr>
      <w:r>
        <w:rPr>
          <w:spacing w:val="22"/>
          <w:sz w:val="21"/>
          <w:szCs w:val="21"/>
        </w:rPr>
        <w:t>(四)辅助疾病精准诊疗</w:t>
      </w:r>
    </w:p>
    <w:p w14:paraId="690FD902">
      <w:pPr>
        <w:spacing w:before="87" w:line="329" w:lineRule="auto"/>
        <w:ind w:right="638" w:firstLine="410"/>
        <w:jc w:val="both"/>
        <w:rPr>
          <w:rFonts w:ascii="宋体" w:hAnsi="宋体" w:eastAsia="宋体" w:cs="宋体"/>
          <w:sz w:val="21"/>
          <w:szCs w:val="21"/>
        </w:rPr>
      </w:pPr>
      <w:r>
        <w:rPr>
          <w:rFonts w:ascii="宋体" w:hAnsi="宋体" w:eastAsia="宋体" w:cs="宋体"/>
          <w:spacing w:val="-2"/>
          <w:sz w:val="21"/>
          <w:szCs w:val="21"/>
        </w:rPr>
        <w:t>分子生物学技术可以检出肿瘤等疾病的早期生物学改变，如检测</w:t>
      </w:r>
      <w:r>
        <w:rPr>
          <w:rFonts w:ascii="Times New Roman" w:hAnsi="Times New Roman" w:eastAsia="Times New Roman" w:cs="Times New Roman"/>
          <w:spacing w:val="-2"/>
          <w:sz w:val="21"/>
          <w:szCs w:val="21"/>
        </w:rPr>
        <w:t xml:space="preserve">p53 </w:t>
      </w:r>
      <w:r>
        <w:rPr>
          <w:rFonts w:ascii="宋体" w:hAnsi="宋体" w:eastAsia="宋体" w:cs="宋体"/>
          <w:spacing w:val="-2"/>
          <w:sz w:val="21"/>
          <w:szCs w:val="21"/>
        </w:rPr>
        <w:t>抑癌基因、</w:t>
      </w:r>
      <w:r>
        <w:rPr>
          <w:rFonts w:ascii="Times New Roman" w:hAnsi="Times New Roman" w:eastAsia="Times New Roman" w:cs="Times New Roman"/>
          <w:spacing w:val="-2"/>
          <w:sz w:val="21"/>
          <w:szCs w:val="21"/>
        </w:rPr>
        <w:t>KRAS</w:t>
      </w:r>
      <w:r>
        <w:rPr>
          <w:rFonts w:ascii="宋体" w:hAnsi="宋体" w:eastAsia="宋体" w:cs="宋体"/>
          <w:spacing w:val="-2"/>
          <w:sz w:val="21"/>
          <w:szCs w:val="21"/>
        </w:rPr>
        <w:t>癌基因</w:t>
      </w:r>
      <w:r>
        <w:rPr>
          <w:rFonts w:ascii="宋体" w:hAnsi="宋体" w:eastAsia="宋体" w:cs="宋体"/>
          <w:spacing w:val="10"/>
          <w:sz w:val="21"/>
          <w:szCs w:val="21"/>
        </w:rPr>
        <w:t xml:space="preserve"> </w:t>
      </w:r>
      <w:r>
        <w:rPr>
          <w:rFonts w:ascii="宋体" w:hAnsi="宋体" w:eastAsia="宋体" w:cs="宋体"/>
          <w:sz w:val="21"/>
          <w:szCs w:val="21"/>
        </w:rPr>
        <w:t>的突变以及染色体畸变等可提高早期肺癌的阳性诊断率。有些生物标志可用于指导</w:t>
      </w:r>
      <w:r>
        <w:rPr>
          <w:rFonts w:ascii="宋体" w:hAnsi="宋体" w:eastAsia="宋体" w:cs="宋体"/>
          <w:spacing w:val="-1"/>
          <w:sz w:val="21"/>
          <w:szCs w:val="21"/>
        </w:rPr>
        <w:t>治疗选择，如</w:t>
      </w:r>
      <w:r>
        <w:rPr>
          <w:rFonts w:ascii="宋体" w:hAnsi="宋体" w:eastAsia="宋体" w:cs="宋体"/>
          <w:sz w:val="21"/>
          <w:szCs w:val="21"/>
        </w:rPr>
        <w:t xml:space="preserve"> </w:t>
      </w:r>
      <w:r>
        <w:rPr>
          <w:rFonts w:ascii="宋体" w:hAnsi="宋体" w:eastAsia="宋体" w:cs="宋体"/>
          <w:spacing w:val="-3"/>
          <w:sz w:val="21"/>
          <w:szCs w:val="21"/>
        </w:rPr>
        <w:t>利用靶向测序技术检测卵巢癌病人是否携带</w:t>
      </w:r>
      <w:r>
        <w:rPr>
          <w:rFonts w:ascii="宋体" w:hAnsi="宋体" w:eastAsia="宋体" w:cs="宋体"/>
          <w:spacing w:val="-4"/>
          <w:sz w:val="21"/>
          <w:szCs w:val="21"/>
        </w:rPr>
        <w:t>BRCA</w:t>
      </w:r>
      <w:r>
        <w:rPr>
          <w:rFonts w:ascii="宋体" w:hAnsi="宋体" w:eastAsia="宋体" w:cs="宋体"/>
          <w:spacing w:val="38"/>
          <w:sz w:val="21"/>
          <w:szCs w:val="21"/>
        </w:rPr>
        <w:t xml:space="preserve"> </w:t>
      </w:r>
      <w:r>
        <w:rPr>
          <w:rFonts w:ascii="宋体" w:hAnsi="宋体" w:eastAsia="宋体" w:cs="宋体"/>
          <w:spacing w:val="-4"/>
          <w:sz w:val="21"/>
          <w:szCs w:val="21"/>
        </w:rPr>
        <w:t>致病性变异，从而判断是否使用抗肿瘤药物多腺</w:t>
      </w:r>
      <w:r>
        <w:rPr>
          <w:rFonts w:ascii="宋体" w:hAnsi="宋体" w:eastAsia="宋体" w:cs="宋体"/>
          <w:sz w:val="21"/>
          <w:szCs w:val="21"/>
        </w:rPr>
        <w:t xml:space="preserve"> </w:t>
      </w:r>
      <w:r>
        <w:rPr>
          <w:rFonts w:ascii="宋体" w:hAnsi="宋体" w:eastAsia="宋体" w:cs="宋体"/>
          <w:spacing w:val="-4"/>
          <w:sz w:val="21"/>
          <w:szCs w:val="21"/>
        </w:rPr>
        <w:t>苷二磷酸核糖聚合酶</w:t>
      </w:r>
      <w:r>
        <w:rPr>
          <w:rFonts w:ascii="Times New Roman" w:hAnsi="Times New Roman" w:eastAsia="Times New Roman" w:cs="Times New Roman"/>
          <w:spacing w:val="-4"/>
          <w:sz w:val="21"/>
          <w:szCs w:val="21"/>
        </w:rPr>
        <w:t>(PARP)</w:t>
      </w:r>
      <w:r>
        <w:rPr>
          <w:rFonts w:ascii="Times New Roman" w:hAnsi="Times New Roman" w:eastAsia="Times New Roman" w:cs="Times New Roman"/>
          <w:spacing w:val="31"/>
          <w:w w:val="101"/>
          <w:sz w:val="21"/>
          <w:szCs w:val="21"/>
        </w:rPr>
        <w:t xml:space="preserve"> </w:t>
      </w:r>
      <w:r>
        <w:rPr>
          <w:rFonts w:ascii="宋体" w:hAnsi="宋体" w:eastAsia="宋体" w:cs="宋体"/>
          <w:spacing w:val="-4"/>
          <w:sz w:val="21"/>
          <w:szCs w:val="21"/>
        </w:rPr>
        <w:t>抑制剂。此外，一些生物标志还具有预后</w:t>
      </w:r>
      <w:r>
        <w:rPr>
          <w:rFonts w:ascii="宋体" w:hAnsi="宋体" w:eastAsia="宋体" w:cs="宋体"/>
          <w:spacing w:val="-5"/>
          <w:sz w:val="21"/>
          <w:szCs w:val="21"/>
        </w:rPr>
        <w:t>价值，如</w:t>
      </w:r>
      <w:r>
        <w:rPr>
          <w:rFonts w:ascii="Times New Roman" w:hAnsi="Times New Roman" w:eastAsia="Times New Roman" w:cs="Times New Roman"/>
          <w:spacing w:val="-5"/>
          <w:sz w:val="21"/>
          <w:szCs w:val="21"/>
        </w:rPr>
        <w:t>CerbB-2</w:t>
      </w:r>
      <w:r>
        <w:rPr>
          <w:rFonts w:ascii="宋体" w:hAnsi="宋体" w:eastAsia="宋体" w:cs="宋体"/>
          <w:spacing w:val="-5"/>
          <w:sz w:val="21"/>
          <w:szCs w:val="21"/>
        </w:rPr>
        <w:t>基因的扩增</w:t>
      </w:r>
      <w:r>
        <w:rPr>
          <w:rFonts w:ascii="宋体" w:hAnsi="宋体" w:eastAsia="宋体" w:cs="宋体"/>
          <w:sz w:val="21"/>
          <w:szCs w:val="21"/>
        </w:rPr>
        <w:t xml:space="preserve"> 和过度表达提示乳腺癌不良预后。这些发现将有助于根据病人的特定基</w:t>
      </w:r>
      <w:r>
        <w:rPr>
          <w:rFonts w:ascii="宋体" w:hAnsi="宋体" w:eastAsia="宋体" w:cs="宋体"/>
          <w:spacing w:val="-1"/>
          <w:sz w:val="21"/>
          <w:szCs w:val="21"/>
        </w:rPr>
        <w:t>因型制订更准确、更合理</w:t>
      </w:r>
      <w:r>
        <w:rPr>
          <w:rFonts w:ascii="宋体" w:hAnsi="宋体" w:eastAsia="宋体" w:cs="宋体"/>
          <w:sz w:val="21"/>
          <w:szCs w:val="21"/>
        </w:rPr>
        <w:t xml:space="preserve"> </w:t>
      </w:r>
      <w:r>
        <w:rPr>
          <w:rFonts w:ascii="宋体" w:hAnsi="宋体" w:eastAsia="宋体" w:cs="宋体"/>
          <w:spacing w:val="-4"/>
          <w:sz w:val="21"/>
          <w:szCs w:val="21"/>
        </w:rPr>
        <w:t>的诊疗方案，提高病人生存质量。</w:t>
      </w:r>
    </w:p>
    <w:p w14:paraId="6C930A26">
      <w:pPr>
        <w:spacing w:line="329" w:lineRule="auto"/>
        <w:rPr>
          <w:rFonts w:ascii="宋体" w:hAnsi="宋体" w:eastAsia="宋体" w:cs="宋体"/>
          <w:sz w:val="21"/>
          <w:szCs w:val="21"/>
        </w:rPr>
        <w:sectPr>
          <w:footerReference r:id="rId292" w:type="default"/>
          <w:pgSz w:w="11900" w:h="16820"/>
          <w:pgMar w:top="400" w:right="899" w:bottom="916" w:left="1539" w:header="0" w:footer="727" w:gutter="0"/>
          <w:cols w:space="720" w:num="1"/>
        </w:sectPr>
      </w:pPr>
    </w:p>
    <w:p w14:paraId="21B15972">
      <w:pPr>
        <w:pStyle w:val="2"/>
        <w:spacing w:before="166" w:line="221" w:lineRule="auto"/>
        <w:ind w:left="739"/>
        <w:rPr>
          <w:sz w:val="21"/>
          <w:szCs w:val="21"/>
        </w:rPr>
      </w:pPr>
      <w:r>
        <w:rPr>
          <w:spacing w:val="-22"/>
          <w:w w:val="97"/>
          <w:sz w:val="21"/>
          <w:szCs w:val="21"/>
        </w:rPr>
        <w:t>第十七章 分子流行病学</w:t>
      </w:r>
    </w:p>
    <w:p w14:paraId="0CFA4504">
      <w:pPr>
        <w:spacing w:line="250" w:lineRule="auto"/>
        <w:rPr>
          <w:rFonts w:ascii="Arial"/>
          <w:sz w:val="21"/>
        </w:rPr>
      </w:pPr>
    </w:p>
    <w:p w14:paraId="64D99C05">
      <w:pPr>
        <w:spacing w:line="251" w:lineRule="auto"/>
        <w:rPr>
          <w:rFonts w:ascii="Arial"/>
          <w:sz w:val="21"/>
        </w:rPr>
      </w:pPr>
    </w:p>
    <w:p w14:paraId="7399F899">
      <w:pPr>
        <w:spacing w:line="251" w:lineRule="auto"/>
        <w:rPr>
          <w:rFonts w:ascii="Arial"/>
          <w:sz w:val="21"/>
        </w:rPr>
      </w:pPr>
    </w:p>
    <w:p w14:paraId="630A76A4">
      <w:pPr>
        <w:pStyle w:val="2"/>
        <w:spacing w:before="68" w:line="221" w:lineRule="auto"/>
        <w:ind w:left="1172"/>
        <w:outlineLvl w:val="4"/>
        <w:rPr>
          <w:sz w:val="21"/>
          <w:szCs w:val="21"/>
        </w:rPr>
      </w:pPr>
      <w:bookmarkStart w:id="452" w:name="bookmark288"/>
      <w:bookmarkEnd w:id="452"/>
      <w:r>
        <w:rPr>
          <w:b/>
          <w:bCs/>
          <w:spacing w:val="24"/>
          <w:sz w:val="21"/>
          <w:szCs w:val="21"/>
        </w:rPr>
        <w:t>三</w:t>
      </w:r>
      <w:r>
        <w:rPr>
          <w:spacing w:val="24"/>
          <w:sz w:val="21"/>
          <w:szCs w:val="21"/>
        </w:rPr>
        <w:t xml:space="preserve"> </w:t>
      </w:r>
      <w:r>
        <w:rPr>
          <w:b/>
          <w:bCs/>
          <w:spacing w:val="24"/>
          <w:sz w:val="21"/>
          <w:szCs w:val="21"/>
        </w:rPr>
        <w:t>、分子流行病学展望</w:t>
      </w:r>
    </w:p>
    <w:p w14:paraId="4B9FF9A1">
      <w:pPr>
        <w:spacing w:before="242" w:line="327" w:lineRule="auto"/>
        <w:ind w:left="739" w:right="79" w:firstLine="429"/>
        <w:jc w:val="both"/>
        <w:rPr>
          <w:rFonts w:ascii="宋体" w:hAnsi="宋体" w:eastAsia="宋体" w:cs="宋体"/>
          <w:sz w:val="21"/>
          <w:szCs w:val="21"/>
        </w:rPr>
      </w:pPr>
      <w:r>
        <w:rPr>
          <w:rFonts w:ascii="宋体" w:hAnsi="宋体" w:eastAsia="宋体" w:cs="宋体"/>
          <w:spacing w:val="-3"/>
          <w:sz w:val="21"/>
          <w:szCs w:val="21"/>
        </w:rPr>
        <w:t>随着基因组学、蛋白质组学、代谢组学、暴露组学等组学研究和生物信息学等</w:t>
      </w:r>
      <w:r>
        <w:rPr>
          <w:rFonts w:ascii="宋体" w:hAnsi="宋体" w:eastAsia="宋体" w:cs="宋体"/>
          <w:spacing w:val="-4"/>
          <w:sz w:val="21"/>
          <w:szCs w:val="21"/>
        </w:rPr>
        <w:t>学科的发展与融</w:t>
      </w:r>
      <w:r>
        <w:rPr>
          <w:rFonts w:ascii="宋体" w:hAnsi="宋体" w:eastAsia="宋体" w:cs="宋体"/>
          <w:sz w:val="21"/>
          <w:szCs w:val="21"/>
        </w:rPr>
        <w:t xml:space="preserve"> </w:t>
      </w:r>
      <w:r>
        <w:rPr>
          <w:rFonts w:ascii="宋体" w:hAnsi="宋体" w:eastAsia="宋体" w:cs="宋体"/>
          <w:spacing w:val="-3"/>
          <w:sz w:val="21"/>
          <w:szCs w:val="21"/>
        </w:rPr>
        <w:t>合，以及先进的生物标志检测技术、信息技术和统计学方法等不断引入，大型生物样本库和人群队</w:t>
      </w:r>
      <w:r>
        <w:rPr>
          <w:rFonts w:ascii="宋体" w:hAnsi="宋体" w:eastAsia="宋体" w:cs="宋体"/>
          <w:spacing w:val="9"/>
          <w:sz w:val="21"/>
          <w:szCs w:val="21"/>
        </w:rPr>
        <w:t xml:space="preserve"> </w:t>
      </w:r>
      <w:r>
        <w:rPr>
          <w:rFonts w:ascii="宋体" w:hAnsi="宋体" w:eastAsia="宋体" w:cs="宋体"/>
          <w:spacing w:val="2"/>
          <w:sz w:val="21"/>
          <w:szCs w:val="21"/>
        </w:rPr>
        <w:t>列日益受到世界各国的重视，分子流行病学将面临许多新的发展机遇，但同样也面临着一些新的</w:t>
      </w:r>
      <w:r>
        <w:rPr>
          <w:rFonts w:ascii="宋体" w:hAnsi="宋体" w:eastAsia="宋体" w:cs="宋体"/>
          <w:spacing w:val="11"/>
          <w:sz w:val="21"/>
          <w:szCs w:val="21"/>
        </w:rPr>
        <w:t xml:space="preserve"> </w:t>
      </w:r>
      <w:r>
        <w:rPr>
          <w:rFonts w:ascii="宋体" w:hAnsi="宋体" w:eastAsia="宋体" w:cs="宋体"/>
          <w:spacing w:val="5"/>
          <w:sz w:val="21"/>
          <w:szCs w:val="21"/>
        </w:rPr>
        <w:t>挑战。</w:t>
      </w:r>
    </w:p>
    <w:p w14:paraId="3C688508">
      <w:pPr>
        <w:pStyle w:val="2"/>
        <w:spacing w:before="32" w:line="222" w:lineRule="auto"/>
        <w:ind w:left="1169"/>
        <w:rPr>
          <w:sz w:val="21"/>
          <w:szCs w:val="21"/>
        </w:rPr>
      </w:pPr>
      <w:r>
        <w:rPr>
          <w:spacing w:val="14"/>
          <w:sz w:val="21"/>
          <w:szCs w:val="21"/>
        </w:rPr>
        <w:t>(一)大规模队列研究的质量控制</w:t>
      </w:r>
    </w:p>
    <w:p w14:paraId="3391D3D2">
      <w:pPr>
        <w:spacing w:before="109" w:line="326" w:lineRule="auto"/>
        <w:ind w:left="739" w:right="88" w:firstLine="419"/>
        <w:jc w:val="both"/>
        <w:rPr>
          <w:rFonts w:ascii="宋体" w:hAnsi="宋体" w:eastAsia="宋体" w:cs="宋体"/>
          <w:sz w:val="21"/>
          <w:szCs w:val="21"/>
        </w:rPr>
      </w:pPr>
      <w:r>
        <w:rPr>
          <w:rFonts w:ascii="宋体" w:hAnsi="宋体" w:eastAsia="宋体" w:cs="宋体"/>
          <w:spacing w:val="-3"/>
          <w:sz w:val="21"/>
          <w:szCs w:val="21"/>
        </w:rPr>
        <w:t>大规模的队列是极为重要的研究资源，过去由于技术难度和实施成本等因素的限制，国内可供</w:t>
      </w:r>
      <w:r>
        <w:rPr>
          <w:rFonts w:ascii="宋体" w:hAnsi="宋体" w:eastAsia="宋体" w:cs="宋体"/>
          <w:sz w:val="21"/>
          <w:szCs w:val="21"/>
        </w:rPr>
        <w:t xml:space="preserve"> </w:t>
      </w:r>
      <w:r>
        <w:rPr>
          <w:rFonts w:ascii="宋体" w:hAnsi="宋体" w:eastAsia="宋体" w:cs="宋体"/>
          <w:spacing w:val="1"/>
          <w:sz w:val="21"/>
          <w:szCs w:val="21"/>
        </w:rPr>
        <w:t>系统开展分子流行病学研究的人群队列还较少，目前已经</w:t>
      </w:r>
      <w:r>
        <w:rPr>
          <w:rFonts w:ascii="宋体" w:hAnsi="宋体" w:eastAsia="宋体" w:cs="宋体"/>
          <w:sz w:val="21"/>
          <w:szCs w:val="21"/>
        </w:rPr>
        <w:t>建立如</w:t>
      </w:r>
      <w:r>
        <w:rPr>
          <w:rFonts w:ascii="Times New Roman" w:hAnsi="Times New Roman" w:eastAsia="Times New Roman" w:cs="Times New Roman"/>
          <w:sz w:val="21"/>
          <w:szCs w:val="21"/>
        </w:rPr>
        <w:t>CKB</w:t>
      </w:r>
      <w:r>
        <w:rPr>
          <w:rFonts w:ascii="Times New Roman" w:hAnsi="Times New Roman" w:eastAsia="Times New Roman" w:cs="Times New Roman"/>
          <w:spacing w:val="-17"/>
          <w:sz w:val="21"/>
          <w:szCs w:val="21"/>
        </w:rPr>
        <w:t xml:space="preserve"> </w:t>
      </w:r>
      <w:r>
        <w:rPr>
          <w:rFonts w:ascii="宋体" w:hAnsi="宋体" w:eastAsia="宋体" w:cs="宋体"/>
          <w:sz w:val="21"/>
          <w:szCs w:val="21"/>
        </w:rPr>
        <w:t xml:space="preserve">这样具有国际影响力的大型 </w:t>
      </w:r>
      <w:r>
        <w:rPr>
          <w:rFonts w:ascii="宋体" w:hAnsi="宋体" w:eastAsia="宋体" w:cs="宋体"/>
          <w:spacing w:val="-7"/>
          <w:sz w:val="21"/>
          <w:szCs w:val="21"/>
        </w:rPr>
        <w:t>队列，今后还需根据现有研究基础，有侧重地开展高质量、大规模多中心的前瞻性队列研</w:t>
      </w:r>
      <w:r>
        <w:rPr>
          <w:rFonts w:ascii="宋体" w:hAnsi="宋体" w:eastAsia="宋体" w:cs="宋体"/>
          <w:spacing w:val="-8"/>
          <w:sz w:val="21"/>
          <w:szCs w:val="21"/>
        </w:rPr>
        <w:t>究。</w:t>
      </w:r>
    </w:p>
    <w:p w14:paraId="2A88E802">
      <w:pPr>
        <w:pStyle w:val="2"/>
        <w:spacing w:before="15" w:line="222" w:lineRule="auto"/>
        <w:ind w:left="1169"/>
        <w:rPr>
          <w:sz w:val="21"/>
          <w:szCs w:val="21"/>
        </w:rPr>
      </w:pPr>
      <w:r>
        <w:rPr>
          <w:spacing w:val="16"/>
          <w:sz w:val="21"/>
          <w:szCs w:val="21"/>
        </w:rPr>
        <w:t>(二)临床转化应用研究</w:t>
      </w:r>
    </w:p>
    <w:p w14:paraId="243B51F0">
      <w:pPr>
        <w:spacing w:before="97" w:line="327" w:lineRule="auto"/>
        <w:ind w:left="739" w:right="85" w:firstLine="429"/>
        <w:jc w:val="both"/>
        <w:rPr>
          <w:rFonts w:ascii="宋体" w:hAnsi="宋体" w:eastAsia="宋体" w:cs="宋体"/>
          <w:sz w:val="21"/>
          <w:szCs w:val="21"/>
        </w:rPr>
      </w:pPr>
      <w:r>
        <w:rPr>
          <w:rFonts w:ascii="宋体" w:hAnsi="宋体" w:eastAsia="宋体" w:cs="宋体"/>
          <w:spacing w:val="-3"/>
          <w:sz w:val="21"/>
          <w:szCs w:val="21"/>
        </w:rPr>
        <w:t>目前，分子流行病学研究发现了大量具有进一步临床转化价值的生物标志与</w:t>
      </w:r>
      <w:r>
        <w:rPr>
          <w:rFonts w:ascii="宋体" w:hAnsi="宋体" w:eastAsia="宋体" w:cs="宋体"/>
          <w:spacing w:val="-4"/>
          <w:sz w:val="21"/>
          <w:szCs w:val="21"/>
        </w:rPr>
        <w:t>疾病易感性、药物</w:t>
      </w:r>
      <w:r>
        <w:rPr>
          <w:rFonts w:ascii="宋体" w:hAnsi="宋体" w:eastAsia="宋体" w:cs="宋体"/>
          <w:sz w:val="21"/>
          <w:szCs w:val="21"/>
        </w:rPr>
        <w:t xml:space="preserve"> </w:t>
      </w:r>
      <w:r>
        <w:rPr>
          <w:rFonts w:ascii="宋体" w:hAnsi="宋体" w:eastAsia="宋体" w:cs="宋体"/>
          <w:spacing w:val="-3"/>
          <w:sz w:val="21"/>
          <w:szCs w:val="21"/>
        </w:rPr>
        <w:t>敏感性、预后结局等有关，但是能够实现人群研究到临床应用转化的效</w:t>
      </w:r>
      <w:r>
        <w:rPr>
          <w:rFonts w:ascii="宋体" w:hAnsi="宋体" w:eastAsia="宋体" w:cs="宋体"/>
          <w:spacing w:val="-4"/>
          <w:sz w:val="21"/>
          <w:szCs w:val="21"/>
        </w:rPr>
        <w:t>率仍然较低。未来分子流行</w:t>
      </w:r>
      <w:r>
        <w:rPr>
          <w:rFonts w:ascii="宋体" w:hAnsi="宋体" w:eastAsia="宋体" w:cs="宋体"/>
          <w:sz w:val="21"/>
          <w:szCs w:val="21"/>
        </w:rPr>
        <w:t xml:space="preserve"> </w:t>
      </w:r>
      <w:r>
        <w:rPr>
          <w:rFonts w:ascii="宋体" w:hAnsi="宋体" w:eastAsia="宋体" w:cs="宋体"/>
          <w:spacing w:val="-2"/>
          <w:sz w:val="21"/>
          <w:szCs w:val="21"/>
        </w:rPr>
        <w:t>病学研究加强临床转化研究是该领域内研究人员的共识。</w:t>
      </w:r>
    </w:p>
    <w:p w14:paraId="01F4F430">
      <w:pPr>
        <w:pStyle w:val="2"/>
        <w:spacing w:before="5" w:line="222" w:lineRule="auto"/>
        <w:ind w:left="1169"/>
        <w:rPr>
          <w:sz w:val="21"/>
          <w:szCs w:val="21"/>
        </w:rPr>
      </w:pPr>
      <w:r>
        <w:rPr>
          <w:spacing w:val="17"/>
          <w:sz w:val="21"/>
          <w:szCs w:val="21"/>
        </w:rPr>
        <w:t>(三)基因-环境交互作用研究</w:t>
      </w:r>
    </w:p>
    <w:p w14:paraId="124BA408">
      <w:pPr>
        <w:spacing w:before="86" w:line="327" w:lineRule="auto"/>
        <w:ind w:left="739" w:right="81" w:firstLine="429"/>
        <w:jc w:val="both"/>
        <w:rPr>
          <w:rFonts w:ascii="宋体" w:hAnsi="宋体" w:eastAsia="宋体" w:cs="宋体"/>
          <w:sz w:val="21"/>
          <w:szCs w:val="21"/>
        </w:rPr>
      </w:pPr>
      <w:r>
        <w:rPr>
          <w:rFonts w:ascii="宋体" w:hAnsi="宋体" w:eastAsia="宋体" w:cs="宋体"/>
          <w:spacing w:val="2"/>
          <w:sz w:val="21"/>
          <w:szCs w:val="21"/>
        </w:rPr>
        <w:t>医学或生命科学研究不仅仅要关注人体本身，还要充分认识人所处的环境。在强调遗传生物</w:t>
      </w:r>
      <w:r>
        <w:rPr>
          <w:rFonts w:ascii="宋体" w:hAnsi="宋体" w:eastAsia="宋体" w:cs="宋体"/>
          <w:sz w:val="21"/>
          <w:szCs w:val="21"/>
        </w:rPr>
        <w:t xml:space="preserve"> </w:t>
      </w:r>
      <w:r>
        <w:rPr>
          <w:rFonts w:ascii="宋体" w:hAnsi="宋体" w:eastAsia="宋体" w:cs="宋体"/>
          <w:spacing w:val="5"/>
          <w:sz w:val="21"/>
          <w:szCs w:val="21"/>
        </w:rPr>
        <w:t>标志时不能忽略环境因素的影响，需综合评价基因-环境交互作用在</w:t>
      </w:r>
      <w:r>
        <w:rPr>
          <w:rFonts w:ascii="宋体" w:hAnsi="宋体" w:eastAsia="宋体" w:cs="宋体"/>
          <w:spacing w:val="4"/>
          <w:sz w:val="21"/>
          <w:szCs w:val="21"/>
        </w:rPr>
        <w:t>复杂性疾病发生发展中的意</w:t>
      </w:r>
      <w:r>
        <w:rPr>
          <w:rFonts w:ascii="宋体" w:hAnsi="宋体" w:eastAsia="宋体" w:cs="宋体"/>
          <w:sz w:val="21"/>
          <w:szCs w:val="21"/>
        </w:rPr>
        <w:t xml:space="preserve"> 义。人并非孤立的个体，而是和环境辩证统一的有机整体。未来在基因</w:t>
      </w:r>
      <w:r>
        <w:rPr>
          <w:rFonts w:ascii="宋体" w:hAnsi="宋体" w:eastAsia="宋体" w:cs="宋体"/>
          <w:spacing w:val="-1"/>
          <w:sz w:val="21"/>
          <w:szCs w:val="21"/>
        </w:rPr>
        <w:t>-环境交互作用研究领域还</w:t>
      </w:r>
      <w:r>
        <w:rPr>
          <w:rFonts w:ascii="宋体" w:hAnsi="宋体" w:eastAsia="宋体" w:cs="宋体"/>
          <w:sz w:val="21"/>
          <w:szCs w:val="21"/>
        </w:rPr>
        <w:t xml:space="preserve"> </w:t>
      </w:r>
      <w:r>
        <w:rPr>
          <w:rFonts w:ascii="宋体" w:hAnsi="宋体" w:eastAsia="宋体" w:cs="宋体"/>
          <w:spacing w:val="-2"/>
          <w:sz w:val="21"/>
          <w:szCs w:val="21"/>
        </w:rPr>
        <w:t>有待进一步加强探索。</w:t>
      </w:r>
    </w:p>
    <w:p w14:paraId="177658BF">
      <w:pPr>
        <w:pStyle w:val="2"/>
        <w:spacing w:before="13" w:line="221" w:lineRule="auto"/>
        <w:ind w:left="1169"/>
        <w:rPr>
          <w:sz w:val="21"/>
          <w:szCs w:val="21"/>
        </w:rPr>
      </w:pPr>
      <w:r>
        <w:rPr>
          <w:spacing w:val="20"/>
          <w:sz w:val="21"/>
          <w:szCs w:val="21"/>
        </w:rPr>
        <w:t>(四)大数据和精准医学</w:t>
      </w:r>
    </w:p>
    <w:p w14:paraId="183B4F04">
      <w:pPr>
        <w:spacing w:before="111" w:line="317" w:lineRule="auto"/>
        <w:ind w:left="739" w:right="67" w:firstLine="429"/>
        <w:jc w:val="both"/>
        <w:rPr>
          <w:rFonts w:ascii="宋体" w:hAnsi="宋体" w:eastAsia="宋体" w:cs="宋体"/>
          <w:sz w:val="21"/>
          <w:szCs w:val="21"/>
        </w:rPr>
      </w:pPr>
      <w:r>
        <w:rPr>
          <w:rFonts w:ascii="宋体" w:hAnsi="宋体" w:eastAsia="宋体" w:cs="宋体"/>
          <w:spacing w:val="-3"/>
          <w:sz w:val="21"/>
          <w:szCs w:val="21"/>
        </w:rPr>
        <w:t>当前，大数据时代的序幕已经拉开，精准医学的理念正在被越来越多的研究人员和医务人员所</w:t>
      </w:r>
      <w:r>
        <w:rPr>
          <w:rFonts w:ascii="宋体" w:hAnsi="宋体" w:eastAsia="宋体" w:cs="宋体"/>
          <w:spacing w:val="9"/>
          <w:sz w:val="21"/>
          <w:szCs w:val="21"/>
        </w:rPr>
        <w:t xml:space="preserve"> </w:t>
      </w:r>
      <w:r>
        <w:rPr>
          <w:rFonts w:ascii="宋体" w:hAnsi="宋体" w:eastAsia="宋体" w:cs="宋体"/>
          <w:spacing w:val="2"/>
          <w:sz w:val="21"/>
          <w:szCs w:val="21"/>
        </w:rPr>
        <w:t>理解和认可。多组学、大数据等新兴概念和技术以及系统流行病学的思想是精准医学得以实现的</w:t>
      </w:r>
      <w:r>
        <w:rPr>
          <w:rFonts w:ascii="宋体" w:hAnsi="宋体" w:eastAsia="宋体" w:cs="宋体"/>
          <w:spacing w:val="11"/>
          <w:sz w:val="21"/>
          <w:szCs w:val="21"/>
        </w:rPr>
        <w:t xml:space="preserve"> </w:t>
      </w:r>
      <w:r>
        <w:rPr>
          <w:rFonts w:ascii="宋体" w:hAnsi="宋体" w:eastAsia="宋体" w:cs="宋体"/>
          <w:spacing w:val="3"/>
          <w:sz w:val="21"/>
          <w:szCs w:val="21"/>
        </w:rPr>
        <w:t>重要基石。要使多维组学的海量数据充分发挥其作用</w:t>
      </w:r>
      <w:r>
        <w:rPr>
          <w:rFonts w:ascii="宋体" w:hAnsi="宋体" w:eastAsia="宋体" w:cs="宋体"/>
          <w:spacing w:val="2"/>
          <w:sz w:val="21"/>
          <w:szCs w:val="21"/>
        </w:rPr>
        <w:t>，必须将其置于分子流行病学研究的框架之</w:t>
      </w:r>
      <w:r>
        <w:rPr>
          <w:rFonts w:ascii="宋体" w:hAnsi="宋体" w:eastAsia="宋体" w:cs="宋体"/>
          <w:sz w:val="21"/>
          <w:szCs w:val="21"/>
        </w:rPr>
        <w:t xml:space="preserve"> </w:t>
      </w:r>
      <w:r>
        <w:rPr>
          <w:rFonts w:ascii="宋体" w:hAnsi="宋体" w:eastAsia="宋体" w:cs="宋体"/>
          <w:spacing w:val="-3"/>
          <w:sz w:val="21"/>
          <w:szCs w:val="21"/>
        </w:rPr>
        <w:t>下，只有这样才能赋予分子生物标志以丰富的内涵，以帮助研究者更加准确地理解人类疾病发生的</w:t>
      </w:r>
      <w:r>
        <w:rPr>
          <w:rFonts w:ascii="宋体" w:hAnsi="宋体" w:eastAsia="宋体" w:cs="宋体"/>
          <w:spacing w:val="14"/>
          <w:sz w:val="21"/>
          <w:szCs w:val="21"/>
        </w:rPr>
        <w:t xml:space="preserve"> </w:t>
      </w:r>
      <w:r>
        <w:rPr>
          <w:rFonts w:ascii="宋体" w:hAnsi="宋体" w:eastAsia="宋体" w:cs="宋体"/>
          <w:spacing w:val="-6"/>
          <w:sz w:val="21"/>
          <w:szCs w:val="21"/>
        </w:rPr>
        <w:t>生物学机制，最终实现服务人群健康。</w:t>
      </w:r>
    </w:p>
    <w:p w14:paraId="28651962">
      <w:pPr>
        <w:spacing w:before="36" w:line="321" w:lineRule="auto"/>
        <w:ind w:left="739" w:right="66" w:firstLine="429"/>
        <w:rPr>
          <w:rFonts w:ascii="宋体" w:hAnsi="宋体" w:eastAsia="宋体" w:cs="宋体"/>
          <w:sz w:val="21"/>
          <w:szCs w:val="21"/>
        </w:rPr>
      </w:pPr>
      <w:r>
        <w:rPr>
          <w:rFonts w:ascii="宋体" w:hAnsi="宋体" w:eastAsia="宋体" w:cs="宋体"/>
          <w:spacing w:val="-3"/>
          <w:sz w:val="21"/>
          <w:szCs w:val="21"/>
        </w:rPr>
        <w:t>可以预料，在今后二三十年里，随着以上问题的解决和相关学科的发展，分子流行病学研究将</w:t>
      </w:r>
      <w:r>
        <w:rPr>
          <w:rFonts w:ascii="宋体" w:hAnsi="宋体" w:eastAsia="宋体" w:cs="宋体"/>
          <w:spacing w:val="11"/>
          <w:sz w:val="21"/>
          <w:szCs w:val="21"/>
        </w:rPr>
        <w:t xml:space="preserve"> </w:t>
      </w:r>
      <w:r>
        <w:rPr>
          <w:rFonts w:ascii="宋体" w:hAnsi="宋体" w:eastAsia="宋体" w:cs="宋体"/>
          <w:spacing w:val="-3"/>
          <w:sz w:val="21"/>
          <w:szCs w:val="21"/>
        </w:rPr>
        <w:t>会更加完善和成熟，在人类防治疾病与促进健康的工作中将作出更大的贡献。</w:t>
      </w:r>
    </w:p>
    <w:p w14:paraId="3225BAD0">
      <w:pPr>
        <w:spacing w:before="1" w:line="219" w:lineRule="auto"/>
        <w:jc w:val="right"/>
        <w:rPr>
          <w:rFonts w:ascii="宋体" w:hAnsi="宋体" w:eastAsia="宋体" w:cs="宋体"/>
          <w:sz w:val="21"/>
          <w:szCs w:val="21"/>
        </w:rPr>
      </w:pPr>
      <w:r>
        <w:rPr>
          <w:rFonts w:ascii="宋体" w:hAnsi="宋体" w:eastAsia="宋体" w:cs="宋体"/>
          <w:spacing w:val="-3"/>
          <w:sz w:val="21"/>
          <w:szCs w:val="21"/>
        </w:rPr>
        <w:t>(胡志斌</w:t>
      </w:r>
      <w:r>
        <w:rPr>
          <w:rFonts w:ascii="宋体" w:hAnsi="宋体" w:eastAsia="宋体" w:cs="宋体"/>
          <w:spacing w:val="100"/>
          <w:sz w:val="21"/>
          <w:szCs w:val="21"/>
        </w:rPr>
        <w:t xml:space="preserve"> </w:t>
      </w:r>
      <w:r>
        <w:rPr>
          <w:rFonts w:ascii="宋体" w:hAnsi="宋体" w:eastAsia="宋体" w:cs="宋体"/>
          <w:spacing w:val="-3"/>
          <w:sz w:val="21"/>
          <w:szCs w:val="21"/>
        </w:rPr>
        <w:t>杭 栋</w:t>
      </w:r>
      <w:r>
        <w:rPr>
          <w:rFonts w:ascii="宋体" w:hAnsi="宋体" w:eastAsia="宋体" w:cs="宋体"/>
          <w:spacing w:val="-7"/>
          <w:sz w:val="21"/>
          <w:szCs w:val="21"/>
        </w:rPr>
        <w:t xml:space="preserve"> </w:t>
      </w:r>
      <w:r>
        <w:rPr>
          <w:rFonts w:ascii="宋体" w:hAnsi="宋体" w:eastAsia="宋体" w:cs="宋体"/>
          <w:spacing w:val="-3"/>
          <w:sz w:val="21"/>
          <w:szCs w:val="21"/>
        </w:rPr>
        <w:t>)</w:t>
      </w:r>
    </w:p>
    <w:p w14:paraId="1D480604">
      <w:pPr>
        <w:spacing w:line="253" w:lineRule="auto"/>
        <w:rPr>
          <w:rFonts w:ascii="Arial"/>
          <w:sz w:val="21"/>
        </w:rPr>
      </w:pPr>
    </w:p>
    <w:p w14:paraId="4AD94FCD">
      <w:pPr>
        <w:spacing w:line="253" w:lineRule="auto"/>
        <w:rPr>
          <w:rFonts w:ascii="Arial"/>
          <w:sz w:val="21"/>
        </w:rPr>
      </w:pPr>
    </w:p>
    <w:p w14:paraId="55A3A3B1">
      <w:pPr>
        <w:spacing w:line="253" w:lineRule="auto"/>
        <w:rPr>
          <w:rFonts w:ascii="Arial"/>
          <w:sz w:val="21"/>
        </w:rPr>
      </w:pPr>
    </w:p>
    <w:p w14:paraId="35A9790D">
      <w:pPr>
        <w:pStyle w:val="2"/>
        <w:spacing w:before="85" w:line="222" w:lineRule="auto"/>
        <w:ind w:left="1173"/>
        <w:rPr>
          <w:sz w:val="26"/>
          <w:szCs w:val="26"/>
        </w:rPr>
      </w:pPr>
      <w:r>
        <w:rPr>
          <w:b/>
          <w:bCs/>
          <w:spacing w:val="-5"/>
          <w:sz w:val="26"/>
          <w:szCs w:val="26"/>
        </w:rPr>
        <w:t>思考题</w:t>
      </w:r>
    </w:p>
    <w:p w14:paraId="571FB797">
      <w:pPr>
        <w:spacing w:before="78" w:line="219" w:lineRule="auto"/>
        <w:ind w:left="1999"/>
        <w:rPr>
          <w:rFonts w:ascii="宋体" w:hAnsi="宋体" w:eastAsia="宋体" w:cs="宋体"/>
          <w:sz w:val="21"/>
          <w:szCs w:val="21"/>
        </w:rPr>
      </w:pPr>
      <w:r>
        <w:rPr>
          <w:rFonts w:ascii="宋体" w:hAnsi="宋体" w:eastAsia="宋体" w:cs="宋体"/>
          <w:spacing w:val="-2"/>
          <w:sz w:val="21"/>
          <w:szCs w:val="21"/>
        </w:rPr>
        <w:t>1.</w:t>
      </w:r>
      <w:r>
        <w:rPr>
          <w:rFonts w:ascii="宋体" w:hAnsi="宋体" w:eastAsia="宋体" w:cs="宋体"/>
          <w:spacing w:val="-43"/>
          <w:sz w:val="21"/>
          <w:szCs w:val="21"/>
        </w:rPr>
        <w:t xml:space="preserve"> </w:t>
      </w:r>
      <w:r>
        <w:rPr>
          <w:rFonts w:ascii="宋体" w:hAnsi="宋体" w:eastAsia="宋体" w:cs="宋体"/>
          <w:spacing w:val="-2"/>
          <w:sz w:val="21"/>
          <w:szCs w:val="21"/>
        </w:rPr>
        <w:t>试述分子流行病学与传统流行病学的联系及区别。</w:t>
      </w:r>
    </w:p>
    <w:p w14:paraId="7C2C8C2D">
      <w:pPr>
        <w:spacing w:before="122" w:line="219" w:lineRule="auto"/>
        <w:ind w:left="1999"/>
        <w:rPr>
          <w:rFonts w:ascii="宋体" w:hAnsi="宋体" w:eastAsia="宋体" w:cs="宋体"/>
          <w:sz w:val="21"/>
          <w:szCs w:val="21"/>
        </w:rPr>
      </w:pPr>
      <w:r>
        <w:rPr>
          <w:rFonts w:ascii="宋体" w:hAnsi="宋体" w:eastAsia="宋体" w:cs="宋体"/>
          <w:sz w:val="21"/>
          <w:szCs w:val="21"/>
        </w:rPr>
        <w:t>2.</w:t>
      </w:r>
      <w:r>
        <w:rPr>
          <w:rFonts w:ascii="宋体" w:hAnsi="宋体" w:eastAsia="宋体" w:cs="宋体"/>
          <w:spacing w:val="-51"/>
          <w:sz w:val="21"/>
          <w:szCs w:val="21"/>
        </w:rPr>
        <w:t xml:space="preserve"> </w:t>
      </w:r>
      <w:r>
        <w:rPr>
          <w:rFonts w:ascii="宋体" w:hAnsi="宋体" w:eastAsia="宋体" w:cs="宋体"/>
          <w:sz w:val="21"/>
          <w:szCs w:val="21"/>
        </w:rPr>
        <w:t>生物标志有哪些类型?</w:t>
      </w:r>
    </w:p>
    <w:p w14:paraId="5314D86B">
      <w:pPr>
        <w:spacing w:before="119" w:line="219" w:lineRule="auto"/>
        <w:ind w:left="1999"/>
        <w:rPr>
          <w:rFonts w:ascii="宋体" w:hAnsi="宋体" w:eastAsia="宋体" w:cs="宋体"/>
          <w:sz w:val="21"/>
          <w:szCs w:val="21"/>
        </w:rPr>
      </w:pPr>
      <w:r>
        <w:rPr>
          <w:rFonts w:ascii="宋体" w:hAnsi="宋体" w:eastAsia="宋体" w:cs="宋体"/>
          <w:spacing w:val="-2"/>
          <w:sz w:val="21"/>
          <w:szCs w:val="21"/>
        </w:rPr>
        <w:t>3.</w:t>
      </w:r>
      <w:r>
        <w:rPr>
          <w:rFonts w:ascii="宋体" w:hAnsi="宋体" w:eastAsia="宋体" w:cs="宋体"/>
          <w:spacing w:val="-49"/>
          <w:sz w:val="21"/>
          <w:szCs w:val="21"/>
        </w:rPr>
        <w:t xml:space="preserve"> </w:t>
      </w:r>
      <w:r>
        <w:rPr>
          <w:rFonts w:ascii="宋体" w:hAnsi="宋体" w:eastAsia="宋体" w:cs="宋体"/>
          <w:spacing w:val="-2"/>
          <w:sz w:val="21"/>
          <w:szCs w:val="21"/>
        </w:rPr>
        <w:t>分子流行病学的研究设计方法有哪些?</w:t>
      </w:r>
    </w:p>
    <w:p w14:paraId="062B54D9">
      <w:pPr>
        <w:spacing w:before="121" w:line="219" w:lineRule="auto"/>
        <w:ind w:left="1999"/>
        <w:rPr>
          <w:rFonts w:ascii="宋体" w:hAnsi="宋体" w:eastAsia="宋体" w:cs="宋体"/>
          <w:sz w:val="21"/>
          <w:szCs w:val="21"/>
        </w:rPr>
      </w:pPr>
      <w:r>
        <w:rPr>
          <w:rFonts w:ascii="宋体" w:hAnsi="宋体" w:eastAsia="宋体" w:cs="宋体"/>
          <w:sz w:val="21"/>
          <w:szCs w:val="21"/>
        </w:rPr>
        <w:t>4.</w:t>
      </w:r>
      <w:r>
        <w:rPr>
          <w:rFonts w:ascii="宋体" w:hAnsi="宋体" w:eastAsia="宋体" w:cs="宋体"/>
          <w:spacing w:val="-41"/>
          <w:sz w:val="21"/>
          <w:szCs w:val="21"/>
        </w:rPr>
        <w:t xml:space="preserve"> </w:t>
      </w:r>
      <w:r>
        <w:rPr>
          <w:rFonts w:ascii="宋体" w:hAnsi="宋体" w:eastAsia="宋体" w:cs="宋体"/>
          <w:sz w:val="21"/>
          <w:szCs w:val="21"/>
        </w:rPr>
        <w:t>分子流行病学在传染性疾病及慢性非传染性疾病的防治中各有哪</w:t>
      </w:r>
      <w:r>
        <w:rPr>
          <w:rFonts w:ascii="宋体" w:hAnsi="宋体" w:eastAsia="宋体" w:cs="宋体"/>
          <w:sz w:val="21"/>
          <w:szCs w:val="21"/>
          <w:u w:val="single" w:color="auto"/>
        </w:rPr>
        <w:t>些应</w:t>
      </w:r>
      <w:r>
        <w:rPr>
          <w:rFonts w:ascii="宋体" w:hAnsi="宋体" w:eastAsia="宋体" w:cs="宋体"/>
          <w:sz w:val="21"/>
          <w:szCs w:val="21"/>
        </w:rPr>
        <w:t>用?</w:t>
      </w:r>
    </w:p>
    <w:p w14:paraId="52F2ECB0">
      <w:pPr>
        <w:spacing w:before="123" w:line="219" w:lineRule="auto"/>
        <w:ind w:left="1999"/>
        <w:rPr>
          <w:rFonts w:ascii="宋体" w:hAnsi="宋体" w:eastAsia="宋体" w:cs="宋体"/>
          <w:sz w:val="21"/>
          <w:szCs w:val="21"/>
        </w:rPr>
      </w:pPr>
      <w:r>
        <w:rPr>
          <w:rFonts w:ascii="宋体" w:hAnsi="宋体" w:eastAsia="宋体" w:cs="宋体"/>
          <w:spacing w:val="-1"/>
          <w:sz w:val="21"/>
          <w:szCs w:val="21"/>
        </w:rPr>
        <w:t>5.</w:t>
      </w:r>
      <w:r>
        <w:rPr>
          <w:rFonts w:ascii="宋体" w:hAnsi="宋体" w:eastAsia="宋体" w:cs="宋体"/>
          <w:spacing w:val="-53"/>
          <w:sz w:val="21"/>
          <w:szCs w:val="21"/>
        </w:rPr>
        <w:t xml:space="preserve"> </w:t>
      </w:r>
      <w:r>
        <w:rPr>
          <w:rFonts w:ascii="宋体" w:hAnsi="宋体" w:eastAsia="宋体" w:cs="宋体"/>
          <w:spacing w:val="-1"/>
          <w:sz w:val="21"/>
          <w:szCs w:val="21"/>
        </w:rPr>
        <w:t>分子流行病学有哪些常用的生物学检测技</w:t>
      </w:r>
      <w:r>
        <w:rPr>
          <w:rFonts w:ascii="宋体" w:hAnsi="宋体" w:eastAsia="宋体" w:cs="宋体"/>
          <w:spacing w:val="-2"/>
          <w:sz w:val="21"/>
          <w:szCs w:val="21"/>
        </w:rPr>
        <w:t>术?</w:t>
      </w:r>
    </w:p>
    <w:p w14:paraId="61BDD550">
      <w:pPr>
        <w:spacing w:line="219" w:lineRule="auto"/>
        <w:rPr>
          <w:rFonts w:ascii="宋体" w:hAnsi="宋体" w:eastAsia="宋体" w:cs="宋体"/>
          <w:sz w:val="21"/>
          <w:szCs w:val="21"/>
        </w:rPr>
        <w:sectPr>
          <w:footerReference r:id="rId293" w:type="default"/>
          <w:pgSz w:w="11900" w:h="16820"/>
          <w:pgMar w:top="400" w:right="1414" w:bottom="944" w:left="750" w:header="0" w:footer="754" w:gutter="0"/>
          <w:cols w:space="720" w:num="1"/>
        </w:sectPr>
      </w:pPr>
    </w:p>
    <w:p w14:paraId="5E57E2B0">
      <w:pPr>
        <w:spacing w:line="248" w:lineRule="auto"/>
        <w:rPr>
          <w:rFonts w:ascii="Arial"/>
          <w:sz w:val="21"/>
        </w:rPr>
      </w:pPr>
    </w:p>
    <w:p w14:paraId="32DD243F">
      <w:pPr>
        <w:spacing w:line="249" w:lineRule="auto"/>
        <w:rPr>
          <w:rFonts w:ascii="Arial"/>
          <w:sz w:val="21"/>
        </w:rPr>
      </w:pPr>
    </w:p>
    <w:p w14:paraId="781560F7">
      <w:pPr>
        <w:spacing w:line="249" w:lineRule="auto"/>
        <w:rPr>
          <w:rFonts w:ascii="Arial"/>
          <w:sz w:val="21"/>
        </w:rPr>
      </w:pPr>
    </w:p>
    <w:p w14:paraId="335AC9DB">
      <w:pPr>
        <w:spacing w:line="249" w:lineRule="auto"/>
        <w:rPr>
          <w:rFonts w:ascii="Arial"/>
          <w:sz w:val="21"/>
        </w:rPr>
      </w:pPr>
    </w:p>
    <w:p w14:paraId="10BBBFEE">
      <w:pPr>
        <w:pStyle w:val="2"/>
        <w:spacing w:before="94" w:line="222" w:lineRule="auto"/>
        <w:ind w:left="3884"/>
        <w:outlineLvl w:val="0"/>
        <w:rPr>
          <w:sz w:val="29"/>
          <w:szCs w:val="29"/>
        </w:rPr>
      </w:pPr>
      <w:r>
        <w:drawing>
          <wp:anchor distT="0" distB="0" distL="0" distR="0" simplePos="0" relativeHeight="251925504" behindDoc="0" locked="0" layoutInCell="1" allowOverlap="1">
            <wp:simplePos x="0" y="0"/>
            <wp:positionH relativeFrom="column">
              <wp:posOffset>5080000</wp:posOffset>
            </wp:positionH>
            <wp:positionV relativeFrom="paragraph">
              <wp:posOffset>68580</wp:posOffset>
            </wp:positionV>
            <wp:extent cx="565150" cy="603250"/>
            <wp:effectExtent l="0" t="0" r="0" b="0"/>
            <wp:wrapNone/>
            <wp:docPr id="748" name="IM 748"/>
            <wp:cNvGraphicFramePr/>
            <a:graphic xmlns:a="http://schemas.openxmlformats.org/drawingml/2006/main">
              <a:graphicData uri="http://schemas.openxmlformats.org/drawingml/2006/picture">
                <pic:pic xmlns:pic="http://schemas.openxmlformats.org/drawingml/2006/picture">
                  <pic:nvPicPr>
                    <pic:cNvPr id="748" name="IM 748"/>
                    <pic:cNvPicPr/>
                  </pic:nvPicPr>
                  <pic:blipFill>
                    <a:blip r:embed="rId669"/>
                    <a:stretch>
                      <a:fillRect/>
                    </a:stretch>
                  </pic:blipFill>
                  <pic:spPr>
                    <a:xfrm>
                      <a:off x="0" y="0"/>
                      <a:ext cx="565150" cy="603246"/>
                    </a:xfrm>
                    <a:prstGeom prst="rect">
                      <a:avLst/>
                    </a:prstGeom>
                  </pic:spPr>
                </pic:pic>
              </a:graphicData>
            </a:graphic>
          </wp:anchor>
        </w:drawing>
      </w:r>
      <w:bookmarkStart w:id="453" w:name="bookmark289"/>
      <w:bookmarkEnd w:id="453"/>
      <w:r>
        <w:rPr>
          <w:b/>
          <w:bCs/>
          <w:sz w:val="29"/>
          <w:szCs w:val="29"/>
        </w:rPr>
        <w:t>第十八章</w:t>
      </w:r>
    </w:p>
    <w:p w14:paraId="1C46F1EE">
      <w:pPr>
        <w:pStyle w:val="2"/>
        <w:spacing w:before="113" w:line="221" w:lineRule="auto"/>
        <w:ind w:left="2466"/>
        <w:outlineLvl w:val="0"/>
        <w:rPr>
          <w:sz w:val="44"/>
          <w:szCs w:val="44"/>
        </w:rPr>
      </w:pPr>
      <w:bookmarkStart w:id="454" w:name="bookmark552"/>
      <w:bookmarkEnd w:id="454"/>
      <w:bookmarkStart w:id="455" w:name="bookmark289"/>
      <w:bookmarkEnd w:id="455"/>
      <w:r>
        <w:rPr>
          <w:b/>
          <w:bCs/>
          <w:spacing w:val="-1"/>
          <w:sz w:val="44"/>
          <w:szCs w:val="44"/>
        </w:rPr>
        <w:t>循证医学与系统综述</w:t>
      </w:r>
    </w:p>
    <w:p w14:paraId="1CCD12E4">
      <w:pPr>
        <w:spacing w:before="145" w:line="440" w:lineRule="exact"/>
        <w:ind w:firstLine="8830"/>
      </w:pPr>
      <w:r>
        <w:rPr>
          <w:position w:val="-8"/>
        </w:rPr>
        <w:drawing>
          <wp:inline distT="0" distB="0" distL="0" distR="0">
            <wp:extent cx="335915" cy="279400"/>
            <wp:effectExtent l="0" t="0" r="0" b="0"/>
            <wp:docPr id="750" name="IM 750"/>
            <wp:cNvGraphicFramePr/>
            <a:graphic xmlns:a="http://schemas.openxmlformats.org/drawingml/2006/main">
              <a:graphicData uri="http://schemas.openxmlformats.org/drawingml/2006/picture">
                <pic:pic xmlns:pic="http://schemas.openxmlformats.org/drawingml/2006/picture">
                  <pic:nvPicPr>
                    <pic:cNvPr id="750" name="IM 750"/>
                    <pic:cNvPicPr/>
                  </pic:nvPicPr>
                  <pic:blipFill>
                    <a:blip r:embed="rId670"/>
                    <a:stretch>
                      <a:fillRect/>
                    </a:stretch>
                  </pic:blipFill>
                  <pic:spPr>
                    <a:xfrm>
                      <a:off x="0" y="0"/>
                      <a:ext cx="336491" cy="279406"/>
                    </a:xfrm>
                    <a:prstGeom prst="rect">
                      <a:avLst/>
                    </a:prstGeom>
                  </pic:spPr>
                </pic:pic>
              </a:graphicData>
            </a:graphic>
          </wp:inline>
        </w:drawing>
      </w:r>
    </w:p>
    <w:p w14:paraId="400936A1">
      <w:pPr>
        <w:rPr>
          <w:rFonts w:ascii="Arial"/>
          <w:sz w:val="21"/>
        </w:rPr>
      </w:pPr>
    </w:p>
    <w:p w14:paraId="72CCC276">
      <w:pPr>
        <w:spacing w:before="83" w:line="198" w:lineRule="auto"/>
        <w:ind w:left="319"/>
        <w:rPr>
          <w:rFonts w:ascii="Arial" w:hAnsi="Arial" w:eastAsia="Arial" w:cs="Arial"/>
          <w:sz w:val="29"/>
          <w:szCs w:val="29"/>
        </w:rPr>
      </w:pPr>
      <w:r>
        <w:rPr>
          <w:rFonts w:ascii="Arial" w:hAnsi="Arial" w:eastAsia="Arial" w:cs="Arial"/>
          <w:b/>
          <w:bCs/>
          <w:spacing w:val="-4"/>
          <w:sz w:val="29"/>
          <w:szCs w:val="29"/>
        </w:rPr>
        <w:t>Chapter 18</w:t>
      </w:r>
      <w:r>
        <w:rPr>
          <w:rFonts w:ascii="Arial" w:hAnsi="Arial" w:eastAsia="Arial" w:cs="Arial"/>
          <w:b/>
          <w:bCs/>
          <w:spacing w:val="19"/>
          <w:sz w:val="29"/>
          <w:szCs w:val="29"/>
        </w:rPr>
        <w:t xml:space="preserve"> </w:t>
      </w:r>
      <w:r>
        <w:rPr>
          <w:rFonts w:ascii="Arial" w:hAnsi="Arial" w:eastAsia="Arial" w:cs="Arial"/>
          <w:b/>
          <w:bCs/>
          <w:spacing w:val="-4"/>
          <w:sz w:val="29"/>
          <w:szCs w:val="29"/>
        </w:rPr>
        <w:t>Evidence-Based</w:t>
      </w:r>
      <w:r>
        <w:rPr>
          <w:rFonts w:ascii="Arial" w:hAnsi="Arial" w:eastAsia="Arial" w:cs="Arial"/>
          <w:b/>
          <w:bCs/>
          <w:spacing w:val="19"/>
          <w:sz w:val="29"/>
          <w:szCs w:val="29"/>
        </w:rPr>
        <w:t xml:space="preserve"> </w:t>
      </w:r>
      <w:r>
        <w:rPr>
          <w:rFonts w:ascii="Arial" w:hAnsi="Arial" w:eastAsia="Arial" w:cs="Arial"/>
          <w:b/>
          <w:bCs/>
          <w:spacing w:val="-4"/>
          <w:sz w:val="29"/>
          <w:szCs w:val="29"/>
        </w:rPr>
        <w:t>Med</w:t>
      </w:r>
      <w:r>
        <w:rPr>
          <w:rFonts w:ascii="Arial" w:hAnsi="Arial" w:eastAsia="Arial" w:cs="Arial"/>
          <w:b/>
          <w:bCs/>
          <w:spacing w:val="-5"/>
          <w:sz w:val="29"/>
          <w:szCs w:val="29"/>
        </w:rPr>
        <w:t>icine and Systematic</w:t>
      </w:r>
      <w:r>
        <w:rPr>
          <w:rFonts w:ascii="Arial" w:hAnsi="Arial" w:eastAsia="Arial" w:cs="Arial"/>
          <w:b/>
          <w:bCs/>
          <w:spacing w:val="19"/>
          <w:sz w:val="29"/>
          <w:szCs w:val="29"/>
        </w:rPr>
        <w:t xml:space="preserve"> </w:t>
      </w:r>
      <w:r>
        <w:rPr>
          <w:rFonts w:ascii="Arial" w:hAnsi="Arial" w:eastAsia="Arial" w:cs="Arial"/>
          <w:b/>
          <w:bCs/>
          <w:spacing w:val="-5"/>
          <w:sz w:val="29"/>
          <w:szCs w:val="29"/>
        </w:rPr>
        <w:t>Review</w:t>
      </w:r>
    </w:p>
    <w:p w14:paraId="5EE1135E">
      <w:pPr>
        <w:spacing w:line="416" w:lineRule="auto"/>
        <w:rPr>
          <w:rFonts w:ascii="Arial"/>
          <w:sz w:val="21"/>
        </w:rPr>
      </w:pPr>
    </w:p>
    <w:p w14:paraId="475CC90D">
      <w:pPr>
        <w:spacing w:before="57" w:line="373" w:lineRule="auto"/>
        <w:ind w:right="638" w:firstLine="369"/>
        <w:jc w:val="both"/>
        <w:rPr>
          <w:rFonts w:ascii="Times New Roman" w:hAnsi="Times New Roman" w:eastAsia="Times New Roman" w:cs="Times New Roman"/>
          <w:sz w:val="20"/>
          <w:szCs w:val="20"/>
        </w:rPr>
      </w:pPr>
      <w:r>
        <w:rPr>
          <w:rFonts w:ascii="Times New Roman" w:hAnsi="Times New Roman" w:eastAsia="Times New Roman" w:cs="Times New Roman"/>
          <w:sz w:val="20"/>
          <w:szCs w:val="20"/>
        </w:rPr>
        <w:t>Evidence-based  medicine(EBM)is  the   science  and</w:t>
      </w:r>
      <w:r>
        <w:rPr>
          <w:rFonts w:ascii="Times New Roman" w:hAnsi="Times New Roman" w:eastAsia="Times New Roman" w:cs="Times New Roman"/>
          <w:spacing w:val="11"/>
          <w:sz w:val="20"/>
          <w:szCs w:val="20"/>
        </w:rPr>
        <w:t xml:space="preserve">  </w:t>
      </w:r>
      <w:r>
        <w:rPr>
          <w:rFonts w:ascii="Times New Roman" w:hAnsi="Times New Roman" w:eastAsia="Times New Roman" w:cs="Times New Roman"/>
          <w:sz w:val="20"/>
          <w:szCs w:val="20"/>
        </w:rPr>
        <w:t>art</w:t>
      </w:r>
      <w:r>
        <w:rPr>
          <w:rFonts w:ascii="Times New Roman" w:hAnsi="Times New Roman" w:eastAsia="Times New Roman" w:cs="Times New Roman"/>
          <w:spacing w:val="11"/>
          <w:sz w:val="20"/>
          <w:szCs w:val="20"/>
        </w:rPr>
        <w:t xml:space="preserve">  </w:t>
      </w:r>
      <w:r>
        <w:rPr>
          <w:rFonts w:ascii="Times New Roman" w:hAnsi="Times New Roman" w:eastAsia="Times New Roman" w:cs="Times New Roman"/>
          <w:sz w:val="20"/>
          <w:szCs w:val="20"/>
        </w:rPr>
        <w:t>of  making</w:t>
      </w:r>
      <w:r>
        <w:rPr>
          <w:rFonts w:ascii="Times New Roman" w:hAnsi="Times New Roman" w:eastAsia="Times New Roman" w:cs="Times New Roman"/>
          <w:spacing w:val="11"/>
          <w:sz w:val="20"/>
          <w:szCs w:val="20"/>
        </w:rPr>
        <w:t xml:space="preserve">  </w:t>
      </w:r>
      <w:r>
        <w:rPr>
          <w:rFonts w:ascii="Times New Roman" w:hAnsi="Times New Roman" w:eastAsia="Times New Roman" w:cs="Times New Roman"/>
          <w:sz w:val="20"/>
          <w:szCs w:val="20"/>
        </w:rPr>
        <w:t>clinieal</w:t>
      </w:r>
      <w:r>
        <w:rPr>
          <w:rFonts w:ascii="Times New Roman" w:hAnsi="Times New Roman" w:eastAsia="Times New Roman" w:cs="Times New Roman"/>
          <w:spacing w:val="11"/>
          <w:sz w:val="20"/>
          <w:szCs w:val="20"/>
        </w:rPr>
        <w:t xml:space="preserve">  </w:t>
      </w:r>
      <w:r>
        <w:rPr>
          <w:rFonts w:ascii="Times New Roman" w:hAnsi="Times New Roman" w:eastAsia="Times New Roman" w:cs="Times New Roman"/>
          <w:sz w:val="20"/>
          <w:szCs w:val="20"/>
        </w:rPr>
        <w:t>and  healthcare</w:t>
      </w:r>
      <w:r>
        <w:rPr>
          <w:rFonts w:ascii="Times New Roman" w:hAnsi="Times New Roman" w:eastAsia="Times New Roman" w:cs="Times New Roman"/>
          <w:spacing w:val="11"/>
          <w:sz w:val="20"/>
          <w:szCs w:val="20"/>
        </w:rPr>
        <w:t xml:space="preserve">  </w:t>
      </w:r>
      <w:r>
        <w:rPr>
          <w:rFonts w:ascii="Times New Roman" w:hAnsi="Times New Roman" w:eastAsia="Times New Roman" w:cs="Times New Roman"/>
          <w:sz w:val="20"/>
          <w:szCs w:val="20"/>
        </w:rPr>
        <w:t>dec</w:t>
      </w:r>
      <w:r>
        <w:rPr>
          <w:rFonts w:ascii="Times New Roman" w:hAnsi="Times New Roman" w:eastAsia="Times New Roman" w:cs="Times New Roman"/>
          <w:spacing w:val="-1"/>
          <w:sz w:val="20"/>
          <w:szCs w:val="20"/>
        </w:rPr>
        <w:t>isions</w:t>
      </w:r>
      <w:r>
        <w:rPr>
          <w:rFonts w:ascii="Times New Roman" w:hAnsi="Times New Roman" w:eastAsia="Times New Roman" w:cs="Times New Roman"/>
          <w:sz w:val="20"/>
          <w:szCs w:val="20"/>
        </w:rPr>
        <w:t xml:space="preserve"> consistent  with  the  current  best  evidence  and  taking  into  account  availab</w:t>
      </w:r>
      <w:r>
        <w:rPr>
          <w:rFonts w:ascii="Times New Roman" w:hAnsi="Times New Roman" w:eastAsia="Times New Roman" w:cs="Times New Roman"/>
          <w:spacing w:val="-1"/>
          <w:sz w:val="20"/>
          <w:szCs w:val="20"/>
        </w:rPr>
        <w:t>le  resources  and  patients'needs</w:t>
      </w:r>
      <w:r>
        <w:rPr>
          <w:rFonts w:ascii="Times New Roman" w:hAnsi="Times New Roman" w:eastAsia="Times New Roman" w:cs="Times New Roman"/>
          <w:sz w:val="20"/>
          <w:szCs w:val="20"/>
        </w:rPr>
        <w:t xml:space="preserve"> and</w:t>
      </w:r>
      <w:r>
        <w:rPr>
          <w:rFonts w:ascii="Times New Roman" w:hAnsi="Times New Roman" w:eastAsia="Times New Roman" w:cs="Times New Roman"/>
          <w:spacing w:val="25"/>
          <w:w w:val="101"/>
          <w:sz w:val="20"/>
          <w:szCs w:val="20"/>
        </w:rPr>
        <w:t xml:space="preserve"> </w:t>
      </w:r>
      <w:r>
        <w:rPr>
          <w:rFonts w:ascii="Times New Roman" w:hAnsi="Times New Roman" w:eastAsia="Times New Roman" w:cs="Times New Roman"/>
          <w:sz w:val="20"/>
          <w:szCs w:val="20"/>
        </w:rPr>
        <w:t>values.The</w:t>
      </w:r>
      <w:r>
        <w:rPr>
          <w:rFonts w:ascii="Times New Roman" w:hAnsi="Times New Roman" w:eastAsia="Times New Roman" w:cs="Times New Roman"/>
          <w:spacing w:val="23"/>
          <w:sz w:val="20"/>
          <w:szCs w:val="20"/>
        </w:rPr>
        <w:t xml:space="preserve"> </w:t>
      </w:r>
      <w:r>
        <w:rPr>
          <w:rFonts w:ascii="Times New Roman" w:hAnsi="Times New Roman" w:eastAsia="Times New Roman" w:cs="Times New Roman"/>
          <w:sz w:val="20"/>
          <w:szCs w:val="20"/>
        </w:rPr>
        <w:t>practice</w:t>
      </w:r>
      <w:r>
        <w:rPr>
          <w:rFonts w:ascii="Times New Roman" w:hAnsi="Times New Roman" w:eastAsia="Times New Roman" w:cs="Times New Roman"/>
          <w:spacing w:val="30"/>
          <w:w w:val="101"/>
          <w:sz w:val="20"/>
          <w:szCs w:val="20"/>
        </w:rPr>
        <w:t xml:space="preserve"> </w:t>
      </w:r>
      <w:r>
        <w:rPr>
          <w:rFonts w:ascii="Times New Roman" w:hAnsi="Times New Roman" w:eastAsia="Times New Roman" w:cs="Times New Roman"/>
          <w:sz w:val="20"/>
          <w:szCs w:val="20"/>
        </w:rPr>
        <w:t>of EBM</w:t>
      </w:r>
      <w:r>
        <w:rPr>
          <w:rFonts w:ascii="Times New Roman" w:hAnsi="Times New Roman" w:eastAsia="Times New Roman" w:cs="Times New Roman"/>
          <w:spacing w:val="24"/>
          <w:w w:val="101"/>
          <w:sz w:val="20"/>
          <w:szCs w:val="20"/>
        </w:rPr>
        <w:t xml:space="preserve"> </w:t>
      </w:r>
      <w:r>
        <w:rPr>
          <w:rFonts w:ascii="Times New Roman" w:hAnsi="Times New Roman" w:eastAsia="Times New Roman" w:cs="Times New Roman"/>
          <w:sz w:val="20"/>
          <w:szCs w:val="20"/>
        </w:rPr>
        <w:t>requires</w:t>
      </w:r>
      <w:r>
        <w:rPr>
          <w:rFonts w:ascii="Times New Roman" w:hAnsi="Times New Roman" w:eastAsia="Times New Roman" w:cs="Times New Roman"/>
          <w:spacing w:val="23"/>
          <w:w w:val="101"/>
          <w:sz w:val="20"/>
          <w:szCs w:val="20"/>
        </w:rPr>
        <w:t xml:space="preserve"> </w:t>
      </w:r>
      <w:r>
        <w:rPr>
          <w:rFonts w:ascii="Times New Roman" w:hAnsi="Times New Roman" w:eastAsia="Times New Roman" w:cs="Times New Roman"/>
          <w:sz w:val="20"/>
          <w:szCs w:val="20"/>
        </w:rPr>
        <w:t>busy</w:t>
      </w:r>
      <w:r>
        <w:rPr>
          <w:rFonts w:ascii="Times New Roman" w:hAnsi="Times New Roman" w:eastAsia="Times New Roman" w:cs="Times New Roman"/>
          <w:spacing w:val="30"/>
          <w:sz w:val="20"/>
          <w:szCs w:val="20"/>
        </w:rPr>
        <w:t xml:space="preserve"> </w:t>
      </w:r>
      <w:r>
        <w:rPr>
          <w:rFonts w:ascii="Times New Roman" w:hAnsi="Times New Roman" w:eastAsia="Times New Roman" w:cs="Times New Roman"/>
          <w:sz w:val="20"/>
          <w:szCs w:val="20"/>
        </w:rPr>
        <w:t>clinicians</w:t>
      </w:r>
      <w:r>
        <w:rPr>
          <w:rFonts w:ascii="Times New Roman" w:hAnsi="Times New Roman" w:eastAsia="Times New Roman" w:cs="Times New Roman"/>
          <w:spacing w:val="31"/>
          <w:sz w:val="20"/>
          <w:szCs w:val="20"/>
        </w:rPr>
        <w:t xml:space="preserve"> </w:t>
      </w:r>
      <w:r>
        <w:rPr>
          <w:rFonts w:ascii="Times New Roman" w:hAnsi="Times New Roman" w:eastAsia="Times New Roman" w:cs="Times New Roman"/>
          <w:sz w:val="20"/>
          <w:szCs w:val="20"/>
        </w:rPr>
        <w:t>and</w:t>
      </w:r>
      <w:r>
        <w:rPr>
          <w:rFonts w:ascii="Times New Roman" w:hAnsi="Times New Roman" w:eastAsia="Times New Roman" w:cs="Times New Roman"/>
          <w:spacing w:val="22"/>
          <w:w w:val="101"/>
          <w:sz w:val="20"/>
          <w:szCs w:val="20"/>
        </w:rPr>
        <w:t xml:space="preserve"> </w:t>
      </w:r>
      <w:r>
        <w:rPr>
          <w:rFonts w:ascii="Times New Roman" w:hAnsi="Times New Roman" w:eastAsia="Times New Roman" w:cs="Times New Roman"/>
          <w:sz w:val="20"/>
          <w:szCs w:val="20"/>
        </w:rPr>
        <w:t>policy-ma</w:t>
      </w:r>
      <w:r>
        <w:rPr>
          <w:rFonts w:ascii="Times New Roman" w:hAnsi="Times New Roman" w:eastAsia="Times New Roman" w:cs="Times New Roman"/>
          <w:spacing w:val="-1"/>
          <w:sz w:val="20"/>
          <w:szCs w:val="20"/>
        </w:rPr>
        <w:t>kers</w:t>
      </w:r>
      <w:r>
        <w:rPr>
          <w:rFonts w:ascii="Times New Roman" w:hAnsi="Times New Roman" w:eastAsia="Times New Roman" w:cs="Times New Roman"/>
          <w:spacing w:val="25"/>
          <w:w w:val="101"/>
          <w:sz w:val="20"/>
          <w:szCs w:val="20"/>
        </w:rPr>
        <w:t xml:space="preserve"> </w:t>
      </w:r>
      <w:r>
        <w:rPr>
          <w:rFonts w:ascii="Times New Roman" w:hAnsi="Times New Roman" w:eastAsia="Times New Roman" w:cs="Times New Roman"/>
          <w:spacing w:val="-1"/>
          <w:sz w:val="20"/>
          <w:szCs w:val="20"/>
        </w:rPr>
        <w:t>to</w:t>
      </w:r>
      <w:r>
        <w:rPr>
          <w:rFonts w:ascii="Times New Roman" w:hAnsi="Times New Roman" w:eastAsia="Times New Roman" w:cs="Times New Roman"/>
          <w:spacing w:val="23"/>
          <w:w w:val="101"/>
          <w:sz w:val="20"/>
          <w:szCs w:val="20"/>
        </w:rPr>
        <w:t xml:space="preserve"> </w:t>
      </w:r>
      <w:r>
        <w:rPr>
          <w:rFonts w:ascii="Times New Roman" w:hAnsi="Times New Roman" w:eastAsia="Times New Roman" w:cs="Times New Roman"/>
          <w:spacing w:val="-1"/>
          <w:sz w:val="20"/>
          <w:szCs w:val="20"/>
        </w:rPr>
        <w:t>be</w:t>
      </w:r>
      <w:r>
        <w:rPr>
          <w:rFonts w:ascii="Times New Roman" w:hAnsi="Times New Roman" w:eastAsia="Times New Roman" w:cs="Times New Roman"/>
          <w:spacing w:val="30"/>
          <w:w w:val="101"/>
          <w:sz w:val="20"/>
          <w:szCs w:val="20"/>
        </w:rPr>
        <w:t xml:space="preserve"> </w:t>
      </w:r>
      <w:r>
        <w:rPr>
          <w:rFonts w:ascii="Times New Roman" w:hAnsi="Times New Roman" w:eastAsia="Times New Roman" w:cs="Times New Roman"/>
          <w:spacing w:val="-1"/>
          <w:sz w:val="20"/>
          <w:szCs w:val="20"/>
        </w:rPr>
        <w:t>able</w:t>
      </w:r>
      <w:r>
        <w:rPr>
          <w:rFonts w:ascii="Times New Roman" w:hAnsi="Times New Roman" w:eastAsia="Times New Roman" w:cs="Times New Roman"/>
          <w:spacing w:val="25"/>
          <w:w w:val="101"/>
          <w:sz w:val="20"/>
          <w:szCs w:val="20"/>
        </w:rPr>
        <w:t xml:space="preserve"> </w:t>
      </w:r>
      <w:r>
        <w:rPr>
          <w:rFonts w:ascii="Times New Roman" w:hAnsi="Times New Roman" w:eastAsia="Times New Roman" w:cs="Times New Roman"/>
          <w:spacing w:val="-1"/>
          <w:sz w:val="20"/>
          <w:szCs w:val="20"/>
        </w:rPr>
        <w:t>to</w:t>
      </w:r>
      <w:r>
        <w:rPr>
          <w:rFonts w:ascii="Times New Roman" w:hAnsi="Times New Roman" w:eastAsia="Times New Roman" w:cs="Times New Roman"/>
          <w:spacing w:val="29"/>
          <w:w w:val="101"/>
          <w:sz w:val="20"/>
          <w:szCs w:val="20"/>
        </w:rPr>
        <w:t xml:space="preserve"> </w:t>
      </w:r>
      <w:r>
        <w:rPr>
          <w:rFonts w:ascii="Times New Roman" w:hAnsi="Times New Roman" w:eastAsia="Times New Roman" w:cs="Times New Roman"/>
          <w:spacing w:val="-1"/>
          <w:sz w:val="20"/>
          <w:szCs w:val="20"/>
        </w:rPr>
        <w:t>identify,appraise,</w:t>
      </w:r>
      <w:r>
        <w:rPr>
          <w:rFonts w:ascii="Times New Roman" w:hAnsi="Times New Roman" w:eastAsia="Times New Roman" w:cs="Times New Roman"/>
          <w:sz w:val="20"/>
          <w:szCs w:val="20"/>
        </w:rPr>
        <w:t xml:space="preserve">  interpret,and  apply  evidence  in  their</w:t>
      </w:r>
      <w:r>
        <w:rPr>
          <w:rFonts w:ascii="Times New Roman" w:hAnsi="Times New Roman" w:eastAsia="Times New Roman" w:cs="Times New Roman"/>
          <w:spacing w:val="4"/>
          <w:sz w:val="20"/>
          <w:szCs w:val="20"/>
        </w:rPr>
        <w:t xml:space="preserve">  </w:t>
      </w:r>
      <w:r>
        <w:rPr>
          <w:rFonts w:ascii="Times New Roman" w:hAnsi="Times New Roman" w:eastAsia="Times New Roman" w:cs="Times New Roman"/>
          <w:sz w:val="20"/>
          <w:szCs w:val="20"/>
        </w:rPr>
        <w:t>decision-making.Systematic</w:t>
      </w:r>
      <w:r>
        <w:rPr>
          <w:rFonts w:ascii="Times New Roman" w:hAnsi="Times New Roman" w:eastAsia="Times New Roman" w:cs="Times New Roman"/>
          <w:spacing w:val="-1"/>
          <w:sz w:val="20"/>
          <w:szCs w:val="20"/>
        </w:rPr>
        <w:t xml:space="preserve">  review</w:t>
      </w:r>
      <w:r>
        <w:rPr>
          <w:rFonts w:ascii="Times New Roman" w:hAnsi="Times New Roman" w:eastAsia="Times New Roman" w:cs="Times New Roman"/>
          <w:spacing w:val="5"/>
          <w:sz w:val="20"/>
          <w:szCs w:val="20"/>
        </w:rPr>
        <w:t xml:space="preserve">  </w:t>
      </w:r>
      <w:r>
        <w:rPr>
          <w:rFonts w:ascii="Times New Roman" w:hAnsi="Times New Roman" w:eastAsia="Times New Roman" w:cs="Times New Roman"/>
          <w:spacing w:val="-1"/>
          <w:sz w:val="20"/>
          <w:szCs w:val="20"/>
        </w:rPr>
        <w:t>is</w:t>
      </w:r>
      <w:r>
        <w:rPr>
          <w:rFonts w:ascii="Times New Roman" w:hAnsi="Times New Roman" w:eastAsia="Times New Roman" w:cs="Times New Roman"/>
          <w:spacing w:val="6"/>
          <w:sz w:val="20"/>
          <w:szCs w:val="20"/>
        </w:rPr>
        <w:t xml:space="preserve">  </w:t>
      </w:r>
      <w:r>
        <w:rPr>
          <w:rFonts w:ascii="Times New Roman" w:hAnsi="Times New Roman" w:eastAsia="Times New Roman" w:cs="Times New Roman"/>
          <w:spacing w:val="-1"/>
          <w:sz w:val="20"/>
          <w:szCs w:val="20"/>
        </w:rPr>
        <w:t>a</w:t>
      </w:r>
      <w:r>
        <w:rPr>
          <w:rFonts w:ascii="Times New Roman" w:hAnsi="Times New Roman" w:eastAsia="Times New Roman" w:cs="Times New Roman"/>
          <w:spacing w:val="7"/>
          <w:sz w:val="20"/>
          <w:szCs w:val="20"/>
        </w:rPr>
        <w:t xml:space="preserve">  </w:t>
      </w:r>
      <w:r>
        <w:rPr>
          <w:rFonts w:ascii="Times New Roman" w:hAnsi="Times New Roman" w:eastAsia="Times New Roman" w:cs="Times New Roman"/>
          <w:spacing w:val="-1"/>
          <w:sz w:val="20"/>
          <w:szCs w:val="20"/>
        </w:rPr>
        <w:t>secondary</w:t>
      </w:r>
      <w:r>
        <w:rPr>
          <w:rFonts w:ascii="Times New Roman" w:hAnsi="Times New Roman" w:eastAsia="Times New Roman" w:cs="Times New Roman"/>
          <w:spacing w:val="7"/>
          <w:sz w:val="20"/>
          <w:szCs w:val="20"/>
        </w:rPr>
        <w:t xml:space="preserve">  </w:t>
      </w:r>
      <w:r>
        <w:rPr>
          <w:rFonts w:ascii="Times New Roman" w:hAnsi="Times New Roman" w:eastAsia="Times New Roman" w:cs="Times New Roman"/>
          <w:spacing w:val="-1"/>
          <w:sz w:val="20"/>
          <w:szCs w:val="20"/>
        </w:rPr>
        <w:t>study</w:t>
      </w:r>
      <w:r>
        <w:rPr>
          <w:rFonts w:ascii="Times New Roman" w:hAnsi="Times New Roman" w:eastAsia="Times New Roman" w:cs="Times New Roman"/>
          <w:spacing w:val="5"/>
          <w:sz w:val="20"/>
          <w:szCs w:val="20"/>
        </w:rPr>
        <w:t xml:space="preserve">  </w:t>
      </w:r>
      <w:r>
        <w:rPr>
          <w:rFonts w:ascii="Times New Roman" w:hAnsi="Times New Roman" w:eastAsia="Times New Roman" w:cs="Times New Roman"/>
          <w:spacing w:val="-1"/>
          <w:sz w:val="20"/>
          <w:szCs w:val="20"/>
        </w:rPr>
        <w:t>of  results</w:t>
      </w:r>
      <w:r>
        <w:rPr>
          <w:rFonts w:ascii="Times New Roman" w:hAnsi="Times New Roman" w:eastAsia="Times New Roman" w:cs="Times New Roman"/>
          <w:sz w:val="20"/>
          <w:szCs w:val="20"/>
        </w:rPr>
        <w:t xml:space="preserve"> from</w:t>
      </w:r>
      <w:r>
        <w:rPr>
          <w:rFonts w:ascii="Times New Roman" w:hAnsi="Times New Roman" w:eastAsia="Times New Roman" w:cs="Times New Roman"/>
          <w:spacing w:val="34"/>
          <w:w w:val="101"/>
          <w:sz w:val="20"/>
          <w:szCs w:val="20"/>
        </w:rPr>
        <w:t xml:space="preserve"> </w:t>
      </w:r>
      <w:r>
        <w:rPr>
          <w:rFonts w:ascii="Times New Roman" w:hAnsi="Times New Roman" w:eastAsia="Times New Roman" w:cs="Times New Roman"/>
          <w:sz w:val="20"/>
          <w:szCs w:val="20"/>
        </w:rPr>
        <w:t>primary</w:t>
      </w:r>
      <w:r>
        <w:rPr>
          <w:rFonts w:ascii="Times New Roman" w:hAnsi="Times New Roman" w:eastAsia="Times New Roman" w:cs="Times New Roman"/>
          <w:spacing w:val="36"/>
          <w:sz w:val="20"/>
          <w:szCs w:val="20"/>
        </w:rPr>
        <w:t xml:space="preserve"> </w:t>
      </w:r>
      <w:r>
        <w:rPr>
          <w:rFonts w:ascii="Times New Roman" w:hAnsi="Times New Roman" w:eastAsia="Times New Roman" w:cs="Times New Roman"/>
          <w:sz w:val="20"/>
          <w:szCs w:val="20"/>
        </w:rPr>
        <w:t>research.Systemat</w:t>
      </w:r>
      <w:r>
        <w:rPr>
          <w:rFonts w:ascii="Times New Roman" w:hAnsi="Times New Roman" w:eastAsia="Times New Roman" w:cs="Times New Roman"/>
          <w:spacing w:val="-1"/>
          <w:sz w:val="20"/>
          <w:szCs w:val="20"/>
        </w:rPr>
        <w:t>ic</w:t>
      </w:r>
      <w:r>
        <w:rPr>
          <w:rFonts w:ascii="Times New Roman" w:hAnsi="Times New Roman" w:eastAsia="Times New Roman" w:cs="Times New Roman"/>
          <w:spacing w:val="35"/>
          <w:w w:val="101"/>
          <w:sz w:val="20"/>
          <w:szCs w:val="20"/>
        </w:rPr>
        <w:t xml:space="preserve"> </w:t>
      </w:r>
      <w:r>
        <w:rPr>
          <w:rFonts w:ascii="Times New Roman" w:hAnsi="Times New Roman" w:eastAsia="Times New Roman" w:cs="Times New Roman"/>
          <w:spacing w:val="-1"/>
          <w:sz w:val="20"/>
          <w:szCs w:val="20"/>
        </w:rPr>
        <w:t>reviews</w:t>
      </w:r>
      <w:r>
        <w:rPr>
          <w:rFonts w:ascii="Times New Roman" w:hAnsi="Times New Roman" w:eastAsia="Times New Roman" w:cs="Times New Roman"/>
          <w:spacing w:val="41"/>
          <w:w w:val="101"/>
          <w:sz w:val="20"/>
          <w:szCs w:val="20"/>
        </w:rPr>
        <w:t xml:space="preserve"> </w:t>
      </w:r>
      <w:r>
        <w:rPr>
          <w:rFonts w:ascii="Times New Roman" w:hAnsi="Times New Roman" w:eastAsia="Times New Roman" w:cs="Times New Roman"/>
          <w:spacing w:val="-1"/>
          <w:sz w:val="20"/>
          <w:szCs w:val="20"/>
        </w:rPr>
        <w:t>differ</w:t>
      </w:r>
      <w:r>
        <w:rPr>
          <w:rFonts w:ascii="Times New Roman" w:hAnsi="Times New Roman" w:eastAsia="Times New Roman" w:cs="Times New Roman"/>
          <w:spacing w:val="41"/>
          <w:sz w:val="20"/>
          <w:szCs w:val="20"/>
        </w:rPr>
        <w:t xml:space="preserve"> </w:t>
      </w:r>
      <w:r>
        <w:rPr>
          <w:rFonts w:ascii="Times New Roman" w:hAnsi="Times New Roman" w:eastAsia="Times New Roman" w:cs="Times New Roman"/>
          <w:spacing w:val="-1"/>
          <w:sz w:val="20"/>
          <w:szCs w:val="20"/>
        </w:rPr>
        <w:t>from</w:t>
      </w:r>
      <w:r>
        <w:rPr>
          <w:rFonts w:ascii="Times New Roman" w:hAnsi="Times New Roman" w:eastAsia="Times New Roman" w:cs="Times New Roman"/>
          <w:spacing w:val="37"/>
          <w:sz w:val="20"/>
          <w:szCs w:val="20"/>
        </w:rPr>
        <w:t xml:space="preserve"> </w:t>
      </w:r>
      <w:r>
        <w:rPr>
          <w:rFonts w:ascii="Times New Roman" w:hAnsi="Times New Roman" w:eastAsia="Times New Roman" w:cs="Times New Roman"/>
          <w:spacing w:val="-1"/>
          <w:sz w:val="20"/>
          <w:szCs w:val="20"/>
        </w:rPr>
        <w:t>traditional</w:t>
      </w:r>
      <w:r>
        <w:rPr>
          <w:rFonts w:ascii="Times New Roman" w:hAnsi="Times New Roman" w:eastAsia="Times New Roman" w:cs="Times New Roman"/>
          <w:spacing w:val="42"/>
          <w:sz w:val="20"/>
          <w:szCs w:val="20"/>
        </w:rPr>
        <w:t xml:space="preserve"> </w:t>
      </w:r>
      <w:r>
        <w:rPr>
          <w:rFonts w:ascii="Times New Roman" w:hAnsi="Times New Roman" w:eastAsia="Times New Roman" w:cs="Times New Roman"/>
          <w:spacing w:val="-1"/>
          <w:sz w:val="20"/>
          <w:szCs w:val="20"/>
        </w:rPr>
        <w:t>expert</w:t>
      </w:r>
      <w:r>
        <w:rPr>
          <w:rFonts w:ascii="Times New Roman" w:hAnsi="Times New Roman" w:eastAsia="Times New Roman" w:cs="Times New Roman"/>
          <w:spacing w:val="35"/>
          <w:sz w:val="20"/>
          <w:szCs w:val="20"/>
        </w:rPr>
        <w:t xml:space="preserve"> </w:t>
      </w:r>
      <w:r>
        <w:rPr>
          <w:rFonts w:ascii="Times New Roman" w:hAnsi="Times New Roman" w:eastAsia="Times New Roman" w:cs="Times New Roman"/>
          <w:spacing w:val="-1"/>
          <w:sz w:val="20"/>
          <w:szCs w:val="20"/>
        </w:rPr>
        <w:t>reviews</w:t>
      </w:r>
      <w:r>
        <w:rPr>
          <w:rFonts w:ascii="Times New Roman" w:hAnsi="Times New Roman" w:eastAsia="Times New Roman" w:cs="Times New Roman"/>
          <w:spacing w:val="42"/>
          <w:sz w:val="20"/>
          <w:szCs w:val="20"/>
        </w:rPr>
        <w:t xml:space="preserve"> </w:t>
      </w:r>
      <w:r>
        <w:rPr>
          <w:rFonts w:ascii="Times New Roman" w:hAnsi="Times New Roman" w:eastAsia="Times New Roman" w:cs="Times New Roman"/>
          <w:spacing w:val="-1"/>
          <w:sz w:val="20"/>
          <w:szCs w:val="20"/>
        </w:rPr>
        <w:t>and</w:t>
      </w:r>
      <w:r>
        <w:rPr>
          <w:rFonts w:ascii="Times New Roman" w:hAnsi="Times New Roman" w:eastAsia="Times New Roman" w:cs="Times New Roman"/>
          <w:spacing w:val="41"/>
          <w:sz w:val="20"/>
          <w:szCs w:val="20"/>
        </w:rPr>
        <w:t xml:space="preserve"> </w:t>
      </w:r>
      <w:r>
        <w:rPr>
          <w:rFonts w:ascii="Times New Roman" w:hAnsi="Times New Roman" w:eastAsia="Times New Roman" w:cs="Times New Roman"/>
          <w:spacing w:val="-1"/>
          <w:sz w:val="20"/>
          <w:szCs w:val="20"/>
        </w:rPr>
        <w:t>commentaries</w:t>
      </w:r>
      <w:r>
        <w:rPr>
          <w:rFonts w:ascii="Times New Roman" w:hAnsi="Times New Roman" w:eastAsia="Times New Roman" w:cs="Times New Roman"/>
          <w:spacing w:val="40"/>
          <w:w w:val="101"/>
          <w:sz w:val="20"/>
          <w:szCs w:val="20"/>
        </w:rPr>
        <w:t xml:space="preserve"> </w:t>
      </w:r>
      <w:r>
        <w:rPr>
          <w:rFonts w:ascii="Times New Roman" w:hAnsi="Times New Roman" w:eastAsia="Times New Roman" w:cs="Times New Roman"/>
          <w:spacing w:val="-1"/>
          <w:sz w:val="20"/>
          <w:szCs w:val="20"/>
        </w:rPr>
        <w:t>in</w:t>
      </w:r>
      <w:r>
        <w:rPr>
          <w:rFonts w:ascii="Times New Roman" w:hAnsi="Times New Roman" w:eastAsia="Times New Roman" w:cs="Times New Roman"/>
          <w:spacing w:val="36"/>
          <w:w w:val="101"/>
          <w:sz w:val="20"/>
          <w:szCs w:val="20"/>
        </w:rPr>
        <w:t xml:space="preserve"> </w:t>
      </w:r>
      <w:r>
        <w:rPr>
          <w:rFonts w:ascii="Times New Roman" w:hAnsi="Times New Roman" w:eastAsia="Times New Roman" w:cs="Times New Roman"/>
          <w:spacing w:val="-1"/>
          <w:sz w:val="20"/>
          <w:szCs w:val="20"/>
        </w:rPr>
        <w:t>that</w:t>
      </w:r>
      <w:r>
        <w:rPr>
          <w:rFonts w:ascii="Times New Roman" w:hAnsi="Times New Roman" w:eastAsia="Times New Roman" w:cs="Times New Roman"/>
          <w:sz w:val="20"/>
          <w:szCs w:val="20"/>
        </w:rPr>
        <w:t xml:space="preserve"> they   use   a   systematic,reproducible,and   transparent   approach,which   minimizes   biases.Therefore,results from  systematic  reviews  are</w:t>
      </w:r>
      <w:r>
        <w:rPr>
          <w:rFonts w:ascii="Times New Roman" w:hAnsi="Times New Roman" w:eastAsia="Times New Roman" w:cs="Times New Roman"/>
          <w:spacing w:val="6"/>
          <w:sz w:val="20"/>
          <w:szCs w:val="20"/>
        </w:rPr>
        <w:t xml:space="preserve">  </w:t>
      </w:r>
      <w:r>
        <w:rPr>
          <w:rFonts w:ascii="Times New Roman" w:hAnsi="Times New Roman" w:eastAsia="Times New Roman" w:cs="Times New Roman"/>
          <w:sz w:val="20"/>
          <w:szCs w:val="20"/>
        </w:rPr>
        <w:t>deemed</w:t>
      </w:r>
      <w:r>
        <w:rPr>
          <w:rFonts w:ascii="Times New Roman" w:hAnsi="Times New Roman" w:eastAsia="Times New Roman" w:cs="Times New Roman"/>
          <w:spacing w:val="5"/>
          <w:sz w:val="20"/>
          <w:szCs w:val="20"/>
        </w:rPr>
        <w:t xml:space="preserve">  </w:t>
      </w:r>
      <w:r>
        <w:rPr>
          <w:rFonts w:ascii="Times New Roman" w:hAnsi="Times New Roman" w:eastAsia="Times New Roman" w:cs="Times New Roman"/>
          <w:sz w:val="20"/>
          <w:szCs w:val="20"/>
        </w:rPr>
        <w:t>the  best</w:t>
      </w:r>
      <w:r>
        <w:rPr>
          <w:rFonts w:ascii="Times New Roman" w:hAnsi="Times New Roman" w:eastAsia="Times New Roman" w:cs="Times New Roman"/>
          <w:spacing w:val="8"/>
          <w:sz w:val="20"/>
          <w:szCs w:val="20"/>
        </w:rPr>
        <w:t xml:space="preserve">  </w:t>
      </w:r>
      <w:r>
        <w:rPr>
          <w:rFonts w:ascii="Times New Roman" w:hAnsi="Times New Roman" w:eastAsia="Times New Roman" w:cs="Times New Roman"/>
          <w:sz w:val="20"/>
          <w:szCs w:val="20"/>
        </w:rPr>
        <w:t>source</w:t>
      </w:r>
      <w:r>
        <w:rPr>
          <w:rFonts w:ascii="Times New Roman" w:hAnsi="Times New Roman" w:eastAsia="Times New Roman" w:cs="Times New Roman"/>
          <w:spacing w:val="7"/>
          <w:sz w:val="20"/>
          <w:szCs w:val="20"/>
        </w:rPr>
        <w:t xml:space="preserve">  </w:t>
      </w:r>
      <w:r>
        <w:rPr>
          <w:rFonts w:ascii="Times New Roman" w:hAnsi="Times New Roman" w:eastAsia="Times New Roman" w:cs="Times New Roman"/>
          <w:sz w:val="20"/>
          <w:szCs w:val="20"/>
        </w:rPr>
        <w:t>of  evidence</w:t>
      </w:r>
      <w:r>
        <w:rPr>
          <w:rFonts w:ascii="Times New Roman" w:hAnsi="Times New Roman" w:eastAsia="Times New Roman" w:cs="Times New Roman"/>
          <w:spacing w:val="7"/>
          <w:sz w:val="20"/>
          <w:szCs w:val="20"/>
        </w:rPr>
        <w:t xml:space="preserve">  </w:t>
      </w:r>
      <w:r>
        <w:rPr>
          <w:rFonts w:ascii="Times New Roman" w:hAnsi="Times New Roman" w:eastAsia="Times New Roman" w:cs="Times New Roman"/>
          <w:sz w:val="20"/>
          <w:szCs w:val="20"/>
        </w:rPr>
        <w:t>for</w:t>
      </w:r>
      <w:r>
        <w:rPr>
          <w:rFonts w:ascii="Times New Roman" w:hAnsi="Times New Roman" w:eastAsia="Times New Roman" w:cs="Times New Roman"/>
          <w:spacing w:val="4"/>
          <w:sz w:val="20"/>
          <w:szCs w:val="20"/>
        </w:rPr>
        <w:t xml:space="preserve">  </w:t>
      </w:r>
      <w:r>
        <w:rPr>
          <w:rFonts w:ascii="Times New Roman" w:hAnsi="Times New Roman" w:eastAsia="Times New Roman" w:cs="Times New Roman"/>
          <w:sz w:val="20"/>
          <w:szCs w:val="20"/>
        </w:rPr>
        <w:t>making</w:t>
      </w:r>
      <w:r>
        <w:rPr>
          <w:rFonts w:ascii="Times New Roman" w:hAnsi="Times New Roman" w:eastAsia="Times New Roman" w:cs="Times New Roman"/>
          <w:spacing w:val="4"/>
          <w:sz w:val="20"/>
          <w:szCs w:val="20"/>
        </w:rPr>
        <w:t xml:space="preserve">  </w:t>
      </w:r>
      <w:r>
        <w:rPr>
          <w:rFonts w:ascii="Times New Roman" w:hAnsi="Times New Roman" w:eastAsia="Times New Roman" w:cs="Times New Roman"/>
          <w:sz w:val="20"/>
          <w:szCs w:val="20"/>
        </w:rPr>
        <w:t>he</w:t>
      </w:r>
      <w:r>
        <w:rPr>
          <w:rFonts w:ascii="Times New Roman" w:hAnsi="Times New Roman" w:eastAsia="Times New Roman" w:cs="Times New Roman"/>
          <w:spacing w:val="-1"/>
          <w:sz w:val="20"/>
          <w:szCs w:val="20"/>
        </w:rPr>
        <w:t>althcare</w:t>
      </w:r>
      <w:r>
        <w:rPr>
          <w:rFonts w:ascii="Times New Roman" w:hAnsi="Times New Roman" w:eastAsia="Times New Roman" w:cs="Times New Roman"/>
          <w:spacing w:val="7"/>
          <w:sz w:val="20"/>
          <w:szCs w:val="20"/>
        </w:rPr>
        <w:t xml:space="preserve">  </w:t>
      </w:r>
      <w:r>
        <w:rPr>
          <w:rFonts w:ascii="Times New Roman" w:hAnsi="Times New Roman" w:eastAsia="Times New Roman" w:cs="Times New Roman"/>
          <w:spacing w:val="-1"/>
          <w:sz w:val="20"/>
          <w:szCs w:val="20"/>
        </w:rPr>
        <w:t>decisions.This</w:t>
      </w:r>
      <w:r>
        <w:rPr>
          <w:rFonts w:ascii="Times New Roman" w:hAnsi="Times New Roman" w:eastAsia="Times New Roman" w:cs="Times New Roman"/>
          <w:sz w:val="20"/>
          <w:szCs w:val="20"/>
        </w:rPr>
        <w:t xml:space="preserve"> chapter</w:t>
      </w:r>
      <w:r>
        <w:rPr>
          <w:rFonts w:ascii="Times New Roman" w:hAnsi="Times New Roman" w:eastAsia="Times New Roman" w:cs="Times New Roman"/>
          <w:spacing w:val="47"/>
          <w:sz w:val="20"/>
          <w:szCs w:val="20"/>
        </w:rPr>
        <w:t xml:space="preserve"> </w:t>
      </w:r>
      <w:r>
        <w:rPr>
          <w:rFonts w:ascii="Times New Roman" w:hAnsi="Times New Roman" w:eastAsia="Times New Roman" w:cs="Times New Roman"/>
          <w:sz w:val="20"/>
          <w:szCs w:val="20"/>
        </w:rPr>
        <w:t>starts</w:t>
      </w:r>
      <w:r>
        <w:rPr>
          <w:rFonts w:ascii="Times New Roman" w:hAnsi="Times New Roman" w:eastAsia="Times New Roman" w:cs="Times New Roman"/>
          <w:spacing w:val="40"/>
          <w:sz w:val="20"/>
          <w:szCs w:val="20"/>
        </w:rPr>
        <w:t xml:space="preserve"> </w:t>
      </w:r>
      <w:r>
        <w:rPr>
          <w:rFonts w:ascii="Times New Roman" w:hAnsi="Times New Roman" w:eastAsia="Times New Roman" w:cs="Times New Roman"/>
          <w:sz w:val="20"/>
          <w:szCs w:val="20"/>
        </w:rPr>
        <w:t>with</w:t>
      </w:r>
      <w:r>
        <w:rPr>
          <w:rFonts w:ascii="Times New Roman" w:hAnsi="Times New Roman" w:eastAsia="Times New Roman" w:cs="Times New Roman"/>
          <w:spacing w:val="46"/>
          <w:sz w:val="20"/>
          <w:szCs w:val="20"/>
        </w:rPr>
        <w:t xml:space="preserve"> </w:t>
      </w:r>
      <w:r>
        <w:rPr>
          <w:rFonts w:ascii="Times New Roman" w:hAnsi="Times New Roman" w:eastAsia="Times New Roman" w:cs="Times New Roman"/>
          <w:sz w:val="20"/>
          <w:szCs w:val="20"/>
        </w:rPr>
        <w:t>a</w:t>
      </w:r>
      <w:r>
        <w:rPr>
          <w:rFonts w:ascii="Times New Roman" w:hAnsi="Times New Roman" w:eastAsia="Times New Roman" w:cs="Times New Roman"/>
          <w:spacing w:val="38"/>
          <w:w w:val="101"/>
          <w:sz w:val="20"/>
          <w:szCs w:val="20"/>
        </w:rPr>
        <w:t xml:space="preserve"> </w:t>
      </w:r>
      <w:r>
        <w:rPr>
          <w:rFonts w:ascii="Times New Roman" w:hAnsi="Times New Roman" w:eastAsia="Times New Roman" w:cs="Times New Roman"/>
          <w:sz w:val="20"/>
          <w:szCs w:val="20"/>
        </w:rPr>
        <w:t>brief</w:t>
      </w:r>
      <w:r>
        <w:rPr>
          <w:rFonts w:ascii="Times New Roman" w:hAnsi="Times New Roman" w:eastAsia="Times New Roman" w:cs="Times New Roman"/>
          <w:spacing w:val="28"/>
          <w:sz w:val="20"/>
          <w:szCs w:val="20"/>
        </w:rPr>
        <w:t xml:space="preserve"> </w:t>
      </w:r>
      <w:r>
        <w:rPr>
          <w:rFonts w:ascii="Times New Roman" w:hAnsi="Times New Roman" w:eastAsia="Times New Roman" w:cs="Times New Roman"/>
          <w:sz w:val="20"/>
          <w:szCs w:val="20"/>
        </w:rPr>
        <w:t>summary</w:t>
      </w:r>
      <w:r>
        <w:rPr>
          <w:rFonts w:ascii="Times New Roman" w:hAnsi="Times New Roman" w:eastAsia="Times New Roman" w:cs="Times New Roman"/>
          <w:spacing w:val="45"/>
          <w:w w:val="101"/>
          <w:sz w:val="20"/>
          <w:szCs w:val="20"/>
        </w:rPr>
        <w:t xml:space="preserve"> </w:t>
      </w:r>
      <w:r>
        <w:rPr>
          <w:rFonts w:ascii="Times New Roman" w:hAnsi="Times New Roman" w:eastAsia="Times New Roman" w:cs="Times New Roman"/>
          <w:sz w:val="20"/>
          <w:szCs w:val="20"/>
        </w:rPr>
        <w:t>of</w:t>
      </w:r>
      <w:r>
        <w:rPr>
          <w:rFonts w:ascii="Times New Roman" w:hAnsi="Times New Roman" w:eastAsia="Times New Roman" w:cs="Times New Roman"/>
          <w:spacing w:val="20"/>
          <w:w w:val="101"/>
          <w:sz w:val="20"/>
          <w:szCs w:val="20"/>
        </w:rPr>
        <w:t xml:space="preserve"> </w:t>
      </w:r>
      <w:r>
        <w:rPr>
          <w:rFonts w:ascii="Times New Roman" w:hAnsi="Times New Roman" w:eastAsia="Times New Roman" w:cs="Times New Roman"/>
          <w:sz w:val="20"/>
          <w:szCs w:val="20"/>
        </w:rPr>
        <w:t>the</w:t>
      </w:r>
      <w:r>
        <w:rPr>
          <w:rFonts w:ascii="Times New Roman" w:hAnsi="Times New Roman" w:eastAsia="Times New Roman" w:cs="Times New Roman"/>
          <w:spacing w:val="40"/>
          <w:sz w:val="20"/>
          <w:szCs w:val="20"/>
        </w:rPr>
        <w:t xml:space="preserve"> </w:t>
      </w:r>
      <w:r>
        <w:rPr>
          <w:rFonts w:ascii="Times New Roman" w:hAnsi="Times New Roman" w:eastAsia="Times New Roman" w:cs="Times New Roman"/>
          <w:sz w:val="20"/>
          <w:szCs w:val="20"/>
        </w:rPr>
        <w:t>history,concept,foundation,and</w:t>
      </w:r>
      <w:r>
        <w:rPr>
          <w:rFonts w:ascii="Times New Roman" w:hAnsi="Times New Roman" w:eastAsia="Times New Roman" w:cs="Times New Roman"/>
          <w:spacing w:val="39"/>
          <w:w w:val="101"/>
          <w:sz w:val="20"/>
          <w:szCs w:val="20"/>
        </w:rPr>
        <w:t xml:space="preserve"> </w:t>
      </w:r>
      <w:r>
        <w:rPr>
          <w:rFonts w:ascii="Times New Roman" w:hAnsi="Times New Roman" w:eastAsia="Times New Roman" w:cs="Times New Roman"/>
          <w:sz w:val="20"/>
          <w:szCs w:val="20"/>
        </w:rPr>
        <w:t>method</w:t>
      </w:r>
      <w:r>
        <w:rPr>
          <w:rFonts w:ascii="Times New Roman" w:hAnsi="Times New Roman" w:eastAsia="Times New Roman" w:cs="Times New Roman"/>
          <w:spacing w:val="45"/>
          <w:w w:val="101"/>
          <w:sz w:val="20"/>
          <w:szCs w:val="20"/>
        </w:rPr>
        <w:t xml:space="preserve"> </w:t>
      </w:r>
      <w:r>
        <w:rPr>
          <w:rFonts w:ascii="Times New Roman" w:hAnsi="Times New Roman" w:eastAsia="Times New Roman" w:cs="Times New Roman"/>
          <w:sz w:val="20"/>
          <w:szCs w:val="20"/>
        </w:rPr>
        <w:t>of</w:t>
      </w:r>
      <w:r>
        <w:rPr>
          <w:rFonts w:ascii="Times New Roman" w:hAnsi="Times New Roman" w:eastAsia="Times New Roman" w:cs="Times New Roman"/>
          <w:spacing w:val="22"/>
          <w:w w:val="101"/>
          <w:sz w:val="20"/>
          <w:szCs w:val="20"/>
        </w:rPr>
        <w:t xml:space="preserve"> </w:t>
      </w:r>
      <w:r>
        <w:rPr>
          <w:rFonts w:ascii="Times New Roman" w:hAnsi="Times New Roman" w:eastAsia="Times New Roman" w:cs="Times New Roman"/>
          <w:sz w:val="20"/>
          <w:szCs w:val="20"/>
        </w:rPr>
        <w:t>EBM,fol</w:t>
      </w:r>
      <w:r>
        <w:rPr>
          <w:rFonts w:ascii="Times New Roman" w:hAnsi="Times New Roman" w:eastAsia="Times New Roman" w:cs="Times New Roman"/>
          <w:spacing w:val="-1"/>
          <w:sz w:val="20"/>
          <w:szCs w:val="20"/>
        </w:rPr>
        <w:t>lowed</w:t>
      </w:r>
      <w:r>
        <w:rPr>
          <w:rFonts w:ascii="Times New Roman" w:hAnsi="Times New Roman" w:eastAsia="Times New Roman" w:cs="Times New Roman"/>
          <w:spacing w:val="38"/>
          <w:sz w:val="20"/>
          <w:szCs w:val="20"/>
        </w:rPr>
        <w:t xml:space="preserve"> </w:t>
      </w:r>
      <w:r>
        <w:rPr>
          <w:rFonts w:ascii="Times New Roman" w:hAnsi="Times New Roman" w:eastAsia="Times New Roman" w:cs="Times New Roman"/>
          <w:spacing w:val="-1"/>
          <w:sz w:val="20"/>
          <w:szCs w:val="20"/>
        </w:rPr>
        <w:t>by</w:t>
      </w:r>
      <w:r>
        <w:rPr>
          <w:rFonts w:ascii="Times New Roman" w:hAnsi="Times New Roman" w:eastAsia="Times New Roman" w:cs="Times New Roman"/>
          <w:spacing w:val="46"/>
          <w:sz w:val="20"/>
          <w:szCs w:val="20"/>
        </w:rPr>
        <w:t xml:space="preserve"> </w:t>
      </w:r>
      <w:r>
        <w:rPr>
          <w:rFonts w:ascii="Times New Roman" w:hAnsi="Times New Roman" w:eastAsia="Times New Roman" w:cs="Times New Roman"/>
          <w:spacing w:val="-1"/>
          <w:sz w:val="20"/>
          <w:szCs w:val="20"/>
        </w:rPr>
        <w:t>a</w:t>
      </w:r>
      <w:r>
        <w:rPr>
          <w:rFonts w:ascii="Times New Roman" w:hAnsi="Times New Roman" w:eastAsia="Times New Roman" w:cs="Times New Roman"/>
          <w:sz w:val="20"/>
          <w:szCs w:val="20"/>
        </w:rPr>
        <w:t xml:space="preserve"> more</w:t>
      </w:r>
      <w:r>
        <w:rPr>
          <w:rFonts w:ascii="Times New Roman" w:hAnsi="Times New Roman" w:eastAsia="Times New Roman" w:cs="Times New Roman"/>
          <w:spacing w:val="27"/>
          <w:w w:val="101"/>
          <w:sz w:val="20"/>
          <w:szCs w:val="20"/>
        </w:rPr>
        <w:t xml:space="preserve"> </w:t>
      </w:r>
      <w:r>
        <w:rPr>
          <w:rFonts w:ascii="Times New Roman" w:hAnsi="Times New Roman" w:eastAsia="Times New Roman" w:cs="Times New Roman"/>
          <w:sz w:val="20"/>
          <w:szCs w:val="20"/>
        </w:rPr>
        <w:t>detailed</w:t>
      </w:r>
      <w:r>
        <w:rPr>
          <w:rFonts w:ascii="Times New Roman" w:hAnsi="Times New Roman" w:eastAsia="Times New Roman" w:cs="Times New Roman"/>
          <w:spacing w:val="26"/>
          <w:w w:val="101"/>
          <w:sz w:val="20"/>
          <w:szCs w:val="20"/>
        </w:rPr>
        <w:t xml:space="preserve"> </w:t>
      </w:r>
      <w:r>
        <w:rPr>
          <w:rFonts w:ascii="Times New Roman" w:hAnsi="Times New Roman" w:eastAsia="Times New Roman" w:cs="Times New Roman"/>
          <w:sz w:val="20"/>
          <w:szCs w:val="20"/>
        </w:rPr>
        <w:t>account</w:t>
      </w:r>
      <w:r>
        <w:rPr>
          <w:rFonts w:ascii="Times New Roman" w:hAnsi="Times New Roman" w:eastAsia="Times New Roman" w:cs="Times New Roman"/>
          <w:spacing w:val="26"/>
          <w:w w:val="101"/>
          <w:sz w:val="20"/>
          <w:szCs w:val="20"/>
        </w:rPr>
        <w:t xml:space="preserve"> </w:t>
      </w:r>
      <w:r>
        <w:rPr>
          <w:rFonts w:ascii="Times New Roman" w:hAnsi="Times New Roman" w:eastAsia="Times New Roman" w:cs="Times New Roman"/>
          <w:sz w:val="20"/>
          <w:szCs w:val="20"/>
        </w:rPr>
        <w:t>of the</w:t>
      </w:r>
      <w:r>
        <w:rPr>
          <w:rFonts w:ascii="Times New Roman" w:hAnsi="Times New Roman" w:eastAsia="Times New Roman" w:cs="Times New Roman"/>
          <w:spacing w:val="27"/>
          <w:sz w:val="20"/>
          <w:szCs w:val="20"/>
        </w:rPr>
        <w:t xml:space="preserve"> </w:t>
      </w:r>
      <w:r>
        <w:rPr>
          <w:rFonts w:ascii="Times New Roman" w:hAnsi="Times New Roman" w:eastAsia="Times New Roman" w:cs="Times New Roman"/>
          <w:sz w:val="20"/>
          <w:szCs w:val="20"/>
        </w:rPr>
        <w:t>definition</w:t>
      </w:r>
      <w:r>
        <w:rPr>
          <w:rFonts w:ascii="Times New Roman" w:hAnsi="Times New Roman" w:eastAsia="Times New Roman" w:cs="Times New Roman"/>
          <w:spacing w:val="27"/>
          <w:sz w:val="20"/>
          <w:szCs w:val="20"/>
        </w:rPr>
        <w:t xml:space="preserve"> </w:t>
      </w:r>
      <w:r>
        <w:rPr>
          <w:rFonts w:ascii="Times New Roman" w:hAnsi="Times New Roman" w:eastAsia="Times New Roman" w:cs="Times New Roman"/>
          <w:sz w:val="20"/>
          <w:szCs w:val="20"/>
        </w:rPr>
        <w:t>of systematic</w:t>
      </w:r>
      <w:r>
        <w:rPr>
          <w:rFonts w:ascii="Times New Roman" w:hAnsi="Times New Roman" w:eastAsia="Times New Roman" w:cs="Times New Roman"/>
          <w:spacing w:val="21"/>
          <w:sz w:val="20"/>
          <w:szCs w:val="20"/>
        </w:rPr>
        <w:t xml:space="preserve"> </w:t>
      </w:r>
      <w:r>
        <w:rPr>
          <w:rFonts w:ascii="Times New Roman" w:hAnsi="Times New Roman" w:eastAsia="Times New Roman" w:cs="Times New Roman"/>
          <w:sz w:val="20"/>
          <w:szCs w:val="20"/>
        </w:rPr>
        <w:t>review</w:t>
      </w:r>
      <w:r>
        <w:rPr>
          <w:rFonts w:ascii="Times New Roman" w:hAnsi="Times New Roman" w:eastAsia="Times New Roman" w:cs="Times New Roman"/>
          <w:spacing w:val="27"/>
          <w:w w:val="101"/>
          <w:sz w:val="20"/>
          <w:szCs w:val="20"/>
        </w:rPr>
        <w:t xml:space="preserve"> </w:t>
      </w:r>
      <w:r>
        <w:rPr>
          <w:rFonts w:ascii="Times New Roman" w:hAnsi="Times New Roman" w:eastAsia="Times New Roman" w:cs="Times New Roman"/>
          <w:sz w:val="20"/>
          <w:szCs w:val="20"/>
        </w:rPr>
        <w:t>and</w:t>
      </w:r>
      <w:r>
        <w:rPr>
          <w:rFonts w:ascii="Times New Roman" w:hAnsi="Times New Roman" w:eastAsia="Times New Roman" w:cs="Times New Roman"/>
          <w:spacing w:val="21"/>
          <w:w w:val="101"/>
          <w:sz w:val="20"/>
          <w:szCs w:val="20"/>
        </w:rPr>
        <w:t xml:space="preserve"> </w:t>
      </w:r>
      <w:r>
        <w:rPr>
          <w:rFonts w:ascii="Times New Roman" w:hAnsi="Times New Roman" w:eastAsia="Times New Roman" w:cs="Times New Roman"/>
          <w:sz w:val="20"/>
          <w:szCs w:val="20"/>
        </w:rPr>
        <w:t>the</w:t>
      </w:r>
      <w:r>
        <w:rPr>
          <w:rFonts w:ascii="Times New Roman" w:hAnsi="Times New Roman" w:eastAsia="Times New Roman" w:cs="Times New Roman"/>
          <w:spacing w:val="20"/>
          <w:sz w:val="20"/>
          <w:szCs w:val="20"/>
        </w:rPr>
        <w:t xml:space="preserve"> </w:t>
      </w:r>
      <w:r>
        <w:rPr>
          <w:rFonts w:ascii="Times New Roman" w:hAnsi="Times New Roman" w:eastAsia="Times New Roman" w:cs="Times New Roman"/>
          <w:sz w:val="20"/>
          <w:szCs w:val="20"/>
        </w:rPr>
        <w:t>principles</w:t>
      </w:r>
      <w:r>
        <w:rPr>
          <w:rFonts w:ascii="Times New Roman" w:hAnsi="Times New Roman" w:eastAsia="Times New Roman" w:cs="Times New Roman"/>
          <w:spacing w:val="27"/>
          <w:sz w:val="20"/>
          <w:szCs w:val="20"/>
        </w:rPr>
        <w:t xml:space="preserve"> </w:t>
      </w:r>
      <w:r>
        <w:rPr>
          <w:rFonts w:ascii="Times New Roman" w:hAnsi="Times New Roman" w:eastAsia="Times New Roman" w:cs="Times New Roman"/>
          <w:sz w:val="20"/>
          <w:szCs w:val="20"/>
        </w:rPr>
        <w:t>and</w:t>
      </w:r>
      <w:r>
        <w:rPr>
          <w:rFonts w:ascii="Times New Roman" w:hAnsi="Times New Roman" w:eastAsia="Times New Roman" w:cs="Times New Roman"/>
          <w:spacing w:val="19"/>
          <w:w w:val="101"/>
          <w:sz w:val="20"/>
          <w:szCs w:val="20"/>
        </w:rPr>
        <w:t xml:space="preserve"> </w:t>
      </w:r>
      <w:r>
        <w:rPr>
          <w:rFonts w:ascii="Times New Roman" w:hAnsi="Times New Roman" w:eastAsia="Times New Roman" w:cs="Times New Roman"/>
          <w:sz w:val="20"/>
          <w:szCs w:val="20"/>
        </w:rPr>
        <w:t>processes</w:t>
      </w:r>
      <w:r>
        <w:rPr>
          <w:rFonts w:ascii="Times New Roman" w:hAnsi="Times New Roman" w:eastAsia="Times New Roman" w:cs="Times New Roman"/>
          <w:spacing w:val="27"/>
          <w:sz w:val="20"/>
          <w:szCs w:val="20"/>
        </w:rPr>
        <w:t xml:space="preserve"> </w:t>
      </w:r>
      <w:r>
        <w:rPr>
          <w:rFonts w:ascii="Times New Roman" w:hAnsi="Times New Roman" w:eastAsia="Times New Roman" w:cs="Times New Roman"/>
          <w:sz w:val="20"/>
          <w:szCs w:val="20"/>
        </w:rPr>
        <w:t>of con</w:t>
      </w:r>
      <w:r>
        <w:rPr>
          <w:rFonts w:ascii="Times New Roman" w:hAnsi="Times New Roman" w:eastAsia="Times New Roman" w:cs="Times New Roman"/>
          <w:spacing w:val="-1"/>
          <w:sz w:val="20"/>
          <w:szCs w:val="20"/>
        </w:rPr>
        <w:t>ducting</w:t>
      </w:r>
      <w:r>
        <w:rPr>
          <w:rFonts w:ascii="Times New Roman" w:hAnsi="Times New Roman" w:eastAsia="Times New Roman" w:cs="Times New Roman"/>
          <w:sz w:val="20"/>
          <w:szCs w:val="20"/>
        </w:rPr>
        <w:t xml:space="preserve"> systematic   reviews,including   the   s</w:t>
      </w:r>
      <w:r>
        <w:rPr>
          <w:rFonts w:ascii="Times New Roman" w:hAnsi="Times New Roman" w:eastAsia="Times New Roman" w:cs="Times New Roman"/>
          <w:spacing w:val="-1"/>
          <w:sz w:val="20"/>
          <w:szCs w:val="20"/>
        </w:rPr>
        <w:t>tatistical</w:t>
      </w:r>
      <w:r>
        <w:rPr>
          <w:rFonts w:ascii="Times New Roman" w:hAnsi="Times New Roman" w:eastAsia="Times New Roman" w:cs="Times New Roman"/>
          <w:spacing w:val="3"/>
          <w:sz w:val="20"/>
          <w:szCs w:val="20"/>
        </w:rPr>
        <w:t xml:space="preserve">   </w:t>
      </w:r>
      <w:r>
        <w:rPr>
          <w:rFonts w:ascii="Times New Roman" w:hAnsi="Times New Roman" w:eastAsia="Times New Roman" w:cs="Times New Roman"/>
          <w:spacing w:val="-1"/>
          <w:sz w:val="20"/>
          <w:szCs w:val="20"/>
        </w:rPr>
        <w:t>methods</w:t>
      </w:r>
      <w:r>
        <w:rPr>
          <w:rFonts w:ascii="Times New Roman" w:hAnsi="Times New Roman" w:eastAsia="Times New Roman" w:cs="Times New Roman"/>
          <w:spacing w:val="5"/>
          <w:sz w:val="20"/>
          <w:szCs w:val="20"/>
        </w:rPr>
        <w:t xml:space="preserve">   </w:t>
      </w:r>
      <w:r>
        <w:rPr>
          <w:rFonts w:ascii="Times New Roman" w:hAnsi="Times New Roman" w:eastAsia="Times New Roman" w:cs="Times New Roman"/>
          <w:spacing w:val="-1"/>
          <w:sz w:val="20"/>
          <w:szCs w:val="20"/>
        </w:rPr>
        <w:t>in</w:t>
      </w:r>
      <w:r>
        <w:rPr>
          <w:rFonts w:ascii="Times New Roman" w:hAnsi="Times New Roman" w:eastAsia="Times New Roman" w:cs="Times New Roman"/>
          <w:spacing w:val="3"/>
          <w:sz w:val="20"/>
          <w:szCs w:val="20"/>
        </w:rPr>
        <w:t xml:space="preserve">   </w:t>
      </w:r>
      <w:r>
        <w:rPr>
          <w:rFonts w:ascii="Times New Roman" w:hAnsi="Times New Roman" w:eastAsia="Times New Roman" w:cs="Times New Roman"/>
          <w:spacing w:val="-1"/>
          <w:sz w:val="20"/>
          <w:szCs w:val="20"/>
        </w:rPr>
        <w:t>meta-analysis.The</w:t>
      </w:r>
      <w:r>
        <w:rPr>
          <w:rFonts w:ascii="Times New Roman" w:hAnsi="Times New Roman" w:eastAsia="Times New Roman" w:cs="Times New Roman"/>
          <w:spacing w:val="5"/>
          <w:sz w:val="20"/>
          <w:szCs w:val="20"/>
        </w:rPr>
        <w:t xml:space="preserve">   </w:t>
      </w:r>
      <w:r>
        <w:rPr>
          <w:rFonts w:ascii="Times New Roman" w:hAnsi="Times New Roman" w:eastAsia="Times New Roman" w:cs="Times New Roman"/>
          <w:spacing w:val="-1"/>
          <w:sz w:val="20"/>
          <w:szCs w:val="20"/>
        </w:rPr>
        <w:t>chapter</w:t>
      </w:r>
      <w:r>
        <w:rPr>
          <w:rFonts w:ascii="Times New Roman" w:hAnsi="Times New Roman" w:eastAsia="Times New Roman" w:cs="Times New Roman"/>
          <w:spacing w:val="5"/>
          <w:sz w:val="20"/>
          <w:szCs w:val="20"/>
        </w:rPr>
        <w:t xml:space="preserve">   </w:t>
      </w:r>
      <w:r>
        <w:rPr>
          <w:rFonts w:ascii="Times New Roman" w:hAnsi="Times New Roman" w:eastAsia="Times New Roman" w:cs="Times New Roman"/>
          <w:spacing w:val="-1"/>
          <w:sz w:val="20"/>
          <w:szCs w:val="20"/>
        </w:rPr>
        <w:t>ends</w:t>
      </w:r>
      <w:r>
        <w:rPr>
          <w:rFonts w:ascii="Times New Roman" w:hAnsi="Times New Roman" w:eastAsia="Times New Roman" w:cs="Times New Roman"/>
          <w:spacing w:val="4"/>
          <w:sz w:val="20"/>
          <w:szCs w:val="20"/>
        </w:rPr>
        <w:t xml:space="preserve">   </w:t>
      </w:r>
      <w:r>
        <w:rPr>
          <w:rFonts w:ascii="Times New Roman" w:hAnsi="Times New Roman" w:eastAsia="Times New Roman" w:cs="Times New Roman"/>
          <w:spacing w:val="-1"/>
          <w:sz w:val="20"/>
          <w:szCs w:val="20"/>
        </w:rPr>
        <w:t>with    some</w:t>
      </w:r>
      <w:r>
        <w:rPr>
          <w:rFonts w:ascii="Times New Roman" w:hAnsi="Times New Roman" w:eastAsia="Times New Roman" w:cs="Times New Roman"/>
          <w:sz w:val="20"/>
          <w:szCs w:val="20"/>
        </w:rPr>
        <w:t xml:space="preserve"> discussions</w:t>
      </w:r>
      <w:r>
        <w:rPr>
          <w:rFonts w:ascii="Times New Roman" w:hAnsi="Times New Roman" w:eastAsia="Times New Roman" w:cs="Times New Roman"/>
          <w:spacing w:val="37"/>
          <w:sz w:val="20"/>
          <w:szCs w:val="20"/>
        </w:rPr>
        <w:t xml:space="preserve"> </w:t>
      </w:r>
      <w:r>
        <w:rPr>
          <w:rFonts w:ascii="Times New Roman" w:hAnsi="Times New Roman" w:eastAsia="Times New Roman" w:cs="Times New Roman"/>
          <w:sz w:val="20"/>
          <w:szCs w:val="20"/>
        </w:rPr>
        <w:t>of potential</w:t>
      </w:r>
      <w:r>
        <w:rPr>
          <w:rFonts w:ascii="Times New Roman" w:hAnsi="Times New Roman" w:eastAsia="Times New Roman" w:cs="Times New Roman"/>
          <w:spacing w:val="30"/>
          <w:sz w:val="20"/>
          <w:szCs w:val="20"/>
        </w:rPr>
        <w:t xml:space="preserve"> </w:t>
      </w:r>
      <w:r>
        <w:rPr>
          <w:rFonts w:ascii="Times New Roman" w:hAnsi="Times New Roman" w:eastAsia="Times New Roman" w:cs="Times New Roman"/>
          <w:sz w:val="20"/>
          <w:szCs w:val="20"/>
        </w:rPr>
        <w:t>biases</w:t>
      </w:r>
      <w:r>
        <w:rPr>
          <w:rFonts w:ascii="Times New Roman" w:hAnsi="Times New Roman" w:eastAsia="Times New Roman" w:cs="Times New Roman"/>
          <w:spacing w:val="36"/>
          <w:w w:val="101"/>
          <w:sz w:val="20"/>
          <w:szCs w:val="20"/>
        </w:rPr>
        <w:t xml:space="preserve"> </w:t>
      </w:r>
      <w:r>
        <w:rPr>
          <w:rFonts w:ascii="Times New Roman" w:hAnsi="Times New Roman" w:eastAsia="Times New Roman" w:cs="Times New Roman"/>
          <w:sz w:val="20"/>
          <w:szCs w:val="20"/>
        </w:rPr>
        <w:t>and</w:t>
      </w:r>
      <w:r>
        <w:rPr>
          <w:rFonts w:ascii="Times New Roman" w:hAnsi="Times New Roman" w:eastAsia="Times New Roman" w:cs="Times New Roman"/>
          <w:spacing w:val="36"/>
          <w:sz w:val="20"/>
          <w:szCs w:val="20"/>
        </w:rPr>
        <w:t xml:space="preserve"> </w:t>
      </w:r>
      <w:r>
        <w:rPr>
          <w:rFonts w:ascii="Times New Roman" w:hAnsi="Times New Roman" w:eastAsia="Times New Roman" w:cs="Times New Roman"/>
          <w:sz w:val="20"/>
          <w:szCs w:val="20"/>
        </w:rPr>
        <w:t>quality</w:t>
      </w:r>
      <w:r>
        <w:rPr>
          <w:rFonts w:ascii="Times New Roman" w:hAnsi="Times New Roman" w:eastAsia="Times New Roman" w:cs="Times New Roman"/>
          <w:spacing w:val="37"/>
          <w:sz w:val="20"/>
          <w:szCs w:val="20"/>
        </w:rPr>
        <w:t xml:space="preserve"> </w:t>
      </w:r>
      <w:r>
        <w:rPr>
          <w:rFonts w:ascii="Times New Roman" w:hAnsi="Times New Roman" w:eastAsia="Times New Roman" w:cs="Times New Roman"/>
          <w:sz w:val="20"/>
          <w:szCs w:val="20"/>
        </w:rPr>
        <w:t>assessment</w:t>
      </w:r>
      <w:r>
        <w:rPr>
          <w:rFonts w:ascii="Times New Roman" w:hAnsi="Times New Roman" w:eastAsia="Times New Roman" w:cs="Times New Roman"/>
          <w:spacing w:val="36"/>
          <w:sz w:val="20"/>
          <w:szCs w:val="20"/>
        </w:rPr>
        <w:t xml:space="preserve"> </w:t>
      </w:r>
      <w:r>
        <w:rPr>
          <w:rFonts w:ascii="Times New Roman" w:hAnsi="Times New Roman" w:eastAsia="Times New Roman" w:cs="Times New Roman"/>
          <w:sz w:val="20"/>
          <w:szCs w:val="20"/>
        </w:rPr>
        <w:t>of</w:t>
      </w:r>
      <w:r>
        <w:rPr>
          <w:rFonts w:ascii="Times New Roman" w:hAnsi="Times New Roman" w:eastAsia="Times New Roman" w:cs="Times New Roman"/>
          <w:spacing w:val="19"/>
          <w:sz w:val="20"/>
          <w:szCs w:val="20"/>
        </w:rPr>
        <w:t xml:space="preserve"> </w:t>
      </w:r>
      <w:r>
        <w:rPr>
          <w:rFonts w:ascii="Times New Roman" w:hAnsi="Times New Roman" w:eastAsia="Times New Roman" w:cs="Times New Roman"/>
          <w:sz w:val="20"/>
          <w:szCs w:val="20"/>
        </w:rPr>
        <w:t>systema</w:t>
      </w:r>
      <w:r>
        <w:rPr>
          <w:rFonts w:ascii="Times New Roman" w:hAnsi="Times New Roman" w:eastAsia="Times New Roman" w:cs="Times New Roman"/>
          <w:spacing w:val="-1"/>
          <w:sz w:val="20"/>
          <w:szCs w:val="20"/>
        </w:rPr>
        <w:t>tic</w:t>
      </w:r>
      <w:r>
        <w:rPr>
          <w:rFonts w:ascii="Times New Roman" w:hAnsi="Times New Roman" w:eastAsia="Times New Roman" w:cs="Times New Roman"/>
          <w:spacing w:val="31"/>
          <w:sz w:val="20"/>
          <w:szCs w:val="20"/>
        </w:rPr>
        <w:t xml:space="preserve"> </w:t>
      </w:r>
      <w:r>
        <w:rPr>
          <w:rFonts w:ascii="Times New Roman" w:hAnsi="Times New Roman" w:eastAsia="Times New Roman" w:cs="Times New Roman"/>
          <w:spacing w:val="-1"/>
          <w:sz w:val="20"/>
          <w:szCs w:val="20"/>
        </w:rPr>
        <w:t>review</w:t>
      </w:r>
      <w:r>
        <w:rPr>
          <w:rFonts w:ascii="Times New Roman" w:hAnsi="Times New Roman" w:eastAsia="Times New Roman" w:cs="Times New Roman"/>
          <w:spacing w:val="37"/>
          <w:sz w:val="20"/>
          <w:szCs w:val="20"/>
        </w:rPr>
        <w:t xml:space="preserve"> </w:t>
      </w:r>
      <w:r>
        <w:rPr>
          <w:rFonts w:ascii="Times New Roman" w:hAnsi="Times New Roman" w:eastAsia="Times New Roman" w:cs="Times New Roman"/>
          <w:spacing w:val="-1"/>
          <w:sz w:val="20"/>
          <w:szCs w:val="20"/>
        </w:rPr>
        <w:t>and</w:t>
      </w:r>
      <w:r>
        <w:rPr>
          <w:rFonts w:ascii="Times New Roman" w:hAnsi="Times New Roman" w:eastAsia="Times New Roman" w:cs="Times New Roman"/>
          <w:spacing w:val="31"/>
          <w:w w:val="101"/>
          <w:sz w:val="20"/>
          <w:szCs w:val="20"/>
        </w:rPr>
        <w:t xml:space="preserve"> </w:t>
      </w:r>
      <w:r>
        <w:rPr>
          <w:rFonts w:ascii="Times New Roman" w:hAnsi="Times New Roman" w:eastAsia="Times New Roman" w:cs="Times New Roman"/>
          <w:spacing w:val="-1"/>
          <w:sz w:val="20"/>
          <w:szCs w:val="20"/>
        </w:rPr>
        <w:t>the</w:t>
      </w:r>
      <w:r>
        <w:rPr>
          <w:rFonts w:ascii="Times New Roman" w:hAnsi="Times New Roman" w:eastAsia="Times New Roman" w:cs="Times New Roman"/>
          <w:spacing w:val="29"/>
          <w:sz w:val="20"/>
          <w:szCs w:val="20"/>
        </w:rPr>
        <w:t xml:space="preserve"> </w:t>
      </w:r>
      <w:r>
        <w:rPr>
          <w:rFonts w:ascii="Times New Roman" w:hAnsi="Times New Roman" w:eastAsia="Times New Roman" w:cs="Times New Roman"/>
          <w:spacing w:val="-1"/>
          <w:sz w:val="20"/>
          <w:szCs w:val="20"/>
        </w:rPr>
        <w:t>progress</w:t>
      </w:r>
      <w:r>
        <w:rPr>
          <w:rFonts w:ascii="Times New Roman" w:hAnsi="Times New Roman" w:eastAsia="Times New Roman" w:cs="Times New Roman"/>
          <w:spacing w:val="35"/>
          <w:w w:val="101"/>
          <w:sz w:val="20"/>
          <w:szCs w:val="20"/>
        </w:rPr>
        <w:t xml:space="preserve"> </w:t>
      </w:r>
      <w:r>
        <w:rPr>
          <w:rFonts w:ascii="Times New Roman" w:hAnsi="Times New Roman" w:eastAsia="Times New Roman" w:cs="Times New Roman"/>
          <w:spacing w:val="-1"/>
          <w:sz w:val="20"/>
          <w:szCs w:val="20"/>
        </w:rPr>
        <w:t>in</w:t>
      </w:r>
      <w:r>
        <w:rPr>
          <w:rFonts w:ascii="Times New Roman" w:hAnsi="Times New Roman" w:eastAsia="Times New Roman" w:cs="Times New Roman"/>
          <w:spacing w:val="39"/>
          <w:w w:val="101"/>
          <w:sz w:val="20"/>
          <w:szCs w:val="20"/>
        </w:rPr>
        <w:t xml:space="preserve"> </w:t>
      </w:r>
      <w:r>
        <w:rPr>
          <w:rFonts w:ascii="Times New Roman" w:hAnsi="Times New Roman" w:eastAsia="Times New Roman" w:cs="Times New Roman"/>
          <w:spacing w:val="-1"/>
          <w:sz w:val="20"/>
          <w:szCs w:val="20"/>
        </w:rPr>
        <w:t>systematic</w:t>
      </w:r>
      <w:r>
        <w:rPr>
          <w:rFonts w:ascii="Times New Roman" w:hAnsi="Times New Roman" w:eastAsia="Times New Roman" w:cs="Times New Roman"/>
          <w:sz w:val="20"/>
          <w:szCs w:val="20"/>
        </w:rPr>
        <w:t xml:space="preserve"> </w:t>
      </w:r>
      <w:r>
        <w:rPr>
          <w:rFonts w:ascii="Times New Roman" w:hAnsi="Times New Roman" w:eastAsia="Times New Roman" w:cs="Times New Roman"/>
          <w:spacing w:val="-1"/>
          <w:sz w:val="20"/>
          <w:szCs w:val="20"/>
        </w:rPr>
        <w:t>review</w:t>
      </w:r>
      <w:r>
        <w:rPr>
          <w:rFonts w:ascii="Times New Roman" w:hAnsi="Times New Roman" w:eastAsia="Times New Roman" w:cs="Times New Roman"/>
          <w:spacing w:val="34"/>
          <w:w w:val="101"/>
          <w:sz w:val="20"/>
          <w:szCs w:val="20"/>
        </w:rPr>
        <w:t xml:space="preserve"> </w:t>
      </w:r>
      <w:r>
        <w:rPr>
          <w:rFonts w:ascii="Times New Roman" w:hAnsi="Times New Roman" w:eastAsia="Times New Roman" w:cs="Times New Roman"/>
          <w:spacing w:val="-1"/>
          <w:sz w:val="20"/>
          <w:szCs w:val="20"/>
        </w:rPr>
        <w:t>and</w:t>
      </w:r>
      <w:r>
        <w:rPr>
          <w:rFonts w:ascii="Times New Roman" w:hAnsi="Times New Roman" w:eastAsia="Times New Roman" w:cs="Times New Roman"/>
          <w:spacing w:val="19"/>
          <w:sz w:val="20"/>
          <w:szCs w:val="20"/>
        </w:rPr>
        <w:t xml:space="preserve"> </w:t>
      </w:r>
      <w:r>
        <w:rPr>
          <w:rFonts w:ascii="Times New Roman" w:hAnsi="Times New Roman" w:eastAsia="Times New Roman" w:cs="Times New Roman"/>
          <w:spacing w:val="-1"/>
          <w:sz w:val="20"/>
          <w:szCs w:val="20"/>
        </w:rPr>
        <w:t>meta-analysis.</w:t>
      </w:r>
    </w:p>
    <w:p w14:paraId="51FAFA17">
      <w:pPr>
        <w:spacing w:line="472" w:lineRule="auto"/>
        <w:rPr>
          <w:rFonts w:ascii="Arial"/>
          <w:sz w:val="21"/>
        </w:rPr>
      </w:pPr>
    </w:p>
    <w:p w14:paraId="654D8D31">
      <w:pPr>
        <w:pStyle w:val="2"/>
        <w:spacing w:before="95" w:line="221" w:lineRule="auto"/>
        <w:ind w:left="3314"/>
        <w:outlineLvl w:val="1"/>
        <w:rPr>
          <w:sz w:val="29"/>
          <w:szCs w:val="29"/>
        </w:rPr>
      </w:pPr>
      <w:bookmarkStart w:id="456" w:name="bookmark290"/>
      <w:bookmarkEnd w:id="456"/>
      <w:r>
        <w:rPr>
          <w:b/>
          <w:bCs/>
          <w:spacing w:val="4"/>
          <w:sz w:val="29"/>
          <w:szCs w:val="29"/>
        </w:rPr>
        <w:t>第一节</w:t>
      </w:r>
      <w:r>
        <w:rPr>
          <w:spacing w:val="137"/>
          <w:sz w:val="29"/>
          <w:szCs w:val="29"/>
        </w:rPr>
        <w:t xml:space="preserve"> </w:t>
      </w:r>
      <w:r>
        <w:rPr>
          <w:b/>
          <w:bCs/>
          <w:spacing w:val="4"/>
          <w:sz w:val="29"/>
          <w:szCs w:val="29"/>
        </w:rPr>
        <w:t>循证医学</w:t>
      </w:r>
    </w:p>
    <w:p w14:paraId="62EDB520">
      <w:pPr>
        <w:spacing w:line="378" w:lineRule="auto"/>
        <w:rPr>
          <w:rFonts w:ascii="Arial"/>
          <w:sz w:val="21"/>
        </w:rPr>
      </w:pPr>
    </w:p>
    <w:p w14:paraId="7776643A">
      <w:pPr>
        <w:pStyle w:val="2"/>
        <w:spacing w:before="82" w:line="221" w:lineRule="auto"/>
        <w:ind w:left="423"/>
        <w:outlineLvl w:val="4"/>
        <w:rPr>
          <w:sz w:val="25"/>
          <w:szCs w:val="25"/>
        </w:rPr>
      </w:pPr>
      <w:bookmarkStart w:id="457" w:name="bookmark291"/>
      <w:bookmarkEnd w:id="457"/>
      <w:r>
        <w:rPr>
          <w:b/>
          <w:bCs/>
          <w:spacing w:val="-14"/>
          <w:sz w:val="25"/>
          <w:szCs w:val="25"/>
        </w:rPr>
        <w:t>一</w:t>
      </w:r>
      <w:r>
        <w:rPr>
          <w:spacing w:val="-59"/>
          <w:sz w:val="25"/>
          <w:szCs w:val="25"/>
        </w:rPr>
        <w:t xml:space="preserve"> </w:t>
      </w:r>
      <w:r>
        <w:rPr>
          <w:b/>
          <w:bCs/>
          <w:spacing w:val="-14"/>
          <w:sz w:val="25"/>
          <w:szCs w:val="25"/>
        </w:rPr>
        <w:t>、概述</w:t>
      </w:r>
    </w:p>
    <w:p w14:paraId="5F545527">
      <w:pPr>
        <w:pStyle w:val="2"/>
        <w:spacing w:before="220" w:line="221" w:lineRule="auto"/>
        <w:ind w:left="423"/>
        <w:rPr>
          <w:sz w:val="25"/>
          <w:szCs w:val="25"/>
        </w:rPr>
      </w:pPr>
      <w:r>
        <w:rPr>
          <w:b/>
          <w:bCs/>
          <w:spacing w:val="-15"/>
          <w:sz w:val="25"/>
          <w:szCs w:val="25"/>
        </w:rPr>
        <w:t>(一)循证医学的产生</w:t>
      </w:r>
    </w:p>
    <w:p w14:paraId="2F652AFC">
      <w:pPr>
        <w:spacing w:before="127" w:line="332" w:lineRule="auto"/>
        <w:ind w:right="627" w:firstLine="419"/>
        <w:jc w:val="both"/>
        <w:rPr>
          <w:rFonts w:ascii="宋体" w:hAnsi="宋体" w:eastAsia="宋体" w:cs="宋体"/>
          <w:sz w:val="20"/>
          <w:szCs w:val="20"/>
        </w:rPr>
      </w:pPr>
      <w:r>
        <w:rPr>
          <w:rFonts w:ascii="宋体" w:hAnsi="宋体" w:eastAsia="宋体" w:cs="宋体"/>
          <w:spacing w:val="7"/>
          <w:sz w:val="20"/>
          <w:szCs w:val="20"/>
        </w:rPr>
        <w:t>随着医疗实践的迅速发展，临床医师了解临床研究进展的途径丰富、</w:t>
      </w:r>
      <w:r>
        <w:rPr>
          <w:rFonts w:ascii="宋体" w:hAnsi="宋体" w:eastAsia="宋体" w:cs="宋体"/>
          <w:spacing w:val="6"/>
          <w:sz w:val="20"/>
          <w:szCs w:val="20"/>
        </w:rPr>
        <w:t>信息量巨大，且基于不同</w:t>
      </w:r>
      <w:r>
        <w:rPr>
          <w:rFonts w:ascii="宋体" w:hAnsi="宋体" w:eastAsia="宋体" w:cs="宋体"/>
          <w:sz w:val="20"/>
          <w:szCs w:val="20"/>
        </w:rPr>
        <w:t xml:space="preserve"> </w:t>
      </w:r>
      <w:r>
        <w:rPr>
          <w:rFonts w:ascii="宋体" w:hAnsi="宋体" w:eastAsia="宋体" w:cs="宋体"/>
          <w:spacing w:val="11"/>
          <w:sz w:val="20"/>
          <w:szCs w:val="20"/>
        </w:rPr>
        <w:t>资料开展科研产生的临床结论也不尽相同，如何在浩瀚的信息和文献中筛选出针对临床问题的最</w:t>
      </w:r>
      <w:r>
        <w:rPr>
          <w:rFonts w:ascii="宋体" w:hAnsi="宋体" w:eastAsia="宋体" w:cs="宋体"/>
          <w:spacing w:val="6"/>
          <w:sz w:val="20"/>
          <w:szCs w:val="20"/>
        </w:rPr>
        <w:t xml:space="preserve"> </w:t>
      </w:r>
      <w:r>
        <w:rPr>
          <w:rFonts w:ascii="宋体" w:hAnsi="宋体" w:eastAsia="宋体" w:cs="宋体"/>
          <w:spacing w:val="11"/>
          <w:sz w:val="20"/>
          <w:szCs w:val="20"/>
        </w:rPr>
        <w:t>适宜的证据，是临床医师必须解决的问题。20</w:t>
      </w:r>
      <w:r>
        <w:rPr>
          <w:rFonts w:ascii="宋体" w:hAnsi="宋体" w:eastAsia="宋体" w:cs="宋体"/>
          <w:spacing w:val="10"/>
          <w:sz w:val="20"/>
          <w:szCs w:val="20"/>
        </w:rPr>
        <w:t>世纪70年代，随机化临床试验</w:t>
      </w:r>
      <w:r>
        <w:rPr>
          <w:rFonts w:ascii="Times New Roman" w:hAnsi="Times New Roman" w:eastAsia="Times New Roman" w:cs="Times New Roman"/>
          <w:spacing w:val="10"/>
          <w:sz w:val="20"/>
          <w:szCs w:val="20"/>
        </w:rPr>
        <w:t>(</w:t>
      </w:r>
      <w:r>
        <w:rPr>
          <w:rFonts w:ascii="Times New Roman" w:hAnsi="Times New Roman" w:eastAsia="Times New Roman" w:cs="Times New Roman"/>
          <w:sz w:val="20"/>
          <w:szCs w:val="20"/>
        </w:rPr>
        <w:t>RCT</w:t>
      </w:r>
      <w:r>
        <w:rPr>
          <w:rFonts w:ascii="Times New Roman" w:hAnsi="Times New Roman" w:eastAsia="Times New Roman" w:cs="Times New Roman"/>
          <w:spacing w:val="10"/>
          <w:sz w:val="20"/>
          <w:szCs w:val="20"/>
        </w:rPr>
        <w:t>)</w:t>
      </w:r>
      <w:r>
        <w:rPr>
          <w:rFonts w:ascii="Times New Roman" w:hAnsi="Times New Roman" w:eastAsia="Times New Roman" w:cs="Times New Roman"/>
          <w:spacing w:val="46"/>
          <w:w w:val="101"/>
          <w:sz w:val="20"/>
          <w:szCs w:val="20"/>
        </w:rPr>
        <w:t xml:space="preserve"> </w:t>
      </w:r>
      <w:r>
        <w:rPr>
          <w:rFonts w:ascii="宋体" w:hAnsi="宋体" w:eastAsia="宋体" w:cs="宋体"/>
          <w:spacing w:val="10"/>
          <w:sz w:val="20"/>
          <w:szCs w:val="20"/>
        </w:rPr>
        <w:t>在各个临床学</w:t>
      </w:r>
      <w:r>
        <w:rPr>
          <w:rFonts w:ascii="宋体" w:hAnsi="宋体" w:eastAsia="宋体" w:cs="宋体"/>
          <w:sz w:val="20"/>
          <w:szCs w:val="20"/>
        </w:rPr>
        <w:t xml:space="preserve"> </w:t>
      </w:r>
      <w:r>
        <w:rPr>
          <w:rFonts w:ascii="宋体" w:hAnsi="宋体" w:eastAsia="宋体" w:cs="宋体"/>
          <w:spacing w:val="6"/>
          <w:sz w:val="20"/>
          <w:szCs w:val="20"/>
        </w:rPr>
        <w:t>科用来评估治疗措施效果，并累积了大量高质量的科学证据。然而，这些研究证据仅仅在研究者之</w:t>
      </w:r>
      <w:r>
        <w:rPr>
          <w:rFonts w:ascii="宋体" w:hAnsi="宋体" w:eastAsia="宋体" w:cs="宋体"/>
          <w:spacing w:val="8"/>
          <w:sz w:val="20"/>
          <w:szCs w:val="20"/>
        </w:rPr>
        <w:t xml:space="preserve"> </w:t>
      </w:r>
      <w:r>
        <w:rPr>
          <w:rFonts w:ascii="宋体" w:hAnsi="宋体" w:eastAsia="宋体" w:cs="宋体"/>
          <w:spacing w:val="6"/>
          <w:sz w:val="20"/>
          <w:szCs w:val="20"/>
        </w:rPr>
        <w:t>间传播，导致很多过时、无效的措施继续广泛使用，而一些新的有效措施迟迟不被采纳。英国流行</w:t>
      </w:r>
      <w:r>
        <w:rPr>
          <w:rFonts w:ascii="宋体" w:hAnsi="宋体" w:eastAsia="宋体" w:cs="宋体"/>
          <w:spacing w:val="11"/>
          <w:sz w:val="20"/>
          <w:szCs w:val="20"/>
        </w:rPr>
        <w:t xml:space="preserve"> 病学家</w:t>
      </w:r>
      <w:r>
        <w:rPr>
          <w:rFonts w:ascii="Times New Roman" w:hAnsi="Times New Roman" w:eastAsia="Times New Roman" w:cs="Times New Roman"/>
          <w:sz w:val="20"/>
          <w:szCs w:val="20"/>
        </w:rPr>
        <w:t>Archie</w:t>
      </w:r>
      <w:r>
        <w:rPr>
          <w:rFonts w:ascii="Times New Roman" w:hAnsi="Times New Roman" w:eastAsia="Times New Roman" w:cs="Times New Roman"/>
          <w:spacing w:val="11"/>
          <w:sz w:val="20"/>
          <w:szCs w:val="20"/>
        </w:rPr>
        <w:t xml:space="preserve">   </w:t>
      </w:r>
      <w:r>
        <w:rPr>
          <w:rFonts w:ascii="Times New Roman" w:hAnsi="Times New Roman" w:eastAsia="Times New Roman" w:cs="Times New Roman"/>
          <w:sz w:val="20"/>
          <w:szCs w:val="20"/>
        </w:rPr>
        <w:t>Cochrane</w:t>
      </w:r>
      <w:r>
        <w:rPr>
          <w:rFonts w:ascii="宋体" w:hAnsi="宋体" w:eastAsia="宋体" w:cs="宋体"/>
          <w:spacing w:val="11"/>
          <w:sz w:val="20"/>
          <w:szCs w:val="20"/>
        </w:rPr>
        <w:t>意识到这些研究证据对医学实践的重要意义，指出医</w:t>
      </w:r>
      <w:r>
        <w:rPr>
          <w:rFonts w:ascii="宋体" w:hAnsi="宋体" w:eastAsia="宋体" w:cs="宋体"/>
          <w:spacing w:val="10"/>
          <w:sz w:val="20"/>
          <w:szCs w:val="20"/>
        </w:rPr>
        <w:t>学界忽视了科学研究</w:t>
      </w:r>
      <w:r>
        <w:rPr>
          <w:rFonts w:ascii="宋体" w:hAnsi="宋体" w:eastAsia="宋体" w:cs="宋体"/>
          <w:sz w:val="20"/>
          <w:szCs w:val="20"/>
        </w:rPr>
        <w:t xml:space="preserve"> </w:t>
      </w:r>
      <w:r>
        <w:rPr>
          <w:rFonts w:ascii="宋体" w:hAnsi="宋体" w:eastAsia="宋体" w:cs="宋体"/>
          <w:spacing w:val="6"/>
          <w:sz w:val="20"/>
          <w:szCs w:val="20"/>
        </w:rPr>
        <w:t>对医学实践的重要指导作用，并提出了一个大胆和富有远见卓识的建议：医学界应系统地总结和传</w:t>
      </w:r>
      <w:r>
        <w:rPr>
          <w:rFonts w:ascii="宋体" w:hAnsi="宋体" w:eastAsia="宋体" w:cs="宋体"/>
          <w:spacing w:val="11"/>
          <w:sz w:val="20"/>
          <w:szCs w:val="20"/>
        </w:rPr>
        <w:t xml:space="preserve"> </w:t>
      </w:r>
      <w:r>
        <w:rPr>
          <w:rFonts w:ascii="宋体" w:hAnsi="宋体" w:eastAsia="宋体" w:cs="宋体"/>
          <w:spacing w:val="4"/>
          <w:sz w:val="20"/>
          <w:szCs w:val="20"/>
        </w:rPr>
        <w:t>播</w:t>
      </w:r>
      <w:r>
        <w:rPr>
          <w:rFonts w:ascii="Times New Roman" w:hAnsi="Times New Roman" w:eastAsia="Times New Roman" w:cs="Times New Roman"/>
          <w:sz w:val="20"/>
          <w:szCs w:val="20"/>
        </w:rPr>
        <w:t>RCT</w:t>
      </w:r>
      <w:r>
        <w:rPr>
          <w:rFonts w:ascii="Times New Roman" w:hAnsi="Times New Roman" w:eastAsia="Times New Roman" w:cs="Times New Roman"/>
          <w:spacing w:val="4"/>
          <w:sz w:val="20"/>
          <w:szCs w:val="20"/>
        </w:rPr>
        <w:t xml:space="preserve"> </w:t>
      </w:r>
      <w:r>
        <w:rPr>
          <w:rFonts w:ascii="宋体" w:hAnsi="宋体" w:eastAsia="宋体" w:cs="宋体"/>
          <w:spacing w:val="4"/>
          <w:sz w:val="20"/>
          <w:szCs w:val="20"/>
        </w:rPr>
        <w:t>的研究证据，并将其应用于指导医学实践，提高医疗卫生服务的质量和效率。</w:t>
      </w:r>
    </w:p>
    <w:p w14:paraId="667D0D05">
      <w:pPr>
        <w:spacing w:before="57" w:line="333" w:lineRule="auto"/>
        <w:ind w:right="638" w:firstLine="419"/>
        <w:jc w:val="both"/>
        <w:rPr>
          <w:rFonts w:ascii="宋体" w:hAnsi="宋体" w:eastAsia="宋体" w:cs="宋体"/>
          <w:sz w:val="20"/>
          <w:szCs w:val="20"/>
        </w:rPr>
      </w:pPr>
      <w:r>
        <w:rPr>
          <w:rFonts w:ascii="宋体" w:hAnsi="宋体" w:eastAsia="宋体" w:cs="宋体"/>
          <w:spacing w:val="9"/>
          <w:sz w:val="20"/>
          <w:szCs w:val="20"/>
        </w:rPr>
        <w:t>英国卫生管理部门对此作出了积极响应，在</w:t>
      </w:r>
      <w:r>
        <w:rPr>
          <w:rFonts w:ascii="Times New Roman" w:hAnsi="Times New Roman" w:eastAsia="Times New Roman" w:cs="Times New Roman"/>
          <w:sz w:val="20"/>
          <w:szCs w:val="20"/>
        </w:rPr>
        <w:t>WHO</w:t>
      </w:r>
      <w:r>
        <w:rPr>
          <w:rFonts w:ascii="Times New Roman" w:hAnsi="Times New Roman" w:eastAsia="Times New Roman" w:cs="Times New Roman"/>
          <w:spacing w:val="9"/>
          <w:sz w:val="20"/>
          <w:szCs w:val="20"/>
        </w:rPr>
        <w:t xml:space="preserve"> </w:t>
      </w:r>
      <w:r>
        <w:rPr>
          <w:rFonts w:ascii="宋体" w:hAnsi="宋体" w:eastAsia="宋体" w:cs="宋体"/>
          <w:spacing w:val="9"/>
          <w:sz w:val="20"/>
          <w:szCs w:val="20"/>
        </w:rPr>
        <w:t>支持</w:t>
      </w:r>
      <w:r>
        <w:rPr>
          <w:rFonts w:ascii="宋体" w:hAnsi="宋体" w:eastAsia="宋体" w:cs="宋体"/>
          <w:spacing w:val="8"/>
          <w:sz w:val="20"/>
          <w:szCs w:val="20"/>
        </w:rPr>
        <w:t>下，在</w:t>
      </w:r>
      <w:r>
        <w:rPr>
          <w:rFonts w:ascii="Times New Roman" w:hAnsi="Times New Roman" w:eastAsia="Times New Roman" w:cs="Times New Roman"/>
          <w:sz w:val="20"/>
          <w:szCs w:val="20"/>
        </w:rPr>
        <w:t>Iain</w:t>
      </w:r>
      <w:r>
        <w:rPr>
          <w:rFonts w:ascii="Times New Roman" w:hAnsi="Times New Roman" w:eastAsia="Times New Roman" w:cs="Times New Roman"/>
          <w:spacing w:val="8"/>
          <w:sz w:val="20"/>
          <w:szCs w:val="20"/>
        </w:rPr>
        <w:t xml:space="preserve">   </w:t>
      </w:r>
      <w:r>
        <w:rPr>
          <w:rFonts w:ascii="Times New Roman" w:hAnsi="Times New Roman" w:eastAsia="Times New Roman" w:cs="Times New Roman"/>
          <w:sz w:val="20"/>
          <w:szCs w:val="20"/>
        </w:rPr>
        <w:t>Chalmers</w:t>
      </w:r>
      <w:r>
        <w:rPr>
          <w:rFonts w:ascii="宋体" w:hAnsi="宋体" w:eastAsia="宋体" w:cs="宋体"/>
          <w:spacing w:val="8"/>
          <w:sz w:val="20"/>
          <w:szCs w:val="20"/>
        </w:rPr>
        <w:t>的领导下，以产科</w:t>
      </w:r>
      <w:r>
        <w:rPr>
          <w:rFonts w:ascii="宋体" w:hAnsi="宋体" w:eastAsia="宋体" w:cs="宋体"/>
          <w:sz w:val="20"/>
          <w:szCs w:val="20"/>
        </w:rPr>
        <w:t xml:space="preserve"> </w:t>
      </w:r>
      <w:r>
        <w:rPr>
          <w:rFonts w:ascii="宋体" w:hAnsi="宋体" w:eastAsia="宋体" w:cs="宋体"/>
          <w:spacing w:val="11"/>
          <w:sz w:val="20"/>
          <w:szCs w:val="20"/>
        </w:rPr>
        <w:t>为试点，开始收集和总结产科各种方法临床</w:t>
      </w:r>
      <w:r>
        <w:rPr>
          <w:rFonts w:ascii="宋体" w:hAnsi="宋体" w:eastAsia="宋体" w:cs="宋体"/>
          <w:spacing w:val="10"/>
          <w:sz w:val="20"/>
          <w:szCs w:val="20"/>
        </w:rPr>
        <w:t>效果的研究证据。经过14年努力，该研究于1989年完</w:t>
      </w:r>
      <w:r>
        <w:rPr>
          <w:rFonts w:ascii="宋体" w:hAnsi="宋体" w:eastAsia="宋体" w:cs="宋体"/>
          <w:sz w:val="20"/>
          <w:szCs w:val="20"/>
        </w:rPr>
        <w:t xml:space="preserve"> </w:t>
      </w:r>
      <w:r>
        <w:rPr>
          <w:rFonts w:ascii="宋体" w:hAnsi="宋体" w:eastAsia="宋体" w:cs="宋体"/>
          <w:spacing w:val="13"/>
          <w:sz w:val="20"/>
          <w:szCs w:val="20"/>
        </w:rPr>
        <w:t>成，结果发现226种措施中，50%没有</w:t>
      </w:r>
      <w:r>
        <w:rPr>
          <w:rFonts w:ascii="Times New Roman" w:hAnsi="Times New Roman" w:eastAsia="Times New Roman" w:cs="Times New Roman"/>
          <w:sz w:val="20"/>
          <w:szCs w:val="20"/>
        </w:rPr>
        <w:t>RCT</w:t>
      </w:r>
      <w:r>
        <w:rPr>
          <w:rFonts w:ascii="Times New Roman" w:hAnsi="Times New Roman" w:eastAsia="Times New Roman" w:cs="Times New Roman"/>
          <w:spacing w:val="13"/>
          <w:sz w:val="20"/>
          <w:szCs w:val="20"/>
        </w:rPr>
        <w:t xml:space="preserve"> </w:t>
      </w:r>
      <w:r>
        <w:rPr>
          <w:rFonts w:ascii="宋体" w:hAnsi="宋体" w:eastAsia="宋体" w:cs="宋体"/>
          <w:spacing w:val="13"/>
          <w:sz w:val="20"/>
          <w:szCs w:val="20"/>
        </w:rPr>
        <w:t>的证据，在有</w:t>
      </w:r>
      <w:r>
        <w:rPr>
          <w:rFonts w:ascii="Times New Roman" w:hAnsi="Times New Roman" w:eastAsia="Times New Roman" w:cs="Times New Roman"/>
          <w:sz w:val="20"/>
          <w:szCs w:val="20"/>
        </w:rPr>
        <w:t>RCT</w:t>
      </w:r>
      <w:r>
        <w:rPr>
          <w:rFonts w:ascii="Times New Roman" w:hAnsi="Times New Roman" w:eastAsia="Times New Roman" w:cs="Times New Roman"/>
          <w:spacing w:val="13"/>
          <w:sz w:val="20"/>
          <w:szCs w:val="20"/>
        </w:rPr>
        <w:t xml:space="preserve"> </w:t>
      </w:r>
      <w:r>
        <w:rPr>
          <w:rFonts w:ascii="宋体" w:hAnsi="宋体" w:eastAsia="宋体" w:cs="宋体"/>
          <w:spacing w:val="13"/>
          <w:sz w:val="20"/>
          <w:szCs w:val="20"/>
        </w:rPr>
        <w:t>证据的措施中，40%有效，60%无效</w:t>
      </w:r>
      <w:r>
        <w:rPr>
          <w:rFonts w:ascii="宋体" w:hAnsi="宋体" w:eastAsia="宋体" w:cs="宋体"/>
          <w:spacing w:val="4"/>
          <w:sz w:val="20"/>
          <w:szCs w:val="20"/>
        </w:rPr>
        <w:t xml:space="preserve"> </w:t>
      </w:r>
      <w:r>
        <w:rPr>
          <w:rFonts w:ascii="宋体" w:hAnsi="宋体" w:eastAsia="宋体" w:cs="宋体"/>
          <w:spacing w:val="6"/>
          <w:sz w:val="20"/>
          <w:szCs w:val="20"/>
        </w:rPr>
        <w:t>甚至有害。上述结果震惊了医学界，人们认识到，临床经验不足以可靠地回答“一项治疗措施是否</w:t>
      </w:r>
      <w:r>
        <w:rPr>
          <w:rFonts w:ascii="宋体" w:hAnsi="宋体" w:eastAsia="宋体" w:cs="宋体"/>
          <w:spacing w:val="15"/>
          <w:sz w:val="20"/>
          <w:szCs w:val="20"/>
        </w:rPr>
        <w:t xml:space="preserve"> </w:t>
      </w:r>
      <w:r>
        <w:rPr>
          <w:rFonts w:ascii="宋体" w:hAnsi="宋体" w:eastAsia="宋体" w:cs="宋体"/>
          <w:spacing w:val="5"/>
          <w:sz w:val="20"/>
          <w:szCs w:val="20"/>
        </w:rPr>
        <w:t>有效”这个医学最基本的问题。因此，必须系统地总结</w:t>
      </w:r>
      <w:r>
        <w:rPr>
          <w:rFonts w:ascii="Times New Roman" w:hAnsi="Times New Roman" w:eastAsia="Times New Roman" w:cs="Times New Roman"/>
          <w:sz w:val="20"/>
          <w:szCs w:val="20"/>
        </w:rPr>
        <w:t>RCT</w:t>
      </w:r>
      <w:r>
        <w:rPr>
          <w:rFonts w:ascii="Times New Roman" w:hAnsi="Times New Roman" w:eastAsia="Times New Roman" w:cs="Times New Roman"/>
          <w:spacing w:val="22"/>
          <w:sz w:val="20"/>
          <w:szCs w:val="20"/>
        </w:rPr>
        <w:t xml:space="preserve"> </w:t>
      </w:r>
      <w:r>
        <w:rPr>
          <w:rFonts w:ascii="宋体" w:hAnsi="宋体" w:eastAsia="宋体" w:cs="宋体"/>
          <w:spacing w:val="5"/>
          <w:sz w:val="20"/>
          <w:szCs w:val="20"/>
        </w:rPr>
        <w:t>的科学证据，淘汰无效的治疗措施，所</w:t>
      </w:r>
      <w:r>
        <w:rPr>
          <w:rFonts w:ascii="宋体" w:hAnsi="宋体" w:eastAsia="宋体" w:cs="宋体"/>
          <w:sz w:val="20"/>
          <w:szCs w:val="20"/>
        </w:rPr>
        <w:t xml:space="preserve"> </w:t>
      </w:r>
      <w:r>
        <w:rPr>
          <w:rFonts w:ascii="宋体" w:hAnsi="宋体" w:eastAsia="宋体" w:cs="宋体"/>
          <w:spacing w:val="6"/>
          <w:sz w:val="20"/>
          <w:szCs w:val="20"/>
        </w:rPr>
        <w:t>有新的医学技术在被引人医学实践之前，都必须经过严格的科学评估。至此，循证</w:t>
      </w:r>
      <w:r>
        <w:rPr>
          <w:rFonts w:ascii="宋体" w:hAnsi="宋体" w:eastAsia="宋体" w:cs="宋体"/>
          <w:spacing w:val="5"/>
          <w:sz w:val="20"/>
          <w:szCs w:val="20"/>
        </w:rPr>
        <w:t>医学的思想萌芽</w:t>
      </w:r>
    </w:p>
    <w:p w14:paraId="5C454EC6">
      <w:pPr>
        <w:spacing w:line="333" w:lineRule="auto"/>
        <w:rPr>
          <w:rFonts w:ascii="宋体" w:hAnsi="宋体" w:eastAsia="宋体" w:cs="宋体"/>
          <w:sz w:val="20"/>
          <w:szCs w:val="20"/>
        </w:rPr>
        <w:sectPr>
          <w:footerReference r:id="rId294" w:type="default"/>
          <w:pgSz w:w="11900" w:h="16820"/>
          <w:pgMar w:top="400" w:right="904" w:bottom="849" w:left="1470" w:header="0" w:footer="669" w:gutter="0"/>
          <w:cols w:space="720" w:num="1"/>
        </w:sectPr>
      </w:pPr>
    </w:p>
    <w:p w14:paraId="48D187CD">
      <w:pPr>
        <w:pStyle w:val="2"/>
        <w:spacing w:before="226" w:line="221" w:lineRule="auto"/>
        <w:ind w:left="699"/>
        <w:rPr>
          <w:sz w:val="20"/>
          <w:szCs w:val="20"/>
        </w:rPr>
      </w:pPr>
      <w:bookmarkStart w:id="458" w:name="bookmark553"/>
      <w:bookmarkEnd w:id="458"/>
      <w:r>
        <w:rPr>
          <w:spacing w:val="-22"/>
          <w:sz w:val="20"/>
          <w:szCs w:val="20"/>
        </w:rPr>
        <w:t>第十八章 循证医学与系统综述</w:t>
      </w:r>
    </w:p>
    <w:p w14:paraId="04FE2D42">
      <w:pPr>
        <w:spacing w:line="272" w:lineRule="auto"/>
        <w:rPr>
          <w:rFonts w:ascii="Arial"/>
          <w:sz w:val="21"/>
        </w:rPr>
      </w:pPr>
    </w:p>
    <w:p w14:paraId="2A7958CD">
      <w:pPr>
        <w:spacing w:line="272" w:lineRule="auto"/>
        <w:rPr>
          <w:rFonts w:ascii="Arial"/>
          <w:sz w:val="21"/>
        </w:rPr>
      </w:pPr>
    </w:p>
    <w:p w14:paraId="23C27BB3">
      <w:pPr>
        <w:spacing w:before="65" w:line="341" w:lineRule="auto"/>
        <w:ind w:left="699" w:right="91"/>
        <w:rPr>
          <w:rFonts w:ascii="宋体" w:hAnsi="宋体" w:eastAsia="宋体" w:cs="宋体"/>
          <w:sz w:val="20"/>
          <w:szCs w:val="20"/>
        </w:rPr>
      </w:pPr>
      <w:r>
        <w:rPr>
          <w:rFonts w:ascii="宋体" w:hAnsi="宋体" w:eastAsia="宋体" w:cs="宋体"/>
          <w:spacing w:val="6"/>
          <w:sz w:val="20"/>
          <w:szCs w:val="20"/>
        </w:rPr>
        <w:t>开始形成。此后，有更多的学者看到了科学研究对医学实践的意义，并开始寻找将这些研究证据转</w:t>
      </w:r>
      <w:r>
        <w:rPr>
          <w:rFonts w:ascii="宋体" w:hAnsi="宋体" w:eastAsia="宋体" w:cs="宋体"/>
          <w:sz w:val="20"/>
          <w:szCs w:val="20"/>
        </w:rPr>
        <w:t xml:space="preserve"> </w:t>
      </w:r>
      <w:r>
        <w:rPr>
          <w:rFonts w:ascii="宋体" w:hAnsi="宋体" w:eastAsia="宋体" w:cs="宋体"/>
          <w:spacing w:val="7"/>
          <w:sz w:val="20"/>
          <w:szCs w:val="20"/>
        </w:rPr>
        <w:t>化到医学实践中的方法和途径。</w:t>
      </w:r>
    </w:p>
    <w:p w14:paraId="4DB598D7">
      <w:pPr>
        <w:spacing w:before="1" w:line="339" w:lineRule="auto"/>
        <w:ind w:left="699" w:right="52" w:firstLine="409"/>
        <w:jc w:val="both"/>
        <w:rPr>
          <w:rFonts w:ascii="宋体" w:hAnsi="宋体" w:eastAsia="宋体" w:cs="宋体"/>
          <w:sz w:val="20"/>
          <w:szCs w:val="20"/>
        </w:rPr>
      </w:pPr>
      <w:r>
        <w:rPr>
          <w:rFonts w:ascii="宋体" w:hAnsi="宋体" w:eastAsia="宋体" w:cs="宋体"/>
          <w:spacing w:val="11"/>
          <w:sz w:val="20"/>
          <w:szCs w:val="20"/>
        </w:rPr>
        <w:t>1992年，加拿大麦克马斯特大学以</w:t>
      </w:r>
      <w:r>
        <w:rPr>
          <w:rFonts w:ascii="Times New Roman" w:hAnsi="Times New Roman" w:eastAsia="Times New Roman" w:cs="Times New Roman"/>
          <w:sz w:val="20"/>
          <w:szCs w:val="20"/>
        </w:rPr>
        <w:t>David</w:t>
      </w:r>
      <w:r>
        <w:rPr>
          <w:rFonts w:ascii="Times New Roman" w:hAnsi="Times New Roman" w:eastAsia="Times New Roman" w:cs="Times New Roman"/>
          <w:spacing w:val="11"/>
          <w:sz w:val="20"/>
          <w:szCs w:val="20"/>
        </w:rPr>
        <w:t xml:space="preserve">   </w:t>
      </w:r>
      <w:r>
        <w:rPr>
          <w:rFonts w:ascii="Times New Roman" w:hAnsi="Times New Roman" w:eastAsia="Times New Roman" w:cs="Times New Roman"/>
          <w:sz w:val="20"/>
          <w:szCs w:val="20"/>
        </w:rPr>
        <w:t>Sackett</w:t>
      </w:r>
      <w:r>
        <w:rPr>
          <w:rFonts w:ascii="宋体" w:hAnsi="宋体" w:eastAsia="宋体" w:cs="宋体"/>
          <w:spacing w:val="11"/>
          <w:sz w:val="20"/>
          <w:szCs w:val="20"/>
        </w:rPr>
        <w:t>为首的一批临床流行病学学</w:t>
      </w:r>
      <w:r>
        <w:rPr>
          <w:rFonts w:ascii="宋体" w:hAnsi="宋体" w:eastAsia="宋体" w:cs="宋体"/>
          <w:spacing w:val="10"/>
          <w:sz w:val="20"/>
          <w:szCs w:val="20"/>
        </w:rPr>
        <w:t>者以循证医学工</w:t>
      </w:r>
      <w:r>
        <w:rPr>
          <w:rFonts w:ascii="宋体" w:hAnsi="宋体" w:eastAsia="宋体" w:cs="宋体"/>
          <w:sz w:val="20"/>
          <w:szCs w:val="20"/>
        </w:rPr>
        <w:t xml:space="preserve"> </w:t>
      </w:r>
      <w:r>
        <w:rPr>
          <w:rFonts w:ascii="宋体" w:hAnsi="宋体" w:eastAsia="宋体" w:cs="宋体"/>
          <w:spacing w:val="-2"/>
          <w:sz w:val="20"/>
          <w:szCs w:val="20"/>
        </w:rPr>
        <w:t>作组的名义，在《美国医学会杂志》上发表了一篇题名为“循证医学(evidence-based medicine,EBM):</w:t>
      </w:r>
      <w:r>
        <w:rPr>
          <w:rFonts w:ascii="宋体" w:hAnsi="宋体" w:eastAsia="宋体" w:cs="宋体"/>
          <w:spacing w:val="16"/>
          <w:sz w:val="20"/>
          <w:szCs w:val="20"/>
        </w:rPr>
        <w:t xml:space="preserve"> </w:t>
      </w:r>
      <w:r>
        <w:rPr>
          <w:rFonts w:ascii="宋体" w:hAnsi="宋体" w:eastAsia="宋体" w:cs="宋体"/>
          <w:spacing w:val="6"/>
          <w:sz w:val="20"/>
          <w:szCs w:val="20"/>
        </w:rPr>
        <w:t xml:space="preserve">医学实践教学新模式”的文章，第一次在医学文献里提出了循证医学。该文指出，由于医学科学的 </w:t>
      </w:r>
      <w:r>
        <w:rPr>
          <w:rFonts w:ascii="宋体" w:hAnsi="宋体" w:eastAsia="宋体" w:cs="宋体"/>
          <w:spacing w:val="7"/>
          <w:sz w:val="20"/>
          <w:szCs w:val="20"/>
        </w:rPr>
        <w:t>迅猛发展，医师应不断地、直接地从科学研</w:t>
      </w:r>
      <w:r>
        <w:rPr>
          <w:rFonts w:ascii="宋体" w:hAnsi="宋体" w:eastAsia="宋体" w:cs="宋体"/>
          <w:spacing w:val="6"/>
          <w:sz w:val="20"/>
          <w:szCs w:val="20"/>
        </w:rPr>
        <w:t>究中学习新知识，要做到这一点，医师首先必须掌握检</w:t>
      </w:r>
      <w:r>
        <w:rPr>
          <w:rFonts w:ascii="宋体" w:hAnsi="宋体" w:eastAsia="宋体" w:cs="宋体"/>
          <w:sz w:val="20"/>
          <w:szCs w:val="20"/>
        </w:rPr>
        <w:t xml:space="preserve"> </w:t>
      </w:r>
      <w:r>
        <w:rPr>
          <w:rFonts w:ascii="宋体" w:hAnsi="宋体" w:eastAsia="宋体" w:cs="宋体"/>
          <w:spacing w:val="3"/>
          <w:sz w:val="20"/>
          <w:szCs w:val="20"/>
        </w:rPr>
        <w:t>索、阅读、理解和应用研究报告的能力。然而，传统医学教育尚缺乏对这些知</w:t>
      </w:r>
      <w:r>
        <w:rPr>
          <w:rFonts w:ascii="宋体" w:hAnsi="宋体" w:eastAsia="宋体" w:cs="宋体"/>
          <w:spacing w:val="2"/>
          <w:sz w:val="20"/>
          <w:szCs w:val="20"/>
        </w:rPr>
        <w:t>识和能力的培养。</w:t>
      </w:r>
    </w:p>
    <w:p w14:paraId="48416F82">
      <w:pPr>
        <w:spacing w:before="2" w:line="341" w:lineRule="auto"/>
        <w:ind w:left="699" w:right="69" w:firstLine="409"/>
        <w:rPr>
          <w:rFonts w:ascii="宋体" w:hAnsi="宋体" w:eastAsia="宋体" w:cs="宋体"/>
          <w:sz w:val="20"/>
          <w:szCs w:val="20"/>
        </w:rPr>
      </w:pPr>
      <w:r>
        <w:rPr>
          <w:rFonts w:ascii="宋体" w:hAnsi="宋体" w:eastAsia="宋体" w:cs="宋体"/>
          <w:spacing w:val="-2"/>
          <w:sz w:val="20"/>
          <w:szCs w:val="20"/>
        </w:rPr>
        <w:t>1993年，国际上建立了科克伦协作组织(The Cochra</w:t>
      </w:r>
      <w:r>
        <w:rPr>
          <w:rFonts w:ascii="宋体" w:hAnsi="宋体" w:eastAsia="宋体" w:cs="宋体"/>
          <w:spacing w:val="-3"/>
          <w:sz w:val="20"/>
          <w:szCs w:val="20"/>
        </w:rPr>
        <w:t>ne Collaboration),广泛地收集临床RCT</w:t>
      </w:r>
      <w:r>
        <w:rPr>
          <w:rFonts w:ascii="宋体" w:hAnsi="宋体" w:eastAsia="宋体" w:cs="宋体"/>
          <w:spacing w:val="37"/>
          <w:sz w:val="20"/>
          <w:szCs w:val="20"/>
        </w:rPr>
        <w:t xml:space="preserve"> </w:t>
      </w:r>
      <w:r>
        <w:rPr>
          <w:rFonts w:ascii="宋体" w:hAnsi="宋体" w:eastAsia="宋体" w:cs="宋体"/>
          <w:spacing w:val="-3"/>
          <w:sz w:val="20"/>
          <w:szCs w:val="20"/>
        </w:rPr>
        <w:t>的</w:t>
      </w:r>
      <w:r>
        <w:rPr>
          <w:rFonts w:ascii="宋体" w:hAnsi="宋体" w:eastAsia="宋体" w:cs="宋体"/>
          <w:spacing w:val="-40"/>
          <w:sz w:val="20"/>
          <w:szCs w:val="20"/>
        </w:rPr>
        <w:t xml:space="preserve"> </w:t>
      </w:r>
      <w:r>
        <w:rPr>
          <w:rFonts w:ascii="宋体" w:hAnsi="宋体" w:eastAsia="宋体" w:cs="宋体"/>
          <w:spacing w:val="-3"/>
          <w:sz w:val="20"/>
          <w:szCs w:val="20"/>
        </w:rPr>
        <w:t>研</w:t>
      </w:r>
      <w:r>
        <w:rPr>
          <w:rFonts w:ascii="宋体" w:hAnsi="宋体" w:eastAsia="宋体" w:cs="宋体"/>
          <w:sz w:val="20"/>
          <w:szCs w:val="20"/>
        </w:rPr>
        <w:t xml:space="preserve"> 究结果，在严格质量评价的基础上，进行系统综述</w:t>
      </w:r>
      <w:r>
        <w:rPr>
          <w:rFonts w:ascii="Times New Roman" w:hAnsi="Times New Roman" w:eastAsia="Times New Roman" w:cs="Times New Roman"/>
          <w:sz w:val="20"/>
          <w:szCs w:val="20"/>
        </w:rPr>
        <w:t xml:space="preserve">(systematic </w:t>
      </w:r>
      <w:r>
        <w:rPr>
          <w:rFonts w:ascii="Times New Roman" w:hAnsi="Times New Roman" w:eastAsia="Times New Roman" w:cs="Times New Roman"/>
          <w:spacing w:val="-1"/>
          <w:sz w:val="20"/>
          <w:szCs w:val="20"/>
        </w:rPr>
        <w:t xml:space="preserve">  review)</w:t>
      </w:r>
      <w:r>
        <w:rPr>
          <w:rFonts w:ascii="宋体" w:hAnsi="宋体" w:eastAsia="宋体" w:cs="宋体"/>
          <w:spacing w:val="-1"/>
          <w:sz w:val="20"/>
          <w:szCs w:val="20"/>
        </w:rPr>
        <w:t>以</w:t>
      </w:r>
      <w:r>
        <w:rPr>
          <w:rFonts w:ascii="宋体" w:hAnsi="宋体" w:eastAsia="宋体" w:cs="宋体"/>
          <w:spacing w:val="-22"/>
          <w:sz w:val="20"/>
          <w:szCs w:val="20"/>
        </w:rPr>
        <w:t xml:space="preserve"> </w:t>
      </w:r>
      <w:r>
        <w:rPr>
          <w:rFonts w:ascii="宋体" w:hAnsi="宋体" w:eastAsia="宋体" w:cs="宋体"/>
          <w:spacing w:val="-1"/>
          <w:sz w:val="20"/>
          <w:szCs w:val="20"/>
        </w:rPr>
        <w:t>及</w:t>
      </w:r>
      <w:r>
        <w:rPr>
          <w:rFonts w:ascii="Times New Roman" w:hAnsi="Times New Roman" w:eastAsia="Times New Roman" w:cs="Times New Roman"/>
          <w:spacing w:val="-1"/>
          <w:sz w:val="20"/>
          <w:szCs w:val="20"/>
        </w:rPr>
        <w:t>Meta</w:t>
      </w:r>
      <w:r>
        <w:rPr>
          <w:rFonts w:ascii="Times New Roman" w:hAnsi="Times New Roman" w:eastAsia="Times New Roman" w:cs="Times New Roman"/>
          <w:spacing w:val="-17"/>
          <w:sz w:val="20"/>
          <w:szCs w:val="20"/>
        </w:rPr>
        <w:t xml:space="preserve"> </w:t>
      </w:r>
      <w:r>
        <w:rPr>
          <w:rFonts w:ascii="宋体" w:hAnsi="宋体" w:eastAsia="宋体" w:cs="宋体"/>
          <w:spacing w:val="-1"/>
          <w:sz w:val="20"/>
          <w:szCs w:val="20"/>
        </w:rPr>
        <w:t>分</w:t>
      </w:r>
      <w:r>
        <w:rPr>
          <w:rFonts w:ascii="宋体" w:hAnsi="宋体" w:eastAsia="宋体" w:cs="宋体"/>
          <w:spacing w:val="-32"/>
          <w:sz w:val="20"/>
          <w:szCs w:val="20"/>
        </w:rPr>
        <w:t xml:space="preserve"> </w:t>
      </w:r>
      <w:r>
        <w:rPr>
          <w:rFonts w:ascii="宋体" w:hAnsi="宋体" w:eastAsia="宋体" w:cs="宋体"/>
          <w:spacing w:val="-1"/>
          <w:sz w:val="20"/>
          <w:szCs w:val="20"/>
        </w:rPr>
        <w:t>析</w:t>
      </w:r>
      <w:r>
        <w:rPr>
          <w:rFonts w:ascii="Times New Roman" w:hAnsi="Times New Roman" w:eastAsia="Times New Roman" w:cs="Times New Roman"/>
          <w:spacing w:val="-1"/>
          <w:sz w:val="20"/>
          <w:szCs w:val="20"/>
        </w:rPr>
        <w:t>(meta-analysis),</w:t>
      </w:r>
      <w:r>
        <w:rPr>
          <w:rFonts w:ascii="Times New Roman" w:hAnsi="Times New Roman" w:eastAsia="Times New Roman" w:cs="Times New Roman"/>
          <w:sz w:val="20"/>
          <w:szCs w:val="20"/>
        </w:rPr>
        <w:t xml:space="preserve">    </w:t>
      </w:r>
      <w:r>
        <w:rPr>
          <w:rFonts w:ascii="宋体" w:hAnsi="宋体" w:eastAsia="宋体" w:cs="宋体"/>
          <w:spacing w:val="11"/>
          <w:sz w:val="20"/>
          <w:szCs w:val="20"/>
        </w:rPr>
        <w:t>将有价值的研究结果推荐给临床医师以及相关专业的实践者，以帮助循证医学的实践和应用。为</w:t>
      </w:r>
      <w:r>
        <w:rPr>
          <w:rFonts w:ascii="宋体" w:hAnsi="宋体" w:eastAsia="宋体" w:cs="宋体"/>
          <w:spacing w:val="17"/>
          <w:sz w:val="20"/>
          <w:szCs w:val="20"/>
        </w:rPr>
        <w:t xml:space="preserve"> </w:t>
      </w:r>
      <w:r>
        <w:rPr>
          <w:rFonts w:ascii="宋体" w:hAnsi="宋体" w:eastAsia="宋体" w:cs="宋体"/>
          <w:spacing w:val="6"/>
          <w:sz w:val="20"/>
          <w:szCs w:val="20"/>
        </w:rPr>
        <w:t>了全面地推荐国际上经过严格评价的最佳研究证据，自1999</w:t>
      </w:r>
      <w:r>
        <w:rPr>
          <w:rFonts w:ascii="宋体" w:hAnsi="宋体" w:eastAsia="宋体" w:cs="宋体"/>
          <w:spacing w:val="5"/>
          <w:sz w:val="20"/>
          <w:szCs w:val="20"/>
        </w:rPr>
        <w:t>年起，《英国医学杂志》整理并编辑出</w:t>
      </w:r>
      <w:r>
        <w:rPr>
          <w:rFonts w:ascii="宋体" w:hAnsi="宋体" w:eastAsia="宋体" w:cs="宋体"/>
          <w:sz w:val="20"/>
          <w:szCs w:val="20"/>
        </w:rPr>
        <w:t xml:space="preserve"> </w:t>
      </w:r>
      <w:r>
        <w:rPr>
          <w:rFonts w:ascii="宋体" w:hAnsi="宋体" w:eastAsia="宋体" w:cs="宋体"/>
          <w:spacing w:val="6"/>
          <w:sz w:val="20"/>
          <w:szCs w:val="20"/>
        </w:rPr>
        <w:t>版了临床证据集，每年2期公开发行，以推荐临床医师将相关证据应用于临</w:t>
      </w:r>
      <w:r>
        <w:rPr>
          <w:rFonts w:ascii="宋体" w:hAnsi="宋体" w:eastAsia="宋体" w:cs="宋体"/>
          <w:spacing w:val="5"/>
          <w:sz w:val="20"/>
          <w:szCs w:val="20"/>
        </w:rPr>
        <w:t>床医疗实践。</w:t>
      </w:r>
    </w:p>
    <w:p w14:paraId="2189E2B6">
      <w:pPr>
        <w:pStyle w:val="2"/>
        <w:spacing w:before="8" w:line="221" w:lineRule="auto"/>
        <w:ind w:left="1112"/>
        <w:rPr>
          <w:sz w:val="20"/>
          <w:szCs w:val="20"/>
        </w:rPr>
      </w:pPr>
      <w:r>
        <w:rPr>
          <w:b/>
          <w:bCs/>
          <w:spacing w:val="25"/>
          <w:sz w:val="20"/>
          <w:szCs w:val="20"/>
        </w:rPr>
        <w:t>(二)循证医学的定义</w:t>
      </w:r>
    </w:p>
    <w:p w14:paraId="30238D09">
      <w:pPr>
        <w:spacing w:before="137" w:line="329" w:lineRule="auto"/>
        <w:ind w:left="699" w:right="72" w:firstLine="409"/>
        <w:jc w:val="both"/>
        <w:rPr>
          <w:rFonts w:ascii="宋体" w:hAnsi="宋体" w:eastAsia="宋体" w:cs="宋体"/>
          <w:sz w:val="20"/>
          <w:szCs w:val="20"/>
        </w:rPr>
      </w:pPr>
      <w:r>
        <w:rPr>
          <w:rFonts w:ascii="宋体" w:hAnsi="宋体" w:eastAsia="宋体" w:cs="宋体"/>
          <w:spacing w:val="11"/>
          <w:sz w:val="20"/>
          <w:szCs w:val="20"/>
        </w:rPr>
        <w:t>循证医学的早期倡导者多是医学院的临床流行病学学者，由于其专业特</w:t>
      </w:r>
      <w:r>
        <w:rPr>
          <w:rFonts w:ascii="宋体" w:hAnsi="宋体" w:eastAsia="宋体" w:cs="宋体"/>
          <w:spacing w:val="10"/>
          <w:sz w:val="20"/>
          <w:szCs w:val="20"/>
        </w:rPr>
        <w:t>征决定了他们对早期</w:t>
      </w:r>
      <w:r>
        <w:rPr>
          <w:rFonts w:ascii="宋体" w:hAnsi="宋体" w:eastAsia="宋体" w:cs="宋体"/>
          <w:sz w:val="20"/>
          <w:szCs w:val="20"/>
        </w:rPr>
        <w:t xml:space="preserve"> </w:t>
      </w:r>
      <w:r>
        <w:rPr>
          <w:rFonts w:ascii="宋体" w:hAnsi="宋体" w:eastAsia="宋体" w:cs="宋体"/>
          <w:spacing w:val="6"/>
          <w:sz w:val="20"/>
          <w:szCs w:val="20"/>
        </w:rPr>
        <w:t>循证医学的导向，他们重在呼吁提高临床医师的检索、阅读、理解和应用临床(流行病学)研究文献</w:t>
      </w:r>
      <w:r>
        <w:rPr>
          <w:rFonts w:ascii="宋体" w:hAnsi="宋体" w:eastAsia="宋体" w:cs="宋体"/>
          <w:spacing w:val="12"/>
          <w:sz w:val="20"/>
          <w:szCs w:val="20"/>
        </w:rPr>
        <w:t xml:space="preserve"> </w:t>
      </w:r>
      <w:r>
        <w:rPr>
          <w:rFonts w:ascii="宋体" w:hAnsi="宋体" w:eastAsia="宋体" w:cs="宋体"/>
          <w:spacing w:val="11"/>
          <w:sz w:val="20"/>
          <w:szCs w:val="20"/>
        </w:rPr>
        <w:t>的意识和能力。这个呼吁背后隐藏着一个重要的假设，即科学研究是回答医学实践问题最可靠的</w:t>
      </w:r>
      <w:r>
        <w:rPr>
          <w:rFonts w:ascii="宋体" w:hAnsi="宋体" w:eastAsia="宋体" w:cs="宋体"/>
          <w:spacing w:val="2"/>
          <w:sz w:val="20"/>
          <w:szCs w:val="20"/>
        </w:rPr>
        <w:t xml:space="preserve"> </w:t>
      </w:r>
      <w:r>
        <w:rPr>
          <w:rFonts w:ascii="宋体" w:hAnsi="宋体" w:eastAsia="宋体" w:cs="宋体"/>
          <w:spacing w:val="4"/>
          <w:sz w:val="20"/>
          <w:szCs w:val="20"/>
        </w:rPr>
        <w:t>方法，而不是临床经验和依据病理生理基础知识的推理。</w:t>
      </w:r>
    </w:p>
    <w:p w14:paraId="46595CD7">
      <w:pPr>
        <w:spacing w:before="4" w:line="344" w:lineRule="auto"/>
        <w:ind w:left="699" w:firstLine="409"/>
        <w:jc w:val="both"/>
        <w:rPr>
          <w:rFonts w:ascii="宋体" w:hAnsi="宋体" w:eastAsia="宋体" w:cs="宋体"/>
          <w:sz w:val="20"/>
          <w:szCs w:val="20"/>
        </w:rPr>
      </w:pPr>
      <w:r>
        <w:rPr>
          <w:rFonts w:ascii="宋体" w:hAnsi="宋体" w:eastAsia="宋体" w:cs="宋体"/>
          <w:spacing w:val="11"/>
          <w:sz w:val="20"/>
          <w:szCs w:val="20"/>
        </w:rPr>
        <w:t>牛津大学循证医学中心首任主任</w:t>
      </w:r>
      <w:r>
        <w:rPr>
          <w:rFonts w:ascii="Times New Roman" w:hAnsi="Times New Roman" w:eastAsia="Times New Roman" w:cs="Times New Roman"/>
          <w:sz w:val="20"/>
          <w:szCs w:val="20"/>
        </w:rPr>
        <w:t>David</w:t>
      </w:r>
      <w:r>
        <w:rPr>
          <w:rFonts w:ascii="Times New Roman" w:hAnsi="Times New Roman" w:eastAsia="Times New Roman" w:cs="Times New Roman"/>
          <w:spacing w:val="26"/>
          <w:sz w:val="20"/>
          <w:szCs w:val="20"/>
        </w:rPr>
        <w:t xml:space="preserve">  </w:t>
      </w:r>
      <w:r>
        <w:rPr>
          <w:rFonts w:ascii="Times New Roman" w:hAnsi="Times New Roman" w:eastAsia="Times New Roman" w:cs="Times New Roman"/>
          <w:sz w:val="20"/>
          <w:szCs w:val="20"/>
        </w:rPr>
        <w:t>Sackett</w:t>
      </w:r>
      <w:r>
        <w:rPr>
          <w:rFonts w:ascii="宋体" w:hAnsi="宋体" w:eastAsia="宋体" w:cs="宋体"/>
          <w:spacing w:val="11"/>
          <w:sz w:val="20"/>
          <w:szCs w:val="20"/>
        </w:rPr>
        <w:t>教授和牛津大学卫生科学研究院院长</w:t>
      </w:r>
      <w:r>
        <w:rPr>
          <w:rFonts w:ascii="Times New Roman" w:hAnsi="Times New Roman" w:eastAsia="Times New Roman" w:cs="Times New Roman"/>
          <w:sz w:val="20"/>
          <w:szCs w:val="20"/>
        </w:rPr>
        <w:t xml:space="preserve">Muir  Gray  </w:t>
      </w:r>
      <w:r>
        <w:rPr>
          <w:rFonts w:ascii="宋体" w:hAnsi="宋体" w:eastAsia="宋体" w:cs="宋体"/>
          <w:spacing w:val="1"/>
          <w:sz w:val="20"/>
          <w:szCs w:val="20"/>
        </w:rPr>
        <w:t>于1996年在《英国医学杂志》上发表了对循证医学的定义：循证医学是有意识地、明确地、审</w:t>
      </w:r>
      <w:r>
        <w:rPr>
          <w:rFonts w:ascii="宋体" w:hAnsi="宋体" w:eastAsia="宋体" w:cs="宋体"/>
          <w:sz w:val="20"/>
          <w:szCs w:val="20"/>
        </w:rPr>
        <w:t xml:space="preserve">慎地利  </w:t>
      </w:r>
      <w:r>
        <w:rPr>
          <w:rFonts w:ascii="宋体" w:hAnsi="宋体" w:eastAsia="宋体" w:cs="宋体"/>
          <w:spacing w:val="13"/>
          <w:sz w:val="20"/>
          <w:szCs w:val="20"/>
        </w:rPr>
        <w:t>用现有最佳的证据制订关于个体病人的诊治方案。2000年</w:t>
      </w:r>
      <w:r>
        <w:rPr>
          <w:rFonts w:ascii="Times New Roman" w:hAnsi="Times New Roman" w:eastAsia="Times New Roman" w:cs="Times New Roman"/>
          <w:sz w:val="20"/>
          <w:szCs w:val="20"/>
        </w:rPr>
        <w:t>David</w:t>
      </w:r>
      <w:r>
        <w:rPr>
          <w:rFonts w:ascii="Times New Roman" w:hAnsi="Times New Roman" w:eastAsia="Times New Roman" w:cs="Times New Roman"/>
          <w:spacing w:val="13"/>
          <w:sz w:val="20"/>
          <w:szCs w:val="20"/>
        </w:rPr>
        <w:t xml:space="preserve">   </w:t>
      </w:r>
      <w:r>
        <w:rPr>
          <w:rFonts w:ascii="Times New Roman" w:hAnsi="Times New Roman" w:eastAsia="Times New Roman" w:cs="Times New Roman"/>
          <w:sz w:val="20"/>
          <w:szCs w:val="20"/>
        </w:rPr>
        <w:t>Sackett</w:t>
      </w:r>
      <w:r>
        <w:rPr>
          <w:rFonts w:ascii="宋体" w:hAnsi="宋体" w:eastAsia="宋体" w:cs="宋体"/>
          <w:spacing w:val="13"/>
          <w:sz w:val="20"/>
          <w:szCs w:val="20"/>
        </w:rPr>
        <w:t>在其主编的第2版《循证</w:t>
      </w:r>
      <w:r>
        <w:rPr>
          <w:rFonts w:ascii="宋体" w:hAnsi="宋体" w:eastAsia="宋体" w:cs="宋体"/>
          <w:spacing w:val="17"/>
          <w:sz w:val="20"/>
          <w:szCs w:val="20"/>
        </w:rPr>
        <w:t xml:space="preserve"> </w:t>
      </w:r>
      <w:r>
        <w:rPr>
          <w:rFonts w:ascii="宋体" w:hAnsi="宋体" w:eastAsia="宋体" w:cs="宋体"/>
          <w:spacing w:val="1"/>
          <w:sz w:val="20"/>
          <w:szCs w:val="20"/>
        </w:rPr>
        <w:t>医学：如何实践和教学》一书中进一步指出，循证医学是最佳的证据、临床经验和病人价值的有机结</w:t>
      </w:r>
      <w:r>
        <w:rPr>
          <w:rFonts w:ascii="宋体" w:hAnsi="宋体" w:eastAsia="宋体" w:cs="宋体"/>
          <w:spacing w:val="8"/>
          <w:sz w:val="20"/>
          <w:szCs w:val="20"/>
        </w:rPr>
        <w:t xml:space="preserve">  合，即任何临床医疗决策的制定仅仅依靠临床经验是不够的，应当基于当前最佳的科学研究成果，</w:t>
      </w:r>
      <w:r>
        <w:rPr>
          <w:rFonts w:ascii="宋体" w:hAnsi="宋体" w:eastAsia="宋体" w:cs="宋体"/>
          <w:spacing w:val="5"/>
          <w:sz w:val="20"/>
          <w:szCs w:val="20"/>
        </w:rPr>
        <w:t xml:space="preserve"> </w:t>
      </w:r>
      <w:r>
        <w:rPr>
          <w:rFonts w:ascii="宋体" w:hAnsi="宋体" w:eastAsia="宋体" w:cs="宋体"/>
          <w:spacing w:val="6"/>
          <w:sz w:val="20"/>
          <w:szCs w:val="20"/>
        </w:rPr>
        <w:t>并充分考虑病人对治疗的选择、关注和期望，此即所谓的循证临床决策。在该定义中，现有最佳的</w:t>
      </w:r>
      <w:r>
        <w:rPr>
          <w:rFonts w:ascii="宋体" w:hAnsi="宋体" w:eastAsia="宋体" w:cs="宋体"/>
          <w:spacing w:val="3"/>
          <w:sz w:val="20"/>
          <w:szCs w:val="20"/>
        </w:rPr>
        <w:t xml:space="preserve">  </w:t>
      </w:r>
      <w:r>
        <w:rPr>
          <w:rFonts w:ascii="宋体" w:hAnsi="宋体" w:eastAsia="宋体" w:cs="宋体"/>
          <w:spacing w:val="6"/>
          <w:sz w:val="20"/>
          <w:szCs w:val="20"/>
        </w:rPr>
        <w:t>证据一般是指来自临床应用型研究的结果；医师个人的临床经验，即医师通过临床实践获得的处理</w:t>
      </w:r>
      <w:r>
        <w:rPr>
          <w:rFonts w:ascii="宋体" w:hAnsi="宋体" w:eastAsia="宋体" w:cs="宋体"/>
          <w:spacing w:val="17"/>
          <w:sz w:val="20"/>
          <w:szCs w:val="20"/>
        </w:rPr>
        <w:t xml:space="preserve"> </w:t>
      </w:r>
      <w:r>
        <w:rPr>
          <w:rFonts w:ascii="宋体" w:hAnsi="宋体" w:eastAsia="宋体" w:cs="宋体"/>
          <w:spacing w:val="7"/>
          <w:sz w:val="20"/>
          <w:szCs w:val="20"/>
        </w:rPr>
        <w:t>临床问题的能力；病人的价值观，即病人的爱好、兴</w:t>
      </w:r>
      <w:r>
        <w:rPr>
          <w:rFonts w:ascii="宋体" w:hAnsi="宋体" w:eastAsia="宋体" w:cs="宋体"/>
          <w:spacing w:val="6"/>
          <w:sz w:val="20"/>
          <w:szCs w:val="20"/>
        </w:rPr>
        <w:t>趣和期望等。如能将三部分有机结合，促使医</w:t>
      </w:r>
      <w:r>
        <w:rPr>
          <w:rFonts w:ascii="宋体" w:hAnsi="宋体" w:eastAsia="宋体" w:cs="宋体"/>
          <w:sz w:val="20"/>
          <w:szCs w:val="20"/>
        </w:rPr>
        <w:t xml:space="preserve"> </w:t>
      </w:r>
      <w:r>
        <w:rPr>
          <w:rFonts w:ascii="宋体" w:hAnsi="宋体" w:eastAsia="宋体" w:cs="宋体"/>
          <w:spacing w:val="5"/>
          <w:sz w:val="20"/>
          <w:szCs w:val="20"/>
        </w:rPr>
        <w:t>师和病人合作，形成诊断和治疗的联合体，将会使临床治疗的效果和病人的生命质量达到最佳。</w:t>
      </w:r>
    </w:p>
    <w:p w14:paraId="0EE64656">
      <w:pPr>
        <w:spacing w:before="5" w:line="333" w:lineRule="auto"/>
        <w:ind w:left="699" w:right="57" w:firstLine="409"/>
        <w:jc w:val="both"/>
        <w:rPr>
          <w:rFonts w:ascii="宋体" w:hAnsi="宋体" w:eastAsia="宋体" w:cs="宋体"/>
          <w:sz w:val="20"/>
          <w:szCs w:val="20"/>
        </w:rPr>
      </w:pPr>
      <w:r>
        <w:rPr>
          <w:rFonts w:ascii="宋体" w:hAnsi="宋体" w:eastAsia="宋体" w:cs="宋体"/>
          <w:spacing w:val="6"/>
          <w:sz w:val="20"/>
          <w:szCs w:val="20"/>
        </w:rPr>
        <w:t>新的定义具有如下特点：第一，新的定义将循证医学的核心放在基于证据进行医学实践上。第</w:t>
      </w:r>
      <w:r>
        <w:rPr>
          <w:rFonts w:ascii="宋体" w:hAnsi="宋体" w:eastAsia="宋体" w:cs="宋体"/>
          <w:spacing w:val="12"/>
          <w:sz w:val="20"/>
          <w:szCs w:val="20"/>
        </w:rPr>
        <w:t xml:space="preserve"> </w:t>
      </w:r>
      <w:r>
        <w:rPr>
          <w:rFonts w:ascii="宋体" w:hAnsi="宋体" w:eastAsia="宋体" w:cs="宋体"/>
          <w:spacing w:val="7"/>
          <w:sz w:val="20"/>
          <w:szCs w:val="20"/>
        </w:rPr>
        <w:t>二，新的定义承认医学历来都是基于证据进行的，但是</w:t>
      </w:r>
      <w:r>
        <w:rPr>
          <w:rFonts w:ascii="宋体" w:hAnsi="宋体" w:eastAsia="宋体" w:cs="宋体"/>
          <w:spacing w:val="6"/>
          <w:sz w:val="20"/>
          <w:szCs w:val="20"/>
        </w:rPr>
        <w:t>循证医学对证据的定义和重视程度不同。第</w:t>
      </w:r>
      <w:r>
        <w:rPr>
          <w:rFonts w:ascii="宋体" w:hAnsi="宋体" w:eastAsia="宋体" w:cs="宋体"/>
          <w:sz w:val="20"/>
          <w:szCs w:val="20"/>
        </w:rPr>
        <w:t xml:space="preserve"> </w:t>
      </w:r>
      <w:r>
        <w:rPr>
          <w:rFonts w:ascii="宋体" w:hAnsi="宋体" w:eastAsia="宋体" w:cs="宋体"/>
          <w:spacing w:val="6"/>
          <w:sz w:val="20"/>
          <w:szCs w:val="20"/>
        </w:rPr>
        <w:t>三，新的定义承认循证医学的思想早已存在，提出循证医学的概念在于呼吁和促使这个思想成为有</w:t>
      </w:r>
      <w:r>
        <w:rPr>
          <w:rFonts w:ascii="宋体" w:hAnsi="宋体" w:eastAsia="宋体" w:cs="宋体"/>
          <w:spacing w:val="1"/>
          <w:sz w:val="20"/>
          <w:szCs w:val="20"/>
        </w:rPr>
        <w:t xml:space="preserve"> </w:t>
      </w:r>
      <w:r>
        <w:rPr>
          <w:rFonts w:ascii="宋体" w:hAnsi="宋体" w:eastAsia="宋体" w:cs="宋体"/>
          <w:spacing w:val="7"/>
          <w:sz w:val="20"/>
          <w:szCs w:val="20"/>
        </w:rPr>
        <w:t>组织的、有系统的行为。第四，新的定义承</w:t>
      </w:r>
      <w:r>
        <w:rPr>
          <w:rFonts w:ascii="宋体" w:hAnsi="宋体" w:eastAsia="宋体" w:cs="宋体"/>
          <w:spacing w:val="6"/>
          <w:sz w:val="20"/>
          <w:szCs w:val="20"/>
        </w:rPr>
        <w:t>认科学研究的结果来自对群体的观察，也强调关于一般</w:t>
      </w:r>
      <w:r>
        <w:rPr>
          <w:rFonts w:ascii="宋体" w:hAnsi="宋体" w:eastAsia="宋体" w:cs="宋体"/>
          <w:sz w:val="20"/>
          <w:szCs w:val="20"/>
        </w:rPr>
        <w:t xml:space="preserve"> </w:t>
      </w:r>
      <w:r>
        <w:rPr>
          <w:rFonts w:ascii="宋体" w:hAnsi="宋体" w:eastAsia="宋体" w:cs="宋体"/>
          <w:spacing w:val="6"/>
          <w:sz w:val="20"/>
          <w:szCs w:val="20"/>
        </w:rPr>
        <w:t>规律的证据只能来自对多个个体(即群体)的观察，因此应用到个体时应慎重，必要时要由临床经验</w:t>
      </w:r>
      <w:r>
        <w:rPr>
          <w:rFonts w:ascii="宋体" w:hAnsi="宋体" w:eastAsia="宋体" w:cs="宋体"/>
          <w:spacing w:val="13"/>
          <w:sz w:val="20"/>
          <w:szCs w:val="20"/>
        </w:rPr>
        <w:t xml:space="preserve"> </w:t>
      </w:r>
      <w:r>
        <w:rPr>
          <w:rFonts w:ascii="宋体" w:hAnsi="宋体" w:eastAsia="宋体" w:cs="宋体"/>
          <w:spacing w:val="7"/>
          <w:sz w:val="20"/>
          <w:szCs w:val="20"/>
        </w:rPr>
        <w:t>来补充，别无更好的方法。第五，新的定义在重申临床经验的重要性的同时</w:t>
      </w:r>
      <w:r>
        <w:rPr>
          <w:rFonts w:ascii="宋体" w:hAnsi="宋体" w:eastAsia="宋体" w:cs="宋体"/>
          <w:spacing w:val="6"/>
          <w:sz w:val="20"/>
          <w:szCs w:val="20"/>
        </w:rPr>
        <w:t>，也对其可靠性做了明</w:t>
      </w:r>
      <w:r>
        <w:rPr>
          <w:rFonts w:ascii="宋体" w:hAnsi="宋体" w:eastAsia="宋体" w:cs="宋体"/>
          <w:sz w:val="20"/>
          <w:szCs w:val="20"/>
        </w:rPr>
        <w:t xml:space="preserve"> </w:t>
      </w:r>
      <w:r>
        <w:rPr>
          <w:rFonts w:ascii="宋体" w:hAnsi="宋体" w:eastAsia="宋体" w:cs="宋体"/>
          <w:spacing w:val="10"/>
          <w:sz w:val="20"/>
          <w:szCs w:val="20"/>
        </w:rPr>
        <w:t>确的定位。</w:t>
      </w:r>
    </w:p>
    <w:p w14:paraId="369943A8">
      <w:pPr>
        <w:pStyle w:val="2"/>
        <w:spacing w:before="60" w:line="221" w:lineRule="auto"/>
        <w:ind w:left="1112"/>
        <w:rPr>
          <w:sz w:val="20"/>
          <w:szCs w:val="20"/>
        </w:rPr>
      </w:pPr>
      <w:r>
        <w:rPr>
          <w:b/>
          <w:bCs/>
          <w:spacing w:val="25"/>
          <w:sz w:val="20"/>
          <w:szCs w:val="20"/>
        </w:rPr>
        <w:t>(三)循证医学理念的拓展</w:t>
      </w:r>
    </w:p>
    <w:p w14:paraId="385BD200">
      <w:pPr>
        <w:spacing w:before="95" w:line="337" w:lineRule="auto"/>
        <w:ind w:left="679" w:right="68" w:firstLine="429"/>
        <w:jc w:val="both"/>
        <w:rPr>
          <w:rFonts w:ascii="宋体" w:hAnsi="宋体" w:eastAsia="宋体" w:cs="宋体"/>
          <w:sz w:val="20"/>
          <w:szCs w:val="20"/>
        </w:rPr>
      </w:pPr>
      <w:r>
        <w:rPr>
          <w:rFonts w:ascii="宋体" w:hAnsi="宋体" w:eastAsia="宋体" w:cs="宋体"/>
          <w:spacing w:val="7"/>
          <w:sz w:val="20"/>
          <w:szCs w:val="20"/>
        </w:rPr>
        <w:t>早期的循证医学是一种以为病人治疗疾病为目的</w:t>
      </w:r>
      <w:r>
        <w:rPr>
          <w:rFonts w:ascii="宋体" w:hAnsi="宋体" w:eastAsia="宋体" w:cs="宋体"/>
          <w:spacing w:val="6"/>
          <w:sz w:val="20"/>
          <w:szCs w:val="20"/>
        </w:rPr>
        <w:t>，不断获得有关诊断、预后、治疗、病因及其</w:t>
      </w:r>
      <w:r>
        <w:rPr>
          <w:rFonts w:ascii="宋体" w:hAnsi="宋体" w:eastAsia="宋体" w:cs="宋体"/>
          <w:sz w:val="20"/>
          <w:szCs w:val="20"/>
        </w:rPr>
        <w:t xml:space="preserve"> </w:t>
      </w:r>
      <w:r>
        <w:rPr>
          <w:rFonts w:ascii="宋体" w:hAnsi="宋体" w:eastAsia="宋体" w:cs="宋体"/>
          <w:spacing w:val="17"/>
          <w:sz w:val="20"/>
          <w:szCs w:val="20"/>
        </w:rPr>
        <w:t>他相关重要健康信息的自我学习实践过程。通过这一过程，临床医师可以尽最大可能捕捉到最</w:t>
      </w:r>
      <w:r>
        <w:rPr>
          <w:rFonts w:ascii="宋体" w:hAnsi="宋体" w:eastAsia="宋体" w:cs="宋体"/>
          <w:spacing w:val="2"/>
          <w:sz w:val="20"/>
          <w:szCs w:val="20"/>
        </w:rPr>
        <w:t xml:space="preserve"> </w:t>
      </w:r>
      <w:r>
        <w:rPr>
          <w:rFonts w:ascii="宋体" w:hAnsi="宋体" w:eastAsia="宋体" w:cs="宋体"/>
          <w:spacing w:val="12"/>
          <w:sz w:val="20"/>
          <w:szCs w:val="20"/>
        </w:rPr>
        <w:t>可靠的事实证据来解决各种各样的临床问题，正确评价建立在事实证据上的实践结果并</w:t>
      </w:r>
      <w:r>
        <w:rPr>
          <w:rFonts w:ascii="宋体" w:hAnsi="宋体" w:eastAsia="宋体" w:cs="宋体"/>
          <w:spacing w:val="11"/>
          <w:sz w:val="20"/>
          <w:szCs w:val="20"/>
        </w:rPr>
        <w:t>将这些结</w:t>
      </w:r>
      <w:r>
        <w:rPr>
          <w:rFonts w:ascii="宋体" w:hAnsi="宋体" w:eastAsia="宋体" w:cs="宋体"/>
          <w:sz w:val="20"/>
          <w:szCs w:val="20"/>
        </w:rPr>
        <w:t xml:space="preserve"> </w:t>
      </w:r>
      <w:r>
        <w:rPr>
          <w:rFonts w:ascii="宋体" w:hAnsi="宋体" w:eastAsia="宋体" w:cs="宋体"/>
          <w:spacing w:val="17"/>
          <w:sz w:val="20"/>
          <w:szCs w:val="20"/>
        </w:rPr>
        <w:t>果应用于今后的临床实践中。所以，早期的循证医学或狭义的循证医学主要是指循证临床实践</w:t>
      </w:r>
      <w:r>
        <w:rPr>
          <w:rFonts w:ascii="宋体" w:hAnsi="宋体" w:eastAsia="宋体" w:cs="宋体"/>
          <w:spacing w:val="2"/>
          <w:sz w:val="20"/>
          <w:szCs w:val="20"/>
        </w:rPr>
        <w:t xml:space="preserve"> </w:t>
      </w:r>
      <w:r>
        <w:rPr>
          <w:rFonts w:ascii="Times New Roman" w:hAnsi="Times New Roman" w:eastAsia="Times New Roman" w:cs="Times New Roman"/>
          <w:spacing w:val="6"/>
          <w:sz w:val="20"/>
          <w:szCs w:val="20"/>
        </w:rPr>
        <w:t>(</w:t>
      </w:r>
      <w:r>
        <w:rPr>
          <w:rFonts w:ascii="Times New Roman" w:hAnsi="Times New Roman" w:eastAsia="Times New Roman" w:cs="Times New Roman"/>
          <w:sz w:val="20"/>
          <w:szCs w:val="20"/>
        </w:rPr>
        <w:t>evidence</w:t>
      </w:r>
      <w:r>
        <w:rPr>
          <w:rFonts w:ascii="Times New Roman" w:hAnsi="Times New Roman" w:eastAsia="Times New Roman" w:cs="Times New Roman"/>
          <w:spacing w:val="6"/>
          <w:sz w:val="20"/>
          <w:szCs w:val="20"/>
        </w:rPr>
        <w:t>-</w:t>
      </w:r>
      <w:r>
        <w:rPr>
          <w:rFonts w:ascii="Times New Roman" w:hAnsi="Times New Roman" w:eastAsia="Times New Roman" w:cs="Times New Roman"/>
          <w:sz w:val="20"/>
          <w:szCs w:val="20"/>
        </w:rPr>
        <w:t>based</w:t>
      </w:r>
      <w:r>
        <w:rPr>
          <w:rFonts w:ascii="Times New Roman" w:hAnsi="Times New Roman" w:eastAsia="Times New Roman" w:cs="Times New Roman"/>
          <w:spacing w:val="6"/>
          <w:sz w:val="20"/>
          <w:szCs w:val="20"/>
        </w:rPr>
        <w:t xml:space="preserve">   </w:t>
      </w:r>
      <w:r>
        <w:rPr>
          <w:rFonts w:ascii="Times New Roman" w:hAnsi="Times New Roman" w:eastAsia="Times New Roman" w:cs="Times New Roman"/>
          <w:sz w:val="20"/>
          <w:szCs w:val="20"/>
        </w:rPr>
        <w:t>clinical</w:t>
      </w:r>
      <w:r>
        <w:rPr>
          <w:rFonts w:ascii="Times New Roman" w:hAnsi="Times New Roman" w:eastAsia="Times New Roman" w:cs="Times New Roman"/>
          <w:spacing w:val="6"/>
          <w:sz w:val="20"/>
          <w:szCs w:val="20"/>
        </w:rPr>
        <w:t xml:space="preserve">   </w:t>
      </w:r>
      <w:r>
        <w:rPr>
          <w:rFonts w:ascii="Times New Roman" w:hAnsi="Times New Roman" w:eastAsia="Times New Roman" w:cs="Times New Roman"/>
          <w:sz w:val="20"/>
          <w:szCs w:val="20"/>
        </w:rPr>
        <w:t>practice</w:t>
      </w:r>
      <w:r>
        <w:rPr>
          <w:rFonts w:ascii="Times New Roman" w:hAnsi="Times New Roman" w:eastAsia="Times New Roman" w:cs="Times New Roman"/>
          <w:spacing w:val="6"/>
          <w:sz w:val="20"/>
          <w:szCs w:val="20"/>
        </w:rPr>
        <w:t>)</w:t>
      </w:r>
      <w:r>
        <w:rPr>
          <w:rFonts w:ascii="宋体" w:hAnsi="宋体" w:eastAsia="宋体" w:cs="宋体"/>
          <w:spacing w:val="6"/>
          <w:sz w:val="20"/>
          <w:szCs w:val="20"/>
        </w:rPr>
        <w:t>。它忽视了在制定群体或宏观</w:t>
      </w:r>
      <w:r>
        <w:rPr>
          <w:rFonts w:ascii="宋体" w:hAnsi="宋体" w:eastAsia="宋体" w:cs="宋体"/>
          <w:spacing w:val="5"/>
          <w:sz w:val="20"/>
          <w:szCs w:val="20"/>
        </w:rPr>
        <w:t>医疗卫生政策时遵循研究证据的重要</w:t>
      </w:r>
    </w:p>
    <w:p w14:paraId="3177DA5C">
      <w:pPr>
        <w:spacing w:line="337" w:lineRule="auto"/>
        <w:rPr>
          <w:rFonts w:ascii="宋体" w:hAnsi="宋体" w:eastAsia="宋体" w:cs="宋体"/>
          <w:sz w:val="20"/>
          <w:szCs w:val="20"/>
        </w:rPr>
        <w:sectPr>
          <w:footerReference r:id="rId295" w:type="default"/>
          <w:pgSz w:w="11900" w:h="16820"/>
          <w:pgMar w:top="400" w:right="1469" w:bottom="889" w:left="780" w:header="0" w:footer="709" w:gutter="0"/>
          <w:cols w:space="720" w:num="1"/>
        </w:sectPr>
      </w:pPr>
    </w:p>
    <w:p w14:paraId="07368621">
      <w:pPr>
        <w:pStyle w:val="2"/>
        <w:spacing w:line="220" w:lineRule="auto"/>
        <w:ind w:left="6520"/>
        <w:rPr>
          <w:sz w:val="20"/>
          <w:szCs w:val="20"/>
        </w:rPr>
      </w:pPr>
      <w:bookmarkStart w:id="459" w:name="bookmark554"/>
      <w:bookmarkEnd w:id="459"/>
      <w:r>
        <w:rPr>
          <w:spacing w:val="-21"/>
          <w:w w:val="97"/>
          <w:sz w:val="20"/>
          <w:szCs w:val="20"/>
        </w:rPr>
        <w:t>第十八章 循证医学与系统综述</w:t>
      </w:r>
    </w:p>
    <w:p w14:paraId="0DF20CA1">
      <w:pPr>
        <w:spacing w:line="273" w:lineRule="auto"/>
        <w:rPr>
          <w:rFonts w:ascii="Arial"/>
          <w:sz w:val="21"/>
        </w:rPr>
      </w:pPr>
    </w:p>
    <w:p w14:paraId="0AE0D2BF">
      <w:pPr>
        <w:spacing w:line="274" w:lineRule="auto"/>
        <w:rPr>
          <w:rFonts w:ascii="Arial"/>
          <w:sz w:val="21"/>
        </w:rPr>
      </w:pPr>
    </w:p>
    <w:p w14:paraId="53023011">
      <w:pPr>
        <w:spacing w:before="65" w:line="350" w:lineRule="auto"/>
        <w:ind w:right="644"/>
        <w:jc w:val="both"/>
        <w:rPr>
          <w:rFonts w:ascii="宋体" w:hAnsi="宋体" w:eastAsia="宋体" w:cs="宋体"/>
          <w:sz w:val="20"/>
          <w:szCs w:val="20"/>
        </w:rPr>
      </w:pPr>
      <w:r>
        <w:rPr>
          <w:rFonts w:ascii="宋体" w:hAnsi="宋体" w:eastAsia="宋体" w:cs="宋体"/>
          <w:spacing w:val="3"/>
          <w:sz w:val="20"/>
          <w:szCs w:val="20"/>
        </w:rPr>
        <w:t>性和必要性。1997年</w:t>
      </w:r>
      <w:r>
        <w:rPr>
          <w:rFonts w:ascii="Times New Roman" w:hAnsi="Times New Roman" w:eastAsia="Times New Roman" w:cs="Times New Roman"/>
          <w:sz w:val="20"/>
          <w:szCs w:val="20"/>
        </w:rPr>
        <w:t>Muir  Gray</w:t>
      </w:r>
      <w:r>
        <w:rPr>
          <w:rFonts w:ascii="宋体" w:hAnsi="宋体" w:eastAsia="宋体" w:cs="宋体"/>
          <w:spacing w:val="3"/>
          <w:sz w:val="20"/>
          <w:szCs w:val="20"/>
        </w:rPr>
        <w:t>的《循证医</w:t>
      </w:r>
      <w:r>
        <w:rPr>
          <w:rFonts w:ascii="宋体" w:hAnsi="宋体" w:eastAsia="宋体" w:cs="宋体"/>
          <w:spacing w:val="3"/>
          <w:sz w:val="20"/>
          <w:szCs w:val="20"/>
          <w:u w:val="single" w:color="auto"/>
        </w:rPr>
        <w:t>疗卫生</w:t>
      </w:r>
      <w:r>
        <w:rPr>
          <w:rFonts w:ascii="宋体" w:hAnsi="宋体" w:eastAsia="宋体" w:cs="宋体"/>
          <w:spacing w:val="3"/>
          <w:sz w:val="20"/>
          <w:szCs w:val="20"/>
        </w:rPr>
        <w:t>决策》</w:t>
      </w:r>
      <w:r>
        <w:rPr>
          <w:rFonts w:ascii="Times New Roman" w:hAnsi="Times New Roman" w:eastAsia="Times New Roman" w:cs="Times New Roman"/>
          <w:spacing w:val="3"/>
          <w:sz w:val="20"/>
          <w:szCs w:val="20"/>
        </w:rPr>
        <w:t>(</w:t>
      </w:r>
      <w:r>
        <w:rPr>
          <w:rFonts w:ascii="Times New Roman" w:hAnsi="Times New Roman" w:eastAsia="Times New Roman" w:cs="Times New Roman"/>
          <w:sz w:val="20"/>
          <w:szCs w:val="20"/>
        </w:rPr>
        <w:t>Eridence</w:t>
      </w:r>
      <w:r>
        <w:rPr>
          <w:rFonts w:ascii="Times New Roman" w:hAnsi="Times New Roman" w:eastAsia="Times New Roman" w:cs="Times New Roman"/>
          <w:spacing w:val="3"/>
          <w:sz w:val="20"/>
          <w:szCs w:val="20"/>
        </w:rPr>
        <w:t>-</w:t>
      </w:r>
      <w:r>
        <w:rPr>
          <w:rFonts w:ascii="Times New Roman" w:hAnsi="Times New Roman" w:eastAsia="Times New Roman" w:cs="Times New Roman"/>
          <w:sz w:val="20"/>
          <w:szCs w:val="20"/>
        </w:rPr>
        <w:t>Based</w:t>
      </w:r>
      <w:r>
        <w:rPr>
          <w:rFonts w:ascii="Times New Roman" w:hAnsi="Times New Roman" w:eastAsia="Times New Roman" w:cs="Times New Roman"/>
          <w:spacing w:val="3"/>
          <w:sz w:val="20"/>
          <w:szCs w:val="20"/>
        </w:rPr>
        <w:t xml:space="preserve">   </w:t>
      </w:r>
      <w:r>
        <w:rPr>
          <w:rFonts w:ascii="Times New Roman" w:hAnsi="Times New Roman" w:eastAsia="Times New Roman" w:cs="Times New Roman"/>
          <w:sz w:val="20"/>
          <w:szCs w:val="20"/>
        </w:rPr>
        <w:t>Healthcare</w:t>
      </w:r>
      <w:r>
        <w:rPr>
          <w:rFonts w:ascii="Times New Roman" w:hAnsi="Times New Roman" w:eastAsia="Times New Roman" w:cs="Times New Roman"/>
          <w:spacing w:val="2"/>
          <w:sz w:val="20"/>
          <w:szCs w:val="20"/>
        </w:rPr>
        <w:t>)</w:t>
      </w:r>
      <w:r>
        <w:rPr>
          <w:rFonts w:ascii="宋体" w:hAnsi="宋体" w:eastAsia="宋体" w:cs="宋体"/>
          <w:spacing w:val="2"/>
          <w:sz w:val="20"/>
          <w:szCs w:val="20"/>
        </w:rPr>
        <w:t>出版，指出群体</w:t>
      </w:r>
      <w:r>
        <w:rPr>
          <w:rFonts w:ascii="宋体" w:hAnsi="宋体" w:eastAsia="宋体" w:cs="宋体"/>
          <w:spacing w:val="1"/>
          <w:sz w:val="20"/>
          <w:szCs w:val="20"/>
        </w:rPr>
        <w:t xml:space="preserve"> </w:t>
      </w:r>
      <w:r>
        <w:rPr>
          <w:rFonts w:ascii="宋体" w:hAnsi="宋体" w:eastAsia="宋体" w:cs="宋体"/>
          <w:spacing w:val="5"/>
          <w:sz w:val="20"/>
          <w:szCs w:val="20"/>
        </w:rPr>
        <w:t>和宏观医疗卫生决策也必须遵循证据，并对循证卫</w:t>
      </w:r>
      <w:r>
        <w:rPr>
          <w:rFonts w:ascii="宋体" w:hAnsi="宋体" w:eastAsia="宋体" w:cs="宋体"/>
          <w:spacing w:val="4"/>
          <w:sz w:val="20"/>
          <w:szCs w:val="20"/>
        </w:rPr>
        <w:t>生决策进行了详尽的阐述。他认为，循证医学的</w:t>
      </w:r>
      <w:r>
        <w:rPr>
          <w:rFonts w:ascii="宋体" w:hAnsi="宋体" w:eastAsia="宋体" w:cs="宋体"/>
          <w:sz w:val="20"/>
          <w:szCs w:val="20"/>
        </w:rPr>
        <w:t xml:space="preserve"> </w:t>
      </w:r>
      <w:r>
        <w:rPr>
          <w:rFonts w:ascii="宋体" w:hAnsi="宋体" w:eastAsia="宋体" w:cs="宋体"/>
          <w:spacing w:val="5"/>
          <w:sz w:val="20"/>
          <w:szCs w:val="20"/>
        </w:rPr>
        <w:t>思想适用于各个医学实践领域，并提出依据科学证据，从宏观决策入手，医疗卫生决策者和管理者</w:t>
      </w:r>
      <w:r>
        <w:rPr>
          <w:rFonts w:ascii="宋体" w:hAnsi="宋体" w:eastAsia="宋体" w:cs="宋体"/>
          <w:spacing w:val="3"/>
          <w:sz w:val="20"/>
          <w:szCs w:val="20"/>
        </w:rPr>
        <w:t xml:space="preserve"> </w:t>
      </w:r>
      <w:r>
        <w:rPr>
          <w:rFonts w:ascii="宋体" w:hAnsi="宋体" w:eastAsia="宋体" w:cs="宋体"/>
          <w:spacing w:val="5"/>
          <w:sz w:val="20"/>
          <w:szCs w:val="20"/>
        </w:rPr>
        <w:t>可以采取多种管理和政策措施，促进循证医学的实现。循证医疗卫生决策强调对个人、群体的任何</w:t>
      </w:r>
      <w:r>
        <w:rPr>
          <w:rFonts w:ascii="宋体" w:hAnsi="宋体" w:eastAsia="宋体" w:cs="宋体"/>
          <w:spacing w:val="2"/>
          <w:sz w:val="20"/>
          <w:szCs w:val="20"/>
        </w:rPr>
        <w:t xml:space="preserve"> </w:t>
      </w:r>
      <w:r>
        <w:rPr>
          <w:rFonts w:ascii="宋体" w:hAnsi="宋体" w:eastAsia="宋体" w:cs="宋体"/>
          <w:spacing w:val="10"/>
          <w:sz w:val="20"/>
          <w:szCs w:val="20"/>
        </w:rPr>
        <w:t>保健策略和措施的制定不仅要考虑资源和价值，还要以当前科学研究的最佳成果为依据。</w:t>
      </w:r>
      <w:r>
        <w:rPr>
          <w:rFonts w:ascii="宋体" w:hAnsi="宋体" w:eastAsia="宋体" w:cs="宋体"/>
          <w:spacing w:val="9"/>
          <w:sz w:val="20"/>
          <w:szCs w:val="20"/>
        </w:rPr>
        <w:t>即使证</w:t>
      </w:r>
      <w:r>
        <w:rPr>
          <w:rFonts w:ascii="宋体" w:hAnsi="宋体" w:eastAsia="宋体" w:cs="宋体"/>
          <w:sz w:val="20"/>
          <w:szCs w:val="20"/>
        </w:rPr>
        <w:t xml:space="preserve"> </w:t>
      </w:r>
      <w:r>
        <w:rPr>
          <w:rFonts w:ascii="宋体" w:hAnsi="宋体" w:eastAsia="宋体" w:cs="宋体"/>
          <w:spacing w:val="10"/>
          <w:sz w:val="20"/>
          <w:szCs w:val="20"/>
        </w:rPr>
        <w:t>据的质量很差，也必须预先去寻找和评价有关证据。循证医疗卫生决策与循证临床实践的主要不</w:t>
      </w:r>
      <w:r>
        <w:rPr>
          <w:rFonts w:ascii="宋体" w:hAnsi="宋体" w:eastAsia="宋体" w:cs="宋体"/>
          <w:sz w:val="20"/>
          <w:szCs w:val="20"/>
        </w:rPr>
        <w:t xml:space="preserve"> </w:t>
      </w:r>
      <w:r>
        <w:rPr>
          <w:rFonts w:ascii="宋体" w:hAnsi="宋体" w:eastAsia="宋体" w:cs="宋体"/>
          <w:spacing w:val="6"/>
          <w:sz w:val="20"/>
          <w:szCs w:val="20"/>
        </w:rPr>
        <w:t>同在于前者是把最佳的证据用于人群，而后</w:t>
      </w:r>
      <w:r>
        <w:rPr>
          <w:rFonts w:ascii="宋体" w:hAnsi="宋体" w:eastAsia="宋体" w:cs="宋体"/>
          <w:spacing w:val="5"/>
          <w:sz w:val="20"/>
          <w:szCs w:val="20"/>
        </w:rPr>
        <w:t>者只限于病人个体。</w:t>
      </w:r>
    </w:p>
    <w:p w14:paraId="2D0DB39D">
      <w:pPr>
        <w:spacing w:before="6" w:line="344" w:lineRule="auto"/>
        <w:ind w:right="625" w:firstLine="420"/>
        <w:jc w:val="both"/>
        <w:rPr>
          <w:rFonts w:ascii="宋体" w:hAnsi="宋体" w:eastAsia="宋体" w:cs="宋体"/>
          <w:sz w:val="20"/>
          <w:szCs w:val="20"/>
        </w:rPr>
      </w:pPr>
      <w:r>
        <w:rPr>
          <w:rFonts w:ascii="宋体" w:hAnsi="宋体" w:eastAsia="宋体" w:cs="宋体"/>
          <w:spacing w:val="5"/>
          <w:sz w:val="20"/>
          <w:szCs w:val="20"/>
        </w:rPr>
        <w:t>1997年，由</w:t>
      </w:r>
      <w:r>
        <w:rPr>
          <w:rFonts w:ascii="Times New Roman" w:hAnsi="Times New Roman" w:eastAsia="Times New Roman" w:cs="Times New Roman"/>
          <w:sz w:val="20"/>
          <w:szCs w:val="20"/>
        </w:rPr>
        <w:t>Jenicek</w:t>
      </w:r>
      <w:r>
        <w:rPr>
          <w:rFonts w:ascii="Times New Roman" w:hAnsi="Times New Roman" w:eastAsia="Times New Roman" w:cs="Times New Roman"/>
          <w:spacing w:val="22"/>
          <w:sz w:val="20"/>
          <w:szCs w:val="20"/>
        </w:rPr>
        <w:t xml:space="preserve">  </w:t>
      </w:r>
      <w:r>
        <w:rPr>
          <w:rFonts w:ascii="宋体" w:hAnsi="宋体" w:eastAsia="宋体" w:cs="宋体"/>
          <w:spacing w:val="5"/>
          <w:sz w:val="20"/>
          <w:szCs w:val="20"/>
        </w:rPr>
        <w:t>提出循证公共卫生</w:t>
      </w:r>
      <w:r>
        <w:rPr>
          <w:rFonts w:ascii="Times New Roman" w:hAnsi="Times New Roman" w:eastAsia="Times New Roman" w:cs="Times New Roman"/>
          <w:spacing w:val="5"/>
          <w:sz w:val="20"/>
          <w:szCs w:val="20"/>
        </w:rPr>
        <w:t>(</w:t>
      </w:r>
      <w:r>
        <w:rPr>
          <w:rFonts w:ascii="Times New Roman" w:hAnsi="Times New Roman" w:eastAsia="Times New Roman" w:cs="Times New Roman"/>
          <w:sz w:val="20"/>
          <w:szCs w:val="20"/>
        </w:rPr>
        <w:t>evidence</w:t>
      </w:r>
      <w:r>
        <w:rPr>
          <w:rFonts w:ascii="Times New Roman" w:hAnsi="Times New Roman" w:eastAsia="Times New Roman" w:cs="Times New Roman"/>
          <w:spacing w:val="5"/>
          <w:sz w:val="20"/>
          <w:szCs w:val="20"/>
        </w:rPr>
        <w:t>-</w:t>
      </w:r>
      <w:r>
        <w:rPr>
          <w:rFonts w:ascii="Times New Roman" w:hAnsi="Times New Roman" w:eastAsia="Times New Roman" w:cs="Times New Roman"/>
          <w:sz w:val="20"/>
          <w:szCs w:val="20"/>
        </w:rPr>
        <w:t>based    public</w:t>
      </w:r>
      <w:r>
        <w:rPr>
          <w:rFonts w:ascii="Times New Roman" w:hAnsi="Times New Roman" w:eastAsia="Times New Roman" w:cs="Times New Roman"/>
          <w:spacing w:val="1"/>
          <w:sz w:val="20"/>
          <w:szCs w:val="20"/>
        </w:rPr>
        <w:t xml:space="preserve">    </w:t>
      </w:r>
      <w:r>
        <w:rPr>
          <w:rFonts w:ascii="Times New Roman" w:hAnsi="Times New Roman" w:eastAsia="Times New Roman" w:cs="Times New Roman"/>
          <w:sz w:val="20"/>
          <w:szCs w:val="20"/>
        </w:rPr>
        <w:t>health</w:t>
      </w:r>
      <w:r>
        <w:rPr>
          <w:rFonts w:ascii="Times New Roman" w:hAnsi="Times New Roman" w:eastAsia="Times New Roman" w:cs="Times New Roman"/>
          <w:spacing w:val="5"/>
          <w:sz w:val="20"/>
          <w:szCs w:val="20"/>
        </w:rPr>
        <w:t>,</w:t>
      </w:r>
      <w:r>
        <w:rPr>
          <w:rFonts w:ascii="Times New Roman" w:hAnsi="Times New Roman" w:eastAsia="Times New Roman" w:cs="Times New Roman"/>
          <w:sz w:val="20"/>
          <w:szCs w:val="20"/>
        </w:rPr>
        <w:t>EBPH</w:t>
      </w:r>
      <w:r>
        <w:rPr>
          <w:rFonts w:ascii="Times New Roman" w:hAnsi="Times New Roman" w:eastAsia="Times New Roman" w:cs="Times New Roman"/>
          <w:spacing w:val="5"/>
          <w:sz w:val="20"/>
          <w:szCs w:val="20"/>
        </w:rPr>
        <w:t>)</w:t>
      </w:r>
      <w:r>
        <w:rPr>
          <w:rFonts w:ascii="宋体" w:hAnsi="宋体" w:eastAsia="宋体" w:cs="宋体"/>
          <w:spacing w:val="5"/>
          <w:sz w:val="20"/>
          <w:szCs w:val="20"/>
        </w:rPr>
        <w:t>的概念，</w:t>
      </w:r>
      <w:r>
        <w:rPr>
          <w:rFonts w:ascii="宋体" w:hAnsi="宋体" w:eastAsia="宋体" w:cs="宋体"/>
          <w:spacing w:val="4"/>
          <w:sz w:val="20"/>
          <w:szCs w:val="20"/>
        </w:rPr>
        <w:t>将其定义</w:t>
      </w:r>
      <w:r>
        <w:rPr>
          <w:rFonts w:ascii="宋体" w:hAnsi="宋体" w:eastAsia="宋体" w:cs="宋体"/>
          <w:sz w:val="20"/>
          <w:szCs w:val="20"/>
        </w:rPr>
        <w:t xml:space="preserve"> 为：尽责地、明白地、明智地运用当前的最佳证据，对有关社区及人群的健康保护、疾病预防、健康</w:t>
      </w:r>
      <w:r>
        <w:rPr>
          <w:rFonts w:ascii="宋体" w:hAnsi="宋体" w:eastAsia="宋体" w:cs="宋体"/>
          <w:spacing w:val="18"/>
          <w:sz w:val="20"/>
          <w:szCs w:val="20"/>
        </w:rPr>
        <w:t xml:space="preserve"> </w:t>
      </w:r>
      <w:r>
        <w:rPr>
          <w:rFonts w:ascii="宋体" w:hAnsi="宋体" w:eastAsia="宋体" w:cs="宋体"/>
          <w:spacing w:val="4"/>
          <w:sz w:val="20"/>
          <w:szCs w:val="20"/>
        </w:rPr>
        <w:t>促进作出决策。1999年，</w:t>
      </w:r>
      <w:r>
        <w:rPr>
          <w:rFonts w:ascii="Times New Roman" w:hAnsi="Times New Roman" w:eastAsia="Times New Roman" w:cs="Times New Roman"/>
          <w:sz w:val="20"/>
          <w:szCs w:val="20"/>
        </w:rPr>
        <w:t>Brownson</w:t>
      </w:r>
      <w:r>
        <w:rPr>
          <w:rFonts w:ascii="Times New Roman" w:hAnsi="Times New Roman" w:eastAsia="Times New Roman" w:cs="Times New Roman"/>
          <w:spacing w:val="4"/>
          <w:sz w:val="20"/>
          <w:szCs w:val="20"/>
        </w:rPr>
        <w:t xml:space="preserve"> </w:t>
      </w:r>
      <w:r>
        <w:rPr>
          <w:rFonts w:ascii="宋体" w:hAnsi="宋体" w:eastAsia="宋体" w:cs="宋体"/>
          <w:spacing w:val="4"/>
          <w:sz w:val="20"/>
          <w:szCs w:val="20"/>
        </w:rPr>
        <w:t>进一步扩展了循证公共卫生的概念，将其归纳为：通过应用科学</w:t>
      </w:r>
      <w:r>
        <w:rPr>
          <w:rFonts w:ascii="宋体" w:hAnsi="宋体" w:eastAsia="宋体" w:cs="宋体"/>
          <w:sz w:val="20"/>
          <w:szCs w:val="20"/>
        </w:rPr>
        <w:t xml:space="preserve"> </w:t>
      </w:r>
      <w:r>
        <w:rPr>
          <w:rFonts w:ascii="宋体" w:hAnsi="宋体" w:eastAsia="宋体" w:cs="宋体"/>
          <w:spacing w:val="1"/>
          <w:sz w:val="20"/>
          <w:szCs w:val="20"/>
        </w:rPr>
        <w:t>论证的原则，包括系统地应用资料和信息系统，以及适</w:t>
      </w:r>
      <w:r>
        <w:rPr>
          <w:rFonts w:ascii="宋体" w:hAnsi="宋体" w:eastAsia="宋体" w:cs="宋体"/>
          <w:sz w:val="20"/>
          <w:szCs w:val="20"/>
        </w:rPr>
        <w:t xml:space="preserve">当运用项目计划模型，制定、执行公共卫生的 </w:t>
      </w:r>
      <w:r>
        <w:rPr>
          <w:rFonts w:ascii="宋体" w:hAnsi="宋体" w:eastAsia="宋体" w:cs="宋体"/>
          <w:spacing w:val="4"/>
          <w:sz w:val="20"/>
          <w:szCs w:val="20"/>
        </w:rPr>
        <w:t>政策和项目并评价其有效性。2004年，</w:t>
      </w:r>
      <w:r>
        <w:rPr>
          <w:rFonts w:ascii="Times New Roman" w:hAnsi="Times New Roman" w:eastAsia="Times New Roman" w:cs="Times New Roman"/>
          <w:sz w:val="20"/>
          <w:szCs w:val="20"/>
        </w:rPr>
        <w:t>Kohatsu</w:t>
      </w:r>
      <w:r>
        <w:rPr>
          <w:rFonts w:ascii="Times New Roman" w:hAnsi="Times New Roman" w:eastAsia="Times New Roman" w:cs="Times New Roman"/>
          <w:spacing w:val="4"/>
          <w:sz w:val="20"/>
          <w:szCs w:val="20"/>
        </w:rPr>
        <w:t xml:space="preserve">   </w:t>
      </w:r>
      <w:r>
        <w:rPr>
          <w:rFonts w:ascii="宋体" w:hAnsi="宋体" w:eastAsia="宋体" w:cs="宋体"/>
          <w:spacing w:val="4"/>
          <w:sz w:val="20"/>
          <w:szCs w:val="20"/>
        </w:rPr>
        <w:t>又提出了新的循证公共卫生定义，即循证公共卫生</w:t>
      </w:r>
      <w:r>
        <w:rPr>
          <w:rFonts w:ascii="宋体" w:hAnsi="宋体" w:eastAsia="宋体" w:cs="宋体"/>
          <w:spacing w:val="17"/>
          <w:sz w:val="20"/>
          <w:szCs w:val="20"/>
        </w:rPr>
        <w:t xml:space="preserve"> </w:t>
      </w:r>
      <w:r>
        <w:rPr>
          <w:rFonts w:ascii="宋体" w:hAnsi="宋体" w:eastAsia="宋体" w:cs="宋体"/>
          <w:spacing w:val="10"/>
          <w:sz w:val="20"/>
          <w:szCs w:val="20"/>
        </w:rPr>
        <w:t>是指把以科学为基础的干预项目同社区的优先选择结合起来促进人群健康的过程。综上，可</w:t>
      </w:r>
      <w:r>
        <w:rPr>
          <w:rFonts w:ascii="宋体" w:hAnsi="宋体" w:eastAsia="宋体" w:cs="宋体"/>
          <w:spacing w:val="9"/>
          <w:sz w:val="20"/>
          <w:szCs w:val="20"/>
        </w:rPr>
        <w:t>以将</w:t>
      </w:r>
      <w:r>
        <w:rPr>
          <w:rFonts w:ascii="宋体" w:hAnsi="宋体" w:eastAsia="宋体" w:cs="宋体"/>
          <w:sz w:val="20"/>
          <w:szCs w:val="20"/>
        </w:rPr>
        <w:t xml:space="preserve"> </w:t>
      </w:r>
      <w:r>
        <w:rPr>
          <w:rFonts w:ascii="宋体" w:hAnsi="宋体" w:eastAsia="宋体" w:cs="宋体"/>
          <w:spacing w:val="3"/>
          <w:sz w:val="20"/>
          <w:szCs w:val="20"/>
        </w:rPr>
        <w:t>循证公共卫生的定义概括为：</w:t>
      </w:r>
      <w:r>
        <w:rPr>
          <w:rFonts w:ascii="宋体" w:hAnsi="宋体" w:eastAsia="宋体" w:cs="宋体"/>
          <w:spacing w:val="-11"/>
          <w:sz w:val="20"/>
          <w:szCs w:val="20"/>
        </w:rPr>
        <w:t xml:space="preserve"> </w:t>
      </w:r>
      <w:r>
        <w:rPr>
          <w:rFonts w:ascii="宋体" w:hAnsi="宋体" w:eastAsia="宋体" w:cs="宋体"/>
          <w:spacing w:val="3"/>
          <w:sz w:val="20"/>
          <w:szCs w:val="20"/>
        </w:rPr>
        <w:t>一种以科学研究证据为基础，通过系统、有效的评估，找出公共卫生</w:t>
      </w:r>
      <w:r>
        <w:rPr>
          <w:rFonts w:ascii="宋体" w:hAnsi="宋体" w:eastAsia="宋体" w:cs="宋体"/>
          <w:sz w:val="20"/>
          <w:szCs w:val="20"/>
        </w:rPr>
        <w:t xml:space="preserve"> </w:t>
      </w:r>
      <w:r>
        <w:rPr>
          <w:rFonts w:ascii="宋体" w:hAnsi="宋体" w:eastAsia="宋体" w:cs="宋体"/>
          <w:spacing w:val="6"/>
          <w:sz w:val="20"/>
          <w:szCs w:val="20"/>
        </w:rPr>
        <w:t>最佳的证据，并依此制定和作出科学可行的公共卫生政策和决策的方法。</w:t>
      </w:r>
    </w:p>
    <w:p w14:paraId="2101542D">
      <w:pPr>
        <w:pStyle w:val="2"/>
        <w:spacing w:before="217" w:line="218" w:lineRule="auto"/>
        <w:ind w:left="423"/>
        <w:outlineLvl w:val="4"/>
        <w:rPr>
          <w:sz w:val="25"/>
          <w:szCs w:val="25"/>
        </w:rPr>
      </w:pPr>
      <w:bookmarkStart w:id="460" w:name="bookmark292"/>
      <w:bookmarkEnd w:id="460"/>
      <w:r>
        <w:rPr>
          <w:b/>
          <w:bCs/>
          <w:spacing w:val="-4"/>
          <w:sz w:val="25"/>
          <w:szCs w:val="25"/>
        </w:rPr>
        <w:t>二</w:t>
      </w:r>
      <w:r>
        <w:rPr>
          <w:spacing w:val="-34"/>
          <w:sz w:val="25"/>
          <w:szCs w:val="25"/>
        </w:rPr>
        <w:t xml:space="preserve"> </w:t>
      </w:r>
      <w:r>
        <w:rPr>
          <w:b/>
          <w:bCs/>
          <w:spacing w:val="-4"/>
          <w:sz w:val="25"/>
          <w:szCs w:val="25"/>
        </w:rPr>
        <w:t>、循证医学实践的基础</w:t>
      </w:r>
    </w:p>
    <w:p w14:paraId="6EDA604E">
      <w:pPr>
        <w:pStyle w:val="2"/>
        <w:spacing w:before="302" w:line="222" w:lineRule="auto"/>
        <w:ind w:left="420"/>
        <w:rPr>
          <w:sz w:val="20"/>
          <w:szCs w:val="20"/>
        </w:rPr>
      </w:pPr>
      <w:r>
        <w:rPr>
          <w:spacing w:val="23"/>
          <w:sz w:val="20"/>
          <w:szCs w:val="20"/>
        </w:rPr>
        <w:t>(</w:t>
      </w:r>
      <w:r>
        <w:rPr>
          <w:spacing w:val="-40"/>
          <w:sz w:val="20"/>
          <w:szCs w:val="20"/>
        </w:rPr>
        <w:t xml:space="preserve"> </w:t>
      </w:r>
      <w:r>
        <w:rPr>
          <w:spacing w:val="23"/>
          <w:sz w:val="20"/>
          <w:szCs w:val="20"/>
        </w:rPr>
        <w:t>一</w:t>
      </w:r>
      <w:r>
        <w:rPr>
          <w:spacing w:val="-54"/>
          <w:sz w:val="20"/>
          <w:szCs w:val="20"/>
        </w:rPr>
        <w:t xml:space="preserve"> </w:t>
      </w:r>
      <w:r>
        <w:rPr>
          <w:spacing w:val="23"/>
          <w:sz w:val="20"/>
          <w:szCs w:val="20"/>
        </w:rPr>
        <w:t>)高素质的临床医师</w:t>
      </w:r>
    </w:p>
    <w:p w14:paraId="19E81A9C">
      <w:pPr>
        <w:spacing w:before="113" w:line="341" w:lineRule="auto"/>
        <w:ind w:right="555" w:firstLine="420"/>
        <w:jc w:val="both"/>
        <w:rPr>
          <w:rFonts w:ascii="宋体" w:hAnsi="宋体" w:eastAsia="宋体" w:cs="宋体"/>
          <w:sz w:val="20"/>
          <w:szCs w:val="20"/>
        </w:rPr>
      </w:pPr>
      <w:r>
        <w:rPr>
          <w:rFonts w:ascii="宋体" w:hAnsi="宋体" w:eastAsia="宋体" w:cs="宋体"/>
          <w:spacing w:val="5"/>
          <w:sz w:val="20"/>
          <w:szCs w:val="20"/>
        </w:rPr>
        <w:t>医师是循证医学实践的主体，在实践中起到非常关键的作用，因为对疾病的诊断、治疗等的决</w:t>
      </w:r>
      <w:r>
        <w:rPr>
          <w:rFonts w:ascii="宋体" w:hAnsi="宋体" w:eastAsia="宋体" w:cs="宋体"/>
          <w:spacing w:val="12"/>
          <w:sz w:val="20"/>
          <w:szCs w:val="20"/>
        </w:rPr>
        <w:t xml:space="preserve"> </w:t>
      </w:r>
      <w:r>
        <w:rPr>
          <w:rFonts w:ascii="宋体" w:hAnsi="宋体" w:eastAsia="宋体" w:cs="宋体"/>
          <w:spacing w:val="5"/>
          <w:sz w:val="20"/>
          <w:szCs w:val="20"/>
        </w:rPr>
        <w:t>策都是医师作出的。因此，医师的水平，包括医学理论知识、临床经验尤为重要。循证医学的核心</w:t>
      </w:r>
      <w:r>
        <w:rPr>
          <w:rFonts w:ascii="宋体" w:hAnsi="宋体" w:eastAsia="宋体" w:cs="宋体"/>
          <w:spacing w:val="3"/>
          <w:sz w:val="20"/>
          <w:szCs w:val="20"/>
        </w:rPr>
        <w:t xml:space="preserve">  </w:t>
      </w:r>
      <w:r>
        <w:rPr>
          <w:rFonts w:ascii="宋体" w:hAnsi="宋体" w:eastAsia="宋体" w:cs="宋体"/>
          <w:spacing w:val="10"/>
          <w:sz w:val="20"/>
          <w:szCs w:val="20"/>
        </w:rPr>
        <w:t>思想就是要求医师要根据最佳的科学研究证据来诊治病人。因此，在强调临床经验的同时，要求</w:t>
      </w:r>
      <w:r>
        <w:rPr>
          <w:rFonts w:ascii="宋体" w:hAnsi="宋体" w:eastAsia="宋体" w:cs="宋体"/>
          <w:spacing w:val="18"/>
          <w:sz w:val="20"/>
          <w:szCs w:val="20"/>
        </w:rPr>
        <w:t xml:space="preserve"> </w:t>
      </w:r>
      <w:r>
        <w:rPr>
          <w:rFonts w:ascii="宋体" w:hAnsi="宋体" w:eastAsia="宋体" w:cs="宋体"/>
          <w:spacing w:val="5"/>
          <w:sz w:val="20"/>
          <w:szCs w:val="20"/>
        </w:rPr>
        <w:t>医师必须能够筛选和识别出最佳证据。这就要求临床医师掌握寻找证据、评价证据、应用证据的技</w:t>
      </w:r>
      <w:r>
        <w:rPr>
          <w:rFonts w:ascii="宋体" w:hAnsi="宋体" w:eastAsia="宋体" w:cs="宋体"/>
          <w:spacing w:val="1"/>
          <w:sz w:val="20"/>
          <w:szCs w:val="20"/>
        </w:rPr>
        <w:t xml:space="preserve">  </w:t>
      </w:r>
      <w:r>
        <w:rPr>
          <w:rFonts w:ascii="宋体" w:hAnsi="宋体" w:eastAsia="宋体" w:cs="宋体"/>
          <w:spacing w:val="3"/>
          <w:sz w:val="20"/>
          <w:szCs w:val="20"/>
        </w:rPr>
        <w:t>能，不断更新和丰富自己的理论和方法，把临床</w:t>
      </w:r>
      <w:r>
        <w:rPr>
          <w:rFonts w:ascii="宋体" w:hAnsi="宋体" w:eastAsia="宋体" w:cs="宋体"/>
          <w:spacing w:val="2"/>
          <w:sz w:val="20"/>
          <w:szCs w:val="20"/>
        </w:rPr>
        <w:t>经验与最佳的证据相结合，这样才能作出科学决策。</w:t>
      </w:r>
      <w:r>
        <w:rPr>
          <w:rFonts w:ascii="宋体" w:hAnsi="宋体" w:eastAsia="宋体" w:cs="宋体"/>
          <w:sz w:val="20"/>
          <w:szCs w:val="20"/>
        </w:rPr>
        <w:t xml:space="preserve"> </w:t>
      </w:r>
      <w:r>
        <w:rPr>
          <w:rFonts w:ascii="宋体" w:hAnsi="宋体" w:eastAsia="宋体" w:cs="宋体"/>
          <w:spacing w:val="5"/>
          <w:sz w:val="20"/>
          <w:szCs w:val="20"/>
        </w:rPr>
        <w:t>如研究证明某一药物有效，并不等于它可以治好每一位病人，判断哪个病人可能从治疗中得益，是</w:t>
      </w:r>
      <w:r>
        <w:rPr>
          <w:rFonts w:ascii="宋体" w:hAnsi="宋体" w:eastAsia="宋体" w:cs="宋体"/>
          <w:spacing w:val="1"/>
          <w:sz w:val="20"/>
          <w:szCs w:val="20"/>
        </w:rPr>
        <w:t xml:space="preserve">  </w:t>
      </w:r>
      <w:r>
        <w:rPr>
          <w:rFonts w:ascii="宋体" w:hAnsi="宋体" w:eastAsia="宋体" w:cs="宋体"/>
          <w:spacing w:val="5"/>
          <w:sz w:val="20"/>
          <w:szCs w:val="20"/>
        </w:rPr>
        <w:t>所有临床决策共有的难题，这时研究证据必须由临床经验来补充。因此，最佳的研究证据不等于最</w:t>
      </w:r>
      <w:r>
        <w:rPr>
          <w:rFonts w:ascii="宋体" w:hAnsi="宋体" w:eastAsia="宋体" w:cs="宋体"/>
          <w:spacing w:val="1"/>
          <w:sz w:val="20"/>
          <w:szCs w:val="20"/>
        </w:rPr>
        <w:t xml:space="preserve">  </w:t>
      </w:r>
      <w:r>
        <w:rPr>
          <w:rFonts w:ascii="宋体" w:hAnsi="宋体" w:eastAsia="宋体" w:cs="宋体"/>
          <w:spacing w:val="5"/>
          <w:sz w:val="20"/>
          <w:szCs w:val="20"/>
        </w:rPr>
        <w:t>佳的决策。利用证据对个体病人进行诊治时，医师必须根据病人的具体情况、个人意愿、可用的资</w:t>
      </w:r>
      <w:r>
        <w:rPr>
          <w:rFonts w:ascii="宋体" w:hAnsi="宋体" w:eastAsia="宋体" w:cs="宋体"/>
          <w:spacing w:val="4"/>
          <w:sz w:val="20"/>
          <w:szCs w:val="20"/>
        </w:rPr>
        <w:t xml:space="preserve">  </w:t>
      </w:r>
      <w:r>
        <w:rPr>
          <w:rFonts w:ascii="宋体" w:hAnsi="宋体" w:eastAsia="宋体" w:cs="宋体"/>
          <w:spacing w:val="5"/>
          <w:sz w:val="20"/>
          <w:szCs w:val="20"/>
        </w:rPr>
        <w:t>源以及自己的临床经验，判断病人从治疗中获益的可能性及其大小，作出最适合该病人的决定。此</w:t>
      </w:r>
      <w:r>
        <w:rPr>
          <w:rFonts w:ascii="宋体" w:hAnsi="宋体" w:eastAsia="宋体" w:cs="宋体"/>
          <w:spacing w:val="1"/>
          <w:sz w:val="20"/>
          <w:szCs w:val="20"/>
        </w:rPr>
        <w:t xml:space="preserve">  </w:t>
      </w:r>
      <w:r>
        <w:rPr>
          <w:rFonts w:ascii="宋体" w:hAnsi="宋体" w:eastAsia="宋体" w:cs="宋体"/>
          <w:spacing w:val="5"/>
          <w:sz w:val="20"/>
          <w:szCs w:val="20"/>
        </w:rPr>
        <w:t>外，医师还必须具备崇高的医德和全心全意为病人服务的精神，这些都是临床医师实践循证医学的</w:t>
      </w:r>
      <w:r>
        <w:rPr>
          <w:rFonts w:ascii="宋体" w:hAnsi="宋体" w:eastAsia="宋体" w:cs="宋体"/>
          <w:spacing w:val="4"/>
          <w:sz w:val="20"/>
          <w:szCs w:val="20"/>
        </w:rPr>
        <w:t xml:space="preserve">  </w:t>
      </w:r>
      <w:r>
        <w:rPr>
          <w:rFonts w:ascii="宋体" w:hAnsi="宋体" w:eastAsia="宋体" w:cs="宋体"/>
          <w:spacing w:val="11"/>
          <w:sz w:val="20"/>
          <w:szCs w:val="20"/>
        </w:rPr>
        <w:t>必备条件。</w:t>
      </w:r>
    </w:p>
    <w:p w14:paraId="2859D08F">
      <w:pPr>
        <w:pStyle w:val="2"/>
        <w:spacing w:before="1" w:line="221" w:lineRule="auto"/>
        <w:ind w:left="423"/>
        <w:rPr>
          <w:sz w:val="25"/>
          <w:szCs w:val="25"/>
        </w:rPr>
      </w:pPr>
      <w:r>
        <w:rPr>
          <w:b/>
          <w:bCs/>
          <w:spacing w:val="-15"/>
          <w:sz w:val="25"/>
          <w:szCs w:val="25"/>
        </w:rPr>
        <w:t>(二)最佳的研究证据</w:t>
      </w:r>
    </w:p>
    <w:p w14:paraId="7F1EC91D">
      <w:pPr>
        <w:spacing w:before="142" w:line="333" w:lineRule="auto"/>
        <w:ind w:right="644" w:firstLine="420"/>
        <w:jc w:val="both"/>
        <w:rPr>
          <w:rFonts w:ascii="宋体" w:hAnsi="宋体" w:eastAsia="宋体" w:cs="宋体"/>
          <w:sz w:val="20"/>
          <w:szCs w:val="20"/>
        </w:rPr>
      </w:pPr>
      <w:r>
        <w:rPr>
          <w:rFonts w:ascii="宋体" w:hAnsi="宋体" w:eastAsia="宋体" w:cs="宋体"/>
          <w:spacing w:val="5"/>
          <w:sz w:val="20"/>
          <w:szCs w:val="20"/>
        </w:rPr>
        <w:t>与医学实践和决策相关的证据是多方面的，它们的来源不同，使得其可靠性和</w:t>
      </w:r>
      <w:r>
        <w:rPr>
          <w:rFonts w:ascii="宋体" w:hAnsi="宋体" w:eastAsia="宋体" w:cs="宋体"/>
          <w:spacing w:val="4"/>
          <w:sz w:val="20"/>
          <w:szCs w:val="20"/>
        </w:rPr>
        <w:t>与医学实践的关</w:t>
      </w:r>
      <w:r>
        <w:rPr>
          <w:rFonts w:ascii="宋体" w:hAnsi="宋体" w:eastAsia="宋体" w:cs="宋体"/>
          <w:sz w:val="20"/>
          <w:szCs w:val="20"/>
        </w:rPr>
        <w:t xml:space="preserve"> </w:t>
      </w:r>
      <w:r>
        <w:rPr>
          <w:rFonts w:ascii="宋体" w:hAnsi="宋体" w:eastAsia="宋体" w:cs="宋体"/>
          <w:spacing w:val="5"/>
          <w:sz w:val="20"/>
          <w:szCs w:val="20"/>
        </w:rPr>
        <w:t>联性存在差异。例如，在基础医学研究中，来自动物实验研究的结果是重要的科学证据，是医学实</w:t>
      </w:r>
      <w:r>
        <w:rPr>
          <w:rFonts w:ascii="宋体" w:hAnsi="宋体" w:eastAsia="宋体" w:cs="宋体"/>
          <w:spacing w:val="3"/>
          <w:sz w:val="20"/>
          <w:szCs w:val="20"/>
        </w:rPr>
        <w:t xml:space="preserve"> </w:t>
      </w:r>
      <w:r>
        <w:rPr>
          <w:rFonts w:ascii="宋体" w:hAnsi="宋体" w:eastAsia="宋体" w:cs="宋体"/>
          <w:spacing w:val="5"/>
          <w:sz w:val="20"/>
          <w:szCs w:val="20"/>
        </w:rPr>
        <w:t>践新思想和新方法产生的重要来源之一，对医疗卫生决策有一定的参考意义，但它们不能直接用来</w:t>
      </w:r>
      <w:r>
        <w:rPr>
          <w:rFonts w:ascii="宋体" w:hAnsi="宋体" w:eastAsia="宋体" w:cs="宋体"/>
          <w:spacing w:val="2"/>
          <w:sz w:val="20"/>
          <w:szCs w:val="20"/>
        </w:rPr>
        <w:t xml:space="preserve"> </w:t>
      </w:r>
      <w:r>
        <w:rPr>
          <w:rFonts w:ascii="宋体" w:hAnsi="宋体" w:eastAsia="宋体" w:cs="宋体"/>
          <w:spacing w:val="5"/>
          <w:sz w:val="20"/>
          <w:szCs w:val="20"/>
        </w:rPr>
        <w:t>指导医学实践活动，需要进一步在人群研究中得到验证后，才能用于指导医学实践。在人群中进行</w:t>
      </w:r>
      <w:r>
        <w:rPr>
          <w:rFonts w:ascii="宋体" w:hAnsi="宋体" w:eastAsia="宋体" w:cs="宋体"/>
          <w:spacing w:val="3"/>
          <w:sz w:val="20"/>
          <w:szCs w:val="20"/>
        </w:rPr>
        <w:t xml:space="preserve"> </w:t>
      </w:r>
      <w:r>
        <w:rPr>
          <w:rFonts w:ascii="宋体" w:hAnsi="宋体" w:eastAsia="宋体" w:cs="宋体"/>
          <w:spacing w:val="5"/>
          <w:sz w:val="20"/>
          <w:szCs w:val="20"/>
        </w:rPr>
        <w:t xml:space="preserve">的探索健康、疾病以及医疗卫生服务一般规律的科学研究主要是流行病学研究，然而流行病学研究 </w:t>
      </w:r>
      <w:r>
        <w:rPr>
          <w:rFonts w:ascii="宋体" w:hAnsi="宋体" w:eastAsia="宋体" w:cs="宋体"/>
          <w:spacing w:val="3"/>
          <w:sz w:val="20"/>
          <w:szCs w:val="20"/>
        </w:rPr>
        <w:t>的种类很多，产生的证据的质量和可靠性也各不相同，也不能全部直接用于医学实践</w:t>
      </w:r>
      <w:r>
        <w:rPr>
          <w:rFonts w:ascii="宋体" w:hAnsi="宋体" w:eastAsia="宋体" w:cs="宋体"/>
          <w:spacing w:val="2"/>
          <w:sz w:val="20"/>
          <w:szCs w:val="20"/>
        </w:rPr>
        <w:t>和决策。</w:t>
      </w:r>
    </w:p>
    <w:p w14:paraId="252F9C68">
      <w:pPr>
        <w:spacing w:before="76" w:line="333" w:lineRule="auto"/>
        <w:ind w:right="636" w:firstLine="420"/>
        <w:jc w:val="both"/>
        <w:rPr>
          <w:rFonts w:ascii="宋体" w:hAnsi="宋体" w:eastAsia="宋体" w:cs="宋体"/>
          <w:sz w:val="20"/>
          <w:szCs w:val="20"/>
        </w:rPr>
      </w:pPr>
      <w:r>
        <w:rPr>
          <w:rFonts w:ascii="宋体" w:hAnsi="宋体" w:eastAsia="宋体" w:cs="宋体"/>
          <w:spacing w:val="3"/>
          <w:sz w:val="20"/>
          <w:szCs w:val="20"/>
        </w:rPr>
        <w:t>不同类型的证据有不同的分组标准，就干预措施效果而言，最可</w:t>
      </w:r>
      <w:r>
        <w:rPr>
          <w:rFonts w:ascii="宋体" w:hAnsi="宋体" w:eastAsia="宋体" w:cs="宋体"/>
          <w:spacing w:val="2"/>
          <w:sz w:val="20"/>
          <w:szCs w:val="20"/>
        </w:rPr>
        <w:t>靠的证据是来自多个</w:t>
      </w:r>
      <w:r>
        <w:rPr>
          <w:rFonts w:ascii="宋体" w:hAnsi="宋体" w:eastAsia="宋体" w:cs="宋体"/>
          <w:sz w:val="20"/>
          <w:szCs w:val="20"/>
        </w:rPr>
        <w:t>RCT</w:t>
      </w:r>
      <w:r>
        <w:rPr>
          <w:rFonts w:ascii="宋体" w:hAnsi="宋体" w:eastAsia="宋体" w:cs="宋体"/>
          <w:spacing w:val="36"/>
          <w:sz w:val="20"/>
          <w:szCs w:val="20"/>
        </w:rPr>
        <w:t xml:space="preserve"> </w:t>
      </w:r>
      <w:r>
        <w:rPr>
          <w:rFonts w:ascii="宋体" w:hAnsi="宋体" w:eastAsia="宋体" w:cs="宋体"/>
          <w:spacing w:val="2"/>
          <w:sz w:val="20"/>
          <w:szCs w:val="20"/>
        </w:rPr>
        <w:t>的</w:t>
      </w:r>
      <w:r>
        <w:rPr>
          <w:rFonts w:ascii="宋体" w:hAnsi="宋体" w:eastAsia="宋体" w:cs="宋体"/>
          <w:spacing w:val="-35"/>
          <w:sz w:val="20"/>
          <w:szCs w:val="20"/>
        </w:rPr>
        <w:t xml:space="preserve"> </w:t>
      </w:r>
      <w:r>
        <w:rPr>
          <w:rFonts w:ascii="宋体" w:hAnsi="宋体" w:eastAsia="宋体" w:cs="宋体"/>
          <w:spacing w:val="2"/>
          <w:sz w:val="20"/>
          <w:szCs w:val="20"/>
        </w:rPr>
        <w:t>系</w:t>
      </w:r>
      <w:r>
        <w:rPr>
          <w:rFonts w:ascii="宋体" w:hAnsi="宋体" w:eastAsia="宋体" w:cs="宋体"/>
          <w:sz w:val="20"/>
          <w:szCs w:val="20"/>
        </w:rPr>
        <w:t xml:space="preserve"> </w:t>
      </w:r>
      <w:r>
        <w:rPr>
          <w:rFonts w:ascii="宋体" w:hAnsi="宋体" w:eastAsia="宋体" w:cs="宋体"/>
          <w:spacing w:val="5"/>
          <w:sz w:val="20"/>
          <w:szCs w:val="20"/>
        </w:rPr>
        <w:t>统综述，其次是单个</w:t>
      </w:r>
      <w:r>
        <w:rPr>
          <w:rFonts w:ascii="Times New Roman" w:hAnsi="Times New Roman" w:eastAsia="Times New Roman" w:cs="Times New Roman"/>
          <w:sz w:val="20"/>
          <w:szCs w:val="20"/>
        </w:rPr>
        <w:t>RCT</w:t>
      </w:r>
      <w:r>
        <w:rPr>
          <w:rFonts w:ascii="宋体" w:hAnsi="宋体" w:eastAsia="宋体" w:cs="宋体"/>
          <w:spacing w:val="5"/>
          <w:sz w:val="20"/>
          <w:szCs w:val="20"/>
        </w:rPr>
        <w:t>(图18-1)。非基于研究证据的个人意见、依据病理生理知识的推理以及动</w:t>
      </w:r>
      <w:r>
        <w:rPr>
          <w:rFonts w:ascii="宋体" w:hAnsi="宋体" w:eastAsia="宋体" w:cs="宋体"/>
          <w:spacing w:val="13"/>
          <w:sz w:val="20"/>
          <w:szCs w:val="20"/>
        </w:rPr>
        <w:t xml:space="preserve"> </w:t>
      </w:r>
      <w:r>
        <w:rPr>
          <w:rFonts w:ascii="宋体" w:hAnsi="宋体" w:eastAsia="宋体" w:cs="宋体"/>
          <w:spacing w:val="10"/>
          <w:sz w:val="20"/>
          <w:szCs w:val="20"/>
        </w:rPr>
        <w:t>物实验和离体实验研究的结果可作为决策参考，但它们不属于以人群为研究对象的流行病学研究</w:t>
      </w:r>
    </w:p>
    <w:p w14:paraId="4425AA69">
      <w:pPr>
        <w:spacing w:line="333" w:lineRule="auto"/>
        <w:rPr>
          <w:rFonts w:ascii="宋体" w:hAnsi="宋体" w:eastAsia="宋体" w:cs="宋体"/>
          <w:sz w:val="20"/>
          <w:szCs w:val="20"/>
        </w:rPr>
        <w:sectPr>
          <w:footerReference r:id="rId296" w:type="default"/>
          <w:pgSz w:w="11900" w:h="16820"/>
          <w:pgMar w:top="376" w:right="914" w:bottom="859" w:left="1519" w:header="0" w:footer="679" w:gutter="0"/>
          <w:cols w:space="720" w:num="1"/>
        </w:sectPr>
      </w:pPr>
    </w:p>
    <w:p w14:paraId="23A38CAF">
      <w:pPr>
        <w:spacing w:line="107" w:lineRule="exact"/>
      </w:pPr>
    </w:p>
    <w:p w14:paraId="2C071C4B">
      <w:pPr>
        <w:spacing w:line="107" w:lineRule="exact"/>
        <w:sectPr>
          <w:footerReference r:id="rId297" w:type="default"/>
          <w:pgSz w:w="11900" w:h="16820"/>
          <w:pgMar w:top="400" w:right="1455" w:bottom="892" w:left="810" w:header="0" w:footer="721" w:gutter="0"/>
          <w:cols w:equalWidth="0" w:num="1">
            <w:col w:w="9635"/>
          </w:cols>
        </w:sectPr>
      </w:pPr>
    </w:p>
    <w:p w14:paraId="5B76110D">
      <w:pPr>
        <w:pStyle w:val="2"/>
        <w:spacing w:before="38" w:line="221" w:lineRule="auto"/>
        <w:ind w:left="699"/>
        <w:rPr>
          <w:sz w:val="19"/>
          <w:szCs w:val="19"/>
        </w:rPr>
      </w:pPr>
      <w:bookmarkStart w:id="461" w:name="bookmark555"/>
      <w:bookmarkEnd w:id="461"/>
      <w:r>
        <w:rPr>
          <w:spacing w:val="-15"/>
          <w:sz w:val="19"/>
          <w:szCs w:val="19"/>
        </w:rPr>
        <w:t>第十八章 循证医学与系统综述</w:t>
      </w:r>
    </w:p>
    <w:p w14:paraId="2CCCC5EF">
      <w:pPr>
        <w:spacing w:line="289" w:lineRule="auto"/>
        <w:rPr>
          <w:rFonts w:ascii="Arial"/>
          <w:sz w:val="21"/>
        </w:rPr>
      </w:pPr>
    </w:p>
    <w:p w14:paraId="5543974D">
      <w:pPr>
        <w:spacing w:line="289" w:lineRule="auto"/>
        <w:rPr>
          <w:rFonts w:ascii="Arial"/>
          <w:sz w:val="21"/>
        </w:rPr>
      </w:pPr>
    </w:p>
    <w:p w14:paraId="6F744848">
      <w:pPr>
        <w:spacing w:before="62" w:line="219" w:lineRule="auto"/>
        <w:ind w:left="699"/>
        <w:rPr>
          <w:rFonts w:ascii="宋体" w:hAnsi="宋体" w:eastAsia="宋体" w:cs="宋体"/>
          <w:sz w:val="19"/>
          <w:szCs w:val="19"/>
        </w:rPr>
      </w:pPr>
      <w:r>
        <w:rPr>
          <w:rFonts w:ascii="宋体" w:hAnsi="宋体" w:eastAsia="宋体" w:cs="宋体"/>
          <w:spacing w:val="10"/>
          <w:sz w:val="19"/>
          <w:szCs w:val="19"/>
        </w:rPr>
        <w:t>证据，与临床决策无直接的相关性。</w:t>
      </w:r>
    </w:p>
    <w:p w14:paraId="09F454FB">
      <w:pPr>
        <w:spacing w:before="129" w:line="359" w:lineRule="auto"/>
        <w:ind w:left="699" w:right="134" w:firstLine="409"/>
        <w:jc w:val="both"/>
        <w:rPr>
          <w:rFonts w:ascii="宋体" w:hAnsi="宋体" w:eastAsia="宋体" w:cs="宋体"/>
          <w:sz w:val="19"/>
          <w:szCs w:val="19"/>
        </w:rPr>
      </w:pPr>
      <w:r>
        <w:rPr>
          <w:rFonts w:ascii="宋体" w:hAnsi="宋体" w:eastAsia="宋体" w:cs="宋体"/>
          <w:spacing w:val="20"/>
          <w:sz w:val="19"/>
          <w:szCs w:val="19"/>
        </w:rPr>
        <w:t>明确区分和对待不同来源的证据是循证医学的重要特</w:t>
      </w:r>
      <w:r>
        <w:rPr>
          <w:rFonts w:ascii="宋体" w:hAnsi="宋体" w:eastAsia="宋体" w:cs="宋体"/>
          <w:spacing w:val="7"/>
          <w:sz w:val="19"/>
          <w:szCs w:val="19"/>
        </w:rPr>
        <w:t xml:space="preserve">  </w:t>
      </w:r>
      <w:r>
        <w:rPr>
          <w:rFonts w:ascii="宋体" w:hAnsi="宋体" w:eastAsia="宋体" w:cs="宋体"/>
          <w:spacing w:val="6"/>
          <w:sz w:val="19"/>
          <w:szCs w:val="19"/>
        </w:rPr>
        <w:t>征之一，它包含两个层面：</w:t>
      </w:r>
      <w:r>
        <w:rPr>
          <w:rFonts w:ascii="宋体" w:hAnsi="宋体" w:eastAsia="宋体" w:cs="宋体"/>
          <w:spacing w:val="72"/>
          <w:sz w:val="19"/>
          <w:szCs w:val="19"/>
        </w:rPr>
        <w:t xml:space="preserve"> </w:t>
      </w:r>
      <w:r>
        <w:rPr>
          <w:rFonts w:ascii="宋体" w:hAnsi="宋体" w:eastAsia="宋体" w:cs="宋体"/>
          <w:spacing w:val="6"/>
          <w:sz w:val="19"/>
          <w:szCs w:val="19"/>
        </w:rPr>
        <w:t>一是证据的相关性，二是证据的</w:t>
      </w:r>
      <w:r>
        <w:rPr>
          <w:rFonts w:ascii="宋体" w:hAnsi="宋体" w:eastAsia="宋体" w:cs="宋体"/>
          <w:sz w:val="19"/>
          <w:szCs w:val="19"/>
        </w:rPr>
        <w:t xml:space="preserve">  </w:t>
      </w:r>
      <w:r>
        <w:rPr>
          <w:rFonts w:ascii="宋体" w:hAnsi="宋体" w:eastAsia="宋体" w:cs="宋体"/>
          <w:spacing w:val="15"/>
          <w:sz w:val="19"/>
          <w:szCs w:val="19"/>
        </w:rPr>
        <w:t>质量。上述的证据质量分级</w:t>
      </w:r>
      <w:r>
        <w:rPr>
          <w:rFonts w:ascii="Times New Roman" w:hAnsi="Times New Roman" w:eastAsia="Times New Roman" w:cs="Times New Roman"/>
          <w:spacing w:val="15"/>
          <w:sz w:val="19"/>
          <w:szCs w:val="19"/>
        </w:rPr>
        <w:t>(</w:t>
      </w:r>
      <w:r>
        <w:rPr>
          <w:rFonts w:ascii="Times New Roman" w:hAnsi="Times New Roman" w:eastAsia="Times New Roman" w:cs="Times New Roman"/>
          <w:sz w:val="19"/>
          <w:szCs w:val="19"/>
        </w:rPr>
        <w:t>hierarchy</w:t>
      </w:r>
      <w:r>
        <w:rPr>
          <w:rFonts w:ascii="Times New Roman" w:hAnsi="Times New Roman" w:eastAsia="Times New Roman" w:cs="Times New Roman"/>
          <w:spacing w:val="25"/>
          <w:sz w:val="19"/>
          <w:szCs w:val="19"/>
        </w:rPr>
        <w:t xml:space="preserve">  </w:t>
      </w:r>
      <w:r>
        <w:rPr>
          <w:rFonts w:ascii="Times New Roman" w:hAnsi="Times New Roman" w:eastAsia="Times New Roman" w:cs="Times New Roman"/>
          <w:sz w:val="19"/>
          <w:szCs w:val="19"/>
        </w:rPr>
        <w:t>of</w:t>
      </w:r>
      <w:r>
        <w:rPr>
          <w:rFonts w:ascii="Times New Roman" w:hAnsi="Times New Roman" w:eastAsia="Times New Roman" w:cs="Times New Roman"/>
          <w:spacing w:val="15"/>
          <w:sz w:val="19"/>
          <w:szCs w:val="19"/>
        </w:rPr>
        <w:t xml:space="preserve">  </w:t>
      </w:r>
      <w:r>
        <w:rPr>
          <w:rFonts w:ascii="Times New Roman" w:hAnsi="Times New Roman" w:eastAsia="Times New Roman" w:cs="Times New Roman"/>
          <w:sz w:val="19"/>
          <w:szCs w:val="19"/>
        </w:rPr>
        <w:t>evidence</w:t>
      </w:r>
      <w:r>
        <w:rPr>
          <w:rFonts w:ascii="Times New Roman" w:hAnsi="Times New Roman" w:eastAsia="Times New Roman" w:cs="Times New Roman"/>
          <w:spacing w:val="15"/>
          <w:sz w:val="19"/>
          <w:szCs w:val="19"/>
        </w:rPr>
        <w:t>)</w:t>
      </w:r>
      <w:r>
        <w:rPr>
          <w:rFonts w:ascii="宋体" w:hAnsi="宋体" w:eastAsia="宋体" w:cs="宋体"/>
          <w:spacing w:val="15"/>
          <w:sz w:val="19"/>
          <w:szCs w:val="19"/>
        </w:rPr>
        <w:t>有三个重</w:t>
      </w:r>
      <w:r>
        <w:rPr>
          <w:rFonts w:ascii="宋体" w:hAnsi="宋体" w:eastAsia="宋体" w:cs="宋体"/>
          <w:sz w:val="19"/>
          <w:szCs w:val="19"/>
        </w:rPr>
        <w:t xml:space="preserve">  </w:t>
      </w:r>
      <w:r>
        <w:rPr>
          <w:rFonts w:ascii="宋体" w:hAnsi="宋体" w:eastAsia="宋体" w:cs="宋体"/>
          <w:spacing w:val="12"/>
          <w:sz w:val="19"/>
          <w:szCs w:val="19"/>
        </w:rPr>
        <w:t>要意义。首先，研究质量的高低是结果可信性的前提，证据</w:t>
      </w:r>
      <w:r>
        <w:rPr>
          <w:rFonts w:ascii="宋体" w:hAnsi="宋体" w:eastAsia="宋体" w:cs="宋体"/>
          <w:spacing w:val="4"/>
          <w:sz w:val="19"/>
          <w:szCs w:val="19"/>
        </w:rPr>
        <w:t xml:space="preserve">  </w:t>
      </w:r>
      <w:r>
        <w:rPr>
          <w:rFonts w:ascii="宋体" w:hAnsi="宋体" w:eastAsia="宋体" w:cs="宋体"/>
          <w:spacing w:val="15"/>
          <w:sz w:val="19"/>
          <w:szCs w:val="19"/>
        </w:rPr>
        <w:t>质量越高，结果的可信性就越高，决策成功的把握就越大。</w:t>
      </w:r>
      <w:r>
        <w:rPr>
          <w:rFonts w:ascii="宋体" w:hAnsi="宋体" w:eastAsia="宋体" w:cs="宋体"/>
          <w:spacing w:val="14"/>
          <w:sz w:val="19"/>
          <w:szCs w:val="19"/>
        </w:rPr>
        <w:t xml:space="preserve"> </w:t>
      </w:r>
      <w:r>
        <w:rPr>
          <w:rFonts w:ascii="宋体" w:hAnsi="宋体" w:eastAsia="宋体" w:cs="宋体"/>
          <w:spacing w:val="12"/>
          <w:sz w:val="19"/>
          <w:szCs w:val="19"/>
        </w:rPr>
        <w:t>其次，进行循证实践时，文献检索必须从可能的最高质量的</w:t>
      </w:r>
      <w:r>
        <w:rPr>
          <w:rFonts w:ascii="宋体" w:hAnsi="宋体" w:eastAsia="宋体" w:cs="宋体"/>
          <w:spacing w:val="5"/>
          <w:sz w:val="19"/>
          <w:szCs w:val="19"/>
        </w:rPr>
        <w:t xml:space="preserve">  </w:t>
      </w:r>
      <w:r>
        <w:rPr>
          <w:rFonts w:ascii="宋体" w:hAnsi="宋体" w:eastAsia="宋体" w:cs="宋体"/>
          <w:spacing w:val="18"/>
          <w:sz w:val="19"/>
          <w:szCs w:val="19"/>
        </w:rPr>
        <w:t>证据开始。例如，关于疗效证据的检索应从</w:t>
      </w:r>
      <w:r>
        <w:rPr>
          <w:rFonts w:ascii="Times New Roman" w:hAnsi="Times New Roman" w:eastAsia="Times New Roman" w:cs="Times New Roman"/>
          <w:sz w:val="19"/>
          <w:szCs w:val="19"/>
        </w:rPr>
        <w:t>RCT</w:t>
      </w:r>
      <w:r>
        <w:rPr>
          <w:rFonts w:ascii="Times New Roman" w:hAnsi="Times New Roman" w:eastAsia="Times New Roman" w:cs="Times New Roman"/>
          <w:spacing w:val="56"/>
          <w:sz w:val="19"/>
          <w:szCs w:val="19"/>
        </w:rPr>
        <w:t xml:space="preserve"> </w:t>
      </w:r>
      <w:r>
        <w:rPr>
          <w:rFonts w:ascii="宋体" w:hAnsi="宋体" w:eastAsia="宋体" w:cs="宋体"/>
          <w:spacing w:val="18"/>
          <w:sz w:val="19"/>
          <w:szCs w:val="19"/>
        </w:rPr>
        <w:t>的系统综</w:t>
      </w:r>
      <w:r>
        <w:rPr>
          <w:rFonts w:ascii="宋体" w:hAnsi="宋体" w:eastAsia="宋体" w:cs="宋体"/>
          <w:sz w:val="19"/>
          <w:szCs w:val="19"/>
        </w:rPr>
        <w:t xml:space="preserve">  </w:t>
      </w:r>
      <w:r>
        <w:rPr>
          <w:rFonts w:ascii="宋体" w:hAnsi="宋体" w:eastAsia="宋体" w:cs="宋体"/>
          <w:spacing w:val="12"/>
          <w:sz w:val="19"/>
          <w:szCs w:val="19"/>
        </w:rPr>
        <w:t>述开始，当可能的最高质量证据不存在时，再依次向下寻找</w:t>
      </w:r>
      <w:r>
        <w:rPr>
          <w:rFonts w:ascii="宋体" w:hAnsi="宋体" w:eastAsia="宋体" w:cs="宋体"/>
          <w:spacing w:val="4"/>
          <w:sz w:val="19"/>
          <w:szCs w:val="19"/>
        </w:rPr>
        <w:t xml:space="preserve">  </w:t>
      </w:r>
      <w:r>
        <w:rPr>
          <w:rFonts w:ascii="宋体" w:hAnsi="宋体" w:eastAsia="宋体" w:cs="宋体"/>
          <w:spacing w:val="13"/>
          <w:sz w:val="19"/>
          <w:szCs w:val="19"/>
        </w:rPr>
        <w:t>低一级质量的证据，直到检索到证据为止，就此检索到的证</w:t>
      </w:r>
      <w:r>
        <w:rPr>
          <w:rFonts w:ascii="宋体" w:hAnsi="宋体" w:eastAsia="宋体" w:cs="宋体"/>
          <w:sz w:val="19"/>
          <w:szCs w:val="19"/>
        </w:rPr>
        <w:t xml:space="preserve"> </w:t>
      </w:r>
      <w:r>
        <w:rPr>
          <w:rFonts w:ascii="宋体" w:hAnsi="宋体" w:eastAsia="宋体" w:cs="宋体"/>
          <w:spacing w:val="13"/>
          <w:sz w:val="19"/>
          <w:szCs w:val="19"/>
        </w:rPr>
        <w:t>据就是“现有最佳的证据”。最后，当面对各种质量的证据</w:t>
      </w:r>
      <w:r>
        <w:rPr>
          <w:rFonts w:ascii="宋体" w:hAnsi="宋体" w:eastAsia="宋体" w:cs="宋体"/>
          <w:spacing w:val="2"/>
          <w:sz w:val="19"/>
          <w:szCs w:val="19"/>
        </w:rPr>
        <w:t xml:space="preserve"> </w:t>
      </w:r>
      <w:r>
        <w:rPr>
          <w:rFonts w:ascii="宋体" w:hAnsi="宋体" w:eastAsia="宋体" w:cs="宋体"/>
          <w:spacing w:val="10"/>
          <w:sz w:val="19"/>
          <w:szCs w:val="19"/>
        </w:rPr>
        <w:t>时，实践和决策应基于最佳的证据。</w:t>
      </w:r>
    </w:p>
    <w:p w14:paraId="23256FD8">
      <w:pPr>
        <w:spacing w:line="14" w:lineRule="auto"/>
        <w:rPr>
          <w:rFonts w:ascii="Arial"/>
          <w:sz w:val="2"/>
        </w:rPr>
      </w:pPr>
      <w:r>
        <w:rPr>
          <w:rFonts w:ascii="Arial" w:hAnsi="Arial" w:eastAsia="Arial" w:cs="Arial"/>
          <w:sz w:val="2"/>
          <w:szCs w:val="2"/>
        </w:rPr>
        <w:br w:type="column"/>
      </w:r>
    </w:p>
    <w:p w14:paraId="37AE25E8">
      <w:pPr>
        <w:spacing w:before="6"/>
      </w:pPr>
    </w:p>
    <w:p w14:paraId="074189CA">
      <w:pPr>
        <w:spacing w:before="6"/>
      </w:pPr>
    </w:p>
    <w:p w14:paraId="07E3F17A">
      <w:pPr>
        <w:spacing w:before="5"/>
      </w:pPr>
    </w:p>
    <w:p w14:paraId="59E9A67E">
      <w:pPr>
        <w:spacing w:before="5"/>
      </w:pPr>
    </w:p>
    <w:tbl>
      <w:tblPr>
        <w:tblStyle w:val="5"/>
        <w:tblW w:w="3286"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0" w:type="dxa"/>
          <w:left w:w="0" w:type="dxa"/>
          <w:bottom w:w="0" w:type="dxa"/>
          <w:right w:w="0" w:type="dxa"/>
        </w:tblCellMar>
      </w:tblPr>
      <w:tblGrid>
        <w:gridCol w:w="2475"/>
        <w:gridCol w:w="811"/>
      </w:tblGrid>
      <w:tr w14:paraId="29153529">
        <w:trPr>
          <w:trHeight w:val="2940" w:hRule="atLeast"/>
        </w:trPr>
        <w:tc>
          <w:tcPr>
            <w:tcW w:w="2475" w:type="dxa"/>
            <w:vAlign w:val="top"/>
          </w:tcPr>
          <w:p w14:paraId="4F47F1F5">
            <w:pPr>
              <w:pStyle w:val="6"/>
              <w:spacing w:before="9" w:line="437" w:lineRule="auto"/>
              <w:ind w:right="618"/>
              <w:rPr>
                <w:sz w:val="19"/>
                <w:szCs w:val="19"/>
              </w:rPr>
            </w:pPr>
            <w:r>
              <w:rPr>
                <w:spacing w:val="-17"/>
                <w:w w:val="97"/>
                <w:sz w:val="19"/>
                <w:szCs w:val="19"/>
              </w:rPr>
              <w:t>随机对照试验的系统综述</w:t>
            </w:r>
            <w:r>
              <w:rPr>
                <w:spacing w:val="15"/>
                <w:sz w:val="19"/>
                <w:szCs w:val="19"/>
              </w:rPr>
              <w:t xml:space="preserve"> </w:t>
            </w:r>
            <w:r>
              <w:rPr>
                <w:spacing w:val="-17"/>
                <w:sz w:val="19"/>
                <w:szCs w:val="19"/>
              </w:rPr>
              <w:t>单个随机对照试验</w:t>
            </w:r>
          </w:p>
          <w:p w14:paraId="2E66A132">
            <w:pPr>
              <w:pStyle w:val="6"/>
              <w:spacing w:before="1" w:line="437" w:lineRule="auto"/>
              <w:ind w:right="438"/>
              <w:rPr>
                <w:sz w:val="19"/>
                <w:szCs w:val="19"/>
              </w:rPr>
            </w:pPr>
            <w:r>
              <w:rPr>
                <w:spacing w:val="-18"/>
                <w:w w:val="98"/>
                <w:sz w:val="19"/>
                <w:szCs w:val="19"/>
              </w:rPr>
              <w:t>非随机对照研究的系统综述</w:t>
            </w:r>
            <w:r>
              <w:rPr>
                <w:spacing w:val="17"/>
                <w:sz w:val="19"/>
                <w:szCs w:val="19"/>
              </w:rPr>
              <w:t xml:space="preserve"> </w:t>
            </w:r>
            <w:r>
              <w:rPr>
                <w:spacing w:val="-15"/>
                <w:w w:val="98"/>
                <w:sz w:val="19"/>
                <w:szCs w:val="19"/>
              </w:rPr>
              <w:t>单个非随机对照试验</w:t>
            </w:r>
          </w:p>
          <w:p w14:paraId="35FD7CA0">
            <w:pPr>
              <w:pStyle w:val="6"/>
              <w:spacing w:line="220" w:lineRule="auto"/>
              <w:rPr>
                <w:sz w:val="19"/>
                <w:szCs w:val="19"/>
              </w:rPr>
            </w:pPr>
            <w:r>
              <w:rPr>
                <w:spacing w:val="-17"/>
                <w:sz w:val="19"/>
                <w:szCs w:val="19"/>
              </w:rPr>
              <w:t>无对照病例系列</w:t>
            </w:r>
          </w:p>
          <w:p w14:paraId="40844FE9">
            <w:pPr>
              <w:pStyle w:val="6"/>
              <w:spacing w:before="223" w:line="219" w:lineRule="auto"/>
              <w:rPr>
                <w:sz w:val="19"/>
                <w:szCs w:val="19"/>
              </w:rPr>
            </w:pPr>
            <w:r>
              <w:rPr>
                <w:spacing w:val="-17"/>
                <w:sz w:val="19"/>
                <w:szCs w:val="19"/>
              </w:rPr>
              <w:t>个人经验和观点</w:t>
            </w:r>
          </w:p>
          <w:p w14:paraId="43DA5F49">
            <w:pPr>
              <w:pStyle w:val="6"/>
              <w:spacing w:before="224" w:line="214" w:lineRule="auto"/>
              <w:rPr>
                <w:sz w:val="19"/>
                <w:szCs w:val="19"/>
              </w:rPr>
            </w:pPr>
            <w:r>
              <w:rPr>
                <w:spacing w:val="-7"/>
                <w:sz w:val="19"/>
                <w:szCs w:val="19"/>
              </w:rPr>
              <w:t>基础医学研究(不直接相关)</w:t>
            </w:r>
          </w:p>
        </w:tc>
        <w:tc>
          <w:tcPr>
            <w:tcW w:w="811" w:type="dxa"/>
            <w:textDirection w:val="tbRlV"/>
            <w:vAlign w:val="top"/>
          </w:tcPr>
          <w:p w14:paraId="0C37DE3C">
            <w:pPr>
              <w:pStyle w:val="6"/>
              <w:spacing w:before="162" w:line="202" w:lineRule="auto"/>
              <w:ind w:left="501"/>
              <w:rPr>
                <w:sz w:val="18"/>
                <w:szCs w:val="18"/>
              </w:rPr>
            </w:pPr>
            <w:r>
              <w:pict>
                <v:shape id="_x0000_s1217" o:spid="_x0000_s1217" o:spt="202" type="#_x0000_t202" style="position:absolute;left:0pt;margin-left:13.25pt;margin-top:-1pt;height:13.3pt;width:27.35pt;mso-position-horizontal-relative:page;mso-position-vertical-relative:page;z-index:251926528;mso-width-relative:page;mso-height-relative:page;" filled="f" stroked="f" coordsize="21600,21600">
                  <v:path/>
                  <v:fill on="f" focussize="0,0"/>
                  <v:stroke on="f"/>
                  <v:imagedata o:title=""/>
                  <o:lock v:ext="edit" aspectratio="f"/>
                  <v:textbox inset="0mm,0mm,0mm,0mm">
                    <w:txbxContent>
                      <w:p w14:paraId="73494947">
                        <w:pPr>
                          <w:pStyle w:val="6"/>
                          <w:spacing w:before="20" w:line="219" w:lineRule="auto"/>
                          <w:jc w:val="right"/>
                          <w:rPr>
                            <w:sz w:val="19"/>
                            <w:szCs w:val="19"/>
                          </w:rPr>
                        </w:pPr>
                        <w:r>
                          <w:rPr>
                            <w:spacing w:val="-19"/>
                            <w:w w:val="96"/>
                            <w:sz w:val="19"/>
                            <w:szCs w:val="19"/>
                          </w:rPr>
                          <w:t>高</w:t>
                        </w:r>
                        <w:r>
                          <w:rPr>
                            <w:spacing w:val="-18"/>
                            <w:w w:val="96"/>
                            <w:sz w:val="19"/>
                            <w:szCs w:val="19"/>
                          </w:rPr>
                          <w:t>质</w:t>
                        </w:r>
                        <w:r>
                          <w:rPr>
                            <w:spacing w:val="-8"/>
                            <w:w w:val="96"/>
                            <w:sz w:val="19"/>
                            <w:szCs w:val="19"/>
                          </w:rPr>
                          <w:t>量</w:t>
                        </w:r>
                      </w:p>
                    </w:txbxContent>
                  </v:textbox>
                </v:shape>
              </w:pict>
            </w:r>
            <w:r>
              <w:pict>
                <v:shape id="_x0000_s1218" o:spid="_x0000_s1218" o:spt="202" type="#_x0000_t202" style="position:absolute;left:0pt;margin-left:13.25pt;margin-top:136.5pt;height:13.35pt;width:28.35pt;mso-position-horizontal-relative:page;mso-position-vertical-relative:page;z-index:251927552;mso-width-relative:page;mso-height-relative:page;" filled="f" stroked="f" coordsize="21600,21600">
                  <v:path/>
                  <v:fill on="f" focussize="0,0"/>
                  <v:stroke on="f"/>
                  <v:imagedata o:title=""/>
                  <o:lock v:ext="edit" aspectratio="f"/>
                  <v:textbox inset="0mm,0mm,0mm,0mm">
                    <w:txbxContent>
                      <w:p w14:paraId="1038F29B">
                        <w:pPr>
                          <w:pStyle w:val="6"/>
                          <w:spacing w:before="20" w:line="220" w:lineRule="auto"/>
                          <w:ind w:left="20"/>
                          <w:rPr>
                            <w:sz w:val="19"/>
                            <w:szCs w:val="19"/>
                          </w:rPr>
                        </w:pPr>
                        <w:r>
                          <w:rPr>
                            <w:spacing w:val="-10"/>
                            <w:sz w:val="19"/>
                            <w:szCs w:val="19"/>
                          </w:rPr>
                          <w:t>低质量</w:t>
                        </w:r>
                      </w:p>
                    </w:txbxContent>
                  </v:textbox>
                </v:shape>
              </w:pict>
            </w:r>
            <w:r>
              <w:rPr>
                <w:spacing w:val="15"/>
                <w:sz w:val="18"/>
                <w:szCs w:val="18"/>
              </w:rPr>
              <w:t>方法学质量由高到低</w:t>
            </w:r>
          </w:p>
        </w:tc>
      </w:tr>
    </w:tbl>
    <w:p w14:paraId="598D1343">
      <w:pPr>
        <w:pStyle w:val="2"/>
        <w:spacing w:before="297" w:line="221" w:lineRule="auto"/>
        <w:rPr>
          <w:sz w:val="19"/>
          <w:szCs w:val="19"/>
        </w:rPr>
      </w:pPr>
      <w:r>
        <w:rPr>
          <w:spacing w:val="3"/>
          <w:sz w:val="19"/>
          <w:szCs w:val="19"/>
        </w:rPr>
        <w:t>图18-1</w:t>
      </w:r>
      <w:r>
        <w:rPr>
          <w:spacing w:val="77"/>
          <w:sz w:val="19"/>
          <w:szCs w:val="19"/>
        </w:rPr>
        <w:t xml:space="preserve"> </w:t>
      </w:r>
      <w:r>
        <w:rPr>
          <w:spacing w:val="3"/>
          <w:sz w:val="19"/>
          <w:szCs w:val="19"/>
        </w:rPr>
        <w:t>关于干预效果研究的证据分级</w:t>
      </w:r>
    </w:p>
    <w:p w14:paraId="6B194D3F">
      <w:pPr>
        <w:spacing w:line="221" w:lineRule="auto"/>
        <w:rPr>
          <w:sz w:val="19"/>
          <w:szCs w:val="19"/>
        </w:rPr>
        <w:sectPr>
          <w:type w:val="continuous"/>
          <w:pgSz w:w="11900" w:h="16820"/>
          <w:pgMar w:top="400" w:right="1455" w:bottom="892" w:left="810" w:header="0" w:footer="721" w:gutter="0"/>
          <w:cols w:equalWidth="0" w:num="2">
            <w:col w:w="6180" w:space="100"/>
            <w:col w:w="3355"/>
          </w:cols>
        </w:sectPr>
      </w:pPr>
    </w:p>
    <w:p w14:paraId="3CEA3E05">
      <w:pPr>
        <w:pStyle w:val="2"/>
        <w:spacing w:before="29" w:line="222" w:lineRule="auto"/>
        <w:ind w:left="1113"/>
        <w:rPr>
          <w:sz w:val="23"/>
          <w:szCs w:val="23"/>
        </w:rPr>
      </w:pPr>
      <w:r>
        <w:rPr>
          <w:b/>
          <w:bCs/>
          <w:spacing w:val="-2"/>
          <w:sz w:val="23"/>
          <w:szCs w:val="23"/>
        </w:rPr>
        <w:t>(三)病人的参与</w:t>
      </w:r>
    </w:p>
    <w:p w14:paraId="4125ED1F">
      <w:pPr>
        <w:spacing w:before="125" w:line="350" w:lineRule="auto"/>
        <w:ind w:left="699" w:right="85" w:firstLine="409"/>
        <w:jc w:val="both"/>
        <w:rPr>
          <w:rFonts w:ascii="宋体" w:hAnsi="宋体" w:eastAsia="宋体" w:cs="宋体"/>
          <w:sz w:val="19"/>
          <w:szCs w:val="19"/>
        </w:rPr>
      </w:pPr>
      <w:r>
        <w:rPr>
          <w:rFonts w:ascii="宋体" w:hAnsi="宋体" w:eastAsia="宋体" w:cs="宋体"/>
          <w:spacing w:val="16"/>
          <w:sz w:val="19"/>
          <w:szCs w:val="19"/>
        </w:rPr>
        <w:t>实践循证医学，医师的任何诊治决策的实施，务必得到病人的接受和合</w:t>
      </w:r>
      <w:r>
        <w:rPr>
          <w:rFonts w:ascii="宋体" w:hAnsi="宋体" w:eastAsia="宋体" w:cs="宋体"/>
          <w:spacing w:val="15"/>
          <w:sz w:val="19"/>
          <w:szCs w:val="19"/>
        </w:rPr>
        <w:t>作，只有病人对诊疗方</w:t>
      </w:r>
      <w:r>
        <w:rPr>
          <w:rFonts w:ascii="宋体" w:hAnsi="宋体" w:eastAsia="宋体" w:cs="宋体"/>
          <w:sz w:val="19"/>
          <w:szCs w:val="19"/>
        </w:rPr>
        <w:t xml:space="preserve"> </w:t>
      </w:r>
      <w:r>
        <w:rPr>
          <w:rFonts w:ascii="宋体" w:hAnsi="宋体" w:eastAsia="宋体" w:cs="宋体"/>
          <w:spacing w:val="16"/>
          <w:sz w:val="19"/>
          <w:szCs w:val="19"/>
        </w:rPr>
        <w:t>案具有良好的依从性，才能获得最佳的治疗效果。否则，即使医师的</w:t>
      </w:r>
      <w:r>
        <w:rPr>
          <w:rFonts w:ascii="宋体" w:hAnsi="宋体" w:eastAsia="宋体" w:cs="宋体"/>
          <w:spacing w:val="15"/>
          <w:sz w:val="19"/>
          <w:szCs w:val="19"/>
        </w:rPr>
        <w:t>决策正确，使用了有效的方法</w:t>
      </w:r>
      <w:r>
        <w:rPr>
          <w:rFonts w:ascii="宋体" w:hAnsi="宋体" w:eastAsia="宋体" w:cs="宋体"/>
          <w:sz w:val="19"/>
          <w:szCs w:val="19"/>
        </w:rPr>
        <w:t xml:space="preserve"> </w:t>
      </w:r>
      <w:r>
        <w:rPr>
          <w:rFonts w:ascii="宋体" w:hAnsi="宋体" w:eastAsia="宋体" w:cs="宋体"/>
          <w:spacing w:val="16"/>
          <w:sz w:val="19"/>
          <w:szCs w:val="19"/>
        </w:rPr>
        <w:t>与措施，但得不到病人的配合，也难以取得预想的效果。所以，循证医学</w:t>
      </w:r>
      <w:r>
        <w:rPr>
          <w:rFonts w:ascii="宋体" w:hAnsi="宋体" w:eastAsia="宋体" w:cs="宋体"/>
          <w:spacing w:val="15"/>
          <w:sz w:val="19"/>
          <w:szCs w:val="19"/>
        </w:rPr>
        <w:t>实践过程要求医师具有人</w:t>
      </w:r>
      <w:r>
        <w:rPr>
          <w:rFonts w:ascii="宋体" w:hAnsi="宋体" w:eastAsia="宋体" w:cs="宋体"/>
          <w:sz w:val="19"/>
          <w:szCs w:val="19"/>
        </w:rPr>
        <w:t xml:space="preserve"> </w:t>
      </w:r>
      <w:r>
        <w:rPr>
          <w:rFonts w:ascii="宋体" w:hAnsi="宋体" w:eastAsia="宋体" w:cs="宋体"/>
          <w:spacing w:val="11"/>
          <w:sz w:val="19"/>
          <w:szCs w:val="19"/>
        </w:rPr>
        <w:t>文情怀，善于交流与沟通，充分了解和尊重病人的价值观和意愿，尊重病人的正当权益，构建平等友</w:t>
      </w:r>
      <w:r>
        <w:rPr>
          <w:rFonts w:ascii="宋体" w:hAnsi="宋体" w:eastAsia="宋体" w:cs="宋体"/>
          <w:spacing w:val="4"/>
          <w:sz w:val="19"/>
          <w:szCs w:val="19"/>
        </w:rPr>
        <w:t xml:space="preserve"> </w:t>
      </w:r>
      <w:r>
        <w:rPr>
          <w:rFonts w:ascii="宋体" w:hAnsi="宋体" w:eastAsia="宋体" w:cs="宋体"/>
          <w:spacing w:val="16"/>
          <w:sz w:val="19"/>
          <w:szCs w:val="19"/>
        </w:rPr>
        <w:t>好、密切合作的良好医患关系，这样才可能保证取得病人对有效诊治措</w:t>
      </w:r>
      <w:r>
        <w:rPr>
          <w:rFonts w:ascii="宋体" w:hAnsi="宋体" w:eastAsia="宋体" w:cs="宋体"/>
          <w:spacing w:val="15"/>
          <w:sz w:val="19"/>
          <w:szCs w:val="19"/>
        </w:rPr>
        <w:t>施的高度依从性，产生最佳</w:t>
      </w:r>
      <w:r>
        <w:rPr>
          <w:rFonts w:ascii="宋体" w:hAnsi="宋体" w:eastAsia="宋体" w:cs="宋体"/>
          <w:sz w:val="19"/>
          <w:szCs w:val="19"/>
        </w:rPr>
        <w:t xml:space="preserve"> </w:t>
      </w:r>
      <w:r>
        <w:rPr>
          <w:rFonts w:ascii="宋体" w:hAnsi="宋体" w:eastAsia="宋体" w:cs="宋体"/>
          <w:spacing w:val="13"/>
          <w:sz w:val="19"/>
          <w:szCs w:val="19"/>
        </w:rPr>
        <w:t>效果，从而使病人获得最大的好处或利益，实现临床经验和病人价值观的有机结合。</w:t>
      </w:r>
    </w:p>
    <w:p w14:paraId="74FA3570">
      <w:pPr>
        <w:pStyle w:val="2"/>
        <w:spacing w:before="19" w:line="222" w:lineRule="auto"/>
        <w:ind w:left="1109"/>
        <w:rPr>
          <w:sz w:val="23"/>
          <w:szCs w:val="23"/>
        </w:rPr>
      </w:pPr>
      <w:r>
        <w:rPr>
          <w:spacing w:val="4"/>
          <w:sz w:val="23"/>
          <w:szCs w:val="23"/>
        </w:rPr>
        <w:t>(四)医疗环境</w:t>
      </w:r>
    </w:p>
    <w:p w14:paraId="172A8843">
      <w:pPr>
        <w:spacing w:before="133" w:line="347" w:lineRule="auto"/>
        <w:ind w:left="699" w:firstLine="409"/>
        <w:jc w:val="both"/>
        <w:rPr>
          <w:rFonts w:ascii="宋体" w:hAnsi="宋体" w:eastAsia="宋体" w:cs="宋体"/>
          <w:sz w:val="19"/>
          <w:szCs w:val="19"/>
        </w:rPr>
      </w:pPr>
      <w:r>
        <w:rPr>
          <w:rFonts w:ascii="宋体" w:hAnsi="宋体" w:eastAsia="宋体" w:cs="宋体"/>
          <w:spacing w:val="18"/>
          <w:sz w:val="19"/>
          <w:szCs w:val="19"/>
        </w:rPr>
        <w:t>循证医学实践需要在具体的医疗环境下进行，这里的医疗环境既包括医疗机构的软硬</w:t>
      </w:r>
      <w:r>
        <w:rPr>
          <w:rFonts w:ascii="宋体" w:hAnsi="宋体" w:eastAsia="宋体" w:cs="宋体"/>
          <w:spacing w:val="17"/>
          <w:sz w:val="19"/>
          <w:szCs w:val="19"/>
        </w:rPr>
        <w:t>件条件，</w:t>
      </w:r>
      <w:r>
        <w:rPr>
          <w:rFonts w:ascii="宋体" w:hAnsi="宋体" w:eastAsia="宋体" w:cs="宋体"/>
          <w:sz w:val="19"/>
          <w:szCs w:val="19"/>
        </w:rPr>
        <w:t xml:space="preserve"> </w:t>
      </w:r>
      <w:r>
        <w:rPr>
          <w:rFonts w:ascii="宋体" w:hAnsi="宋体" w:eastAsia="宋体" w:cs="宋体"/>
          <w:spacing w:val="16"/>
          <w:sz w:val="19"/>
          <w:szCs w:val="19"/>
        </w:rPr>
        <w:t>又包括医疗制度。不同地区、不同级别的医院，其医务人员水平、设备和技</w:t>
      </w:r>
      <w:r>
        <w:rPr>
          <w:rFonts w:ascii="宋体" w:hAnsi="宋体" w:eastAsia="宋体" w:cs="宋体"/>
          <w:spacing w:val="15"/>
          <w:sz w:val="19"/>
          <w:szCs w:val="19"/>
        </w:rPr>
        <w:t>术条件存在差异，即使</w:t>
      </w:r>
      <w:r>
        <w:rPr>
          <w:rFonts w:ascii="宋体" w:hAnsi="宋体" w:eastAsia="宋体" w:cs="宋体"/>
          <w:sz w:val="19"/>
          <w:szCs w:val="19"/>
        </w:rPr>
        <w:t xml:space="preserve">  </w:t>
      </w:r>
      <w:r>
        <w:rPr>
          <w:rFonts w:ascii="宋体" w:hAnsi="宋体" w:eastAsia="宋体" w:cs="宋体"/>
          <w:spacing w:val="16"/>
          <w:sz w:val="19"/>
          <w:szCs w:val="19"/>
        </w:rPr>
        <w:t>某一最佳措施和方法对某疾病有确切疗效，但其医疗环境或技术条件受限时，也难以实施。</w:t>
      </w:r>
      <w:r>
        <w:rPr>
          <w:rFonts w:ascii="宋体" w:hAnsi="宋体" w:eastAsia="宋体" w:cs="宋体"/>
          <w:spacing w:val="15"/>
          <w:sz w:val="19"/>
          <w:szCs w:val="19"/>
        </w:rPr>
        <w:t>医保制</w:t>
      </w:r>
    </w:p>
    <w:p w14:paraId="5E0D7B38">
      <w:pPr>
        <w:spacing w:line="347" w:lineRule="auto"/>
        <w:rPr>
          <w:rFonts w:ascii="宋体" w:hAnsi="宋体" w:eastAsia="宋体" w:cs="宋体"/>
          <w:sz w:val="19"/>
          <w:szCs w:val="19"/>
        </w:rPr>
        <w:sectPr>
          <w:type w:val="continuous"/>
          <w:pgSz w:w="11900" w:h="16820"/>
          <w:pgMar w:top="400" w:right="1455" w:bottom="892" w:left="810" w:header="0" w:footer="721" w:gutter="0"/>
          <w:cols w:equalWidth="0" w:num="1">
            <w:col w:w="9635"/>
          </w:cols>
        </w:sectPr>
      </w:pPr>
    </w:p>
    <w:p w14:paraId="6135EB49">
      <w:pPr>
        <w:spacing w:before="38" w:line="356" w:lineRule="auto"/>
        <w:ind w:left="699" w:right="123"/>
        <w:jc w:val="both"/>
        <w:rPr>
          <w:rFonts w:ascii="宋体" w:hAnsi="宋体" w:eastAsia="宋体" w:cs="宋体"/>
          <w:sz w:val="19"/>
          <w:szCs w:val="19"/>
        </w:rPr>
      </w:pPr>
      <w:r>
        <w:rPr>
          <w:rFonts w:ascii="宋体" w:hAnsi="宋体" w:eastAsia="宋体" w:cs="宋体"/>
          <w:spacing w:val="16"/>
          <w:sz w:val="19"/>
          <w:szCs w:val="19"/>
        </w:rPr>
        <w:t>度对费用的报销有着严格的规定，有时会制约</w:t>
      </w:r>
      <w:r>
        <w:rPr>
          <w:rFonts w:ascii="宋体" w:hAnsi="宋体" w:eastAsia="宋体" w:cs="宋体"/>
          <w:spacing w:val="15"/>
          <w:sz w:val="19"/>
          <w:szCs w:val="19"/>
        </w:rPr>
        <w:t>病人的诊治</w:t>
      </w:r>
      <w:r>
        <w:rPr>
          <w:rFonts w:ascii="宋体" w:hAnsi="宋体" w:eastAsia="宋体" w:cs="宋体"/>
          <w:sz w:val="19"/>
          <w:szCs w:val="19"/>
        </w:rPr>
        <w:t xml:space="preserve"> </w:t>
      </w:r>
      <w:r>
        <w:rPr>
          <w:rFonts w:ascii="宋体" w:hAnsi="宋体" w:eastAsia="宋体" w:cs="宋体"/>
          <w:spacing w:val="15"/>
          <w:sz w:val="19"/>
          <w:szCs w:val="19"/>
        </w:rPr>
        <w:t>决策。在我国，随着医药卫生体制改革的持续深入，国家 对人民卫生事业的关注与资源投入持续加强，各级医疗机</w:t>
      </w:r>
      <w:r>
        <w:rPr>
          <w:rFonts w:ascii="宋体" w:hAnsi="宋体" w:eastAsia="宋体" w:cs="宋体"/>
          <w:spacing w:val="11"/>
          <w:sz w:val="19"/>
          <w:szCs w:val="19"/>
        </w:rPr>
        <w:t xml:space="preserve"> </w:t>
      </w:r>
      <w:r>
        <w:rPr>
          <w:rFonts w:ascii="宋体" w:hAnsi="宋体" w:eastAsia="宋体" w:cs="宋体"/>
          <w:spacing w:val="15"/>
          <w:sz w:val="19"/>
          <w:szCs w:val="19"/>
        </w:rPr>
        <w:t>构的软硬件条件不断改善，医疗保健、医保制度进一步优</w:t>
      </w:r>
      <w:r>
        <w:rPr>
          <w:rFonts w:ascii="宋体" w:hAnsi="宋体" w:eastAsia="宋体" w:cs="宋体"/>
          <w:spacing w:val="12"/>
          <w:sz w:val="19"/>
          <w:szCs w:val="19"/>
        </w:rPr>
        <w:t xml:space="preserve"> </w:t>
      </w:r>
      <w:r>
        <w:rPr>
          <w:rFonts w:ascii="宋体" w:hAnsi="宋体" w:eastAsia="宋体" w:cs="宋体"/>
          <w:spacing w:val="24"/>
          <w:sz w:val="19"/>
          <w:szCs w:val="19"/>
        </w:rPr>
        <w:t>化，总体医疗环境的改进为实践循证医学创造了良好的</w:t>
      </w:r>
      <w:r>
        <w:rPr>
          <w:rFonts w:ascii="宋体" w:hAnsi="宋体" w:eastAsia="宋体" w:cs="宋体"/>
          <w:spacing w:val="7"/>
          <w:sz w:val="19"/>
          <w:szCs w:val="19"/>
        </w:rPr>
        <w:t xml:space="preserve"> </w:t>
      </w:r>
      <w:r>
        <w:rPr>
          <w:rFonts w:ascii="宋体" w:hAnsi="宋体" w:eastAsia="宋体" w:cs="宋体"/>
          <w:spacing w:val="13"/>
          <w:sz w:val="19"/>
          <w:szCs w:val="19"/>
        </w:rPr>
        <w:t>条件</w:t>
      </w:r>
      <w:r>
        <w:rPr>
          <w:rFonts w:ascii="宋体" w:hAnsi="宋体" w:eastAsia="宋体" w:cs="宋体"/>
          <w:spacing w:val="-43"/>
          <w:sz w:val="19"/>
          <w:szCs w:val="19"/>
        </w:rPr>
        <w:t xml:space="preserve"> </w:t>
      </w:r>
      <w:r>
        <w:rPr>
          <w:rFonts w:ascii="宋体" w:hAnsi="宋体" w:eastAsia="宋体" w:cs="宋体"/>
          <w:spacing w:val="13"/>
          <w:sz w:val="19"/>
          <w:szCs w:val="19"/>
        </w:rPr>
        <w:t>。</w:t>
      </w:r>
    </w:p>
    <w:p w14:paraId="70F667DD">
      <w:pPr>
        <w:spacing w:before="1" w:line="361" w:lineRule="auto"/>
        <w:ind w:left="699" w:right="125" w:firstLine="409"/>
        <w:rPr>
          <w:rFonts w:ascii="宋体" w:hAnsi="宋体" w:eastAsia="宋体" w:cs="宋体"/>
          <w:sz w:val="19"/>
          <w:szCs w:val="19"/>
        </w:rPr>
      </w:pPr>
      <w:r>
        <w:rPr>
          <w:rFonts w:ascii="宋体" w:hAnsi="宋体" w:eastAsia="宋体" w:cs="宋体"/>
          <w:spacing w:val="17"/>
          <w:sz w:val="19"/>
          <w:szCs w:val="19"/>
        </w:rPr>
        <w:t>上述四大因素为循证医学实践的基础(图18-2),它们</w:t>
      </w:r>
      <w:r>
        <w:rPr>
          <w:rFonts w:ascii="宋体" w:hAnsi="宋体" w:eastAsia="宋体" w:cs="宋体"/>
          <w:spacing w:val="16"/>
          <w:sz w:val="19"/>
          <w:szCs w:val="19"/>
        </w:rPr>
        <w:t xml:space="preserve"> 是有机结合的循证医学的整体框架。</w:t>
      </w:r>
    </w:p>
    <w:p w14:paraId="3075641B">
      <w:pPr>
        <w:spacing w:line="14" w:lineRule="auto"/>
        <w:rPr>
          <w:rFonts w:ascii="Arial"/>
          <w:sz w:val="2"/>
        </w:rPr>
      </w:pPr>
      <w:r>
        <w:rPr>
          <w:rFonts w:ascii="Arial" w:hAnsi="Arial" w:eastAsia="Arial" w:cs="Arial"/>
          <w:sz w:val="2"/>
          <w:szCs w:val="2"/>
        </w:rPr>
        <w:br w:type="column"/>
      </w:r>
    </w:p>
    <w:p w14:paraId="11803AAF">
      <w:pPr>
        <w:pStyle w:val="2"/>
        <w:spacing w:before="240" w:line="2070" w:lineRule="exact"/>
      </w:pPr>
      <w:r>
        <w:rPr>
          <w:position w:val="-41"/>
        </w:rPr>
        <w:pict>
          <v:group id="_x0000_s1219" o:spid="_x0000_s1219" o:spt="203" style="height:103.55pt;width:175.05pt;" coordsize="3501,2071">
            <o:lock v:ext="edit"/>
            <v:shape id="_x0000_s1220" o:spid="_x0000_s1220" o:spt="75" type="#_x0000_t75" style="position:absolute;left:0;top:0;height:2071;width:3501;" filled="f" stroked="f" coordsize="21600,21600">
              <v:path/>
              <v:fill on="f" focussize="0,0"/>
              <v:stroke on="f"/>
              <v:imagedata r:id="rId671" o:title=""/>
              <o:lock v:ext="edit" aspectratio="t"/>
            </v:shape>
            <v:shape id="_x0000_s1221" o:spid="_x0000_s1221" o:spt="202" type="#_x0000_t202" style="position:absolute;left:1430;top:127;height:1813;width:1935;" filled="f" stroked="f" coordsize="21600,21600">
              <v:path/>
              <v:fill on="f" focussize="0,0"/>
              <v:stroke on="f"/>
              <v:imagedata o:title=""/>
              <o:lock v:ext="edit" aspectratio="f"/>
              <v:textbox inset="0mm,0mm,0mm,0mm">
                <w:txbxContent>
                  <w:p w14:paraId="76606000">
                    <w:pPr>
                      <w:spacing w:before="20" w:line="219" w:lineRule="auto"/>
                      <w:ind w:left="20"/>
                      <w:rPr>
                        <w:rFonts w:ascii="宋体" w:hAnsi="宋体" w:eastAsia="宋体" w:cs="宋体"/>
                        <w:sz w:val="19"/>
                        <w:szCs w:val="19"/>
                      </w:rPr>
                    </w:pPr>
                    <w:r>
                      <w:rPr>
                        <w:rFonts w:ascii="宋体" w:hAnsi="宋体" w:eastAsia="宋体" w:cs="宋体"/>
                        <w:spacing w:val="-14"/>
                        <w:sz w:val="19"/>
                        <w:szCs w:val="19"/>
                      </w:rPr>
                      <w:t>临床医师</w:t>
                    </w:r>
                  </w:p>
                  <w:p w14:paraId="0B4E9D16">
                    <w:pPr>
                      <w:spacing w:line="256" w:lineRule="auto"/>
                      <w:rPr>
                        <w:rFonts w:ascii="Arial"/>
                        <w:sz w:val="21"/>
                      </w:rPr>
                    </w:pPr>
                  </w:p>
                  <w:p w14:paraId="2800818C">
                    <w:pPr>
                      <w:spacing w:line="257" w:lineRule="auto"/>
                      <w:rPr>
                        <w:rFonts w:ascii="Arial"/>
                        <w:sz w:val="21"/>
                      </w:rPr>
                    </w:pPr>
                  </w:p>
                  <w:p w14:paraId="1B41DC65">
                    <w:pPr>
                      <w:spacing w:line="257" w:lineRule="auto"/>
                      <w:rPr>
                        <w:rFonts w:ascii="Arial"/>
                        <w:sz w:val="21"/>
                      </w:rPr>
                    </w:pPr>
                  </w:p>
                  <w:p w14:paraId="2FA8DCA1">
                    <w:pPr>
                      <w:spacing w:line="257" w:lineRule="auto"/>
                      <w:rPr>
                        <w:rFonts w:ascii="Arial"/>
                        <w:sz w:val="21"/>
                      </w:rPr>
                    </w:pPr>
                  </w:p>
                  <w:p w14:paraId="12DEBE24">
                    <w:pPr>
                      <w:spacing w:line="257" w:lineRule="auto"/>
                      <w:rPr>
                        <w:rFonts w:ascii="Arial"/>
                        <w:sz w:val="21"/>
                      </w:rPr>
                    </w:pPr>
                  </w:p>
                  <w:p w14:paraId="2E6E876E">
                    <w:pPr>
                      <w:spacing w:before="62" w:line="222" w:lineRule="auto"/>
                      <w:ind w:right="17"/>
                      <w:jc w:val="right"/>
                      <w:rPr>
                        <w:rFonts w:ascii="黑体" w:hAnsi="黑体" w:eastAsia="黑体" w:cs="黑体"/>
                        <w:sz w:val="19"/>
                        <w:szCs w:val="19"/>
                      </w:rPr>
                    </w:pPr>
                    <w:r>
                      <w:rPr>
                        <w:rFonts w:ascii="黑体" w:hAnsi="黑体" w:eastAsia="黑体" w:cs="黑体"/>
                        <w:spacing w:val="-2"/>
                        <w:sz w:val="19"/>
                        <w:szCs w:val="19"/>
                      </w:rPr>
                      <w:t>病人</w:t>
                    </w:r>
                  </w:p>
                </w:txbxContent>
              </v:textbox>
            </v:shape>
            <v:shape id="_x0000_s1222" o:spid="_x0000_s1222" o:spt="202" type="#_x0000_t202" style="position:absolute;left:190;top:1706;height:230;width:730;" filled="f" stroked="f" coordsize="21600,21600">
              <v:path/>
              <v:fill on="f" focussize="0,0"/>
              <v:stroke on="f"/>
              <v:imagedata o:title=""/>
              <o:lock v:ext="edit" aspectratio="f"/>
              <v:textbox inset="0mm,0mm,0mm,0mm">
                <w:txbxContent>
                  <w:p w14:paraId="08FD3CF7">
                    <w:pPr>
                      <w:spacing w:before="19" w:line="219" w:lineRule="auto"/>
                      <w:ind w:right="2"/>
                      <w:jc w:val="right"/>
                      <w:rPr>
                        <w:rFonts w:ascii="宋体" w:hAnsi="宋体" w:eastAsia="宋体" w:cs="宋体"/>
                        <w:sz w:val="19"/>
                        <w:szCs w:val="19"/>
                      </w:rPr>
                    </w:pPr>
                    <w:r>
                      <w:rPr>
                        <w:rFonts w:ascii="宋体" w:hAnsi="宋体" w:eastAsia="宋体" w:cs="宋体"/>
                        <w:spacing w:val="-14"/>
                        <w:sz w:val="19"/>
                        <w:szCs w:val="19"/>
                      </w:rPr>
                      <w:t>最佳证据</w:t>
                    </w:r>
                  </w:p>
                </w:txbxContent>
              </v:textbox>
            </v:shape>
            <v:shape id="_x0000_s1223" o:spid="_x0000_s1223" o:spt="202" type="#_x0000_t202" style="position:absolute;left:160;top:108;height:230;width:728;" filled="f" stroked="f" coordsize="21600,21600">
              <v:path/>
              <v:fill on="f" focussize="0,0"/>
              <v:stroke on="f"/>
              <v:imagedata o:title=""/>
              <o:lock v:ext="edit" aspectratio="f"/>
              <v:textbox inset="0mm,0mm,0mm,0mm">
                <w:txbxContent>
                  <w:p w14:paraId="743494FD">
                    <w:pPr>
                      <w:spacing w:before="20" w:line="220" w:lineRule="auto"/>
                      <w:ind w:right="1"/>
                      <w:jc w:val="right"/>
                      <w:rPr>
                        <w:rFonts w:ascii="宋体" w:hAnsi="宋体" w:eastAsia="宋体" w:cs="宋体"/>
                        <w:sz w:val="19"/>
                        <w:szCs w:val="19"/>
                      </w:rPr>
                    </w:pPr>
                    <w:r>
                      <w:rPr>
                        <w:rFonts w:ascii="宋体" w:hAnsi="宋体" w:eastAsia="宋体" w:cs="宋体"/>
                        <w:spacing w:val="-15"/>
                        <w:sz w:val="19"/>
                        <w:szCs w:val="19"/>
                      </w:rPr>
                      <w:t>医疗环</w:t>
                    </w:r>
                    <w:r>
                      <w:rPr>
                        <w:rFonts w:ascii="宋体" w:hAnsi="宋体" w:eastAsia="宋体" w:cs="宋体"/>
                        <w:spacing w:val="-11"/>
                        <w:sz w:val="19"/>
                        <w:szCs w:val="19"/>
                      </w:rPr>
                      <w:t>境</w:t>
                    </w:r>
                  </w:p>
                </w:txbxContent>
              </v:textbox>
            </v:shape>
            <w10:wrap type="none"/>
            <w10:anchorlock/>
          </v:group>
        </w:pict>
      </w:r>
    </w:p>
    <w:p w14:paraId="21B3F297">
      <w:pPr>
        <w:pStyle w:val="2"/>
        <w:spacing w:before="123" w:line="218" w:lineRule="auto"/>
        <w:ind w:left="530"/>
        <w:rPr>
          <w:sz w:val="19"/>
          <w:szCs w:val="19"/>
        </w:rPr>
      </w:pPr>
      <w:r>
        <w:rPr>
          <w:spacing w:val="2"/>
          <w:sz w:val="19"/>
          <w:szCs w:val="19"/>
        </w:rPr>
        <w:t>图18-2</w:t>
      </w:r>
      <w:r>
        <w:rPr>
          <w:spacing w:val="68"/>
          <w:sz w:val="19"/>
          <w:szCs w:val="19"/>
        </w:rPr>
        <w:t xml:space="preserve"> </w:t>
      </w:r>
      <w:r>
        <w:rPr>
          <w:spacing w:val="2"/>
          <w:sz w:val="19"/>
          <w:szCs w:val="19"/>
        </w:rPr>
        <w:t>循证医学实践的基础</w:t>
      </w:r>
    </w:p>
    <w:p w14:paraId="654DDB1D">
      <w:pPr>
        <w:spacing w:line="218" w:lineRule="auto"/>
        <w:rPr>
          <w:sz w:val="19"/>
          <w:szCs w:val="19"/>
        </w:rPr>
        <w:sectPr>
          <w:type w:val="continuous"/>
          <w:pgSz w:w="11900" w:h="16820"/>
          <w:pgMar w:top="400" w:right="1455" w:bottom="892" w:left="810" w:header="0" w:footer="721" w:gutter="0"/>
          <w:cols w:equalWidth="0" w:num="2">
            <w:col w:w="5970" w:space="100"/>
            <w:col w:w="3565"/>
          </w:cols>
        </w:sectPr>
      </w:pPr>
    </w:p>
    <w:p w14:paraId="161BC37E">
      <w:pPr>
        <w:pStyle w:val="2"/>
        <w:spacing w:before="181" w:line="218" w:lineRule="auto"/>
        <w:ind w:left="1113"/>
        <w:outlineLvl w:val="4"/>
        <w:rPr>
          <w:sz w:val="23"/>
          <w:szCs w:val="23"/>
        </w:rPr>
      </w:pPr>
      <w:bookmarkStart w:id="462" w:name="bookmark293"/>
      <w:bookmarkEnd w:id="462"/>
      <w:r>
        <w:rPr>
          <w:b/>
          <w:bCs/>
          <w:spacing w:val="8"/>
          <w:sz w:val="23"/>
          <w:szCs w:val="23"/>
        </w:rPr>
        <w:t>三</w:t>
      </w:r>
      <w:r>
        <w:rPr>
          <w:spacing w:val="-16"/>
          <w:sz w:val="23"/>
          <w:szCs w:val="23"/>
        </w:rPr>
        <w:t xml:space="preserve"> </w:t>
      </w:r>
      <w:r>
        <w:rPr>
          <w:b/>
          <w:bCs/>
          <w:spacing w:val="8"/>
          <w:sz w:val="23"/>
          <w:szCs w:val="23"/>
        </w:rPr>
        <w:t>、循证医学实践的方法</w:t>
      </w:r>
    </w:p>
    <w:p w14:paraId="4BD6AAB4">
      <w:pPr>
        <w:spacing w:before="276" w:line="367" w:lineRule="auto"/>
        <w:ind w:left="699" w:right="85" w:firstLine="409"/>
        <w:rPr>
          <w:rFonts w:ascii="宋体" w:hAnsi="宋体" w:eastAsia="宋体" w:cs="宋体"/>
          <w:sz w:val="19"/>
          <w:szCs w:val="19"/>
        </w:rPr>
      </w:pPr>
      <w:r>
        <w:rPr>
          <w:rFonts w:ascii="宋体" w:hAnsi="宋体" w:eastAsia="宋体" w:cs="宋体"/>
          <w:spacing w:val="18"/>
          <w:sz w:val="19"/>
          <w:szCs w:val="19"/>
        </w:rPr>
        <w:t>完整的循证医学实践过程主要包括以下5个步骤：提出一个临床实践问题、寻找回答这一问题</w:t>
      </w:r>
      <w:r>
        <w:rPr>
          <w:rFonts w:ascii="宋体" w:hAnsi="宋体" w:eastAsia="宋体" w:cs="宋体"/>
          <w:spacing w:val="5"/>
          <w:sz w:val="19"/>
          <w:szCs w:val="19"/>
        </w:rPr>
        <w:t xml:space="preserve"> </w:t>
      </w:r>
      <w:r>
        <w:rPr>
          <w:rFonts w:ascii="宋体" w:hAnsi="宋体" w:eastAsia="宋体" w:cs="宋体"/>
          <w:spacing w:val="11"/>
          <w:sz w:val="19"/>
          <w:szCs w:val="19"/>
        </w:rPr>
        <w:t>的最佳证据、严格评价证据、应用最佳证据和后效评</w:t>
      </w:r>
      <w:r>
        <w:rPr>
          <w:rFonts w:ascii="宋体" w:hAnsi="宋体" w:eastAsia="宋体" w:cs="宋体"/>
          <w:spacing w:val="10"/>
          <w:sz w:val="19"/>
          <w:szCs w:val="19"/>
        </w:rPr>
        <w:t>价。</w:t>
      </w:r>
    </w:p>
    <w:p w14:paraId="2C3CE31C">
      <w:pPr>
        <w:pStyle w:val="2"/>
        <w:spacing w:before="1" w:line="217" w:lineRule="auto"/>
        <w:ind w:left="1109"/>
        <w:rPr>
          <w:sz w:val="19"/>
          <w:szCs w:val="19"/>
        </w:rPr>
      </w:pPr>
      <w:r>
        <w:rPr>
          <w:spacing w:val="20"/>
          <w:sz w:val="19"/>
          <w:szCs w:val="19"/>
        </w:rPr>
        <w:t>(</w:t>
      </w:r>
      <w:r>
        <w:rPr>
          <w:spacing w:val="-38"/>
          <w:sz w:val="19"/>
          <w:szCs w:val="19"/>
        </w:rPr>
        <w:t xml:space="preserve"> </w:t>
      </w:r>
      <w:r>
        <w:rPr>
          <w:spacing w:val="20"/>
          <w:sz w:val="19"/>
          <w:szCs w:val="19"/>
        </w:rPr>
        <w:t>一</w:t>
      </w:r>
      <w:r>
        <w:rPr>
          <w:spacing w:val="-48"/>
          <w:sz w:val="19"/>
          <w:szCs w:val="19"/>
        </w:rPr>
        <w:t xml:space="preserve"> </w:t>
      </w:r>
      <w:r>
        <w:rPr>
          <w:spacing w:val="20"/>
          <w:sz w:val="19"/>
          <w:szCs w:val="19"/>
        </w:rPr>
        <w:t>)提出</w:t>
      </w:r>
      <w:r>
        <w:rPr>
          <w:spacing w:val="-42"/>
          <w:sz w:val="19"/>
          <w:szCs w:val="19"/>
        </w:rPr>
        <w:t xml:space="preserve"> </w:t>
      </w:r>
      <w:r>
        <w:rPr>
          <w:spacing w:val="20"/>
          <w:sz w:val="19"/>
          <w:szCs w:val="19"/>
        </w:rPr>
        <w:t>一</w:t>
      </w:r>
      <w:r>
        <w:rPr>
          <w:spacing w:val="-44"/>
          <w:sz w:val="19"/>
          <w:szCs w:val="19"/>
        </w:rPr>
        <w:t xml:space="preserve"> </w:t>
      </w:r>
      <w:r>
        <w:rPr>
          <w:spacing w:val="20"/>
          <w:sz w:val="19"/>
          <w:szCs w:val="19"/>
        </w:rPr>
        <w:t>个临床实践问题</w:t>
      </w:r>
    </w:p>
    <w:p w14:paraId="4BE98B51">
      <w:pPr>
        <w:spacing w:before="131" w:line="301" w:lineRule="auto"/>
        <w:ind w:left="699" w:right="65" w:firstLine="409"/>
        <w:jc w:val="both"/>
        <w:rPr>
          <w:rFonts w:ascii="宋体" w:hAnsi="宋体" w:eastAsia="宋体" w:cs="宋体"/>
          <w:sz w:val="19"/>
          <w:szCs w:val="19"/>
        </w:rPr>
      </w:pPr>
      <w:r>
        <w:rPr>
          <w:rFonts w:ascii="宋体" w:hAnsi="宋体" w:eastAsia="宋体" w:cs="宋体"/>
          <w:spacing w:val="16"/>
          <w:sz w:val="19"/>
          <w:szCs w:val="19"/>
        </w:rPr>
        <w:t>把所需要的有关疾病的预防、诊断、治疗、预后和病因的信息转化为一个可以回答的问题</w:t>
      </w:r>
      <w:r>
        <w:rPr>
          <w:rFonts w:ascii="宋体" w:hAnsi="宋体" w:eastAsia="宋体" w:cs="宋体"/>
          <w:spacing w:val="15"/>
          <w:sz w:val="19"/>
          <w:szCs w:val="19"/>
        </w:rPr>
        <w:t>。例</w:t>
      </w:r>
      <w:r>
        <w:rPr>
          <w:rFonts w:ascii="宋体" w:hAnsi="宋体" w:eastAsia="宋体" w:cs="宋体"/>
          <w:sz w:val="19"/>
          <w:szCs w:val="19"/>
        </w:rPr>
        <w:t xml:space="preserve"> </w:t>
      </w:r>
      <w:r>
        <w:rPr>
          <w:rFonts w:ascii="宋体" w:hAnsi="宋体" w:eastAsia="宋体" w:cs="宋体"/>
          <w:spacing w:val="23"/>
          <w:sz w:val="19"/>
          <w:szCs w:val="19"/>
        </w:rPr>
        <w:t>如，对一位有乳腺癌家族史的绝经期妇女，是否可以采用雌激素替代疗法治疗骨质疏松?如果采</w:t>
      </w:r>
      <w:r>
        <w:rPr>
          <w:rFonts w:ascii="宋体" w:hAnsi="宋体" w:eastAsia="宋体" w:cs="宋体"/>
          <w:spacing w:val="16"/>
          <w:sz w:val="19"/>
          <w:szCs w:val="19"/>
        </w:rPr>
        <w:t xml:space="preserve"> </w:t>
      </w:r>
      <w:r>
        <w:rPr>
          <w:rFonts w:ascii="宋体" w:hAnsi="宋体" w:eastAsia="宋体" w:cs="宋体"/>
          <w:spacing w:val="23"/>
          <w:sz w:val="19"/>
          <w:szCs w:val="19"/>
        </w:rPr>
        <w:t>用，治疗的效果和发生乳腺癌的危险孰大孰小?再比如，宫颈癌对妇女的健康和生命产生严重威</w:t>
      </w:r>
    </w:p>
    <w:p w14:paraId="405D6915">
      <w:pPr>
        <w:spacing w:line="301" w:lineRule="auto"/>
        <w:rPr>
          <w:rFonts w:ascii="宋体" w:hAnsi="宋体" w:eastAsia="宋体" w:cs="宋体"/>
          <w:sz w:val="19"/>
          <w:szCs w:val="19"/>
        </w:rPr>
        <w:sectPr>
          <w:type w:val="continuous"/>
          <w:pgSz w:w="11900" w:h="16820"/>
          <w:pgMar w:top="400" w:right="1455" w:bottom="892" w:left="810" w:header="0" w:footer="721" w:gutter="0"/>
          <w:cols w:equalWidth="0" w:num="1">
            <w:col w:w="9635"/>
          </w:cols>
        </w:sectPr>
      </w:pPr>
    </w:p>
    <w:p w14:paraId="51354A2C">
      <w:pPr>
        <w:pStyle w:val="2"/>
        <w:spacing w:line="220" w:lineRule="auto"/>
        <w:ind w:left="6629"/>
        <w:rPr>
          <w:sz w:val="18"/>
          <w:szCs w:val="18"/>
        </w:rPr>
      </w:pPr>
      <w:bookmarkStart w:id="463" w:name="bookmark556"/>
      <w:bookmarkEnd w:id="463"/>
      <w:r>
        <w:rPr>
          <w:spacing w:val="-7"/>
          <w:sz w:val="18"/>
          <w:szCs w:val="18"/>
        </w:rPr>
        <w:t>第十八章 循证医学与系统综述</w:t>
      </w:r>
    </w:p>
    <w:p w14:paraId="3998CBFC">
      <w:pPr>
        <w:spacing w:line="291" w:lineRule="auto"/>
        <w:rPr>
          <w:rFonts w:ascii="Arial"/>
          <w:sz w:val="21"/>
        </w:rPr>
      </w:pPr>
    </w:p>
    <w:p w14:paraId="66BDA6CA">
      <w:pPr>
        <w:spacing w:line="291" w:lineRule="auto"/>
        <w:rPr>
          <w:rFonts w:ascii="Arial"/>
          <w:sz w:val="21"/>
        </w:rPr>
      </w:pPr>
    </w:p>
    <w:p w14:paraId="48198791">
      <w:pPr>
        <w:spacing w:before="58" w:line="388" w:lineRule="auto"/>
        <w:ind w:left="39" w:right="584"/>
        <w:rPr>
          <w:rFonts w:ascii="宋体" w:hAnsi="宋体" w:eastAsia="宋体" w:cs="宋体"/>
          <w:sz w:val="18"/>
          <w:szCs w:val="18"/>
        </w:rPr>
      </w:pPr>
      <w:r>
        <w:rPr>
          <w:rFonts w:ascii="宋体" w:hAnsi="宋体" w:eastAsia="宋体" w:cs="宋体"/>
          <w:spacing w:val="33"/>
          <w:sz w:val="18"/>
          <w:szCs w:val="18"/>
        </w:rPr>
        <w:t>胁，是否需要对40岁及以上的妇女进行年度例行宫颈涂片检查?这种筛检计划的成本效果如何?</w:t>
      </w:r>
      <w:r>
        <w:rPr>
          <w:rFonts w:ascii="宋体" w:hAnsi="宋体" w:eastAsia="宋体" w:cs="宋体"/>
          <w:sz w:val="18"/>
          <w:szCs w:val="18"/>
        </w:rPr>
        <w:t xml:space="preserve">  </w:t>
      </w:r>
      <w:r>
        <w:rPr>
          <w:rFonts w:ascii="宋体" w:hAnsi="宋体" w:eastAsia="宋体" w:cs="宋体"/>
          <w:spacing w:val="22"/>
          <w:sz w:val="18"/>
          <w:szCs w:val="18"/>
        </w:rPr>
        <w:t>能否制定相应的政策，在社区人群中实施这项筛检?提出</w:t>
      </w:r>
      <w:r>
        <w:rPr>
          <w:rFonts w:ascii="宋体" w:hAnsi="宋体" w:eastAsia="宋体" w:cs="宋体"/>
          <w:spacing w:val="21"/>
          <w:sz w:val="18"/>
          <w:szCs w:val="18"/>
        </w:rPr>
        <w:t>这些问题，</w:t>
      </w:r>
      <w:r>
        <w:rPr>
          <w:rFonts w:ascii="宋体" w:hAnsi="宋体" w:eastAsia="宋体" w:cs="宋体"/>
          <w:spacing w:val="80"/>
          <w:sz w:val="18"/>
          <w:szCs w:val="18"/>
        </w:rPr>
        <w:t xml:space="preserve"> </w:t>
      </w:r>
      <w:r>
        <w:rPr>
          <w:rFonts w:ascii="宋体" w:hAnsi="宋体" w:eastAsia="宋体" w:cs="宋体"/>
          <w:spacing w:val="21"/>
          <w:sz w:val="18"/>
          <w:szCs w:val="18"/>
        </w:rPr>
        <w:t>一</w:t>
      </w:r>
      <w:r>
        <w:rPr>
          <w:rFonts w:ascii="宋体" w:hAnsi="宋体" w:eastAsia="宋体" w:cs="宋体"/>
          <w:spacing w:val="-54"/>
          <w:sz w:val="18"/>
          <w:szCs w:val="18"/>
        </w:rPr>
        <w:t xml:space="preserve"> </w:t>
      </w:r>
      <w:r>
        <w:rPr>
          <w:rFonts w:ascii="宋体" w:hAnsi="宋体" w:eastAsia="宋体" w:cs="宋体"/>
          <w:spacing w:val="21"/>
          <w:sz w:val="18"/>
          <w:szCs w:val="18"/>
        </w:rPr>
        <w:t>般需要用</w:t>
      </w:r>
      <w:r>
        <w:rPr>
          <w:rFonts w:ascii="宋体" w:hAnsi="宋体" w:eastAsia="宋体" w:cs="宋体"/>
          <w:sz w:val="18"/>
          <w:szCs w:val="18"/>
        </w:rPr>
        <w:t>PICO</w:t>
      </w:r>
      <w:r>
        <w:rPr>
          <w:rFonts w:ascii="宋体" w:hAnsi="宋体" w:eastAsia="宋体" w:cs="宋体"/>
          <w:spacing w:val="44"/>
          <w:sz w:val="18"/>
          <w:szCs w:val="18"/>
        </w:rPr>
        <w:t xml:space="preserve"> </w:t>
      </w:r>
      <w:r>
        <w:rPr>
          <w:rFonts w:ascii="宋体" w:hAnsi="宋体" w:eastAsia="宋体" w:cs="宋体"/>
          <w:spacing w:val="21"/>
          <w:sz w:val="18"/>
          <w:szCs w:val="18"/>
        </w:rPr>
        <w:t>格式，即针对</w:t>
      </w:r>
      <w:r>
        <w:rPr>
          <w:rFonts w:ascii="宋体" w:hAnsi="宋体" w:eastAsia="宋体" w:cs="宋体"/>
          <w:sz w:val="18"/>
          <w:szCs w:val="18"/>
        </w:rPr>
        <w:t xml:space="preserve"> </w:t>
      </w:r>
      <w:r>
        <w:rPr>
          <w:rFonts w:ascii="宋体" w:hAnsi="宋体" w:eastAsia="宋体" w:cs="宋体"/>
          <w:spacing w:val="13"/>
          <w:sz w:val="18"/>
          <w:szCs w:val="18"/>
        </w:rPr>
        <w:t>研</w:t>
      </w:r>
      <w:r>
        <w:rPr>
          <w:rFonts w:ascii="宋体" w:hAnsi="宋体" w:eastAsia="宋体" w:cs="宋体"/>
          <w:spacing w:val="-16"/>
          <w:sz w:val="18"/>
          <w:szCs w:val="18"/>
        </w:rPr>
        <w:t xml:space="preserve"> </w:t>
      </w:r>
      <w:r>
        <w:rPr>
          <w:rFonts w:ascii="宋体" w:hAnsi="宋体" w:eastAsia="宋体" w:cs="宋体"/>
          <w:spacing w:val="13"/>
          <w:sz w:val="18"/>
          <w:szCs w:val="18"/>
        </w:rPr>
        <w:t>究</w:t>
      </w:r>
      <w:r>
        <w:rPr>
          <w:rFonts w:ascii="宋体" w:hAnsi="宋体" w:eastAsia="宋体" w:cs="宋体"/>
          <w:spacing w:val="-25"/>
          <w:sz w:val="18"/>
          <w:szCs w:val="18"/>
        </w:rPr>
        <w:t xml:space="preserve"> </w:t>
      </w:r>
      <w:r>
        <w:rPr>
          <w:rFonts w:ascii="宋体" w:hAnsi="宋体" w:eastAsia="宋体" w:cs="宋体"/>
          <w:spacing w:val="13"/>
          <w:sz w:val="18"/>
          <w:szCs w:val="18"/>
        </w:rPr>
        <w:t>对</w:t>
      </w:r>
      <w:r>
        <w:rPr>
          <w:rFonts w:ascii="宋体" w:hAnsi="宋体" w:eastAsia="宋体" w:cs="宋体"/>
          <w:spacing w:val="-19"/>
          <w:sz w:val="18"/>
          <w:szCs w:val="18"/>
        </w:rPr>
        <w:t xml:space="preserve"> </w:t>
      </w:r>
      <w:r>
        <w:rPr>
          <w:rFonts w:ascii="宋体" w:hAnsi="宋体" w:eastAsia="宋体" w:cs="宋体"/>
          <w:spacing w:val="13"/>
          <w:sz w:val="18"/>
          <w:szCs w:val="18"/>
        </w:rPr>
        <w:t>象</w:t>
      </w:r>
      <w:r>
        <w:rPr>
          <w:rFonts w:ascii="Times New Roman" w:hAnsi="Times New Roman" w:eastAsia="Times New Roman" w:cs="Times New Roman"/>
          <w:spacing w:val="13"/>
          <w:sz w:val="18"/>
          <w:szCs w:val="18"/>
        </w:rPr>
        <w:t>(</w:t>
      </w:r>
      <w:r>
        <w:rPr>
          <w:rFonts w:ascii="Times New Roman" w:hAnsi="Times New Roman" w:eastAsia="Times New Roman" w:cs="Times New Roman"/>
          <w:sz w:val="18"/>
          <w:szCs w:val="18"/>
        </w:rPr>
        <w:t>participants</w:t>
      </w:r>
      <w:r>
        <w:rPr>
          <w:rFonts w:ascii="Times New Roman" w:hAnsi="Times New Roman" w:eastAsia="Times New Roman" w:cs="Times New Roman"/>
          <w:spacing w:val="13"/>
          <w:sz w:val="18"/>
          <w:szCs w:val="18"/>
        </w:rPr>
        <w:t xml:space="preserve">)      </w:t>
      </w:r>
      <w:r>
        <w:rPr>
          <w:rFonts w:ascii="宋体" w:hAnsi="宋体" w:eastAsia="宋体" w:cs="宋体"/>
          <w:spacing w:val="13"/>
          <w:sz w:val="18"/>
          <w:szCs w:val="18"/>
        </w:rPr>
        <w:t>的特征、干预措施</w:t>
      </w:r>
      <w:r>
        <w:rPr>
          <w:rFonts w:ascii="Times New Roman" w:hAnsi="Times New Roman" w:eastAsia="Times New Roman" w:cs="Times New Roman"/>
          <w:spacing w:val="13"/>
          <w:sz w:val="18"/>
          <w:szCs w:val="18"/>
        </w:rPr>
        <w:t>(</w:t>
      </w:r>
      <w:r>
        <w:rPr>
          <w:rFonts w:ascii="Times New Roman" w:hAnsi="Times New Roman" w:eastAsia="Times New Roman" w:cs="Times New Roman"/>
          <w:sz w:val="18"/>
          <w:szCs w:val="18"/>
        </w:rPr>
        <w:t>intervention</w:t>
      </w:r>
      <w:r>
        <w:rPr>
          <w:rFonts w:ascii="Times New Roman" w:hAnsi="Times New Roman" w:eastAsia="Times New Roman" w:cs="Times New Roman"/>
          <w:spacing w:val="13"/>
          <w:sz w:val="18"/>
          <w:szCs w:val="18"/>
        </w:rPr>
        <w:t>)</w:t>
      </w:r>
      <w:r>
        <w:rPr>
          <w:rFonts w:ascii="Times New Roman" w:hAnsi="Times New Roman" w:eastAsia="Times New Roman" w:cs="Times New Roman"/>
          <w:spacing w:val="-25"/>
          <w:sz w:val="18"/>
          <w:szCs w:val="18"/>
        </w:rPr>
        <w:t xml:space="preserve"> </w:t>
      </w:r>
      <w:r>
        <w:rPr>
          <w:rFonts w:ascii="宋体" w:hAnsi="宋体" w:eastAsia="宋体" w:cs="宋体"/>
          <w:spacing w:val="13"/>
          <w:sz w:val="18"/>
          <w:szCs w:val="18"/>
        </w:rPr>
        <w:t>、</w:t>
      </w:r>
      <w:r>
        <w:rPr>
          <w:rFonts w:ascii="宋体" w:hAnsi="宋体" w:eastAsia="宋体" w:cs="宋体"/>
          <w:spacing w:val="58"/>
          <w:w w:val="101"/>
          <w:sz w:val="18"/>
          <w:szCs w:val="18"/>
        </w:rPr>
        <w:t xml:space="preserve"> </w:t>
      </w:r>
      <w:r>
        <w:rPr>
          <w:rFonts w:ascii="宋体" w:hAnsi="宋体" w:eastAsia="宋体" w:cs="宋体"/>
          <w:spacing w:val="13"/>
          <w:sz w:val="18"/>
          <w:szCs w:val="18"/>
        </w:rPr>
        <w:t>与什么进行比较</w:t>
      </w:r>
      <w:r>
        <w:rPr>
          <w:rFonts w:ascii="Times New Roman" w:hAnsi="Times New Roman" w:eastAsia="Times New Roman" w:cs="Times New Roman"/>
          <w:spacing w:val="13"/>
          <w:sz w:val="18"/>
          <w:szCs w:val="18"/>
        </w:rPr>
        <w:t>(</w:t>
      </w:r>
      <w:r>
        <w:rPr>
          <w:rFonts w:ascii="Times New Roman" w:hAnsi="Times New Roman" w:eastAsia="Times New Roman" w:cs="Times New Roman"/>
          <w:sz w:val="18"/>
          <w:szCs w:val="18"/>
        </w:rPr>
        <w:t>comparison</w:t>
      </w:r>
      <w:r>
        <w:rPr>
          <w:rFonts w:ascii="Times New Roman" w:hAnsi="Times New Roman" w:eastAsia="Times New Roman" w:cs="Times New Roman"/>
          <w:spacing w:val="13"/>
          <w:sz w:val="18"/>
          <w:szCs w:val="18"/>
        </w:rPr>
        <w:t xml:space="preserve">)   </w:t>
      </w:r>
      <w:r>
        <w:rPr>
          <w:rFonts w:ascii="宋体" w:hAnsi="宋体" w:eastAsia="宋体" w:cs="宋体"/>
          <w:spacing w:val="13"/>
          <w:sz w:val="18"/>
          <w:szCs w:val="18"/>
        </w:rPr>
        <w:t>和</w:t>
      </w:r>
      <w:r>
        <w:rPr>
          <w:rFonts w:ascii="宋体" w:hAnsi="宋体" w:eastAsia="宋体" w:cs="宋体"/>
          <w:spacing w:val="12"/>
          <w:sz w:val="18"/>
          <w:szCs w:val="18"/>
        </w:rPr>
        <w:t>观察结局指</w:t>
      </w:r>
      <w:r>
        <w:rPr>
          <w:rFonts w:ascii="宋体" w:hAnsi="宋体" w:eastAsia="宋体" w:cs="宋体"/>
          <w:sz w:val="18"/>
          <w:szCs w:val="18"/>
        </w:rPr>
        <w:t xml:space="preserve"> </w:t>
      </w:r>
      <w:r>
        <w:rPr>
          <w:rFonts w:ascii="宋体" w:hAnsi="宋体" w:eastAsia="宋体" w:cs="宋体"/>
          <w:spacing w:val="24"/>
          <w:sz w:val="18"/>
          <w:szCs w:val="18"/>
        </w:rPr>
        <w:t>标</w:t>
      </w:r>
      <w:r>
        <w:rPr>
          <w:rFonts w:ascii="宋体" w:hAnsi="宋体" w:eastAsia="宋体" w:cs="宋体"/>
          <w:spacing w:val="-52"/>
          <w:sz w:val="18"/>
          <w:szCs w:val="18"/>
        </w:rPr>
        <w:t xml:space="preserve"> </w:t>
      </w:r>
      <w:r>
        <w:rPr>
          <w:rFonts w:ascii="Times New Roman" w:hAnsi="Times New Roman" w:eastAsia="Times New Roman" w:cs="Times New Roman"/>
          <w:spacing w:val="24"/>
          <w:sz w:val="18"/>
          <w:szCs w:val="18"/>
        </w:rPr>
        <w:t>(</w:t>
      </w:r>
      <w:r>
        <w:rPr>
          <w:rFonts w:ascii="Times New Roman" w:hAnsi="Times New Roman" w:eastAsia="Times New Roman" w:cs="Times New Roman"/>
          <w:sz w:val="18"/>
          <w:szCs w:val="18"/>
        </w:rPr>
        <w:t>outcome</w:t>
      </w:r>
      <w:r>
        <w:rPr>
          <w:rFonts w:ascii="Times New Roman" w:hAnsi="Times New Roman" w:eastAsia="Times New Roman" w:cs="Times New Roman"/>
          <w:spacing w:val="24"/>
          <w:sz w:val="18"/>
          <w:szCs w:val="18"/>
        </w:rPr>
        <w:t xml:space="preserve">)     </w:t>
      </w:r>
      <w:r>
        <w:rPr>
          <w:rFonts w:ascii="宋体" w:hAnsi="宋体" w:eastAsia="宋体" w:cs="宋体"/>
          <w:spacing w:val="24"/>
          <w:sz w:val="18"/>
          <w:szCs w:val="18"/>
        </w:rPr>
        <w:t>四个要素将研究问题结构</w:t>
      </w:r>
      <w:r>
        <w:rPr>
          <w:rFonts w:ascii="宋体" w:hAnsi="宋体" w:eastAsia="宋体" w:cs="宋体"/>
          <w:spacing w:val="23"/>
          <w:sz w:val="18"/>
          <w:szCs w:val="18"/>
        </w:rPr>
        <w:t>化，不同类型的临床问题的要素略有不同。根据病人或人群</w:t>
      </w:r>
      <w:r>
        <w:rPr>
          <w:rFonts w:ascii="宋体" w:hAnsi="宋体" w:eastAsia="宋体" w:cs="宋体"/>
          <w:sz w:val="18"/>
          <w:szCs w:val="18"/>
        </w:rPr>
        <w:t xml:space="preserve"> </w:t>
      </w:r>
      <w:r>
        <w:rPr>
          <w:rFonts w:ascii="宋体" w:hAnsi="宋体" w:eastAsia="宋体" w:cs="宋体"/>
          <w:spacing w:val="25"/>
          <w:sz w:val="18"/>
          <w:szCs w:val="18"/>
        </w:rPr>
        <w:t>的实际情况提出这类需要解决的问题，是整个循证医学实践中的第</w:t>
      </w:r>
      <w:r>
        <w:rPr>
          <w:rFonts w:ascii="宋体" w:hAnsi="宋体" w:eastAsia="宋体" w:cs="宋体"/>
          <w:spacing w:val="-52"/>
          <w:sz w:val="18"/>
          <w:szCs w:val="18"/>
        </w:rPr>
        <w:t xml:space="preserve"> </w:t>
      </w:r>
      <w:r>
        <w:rPr>
          <w:rFonts w:ascii="宋体" w:hAnsi="宋体" w:eastAsia="宋体" w:cs="宋体"/>
          <w:spacing w:val="25"/>
          <w:sz w:val="18"/>
          <w:szCs w:val="18"/>
        </w:rPr>
        <w:t>一</w:t>
      </w:r>
      <w:r>
        <w:rPr>
          <w:rFonts w:ascii="宋体" w:hAnsi="宋体" w:eastAsia="宋体" w:cs="宋体"/>
          <w:spacing w:val="-53"/>
          <w:sz w:val="18"/>
          <w:szCs w:val="18"/>
        </w:rPr>
        <w:t xml:space="preserve"> </w:t>
      </w:r>
      <w:r>
        <w:rPr>
          <w:rFonts w:ascii="宋体" w:hAnsi="宋体" w:eastAsia="宋体" w:cs="宋体"/>
          <w:spacing w:val="25"/>
          <w:sz w:val="18"/>
          <w:szCs w:val="18"/>
        </w:rPr>
        <w:t>步，它关系</w:t>
      </w:r>
      <w:r>
        <w:rPr>
          <w:rFonts w:ascii="宋体" w:hAnsi="宋体" w:eastAsia="宋体" w:cs="宋体"/>
          <w:spacing w:val="24"/>
          <w:sz w:val="18"/>
          <w:szCs w:val="18"/>
        </w:rPr>
        <w:t>到卫生工作者能否</w:t>
      </w:r>
      <w:r>
        <w:rPr>
          <w:rFonts w:ascii="宋体" w:hAnsi="宋体" w:eastAsia="宋体" w:cs="宋体"/>
          <w:sz w:val="18"/>
          <w:szCs w:val="18"/>
        </w:rPr>
        <w:t xml:space="preserve"> </w:t>
      </w:r>
      <w:r>
        <w:rPr>
          <w:rFonts w:ascii="宋体" w:hAnsi="宋体" w:eastAsia="宋体" w:cs="宋体"/>
          <w:spacing w:val="32"/>
          <w:sz w:val="18"/>
          <w:szCs w:val="18"/>
        </w:rPr>
        <w:t>寻找到最佳的证据来解决所面对的临床或预防问题。</w:t>
      </w:r>
    </w:p>
    <w:p w14:paraId="1A29FCD7">
      <w:pPr>
        <w:pStyle w:val="2"/>
        <w:spacing w:line="221" w:lineRule="auto"/>
        <w:ind w:left="463"/>
        <w:rPr>
          <w:sz w:val="23"/>
          <w:szCs w:val="23"/>
        </w:rPr>
      </w:pPr>
      <w:r>
        <w:rPr>
          <w:b/>
          <w:bCs/>
          <w:spacing w:val="1"/>
          <w:sz w:val="23"/>
          <w:szCs w:val="23"/>
        </w:rPr>
        <w:t>(二)寻找回答这一问题的最佳证据</w:t>
      </w:r>
    </w:p>
    <w:p w14:paraId="25A55214">
      <w:pPr>
        <w:spacing w:before="122" w:line="369" w:lineRule="auto"/>
        <w:ind w:left="39" w:right="577" w:firstLine="419"/>
        <w:jc w:val="both"/>
        <w:rPr>
          <w:rFonts w:ascii="宋体" w:hAnsi="宋体" w:eastAsia="宋体" w:cs="宋体"/>
          <w:sz w:val="18"/>
          <w:szCs w:val="18"/>
        </w:rPr>
      </w:pPr>
      <w:r>
        <w:rPr>
          <w:rFonts w:ascii="宋体" w:hAnsi="宋体" w:eastAsia="宋体" w:cs="宋体"/>
          <w:spacing w:val="24"/>
          <w:sz w:val="18"/>
          <w:szCs w:val="18"/>
        </w:rPr>
        <w:t>循证医学实践强调要获得“最佳证据”,这些信息可以来源于经同行评议、高质量期刊上面发表</w:t>
      </w:r>
      <w:r>
        <w:rPr>
          <w:rFonts w:ascii="宋体" w:hAnsi="宋体" w:eastAsia="宋体" w:cs="宋体"/>
          <w:sz w:val="18"/>
          <w:szCs w:val="18"/>
        </w:rPr>
        <w:t xml:space="preserve"> </w:t>
      </w:r>
      <w:r>
        <w:rPr>
          <w:rFonts w:ascii="宋体" w:hAnsi="宋体" w:eastAsia="宋体" w:cs="宋体"/>
          <w:spacing w:val="24"/>
          <w:sz w:val="18"/>
          <w:szCs w:val="18"/>
        </w:rPr>
        <w:t>的原始研究论著,亦可以来自经系统综述的各种出版物，如循证教科书、与证据相关的数据库、循证</w:t>
      </w:r>
      <w:r>
        <w:rPr>
          <w:rFonts w:ascii="宋体" w:hAnsi="宋体" w:eastAsia="宋体" w:cs="宋体"/>
          <w:spacing w:val="10"/>
          <w:sz w:val="18"/>
          <w:szCs w:val="18"/>
        </w:rPr>
        <w:t xml:space="preserve"> </w:t>
      </w:r>
      <w:r>
        <w:rPr>
          <w:rFonts w:ascii="宋体" w:hAnsi="宋体" w:eastAsia="宋体" w:cs="宋体"/>
          <w:spacing w:val="34"/>
          <w:sz w:val="18"/>
          <w:szCs w:val="18"/>
        </w:rPr>
        <w:t>医学杂志和在线服务等。通过手工检索和计算机检索可以方便地查询原始研究论著,而系</w:t>
      </w:r>
      <w:r>
        <w:rPr>
          <w:rFonts w:ascii="宋体" w:hAnsi="宋体" w:eastAsia="宋体" w:cs="宋体"/>
          <w:spacing w:val="33"/>
          <w:sz w:val="18"/>
          <w:szCs w:val="18"/>
        </w:rPr>
        <w:t>统综述</w:t>
      </w:r>
      <w:r>
        <w:rPr>
          <w:rFonts w:ascii="宋体" w:hAnsi="宋体" w:eastAsia="宋体" w:cs="宋体"/>
          <w:sz w:val="18"/>
          <w:szCs w:val="18"/>
        </w:rPr>
        <w:t xml:space="preserve"> </w:t>
      </w:r>
      <w:r>
        <w:rPr>
          <w:rFonts w:ascii="宋体" w:hAnsi="宋体" w:eastAsia="宋体" w:cs="宋体"/>
          <w:spacing w:val="20"/>
          <w:sz w:val="18"/>
          <w:szCs w:val="18"/>
        </w:rPr>
        <w:t>类的报告可以通过检索</w:t>
      </w:r>
      <w:r>
        <w:rPr>
          <w:rFonts w:ascii="宋体" w:hAnsi="宋体" w:eastAsia="宋体" w:cs="宋体"/>
          <w:spacing w:val="-48"/>
          <w:sz w:val="18"/>
          <w:szCs w:val="18"/>
        </w:rPr>
        <w:t xml:space="preserve"> </w:t>
      </w:r>
      <w:r>
        <w:rPr>
          <w:rFonts w:ascii="宋体" w:hAnsi="宋体" w:eastAsia="宋体" w:cs="宋体"/>
          <w:spacing w:val="20"/>
          <w:sz w:val="18"/>
          <w:szCs w:val="18"/>
        </w:rPr>
        <w:t>一</w:t>
      </w:r>
      <w:r>
        <w:rPr>
          <w:rFonts w:ascii="宋体" w:hAnsi="宋体" w:eastAsia="宋体" w:cs="宋体"/>
          <w:spacing w:val="-51"/>
          <w:sz w:val="18"/>
          <w:szCs w:val="18"/>
        </w:rPr>
        <w:t xml:space="preserve"> </w:t>
      </w:r>
      <w:r>
        <w:rPr>
          <w:rFonts w:ascii="宋体" w:hAnsi="宋体" w:eastAsia="宋体" w:cs="宋体"/>
          <w:spacing w:val="20"/>
          <w:sz w:val="18"/>
          <w:szCs w:val="18"/>
        </w:rPr>
        <w:t>类再版的新型杂志，如美国医师协会杂志俱乐部</w:t>
      </w:r>
      <w:r>
        <w:rPr>
          <w:rFonts w:ascii="Times New Roman" w:hAnsi="Times New Roman" w:eastAsia="Times New Roman" w:cs="Times New Roman"/>
          <w:spacing w:val="20"/>
          <w:sz w:val="18"/>
          <w:szCs w:val="18"/>
        </w:rPr>
        <w:t>(</w:t>
      </w:r>
      <w:r>
        <w:rPr>
          <w:rFonts w:ascii="Times New Roman" w:hAnsi="Times New Roman" w:eastAsia="Times New Roman" w:cs="Times New Roman"/>
          <w:sz w:val="18"/>
          <w:szCs w:val="18"/>
        </w:rPr>
        <w:t>ACP</w:t>
      </w:r>
      <w:r>
        <w:rPr>
          <w:rFonts w:ascii="Times New Roman" w:hAnsi="Times New Roman" w:eastAsia="Times New Roman" w:cs="Times New Roman"/>
          <w:spacing w:val="20"/>
          <w:sz w:val="18"/>
          <w:szCs w:val="18"/>
        </w:rPr>
        <w:t xml:space="preserve">    </w:t>
      </w:r>
      <w:r>
        <w:rPr>
          <w:rFonts w:ascii="Times New Roman" w:hAnsi="Times New Roman" w:eastAsia="Times New Roman" w:cs="Times New Roman"/>
          <w:sz w:val="18"/>
          <w:szCs w:val="18"/>
        </w:rPr>
        <w:t>Journal</w:t>
      </w:r>
      <w:r>
        <w:rPr>
          <w:rFonts w:ascii="Times New Roman" w:hAnsi="Times New Roman" w:eastAsia="Times New Roman" w:cs="Times New Roman"/>
          <w:spacing w:val="20"/>
          <w:sz w:val="18"/>
          <w:szCs w:val="18"/>
        </w:rPr>
        <w:t xml:space="preserve">    </w:t>
      </w:r>
      <w:r>
        <w:rPr>
          <w:rFonts w:ascii="Times New Roman" w:hAnsi="Times New Roman" w:eastAsia="Times New Roman" w:cs="Times New Roman"/>
          <w:sz w:val="18"/>
          <w:szCs w:val="18"/>
        </w:rPr>
        <w:t>Club</w:t>
      </w:r>
      <w:r>
        <w:rPr>
          <w:rFonts w:ascii="Times New Roman" w:hAnsi="Times New Roman" w:eastAsia="Times New Roman" w:cs="Times New Roman"/>
          <w:spacing w:val="19"/>
          <w:sz w:val="18"/>
          <w:szCs w:val="18"/>
        </w:rPr>
        <w:t>)</w:t>
      </w:r>
      <w:r>
        <w:rPr>
          <w:rFonts w:ascii="宋体" w:hAnsi="宋体" w:eastAsia="宋体" w:cs="宋体"/>
          <w:spacing w:val="19"/>
          <w:sz w:val="18"/>
          <w:szCs w:val="18"/>
        </w:rPr>
        <w:t>和 英</w:t>
      </w:r>
      <w:r>
        <w:rPr>
          <w:rFonts w:ascii="宋体" w:hAnsi="宋体" w:eastAsia="宋体" w:cs="宋体"/>
          <w:sz w:val="18"/>
          <w:szCs w:val="18"/>
        </w:rPr>
        <w:t xml:space="preserve"> </w:t>
      </w:r>
      <w:r>
        <w:rPr>
          <w:rFonts w:ascii="宋体" w:hAnsi="宋体" w:eastAsia="宋体" w:cs="宋体"/>
          <w:spacing w:val="-12"/>
          <w:sz w:val="23"/>
          <w:szCs w:val="23"/>
        </w:rPr>
        <w:t>国</w:t>
      </w:r>
      <w:r>
        <w:rPr>
          <w:rFonts w:ascii="Times New Roman" w:hAnsi="Times New Roman" w:eastAsia="Times New Roman" w:cs="Times New Roman"/>
          <w:spacing w:val="-12"/>
          <w:sz w:val="23"/>
          <w:szCs w:val="23"/>
        </w:rPr>
        <w:t>EBM</w:t>
      </w:r>
      <w:r>
        <w:rPr>
          <w:rFonts w:ascii="宋体" w:hAnsi="宋体" w:eastAsia="宋体" w:cs="宋体"/>
          <w:spacing w:val="-12"/>
          <w:sz w:val="23"/>
          <w:szCs w:val="23"/>
        </w:rPr>
        <w:t>杂志</w:t>
      </w:r>
      <w:r>
        <w:rPr>
          <w:rFonts w:ascii="Times New Roman" w:hAnsi="Times New Roman" w:eastAsia="Times New Roman" w:cs="Times New Roman"/>
          <w:spacing w:val="-12"/>
          <w:sz w:val="23"/>
          <w:szCs w:val="23"/>
        </w:rPr>
        <w:t>(BMJ  EBM),</w:t>
      </w:r>
      <w:r>
        <w:rPr>
          <w:rFonts w:ascii="宋体" w:hAnsi="宋体" w:eastAsia="宋体" w:cs="宋体"/>
          <w:spacing w:val="-12"/>
          <w:sz w:val="23"/>
          <w:szCs w:val="23"/>
        </w:rPr>
        <w:t>或直接登录</w:t>
      </w:r>
      <w:r>
        <w:rPr>
          <w:rFonts w:ascii="Times New Roman" w:hAnsi="Times New Roman" w:eastAsia="Times New Roman" w:cs="Times New Roman"/>
          <w:spacing w:val="-12"/>
          <w:sz w:val="23"/>
          <w:szCs w:val="23"/>
        </w:rPr>
        <w:t>Cochrane</w:t>
      </w:r>
      <w:r>
        <w:rPr>
          <w:rFonts w:ascii="宋体" w:hAnsi="宋体" w:eastAsia="宋体" w:cs="宋体"/>
          <w:spacing w:val="-12"/>
          <w:sz w:val="23"/>
          <w:szCs w:val="23"/>
        </w:rPr>
        <w:t>图书</w:t>
      </w:r>
      <w:r>
        <w:rPr>
          <w:rFonts w:ascii="宋体" w:hAnsi="宋体" w:eastAsia="宋体" w:cs="宋体"/>
          <w:spacing w:val="-13"/>
          <w:sz w:val="23"/>
          <w:szCs w:val="23"/>
        </w:rPr>
        <w:t>馆来获取。通过这些简单而有效的途径，可以</w:t>
      </w:r>
      <w:r>
        <w:rPr>
          <w:rFonts w:ascii="宋体" w:hAnsi="宋体" w:eastAsia="宋体" w:cs="宋体"/>
          <w:sz w:val="23"/>
          <w:szCs w:val="23"/>
        </w:rPr>
        <w:t xml:space="preserve"> </w:t>
      </w:r>
      <w:r>
        <w:rPr>
          <w:rFonts w:ascii="宋体" w:hAnsi="宋体" w:eastAsia="宋体" w:cs="宋体"/>
          <w:spacing w:val="33"/>
          <w:sz w:val="18"/>
          <w:szCs w:val="18"/>
        </w:rPr>
        <w:t>找出自己所关心问题的概述。</w:t>
      </w:r>
    </w:p>
    <w:p w14:paraId="7520B239">
      <w:pPr>
        <w:spacing w:before="24" w:line="391" w:lineRule="auto"/>
        <w:ind w:right="506" w:firstLine="459"/>
        <w:jc w:val="both"/>
        <w:rPr>
          <w:rFonts w:ascii="宋体" w:hAnsi="宋体" w:eastAsia="宋体" w:cs="宋体"/>
          <w:sz w:val="18"/>
          <w:szCs w:val="18"/>
        </w:rPr>
      </w:pPr>
      <w:r>
        <w:rPr>
          <w:rFonts w:ascii="宋体" w:hAnsi="宋体" w:eastAsia="宋体" w:cs="宋体"/>
          <w:spacing w:val="13"/>
          <w:sz w:val="18"/>
          <w:szCs w:val="18"/>
        </w:rPr>
        <w:t>加</w:t>
      </w:r>
      <w:r>
        <w:rPr>
          <w:rFonts w:ascii="宋体" w:hAnsi="宋体" w:eastAsia="宋体" w:cs="宋体"/>
          <w:spacing w:val="-28"/>
          <w:sz w:val="18"/>
          <w:szCs w:val="18"/>
        </w:rPr>
        <w:t xml:space="preserve"> </w:t>
      </w:r>
      <w:r>
        <w:rPr>
          <w:rFonts w:ascii="宋体" w:hAnsi="宋体" w:eastAsia="宋体" w:cs="宋体"/>
          <w:spacing w:val="13"/>
          <w:sz w:val="18"/>
          <w:szCs w:val="18"/>
        </w:rPr>
        <w:t>拿</w:t>
      </w:r>
      <w:r>
        <w:rPr>
          <w:rFonts w:ascii="宋体" w:hAnsi="宋体" w:eastAsia="宋体" w:cs="宋体"/>
          <w:spacing w:val="-32"/>
          <w:sz w:val="18"/>
          <w:szCs w:val="18"/>
        </w:rPr>
        <w:t xml:space="preserve"> </w:t>
      </w:r>
      <w:r>
        <w:rPr>
          <w:rFonts w:ascii="宋体" w:hAnsi="宋体" w:eastAsia="宋体" w:cs="宋体"/>
          <w:spacing w:val="13"/>
          <w:sz w:val="18"/>
          <w:szCs w:val="18"/>
        </w:rPr>
        <w:t>大</w:t>
      </w:r>
      <w:r>
        <w:rPr>
          <w:rFonts w:ascii="宋体" w:hAnsi="宋体" w:eastAsia="宋体" w:cs="宋体"/>
          <w:spacing w:val="-26"/>
          <w:sz w:val="18"/>
          <w:szCs w:val="18"/>
        </w:rPr>
        <w:t xml:space="preserve"> </w:t>
      </w:r>
      <w:r>
        <w:rPr>
          <w:rFonts w:ascii="宋体" w:hAnsi="宋体" w:eastAsia="宋体" w:cs="宋体"/>
          <w:spacing w:val="13"/>
          <w:sz w:val="18"/>
          <w:szCs w:val="18"/>
        </w:rPr>
        <w:t>医</w:t>
      </w:r>
      <w:r>
        <w:rPr>
          <w:rFonts w:ascii="宋体" w:hAnsi="宋体" w:eastAsia="宋体" w:cs="宋体"/>
          <w:spacing w:val="-31"/>
          <w:sz w:val="18"/>
          <w:szCs w:val="18"/>
        </w:rPr>
        <w:t xml:space="preserve"> </w:t>
      </w:r>
      <w:r>
        <w:rPr>
          <w:rFonts w:ascii="宋体" w:hAnsi="宋体" w:eastAsia="宋体" w:cs="宋体"/>
          <w:spacing w:val="13"/>
          <w:sz w:val="18"/>
          <w:szCs w:val="18"/>
        </w:rPr>
        <w:t>学</w:t>
      </w:r>
      <w:r>
        <w:rPr>
          <w:rFonts w:ascii="宋体" w:hAnsi="宋体" w:eastAsia="宋体" w:cs="宋体"/>
          <w:spacing w:val="-34"/>
          <w:sz w:val="18"/>
          <w:szCs w:val="18"/>
        </w:rPr>
        <w:t xml:space="preserve"> </w:t>
      </w:r>
      <w:r>
        <w:rPr>
          <w:rFonts w:ascii="宋体" w:hAnsi="宋体" w:eastAsia="宋体" w:cs="宋体"/>
          <w:spacing w:val="13"/>
          <w:sz w:val="18"/>
          <w:szCs w:val="18"/>
        </w:rPr>
        <w:t>信</w:t>
      </w:r>
      <w:r>
        <w:rPr>
          <w:rFonts w:ascii="宋体" w:hAnsi="宋体" w:eastAsia="宋体" w:cs="宋体"/>
          <w:spacing w:val="-27"/>
          <w:sz w:val="18"/>
          <w:szCs w:val="18"/>
        </w:rPr>
        <w:t xml:space="preserve"> </w:t>
      </w:r>
      <w:r>
        <w:rPr>
          <w:rFonts w:ascii="宋体" w:hAnsi="宋体" w:eastAsia="宋体" w:cs="宋体"/>
          <w:spacing w:val="13"/>
          <w:sz w:val="18"/>
          <w:szCs w:val="18"/>
        </w:rPr>
        <w:t>息</w:t>
      </w:r>
      <w:r>
        <w:rPr>
          <w:rFonts w:ascii="宋体" w:hAnsi="宋体" w:eastAsia="宋体" w:cs="宋体"/>
          <w:spacing w:val="-31"/>
          <w:sz w:val="18"/>
          <w:szCs w:val="18"/>
        </w:rPr>
        <w:t xml:space="preserve"> </w:t>
      </w:r>
      <w:r>
        <w:rPr>
          <w:rFonts w:ascii="宋体" w:hAnsi="宋体" w:eastAsia="宋体" w:cs="宋体"/>
          <w:spacing w:val="13"/>
          <w:sz w:val="18"/>
          <w:szCs w:val="18"/>
        </w:rPr>
        <w:t>学</w:t>
      </w:r>
      <w:r>
        <w:rPr>
          <w:rFonts w:ascii="宋体" w:hAnsi="宋体" w:eastAsia="宋体" w:cs="宋体"/>
          <w:spacing w:val="-33"/>
          <w:sz w:val="18"/>
          <w:szCs w:val="18"/>
        </w:rPr>
        <w:t xml:space="preserve"> </w:t>
      </w:r>
      <w:r>
        <w:rPr>
          <w:rFonts w:ascii="宋体" w:hAnsi="宋体" w:eastAsia="宋体" w:cs="宋体"/>
          <w:spacing w:val="13"/>
          <w:sz w:val="18"/>
          <w:szCs w:val="18"/>
        </w:rPr>
        <w:t>专</w:t>
      </w:r>
      <w:r>
        <w:rPr>
          <w:rFonts w:ascii="宋体" w:hAnsi="宋体" w:eastAsia="宋体" w:cs="宋体"/>
          <w:spacing w:val="-33"/>
          <w:sz w:val="18"/>
          <w:szCs w:val="18"/>
        </w:rPr>
        <w:t xml:space="preserve"> </w:t>
      </w:r>
      <w:r>
        <w:rPr>
          <w:rFonts w:ascii="宋体" w:hAnsi="宋体" w:eastAsia="宋体" w:cs="宋体"/>
          <w:spacing w:val="13"/>
          <w:sz w:val="18"/>
          <w:szCs w:val="18"/>
        </w:rPr>
        <w:t>家</w:t>
      </w:r>
      <w:r>
        <w:rPr>
          <w:rFonts w:ascii="Times New Roman" w:hAnsi="Times New Roman" w:eastAsia="Times New Roman" w:cs="Times New Roman"/>
          <w:sz w:val="18"/>
          <w:szCs w:val="18"/>
        </w:rPr>
        <w:t>Brian</w:t>
      </w:r>
      <w:r>
        <w:rPr>
          <w:rFonts w:ascii="Times New Roman" w:hAnsi="Times New Roman" w:eastAsia="Times New Roman" w:cs="Times New Roman"/>
          <w:spacing w:val="13"/>
          <w:sz w:val="18"/>
          <w:szCs w:val="18"/>
        </w:rPr>
        <w:t xml:space="preserve">      </w:t>
      </w:r>
      <w:r>
        <w:rPr>
          <w:rFonts w:ascii="Times New Roman" w:hAnsi="Times New Roman" w:eastAsia="Times New Roman" w:cs="Times New Roman"/>
          <w:sz w:val="18"/>
          <w:szCs w:val="18"/>
        </w:rPr>
        <w:t>Haynes</w:t>
      </w:r>
      <w:r>
        <w:rPr>
          <w:rFonts w:ascii="宋体" w:hAnsi="宋体" w:eastAsia="宋体" w:cs="宋体"/>
          <w:spacing w:val="13"/>
          <w:sz w:val="18"/>
          <w:szCs w:val="18"/>
        </w:rPr>
        <w:t>教授用“6</w:t>
      </w:r>
      <w:r>
        <w:rPr>
          <w:rFonts w:ascii="Times New Roman" w:hAnsi="Times New Roman" w:eastAsia="Times New Roman" w:cs="Times New Roman"/>
          <w:spacing w:val="13"/>
          <w:sz w:val="18"/>
          <w:szCs w:val="18"/>
        </w:rPr>
        <w:t xml:space="preserve">S” </w:t>
      </w:r>
      <w:r>
        <w:rPr>
          <w:rFonts w:ascii="宋体" w:hAnsi="宋体" w:eastAsia="宋体" w:cs="宋体"/>
          <w:spacing w:val="13"/>
          <w:sz w:val="18"/>
          <w:szCs w:val="18"/>
        </w:rPr>
        <w:t>总结了循证医学信息服务模式演进的过程，</w:t>
      </w:r>
      <w:r>
        <w:rPr>
          <w:rFonts w:ascii="宋体" w:hAnsi="宋体" w:eastAsia="宋体" w:cs="宋体"/>
          <w:sz w:val="18"/>
          <w:szCs w:val="18"/>
        </w:rPr>
        <w:t xml:space="preserve"> </w:t>
      </w:r>
      <w:r>
        <w:rPr>
          <w:rFonts w:ascii="Times New Roman" w:hAnsi="Times New Roman" w:eastAsia="Times New Roman" w:cs="Times New Roman"/>
          <w:spacing w:val="-1"/>
          <w:sz w:val="18"/>
          <w:szCs w:val="18"/>
        </w:rPr>
        <w:t>“6S”</w:t>
      </w:r>
      <w:r>
        <w:rPr>
          <w:rFonts w:ascii="Times New Roman" w:hAnsi="Times New Roman" w:eastAsia="Times New Roman" w:cs="Times New Roman"/>
          <w:spacing w:val="42"/>
          <w:sz w:val="18"/>
          <w:szCs w:val="18"/>
        </w:rPr>
        <w:t xml:space="preserve"> </w:t>
      </w:r>
      <w:r>
        <w:rPr>
          <w:rFonts w:ascii="宋体" w:hAnsi="宋体" w:eastAsia="宋体" w:cs="宋体"/>
          <w:spacing w:val="-1"/>
          <w:sz w:val="18"/>
          <w:szCs w:val="18"/>
        </w:rPr>
        <w:t>分</w:t>
      </w:r>
      <w:r>
        <w:rPr>
          <w:rFonts w:ascii="宋体" w:hAnsi="宋体" w:eastAsia="宋体" w:cs="宋体"/>
          <w:spacing w:val="-33"/>
          <w:sz w:val="18"/>
          <w:szCs w:val="18"/>
        </w:rPr>
        <w:t xml:space="preserve"> </w:t>
      </w:r>
      <w:r>
        <w:rPr>
          <w:rFonts w:ascii="宋体" w:hAnsi="宋体" w:eastAsia="宋体" w:cs="宋体"/>
          <w:spacing w:val="-1"/>
          <w:sz w:val="18"/>
          <w:szCs w:val="18"/>
        </w:rPr>
        <w:t>别</w:t>
      </w:r>
      <w:r>
        <w:rPr>
          <w:rFonts w:ascii="宋体" w:hAnsi="宋体" w:eastAsia="宋体" w:cs="宋体"/>
          <w:spacing w:val="-33"/>
          <w:sz w:val="18"/>
          <w:szCs w:val="18"/>
        </w:rPr>
        <w:t xml:space="preserve"> </w:t>
      </w:r>
      <w:r>
        <w:rPr>
          <w:rFonts w:ascii="宋体" w:hAnsi="宋体" w:eastAsia="宋体" w:cs="宋体"/>
          <w:spacing w:val="-1"/>
          <w:sz w:val="18"/>
          <w:szCs w:val="18"/>
        </w:rPr>
        <w:t>指</w:t>
      </w:r>
      <w:r>
        <w:rPr>
          <w:rFonts w:ascii="宋体" w:hAnsi="宋体" w:eastAsia="宋体" w:cs="宋体"/>
          <w:spacing w:val="-31"/>
          <w:sz w:val="18"/>
          <w:szCs w:val="18"/>
        </w:rPr>
        <w:t xml:space="preserve"> </w:t>
      </w:r>
      <w:r>
        <w:rPr>
          <w:rFonts w:ascii="宋体" w:hAnsi="宋体" w:eastAsia="宋体" w:cs="宋体"/>
          <w:spacing w:val="-1"/>
          <w:sz w:val="18"/>
          <w:szCs w:val="18"/>
        </w:rPr>
        <w:t>原</w:t>
      </w:r>
      <w:r>
        <w:rPr>
          <w:rFonts w:ascii="宋体" w:hAnsi="宋体" w:eastAsia="宋体" w:cs="宋体"/>
          <w:spacing w:val="-34"/>
          <w:sz w:val="18"/>
          <w:szCs w:val="18"/>
        </w:rPr>
        <w:t xml:space="preserve"> </w:t>
      </w:r>
      <w:r>
        <w:rPr>
          <w:rFonts w:ascii="宋体" w:hAnsi="宋体" w:eastAsia="宋体" w:cs="宋体"/>
          <w:spacing w:val="-1"/>
          <w:sz w:val="18"/>
          <w:szCs w:val="18"/>
        </w:rPr>
        <w:t>始</w:t>
      </w:r>
      <w:r>
        <w:rPr>
          <w:rFonts w:ascii="宋体" w:hAnsi="宋体" w:eastAsia="宋体" w:cs="宋体"/>
          <w:spacing w:val="-35"/>
          <w:sz w:val="18"/>
          <w:szCs w:val="18"/>
        </w:rPr>
        <w:t xml:space="preserve"> </w:t>
      </w:r>
      <w:r>
        <w:rPr>
          <w:rFonts w:ascii="宋体" w:hAnsi="宋体" w:eastAsia="宋体" w:cs="宋体"/>
          <w:spacing w:val="-1"/>
          <w:sz w:val="18"/>
          <w:szCs w:val="18"/>
        </w:rPr>
        <w:t>研</w:t>
      </w:r>
      <w:r>
        <w:rPr>
          <w:rFonts w:ascii="宋体" w:hAnsi="宋体" w:eastAsia="宋体" w:cs="宋体"/>
          <w:spacing w:val="-27"/>
          <w:sz w:val="18"/>
          <w:szCs w:val="18"/>
        </w:rPr>
        <w:t xml:space="preserve"> </w:t>
      </w:r>
      <w:r>
        <w:rPr>
          <w:rFonts w:ascii="宋体" w:hAnsi="宋体" w:eastAsia="宋体" w:cs="宋体"/>
          <w:spacing w:val="-1"/>
          <w:sz w:val="18"/>
          <w:szCs w:val="18"/>
        </w:rPr>
        <w:t>究</w:t>
      </w:r>
      <w:r>
        <w:rPr>
          <w:rFonts w:ascii="宋体" w:hAnsi="宋体" w:eastAsia="宋体" w:cs="宋体"/>
          <w:spacing w:val="-34"/>
          <w:sz w:val="18"/>
          <w:szCs w:val="18"/>
        </w:rPr>
        <w:t xml:space="preserve"> </w:t>
      </w:r>
      <w:r>
        <w:rPr>
          <w:rFonts w:ascii="宋体" w:hAnsi="宋体" w:eastAsia="宋体" w:cs="宋体"/>
          <w:spacing w:val="-1"/>
          <w:sz w:val="18"/>
          <w:szCs w:val="18"/>
        </w:rPr>
        <w:t>数</w:t>
      </w:r>
      <w:r>
        <w:rPr>
          <w:rFonts w:ascii="宋体" w:hAnsi="宋体" w:eastAsia="宋体" w:cs="宋体"/>
          <w:spacing w:val="-35"/>
          <w:sz w:val="18"/>
          <w:szCs w:val="18"/>
        </w:rPr>
        <w:t xml:space="preserve"> </w:t>
      </w:r>
      <w:r>
        <w:rPr>
          <w:rFonts w:ascii="宋体" w:hAnsi="宋体" w:eastAsia="宋体" w:cs="宋体"/>
          <w:spacing w:val="-1"/>
          <w:sz w:val="18"/>
          <w:szCs w:val="18"/>
        </w:rPr>
        <w:t>据</w:t>
      </w:r>
      <w:r>
        <w:rPr>
          <w:rFonts w:ascii="宋体" w:hAnsi="宋体" w:eastAsia="宋体" w:cs="宋体"/>
          <w:spacing w:val="-35"/>
          <w:sz w:val="18"/>
          <w:szCs w:val="18"/>
        </w:rPr>
        <w:t xml:space="preserve"> </w:t>
      </w:r>
      <w:r>
        <w:rPr>
          <w:rFonts w:ascii="宋体" w:hAnsi="宋体" w:eastAsia="宋体" w:cs="宋体"/>
          <w:spacing w:val="-1"/>
          <w:sz w:val="18"/>
          <w:szCs w:val="18"/>
        </w:rPr>
        <w:t>库</w:t>
      </w:r>
      <w:r>
        <w:rPr>
          <w:rFonts w:ascii="Times New Roman" w:hAnsi="Times New Roman" w:eastAsia="Times New Roman" w:cs="Times New Roman"/>
          <w:spacing w:val="-1"/>
          <w:sz w:val="18"/>
          <w:szCs w:val="18"/>
        </w:rPr>
        <w:t>(studies)</w:t>
      </w:r>
      <w:r>
        <w:rPr>
          <w:rFonts w:ascii="Times New Roman" w:hAnsi="Times New Roman" w:eastAsia="Times New Roman" w:cs="Times New Roman"/>
          <w:spacing w:val="-25"/>
          <w:sz w:val="18"/>
          <w:szCs w:val="18"/>
        </w:rPr>
        <w:t xml:space="preserve"> </w:t>
      </w:r>
      <w:r>
        <w:rPr>
          <w:rFonts w:ascii="宋体" w:hAnsi="宋体" w:eastAsia="宋体" w:cs="宋体"/>
          <w:spacing w:val="-1"/>
          <w:sz w:val="18"/>
          <w:szCs w:val="18"/>
        </w:rPr>
        <w:t>、</w:t>
      </w:r>
      <w:r>
        <w:rPr>
          <w:rFonts w:ascii="宋体" w:hAnsi="宋体" w:eastAsia="宋体" w:cs="宋体"/>
          <w:spacing w:val="78"/>
          <w:sz w:val="18"/>
          <w:szCs w:val="18"/>
        </w:rPr>
        <w:t xml:space="preserve"> </w:t>
      </w:r>
      <w:r>
        <w:rPr>
          <w:rFonts w:ascii="宋体" w:hAnsi="宋体" w:eastAsia="宋体" w:cs="宋体"/>
          <w:spacing w:val="-1"/>
          <w:sz w:val="18"/>
          <w:szCs w:val="18"/>
        </w:rPr>
        <w:t>原</w:t>
      </w:r>
      <w:r>
        <w:rPr>
          <w:rFonts w:ascii="宋体" w:hAnsi="宋体" w:eastAsia="宋体" w:cs="宋体"/>
          <w:spacing w:val="-39"/>
          <w:sz w:val="18"/>
          <w:szCs w:val="18"/>
        </w:rPr>
        <w:t xml:space="preserve"> </w:t>
      </w:r>
      <w:r>
        <w:rPr>
          <w:rFonts w:ascii="宋体" w:hAnsi="宋体" w:eastAsia="宋体" w:cs="宋体"/>
          <w:spacing w:val="-1"/>
          <w:sz w:val="18"/>
          <w:szCs w:val="18"/>
        </w:rPr>
        <w:t>始</w:t>
      </w:r>
      <w:r>
        <w:rPr>
          <w:rFonts w:ascii="宋体" w:hAnsi="宋体" w:eastAsia="宋体" w:cs="宋体"/>
          <w:spacing w:val="-40"/>
          <w:sz w:val="18"/>
          <w:szCs w:val="18"/>
        </w:rPr>
        <w:t xml:space="preserve"> </w:t>
      </w:r>
      <w:r>
        <w:rPr>
          <w:rFonts w:ascii="宋体" w:hAnsi="宋体" w:eastAsia="宋体" w:cs="宋体"/>
          <w:spacing w:val="-1"/>
          <w:sz w:val="18"/>
          <w:szCs w:val="18"/>
        </w:rPr>
        <w:t>研</w:t>
      </w:r>
      <w:r>
        <w:rPr>
          <w:rFonts w:ascii="宋体" w:hAnsi="宋体" w:eastAsia="宋体" w:cs="宋体"/>
          <w:spacing w:val="-32"/>
          <w:sz w:val="18"/>
          <w:szCs w:val="18"/>
        </w:rPr>
        <w:t xml:space="preserve"> </w:t>
      </w:r>
      <w:r>
        <w:rPr>
          <w:rFonts w:ascii="宋体" w:hAnsi="宋体" w:eastAsia="宋体" w:cs="宋体"/>
          <w:spacing w:val="-1"/>
          <w:sz w:val="18"/>
          <w:szCs w:val="18"/>
        </w:rPr>
        <w:t>究</w:t>
      </w:r>
      <w:r>
        <w:rPr>
          <w:rFonts w:ascii="宋体" w:hAnsi="宋体" w:eastAsia="宋体" w:cs="宋体"/>
          <w:spacing w:val="-40"/>
          <w:sz w:val="18"/>
          <w:szCs w:val="18"/>
        </w:rPr>
        <w:t xml:space="preserve"> </w:t>
      </w:r>
      <w:r>
        <w:rPr>
          <w:rFonts w:ascii="宋体" w:hAnsi="宋体" w:eastAsia="宋体" w:cs="宋体"/>
          <w:spacing w:val="-1"/>
          <w:sz w:val="18"/>
          <w:szCs w:val="18"/>
        </w:rPr>
        <w:t>精</w:t>
      </w:r>
      <w:r>
        <w:rPr>
          <w:rFonts w:ascii="宋体" w:hAnsi="宋体" w:eastAsia="宋体" w:cs="宋体"/>
          <w:spacing w:val="-40"/>
          <w:sz w:val="18"/>
          <w:szCs w:val="18"/>
        </w:rPr>
        <w:t xml:space="preserve"> </w:t>
      </w:r>
      <w:r>
        <w:rPr>
          <w:rFonts w:ascii="宋体" w:hAnsi="宋体" w:eastAsia="宋体" w:cs="宋体"/>
          <w:spacing w:val="-1"/>
          <w:sz w:val="18"/>
          <w:szCs w:val="18"/>
        </w:rPr>
        <w:t>要</w:t>
      </w:r>
      <w:r>
        <w:rPr>
          <w:rFonts w:ascii="宋体" w:hAnsi="宋体" w:eastAsia="宋体" w:cs="宋体"/>
          <w:spacing w:val="-38"/>
          <w:sz w:val="18"/>
          <w:szCs w:val="18"/>
        </w:rPr>
        <w:t xml:space="preserve"> </w:t>
      </w:r>
      <w:r>
        <w:rPr>
          <w:rFonts w:ascii="宋体" w:hAnsi="宋体" w:eastAsia="宋体" w:cs="宋体"/>
          <w:spacing w:val="-1"/>
          <w:sz w:val="18"/>
          <w:szCs w:val="18"/>
        </w:rPr>
        <w:t>数</w:t>
      </w:r>
      <w:r>
        <w:rPr>
          <w:rFonts w:ascii="宋体" w:hAnsi="宋体" w:eastAsia="宋体" w:cs="宋体"/>
          <w:spacing w:val="-41"/>
          <w:sz w:val="18"/>
          <w:szCs w:val="18"/>
        </w:rPr>
        <w:t xml:space="preserve"> </w:t>
      </w:r>
      <w:r>
        <w:rPr>
          <w:rFonts w:ascii="宋体" w:hAnsi="宋体" w:eastAsia="宋体" w:cs="宋体"/>
          <w:spacing w:val="-1"/>
          <w:sz w:val="18"/>
          <w:szCs w:val="18"/>
        </w:rPr>
        <w:t>据</w:t>
      </w:r>
      <w:r>
        <w:rPr>
          <w:rFonts w:ascii="宋体" w:hAnsi="宋体" w:eastAsia="宋体" w:cs="宋体"/>
          <w:spacing w:val="-39"/>
          <w:sz w:val="18"/>
          <w:szCs w:val="18"/>
        </w:rPr>
        <w:t xml:space="preserve"> </w:t>
      </w:r>
      <w:r>
        <w:rPr>
          <w:rFonts w:ascii="宋体" w:hAnsi="宋体" w:eastAsia="宋体" w:cs="宋体"/>
          <w:spacing w:val="-1"/>
          <w:sz w:val="18"/>
          <w:szCs w:val="18"/>
        </w:rPr>
        <w:t>库</w:t>
      </w:r>
      <w:r>
        <w:rPr>
          <w:rFonts w:ascii="Times New Roman" w:hAnsi="Times New Roman" w:eastAsia="Times New Roman" w:cs="Times New Roman"/>
          <w:spacing w:val="-1"/>
          <w:sz w:val="18"/>
          <w:szCs w:val="18"/>
        </w:rPr>
        <w:t xml:space="preserve">(synopses   </w:t>
      </w:r>
      <w:r>
        <w:rPr>
          <w:rFonts w:ascii="Times New Roman" w:hAnsi="Times New Roman" w:eastAsia="Times New Roman" w:cs="Times New Roman"/>
          <w:spacing w:val="-2"/>
          <w:sz w:val="18"/>
          <w:szCs w:val="18"/>
        </w:rPr>
        <w:t xml:space="preserve"> of     studies)</w:t>
      </w:r>
      <w:r>
        <w:rPr>
          <w:rFonts w:ascii="宋体" w:hAnsi="宋体" w:eastAsia="宋体" w:cs="宋体"/>
          <w:spacing w:val="-2"/>
          <w:sz w:val="18"/>
          <w:szCs w:val="18"/>
        </w:rPr>
        <w:t>、系统综述数据库</w:t>
      </w:r>
      <w:r>
        <w:rPr>
          <w:rFonts w:ascii="宋体" w:hAnsi="宋体" w:eastAsia="宋体" w:cs="宋体"/>
          <w:sz w:val="18"/>
          <w:szCs w:val="18"/>
        </w:rPr>
        <w:t xml:space="preserve">  </w:t>
      </w:r>
      <w:r>
        <w:rPr>
          <w:rFonts w:ascii="Times New Roman" w:hAnsi="Times New Roman" w:eastAsia="Times New Roman" w:cs="Times New Roman"/>
          <w:spacing w:val="3"/>
          <w:sz w:val="18"/>
          <w:szCs w:val="18"/>
        </w:rPr>
        <w:t>(</w:t>
      </w:r>
      <w:r>
        <w:rPr>
          <w:rFonts w:ascii="Times New Roman" w:hAnsi="Times New Roman" w:eastAsia="Times New Roman" w:cs="Times New Roman"/>
          <w:sz w:val="18"/>
          <w:szCs w:val="18"/>
        </w:rPr>
        <w:t>syntheses</w:t>
      </w:r>
      <w:r>
        <w:rPr>
          <w:rFonts w:ascii="Times New Roman" w:hAnsi="Times New Roman" w:eastAsia="Times New Roman" w:cs="Times New Roman"/>
          <w:spacing w:val="3"/>
          <w:sz w:val="18"/>
          <w:szCs w:val="18"/>
        </w:rPr>
        <w:t>)</w:t>
      </w:r>
      <w:r>
        <w:rPr>
          <w:rFonts w:ascii="Times New Roman" w:hAnsi="Times New Roman" w:eastAsia="Times New Roman" w:cs="Times New Roman"/>
          <w:spacing w:val="-9"/>
          <w:sz w:val="18"/>
          <w:szCs w:val="18"/>
        </w:rPr>
        <w:t xml:space="preserve"> </w:t>
      </w:r>
      <w:r>
        <w:rPr>
          <w:rFonts w:ascii="宋体" w:hAnsi="宋体" w:eastAsia="宋体" w:cs="宋体"/>
          <w:spacing w:val="3"/>
          <w:sz w:val="18"/>
          <w:szCs w:val="18"/>
        </w:rPr>
        <w:t>、</w:t>
      </w:r>
      <w:r>
        <w:rPr>
          <w:rFonts w:ascii="宋体" w:hAnsi="宋体" w:eastAsia="宋体" w:cs="宋体"/>
          <w:spacing w:val="88"/>
          <w:sz w:val="18"/>
          <w:szCs w:val="18"/>
        </w:rPr>
        <w:t xml:space="preserve"> </w:t>
      </w:r>
      <w:r>
        <w:rPr>
          <w:rFonts w:ascii="宋体" w:hAnsi="宋体" w:eastAsia="宋体" w:cs="宋体"/>
          <w:spacing w:val="3"/>
          <w:sz w:val="18"/>
          <w:szCs w:val="18"/>
        </w:rPr>
        <w:t>系</w:t>
      </w:r>
      <w:r>
        <w:rPr>
          <w:rFonts w:ascii="宋体" w:hAnsi="宋体" w:eastAsia="宋体" w:cs="宋体"/>
          <w:spacing w:val="-32"/>
          <w:sz w:val="18"/>
          <w:szCs w:val="18"/>
        </w:rPr>
        <w:t xml:space="preserve"> </w:t>
      </w:r>
      <w:r>
        <w:rPr>
          <w:rFonts w:ascii="宋体" w:hAnsi="宋体" w:eastAsia="宋体" w:cs="宋体"/>
          <w:spacing w:val="3"/>
          <w:sz w:val="18"/>
          <w:szCs w:val="18"/>
        </w:rPr>
        <w:t>统</w:t>
      </w:r>
      <w:r>
        <w:rPr>
          <w:rFonts w:ascii="宋体" w:hAnsi="宋体" w:eastAsia="宋体" w:cs="宋体"/>
          <w:spacing w:val="-34"/>
          <w:sz w:val="18"/>
          <w:szCs w:val="18"/>
        </w:rPr>
        <w:t xml:space="preserve"> </w:t>
      </w:r>
      <w:r>
        <w:rPr>
          <w:rFonts w:ascii="宋体" w:hAnsi="宋体" w:eastAsia="宋体" w:cs="宋体"/>
          <w:spacing w:val="3"/>
          <w:sz w:val="18"/>
          <w:szCs w:val="18"/>
        </w:rPr>
        <w:t>综</w:t>
      </w:r>
      <w:r>
        <w:rPr>
          <w:rFonts w:ascii="宋体" w:hAnsi="宋体" w:eastAsia="宋体" w:cs="宋体"/>
          <w:spacing w:val="-37"/>
          <w:sz w:val="18"/>
          <w:szCs w:val="18"/>
        </w:rPr>
        <w:t xml:space="preserve"> </w:t>
      </w:r>
      <w:r>
        <w:rPr>
          <w:rFonts w:ascii="宋体" w:hAnsi="宋体" w:eastAsia="宋体" w:cs="宋体"/>
          <w:spacing w:val="3"/>
          <w:sz w:val="18"/>
          <w:szCs w:val="18"/>
        </w:rPr>
        <w:t>述</w:t>
      </w:r>
      <w:r>
        <w:rPr>
          <w:rFonts w:ascii="宋体" w:hAnsi="宋体" w:eastAsia="宋体" w:cs="宋体"/>
          <w:spacing w:val="-36"/>
          <w:sz w:val="18"/>
          <w:szCs w:val="18"/>
        </w:rPr>
        <w:t xml:space="preserve"> </w:t>
      </w:r>
      <w:r>
        <w:rPr>
          <w:rFonts w:ascii="宋体" w:hAnsi="宋体" w:eastAsia="宋体" w:cs="宋体"/>
          <w:spacing w:val="3"/>
          <w:sz w:val="18"/>
          <w:szCs w:val="18"/>
        </w:rPr>
        <w:t>精</w:t>
      </w:r>
      <w:r>
        <w:rPr>
          <w:rFonts w:ascii="宋体" w:hAnsi="宋体" w:eastAsia="宋体" w:cs="宋体"/>
          <w:spacing w:val="-36"/>
          <w:sz w:val="18"/>
          <w:szCs w:val="18"/>
        </w:rPr>
        <w:t xml:space="preserve"> </w:t>
      </w:r>
      <w:r>
        <w:rPr>
          <w:rFonts w:ascii="宋体" w:hAnsi="宋体" w:eastAsia="宋体" w:cs="宋体"/>
          <w:spacing w:val="3"/>
          <w:sz w:val="18"/>
          <w:szCs w:val="18"/>
        </w:rPr>
        <w:t>要</w:t>
      </w:r>
      <w:r>
        <w:rPr>
          <w:rFonts w:ascii="宋体" w:hAnsi="宋体" w:eastAsia="宋体" w:cs="宋体"/>
          <w:spacing w:val="-35"/>
          <w:sz w:val="18"/>
          <w:szCs w:val="18"/>
        </w:rPr>
        <w:t xml:space="preserve"> </w:t>
      </w:r>
      <w:r>
        <w:rPr>
          <w:rFonts w:ascii="宋体" w:hAnsi="宋体" w:eastAsia="宋体" w:cs="宋体"/>
          <w:spacing w:val="3"/>
          <w:sz w:val="18"/>
          <w:szCs w:val="18"/>
        </w:rPr>
        <w:t>数</w:t>
      </w:r>
      <w:r>
        <w:rPr>
          <w:rFonts w:ascii="宋体" w:hAnsi="宋体" w:eastAsia="宋体" w:cs="宋体"/>
          <w:spacing w:val="-37"/>
          <w:sz w:val="18"/>
          <w:szCs w:val="18"/>
        </w:rPr>
        <w:t xml:space="preserve"> </w:t>
      </w:r>
      <w:r>
        <w:rPr>
          <w:rFonts w:ascii="宋体" w:hAnsi="宋体" w:eastAsia="宋体" w:cs="宋体"/>
          <w:spacing w:val="3"/>
          <w:sz w:val="18"/>
          <w:szCs w:val="18"/>
        </w:rPr>
        <w:t>据</w:t>
      </w:r>
      <w:r>
        <w:rPr>
          <w:rFonts w:ascii="宋体" w:hAnsi="宋体" w:eastAsia="宋体" w:cs="宋体"/>
          <w:spacing w:val="-36"/>
          <w:sz w:val="18"/>
          <w:szCs w:val="18"/>
        </w:rPr>
        <w:t xml:space="preserve"> </w:t>
      </w:r>
      <w:r>
        <w:rPr>
          <w:rFonts w:ascii="宋体" w:hAnsi="宋体" w:eastAsia="宋体" w:cs="宋体"/>
          <w:spacing w:val="3"/>
          <w:sz w:val="18"/>
          <w:szCs w:val="18"/>
        </w:rPr>
        <w:t>库</w:t>
      </w:r>
      <w:r>
        <w:rPr>
          <w:rFonts w:ascii="Times New Roman" w:hAnsi="Times New Roman" w:eastAsia="Times New Roman" w:cs="Times New Roman"/>
          <w:spacing w:val="3"/>
          <w:sz w:val="18"/>
          <w:szCs w:val="18"/>
        </w:rPr>
        <w:t>(</w:t>
      </w:r>
      <w:r>
        <w:rPr>
          <w:rFonts w:ascii="Times New Roman" w:hAnsi="Times New Roman" w:eastAsia="Times New Roman" w:cs="Times New Roman"/>
          <w:sz w:val="18"/>
          <w:szCs w:val="18"/>
        </w:rPr>
        <w:t>synopses</w:t>
      </w:r>
      <w:r>
        <w:rPr>
          <w:rFonts w:ascii="Times New Roman" w:hAnsi="Times New Roman" w:eastAsia="Times New Roman" w:cs="Times New Roman"/>
          <w:spacing w:val="3"/>
          <w:sz w:val="18"/>
          <w:szCs w:val="18"/>
        </w:rPr>
        <w:t xml:space="preserve">     </w:t>
      </w:r>
      <w:r>
        <w:rPr>
          <w:rFonts w:ascii="Times New Roman" w:hAnsi="Times New Roman" w:eastAsia="Times New Roman" w:cs="Times New Roman"/>
          <w:sz w:val="18"/>
          <w:szCs w:val="18"/>
        </w:rPr>
        <w:t>of</w:t>
      </w:r>
      <w:r>
        <w:rPr>
          <w:rFonts w:ascii="Times New Roman" w:hAnsi="Times New Roman" w:eastAsia="Times New Roman" w:cs="Times New Roman"/>
          <w:spacing w:val="3"/>
          <w:sz w:val="18"/>
          <w:szCs w:val="18"/>
        </w:rPr>
        <w:t xml:space="preserve">      </w:t>
      </w:r>
      <w:r>
        <w:rPr>
          <w:rFonts w:ascii="Times New Roman" w:hAnsi="Times New Roman" w:eastAsia="Times New Roman" w:cs="Times New Roman"/>
          <w:sz w:val="18"/>
          <w:szCs w:val="18"/>
        </w:rPr>
        <w:t>syntheses</w:t>
      </w:r>
      <w:r>
        <w:rPr>
          <w:rFonts w:ascii="Times New Roman" w:hAnsi="Times New Roman" w:eastAsia="Times New Roman" w:cs="Times New Roman"/>
          <w:spacing w:val="3"/>
          <w:sz w:val="18"/>
          <w:szCs w:val="18"/>
        </w:rPr>
        <w:t>)</w:t>
      </w:r>
      <w:r>
        <w:rPr>
          <w:rFonts w:ascii="宋体" w:hAnsi="宋体" w:eastAsia="宋体" w:cs="宋体"/>
          <w:spacing w:val="3"/>
          <w:sz w:val="18"/>
          <w:szCs w:val="18"/>
        </w:rPr>
        <w:t>、循证证据整合库</w:t>
      </w:r>
      <w:r>
        <w:rPr>
          <w:rFonts w:ascii="Times New Roman" w:hAnsi="Times New Roman" w:eastAsia="Times New Roman" w:cs="Times New Roman"/>
          <w:spacing w:val="3"/>
          <w:sz w:val="18"/>
          <w:szCs w:val="18"/>
        </w:rPr>
        <w:t>(</w:t>
      </w:r>
      <w:r>
        <w:rPr>
          <w:rFonts w:ascii="Times New Roman" w:hAnsi="Times New Roman" w:eastAsia="Times New Roman" w:cs="Times New Roman"/>
          <w:sz w:val="18"/>
          <w:szCs w:val="18"/>
        </w:rPr>
        <w:t>summaries</w:t>
      </w:r>
      <w:r>
        <w:rPr>
          <w:rFonts w:ascii="Times New Roman" w:hAnsi="Times New Roman" w:eastAsia="Times New Roman" w:cs="Times New Roman"/>
          <w:spacing w:val="3"/>
          <w:sz w:val="18"/>
          <w:szCs w:val="18"/>
        </w:rPr>
        <w:t xml:space="preserve">)    </w:t>
      </w:r>
      <w:r>
        <w:rPr>
          <w:rFonts w:ascii="宋体" w:hAnsi="宋体" w:eastAsia="宋体" w:cs="宋体"/>
          <w:spacing w:val="3"/>
          <w:sz w:val="18"/>
          <w:szCs w:val="18"/>
        </w:rPr>
        <w:t>和计算机辅</w:t>
      </w:r>
      <w:r>
        <w:rPr>
          <w:rFonts w:ascii="宋体" w:hAnsi="宋体" w:eastAsia="宋体" w:cs="宋体"/>
          <w:sz w:val="18"/>
          <w:szCs w:val="18"/>
        </w:rPr>
        <w:t xml:space="preserve">  </w:t>
      </w:r>
      <w:r>
        <w:rPr>
          <w:rFonts w:ascii="宋体" w:hAnsi="宋体" w:eastAsia="宋体" w:cs="宋体"/>
          <w:spacing w:val="-2"/>
          <w:sz w:val="18"/>
          <w:szCs w:val="18"/>
        </w:rPr>
        <w:t>助</w:t>
      </w:r>
      <w:r>
        <w:rPr>
          <w:rFonts w:ascii="宋体" w:hAnsi="宋体" w:eastAsia="宋体" w:cs="宋体"/>
          <w:spacing w:val="-21"/>
          <w:sz w:val="18"/>
          <w:szCs w:val="18"/>
        </w:rPr>
        <w:t xml:space="preserve"> </w:t>
      </w:r>
      <w:r>
        <w:rPr>
          <w:rFonts w:ascii="宋体" w:hAnsi="宋体" w:eastAsia="宋体" w:cs="宋体"/>
          <w:spacing w:val="-2"/>
          <w:sz w:val="18"/>
          <w:szCs w:val="18"/>
        </w:rPr>
        <w:t>决</w:t>
      </w:r>
      <w:r>
        <w:rPr>
          <w:rFonts w:ascii="宋体" w:hAnsi="宋体" w:eastAsia="宋体" w:cs="宋体"/>
          <w:spacing w:val="-26"/>
          <w:sz w:val="18"/>
          <w:szCs w:val="18"/>
        </w:rPr>
        <w:t xml:space="preserve"> </w:t>
      </w:r>
      <w:r>
        <w:rPr>
          <w:rFonts w:ascii="宋体" w:hAnsi="宋体" w:eastAsia="宋体" w:cs="宋体"/>
          <w:spacing w:val="-2"/>
          <w:sz w:val="18"/>
          <w:szCs w:val="18"/>
        </w:rPr>
        <w:t>策</w:t>
      </w:r>
      <w:r>
        <w:rPr>
          <w:rFonts w:ascii="宋体" w:hAnsi="宋体" w:eastAsia="宋体" w:cs="宋体"/>
          <w:spacing w:val="-23"/>
          <w:sz w:val="18"/>
          <w:szCs w:val="18"/>
        </w:rPr>
        <w:t xml:space="preserve"> </w:t>
      </w:r>
      <w:r>
        <w:rPr>
          <w:rFonts w:ascii="宋体" w:hAnsi="宋体" w:eastAsia="宋体" w:cs="宋体"/>
          <w:spacing w:val="-2"/>
          <w:sz w:val="18"/>
          <w:szCs w:val="18"/>
        </w:rPr>
        <w:t>系</w:t>
      </w:r>
      <w:r>
        <w:rPr>
          <w:rFonts w:ascii="宋体" w:hAnsi="宋体" w:eastAsia="宋体" w:cs="宋体"/>
          <w:spacing w:val="-22"/>
          <w:sz w:val="18"/>
          <w:szCs w:val="18"/>
        </w:rPr>
        <w:t xml:space="preserve"> </w:t>
      </w:r>
      <w:r>
        <w:rPr>
          <w:rFonts w:ascii="宋体" w:hAnsi="宋体" w:eastAsia="宋体" w:cs="宋体"/>
          <w:spacing w:val="-2"/>
          <w:sz w:val="18"/>
          <w:szCs w:val="18"/>
        </w:rPr>
        <w:t>统</w:t>
      </w:r>
      <w:r>
        <w:rPr>
          <w:rFonts w:ascii="Times New Roman" w:hAnsi="Times New Roman" w:eastAsia="Times New Roman" w:cs="Times New Roman"/>
          <w:spacing w:val="-2"/>
          <w:sz w:val="18"/>
          <w:szCs w:val="18"/>
        </w:rPr>
        <w:t xml:space="preserve">(system),      </w:t>
      </w:r>
      <w:r>
        <w:rPr>
          <w:rFonts w:ascii="宋体" w:hAnsi="宋体" w:eastAsia="宋体" w:cs="宋体"/>
          <w:spacing w:val="-2"/>
          <w:sz w:val="18"/>
          <w:szCs w:val="18"/>
        </w:rPr>
        <w:t>相</w:t>
      </w:r>
      <w:r>
        <w:rPr>
          <w:rFonts w:ascii="宋体" w:hAnsi="宋体" w:eastAsia="宋体" w:cs="宋体"/>
          <w:spacing w:val="-40"/>
          <w:sz w:val="18"/>
          <w:szCs w:val="18"/>
        </w:rPr>
        <w:t xml:space="preserve"> </w:t>
      </w:r>
      <w:r>
        <w:rPr>
          <w:rFonts w:ascii="宋体" w:hAnsi="宋体" w:eastAsia="宋体" w:cs="宋体"/>
          <w:spacing w:val="-2"/>
          <w:sz w:val="18"/>
          <w:szCs w:val="18"/>
        </w:rPr>
        <w:t>对</w:t>
      </w:r>
      <w:r>
        <w:rPr>
          <w:rFonts w:ascii="宋体" w:hAnsi="宋体" w:eastAsia="宋体" w:cs="宋体"/>
          <w:spacing w:val="-39"/>
          <w:sz w:val="18"/>
          <w:szCs w:val="18"/>
        </w:rPr>
        <w:t xml:space="preserve"> </w:t>
      </w:r>
      <w:r>
        <w:rPr>
          <w:rFonts w:ascii="宋体" w:hAnsi="宋体" w:eastAsia="宋体" w:cs="宋体"/>
          <w:spacing w:val="-2"/>
          <w:sz w:val="18"/>
          <w:szCs w:val="18"/>
        </w:rPr>
        <w:t>应</w:t>
      </w:r>
      <w:r>
        <w:rPr>
          <w:rFonts w:ascii="宋体" w:hAnsi="宋体" w:eastAsia="宋体" w:cs="宋体"/>
          <w:spacing w:val="-24"/>
          <w:sz w:val="18"/>
          <w:szCs w:val="18"/>
        </w:rPr>
        <w:t xml:space="preserve"> </w:t>
      </w:r>
      <w:r>
        <w:rPr>
          <w:rFonts w:ascii="宋体" w:hAnsi="宋体" w:eastAsia="宋体" w:cs="宋体"/>
          <w:spacing w:val="-2"/>
          <w:sz w:val="18"/>
          <w:szCs w:val="18"/>
        </w:rPr>
        <w:t>的</w:t>
      </w:r>
      <w:r>
        <w:rPr>
          <w:rFonts w:ascii="宋体" w:hAnsi="宋体" w:eastAsia="宋体" w:cs="宋体"/>
          <w:spacing w:val="-36"/>
          <w:sz w:val="18"/>
          <w:szCs w:val="18"/>
        </w:rPr>
        <w:t xml:space="preserve"> </w:t>
      </w:r>
      <w:r>
        <w:rPr>
          <w:rFonts w:ascii="宋体" w:hAnsi="宋体" w:eastAsia="宋体" w:cs="宋体"/>
          <w:spacing w:val="-2"/>
          <w:sz w:val="18"/>
          <w:szCs w:val="18"/>
        </w:rPr>
        <w:t>典</w:t>
      </w:r>
      <w:r>
        <w:rPr>
          <w:rFonts w:ascii="宋体" w:hAnsi="宋体" w:eastAsia="宋体" w:cs="宋体"/>
          <w:spacing w:val="-33"/>
          <w:sz w:val="18"/>
          <w:szCs w:val="18"/>
        </w:rPr>
        <w:t xml:space="preserve"> </w:t>
      </w:r>
      <w:r>
        <w:rPr>
          <w:rFonts w:ascii="宋体" w:hAnsi="宋体" w:eastAsia="宋体" w:cs="宋体"/>
          <w:spacing w:val="-2"/>
          <w:sz w:val="18"/>
          <w:szCs w:val="18"/>
        </w:rPr>
        <w:t>型</w:t>
      </w:r>
      <w:r>
        <w:rPr>
          <w:rFonts w:ascii="宋体" w:hAnsi="宋体" w:eastAsia="宋体" w:cs="宋体"/>
          <w:spacing w:val="-39"/>
          <w:sz w:val="18"/>
          <w:szCs w:val="18"/>
        </w:rPr>
        <w:t xml:space="preserve"> </w:t>
      </w:r>
      <w:r>
        <w:rPr>
          <w:rFonts w:ascii="宋体" w:hAnsi="宋体" w:eastAsia="宋体" w:cs="宋体"/>
          <w:spacing w:val="-2"/>
          <w:sz w:val="18"/>
          <w:szCs w:val="18"/>
        </w:rPr>
        <w:t>证</w:t>
      </w:r>
      <w:r>
        <w:rPr>
          <w:rFonts w:ascii="宋体" w:hAnsi="宋体" w:eastAsia="宋体" w:cs="宋体"/>
          <w:spacing w:val="-40"/>
          <w:sz w:val="18"/>
          <w:szCs w:val="18"/>
        </w:rPr>
        <w:t xml:space="preserve"> </w:t>
      </w:r>
      <w:r>
        <w:rPr>
          <w:rFonts w:ascii="宋体" w:hAnsi="宋体" w:eastAsia="宋体" w:cs="宋体"/>
          <w:spacing w:val="-2"/>
          <w:sz w:val="18"/>
          <w:szCs w:val="18"/>
        </w:rPr>
        <w:t>据</w:t>
      </w:r>
      <w:r>
        <w:rPr>
          <w:rFonts w:ascii="宋体" w:hAnsi="宋体" w:eastAsia="宋体" w:cs="宋体"/>
          <w:spacing w:val="-32"/>
          <w:sz w:val="18"/>
          <w:szCs w:val="18"/>
        </w:rPr>
        <w:t xml:space="preserve"> </w:t>
      </w:r>
      <w:r>
        <w:rPr>
          <w:rFonts w:ascii="宋体" w:hAnsi="宋体" w:eastAsia="宋体" w:cs="宋体"/>
          <w:spacing w:val="-2"/>
          <w:sz w:val="18"/>
          <w:szCs w:val="18"/>
        </w:rPr>
        <w:t>资</w:t>
      </w:r>
      <w:r>
        <w:rPr>
          <w:rFonts w:ascii="宋体" w:hAnsi="宋体" w:eastAsia="宋体" w:cs="宋体"/>
          <w:spacing w:val="-40"/>
          <w:sz w:val="18"/>
          <w:szCs w:val="18"/>
        </w:rPr>
        <w:t xml:space="preserve"> </w:t>
      </w:r>
      <w:r>
        <w:rPr>
          <w:rFonts w:ascii="宋体" w:hAnsi="宋体" w:eastAsia="宋体" w:cs="宋体"/>
          <w:spacing w:val="-2"/>
          <w:sz w:val="18"/>
          <w:szCs w:val="18"/>
        </w:rPr>
        <w:t>源</w:t>
      </w:r>
      <w:r>
        <w:rPr>
          <w:rFonts w:ascii="宋体" w:hAnsi="宋体" w:eastAsia="宋体" w:cs="宋体"/>
          <w:spacing w:val="-37"/>
          <w:sz w:val="18"/>
          <w:szCs w:val="18"/>
        </w:rPr>
        <w:t xml:space="preserve"> </w:t>
      </w:r>
      <w:r>
        <w:rPr>
          <w:rFonts w:ascii="宋体" w:hAnsi="宋体" w:eastAsia="宋体" w:cs="宋体"/>
          <w:spacing w:val="-2"/>
          <w:sz w:val="18"/>
          <w:szCs w:val="18"/>
        </w:rPr>
        <w:t>分</w:t>
      </w:r>
      <w:r>
        <w:rPr>
          <w:rFonts w:ascii="宋体" w:hAnsi="宋体" w:eastAsia="宋体" w:cs="宋体"/>
          <w:spacing w:val="-37"/>
          <w:sz w:val="18"/>
          <w:szCs w:val="18"/>
        </w:rPr>
        <w:t xml:space="preserve"> </w:t>
      </w:r>
      <w:r>
        <w:rPr>
          <w:rFonts w:ascii="宋体" w:hAnsi="宋体" w:eastAsia="宋体" w:cs="宋体"/>
          <w:spacing w:val="-2"/>
          <w:sz w:val="18"/>
          <w:szCs w:val="18"/>
        </w:rPr>
        <w:t>别</w:t>
      </w:r>
      <w:r>
        <w:rPr>
          <w:rFonts w:ascii="宋体" w:hAnsi="宋体" w:eastAsia="宋体" w:cs="宋体"/>
          <w:spacing w:val="-36"/>
          <w:sz w:val="18"/>
          <w:szCs w:val="18"/>
        </w:rPr>
        <w:t xml:space="preserve"> </w:t>
      </w:r>
      <w:r>
        <w:rPr>
          <w:rFonts w:ascii="宋体" w:hAnsi="宋体" w:eastAsia="宋体" w:cs="宋体"/>
          <w:spacing w:val="-2"/>
          <w:sz w:val="18"/>
          <w:szCs w:val="18"/>
        </w:rPr>
        <w:t>是</w:t>
      </w:r>
      <w:r>
        <w:rPr>
          <w:rFonts w:ascii="Times New Roman" w:hAnsi="Times New Roman" w:eastAsia="Times New Roman" w:cs="Times New Roman"/>
          <w:spacing w:val="-2"/>
          <w:sz w:val="18"/>
          <w:szCs w:val="18"/>
        </w:rPr>
        <w:t>Medlin</w:t>
      </w:r>
      <w:r>
        <w:rPr>
          <w:rFonts w:ascii="Times New Roman" w:hAnsi="Times New Roman" w:eastAsia="Times New Roman" w:cs="Times New Roman"/>
          <w:spacing w:val="-3"/>
          <w:sz w:val="18"/>
          <w:szCs w:val="18"/>
        </w:rPr>
        <w:t>e</w:t>
      </w:r>
      <w:r>
        <w:rPr>
          <w:rFonts w:ascii="Times New Roman" w:hAnsi="Times New Roman" w:eastAsia="Times New Roman" w:cs="Times New Roman"/>
          <w:spacing w:val="-25"/>
          <w:sz w:val="18"/>
          <w:szCs w:val="18"/>
        </w:rPr>
        <w:t xml:space="preserve"> </w:t>
      </w:r>
      <w:r>
        <w:rPr>
          <w:rFonts w:ascii="宋体" w:hAnsi="宋体" w:eastAsia="宋体" w:cs="宋体"/>
          <w:spacing w:val="-3"/>
          <w:sz w:val="18"/>
          <w:szCs w:val="18"/>
        </w:rPr>
        <w:t>、</w:t>
      </w:r>
      <w:r>
        <w:rPr>
          <w:rFonts w:ascii="Times New Roman" w:hAnsi="Times New Roman" w:eastAsia="Times New Roman" w:cs="Times New Roman"/>
          <w:spacing w:val="-3"/>
          <w:sz w:val="18"/>
          <w:szCs w:val="18"/>
        </w:rPr>
        <w:t>ACP    Journal    Club</w:t>
      </w:r>
      <w:r>
        <w:rPr>
          <w:rFonts w:ascii="Times New Roman" w:hAnsi="Times New Roman" w:eastAsia="Times New Roman" w:cs="Times New Roman"/>
          <w:spacing w:val="-26"/>
          <w:sz w:val="18"/>
          <w:szCs w:val="18"/>
        </w:rPr>
        <w:t xml:space="preserve"> </w:t>
      </w:r>
      <w:r>
        <w:rPr>
          <w:rFonts w:ascii="宋体" w:hAnsi="宋体" w:eastAsia="宋体" w:cs="宋体"/>
          <w:spacing w:val="-3"/>
          <w:sz w:val="18"/>
          <w:szCs w:val="18"/>
        </w:rPr>
        <w:t>、</w:t>
      </w:r>
      <w:r>
        <w:rPr>
          <w:rFonts w:ascii="Times New Roman" w:hAnsi="Times New Roman" w:eastAsia="Times New Roman" w:cs="Times New Roman"/>
          <w:spacing w:val="-3"/>
          <w:sz w:val="18"/>
          <w:szCs w:val="18"/>
        </w:rPr>
        <w:t>Cochrane    Library-</w:t>
      </w:r>
      <w:r>
        <w:rPr>
          <w:rFonts w:ascii="Times New Roman" w:hAnsi="Times New Roman" w:eastAsia="Times New Roman" w:cs="Times New Roman"/>
          <w:sz w:val="18"/>
          <w:szCs w:val="18"/>
        </w:rPr>
        <w:t xml:space="preserve">   CDSR</w:t>
      </w:r>
      <w:r>
        <w:rPr>
          <w:rFonts w:ascii="宋体" w:hAnsi="宋体" w:eastAsia="宋体" w:cs="宋体"/>
          <w:spacing w:val="11"/>
          <w:sz w:val="18"/>
          <w:szCs w:val="18"/>
        </w:rPr>
        <w:t>、</w:t>
      </w:r>
      <w:r>
        <w:rPr>
          <w:rFonts w:ascii="Times New Roman" w:hAnsi="Times New Roman" w:eastAsia="Times New Roman" w:cs="Times New Roman"/>
          <w:sz w:val="18"/>
          <w:szCs w:val="18"/>
        </w:rPr>
        <w:t>Cochrane</w:t>
      </w:r>
      <w:r>
        <w:rPr>
          <w:rFonts w:ascii="Times New Roman" w:hAnsi="Times New Roman" w:eastAsia="Times New Roman" w:cs="Times New Roman"/>
          <w:spacing w:val="11"/>
          <w:sz w:val="18"/>
          <w:szCs w:val="18"/>
        </w:rPr>
        <w:t xml:space="preserve">        </w:t>
      </w:r>
      <w:r>
        <w:rPr>
          <w:rFonts w:ascii="Times New Roman" w:hAnsi="Times New Roman" w:eastAsia="Times New Roman" w:cs="Times New Roman"/>
          <w:sz w:val="18"/>
          <w:szCs w:val="18"/>
        </w:rPr>
        <w:t>Library</w:t>
      </w:r>
      <w:r>
        <w:rPr>
          <w:rFonts w:ascii="Times New Roman" w:hAnsi="Times New Roman" w:eastAsia="Times New Roman" w:cs="Times New Roman"/>
          <w:spacing w:val="11"/>
          <w:sz w:val="18"/>
          <w:szCs w:val="18"/>
        </w:rPr>
        <w:t>-</w:t>
      </w:r>
      <w:r>
        <w:rPr>
          <w:rFonts w:ascii="Times New Roman" w:hAnsi="Times New Roman" w:eastAsia="Times New Roman" w:cs="Times New Roman"/>
          <w:sz w:val="18"/>
          <w:szCs w:val="18"/>
        </w:rPr>
        <w:t>DARE</w:t>
      </w:r>
      <w:r>
        <w:rPr>
          <w:rFonts w:ascii="Times New Roman" w:hAnsi="Times New Roman" w:eastAsia="Times New Roman" w:cs="Times New Roman"/>
          <w:spacing w:val="-14"/>
          <w:sz w:val="18"/>
          <w:szCs w:val="18"/>
        </w:rPr>
        <w:t xml:space="preserve"> </w:t>
      </w:r>
      <w:r>
        <w:rPr>
          <w:rFonts w:ascii="宋体" w:hAnsi="宋体" w:eastAsia="宋体" w:cs="宋体"/>
          <w:spacing w:val="11"/>
          <w:sz w:val="18"/>
          <w:szCs w:val="18"/>
        </w:rPr>
        <w:t>、</w:t>
      </w:r>
      <w:r>
        <w:rPr>
          <w:rFonts w:ascii="Times New Roman" w:hAnsi="Times New Roman" w:eastAsia="Times New Roman" w:cs="Times New Roman"/>
          <w:sz w:val="18"/>
          <w:szCs w:val="18"/>
        </w:rPr>
        <w:t>UpToDate</w:t>
      </w:r>
      <w:r>
        <w:rPr>
          <w:rFonts w:ascii="宋体" w:hAnsi="宋体" w:eastAsia="宋体" w:cs="宋体"/>
          <w:spacing w:val="11"/>
          <w:sz w:val="18"/>
          <w:szCs w:val="18"/>
        </w:rPr>
        <w:t xml:space="preserve">和 </w:t>
      </w:r>
      <w:r>
        <w:rPr>
          <w:rFonts w:ascii="Times New Roman" w:hAnsi="Times New Roman" w:eastAsia="Times New Roman" w:cs="Times New Roman"/>
          <w:sz w:val="18"/>
          <w:szCs w:val="18"/>
        </w:rPr>
        <w:t>Map</w:t>
      </w:r>
      <w:r>
        <w:rPr>
          <w:rFonts w:ascii="Times New Roman" w:hAnsi="Times New Roman" w:eastAsia="Times New Roman" w:cs="Times New Roman"/>
          <w:spacing w:val="11"/>
          <w:sz w:val="18"/>
          <w:szCs w:val="18"/>
        </w:rPr>
        <w:t xml:space="preserve">   </w:t>
      </w:r>
      <w:r>
        <w:rPr>
          <w:rFonts w:ascii="Times New Roman" w:hAnsi="Times New Roman" w:eastAsia="Times New Roman" w:cs="Times New Roman"/>
          <w:sz w:val="18"/>
          <w:szCs w:val="18"/>
        </w:rPr>
        <w:t>of</w:t>
      </w:r>
      <w:r>
        <w:rPr>
          <w:rFonts w:ascii="Times New Roman" w:hAnsi="Times New Roman" w:eastAsia="Times New Roman" w:cs="Times New Roman"/>
          <w:spacing w:val="11"/>
          <w:sz w:val="18"/>
          <w:szCs w:val="18"/>
        </w:rPr>
        <w:t xml:space="preserve">   </w:t>
      </w:r>
      <w:r>
        <w:rPr>
          <w:rFonts w:ascii="Times New Roman" w:hAnsi="Times New Roman" w:eastAsia="Times New Roman" w:cs="Times New Roman"/>
          <w:sz w:val="18"/>
          <w:szCs w:val="18"/>
        </w:rPr>
        <w:t>Medicine</w:t>
      </w:r>
      <w:r>
        <w:rPr>
          <w:rFonts w:ascii="宋体" w:hAnsi="宋体" w:eastAsia="宋体" w:cs="宋体"/>
          <w:spacing w:val="11"/>
          <w:sz w:val="18"/>
          <w:szCs w:val="18"/>
        </w:rPr>
        <w:t>。原始研究是所有其他证据衍生品的基</w:t>
      </w:r>
      <w:r>
        <w:rPr>
          <w:rFonts w:ascii="宋体" w:hAnsi="宋体" w:eastAsia="宋体" w:cs="宋体"/>
          <w:sz w:val="18"/>
          <w:szCs w:val="18"/>
        </w:rPr>
        <w:t xml:space="preserve">  </w:t>
      </w:r>
      <w:r>
        <w:rPr>
          <w:rFonts w:ascii="宋体" w:hAnsi="宋体" w:eastAsia="宋体" w:cs="宋体"/>
          <w:spacing w:val="23"/>
          <w:sz w:val="18"/>
          <w:szCs w:val="18"/>
        </w:rPr>
        <w:t>础，证据系统是提供证据的最高形式，因此证据资源以原始研究为基</w:t>
      </w:r>
      <w:r>
        <w:rPr>
          <w:rFonts w:ascii="宋体" w:hAnsi="宋体" w:eastAsia="宋体" w:cs="宋体"/>
          <w:spacing w:val="22"/>
          <w:sz w:val="18"/>
          <w:szCs w:val="18"/>
        </w:rPr>
        <w:t>础，以证据系统为终端，自下而</w:t>
      </w:r>
      <w:r>
        <w:rPr>
          <w:rFonts w:ascii="宋体" w:hAnsi="宋体" w:eastAsia="宋体" w:cs="宋体"/>
          <w:sz w:val="18"/>
          <w:szCs w:val="18"/>
        </w:rPr>
        <w:t xml:space="preserve">  </w:t>
      </w:r>
      <w:r>
        <w:rPr>
          <w:rFonts w:ascii="宋体" w:hAnsi="宋体" w:eastAsia="宋体" w:cs="宋体"/>
          <w:spacing w:val="27"/>
          <w:sz w:val="18"/>
          <w:szCs w:val="18"/>
        </w:rPr>
        <w:t>上形成</w:t>
      </w:r>
      <w:r>
        <w:rPr>
          <w:rFonts w:ascii="宋体" w:hAnsi="宋体" w:eastAsia="宋体" w:cs="宋体"/>
          <w:spacing w:val="-43"/>
          <w:sz w:val="18"/>
          <w:szCs w:val="18"/>
        </w:rPr>
        <w:t xml:space="preserve"> </w:t>
      </w:r>
      <w:r>
        <w:rPr>
          <w:rFonts w:ascii="宋体" w:hAnsi="宋体" w:eastAsia="宋体" w:cs="宋体"/>
          <w:spacing w:val="27"/>
          <w:sz w:val="18"/>
          <w:szCs w:val="18"/>
        </w:rPr>
        <w:t>一</w:t>
      </w:r>
      <w:r>
        <w:rPr>
          <w:rFonts w:ascii="宋体" w:hAnsi="宋体" w:eastAsia="宋体" w:cs="宋体"/>
          <w:spacing w:val="-52"/>
          <w:sz w:val="18"/>
          <w:szCs w:val="18"/>
        </w:rPr>
        <w:t xml:space="preserve"> </w:t>
      </w:r>
      <w:r>
        <w:rPr>
          <w:rFonts w:ascii="宋体" w:hAnsi="宋体" w:eastAsia="宋体" w:cs="宋体"/>
          <w:spacing w:val="27"/>
          <w:sz w:val="18"/>
          <w:szCs w:val="18"/>
        </w:rPr>
        <w:t>个不断缩小的证据资源金字塔(图18</w:t>
      </w:r>
      <w:r>
        <w:rPr>
          <w:rFonts w:ascii="宋体" w:hAnsi="宋体" w:eastAsia="宋体" w:cs="宋体"/>
          <w:spacing w:val="-54"/>
          <w:sz w:val="18"/>
          <w:szCs w:val="18"/>
        </w:rPr>
        <w:t xml:space="preserve"> </w:t>
      </w:r>
      <w:r>
        <w:rPr>
          <w:rFonts w:ascii="宋体" w:hAnsi="宋体" w:eastAsia="宋体" w:cs="宋体"/>
          <w:spacing w:val="27"/>
          <w:sz w:val="18"/>
          <w:szCs w:val="18"/>
        </w:rPr>
        <w:t>-</w:t>
      </w:r>
      <w:r>
        <w:rPr>
          <w:rFonts w:ascii="宋体" w:hAnsi="宋体" w:eastAsia="宋体" w:cs="宋体"/>
          <w:spacing w:val="-49"/>
          <w:sz w:val="18"/>
          <w:szCs w:val="18"/>
        </w:rPr>
        <w:t xml:space="preserve"> </w:t>
      </w:r>
      <w:r>
        <w:rPr>
          <w:rFonts w:ascii="宋体" w:hAnsi="宋体" w:eastAsia="宋体" w:cs="宋体"/>
          <w:spacing w:val="27"/>
          <w:sz w:val="18"/>
          <w:szCs w:val="18"/>
        </w:rPr>
        <w:t>3)。金字塔的顶端是证据演进的终端，也是证据最</w:t>
      </w:r>
      <w:r>
        <w:rPr>
          <w:rFonts w:ascii="宋体" w:hAnsi="宋体" w:eastAsia="宋体" w:cs="宋体"/>
          <w:sz w:val="18"/>
          <w:szCs w:val="18"/>
        </w:rPr>
        <w:t xml:space="preserve">  </w:t>
      </w:r>
      <w:r>
        <w:rPr>
          <w:rFonts w:ascii="宋体" w:hAnsi="宋体" w:eastAsia="宋体" w:cs="宋体"/>
          <w:spacing w:val="28"/>
          <w:sz w:val="18"/>
          <w:szCs w:val="18"/>
        </w:rPr>
        <w:t>浓缩、最简明的形式。</w:t>
      </w:r>
    </w:p>
    <w:p w14:paraId="32052201">
      <w:pPr>
        <w:pStyle w:val="2"/>
        <w:spacing w:before="54" w:line="4190" w:lineRule="exact"/>
        <w:ind w:firstLine="629"/>
      </w:pPr>
      <w:r>
        <w:rPr>
          <w:position w:val="-83"/>
        </w:rPr>
        <w:pict>
          <v:group id="_x0000_s1224" o:spid="_x0000_s1224" o:spt="203" style="height:209.55pt;width:393.5pt;" coordsize="7870,4191">
            <o:lock v:ext="edit"/>
            <v:shape id="_x0000_s1225" o:spid="_x0000_s1225" o:spt="75" type="#_x0000_t75" style="position:absolute;left:0;top:0;height:4191;width:7870;" filled="f" stroked="f" coordsize="21600,21600">
              <v:path/>
              <v:fill on="f" focussize="0,0"/>
              <v:stroke on="f"/>
              <v:imagedata r:id="rId672" o:title=""/>
              <o:lock v:ext="edit" aspectratio="t"/>
            </v:shape>
            <v:shape id="_x0000_s1226" o:spid="_x0000_s1226" o:spt="202" type="#_x0000_t202" style="position:absolute;left:6019;top:236;height:3943;width:1776;" filled="f" stroked="f" coordsize="21600,21600">
              <v:path/>
              <v:fill on="f" focussize="0,0"/>
              <v:stroke on="f"/>
              <v:imagedata o:title=""/>
              <o:lock v:ext="edit" aspectratio="f"/>
              <v:textbox inset="0mm,0mm,0mm,0mm">
                <w:txbxContent>
                  <w:p w14:paraId="0817BEF0">
                    <w:pPr>
                      <w:spacing w:before="19" w:line="223" w:lineRule="auto"/>
                      <w:ind w:left="29" w:right="76"/>
                      <w:rPr>
                        <w:rFonts w:ascii="黑体" w:hAnsi="黑体" w:eastAsia="黑体" w:cs="黑体"/>
                        <w:sz w:val="18"/>
                        <w:szCs w:val="18"/>
                      </w:rPr>
                    </w:pPr>
                    <w:r>
                      <w:rPr>
                        <w:rFonts w:ascii="宋体" w:hAnsi="宋体" w:eastAsia="宋体" w:cs="宋体"/>
                        <w:spacing w:val="-13"/>
                        <w:sz w:val="18"/>
                        <w:szCs w:val="18"/>
                      </w:rPr>
                      <w:t>计算机辅助决策系统：</w:t>
                    </w:r>
                    <w:r>
                      <w:rPr>
                        <w:rFonts w:ascii="宋体" w:hAnsi="宋体" w:eastAsia="宋体" w:cs="宋体"/>
                        <w:sz w:val="18"/>
                        <w:szCs w:val="18"/>
                      </w:rPr>
                      <w:t xml:space="preserve"> </w:t>
                    </w:r>
                    <w:r>
                      <w:rPr>
                        <w:rFonts w:ascii="宋体" w:hAnsi="宋体" w:eastAsia="宋体" w:cs="宋体"/>
                        <w:spacing w:val="-13"/>
                        <w:sz w:val="18"/>
                        <w:szCs w:val="18"/>
                      </w:rPr>
                      <w:t>Zynx Health</w:t>
                    </w:r>
                    <w:r>
                      <w:rPr>
                        <w:rFonts w:ascii="黑体" w:hAnsi="黑体" w:eastAsia="黑体" w:cs="黑体"/>
                        <w:spacing w:val="-13"/>
                        <w:sz w:val="18"/>
                        <w:szCs w:val="18"/>
                      </w:rPr>
                      <w:t>系列</w:t>
                    </w:r>
                  </w:p>
                  <w:p w14:paraId="1957B41B">
                    <w:pPr>
                      <w:spacing w:before="165" w:line="219" w:lineRule="auto"/>
                      <w:ind w:left="29"/>
                      <w:rPr>
                        <w:rFonts w:ascii="宋体" w:hAnsi="宋体" w:eastAsia="宋体" w:cs="宋体"/>
                        <w:sz w:val="18"/>
                        <w:szCs w:val="18"/>
                      </w:rPr>
                    </w:pPr>
                    <w:r>
                      <w:rPr>
                        <w:rFonts w:ascii="宋体" w:hAnsi="宋体" w:eastAsia="宋体" w:cs="宋体"/>
                        <w:spacing w:val="-13"/>
                        <w:sz w:val="18"/>
                        <w:szCs w:val="18"/>
                      </w:rPr>
                      <w:t>循证证据整合库：</w:t>
                    </w:r>
                  </w:p>
                  <w:p w14:paraId="7D1711D0">
                    <w:pPr>
                      <w:spacing w:line="185" w:lineRule="auto"/>
                      <w:ind w:left="29"/>
                      <w:rPr>
                        <w:rFonts w:ascii="Times New Roman" w:hAnsi="Times New Roman" w:eastAsia="Times New Roman" w:cs="Times New Roman"/>
                        <w:sz w:val="18"/>
                        <w:szCs w:val="18"/>
                      </w:rPr>
                    </w:pPr>
                    <w:r>
                      <w:rPr>
                        <w:rFonts w:ascii="Times New Roman" w:hAnsi="Times New Roman" w:eastAsia="Times New Roman" w:cs="Times New Roman"/>
                        <w:spacing w:val="-6"/>
                        <w:w w:val="96"/>
                        <w:sz w:val="18"/>
                        <w:szCs w:val="18"/>
                      </w:rPr>
                      <w:t>UpToDate</w:t>
                    </w:r>
                  </w:p>
                  <w:p w14:paraId="49E591AD">
                    <w:pPr>
                      <w:spacing w:before="90" w:line="192" w:lineRule="auto"/>
                      <w:ind w:left="29"/>
                      <w:rPr>
                        <w:rFonts w:ascii="Times New Roman" w:hAnsi="Times New Roman" w:eastAsia="Times New Roman" w:cs="Times New Roman"/>
                        <w:sz w:val="18"/>
                        <w:szCs w:val="18"/>
                      </w:rPr>
                    </w:pPr>
                    <w:r>
                      <w:rPr>
                        <w:rFonts w:ascii="Times New Roman" w:hAnsi="Times New Roman" w:eastAsia="Times New Roman" w:cs="Times New Roman"/>
                        <w:spacing w:val="-2"/>
                        <w:sz w:val="18"/>
                        <w:szCs w:val="18"/>
                      </w:rPr>
                      <w:t>First consult</w:t>
                    </w:r>
                  </w:p>
                  <w:p w14:paraId="75E1D30D">
                    <w:pPr>
                      <w:spacing w:before="50" w:line="219" w:lineRule="auto"/>
                      <w:ind w:left="29"/>
                      <w:rPr>
                        <w:rFonts w:ascii="宋体" w:hAnsi="宋体" w:eastAsia="宋体" w:cs="宋体"/>
                        <w:sz w:val="18"/>
                        <w:szCs w:val="18"/>
                      </w:rPr>
                    </w:pPr>
                    <w:r>
                      <w:rPr>
                        <w:rFonts w:ascii="宋体" w:hAnsi="宋体" w:eastAsia="宋体" w:cs="宋体"/>
                        <w:spacing w:val="-14"/>
                        <w:sz w:val="18"/>
                        <w:szCs w:val="18"/>
                      </w:rPr>
                      <w:t>系统综述精要数据库：</w:t>
                    </w:r>
                  </w:p>
                  <w:p w14:paraId="71BB4C03">
                    <w:pPr>
                      <w:spacing w:before="11" w:line="192" w:lineRule="auto"/>
                      <w:ind w:left="20"/>
                      <w:rPr>
                        <w:rFonts w:ascii="Times New Roman" w:hAnsi="Times New Roman" w:eastAsia="Times New Roman" w:cs="Times New Roman"/>
                        <w:sz w:val="18"/>
                        <w:szCs w:val="18"/>
                      </w:rPr>
                    </w:pPr>
                    <w:r>
                      <w:rPr>
                        <w:rFonts w:ascii="Times New Roman" w:hAnsi="Times New Roman" w:eastAsia="Times New Roman" w:cs="Times New Roman"/>
                        <w:spacing w:val="-6"/>
                        <w:sz w:val="18"/>
                        <w:szCs w:val="18"/>
                      </w:rPr>
                      <w:t>ACP Journal Club</w:t>
                    </w:r>
                  </w:p>
                  <w:p w14:paraId="03FD4796">
                    <w:pPr>
                      <w:spacing w:before="8" w:line="192" w:lineRule="auto"/>
                      <w:ind w:left="29"/>
                      <w:rPr>
                        <w:rFonts w:ascii="Times New Roman" w:hAnsi="Times New Roman" w:eastAsia="Times New Roman" w:cs="Times New Roman"/>
                        <w:sz w:val="18"/>
                        <w:szCs w:val="18"/>
                      </w:rPr>
                    </w:pPr>
                    <w:r>
                      <w:rPr>
                        <w:rFonts w:ascii="Times New Roman" w:hAnsi="Times New Roman" w:eastAsia="Times New Roman" w:cs="Times New Roman"/>
                        <w:spacing w:val="-8"/>
                        <w:sz w:val="18"/>
                        <w:szCs w:val="18"/>
                      </w:rPr>
                      <w:t>Cochrane Library-DARE</w:t>
                    </w:r>
                  </w:p>
                  <w:p w14:paraId="2B6ED48C">
                    <w:pPr>
                      <w:spacing w:before="247" w:line="213" w:lineRule="auto"/>
                      <w:ind w:left="29"/>
                      <w:rPr>
                        <w:rFonts w:ascii="宋体" w:hAnsi="宋体" w:eastAsia="宋体" w:cs="宋体"/>
                        <w:sz w:val="18"/>
                        <w:szCs w:val="18"/>
                      </w:rPr>
                    </w:pPr>
                    <w:r>
                      <w:rPr>
                        <w:rFonts w:ascii="宋体" w:hAnsi="宋体" w:eastAsia="宋体" w:cs="宋体"/>
                        <w:spacing w:val="-13"/>
                        <w:sz w:val="18"/>
                        <w:szCs w:val="18"/>
                      </w:rPr>
                      <w:t>系统综述数据库：</w:t>
                    </w:r>
                  </w:p>
                  <w:p w14:paraId="63775FDF">
                    <w:pPr>
                      <w:spacing w:line="191" w:lineRule="auto"/>
                      <w:ind w:left="29"/>
                      <w:rPr>
                        <w:rFonts w:ascii="Times New Roman" w:hAnsi="Times New Roman" w:eastAsia="Times New Roman" w:cs="Times New Roman"/>
                        <w:sz w:val="18"/>
                        <w:szCs w:val="18"/>
                      </w:rPr>
                    </w:pPr>
                    <w:r>
                      <w:rPr>
                        <w:rFonts w:ascii="Times New Roman" w:hAnsi="Times New Roman" w:eastAsia="Times New Roman" w:cs="Times New Roman"/>
                        <w:spacing w:val="-7"/>
                        <w:sz w:val="18"/>
                        <w:szCs w:val="18"/>
                      </w:rPr>
                      <w:t>Cochrane Library-CDSR</w:t>
                    </w:r>
                  </w:p>
                  <w:p w14:paraId="3DC50E93">
                    <w:pPr>
                      <w:spacing w:before="238" w:line="225" w:lineRule="auto"/>
                      <w:ind w:left="29" w:right="76"/>
                      <w:rPr>
                        <w:rFonts w:ascii="Times New Roman" w:hAnsi="Times New Roman" w:eastAsia="Times New Roman" w:cs="Times New Roman"/>
                        <w:sz w:val="18"/>
                        <w:szCs w:val="18"/>
                      </w:rPr>
                    </w:pPr>
                    <w:r>
                      <w:rPr>
                        <w:rFonts w:ascii="宋体" w:hAnsi="宋体" w:eastAsia="宋体" w:cs="宋体"/>
                        <w:spacing w:val="-13"/>
                        <w:sz w:val="18"/>
                        <w:szCs w:val="18"/>
                      </w:rPr>
                      <w:t>原始研究精要数据库：</w:t>
                    </w:r>
                    <w:r>
                      <w:rPr>
                        <w:rFonts w:ascii="宋体" w:hAnsi="宋体" w:eastAsia="宋体" w:cs="宋体"/>
                        <w:sz w:val="18"/>
                        <w:szCs w:val="18"/>
                      </w:rPr>
                      <w:t xml:space="preserve"> </w:t>
                    </w:r>
                    <w:r>
                      <w:rPr>
                        <w:rFonts w:ascii="Times New Roman" w:hAnsi="Times New Roman" w:eastAsia="Times New Roman" w:cs="Times New Roman"/>
                        <w:spacing w:val="-7"/>
                        <w:sz w:val="18"/>
                        <w:szCs w:val="18"/>
                      </w:rPr>
                      <w:t>ACP Journal Club</w:t>
                    </w:r>
                  </w:p>
                  <w:p w14:paraId="136D8187">
                    <w:pPr>
                      <w:spacing w:before="185" w:line="219" w:lineRule="auto"/>
                      <w:ind w:left="29"/>
                      <w:rPr>
                        <w:rFonts w:ascii="宋体" w:hAnsi="宋体" w:eastAsia="宋体" w:cs="宋体"/>
                        <w:sz w:val="18"/>
                        <w:szCs w:val="18"/>
                      </w:rPr>
                    </w:pPr>
                    <w:r>
                      <w:rPr>
                        <w:rFonts w:ascii="宋体" w:hAnsi="宋体" w:eastAsia="宋体" w:cs="宋体"/>
                        <w:spacing w:val="-13"/>
                        <w:sz w:val="18"/>
                        <w:szCs w:val="18"/>
                      </w:rPr>
                      <w:t>原始研究数据库：</w:t>
                    </w:r>
                  </w:p>
                  <w:p w14:paraId="65FF7177">
                    <w:pPr>
                      <w:spacing w:before="9" w:line="254" w:lineRule="auto"/>
                      <w:ind w:left="29" w:right="20"/>
                      <w:rPr>
                        <w:rFonts w:ascii="Times New Roman" w:hAnsi="Times New Roman" w:eastAsia="Times New Roman" w:cs="Times New Roman"/>
                        <w:sz w:val="18"/>
                        <w:szCs w:val="18"/>
                      </w:rPr>
                    </w:pPr>
                    <w:r>
                      <w:rPr>
                        <w:rFonts w:ascii="Times New Roman" w:hAnsi="Times New Roman" w:eastAsia="Times New Roman" w:cs="Times New Roman"/>
                        <w:spacing w:val="-3"/>
                        <w:sz w:val="18"/>
                        <w:szCs w:val="18"/>
                      </w:rPr>
                      <w:t>PubMed ClinicalQueries</w:t>
                    </w:r>
                    <w:r>
                      <w:rPr>
                        <w:rFonts w:ascii="Times New Roman" w:hAnsi="Times New Roman" w:eastAsia="Times New Roman" w:cs="Times New Roman"/>
                        <w:spacing w:val="6"/>
                        <w:sz w:val="18"/>
                        <w:szCs w:val="18"/>
                      </w:rPr>
                      <w:t xml:space="preserve"> </w:t>
                    </w:r>
                    <w:r>
                      <w:rPr>
                        <w:rFonts w:ascii="Times New Roman" w:hAnsi="Times New Roman" w:eastAsia="Times New Roman" w:cs="Times New Roman"/>
                        <w:spacing w:val="-1"/>
                        <w:sz w:val="18"/>
                        <w:szCs w:val="18"/>
                      </w:rPr>
                      <w:t>Embase</w:t>
                    </w:r>
                  </w:p>
                </w:txbxContent>
              </v:textbox>
            </v:shape>
            <v:shape id="_x0000_s1227" o:spid="_x0000_s1227" o:spt="202" type="#_x0000_t202" style="position:absolute;left:2699;top:472;height:698;width:810;" filled="f" stroked="f" coordsize="21600,21600">
              <v:path/>
              <v:fill on="f" focussize="0,0"/>
              <v:stroke on="f"/>
              <v:imagedata o:title=""/>
              <o:lock v:ext="edit" aspectratio="f"/>
              <v:textbox inset="0mm,0mm,0mm,0mm">
                <w:txbxContent>
                  <w:p w14:paraId="66D2232F">
                    <w:pPr>
                      <w:spacing w:before="19" w:line="171" w:lineRule="auto"/>
                      <w:ind w:left="139"/>
                      <w:rPr>
                        <w:rFonts w:ascii="Times New Roman" w:hAnsi="Times New Roman" w:eastAsia="Times New Roman" w:cs="Times New Roman"/>
                        <w:sz w:val="18"/>
                        <w:szCs w:val="18"/>
                      </w:rPr>
                    </w:pPr>
                    <w:r>
                      <w:rPr>
                        <w:rFonts w:ascii="Times New Roman" w:hAnsi="Times New Roman" w:eastAsia="Times New Roman" w:cs="Times New Roman"/>
                        <w:spacing w:val="-2"/>
                        <w:sz w:val="18"/>
                        <w:szCs w:val="18"/>
                      </w:rPr>
                      <w:t>system</w:t>
                    </w:r>
                  </w:p>
                  <w:p w14:paraId="2BF1FEB6">
                    <w:pPr>
                      <w:spacing w:line="327" w:lineRule="auto"/>
                      <w:rPr>
                        <w:rFonts w:ascii="Arial"/>
                        <w:sz w:val="21"/>
                      </w:rPr>
                    </w:pPr>
                  </w:p>
                  <w:p w14:paraId="34830914">
                    <w:pPr>
                      <w:spacing w:before="51" w:line="192" w:lineRule="auto"/>
                      <w:ind w:left="20"/>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summaries</w:t>
                    </w:r>
                  </w:p>
                </w:txbxContent>
              </v:textbox>
            </v:shape>
            <v:shape id="_x0000_s1228" o:spid="_x0000_s1228" o:spt="202" type="#_x0000_t202" style="position:absolute;left:2429;top:1674;height:206;width:1576;" filled="f" stroked="f" coordsize="21600,21600">
              <v:path/>
              <v:fill on="f" focussize="0,0"/>
              <v:stroke on="f"/>
              <v:imagedata o:title=""/>
              <o:lock v:ext="edit" aspectratio="f"/>
              <v:textbox inset="0mm,0mm,0mm,0mm">
                <w:txbxContent>
                  <w:p w14:paraId="10407B4E">
                    <w:pPr>
                      <w:spacing w:before="19" w:line="192" w:lineRule="auto"/>
                      <w:ind w:left="20"/>
                      <w:rPr>
                        <w:rFonts w:ascii="Times New Roman" w:hAnsi="Times New Roman" w:eastAsia="Times New Roman" w:cs="Times New Roman"/>
                        <w:sz w:val="18"/>
                        <w:szCs w:val="18"/>
                      </w:rPr>
                    </w:pPr>
                    <w:r>
                      <w:rPr>
                        <w:rFonts w:ascii="Times New Roman" w:hAnsi="Times New Roman" w:eastAsia="Times New Roman" w:cs="Times New Roman"/>
                        <w:spacing w:val="-2"/>
                        <w:sz w:val="18"/>
                        <w:szCs w:val="18"/>
                      </w:rPr>
                      <w:t>synopses of</w:t>
                    </w:r>
                    <w:r>
                      <w:rPr>
                        <w:rFonts w:ascii="Times New Roman" w:hAnsi="Times New Roman" w:eastAsia="Times New Roman" w:cs="Times New Roman"/>
                        <w:spacing w:val="-3"/>
                        <w:sz w:val="18"/>
                        <w:szCs w:val="18"/>
                      </w:rPr>
                      <w:t xml:space="preserve"> </w:t>
                    </w:r>
                    <w:r>
                      <w:rPr>
                        <w:rFonts w:ascii="Times New Roman" w:hAnsi="Times New Roman" w:eastAsia="Times New Roman" w:cs="Times New Roman"/>
                        <w:spacing w:val="-2"/>
                        <w:sz w:val="18"/>
                        <w:szCs w:val="18"/>
                      </w:rPr>
                      <w:t>syntheses</w:t>
                    </w:r>
                  </w:p>
                </w:txbxContent>
              </v:textbox>
            </v:shape>
            <v:shape id="_x0000_s1229" o:spid="_x0000_s1229" o:spt="202" type="#_x0000_t202" style="position:absolute;left:2439;top:3044;height:206;width:1421;" filled="f" stroked="f" coordsize="21600,21600">
              <v:path/>
              <v:fill on="f" focussize="0,0"/>
              <v:stroke on="f"/>
              <v:imagedata o:title=""/>
              <o:lock v:ext="edit" aspectratio="f"/>
              <v:textbox inset="0mm,0mm,0mm,0mm">
                <w:txbxContent>
                  <w:p w14:paraId="2E201A76">
                    <w:pPr>
                      <w:spacing w:before="19" w:line="192" w:lineRule="auto"/>
                      <w:ind w:left="20"/>
                      <w:rPr>
                        <w:rFonts w:ascii="Times New Roman" w:hAnsi="Times New Roman" w:eastAsia="Times New Roman" w:cs="Times New Roman"/>
                        <w:sz w:val="18"/>
                        <w:szCs w:val="18"/>
                      </w:rPr>
                    </w:pPr>
                    <w:r>
                      <w:rPr>
                        <w:rFonts w:ascii="Times New Roman" w:hAnsi="Times New Roman" w:eastAsia="Times New Roman" w:cs="Times New Roman"/>
                        <w:sz w:val="18"/>
                        <w:szCs w:val="18"/>
                      </w:rPr>
                      <w:t>synopses</w:t>
                    </w:r>
                    <w:r>
                      <w:rPr>
                        <w:rFonts w:ascii="Times New Roman" w:hAnsi="Times New Roman" w:eastAsia="Times New Roman" w:cs="Times New Roman"/>
                        <w:spacing w:val="1"/>
                        <w:sz w:val="18"/>
                        <w:szCs w:val="18"/>
                      </w:rPr>
                      <w:t xml:space="preserve"> </w:t>
                    </w:r>
                    <w:r>
                      <w:rPr>
                        <w:rFonts w:ascii="Times New Roman" w:hAnsi="Times New Roman" w:eastAsia="Times New Roman" w:cs="Times New Roman"/>
                        <w:sz w:val="18"/>
                        <w:szCs w:val="18"/>
                      </w:rPr>
                      <w:t>of</w:t>
                    </w:r>
                    <w:r>
                      <w:rPr>
                        <w:rFonts w:ascii="Times New Roman" w:hAnsi="Times New Roman" w:eastAsia="Times New Roman" w:cs="Times New Roman"/>
                        <w:spacing w:val="-10"/>
                        <w:sz w:val="18"/>
                        <w:szCs w:val="18"/>
                      </w:rPr>
                      <w:t xml:space="preserve"> </w:t>
                    </w:r>
                    <w:r>
                      <w:rPr>
                        <w:rFonts w:ascii="Times New Roman" w:hAnsi="Times New Roman" w:eastAsia="Times New Roman" w:cs="Times New Roman"/>
                        <w:sz w:val="18"/>
                        <w:szCs w:val="18"/>
                      </w:rPr>
                      <w:t>studies</w:t>
                    </w:r>
                  </w:p>
                </w:txbxContent>
              </v:textbox>
            </v:shape>
            <v:shape id="_x0000_s1230" o:spid="_x0000_s1230" o:spt="202" type="#_x0000_t202" style="position:absolute;left:156;top:1060;height:1333;width:207;" filled="f" stroked="f" coordsize="21600,21600">
              <v:path/>
              <v:fill on="f" focussize="0,0"/>
              <v:stroke on="f"/>
              <v:imagedata o:title=""/>
              <o:lock v:ext="edit" aspectratio="f"/>
              <v:textbox inset="0mm,0mm,0mm,0mm" style="layout-flow:vertical-ideographic;">
                <w:txbxContent>
                  <w:p w14:paraId="54AED2CE">
                    <w:pPr>
                      <w:spacing w:before="19" w:line="202" w:lineRule="auto"/>
                      <w:ind w:left="20"/>
                      <w:rPr>
                        <w:rFonts w:ascii="宋体" w:hAnsi="宋体" w:eastAsia="宋体" w:cs="宋体"/>
                        <w:sz w:val="18"/>
                        <w:szCs w:val="18"/>
                      </w:rPr>
                    </w:pPr>
                    <w:r>
                      <w:rPr>
                        <w:rFonts w:ascii="宋体" w:hAnsi="宋体" w:eastAsia="宋体" w:cs="宋体"/>
                        <w:spacing w:val="4"/>
                        <w:sz w:val="18"/>
                        <w:szCs w:val="18"/>
                      </w:rPr>
                      <w:t>自上而下选择数</w:t>
                    </w:r>
                  </w:p>
                </w:txbxContent>
              </v:textbox>
            </v:shape>
            <v:shape id="_x0000_s1231" o:spid="_x0000_s1231" o:spt="202" type="#_x0000_t202" style="position:absolute;left:2719;top:2344;height:206;width:720;" filled="f" stroked="f" coordsize="21600,21600">
              <v:path/>
              <v:fill on="f" focussize="0,0"/>
              <v:stroke on="f"/>
              <v:imagedata o:title=""/>
              <o:lock v:ext="edit" aspectratio="f"/>
              <v:textbox inset="0mm,0mm,0mm,0mm">
                <w:txbxContent>
                  <w:p w14:paraId="3C59EE81">
                    <w:pPr>
                      <w:spacing w:before="19" w:line="192" w:lineRule="auto"/>
                      <w:ind w:left="20"/>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syntheses</w:t>
                    </w:r>
                  </w:p>
                </w:txbxContent>
              </v:textbox>
            </v:shape>
            <v:shape id="_x0000_s1232" o:spid="_x0000_s1232" o:spt="202" type="#_x0000_t202" style="position:absolute;left:2789;top:3710;height:170;width:530;" filled="f" stroked="f" coordsize="21600,21600">
              <v:path/>
              <v:fill on="f" focussize="0,0"/>
              <v:stroke on="f"/>
              <v:imagedata o:title=""/>
              <o:lock v:ext="edit" aspectratio="f"/>
              <v:textbox inset="0mm,0mm,0mm,0mm">
                <w:txbxContent>
                  <w:p w14:paraId="11EEC03C">
                    <w:pPr>
                      <w:spacing w:before="19" w:line="192" w:lineRule="auto"/>
                      <w:ind w:left="20"/>
                      <w:rPr>
                        <w:rFonts w:ascii="Times New Roman" w:hAnsi="Times New Roman" w:eastAsia="Times New Roman" w:cs="Times New Roman"/>
                        <w:sz w:val="18"/>
                        <w:szCs w:val="18"/>
                      </w:rPr>
                    </w:pPr>
                    <w:r>
                      <w:rPr>
                        <w:rFonts w:ascii="Times New Roman" w:hAnsi="Times New Roman" w:eastAsia="Times New Roman" w:cs="Times New Roman"/>
                        <w:spacing w:val="-2"/>
                        <w:sz w:val="18"/>
                        <w:szCs w:val="18"/>
                      </w:rPr>
                      <w:t>studies</w:t>
                    </w:r>
                  </w:p>
                </w:txbxContent>
              </v:textbox>
            </v:shape>
            <w10:wrap type="none"/>
            <w10:anchorlock/>
          </v:group>
        </w:pict>
      </w:r>
    </w:p>
    <w:p w14:paraId="094D84CB">
      <w:pPr>
        <w:pStyle w:val="2"/>
        <w:spacing w:before="163" w:line="221" w:lineRule="auto"/>
        <w:ind w:left="2902"/>
        <w:rPr>
          <w:sz w:val="18"/>
          <w:szCs w:val="18"/>
        </w:rPr>
      </w:pPr>
      <w:r>
        <w:rPr>
          <w:b/>
          <w:bCs/>
          <w:spacing w:val="4"/>
          <w:sz w:val="18"/>
          <w:szCs w:val="18"/>
        </w:rPr>
        <w:t>图18-3</w:t>
      </w:r>
      <w:r>
        <w:rPr>
          <w:spacing w:val="97"/>
          <w:sz w:val="18"/>
          <w:szCs w:val="18"/>
        </w:rPr>
        <w:t xml:space="preserve"> </w:t>
      </w:r>
      <w:r>
        <w:rPr>
          <w:b/>
          <w:bCs/>
          <w:spacing w:val="4"/>
          <w:sz w:val="18"/>
          <w:szCs w:val="18"/>
        </w:rPr>
        <w:t>证据提供模式演进的“6</w:t>
      </w:r>
      <w:r>
        <w:rPr>
          <w:rFonts w:ascii="Times New Roman" w:hAnsi="Times New Roman" w:eastAsia="Times New Roman" w:cs="Times New Roman"/>
          <w:b/>
          <w:bCs/>
          <w:spacing w:val="4"/>
          <w:sz w:val="18"/>
          <w:szCs w:val="18"/>
        </w:rPr>
        <w:t xml:space="preserve">S” </w:t>
      </w:r>
      <w:r>
        <w:rPr>
          <w:b/>
          <w:bCs/>
          <w:spacing w:val="4"/>
          <w:sz w:val="18"/>
          <w:szCs w:val="18"/>
        </w:rPr>
        <w:t>系统</w:t>
      </w:r>
    </w:p>
    <w:p w14:paraId="260C6A19">
      <w:pPr>
        <w:pStyle w:val="2"/>
        <w:spacing w:before="296" w:line="222" w:lineRule="auto"/>
        <w:ind w:left="523"/>
        <w:rPr>
          <w:sz w:val="23"/>
          <w:szCs w:val="23"/>
        </w:rPr>
      </w:pPr>
      <w:r>
        <w:rPr>
          <w:b/>
          <w:bCs/>
          <w:spacing w:val="1"/>
          <w:sz w:val="23"/>
          <w:szCs w:val="23"/>
        </w:rPr>
        <w:t>(三)严格评价证据</w:t>
      </w:r>
    </w:p>
    <w:p w14:paraId="229BF807">
      <w:pPr>
        <w:spacing w:before="164" w:line="349" w:lineRule="auto"/>
        <w:ind w:left="109" w:right="586" w:firstLine="410"/>
        <w:jc w:val="both"/>
        <w:rPr>
          <w:rFonts w:ascii="宋体" w:hAnsi="宋体" w:eastAsia="宋体" w:cs="宋体"/>
          <w:sz w:val="18"/>
          <w:szCs w:val="18"/>
        </w:rPr>
      </w:pPr>
      <w:r>
        <w:rPr>
          <w:rFonts w:ascii="宋体" w:hAnsi="宋体" w:eastAsia="宋体" w:cs="宋体"/>
          <w:spacing w:val="25"/>
          <w:sz w:val="18"/>
          <w:szCs w:val="18"/>
        </w:rPr>
        <w:t>由于研究质量参差不齐，内容多样，因此对文献的真实性和用途进行严格评价十分必要。阅读</w:t>
      </w:r>
      <w:r>
        <w:rPr>
          <w:rFonts w:ascii="宋体" w:hAnsi="宋体" w:eastAsia="宋体" w:cs="宋体"/>
          <w:spacing w:val="13"/>
          <w:sz w:val="18"/>
          <w:szCs w:val="18"/>
        </w:rPr>
        <w:t xml:space="preserve"> </w:t>
      </w:r>
      <w:r>
        <w:rPr>
          <w:rFonts w:ascii="宋体" w:hAnsi="宋体" w:eastAsia="宋体" w:cs="宋体"/>
          <w:spacing w:val="-14"/>
          <w:sz w:val="23"/>
          <w:szCs w:val="23"/>
        </w:rPr>
        <w:t>文献时应考虑下述问题：结果的效应量是多少?研究结果正确</w:t>
      </w:r>
      <w:r>
        <w:rPr>
          <w:rFonts w:ascii="宋体" w:hAnsi="宋体" w:eastAsia="宋体" w:cs="宋体"/>
          <w:spacing w:val="-15"/>
          <w:sz w:val="23"/>
          <w:szCs w:val="23"/>
        </w:rPr>
        <w:t>吗?将研究结果外推到全人群的把</w:t>
      </w:r>
      <w:r>
        <w:rPr>
          <w:rFonts w:ascii="宋体" w:hAnsi="宋体" w:eastAsia="宋体" w:cs="宋体"/>
          <w:sz w:val="23"/>
          <w:szCs w:val="23"/>
        </w:rPr>
        <w:t xml:space="preserve"> </w:t>
      </w:r>
      <w:r>
        <w:rPr>
          <w:rFonts w:ascii="宋体" w:hAnsi="宋体" w:eastAsia="宋体" w:cs="宋体"/>
          <w:spacing w:val="34"/>
          <w:sz w:val="18"/>
          <w:szCs w:val="18"/>
        </w:rPr>
        <w:t>握度有多大?干预措施的好处(有效性、安全性和可接受性)</w:t>
      </w:r>
      <w:r>
        <w:rPr>
          <w:rFonts w:ascii="宋体" w:hAnsi="宋体" w:eastAsia="宋体" w:cs="宋体"/>
          <w:spacing w:val="33"/>
          <w:sz w:val="18"/>
          <w:szCs w:val="18"/>
        </w:rPr>
        <w:t>是否大于坏处?研究结果适用于本地</w:t>
      </w:r>
      <w:r>
        <w:rPr>
          <w:rFonts w:ascii="宋体" w:hAnsi="宋体" w:eastAsia="宋体" w:cs="宋体"/>
          <w:sz w:val="18"/>
          <w:szCs w:val="18"/>
        </w:rPr>
        <w:t xml:space="preserve"> </w:t>
      </w:r>
      <w:r>
        <w:rPr>
          <w:rFonts w:ascii="宋体" w:hAnsi="宋体" w:eastAsia="宋体" w:cs="宋体"/>
          <w:spacing w:val="18"/>
          <w:sz w:val="18"/>
          <w:szCs w:val="18"/>
        </w:rPr>
        <w:t>区的人群或卫生服务吗?阅读文献的同时应对上述各项内容作出“是”“否”或“不清楚”的回答，并</w:t>
      </w:r>
    </w:p>
    <w:p w14:paraId="18DA58EE">
      <w:pPr>
        <w:spacing w:line="349" w:lineRule="auto"/>
        <w:rPr>
          <w:rFonts w:ascii="宋体" w:hAnsi="宋体" w:eastAsia="宋体" w:cs="宋体"/>
          <w:sz w:val="18"/>
          <w:szCs w:val="18"/>
        </w:rPr>
        <w:sectPr>
          <w:footerReference r:id="rId298" w:type="default"/>
          <w:pgSz w:w="11900" w:h="16820"/>
          <w:pgMar w:top="265" w:right="953" w:bottom="795" w:left="1420" w:header="0" w:footer="633" w:gutter="0"/>
          <w:cols w:space="720" w:num="1"/>
        </w:sectPr>
      </w:pPr>
    </w:p>
    <w:p w14:paraId="542BFBA4">
      <w:pPr>
        <w:pStyle w:val="2"/>
        <w:spacing w:before="286" w:line="221" w:lineRule="auto"/>
        <w:ind w:left="679"/>
        <w:rPr>
          <w:sz w:val="20"/>
          <w:szCs w:val="20"/>
        </w:rPr>
      </w:pPr>
      <w:r>
        <w:rPr>
          <w:spacing w:val="-21"/>
          <w:w w:val="97"/>
          <w:sz w:val="20"/>
          <w:szCs w:val="20"/>
        </w:rPr>
        <w:t>第十八章 循证医学与系统综述</w:t>
      </w:r>
    </w:p>
    <w:p w14:paraId="0489A685">
      <w:pPr>
        <w:spacing w:line="276" w:lineRule="auto"/>
        <w:rPr>
          <w:rFonts w:ascii="Arial"/>
          <w:sz w:val="21"/>
        </w:rPr>
      </w:pPr>
    </w:p>
    <w:p w14:paraId="060F50B3">
      <w:pPr>
        <w:spacing w:line="276" w:lineRule="auto"/>
        <w:rPr>
          <w:rFonts w:ascii="Arial"/>
          <w:sz w:val="21"/>
        </w:rPr>
      </w:pPr>
    </w:p>
    <w:p w14:paraId="073E61C3">
      <w:pPr>
        <w:spacing w:before="65" w:line="218" w:lineRule="auto"/>
        <w:ind w:left="679"/>
        <w:rPr>
          <w:rFonts w:ascii="宋体" w:hAnsi="宋体" w:eastAsia="宋体" w:cs="宋体"/>
          <w:sz w:val="20"/>
          <w:szCs w:val="20"/>
        </w:rPr>
      </w:pPr>
      <w:r>
        <w:rPr>
          <w:rFonts w:ascii="宋体" w:hAnsi="宋体" w:eastAsia="宋体" w:cs="宋体"/>
          <w:spacing w:val="1"/>
          <w:sz w:val="20"/>
          <w:szCs w:val="20"/>
        </w:rPr>
        <w:t>进行有关疗效大小的计算和卫生经济学评价，然后再综合评价这些证据的价值。</w:t>
      </w:r>
    </w:p>
    <w:p w14:paraId="7A500452">
      <w:pPr>
        <w:pStyle w:val="2"/>
        <w:spacing w:before="94" w:line="223" w:lineRule="auto"/>
        <w:ind w:left="1103"/>
        <w:rPr>
          <w:sz w:val="23"/>
          <w:szCs w:val="23"/>
        </w:rPr>
      </w:pPr>
      <w:bookmarkStart w:id="464" w:name="bookmark557"/>
      <w:bookmarkEnd w:id="464"/>
      <w:r>
        <w:rPr>
          <w:b/>
          <w:bCs/>
          <w:spacing w:val="-4"/>
          <w:sz w:val="23"/>
          <w:szCs w:val="23"/>
        </w:rPr>
        <w:t>(四)应用最佳证据</w:t>
      </w:r>
    </w:p>
    <w:p w14:paraId="1C4A893E">
      <w:pPr>
        <w:spacing w:before="119" w:line="336" w:lineRule="auto"/>
        <w:ind w:left="679" w:right="71" w:firstLine="420"/>
        <w:jc w:val="both"/>
        <w:rPr>
          <w:rFonts w:ascii="宋体" w:hAnsi="宋体" w:eastAsia="宋体" w:cs="宋体"/>
          <w:sz w:val="20"/>
          <w:szCs w:val="20"/>
        </w:rPr>
      </w:pPr>
      <w:r>
        <w:rPr>
          <w:rFonts w:ascii="宋体" w:hAnsi="宋体" w:eastAsia="宋体" w:cs="宋体"/>
          <w:spacing w:val="8"/>
          <w:sz w:val="20"/>
          <w:szCs w:val="20"/>
        </w:rPr>
        <w:t>评价证据的目的是使用证据，近年来新制定并不断更新的各种临床指南和社区预防指南</w:t>
      </w:r>
      <w:r>
        <w:rPr>
          <w:rFonts w:ascii="宋体" w:hAnsi="宋体" w:eastAsia="宋体" w:cs="宋体"/>
          <w:spacing w:val="7"/>
          <w:sz w:val="20"/>
          <w:szCs w:val="20"/>
        </w:rPr>
        <w:t>为卫</w:t>
      </w:r>
      <w:r>
        <w:rPr>
          <w:rFonts w:ascii="宋体" w:hAnsi="宋体" w:eastAsia="宋体" w:cs="宋体"/>
          <w:sz w:val="20"/>
          <w:szCs w:val="20"/>
        </w:rPr>
        <w:t xml:space="preserve"> </w:t>
      </w:r>
      <w:r>
        <w:rPr>
          <w:rFonts w:ascii="宋体" w:hAnsi="宋体" w:eastAsia="宋体" w:cs="宋体"/>
          <w:spacing w:val="8"/>
          <w:sz w:val="20"/>
          <w:szCs w:val="20"/>
        </w:rPr>
        <w:t>生保健工作者提供了有益的帮助，因此临床医师可以在自</w:t>
      </w:r>
      <w:r>
        <w:rPr>
          <w:rFonts w:ascii="宋体" w:hAnsi="宋体" w:eastAsia="宋体" w:cs="宋体"/>
          <w:spacing w:val="7"/>
          <w:sz w:val="20"/>
          <w:szCs w:val="20"/>
        </w:rPr>
        <w:t>己的临床实践中直接地利用那些真实有</w:t>
      </w:r>
      <w:r>
        <w:rPr>
          <w:rFonts w:ascii="宋体" w:hAnsi="宋体" w:eastAsia="宋体" w:cs="宋体"/>
          <w:sz w:val="20"/>
          <w:szCs w:val="20"/>
        </w:rPr>
        <w:t xml:space="preserve"> </w:t>
      </w:r>
      <w:r>
        <w:rPr>
          <w:rFonts w:ascii="宋体" w:hAnsi="宋体" w:eastAsia="宋体" w:cs="宋体"/>
          <w:spacing w:val="3"/>
          <w:sz w:val="20"/>
          <w:szCs w:val="20"/>
        </w:rPr>
        <w:t>效的证据为病人服务，更有意义的方式是将这些证据在各级查房或小组讨论</w:t>
      </w:r>
      <w:r>
        <w:rPr>
          <w:rFonts w:ascii="宋体" w:hAnsi="宋体" w:eastAsia="宋体" w:cs="宋体"/>
          <w:spacing w:val="2"/>
          <w:sz w:val="20"/>
          <w:szCs w:val="20"/>
        </w:rPr>
        <w:t>中提出，供其他医师学</w:t>
      </w:r>
      <w:r>
        <w:rPr>
          <w:rFonts w:ascii="宋体" w:hAnsi="宋体" w:eastAsia="宋体" w:cs="宋体"/>
          <w:sz w:val="20"/>
          <w:szCs w:val="20"/>
        </w:rPr>
        <w:t xml:space="preserve"> </w:t>
      </w:r>
      <w:r>
        <w:rPr>
          <w:rFonts w:ascii="宋体" w:hAnsi="宋体" w:eastAsia="宋体" w:cs="宋体"/>
          <w:spacing w:val="2"/>
          <w:sz w:val="20"/>
          <w:szCs w:val="20"/>
        </w:rPr>
        <w:t>习借鉴。卫生保健工作者也应当将评价后的最佳证据用于制定决策，进行采购和管理卫生服务，然</w:t>
      </w:r>
      <w:r>
        <w:rPr>
          <w:rFonts w:ascii="宋体" w:hAnsi="宋体" w:eastAsia="宋体" w:cs="宋体"/>
          <w:spacing w:val="12"/>
          <w:sz w:val="20"/>
          <w:szCs w:val="20"/>
        </w:rPr>
        <w:t xml:space="preserve"> </w:t>
      </w:r>
      <w:r>
        <w:rPr>
          <w:rFonts w:ascii="宋体" w:hAnsi="宋体" w:eastAsia="宋体" w:cs="宋体"/>
          <w:spacing w:val="3"/>
          <w:sz w:val="20"/>
          <w:szCs w:val="20"/>
        </w:rPr>
        <w:t>后改变资金流向和实现卫生资源的有效配置。</w:t>
      </w:r>
    </w:p>
    <w:p w14:paraId="7BAB7C73">
      <w:pPr>
        <w:pStyle w:val="2"/>
        <w:spacing w:before="1" w:line="220" w:lineRule="auto"/>
        <w:ind w:left="1103"/>
        <w:rPr>
          <w:sz w:val="23"/>
          <w:szCs w:val="23"/>
        </w:rPr>
      </w:pPr>
      <w:r>
        <w:rPr>
          <w:b/>
          <w:bCs/>
          <w:spacing w:val="-3"/>
          <w:sz w:val="23"/>
          <w:szCs w:val="23"/>
        </w:rPr>
        <w:t>(五)后效评价</w:t>
      </w:r>
    </w:p>
    <w:p w14:paraId="129862DD">
      <w:pPr>
        <w:spacing w:before="144" w:line="333" w:lineRule="auto"/>
        <w:ind w:left="679" w:firstLine="420"/>
        <w:jc w:val="both"/>
        <w:rPr>
          <w:rFonts w:ascii="宋体" w:hAnsi="宋体" w:eastAsia="宋体" w:cs="宋体"/>
          <w:sz w:val="20"/>
          <w:szCs w:val="20"/>
        </w:rPr>
      </w:pPr>
      <w:r>
        <w:rPr>
          <w:rFonts w:ascii="宋体" w:hAnsi="宋体" w:eastAsia="宋体" w:cs="宋体"/>
          <w:spacing w:val="3"/>
          <w:sz w:val="20"/>
          <w:szCs w:val="20"/>
        </w:rPr>
        <w:t>后效评价是通过对应用当前最佳证据指导解决</w:t>
      </w:r>
      <w:r>
        <w:rPr>
          <w:rFonts w:ascii="宋体" w:hAnsi="宋体" w:eastAsia="宋体" w:cs="宋体"/>
          <w:spacing w:val="2"/>
          <w:sz w:val="20"/>
          <w:szCs w:val="20"/>
        </w:rPr>
        <w:t>具体问题的效果进行评价，若成功，则可用于指</w:t>
      </w:r>
      <w:r>
        <w:rPr>
          <w:rFonts w:ascii="宋体" w:hAnsi="宋体" w:eastAsia="宋体" w:cs="宋体"/>
          <w:sz w:val="20"/>
          <w:szCs w:val="20"/>
        </w:rPr>
        <w:t xml:space="preserve">  </w:t>
      </w:r>
      <w:r>
        <w:rPr>
          <w:rFonts w:ascii="宋体" w:hAnsi="宋体" w:eastAsia="宋体" w:cs="宋体"/>
          <w:spacing w:val="-6"/>
          <w:sz w:val="20"/>
          <w:szCs w:val="20"/>
        </w:rPr>
        <w:t>导进一步实践；反之，则应分析具体原因，找出问题，再针对问题进行新的</w:t>
      </w:r>
      <w:r>
        <w:rPr>
          <w:rFonts w:ascii="宋体" w:hAnsi="宋体" w:eastAsia="宋体" w:cs="宋体"/>
          <w:spacing w:val="-7"/>
          <w:sz w:val="20"/>
          <w:szCs w:val="20"/>
        </w:rPr>
        <w:t>循证实践过程，达到提高认</w:t>
      </w:r>
      <w:r>
        <w:rPr>
          <w:rFonts w:ascii="宋体" w:hAnsi="宋体" w:eastAsia="宋体" w:cs="宋体"/>
          <w:sz w:val="20"/>
          <w:szCs w:val="20"/>
        </w:rPr>
        <w:t xml:space="preserve">  </w:t>
      </w:r>
      <w:r>
        <w:rPr>
          <w:rFonts w:ascii="宋体" w:hAnsi="宋体" w:eastAsia="宋体" w:cs="宋体"/>
          <w:spacing w:val="-2"/>
          <w:sz w:val="20"/>
          <w:szCs w:val="20"/>
        </w:rPr>
        <w:t>识、提升学术水平和医疗质量的目的。在日常循证临床实践中，后效评价是指针对临床具体病人的实</w:t>
      </w:r>
      <w:r>
        <w:rPr>
          <w:rFonts w:ascii="宋体" w:hAnsi="宋体" w:eastAsia="宋体" w:cs="宋体"/>
          <w:spacing w:val="3"/>
          <w:sz w:val="20"/>
          <w:szCs w:val="20"/>
        </w:rPr>
        <w:t xml:space="preserve">  </w:t>
      </w:r>
      <w:r>
        <w:rPr>
          <w:rFonts w:ascii="宋体" w:hAnsi="宋体" w:eastAsia="宋体" w:cs="宋体"/>
          <w:spacing w:val="-2"/>
          <w:sz w:val="20"/>
          <w:szCs w:val="20"/>
        </w:rPr>
        <w:t>际情况，提出临床问题后，通过检索收集有关文献，并在严格评价的基础上，将相关证据具体应用于</w:t>
      </w:r>
      <w:r>
        <w:rPr>
          <w:rFonts w:ascii="宋体" w:hAnsi="宋体" w:eastAsia="宋体" w:cs="宋体"/>
          <w:spacing w:val="4"/>
          <w:sz w:val="20"/>
          <w:szCs w:val="20"/>
        </w:rPr>
        <w:t xml:space="preserve">  </w:t>
      </w:r>
      <w:r>
        <w:rPr>
          <w:rFonts w:ascii="宋体" w:hAnsi="宋体" w:eastAsia="宋体" w:cs="宋体"/>
          <w:spacing w:val="-2"/>
          <w:sz w:val="20"/>
          <w:szCs w:val="20"/>
        </w:rPr>
        <w:t>病人后，评价解决病人的具体临床问题后的结果。后效评价的方式有自我评价和同行评价，前者是指</w:t>
      </w:r>
      <w:r>
        <w:rPr>
          <w:rFonts w:ascii="宋体" w:hAnsi="宋体" w:eastAsia="宋体" w:cs="宋体"/>
          <w:spacing w:val="5"/>
          <w:sz w:val="20"/>
          <w:szCs w:val="20"/>
        </w:rPr>
        <w:t xml:space="preserve">  </w:t>
      </w:r>
      <w:r>
        <w:rPr>
          <w:rFonts w:ascii="宋体" w:hAnsi="宋体" w:eastAsia="宋体" w:cs="宋体"/>
          <w:spacing w:val="3"/>
          <w:sz w:val="20"/>
          <w:szCs w:val="20"/>
        </w:rPr>
        <w:t>临床医师或其他卫生工作者对循证临床实践的结果进行评价，后者是指</w:t>
      </w:r>
      <w:r>
        <w:rPr>
          <w:rFonts w:ascii="宋体" w:hAnsi="宋体" w:eastAsia="宋体" w:cs="宋体"/>
          <w:spacing w:val="2"/>
          <w:sz w:val="20"/>
          <w:szCs w:val="20"/>
        </w:rPr>
        <w:t>专家根据统一的评价标准对</w:t>
      </w:r>
      <w:r>
        <w:rPr>
          <w:rFonts w:ascii="宋体" w:hAnsi="宋体" w:eastAsia="宋体" w:cs="宋体"/>
          <w:sz w:val="20"/>
          <w:szCs w:val="20"/>
        </w:rPr>
        <w:t xml:space="preserve">  </w:t>
      </w:r>
      <w:r>
        <w:rPr>
          <w:rFonts w:ascii="宋体" w:hAnsi="宋体" w:eastAsia="宋体" w:cs="宋体"/>
          <w:spacing w:val="5"/>
          <w:sz w:val="20"/>
          <w:szCs w:val="20"/>
        </w:rPr>
        <w:t>病人群体的后效评价。后效评价最简单的方法是评估在一位病人或一系列病例中证据</w:t>
      </w:r>
      <w:r>
        <w:rPr>
          <w:rFonts w:ascii="宋体" w:hAnsi="宋体" w:eastAsia="宋体" w:cs="宋体"/>
          <w:spacing w:val="4"/>
          <w:sz w:val="20"/>
          <w:szCs w:val="20"/>
        </w:rPr>
        <w:t>应用的结果。</w:t>
      </w:r>
    </w:p>
    <w:p w14:paraId="3FE7DDFC">
      <w:pPr>
        <w:spacing w:before="56" w:line="333" w:lineRule="auto"/>
        <w:ind w:left="679" w:right="71" w:firstLine="420"/>
        <w:jc w:val="both"/>
        <w:rPr>
          <w:rFonts w:ascii="宋体" w:hAnsi="宋体" w:eastAsia="宋体" w:cs="宋体"/>
          <w:sz w:val="20"/>
          <w:szCs w:val="20"/>
        </w:rPr>
      </w:pPr>
      <w:r>
        <w:rPr>
          <w:rFonts w:ascii="宋体" w:hAnsi="宋体" w:eastAsia="宋体" w:cs="宋体"/>
          <w:spacing w:val="3"/>
          <w:sz w:val="20"/>
          <w:szCs w:val="20"/>
        </w:rPr>
        <w:t>需要说明的是，循证公共卫生的具体实施步骤与循证临床实践的步骤有一定的区</w:t>
      </w:r>
      <w:r>
        <w:rPr>
          <w:rFonts w:ascii="宋体" w:hAnsi="宋体" w:eastAsia="宋体" w:cs="宋体"/>
          <w:spacing w:val="2"/>
          <w:sz w:val="20"/>
          <w:szCs w:val="20"/>
        </w:rPr>
        <w:t>别，循证公共</w:t>
      </w:r>
      <w:r>
        <w:rPr>
          <w:rFonts w:ascii="宋体" w:hAnsi="宋体" w:eastAsia="宋体" w:cs="宋体"/>
          <w:sz w:val="20"/>
          <w:szCs w:val="20"/>
        </w:rPr>
        <w:t xml:space="preserve"> </w:t>
      </w:r>
      <w:r>
        <w:rPr>
          <w:rFonts w:ascii="宋体" w:hAnsi="宋体" w:eastAsia="宋体" w:cs="宋体"/>
          <w:spacing w:val="3"/>
          <w:sz w:val="20"/>
          <w:szCs w:val="20"/>
        </w:rPr>
        <w:t>卫生实践的实施主要包括以下五个步骤：①明确公共卫生问题和需求</w:t>
      </w:r>
      <w:r>
        <w:rPr>
          <w:rFonts w:ascii="宋体" w:hAnsi="宋体" w:eastAsia="宋体" w:cs="宋体"/>
          <w:spacing w:val="2"/>
          <w:sz w:val="20"/>
          <w:szCs w:val="20"/>
        </w:rPr>
        <w:t>；②系统地检索相关文献，收</w:t>
      </w:r>
      <w:r>
        <w:rPr>
          <w:rFonts w:ascii="宋体" w:hAnsi="宋体" w:eastAsia="宋体" w:cs="宋体"/>
          <w:sz w:val="20"/>
          <w:szCs w:val="20"/>
        </w:rPr>
        <w:t xml:space="preserve"> </w:t>
      </w:r>
      <w:r>
        <w:rPr>
          <w:rFonts w:ascii="宋体" w:hAnsi="宋体" w:eastAsia="宋体" w:cs="宋体"/>
          <w:spacing w:val="-1"/>
          <w:sz w:val="20"/>
          <w:szCs w:val="20"/>
        </w:rPr>
        <w:t>集证据；③评估证据的质量、一致性和适用性；④制定相</w:t>
      </w:r>
      <w:r>
        <w:rPr>
          <w:rFonts w:ascii="宋体" w:hAnsi="宋体" w:eastAsia="宋体" w:cs="宋体"/>
          <w:spacing w:val="-2"/>
          <w:sz w:val="20"/>
          <w:szCs w:val="20"/>
        </w:rPr>
        <w:t>关方案、行动方案或政策；⑤实施决策，并</w:t>
      </w:r>
      <w:r>
        <w:rPr>
          <w:rFonts w:ascii="宋体" w:hAnsi="宋体" w:eastAsia="宋体" w:cs="宋体"/>
          <w:sz w:val="20"/>
          <w:szCs w:val="20"/>
        </w:rPr>
        <w:t xml:space="preserve"> </w:t>
      </w:r>
      <w:r>
        <w:rPr>
          <w:rFonts w:ascii="宋体" w:hAnsi="宋体" w:eastAsia="宋体" w:cs="宋体"/>
          <w:spacing w:val="3"/>
          <w:sz w:val="20"/>
          <w:szCs w:val="20"/>
        </w:rPr>
        <w:t>监测和评价其效果。</w:t>
      </w:r>
    </w:p>
    <w:p w14:paraId="47365333">
      <w:pPr>
        <w:spacing w:line="386" w:lineRule="auto"/>
        <w:rPr>
          <w:rFonts w:ascii="Arial"/>
          <w:sz w:val="21"/>
        </w:rPr>
      </w:pPr>
    </w:p>
    <w:p w14:paraId="52DAF597">
      <w:pPr>
        <w:pStyle w:val="2"/>
        <w:spacing w:before="98" w:line="221" w:lineRule="auto"/>
        <w:ind w:left="3874"/>
        <w:outlineLvl w:val="1"/>
      </w:pPr>
      <w:bookmarkStart w:id="465" w:name="bookmark294"/>
      <w:bookmarkEnd w:id="465"/>
      <w:r>
        <w:rPr>
          <w:b/>
          <w:bCs/>
          <w:spacing w:val="-7"/>
        </w:rPr>
        <w:t>第二节</w:t>
      </w:r>
      <w:r>
        <w:rPr>
          <w:spacing w:val="112"/>
        </w:rPr>
        <w:t xml:space="preserve"> </w:t>
      </w:r>
      <w:r>
        <w:rPr>
          <w:b/>
          <w:bCs/>
          <w:spacing w:val="-7"/>
        </w:rPr>
        <w:t>系统综述</w:t>
      </w:r>
    </w:p>
    <w:p w14:paraId="44416A41">
      <w:pPr>
        <w:spacing w:line="392" w:lineRule="auto"/>
        <w:rPr>
          <w:rFonts w:ascii="Arial"/>
          <w:sz w:val="21"/>
        </w:rPr>
      </w:pPr>
    </w:p>
    <w:p w14:paraId="74213C42">
      <w:pPr>
        <w:pStyle w:val="2"/>
        <w:spacing w:before="76" w:line="221" w:lineRule="auto"/>
        <w:ind w:left="1103"/>
        <w:outlineLvl w:val="4"/>
        <w:rPr>
          <w:sz w:val="23"/>
          <w:szCs w:val="23"/>
        </w:rPr>
      </w:pPr>
      <w:bookmarkStart w:id="466" w:name="bookmark295"/>
      <w:bookmarkEnd w:id="466"/>
      <w:r>
        <w:rPr>
          <w:b/>
          <w:bCs/>
          <w:sz w:val="23"/>
          <w:szCs w:val="23"/>
        </w:rPr>
        <w:t>一</w:t>
      </w:r>
      <w:r>
        <w:rPr>
          <w:spacing w:val="-19"/>
          <w:sz w:val="23"/>
          <w:szCs w:val="23"/>
        </w:rPr>
        <w:t xml:space="preserve"> </w:t>
      </w:r>
      <w:r>
        <w:rPr>
          <w:b/>
          <w:bCs/>
          <w:sz w:val="23"/>
          <w:szCs w:val="23"/>
        </w:rPr>
        <w:t>、基本概念</w:t>
      </w:r>
    </w:p>
    <w:p w14:paraId="7168CA09">
      <w:pPr>
        <w:spacing w:before="298" w:line="333" w:lineRule="auto"/>
        <w:ind w:left="679" w:right="69" w:firstLine="420"/>
        <w:jc w:val="both"/>
        <w:rPr>
          <w:rFonts w:ascii="宋体" w:hAnsi="宋体" w:eastAsia="宋体" w:cs="宋体"/>
          <w:sz w:val="20"/>
          <w:szCs w:val="20"/>
        </w:rPr>
      </w:pPr>
      <w:r>
        <w:rPr>
          <w:rFonts w:ascii="宋体" w:hAnsi="宋体" w:eastAsia="宋体" w:cs="宋体"/>
          <w:spacing w:val="3"/>
          <w:sz w:val="20"/>
          <w:szCs w:val="20"/>
        </w:rPr>
        <w:t>系统综述，也可称为系统评价，是应用一定的标</w:t>
      </w:r>
      <w:r>
        <w:rPr>
          <w:rFonts w:ascii="宋体" w:hAnsi="宋体" w:eastAsia="宋体" w:cs="宋体"/>
          <w:spacing w:val="2"/>
          <w:sz w:val="20"/>
          <w:szCs w:val="20"/>
        </w:rPr>
        <w:t>准化方法，针对某一特定问题的相关研究报告</w:t>
      </w:r>
      <w:r>
        <w:rPr>
          <w:rFonts w:ascii="宋体" w:hAnsi="宋体" w:eastAsia="宋体" w:cs="宋体"/>
          <w:sz w:val="20"/>
          <w:szCs w:val="20"/>
        </w:rPr>
        <w:t xml:space="preserve"> </w:t>
      </w:r>
      <w:r>
        <w:rPr>
          <w:rFonts w:ascii="宋体" w:hAnsi="宋体" w:eastAsia="宋体" w:cs="宋体"/>
          <w:spacing w:val="-2"/>
          <w:sz w:val="20"/>
          <w:szCs w:val="20"/>
        </w:rPr>
        <w:t>进行全面、系统的收集，并对它们进行鉴定、选择和严格评价，从符合纳人标准的研究报告中提取相</w:t>
      </w:r>
      <w:r>
        <w:rPr>
          <w:rFonts w:ascii="宋体" w:hAnsi="宋体" w:eastAsia="宋体" w:cs="宋体"/>
          <w:spacing w:val="13"/>
          <w:sz w:val="20"/>
          <w:szCs w:val="20"/>
        </w:rPr>
        <w:t xml:space="preserve"> </w:t>
      </w:r>
      <w:r>
        <w:rPr>
          <w:rFonts w:ascii="宋体" w:hAnsi="宋体" w:eastAsia="宋体" w:cs="宋体"/>
          <w:spacing w:val="-1"/>
          <w:sz w:val="20"/>
          <w:szCs w:val="20"/>
        </w:rPr>
        <w:t>关资料，做整合性分析，最终得出综合性结论的二次研究。可</w:t>
      </w:r>
      <w:r>
        <w:rPr>
          <w:rFonts w:ascii="宋体" w:hAnsi="宋体" w:eastAsia="宋体" w:cs="宋体"/>
          <w:spacing w:val="-2"/>
          <w:sz w:val="20"/>
          <w:szCs w:val="20"/>
        </w:rPr>
        <w:t>见，减少偏倚、确保研究结果真实性是</w:t>
      </w:r>
      <w:r>
        <w:rPr>
          <w:rFonts w:ascii="宋体" w:hAnsi="宋体" w:eastAsia="宋体" w:cs="宋体"/>
          <w:sz w:val="20"/>
          <w:szCs w:val="20"/>
        </w:rPr>
        <w:t xml:space="preserve"> </w:t>
      </w:r>
      <w:r>
        <w:rPr>
          <w:rFonts w:ascii="宋体" w:hAnsi="宋体" w:eastAsia="宋体" w:cs="宋体"/>
          <w:spacing w:val="8"/>
          <w:sz w:val="20"/>
          <w:szCs w:val="20"/>
        </w:rPr>
        <w:t>系统综述的核心。系统综述可以只包括一种类型的研究，</w:t>
      </w:r>
      <w:r>
        <w:rPr>
          <w:rFonts w:ascii="宋体" w:hAnsi="宋体" w:eastAsia="宋体" w:cs="宋体"/>
          <w:spacing w:val="7"/>
          <w:sz w:val="20"/>
          <w:szCs w:val="20"/>
        </w:rPr>
        <w:t>也可包括不同类型的研究。当纳入的是</w:t>
      </w:r>
      <w:r>
        <w:rPr>
          <w:rFonts w:ascii="宋体" w:hAnsi="宋体" w:eastAsia="宋体" w:cs="宋体"/>
          <w:sz w:val="20"/>
          <w:szCs w:val="20"/>
        </w:rPr>
        <w:t xml:space="preserve"> </w:t>
      </w:r>
      <w:r>
        <w:rPr>
          <w:rFonts w:ascii="宋体" w:hAnsi="宋体" w:eastAsia="宋体" w:cs="宋体"/>
          <w:spacing w:val="5"/>
          <w:sz w:val="20"/>
          <w:szCs w:val="20"/>
        </w:rPr>
        <w:t>一种类型的研究时，如果数据满足</w:t>
      </w:r>
      <w:r>
        <w:rPr>
          <w:rFonts w:ascii="Times New Roman" w:hAnsi="Times New Roman" w:eastAsia="Times New Roman" w:cs="Times New Roman"/>
          <w:sz w:val="20"/>
          <w:szCs w:val="20"/>
        </w:rPr>
        <w:t>Meta</w:t>
      </w:r>
      <w:r>
        <w:rPr>
          <w:rFonts w:ascii="Times New Roman" w:hAnsi="Times New Roman" w:eastAsia="Times New Roman" w:cs="Times New Roman"/>
          <w:spacing w:val="5"/>
          <w:sz w:val="20"/>
          <w:szCs w:val="20"/>
        </w:rPr>
        <w:t xml:space="preserve"> </w:t>
      </w:r>
      <w:r>
        <w:rPr>
          <w:rFonts w:ascii="宋体" w:hAnsi="宋体" w:eastAsia="宋体" w:cs="宋体"/>
          <w:spacing w:val="5"/>
          <w:sz w:val="20"/>
          <w:szCs w:val="20"/>
        </w:rPr>
        <w:t>分析条件，可采用</w:t>
      </w:r>
      <w:r>
        <w:rPr>
          <w:rFonts w:ascii="Times New Roman" w:hAnsi="Times New Roman" w:eastAsia="Times New Roman" w:cs="Times New Roman"/>
          <w:sz w:val="20"/>
          <w:szCs w:val="20"/>
        </w:rPr>
        <w:t>Meta</w:t>
      </w:r>
      <w:r>
        <w:rPr>
          <w:rFonts w:ascii="Times New Roman" w:hAnsi="Times New Roman" w:eastAsia="Times New Roman" w:cs="Times New Roman"/>
          <w:spacing w:val="5"/>
          <w:sz w:val="20"/>
          <w:szCs w:val="20"/>
        </w:rPr>
        <w:t xml:space="preserve"> </w:t>
      </w:r>
      <w:r>
        <w:rPr>
          <w:rFonts w:ascii="宋体" w:hAnsi="宋体" w:eastAsia="宋体" w:cs="宋体"/>
          <w:spacing w:val="5"/>
          <w:sz w:val="20"/>
          <w:szCs w:val="20"/>
        </w:rPr>
        <w:t>分析进行定量综合；如纳人研究的</w:t>
      </w:r>
      <w:r>
        <w:rPr>
          <w:rFonts w:ascii="宋体" w:hAnsi="宋体" w:eastAsia="宋体" w:cs="宋体"/>
          <w:spacing w:val="2"/>
          <w:sz w:val="20"/>
          <w:szCs w:val="20"/>
        </w:rPr>
        <w:t xml:space="preserve"> </w:t>
      </w:r>
      <w:r>
        <w:rPr>
          <w:rFonts w:ascii="宋体" w:hAnsi="宋体" w:eastAsia="宋体" w:cs="宋体"/>
          <w:spacing w:val="3"/>
          <w:sz w:val="20"/>
          <w:szCs w:val="20"/>
        </w:rPr>
        <w:t>数据不能进行</w:t>
      </w:r>
      <w:r>
        <w:rPr>
          <w:rFonts w:ascii="Times New Roman" w:hAnsi="Times New Roman" w:eastAsia="Times New Roman" w:cs="Times New Roman"/>
          <w:sz w:val="20"/>
          <w:szCs w:val="20"/>
        </w:rPr>
        <w:t>Meta</w:t>
      </w:r>
      <w:r>
        <w:rPr>
          <w:rFonts w:ascii="宋体" w:hAnsi="宋体" w:eastAsia="宋体" w:cs="宋体"/>
          <w:spacing w:val="3"/>
          <w:sz w:val="20"/>
          <w:szCs w:val="20"/>
        </w:rPr>
        <w:t>分析，可对资料进行定性综合。</w:t>
      </w:r>
    </w:p>
    <w:p w14:paraId="14DA03D7">
      <w:pPr>
        <w:spacing w:before="44" w:line="322" w:lineRule="auto"/>
        <w:ind w:left="679" w:right="92" w:firstLine="420"/>
        <w:rPr>
          <w:rFonts w:ascii="宋体" w:hAnsi="宋体" w:eastAsia="宋体" w:cs="宋体"/>
          <w:sz w:val="20"/>
          <w:szCs w:val="20"/>
        </w:rPr>
      </w:pPr>
      <w:r>
        <w:rPr>
          <w:rFonts w:ascii="宋体" w:hAnsi="宋体" w:eastAsia="宋体" w:cs="宋体"/>
          <w:spacing w:val="2"/>
          <w:sz w:val="20"/>
          <w:szCs w:val="20"/>
        </w:rPr>
        <w:t>系统综述概念的提出是针对传统综述而言的，二者存在较大的区别，前者是对研究文献的二次</w:t>
      </w:r>
      <w:r>
        <w:rPr>
          <w:rFonts w:ascii="宋体" w:hAnsi="宋体" w:eastAsia="宋体" w:cs="宋体"/>
          <w:spacing w:val="14"/>
          <w:sz w:val="20"/>
          <w:szCs w:val="20"/>
        </w:rPr>
        <w:t xml:space="preserve"> </w:t>
      </w:r>
      <w:r>
        <w:rPr>
          <w:rFonts w:ascii="宋体" w:hAnsi="宋体" w:eastAsia="宋体" w:cs="宋体"/>
          <w:spacing w:val="4"/>
          <w:sz w:val="20"/>
          <w:szCs w:val="20"/>
        </w:rPr>
        <w:t>综合分析(常进行定量综合),后者是对研究文献</w:t>
      </w:r>
      <w:r>
        <w:rPr>
          <w:rFonts w:ascii="宋体" w:hAnsi="宋体" w:eastAsia="宋体" w:cs="宋体"/>
          <w:spacing w:val="3"/>
          <w:sz w:val="20"/>
          <w:szCs w:val="20"/>
        </w:rPr>
        <w:t>的叙述性概括，详细区别见表18-1。</w:t>
      </w:r>
    </w:p>
    <w:p w14:paraId="6FC2EA55">
      <w:pPr>
        <w:spacing w:before="26" w:line="332" w:lineRule="auto"/>
        <w:ind w:left="679" w:right="20" w:firstLine="420"/>
        <w:jc w:val="both"/>
        <w:rPr>
          <w:rFonts w:ascii="宋体" w:hAnsi="宋体" w:eastAsia="宋体" w:cs="宋体"/>
          <w:sz w:val="20"/>
          <w:szCs w:val="20"/>
        </w:rPr>
      </w:pPr>
      <w:r>
        <w:rPr>
          <w:rFonts w:ascii="宋体" w:hAnsi="宋体" w:eastAsia="宋体" w:cs="宋体"/>
          <w:spacing w:val="8"/>
          <w:sz w:val="20"/>
          <w:szCs w:val="20"/>
        </w:rPr>
        <w:t>进行系统综述的目的是证据的整合，并为循证医学实践提</w:t>
      </w:r>
      <w:r>
        <w:rPr>
          <w:rFonts w:ascii="宋体" w:hAnsi="宋体" w:eastAsia="宋体" w:cs="宋体"/>
          <w:spacing w:val="7"/>
          <w:sz w:val="20"/>
          <w:szCs w:val="20"/>
        </w:rPr>
        <w:t>供高质量的证据。随着系统综述和</w:t>
      </w:r>
      <w:r>
        <w:rPr>
          <w:rFonts w:ascii="宋体" w:hAnsi="宋体" w:eastAsia="宋体" w:cs="宋体"/>
          <w:sz w:val="20"/>
          <w:szCs w:val="20"/>
        </w:rPr>
        <w:t xml:space="preserve"> </w:t>
      </w:r>
      <w:r>
        <w:rPr>
          <w:rFonts w:ascii="Times New Roman" w:hAnsi="Times New Roman" w:eastAsia="Times New Roman" w:cs="Times New Roman"/>
          <w:sz w:val="20"/>
          <w:szCs w:val="20"/>
        </w:rPr>
        <w:t>Meta</w:t>
      </w:r>
      <w:r>
        <w:rPr>
          <w:rFonts w:ascii="宋体" w:hAnsi="宋体" w:eastAsia="宋体" w:cs="宋体"/>
          <w:spacing w:val="6"/>
          <w:sz w:val="20"/>
          <w:szCs w:val="20"/>
        </w:rPr>
        <w:t>分析数量的快速增长，其研究质量参差不齐，只有高质量的系统综述和</w:t>
      </w:r>
      <w:r>
        <w:rPr>
          <w:rFonts w:ascii="Times New Roman" w:hAnsi="Times New Roman" w:eastAsia="Times New Roman" w:cs="Times New Roman"/>
          <w:sz w:val="20"/>
          <w:szCs w:val="20"/>
        </w:rPr>
        <w:t>Meta</w:t>
      </w:r>
      <w:r>
        <w:rPr>
          <w:rFonts w:ascii="Times New Roman" w:hAnsi="Times New Roman" w:eastAsia="Times New Roman" w:cs="Times New Roman"/>
          <w:spacing w:val="6"/>
          <w:sz w:val="20"/>
          <w:szCs w:val="20"/>
        </w:rPr>
        <w:t xml:space="preserve"> </w:t>
      </w:r>
      <w:r>
        <w:rPr>
          <w:rFonts w:ascii="宋体" w:hAnsi="宋体" w:eastAsia="宋体" w:cs="宋体"/>
          <w:spacing w:val="6"/>
          <w:sz w:val="20"/>
          <w:szCs w:val="20"/>
        </w:rPr>
        <w:t>分析才能为临床</w:t>
      </w:r>
      <w:r>
        <w:rPr>
          <w:rFonts w:ascii="宋体" w:hAnsi="宋体" w:eastAsia="宋体" w:cs="宋体"/>
          <w:spacing w:val="12"/>
          <w:sz w:val="20"/>
          <w:szCs w:val="20"/>
        </w:rPr>
        <w:t xml:space="preserve"> </w:t>
      </w:r>
      <w:r>
        <w:rPr>
          <w:rFonts w:ascii="宋体" w:hAnsi="宋体" w:eastAsia="宋体" w:cs="宋体"/>
          <w:spacing w:val="1"/>
          <w:sz w:val="20"/>
          <w:szCs w:val="20"/>
        </w:rPr>
        <w:t>医师、病人和其他决策者提供更为科学可靠的依据。</w:t>
      </w:r>
      <w:r>
        <w:rPr>
          <w:rFonts w:ascii="宋体" w:hAnsi="宋体" w:eastAsia="宋体" w:cs="宋体"/>
          <w:spacing w:val="-24"/>
          <w:sz w:val="20"/>
          <w:szCs w:val="20"/>
        </w:rPr>
        <w:t xml:space="preserve"> </w:t>
      </w:r>
      <w:r>
        <w:rPr>
          <w:rFonts w:ascii="宋体" w:hAnsi="宋体" w:eastAsia="宋体" w:cs="宋体"/>
          <w:spacing w:val="1"/>
          <w:sz w:val="20"/>
          <w:szCs w:val="20"/>
        </w:rPr>
        <w:t>一个高质量的系统综述应具备以下特征：①有</w:t>
      </w:r>
      <w:r>
        <w:rPr>
          <w:rFonts w:ascii="宋体" w:hAnsi="宋体" w:eastAsia="宋体" w:cs="宋体"/>
          <w:sz w:val="20"/>
          <w:szCs w:val="20"/>
        </w:rPr>
        <w:t xml:space="preserve"> </w:t>
      </w:r>
      <w:r>
        <w:rPr>
          <w:rFonts w:ascii="宋体" w:hAnsi="宋体" w:eastAsia="宋体" w:cs="宋体"/>
          <w:spacing w:val="4"/>
          <w:sz w:val="20"/>
          <w:szCs w:val="20"/>
        </w:rPr>
        <w:t>清晰的题目和明确的目的；②采用综合、全面的检索策略检索文献；③研究入选和排除标准明确；</w:t>
      </w:r>
      <w:r>
        <w:rPr>
          <w:rFonts w:ascii="宋体" w:hAnsi="宋体" w:eastAsia="宋体" w:cs="宋体"/>
          <w:spacing w:val="16"/>
          <w:sz w:val="20"/>
          <w:szCs w:val="20"/>
        </w:rPr>
        <w:t xml:space="preserve"> </w:t>
      </w:r>
      <w:r>
        <w:rPr>
          <w:rFonts w:ascii="宋体" w:hAnsi="宋体" w:eastAsia="宋体" w:cs="宋体"/>
          <w:spacing w:val="8"/>
          <w:sz w:val="20"/>
          <w:szCs w:val="20"/>
        </w:rPr>
        <w:t>④列出了所有入选研究；⑤清楚地表达每个人选研</w:t>
      </w:r>
      <w:r>
        <w:rPr>
          <w:rFonts w:ascii="宋体" w:hAnsi="宋体" w:eastAsia="宋体" w:cs="宋体"/>
          <w:spacing w:val="7"/>
          <w:sz w:val="20"/>
          <w:szCs w:val="20"/>
        </w:rPr>
        <w:t>究的特点，并对这些研究方法学的质量进行评</w:t>
      </w:r>
      <w:r>
        <w:rPr>
          <w:rFonts w:ascii="宋体" w:hAnsi="宋体" w:eastAsia="宋体" w:cs="宋体"/>
          <w:sz w:val="20"/>
          <w:szCs w:val="20"/>
        </w:rPr>
        <w:t xml:space="preserve"> </w:t>
      </w:r>
      <w:r>
        <w:rPr>
          <w:rFonts w:ascii="宋体" w:hAnsi="宋体" w:eastAsia="宋体" w:cs="宋体"/>
          <w:spacing w:val="2"/>
          <w:sz w:val="20"/>
          <w:szCs w:val="20"/>
        </w:rPr>
        <w:t>价；⑥阐明所有排除研究的原因；⑦如可能，使用</w:t>
      </w:r>
      <w:r>
        <w:rPr>
          <w:rFonts w:ascii="宋体" w:hAnsi="宋体" w:eastAsia="宋体" w:cs="宋体"/>
          <w:sz w:val="20"/>
          <w:szCs w:val="20"/>
        </w:rPr>
        <w:t>Meta</w:t>
      </w:r>
      <w:r>
        <w:rPr>
          <w:rFonts w:ascii="宋体" w:hAnsi="宋体" w:eastAsia="宋体" w:cs="宋体"/>
          <w:spacing w:val="-39"/>
          <w:sz w:val="20"/>
          <w:szCs w:val="20"/>
        </w:rPr>
        <w:t xml:space="preserve"> </w:t>
      </w:r>
      <w:r>
        <w:rPr>
          <w:rFonts w:ascii="宋体" w:hAnsi="宋体" w:eastAsia="宋体" w:cs="宋体"/>
          <w:spacing w:val="2"/>
          <w:sz w:val="20"/>
          <w:szCs w:val="20"/>
        </w:rPr>
        <w:t>分析合并合格研究的结果；⑧</w:t>
      </w:r>
      <w:r>
        <w:rPr>
          <w:rFonts w:ascii="宋体" w:hAnsi="宋体" w:eastAsia="宋体" w:cs="宋体"/>
          <w:spacing w:val="1"/>
          <w:sz w:val="20"/>
          <w:szCs w:val="20"/>
        </w:rPr>
        <w:t>如可能，对合</w:t>
      </w:r>
      <w:r>
        <w:rPr>
          <w:rFonts w:ascii="宋体" w:hAnsi="宋体" w:eastAsia="宋体" w:cs="宋体"/>
          <w:sz w:val="20"/>
          <w:szCs w:val="20"/>
        </w:rPr>
        <w:t xml:space="preserve"> </w:t>
      </w:r>
      <w:r>
        <w:rPr>
          <w:rFonts w:ascii="宋体" w:hAnsi="宋体" w:eastAsia="宋体" w:cs="宋体"/>
          <w:spacing w:val="2"/>
          <w:sz w:val="20"/>
          <w:szCs w:val="20"/>
        </w:rPr>
        <w:t>成的结果进行敏感性分析和亚组分析；⑨采用统一的格式报告研究结果。</w:t>
      </w:r>
    </w:p>
    <w:p w14:paraId="7AFE1CE0">
      <w:pPr>
        <w:spacing w:line="332" w:lineRule="auto"/>
        <w:rPr>
          <w:rFonts w:ascii="宋体" w:hAnsi="宋体" w:eastAsia="宋体" w:cs="宋体"/>
          <w:sz w:val="20"/>
          <w:szCs w:val="20"/>
        </w:rPr>
        <w:sectPr>
          <w:footerReference r:id="rId299" w:type="default"/>
          <w:pgSz w:w="11900" w:h="16820"/>
          <w:pgMar w:top="400" w:right="1539" w:bottom="829" w:left="870" w:header="0" w:footer="649" w:gutter="0"/>
          <w:cols w:space="720" w:num="1"/>
        </w:sectPr>
      </w:pPr>
    </w:p>
    <w:p w14:paraId="681C9A90">
      <w:pPr>
        <w:pStyle w:val="2"/>
        <w:spacing w:before="186" w:line="221" w:lineRule="auto"/>
        <w:ind w:left="6329"/>
        <w:rPr>
          <w:sz w:val="20"/>
          <w:szCs w:val="20"/>
        </w:rPr>
      </w:pPr>
      <w:bookmarkStart w:id="467" w:name="bookmark558"/>
      <w:bookmarkEnd w:id="467"/>
      <w:r>
        <w:rPr>
          <w:spacing w:val="-16"/>
          <w:w w:val="95"/>
          <w:sz w:val="20"/>
          <w:szCs w:val="20"/>
        </w:rPr>
        <w:t>第十八章循证医学与系统综述</w:t>
      </w:r>
    </w:p>
    <w:p w14:paraId="4D821568">
      <w:pPr>
        <w:spacing w:line="282" w:lineRule="auto"/>
        <w:rPr>
          <w:rFonts w:ascii="Arial"/>
          <w:sz w:val="21"/>
        </w:rPr>
      </w:pPr>
    </w:p>
    <w:p w14:paraId="2A9FF120">
      <w:pPr>
        <w:spacing w:line="283" w:lineRule="auto"/>
        <w:rPr>
          <w:rFonts w:ascii="Arial"/>
          <w:sz w:val="21"/>
        </w:rPr>
      </w:pPr>
    </w:p>
    <w:p w14:paraId="55165531">
      <w:pPr>
        <w:spacing w:before="62" w:line="219" w:lineRule="auto"/>
        <w:ind w:left="2879"/>
        <w:rPr>
          <w:rFonts w:ascii="宋体" w:hAnsi="宋体" w:eastAsia="宋体" w:cs="宋体"/>
          <w:sz w:val="19"/>
          <w:szCs w:val="19"/>
        </w:rPr>
      </w:pPr>
      <w:r>
        <w:rPr>
          <w:rFonts w:ascii="宋体" w:hAnsi="宋体" w:eastAsia="宋体" w:cs="宋体"/>
          <w:spacing w:val="-1"/>
          <w:sz w:val="19"/>
          <w:szCs w:val="19"/>
        </w:rPr>
        <w:t>表18-1系统综述与传统综述的比较</w:t>
      </w:r>
    </w:p>
    <w:p w14:paraId="673E1691">
      <w:pPr>
        <w:spacing w:line="33" w:lineRule="exact"/>
      </w:pPr>
    </w:p>
    <w:tbl>
      <w:tblPr>
        <w:tblStyle w:val="5"/>
        <w:tblW w:w="8392" w:type="dxa"/>
        <w:tblInd w:w="119"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0" w:type="dxa"/>
          <w:left w:w="0" w:type="dxa"/>
          <w:bottom w:w="0" w:type="dxa"/>
          <w:right w:w="0" w:type="dxa"/>
        </w:tblCellMar>
      </w:tblPr>
      <w:tblGrid>
        <w:gridCol w:w="1740"/>
        <w:gridCol w:w="3060"/>
        <w:gridCol w:w="3592"/>
      </w:tblGrid>
      <w:tr w14:paraId="02320716">
        <w:trPr>
          <w:trHeight w:val="403" w:hRule="atLeast"/>
        </w:trPr>
        <w:tc>
          <w:tcPr>
            <w:tcW w:w="1740" w:type="dxa"/>
            <w:tcBorders>
              <w:top w:val="single" w:color="000000" w:sz="4" w:space="0"/>
              <w:bottom w:val="single" w:color="000000" w:sz="4" w:space="0"/>
            </w:tcBorders>
            <w:shd w:val="clear" w:color="auto" w:fill="C7D3D3"/>
            <w:vAlign w:val="top"/>
          </w:tcPr>
          <w:p w14:paraId="6AD7232B">
            <w:pPr>
              <w:pStyle w:val="6"/>
              <w:spacing w:before="115" w:line="221" w:lineRule="auto"/>
              <w:ind w:left="159"/>
              <w:rPr>
                <w:sz w:val="19"/>
                <w:szCs w:val="19"/>
              </w:rPr>
            </w:pPr>
            <w:r>
              <w:rPr>
                <w:spacing w:val="4"/>
                <w:sz w:val="19"/>
                <w:szCs w:val="19"/>
              </w:rPr>
              <w:t>比较要点</w:t>
            </w:r>
          </w:p>
        </w:tc>
        <w:tc>
          <w:tcPr>
            <w:tcW w:w="3060" w:type="dxa"/>
            <w:tcBorders>
              <w:top w:val="single" w:color="000000" w:sz="4" w:space="0"/>
              <w:bottom w:val="single" w:color="000000" w:sz="4" w:space="0"/>
            </w:tcBorders>
            <w:shd w:val="clear" w:color="auto" w:fill="BCBDB7"/>
            <w:vAlign w:val="top"/>
          </w:tcPr>
          <w:p w14:paraId="08E09E68">
            <w:pPr>
              <w:pStyle w:val="6"/>
              <w:spacing w:before="113" w:line="220" w:lineRule="auto"/>
              <w:ind w:left="260"/>
              <w:rPr>
                <w:sz w:val="19"/>
                <w:szCs w:val="19"/>
              </w:rPr>
            </w:pPr>
            <w:r>
              <w:rPr>
                <w:spacing w:val="-3"/>
                <w:sz w:val="19"/>
                <w:szCs w:val="19"/>
              </w:rPr>
              <w:t>系统综述</w:t>
            </w:r>
          </w:p>
        </w:tc>
        <w:tc>
          <w:tcPr>
            <w:tcW w:w="3592" w:type="dxa"/>
            <w:tcBorders>
              <w:top w:val="single" w:color="000000" w:sz="4" w:space="0"/>
              <w:bottom w:val="single" w:color="000000" w:sz="4" w:space="0"/>
            </w:tcBorders>
            <w:shd w:val="clear" w:color="auto" w:fill="B9B9AD"/>
            <w:vAlign w:val="top"/>
          </w:tcPr>
          <w:p w14:paraId="2943EA7F">
            <w:pPr>
              <w:pStyle w:val="6"/>
              <w:spacing w:before="111" w:line="219" w:lineRule="auto"/>
              <w:ind w:left="269"/>
              <w:rPr>
                <w:sz w:val="19"/>
                <w:szCs w:val="19"/>
              </w:rPr>
            </w:pPr>
            <w:r>
              <w:rPr>
                <w:spacing w:val="-2"/>
                <w:sz w:val="19"/>
                <w:szCs w:val="19"/>
              </w:rPr>
              <w:t>传统综述</w:t>
            </w:r>
          </w:p>
        </w:tc>
      </w:tr>
      <w:tr w14:paraId="024A6256">
        <w:trPr>
          <w:trHeight w:val="359" w:hRule="atLeast"/>
        </w:trPr>
        <w:tc>
          <w:tcPr>
            <w:tcW w:w="1740" w:type="dxa"/>
            <w:tcBorders>
              <w:top w:val="single" w:color="000000" w:sz="4" w:space="0"/>
              <w:bottom w:val="single" w:color="000000" w:sz="4" w:space="0"/>
            </w:tcBorders>
            <w:vAlign w:val="top"/>
          </w:tcPr>
          <w:p w14:paraId="5B66194F">
            <w:pPr>
              <w:pStyle w:val="6"/>
              <w:spacing w:before="92" w:line="221" w:lineRule="auto"/>
              <w:ind w:left="159"/>
              <w:rPr>
                <w:sz w:val="19"/>
                <w:szCs w:val="19"/>
              </w:rPr>
            </w:pPr>
            <w:r>
              <w:rPr>
                <w:spacing w:val="4"/>
                <w:sz w:val="19"/>
                <w:szCs w:val="19"/>
              </w:rPr>
              <w:t>问题</w:t>
            </w:r>
          </w:p>
        </w:tc>
        <w:tc>
          <w:tcPr>
            <w:tcW w:w="3060" w:type="dxa"/>
            <w:tcBorders>
              <w:top w:val="single" w:color="000000" w:sz="4" w:space="0"/>
              <w:bottom w:val="single" w:color="000000" w:sz="4" w:space="0"/>
            </w:tcBorders>
            <w:vAlign w:val="top"/>
          </w:tcPr>
          <w:p w14:paraId="3733DCC7">
            <w:pPr>
              <w:pStyle w:val="6"/>
              <w:spacing w:before="89" w:line="219" w:lineRule="auto"/>
              <w:ind w:left="260"/>
              <w:rPr>
                <w:sz w:val="19"/>
                <w:szCs w:val="19"/>
              </w:rPr>
            </w:pPr>
            <w:r>
              <w:rPr>
                <w:spacing w:val="1"/>
                <w:sz w:val="19"/>
                <w:szCs w:val="19"/>
              </w:rPr>
              <w:t>常集中于某一问题</w:t>
            </w:r>
          </w:p>
        </w:tc>
        <w:tc>
          <w:tcPr>
            <w:tcW w:w="3592" w:type="dxa"/>
            <w:tcBorders>
              <w:top w:val="single" w:color="000000" w:sz="4" w:space="0"/>
              <w:bottom w:val="single" w:color="000000" w:sz="4" w:space="0"/>
            </w:tcBorders>
            <w:vAlign w:val="top"/>
          </w:tcPr>
          <w:p w14:paraId="6937908A">
            <w:pPr>
              <w:pStyle w:val="6"/>
              <w:spacing w:before="90" w:line="220" w:lineRule="auto"/>
              <w:ind w:left="269"/>
              <w:rPr>
                <w:sz w:val="19"/>
                <w:szCs w:val="19"/>
              </w:rPr>
            </w:pPr>
            <w:r>
              <w:rPr>
                <w:spacing w:val="1"/>
                <w:sz w:val="19"/>
                <w:szCs w:val="19"/>
              </w:rPr>
              <w:t>涉及面常较广</w:t>
            </w:r>
          </w:p>
        </w:tc>
      </w:tr>
      <w:tr w14:paraId="317B8A7B">
        <w:trPr>
          <w:trHeight w:val="388" w:hRule="atLeast"/>
        </w:trPr>
        <w:tc>
          <w:tcPr>
            <w:tcW w:w="1740" w:type="dxa"/>
            <w:tcBorders>
              <w:top w:val="single" w:color="000000" w:sz="4" w:space="0"/>
              <w:bottom w:val="single" w:color="000000" w:sz="4" w:space="0"/>
            </w:tcBorders>
            <w:shd w:val="clear" w:color="auto" w:fill="E1E4EA"/>
            <w:vAlign w:val="top"/>
          </w:tcPr>
          <w:p w14:paraId="04A32815">
            <w:pPr>
              <w:pStyle w:val="6"/>
              <w:spacing w:before="100" w:line="219" w:lineRule="auto"/>
              <w:ind w:left="159"/>
              <w:rPr>
                <w:sz w:val="19"/>
                <w:szCs w:val="19"/>
              </w:rPr>
            </w:pPr>
            <w:r>
              <w:rPr>
                <w:spacing w:val="-2"/>
                <w:sz w:val="19"/>
                <w:szCs w:val="19"/>
              </w:rPr>
              <w:t>文献来源和收集</w:t>
            </w:r>
          </w:p>
        </w:tc>
        <w:tc>
          <w:tcPr>
            <w:tcW w:w="3060" w:type="dxa"/>
            <w:tcBorders>
              <w:top w:val="single" w:color="000000" w:sz="4" w:space="0"/>
              <w:bottom w:val="single" w:color="000000" w:sz="4" w:space="0"/>
            </w:tcBorders>
            <w:shd w:val="clear" w:color="auto" w:fill="D5D4D3"/>
            <w:vAlign w:val="top"/>
          </w:tcPr>
          <w:p w14:paraId="7B70A03A">
            <w:pPr>
              <w:pStyle w:val="6"/>
              <w:spacing w:before="100" w:line="219" w:lineRule="auto"/>
              <w:ind w:left="260"/>
              <w:rPr>
                <w:sz w:val="19"/>
                <w:szCs w:val="19"/>
              </w:rPr>
            </w:pPr>
            <w:r>
              <w:rPr>
                <w:sz w:val="19"/>
                <w:szCs w:val="19"/>
              </w:rPr>
              <w:t>收集全面，有规定的步骤和策略</w:t>
            </w:r>
          </w:p>
        </w:tc>
        <w:tc>
          <w:tcPr>
            <w:tcW w:w="3592" w:type="dxa"/>
            <w:tcBorders>
              <w:top w:val="single" w:color="000000" w:sz="4" w:space="0"/>
              <w:bottom w:val="single" w:color="000000" w:sz="4" w:space="0"/>
            </w:tcBorders>
            <w:shd w:val="clear" w:color="auto" w:fill="DBD8D0"/>
            <w:vAlign w:val="top"/>
          </w:tcPr>
          <w:p w14:paraId="545775D6">
            <w:pPr>
              <w:pStyle w:val="6"/>
              <w:spacing w:before="100" w:line="219" w:lineRule="auto"/>
              <w:ind w:left="269"/>
              <w:rPr>
                <w:sz w:val="19"/>
                <w:szCs w:val="19"/>
              </w:rPr>
            </w:pPr>
            <w:r>
              <w:rPr>
                <w:sz w:val="19"/>
                <w:szCs w:val="19"/>
              </w:rPr>
              <w:t>不系统、不全面，可能存在偏倚</w:t>
            </w:r>
          </w:p>
        </w:tc>
      </w:tr>
      <w:tr w14:paraId="39809B1A">
        <w:trPr>
          <w:trHeight w:val="379" w:hRule="atLeast"/>
        </w:trPr>
        <w:tc>
          <w:tcPr>
            <w:tcW w:w="1740" w:type="dxa"/>
            <w:tcBorders>
              <w:top w:val="single" w:color="000000" w:sz="4" w:space="0"/>
              <w:bottom w:val="single" w:color="000000" w:sz="4" w:space="0"/>
            </w:tcBorders>
            <w:vAlign w:val="top"/>
          </w:tcPr>
          <w:p w14:paraId="228CCB16">
            <w:pPr>
              <w:pStyle w:val="6"/>
              <w:spacing w:before="103" w:line="219" w:lineRule="auto"/>
              <w:ind w:left="159"/>
              <w:rPr>
                <w:sz w:val="19"/>
                <w:szCs w:val="19"/>
              </w:rPr>
            </w:pPr>
            <w:r>
              <w:rPr>
                <w:spacing w:val="-2"/>
                <w:sz w:val="19"/>
                <w:szCs w:val="19"/>
              </w:rPr>
              <w:t>文献筛选</w:t>
            </w:r>
          </w:p>
        </w:tc>
        <w:tc>
          <w:tcPr>
            <w:tcW w:w="3060" w:type="dxa"/>
            <w:tcBorders>
              <w:top w:val="single" w:color="000000" w:sz="4" w:space="0"/>
              <w:bottom w:val="single" w:color="000000" w:sz="4" w:space="0"/>
            </w:tcBorders>
            <w:vAlign w:val="top"/>
          </w:tcPr>
          <w:p w14:paraId="30EF9C51">
            <w:pPr>
              <w:pStyle w:val="6"/>
              <w:spacing w:before="103" w:line="219" w:lineRule="auto"/>
              <w:ind w:left="260"/>
              <w:rPr>
                <w:sz w:val="19"/>
                <w:szCs w:val="19"/>
              </w:rPr>
            </w:pPr>
            <w:r>
              <w:rPr>
                <w:spacing w:val="-1"/>
                <w:sz w:val="19"/>
                <w:szCs w:val="19"/>
              </w:rPr>
              <w:t>根据统一标准筛选文献</w:t>
            </w:r>
          </w:p>
        </w:tc>
        <w:tc>
          <w:tcPr>
            <w:tcW w:w="3592" w:type="dxa"/>
            <w:tcBorders>
              <w:top w:val="single" w:color="000000" w:sz="4" w:space="0"/>
              <w:bottom w:val="single" w:color="000000" w:sz="4" w:space="0"/>
            </w:tcBorders>
            <w:vAlign w:val="top"/>
          </w:tcPr>
          <w:p w14:paraId="2F45EC46">
            <w:pPr>
              <w:pStyle w:val="6"/>
              <w:spacing w:before="103" w:line="219" w:lineRule="auto"/>
              <w:ind w:left="269"/>
              <w:rPr>
                <w:sz w:val="19"/>
                <w:szCs w:val="19"/>
              </w:rPr>
            </w:pPr>
            <w:r>
              <w:rPr>
                <w:sz w:val="19"/>
                <w:szCs w:val="19"/>
              </w:rPr>
              <w:t>没有统一标准，常存在偏倚</w:t>
            </w:r>
          </w:p>
        </w:tc>
      </w:tr>
      <w:tr w14:paraId="30C6F14E">
        <w:trPr>
          <w:trHeight w:val="379" w:hRule="atLeast"/>
        </w:trPr>
        <w:tc>
          <w:tcPr>
            <w:tcW w:w="1740" w:type="dxa"/>
            <w:tcBorders>
              <w:top w:val="single" w:color="000000" w:sz="4" w:space="0"/>
              <w:bottom w:val="single" w:color="000000" w:sz="4" w:space="0"/>
            </w:tcBorders>
            <w:shd w:val="clear" w:color="auto" w:fill="E0E5EC"/>
            <w:vAlign w:val="top"/>
          </w:tcPr>
          <w:p w14:paraId="484FAF06">
            <w:pPr>
              <w:pStyle w:val="6"/>
              <w:spacing w:before="102" w:line="218" w:lineRule="auto"/>
              <w:ind w:left="159"/>
              <w:rPr>
                <w:sz w:val="19"/>
                <w:szCs w:val="19"/>
              </w:rPr>
            </w:pPr>
            <w:r>
              <w:rPr>
                <w:spacing w:val="-2"/>
                <w:sz w:val="19"/>
                <w:szCs w:val="19"/>
              </w:rPr>
              <w:t>文献质量评价</w:t>
            </w:r>
          </w:p>
        </w:tc>
        <w:tc>
          <w:tcPr>
            <w:tcW w:w="3060" w:type="dxa"/>
            <w:tcBorders>
              <w:top w:val="single" w:color="000000" w:sz="4" w:space="0"/>
              <w:bottom w:val="single" w:color="000000" w:sz="4" w:space="0"/>
            </w:tcBorders>
            <w:shd w:val="clear" w:color="auto" w:fill="D5D4D3"/>
            <w:vAlign w:val="top"/>
          </w:tcPr>
          <w:p w14:paraId="27204801">
            <w:pPr>
              <w:pStyle w:val="6"/>
              <w:spacing w:before="102" w:line="218" w:lineRule="auto"/>
              <w:ind w:left="260"/>
              <w:rPr>
                <w:sz w:val="19"/>
                <w:szCs w:val="19"/>
              </w:rPr>
            </w:pPr>
            <w:r>
              <w:rPr>
                <w:spacing w:val="-1"/>
                <w:sz w:val="19"/>
                <w:szCs w:val="19"/>
              </w:rPr>
              <w:t>有严格的评价标准</w:t>
            </w:r>
          </w:p>
        </w:tc>
        <w:tc>
          <w:tcPr>
            <w:tcW w:w="3592" w:type="dxa"/>
            <w:tcBorders>
              <w:top w:val="single" w:color="000000" w:sz="4" w:space="0"/>
              <w:bottom w:val="single" w:color="000000" w:sz="4" w:space="0"/>
            </w:tcBorders>
            <w:shd w:val="clear" w:color="auto" w:fill="DDDCD7"/>
            <w:vAlign w:val="top"/>
          </w:tcPr>
          <w:p w14:paraId="463D778B">
            <w:pPr>
              <w:pStyle w:val="6"/>
              <w:spacing w:before="104" w:line="220" w:lineRule="auto"/>
              <w:ind w:left="269"/>
              <w:rPr>
                <w:sz w:val="19"/>
                <w:szCs w:val="19"/>
              </w:rPr>
            </w:pPr>
            <w:r>
              <w:rPr>
                <w:spacing w:val="2"/>
                <w:sz w:val="19"/>
                <w:szCs w:val="19"/>
              </w:rPr>
              <w:t>一般没有</w:t>
            </w:r>
          </w:p>
        </w:tc>
      </w:tr>
      <w:tr w14:paraId="1219DCF4">
        <w:trPr>
          <w:trHeight w:val="368" w:hRule="atLeast"/>
        </w:trPr>
        <w:tc>
          <w:tcPr>
            <w:tcW w:w="1740" w:type="dxa"/>
            <w:tcBorders>
              <w:top w:val="single" w:color="000000" w:sz="4" w:space="0"/>
              <w:bottom w:val="single" w:color="000000" w:sz="4" w:space="0"/>
            </w:tcBorders>
            <w:vAlign w:val="top"/>
          </w:tcPr>
          <w:p w14:paraId="089653A4">
            <w:pPr>
              <w:pStyle w:val="6"/>
              <w:spacing w:before="95" w:line="220" w:lineRule="auto"/>
              <w:ind w:left="159"/>
              <w:rPr>
                <w:sz w:val="19"/>
                <w:szCs w:val="19"/>
              </w:rPr>
            </w:pPr>
            <w:r>
              <w:rPr>
                <w:spacing w:val="2"/>
                <w:sz w:val="19"/>
                <w:szCs w:val="19"/>
              </w:rPr>
              <w:t>资料综合</w:t>
            </w:r>
          </w:p>
        </w:tc>
        <w:tc>
          <w:tcPr>
            <w:tcW w:w="3060" w:type="dxa"/>
            <w:tcBorders>
              <w:top w:val="single" w:color="000000" w:sz="4" w:space="0"/>
              <w:bottom w:val="single" w:color="000000" w:sz="4" w:space="0"/>
            </w:tcBorders>
            <w:vAlign w:val="top"/>
          </w:tcPr>
          <w:p w14:paraId="3303DB47">
            <w:pPr>
              <w:pStyle w:val="6"/>
              <w:spacing w:before="95" w:line="220" w:lineRule="auto"/>
              <w:ind w:left="260"/>
              <w:rPr>
                <w:sz w:val="19"/>
                <w:szCs w:val="19"/>
              </w:rPr>
            </w:pPr>
            <w:r>
              <w:rPr>
                <w:spacing w:val="1"/>
                <w:sz w:val="19"/>
                <w:szCs w:val="19"/>
              </w:rPr>
              <w:t>定量综合，如</w:t>
            </w:r>
            <w:r>
              <w:rPr>
                <w:sz w:val="19"/>
                <w:szCs w:val="19"/>
              </w:rPr>
              <w:t>Meta</w:t>
            </w:r>
            <w:r>
              <w:rPr>
                <w:spacing w:val="1"/>
                <w:sz w:val="19"/>
                <w:szCs w:val="19"/>
              </w:rPr>
              <w:t>分析</w:t>
            </w:r>
          </w:p>
        </w:tc>
        <w:tc>
          <w:tcPr>
            <w:tcW w:w="3592" w:type="dxa"/>
            <w:tcBorders>
              <w:top w:val="single" w:color="000000" w:sz="4" w:space="0"/>
              <w:bottom w:val="single" w:color="000000" w:sz="4" w:space="0"/>
            </w:tcBorders>
            <w:vAlign w:val="top"/>
          </w:tcPr>
          <w:p w14:paraId="3F216E3A">
            <w:pPr>
              <w:pStyle w:val="6"/>
              <w:spacing w:before="95" w:line="220" w:lineRule="auto"/>
              <w:ind w:left="269"/>
              <w:rPr>
                <w:sz w:val="19"/>
                <w:szCs w:val="19"/>
              </w:rPr>
            </w:pPr>
            <w:r>
              <w:rPr>
                <w:spacing w:val="-2"/>
                <w:sz w:val="19"/>
                <w:szCs w:val="19"/>
              </w:rPr>
              <w:t>常为定性描述</w:t>
            </w:r>
          </w:p>
        </w:tc>
      </w:tr>
      <w:tr w14:paraId="03EA2511">
        <w:trPr>
          <w:trHeight w:val="373" w:hRule="atLeast"/>
        </w:trPr>
        <w:tc>
          <w:tcPr>
            <w:tcW w:w="1740" w:type="dxa"/>
            <w:tcBorders>
              <w:top w:val="single" w:color="000000" w:sz="4" w:space="0"/>
              <w:bottom w:val="single" w:color="000000" w:sz="4" w:space="0"/>
            </w:tcBorders>
            <w:shd w:val="clear" w:color="auto" w:fill="E8F2F9"/>
            <w:vAlign w:val="top"/>
          </w:tcPr>
          <w:p w14:paraId="08EE233A">
            <w:pPr>
              <w:pStyle w:val="6"/>
              <w:spacing w:before="97" w:line="221" w:lineRule="auto"/>
              <w:ind w:left="159"/>
              <w:rPr>
                <w:sz w:val="19"/>
                <w:szCs w:val="19"/>
              </w:rPr>
            </w:pPr>
            <w:r>
              <w:rPr>
                <w:spacing w:val="4"/>
                <w:sz w:val="19"/>
                <w:szCs w:val="19"/>
              </w:rPr>
              <w:t>结论</w:t>
            </w:r>
          </w:p>
        </w:tc>
        <w:tc>
          <w:tcPr>
            <w:tcW w:w="3060" w:type="dxa"/>
            <w:tcBorders>
              <w:top w:val="single" w:color="000000" w:sz="4" w:space="0"/>
              <w:bottom w:val="single" w:color="000000" w:sz="4" w:space="0"/>
            </w:tcBorders>
            <w:shd w:val="clear" w:color="auto" w:fill="DADAD5"/>
            <w:vAlign w:val="top"/>
          </w:tcPr>
          <w:p w14:paraId="4D5C2DF7">
            <w:pPr>
              <w:pStyle w:val="6"/>
              <w:spacing w:before="96" w:line="219" w:lineRule="auto"/>
              <w:ind w:left="260"/>
              <w:rPr>
                <w:sz w:val="19"/>
                <w:szCs w:val="19"/>
              </w:rPr>
            </w:pPr>
            <w:r>
              <w:rPr>
                <w:spacing w:val="2"/>
                <w:sz w:val="19"/>
                <w:szCs w:val="19"/>
              </w:rPr>
              <w:t>常在证据的基础上得出</w:t>
            </w:r>
          </w:p>
        </w:tc>
        <w:tc>
          <w:tcPr>
            <w:tcW w:w="3592" w:type="dxa"/>
            <w:tcBorders>
              <w:top w:val="single" w:color="000000" w:sz="4" w:space="0"/>
              <w:bottom w:val="single" w:color="000000" w:sz="4" w:space="0"/>
            </w:tcBorders>
            <w:shd w:val="clear" w:color="auto" w:fill="DAD8D1"/>
            <w:vAlign w:val="top"/>
          </w:tcPr>
          <w:p w14:paraId="35D9AB5D">
            <w:pPr>
              <w:pStyle w:val="6"/>
              <w:spacing w:before="96" w:line="219" w:lineRule="auto"/>
              <w:jc w:val="right"/>
              <w:rPr>
                <w:sz w:val="19"/>
                <w:szCs w:val="19"/>
              </w:rPr>
            </w:pPr>
            <w:r>
              <w:rPr>
                <w:spacing w:val="-6"/>
                <w:sz w:val="19"/>
                <w:szCs w:val="19"/>
              </w:rPr>
              <w:t>多是基于经验，有时在证据的基础上得出</w:t>
            </w:r>
          </w:p>
        </w:tc>
      </w:tr>
    </w:tbl>
    <w:p w14:paraId="77924F6E">
      <w:pPr>
        <w:spacing w:line="465" w:lineRule="auto"/>
        <w:rPr>
          <w:rFonts w:ascii="Arial"/>
          <w:sz w:val="21"/>
        </w:rPr>
      </w:pPr>
    </w:p>
    <w:p w14:paraId="7A50908E">
      <w:pPr>
        <w:pStyle w:val="2"/>
        <w:spacing w:before="81" w:line="221" w:lineRule="auto"/>
        <w:ind w:left="393"/>
        <w:outlineLvl w:val="4"/>
        <w:rPr>
          <w:sz w:val="25"/>
          <w:szCs w:val="25"/>
        </w:rPr>
      </w:pPr>
      <w:bookmarkStart w:id="468" w:name="bookmark296"/>
      <w:bookmarkEnd w:id="468"/>
      <w:r>
        <w:rPr>
          <w:b/>
          <w:bCs/>
          <w:spacing w:val="-7"/>
          <w:sz w:val="25"/>
          <w:szCs w:val="25"/>
        </w:rPr>
        <w:t>二、步骤和方法</w:t>
      </w:r>
    </w:p>
    <w:p w14:paraId="1F3464D7">
      <w:pPr>
        <w:pStyle w:val="2"/>
        <w:spacing w:before="272" w:line="221" w:lineRule="auto"/>
        <w:ind w:left="389"/>
        <w:rPr>
          <w:sz w:val="20"/>
          <w:szCs w:val="20"/>
        </w:rPr>
      </w:pPr>
      <w:r>
        <w:rPr>
          <w:spacing w:val="19"/>
          <w:sz w:val="20"/>
          <w:szCs w:val="20"/>
        </w:rPr>
        <w:t>(</w:t>
      </w:r>
      <w:r>
        <w:rPr>
          <w:spacing w:val="-51"/>
          <w:sz w:val="20"/>
          <w:szCs w:val="20"/>
        </w:rPr>
        <w:t xml:space="preserve"> </w:t>
      </w:r>
      <w:r>
        <w:rPr>
          <w:spacing w:val="19"/>
          <w:sz w:val="20"/>
          <w:szCs w:val="20"/>
        </w:rPr>
        <w:t>一)选题和制订研究方案</w:t>
      </w:r>
    </w:p>
    <w:p w14:paraId="59110E5B">
      <w:pPr>
        <w:pStyle w:val="2"/>
        <w:spacing w:before="94" w:line="332" w:lineRule="auto"/>
        <w:ind w:right="596" w:firstLine="389"/>
        <w:rPr>
          <w:rFonts w:ascii="宋体" w:hAnsi="宋体" w:eastAsia="宋体" w:cs="宋体"/>
          <w:sz w:val="20"/>
          <w:szCs w:val="20"/>
        </w:rPr>
      </w:pPr>
      <w:r>
        <w:rPr>
          <w:rFonts w:ascii="宋体" w:hAnsi="宋体" w:eastAsia="宋体" w:cs="宋体"/>
          <w:spacing w:val="6"/>
          <w:sz w:val="20"/>
          <w:szCs w:val="20"/>
        </w:rPr>
        <w:t xml:space="preserve">1. </w:t>
      </w:r>
      <w:r>
        <w:rPr>
          <w:spacing w:val="6"/>
          <w:sz w:val="20"/>
          <w:szCs w:val="20"/>
        </w:rPr>
        <w:t>选</w:t>
      </w:r>
      <w:r>
        <w:rPr>
          <w:spacing w:val="-43"/>
          <w:sz w:val="20"/>
          <w:szCs w:val="20"/>
        </w:rPr>
        <w:t xml:space="preserve"> </w:t>
      </w:r>
      <w:r>
        <w:rPr>
          <w:spacing w:val="6"/>
          <w:sz w:val="20"/>
          <w:szCs w:val="20"/>
        </w:rPr>
        <w:t xml:space="preserve">题  </w:t>
      </w:r>
      <w:r>
        <w:rPr>
          <w:rFonts w:ascii="宋体" w:hAnsi="宋体" w:eastAsia="宋体" w:cs="宋体"/>
          <w:spacing w:val="6"/>
          <w:sz w:val="20"/>
          <w:szCs w:val="20"/>
        </w:rPr>
        <w:t>同科研选题一样，确定系统综述的研究</w:t>
      </w:r>
      <w:r>
        <w:rPr>
          <w:rFonts w:ascii="宋体" w:hAnsi="宋体" w:eastAsia="宋体" w:cs="宋体"/>
          <w:spacing w:val="5"/>
          <w:sz w:val="20"/>
          <w:szCs w:val="20"/>
        </w:rPr>
        <w:t>问题至关重要。选题的基本原则是选择比</w:t>
      </w:r>
      <w:r>
        <w:rPr>
          <w:rFonts w:ascii="宋体" w:hAnsi="宋体" w:eastAsia="宋体" w:cs="宋体"/>
          <w:sz w:val="20"/>
          <w:szCs w:val="20"/>
        </w:rPr>
        <w:t xml:space="preserve"> </w:t>
      </w:r>
      <w:r>
        <w:rPr>
          <w:rFonts w:ascii="宋体" w:hAnsi="宋体" w:eastAsia="宋体" w:cs="宋体"/>
          <w:spacing w:val="9"/>
          <w:sz w:val="20"/>
          <w:szCs w:val="20"/>
        </w:rPr>
        <w:t>较重要的临床或公共卫生问题，而且目前尚无肯定结论。研究问题应宽窄适宜、目的</w:t>
      </w:r>
      <w:r>
        <w:rPr>
          <w:rFonts w:ascii="宋体" w:hAnsi="宋体" w:eastAsia="宋体" w:cs="宋体"/>
          <w:spacing w:val="8"/>
          <w:sz w:val="20"/>
          <w:szCs w:val="20"/>
        </w:rPr>
        <w:t>明确。例</w:t>
      </w:r>
      <w:r>
        <w:rPr>
          <w:rFonts w:ascii="宋体" w:hAnsi="宋体" w:eastAsia="宋体" w:cs="宋体"/>
          <w:sz w:val="20"/>
          <w:szCs w:val="20"/>
        </w:rPr>
        <w:t xml:space="preserve"> </w:t>
      </w:r>
      <w:r>
        <w:rPr>
          <w:rFonts w:ascii="宋体" w:hAnsi="宋体" w:eastAsia="宋体" w:cs="宋体"/>
          <w:spacing w:val="6"/>
          <w:sz w:val="20"/>
          <w:szCs w:val="20"/>
        </w:rPr>
        <w:t>如，“不饱和脂肪酸对健康有益吗?”这样的问题过于庞大，很难入手。对此可采用</w:t>
      </w:r>
      <w:r>
        <w:rPr>
          <w:rFonts w:ascii="Times New Roman" w:hAnsi="Times New Roman" w:eastAsia="Times New Roman" w:cs="Times New Roman"/>
          <w:sz w:val="20"/>
          <w:szCs w:val="20"/>
        </w:rPr>
        <w:t>PICOs</w:t>
      </w:r>
      <w:r>
        <w:rPr>
          <w:rFonts w:ascii="Times New Roman" w:hAnsi="Times New Roman" w:eastAsia="Times New Roman" w:cs="Times New Roman"/>
          <w:spacing w:val="4"/>
          <w:sz w:val="20"/>
          <w:szCs w:val="20"/>
        </w:rPr>
        <w:t xml:space="preserve">  </w:t>
      </w:r>
      <w:r>
        <w:rPr>
          <w:rFonts w:ascii="宋体" w:hAnsi="宋体" w:eastAsia="宋体" w:cs="宋体"/>
          <w:spacing w:val="6"/>
          <w:sz w:val="20"/>
          <w:szCs w:val="20"/>
        </w:rPr>
        <w:t>格式</w:t>
      </w:r>
      <w:r>
        <w:rPr>
          <w:rFonts w:ascii="宋体" w:hAnsi="宋体" w:eastAsia="宋体" w:cs="宋体"/>
          <w:spacing w:val="1"/>
          <w:sz w:val="20"/>
          <w:szCs w:val="20"/>
        </w:rPr>
        <w:t xml:space="preserve"> </w:t>
      </w:r>
      <w:r>
        <w:rPr>
          <w:rFonts w:ascii="宋体" w:hAnsi="宋体" w:eastAsia="宋体" w:cs="宋体"/>
          <w:spacing w:val="12"/>
          <w:sz w:val="20"/>
          <w:szCs w:val="20"/>
        </w:rPr>
        <w:t>将研究问题结构化，其中</w:t>
      </w:r>
      <w:r>
        <w:rPr>
          <w:rFonts w:ascii="Times New Roman" w:hAnsi="Times New Roman" w:eastAsia="Times New Roman" w:cs="Times New Roman"/>
          <w:spacing w:val="12"/>
          <w:sz w:val="20"/>
          <w:szCs w:val="20"/>
        </w:rPr>
        <w:t>“s”</w:t>
      </w:r>
      <w:r>
        <w:rPr>
          <w:rFonts w:ascii="Times New Roman" w:hAnsi="Times New Roman" w:eastAsia="Times New Roman" w:cs="Times New Roman"/>
          <w:spacing w:val="56"/>
          <w:sz w:val="20"/>
          <w:szCs w:val="20"/>
        </w:rPr>
        <w:t xml:space="preserve"> </w:t>
      </w:r>
      <w:r>
        <w:rPr>
          <w:rFonts w:ascii="宋体" w:hAnsi="宋体" w:eastAsia="宋体" w:cs="宋体"/>
          <w:spacing w:val="12"/>
          <w:sz w:val="20"/>
          <w:szCs w:val="20"/>
        </w:rPr>
        <w:t>为研究设计类型</w:t>
      </w:r>
      <w:r>
        <w:rPr>
          <w:rFonts w:ascii="Times New Roman" w:hAnsi="Times New Roman" w:eastAsia="Times New Roman" w:cs="Times New Roman"/>
          <w:spacing w:val="12"/>
          <w:sz w:val="20"/>
          <w:szCs w:val="20"/>
        </w:rPr>
        <w:t>(</w:t>
      </w:r>
      <w:r>
        <w:rPr>
          <w:rFonts w:ascii="Times New Roman" w:hAnsi="Times New Roman" w:eastAsia="Times New Roman" w:cs="Times New Roman"/>
          <w:sz w:val="20"/>
          <w:szCs w:val="20"/>
        </w:rPr>
        <w:t>study</w:t>
      </w:r>
      <w:r>
        <w:rPr>
          <w:rFonts w:ascii="Times New Roman" w:hAnsi="Times New Roman" w:eastAsia="Times New Roman" w:cs="Times New Roman"/>
          <w:spacing w:val="12"/>
          <w:sz w:val="20"/>
          <w:szCs w:val="20"/>
        </w:rPr>
        <w:t xml:space="preserve">       </w:t>
      </w:r>
      <w:r>
        <w:rPr>
          <w:rFonts w:ascii="Times New Roman" w:hAnsi="Times New Roman" w:eastAsia="Times New Roman" w:cs="Times New Roman"/>
          <w:sz w:val="20"/>
          <w:szCs w:val="20"/>
        </w:rPr>
        <w:t>design</w:t>
      </w:r>
      <w:r>
        <w:rPr>
          <w:rFonts w:ascii="Times New Roman" w:hAnsi="Times New Roman" w:eastAsia="Times New Roman" w:cs="Times New Roman"/>
          <w:spacing w:val="12"/>
          <w:sz w:val="20"/>
          <w:szCs w:val="20"/>
        </w:rPr>
        <w:t>),</w:t>
      </w:r>
      <w:r>
        <w:rPr>
          <w:rFonts w:ascii="宋体" w:hAnsi="宋体" w:eastAsia="宋体" w:cs="宋体"/>
          <w:spacing w:val="12"/>
          <w:sz w:val="20"/>
          <w:szCs w:val="20"/>
        </w:rPr>
        <w:t>从而将不易定位的选题用标准</w:t>
      </w:r>
      <w:r>
        <w:rPr>
          <w:rFonts w:ascii="宋体" w:hAnsi="宋体" w:eastAsia="宋体" w:cs="宋体"/>
          <w:sz w:val="20"/>
          <w:szCs w:val="20"/>
        </w:rPr>
        <w:t xml:space="preserve"> </w:t>
      </w:r>
      <w:r>
        <w:rPr>
          <w:rFonts w:ascii="宋体" w:hAnsi="宋体" w:eastAsia="宋体" w:cs="宋体"/>
          <w:spacing w:val="9"/>
          <w:sz w:val="20"/>
          <w:szCs w:val="20"/>
        </w:rPr>
        <w:t>化的方式表述出来，使选题精细、目的明确。例如，上述研究问题就可以具体到“老年人服用</w:t>
      </w:r>
      <w:r>
        <w:rPr>
          <w:rFonts w:ascii="宋体" w:hAnsi="宋体" w:eastAsia="宋体" w:cs="宋体"/>
          <w:spacing w:val="3"/>
          <w:sz w:val="20"/>
          <w:szCs w:val="20"/>
        </w:rPr>
        <w:t xml:space="preserve"> </w:t>
      </w:r>
      <w:r>
        <w:rPr>
          <w:rFonts w:ascii="宋体" w:hAnsi="宋体" w:eastAsia="宋体" w:cs="宋体"/>
          <w:spacing w:val="7"/>
          <w:sz w:val="20"/>
          <w:szCs w:val="20"/>
        </w:rPr>
        <w:t>二十碳五烯酸</w:t>
      </w:r>
      <w:r>
        <w:rPr>
          <w:rFonts w:ascii="Times New Roman" w:hAnsi="Times New Roman" w:eastAsia="Times New Roman" w:cs="Times New Roman"/>
          <w:spacing w:val="7"/>
          <w:sz w:val="20"/>
          <w:szCs w:val="20"/>
        </w:rPr>
        <w:t>(</w:t>
      </w:r>
      <w:r>
        <w:rPr>
          <w:rFonts w:ascii="Times New Roman" w:hAnsi="Times New Roman" w:eastAsia="Times New Roman" w:cs="Times New Roman"/>
          <w:sz w:val="20"/>
          <w:szCs w:val="20"/>
        </w:rPr>
        <w:t>EPA</w:t>
      </w:r>
      <w:r>
        <w:rPr>
          <w:rFonts w:ascii="Times New Roman" w:hAnsi="Times New Roman" w:eastAsia="Times New Roman" w:cs="Times New Roman"/>
          <w:spacing w:val="7"/>
          <w:sz w:val="20"/>
          <w:szCs w:val="20"/>
        </w:rPr>
        <w:t xml:space="preserve">)+    </w:t>
      </w:r>
      <w:r>
        <w:rPr>
          <w:rFonts w:ascii="宋体" w:hAnsi="宋体" w:eastAsia="宋体" w:cs="宋体"/>
          <w:spacing w:val="7"/>
          <w:sz w:val="20"/>
          <w:szCs w:val="20"/>
        </w:rPr>
        <w:t>二十二碳六烯酸</w:t>
      </w:r>
      <w:r>
        <w:rPr>
          <w:rFonts w:ascii="Times New Roman" w:hAnsi="Times New Roman" w:eastAsia="Times New Roman" w:cs="Times New Roman"/>
          <w:spacing w:val="7"/>
          <w:sz w:val="20"/>
          <w:szCs w:val="20"/>
        </w:rPr>
        <w:t>(</w:t>
      </w:r>
      <w:r>
        <w:rPr>
          <w:rFonts w:ascii="Times New Roman" w:hAnsi="Times New Roman" w:eastAsia="Times New Roman" w:cs="Times New Roman"/>
          <w:sz w:val="20"/>
          <w:szCs w:val="20"/>
        </w:rPr>
        <w:t>DHA</w:t>
      </w:r>
      <w:r>
        <w:rPr>
          <w:rFonts w:ascii="Times New Roman" w:hAnsi="Times New Roman" w:eastAsia="Times New Roman" w:cs="Times New Roman"/>
          <w:spacing w:val="7"/>
          <w:sz w:val="20"/>
          <w:szCs w:val="20"/>
        </w:rPr>
        <w:t xml:space="preserve">)   </w:t>
      </w:r>
      <w:r>
        <w:rPr>
          <w:rFonts w:ascii="宋体" w:hAnsi="宋体" w:eastAsia="宋体" w:cs="宋体"/>
          <w:spacing w:val="7"/>
          <w:sz w:val="20"/>
          <w:szCs w:val="20"/>
        </w:rPr>
        <w:t>在改善认知功能上是否优于安慰剂对照?”“早</w:t>
      </w:r>
      <w:r>
        <w:rPr>
          <w:rFonts w:ascii="宋体" w:hAnsi="宋体" w:eastAsia="宋体" w:cs="宋体"/>
          <w:spacing w:val="15"/>
          <w:sz w:val="20"/>
          <w:szCs w:val="20"/>
        </w:rPr>
        <w:t xml:space="preserve"> </w:t>
      </w:r>
      <w:r>
        <w:rPr>
          <w:rFonts w:ascii="宋体" w:hAnsi="宋体" w:eastAsia="宋体" w:cs="宋体"/>
          <w:spacing w:val="9"/>
          <w:sz w:val="20"/>
          <w:szCs w:val="20"/>
        </w:rPr>
        <w:t>产儿服用高剂量</w:t>
      </w:r>
      <w:r>
        <w:rPr>
          <w:rFonts w:ascii="宋体" w:hAnsi="宋体" w:eastAsia="宋体" w:cs="宋体"/>
          <w:spacing w:val="-47"/>
          <w:sz w:val="20"/>
          <w:szCs w:val="20"/>
        </w:rPr>
        <w:t xml:space="preserve"> </w:t>
      </w:r>
      <w:r>
        <w:rPr>
          <w:rFonts w:ascii="Times New Roman" w:hAnsi="Times New Roman" w:eastAsia="Times New Roman" w:cs="Times New Roman"/>
          <w:sz w:val="20"/>
          <w:szCs w:val="20"/>
        </w:rPr>
        <w:t>DHA</w:t>
      </w:r>
      <w:r>
        <w:rPr>
          <w:rFonts w:ascii="Times New Roman" w:hAnsi="Times New Roman" w:eastAsia="Times New Roman" w:cs="Times New Roman"/>
          <w:spacing w:val="9"/>
          <w:sz w:val="20"/>
          <w:szCs w:val="20"/>
        </w:rPr>
        <w:t xml:space="preserve"> </w:t>
      </w:r>
      <w:r>
        <w:rPr>
          <w:rFonts w:ascii="宋体" w:hAnsi="宋体" w:eastAsia="宋体" w:cs="宋体"/>
          <w:spacing w:val="9"/>
          <w:sz w:val="20"/>
          <w:szCs w:val="20"/>
        </w:rPr>
        <w:t>在促进神经系统发育上是否好于标准剂量?</w:t>
      </w:r>
      <w:r>
        <w:rPr>
          <w:rFonts w:ascii="宋体" w:hAnsi="宋体" w:eastAsia="宋体" w:cs="宋体"/>
          <w:spacing w:val="8"/>
          <w:sz w:val="20"/>
          <w:szCs w:val="20"/>
        </w:rPr>
        <w:t>”“高脂血症病人服用鱼油补</w:t>
      </w:r>
      <w:r>
        <w:rPr>
          <w:rFonts w:ascii="宋体" w:hAnsi="宋体" w:eastAsia="宋体" w:cs="宋体"/>
          <w:sz w:val="20"/>
          <w:szCs w:val="20"/>
        </w:rPr>
        <w:t xml:space="preserve"> </w:t>
      </w:r>
      <w:r>
        <w:rPr>
          <w:rFonts w:ascii="宋体" w:hAnsi="宋体" w:eastAsia="宋体" w:cs="宋体"/>
          <w:spacing w:val="7"/>
          <w:sz w:val="20"/>
          <w:szCs w:val="20"/>
        </w:rPr>
        <w:t>充剂是否比安慰剂能更好地改善血脂谱?”“慢性肾病</w:t>
      </w:r>
      <w:r>
        <w:rPr>
          <w:rFonts w:ascii="宋体" w:hAnsi="宋体" w:eastAsia="宋体" w:cs="宋体"/>
          <w:spacing w:val="6"/>
          <w:sz w:val="20"/>
          <w:szCs w:val="20"/>
        </w:rPr>
        <w:t>病人服用长链多不饱和脂肪酸预防或延缓</w:t>
      </w:r>
      <w:r>
        <w:rPr>
          <w:rFonts w:ascii="宋体" w:hAnsi="宋体" w:eastAsia="宋体" w:cs="宋体"/>
          <w:sz w:val="20"/>
          <w:szCs w:val="20"/>
        </w:rPr>
        <w:t xml:space="preserve"> </w:t>
      </w:r>
      <w:r>
        <w:rPr>
          <w:rFonts w:ascii="宋体" w:hAnsi="宋体" w:eastAsia="宋体" w:cs="宋体"/>
          <w:spacing w:val="7"/>
          <w:sz w:val="20"/>
          <w:szCs w:val="20"/>
        </w:rPr>
        <w:t>肾病进展是否优于安慰剂对照?”进一步可通过文献回</w:t>
      </w:r>
      <w:r>
        <w:rPr>
          <w:rFonts w:ascii="宋体" w:hAnsi="宋体" w:eastAsia="宋体" w:cs="宋体"/>
          <w:spacing w:val="6"/>
          <w:sz w:val="20"/>
          <w:szCs w:val="20"/>
        </w:rPr>
        <w:t>顾，寻找有一定研究数量但结论尚不一致</w:t>
      </w:r>
      <w:r>
        <w:rPr>
          <w:rFonts w:ascii="宋体" w:hAnsi="宋体" w:eastAsia="宋体" w:cs="宋体"/>
          <w:sz w:val="20"/>
          <w:szCs w:val="20"/>
        </w:rPr>
        <w:t xml:space="preserve"> </w:t>
      </w:r>
      <w:r>
        <w:rPr>
          <w:rFonts w:ascii="宋体" w:hAnsi="宋体" w:eastAsia="宋体" w:cs="宋体"/>
          <w:spacing w:val="4"/>
          <w:sz w:val="20"/>
          <w:szCs w:val="20"/>
        </w:rPr>
        <w:t>的问题作为本次系统综述的选题，并提出一个明确的检验假设。例如，文献回顾发现，有关上述</w:t>
      </w:r>
      <w:r>
        <w:rPr>
          <w:rFonts w:ascii="宋体" w:hAnsi="宋体" w:eastAsia="宋体" w:cs="宋体"/>
          <w:spacing w:val="8"/>
          <w:sz w:val="20"/>
          <w:szCs w:val="20"/>
        </w:rPr>
        <w:t xml:space="preserve"> </w:t>
      </w:r>
      <w:r>
        <w:rPr>
          <w:rFonts w:ascii="宋体" w:hAnsi="宋体" w:eastAsia="宋体" w:cs="宋体"/>
          <w:spacing w:val="4"/>
          <w:sz w:val="20"/>
          <w:szCs w:val="20"/>
        </w:rPr>
        <w:t>慢性肾病的问题的临床试验结果不一致，鉴于慢性肾病的患病率有快速增长的趋势，如果通过营</w:t>
      </w:r>
      <w:r>
        <w:rPr>
          <w:rFonts w:ascii="宋体" w:hAnsi="宋体" w:eastAsia="宋体" w:cs="宋体"/>
          <w:spacing w:val="14"/>
          <w:sz w:val="20"/>
          <w:szCs w:val="20"/>
        </w:rPr>
        <w:t xml:space="preserve"> </w:t>
      </w:r>
      <w:r>
        <w:rPr>
          <w:rFonts w:ascii="宋体" w:hAnsi="宋体" w:eastAsia="宋体" w:cs="宋体"/>
          <w:spacing w:val="5"/>
          <w:sz w:val="20"/>
          <w:szCs w:val="20"/>
        </w:rPr>
        <w:t>养干预能预防或延缓肾病的发生和进展，将有重要的临床和公共卫生</w:t>
      </w:r>
      <w:r>
        <w:rPr>
          <w:rFonts w:ascii="宋体" w:hAnsi="宋体" w:eastAsia="宋体" w:cs="宋体"/>
          <w:spacing w:val="4"/>
          <w:sz w:val="20"/>
          <w:szCs w:val="20"/>
        </w:rPr>
        <w:t>意义，因此有必要总结相关</w:t>
      </w:r>
      <w:r>
        <w:rPr>
          <w:rFonts w:ascii="宋体" w:hAnsi="宋体" w:eastAsia="宋体" w:cs="宋体"/>
          <w:sz w:val="20"/>
          <w:szCs w:val="20"/>
        </w:rPr>
        <w:t xml:space="preserve"> </w:t>
      </w:r>
      <w:r>
        <w:rPr>
          <w:rFonts w:ascii="宋体" w:hAnsi="宋体" w:eastAsia="宋体" w:cs="宋体"/>
          <w:spacing w:val="6"/>
          <w:sz w:val="20"/>
          <w:szCs w:val="20"/>
        </w:rPr>
        <w:t>证据。</w:t>
      </w:r>
    </w:p>
    <w:p w14:paraId="3DE8FF65">
      <w:pPr>
        <w:pStyle w:val="2"/>
        <w:spacing w:before="159" w:line="310" w:lineRule="auto"/>
        <w:ind w:right="525" w:firstLine="389"/>
        <w:rPr>
          <w:rFonts w:ascii="宋体" w:hAnsi="宋体" w:eastAsia="宋体" w:cs="宋体"/>
          <w:sz w:val="20"/>
          <w:szCs w:val="20"/>
        </w:rPr>
      </w:pPr>
      <w:r>
        <w:rPr>
          <w:rFonts w:ascii="宋体" w:hAnsi="宋体" w:eastAsia="宋体" w:cs="宋体"/>
          <w:spacing w:val="11"/>
          <w:sz w:val="20"/>
          <w:szCs w:val="20"/>
        </w:rPr>
        <w:t>2.</w:t>
      </w:r>
      <w:r>
        <w:rPr>
          <w:rFonts w:ascii="宋体" w:hAnsi="宋体" w:eastAsia="宋体" w:cs="宋体"/>
          <w:spacing w:val="56"/>
          <w:sz w:val="20"/>
          <w:szCs w:val="20"/>
        </w:rPr>
        <w:t xml:space="preserve"> </w:t>
      </w:r>
      <w:r>
        <w:rPr>
          <w:spacing w:val="11"/>
          <w:sz w:val="20"/>
          <w:szCs w:val="20"/>
        </w:rPr>
        <w:t xml:space="preserve">制订研究方案  </w:t>
      </w:r>
      <w:r>
        <w:rPr>
          <w:rFonts w:ascii="宋体" w:hAnsi="宋体" w:eastAsia="宋体" w:cs="宋体"/>
          <w:spacing w:val="11"/>
          <w:sz w:val="20"/>
          <w:szCs w:val="20"/>
        </w:rPr>
        <w:t>选题一旦确定，就可制订研究方案，撰写一个详细的课题计划书。以</w:t>
      </w:r>
      <w:r>
        <w:rPr>
          <w:rFonts w:ascii="宋体" w:hAnsi="宋体" w:eastAsia="宋体" w:cs="宋体"/>
          <w:sz w:val="20"/>
          <w:szCs w:val="20"/>
        </w:rPr>
        <w:t xml:space="preserve">  </w:t>
      </w:r>
      <w:r>
        <w:rPr>
          <w:rFonts w:ascii="Times New Roman" w:hAnsi="Times New Roman" w:eastAsia="Times New Roman" w:cs="Times New Roman"/>
          <w:spacing w:val="-2"/>
          <w:sz w:val="20"/>
          <w:szCs w:val="20"/>
        </w:rPr>
        <w:t xml:space="preserve">Cochrane </w:t>
      </w:r>
      <w:r>
        <w:rPr>
          <w:rFonts w:ascii="宋体" w:hAnsi="宋体" w:eastAsia="宋体" w:cs="宋体"/>
          <w:spacing w:val="-2"/>
          <w:sz w:val="20"/>
          <w:szCs w:val="20"/>
        </w:rPr>
        <w:t>系统综述为例，计划书主要包含以下内容：①本次系统综述或</w:t>
      </w:r>
      <w:r>
        <w:rPr>
          <w:rFonts w:ascii="Times New Roman" w:hAnsi="Times New Roman" w:eastAsia="Times New Roman" w:cs="Times New Roman"/>
          <w:spacing w:val="-2"/>
          <w:sz w:val="20"/>
          <w:szCs w:val="20"/>
        </w:rPr>
        <w:t>Meta</w:t>
      </w:r>
      <w:r>
        <w:rPr>
          <w:rFonts w:ascii="Times New Roman" w:hAnsi="Times New Roman" w:eastAsia="Times New Roman" w:cs="Times New Roman"/>
          <w:sz w:val="20"/>
          <w:szCs w:val="20"/>
        </w:rPr>
        <w:t xml:space="preserve"> </w:t>
      </w:r>
      <w:r>
        <w:rPr>
          <w:rFonts w:ascii="宋体" w:hAnsi="宋体" w:eastAsia="宋体" w:cs="宋体"/>
          <w:spacing w:val="-2"/>
          <w:sz w:val="20"/>
          <w:szCs w:val="20"/>
        </w:rPr>
        <w:t>分析的背景，即选题或</w:t>
      </w:r>
      <w:r>
        <w:rPr>
          <w:rFonts w:ascii="宋体" w:hAnsi="宋体" w:eastAsia="宋体" w:cs="宋体"/>
          <w:sz w:val="20"/>
          <w:szCs w:val="20"/>
        </w:rPr>
        <w:t xml:space="preserve">  </w:t>
      </w:r>
      <w:r>
        <w:rPr>
          <w:rFonts w:ascii="宋体" w:hAnsi="宋体" w:eastAsia="宋体" w:cs="宋体"/>
          <w:spacing w:val="-3"/>
          <w:sz w:val="20"/>
          <w:szCs w:val="20"/>
        </w:rPr>
        <w:t>立题的依据；②系统综述的目的；③纳人原始研究的标准；④检索策略；⑤系统综述的方法：选择、</w:t>
      </w:r>
      <w:r>
        <w:rPr>
          <w:rFonts w:ascii="宋体" w:hAnsi="宋体" w:eastAsia="宋体" w:cs="宋体"/>
          <w:sz w:val="20"/>
          <w:szCs w:val="20"/>
        </w:rPr>
        <w:t xml:space="preserve"> </w:t>
      </w:r>
      <w:r>
        <w:rPr>
          <w:rFonts w:ascii="宋体" w:hAnsi="宋体" w:eastAsia="宋体" w:cs="宋体"/>
          <w:spacing w:val="-13"/>
          <w:sz w:val="20"/>
          <w:szCs w:val="20"/>
        </w:rPr>
        <w:t>评价、收集数据、结果分析；⑥其他：封面、致谢、</w:t>
      </w:r>
      <w:r>
        <w:rPr>
          <w:rFonts w:ascii="宋体" w:hAnsi="宋体" w:eastAsia="宋体" w:cs="宋体"/>
          <w:spacing w:val="-14"/>
          <w:sz w:val="20"/>
          <w:szCs w:val="20"/>
        </w:rPr>
        <w:t>利益冲突、参考文献；⑦时间安排、人员、经费和结</w:t>
      </w:r>
      <w:r>
        <w:rPr>
          <w:rFonts w:ascii="宋体" w:hAnsi="宋体" w:eastAsia="宋体" w:cs="宋体"/>
          <w:sz w:val="20"/>
          <w:szCs w:val="20"/>
        </w:rPr>
        <w:t xml:space="preserve">  </w:t>
      </w:r>
      <w:r>
        <w:rPr>
          <w:rFonts w:ascii="宋体" w:hAnsi="宋体" w:eastAsia="宋体" w:cs="宋体"/>
          <w:spacing w:val="4"/>
          <w:sz w:val="20"/>
          <w:szCs w:val="20"/>
        </w:rPr>
        <w:t>果传播等。</w:t>
      </w:r>
    </w:p>
    <w:p w14:paraId="68078774">
      <w:pPr>
        <w:pStyle w:val="2"/>
        <w:spacing w:before="163" w:line="222" w:lineRule="auto"/>
        <w:ind w:left="389"/>
        <w:rPr>
          <w:sz w:val="20"/>
          <w:szCs w:val="20"/>
        </w:rPr>
      </w:pPr>
      <w:r>
        <w:rPr>
          <w:spacing w:val="21"/>
          <w:sz w:val="20"/>
          <w:szCs w:val="20"/>
        </w:rPr>
        <w:t>(二)检索和收集原始文献</w:t>
      </w:r>
    </w:p>
    <w:p w14:paraId="46F91CF3">
      <w:pPr>
        <w:pStyle w:val="2"/>
        <w:spacing w:before="129" w:line="342" w:lineRule="auto"/>
        <w:ind w:right="603" w:firstLine="389"/>
        <w:jc w:val="both"/>
        <w:rPr>
          <w:rFonts w:ascii="宋体" w:hAnsi="宋体" w:eastAsia="宋体" w:cs="宋体"/>
          <w:sz w:val="20"/>
          <w:szCs w:val="20"/>
        </w:rPr>
      </w:pPr>
      <w:r>
        <w:rPr>
          <w:rFonts w:ascii="宋体" w:hAnsi="宋体" w:eastAsia="宋体" w:cs="宋体"/>
          <w:spacing w:val="7"/>
          <w:sz w:val="20"/>
          <w:szCs w:val="20"/>
        </w:rPr>
        <w:t>1.</w:t>
      </w:r>
      <w:r>
        <w:rPr>
          <w:rFonts w:ascii="宋体" w:hAnsi="宋体" w:eastAsia="宋体" w:cs="宋体"/>
          <w:spacing w:val="33"/>
          <w:sz w:val="20"/>
          <w:szCs w:val="20"/>
        </w:rPr>
        <w:t xml:space="preserve"> </w:t>
      </w:r>
      <w:r>
        <w:rPr>
          <w:spacing w:val="7"/>
          <w:sz w:val="20"/>
          <w:szCs w:val="20"/>
        </w:rPr>
        <w:t>制定综合检索策略</w:t>
      </w:r>
      <w:r>
        <w:rPr>
          <w:sz w:val="20"/>
          <w:szCs w:val="20"/>
        </w:rPr>
        <w:t xml:space="preserve">  </w:t>
      </w:r>
      <w:r>
        <w:rPr>
          <w:rFonts w:ascii="宋体" w:hAnsi="宋体" w:eastAsia="宋体" w:cs="宋体"/>
          <w:spacing w:val="7"/>
          <w:sz w:val="20"/>
          <w:szCs w:val="20"/>
        </w:rPr>
        <w:t>根据研究问题确定检索</w:t>
      </w:r>
      <w:r>
        <w:rPr>
          <w:rFonts w:ascii="宋体" w:hAnsi="宋体" w:eastAsia="宋体" w:cs="宋体"/>
          <w:spacing w:val="6"/>
          <w:sz w:val="20"/>
          <w:szCs w:val="20"/>
        </w:rPr>
        <w:t>词，将检索词进行不同组合从而形成检索策</w:t>
      </w:r>
      <w:r>
        <w:rPr>
          <w:rFonts w:ascii="宋体" w:hAnsi="宋体" w:eastAsia="宋体" w:cs="宋体"/>
          <w:sz w:val="20"/>
          <w:szCs w:val="20"/>
        </w:rPr>
        <w:t xml:space="preserve"> </w:t>
      </w:r>
      <w:r>
        <w:rPr>
          <w:rFonts w:ascii="宋体" w:hAnsi="宋体" w:eastAsia="宋体" w:cs="宋体"/>
          <w:spacing w:val="4"/>
          <w:sz w:val="20"/>
          <w:szCs w:val="20"/>
        </w:rPr>
        <w:t>略。检索策略最好是在信息检索专家指导或参与下制定，以提高检索策略的灵敏度和特异度。灵</w:t>
      </w:r>
      <w:r>
        <w:rPr>
          <w:rFonts w:ascii="宋体" w:hAnsi="宋体" w:eastAsia="宋体" w:cs="宋体"/>
          <w:spacing w:val="13"/>
          <w:sz w:val="20"/>
          <w:szCs w:val="20"/>
        </w:rPr>
        <w:t xml:space="preserve"> </w:t>
      </w:r>
      <w:r>
        <w:rPr>
          <w:rFonts w:ascii="宋体" w:hAnsi="宋体" w:eastAsia="宋体" w:cs="宋体"/>
          <w:sz w:val="20"/>
          <w:szCs w:val="20"/>
        </w:rPr>
        <w:t>敏度是查全文献的能力，特异度则反映查准文献的能力。如果检索策略的灵</w:t>
      </w:r>
      <w:r>
        <w:rPr>
          <w:rFonts w:ascii="宋体" w:hAnsi="宋体" w:eastAsia="宋体" w:cs="宋体"/>
          <w:spacing w:val="-1"/>
          <w:sz w:val="20"/>
          <w:szCs w:val="20"/>
        </w:rPr>
        <w:t>敏度很高，通常不会漏</w:t>
      </w:r>
      <w:r>
        <w:rPr>
          <w:rFonts w:ascii="宋体" w:hAnsi="宋体" w:eastAsia="宋体" w:cs="宋体"/>
          <w:sz w:val="20"/>
          <w:szCs w:val="20"/>
        </w:rPr>
        <w:t xml:space="preserve"> 检文献，但必会包括一些无关文献，增加筛选文献的工作量。如果检索策略的</w:t>
      </w:r>
      <w:r>
        <w:rPr>
          <w:rFonts w:ascii="宋体" w:hAnsi="宋体" w:eastAsia="宋体" w:cs="宋体"/>
          <w:spacing w:val="-1"/>
          <w:sz w:val="20"/>
          <w:szCs w:val="20"/>
        </w:rPr>
        <w:t>特异度很高，命中的</w:t>
      </w:r>
      <w:r>
        <w:rPr>
          <w:rFonts w:ascii="宋体" w:hAnsi="宋体" w:eastAsia="宋体" w:cs="宋体"/>
          <w:sz w:val="20"/>
          <w:szCs w:val="20"/>
        </w:rPr>
        <w:t xml:space="preserve"> 文献基本符合要求，但会导致文献的漏检率增加。以“慢性肾病病人服用</w:t>
      </w:r>
      <w:r>
        <w:rPr>
          <w:rFonts w:ascii="宋体" w:hAnsi="宋体" w:eastAsia="宋体" w:cs="宋体"/>
          <w:spacing w:val="-1"/>
          <w:sz w:val="20"/>
          <w:szCs w:val="20"/>
        </w:rPr>
        <w:t>长链多不饱和脂肪酸预防</w:t>
      </w:r>
      <w:r>
        <w:rPr>
          <w:rFonts w:ascii="宋体" w:hAnsi="宋体" w:eastAsia="宋体" w:cs="宋体"/>
          <w:sz w:val="20"/>
          <w:szCs w:val="20"/>
        </w:rPr>
        <w:t xml:space="preserve"> </w:t>
      </w:r>
      <w:r>
        <w:rPr>
          <w:rFonts w:ascii="宋体" w:hAnsi="宋体" w:eastAsia="宋体" w:cs="宋体"/>
          <w:spacing w:val="-3"/>
          <w:sz w:val="20"/>
          <w:szCs w:val="20"/>
        </w:rPr>
        <w:t>或延缓肾病进展是否优于安慰剂对照?”为例，使用三组检索词：第一组涉及干预措施，即多不饱和</w:t>
      </w:r>
      <w:r>
        <w:rPr>
          <w:rFonts w:ascii="宋体" w:hAnsi="宋体" w:eastAsia="宋体" w:cs="宋体"/>
          <w:spacing w:val="17"/>
          <w:sz w:val="20"/>
          <w:szCs w:val="20"/>
        </w:rPr>
        <w:t xml:space="preserve"> </w:t>
      </w:r>
      <w:r>
        <w:rPr>
          <w:rFonts w:ascii="宋体" w:hAnsi="宋体" w:eastAsia="宋体" w:cs="宋体"/>
          <w:spacing w:val="-1"/>
          <w:sz w:val="20"/>
          <w:szCs w:val="20"/>
        </w:rPr>
        <w:t>脂肪酸的各种可能词汇；第二组检索词涉及疾病，即慢性肾病的各种可能词汇；第三组检索词涉及</w:t>
      </w:r>
      <w:r>
        <w:rPr>
          <w:rFonts w:ascii="宋体" w:hAnsi="宋体" w:eastAsia="宋体" w:cs="宋体"/>
          <w:spacing w:val="2"/>
          <w:sz w:val="20"/>
          <w:szCs w:val="20"/>
        </w:rPr>
        <w:t xml:space="preserve"> 研究方法。上述每组词汇内部以逻辑符</w:t>
      </w:r>
      <w:r>
        <w:rPr>
          <w:rFonts w:ascii="Times New Roman" w:hAnsi="Times New Roman" w:eastAsia="Times New Roman" w:cs="Times New Roman"/>
          <w:spacing w:val="2"/>
          <w:sz w:val="20"/>
          <w:szCs w:val="20"/>
        </w:rPr>
        <w:t>“</w:t>
      </w:r>
      <w:r>
        <w:rPr>
          <w:rFonts w:ascii="Times New Roman" w:hAnsi="Times New Roman" w:eastAsia="Times New Roman" w:cs="Times New Roman"/>
          <w:sz w:val="20"/>
          <w:szCs w:val="20"/>
        </w:rPr>
        <w:t>OR</w:t>
      </w:r>
      <w:r>
        <w:rPr>
          <w:rFonts w:ascii="Times New Roman" w:hAnsi="Times New Roman" w:eastAsia="Times New Roman" w:cs="Times New Roman"/>
          <w:spacing w:val="2"/>
          <w:sz w:val="20"/>
          <w:szCs w:val="20"/>
        </w:rPr>
        <w:t>”</w:t>
      </w:r>
      <w:r>
        <w:rPr>
          <w:rFonts w:ascii="Times New Roman" w:hAnsi="Times New Roman" w:eastAsia="Times New Roman" w:cs="Times New Roman"/>
          <w:spacing w:val="-18"/>
          <w:sz w:val="20"/>
          <w:szCs w:val="20"/>
        </w:rPr>
        <w:t xml:space="preserve"> </w:t>
      </w:r>
      <w:r>
        <w:rPr>
          <w:rFonts w:ascii="宋体" w:hAnsi="宋体" w:eastAsia="宋体" w:cs="宋体"/>
          <w:spacing w:val="2"/>
          <w:sz w:val="20"/>
          <w:szCs w:val="20"/>
        </w:rPr>
        <w:t>相连，三组词汇</w:t>
      </w:r>
      <w:r>
        <w:rPr>
          <w:rFonts w:ascii="宋体" w:hAnsi="宋体" w:eastAsia="宋体" w:cs="宋体"/>
          <w:spacing w:val="1"/>
          <w:sz w:val="20"/>
          <w:szCs w:val="20"/>
        </w:rPr>
        <w:t>之间则以逻辑符</w:t>
      </w:r>
      <w:r>
        <w:rPr>
          <w:rFonts w:ascii="Times New Roman" w:hAnsi="Times New Roman" w:eastAsia="Times New Roman" w:cs="Times New Roman"/>
          <w:spacing w:val="1"/>
          <w:sz w:val="20"/>
          <w:szCs w:val="20"/>
        </w:rPr>
        <w:t>“</w:t>
      </w:r>
      <w:r>
        <w:rPr>
          <w:rFonts w:ascii="Times New Roman" w:hAnsi="Times New Roman" w:eastAsia="Times New Roman" w:cs="Times New Roman"/>
          <w:sz w:val="20"/>
          <w:szCs w:val="20"/>
        </w:rPr>
        <w:t>AND</w:t>
      </w:r>
      <w:r>
        <w:rPr>
          <w:rFonts w:ascii="Times New Roman" w:hAnsi="Times New Roman" w:eastAsia="Times New Roman" w:cs="Times New Roman"/>
          <w:spacing w:val="1"/>
          <w:sz w:val="20"/>
          <w:szCs w:val="20"/>
        </w:rPr>
        <w:t>”</w:t>
      </w:r>
      <w:r>
        <w:rPr>
          <w:rFonts w:ascii="宋体" w:hAnsi="宋体" w:eastAsia="宋体" w:cs="宋体"/>
          <w:spacing w:val="1"/>
          <w:sz w:val="20"/>
          <w:szCs w:val="20"/>
        </w:rPr>
        <w:t>相连，从而构</w:t>
      </w:r>
    </w:p>
    <w:p w14:paraId="46D551ED">
      <w:pPr>
        <w:spacing w:line="342" w:lineRule="auto"/>
        <w:rPr>
          <w:rFonts w:ascii="宋体" w:hAnsi="宋体" w:eastAsia="宋体" w:cs="宋体"/>
          <w:sz w:val="20"/>
          <w:szCs w:val="20"/>
        </w:rPr>
        <w:sectPr>
          <w:footerReference r:id="rId300" w:type="default"/>
          <w:pgSz w:w="11900" w:h="16820"/>
          <w:pgMar w:top="400" w:right="1054" w:bottom="829" w:left="1650" w:header="0" w:footer="649" w:gutter="0"/>
          <w:cols w:space="720" w:num="1"/>
        </w:sectPr>
      </w:pPr>
    </w:p>
    <w:p w14:paraId="3201AB2B">
      <w:pPr>
        <w:spacing w:line="269" w:lineRule="auto"/>
        <w:rPr>
          <w:rFonts w:ascii="Arial"/>
          <w:sz w:val="21"/>
        </w:rPr>
      </w:pPr>
    </w:p>
    <w:p w14:paraId="6B783F95">
      <w:pPr>
        <w:pStyle w:val="2"/>
        <w:spacing w:before="65" w:line="221" w:lineRule="auto"/>
        <w:ind w:left="699"/>
        <w:rPr>
          <w:sz w:val="20"/>
          <w:szCs w:val="20"/>
        </w:rPr>
      </w:pPr>
      <w:bookmarkStart w:id="469" w:name="bookmark559"/>
      <w:bookmarkEnd w:id="469"/>
      <w:r>
        <w:rPr>
          <w:spacing w:val="-22"/>
          <w:w w:val="99"/>
          <w:sz w:val="20"/>
          <w:szCs w:val="20"/>
        </w:rPr>
        <w:t>第十八章 循证医学与系统综述</w:t>
      </w:r>
    </w:p>
    <w:p w14:paraId="2F7A1584">
      <w:pPr>
        <w:spacing w:line="266" w:lineRule="auto"/>
        <w:rPr>
          <w:rFonts w:ascii="Arial"/>
          <w:sz w:val="21"/>
        </w:rPr>
      </w:pPr>
    </w:p>
    <w:p w14:paraId="2CBCF73B">
      <w:pPr>
        <w:spacing w:line="266" w:lineRule="auto"/>
        <w:rPr>
          <w:rFonts w:ascii="Arial"/>
          <w:sz w:val="21"/>
        </w:rPr>
      </w:pPr>
    </w:p>
    <w:p w14:paraId="4AD854B9">
      <w:pPr>
        <w:spacing w:before="65" w:line="337" w:lineRule="auto"/>
        <w:ind w:left="699" w:right="109"/>
        <w:rPr>
          <w:rFonts w:ascii="宋体" w:hAnsi="宋体" w:eastAsia="宋体" w:cs="宋体"/>
          <w:sz w:val="20"/>
          <w:szCs w:val="20"/>
        </w:rPr>
      </w:pPr>
      <w:r>
        <w:rPr>
          <w:rFonts w:ascii="宋体" w:hAnsi="宋体" w:eastAsia="宋体" w:cs="宋体"/>
          <w:spacing w:val="7"/>
          <w:sz w:val="20"/>
          <w:szCs w:val="20"/>
        </w:rPr>
        <w:t>成检索策略。必要时，也可以使用</w:t>
      </w:r>
      <w:r>
        <w:rPr>
          <w:rFonts w:ascii="Times New Roman" w:hAnsi="Times New Roman" w:eastAsia="Times New Roman" w:cs="Times New Roman"/>
          <w:sz w:val="20"/>
          <w:szCs w:val="20"/>
        </w:rPr>
        <w:t>PICO</w:t>
      </w:r>
      <w:r>
        <w:rPr>
          <w:rFonts w:ascii="宋体" w:hAnsi="宋体" w:eastAsia="宋体" w:cs="宋体"/>
          <w:spacing w:val="7"/>
          <w:sz w:val="20"/>
          <w:szCs w:val="20"/>
        </w:rPr>
        <w:t>中 的</w:t>
      </w:r>
      <w:r>
        <w:rPr>
          <w:rFonts w:ascii="Times New Roman" w:hAnsi="Times New Roman" w:eastAsia="Times New Roman" w:cs="Times New Roman"/>
          <w:spacing w:val="7"/>
          <w:sz w:val="20"/>
          <w:szCs w:val="20"/>
        </w:rPr>
        <w:t>C</w:t>
      </w:r>
      <w:r>
        <w:rPr>
          <w:rFonts w:ascii="Times New Roman" w:hAnsi="Times New Roman" w:eastAsia="Times New Roman" w:cs="Times New Roman"/>
          <w:spacing w:val="-24"/>
          <w:sz w:val="20"/>
          <w:szCs w:val="20"/>
        </w:rPr>
        <w:t xml:space="preserve"> </w:t>
      </w:r>
      <w:r>
        <w:rPr>
          <w:rFonts w:ascii="宋体" w:hAnsi="宋体" w:eastAsia="宋体" w:cs="宋体"/>
          <w:spacing w:val="7"/>
          <w:sz w:val="20"/>
          <w:szCs w:val="20"/>
        </w:rPr>
        <w:t>、</w:t>
      </w:r>
      <w:r>
        <w:rPr>
          <w:rFonts w:ascii="Times New Roman" w:hAnsi="Times New Roman" w:eastAsia="Times New Roman" w:cs="Times New Roman"/>
          <w:spacing w:val="7"/>
          <w:sz w:val="20"/>
          <w:szCs w:val="20"/>
        </w:rPr>
        <w:t>0</w:t>
      </w:r>
      <w:r>
        <w:rPr>
          <w:rFonts w:ascii="宋体" w:hAnsi="宋体" w:eastAsia="宋体" w:cs="宋体"/>
          <w:spacing w:val="7"/>
          <w:sz w:val="20"/>
          <w:szCs w:val="20"/>
        </w:rPr>
        <w:t>和研究设计类型或研究的环境和条件对检索进行</w:t>
      </w:r>
      <w:r>
        <w:rPr>
          <w:rFonts w:ascii="宋体" w:hAnsi="宋体" w:eastAsia="宋体" w:cs="宋体"/>
          <w:sz w:val="20"/>
          <w:szCs w:val="20"/>
        </w:rPr>
        <w:t xml:space="preserve"> 限制，以增加检索的特异度，减少不必要的筛选工作量。</w:t>
      </w:r>
    </w:p>
    <w:p w14:paraId="1B5204D6">
      <w:pPr>
        <w:pStyle w:val="2"/>
        <w:spacing w:before="1" w:line="342" w:lineRule="auto"/>
        <w:ind w:left="699" w:right="84" w:firstLine="399"/>
        <w:jc w:val="both"/>
        <w:rPr>
          <w:rFonts w:ascii="宋体" w:hAnsi="宋体" w:eastAsia="宋体" w:cs="宋体"/>
          <w:sz w:val="20"/>
          <w:szCs w:val="20"/>
        </w:rPr>
      </w:pPr>
      <w:r>
        <w:rPr>
          <w:rFonts w:ascii="宋体" w:hAnsi="宋体" w:eastAsia="宋体" w:cs="宋体"/>
          <w:spacing w:val="11"/>
          <w:sz w:val="20"/>
          <w:szCs w:val="20"/>
        </w:rPr>
        <w:t xml:space="preserve">2. </w:t>
      </w:r>
      <w:r>
        <w:rPr>
          <w:spacing w:val="11"/>
          <w:sz w:val="20"/>
          <w:szCs w:val="20"/>
        </w:rPr>
        <w:t>文献来源</w:t>
      </w:r>
      <w:r>
        <w:rPr>
          <w:spacing w:val="83"/>
          <w:sz w:val="20"/>
          <w:szCs w:val="20"/>
        </w:rPr>
        <w:t xml:space="preserve"> </w:t>
      </w:r>
      <w:r>
        <w:rPr>
          <w:rFonts w:ascii="宋体" w:hAnsi="宋体" w:eastAsia="宋体" w:cs="宋体"/>
          <w:spacing w:val="11"/>
          <w:sz w:val="20"/>
          <w:szCs w:val="20"/>
        </w:rPr>
        <w:t>资料收集的原则是多途径、多渠道、最</w:t>
      </w:r>
      <w:r>
        <w:rPr>
          <w:rFonts w:ascii="宋体" w:hAnsi="宋体" w:eastAsia="宋体" w:cs="宋体"/>
          <w:spacing w:val="10"/>
          <w:sz w:val="20"/>
          <w:szCs w:val="20"/>
        </w:rPr>
        <w:t>大限度地收集相关文献。通常要检索多</w:t>
      </w:r>
      <w:r>
        <w:rPr>
          <w:rFonts w:ascii="宋体" w:hAnsi="宋体" w:eastAsia="宋体" w:cs="宋体"/>
          <w:sz w:val="20"/>
          <w:szCs w:val="20"/>
        </w:rPr>
        <w:t xml:space="preserve"> </w:t>
      </w:r>
      <w:r>
        <w:rPr>
          <w:rFonts w:ascii="宋体" w:hAnsi="宋体" w:eastAsia="宋体" w:cs="宋体"/>
          <w:spacing w:val="9"/>
          <w:sz w:val="20"/>
          <w:szCs w:val="20"/>
        </w:rPr>
        <w:t>种电子资源数据库(表18-2),并辅以参考文献的追溯、手工检索等。检索时特别要注意那些未正式</w:t>
      </w:r>
      <w:r>
        <w:rPr>
          <w:rFonts w:ascii="宋体" w:hAnsi="宋体" w:eastAsia="宋体" w:cs="宋体"/>
          <w:spacing w:val="12"/>
          <w:sz w:val="20"/>
          <w:szCs w:val="20"/>
        </w:rPr>
        <w:t xml:space="preserve"> </w:t>
      </w:r>
      <w:r>
        <w:rPr>
          <w:rFonts w:ascii="宋体" w:hAnsi="宋体" w:eastAsia="宋体" w:cs="宋体"/>
          <w:spacing w:val="-5"/>
          <w:sz w:val="20"/>
          <w:szCs w:val="20"/>
        </w:rPr>
        <w:t>发表的“灰色文献”(grey literature),如会议专题论文、未发表的学位论文、专著内的章节、制药工厂</w:t>
      </w:r>
      <w:r>
        <w:rPr>
          <w:rFonts w:ascii="宋体" w:hAnsi="宋体" w:eastAsia="宋体" w:cs="宋体"/>
          <w:spacing w:val="5"/>
          <w:sz w:val="20"/>
          <w:szCs w:val="20"/>
        </w:rPr>
        <w:t xml:space="preserve"> </w:t>
      </w:r>
      <w:r>
        <w:rPr>
          <w:rFonts w:ascii="宋体" w:hAnsi="宋体" w:eastAsia="宋体" w:cs="宋体"/>
          <w:spacing w:val="12"/>
          <w:sz w:val="20"/>
          <w:szCs w:val="20"/>
        </w:rPr>
        <w:t>的报告等很难检索到的文献，因为这些文献中可能包含阴性研究结果。由于阴性试验一般较少被</w:t>
      </w:r>
      <w:r>
        <w:rPr>
          <w:rFonts w:ascii="宋体" w:hAnsi="宋体" w:eastAsia="宋体" w:cs="宋体"/>
          <w:spacing w:val="3"/>
          <w:sz w:val="20"/>
          <w:szCs w:val="20"/>
        </w:rPr>
        <w:t xml:space="preserve"> </w:t>
      </w:r>
      <w:r>
        <w:rPr>
          <w:rFonts w:ascii="宋体" w:hAnsi="宋体" w:eastAsia="宋体" w:cs="宋体"/>
          <w:spacing w:val="8"/>
          <w:sz w:val="20"/>
          <w:szCs w:val="20"/>
        </w:rPr>
        <w:t>投稿和发表，其他来源的资料对这些未发表的试验也较少提及，因此若系统</w:t>
      </w:r>
      <w:r>
        <w:rPr>
          <w:rFonts w:ascii="宋体" w:hAnsi="宋体" w:eastAsia="宋体" w:cs="宋体"/>
          <w:spacing w:val="7"/>
          <w:sz w:val="20"/>
          <w:szCs w:val="20"/>
        </w:rPr>
        <w:t>综述只包括那些有限的</w:t>
      </w:r>
      <w:r>
        <w:rPr>
          <w:rFonts w:ascii="宋体" w:hAnsi="宋体" w:eastAsia="宋体" w:cs="宋体"/>
          <w:sz w:val="20"/>
          <w:szCs w:val="20"/>
        </w:rPr>
        <w:t xml:space="preserve"> </w:t>
      </w:r>
      <w:r>
        <w:rPr>
          <w:rFonts w:ascii="宋体" w:hAnsi="宋体" w:eastAsia="宋体" w:cs="宋体"/>
          <w:spacing w:val="-1"/>
          <w:sz w:val="20"/>
          <w:szCs w:val="20"/>
        </w:rPr>
        <w:t>已发表的试验，可能会导致假阳性结果。</w:t>
      </w:r>
    </w:p>
    <w:p w14:paraId="683ECDE9">
      <w:pPr>
        <w:spacing w:before="157" w:line="221" w:lineRule="auto"/>
        <w:ind w:left="1929"/>
        <w:rPr>
          <w:rFonts w:ascii="宋体" w:hAnsi="宋体" w:eastAsia="宋体" w:cs="宋体"/>
          <w:sz w:val="20"/>
          <w:szCs w:val="20"/>
        </w:rPr>
      </w:pPr>
      <w:r>
        <w:rPr>
          <w:rFonts w:ascii="宋体" w:hAnsi="宋体" w:eastAsia="宋体" w:cs="宋体"/>
          <w:spacing w:val="1"/>
          <w:sz w:val="20"/>
          <w:szCs w:val="20"/>
        </w:rPr>
        <w:t>表18-2                         系统</w:t>
      </w:r>
      <w:r>
        <w:rPr>
          <w:rFonts w:ascii="宋体" w:hAnsi="宋体" w:eastAsia="宋体" w:cs="宋体"/>
          <w:sz w:val="20"/>
          <w:szCs w:val="20"/>
        </w:rPr>
        <w:t>综述和Meta分析常用电子资源数据库</w:t>
      </w:r>
    </w:p>
    <w:p w14:paraId="70B93284">
      <w:pPr>
        <w:spacing w:line="81" w:lineRule="auto"/>
        <w:rPr>
          <w:rFonts w:ascii="Arial"/>
          <w:sz w:val="2"/>
        </w:rPr>
      </w:pPr>
    </w:p>
    <w:tbl>
      <w:tblPr>
        <w:tblStyle w:val="5"/>
        <w:tblW w:w="8280" w:type="dxa"/>
        <w:tblInd w:w="749"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0" w:type="dxa"/>
          <w:left w:w="0" w:type="dxa"/>
          <w:bottom w:w="0" w:type="dxa"/>
          <w:right w:w="0" w:type="dxa"/>
        </w:tblCellMar>
      </w:tblPr>
      <w:tblGrid>
        <w:gridCol w:w="2990"/>
        <w:gridCol w:w="5290"/>
      </w:tblGrid>
      <w:tr w14:paraId="5C605D87">
        <w:trPr>
          <w:trHeight w:val="364" w:hRule="atLeast"/>
        </w:trPr>
        <w:tc>
          <w:tcPr>
            <w:tcW w:w="2990" w:type="dxa"/>
            <w:tcBorders>
              <w:top w:val="single" w:color="000000" w:sz="4" w:space="0"/>
              <w:bottom w:val="single" w:color="000000" w:sz="4" w:space="0"/>
            </w:tcBorders>
            <w:vAlign w:val="top"/>
          </w:tcPr>
          <w:p w14:paraId="389A29D1">
            <w:pPr>
              <w:pStyle w:val="6"/>
              <w:spacing w:before="83" w:line="220" w:lineRule="auto"/>
              <w:ind w:left="1279"/>
            </w:pPr>
            <w:r>
              <w:rPr>
                <w:spacing w:val="7"/>
              </w:rPr>
              <w:t>语种</w:t>
            </w:r>
          </w:p>
        </w:tc>
        <w:tc>
          <w:tcPr>
            <w:tcW w:w="5290" w:type="dxa"/>
            <w:tcBorders>
              <w:top w:val="single" w:color="000000" w:sz="4" w:space="0"/>
              <w:bottom w:val="single" w:color="000000" w:sz="4" w:space="0"/>
            </w:tcBorders>
            <w:vAlign w:val="top"/>
          </w:tcPr>
          <w:p w14:paraId="751745BE">
            <w:pPr>
              <w:pStyle w:val="6"/>
              <w:spacing w:before="83" w:line="219" w:lineRule="auto"/>
              <w:ind w:left="1310"/>
            </w:pPr>
            <w:r>
              <w:rPr>
                <w:spacing w:val="-2"/>
              </w:rPr>
              <w:t>数据库名称</w:t>
            </w:r>
          </w:p>
        </w:tc>
      </w:tr>
      <w:tr w14:paraId="43E1EC73">
        <w:trPr>
          <w:trHeight w:val="1776" w:hRule="atLeast"/>
        </w:trPr>
        <w:tc>
          <w:tcPr>
            <w:tcW w:w="2990" w:type="dxa"/>
            <w:tcBorders>
              <w:top w:val="single" w:color="000000" w:sz="4" w:space="0"/>
              <w:bottom w:val="single" w:color="000000" w:sz="4" w:space="0"/>
            </w:tcBorders>
            <w:vAlign w:val="top"/>
          </w:tcPr>
          <w:p w14:paraId="4306612B">
            <w:pPr>
              <w:pStyle w:val="6"/>
              <w:spacing w:before="79" w:line="220" w:lineRule="auto"/>
              <w:ind w:left="1279"/>
            </w:pPr>
            <w:r>
              <w:rPr>
                <w:spacing w:val="5"/>
              </w:rPr>
              <w:t>中文</w:t>
            </w:r>
          </w:p>
        </w:tc>
        <w:tc>
          <w:tcPr>
            <w:tcW w:w="5290" w:type="dxa"/>
            <w:tcBorders>
              <w:top w:val="single" w:color="000000" w:sz="4" w:space="0"/>
              <w:bottom w:val="single" w:color="000000" w:sz="4" w:space="0"/>
            </w:tcBorders>
            <w:vAlign w:val="top"/>
          </w:tcPr>
          <w:p w14:paraId="414277B3">
            <w:pPr>
              <w:pStyle w:val="6"/>
              <w:spacing w:before="78" w:line="326" w:lineRule="auto"/>
              <w:ind w:left="1319" w:right="636" w:hanging="9"/>
              <w:jc w:val="both"/>
            </w:pPr>
            <w:r>
              <w:rPr>
                <w:spacing w:val="3"/>
              </w:rPr>
              <w:t>中国生物医学文献服务系统(</w:t>
            </w:r>
            <w:r>
              <w:t>SinoMed</w:t>
            </w:r>
            <w:r>
              <w:rPr>
                <w:spacing w:val="3"/>
              </w:rPr>
              <w:t>)</w:t>
            </w:r>
            <w:r>
              <w:t xml:space="preserve"> </w:t>
            </w:r>
            <w:r>
              <w:rPr>
                <w:spacing w:val="2"/>
              </w:rPr>
              <w:t>中文生物医学期刊文献数据库(</w:t>
            </w:r>
            <w:r>
              <w:t>CMCC</w:t>
            </w:r>
            <w:r>
              <w:rPr>
                <w:spacing w:val="2"/>
              </w:rPr>
              <w:t>)</w:t>
            </w:r>
            <w:r>
              <w:rPr>
                <w:spacing w:val="6"/>
              </w:rPr>
              <w:t xml:space="preserve">  </w:t>
            </w:r>
            <w:r>
              <w:rPr>
                <w:spacing w:val="7"/>
              </w:rPr>
              <w:t>中国知网(</w:t>
            </w:r>
            <w:r>
              <w:t>CNKI</w:t>
            </w:r>
            <w:r>
              <w:rPr>
                <w:spacing w:val="7"/>
              </w:rPr>
              <w:t>)</w:t>
            </w:r>
          </w:p>
          <w:p w14:paraId="134921ED">
            <w:pPr>
              <w:pStyle w:val="6"/>
              <w:spacing w:before="1" w:line="289" w:lineRule="auto"/>
              <w:ind w:left="1310" w:right="1236"/>
            </w:pPr>
            <w:r>
              <w:rPr>
                <w:spacing w:val="3"/>
              </w:rPr>
              <w:t>中文科技期刊全文数据库(</w:t>
            </w:r>
            <w:r>
              <w:t>VIP</w:t>
            </w:r>
            <w:r>
              <w:rPr>
                <w:spacing w:val="3"/>
              </w:rPr>
              <w:t xml:space="preserve">) </w:t>
            </w:r>
            <w:r>
              <w:rPr>
                <w:spacing w:val="2"/>
              </w:rPr>
              <w:t>万方数据库</w:t>
            </w:r>
          </w:p>
        </w:tc>
      </w:tr>
      <w:tr w14:paraId="302850A0">
        <w:trPr>
          <w:trHeight w:val="2150" w:hRule="atLeast"/>
        </w:trPr>
        <w:tc>
          <w:tcPr>
            <w:tcW w:w="2990" w:type="dxa"/>
            <w:tcBorders>
              <w:top w:val="single" w:color="000000" w:sz="4" w:space="0"/>
              <w:bottom w:val="single" w:color="000000" w:sz="4" w:space="0"/>
            </w:tcBorders>
            <w:vAlign w:val="top"/>
          </w:tcPr>
          <w:p w14:paraId="77DAD41E">
            <w:pPr>
              <w:spacing w:line="304" w:lineRule="auto"/>
              <w:rPr>
                <w:rFonts w:ascii="Arial"/>
                <w:sz w:val="21"/>
              </w:rPr>
            </w:pPr>
          </w:p>
          <w:p w14:paraId="64D13D5C">
            <w:pPr>
              <w:spacing w:line="304" w:lineRule="auto"/>
              <w:rPr>
                <w:rFonts w:ascii="Arial"/>
                <w:sz w:val="21"/>
              </w:rPr>
            </w:pPr>
          </w:p>
          <w:p w14:paraId="0ABE10C4">
            <w:pPr>
              <w:spacing w:line="305" w:lineRule="auto"/>
              <w:rPr>
                <w:rFonts w:ascii="Arial"/>
                <w:sz w:val="21"/>
              </w:rPr>
            </w:pPr>
          </w:p>
          <w:p w14:paraId="43D78BF3">
            <w:pPr>
              <w:pStyle w:val="6"/>
              <w:spacing w:before="65" w:line="220" w:lineRule="auto"/>
              <w:ind w:left="1279"/>
            </w:pPr>
            <w:r>
              <w:rPr>
                <w:spacing w:val="-3"/>
              </w:rPr>
              <w:t>英文</w:t>
            </w:r>
          </w:p>
        </w:tc>
        <w:tc>
          <w:tcPr>
            <w:tcW w:w="5290" w:type="dxa"/>
            <w:tcBorders>
              <w:top w:val="single" w:color="000000" w:sz="4" w:space="0"/>
              <w:bottom w:val="single" w:color="000000" w:sz="4" w:space="0"/>
            </w:tcBorders>
            <w:vAlign w:val="top"/>
          </w:tcPr>
          <w:p w14:paraId="2F5E8A8F">
            <w:pPr>
              <w:pStyle w:val="6"/>
              <w:spacing w:before="136" w:line="325" w:lineRule="auto"/>
              <w:ind w:left="1310" w:right="3281"/>
            </w:pPr>
            <w:r>
              <w:rPr>
                <w:spacing w:val="-1"/>
              </w:rPr>
              <w:t>MEDLINE</w:t>
            </w:r>
            <w:r>
              <w:rPr>
                <w:spacing w:val="4"/>
              </w:rPr>
              <w:t xml:space="preserve"> </w:t>
            </w:r>
            <w:r>
              <w:rPr>
                <w:spacing w:val="-1"/>
              </w:rPr>
              <w:t>PubMed</w:t>
            </w:r>
            <w:r>
              <w:t xml:space="preserve">  </w:t>
            </w:r>
            <w:r>
              <w:rPr>
                <w:spacing w:val="-1"/>
              </w:rPr>
              <w:t>Embase</w:t>
            </w:r>
          </w:p>
          <w:p w14:paraId="366891F6">
            <w:pPr>
              <w:pStyle w:val="6"/>
              <w:spacing w:line="239" w:lineRule="auto"/>
              <w:ind w:left="1310"/>
            </w:pPr>
            <w:r>
              <w:rPr>
                <w:spacing w:val="-2"/>
              </w:rPr>
              <w:t>Ovid</w:t>
            </w:r>
          </w:p>
          <w:p w14:paraId="7242C1DD">
            <w:pPr>
              <w:pStyle w:val="6"/>
              <w:spacing w:before="75" w:line="215" w:lineRule="auto"/>
              <w:ind w:left="1310"/>
            </w:pPr>
            <w:r>
              <w:rPr>
                <w:spacing w:val="-1"/>
              </w:rPr>
              <w:t>Cochrane Library</w:t>
            </w:r>
          </w:p>
          <w:p w14:paraId="25B87AA6">
            <w:pPr>
              <w:pStyle w:val="6"/>
              <w:spacing w:before="115" w:line="214" w:lineRule="auto"/>
              <w:ind w:left="1310"/>
            </w:pPr>
            <w:r>
              <w:rPr>
                <w:spacing w:val="-1"/>
              </w:rPr>
              <w:t>ClinicalTrials.gov</w:t>
            </w:r>
          </w:p>
        </w:tc>
      </w:tr>
    </w:tbl>
    <w:p w14:paraId="264B6AB2">
      <w:pPr>
        <w:spacing w:line="286" w:lineRule="auto"/>
        <w:rPr>
          <w:rFonts w:ascii="Arial"/>
          <w:sz w:val="21"/>
        </w:rPr>
      </w:pPr>
    </w:p>
    <w:p w14:paraId="27A3F6BA">
      <w:pPr>
        <w:pStyle w:val="2"/>
        <w:spacing w:before="75" w:line="222" w:lineRule="auto"/>
        <w:ind w:left="1099"/>
        <w:rPr>
          <w:sz w:val="23"/>
          <w:szCs w:val="23"/>
        </w:rPr>
      </w:pPr>
      <w:r>
        <w:rPr>
          <w:spacing w:val="-4"/>
          <w:sz w:val="23"/>
          <w:szCs w:val="23"/>
        </w:rPr>
        <w:t>(三)根据入选标准选择合格的研究</w:t>
      </w:r>
    </w:p>
    <w:p w14:paraId="3F92F49B">
      <w:pPr>
        <w:spacing w:before="113" w:line="346" w:lineRule="auto"/>
        <w:ind w:left="699" w:right="60" w:firstLine="399"/>
        <w:rPr>
          <w:rFonts w:ascii="宋体" w:hAnsi="宋体" w:eastAsia="宋体" w:cs="宋体"/>
          <w:sz w:val="20"/>
          <w:szCs w:val="20"/>
        </w:rPr>
      </w:pPr>
      <w:r>
        <w:rPr>
          <w:rFonts w:ascii="宋体" w:hAnsi="宋体" w:eastAsia="宋体" w:cs="宋体"/>
          <w:spacing w:val="9"/>
          <w:sz w:val="20"/>
          <w:szCs w:val="20"/>
        </w:rPr>
        <w:t>通过各种途径，尤其是计算机检索查到的文献可能很多，必须根据本</w:t>
      </w:r>
      <w:r>
        <w:rPr>
          <w:rFonts w:ascii="宋体" w:hAnsi="宋体" w:eastAsia="宋体" w:cs="宋体"/>
          <w:spacing w:val="8"/>
          <w:sz w:val="20"/>
          <w:szCs w:val="20"/>
        </w:rPr>
        <w:t>次研究的人选和排除标准</w:t>
      </w:r>
      <w:r>
        <w:rPr>
          <w:rFonts w:ascii="宋体" w:hAnsi="宋体" w:eastAsia="宋体" w:cs="宋体"/>
          <w:sz w:val="20"/>
          <w:szCs w:val="20"/>
        </w:rPr>
        <w:t xml:space="preserve"> </w:t>
      </w:r>
      <w:r>
        <w:rPr>
          <w:rFonts w:ascii="宋体" w:hAnsi="宋体" w:eastAsia="宋体" w:cs="宋体"/>
          <w:spacing w:val="6"/>
          <w:sz w:val="20"/>
          <w:szCs w:val="20"/>
        </w:rPr>
        <w:t>进行仔细的筛选，挑出合格的研究进行系统综述和</w:t>
      </w:r>
      <w:r>
        <w:rPr>
          <w:rFonts w:ascii="宋体" w:hAnsi="宋体" w:eastAsia="宋体" w:cs="宋体"/>
          <w:sz w:val="20"/>
          <w:szCs w:val="20"/>
        </w:rPr>
        <w:t>Meta</w:t>
      </w:r>
      <w:r>
        <w:rPr>
          <w:rFonts w:ascii="宋体" w:hAnsi="宋体" w:eastAsia="宋体" w:cs="宋体"/>
          <w:spacing w:val="-29"/>
          <w:sz w:val="20"/>
          <w:szCs w:val="20"/>
        </w:rPr>
        <w:t xml:space="preserve"> </w:t>
      </w:r>
      <w:r>
        <w:rPr>
          <w:rFonts w:ascii="宋体" w:hAnsi="宋体" w:eastAsia="宋体" w:cs="宋体"/>
          <w:spacing w:val="5"/>
          <w:sz w:val="20"/>
          <w:szCs w:val="20"/>
        </w:rPr>
        <w:t>分析。</w:t>
      </w:r>
    </w:p>
    <w:p w14:paraId="08B1AC7A">
      <w:pPr>
        <w:spacing w:before="2" w:line="332" w:lineRule="auto"/>
        <w:ind w:left="699" w:right="61" w:firstLine="399"/>
        <w:jc w:val="both"/>
        <w:rPr>
          <w:rFonts w:ascii="宋体" w:hAnsi="宋体" w:eastAsia="宋体" w:cs="宋体"/>
          <w:sz w:val="20"/>
          <w:szCs w:val="20"/>
        </w:rPr>
      </w:pPr>
      <w:r>
        <w:rPr>
          <w:rFonts w:ascii="宋体" w:hAnsi="宋体" w:eastAsia="宋体" w:cs="宋体"/>
          <w:spacing w:val="7"/>
          <w:sz w:val="20"/>
          <w:szCs w:val="20"/>
        </w:rPr>
        <w:t>文献的人选和排除标准主要取决于研究目的，因此要对</w:t>
      </w:r>
      <w:r>
        <w:rPr>
          <w:rFonts w:ascii="Times New Roman" w:hAnsi="Times New Roman" w:eastAsia="Times New Roman" w:cs="Times New Roman"/>
          <w:spacing w:val="7"/>
          <w:sz w:val="20"/>
          <w:szCs w:val="20"/>
        </w:rPr>
        <w:t>P</w:t>
      </w:r>
      <w:r>
        <w:rPr>
          <w:rFonts w:ascii="宋体" w:hAnsi="宋体" w:eastAsia="宋体" w:cs="宋体"/>
          <w:spacing w:val="7"/>
          <w:sz w:val="20"/>
          <w:szCs w:val="20"/>
        </w:rPr>
        <w:t>、</w:t>
      </w:r>
      <w:r>
        <w:rPr>
          <w:rFonts w:ascii="Times New Roman" w:hAnsi="Times New Roman" w:eastAsia="Times New Roman" w:cs="Times New Roman"/>
          <w:spacing w:val="7"/>
          <w:sz w:val="20"/>
          <w:szCs w:val="20"/>
        </w:rPr>
        <w:t>I</w:t>
      </w:r>
      <w:r>
        <w:rPr>
          <w:rFonts w:ascii="宋体" w:hAnsi="宋体" w:eastAsia="宋体" w:cs="宋体"/>
          <w:spacing w:val="7"/>
          <w:sz w:val="20"/>
          <w:szCs w:val="20"/>
        </w:rPr>
        <w:t>、</w:t>
      </w:r>
      <w:r>
        <w:rPr>
          <w:rFonts w:ascii="Times New Roman" w:hAnsi="Times New Roman" w:eastAsia="Times New Roman" w:cs="Times New Roman"/>
          <w:spacing w:val="7"/>
          <w:sz w:val="20"/>
          <w:szCs w:val="20"/>
        </w:rPr>
        <w:t>C</w:t>
      </w:r>
      <w:r>
        <w:rPr>
          <w:rFonts w:ascii="宋体" w:hAnsi="宋体" w:eastAsia="宋体" w:cs="宋体"/>
          <w:spacing w:val="7"/>
          <w:sz w:val="20"/>
          <w:szCs w:val="20"/>
        </w:rPr>
        <w:t>、</w:t>
      </w:r>
      <w:r>
        <w:rPr>
          <w:rFonts w:ascii="Times New Roman" w:hAnsi="Times New Roman" w:eastAsia="Times New Roman" w:cs="Times New Roman"/>
          <w:spacing w:val="7"/>
          <w:sz w:val="20"/>
          <w:szCs w:val="20"/>
        </w:rPr>
        <w:t>0</w:t>
      </w:r>
      <w:r>
        <w:rPr>
          <w:rFonts w:ascii="宋体" w:hAnsi="宋体" w:eastAsia="宋体" w:cs="宋体"/>
          <w:spacing w:val="7"/>
          <w:sz w:val="20"/>
          <w:szCs w:val="20"/>
        </w:rPr>
        <w:t>和</w:t>
      </w:r>
      <w:r>
        <w:rPr>
          <w:rFonts w:ascii="宋体" w:hAnsi="宋体" w:eastAsia="宋体" w:cs="宋体"/>
          <w:spacing w:val="-20"/>
          <w:sz w:val="20"/>
          <w:szCs w:val="20"/>
        </w:rPr>
        <w:t xml:space="preserve"> </w:t>
      </w:r>
      <w:r>
        <w:rPr>
          <w:rFonts w:ascii="Times New Roman" w:hAnsi="Times New Roman" w:eastAsia="Times New Roman" w:cs="Times New Roman"/>
          <w:spacing w:val="7"/>
          <w:sz w:val="20"/>
          <w:szCs w:val="20"/>
        </w:rPr>
        <w:t xml:space="preserve">s </w:t>
      </w:r>
      <w:r>
        <w:rPr>
          <w:rFonts w:ascii="宋体" w:hAnsi="宋体" w:eastAsia="宋体" w:cs="宋体"/>
          <w:spacing w:val="7"/>
          <w:sz w:val="20"/>
          <w:szCs w:val="20"/>
        </w:rPr>
        <w:t>五个要素做进一步的界</w:t>
      </w:r>
      <w:r>
        <w:rPr>
          <w:rFonts w:ascii="宋体" w:hAnsi="宋体" w:eastAsia="宋体" w:cs="宋体"/>
          <w:sz w:val="20"/>
          <w:szCs w:val="20"/>
        </w:rPr>
        <w:t xml:space="preserve"> </w:t>
      </w:r>
      <w:r>
        <w:rPr>
          <w:rFonts w:ascii="宋体" w:hAnsi="宋体" w:eastAsia="宋体" w:cs="宋体"/>
          <w:spacing w:val="3"/>
          <w:sz w:val="20"/>
          <w:szCs w:val="20"/>
        </w:rPr>
        <w:t>定，如疾病的诊断标准、研究对象的特征、暴露或干预的明确定义、是否排除伴发疾病、</w:t>
      </w:r>
      <w:r>
        <w:rPr>
          <w:rFonts w:ascii="宋体" w:hAnsi="宋体" w:eastAsia="宋体" w:cs="宋体"/>
          <w:spacing w:val="2"/>
          <w:sz w:val="20"/>
          <w:szCs w:val="20"/>
        </w:rPr>
        <w:t>研究的设计</w:t>
      </w:r>
      <w:r>
        <w:rPr>
          <w:rFonts w:ascii="宋体" w:hAnsi="宋体" w:eastAsia="宋体" w:cs="宋体"/>
          <w:sz w:val="20"/>
          <w:szCs w:val="20"/>
        </w:rPr>
        <w:t xml:space="preserve"> </w:t>
      </w:r>
      <w:r>
        <w:rPr>
          <w:rFonts w:ascii="宋体" w:hAnsi="宋体" w:eastAsia="宋体" w:cs="宋体"/>
          <w:spacing w:val="8"/>
          <w:sz w:val="20"/>
          <w:szCs w:val="20"/>
        </w:rPr>
        <w:t>类型等。通常可以定义一个稍宽松的人选和排除标准，待收集资料后进行必要的敏感性分析，估计</w:t>
      </w:r>
      <w:r>
        <w:rPr>
          <w:rFonts w:ascii="宋体" w:hAnsi="宋体" w:eastAsia="宋体" w:cs="宋体"/>
          <w:spacing w:val="13"/>
          <w:sz w:val="20"/>
          <w:szCs w:val="20"/>
        </w:rPr>
        <w:t xml:space="preserve"> </w:t>
      </w:r>
      <w:r>
        <w:rPr>
          <w:rFonts w:ascii="宋体" w:hAnsi="宋体" w:eastAsia="宋体" w:cs="宋体"/>
          <w:spacing w:val="8"/>
          <w:sz w:val="20"/>
          <w:szCs w:val="20"/>
        </w:rPr>
        <w:t>不同人选标准所得结果的稳定性。以上述研究为例，其入选标准为：①</w:t>
      </w:r>
      <w:r>
        <w:rPr>
          <w:rFonts w:ascii="宋体" w:hAnsi="宋体" w:eastAsia="宋体" w:cs="宋体"/>
          <w:sz w:val="20"/>
          <w:szCs w:val="20"/>
        </w:rPr>
        <w:t>RCT</w:t>
      </w:r>
      <w:r>
        <w:rPr>
          <w:rFonts w:ascii="宋体" w:hAnsi="宋体" w:eastAsia="宋体" w:cs="宋体"/>
          <w:spacing w:val="8"/>
          <w:sz w:val="20"/>
          <w:szCs w:val="20"/>
        </w:rPr>
        <w:t>;②</w:t>
      </w:r>
      <w:r>
        <w:rPr>
          <w:rFonts w:ascii="宋体" w:hAnsi="宋体" w:eastAsia="宋体" w:cs="宋体"/>
          <w:spacing w:val="103"/>
          <w:sz w:val="20"/>
          <w:szCs w:val="20"/>
        </w:rPr>
        <w:t xml:space="preserve"> </w:t>
      </w:r>
      <w:r>
        <w:rPr>
          <w:rFonts w:ascii="宋体" w:hAnsi="宋体" w:eastAsia="宋体" w:cs="宋体"/>
          <w:spacing w:val="8"/>
          <w:sz w:val="20"/>
          <w:szCs w:val="20"/>
        </w:rPr>
        <w:t>研究对象为慢性肾</w:t>
      </w:r>
      <w:r>
        <w:rPr>
          <w:rFonts w:ascii="宋体" w:hAnsi="宋体" w:eastAsia="宋体" w:cs="宋体"/>
          <w:sz w:val="20"/>
          <w:szCs w:val="20"/>
        </w:rPr>
        <w:t xml:space="preserve"> </w:t>
      </w:r>
      <w:r>
        <w:rPr>
          <w:rFonts w:ascii="宋体" w:hAnsi="宋体" w:eastAsia="宋体" w:cs="宋体"/>
          <w:spacing w:val="9"/>
          <w:sz w:val="20"/>
          <w:szCs w:val="20"/>
        </w:rPr>
        <w:t>病病人，排除接受器官移植和终末期肾病病人；③使用n-3</w:t>
      </w:r>
      <w:r>
        <w:rPr>
          <w:rFonts w:ascii="宋体" w:hAnsi="宋体" w:eastAsia="宋体" w:cs="宋体"/>
          <w:spacing w:val="-15"/>
          <w:sz w:val="20"/>
          <w:szCs w:val="20"/>
        </w:rPr>
        <w:t xml:space="preserve"> </w:t>
      </w:r>
      <w:r>
        <w:rPr>
          <w:rFonts w:ascii="宋体" w:hAnsi="宋体" w:eastAsia="宋体" w:cs="宋体"/>
          <w:spacing w:val="9"/>
          <w:sz w:val="20"/>
          <w:szCs w:val="20"/>
        </w:rPr>
        <w:t>长链多不饱和脂肪酸，包括</w:t>
      </w:r>
      <w:r>
        <w:rPr>
          <w:rFonts w:ascii="宋体" w:hAnsi="宋体" w:eastAsia="宋体" w:cs="宋体"/>
          <w:sz w:val="20"/>
          <w:szCs w:val="20"/>
        </w:rPr>
        <w:t>EPA</w:t>
      </w:r>
      <w:r>
        <w:rPr>
          <w:rFonts w:ascii="宋体" w:hAnsi="宋体" w:eastAsia="宋体" w:cs="宋体"/>
          <w:spacing w:val="65"/>
          <w:sz w:val="20"/>
          <w:szCs w:val="20"/>
        </w:rPr>
        <w:t xml:space="preserve"> </w:t>
      </w:r>
      <w:r>
        <w:rPr>
          <w:rFonts w:ascii="宋体" w:hAnsi="宋体" w:eastAsia="宋体" w:cs="宋体"/>
          <w:spacing w:val="9"/>
          <w:sz w:val="20"/>
          <w:szCs w:val="20"/>
        </w:rPr>
        <w:t>和/或</w:t>
      </w:r>
      <w:r>
        <w:rPr>
          <w:rFonts w:ascii="宋体" w:hAnsi="宋体" w:eastAsia="宋体" w:cs="宋体"/>
          <w:sz w:val="20"/>
          <w:szCs w:val="20"/>
        </w:rPr>
        <w:t xml:space="preserve"> DHA</w:t>
      </w:r>
      <w:r>
        <w:rPr>
          <w:rFonts w:ascii="宋体" w:hAnsi="宋体" w:eastAsia="宋体" w:cs="宋体"/>
          <w:spacing w:val="64"/>
          <w:sz w:val="20"/>
          <w:szCs w:val="20"/>
        </w:rPr>
        <w:t xml:space="preserve"> </w:t>
      </w:r>
      <w:r>
        <w:rPr>
          <w:rFonts w:ascii="宋体" w:hAnsi="宋体" w:eastAsia="宋体" w:cs="宋体"/>
          <w:spacing w:val="5"/>
          <w:sz w:val="20"/>
          <w:szCs w:val="20"/>
        </w:rPr>
        <w:t>或鱼油作为干预措施；④安慰剂作为对照；⑤结局指标为肾功能。</w:t>
      </w:r>
    </w:p>
    <w:p w14:paraId="47BD2AD8">
      <w:pPr>
        <w:spacing w:before="29" w:line="342" w:lineRule="auto"/>
        <w:ind w:left="699" w:firstLine="399"/>
        <w:jc w:val="both"/>
        <w:rPr>
          <w:rFonts w:ascii="宋体" w:hAnsi="宋体" w:eastAsia="宋体" w:cs="宋体"/>
          <w:sz w:val="20"/>
          <w:szCs w:val="20"/>
        </w:rPr>
      </w:pPr>
      <w:r>
        <w:rPr>
          <w:rFonts w:ascii="宋体" w:hAnsi="宋体" w:eastAsia="宋体" w:cs="宋体"/>
          <w:spacing w:val="5"/>
          <w:sz w:val="20"/>
          <w:szCs w:val="20"/>
        </w:rPr>
        <w:t>选择文献时首先要进行初筛，通过阅读题目、摘要排除不相关的、重复发表的、综述类等文章；</w:t>
      </w:r>
      <w:r>
        <w:rPr>
          <w:rFonts w:ascii="宋体" w:hAnsi="宋体" w:eastAsia="宋体" w:cs="宋体"/>
          <w:spacing w:val="9"/>
          <w:sz w:val="20"/>
          <w:szCs w:val="20"/>
        </w:rPr>
        <w:t xml:space="preserve"> </w:t>
      </w:r>
      <w:r>
        <w:rPr>
          <w:rFonts w:ascii="宋体" w:hAnsi="宋体" w:eastAsia="宋体" w:cs="宋体"/>
          <w:spacing w:val="8"/>
          <w:sz w:val="20"/>
          <w:szCs w:val="20"/>
        </w:rPr>
        <w:t>进一步精读，通过阅读全文排除不符合纳人标准的文章；对信息不全面的文章，应尽可能与作者联</w:t>
      </w:r>
      <w:r>
        <w:rPr>
          <w:rFonts w:ascii="宋体" w:hAnsi="宋体" w:eastAsia="宋体" w:cs="宋体"/>
          <w:spacing w:val="12"/>
          <w:sz w:val="20"/>
          <w:szCs w:val="20"/>
        </w:rPr>
        <w:t xml:space="preserve"> </w:t>
      </w:r>
      <w:r>
        <w:rPr>
          <w:rFonts w:ascii="宋体" w:hAnsi="宋体" w:eastAsia="宋体" w:cs="宋体"/>
          <w:spacing w:val="6"/>
          <w:sz w:val="20"/>
          <w:szCs w:val="20"/>
        </w:rPr>
        <w:t>系，获取相关资料。需要指出的是，在文献筛选过程中避免偏倚十分重要，</w:t>
      </w:r>
      <w:r>
        <w:rPr>
          <w:rFonts w:ascii="宋体" w:hAnsi="宋体" w:eastAsia="宋体" w:cs="宋体"/>
          <w:spacing w:val="68"/>
          <w:sz w:val="20"/>
          <w:szCs w:val="20"/>
        </w:rPr>
        <w:t xml:space="preserve"> </w:t>
      </w:r>
      <w:r>
        <w:rPr>
          <w:rFonts w:ascii="宋体" w:hAnsi="宋体" w:eastAsia="宋体" w:cs="宋体"/>
          <w:spacing w:val="6"/>
          <w:sz w:val="20"/>
          <w:szCs w:val="20"/>
        </w:rPr>
        <w:t>一般要求至少有2名评</w:t>
      </w:r>
      <w:r>
        <w:rPr>
          <w:rFonts w:ascii="宋体" w:hAnsi="宋体" w:eastAsia="宋体" w:cs="宋体"/>
          <w:sz w:val="20"/>
          <w:szCs w:val="20"/>
        </w:rPr>
        <w:t xml:space="preserve">  </w:t>
      </w:r>
      <w:r>
        <w:rPr>
          <w:rFonts w:ascii="宋体" w:hAnsi="宋体" w:eastAsia="宋体" w:cs="宋体"/>
          <w:spacing w:val="6"/>
          <w:sz w:val="20"/>
          <w:szCs w:val="20"/>
        </w:rPr>
        <w:t>价者独立选择，出现分歧时要进行讨论或由研究负责人</w:t>
      </w:r>
      <w:r>
        <w:rPr>
          <w:rFonts w:ascii="宋体" w:hAnsi="宋体" w:eastAsia="宋体" w:cs="宋体"/>
          <w:spacing w:val="5"/>
          <w:sz w:val="20"/>
          <w:szCs w:val="20"/>
        </w:rPr>
        <w:t>仲裁。</w:t>
      </w:r>
    </w:p>
    <w:p w14:paraId="71266016">
      <w:pPr>
        <w:pStyle w:val="2"/>
        <w:spacing w:before="8" w:line="222" w:lineRule="auto"/>
        <w:ind w:left="1099"/>
        <w:rPr>
          <w:sz w:val="20"/>
          <w:szCs w:val="20"/>
        </w:rPr>
      </w:pPr>
      <w:r>
        <w:rPr>
          <w:spacing w:val="27"/>
          <w:sz w:val="20"/>
          <w:szCs w:val="20"/>
        </w:rPr>
        <w:t>(四)评估入选研究的质量</w:t>
      </w:r>
    </w:p>
    <w:p w14:paraId="70A64619">
      <w:pPr>
        <w:spacing w:before="119" w:line="333" w:lineRule="auto"/>
        <w:ind w:left="699" w:right="60" w:firstLine="399"/>
        <w:jc w:val="both"/>
        <w:rPr>
          <w:rFonts w:ascii="宋体" w:hAnsi="宋体" w:eastAsia="宋体" w:cs="宋体"/>
          <w:sz w:val="20"/>
          <w:szCs w:val="20"/>
        </w:rPr>
      </w:pPr>
      <w:r>
        <w:rPr>
          <w:rFonts w:ascii="宋体" w:hAnsi="宋体" w:eastAsia="宋体" w:cs="宋体"/>
          <w:spacing w:val="12"/>
          <w:sz w:val="20"/>
          <w:szCs w:val="20"/>
        </w:rPr>
        <w:t>系统综述和</w:t>
      </w:r>
      <w:r>
        <w:rPr>
          <w:rFonts w:ascii="Times New Roman" w:hAnsi="Times New Roman" w:eastAsia="Times New Roman" w:cs="Times New Roman"/>
          <w:sz w:val="20"/>
          <w:szCs w:val="20"/>
        </w:rPr>
        <w:t>Meta</w:t>
      </w:r>
      <w:r>
        <w:rPr>
          <w:rFonts w:ascii="Times New Roman" w:hAnsi="Times New Roman" w:eastAsia="Times New Roman" w:cs="Times New Roman"/>
          <w:spacing w:val="12"/>
          <w:sz w:val="20"/>
          <w:szCs w:val="20"/>
        </w:rPr>
        <w:t xml:space="preserve"> </w:t>
      </w:r>
      <w:r>
        <w:rPr>
          <w:rFonts w:ascii="宋体" w:hAnsi="宋体" w:eastAsia="宋体" w:cs="宋体"/>
          <w:spacing w:val="12"/>
          <w:sz w:val="20"/>
          <w:szCs w:val="20"/>
        </w:rPr>
        <w:t>分析是对原始研究结果的汇总分析，实际上是一种观察性研究设计，它不仅</w:t>
      </w:r>
      <w:r>
        <w:rPr>
          <w:rFonts w:ascii="宋体" w:hAnsi="宋体" w:eastAsia="宋体" w:cs="宋体"/>
          <w:spacing w:val="1"/>
          <w:sz w:val="20"/>
          <w:szCs w:val="20"/>
        </w:rPr>
        <w:t xml:space="preserve"> </w:t>
      </w:r>
      <w:r>
        <w:rPr>
          <w:rFonts w:ascii="宋体" w:hAnsi="宋体" w:eastAsia="宋体" w:cs="宋体"/>
          <w:spacing w:val="8"/>
          <w:sz w:val="20"/>
          <w:szCs w:val="20"/>
        </w:rPr>
        <w:t>不能排除原始研究中存在的各种偏倚，当原始研究质量不高时，合并的结果还会遭受质疑，因此对</w:t>
      </w:r>
      <w:r>
        <w:rPr>
          <w:rFonts w:ascii="宋体" w:hAnsi="宋体" w:eastAsia="宋体" w:cs="宋体"/>
          <w:spacing w:val="13"/>
          <w:sz w:val="20"/>
          <w:szCs w:val="20"/>
        </w:rPr>
        <w:t xml:space="preserve"> </w:t>
      </w:r>
      <w:r>
        <w:rPr>
          <w:rFonts w:ascii="宋体" w:hAnsi="宋体" w:eastAsia="宋体" w:cs="宋体"/>
          <w:spacing w:val="8"/>
          <w:sz w:val="20"/>
          <w:szCs w:val="20"/>
        </w:rPr>
        <w:t>原始研究质量的评估十分重要，只有基于高质量的独立研究，才能获得可信的综合结论。质量评估</w:t>
      </w:r>
    </w:p>
    <w:p w14:paraId="1F1A4E6E">
      <w:pPr>
        <w:spacing w:line="333" w:lineRule="auto"/>
        <w:rPr>
          <w:rFonts w:ascii="宋体" w:hAnsi="宋体" w:eastAsia="宋体" w:cs="宋体"/>
          <w:sz w:val="20"/>
          <w:szCs w:val="20"/>
        </w:rPr>
        <w:sectPr>
          <w:footerReference r:id="rId301" w:type="default"/>
          <w:pgSz w:w="11900" w:h="16820"/>
          <w:pgMar w:top="400" w:right="1419" w:bottom="849" w:left="760" w:header="0" w:footer="669" w:gutter="0"/>
          <w:cols w:space="720" w:num="1"/>
        </w:sectPr>
      </w:pPr>
    </w:p>
    <w:p w14:paraId="070DD36E">
      <w:pPr>
        <w:pStyle w:val="2"/>
        <w:spacing w:before="246" w:line="221" w:lineRule="auto"/>
        <w:ind w:left="6585"/>
        <w:rPr>
          <w:sz w:val="19"/>
          <w:szCs w:val="19"/>
        </w:rPr>
      </w:pPr>
      <w:bookmarkStart w:id="470" w:name="bookmark560"/>
      <w:bookmarkEnd w:id="470"/>
      <w:r>
        <w:rPr>
          <w:spacing w:val="-18"/>
          <w:sz w:val="19"/>
          <w:szCs w:val="19"/>
        </w:rPr>
        <w:t>第十八章 循证医学与系统综述</w:t>
      </w:r>
    </w:p>
    <w:p w14:paraId="27BF0AA9">
      <w:pPr>
        <w:spacing w:line="288" w:lineRule="auto"/>
        <w:rPr>
          <w:rFonts w:ascii="Arial"/>
          <w:sz w:val="21"/>
        </w:rPr>
      </w:pPr>
    </w:p>
    <w:p w14:paraId="2DA860C4">
      <w:pPr>
        <w:spacing w:line="289" w:lineRule="auto"/>
        <w:rPr>
          <w:rFonts w:ascii="Arial"/>
          <w:sz w:val="21"/>
        </w:rPr>
      </w:pPr>
    </w:p>
    <w:p w14:paraId="12F7BFE4">
      <w:pPr>
        <w:spacing w:before="62" w:line="356" w:lineRule="auto"/>
        <w:ind w:left="95" w:right="644"/>
        <w:jc w:val="both"/>
        <w:rPr>
          <w:rFonts w:ascii="宋体" w:hAnsi="宋体" w:eastAsia="宋体" w:cs="宋体"/>
          <w:sz w:val="19"/>
          <w:szCs w:val="19"/>
        </w:rPr>
      </w:pPr>
      <w:r>
        <w:rPr>
          <w:rFonts w:ascii="宋体" w:hAnsi="宋体" w:eastAsia="宋体" w:cs="宋体"/>
          <w:spacing w:val="16"/>
          <w:sz w:val="19"/>
          <w:szCs w:val="19"/>
        </w:rPr>
        <w:t>结果可有如下应用：①作为纳人评价研究的选择标准(最低质量要求);②探讨质量差异与研究结果</w:t>
      </w:r>
      <w:r>
        <w:rPr>
          <w:rFonts w:ascii="宋体" w:hAnsi="宋体" w:eastAsia="宋体" w:cs="宋体"/>
          <w:spacing w:val="1"/>
          <w:sz w:val="19"/>
          <w:szCs w:val="19"/>
        </w:rPr>
        <w:t xml:space="preserve"> </w:t>
      </w:r>
      <w:r>
        <w:rPr>
          <w:rFonts w:ascii="宋体" w:hAnsi="宋体" w:eastAsia="宋体" w:cs="宋体"/>
          <w:spacing w:val="12"/>
          <w:sz w:val="19"/>
          <w:szCs w:val="19"/>
        </w:rPr>
        <w:t>异质性之间的相关性；③在</w:t>
      </w:r>
      <w:r>
        <w:rPr>
          <w:rFonts w:ascii="宋体" w:hAnsi="宋体" w:eastAsia="宋体" w:cs="宋体"/>
          <w:sz w:val="19"/>
          <w:szCs w:val="19"/>
        </w:rPr>
        <w:t>Meta</w:t>
      </w:r>
      <w:r>
        <w:rPr>
          <w:rFonts w:ascii="宋体" w:hAnsi="宋体" w:eastAsia="宋体" w:cs="宋体"/>
          <w:spacing w:val="12"/>
          <w:sz w:val="19"/>
          <w:szCs w:val="19"/>
        </w:rPr>
        <w:t xml:space="preserve"> 分析中，可根据质量高低，决定赋予各个研究的权重；④作为汇总</w:t>
      </w:r>
      <w:r>
        <w:rPr>
          <w:rFonts w:ascii="宋体" w:hAnsi="宋体" w:eastAsia="宋体" w:cs="宋体"/>
          <w:spacing w:val="16"/>
          <w:sz w:val="19"/>
          <w:szCs w:val="19"/>
        </w:rPr>
        <w:t xml:space="preserve"> </w:t>
      </w:r>
      <w:r>
        <w:rPr>
          <w:rFonts w:ascii="宋体" w:hAnsi="宋体" w:eastAsia="宋体" w:cs="宋体"/>
          <w:spacing w:val="12"/>
          <w:sz w:val="19"/>
          <w:szCs w:val="19"/>
        </w:rPr>
        <w:t>结果解释的参考，有助于决定结果推论的程度；⑤为将来的研究提出建</w:t>
      </w:r>
      <w:r>
        <w:rPr>
          <w:rFonts w:ascii="宋体" w:hAnsi="宋体" w:eastAsia="宋体" w:cs="宋体"/>
          <w:spacing w:val="11"/>
          <w:sz w:val="19"/>
          <w:szCs w:val="19"/>
        </w:rPr>
        <w:t>议。</w:t>
      </w:r>
    </w:p>
    <w:p w14:paraId="2AEE31C1">
      <w:pPr>
        <w:tabs>
          <w:tab w:val="left" w:pos="95"/>
        </w:tabs>
        <w:spacing w:before="4" w:line="361" w:lineRule="auto"/>
        <w:ind w:right="545" w:firstLine="505"/>
        <w:jc w:val="both"/>
        <w:rPr>
          <w:rFonts w:ascii="宋体" w:hAnsi="宋体" w:eastAsia="宋体" w:cs="宋体"/>
          <w:sz w:val="19"/>
          <w:szCs w:val="19"/>
        </w:rPr>
      </w:pPr>
      <w:r>
        <w:rPr>
          <w:rFonts w:ascii="宋体" w:hAnsi="宋体" w:eastAsia="宋体" w:cs="宋体"/>
          <w:spacing w:val="14"/>
          <w:sz w:val="19"/>
          <w:szCs w:val="19"/>
        </w:rPr>
        <w:t>质量评估包括对研究的内部真实性</w:t>
      </w:r>
      <w:r>
        <w:rPr>
          <w:rFonts w:ascii="Times New Roman" w:hAnsi="Times New Roman" w:eastAsia="Times New Roman" w:cs="Times New Roman"/>
          <w:spacing w:val="14"/>
          <w:sz w:val="19"/>
          <w:szCs w:val="19"/>
        </w:rPr>
        <w:t>(</w:t>
      </w:r>
      <w:r>
        <w:rPr>
          <w:rFonts w:ascii="Times New Roman" w:hAnsi="Times New Roman" w:eastAsia="Times New Roman" w:cs="Times New Roman"/>
          <w:sz w:val="19"/>
          <w:szCs w:val="19"/>
        </w:rPr>
        <w:t>intermal</w:t>
      </w:r>
      <w:r>
        <w:rPr>
          <w:rFonts w:ascii="Times New Roman" w:hAnsi="Times New Roman" w:eastAsia="Times New Roman" w:cs="Times New Roman"/>
          <w:spacing w:val="14"/>
          <w:sz w:val="19"/>
          <w:szCs w:val="19"/>
        </w:rPr>
        <w:t xml:space="preserve">   </w:t>
      </w:r>
      <w:r>
        <w:rPr>
          <w:rFonts w:ascii="Times New Roman" w:hAnsi="Times New Roman" w:eastAsia="Times New Roman" w:cs="Times New Roman"/>
          <w:sz w:val="19"/>
          <w:szCs w:val="19"/>
        </w:rPr>
        <w:t>validity</w:t>
      </w:r>
      <w:r>
        <w:rPr>
          <w:rFonts w:ascii="Times New Roman" w:hAnsi="Times New Roman" w:eastAsia="Times New Roman" w:cs="Times New Roman"/>
          <w:spacing w:val="14"/>
          <w:sz w:val="19"/>
          <w:szCs w:val="19"/>
        </w:rPr>
        <w:t>)</w:t>
      </w:r>
      <w:r>
        <w:rPr>
          <w:rFonts w:ascii="宋体" w:hAnsi="宋体" w:eastAsia="宋体" w:cs="宋体"/>
          <w:spacing w:val="14"/>
          <w:sz w:val="19"/>
          <w:szCs w:val="19"/>
        </w:rPr>
        <w:t>和外部真实性</w:t>
      </w:r>
      <w:r>
        <w:rPr>
          <w:rFonts w:ascii="Times New Roman" w:hAnsi="Times New Roman" w:eastAsia="Times New Roman" w:cs="Times New Roman"/>
          <w:spacing w:val="14"/>
          <w:sz w:val="19"/>
          <w:szCs w:val="19"/>
        </w:rPr>
        <w:t>(</w:t>
      </w:r>
      <w:r>
        <w:rPr>
          <w:rFonts w:ascii="Times New Roman" w:hAnsi="Times New Roman" w:eastAsia="Times New Roman" w:cs="Times New Roman"/>
          <w:sz w:val="19"/>
          <w:szCs w:val="19"/>
        </w:rPr>
        <w:t>external</w:t>
      </w:r>
      <w:r>
        <w:rPr>
          <w:rFonts w:ascii="Times New Roman" w:hAnsi="Times New Roman" w:eastAsia="Times New Roman" w:cs="Times New Roman"/>
          <w:spacing w:val="14"/>
          <w:sz w:val="19"/>
          <w:szCs w:val="19"/>
        </w:rPr>
        <w:t xml:space="preserve">    </w:t>
      </w:r>
      <w:r>
        <w:rPr>
          <w:rFonts w:ascii="Times New Roman" w:hAnsi="Times New Roman" w:eastAsia="Times New Roman" w:cs="Times New Roman"/>
          <w:sz w:val="19"/>
          <w:szCs w:val="19"/>
        </w:rPr>
        <w:t>validity</w:t>
      </w:r>
      <w:r>
        <w:rPr>
          <w:rFonts w:ascii="Times New Roman" w:hAnsi="Times New Roman" w:eastAsia="Times New Roman" w:cs="Times New Roman"/>
          <w:spacing w:val="14"/>
          <w:sz w:val="19"/>
          <w:szCs w:val="19"/>
        </w:rPr>
        <w:t>)</w:t>
      </w:r>
      <w:r>
        <w:rPr>
          <w:rFonts w:ascii="宋体" w:hAnsi="宋体" w:eastAsia="宋体" w:cs="宋体"/>
          <w:spacing w:val="14"/>
          <w:sz w:val="19"/>
          <w:szCs w:val="19"/>
        </w:rPr>
        <w:t>进行评价：</w:t>
      </w:r>
      <w:r>
        <w:rPr>
          <w:rFonts w:ascii="宋体" w:hAnsi="宋体" w:eastAsia="宋体" w:cs="宋体"/>
          <w:spacing w:val="4"/>
          <w:sz w:val="19"/>
          <w:szCs w:val="19"/>
        </w:rPr>
        <w:t xml:space="preserve"> </w:t>
      </w:r>
      <w:r>
        <w:rPr>
          <w:rFonts w:ascii="宋体" w:hAnsi="宋体" w:eastAsia="宋体" w:cs="宋体"/>
          <w:spacing w:val="17"/>
          <w:sz w:val="19"/>
          <w:szCs w:val="19"/>
        </w:rPr>
        <w:t>前者涉及研究的方法学质量，即研究设计和实施过程中避免或减小偏倚的程度；后者</w:t>
      </w:r>
      <w:r>
        <w:rPr>
          <w:rFonts w:ascii="宋体" w:hAnsi="宋体" w:eastAsia="宋体" w:cs="宋体"/>
          <w:spacing w:val="16"/>
          <w:sz w:val="19"/>
          <w:szCs w:val="19"/>
        </w:rPr>
        <w:t>涉及研究结果</w:t>
      </w:r>
      <w:r>
        <w:rPr>
          <w:rFonts w:ascii="宋体" w:hAnsi="宋体" w:eastAsia="宋体" w:cs="宋体"/>
          <w:sz w:val="19"/>
          <w:szCs w:val="19"/>
        </w:rPr>
        <w:t xml:space="preserve">  </w:t>
      </w:r>
      <w:r>
        <w:rPr>
          <w:rFonts w:ascii="宋体" w:hAnsi="宋体" w:eastAsia="宋体" w:cs="宋体"/>
          <w:spacing w:val="16"/>
          <w:sz w:val="19"/>
          <w:szCs w:val="19"/>
        </w:rPr>
        <w:t>外推的程度。目前已经发表了上百种质量评价工具来评价各种设计类型的文献，没有哪一个是“金</w:t>
      </w:r>
      <w:r>
        <w:rPr>
          <w:rFonts w:ascii="宋体" w:hAnsi="宋体" w:eastAsia="宋体" w:cs="宋体"/>
          <w:spacing w:val="6"/>
          <w:sz w:val="19"/>
          <w:szCs w:val="19"/>
        </w:rPr>
        <w:t xml:space="preserve">  </w:t>
      </w:r>
      <w:r>
        <w:rPr>
          <w:rFonts w:ascii="宋体" w:hAnsi="宋体" w:eastAsia="宋体" w:cs="宋体"/>
          <w:spacing w:val="23"/>
          <w:sz w:val="19"/>
          <w:szCs w:val="19"/>
        </w:rPr>
        <w:t>标准”,研究者应该根据研究目的仔细选择恰当的评价工具。目前对</w:t>
      </w:r>
      <w:r>
        <w:rPr>
          <w:rFonts w:ascii="Times New Roman" w:hAnsi="Times New Roman" w:eastAsia="Times New Roman" w:cs="Times New Roman"/>
          <w:sz w:val="19"/>
          <w:szCs w:val="19"/>
        </w:rPr>
        <w:t>RCT</w:t>
      </w:r>
      <w:r>
        <w:rPr>
          <w:rFonts w:ascii="Times New Roman" w:hAnsi="Times New Roman" w:eastAsia="Times New Roman" w:cs="Times New Roman"/>
          <w:spacing w:val="52"/>
          <w:w w:val="101"/>
          <w:sz w:val="19"/>
          <w:szCs w:val="19"/>
        </w:rPr>
        <w:t xml:space="preserve"> </w:t>
      </w:r>
      <w:r>
        <w:rPr>
          <w:rFonts w:ascii="宋体" w:hAnsi="宋体" w:eastAsia="宋体" w:cs="宋体"/>
          <w:spacing w:val="23"/>
          <w:sz w:val="19"/>
          <w:szCs w:val="19"/>
        </w:rPr>
        <w:t>研究质量进行评价时常</w:t>
      </w:r>
      <w:r>
        <w:rPr>
          <w:rFonts w:ascii="宋体" w:hAnsi="宋体" w:eastAsia="宋体" w:cs="宋体"/>
          <w:sz w:val="19"/>
          <w:szCs w:val="19"/>
        </w:rPr>
        <w:t xml:space="preserve">  </w:t>
      </w:r>
      <w:r>
        <w:rPr>
          <w:rFonts w:ascii="宋体" w:hAnsi="宋体" w:eastAsia="宋体" w:cs="宋体"/>
          <w:spacing w:val="15"/>
          <w:sz w:val="19"/>
          <w:szCs w:val="19"/>
        </w:rPr>
        <w:t>用</w:t>
      </w:r>
      <w:r>
        <w:rPr>
          <w:rFonts w:ascii="宋体" w:hAnsi="宋体" w:eastAsia="宋体" w:cs="宋体"/>
          <w:spacing w:val="-28"/>
          <w:sz w:val="19"/>
          <w:szCs w:val="19"/>
        </w:rPr>
        <w:t xml:space="preserve"> </w:t>
      </w:r>
      <w:r>
        <w:rPr>
          <w:rFonts w:ascii="宋体" w:hAnsi="宋体" w:eastAsia="宋体" w:cs="宋体"/>
          <w:spacing w:val="15"/>
          <w:sz w:val="19"/>
          <w:szCs w:val="19"/>
        </w:rPr>
        <w:t>的</w:t>
      </w:r>
      <w:r>
        <w:rPr>
          <w:rFonts w:ascii="宋体" w:hAnsi="宋体" w:eastAsia="宋体" w:cs="宋体"/>
          <w:spacing w:val="-40"/>
          <w:sz w:val="19"/>
          <w:szCs w:val="19"/>
        </w:rPr>
        <w:t xml:space="preserve"> </w:t>
      </w:r>
      <w:r>
        <w:rPr>
          <w:rFonts w:ascii="宋体" w:hAnsi="宋体" w:eastAsia="宋体" w:cs="宋体"/>
          <w:spacing w:val="15"/>
          <w:sz w:val="19"/>
          <w:szCs w:val="19"/>
        </w:rPr>
        <w:t>是</w:t>
      </w:r>
      <w:r>
        <w:rPr>
          <w:rFonts w:ascii="Times New Roman" w:hAnsi="Times New Roman" w:eastAsia="Times New Roman" w:cs="Times New Roman"/>
          <w:sz w:val="19"/>
          <w:szCs w:val="19"/>
        </w:rPr>
        <w:t>Cochrane</w:t>
      </w:r>
      <w:r>
        <w:rPr>
          <w:rFonts w:ascii="Times New Roman" w:hAnsi="Times New Roman" w:eastAsia="Times New Roman" w:cs="Times New Roman"/>
          <w:spacing w:val="15"/>
          <w:sz w:val="19"/>
          <w:szCs w:val="19"/>
        </w:rPr>
        <w:t xml:space="preserve">  </w:t>
      </w:r>
      <w:r>
        <w:rPr>
          <w:rFonts w:ascii="宋体" w:hAnsi="宋体" w:eastAsia="宋体" w:cs="宋体"/>
          <w:spacing w:val="15"/>
          <w:sz w:val="19"/>
          <w:szCs w:val="19"/>
        </w:rPr>
        <w:t>协作网随机试验偏倚风险评估工</w:t>
      </w:r>
      <w:r>
        <w:rPr>
          <w:rFonts w:ascii="宋体" w:hAnsi="宋体" w:eastAsia="宋体" w:cs="宋体"/>
          <w:spacing w:val="14"/>
          <w:sz w:val="19"/>
          <w:szCs w:val="19"/>
        </w:rPr>
        <w:t>具</w:t>
      </w:r>
      <w:r>
        <w:rPr>
          <w:rFonts w:ascii="Times New Roman" w:hAnsi="Times New Roman" w:eastAsia="Times New Roman" w:cs="Times New Roman"/>
          <w:spacing w:val="14"/>
          <w:sz w:val="19"/>
          <w:szCs w:val="19"/>
        </w:rPr>
        <w:t>(</w:t>
      </w:r>
      <w:r>
        <w:rPr>
          <w:rFonts w:ascii="Times New Roman" w:hAnsi="Times New Roman" w:eastAsia="Times New Roman" w:cs="Times New Roman"/>
          <w:sz w:val="19"/>
          <w:szCs w:val="19"/>
        </w:rPr>
        <w:t>Cochrane</w:t>
      </w:r>
      <w:r>
        <w:rPr>
          <w:rFonts w:ascii="Times New Roman" w:hAnsi="Times New Roman" w:eastAsia="Times New Roman" w:cs="Times New Roman"/>
          <w:spacing w:val="14"/>
          <w:sz w:val="19"/>
          <w:szCs w:val="19"/>
        </w:rPr>
        <w:t xml:space="preserve">  </w:t>
      </w:r>
      <w:r>
        <w:rPr>
          <w:rFonts w:ascii="Times New Roman" w:hAnsi="Times New Roman" w:eastAsia="Times New Roman" w:cs="Times New Roman"/>
          <w:sz w:val="19"/>
          <w:szCs w:val="19"/>
        </w:rPr>
        <w:t>Collaboration</w:t>
      </w:r>
      <w:r>
        <w:rPr>
          <w:rFonts w:ascii="Times New Roman" w:hAnsi="Times New Roman" w:eastAsia="Times New Roman" w:cs="Times New Roman"/>
          <w:spacing w:val="14"/>
          <w:sz w:val="19"/>
          <w:szCs w:val="19"/>
        </w:rPr>
        <w:t>'</w:t>
      </w:r>
      <w:r>
        <w:rPr>
          <w:rFonts w:ascii="Times New Roman" w:hAnsi="Times New Roman" w:eastAsia="Times New Roman" w:cs="Times New Roman"/>
          <w:sz w:val="19"/>
          <w:szCs w:val="19"/>
        </w:rPr>
        <w:t>s</w:t>
      </w:r>
      <w:r>
        <w:rPr>
          <w:rFonts w:ascii="Times New Roman" w:hAnsi="Times New Roman" w:eastAsia="Times New Roman" w:cs="Times New Roman"/>
          <w:spacing w:val="39"/>
          <w:w w:val="101"/>
          <w:sz w:val="19"/>
          <w:szCs w:val="19"/>
        </w:rPr>
        <w:t xml:space="preserve"> </w:t>
      </w:r>
      <w:r>
        <w:rPr>
          <w:rFonts w:ascii="Times New Roman" w:hAnsi="Times New Roman" w:eastAsia="Times New Roman" w:cs="Times New Roman"/>
          <w:sz w:val="19"/>
          <w:szCs w:val="19"/>
        </w:rPr>
        <w:t>tool</w:t>
      </w:r>
      <w:r>
        <w:rPr>
          <w:rFonts w:ascii="Times New Roman" w:hAnsi="Times New Roman" w:eastAsia="Times New Roman" w:cs="Times New Roman"/>
          <w:spacing w:val="14"/>
          <w:sz w:val="19"/>
          <w:szCs w:val="19"/>
        </w:rPr>
        <w:t xml:space="preserve">  </w:t>
      </w:r>
      <w:r>
        <w:rPr>
          <w:rFonts w:ascii="Times New Roman" w:hAnsi="Times New Roman" w:eastAsia="Times New Roman" w:cs="Times New Roman"/>
          <w:sz w:val="19"/>
          <w:szCs w:val="19"/>
        </w:rPr>
        <w:t>for</w:t>
      </w:r>
      <w:r>
        <w:rPr>
          <w:rFonts w:ascii="Times New Roman" w:hAnsi="Times New Roman" w:eastAsia="Times New Roman" w:cs="Times New Roman"/>
          <w:spacing w:val="43"/>
          <w:sz w:val="19"/>
          <w:szCs w:val="19"/>
        </w:rPr>
        <w:t xml:space="preserve"> </w:t>
      </w:r>
      <w:r>
        <w:rPr>
          <w:rFonts w:ascii="Times New Roman" w:hAnsi="Times New Roman" w:eastAsia="Times New Roman" w:cs="Times New Roman"/>
          <w:sz w:val="19"/>
          <w:szCs w:val="19"/>
        </w:rPr>
        <w:t>assessing</w:t>
      </w:r>
      <w:r>
        <w:rPr>
          <w:rFonts w:ascii="Times New Roman" w:hAnsi="Times New Roman" w:eastAsia="Times New Roman" w:cs="Times New Roman"/>
          <w:spacing w:val="38"/>
          <w:w w:val="102"/>
          <w:sz w:val="19"/>
          <w:szCs w:val="19"/>
        </w:rPr>
        <w:t xml:space="preserve"> </w:t>
      </w:r>
      <w:r>
        <w:rPr>
          <w:rFonts w:ascii="Times New Roman" w:hAnsi="Times New Roman" w:eastAsia="Times New Roman" w:cs="Times New Roman"/>
          <w:sz w:val="19"/>
          <w:szCs w:val="19"/>
        </w:rPr>
        <w:t>risk</w:t>
      </w:r>
      <w:r>
        <w:rPr>
          <w:rFonts w:ascii="Times New Roman" w:hAnsi="Times New Roman" w:eastAsia="Times New Roman" w:cs="Times New Roman"/>
          <w:spacing w:val="42"/>
          <w:w w:val="101"/>
          <w:sz w:val="19"/>
          <w:szCs w:val="19"/>
        </w:rPr>
        <w:t xml:space="preserve"> </w:t>
      </w:r>
      <w:r>
        <w:rPr>
          <w:rFonts w:ascii="Times New Roman" w:hAnsi="Times New Roman" w:eastAsia="Times New Roman" w:cs="Times New Roman"/>
          <w:sz w:val="19"/>
          <w:szCs w:val="19"/>
        </w:rPr>
        <w:t xml:space="preserve">of   </w:t>
      </w:r>
      <w:r>
        <w:rPr>
          <w:rFonts w:ascii="Times New Roman" w:hAnsi="Times New Roman" w:eastAsia="Times New Roman" w:cs="Times New Roman"/>
          <w:sz w:val="19"/>
          <w:szCs w:val="19"/>
        </w:rPr>
        <w:tab/>
      </w:r>
      <w:r>
        <w:rPr>
          <w:rFonts w:ascii="Times New Roman" w:hAnsi="Times New Roman" w:eastAsia="Times New Roman" w:cs="Times New Roman"/>
          <w:sz w:val="19"/>
          <w:szCs w:val="19"/>
        </w:rPr>
        <w:t>bias</w:t>
      </w:r>
      <w:r>
        <w:rPr>
          <w:rFonts w:ascii="Times New Roman" w:hAnsi="Times New Roman" w:eastAsia="Times New Roman" w:cs="Times New Roman"/>
          <w:spacing w:val="9"/>
          <w:sz w:val="19"/>
          <w:szCs w:val="19"/>
        </w:rPr>
        <w:t xml:space="preserve">   </w:t>
      </w:r>
      <w:r>
        <w:rPr>
          <w:rFonts w:ascii="Times New Roman" w:hAnsi="Times New Roman" w:eastAsia="Times New Roman" w:cs="Times New Roman"/>
          <w:sz w:val="19"/>
          <w:szCs w:val="19"/>
        </w:rPr>
        <w:t>in</w:t>
      </w:r>
      <w:r>
        <w:rPr>
          <w:rFonts w:ascii="Times New Roman" w:hAnsi="Times New Roman" w:eastAsia="Times New Roman" w:cs="Times New Roman"/>
          <w:spacing w:val="9"/>
          <w:sz w:val="19"/>
          <w:szCs w:val="19"/>
        </w:rPr>
        <w:t xml:space="preserve">    </w:t>
      </w:r>
      <w:r>
        <w:rPr>
          <w:rFonts w:ascii="Times New Roman" w:hAnsi="Times New Roman" w:eastAsia="Times New Roman" w:cs="Times New Roman"/>
          <w:sz w:val="19"/>
          <w:szCs w:val="19"/>
        </w:rPr>
        <w:t>randomized</w:t>
      </w:r>
      <w:r>
        <w:rPr>
          <w:rFonts w:ascii="Times New Roman" w:hAnsi="Times New Roman" w:eastAsia="Times New Roman" w:cs="Times New Roman"/>
          <w:spacing w:val="9"/>
          <w:sz w:val="19"/>
          <w:szCs w:val="19"/>
        </w:rPr>
        <w:t xml:space="preserve">   </w:t>
      </w:r>
      <w:r>
        <w:rPr>
          <w:rFonts w:ascii="Times New Roman" w:hAnsi="Times New Roman" w:eastAsia="Times New Roman" w:cs="Times New Roman"/>
          <w:sz w:val="19"/>
          <w:szCs w:val="19"/>
        </w:rPr>
        <w:t>trials</w:t>
      </w:r>
      <w:r>
        <w:rPr>
          <w:rFonts w:ascii="Times New Roman" w:hAnsi="Times New Roman" w:eastAsia="Times New Roman" w:cs="Times New Roman"/>
          <w:spacing w:val="9"/>
          <w:sz w:val="19"/>
          <w:szCs w:val="19"/>
        </w:rPr>
        <w:t>,</w:t>
      </w:r>
      <w:r>
        <w:rPr>
          <w:rFonts w:ascii="Times New Roman" w:hAnsi="Times New Roman" w:eastAsia="Times New Roman" w:cs="Times New Roman"/>
          <w:sz w:val="19"/>
          <w:szCs w:val="19"/>
        </w:rPr>
        <w:t>RoB</w:t>
      </w:r>
      <w:r>
        <w:rPr>
          <w:rFonts w:ascii="Times New Roman" w:hAnsi="Times New Roman" w:eastAsia="Times New Roman" w:cs="Times New Roman"/>
          <w:spacing w:val="9"/>
          <w:sz w:val="19"/>
          <w:szCs w:val="19"/>
        </w:rPr>
        <w:t>),</w:t>
      </w:r>
      <w:r>
        <w:rPr>
          <w:rFonts w:ascii="宋体" w:hAnsi="宋体" w:eastAsia="宋体" w:cs="宋体"/>
          <w:spacing w:val="9"/>
          <w:sz w:val="19"/>
          <w:szCs w:val="19"/>
        </w:rPr>
        <w:t>最新版本为</w:t>
      </w:r>
      <w:r>
        <w:rPr>
          <w:rFonts w:ascii="Times New Roman" w:hAnsi="Times New Roman" w:eastAsia="Times New Roman" w:cs="Times New Roman"/>
          <w:sz w:val="19"/>
          <w:szCs w:val="19"/>
        </w:rPr>
        <w:t>RoB</w:t>
      </w:r>
      <w:r>
        <w:rPr>
          <w:rFonts w:ascii="Times New Roman" w:hAnsi="Times New Roman" w:eastAsia="Times New Roman" w:cs="Times New Roman"/>
          <w:spacing w:val="9"/>
          <w:sz w:val="19"/>
          <w:szCs w:val="19"/>
        </w:rPr>
        <w:t xml:space="preserve">    2.0,</w:t>
      </w:r>
      <w:r>
        <w:rPr>
          <w:rFonts w:ascii="宋体" w:hAnsi="宋体" w:eastAsia="宋体" w:cs="宋体"/>
          <w:spacing w:val="9"/>
          <w:sz w:val="19"/>
          <w:szCs w:val="19"/>
        </w:rPr>
        <w:t>主要包括5</w:t>
      </w:r>
      <w:r>
        <w:rPr>
          <w:rFonts w:ascii="宋体" w:hAnsi="宋体" w:eastAsia="宋体" w:cs="宋体"/>
          <w:spacing w:val="8"/>
          <w:sz w:val="19"/>
          <w:szCs w:val="19"/>
        </w:rPr>
        <w:t>个评价领域，28个条目：①随机化过</w:t>
      </w:r>
      <w:r>
        <w:rPr>
          <w:rFonts w:ascii="宋体" w:hAnsi="宋体" w:eastAsia="宋体" w:cs="宋体"/>
          <w:sz w:val="19"/>
          <w:szCs w:val="19"/>
        </w:rPr>
        <w:t xml:space="preserve">  </w:t>
      </w:r>
      <w:r>
        <w:rPr>
          <w:rFonts w:ascii="宋体" w:hAnsi="宋体" w:eastAsia="宋体" w:cs="宋体"/>
          <w:spacing w:val="17"/>
          <w:sz w:val="19"/>
          <w:szCs w:val="19"/>
        </w:rPr>
        <w:t>程中的偏倚；②偏离既定干预措施的偏倚；③结局数据缺失的偏倚；④结局</w:t>
      </w:r>
      <w:r>
        <w:rPr>
          <w:rFonts w:ascii="宋体" w:hAnsi="宋体" w:eastAsia="宋体" w:cs="宋体"/>
          <w:spacing w:val="16"/>
          <w:sz w:val="19"/>
          <w:szCs w:val="19"/>
        </w:rPr>
        <w:t>测量的偏倚；⑤选择性</w:t>
      </w:r>
      <w:r>
        <w:rPr>
          <w:rFonts w:ascii="宋体" w:hAnsi="宋体" w:eastAsia="宋体" w:cs="宋体"/>
          <w:sz w:val="19"/>
          <w:szCs w:val="19"/>
        </w:rPr>
        <w:t xml:space="preserve">  </w:t>
      </w:r>
      <w:r>
        <w:rPr>
          <w:rFonts w:ascii="宋体" w:hAnsi="宋体" w:eastAsia="宋体" w:cs="宋体"/>
          <w:spacing w:val="3"/>
          <w:sz w:val="19"/>
          <w:szCs w:val="19"/>
        </w:rPr>
        <w:t>报告结果的偏倚。对每个条目依据偏倚风险评估准则作出“可能是”“否”“可能否”“无信息”和“不</w:t>
      </w:r>
      <w:r>
        <w:rPr>
          <w:rFonts w:ascii="宋体" w:hAnsi="宋体" w:eastAsia="宋体" w:cs="宋体"/>
          <w:spacing w:val="8"/>
          <w:sz w:val="19"/>
          <w:szCs w:val="19"/>
        </w:rPr>
        <w:t xml:space="preserve">  </w:t>
      </w:r>
      <w:r>
        <w:rPr>
          <w:rFonts w:ascii="宋体" w:hAnsi="宋体" w:eastAsia="宋体" w:cs="宋体"/>
          <w:spacing w:val="20"/>
          <w:sz w:val="19"/>
          <w:szCs w:val="19"/>
        </w:rPr>
        <w:t>适用”的判定(表18-3)。对研究的整体偏倚风险评估则基于上</w:t>
      </w:r>
      <w:r>
        <w:rPr>
          <w:rFonts w:ascii="宋体" w:hAnsi="宋体" w:eastAsia="宋体" w:cs="宋体"/>
          <w:spacing w:val="19"/>
          <w:sz w:val="19"/>
          <w:szCs w:val="19"/>
        </w:rPr>
        <w:t>述5个领域的综合评估结果来确定。</w:t>
      </w:r>
      <w:r>
        <w:rPr>
          <w:rFonts w:ascii="宋体" w:hAnsi="宋体" w:eastAsia="宋体" w:cs="宋体"/>
          <w:sz w:val="19"/>
          <w:szCs w:val="19"/>
        </w:rPr>
        <w:t xml:space="preserve"> </w:t>
      </w:r>
      <w:r>
        <w:rPr>
          <w:rFonts w:ascii="宋体" w:hAnsi="宋体" w:eastAsia="宋体" w:cs="宋体"/>
          <w:spacing w:val="17"/>
          <w:sz w:val="19"/>
          <w:szCs w:val="19"/>
        </w:rPr>
        <w:t>当所有领域评估结果均为低风险时，则整体偏</w:t>
      </w:r>
      <w:r>
        <w:rPr>
          <w:rFonts w:ascii="宋体" w:hAnsi="宋体" w:eastAsia="宋体" w:cs="宋体"/>
          <w:spacing w:val="16"/>
          <w:sz w:val="19"/>
          <w:szCs w:val="19"/>
        </w:rPr>
        <w:t>倚风险为“低风险”;至少有1个领域评估结果为有一</w:t>
      </w:r>
      <w:r>
        <w:rPr>
          <w:rFonts w:ascii="宋体" w:hAnsi="宋体" w:eastAsia="宋体" w:cs="宋体"/>
          <w:sz w:val="19"/>
          <w:szCs w:val="19"/>
        </w:rPr>
        <w:t xml:space="preserve">  </w:t>
      </w:r>
      <w:r>
        <w:rPr>
          <w:rFonts w:ascii="宋体" w:hAnsi="宋体" w:eastAsia="宋体" w:cs="宋体"/>
          <w:spacing w:val="17"/>
          <w:sz w:val="19"/>
          <w:szCs w:val="19"/>
        </w:rPr>
        <w:t>定风险时，整体偏倚风险为“有一定风险”;至少有1个领域评估结果为高风险时，整体</w:t>
      </w:r>
      <w:r>
        <w:rPr>
          <w:rFonts w:ascii="宋体" w:hAnsi="宋体" w:eastAsia="宋体" w:cs="宋体"/>
          <w:spacing w:val="16"/>
          <w:sz w:val="19"/>
          <w:szCs w:val="19"/>
        </w:rPr>
        <w:t>偏倚风险为</w:t>
      </w:r>
      <w:r>
        <w:rPr>
          <w:rFonts w:ascii="宋体" w:hAnsi="宋体" w:eastAsia="宋体" w:cs="宋体"/>
          <w:sz w:val="19"/>
          <w:szCs w:val="19"/>
        </w:rPr>
        <w:t xml:space="preserve"> </w:t>
      </w:r>
      <w:r>
        <w:rPr>
          <w:rFonts w:ascii="宋体" w:hAnsi="宋体" w:eastAsia="宋体" w:cs="宋体"/>
          <w:spacing w:val="-4"/>
          <w:sz w:val="19"/>
          <w:szCs w:val="19"/>
        </w:rPr>
        <w:t>“高风险”。</w:t>
      </w:r>
    </w:p>
    <w:p w14:paraId="2D4379AE">
      <w:pPr>
        <w:spacing w:before="177" w:line="218" w:lineRule="auto"/>
        <w:ind w:left="1415"/>
        <w:rPr>
          <w:rFonts w:ascii="宋体" w:hAnsi="宋体" w:eastAsia="宋体" w:cs="宋体"/>
          <w:sz w:val="20"/>
          <w:szCs w:val="20"/>
        </w:rPr>
      </w:pPr>
      <w:r>
        <w:rPr>
          <w:rFonts w:ascii="宋体" w:hAnsi="宋体" w:eastAsia="宋体" w:cs="宋体"/>
          <w:spacing w:val="1"/>
          <w:sz w:val="20"/>
          <w:szCs w:val="20"/>
        </w:rPr>
        <w:t xml:space="preserve">表18-3 </w:t>
      </w:r>
      <w:r>
        <w:rPr>
          <w:rFonts w:ascii="宋体" w:hAnsi="宋体" w:eastAsia="宋体" w:cs="宋体"/>
          <w:sz w:val="20"/>
          <w:szCs w:val="20"/>
        </w:rPr>
        <w:t>Cochrane</w:t>
      </w:r>
      <w:r>
        <w:rPr>
          <w:rFonts w:ascii="宋体" w:hAnsi="宋体" w:eastAsia="宋体" w:cs="宋体"/>
          <w:spacing w:val="1"/>
          <w:sz w:val="20"/>
          <w:szCs w:val="20"/>
        </w:rPr>
        <w:t>协作网随机试验偏倚风险评估工具2.0版的领域及条目</w:t>
      </w:r>
    </w:p>
    <w:p w14:paraId="294462AD">
      <w:pPr>
        <w:spacing w:line="22" w:lineRule="exact"/>
      </w:pPr>
    </w:p>
    <w:tbl>
      <w:tblPr>
        <w:tblStyle w:val="5"/>
        <w:tblW w:w="8789" w:type="dxa"/>
        <w:tblInd w:w="124"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0" w:type="dxa"/>
          <w:left w:w="0" w:type="dxa"/>
          <w:bottom w:w="0" w:type="dxa"/>
          <w:right w:w="0" w:type="dxa"/>
        </w:tblCellMar>
      </w:tblPr>
      <w:tblGrid>
        <w:gridCol w:w="1420"/>
        <w:gridCol w:w="7369"/>
      </w:tblGrid>
      <w:tr w14:paraId="7E1E0E48">
        <w:trPr>
          <w:trHeight w:val="384" w:hRule="atLeast"/>
        </w:trPr>
        <w:tc>
          <w:tcPr>
            <w:tcW w:w="1420" w:type="dxa"/>
            <w:tcBorders>
              <w:top w:val="single" w:color="000000" w:sz="4" w:space="0"/>
              <w:bottom w:val="single" w:color="000000" w:sz="4" w:space="0"/>
            </w:tcBorders>
            <w:shd w:val="clear" w:color="auto" w:fill="D1E0E3"/>
            <w:vAlign w:val="top"/>
          </w:tcPr>
          <w:p w14:paraId="5D940153">
            <w:pPr>
              <w:pStyle w:val="6"/>
              <w:spacing w:before="93" w:line="220" w:lineRule="auto"/>
              <w:ind w:left="510"/>
            </w:pPr>
            <w:r>
              <w:rPr>
                <w:spacing w:val="-2"/>
              </w:rPr>
              <w:t>领域</w:t>
            </w:r>
          </w:p>
        </w:tc>
        <w:tc>
          <w:tcPr>
            <w:tcW w:w="7369" w:type="dxa"/>
            <w:tcBorders>
              <w:top w:val="single" w:color="000000" w:sz="4" w:space="0"/>
              <w:bottom w:val="single" w:color="000000" w:sz="4" w:space="0"/>
            </w:tcBorders>
            <w:shd w:val="clear" w:color="auto" w:fill="C3C5BF"/>
            <w:vAlign w:val="top"/>
          </w:tcPr>
          <w:p w14:paraId="5C9F58F0">
            <w:pPr>
              <w:pStyle w:val="6"/>
              <w:spacing w:before="93" w:line="219" w:lineRule="auto"/>
              <w:ind w:left="129"/>
            </w:pPr>
            <w:r>
              <w:rPr>
                <w:spacing w:val="-5"/>
              </w:rPr>
              <w:t>条</w:t>
            </w:r>
            <w:r>
              <w:rPr>
                <w:spacing w:val="-7"/>
              </w:rPr>
              <w:t xml:space="preserve"> </w:t>
            </w:r>
            <w:r>
              <w:rPr>
                <w:spacing w:val="-5"/>
              </w:rPr>
              <w:t>目</w:t>
            </w:r>
          </w:p>
        </w:tc>
      </w:tr>
      <w:tr w14:paraId="7B7FA1CB">
        <w:trPr>
          <w:trHeight w:val="7130" w:hRule="atLeast"/>
        </w:trPr>
        <w:tc>
          <w:tcPr>
            <w:tcW w:w="1420" w:type="dxa"/>
            <w:vMerge w:val="restart"/>
            <w:tcBorders>
              <w:top w:val="single" w:color="000000" w:sz="4" w:space="0"/>
              <w:bottom w:val="nil"/>
            </w:tcBorders>
            <w:vAlign w:val="top"/>
          </w:tcPr>
          <w:p w14:paraId="4E4AF848">
            <w:pPr>
              <w:pStyle w:val="6"/>
              <w:spacing w:before="67" w:line="219" w:lineRule="auto"/>
              <w:ind w:left="110"/>
            </w:pPr>
            <w:r>
              <w:rPr>
                <w:spacing w:val="1"/>
              </w:rPr>
              <w:t>1.随机化过程</w:t>
            </w:r>
          </w:p>
          <w:p w14:paraId="01D2F624">
            <w:pPr>
              <w:spacing w:line="267" w:lineRule="auto"/>
              <w:rPr>
                <w:rFonts w:ascii="Arial"/>
                <w:sz w:val="21"/>
              </w:rPr>
            </w:pPr>
          </w:p>
          <w:p w14:paraId="5FAB7A61">
            <w:pPr>
              <w:pStyle w:val="6"/>
              <w:spacing w:before="65" w:line="219" w:lineRule="auto"/>
              <w:ind w:left="309"/>
            </w:pPr>
            <w:r>
              <w:rPr>
                <w:spacing w:val="2"/>
              </w:rPr>
              <w:t>中的偏倚</w:t>
            </w:r>
          </w:p>
          <w:p w14:paraId="306BF8C4">
            <w:pPr>
              <w:spacing w:line="275" w:lineRule="auto"/>
              <w:rPr>
                <w:rFonts w:ascii="Arial"/>
                <w:sz w:val="21"/>
              </w:rPr>
            </w:pPr>
          </w:p>
          <w:p w14:paraId="54033C88">
            <w:pPr>
              <w:pStyle w:val="6"/>
              <w:spacing w:before="65" w:line="261" w:lineRule="auto"/>
              <w:ind w:left="80" w:right="149"/>
            </w:pPr>
            <w:r>
              <w:rPr>
                <w:spacing w:val="-2"/>
              </w:rPr>
              <w:t>2.偏离既定干</w:t>
            </w:r>
            <w:r>
              <w:rPr>
                <w:spacing w:val="2"/>
              </w:rPr>
              <w:t xml:space="preserve"> </w:t>
            </w:r>
            <w:r>
              <w:rPr>
                <w:spacing w:val="-2"/>
              </w:rPr>
              <w:t>预措施的偏倚</w:t>
            </w:r>
          </w:p>
        </w:tc>
        <w:tc>
          <w:tcPr>
            <w:tcW w:w="7369" w:type="dxa"/>
            <w:tcBorders>
              <w:top w:val="single" w:color="000000" w:sz="4" w:space="0"/>
            </w:tcBorders>
            <w:vAlign w:val="top"/>
          </w:tcPr>
          <w:p w14:paraId="6A5C2CF3">
            <w:pPr>
              <w:pStyle w:val="6"/>
              <w:spacing w:before="67" w:line="219" w:lineRule="auto"/>
              <w:ind w:left="129"/>
            </w:pPr>
            <w:r>
              <w:t>1.1分配序列是否随机?</w:t>
            </w:r>
          </w:p>
          <w:p w14:paraId="40ABF36D">
            <w:pPr>
              <w:pStyle w:val="6"/>
              <w:spacing w:before="142" w:line="219" w:lineRule="auto"/>
              <w:ind w:left="129"/>
            </w:pPr>
            <w:r>
              <w:t>1.2直至受试者参加并被分配到干预措施，分配序列是否隐藏?</w:t>
            </w:r>
          </w:p>
          <w:p w14:paraId="24E84F13">
            <w:pPr>
              <w:pStyle w:val="6"/>
              <w:spacing w:before="152" w:line="219" w:lineRule="auto"/>
              <w:ind w:left="129"/>
            </w:pPr>
            <w:r>
              <w:t>1.3组间基线差异是否提示随机化过程中有问题?</w:t>
            </w:r>
          </w:p>
          <w:p w14:paraId="46094CA0">
            <w:pPr>
              <w:pStyle w:val="6"/>
              <w:spacing w:before="133" w:line="219" w:lineRule="auto"/>
              <w:ind w:left="129"/>
            </w:pPr>
            <w:r>
              <w:rPr>
                <w:spacing w:val="-1"/>
              </w:rPr>
              <w:t>2.1干预措施分配的效果方面</w:t>
            </w:r>
          </w:p>
          <w:p w14:paraId="48B45224">
            <w:pPr>
              <w:pStyle w:val="6"/>
              <w:spacing w:before="132" w:line="219" w:lineRule="auto"/>
              <w:ind w:left="129"/>
            </w:pPr>
            <w:r>
              <w:t>2.1.1在试验中受试者是否知道他们被分配到哪种干预措施?</w:t>
            </w:r>
          </w:p>
          <w:p w14:paraId="4CE457E0">
            <w:pPr>
              <w:pStyle w:val="6"/>
              <w:spacing w:before="143" w:line="219" w:lineRule="auto"/>
              <w:ind w:left="129"/>
            </w:pPr>
            <w:r>
              <w:t>2.1.2在试验中护理人员和干预措施提供者是否知道受试者被分配到哪种干预措施?</w:t>
            </w:r>
          </w:p>
          <w:p w14:paraId="4C8EECBB">
            <w:pPr>
              <w:pStyle w:val="6"/>
              <w:spacing w:before="144" w:line="235" w:lineRule="auto"/>
              <w:ind w:left="140" w:right="113"/>
            </w:pPr>
            <w:r>
              <w:t>2.1.3若2.1.1或2.1.2回答Y/PY/NI:是否存在由研究环境造成偏离既定干预措施的</w:t>
            </w:r>
            <w:r>
              <w:rPr>
                <w:spacing w:val="14"/>
              </w:rPr>
              <w:t xml:space="preserve"> </w:t>
            </w:r>
            <w:r>
              <w:rPr>
                <w:spacing w:val="-3"/>
              </w:rPr>
              <w:t>情况?</w:t>
            </w:r>
          </w:p>
          <w:p w14:paraId="4601AE89">
            <w:pPr>
              <w:pStyle w:val="6"/>
              <w:spacing w:before="140" w:line="219" w:lineRule="auto"/>
              <w:ind w:left="129"/>
            </w:pPr>
            <w:r>
              <w:t>2.1.4若2.1.3回答Y/PY:偏离既定干预措施的情况是否很可能影响结局?</w:t>
            </w:r>
          </w:p>
          <w:p w14:paraId="24AFA3BB">
            <w:pPr>
              <w:pStyle w:val="6"/>
              <w:spacing w:before="133" w:line="219" w:lineRule="auto"/>
              <w:ind w:left="129"/>
            </w:pPr>
            <w:r>
              <w:t>2.1.5若2.1.4回答Y/PY/NI:偏离既定干预措施的情况是否在组间均衡?</w:t>
            </w:r>
          </w:p>
          <w:p w14:paraId="6E99696D">
            <w:pPr>
              <w:pStyle w:val="6"/>
              <w:spacing w:before="132" w:line="218" w:lineRule="auto"/>
              <w:ind w:left="129"/>
            </w:pPr>
            <w:r>
              <w:t>2.1.6是否采用了恰当的分析方法估计干预措施分配的效果?</w:t>
            </w:r>
          </w:p>
          <w:p w14:paraId="02B092AC">
            <w:pPr>
              <w:pStyle w:val="6"/>
              <w:spacing w:before="157" w:line="235" w:lineRule="auto"/>
              <w:ind w:left="140" w:right="8"/>
            </w:pPr>
            <w:r>
              <w:rPr>
                <w:spacing w:val="-4"/>
              </w:rPr>
              <w:t>2.1.7若2.1.6回答N/PN/NI:分析受试者分组错误是否有(对结果)造成实质影响的潜在</w:t>
            </w:r>
            <w:r>
              <w:rPr>
                <w:spacing w:val="7"/>
              </w:rPr>
              <w:t xml:space="preserve"> </w:t>
            </w:r>
            <w:r>
              <w:rPr>
                <w:spacing w:val="-3"/>
              </w:rPr>
              <w:t>可能?</w:t>
            </w:r>
          </w:p>
          <w:p w14:paraId="247E98C7">
            <w:pPr>
              <w:pStyle w:val="6"/>
              <w:spacing w:before="128" w:line="219" w:lineRule="auto"/>
              <w:ind w:left="129"/>
            </w:pPr>
            <w:r>
              <w:rPr>
                <w:spacing w:val="-1"/>
              </w:rPr>
              <w:t>2.2干预措施依从的效果方面</w:t>
            </w:r>
          </w:p>
          <w:p w14:paraId="6E5E9C4E">
            <w:pPr>
              <w:pStyle w:val="6"/>
              <w:spacing w:before="133" w:line="219" w:lineRule="auto"/>
              <w:ind w:left="129"/>
            </w:pPr>
            <w:r>
              <w:t>2.2.1在试验中受试者是否知道他们被分配到哪种干预措施?</w:t>
            </w:r>
          </w:p>
          <w:p w14:paraId="68835F48">
            <w:pPr>
              <w:pStyle w:val="6"/>
              <w:spacing w:before="132" w:line="219" w:lineRule="auto"/>
              <w:ind w:left="129"/>
            </w:pPr>
            <w:r>
              <w:t>2.2.2在试验中护理人员和干预措施提供者是否知道受试者被分配到哪种干预措施?</w:t>
            </w:r>
          </w:p>
          <w:p w14:paraId="766F6B90">
            <w:pPr>
              <w:pStyle w:val="6"/>
              <w:spacing w:before="144" w:line="235" w:lineRule="auto"/>
              <w:ind w:left="129"/>
            </w:pPr>
            <w:r>
              <w:rPr>
                <w:spacing w:val="-1"/>
              </w:rPr>
              <w:t>2.2.3[如果适用]若2.2.1或2.2.2回答Y/PY/NI:重要的</w:t>
            </w:r>
            <w:r>
              <w:rPr>
                <w:spacing w:val="-2"/>
              </w:rPr>
              <w:t>计划外的干预措施是否在组间</w:t>
            </w:r>
            <w:r>
              <w:t xml:space="preserve"> </w:t>
            </w:r>
            <w:r>
              <w:rPr>
                <w:spacing w:val="-3"/>
              </w:rPr>
              <w:t>均衡?</w:t>
            </w:r>
          </w:p>
          <w:p w14:paraId="2846F0EF">
            <w:pPr>
              <w:pStyle w:val="6"/>
              <w:spacing w:before="140" w:line="219" w:lineRule="auto"/>
              <w:ind w:left="129"/>
            </w:pPr>
            <w:r>
              <w:t>2.2.4[如果适用]未完成干预措施的情况是否有可能影响结局?</w:t>
            </w:r>
          </w:p>
          <w:p w14:paraId="3839872B">
            <w:pPr>
              <w:pStyle w:val="6"/>
              <w:spacing w:before="133" w:line="205" w:lineRule="auto"/>
              <w:ind w:left="129"/>
            </w:pPr>
            <w:r>
              <w:t>2.2.5[如果适用]不依从干预措施的情况是否有可能影响受试者结局?</w:t>
            </w:r>
          </w:p>
        </w:tc>
      </w:tr>
      <w:tr w14:paraId="051452AF">
        <w:trPr>
          <w:trHeight w:val="685" w:hRule="atLeast"/>
        </w:trPr>
        <w:tc>
          <w:tcPr>
            <w:tcW w:w="1420" w:type="dxa"/>
            <w:vMerge w:val="continue"/>
            <w:tcBorders>
              <w:top w:val="nil"/>
              <w:bottom w:val="single" w:color="000000" w:sz="4" w:space="0"/>
            </w:tcBorders>
            <w:vAlign w:val="top"/>
          </w:tcPr>
          <w:p w14:paraId="444C4217">
            <w:pPr>
              <w:rPr>
                <w:rFonts w:ascii="Arial"/>
                <w:sz w:val="21"/>
              </w:rPr>
            </w:pPr>
          </w:p>
        </w:tc>
        <w:tc>
          <w:tcPr>
            <w:tcW w:w="7369" w:type="dxa"/>
            <w:tcBorders>
              <w:bottom w:val="single" w:color="000000" w:sz="4" w:space="0"/>
            </w:tcBorders>
            <w:shd w:val="clear" w:color="auto" w:fill="E8E7EA"/>
            <w:vAlign w:val="top"/>
          </w:tcPr>
          <w:p w14:paraId="6B222DBF">
            <w:pPr>
              <w:pStyle w:val="6"/>
              <w:spacing w:before="135" w:line="249" w:lineRule="auto"/>
              <w:ind w:left="150" w:right="10"/>
            </w:pPr>
            <w:r>
              <w:rPr>
                <w:spacing w:val="-8"/>
              </w:rPr>
              <w:t>2.2.6若2.2.3回答N/PN/NI</w:t>
            </w:r>
            <w:r>
              <w:rPr>
                <w:spacing w:val="-9"/>
              </w:rPr>
              <w:t>,或2.2.4/2.2.5回答Y/PY/NI:是否采用了恰当的分析方法估计</w:t>
            </w:r>
            <w:r>
              <w:t xml:space="preserve"> </w:t>
            </w:r>
            <w:r>
              <w:rPr>
                <w:spacing w:val="-1"/>
              </w:rPr>
              <w:t>干预措施依从的效果?</w:t>
            </w:r>
          </w:p>
        </w:tc>
      </w:tr>
    </w:tbl>
    <w:p w14:paraId="231E82D3">
      <w:pPr>
        <w:rPr>
          <w:rFonts w:ascii="Arial"/>
          <w:sz w:val="21"/>
        </w:rPr>
      </w:pPr>
    </w:p>
    <w:p w14:paraId="2C93C15D">
      <w:pPr>
        <w:rPr>
          <w:rFonts w:ascii="Arial" w:hAnsi="Arial" w:eastAsia="Arial" w:cs="Arial"/>
          <w:sz w:val="21"/>
          <w:szCs w:val="21"/>
        </w:rPr>
        <w:sectPr>
          <w:footerReference r:id="rId302" w:type="default"/>
          <w:pgSz w:w="11900" w:h="16820"/>
          <w:pgMar w:top="400" w:right="928" w:bottom="812" w:left="1444" w:header="0" w:footer="641" w:gutter="0"/>
          <w:cols w:space="720" w:num="1"/>
        </w:sectPr>
      </w:pPr>
    </w:p>
    <w:p w14:paraId="0FA7F6B1">
      <w:pPr>
        <w:spacing w:line="259" w:lineRule="auto"/>
        <w:rPr>
          <w:rFonts w:ascii="Arial"/>
          <w:sz w:val="21"/>
        </w:rPr>
      </w:pPr>
    </w:p>
    <w:p w14:paraId="23945804">
      <w:pPr>
        <w:pStyle w:val="2"/>
        <w:spacing w:before="65" w:line="221" w:lineRule="auto"/>
        <w:ind w:left="730"/>
        <w:rPr>
          <w:sz w:val="20"/>
          <w:szCs w:val="20"/>
        </w:rPr>
      </w:pPr>
      <w:r>
        <w:rPr>
          <w:spacing w:val="-22"/>
          <w:w w:val="99"/>
          <w:sz w:val="20"/>
          <w:szCs w:val="20"/>
        </w:rPr>
        <w:t>第十八章 循证医学与系统综述</w:t>
      </w:r>
    </w:p>
    <w:p w14:paraId="29915945">
      <w:pPr>
        <w:spacing w:line="267" w:lineRule="auto"/>
        <w:rPr>
          <w:rFonts w:ascii="Arial"/>
          <w:sz w:val="21"/>
        </w:rPr>
      </w:pPr>
    </w:p>
    <w:p w14:paraId="3BFB9A66">
      <w:pPr>
        <w:spacing w:line="267" w:lineRule="auto"/>
        <w:rPr>
          <w:rFonts w:ascii="Arial"/>
          <w:sz w:val="21"/>
        </w:rPr>
      </w:pPr>
    </w:p>
    <w:p w14:paraId="2641C149">
      <w:pPr>
        <w:spacing w:before="65" w:line="220" w:lineRule="auto"/>
        <w:ind w:left="2250"/>
        <w:rPr>
          <w:rFonts w:ascii="宋体" w:hAnsi="宋体" w:eastAsia="宋体" w:cs="宋体"/>
          <w:sz w:val="20"/>
          <w:szCs w:val="20"/>
        </w:rPr>
      </w:pPr>
      <w:r>
        <w:rPr>
          <w:rFonts w:ascii="宋体" w:hAnsi="宋体" w:eastAsia="宋体" w:cs="宋体"/>
          <w:spacing w:val="-3"/>
          <w:sz w:val="20"/>
          <w:szCs w:val="20"/>
        </w:rPr>
        <w:t>续表</w:t>
      </w:r>
    </w:p>
    <w:p w14:paraId="35B37CB0">
      <w:pPr>
        <w:spacing w:line="27" w:lineRule="exact"/>
      </w:pPr>
    </w:p>
    <w:tbl>
      <w:tblPr>
        <w:tblStyle w:val="5"/>
        <w:tblW w:w="9042" w:type="dxa"/>
        <w:tblInd w:w="73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0" w:type="dxa"/>
          <w:left w:w="0" w:type="dxa"/>
          <w:bottom w:w="0" w:type="dxa"/>
          <w:right w:w="0" w:type="dxa"/>
        </w:tblCellMar>
      </w:tblPr>
      <w:tblGrid>
        <w:gridCol w:w="1450"/>
        <w:gridCol w:w="7592"/>
      </w:tblGrid>
      <w:tr w14:paraId="79815D8C">
        <w:trPr>
          <w:trHeight w:val="354" w:hRule="atLeast"/>
        </w:trPr>
        <w:tc>
          <w:tcPr>
            <w:tcW w:w="1450" w:type="dxa"/>
            <w:tcBorders>
              <w:top w:val="single" w:color="000000" w:sz="4" w:space="0"/>
              <w:bottom w:val="single" w:color="000000" w:sz="4" w:space="0"/>
            </w:tcBorders>
            <w:shd w:val="clear" w:color="auto" w:fill="D2D4D7"/>
            <w:vAlign w:val="top"/>
          </w:tcPr>
          <w:p w14:paraId="4D9B8C74">
            <w:pPr>
              <w:pStyle w:val="6"/>
              <w:spacing w:before="81" w:line="220" w:lineRule="auto"/>
              <w:ind w:left="522"/>
            </w:pPr>
            <w:r>
              <w:rPr>
                <w:b/>
                <w:bCs/>
                <w:spacing w:val="-5"/>
              </w:rPr>
              <w:t>领域</w:t>
            </w:r>
          </w:p>
        </w:tc>
        <w:tc>
          <w:tcPr>
            <w:tcW w:w="7592" w:type="dxa"/>
            <w:tcBorders>
              <w:top w:val="single" w:color="000000" w:sz="4" w:space="0"/>
              <w:bottom w:val="single" w:color="000000" w:sz="4" w:space="0"/>
            </w:tcBorders>
            <w:shd w:val="clear" w:color="auto" w:fill="D1D1CD"/>
            <w:vAlign w:val="top"/>
          </w:tcPr>
          <w:p w14:paraId="34439B5C">
            <w:pPr>
              <w:pStyle w:val="6"/>
              <w:spacing w:before="80" w:line="219" w:lineRule="auto"/>
              <w:ind w:left="72"/>
            </w:pPr>
            <w:r>
              <w:rPr>
                <w:b/>
                <w:bCs/>
                <w:spacing w:val="14"/>
              </w:rPr>
              <w:t>条目</w:t>
            </w:r>
          </w:p>
        </w:tc>
      </w:tr>
      <w:tr w14:paraId="75120B77">
        <w:trPr>
          <w:trHeight w:val="341" w:hRule="atLeast"/>
        </w:trPr>
        <w:tc>
          <w:tcPr>
            <w:tcW w:w="1450" w:type="dxa"/>
            <w:tcBorders>
              <w:top w:val="single" w:color="000000" w:sz="4" w:space="0"/>
            </w:tcBorders>
            <w:vAlign w:val="top"/>
          </w:tcPr>
          <w:p w14:paraId="3151F85A">
            <w:pPr>
              <w:pStyle w:val="6"/>
              <w:spacing w:before="108" w:line="205" w:lineRule="auto"/>
              <w:ind w:left="109"/>
            </w:pPr>
            <w:r>
              <w:rPr>
                <w:spacing w:val="3"/>
              </w:rPr>
              <w:t>3.结局数据缺</w:t>
            </w:r>
          </w:p>
        </w:tc>
        <w:tc>
          <w:tcPr>
            <w:tcW w:w="7592" w:type="dxa"/>
            <w:tcBorders>
              <w:top w:val="single" w:color="000000" w:sz="4" w:space="0"/>
            </w:tcBorders>
            <w:vAlign w:val="top"/>
          </w:tcPr>
          <w:p w14:paraId="40C90069">
            <w:pPr>
              <w:pStyle w:val="6"/>
              <w:spacing w:before="88" w:line="219" w:lineRule="auto"/>
              <w:ind w:left="69"/>
            </w:pPr>
            <w:r>
              <w:t>3.1是否可以获取全部或者几乎全部受试者的结局数据?</w:t>
            </w:r>
          </w:p>
        </w:tc>
      </w:tr>
      <w:tr w14:paraId="3E8CF0FB">
        <w:trPr>
          <w:trHeight w:val="449" w:hRule="atLeast"/>
        </w:trPr>
        <w:tc>
          <w:tcPr>
            <w:tcW w:w="1450" w:type="dxa"/>
            <w:vAlign w:val="top"/>
          </w:tcPr>
          <w:p w14:paraId="1D45AB92">
            <w:pPr>
              <w:pStyle w:val="6"/>
              <w:spacing w:before="38" w:line="219" w:lineRule="auto"/>
              <w:ind w:left="109"/>
            </w:pPr>
            <w:r>
              <w:rPr>
                <w:spacing w:val="2"/>
              </w:rPr>
              <w:t>失的偏倚</w:t>
            </w:r>
          </w:p>
        </w:tc>
        <w:tc>
          <w:tcPr>
            <w:tcW w:w="7592" w:type="dxa"/>
            <w:vAlign w:val="top"/>
          </w:tcPr>
          <w:p w14:paraId="70FB284F">
            <w:pPr>
              <w:pStyle w:val="6"/>
              <w:spacing w:before="148" w:line="219" w:lineRule="auto"/>
              <w:ind w:left="69"/>
            </w:pPr>
            <w:r>
              <w:t>3.2若3.1回答N/PNNI:是否有证据证明结局数据的缺失没有对结果造成偏倚?</w:t>
            </w:r>
          </w:p>
        </w:tc>
      </w:tr>
      <w:tr w14:paraId="379FBA8A">
        <w:trPr>
          <w:trHeight w:val="2001" w:hRule="atLeast"/>
        </w:trPr>
        <w:tc>
          <w:tcPr>
            <w:tcW w:w="1450" w:type="dxa"/>
            <w:vAlign w:val="top"/>
          </w:tcPr>
          <w:p w14:paraId="3F17846B">
            <w:pPr>
              <w:spacing w:line="276" w:lineRule="auto"/>
              <w:rPr>
                <w:rFonts w:ascii="Arial"/>
                <w:sz w:val="21"/>
              </w:rPr>
            </w:pPr>
          </w:p>
          <w:p w14:paraId="1B37684C">
            <w:pPr>
              <w:spacing w:line="277" w:lineRule="auto"/>
              <w:rPr>
                <w:rFonts w:ascii="Arial"/>
                <w:sz w:val="21"/>
              </w:rPr>
            </w:pPr>
          </w:p>
          <w:p w14:paraId="1334B7A5">
            <w:pPr>
              <w:spacing w:line="277" w:lineRule="auto"/>
              <w:rPr>
                <w:rFonts w:ascii="Arial"/>
                <w:sz w:val="21"/>
              </w:rPr>
            </w:pPr>
          </w:p>
          <w:p w14:paraId="469D9D65">
            <w:pPr>
              <w:pStyle w:val="6"/>
              <w:spacing w:before="65" w:line="222" w:lineRule="auto"/>
              <w:ind w:left="99" w:right="124"/>
            </w:pPr>
            <w:r>
              <w:rPr>
                <w:spacing w:val="3"/>
              </w:rPr>
              <w:t xml:space="preserve">4.结局测量的 </w:t>
            </w:r>
            <w:r>
              <w:rPr>
                <w:spacing w:val="-2"/>
              </w:rPr>
              <w:t>偏倚</w:t>
            </w:r>
          </w:p>
        </w:tc>
        <w:tc>
          <w:tcPr>
            <w:tcW w:w="7592" w:type="dxa"/>
            <w:vAlign w:val="top"/>
          </w:tcPr>
          <w:p w14:paraId="65CA2580">
            <w:pPr>
              <w:pStyle w:val="6"/>
              <w:spacing w:before="108" w:line="219" w:lineRule="auto"/>
              <w:ind w:left="69"/>
            </w:pPr>
            <w:r>
              <w:t>3.3若3.2回答N/PN:结局数据的缺失是否有可能依赖于其真值?</w:t>
            </w:r>
          </w:p>
          <w:p w14:paraId="06455B02">
            <w:pPr>
              <w:pStyle w:val="6"/>
              <w:spacing w:before="152" w:line="219" w:lineRule="auto"/>
              <w:ind w:left="69"/>
            </w:pPr>
            <w:r>
              <w:t>3.4若3.3回答YPY/NI:结局数据的缺失是否很可能依赖于其真值?</w:t>
            </w:r>
          </w:p>
          <w:p w14:paraId="2DBF6CD9">
            <w:pPr>
              <w:pStyle w:val="6"/>
              <w:spacing w:before="172" w:line="219" w:lineRule="auto"/>
              <w:ind w:left="69"/>
            </w:pPr>
            <w:r>
              <w:rPr>
                <w:spacing w:val="-1"/>
              </w:rPr>
              <w:t>4.1结局测量方法是否不恰当?</w:t>
            </w:r>
          </w:p>
          <w:p w14:paraId="644B7338">
            <w:pPr>
              <w:pStyle w:val="6"/>
              <w:spacing w:before="164" w:line="219" w:lineRule="auto"/>
              <w:ind w:left="69"/>
            </w:pPr>
            <w:r>
              <w:rPr>
                <w:spacing w:val="-1"/>
              </w:rPr>
              <w:t>4.2结局测量或认定是否有可能有组间差异?</w:t>
            </w:r>
          </w:p>
          <w:p w14:paraId="09087107">
            <w:pPr>
              <w:pStyle w:val="6"/>
              <w:spacing w:before="161" w:line="219" w:lineRule="auto"/>
              <w:ind w:left="69"/>
            </w:pPr>
            <w:r>
              <w:t>4.3若4.1回答N/PNNI:结局测量者是否知道受试者接</w:t>
            </w:r>
            <w:r>
              <w:rPr>
                <w:spacing w:val="-1"/>
              </w:rPr>
              <w:t>受哪种干预措施?</w:t>
            </w:r>
          </w:p>
        </w:tc>
      </w:tr>
      <w:tr w14:paraId="0A3F4D89">
        <w:trPr>
          <w:trHeight w:val="2535" w:hRule="atLeast"/>
        </w:trPr>
        <w:tc>
          <w:tcPr>
            <w:tcW w:w="1450" w:type="dxa"/>
            <w:tcBorders>
              <w:bottom w:val="single" w:color="000000" w:sz="4" w:space="0"/>
            </w:tcBorders>
            <w:vAlign w:val="top"/>
          </w:tcPr>
          <w:p w14:paraId="6D13E826">
            <w:pPr>
              <w:spacing w:line="265" w:lineRule="auto"/>
              <w:rPr>
                <w:rFonts w:ascii="Arial"/>
                <w:sz w:val="21"/>
              </w:rPr>
            </w:pPr>
          </w:p>
          <w:p w14:paraId="05FD8344">
            <w:pPr>
              <w:spacing w:line="266" w:lineRule="auto"/>
              <w:rPr>
                <w:rFonts w:ascii="Arial"/>
                <w:sz w:val="21"/>
              </w:rPr>
            </w:pPr>
          </w:p>
          <w:p w14:paraId="23193EDB">
            <w:pPr>
              <w:spacing w:line="266" w:lineRule="auto"/>
              <w:rPr>
                <w:rFonts w:ascii="Arial"/>
                <w:sz w:val="21"/>
              </w:rPr>
            </w:pPr>
          </w:p>
          <w:p w14:paraId="044240F9">
            <w:pPr>
              <w:pStyle w:val="6"/>
              <w:spacing w:before="65" w:line="280" w:lineRule="auto"/>
              <w:ind w:left="109" w:right="126"/>
            </w:pPr>
            <w:r>
              <w:rPr>
                <w:spacing w:val="1"/>
              </w:rPr>
              <w:t>5.选择性报告</w:t>
            </w:r>
            <w:r>
              <w:rPr>
                <w:spacing w:val="5"/>
              </w:rPr>
              <w:t xml:space="preserve"> </w:t>
            </w:r>
            <w:r>
              <w:rPr>
                <w:spacing w:val="2"/>
              </w:rPr>
              <w:t>结果的偏倚</w:t>
            </w:r>
          </w:p>
        </w:tc>
        <w:tc>
          <w:tcPr>
            <w:tcW w:w="7592" w:type="dxa"/>
            <w:tcBorders>
              <w:bottom w:val="single" w:color="000000" w:sz="4" w:space="0"/>
            </w:tcBorders>
            <w:vAlign w:val="top"/>
          </w:tcPr>
          <w:p w14:paraId="02A6A137">
            <w:pPr>
              <w:pStyle w:val="6"/>
              <w:spacing w:before="107" w:line="219" w:lineRule="auto"/>
              <w:ind w:left="69"/>
            </w:pPr>
            <w:r>
              <w:t>4.4若4.3回答Y/PYNI:如果知道接受哪种干预措施，是否有可</w:t>
            </w:r>
            <w:r>
              <w:rPr>
                <w:spacing w:val="-1"/>
              </w:rPr>
              <w:t>能影响结局测量?</w:t>
            </w:r>
          </w:p>
          <w:p w14:paraId="3A0FBA5B">
            <w:pPr>
              <w:pStyle w:val="6"/>
              <w:spacing w:before="162" w:line="219" w:lineRule="auto"/>
              <w:ind w:left="69"/>
            </w:pPr>
            <w:r>
              <w:t>4.5若4.4回答YPYNI;如果知道接受哪种干预措施，是否很</w:t>
            </w:r>
            <w:r>
              <w:rPr>
                <w:spacing w:val="-1"/>
              </w:rPr>
              <w:t>可能影响结局测量?</w:t>
            </w:r>
          </w:p>
          <w:p w14:paraId="04A3C9BC">
            <w:pPr>
              <w:pStyle w:val="6"/>
              <w:spacing w:before="123" w:line="249" w:lineRule="auto"/>
              <w:ind w:left="69" w:right="355"/>
            </w:pPr>
            <w:r>
              <w:rPr>
                <w:spacing w:val="2"/>
              </w:rPr>
              <w:t>5.1结果的数据分析是否与在获取揭盲的结局数据之前就已预</w:t>
            </w:r>
            <w:r>
              <w:rPr>
                <w:spacing w:val="1"/>
              </w:rPr>
              <w:t>先确定的分析计划相</w:t>
            </w:r>
            <w:r>
              <w:t xml:space="preserve"> </w:t>
            </w:r>
            <w:r>
              <w:rPr>
                <w:spacing w:val="3"/>
              </w:rPr>
              <w:t>一致?</w:t>
            </w:r>
          </w:p>
          <w:p w14:paraId="1FAA0632">
            <w:pPr>
              <w:pStyle w:val="6"/>
              <w:spacing w:before="148" w:line="243" w:lineRule="auto"/>
              <w:ind w:left="109"/>
            </w:pPr>
            <w:r>
              <w:rPr>
                <w:spacing w:val="-3"/>
              </w:rPr>
              <w:t>5.2正在评价的数值结果是否很可能是从多个合格的结局测量(例如：多个分值、多个定</w:t>
            </w:r>
            <w:r>
              <w:rPr>
                <w:spacing w:val="1"/>
              </w:rPr>
              <w:t xml:space="preserve"> 义标准、多个时间点)的结果中选择性报告的?</w:t>
            </w:r>
          </w:p>
          <w:p w14:paraId="157CD9CF">
            <w:pPr>
              <w:pStyle w:val="6"/>
              <w:spacing w:before="154" w:line="218" w:lineRule="auto"/>
              <w:ind w:left="69"/>
            </w:pPr>
            <w:r>
              <w:t>5.3正在评价的数值结果是否很可能是从多个合格的数据分析的结果中选择性报告的?</w:t>
            </w:r>
          </w:p>
        </w:tc>
      </w:tr>
    </w:tbl>
    <w:p w14:paraId="188F80FC">
      <w:pPr>
        <w:spacing w:before="53" w:line="219" w:lineRule="auto"/>
        <w:ind w:left="750"/>
        <w:rPr>
          <w:rFonts w:ascii="宋体" w:hAnsi="宋体" w:eastAsia="宋体" w:cs="宋体"/>
          <w:sz w:val="20"/>
          <w:szCs w:val="20"/>
        </w:rPr>
      </w:pPr>
      <w:r>
        <w:rPr>
          <w:rFonts w:ascii="宋体" w:hAnsi="宋体" w:eastAsia="宋体" w:cs="宋体"/>
          <w:sz w:val="20"/>
          <w:szCs w:val="20"/>
        </w:rPr>
        <w:t>注：Y表示是；PY表示可能是；N表示否；PN表示可能否；NI表示无信息。</w:t>
      </w:r>
    </w:p>
    <w:p w14:paraId="2198522C">
      <w:pPr>
        <w:spacing w:line="295" w:lineRule="auto"/>
        <w:rPr>
          <w:rFonts w:ascii="Arial"/>
          <w:sz w:val="21"/>
        </w:rPr>
      </w:pPr>
    </w:p>
    <w:p w14:paraId="1E165DE6">
      <w:pPr>
        <w:pStyle w:val="2"/>
        <w:spacing w:before="66" w:line="213" w:lineRule="auto"/>
        <w:ind w:left="1160"/>
        <w:rPr>
          <w:sz w:val="20"/>
          <w:szCs w:val="20"/>
        </w:rPr>
      </w:pPr>
      <w:r>
        <w:rPr>
          <w:spacing w:val="15"/>
          <w:sz w:val="20"/>
          <w:szCs w:val="20"/>
        </w:rPr>
        <w:t>(五)提取信息，填写摘录表，建立数据库</w:t>
      </w:r>
    </w:p>
    <w:p w14:paraId="2A09FB7C">
      <w:pPr>
        <w:spacing w:before="146" w:line="333" w:lineRule="auto"/>
        <w:ind w:left="730" w:firstLine="429"/>
        <w:jc w:val="both"/>
        <w:rPr>
          <w:rFonts w:ascii="宋体" w:hAnsi="宋体" w:eastAsia="宋体" w:cs="宋体"/>
          <w:sz w:val="20"/>
          <w:szCs w:val="20"/>
        </w:rPr>
      </w:pPr>
      <w:r>
        <w:rPr>
          <w:rFonts w:ascii="宋体" w:hAnsi="宋体" w:eastAsia="宋体" w:cs="宋体"/>
          <w:spacing w:val="17"/>
          <w:sz w:val="20"/>
          <w:szCs w:val="20"/>
        </w:rPr>
        <w:t>按事先制定的资料摘录表内容，提取每个人选研究的相应信息并</w:t>
      </w:r>
      <w:r>
        <w:rPr>
          <w:rFonts w:ascii="宋体" w:hAnsi="宋体" w:eastAsia="宋体" w:cs="宋体"/>
          <w:spacing w:val="16"/>
          <w:sz w:val="20"/>
          <w:szCs w:val="20"/>
        </w:rPr>
        <w:t>填表，这些信息通常包括：</w:t>
      </w:r>
      <w:r>
        <w:rPr>
          <w:rFonts w:ascii="宋体" w:hAnsi="宋体" w:eastAsia="宋体" w:cs="宋体"/>
          <w:sz w:val="20"/>
          <w:szCs w:val="20"/>
        </w:rPr>
        <w:t xml:space="preserve"> </w:t>
      </w:r>
      <w:r>
        <w:rPr>
          <w:rFonts w:ascii="宋体" w:hAnsi="宋体" w:eastAsia="宋体" w:cs="宋体"/>
          <w:spacing w:val="10"/>
          <w:sz w:val="20"/>
          <w:szCs w:val="20"/>
        </w:rPr>
        <w:t>①确定原始研究身份的信息，如第一作者、发</w:t>
      </w:r>
      <w:r>
        <w:rPr>
          <w:rFonts w:ascii="宋体" w:hAnsi="宋体" w:eastAsia="宋体" w:cs="宋体"/>
          <w:spacing w:val="9"/>
          <w:sz w:val="20"/>
          <w:szCs w:val="20"/>
        </w:rPr>
        <w:t>表的杂志和年份等；②决定结果适用范围和亚组分析</w:t>
      </w:r>
      <w:r>
        <w:rPr>
          <w:rFonts w:ascii="宋体" w:hAnsi="宋体" w:eastAsia="宋体" w:cs="宋体"/>
          <w:sz w:val="20"/>
          <w:szCs w:val="20"/>
        </w:rPr>
        <w:t xml:space="preserve">  </w:t>
      </w:r>
      <w:r>
        <w:rPr>
          <w:rFonts w:ascii="宋体" w:hAnsi="宋体" w:eastAsia="宋体" w:cs="宋体"/>
          <w:spacing w:val="5"/>
          <w:sz w:val="20"/>
          <w:szCs w:val="20"/>
        </w:rPr>
        <w:t>的</w:t>
      </w:r>
      <w:r>
        <w:rPr>
          <w:rFonts w:ascii="宋体" w:hAnsi="宋体" w:eastAsia="宋体" w:cs="宋体"/>
          <w:spacing w:val="-25"/>
          <w:sz w:val="20"/>
          <w:szCs w:val="20"/>
        </w:rPr>
        <w:t xml:space="preserve"> </w:t>
      </w:r>
      <w:r>
        <w:rPr>
          <w:rFonts w:ascii="Times New Roman" w:hAnsi="Times New Roman" w:eastAsia="Times New Roman" w:cs="Times New Roman"/>
          <w:sz w:val="20"/>
          <w:szCs w:val="20"/>
        </w:rPr>
        <w:t>PICO</w:t>
      </w:r>
      <w:r>
        <w:rPr>
          <w:rFonts w:ascii="Times New Roman" w:hAnsi="Times New Roman" w:eastAsia="Times New Roman" w:cs="Times New Roman"/>
          <w:spacing w:val="18"/>
          <w:sz w:val="20"/>
          <w:szCs w:val="20"/>
        </w:rPr>
        <w:t xml:space="preserve"> </w:t>
      </w:r>
      <w:r>
        <w:rPr>
          <w:rFonts w:ascii="宋体" w:hAnsi="宋体" w:eastAsia="宋体" w:cs="宋体"/>
          <w:spacing w:val="5"/>
          <w:sz w:val="20"/>
          <w:szCs w:val="20"/>
        </w:rPr>
        <w:t>数据，如病人的特征(年龄、性别、种族、疾病严重程度等)</w:t>
      </w:r>
      <w:r>
        <w:rPr>
          <w:rFonts w:ascii="宋体" w:hAnsi="宋体" w:eastAsia="宋体" w:cs="宋体"/>
          <w:spacing w:val="4"/>
          <w:sz w:val="20"/>
          <w:szCs w:val="20"/>
        </w:rPr>
        <w:t>、治疗的安排(给药途径、剂量、</w:t>
      </w:r>
      <w:r>
        <w:rPr>
          <w:rFonts w:ascii="宋体" w:hAnsi="宋体" w:eastAsia="宋体" w:cs="宋体"/>
          <w:sz w:val="20"/>
          <w:szCs w:val="20"/>
        </w:rPr>
        <w:t xml:space="preserve"> </w:t>
      </w:r>
      <w:r>
        <w:rPr>
          <w:rFonts w:ascii="宋体" w:hAnsi="宋体" w:eastAsia="宋体" w:cs="宋体"/>
          <w:spacing w:val="6"/>
          <w:sz w:val="20"/>
          <w:szCs w:val="20"/>
        </w:rPr>
        <w:t>治疗时间等)、治疗环境和服务质量等；③确定研究真实性的</w:t>
      </w:r>
      <w:r>
        <w:rPr>
          <w:rFonts w:ascii="宋体" w:hAnsi="宋体" w:eastAsia="宋体" w:cs="宋体"/>
          <w:spacing w:val="5"/>
          <w:sz w:val="20"/>
          <w:szCs w:val="20"/>
        </w:rPr>
        <w:t>信息，如研究设计类型(</w:t>
      </w:r>
      <w:r>
        <w:rPr>
          <w:rFonts w:ascii="宋体" w:hAnsi="宋体" w:eastAsia="宋体" w:cs="宋体"/>
          <w:sz w:val="20"/>
          <w:szCs w:val="20"/>
        </w:rPr>
        <w:t>RCT</w:t>
      </w:r>
      <w:r>
        <w:rPr>
          <w:rFonts w:ascii="宋体" w:hAnsi="宋体" w:eastAsia="宋体" w:cs="宋体"/>
          <w:spacing w:val="5"/>
          <w:sz w:val="20"/>
          <w:szCs w:val="20"/>
        </w:rPr>
        <w:t>、</w:t>
      </w:r>
      <w:r>
        <w:rPr>
          <w:rFonts w:ascii="宋体" w:hAnsi="宋体" w:eastAsia="宋体" w:cs="宋体"/>
          <w:spacing w:val="-27"/>
          <w:sz w:val="20"/>
          <w:szCs w:val="20"/>
        </w:rPr>
        <w:t xml:space="preserve"> </w:t>
      </w:r>
      <w:r>
        <w:rPr>
          <w:rFonts w:ascii="宋体" w:hAnsi="宋体" w:eastAsia="宋体" w:cs="宋体"/>
          <w:spacing w:val="5"/>
          <w:sz w:val="20"/>
          <w:szCs w:val="20"/>
        </w:rPr>
        <w:t>病例对照</w:t>
      </w:r>
      <w:r>
        <w:rPr>
          <w:rFonts w:ascii="宋体" w:hAnsi="宋体" w:eastAsia="宋体" w:cs="宋体"/>
          <w:sz w:val="20"/>
          <w:szCs w:val="20"/>
        </w:rPr>
        <w:t xml:space="preserve">  </w:t>
      </w:r>
      <w:r>
        <w:rPr>
          <w:rFonts w:ascii="宋体" w:hAnsi="宋体" w:eastAsia="宋体" w:cs="宋体"/>
          <w:spacing w:val="3"/>
          <w:sz w:val="20"/>
          <w:szCs w:val="20"/>
        </w:rPr>
        <w:t>研究、队列研究)、偏倚的控制措施(随机分组、分组隐藏、盲法、随访率、依从性等);④</w:t>
      </w:r>
      <w:r>
        <w:rPr>
          <w:rFonts w:ascii="Times New Roman" w:hAnsi="Times New Roman" w:eastAsia="Times New Roman" w:cs="Times New Roman"/>
          <w:sz w:val="20"/>
          <w:szCs w:val="20"/>
        </w:rPr>
        <w:t>Meta</w:t>
      </w:r>
      <w:r>
        <w:rPr>
          <w:rFonts w:ascii="Times New Roman" w:hAnsi="Times New Roman" w:eastAsia="Times New Roman" w:cs="Times New Roman"/>
          <w:spacing w:val="3"/>
          <w:sz w:val="20"/>
          <w:szCs w:val="20"/>
        </w:rPr>
        <w:t xml:space="preserve"> </w:t>
      </w:r>
      <w:r>
        <w:rPr>
          <w:rFonts w:ascii="宋体" w:hAnsi="宋体" w:eastAsia="宋体" w:cs="宋体"/>
          <w:spacing w:val="3"/>
          <w:sz w:val="20"/>
          <w:szCs w:val="20"/>
        </w:rPr>
        <w:t>分析所</w:t>
      </w:r>
      <w:r>
        <w:rPr>
          <w:rFonts w:ascii="宋体" w:hAnsi="宋体" w:eastAsia="宋体" w:cs="宋体"/>
          <w:spacing w:val="5"/>
          <w:sz w:val="20"/>
          <w:szCs w:val="20"/>
        </w:rPr>
        <w:t xml:space="preserve">  </w:t>
      </w:r>
      <w:r>
        <w:rPr>
          <w:rFonts w:ascii="宋体" w:hAnsi="宋体" w:eastAsia="宋体" w:cs="宋体"/>
          <w:spacing w:val="7"/>
          <w:sz w:val="20"/>
          <w:szCs w:val="20"/>
        </w:rPr>
        <w:t>需的信息，如效应估计值及其标准误、研究的样本量以及四格表中每个格中的例数等。</w:t>
      </w:r>
    </w:p>
    <w:p w14:paraId="451B3A24">
      <w:pPr>
        <w:spacing w:before="40" w:line="332" w:lineRule="auto"/>
        <w:ind w:left="730" w:right="69" w:firstLine="429"/>
        <w:jc w:val="both"/>
        <w:rPr>
          <w:rFonts w:ascii="宋体" w:hAnsi="宋体" w:eastAsia="宋体" w:cs="宋体"/>
          <w:sz w:val="20"/>
          <w:szCs w:val="20"/>
        </w:rPr>
      </w:pPr>
      <w:r>
        <w:rPr>
          <w:rFonts w:ascii="宋体" w:hAnsi="宋体" w:eastAsia="宋体" w:cs="宋体"/>
          <w:spacing w:val="8"/>
          <w:sz w:val="20"/>
          <w:szCs w:val="20"/>
        </w:rPr>
        <w:t>进一步使用专用的</w:t>
      </w:r>
      <w:r>
        <w:rPr>
          <w:rFonts w:ascii="Times New Roman" w:hAnsi="Times New Roman" w:eastAsia="Times New Roman" w:cs="Times New Roman"/>
          <w:sz w:val="20"/>
          <w:szCs w:val="20"/>
        </w:rPr>
        <w:t>Meta</w:t>
      </w:r>
      <w:r>
        <w:rPr>
          <w:rFonts w:ascii="Times New Roman" w:hAnsi="Times New Roman" w:eastAsia="Times New Roman" w:cs="Times New Roman"/>
          <w:spacing w:val="8"/>
          <w:sz w:val="20"/>
          <w:szCs w:val="20"/>
        </w:rPr>
        <w:t xml:space="preserve"> </w:t>
      </w:r>
      <w:r>
        <w:rPr>
          <w:rFonts w:ascii="宋体" w:hAnsi="宋体" w:eastAsia="宋体" w:cs="宋体"/>
          <w:spacing w:val="8"/>
          <w:sz w:val="20"/>
          <w:szCs w:val="20"/>
        </w:rPr>
        <w:t>分析软件进行统计分析，如</w:t>
      </w:r>
      <w:r>
        <w:rPr>
          <w:rFonts w:ascii="Times New Roman" w:hAnsi="Times New Roman" w:eastAsia="Times New Roman" w:cs="Times New Roman"/>
          <w:sz w:val="20"/>
          <w:szCs w:val="20"/>
        </w:rPr>
        <w:t>RevMan</w:t>
      </w:r>
      <w:r>
        <w:rPr>
          <w:rFonts w:ascii="Times New Roman" w:hAnsi="Times New Roman" w:eastAsia="Times New Roman" w:cs="Times New Roman"/>
          <w:spacing w:val="-29"/>
          <w:sz w:val="20"/>
          <w:szCs w:val="20"/>
        </w:rPr>
        <w:t xml:space="preserve"> </w:t>
      </w:r>
      <w:r>
        <w:rPr>
          <w:rFonts w:ascii="宋体" w:hAnsi="宋体" w:eastAsia="宋体" w:cs="宋体"/>
          <w:spacing w:val="8"/>
          <w:sz w:val="20"/>
          <w:szCs w:val="20"/>
        </w:rPr>
        <w:t>、</w:t>
      </w:r>
      <w:r>
        <w:rPr>
          <w:rFonts w:ascii="Times New Roman" w:hAnsi="Times New Roman" w:eastAsia="Times New Roman" w:cs="Times New Roman"/>
          <w:sz w:val="20"/>
          <w:szCs w:val="20"/>
        </w:rPr>
        <w:t>Stata</w:t>
      </w:r>
      <w:r>
        <w:rPr>
          <w:rFonts w:ascii="Times New Roman" w:hAnsi="Times New Roman" w:eastAsia="Times New Roman" w:cs="Times New Roman"/>
          <w:spacing w:val="-29"/>
          <w:sz w:val="20"/>
          <w:szCs w:val="20"/>
        </w:rPr>
        <w:t xml:space="preserve"> </w:t>
      </w:r>
      <w:r>
        <w:rPr>
          <w:rFonts w:ascii="宋体" w:hAnsi="宋体" w:eastAsia="宋体" w:cs="宋体"/>
          <w:spacing w:val="8"/>
          <w:sz w:val="20"/>
          <w:szCs w:val="20"/>
        </w:rPr>
        <w:t>、</w:t>
      </w:r>
      <w:r>
        <w:rPr>
          <w:rFonts w:ascii="Times New Roman" w:hAnsi="Times New Roman" w:eastAsia="Times New Roman" w:cs="Times New Roman"/>
          <w:spacing w:val="8"/>
          <w:sz w:val="20"/>
          <w:szCs w:val="20"/>
        </w:rPr>
        <w:t>R</w:t>
      </w:r>
      <w:r>
        <w:rPr>
          <w:rFonts w:ascii="宋体" w:hAnsi="宋体" w:eastAsia="宋体" w:cs="宋体"/>
          <w:spacing w:val="8"/>
          <w:sz w:val="20"/>
          <w:szCs w:val="20"/>
        </w:rPr>
        <w:t>或其他统计</w:t>
      </w:r>
      <w:r>
        <w:rPr>
          <w:rFonts w:ascii="宋体" w:hAnsi="宋体" w:eastAsia="宋体" w:cs="宋体"/>
          <w:spacing w:val="7"/>
          <w:sz w:val="20"/>
          <w:szCs w:val="20"/>
        </w:rPr>
        <w:t>软件，可以先</w:t>
      </w:r>
      <w:r>
        <w:rPr>
          <w:rFonts w:ascii="宋体" w:hAnsi="宋体" w:eastAsia="宋体" w:cs="宋体"/>
          <w:sz w:val="20"/>
          <w:szCs w:val="20"/>
        </w:rPr>
        <w:t xml:space="preserve"> </w:t>
      </w:r>
      <w:r>
        <w:rPr>
          <w:rFonts w:ascii="宋体" w:hAnsi="宋体" w:eastAsia="宋体" w:cs="宋体"/>
          <w:spacing w:val="4"/>
          <w:sz w:val="20"/>
          <w:szCs w:val="20"/>
        </w:rPr>
        <w:t>采</w:t>
      </w:r>
      <w:r>
        <w:rPr>
          <w:rFonts w:ascii="宋体" w:hAnsi="宋体" w:eastAsia="宋体" w:cs="宋体"/>
          <w:spacing w:val="-19"/>
          <w:sz w:val="20"/>
          <w:szCs w:val="20"/>
        </w:rPr>
        <w:t xml:space="preserve"> </w:t>
      </w:r>
      <w:r>
        <w:rPr>
          <w:rFonts w:ascii="宋体" w:hAnsi="宋体" w:eastAsia="宋体" w:cs="宋体"/>
          <w:spacing w:val="4"/>
          <w:sz w:val="20"/>
          <w:szCs w:val="20"/>
        </w:rPr>
        <w:t>用</w:t>
      </w:r>
      <w:r>
        <w:rPr>
          <w:rFonts w:ascii="Times New Roman" w:hAnsi="Times New Roman" w:eastAsia="Times New Roman" w:cs="Times New Roman"/>
          <w:sz w:val="20"/>
          <w:szCs w:val="20"/>
        </w:rPr>
        <w:t>Excel</w:t>
      </w:r>
      <w:r>
        <w:rPr>
          <w:rFonts w:ascii="Times New Roman" w:hAnsi="Times New Roman" w:eastAsia="Times New Roman" w:cs="Times New Roman"/>
          <w:spacing w:val="4"/>
          <w:sz w:val="20"/>
          <w:szCs w:val="20"/>
        </w:rPr>
        <w:t xml:space="preserve"> </w:t>
      </w:r>
      <w:r>
        <w:rPr>
          <w:rFonts w:ascii="宋体" w:hAnsi="宋体" w:eastAsia="宋体" w:cs="宋体"/>
          <w:spacing w:val="4"/>
          <w:sz w:val="20"/>
          <w:szCs w:val="20"/>
        </w:rPr>
        <w:t>建立数据库。需要注意的是，对计量资料必须注明单位，如浓度用</w:t>
      </w:r>
      <w:r>
        <w:rPr>
          <w:rFonts w:ascii="Times New Roman" w:hAnsi="Times New Roman" w:eastAsia="Times New Roman" w:cs="Times New Roman"/>
          <w:sz w:val="20"/>
          <w:szCs w:val="20"/>
        </w:rPr>
        <w:t>mmol</w:t>
      </w:r>
      <w:r>
        <w:rPr>
          <w:rFonts w:ascii="Times New Roman" w:hAnsi="Times New Roman" w:eastAsia="Times New Roman" w:cs="Times New Roman"/>
          <w:spacing w:val="3"/>
          <w:sz w:val="20"/>
          <w:szCs w:val="20"/>
        </w:rPr>
        <w:t xml:space="preserve">/L </w:t>
      </w:r>
      <w:r>
        <w:rPr>
          <w:rFonts w:ascii="宋体" w:hAnsi="宋体" w:eastAsia="宋体" w:cs="宋体"/>
          <w:spacing w:val="3"/>
          <w:sz w:val="20"/>
          <w:szCs w:val="20"/>
        </w:rPr>
        <w:t>还 是</w:t>
      </w:r>
      <w:r>
        <w:rPr>
          <w:rFonts w:ascii="Times New Roman" w:hAnsi="Times New Roman" w:eastAsia="Times New Roman" w:cs="Times New Roman"/>
          <w:sz w:val="20"/>
          <w:szCs w:val="20"/>
        </w:rPr>
        <w:t>mg</w:t>
      </w:r>
      <w:r>
        <w:rPr>
          <w:rFonts w:ascii="Times New Roman" w:hAnsi="Times New Roman" w:eastAsia="Times New Roman" w:cs="Times New Roman"/>
          <w:spacing w:val="3"/>
          <w:sz w:val="20"/>
          <w:szCs w:val="20"/>
        </w:rPr>
        <w:t>/</w:t>
      </w:r>
      <w:r>
        <w:rPr>
          <w:rFonts w:ascii="Times New Roman" w:hAnsi="Times New Roman" w:eastAsia="Times New Roman" w:cs="Times New Roman"/>
          <w:sz w:val="20"/>
          <w:szCs w:val="20"/>
        </w:rPr>
        <w:t>dl</w:t>
      </w:r>
      <w:r>
        <w:rPr>
          <w:rFonts w:ascii="Times New Roman" w:hAnsi="Times New Roman" w:eastAsia="Times New Roman" w:cs="Times New Roman"/>
          <w:spacing w:val="3"/>
          <w:sz w:val="20"/>
          <w:szCs w:val="20"/>
        </w:rPr>
        <w:t xml:space="preserve">,  </w:t>
      </w:r>
      <w:r>
        <w:rPr>
          <w:rFonts w:ascii="宋体" w:hAnsi="宋体" w:eastAsia="宋体" w:cs="宋体"/>
          <w:spacing w:val="3"/>
          <w:sz w:val="20"/>
          <w:szCs w:val="20"/>
        </w:rPr>
        <w:t>以</w:t>
      </w:r>
      <w:r>
        <w:rPr>
          <w:rFonts w:ascii="宋体" w:hAnsi="宋体" w:eastAsia="宋体" w:cs="宋体"/>
          <w:sz w:val="20"/>
          <w:szCs w:val="20"/>
        </w:rPr>
        <w:t xml:space="preserve"> </w:t>
      </w:r>
      <w:r>
        <w:rPr>
          <w:rFonts w:ascii="宋体" w:hAnsi="宋体" w:eastAsia="宋体" w:cs="宋体"/>
          <w:spacing w:val="10"/>
          <w:sz w:val="20"/>
          <w:szCs w:val="20"/>
        </w:rPr>
        <w:t>便合并结果时使用统一的单位；比较的两组除了有均数</w:t>
      </w:r>
      <w:r>
        <w:rPr>
          <w:rFonts w:ascii="宋体" w:hAnsi="宋体" w:eastAsia="宋体" w:cs="宋体"/>
          <w:spacing w:val="9"/>
          <w:sz w:val="20"/>
          <w:szCs w:val="20"/>
        </w:rPr>
        <w:t>还要有标准差；计数资料也要使用相同的比</w:t>
      </w:r>
      <w:r>
        <w:rPr>
          <w:rFonts w:ascii="宋体" w:hAnsi="宋体" w:eastAsia="宋体" w:cs="宋体"/>
          <w:sz w:val="20"/>
          <w:szCs w:val="20"/>
        </w:rPr>
        <w:t xml:space="preserve"> </w:t>
      </w:r>
      <w:r>
        <w:rPr>
          <w:rFonts w:ascii="宋体" w:hAnsi="宋体" w:eastAsia="宋体" w:cs="宋体"/>
          <w:spacing w:val="10"/>
          <w:sz w:val="20"/>
          <w:szCs w:val="20"/>
        </w:rPr>
        <w:t>率来表示，如统一用百分率、千分率或万分</w:t>
      </w:r>
      <w:r>
        <w:rPr>
          <w:rFonts w:ascii="宋体" w:hAnsi="宋体" w:eastAsia="宋体" w:cs="宋体"/>
          <w:spacing w:val="9"/>
          <w:sz w:val="20"/>
          <w:szCs w:val="20"/>
        </w:rPr>
        <w:t>率。提取资料和计算机录入时应由双人独立进行，以保</w:t>
      </w:r>
      <w:r>
        <w:rPr>
          <w:rFonts w:ascii="宋体" w:hAnsi="宋体" w:eastAsia="宋体" w:cs="宋体"/>
          <w:sz w:val="20"/>
          <w:szCs w:val="20"/>
        </w:rPr>
        <w:t xml:space="preserve"> </w:t>
      </w:r>
      <w:r>
        <w:rPr>
          <w:rFonts w:ascii="宋体" w:hAnsi="宋体" w:eastAsia="宋体" w:cs="宋体"/>
          <w:spacing w:val="7"/>
          <w:sz w:val="20"/>
          <w:szCs w:val="20"/>
        </w:rPr>
        <w:t>证资料摘录和录入的质量。</w:t>
      </w:r>
    </w:p>
    <w:p w14:paraId="587C1E74">
      <w:pPr>
        <w:pStyle w:val="2"/>
        <w:spacing w:before="13" w:line="226" w:lineRule="auto"/>
        <w:ind w:left="1163"/>
        <w:rPr>
          <w:sz w:val="24"/>
          <w:szCs w:val="24"/>
        </w:rPr>
      </w:pPr>
      <w:r>
        <w:rPr>
          <w:b/>
          <w:bCs/>
          <w:spacing w:val="-5"/>
          <w:sz w:val="24"/>
          <w:szCs w:val="24"/>
        </w:rPr>
        <w:t>(六)汇总结果</w:t>
      </w:r>
    </w:p>
    <w:p w14:paraId="1E4B5B6A">
      <w:pPr>
        <w:spacing w:before="101" w:line="332" w:lineRule="auto"/>
        <w:ind w:left="730" w:firstLine="429"/>
        <w:jc w:val="both"/>
        <w:rPr>
          <w:rFonts w:ascii="宋体" w:hAnsi="宋体" w:eastAsia="宋体" w:cs="宋体"/>
          <w:sz w:val="20"/>
          <w:szCs w:val="20"/>
        </w:rPr>
      </w:pPr>
      <w:r>
        <w:rPr>
          <w:rFonts w:ascii="宋体" w:hAnsi="宋体" w:eastAsia="宋体" w:cs="宋体"/>
          <w:spacing w:val="26"/>
          <w:sz w:val="20"/>
          <w:szCs w:val="20"/>
        </w:rPr>
        <w:t>对收集的资料，可采用定性或定量的方法进行汇总分析，以获得相应的结果。定性综合</w:t>
      </w:r>
      <w:r>
        <w:rPr>
          <w:rFonts w:ascii="宋体" w:hAnsi="宋体" w:eastAsia="宋体" w:cs="宋体"/>
          <w:spacing w:val="9"/>
          <w:sz w:val="20"/>
          <w:szCs w:val="20"/>
        </w:rPr>
        <w:t xml:space="preserve"> </w:t>
      </w:r>
      <w:r>
        <w:rPr>
          <w:rFonts w:ascii="Times New Roman" w:hAnsi="Times New Roman" w:eastAsia="Times New Roman" w:cs="Times New Roman"/>
          <w:spacing w:val="11"/>
          <w:sz w:val="20"/>
          <w:szCs w:val="20"/>
        </w:rPr>
        <w:t>(</w:t>
      </w:r>
      <w:r>
        <w:rPr>
          <w:rFonts w:ascii="Times New Roman" w:hAnsi="Times New Roman" w:eastAsia="Times New Roman" w:cs="Times New Roman"/>
          <w:sz w:val="20"/>
          <w:szCs w:val="20"/>
        </w:rPr>
        <w:t>qualitative</w:t>
      </w:r>
      <w:r>
        <w:rPr>
          <w:rFonts w:ascii="Times New Roman" w:hAnsi="Times New Roman" w:eastAsia="Times New Roman" w:cs="Times New Roman"/>
          <w:spacing w:val="11"/>
          <w:sz w:val="20"/>
          <w:szCs w:val="20"/>
        </w:rPr>
        <w:t xml:space="preserve">     </w:t>
      </w:r>
      <w:r>
        <w:rPr>
          <w:rFonts w:ascii="Times New Roman" w:hAnsi="Times New Roman" w:eastAsia="Times New Roman" w:cs="Times New Roman"/>
          <w:sz w:val="20"/>
          <w:szCs w:val="20"/>
        </w:rPr>
        <w:t>synthesis</w:t>
      </w:r>
      <w:r>
        <w:rPr>
          <w:rFonts w:ascii="Times New Roman" w:hAnsi="Times New Roman" w:eastAsia="Times New Roman" w:cs="Times New Roman"/>
          <w:spacing w:val="11"/>
          <w:sz w:val="20"/>
          <w:szCs w:val="20"/>
        </w:rPr>
        <w:t>)</w:t>
      </w:r>
      <w:r>
        <w:rPr>
          <w:rFonts w:ascii="宋体" w:hAnsi="宋体" w:eastAsia="宋体" w:cs="宋体"/>
          <w:spacing w:val="11"/>
          <w:sz w:val="20"/>
          <w:szCs w:val="20"/>
        </w:rPr>
        <w:t>是叙述性合成证据的方法，即通过表格对合格研</w:t>
      </w:r>
      <w:r>
        <w:rPr>
          <w:rFonts w:ascii="宋体" w:hAnsi="宋体" w:eastAsia="宋体" w:cs="宋体"/>
          <w:spacing w:val="10"/>
          <w:sz w:val="20"/>
          <w:szCs w:val="20"/>
        </w:rPr>
        <w:t>究的研究特征(如研究设计、</w:t>
      </w:r>
      <w:r>
        <w:rPr>
          <w:rFonts w:ascii="宋体" w:hAnsi="宋体" w:eastAsia="宋体" w:cs="宋体"/>
          <w:sz w:val="20"/>
          <w:szCs w:val="20"/>
        </w:rPr>
        <w:t xml:space="preserve"> </w:t>
      </w:r>
      <w:r>
        <w:rPr>
          <w:rFonts w:ascii="宋体" w:hAnsi="宋体" w:eastAsia="宋体" w:cs="宋体"/>
          <w:spacing w:val="7"/>
          <w:sz w:val="20"/>
          <w:szCs w:val="20"/>
        </w:rPr>
        <w:t>研究对象、研究结局、研究质量等)与研究结果进行结构化的比较和总结，定性评价研究结果在不同</w:t>
      </w:r>
      <w:r>
        <w:rPr>
          <w:rFonts w:ascii="宋体" w:hAnsi="宋体" w:eastAsia="宋体" w:cs="宋体"/>
          <w:spacing w:val="4"/>
          <w:sz w:val="20"/>
          <w:szCs w:val="20"/>
        </w:rPr>
        <w:t xml:space="preserve">  </w:t>
      </w:r>
      <w:r>
        <w:rPr>
          <w:rFonts w:ascii="宋体" w:hAnsi="宋体" w:eastAsia="宋体" w:cs="宋体"/>
          <w:spacing w:val="14"/>
          <w:sz w:val="20"/>
          <w:szCs w:val="20"/>
        </w:rPr>
        <w:t>研究特征上是否相似(即研究结果是否与某些研究特征有关)。定性综合一方面为定量综合打下基</w:t>
      </w:r>
      <w:r>
        <w:rPr>
          <w:rFonts w:ascii="宋体" w:hAnsi="宋体" w:eastAsia="宋体" w:cs="宋体"/>
          <w:spacing w:val="2"/>
          <w:sz w:val="20"/>
          <w:szCs w:val="20"/>
        </w:rPr>
        <w:t xml:space="preserve">  </w:t>
      </w:r>
      <w:r>
        <w:rPr>
          <w:rFonts w:ascii="宋体" w:hAnsi="宋体" w:eastAsia="宋体" w:cs="宋体"/>
          <w:spacing w:val="7"/>
          <w:sz w:val="20"/>
          <w:szCs w:val="20"/>
        </w:rPr>
        <w:t>础，另一方面，当原始研究存在较大的异质性时，不适于定量综合，也只能通过</w:t>
      </w:r>
      <w:r>
        <w:rPr>
          <w:rFonts w:ascii="宋体" w:hAnsi="宋体" w:eastAsia="宋体" w:cs="宋体"/>
          <w:spacing w:val="6"/>
          <w:sz w:val="20"/>
          <w:szCs w:val="20"/>
        </w:rPr>
        <w:t>定性综合汇总结果。</w:t>
      </w:r>
      <w:r>
        <w:rPr>
          <w:rFonts w:ascii="宋体" w:hAnsi="宋体" w:eastAsia="宋体" w:cs="宋体"/>
          <w:sz w:val="20"/>
          <w:szCs w:val="20"/>
        </w:rPr>
        <w:t xml:space="preserve"> </w:t>
      </w:r>
      <w:r>
        <w:rPr>
          <w:rFonts w:ascii="宋体" w:hAnsi="宋体" w:eastAsia="宋体" w:cs="宋体"/>
          <w:spacing w:val="7"/>
          <w:sz w:val="20"/>
          <w:szCs w:val="20"/>
        </w:rPr>
        <w:t>定量综合</w:t>
      </w:r>
      <w:r>
        <w:rPr>
          <w:rFonts w:ascii="Times New Roman" w:hAnsi="Times New Roman" w:eastAsia="Times New Roman" w:cs="Times New Roman"/>
          <w:spacing w:val="7"/>
          <w:sz w:val="20"/>
          <w:szCs w:val="20"/>
        </w:rPr>
        <w:t>(</w:t>
      </w:r>
      <w:r>
        <w:rPr>
          <w:rFonts w:ascii="Times New Roman" w:hAnsi="Times New Roman" w:eastAsia="Times New Roman" w:cs="Times New Roman"/>
          <w:sz w:val="20"/>
          <w:szCs w:val="20"/>
        </w:rPr>
        <w:t>quantitative</w:t>
      </w:r>
      <w:r>
        <w:rPr>
          <w:rFonts w:ascii="Times New Roman" w:hAnsi="Times New Roman" w:eastAsia="Times New Roman" w:cs="Times New Roman"/>
          <w:spacing w:val="7"/>
          <w:sz w:val="20"/>
          <w:szCs w:val="20"/>
        </w:rPr>
        <w:t xml:space="preserve">     </w:t>
      </w:r>
      <w:r>
        <w:rPr>
          <w:rFonts w:ascii="Times New Roman" w:hAnsi="Times New Roman" w:eastAsia="Times New Roman" w:cs="Times New Roman"/>
          <w:sz w:val="20"/>
          <w:szCs w:val="20"/>
        </w:rPr>
        <w:t>synthesis</w:t>
      </w:r>
      <w:r>
        <w:rPr>
          <w:rFonts w:ascii="Times New Roman" w:hAnsi="Times New Roman" w:eastAsia="Times New Roman" w:cs="Times New Roman"/>
          <w:spacing w:val="7"/>
          <w:sz w:val="20"/>
          <w:szCs w:val="20"/>
        </w:rPr>
        <w:t>)</w:t>
      </w:r>
      <w:r>
        <w:rPr>
          <w:rFonts w:ascii="宋体" w:hAnsi="宋体" w:eastAsia="宋体" w:cs="宋体"/>
          <w:spacing w:val="7"/>
          <w:sz w:val="20"/>
          <w:szCs w:val="20"/>
        </w:rPr>
        <w:t>是指用统计学方法汇总研究结果，涉及异质性检验、</w:t>
      </w:r>
      <w:r>
        <w:rPr>
          <w:rFonts w:ascii="Times New Roman" w:hAnsi="Times New Roman" w:eastAsia="Times New Roman" w:cs="Times New Roman"/>
          <w:sz w:val="20"/>
          <w:szCs w:val="20"/>
        </w:rPr>
        <w:t>Meta</w:t>
      </w:r>
      <w:r>
        <w:rPr>
          <w:rFonts w:ascii="Times New Roman" w:hAnsi="Times New Roman" w:eastAsia="Times New Roman" w:cs="Times New Roman"/>
          <w:spacing w:val="21"/>
          <w:sz w:val="20"/>
          <w:szCs w:val="20"/>
        </w:rPr>
        <w:t xml:space="preserve"> </w:t>
      </w:r>
      <w:r>
        <w:rPr>
          <w:rFonts w:ascii="宋体" w:hAnsi="宋体" w:eastAsia="宋体" w:cs="宋体"/>
          <w:spacing w:val="7"/>
          <w:sz w:val="20"/>
          <w:szCs w:val="20"/>
        </w:rPr>
        <w:t>分析、敏</w:t>
      </w:r>
      <w:r>
        <w:rPr>
          <w:rFonts w:ascii="宋体" w:hAnsi="宋体" w:eastAsia="宋体" w:cs="宋体"/>
          <w:sz w:val="20"/>
          <w:szCs w:val="20"/>
        </w:rPr>
        <w:t xml:space="preserve">  </w:t>
      </w:r>
      <w:r>
        <w:rPr>
          <w:rFonts w:ascii="宋体" w:hAnsi="宋体" w:eastAsia="宋体" w:cs="宋体"/>
          <w:spacing w:val="10"/>
          <w:sz w:val="20"/>
          <w:szCs w:val="20"/>
        </w:rPr>
        <w:t>感性分析和亚组分析等内容。</w:t>
      </w:r>
    </w:p>
    <w:p w14:paraId="429FD8CC">
      <w:pPr>
        <w:spacing w:before="52" w:line="212" w:lineRule="auto"/>
        <w:ind w:left="1160"/>
        <w:rPr>
          <w:rFonts w:ascii="宋体" w:hAnsi="宋体" w:eastAsia="宋体" w:cs="宋体"/>
          <w:sz w:val="20"/>
          <w:szCs w:val="20"/>
        </w:rPr>
      </w:pPr>
      <w:r>
        <w:rPr>
          <w:rFonts w:ascii="Times New Roman" w:hAnsi="Times New Roman" w:eastAsia="Times New Roman" w:cs="Times New Roman"/>
          <w:spacing w:val="9"/>
          <w:sz w:val="20"/>
          <w:szCs w:val="20"/>
        </w:rPr>
        <w:t>1.</w:t>
      </w:r>
      <w:r>
        <w:rPr>
          <w:rFonts w:ascii="Times New Roman" w:hAnsi="Times New Roman" w:eastAsia="Times New Roman" w:cs="Times New Roman"/>
          <w:spacing w:val="6"/>
          <w:sz w:val="20"/>
          <w:szCs w:val="20"/>
        </w:rPr>
        <w:t xml:space="preserve">   </w:t>
      </w:r>
      <w:r>
        <w:rPr>
          <w:rFonts w:ascii="宋体" w:hAnsi="宋体" w:eastAsia="宋体" w:cs="宋体"/>
          <w:spacing w:val="9"/>
          <w:sz w:val="20"/>
          <w:szCs w:val="20"/>
        </w:rPr>
        <w:t>异质性检验</w:t>
      </w:r>
      <w:r>
        <w:rPr>
          <w:rFonts w:ascii="Times New Roman" w:hAnsi="Times New Roman" w:eastAsia="Times New Roman" w:cs="Times New Roman"/>
          <w:spacing w:val="9"/>
          <w:sz w:val="20"/>
          <w:szCs w:val="20"/>
        </w:rPr>
        <w:t>(</w:t>
      </w:r>
      <w:r>
        <w:rPr>
          <w:rFonts w:ascii="Times New Roman" w:hAnsi="Times New Roman" w:eastAsia="Times New Roman" w:cs="Times New Roman"/>
          <w:sz w:val="20"/>
          <w:szCs w:val="20"/>
        </w:rPr>
        <w:t>heterogeneity</w:t>
      </w:r>
      <w:r>
        <w:rPr>
          <w:rFonts w:ascii="Times New Roman" w:hAnsi="Times New Roman" w:eastAsia="Times New Roman" w:cs="Times New Roman"/>
          <w:spacing w:val="9"/>
          <w:sz w:val="20"/>
          <w:szCs w:val="20"/>
        </w:rPr>
        <w:t xml:space="preserve">     </w:t>
      </w:r>
      <w:r>
        <w:rPr>
          <w:rFonts w:ascii="Times New Roman" w:hAnsi="Times New Roman" w:eastAsia="Times New Roman" w:cs="Times New Roman"/>
          <w:sz w:val="20"/>
          <w:szCs w:val="20"/>
        </w:rPr>
        <w:t>test</w:t>
      </w:r>
      <w:r>
        <w:rPr>
          <w:rFonts w:ascii="Times New Roman" w:hAnsi="Times New Roman" w:eastAsia="Times New Roman" w:cs="Times New Roman"/>
          <w:spacing w:val="9"/>
          <w:sz w:val="20"/>
          <w:szCs w:val="20"/>
        </w:rPr>
        <w:t xml:space="preserve">)   </w:t>
      </w:r>
      <w:r>
        <w:rPr>
          <w:rFonts w:ascii="宋体" w:hAnsi="宋体" w:eastAsia="宋体" w:cs="宋体"/>
          <w:spacing w:val="9"/>
          <w:sz w:val="20"/>
          <w:szCs w:val="20"/>
        </w:rPr>
        <w:t>异质性检验是对统计量的齐性检验，目的是检查各个独立</w:t>
      </w:r>
    </w:p>
    <w:p w14:paraId="657F7E3E">
      <w:pPr>
        <w:spacing w:line="212" w:lineRule="auto"/>
        <w:rPr>
          <w:rFonts w:ascii="宋体" w:hAnsi="宋体" w:eastAsia="宋体" w:cs="宋体"/>
          <w:sz w:val="20"/>
          <w:szCs w:val="20"/>
        </w:rPr>
        <w:sectPr>
          <w:footerReference r:id="rId303" w:type="default"/>
          <w:pgSz w:w="11900" w:h="16820"/>
          <w:pgMar w:top="400" w:right="1379" w:bottom="829" w:left="689" w:header="0" w:footer="649" w:gutter="0"/>
          <w:cols w:space="720" w:num="1"/>
        </w:sectPr>
      </w:pPr>
    </w:p>
    <w:p w14:paraId="3F5A2747">
      <w:pPr>
        <w:pStyle w:val="2"/>
        <w:spacing w:before="256" w:line="221" w:lineRule="auto"/>
        <w:ind w:left="6530"/>
        <w:rPr>
          <w:sz w:val="20"/>
          <w:szCs w:val="20"/>
        </w:rPr>
      </w:pPr>
      <w:r>
        <w:rPr>
          <w:spacing w:val="-17"/>
          <w:w w:val="97"/>
          <w:sz w:val="20"/>
          <w:szCs w:val="20"/>
        </w:rPr>
        <w:t>第十八章循证医学与系统综述</w:t>
      </w:r>
    </w:p>
    <w:p w14:paraId="3AF56BCC">
      <w:pPr>
        <w:spacing w:line="271" w:lineRule="auto"/>
        <w:rPr>
          <w:rFonts w:ascii="Arial"/>
          <w:sz w:val="21"/>
        </w:rPr>
      </w:pPr>
    </w:p>
    <w:p w14:paraId="5D4720C6">
      <w:pPr>
        <w:spacing w:line="272" w:lineRule="auto"/>
        <w:rPr>
          <w:rFonts w:ascii="Arial"/>
          <w:sz w:val="21"/>
        </w:rPr>
      </w:pPr>
    </w:p>
    <w:p w14:paraId="4F0DCC13">
      <w:pPr>
        <w:spacing w:before="65" w:line="333" w:lineRule="auto"/>
        <w:ind w:right="575"/>
        <w:jc w:val="both"/>
        <w:rPr>
          <w:rFonts w:ascii="宋体" w:hAnsi="宋体" w:eastAsia="宋体" w:cs="宋体"/>
          <w:sz w:val="20"/>
          <w:szCs w:val="20"/>
        </w:rPr>
      </w:pPr>
      <w:r>
        <w:rPr>
          <w:rFonts w:ascii="宋体" w:hAnsi="宋体" w:eastAsia="宋体" w:cs="宋体"/>
          <w:spacing w:val="7"/>
          <w:sz w:val="20"/>
          <w:szCs w:val="20"/>
        </w:rPr>
        <w:t>研究的结果是否存在异质性。如果不存在异质性</w:t>
      </w:r>
      <w:r>
        <w:rPr>
          <w:rFonts w:ascii="宋体" w:hAnsi="宋体" w:eastAsia="宋体" w:cs="宋体"/>
          <w:spacing w:val="6"/>
          <w:sz w:val="20"/>
          <w:szCs w:val="20"/>
        </w:rPr>
        <w:t>，则说明这些独立研究的真实效应可能是相同的，</w:t>
      </w:r>
      <w:r>
        <w:rPr>
          <w:rFonts w:ascii="宋体" w:hAnsi="宋体" w:eastAsia="宋体" w:cs="宋体"/>
          <w:sz w:val="20"/>
          <w:szCs w:val="20"/>
        </w:rPr>
        <w:t xml:space="preserve"> </w:t>
      </w:r>
      <w:r>
        <w:rPr>
          <w:rFonts w:ascii="宋体" w:hAnsi="宋体" w:eastAsia="宋体" w:cs="宋体"/>
          <w:spacing w:val="5"/>
          <w:sz w:val="20"/>
          <w:szCs w:val="20"/>
        </w:rPr>
        <w:t>具有可合并性。由于各独立研究的设计不同，进行试验的条件不同，试验所定义的暴露、结局及其</w:t>
      </w:r>
      <w:r>
        <w:rPr>
          <w:rFonts w:ascii="宋体" w:hAnsi="宋体" w:eastAsia="宋体" w:cs="宋体"/>
          <w:spacing w:val="12"/>
          <w:sz w:val="20"/>
          <w:szCs w:val="20"/>
        </w:rPr>
        <w:t xml:space="preserve"> </w:t>
      </w:r>
      <w:r>
        <w:rPr>
          <w:rFonts w:ascii="宋体" w:hAnsi="宋体" w:eastAsia="宋体" w:cs="宋体"/>
          <w:spacing w:val="10"/>
          <w:sz w:val="20"/>
          <w:szCs w:val="20"/>
        </w:rPr>
        <w:t>测量方法不同，以及混杂因素的存在，均可能产生异质性。异质性的出现应被看作是件有利的事</w:t>
      </w:r>
      <w:r>
        <w:rPr>
          <w:rFonts w:ascii="宋体" w:hAnsi="宋体" w:eastAsia="宋体" w:cs="宋体"/>
          <w:spacing w:val="8"/>
          <w:sz w:val="20"/>
          <w:szCs w:val="20"/>
        </w:rPr>
        <w:t xml:space="preserve"> </w:t>
      </w:r>
      <w:r>
        <w:rPr>
          <w:rFonts w:ascii="宋体" w:hAnsi="宋体" w:eastAsia="宋体" w:cs="宋体"/>
          <w:spacing w:val="2"/>
          <w:sz w:val="20"/>
          <w:szCs w:val="20"/>
        </w:rPr>
        <w:t>情，不必回避。因为寻找异质性的来源，有助于发现问题、提出问题，有利于开</w:t>
      </w:r>
      <w:r>
        <w:rPr>
          <w:rFonts w:ascii="宋体" w:hAnsi="宋体" w:eastAsia="宋体" w:cs="宋体"/>
          <w:spacing w:val="1"/>
          <w:sz w:val="20"/>
          <w:szCs w:val="20"/>
        </w:rPr>
        <w:t>展新的研究。因此，</w:t>
      </w:r>
      <w:r>
        <w:rPr>
          <w:rFonts w:ascii="宋体" w:hAnsi="宋体" w:eastAsia="宋体" w:cs="宋体"/>
          <w:sz w:val="20"/>
          <w:szCs w:val="20"/>
        </w:rPr>
        <w:t xml:space="preserve"> </w:t>
      </w:r>
      <w:r>
        <w:rPr>
          <w:rFonts w:ascii="宋体" w:hAnsi="宋体" w:eastAsia="宋体" w:cs="宋体"/>
          <w:spacing w:val="1"/>
          <w:sz w:val="20"/>
          <w:szCs w:val="20"/>
        </w:rPr>
        <w:t>在进行</w:t>
      </w:r>
      <w:r>
        <w:rPr>
          <w:rFonts w:ascii="Times New Roman" w:hAnsi="Times New Roman" w:eastAsia="Times New Roman" w:cs="Times New Roman"/>
          <w:sz w:val="20"/>
          <w:szCs w:val="20"/>
        </w:rPr>
        <w:t>Meta</w:t>
      </w:r>
      <w:r>
        <w:rPr>
          <w:rFonts w:ascii="Times New Roman" w:hAnsi="Times New Roman" w:eastAsia="Times New Roman" w:cs="Times New Roman"/>
          <w:spacing w:val="25"/>
          <w:w w:val="101"/>
          <w:sz w:val="20"/>
          <w:szCs w:val="20"/>
        </w:rPr>
        <w:t xml:space="preserve"> </w:t>
      </w:r>
      <w:r>
        <w:rPr>
          <w:rFonts w:ascii="宋体" w:hAnsi="宋体" w:eastAsia="宋体" w:cs="宋体"/>
          <w:spacing w:val="1"/>
          <w:sz w:val="20"/>
          <w:szCs w:val="20"/>
        </w:rPr>
        <w:t>分析时，要特别注意资料的“可合并性”,如果原来各个独立研究的结果缺乏一致性，研</w:t>
      </w:r>
      <w:r>
        <w:rPr>
          <w:rFonts w:ascii="宋体" w:hAnsi="宋体" w:eastAsia="宋体" w:cs="宋体"/>
          <w:sz w:val="20"/>
          <w:szCs w:val="20"/>
        </w:rPr>
        <w:t xml:space="preserve"> </w:t>
      </w:r>
      <w:r>
        <w:rPr>
          <w:rFonts w:ascii="宋体" w:hAnsi="宋体" w:eastAsia="宋体" w:cs="宋体"/>
          <w:spacing w:val="5"/>
          <w:sz w:val="20"/>
          <w:szCs w:val="20"/>
        </w:rPr>
        <w:t>究者对资料的汇总要慎重。因为</w:t>
      </w:r>
      <w:r>
        <w:rPr>
          <w:rFonts w:ascii="Times New Roman" w:hAnsi="Times New Roman" w:eastAsia="Times New Roman" w:cs="Times New Roman"/>
          <w:sz w:val="20"/>
          <w:szCs w:val="20"/>
        </w:rPr>
        <w:t>Meta</w:t>
      </w:r>
      <w:r>
        <w:rPr>
          <w:rFonts w:ascii="Times New Roman" w:hAnsi="Times New Roman" w:eastAsia="Times New Roman" w:cs="Times New Roman"/>
          <w:spacing w:val="5"/>
          <w:sz w:val="20"/>
          <w:szCs w:val="20"/>
        </w:rPr>
        <w:t xml:space="preserve"> </w:t>
      </w:r>
      <w:r>
        <w:rPr>
          <w:rFonts w:ascii="宋体" w:hAnsi="宋体" w:eastAsia="宋体" w:cs="宋体"/>
          <w:spacing w:val="5"/>
          <w:sz w:val="20"/>
          <w:szCs w:val="20"/>
        </w:rPr>
        <w:t>分析是对干预措施的效果进行平均估计，如同所有的平均值，</w:t>
      </w:r>
      <w:r>
        <w:rPr>
          <w:rFonts w:ascii="宋体" w:hAnsi="宋体" w:eastAsia="宋体" w:cs="宋体"/>
          <w:spacing w:val="8"/>
          <w:sz w:val="20"/>
          <w:szCs w:val="20"/>
        </w:rPr>
        <w:t xml:space="preserve"> </w:t>
      </w:r>
      <w:r>
        <w:rPr>
          <w:rFonts w:ascii="宋体" w:hAnsi="宋体" w:eastAsia="宋体" w:cs="宋体"/>
          <w:spacing w:val="6"/>
          <w:sz w:val="20"/>
          <w:szCs w:val="20"/>
        </w:rPr>
        <w:t>如果合并生成的均值来源差异太大，得出的均值将毫无意义。</w:t>
      </w:r>
    </w:p>
    <w:p w14:paraId="7A412021">
      <w:pPr>
        <w:spacing w:before="66" w:line="332" w:lineRule="auto"/>
        <w:ind w:right="613" w:firstLine="419"/>
        <w:jc w:val="both"/>
        <w:rPr>
          <w:rFonts w:ascii="宋体" w:hAnsi="宋体" w:eastAsia="宋体" w:cs="宋体"/>
          <w:sz w:val="20"/>
          <w:szCs w:val="20"/>
        </w:rPr>
      </w:pPr>
      <w:r>
        <w:rPr>
          <w:rFonts w:ascii="宋体" w:hAnsi="宋体" w:eastAsia="宋体" w:cs="宋体"/>
          <w:spacing w:val="8"/>
          <w:sz w:val="20"/>
          <w:szCs w:val="20"/>
        </w:rPr>
        <w:t>这时的重点是要探讨造成差异的可能原因。研究之间是否存在：①临床异质性</w:t>
      </w:r>
      <w:r>
        <w:rPr>
          <w:rFonts w:ascii="宋体" w:hAnsi="宋体" w:eastAsia="宋体" w:cs="宋体"/>
          <w:spacing w:val="7"/>
          <w:sz w:val="20"/>
          <w:szCs w:val="20"/>
        </w:rPr>
        <w:t>(概念上的异质</w:t>
      </w:r>
      <w:r>
        <w:rPr>
          <w:rFonts w:ascii="宋体" w:hAnsi="宋体" w:eastAsia="宋体" w:cs="宋体"/>
          <w:sz w:val="20"/>
          <w:szCs w:val="20"/>
        </w:rPr>
        <w:t xml:space="preserve"> 性):如对象特征、诊断、干预、对照、研究地点、评价结局等不同；②方法学异质性：由研究设计与</w:t>
      </w:r>
      <w:r>
        <w:rPr>
          <w:rFonts w:ascii="宋体" w:hAnsi="宋体" w:eastAsia="宋体" w:cs="宋体"/>
          <w:spacing w:val="15"/>
          <w:sz w:val="20"/>
          <w:szCs w:val="20"/>
        </w:rPr>
        <w:t xml:space="preserve"> </w:t>
      </w:r>
      <w:r>
        <w:rPr>
          <w:rFonts w:ascii="宋体" w:hAnsi="宋体" w:eastAsia="宋体" w:cs="宋体"/>
          <w:spacing w:val="5"/>
          <w:sz w:val="20"/>
          <w:szCs w:val="20"/>
        </w:rPr>
        <w:t>质量方面的差异引起，如盲法的应用和分组隐藏的不同，或者由于试验过程中对结局的定义和测量</w:t>
      </w:r>
      <w:r>
        <w:rPr>
          <w:rFonts w:ascii="宋体" w:hAnsi="宋体" w:eastAsia="宋体" w:cs="宋体"/>
          <w:spacing w:val="11"/>
          <w:sz w:val="20"/>
          <w:szCs w:val="20"/>
        </w:rPr>
        <w:t xml:space="preserve"> </w:t>
      </w:r>
      <w:r>
        <w:rPr>
          <w:rFonts w:ascii="宋体" w:hAnsi="宋体" w:eastAsia="宋体" w:cs="宋体"/>
          <w:spacing w:val="5"/>
          <w:sz w:val="20"/>
          <w:szCs w:val="20"/>
        </w:rPr>
        <w:t>方法的不一致而出现的变异；③统计学异质性：是指不同试验中观察得到的效应的变异超过了机遇</w:t>
      </w:r>
      <w:r>
        <w:rPr>
          <w:rFonts w:ascii="宋体" w:hAnsi="宋体" w:eastAsia="宋体" w:cs="宋体"/>
          <w:spacing w:val="11"/>
          <w:sz w:val="20"/>
          <w:szCs w:val="20"/>
        </w:rPr>
        <w:t xml:space="preserve"> </w:t>
      </w:r>
      <w:r>
        <w:rPr>
          <w:rFonts w:ascii="宋体" w:hAnsi="宋体" w:eastAsia="宋体" w:cs="宋体"/>
          <w:spacing w:val="10"/>
          <w:sz w:val="20"/>
          <w:szCs w:val="20"/>
        </w:rPr>
        <w:t>(随机误差)本身所致的变异性。统计学计算异质性以数据为基础，其原理是各研究之间可信区间</w:t>
      </w:r>
      <w:r>
        <w:rPr>
          <w:rFonts w:ascii="宋体" w:hAnsi="宋体" w:eastAsia="宋体" w:cs="宋体"/>
          <w:spacing w:val="9"/>
          <w:sz w:val="20"/>
          <w:szCs w:val="20"/>
        </w:rPr>
        <w:t xml:space="preserve"> </w:t>
      </w:r>
      <w:r>
        <w:rPr>
          <w:rFonts w:ascii="Times New Roman" w:hAnsi="Times New Roman" w:eastAsia="Times New Roman" w:cs="Times New Roman"/>
          <w:spacing w:val="3"/>
          <w:sz w:val="20"/>
          <w:szCs w:val="20"/>
        </w:rPr>
        <w:t>(</w:t>
      </w:r>
      <w:r>
        <w:rPr>
          <w:rFonts w:ascii="Times New Roman" w:hAnsi="Times New Roman" w:eastAsia="Times New Roman" w:cs="Times New Roman"/>
          <w:sz w:val="20"/>
          <w:szCs w:val="20"/>
        </w:rPr>
        <w:t>CI</w:t>
      </w:r>
      <w:r>
        <w:rPr>
          <w:rFonts w:ascii="Times New Roman" w:hAnsi="Times New Roman" w:eastAsia="Times New Roman" w:cs="Times New Roman"/>
          <w:spacing w:val="3"/>
          <w:sz w:val="20"/>
          <w:szCs w:val="20"/>
        </w:rPr>
        <w:t xml:space="preserve">)  </w:t>
      </w:r>
      <w:r>
        <w:rPr>
          <w:rFonts w:ascii="宋体" w:hAnsi="宋体" w:eastAsia="宋体" w:cs="宋体"/>
          <w:spacing w:val="3"/>
          <w:sz w:val="20"/>
          <w:szCs w:val="20"/>
        </w:rPr>
        <w:t>的重合程度越大，则各研究间存在统计学同质性的可能性越大，相反，</w:t>
      </w:r>
      <w:r>
        <w:rPr>
          <w:rFonts w:ascii="Times New Roman" w:hAnsi="Times New Roman" w:eastAsia="Times New Roman" w:cs="Times New Roman"/>
          <w:sz w:val="20"/>
          <w:szCs w:val="20"/>
        </w:rPr>
        <w:t>CI</w:t>
      </w:r>
      <w:r>
        <w:rPr>
          <w:rFonts w:ascii="Times New Roman" w:hAnsi="Times New Roman" w:eastAsia="Times New Roman" w:cs="Times New Roman"/>
          <w:spacing w:val="18"/>
          <w:sz w:val="20"/>
          <w:szCs w:val="20"/>
        </w:rPr>
        <w:t xml:space="preserve"> </w:t>
      </w:r>
      <w:r>
        <w:rPr>
          <w:rFonts w:ascii="宋体" w:hAnsi="宋体" w:eastAsia="宋体" w:cs="宋体"/>
          <w:spacing w:val="3"/>
          <w:sz w:val="20"/>
          <w:szCs w:val="20"/>
        </w:rPr>
        <w:t>重合程度越小</w:t>
      </w:r>
      <w:r>
        <w:rPr>
          <w:rFonts w:ascii="宋体" w:hAnsi="宋体" w:eastAsia="宋体" w:cs="宋体"/>
          <w:spacing w:val="2"/>
          <w:sz w:val="20"/>
          <w:szCs w:val="20"/>
        </w:rPr>
        <w:t>，各研</w:t>
      </w:r>
      <w:r>
        <w:rPr>
          <w:rFonts w:ascii="宋体" w:hAnsi="宋体" w:eastAsia="宋体" w:cs="宋体"/>
          <w:sz w:val="20"/>
          <w:szCs w:val="20"/>
        </w:rPr>
        <w:t xml:space="preserve"> </w:t>
      </w:r>
      <w:r>
        <w:rPr>
          <w:rFonts w:ascii="宋体" w:hAnsi="宋体" w:eastAsia="宋体" w:cs="宋体"/>
          <w:spacing w:val="12"/>
          <w:sz w:val="20"/>
          <w:szCs w:val="20"/>
        </w:rPr>
        <w:t>究之间存在统计学异质性的可能性越大。</w:t>
      </w:r>
    </w:p>
    <w:p w14:paraId="594826EF">
      <w:pPr>
        <w:spacing w:before="56" w:line="338" w:lineRule="auto"/>
        <w:ind w:right="535" w:firstLine="419"/>
        <w:jc w:val="both"/>
        <w:rPr>
          <w:rFonts w:ascii="宋体" w:hAnsi="宋体" w:eastAsia="宋体" w:cs="宋体"/>
          <w:sz w:val="20"/>
          <w:szCs w:val="20"/>
        </w:rPr>
      </w:pPr>
      <w:r>
        <w:rPr>
          <w:rFonts w:ascii="宋体" w:hAnsi="宋体" w:eastAsia="宋体" w:cs="宋体"/>
          <w:spacing w:val="7"/>
          <w:sz w:val="20"/>
          <w:szCs w:val="20"/>
        </w:rPr>
        <w:t>异质性的检验有多种方法，通常采用</w:t>
      </w:r>
      <w:r>
        <w:rPr>
          <w:rFonts w:ascii="Times New Roman" w:hAnsi="Times New Roman" w:eastAsia="Times New Roman" w:cs="Times New Roman"/>
          <w:spacing w:val="7"/>
          <w:sz w:val="20"/>
          <w:szCs w:val="20"/>
        </w:rPr>
        <w:t>Q</w:t>
      </w:r>
      <w:r>
        <w:rPr>
          <w:rFonts w:ascii="Times New Roman" w:hAnsi="Times New Roman" w:eastAsia="Times New Roman" w:cs="Times New Roman"/>
          <w:spacing w:val="37"/>
          <w:sz w:val="20"/>
          <w:szCs w:val="20"/>
        </w:rPr>
        <w:t xml:space="preserve"> </w:t>
      </w:r>
      <w:r>
        <w:rPr>
          <w:rFonts w:ascii="宋体" w:hAnsi="宋体" w:eastAsia="宋体" w:cs="宋体"/>
          <w:spacing w:val="7"/>
          <w:sz w:val="20"/>
          <w:szCs w:val="20"/>
        </w:rPr>
        <w:t>统计量</w:t>
      </w:r>
      <w:r>
        <w:rPr>
          <w:rFonts w:ascii="Times New Roman" w:hAnsi="Times New Roman" w:eastAsia="Times New Roman" w:cs="Times New Roman"/>
          <w:spacing w:val="7"/>
          <w:sz w:val="20"/>
          <w:szCs w:val="20"/>
        </w:rPr>
        <w:t>(</w:t>
      </w:r>
      <w:r>
        <w:rPr>
          <w:rFonts w:ascii="Times New Roman" w:hAnsi="Times New Roman" w:eastAsia="Times New Roman" w:cs="Times New Roman"/>
          <w:sz w:val="20"/>
          <w:szCs w:val="20"/>
        </w:rPr>
        <w:t>Q</w:t>
      </w:r>
      <w:r>
        <w:rPr>
          <w:rFonts w:ascii="Times New Roman" w:hAnsi="Times New Roman" w:eastAsia="Times New Roman" w:cs="Times New Roman"/>
          <w:spacing w:val="7"/>
          <w:sz w:val="20"/>
          <w:szCs w:val="20"/>
        </w:rPr>
        <w:t xml:space="preserve">    </w:t>
      </w:r>
      <w:r>
        <w:rPr>
          <w:rFonts w:ascii="Times New Roman" w:hAnsi="Times New Roman" w:eastAsia="Times New Roman" w:cs="Times New Roman"/>
          <w:sz w:val="20"/>
          <w:szCs w:val="20"/>
        </w:rPr>
        <w:t>statistic</w:t>
      </w:r>
      <w:r>
        <w:rPr>
          <w:rFonts w:ascii="Times New Roman" w:hAnsi="Times New Roman" w:eastAsia="Times New Roman" w:cs="Times New Roman"/>
          <w:spacing w:val="7"/>
          <w:sz w:val="20"/>
          <w:szCs w:val="20"/>
        </w:rPr>
        <w:t>)</w:t>
      </w:r>
      <w:r>
        <w:rPr>
          <w:rFonts w:ascii="宋体" w:hAnsi="宋体" w:eastAsia="宋体" w:cs="宋体"/>
          <w:spacing w:val="7"/>
          <w:sz w:val="20"/>
          <w:szCs w:val="20"/>
        </w:rPr>
        <w:t>。检验的零假设为各项研究的总体</w:t>
      </w:r>
      <w:r>
        <w:rPr>
          <w:rFonts w:ascii="宋体" w:hAnsi="宋体" w:eastAsia="宋体" w:cs="宋体"/>
          <w:sz w:val="20"/>
          <w:szCs w:val="20"/>
        </w:rPr>
        <w:t xml:space="preserve">  </w:t>
      </w:r>
      <w:r>
        <w:rPr>
          <w:rFonts w:ascii="宋体" w:hAnsi="宋体" w:eastAsia="宋体" w:cs="宋体"/>
          <w:spacing w:val="-2"/>
          <w:sz w:val="20"/>
          <w:szCs w:val="20"/>
        </w:rPr>
        <w:t>效应值相同。</w:t>
      </w:r>
      <w:r>
        <w:rPr>
          <w:rFonts w:ascii="宋体" w:hAnsi="宋体" w:eastAsia="宋体" w:cs="宋体"/>
          <w:spacing w:val="-40"/>
          <w:sz w:val="20"/>
          <w:szCs w:val="20"/>
        </w:rPr>
        <w:t xml:space="preserve"> </w:t>
      </w:r>
      <w:r>
        <w:rPr>
          <w:rFonts w:ascii="宋体" w:hAnsi="宋体" w:eastAsia="宋体" w:cs="宋体"/>
          <w:spacing w:val="-2"/>
          <w:sz w:val="20"/>
          <w:szCs w:val="20"/>
        </w:rPr>
        <w:t>Q</w:t>
      </w:r>
      <w:r>
        <w:rPr>
          <w:rFonts w:ascii="宋体" w:hAnsi="宋体" w:eastAsia="宋体" w:cs="宋体"/>
          <w:spacing w:val="27"/>
          <w:sz w:val="20"/>
          <w:szCs w:val="20"/>
        </w:rPr>
        <w:t xml:space="preserve"> </w:t>
      </w:r>
      <w:r>
        <w:rPr>
          <w:rFonts w:ascii="宋体" w:hAnsi="宋体" w:eastAsia="宋体" w:cs="宋体"/>
          <w:spacing w:val="-2"/>
          <w:sz w:val="20"/>
          <w:szCs w:val="20"/>
        </w:rPr>
        <w:t>可用公式Q=∑w(θ-</w:t>
      </w:r>
      <w:r>
        <w:rPr>
          <w:rFonts w:ascii="宋体" w:hAnsi="宋体" w:eastAsia="宋体" w:cs="宋体"/>
          <w:spacing w:val="-34"/>
          <w:sz w:val="20"/>
          <w:szCs w:val="20"/>
        </w:rPr>
        <w:t xml:space="preserve"> </w:t>
      </w:r>
      <w:r>
        <w:rPr>
          <w:rFonts w:ascii="宋体" w:hAnsi="宋体" w:eastAsia="宋体" w:cs="宋体"/>
          <w:spacing w:val="-2"/>
          <w:sz w:val="20"/>
          <w:szCs w:val="20"/>
        </w:rPr>
        <w:t>θ 合</w:t>
      </w:r>
      <w:r>
        <w:rPr>
          <w:rFonts w:ascii="宋体" w:hAnsi="宋体" w:eastAsia="宋体" w:cs="宋体"/>
          <w:spacing w:val="-3"/>
          <w:sz w:val="20"/>
          <w:szCs w:val="20"/>
        </w:rPr>
        <w:t>井)²计算，w;为第；个研究的权重值，θ为第；个研究的效</w:t>
      </w:r>
      <w:r>
        <w:rPr>
          <w:rFonts w:ascii="宋体" w:hAnsi="宋体" w:eastAsia="宋体" w:cs="宋体"/>
          <w:sz w:val="20"/>
          <w:szCs w:val="20"/>
        </w:rPr>
        <w:t xml:space="preserve">  </w:t>
      </w:r>
      <w:r>
        <w:rPr>
          <w:rFonts w:ascii="宋体" w:hAnsi="宋体" w:eastAsia="宋体" w:cs="宋体"/>
          <w:spacing w:val="-6"/>
          <w:sz w:val="20"/>
          <w:szCs w:val="20"/>
        </w:rPr>
        <w:t>应量，θ合并为合并的效应量，θ为率比的对数值、比值比的对数值、率差、均数差或标准化</w:t>
      </w:r>
      <w:r>
        <w:rPr>
          <w:rFonts w:ascii="宋体" w:hAnsi="宋体" w:eastAsia="宋体" w:cs="宋体"/>
          <w:spacing w:val="-7"/>
          <w:sz w:val="20"/>
          <w:szCs w:val="20"/>
        </w:rPr>
        <w:t>均数差等。</w:t>
      </w:r>
      <w:r>
        <w:rPr>
          <w:rFonts w:ascii="宋体" w:hAnsi="宋体" w:eastAsia="宋体" w:cs="宋体"/>
          <w:sz w:val="20"/>
          <w:szCs w:val="20"/>
        </w:rPr>
        <w:t xml:space="preserve"> Q</w:t>
      </w:r>
      <w:r>
        <w:rPr>
          <w:rFonts w:ascii="宋体" w:hAnsi="宋体" w:eastAsia="宋体" w:cs="宋体"/>
          <w:spacing w:val="-24"/>
          <w:sz w:val="20"/>
          <w:szCs w:val="20"/>
        </w:rPr>
        <w:t xml:space="preserve"> </w:t>
      </w:r>
      <w:r>
        <w:rPr>
          <w:rFonts w:ascii="宋体" w:hAnsi="宋体" w:eastAsia="宋体" w:cs="宋体"/>
          <w:sz w:val="20"/>
          <w:szCs w:val="20"/>
        </w:rPr>
        <w:t>服从于自由度为k-1</w:t>
      </w:r>
      <w:r>
        <w:rPr>
          <w:rFonts w:ascii="宋体" w:hAnsi="宋体" w:eastAsia="宋体" w:cs="宋体"/>
          <w:spacing w:val="-24"/>
          <w:sz w:val="20"/>
          <w:szCs w:val="20"/>
        </w:rPr>
        <w:t xml:space="preserve"> </w:t>
      </w:r>
      <w:r>
        <w:rPr>
          <w:rFonts w:ascii="宋体" w:hAnsi="宋体" w:eastAsia="宋体" w:cs="宋体"/>
          <w:sz w:val="20"/>
          <w:szCs w:val="20"/>
        </w:rPr>
        <w:t>的</w:t>
      </w:r>
      <w:r>
        <w:rPr>
          <w:rFonts w:ascii="宋体" w:hAnsi="宋体" w:eastAsia="宋体" w:cs="宋体"/>
          <w:spacing w:val="-36"/>
          <w:sz w:val="20"/>
          <w:szCs w:val="20"/>
        </w:rPr>
        <w:t xml:space="preserve"> </w:t>
      </w:r>
      <w:r>
        <w:rPr>
          <w:rFonts w:ascii="宋体" w:hAnsi="宋体" w:eastAsia="宋体" w:cs="宋体"/>
          <w:sz w:val="20"/>
          <w:szCs w:val="20"/>
        </w:rPr>
        <w:t>x²</w:t>
      </w:r>
      <w:r>
        <w:rPr>
          <w:rFonts w:ascii="宋体" w:hAnsi="宋体" w:eastAsia="宋体" w:cs="宋体"/>
          <w:spacing w:val="-33"/>
          <w:sz w:val="20"/>
          <w:szCs w:val="20"/>
        </w:rPr>
        <w:t xml:space="preserve"> </w:t>
      </w:r>
      <w:r>
        <w:rPr>
          <w:rFonts w:ascii="宋体" w:hAnsi="宋体" w:eastAsia="宋体" w:cs="宋体"/>
          <w:sz w:val="20"/>
          <w:szCs w:val="20"/>
        </w:rPr>
        <w:t>分</w:t>
      </w:r>
      <w:r>
        <w:rPr>
          <w:rFonts w:ascii="宋体" w:hAnsi="宋体" w:eastAsia="宋体" w:cs="宋体"/>
          <w:spacing w:val="-40"/>
          <w:sz w:val="20"/>
          <w:szCs w:val="20"/>
        </w:rPr>
        <w:t xml:space="preserve"> </w:t>
      </w:r>
      <w:r>
        <w:rPr>
          <w:rFonts w:ascii="宋体" w:hAnsi="宋体" w:eastAsia="宋体" w:cs="宋体"/>
          <w:sz w:val="20"/>
          <w:szCs w:val="20"/>
        </w:rPr>
        <w:t>布</w:t>
      </w:r>
      <w:r>
        <w:rPr>
          <w:rFonts w:ascii="宋体" w:hAnsi="宋体" w:eastAsia="宋体" w:cs="宋体"/>
          <w:spacing w:val="-47"/>
          <w:sz w:val="20"/>
          <w:szCs w:val="20"/>
        </w:rPr>
        <w:t xml:space="preserve"> </w:t>
      </w:r>
      <w:r>
        <w:rPr>
          <w:rFonts w:ascii="宋体" w:hAnsi="宋体" w:eastAsia="宋体" w:cs="宋体"/>
          <w:sz w:val="20"/>
          <w:szCs w:val="20"/>
        </w:rPr>
        <w:t>，Q 值越大，其对</w:t>
      </w:r>
      <w:r>
        <w:rPr>
          <w:rFonts w:ascii="宋体" w:hAnsi="宋体" w:eastAsia="宋体" w:cs="宋体"/>
          <w:spacing w:val="-1"/>
          <w:sz w:val="20"/>
          <w:szCs w:val="20"/>
        </w:rPr>
        <w:t>应的P 值越小。若Q&gt;x²1-α),则</w:t>
      </w:r>
      <w:r>
        <w:rPr>
          <w:rFonts w:ascii="宋体" w:hAnsi="宋体" w:eastAsia="宋体" w:cs="宋体"/>
          <w:spacing w:val="-38"/>
          <w:sz w:val="20"/>
          <w:szCs w:val="20"/>
        </w:rPr>
        <w:t xml:space="preserve"> </w:t>
      </w:r>
      <w:r>
        <w:rPr>
          <w:rFonts w:ascii="宋体" w:hAnsi="宋体" w:eastAsia="宋体" w:cs="宋体"/>
          <w:spacing w:val="-1"/>
          <w:sz w:val="20"/>
          <w:szCs w:val="20"/>
        </w:rPr>
        <w:t>P&lt;α, 表明研究</w:t>
      </w:r>
      <w:r>
        <w:rPr>
          <w:rFonts w:ascii="宋体" w:hAnsi="宋体" w:eastAsia="宋体" w:cs="宋体"/>
          <w:sz w:val="20"/>
          <w:szCs w:val="20"/>
        </w:rPr>
        <w:t xml:space="preserve">  </w:t>
      </w:r>
      <w:r>
        <w:rPr>
          <w:rFonts w:ascii="宋体" w:hAnsi="宋体" w:eastAsia="宋体" w:cs="宋体"/>
          <w:spacing w:val="6"/>
          <w:sz w:val="20"/>
          <w:szCs w:val="20"/>
        </w:rPr>
        <w:t>间存在异质性；反之则说明不存在异质性。</w:t>
      </w:r>
    </w:p>
    <w:p w14:paraId="1738FBFE">
      <w:pPr>
        <w:spacing w:before="24" w:line="327" w:lineRule="auto"/>
        <w:ind w:right="593" w:firstLine="419"/>
        <w:rPr>
          <w:rFonts w:ascii="宋体" w:hAnsi="宋体" w:eastAsia="宋体" w:cs="宋体"/>
          <w:sz w:val="20"/>
          <w:szCs w:val="20"/>
        </w:rPr>
      </w:pPr>
      <w:r>
        <w:rPr>
          <w:rFonts w:ascii="宋体" w:hAnsi="宋体" w:eastAsia="宋体" w:cs="宋体"/>
          <w:spacing w:val="8"/>
          <w:sz w:val="20"/>
          <w:szCs w:val="20"/>
        </w:rPr>
        <w:t>此外，也可用统计量I²定量衡量异质性的大小，I²表示研究间变异占总变异(包括研究</w:t>
      </w:r>
      <w:r>
        <w:rPr>
          <w:rFonts w:ascii="宋体" w:hAnsi="宋体" w:eastAsia="宋体" w:cs="宋体"/>
          <w:spacing w:val="7"/>
          <w:sz w:val="20"/>
          <w:szCs w:val="20"/>
        </w:rPr>
        <w:t>间变异</w:t>
      </w:r>
      <w:r>
        <w:rPr>
          <w:rFonts w:ascii="宋体" w:hAnsi="宋体" w:eastAsia="宋体" w:cs="宋体"/>
          <w:sz w:val="20"/>
          <w:szCs w:val="20"/>
        </w:rPr>
        <w:t xml:space="preserve"> </w:t>
      </w:r>
      <w:r>
        <w:rPr>
          <w:rFonts w:ascii="宋体" w:hAnsi="宋体" w:eastAsia="宋体" w:cs="宋体"/>
          <w:spacing w:val="5"/>
          <w:sz w:val="20"/>
          <w:szCs w:val="20"/>
        </w:rPr>
        <w:t>及抽样误差的残差)的百分比，可用</w:t>
      </w:r>
      <w:r>
        <w:rPr>
          <w:rFonts w:ascii="Times New Roman" w:hAnsi="Times New Roman" w:eastAsia="Times New Roman" w:cs="Times New Roman"/>
          <w:spacing w:val="5"/>
          <w:sz w:val="20"/>
          <w:szCs w:val="20"/>
        </w:rPr>
        <w:t>I²=[(Q-</w:t>
      </w:r>
      <w:r>
        <w:rPr>
          <w:rFonts w:ascii="Times New Roman" w:hAnsi="Times New Roman" w:eastAsia="Times New Roman" w:cs="Times New Roman"/>
          <w:sz w:val="20"/>
          <w:szCs w:val="20"/>
        </w:rPr>
        <w:t>df</w:t>
      </w:r>
      <w:r>
        <w:rPr>
          <w:rFonts w:ascii="Times New Roman" w:hAnsi="Times New Roman" w:eastAsia="Times New Roman" w:cs="Times New Roman"/>
          <w:spacing w:val="5"/>
          <w:sz w:val="20"/>
          <w:szCs w:val="20"/>
        </w:rPr>
        <w:t>)</w:t>
      </w:r>
      <w:r>
        <w:rPr>
          <w:rFonts w:ascii="Times New Roman" w:hAnsi="Times New Roman" w:eastAsia="Times New Roman" w:cs="Times New Roman"/>
          <w:sz w:val="20"/>
          <w:szCs w:val="20"/>
        </w:rPr>
        <w:t>IQ</w:t>
      </w:r>
      <w:r>
        <w:rPr>
          <w:rFonts w:ascii="Times New Roman" w:hAnsi="Times New Roman" w:eastAsia="Times New Roman" w:cs="Times New Roman"/>
          <w:spacing w:val="5"/>
          <w:sz w:val="20"/>
          <w:szCs w:val="20"/>
        </w:rPr>
        <w:t xml:space="preserve">]×100%        </w:t>
      </w:r>
      <w:r>
        <w:rPr>
          <w:rFonts w:ascii="宋体" w:hAnsi="宋体" w:eastAsia="宋体" w:cs="宋体"/>
          <w:spacing w:val="5"/>
          <w:sz w:val="20"/>
          <w:szCs w:val="20"/>
        </w:rPr>
        <w:t>来计算，</w:t>
      </w:r>
      <w:r>
        <w:rPr>
          <w:rFonts w:ascii="Times New Roman" w:hAnsi="Times New Roman" w:eastAsia="Times New Roman" w:cs="Times New Roman"/>
          <w:sz w:val="20"/>
          <w:szCs w:val="20"/>
        </w:rPr>
        <w:t>df</w:t>
      </w:r>
      <w:r>
        <w:rPr>
          <w:rFonts w:ascii="宋体" w:hAnsi="宋体" w:eastAsia="宋体" w:cs="宋体"/>
          <w:spacing w:val="5"/>
          <w:sz w:val="20"/>
          <w:szCs w:val="20"/>
        </w:rPr>
        <w:t>是自由度，等于纳人</w:t>
      </w:r>
      <w:r>
        <w:rPr>
          <w:rFonts w:ascii="宋体" w:hAnsi="宋体" w:eastAsia="宋体" w:cs="宋体"/>
          <w:spacing w:val="4"/>
          <w:sz w:val="20"/>
          <w:szCs w:val="20"/>
        </w:rPr>
        <w:t>的研究</w:t>
      </w:r>
      <w:r>
        <w:rPr>
          <w:rFonts w:ascii="宋体" w:hAnsi="宋体" w:eastAsia="宋体" w:cs="宋体"/>
          <w:sz w:val="20"/>
          <w:szCs w:val="20"/>
        </w:rPr>
        <w:t xml:space="preserve"> </w:t>
      </w:r>
      <w:r>
        <w:rPr>
          <w:rFonts w:ascii="宋体" w:hAnsi="宋体" w:eastAsia="宋体" w:cs="宋体"/>
          <w:spacing w:val="2"/>
          <w:sz w:val="20"/>
          <w:szCs w:val="20"/>
        </w:rPr>
        <w:t>数</w:t>
      </w:r>
      <w:r>
        <w:rPr>
          <w:rFonts w:ascii="Times New Roman" w:hAnsi="Times New Roman" w:eastAsia="Times New Roman" w:cs="Times New Roman"/>
          <w:spacing w:val="2"/>
          <w:sz w:val="20"/>
          <w:szCs w:val="20"/>
        </w:rPr>
        <w:t>k-1</w:t>
      </w:r>
      <w:r>
        <w:rPr>
          <w:rFonts w:ascii="Times New Roman" w:hAnsi="Times New Roman" w:eastAsia="Times New Roman" w:cs="Times New Roman"/>
          <w:spacing w:val="-23"/>
          <w:sz w:val="20"/>
          <w:szCs w:val="20"/>
        </w:rPr>
        <w:t xml:space="preserve"> </w:t>
      </w:r>
      <w:r>
        <w:rPr>
          <w:rFonts w:ascii="宋体" w:hAnsi="宋体" w:eastAsia="宋体" w:cs="宋体"/>
          <w:spacing w:val="2"/>
          <w:sz w:val="20"/>
          <w:szCs w:val="20"/>
        </w:rPr>
        <w:t>。 当</w:t>
      </w:r>
      <w:r>
        <w:rPr>
          <w:rFonts w:ascii="宋体" w:hAnsi="宋体" w:eastAsia="宋体" w:cs="宋体"/>
          <w:spacing w:val="-29"/>
          <w:sz w:val="20"/>
          <w:szCs w:val="20"/>
        </w:rPr>
        <w:t xml:space="preserve"> </w:t>
      </w:r>
      <w:r>
        <w:rPr>
          <w:rFonts w:ascii="Times New Roman" w:hAnsi="Times New Roman" w:eastAsia="Times New Roman" w:cs="Times New Roman"/>
          <w:spacing w:val="2"/>
          <w:sz w:val="20"/>
          <w:szCs w:val="20"/>
        </w:rPr>
        <w:t xml:space="preserve">I²=0  </w:t>
      </w:r>
      <w:r>
        <w:rPr>
          <w:rFonts w:ascii="宋体" w:hAnsi="宋体" w:eastAsia="宋体" w:cs="宋体"/>
          <w:spacing w:val="2"/>
          <w:sz w:val="20"/>
          <w:szCs w:val="20"/>
        </w:rPr>
        <w:t>时，表明研究间的变异仅由抽样误差引起，没有观察到研究间的异质性</w:t>
      </w:r>
      <w:r>
        <w:rPr>
          <w:rFonts w:ascii="宋体" w:hAnsi="宋体" w:eastAsia="宋体" w:cs="宋体"/>
          <w:spacing w:val="1"/>
          <w:sz w:val="20"/>
          <w:szCs w:val="20"/>
        </w:rPr>
        <w:t>；</w:t>
      </w:r>
      <w:r>
        <w:rPr>
          <w:rFonts w:ascii="Times New Roman" w:hAnsi="Times New Roman" w:eastAsia="Times New Roman" w:cs="Times New Roman"/>
          <w:spacing w:val="1"/>
          <w:sz w:val="20"/>
          <w:szCs w:val="20"/>
        </w:rPr>
        <w:t xml:space="preserve">I²  </w:t>
      </w:r>
      <w:r>
        <w:rPr>
          <w:rFonts w:ascii="宋体" w:hAnsi="宋体" w:eastAsia="宋体" w:cs="宋体"/>
          <w:spacing w:val="1"/>
          <w:sz w:val="20"/>
          <w:szCs w:val="20"/>
        </w:rPr>
        <w:t>统计量</w:t>
      </w:r>
      <w:r>
        <w:rPr>
          <w:rFonts w:ascii="宋体" w:hAnsi="宋体" w:eastAsia="宋体" w:cs="宋体"/>
          <w:sz w:val="20"/>
          <w:szCs w:val="20"/>
        </w:rPr>
        <w:t xml:space="preserve"> </w:t>
      </w:r>
      <w:r>
        <w:rPr>
          <w:rFonts w:ascii="宋体" w:hAnsi="宋体" w:eastAsia="宋体" w:cs="宋体"/>
          <w:spacing w:val="5"/>
          <w:sz w:val="20"/>
          <w:szCs w:val="20"/>
        </w:rPr>
        <w:t>越大，则异质性越大，异质性的低、中、高程度分别用I²统计量25%、50%、7</w:t>
      </w:r>
      <w:r>
        <w:rPr>
          <w:rFonts w:ascii="宋体" w:hAnsi="宋体" w:eastAsia="宋体" w:cs="宋体"/>
          <w:spacing w:val="4"/>
          <w:sz w:val="20"/>
          <w:szCs w:val="20"/>
        </w:rPr>
        <w:t>5%表示。若I²&gt;50%,</w:t>
      </w:r>
    </w:p>
    <w:p w14:paraId="7A74239C">
      <w:pPr>
        <w:spacing w:before="3" w:line="335" w:lineRule="auto"/>
        <w:ind w:right="612"/>
        <w:rPr>
          <w:rFonts w:ascii="宋体" w:hAnsi="宋体" w:eastAsia="宋体" w:cs="宋体"/>
          <w:sz w:val="20"/>
          <w:szCs w:val="20"/>
        </w:rPr>
      </w:pPr>
      <w:r>
        <w:rPr>
          <w:rFonts w:ascii="宋体" w:hAnsi="宋体" w:eastAsia="宋体" w:cs="宋体"/>
          <w:spacing w:val="9"/>
          <w:sz w:val="20"/>
          <w:szCs w:val="20"/>
        </w:rPr>
        <w:t>则说明存在比较明显的异质性。如果各研究间无异质性或异质性较低</w:t>
      </w:r>
      <w:r>
        <w:rPr>
          <w:rFonts w:ascii="Times New Roman" w:hAnsi="Times New Roman" w:eastAsia="Times New Roman" w:cs="Times New Roman"/>
          <w:spacing w:val="9"/>
          <w:sz w:val="20"/>
          <w:szCs w:val="20"/>
        </w:rPr>
        <w:t xml:space="preserve">(P&gt;0.1,I²&lt;50%),        </w:t>
      </w:r>
      <w:r>
        <w:rPr>
          <w:rFonts w:ascii="宋体" w:hAnsi="宋体" w:eastAsia="宋体" w:cs="宋体"/>
          <w:spacing w:val="9"/>
          <w:sz w:val="20"/>
          <w:szCs w:val="20"/>
        </w:rPr>
        <w:t>采用固</w:t>
      </w:r>
      <w:r>
        <w:rPr>
          <w:rFonts w:ascii="宋体" w:hAnsi="宋体" w:eastAsia="宋体" w:cs="宋体"/>
          <w:spacing w:val="2"/>
          <w:sz w:val="20"/>
          <w:szCs w:val="20"/>
        </w:rPr>
        <w:t xml:space="preserve"> </w:t>
      </w:r>
      <w:r>
        <w:rPr>
          <w:rFonts w:ascii="宋体" w:hAnsi="宋体" w:eastAsia="宋体" w:cs="宋体"/>
          <w:spacing w:val="4"/>
          <w:sz w:val="20"/>
          <w:szCs w:val="20"/>
        </w:rPr>
        <w:t>定效应模型</w:t>
      </w:r>
      <w:r>
        <w:rPr>
          <w:rFonts w:ascii="Times New Roman" w:hAnsi="Times New Roman" w:eastAsia="Times New Roman" w:cs="Times New Roman"/>
          <w:spacing w:val="4"/>
          <w:sz w:val="20"/>
          <w:szCs w:val="20"/>
        </w:rPr>
        <w:t>(</w:t>
      </w:r>
      <w:r>
        <w:rPr>
          <w:rFonts w:ascii="Times New Roman" w:hAnsi="Times New Roman" w:eastAsia="Times New Roman" w:cs="Times New Roman"/>
          <w:sz w:val="20"/>
          <w:szCs w:val="20"/>
        </w:rPr>
        <w:t>fixed</w:t>
      </w:r>
      <w:r>
        <w:rPr>
          <w:rFonts w:ascii="Times New Roman" w:hAnsi="Times New Roman" w:eastAsia="Times New Roman" w:cs="Times New Roman"/>
          <w:spacing w:val="15"/>
          <w:w w:val="101"/>
          <w:sz w:val="20"/>
          <w:szCs w:val="20"/>
        </w:rPr>
        <w:t xml:space="preserve">  </w:t>
      </w:r>
      <w:r>
        <w:rPr>
          <w:rFonts w:ascii="Times New Roman" w:hAnsi="Times New Roman" w:eastAsia="Times New Roman" w:cs="Times New Roman"/>
          <w:sz w:val="20"/>
          <w:szCs w:val="20"/>
        </w:rPr>
        <w:t>effect</w:t>
      </w:r>
      <w:r>
        <w:rPr>
          <w:rFonts w:ascii="Times New Roman" w:hAnsi="Times New Roman" w:eastAsia="Times New Roman" w:cs="Times New Roman"/>
          <w:spacing w:val="4"/>
          <w:sz w:val="20"/>
          <w:szCs w:val="20"/>
        </w:rPr>
        <w:t xml:space="preserve">  </w:t>
      </w:r>
      <w:r>
        <w:rPr>
          <w:rFonts w:ascii="Times New Roman" w:hAnsi="Times New Roman" w:eastAsia="Times New Roman" w:cs="Times New Roman"/>
          <w:sz w:val="20"/>
          <w:szCs w:val="20"/>
        </w:rPr>
        <w:t>model</w:t>
      </w:r>
      <w:r>
        <w:rPr>
          <w:rFonts w:ascii="Times New Roman" w:hAnsi="Times New Roman" w:eastAsia="Times New Roman" w:cs="Times New Roman"/>
          <w:spacing w:val="4"/>
          <w:sz w:val="20"/>
          <w:szCs w:val="20"/>
        </w:rPr>
        <w:t>)</w:t>
      </w:r>
      <w:r>
        <w:rPr>
          <w:rFonts w:ascii="宋体" w:hAnsi="宋体" w:eastAsia="宋体" w:cs="宋体"/>
          <w:spacing w:val="4"/>
          <w:sz w:val="20"/>
          <w:szCs w:val="20"/>
        </w:rPr>
        <w:t>进行资料的合并分析；若存在异</w:t>
      </w:r>
      <w:r>
        <w:rPr>
          <w:rFonts w:ascii="宋体" w:hAnsi="宋体" w:eastAsia="宋体" w:cs="宋体"/>
          <w:spacing w:val="3"/>
          <w:sz w:val="20"/>
          <w:szCs w:val="20"/>
        </w:rPr>
        <w:t>质性</w:t>
      </w:r>
      <w:r>
        <w:rPr>
          <w:rFonts w:ascii="Times New Roman" w:hAnsi="Times New Roman" w:eastAsia="Times New Roman" w:cs="Times New Roman"/>
          <w:spacing w:val="3"/>
          <w:sz w:val="20"/>
          <w:szCs w:val="20"/>
        </w:rPr>
        <w:t xml:space="preserve">(P&lt;0.1,I²&gt;50%),        </w:t>
      </w:r>
      <w:r>
        <w:rPr>
          <w:rFonts w:ascii="宋体" w:hAnsi="宋体" w:eastAsia="宋体" w:cs="宋体"/>
          <w:spacing w:val="3"/>
          <w:sz w:val="20"/>
          <w:szCs w:val="20"/>
        </w:rPr>
        <w:t>但合并资料</w:t>
      </w:r>
      <w:r>
        <w:rPr>
          <w:rFonts w:ascii="宋体" w:hAnsi="宋体" w:eastAsia="宋体" w:cs="宋体"/>
          <w:sz w:val="20"/>
          <w:szCs w:val="20"/>
        </w:rPr>
        <w:t xml:space="preserve"> </w:t>
      </w:r>
      <w:r>
        <w:rPr>
          <w:rFonts w:ascii="宋体" w:hAnsi="宋体" w:eastAsia="宋体" w:cs="宋体"/>
          <w:spacing w:val="-1"/>
          <w:sz w:val="20"/>
          <w:szCs w:val="20"/>
        </w:rPr>
        <w:t>仍然具有临床上的意义，则采用随机效应模型(random effect model)进行合并分析，并谨慎解</w:t>
      </w:r>
      <w:r>
        <w:rPr>
          <w:rFonts w:ascii="宋体" w:hAnsi="宋体" w:eastAsia="宋体" w:cs="宋体"/>
          <w:spacing w:val="-2"/>
          <w:sz w:val="20"/>
          <w:szCs w:val="20"/>
        </w:rPr>
        <w:t>释研究</w:t>
      </w:r>
      <w:r>
        <w:rPr>
          <w:rFonts w:ascii="宋体" w:hAnsi="宋体" w:eastAsia="宋体" w:cs="宋体"/>
          <w:sz w:val="20"/>
          <w:szCs w:val="20"/>
        </w:rPr>
        <w:t xml:space="preserve"> </w:t>
      </w:r>
      <w:r>
        <w:rPr>
          <w:rFonts w:ascii="宋体" w:hAnsi="宋体" w:eastAsia="宋体" w:cs="宋体"/>
          <w:spacing w:val="4"/>
          <w:sz w:val="20"/>
          <w:szCs w:val="20"/>
        </w:rPr>
        <w:t>结果。如果存在高度异质性，建议不要直接进行</w:t>
      </w:r>
      <w:r>
        <w:rPr>
          <w:rFonts w:ascii="Times New Roman" w:hAnsi="Times New Roman" w:eastAsia="Times New Roman" w:cs="Times New Roman"/>
          <w:sz w:val="20"/>
          <w:szCs w:val="20"/>
        </w:rPr>
        <w:t>Meta</w:t>
      </w:r>
      <w:r>
        <w:rPr>
          <w:rFonts w:ascii="Times New Roman" w:hAnsi="Times New Roman" w:eastAsia="Times New Roman" w:cs="Times New Roman"/>
          <w:spacing w:val="3"/>
          <w:sz w:val="20"/>
          <w:szCs w:val="20"/>
        </w:rPr>
        <w:t xml:space="preserve"> </w:t>
      </w:r>
      <w:r>
        <w:rPr>
          <w:rFonts w:ascii="宋体" w:hAnsi="宋体" w:eastAsia="宋体" w:cs="宋体"/>
          <w:spacing w:val="3"/>
          <w:sz w:val="20"/>
          <w:szCs w:val="20"/>
        </w:rPr>
        <w:t>分析，而是根据试验特征如性别、年龄、病情</w:t>
      </w:r>
      <w:r>
        <w:rPr>
          <w:rFonts w:ascii="宋体" w:hAnsi="宋体" w:eastAsia="宋体" w:cs="宋体"/>
          <w:sz w:val="20"/>
          <w:szCs w:val="20"/>
        </w:rPr>
        <w:t xml:space="preserve"> </w:t>
      </w:r>
      <w:r>
        <w:rPr>
          <w:rFonts w:ascii="宋体" w:hAnsi="宋体" w:eastAsia="宋体" w:cs="宋体"/>
          <w:spacing w:val="5"/>
          <w:sz w:val="20"/>
          <w:szCs w:val="20"/>
        </w:rPr>
        <w:t>严重程度、疾病分期、基线危险度、干预的强度和时间等进行亚组分析；或进行敏感性分析以查找</w:t>
      </w:r>
      <w:r>
        <w:rPr>
          <w:rFonts w:ascii="宋体" w:hAnsi="宋体" w:eastAsia="宋体" w:cs="宋体"/>
          <w:spacing w:val="16"/>
          <w:sz w:val="20"/>
          <w:szCs w:val="20"/>
        </w:rPr>
        <w:t xml:space="preserve"> </w:t>
      </w:r>
      <w:r>
        <w:rPr>
          <w:rFonts w:ascii="宋体" w:hAnsi="宋体" w:eastAsia="宋体" w:cs="宋体"/>
          <w:spacing w:val="4"/>
          <w:sz w:val="20"/>
          <w:szCs w:val="20"/>
        </w:rPr>
        <w:t>异质性的可能来源，再进行亚组分析；或引人协变量进行</w:t>
      </w:r>
      <w:r>
        <w:rPr>
          <w:rFonts w:ascii="宋体" w:hAnsi="宋体" w:eastAsia="宋体" w:cs="宋体"/>
          <w:sz w:val="20"/>
          <w:szCs w:val="20"/>
        </w:rPr>
        <w:t>Meta</w:t>
      </w:r>
      <w:r>
        <w:rPr>
          <w:rFonts w:ascii="宋体" w:hAnsi="宋体" w:eastAsia="宋体" w:cs="宋体"/>
          <w:spacing w:val="-37"/>
          <w:sz w:val="20"/>
          <w:szCs w:val="20"/>
        </w:rPr>
        <w:t xml:space="preserve"> </w:t>
      </w:r>
      <w:r>
        <w:rPr>
          <w:rFonts w:ascii="宋体" w:hAnsi="宋体" w:eastAsia="宋体" w:cs="宋体"/>
          <w:spacing w:val="4"/>
          <w:sz w:val="20"/>
          <w:szCs w:val="20"/>
        </w:rPr>
        <w:t>回归分析，以解释异质性的来源及其</w:t>
      </w:r>
      <w:r>
        <w:rPr>
          <w:rFonts w:ascii="宋体" w:hAnsi="宋体" w:eastAsia="宋体" w:cs="宋体"/>
          <w:sz w:val="20"/>
          <w:szCs w:val="20"/>
        </w:rPr>
        <w:t xml:space="preserve"> </w:t>
      </w:r>
      <w:r>
        <w:rPr>
          <w:rFonts w:ascii="宋体" w:hAnsi="宋体" w:eastAsia="宋体" w:cs="宋体"/>
          <w:spacing w:val="11"/>
          <w:sz w:val="20"/>
          <w:szCs w:val="20"/>
        </w:rPr>
        <w:t>影响。对异质性的处理可以按图18-4的流程来考虑。</w:t>
      </w:r>
    </w:p>
    <w:p w14:paraId="189E2ECA">
      <w:pPr>
        <w:spacing w:before="98" w:line="219" w:lineRule="auto"/>
        <w:ind w:left="419"/>
        <w:rPr>
          <w:rFonts w:ascii="宋体" w:hAnsi="宋体" w:eastAsia="宋体" w:cs="宋体"/>
          <w:sz w:val="20"/>
          <w:szCs w:val="20"/>
        </w:rPr>
      </w:pPr>
      <w:r>
        <w:rPr>
          <w:rFonts w:ascii="Times New Roman" w:hAnsi="Times New Roman" w:eastAsia="Times New Roman" w:cs="Times New Roman"/>
          <w:spacing w:val="5"/>
          <w:sz w:val="20"/>
          <w:szCs w:val="20"/>
        </w:rPr>
        <w:t>2.</w:t>
      </w:r>
      <w:r>
        <w:rPr>
          <w:rFonts w:ascii="Times New Roman" w:hAnsi="Times New Roman" w:eastAsia="Times New Roman" w:cs="Times New Roman"/>
          <w:sz w:val="20"/>
          <w:szCs w:val="20"/>
        </w:rPr>
        <w:t>Meta</w:t>
      </w:r>
      <w:r>
        <w:rPr>
          <w:rFonts w:ascii="Times New Roman" w:hAnsi="Times New Roman" w:eastAsia="Times New Roman" w:cs="Times New Roman"/>
          <w:spacing w:val="5"/>
          <w:sz w:val="20"/>
          <w:szCs w:val="20"/>
        </w:rPr>
        <w:t xml:space="preserve">        </w:t>
      </w:r>
      <w:r>
        <w:rPr>
          <w:rFonts w:ascii="宋体" w:hAnsi="宋体" w:eastAsia="宋体" w:cs="宋体"/>
          <w:spacing w:val="5"/>
          <w:sz w:val="20"/>
          <w:szCs w:val="20"/>
        </w:rPr>
        <w:t xml:space="preserve">分析  </w:t>
      </w:r>
      <w:r>
        <w:rPr>
          <w:rFonts w:ascii="Times New Roman" w:hAnsi="Times New Roman" w:eastAsia="Times New Roman" w:cs="Times New Roman"/>
          <w:sz w:val="20"/>
          <w:szCs w:val="20"/>
        </w:rPr>
        <w:t>Meta</w:t>
      </w:r>
      <w:r>
        <w:rPr>
          <w:rFonts w:ascii="Times New Roman" w:hAnsi="Times New Roman" w:eastAsia="Times New Roman" w:cs="Times New Roman"/>
          <w:spacing w:val="5"/>
          <w:sz w:val="20"/>
          <w:szCs w:val="20"/>
        </w:rPr>
        <w:t xml:space="preserve"> </w:t>
      </w:r>
      <w:r>
        <w:rPr>
          <w:rFonts w:ascii="宋体" w:hAnsi="宋体" w:eastAsia="宋体" w:cs="宋体"/>
          <w:spacing w:val="5"/>
          <w:sz w:val="20"/>
          <w:szCs w:val="20"/>
        </w:rPr>
        <w:t>分析就是对关于某</w:t>
      </w:r>
      <w:r>
        <w:rPr>
          <w:rFonts w:ascii="宋体" w:hAnsi="宋体" w:eastAsia="宋体" w:cs="宋体"/>
          <w:spacing w:val="4"/>
          <w:sz w:val="20"/>
          <w:szCs w:val="20"/>
        </w:rPr>
        <w:t>一研究问题的多项独立研究的结果进行收集、合并及</w:t>
      </w:r>
    </w:p>
    <w:p w14:paraId="46598E3F">
      <w:pPr>
        <w:spacing w:before="232"/>
      </w:pPr>
    </w:p>
    <w:p w14:paraId="0367939D">
      <w:pPr>
        <w:sectPr>
          <w:footerReference r:id="rId304" w:type="default"/>
          <w:pgSz w:w="11900" w:h="16820"/>
          <w:pgMar w:top="400" w:right="934" w:bottom="849" w:left="1509" w:header="0" w:footer="669" w:gutter="0"/>
          <w:cols w:equalWidth="0" w:num="1">
            <w:col w:w="9456"/>
          </w:cols>
        </w:sectPr>
      </w:pPr>
    </w:p>
    <w:p w14:paraId="3A62D82F">
      <w:pPr>
        <w:rPr>
          <w:rFonts w:ascii="Arial"/>
          <w:sz w:val="21"/>
        </w:rPr>
      </w:pPr>
    </w:p>
    <w:p w14:paraId="67B0F96B">
      <w:pPr>
        <w:rPr>
          <w:rFonts w:ascii="Arial"/>
          <w:sz w:val="21"/>
        </w:rPr>
      </w:pPr>
    </w:p>
    <w:p w14:paraId="04B4C603">
      <w:pPr>
        <w:spacing w:line="241" w:lineRule="auto"/>
        <w:rPr>
          <w:rFonts w:ascii="Arial"/>
          <w:sz w:val="21"/>
        </w:rPr>
      </w:pPr>
    </w:p>
    <w:p w14:paraId="2CDC18EA">
      <w:pPr>
        <w:spacing w:before="66" w:line="206" w:lineRule="auto"/>
        <w:ind w:left="1770" w:right="272" w:firstLine="99"/>
        <w:rPr>
          <w:rFonts w:ascii="宋体" w:hAnsi="宋体" w:eastAsia="宋体" w:cs="宋体"/>
          <w:sz w:val="20"/>
          <w:szCs w:val="20"/>
        </w:rPr>
      </w:pPr>
      <w:r>
        <w:drawing>
          <wp:anchor distT="0" distB="0" distL="0" distR="0" simplePos="0" relativeHeight="251928576" behindDoc="1" locked="0" layoutInCell="1" allowOverlap="1">
            <wp:simplePos x="0" y="0"/>
            <wp:positionH relativeFrom="column">
              <wp:posOffset>958215</wp:posOffset>
            </wp:positionH>
            <wp:positionV relativeFrom="paragraph">
              <wp:posOffset>-541655</wp:posOffset>
            </wp:positionV>
            <wp:extent cx="3771900" cy="1428750"/>
            <wp:effectExtent l="0" t="0" r="0" b="0"/>
            <wp:wrapNone/>
            <wp:docPr id="752" name="IM 752"/>
            <wp:cNvGraphicFramePr/>
            <a:graphic xmlns:a="http://schemas.openxmlformats.org/drawingml/2006/main">
              <a:graphicData uri="http://schemas.openxmlformats.org/drawingml/2006/picture">
                <pic:pic xmlns:pic="http://schemas.openxmlformats.org/drawingml/2006/picture">
                  <pic:nvPicPr>
                    <pic:cNvPr id="752" name="IM 752"/>
                    <pic:cNvPicPr/>
                  </pic:nvPicPr>
                  <pic:blipFill>
                    <a:blip r:embed="rId673"/>
                    <a:stretch>
                      <a:fillRect/>
                    </a:stretch>
                  </pic:blipFill>
                  <pic:spPr>
                    <a:xfrm>
                      <a:off x="0" y="0"/>
                      <a:ext cx="3771902" cy="1428757"/>
                    </a:xfrm>
                    <a:prstGeom prst="rect">
                      <a:avLst/>
                    </a:prstGeom>
                  </pic:spPr>
                </pic:pic>
              </a:graphicData>
            </a:graphic>
          </wp:anchor>
        </w:drawing>
      </w:r>
      <w:r>
        <w:rPr>
          <w:rFonts w:ascii="宋体" w:hAnsi="宋体" w:eastAsia="宋体" w:cs="宋体"/>
          <w:spacing w:val="-7"/>
          <w:sz w:val="20"/>
          <w:szCs w:val="20"/>
        </w:rPr>
        <w:t>忽略</w:t>
      </w:r>
      <w:r>
        <w:rPr>
          <w:rFonts w:ascii="宋体" w:hAnsi="宋体" w:eastAsia="宋体" w:cs="宋体"/>
          <w:sz w:val="20"/>
          <w:szCs w:val="20"/>
        </w:rPr>
        <w:t xml:space="preserve"> </w:t>
      </w:r>
      <w:r>
        <w:rPr>
          <w:rFonts w:ascii="宋体" w:hAnsi="宋体" w:eastAsia="宋体" w:cs="宋体"/>
          <w:spacing w:val="-18"/>
          <w:sz w:val="20"/>
          <w:szCs w:val="20"/>
        </w:rPr>
        <w:t>异质性</w:t>
      </w:r>
    </w:p>
    <w:p w14:paraId="3BD8377F">
      <w:pPr>
        <w:spacing w:line="276" w:lineRule="auto"/>
        <w:rPr>
          <w:rFonts w:ascii="Arial"/>
          <w:sz w:val="21"/>
        </w:rPr>
      </w:pPr>
    </w:p>
    <w:p w14:paraId="2E4B3B94">
      <w:pPr>
        <w:spacing w:before="65" w:line="211" w:lineRule="auto"/>
        <w:ind w:left="1680" w:right="182" w:firstLine="39"/>
        <w:rPr>
          <w:rFonts w:ascii="宋体" w:hAnsi="宋体" w:eastAsia="宋体" w:cs="宋体"/>
          <w:sz w:val="20"/>
          <w:szCs w:val="20"/>
        </w:rPr>
      </w:pPr>
      <w:r>
        <w:rPr>
          <w:rFonts w:ascii="宋体" w:hAnsi="宋体" w:eastAsia="宋体" w:cs="宋体"/>
          <w:spacing w:val="-23"/>
          <w:w w:val="97"/>
          <w:sz w:val="20"/>
          <w:szCs w:val="20"/>
        </w:rPr>
        <w:t>固定效应</w:t>
      </w:r>
      <w:r>
        <w:rPr>
          <w:rFonts w:ascii="宋体" w:hAnsi="宋体" w:eastAsia="宋体" w:cs="宋体"/>
          <w:spacing w:val="2"/>
          <w:sz w:val="20"/>
          <w:szCs w:val="20"/>
        </w:rPr>
        <w:t xml:space="preserve"> </w:t>
      </w:r>
      <w:r>
        <w:rPr>
          <w:rFonts w:ascii="宋体" w:hAnsi="宋体" w:eastAsia="宋体" w:cs="宋体"/>
          <w:spacing w:val="-19"/>
          <w:sz w:val="20"/>
          <w:szCs w:val="20"/>
        </w:rPr>
        <w:t>模型合并</w:t>
      </w:r>
    </w:p>
    <w:p w14:paraId="6A0B27E1">
      <w:pPr>
        <w:spacing w:line="14" w:lineRule="auto"/>
        <w:rPr>
          <w:rFonts w:ascii="Arial"/>
          <w:sz w:val="2"/>
        </w:rPr>
      </w:pPr>
      <w:r>
        <w:rPr>
          <w:rFonts w:ascii="Arial" w:hAnsi="Arial" w:eastAsia="Arial" w:cs="Arial"/>
          <w:sz w:val="2"/>
          <w:szCs w:val="2"/>
        </w:rPr>
        <w:br w:type="column"/>
      </w:r>
    </w:p>
    <w:p w14:paraId="1518BC91">
      <w:pPr>
        <w:spacing w:before="39" w:line="219" w:lineRule="auto"/>
        <w:ind w:left="860"/>
        <w:rPr>
          <w:rFonts w:ascii="宋体" w:hAnsi="宋体" w:eastAsia="宋体" w:cs="宋体"/>
          <w:sz w:val="20"/>
          <w:szCs w:val="20"/>
        </w:rPr>
      </w:pPr>
      <w:r>
        <w:rPr>
          <w:rFonts w:ascii="宋体" w:hAnsi="宋体" w:eastAsia="宋体" w:cs="宋体"/>
          <w:spacing w:val="-19"/>
          <w:sz w:val="20"/>
          <w:szCs w:val="20"/>
        </w:rPr>
        <w:t>异质性的处理</w:t>
      </w:r>
    </w:p>
    <w:p w14:paraId="2D08EBC0">
      <w:pPr>
        <w:spacing w:line="311" w:lineRule="auto"/>
        <w:rPr>
          <w:rFonts w:ascii="Arial"/>
          <w:sz w:val="21"/>
        </w:rPr>
      </w:pPr>
    </w:p>
    <w:p w14:paraId="3BE84634">
      <w:pPr>
        <w:spacing w:line="312" w:lineRule="auto"/>
        <w:rPr>
          <w:rFonts w:ascii="Arial"/>
          <w:sz w:val="21"/>
        </w:rPr>
      </w:pPr>
    </w:p>
    <w:p w14:paraId="4A49B979">
      <w:pPr>
        <w:spacing w:before="65" w:line="229" w:lineRule="auto"/>
        <w:ind w:left="69"/>
        <w:rPr>
          <w:rFonts w:ascii="宋体" w:hAnsi="宋体" w:eastAsia="宋体" w:cs="宋体"/>
          <w:sz w:val="20"/>
          <w:szCs w:val="20"/>
        </w:rPr>
      </w:pPr>
      <w:r>
        <w:pict>
          <v:shape id="_x0000_s1233" o:spid="_x0000_s1233" o:spt="202" type="#_x0000_t202" style="position:absolute;left:0pt;margin-left:158pt;margin-top:-2.2pt;height:14.05pt;width:20.4pt;z-index:251931648;mso-width-relative:page;mso-height-relative:page;" filled="f" stroked="f" coordsize="21600,21600">
            <v:path/>
            <v:fill on="f" focussize="0,0"/>
            <v:stroke on="f"/>
            <v:imagedata o:title=""/>
            <o:lock v:ext="edit" aspectratio="f"/>
            <v:textbox inset="0mm,0mm,0mm,0mm">
              <w:txbxContent>
                <w:p w14:paraId="1D1E1067">
                  <w:pPr>
                    <w:pStyle w:val="2"/>
                    <w:spacing w:before="20" w:line="222" w:lineRule="auto"/>
                    <w:ind w:left="20"/>
                    <w:rPr>
                      <w:sz w:val="20"/>
                      <w:szCs w:val="20"/>
                    </w:rPr>
                  </w:pPr>
                  <w:r>
                    <w:rPr>
                      <w:spacing w:val="-9"/>
                      <w:sz w:val="20"/>
                      <w:szCs w:val="20"/>
                    </w:rPr>
                    <w:t>解释</w:t>
                  </w:r>
                </w:p>
              </w:txbxContent>
            </v:textbox>
          </v:shape>
        </w:pict>
      </w:r>
      <w:r>
        <w:rPr>
          <w:rFonts w:ascii="宋体" w:hAnsi="宋体" w:eastAsia="宋体" w:cs="宋体"/>
          <w:spacing w:val="-20"/>
          <w:sz w:val="20"/>
          <w:szCs w:val="20"/>
        </w:rPr>
        <w:t>异质性过高   轻度异质性</w:t>
      </w:r>
    </w:p>
    <w:p w14:paraId="6E6767B4">
      <w:pPr>
        <w:spacing w:line="365" w:lineRule="auto"/>
        <w:rPr>
          <w:rFonts w:ascii="Arial"/>
          <w:sz w:val="21"/>
        </w:rPr>
      </w:pPr>
    </w:p>
    <w:p w14:paraId="7D521883">
      <w:pPr>
        <w:spacing w:before="65" w:line="230" w:lineRule="auto"/>
        <w:ind w:left="2449"/>
        <w:rPr>
          <w:rFonts w:ascii="宋体" w:hAnsi="宋体" w:eastAsia="宋体" w:cs="宋体"/>
          <w:sz w:val="20"/>
          <w:szCs w:val="20"/>
        </w:rPr>
      </w:pPr>
      <w:r>
        <w:pict>
          <v:shape id="_x0000_s1234" o:spid="_x0000_s1234" o:spt="202" type="#_x0000_t202" style="position:absolute;left:0pt;margin-left:65pt;margin-top:-1.25pt;height:24.45pt;width:36.9pt;z-index:251929600;mso-width-relative:page;mso-height-relative:page;" filled="f" stroked="f" coordsize="21600,21600">
            <v:path/>
            <v:fill on="f" focussize="0,0"/>
            <v:stroke on="f"/>
            <v:imagedata o:title=""/>
            <o:lock v:ext="edit" aspectratio="f"/>
            <v:textbox inset="0mm,0mm,0mm,0mm">
              <w:txbxContent>
                <w:p w14:paraId="26CFF598">
                  <w:pPr>
                    <w:spacing w:before="19" w:line="207" w:lineRule="auto"/>
                    <w:ind w:left="20" w:right="20"/>
                    <w:rPr>
                      <w:rFonts w:ascii="宋体" w:hAnsi="宋体" w:eastAsia="宋体" w:cs="宋体"/>
                      <w:sz w:val="20"/>
                      <w:szCs w:val="20"/>
                    </w:rPr>
                  </w:pPr>
                  <w:r>
                    <w:rPr>
                      <w:rFonts w:ascii="宋体" w:hAnsi="宋体" w:eastAsia="宋体" w:cs="宋体"/>
                      <w:spacing w:val="-16"/>
                      <w:w w:val="95"/>
                      <w:sz w:val="20"/>
                      <w:szCs w:val="20"/>
                    </w:rPr>
                    <w:t>随机效应</w:t>
                  </w:r>
                  <w:r>
                    <w:rPr>
                      <w:rFonts w:ascii="宋体" w:hAnsi="宋体" w:eastAsia="宋体" w:cs="宋体"/>
                      <w:sz w:val="20"/>
                      <w:szCs w:val="20"/>
                    </w:rPr>
                    <w:t xml:space="preserve"> </w:t>
                  </w:r>
                  <w:r>
                    <w:rPr>
                      <w:rFonts w:ascii="宋体" w:hAnsi="宋体" w:eastAsia="宋体" w:cs="宋体"/>
                      <w:spacing w:val="-17"/>
                      <w:w w:val="95"/>
                      <w:sz w:val="20"/>
                      <w:szCs w:val="20"/>
                    </w:rPr>
                    <w:t>模型合并</w:t>
                  </w:r>
                </w:p>
              </w:txbxContent>
            </v:textbox>
          </v:shape>
        </w:pict>
      </w:r>
      <w:r>
        <w:pict>
          <v:shape id="_x0000_s1235" o:spid="_x0000_s1235" o:spt="202" type="#_x0000_t202" style="position:absolute;left:0pt;margin-left:12pt;margin-top:2.7pt;height:13.9pt;width:28.9pt;z-index:251930624;mso-width-relative:page;mso-height-relative:page;" filled="f" stroked="f" coordsize="21600,21600">
            <v:path/>
            <v:fill on="f" focussize="0,0"/>
            <v:stroke on="f"/>
            <v:imagedata o:title=""/>
            <o:lock v:ext="edit" aspectratio="f"/>
            <v:textbox inset="0mm,0mm,0mm,0mm">
              <w:txbxContent>
                <w:p w14:paraId="593DED94">
                  <w:pPr>
                    <w:spacing w:before="20" w:line="219" w:lineRule="auto"/>
                    <w:jc w:val="right"/>
                    <w:rPr>
                      <w:rFonts w:ascii="宋体" w:hAnsi="宋体" w:eastAsia="宋体" w:cs="宋体"/>
                      <w:sz w:val="20"/>
                      <w:szCs w:val="20"/>
                    </w:rPr>
                  </w:pPr>
                  <w:r>
                    <w:rPr>
                      <w:rFonts w:ascii="宋体" w:hAnsi="宋体" w:eastAsia="宋体" w:cs="宋体"/>
                      <w:spacing w:val="-21"/>
                      <w:w w:val="98"/>
                      <w:sz w:val="20"/>
                      <w:szCs w:val="20"/>
                    </w:rPr>
                    <w:t>不合</w:t>
                  </w:r>
                  <w:r>
                    <w:rPr>
                      <w:rFonts w:ascii="宋体" w:hAnsi="宋体" w:eastAsia="宋体" w:cs="宋体"/>
                      <w:spacing w:val="-9"/>
                      <w:w w:val="98"/>
                      <w:sz w:val="20"/>
                      <w:szCs w:val="20"/>
                    </w:rPr>
                    <w:t>并</w:t>
                  </w:r>
                </w:p>
              </w:txbxContent>
            </v:textbox>
          </v:shape>
        </w:pict>
      </w:r>
      <w:r>
        <w:rPr>
          <w:rFonts w:ascii="宋体" w:hAnsi="宋体" w:eastAsia="宋体" w:cs="宋体"/>
          <w:spacing w:val="-19"/>
          <w:position w:val="-1"/>
          <w:sz w:val="20"/>
          <w:szCs w:val="20"/>
        </w:rPr>
        <w:t xml:space="preserve">亚组分析     </w:t>
      </w:r>
      <w:r>
        <w:rPr>
          <w:rFonts w:ascii="宋体" w:hAnsi="宋体" w:eastAsia="宋体" w:cs="宋体"/>
          <w:spacing w:val="-19"/>
          <w:position w:val="1"/>
          <w:sz w:val="20"/>
          <w:szCs w:val="20"/>
        </w:rPr>
        <w:t>Meta回归分析</w:t>
      </w:r>
    </w:p>
    <w:p w14:paraId="5A742271">
      <w:pPr>
        <w:spacing w:line="263" w:lineRule="auto"/>
        <w:rPr>
          <w:rFonts w:ascii="Arial"/>
          <w:sz w:val="21"/>
        </w:rPr>
      </w:pPr>
    </w:p>
    <w:p w14:paraId="1CC0A3DE">
      <w:pPr>
        <w:pStyle w:val="2"/>
        <w:spacing w:before="65" w:line="187" w:lineRule="auto"/>
        <w:rPr>
          <w:sz w:val="20"/>
          <w:szCs w:val="20"/>
        </w:rPr>
      </w:pPr>
      <w:r>
        <w:rPr>
          <w:spacing w:val="-9"/>
          <w:sz w:val="20"/>
          <w:szCs w:val="20"/>
        </w:rPr>
        <w:t>图18-4</w:t>
      </w:r>
      <w:r>
        <w:rPr>
          <w:spacing w:val="71"/>
          <w:sz w:val="20"/>
          <w:szCs w:val="20"/>
        </w:rPr>
        <w:t xml:space="preserve"> </w:t>
      </w:r>
      <w:r>
        <w:rPr>
          <w:rFonts w:ascii="宋体" w:hAnsi="宋体" w:eastAsia="宋体" w:cs="宋体"/>
          <w:spacing w:val="-9"/>
          <w:sz w:val="20"/>
          <w:szCs w:val="20"/>
        </w:rPr>
        <w:t>Meta</w:t>
      </w:r>
      <w:r>
        <w:rPr>
          <w:rFonts w:ascii="宋体" w:hAnsi="宋体" w:eastAsia="宋体" w:cs="宋体"/>
          <w:spacing w:val="-49"/>
          <w:sz w:val="20"/>
          <w:szCs w:val="20"/>
        </w:rPr>
        <w:t xml:space="preserve"> </w:t>
      </w:r>
      <w:r>
        <w:rPr>
          <w:spacing w:val="-9"/>
          <w:sz w:val="20"/>
          <w:szCs w:val="20"/>
        </w:rPr>
        <w:t>分析中异质性资料的处理方法</w:t>
      </w:r>
    </w:p>
    <w:p w14:paraId="7ACEC1B4">
      <w:pPr>
        <w:spacing w:line="187" w:lineRule="auto"/>
        <w:rPr>
          <w:sz w:val="20"/>
          <w:szCs w:val="20"/>
        </w:rPr>
        <w:sectPr>
          <w:type w:val="continuous"/>
          <w:pgSz w:w="11900" w:h="16820"/>
          <w:pgMar w:top="400" w:right="934" w:bottom="849" w:left="1509" w:header="0" w:footer="669" w:gutter="0"/>
          <w:cols w:equalWidth="0" w:num="2">
            <w:col w:w="2590" w:space="100"/>
            <w:col w:w="6766"/>
          </w:cols>
        </w:sectPr>
      </w:pPr>
    </w:p>
    <w:p w14:paraId="6668B901">
      <w:pPr>
        <w:spacing w:line="268" w:lineRule="auto"/>
        <w:rPr>
          <w:rFonts w:ascii="Arial"/>
          <w:sz w:val="21"/>
        </w:rPr>
      </w:pPr>
    </w:p>
    <w:p w14:paraId="102C6C9A">
      <w:pPr>
        <w:pStyle w:val="2"/>
        <w:spacing w:before="55" w:line="221" w:lineRule="auto"/>
        <w:ind w:left="679"/>
        <w:rPr>
          <w:sz w:val="17"/>
          <w:szCs w:val="17"/>
        </w:rPr>
      </w:pPr>
      <w:r>
        <w:rPr>
          <w:spacing w:val="2"/>
          <w:sz w:val="17"/>
          <w:szCs w:val="17"/>
        </w:rPr>
        <w:t>第十八章循证医学与系统综述</w:t>
      </w:r>
    </w:p>
    <w:p w14:paraId="2F31CF3F">
      <w:pPr>
        <w:spacing w:line="274" w:lineRule="auto"/>
        <w:rPr>
          <w:rFonts w:ascii="Arial"/>
          <w:sz w:val="21"/>
        </w:rPr>
      </w:pPr>
    </w:p>
    <w:p w14:paraId="10514B00">
      <w:pPr>
        <w:spacing w:line="274" w:lineRule="auto"/>
        <w:rPr>
          <w:rFonts w:ascii="Arial"/>
          <w:sz w:val="21"/>
        </w:rPr>
      </w:pPr>
    </w:p>
    <w:p w14:paraId="78DC3BA9">
      <w:pPr>
        <w:spacing w:before="65" w:line="342" w:lineRule="auto"/>
        <w:ind w:left="679" w:right="104"/>
        <w:jc w:val="both"/>
        <w:rPr>
          <w:rFonts w:ascii="宋体" w:hAnsi="宋体" w:eastAsia="宋体" w:cs="宋体"/>
          <w:sz w:val="20"/>
          <w:szCs w:val="20"/>
        </w:rPr>
      </w:pPr>
      <w:r>
        <w:rPr>
          <w:rFonts w:ascii="宋体" w:hAnsi="宋体" w:eastAsia="宋体" w:cs="宋体"/>
          <w:spacing w:val="4"/>
          <w:sz w:val="20"/>
          <w:szCs w:val="20"/>
        </w:rPr>
        <w:t>统计分析的一种方法，通过该方法获得能够代表这些研究结果的平均水平。我国曾将其翻译为后</w:t>
      </w:r>
      <w:r>
        <w:rPr>
          <w:rFonts w:ascii="宋体" w:hAnsi="宋体" w:eastAsia="宋体" w:cs="宋体"/>
          <w:spacing w:val="6"/>
          <w:sz w:val="20"/>
          <w:szCs w:val="20"/>
        </w:rPr>
        <w:t xml:space="preserve"> </w:t>
      </w:r>
      <w:r>
        <w:rPr>
          <w:rFonts w:ascii="宋体" w:hAnsi="宋体" w:eastAsia="宋体" w:cs="宋体"/>
          <w:spacing w:val="-2"/>
          <w:sz w:val="20"/>
          <w:szCs w:val="20"/>
        </w:rPr>
        <w:t>分析、荟萃分析、元分析、综合分析等。</w:t>
      </w:r>
      <w:r>
        <w:rPr>
          <w:rFonts w:ascii="Times New Roman" w:hAnsi="Times New Roman" w:eastAsia="Times New Roman" w:cs="Times New Roman"/>
          <w:spacing w:val="-2"/>
          <w:sz w:val="20"/>
          <w:szCs w:val="20"/>
        </w:rPr>
        <w:t xml:space="preserve">Meta </w:t>
      </w:r>
      <w:r>
        <w:rPr>
          <w:rFonts w:ascii="宋体" w:hAnsi="宋体" w:eastAsia="宋体" w:cs="宋体"/>
          <w:spacing w:val="-2"/>
          <w:sz w:val="20"/>
          <w:szCs w:val="20"/>
        </w:rPr>
        <w:t>分析是系统综述中使用的一种统计学的定量综合</w:t>
      </w:r>
      <w:r>
        <w:rPr>
          <w:rFonts w:ascii="宋体" w:hAnsi="宋体" w:eastAsia="宋体" w:cs="宋体"/>
          <w:spacing w:val="-3"/>
          <w:sz w:val="20"/>
          <w:szCs w:val="20"/>
        </w:rPr>
        <w:t>分析</w:t>
      </w:r>
      <w:r>
        <w:rPr>
          <w:rFonts w:ascii="宋体" w:hAnsi="宋体" w:eastAsia="宋体" w:cs="宋体"/>
          <w:sz w:val="20"/>
          <w:szCs w:val="20"/>
        </w:rPr>
        <w:t xml:space="preserve"> </w:t>
      </w:r>
      <w:r>
        <w:rPr>
          <w:rFonts w:ascii="宋体" w:hAnsi="宋体" w:eastAsia="宋体" w:cs="宋体"/>
          <w:spacing w:val="-1"/>
          <w:sz w:val="20"/>
          <w:szCs w:val="20"/>
        </w:rPr>
        <w:t>方法，是以某一问题的多项独立研究的结果为研究对象，运用适当的统计学方法对多个研究结果进</w:t>
      </w:r>
      <w:r>
        <w:rPr>
          <w:rFonts w:ascii="宋体" w:hAnsi="宋体" w:eastAsia="宋体" w:cs="宋体"/>
          <w:spacing w:val="9"/>
          <w:sz w:val="20"/>
          <w:szCs w:val="20"/>
        </w:rPr>
        <w:t xml:space="preserve"> </w:t>
      </w:r>
      <w:r>
        <w:rPr>
          <w:rFonts w:ascii="宋体" w:hAnsi="宋体" w:eastAsia="宋体" w:cs="宋体"/>
          <w:spacing w:val="-7"/>
          <w:sz w:val="20"/>
          <w:szCs w:val="20"/>
        </w:rPr>
        <w:t>行定量的综合分析，得出单一的、量化的综合结</w:t>
      </w:r>
      <w:r>
        <w:rPr>
          <w:rFonts w:ascii="宋体" w:hAnsi="宋体" w:eastAsia="宋体" w:cs="宋体"/>
          <w:spacing w:val="-8"/>
          <w:sz w:val="20"/>
          <w:szCs w:val="20"/>
        </w:rPr>
        <w:t>论。</w:t>
      </w:r>
    </w:p>
    <w:p w14:paraId="1CAFBD3A">
      <w:pPr>
        <w:spacing w:before="4" w:line="331" w:lineRule="auto"/>
        <w:ind w:left="679" w:right="99" w:firstLine="410"/>
        <w:jc w:val="both"/>
        <w:rPr>
          <w:rFonts w:ascii="宋体" w:hAnsi="宋体" w:eastAsia="宋体" w:cs="宋体"/>
          <w:sz w:val="20"/>
          <w:szCs w:val="20"/>
        </w:rPr>
      </w:pPr>
      <w:r>
        <w:rPr>
          <w:rFonts w:ascii="宋体" w:hAnsi="宋体" w:eastAsia="宋体" w:cs="宋体"/>
          <w:sz w:val="20"/>
          <w:szCs w:val="20"/>
        </w:rPr>
        <w:t>Meta</w:t>
      </w:r>
      <w:r>
        <w:rPr>
          <w:rFonts w:ascii="宋体" w:hAnsi="宋体" w:eastAsia="宋体" w:cs="宋体"/>
          <w:spacing w:val="-27"/>
          <w:sz w:val="20"/>
          <w:szCs w:val="20"/>
        </w:rPr>
        <w:t xml:space="preserve"> </w:t>
      </w:r>
      <w:r>
        <w:rPr>
          <w:rFonts w:ascii="宋体" w:hAnsi="宋体" w:eastAsia="宋体" w:cs="宋体"/>
          <w:spacing w:val="8"/>
          <w:sz w:val="20"/>
          <w:szCs w:val="20"/>
        </w:rPr>
        <w:t>分析的效应合并就是对效应值进行加权平均，在计算时根据异质性检验的结果选用固</w:t>
      </w:r>
      <w:r>
        <w:rPr>
          <w:rFonts w:ascii="宋体" w:hAnsi="宋体" w:eastAsia="宋体" w:cs="宋体"/>
          <w:sz w:val="20"/>
          <w:szCs w:val="20"/>
        </w:rPr>
        <w:t xml:space="preserve"> </w:t>
      </w:r>
      <w:r>
        <w:rPr>
          <w:rFonts w:ascii="宋体" w:hAnsi="宋体" w:eastAsia="宋体" w:cs="宋体"/>
          <w:spacing w:val="9"/>
          <w:sz w:val="20"/>
          <w:szCs w:val="20"/>
        </w:rPr>
        <w:t>定效应模型或随机效应模型对各研究结果的效应值进行加权合并。在数据合并之前，应根据资</w:t>
      </w:r>
      <w:r>
        <w:rPr>
          <w:rFonts w:ascii="宋体" w:hAnsi="宋体" w:eastAsia="宋体" w:cs="宋体"/>
          <w:spacing w:val="4"/>
          <w:sz w:val="20"/>
          <w:szCs w:val="20"/>
        </w:rPr>
        <w:t xml:space="preserve"> </w:t>
      </w:r>
      <w:r>
        <w:rPr>
          <w:rFonts w:ascii="宋体" w:hAnsi="宋体" w:eastAsia="宋体" w:cs="宋体"/>
          <w:spacing w:val="8"/>
          <w:sz w:val="20"/>
          <w:szCs w:val="20"/>
        </w:rPr>
        <w:t>料的类型及评价目的选择效应量作为合并统计量。当为计数资</w:t>
      </w:r>
      <w:r>
        <w:rPr>
          <w:rFonts w:ascii="宋体" w:hAnsi="宋体" w:eastAsia="宋体" w:cs="宋体"/>
          <w:spacing w:val="7"/>
          <w:sz w:val="20"/>
          <w:szCs w:val="20"/>
        </w:rPr>
        <w:t>料时常用比值比(</w:t>
      </w:r>
      <w:r>
        <w:rPr>
          <w:rFonts w:ascii="宋体" w:hAnsi="宋体" w:eastAsia="宋体" w:cs="宋体"/>
          <w:sz w:val="20"/>
          <w:szCs w:val="20"/>
        </w:rPr>
        <w:t>OR</w:t>
      </w:r>
      <w:r>
        <w:rPr>
          <w:rFonts w:ascii="宋体" w:hAnsi="宋体" w:eastAsia="宋体" w:cs="宋体"/>
          <w:spacing w:val="7"/>
          <w:sz w:val="20"/>
          <w:szCs w:val="20"/>
        </w:rPr>
        <w:t>)、</w:t>
      </w:r>
      <w:r>
        <w:rPr>
          <w:rFonts w:ascii="宋体" w:hAnsi="宋体" w:eastAsia="宋体" w:cs="宋体"/>
          <w:spacing w:val="-47"/>
          <w:sz w:val="20"/>
          <w:szCs w:val="20"/>
        </w:rPr>
        <w:t xml:space="preserve"> </w:t>
      </w:r>
      <w:r>
        <w:rPr>
          <w:rFonts w:ascii="宋体" w:hAnsi="宋体" w:eastAsia="宋体" w:cs="宋体"/>
          <w:spacing w:val="7"/>
          <w:sz w:val="20"/>
          <w:szCs w:val="20"/>
        </w:rPr>
        <w:t>相对危险</w:t>
      </w:r>
      <w:r>
        <w:rPr>
          <w:rFonts w:ascii="宋体" w:hAnsi="宋体" w:eastAsia="宋体" w:cs="宋体"/>
          <w:sz w:val="20"/>
          <w:szCs w:val="20"/>
        </w:rPr>
        <w:t xml:space="preserve"> </w:t>
      </w:r>
      <w:r>
        <w:rPr>
          <w:rFonts w:ascii="宋体" w:hAnsi="宋体" w:eastAsia="宋体" w:cs="宋体"/>
          <w:spacing w:val="6"/>
          <w:sz w:val="20"/>
          <w:szCs w:val="20"/>
        </w:rPr>
        <w:t>度</w:t>
      </w:r>
      <w:r>
        <w:rPr>
          <w:rFonts w:ascii="Times New Roman" w:hAnsi="Times New Roman" w:eastAsia="Times New Roman" w:cs="Times New Roman"/>
          <w:spacing w:val="6"/>
          <w:sz w:val="20"/>
          <w:szCs w:val="20"/>
        </w:rPr>
        <w:t>(</w:t>
      </w:r>
      <w:r>
        <w:rPr>
          <w:rFonts w:ascii="Times New Roman" w:hAnsi="Times New Roman" w:eastAsia="Times New Roman" w:cs="Times New Roman"/>
          <w:sz w:val="20"/>
          <w:szCs w:val="20"/>
        </w:rPr>
        <w:t>RR</w:t>
      </w:r>
      <w:r>
        <w:rPr>
          <w:rFonts w:ascii="Times New Roman" w:hAnsi="Times New Roman" w:eastAsia="Times New Roman" w:cs="Times New Roman"/>
          <w:spacing w:val="6"/>
          <w:sz w:val="20"/>
          <w:szCs w:val="20"/>
        </w:rPr>
        <w:t>)</w:t>
      </w:r>
      <w:r>
        <w:rPr>
          <w:rFonts w:ascii="Times New Roman" w:hAnsi="Times New Roman" w:eastAsia="Times New Roman" w:cs="Times New Roman"/>
          <w:spacing w:val="-22"/>
          <w:sz w:val="20"/>
          <w:szCs w:val="20"/>
        </w:rPr>
        <w:t xml:space="preserve"> </w:t>
      </w:r>
      <w:r>
        <w:rPr>
          <w:rFonts w:ascii="宋体" w:hAnsi="宋体" w:eastAsia="宋体" w:cs="宋体"/>
          <w:spacing w:val="6"/>
          <w:sz w:val="20"/>
          <w:szCs w:val="20"/>
        </w:rPr>
        <w:t>、危险度差</w:t>
      </w:r>
      <w:r>
        <w:rPr>
          <w:rFonts w:ascii="Times New Roman" w:hAnsi="Times New Roman" w:eastAsia="Times New Roman" w:cs="Times New Roman"/>
          <w:spacing w:val="6"/>
          <w:sz w:val="20"/>
          <w:szCs w:val="20"/>
        </w:rPr>
        <w:t>(</w:t>
      </w:r>
      <w:r>
        <w:rPr>
          <w:rFonts w:ascii="Times New Roman" w:hAnsi="Times New Roman" w:eastAsia="Times New Roman" w:cs="Times New Roman"/>
          <w:sz w:val="20"/>
          <w:szCs w:val="20"/>
        </w:rPr>
        <w:t>risk</w:t>
      </w:r>
      <w:r>
        <w:rPr>
          <w:rFonts w:ascii="Times New Roman" w:hAnsi="Times New Roman" w:eastAsia="Times New Roman" w:cs="Times New Roman"/>
          <w:spacing w:val="6"/>
          <w:sz w:val="20"/>
          <w:szCs w:val="20"/>
        </w:rPr>
        <w:t xml:space="preserve">       </w:t>
      </w:r>
      <w:r>
        <w:rPr>
          <w:rFonts w:ascii="Times New Roman" w:hAnsi="Times New Roman" w:eastAsia="Times New Roman" w:cs="Times New Roman"/>
          <w:sz w:val="20"/>
          <w:szCs w:val="20"/>
        </w:rPr>
        <w:t>difference</w:t>
      </w:r>
      <w:r>
        <w:rPr>
          <w:rFonts w:ascii="Times New Roman" w:hAnsi="Times New Roman" w:eastAsia="Times New Roman" w:cs="Times New Roman"/>
          <w:spacing w:val="6"/>
          <w:sz w:val="20"/>
          <w:szCs w:val="20"/>
        </w:rPr>
        <w:t>,</w:t>
      </w:r>
      <w:r>
        <w:rPr>
          <w:rFonts w:ascii="Times New Roman" w:hAnsi="Times New Roman" w:eastAsia="Times New Roman" w:cs="Times New Roman"/>
          <w:sz w:val="20"/>
          <w:szCs w:val="20"/>
        </w:rPr>
        <w:t>RD</w:t>
      </w:r>
      <w:r>
        <w:rPr>
          <w:rFonts w:ascii="Times New Roman" w:hAnsi="Times New Roman" w:eastAsia="Times New Roman" w:cs="Times New Roman"/>
          <w:spacing w:val="6"/>
          <w:sz w:val="20"/>
          <w:szCs w:val="20"/>
        </w:rPr>
        <w:t>)</w:t>
      </w:r>
      <w:r>
        <w:rPr>
          <w:rFonts w:ascii="宋体" w:hAnsi="宋体" w:eastAsia="宋体" w:cs="宋体"/>
          <w:spacing w:val="6"/>
          <w:sz w:val="20"/>
          <w:szCs w:val="20"/>
        </w:rPr>
        <w:t>等来表示效应的大小；当为计量资料时用均数差</w:t>
      </w:r>
      <w:r>
        <w:rPr>
          <w:rFonts w:ascii="Times New Roman" w:hAnsi="Times New Roman" w:eastAsia="Times New Roman" w:cs="Times New Roman"/>
          <w:spacing w:val="6"/>
          <w:sz w:val="20"/>
          <w:szCs w:val="20"/>
        </w:rPr>
        <w:t>(</w:t>
      </w:r>
      <w:r>
        <w:rPr>
          <w:rFonts w:ascii="Times New Roman" w:hAnsi="Times New Roman" w:eastAsia="Times New Roman" w:cs="Times New Roman"/>
          <w:sz w:val="20"/>
          <w:szCs w:val="20"/>
        </w:rPr>
        <w:t>mean   difference</w:t>
      </w:r>
      <w:r>
        <w:rPr>
          <w:rFonts w:ascii="Times New Roman" w:hAnsi="Times New Roman" w:eastAsia="Times New Roman" w:cs="Times New Roman"/>
          <w:spacing w:val="1"/>
          <w:sz w:val="20"/>
          <w:szCs w:val="20"/>
        </w:rPr>
        <w:t>,</w:t>
      </w:r>
      <w:r>
        <w:rPr>
          <w:rFonts w:ascii="Times New Roman" w:hAnsi="Times New Roman" w:eastAsia="Times New Roman" w:cs="Times New Roman"/>
          <w:sz w:val="20"/>
          <w:szCs w:val="20"/>
        </w:rPr>
        <w:t>MD</w:t>
      </w:r>
      <w:r>
        <w:rPr>
          <w:rFonts w:ascii="Times New Roman" w:hAnsi="Times New Roman" w:eastAsia="Times New Roman" w:cs="Times New Roman"/>
          <w:spacing w:val="1"/>
          <w:sz w:val="20"/>
          <w:szCs w:val="20"/>
        </w:rPr>
        <w:t>)</w:t>
      </w:r>
      <w:r>
        <w:rPr>
          <w:rFonts w:ascii="Times New Roman" w:hAnsi="Times New Roman" w:eastAsia="Times New Roman" w:cs="Times New Roman"/>
          <w:spacing w:val="48"/>
          <w:w w:val="101"/>
          <w:sz w:val="20"/>
          <w:szCs w:val="20"/>
        </w:rPr>
        <w:t xml:space="preserve"> </w:t>
      </w:r>
      <w:r>
        <w:rPr>
          <w:rFonts w:ascii="宋体" w:hAnsi="宋体" w:eastAsia="宋体" w:cs="宋体"/>
          <w:spacing w:val="1"/>
          <w:sz w:val="20"/>
          <w:szCs w:val="20"/>
        </w:rPr>
        <w:t>表示效应的大小。其中，当采用同样测量方法</w:t>
      </w:r>
      <w:r>
        <w:rPr>
          <w:rFonts w:ascii="宋体" w:hAnsi="宋体" w:eastAsia="宋体" w:cs="宋体"/>
          <w:sz w:val="20"/>
          <w:szCs w:val="20"/>
        </w:rPr>
        <w:t xml:space="preserve">测量同一个指标时，使用加权均数差 </w:t>
      </w:r>
      <w:r>
        <w:rPr>
          <w:rFonts w:ascii="Times New Roman" w:hAnsi="Times New Roman" w:eastAsia="Times New Roman" w:cs="Times New Roman"/>
          <w:sz w:val="20"/>
          <w:szCs w:val="20"/>
        </w:rPr>
        <w:t>(weighted</w:t>
      </w:r>
      <w:r>
        <w:rPr>
          <w:rFonts w:ascii="Times New Roman" w:hAnsi="Times New Roman" w:eastAsia="Times New Roman" w:cs="Times New Roman"/>
          <w:spacing w:val="52"/>
          <w:w w:val="101"/>
          <w:sz w:val="20"/>
          <w:szCs w:val="20"/>
        </w:rPr>
        <w:t xml:space="preserve"> </w:t>
      </w:r>
      <w:r>
        <w:rPr>
          <w:rFonts w:ascii="Times New Roman" w:hAnsi="Times New Roman" w:eastAsia="Times New Roman" w:cs="Times New Roman"/>
          <w:sz w:val="20"/>
          <w:szCs w:val="20"/>
        </w:rPr>
        <w:t>mean  difference,WMD)</w:t>
      </w:r>
      <w:r>
        <w:rPr>
          <w:rFonts w:ascii="宋体" w:hAnsi="宋体" w:eastAsia="宋体" w:cs="宋体"/>
          <w:sz w:val="20"/>
          <w:szCs w:val="20"/>
        </w:rPr>
        <w:t>来合并统计量；当对同一治疗效应采用不同的测量方法或单位(如 采用不同的量表测定神经功能)时，可使用标准化的均数差</w:t>
      </w:r>
      <w:r>
        <w:rPr>
          <w:rFonts w:ascii="Times New Roman" w:hAnsi="Times New Roman" w:eastAsia="Times New Roman" w:cs="Times New Roman"/>
          <w:sz w:val="20"/>
          <w:szCs w:val="20"/>
        </w:rPr>
        <w:t>(standardized  mean  difference,SM</w:t>
      </w:r>
      <w:r>
        <w:rPr>
          <w:rFonts w:ascii="Times New Roman" w:hAnsi="Times New Roman" w:eastAsia="Times New Roman" w:cs="Times New Roman"/>
          <w:spacing w:val="-1"/>
          <w:sz w:val="20"/>
          <w:szCs w:val="20"/>
        </w:rPr>
        <w:t>D)</w:t>
      </w:r>
      <w:r>
        <w:rPr>
          <w:rFonts w:ascii="宋体" w:hAnsi="宋体" w:eastAsia="宋体" w:cs="宋体"/>
          <w:spacing w:val="-1"/>
          <w:sz w:val="20"/>
          <w:szCs w:val="20"/>
        </w:rPr>
        <w:t>来合</w:t>
      </w:r>
      <w:r>
        <w:rPr>
          <w:rFonts w:ascii="宋体" w:hAnsi="宋体" w:eastAsia="宋体" w:cs="宋体"/>
          <w:sz w:val="20"/>
          <w:szCs w:val="20"/>
        </w:rPr>
        <w:t xml:space="preserve"> 并统计量，见表18-4。具体统计分析可用</w:t>
      </w:r>
      <w:r>
        <w:rPr>
          <w:rFonts w:ascii="Times New Roman" w:hAnsi="Times New Roman" w:eastAsia="Times New Roman" w:cs="Times New Roman"/>
          <w:sz w:val="20"/>
          <w:szCs w:val="20"/>
        </w:rPr>
        <w:t>Meta</w:t>
      </w:r>
      <w:r>
        <w:rPr>
          <w:rFonts w:ascii="Times New Roman" w:hAnsi="Times New Roman" w:eastAsia="Times New Roman" w:cs="Times New Roman"/>
          <w:spacing w:val="-17"/>
          <w:sz w:val="20"/>
          <w:szCs w:val="20"/>
        </w:rPr>
        <w:t xml:space="preserve"> </w:t>
      </w:r>
      <w:r>
        <w:rPr>
          <w:rFonts w:ascii="宋体" w:hAnsi="宋体" w:eastAsia="宋体" w:cs="宋体"/>
          <w:sz w:val="20"/>
          <w:szCs w:val="20"/>
        </w:rPr>
        <w:t>分析软件如</w:t>
      </w:r>
      <w:r>
        <w:rPr>
          <w:rFonts w:ascii="宋体" w:hAnsi="宋体" w:eastAsia="宋体" w:cs="宋体"/>
          <w:spacing w:val="-54"/>
          <w:sz w:val="20"/>
          <w:szCs w:val="20"/>
        </w:rPr>
        <w:t xml:space="preserve"> </w:t>
      </w:r>
      <w:r>
        <w:rPr>
          <w:rFonts w:ascii="Times New Roman" w:hAnsi="Times New Roman" w:eastAsia="Times New Roman" w:cs="Times New Roman"/>
          <w:sz w:val="20"/>
          <w:szCs w:val="20"/>
        </w:rPr>
        <w:t>RevM</w:t>
      </w:r>
      <w:r>
        <w:rPr>
          <w:rFonts w:ascii="Times New Roman" w:hAnsi="Times New Roman" w:eastAsia="Times New Roman" w:cs="Times New Roman"/>
          <w:spacing w:val="-1"/>
          <w:sz w:val="20"/>
          <w:szCs w:val="20"/>
        </w:rPr>
        <w:t>an</w:t>
      </w:r>
      <w:r>
        <w:rPr>
          <w:rFonts w:ascii="宋体" w:hAnsi="宋体" w:eastAsia="宋体" w:cs="宋体"/>
          <w:spacing w:val="-1"/>
          <w:sz w:val="20"/>
          <w:szCs w:val="20"/>
        </w:rPr>
        <w:t>进行统计分析，也可用常用的统</w:t>
      </w:r>
      <w:r>
        <w:rPr>
          <w:rFonts w:ascii="宋体" w:hAnsi="宋体" w:eastAsia="宋体" w:cs="宋体"/>
          <w:sz w:val="20"/>
          <w:szCs w:val="20"/>
        </w:rPr>
        <w:t xml:space="preserve"> </w:t>
      </w:r>
      <w:r>
        <w:rPr>
          <w:rFonts w:ascii="宋体" w:hAnsi="宋体" w:eastAsia="宋体" w:cs="宋体"/>
          <w:spacing w:val="-5"/>
          <w:sz w:val="20"/>
          <w:szCs w:val="20"/>
        </w:rPr>
        <w:t>计学软件如SPSS、SAS、Stata等，实际操作时选择相应</w:t>
      </w:r>
      <w:r>
        <w:rPr>
          <w:rFonts w:ascii="宋体" w:hAnsi="宋体" w:eastAsia="宋体" w:cs="宋体"/>
          <w:spacing w:val="-6"/>
          <w:sz w:val="20"/>
          <w:szCs w:val="20"/>
        </w:rPr>
        <w:t>统计学模块即可。</w:t>
      </w:r>
    </w:p>
    <w:p w14:paraId="71276B6D">
      <w:pPr>
        <w:spacing w:before="219" w:line="213" w:lineRule="auto"/>
        <w:ind w:left="2179"/>
        <w:rPr>
          <w:rFonts w:ascii="宋体" w:hAnsi="宋体" w:eastAsia="宋体" w:cs="宋体"/>
          <w:sz w:val="23"/>
          <w:szCs w:val="23"/>
        </w:rPr>
      </w:pPr>
      <w:r>
        <w:rPr>
          <w:rFonts w:ascii="宋体" w:hAnsi="宋体" w:eastAsia="宋体" w:cs="宋体"/>
          <w:sz w:val="23"/>
          <w:szCs w:val="23"/>
        </w:rPr>
        <w:t>表18-4 Meta分</w:t>
      </w:r>
      <w:r>
        <w:rPr>
          <w:rFonts w:ascii="宋体" w:hAnsi="宋体" w:eastAsia="宋体" w:cs="宋体"/>
          <w:spacing w:val="14"/>
          <w:sz w:val="23"/>
          <w:szCs w:val="23"/>
        </w:rPr>
        <w:t xml:space="preserve">      </w:t>
      </w:r>
      <w:r>
        <w:rPr>
          <w:rFonts w:ascii="宋体" w:hAnsi="宋体" w:eastAsia="宋体" w:cs="宋体"/>
          <w:sz w:val="23"/>
          <w:szCs w:val="23"/>
        </w:rPr>
        <w:t>析中的效应指标及统计模型选择</w:t>
      </w:r>
    </w:p>
    <w:tbl>
      <w:tblPr>
        <w:tblStyle w:val="5"/>
        <w:tblW w:w="8615" w:type="dxa"/>
        <w:tblInd w:w="71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0" w:type="dxa"/>
          <w:left w:w="0" w:type="dxa"/>
          <w:bottom w:w="0" w:type="dxa"/>
          <w:right w:w="0" w:type="dxa"/>
        </w:tblCellMar>
      </w:tblPr>
      <w:tblGrid>
        <w:gridCol w:w="1450"/>
        <w:gridCol w:w="2260"/>
        <w:gridCol w:w="2840"/>
        <w:gridCol w:w="2065"/>
      </w:tblGrid>
      <w:tr w14:paraId="374C1478">
        <w:trPr>
          <w:trHeight w:val="334" w:hRule="atLeast"/>
        </w:trPr>
        <w:tc>
          <w:tcPr>
            <w:tcW w:w="1450" w:type="dxa"/>
            <w:vMerge w:val="restart"/>
            <w:tcBorders>
              <w:top w:val="single" w:color="000000" w:sz="4" w:space="0"/>
              <w:bottom w:val="nil"/>
            </w:tcBorders>
            <w:shd w:val="clear" w:color="auto" w:fill="D6D8DD"/>
            <w:vAlign w:val="top"/>
          </w:tcPr>
          <w:p w14:paraId="5C7F5651">
            <w:pPr>
              <w:pStyle w:val="6"/>
              <w:spacing w:before="264" w:line="219" w:lineRule="auto"/>
              <w:ind w:left="269"/>
              <w:rPr>
                <w:sz w:val="23"/>
                <w:szCs w:val="23"/>
              </w:rPr>
            </w:pPr>
            <w:r>
              <w:rPr>
                <w:spacing w:val="3"/>
                <w:sz w:val="23"/>
                <w:szCs w:val="23"/>
              </w:rPr>
              <w:t>资料类型</w:t>
            </w:r>
          </w:p>
        </w:tc>
        <w:tc>
          <w:tcPr>
            <w:tcW w:w="2260" w:type="dxa"/>
            <w:vMerge w:val="restart"/>
            <w:tcBorders>
              <w:top w:val="single" w:color="000000" w:sz="4" w:space="0"/>
              <w:bottom w:val="nil"/>
            </w:tcBorders>
            <w:shd w:val="clear" w:color="auto" w:fill="D8D8D8"/>
            <w:vAlign w:val="top"/>
          </w:tcPr>
          <w:p w14:paraId="05990115">
            <w:pPr>
              <w:pStyle w:val="6"/>
              <w:spacing w:before="264" w:line="219" w:lineRule="auto"/>
              <w:ind w:left="19"/>
              <w:rPr>
                <w:sz w:val="23"/>
                <w:szCs w:val="23"/>
              </w:rPr>
            </w:pPr>
            <w:r>
              <w:rPr>
                <w:spacing w:val="-2"/>
                <w:sz w:val="23"/>
                <w:szCs w:val="23"/>
              </w:rPr>
              <w:t>合并统计效应指标</w:t>
            </w:r>
          </w:p>
        </w:tc>
        <w:tc>
          <w:tcPr>
            <w:tcW w:w="2840" w:type="dxa"/>
            <w:tcBorders>
              <w:top w:val="single" w:color="000000" w:sz="4" w:space="0"/>
            </w:tcBorders>
            <w:vAlign w:val="top"/>
          </w:tcPr>
          <w:p w14:paraId="2EF43511">
            <w:pPr>
              <w:pStyle w:val="6"/>
              <w:spacing w:before="73" w:line="201" w:lineRule="auto"/>
              <w:ind w:left="19"/>
              <w:rPr>
                <w:sz w:val="23"/>
                <w:szCs w:val="23"/>
              </w:rPr>
            </w:pPr>
            <w:r>
              <mc:AlternateContent>
                <mc:Choice Requires="wps">
                  <w:drawing>
                    <wp:anchor distT="0" distB="0" distL="0" distR="0" simplePos="0" relativeHeight="251935744" behindDoc="1" locked="0" layoutInCell="1" allowOverlap="1">
                      <wp:simplePos x="0" y="0"/>
                      <wp:positionH relativeFrom="column">
                        <wp:posOffset>0</wp:posOffset>
                      </wp:positionH>
                      <wp:positionV relativeFrom="paragraph">
                        <wp:posOffset>-3175</wp:posOffset>
                      </wp:positionV>
                      <wp:extent cx="3111500" cy="235585"/>
                      <wp:effectExtent l="0" t="0" r="0" b="0"/>
                      <wp:wrapNone/>
                      <wp:docPr id="754" name="Rect 754"/>
                      <wp:cNvGraphicFramePr/>
                      <a:graphic xmlns:a="http://schemas.openxmlformats.org/drawingml/2006/main">
                        <a:graphicData uri="http://schemas.microsoft.com/office/word/2010/wordprocessingShape">
                          <wps:wsp>
                            <wps:cNvSpPr/>
                            <wps:spPr>
                              <a:xfrm>
                                <a:off x="-35" y="-3500"/>
                                <a:ext cx="3111500" cy="235584"/>
                              </a:xfrm>
                              <a:prstGeom prst="rect">
                                <a:avLst/>
                              </a:prstGeom>
                              <a:solidFill>
                                <a:srgbClr val="D9D8D3"/>
                              </a:solidFill>
                              <a:ln w="0">
                                <a:noFill/>
                              </a:ln>
                            </wps:spPr>
                            <wps:style>
                              <a:lnRef idx="0">
                                <a:schemeClr val="accent1"/>
                              </a:lnRef>
                              <a:fillRef idx="0">
                                <a:schemeClr val="accent1"/>
                              </a:fillRef>
                              <a:effectRef idx="0">
                                <a:schemeClr val="accent1"/>
                              </a:effectRef>
                              <a:fontRef idx="minor">
                                <a:schemeClr val="dk1"/>
                              </a:fontRef>
                            </wps:style>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rect id="Rect 754" o:spid="_x0000_s1026" o:spt="1" style="position:absolute;left:0pt;margin-left:0pt;margin-top:-0.25pt;height:18.55pt;width:245pt;z-index:-251380736;mso-width-relative:page;mso-height-relative:page;" fillcolor="#D9D8D3" filled="t" stroked="f" coordsize="21600,21600" o:gfxdata="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AAAAABkcnMvUEsBAhQAFAAA&#10;AAgAh07iQLxCQYTVAAAABQEAAA8AAAAAAAAAAQAgAAAAIgAAAGRycy9kb3ducmV2LnhtbFBLAQIU&#10;ABQAAAAIAIdO4kCkYfI8LwIAAGwEAAAOAAAAAAAAAAEAIAAAACQBAABkcnMvZTJvRG9jLnhtbFBL&#10;BQYAAAAABgAGAFkBAADFBQAAAAA=&#10;">
                      <v:fill on="t" focussize="0,0"/>
                      <v:stroke on="f" weight="0pt"/>
                      <v:imagedata o:title=""/>
                      <o:lock v:ext="edit" aspectratio="f"/>
                      <v:textbox inset="0mm,0mm,0mm,0mm"/>
                    </v:rect>
                  </w:pict>
                </mc:Fallback>
              </mc:AlternateContent>
            </w:r>
            <w:r>
              <w:rPr>
                <w:spacing w:val="3"/>
                <w:sz w:val="23"/>
                <w:szCs w:val="23"/>
              </w:rPr>
              <w:t>统计学模型</w:t>
            </w:r>
          </w:p>
        </w:tc>
        <w:tc>
          <w:tcPr>
            <w:tcW w:w="2065" w:type="dxa"/>
            <w:vMerge w:val="restart"/>
            <w:tcBorders>
              <w:top w:val="single" w:color="000000" w:sz="4" w:space="0"/>
              <w:bottom w:val="nil"/>
            </w:tcBorders>
            <w:vAlign w:val="top"/>
          </w:tcPr>
          <w:p w14:paraId="642293D8">
            <w:pPr>
              <w:spacing w:line="365" w:lineRule="auto"/>
              <w:rPr>
                <w:rFonts w:ascii="Arial"/>
                <w:sz w:val="21"/>
              </w:rPr>
            </w:pPr>
          </w:p>
          <w:p w14:paraId="2A8639CA">
            <w:pPr>
              <w:pStyle w:val="6"/>
              <w:spacing w:before="75" w:line="219" w:lineRule="auto"/>
              <w:ind w:left="99"/>
              <w:rPr>
                <w:sz w:val="23"/>
                <w:szCs w:val="23"/>
              </w:rPr>
            </w:pPr>
            <w:r>
              <mc:AlternateContent>
                <mc:Choice Requires="wps">
                  <w:drawing>
                    <wp:anchor distT="0" distB="0" distL="0" distR="0" simplePos="0" relativeHeight="251933696" behindDoc="1" locked="0" layoutInCell="1" allowOverlap="1">
                      <wp:simplePos x="0" y="0"/>
                      <wp:positionH relativeFrom="column">
                        <wp:posOffset>-304800</wp:posOffset>
                      </wp:positionH>
                      <wp:positionV relativeFrom="paragraph">
                        <wp:posOffset>-1270</wp:posOffset>
                      </wp:positionV>
                      <wp:extent cx="1612900" cy="241300"/>
                      <wp:effectExtent l="0" t="0" r="0" b="0"/>
                      <wp:wrapNone/>
                      <wp:docPr id="756" name="Rect 756"/>
                      <wp:cNvGraphicFramePr/>
                      <a:graphic xmlns:a="http://schemas.openxmlformats.org/drawingml/2006/main">
                        <a:graphicData uri="http://schemas.microsoft.com/office/word/2010/wordprocessingShape">
                          <wps:wsp>
                            <wps:cNvSpPr/>
                            <wps:spPr>
                              <a:xfrm>
                                <a:off x="-304830" y="-1709"/>
                                <a:ext cx="1612900" cy="241300"/>
                              </a:xfrm>
                              <a:prstGeom prst="rect">
                                <a:avLst/>
                              </a:prstGeom>
                              <a:solidFill>
                                <a:srgbClr val="D4D4D0"/>
                              </a:solidFill>
                              <a:ln w="0">
                                <a:noFill/>
                              </a:ln>
                            </wps:spPr>
                            <wps:style>
                              <a:lnRef idx="0">
                                <a:schemeClr val="accent1"/>
                              </a:lnRef>
                              <a:fillRef idx="0">
                                <a:schemeClr val="accent1"/>
                              </a:fillRef>
                              <a:effectRef idx="0">
                                <a:schemeClr val="accent1"/>
                              </a:effectRef>
                              <a:fontRef idx="minor">
                                <a:schemeClr val="dk1"/>
                              </a:fontRef>
                            </wps:style>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rect id="Rect 756" o:spid="_x0000_s1026" o:spt="1" style="position:absolute;left:0pt;margin-left:-24pt;margin-top:-0.1pt;height:19pt;width:127pt;z-index:-251382784;mso-width-relative:page;mso-height-relative:page;" fillcolor="#D4D4D0" filled="t" stroked="f" coordsize="21600,21600" o:gfxdata="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">
                      <v:fill on="t" focussize="0,0"/>
                      <v:stroke on="f" weight="0pt"/>
                      <v:imagedata o:title=""/>
                      <o:lock v:ext="edit" aspectratio="f"/>
                      <v:textbox inset="0mm,0mm,0mm,0mm"/>
                    </v:rect>
                  </w:pict>
                </mc:Fallback>
              </mc:AlternateContent>
            </w:r>
            <w:r>
              <w:rPr>
                <w:spacing w:val="2"/>
                <w:sz w:val="23"/>
                <w:szCs w:val="23"/>
              </w:rPr>
              <w:t>随机效应模型</w:t>
            </w:r>
          </w:p>
        </w:tc>
      </w:tr>
      <w:tr w14:paraId="21666713">
        <w:trPr>
          <w:trHeight w:val="409" w:hRule="atLeast"/>
        </w:trPr>
        <w:tc>
          <w:tcPr>
            <w:tcW w:w="1450" w:type="dxa"/>
            <w:vMerge w:val="continue"/>
            <w:tcBorders>
              <w:top w:val="nil"/>
              <w:bottom w:val="single" w:color="000000" w:sz="4" w:space="0"/>
            </w:tcBorders>
            <w:vAlign w:val="top"/>
          </w:tcPr>
          <w:p w14:paraId="4EFA098D">
            <w:pPr>
              <w:rPr>
                <w:rFonts w:ascii="Arial"/>
                <w:sz w:val="21"/>
              </w:rPr>
            </w:pPr>
          </w:p>
        </w:tc>
        <w:tc>
          <w:tcPr>
            <w:tcW w:w="2260" w:type="dxa"/>
            <w:vMerge w:val="continue"/>
            <w:tcBorders>
              <w:top w:val="nil"/>
              <w:bottom w:val="single" w:color="000000" w:sz="4" w:space="0"/>
            </w:tcBorders>
            <w:vAlign w:val="top"/>
          </w:tcPr>
          <w:p w14:paraId="1430D1E4">
            <w:pPr>
              <w:rPr>
                <w:rFonts w:ascii="Arial"/>
                <w:sz w:val="21"/>
              </w:rPr>
            </w:pPr>
          </w:p>
        </w:tc>
        <w:tc>
          <w:tcPr>
            <w:tcW w:w="2840" w:type="dxa"/>
            <w:tcBorders>
              <w:bottom w:val="single" w:color="000000" w:sz="4" w:space="0"/>
            </w:tcBorders>
            <w:vAlign w:val="top"/>
          </w:tcPr>
          <w:p w14:paraId="5CDAC038">
            <w:pPr>
              <w:pStyle w:val="6"/>
              <w:spacing w:before="31" w:line="368" w:lineRule="exact"/>
            </w:pPr>
            <w:r>
              <w:rPr>
                <w:position w:val="-8"/>
              </w:rPr>
              <w:pict>
                <v:shape id="_x0000_s1236" o:spid="_x0000_s1236" o:spt="202" type="#_x0000_t202" style="height:19pt;width:118.05pt;" fillcolor="#D8D8D5" filled="t" stroked="f" coordsize="21600,21600">
                  <v:path/>
                  <v:fill on="t" focussize="0,0"/>
                  <v:stroke on="f"/>
                  <v:imagedata o:title=""/>
                  <o:lock v:ext="edit" aspectratio="f"/>
                  <v:textbox inset="0mm,0mm,0mm,0mm">
                    <w:txbxContent>
                      <w:p w14:paraId="6A13B08B">
                        <w:pPr>
                          <w:spacing w:before="79" w:line="219" w:lineRule="auto"/>
                          <w:ind w:left="270"/>
                          <w:rPr>
                            <w:rFonts w:ascii="宋体" w:hAnsi="宋体" w:eastAsia="宋体" w:cs="宋体"/>
                            <w:sz w:val="23"/>
                            <w:szCs w:val="23"/>
                          </w:rPr>
                        </w:pPr>
                        <w:r>
                          <w:rPr>
                            <w:rFonts w:ascii="宋体" w:hAnsi="宋体" w:eastAsia="宋体" w:cs="宋体"/>
                            <w:spacing w:val="2"/>
                            <w:sz w:val="23"/>
                            <w:szCs w:val="23"/>
                          </w:rPr>
                          <w:t>固定效应模型</w:t>
                        </w:r>
                      </w:p>
                    </w:txbxContent>
                  </v:textbox>
                  <w10:wrap type="none"/>
                  <w10:anchorlock/>
                </v:shape>
              </w:pict>
            </w:r>
          </w:p>
        </w:tc>
        <w:tc>
          <w:tcPr>
            <w:tcW w:w="2065" w:type="dxa"/>
            <w:vMerge w:val="continue"/>
            <w:tcBorders>
              <w:top w:val="nil"/>
              <w:bottom w:val="single" w:color="000000" w:sz="4" w:space="0"/>
            </w:tcBorders>
            <w:vAlign w:val="top"/>
          </w:tcPr>
          <w:p w14:paraId="5C6ACA2F">
            <w:pPr>
              <w:rPr>
                <w:rFonts w:ascii="Arial"/>
                <w:sz w:val="21"/>
              </w:rPr>
            </w:pPr>
          </w:p>
        </w:tc>
      </w:tr>
      <w:tr w14:paraId="6C876EDA">
        <w:trPr>
          <w:trHeight w:val="2963" w:hRule="atLeast"/>
        </w:trPr>
        <w:tc>
          <w:tcPr>
            <w:tcW w:w="1450" w:type="dxa"/>
            <w:tcBorders>
              <w:top w:val="single" w:color="000000" w:sz="4" w:space="0"/>
              <w:bottom w:val="single" w:color="000000" w:sz="4" w:space="0"/>
            </w:tcBorders>
            <w:vAlign w:val="top"/>
          </w:tcPr>
          <w:p w14:paraId="208A907D">
            <w:pPr>
              <w:spacing w:line="276" w:lineRule="auto"/>
              <w:rPr>
                <w:rFonts w:ascii="Arial"/>
                <w:sz w:val="21"/>
              </w:rPr>
            </w:pPr>
          </w:p>
          <w:p w14:paraId="5775582F">
            <w:pPr>
              <w:spacing w:line="277" w:lineRule="auto"/>
              <w:rPr>
                <w:rFonts w:ascii="Arial"/>
                <w:sz w:val="21"/>
              </w:rPr>
            </w:pPr>
          </w:p>
          <w:p w14:paraId="3012218B">
            <w:pPr>
              <w:pStyle w:val="6"/>
              <w:spacing w:before="75" w:line="219" w:lineRule="auto"/>
              <w:ind w:left="269"/>
              <w:rPr>
                <w:sz w:val="23"/>
                <w:szCs w:val="23"/>
              </w:rPr>
            </w:pPr>
            <w:r>
              <w:rPr>
                <w:spacing w:val="-2"/>
                <w:sz w:val="23"/>
                <w:szCs w:val="23"/>
              </w:rPr>
              <w:t>计数资料</w:t>
            </w:r>
          </w:p>
        </w:tc>
        <w:tc>
          <w:tcPr>
            <w:tcW w:w="2260" w:type="dxa"/>
            <w:tcBorders>
              <w:top w:val="single" w:color="000000" w:sz="4" w:space="0"/>
              <w:bottom w:val="single" w:color="000000" w:sz="4" w:space="0"/>
            </w:tcBorders>
            <w:vAlign w:val="top"/>
          </w:tcPr>
          <w:p w14:paraId="0DFA05E1">
            <w:pPr>
              <w:pStyle w:val="6"/>
              <w:spacing w:before="81" w:line="219" w:lineRule="auto"/>
              <w:ind w:left="19"/>
              <w:rPr>
                <w:sz w:val="23"/>
                <w:szCs w:val="23"/>
              </w:rPr>
            </w:pPr>
            <w:r>
              <w:rPr>
                <w:spacing w:val="10"/>
                <w:sz w:val="23"/>
                <w:szCs w:val="23"/>
              </w:rPr>
              <w:t>比值比(</w:t>
            </w:r>
            <w:r>
              <w:rPr>
                <w:sz w:val="23"/>
                <w:szCs w:val="23"/>
              </w:rPr>
              <w:t>OR</w:t>
            </w:r>
            <w:r>
              <w:rPr>
                <w:spacing w:val="10"/>
                <w:sz w:val="23"/>
                <w:szCs w:val="23"/>
              </w:rPr>
              <w:t>)</w:t>
            </w:r>
          </w:p>
          <w:p w14:paraId="328AE40C">
            <w:pPr>
              <w:spacing w:line="281" w:lineRule="auto"/>
              <w:rPr>
                <w:rFonts w:ascii="Arial"/>
                <w:sz w:val="21"/>
              </w:rPr>
            </w:pPr>
          </w:p>
          <w:p w14:paraId="0B1FD0D5">
            <w:pPr>
              <w:spacing w:line="281" w:lineRule="auto"/>
              <w:rPr>
                <w:rFonts w:ascii="Arial"/>
                <w:sz w:val="21"/>
              </w:rPr>
            </w:pPr>
          </w:p>
          <w:p w14:paraId="19F4276C">
            <w:pPr>
              <w:spacing w:line="281" w:lineRule="auto"/>
              <w:rPr>
                <w:rFonts w:ascii="Arial"/>
                <w:sz w:val="21"/>
              </w:rPr>
            </w:pPr>
          </w:p>
          <w:p w14:paraId="4C632BE4">
            <w:pPr>
              <w:spacing w:line="282" w:lineRule="auto"/>
              <w:rPr>
                <w:rFonts w:ascii="Arial"/>
                <w:sz w:val="21"/>
              </w:rPr>
            </w:pPr>
          </w:p>
          <w:p w14:paraId="3C5DCD93">
            <w:pPr>
              <w:pStyle w:val="6"/>
              <w:spacing w:before="75" w:line="219" w:lineRule="auto"/>
              <w:ind w:left="19"/>
              <w:rPr>
                <w:sz w:val="23"/>
                <w:szCs w:val="23"/>
              </w:rPr>
            </w:pPr>
            <w:r>
              <w:rPr>
                <w:spacing w:val="12"/>
                <w:sz w:val="23"/>
                <w:szCs w:val="23"/>
              </w:rPr>
              <w:t>率比(</w:t>
            </w:r>
            <w:r>
              <w:rPr>
                <w:sz w:val="23"/>
                <w:szCs w:val="23"/>
              </w:rPr>
              <w:t>RR</w:t>
            </w:r>
            <w:r>
              <w:rPr>
                <w:spacing w:val="12"/>
                <w:sz w:val="23"/>
                <w:szCs w:val="23"/>
              </w:rPr>
              <w:t>)</w:t>
            </w:r>
          </w:p>
          <w:p w14:paraId="471D5923">
            <w:pPr>
              <w:spacing w:line="389" w:lineRule="auto"/>
              <w:rPr>
                <w:rFonts w:ascii="Arial"/>
                <w:sz w:val="21"/>
              </w:rPr>
            </w:pPr>
          </w:p>
          <w:p w14:paraId="153A4ACE">
            <w:pPr>
              <w:pStyle w:val="6"/>
              <w:spacing w:before="75" w:line="219" w:lineRule="auto"/>
              <w:ind w:left="19"/>
              <w:rPr>
                <w:sz w:val="23"/>
                <w:szCs w:val="23"/>
              </w:rPr>
            </w:pPr>
            <w:r>
              <w:rPr>
                <w:spacing w:val="12"/>
                <w:sz w:val="23"/>
                <w:szCs w:val="23"/>
              </w:rPr>
              <w:t>率差(</w:t>
            </w:r>
            <w:r>
              <w:rPr>
                <w:sz w:val="23"/>
                <w:szCs w:val="23"/>
              </w:rPr>
              <w:t>RD</w:t>
            </w:r>
            <w:r>
              <w:rPr>
                <w:spacing w:val="12"/>
                <w:sz w:val="23"/>
                <w:szCs w:val="23"/>
              </w:rPr>
              <w:t>)</w:t>
            </w:r>
          </w:p>
        </w:tc>
        <w:tc>
          <w:tcPr>
            <w:tcW w:w="2840" w:type="dxa"/>
            <w:tcBorders>
              <w:top w:val="single" w:color="000000" w:sz="4" w:space="0"/>
              <w:bottom w:val="single" w:color="000000" w:sz="4" w:space="0"/>
            </w:tcBorders>
            <w:vAlign w:val="top"/>
          </w:tcPr>
          <w:p w14:paraId="5DD6B44E">
            <w:pPr>
              <w:pStyle w:val="6"/>
              <w:spacing w:before="83" w:line="309" w:lineRule="auto"/>
              <w:ind w:left="269" w:right="4"/>
              <w:rPr>
                <w:sz w:val="23"/>
                <w:szCs w:val="23"/>
              </w:rPr>
            </w:pPr>
            <w:r>
              <w:rPr>
                <w:spacing w:val="-8"/>
                <w:sz w:val="23"/>
                <w:szCs w:val="23"/>
              </w:rPr>
              <w:t>Mantel-Haenszel(M-H)</w:t>
            </w:r>
            <w:r>
              <w:rPr>
                <w:spacing w:val="-9"/>
                <w:sz w:val="23"/>
                <w:szCs w:val="23"/>
              </w:rPr>
              <w:t>DerS</w:t>
            </w:r>
            <w:r>
              <w:rPr>
                <w:sz w:val="23"/>
                <w:szCs w:val="23"/>
              </w:rPr>
              <w:t xml:space="preserve"> </w:t>
            </w:r>
            <w:r>
              <w:rPr>
                <w:spacing w:val="-9"/>
                <w:sz w:val="23"/>
                <w:szCs w:val="23"/>
              </w:rPr>
              <w:t>inverse variance(IV)</w:t>
            </w:r>
          </w:p>
          <w:p w14:paraId="556261E2">
            <w:pPr>
              <w:pStyle w:val="6"/>
              <w:spacing w:before="28" w:line="182" w:lineRule="auto"/>
              <w:ind w:left="269"/>
              <w:rPr>
                <w:sz w:val="23"/>
                <w:szCs w:val="23"/>
              </w:rPr>
            </w:pPr>
            <w:r>
              <w:rPr>
                <w:spacing w:val="-2"/>
                <w:sz w:val="23"/>
                <w:szCs w:val="23"/>
              </w:rPr>
              <w:t>Peto</w:t>
            </w:r>
          </w:p>
          <w:p w14:paraId="010069CF">
            <w:pPr>
              <w:pStyle w:val="6"/>
              <w:spacing w:before="105"/>
              <w:ind w:left="269"/>
              <w:rPr>
                <w:sz w:val="23"/>
                <w:szCs w:val="23"/>
              </w:rPr>
            </w:pPr>
            <w:r>
              <w:rPr>
                <w:spacing w:val="-1"/>
                <w:sz w:val="23"/>
                <w:szCs w:val="23"/>
              </w:rPr>
              <w:t>Fleiss</w:t>
            </w:r>
          </w:p>
          <w:p w14:paraId="7526A6BF">
            <w:pPr>
              <w:pStyle w:val="6"/>
              <w:spacing w:before="51" w:line="297" w:lineRule="auto"/>
              <w:ind w:left="269" w:right="4"/>
              <w:rPr>
                <w:sz w:val="23"/>
                <w:szCs w:val="23"/>
              </w:rPr>
            </w:pPr>
            <w:r>
              <w:rPr>
                <w:spacing w:val="-8"/>
                <w:sz w:val="23"/>
                <w:szCs w:val="23"/>
              </w:rPr>
              <w:t>Mantel-Haenszel(M-H)</w:t>
            </w:r>
            <w:r>
              <w:rPr>
                <w:spacing w:val="-9"/>
                <w:sz w:val="23"/>
                <w:szCs w:val="23"/>
              </w:rPr>
              <w:t>DerS</w:t>
            </w:r>
            <w:r>
              <w:rPr>
                <w:sz w:val="23"/>
                <w:szCs w:val="23"/>
              </w:rPr>
              <w:t xml:space="preserve"> </w:t>
            </w:r>
            <w:r>
              <w:rPr>
                <w:spacing w:val="-9"/>
                <w:sz w:val="23"/>
                <w:szCs w:val="23"/>
              </w:rPr>
              <w:t>inverse variance(IV)</w:t>
            </w:r>
          </w:p>
          <w:p w14:paraId="1DA17C62">
            <w:pPr>
              <w:pStyle w:val="6"/>
              <w:spacing w:line="260" w:lineRule="auto"/>
              <w:ind w:left="269" w:right="4"/>
              <w:rPr>
                <w:sz w:val="23"/>
                <w:szCs w:val="23"/>
              </w:rPr>
            </w:pPr>
            <w:r>
              <w:rPr>
                <w:spacing w:val="-8"/>
                <w:sz w:val="23"/>
                <w:szCs w:val="23"/>
              </w:rPr>
              <w:t>Mantel-Haenszel(M-H)</w:t>
            </w:r>
            <w:r>
              <w:rPr>
                <w:spacing w:val="-9"/>
                <w:sz w:val="23"/>
                <w:szCs w:val="23"/>
              </w:rPr>
              <w:t>DerS</w:t>
            </w:r>
            <w:r>
              <w:rPr>
                <w:sz w:val="23"/>
                <w:szCs w:val="23"/>
              </w:rPr>
              <w:t xml:space="preserve"> </w:t>
            </w:r>
            <w:r>
              <w:rPr>
                <w:spacing w:val="-9"/>
                <w:sz w:val="23"/>
                <w:szCs w:val="23"/>
              </w:rPr>
              <w:t>inverse variance(IV)</w:t>
            </w:r>
          </w:p>
        </w:tc>
        <w:tc>
          <w:tcPr>
            <w:tcW w:w="2065" w:type="dxa"/>
            <w:tcBorders>
              <w:top w:val="single" w:color="000000" w:sz="4" w:space="0"/>
              <w:bottom w:val="single" w:color="000000" w:sz="4" w:space="0"/>
            </w:tcBorders>
            <w:vAlign w:val="top"/>
          </w:tcPr>
          <w:p w14:paraId="5B46DCE0">
            <w:pPr>
              <w:pStyle w:val="6"/>
              <w:spacing w:before="85" w:line="222" w:lineRule="auto"/>
              <w:jc w:val="right"/>
              <w:rPr>
                <w:sz w:val="23"/>
                <w:szCs w:val="23"/>
              </w:rPr>
            </w:pPr>
            <w:r>
              <w:rPr>
                <w:spacing w:val="-2"/>
                <w:sz w:val="23"/>
                <w:szCs w:val="23"/>
              </w:rPr>
              <w:t>imonian-Laird(D-L)</w:t>
            </w:r>
          </w:p>
          <w:p w14:paraId="2C63F356">
            <w:pPr>
              <w:spacing w:line="280" w:lineRule="auto"/>
              <w:rPr>
                <w:rFonts w:ascii="Arial"/>
                <w:sz w:val="21"/>
              </w:rPr>
            </w:pPr>
          </w:p>
          <w:p w14:paraId="7EF2199A">
            <w:pPr>
              <w:spacing w:line="280" w:lineRule="auto"/>
              <w:rPr>
                <w:rFonts w:ascii="Arial"/>
                <w:sz w:val="21"/>
              </w:rPr>
            </w:pPr>
          </w:p>
          <w:p w14:paraId="3FC73F31">
            <w:pPr>
              <w:spacing w:line="280" w:lineRule="auto"/>
              <w:rPr>
                <w:rFonts w:ascii="Arial"/>
                <w:sz w:val="21"/>
              </w:rPr>
            </w:pPr>
          </w:p>
          <w:p w14:paraId="6CA52574">
            <w:pPr>
              <w:spacing w:line="281" w:lineRule="auto"/>
              <w:rPr>
                <w:rFonts w:ascii="Arial"/>
                <w:sz w:val="21"/>
              </w:rPr>
            </w:pPr>
          </w:p>
          <w:p w14:paraId="404CA3C0">
            <w:pPr>
              <w:pStyle w:val="6"/>
              <w:spacing w:before="75" w:line="222" w:lineRule="auto"/>
              <w:jc w:val="right"/>
              <w:rPr>
                <w:sz w:val="23"/>
                <w:szCs w:val="23"/>
              </w:rPr>
            </w:pPr>
            <w:r>
              <w:rPr>
                <w:spacing w:val="-2"/>
                <w:sz w:val="23"/>
                <w:szCs w:val="23"/>
              </w:rPr>
              <w:t>imonian-Laird(D-L)</w:t>
            </w:r>
          </w:p>
          <w:p w14:paraId="430239C1">
            <w:pPr>
              <w:spacing w:line="386" w:lineRule="auto"/>
              <w:rPr>
                <w:rFonts w:ascii="Arial"/>
                <w:sz w:val="21"/>
              </w:rPr>
            </w:pPr>
          </w:p>
          <w:p w14:paraId="2840EBFD">
            <w:pPr>
              <w:pStyle w:val="6"/>
              <w:spacing w:before="74" w:line="222" w:lineRule="auto"/>
              <w:jc w:val="right"/>
              <w:rPr>
                <w:sz w:val="23"/>
                <w:szCs w:val="23"/>
              </w:rPr>
            </w:pPr>
            <w:r>
              <w:rPr>
                <w:spacing w:val="-2"/>
                <w:sz w:val="23"/>
                <w:szCs w:val="23"/>
              </w:rPr>
              <w:t>imonian-Laird(D-L)</w:t>
            </w:r>
          </w:p>
        </w:tc>
      </w:tr>
      <w:tr w14:paraId="20FE5CBB">
        <w:trPr>
          <w:trHeight w:val="349" w:hRule="atLeast"/>
        </w:trPr>
        <w:tc>
          <w:tcPr>
            <w:tcW w:w="1450" w:type="dxa"/>
            <w:vMerge w:val="restart"/>
            <w:tcBorders>
              <w:top w:val="single" w:color="000000" w:sz="4" w:space="0"/>
              <w:bottom w:val="nil"/>
            </w:tcBorders>
            <w:vAlign w:val="top"/>
          </w:tcPr>
          <w:p w14:paraId="4E77DAD1">
            <w:pPr>
              <w:pStyle w:val="6"/>
              <w:spacing w:before="259" w:line="220" w:lineRule="auto"/>
              <w:ind w:left="269"/>
              <w:rPr>
                <w:sz w:val="23"/>
                <w:szCs w:val="23"/>
              </w:rPr>
            </w:pPr>
            <w:r>
              <w:rPr>
                <w:spacing w:val="-2"/>
                <w:sz w:val="23"/>
                <w:szCs w:val="23"/>
              </w:rPr>
              <w:t>计量资料</w:t>
            </w:r>
          </w:p>
        </w:tc>
        <w:tc>
          <w:tcPr>
            <w:tcW w:w="2260" w:type="dxa"/>
            <w:tcBorders>
              <w:top w:val="single" w:color="000000" w:sz="4" w:space="0"/>
            </w:tcBorders>
            <w:vAlign w:val="top"/>
          </w:tcPr>
          <w:p w14:paraId="52AB9A23">
            <w:pPr>
              <w:pStyle w:val="6"/>
              <w:spacing w:before="68" w:line="217" w:lineRule="auto"/>
              <w:ind w:left="19"/>
              <w:rPr>
                <w:sz w:val="23"/>
                <w:szCs w:val="23"/>
              </w:rPr>
            </w:pPr>
            <w:r>
              <w:rPr>
                <w:spacing w:val="10"/>
                <w:sz w:val="23"/>
                <w:szCs w:val="23"/>
              </w:rPr>
              <w:t>均数差(</w:t>
            </w:r>
            <w:r>
              <w:rPr>
                <w:sz w:val="23"/>
                <w:szCs w:val="23"/>
              </w:rPr>
              <w:t>MD</w:t>
            </w:r>
            <w:r>
              <w:rPr>
                <w:spacing w:val="10"/>
                <w:sz w:val="23"/>
                <w:szCs w:val="23"/>
              </w:rPr>
              <w:t>)</w:t>
            </w:r>
          </w:p>
        </w:tc>
        <w:tc>
          <w:tcPr>
            <w:tcW w:w="2840" w:type="dxa"/>
            <w:tcBorders>
              <w:top w:val="single" w:color="000000" w:sz="4" w:space="0"/>
            </w:tcBorders>
            <w:vAlign w:val="top"/>
          </w:tcPr>
          <w:p w14:paraId="12D18475">
            <w:pPr>
              <w:pStyle w:val="6"/>
              <w:spacing w:before="72" w:line="214" w:lineRule="auto"/>
              <w:ind w:right="4"/>
              <w:jc w:val="right"/>
              <w:rPr>
                <w:sz w:val="23"/>
                <w:szCs w:val="23"/>
              </w:rPr>
            </w:pPr>
            <w:r>
              <mc:AlternateContent>
                <mc:Choice Requires="wps">
                  <w:drawing>
                    <wp:anchor distT="0" distB="0" distL="0" distR="0" simplePos="0" relativeHeight="251932672" behindDoc="1" locked="0" layoutInCell="1" allowOverlap="1">
                      <wp:simplePos x="0" y="0"/>
                      <wp:positionH relativeFrom="column">
                        <wp:posOffset>1497965</wp:posOffset>
                      </wp:positionH>
                      <wp:positionV relativeFrom="paragraph">
                        <wp:posOffset>0</wp:posOffset>
                      </wp:positionV>
                      <wp:extent cx="1612900" cy="228600"/>
                      <wp:effectExtent l="0" t="0" r="0" b="0"/>
                      <wp:wrapNone/>
                      <wp:docPr id="758" name="Rect 758"/>
                      <wp:cNvGraphicFramePr/>
                      <a:graphic xmlns:a="http://schemas.openxmlformats.org/drawingml/2006/main">
                        <a:graphicData uri="http://schemas.microsoft.com/office/word/2010/wordprocessingShape">
                          <wps:wsp>
                            <wps:cNvSpPr/>
                            <wps:spPr>
                              <a:xfrm>
                                <a:off x="1498569" y="-294"/>
                                <a:ext cx="1612900" cy="228600"/>
                              </a:xfrm>
                              <a:prstGeom prst="rect">
                                <a:avLst/>
                              </a:prstGeom>
                              <a:solidFill>
                                <a:srgbClr val="E8E2E1"/>
                              </a:solidFill>
                              <a:ln w="0">
                                <a:noFill/>
                              </a:ln>
                            </wps:spPr>
                            <wps:style>
                              <a:lnRef idx="0">
                                <a:schemeClr val="accent1"/>
                              </a:lnRef>
                              <a:fillRef idx="0">
                                <a:schemeClr val="accent1"/>
                              </a:fillRef>
                              <a:effectRef idx="0">
                                <a:schemeClr val="accent1"/>
                              </a:effectRef>
                              <a:fontRef idx="minor">
                                <a:schemeClr val="dk1"/>
                              </a:fontRef>
                            </wps:style>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rect id="Rect 758" o:spid="_x0000_s1026" o:spt="1" style="position:absolute;left:0pt;margin-left:117.95pt;margin-top:0pt;height:18pt;width:127pt;z-index:-251383808;mso-width-relative:page;mso-height-relative:page;" fillcolor="#E8E2E1" filled="t" stroked="f" coordsize="21600,21600" o:gfxdata="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">
                      <v:fill on="t" focussize="0,0"/>
                      <v:stroke on="f" weight="0pt"/>
                      <v:imagedata o:title=""/>
                      <o:lock v:ext="edit" aspectratio="f"/>
                      <v:textbox inset="0mm,0mm,0mm,0mm"/>
                    </v:rect>
                  </w:pict>
                </mc:Fallback>
              </mc:AlternateContent>
            </w:r>
            <w:r>
              <w:rPr>
                <w:spacing w:val="-8"/>
                <w:sz w:val="23"/>
                <w:szCs w:val="23"/>
              </w:rPr>
              <w:t>inverse variance(IV)</w:t>
            </w:r>
            <w:r>
              <w:rPr>
                <w:spacing w:val="-9"/>
                <w:sz w:val="23"/>
                <w:szCs w:val="23"/>
              </w:rPr>
              <w:t>DerS</w:t>
            </w:r>
          </w:p>
        </w:tc>
        <w:tc>
          <w:tcPr>
            <w:tcW w:w="2065" w:type="dxa"/>
            <w:tcBorders>
              <w:top w:val="single" w:color="000000" w:sz="4" w:space="0"/>
            </w:tcBorders>
            <w:vAlign w:val="top"/>
          </w:tcPr>
          <w:p w14:paraId="4F0EDCF2">
            <w:pPr>
              <w:pStyle w:val="6"/>
              <w:spacing w:before="72" w:line="214" w:lineRule="auto"/>
              <w:jc w:val="right"/>
              <w:rPr>
                <w:sz w:val="23"/>
                <w:szCs w:val="23"/>
              </w:rPr>
            </w:pPr>
            <w:r>
              <w:rPr>
                <w:spacing w:val="-2"/>
                <w:sz w:val="23"/>
                <w:szCs w:val="23"/>
              </w:rPr>
              <w:t>imonian-Laird(D-L)</w:t>
            </w:r>
          </w:p>
        </w:tc>
      </w:tr>
      <w:tr w14:paraId="7F4B889B">
        <w:trPr>
          <w:trHeight w:val="374" w:hRule="atLeast"/>
        </w:trPr>
        <w:tc>
          <w:tcPr>
            <w:tcW w:w="1450" w:type="dxa"/>
            <w:vMerge w:val="continue"/>
            <w:tcBorders>
              <w:top w:val="nil"/>
              <w:bottom w:val="single" w:color="000000" w:sz="4" w:space="0"/>
            </w:tcBorders>
            <w:vAlign w:val="top"/>
          </w:tcPr>
          <w:p w14:paraId="4E94B58C">
            <w:pPr>
              <w:rPr>
                <w:rFonts w:ascii="Arial"/>
                <w:sz w:val="21"/>
              </w:rPr>
            </w:pPr>
          </w:p>
        </w:tc>
        <w:tc>
          <w:tcPr>
            <w:tcW w:w="2260" w:type="dxa"/>
            <w:tcBorders>
              <w:bottom w:val="single" w:color="000000" w:sz="4" w:space="0"/>
            </w:tcBorders>
            <w:shd w:val="clear" w:color="auto" w:fill="ECEBEE"/>
            <w:vAlign w:val="top"/>
          </w:tcPr>
          <w:p w14:paraId="3F6BFD80">
            <w:pPr>
              <w:pStyle w:val="6"/>
              <w:spacing w:before="89" w:line="219" w:lineRule="auto"/>
              <w:ind w:left="19"/>
              <w:rPr>
                <w:sz w:val="23"/>
                <w:szCs w:val="23"/>
              </w:rPr>
            </w:pPr>
            <w:r>
              <w:rPr>
                <w:spacing w:val="5"/>
                <w:sz w:val="23"/>
                <w:szCs w:val="23"/>
              </w:rPr>
              <w:t>标准化均数差(</w:t>
            </w:r>
            <w:r>
              <w:rPr>
                <w:sz w:val="23"/>
                <w:szCs w:val="23"/>
              </w:rPr>
              <w:t>SMD</w:t>
            </w:r>
            <w:r>
              <w:rPr>
                <w:spacing w:val="5"/>
                <w:sz w:val="23"/>
                <w:szCs w:val="23"/>
              </w:rPr>
              <w:t>)</w:t>
            </w:r>
          </w:p>
        </w:tc>
        <w:tc>
          <w:tcPr>
            <w:tcW w:w="2840" w:type="dxa"/>
            <w:tcBorders>
              <w:bottom w:val="single" w:color="000000" w:sz="4" w:space="0"/>
            </w:tcBorders>
            <w:vAlign w:val="top"/>
          </w:tcPr>
          <w:p w14:paraId="1C033669">
            <w:pPr>
              <w:pStyle w:val="6"/>
              <w:spacing w:before="92" w:line="218" w:lineRule="auto"/>
              <w:ind w:right="4"/>
              <w:jc w:val="right"/>
              <w:rPr>
                <w:sz w:val="23"/>
                <w:szCs w:val="23"/>
              </w:rPr>
            </w:pPr>
            <w:r>
              <mc:AlternateContent>
                <mc:Choice Requires="wps">
                  <w:drawing>
                    <wp:anchor distT="0" distB="0" distL="0" distR="0" simplePos="0" relativeHeight="251936768" behindDoc="1" locked="0" layoutInCell="1" allowOverlap="1">
                      <wp:simplePos x="0" y="0"/>
                      <wp:positionH relativeFrom="column">
                        <wp:posOffset>1497965</wp:posOffset>
                      </wp:positionH>
                      <wp:positionV relativeFrom="paragraph">
                        <wp:posOffset>5715</wp:posOffset>
                      </wp:positionV>
                      <wp:extent cx="1612900" cy="235585"/>
                      <wp:effectExtent l="0" t="0" r="0" b="0"/>
                      <wp:wrapNone/>
                      <wp:docPr id="760" name="Rect 760"/>
                      <wp:cNvGraphicFramePr/>
                      <a:graphic xmlns:a="http://schemas.openxmlformats.org/drawingml/2006/main">
                        <a:graphicData uri="http://schemas.microsoft.com/office/word/2010/wordprocessingShape">
                          <wps:wsp>
                            <wps:cNvSpPr/>
                            <wps:spPr>
                              <a:xfrm>
                                <a:off x="1498569" y="6007"/>
                                <a:ext cx="1612900" cy="235584"/>
                              </a:xfrm>
                              <a:prstGeom prst="rect">
                                <a:avLst/>
                              </a:prstGeom>
                              <a:solidFill>
                                <a:srgbClr val="E4DEDB"/>
                              </a:solidFill>
                              <a:ln w="0">
                                <a:noFill/>
                              </a:ln>
                            </wps:spPr>
                            <wps:style>
                              <a:lnRef idx="0">
                                <a:schemeClr val="accent1"/>
                              </a:lnRef>
                              <a:fillRef idx="0">
                                <a:schemeClr val="accent1"/>
                              </a:fillRef>
                              <a:effectRef idx="0">
                                <a:schemeClr val="accent1"/>
                              </a:effectRef>
                              <a:fontRef idx="minor">
                                <a:schemeClr val="dk1"/>
                              </a:fontRef>
                            </wps:style>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rect id="Rect 760" o:spid="_x0000_s1026" o:spt="1" style="position:absolute;left:0pt;margin-left:117.95pt;margin-top:0.45pt;height:18.55pt;width:127pt;z-index:-251379712;mso-width-relative:page;mso-height-relative:page;" fillcolor="#E4DEDB" filled="t" stroked="f" coordsize="21600,21600" o:gfxdata="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">
                      <v:fill on="t" focussize="0,0"/>
                      <v:stroke on="f" weight="0pt"/>
                      <v:imagedata o:title=""/>
                      <o:lock v:ext="edit" aspectratio="f"/>
                      <v:textbox inset="0mm,0mm,0mm,0mm"/>
                    </v:rect>
                  </w:pict>
                </mc:Fallback>
              </mc:AlternateContent>
            </w:r>
            <w:r>
              <mc:AlternateContent>
                <mc:Choice Requires="wps">
                  <w:drawing>
                    <wp:anchor distT="0" distB="0" distL="0" distR="0" simplePos="0" relativeHeight="251934720" behindDoc="1" locked="0" layoutInCell="1" allowOverlap="1">
                      <wp:simplePos x="0" y="0"/>
                      <wp:positionH relativeFrom="column">
                        <wp:posOffset>0</wp:posOffset>
                      </wp:positionH>
                      <wp:positionV relativeFrom="paragraph">
                        <wp:posOffset>5715</wp:posOffset>
                      </wp:positionV>
                      <wp:extent cx="1499235" cy="235585"/>
                      <wp:effectExtent l="0" t="0" r="0" b="0"/>
                      <wp:wrapNone/>
                      <wp:docPr id="762" name="Rect 762"/>
                      <wp:cNvGraphicFramePr/>
                      <a:graphic xmlns:a="http://schemas.openxmlformats.org/drawingml/2006/main">
                        <a:graphicData uri="http://schemas.microsoft.com/office/word/2010/wordprocessingShape">
                          <wps:wsp>
                            <wps:cNvSpPr/>
                            <wps:spPr>
                              <a:xfrm>
                                <a:off x="-35" y="6007"/>
                                <a:ext cx="1499235" cy="235584"/>
                              </a:xfrm>
                              <a:prstGeom prst="rect">
                                <a:avLst/>
                              </a:prstGeom>
                              <a:solidFill>
                                <a:srgbClr val="EEECE9"/>
                              </a:solidFill>
                              <a:ln w="0">
                                <a:noFill/>
                              </a:ln>
                            </wps:spPr>
                            <wps:style>
                              <a:lnRef idx="0">
                                <a:schemeClr val="accent1"/>
                              </a:lnRef>
                              <a:fillRef idx="0">
                                <a:schemeClr val="accent1"/>
                              </a:fillRef>
                              <a:effectRef idx="0">
                                <a:schemeClr val="accent1"/>
                              </a:effectRef>
                              <a:fontRef idx="minor">
                                <a:schemeClr val="dk1"/>
                              </a:fontRef>
                            </wps:style>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rect id="Rect 762" o:spid="_x0000_s1026" o:spt="1" style="position:absolute;left:0pt;margin-left:0pt;margin-top:0.45pt;height:18.55pt;width:118.05pt;z-index:-251381760;mso-width-relative:page;mso-height-relative:page;" fillcolor="#EEECE9" filled="t" stroked="f" coordsize="21600,21600" o:gfxdata="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BzW5c11AAAAAQBAAAPAAAAAAAAAAEAIAAAACIAAABkcnMvZG93bnJldi54bWxQSwECFAAU&#10;AAAACACHTuJAqE5yIS4CAABrBAAADgAAAAAAAAABACAAAAAjAQAAZHJzL2Uyb0RvYy54bWxQSwUG&#10;AAAAAAYABgBZAQAAwwUAAAAA&#10;">
                      <v:fill on="t" focussize="0,0"/>
                      <v:stroke on="f" weight="0pt"/>
                      <v:imagedata o:title=""/>
                      <o:lock v:ext="edit" aspectratio="f"/>
                      <v:textbox inset="0mm,0mm,0mm,0mm"/>
                    </v:rect>
                  </w:pict>
                </mc:Fallback>
              </mc:AlternateContent>
            </w:r>
            <w:r>
              <w:rPr>
                <w:spacing w:val="-8"/>
                <w:sz w:val="23"/>
                <w:szCs w:val="23"/>
              </w:rPr>
              <w:t>inverse variance(IV)</w:t>
            </w:r>
            <w:r>
              <w:rPr>
                <w:spacing w:val="-9"/>
                <w:sz w:val="23"/>
                <w:szCs w:val="23"/>
              </w:rPr>
              <w:t>DerS</w:t>
            </w:r>
          </w:p>
        </w:tc>
        <w:tc>
          <w:tcPr>
            <w:tcW w:w="2065" w:type="dxa"/>
            <w:tcBorders>
              <w:bottom w:val="single" w:color="000000" w:sz="4" w:space="0"/>
            </w:tcBorders>
            <w:vAlign w:val="top"/>
          </w:tcPr>
          <w:p w14:paraId="7CB52DE7">
            <w:pPr>
              <w:pStyle w:val="6"/>
              <w:spacing w:before="92" w:line="218" w:lineRule="auto"/>
              <w:jc w:val="right"/>
              <w:rPr>
                <w:sz w:val="23"/>
                <w:szCs w:val="23"/>
              </w:rPr>
            </w:pPr>
            <w:r>
              <w:rPr>
                <w:spacing w:val="-2"/>
                <w:sz w:val="23"/>
                <w:szCs w:val="23"/>
              </w:rPr>
              <w:t>imonian-Laird(D-L)</w:t>
            </w:r>
          </w:p>
        </w:tc>
      </w:tr>
    </w:tbl>
    <w:p w14:paraId="0D05D08A">
      <w:pPr>
        <w:spacing w:before="35" w:line="219" w:lineRule="auto"/>
        <w:ind w:left="7239"/>
        <w:rPr>
          <w:rFonts w:ascii="宋体" w:hAnsi="宋体" w:eastAsia="宋体" w:cs="宋体"/>
          <w:sz w:val="23"/>
          <w:szCs w:val="23"/>
        </w:rPr>
      </w:pPr>
      <w:r>
        <w:rPr>
          <w:rFonts w:ascii="宋体" w:hAnsi="宋体" w:eastAsia="宋体" w:cs="宋体"/>
          <w:spacing w:val="5"/>
          <w:sz w:val="23"/>
          <w:szCs w:val="23"/>
        </w:rPr>
        <w:t>(詹思延，2015)</w:t>
      </w:r>
    </w:p>
    <w:p w14:paraId="5002F001">
      <w:pPr>
        <w:spacing w:before="304" w:line="333" w:lineRule="auto"/>
        <w:ind w:left="679" w:firstLine="410"/>
        <w:jc w:val="both"/>
        <w:rPr>
          <w:rFonts w:ascii="宋体" w:hAnsi="宋体" w:eastAsia="宋体" w:cs="宋体"/>
          <w:sz w:val="20"/>
          <w:szCs w:val="20"/>
        </w:rPr>
      </w:pPr>
      <w:r>
        <w:rPr>
          <w:rFonts w:ascii="宋体" w:hAnsi="宋体" w:eastAsia="宋体" w:cs="宋体"/>
          <w:sz w:val="20"/>
          <w:szCs w:val="20"/>
        </w:rPr>
        <w:t>Meta</w:t>
      </w:r>
      <w:r>
        <w:rPr>
          <w:rFonts w:ascii="宋体" w:hAnsi="宋体" w:eastAsia="宋体" w:cs="宋体"/>
          <w:spacing w:val="2"/>
          <w:sz w:val="20"/>
          <w:szCs w:val="20"/>
        </w:rPr>
        <w:t>分析的目的就是将某一研究问题已经完成的研究结果更为客观、定</w:t>
      </w:r>
      <w:r>
        <w:rPr>
          <w:rFonts w:ascii="宋体" w:hAnsi="宋体" w:eastAsia="宋体" w:cs="宋体"/>
          <w:spacing w:val="1"/>
          <w:sz w:val="20"/>
          <w:szCs w:val="20"/>
        </w:rPr>
        <w:t>量、有效地反映出来。</w:t>
      </w:r>
      <w:r>
        <w:rPr>
          <w:rFonts w:ascii="宋体" w:hAnsi="宋体" w:eastAsia="宋体" w:cs="宋体"/>
          <w:sz w:val="20"/>
          <w:szCs w:val="20"/>
        </w:rPr>
        <w:t xml:space="preserve"> </w:t>
      </w:r>
      <w:r>
        <w:rPr>
          <w:rFonts w:ascii="宋体" w:hAnsi="宋体" w:eastAsia="宋体" w:cs="宋体"/>
          <w:spacing w:val="-2"/>
          <w:sz w:val="20"/>
          <w:szCs w:val="20"/>
        </w:rPr>
        <w:t>但在</w:t>
      </w:r>
      <w:r>
        <w:rPr>
          <w:rFonts w:ascii="Times New Roman" w:hAnsi="Times New Roman" w:eastAsia="Times New Roman" w:cs="Times New Roman"/>
          <w:spacing w:val="-2"/>
          <w:sz w:val="20"/>
          <w:szCs w:val="20"/>
        </w:rPr>
        <w:t xml:space="preserve">Meta </w:t>
      </w:r>
      <w:r>
        <w:rPr>
          <w:rFonts w:ascii="宋体" w:hAnsi="宋体" w:eastAsia="宋体" w:cs="宋体"/>
          <w:spacing w:val="-2"/>
          <w:sz w:val="20"/>
          <w:szCs w:val="20"/>
        </w:rPr>
        <w:t>分析的过程中，除了获得多项研究的综合结果，还可达到以下目的：①提高统计效能，加</w:t>
      </w:r>
      <w:r>
        <w:rPr>
          <w:rFonts w:ascii="宋体" w:hAnsi="宋体" w:eastAsia="宋体" w:cs="宋体"/>
          <w:spacing w:val="2"/>
          <w:sz w:val="20"/>
          <w:szCs w:val="20"/>
        </w:rPr>
        <w:t xml:space="preserve">  </w:t>
      </w:r>
      <w:r>
        <w:rPr>
          <w:rFonts w:ascii="宋体" w:hAnsi="宋体" w:eastAsia="宋体" w:cs="宋体"/>
          <w:sz w:val="20"/>
          <w:szCs w:val="20"/>
        </w:rPr>
        <w:t>强主要结论的说服力，尤其是对样本量较小的临床试验研究；②提</w:t>
      </w:r>
      <w:r>
        <w:rPr>
          <w:rFonts w:ascii="宋体" w:hAnsi="宋体" w:eastAsia="宋体" w:cs="宋体"/>
          <w:spacing w:val="-1"/>
          <w:sz w:val="20"/>
          <w:szCs w:val="20"/>
        </w:rPr>
        <w:t>高对效应值的估计精度；③评价</w:t>
      </w:r>
      <w:r>
        <w:rPr>
          <w:rFonts w:ascii="宋体" w:hAnsi="宋体" w:eastAsia="宋体" w:cs="宋体"/>
          <w:sz w:val="20"/>
          <w:szCs w:val="20"/>
        </w:rPr>
        <w:t xml:space="preserve">  文献中各研究结果的一致性，找出研究结果不一致性的原因，并试图解决</w:t>
      </w:r>
      <w:r>
        <w:rPr>
          <w:rFonts w:ascii="宋体" w:hAnsi="宋体" w:eastAsia="宋体" w:cs="宋体"/>
          <w:spacing w:val="-1"/>
          <w:sz w:val="20"/>
          <w:szCs w:val="20"/>
        </w:rPr>
        <w:t>或调和不同研究间的矛盾</w:t>
      </w:r>
      <w:r>
        <w:rPr>
          <w:rFonts w:ascii="宋体" w:hAnsi="宋体" w:eastAsia="宋体" w:cs="宋体"/>
          <w:sz w:val="20"/>
          <w:szCs w:val="20"/>
        </w:rPr>
        <w:t xml:space="preserve">  </w:t>
      </w:r>
      <w:r>
        <w:rPr>
          <w:rFonts w:ascii="宋体" w:hAnsi="宋体" w:eastAsia="宋体" w:cs="宋体"/>
          <w:spacing w:val="-3"/>
          <w:sz w:val="20"/>
          <w:szCs w:val="20"/>
        </w:rPr>
        <w:t>结论；④发现某些单个研究未阐明的问题；⑤探讨现有文献发表偏倚的程度；⑥提出新的研究问题，</w:t>
      </w:r>
      <w:r>
        <w:rPr>
          <w:rFonts w:ascii="宋体" w:hAnsi="宋体" w:eastAsia="宋体" w:cs="宋体"/>
          <w:spacing w:val="10"/>
          <w:sz w:val="20"/>
          <w:szCs w:val="20"/>
        </w:rPr>
        <w:t xml:space="preserve"> </w:t>
      </w:r>
      <w:r>
        <w:rPr>
          <w:rFonts w:ascii="宋体" w:hAnsi="宋体" w:eastAsia="宋体" w:cs="宋体"/>
          <w:spacing w:val="-1"/>
          <w:sz w:val="20"/>
          <w:szCs w:val="20"/>
        </w:rPr>
        <w:t>为进一步的研究指明方向。</w:t>
      </w:r>
    </w:p>
    <w:p w14:paraId="3D030346">
      <w:pPr>
        <w:spacing w:before="25" w:line="334" w:lineRule="auto"/>
        <w:ind w:left="679" w:right="19" w:firstLine="410"/>
        <w:jc w:val="both"/>
        <w:rPr>
          <w:rFonts w:ascii="宋体" w:hAnsi="宋体" w:eastAsia="宋体" w:cs="宋体"/>
          <w:sz w:val="20"/>
          <w:szCs w:val="20"/>
        </w:rPr>
      </w:pPr>
      <w:r>
        <w:rPr>
          <w:rFonts w:ascii="宋体" w:hAnsi="宋体" w:eastAsia="宋体" w:cs="宋体"/>
          <w:spacing w:val="3"/>
          <w:sz w:val="20"/>
          <w:szCs w:val="20"/>
        </w:rPr>
        <w:t>进行</w:t>
      </w:r>
      <w:r>
        <w:rPr>
          <w:rFonts w:ascii="Times New Roman" w:hAnsi="Times New Roman" w:eastAsia="Times New Roman" w:cs="Times New Roman"/>
          <w:sz w:val="20"/>
          <w:szCs w:val="20"/>
        </w:rPr>
        <w:t>Meta</w:t>
      </w:r>
      <w:r>
        <w:rPr>
          <w:rFonts w:ascii="Times New Roman" w:hAnsi="Times New Roman" w:eastAsia="Times New Roman" w:cs="Times New Roman"/>
          <w:spacing w:val="3"/>
          <w:sz w:val="20"/>
          <w:szCs w:val="20"/>
        </w:rPr>
        <w:t xml:space="preserve"> </w:t>
      </w:r>
      <w:r>
        <w:rPr>
          <w:rFonts w:ascii="宋体" w:hAnsi="宋体" w:eastAsia="宋体" w:cs="宋体"/>
          <w:spacing w:val="3"/>
          <w:sz w:val="20"/>
          <w:szCs w:val="20"/>
        </w:rPr>
        <w:t>分析必须遵循以下几个重要假设或原则：①所要综合的原始研究所探索的研究问题</w:t>
      </w:r>
      <w:r>
        <w:rPr>
          <w:rFonts w:ascii="宋体" w:hAnsi="宋体" w:eastAsia="宋体" w:cs="宋体"/>
          <w:sz w:val="20"/>
          <w:szCs w:val="20"/>
        </w:rPr>
        <w:t xml:space="preserve"> 必须相同，它们来自同一总体，结果相近；②合并结果时必须纳人所有有关的研究，不能只包括部</w:t>
      </w:r>
      <w:r>
        <w:rPr>
          <w:rFonts w:ascii="宋体" w:hAnsi="宋体" w:eastAsia="宋体" w:cs="宋体"/>
          <w:spacing w:val="9"/>
          <w:sz w:val="20"/>
          <w:szCs w:val="20"/>
        </w:rPr>
        <w:t xml:space="preserve"> </w:t>
      </w:r>
      <w:r>
        <w:rPr>
          <w:rFonts w:ascii="宋体" w:hAnsi="宋体" w:eastAsia="宋体" w:cs="宋体"/>
          <w:spacing w:val="-3"/>
          <w:sz w:val="20"/>
          <w:szCs w:val="20"/>
        </w:rPr>
        <w:t>分研究，以减少选择偏倚；③假设所有纳人的研究都没有偏倚，其结果的差异完</w:t>
      </w:r>
      <w:r>
        <w:rPr>
          <w:rFonts w:ascii="宋体" w:hAnsi="宋体" w:eastAsia="宋体" w:cs="宋体"/>
          <w:spacing w:val="-4"/>
          <w:sz w:val="20"/>
          <w:szCs w:val="20"/>
        </w:rPr>
        <w:t>全由抽样误差引起；</w:t>
      </w:r>
      <w:r>
        <w:rPr>
          <w:rFonts w:ascii="宋体" w:hAnsi="宋体" w:eastAsia="宋体" w:cs="宋体"/>
          <w:sz w:val="20"/>
          <w:szCs w:val="20"/>
        </w:rPr>
        <w:t xml:space="preserve"> </w:t>
      </w:r>
      <w:r>
        <w:rPr>
          <w:rFonts w:ascii="宋体" w:hAnsi="宋体" w:eastAsia="宋体" w:cs="宋体"/>
          <w:spacing w:val="1"/>
          <w:sz w:val="20"/>
          <w:szCs w:val="20"/>
        </w:rPr>
        <w:t>④利用加权平均法对真实值进行定量的估计。只有保证前三条假设或原则的实现，才能控制偏倚，</w:t>
      </w:r>
      <w:r>
        <w:rPr>
          <w:rFonts w:ascii="宋体" w:hAnsi="宋体" w:eastAsia="宋体" w:cs="宋体"/>
          <w:spacing w:val="16"/>
          <w:sz w:val="20"/>
          <w:szCs w:val="20"/>
        </w:rPr>
        <w:t xml:space="preserve"> </w:t>
      </w:r>
      <w:r>
        <w:rPr>
          <w:rFonts w:ascii="宋体" w:hAnsi="宋体" w:eastAsia="宋体" w:cs="宋体"/>
          <w:spacing w:val="4"/>
          <w:sz w:val="20"/>
          <w:szCs w:val="20"/>
        </w:rPr>
        <w:t>保证</w:t>
      </w:r>
      <w:r>
        <w:rPr>
          <w:rFonts w:ascii="Times New Roman" w:hAnsi="Times New Roman" w:eastAsia="Times New Roman" w:cs="Times New Roman"/>
          <w:sz w:val="20"/>
          <w:szCs w:val="20"/>
        </w:rPr>
        <w:t>Meta</w:t>
      </w:r>
      <w:r>
        <w:rPr>
          <w:rFonts w:ascii="宋体" w:hAnsi="宋体" w:eastAsia="宋体" w:cs="宋体"/>
          <w:spacing w:val="4"/>
          <w:sz w:val="20"/>
          <w:szCs w:val="20"/>
        </w:rPr>
        <w:t>分析结果的可靠性。</w:t>
      </w:r>
    </w:p>
    <w:p w14:paraId="55833AC7">
      <w:pPr>
        <w:spacing w:line="334" w:lineRule="auto"/>
        <w:rPr>
          <w:rFonts w:ascii="宋体" w:hAnsi="宋体" w:eastAsia="宋体" w:cs="宋体"/>
          <w:sz w:val="20"/>
          <w:szCs w:val="20"/>
        </w:rPr>
        <w:sectPr>
          <w:footerReference r:id="rId305" w:type="default"/>
          <w:pgSz w:w="11900" w:h="16820"/>
          <w:pgMar w:top="400" w:right="1610" w:bottom="928" w:left="929" w:header="0" w:footer="775" w:gutter="0"/>
          <w:cols w:space="720" w:num="1"/>
        </w:sectPr>
      </w:pPr>
    </w:p>
    <w:p w14:paraId="0320436E">
      <w:pPr>
        <w:pStyle w:val="2"/>
        <w:spacing w:before="226" w:line="221" w:lineRule="auto"/>
        <w:ind w:left="6470"/>
        <w:rPr>
          <w:sz w:val="20"/>
          <w:szCs w:val="20"/>
        </w:rPr>
      </w:pPr>
      <w:bookmarkStart w:id="471" w:name="bookmark561"/>
      <w:bookmarkEnd w:id="471"/>
      <w:r>
        <w:rPr>
          <w:spacing w:val="-17"/>
          <w:w w:val="97"/>
          <w:sz w:val="20"/>
          <w:szCs w:val="20"/>
        </w:rPr>
        <w:t>第十八章循证医学与系统综述</w:t>
      </w:r>
    </w:p>
    <w:p w14:paraId="5204FCE6">
      <w:pPr>
        <w:spacing w:line="262" w:lineRule="auto"/>
        <w:rPr>
          <w:rFonts w:ascii="Arial"/>
          <w:sz w:val="21"/>
        </w:rPr>
      </w:pPr>
    </w:p>
    <w:p w14:paraId="693CC656">
      <w:pPr>
        <w:spacing w:line="262" w:lineRule="auto"/>
        <w:rPr>
          <w:rFonts w:ascii="Arial"/>
          <w:sz w:val="21"/>
        </w:rPr>
      </w:pPr>
    </w:p>
    <w:p w14:paraId="3158747E">
      <w:pPr>
        <w:spacing w:before="65" w:line="338" w:lineRule="auto"/>
        <w:ind w:right="545" w:firstLine="420"/>
        <w:jc w:val="both"/>
        <w:rPr>
          <w:rFonts w:ascii="宋体" w:hAnsi="宋体" w:eastAsia="宋体" w:cs="宋体"/>
          <w:sz w:val="20"/>
          <w:szCs w:val="20"/>
        </w:rPr>
      </w:pPr>
      <w:r>
        <w:rPr>
          <w:rFonts w:ascii="宋体" w:hAnsi="宋体" w:eastAsia="宋体" w:cs="宋体"/>
          <w:spacing w:val="5"/>
          <w:sz w:val="20"/>
          <w:szCs w:val="20"/>
        </w:rPr>
        <w:t>目前，系统综述常和</w:t>
      </w:r>
      <w:r>
        <w:rPr>
          <w:rFonts w:ascii="宋体" w:hAnsi="宋体" w:eastAsia="宋体" w:cs="宋体"/>
          <w:spacing w:val="-46"/>
          <w:sz w:val="20"/>
          <w:szCs w:val="20"/>
        </w:rPr>
        <w:t xml:space="preserve"> </w:t>
      </w:r>
      <w:r>
        <w:rPr>
          <w:rFonts w:ascii="宋体" w:hAnsi="宋体" w:eastAsia="宋体" w:cs="宋体"/>
          <w:sz w:val="20"/>
          <w:szCs w:val="20"/>
        </w:rPr>
        <w:t>Meta</w:t>
      </w:r>
      <w:r>
        <w:rPr>
          <w:rFonts w:ascii="宋体" w:hAnsi="宋体" w:eastAsia="宋体" w:cs="宋体"/>
          <w:spacing w:val="-38"/>
          <w:sz w:val="20"/>
          <w:szCs w:val="20"/>
        </w:rPr>
        <w:t xml:space="preserve"> </w:t>
      </w:r>
      <w:r>
        <w:rPr>
          <w:rFonts w:ascii="宋体" w:hAnsi="宋体" w:eastAsia="宋体" w:cs="宋体"/>
          <w:spacing w:val="5"/>
          <w:sz w:val="20"/>
          <w:szCs w:val="20"/>
        </w:rPr>
        <w:t>分析共同或交叉使用，其实二者不完全等同。首先，</w:t>
      </w:r>
      <w:r>
        <w:rPr>
          <w:rFonts w:ascii="宋体" w:hAnsi="宋体" w:eastAsia="宋体" w:cs="宋体"/>
          <w:sz w:val="20"/>
          <w:szCs w:val="20"/>
        </w:rPr>
        <w:t>Meta</w:t>
      </w:r>
      <w:r>
        <w:rPr>
          <w:rFonts w:ascii="宋体" w:hAnsi="宋体" w:eastAsia="宋体" w:cs="宋体"/>
          <w:spacing w:val="-39"/>
          <w:sz w:val="20"/>
          <w:szCs w:val="20"/>
        </w:rPr>
        <w:t xml:space="preserve"> </w:t>
      </w:r>
      <w:r>
        <w:rPr>
          <w:rFonts w:ascii="宋体" w:hAnsi="宋体" w:eastAsia="宋体" w:cs="宋体"/>
          <w:spacing w:val="5"/>
          <w:sz w:val="20"/>
          <w:szCs w:val="20"/>
        </w:rPr>
        <w:t>分析是系</w:t>
      </w:r>
      <w:r>
        <w:rPr>
          <w:rFonts w:ascii="宋体" w:hAnsi="宋体" w:eastAsia="宋体" w:cs="宋体"/>
          <w:sz w:val="20"/>
          <w:szCs w:val="20"/>
        </w:rPr>
        <w:t xml:space="preserve">  </w:t>
      </w:r>
      <w:r>
        <w:rPr>
          <w:rFonts w:ascii="宋体" w:hAnsi="宋体" w:eastAsia="宋体" w:cs="宋体"/>
          <w:spacing w:val="5"/>
          <w:sz w:val="20"/>
          <w:szCs w:val="20"/>
        </w:rPr>
        <w:t>统综述的一个重要部分，系统综述在对资料进行定量综合时会用到</w:t>
      </w:r>
      <w:r>
        <w:rPr>
          <w:rFonts w:ascii="Times New Roman" w:hAnsi="Times New Roman" w:eastAsia="Times New Roman" w:cs="Times New Roman"/>
          <w:sz w:val="20"/>
          <w:szCs w:val="20"/>
        </w:rPr>
        <w:t>Meta</w:t>
      </w:r>
      <w:r>
        <w:rPr>
          <w:rFonts w:ascii="Times New Roman" w:hAnsi="Times New Roman" w:eastAsia="Times New Roman" w:cs="Times New Roman"/>
          <w:spacing w:val="-7"/>
          <w:sz w:val="20"/>
          <w:szCs w:val="20"/>
        </w:rPr>
        <w:t xml:space="preserve"> </w:t>
      </w:r>
      <w:r>
        <w:rPr>
          <w:rFonts w:ascii="宋体" w:hAnsi="宋体" w:eastAsia="宋体" w:cs="宋体"/>
          <w:spacing w:val="5"/>
          <w:sz w:val="20"/>
          <w:szCs w:val="20"/>
        </w:rPr>
        <w:t>分析，但不是必要的部分。</w:t>
      </w:r>
      <w:r>
        <w:rPr>
          <w:rFonts w:ascii="宋体" w:hAnsi="宋体" w:eastAsia="宋体" w:cs="宋体"/>
          <w:sz w:val="20"/>
          <w:szCs w:val="20"/>
        </w:rPr>
        <w:t xml:space="preserve"> </w:t>
      </w:r>
      <w:r>
        <w:rPr>
          <w:rFonts w:ascii="宋体" w:hAnsi="宋体" w:eastAsia="宋体" w:cs="宋体"/>
          <w:spacing w:val="-1"/>
          <w:sz w:val="20"/>
          <w:szCs w:val="20"/>
        </w:rPr>
        <w:t>假如确定研究题目后，进行了全面文献检索，但没有发现有关研究，或发现的研究数目很少。或研究</w:t>
      </w:r>
      <w:r>
        <w:rPr>
          <w:rFonts w:ascii="宋体" w:hAnsi="宋体" w:eastAsia="宋体" w:cs="宋体"/>
          <w:spacing w:val="7"/>
          <w:sz w:val="20"/>
          <w:szCs w:val="20"/>
        </w:rPr>
        <w:t xml:space="preserve">  结果存在很大的差异，则可能不需进行</w:t>
      </w:r>
      <w:r>
        <w:rPr>
          <w:rFonts w:ascii="宋体" w:hAnsi="宋体" w:eastAsia="宋体" w:cs="宋体"/>
          <w:sz w:val="20"/>
          <w:szCs w:val="20"/>
        </w:rPr>
        <w:t>Meta</w:t>
      </w:r>
      <w:r>
        <w:rPr>
          <w:rFonts w:ascii="宋体" w:hAnsi="宋体" w:eastAsia="宋体" w:cs="宋体"/>
          <w:spacing w:val="-42"/>
          <w:sz w:val="20"/>
          <w:szCs w:val="20"/>
        </w:rPr>
        <w:t xml:space="preserve"> </w:t>
      </w:r>
      <w:r>
        <w:rPr>
          <w:rFonts w:ascii="宋体" w:hAnsi="宋体" w:eastAsia="宋体" w:cs="宋体"/>
          <w:spacing w:val="7"/>
          <w:sz w:val="20"/>
          <w:szCs w:val="20"/>
        </w:rPr>
        <w:t>分析。</w:t>
      </w:r>
    </w:p>
    <w:p w14:paraId="6322BE88">
      <w:pPr>
        <w:pStyle w:val="2"/>
        <w:spacing w:before="5" w:line="333" w:lineRule="auto"/>
        <w:ind w:right="545" w:firstLine="410"/>
        <w:jc w:val="both"/>
        <w:rPr>
          <w:rFonts w:ascii="宋体" w:hAnsi="宋体" w:eastAsia="宋体" w:cs="宋体"/>
          <w:sz w:val="20"/>
          <w:szCs w:val="20"/>
        </w:rPr>
      </w:pPr>
      <w:r>
        <w:rPr>
          <w:rFonts w:ascii="宋体" w:hAnsi="宋体" w:eastAsia="宋体" w:cs="宋体"/>
          <w:spacing w:val="-2"/>
          <w:sz w:val="20"/>
          <w:szCs w:val="20"/>
        </w:rPr>
        <w:t>3.</w:t>
      </w:r>
      <w:r>
        <w:rPr>
          <w:rFonts w:ascii="宋体" w:hAnsi="宋体" w:eastAsia="宋体" w:cs="宋体"/>
          <w:spacing w:val="32"/>
          <w:sz w:val="20"/>
          <w:szCs w:val="20"/>
        </w:rPr>
        <w:t xml:space="preserve"> </w:t>
      </w:r>
      <w:r>
        <w:rPr>
          <w:spacing w:val="-2"/>
          <w:sz w:val="20"/>
          <w:szCs w:val="20"/>
        </w:rPr>
        <w:t>敏感性分析和亚组分析</w:t>
      </w:r>
      <w:r>
        <w:rPr>
          <w:spacing w:val="38"/>
          <w:sz w:val="20"/>
          <w:szCs w:val="20"/>
        </w:rPr>
        <w:t xml:space="preserve"> </w:t>
      </w:r>
      <w:r>
        <w:rPr>
          <w:rFonts w:ascii="宋体" w:hAnsi="宋体" w:eastAsia="宋体" w:cs="宋体"/>
          <w:spacing w:val="-2"/>
          <w:sz w:val="20"/>
          <w:szCs w:val="20"/>
        </w:rPr>
        <w:t>敏感性分析(sensitivity analysis)是检查一定假设条件下</w:t>
      </w:r>
      <w:r>
        <w:rPr>
          <w:rFonts w:ascii="宋体" w:hAnsi="宋体" w:eastAsia="宋体" w:cs="宋体"/>
          <w:spacing w:val="-3"/>
          <w:sz w:val="20"/>
          <w:szCs w:val="20"/>
        </w:rPr>
        <w:t>所获结果</w:t>
      </w:r>
      <w:r>
        <w:rPr>
          <w:rFonts w:ascii="宋体" w:hAnsi="宋体" w:eastAsia="宋体" w:cs="宋体"/>
          <w:sz w:val="20"/>
          <w:szCs w:val="20"/>
        </w:rPr>
        <w:t xml:space="preserve">  </w:t>
      </w:r>
      <w:r>
        <w:rPr>
          <w:rFonts w:ascii="宋体" w:hAnsi="宋体" w:eastAsia="宋体" w:cs="宋体"/>
          <w:spacing w:val="5"/>
          <w:sz w:val="20"/>
          <w:szCs w:val="20"/>
        </w:rPr>
        <w:t>的稳定性的方法，其目的是发现影响</w:t>
      </w:r>
      <w:r>
        <w:rPr>
          <w:rFonts w:ascii="Times New Roman" w:hAnsi="Times New Roman" w:eastAsia="Times New Roman" w:cs="Times New Roman"/>
          <w:sz w:val="20"/>
          <w:szCs w:val="20"/>
        </w:rPr>
        <w:t>Meta</w:t>
      </w:r>
      <w:r>
        <w:rPr>
          <w:rFonts w:ascii="Times New Roman" w:hAnsi="Times New Roman" w:eastAsia="Times New Roman" w:cs="Times New Roman"/>
          <w:spacing w:val="5"/>
          <w:sz w:val="20"/>
          <w:szCs w:val="20"/>
        </w:rPr>
        <w:t xml:space="preserve"> </w:t>
      </w:r>
      <w:r>
        <w:rPr>
          <w:rFonts w:ascii="宋体" w:hAnsi="宋体" w:eastAsia="宋体" w:cs="宋体"/>
          <w:spacing w:val="5"/>
          <w:sz w:val="20"/>
          <w:szCs w:val="20"/>
        </w:rPr>
        <w:t>分析研究结果的主要因素，</w:t>
      </w:r>
      <w:r>
        <w:rPr>
          <w:rFonts w:ascii="宋体" w:hAnsi="宋体" w:eastAsia="宋体" w:cs="宋体"/>
          <w:spacing w:val="4"/>
          <w:sz w:val="20"/>
          <w:szCs w:val="20"/>
        </w:rPr>
        <w:t>解决不同研究结果的矛盾性，</w:t>
      </w:r>
      <w:r>
        <w:rPr>
          <w:rFonts w:ascii="宋体" w:hAnsi="宋体" w:eastAsia="宋体" w:cs="宋体"/>
          <w:sz w:val="20"/>
          <w:szCs w:val="20"/>
        </w:rPr>
        <w:t xml:space="preserve"> </w:t>
      </w:r>
      <w:r>
        <w:rPr>
          <w:rFonts w:ascii="宋体" w:hAnsi="宋体" w:eastAsia="宋体" w:cs="宋体"/>
          <w:spacing w:val="4"/>
          <w:sz w:val="20"/>
          <w:szCs w:val="20"/>
        </w:rPr>
        <w:t>发现产生不同结论的原因。敏感性分析最常用的方法是分层分析，即按不同研究特征，如</w:t>
      </w:r>
      <w:r>
        <w:rPr>
          <w:rFonts w:ascii="宋体" w:hAnsi="宋体" w:eastAsia="宋体" w:cs="宋体"/>
          <w:spacing w:val="3"/>
          <w:sz w:val="20"/>
          <w:szCs w:val="20"/>
        </w:rPr>
        <w:t>不同的统</w:t>
      </w:r>
      <w:r>
        <w:rPr>
          <w:rFonts w:ascii="宋体" w:hAnsi="宋体" w:eastAsia="宋体" w:cs="宋体"/>
          <w:sz w:val="20"/>
          <w:szCs w:val="20"/>
        </w:rPr>
        <w:t xml:space="preserve">  </w:t>
      </w:r>
      <w:r>
        <w:rPr>
          <w:rFonts w:ascii="宋体" w:hAnsi="宋体" w:eastAsia="宋体" w:cs="宋体"/>
          <w:spacing w:val="4"/>
          <w:sz w:val="20"/>
          <w:szCs w:val="20"/>
        </w:rPr>
        <w:t>计方法(固定效应或随机效应模型)、研究方法学的质量高低、样本量大小、是否包括</w:t>
      </w:r>
      <w:r>
        <w:rPr>
          <w:rFonts w:ascii="宋体" w:hAnsi="宋体" w:eastAsia="宋体" w:cs="宋体"/>
          <w:spacing w:val="3"/>
          <w:sz w:val="20"/>
          <w:szCs w:val="20"/>
        </w:rPr>
        <w:t>未发表的研究</w:t>
      </w:r>
      <w:r>
        <w:rPr>
          <w:rFonts w:ascii="宋体" w:hAnsi="宋体" w:eastAsia="宋体" w:cs="宋体"/>
          <w:sz w:val="20"/>
          <w:szCs w:val="20"/>
        </w:rPr>
        <w:t xml:space="preserve">  </w:t>
      </w:r>
      <w:r>
        <w:rPr>
          <w:rFonts w:ascii="宋体" w:hAnsi="宋体" w:eastAsia="宋体" w:cs="宋体"/>
          <w:spacing w:val="4"/>
          <w:sz w:val="20"/>
          <w:szCs w:val="20"/>
        </w:rPr>
        <w:t>等，将各独立研究分为不同组后，按</w:t>
      </w:r>
      <w:r>
        <w:rPr>
          <w:rFonts w:ascii="Times New Roman" w:hAnsi="Times New Roman" w:eastAsia="Times New Roman" w:cs="Times New Roman"/>
          <w:sz w:val="20"/>
          <w:szCs w:val="20"/>
        </w:rPr>
        <w:t>Mantel</w:t>
      </w:r>
      <w:r>
        <w:rPr>
          <w:rFonts w:ascii="Times New Roman" w:hAnsi="Times New Roman" w:eastAsia="Times New Roman" w:cs="Times New Roman"/>
          <w:spacing w:val="4"/>
          <w:sz w:val="20"/>
          <w:szCs w:val="20"/>
        </w:rPr>
        <w:t>-</w:t>
      </w:r>
      <w:r>
        <w:rPr>
          <w:rFonts w:ascii="Times New Roman" w:hAnsi="Times New Roman" w:eastAsia="Times New Roman" w:cs="Times New Roman"/>
          <w:sz w:val="20"/>
          <w:szCs w:val="20"/>
        </w:rPr>
        <w:t>Haenszel</w:t>
      </w:r>
      <w:r>
        <w:rPr>
          <w:rFonts w:ascii="Times New Roman" w:hAnsi="Times New Roman" w:eastAsia="Times New Roman" w:cs="Times New Roman"/>
          <w:spacing w:val="19"/>
          <w:w w:val="101"/>
          <w:sz w:val="20"/>
          <w:szCs w:val="20"/>
        </w:rPr>
        <w:t xml:space="preserve"> </w:t>
      </w:r>
      <w:r>
        <w:rPr>
          <w:rFonts w:ascii="宋体" w:hAnsi="宋体" w:eastAsia="宋体" w:cs="宋体"/>
          <w:spacing w:val="4"/>
          <w:sz w:val="20"/>
          <w:szCs w:val="20"/>
        </w:rPr>
        <w:t>法进行合</w:t>
      </w:r>
      <w:r>
        <w:rPr>
          <w:rFonts w:ascii="宋体" w:hAnsi="宋体" w:eastAsia="宋体" w:cs="宋体"/>
          <w:spacing w:val="3"/>
          <w:sz w:val="20"/>
          <w:szCs w:val="20"/>
        </w:rPr>
        <w:t>并分析，再比较各组及其与合并效应</w:t>
      </w:r>
      <w:r>
        <w:rPr>
          <w:rFonts w:ascii="宋体" w:hAnsi="宋体" w:eastAsia="宋体" w:cs="宋体"/>
          <w:sz w:val="20"/>
          <w:szCs w:val="20"/>
        </w:rPr>
        <w:t xml:space="preserve">  </w:t>
      </w:r>
      <w:r>
        <w:rPr>
          <w:rFonts w:ascii="宋体" w:hAnsi="宋体" w:eastAsia="宋体" w:cs="宋体"/>
          <w:spacing w:val="12"/>
          <w:sz w:val="20"/>
          <w:szCs w:val="20"/>
        </w:rPr>
        <w:t>间有无显著性差异。</w:t>
      </w:r>
    </w:p>
    <w:p w14:paraId="137ED470">
      <w:pPr>
        <w:spacing w:before="2" w:line="333" w:lineRule="auto"/>
        <w:ind w:right="545" w:firstLine="420"/>
        <w:jc w:val="both"/>
        <w:rPr>
          <w:rFonts w:ascii="宋体" w:hAnsi="宋体" w:eastAsia="宋体" w:cs="宋体"/>
          <w:sz w:val="20"/>
          <w:szCs w:val="20"/>
        </w:rPr>
      </w:pPr>
      <w:r>
        <w:rPr>
          <w:rFonts w:ascii="宋体" w:hAnsi="宋体" w:eastAsia="宋体" w:cs="宋体"/>
          <w:spacing w:val="5"/>
          <w:sz w:val="20"/>
          <w:szCs w:val="20"/>
        </w:rPr>
        <w:t>亚组分析</w:t>
      </w:r>
      <w:r>
        <w:rPr>
          <w:rFonts w:ascii="Times New Roman" w:hAnsi="Times New Roman" w:eastAsia="Times New Roman" w:cs="Times New Roman"/>
          <w:spacing w:val="5"/>
          <w:sz w:val="20"/>
          <w:szCs w:val="20"/>
        </w:rPr>
        <w:t>(</w:t>
      </w:r>
      <w:r>
        <w:rPr>
          <w:rFonts w:ascii="Times New Roman" w:hAnsi="Times New Roman" w:eastAsia="Times New Roman" w:cs="Times New Roman"/>
          <w:sz w:val="20"/>
          <w:szCs w:val="20"/>
        </w:rPr>
        <w:t>subgroup</w:t>
      </w:r>
      <w:r>
        <w:rPr>
          <w:rFonts w:ascii="Times New Roman" w:hAnsi="Times New Roman" w:eastAsia="Times New Roman" w:cs="Times New Roman"/>
          <w:spacing w:val="5"/>
          <w:sz w:val="20"/>
          <w:szCs w:val="20"/>
        </w:rPr>
        <w:t xml:space="preserve">     </w:t>
      </w:r>
      <w:r>
        <w:rPr>
          <w:rFonts w:ascii="Times New Roman" w:hAnsi="Times New Roman" w:eastAsia="Times New Roman" w:cs="Times New Roman"/>
          <w:sz w:val="20"/>
          <w:szCs w:val="20"/>
        </w:rPr>
        <w:t>analysis</w:t>
      </w:r>
      <w:r>
        <w:rPr>
          <w:rFonts w:ascii="Times New Roman" w:hAnsi="Times New Roman" w:eastAsia="Times New Roman" w:cs="Times New Roman"/>
          <w:spacing w:val="5"/>
          <w:sz w:val="20"/>
          <w:szCs w:val="20"/>
        </w:rPr>
        <w:t>)</w:t>
      </w:r>
      <w:r>
        <w:rPr>
          <w:rFonts w:ascii="宋体" w:hAnsi="宋体" w:eastAsia="宋体" w:cs="宋体"/>
          <w:spacing w:val="5"/>
          <w:sz w:val="20"/>
          <w:szCs w:val="20"/>
        </w:rPr>
        <w:t>是指针对不同研究特征进行资料的分析，例如将研究对象根据年</w:t>
      </w:r>
      <w:r>
        <w:rPr>
          <w:rFonts w:ascii="宋体" w:hAnsi="宋体" w:eastAsia="宋体" w:cs="宋体"/>
          <w:sz w:val="20"/>
          <w:szCs w:val="20"/>
        </w:rPr>
        <w:t xml:space="preserve"> </w:t>
      </w:r>
      <w:r>
        <w:rPr>
          <w:rFonts w:ascii="宋体" w:hAnsi="宋体" w:eastAsia="宋体" w:cs="宋体"/>
          <w:spacing w:val="1"/>
          <w:sz w:val="20"/>
          <w:szCs w:val="20"/>
        </w:rPr>
        <w:t>龄、性别、病情轻重、干预措施不同的剂量或疗程等进行比较，主要目的是探讨临床异质性的来源，</w:t>
      </w:r>
      <w:r>
        <w:rPr>
          <w:rFonts w:ascii="宋体" w:hAnsi="宋体" w:eastAsia="宋体" w:cs="宋体"/>
          <w:spacing w:val="15"/>
          <w:sz w:val="20"/>
          <w:szCs w:val="20"/>
        </w:rPr>
        <w:t xml:space="preserve"> </w:t>
      </w:r>
      <w:r>
        <w:rPr>
          <w:rFonts w:ascii="宋体" w:hAnsi="宋体" w:eastAsia="宋体" w:cs="宋体"/>
          <w:spacing w:val="3"/>
          <w:sz w:val="20"/>
          <w:szCs w:val="20"/>
        </w:rPr>
        <w:t>即识别效应修饰因素或评价交互作用。通常，在方案制订阶段就应该确定做哪些亚组分析，对相应</w:t>
      </w:r>
      <w:r>
        <w:rPr>
          <w:rFonts w:ascii="宋体" w:hAnsi="宋体" w:eastAsia="宋体" w:cs="宋体"/>
          <w:spacing w:val="9"/>
          <w:sz w:val="20"/>
          <w:szCs w:val="20"/>
        </w:rPr>
        <w:t xml:space="preserve">  </w:t>
      </w:r>
      <w:r>
        <w:rPr>
          <w:rFonts w:ascii="宋体" w:hAnsi="宋体" w:eastAsia="宋体" w:cs="宋体"/>
          <w:spacing w:val="4"/>
          <w:sz w:val="20"/>
          <w:szCs w:val="20"/>
        </w:rPr>
        <w:t>的变量信息进行原始研究的提取，而不是资料分析阶段的随意分组探索。</w:t>
      </w:r>
    </w:p>
    <w:p w14:paraId="1A31DDE5">
      <w:pPr>
        <w:pStyle w:val="2"/>
        <w:spacing w:line="223" w:lineRule="auto"/>
        <w:ind w:left="423"/>
        <w:rPr>
          <w:sz w:val="25"/>
          <w:szCs w:val="25"/>
        </w:rPr>
      </w:pPr>
      <w:r>
        <w:rPr>
          <w:b/>
          <w:bCs/>
          <w:spacing w:val="-6"/>
          <w:sz w:val="25"/>
          <w:szCs w:val="25"/>
        </w:rPr>
        <w:t>(七)总结报告</w:t>
      </w:r>
    </w:p>
    <w:p w14:paraId="77DB1A39">
      <w:pPr>
        <w:spacing w:before="75" w:line="332" w:lineRule="auto"/>
        <w:ind w:right="545" w:firstLine="420"/>
        <w:rPr>
          <w:rFonts w:ascii="宋体" w:hAnsi="宋体" w:eastAsia="宋体" w:cs="宋体"/>
          <w:sz w:val="20"/>
          <w:szCs w:val="20"/>
        </w:rPr>
      </w:pPr>
      <w:r>
        <w:rPr>
          <w:rFonts w:ascii="宋体" w:hAnsi="宋体" w:eastAsia="宋体" w:cs="宋体"/>
          <w:spacing w:val="9"/>
          <w:sz w:val="20"/>
          <w:szCs w:val="20"/>
        </w:rPr>
        <w:t>一般先要对人选文献的基本情况加以描述(表18-5),再使用直观森林图</w:t>
      </w:r>
      <w:r>
        <w:rPr>
          <w:rFonts w:ascii="Times New Roman" w:hAnsi="Times New Roman" w:eastAsia="Times New Roman" w:cs="Times New Roman"/>
          <w:spacing w:val="9"/>
          <w:sz w:val="20"/>
          <w:szCs w:val="20"/>
        </w:rPr>
        <w:t>(</w:t>
      </w:r>
      <w:r>
        <w:rPr>
          <w:rFonts w:ascii="Times New Roman" w:hAnsi="Times New Roman" w:eastAsia="Times New Roman" w:cs="Times New Roman"/>
          <w:sz w:val="20"/>
          <w:szCs w:val="20"/>
        </w:rPr>
        <w:t>forest</w:t>
      </w:r>
      <w:r>
        <w:rPr>
          <w:rFonts w:ascii="Times New Roman" w:hAnsi="Times New Roman" w:eastAsia="Times New Roman" w:cs="Times New Roman"/>
          <w:spacing w:val="9"/>
          <w:sz w:val="20"/>
          <w:szCs w:val="20"/>
        </w:rPr>
        <w:t xml:space="preserve">   </w:t>
      </w:r>
      <w:r>
        <w:rPr>
          <w:rFonts w:ascii="Times New Roman" w:hAnsi="Times New Roman" w:eastAsia="Times New Roman" w:cs="Times New Roman"/>
          <w:sz w:val="20"/>
          <w:szCs w:val="20"/>
        </w:rPr>
        <w:t>plot</w:t>
      </w:r>
      <w:r>
        <w:rPr>
          <w:rFonts w:ascii="Times New Roman" w:hAnsi="Times New Roman" w:eastAsia="Times New Roman" w:cs="Times New Roman"/>
          <w:spacing w:val="9"/>
          <w:sz w:val="20"/>
          <w:szCs w:val="20"/>
        </w:rPr>
        <w:t>)</w:t>
      </w:r>
      <w:r>
        <w:rPr>
          <w:rFonts w:ascii="宋体" w:hAnsi="宋体" w:eastAsia="宋体" w:cs="宋体"/>
          <w:spacing w:val="9"/>
          <w:sz w:val="20"/>
          <w:szCs w:val="20"/>
        </w:rPr>
        <w:t>表示</w:t>
      </w:r>
      <w:r>
        <w:rPr>
          <w:rFonts w:ascii="Times New Roman" w:hAnsi="Times New Roman" w:eastAsia="Times New Roman" w:cs="Times New Roman"/>
          <w:sz w:val="20"/>
          <w:szCs w:val="20"/>
        </w:rPr>
        <w:t>Meta</w:t>
      </w:r>
      <w:r>
        <w:rPr>
          <w:rFonts w:ascii="Times New Roman" w:hAnsi="Times New Roman" w:eastAsia="Times New Roman" w:cs="Times New Roman"/>
          <w:spacing w:val="2"/>
          <w:sz w:val="20"/>
          <w:szCs w:val="20"/>
        </w:rPr>
        <w:t xml:space="preserve">   </w:t>
      </w:r>
      <w:r>
        <w:rPr>
          <w:rFonts w:ascii="宋体" w:hAnsi="宋体" w:eastAsia="宋体" w:cs="宋体"/>
          <w:spacing w:val="6"/>
          <w:sz w:val="20"/>
          <w:szCs w:val="20"/>
        </w:rPr>
        <w:t>分析的结果(图18-5)。图中水平线代表每个研究的结果，线</w:t>
      </w:r>
      <w:r>
        <w:rPr>
          <w:rFonts w:ascii="宋体" w:hAnsi="宋体" w:eastAsia="宋体" w:cs="宋体"/>
          <w:spacing w:val="5"/>
          <w:sz w:val="20"/>
          <w:szCs w:val="20"/>
        </w:rPr>
        <w:t>中间的方块代表研究结果的点估计值，</w:t>
      </w:r>
      <w:r>
        <w:rPr>
          <w:rFonts w:ascii="宋体" w:hAnsi="宋体" w:eastAsia="宋体" w:cs="宋体"/>
          <w:sz w:val="20"/>
          <w:szCs w:val="20"/>
        </w:rPr>
        <w:t xml:space="preserve"> </w:t>
      </w:r>
      <w:r>
        <w:rPr>
          <w:rFonts w:ascii="宋体" w:hAnsi="宋体" w:eastAsia="宋体" w:cs="宋体"/>
          <w:spacing w:val="5"/>
          <w:sz w:val="20"/>
          <w:szCs w:val="20"/>
        </w:rPr>
        <w:t>方块的大小代表该研究在</w:t>
      </w:r>
      <w:r>
        <w:rPr>
          <w:rFonts w:ascii="宋体" w:hAnsi="宋体" w:eastAsia="宋体" w:cs="宋体"/>
          <w:sz w:val="20"/>
          <w:szCs w:val="20"/>
        </w:rPr>
        <w:t>Meta</w:t>
      </w:r>
      <w:r>
        <w:rPr>
          <w:rFonts w:ascii="宋体" w:hAnsi="宋体" w:eastAsia="宋体" w:cs="宋体"/>
          <w:spacing w:val="-38"/>
          <w:sz w:val="20"/>
          <w:szCs w:val="20"/>
        </w:rPr>
        <w:t xml:space="preserve"> </w:t>
      </w:r>
      <w:r>
        <w:rPr>
          <w:rFonts w:ascii="宋体" w:hAnsi="宋体" w:eastAsia="宋体" w:cs="宋体"/>
          <w:spacing w:val="5"/>
          <w:sz w:val="20"/>
          <w:szCs w:val="20"/>
        </w:rPr>
        <w:t>分析中的权重，线宽代表研究结果的</w:t>
      </w:r>
      <w:r>
        <w:rPr>
          <w:rFonts w:ascii="宋体" w:hAnsi="宋体" w:eastAsia="宋体" w:cs="宋体"/>
          <w:sz w:val="20"/>
          <w:szCs w:val="20"/>
        </w:rPr>
        <w:t>RR</w:t>
      </w:r>
      <w:r>
        <w:rPr>
          <w:rFonts w:ascii="宋体" w:hAnsi="宋体" w:eastAsia="宋体" w:cs="宋体"/>
          <w:spacing w:val="36"/>
          <w:sz w:val="20"/>
          <w:szCs w:val="20"/>
        </w:rPr>
        <w:t xml:space="preserve"> </w:t>
      </w:r>
      <w:r>
        <w:rPr>
          <w:rFonts w:ascii="宋体" w:hAnsi="宋体" w:eastAsia="宋体" w:cs="宋体"/>
          <w:spacing w:val="5"/>
          <w:sz w:val="20"/>
          <w:szCs w:val="20"/>
        </w:rPr>
        <w:t>值</w:t>
      </w:r>
      <w:r>
        <w:rPr>
          <w:rFonts w:ascii="宋体" w:hAnsi="宋体" w:eastAsia="宋体" w:cs="宋体"/>
          <w:spacing w:val="-34"/>
          <w:sz w:val="20"/>
          <w:szCs w:val="20"/>
        </w:rPr>
        <w:t xml:space="preserve"> </w:t>
      </w:r>
      <w:r>
        <w:rPr>
          <w:rFonts w:ascii="宋体" w:hAnsi="宋体" w:eastAsia="宋体" w:cs="宋体"/>
          <w:spacing w:val="5"/>
          <w:sz w:val="20"/>
          <w:szCs w:val="20"/>
        </w:rPr>
        <w:t>9</w:t>
      </w:r>
      <w:r>
        <w:rPr>
          <w:rFonts w:ascii="宋体" w:hAnsi="宋体" w:eastAsia="宋体" w:cs="宋体"/>
          <w:spacing w:val="-31"/>
          <w:sz w:val="20"/>
          <w:szCs w:val="20"/>
        </w:rPr>
        <w:t xml:space="preserve"> </w:t>
      </w:r>
      <w:r>
        <w:rPr>
          <w:rFonts w:ascii="宋体" w:hAnsi="宋体" w:eastAsia="宋体" w:cs="宋体"/>
          <w:spacing w:val="5"/>
          <w:sz w:val="20"/>
          <w:szCs w:val="20"/>
        </w:rPr>
        <w:t>5</w:t>
      </w:r>
      <w:r>
        <w:rPr>
          <w:rFonts w:ascii="宋体" w:hAnsi="宋体" w:eastAsia="宋体" w:cs="宋体"/>
          <w:spacing w:val="-40"/>
          <w:sz w:val="20"/>
          <w:szCs w:val="20"/>
        </w:rPr>
        <w:t xml:space="preserve"> </w:t>
      </w:r>
      <w:r>
        <w:rPr>
          <w:rFonts w:ascii="宋体" w:hAnsi="宋体" w:eastAsia="宋体" w:cs="宋体"/>
          <w:spacing w:val="5"/>
          <w:sz w:val="20"/>
          <w:szCs w:val="20"/>
        </w:rPr>
        <w:t>%</w:t>
      </w:r>
      <w:r>
        <w:rPr>
          <w:rFonts w:ascii="宋体" w:hAnsi="宋体" w:eastAsia="宋体" w:cs="宋体"/>
          <w:sz w:val="20"/>
          <w:szCs w:val="20"/>
        </w:rPr>
        <w:t>CI</w:t>
      </w:r>
      <w:r>
        <w:rPr>
          <w:rFonts w:ascii="宋体" w:hAnsi="宋体" w:eastAsia="宋体" w:cs="宋体"/>
          <w:spacing w:val="4"/>
          <w:sz w:val="20"/>
          <w:szCs w:val="20"/>
        </w:rPr>
        <w:t>;垂直线代表“无</w:t>
      </w:r>
      <w:r>
        <w:rPr>
          <w:rFonts w:ascii="宋体" w:hAnsi="宋体" w:eastAsia="宋体" w:cs="宋体"/>
          <w:sz w:val="20"/>
          <w:szCs w:val="20"/>
        </w:rPr>
        <w:t xml:space="preserve"> </w:t>
      </w:r>
      <w:r>
        <w:rPr>
          <w:rFonts w:ascii="宋体" w:hAnsi="宋体" w:eastAsia="宋体" w:cs="宋体"/>
          <w:spacing w:val="13"/>
          <w:sz w:val="20"/>
          <w:szCs w:val="20"/>
        </w:rPr>
        <w:t>效应线”,如果一个研究水平线穿过垂直线，表明该研究结果的95%</w:t>
      </w:r>
      <w:r>
        <w:rPr>
          <w:rFonts w:ascii="Times New Roman" w:hAnsi="Times New Roman" w:eastAsia="Times New Roman" w:cs="Times New Roman"/>
          <w:sz w:val="20"/>
          <w:szCs w:val="20"/>
        </w:rPr>
        <w:t>CI</w:t>
      </w:r>
      <w:r>
        <w:rPr>
          <w:rFonts w:ascii="Times New Roman" w:hAnsi="Times New Roman" w:eastAsia="Times New Roman" w:cs="Times New Roman"/>
          <w:spacing w:val="-12"/>
          <w:sz w:val="20"/>
          <w:szCs w:val="20"/>
        </w:rPr>
        <w:t xml:space="preserve"> </w:t>
      </w:r>
      <w:r>
        <w:rPr>
          <w:rFonts w:ascii="宋体" w:hAnsi="宋体" w:eastAsia="宋体" w:cs="宋体"/>
          <w:spacing w:val="13"/>
          <w:sz w:val="20"/>
          <w:szCs w:val="20"/>
        </w:rPr>
        <w:t>包含1,说</w:t>
      </w:r>
      <w:r>
        <w:rPr>
          <w:rFonts w:ascii="宋体" w:hAnsi="宋体" w:eastAsia="宋体" w:cs="宋体"/>
          <w:spacing w:val="12"/>
          <w:sz w:val="20"/>
          <w:szCs w:val="20"/>
        </w:rPr>
        <w:t>明研究的效应在</w:t>
      </w:r>
      <w:r>
        <w:rPr>
          <w:rFonts w:ascii="宋体" w:hAnsi="宋体" w:eastAsia="宋体" w:cs="宋体"/>
          <w:sz w:val="20"/>
          <w:szCs w:val="20"/>
        </w:rPr>
        <w:t xml:space="preserve"> </w:t>
      </w:r>
      <w:r>
        <w:rPr>
          <w:rFonts w:ascii="宋体" w:hAnsi="宋体" w:eastAsia="宋体" w:cs="宋体"/>
          <w:spacing w:val="9"/>
          <w:sz w:val="20"/>
          <w:szCs w:val="20"/>
        </w:rPr>
        <w:t>比较的两组间差异无显著性；图中的菱形块则代表各个研究合并后的效</w:t>
      </w:r>
      <w:r>
        <w:rPr>
          <w:rFonts w:ascii="宋体" w:hAnsi="宋体" w:eastAsia="宋体" w:cs="宋体"/>
          <w:spacing w:val="8"/>
          <w:sz w:val="20"/>
          <w:szCs w:val="20"/>
        </w:rPr>
        <w:t>应估计值，即采用固定效</w:t>
      </w:r>
      <w:r>
        <w:rPr>
          <w:rFonts w:ascii="宋体" w:hAnsi="宋体" w:eastAsia="宋体" w:cs="宋体"/>
          <w:sz w:val="20"/>
          <w:szCs w:val="20"/>
        </w:rPr>
        <w:t xml:space="preserve">  </w:t>
      </w:r>
      <w:r>
        <w:rPr>
          <w:rFonts w:ascii="宋体" w:hAnsi="宋体" w:eastAsia="宋体" w:cs="宋体"/>
          <w:spacing w:val="12"/>
          <w:sz w:val="20"/>
          <w:szCs w:val="20"/>
        </w:rPr>
        <w:t>应模型或随机效应模型合并各研究结果后的值，该综合值也有95%</w:t>
      </w:r>
      <w:r>
        <w:rPr>
          <w:rFonts w:ascii="Times New Roman" w:hAnsi="Times New Roman" w:eastAsia="Times New Roman" w:cs="Times New Roman"/>
          <w:sz w:val="20"/>
          <w:szCs w:val="20"/>
        </w:rPr>
        <w:t>CI</w:t>
      </w:r>
      <w:r>
        <w:rPr>
          <w:rFonts w:ascii="宋体" w:hAnsi="宋体" w:eastAsia="宋体" w:cs="宋体"/>
          <w:spacing w:val="12"/>
          <w:sz w:val="20"/>
          <w:szCs w:val="20"/>
        </w:rPr>
        <w:t>。图18-5展示了表18-5中6</w:t>
      </w:r>
      <w:r>
        <w:rPr>
          <w:rFonts w:ascii="宋体" w:hAnsi="宋体" w:eastAsia="宋体" w:cs="宋体"/>
          <w:spacing w:val="8"/>
          <w:sz w:val="20"/>
          <w:szCs w:val="20"/>
        </w:rPr>
        <w:t xml:space="preserve">  </w:t>
      </w:r>
      <w:r>
        <w:rPr>
          <w:rFonts w:ascii="宋体" w:hAnsi="宋体" w:eastAsia="宋体" w:cs="宋体"/>
          <w:spacing w:val="7"/>
          <w:sz w:val="20"/>
          <w:szCs w:val="20"/>
        </w:rPr>
        <w:t>项有关幽门螺杆菌</w:t>
      </w:r>
      <w:r>
        <w:rPr>
          <w:rFonts w:ascii="Times New Roman" w:hAnsi="Times New Roman" w:eastAsia="Times New Roman" w:cs="Times New Roman"/>
          <w:spacing w:val="7"/>
          <w:sz w:val="20"/>
          <w:szCs w:val="20"/>
        </w:rPr>
        <w:t>(</w:t>
      </w:r>
      <w:r>
        <w:rPr>
          <w:rFonts w:ascii="Times New Roman" w:hAnsi="Times New Roman" w:eastAsia="Times New Roman" w:cs="Times New Roman"/>
          <w:sz w:val="20"/>
          <w:szCs w:val="20"/>
        </w:rPr>
        <w:t>HP</w:t>
      </w:r>
      <w:r>
        <w:rPr>
          <w:rFonts w:ascii="Times New Roman" w:hAnsi="Times New Roman" w:eastAsia="Times New Roman" w:cs="Times New Roman"/>
          <w:spacing w:val="7"/>
          <w:sz w:val="20"/>
          <w:szCs w:val="20"/>
        </w:rPr>
        <w:t>)</w:t>
      </w:r>
      <w:r>
        <w:rPr>
          <w:rFonts w:ascii="Times New Roman" w:hAnsi="Times New Roman" w:eastAsia="Times New Roman" w:cs="Times New Roman"/>
          <w:spacing w:val="20"/>
          <w:sz w:val="20"/>
          <w:szCs w:val="20"/>
        </w:rPr>
        <w:t xml:space="preserve">  </w:t>
      </w:r>
      <w:r>
        <w:rPr>
          <w:rFonts w:ascii="宋体" w:hAnsi="宋体" w:eastAsia="宋体" w:cs="宋体"/>
          <w:spacing w:val="7"/>
          <w:sz w:val="20"/>
          <w:szCs w:val="20"/>
        </w:rPr>
        <w:t>根除治疗对胃癌发生影响的</w:t>
      </w:r>
      <w:r>
        <w:rPr>
          <w:rFonts w:ascii="Times New Roman" w:hAnsi="Times New Roman" w:eastAsia="Times New Roman" w:cs="Times New Roman"/>
          <w:sz w:val="20"/>
          <w:szCs w:val="20"/>
        </w:rPr>
        <w:t>RCT</w:t>
      </w:r>
      <w:r>
        <w:rPr>
          <w:rFonts w:ascii="Times New Roman" w:hAnsi="Times New Roman" w:eastAsia="Times New Roman" w:cs="Times New Roman"/>
          <w:spacing w:val="6"/>
          <w:sz w:val="20"/>
          <w:szCs w:val="20"/>
        </w:rPr>
        <w:t xml:space="preserve"> </w:t>
      </w:r>
      <w:r>
        <w:rPr>
          <w:rFonts w:ascii="宋体" w:hAnsi="宋体" w:eastAsia="宋体" w:cs="宋体"/>
          <w:spacing w:val="6"/>
          <w:sz w:val="20"/>
          <w:szCs w:val="20"/>
        </w:rPr>
        <w:t>的</w:t>
      </w:r>
      <w:r>
        <w:rPr>
          <w:rFonts w:ascii="宋体" w:hAnsi="宋体" w:eastAsia="宋体" w:cs="宋体"/>
          <w:spacing w:val="-46"/>
          <w:sz w:val="20"/>
          <w:szCs w:val="20"/>
        </w:rPr>
        <w:t xml:space="preserve"> </w:t>
      </w:r>
      <w:r>
        <w:rPr>
          <w:rFonts w:ascii="Times New Roman" w:hAnsi="Times New Roman" w:eastAsia="Times New Roman" w:cs="Times New Roman"/>
          <w:sz w:val="20"/>
          <w:szCs w:val="20"/>
        </w:rPr>
        <w:t>Meta</w:t>
      </w:r>
      <w:r>
        <w:rPr>
          <w:rFonts w:ascii="Times New Roman" w:hAnsi="Times New Roman" w:eastAsia="Times New Roman" w:cs="Times New Roman"/>
          <w:spacing w:val="6"/>
          <w:sz w:val="20"/>
          <w:szCs w:val="20"/>
        </w:rPr>
        <w:t xml:space="preserve"> </w:t>
      </w:r>
      <w:r>
        <w:rPr>
          <w:rFonts w:ascii="宋体" w:hAnsi="宋体" w:eastAsia="宋体" w:cs="宋体"/>
          <w:spacing w:val="6"/>
          <w:sz w:val="20"/>
          <w:szCs w:val="20"/>
        </w:rPr>
        <w:t>分析结果，合并效应值</w:t>
      </w:r>
      <w:r>
        <w:rPr>
          <w:rFonts w:ascii="Times New Roman" w:hAnsi="Times New Roman" w:eastAsia="Times New Roman" w:cs="Times New Roman"/>
          <w:sz w:val="20"/>
          <w:szCs w:val="20"/>
        </w:rPr>
        <w:t>RR</w:t>
      </w:r>
      <w:r>
        <w:rPr>
          <w:rFonts w:ascii="Times New Roman" w:hAnsi="Times New Roman" w:eastAsia="Times New Roman" w:cs="Times New Roman"/>
          <w:spacing w:val="6"/>
          <w:sz w:val="20"/>
          <w:szCs w:val="20"/>
        </w:rPr>
        <w:t>=0.66</w:t>
      </w:r>
      <w:r>
        <w:rPr>
          <w:rFonts w:ascii="Times New Roman" w:hAnsi="Times New Roman" w:eastAsia="Times New Roman" w:cs="Times New Roman"/>
          <w:sz w:val="20"/>
          <w:szCs w:val="20"/>
        </w:rPr>
        <w:t xml:space="preserve">     </w:t>
      </w:r>
      <w:r>
        <w:rPr>
          <w:rFonts w:ascii="Times New Roman" w:hAnsi="Times New Roman" w:eastAsia="Times New Roman" w:cs="Times New Roman"/>
          <w:spacing w:val="-1"/>
          <w:sz w:val="20"/>
          <w:szCs w:val="20"/>
        </w:rPr>
        <w:t>(95%CI:0.47</w:t>
      </w:r>
      <w:r>
        <w:rPr>
          <w:rFonts w:ascii="宋体" w:hAnsi="宋体" w:eastAsia="宋体" w:cs="宋体"/>
          <w:spacing w:val="-1"/>
          <w:sz w:val="20"/>
          <w:szCs w:val="20"/>
        </w:rPr>
        <w:t>～</w:t>
      </w:r>
      <w:r>
        <w:rPr>
          <w:rFonts w:ascii="Times New Roman" w:hAnsi="Times New Roman" w:eastAsia="Times New Roman" w:cs="Times New Roman"/>
          <w:spacing w:val="-1"/>
          <w:sz w:val="20"/>
          <w:szCs w:val="20"/>
        </w:rPr>
        <w:t>0.95)</w:t>
      </w:r>
      <w:r>
        <w:rPr>
          <w:rFonts w:ascii="宋体" w:hAnsi="宋体" w:eastAsia="宋体" w:cs="宋体"/>
          <w:spacing w:val="-1"/>
          <w:sz w:val="20"/>
          <w:szCs w:val="20"/>
        </w:rPr>
        <w:t>。</w:t>
      </w:r>
    </w:p>
    <w:p w14:paraId="730F1110">
      <w:pPr>
        <w:spacing w:before="68" w:line="335" w:lineRule="auto"/>
        <w:ind w:right="635" w:firstLine="420"/>
        <w:jc w:val="both"/>
        <w:rPr>
          <w:rFonts w:ascii="宋体" w:hAnsi="宋体" w:eastAsia="宋体" w:cs="宋体"/>
          <w:sz w:val="20"/>
          <w:szCs w:val="20"/>
        </w:rPr>
      </w:pPr>
      <w:r>
        <w:rPr>
          <w:rFonts w:ascii="宋体" w:hAnsi="宋体" w:eastAsia="宋体" w:cs="宋体"/>
          <w:spacing w:val="15"/>
          <w:sz w:val="20"/>
          <w:szCs w:val="20"/>
        </w:rPr>
        <w:t>另外，可以参考国际上提出的系统综述和</w:t>
      </w:r>
      <w:r>
        <w:rPr>
          <w:rFonts w:ascii="宋体" w:hAnsi="宋体" w:eastAsia="宋体" w:cs="宋体"/>
          <w:sz w:val="20"/>
          <w:szCs w:val="20"/>
        </w:rPr>
        <w:t>Meta</w:t>
      </w:r>
      <w:r>
        <w:rPr>
          <w:rFonts w:ascii="宋体" w:hAnsi="宋体" w:eastAsia="宋体" w:cs="宋体"/>
          <w:spacing w:val="-11"/>
          <w:sz w:val="20"/>
          <w:szCs w:val="20"/>
        </w:rPr>
        <w:t xml:space="preserve"> </w:t>
      </w:r>
      <w:r>
        <w:rPr>
          <w:rFonts w:ascii="宋体" w:hAnsi="宋体" w:eastAsia="宋体" w:cs="宋体"/>
          <w:spacing w:val="15"/>
          <w:sz w:val="20"/>
          <w:szCs w:val="20"/>
        </w:rPr>
        <w:t>分析优先报告的条目(</w:t>
      </w:r>
      <w:r>
        <w:rPr>
          <w:rFonts w:ascii="宋体" w:hAnsi="宋体" w:eastAsia="宋体" w:cs="宋体"/>
          <w:sz w:val="20"/>
          <w:szCs w:val="20"/>
        </w:rPr>
        <w:t>Preferred</w:t>
      </w:r>
      <w:r>
        <w:rPr>
          <w:rFonts w:ascii="宋体" w:hAnsi="宋体" w:eastAsia="宋体" w:cs="宋体"/>
          <w:spacing w:val="36"/>
          <w:sz w:val="20"/>
          <w:szCs w:val="20"/>
        </w:rPr>
        <w:t xml:space="preserve"> </w:t>
      </w:r>
      <w:r>
        <w:rPr>
          <w:rFonts w:ascii="宋体" w:hAnsi="宋体" w:eastAsia="宋体" w:cs="宋体"/>
          <w:sz w:val="20"/>
          <w:szCs w:val="20"/>
        </w:rPr>
        <w:t xml:space="preserve">Reporting </w:t>
      </w:r>
      <w:r>
        <w:rPr>
          <w:rFonts w:ascii="Times New Roman" w:hAnsi="Times New Roman" w:eastAsia="Times New Roman" w:cs="Times New Roman"/>
          <w:sz w:val="20"/>
          <w:szCs w:val="20"/>
        </w:rPr>
        <w:t>Items</w:t>
      </w:r>
      <w:r>
        <w:rPr>
          <w:rFonts w:ascii="Times New Roman" w:hAnsi="Times New Roman" w:eastAsia="Times New Roman" w:cs="Times New Roman"/>
          <w:spacing w:val="5"/>
          <w:sz w:val="20"/>
          <w:szCs w:val="20"/>
        </w:rPr>
        <w:t xml:space="preserve">  </w:t>
      </w:r>
      <w:r>
        <w:rPr>
          <w:rFonts w:ascii="Times New Roman" w:hAnsi="Times New Roman" w:eastAsia="Times New Roman" w:cs="Times New Roman"/>
          <w:sz w:val="20"/>
          <w:szCs w:val="20"/>
        </w:rPr>
        <w:t>for</w:t>
      </w:r>
      <w:r>
        <w:rPr>
          <w:rFonts w:ascii="Times New Roman" w:hAnsi="Times New Roman" w:eastAsia="Times New Roman" w:cs="Times New Roman"/>
          <w:spacing w:val="5"/>
          <w:sz w:val="20"/>
          <w:szCs w:val="20"/>
        </w:rPr>
        <w:t xml:space="preserve">  </w:t>
      </w:r>
      <w:r>
        <w:rPr>
          <w:rFonts w:ascii="Times New Roman" w:hAnsi="Times New Roman" w:eastAsia="Times New Roman" w:cs="Times New Roman"/>
          <w:sz w:val="20"/>
          <w:szCs w:val="20"/>
        </w:rPr>
        <w:t>Systematic</w:t>
      </w:r>
      <w:r>
        <w:rPr>
          <w:rFonts w:ascii="Times New Roman" w:hAnsi="Times New Roman" w:eastAsia="Times New Roman" w:cs="Times New Roman"/>
          <w:spacing w:val="5"/>
          <w:sz w:val="20"/>
          <w:szCs w:val="20"/>
        </w:rPr>
        <w:t xml:space="preserve">  </w:t>
      </w:r>
      <w:r>
        <w:rPr>
          <w:rFonts w:ascii="Times New Roman" w:hAnsi="Times New Roman" w:eastAsia="Times New Roman" w:cs="Times New Roman"/>
          <w:sz w:val="20"/>
          <w:szCs w:val="20"/>
        </w:rPr>
        <w:t>reviews</w:t>
      </w:r>
      <w:r>
        <w:rPr>
          <w:rFonts w:ascii="Times New Roman" w:hAnsi="Times New Roman" w:eastAsia="Times New Roman" w:cs="Times New Roman"/>
          <w:spacing w:val="5"/>
          <w:sz w:val="20"/>
          <w:szCs w:val="20"/>
        </w:rPr>
        <w:t xml:space="preserve">  </w:t>
      </w:r>
      <w:r>
        <w:rPr>
          <w:rFonts w:ascii="Times New Roman" w:hAnsi="Times New Roman" w:eastAsia="Times New Roman" w:cs="Times New Roman"/>
          <w:sz w:val="20"/>
          <w:szCs w:val="20"/>
        </w:rPr>
        <w:t>and</w:t>
      </w:r>
      <w:r>
        <w:rPr>
          <w:rFonts w:ascii="Times New Roman" w:hAnsi="Times New Roman" w:eastAsia="Times New Roman" w:cs="Times New Roman"/>
          <w:spacing w:val="5"/>
          <w:sz w:val="20"/>
          <w:szCs w:val="20"/>
        </w:rPr>
        <w:t xml:space="preserve">  </w:t>
      </w:r>
      <w:r>
        <w:rPr>
          <w:rFonts w:ascii="Times New Roman" w:hAnsi="Times New Roman" w:eastAsia="Times New Roman" w:cs="Times New Roman"/>
          <w:sz w:val="20"/>
          <w:szCs w:val="20"/>
        </w:rPr>
        <w:t>Meta</w:t>
      </w:r>
      <w:r>
        <w:rPr>
          <w:rFonts w:ascii="Times New Roman" w:hAnsi="Times New Roman" w:eastAsia="Times New Roman" w:cs="Times New Roman"/>
          <w:spacing w:val="5"/>
          <w:sz w:val="20"/>
          <w:szCs w:val="20"/>
        </w:rPr>
        <w:t>-</w:t>
      </w:r>
      <w:r>
        <w:rPr>
          <w:rFonts w:ascii="Times New Roman" w:hAnsi="Times New Roman" w:eastAsia="Times New Roman" w:cs="Times New Roman"/>
          <w:sz w:val="20"/>
          <w:szCs w:val="20"/>
        </w:rPr>
        <w:t>Analyses</w:t>
      </w:r>
      <w:r>
        <w:rPr>
          <w:rFonts w:ascii="Times New Roman" w:hAnsi="Times New Roman" w:eastAsia="Times New Roman" w:cs="Times New Roman"/>
          <w:spacing w:val="5"/>
          <w:sz w:val="20"/>
          <w:szCs w:val="20"/>
        </w:rPr>
        <w:t>,</w:t>
      </w:r>
      <w:r>
        <w:rPr>
          <w:rFonts w:ascii="Times New Roman" w:hAnsi="Times New Roman" w:eastAsia="Times New Roman" w:cs="Times New Roman"/>
          <w:sz w:val="20"/>
          <w:szCs w:val="20"/>
        </w:rPr>
        <w:t>PRISMA</w:t>
      </w:r>
      <w:r>
        <w:rPr>
          <w:rFonts w:ascii="Times New Roman" w:hAnsi="Times New Roman" w:eastAsia="Times New Roman" w:cs="Times New Roman"/>
          <w:spacing w:val="5"/>
          <w:sz w:val="20"/>
          <w:szCs w:val="20"/>
        </w:rPr>
        <w:t>)</w:t>
      </w:r>
      <w:r>
        <w:rPr>
          <w:rFonts w:ascii="宋体" w:hAnsi="宋体" w:eastAsia="宋体" w:cs="宋体"/>
          <w:spacing w:val="5"/>
          <w:sz w:val="20"/>
          <w:szCs w:val="20"/>
        </w:rPr>
        <w:t>进行总结报告</w:t>
      </w:r>
      <w:r>
        <w:rPr>
          <w:rFonts w:ascii="宋体" w:hAnsi="宋体" w:eastAsia="宋体" w:cs="宋体"/>
          <w:spacing w:val="4"/>
          <w:sz w:val="20"/>
          <w:szCs w:val="20"/>
        </w:rPr>
        <w:t>。</w:t>
      </w:r>
      <w:r>
        <w:rPr>
          <w:rFonts w:ascii="Times New Roman" w:hAnsi="Times New Roman" w:eastAsia="Times New Roman" w:cs="Times New Roman"/>
          <w:sz w:val="20"/>
          <w:szCs w:val="20"/>
        </w:rPr>
        <w:t>PRISMA</w:t>
      </w:r>
      <w:r>
        <w:rPr>
          <w:rFonts w:ascii="Times New Roman" w:hAnsi="Times New Roman" w:eastAsia="Times New Roman" w:cs="Times New Roman"/>
          <w:spacing w:val="4"/>
          <w:sz w:val="20"/>
          <w:szCs w:val="20"/>
        </w:rPr>
        <w:t xml:space="preserve"> </w:t>
      </w:r>
      <w:r>
        <w:rPr>
          <w:rFonts w:ascii="宋体" w:hAnsi="宋体" w:eastAsia="宋体" w:cs="宋体"/>
          <w:spacing w:val="4"/>
          <w:sz w:val="20"/>
          <w:szCs w:val="20"/>
        </w:rPr>
        <w:t>由27个条目清单</w:t>
      </w:r>
      <w:r>
        <w:rPr>
          <w:rFonts w:ascii="宋体" w:hAnsi="宋体" w:eastAsia="宋体" w:cs="宋体"/>
          <w:sz w:val="20"/>
          <w:szCs w:val="20"/>
        </w:rPr>
        <w:t xml:space="preserve"> </w:t>
      </w:r>
      <w:r>
        <w:rPr>
          <w:rFonts w:ascii="宋体" w:hAnsi="宋体" w:eastAsia="宋体" w:cs="宋体"/>
          <w:spacing w:val="12"/>
          <w:sz w:val="20"/>
          <w:szCs w:val="20"/>
        </w:rPr>
        <w:t>(表18-6)以及一个四阶段的流程图(图18-6)组成，清单中包括的条目对透明报告系统综述非常</w:t>
      </w:r>
      <w:r>
        <w:rPr>
          <w:rFonts w:ascii="宋体" w:hAnsi="宋体" w:eastAsia="宋体" w:cs="宋体"/>
          <w:spacing w:val="5"/>
          <w:sz w:val="20"/>
          <w:szCs w:val="20"/>
        </w:rPr>
        <w:t xml:space="preserve"> </w:t>
      </w:r>
      <w:r>
        <w:rPr>
          <w:rFonts w:ascii="宋体" w:hAnsi="宋体" w:eastAsia="宋体" w:cs="宋体"/>
          <w:spacing w:val="10"/>
          <w:sz w:val="20"/>
          <w:szCs w:val="20"/>
        </w:rPr>
        <w:t>重要。</w:t>
      </w:r>
    </w:p>
    <w:p w14:paraId="13E7812D">
      <w:pPr>
        <w:pStyle w:val="2"/>
        <w:spacing w:before="250" w:line="221" w:lineRule="auto"/>
        <w:ind w:left="422"/>
        <w:outlineLvl w:val="4"/>
        <w:rPr>
          <w:sz w:val="20"/>
          <w:szCs w:val="20"/>
        </w:rPr>
      </w:pPr>
      <w:bookmarkStart w:id="472" w:name="bookmark297"/>
      <w:bookmarkEnd w:id="472"/>
      <w:r>
        <w:rPr>
          <w:b/>
          <w:bCs/>
          <w:spacing w:val="-16"/>
          <w:sz w:val="20"/>
          <w:szCs w:val="20"/>
        </w:rPr>
        <w:t>三</w:t>
      </w:r>
      <w:r>
        <w:rPr>
          <w:spacing w:val="41"/>
          <w:sz w:val="20"/>
          <w:szCs w:val="20"/>
        </w:rPr>
        <w:t xml:space="preserve"> </w:t>
      </w:r>
      <w:r>
        <w:rPr>
          <w:b/>
          <w:bCs/>
          <w:spacing w:val="-16"/>
          <w:sz w:val="20"/>
          <w:szCs w:val="20"/>
        </w:rPr>
        <w:t>、系</w:t>
      </w:r>
      <w:r>
        <w:rPr>
          <w:spacing w:val="-31"/>
          <w:sz w:val="20"/>
          <w:szCs w:val="20"/>
        </w:rPr>
        <w:t xml:space="preserve"> </w:t>
      </w:r>
      <w:r>
        <w:rPr>
          <w:b/>
          <w:bCs/>
          <w:spacing w:val="-16"/>
          <w:sz w:val="20"/>
          <w:szCs w:val="20"/>
        </w:rPr>
        <w:t>统</w:t>
      </w:r>
      <w:r>
        <w:rPr>
          <w:spacing w:val="-30"/>
          <w:sz w:val="20"/>
          <w:szCs w:val="20"/>
        </w:rPr>
        <w:t xml:space="preserve"> </w:t>
      </w:r>
      <w:r>
        <w:rPr>
          <w:b/>
          <w:bCs/>
          <w:spacing w:val="-16"/>
          <w:sz w:val="20"/>
          <w:szCs w:val="20"/>
        </w:rPr>
        <w:t>综</w:t>
      </w:r>
      <w:r>
        <w:rPr>
          <w:spacing w:val="-31"/>
          <w:sz w:val="20"/>
          <w:szCs w:val="20"/>
        </w:rPr>
        <w:t xml:space="preserve"> </w:t>
      </w:r>
      <w:r>
        <w:rPr>
          <w:b/>
          <w:bCs/>
          <w:spacing w:val="-16"/>
          <w:sz w:val="20"/>
          <w:szCs w:val="20"/>
        </w:rPr>
        <w:t>述</w:t>
      </w:r>
      <w:r>
        <w:rPr>
          <w:spacing w:val="-16"/>
          <w:sz w:val="20"/>
          <w:szCs w:val="20"/>
        </w:rPr>
        <w:t xml:space="preserve"> </w:t>
      </w:r>
      <w:r>
        <w:rPr>
          <w:b/>
          <w:bCs/>
          <w:spacing w:val="-16"/>
          <w:sz w:val="20"/>
          <w:szCs w:val="20"/>
        </w:rPr>
        <w:t>中</w:t>
      </w:r>
      <w:r>
        <w:rPr>
          <w:spacing w:val="-18"/>
          <w:sz w:val="20"/>
          <w:szCs w:val="20"/>
        </w:rPr>
        <w:t xml:space="preserve"> </w:t>
      </w:r>
      <w:r>
        <w:rPr>
          <w:b/>
          <w:bCs/>
          <w:spacing w:val="-16"/>
          <w:sz w:val="20"/>
          <w:szCs w:val="20"/>
        </w:rPr>
        <w:t>的</w:t>
      </w:r>
      <w:r>
        <w:rPr>
          <w:spacing w:val="-30"/>
          <w:sz w:val="20"/>
          <w:szCs w:val="20"/>
        </w:rPr>
        <w:t xml:space="preserve"> </w:t>
      </w:r>
      <w:r>
        <w:rPr>
          <w:b/>
          <w:bCs/>
          <w:spacing w:val="-16"/>
          <w:sz w:val="20"/>
          <w:szCs w:val="20"/>
        </w:rPr>
        <w:t>偏</w:t>
      </w:r>
      <w:r>
        <w:rPr>
          <w:spacing w:val="-30"/>
          <w:sz w:val="20"/>
          <w:szCs w:val="20"/>
        </w:rPr>
        <w:t xml:space="preserve"> </w:t>
      </w:r>
      <w:r>
        <w:rPr>
          <w:b/>
          <w:bCs/>
          <w:spacing w:val="-16"/>
          <w:sz w:val="20"/>
          <w:szCs w:val="20"/>
        </w:rPr>
        <w:t>倚</w:t>
      </w:r>
    </w:p>
    <w:p w14:paraId="07642D5F">
      <w:pPr>
        <w:pStyle w:val="2"/>
        <w:spacing w:before="274" w:line="221" w:lineRule="auto"/>
        <w:ind w:left="420"/>
        <w:rPr>
          <w:sz w:val="20"/>
          <w:szCs w:val="20"/>
        </w:rPr>
      </w:pPr>
      <w:r>
        <w:rPr>
          <w:spacing w:val="21"/>
          <w:sz w:val="20"/>
          <w:szCs w:val="20"/>
        </w:rPr>
        <w:t>(</w:t>
      </w:r>
      <w:r>
        <w:rPr>
          <w:spacing w:val="-48"/>
          <w:sz w:val="20"/>
          <w:szCs w:val="20"/>
        </w:rPr>
        <w:t xml:space="preserve"> </w:t>
      </w:r>
      <w:r>
        <w:rPr>
          <w:spacing w:val="21"/>
          <w:sz w:val="20"/>
          <w:szCs w:val="20"/>
        </w:rPr>
        <w:t>一</w:t>
      </w:r>
      <w:r>
        <w:rPr>
          <w:spacing w:val="-58"/>
          <w:sz w:val="20"/>
          <w:szCs w:val="20"/>
        </w:rPr>
        <w:t xml:space="preserve"> </w:t>
      </w:r>
      <w:r>
        <w:rPr>
          <w:spacing w:val="21"/>
          <w:sz w:val="20"/>
          <w:szCs w:val="20"/>
        </w:rPr>
        <w:t>)偏倚的来源与控制</w:t>
      </w:r>
    </w:p>
    <w:p w14:paraId="28407A70">
      <w:pPr>
        <w:spacing w:before="109" w:line="334" w:lineRule="auto"/>
        <w:ind w:right="629" w:firstLine="420"/>
        <w:jc w:val="both"/>
        <w:rPr>
          <w:rFonts w:ascii="宋体" w:hAnsi="宋体" w:eastAsia="宋体" w:cs="宋体"/>
          <w:sz w:val="20"/>
          <w:szCs w:val="20"/>
        </w:rPr>
      </w:pPr>
      <w:r>
        <w:rPr>
          <w:rFonts w:ascii="宋体" w:hAnsi="宋体" w:eastAsia="宋体" w:cs="宋体"/>
          <w:spacing w:val="-1"/>
          <w:sz w:val="20"/>
          <w:szCs w:val="20"/>
        </w:rPr>
        <w:t>系统综述作为文献的二次研究，如果在设计、实施、分析等环节出了问题，也会引入偏倚</w:t>
      </w:r>
      <w:r>
        <w:rPr>
          <w:rFonts w:ascii="宋体" w:hAnsi="宋体" w:eastAsia="宋体" w:cs="宋体"/>
          <w:spacing w:val="-2"/>
          <w:sz w:val="20"/>
          <w:szCs w:val="20"/>
        </w:rPr>
        <w:t>，影响</w:t>
      </w:r>
      <w:r>
        <w:rPr>
          <w:rFonts w:ascii="宋体" w:hAnsi="宋体" w:eastAsia="宋体" w:cs="宋体"/>
          <w:sz w:val="20"/>
          <w:szCs w:val="20"/>
        </w:rPr>
        <w:t xml:space="preserve"> </w:t>
      </w:r>
      <w:r>
        <w:rPr>
          <w:rFonts w:ascii="宋体" w:hAnsi="宋体" w:eastAsia="宋体" w:cs="宋体"/>
          <w:spacing w:val="4"/>
          <w:sz w:val="20"/>
          <w:szCs w:val="20"/>
        </w:rPr>
        <w:t>最终结果和结论的真实性。同其他流行病学研究</w:t>
      </w:r>
      <w:r>
        <w:rPr>
          <w:rFonts w:ascii="宋体" w:hAnsi="宋体" w:eastAsia="宋体" w:cs="宋体"/>
          <w:spacing w:val="3"/>
          <w:sz w:val="20"/>
          <w:szCs w:val="20"/>
        </w:rPr>
        <w:t>一样，系统综述的偏倚也可分为信息偏倚、选择偏</w:t>
      </w:r>
      <w:r>
        <w:rPr>
          <w:rFonts w:ascii="宋体" w:hAnsi="宋体" w:eastAsia="宋体" w:cs="宋体"/>
          <w:sz w:val="20"/>
          <w:szCs w:val="20"/>
        </w:rPr>
        <w:t xml:space="preserve"> </w:t>
      </w:r>
      <w:r>
        <w:rPr>
          <w:rFonts w:ascii="宋体" w:hAnsi="宋体" w:eastAsia="宋体" w:cs="宋体"/>
          <w:spacing w:val="4"/>
          <w:sz w:val="20"/>
          <w:szCs w:val="20"/>
        </w:rPr>
        <w:t>倚和混杂偏倚。不同的是，系统综述的三种偏倚存在于两个层面</w:t>
      </w:r>
      <w:r>
        <w:rPr>
          <w:rFonts w:ascii="宋体" w:hAnsi="宋体" w:eastAsia="宋体" w:cs="宋体"/>
          <w:spacing w:val="3"/>
          <w:sz w:val="20"/>
          <w:szCs w:val="20"/>
        </w:rPr>
        <w:t>，即原始研究固有存在的，以及系</w:t>
      </w:r>
      <w:r>
        <w:rPr>
          <w:rFonts w:ascii="宋体" w:hAnsi="宋体" w:eastAsia="宋体" w:cs="宋体"/>
          <w:sz w:val="20"/>
          <w:szCs w:val="20"/>
        </w:rPr>
        <w:t xml:space="preserve"> </w:t>
      </w:r>
      <w:r>
        <w:rPr>
          <w:rFonts w:ascii="宋体" w:hAnsi="宋体" w:eastAsia="宋体" w:cs="宋体"/>
          <w:spacing w:val="7"/>
          <w:sz w:val="20"/>
          <w:szCs w:val="20"/>
        </w:rPr>
        <w:t>统综述制作过程中引入的新偏倚。</w:t>
      </w:r>
    </w:p>
    <w:p w14:paraId="4234C35E">
      <w:pPr>
        <w:spacing w:before="3" w:line="334" w:lineRule="auto"/>
        <w:ind w:right="638" w:firstLine="420"/>
        <w:jc w:val="both"/>
        <w:rPr>
          <w:rFonts w:ascii="宋体" w:hAnsi="宋体" w:eastAsia="宋体" w:cs="宋体"/>
          <w:sz w:val="20"/>
          <w:szCs w:val="20"/>
        </w:rPr>
      </w:pPr>
      <w:r>
        <w:rPr>
          <w:rFonts w:ascii="宋体" w:hAnsi="宋体" w:eastAsia="宋体" w:cs="宋体"/>
          <w:spacing w:val="4"/>
          <w:sz w:val="20"/>
          <w:szCs w:val="20"/>
        </w:rPr>
        <w:t>系统综述的信息主要源于原始研究的集合数据，变量</w:t>
      </w:r>
      <w:r>
        <w:rPr>
          <w:rFonts w:ascii="宋体" w:hAnsi="宋体" w:eastAsia="宋体" w:cs="宋体"/>
          <w:spacing w:val="3"/>
          <w:sz w:val="20"/>
          <w:szCs w:val="20"/>
        </w:rPr>
        <w:t>的定义不合理或不明确、数据提取的方式</w:t>
      </w:r>
      <w:r>
        <w:rPr>
          <w:rFonts w:ascii="宋体" w:hAnsi="宋体" w:eastAsia="宋体" w:cs="宋体"/>
          <w:sz w:val="20"/>
          <w:szCs w:val="20"/>
        </w:rPr>
        <w:t xml:space="preserve"> </w:t>
      </w:r>
      <w:r>
        <w:rPr>
          <w:rFonts w:ascii="宋体" w:hAnsi="宋体" w:eastAsia="宋体" w:cs="宋体"/>
          <w:spacing w:val="3"/>
          <w:sz w:val="20"/>
          <w:szCs w:val="20"/>
        </w:rPr>
        <w:t>不正确、原始信息不准确以及原始研究中有关信息缺失等，都会导致提取的数据不准确，从而引起</w:t>
      </w:r>
      <w:r>
        <w:rPr>
          <w:rFonts w:ascii="宋体" w:hAnsi="宋体" w:eastAsia="宋体" w:cs="宋体"/>
          <w:spacing w:val="18"/>
          <w:sz w:val="20"/>
          <w:szCs w:val="20"/>
        </w:rPr>
        <w:t xml:space="preserve"> </w:t>
      </w:r>
      <w:r>
        <w:rPr>
          <w:rFonts w:ascii="宋体" w:hAnsi="宋体" w:eastAsia="宋体" w:cs="宋体"/>
          <w:spacing w:val="4"/>
          <w:sz w:val="20"/>
          <w:szCs w:val="20"/>
        </w:rPr>
        <w:t>最终整合结果的信息偏倚。要控制系统综述的信息偏倚，需</w:t>
      </w:r>
      <w:r>
        <w:rPr>
          <w:rFonts w:ascii="宋体" w:hAnsi="宋体" w:eastAsia="宋体" w:cs="宋体"/>
          <w:spacing w:val="3"/>
          <w:sz w:val="20"/>
          <w:szCs w:val="20"/>
        </w:rPr>
        <w:t>要在定义变量和提取数据上下功夫，必</w:t>
      </w:r>
      <w:r>
        <w:rPr>
          <w:rFonts w:ascii="宋体" w:hAnsi="宋体" w:eastAsia="宋体" w:cs="宋体"/>
          <w:sz w:val="20"/>
          <w:szCs w:val="20"/>
        </w:rPr>
        <w:t xml:space="preserve"> </w:t>
      </w:r>
      <w:r>
        <w:rPr>
          <w:rFonts w:ascii="宋体" w:hAnsi="宋体" w:eastAsia="宋体" w:cs="宋体"/>
          <w:spacing w:val="3"/>
          <w:sz w:val="20"/>
          <w:szCs w:val="20"/>
        </w:rPr>
        <w:t>要时应和原作者取得联系，核实可疑的信息或索取缺失的信息。</w:t>
      </w:r>
    </w:p>
    <w:p w14:paraId="6830ED69">
      <w:pPr>
        <w:spacing w:before="4" w:line="219" w:lineRule="auto"/>
        <w:ind w:left="420"/>
        <w:rPr>
          <w:rFonts w:ascii="宋体" w:hAnsi="宋体" w:eastAsia="宋体" w:cs="宋体"/>
          <w:sz w:val="20"/>
          <w:szCs w:val="20"/>
        </w:rPr>
      </w:pPr>
      <w:r>
        <w:rPr>
          <w:rFonts w:ascii="宋体" w:hAnsi="宋体" w:eastAsia="宋体" w:cs="宋体"/>
          <w:spacing w:val="9"/>
          <w:sz w:val="20"/>
          <w:szCs w:val="20"/>
        </w:rPr>
        <w:t>选择偏倚是系统综述中最重要的偏倚来源，原因是实际收集到的研究</w:t>
      </w:r>
      <w:r>
        <w:rPr>
          <w:rFonts w:ascii="宋体" w:hAnsi="宋体" w:eastAsia="宋体" w:cs="宋体"/>
          <w:spacing w:val="8"/>
          <w:sz w:val="20"/>
          <w:szCs w:val="20"/>
        </w:rPr>
        <w:t>与研究总体之间存在差</w:t>
      </w:r>
    </w:p>
    <w:p w14:paraId="731FE68F">
      <w:pPr>
        <w:spacing w:line="219" w:lineRule="auto"/>
        <w:rPr>
          <w:rFonts w:ascii="宋体" w:hAnsi="宋体" w:eastAsia="宋体" w:cs="宋体"/>
          <w:sz w:val="20"/>
          <w:szCs w:val="20"/>
        </w:rPr>
        <w:sectPr>
          <w:footerReference r:id="rId306" w:type="default"/>
          <w:pgSz w:w="11900" w:h="16820"/>
          <w:pgMar w:top="400" w:right="954" w:bottom="1029" w:left="1539" w:header="0" w:footer="849" w:gutter="0"/>
          <w:cols w:space="720" w:num="1"/>
        </w:sectPr>
      </w:pPr>
    </w:p>
    <w:p w14:paraId="2AB2249C">
      <w:pPr>
        <w:spacing w:line="251" w:lineRule="auto"/>
        <w:rPr>
          <w:rFonts w:ascii="Arial"/>
          <w:sz w:val="21"/>
        </w:rPr>
      </w:pPr>
    </w:p>
    <w:p w14:paraId="014862DC">
      <w:pPr>
        <w:spacing w:line="251" w:lineRule="auto"/>
        <w:rPr>
          <w:rFonts w:ascii="Arial"/>
          <w:sz w:val="21"/>
        </w:rPr>
      </w:pPr>
    </w:p>
    <w:p w14:paraId="248EF202">
      <w:pPr>
        <w:spacing w:line="251" w:lineRule="auto"/>
        <w:rPr>
          <w:rFonts w:ascii="Arial"/>
          <w:sz w:val="21"/>
        </w:rPr>
      </w:pPr>
    </w:p>
    <w:p w14:paraId="10F636AB">
      <w:pPr>
        <w:spacing w:line="251" w:lineRule="auto"/>
        <w:rPr>
          <w:rFonts w:ascii="Arial"/>
          <w:sz w:val="21"/>
        </w:rPr>
      </w:pPr>
    </w:p>
    <w:p w14:paraId="63593820">
      <w:pPr>
        <w:spacing w:line="252" w:lineRule="auto"/>
        <w:rPr>
          <w:rFonts w:ascii="Arial"/>
          <w:sz w:val="21"/>
        </w:rPr>
      </w:pPr>
      <w:r>
        <mc:AlternateContent>
          <mc:Choice Requires="wps">
            <w:drawing>
              <wp:anchor distT="0" distB="0" distL="0" distR="0" simplePos="0" relativeHeight="251957248" behindDoc="0" locked="0" layoutInCell="1" allowOverlap="1">
                <wp:simplePos x="0" y="0"/>
                <wp:positionH relativeFrom="column">
                  <wp:posOffset>-43815</wp:posOffset>
                </wp:positionH>
                <wp:positionV relativeFrom="paragraph">
                  <wp:posOffset>8255</wp:posOffset>
                </wp:positionV>
                <wp:extent cx="227965" cy="248920"/>
                <wp:effectExtent l="0" t="0" r="0" b="0"/>
                <wp:wrapNone/>
                <wp:docPr id="764" name="TextBox 764"/>
                <wp:cNvGraphicFramePr/>
                <a:graphic xmlns:a="http://schemas.openxmlformats.org/drawingml/2006/main">
                  <a:graphicData uri="http://schemas.microsoft.com/office/word/2010/wordprocessingShape">
                    <wps:wsp>
                      <wps:cNvSpPr txBox="1"/>
                      <wps:spPr>
                        <a:xfrm rot="5400000">
                          <a:off x="-44132" y="8567"/>
                          <a:ext cx="227965" cy="248920"/>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4A8F62A9">
                            <w:pPr>
                              <w:spacing w:before="85"/>
                              <w:ind w:left="20"/>
                              <w:rPr>
                                <w:rFonts w:ascii="宋体" w:hAnsi="宋体" w:eastAsia="宋体" w:cs="宋体"/>
                                <w:sz w:val="22"/>
                                <w:szCs w:val="22"/>
                              </w:rPr>
                            </w:pPr>
                            <w:bookmarkStart w:id="626" w:name="bookmark562"/>
                            <w:bookmarkEnd w:id="626"/>
                            <w:r>
                              <w:rPr>
                                <w:rFonts w:ascii="宋体" w:hAnsi="宋体" w:eastAsia="宋体" w:cs="宋体"/>
                                <w:spacing w:val="-3"/>
                                <w:sz w:val="22"/>
                                <w:szCs w:val="22"/>
                              </w:rPr>
                              <w:t>258</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764" o:spid="_x0000_s1026" o:spt="202" type="#_x0000_t202" style="position:absolute;left:0pt;margin-left:-3.45pt;margin-top:0.65pt;height:19.6pt;width:17.95pt;rotation:5898240f;z-index:251957248;mso-width-relative:page;mso-height-relative:page;" filled="f" stroked="f" coordsize="21600,21600" o:gfxdata="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">
                <v:fill on="f" focussize="0,0"/>
                <v:stroke on="f" weight="0pt" miterlimit="0" joinstyle="miter"/>
                <v:imagedata o:title=""/>
                <o:lock v:ext="edit" aspectratio="f"/>
                <v:textbox inset="0mm,0mm,0mm,0mm">
                  <w:txbxContent>
                    <w:p w14:paraId="4A8F62A9">
                      <w:pPr>
                        <w:spacing w:before="85"/>
                        <w:ind w:left="20"/>
                        <w:rPr>
                          <w:rFonts w:ascii="宋体" w:hAnsi="宋体" w:eastAsia="宋体" w:cs="宋体"/>
                          <w:sz w:val="22"/>
                          <w:szCs w:val="22"/>
                        </w:rPr>
                      </w:pPr>
                      <w:bookmarkStart w:id="626" w:name="bookmark562"/>
                      <w:bookmarkEnd w:id="626"/>
                      <w:r>
                        <w:rPr>
                          <w:rFonts w:ascii="宋体" w:hAnsi="宋体" w:eastAsia="宋体" w:cs="宋体"/>
                          <w:spacing w:val="-3"/>
                          <w:sz w:val="22"/>
                          <w:szCs w:val="22"/>
                        </w:rPr>
                        <w:t>258</w:t>
                      </w:r>
                    </w:p>
                  </w:txbxContent>
                </v:textbox>
              </v:shape>
            </w:pict>
          </mc:Fallback>
        </mc:AlternateContent>
      </w:r>
    </w:p>
    <w:p w14:paraId="0B4A5BEC">
      <w:pPr>
        <w:spacing w:line="252" w:lineRule="auto"/>
        <w:rPr>
          <w:rFonts w:ascii="Arial"/>
          <w:sz w:val="21"/>
        </w:rPr>
      </w:pPr>
    </w:p>
    <w:p w14:paraId="5E16A805">
      <w:pPr>
        <w:spacing w:line="252" w:lineRule="auto"/>
        <w:rPr>
          <w:rFonts w:ascii="Arial"/>
          <w:sz w:val="21"/>
        </w:rPr>
      </w:pPr>
      <w:r>
        <mc:AlternateContent>
          <mc:Choice Requires="wps">
            <w:drawing>
              <wp:anchor distT="0" distB="0" distL="0" distR="0" simplePos="0" relativeHeight="251941888" behindDoc="0" locked="0" layoutInCell="1" allowOverlap="1">
                <wp:simplePos x="0" y="0"/>
                <wp:positionH relativeFrom="column">
                  <wp:posOffset>9204325</wp:posOffset>
                </wp:positionH>
                <wp:positionV relativeFrom="paragraph">
                  <wp:posOffset>830580</wp:posOffset>
                </wp:positionV>
                <wp:extent cx="1541145" cy="174625"/>
                <wp:effectExtent l="0" t="0" r="0" b="0"/>
                <wp:wrapNone/>
                <wp:docPr id="766" name="TextBox 766"/>
                <wp:cNvGraphicFramePr/>
                <a:graphic xmlns:a="http://schemas.openxmlformats.org/drawingml/2006/main">
                  <a:graphicData uri="http://schemas.microsoft.com/office/word/2010/wordprocessingShape">
                    <wps:wsp>
                      <wps:cNvSpPr txBox="1"/>
                      <wps:spPr>
                        <a:xfrm rot="5400000">
                          <a:off x="9204810" y="831092"/>
                          <a:ext cx="1541144" cy="174625"/>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191E5BC8">
                            <w:pPr>
                              <w:spacing w:before="52" w:line="219" w:lineRule="auto"/>
                              <w:ind w:left="20"/>
                              <w:rPr>
                                <w:rFonts w:ascii="宋体" w:hAnsi="宋体" w:eastAsia="宋体" w:cs="宋体"/>
                                <w:sz w:val="17"/>
                                <w:szCs w:val="17"/>
                              </w:rPr>
                            </w:pPr>
                            <w:r>
                              <w:rPr>
                                <w:rFonts w:ascii="宋体" w:hAnsi="宋体" w:eastAsia="宋体" w:cs="宋体"/>
                                <w:spacing w:val="13"/>
                                <w:sz w:val="17"/>
                                <w:szCs w:val="17"/>
                              </w:rPr>
                              <w:t>第十八瓣循证医学与系统综述</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766" o:spid="_x0000_s1026" o:spt="202" type="#_x0000_t202" style="position:absolute;left:0pt;margin-left:724.75pt;margin-top:65.4pt;height:13.75pt;width:121.35pt;rotation:5898240f;z-index:251941888;mso-width-relative:page;mso-height-relative:page;" filled="f" stroked="f" coordsize="21600,21600" o:gfxdata="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JckGEPaAAAADQEA&#10;AA8AAAAAAAAAAQAgAAAAIgAAAGRycy9kb3ducmV2LnhtbFBLAQIUABQAAAAIAIdO4kC3rqzSUQIA&#10;AKQEAAAOAAAAAAAAAAEAIAAAACkBAABkcnMvZTJvRG9jLnhtbFBLBQYAAAAABgAGAFkBAADsBQAA&#10;AAA=&#10;">
                <v:fill on="f" focussize="0,0"/>
                <v:stroke on="f" weight="0pt" miterlimit="0" joinstyle="miter"/>
                <v:imagedata o:title=""/>
                <o:lock v:ext="edit" aspectratio="f"/>
                <v:textbox inset="0mm,0mm,0mm,0mm">
                  <w:txbxContent>
                    <w:p w14:paraId="191E5BC8">
                      <w:pPr>
                        <w:spacing w:before="52" w:line="219" w:lineRule="auto"/>
                        <w:ind w:left="20"/>
                        <w:rPr>
                          <w:rFonts w:ascii="宋体" w:hAnsi="宋体" w:eastAsia="宋体" w:cs="宋体"/>
                          <w:sz w:val="17"/>
                          <w:szCs w:val="17"/>
                        </w:rPr>
                      </w:pPr>
                      <w:r>
                        <w:rPr>
                          <w:rFonts w:ascii="宋体" w:hAnsi="宋体" w:eastAsia="宋体" w:cs="宋体"/>
                          <w:spacing w:val="13"/>
                          <w:sz w:val="17"/>
                          <w:szCs w:val="17"/>
                        </w:rPr>
                        <w:t>第十八瓣循证医学与系统综述</w:t>
                      </w:r>
                    </w:p>
                  </w:txbxContent>
                </v:textbox>
              </v:shape>
            </w:pict>
          </mc:Fallback>
        </mc:AlternateContent>
      </w:r>
    </w:p>
    <w:p w14:paraId="7B8A50A8">
      <w:pPr>
        <w:spacing w:before="55" w:line="226" w:lineRule="auto"/>
        <w:ind w:left="4340"/>
        <w:rPr>
          <w:rFonts w:ascii="宋体" w:hAnsi="宋体" w:eastAsia="宋体" w:cs="宋体"/>
          <w:sz w:val="17"/>
          <w:szCs w:val="17"/>
        </w:rPr>
      </w:pPr>
      <w:r>
        <w:pict>
          <v:shape id="_x0000_s1237" o:spid="_x0000_s1237" style="position:absolute;left:0pt;margin-left:21.25pt;margin-top:14.9pt;height:0.5pt;width:728.05pt;z-index:251954176;mso-width-relative:page;mso-height-relative:page;" filled="f" stroked="t" coordsize="14560,10" path="m0,5l780,5m780,5l1500,5m1500,5l2200,5m2200,5l3560,5m3560,5l4700,5m4700,5l5540,5m5540,5l6580,5m6580,5l8750,5m8750,5l9440,5m9440,5l10210,5m10210,5l11590,5m11590,5l12800,5m12800,5l13430,5m13430,5l14560,5m0,5l780,5m780,5l1500,5m1500,5l2200,5m2200,5l3560,5m3560,5l4700,5m4700,5l5540,5m5540,5l6580,5m6580,5l8750,5m8750,5l9440,5m9440,5l10210,5m10210,5l11590,5m11590,5l12800,5m12800,5l13430,5m13430,5l14560,5e">
            <v:fill on="f" focussize="0,0"/>
            <v:stroke weight="0.5pt" color="#000000" miterlimit="10" joinstyle="miter"/>
            <v:imagedata o:title=""/>
            <o:lock v:ext="edit"/>
          </v:shape>
        </w:pict>
      </w:r>
      <w:r>
        <w:rPr>
          <w:rFonts w:ascii="宋体" w:hAnsi="宋体" w:eastAsia="宋体" w:cs="宋体"/>
          <w:spacing w:val="-2"/>
          <w:sz w:val="17"/>
          <w:szCs w:val="17"/>
        </w:rPr>
        <w:t>表18-      56项关   于幽门螺杆</w:t>
      </w:r>
      <w:r>
        <w:rPr>
          <w:rFonts w:ascii="宋体" w:hAnsi="宋体" w:eastAsia="宋体" w:cs="宋体"/>
          <w:spacing w:val="24"/>
          <w:w w:val="101"/>
          <w:sz w:val="17"/>
          <w:szCs w:val="17"/>
        </w:rPr>
        <w:t xml:space="preserve"> </w:t>
      </w:r>
      <w:r>
        <w:rPr>
          <w:rFonts w:ascii="宋体" w:hAnsi="宋体" w:eastAsia="宋体" w:cs="宋体"/>
          <w:spacing w:val="-2"/>
          <w:sz w:val="17"/>
          <w:szCs w:val="17"/>
          <w:shd w:val="clear" w:fill="646464"/>
        </w:rPr>
        <w:t xml:space="preserve">  菌根除治疗对胃癌后续发  </w:t>
      </w:r>
      <w:r>
        <w:rPr>
          <w:rFonts w:ascii="宋体" w:hAnsi="宋体" w:eastAsia="宋体" w:cs="宋体"/>
          <w:spacing w:val="35"/>
          <w:sz w:val="17"/>
          <w:szCs w:val="17"/>
          <w:shd w:val="clear" w:fill="606060"/>
        </w:rPr>
        <w:t xml:space="preserve"> </w:t>
      </w:r>
      <w:r>
        <w:rPr>
          <w:rFonts w:ascii="宋体" w:hAnsi="宋体" w:eastAsia="宋体" w:cs="宋体"/>
          <w:spacing w:val="-2"/>
          <w:sz w:val="16"/>
          <w:szCs w:val="16"/>
          <w:shd w:val="clear" w:fill="606060"/>
        </w:rPr>
        <w:t>生影</w:t>
      </w:r>
      <w:r>
        <w:rPr>
          <w:rFonts w:ascii="宋体" w:hAnsi="宋体" w:eastAsia="宋体" w:cs="宋体"/>
          <w:spacing w:val="-3"/>
          <w:sz w:val="16"/>
          <w:szCs w:val="16"/>
          <w:shd w:val="clear" w:fill="606060"/>
        </w:rPr>
        <w:t>响的</w:t>
      </w:r>
      <w:r>
        <w:rPr>
          <w:rFonts w:ascii="宋体" w:hAnsi="宋体" w:eastAsia="宋体" w:cs="宋体"/>
          <w:spacing w:val="-3"/>
          <w:sz w:val="16"/>
          <w:szCs w:val="16"/>
        </w:rPr>
        <w:t xml:space="preserve">  </w:t>
      </w:r>
      <w:r>
        <w:rPr>
          <w:rFonts w:ascii="宋体" w:hAnsi="宋体" w:eastAsia="宋体" w:cs="宋体"/>
          <w:spacing w:val="-3"/>
          <w:sz w:val="17"/>
          <w:szCs w:val="17"/>
        </w:rPr>
        <w:t>RCT基</w:t>
      </w:r>
      <w:r>
        <w:rPr>
          <w:rFonts w:ascii="宋体" w:hAnsi="宋体" w:eastAsia="宋体" w:cs="宋体"/>
          <w:spacing w:val="11"/>
          <w:sz w:val="17"/>
          <w:szCs w:val="17"/>
        </w:rPr>
        <w:t xml:space="preserve">   </w:t>
      </w:r>
      <w:r>
        <w:rPr>
          <w:rFonts w:ascii="宋体" w:hAnsi="宋体" w:eastAsia="宋体" w:cs="宋体"/>
          <w:spacing w:val="-3"/>
          <w:sz w:val="17"/>
          <w:szCs w:val="17"/>
        </w:rPr>
        <w:t>本特征</w:t>
      </w:r>
    </w:p>
    <w:p w14:paraId="48D3E7B8">
      <w:pPr>
        <w:spacing w:before="132" w:line="301" w:lineRule="auto"/>
        <w:ind w:left="6070" w:right="9039"/>
        <w:jc w:val="both"/>
        <w:rPr>
          <w:rFonts w:ascii="宋体" w:hAnsi="宋体" w:eastAsia="宋体" w:cs="宋体"/>
          <w:sz w:val="17"/>
          <w:szCs w:val="17"/>
        </w:rPr>
      </w:pPr>
      <w:r>
        <w:pict>
          <v:shape id="_x0000_s1238" o:spid="_x0000_s1238" style="position:absolute;left:0pt;margin-left:21.25pt;margin-top:49.25pt;height:0.5pt;width:728.05pt;z-index:251953152;mso-width-relative:page;mso-height-relative:page;" filled="f" stroked="t" coordsize="14560,10" path="m0,5l780,5m780,5l1500,5m1500,5l2200,5m2200,5l3560,5m3560,5l4700,5m4700,5l5540,5m5540,5l6580,5m6580,5l8750,5m8750,5l9440,5m9440,5l10210,5m10210,5l11590,5m11590,5l12800,5m12800,5l13430,5m13430,5l14560,5m0,5l780,5m780,5l1500,5m1500,5l2200,5m2200,5l3560,5m3560,5l4700,5m4700,5l5540,5m5540,5l6580,5m6580,5l8750,5m8750,5l9440,5m9440,5l10210,5m10210,5l11590,5m11590,5l12800,5m12800,5l13430,5m13430,5l14560,5e">
            <v:fill on="f" focussize="0,0"/>
            <v:stroke weight="0.5pt" color="#000000" miterlimit="10" joinstyle="miter"/>
            <v:imagedata o:title=""/>
            <o:lock v:ext="edit"/>
          </v:shape>
        </w:pict>
      </w:r>
      <w:r>
        <w:pict>
          <v:shape id="_x0000_s1239" o:spid="_x0000_s1239" o:spt="202" type="#_x0000_t202" style="position:absolute;left:0pt;margin-left:134.5pt;margin-top:6.05pt;height:39.65pt;width:49.25pt;z-index:251940864;mso-width-relative:page;mso-height-relative:page;" filled="f" stroked="f" coordsize="21600,21600">
            <v:path/>
            <v:fill on="f" focussize="0,0"/>
            <v:stroke on="f"/>
            <v:imagedata o:title=""/>
            <o:lock v:ext="edit" aspectratio="f"/>
            <v:textbox inset="0mm,0mm,0mm,0mm">
              <w:txbxContent>
                <w:p w14:paraId="03C9945C">
                  <w:pPr>
                    <w:spacing w:before="19" w:line="280" w:lineRule="auto"/>
                    <w:ind w:left="20" w:right="20"/>
                    <w:jc w:val="both"/>
                    <w:rPr>
                      <w:rFonts w:ascii="宋体" w:hAnsi="宋体" w:eastAsia="宋体" w:cs="宋体"/>
                      <w:sz w:val="17"/>
                      <w:szCs w:val="17"/>
                    </w:rPr>
                  </w:pPr>
                  <w:r>
                    <w:rPr>
                      <w:rFonts w:ascii="宋体" w:hAnsi="宋体" w:eastAsia="宋体" w:cs="宋体"/>
                      <w:spacing w:val="-1"/>
                      <w:sz w:val="17"/>
                      <w:szCs w:val="17"/>
                    </w:rPr>
                    <w:t>样本量(接受</w:t>
                  </w:r>
                  <w:r>
                    <w:rPr>
                      <w:rFonts w:ascii="宋体" w:hAnsi="宋体" w:eastAsia="宋体" w:cs="宋体"/>
                      <w:sz w:val="17"/>
                      <w:szCs w:val="17"/>
                    </w:rPr>
                    <w:t xml:space="preserve"> </w:t>
                  </w:r>
                  <w:r>
                    <w:rPr>
                      <w:rFonts w:ascii="宋体" w:hAnsi="宋体" w:eastAsia="宋体" w:cs="宋体"/>
                      <w:spacing w:val="-8"/>
                      <w:sz w:val="17"/>
                      <w:szCs w:val="17"/>
                    </w:rPr>
                    <w:t>H</w:t>
                  </w:r>
                  <w:r>
                    <w:rPr>
                      <w:rFonts w:ascii="宋体" w:hAnsi="宋体" w:eastAsia="宋体" w:cs="宋体"/>
                      <w:spacing w:val="-9"/>
                      <w:sz w:val="17"/>
                      <w:szCs w:val="17"/>
                    </w:rPr>
                    <w:t xml:space="preserve"> </w:t>
                  </w:r>
                  <w:r>
                    <w:rPr>
                      <w:rFonts w:ascii="宋体" w:hAnsi="宋体" w:eastAsia="宋体" w:cs="宋体"/>
                      <w:spacing w:val="-8"/>
                      <w:sz w:val="17"/>
                      <w:szCs w:val="17"/>
                    </w:rPr>
                    <w:t>P</w:t>
                  </w:r>
                  <w:r>
                    <w:rPr>
                      <w:rFonts w:ascii="宋体" w:hAnsi="宋体" w:eastAsia="宋体" w:cs="宋体"/>
                      <w:spacing w:val="-12"/>
                      <w:sz w:val="17"/>
                      <w:szCs w:val="17"/>
                    </w:rPr>
                    <w:t xml:space="preserve"> </w:t>
                  </w:r>
                  <w:r>
                    <w:rPr>
                      <w:rFonts w:ascii="宋体" w:hAnsi="宋体" w:eastAsia="宋体" w:cs="宋体"/>
                      <w:spacing w:val="-8"/>
                      <w:sz w:val="17"/>
                      <w:szCs w:val="17"/>
                    </w:rPr>
                    <w:t>根 除 治</w:t>
                  </w:r>
                  <w:r>
                    <w:rPr>
                      <w:rFonts w:ascii="宋体" w:hAnsi="宋体" w:eastAsia="宋体" w:cs="宋体"/>
                      <w:sz w:val="17"/>
                      <w:szCs w:val="17"/>
                    </w:rPr>
                    <w:t xml:space="preserve"> </w:t>
                  </w:r>
                  <w:r>
                    <w:rPr>
                      <w:rFonts w:ascii="宋体" w:hAnsi="宋体" w:eastAsia="宋体" w:cs="宋体"/>
                      <w:spacing w:val="-7"/>
                      <w:sz w:val="17"/>
                      <w:szCs w:val="17"/>
                    </w:rPr>
                    <w:t>疗</w:t>
                  </w:r>
                  <w:r>
                    <w:rPr>
                      <w:rFonts w:ascii="宋体" w:hAnsi="宋体" w:eastAsia="宋体" w:cs="宋体"/>
                      <w:spacing w:val="-10"/>
                      <w:sz w:val="17"/>
                      <w:szCs w:val="17"/>
                    </w:rPr>
                    <w:t xml:space="preserve"> </w:t>
                  </w:r>
                  <w:r>
                    <w:rPr>
                      <w:rFonts w:ascii="宋体" w:hAnsi="宋体" w:eastAsia="宋体" w:cs="宋体"/>
                      <w:spacing w:val="-7"/>
                      <w:sz w:val="17"/>
                      <w:szCs w:val="17"/>
                    </w:rPr>
                    <w:t>数</w:t>
                  </w:r>
                  <w:r>
                    <w:rPr>
                      <w:rFonts w:ascii="宋体" w:hAnsi="宋体" w:eastAsia="宋体" w:cs="宋体"/>
                      <w:spacing w:val="-10"/>
                      <w:sz w:val="17"/>
                      <w:szCs w:val="17"/>
                    </w:rPr>
                    <w:t xml:space="preserve"> </w:t>
                  </w:r>
                  <w:r>
                    <w:rPr>
                      <w:rFonts w:ascii="宋体" w:hAnsi="宋体" w:eastAsia="宋体" w:cs="宋体"/>
                      <w:spacing w:val="-7"/>
                      <w:sz w:val="17"/>
                      <w:szCs w:val="17"/>
                    </w:rPr>
                    <w:t>)</w:t>
                  </w:r>
                  <w:r>
                    <w:rPr>
                      <w:rFonts w:ascii="宋体" w:hAnsi="宋体" w:eastAsia="宋体" w:cs="宋体"/>
                      <w:spacing w:val="-12"/>
                      <w:sz w:val="17"/>
                      <w:szCs w:val="17"/>
                    </w:rPr>
                    <w:t xml:space="preserve"> </w:t>
                  </w:r>
                  <w:r>
                    <w:rPr>
                      <w:rFonts w:ascii="宋体" w:hAnsi="宋体" w:eastAsia="宋体" w:cs="宋体"/>
                      <w:spacing w:val="-7"/>
                      <w:sz w:val="17"/>
                      <w:szCs w:val="17"/>
                    </w:rPr>
                    <w:t>/</w:t>
                  </w:r>
                  <w:r>
                    <w:rPr>
                      <w:rFonts w:ascii="宋体" w:hAnsi="宋体" w:eastAsia="宋体" w:cs="宋体"/>
                      <w:spacing w:val="-11"/>
                      <w:sz w:val="17"/>
                      <w:szCs w:val="17"/>
                    </w:rPr>
                    <w:t xml:space="preserve"> </w:t>
                  </w:r>
                  <w:r>
                    <w:rPr>
                      <w:rFonts w:ascii="宋体" w:hAnsi="宋体" w:eastAsia="宋体" w:cs="宋体"/>
                      <w:spacing w:val="-7"/>
                      <w:sz w:val="17"/>
                      <w:szCs w:val="17"/>
                    </w:rPr>
                    <w:t>例</w:t>
                  </w:r>
                </w:p>
              </w:txbxContent>
            </v:textbox>
          </v:shape>
        </w:pict>
      </w:r>
      <w:r>
        <w:pict>
          <v:shape id="_x0000_s1240" o:spid="_x0000_s1240" o:spt="202" type="#_x0000_t202" style="position:absolute;left:0pt;margin-left:540.5pt;margin-top:12.05pt;height:26.3pt;width:44.8pt;z-index:251942912;mso-width-relative:page;mso-height-relative:page;" filled="f" stroked="f" coordsize="21600,21600">
            <v:path/>
            <v:fill on="f" focussize="0,0"/>
            <v:stroke on="f"/>
            <v:imagedata o:title=""/>
            <o:lock v:ext="edit" aspectratio="f"/>
            <v:textbox inset="0mm,0mm,0mm,0mm">
              <w:txbxContent>
                <w:p w14:paraId="4673461C">
                  <w:pPr>
                    <w:spacing w:before="20" w:line="274" w:lineRule="auto"/>
                    <w:ind w:left="20" w:right="20"/>
                    <w:rPr>
                      <w:rFonts w:ascii="宋体" w:hAnsi="宋体" w:eastAsia="宋体" w:cs="宋体"/>
                      <w:sz w:val="17"/>
                      <w:szCs w:val="17"/>
                    </w:rPr>
                  </w:pPr>
                  <w:r>
                    <w:rPr>
                      <w:rFonts w:ascii="宋体" w:hAnsi="宋体" w:eastAsia="宋体" w:cs="宋体"/>
                      <w:spacing w:val="-2"/>
                      <w:sz w:val="17"/>
                      <w:szCs w:val="17"/>
                    </w:rPr>
                    <w:t>检测胃癌病</w:t>
                  </w:r>
                  <w:r>
                    <w:rPr>
                      <w:rFonts w:ascii="宋体" w:hAnsi="宋体" w:eastAsia="宋体" w:cs="宋体"/>
                      <w:spacing w:val="2"/>
                      <w:sz w:val="17"/>
                      <w:szCs w:val="17"/>
                    </w:rPr>
                    <w:t xml:space="preserve"> </w:t>
                  </w:r>
                  <w:r>
                    <w:rPr>
                      <w:rFonts w:ascii="宋体" w:hAnsi="宋体" w:eastAsia="宋体" w:cs="宋体"/>
                      <w:spacing w:val="-10"/>
                      <w:sz w:val="17"/>
                      <w:szCs w:val="17"/>
                    </w:rPr>
                    <w:t>例 的</w:t>
                  </w:r>
                  <w:r>
                    <w:rPr>
                      <w:rFonts w:ascii="宋体" w:hAnsi="宋体" w:eastAsia="宋体" w:cs="宋体"/>
                      <w:spacing w:val="-14"/>
                      <w:sz w:val="17"/>
                      <w:szCs w:val="17"/>
                    </w:rPr>
                    <w:t xml:space="preserve"> </w:t>
                  </w:r>
                  <w:r>
                    <w:rPr>
                      <w:rFonts w:ascii="宋体" w:hAnsi="宋体" w:eastAsia="宋体" w:cs="宋体"/>
                      <w:spacing w:val="-10"/>
                      <w:sz w:val="17"/>
                      <w:szCs w:val="17"/>
                    </w:rPr>
                    <w:t>方</w:t>
                  </w:r>
                  <w:r>
                    <w:rPr>
                      <w:rFonts w:ascii="宋体" w:hAnsi="宋体" w:eastAsia="宋体" w:cs="宋体"/>
                      <w:spacing w:val="-16"/>
                      <w:sz w:val="17"/>
                      <w:szCs w:val="17"/>
                    </w:rPr>
                    <w:t xml:space="preserve"> </w:t>
                  </w:r>
                  <w:r>
                    <w:rPr>
                      <w:rFonts w:ascii="宋体" w:hAnsi="宋体" w:eastAsia="宋体" w:cs="宋体"/>
                      <w:spacing w:val="-10"/>
                      <w:sz w:val="17"/>
                      <w:szCs w:val="17"/>
                    </w:rPr>
                    <w:t>法</w:t>
                  </w:r>
                </w:p>
              </w:txbxContent>
            </v:textbox>
          </v:shape>
        </w:pict>
      </w:r>
      <w:r>
        <w:pict>
          <v:shape id="_x0000_s1241" o:spid="_x0000_s1241" o:spt="202" type="#_x0000_t202" style="position:absolute;left:0pt;margin-left:463pt;margin-top:12.1pt;height:27.1pt;width:19.95pt;z-index:251949056;mso-width-relative:page;mso-height-relative:page;" filled="f" stroked="f" coordsize="21600,21600">
            <v:path/>
            <v:fill on="f" focussize="0,0"/>
            <v:stroke on="f"/>
            <v:imagedata o:title=""/>
            <o:lock v:ext="edit" aspectratio="f"/>
            <v:textbox inset="0mm,0mm,0mm,0mm">
              <w:txbxContent>
                <w:p w14:paraId="21F6AB77">
                  <w:pPr>
                    <w:spacing w:before="20" w:line="283" w:lineRule="auto"/>
                    <w:ind w:left="20" w:right="20"/>
                    <w:rPr>
                      <w:rFonts w:ascii="宋体" w:hAnsi="宋体" w:eastAsia="宋体" w:cs="宋体"/>
                      <w:sz w:val="17"/>
                      <w:szCs w:val="17"/>
                    </w:rPr>
                  </w:pPr>
                  <w:r>
                    <w:rPr>
                      <w:rFonts w:ascii="宋体" w:hAnsi="宋体" w:eastAsia="宋体" w:cs="宋体"/>
                      <w:spacing w:val="9"/>
                      <w:sz w:val="17"/>
                      <w:szCs w:val="17"/>
                    </w:rPr>
                    <w:t>根除</w:t>
                  </w:r>
                  <w:r>
                    <w:rPr>
                      <w:rFonts w:ascii="宋体" w:hAnsi="宋体" w:eastAsia="宋体" w:cs="宋体"/>
                      <w:sz w:val="17"/>
                      <w:szCs w:val="17"/>
                    </w:rPr>
                    <w:t xml:space="preserve"> </w:t>
                  </w:r>
                  <w:r>
                    <w:rPr>
                      <w:rFonts w:ascii="宋体" w:hAnsi="宋体" w:eastAsia="宋体" w:cs="宋体"/>
                      <w:spacing w:val="4"/>
                      <w:sz w:val="17"/>
                      <w:szCs w:val="17"/>
                    </w:rPr>
                    <w:t>率1%</w:t>
                  </w:r>
                </w:p>
              </w:txbxContent>
            </v:textbox>
          </v:shape>
        </w:pict>
      </w:r>
      <w:r>
        <w:pict>
          <v:shape id="_x0000_s1242" o:spid="_x0000_s1242" o:spt="202" type="#_x0000_t202" style="position:absolute;left:0pt;margin-left:29.5pt;margin-top:12.6pt;height:25.7pt;width:18.7pt;z-index:251952128;mso-width-relative:page;mso-height-relative:page;" filled="f" stroked="f" coordsize="21600,21600">
            <v:path/>
            <v:fill on="f" focussize="0,0"/>
            <v:stroke on="f"/>
            <v:imagedata o:title=""/>
            <o:lock v:ext="edit" aspectratio="f"/>
            <v:textbox inset="0mm,0mm,0mm,0mm">
              <w:txbxContent>
                <w:p w14:paraId="530F44A3">
                  <w:pPr>
                    <w:spacing w:before="19" w:line="268" w:lineRule="auto"/>
                    <w:ind w:left="20" w:right="20"/>
                    <w:rPr>
                      <w:rFonts w:ascii="宋体" w:hAnsi="宋体" w:eastAsia="宋体" w:cs="宋体"/>
                      <w:sz w:val="17"/>
                      <w:szCs w:val="17"/>
                    </w:rPr>
                  </w:pPr>
                  <w:r>
                    <w:rPr>
                      <w:rFonts w:ascii="宋体" w:hAnsi="宋体" w:eastAsia="宋体" w:cs="宋体"/>
                      <w:spacing w:val="-4"/>
                      <w:sz w:val="17"/>
                      <w:szCs w:val="17"/>
                    </w:rPr>
                    <w:t>第一</w:t>
                  </w:r>
                  <w:r>
                    <w:rPr>
                      <w:rFonts w:ascii="宋体" w:hAnsi="宋体" w:eastAsia="宋体" w:cs="宋体"/>
                      <w:sz w:val="17"/>
                      <w:szCs w:val="17"/>
                    </w:rPr>
                    <w:t xml:space="preserve"> </w:t>
                  </w:r>
                  <w:r>
                    <w:rPr>
                      <w:rFonts w:ascii="宋体" w:hAnsi="宋体" w:eastAsia="宋体" w:cs="宋体"/>
                      <w:spacing w:val="-4"/>
                      <w:sz w:val="17"/>
                      <w:szCs w:val="17"/>
                    </w:rPr>
                    <w:t>作者</w:t>
                  </w:r>
                </w:p>
              </w:txbxContent>
            </v:textbox>
          </v:shape>
        </w:pict>
      </w:r>
      <w:r>
        <w:pict>
          <v:shape id="_x0000_s1243" o:spid="_x0000_s1243" o:spt="202" type="#_x0000_t202" style="position:absolute;left:0pt;margin-left:204pt;margin-top:12.6pt;height:25.7pt;width:41.2pt;z-index:251943936;mso-width-relative:page;mso-height-relative:page;" filled="f" stroked="f" coordsize="21600,21600">
            <v:path/>
            <v:fill on="f" focussize="0,0"/>
            <v:stroke on="f"/>
            <v:imagedata o:title=""/>
            <o:lock v:ext="edit" aspectratio="f"/>
            <v:textbox inset="0mm,0mm,0mm,0mm">
              <w:txbxContent>
                <w:p w14:paraId="27E20DA4">
                  <w:pPr>
                    <w:spacing w:before="19" w:line="268" w:lineRule="auto"/>
                    <w:ind w:left="20" w:right="20"/>
                    <w:rPr>
                      <w:rFonts w:ascii="宋体" w:hAnsi="宋体" w:eastAsia="宋体" w:cs="宋体"/>
                      <w:sz w:val="17"/>
                      <w:szCs w:val="17"/>
                    </w:rPr>
                  </w:pPr>
                  <w:r>
                    <w:rPr>
                      <w:rFonts w:ascii="宋体" w:hAnsi="宋体" w:eastAsia="宋体" w:cs="宋体"/>
                      <w:spacing w:val="21"/>
                      <w:sz w:val="17"/>
                      <w:szCs w:val="17"/>
                    </w:rPr>
                    <w:t>平均年龄</w:t>
                  </w:r>
                  <w:r>
                    <w:rPr>
                      <w:rFonts w:ascii="宋体" w:hAnsi="宋体" w:eastAsia="宋体" w:cs="宋体"/>
                      <w:spacing w:val="1"/>
                      <w:sz w:val="17"/>
                      <w:szCs w:val="17"/>
                    </w:rPr>
                    <w:t xml:space="preserve"> </w:t>
                  </w:r>
                  <w:r>
                    <w:rPr>
                      <w:rFonts w:ascii="宋体" w:hAnsi="宋体" w:eastAsia="宋体" w:cs="宋体"/>
                      <w:spacing w:val="3"/>
                      <w:sz w:val="17"/>
                      <w:szCs w:val="17"/>
                    </w:rPr>
                    <w:t>(范围)/岁</w:t>
                  </w:r>
                </w:p>
              </w:txbxContent>
            </v:textbox>
          </v:shape>
        </w:pict>
      </w:r>
      <w:r>
        <w:pict>
          <v:shape id="_x0000_s1244" o:spid="_x0000_s1244" o:spt="202" type="#_x0000_t202" style="position:absolute;left:0pt;margin-left:260pt;margin-top:12.6pt;height:25.7pt;width:28.05pt;z-index:251945984;mso-width-relative:page;mso-height-relative:page;" filled="f" stroked="f" coordsize="21600,21600">
            <v:path/>
            <v:fill on="f" focussize="0,0"/>
            <v:stroke on="f"/>
            <v:imagedata o:title=""/>
            <o:lock v:ext="edit" aspectratio="f"/>
            <v:textbox inset="0mm,0mm,0mm,0mm">
              <w:txbxContent>
                <w:p w14:paraId="618D75BF">
                  <w:pPr>
                    <w:spacing w:before="20" w:line="268" w:lineRule="auto"/>
                    <w:ind w:left="20" w:right="20"/>
                    <w:rPr>
                      <w:rFonts w:ascii="宋体" w:hAnsi="宋体" w:eastAsia="宋体" w:cs="宋体"/>
                      <w:sz w:val="17"/>
                      <w:szCs w:val="17"/>
                    </w:rPr>
                  </w:pPr>
                  <w:r>
                    <w:rPr>
                      <w:rFonts w:ascii="宋体" w:hAnsi="宋体" w:eastAsia="宋体" w:cs="宋体"/>
                      <w:spacing w:val="3"/>
                      <w:sz w:val="17"/>
                      <w:szCs w:val="17"/>
                    </w:rPr>
                    <w:t>男性比</w:t>
                  </w:r>
                  <w:r>
                    <w:rPr>
                      <w:rFonts w:ascii="宋体" w:hAnsi="宋体" w:eastAsia="宋体" w:cs="宋体"/>
                      <w:sz w:val="17"/>
                      <w:szCs w:val="17"/>
                    </w:rPr>
                    <w:t xml:space="preserve"> </w:t>
                  </w:r>
                  <w:r>
                    <w:rPr>
                      <w:rFonts w:ascii="宋体" w:hAnsi="宋体" w:eastAsia="宋体" w:cs="宋体"/>
                      <w:spacing w:val="-9"/>
                      <w:sz w:val="17"/>
                      <w:szCs w:val="17"/>
                    </w:rPr>
                    <w:t>例</w:t>
                  </w:r>
                  <w:r>
                    <w:rPr>
                      <w:rFonts w:ascii="宋体" w:hAnsi="宋体" w:eastAsia="宋体" w:cs="宋体"/>
                      <w:spacing w:val="24"/>
                      <w:sz w:val="17"/>
                      <w:szCs w:val="17"/>
                    </w:rPr>
                    <w:t xml:space="preserve"> </w:t>
                  </w:r>
                  <w:r>
                    <w:rPr>
                      <w:rFonts w:ascii="宋体" w:hAnsi="宋体" w:eastAsia="宋体" w:cs="宋体"/>
                      <w:spacing w:val="-9"/>
                      <w:sz w:val="17"/>
                      <w:szCs w:val="17"/>
                    </w:rPr>
                    <w:t>1</w:t>
                  </w:r>
                  <w:r>
                    <w:rPr>
                      <w:rFonts w:ascii="宋体" w:hAnsi="宋体" w:eastAsia="宋体" w:cs="宋体"/>
                      <w:spacing w:val="7"/>
                      <w:sz w:val="17"/>
                      <w:szCs w:val="17"/>
                    </w:rPr>
                    <w:t xml:space="preserve"> </w:t>
                  </w:r>
                  <w:r>
                    <w:rPr>
                      <w:rFonts w:ascii="宋体" w:hAnsi="宋体" w:eastAsia="宋体" w:cs="宋体"/>
                      <w:spacing w:val="-9"/>
                      <w:sz w:val="17"/>
                      <w:szCs w:val="17"/>
                    </w:rPr>
                    <w:t>%</w:t>
                  </w:r>
                </w:p>
              </w:txbxContent>
            </v:textbox>
          </v:shape>
        </w:pict>
      </w:r>
      <w:r>
        <w:pict>
          <v:shape id="_x0000_s1245" o:spid="_x0000_s1245" o:spt="202" type="#_x0000_t202" style="position:absolute;left:0pt;margin-left:496.5pt;margin-top:13.1pt;height:26.1pt;width:28.05pt;z-index:251944960;mso-width-relative:page;mso-height-relative:page;" filled="f" stroked="f" coordsize="21600,21600">
            <v:path/>
            <v:fill on="f" focussize="0,0"/>
            <v:stroke on="f"/>
            <v:imagedata o:title=""/>
            <o:lock v:ext="edit" aspectratio="f"/>
            <v:textbox inset="0mm,0mm,0mm,0mm">
              <w:txbxContent>
                <w:p w14:paraId="10A1DE13">
                  <w:pPr>
                    <w:spacing w:before="19" w:line="273" w:lineRule="auto"/>
                    <w:ind w:left="20" w:right="20"/>
                    <w:rPr>
                      <w:rFonts w:ascii="宋体" w:hAnsi="宋体" w:eastAsia="宋体" w:cs="宋体"/>
                      <w:sz w:val="17"/>
                      <w:szCs w:val="17"/>
                    </w:rPr>
                  </w:pPr>
                  <w:r>
                    <w:rPr>
                      <w:rFonts w:ascii="宋体" w:hAnsi="宋体" w:eastAsia="宋体" w:cs="宋体"/>
                      <w:spacing w:val="3"/>
                      <w:sz w:val="17"/>
                      <w:szCs w:val="17"/>
                    </w:rPr>
                    <w:t>随访时</w:t>
                  </w:r>
                  <w:r>
                    <w:rPr>
                      <w:rFonts w:ascii="宋体" w:hAnsi="宋体" w:eastAsia="宋体" w:cs="宋体"/>
                      <w:sz w:val="17"/>
                      <w:szCs w:val="17"/>
                    </w:rPr>
                    <w:t xml:space="preserve"> </w:t>
                  </w:r>
                  <w:r>
                    <w:rPr>
                      <w:rFonts w:ascii="宋体" w:hAnsi="宋体" w:eastAsia="宋体" w:cs="宋体"/>
                      <w:spacing w:val="-9"/>
                      <w:sz w:val="17"/>
                      <w:szCs w:val="17"/>
                    </w:rPr>
                    <w:t>间</w:t>
                  </w:r>
                  <w:r>
                    <w:rPr>
                      <w:rFonts w:ascii="宋体" w:hAnsi="宋体" w:eastAsia="宋体" w:cs="宋体"/>
                      <w:spacing w:val="-28"/>
                      <w:sz w:val="17"/>
                      <w:szCs w:val="17"/>
                    </w:rPr>
                    <w:t xml:space="preserve"> </w:t>
                  </w:r>
                  <w:r>
                    <w:rPr>
                      <w:rFonts w:ascii="宋体" w:hAnsi="宋体" w:eastAsia="宋体" w:cs="宋体"/>
                      <w:spacing w:val="-9"/>
                      <w:sz w:val="17"/>
                      <w:szCs w:val="17"/>
                    </w:rPr>
                    <w:t>/</w:t>
                  </w:r>
                  <w:r>
                    <w:rPr>
                      <w:rFonts w:ascii="宋体" w:hAnsi="宋体" w:eastAsia="宋体" w:cs="宋体"/>
                      <w:spacing w:val="-27"/>
                      <w:sz w:val="17"/>
                      <w:szCs w:val="17"/>
                    </w:rPr>
                    <w:t xml:space="preserve"> </w:t>
                  </w:r>
                  <w:r>
                    <w:rPr>
                      <w:rFonts w:ascii="宋体" w:hAnsi="宋体" w:eastAsia="宋体" w:cs="宋体"/>
                      <w:spacing w:val="-9"/>
                      <w:sz w:val="17"/>
                      <w:szCs w:val="17"/>
                    </w:rPr>
                    <w:t>年</w:t>
                  </w:r>
                </w:p>
              </w:txbxContent>
            </v:textbox>
          </v:shape>
        </w:pict>
      </w:r>
      <w:r>
        <w:pict>
          <v:shape id="_x0000_s1246" o:spid="_x0000_s1246" o:spt="202" type="#_x0000_t202" style="position:absolute;left:0pt;margin-left:67.5pt;margin-top:13.1pt;height:25.1pt;width:19.9pt;z-index:251951104;mso-width-relative:page;mso-height-relative:page;" filled="f" stroked="f" coordsize="21600,21600">
            <v:path/>
            <v:fill on="f" focussize="0,0"/>
            <v:stroke on="f"/>
            <v:imagedata o:title=""/>
            <o:lock v:ext="edit" aspectratio="f"/>
            <v:textbox inset="0mm,0mm,0mm,0mm">
              <w:txbxContent>
                <w:p w14:paraId="60390DE5">
                  <w:pPr>
                    <w:spacing w:before="20" w:line="261" w:lineRule="auto"/>
                    <w:ind w:left="20" w:right="20"/>
                    <w:rPr>
                      <w:rFonts w:ascii="宋体" w:hAnsi="宋体" w:eastAsia="宋体" w:cs="宋体"/>
                      <w:sz w:val="17"/>
                      <w:szCs w:val="17"/>
                    </w:rPr>
                  </w:pPr>
                  <w:r>
                    <w:rPr>
                      <w:rFonts w:ascii="宋体" w:hAnsi="宋体" w:eastAsia="宋体" w:cs="宋体"/>
                      <w:spacing w:val="8"/>
                      <w:sz w:val="17"/>
                      <w:szCs w:val="17"/>
                    </w:rPr>
                    <w:t>发表</w:t>
                  </w:r>
                  <w:r>
                    <w:rPr>
                      <w:rFonts w:ascii="宋体" w:hAnsi="宋体" w:eastAsia="宋体" w:cs="宋体"/>
                      <w:sz w:val="17"/>
                      <w:szCs w:val="17"/>
                    </w:rPr>
                    <w:t xml:space="preserve"> </w:t>
                  </w:r>
                  <w:r>
                    <w:rPr>
                      <w:rFonts w:ascii="宋体" w:hAnsi="宋体" w:eastAsia="宋体" w:cs="宋体"/>
                      <w:spacing w:val="8"/>
                      <w:sz w:val="17"/>
                      <w:szCs w:val="17"/>
                    </w:rPr>
                    <w:t>年份</w:t>
                  </w:r>
                </w:p>
              </w:txbxContent>
            </v:textbox>
          </v:shape>
        </w:pict>
      </w:r>
      <w:r>
        <w:pict>
          <v:shape id="_x0000_s1247" o:spid="_x0000_s1247" o:spt="202" type="#_x0000_t202" style="position:absolute;left:0pt;margin-left:100.5pt;margin-top:14.05pt;height:26.05pt;width:20.3pt;z-index:251950080;mso-width-relative:page;mso-height-relative:page;" filled="f" stroked="f" coordsize="21600,21600">
            <v:path/>
            <v:fill on="f" focussize="0,0"/>
            <v:stroke on="f"/>
            <v:imagedata o:title=""/>
            <o:lock v:ext="edit" aspectratio="f"/>
            <v:textbox inset="0mm,0mm,0mm,0mm">
              <w:txbxContent>
                <w:p w14:paraId="095B3D64">
                  <w:pPr>
                    <w:spacing w:before="19" w:line="272" w:lineRule="auto"/>
                    <w:ind w:left="20" w:right="20"/>
                    <w:rPr>
                      <w:rFonts w:ascii="宋体" w:hAnsi="宋体" w:eastAsia="宋体" w:cs="宋体"/>
                      <w:sz w:val="17"/>
                      <w:szCs w:val="17"/>
                    </w:rPr>
                  </w:pPr>
                  <w:r>
                    <w:rPr>
                      <w:rFonts w:ascii="宋体" w:hAnsi="宋体" w:eastAsia="宋体" w:cs="宋体"/>
                      <w:spacing w:val="9"/>
                      <w:sz w:val="17"/>
                      <w:szCs w:val="17"/>
                    </w:rPr>
                    <w:t>研究</w:t>
                  </w:r>
                  <w:r>
                    <w:rPr>
                      <w:rFonts w:ascii="宋体" w:hAnsi="宋体" w:eastAsia="宋体" w:cs="宋体"/>
                      <w:sz w:val="17"/>
                      <w:szCs w:val="17"/>
                    </w:rPr>
                    <w:t xml:space="preserve"> </w:t>
                  </w:r>
                  <w:r>
                    <w:rPr>
                      <w:rFonts w:ascii="宋体" w:hAnsi="宋体" w:eastAsia="宋体" w:cs="宋体"/>
                      <w:spacing w:val="12"/>
                      <w:sz w:val="17"/>
                      <w:szCs w:val="17"/>
                    </w:rPr>
                    <w:t>地点</w:t>
                  </w:r>
                </w:p>
              </w:txbxContent>
            </v:textbox>
          </v:shape>
        </w:pict>
      </w:r>
      <w:r>
        <w:pict>
          <v:shape id="_x0000_s1248" o:spid="_x0000_s1248" o:spt="202" type="#_x0000_t202" style="position:absolute;left:0pt;margin-left:373.5pt;margin-top:20.6pt;height:12.1pt;width:61.4pt;z-index:251948032;mso-width-relative:page;mso-height-relative:page;" filled="f" stroked="f" coordsize="21600,21600">
            <v:path/>
            <v:fill on="f" focussize="0,0"/>
            <v:stroke on="f"/>
            <v:imagedata o:title=""/>
            <o:lock v:ext="edit" aspectratio="f"/>
            <v:textbox inset="0mm,0mm,0mm,0mm">
              <w:txbxContent>
                <w:p w14:paraId="103690E9">
                  <w:pPr>
                    <w:spacing w:before="20" w:line="219" w:lineRule="auto"/>
                    <w:ind w:left="20"/>
                    <w:rPr>
                      <w:rFonts w:ascii="宋体" w:hAnsi="宋体" w:eastAsia="宋体" w:cs="宋体"/>
                      <w:sz w:val="17"/>
                      <w:szCs w:val="17"/>
                    </w:rPr>
                  </w:pPr>
                  <w:r>
                    <w:rPr>
                      <w:rFonts w:ascii="宋体" w:hAnsi="宋体" w:eastAsia="宋体" w:cs="宋体"/>
                      <w:spacing w:val="-1"/>
                      <w:sz w:val="17"/>
                      <w:szCs w:val="17"/>
                    </w:rPr>
                    <w:t>HP根除治疗方案</w:t>
                  </w:r>
                </w:p>
              </w:txbxContent>
            </v:textbox>
          </v:shape>
        </w:pict>
      </w:r>
      <w:r>
        <w:pict>
          <v:shape id="_x0000_s1249" o:spid="_x0000_s1249" o:spt="202" type="#_x0000_t202" style="position:absolute;left:0pt;margin-left:604.5pt;margin-top:20.65pt;height:12.2pt;width:27.15pt;z-index:251955200;mso-width-relative:page;mso-height-relative:page;" filled="f" stroked="f" coordsize="21600,21600">
            <v:path/>
            <v:fill on="f" focussize="0,0"/>
            <v:stroke on="f"/>
            <v:imagedata o:title=""/>
            <o:lock v:ext="edit" aspectratio="f"/>
            <v:textbox inset="0mm,0mm,0mm,0mm">
              <w:txbxContent>
                <w:p w14:paraId="374DB18B">
                  <w:pPr>
                    <w:spacing w:before="19" w:line="221" w:lineRule="auto"/>
                    <w:ind w:left="20"/>
                    <w:rPr>
                      <w:rFonts w:ascii="宋体" w:hAnsi="宋体" w:eastAsia="宋体" w:cs="宋体"/>
                      <w:sz w:val="17"/>
                      <w:szCs w:val="17"/>
                    </w:rPr>
                  </w:pPr>
                  <w:r>
                    <w:rPr>
                      <w:rFonts w:ascii="宋体" w:hAnsi="宋体" w:eastAsia="宋体" w:cs="宋体"/>
                      <w:spacing w:val="-2"/>
                      <w:sz w:val="17"/>
                      <w:szCs w:val="17"/>
                    </w:rPr>
                    <w:t>方法学</w:t>
                  </w:r>
                </w:p>
              </w:txbxContent>
            </v:textbox>
          </v:shape>
        </w:pict>
      </w:r>
      <w:r>
        <w:pict>
          <v:shape id="_x0000_s1250" o:spid="_x0000_s1250" o:spt="202" type="#_x0000_t202" style="position:absolute;left:0pt;margin-left:709pt;margin-top:21.45pt;height:13.05pt;width:22.9pt;z-index:251956224;mso-width-relative:page;mso-height-relative:page;" filled="f" stroked="f" coordsize="21600,21600">
            <v:path/>
            <v:fill on="f" focussize="0,0"/>
            <v:stroke on="f"/>
            <v:imagedata o:title=""/>
            <o:lock v:ext="edit" aspectratio="f"/>
            <v:textbox inset="0mm,0mm,0mm,0mm">
              <w:txbxContent>
                <w:p w14:paraId="2CAA222C">
                  <w:pPr>
                    <w:spacing w:before="19"/>
                    <w:ind w:left="20"/>
                    <w:rPr>
                      <w:rFonts w:ascii="宋体" w:hAnsi="宋体" w:eastAsia="宋体" w:cs="宋体"/>
                      <w:sz w:val="17"/>
                      <w:szCs w:val="17"/>
                    </w:rPr>
                  </w:pPr>
                  <w:r>
                    <w:rPr>
                      <w:rFonts w:ascii="宋体" w:hAnsi="宋体" w:eastAsia="宋体" w:cs="宋体"/>
                      <w:spacing w:val="-2"/>
                      <w:sz w:val="17"/>
                      <w:szCs w:val="17"/>
                    </w:rPr>
                    <w:t>95%Cl</w:t>
                  </w:r>
                </w:p>
              </w:txbxContent>
            </v:textbox>
          </v:shape>
        </w:pict>
      </w:r>
      <w:r>
        <w:pict>
          <v:shape id="_x0000_s1251" o:spid="_x0000_s1251" o:spt="202" type="#_x0000_t202" style="position:absolute;left:0pt;margin-left:671.5pt;margin-top:22.85pt;height:10.4pt;width:10.25pt;z-index:251958272;mso-width-relative:page;mso-height-relative:page;" filled="f" stroked="f" coordsize="21600,21600">
            <v:path/>
            <v:fill on="f" focussize="0,0"/>
            <v:stroke on="f"/>
            <v:imagedata o:title=""/>
            <o:lock v:ext="edit" aspectratio="f"/>
            <v:textbox inset="0mm,0mm,0mm,0mm">
              <w:txbxContent>
                <w:p w14:paraId="0428A73E">
                  <w:pPr>
                    <w:spacing w:before="19" w:line="182" w:lineRule="auto"/>
                    <w:ind w:left="20"/>
                    <w:rPr>
                      <w:rFonts w:ascii="宋体" w:hAnsi="宋体" w:eastAsia="宋体" w:cs="宋体"/>
                      <w:sz w:val="17"/>
                      <w:szCs w:val="17"/>
                    </w:rPr>
                  </w:pPr>
                  <w:r>
                    <w:rPr>
                      <w:rFonts w:ascii="宋体" w:hAnsi="宋体" w:eastAsia="宋体" w:cs="宋体"/>
                      <w:spacing w:val="-2"/>
                      <w:sz w:val="17"/>
                      <w:szCs w:val="17"/>
                    </w:rPr>
                    <w:t>RR</w:t>
                  </w:r>
                </w:p>
              </w:txbxContent>
            </v:textbox>
          </v:shape>
        </w:pict>
      </w:r>
      <w:r>
        <w:drawing>
          <wp:anchor distT="0" distB="0" distL="0" distR="0" simplePos="0" relativeHeight="251937792" behindDoc="1" locked="0" layoutInCell="1" allowOverlap="1">
            <wp:simplePos x="0" y="0"/>
            <wp:positionH relativeFrom="column">
              <wp:posOffset>266700</wp:posOffset>
            </wp:positionH>
            <wp:positionV relativeFrom="paragraph">
              <wp:posOffset>22225</wp:posOffset>
            </wp:positionV>
            <wp:extent cx="9245600" cy="603250"/>
            <wp:effectExtent l="0" t="0" r="0" b="0"/>
            <wp:wrapNone/>
            <wp:docPr id="768" name="IM 768"/>
            <wp:cNvGraphicFramePr/>
            <a:graphic xmlns:a="http://schemas.openxmlformats.org/drawingml/2006/main">
              <a:graphicData uri="http://schemas.openxmlformats.org/drawingml/2006/picture">
                <pic:pic xmlns:pic="http://schemas.openxmlformats.org/drawingml/2006/picture">
                  <pic:nvPicPr>
                    <pic:cNvPr id="768" name="IM 768"/>
                    <pic:cNvPicPr/>
                  </pic:nvPicPr>
                  <pic:blipFill>
                    <a:blip r:embed="rId674"/>
                    <a:stretch>
                      <a:fillRect/>
                    </a:stretch>
                  </pic:blipFill>
                  <pic:spPr>
                    <a:xfrm>
                      <a:off x="0" y="0"/>
                      <a:ext cx="9245641" cy="603234"/>
                    </a:xfrm>
                    <a:prstGeom prst="rect">
                      <a:avLst/>
                    </a:prstGeom>
                  </pic:spPr>
                </pic:pic>
              </a:graphicData>
            </a:graphic>
          </wp:anchor>
        </w:drawing>
      </w:r>
      <w:r>
        <w:rPr>
          <w:rFonts w:ascii="宋体" w:hAnsi="宋体" w:eastAsia="宋体" w:cs="宋体"/>
          <w:spacing w:val="-2"/>
          <w:sz w:val="17"/>
          <w:szCs w:val="17"/>
        </w:rPr>
        <w:t>基线时有</w:t>
      </w:r>
      <w:r>
        <w:rPr>
          <w:rFonts w:ascii="宋体" w:hAnsi="宋体" w:eastAsia="宋体" w:cs="宋体"/>
          <w:sz w:val="17"/>
          <w:szCs w:val="17"/>
        </w:rPr>
        <w:t xml:space="preserve"> </w:t>
      </w:r>
      <w:r>
        <w:rPr>
          <w:rFonts w:ascii="宋体" w:hAnsi="宋体" w:eastAsia="宋体" w:cs="宋体"/>
          <w:spacing w:val="-2"/>
          <w:sz w:val="17"/>
          <w:szCs w:val="17"/>
        </w:rPr>
        <w:t>癌前病变</w:t>
      </w:r>
      <w:r>
        <w:rPr>
          <w:rFonts w:ascii="宋体" w:hAnsi="宋体" w:eastAsia="宋体" w:cs="宋体"/>
          <w:spacing w:val="1"/>
          <w:sz w:val="17"/>
          <w:szCs w:val="17"/>
        </w:rPr>
        <w:t xml:space="preserve"> </w:t>
      </w:r>
      <w:r>
        <w:rPr>
          <w:rFonts w:ascii="宋体" w:hAnsi="宋体" w:eastAsia="宋体" w:cs="宋体"/>
          <w:spacing w:val="-14"/>
          <w:sz w:val="17"/>
          <w:szCs w:val="17"/>
        </w:rPr>
        <w:t>比</w:t>
      </w:r>
      <w:r>
        <w:rPr>
          <w:rFonts w:ascii="宋体" w:hAnsi="宋体" w:eastAsia="宋体" w:cs="宋体"/>
          <w:spacing w:val="-11"/>
          <w:sz w:val="17"/>
          <w:szCs w:val="17"/>
        </w:rPr>
        <w:t xml:space="preserve"> </w:t>
      </w:r>
      <w:r>
        <w:rPr>
          <w:rFonts w:ascii="宋体" w:hAnsi="宋体" w:eastAsia="宋体" w:cs="宋体"/>
          <w:spacing w:val="-14"/>
          <w:sz w:val="17"/>
          <w:szCs w:val="17"/>
        </w:rPr>
        <w:t>例</w:t>
      </w:r>
      <w:r>
        <w:rPr>
          <w:rFonts w:ascii="宋体" w:hAnsi="宋体" w:eastAsia="宋体" w:cs="宋体"/>
          <w:spacing w:val="1"/>
          <w:sz w:val="17"/>
          <w:szCs w:val="17"/>
        </w:rPr>
        <w:t xml:space="preserve"> </w:t>
      </w:r>
      <w:r>
        <w:rPr>
          <w:rFonts w:ascii="宋体" w:hAnsi="宋体" w:eastAsia="宋体" w:cs="宋体"/>
          <w:spacing w:val="-14"/>
          <w:sz w:val="17"/>
          <w:szCs w:val="17"/>
        </w:rPr>
        <w:t>1</w:t>
      </w:r>
      <w:r>
        <w:rPr>
          <w:rFonts w:ascii="宋体" w:hAnsi="宋体" w:eastAsia="宋体" w:cs="宋体"/>
          <w:spacing w:val="-17"/>
          <w:sz w:val="17"/>
          <w:szCs w:val="17"/>
        </w:rPr>
        <w:t xml:space="preserve"> </w:t>
      </w:r>
      <w:r>
        <w:rPr>
          <w:rFonts w:ascii="宋体" w:hAnsi="宋体" w:eastAsia="宋体" w:cs="宋体"/>
          <w:spacing w:val="-14"/>
          <w:sz w:val="17"/>
          <w:szCs w:val="17"/>
        </w:rPr>
        <w:t>%</w:t>
      </w:r>
    </w:p>
    <w:p w14:paraId="1BAFE586">
      <w:pPr>
        <w:spacing w:before="117" w:line="219" w:lineRule="auto"/>
        <w:ind w:left="12130"/>
        <w:rPr>
          <w:rFonts w:ascii="宋体" w:hAnsi="宋体" w:eastAsia="宋体" w:cs="宋体"/>
          <w:sz w:val="17"/>
          <w:szCs w:val="17"/>
        </w:rPr>
      </w:pPr>
      <w:r>
        <w:pict>
          <v:shape id="_x0000_s1252" o:spid="_x0000_s1252" o:spt="202" type="#_x0000_t202" style="position:absolute;left:0pt;margin-left:354.5pt;margin-top:7.1pt;height:55pt;width:84.4pt;z-index:251939840;mso-width-relative:page;mso-height-relative:page;" filled="f" stroked="f" coordsize="21600,21600">
            <v:path/>
            <v:fill on="f" focussize="0,0"/>
            <v:stroke on="f"/>
            <v:imagedata o:title=""/>
            <o:lock v:ext="edit" aspectratio="f"/>
            <v:textbox inset="0mm,0mm,0mm,0mm">
              <w:txbxContent>
                <w:p w14:paraId="4A567193">
                  <w:pPr>
                    <w:spacing w:before="20" w:line="293" w:lineRule="auto"/>
                    <w:ind w:left="20" w:right="20"/>
                    <w:rPr>
                      <w:rFonts w:ascii="宋体" w:hAnsi="宋体" w:eastAsia="宋体" w:cs="宋体"/>
                      <w:sz w:val="17"/>
                      <w:szCs w:val="17"/>
                    </w:rPr>
                  </w:pPr>
                  <w:r>
                    <w:rPr>
                      <w:rFonts w:ascii="宋体" w:hAnsi="宋体" w:eastAsia="宋体" w:cs="宋体"/>
                      <w:spacing w:val="2"/>
                      <w:sz w:val="17"/>
                      <w:szCs w:val="17"/>
                    </w:rPr>
                    <w:t>次水杨酸铋262</w:t>
                  </w:r>
                  <w:r>
                    <w:rPr>
                      <w:rFonts w:ascii="宋体" w:hAnsi="宋体" w:eastAsia="宋体" w:cs="宋体"/>
                      <w:sz w:val="17"/>
                      <w:szCs w:val="17"/>
                    </w:rPr>
                    <w:t>mg</w:t>
                  </w:r>
                  <w:r>
                    <w:rPr>
                      <w:rFonts w:ascii="宋体" w:hAnsi="宋体" w:eastAsia="宋体" w:cs="宋体"/>
                      <w:spacing w:val="2"/>
                      <w:sz w:val="17"/>
                      <w:szCs w:val="17"/>
                    </w:rPr>
                    <w:t>,阿</w:t>
                  </w:r>
                  <w:r>
                    <w:rPr>
                      <w:rFonts w:ascii="宋体" w:hAnsi="宋体" w:eastAsia="宋体" w:cs="宋体"/>
                      <w:sz w:val="17"/>
                      <w:szCs w:val="17"/>
                    </w:rPr>
                    <w:t xml:space="preserve">  </w:t>
                  </w:r>
                  <w:r>
                    <w:rPr>
                      <w:rFonts w:ascii="宋体" w:hAnsi="宋体" w:eastAsia="宋体" w:cs="宋体"/>
                      <w:spacing w:val="11"/>
                      <w:sz w:val="17"/>
                      <w:szCs w:val="17"/>
                    </w:rPr>
                    <w:t>莫西林500</w:t>
                  </w:r>
                  <w:r>
                    <w:rPr>
                      <w:rFonts w:ascii="宋体" w:hAnsi="宋体" w:eastAsia="宋体" w:cs="宋体"/>
                      <w:sz w:val="17"/>
                      <w:szCs w:val="17"/>
                    </w:rPr>
                    <w:t>mg</w:t>
                  </w:r>
                  <w:r>
                    <w:rPr>
                      <w:rFonts w:ascii="宋体" w:hAnsi="宋体" w:eastAsia="宋体" w:cs="宋体"/>
                      <w:spacing w:val="11"/>
                      <w:sz w:val="17"/>
                      <w:szCs w:val="17"/>
                    </w:rPr>
                    <w:t>,甲硝唑</w:t>
                  </w:r>
                  <w:r>
                    <w:rPr>
                      <w:rFonts w:ascii="宋体" w:hAnsi="宋体" w:eastAsia="宋体" w:cs="宋体"/>
                      <w:spacing w:val="6"/>
                      <w:sz w:val="17"/>
                      <w:szCs w:val="17"/>
                    </w:rPr>
                    <w:t xml:space="preserve"> </w:t>
                  </w:r>
                  <w:r>
                    <w:rPr>
                      <w:rFonts w:ascii="宋体" w:hAnsi="宋体" w:eastAsia="宋体" w:cs="宋体"/>
                      <w:spacing w:val="20"/>
                      <w:sz w:val="17"/>
                      <w:szCs w:val="17"/>
                    </w:rPr>
                    <w:t>375</w:t>
                  </w:r>
                  <w:r>
                    <w:rPr>
                      <w:rFonts w:ascii="宋体" w:hAnsi="宋体" w:eastAsia="宋体" w:cs="宋体"/>
                      <w:sz w:val="17"/>
                      <w:szCs w:val="17"/>
                    </w:rPr>
                    <w:t>mg</w:t>
                  </w:r>
                  <w:r>
                    <w:rPr>
                      <w:rFonts w:ascii="宋体" w:hAnsi="宋体" w:eastAsia="宋体" w:cs="宋体"/>
                      <w:spacing w:val="20"/>
                      <w:sz w:val="17"/>
                      <w:szCs w:val="17"/>
                    </w:rPr>
                    <w:t>,每日3次，连</w:t>
                  </w:r>
                  <w:r>
                    <w:rPr>
                      <w:rFonts w:ascii="宋体" w:hAnsi="宋体" w:eastAsia="宋体" w:cs="宋体"/>
                      <w:sz w:val="17"/>
                      <w:szCs w:val="17"/>
                    </w:rPr>
                    <w:t xml:space="preserve"> </w:t>
                  </w:r>
                  <w:r>
                    <w:rPr>
                      <w:rFonts w:ascii="宋体" w:hAnsi="宋体" w:eastAsia="宋体" w:cs="宋体"/>
                      <w:spacing w:val="4"/>
                      <w:sz w:val="17"/>
                      <w:szCs w:val="17"/>
                    </w:rPr>
                    <w:t>用2周</w:t>
                  </w:r>
                </w:p>
              </w:txbxContent>
            </v:textbox>
          </v:shape>
        </w:pict>
      </w:r>
      <w:r>
        <w:pict>
          <v:shape id="_x0000_s1253" o:spid="_x0000_s1253" o:spt="202" type="#_x0000_t202" style="position:absolute;left:0pt;margin-left:26.5pt;margin-top:7.75pt;height:34.65pt;width:213.7pt;z-index:251938816;mso-width-relative:page;mso-height-relative:page;" filled="f" stroked="f" coordsize="21600,21600">
            <v:path/>
            <v:fill on="f" focussize="0,0"/>
            <v:stroke on="f"/>
            <v:imagedata o:title=""/>
            <o:lock v:ext="edit" aspectratio="f"/>
            <v:textbox inset="0mm,0mm,0mm,0mm">
              <w:txbxContent>
                <w:p w14:paraId="2A37E635">
                  <w:pPr>
                    <w:spacing w:before="19" w:line="239" w:lineRule="auto"/>
                    <w:ind w:left="3830"/>
                    <w:rPr>
                      <w:rFonts w:ascii="宋体" w:hAnsi="宋体" w:eastAsia="宋体" w:cs="宋体"/>
                      <w:sz w:val="17"/>
                      <w:szCs w:val="17"/>
                    </w:rPr>
                  </w:pPr>
                  <w:r>
                    <w:rPr>
                      <w:rFonts w:ascii="宋体" w:hAnsi="宋体" w:eastAsia="宋体" w:cs="宋体"/>
                      <w:spacing w:val="-2"/>
                      <w:sz w:val="17"/>
                      <w:szCs w:val="17"/>
                    </w:rPr>
                    <w:t>51.1</w:t>
                  </w:r>
                </w:p>
                <w:p w14:paraId="6812E795">
                  <w:pPr>
                    <w:spacing w:before="45" w:line="387" w:lineRule="exact"/>
                    <w:ind w:left="20"/>
                    <w:rPr>
                      <w:rFonts w:ascii="宋体" w:hAnsi="宋体" w:eastAsia="宋体" w:cs="宋体"/>
                      <w:sz w:val="17"/>
                      <w:szCs w:val="17"/>
                    </w:rPr>
                  </w:pPr>
                  <w:r>
                    <w:rPr>
                      <w:rFonts w:ascii="宋体" w:hAnsi="宋体" w:eastAsia="宋体" w:cs="宋体"/>
                      <w:spacing w:val="-1"/>
                      <w:position w:val="-3"/>
                      <w:sz w:val="17"/>
                      <w:szCs w:val="17"/>
                    </w:rPr>
                    <w:t>Correa    2000</w:t>
                  </w:r>
                  <w:r>
                    <w:rPr>
                      <w:rFonts w:ascii="宋体" w:hAnsi="宋体" w:eastAsia="宋体" w:cs="宋体"/>
                      <w:spacing w:val="9"/>
                      <w:position w:val="-3"/>
                      <w:sz w:val="17"/>
                      <w:szCs w:val="17"/>
                    </w:rPr>
                    <w:t xml:space="preserve">    </w:t>
                  </w:r>
                  <w:r>
                    <w:rPr>
                      <w:rFonts w:ascii="宋体" w:hAnsi="宋体" w:eastAsia="宋体" w:cs="宋体"/>
                      <w:spacing w:val="-1"/>
                      <w:position w:val="-2"/>
                      <w:sz w:val="17"/>
                      <w:szCs w:val="17"/>
                    </w:rPr>
                    <w:t>美国</w:t>
                  </w:r>
                  <w:r>
                    <w:rPr>
                      <w:rFonts w:ascii="宋体" w:hAnsi="宋体" w:eastAsia="宋体" w:cs="宋体"/>
                      <w:spacing w:val="16"/>
                      <w:position w:val="-2"/>
                      <w:sz w:val="17"/>
                      <w:szCs w:val="17"/>
                    </w:rPr>
                    <w:t xml:space="preserve">     </w:t>
                  </w:r>
                  <w:r>
                    <w:rPr>
                      <w:rFonts w:ascii="宋体" w:hAnsi="宋体" w:eastAsia="宋体" w:cs="宋体"/>
                      <w:spacing w:val="-1"/>
                      <w:position w:val="-2"/>
                      <w:sz w:val="17"/>
                      <w:szCs w:val="17"/>
                    </w:rPr>
                    <w:t xml:space="preserve">852(437)     </w:t>
                  </w:r>
                  <w:r>
                    <w:rPr>
                      <w:rFonts w:ascii="宋体" w:hAnsi="宋体" w:eastAsia="宋体" w:cs="宋体"/>
                      <w:spacing w:val="-2"/>
                      <w:position w:val="-2"/>
                      <w:sz w:val="17"/>
                      <w:szCs w:val="17"/>
                    </w:rPr>
                    <w:t xml:space="preserve"> </w:t>
                  </w:r>
                  <w:r>
                    <w:rPr>
                      <w:rFonts w:ascii="宋体" w:hAnsi="宋体" w:eastAsia="宋体" w:cs="宋体"/>
                      <w:spacing w:val="-2"/>
                      <w:position w:val="13"/>
                      <w:sz w:val="17"/>
                      <w:szCs w:val="17"/>
                    </w:rPr>
                    <w:t>(29～69)</w:t>
                  </w:r>
                </w:p>
              </w:txbxContent>
            </v:textbox>
          </v:shape>
        </w:pict>
      </w:r>
      <w:r>
        <w:rPr>
          <w:rFonts w:ascii="宋体" w:hAnsi="宋体" w:eastAsia="宋体" w:cs="宋体"/>
          <w:spacing w:val="1"/>
          <w:sz w:val="17"/>
          <w:szCs w:val="17"/>
        </w:rPr>
        <w:t>随机方案隐</w:t>
      </w:r>
    </w:p>
    <w:p w14:paraId="55575276">
      <w:pPr>
        <w:spacing w:before="98" w:line="196" w:lineRule="auto"/>
        <w:ind w:left="12130"/>
        <w:rPr>
          <w:rFonts w:ascii="宋体" w:hAnsi="宋体" w:eastAsia="宋体" w:cs="宋体"/>
          <w:sz w:val="17"/>
          <w:szCs w:val="17"/>
        </w:rPr>
      </w:pPr>
      <w:r>
        <w:rPr>
          <w:rFonts w:ascii="宋体" w:hAnsi="宋体" w:eastAsia="宋体" w:cs="宋体"/>
          <w:spacing w:val="-2"/>
          <w:sz w:val="17"/>
          <w:szCs w:val="17"/>
        </w:rPr>
        <w:t>藏，未盲</w:t>
      </w:r>
    </w:p>
    <w:p w14:paraId="1EA671AB">
      <w:pPr>
        <w:spacing w:before="1" w:line="237" w:lineRule="auto"/>
        <w:ind w:left="9385"/>
        <w:rPr>
          <w:rFonts w:ascii="宋体" w:hAnsi="宋体" w:eastAsia="宋体" w:cs="宋体"/>
          <w:sz w:val="17"/>
          <w:szCs w:val="17"/>
        </w:rPr>
      </w:pPr>
      <w:r>
        <w:pict>
          <v:shape id="_x0000_s1254" o:spid="_x0000_s1254" o:spt="202" type="#_x0000_t202" style="position:absolute;left:0pt;margin-left:267.5pt;margin-top:-0.05pt;height:13pt;width:62.8pt;z-index:251947008;mso-width-relative:page;mso-height-relative:page;" filled="f" stroked="f" coordsize="21600,21600">
            <v:path/>
            <v:fill on="f" focussize="0,0"/>
            <v:stroke on="f"/>
            <v:imagedata o:title=""/>
            <o:lock v:ext="edit" aspectratio="f"/>
            <v:textbox inset="0mm,0mm,0mm,0mm">
              <w:txbxContent>
                <w:p w14:paraId="12FA0497">
                  <w:pPr>
                    <w:spacing w:before="19" w:line="239" w:lineRule="auto"/>
                    <w:ind w:left="20"/>
                    <w:rPr>
                      <w:rFonts w:ascii="宋体" w:hAnsi="宋体" w:eastAsia="宋体" w:cs="宋体"/>
                      <w:sz w:val="17"/>
                      <w:szCs w:val="17"/>
                    </w:rPr>
                  </w:pPr>
                  <w:r>
                    <w:rPr>
                      <w:rFonts w:ascii="宋体" w:hAnsi="宋体" w:eastAsia="宋体" w:cs="宋体"/>
                      <w:spacing w:val="-3"/>
                      <w:sz w:val="17"/>
                      <w:szCs w:val="17"/>
                    </w:rPr>
                    <w:t>46.1</w:t>
                  </w:r>
                  <w:r>
                    <w:rPr>
                      <w:rFonts w:ascii="宋体" w:hAnsi="宋体" w:eastAsia="宋体" w:cs="宋体"/>
                      <w:spacing w:val="7"/>
                      <w:sz w:val="17"/>
                      <w:szCs w:val="17"/>
                    </w:rPr>
                    <w:t xml:space="preserve">       </w:t>
                  </w:r>
                  <w:r>
                    <w:rPr>
                      <w:rFonts w:ascii="宋体" w:hAnsi="宋体" w:eastAsia="宋体" w:cs="宋体"/>
                      <w:spacing w:val="-3"/>
                      <w:sz w:val="17"/>
                      <w:szCs w:val="17"/>
                    </w:rPr>
                    <w:t>100</w:t>
                  </w:r>
                </w:p>
              </w:txbxContent>
            </v:textbox>
          </v:shape>
        </w:pict>
      </w:r>
      <w:r>
        <w:rPr>
          <w:rFonts w:ascii="宋体" w:hAnsi="宋体" w:eastAsia="宋体" w:cs="宋体"/>
          <w:spacing w:val="-2"/>
          <w:sz w:val="17"/>
          <w:szCs w:val="17"/>
        </w:rPr>
        <w:t>58.0</w:t>
      </w:r>
      <w:r>
        <w:rPr>
          <w:rFonts w:ascii="宋体" w:hAnsi="宋体" w:eastAsia="宋体" w:cs="宋体"/>
          <w:spacing w:val="12"/>
          <w:sz w:val="17"/>
          <w:szCs w:val="17"/>
        </w:rPr>
        <w:t xml:space="preserve">     </w:t>
      </w:r>
      <w:r>
        <w:rPr>
          <w:rFonts w:ascii="宋体" w:hAnsi="宋体" w:eastAsia="宋体" w:cs="宋体"/>
          <w:spacing w:val="-2"/>
          <w:sz w:val="17"/>
          <w:szCs w:val="17"/>
        </w:rPr>
        <w:t>6</w:t>
      </w:r>
      <w:r>
        <w:rPr>
          <w:rFonts w:ascii="宋体" w:hAnsi="宋体" w:eastAsia="宋体" w:cs="宋体"/>
          <w:spacing w:val="8"/>
          <w:sz w:val="17"/>
          <w:szCs w:val="17"/>
        </w:rPr>
        <w:t xml:space="preserve">     </w:t>
      </w:r>
      <w:r>
        <w:rPr>
          <w:rFonts w:ascii="宋体" w:hAnsi="宋体" w:eastAsia="宋体" w:cs="宋体"/>
          <w:spacing w:val="-2"/>
          <w:position w:val="1"/>
          <w:sz w:val="17"/>
          <w:szCs w:val="17"/>
        </w:rPr>
        <w:t xml:space="preserve">组织学检查                     </w:t>
      </w:r>
      <w:r>
        <w:rPr>
          <w:rFonts w:ascii="宋体" w:hAnsi="宋体" w:eastAsia="宋体" w:cs="宋体"/>
          <w:spacing w:val="-2"/>
          <w:sz w:val="17"/>
          <w:szCs w:val="17"/>
        </w:rPr>
        <w:t>1.42    0.24～8.48</w:t>
      </w:r>
    </w:p>
    <w:p w14:paraId="317CA6A8">
      <w:pPr>
        <w:spacing w:before="13"/>
      </w:pPr>
    </w:p>
    <w:p w14:paraId="692B1854">
      <w:pPr>
        <w:spacing w:before="13"/>
      </w:pPr>
    </w:p>
    <w:tbl>
      <w:tblPr>
        <w:tblStyle w:val="5"/>
        <w:tblW w:w="14560" w:type="dxa"/>
        <w:tblInd w:w="42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0" w:type="dxa"/>
          <w:left w:w="0" w:type="dxa"/>
          <w:bottom w:w="0" w:type="dxa"/>
          <w:right w:w="0" w:type="dxa"/>
        </w:tblCellMar>
      </w:tblPr>
      <w:tblGrid>
        <w:gridCol w:w="780"/>
        <w:gridCol w:w="720"/>
        <w:gridCol w:w="700"/>
        <w:gridCol w:w="1360"/>
        <w:gridCol w:w="1140"/>
        <w:gridCol w:w="840"/>
        <w:gridCol w:w="1040"/>
        <w:gridCol w:w="2170"/>
        <w:gridCol w:w="690"/>
        <w:gridCol w:w="770"/>
        <w:gridCol w:w="1380"/>
        <w:gridCol w:w="1210"/>
        <w:gridCol w:w="630"/>
        <w:gridCol w:w="1130"/>
      </w:tblGrid>
      <w:tr w14:paraId="5FE89B6F">
        <w:trPr>
          <w:trHeight w:val="1283" w:hRule="atLeast"/>
        </w:trPr>
        <w:tc>
          <w:tcPr>
            <w:tcW w:w="780" w:type="dxa"/>
            <w:tcBorders>
              <w:top w:val="single" w:color="000000" w:sz="4" w:space="0"/>
              <w:bottom w:val="single" w:color="000000" w:sz="4" w:space="0"/>
            </w:tcBorders>
            <w:shd w:val="clear" w:color="auto" w:fill="EBEAEF"/>
            <w:vAlign w:val="top"/>
          </w:tcPr>
          <w:p w14:paraId="567A83F1">
            <w:pPr>
              <w:spacing w:line="260" w:lineRule="auto"/>
              <w:rPr>
                <w:rFonts w:ascii="Arial"/>
                <w:sz w:val="21"/>
              </w:rPr>
            </w:pPr>
          </w:p>
          <w:p w14:paraId="728F6D8F">
            <w:pPr>
              <w:spacing w:line="260" w:lineRule="auto"/>
              <w:rPr>
                <w:rFonts w:ascii="Arial"/>
                <w:sz w:val="21"/>
              </w:rPr>
            </w:pPr>
          </w:p>
          <w:p w14:paraId="5BF16366">
            <w:pPr>
              <w:pStyle w:val="6"/>
              <w:spacing w:before="55"/>
              <w:ind w:left="170"/>
              <w:rPr>
                <w:sz w:val="17"/>
                <w:szCs w:val="17"/>
              </w:rPr>
            </w:pPr>
            <w:r>
              <w:rPr>
                <w:spacing w:val="-2"/>
                <w:sz w:val="17"/>
                <w:szCs w:val="17"/>
              </w:rPr>
              <w:t>Zhou</w:t>
            </w:r>
          </w:p>
        </w:tc>
        <w:tc>
          <w:tcPr>
            <w:tcW w:w="720" w:type="dxa"/>
            <w:tcBorders>
              <w:top w:val="single" w:color="000000" w:sz="4" w:space="0"/>
              <w:bottom w:val="single" w:color="000000" w:sz="4" w:space="0"/>
            </w:tcBorders>
            <w:vAlign w:val="top"/>
          </w:tcPr>
          <w:p w14:paraId="1920306E">
            <w:pPr>
              <w:spacing w:line="260" w:lineRule="auto"/>
              <w:rPr>
                <w:rFonts w:ascii="Arial"/>
                <w:sz w:val="21"/>
              </w:rPr>
            </w:pPr>
          </w:p>
          <w:p w14:paraId="5D62DF61">
            <w:pPr>
              <w:spacing w:line="260" w:lineRule="auto"/>
              <w:rPr>
                <w:rFonts w:ascii="Arial"/>
                <w:sz w:val="21"/>
              </w:rPr>
            </w:pPr>
          </w:p>
          <w:p w14:paraId="7AD02E91">
            <w:pPr>
              <w:pStyle w:val="6"/>
              <w:spacing w:before="55"/>
              <w:ind w:left="140"/>
              <w:rPr>
                <w:sz w:val="17"/>
                <w:szCs w:val="17"/>
              </w:rPr>
            </w:pPr>
            <w:r>
              <w:rPr>
                <w:spacing w:val="-2"/>
                <w:sz w:val="17"/>
                <w:szCs w:val="17"/>
              </w:rPr>
              <w:t>2008</w:t>
            </w:r>
          </w:p>
        </w:tc>
        <w:tc>
          <w:tcPr>
            <w:tcW w:w="700" w:type="dxa"/>
            <w:tcBorders>
              <w:top w:val="single" w:color="000000" w:sz="4" w:space="0"/>
              <w:bottom w:val="single" w:color="000000" w:sz="4" w:space="0"/>
            </w:tcBorders>
            <w:shd w:val="clear" w:color="auto" w:fill="ECECEE"/>
            <w:vAlign w:val="top"/>
          </w:tcPr>
          <w:p w14:paraId="5A0A1CCE">
            <w:pPr>
              <w:spacing w:line="252" w:lineRule="auto"/>
              <w:rPr>
                <w:rFonts w:ascii="Arial"/>
                <w:sz w:val="21"/>
              </w:rPr>
            </w:pPr>
          </w:p>
          <w:p w14:paraId="2E3DF800">
            <w:pPr>
              <w:spacing w:line="252" w:lineRule="auto"/>
              <w:rPr>
                <w:rFonts w:ascii="Arial"/>
                <w:sz w:val="21"/>
              </w:rPr>
            </w:pPr>
          </w:p>
          <w:p w14:paraId="5CA592F0">
            <w:pPr>
              <w:pStyle w:val="6"/>
              <w:spacing w:before="55" w:line="220" w:lineRule="auto"/>
              <w:ind w:left="248"/>
              <w:rPr>
                <w:sz w:val="17"/>
                <w:szCs w:val="17"/>
              </w:rPr>
            </w:pPr>
            <w:r>
              <w:rPr>
                <w:spacing w:val="-3"/>
                <w:sz w:val="17"/>
                <w:szCs w:val="17"/>
              </w:rPr>
              <w:t>中国</w:t>
            </w:r>
          </w:p>
        </w:tc>
        <w:tc>
          <w:tcPr>
            <w:tcW w:w="1360" w:type="dxa"/>
            <w:tcBorders>
              <w:top w:val="single" w:color="000000" w:sz="4" w:space="0"/>
              <w:bottom w:val="single" w:color="000000" w:sz="4" w:space="0"/>
            </w:tcBorders>
            <w:shd w:val="clear" w:color="auto" w:fill="ECECED"/>
            <w:vAlign w:val="top"/>
          </w:tcPr>
          <w:p w14:paraId="7FEFECCC">
            <w:pPr>
              <w:spacing w:line="253" w:lineRule="auto"/>
              <w:rPr>
                <w:rFonts w:ascii="Arial"/>
                <w:sz w:val="21"/>
              </w:rPr>
            </w:pPr>
          </w:p>
          <w:p w14:paraId="37FA31FB">
            <w:pPr>
              <w:spacing w:line="253" w:lineRule="auto"/>
              <w:rPr>
                <w:rFonts w:ascii="Arial"/>
                <w:sz w:val="21"/>
              </w:rPr>
            </w:pPr>
          </w:p>
          <w:p w14:paraId="478C19FF">
            <w:pPr>
              <w:pStyle w:val="6"/>
              <w:spacing w:before="55" w:line="222" w:lineRule="auto"/>
              <w:ind w:left="340"/>
              <w:rPr>
                <w:sz w:val="17"/>
                <w:szCs w:val="17"/>
              </w:rPr>
            </w:pPr>
            <w:r>
              <w:rPr>
                <w:spacing w:val="-2"/>
                <w:sz w:val="17"/>
                <w:szCs w:val="17"/>
              </w:rPr>
              <w:t>552(276)</w:t>
            </w:r>
          </w:p>
        </w:tc>
        <w:tc>
          <w:tcPr>
            <w:tcW w:w="1140" w:type="dxa"/>
            <w:tcBorders>
              <w:top w:val="single" w:color="000000" w:sz="4" w:space="0"/>
              <w:bottom w:val="single" w:color="000000" w:sz="4" w:space="0"/>
            </w:tcBorders>
            <w:vAlign w:val="top"/>
          </w:tcPr>
          <w:p w14:paraId="7C919C30">
            <w:pPr>
              <w:pStyle w:val="6"/>
              <w:spacing w:before="168" w:line="239" w:lineRule="auto"/>
              <w:ind w:left="390"/>
              <w:rPr>
                <w:sz w:val="17"/>
                <w:szCs w:val="17"/>
              </w:rPr>
            </w:pPr>
            <w:r>
              <w:rPr>
                <w:spacing w:val="-2"/>
                <w:sz w:val="17"/>
                <w:szCs w:val="17"/>
              </w:rPr>
              <w:t>52.0</w:t>
            </w:r>
          </w:p>
          <w:p w14:paraId="60764F7A">
            <w:pPr>
              <w:pStyle w:val="6"/>
              <w:spacing w:before="25" w:line="222" w:lineRule="auto"/>
              <w:ind w:left="160"/>
              <w:rPr>
                <w:sz w:val="17"/>
                <w:szCs w:val="17"/>
              </w:rPr>
            </w:pPr>
            <w:r>
              <w:rPr>
                <w:spacing w:val="-5"/>
                <w:sz w:val="17"/>
                <w:szCs w:val="17"/>
              </w:rPr>
              <w:t>(35～75)</w:t>
            </w:r>
          </w:p>
        </w:tc>
        <w:tc>
          <w:tcPr>
            <w:tcW w:w="840" w:type="dxa"/>
            <w:tcBorders>
              <w:top w:val="single" w:color="000000" w:sz="4" w:space="0"/>
              <w:bottom w:val="single" w:color="000000" w:sz="4" w:space="0"/>
            </w:tcBorders>
            <w:vAlign w:val="top"/>
          </w:tcPr>
          <w:p w14:paraId="76404F2C">
            <w:pPr>
              <w:spacing w:line="260" w:lineRule="auto"/>
              <w:rPr>
                <w:rFonts w:ascii="Arial"/>
                <w:sz w:val="21"/>
              </w:rPr>
            </w:pPr>
          </w:p>
          <w:p w14:paraId="21D7DEBB">
            <w:pPr>
              <w:spacing w:line="260" w:lineRule="auto"/>
              <w:rPr>
                <w:rFonts w:ascii="Arial"/>
                <w:sz w:val="21"/>
              </w:rPr>
            </w:pPr>
          </w:p>
          <w:p w14:paraId="59455828">
            <w:pPr>
              <w:pStyle w:val="6"/>
              <w:spacing w:before="55" w:line="239" w:lineRule="auto"/>
              <w:ind w:left="250"/>
              <w:rPr>
                <w:sz w:val="17"/>
                <w:szCs w:val="17"/>
              </w:rPr>
            </w:pPr>
            <w:r>
              <w:rPr>
                <w:spacing w:val="-2"/>
                <w:sz w:val="17"/>
                <w:szCs w:val="17"/>
              </w:rPr>
              <w:t>47.8</w:t>
            </w:r>
          </w:p>
        </w:tc>
        <w:tc>
          <w:tcPr>
            <w:tcW w:w="1040" w:type="dxa"/>
            <w:tcBorders>
              <w:top w:val="single" w:color="000000" w:sz="4" w:space="0"/>
              <w:bottom w:val="single" w:color="000000" w:sz="4" w:space="0"/>
            </w:tcBorders>
            <w:vAlign w:val="top"/>
          </w:tcPr>
          <w:p w14:paraId="7B45DC3A">
            <w:pPr>
              <w:spacing w:line="260" w:lineRule="auto"/>
              <w:rPr>
                <w:rFonts w:ascii="Arial"/>
                <w:sz w:val="21"/>
              </w:rPr>
            </w:pPr>
          </w:p>
          <w:p w14:paraId="59A3FBB7">
            <w:pPr>
              <w:spacing w:line="260" w:lineRule="auto"/>
              <w:rPr>
                <w:rFonts w:ascii="Arial"/>
                <w:sz w:val="21"/>
              </w:rPr>
            </w:pPr>
          </w:p>
          <w:p w14:paraId="52D632A8">
            <w:pPr>
              <w:pStyle w:val="6"/>
              <w:spacing w:before="55" w:line="239" w:lineRule="auto"/>
              <w:ind w:left="350"/>
              <w:rPr>
                <w:sz w:val="17"/>
                <w:szCs w:val="17"/>
              </w:rPr>
            </w:pPr>
            <w:r>
              <w:rPr>
                <w:spacing w:val="-2"/>
                <w:sz w:val="17"/>
                <w:szCs w:val="17"/>
              </w:rPr>
              <w:t>33.7</w:t>
            </w:r>
          </w:p>
        </w:tc>
        <w:tc>
          <w:tcPr>
            <w:tcW w:w="2170" w:type="dxa"/>
            <w:tcBorders>
              <w:top w:val="single" w:color="000000" w:sz="4" w:space="0"/>
              <w:bottom w:val="single" w:color="000000" w:sz="4" w:space="0"/>
            </w:tcBorders>
            <w:vAlign w:val="top"/>
          </w:tcPr>
          <w:p w14:paraId="09BB1F04">
            <w:pPr>
              <w:pStyle w:val="6"/>
              <w:spacing w:before="147" w:line="304" w:lineRule="auto"/>
              <w:ind w:left="120" w:right="591"/>
              <w:rPr>
                <w:sz w:val="17"/>
                <w:szCs w:val="17"/>
              </w:rPr>
            </w:pPr>
            <w:r>
              <w:rPr>
                <w:spacing w:val="9"/>
                <w:sz w:val="17"/>
                <w:szCs w:val="17"/>
              </w:rPr>
              <w:t>奥美拉唑20</w:t>
            </w:r>
            <w:r>
              <w:rPr>
                <w:sz w:val="17"/>
                <w:szCs w:val="17"/>
              </w:rPr>
              <w:t>mg</w:t>
            </w:r>
            <w:r>
              <w:rPr>
                <w:spacing w:val="9"/>
                <w:sz w:val="17"/>
                <w:szCs w:val="17"/>
              </w:rPr>
              <w:t>,阿</w:t>
            </w:r>
            <w:r>
              <w:rPr>
                <w:spacing w:val="3"/>
                <w:sz w:val="17"/>
                <w:szCs w:val="17"/>
              </w:rPr>
              <w:t xml:space="preserve">  </w:t>
            </w:r>
            <w:r>
              <w:rPr>
                <w:spacing w:val="1"/>
                <w:sz w:val="17"/>
                <w:szCs w:val="17"/>
              </w:rPr>
              <w:t>莫西林1g,克拉霉素 500</w:t>
            </w:r>
            <w:r>
              <w:rPr>
                <w:sz w:val="17"/>
                <w:szCs w:val="17"/>
              </w:rPr>
              <w:t>mg</w:t>
            </w:r>
            <w:r>
              <w:rPr>
                <w:spacing w:val="1"/>
                <w:sz w:val="17"/>
                <w:szCs w:val="17"/>
              </w:rPr>
              <w:t>,每日2次，连</w:t>
            </w:r>
            <w:r>
              <w:rPr>
                <w:sz w:val="17"/>
                <w:szCs w:val="17"/>
              </w:rPr>
              <w:t xml:space="preserve"> </w:t>
            </w:r>
            <w:r>
              <w:rPr>
                <w:spacing w:val="4"/>
                <w:sz w:val="17"/>
                <w:szCs w:val="17"/>
              </w:rPr>
              <w:t>用1周</w:t>
            </w:r>
          </w:p>
        </w:tc>
        <w:tc>
          <w:tcPr>
            <w:tcW w:w="690" w:type="dxa"/>
            <w:tcBorders>
              <w:top w:val="single" w:color="000000" w:sz="4" w:space="0"/>
              <w:bottom w:val="single" w:color="000000" w:sz="4" w:space="0"/>
            </w:tcBorders>
            <w:vAlign w:val="top"/>
          </w:tcPr>
          <w:p w14:paraId="53BEAFE9">
            <w:pPr>
              <w:spacing w:line="260" w:lineRule="auto"/>
              <w:rPr>
                <w:rFonts w:ascii="Arial"/>
                <w:sz w:val="21"/>
              </w:rPr>
            </w:pPr>
          </w:p>
          <w:p w14:paraId="6B66B4F2">
            <w:pPr>
              <w:spacing w:line="260" w:lineRule="auto"/>
              <w:rPr>
                <w:rFonts w:ascii="Arial"/>
                <w:sz w:val="21"/>
              </w:rPr>
            </w:pPr>
          </w:p>
          <w:p w14:paraId="2BC1C970">
            <w:pPr>
              <w:pStyle w:val="6"/>
              <w:spacing w:before="55" w:line="239" w:lineRule="auto"/>
              <w:ind w:left="215"/>
              <w:rPr>
                <w:sz w:val="17"/>
                <w:szCs w:val="17"/>
              </w:rPr>
            </w:pPr>
            <w:r>
              <w:rPr>
                <w:spacing w:val="-2"/>
                <w:sz w:val="17"/>
                <w:szCs w:val="17"/>
              </w:rPr>
              <w:t>55.6</w:t>
            </w:r>
          </w:p>
        </w:tc>
        <w:tc>
          <w:tcPr>
            <w:tcW w:w="770" w:type="dxa"/>
            <w:tcBorders>
              <w:top w:val="single" w:color="000000" w:sz="4" w:space="0"/>
              <w:bottom w:val="single" w:color="000000" w:sz="4" w:space="0"/>
            </w:tcBorders>
            <w:vAlign w:val="top"/>
          </w:tcPr>
          <w:p w14:paraId="4C224D1E">
            <w:pPr>
              <w:spacing w:line="260" w:lineRule="auto"/>
              <w:rPr>
                <w:rFonts w:ascii="Arial"/>
                <w:sz w:val="21"/>
              </w:rPr>
            </w:pPr>
          </w:p>
          <w:p w14:paraId="1AD009D9">
            <w:pPr>
              <w:spacing w:line="260" w:lineRule="auto"/>
              <w:rPr>
                <w:rFonts w:ascii="Arial"/>
                <w:sz w:val="21"/>
              </w:rPr>
            </w:pPr>
          </w:p>
          <w:p w14:paraId="051671B9">
            <w:pPr>
              <w:pStyle w:val="6"/>
              <w:spacing w:before="55"/>
              <w:ind w:left="300"/>
              <w:rPr>
                <w:sz w:val="17"/>
                <w:szCs w:val="17"/>
              </w:rPr>
            </w:pPr>
            <w:r>
              <w:rPr>
                <w:spacing w:val="-5"/>
                <w:sz w:val="17"/>
                <w:szCs w:val="17"/>
              </w:rPr>
              <w:t>10</w:t>
            </w:r>
          </w:p>
        </w:tc>
        <w:tc>
          <w:tcPr>
            <w:tcW w:w="1380" w:type="dxa"/>
            <w:tcBorders>
              <w:top w:val="single" w:color="000000" w:sz="4" w:space="0"/>
              <w:bottom w:val="single" w:color="000000" w:sz="4" w:space="0"/>
            </w:tcBorders>
            <w:vAlign w:val="top"/>
          </w:tcPr>
          <w:p w14:paraId="7DAC13CE">
            <w:pPr>
              <w:spacing w:line="251" w:lineRule="auto"/>
              <w:rPr>
                <w:rFonts w:ascii="Arial"/>
                <w:sz w:val="21"/>
              </w:rPr>
            </w:pPr>
          </w:p>
          <w:p w14:paraId="3185AF5A">
            <w:pPr>
              <w:spacing w:line="252" w:lineRule="auto"/>
              <w:rPr>
                <w:rFonts w:ascii="Arial"/>
                <w:sz w:val="21"/>
              </w:rPr>
            </w:pPr>
          </w:p>
          <w:p w14:paraId="0B668975">
            <w:pPr>
              <w:pStyle w:val="6"/>
              <w:spacing w:before="55" w:line="219" w:lineRule="auto"/>
              <w:ind w:left="110"/>
              <w:rPr>
                <w:sz w:val="17"/>
                <w:szCs w:val="17"/>
              </w:rPr>
            </w:pPr>
            <w:r>
              <w:rPr>
                <w:spacing w:val="-2"/>
                <w:sz w:val="17"/>
                <w:szCs w:val="17"/>
              </w:rPr>
              <w:t>组织学检查</w:t>
            </w:r>
          </w:p>
        </w:tc>
        <w:tc>
          <w:tcPr>
            <w:tcW w:w="1210" w:type="dxa"/>
            <w:tcBorders>
              <w:top w:val="single" w:color="000000" w:sz="4" w:space="0"/>
              <w:bottom w:val="single" w:color="000000" w:sz="4" w:space="0"/>
            </w:tcBorders>
            <w:vAlign w:val="top"/>
          </w:tcPr>
          <w:p w14:paraId="4E843748">
            <w:pPr>
              <w:pStyle w:val="6"/>
              <w:spacing w:before="141" w:line="285" w:lineRule="auto"/>
              <w:ind w:left="120" w:right="199"/>
              <w:rPr>
                <w:sz w:val="17"/>
                <w:szCs w:val="17"/>
              </w:rPr>
            </w:pPr>
            <w:r>
              <w:rPr>
                <w:spacing w:val="8"/>
                <w:sz w:val="17"/>
                <w:szCs w:val="17"/>
              </w:rPr>
              <w:t>随机方案隐</w:t>
            </w:r>
            <w:r>
              <w:rPr>
                <w:sz w:val="17"/>
                <w:szCs w:val="17"/>
              </w:rPr>
              <w:t xml:space="preserve"> </w:t>
            </w:r>
            <w:r>
              <w:rPr>
                <w:spacing w:val="-2"/>
                <w:sz w:val="17"/>
                <w:szCs w:val="17"/>
              </w:rPr>
              <w:t>藏，双盲</w:t>
            </w:r>
          </w:p>
        </w:tc>
        <w:tc>
          <w:tcPr>
            <w:tcW w:w="630" w:type="dxa"/>
            <w:tcBorders>
              <w:top w:val="single" w:color="000000" w:sz="4" w:space="0"/>
              <w:bottom w:val="single" w:color="000000" w:sz="4" w:space="0"/>
            </w:tcBorders>
            <w:vAlign w:val="top"/>
          </w:tcPr>
          <w:p w14:paraId="25A066D5">
            <w:pPr>
              <w:spacing w:line="260" w:lineRule="auto"/>
              <w:rPr>
                <w:rFonts w:ascii="Arial"/>
                <w:sz w:val="21"/>
              </w:rPr>
            </w:pPr>
          </w:p>
          <w:p w14:paraId="0B7BAE96">
            <w:pPr>
              <w:spacing w:line="260" w:lineRule="auto"/>
              <w:rPr>
                <w:rFonts w:ascii="Arial"/>
                <w:sz w:val="21"/>
              </w:rPr>
            </w:pPr>
          </w:p>
          <w:p w14:paraId="5BD6D2E0">
            <w:pPr>
              <w:pStyle w:val="6"/>
              <w:spacing w:before="55" w:line="239" w:lineRule="auto"/>
              <w:ind w:left="100"/>
              <w:rPr>
                <w:sz w:val="17"/>
                <w:szCs w:val="17"/>
              </w:rPr>
            </w:pPr>
            <w:r>
              <w:rPr>
                <w:spacing w:val="-2"/>
                <w:sz w:val="17"/>
                <w:szCs w:val="17"/>
              </w:rPr>
              <w:t>0.29</w:t>
            </w:r>
          </w:p>
        </w:tc>
        <w:tc>
          <w:tcPr>
            <w:tcW w:w="1130" w:type="dxa"/>
            <w:tcBorders>
              <w:top w:val="single" w:color="000000" w:sz="4" w:space="0"/>
              <w:bottom w:val="single" w:color="000000" w:sz="4" w:space="0"/>
            </w:tcBorders>
            <w:vAlign w:val="top"/>
          </w:tcPr>
          <w:p w14:paraId="73473197">
            <w:pPr>
              <w:spacing w:line="260" w:lineRule="auto"/>
              <w:rPr>
                <w:rFonts w:ascii="Arial"/>
                <w:sz w:val="21"/>
              </w:rPr>
            </w:pPr>
          </w:p>
          <w:p w14:paraId="3DE63CF6">
            <w:pPr>
              <w:spacing w:line="260" w:lineRule="auto"/>
              <w:rPr>
                <w:rFonts w:ascii="Arial"/>
                <w:sz w:val="21"/>
              </w:rPr>
            </w:pPr>
          </w:p>
          <w:p w14:paraId="401CDC53">
            <w:pPr>
              <w:pStyle w:val="6"/>
              <w:spacing w:before="55" w:line="239" w:lineRule="auto"/>
              <w:ind w:right="14"/>
              <w:jc w:val="right"/>
              <w:rPr>
                <w:sz w:val="17"/>
                <w:szCs w:val="17"/>
              </w:rPr>
            </w:pPr>
            <w:r>
              <w:rPr>
                <w:spacing w:val="-1"/>
                <w:sz w:val="17"/>
                <w:szCs w:val="17"/>
              </w:rPr>
              <w:t>0.06～1.36</w:t>
            </w:r>
          </w:p>
        </w:tc>
      </w:tr>
      <w:tr w14:paraId="7CAFDDE6">
        <w:trPr>
          <w:trHeight w:val="1308" w:hRule="atLeast"/>
        </w:trPr>
        <w:tc>
          <w:tcPr>
            <w:tcW w:w="780" w:type="dxa"/>
            <w:tcBorders>
              <w:top w:val="single" w:color="000000" w:sz="4" w:space="0"/>
              <w:bottom w:val="single" w:color="000000" w:sz="4" w:space="0"/>
            </w:tcBorders>
            <w:vAlign w:val="top"/>
          </w:tcPr>
          <w:p w14:paraId="487360D4">
            <w:pPr>
              <w:spacing w:line="266" w:lineRule="auto"/>
              <w:rPr>
                <w:rFonts w:ascii="Arial"/>
                <w:sz w:val="21"/>
              </w:rPr>
            </w:pPr>
          </w:p>
          <w:p w14:paraId="74050C4E">
            <w:pPr>
              <w:spacing w:line="266" w:lineRule="auto"/>
              <w:rPr>
                <w:rFonts w:ascii="Arial"/>
                <w:sz w:val="21"/>
              </w:rPr>
            </w:pPr>
          </w:p>
          <w:p w14:paraId="41F663F0">
            <w:pPr>
              <w:pStyle w:val="6"/>
              <w:spacing w:before="55" w:line="182" w:lineRule="auto"/>
              <w:ind w:left="220"/>
              <w:rPr>
                <w:sz w:val="17"/>
                <w:szCs w:val="17"/>
              </w:rPr>
            </w:pPr>
            <w:r>
              <w:rPr>
                <w:spacing w:val="-1"/>
                <w:sz w:val="17"/>
                <w:szCs w:val="17"/>
              </w:rPr>
              <w:t>Wong</w:t>
            </w:r>
          </w:p>
        </w:tc>
        <w:tc>
          <w:tcPr>
            <w:tcW w:w="720" w:type="dxa"/>
            <w:tcBorders>
              <w:top w:val="single" w:color="000000" w:sz="4" w:space="0"/>
              <w:bottom w:val="single" w:color="000000" w:sz="4" w:space="0"/>
            </w:tcBorders>
            <w:vAlign w:val="top"/>
          </w:tcPr>
          <w:p w14:paraId="2373D95B">
            <w:pPr>
              <w:spacing w:line="263" w:lineRule="auto"/>
              <w:rPr>
                <w:rFonts w:ascii="Arial"/>
                <w:sz w:val="21"/>
              </w:rPr>
            </w:pPr>
          </w:p>
          <w:p w14:paraId="02B10312">
            <w:pPr>
              <w:spacing w:line="264" w:lineRule="auto"/>
              <w:rPr>
                <w:rFonts w:ascii="Arial"/>
                <w:sz w:val="21"/>
              </w:rPr>
            </w:pPr>
          </w:p>
          <w:p w14:paraId="0A83E5EE">
            <w:pPr>
              <w:pStyle w:val="6"/>
              <w:spacing w:before="55"/>
              <w:ind w:left="233"/>
              <w:rPr>
                <w:sz w:val="17"/>
                <w:szCs w:val="17"/>
              </w:rPr>
            </w:pPr>
            <w:r>
              <w:rPr>
                <w:spacing w:val="-2"/>
                <w:sz w:val="17"/>
                <w:szCs w:val="17"/>
              </w:rPr>
              <w:t>2004</w:t>
            </w:r>
          </w:p>
        </w:tc>
        <w:tc>
          <w:tcPr>
            <w:tcW w:w="700" w:type="dxa"/>
            <w:tcBorders>
              <w:top w:val="single" w:color="000000" w:sz="4" w:space="0"/>
              <w:bottom w:val="single" w:color="000000" w:sz="4" w:space="0"/>
            </w:tcBorders>
            <w:vAlign w:val="top"/>
          </w:tcPr>
          <w:p w14:paraId="541C68F5">
            <w:pPr>
              <w:spacing w:line="255" w:lineRule="auto"/>
              <w:rPr>
                <w:rFonts w:ascii="Arial"/>
                <w:sz w:val="21"/>
              </w:rPr>
            </w:pPr>
          </w:p>
          <w:p w14:paraId="09C0641A">
            <w:pPr>
              <w:spacing w:line="256" w:lineRule="auto"/>
              <w:rPr>
                <w:rFonts w:ascii="Arial"/>
                <w:sz w:val="21"/>
              </w:rPr>
            </w:pPr>
          </w:p>
          <w:p w14:paraId="05A89DCB">
            <w:pPr>
              <w:pStyle w:val="6"/>
              <w:spacing w:before="55" w:line="220" w:lineRule="auto"/>
              <w:ind w:left="180"/>
              <w:rPr>
                <w:sz w:val="17"/>
                <w:szCs w:val="17"/>
              </w:rPr>
            </w:pPr>
            <w:r>
              <w:rPr>
                <w:spacing w:val="20"/>
                <w:sz w:val="17"/>
                <w:szCs w:val="17"/>
              </w:rPr>
              <w:t>中国</w:t>
            </w:r>
          </w:p>
        </w:tc>
        <w:tc>
          <w:tcPr>
            <w:tcW w:w="1360" w:type="dxa"/>
            <w:tcBorders>
              <w:top w:val="single" w:color="000000" w:sz="4" w:space="0"/>
              <w:bottom w:val="single" w:color="000000" w:sz="4" w:space="0"/>
            </w:tcBorders>
            <w:vAlign w:val="top"/>
          </w:tcPr>
          <w:p w14:paraId="4C03D610">
            <w:pPr>
              <w:spacing w:line="256" w:lineRule="auto"/>
              <w:rPr>
                <w:rFonts w:ascii="Arial"/>
                <w:sz w:val="21"/>
              </w:rPr>
            </w:pPr>
          </w:p>
          <w:p w14:paraId="388EF9A1">
            <w:pPr>
              <w:spacing w:line="257" w:lineRule="auto"/>
              <w:rPr>
                <w:rFonts w:ascii="Arial"/>
                <w:sz w:val="21"/>
              </w:rPr>
            </w:pPr>
          </w:p>
          <w:p w14:paraId="30C4EC8C">
            <w:pPr>
              <w:pStyle w:val="6"/>
              <w:spacing w:before="55" w:line="222" w:lineRule="auto"/>
              <w:ind w:left="290"/>
              <w:rPr>
                <w:sz w:val="17"/>
                <w:szCs w:val="17"/>
              </w:rPr>
            </w:pPr>
            <w:r>
              <w:rPr>
                <w:spacing w:val="-2"/>
                <w:sz w:val="17"/>
                <w:szCs w:val="17"/>
              </w:rPr>
              <w:t>1630(817)</w:t>
            </w:r>
          </w:p>
        </w:tc>
        <w:tc>
          <w:tcPr>
            <w:tcW w:w="1140" w:type="dxa"/>
            <w:tcBorders>
              <w:top w:val="single" w:color="000000" w:sz="4" w:space="0"/>
              <w:bottom w:val="single" w:color="000000" w:sz="4" w:space="0"/>
            </w:tcBorders>
            <w:vAlign w:val="top"/>
          </w:tcPr>
          <w:p w14:paraId="2A800035">
            <w:pPr>
              <w:pStyle w:val="6"/>
              <w:spacing w:before="175" w:line="239" w:lineRule="auto"/>
              <w:ind w:left="390"/>
              <w:rPr>
                <w:sz w:val="17"/>
                <w:szCs w:val="17"/>
              </w:rPr>
            </w:pPr>
            <w:r>
              <w:rPr>
                <w:spacing w:val="-2"/>
                <w:sz w:val="17"/>
                <w:szCs w:val="17"/>
              </w:rPr>
              <w:t>42.2</w:t>
            </w:r>
          </w:p>
          <w:p w14:paraId="5A1B181C">
            <w:pPr>
              <w:pStyle w:val="6"/>
              <w:spacing w:before="25" w:line="222" w:lineRule="auto"/>
              <w:ind w:left="160"/>
              <w:rPr>
                <w:sz w:val="17"/>
                <w:szCs w:val="17"/>
              </w:rPr>
            </w:pPr>
            <w:r>
              <w:rPr>
                <w:spacing w:val="-5"/>
                <w:sz w:val="17"/>
                <w:szCs w:val="17"/>
              </w:rPr>
              <w:t>(35～65)</w:t>
            </w:r>
          </w:p>
        </w:tc>
        <w:tc>
          <w:tcPr>
            <w:tcW w:w="840" w:type="dxa"/>
            <w:tcBorders>
              <w:top w:val="single" w:color="000000" w:sz="4" w:space="0"/>
              <w:bottom w:val="single" w:color="000000" w:sz="4" w:space="0"/>
            </w:tcBorders>
            <w:vAlign w:val="top"/>
          </w:tcPr>
          <w:p w14:paraId="0CC47515">
            <w:pPr>
              <w:spacing w:line="263" w:lineRule="auto"/>
              <w:rPr>
                <w:rFonts w:ascii="Arial"/>
                <w:sz w:val="21"/>
              </w:rPr>
            </w:pPr>
          </w:p>
          <w:p w14:paraId="3F928241">
            <w:pPr>
              <w:spacing w:line="264" w:lineRule="auto"/>
              <w:rPr>
                <w:rFonts w:ascii="Arial"/>
                <w:sz w:val="21"/>
              </w:rPr>
            </w:pPr>
          </w:p>
          <w:p w14:paraId="6F457541">
            <w:pPr>
              <w:pStyle w:val="6"/>
              <w:spacing w:before="55" w:line="239" w:lineRule="auto"/>
              <w:ind w:left="250"/>
              <w:rPr>
                <w:sz w:val="17"/>
                <w:szCs w:val="17"/>
              </w:rPr>
            </w:pPr>
            <w:r>
              <w:rPr>
                <w:spacing w:val="-2"/>
                <w:sz w:val="17"/>
                <w:szCs w:val="17"/>
              </w:rPr>
              <w:t>54.0</w:t>
            </w:r>
          </w:p>
        </w:tc>
        <w:tc>
          <w:tcPr>
            <w:tcW w:w="1040" w:type="dxa"/>
            <w:tcBorders>
              <w:top w:val="single" w:color="000000" w:sz="4" w:space="0"/>
              <w:bottom w:val="single" w:color="000000" w:sz="4" w:space="0"/>
            </w:tcBorders>
            <w:vAlign w:val="top"/>
          </w:tcPr>
          <w:p w14:paraId="0EBAB230">
            <w:pPr>
              <w:spacing w:line="263" w:lineRule="auto"/>
              <w:rPr>
                <w:rFonts w:ascii="Arial"/>
                <w:sz w:val="21"/>
              </w:rPr>
            </w:pPr>
          </w:p>
          <w:p w14:paraId="5F934E8E">
            <w:pPr>
              <w:spacing w:line="264" w:lineRule="auto"/>
              <w:rPr>
                <w:rFonts w:ascii="Arial"/>
                <w:sz w:val="21"/>
              </w:rPr>
            </w:pPr>
          </w:p>
          <w:p w14:paraId="302DCE0F">
            <w:pPr>
              <w:pStyle w:val="6"/>
              <w:spacing w:before="55" w:line="239" w:lineRule="auto"/>
              <w:ind w:left="350"/>
              <w:rPr>
                <w:sz w:val="17"/>
                <w:szCs w:val="17"/>
              </w:rPr>
            </w:pPr>
            <w:r>
              <w:rPr>
                <w:spacing w:val="-2"/>
                <w:sz w:val="17"/>
                <w:szCs w:val="17"/>
              </w:rPr>
              <w:t>37.7</w:t>
            </w:r>
          </w:p>
        </w:tc>
        <w:tc>
          <w:tcPr>
            <w:tcW w:w="2170" w:type="dxa"/>
            <w:tcBorders>
              <w:top w:val="single" w:color="000000" w:sz="4" w:space="0"/>
              <w:bottom w:val="single" w:color="000000" w:sz="4" w:space="0"/>
            </w:tcBorders>
            <w:vAlign w:val="top"/>
          </w:tcPr>
          <w:p w14:paraId="725E5879">
            <w:pPr>
              <w:pStyle w:val="6"/>
              <w:spacing w:before="162" w:line="301" w:lineRule="auto"/>
              <w:ind w:left="120" w:right="435"/>
              <w:jc w:val="both"/>
              <w:rPr>
                <w:sz w:val="17"/>
                <w:szCs w:val="17"/>
              </w:rPr>
            </w:pPr>
            <w:r>
              <w:rPr>
                <w:spacing w:val="9"/>
                <w:sz w:val="17"/>
                <w:szCs w:val="17"/>
              </w:rPr>
              <w:t>奥美拉唑20</w:t>
            </w:r>
            <w:r>
              <w:rPr>
                <w:sz w:val="17"/>
                <w:szCs w:val="17"/>
              </w:rPr>
              <w:t>mg</w:t>
            </w:r>
            <w:r>
              <w:rPr>
                <w:spacing w:val="9"/>
                <w:sz w:val="17"/>
                <w:szCs w:val="17"/>
              </w:rPr>
              <w:t>,复方</w:t>
            </w:r>
            <w:r>
              <w:rPr>
                <w:sz w:val="17"/>
                <w:szCs w:val="17"/>
              </w:rPr>
              <w:t xml:space="preserve">  </w:t>
            </w:r>
            <w:r>
              <w:rPr>
                <w:spacing w:val="1"/>
                <w:sz w:val="17"/>
                <w:szCs w:val="17"/>
              </w:rPr>
              <w:t>阿莫西林750</w:t>
            </w:r>
            <w:r>
              <w:rPr>
                <w:sz w:val="17"/>
                <w:szCs w:val="17"/>
              </w:rPr>
              <w:t>mg</w:t>
            </w:r>
            <w:r>
              <w:rPr>
                <w:spacing w:val="1"/>
                <w:sz w:val="17"/>
                <w:szCs w:val="17"/>
              </w:rPr>
              <w:t>,甲硝</w:t>
            </w:r>
            <w:r>
              <w:rPr>
                <w:sz w:val="17"/>
                <w:szCs w:val="17"/>
              </w:rPr>
              <w:t xml:space="preserve">  </w:t>
            </w:r>
            <w:r>
              <w:rPr>
                <w:spacing w:val="16"/>
                <w:sz w:val="17"/>
                <w:szCs w:val="17"/>
              </w:rPr>
              <w:t>唑400</w:t>
            </w:r>
            <w:r>
              <w:rPr>
                <w:sz w:val="17"/>
                <w:szCs w:val="17"/>
              </w:rPr>
              <w:t>mg</w:t>
            </w:r>
            <w:r>
              <w:rPr>
                <w:spacing w:val="16"/>
                <w:sz w:val="17"/>
                <w:szCs w:val="17"/>
              </w:rPr>
              <w:t>,每日2次，</w:t>
            </w:r>
            <w:r>
              <w:rPr>
                <w:spacing w:val="8"/>
                <w:sz w:val="17"/>
                <w:szCs w:val="17"/>
              </w:rPr>
              <w:t xml:space="preserve"> </w:t>
            </w:r>
            <w:r>
              <w:rPr>
                <w:spacing w:val="3"/>
                <w:sz w:val="17"/>
                <w:szCs w:val="17"/>
              </w:rPr>
              <w:t>连用2周</w:t>
            </w:r>
          </w:p>
        </w:tc>
        <w:tc>
          <w:tcPr>
            <w:tcW w:w="690" w:type="dxa"/>
            <w:tcBorders>
              <w:top w:val="single" w:color="000000" w:sz="4" w:space="0"/>
              <w:bottom w:val="single" w:color="000000" w:sz="4" w:space="0"/>
            </w:tcBorders>
            <w:vAlign w:val="top"/>
          </w:tcPr>
          <w:p w14:paraId="3B15045C">
            <w:pPr>
              <w:spacing w:line="263" w:lineRule="auto"/>
              <w:rPr>
                <w:rFonts w:ascii="Arial"/>
                <w:sz w:val="21"/>
              </w:rPr>
            </w:pPr>
          </w:p>
          <w:p w14:paraId="1A6702BD">
            <w:pPr>
              <w:spacing w:line="264" w:lineRule="auto"/>
              <w:rPr>
                <w:rFonts w:ascii="Arial"/>
                <w:sz w:val="21"/>
              </w:rPr>
            </w:pPr>
          </w:p>
          <w:p w14:paraId="569463B4">
            <w:pPr>
              <w:pStyle w:val="6"/>
              <w:spacing w:before="55" w:line="239" w:lineRule="auto"/>
              <w:ind w:left="120"/>
              <w:rPr>
                <w:sz w:val="17"/>
                <w:szCs w:val="17"/>
              </w:rPr>
            </w:pPr>
            <w:r>
              <w:rPr>
                <w:spacing w:val="-2"/>
                <w:sz w:val="17"/>
                <w:szCs w:val="17"/>
              </w:rPr>
              <w:t>83.7</w:t>
            </w:r>
          </w:p>
        </w:tc>
        <w:tc>
          <w:tcPr>
            <w:tcW w:w="770" w:type="dxa"/>
            <w:tcBorders>
              <w:top w:val="single" w:color="000000" w:sz="4" w:space="0"/>
              <w:bottom w:val="single" w:color="000000" w:sz="4" w:space="0"/>
            </w:tcBorders>
            <w:vAlign w:val="top"/>
          </w:tcPr>
          <w:p w14:paraId="1483C29C">
            <w:pPr>
              <w:spacing w:line="263" w:lineRule="auto"/>
              <w:rPr>
                <w:rFonts w:ascii="Arial"/>
                <w:sz w:val="21"/>
              </w:rPr>
            </w:pPr>
          </w:p>
          <w:p w14:paraId="75E11236">
            <w:pPr>
              <w:spacing w:line="264" w:lineRule="auto"/>
              <w:rPr>
                <w:rFonts w:ascii="Arial"/>
                <w:sz w:val="21"/>
              </w:rPr>
            </w:pPr>
          </w:p>
          <w:p w14:paraId="45079426">
            <w:pPr>
              <w:pStyle w:val="6"/>
              <w:spacing w:before="55" w:line="239" w:lineRule="auto"/>
              <w:ind w:left="250"/>
              <w:rPr>
                <w:sz w:val="17"/>
                <w:szCs w:val="17"/>
              </w:rPr>
            </w:pPr>
            <w:r>
              <w:rPr>
                <w:spacing w:val="-3"/>
                <w:sz w:val="17"/>
                <w:szCs w:val="17"/>
              </w:rPr>
              <w:t>7.5</w:t>
            </w:r>
          </w:p>
        </w:tc>
        <w:tc>
          <w:tcPr>
            <w:tcW w:w="1380" w:type="dxa"/>
            <w:tcBorders>
              <w:top w:val="single" w:color="000000" w:sz="4" w:space="0"/>
              <w:bottom w:val="single" w:color="000000" w:sz="4" w:space="0"/>
            </w:tcBorders>
            <w:vAlign w:val="top"/>
          </w:tcPr>
          <w:p w14:paraId="0E3FF00E">
            <w:pPr>
              <w:pStyle w:val="6"/>
              <w:spacing w:before="129" w:line="219" w:lineRule="auto"/>
              <w:ind w:left="110"/>
              <w:rPr>
                <w:sz w:val="17"/>
                <w:szCs w:val="17"/>
              </w:rPr>
            </w:pPr>
            <w:r>
              <w:rPr>
                <w:spacing w:val="3"/>
                <w:sz w:val="17"/>
                <w:szCs w:val="17"/>
              </w:rPr>
              <w:t>组织学检查</w:t>
            </w:r>
          </w:p>
          <w:p w14:paraId="026F6225">
            <w:pPr>
              <w:pStyle w:val="6"/>
              <w:spacing w:before="77" w:line="219" w:lineRule="auto"/>
              <w:ind w:left="110"/>
              <w:rPr>
                <w:sz w:val="17"/>
                <w:szCs w:val="17"/>
              </w:rPr>
            </w:pPr>
            <w:r>
              <w:rPr>
                <w:spacing w:val="5"/>
                <w:sz w:val="17"/>
                <w:szCs w:val="17"/>
              </w:rPr>
              <w:t>(或病理标本)</w:t>
            </w:r>
          </w:p>
        </w:tc>
        <w:tc>
          <w:tcPr>
            <w:tcW w:w="1210" w:type="dxa"/>
            <w:tcBorders>
              <w:top w:val="single" w:color="000000" w:sz="4" w:space="0"/>
              <w:bottom w:val="single" w:color="000000" w:sz="4" w:space="0"/>
            </w:tcBorders>
            <w:vAlign w:val="top"/>
          </w:tcPr>
          <w:p w14:paraId="720E4EE7">
            <w:pPr>
              <w:pStyle w:val="6"/>
              <w:spacing w:before="127" w:line="307" w:lineRule="auto"/>
              <w:ind w:left="110" w:right="239"/>
              <w:rPr>
                <w:sz w:val="17"/>
                <w:szCs w:val="17"/>
              </w:rPr>
            </w:pPr>
            <w:r>
              <w:rPr>
                <w:spacing w:val="1"/>
                <w:sz w:val="17"/>
                <w:szCs w:val="17"/>
              </w:rPr>
              <w:t>随机方案隐</w:t>
            </w:r>
            <w:r>
              <w:rPr>
                <w:spacing w:val="3"/>
                <w:sz w:val="17"/>
                <w:szCs w:val="17"/>
              </w:rPr>
              <w:t xml:space="preserve"> </w:t>
            </w:r>
            <w:r>
              <w:rPr>
                <w:spacing w:val="-2"/>
                <w:sz w:val="17"/>
                <w:szCs w:val="17"/>
              </w:rPr>
              <w:t>藏，双盲</w:t>
            </w:r>
          </w:p>
        </w:tc>
        <w:tc>
          <w:tcPr>
            <w:tcW w:w="630" w:type="dxa"/>
            <w:tcBorders>
              <w:top w:val="single" w:color="000000" w:sz="4" w:space="0"/>
              <w:bottom w:val="single" w:color="000000" w:sz="4" w:space="0"/>
            </w:tcBorders>
            <w:vAlign w:val="top"/>
          </w:tcPr>
          <w:p w14:paraId="44820D4F">
            <w:pPr>
              <w:spacing w:line="263" w:lineRule="auto"/>
              <w:rPr>
                <w:rFonts w:ascii="Arial"/>
                <w:sz w:val="21"/>
              </w:rPr>
            </w:pPr>
          </w:p>
          <w:p w14:paraId="63D1BF0D">
            <w:pPr>
              <w:spacing w:line="264" w:lineRule="auto"/>
              <w:rPr>
                <w:rFonts w:ascii="Arial"/>
                <w:sz w:val="21"/>
              </w:rPr>
            </w:pPr>
          </w:p>
          <w:p w14:paraId="2ADFF81C">
            <w:pPr>
              <w:pStyle w:val="6"/>
              <w:spacing w:before="55" w:line="239" w:lineRule="auto"/>
              <w:ind w:left="140"/>
              <w:rPr>
                <w:sz w:val="17"/>
                <w:szCs w:val="17"/>
              </w:rPr>
            </w:pPr>
            <w:r>
              <w:rPr>
                <w:spacing w:val="-2"/>
                <w:sz w:val="17"/>
                <w:szCs w:val="17"/>
              </w:rPr>
              <w:t>0.63</w:t>
            </w:r>
          </w:p>
        </w:tc>
        <w:tc>
          <w:tcPr>
            <w:tcW w:w="1130" w:type="dxa"/>
            <w:tcBorders>
              <w:top w:val="single" w:color="000000" w:sz="4" w:space="0"/>
              <w:bottom w:val="single" w:color="000000" w:sz="4" w:space="0"/>
            </w:tcBorders>
            <w:vAlign w:val="top"/>
          </w:tcPr>
          <w:p w14:paraId="0A60C22E">
            <w:pPr>
              <w:spacing w:line="263" w:lineRule="auto"/>
              <w:rPr>
                <w:rFonts w:ascii="Arial"/>
                <w:sz w:val="21"/>
              </w:rPr>
            </w:pPr>
          </w:p>
          <w:p w14:paraId="58BF02CB">
            <w:pPr>
              <w:spacing w:line="264" w:lineRule="auto"/>
              <w:rPr>
                <w:rFonts w:ascii="Arial"/>
                <w:sz w:val="21"/>
              </w:rPr>
            </w:pPr>
          </w:p>
          <w:p w14:paraId="6315BD1B">
            <w:pPr>
              <w:pStyle w:val="6"/>
              <w:spacing w:before="55" w:line="239" w:lineRule="auto"/>
              <w:ind w:left="140"/>
              <w:rPr>
                <w:sz w:val="17"/>
                <w:szCs w:val="17"/>
              </w:rPr>
            </w:pPr>
            <w:r>
              <w:rPr>
                <w:spacing w:val="-1"/>
                <w:sz w:val="17"/>
                <w:szCs w:val="17"/>
              </w:rPr>
              <w:t>0.25～1.63</w:t>
            </w:r>
          </w:p>
        </w:tc>
      </w:tr>
      <w:tr w14:paraId="6BCD7422">
        <w:trPr>
          <w:trHeight w:val="1347" w:hRule="atLeast"/>
        </w:trPr>
        <w:tc>
          <w:tcPr>
            <w:tcW w:w="780" w:type="dxa"/>
            <w:tcBorders>
              <w:top w:val="single" w:color="000000" w:sz="4" w:space="0"/>
              <w:bottom w:val="single" w:color="000000" w:sz="4" w:space="0"/>
            </w:tcBorders>
            <w:shd w:val="clear" w:color="auto" w:fill="E3E3E2"/>
            <w:vAlign w:val="top"/>
          </w:tcPr>
          <w:p w14:paraId="06296CA9">
            <w:pPr>
              <w:spacing w:line="288" w:lineRule="auto"/>
              <w:rPr>
                <w:rFonts w:ascii="Arial"/>
                <w:sz w:val="21"/>
              </w:rPr>
            </w:pPr>
          </w:p>
          <w:p w14:paraId="40E8B078">
            <w:pPr>
              <w:spacing w:line="288" w:lineRule="auto"/>
              <w:rPr>
                <w:rFonts w:ascii="Arial"/>
                <w:sz w:val="21"/>
              </w:rPr>
            </w:pPr>
          </w:p>
          <w:p w14:paraId="2477AD65">
            <w:pPr>
              <w:pStyle w:val="6"/>
              <w:spacing w:before="55" w:line="183" w:lineRule="auto"/>
              <w:ind w:left="130"/>
              <w:rPr>
                <w:sz w:val="17"/>
                <w:szCs w:val="17"/>
              </w:rPr>
            </w:pPr>
            <w:r>
              <w:rPr>
                <w:spacing w:val="-2"/>
                <w:sz w:val="17"/>
                <w:szCs w:val="17"/>
              </w:rPr>
              <w:t>Saito</w:t>
            </w:r>
          </w:p>
        </w:tc>
        <w:tc>
          <w:tcPr>
            <w:tcW w:w="720" w:type="dxa"/>
            <w:tcBorders>
              <w:top w:val="single" w:color="000000" w:sz="4" w:space="0"/>
              <w:bottom w:val="single" w:color="000000" w:sz="4" w:space="0"/>
            </w:tcBorders>
            <w:shd w:val="clear" w:color="auto" w:fill="E4E4E2"/>
            <w:vAlign w:val="top"/>
          </w:tcPr>
          <w:p w14:paraId="1D6489F4">
            <w:pPr>
              <w:spacing w:line="274" w:lineRule="auto"/>
              <w:rPr>
                <w:rFonts w:ascii="Arial"/>
                <w:sz w:val="21"/>
              </w:rPr>
            </w:pPr>
          </w:p>
          <w:p w14:paraId="7D25CD25">
            <w:pPr>
              <w:spacing w:line="274" w:lineRule="auto"/>
              <w:rPr>
                <w:rFonts w:ascii="Arial"/>
                <w:sz w:val="21"/>
              </w:rPr>
            </w:pPr>
          </w:p>
          <w:p w14:paraId="1C3F77B2">
            <w:pPr>
              <w:pStyle w:val="6"/>
              <w:spacing w:before="56"/>
              <w:ind w:left="100"/>
              <w:rPr>
                <w:sz w:val="17"/>
                <w:szCs w:val="17"/>
              </w:rPr>
            </w:pPr>
            <w:r>
              <w:rPr>
                <w:spacing w:val="-2"/>
                <w:sz w:val="17"/>
                <w:szCs w:val="17"/>
              </w:rPr>
              <w:t>2005</w:t>
            </w:r>
          </w:p>
        </w:tc>
        <w:tc>
          <w:tcPr>
            <w:tcW w:w="700" w:type="dxa"/>
            <w:tcBorders>
              <w:top w:val="single" w:color="000000" w:sz="4" w:space="0"/>
              <w:bottom w:val="single" w:color="000000" w:sz="4" w:space="0"/>
            </w:tcBorders>
            <w:shd w:val="clear" w:color="auto" w:fill="E8E8E4"/>
            <w:vAlign w:val="top"/>
          </w:tcPr>
          <w:p w14:paraId="7E48B143">
            <w:pPr>
              <w:spacing w:line="265" w:lineRule="auto"/>
              <w:rPr>
                <w:rFonts w:ascii="Arial"/>
                <w:sz w:val="21"/>
              </w:rPr>
            </w:pPr>
          </w:p>
          <w:p w14:paraId="4524B693">
            <w:pPr>
              <w:spacing w:line="266" w:lineRule="auto"/>
              <w:rPr>
                <w:rFonts w:ascii="Arial"/>
                <w:sz w:val="21"/>
              </w:rPr>
            </w:pPr>
          </w:p>
          <w:p w14:paraId="028ADD00">
            <w:pPr>
              <w:pStyle w:val="6"/>
              <w:spacing w:before="55" w:line="219" w:lineRule="auto"/>
              <w:ind w:left="140"/>
              <w:rPr>
                <w:sz w:val="17"/>
                <w:szCs w:val="17"/>
              </w:rPr>
            </w:pPr>
            <w:r>
              <w:rPr>
                <w:spacing w:val="-9"/>
                <w:sz w:val="17"/>
                <w:szCs w:val="17"/>
              </w:rPr>
              <w:t>日本</w:t>
            </w:r>
          </w:p>
        </w:tc>
        <w:tc>
          <w:tcPr>
            <w:tcW w:w="1360" w:type="dxa"/>
            <w:tcBorders>
              <w:top w:val="single" w:color="000000" w:sz="4" w:space="0"/>
              <w:bottom w:val="single" w:color="000000" w:sz="4" w:space="0"/>
            </w:tcBorders>
            <w:shd w:val="clear" w:color="auto" w:fill="EDECE8"/>
            <w:vAlign w:val="top"/>
          </w:tcPr>
          <w:p w14:paraId="3B7B2C52">
            <w:pPr>
              <w:spacing w:line="267" w:lineRule="auto"/>
              <w:rPr>
                <w:rFonts w:ascii="Arial"/>
                <w:sz w:val="21"/>
              </w:rPr>
            </w:pPr>
          </w:p>
          <w:p w14:paraId="7D154C4A">
            <w:pPr>
              <w:spacing w:line="268" w:lineRule="auto"/>
              <w:rPr>
                <w:rFonts w:ascii="Arial"/>
                <w:sz w:val="21"/>
              </w:rPr>
            </w:pPr>
          </w:p>
          <w:p w14:paraId="48D64C88">
            <w:pPr>
              <w:pStyle w:val="6"/>
              <w:spacing w:before="55" w:line="222" w:lineRule="auto"/>
              <w:ind w:left="425"/>
              <w:rPr>
                <w:sz w:val="17"/>
                <w:szCs w:val="17"/>
              </w:rPr>
            </w:pPr>
            <w:r>
              <w:rPr>
                <w:spacing w:val="-1"/>
                <w:sz w:val="17"/>
                <w:szCs w:val="17"/>
              </w:rPr>
              <w:t>692(379)</w:t>
            </w:r>
          </w:p>
        </w:tc>
        <w:tc>
          <w:tcPr>
            <w:tcW w:w="1140" w:type="dxa"/>
            <w:tcBorders>
              <w:top w:val="single" w:color="000000" w:sz="4" w:space="0"/>
              <w:bottom w:val="single" w:color="000000" w:sz="4" w:space="0"/>
            </w:tcBorders>
            <w:shd w:val="clear" w:color="auto" w:fill="EEECE7"/>
            <w:vAlign w:val="top"/>
          </w:tcPr>
          <w:p w14:paraId="532FDAA5">
            <w:pPr>
              <w:pStyle w:val="6"/>
              <w:spacing w:before="119" w:line="218" w:lineRule="auto"/>
              <w:ind w:left="170"/>
              <w:rPr>
                <w:sz w:val="17"/>
                <w:szCs w:val="17"/>
              </w:rPr>
            </w:pPr>
            <w:r>
              <w:rPr>
                <w:spacing w:val="-5"/>
                <w:sz w:val="17"/>
                <w:szCs w:val="17"/>
              </w:rPr>
              <w:t>未</w:t>
            </w:r>
            <w:r>
              <w:rPr>
                <w:spacing w:val="15"/>
                <w:sz w:val="17"/>
                <w:szCs w:val="17"/>
              </w:rPr>
              <w:t xml:space="preserve"> </w:t>
            </w:r>
            <w:r>
              <w:rPr>
                <w:spacing w:val="-5"/>
                <w:sz w:val="17"/>
                <w:szCs w:val="17"/>
              </w:rPr>
              <w:t>报</w:t>
            </w:r>
            <w:r>
              <w:rPr>
                <w:spacing w:val="21"/>
                <w:sz w:val="17"/>
                <w:szCs w:val="17"/>
              </w:rPr>
              <w:t xml:space="preserve"> </w:t>
            </w:r>
            <w:r>
              <w:rPr>
                <w:spacing w:val="-5"/>
                <w:sz w:val="17"/>
                <w:szCs w:val="17"/>
              </w:rPr>
              <w:t>告</w:t>
            </w:r>
          </w:p>
          <w:p w14:paraId="775A5AAF">
            <w:pPr>
              <w:pStyle w:val="6"/>
              <w:spacing w:before="103" w:line="222" w:lineRule="auto"/>
              <w:ind w:left="170"/>
              <w:rPr>
                <w:sz w:val="17"/>
                <w:szCs w:val="17"/>
              </w:rPr>
            </w:pPr>
            <w:r>
              <w:rPr>
                <w:spacing w:val="-5"/>
                <w:sz w:val="17"/>
                <w:szCs w:val="17"/>
              </w:rPr>
              <w:t>(20～59)</w:t>
            </w:r>
          </w:p>
        </w:tc>
        <w:tc>
          <w:tcPr>
            <w:tcW w:w="840" w:type="dxa"/>
            <w:tcBorders>
              <w:top w:val="single" w:color="000000" w:sz="4" w:space="0"/>
              <w:bottom w:val="single" w:color="000000" w:sz="4" w:space="0"/>
            </w:tcBorders>
            <w:shd w:val="clear" w:color="auto" w:fill="EFECE8"/>
            <w:vAlign w:val="top"/>
          </w:tcPr>
          <w:p w14:paraId="313D09C2">
            <w:pPr>
              <w:spacing w:line="265" w:lineRule="auto"/>
              <w:rPr>
                <w:rFonts w:ascii="Arial"/>
                <w:sz w:val="21"/>
              </w:rPr>
            </w:pPr>
          </w:p>
          <w:p w14:paraId="72BAE68E">
            <w:pPr>
              <w:spacing w:line="265" w:lineRule="auto"/>
              <w:rPr>
                <w:rFonts w:ascii="Arial"/>
                <w:sz w:val="21"/>
              </w:rPr>
            </w:pPr>
          </w:p>
          <w:p w14:paraId="13BB87DC">
            <w:pPr>
              <w:pStyle w:val="6"/>
              <w:spacing w:before="56" w:line="218" w:lineRule="auto"/>
              <w:ind w:left="160"/>
              <w:rPr>
                <w:sz w:val="17"/>
                <w:szCs w:val="17"/>
              </w:rPr>
            </w:pPr>
            <w:r>
              <w:rPr>
                <w:spacing w:val="3"/>
                <w:sz w:val="17"/>
                <w:szCs w:val="17"/>
              </w:rPr>
              <w:t>未报告</w:t>
            </w:r>
          </w:p>
        </w:tc>
        <w:tc>
          <w:tcPr>
            <w:tcW w:w="1040" w:type="dxa"/>
            <w:tcBorders>
              <w:top w:val="single" w:color="000000" w:sz="4" w:space="0"/>
              <w:bottom w:val="single" w:color="000000" w:sz="4" w:space="0"/>
            </w:tcBorders>
            <w:vAlign w:val="top"/>
          </w:tcPr>
          <w:p w14:paraId="5396D033">
            <w:pPr>
              <w:spacing w:line="265" w:lineRule="auto"/>
              <w:rPr>
                <w:rFonts w:ascii="Arial"/>
                <w:sz w:val="21"/>
              </w:rPr>
            </w:pPr>
          </w:p>
          <w:p w14:paraId="56E2C34C">
            <w:pPr>
              <w:spacing w:line="265" w:lineRule="auto"/>
              <w:rPr>
                <w:rFonts w:ascii="Arial"/>
                <w:sz w:val="21"/>
              </w:rPr>
            </w:pPr>
          </w:p>
          <w:p w14:paraId="2EAE0F21">
            <w:pPr>
              <w:pStyle w:val="6"/>
              <w:spacing w:before="56" w:line="218" w:lineRule="auto"/>
              <w:ind w:left="260"/>
              <w:rPr>
                <w:sz w:val="17"/>
                <w:szCs w:val="17"/>
              </w:rPr>
            </w:pPr>
            <w:r>
              <w:rPr>
                <w:spacing w:val="3"/>
                <w:sz w:val="17"/>
                <w:szCs w:val="17"/>
              </w:rPr>
              <w:t>未报告</w:t>
            </w:r>
          </w:p>
        </w:tc>
        <w:tc>
          <w:tcPr>
            <w:tcW w:w="2170" w:type="dxa"/>
            <w:tcBorders>
              <w:top w:val="single" w:color="000000" w:sz="4" w:space="0"/>
              <w:bottom w:val="single" w:color="000000" w:sz="4" w:space="0"/>
            </w:tcBorders>
            <w:vAlign w:val="top"/>
          </w:tcPr>
          <w:p w14:paraId="4DE9E5A3">
            <w:pPr>
              <w:pStyle w:val="6"/>
              <w:spacing w:before="155" w:line="315" w:lineRule="auto"/>
              <w:ind w:left="110" w:right="501"/>
              <w:rPr>
                <w:sz w:val="17"/>
                <w:szCs w:val="17"/>
              </w:rPr>
            </w:pPr>
            <w:r>
              <w:rPr>
                <w:spacing w:val="2"/>
                <w:sz w:val="17"/>
                <w:szCs w:val="17"/>
              </w:rPr>
              <w:t>兰索拉唑30</w:t>
            </w:r>
            <w:r>
              <w:rPr>
                <w:sz w:val="17"/>
                <w:szCs w:val="17"/>
              </w:rPr>
              <w:t>mg</w:t>
            </w:r>
            <w:r>
              <w:rPr>
                <w:spacing w:val="2"/>
                <w:sz w:val="17"/>
                <w:szCs w:val="17"/>
              </w:rPr>
              <w:t>,阿莫</w:t>
            </w:r>
            <w:r>
              <w:rPr>
                <w:spacing w:val="3"/>
                <w:sz w:val="17"/>
                <w:szCs w:val="17"/>
              </w:rPr>
              <w:t xml:space="preserve">  </w:t>
            </w:r>
            <w:r>
              <w:rPr>
                <w:spacing w:val="10"/>
                <w:sz w:val="17"/>
                <w:szCs w:val="17"/>
              </w:rPr>
              <w:t>西林1.5g,克拉霉素</w:t>
            </w:r>
            <w:r>
              <w:rPr>
                <w:spacing w:val="1"/>
                <w:sz w:val="17"/>
                <w:szCs w:val="17"/>
              </w:rPr>
              <w:t xml:space="preserve"> </w:t>
            </w:r>
            <w:r>
              <w:rPr>
                <w:spacing w:val="11"/>
                <w:sz w:val="17"/>
                <w:szCs w:val="17"/>
              </w:rPr>
              <w:t>400</w:t>
            </w:r>
            <w:r>
              <w:rPr>
                <w:sz w:val="17"/>
                <w:szCs w:val="17"/>
              </w:rPr>
              <w:t>mg</w:t>
            </w:r>
            <w:r>
              <w:rPr>
                <w:spacing w:val="11"/>
                <w:sz w:val="17"/>
                <w:szCs w:val="17"/>
              </w:rPr>
              <w:t>,每日1次，连</w:t>
            </w:r>
            <w:r>
              <w:rPr>
                <w:sz w:val="17"/>
                <w:szCs w:val="17"/>
              </w:rPr>
              <w:t xml:space="preserve"> </w:t>
            </w:r>
            <w:r>
              <w:rPr>
                <w:spacing w:val="4"/>
                <w:sz w:val="17"/>
                <w:szCs w:val="17"/>
              </w:rPr>
              <w:t>用1周</w:t>
            </w:r>
          </w:p>
        </w:tc>
        <w:tc>
          <w:tcPr>
            <w:tcW w:w="690" w:type="dxa"/>
            <w:tcBorders>
              <w:top w:val="single" w:color="000000" w:sz="4" w:space="0"/>
              <w:bottom w:val="single" w:color="000000" w:sz="4" w:space="0"/>
            </w:tcBorders>
            <w:vAlign w:val="top"/>
          </w:tcPr>
          <w:p w14:paraId="0C86309A">
            <w:pPr>
              <w:spacing w:line="274" w:lineRule="auto"/>
              <w:rPr>
                <w:rFonts w:ascii="Arial"/>
                <w:sz w:val="21"/>
              </w:rPr>
            </w:pPr>
          </w:p>
          <w:p w14:paraId="570924F4">
            <w:pPr>
              <w:spacing w:line="275" w:lineRule="auto"/>
              <w:rPr>
                <w:rFonts w:ascii="Arial"/>
                <w:sz w:val="21"/>
              </w:rPr>
            </w:pPr>
          </w:p>
          <w:p w14:paraId="1206BE25">
            <w:pPr>
              <w:pStyle w:val="6"/>
              <w:spacing w:before="55" w:line="239" w:lineRule="auto"/>
              <w:ind w:left="215"/>
              <w:rPr>
                <w:sz w:val="17"/>
                <w:szCs w:val="17"/>
              </w:rPr>
            </w:pPr>
            <w:r>
              <w:rPr>
                <w:spacing w:val="-3"/>
                <w:sz w:val="17"/>
                <w:szCs w:val="17"/>
              </w:rPr>
              <w:t>74.4</w:t>
            </w:r>
          </w:p>
        </w:tc>
        <w:tc>
          <w:tcPr>
            <w:tcW w:w="770" w:type="dxa"/>
            <w:tcBorders>
              <w:top w:val="single" w:color="000000" w:sz="4" w:space="0"/>
              <w:bottom w:val="single" w:color="000000" w:sz="4" w:space="0"/>
            </w:tcBorders>
            <w:vAlign w:val="top"/>
          </w:tcPr>
          <w:p w14:paraId="6BECF2F5">
            <w:pPr>
              <w:spacing w:line="274" w:lineRule="auto"/>
              <w:rPr>
                <w:rFonts w:ascii="Arial"/>
                <w:sz w:val="21"/>
              </w:rPr>
            </w:pPr>
          </w:p>
          <w:p w14:paraId="1B59F1B7">
            <w:pPr>
              <w:spacing w:line="275" w:lineRule="auto"/>
              <w:rPr>
                <w:rFonts w:ascii="Arial"/>
                <w:sz w:val="21"/>
              </w:rPr>
            </w:pPr>
          </w:p>
          <w:p w14:paraId="0ADE8B64">
            <w:pPr>
              <w:pStyle w:val="6"/>
              <w:spacing w:before="55" w:line="237" w:lineRule="auto"/>
              <w:ind w:left="250"/>
              <w:rPr>
                <w:sz w:val="17"/>
                <w:szCs w:val="17"/>
              </w:rPr>
            </w:pPr>
            <w:r>
              <w:rPr>
                <w:spacing w:val="-8"/>
                <w:sz w:val="17"/>
                <w:szCs w:val="17"/>
              </w:rPr>
              <w:t>≥4</w:t>
            </w:r>
          </w:p>
        </w:tc>
        <w:tc>
          <w:tcPr>
            <w:tcW w:w="1380" w:type="dxa"/>
            <w:tcBorders>
              <w:top w:val="single" w:color="000000" w:sz="4" w:space="0"/>
              <w:bottom w:val="single" w:color="000000" w:sz="4" w:space="0"/>
            </w:tcBorders>
            <w:vAlign w:val="top"/>
          </w:tcPr>
          <w:p w14:paraId="57881FB0">
            <w:pPr>
              <w:spacing w:line="266" w:lineRule="auto"/>
              <w:rPr>
                <w:rFonts w:ascii="Arial"/>
                <w:sz w:val="21"/>
              </w:rPr>
            </w:pPr>
          </w:p>
          <w:p w14:paraId="46597EE5">
            <w:pPr>
              <w:spacing w:line="266" w:lineRule="auto"/>
              <w:rPr>
                <w:rFonts w:ascii="Arial"/>
                <w:sz w:val="21"/>
              </w:rPr>
            </w:pPr>
          </w:p>
          <w:p w14:paraId="2AAC722B">
            <w:pPr>
              <w:pStyle w:val="6"/>
              <w:spacing w:before="55" w:line="219" w:lineRule="auto"/>
              <w:ind w:left="110"/>
              <w:rPr>
                <w:sz w:val="17"/>
                <w:szCs w:val="17"/>
              </w:rPr>
            </w:pPr>
            <w:r>
              <w:rPr>
                <w:spacing w:val="-2"/>
                <w:sz w:val="17"/>
                <w:szCs w:val="17"/>
              </w:rPr>
              <w:t>组织学检查</w:t>
            </w:r>
          </w:p>
        </w:tc>
        <w:tc>
          <w:tcPr>
            <w:tcW w:w="1210" w:type="dxa"/>
            <w:tcBorders>
              <w:top w:val="single" w:color="000000" w:sz="4" w:space="0"/>
              <w:bottom w:val="single" w:color="000000" w:sz="4" w:space="0"/>
            </w:tcBorders>
            <w:vAlign w:val="top"/>
          </w:tcPr>
          <w:p w14:paraId="211B6D41">
            <w:pPr>
              <w:spacing w:line="266" w:lineRule="auto"/>
              <w:rPr>
                <w:rFonts w:ascii="Arial"/>
                <w:sz w:val="21"/>
              </w:rPr>
            </w:pPr>
          </w:p>
          <w:p w14:paraId="03948C16">
            <w:pPr>
              <w:spacing w:line="266" w:lineRule="auto"/>
              <w:rPr>
                <w:rFonts w:ascii="Arial"/>
                <w:sz w:val="21"/>
              </w:rPr>
            </w:pPr>
          </w:p>
          <w:p w14:paraId="5DB6550B">
            <w:pPr>
              <w:pStyle w:val="6"/>
              <w:spacing w:before="55" w:line="219" w:lineRule="auto"/>
              <w:ind w:left="100"/>
              <w:rPr>
                <w:sz w:val="17"/>
                <w:szCs w:val="17"/>
              </w:rPr>
            </w:pPr>
            <w:r>
              <w:rPr>
                <w:spacing w:val="6"/>
                <w:sz w:val="17"/>
                <w:szCs w:val="17"/>
              </w:rPr>
              <w:t>未说明</w:t>
            </w:r>
          </w:p>
        </w:tc>
        <w:tc>
          <w:tcPr>
            <w:tcW w:w="630" w:type="dxa"/>
            <w:tcBorders>
              <w:top w:val="single" w:color="000000" w:sz="4" w:space="0"/>
              <w:bottom w:val="single" w:color="000000" w:sz="4" w:space="0"/>
            </w:tcBorders>
            <w:vAlign w:val="top"/>
          </w:tcPr>
          <w:p w14:paraId="50143643">
            <w:pPr>
              <w:spacing w:line="274" w:lineRule="auto"/>
              <w:rPr>
                <w:rFonts w:ascii="Arial"/>
                <w:sz w:val="21"/>
              </w:rPr>
            </w:pPr>
          </w:p>
          <w:p w14:paraId="582E1FD9">
            <w:pPr>
              <w:spacing w:line="275" w:lineRule="auto"/>
              <w:rPr>
                <w:rFonts w:ascii="Arial"/>
                <w:sz w:val="21"/>
              </w:rPr>
            </w:pPr>
          </w:p>
          <w:p w14:paraId="1FCAF398">
            <w:pPr>
              <w:pStyle w:val="6"/>
              <w:spacing w:before="55" w:line="239" w:lineRule="auto"/>
              <w:ind w:left="140"/>
              <w:rPr>
                <w:sz w:val="17"/>
                <w:szCs w:val="17"/>
              </w:rPr>
            </w:pPr>
            <w:r>
              <w:rPr>
                <w:spacing w:val="-2"/>
                <w:sz w:val="17"/>
                <w:szCs w:val="17"/>
              </w:rPr>
              <w:t>0.55</w:t>
            </w:r>
          </w:p>
        </w:tc>
        <w:tc>
          <w:tcPr>
            <w:tcW w:w="1130" w:type="dxa"/>
            <w:tcBorders>
              <w:top w:val="single" w:color="000000" w:sz="4" w:space="0"/>
              <w:bottom w:val="single" w:color="000000" w:sz="4" w:space="0"/>
            </w:tcBorders>
            <w:vAlign w:val="top"/>
          </w:tcPr>
          <w:p w14:paraId="59074DED">
            <w:pPr>
              <w:spacing w:line="274" w:lineRule="auto"/>
              <w:rPr>
                <w:rFonts w:ascii="Arial"/>
                <w:sz w:val="21"/>
              </w:rPr>
            </w:pPr>
          </w:p>
          <w:p w14:paraId="6837EBB8">
            <w:pPr>
              <w:spacing w:line="275" w:lineRule="auto"/>
              <w:rPr>
                <w:rFonts w:ascii="Arial"/>
                <w:sz w:val="21"/>
              </w:rPr>
            </w:pPr>
          </w:p>
          <w:p w14:paraId="06F8F36F">
            <w:pPr>
              <w:pStyle w:val="6"/>
              <w:spacing w:before="55" w:line="239" w:lineRule="auto"/>
              <w:ind w:left="140"/>
              <w:rPr>
                <w:sz w:val="17"/>
                <w:szCs w:val="17"/>
              </w:rPr>
            </w:pPr>
            <w:r>
              <w:rPr>
                <w:spacing w:val="-1"/>
                <w:sz w:val="17"/>
                <w:szCs w:val="17"/>
              </w:rPr>
              <w:t>0.09～3.27</w:t>
            </w:r>
          </w:p>
        </w:tc>
      </w:tr>
      <w:tr w14:paraId="15573A21">
        <w:trPr>
          <w:trHeight w:val="1078" w:hRule="atLeast"/>
        </w:trPr>
        <w:tc>
          <w:tcPr>
            <w:tcW w:w="780" w:type="dxa"/>
            <w:tcBorders>
              <w:top w:val="single" w:color="000000" w:sz="4" w:space="0"/>
              <w:bottom w:val="single" w:color="000000" w:sz="4" w:space="0"/>
            </w:tcBorders>
            <w:vAlign w:val="top"/>
          </w:tcPr>
          <w:p w14:paraId="0C3C2401">
            <w:pPr>
              <w:spacing w:line="450" w:lineRule="auto"/>
              <w:rPr>
                <w:rFonts w:ascii="Arial"/>
                <w:sz w:val="21"/>
              </w:rPr>
            </w:pPr>
          </w:p>
          <w:p w14:paraId="66D919D9">
            <w:pPr>
              <w:pStyle w:val="6"/>
              <w:spacing w:before="55" w:line="182" w:lineRule="auto"/>
              <w:ind w:left="260"/>
              <w:rPr>
                <w:sz w:val="17"/>
                <w:szCs w:val="17"/>
              </w:rPr>
            </w:pPr>
            <w:r>
              <w:rPr>
                <w:spacing w:val="-1"/>
                <w:sz w:val="17"/>
                <w:szCs w:val="17"/>
              </w:rPr>
              <w:t>Ma</w:t>
            </w:r>
          </w:p>
        </w:tc>
        <w:tc>
          <w:tcPr>
            <w:tcW w:w="720" w:type="dxa"/>
            <w:tcBorders>
              <w:top w:val="single" w:color="000000" w:sz="4" w:space="0"/>
              <w:bottom w:val="single" w:color="000000" w:sz="4" w:space="0"/>
            </w:tcBorders>
            <w:vAlign w:val="top"/>
          </w:tcPr>
          <w:p w14:paraId="7D9A0983">
            <w:pPr>
              <w:spacing w:line="420" w:lineRule="auto"/>
              <w:rPr>
                <w:rFonts w:ascii="Arial"/>
                <w:sz w:val="21"/>
              </w:rPr>
            </w:pPr>
          </w:p>
          <w:p w14:paraId="1F1372F9">
            <w:pPr>
              <w:pStyle w:val="6"/>
              <w:spacing w:before="55"/>
              <w:ind w:left="102"/>
              <w:rPr>
                <w:sz w:val="17"/>
                <w:szCs w:val="17"/>
              </w:rPr>
            </w:pPr>
            <w:r>
              <w:rPr>
                <w:b/>
                <w:bCs/>
                <w:spacing w:val="-4"/>
                <w:sz w:val="17"/>
                <w:szCs w:val="17"/>
              </w:rPr>
              <w:t>2012</w:t>
            </w:r>
          </w:p>
        </w:tc>
        <w:tc>
          <w:tcPr>
            <w:tcW w:w="700" w:type="dxa"/>
            <w:tcBorders>
              <w:top w:val="single" w:color="000000" w:sz="4" w:space="0"/>
              <w:bottom w:val="single" w:color="000000" w:sz="4" w:space="0"/>
            </w:tcBorders>
            <w:vAlign w:val="top"/>
          </w:tcPr>
          <w:p w14:paraId="3F26473C">
            <w:pPr>
              <w:spacing w:line="404" w:lineRule="auto"/>
              <w:rPr>
                <w:rFonts w:ascii="Arial"/>
                <w:sz w:val="21"/>
              </w:rPr>
            </w:pPr>
          </w:p>
          <w:p w14:paraId="05CDA5FA">
            <w:pPr>
              <w:pStyle w:val="6"/>
              <w:spacing w:before="55" w:line="220" w:lineRule="auto"/>
              <w:ind w:left="237"/>
              <w:rPr>
                <w:sz w:val="17"/>
                <w:szCs w:val="17"/>
              </w:rPr>
            </w:pPr>
            <w:r>
              <w:rPr>
                <w:b/>
                <w:bCs/>
                <w:spacing w:val="-8"/>
                <w:sz w:val="17"/>
                <w:szCs w:val="17"/>
              </w:rPr>
              <w:t>中国</w:t>
            </w:r>
          </w:p>
        </w:tc>
        <w:tc>
          <w:tcPr>
            <w:tcW w:w="1360" w:type="dxa"/>
            <w:tcBorders>
              <w:top w:val="single" w:color="000000" w:sz="4" w:space="0"/>
              <w:bottom w:val="single" w:color="000000" w:sz="4" w:space="0"/>
            </w:tcBorders>
            <w:vAlign w:val="top"/>
          </w:tcPr>
          <w:p w14:paraId="04CC5D06">
            <w:pPr>
              <w:spacing w:line="406" w:lineRule="auto"/>
              <w:rPr>
                <w:rFonts w:ascii="Arial"/>
                <w:sz w:val="21"/>
              </w:rPr>
            </w:pPr>
          </w:p>
          <w:p w14:paraId="1BCAEE00">
            <w:pPr>
              <w:pStyle w:val="6"/>
              <w:spacing w:before="55" w:line="222" w:lineRule="auto"/>
              <w:ind w:left="252"/>
              <w:rPr>
                <w:sz w:val="17"/>
                <w:szCs w:val="17"/>
              </w:rPr>
            </w:pPr>
            <w:r>
              <w:rPr>
                <w:b/>
                <w:bCs/>
                <w:spacing w:val="-3"/>
                <w:sz w:val="17"/>
                <w:szCs w:val="17"/>
              </w:rPr>
              <w:t>2258(1130)</w:t>
            </w:r>
          </w:p>
        </w:tc>
        <w:tc>
          <w:tcPr>
            <w:tcW w:w="1140" w:type="dxa"/>
            <w:tcBorders>
              <w:top w:val="single" w:color="000000" w:sz="4" w:space="0"/>
              <w:bottom w:val="single" w:color="000000" w:sz="4" w:space="0"/>
            </w:tcBorders>
            <w:vAlign w:val="top"/>
          </w:tcPr>
          <w:p w14:paraId="1E475AAD">
            <w:pPr>
              <w:pStyle w:val="6"/>
              <w:spacing w:before="170" w:line="239" w:lineRule="auto"/>
              <w:ind w:left="390"/>
              <w:rPr>
                <w:sz w:val="17"/>
                <w:szCs w:val="17"/>
              </w:rPr>
            </w:pPr>
            <w:r>
              <w:rPr>
                <w:spacing w:val="-2"/>
                <w:sz w:val="17"/>
                <w:szCs w:val="17"/>
              </w:rPr>
              <w:t>46.8</w:t>
            </w:r>
          </w:p>
          <w:p w14:paraId="2E95EE6F">
            <w:pPr>
              <w:pStyle w:val="6"/>
              <w:spacing w:before="53" w:line="222" w:lineRule="auto"/>
              <w:ind w:left="162"/>
              <w:rPr>
                <w:sz w:val="17"/>
                <w:szCs w:val="17"/>
              </w:rPr>
            </w:pPr>
            <w:r>
              <w:rPr>
                <w:b/>
                <w:bCs/>
                <w:spacing w:val="-7"/>
                <w:sz w:val="17"/>
                <w:szCs w:val="17"/>
              </w:rPr>
              <w:t>(35～64)</w:t>
            </w:r>
          </w:p>
        </w:tc>
        <w:tc>
          <w:tcPr>
            <w:tcW w:w="840" w:type="dxa"/>
            <w:tcBorders>
              <w:top w:val="single" w:color="000000" w:sz="4" w:space="0"/>
              <w:bottom w:val="single" w:color="000000" w:sz="4" w:space="0"/>
            </w:tcBorders>
            <w:vAlign w:val="top"/>
          </w:tcPr>
          <w:p w14:paraId="2D5657E0">
            <w:pPr>
              <w:spacing w:line="422" w:lineRule="auto"/>
              <w:rPr>
                <w:rFonts w:ascii="Arial"/>
                <w:sz w:val="21"/>
              </w:rPr>
            </w:pPr>
          </w:p>
          <w:p w14:paraId="518B970C">
            <w:pPr>
              <w:pStyle w:val="6"/>
              <w:spacing w:before="56" w:line="239" w:lineRule="auto"/>
              <w:ind w:left="250"/>
              <w:rPr>
                <w:sz w:val="17"/>
                <w:szCs w:val="17"/>
              </w:rPr>
            </w:pPr>
            <w:r>
              <w:rPr>
                <w:spacing w:val="-2"/>
                <w:sz w:val="17"/>
                <w:szCs w:val="17"/>
              </w:rPr>
              <w:t>50.0</w:t>
            </w:r>
          </w:p>
        </w:tc>
        <w:tc>
          <w:tcPr>
            <w:tcW w:w="1040" w:type="dxa"/>
            <w:tcBorders>
              <w:top w:val="single" w:color="000000" w:sz="4" w:space="0"/>
              <w:bottom w:val="single" w:color="000000" w:sz="4" w:space="0"/>
            </w:tcBorders>
            <w:vAlign w:val="top"/>
          </w:tcPr>
          <w:p w14:paraId="5281C88C">
            <w:pPr>
              <w:spacing w:line="422" w:lineRule="auto"/>
              <w:rPr>
                <w:rFonts w:ascii="Arial"/>
                <w:sz w:val="21"/>
              </w:rPr>
            </w:pPr>
          </w:p>
          <w:p w14:paraId="01448604">
            <w:pPr>
              <w:pStyle w:val="6"/>
              <w:spacing w:before="55"/>
              <w:ind w:left="430"/>
              <w:rPr>
                <w:sz w:val="17"/>
                <w:szCs w:val="17"/>
              </w:rPr>
            </w:pPr>
            <w:r>
              <w:rPr>
                <w:spacing w:val="-2"/>
                <w:sz w:val="17"/>
                <w:szCs w:val="17"/>
              </w:rPr>
              <w:t>64</w:t>
            </w:r>
          </w:p>
        </w:tc>
        <w:tc>
          <w:tcPr>
            <w:tcW w:w="2170" w:type="dxa"/>
            <w:tcBorders>
              <w:top w:val="single" w:color="000000" w:sz="4" w:space="0"/>
              <w:bottom w:val="single" w:color="000000" w:sz="4" w:space="0"/>
            </w:tcBorders>
            <w:vAlign w:val="top"/>
          </w:tcPr>
          <w:p w14:paraId="6F862336">
            <w:pPr>
              <w:pStyle w:val="6"/>
              <w:spacing w:before="148" w:line="326" w:lineRule="auto"/>
              <w:ind w:left="90" w:right="513"/>
              <w:rPr>
                <w:sz w:val="17"/>
                <w:szCs w:val="17"/>
              </w:rPr>
            </w:pPr>
            <w:r>
              <w:rPr>
                <w:spacing w:val="2"/>
                <w:sz w:val="17"/>
                <w:szCs w:val="17"/>
              </w:rPr>
              <w:t>奥美拉唑20</w:t>
            </w:r>
            <w:r>
              <w:rPr>
                <w:sz w:val="17"/>
                <w:szCs w:val="17"/>
              </w:rPr>
              <w:t>mg</w:t>
            </w:r>
            <w:r>
              <w:rPr>
                <w:spacing w:val="2"/>
                <w:sz w:val="17"/>
                <w:szCs w:val="17"/>
              </w:rPr>
              <w:t>,阿莫</w:t>
            </w:r>
            <w:r>
              <w:rPr>
                <w:spacing w:val="3"/>
                <w:sz w:val="17"/>
                <w:szCs w:val="17"/>
              </w:rPr>
              <w:t xml:space="preserve">  西林1g,每日2次，连</w:t>
            </w:r>
            <w:r>
              <w:rPr>
                <w:spacing w:val="2"/>
                <w:sz w:val="17"/>
                <w:szCs w:val="17"/>
              </w:rPr>
              <w:t xml:space="preserve"> </w:t>
            </w:r>
            <w:r>
              <w:rPr>
                <w:spacing w:val="4"/>
                <w:sz w:val="17"/>
                <w:szCs w:val="17"/>
              </w:rPr>
              <w:t>用2周</w:t>
            </w:r>
          </w:p>
        </w:tc>
        <w:tc>
          <w:tcPr>
            <w:tcW w:w="690" w:type="dxa"/>
            <w:tcBorders>
              <w:top w:val="single" w:color="000000" w:sz="4" w:space="0"/>
              <w:bottom w:val="single" w:color="000000" w:sz="4" w:space="0"/>
            </w:tcBorders>
            <w:vAlign w:val="top"/>
          </w:tcPr>
          <w:p w14:paraId="34A083DA">
            <w:pPr>
              <w:spacing w:line="422" w:lineRule="auto"/>
              <w:rPr>
                <w:rFonts w:ascii="Arial"/>
                <w:sz w:val="21"/>
              </w:rPr>
            </w:pPr>
          </w:p>
          <w:p w14:paraId="6CFA6E5E">
            <w:pPr>
              <w:pStyle w:val="6"/>
              <w:spacing w:before="56" w:line="239" w:lineRule="auto"/>
              <w:ind w:left="215"/>
              <w:rPr>
                <w:sz w:val="17"/>
                <w:szCs w:val="17"/>
              </w:rPr>
            </w:pPr>
            <w:r>
              <w:rPr>
                <w:spacing w:val="-3"/>
                <w:sz w:val="17"/>
                <w:szCs w:val="17"/>
              </w:rPr>
              <w:t>73.2</w:t>
            </w:r>
          </w:p>
        </w:tc>
        <w:tc>
          <w:tcPr>
            <w:tcW w:w="770" w:type="dxa"/>
            <w:tcBorders>
              <w:top w:val="single" w:color="000000" w:sz="4" w:space="0"/>
              <w:bottom w:val="single" w:color="000000" w:sz="4" w:space="0"/>
            </w:tcBorders>
            <w:vAlign w:val="top"/>
          </w:tcPr>
          <w:p w14:paraId="069B4A9E">
            <w:pPr>
              <w:spacing w:line="422" w:lineRule="auto"/>
              <w:rPr>
                <w:rFonts w:ascii="Arial"/>
                <w:sz w:val="21"/>
              </w:rPr>
            </w:pPr>
          </w:p>
          <w:p w14:paraId="0A5AC926">
            <w:pPr>
              <w:pStyle w:val="6"/>
              <w:spacing w:before="56" w:line="239" w:lineRule="auto"/>
              <w:ind w:left="210"/>
              <w:rPr>
                <w:sz w:val="17"/>
                <w:szCs w:val="17"/>
              </w:rPr>
            </w:pPr>
            <w:r>
              <w:rPr>
                <w:spacing w:val="-4"/>
                <w:sz w:val="17"/>
                <w:szCs w:val="17"/>
              </w:rPr>
              <w:t>14.7</w:t>
            </w:r>
          </w:p>
        </w:tc>
        <w:tc>
          <w:tcPr>
            <w:tcW w:w="1380" w:type="dxa"/>
            <w:tcBorders>
              <w:top w:val="single" w:color="000000" w:sz="4" w:space="0"/>
              <w:bottom w:val="single" w:color="000000" w:sz="4" w:space="0"/>
            </w:tcBorders>
            <w:vAlign w:val="top"/>
          </w:tcPr>
          <w:p w14:paraId="13512390">
            <w:pPr>
              <w:pStyle w:val="6"/>
              <w:spacing w:before="144" w:line="219" w:lineRule="auto"/>
              <w:ind w:left="70"/>
              <w:rPr>
                <w:sz w:val="17"/>
                <w:szCs w:val="17"/>
              </w:rPr>
            </w:pPr>
            <w:r>
              <w:rPr>
                <w:spacing w:val="19"/>
                <w:sz w:val="17"/>
                <w:szCs w:val="17"/>
              </w:rPr>
              <w:t>组织学检查、</w:t>
            </w:r>
          </w:p>
          <w:p w14:paraId="63AB4547">
            <w:pPr>
              <w:pStyle w:val="6"/>
              <w:spacing w:before="97" w:line="339" w:lineRule="auto"/>
              <w:ind w:left="70" w:right="251"/>
              <w:rPr>
                <w:sz w:val="17"/>
                <w:szCs w:val="17"/>
              </w:rPr>
            </w:pPr>
            <w:r>
              <w:rPr>
                <w:spacing w:val="6"/>
                <w:sz w:val="17"/>
                <w:szCs w:val="17"/>
              </w:rPr>
              <w:t>临床、实验室</w:t>
            </w:r>
            <w:r>
              <w:rPr>
                <w:spacing w:val="1"/>
                <w:sz w:val="17"/>
                <w:szCs w:val="17"/>
              </w:rPr>
              <w:t xml:space="preserve"> </w:t>
            </w:r>
            <w:r>
              <w:rPr>
                <w:spacing w:val="7"/>
                <w:sz w:val="17"/>
                <w:szCs w:val="17"/>
              </w:rPr>
              <w:t>或病理资料</w:t>
            </w:r>
          </w:p>
        </w:tc>
        <w:tc>
          <w:tcPr>
            <w:tcW w:w="1210" w:type="dxa"/>
            <w:tcBorders>
              <w:top w:val="single" w:color="000000" w:sz="4" w:space="0"/>
              <w:bottom w:val="single" w:color="000000" w:sz="4" w:space="0"/>
            </w:tcBorders>
            <w:vAlign w:val="top"/>
          </w:tcPr>
          <w:p w14:paraId="7BCDC616">
            <w:pPr>
              <w:pStyle w:val="6"/>
              <w:spacing w:before="152" w:line="318" w:lineRule="auto"/>
              <w:ind w:left="40" w:right="239"/>
              <w:rPr>
                <w:sz w:val="17"/>
                <w:szCs w:val="17"/>
              </w:rPr>
            </w:pPr>
            <w:r>
              <w:rPr>
                <w:spacing w:val="16"/>
                <w:sz w:val="17"/>
                <w:szCs w:val="17"/>
              </w:rPr>
              <w:t>随机方案隐</w:t>
            </w:r>
            <w:r>
              <w:rPr>
                <w:sz w:val="17"/>
                <w:szCs w:val="17"/>
              </w:rPr>
              <w:t xml:space="preserve"> </w:t>
            </w:r>
            <w:r>
              <w:rPr>
                <w:spacing w:val="-2"/>
                <w:sz w:val="17"/>
                <w:szCs w:val="17"/>
              </w:rPr>
              <w:t>藏，双盲</w:t>
            </w:r>
          </w:p>
        </w:tc>
        <w:tc>
          <w:tcPr>
            <w:tcW w:w="630" w:type="dxa"/>
            <w:tcBorders>
              <w:top w:val="single" w:color="000000" w:sz="4" w:space="0"/>
              <w:bottom w:val="single" w:color="000000" w:sz="4" w:space="0"/>
            </w:tcBorders>
            <w:vAlign w:val="top"/>
          </w:tcPr>
          <w:p w14:paraId="5E24953C">
            <w:pPr>
              <w:spacing w:line="422" w:lineRule="auto"/>
              <w:rPr>
                <w:rFonts w:ascii="Arial"/>
                <w:sz w:val="21"/>
              </w:rPr>
            </w:pPr>
          </w:p>
          <w:p w14:paraId="49CF0A54">
            <w:pPr>
              <w:pStyle w:val="6"/>
              <w:spacing w:before="56" w:line="239" w:lineRule="auto"/>
              <w:ind w:left="140"/>
              <w:rPr>
                <w:sz w:val="17"/>
                <w:szCs w:val="17"/>
              </w:rPr>
            </w:pPr>
            <w:r>
              <w:rPr>
                <w:spacing w:val="-2"/>
                <w:sz w:val="17"/>
                <w:szCs w:val="17"/>
              </w:rPr>
              <w:t>0.65</w:t>
            </w:r>
          </w:p>
        </w:tc>
        <w:tc>
          <w:tcPr>
            <w:tcW w:w="1130" w:type="dxa"/>
            <w:tcBorders>
              <w:top w:val="single" w:color="000000" w:sz="4" w:space="0"/>
              <w:bottom w:val="single" w:color="000000" w:sz="4" w:space="0"/>
            </w:tcBorders>
            <w:vAlign w:val="top"/>
          </w:tcPr>
          <w:p w14:paraId="631B2611">
            <w:pPr>
              <w:spacing w:line="422" w:lineRule="auto"/>
              <w:rPr>
                <w:rFonts w:ascii="Arial"/>
                <w:sz w:val="21"/>
              </w:rPr>
            </w:pPr>
          </w:p>
          <w:p w14:paraId="6F0C38F4">
            <w:pPr>
              <w:pStyle w:val="6"/>
              <w:spacing w:before="56" w:line="239" w:lineRule="auto"/>
              <w:ind w:left="140"/>
              <w:rPr>
                <w:sz w:val="17"/>
                <w:szCs w:val="17"/>
              </w:rPr>
            </w:pPr>
            <w:r>
              <w:rPr>
                <w:spacing w:val="-1"/>
                <w:sz w:val="17"/>
                <w:szCs w:val="17"/>
              </w:rPr>
              <w:t>0.43～1.00</w:t>
            </w:r>
          </w:p>
        </w:tc>
      </w:tr>
      <w:tr w14:paraId="51F96AC5">
        <w:trPr>
          <w:trHeight w:val="1263" w:hRule="atLeast"/>
        </w:trPr>
        <w:tc>
          <w:tcPr>
            <w:tcW w:w="780" w:type="dxa"/>
            <w:tcBorders>
              <w:top w:val="single" w:color="000000" w:sz="4" w:space="0"/>
              <w:bottom w:val="single" w:color="000000" w:sz="4" w:space="0"/>
            </w:tcBorders>
            <w:shd w:val="clear" w:color="auto" w:fill="CECCC4"/>
            <w:vAlign w:val="top"/>
          </w:tcPr>
          <w:p w14:paraId="5E3D67EA">
            <w:pPr>
              <w:spacing w:line="259" w:lineRule="auto"/>
              <w:rPr>
                <w:rFonts w:ascii="Arial"/>
                <w:sz w:val="21"/>
              </w:rPr>
            </w:pPr>
          </w:p>
          <w:p w14:paraId="576A04C7">
            <w:pPr>
              <w:spacing w:line="260" w:lineRule="auto"/>
              <w:rPr>
                <w:rFonts w:ascii="Arial"/>
                <w:sz w:val="21"/>
              </w:rPr>
            </w:pPr>
          </w:p>
          <w:p w14:paraId="515B8796">
            <w:pPr>
              <w:pStyle w:val="6"/>
              <w:spacing w:before="55" w:line="182" w:lineRule="auto"/>
              <w:ind w:left="170"/>
              <w:rPr>
                <w:sz w:val="17"/>
                <w:szCs w:val="17"/>
              </w:rPr>
            </w:pPr>
            <w:r>
              <w:rPr>
                <w:spacing w:val="-1"/>
                <w:sz w:val="17"/>
                <w:szCs w:val="17"/>
              </w:rPr>
              <w:t>Wong</w:t>
            </w:r>
          </w:p>
        </w:tc>
        <w:tc>
          <w:tcPr>
            <w:tcW w:w="720" w:type="dxa"/>
            <w:tcBorders>
              <w:top w:val="single" w:color="000000" w:sz="4" w:space="0"/>
              <w:bottom w:val="single" w:color="000000" w:sz="4" w:space="0"/>
            </w:tcBorders>
            <w:shd w:val="clear" w:color="auto" w:fill="CECBC6"/>
            <w:vAlign w:val="top"/>
          </w:tcPr>
          <w:p w14:paraId="3EC64BA4">
            <w:pPr>
              <w:spacing w:line="257" w:lineRule="auto"/>
              <w:rPr>
                <w:rFonts w:ascii="Arial"/>
                <w:sz w:val="21"/>
              </w:rPr>
            </w:pPr>
          </w:p>
          <w:p w14:paraId="5C9AEBA7">
            <w:pPr>
              <w:spacing w:line="257" w:lineRule="auto"/>
              <w:rPr>
                <w:rFonts w:ascii="Arial"/>
                <w:sz w:val="21"/>
              </w:rPr>
            </w:pPr>
          </w:p>
          <w:p w14:paraId="00F866BA">
            <w:pPr>
              <w:pStyle w:val="6"/>
              <w:spacing w:before="55"/>
              <w:ind w:left="190"/>
              <w:rPr>
                <w:sz w:val="17"/>
                <w:szCs w:val="17"/>
              </w:rPr>
            </w:pPr>
            <w:r>
              <w:rPr>
                <w:spacing w:val="-2"/>
                <w:sz w:val="17"/>
                <w:szCs w:val="17"/>
              </w:rPr>
              <w:t>2012</w:t>
            </w:r>
          </w:p>
        </w:tc>
        <w:tc>
          <w:tcPr>
            <w:tcW w:w="700" w:type="dxa"/>
            <w:tcBorders>
              <w:top w:val="single" w:color="000000" w:sz="4" w:space="0"/>
              <w:bottom w:val="single" w:color="000000" w:sz="4" w:space="0"/>
            </w:tcBorders>
            <w:shd w:val="clear" w:color="auto" w:fill="CFCBC3"/>
            <w:vAlign w:val="top"/>
          </w:tcPr>
          <w:p w14:paraId="09FB58F5">
            <w:pPr>
              <w:spacing w:line="249" w:lineRule="auto"/>
              <w:rPr>
                <w:rFonts w:ascii="Arial"/>
                <w:sz w:val="21"/>
              </w:rPr>
            </w:pPr>
          </w:p>
          <w:p w14:paraId="33408D1E">
            <w:pPr>
              <w:spacing w:line="249" w:lineRule="auto"/>
              <w:rPr>
                <w:rFonts w:ascii="Arial"/>
                <w:sz w:val="21"/>
              </w:rPr>
            </w:pPr>
          </w:p>
          <w:p w14:paraId="398A613F">
            <w:pPr>
              <w:pStyle w:val="6"/>
              <w:spacing w:before="55" w:line="220" w:lineRule="auto"/>
              <w:ind w:left="130"/>
              <w:rPr>
                <w:sz w:val="17"/>
                <w:szCs w:val="17"/>
              </w:rPr>
            </w:pPr>
            <w:r>
              <w:rPr>
                <w:spacing w:val="-3"/>
                <w:sz w:val="17"/>
                <w:szCs w:val="17"/>
              </w:rPr>
              <w:t>中国</w:t>
            </w:r>
          </w:p>
        </w:tc>
        <w:tc>
          <w:tcPr>
            <w:tcW w:w="1360" w:type="dxa"/>
            <w:tcBorders>
              <w:top w:val="single" w:color="000000" w:sz="4" w:space="0"/>
              <w:bottom w:val="single" w:color="000000" w:sz="4" w:space="0"/>
            </w:tcBorders>
            <w:shd w:val="clear" w:color="auto" w:fill="CECCC3"/>
            <w:vAlign w:val="top"/>
          </w:tcPr>
          <w:p w14:paraId="7CB8F0C9">
            <w:pPr>
              <w:spacing w:line="250" w:lineRule="auto"/>
              <w:rPr>
                <w:rFonts w:ascii="Arial"/>
                <w:sz w:val="21"/>
              </w:rPr>
            </w:pPr>
          </w:p>
          <w:p w14:paraId="411AECE0">
            <w:pPr>
              <w:spacing w:line="250" w:lineRule="auto"/>
              <w:rPr>
                <w:rFonts w:ascii="Arial"/>
                <w:sz w:val="21"/>
              </w:rPr>
            </w:pPr>
          </w:p>
          <w:p w14:paraId="190347CE">
            <w:pPr>
              <w:pStyle w:val="6"/>
              <w:spacing w:before="55" w:line="222" w:lineRule="auto"/>
              <w:ind w:left="427"/>
              <w:rPr>
                <w:sz w:val="17"/>
                <w:szCs w:val="17"/>
              </w:rPr>
            </w:pPr>
            <w:r>
              <w:rPr>
                <w:spacing w:val="-2"/>
                <w:sz w:val="17"/>
                <w:szCs w:val="17"/>
              </w:rPr>
              <w:t>513(255)</w:t>
            </w:r>
          </w:p>
        </w:tc>
        <w:tc>
          <w:tcPr>
            <w:tcW w:w="1140" w:type="dxa"/>
            <w:tcBorders>
              <w:top w:val="single" w:color="000000" w:sz="4" w:space="0"/>
              <w:bottom w:val="single" w:color="000000" w:sz="4" w:space="0"/>
            </w:tcBorders>
            <w:shd w:val="clear" w:color="auto" w:fill="D7D4CD"/>
            <w:vAlign w:val="top"/>
          </w:tcPr>
          <w:p w14:paraId="32E0DF14">
            <w:pPr>
              <w:pStyle w:val="6"/>
              <w:spacing w:before="162" w:line="239" w:lineRule="auto"/>
              <w:ind w:left="380"/>
              <w:rPr>
                <w:sz w:val="17"/>
                <w:szCs w:val="17"/>
              </w:rPr>
            </w:pPr>
            <w:r>
              <w:rPr>
                <w:spacing w:val="-2"/>
                <w:sz w:val="17"/>
                <w:szCs w:val="17"/>
              </w:rPr>
              <w:t>53.0</w:t>
            </w:r>
          </w:p>
          <w:p w14:paraId="40EA9182">
            <w:pPr>
              <w:pStyle w:val="6"/>
              <w:spacing w:before="55" w:line="222" w:lineRule="auto"/>
              <w:ind w:left="160"/>
              <w:rPr>
                <w:sz w:val="17"/>
                <w:szCs w:val="17"/>
              </w:rPr>
            </w:pPr>
            <w:r>
              <w:rPr>
                <w:spacing w:val="-5"/>
                <w:sz w:val="17"/>
                <w:szCs w:val="17"/>
              </w:rPr>
              <w:t>(35～64)</w:t>
            </w:r>
          </w:p>
        </w:tc>
        <w:tc>
          <w:tcPr>
            <w:tcW w:w="840" w:type="dxa"/>
            <w:tcBorders>
              <w:top w:val="single" w:color="000000" w:sz="4" w:space="0"/>
              <w:bottom w:val="single" w:color="000000" w:sz="4" w:space="0"/>
            </w:tcBorders>
            <w:shd w:val="clear" w:color="auto" w:fill="D5D4CF"/>
            <w:vAlign w:val="top"/>
          </w:tcPr>
          <w:p w14:paraId="54EAB629">
            <w:pPr>
              <w:spacing w:line="257" w:lineRule="auto"/>
              <w:rPr>
                <w:rFonts w:ascii="Arial"/>
                <w:sz w:val="21"/>
              </w:rPr>
            </w:pPr>
          </w:p>
          <w:p w14:paraId="06C5B9FB">
            <w:pPr>
              <w:spacing w:line="257" w:lineRule="auto"/>
              <w:rPr>
                <w:rFonts w:ascii="Arial"/>
                <w:sz w:val="21"/>
              </w:rPr>
            </w:pPr>
          </w:p>
          <w:p w14:paraId="4065F768">
            <w:pPr>
              <w:pStyle w:val="6"/>
              <w:spacing w:before="55" w:line="239" w:lineRule="auto"/>
              <w:ind w:left="250"/>
              <w:rPr>
                <w:sz w:val="17"/>
                <w:szCs w:val="17"/>
              </w:rPr>
            </w:pPr>
            <w:r>
              <w:rPr>
                <w:spacing w:val="-2"/>
                <w:sz w:val="17"/>
                <w:szCs w:val="17"/>
              </w:rPr>
              <w:t>46.4</w:t>
            </w:r>
          </w:p>
        </w:tc>
        <w:tc>
          <w:tcPr>
            <w:tcW w:w="1040" w:type="dxa"/>
            <w:tcBorders>
              <w:top w:val="single" w:color="000000" w:sz="4" w:space="0"/>
              <w:bottom w:val="single" w:color="000000" w:sz="4" w:space="0"/>
            </w:tcBorders>
            <w:shd w:val="clear" w:color="auto" w:fill="D6D5CF"/>
            <w:vAlign w:val="top"/>
          </w:tcPr>
          <w:p w14:paraId="7169C5BC">
            <w:pPr>
              <w:spacing w:line="257" w:lineRule="auto"/>
              <w:rPr>
                <w:rFonts w:ascii="Arial"/>
                <w:sz w:val="21"/>
              </w:rPr>
            </w:pPr>
          </w:p>
          <w:p w14:paraId="0CE15D88">
            <w:pPr>
              <w:spacing w:line="257" w:lineRule="auto"/>
              <w:rPr>
                <w:rFonts w:ascii="Arial"/>
                <w:sz w:val="21"/>
              </w:rPr>
            </w:pPr>
          </w:p>
          <w:p w14:paraId="38B2B1A7">
            <w:pPr>
              <w:pStyle w:val="6"/>
              <w:spacing w:before="55"/>
              <w:ind w:left="390"/>
              <w:rPr>
                <w:sz w:val="17"/>
                <w:szCs w:val="17"/>
              </w:rPr>
            </w:pPr>
            <w:r>
              <w:rPr>
                <w:spacing w:val="-5"/>
                <w:sz w:val="17"/>
                <w:szCs w:val="17"/>
              </w:rPr>
              <w:t>100</w:t>
            </w:r>
          </w:p>
        </w:tc>
        <w:tc>
          <w:tcPr>
            <w:tcW w:w="2170" w:type="dxa"/>
            <w:tcBorders>
              <w:top w:val="single" w:color="000000" w:sz="4" w:space="0"/>
              <w:bottom w:val="single" w:color="000000" w:sz="4" w:space="0"/>
            </w:tcBorders>
            <w:shd w:val="clear" w:color="auto" w:fill="D9D9CF"/>
            <w:vAlign w:val="top"/>
          </w:tcPr>
          <w:p w14:paraId="51F5A33D">
            <w:pPr>
              <w:pStyle w:val="6"/>
              <w:spacing w:before="130" w:line="214" w:lineRule="auto"/>
              <w:ind w:left="80"/>
              <w:rPr>
                <w:sz w:val="17"/>
                <w:szCs w:val="17"/>
              </w:rPr>
            </w:pPr>
            <w:r>
              <w:rPr>
                <w:spacing w:val="-2"/>
                <w:sz w:val="17"/>
                <w:szCs w:val="17"/>
              </w:rPr>
              <w:t>奥美拉唑20mg,阿</w:t>
            </w:r>
          </w:p>
          <w:p w14:paraId="4C99F4D0">
            <w:pPr>
              <w:pStyle w:val="6"/>
              <w:spacing w:before="102" w:line="298" w:lineRule="auto"/>
              <w:ind w:left="80" w:right="611"/>
              <w:rPr>
                <w:sz w:val="17"/>
                <w:szCs w:val="17"/>
              </w:rPr>
            </w:pPr>
            <w:r>
              <w:rPr>
                <w:spacing w:val="3"/>
                <w:sz w:val="17"/>
                <w:szCs w:val="17"/>
              </w:rPr>
              <w:t>莫西林1g,克拉霉素</w:t>
            </w:r>
            <w:r>
              <w:rPr>
                <w:spacing w:val="2"/>
                <w:sz w:val="17"/>
                <w:szCs w:val="17"/>
              </w:rPr>
              <w:t xml:space="preserve"> </w:t>
            </w:r>
            <w:r>
              <w:rPr>
                <w:spacing w:val="3"/>
                <w:sz w:val="17"/>
                <w:szCs w:val="17"/>
              </w:rPr>
              <w:t>500</w:t>
            </w:r>
            <w:r>
              <w:rPr>
                <w:sz w:val="17"/>
                <w:szCs w:val="17"/>
              </w:rPr>
              <w:t>mg</w:t>
            </w:r>
            <w:r>
              <w:rPr>
                <w:spacing w:val="3"/>
                <w:sz w:val="17"/>
                <w:szCs w:val="17"/>
              </w:rPr>
              <w:t>,每日2次，连</w:t>
            </w:r>
            <w:r>
              <w:rPr>
                <w:sz w:val="17"/>
                <w:szCs w:val="17"/>
              </w:rPr>
              <w:t xml:space="preserve"> </w:t>
            </w:r>
            <w:r>
              <w:rPr>
                <w:spacing w:val="4"/>
                <w:sz w:val="17"/>
                <w:szCs w:val="17"/>
              </w:rPr>
              <w:t>用1周</w:t>
            </w:r>
          </w:p>
        </w:tc>
        <w:tc>
          <w:tcPr>
            <w:tcW w:w="690" w:type="dxa"/>
            <w:tcBorders>
              <w:top w:val="single" w:color="000000" w:sz="4" w:space="0"/>
              <w:bottom w:val="single" w:color="000000" w:sz="4" w:space="0"/>
            </w:tcBorders>
            <w:shd w:val="clear" w:color="auto" w:fill="D8D8D3"/>
            <w:vAlign w:val="top"/>
          </w:tcPr>
          <w:p w14:paraId="744E2803">
            <w:pPr>
              <w:spacing w:line="257" w:lineRule="auto"/>
              <w:rPr>
                <w:rFonts w:ascii="Arial"/>
                <w:sz w:val="21"/>
              </w:rPr>
            </w:pPr>
          </w:p>
          <w:p w14:paraId="1EBC1847">
            <w:pPr>
              <w:spacing w:line="257" w:lineRule="auto"/>
              <w:rPr>
                <w:rFonts w:ascii="Arial"/>
                <w:sz w:val="21"/>
              </w:rPr>
            </w:pPr>
          </w:p>
          <w:p w14:paraId="64043AE4">
            <w:pPr>
              <w:pStyle w:val="6"/>
              <w:spacing w:before="55" w:line="239" w:lineRule="auto"/>
              <w:ind w:left="213"/>
              <w:rPr>
                <w:sz w:val="17"/>
                <w:szCs w:val="17"/>
              </w:rPr>
            </w:pPr>
            <w:r>
              <w:rPr>
                <w:spacing w:val="-2"/>
                <w:sz w:val="17"/>
                <w:szCs w:val="17"/>
              </w:rPr>
              <w:t>63.5</w:t>
            </w:r>
          </w:p>
        </w:tc>
        <w:tc>
          <w:tcPr>
            <w:tcW w:w="770" w:type="dxa"/>
            <w:tcBorders>
              <w:top w:val="single" w:color="000000" w:sz="4" w:space="0"/>
              <w:bottom w:val="single" w:color="000000" w:sz="4" w:space="0"/>
            </w:tcBorders>
            <w:shd w:val="clear" w:color="auto" w:fill="D9D8D2"/>
            <w:vAlign w:val="top"/>
          </w:tcPr>
          <w:p w14:paraId="4D0789E6">
            <w:pPr>
              <w:spacing w:line="257" w:lineRule="auto"/>
              <w:rPr>
                <w:rFonts w:ascii="Arial"/>
                <w:sz w:val="21"/>
              </w:rPr>
            </w:pPr>
          </w:p>
          <w:p w14:paraId="5E56D268">
            <w:pPr>
              <w:spacing w:line="257" w:lineRule="auto"/>
              <w:rPr>
                <w:rFonts w:ascii="Arial"/>
                <w:sz w:val="21"/>
              </w:rPr>
            </w:pPr>
          </w:p>
          <w:p w14:paraId="62229AB3">
            <w:pPr>
              <w:pStyle w:val="6"/>
              <w:spacing w:before="55"/>
              <w:ind w:left="395"/>
              <w:rPr>
                <w:sz w:val="17"/>
                <w:szCs w:val="17"/>
              </w:rPr>
            </w:pPr>
            <w:r>
              <w:rPr>
                <w:sz w:val="17"/>
                <w:szCs w:val="17"/>
              </w:rPr>
              <w:t>5</w:t>
            </w:r>
          </w:p>
        </w:tc>
        <w:tc>
          <w:tcPr>
            <w:tcW w:w="1380" w:type="dxa"/>
            <w:tcBorders>
              <w:top w:val="single" w:color="000000" w:sz="4" w:space="0"/>
              <w:bottom w:val="single" w:color="000000" w:sz="4" w:space="0"/>
            </w:tcBorders>
            <w:shd w:val="clear" w:color="auto" w:fill="E1E0D8"/>
            <w:vAlign w:val="top"/>
          </w:tcPr>
          <w:p w14:paraId="0179E6AA">
            <w:pPr>
              <w:spacing w:line="248" w:lineRule="auto"/>
              <w:rPr>
                <w:rFonts w:ascii="Arial"/>
                <w:sz w:val="21"/>
              </w:rPr>
            </w:pPr>
          </w:p>
          <w:p w14:paraId="4383C094">
            <w:pPr>
              <w:spacing w:line="249" w:lineRule="auto"/>
              <w:rPr>
                <w:rFonts w:ascii="Arial"/>
                <w:sz w:val="21"/>
              </w:rPr>
            </w:pPr>
          </w:p>
          <w:p w14:paraId="2402F836">
            <w:pPr>
              <w:pStyle w:val="6"/>
              <w:spacing w:before="55" w:line="219" w:lineRule="auto"/>
              <w:ind w:left="203"/>
              <w:rPr>
                <w:sz w:val="17"/>
                <w:szCs w:val="17"/>
              </w:rPr>
            </w:pPr>
            <w:r>
              <w:rPr>
                <w:spacing w:val="-2"/>
                <w:sz w:val="17"/>
                <w:szCs w:val="17"/>
              </w:rPr>
              <w:t>组织学检查</w:t>
            </w:r>
          </w:p>
        </w:tc>
        <w:tc>
          <w:tcPr>
            <w:tcW w:w="1210" w:type="dxa"/>
            <w:tcBorders>
              <w:top w:val="single" w:color="000000" w:sz="4" w:space="0"/>
              <w:bottom w:val="single" w:color="000000" w:sz="4" w:space="0"/>
            </w:tcBorders>
            <w:shd w:val="clear" w:color="auto" w:fill="DEDDD2"/>
            <w:vAlign w:val="top"/>
          </w:tcPr>
          <w:p w14:paraId="47CB8CCF">
            <w:pPr>
              <w:pStyle w:val="6"/>
              <w:spacing w:before="165" w:line="285" w:lineRule="auto"/>
              <w:ind w:left="80" w:right="239"/>
              <w:rPr>
                <w:sz w:val="17"/>
                <w:szCs w:val="17"/>
              </w:rPr>
            </w:pPr>
            <w:r>
              <w:rPr>
                <w:spacing w:val="8"/>
                <w:sz w:val="17"/>
                <w:szCs w:val="17"/>
              </w:rPr>
              <w:t>随机方案隐</w:t>
            </w:r>
            <w:r>
              <w:rPr>
                <w:sz w:val="17"/>
                <w:szCs w:val="17"/>
              </w:rPr>
              <w:t xml:space="preserve"> </w:t>
            </w:r>
            <w:r>
              <w:rPr>
                <w:spacing w:val="-2"/>
                <w:sz w:val="17"/>
                <w:szCs w:val="17"/>
              </w:rPr>
              <w:t>藏，双盲</w:t>
            </w:r>
          </w:p>
        </w:tc>
        <w:tc>
          <w:tcPr>
            <w:tcW w:w="630" w:type="dxa"/>
            <w:tcBorders>
              <w:top w:val="single" w:color="000000" w:sz="4" w:space="0"/>
              <w:bottom w:val="single" w:color="000000" w:sz="4" w:space="0"/>
            </w:tcBorders>
            <w:shd w:val="clear" w:color="auto" w:fill="DDDDD3"/>
            <w:vAlign w:val="top"/>
          </w:tcPr>
          <w:p w14:paraId="2620F430">
            <w:pPr>
              <w:spacing w:line="257" w:lineRule="auto"/>
              <w:rPr>
                <w:rFonts w:ascii="Arial"/>
                <w:sz w:val="21"/>
              </w:rPr>
            </w:pPr>
          </w:p>
          <w:p w14:paraId="012DF239">
            <w:pPr>
              <w:spacing w:line="257" w:lineRule="auto"/>
              <w:rPr>
                <w:rFonts w:ascii="Arial"/>
                <w:sz w:val="21"/>
              </w:rPr>
            </w:pPr>
          </w:p>
          <w:p w14:paraId="5B8B2B75">
            <w:pPr>
              <w:pStyle w:val="6"/>
              <w:spacing w:before="55" w:line="239" w:lineRule="auto"/>
              <w:ind w:left="60"/>
              <w:rPr>
                <w:sz w:val="17"/>
                <w:szCs w:val="17"/>
              </w:rPr>
            </w:pPr>
            <w:r>
              <w:rPr>
                <w:spacing w:val="-2"/>
                <w:sz w:val="17"/>
                <w:szCs w:val="17"/>
              </w:rPr>
              <w:t>3.04</w:t>
            </w:r>
          </w:p>
        </w:tc>
        <w:tc>
          <w:tcPr>
            <w:tcW w:w="1130" w:type="dxa"/>
            <w:tcBorders>
              <w:top w:val="single" w:color="000000" w:sz="4" w:space="0"/>
              <w:bottom w:val="single" w:color="000000" w:sz="4" w:space="0"/>
            </w:tcBorders>
            <w:shd w:val="clear" w:color="auto" w:fill="DAD8D2"/>
            <w:vAlign w:val="top"/>
          </w:tcPr>
          <w:p w14:paraId="354AE38E">
            <w:pPr>
              <w:spacing w:line="257" w:lineRule="auto"/>
              <w:rPr>
                <w:rFonts w:ascii="Arial"/>
                <w:sz w:val="21"/>
              </w:rPr>
            </w:pPr>
          </w:p>
          <w:p w14:paraId="262FDF66">
            <w:pPr>
              <w:spacing w:line="257" w:lineRule="auto"/>
              <w:rPr>
                <w:rFonts w:ascii="Arial"/>
                <w:sz w:val="21"/>
              </w:rPr>
            </w:pPr>
          </w:p>
          <w:p w14:paraId="08373C74">
            <w:pPr>
              <w:pStyle w:val="6"/>
              <w:spacing w:before="55" w:line="239" w:lineRule="auto"/>
              <w:ind w:left="90"/>
              <w:rPr>
                <w:sz w:val="17"/>
                <w:szCs w:val="17"/>
              </w:rPr>
            </w:pPr>
            <w:r>
              <w:rPr>
                <w:spacing w:val="-1"/>
                <w:sz w:val="17"/>
                <w:szCs w:val="17"/>
              </w:rPr>
              <w:t>0.32～28.99</w:t>
            </w:r>
          </w:p>
        </w:tc>
      </w:tr>
    </w:tbl>
    <w:p w14:paraId="7A6A74C9">
      <w:pPr>
        <w:rPr>
          <w:rFonts w:ascii="Arial"/>
          <w:sz w:val="21"/>
        </w:rPr>
      </w:pPr>
    </w:p>
    <w:p w14:paraId="4D247867">
      <w:pPr>
        <w:rPr>
          <w:rFonts w:ascii="Arial" w:hAnsi="Arial" w:eastAsia="Arial" w:cs="Arial"/>
          <w:sz w:val="21"/>
          <w:szCs w:val="21"/>
        </w:rPr>
        <w:sectPr>
          <w:footerReference r:id="rId307" w:type="default"/>
          <w:pgSz w:w="16820" w:h="11900"/>
          <w:pgMar w:top="400" w:right="376" w:bottom="400" w:left="649" w:header="0" w:footer="0" w:gutter="0"/>
          <w:cols w:space="720" w:num="1"/>
        </w:sectPr>
      </w:pPr>
    </w:p>
    <w:p w14:paraId="5EA21B18">
      <w:pPr>
        <w:pStyle w:val="2"/>
        <w:spacing w:before="115" w:line="221" w:lineRule="auto"/>
        <w:ind w:left="6540"/>
        <w:rPr>
          <w:sz w:val="18"/>
          <w:szCs w:val="18"/>
        </w:rPr>
      </w:pPr>
      <w:bookmarkStart w:id="473" w:name="bookmark563"/>
      <w:bookmarkEnd w:id="473"/>
      <w:r>
        <w:rPr>
          <w:spacing w:val="-3"/>
          <w:sz w:val="18"/>
          <w:szCs w:val="18"/>
        </w:rPr>
        <w:t>第十八章 循证医学与系统综述</w:t>
      </w:r>
    </w:p>
    <w:p w14:paraId="79DFA51F">
      <w:pPr>
        <w:spacing w:before="43"/>
      </w:pPr>
    </w:p>
    <w:p w14:paraId="2F13C22D">
      <w:pPr>
        <w:spacing w:before="42"/>
      </w:pPr>
    </w:p>
    <w:p w14:paraId="2946EB29">
      <w:pPr>
        <w:sectPr>
          <w:footerReference r:id="rId308" w:type="default"/>
          <w:pgSz w:w="11900" w:h="16820"/>
          <w:pgMar w:top="400" w:right="903" w:bottom="865" w:left="1480" w:header="0" w:footer="703" w:gutter="0"/>
          <w:cols w:equalWidth="0" w:num="1">
            <w:col w:w="9517"/>
          </w:cols>
        </w:sectPr>
      </w:pPr>
    </w:p>
    <w:p w14:paraId="53E2BF67">
      <w:pPr>
        <w:spacing w:before="111" w:line="160" w:lineRule="auto"/>
        <w:jc w:val="right"/>
        <w:rPr>
          <w:rFonts w:ascii="宋体" w:hAnsi="宋体" w:eastAsia="宋体" w:cs="宋体"/>
          <w:sz w:val="15"/>
          <w:szCs w:val="15"/>
        </w:rPr>
      </w:pPr>
      <w:r>
        <w:pict>
          <v:shape id="_x0000_s1255" o:spid="_x0000_s1255" o:spt="202" type="#_x0000_t202" style="position:absolute;left:0pt;margin-left:133pt;margin-top:-0.25pt;height:20.95pt;width:27.15pt;z-index:251965440;mso-width-relative:page;mso-height-relative:page;" filled="f" stroked="f" coordsize="21600,21600">
            <v:path/>
            <v:fill on="f" focussize="0,0"/>
            <v:stroke on="f"/>
            <v:imagedata o:title=""/>
            <o:lock v:ext="edit" aspectratio="f"/>
            <v:textbox inset="0mm,0mm,0mm,0mm">
              <w:txbxContent>
                <w:p w14:paraId="0C822B4C">
                  <w:pPr>
                    <w:spacing w:before="19" w:line="221" w:lineRule="auto"/>
                    <w:ind w:right="3"/>
                    <w:jc w:val="right"/>
                    <w:rPr>
                      <w:rFonts w:ascii="宋体" w:hAnsi="宋体" w:eastAsia="宋体" w:cs="宋体"/>
                      <w:sz w:val="15"/>
                      <w:szCs w:val="15"/>
                    </w:rPr>
                  </w:pPr>
                  <w:r>
                    <w:rPr>
                      <w:rFonts w:ascii="宋体" w:hAnsi="宋体" w:eastAsia="宋体" w:cs="宋体"/>
                      <w:b/>
                      <w:bCs/>
                      <w:spacing w:val="-15"/>
                      <w:sz w:val="15"/>
                      <w:szCs w:val="15"/>
                    </w:rPr>
                    <w:t>对照</w:t>
                  </w:r>
                  <w:r>
                    <w:rPr>
                      <w:rFonts w:ascii="宋体" w:hAnsi="宋体" w:eastAsia="宋体" w:cs="宋体"/>
                      <w:b/>
                      <w:bCs/>
                      <w:spacing w:val="-9"/>
                      <w:sz w:val="15"/>
                      <w:szCs w:val="15"/>
                    </w:rPr>
                    <w:t>组</w:t>
                  </w:r>
                </w:p>
                <w:p w14:paraId="5285AC0B">
                  <w:pPr>
                    <w:spacing w:before="51" w:line="182" w:lineRule="auto"/>
                    <w:ind w:left="20"/>
                    <w:rPr>
                      <w:rFonts w:ascii="宋体" w:hAnsi="宋体" w:eastAsia="宋体" w:cs="宋体"/>
                      <w:sz w:val="15"/>
                      <w:szCs w:val="15"/>
                    </w:rPr>
                  </w:pPr>
                  <w:r>
                    <w:rPr>
                      <w:rFonts w:ascii="宋体" w:hAnsi="宋体" w:eastAsia="宋体" w:cs="宋体"/>
                      <w:spacing w:val="-1"/>
                      <w:sz w:val="15"/>
                      <w:szCs w:val="15"/>
                    </w:rPr>
                    <w:t>Events</w:t>
                  </w:r>
                </w:p>
              </w:txbxContent>
            </v:textbox>
          </v:shape>
        </w:pict>
      </w:r>
      <w:r>
        <w:pict>
          <v:shape id="_x0000_s1256" o:spid="_x0000_s1256" o:spt="202" type="#_x0000_t202" style="position:absolute;left:0pt;margin-left:4.45pt;margin-top:4.55pt;height:10.7pt;width:65.45pt;z-index:251964416;mso-width-relative:page;mso-height-relative:page;" filled="f" stroked="f" coordsize="21600,21600">
            <v:path/>
            <v:fill on="f" focussize="0,0"/>
            <v:stroke on="f"/>
            <v:imagedata o:title=""/>
            <o:lock v:ext="edit" aspectratio="f"/>
            <v:textbox inset="0mm,0mm,0mm,0mm">
              <w:txbxContent>
                <w:p w14:paraId="6A2B49C1">
                  <w:pPr>
                    <w:spacing w:before="19" w:line="214" w:lineRule="auto"/>
                    <w:ind w:left="20"/>
                    <w:rPr>
                      <w:rFonts w:ascii="宋体" w:hAnsi="宋体" w:eastAsia="宋体" w:cs="宋体"/>
                      <w:sz w:val="15"/>
                      <w:szCs w:val="15"/>
                    </w:rPr>
                  </w:pPr>
                  <w:r>
                    <w:rPr>
                      <w:rFonts w:ascii="宋体" w:hAnsi="宋体" w:eastAsia="宋体" w:cs="宋体"/>
                      <w:spacing w:val="-1"/>
                      <w:sz w:val="15"/>
                      <w:szCs w:val="15"/>
                    </w:rPr>
                    <w:t>Study or</w:t>
                  </w:r>
                  <w:r>
                    <w:rPr>
                      <w:rFonts w:ascii="宋体" w:hAnsi="宋体" w:eastAsia="宋体" w:cs="宋体"/>
                      <w:spacing w:val="9"/>
                      <w:sz w:val="15"/>
                      <w:szCs w:val="15"/>
                    </w:rPr>
                    <w:t xml:space="preserve"> </w:t>
                  </w:r>
                  <w:r>
                    <w:rPr>
                      <w:rFonts w:ascii="宋体" w:hAnsi="宋体" w:eastAsia="宋体" w:cs="宋体"/>
                      <w:spacing w:val="-1"/>
                      <w:sz w:val="15"/>
                      <w:szCs w:val="15"/>
                    </w:rPr>
                    <w:t>Subgroup</w:t>
                  </w:r>
                </w:p>
              </w:txbxContent>
            </v:textbox>
          </v:shape>
        </w:pict>
      </w:r>
      <w:r>
        <w:pict>
          <v:shape id="_x0000_s1257" o:spid="_x0000_s1257" o:spt="202" type="#_x0000_t202" style="position:absolute;left:0pt;margin-left:89.6pt;margin-top:-0.3pt;height:10.95pt;width:31.9pt;z-index:251966464;mso-width-relative:page;mso-height-relative:page;" filled="f" stroked="f" coordsize="21600,21600">
            <v:path/>
            <v:fill on="f" focussize="0,0"/>
            <v:stroke on="f"/>
            <v:imagedata o:title=""/>
            <o:lock v:ext="edit" aspectratio="f"/>
            <v:textbox inset="0mm,0mm,0mm,0mm">
              <w:txbxContent>
                <w:p w14:paraId="64DFC16D">
                  <w:pPr>
                    <w:spacing w:before="20" w:line="219" w:lineRule="auto"/>
                    <w:ind w:left="20"/>
                    <w:rPr>
                      <w:rFonts w:ascii="宋体" w:hAnsi="宋体" w:eastAsia="宋体" w:cs="宋体"/>
                      <w:sz w:val="15"/>
                      <w:szCs w:val="15"/>
                    </w:rPr>
                  </w:pPr>
                  <w:r>
                    <w:rPr>
                      <w:rFonts w:ascii="宋体" w:hAnsi="宋体" w:eastAsia="宋体" w:cs="宋体"/>
                      <w:b/>
                      <w:bCs/>
                      <w:spacing w:val="-2"/>
                      <w:sz w:val="15"/>
                      <w:szCs w:val="15"/>
                    </w:rPr>
                    <w:t>HP根除组</w:t>
                  </w:r>
                </w:p>
              </w:txbxContent>
            </v:textbox>
          </v:shape>
        </w:pict>
      </w:r>
      <w:r>
        <w:pict>
          <v:shape id="_x0000_s1258" o:spid="_x0000_s1258" o:spt="202" type="#_x0000_t202" style="position:absolute;left:0pt;margin-left:159.5pt;margin-top:5.55pt;height:11.75pt;width:20.55pt;z-index:251967488;mso-width-relative:page;mso-height-relative:page;" filled="f" stroked="f" coordsize="21600,21600">
            <v:path/>
            <v:fill on="f" focussize="0,0"/>
            <v:stroke on="f"/>
            <v:imagedata o:title=""/>
            <o:lock v:ext="edit" aspectratio="f"/>
            <v:textbox inset="0mm,0mm,0mm,0mm">
              <w:txbxContent>
                <w:p w14:paraId="61C386DF">
                  <w:pPr>
                    <w:spacing w:before="19"/>
                    <w:ind w:left="20"/>
                    <w:rPr>
                      <w:rFonts w:ascii="宋体" w:hAnsi="宋体" w:eastAsia="宋体" w:cs="宋体"/>
                      <w:sz w:val="15"/>
                      <w:szCs w:val="15"/>
                    </w:rPr>
                  </w:pPr>
                  <w:r>
                    <w:rPr>
                      <w:rFonts w:ascii="宋体" w:hAnsi="宋体" w:eastAsia="宋体" w:cs="宋体"/>
                      <w:spacing w:val="-1"/>
                      <w:sz w:val="15"/>
                      <w:szCs w:val="15"/>
                    </w:rPr>
                    <w:t>Total</w:t>
                  </w:r>
                </w:p>
              </w:txbxContent>
            </v:textbox>
          </v:shape>
        </w:pict>
      </w:r>
      <w:r>
        <w:rPr>
          <w:rFonts w:ascii="宋体" w:hAnsi="宋体" w:eastAsia="宋体" w:cs="宋体"/>
          <w:spacing w:val="-1"/>
          <w:sz w:val="15"/>
          <w:szCs w:val="15"/>
        </w:rPr>
        <w:t>Weight</w:t>
      </w:r>
    </w:p>
    <w:p w14:paraId="1117AF66">
      <w:pPr>
        <w:spacing w:line="214" w:lineRule="auto"/>
        <w:ind w:left="1639"/>
        <w:rPr>
          <w:rFonts w:ascii="宋体" w:hAnsi="宋体" w:eastAsia="宋体" w:cs="宋体"/>
          <w:sz w:val="15"/>
          <w:szCs w:val="15"/>
        </w:rPr>
      </w:pPr>
      <w:r>
        <w:pict>
          <v:shape id="_x0000_s1259" o:spid="_x0000_s1259" o:spt="202" type="#_x0000_t202" style="position:absolute;left:0pt;margin-left:184.95pt;margin-top:8pt;height:80.7pt;width:23.7pt;z-index:251960320;mso-width-relative:page;mso-height-relative:page;" filled="f" stroked="f" coordsize="21600,21600">
            <v:path/>
            <v:fill on="f" focussize="0,0"/>
            <v:stroke on="f"/>
            <v:imagedata o:title=""/>
            <o:lock v:ext="edit" aspectratio="f"/>
            <v:textbox inset="0mm,0mm,0mm,0mm">
              <w:txbxContent>
                <w:p w14:paraId="6EA550A9">
                  <w:pPr>
                    <w:spacing w:before="19" w:line="239" w:lineRule="auto"/>
                    <w:ind w:left="100"/>
                    <w:rPr>
                      <w:rFonts w:ascii="宋体" w:hAnsi="宋体" w:eastAsia="宋体" w:cs="宋体"/>
                      <w:sz w:val="15"/>
                      <w:szCs w:val="15"/>
                    </w:rPr>
                  </w:pPr>
                  <w:r>
                    <w:rPr>
                      <w:rFonts w:ascii="宋体" w:hAnsi="宋体" w:eastAsia="宋体" w:cs="宋体"/>
                      <w:spacing w:val="-1"/>
                      <w:sz w:val="15"/>
                      <w:szCs w:val="15"/>
                    </w:rPr>
                    <w:t>2.7%</w:t>
                  </w:r>
                </w:p>
                <w:p w14:paraId="6DFB2DD1">
                  <w:pPr>
                    <w:spacing w:before="15" w:line="239" w:lineRule="auto"/>
                    <w:ind w:left="60"/>
                    <w:rPr>
                      <w:rFonts w:ascii="宋体" w:hAnsi="宋体" w:eastAsia="宋体" w:cs="宋体"/>
                      <w:sz w:val="15"/>
                      <w:szCs w:val="15"/>
                    </w:rPr>
                  </w:pPr>
                  <w:r>
                    <w:rPr>
                      <w:rFonts w:ascii="宋体" w:hAnsi="宋体" w:eastAsia="宋体" w:cs="宋体"/>
                      <w:sz w:val="15"/>
                      <w:szCs w:val="15"/>
                    </w:rPr>
                    <w:t>68.1%</w:t>
                  </w:r>
                </w:p>
                <w:p w14:paraId="6314D642">
                  <w:pPr>
                    <w:spacing w:before="15" w:line="239" w:lineRule="auto"/>
                    <w:ind w:left="100"/>
                    <w:rPr>
                      <w:rFonts w:ascii="宋体" w:hAnsi="宋体" w:eastAsia="宋体" w:cs="宋体"/>
                      <w:sz w:val="15"/>
                      <w:szCs w:val="15"/>
                    </w:rPr>
                  </w:pPr>
                  <w:r>
                    <w:rPr>
                      <w:rFonts w:ascii="宋体" w:hAnsi="宋体" w:eastAsia="宋体" w:cs="宋体"/>
                      <w:spacing w:val="-1"/>
                      <w:sz w:val="15"/>
                      <w:szCs w:val="15"/>
                    </w:rPr>
                    <w:t>4.3%</w:t>
                  </w:r>
                </w:p>
                <w:p w14:paraId="37AA634D">
                  <w:pPr>
                    <w:spacing w:before="6" w:line="234" w:lineRule="auto"/>
                    <w:ind w:left="60"/>
                    <w:rPr>
                      <w:rFonts w:ascii="宋体" w:hAnsi="宋体" w:eastAsia="宋体" w:cs="宋体"/>
                      <w:sz w:val="15"/>
                      <w:szCs w:val="15"/>
                    </w:rPr>
                  </w:pPr>
                  <w:r>
                    <w:rPr>
                      <w:rFonts w:ascii="宋体" w:hAnsi="宋体" w:eastAsia="宋体" w:cs="宋体"/>
                      <w:spacing w:val="-4"/>
                      <w:sz w:val="15"/>
                      <w:szCs w:val="15"/>
                    </w:rPr>
                    <w:t>14.4%</w:t>
                  </w:r>
                </w:p>
                <w:p w14:paraId="1F1F6AF6">
                  <w:pPr>
                    <w:spacing w:before="1" w:line="238" w:lineRule="auto"/>
                    <w:ind w:left="100"/>
                    <w:rPr>
                      <w:rFonts w:ascii="宋体" w:hAnsi="宋体" w:eastAsia="宋体" w:cs="宋体"/>
                      <w:sz w:val="15"/>
                      <w:szCs w:val="15"/>
                    </w:rPr>
                  </w:pPr>
                  <w:r>
                    <w:rPr>
                      <w:rFonts w:ascii="宋体" w:hAnsi="宋体" w:eastAsia="宋体" w:cs="宋体"/>
                      <w:spacing w:val="-4"/>
                      <w:sz w:val="15"/>
                      <w:szCs w:val="15"/>
                    </w:rPr>
                    <w:t>1.3%</w:t>
                  </w:r>
                </w:p>
                <w:p w14:paraId="173E6175">
                  <w:pPr>
                    <w:spacing w:before="65" w:line="239" w:lineRule="auto"/>
                    <w:ind w:left="100"/>
                    <w:rPr>
                      <w:rFonts w:ascii="宋体" w:hAnsi="宋体" w:eastAsia="宋体" w:cs="宋体"/>
                      <w:sz w:val="15"/>
                      <w:szCs w:val="15"/>
                    </w:rPr>
                  </w:pPr>
                  <w:r>
                    <w:rPr>
                      <w:rFonts w:ascii="宋体" w:hAnsi="宋体" w:eastAsia="宋体" w:cs="宋体"/>
                      <w:spacing w:val="-1"/>
                      <w:sz w:val="15"/>
                      <w:szCs w:val="15"/>
                    </w:rPr>
                    <w:t>9.2%</w:t>
                  </w:r>
                </w:p>
                <w:p w14:paraId="451CC14C">
                  <w:pPr>
                    <w:spacing w:before="116" w:line="239" w:lineRule="auto"/>
                    <w:ind w:left="20"/>
                    <w:rPr>
                      <w:rFonts w:ascii="宋体" w:hAnsi="宋体" w:eastAsia="宋体" w:cs="宋体"/>
                      <w:sz w:val="15"/>
                      <w:szCs w:val="15"/>
                    </w:rPr>
                  </w:pPr>
                  <w:r>
                    <w:rPr>
                      <w:rFonts w:ascii="宋体" w:hAnsi="宋体" w:eastAsia="宋体" w:cs="宋体"/>
                      <w:spacing w:val="-3"/>
                      <w:sz w:val="15"/>
                      <w:szCs w:val="15"/>
                    </w:rPr>
                    <w:t>100.0%</w:t>
                  </w:r>
                </w:p>
              </w:txbxContent>
            </v:textbox>
          </v:shape>
        </w:pict>
      </w:r>
      <w:r>
        <w:rPr>
          <w:rFonts w:ascii="宋体" w:hAnsi="宋体" w:eastAsia="宋体" w:cs="宋体"/>
          <w:spacing w:val="-1"/>
          <w:sz w:val="15"/>
          <w:szCs w:val="15"/>
        </w:rPr>
        <w:t>Events</w:t>
      </w:r>
      <w:r>
        <w:rPr>
          <w:rFonts w:ascii="宋体" w:hAnsi="宋体" w:eastAsia="宋体" w:cs="宋体"/>
          <w:spacing w:val="51"/>
          <w:w w:val="101"/>
          <w:sz w:val="15"/>
          <w:szCs w:val="15"/>
        </w:rPr>
        <w:t xml:space="preserve"> </w:t>
      </w:r>
      <w:r>
        <w:rPr>
          <w:rFonts w:ascii="宋体" w:hAnsi="宋体" w:eastAsia="宋体" w:cs="宋体"/>
          <w:spacing w:val="-1"/>
          <w:sz w:val="15"/>
          <w:szCs w:val="15"/>
        </w:rPr>
        <w:t>Total</w:t>
      </w:r>
    </w:p>
    <w:p w14:paraId="505AC585">
      <w:pPr>
        <w:spacing w:line="1830" w:lineRule="exact"/>
        <w:ind w:firstLine="109"/>
      </w:pPr>
      <w:r>
        <w:rPr>
          <w:position w:val="-37"/>
        </w:rPr>
        <w:pict>
          <v:shape id="_x0000_s1260" o:spid="_x0000_s1260" o:spt="202" type="#_x0000_t202" style="height:94.5pt;width:173.6pt;" filled="f" stroked="f" coordsize="21600,21600">
            <v:path/>
            <v:fill on="f" focussize="0,0"/>
            <v:stroke on="f"/>
            <v:imagedata o:title=""/>
            <o:lock v:ext="edit" aspectratio="f"/>
            <v:textbox inset="0mm,0mm,0mm,0mm">
              <w:txbxContent>
                <w:sdt>
                  <w:sdtPr>
                    <w:rPr>
                      <w:rFonts w:ascii="宋体" w:hAnsi="宋体" w:eastAsia="宋体" w:cs="宋体"/>
                      <w:sz w:val="15"/>
                      <w:szCs w:val="15"/>
                    </w:rPr>
                    <w:id w:val="418028841"/>
                    <w:docPartObj>
                      <w:docPartGallery w:val="Table of Contents"/>
                      <w:docPartUnique/>
                    </w:docPartObj>
                  </w:sdtPr>
                  <w:sdtEndPr>
                    <w:rPr>
                      <w:rFonts w:ascii="宋体" w:hAnsi="宋体" w:eastAsia="宋体" w:cs="宋体"/>
                      <w:sz w:val="15"/>
                      <w:szCs w:val="15"/>
                    </w:rPr>
                  </w:sdtEndPr>
                  <w:sdtContent>
                    <w:p w14:paraId="2391F34D">
                      <w:pPr>
                        <w:spacing w:before="59"/>
                        <w:jc w:val="right"/>
                        <w:rPr>
                          <w:rFonts w:ascii="宋体" w:hAnsi="宋体" w:eastAsia="宋体" w:cs="宋体"/>
                          <w:sz w:val="15"/>
                          <w:szCs w:val="15"/>
                        </w:rPr>
                      </w:pPr>
                      <w:r>
                        <w:rPr>
                          <w:rFonts w:ascii="宋体" w:hAnsi="宋体" w:eastAsia="宋体" w:cs="宋体"/>
                          <w:spacing w:val="-2"/>
                          <w:sz w:val="15"/>
                          <w:szCs w:val="15"/>
                        </w:rPr>
                        <w:t>Corren 2000               3</w:t>
                      </w:r>
                      <w:r>
                        <w:rPr>
                          <w:rFonts w:ascii="宋体" w:hAnsi="宋体" w:eastAsia="宋体" w:cs="宋体"/>
                          <w:spacing w:val="19"/>
                          <w:sz w:val="15"/>
                          <w:szCs w:val="15"/>
                        </w:rPr>
                        <w:t xml:space="preserve">   </w:t>
                      </w:r>
                      <w:r>
                        <w:rPr>
                          <w:rFonts w:ascii="宋体" w:hAnsi="宋体" w:eastAsia="宋体" w:cs="宋体"/>
                          <w:spacing w:val="-2"/>
                          <w:sz w:val="15"/>
                          <w:szCs w:val="15"/>
                        </w:rPr>
                        <w:t>437</w:t>
                      </w:r>
                      <w:r>
                        <w:rPr>
                          <w:rFonts w:ascii="宋体" w:hAnsi="宋体" w:eastAsia="宋体" w:cs="宋体"/>
                          <w:spacing w:val="2"/>
                          <w:sz w:val="15"/>
                          <w:szCs w:val="15"/>
                        </w:rPr>
                        <w:t xml:space="preserve">      </w:t>
                      </w:r>
                      <w:r>
                        <w:rPr>
                          <w:rFonts w:ascii="宋体" w:hAnsi="宋体" w:eastAsia="宋体" w:cs="宋体"/>
                          <w:spacing w:val="-2"/>
                          <w:sz w:val="15"/>
                          <w:szCs w:val="15"/>
                        </w:rPr>
                        <w:t>2</w:t>
                      </w:r>
                      <w:r>
                        <w:rPr>
                          <w:rFonts w:ascii="宋体" w:hAnsi="宋体" w:eastAsia="宋体" w:cs="宋体"/>
                          <w:spacing w:val="5"/>
                          <w:sz w:val="15"/>
                          <w:szCs w:val="15"/>
                        </w:rPr>
                        <w:t xml:space="preserve">   </w:t>
                      </w:r>
                      <w:r>
                        <w:rPr>
                          <w:rFonts w:ascii="宋体" w:hAnsi="宋体" w:eastAsia="宋体" w:cs="宋体"/>
                          <w:spacing w:val="-2"/>
                          <w:sz w:val="15"/>
                          <w:szCs w:val="15"/>
                        </w:rPr>
                        <w:t>415</w:t>
                      </w:r>
                    </w:p>
                    <w:p w14:paraId="3B759589">
                      <w:pPr>
                        <w:spacing w:before="14"/>
                        <w:rPr>
                          <w:rFonts w:ascii="宋体" w:hAnsi="宋体" w:eastAsia="宋体" w:cs="宋体"/>
                          <w:sz w:val="15"/>
                          <w:szCs w:val="15"/>
                        </w:rPr>
                      </w:pPr>
                      <w:r>
                        <w:rPr>
                          <w:rFonts w:ascii="宋体" w:hAnsi="宋体" w:eastAsia="宋体" w:cs="宋体"/>
                          <w:spacing w:val="-3"/>
                          <w:sz w:val="15"/>
                          <w:szCs w:val="15"/>
                        </w:rPr>
                        <w:t>Ma 2012</w:t>
                      </w:r>
                      <w:r>
                        <w:rPr>
                          <w:rFonts w:ascii="宋体" w:hAnsi="宋体" w:eastAsia="宋体" w:cs="宋体"/>
                          <w:spacing w:val="3"/>
                          <w:sz w:val="15"/>
                          <w:szCs w:val="15"/>
                        </w:rPr>
                        <w:t xml:space="preserve">                 </w:t>
                      </w:r>
                      <w:r>
                        <w:rPr>
                          <w:rFonts w:ascii="宋体" w:hAnsi="宋体" w:eastAsia="宋体" w:cs="宋体"/>
                          <w:spacing w:val="-3"/>
                          <w:sz w:val="15"/>
                          <w:szCs w:val="15"/>
                        </w:rPr>
                        <w:t>34</w:t>
                      </w:r>
                      <w:r>
                        <w:rPr>
                          <w:rFonts w:ascii="宋体" w:hAnsi="宋体" w:eastAsia="宋体" w:cs="宋体"/>
                          <w:spacing w:val="28"/>
                          <w:sz w:val="15"/>
                          <w:szCs w:val="15"/>
                        </w:rPr>
                        <w:t xml:space="preserve">  </w:t>
                      </w:r>
                      <w:r>
                        <w:rPr>
                          <w:rFonts w:ascii="宋体" w:hAnsi="宋体" w:eastAsia="宋体" w:cs="宋体"/>
                          <w:spacing w:val="-3"/>
                          <w:sz w:val="15"/>
                          <w:szCs w:val="15"/>
                        </w:rPr>
                        <w:t>1130</w:t>
                      </w:r>
                      <w:r>
                        <w:rPr>
                          <w:rFonts w:ascii="宋体" w:hAnsi="宋体" w:eastAsia="宋体" w:cs="宋体"/>
                          <w:spacing w:val="4"/>
                          <w:sz w:val="15"/>
                          <w:szCs w:val="15"/>
                        </w:rPr>
                        <w:t xml:space="preserve">     </w:t>
                      </w:r>
                      <w:r>
                        <w:rPr>
                          <w:rFonts w:ascii="宋体" w:hAnsi="宋体" w:eastAsia="宋体" w:cs="宋体"/>
                          <w:spacing w:val="-3"/>
                          <w:sz w:val="15"/>
                          <w:szCs w:val="15"/>
                        </w:rPr>
                        <w:t>52</w:t>
                      </w:r>
                      <w:r>
                        <w:rPr>
                          <w:rFonts w:ascii="宋体" w:hAnsi="宋体" w:eastAsia="宋体" w:cs="宋体"/>
                          <w:spacing w:val="10"/>
                          <w:sz w:val="15"/>
                          <w:szCs w:val="15"/>
                        </w:rPr>
                        <w:t xml:space="preserve">  </w:t>
                      </w:r>
                      <w:r>
                        <w:rPr>
                          <w:rFonts w:ascii="宋体" w:hAnsi="宋体" w:eastAsia="宋体" w:cs="宋体"/>
                          <w:spacing w:val="-3"/>
                          <w:sz w:val="15"/>
                          <w:szCs w:val="15"/>
                        </w:rPr>
                        <w:t>1128</w:t>
                      </w:r>
                    </w:p>
                    <w:p w14:paraId="325C556F">
                      <w:pPr>
                        <w:spacing w:before="15" w:line="222" w:lineRule="auto"/>
                        <w:rPr>
                          <w:rFonts w:ascii="宋体" w:hAnsi="宋体" w:eastAsia="宋体" w:cs="宋体"/>
                          <w:sz w:val="15"/>
                          <w:szCs w:val="15"/>
                        </w:rPr>
                      </w:pPr>
                      <w:r>
                        <w:rPr>
                          <w:rFonts w:ascii="宋体" w:hAnsi="宋体" w:eastAsia="宋体" w:cs="宋体"/>
                          <w:spacing w:val="-3"/>
                          <w:sz w:val="15"/>
                          <w:szCs w:val="15"/>
                        </w:rPr>
                        <w:t>Saito 2005</w:t>
                      </w:r>
                      <w:r>
                        <w:rPr>
                          <w:rFonts w:ascii="宋体" w:hAnsi="宋体" w:eastAsia="宋体" w:cs="宋体"/>
                          <w:spacing w:val="4"/>
                          <w:sz w:val="15"/>
                          <w:szCs w:val="15"/>
                        </w:rPr>
                        <w:t xml:space="preserve">               </w:t>
                      </w:r>
                      <w:r>
                        <w:rPr>
                          <w:rFonts w:ascii="宋体" w:hAnsi="宋体" w:eastAsia="宋体" w:cs="宋体"/>
                          <w:spacing w:val="-3"/>
                          <w:sz w:val="15"/>
                          <w:szCs w:val="15"/>
                        </w:rPr>
                        <w:t>2</w:t>
                      </w:r>
                      <w:r>
                        <w:rPr>
                          <w:rFonts w:ascii="宋体" w:hAnsi="宋体" w:eastAsia="宋体" w:cs="宋体"/>
                          <w:spacing w:val="18"/>
                          <w:sz w:val="15"/>
                          <w:szCs w:val="15"/>
                        </w:rPr>
                        <w:t xml:space="preserve">   </w:t>
                      </w:r>
                      <w:r>
                        <w:rPr>
                          <w:rFonts w:ascii="宋体" w:hAnsi="宋体" w:eastAsia="宋体" w:cs="宋体"/>
                          <w:spacing w:val="-3"/>
                          <w:sz w:val="15"/>
                          <w:szCs w:val="15"/>
                        </w:rPr>
                        <w:t>379</w:t>
                      </w:r>
                      <w:r>
                        <w:rPr>
                          <w:rFonts w:ascii="宋体" w:hAnsi="宋体" w:eastAsia="宋体" w:cs="宋体"/>
                          <w:spacing w:val="2"/>
                          <w:sz w:val="15"/>
                          <w:szCs w:val="15"/>
                        </w:rPr>
                        <w:t xml:space="preserve">      </w:t>
                      </w:r>
                      <w:r>
                        <w:rPr>
                          <w:rFonts w:ascii="宋体" w:hAnsi="宋体" w:eastAsia="宋体" w:cs="宋体"/>
                          <w:spacing w:val="-3"/>
                          <w:sz w:val="15"/>
                          <w:szCs w:val="15"/>
                        </w:rPr>
                        <w:t>3</w:t>
                      </w:r>
                      <w:r>
                        <w:rPr>
                          <w:rFonts w:ascii="宋体" w:hAnsi="宋体" w:eastAsia="宋体" w:cs="宋体"/>
                          <w:spacing w:val="7"/>
                          <w:sz w:val="15"/>
                          <w:szCs w:val="15"/>
                        </w:rPr>
                        <w:t xml:space="preserve">   </w:t>
                      </w:r>
                      <w:r>
                        <w:fldChar w:fldCharType="begin"/>
                      </w:r>
                      <w:r>
                        <w:instrText xml:space="preserve"> HYPERLINK \l "bookmark564" </w:instrText>
                      </w:r>
                      <w:r>
                        <w:fldChar w:fldCharType="separate"/>
                      </w:r>
                      <w:r>
                        <w:rPr>
                          <w:rFonts w:ascii="宋体" w:hAnsi="宋体" w:eastAsia="宋体" w:cs="宋体"/>
                          <w:spacing w:val="-3"/>
                          <w:sz w:val="15"/>
                          <w:szCs w:val="15"/>
                        </w:rPr>
                        <w:t>313</w:t>
                      </w:r>
                      <w:r>
                        <w:rPr>
                          <w:rFonts w:ascii="宋体" w:hAnsi="宋体" w:eastAsia="宋体" w:cs="宋体"/>
                          <w:spacing w:val="-3"/>
                          <w:sz w:val="15"/>
                          <w:szCs w:val="15"/>
                        </w:rPr>
                        <w:fldChar w:fldCharType="end"/>
                      </w:r>
                    </w:p>
                    <w:p w14:paraId="7BE86D87">
                      <w:pPr>
                        <w:spacing w:line="221" w:lineRule="auto"/>
                        <w:rPr>
                          <w:rFonts w:ascii="宋体" w:hAnsi="宋体" w:eastAsia="宋体" w:cs="宋体"/>
                          <w:sz w:val="15"/>
                          <w:szCs w:val="15"/>
                        </w:rPr>
                      </w:pPr>
                      <w:r>
                        <w:rPr>
                          <w:rFonts w:ascii="宋体" w:hAnsi="宋体" w:eastAsia="宋体" w:cs="宋体"/>
                          <w:spacing w:val="-3"/>
                          <w:position w:val="1"/>
                          <w:sz w:val="15"/>
                          <w:szCs w:val="15"/>
                        </w:rPr>
                        <w:t>Wong 2004</w:t>
                      </w:r>
                      <w:r>
                        <w:rPr>
                          <w:rFonts w:ascii="宋体" w:hAnsi="宋体" w:eastAsia="宋体" w:cs="宋体"/>
                          <w:spacing w:val="3"/>
                          <w:position w:val="1"/>
                          <w:sz w:val="15"/>
                          <w:szCs w:val="15"/>
                        </w:rPr>
                        <w:t xml:space="preserve">                </w:t>
                      </w:r>
                      <w:r>
                        <w:rPr>
                          <w:rFonts w:ascii="宋体" w:hAnsi="宋体" w:eastAsia="宋体" w:cs="宋体"/>
                          <w:spacing w:val="-3"/>
                          <w:sz w:val="15"/>
                          <w:szCs w:val="15"/>
                        </w:rPr>
                        <w:t>7</w:t>
                      </w:r>
                      <w:r>
                        <w:rPr>
                          <w:rFonts w:ascii="宋体" w:hAnsi="宋体" w:eastAsia="宋体" w:cs="宋体"/>
                          <w:spacing w:val="20"/>
                          <w:w w:val="101"/>
                          <w:sz w:val="15"/>
                          <w:szCs w:val="15"/>
                        </w:rPr>
                        <w:t xml:space="preserve">   </w:t>
                      </w:r>
                      <w:r>
                        <w:rPr>
                          <w:rFonts w:ascii="宋体" w:hAnsi="宋体" w:eastAsia="宋体" w:cs="宋体"/>
                          <w:spacing w:val="-3"/>
                          <w:sz w:val="15"/>
                          <w:szCs w:val="15"/>
                        </w:rPr>
                        <w:t>817</w:t>
                      </w:r>
                      <w:r>
                        <w:rPr>
                          <w:rFonts w:ascii="宋体" w:hAnsi="宋体" w:eastAsia="宋体" w:cs="宋体"/>
                          <w:spacing w:val="3"/>
                          <w:sz w:val="15"/>
                          <w:szCs w:val="15"/>
                        </w:rPr>
                        <w:t xml:space="preserve">     </w:t>
                      </w:r>
                      <w:r>
                        <w:rPr>
                          <w:rFonts w:ascii="宋体" w:hAnsi="宋体" w:eastAsia="宋体" w:cs="宋体"/>
                          <w:spacing w:val="-3"/>
                          <w:sz w:val="15"/>
                          <w:szCs w:val="15"/>
                        </w:rPr>
                        <w:t>11</w:t>
                      </w:r>
                      <w:r>
                        <w:rPr>
                          <w:rFonts w:ascii="宋体" w:hAnsi="宋体" w:eastAsia="宋体" w:cs="宋体"/>
                          <w:spacing w:val="7"/>
                          <w:sz w:val="15"/>
                          <w:szCs w:val="15"/>
                        </w:rPr>
                        <w:t xml:space="preserve">   </w:t>
                      </w:r>
                      <w:r>
                        <w:rPr>
                          <w:rFonts w:ascii="宋体" w:hAnsi="宋体" w:eastAsia="宋体" w:cs="宋体"/>
                          <w:spacing w:val="-3"/>
                          <w:sz w:val="15"/>
                          <w:szCs w:val="15"/>
                        </w:rPr>
                        <w:t>813</w:t>
                      </w:r>
                    </w:p>
                    <w:p w14:paraId="5BD62B2C">
                      <w:pPr>
                        <w:spacing w:before="1" w:line="237" w:lineRule="auto"/>
                        <w:rPr>
                          <w:rFonts w:ascii="宋体" w:hAnsi="宋体" w:eastAsia="宋体" w:cs="宋体"/>
                          <w:sz w:val="15"/>
                          <w:szCs w:val="15"/>
                        </w:rPr>
                      </w:pPr>
                      <w:r>
                        <w:rPr>
                          <w:rFonts w:ascii="宋体" w:hAnsi="宋体" w:eastAsia="宋体" w:cs="宋体"/>
                          <w:spacing w:val="-3"/>
                          <w:position w:val="1"/>
                          <w:sz w:val="15"/>
                          <w:szCs w:val="15"/>
                        </w:rPr>
                        <w:t>Wong 2012</w:t>
                      </w:r>
                      <w:r>
                        <w:rPr>
                          <w:rFonts w:ascii="宋体" w:hAnsi="宋体" w:eastAsia="宋体" w:cs="宋体"/>
                          <w:spacing w:val="3"/>
                          <w:position w:val="1"/>
                          <w:sz w:val="15"/>
                          <w:szCs w:val="15"/>
                        </w:rPr>
                        <w:t xml:space="preserve">                </w:t>
                      </w:r>
                      <w:r>
                        <w:rPr>
                          <w:rFonts w:ascii="宋体" w:hAnsi="宋体" w:eastAsia="宋体" w:cs="宋体"/>
                          <w:spacing w:val="-3"/>
                          <w:sz w:val="15"/>
                          <w:szCs w:val="15"/>
                        </w:rPr>
                        <w:t>3</w:t>
                      </w:r>
                      <w:r>
                        <w:rPr>
                          <w:rFonts w:ascii="宋体" w:hAnsi="宋体" w:eastAsia="宋体" w:cs="宋体"/>
                          <w:spacing w:val="19"/>
                          <w:sz w:val="15"/>
                          <w:szCs w:val="15"/>
                        </w:rPr>
                        <w:t xml:space="preserve">   </w:t>
                      </w:r>
                      <w:r>
                        <w:rPr>
                          <w:rFonts w:ascii="宋体" w:hAnsi="宋体" w:eastAsia="宋体" w:cs="宋体"/>
                          <w:spacing w:val="-3"/>
                          <w:sz w:val="15"/>
                          <w:szCs w:val="15"/>
                        </w:rPr>
                        <w:t>255</w:t>
                      </w:r>
                      <w:r>
                        <w:rPr>
                          <w:rFonts w:ascii="宋体" w:hAnsi="宋体" w:eastAsia="宋体" w:cs="宋体"/>
                          <w:spacing w:val="2"/>
                          <w:sz w:val="15"/>
                          <w:szCs w:val="15"/>
                        </w:rPr>
                        <w:t xml:space="preserve">      </w:t>
                      </w:r>
                      <w:r>
                        <w:rPr>
                          <w:rFonts w:ascii="宋体" w:hAnsi="宋体" w:eastAsia="宋体" w:cs="宋体"/>
                          <w:spacing w:val="-3"/>
                          <w:sz w:val="15"/>
                          <w:szCs w:val="15"/>
                        </w:rPr>
                        <w:t>1</w:t>
                      </w:r>
                      <w:r>
                        <w:rPr>
                          <w:rFonts w:ascii="宋体" w:hAnsi="宋体" w:eastAsia="宋体" w:cs="宋体"/>
                          <w:spacing w:val="9"/>
                          <w:sz w:val="15"/>
                          <w:szCs w:val="15"/>
                        </w:rPr>
                        <w:t xml:space="preserve">   </w:t>
                      </w:r>
                      <w:r>
                        <w:fldChar w:fldCharType="begin"/>
                      </w:r>
                      <w:r>
                        <w:instrText xml:space="preserve"> HYPERLINK \l "bookmark565" </w:instrText>
                      </w:r>
                      <w:r>
                        <w:fldChar w:fldCharType="separate"/>
                      </w:r>
                      <w:r>
                        <w:rPr>
                          <w:rFonts w:ascii="宋体" w:hAnsi="宋体" w:eastAsia="宋体" w:cs="宋体"/>
                          <w:spacing w:val="-3"/>
                          <w:sz w:val="15"/>
                          <w:szCs w:val="15"/>
                        </w:rPr>
                        <w:t>258</w:t>
                      </w:r>
                      <w:r>
                        <w:rPr>
                          <w:rFonts w:ascii="宋体" w:hAnsi="宋体" w:eastAsia="宋体" w:cs="宋体"/>
                          <w:spacing w:val="-3"/>
                          <w:sz w:val="15"/>
                          <w:szCs w:val="15"/>
                        </w:rPr>
                        <w:fldChar w:fldCharType="end"/>
                      </w:r>
                    </w:p>
                    <w:p w14:paraId="473E4889">
                      <w:pPr>
                        <w:spacing w:before="76"/>
                        <w:rPr>
                          <w:rFonts w:ascii="宋体" w:hAnsi="宋体" w:eastAsia="宋体" w:cs="宋体"/>
                          <w:sz w:val="15"/>
                          <w:szCs w:val="15"/>
                        </w:rPr>
                      </w:pPr>
                      <w:r>
                        <w:rPr>
                          <w:rFonts w:ascii="宋体" w:hAnsi="宋体" w:eastAsia="宋体" w:cs="宋体"/>
                          <w:spacing w:val="-3"/>
                          <w:sz w:val="15"/>
                          <w:szCs w:val="15"/>
                        </w:rPr>
                        <w:t>Zhou 2008</w:t>
                      </w:r>
                      <w:r>
                        <w:rPr>
                          <w:rFonts w:ascii="宋体" w:hAnsi="宋体" w:eastAsia="宋体" w:cs="宋体"/>
                          <w:spacing w:val="4"/>
                          <w:sz w:val="15"/>
                          <w:szCs w:val="15"/>
                        </w:rPr>
                        <w:t xml:space="preserve">                </w:t>
                      </w:r>
                      <w:r>
                        <w:rPr>
                          <w:rFonts w:ascii="宋体" w:hAnsi="宋体" w:eastAsia="宋体" w:cs="宋体"/>
                          <w:spacing w:val="-3"/>
                          <w:sz w:val="15"/>
                          <w:szCs w:val="15"/>
                        </w:rPr>
                        <w:t>2</w:t>
                      </w:r>
                      <w:r>
                        <w:rPr>
                          <w:rFonts w:ascii="宋体" w:hAnsi="宋体" w:eastAsia="宋体" w:cs="宋体"/>
                          <w:spacing w:val="16"/>
                          <w:sz w:val="15"/>
                          <w:szCs w:val="15"/>
                        </w:rPr>
                        <w:t xml:space="preserve">   </w:t>
                      </w:r>
                      <w:r>
                        <w:rPr>
                          <w:rFonts w:ascii="宋体" w:hAnsi="宋体" w:eastAsia="宋体" w:cs="宋体"/>
                          <w:spacing w:val="-3"/>
                          <w:sz w:val="15"/>
                          <w:szCs w:val="15"/>
                        </w:rPr>
                        <w:t>276</w:t>
                      </w:r>
                      <w:r>
                        <w:rPr>
                          <w:rFonts w:ascii="宋体" w:hAnsi="宋体" w:eastAsia="宋体" w:cs="宋体"/>
                          <w:spacing w:val="2"/>
                          <w:sz w:val="15"/>
                          <w:szCs w:val="15"/>
                        </w:rPr>
                        <w:t xml:space="preserve">      </w:t>
                      </w:r>
                      <w:r>
                        <w:rPr>
                          <w:rFonts w:ascii="宋体" w:hAnsi="宋体" w:eastAsia="宋体" w:cs="宋体"/>
                          <w:spacing w:val="-3"/>
                          <w:sz w:val="15"/>
                          <w:szCs w:val="15"/>
                        </w:rPr>
                        <w:t>7</w:t>
                      </w:r>
                      <w:r>
                        <w:rPr>
                          <w:rFonts w:ascii="宋体" w:hAnsi="宋体" w:eastAsia="宋体" w:cs="宋体"/>
                          <w:spacing w:val="6"/>
                          <w:sz w:val="15"/>
                          <w:szCs w:val="15"/>
                        </w:rPr>
                        <w:t xml:space="preserve">   </w:t>
                      </w:r>
                      <w:r>
                        <w:fldChar w:fldCharType="begin"/>
                      </w:r>
                      <w:r>
                        <w:instrText xml:space="preserve"> HYPERLINK \l "bookmark566" </w:instrText>
                      </w:r>
                      <w:r>
                        <w:fldChar w:fldCharType="separate"/>
                      </w:r>
                      <w:r>
                        <w:rPr>
                          <w:rFonts w:ascii="宋体" w:hAnsi="宋体" w:eastAsia="宋体" w:cs="宋体"/>
                          <w:spacing w:val="-3"/>
                          <w:sz w:val="15"/>
                          <w:szCs w:val="15"/>
                        </w:rPr>
                        <w:t>276</w:t>
                      </w:r>
                      <w:r>
                        <w:rPr>
                          <w:rFonts w:ascii="宋体" w:hAnsi="宋体" w:eastAsia="宋体" w:cs="宋体"/>
                          <w:spacing w:val="-3"/>
                          <w:sz w:val="15"/>
                          <w:szCs w:val="15"/>
                        </w:rPr>
                        <w:fldChar w:fldCharType="end"/>
                      </w:r>
                    </w:p>
                    <w:p w14:paraId="2ED3D129">
                      <w:pPr>
                        <w:spacing w:before="102" w:line="238" w:lineRule="auto"/>
                        <w:jc w:val="right"/>
                        <w:rPr>
                          <w:rFonts w:ascii="宋体" w:hAnsi="宋体" w:eastAsia="宋体" w:cs="宋体"/>
                          <w:sz w:val="15"/>
                          <w:szCs w:val="15"/>
                        </w:rPr>
                      </w:pPr>
                      <w:r>
                        <w:rPr>
                          <w:rFonts w:ascii="宋体" w:hAnsi="宋体" w:eastAsia="宋体" w:cs="宋体"/>
                          <w:spacing w:val="-2"/>
                          <w:sz w:val="15"/>
                          <w:szCs w:val="15"/>
                        </w:rPr>
                        <w:t>Total(95%Cl)</w:t>
                      </w:r>
                      <w:r>
                        <w:rPr>
                          <w:rFonts w:ascii="宋体" w:hAnsi="宋体" w:eastAsia="宋体" w:cs="宋体"/>
                          <w:spacing w:val="2"/>
                          <w:sz w:val="15"/>
                          <w:szCs w:val="15"/>
                        </w:rPr>
                        <w:t xml:space="preserve">                 </w:t>
                      </w:r>
                      <w:r>
                        <w:rPr>
                          <w:rFonts w:ascii="宋体" w:hAnsi="宋体" w:eastAsia="宋体" w:cs="宋体"/>
                          <w:spacing w:val="-2"/>
                          <w:sz w:val="15"/>
                          <w:szCs w:val="15"/>
                        </w:rPr>
                        <w:t>3294</w:t>
                      </w:r>
                      <w:r>
                        <w:rPr>
                          <w:rFonts w:ascii="宋体" w:hAnsi="宋体" w:eastAsia="宋体" w:cs="宋体"/>
                          <w:spacing w:val="2"/>
                          <w:sz w:val="15"/>
                          <w:szCs w:val="15"/>
                        </w:rPr>
                        <w:t xml:space="preserve">         </w:t>
                      </w:r>
                      <w:r>
                        <w:rPr>
                          <w:rFonts w:ascii="宋体" w:hAnsi="宋体" w:eastAsia="宋体" w:cs="宋体"/>
                          <w:spacing w:val="-2"/>
                          <w:sz w:val="15"/>
                          <w:szCs w:val="15"/>
                        </w:rPr>
                        <w:t>3203</w:t>
                      </w:r>
                    </w:p>
                    <w:p w14:paraId="57124451">
                      <w:pPr>
                        <w:spacing w:before="59"/>
                        <w:rPr>
                          <w:rFonts w:ascii="宋体" w:hAnsi="宋体" w:eastAsia="宋体" w:cs="宋体"/>
                          <w:sz w:val="15"/>
                          <w:szCs w:val="15"/>
                        </w:rPr>
                      </w:pPr>
                      <w:r>
                        <w:rPr>
                          <w:rFonts w:ascii="宋体" w:hAnsi="宋体" w:eastAsia="宋体" w:cs="宋体"/>
                          <w:spacing w:val="-2"/>
                          <w:sz w:val="15"/>
                          <w:szCs w:val="15"/>
                        </w:rPr>
                        <w:t>Total</w:t>
                      </w:r>
                      <w:r>
                        <w:rPr>
                          <w:rFonts w:ascii="宋体" w:hAnsi="宋体" w:eastAsia="宋体" w:cs="宋体"/>
                          <w:spacing w:val="19"/>
                          <w:sz w:val="15"/>
                          <w:szCs w:val="15"/>
                        </w:rPr>
                        <w:t xml:space="preserve"> </w:t>
                      </w:r>
                      <w:r>
                        <w:rPr>
                          <w:rFonts w:ascii="宋体" w:hAnsi="宋体" w:eastAsia="宋体" w:cs="宋体"/>
                          <w:spacing w:val="-2"/>
                          <w:sz w:val="15"/>
                          <w:szCs w:val="15"/>
                        </w:rPr>
                        <w:t xml:space="preserve">events             51            </w:t>
                      </w:r>
                      <w:r>
                        <w:fldChar w:fldCharType="begin"/>
                      </w:r>
                      <w:r>
                        <w:instrText xml:space="preserve"> HYPERLINK \l "bookmark567" </w:instrText>
                      </w:r>
                      <w:r>
                        <w:fldChar w:fldCharType="separate"/>
                      </w:r>
                      <w:r>
                        <w:rPr>
                          <w:rFonts w:ascii="宋体" w:hAnsi="宋体" w:eastAsia="宋体" w:cs="宋体"/>
                          <w:spacing w:val="-2"/>
                          <w:sz w:val="15"/>
                          <w:szCs w:val="15"/>
                        </w:rPr>
                        <w:t>76</w:t>
                      </w:r>
                      <w:r>
                        <w:rPr>
                          <w:rFonts w:ascii="宋体" w:hAnsi="宋体" w:eastAsia="宋体" w:cs="宋体"/>
                          <w:spacing w:val="-2"/>
                          <w:sz w:val="15"/>
                          <w:szCs w:val="15"/>
                        </w:rPr>
                        <w:fldChar w:fldCharType="end"/>
                      </w:r>
                    </w:p>
                  </w:sdtContent>
                </w:sdt>
              </w:txbxContent>
            </v:textbox>
            <w10:wrap type="none"/>
            <w10:anchorlock/>
          </v:shape>
        </w:pict>
      </w:r>
    </w:p>
    <w:p w14:paraId="25DE8552">
      <w:pPr>
        <w:spacing w:before="1" w:line="267" w:lineRule="auto"/>
        <w:ind w:left="109" w:right="1061"/>
        <w:rPr>
          <w:rFonts w:ascii="宋体" w:hAnsi="宋体" w:eastAsia="宋体" w:cs="宋体"/>
          <w:sz w:val="15"/>
          <w:szCs w:val="15"/>
        </w:rPr>
      </w:pPr>
      <w:r>
        <w:rPr>
          <w:rFonts w:ascii="宋体" w:hAnsi="宋体" w:eastAsia="宋体" w:cs="宋体"/>
          <w:sz w:val="15"/>
          <w:szCs w:val="15"/>
        </w:rPr>
        <w:t>Heterogeneity:Chi²=3.62,d=5(P=0.60);</w:t>
      </w:r>
      <w:r>
        <w:rPr>
          <w:rFonts w:ascii="宋体" w:hAnsi="宋体" w:eastAsia="宋体" w:cs="宋体"/>
          <w:spacing w:val="-1"/>
          <w:sz w:val="15"/>
          <w:szCs w:val="15"/>
        </w:rPr>
        <w:t>P=0%</w:t>
      </w:r>
      <w:r>
        <w:rPr>
          <w:rFonts w:ascii="宋体" w:hAnsi="宋体" w:eastAsia="宋体" w:cs="宋体"/>
          <w:sz w:val="15"/>
          <w:szCs w:val="15"/>
        </w:rPr>
        <w:t xml:space="preserve"> </w:t>
      </w:r>
      <w:r>
        <w:rPr>
          <w:rFonts w:ascii="宋体" w:hAnsi="宋体" w:eastAsia="宋体" w:cs="宋体"/>
          <w:spacing w:val="-1"/>
          <w:sz w:val="15"/>
          <w:szCs w:val="15"/>
        </w:rPr>
        <w:t>Test</w:t>
      </w:r>
      <w:r>
        <w:rPr>
          <w:rFonts w:ascii="宋体" w:hAnsi="宋体" w:eastAsia="宋体" w:cs="宋体"/>
          <w:spacing w:val="31"/>
          <w:sz w:val="15"/>
          <w:szCs w:val="15"/>
        </w:rPr>
        <w:t xml:space="preserve"> </w:t>
      </w:r>
      <w:r>
        <w:rPr>
          <w:rFonts w:ascii="宋体" w:hAnsi="宋体" w:eastAsia="宋体" w:cs="宋体"/>
          <w:spacing w:val="-1"/>
          <w:sz w:val="15"/>
          <w:szCs w:val="15"/>
        </w:rPr>
        <w:t>for</w:t>
      </w:r>
      <w:r>
        <w:rPr>
          <w:rFonts w:ascii="宋体" w:hAnsi="宋体" w:eastAsia="宋体" w:cs="宋体"/>
          <w:spacing w:val="23"/>
          <w:sz w:val="15"/>
          <w:szCs w:val="15"/>
        </w:rPr>
        <w:t xml:space="preserve"> </w:t>
      </w:r>
      <w:r>
        <w:rPr>
          <w:rFonts w:ascii="宋体" w:hAnsi="宋体" w:eastAsia="宋体" w:cs="宋体"/>
          <w:spacing w:val="-1"/>
          <w:sz w:val="15"/>
          <w:szCs w:val="15"/>
        </w:rPr>
        <w:t>overall</w:t>
      </w:r>
      <w:r>
        <w:rPr>
          <w:rFonts w:ascii="宋体" w:hAnsi="宋体" w:eastAsia="宋体" w:cs="宋体"/>
          <w:spacing w:val="25"/>
          <w:sz w:val="15"/>
          <w:szCs w:val="15"/>
        </w:rPr>
        <w:t xml:space="preserve"> </w:t>
      </w:r>
      <w:r>
        <w:rPr>
          <w:rFonts w:ascii="宋体" w:hAnsi="宋体" w:eastAsia="宋体" w:cs="宋体"/>
          <w:spacing w:val="-1"/>
          <w:sz w:val="15"/>
          <w:szCs w:val="15"/>
        </w:rPr>
        <w:t>effeot:Z=2.30(P=0.02)</w:t>
      </w:r>
    </w:p>
    <w:p w14:paraId="16A7698A">
      <w:pPr>
        <w:spacing w:line="87" w:lineRule="exact"/>
      </w:pPr>
    </w:p>
    <w:p w14:paraId="12F31DC6">
      <w:pPr>
        <w:spacing w:line="14" w:lineRule="auto"/>
        <w:rPr>
          <w:rFonts w:ascii="Arial"/>
          <w:sz w:val="2"/>
        </w:rPr>
      </w:pPr>
      <w:r>
        <w:rPr>
          <w:rFonts w:ascii="Arial" w:hAnsi="Arial" w:eastAsia="Arial" w:cs="Arial"/>
          <w:sz w:val="2"/>
          <w:szCs w:val="2"/>
        </w:rPr>
        <w:br w:type="column"/>
      </w:r>
    </w:p>
    <w:p w14:paraId="4EA71B9A">
      <w:pPr>
        <w:spacing w:line="368" w:lineRule="exact"/>
        <w:ind w:firstLine="1890"/>
      </w:pPr>
      <w:r>
        <w:pict>
          <v:shape id="_x0000_s1261" o:spid="_x0000_s1261" style="position:absolute;left:0pt;margin-left:147.5pt;margin-top:18.65pt;height:116.5pt;width:0.5pt;z-index:251969536;mso-width-relative:page;mso-height-relative:page;" filled="f" stroked="t" coordsize="10,2330" path="m5,0l5,209m5,0l5,209m5,209l5,429m5,209l5,429m5,429l5,629m5,429l5,629m5,629l5,819m5,629l5,819m5,819l5,1019m5,819l5,1019m5,1019l5,1329m5,1019l5,1329m5,1329l5,1649m5,1329l5,1649m5,1649l5,1830m5,1649l5,1830m5,1830l5,2329e">
            <v:fill on="f" focussize="0,0"/>
            <v:stroke weight="0.5pt" color="#000000" miterlimit="10" joinstyle="miter"/>
            <v:imagedata o:title=""/>
            <o:lock v:ext="edit"/>
          </v:shape>
        </w:pict>
      </w:r>
      <w:r>
        <w:pict>
          <v:shape id="_x0000_s1262" o:spid="_x0000_s1262" o:spt="202" type="#_x0000_t202" style="position:absolute;left:0pt;margin-left:3pt;margin-top:2.85pt;height:17.05pt;width:56.9pt;z-index:251963392;mso-width-relative:page;mso-height-relative:page;" filled="f" stroked="f" coordsize="21600,21600">
            <v:path/>
            <v:fill on="f" focussize="0,0"/>
            <v:stroke on="f"/>
            <v:imagedata o:title=""/>
            <o:lock v:ext="edit" aspectratio="f"/>
            <v:textbox inset="0mm,0mm,0mm,0mm">
              <w:txbxContent>
                <w:p w14:paraId="4C5726DE">
                  <w:pPr>
                    <w:spacing w:before="20" w:line="124" w:lineRule="exact"/>
                    <w:ind w:left="372"/>
                    <w:rPr>
                      <w:rFonts w:ascii="宋体" w:hAnsi="宋体" w:eastAsia="宋体" w:cs="宋体"/>
                      <w:sz w:val="15"/>
                      <w:szCs w:val="15"/>
                    </w:rPr>
                  </w:pPr>
                  <w:r>
                    <w:rPr>
                      <w:rFonts w:ascii="宋体" w:hAnsi="宋体" w:eastAsia="宋体" w:cs="宋体"/>
                      <w:b/>
                      <w:bCs/>
                      <w:spacing w:val="-2"/>
                      <w:position w:val="-2"/>
                      <w:sz w:val="15"/>
                      <w:szCs w:val="15"/>
                    </w:rPr>
                    <w:t>Risk</w:t>
                  </w:r>
                  <w:r>
                    <w:rPr>
                      <w:rFonts w:ascii="宋体" w:hAnsi="宋体" w:eastAsia="宋体" w:cs="宋体"/>
                      <w:spacing w:val="-2"/>
                      <w:position w:val="-2"/>
                      <w:sz w:val="15"/>
                      <w:szCs w:val="15"/>
                    </w:rPr>
                    <w:t xml:space="preserve"> </w:t>
                  </w:r>
                  <w:r>
                    <w:rPr>
                      <w:rFonts w:ascii="宋体" w:hAnsi="宋体" w:eastAsia="宋体" w:cs="宋体"/>
                      <w:b/>
                      <w:bCs/>
                      <w:spacing w:val="-2"/>
                      <w:position w:val="-2"/>
                      <w:sz w:val="15"/>
                      <w:szCs w:val="15"/>
                    </w:rPr>
                    <w:t>Refio</w:t>
                  </w:r>
                </w:p>
                <w:p w14:paraId="646347EB">
                  <w:pPr>
                    <w:spacing w:line="216" w:lineRule="auto"/>
                    <w:ind w:left="20"/>
                    <w:rPr>
                      <w:rFonts w:ascii="宋体" w:hAnsi="宋体" w:eastAsia="宋体" w:cs="宋体"/>
                      <w:sz w:val="15"/>
                      <w:szCs w:val="15"/>
                    </w:rPr>
                  </w:pPr>
                  <w:r>
                    <w:rPr>
                      <w:rFonts w:ascii="宋体" w:hAnsi="宋体" w:eastAsia="宋体" w:cs="宋体"/>
                      <w:spacing w:val="-1"/>
                      <w:sz w:val="15"/>
                      <w:szCs w:val="15"/>
                    </w:rPr>
                    <w:t>M-H,Fxed,95%CI</w:t>
                  </w:r>
                </w:p>
              </w:txbxContent>
            </v:textbox>
          </v:shape>
        </w:pict>
      </w:r>
      <w:r>
        <w:drawing>
          <wp:anchor distT="0" distB="0" distL="0" distR="0" simplePos="0" relativeHeight="251959296" behindDoc="1" locked="0" layoutInCell="1" allowOverlap="1">
            <wp:simplePos x="0" y="0"/>
            <wp:positionH relativeFrom="column">
              <wp:posOffset>819150</wp:posOffset>
            </wp:positionH>
            <wp:positionV relativeFrom="paragraph">
              <wp:posOffset>151130</wp:posOffset>
            </wp:positionV>
            <wp:extent cx="2139950" cy="1454150"/>
            <wp:effectExtent l="0" t="0" r="0" b="0"/>
            <wp:wrapNone/>
            <wp:docPr id="770" name="IM 770"/>
            <wp:cNvGraphicFramePr/>
            <a:graphic xmlns:a="http://schemas.openxmlformats.org/drawingml/2006/main">
              <a:graphicData uri="http://schemas.openxmlformats.org/drawingml/2006/picture">
                <pic:pic xmlns:pic="http://schemas.openxmlformats.org/drawingml/2006/picture">
                  <pic:nvPicPr>
                    <pic:cNvPr id="770" name="IM 770"/>
                    <pic:cNvPicPr/>
                  </pic:nvPicPr>
                  <pic:blipFill>
                    <a:blip r:embed="rId675"/>
                    <a:stretch>
                      <a:fillRect/>
                    </a:stretch>
                  </pic:blipFill>
                  <pic:spPr>
                    <a:xfrm>
                      <a:off x="0" y="0"/>
                      <a:ext cx="2139925" cy="1454177"/>
                    </a:xfrm>
                    <a:prstGeom prst="rect">
                      <a:avLst/>
                    </a:prstGeom>
                  </pic:spPr>
                </pic:pic>
              </a:graphicData>
            </a:graphic>
          </wp:anchor>
        </w:drawing>
      </w:r>
      <w:r>
        <w:rPr>
          <w:position w:val="-7"/>
        </w:rPr>
        <w:pict>
          <v:shape id="_x0000_s1263" o:spid="_x0000_s1263" o:spt="202" type="#_x0000_t202" style="height:18.55pt;width:138.5pt;" fillcolor="#FFFFFF" filled="t" stroked="f" coordsize="21600,21600">
            <v:path/>
            <v:fill on="t" focussize="0,0"/>
            <v:stroke on="f"/>
            <v:imagedata o:title=""/>
            <o:lock v:ext="edit" aspectratio="f"/>
            <v:textbox inset="0mm,0mm,0mm,0mm">
              <w:txbxContent>
                <w:p w14:paraId="0A9FC24E">
                  <w:pPr>
                    <w:spacing w:before="79" w:line="124" w:lineRule="exact"/>
                    <w:ind w:left="712"/>
                    <w:rPr>
                      <w:rFonts w:ascii="宋体" w:hAnsi="宋体" w:eastAsia="宋体" w:cs="宋体"/>
                      <w:sz w:val="15"/>
                      <w:szCs w:val="15"/>
                    </w:rPr>
                  </w:pPr>
                  <w:r>
                    <w:rPr>
                      <w:rFonts w:ascii="宋体" w:hAnsi="宋体" w:eastAsia="宋体" w:cs="宋体"/>
                      <w:b/>
                      <w:bCs/>
                      <w:spacing w:val="-2"/>
                      <w:position w:val="-2"/>
                      <w:sz w:val="15"/>
                      <w:szCs w:val="15"/>
                    </w:rPr>
                    <w:t>Pisk</w:t>
                  </w:r>
                  <w:r>
                    <w:rPr>
                      <w:rFonts w:ascii="宋体" w:hAnsi="宋体" w:eastAsia="宋体" w:cs="宋体"/>
                      <w:spacing w:val="-2"/>
                      <w:position w:val="-2"/>
                      <w:sz w:val="15"/>
                      <w:szCs w:val="15"/>
                    </w:rPr>
                    <w:t xml:space="preserve"> </w:t>
                  </w:r>
                  <w:r>
                    <w:rPr>
                      <w:rFonts w:ascii="宋体" w:hAnsi="宋体" w:eastAsia="宋体" w:cs="宋体"/>
                      <w:b/>
                      <w:bCs/>
                      <w:spacing w:val="-2"/>
                      <w:position w:val="-2"/>
                      <w:sz w:val="15"/>
                      <w:szCs w:val="15"/>
                    </w:rPr>
                    <w:t>Ratio</w:t>
                  </w:r>
                </w:p>
                <w:p w14:paraId="406F385E">
                  <w:pPr>
                    <w:spacing w:line="216" w:lineRule="auto"/>
                    <w:ind w:left="369"/>
                    <w:rPr>
                      <w:rFonts w:ascii="宋体" w:hAnsi="宋体" w:eastAsia="宋体" w:cs="宋体"/>
                      <w:sz w:val="15"/>
                      <w:szCs w:val="15"/>
                    </w:rPr>
                  </w:pPr>
                  <w:r>
                    <w:rPr>
                      <w:rFonts w:ascii="宋体" w:hAnsi="宋体" w:eastAsia="宋体" w:cs="宋体"/>
                      <w:spacing w:val="-1"/>
                      <w:sz w:val="15"/>
                      <w:szCs w:val="15"/>
                    </w:rPr>
                    <w:t>M-H,Fixed,96%Cl</w:t>
                  </w:r>
                </w:p>
              </w:txbxContent>
            </v:textbox>
            <w10:wrap type="none"/>
            <w10:anchorlock/>
          </v:shape>
        </w:pict>
      </w:r>
    </w:p>
    <w:p w14:paraId="7271092C">
      <w:pPr>
        <w:spacing w:line="210" w:lineRule="exact"/>
      </w:pPr>
      <w:r>
        <w:pict>
          <v:rect id="_x0000_s1264" o:spid="_x0000_s1264" o:spt="1" style="position:absolute;left:0pt;margin-left:94.5pt;margin-top:0pt;height:82.5pt;width:53pt;z-index:251968512;mso-width-relative:page;mso-height-relative:page;" fillcolor="#FFFFFF" filled="t" stroked="f" coordsize="21600,21600">
            <v:path/>
            <v:fill on="t" focussize="0,0"/>
            <v:stroke on="f"/>
            <v:imagedata o:title=""/>
            <o:lock v:ext="edit"/>
          </v:rect>
        </w:pict>
      </w:r>
      <w:r>
        <w:rPr>
          <w:position w:val="-4"/>
        </w:rPr>
        <w:pict>
          <v:shape id="_x0000_s1265" o:spid="_x0000_s1265" o:spt="202" type="#_x0000_t202" style="height:10.5pt;width:94.55pt;" fillcolor="#FFFFFF" filled="t" stroked="f" coordsize="21600,21600">
            <v:path/>
            <v:fill on="t" focussize="0,0"/>
            <v:stroke on="f"/>
            <v:imagedata o:title=""/>
            <o:lock v:ext="edit" aspectratio="f"/>
            <v:textbox inset="0mm,0mm,0mm,0mm">
              <w:txbxContent>
                <w:p w14:paraId="58463737">
                  <w:pPr>
                    <w:spacing w:before="34" w:line="216" w:lineRule="auto"/>
                    <w:ind w:left="260"/>
                    <w:rPr>
                      <w:rFonts w:ascii="宋体" w:hAnsi="宋体" w:eastAsia="宋体" w:cs="宋体"/>
                      <w:sz w:val="15"/>
                      <w:szCs w:val="15"/>
                    </w:rPr>
                  </w:pPr>
                  <w:r>
                    <w:rPr>
                      <w:rFonts w:ascii="宋体" w:hAnsi="宋体" w:eastAsia="宋体" w:cs="宋体"/>
                      <w:spacing w:val="-2"/>
                      <w:sz w:val="15"/>
                      <w:szCs w:val="15"/>
                    </w:rPr>
                    <w:t>1.42[0.24,8.48]</w:t>
                  </w:r>
                </w:p>
              </w:txbxContent>
            </v:textbox>
            <w10:wrap type="none"/>
            <w10:anchorlock/>
          </v:shape>
        </w:pict>
      </w:r>
    </w:p>
    <w:p w14:paraId="4F339058">
      <w:pPr>
        <w:spacing w:before="34" w:line="216" w:lineRule="auto"/>
        <w:ind w:left="260"/>
        <w:rPr>
          <w:rFonts w:ascii="宋体" w:hAnsi="宋体" w:eastAsia="宋体" w:cs="宋体"/>
          <w:sz w:val="15"/>
          <w:szCs w:val="15"/>
        </w:rPr>
      </w:pPr>
      <w:r>
        <w:rPr>
          <w:rFonts w:ascii="宋体" w:hAnsi="宋体" w:eastAsia="宋体" w:cs="宋体"/>
          <w:spacing w:val="-3"/>
          <w:sz w:val="15"/>
          <w:szCs w:val="15"/>
        </w:rPr>
        <w:t>0.65</w:t>
      </w:r>
      <w:r>
        <w:rPr>
          <w:rFonts w:ascii="宋体" w:hAnsi="宋体" w:eastAsia="宋体" w:cs="宋体"/>
          <w:spacing w:val="76"/>
          <w:sz w:val="15"/>
          <w:szCs w:val="15"/>
        </w:rPr>
        <w:t xml:space="preserve"> </w:t>
      </w:r>
      <w:r>
        <w:rPr>
          <w:rFonts w:ascii="宋体" w:hAnsi="宋体" w:eastAsia="宋体" w:cs="宋体"/>
          <w:spacing w:val="-3"/>
          <w:sz w:val="15"/>
          <w:szCs w:val="15"/>
        </w:rPr>
        <w:t>[0.43,1.00]</w:t>
      </w:r>
    </w:p>
    <w:p w14:paraId="67D340B5">
      <w:pPr>
        <w:spacing w:before="34" w:line="216" w:lineRule="auto"/>
        <w:ind w:left="260"/>
        <w:rPr>
          <w:rFonts w:ascii="宋体" w:hAnsi="宋体" w:eastAsia="宋体" w:cs="宋体"/>
          <w:sz w:val="15"/>
          <w:szCs w:val="15"/>
        </w:rPr>
      </w:pPr>
      <w:r>
        <w:rPr>
          <w:rFonts w:ascii="宋体" w:hAnsi="宋体" w:eastAsia="宋体" w:cs="宋体"/>
          <w:spacing w:val="-1"/>
          <w:sz w:val="15"/>
          <w:szCs w:val="15"/>
        </w:rPr>
        <w:t>0.55[0.09,3.27]</w:t>
      </w:r>
    </w:p>
    <w:p w14:paraId="09E07524">
      <w:pPr>
        <w:spacing w:before="25" w:line="216" w:lineRule="auto"/>
        <w:ind w:left="260"/>
        <w:rPr>
          <w:rFonts w:ascii="宋体" w:hAnsi="宋体" w:eastAsia="宋体" w:cs="宋体"/>
          <w:sz w:val="15"/>
          <w:szCs w:val="15"/>
        </w:rPr>
      </w:pPr>
      <w:r>
        <w:rPr>
          <w:rFonts w:ascii="宋体" w:hAnsi="宋体" w:eastAsia="宋体" w:cs="宋体"/>
          <w:spacing w:val="-1"/>
          <w:sz w:val="15"/>
          <w:szCs w:val="15"/>
        </w:rPr>
        <w:t>0.63[0.25,1.63]</w:t>
      </w:r>
    </w:p>
    <w:p w14:paraId="6C762CA0">
      <w:pPr>
        <w:spacing w:before="14" w:line="216" w:lineRule="auto"/>
        <w:ind w:left="260"/>
        <w:rPr>
          <w:rFonts w:ascii="宋体" w:hAnsi="宋体" w:eastAsia="宋体" w:cs="宋体"/>
          <w:sz w:val="15"/>
          <w:szCs w:val="15"/>
        </w:rPr>
      </w:pPr>
      <w:r>
        <w:rPr>
          <w:rFonts w:ascii="宋体" w:hAnsi="宋体" w:eastAsia="宋体" w:cs="宋体"/>
          <w:spacing w:val="-1"/>
          <w:sz w:val="15"/>
          <w:szCs w:val="15"/>
        </w:rPr>
        <w:t>3.04[0.32,28.99]</w:t>
      </w:r>
    </w:p>
    <w:p w14:paraId="148E84AD">
      <w:pPr>
        <w:spacing w:line="343" w:lineRule="auto"/>
        <w:rPr>
          <w:rFonts w:ascii="Arial"/>
          <w:sz w:val="21"/>
        </w:rPr>
      </w:pPr>
      <w:r>
        <w:pict>
          <v:shape id="_x0000_s1266" o:spid="_x0000_s1266" o:spt="202" type="#_x0000_t202" style="position:absolute;left:0pt;margin-left:0pt;margin-top:0pt;height:15.5pt;width:94.55pt;z-index:251961344;mso-width-relative:page;mso-height-relative:page;" fillcolor="#FFFFFF" filled="t" stroked="f" coordsize="21600,21600">
            <v:path/>
            <v:fill on="t" focussize="0,0"/>
            <v:stroke on="f"/>
            <v:imagedata o:title=""/>
            <o:lock v:ext="edit" aspectratio="f"/>
            <v:textbox inset="0mm,0mm,0mm,0mm">
              <w:txbxContent>
                <w:p w14:paraId="54ADB9B3">
                  <w:pPr>
                    <w:spacing w:before="84" w:line="216" w:lineRule="auto"/>
                    <w:ind w:left="260"/>
                    <w:rPr>
                      <w:rFonts w:ascii="宋体" w:hAnsi="宋体" w:eastAsia="宋体" w:cs="宋体"/>
                      <w:sz w:val="15"/>
                      <w:szCs w:val="15"/>
                    </w:rPr>
                  </w:pPr>
                  <w:r>
                    <w:rPr>
                      <w:rFonts w:ascii="宋体" w:hAnsi="宋体" w:eastAsia="宋体" w:cs="宋体"/>
                      <w:spacing w:val="-1"/>
                      <w:sz w:val="15"/>
                      <w:szCs w:val="15"/>
                    </w:rPr>
                    <w:t>0.29[0.06,1.36]</w:t>
                  </w:r>
                </w:p>
              </w:txbxContent>
            </v:textbox>
          </v:shape>
        </w:pict>
      </w:r>
    </w:p>
    <w:p w14:paraId="75B93CEF">
      <w:pPr>
        <w:spacing w:before="50" w:line="216" w:lineRule="auto"/>
        <w:ind w:left="260"/>
        <w:rPr>
          <w:rFonts w:ascii="宋体" w:hAnsi="宋体" w:eastAsia="宋体" w:cs="宋体"/>
          <w:sz w:val="15"/>
          <w:szCs w:val="15"/>
        </w:rPr>
      </w:pPr>
      <w:r>
        <w:rPr>
          <w:rFonts w:ascii="宋体" w:hAnsi="宋体" w:eastAsia="宋体" w:cs="宋体"/>
          <w:spacing w:val="-1"/>
          <w:sz w:val="15"/>
          <w:szCs w:val="15"/>
        </w:rPr>
        <w:t>0.66[0.47,0.94]</w:t>
      </w:r>
    </w:p>
    <w:p w14:paraId="1FE3CC00">
      <w:pPr>
        <w:spacing w:before="240" w:line="500" w:lineRule="exact"/>
      </w:pPr>
      <w:r>
        <w:pict>
          <v:shape id="_x0000_s1267" o:spid="_x0000_s1267" o:spt="202" type="#_x0000_t202" style="position:absolute;left:0pt;margin-left:94.5pt;margin-top:12pt;height:25pt;width:53pt;z-index:251962368;mso-width-relative:page;mso-height-relative:page;" fillcolor="#FFFFFF" filled="t" stroked="f" coordsize="21600,21600">
            <v:path/>
            <v:fill on="t" focussize="0,0"/>
            <v:stroke on="f"/>
            <v:imagedata o:title=""/>
            <o:lock v:ext="edit" aspectratio="f"/>
            <v:textbox inset="0mm,0mm,0mm,0mm">
              <w:txbxContent>
                <w:p w14:paraId="2E4689D9">
                  <w:pPr>
                    <w:spacing w:before="171" w:line="225" w:lineRule="auto"/>
                    <w:ind w:left="19"/>
                    <w:rPr>
                      <w:rFonts w:ascii="宋体" w:hAnsi="宋体" w:eastAsia="宋体" w:cs="宋体"/>
                      <w:sz w:val="15"/>
                      <w:szCs w:val="15"/>
                    </w:rPr>
                  </w:pPr>
                  <w:r>
                    <w:rPr>
                      <w:rFonts w:ascii="宋体" w:hAnsi="宋体" w:eastAsia="宋体" w:cs="宋体"/>
                      <w:spacing w:val="1"/>
                      <w:position w:val="7"/>
                      <w:sz w:val="15"/>
                      <w:szCs w:val="15"/>
                    </w:rPr>
                    <w:t>0.1</w:t>
                  </w:r>
                  <w:r>
                    <w:rPr>
                      <w:rFonts w:ascii="宋体" w:hAnsi="宋体" w:eastAsia="宋体" w:cs="宋体"/>
                      <w:spacing w:val="41"/>
                      <w:w w:val="101"/>
                      <w:position w:val="7"/>
                      <w:sz w:val="15"/>
                      <w:szCs w:val="15"/>
                    </w:rPr>
                    <w:t xml:space="preserve"> </w:t>
                  </w:r>
                  <w:r>
                    <w:rPr>
                      <w:rFonts w:ascii="宋体" w:hAnsi="宋体" w:eastAsia="宋体" w:cs="宋体"/>
                      <w:position w:val="-5"/>
                      <w:sz w:val="15"/>
                      <w:szCs w:val="15"/>
                    </w:rPr>
                    <w:t>HP</w:t>
                  </w:r>
                  <w:r>
                    <w:rPr>
                      <w:rFonts w:ascii="宋体" w:hAnsi="宋体" w:eastAsia="宋体" w:cs="宋体"/>
                      <w:spacing w:val="1"/>
                      <w:position w:val="-5"/>
                      <w:sz w:val="15"/>
                      <w:szCs w:val="15"/>
                    </w:rPr>
                    <w:t>根除组</w:t>
                  </w:r>
                  <w:r>
                    <w:rPr>
                      <w:rFonts w:ascii="宋体" w:hAnsi="宋体" w:eastAsia="宋体" w:cs="宋体"/>
                      <w:spacing w:val="1"/>
                      <w:position w:val="3"/>
                      <w:sz w:val="15"/>
                      <w:szCs w:val="15"/>
                    </w:rPr>
                    <w:t>1</w:t>
                  </w:r>
                </w:p>
              </w:txbxContent>
            </v:textbox>
          </v:shape>
        </w:pict>
      </w:r>
      <w:r>
        <w:pict>
          <v:group id="_x0000_s1268" o:spid="_x0000_s1268" o:spt="203" style="position:absolute;left:0pt;margin-left:147.25pt;margin-top:12pt;height:25pt;width:85.8pt;z-index:251970560;mso-width-relative:page;mso-height-relative:page;" coordsize="1716,500">
            <o:lock v:ext="edit"/>
            <v:rect id="_x0000_s1269" o:spid="_x0000_s1269" o:spt="1" style="position:absolute;left:5;top:0;height:500;width:1711;" fillcolor="#FFFFFF" filled="t" stroked="f" coordsize="21600,21600">
              <v:path/>
              <v:fill on="t" focussize="0,0"/>
              <v:stroke on="f"/>
              <v:imagedata o:title=""/>
              <o:lock v:ext="edit"/>
            </v:rect>
            <v:shape id="_x0000_s1270" o:spid="_x0000_s1270" o:spt="75" type="#_x0000_t75" style="position:absolute;left:34;top:29;height:301;width:1651;" filled="f" stroked="f" coordsize="21600,21600">
              <v:path/>
              <v:fill on="f" focussize="0,0"/>
              <v:stroke on="f"/>
              <v:imagedata r:id="rId676" o:title=""/>
              <o:lock v:ext="edit" aspectratio="t"/>
            </v:shape>
            <v:shape id="_x0000_s1271" o:spid="_x0000_s1271" o:spt="202" type="#_x0000_t202" style="position:absolute;left:24;top:141;height:355;width:1581;" filled="f" stroked="f" coordsize="21600,21600">
              <v:path/>
              <v:fill on="f" focussize="0,0"/>
              <v:stroke on="f"/>
              <v:imagedata o:title=""/>
              <o:lock v:ext="edit" aspectratio="f"/>
              <v:textbox inset="0mm,0mm,0mm,0mm">
                <w:txbxContent>
                  <w:p w14:paraId="2803DBDB">
                    <w:pPr>
                      <w:spacing w:before="20" w:line="194" w:lineRule="auto"/>
                      <w:ind w:left="20" w:right="20" w:firstLine="720"/>
                      <w:rPr>
                        <w:rFonts w:ascii="宋体" w:hAnsi="宋体" w:eastAsia="宋体" w:cs="宋体"/>
                        <w:sz w:val="15"/>
                        <w:szCs w:val="15"/>
                      </w:rPr>
                    </w:pPr>
                    <w:r>
                      <w:rPr>
                        <w:rFonts w:ascii="宋体" w:hAnsi="宋体" w:eastAsia="宋体" w:cs="宋体"/>
                        <w:spacing w:val="-7"/>
                        <w:sz w:val="15"/>
                        <w:szCs w:val="15"/>
                      </w:rPr>
                      <w:t>10</w:t>
                    </w:r>
                    <w:r>
                      <w:rPr>
                        <w:rFonts w:ascii="宋体" w:hAnsi="宋体" w:eastAsia="宋体" w:cs="宋体"/>
                        <w:spacing w:val="3"/>
                        <w:sz w:val="15"/>
                        <w:szCs w:val="15"/>
                      </w:rPr>
                      <w:t xml:space="preserve">       </w:t>
                    </w:r>
                    <w:r>
                      <w:rPr>
                        <w:rFonts w:ascii="宋体" w:hAnsi="宋体" w:eastAsia="宋体" w:cs="宋体"/>
                        <w:spacing w:val="-7"/>
                        <w:sz w:val="15"/>
                        <w:szCs w:val="15"/>
                      </w:rPr>
                      <w:t>50</w:t>
                    </w:r>
                    <w:r>
                      <w:rPr>
                        <w:rFonts w:ascii="宋体" w:hAnsi="宋体" w:eastAsia="宋体" w:cs="宋体"/>
                        <w:spacing w:val="2"/>
                        <w:sz w:val="15"/>
                        <w:szCs w:val="15"/>
                      </w:rPr>
                      <w:t xml:space="preserve"> </w:t>
                    </w:r>
                    <w:r>
                      <w:rPr>
                        <w:rFonts w:ascii="宋体" w:hAnsi="宋体" w:eastAsia="宋体" w:cs="宋体"/>
                        <w:spacing w:val="-2"/>
                        <w:sz w:val="15"/>
                        <w:szCs w:val="15"/>
                      </w:rPr>
                      <w:t>对照组</w:t>
                    </w:r>
                  </w:p>
                </w:txbxContent>
              </v:textbox>
            </v:shape>
            <v:shape id="_x0000_s1272" o:spid="_x0000_s1272" style="position:absolute;left:0;top:0;height:500;width:10;" filled="f" stroked="t" coordsize="10,500" path="m5,0l5,499e">
              <v:fill on="f" focussize="0,0"/>
              <v:stroke weight="0.5pt" color="#000000" miterlimit="10" joinstyle="miter"/>
              <v:imagedata o:title=""/>
              <o:lock v:ext="edit"/>
            </v:shape>
          </v:group>
        </w:pict>
      </w:r>
      <w:r>
        <w:rPr>
          <w:position w:val="-9"/>
        </w:rPr>
        <w:pict>
          <v:shape id="_x0000_s1273" o:spid="_x0000_s1273" o:spt="202" type="#_x0000_t202" style="height:25pt;width:94.55pt;" fillcolor="#FFFFFF" filled="t" stroked="f" coordsize="21600,21600">
            <v:path/>
            <v:fill on="t" focussize="0,0"/>
            <v:stroke on="f"/>
            <v:imagedata o:title=""/>
            <o:lock v:ext="edit" aspectratio="f"/>
            <v:textbox inset="0mm,0mm,0mm,0mm">
              <w:txbxContent>
                <w:p w14:paraId="00DE8FC4">
                  <w:pPr>
                    <w:spacing w:before="190" w:line="239" w:lineRule="auto"/>
                    <w:ind w:left="260"/>
                    <w:rPr>
                      <w:rFonts w:ascii="宋体" w:hAnsi="宋体" w:eastAsia="宋体" w:cs="宋体"/>
                      <w:sz w:val="15"/>
                      <w:szCs w:val="15"/>
                    </w:rPr>
                  </w:pPr>
                  <w:r>
                    <w:rPr>
                      <w:rFonts w:ascii="宋体" w:hAnsi="宋体" w:eastAsia="宋体" w:cs="宋体"/>
                      <w:spacing w:val="-2"/>
                      <w:sz w:val="15"/>
                      <w:szCs w:val="15"/>
                    </w:rPr>
                    <w:t>0.02</w:t>
                  </w:r>
                </w:p>
              </w:txbxContent>
            </v:textbox>
            <w10:wrap type="none"/>
            <w10:anchorlock/>
          </v:shape>
        </w:pict>
      </w:r>
    </w:p>
    <w:p w14:paraId="0DDB660C">
      <w:pPr>
        <w:spacing w:line="500" w:lineRule="exact"/>
        <w:sectPr>
          <w:type w:val="continuous"/>
          <w:pgSz w:w="11900" w:h="16820"/>
          <w:pgMar w:top="400" w:right="903" w:bottom="865" w:left="1480" w:header="0" w:footer="703" w:gutter="0"/>
          <w:cols w:equalWidth="0" w:num="2">
            <w:col w:w="4169" w:space="91"/>
            <w:col w:w="5257"/>
          </w:cols>
        </w:sectPr>
      </w:pPr>
    </w:p>
    <w:p w14:paraId="5B29E4B2">
      <w:pPr>
        <w:pStyle w:val="2"/>
        <w:spacing w:before="108" w:line="221" w:lineRule="auto"/>
        <w:ind w:left="2219"/>
        <w:rPr>
          <w:sz w:val="18"/>
          <w:szCs w:val="18"/>
        </w:rPr>
      </w:pPr>
      <w:r>
        <w:rPr>
          <w:spacing w:val="8"/>
          <w:sz w:val="18"/>
          <w:szCs w:val="18"/>
        </w:rPr>
        <w:t>图18-5</w:t>
      </w:r>
      <w:r>
        <w:rPr>
          <w:sz w:val="18"/>
          <w:szCs w:val="18"/>
        </w:rPr>
        <w:t xml:space="preserve">  </w:t>
      </w:r>
      <w:r>
        <w:rPr>
          <w:spacing w:val="8"/>
          <w:sz w:val="18"/>
          <w:szCs w:val="18"/>
        </w:rPr>
        <w:t>幽门螺杆菌根除治疗对胃癌发生影</w:t>
      </w:r>
      <w:r>
        <w:rPr>
          <w:spacing w:val="7"/>
          <w:sz w:val="18"/>
          <w:szCs w:val="18"/>
        </w:rPr>
        <w:t>响的森林图</w:t>
      </w:r>
    </w:p>
    <w:p w14:paraId="6D3757AB">
      <w:pPr>
        <w:spacing w:line="410" w:lineRule="auto"/>
        <w:rPr>
          <w:rFonts w:ascii="Arial"/>
          <w:sz w:val="21"/>
        </w:rPr>
      </w:pPr>
    </w:p>
    <w:p w14:paraId="5A7C65D8">
      <w:pPr>
        <w:spacing w:before="62" w:line="221" w:lineRule="auto"/>
        <w:ind w:left="1899"/>
        <w:rPr>
          <w:rFonts w:ascii="宋体" w:hAnsi="宋体" w:eastAsia="宋体" w:cs="宋体"/>
          <w:sz w:val="19"/>
          <w:szCs w:val="19"/>
        </w:rPr>
      </w:pPr>
      <w:r>
        <w:rPr>
          <w:rFonts w:ascii="宋体" w:hAnsi="宋体" w:eastAsia="宋体" w:cs="宋体"/>
          <w:spacing w:val="1"/>
          <w:sz w:val="19"/>
          <w:szCs w:val="19"/>
        </w:rPr>
        <w:t>表18-</w:t>
      </w:r>
      <w:r>
        <w:rPr>
          <w:rFonts w:ascii="宋体" w:hAnsi="宋体" w:eastAsia="宋体" w:cs="宋体"/>
          <w:spacing w:val="22"/>
          <w:sz w:val="19"/>
          <w:szCs w:val="19"/>
        </w:rPr>
        <w:t xml:space="preserve">    </w:t>
      </w:r>
      <w:r>
        <w:rPr>
          <w:rFonts w:ascii="宋体" w:hAnsi="宋体" w:eastAsia="宋体" w:cs="宋体"/>
          <w:spacing w:val="1"/>
          <w:sz w:val="19"/>
          <w:szCs w:val="19"/>
        </w:rPr>
        <w:t>6系统综述和</w:t>
      </w:r>
      <w:r>
        <w:rPr>
          <w:rFonts w:ascii="宋体" w:hAnsi="宋体" w:eastAsia="宋体" w:cs="宋体"/>
          <w:sz w:val="19"/>
          <w:szCs w:val="19"/>
        </w:rPr>
        <w:t>Meta</w:t>
      </w:r>
      <w:r>
        <w:rPr>
          <w:rFonts w:ascii="宋体" w:hAnsi="宋体" w:eastAsia="宋体" w:cs="宋体"/>
          <w:spacing w:val="1"/>
          <w:sz w:val="19"/>
          <w:szCs w:val="19"/>
        </w:rPr>
        <w:t>分析优先报告条目(</w:t>
      </w:r>
      <w:r>
        <w:rPr>
          <w:rFonts w:ascii="宋体" w:hAnsi="宋体" w:eastAsia="宋体" w:cs="宋体"/>
          <w:sz w:val="19"/>
          <w:szCs w:val="19"/>
        </w:rPr>
        <w:t>PRISMA</w:t>
      </w:r>
      <w:r>
        <w:rPr>
          <w:rFonts w:ascii="宋体" w:hAnsi="宋体" w:eastAsia="宋体" w:cs="宋体"/>
          <w:spacing w:val="1"/>
          <w:sz w:val="19"/>
          <w:szCs w:val="19"/>
        </w:rPr>
        <w:t>)</w:t>
      </w:r>
    </w:p>
    <w:p w14:paraId="7637C0B9">
      <w:pPr>
        <w:spacing w:line="128" w:lineRule="auto"/>
        <w:rPr>
          <w:rFonts w:ascii="Arial"/>
          <w:sz w:val="2"/>
        </w:rPr>
      </w:pPr>
    </w:p>
    <w:tbl>
      <w:tblPr>
        <w:tblStyle w:val="5"/>
        <w:tblW w:w="8942"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0" w:type="dxa"/>
          <w:left w:w="0" w:type="dxa"/>
          <w:bottom w:w="0" w:type="dxa"/>
          <w:right w:w="0" w:type="dxa"/>
        </w:tblCellMar>
      </w:tblPr>
      <w:tblGrid>
        <w:gridCol w:w="1647"/>
        <w:gridCol w:w="888"/>
        <w:gridCol w:w="6407"/>
      </w:tblGrid>
      <w:tr w14:paraId="352FFE76">
        <w:trPr>
          <w:trHeight w:val="400" w:hRule="atLeast"/>
        </w:trPr>
        <w:tc>
          <w:tcPr>
            <w:tcW w:w="1647" w:type="dxa"/>
            <w:tcBorders>
              <w:top w:val="single" w:color="000000" w:sz="2" w:space="0"/>
              <w:bottom w:val="single" w:color="000000" w:sz="2" w:space="0"/>
            </w:tcBorders>
            <w:vAlign w:val="top"/>
          </w:tcPr>
          <w:p w14:paraId="554074D7">
            <w:pPr>
              <w:pStyle w:val="6"/>
              <w:spacing w:before="106" w:line="219" w:lineRule="auto"/>
              <w:ind w:left="270"/>
              <w:rPr>
                <w:sz w:val="19"/>
                <w:szCs w:val="19"/>
              </w:rPr>
            </w:pPr>
            <w:r>
              <w:rPr>
                <w:spacing w:val="2"/>
                <w:sz w:val="19"/>
                <w:szCs w:val="19"/>
              </w:rPr>
              <w:t>章节主题</w:t>
            </w:r>
          </w:p>
        </w:tc>
        <w:tc>
          <w:tcPr>
            <w:tcW w:w="888" w:type="dxa"/>
            <w:tcBorders>
              <w:top w:val="single" w:color="000000" w:sz="2" w:space="0"/>
              <w:bottom w:val="single" w:color="000000" w:sz="2" w:space="0"/>
            </w:tcBorders>
            <w:vAlign w:val="top"/>
          </w:tcPr>
          <w:p w14:paraId="12085E7E">
            <w:pPr>
              <w:pStyle w:val="6"/>
              <w:spacing w:before="108" w:line="219" w:lineRule="auto"/>
              <w:ind w:left="252"/>
              <w:rPr>
                <w:sz w:val="19"/>
                <w:szCs w:val="19"/>
              </w:rPr>
            </w:pPr>
            <w:r>
              <w:rPr>
                <w:spacing w:val="-5"/>
                <w:sz w:val="19"/>
                <w:szCs w:val="19"/>
              </w:rPr>
              <w:t>条</w:t>
            </w:r>
            <w:r>
              <w:rPr>
                <w:spacing w:val="-6"/>
                <w:sz w:val="19"/>
                <w:szCs w:val="19"/>
              </w:rPr>
              <w:t xml:space="preserve"> </w:t>
            </w:r>
            <w:r>
              <w:rPr>
                <w:spacing w:val="-5"/>
                <w:sz w:val="19"/>
                <w:szCs w:val="19"/>
              </w:rPr>
              <w:t>目</w:t>
            </w:r>
          </w:p>
        </w:tc>
        <w:tc>
          <w:tcPr>
            <w:tcW w:w="6407" w:type="dxa"/>
            <w:tcBorders>
              <w:top w:val="single" w:color="000000" w:sz="2" w:space="0"/>
              <w:bottom w:val="single" w:color="000000" w:sz="2" w:space="0"/>
            </w:tcBorders>
            <w:vAlign w:val="top"/>
          </w:tcPr>
          <w:p w14:paraId="2C1C72AD">
            <w:pPr>
              <w:pStyle w:val="6"/>
              <w:spacing w:before="108" w:line="219" w:lineRule="auto"/>
              <w:ind w:left="284"/>
              <w:rPr>
                <w:sz w:val="19"/>
                <w:szCs w:val="19"/>
              </w:rPr>
            </w:pPr>
            <w:r>
              <w:rPr>
                <w:spacing w:val="-2"/>
                <w:sz w:val="19"/>
                <w:szCs w:val="19"/>
              </w:rPr>
              <w:t>条目清单</w:t>
            </w:r>
          </w:p>
        </w:tc>
      </w:tr>
      <w:tr w14:paraId="156427FC">
        <w:trPr>
          <w:trHeight w:val="381" w:hRule="atLeast"/>
        </w:trPr>
        <w:tc>
          <w:tcPr>
            <w:tcW w:w="1647" w:type="dxa"/>
            <w:tcBorders>
              <w:top w:val="single" w:color="000000" w:sz="2" w:space="0"/>
            </w:tcBorders>
            <w:vAlign w:val="top"/>
          </w:tcPr>
          <w:p w14:paraId="6F589C0C">
            <w:pPr>
              <w:pStyle w:val="6"/>
              <w:spacing w:before="93" w:line="220" w:lineRule="auto"/>
              <w:ind w:left="270"/>
              <w:rPr>
                <w:sz w:val="19"/>
                <w:szCs w:val="19"/>
              </w:rPr>
            </w:pPr>
            <w:r>
              <w:rPr>
                <w:spacing w:val="-3"/>
                <w:sz w:val="19"/>
                <w:szCs w:val="19"/>
              </w:rPr>
              <w:t>标题</w:t>
            </w:r>
          </w:p>
        </w:tc>
        <w:tc>
          <w:tcPr>
            <w:tcW w:w="888" w:type="dxa"/>
            <w:tcBorders>
              <w:top w:val="single" w:color="000000" w:sz="2" w:space="0"/>
            </w:tcBorders>
            <w:vAlign w:val="top"/>
          </w:tcPr>
          <w:p w14:paraId="47BE376C">
            <w:pPr>
              <w:rPr>
                <w:rFonts w:ascii="Arial"/>
                <w:sz w:val="21"/>
              </w:rPr>
            </w:pPr>
          </w:p>
        </w:tc>
        <w:tc>
          <w:tcPr>
            <w:tcW w:w="6407" w:type="dxa"/>
            <w:tcBorders>
              <w:top w:val="single" w:color="000000" w:sz="2" w:space="0"/>
            </w:tcBorders>
            <w:vAlign w:val="top"/>
          </w:tcPr>
          <w:p w14:paraId="01B9BD62">
            <w:pPr>
              <w:rPr>
                <w:rFonts w:ascii="Arial"/>
                <w:sz w:val="21"/>
              </w:rPr>
            </w:pPr>
          </w:p>
        </w:tc>
      </w:tr>
      <w:tr w14:paraId="612170F5">
        <w:trPr>
          <w:trHeight w:val="779" w:hRule="atLeast"/>
        </w:trPr>
        <w:tc>
          <w:tcPr>
            <w:tcW w:w="1647" w:type="dxa"/>
            <w:vAlign w:val="top"/>
          </w:tcPr>
          <w:p w14:paraId="16575A04">
            <w:pPr>
              <w:pStyle w:val="6"/>
              <w:spacing w:before="102" w:line="220" w:lineRule="auto"/>
              <w:ind w:left="270"/>
              <w:rPr>
                <w:sz w:val="19"/>
                <w:szCs w:val="19"/>
              </w:rPr>
            </w:pPr>
            <w:r>
              <w:rPr>
                <w:spacing w:val="-3"/>
                <w:sz w:val="19"/>
                <w:szCs w:val="19"/>
              </w:rPr>
              <w:t>标题</w:t>
            </w:r>
          </w:p>
          <w:p w14:paraId="4B0D512E">
            <w:pPr>
              <w:pStyle w:val="6"/>
              <w:spacing w:before="164" w:line="221" w:lineRule="auto"/>
              <w:ind w:left="270"/>
              <w:rPr>
                <w:sz w:val="19"/>
                <w:szCs w:val="19"/>
              </w:rPr>
            </w:pPr>
            <w:r>
              <w:rPr>
                <w:spacing w:val="-2"/>
                <w:sz w:val="19"/>
                <w:szCs w:val="19"/>
              </w:rPr>
              <w:t>摘要</w:t>
            </w:r>
          </w:p>
        </w:tc>
        <w:tc>
          <w:tcPr>
            <w:tcW w:w="888" w:type="dxa"/>
            <w:vAlign w:val="top"/>
          </w:tcPr>
          <w:p w14:paraId="2573C790">
            <w:pPr>
              <w:pStyle w:val="6"/>
              <w:spacing w:before="120" w:line="241" w:lineRule="auto"/>
              <w:ind w:left="252"/>
              <w:rPr>
                <w:sz w:val="19"/>
                <w:szCs w:val="19"/>
              </w:rPr>
            </w:pPr>
            <w:r>
              <w:rPr>
                <w:sz w:val="19"/>
                <w:szCs w:val="19"/>
              </w:rPr>
              <w:t>1</w:t>
            </w:r>
          </w:p>
        </w:tc>
        <w:tc>
          <w:tcPr>
            <w:tcW w:w="6407" w:type="dxa"/>
            <w:vAlign w:val="top"/>
          </w:tcPr>
          <w:p w14:paraId="37C340BF">
            <w:pPr>
              <w:pStyle w:val="6"/>
              <w:spacing w:before="100" w:line="219" w:lineRule="auto"/>
              <w:ind w:left="284"/>
              <w:rPr>
                <w:sz w:val="19"/>
                <w:szCs w:val="19"/>
              </w:rPr>
            </w:pPr>
            <w:r>
              <w:rPr>
                <w:sz w:val="19"/>
                <w:szCs w:val="19"/>
              </w:rPr>
              <w:t>明确本研究为系统综述</w:t>
            </w:r>
          </w:p>
        </w:tc>
      </w:tr>
      <w:tr w14:paraId="4DF1D2FE">
        <w:trPr>
          <w:trHeight w:val="334" w:hRule="atLeast"/>
        </w:trPr>
        <w:tc>
          <w:tcPr>
            <w:tcW w:w="1647" w:type="dxa"/>
            <w:vAlign w:val="top"/>
          </w:tcPr>
          <w:p w14:paraId="31F5A8B8">
            <w:pPr>
              <w:rPr>
                <w:rFonts w:ascii="Arial"/>
                <w:sz w:val="21"/>
              </w:rPr>
            </w:pPr>
          </w:p>
        </w:tc>
        <w:tc>
          <w:tcPr>
            <w:tcW w:w="888" w:type="dxa"/>
            <w:vAlign w:val="top"/>
          </w:tcPr>
          <w:p w14:paraId="12292E09">
            <w:pPr>
              <w:rPr>
                <w:rFonts w:ascii="Arial"/>
                <w:sz w:val="21"/>
              </w:rPr>
            </w:pPr>
          </w:p>
        </w:tc>
        <w:tc>
          <w:tcPr>
            <w:tcW w:w="6407" w:type="dxa"/>
            <w:vAlign w:val="top"/>
          </w:tcPr>
          <w:p w14:paraId="42638F85">
            <w:pPr>
              <w:pStyle w:val="6"/>
              <w:spacing w:before="101" w:line="216" w:lineRule="auto"/>
              <w:jc w:val="right"/>
              <w:rPr>
                <w:sz w:val="19"/>
                <w:szCs w:val="19"/>
              </w:rPr>
            </w:pPr>
            <w:r>
              <w:rPr>
                <w:spacing w:val="-4"/>
                <w:sz w:val="19"/>
                <w:szCs w:val="19"/>
              </w:rPr>
              <w:t>提供结构式摘要，根据具体情况应包括：背景；目的；资料来源；纳人研究</w:t>
            </w:r>
          </w:p>
        </w:tc>
      </w:tr>
      <w:tr w14:paraId="2BCA927E">
        <w:trPr>
          <w:trHeight w:val="619" w:hRule="atLeast"/>
        </w:trPr>
        <w:tc>
          <w:tcPr>
            <w:tcW w:w="1647" w:type="dxa"/>
            <w:tcBorders>
              <w:bottom w:val="single" w:color="000000" w:sz="2" w:space="0"/>
            </w:tcBorders>
            <w:vAlign w:val="top"/>
          </w:tcPr>
          <w:p w14:paraId="30BEAF01">
            <w:pPr>
              <w:pStyle w:val="6"/>
              <w:spacing w:before="49" w:line="221" w:lineRule="auto"/>
              <w:ind w:left="270"/>
              <w:rPr>
                <w:sz w:val="19"/>
                <w:szCs w:val="19"/>
              </w:rPr>
            </w:pPr>
            <w:r>
              <w:rPr>
                <w:spacing w:val="-2"/>
                <w:sz w:val="19"/>
                <w:szCs w:val="19"/>
              </w:rPr>
              <w:t>摘要</w:t>
            </w:r>
          </w:p>
        </w:tc>
        <w:tc>
          <w:tcPr>
            <w:tcW w:w="888" w:type="dxa"/>
            <w:tcBorders>
              <w:bottom w:val="single" w:color="000000" w:sz="2" w:space="0"/>
            </w:tcBorders>
            <w:vAlign w:val="top"/>
          </w:tcPr>
          <w:p w14:paraId="5F990FBF">
            <w:pPr>
              <w:pStyle w:val="6"/>
              <w:spacing w:before="67" w:line="241" w:lineRule="auto"/>
              <w:ind w:left="252"/>
              <w:rPr>
                <w:sz w:val="19"/>
                <w:szCs w:val="19"/>
              </w:rPr>
            </w:pPr>
            <w:r>
              <w:rPr>
                <w:sz w:val="19"/>
                <w:szCs w:val="19"/>
              </w:rPr>
              <w:t>2</w:t>
            </w:r>
          </w:p>
        </w:tc>
        <w:tc>
          <w:tcPr>
            <w:tcW w:w="6407" w:type="dxa"/>
            <w:tcBorders>
              <w:bottom w:val="single" w:color="000000" w:sz="2" w:space="0"/>
            </w:tcBorders>
            <w:vAlign w:val="top"/>
          </w:tcPr>
          <w:p w14:paraId="437AA281">
            <w:pPr>
              <w:pStyle w:val="6"/>
              <w:spacing w:before="47" w:line="273" w:lineRule="auto"/>
              <w:ind w:left="254"/>
              <w:rPr>
                <w:sz w:val="19"/>
                <w:szCs w:val="19"/>
              </w:rPr>
            </w:pPr>
            <w:r>
              <w:rPr>
                <w:spacing w:val="-9"/>
                <w:sz w:val="19"/>
                <w:szCs w:val="19"/>
              </w:rPr>
              <w:t>的标准；研究对象和干预措施；质量评价和数据合成的方法；结果；局</w:t>
            </w:r>
            <w:r>
              <w:rPr>
                <w:spacing w:val="-10"/>
                <w:sz w:val="19"/>
                <w:szCs w:val="19"/>
              </w:rPr>
              <w:t>限性；</w:t>
            </w:r>
            <w:r>
              <w:rPr>
                <w:sz w:val="19"/>
                <w:szCs w:val="19"/>
              </w:rPr>
              <w:t xml:space="preserve"> </w:t>
            </w:r>
            <w:r>
              <w:rPr>
                <w:spacing w:val="-2"/>
                <w:sz w:val="19"/>
                <w:szCs w:val="19"/>
              </w:rPr>
              <w:t>结论和主要发现；系统综述的注册号</w:t>
            </w:r>
          </w:p>
        </w:tc>
      </w:tr>
      <w:tr w14:paraId="0C82B481">
        <w:trPr>
          <w:trHeight w:val="1905" w:hRule="atLeast"/>
        </w:trPr>
        <w:tc>
          <w:tcPr>
            <w:tcW w:w="1647" w:type="dxa"/>
            <w:tcBorders>
              <w:top w:val="single" w:color="000000" w:sz="2" w:space="0"/>
            </w:tcBorders>
            <w:vAlign w:val="top"/>
          </w:tcPr>
          <w:p w14:paraId="35DB2731">
            <w:pPr>
              <w:pStyle w:val="6"/>
              <w:spacing w:before="91" w:line="219" w:lineRule="auto"/>
              <w:ind w:left="272"/>
              <w:rPr>
                <w:sz w:val="19"/>
                <w:szCs w:val="19"/>
              </w:rPr>
            </w:pPr>
            <w:r>
              <w:rPr>
                <w:b/>
                <w:bCs/>
                <w:spacing w:val="-5"/>
                <w:sz w:val="19"/>
                <w:szCs w:val="19"/>
              </w:rPr>
              <w:t>背景</w:t>
            </w:r>
          </w:p>
          <w:p w14:paraId="19D2FF2F">
            <w:pPr>
              <w:pStyle w:val="6"/>
              <w:spacing w:before="163" w:line="367" w:lineRule="auto"/>
              <w:ind w:left="270" w:right="606"/>
              <w:rPr>
                <w:sz w:val="19"/>
                <w:szCs w:val="19"/>
              </w:rPr>
            </w:pPr>
            <w:r>
              <w:rPr>
                <w:spacing w:val="2"/>
                <w:sz w:val="19"/>
                <w:szCs w:val="19"/>
              </w:rPr>
              <w:t>理论基础</w:t>
            </w:r>
            <w:r>
              <w:rPr>
                <w:spacing w:val="1"/>
                <w:sz w:val="19"/>
                <w:szCs w:val="19"/>
              </w:rPr>
              <w:t xml:space="preserve"> </w:t>
            </w:r>
            <w:r>
              <w:rPr>
                <w:spacing w:val="-22"/>
                <w:sz w:val="19"/>
                <w:szCs w:val="19"/>
              </w:rPr>
              <w:t>目</w:t>
            </w:r>
            <w:r>
              <w:rPr>
                <w:spacing w:val="-14"/>
                <w:sz w:val="19"/>
                <w:szCs w:val="19"/>
              </w:rPr>
              <w:t xml:space="preserve"> </w:t>
            </w:r>
            <w:r>
              <w:rPr>
                <w:spacing w:val="-22"/>
                <w:sz w:val="19"/>
                <w:szCs w:val="19"/>
              </w:rPr>
              <w:t>的</w:t>
            </w:r>
          </w:p>
          <w:p w14:paraId="4E87F521">
            <w:pPr>
              <w:pStyle w:val="6"/>
              <w:spacing w:line="220" w:lineRule="auto"/>
              <w:ind w:left="270"/>
              <w:rPr>
                <w:sz w:val="19"/>
                <w:szCs w:val="19"/>
              </w:rPr>
            </w:pPr>
            <w:r>
              <w:rPr>
                <w:spacing w:val="-3"/>
                <w:sz w:val="19"/>
                <w:szCs w:val="19"/>
              </w:rPr>
              <w:t>方法</w:t>
            </w:r>
          </w:p>
          <w:p w14:paraId="22C2CCD3">
            <w:pPr>
              <w:pStyle w:val="6"/>
              <w:spacing w:before="162" w:line="220" w:lineRule="auto"/>
              <w:ind w:left="270"/>
              <w:rPr>
                <w:sz w:val="19"/>
                <w:szCs w:val="19"/>
              </w:rPr>
            </w:pPr>
            <w:r>
              <w:rPr>
                <w:spacing w:val="-2"/>
                <w:sz w:val="19"/>
                <w:szCs w:val="19"/>
              </w:rPr>
              <w:t>纳入标准</w:t>
            </w:r>
          </w:p>
        </w:tc>
        <w:tc>
          <w:tcPr>
            <w:tcW w:w="888" w:type="dxa"/>
            <w:tcBorders>
              <w:top w:val="single" w:color="000000" w:sz="2" w:space="0"/>
            </w:tcBorders>
            <w:vAlign w:val="top"/>
          </w:tcPr>
          <w:p w14:paraId="3B7C5E2D">
            <w:pPr>
              <w:spacing w:line="428" w:lineRule="auto"/>
              <w:rPr>
                <w:rFonts w:ascii="Arial"/>
                <w:sz w:val="21"/>
              </w:rPr>
            </w:pPr>
          </w:p>
          <w:p w14:paraId="76D2E38D">
            <w:pPr>
              <w:pStyle w:val="6"/>
              <w:spacing w:before="62"/>
              <w:ind w:left="252"/>
              <w:rPr>
                <w:sz w:val="19"/>
                <w:szCs w:val="19"/>
              </w:rPr>
            </w:pPr>
            <w:r>
              <w:rPr>
                <w:sz w:val="19"/>
                <w:szCs w:val="19"/>
              </w:rPr>
              <w:t>3</w:t>
            </w:r>
          </w:p>
          <w:p w14:paraId="3A91923F">
            <w:pPr>
              <w:pStyle w:val="6"/>
              <w:spacing w:before="133" w:line="241" w:lineRule="auto"/>
              <w:ind w:left="252"/>
              <w:rPr>
                <w:sz w:val="19"/>
                <w:szCs w:val="19"/>
              </w:rPr>
            </w:pPr>
            <w:r>
              <w:rPr>
                <w:sz w:val="19"/>
                <w:szCs w:val="19"/>
              </w:rPr>
              <w:t>4</w:t>
            </w:r>
          </w:p>
          <w:p w14:paraId="139F9E4D">
            <w:pPr>
              <w:spacing w:line="456" w:lineRule="auto"/>
              <w:rPr>
                <w:rFonts w:ascii="Arial"/>
                <w:sz w:val="21"/>
              </w:rPr>
            </w:pPr>
          </w:p>
          <w:p w14:paraId="38D16AA4">
            <w:pPr>
              <w:pStyle w:val="6"/>
              <w:spacing w:before="62"/>
              <w:ind w:left="252"/>
              <w:rPr>
                <w:sz w:val="19"/>
                <w:szCs w:val="19"/>
              </w:rPr>
            </w:pPr>
            <w:r>
              <w:rPr>
                <w:sz w:val="19"/>
                <w:szCs w:val="19"/>
              </w:rPr>
              <w:t>5</w:t>
            </w:r>
          </w:p>
        </w:tc>
        <w:tc>
          <w:tcPr>
            <w:tcW w:w="6407" w:type="dxa"/>
            <w:tcBorders>
              <w:top w:val="single" w:color="000000" w:sz="2" w:space="0"/>
            </w:tcBorders>
            <w:vAlign w:val="top"/>
          </w:tcPr>
          <w:p w14:paraId="3BA8BA62">
            <w:pPr>
              <w:spacing w:line="409" w:lineRule="auto"/>
              <w:rPr>
                <w:rFonts w:ascii="Arial"/>
                <w:sz w:val="21"/>
              </w:rPr>
            </w:pPr>
          </w:p>
          <w:p w14:paraId="019D9252">
            <w:pPr>
              <w:pStyle w:val="6"/>
              <w:spacing w:before="61" w:line="219" w:lineRule="auto"/>
              <w:ind w:left="284"/>
              <w:rPr>
                <w:sz w:val="19"/>
                <w:szCs w:val="19"/>
              </w:rPr>
            </w:pPr>
            <w:r>
              <w:rPr>
                <w:spacing w:val="-1"/>
                <w:sz w:val="19"/>
                <w:szCs w:val="19"/>
              </w:rPr>
              <w:t>基于现有研究描述该系统综述的理论基础</w:t>
            </w:r>
          </w:p>
          <w:p w14:paraId="521D5440">
            <w:pPr>
              <w:pStyle w:val="6"/>
              <w:spacing w:before="154" w:line="219" w:lineRule="auto"/>
              <w:ind w:left="284"/>
              <w:rPr>
                <w:sz w:val="19"/>
                <w:szCs w:val="19"/>
              </w:rPr>
            </w:pPr>
            <w:r>
              <w:rPr>
                <w:sz w:val="19"/>
                <w:szCs w:val="19"/>
              </w:rPr>
              <w:t>明确陈述该系统综述的研究目的或待解决的问题</w:t>
            </w:r>
          </w:p>
          <w:p w14:paraId="742EF091">
            <w:pPr>
              <w:spacing w:line="479" w:lineRule="auto"/>
              <w:rPr>
                <w:rFonts w:ascii="Arial"/>
                <w:sz w:val="21"/>
              </w:rPr>
            </w:pPr>
          </w:p>
          <w:p w14:paraId="1AD5668A">
            <w:pPr>
              <w:pStyle w:val="6"/>
              <w:spacing w:before="62" w:line="219" w:lineRule="auto"/>
              <w:ind w:left="284"/>
              <w:rPr>
                <w:sz w:val="19"/>
                <w:szCs w:val="19"/>
              </w:rPr>
            </w:pPr>
            <w:r>
              <w:rPr>
                <w:spacing w:val="-1"/>
                <w:sz w:val="19"/>
                <w:szCs w:val="19"/>
              </w:rPr>
              <w:t>详细说明纳人和排除标准，以及在结果合并时纳人研究的分组情况</w:t>
            </w:r>
          </w:p>
        </w:tc>
      </w:tr>
      <w:tr w14:paraId="16844BEC">
        <w:trPr>
          <w:trHeight w:val="655" w:hRule="atLeast"/>
        </w:trPr>
        <w:tc>
          <w:tcPr>
            <w:tcW w:w="1647" w:type="dxa"/>
            <w:vAlign w:val="top"/>
          </w:tcPr>
          <w:p w14:paraId="662E31CD">
            <w:pPr>
              <w:pStyle w:val="6"/>
              <w:spacing w:before="249" w:line="219" w:lineRule="auto"/>
              <w:ind w:left="270"/>
              <w:rPr>
                <w:sz w:val="19"/>
                <w:szCs w:val="19"/>
              </w:rPr>
            </w:pPr>
            <w:r>
              <w:rPr>
                <w:spacing w:val="-2"/>
                <w:sz w:val="19"/>
                <w:szCs w:val="19"/>
              </w:rPr>
              <w:t>信息来源</w:t>
            </w:r>
          </w:p>
        </w:tc>
        <w:tc>
          <w:tcPr>
            <w:tcW w:w="888" w:type="dxa"/>
            <w:vAlign w:val="top"/>
          </w:tcPr>
          <w:p w14:paraId="6DF8DA6D">
            <w:pPr>
              <w:pStyle w:val="6"/>
              <w:spacing w:before="267"/>
              <w:ind w:left="252"/>
              <w:rPr>
                <w:sz w:val="19"/>
                <w:szCs w:val="19"/>
              </w:rPr>
            </w:pPr>
            <w:r>
              <w:rPr>
                <w:sz w:val="19"/>
                <w:szCs w:val="19"/>
              </w:rPr>
              <w:t>6</w:t>
            </w:r>
          </w:p>
        </w:tc>
        <w:tc>
          <w:tcPr>
            <w:tcW w:w="6407" w:type="dxa"/>
            <w:vAlign w:val="top"/>
          </w:tcPr>
          <w:p w14:paraId="345034AD">
            <w:pPr>
              <w:pStyle w:val="6"/>
              <w:spacing w:before="99" w:line="265" w:lineRule="auto"/>
              <w:ind w:left="254"/>
              <w:rPr>
                <w:sz w:val="19"/>
                <w:szCs w:val="19"/>
              </w:rPr>
            </w:pPr>
            <w:r>
              <w:rPr>
                <w:spacing w:val="-9"/>
                <w:sz w:val="19"/>
                <w:szCs w:val="19"/>
              </w:rPr>
              <w:t>详细说明获取文献的所有来源，包括所有数据库、注册平台、</w:t>
            </w:r>
            <w:r>
              <w:rPr>
                <w:spacing w:val="-10"/>
                <w:sz w:val="19"/>
                <w:szCs w:val="19"/>
              </w:rPr>
              <w:t>网站、机构、参</w:t>
            </w:r>
            <w:r>
              <w:rPr>
                <w:sz w:val="19"/>
                <w:szCs w:val="19"/>
              </w:rPr>
              <w:t xml:space="preserve"> </w:t>
            </w:r>
            <w:r>
              <w:rPr>
                <w:spacing w:val="2"/>
                <w:sz w:val="19"/>
                <w:szCs w:val="19"/>
              </w:rPr>
              <w:t>考列表以及其他检索或咨询途径。明确说明每一项来源的检索或查询日期</w:t>
            </w:r>
          </w:p>
        </w:tc>
      </w:tr>
      <w:tr w14:paraId="76DF0E62">
        <w:trPr>
          <w:trHeight w:val="654" w:hRule="atLeast"/>
        </w:trPr>
        <w:tc>
          <w:tcPr>
            <w:tcW w:w="1647" w:type="dxa"/>
            <w:vAlign w:val="top"/>
          </w:tcPr>
          <w:p w14:paraId="1A4A5E0D">
            <w:pPr>
              <w:pStyle w:val="6"/>
              <w:spacing w:before="254" w:line="219" w:lineRule="auto"/>
              <w:ind w:left="270"/>
              <w:rPr>
                <w:sz w:val="19"/>
                <w:szCs w:val="19"/>
              </w:rPr>
            </w:pPr>
            <w:r>
              <w:rPr>
                <w:spacing w:val="-2"/>
                <w:sz w:val="19"/>
                <w:szCs w:val="19"/>
              </w:rPr>
              <w:t>检索策略</w:t>
            </w:r>
          </w:p>
        </w:tc>
        <w:tc>
          <w:tcPr>
            <w:tcW w:w="888" w:type="dxa"/>
            <w:vAlign w:val="top"/>
          </w:tcPr>
          <w:p w14:paraId="6D2F0A91">
            <w:pPr>
              <w:pStyle w:val="6"/>
              <w:spacing w:before="272"/>
              <w:ind w:left="252"/>
              <w:rPr>
                <w:sz w:val="19"/>
                <w:szCs w:val="19"/>
              </w:rPr>
            </w:pPr>
            <w:r>
              <w:rPr>
                <w:sz w:val="19"/>
                <w:szCs w:val="19"/>
              </w:rPr>
              <w:t>7</w:t>
            </w:r>
          </w:p>
        </w:tc>
        <w:tc>
          <w:tcPr>
            <w:tcW w:w="6407" w:type="dxa"/>
            <w:vAlign w:val="top"/>
          </w:tcPr>
          <w:p w14:paraId="2395479F">
            <w:pPr>
              <w:pStyle w:val="6"/>
              <w:spacing w:before="94" w:line="267" w:lineRule="auto"/>
              <w:ind w:left="284" w:right="26"/>
              <w:rPr>
                <w:sz w:val="19"/>
                <w:szCs w:val="19"/>
              </w:rPr>
            </w:pPr>
            <w:r>
              <w:rPr>
                <w:sz w:val="19"/>
                <w:szCs w:val="19"/>
              </w:rPr>
              <w:t>呈现所有数据库、注册平台和网站的完整检索策略，包括用到的过滤器和</w:t>
            </w:r>
            <w:r>
              <w:rPr>
                <w:spacing w:val="14"/>
                <w:sz w:val="19"/>
                <w:szCs w:val="19"/>
              </w:rPr>
              <w:t xml:space="preserve"> </w:t>
            </w:r>
            <w:r>
              <w:rPr>
                <w:spacing w:val="2"/>
                <w:sz w:val="19"/>
                <w:szCs w:val="19"/>
              </w:rPr>
              <w:t>限制条件</w:t>
            </w:r>
          </w:p>
        </w:tc>
      </w:tr>
      <w:tr w14:paraId="08A09795">
        <w:trPr>
          <w:trHeight w:val="655" w:hRule="atLeast"/>
        </w:trPr>
        <w:tc>
          <w:tcPr>
            <w:tcW w:w="1647" w:type="dxa"/>
            <w:vAlign w:val="top"/>
          </w:tcPr>
          <w:p w14:paraId="67D3C0C0">
            <w:pPr>
              <w:pStyle w:val="6"/>
              <w:spacing w:before="238" w:line="219" w:lineRule="auto"/>
              <w:ind w:left="270"/>
              <w:rPr>
                <w:sz w:val="19"/>
                <w:szCs w:val="19"/>
              </w:rPr>
            </w:pPr>
            <w:r>
              <w:rPr>
                <w:spacing w:val="-2"/>
                <w:sz w:val="19"/>
                <w:szCs w:val="19"/>
              </w:rPr>
              <w:t>研究选择</w:t>
            </w:r>
          </w:p>
        </w:tc>
        <w:tc>
          <w:tcPr>
            <w:tcW w:w="888" w:type="dxa"/>
            <w:vAlign w:val="top"/>
          </w:tcPr>
          <w:p w14:paraId="39C5379E">
            <w:pPr>
              <w:pStyle w:val="6"/>
              <w:spacing w:before="258"/>
              <w:ind w:left="252"/>
              <w:rPr>
                <w:sz w:val="19"/>
                <w:szCs w:val="19"/>
              </w:rPr>
            </w:pPr>
            <w:r>
              <w:rPr>
                <w:sz w:val="19"/>
                <w:szCs w:val="19"/>
              </w:rPr>
              <w:t>8</w:t>
            </w:r>
          </w:p>
        </w:tc>
        <w:tc>
          <w:tcPr>
            <w:tcW w:w="6407" w:type="dxa"/>
            <w:vAlign w:val="top"/>
          </w:tcPr>
          <w:p w14:paraId="68A4A568">
            <w:pPr>
              <w:pStyle w:val="6"/>
              <w:spacing w:before="99" w:line="265" w:lineRule="auto"/>
              <w:ind w:left="294" w:right="41"/>
              <w:rPr>
                <w:sz w:val="19"/>
                <w:szCs w:val="19"/>
              </w:rPr>
            </w:pPr>
            <w:r>
              <w:rPr>
                <w:sz w:val="19"/>
                <w:szCs w:val="19"/>
              </w:rPr>
              <w:t>详细说明确定一项研究是否符合纳人标准的方法</w:t>
            </w:r>
            <w:r>
              <w:rPr>
                <w:spacing w:val="-1"/>
                <w:sz w:val="19"/>
                <w:szCs w:val="19"/>
              </w:rPr>
              <w:t>，包括每项检索记录由几</w:t>
            </w:r>
            <w:r>
              <w:rPr>
                <w:sz w:val="19"/>
                <w:szCs w:val="19"/>
              </w:rPr>
              <w:t xml:space="preserve"> </w:t>
            </w:r>
            <w:r>
              <w:rPr>
                <w:spacing w:val="1"/>
                <w:sz w:val="19"/>
                <w:szCs w:val="19"/>
              </w:rPr>
              <w:t>人进行筛选、是否独立筛选。如使用自动化</w:t>
            </w:r>
            <w:r>
              <w:rPr>
                <w:sz w:val="19"/>
                <w:szCs w:val="19"/>
              </w:rPr>
              <w:t>工具，应作详细说明</w:t>
            </w:r>
          </w:p>
        </w:tc>
      </w:tr>
      <w:tr w14:paraId="175928FF">
        <w:trPr>
          <w:trHeight w:val="650" w:hRule="atLeast"/>
        </w:trPr>
        <w:tc>
          <w:tcPr>
            <w:tcW w:w="1647" w:type="dxa"/>
            <w:vAlign w:val="top"/>
          </w:tcPr>
          <w:p w14:paraId="6B0A97D0">
            <w:pPr>
              <w:pStyle w:val="6"/>
              <w:spacing w:before="235" w:line="220" w:lineRule="auto"/>
              <w:ind w:left="270"/>
              <w:rPr>
                <w:sz w:val="19"/>
                <w:szCs w:val="19"/>
              </w:rPr>
            </w:pPr>
            <w:r>
              <w:rPr>
                <w:spacing w:val="2"/>
                <w:sz w:val="19"/>
                <w:szCs w:val="19"/>
              </w:rPr>
              <w:t>资料提取</w:t>
            </w:r>
          </w:p>
        </w:tc>
        <w:tc>
          <w:tcPr>
            <w:tcW w:w="888" w:type="dxa"/>
            <w:vAlign w:val="top"/>
          </w:tcPr>
          <w:p w14:paraId="359E775F">
            <w:pPr>
              <w:pStyle w:val="6"/>
              <w:spacing w:before="253"/>
              <w:ind w:left="252"/>
              <w:rPr>
                <w:sz w:val="19"/>
                <w:szCs w:val="19"/>
              </w:rPr>
            </w:pPr>
            <w:r>
              <w:rPr>
                <w:sz w:val="19"/>
                <w:szCs w:val="19"/>
              </w:rPr>
              <w:t>9</w:t>
            </w:r>
          </w:p>
        </w:tc>
        <w:tc>
          <w:tcPr>
            <w:tcW w:w="6407" w:type="dxa"/>
            <w:vAlign w:val="top"/>
          </w:tcPr>
          <w:p w14:paraId="1408CCCB">
            <w:pPr>
              <w:pStyle w:val="6"/>
              <w:spacing w:before="94" w:line="265" w:lineRule="auto"/>
              <w:ind w:left="294" w:right="4"/>
              <w:rPr>
                <w:sz w:val="19"/>
                <w:szCs w:val="19"/>
              </w:rPr>
            </w:pPr>
            <w:r>
              <w:rPr>
                <w:spacing w:val="-5"/>
                <w:sz w:val="19"/>
                <w:szCs w:val="19"/>
              </w:rPr>
              <w:t>详细说明数据提取的方法，包括几人提取数据，是否独立提取，以及从纳人</w:t>
            </w:r>
            <w:r>
              <w:rPr>
                <w:spacing w:val="2"/>
                <w:sz w:val="19"/>
                <w:szCs w:val="19"/>
              </w:rPr>
              <w:t xml:space="preserve"> </w:t>
            </w:r>
            <w:r>
              <w:rPr>
                <w:spacing w:val="1"/>
                <w:sz w:val="19"/>
                <w:szCs w:val="19"/>
              </w:rPr>
              <w:t>研究的作者获取或确认数据的过程。如使用</w:t>
            </w:r>
            <w:r>
              <w:rPr>
                <w:sz w:val="19"/>
                <w:szCs w:val="19"/>
              </w:rPr>
              <w:t>自动化工具，应作详细说明</w:t>
            </w:r>
          </w:p>
        </w:tc>
      </w:tr>
      <w:tr w14:paraId="14F0C998">
        <w:trPr>
          <w:trHeight w:val="1558" w:hRule="atLeast"/>
        </w:trPr>
        <w:tc>
          <w:tcPr>
            <w:tcW w:w="1647" w:type="dxa"/>
            <w:vAlign w:val="top"/>
          </w:tcPr>
          <w:p w14:paraId="1CFC6001">
            <w:pPr>
              <w:spacing w:line="301" w:lineRule="auto"/>
              <w:rPr>
                <w:rFonts w:ascii="Arial"/>
                <w:sz w:val="21"/>
              </w:rPr>
            </w:pPr>
          </w:p>
          <w:p w14:paraId="0C46F727">
            <w:pPr>
              <w:pStyle w:val="6"/>
              <w:spacing w:before="62" w:line="220" w:lineRule="auto"/>
              <w:ind w:left="270"/>
              <w:rPr>
                <w:sz w:val="19"/>
                <w:szCs w:val="19"/>
              </w:rPr>
            </w:pPr>
            <w:r>
              <w:rPr>
                <w:spacing w:val="9"/>
                <w:sz w:val="19"/>
                <w:szCs w:val="19"/>
              </w:rPr>
              <w:t>资料项目</w:t>
            </w:r>
          </w:p>
        </w:tc>
        <w:tc>
          <w:tcPr>
            <w:tcW w:w="888" w:type="dxa"/>
            <w:vAlign w:val="top"/>
          </w:tcPr>
          <w:p w14:paraId="41A0F842">
            <w:pPr>
              <w:spacing w:line="319" w:lineRule="auto"/>
              <w:rPr>
                <w:rFonts w:ascii="Arial"/>
                <w:sz w:val="21"/>
              </w:rPr>
            </w:pPr>
          </w:p>
          <w:p w14:paraId="316B9612">
            <w:pPr>
              <w:pStyle w:val="6"/>
              <w:spacing w:before="62"/>
              <w:ind w:left="252"/>
              <w:rPr>
                <w:sz w:val="19"/>
                <w:szCs w:val="19"/>
              </w:rPr>
            </w:pPr>
            <w:r>
              <w:rPr>
                <w:spacing w:val="-5"/>
                <w:sz w:val="19"/>
                <w:szCs w:val="19"/>
              </w:rPr>
              <w:t>10a</w:t>
            </w:r>
          </w:p>
          <w:p w14:paraId="5D9684FF">
            <w:pPr>
              <w:spacing w:line="468" w:lineRule="auto"/>
              <w:rPr>
                <w:rFonts w:ascii="Arial"/>
                <w:sz w:val="21"/>
              </w:rPr>
            </w:pPr>
          </w:p>
          <w:p w14:paraId="36AA85E7">
            <w:pPr>
              <w:pStyle w:val="6"/>
              <w:spacing w:before="62"/>
              <w:ind w:left="252"/>
              <w:rPr>
                <w:sz w:val="19"/>
                <w:szCs w:val="19"/>
              </w:rPr>
            </w:pPr>
            <w:r>
              <w:rPr>
                <w:spacing w:val="-5"/>
                <w:sz w:val="19"/>
                <w:szCs w:val="19"/>
              </w:rPr>
              <w:t>10b</w:t>
            </w:r>
          </w:p>
        </w:tc>
        <w:tc>
          <w:tcPr>
            <w:tcW w:w="6407" w:type="dxa"/>
            <w:vAlign w:val="top"/>
          </w:tcPr>
          <w:p w14:paraId="51590B4D">
            <w:pPr>
              <w:pStyle w:val="6"/>
              <w:spacing w:before="93" w:line="269" w:lineRule="auto"/>
              <w:ind w:left="284"/>
              <w:jc w:val="both"/>
              <w:rPr>
                <w:sz w:val="19"/>
                <w:szCs w:val="19"/>
              </w:rPr>
            </w:pPr>
            <w:r>
              <w:rPr>
                <w:spacing w:val="1"/>
                <w:sz w:val="19"/>
                <w:szCs w:val="19"/>
              </w:rPr>
              <w:t>列出并定义需要收集数据的所有结局指标。详细说明是否收集了每一项纳</w:t>
            </w:r>
            <w:r>
              <w:rPr>
                <w:spacing w:val="9"/>
                <w:sz w:val="19"/>
                <w:szCs w:val="19"/>
              </w:rPr>
              <w:t xml:space="preserve"> </w:t>
            </w:r>
            <w:r>
              <w:rPr>
                <w:spacing w:val="-2"/>
                <w:sz w:val="19"/>
                <w:szCs w:val="19"/>
              </w:rPr>
              <w:t>人研究中与各结局相关的所有信息(例如：所有效应量、随访时间点和分析</w:t>
            </w:r>
            <w:r>
              <w:rPr>
                <w:spacing w:val="7"/>
                <w:sz w:val="19"/>
                <w:szCs w:val="19"/>
              </w:rPr>
              <w:t xml:space="preserve"> </w:t>
            </w:r>
            <w:r>
              <w:rPr>
                <w:spacing w:val="-1"/>
                <w:sz w:val="19"/>
                <w:szCs w:val="19"/>
              </w:rPr>
              <w:t>结果);若没有，需说明如何决定收集结果的具体方法</w:t>
            </w:r>
          </w:p>
          <w:p w14:paraId="467AC8CB">
            <w:pPr>
              <w:pStyle w:val="6"/>
              <w:spacing w:before="90" w:line="259" w:lineRule="auto"/>
              <w:ind w:left="294" w:right="3"/>
              <w:rPr>
                <w:sz w:val="19"/>
                <w:szCs w:val="19"/>
              </w:rPr>
            </w:pPr>
            <w:r>
              <w:rPr>
                <w:spacing w:val="-2"/>
                <w:sz w:val="19"/>
                <w:szCs w:val="19"/>
              </w:rPr>
              <w:t>列出并定义提取的其他所有变量(例如，参与者和干预措施的特征，资</w:t>
            </w:r>
            <w:r>
              <w:rPr>
                <w:spacing w:val="-3"/>
                <w:sz w:val="19"/>
                <w:szCs w:val="19"/>
              </w:rPr>
              <w:t>金来</w:t>
            </w:r>
            <w:r>
              <w:rPr>
                <w:sz w:val="19"/>
                <w:szCs w:val="19"/>
              </w:rPr>
              <w:t xml:space="preserve"> </w:t>
            </w:r>
            <w:r>
              <w:rPr>
                <w:spacing w:val="-1"/>
                <w:sz w:val="19"/>
                <w:szCs w:val="19"/>
              </w:rPr>
              <w:t>源)。须对任何缺失或不明信息所作假设进行描述</w:t>
            </w:r>
          </w:p>
        </w:tc>
      </w:tr>
      <w:tr w14:paraId="054FE7D5">
        <w:trPr>
          <w:trHeight w:val="645" w:hRule="atLeast"/>
        </w:trPr>
        <w:tc>
          <w:tcPr>
            <w:tcW w:w="1647" w:type="dxa"/>
            <w:vAlign w:val="top"/>
          </w:tcPr>
          <w:p w14:paraId="7B3142E3">
            <w:pPr>
              <w:pStyle w:val="6"/>
              <w:spacing w:before="235" w:line="218" w:lineRule="auto"/>
              <w:ind w:left="270"/>
              <w:rPr>
                <w:sz w:val="19"/>
                <w:szCs w:val="19"/>
              </w:rPr>
            </w:pPr>
            <w:r>
              <w:rPr>
                <w:spacing w:val="-2"/>
                <w:sz w:val="19"/>
                <w:szCs w:val="19"/>
              </w:rPr>
              <w:t>偏倚风险评价</w:t>
            </w:r>
          </w:p>
        </w:tc>
        <w:tc>
          <w:tcPr>
            <w:tcW w:w="888" w:type="dxa"/>
            <w:vAlign w:val="top"/>
          </w:tcPr>
          <w:p w14:paraId="369E562C">
            <w:pPr>
              <w:pStyle w:val="6"/>
              <w:spacing w:before="255" w:line="241" w:lineRule="auto"/>
              <w:ind w:left="252"/>
              <w:rPr>
                <w:sz w:val="19"/>
                <w:szCs w:val="19"/>
              </w:rPr>
            </w:pPr>
            <w:r>
              <w:rPr>
                <w:spacing w:val="-6"/>
                <w:sz w:val="19"/>
                <w:szCs w:val="19"/>
              </w:rPr>
              <w:t>11</w:t>
            </w:r>
          </w:p>
        </w:tc>
        <w:tc>
          <w:tcPr>
            <w:tcW w:w="6407" w:type="dxa"/>
            <w:vAlign w:val="top"/>
          </w:tcPr>
          <w:p w14:paraId="6F6A5AD6">
            <w:pPr>
              <w:pStyle w:val="6"/>
              <w:spacing w:before="95" w:line="262" w:lineRule="auto"/>
              <w:ind w:left="294" w:right="41"/>
              <w:rPr>
                <w:sz w:val="19"/>
                <w:szCs w:val="19"/>
              </w:rPr>
            </w:pPr>
            <w:r>
              <w:rPr>
                <w:sz w:val="19"/>
                <w:szCs w:val="19"/>
              </w:rPr>
              <w:t>详细说明评价纳人研究偏倚风险的方法，包括使</w:t>
            </w:r>
            <w:r>
              <w:rPr>
                <w:spacing w:val="-1"/>
                <w:sz w:val="19"/>
                <w:szCs w:val="19"/>
              </w:rPr>
              <w:t>用评价工具的细节、评价</w:t>
            </w:r>
            <w:r>
              <w:rPr>
                <w:sz w:val="19"/>
                <w:szCs w:val="19"/>
              </w:rPr>
              <w:t xml:space="preserve"> </w:t>
            </w:r>
            <w:r>
              <w:rPr>
                <w:spacing w:val="1"/>
                <w:sz w:val="19"/>
                <w:szCs w:val="19"/>
              </w:rPr>
              <w:t>人数以及是否独立进行。如使用自动化工具</w:t>
            </w:r>
            <w:r>
              <w:rPr>
                <w:sz w:val="19"/>
                <w:szCs w:val="19"/>
              </w:rPr>
              <w:t>，应作详细说明</w:t>
            </w:r>
          </w:p>
        </w:tc>
      </w:tr>
      <w:tr w14:paraId="5260CA35">
        <w:trPr>
          <w:trHeight w:val="359" w:hRule="atLeast"/>
        </w:trPr>
        <w:tc>
          <w:tcPr>
            <w:tcW w:w="1647" w:type="dxa"/>
            <w:vAlign w:val="top"/>
          </w:tcPr>
          <w:p w14:paraId="095A681B">
            <w:pPr>
              <w:pStyle w:val="6"/>
              <w:spacing w:before="102" w:line="220" w:lineRule="auto"/>
              <w:ind w:left="270"/>
              <w:rPr>
                <w:sz w:val="19"/>
                <w:szCs w:val="19"/>
              </w:rPr>
            </w:pPr>
            <w:r>
              <w:rPr>
                <w:spacing w:val="-3"/>
                <w:sz w:val="19"/>
                <w:szCs w:val="19"/>
              </w:rPr>
              <w:t>效应指标</w:t>
            </w:r>
          </w:p>
        </w:tc>
        <w:tc>
          <w:tcPr>
            <w:tcW w:w="888" w:type="dxa"/>
            <w:vAlign w:val="top"/>
          </w:tcPr>
          <w:p w14:paraId="7DC949B8">
            <w:pPr>
              <w:pStyle w:val="6"/>
              <w:spacing w:before="120" w:line="222" w:lineRule="auto"/>
              <w:ind w:left="252"/>
              <w:rPr>
                <w:sz w:val="19"/>
                <w:szCs w:val="19"/>
              </w:rPr>
            </w:pPr>
            <w:r>
              <w:rPr>
                <w:spacing w:val="-6"/>
                <w:sz w:val="19"/>
                <w:szCs w:val="19"/>
              </w:rPr>
              <w:t>12</w:t>
            </w:r>
          </w:p>
        </w:tc>
        <w:tc>
          <w:tcPr>
            <w:tcW w:w="6407" w:type="dxa"/>
            <w:vAlign w:val="top"/>
          </w:tcPr>
          <w:p w14:paraId="08FD1396">
            <w:pPr>
              <w:pStyle w:val="6"/>
              <w:spacing w:before="101" w:line="219" w:lineRule="auto"/>
              <w:ind w:left="284"/>
              <w:rPr>
                <w:sz w:val="19"/>
                <w:szCs w:val="19"/>
              </w:rPr>
            </w:pPr>
            <w:r>
              <w:rPr>
                <w:spacing w:val="-1"/>
                <w:sz w:val="19"/>
                <w:szCs w:val="19"/>
              </w:rPr>
              <w:t>说明主要的综合结局指标，如RR、MD</w:t>
            </w:r>
          </w:p>
        </w:tc>
      </w:tr>
      <w:tr w14:paraId="3E95DEEB">
        <w:trPr>
          <w:trHeight w:val="1034" w:hRule="atLeast"/>
        </w:trPr>
        <w:tc>
          <w:tcPr>
            <w:tcW w:w="1647" w:type="dxa"/>
            <w:tcBorders>
              <w:bottom w:val="single" w:color="000000" w:sz="2" w:space="0"/>
            </w:tcBorders>
            <w:vAlign w:val="top"/>
          </w:tcPr>
          <w:p w14:paraId="63F537BC">
            <w:pPr>
              <w:pStyle w:val="6"/>
              <w:spacing w:before="243" w:line="220" w:lineRule="auto"/>
              <w:ind w:left="270"/>
              <w:rPr>
                <w:sz w:val="19"/>
                <w:szCs w:val="19"/>
              </w:rPr>
            </w:pPr>
            <w:r>
              <w:rPr>
                <w:spacing w:val="-2"/>
                <w:sz w:val="19"/>
                <w:szCs w:val="19"/>
              </w:rPr>
              <w:t>方法综合</w:t>
            </w:r>
          </w:p>
        </w:tc>
        <w:tc>
          <w:tcPr>
            <w:tcW w:w="888" w:type="dxa"/>
            <w:tcBorders>
              <w:bottom w:val="single" w:color="000000" w:sz="2" w:space="0"/>
            </w:tcBorders>
            <w:vAlign w:val="top"/>
          </w:tcPr>
          <w:p w14:paraId="5594CEC4">
            <w:pPr>
              <w:pStyle w:val="6"/>
              <w:spacing w:before="261"/>
              <w:ind w:left="252"/>
              <w:rPr>
                <w:sz w:val="19"/>
                <w:szCs w:val="19"/>
              </w:rPr>
            </w:pPr>
            <w:r>
              <w:rPr>
                <w:spacing w:val="-5"/>
                <w:sz w:val="19"/>
                <w:szCs w:val="19"/>
              </w:rPr>
              <w:t>13a</w:t>
            </w:r>
          </w:p>
          <w:p w14:paraId="64801349">
            <w:pPr>
              <w:pStyle w:val="6"/>
              <w:spacing w:before="252"/>
              <w:ind w:left="252"/>
              <w:rPr>
                <w:sz w:val="19"/>
                <w:szCs w:val="19"/>
              </w:rPr>
            </w:pPr>
            <w:r>
              <w:rPr>
                <w:spacing w:val="-5"/>
                <w:sz w:val="19"/>
                <w:szCs w:val="19"/>
              </w:rPr>
              <w:t>13b</w:t>
            </w:r>
          </w:p>
        </w:tc>
        <w:tc>
          <w:tcPr>
            <w:tcW w:w="6407" w:type="dxa"/>
            <w:tcBorders>
              <w:bottom w:val="single" w:color="000000" w:sz="2" w:space="0"/>
            </w:tcBorders>
            <w:vAlign w:val="top"/>
          </w:tcPr>
          <w:p w14:paraId="5D3BB496">
            <w:pPr>
              <w:pStyle w:val="6"/>
              <w:spacing w:before="81" w:line="274" w:lineRule="auto"/>
              <w:ind w:left="274" w:right="56"/>
              <w:rPr>
                <w:sz w:val="19"/>
                <w:szCs w:val="19"/>
              </w:rPr>
            </w:pPr>
            <w:r>
              <w:rPr>
                <w:sz w:val="19"/>
                <w:szCs w:val="19"/>
              </w:rPr>
              <w:t>描述确定结果合并时纳入研究的过程。例如，列出每个研究</w:t>
            </w:r>
            <w:r>
              <w:rPr>
                <w:spacing w:val="-1"/>
                <w:sz w:val="19"/>
                <w:szCs w:val="19"/>
              </w:rPr>
              <w:t>的干预特征，</w:t>
            </w:r>
            <w:r>
              <w:rPr>
                <w:sz w:val="19"/>
                <w:szCs w:val="19"/>
              </w:rPr>
              <w:t xml:space="preserve"> </w:t>
            </w:r>
            <w:r>
              <w:rPr>
                <w:spacing w:val="1"/>
                <w:sz w:val="19"/>
                <w:szCs w:val="19"/>
              </w:rPr>
              <w:t>并与原计划在各项数据合并时进行研究分组的情况</w:t>
            </w:r>
            <w:r>
              <w:rPr>
                <w:sz w:val="19"/>
                <w:szCs w:val="19"/>
              </w:rPr>
              <w:t>(条目5)进行比较</w:t>
            </w:r>
          </w:p>
          <w:p w14:paraId="1AEFF4B3">
            <w:pPr>
              <w:pStyle w:val="6"/>
              <w:spacing w:before="97" w:line="219" w:lineRule="auto"/>
              <w:jc w:val="right"/>
              <w:rPr>
                <w:sz w:val="19"/>
                <w:szCs w:val="19"/>
              </w:rPr>
            </w:pPr>
            <w:r>
              <w:rPr>
                <w:spacing w:val="-5"/>
                <w:sz w:val="19"/>
                <w:szCs w:val="19"/>
              </w:rPr>
              <w:t>描述准备数据呈现或合并的方法，例如，缺失合并效应量的处理或数据转换</w:t>
            </w:r>
          </w:p>
        </w:tc>
      </w:tr>
    </w:tbl>
    <w:p w14:paraId="70D0C648">
      <w:pPr>
        <w:spacing w:line="14" w:lineRule="auto"/>
        <w:rPr>
          <w:rFonts w:ascii="Arial"/>
          <w:sz w:val="2"/>
        </w:rPr>
      </w:pPr>
    </w:p>
    <w:p w14:paraId="56AFE0CA">
      <w:pPr>
        <w:spacing w:line="14" w:lineRule="auto"/>
        <w:rPr>
          <w:rFonts w:ascii="Arial" w:hAnsi="Arial" w:eastAsia="Arial" w:cs="Arial"/>
          <w:sz w:val="2"/>
          <w:szCs w:val="2"/>
        </w:rPr>
        <w:sectPr>
          <w:type w:val="continuous"/>
          <w:pgSz w:w="11900" w:h="16820"/>
          <w:pgMar w:top="400" w:right="903" w:bottom="865" w:left="1480" w:header="0" w:footer="703" w:gutter="0"/>
          <w:cols w:equalWidth="0" w:num="1">
            <w:col w:w="9517"/>
          </w:cols>
        </w:sectPr>
      </w:pPr>
    </w:p>
    <w:p w14:paraId="5E196A22">
      <w:pPr>
        <w:pStyle w:val="2"/>
        <w:spacing w:before="225" w:line="221" w:lineRule="auto"/>
        <w:ind w:left="669"/>
        <w:rPr>
          <w:sz w:val="17"/>
          <w:szCs w:val="17"/>
        </w:rPr>
      </w:pPr>
      <w:r>
        <w:rPr>
          <w:spacing w:val="2"/>
          <w:sz w:val="17"/>
          <w:szCs w:val="17"/>
        </w:rPr>
        <w:t>第十八章 循证医学与系统综述</w:t>
      </w:r>
    </w:p>
    <w:p w14:paraId="3552C72D">
      <w:pPr>
        <w:spacing w:line="275" w:lineRule="auto"/>
        <w:rPr>
          <w:rFonts w:ascii="Arial"/>
          <w:sz w:val="21"/>
        </w:rPr>
      </w:pPr>
    </w:p>
    <w:p w14:paraId="21005CDA">
      <w:pPr>
        <w:spacing w:line="276" w:lineRule="auto"/>
        <w:rPr>
          <w:rFonts w:ascii="Arial"/>
          <w:sz w:val="21"/>
        </w:rPr>
      </w:pPr>
    </w:p>
    <w:p w14:paraId="0928DCDF">
      <w:pPr>
        <w:spacing w:before="62" w:line="220" w:lineRule="auto"/>
        <w:ind w:left="3242"/>
        <w:rPr>
          <w:rFonts w:ascii="宋体" w:hAnsi="宋体" w:eastAsia="宋体" w:cs="宋体"/>
          <w:sz w:val="19"/>
          <w:szCs w:val="19"/>
        </w:rPr>
      </w:pPr>
      <w:bookmarkStart w:id="474" w:name="bookmark568"/>
      <w:bookmarkEnd w:id="474"/>
      <w:r>
        <w:rPr>
          <w:rFonts w:ascii="宋体" w:hAnsi="宋体" w:eastAsia="宋体" w:cs="宋体"/>
          <w:b/>
          <w:bCs/>
          <w:spacing w:val="-5"/>
          <w:sz w:val="19"/>
          <w:szCs w:val="19"/>
        </w:rPr>
        <w:t>续表</w:t>
      </w:r>
    </w:p>
    <w:p w14:paraId="4CDDD9A9">
      <w:pPr>
        <w:spacing w:line="134" w:lineRule="auto"/>
        <w:rPr>
          <w:rFonts w:ascii="Arial"/>
          <w:sz w:val="2"/>
        </w:rPr>
      </w:pPr>
    </w:p>
    <w:tbl>
      <w:tblPr>
        <w:tblStyle w:val="5"/>
        <w:tblW w:w="8820" w:type="dxa"/>
        <w:tblInd w:w="659"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0" w:type="dxa"/>
          <w:left w:w="0" w:type="dxa"/>
          <w:bottom w:w="0" w:type="dxa"/>
          <w:right w:w="0" w:type="dxa"/>
        </w:tblCellMar>
      </w:tblPr>
      <w:tblGrid>
        <w:gridCol w:w="1754"/>
        <w:gridCol w:w="656"/>
        <w:gridCol w:w="6410"/>
      </w:tblGrid>
      <w:tr w14:paraId="023BBFAC">
        <w:trPr>
          <w:trHeight w:val="375" w:hRule="atLeast"/>
        </w:trPr>
        <w:tc>
          <w:tcPr>
            <w:tcW w:w="2410" w:type="dxa"/>
            <w:gridSpan w:val="2"/>
            <w:tcBorders>
              <w:top w:val="single" w:color="000000" w:sz="4" w:space="0"/>
              <w:bottom w:val="single" w:color="000000" w:sz="4" w:space="0"/>
            </w:tcBorders>
            <w:vAlign w:val="top"/>
          </w:tcPr>
          <w:p w14:paraId="21C2E89C">
            <w:pPr>
              <w:pStyle w:val="6"/>
              <w:spacing w:before="92" w:line="219" w:lineRule="auto"/>
              <w:ind w:left="110"/>
              <w:rPr>
                <w:sz w:val="19"/>
                <w:szCs w:val="19"/>
              </w:rPr>
            </w:pPr>
            <w:r>
              <w:rPr>
                <w:spacing w:val="-1"/>
                <w:sz w:val="19"/>
                <w:szCs w:val="19"/>
              </w:rPr>
              <w:t>章节主题</w:t>
            </w:r>
            <w:r>
              <w:rPr>
                <w:spacing w:val="3"/>
                <w:sz w:val="19"/>
                <w:szCs w:val="19"/>
              </w:rPr>
              <w:t xml:space="preserve">          </w:t>
            </w:r>
            <w:r>
              <w:rPr>
                <w:spacing w:val="-1"/>
                <w:sz w:val="19"/>
                <w:szCs w:val="19"/>
              </w:rPr>
              <w:t>条 目</w:t>
            </w:r>
          </w:p>
        </w:tc>
        <w:tc>
          <w:tcPr>
            <w:tcW w:w="6410" w:type="dxa"/>
            <w:tcBorders>
              <w:top w:val="single" w:color="000000" w:sz="4" w:space="0"/>
              <w:bottom w:val="single" w:color="000000" w:sz="4" w:space="0"/>
            </w:tcBorders>
            <w:vAlign w:val="top"/>
          </w:tcPr>
          <w:p w14:paraId="5E83F779">
            <w:pPr>
              <w:pStyle w:val="6"/>
              <w:spacing w:before="90" w:line="219" w:lineRule="auto"/>
              <w:ind w:left="172"/>
              <w:rPr>
                <w:sz w:val="19"/>
                <w:szCs w:val="19"/>
              </w:rPr>
            </w:pPr>
            <w:r>
              <w:rPr>
                <w:b/>
                <w:bCs/>
                <w:spacing w:val="-4"/>
                <w:sz w:val="19"/>
                <w:szCs w:val="19"/>
              </w:rPr>
              <w:t>条目清单</w:t>
            </w:r>
          </w:p>
        </w:tc>
      </w:tr>
      <w:tr w14:paraId="5CA5BC8E">
        <w:trPr>
          <w:trHeight w:val="366" w:hRule="atLeast"/>
        </w:trPr>
        <w:tc>
          <w:tcPr>
            <w:tcW w:w="2410" w:type="dxa"/>
            <w:gridSpan w:val="2"/>
            <w:tcBorders>
              <w:top w:val="single" w:color="000000" w:sz="4" w:space="0"/>
            </w:tcBorders>
            <w:vAlign w:val="top"/>
          </w:tcPr>
          <w:p w14:paraId="7A82A957">
            <w:pPr>
              <w:pStyle w:val="6"/>
              <w:spacing w:before="96"/>
              <w:ind w:left="1910"/>
              <w:rPr>
                <w:sz w:val="19"/>
                <w:szCs w:val="19"/>
              </w:rPr>
            </w:pPr>
            <w:r>
              <w:rPr>
                <w:spacing w:val="-5"/>
                <w:sz w:val="19"/>
                <w:szCs w:val="19"/>
              </w:rPr>
              <w:t>13c</w:t>
            </w:r>
          </w:p>
        </w:tc>
        <w:tc>
          <w:tcPr>
            <w:tcW w:w="6410" w:type="dxa"/>
            <w:tcBorders>
              <w:top w:val="single" w:color="000000" w:sz="4" w:space="0"/>
            </w:tcBorders>
            <w:vAlign w:val="top"/>
          </w:tcPr>
          <w:p w14:paraId="1C9B6221">
            <w:pPr>
              <w:pStyle w:val="6"/>
              <w:spacing w:before="76" w:line="219" w:lineRule="auto"/>
              <w:ind w:left="170"/>
              <w:rPr>
                <w:sz w:val="19"/>
                <w:szCs w:val="19"/>
              </w:rPr>
            </w:pPr>
            <w:r>
              <w:rPr>
                <w:spacing w:val="-1"/>
                <w:sz w:val="19"/>
                <w:szCs w:val="19"/>
              </w:rPr>
              <w:t>描述对单个研究和综合结果使用的任何列表或可视化方法</w:t>
            </w:r>
          </w:p>
        </w:tc>
      </w:tr>
      <w:tr w14:paraId="04FAC965">
        <w:trPr>
          <w:trHeight w:val="664" w:hRule="atLeast"/>
        </w:trPr>
        <w:tc>
          <w:tcPr>
            <w:tcW w:w="2410" w:type="dxa"/>
            <w:gridSpan w:val="2"/>
            <w:vAlign w:val="top"/>
          </w:tcPr>
          <w:p w14:paraId="21EB2E3E">
            <w:pPr>
              <w:pStyle w:val="6"/>
              <w:spacing w:before="250"/>
              <w:ind w:left="1910"/>
              <w:rPr>
                <w:sz w:val="19"/>
                <w:szCs w:val="19"/>
              </w:rPr>
            </w:pPr>
            <w:r>
              <w:rPr>
                <w:spacing w:val="-5"/>
                <w:sz w:val="19"/>
                <w:szCs w:val="19"/>
              </w:rPr>
              <w:t>13d</w:t>
            </w:r>
          </w:p>
        </w:tc>
        <w:tc>
          <w:tcPr>
            <w:tcW w:w="6410" w:type="dxa"/>
            <w:vAlign w:val="top"/>
          </w:tcPr>
          <w:p w14:paraId="1D85885A">
            <w:pPr>
              <w:pStyle w:val="6"/>
              <w:spacing w:before="102" w:line="268" w:lineRule="auto"/>
              <w:ind w:left="270" w:right="68"/>
              <w:rPr>
                <w:sz w:val="19"/>
                <w:szCs w:val="19"/>
              </w:rPr>
            </w:pPr>
            <w:r>
              <w:rPr>
                <w:sz w:val="19"/>
                <w:szCs w:val="19"/>
              </w:rPr>
              <w:t>描述结果综合使用的所有方法并说明其合理性。若进行</w:t>
            </w:r>
            <w:r>
              <w:rPr>
                <w:spacing w:val="-1"/>
                <w:sz w:val="19"/>
                <w:szCs w:val="19"/>
              </w:rPr>
              <w:t>Meta分析，则需描</w:t>
            </w:r>
            <w:r>
              <w:rPr>
                <w:sz w:val="19"/>
                <w:szCs w:val="19"/>
              </w:rPr>
              <w:t xml:space="preserve"> 述检验统计异质性及其程度的模型或方法，</w:t>
            </w:r>
            <w:r>
              <w:rPr>
                <w:spacing w:val="-1"/>
                <w:sz w:val="19"/>
                <w:szCs w:val="19"/>
              </w:rPr>
              <w:t>以及所使用的程序包</w:t>
            </w:r>
          </w:p>
        </w:tc>
      </w:tr>
      <w:tr w14:paraId="72DF3489">
        <w:trPr>
          <w:trHeight w:val="649" w:hRule="atLeast"/>
        </w:trPr>
        <w:tc>
          <w:tcPr>
            <w:tcW w:w="2410" w:type="dxa"/>
            <w:gridSpan w:val="2"/>
            <w:vAlign w:val="top"/>
          </w:tcPr>
          <w:p w14:paraId="31186D2E">
            <w:pPr>
              <w:pStyle w:val="6"/>
              <w:spacing w:before="236"/>
              <w:ind w:left="1910"/>
              <w:rPr>
                <w:sz w:val="19"/>
                <w:szCs w:val="19"/>
              </w:rPr>
            </w:pPr>
            <w:r>
              <w:rPr>
                <w:spacing w:val="-5"/>
                <w:sz w:val="19"/>
                <w:szCs w:val="19"/>
              </w:rPr>
              <w:t>13e</w:t>
            </w:r>
          </w:p>
        </w:tc>
        <w:tc>
          <w:tcPr>
            <w:tcW w:w="6410" w:type="dxa"/>
            <w:vAlign w:val="top"/>
          </w:tcPr>
          <w:p w14:paraId="6901F456">
            <w:pPr>
              <w:pStyle w:val="6"/>
              <w:spacing w:before="97" w:line="263" w:lineRule="auto"/>
              <w:ind w:left="260" w:right="173"/>
              <w:rPr>
                <w:sz w:val="19"/>
                <w:szCs w:val="19"/>
              </w:rPr>
            </w:pPr>
            <w:r>
              <w:rPr>
                <w:sz w:val="19"/>
                <w:szCs w:val="19"/>
              </w:rPr>
              <w:t>描述用于探索可能造成研究结果间异质性原因的方法(</w:t>
            </w:r>
            <w:r>
              <w:rPr>
                <w:spacing w:val="-1"/>
                <w:sz w:val="19"/>
                <w:szCs w:val="19"/>
              </w:rPr>
              <w:t>如亚组分析、Meta</w:t>
            </w:r>
            <w:r>
              <w:rPr>
                <w:sz w:val="19"/>
                <w:szCs w:val="19"/>
              </w:rPr>
              <w:t xml:space="preserve"> </w:t>
            </w:r>
            <w:r>
              <w:rPr>
                <w:spacing w:val="15"/>
                <w:sz w:val="19"/>
                <w:szCs w:val="19"/>
              </w:rPr>
              <w:t>回归)</w:t>
            </w:r>
          </w:p>
        </w:tc>
      </w:tr>
      <w:tr w14:paraId="3408BB18">
        <w:trPr>
          <w:trHeight w:val="360" w:hRule="atLeast"/>
        </w:trPr>
        <w:tc>
          <w:tcPr>
            <w:tcW w:w="2410" w:type="dxa"/>
            <w:gridSpan w:val="2"/>
            <w:vAlign w:val="top"/>
          </w:tcPr>
          <w:p w14:paraId="18BC2B81">
            <w:pPr>
              <w:pStyle w:val="6"/>
              <w:spacing w:before="97"/>
              <w:ind w:left="1910"/>
              <w:rPr>
                <w:sz w:val="19"/>
                <w:szCs w:val="19"/>
              </w:rPr>
            </w:pPr>
            <w:r>
              <w:rPr>
                <w:spacing w:val="-5"/>
                <w:sz w:val="19"/>
                <w:szCs w:val="19"/>
              </w:rPr>
              <w:t>13f</w:t>
            </w:r>
          </w:p>
        </w:tc>
        <w:tc>
          <w:tcPr>
            <w:tcW w:w="6410" w:type="dxa"/>
            <w:vAlign w:val="top"/>
          </w:tcPr>
          <w:p w14:paraId="0EED1A7B">
            <w:pPr>
              <w:pStyle w:val="6"/>
              <w:spacing w:before="77" w:line="218" w:lineRule="auto"/>
              <w:ind w:left="170"/>
              <w:rPr>
                <w:sz w:val="19"/>
                <w:szCs w:val="19"/>
              </w:rPr>
            </w:pPr>
            <w:r>
              <w:rPr>
                <w:spacing w:val="-1"/>
                <w:sz w:val="19"/>
                <w:szCs w:val="19"/>
              </w:rPr>
              <w:t>描述用于评价综合结果稳定性的任何敏感性分析</w:t>
            </w:r>
          </w:p>
        </w:tc>
      </w:tr>
      <w:tr w14:paraId="0FDD4106">
        <w:trPr>
          <w:trHeight w:val="385" w:hRule="atLeast"/>
        </w:trPr>
        <w:tc>
          <w:tcPr>
            <w:tcW w:w="2410" w:type="dxa"/>
            <w:gridSpan w:val="2"/>
            <w:vAlign w:val="top"/>
          </w:tcPr>
          <w:p w14:paraId="7B4FC6AC">
            <w:pPr>
              <w:pStyle w:val="6"/>
              <w:spacing w:before="96" w:line="238" w:lineRule="auto"/>
              <w:ind w:left="110"/>
              <w:rPr>
                <w:sz w:val="19"/>
                <w:szCs w:val="19"/>
              </w:rPr>
            </w:pPr>
            <w:r>
              <w:rPr>
                <w:spacing w:val="-3"/>
                <w:sz w:val="19"/>
                <w:szCs w:val="19"/>
              </w:rPr>
              <w:t>报告偏倚评价</w:t>
            </w:r>
            <w:r>
              <w:rPr>
                <w:spacing w:val="8"/>
                <w:sz w:val="19"/>
                <w:szCs w:val="19"/>
              </w:rPr>
              <w:t xml:space="preserve">       </w:t>
            </w:r>
            <w:r>
              <w:rPr>
                <w:spacing w:val="-3"/>
                <w:position w:val="-1"/>
                <w:sz w:val="19"/>
                <w:szCs w:val="19"/>
              </w:rPr>
              <w:t>14</w:t>
            </w:r>
          </w:p>
        </w:tc>
        <w:tc>
          <w:tcPr>
            <w:tcW w:w="6410" w:type="dxa"/>
            <w:vAlign w:val="top"/>
          </w:tcPr>
          <w:p w14:paraId="56BD1ACE">
            <w:pPr>
              <w:pStyle w:val="6"/>
              <w:spacing w:before="97" w:line="218" w:lineRule="auto"/>
              <w:ind w:left="170"/>
              <w:rPr>
                <w:sz w:val="19"/>
                <w:szCs w:val="19"/>
              </w:rPr>
            </w:pPr>
            <w:r>
              <w:rPr>
                <w:spacing w:val="1"/>
                <w:sz w:val="19"/>
                <w:szCs w:val="19"/>
              </w:rPr>
              <w:t>描述评价因结果综合中缺失结果造成偏倚风险的方法(由报告偏倚引起)</w:t>
            </w:r>
          </w:p>
        </w:tc>
      </w:tr>
      <w:tr w14:paraId="062711E5">
        <w:trPr>
          <w:trHeight w:val="394" w:hRule="atLeast"/>
        </w:trPr>
        <w:tc>
          <w:tcPr>
            <w:tcW w:w="2410" w:type="dxa"/>
            <w:gridSpan w:val="2"/>
            <w:tcBorders>
              <w:bottom w:val="single" w:color="000000" w:sz="4" w:space="0"/>
            </w:tcBorders>
            <w:vAlign w:val="top"/>
          </w:tcPr>
          <w:p w14:paraId="4D0FA3BC">
            <w:pPr>
              <w:pStyle w:val="6"/>
              <w:spacing w:before="102" w:line="238" w:lineRule="auto"/>
              <w:ind w:left="110"/>
              <w:rPr>
                <w:sz w:val="19"/>
                <w:szCs w:val="19"/>
              </w:rPr>
            </w:pPr>
            <w:r>
              <w:rPr>
                <w:spacing w:val="-3"/>
                <w:sz w:val="19"/>
                <w:szCs w:val="19"/>
              </w:rPr>
              <w:t>可信度评价</w:t>
            </w:r>
            <w:r>
              <w:rPr>
                <w:spacing w:val="6"/>
                <w:sz w:val="19"/>
                <w:szCs w:val="19"/>
              </w:rPr>
              <w:t xml:space="preserve">         </w:t>
            </w:r>
            <w:r>
              <w:rPr>
                <w:spacing w:val="-3"/>
                <w:position w:val="-1"/>
                <w:sz w:val="19"/>
                <w:szCs w:val="19"/>
              </w:rPr>
              <w:t>15</w:t>
            </w:r>
          </w:p>
        </w:tc>
        <w:tc>
          <w:tcPr>
            <w:tcW w:w="6410" w:type="dxa"/>
            <w:tcBorders>
              <w:bottom w:val="single" w:color="000000" w:sz="4" w:space="0"/>
            </w:tcBorders>
            <w:vAlign w:val="top"/>
          </w:tcPr>
          <w:p w14:paraId="37D66C30">
            <w:pPr>
              <w:pStyle w:val="6"/>
              <w:spacing w:before="102" w:line="218" w:lineRule="auto"/>
              <w:ind w:left="170"/>
              <w:rPr>
                <w:sz w:val="19"/>
                <w:szCs w:val="19"/>
              </w:rPr>
            </w:pPr>
            <w:r>
              <w:rPr>
                <w:spacing w:val="-1"/>
                <w:sz w:val="19"/>
                <w:szCs w:val="19"/>
              </w:rPr>
              <w:t>描述评价某结局证据体的可信度(置信度)的方法</w:t>
            </w:r>
          </w:p>
        </w:tc>
      </w:tr>
      <w:tr w14:paraId="5D13E309">
        <w:trPr>
          <w:trHeight w:val="380" w:hRule="atLeast"/>
        </w:trPr>
        <w:tc>
          <w:tcPr>
            <w:tcW w:w="2410" w:type="dxa"/>
            <w:gridSpan w:val="2"/>
            <w:tcBorders>
              <w:top w:val="single" w:color="000000" w:sz="4" w:space="0"/>
            </w:tcBorders>
            <w:vAlign w:val="top"/>
          </w:tcPr>
          <w:p w14:paraId="6B588529">
            <w:pPr>
              <w:pStyle w:val="6"/>
              <w:spacing w:before="100" w:line="220" w:lineRule="auto"/>
              <w:ind w:left="110"/>
              <w:rPr>
                <w:sz w:val="19"/>
                <w:szCs w:val="19"/>
              </w:rPr>
            </w:pPr>
            <w:r>
              <w:rPr>
                <w:spacing w:val="5"/>
                <w:sz w:val="19"/>
                <w:szCs w:val="19"/>
              </w:rPr>
              <w:t>结果</w:t>
            </w:r>
          </w:p>
        </w:tc>
        <w:tc>
          <w:tcPr>
            <w:tcW w:w="6410" w:type="dxa"/>
            <w:tcBorders>
              <w:top w:val="single" w:color="000000" w:sz="4" w:space="0"/>
            </w:tcBorders>
            <w:vAlign w:val="top"/>
          </w:tcPr>
          <w:p w14:paraId="42E9F902">
            <w:pPr>
              <w:rPr>
                <w:rFonts w:ascii="Arial"/>
                <w:sz w:val="21"/>
              </w:rPr>
            </w:pPr>
          </w:p>
        </w:tc>
      </w:tr>
      <w:tr w14:paraId="01C0A7C6">
        <w:trPr>
          <w:trHeight w:val="654" w:hRule="atLeast"/>
        </w:trPr>
        <w:tc>
          <w:tcPr>
            <w:tcW w:w="2410" w:type="dxa"/>
            <w:gridSpan w:val="2"/>
            <w:vAlign w:val="top"/>
          </w:tcPr>
          <w:p w14:paraId="638A2ED6">
            <w:pPr>
              <w:pStyle w:val="6"/>
              <w:spacing w:before="228" w:line="238" w:lineRule="auto"/>
              <w:ind w:left="110"/>
              <w:rPr>
                <w:sz w:val="19"/>
                <w:szCs w:val="19"/>
              </w:rPr>
            </w:pPr>
            <w:r>
              <w:rPr>
                <w:spacing w:val="-4"/>
                <w:sz w:val="19"/>
                <w:szCs w:val="19"/>
              </w:rPr>
              <w:t>研究选择</w:t>
            </w:r>
            <w:r>
              <w:rPr>
                <w:sz w:val="19"/>
                <w:szCs w:val="19"/>
              </w:rPr>
              <w:t xml:space="preserve">           </w:t>
            </w:r>
            <w:r>
              <w:rPr>
                <w:spacing w:val="-4"/>
                <w:position w:val="-1"/>
                <w:sz w:val="19"/>
                <w:szCs w:val="19"/>
              </w:rPr>
              <w:t>16a</w:t>
            </w:r>
          </w:p>
        </w:tc>
        <w:tc>
          <w:tcPr>
            <w:tcW w:w="6410" w:type="dxa"/>
            <w:vAlign w:val="top"/>
          </w:tcPr>
          <w:p w14:paraId="5B45E465">
            <w:pPr>
              <w:pStyle w:val="6"/>
              <w:spacing w:before="98" w:line="265" w:lineRule="auto"/>
              <w:ind w:left="250" w:right="56"/>
              <w:rPr>
                <w:sz w:val="19"/>
                <w:szCs w:val="19"/>
              </w:rPr>
            </w:pPr>
            <w:r>
              <w:rPr>
                <w:spacing w:val="1"/>
                <w:sz w:val="19"/>
                <w:szCs w:val="19"/>
              </w:rPr>
              <w:t>描述检索和研究筛选过程的结果，从检索记录数到</w:t>
            </w:r>
            <w:r>
              <w:rPr>
                <w:sz w:val="19"/>
                <w:szCs w:val="19"/>
              </w:rPr>
              <w:t xml:space="preserve">纳入研究数，最好使用 </w:t>
            </w:r>
            <w:r>
              <w:rPr>
                <w:spacing w:val="3"/>
                <w:sz w:val="19"/>
                <w:szCs w:val="19"/>
              </w:rPr>
              <w:t>流程图呈现</w:t>
            </w:r>
          </w:p>
        </w:tc>
      </w:tr>
      <w:tr w14:paraId="2A2637C0">
        <w:trPr>
          <w:trHeight w:val="368" w:hRule="atLeast"/>
        </w:trPr>
        <w:tc>
          <w:tcPr>
            <w:tcW w:w="2410" w:type="dxa"/>
            <w:gridSpan w:val="2"/>
            <w:vAlign w:val="top"/>
          </w:tcPr>
          <w:p w14:paraId="187E8C83">
            <w:pPr>
              <w:pStyle w:val="6"/>
              <w:spacing w:before="104"/>
              <w:ind w:left="1910"/>
              <w:rPr>
                <w:sz w:val="19"/>
                <w:szCs w:val="19"/>
              </w:rPr>
            </w:pPr>
            <w:r>
              <w:rPr>
                <w:spacing w:val="-5"/>
                <w:sz w:val="19"/>
                <w:szCs w:val="19"/>
              </w:rPr>
              <w:t>16b</w:t>
            </w:r>
          </w:p>
        </w:tc>
        <w:tc>
          <w:tcPr>
            <w:tcW w:w="6410" w:type="dxa"/>
            <w:vAlign w:val="top"/>
          </w:tcPr>
          <w:p w14:paraId="0D38FC86">
            <w:pPr>
              <w:pStyle w:val="6"/>
              <w:spacing w:before="84" w:line="219" w:lineRule="auto"/>
              <w:ind w:left="170"/>
              <w:rPr>
                <w:sz w:val="19"/>
                <w:szCs w:val="19"/>
              </w:rPr>
            </w:pPr>
            <w:r>
              <w:rPr>
                <w:sz w:val="19"/>
                <w:szCs w:val="19"/>
              </w:rPr>
              <w:t>引用可能符合纳入标准但被排除的研究，并说明排除原因</w:t>
            </w:r>
          </w:p>
        </w:tc>
      </w:tr>
      <w:tr w14:paraId="67EC7776">
        <w:trPr>
          <w:trHeight w:val="386" w:hRule="atLeast"/>
        </w:trPr>
        <w:tc>
          <w:tcPr>
            <w:tcW w:w="2410" w:type="dxa"/>
            <w:gridSpan w:val="2"/>
            <w:vAlign w:val="top"/>
          </w:tcPr>
          <w:p w14:paraId="018276E3">
            <w:pPr>
              <w:pStyle w:val="6"/>
              <w:spacing w:before="104"/>
              <w:ind w:left="112"/>
              <w:rPr>
                <w:sz w:val="19"/>
                <w:szCs w:val="19"/>
              </w:rPr>
            </w:pPr>
            <w:r>
              <w:rPr>
                <w:b/>
                <w:bCs/>
                <w:spacing w:val="-5"/>
                <w:sz w:val="19"/>
                <w:szCs w:val="19"/>
              </w:rPr>
              <w:t>研究特征</w:t>
            </w:r>
            <w:r>
              <w:rPr>
                <w:spacing w:val="4"/>
                <w:sz w:val="19"/>
                <w:szCs w:val="19"/>
              </w:rPr>
              <w:t xml:space="preserve">           </w:t>
            </w:r>
            <w:r>
              <w:rPr>
                <w:spacing w:val="-5"/>
                <w:position w:val="-1"/>
                <w:sz w:val="19"/>
                <w:szCs w:val="19"/>
              </w:rPr>
              <w:t>17</w:t>
            </w:r>
          </w:p>
        </w:tc>
        <w:tc>
          <w:tcPr>
            <w:tcW w:w="6410" w:type="dxa"/>
            <w:vAlign w:val="top"/>
          </w:tcPr>
          <w:p w14:paraId="1FAD12D7">
            <w:pPr>
              <w:pStyle w:val="6"/>
              <w:spacing w:before="106" w:line="218" w:lineRule="auto"/>
              <w:ind w:left="170"/>
              <w:rPr>
                <w:sz w:val="19"/>
                <w:szCs w:val="19"/>
              </w:rPr>
            </w:pPr>
            <w:r>
              <w:rPr>
                <w:sz w:val="19"/>
                <w:szCs w:val="19"/>
              </w:rPr>
              <w:t>引用每个被纳人的研究并报告其研究特征</w:t>
            </w:r>
          </w:p>
        </w:tc>
      </w:tr>
      <w:tr w14:paraId="4A297252">
        <w:trPr>
          <w:trHeight w:val="384" w:hRule="atLeast"/>
        </w:trPr>
        <w:tc>
          <w:tcPr>
            <w:tcW w:w="2410" w:type="dxa"/>
            <w:gridSpan w:val="2"/>
            <w:vAlign w:val="top"/>
          </w:tcPr>
          <w:p w14:paraId="2809F680">
            <w:pPr>
              <w:pStyle w:val="6"/>
              <w:spacing w:before="100" w:line="238" w:lineRule="auto"/>
              <w:ind w:left="110"/>
              <w:rPr>
                <w:sz w:val="19"/>
                <w:szCs w:val="19"/>
              </w:rPr>
            </w:pPr>
            <w:r>
              <w:rPr>
                <w:spacing w:val="-3"/>
                <w:sz w:val="19"/>
                <w:szCs w:val="19"/>
              </w:rPr>
              <w:t>研究偏倚风险</w:t>
            </w:r>
            <w:r>
              <w:rPr>
                <w:spacing w:val="8"/>
                <w:sz w:val="19"/>
                <w:szCs w:val="19"/>
              </w:rPr>
              <w:t xml:space="preserve">       </w:t>
            </w:r>
            <w:r>
              <w:rPr>
                <w:spacing w:val="-3"/>
                <w:position w:val="-1"/>
                <w:sz w:val="19"/>
                <w:szCs w:val="19"/>
              </w:rPr>
              <w:t>18</w:t>
            </w:r>
          </w:p>
        </w:tc>
        <w:tc>
          <w:tcPr>
            <w:tcW w:w="6410" w:type="dxa"/>
            <w:vAlign w:val="top"/>
          </w:tcPr>
          <w:p w14:paraId="1EE20A49">
            <w:pPr>
              <w:pStyle w:val="6"/>
              <w:spacing w:before="100" w:line="218" w:lineRule="auto"/>
              <w:ind w:left="170"/>
              <w:rPr>
                <w:sz w:val="19"/>
                <w:szCs w:val="19"/>
              </w:rPr>
            </w:pPr>
            <w:r>
              <w:rPr>
                <w:sz w:val="19"/>
                <w:szCs w:val="19"/>
              </w:rPr>
              <w:t>呈现每个被纳入研究的偏倚风险评价结果</w:t>
            </w:r>
          </w:p>
        </w:tc>
      </w:tr>
      <w:tr w14:paraId="4C1202A4">
        <w:trPr>
          <w:trHeight w:val="930" w:hRule="atLeast"/>
        </w:trPr>
        <w:tc>
          <w:tcPr>
            <w:tcW w:w="2410" w:type="dxa"/>
            <w:gridSpan w:val="2"/>
            <w:vAlign w:val="top"/>
          </w:tcPr>
          <w:p w14:paraId="4304F815">
            <w:pPr>
              <w:spacing w:line="313" w:lineRule="auto"/>
              <w:rPr>
                <w:rFonts w:ascii="Arial"/>
                <w:sz w:val="21"/>
              </w:rPr>
            </w:pPr>
          </w:p>
          <w:p w14:paraId="25B43F4E">
            <w:pPr>
              <w:pStyle w:val="6"/>
              <w:spacing w:before="61" w:line="238" w:lineRule="auto"/>
              <w:ind w:left="110"/>
              <w:rPr>
                <w:sz w:val="19"/>
                <w:szCs w:val="19"/>
              </w:rPr>
            </w:pPr>
            <w:r>
              <w:rPr>
                <w:sz w:val="19"/>
                <w:szCs w:val="19"/>
              </w:rPr>
              <w:t>单个研究的结果</w:t>
            </w:r>
            <w:r>
              <w:rPr>
                <w:spacing w:val="6"/>
                <w:sz w:val="19"/>
                <w:szCs w:val="19"/>
              </w:rPr>
              <w:t xml:space="preserve">     </w:t>
            </w:r>
            <w:r>
              <w:rPr>
                <w:position w:val="-1"/>
                <w:sz w:val="19"/>
                <w:szCs w:val="19"/>
              </w:rPr>
              <w:t>19</w:t>
            </w:r>
          </w:p>
        </w:tc>
        <w:tc>
          <w:tcPr>
            <w:tcW w:w="6410" w:type="dxa"/>
            <w:vAlign w:val="top"/>
          </w:tcPr>
          <w:p w14:paraId="0C89C549">
            <w:pPr>
              <w:pStyle w:val="6"/>
              <w:spacing w:before="104" w:line="264" w:lineRule="auto"/>
              <w:ind w:left="250" w:right="59"/>
              <w:jc w:val="both"/>
              <w:rPr>
                <w:sz w:val="19"/>
                <w:szCs w:val="19"/>
              </w:rPr>
            </w:pPr>
            <w:r>
              <w:rPr>
                <w:spacing w:val="1"/>
                <w:sz w:val="19"/>
                <w:szCs w:val="19"/>
              </w:rPr>
              <w:t>呈现单个研究的所有结果：(a)每组的合</w:t>
            </w:r>
            <w:r>
              <w:rPr>
                <w:sz w:val="19"/>
                <w:szCs w:val="19"/>
              </w:rPr>
              <w:t xml:space="preserve">并统计量(在适当的情况下),以及 </w:t>
            </w:r>
            <w:r>
              <w:rPr>
                <w:spacing w:val="3"/>
                <w:sz w:val="19"/>
                <w:szCs w:val="19"/>
              </w:rPr>
              <w:t>(b)效应量及其精确性(例如，置信度/可信区间),最好使用结构化</w:t>
            </w:r>
            <w:r>
              <w:rPr>
                <w:spacing w:val="2"/>
                <w:sz w:val="19"/>
                <w:szCs w:val="19"/>
              </w:rPr>
              <w:t>表格或</w:t>
            </w:r>
            <w:r>
              <w:rPr>
                <w:sz w:val="19"/>
                <w:szCs w:val="19"/>
              </w:rPr>
              <w:t xml:space="preserve"> </w:t>
            </w:r>
            <w:r>
              <w:rPr>
                <w:spacing w:val="5"/>
                <w:sz w:val="19"/>
                <w:szCs w:val="19"/>
              </w:rPr>
              <w:t>森林图</w:t>
            </w:r>
          </w:p>
        </w:tc>
      </w:tr>
      <w:tr w14:paraId="5F32C9FE">
        <w:trPr>
          <w:trHeight w:val="380" w:hRule="atLeast"/>
        </w:trPr>
        <w:tc>
          <w:tcPr>
            <w:tcW w:w="2410" w:type="dxa"/>
            <w:gridSpan w:val="2"/>
            <w:vAlign w:val="top"/>
          </w:tcPr>
          <w:p w14:paraId="01670D1E">
            <w:pPr>
              <w:pStyle w:val="6"/>
              <w:spacing w:before="95" w:line="241" w:lineRule="auto"/>
              <w:ind w:left="112"/>
              <w:rPr>
                <w:sz w:val="19"/>
                <w:szCs w:val="19"/>
              </w:rPr>
            </w:pPr>
            <w:r>
              <w:rPr>
                <w:b/>
                <w:bCs/>
                <w:spacing w:val="-4"/>
                <w:sz w:val="19"/>
                <w:szCs w:val="19"/>
              </w:rPr>
              <w:t>结果综合</w:t>
            </w:r>
            <w:r>
              <w:rPr>
                <w:sz w:val="19"/>
                <w:szCs w:val="19"/>
              </w:rPr>
              <w:t xml:space="preserve">           </w:t>
            </w:r>
            <w:r>
              <w:rPr>
                <w:spacing w:val="-4"/>
                <w:position w:val="-1"/>
                <w:sz w:val="19"/>
                <w:szCs w:val="19"/>
              </w:rPr>
              <w:t>20a</w:t>
            </w:r>
          </w:p>
        </w:tc>
        <w:tc>
          <w:tcPr>
            <w:tcW w:w="6410" w:type="dxa"/>
            <w:vAlign w:val="top"/>
          </w:tcPr>
          <w:p w14:paraId="07E211B4">
            <w:pPr>
              <w:pStyle w:val="6"/>
              <w:spacing w:before="96" w:line="219" w:lineRule="auto"/>
              <w:ind w:left="170"/>
              <w:rPr>
                <w:sz w:val="19"/>
                <w:szCs w:val="19"/>
              </w:rPr>
            </w:pPr>
            <w:r>
              <w:rPr>
                <w:spacing w:val="-1"/>
                <w:sz w:val="19"/>
                <w:szCs w:val="19"/>
              </w:rPr>
              <w:t>简要总结每项综合结果的特征及其所纳入研究的偏倚风险</w:t>
            </w:r>
          </w:p>
        </w:tc>
      </w:tr>
      <w:tr w14:paraId="2B5A98E0">
        <w:trPr>
          <w:trHeight w:val="950" w:hRule="atLeast"/>
        </w:trPr>
        <w:tc>
          <w:tcPr>
            <w:tcW w:w="2410" w:type="dxa"/>
            <w:gridSpan w:val="2"/>
            <w:vAlign w:val="top"/>
          </w:tcPr>
          <w:p w14:paraId="0F3A0CD9">
            <w:pPr>
              <w:spacing w:line="342" w:lineRule="auto"/>
              <w:rPr>
                <w:rFonts w:ascii="Arial"/>
                <w:sz w:val="21"/>
              </w:rPr>
            </w:pPr>
          </w:p>
          <w:p w14:paraId="3CDBE19F">
            <w:pPr>
              <w:pStyle w:val="6"/>
              <w:spacing w:before="62"/>
              <w:ind w:left="1910"/>
              <w:rPr>
                <w:sz w:val="19"/>
                <w:szCs w:val="19"/>
              </w:rPr>
            </w:pPr>
            <w:r>
              <w:rPr>
                <w:spacing w:val="-3"/>
                <w:sz w:val="19"/>
                <w:szCs w:val="19"/>
              </w:rPr>
              <w:t>20b</w:t>
            </w:r>
          </w:p>
        </w:tc>
        <w:tc>
          <w:tcPr>
            <w:tcW w:w="6410" w:type="dxa"/>
            <w:vAlign w:val="top"/>
          </w:tcPr>
          <w:p w14:paraId="3BAFF298">
            <w:pPr>
              <w:pStyle w:val="6"/>
              <w:spacing w:before="106" w:line="270" w:lineRule="auto"/>
              <w:ind w:left="250"/>
              <w:jc w:val="both"/>
              <w:rPr>
                <w:sz w:val="19"/>
                <w:szCs w:val="19"/>
              </w:rPr>
            </w:pPr>
            <w:r>
              <w:rPr>
                <w:spacing w:val="-1"/>
                <w:sz w:val="19"/>
                <w:szCs w:val="19"/>
              </w:rPr>
              <w:t>呈现所有统计综合的结果。若进行了Meta分析，呈现每个合并估计值及其</w:t>
            </w:r>
            <w:r>
              <w:rPr>
                <w:spacing w:val="4"/>
                <w:sz w:val="19"/>
                <w:szCs w:val="19"/>
              </w:rPr>
              <w:t xml:space="preserve">  </w:t>
            </w:r>
            <w:r>
              <w:rPr>
                <w:spacing w:val="5"/>
                <w:sz w:val="19"/>
                <w:szCs w:val="19"/>
              </w:rPr>
              <w:t>精确性(例如置信度/可信区间)和统计学异质性结果。若存在组间比较，</w:t>
            </w:r>
            <w:r>
              <w:rPr>
                <w:spacing w:val="8"/>
                <w:sz w:val="19"/>
                <w:szCs w:val="19"/>
              </w:rPr>
              <w:t xml:space="preserve"> </w:t>
            </w:r>
            <w:r>
              <w:rPr>
                <w:spacing w:val="1"/>
                <w:sz w:val="19"/>
                <w:szCs w:val="19"/>
              </w:rPr>
              <w:t>请描述效应量的方向</w:t>
            </w:r>
          </w:p>
        </w:tc>
      </w:tr>
      <w:tr w14:paraId="5D6FAEAB">
        <w:trPr>
          <w:trHeight w:val="384" w:hRule="atLeast"/>
        </w:trPr>
        <w:tc>
          <w:tcPr>
            <w:tcW w:w="2410" w:type="dxa"/>
            <w:gridSpan w:val="2"/>
            <w:vAlign w:val="top"/>
          </w:tcPr>
          <w:p w14:paraId="735881C3">
            <w:pPr>
              <w:pStyle w:val="6"/>
              <w:spacing w:before="126"/>
              <w:ind w:left="1910"/>
              <w:rPr>
                <w:sz w:val="19"/>
                <w:szCs w:val="19"/>
              </w:rPr>
            </w:pPr>
            <w:r>
              <w:rPr>
                <w:spacing w:val="-3"/>
                <w:sz w:val="19"/>
                <w:szCs w:val="19"/>
              </w:rPr>
              <w:t>20c</w:t>
            </w:r>
          </w:p>
        </w:tc>
        <w:tc>
          <w:tcPr>
            <w:tcW w:w="6410" w:type="dxa"/>
            <w:vAlign w:val="top"/>
          </w:tcPr>
          <w:p w14:paraId="09E8EA2E">
            <w:pPr>
              <w:pStyle w:val="6"/>
              <w:spacing w:before="106" w:line="219" w:lineRule="auto"/>
              <w:ind w:left="170"/>
              <w:rPr>
                <w:sz w:val="19"/>
                <w:szCs w:val="19"/>
              </w:rPr>
            </w:pPr>
            <w:r>
              <w:rPr>
                <w:sz w:val="19"/>
                <w:szCs w:val="19"/>
              </w:rPr>
              <w:t>呈现研究结果中所有可能导致异质性原因的调查结果</w:t>
            </w:r>
          </w:p>
        </w:tc>
      </w:tr>
      <w:tr w14:paraId="4FC452AD">
        <w:trPr>
          <w:trHeight w:val="380" w:hRule="atLeast"/>
        </w:trPr>
        <w:tc>
          <w:tcPr>
            <w:tcW w:w="2410" w:type="dxa"/>
            <w:gridSpan w:val="2"/>
            <w:vAlign w:val="top"/>
          </w:tcPr>
          <w:p w14:paraId="6826899C">
            <w:pPr>
              <w:pStyle w:val="6"/>
              <w:spacing w:before="122"/>
              <w:ind w:left="1910"/>
              <w:rPr>
                <w:sz w:val="19"/>
                <w:szCs w:val="19"/>
              </w:rPr>
            </w:pPr>
            <w:r>
              <w:rPr>
                <w:spacing w:val="-3"/>
                <w:sz w:val="19"/>
                <w:szCs w:val="19"/>
              </w:rPr>
              <w:t>20d</w:t>
            </w:r>
          </w:p>
        </w:tc>
        <w:tc>
          <w:tcPr>
            <w:tcW w:w="6410" w:type="dxa"/>
            <w:vAlign w:val="top"/>
          </w:tcPr>
          <w:p w14:paraId="149891D2">
            <w:pPr>
              <w:pStyle w:val="6"/>
              <w:spacing w:before="102" w:line="218" w:lineRule="auto"/>
              <w:ind w:left="170"/>
              <w:rPr>
                <w:sz w:val="19"/>
                <w:szCs w:val="19"/>
              </w:rPr>
            </w:pPr>
            <w:r>
              <w:rPr>
                <w:sz w:val="19"/>
                <w:szCs w:val="19"/>
              </w:rPr>
              <w:t>呈现所有用于评价综合结果稳定性的敏感性分析结果</w:t>
            </w:r>
          </w:p>
        </w:tc>
      </w:tr>
      <w:tr w14:paraId="4F9A2EAD">
        <w:trPr>
          <w:trHeight w:val="380" w:hRule="atLeast"/>
        </w:trPr>
        <w:tc>
          <w:tcPr>
            <w:tcW w:w="2410" w:type="dxa"/>
            <w:gridSpan w:val="2"/>
            <w:vAlign w:val="top"/>
          </w:tcPr>
          <w:p w14:paraId="6846A28D">
            <w:pPr>
              <w:pStyle w:val="6"/>
              <w:spacing w:before="102" w:line="238" w:lineRule="auto"/>
              <w:ind w:left="110"/>
              <w:rPr>
                <w:sz w:val="19"/>
                <w:szCs w:val="19"/>
              </w:rPr>
            </w:pPr>
            <w:r>
              <w:rPr>
                <w:spacing w:val="-2"/>
                <w:sz w:val="19"/>
                <w:szCs w:val="19"/>
              </w:rPr>
              <w:t>报告偏倚</w:t>
            </w:r>
            <w:r>
              <w:rPr>
                <w:spacing w:val="4"/>
                <w:sz w:val="19"/>
                <w:szCs w:val="19"/>
              </w:rPr>
              <w:t xml:space="preserve">           </w:t>
            </w:r>
            <w:r>
              <w:rPr>
                <w:spacing w:val="-2"/>
                <w:position w:val="-1"/>
                <w:sz w:val="19"/>
                <w:szCs w:val="19"/>
              </w:rPr>
              <w:t>21</w:t>
            </w:r>
          </w:p>
        </w:tc>
        <w:tc>
          <w:tcPr>
            <w:tcW w:w="6410" w:type="dxa"/>
            <w:vAlign w:val="top"/>
          </w:tcPr>
          <w:p w14:paraId="2A112178">
            <w:pPr>
              <w:pStyle w:val="6"/>
              <w:spacing w:before="102" w:line="218" w:lineRule="auto"/>
              <w:ind w:left="170"/>
              <w:rPr>
                <w:sz w:val="19"/>
                <w:szCs w:val="19"/>
              </w:rPr>
            </w:pPr>
            <w:r>
              <w:rPr>
                <w:spacing w:val="-1"/>
                <w:sz w:val="19"/>
                <w:szCs w:val="19"/>
              </w:rPr>
              <w:t>呈现每项综合由缺失结果(由报告偏倚引起)造成的偏倚风险</w:t>
            </w:r>
          </w:p>
        </w:tc>
      </w:tr>
      <w:tr w14:paraId="7BACA436">
        <w:trPr>
          <w:trHeight w:val="379" w:hRule="atLeast"/>
        </w:trPr>
        <w:tc>
          <w:tcPr>
            <w:tcW w:w="2410" w:type="dxa"/>
            <w:gridSpan w:val="2"/>
            <w:tcBorders>
              <w:bottom w:val="single" w:color="000000" w:sz="4" w:space="0"/>
            </w:tcBorders>
            <w:vAlign w:val="top"/>
          </w:tcPr>
          <w:p w14:paraId="2E9B9459">
            <w:pPr>
              <w:pStyle w:val="6"/>
              <w:spacing w:before="103" w:line="238" w:lineRule="auto"/>
              <w:ind w:left="110"/>
              <w:rPr>
                <w:sz w:val="19"/>
                <w:szCs w:val="19"/>
              </w:rPr>
            </w:pPr>
            <w:r>
              <w:rPr>
                <w:spacing w:val="-2"/>
                <w:sz w:val="19"/>
                <w:szCs w:val="19"/>
              </w:rPr>
              <w:t>证据可信度</w:t>
            </w:r>
            <w:r>
              <w:rPr>
                <w:spacing w:val="5"/>
                <w:sz w:val="19"/>
                <w:szCs w:val="19"/>
              </w:rPr>
              <w:t xml:space="preserve">         </w:t>
            </w:r>
            <w:r>
              <w:rPr>
                <w:spacing w:val="-2"/>
                <w:position w:val="-1"/>
                <w:sz w:val="19"/>
                <w:szCs w:val="19"/>
              </w:rPr>
              <w:t>22</w:t>
            </w:r>
          </w:p>
        </w:tc>
        <w:tc>
          <w:tcPr>
            <w:tcW w:w="6410" w:type="dxa"/>
            <w:tcBorders>
              <w:bottom w:val="single" w:color="000000" w:sz="4" w:space="0"/>
            </w:tcBorders>
            <w:vAlign w:val="top"/>
          </w:tcPr>
          <w:p w14:paraId="03D91027">
            <w:pPr>
              <w:pStyle w:val="6"/>
              <w:spacing w:before="102" w:line="218" w:lineRule="auto"/>
              <w:ind w:left="170"/>
              <w:rPr>
                <w:sz w:val="19"/>
                <w:szCs w:val="19"/>
              </w:rPr>
            </w:pPr>
            <w:r>
              <w:rPr>
                <w:spacing w:val="-1"/>
                <w:sz w:val="19"/>
                <w:szCs w:val="19"/>
              </w:rPr>
              <w:t>针对每个结局，呈现证据体的可信度(置信度)评价的结果</w:t>
            </w:r>
          </w:p>
        </w:tc>
      </w:tr>
      <w:tr w14:paraId="2A9570CC">
        <w:trPr>
          <w:trHeight w:val="370" w:hRule="atLeast"/>
        </w:trPr>
        <w:tc>
          <w:tcPr>
            <w:tcW w:w="2410" w:type="dxa"/>
            <w:gridSpan w:val="2"/>
            <w:tcBorders>
              <w:top w:val="single" w:color="000000" w:sz="4" w:space="0"/>
            </w:tcBorders>
            <w:vAlign w:val="top"/>
          </w:tcPr>
          <w:p w14:paraId="0DBA2694">
            <w:pPr>
              <w:pStyle w:val="6"/>
              <w:spacing w:before="95" w:line="221" w:lineRule="auto"/>
              <w:ind w:left="110"/>
              <w:rPr>
                <w:sz w:val="19"/>
                <w:szCs w:val="19"/>
              </w:rPr>
            </w:pPr>
            <w:r>
              <w:rPr>
                <w:spacing w:val="-2"/>
                <w:sz w:val="19"/>
                <w:szCs w:val="19"/>
              </w:rPr>
              <w:t>讨论</w:t>
            </w:r>
          </w:p>
        </w:tc>
        <w:tc>
          <w:tcPr>
            <w:tcW w:w="6410" w:type="dxa"/>
            <w:tcBorders>
              <w:top w:val="single" w:color="000000" w:sz="4" w:space="0"/>
            </w:tcBorders>
            <w:vAlign w:val="top"/>
          </w:tcPr>
          <w:p w14:paraId="7C3443D2">
            <w:pPr>
              <w:rPr>
                <w:rFonts w:ascii="Arial"/>
                <w:sz w:val="21"/>
              </w:rPr>
            </w:pPr>
          </w:p>
        </w:tc>
      </w:tr>
      <w:tr w14:paraId="4E158449">
        <w:trPr>
          <w:trHeight w:val="380" w:hRule="atLeast"/>
        </w:trPr>
        <w:tc>
          <w:tcPr>
            <w:tcW w:w="2410" w:type="dxa"/>
            <w:gridSpan w:val="2"/>
            <w:vAlign w:val="top"/>
          </w:tcPr>
          <w:p w14:paraId="0C19484E">
            <w:pPr>
              <w:pStyle w:val="6"/>
              <w:spacing w:before="105" w:line="238" w:lineRule="auto"/>
              <w:ind w:left="110"/>
              <w:rPr>
                <w:sz w:val="19"/>
                <w:szCs w:val="19"/>
              </w:rPr>
            </w:pPr>
            <w:r>
              <w:rPr>
                <w:spacing w:val="-3"/>
                <w:position w:val="1"/>
                <w:sz w:val="19"/>
                <w:szCs w:val="19"/>
              </w:rPr>
              <w:t>讨论</w:t>
            </w:r>
            <w:r>
              <w:rPr>
                <w:spacing w:val="7"/>
                <w:position w:val="1"/>
                <w:sz w:val="19"/>
                <w:szCs w:val="19"/>
              </w:rPr>
              <w:t xml:space="preserve">             </w:t>
            </w:r>
            <w:r>
              <w:rPr>
                <w:spacing w:val="-3"/>
                <w:sz w:val="19"/>
                <w:szCs w:val="19"/>
              </w:rPr>
              <w:t>23a</w:t>
            </w:r>
          </w:p>
        </w:tc>
        <w:tc>
          <w:tcPr>
            <w:tcW w:w="6410" w:type="dxa"/>
            <w:vAlign w:val="top"/>
          </w:tcPr>
          <w:p w14:paraId="566D48DD">
            <w:pPr>
              <w:pStyle w:val="6"/>
              <w:spacing w:before="103" w:line="219" w:lineRule="auto"/>
              <w:ind w:left="366"/>
              <w:rPr>
                <w:sz w:val="19"/>
                <w:szCs w:val="19"/>
              </w:rPr>
            </w:pPr>
            <w:r>
              <w:rPr>
                <w:spacing w:val="-1"/>
                <w:sz w:val="19"/>
                <w:szCs w:val="19"/>
              </w:rPr>
              <w:t>在其他证据背景下对结果进行简要解释</w:t>
            </w:r>
          </w:p>
        </w:tc>
      </w:tr>
      <w:tr w14:paraId="35AE7CF8">
        <w:trPr>
          <w:trHeight w:val="380" w:hRule="atLeast"/>
        </w:trPr>
        <w:tc>
          <w:tcPr>
            <w:tcW w:w="2410" w:type="dxa"/>
            <w:gridSpan w:val="2"/>
            <w:vAlign w:val="top"/>
          </w:tcPr>
          <w:p w14:paraId="2287E39B">
            <w:pPr>
              <w:pStyle w:val="6"/>
              <w:spacing w:before="124" w:line="239" w:lineRule="auto"/>
              <w:ind w:left="1809"/>
              <w:rPr>
                <w:sz w:val="19"/>
                <w:szCs w:val="19"/>
              </w:rPr>
            </w:pPr>
            <w:r>
              <w:rPr>
                <w:spacing w:val="-3"/>
                <w:sz w:val="19"/>
                <w:szCs w:val="19"/>
              </w:rPr>
              <w:t>23b</w:t>
            </w:r>
          </w:p>
        </w:tc>
        <w:tc>
          <w:tcPr>
            <w:tcW w:w="6410" w:type="dxa"/>
            <w:vAlign w:val="top"/>
          </w:tcPr>
          <w:p w14:paraId="56396AB2">
            <w:pPr>
              <w:pStyle w:val="6"/>
              <w:spacing w:before="104" w:line="219" w:lineRule="auto"/>
              <w:ind w:left="272"/>
              <w:rPr>
                <w:sz w:val="19"/>
                <w:szCs w:val="19"/>
              </w:rPr>
            </w:pPr>
            <w:r>
              <w:rPr>
                <w:spacing w:val="-1"/>
                <w:sz w:val="19"/>
                <w:szCs w:val="19"/>
              </w:rPr>
              <w:t>讨论纳入证据的任何局限性</w:t>
            </w:r>
          </w:p>
        </w:tc>
      </w:tr>
      <w:tr w14:paraId="75664848">
        <w:trPr>
          <w:trHeight w:val="384" w:hRule="atLeast"/>
        </w:trPr>
        <w:tc>
          <w:tcPr>
            <w:tcW w:w="2410" w:type="dxa"/>
            <w:gridSpan w:val="2"/>
            <w:vAlign w:val="top"/>
          </w:tcPr>
          <w:p w14:paraId="099E8C4D">
            <w:pPr>
              <w:pStyle w:val="6"/>
              <w:spacing w:before="123"/>
              <w:ind w:left="1770"/>
              <w:rPr>
                <w:sz w:val="19"/>
                <w:szCs w:val="19"/>
              </w:rPr>
            </w:pPr>
            <w:r>
              <w:rPr>
                <w:spacing w:val="-3"/>
                <w:sz w:val="19"/>
                <w:szCs w:val="19"/>
              </w:rPr>
              <w:t>23c</w:t>
            </w:r>
          </w:p>
        </w:tc>
        <w:tc>
          <w:tcPr>
            <w:tcW w:w="6410" w:type="dxa"/>
            <w:vAlign w:val="top"/>
          </w:tcPr>
          <w:p w14:paraId="6ADE43BE">
            <w:pPr>
              <w:pStyle w:val="6"/>
              <w:spacing w:before="104" w:line="219" w:lineRule="auto"/>
              <w:ind w:left="462"/>
              <w:rPr>
                <w:sz w:val="19"/>
                <w:szCs w:val="19"/>
              </w:rPr>
            </w:pPr>
            <w:r>
              <w:rPr>
                <w:spacing w:val="-1"/>
                <w:sz w:val="19"/>
                <w:szCs w:val="19"/>
              </w:rPr>
              <w:t>讨论系统综述过程中的任何局限性</w:t>
            </w:r>
          </w:p>
        </w:tc>
      </w:tr>
      <w:tr w14:paraId="00842B26">
        <w:trPr>
          <w:trHeight w:val="384" w:hRule="atLeast"/>
        </w:trPr>
        <w:tc>
          <w:tcPr>
            <w:tcW w:w="2410" w:type="dxa"/>
            <w:gridSpan w:val="2"/>
            <w:tcBorders>
              <w:bottom w:val="single" w:color="000000" w:sz="4" w:space="0"/>
            </w:tcBorders>
            <w:vAlign w:val="top"/>
          </w:tcPr>
          <w:p w14:paraId="45C51344">
            <w:pPr>
              <w:pStyle w:val="6"/>
              <w:spacing w:before="130" w:line="237" w:lineRule="auto"/>
              <w:ind w:left="1809"/>
              <w:rPr>
                <w:sz w:val="19"/>
                <w:szCs w:val="19"/>
              </w:rPr>
            </w:pPr>
            <w:r>
              <w:rPr>
                <w:spacing w:val="-3"/>
                <w:sz w:val="19"/>
                <w:szCs w:val="19"/>
              </w:rPr>
              <w:t>23d</w:t>
            </w:r>
          </w:p>
        </w:tc>
        <w:tc>
          <w:tcPr>
            <w:tcW w:w="6410" w:type="dxa"/>
            <w:tcBorders>
              <w:bottom w:val="single" w:color="000000" w:sz="4" w:space="0"/>
            </w:tcBorders>
            <w:vAlign w:val="top"/>
          </w:tcPr>
          <w:p w14:paraId="02F93401">
            <w:pPr>
              <w:pStyle w:val="6"/>
              <w:spacing w:before="109" w:line="219" w:lineRule="auto"/>
              <w:ind w:left="367"/>
              <w:rPr>
                <w:sz w:val="19"/>
                <w:szCs w:val="19"/>
              </w:rPr>
            </w:pPr>
            <w:r>
              <w:rPr>
                <w:spacing w:val="-1"/>
                <w:sz w:val="19"/>
                <w:szCs w:val="19"/>
              </w:rPr>
              <w:t>讨论结果对实践、政策和未来研究的影响</w:t>
            </w:r>
          </w:p>
        </w:tc>
      </w:tr>
      <w:tr w14:paraId="06C50303">
        <w:trPr>
          <w:trHeight w:val="2873" w:hRule="atLeast"/>
        </w:trPr>
        <w:tc>
          <w:tcPr>
            <w:tcW w:w="1754" w:type="dxa"/>
            <w:tcBorders>
              <w:top w:val="single" w:color="000000" w:sz="4" w:space="0"/>
              <w:bottom w:val="single" w:color="000000" w:sz="4" w:space="0"/>
            </w:tcBorders>
            <w:vAlign w:val="top"/>
          </w:tcPr>
          <w:p w14:paraId="3BF032D3">
            <w:pPr>
              <w:pStyle w:val="6"/>
              <w:spacing w:before="106" w:line="219" w:lineRule="auto"/>
              <w:ind w:left="110"/>
              <w:rPr>
                <w:sz w:val="19"/>
                <w:szCs w:val="19"/>
              </w:rPr>
            </w:pPr>
            <w:r>
              <w:rPr>
                <w:spacing w:val="3"/>
                <w:sz w:val="19"/>
                <w:szCs w:val="19"/>
              </w:rPr>
              <w:t>其他信息</w:t>
            </w:r>
          </w:p>
          <w:p w14:paraId="12D36FD5">
            <w:pPr>
              <w:pStyle w:val="6"/>
              <w:spacing w:before="143" w:line="219" w:lineRule="auto"/>
              <w:ind w:left="110"/>
              <w:rPr>
                <w:sz w:val="19"/>
                <w:szCs w:val="19"/>
              </w:rPr>
            </w:pPr>
            <w:r>
              <w:rPr>
                <w:spacing w:val="-2"/>
                <w:sz w:val="19"/>
                <w:szCs w:val="19"/>
              </w:rPr>
              <w:t>注册与计划书</w:t>
            </w:r>
          </w:p>
          <w:p w14:paraId="476B8950">
            <w:pPr>
              <w:spacing w:line="276" w:lineRule="auto"/>
              <w:rPr>
                <w:rFonts w:ascii="Arial"/>
                <w:sz w:val="21"/>
              </w:rPr>
            </w:pPr>
          </w:p>
          <w:p w14:paraId="5C75720D">
            <w:pPr>
              <w:spacing w:line="276" w:lineRule="auto"/>
              <w:rPr>
                <w:rFonts w:ascii="Arial"/>
                <w:sz w:val="21"/>
              </w:rPr>
            </w:pPr>
          </w:p>
          <w:p w14:paraId="1FAB779B">
            <w:pPr>
              <w:spacing w:line="277" w:lineRule="auto"/>
              <w:rPr>
                <w:rFonts w:ascii="Arial"/>
                <w:sz w:val="21"/>
              </w:rPr>
            </w:pPr>
          </w:p>
          <w:p w14:paraId="67F1832C">
            <w:pPr>
              <w:pStyle w:val="6"/>
              <w:spacing w:before="61" w:line="219" w:lineRule="auto"/>
              <w:ind w:left="110"/>
              <w:rPr>
                <w:sz w:val="19"/>
                <w:szCs w:val="19"/>
              </w:rPr>
            </w:pPr>
            <w:r>
              <w:rPr>
                <w:spacing w:val="-3"/>
                <w:sz w:val="19"/>
                <w:szCs w:val="19"/>
              </w:rPr>
              <w:t>支持</w:t>
            </w:r>
          </w:p>
          <w:p w14:paraId="7CA75FB0">
            <w:pPr>
              <w:pStyle w:val="6"/>
              <w:spacing w:before="145" w:line="221" w:lineRule="auto"/>
              <w:ind w:left="110"/>
              <w:rPr>
                <w:sz w:val="19"/>
                <w:szCs w:val="19"/>
              </w:rPr>
            </w:pPr>
            <w:r>
              <w:rPr>
                <w:spacing w:val="3"/>
                <w:sz w:val="19"/>
                <w:szCs w:val="19"/>
              </w:rPr>
              <w:t>利益冲突</w:t>
            </w:r>
          </w:p>
          <w:p w14:paraId="5ABAFEBE">
            <w:pPr>
              <w:pStyle w:val="6"/>
              <w:spacing w:before="172" w:line="234" w:lineRule="auto"/>
              <w:ind w:left="319" w:right="55"/>
              <w:rPr>
                <w:sz w:val="19"/>
                <w:szCs w:val="19"/>
              </w:rPr>
            </w:pPr>
            <w:r>
              <w:rPr>
                <w:spacing w:val="6"/>
                <w:sz w:val="19"/>
                <w:szCs w:val="19"/>
              </w:rPr>
              <w:t>数据、代码和其</w:t>
            </w:r>
            <w:r>
              <w:rPr>
                <w:spacing w:val="5"/>
                <w:sz w:val="19"/>
                <w:szCs w:val="19"/>
              </w:rPr>
              <w:t xml:space="preserve"> </w:t>
            </w:r>
            <w:r>
              <w:rPr>
                <w:spacing w:val="6"/>
                <w:sz w:val="19"/>
                <w:szCs w:val="19"/>
              </w:rPr>
              <w:t>他材料的可用性</w:t>
            </w:r>
          </w:p>
        </w:tc>
        <w:tc>
          <w:tcPr>
            <w:tcW w:w="656" w:type="dxa"/>
            <w:tcBorders>
              <w:top w:val="single" w:color="000000" w:sz="4" w:space="0"/>
              <w:bottom w:val="single" w:color="000000" w:sz="4" w:space="0"/>
            </w:tcBorders>
            <w:vAlign w:val="top"/>
          </w:tcPr>
          <w:p w14:paraId="408ACE05">
            <w:pPr>
              <w:spacing w:line="431" w:lineRule="auto"/>
              <w:rPr>
                <w:rFonts w:ascii="Arial"/>
                <w:sz w:val="21"/>
              </w:rPr>
            </w:pPr>
          </w:p>
          <w:p w14:paraId="61778D45">
            <w:pPr>
              <w:pStyle w:val="6"/>
              <w:spacing w:before="62"/>
              <w:ind w:left="55"/>
              <w:rPr>
                <w:sz w:val="19"/>
                <w:szCs w:val="19"/>
              </w:rPr>
            </w:pPr>
            <w:r>
              <w:rPr>
                <w:spacing w:val="-3"/>
                <w:sz w:val="19"/>
                <w:szCs w:val="19"/>
              </w:rPr>
              <w:t>24a</w:t>
            </w:r>
          </w:p>
          <w:p w14:paraId="17E1197A">
            <w:pPr>
              <w:pStyle w:val="6"/>
              <w:spacing w:before="112"/>
              <w:ind w:left="55"/>
              <w:rPr>
                <w:sz w:val="19"/>
                <w:szCs w:val="19"/>
              </w:rPr>
            </w:pPr>
            <w:r>
              <w:rPr>
                <w:spacing w:val="-3"/>
                <w:sz w:val="19"/>
                <w:szCs w:val="19"/>
              </w:rPr>
              <w:t>24b</w:t>
            </w:r>
          </w:p>
          <w:p w14:paraId="7BD91FAF">
            <w:pPr>
              <w:pStyle w:val="6"/>
              <w:spacing w:before="122"/>
              <w:ind w:left="55"/>
              <w:rPr>
                <w:sz w:val="19"/>
                <w:szCs w:val="19"/>
              </w:rPr>
            </w:pPr>
            <w:r>
              <w:rPr>
                <w:spacing w:val="-3"/>
                <w:sz w:val="19"/>
                <w:szCs w:val="19"/>
              </w:rPr>
              <w:t>24c</w:t>
            </w:r>
          </w:p>
          <w:p w14:paraId="38EB2666">
            <w:pPr>
              <w:pStyle w:val="6"/>
              <w:spacing w:before="143"/>
              <w:ind w:left="105"/>
              <w:rPr>
                <w:sz w:val="19"/>
                <w:szCs w:val="19"/>
              </w:rPr>
            </w:pPr>
            <w:r>
              <w:rPr>
                <w:spacing w:val="-3"/>
                <w:sz w:val="19"/>
                <w:szCs w:val="19"/>
              </w:rPr>
              <w:t>25</w:t>
            </w:r>
          </w:p>
          <w:p w14:paraId="0DCD8FBB">
            <w:pPr>
              <w:pStyle w:val="6"/>
              <w:spacing w:before="122"/>
              <w:ind w:left="206"/>
              <w:rPr>
                <w:sz w:val="19"/>
                <w:szCs w:val="19"/>
              </w:rPr>
            </w:pPr>
            <w:r>
              <w:rPr>
                <w:spacing w:val="-3"/>
                <w:sz w:val="19"/>
                <w:szCs w:val="19"/>
              </w:rPr>
              <w:t>26</w:t>
            </w:r>
          </w:p>
          <w:p w14:paraId="44E64023">
            <w:pPr>
              <w:pStyle w:val="6"/>
              <w:spacing w:before="253"/>
              <w:ind w:left="206"/>
              <w:rPr>
                <w:sz w:val="19"/>
                <w:szCs w:val="19"/>
              </w:rPr>
            </w:pPr>
            <w:r>
              <w:rPr>
                <w:spacing w:val="-3"/>
                <w:sz w:val="19"/>
                <w:szCs w:val="19"/>
              </w:rPr>
              <w:t>27</w:t>
            </w:r>
          </w:p>
        </w:tc>
        <w:tc>
          <w:tcPr>
            <w:tcW w:w="6410" w:type="dxa"/>
            <w:tcBorders>
              <w:top w:val="single" w:color="000000" w:sz="4" w:space="0"/>
              <w:bottom w:val="single" w:color="000000" w:sz="4" w:space="0"/>
            </w:tcBorders>
            <w:vAlign w:val="top"/>
          </w:tcPr>
          <w:p w14:paraId="21EAB51A">
            <w:pPr>
              <w:spacing w:line="412" w:lineRule="auto"/>
              <w:rPr>
                <w:rFonts w:ascii="Arial"/>
                <w:sz w:val="21"/>
              </w:rPr>
            </w:pPr>
          </w:p>
          <w:p w14:paraId="5BF9E813">
            <w:pPr>
              <w:pStyle w:val="6"/>
              <w:spacing w:before="62" w:line="351" w:lineRule="auto"/>
              <w:ind w:left="273" w:right="1584"/>
              <w:rPr>
                <w:sz w:val="19"/>
                <w:szCs w:val="19"/>
              </w:rPr>
            </w:pPr>
            <w:r>
              <w:rPr>
                <w:spacing w:val="-1"/>
                <w:sz w:val="19"/>
                <w:szCs w:val="19"/>
              </w:rPr>
              <w:t>提供注册信息，包括注册名称和注册号，或声明未注册</w:t>
            </w:r>
            <w:r>
              <w:rPr>
                <w:spacing w:val="14"/>
                <w:sz w:val="19"/>
                <w:szCs w:val="19"/>
              </w:rPr>
              <w:t xml:space="preserve"> </w:t>
            </w:r>
            <w:r>
              <w:rPr>
                <w:spacing w:val="-1"/>
                <w:sz w:val="19"/>
                <w:szCs w:val="19"/>
              </w:rPr>
              <w:t>提供计划书获取地址，或声明未准备计划书</w:t>
            </w:r>
          </w:p>
          <w:p w14:paraId="0C1AA200">
            <w:pPr>
              <w:pStyle w:val="6"/>
              <w:spacing w:before="6" w:line="219" w:lineRule="auto"/>
              <w:ind w:left="273"/>
              <w:rPr>
                <w:sz w:val="19"/>
                <w:szCs w:val="19"/>
              </w:rPr>
            </w:pPr>
            <w:r>
              <w:rPr>
                <w:spacing w:val="-1"/>
                <w:sz w:val="19"/>
                <w:szCs w:val="19"/>
              </w:rPr>
              <w:t>描述或解释对注册或计划书中所提供信息的任何修改</w:t>
            </w:r>
          </w:p>
          <w:p w14:paraId="54620032">
            <w:pPr>
              <w:pStyle w:val="6"/>
              <w:spacing w:before="163" w:line="355" w:lineRule="auto"/>
              <w:ind w:left="170" w:right="327" w:firstLine="200"/>
              <w:rPr>
                <w:sz w:val="19"/>
                <w:szCs w:val="19"/>
              </w:rPr>
            </w:pPr>
            <w:r>
              <w:rPr>
                <w:sz w:val="19"/>
                <w:szCs w:val="19"/>
              </w:rPr>
              <w:t>描述经济或非经济支持的来源，以及资助者或赞助商在评价中的作用</w:t>
            </w:r>
            <w:r>
              <w:rPr>
                <w:spacing w:val="11"/>
                <w:sz w:val="19"/>
                <w:szCs w:val="19"/>
              </w:rPr>
              <w:t xml:space="preserve"> </w:t>
            </w:r>
            <w:r>
              <w:rPr>
                <w:spacing w:val="1"/>
                <w:sz w:val="19"/>
                <w:szCs w:val="19"/>
              </w:rPr>
              <w:t>声明作者的任何利益冲突</w:t>
            </w:r>
          </w:p>
          <w:p w14:paraId="0F3126BE">
            <w:pPr>
              <w:pStyle w:val="6"/>
              <w:spacing w:line="261" w:lineRule="auto"/>
              <w:ind w:left="240" w:right="69"/>
              <w:rPr>
                <w:sz w:val="19"/>
                <w:szCs w:val="19"/>
              </w:rPr>
            </w:pPr>
            <w:r>
              <w:rPr>
                <w:spacing w:val="1"/>
                <w:sz w:val="19"/>
                <w:szCs w:val="19"/>
              </w:rPr>
              <w:t>报告以下哪些内容可公开获取及相应途径：</w:t>
            </w:r>
            <w:r>
              <w:rPr>
                <w:sz w:val="19"/>
                <w:szCs w:val="19"/>
              </w:rPr>
              <w:t xml:space="preserve">资料提取模板；从纳人研究中 </w:t>
            </w:r>
            <w:r>
              <w:rPr>
                <w:spacing w:val="2"/>
                <w:sz w:val="19"/>
                <w:szCs w:val="19"/>
              </w:rPr>
              <w:t>提取的资料；用于所有分析的数据、分析编码和其他材料</w:t>
            </w:r>
          </w:p>
        </w:tc>
      </w:tr>
    </w:tbl>
    <w:p w14:paraId="30B44AD1">
      <w:pPr>
        <w:rPr>
          <w:rFonts w:ascii="Arial"/>
          <w:sz w:val="21"/>
        </w:rPr>
      </w:pPr>
    </w:p>
    <w:p w14:paraId="757A7142">
      <w:pPr>
        <w:rPr>
          <w:rFonts w:ascii="Arial" w:hAnsi="Arial" w:eastAsia="Arial" w:cs="Arial"/>
          <w:sz w:val="21"/>
          <w:szCs w:val="21"/>
        </w:rPr>
        <w:sectPr>
          <w:footerReference r:id="rId309" w:type="default"/>
          <w:pgSz w:w="11900" w:h="16820"/>
          <w:pgMar w:top="400" w:right="1539" w:bottom="828" w:left="880" w:header="0" w:footer="675" w:gutter="0"/>
          <w:cols w:space="720" w:num="1"/>
        </w:sectPr>
      </w:pPr>
    </w:p>
    <w:p w14:paraId="5D8F0E07">
      <w:pPr>
        <w:pStyle w:val="2"/>
        <w:spacing w:before="296" w:line="221" w:lineRule="auto"/>
        <w:ind w:left="6340"/>
        <w:rPr>
          <w:sz w:val="19"/>
          <w:szCs w:val="19"/>
        </w:rPr>
      </w:pPr>
      <w:bookmarkStart w:id="475" w:name="bookmark569"/>
      <w:bookmarkEnd w:id="475"/>
      <w:r>
        <w:rPr>
          <w:spacing w:val="-14"/>
          <w:sz w:val="19"/>
          <w:szCs w:val="19"/>
        </w:rPr>
        <w:t>第十八章循证医学与系统综述</w:t>
      </w:r>
    </w:p>
    <w:p w14:paraId="15C029C7">
      <w:pPr>
        <w:spacing w:before="236"/>
      </w:pPr>
    </w:p>
    <w:p w14:paraId="2BF0EBB2">
      <w:pPr>
        <w:sectPr>
          <w:footerReference r:id="rId310" w:type="default"/>
          <w:pgSz w:w="11900" w:h="16820"/>
          <w:pgMar w:top="400" w:right="1048" w:bottom="952" w:left="1609" w:header="0" w:footer="781" w:gutter="0"/>
          <w:cols w:equalWidth="0" w:num="1">
            <w:col w:w="9242"/>
          </w:cols>
        </w:sectPr>
      </w:pPr>
    </w:p>
    <w:p w14:paraId="5FD9B81F">
      <w:pPr>
        <w:spacing w:before="175" w:line="219" w:lineRule="auto"/>
        <w:ind w:left="1340"/>
        <w:rPr>
          <w:rFonts w:ascii="宋体" w:hAnsi="宋体" w:eastAsia="宋体" w:cs="宋体"/>
          <w:sz w:val="19"/>
          <w:szCs w:val="19"/>
        </w:rPr>
      </w:pPr>
      <w:r>
        <w:rPr>
          <w:rFonts w:ascii="宋体" w:hAnsi="宋体" w:eastAsia="宋体" w:cs="宋体"/>
          <w:spacing w:val="-2"/>
          <w:sz w:val="19"/>
          <w:szCs w:val="19"/>
        </w:rPr>
        <w:t>检索</w:t>
      </w:r>
    </w:p>
    <w:p w14:paraId="0BD21F9D">
      <w:pPr>
        <w:spacing w:line="353" w:lineRule="auto"/>
        <w:rPr>
          <w:rFonts w:ascii="Arial"/>
          <w:sz w:val="21"/>
        </w:rPr>
      </w:pPr>
    </w:p>
    <w:p w14:paraId="0EDF820E">
      <w:pPr>
        <w:spacing w:line="354" w:lineRule="auto"/>
        <w:rPr>
          <w:rFonts w:ascii="Arial"/>
          <w:sz w:val="21"/>
        </w:rPr>
      </w:pPr>
    </w:p>
    <w:p w14:paraId="57B7A468">
      <w:pPr>
        <w:pStyle w:val="2"/>
        <w:spacing w:before="61" w:line="222" w:lineRule="auto"/>
        <w:ind w:left="1340"/>
        <w:rPr>
          <w:sz w:val="19"/>
          <w:szCs w:val="19"/>
        </w:rPr>
      </w:pPr>
      <w:r>
        <w:rPr>
          <w:spacing w:val="-2"/>
          <w:sz w:val="19"/>
          <w:szCs w:val="19"/>
        </w:rPr>
        <w:t>初筛</w:t>
      </w:r>
    </w:p>
    <w:p w14:paraId="43EC69BE">
      <w:pPr>
        <w:spacing w:line="254" w:lineRule="auto"/>
        <w:rPr>
          <w:rFonts w:ascii="Arial"/>
          <w:sz w:val="21"/>
        </w:rPr>
      </w:pPr>
    </w:p>
    <w:p w14:paraId="6E9C66F6">
      <w:pPr>
        <w:spacing w:line="254" w:lineRule="auto"/>
        <w:rPr>
          <w:rFonts w:ascii="Arial"/>
          <w:sz w:val="21"/>
        </w:rPr>
      </w:pPr>
    </w:p>
    <w:p w14:paraId="67E61D4C">
      <w:pPr>
        <w:spacing w:line="255" w:lineRule="auto"/>
        <w:rPr>
          <w:rFonts w:ascii="Arial"/>
          <w:sz w:val="21"/>
        </w:rPr>
      </w:pPr>
    </w:p>
    <w:p w14:paraId="7D436973">
      <w:pPr>
        <w:spacing w:line="255" w:lineRule="auto"/>
        <w:rPr>
          <w:rFonts w:ascii="Arial"/>
          <w:sz w:val="21"/>
        </w:rPr>
      </w:pPr>
    </w:p>
    <w:p w14:paraId="56A8E2B1">
      <w:pPr>
        <w:spacing w:line="255" w:lineRule="auto"/>
        <w:rPr>
          <w:rFonts w:ascii="Arial"/>
          <w:sz w:val="21"/>
        </w:rPr>
      </w:pPr>
    </w:p>
    <w:p w14:paraId="08088D0B">
      <w:pPr>
        <w:pStyle w:val="2"/>
        <w:spacing w:before="62" w:line="222" w:lineRule="auto"/>
        <w:ind w:left="1340"/>
        <w:rPr>
          <w:sz w:val="19"/>
          <w:szCs w:val="19"/>
        </w:rPr>
      </w:pPr>
      <w:r>
        <w:rPr>
          <w:spacing w:val="-2"/>
          <w:sz w:val="19"/>
          <w:szCs w:val="19"/>
        </w:rPr>
        <w:t>纳人</w:t>
      </w:r>
    </w:p>
    <w:p w14:paraId="77323C80">
      <w:pPr>
        <w:spacing w:line="255" w:lineRule="auto"/>
        <w:rPr>
          <w:rFonts w:ascii="Arial"/>
          <w:sz w:val="21"/>
        </w:rPr>
      </w:pPr>
    </w:p>
    <w:p w14:paraId="6379FFC7">
      <w:pPr>
        <w:spacing w:line="255" w:lineRule="auto"/>
        <w:rPr>
          <w:rFonts w:ascii="Arial"/>
          <w:sz w:val="21"/>
        </w:rPr>
      </w:pPr>
    </w:p>
    <w:p w14:paraId="4853CCF4">
      <w:pPr>
        <w:spacing w:line="255" w:lineRule="auto"/>
        <w:rPr>
          <w:rFonts w:ascii="Arial"/>
          <w:sz w:val="21"/>
        </w:rPr>
      </w:pPr>
    </w:p>
    <w:p w14:paraId="6E39DBD3">
      <w:pPr>
        <w:spacing w:before="63" w:line="220" w:lineRule="auto"/>
        <w:ind w:left="1340"/>
        <w:rPr>
          <w:rFonts w:ascii="宋体" w:hAnsi="宋体" w:eastAsia="宋体" w:cs="宋体"/>
          <w:sz w:val="19"/>
          <w:szCs w:val="19"/>
        </w:rPr>
      </w:pPr>
      <w:r>
        <w:rPr>
          <w:rFonts w:ascii="宋体" w:hAnsi="宋体" w:eastAsia="宋体" w:cs="宋体"/>
          <w:spacing w:val="-3"/>
          <w:sz w:val="19"/>
          <w:szCs w:val="19"/>
        </w:rPr>
        <w:t>综合</w:t>
      </w:r>
    </w:p>
    <w:p w14:paraId="1B8659B4">
      <w:pPr>
        <w:spacing w:before="5"/>
      </w:pPr>
    </w:p>
    <w:p w14:paraId="28F1D2B9">
      <w:pPr>
        <w:spacing w:before="5"/>
      </w:pPr>
    </w:p>
    <w:p w14:paraId="2798C449">
      <w:pPr>
        <w:spacing w:before="5"/>
      </w:pPr>
    </w:p>
    <w:p w14:paraId="5D298CB6">
      <w:pPr>
        <w:spacing w:before="5"/>
      </w:pPr>
    </w:p>
    <w:p w14:paraId="50A5AEB1">
      <w:pPr>
        <w:spacing w:before="5"/>
      </w:pPr>
    </w:p>
    <w:p w14:paraId="629376FD">
      <w:pPr>
        <w:spacing w:line="14" w:lineRule="auto"/>
        <w:rPr>
          <w:rFonts w:ascii="Arial"/>
          <w:sz w:val="2"/>
        </w:rPr>
      </w:pPr>
      <w:r>
        <w:rPr>
          <w:rFonts w:ascii="Arial" w:hAnsi="Arial" w:eastAsia="Arial" w:cs="Arial"/>
          <w:sz w:val="2"/>
          <w:szCs w:val="2"/>
        </w:rPr>
        <w:br w:type="column"/>
      </w:r>
    </w:p>
    <w:p w14:paraId="54FF48EE">
      <w:pPr>
        <w:spacing w:before="36" w:line="4870" w:lineRule="exact"/>
      </w:pPr>
      <w:r>
        <w:rPr>
          <w:position w:val="-97"/>
        </w:rPr>
        <w:pict>
          <v:group id="_x0000_s1274" o:spid="_x0000_s1274" o:spt="203" style="height:243.55pt;width:272.5pt;" coordsize="5450,4871">
            <o:lock v:ext="edit"/>
            <v:shape id="_x0000_s1275" o:spid="_x0000_s1275" o:spt="75" type="#_x0000_t75" style="position:absolute;left:0;top:0;height:4871;width:5450;" filled="f" stroked="f" coordsize="21600,21600">
              <v:path/>
              <v:fill on="f" focussize="0,0"/>
              <v:stroke on="f"/>
              <v:imagedata r:id="rId677" o:title=""/>
              <o:lock v:ext="edit" aspectratio="t"/>
            </v:shape>
            <v:shape id="_x0000_s1276" o:spid="_x0000_s1276" o:spt="202" type="#_x0000_t202" style="position:absolute;left:79;top:157;height:4560;width:3497;" filled="f" stroked="f" coordsize="21600,21600">
              <v:path/>
              <v:fill on="f" focussize="0,0"/>
              <v:stroke on="f"/>
              <v:imagedata o:title=""/>
              <o:lock v:ext="edit" aspectratio="f"/>
              <v:textbox inset="0mm,0mm,0mm,0mm">
                <w:txbxContent>
                  <w:p w14:paraId="39B24A51">
                    <w:pPr>
                      <w:spacing w:before="19" w:line="202" w:lineRule="auto"/>
                      <w:ind w:left="20" w:right="1473"/>
                      <w:rPr>
                        <w:rFonts w:ascii="宋体" w:hAnsi="宋体" w:eastAsia="宋体" w:cs="宋体"/>
                        <w:sz w:val="19"/>
                        <w:szCs w:val="19"/>
                      </w:rPr>
                    </w:pPr>
                    <w:r>
                      <w:rPr>
                        <w:rFonts w:ascii="宋体" w:hAnsi="宋体" w:eastAsia="宋体" w:cs="宋体"/>
                        <w:spacing w:val="-18"/>
                        <w:w w:val="97"/>
                        <w:sz w:val="19"/>
                        <w:szCs w:val="19"/>
                      </w:rPr>
                      <w:t>通过对数据库的检索得到的</w:t>
                    </w:r>
                    <w:r>
                      <w:rPr>
                        <w:rFonts w:ascii="宋体" w:hAnsi="宋体" w:eastAsia="宋体" w:cs="宋体"/>
                        <w:spacing w:val="6"/>
                        <w:sz w:val="19"/>
                        <w:szCs w:val="19"/>
                      </w:rPr>
                      <w:t xml:space="preserve"> </w:t>
                    </w:r>
                    <w:r>
                      <w:rPr>
                        <w:rFonts w:ascii="宋体" w:hAnsi="宋体" w:eastAsia="宋体" w:cs="宋体"/>
                        <w:spacing w:val="-16"/>
                        <w:w w:val="98"/>
                        <w:sz w:val="19"/>
                        <w:szCs w:val="19"/>
                      </w:rPr>
                      <w:t>相应的文献数量</w:t>
                    </w:r>
                  </w:p>
                  <w:p w14:paraId="4639F898">
                    <w:pPr>
                      <w:spacing w:line="460" w:lineRule="auto"/>
                      <w:rPr>
                        <w:rFonts w:ascii="Arial"/>
                        <w:sz w:val="21"/>
                      </w:rPr>
                    </w:pPr>
                  </w:p>
                  <w:p w14:paraId="66F0DACE">
                    <w:pPr>
                      <w:spacing w:before="61" w:line="219" w:lineRule="auto"/>
                      <w:jc w:val="right"/>
                      <w:rPr>
                        <w:rFonts w:ascii="宋体" w:hAnsi="宋体" w:eastAsia="宋体" w:cs="宋体"/>
                        <w:sz w:val="19"/>
                        <w:szCs w:val="19"/>
                      </w:rPr>
                    </w:pPr>
                    <w:r>
                      <w:rPr>
                        <w:rFonts w:ascii="宋体" w:hAnsi="宋体" w:eastAsia="宋体" w:cs="宋体"/>
                        <w:spacing w:val="-17"/>
                        <w:w w:val="96"/>
                        <w:sz w:val="19"/>
                        <w:szCs w:val="19"/>
                      </w:rPr>
                      <w:t>剔除重复文献后得</w:t>
                    </w:r>
                    <w:r>
                      <w:rPr>
                        <w:rFonts w:ascii="宋体" w:hAnsi="宋体" w:eastAsia="宋体" w:cs="宋体"/>
                        <w:spacing w:val="-16"/>
                        <w:w w:val="96"/>
                        <w:sz w:val="19"/>
                        <w:szCs w:val="19"/>
                      </w:rPr>
                      <w:t>到的文献数</w:t>
                    </w:r>
                    <w:r>
                      <w:rPr>
                        <w:rFonts w:ascii="宋体" w:hAnsi="宋体" w:eastAsia="宋体" w:cs="宋体"/>
                        <w:spacing w:val="-8"/>
                        <w:w w:val="96"/>
                        <w:sz w:val="19"/>
                        <w:szCs w:val="19"/>
                      </w:rPr>
                      <w:t>量</w:t>
                    </w:r>
                  </w:p>
                  <w:p w14:paraId="60E84C73">
                    <w:pPr>
                      <w:spacing w:line="440" w:lineRule="auto"/>
                      <w:rPr>
                        <w:rFonts w:ascii="Arial"/>
                        <w:sz w:val="21"/>
                      </w:rPr>
                    </w:pPr>
                  </w:p>
                  <w:p w14:paraId="16CBE8DA">
                    <w:pPr>
                      <w:spacing w:before="61" w:line="219" w:lineRule="auto"/>
                      <w:ind w:left="1470"/>
                      <w:rPr>
                        <w:rFonts w:ascii="宋体" w:hAnsi="宋体" w:eastAsia="宋体" w:cs="宋体"/>
                        <w:sz w:val="19"/>
                        <w:szCs w:val="19"/>
                      </w:rPr>
                    </w:pPr>
                    <w:r>
                      <w:rPr>
                        <w:rFonts w:ascii="宋体" w:hAnsi="宋体" w:eastAsia="宋体" w:cs="宋体"/>
                        <w:spacing w:val="-17"/>
                        <w:w w:val="97"/>
                        <w:sz w:val="19"/>
                        <w:szCs w:val="19"/>
                      </w:rPr>
                      <w:t>初筛后得到的文献数量</w:t>
                    </w:r>
                  </w:p>
                  <w:p w14:paraId="6E14D963">
                    <w:pPr>
                      <w:spacing w:line="244" w:lineRule="auto"/>
                      <w:rPr>
                        <w:rFonts w:ascii="Arial"/>
                        <w:sz w:val="21"/>
                      </w:rPr>
                    </w:pPr>
                  </w:p>
                  <w:p w14:paraId="28879ECF">
                    <w:pPr>
                      <w:spacing w:line="245" w:lineRule="auto"/>
                      <w:rPr>
                        <w:rFonts w:ascii="Arial"/>
                        <w:sz w:val="21"/>
                      </w:rPr>
                    </w:pPr>
                  </w:p>
                  <w:p w14:paraId="6295CBAE">
                    <w:pPr>
                      <w:spacing w:before="62" w:line="202" w:lineRule="auto"/>
                      <w:ind w:left="1890" w:right="298" w:hanging="540"/>
                      <w:rPr>
                        <w:rFonts w:ascii="宋体" w:hAnsi="宋体" w:eastAsia="宋体" w:cs="宋体"/>
                        <w:sz w:val="19"/>
                        <w:szCs w:val="19"/>
                      </w:rPr>
                    </w:pPr>
                    <w:r>
                      <w:rPr>
                        <w:rFonts w:ascii="宋体" w:hAnsi="宋体" w:eastAsia="宋体" w:cs="宋体"/>
                        <w:spacing w:val="-16"/>
                        <w:w w:val="96"/>
                        <w:sz w:val="19"/>
                        <w:szCs w:val="19"/>
                      </w:rPr>
                      <w:t>全文浏览后符合纳人标准</w:t>
                    </w:r>
                    <w:r>
                      <w:rPr>
                        <w:rFonts w:ascii="宋体" w:hAnsi="宋体" w:eastAsia="宋体" w:cs="宋体"/>
                        <w:spacing w:val="16"/>
                        <w:sz w:val="19"/>
                        <w:szCs w:val="19"/>
                      </w:rPr>
                      <w:t xml:space="preserve"> </w:t>
                    </w:r>
                    <w:r>
                      <w:rPr>
                        <w:rFonts w:ascii="宋体" w:hAnsi="宋体" w:eastAsia="宋体" w:cs="宋体"/>
                        <w:spacing w:val="-19"/>
                        <w:sz w:val="19"/>
                        <w:szCs w:val="19"/>
                      </w:rPr>
                      <w:t>的文献数量</w:t>
                    </w:r>
                  </w:p>
                  <w:p w14:paraId="76701359">
                    <w:pPr>
                      <w:spacing w:line="450" w:lineRule="auto"/>
                      <w:rPr>
                        <w:rFonts w:ascii="Arial"/>
                        <w:sz w:val="21"/>
                      </w:rPr>
                    </w:pPr>
                  </w:p>
                  <w:p w14:paraId="424997F0">
                    <w:pPr>
                      <w:spacing w:before="62" w:line="219" w:lineRule="auto"/>
                      <w:ind w:left="1350"/>
                      <w:rPr>
                        <w:rFonts w:ascii="宋体" w:hAnsi="宋体" w:eastAsia="宋体" w:cs="宋体"/>
                        <w:sz w:val="19"/>
                        <w:szCs w:val="19"/>
                      </w:rPr>
                    </w:pPr>
                    <w:r>
                      <w:rPr>
                        <w:rFonts w:ascii="宋体" w:hAnsi="宋体" w:eastAsia="宋体" w:cs="宋体"/>
                        <w:spacing w:val="-17"/>
                        <w:w w:val="98"/>
                        <w:sz w:val="19"/>
                        <w:szCs w:val="19"/>
                      </w:rPr>
                      <w:t>进行定性综合的文献数量</w:t>
                    </w:r>
                  </w:p>
                  <w:p w14:paraId="59235892">
                    <w:pPr>
                      <w:spacing w:line="459" w:lineRule="auto"/>
                      <w:rPr>
                        <w:rFonts w:ascii="Arial"/>
                        <w:sz w:val="21"/>
                      </w:rPr>
                    </w:pPr>
                  </w:p>
                  <w:p w14:paraId="54FA4912">
                    <w:pPr>
                      <w:spacing w:before="62" w:line="207" w:lineRule="auto"/>
                      <w:ind w:left="1940" w:right="181" w:hanging="590"/>
                      <w:rPr>
                        <w:rFonts w:ascii="宋体" w:hAnsi="宋体" w:eastAsia="宋体" w:cs="宋体"/>
                        <w:sz w:val="19"/>
                        <w:szCs w:val="19"/>
                      </w:rPr>
                    </w:pPr>
                    <w:r>
                      <w:rPr>
                        <w:rFonts w:ascii="宋体" w:hAnsi="宋体" w:eastAsia="宋体" w:cs="宋体"/>
                        <w:spacing w:val="-8"/>
                        <w:sz w:val="19"/>
                        <w:szCs w:val="19"/>
                      </w:rPr>
                      <w:t>进行定量综合</w:t>
                    </w:r>
                    <w:r>
                      <w:rPr>
                        <w:rFonts w:ascii="Times New Roman" w:hAnsi="Times New Roman" w:eastAsia="Times New Roman" w:cs="Times New Roman"/>
                        <w:spacing w:val="-8"/>
                        <w:sz w:val="19"/>
                        <w:szCs w:val="19"/>
                      </w:rPr>
                      <w:t>(Meta</w:t>
                    </w:r>
                    <w:r>
                      <w:rPr>
                        <w:rFonts w:ascii="宋体" w:hAnsi="宋体" w:eastAsia="宋体" w:cs="宋体"/>
                        <w:spacing w:val="-8"/>
                        <w:sz w:val="19"/>
                        <w:szCs w:val="19"/>
                      </w:rPr>
                      <w:t>分析)</w:t>
                    </w:r>
                    <w:r>
                      <w:rPr>
                        <w:rFonts w:ascii="宋体" w:hAnsi="宋体" w:eastAsia="宋体" w:cs="宋体"/>
                        <w:spacing w:val="7"/>
                        <w:sz w:val="19"/>
                        <w:szCs w:val="19"/>
                      </w:rPr>
                      <w:t xml:space="preserve"> </w:t>
                    </w:r>
                    <w:r>
                      <w:rPr>
                        <w:rFonts w:ascii="宋体" w:hAnsi="宋体" w:eastAsia="宋体" w:cs="宋体"/>
                        <w:spacing w:val="-15"/>
                        <w:sz w:val="19"/>
                        <w:szCs w:val="19"/>
                      </w:rPr>
                      <w:t>的文献数量</w:t>
                    </w:r>
                  </w:p>
                </w:txbxContent>
              </v:textbox>
            </v:shape>
            <v:shape id="_x0000_s1277" o:spid="_x0000_s1277" o:spt="202" type="#_x0000_t202" style="position:absolute;left:2659;top:167;height:400;width:1873;" filled="f" stroked="f" coordsize="21600,21600">
              <v:path/>
              <v:fill on="f" focussize="0,0"/>
              <v:stroke on="f"/>
              <v:imagedata o:title=""/>
              <o:lock v:ext="edit" aspectratio="f"/>
              <v:textbox inset="0mm,0mm,0mm,0mm">
                <w:txbxContent>
                  <w:p w14:paraId="48092644">
                    <w:pPr>
                      <w:spacing w:before="20" w:line="192" w:lineRule="auto"/>
                      <w:ind w:left="29" w:right="20" w:hanging="9"/>
                      <w:rPr>
                        <w:rFonts w:ascii="宋体" w:hAnsi="宋体" w:eastAsia="宋体" w:cs="宋体"/>
                        <w:sz w:val="19"/>
                        <w:szCs w:val="19"/>
                      </w:rPr>
                    </w:pPr>
                    <w:r>
                      <w:rPr>
                        <w:rFonts w:ascii="宋体" w:hAnsi="宋体" w:eastAsia="宋体" w:cs="宋体"/>
                        <w:spacing w:val="-17"/>
                        <w:w w:val="96"/>
                        <w:sz w:val="19"/>
                        <w:szCs w:val="19"/>
                      </w:rPr>
                      <w:t>通过其他资源途径得到的</w:t>
                    </w:r>
                    <w:r>
                      <w:rPr>
                        <w:rFonts w:ascii="宋体" w:hAnsi="宋体" w:eastAsia="宋体" w:cs="宋体"/>
                        <w:spacing w:val="12"/>
                        <w:sz w:val="19"/>
                        <w:szCs w:val="19"/>
                      </w:rPr>
                      <w:t xml:space="preserve"> </w:t>
                    </w:r>
                    <w:r>
                      <w:rPr>
                        <w:rFonts w:ascii="宋体" w:hAnsi="宋体" w:eastAsia="宋体" w:cs="宋体"/>
                        <w:spacing w:val="-16"/>
                        <w:w w:val="98"/>
                        <w:sz w:val="19"/>
                        <w:szCs w:val="19"/>
                      </w:rPr>
                      <w:t>相应的文献数量</w:t>
                    </w:r>
                  </w:p>
                </w:txbxContent>
              </v:textbox>
            </v:shape>
            <v:shape id="_x0000_s1278" o:spid="_x0000_s1278" o:spt="202" type="#_x0000_t202" style="position:absolute;left:4050;top:2617;height:412;width:1206;" filled="f" stroked="f" coordsize="21600,21600">
              <v:path/>
              <v:fill on="f" focussize="0,0"/>
              <v:stroke on="f"/>
              <v:imagedata o:title=""/>
              <o:lock v:ext="edit" aspectratio="f"/>
              <v:textbox inset="0mm,0mm,0mm,0mm">
                <w:txbxContent>
                  <w:p w14:paraId="5F63168F">
                    <w:pPr>
                      <w:spacing w:before="20" w:line="200" w:lineRule="auto"/>
                      <w:ind w:left="349" w:right="20" w:hanging="329"/>
                      <w:rPr>
                        <w:rFonts w:ascii="宋体" w:hAnsi="宋体" w:eastAsia="宋体" w:cs="宋体"/>
                        <w:sz w:val="19"/>
                        <w:szCs w:val="19"/>
                      </w:rPr>
                    </w:pPr>
                    <w:r>
                      <w:rPr>
                        <w:rFonts w:ascii="宋体" w:hAnsi="宋体" w:eastAsia="宋体" w:cs="宋体"/>
                        <w:spacing w:val="-17"/>
                        <w:w w:val="96"/>
                        <w:sz w:val="19"/>
                        <w:szCs w:val="19"/>
                      </w:rPr>
                      <w:t>排除文献的数量</w:t>
                    </w:r>
                    <w:r>
                      <w:rPr>
                        <w:rFonts w:ascii="宋体" w:hAnsi="宋体" w:eastAsia="宋体" w:cs="宋体"/>
                        <w:spacing w:val="7"/>
                        <w:sz w:val="19"/>
                        <w:szCs w:val="19"/>
                      </w:rPr>
                      <w:t xml:space="preserve"> </w:t>
                    </w:r>
                    <w:r>
                      <w:rPr>
                        <w:rFonts w:ascii="宋体" w:hAnsi="宋体" w:eastAsia="宋体" w:cs="宋体"/>
                        <w:spacing w:val="-17"/>
                        <w:sz w:val="19"/>
                        <w:szCs w:val="19"/>
                      </w:rPr>
                      <w:t>及原因</w:t>
                    </w:r>
                  </w:p>
                </w:txbxContent>
              </v:textbox>
            </v:shape>
            <v:shape id="_x0000_s1279" o:spid="_x0000_s1279" o:spt="202" type="#_x0000_t202" style="position:absolute;left:4050;top:1857;height:230;width:1206;" filled="f" stroked="f" coordsize="21600,21600">
              <v:path/>
              <v:fill on="f" focussize="0,0"/>
              <v:stroke on="f"/>
              <v:imagedata o:title=""/>
              <o:lock v:ext="edit" aspectratio="f"/>
              <v:textbox inset="0mm,0mm,0mm,0mm">
                <w:txbxContent>
                  <w:p w14:paraId="281E427C">
                    <w:pPr>
                      <w:spacing w:before="20" w:line="219" w:lineRule="auto"/>
                      <w:jc w:val="right"/>
                      <w:rPr>
                        <w:rFonts w:ascii="宋体" w:hAnsi="宋体" w:eastAsia="宋体" w:cs="宋体"/>
                        <w:sz w:val="19"/>
                        <w:szCs w:val="19"/>
                      </w:rPr>
                    </w:pPr>
                    <w:r>
                      <w:rPr>
                        <w:rFonts w:ascii="宋体" w:hAnsi="宋体" w:eastAsia="宋体" w:cs="宋体"/>
                        <w:spacing w:val="-19"/>
                        <w:w w:val="96"/>
                        <w:sz w:val="19"/>
                        <w:szCs w:val="19"/>
                      </w:rPr>
                      <w:t>排除文</w:t>
                    </w:r>
                    <w:r>
                      <w:rPr>
                        <w:rFonts w:ascii="宋体" w:hAnsi="宋体" w:eastAsia="宋体" w:cs="宋体"/>
                        <w:spacing w:val="-18"/>
                        <w:w w:val="96"/>
                        <w:sz w:val="19"/>
                        <w:szCs w:val="19"/>
                      </w:rPr>
                      <w:t>献的数</w:t>
                    </w:r>
                    <w:r>
                      <w:rPr>
                        <w:rFonts w:ascii="宋体" w:hAnsi="宋体" w:eastAsia="宋体" w:cs="宋体"/>
                        <w:spacing w:val="-8"/>
                        <w:w w:val="96"/>
                        <w:sz w:val="19"/>
                        <w:szCs w:val="19"/>
                      </w:rPr>
                      <w:t>量</w:t>
                    </w:r>
                  </w:p>
                </w:txbxContent>
              </v:textbox>
            </v:shape>
            <w10:wrap type="none"/>
            <w10:anchorlock/>
          </v:group>
        </w:pict>
      </w:r>
    </w:p>
    <w:p w14:paraId="7216618A">
      <w:pPr>
        <w:pStyle w:val="2"/>
        <w:spacing w:before="126" w:line="221" w:lineRule="auto"/>
        <w:ind w:left="909"/>
        <w:rPr>
          <w:sz w:val="19"/>
          <w:szCs w:val="19"/>
        </w:rPr>
      </w:pPr>
      <w:r>
        <w:rPr>
          <w:spacing w:val="-1"/>
          <w:sz w:val="19"/>
          <w:szCs w:val="19"/>
        </w:rPr>
        <w:t>图18-6</w:t>
      </w:r>
      <w:r>
        <w:rPr>
          <w:spacing w:val="91"/>
          <w:sz w:val="19"/>
          <w:szCs w:val="19"/>
        </w:rPr>
        <w:t xml:space="preserve"> </w:t>
      </w:r>
      <w:r>
        <w:rPr>
          <w:spacing w:val="-1"/>
          <w:sz w:val="19"/>
          <w:szCs w:val="19"/>
        </w:rPr>
        <w:t>系统综述和</w:t>
      </w:r>
      <w:r>
        <w:rPr>
          <w:rFonts w:ascii="宋体" w:hAnsi="宋体" w:eastAsia="宋体" w:cs="宋体"/>
          <w:spacing w:val="-1"/>
          <w:sz w:val="19"/>
          <w:szCs w:val="19"/>
        </w:rPr>
        <w:t>Meta</w:t>
      </w:r>
      <w:r>
        <w:rPr>
          <w:rFonts w:ascii="宋体" w:hAnsi="宋体" w:eastAsia="宋体" w:cs="宋体"/>
          <w:spacing w:val="-43"/>
          <w:sz w:val="19"/>
          <w:szCs w:val="19"/>
        </w:rPr>
        <w:t xml:space="preserve"> </w:t>
      </w:r>
      <w:r>
        <w:rPr>
          <w:spacing w:val="-1"/>
          <w:sz w:val="19"/>
          <w:szCs w:val="19"/>
        </w:rPr>
        <w:t>分析流程图</w:t>
      </w:r>
    </w:p>
    <w:p w14:paraId="3625BD79">
      <w:pPr>
        <w:spacing w:line="221" w:lineRule="auto"/>
        <w:rPr>
          <w:sz w:val="19"/>
          <w:szCs w:val="19"/>
        </w:rPr>
        <w:sectPr>
          <w:type w:val="continuous"/>
          <w:pgSz w:w="11900" w:h="16820"/>
          <w:pgMar w:top="400" w:right="1048" w:bottom="952" w:left="1609" w:header="0" w:footer="781" w:gutter="0"/>
          <w:cols w:equalWidth="0" w:num="2">
            <w:col w:w="1831" w:space="100"/>
            <w:col w:w="7312"/>
          </w:cols>
        </w:sectPr>
      </w:pPr>
    </w:p>
    <w:p w14:paraId="1F4350F8">
      <w:pPr>
        <w:spacing w:line="274" w:lineRule="auto"/>
        <w:rPr>
          <w:rFonts w:ascii="Arial"/>
          <w:sz w:val="21"/>
        </w:rPr>
      </w:pPr>
    </w:p>
    <w:p w14:paraId="0881380E">
      <w:pPr>
        <w:spacing w:before="62" w:line="350" w:lineRule="auto"/>
        <w:ind w:right="605"/>
        <w:jc w:val="both"/>
        <w:rPr>
          <w:rFonts w:ascii="宋体" w:hAnsi="宋体" w:eastAsia="宋体" w:cs="宋体"/>
          <w:sz w:val="19"/>
          <w:szCs w:val="19"/>
        </w:rPr>
      </w:pPr>
      <w:r>
        <w:rPr>
          <w:rFonts w:ascii="宋体" w:hAnsi="宋体" w:eastAsia="宋体" w:cs="宋体"/>
          <w:spacing w:val="16"/>
          <w:sz w:val="19"/>
          <w:szCs w:val="19"/>
        </w:rPr>
        <w:t>异。造成实际纳人的研究与研究总体存在差</w:t>
      </w:r>
      <w:r>
        <w:rPr>
          <w:rFonts w:ascii="宋体" w:hAnsi="宋体" w:eastAsia="宋体" w:cs="宋体"/>
          <w:spacing w:val="15"/>
          <w:sz w:val="19"/>
          <w:szCs w:val="19"/>
        </w:rPr>
        <w:t>异的原因有多种，主要包括纳人和排除标准不当或不</w:t>
      </w:r>
      <w:r>
        <w:rPr>
          <w:rFonts w:ascii="宋体" w:hAnsi="宋体" w:eastAsia="宋体" w:cs="宋体"/>
          <w:sz w:val="19"/>
          <w:szCs w:val="19"/>
        </w:rPr>
        <w:t xml:space="preserve"> </w:t>
      </w:r>
      <w:r>
        <w:rPr>
          <w:rFonts w:ascii="宋体" w:hAnsi="宋体" w:eastAsia="宋体" w:cs="宋体"/>
          <w:spacing w:val="3"/>
          <w:sz w:val="19"/>
          <w:szCs w:val="19"/>
        </w:rPr>
        <w:t>明确、文献检索策略和方法不当、发表偏倚</w:t>
      </w:r>
      <w:r>
        <w:rPr>
          <w:rFonts w:ascii="Times New Roman" w:hAnsi="Times New Roman" w:eastAsia="Times New Roman" w:cs="Times New Roman"/>
          <w:spacing w:val="3"/>
          <w:sz w:val="19"/>
          <w:szCs w:val="19"/>
        </w:rPr>
        <w:t>(</w:t>
      </w:r>
      <w:r>
        <w:rPr>
          <w:rFonts w:ascii="Times New Roman" w:hAnsi="Times New Roman" w:eastAsia="Times New Roman" w:cs="Times New Roman"/>
          <w:sz w:val="19"/>
          <w:szCs w:val="19"/>
        </w:rPr>
        <w:t>publication</w:t>
      </w:r>
      <w:r>
        <w:rPr>
          <w:rFonts w:ascii="Times New Roman" w:hAnsi="Times New Roman" w:eastAsia="Times New Roman" w:cs="Times New Roman"/>
          <w:spacing w:val="3"/>
          <w:sz w:val="19"/>
          <w:szCs w:val="19"/>
        </w:rPr>
        <w:t xml:space="preserve">      </w:t>
      </w:r>
      <w:r>
        <w:rPr>
          <w:rFonts w:ascii="Times New Roman" w:hAnsi="Times New Roman" w:eastAsia="Times New Roman" w:cs="Times New Roman"/>
          <w:sz w:val="19"/>
          <w:szCs w:val="19"/>
        </w:rPr>
        <w:t>bias</w:t>
      </w:r>
      <w:r>
        <w:rPr>
          <w:rFonts w:ascii="Times New Roman" w:hAnsi="Times New Roman" w:eastAsia="Times New Roman" w:cs="Times New Roman"/>
          <w:spacing w:val="3"/>
          <w:sz w:val="19"/>
          <w:szCs w:val="19"/>
        </w:rPr>
        <w:t>)</w:t>
      </w:r>
      <w:r>
        <w:rPr>
          <w:rFonts w:ascii="宋体" w:hAnsi="宋体" w:eastAsia="宋体" w:cs="宋体"/>
          <w:spacing w:val="3"/>
          <w:sz w:val="19"/>
          <w:szCs w:val="19"/>
        </w:rPr>
        <w:t>、语言偏倚</w:t>
      </w:r>
      <w:r>
        <w:rPr>
          <w:rFonts w:ascii="Times New Roman" w:hAnsi="Times New Roman" w:eastAsia="Times New Roman" w:cs="Times New Roman"/>
          <w:spacing w:val="2"/>
          <w:sz w:val="19"/>
          <w:szCs w:val="19"/>
        </w:rPr>
        <w:t>(</w:t>
      </w:r>
      <w:r>
        <w:rPr>
          <w:rFonts w:ascii="Times New Roman" w:hAnsi="Times New Roman" w:eastAsia="Times New Roman" w:cs="Times New Roman"/>
          <w:sz w:val="19"/>
          <w:szCs w:val="19"/>
        </w:rPr>
        <w:t>language</w:t>
      </w:r>
      <w:r>
        <w:rPr>
          <w:rFonts w:ascii="Times New Roman" w:hAnsi="Times New Roman" w:eastAsia="Times New Roman" w:cs="Times New Roman"/>
          <w:spacing w:val="2"/>
          <w:sz w:val="19"/>
          <w:szCs w:val="19"/>
        </w:rPr>
        <w:t xml:space="preserve">      </w:t>
      </w:r>
      <w:r>
        <w:rPr>
          <w:rFonts w:ascii="Times New Roman" w:hAnsi="Times New Roman" w:eastAsia="Times New Roman" w:cs="Times New Roman"/>
          <w:sz w:val="19"/>
          <w:szCs w:val="19"/>
        </w:rPr>
        <w:t>bias</w:t>
      </w:r>
      <w:r>
        <w:rPr>
          <w:rFonts w:ascii="Times New Roman" w:hAnsi="Times New Roman" w:eastAsia="Times New Roman" w:cs="Times New Roman"/>
          <w:spacing w:val="2"/>
          <w:sz w:val="19"/>
          <w:szCs w:val="19"/>
        </w:rPr>
        <w:t>)</w:t>
      </w:r>
      <w:r>
        <w:rPr>
          <w:rFonts w:ascii="宋体" w:hAnsi="宋体" w:eastAsia="宋体" w:cs="宋体"/>
          <w:spacing w:val="2"/>
          <w:sz w:val="19"/>
          <w:szCs w:val="19"/>
        </w:rPr>
        <w:t>、地区偏倚</w:t>
      </w:r>
      <w:r>
        <w:rPr>
          <w:rFonts w:ascii="宋体" w:hAnsi="宋体" w:eastAsia="宋体" w:cs="宋体"/>
          <w:sz w:val="19"/>
          <w:szCs w:val="19"/>
        </w:rPr>
        <w:t xml:space="preserve"> </w:t>
      </w:r>
      <w:r>
        <w:rPr>
          <w:rFonts w:ascii="宋体" w:hAnsi="宋体" w:eastAsia="宋体" w:cs="宋体"/>
          <w:spacing w:val="7"/>
          <w:sz w:val="19"/>
          <w:szCs w:val="19"/>
        </w:rPr>
        <w:t>(</w:t>
      </w:r>
      <w:r>
        <w:rPr>
          <w:rFonts w:ascii="宋体" w:hAnsi="宋体" w:eastAsia="宋体" w:cs="宋体"/>
          <w:sz w:val="19"/>
          <w:szCs w:val="19"/>
        </w:rPr>
        <w:t>geographical</w:t>
      </w:r>
      <w:r>
        <w:rPr>
          <w:rFonts w:ascii="宋体" w:hAnsi="宋体" w:eastAsia="宋体" w:cs="宋体"/>
          <w:spacing w:val="7"/>
          <w:sz w:val="19"/>
          <w:szCs w:val="19"/>
        </w:rPr>
        <w:t xml:space="preserve"> </w:t>
      </w:r>
      <w:r>
        <w:rPr>
          <w:rFonts w:ascii="宋体" w:hAnsi="宋体" w:eastAsia="宋体" w:cs="宋体"/>
          <w:sz w:val="19"/>
          <w:szCs w:val="19"/>
        </w:rPr>
        <w:t>bias</w:t>
      </w:r>
      <w:r>
        <w:rPr>
          <w:rFonts w:ascii="宋体" w:hAnsi="宋体" w:eastAsia="宋体" w:cs="宋体"/>
          <w:spacing w:val="7"/>
          <w:sz w:val="19"/>
          <w:szCs w:val="19"/>
        </w:rPr>
        <w:t>),以及根据结果人为地纳人或排除个别研究等。因此，在研究开始时，研究者必</w:t>
      </w:r>
      <w:r>
        <w:rPr>
          <w:rFonts w:ascii="宋体" w:hAnsi="宋体" w:eastAsia="宋体" w:cs="宋体"/>
          <w:spacing w:val="8"/>
          <w:sz w:val="19"/>
          <w:szCs w:val="19"/>
        </w:rPr>
        <w:t xml:space="preserve"> </w:t>
      </w:r>
      <w:r>
        <w:rPr>
          <w:rFonts w:ascii="宋体" w:hAnsi="宋体" w:eastAsia="宋体" w:cs="宋体"/>
          <w:spacing w:val="11"/>
          <w:sz w:val="19"/>
          <w:szCs w:val="19"/>
        </w:rPr>
        <w:t>须根据研究目的制定明确的纳人和排除标准，并在筛选研究</w:t>
      </w:r>
      <w:r>
        <w:rPr>
          <w:rFonts w:ascii="宋体" w:hAnsi="宋体" w:eastAsia="宋体" w:cs="宋体"/>
          <w:spacing w:val="10"/>
          <w:sz w:val="19"/>
          <w:szCs w:val="19"/>
        </w:rPr>
        <w:t>中严格执行，不应中途更改，尽可能杜</w:t>
      </w:r>
      <w:r>
        <w:rPr>
          <w:rFonts w:ascii="宋体" w:hAnsi="宋体" w:eastAsia="宋体" w:cs="宋体"/>
          <w:sz w:val="19"/>
          <w:szCs w:val="19"/>
        </w:rPr>
        <w:t xml:space="preserve"> </w:t>
      </w:r>
      <w:r>
        <w:rPr>
          <w:rFonts w:ascii="宋体" w:hAnsi="宋体" w:eastAsia="宋体" w:cs="宋体"/>
          <w:spacing w:val="11"/>
          <w:sz w:val="19"/>
          <w:szCs w:val="19"/>
        </w:rPr>
        <w:t>绝依据研究结果排除或纳入研究的做法。此外，研究者应按照国际上认可的</w:t>
      </w:r>
      <w:r>
        <w:rPr>
          <w:rFonts w:ascii="宋体" w:hAnsi="宋体" w:eastAsia="宋体" w:cs="宋体"/>
          <w:spacing w:val="10"/>
          <w:sz w:val="19"/>
          <w:szCs w:val="19"/>
        </w:rPr>
        <w:t>策略，制订系统严密的</w:t>
      </w:r>
      <w:r>
        <w:rPr>
          <w:rFonts w:ascii="宋体" w:hAnsi="宋体" w:eastAsia="宋体" w:cs="宋体"/>
          <w:sz w:val="19"/>
          <w:szCs w:val="19"/>
        </w:rPr>
        <w:t xml:space="preserve"> </w:t>
      </w:r>
      <w:r>
        <w:rPr>
          <w:rFonts w:ascii="宋体" w:hAnsi="宋体" w:eastAsia="宋体" w:cs="宋体"/>
          <w:spacing w:val="17"/>
          <w:sz w:val="19"/>
          <w:szCs w:val="19"/>
        </w:rPr>
        <w:t>文献检索计划。</w:t>
      </w:r>
    </w:p>
    <w:p w14:paraId="62C24F57">
      <w:pPr>
        <w:spacing w:before="30" w:line="347" w:lineRule="auto"/>
        <w:ind w:right="546" w:firstLine="440"/>
        <w:jc w:val="both"/>
        <w:rPr>
          <w:rFonts w:ascii="宋体" w:hAnsi="宋体" w:eastAsia="宋体" w:cs="宋体"/>
          <w:sz w:val="19"/>
          <w:szCs w:val="19"/>
        </w:rPr>
      </w:pPr>
      <w:r>
        <w:rPr>
          <w:rFonts w:ascii="宋体" w:hAnsi="宋体" w:eastAsia="宋体" w:cs="宋体"/>
          <w:spacing w:val="12"/>
          <w:sz w:val="19"/>
          <w:szCs w:val="19"/>
        </w:rPr>
        <w:t>系统综述的混杂偏倚首先可能来自原始研究，即使是高质量的</w:t>
      </w:r>
      <w:r>
        <w:rPr>
          <w:rFonts w:ascii="Times New Roman" w:hAnsi="Times New Roman" w:eastAsia="Times New Roman" w:cs="Times New Roman"/>
          <w:sz w:val="19"/>
          <w:szCs w:val="19"/>
        </w:rPr>
        <w:t>RCT</w:t>
      </w:r>
      <w:r>
        <w:rPr>
          <w:rFonts w:ascii="Times New Roman" w:hAnsi="Times New Roman" w:eastAsia="Times New Roman" w:cs="Times New Roman"/>
          <w:spacing w:val="12"/>
          <w:sz w:val="19"/>
          <w:szCs w:val="19"/>
        </w:rPr>
        <w:t>,</w:t>
      </w:r>
      <w:r>
        <w:rPr>
          <w:rFonts w:ascii="Times New Roman" w:hAnsi="Times New Roman" w:eastAsia="Times New Roman" w:cs="Times New Roman"/>
          <w:spacing w:val="41"/>
          <w:sz w:val="19"/>
          <w:szCs w:val="19"/>
        </w:rPr>
        <w:t xml:space="preserve"> </w:t>
      </w:r>
      <w:r>
        <w:rPr>
          <w:rFonts w:ascii="宋体" w:hAnsi="宋体" w:eastAsia="宋体" w:cs="宋体"/>
          <w:spacing w:val="12"/>
          <w:sz w:val="19"/>
          <w:szCs w:val="19"/>
        </w:rPr>
        <w:t>在亚组分析时，不同组的</w:t>
      </w:r>
      <w:r>
        <w:rPr>
          <w:rFonts w:ascii="宋体" w:hAnsi="宋体" w:eastAsia="宋体" w:cs="宋体"/>
          <w:sz w:val="19"/>
          <w:szCs w:val="19"/>
        </w:rPr>
        <w:t xml:space="preserve"> </w:t>
      </w:r>
      <w:r>
        <w:rPr>
          <w:rFonts w:ascii="宋体" w:hAnsi="宋体" w:eastAsia="宋体" w:cs="宋体"/>
          <w:spacing w:val="16"/>
          <w:sz w:val="19"/>
          <w:szCs w:val="19"/>
        </w:rPr>
        <w:t>原始研究在其他可能影响效应估计因素方面的不可比</w:t>
      </w:r>
      <w:r>
        <w:rPr>
          <w:rFonts w:ascii="宋体" w:hAnsi="宋体" w:eastAsia="宋体" w:cs="宋体"/>
          <w:spacing w:val="15"/>
          <w:sz w:val="19"/>
          <w:szCs w:val="19"/>
        </w:rPr>
        <w:t>性，仍可能对两组合并效应的比较产生混杂</w:t>
      </w:r>
      <w:r>
        <w:rPr>
          <w:rFonts w:ascii="宋体" w:hAnsi="宋体" w:eastAsia="宋体" w:cs="宋体"/>
          <w:sz w:val="19"/>
          <w:szCs w:val="19"/>
        </w:rPr>
        <w:t xml:space="preserve"> </w:t>
      </w:r>
      <w:r>
        <w:rPr>
          <w:rFonts w:ascii="宋体" w:hAnsi="宋体" w:eastAsia="宋体" w:cs="宋体"/>
          <w:spacing w:val="12"/>
          <w:sz w:val="19"/>
          <w:szCs w:val="19"/>
        </w:rPr>
        <w:t>作用。如果有足够的高质量研究，控制混杂的首选方法是尽可能地选用混杂作用较小的原始研究，</w:t>
      </w:r>
      <w:r>
        <w:rPr>
          <w:rFonts w:ascii="宋体" w:hAnsi="宋体" w:eastAsia="宋体" w:cs="宋体"/>
          <w:spacing w:val="7"/>
          <w:sz w:val="19"/>
          <w:szCs w:val="19"/>
        </w:rPr>
        <w:t xml:space="preserve"> </w:t>
      </w:r>
      <w:r>
        <w:rPr>
          <w:rFonts w:ascii="宋体" w:hAnsi="宋体" w:eastAsia="宋体" w:cs="宋体"/>
          <w:spacing w:val="10"/>
          <w:sz w:val="19"/>
          <w:szCs w:val="19"/>
        </w:rPr>
        <w:t>如</w:t>
      </w:r>
      <w:r>
        <w:rPr>
          <w:rFonts w:ascii="宋体" w:hAnsi="宋体" w:eastAsia="宋体" w:cs="宋体"/>
          <w:spacing w:val="-25"/>
          <w:sz w:val="19"/>
          <w:szCs w:val="19"/>
        </w:rPr>
        <w:t xml:space="preserve"> </w:t>
      </w:r>
      <w:r>
        <w:rPr>
          <w:rFonts w:ascii="Times New Roman" w:hAnsi="Times New Roman" w:eastAsia="Times New Roman" w:cs="Times New Roman"/>
          <w:sz w:val="19"/>
          <w:szCs w:val="19"/>
        </w:rPr>
        <w:t>RCT</w:t>
      </w:r>
      <w:r>
        <w:rPr>
          <w:rFonts w:ascii="Times New Roman" w:hAnsi="Times New Roman" w:eastAsia="Times New Roman" w:cs="Times New Roman"/>
          <w:spacing w:val="10"/>
          <w:sz w:val="19"/>
          <w:szCs w:val="19"/>
        </w:rPr>
        <w:t>,</w:t>
      </w:r>
      <w:r>
        <w:rPr>
          <w:rFonts w:ascii="Times New Roman" w:hAnsi="Times New Roman" w:eastAsia="Times New Roman" w:cs="Times New Roman"/>
          <w:spacing w:val="1"/>
          <w:sz w:val="19"/>
          <w:szCs w:val="19"/>
        </w:rPr>
        <w:t xml:space="preserve">  </w:t>
      </w:r>
      <w:r>
        <w:rPr>
          <w:rFonts w:ascii="宋体" w:hAnsi="宋体" w:eastAsia="宋体" w:cs="宋体"/>
          <w:spacing w:val="10"/>
          <w:sz w:val="19"/>
          <w:szCs w:val="19"/>
        </w:rPr>
        <w:t>或是充分有效地控制了主要混杂因子的观察性研究。</w:t>
      </w:r>
    </w:p>
    <w:p w14:paraId="56B940D1">
      <w:pPr>
        <w:pStyle w:val="2"/>
        <w:spacing w:before="1" w:line="220" w:lineRule="auto"/>
        <w:ind w:left="443"/>
        <w:rPr>
          <w:sz w:val="24"/>
          <w:szCs w:val="24"/>
        </w:rPr>
      </w:pPr>
      <w:r>
        <w:rPr>
          <w:b/>
          <w:bCs/>
          <w:spacing w:val="-10"/>
          <w:sz w:val="24"/>
          <w:szCs w:val="24"/>
        </w:rPr>
        <w:t>(二)常见偏倚</w:t>
      </w:r>
    </w:p>
    <w:p w14:paraId="18128D5E">
      <w:pPr>
        <w:pStyle w:val="2"/>
        <w:spacing w:before="135" w:line="339" w:lineRule="auto"/>
        <w:ind w:right="566" w:firstLine="440"/>
        <w:rPr>
          <w:rFonts w:ascii="宋体" w:hAnsi="宋体" w:eastAsia="宋体" w:cs="宋体"/>
          <w:sz w:val="19"/>
          <w:szCs w:val="19"/>
        </w:rPr>
      </w:pPr>
      <w:r>
        <w:rPr>
          <w:rFonts w:ascii="宋体" w:hAnsi="宋体" w:eastAsia="宋体" w:cs="宋体"/>
          <w:spacing w:val="12"/>
          <w:sz w:val="19"/>
          <w:szCs w:val="19"/>
        </w:rPr>
        <w:t xml:space="preserve">1. </w:t>
      </w:r>
      <w:r>
        <w:rPr>
          <w:spacing w:val="12"/>
          <w:sz w:val="19"/>
          <w:szCs w:val="19"/>
        </w:rPr>
        <w:t>发表偏倚</w:t>
      </w:r>
      <w:r>
        <w:rPr>
          <w:spacing w:val="1"/>
          <w:sz w:val="19"/>
          <w:szCs w:val="19"/>
        </w:rPr>
        <w:t xml:space="preserve">  </w:t>
      </w:r>
      <w:r>
        <w:rPr>
          <w:rFonts w:ascii="宋体" w:hAnsi="宋体" w:eastAsia="宋体" w:cs="宋体"/>
          <w:spacing w:val="12"/>
          <w:sz w:val="19"/>
          <w:szCs w:val="19"/>
        </w:rPr>
        <w:t>指具有统计学意义的研究结果较无统计学意义和无效的结果被报告和发</w:t>
      </w:r>
      <w:r>
        <w:rPr>
          <w:rFonts w:ascii="宋体" w:hAnsi="宋体" w:eastAsia="宋体" w:cs="宋体"/>
          <w:spacing w:val="11"/>
          <w:sz w:val="19"/>
          <w:szCs w:val="19"/>
        </w:rPr>
        <w:t>表的可</w:t>
      </w:r>
      <w:r>
        <w:rPr>
          <w:rFonts w:ascii="宋体" w:hAnsi="宋体" w:eastAsia="宋体" w:cs="宋体"/>
          <w:spacing w:val="1"/>
          <w:sz w:val="19"/>
          <w:szCs w:val="19"/>
        </w:rPr>
        <w:t xml:space="preserve"> </w:t>
      </w:r>
      <w:r>
        <w:rPr>
          <w:rFonts w:ascii="宋体" w:hAnsi="宋体" w:eastAsia="宋体" w:cs="宋体"/>
          <w:spacing w:val="10"/>
          <w:sz w:val="19"/>
          <w:szCs w:val="19"/>
        </w:rPr>
        <w:t>能性更大。对于无统计学意义的研究，研究者可能认为意义不大，不发表或推迟发表；杂志编辑则</w:t>
      </w:r>
      <w:r>
        <w:rPr>
          <w:rFonts w:ascii="宋体" w:hAnsi="宋体" w:eastAsia="宋体" w:cs="宋体"/>
          <w:spacing w:val="16"/>
          <w:sz w:val="19"/>
          <w:szCs w:val="19"/>
        </w:rPr>
        <w:t xml:space="preserve"> </w:t>
      </w:r>
      <w:r>
        <w:rPr>
          <w:rFonts w:ascii="宋体" w:hAnsi="宋体" w:eastAsia="宋体" w:cs="宋体"/>
          <w:spacing w:val="13"/>
          <w:sz w:val="19"/>
          <w:szCs w:val="19"/>
        </w:rPr>
        <w:t>更有可能将这类论文退稿。因为存在发表偏倚，即使具备周密的检索策略和手段(</w:t>
      </w:r>
      <w:r>
        <w:rPr>
          <w:rFonts w:ascii="宋体" w:hAnsi="宋体" w:eastAsia="宋体" w:cs="宋体"/>
          <w:spacing w:val="12"/>
          <w:sz w:val="19"/>
          <w:szCs w:val="19"/>
        </w:rPr>
        <w:t>如与研究者个人</w:t>
      </w:r>
      <w:r>
        <w:rPr>
          <w:rFonts w:ascii="宋体" w:hAnsi="宋体" w:eastAsia="宋体" w:cs="宋体"/>
          <w:sz w:val="19"/>
          <w:szCs w:val="19"/>
        </w:rPr>
        <w:t xml:space="preserve"> </w:t>
      </w:r>
      <w:r>
        <w:rPr>
          <w:rFonts w:ascii="宋体" w:hAnsi="宋体" w:eastAsia="宋体" w:cs="宋体"/>
          <w:spacing w:val="14"/>
          <w:sz w:val="19"/>
          <w:szCs w:val="19"/>
        </w:rPr>
        <w:t>联系),也不可能完全地纳入所有相关研究。如果系统综述和</w:t>
      </w:r>
      <w:r>
        <w:rPr>
          <w:rFonts w:ascii="Times New Roman" w:hAnsi="Times New Roman" w:eastAsia="Times New Roman" w:cs="Times New Roman"/>
          <w:sz w:val="19"/>
          <w:szCs w:val="19"/>
        </w:rPr>
        <w:t>Meta</w:t>
      </w:r>
      <w:r>
        <w:rPr>
          <w:rFonts w:ascii="Times New Roman" w:hAnsi="Times New Roman" w:eastAsia="Times New Roman" w:cs="Times New Roman"/>
          <w:spacing w:val="14"/>
          <w:sz w:val="19"/>
          <w:szCs w:val="19"/>
        </w:rPr>
        <w:t xml:space="preserve"> </w:t>
      </w:r>
      <w:r>
        <w:rPr>
          <w:rFonts w:ascii="宋体" w:hAnsi="宋体" w:eastAsia="宋体" w:cs="宋体"/>
          <w:spacing w:val="14"/>
          <w:sz w:val="19"/>
          <w:szCs w:val="19"/>
        </w:rPr>
        <w:t>分析只是基于已经发表的研究结</w:t>
      </w:r>
      <w:r>
        <w:rPr>
          <w:rFonts w:ascii="宋体" w:hAnsi="宋体" w:eastAsia="宋体" w:cs="宋体"/>
          <w:spacing w:val="4"/>
          <w:sz w:val="19"/>
          <w:szCs w:val="19"/>
        </w:rPr>
        <w:t xml:space="preserve"> </w:t>
      </w:r>
      <w:r>
        <w:rPr>
          <w:rFonts w:ascii="宋体" w:hAnsi="宋体" w:eastAsia="宋体" w:cs="宋体"/>
          <w:spacing w:val="7"/>
          <w:sz w:val="19"/>
          <w:szCs w:val="19"/>
        </w:rPr>
        <w:t>果，可能会夸大疗效，甚至得到一个虚假的疗</w:t>
      </w:r>
      <w:r>
        <w:rPr>
          <w:rFonts w:ascii="宋体" w:hAnsi="宋体" w:eastAsia="宋体" w:cs="宋体"/>
          <w:spacing w:val="6"/>
          <w:sz w:val="19"/>
          <w:szCs w:val="19"/>
        </w:rPr>
        <w:t>效，从而导致临床个体治疗与卫生决策的失误。</w:t>
      </w:r>
      <w:r>
        <w:rPr>
          <w:rFonts w:ascii="宋体" w:hAnsi="宋体" w:eastAsia="宋体" w:cs="宋体"/>
          <w:spacing w:val="-36"/>
          <w:sz w:val="19"/>
          <w:szCs w:val="19"/>
        </w:rPr>
        <w:t xml:space="preserve"> </w:t>
      </w:r>
      <w:r>
        <w:rPr>
          <w:rFonts w:ascii="Times New Roman" w:hAnsi="Times New Roman" w:eastAsia="Times New Roman" w:cs="Times New Roman"/>
          <w:sz w:val="19"/>
          <w:szCs w:val="19"/>
        </w:rPr>
        <w:t xml:space="preserve">Egger   </w:t>
      </w:r>
      <w:r>
        <w:rPr>
          <w:rFonts w:ascii="宋体" w:hAnsi="宋体" w:eastAsia="宋体" w:cs="宋体"/>
          <w:spacing w:val="11"/>
          <w:sz w:val="19"/>
          <w:szCs w:val="19"/>
        </w:rPr>
        <w:t>通过追踪医学伦理委员会批准的研究方案在随后几年发表的情况，总结出：</w:t>
      </w:r>
      <w:r>
        <w:rPr>
          <w:rFonts w:ascii="宋体" w:hAnsi="宋体" w:eastAsia="宋体" w:cs="宋体"/>
          <w:spacing w:val="10"/>
          <w:sz w:val="19"/>
          <w:szCs w:val="19"/>
        </w:rPr>
        <w:t>阳性结果的研究发表的</w:t>
      </w:r>
      <w:r>
        <w:rPr>
          <w:rFonts w:ascii="宋体" w:hAnsi="宋体" w:eastAsia="宋体" w:cs="宋体"/>
          <w:sz w:val="19"/>
          <w:szCs w:val="19"/>
        </w:rPr>
        <w:t xml:space="preserve"> </w:t>
      </w:r>
      <w:r>
        <w:rPr>
          <w:rFonts w:ascii="宋体" w:hAnsi="宋体" w:eastAsia="宋体" w:cs="宋体"/>
          <w:spacing w:val="14"/>
          <w:sz w:val="19"/>
          <w:szCs w:val="19"/>
        </w:rPr>
        <w:t>可能性是阴性结果的研究的3倍(95%</w:t>
      </w:r>
      <w:r>
        <w:rPr>
          <w:rFonts w:ascii="Times New Roman" w:hAnsi="Times New Roman" w:eastAsia="Times New Roman" w:cs="Times New Roman"/>
          <w:sz w:val="19"/>
          <w:szCs w:val="19"/>
        </w:rPr>
        <w:t>CI</w:t>
      </w:r>
      <w:r>
        <w:rPr>
          <w:rFonts w:ascii="Times New Roman" w:hAnsi="Times New Roman" w:eastAsia="Times New Roman" w:cs="Times New Roman"/>
          <w:spacing w:val="14"/>
          <w:sz w:val="19"/>
          <w:szCs w:val="19"/>
        </w:rPr>
        <w:t>;2.3</w:t>
      </w:r>
      <w:r>
        <w:rPr>
          <w:rFonts w:ascii="宋体" w:hAnsi="宋体" w:eastAsia="宋体" w:cs="宋体"/>
          <w:spacing w:val="14"/>
          <w:sz w:val="19"/>
          <w:szCs w:val="19"/>
        </w:rPr>
        <w:t>～</w:t>
      </w:r>
      <w:r>
        <w:rPr>
          <w:rFonts w:ascii="Times New Roman" w:hAnsi="Times New Roman" w:eastAsia="Times New Roman" w:cs="Times New Roman"/>
          <w:spacing w:val="14"/>
          <w:sz w:val="19"/>
          <w:szCs w:val="19"/>
        </w:rPr>
        <w:t xml:space="preserve">3.9),   </w:t>
      </w:r>
      <w:r>
        <w:rPr>
          <w:rFonts w:ascii="宋体" w:hAnsi="宋体" w:eastAsia="宋体" w:cs="宋体"/>
          <w:spacing w:val="14"/>
          <w:sz w:val="19"/>
          <w:szCs w:val="19"/>
        </w:rPr>
        <w:t>并且发表偏倚在临床试验和观察性研究中均存</w:t>
      </w:r>
      <w:r>
        <w:rPr>
          <w:rFonts w:ascii="宋体" w:hAnsi="宋体" w:eastAsia="宋体" w:cs="宋体"/>
          <w:spacing w:val="7"/>
          <w:sz w:val="19"/>
          <w:szCs w:val="19"/>
        </w:rPr>
        <w:t xml:space="preserve"> </w:t>
      </w:r>
      <w:r>
        <w:rPr>
          <w:rFonts w:ascii="宋体" w:hAnsi="宋体" w:eastAsia="宋体" w:cs="宋体"/>
          <w:spacing w:val="12"/>
          <w:sz w:val="19"/>
          <w:szCs w:val="19"/>
        </w:rPr>
        <w:t>在。此外，阳性结果发表的时间也比阴性结果发表的时间</w:t>
      </w:r>
      <w:r>
        <w:rPr>
          <w:rFonts w:ascii="宋体" w:hAnsi="宋体" w:eastAsia="宋体" w:cs="宋体"/>
          <w:spacing w:val="11"/>
          <w:sz w:val="19"/>
          <w:szCs w:val="19"/>
        </w:rPr>
        <w:t>平均要早上3～4年。</w:t>
      </w:r>
      <w:r>
        <w:rPr>
          <w:rFonts w:ascii="宋体" w:hAnsi="宋体" w:eastAsia="宋体" w:cs="宋体"/>
          <w:spacing w:val="53"/>
          <w:sz w:val="19"/>
          <w:szCs w:val="19"/>
        </w:rPr>
        <w:t xml:space="preserve"> </w:t>
      </w:r>
      <w:r>
        <w:rPr>
          <w:rFonts w:ascii="宋体" w:hAnsi="宋体" w:eastAsia="宋体" w:cs="宋体"/>
          <w:spacing w:val="11"/>
          <w:sz w:val="19"/>
          <w:szCs w:val="19"/>
        </w:rPr>
        <w:t>一个好的系统综述</w:t>
      </w:r>
      <w:r>
        <w:rPr>
          <w:rFonts w:ascii="宋体" w:hAnsi="宋体" w:eastAsia="宋体" w:cs="宋体"/>
          <w:sz w:val="19"/>
          <w:szCs w:val="19"/>
        </w:rPr>
        <w:t xml:space="preserve"> </w:t>
      </w:r>
      <w:r>
        <w:rPr>
          <w:rFonts w:ascii="宋体" w:hAnsi="宋体" w:eastAsia="宋体" w:cs="宋体"/>
          <w:spacing w:val="12"/>
          <w:sz w:val="19"/>
          <w:szCs w:val="19"/>
        </w:rPr>
        <w:t>和</w:t>
      </w:r>
      <w:r>
        <w:rPr>
          <w:rFonts w:ascii="宋体" w:hAnsi="宋体" w:eastAsia="宋体" w:cs="宋体"/>
          <w:spacing w:val="-29"/>
          <w:sz w:val="19"/>
          <w:szCs w:val="19"/>
        </w:rPr>
        <w:t xml:space="preserve"> </w:t>
      </w:r>
      <w:r>
        <w:rPr>
          <w:rFonts w:ascii="宋体" w:hAnsi="宋体" w:eastAsia="宋体" w:cs="宋体"/>
          <w:sz w:val="19"/>
          <w:szCs w:val="19"/>
        </w:rPr>
        <w:t>Meta</w:t>
      </w:r>
      <w:r>
        <w:rPr>
          <w:rFonts w:ascii="宋体" w:hAnsi="宋体" w:eastAsia="宋体" w:cs="宋体"/>
          <w:spacing w:val="-14"/>
          <w:sz w:val="19"/>
          <w:szCs w:val="19"/>
        </w:rPr>
        <w:t xml:space="preserve"> </w:t>
      </w:r>
      <w:r>
        <w:rPr>
          <w:rFonts w:ascii="宋体" w:hAnsi="宋体" w:eastAsia="宋体" w:cs="宋体"/>
          <w:spacing w:val="12"/>
          <w:sz w:val="19"/>
          <w:szCs w:val="19"/>
        </w:rPr>
        <w:t>分析应包括所有与课题有关的可获得的资料，即包括已发表和未发表的研究。由于未发表</w:t>
      </w:r>
      <w:r>
        <w:rPr>
          <w:rFonts w:ascii="宋体" w:hAnsi="宋体" w:eastAsia="宋体" w:cs="宋体"/>
          <w:sz w:val="19"/>
          <w:szCs w:val="19"/>
        </w:rPr>
        <w:t xml:space="preserve"> </w:t>
      </w:r>
      <w:r>
        <w:rPr>
          <w:rFonts w:ascii="宋体" w:hAnsi="宋体" w:eastAsia="宋体" w:cs="宋体"/>
          <w:spacing w:val="12"/>
          <w:sz w:val="19"/>
          <w:szCs w:val="19"/>
        </w:rPr>
        <w:t>的研究难以获得，实际操作中常常以发表的文献为主，但应尽最大可能</w:t>
      </w:r>
      <w:r>
        <w:rPr>
          <w:rFonts w:ascii="宋体" w:hAnsi="宋体" w:eastAsia="宋体" w:cs="宋体"/>
          <w:spacing w:val="11"/>
          <w:sz w:val="19"/>
          <w:szCs w:val="19"/>
        </w:rPr>
        <w:t>收集未发表的研究。当然，</w:t>
      </w:r>
      <w:r>
        <w:rPr>
          <w:rFonts w:ascii="宋体" w:hAnsi="宋体" w:eastAsia="宋体" w:cs="宋体"/>
          <w:sz w:val="19"/>
          <w:szCs w:val="19"/>
        </w:rPr>
        <w:t xml:space="preserve"> </w:t>
      </w:r>
      <w:r>
        <w:rPr>
          <w:rFonts w:ascii="宋体" w:hAnsi="宋体" w:eastAsia="宋体" w:cs="宋体"/>
          <w:spacing w:val="5"/>
          <w:sz w:val="19"/>
          <w:szCs w:val="19"/>
        </w:rPr>
        <w:t>也有学者认为，真正未发表的资料可能其设计不够严谨，资料质量比较差，可信性低，因而不宜将其</w:t>
      </w:r>
      <w:r>
        <w:rPr>
          <w:rFonts w:ascii="宋体" w:hAnsi="宋体" w:eastAsia="宋体" w:cs="宋体"/>
          <w:spacing w:val="3"/>
          <w:sz w:val="19"/>
          <w:szCs w:val="19"/>
        </w:rPr>
        <w:t xml:space="preserve">  </w:t>
      </w:r>
      <w:r>
        <w:rPr>
          <w:rFonts w:ascii="宋体" w:hAnsi="宋体" w:eastAsia="宋体" w:cs="宋体"/>
          <w:spacing w:val="7"/>
          <w:sz w:val="19"/>
          <w:szCs w:val="19"/>
        </w:rPr>
        <w:t>结果合并；即使合并，对发表和未发表资料给予相同的权重亦似乎不妥。</w:t>
      </w:r>
    </w:p>
    <w:p w14:paraId="5A3C57B1">
      <w:pPr>
        <w:spacing w:before="203" w:line="198" w:lineRule="auto"/>
        <w:ind w:left="440"/>
        <w:rPr>
          <w:rFonts w:ascii="宋体" w:hAnsi="宋体" w:eastAsia="宋体" w:cs="宋体"/>
          <w:sz w:val="19"/>
          <w:szCs w:val="19"/>
        </w:rPr>
      </w:pPr>
      <w:r>
        <w:rPr>
          <w:rFonts w:ascii="Times New Roman" w:hAnsi="Times New Roman" w:eastAsia="Times New Roman" w:cs="Times New Roman"/>
          <w:spacing w:val="12"/>
          <w:sz w:val="19"/>
          <w:szCs w:val="19"/>
        </w:rPr>
        <w:t xml:space="preserve">2.   </w:t>
      </w:r>
      <w:r>
        <w:rPr>
          <w:rFonts w:ascii="宋体" w:hAnsi="宋体" w:eastAsia="宋体" w:cs="宋体"/>
          <w:spacing w:val="12"/>
          <w:sz w:val="19"/>
          <w:szCs w:val="19"/>
        </w:rPr>
        <w:t>文献检索偏倚</w:t>
      </w:r>
      <w:r>
        <w:rPr>
          <w:rFonts w:ascii="Times New Roman" w:hAnsi="Times New Roman" w:eastAsia="Times New Roman" w:cs="Times New Roman"/>
          <w:spacing w:val="12"/>
          <w:sz w:val="19"/>
          <w:szCs w:val="19"/>
        </w:rPr>
        <w:t>(</w:t>
      </w:r>
      <w:r>
        <w:rPr>
          <w:rFonts w:ascii="Times New Roman" w:hAnsi="Times New Roman" w:eastAsia="Times New Roman" w:cs="Times New Roman"/>
          <w:sz w:val="19"/>
          <w:szCs w:val="19"/>
        </w:rPr>
        <w:t>location    bias</w:t>
      </w:r>
      <w:r>
        <w:rPr>
          <w:rFonts w:ascii="Times New Roman" w:hAnsi="Times New Roman" w:eastAsia="Times New Roman" w:cs="Times New Roman"/>
          <w:spacing w:val="12"/>
          <w:sz w:val="19"/>
          <w:szCs w:val="19"/>
        </w:rPr>
        <w:t xml:space="preserve">)  </w:t>
      </w:r>
      <w:r>
        <w:rPr>
          <w:rFonts w:ascii="宋体" w:hAnsi="宋体" w:eastAsia="宋体" w:cs="宋体"/>
          <w:spacing w:val="12"/>
          <w:sz w:val="19"/>
          <w:szCs w:val="19"/>
        </w:rPr>
        <w:t>文献检索偏倚是指在文献检索中采用的检索策略或检索工具</w:t>
      </w:r>
    </w:p>
    <w:p w14:paraId="4E534118">
      <w:pPr>
        <w:spacing w:line="198" w:lineRule="auto"/>
        <w:rPr>
          <w:rFonts w:ascii="宋体" w:hAnsi="宋体" w:eastAsia="宋体" w:cs="宋体"/>
          <w:sz w:val="19"/>
          <w:szCs w:val="19"/>
        </w:rPr>
        <w:sectPr>
          <w:type w:val="continuous"/>
          <w:pgSz w:w="11900" w:h="16820"/>
          <w:pgMar w:top="400" w:right="1048" w:bottom="952" w:left="1609" w:header="0" w:footer="781" w:gutter="0"/>
          <w:cols w:equalWidth="0" w:num="1">
            <w:col w:w="9242"/>
          </w:cols>
        </w:sectPr>
      </w:pPr>
    </w:p>
    <w:p w14:paraId="789FF3DB">
      <w:pPr>
        <w:spacing w:line="332" w:lineRule="auto"/>
        <w:rPr>
          <w:rFonts w:ascii="Arial"/>
          <w:sz w:val="21"/>
        </w:rPr>
      </w:pPr>
    </w:p>
    <w:p w14:paraId="5ADA4F41">
      <w:pPr>
        <w:pStyle w:val="2"/>
        <w:spacing w:before="61" w:line="221" w:lineRule="auto"/>
        <w:ind w:left="649"/>
        <w:rPr>
          <w:sz w:val="19"/>
          <w:szCs w:val="19"/>
        </w:rPr>
      </w:pPr>
      <w:r>
        <w:rPr>
          <w:spacing w:val="-20"/>
          <w:w w:val="98"/>
          <w:sz w:val="19"/>
          <w:szCs w:val="19"/>
        </w:rPr>
        <w:t>第十八章 循证医学与系统综述</w:t>
      </w:r>
    </w:p>
    <w:p w14:paraId="2047EA02">
      <w:pPr>
        <w:spacing w:line="273" w:lineRule="auto"/>
        <w:rPr>
          <w:rFonts w:ascii="Arial"/>
          <w:sz w:val="21"/>
        </w:rPr>
      </w:pPr>
    </w:p>
    <w:p w14:paraId="72754BCA">
      <w:pPr>
        <w:spacing w:line="273" w:lineRule="auto"/>
        <w:rPr>
          <w:rFonts w:ascii="Arial"/>
          <w:sz w:val="21"/>
        </w:rPr>
      </w:pPr>
    </w:p>
    <w:p w14:paraId="0DB6A2DE">
      <w:pPr>
        <w:spacing w:before="62" w:line="349" w:lineRule="auto"/>
        <w:ind w:left="649" w:right="80"/>
        <w:rPr>
          <w:rFonts w:ascii="宋体" w:hAnsi="宋体" w:eastAsia="宋体" w:cs="宋体"/>
          <w:sz w:val="19"/>
          <w:szCs w:val="19"/>
        </w:rPr>
      </w:pPr>
      <w:r>
        <w:rPr>
          <w:rFonts w:ascii="宋体" w:hAnsi="宋体" w:eastAsia="宋体" w:cs="宋体"/>
          <w:spacing w:val="8"/>
          <w:sz w:val="19"/>
          <w:szCs w:val="19"/>
        </w:rPr>
        <w:t>不具有代表性，如仅检索中文数据库或仅收录英文的文章而出现的偏倚。不同语种对发表研究的</w:t>
      </w:r>
      <w:r>
        <w:rPr>
          <w:rFonts w:ascii="宋体" w:hAnsi="宋体" w:eastAsia="宋体" w:cs="宋体"/>
          <w:spacing w:val="17"/>
          <w:sz w:val="19"/>
          <w:szCs w:val="19"/>
        </w:rPr>
        <w:t xml:space="preserve"> </w:t>
      </w:r>
      <w:r>
        <w:rPr>
          <w:rFonts w:ascii="宋体" w:hAnsi="宋体" w:eastAsia="宋体" w:cs="宋体"/>
          <w:spacing w:val="8"/>
          <w:sz w:val="19"/>
          <w:szCs w:val="19"/>
        </w:rPr>
        <w:t>倾向性不同，如德文杂志较英文杂志更倾向于发表阴性结果的研究等。其中将检索限定在某种语</w:t>
      </w:r>
      <w:r>
        <w:rPr>
          <w:rFonts w:ascii="宋体" w:hAnsi="宋体" w:eastAsia="宋体" w:cs="宋体"/>
          <w:spacing w:val="11"/>
          <w:sz w:val="19"/>
          <w:szCs w:val="19"/>
        </w:rPr>
        <w:t xml:space="preserve"> </w:t>
      </w:r>
      <w:r>
        <w:rPr>
          <w:rFonts w:ascii="宋体" w:hAnsi="宋体" w:eastAsia="宋体" w:cs="宋体"/>
          <w:spacing w:val="4"/>
          <w:sz w:val="19"/>
          <w:szCs w:val="19"/>
        </w:rPr>
        <w:t>言引起的偏倚，称为语言偏倚。例如一项评价研究发现，在第一作者相同的情况</w:t>
      </w:r>
      <w:r>
        <w:rPr>
          <w:rFonts w:ascii="宋体" w:hAnsi="宋体" w:eastAsia="宋体" w:cs="宋体"/>
          <w:spacing w:val="3"/>
          <w:sz w:val="19"/>
          <w:szCs w:val="19"/>
        </w:rPr>
        <w:t>下，随机化试验的</w:t>
      </w:r>
      <w:r>
        <w:rPr>
          <w:rFonts w:ascii="宋体" w:hAnsi="宋体" w:eastAsia="宋体" w:cs="宋体"/>
          <w:sz w:val="19"/>
          <w:szCs w:val="19"/>
        </w:rPr>
        <w:t xml:space="preserve"> </w:t>
      </w:r>
      <w:r>
        <w:rPr>
          <w:rFonts w:ascii="宋体" w:hAnsi="宋体" w:eastAsia="宋体" w:cs="宋体"/>
          <w:spacing w:val="10"/>
          <w:sz w:val="19"/>
          <w:szCs w:val="19"/>
        </w:rPr>
        <w:t>结果为阳性时使用英文发表的占63%,而用德文发表的仅占35</w:t>
      </w:r>
      <w:r>
        <w:rPr>
          <w:rFonts w:ascii="宋体" w:hAnsi="宋体" w:eastAsia="宋体" w:cs="宋体"/>
          <w:spacing w:val="9"/>
          <w:sz w:val="19"/>
          <w:szCs w:val="19"/>
        </w:rPr>
        <w:t>%,差异具有统计学意义(P&lt;0.05),</w:t>
      </w:r>
    </w:p>
    <w:p w14:paraId="714FB5B0">
      <w:pPr>
        <w:spacing w:line="352" w:lineRule="auto"/>
        <w:ind w:left="649"/>
        <w:rPr>
          <w:rFonts w:ascii="宋体" w:hAnsi="宋体" w:eastAsia="宋体" w:cs="宋体"/>
          <w:sz w:val="19"/>
          <w:szCs w:val="19"/>
        </w:rPr>
      </w:pPr>
      <w:r>
        <w:rPr>
          <w:rFonts w:ascii="宋体" w:hAnsi="宋体" w:eastAsia="宋体" w:cs="宋体"/>
          <w:sz w:val="19"/>
          <w:szCs w:val="19"/>
        </w:rPr>
        <w:t>Logistic</w:t>
      </w:r>
      <w:r>
        <w:rPr>
          <w:rFonts w:ascii="宋体" w:hAnsi="宋体" w:eastAsia="宋体" w:cs="宋体"/>
          <w:spacing w:val="4"/>
          <w:sz w:val="19"/>
          <w:szCs w:val="19"/>
        </w:rPr>
        <w:t>回归分析显示，阳性结果使用英文发表的</w:t>
      </w:r>
      <w:r>
        <w:rPr>
          <w:rFonts w:ascii="宋体" w:hAnsi="宋体" w:eastAsia="宋体" w:cs="宋体"/>
          <w:sz w:val="19"/>
          <w:szCs w:val="19"/>
        </w:rPr>
        <w:t>OR</w:t>
      </w:r>
      <w:r>
        <w:rPr>
          <w:rFonts w:ascii="宋体" w:hAnsi="宋体" w:eastAsia="宋体" w:cs="宋体"/>
          <w:spacing w:val="31"/>
          <w:sz w:val="19"/>
          <w:szCs w:val="19"/>
        </w:rPr>
        <w:t xml:space="preserve"> </w:t>
      </w:r>
      <w:r>
        <w:rPr>
          <w:rFonts w:ascii="宋体" w:hAnsi="宋体" w:eastAsia="宋体" w:cs="宋体"/>
          <w:spacing w:val="4"/>
          <w:sz w:val="19"/>
          <w:szCs w:val="19"/>
        </w:rPr>
        <w:t>值为3.82(95%</w:t>
      </w:r>
      <w:r>
        <w:rPr>
          <w:rFonts w:ascii="宋体" w:hAnsi="宋体" w:eastAsia="宋体" w:cs="宋体"/>
          <w:sz w:val="19"/>
          <w:szCs w:val="19"/>
        </w:rPr>
        <w:t>CI</w:t>
      </w:r>
      <w:r>
        <w:rPr>
          <w:rFonts w:ascii="宋体" w:hAnsi="宋体" w:eastAsia="宋体" w:cs="宋体"/>
          <w:spacing w:val="4"/>
          <w:sz w:val="19"/>
          <w:szCs w:val="19"/>
        </w:rPr>
        <w:t>:1.33～1</w:t>
      </w:r>
      <w:r>
        <w:rPr>
          <w:rFonts w:ascii="宋体" w:hAnsi="宋体" w:eastAsia="宋体" w:cs="宋体"/>
          <w:spacing w:val="3"/>
          <w:sz w:val="19"/>
          <w:szCs w:val="19"/>
        </w:rPr>
        <w:t>1.35)。这样</w:t>
      </w:r>
      <w:r>
        <w:rPr>
          <w:rFonts w:ascii="宋体" w:hAnsi="宋体" w:eastAsia="宋体" w:cs="宋体"/>
          <w:spacing w:val="-56"/>
          <w:sz w:val="19"/>
          <w:szCs w:val="19"/>
        </w:rPr>
        <w:t xml:space="preserve"> </w:t>
      </w:r>
      <w:r>
        <w:rPr>
          <w:rFonts w:ascii="宋体" w:hAnsi="宋体" w:eastAsia="宋体" w:cs="宋体"/>
          <w:spacing w:val="3"/>
          <w:sz w:val="19"/>
          <w:szCs w:val="19"/>
        </w:rPr>
        <w:t>一来，</w:t>
      </w:r>
      <w:r>
        <w:rPr>
          <w:rFonts w:ascii="宋体" w:hAnsi="宋体" w:eastAsia="宋体" w:cs="宋体"/>
          <w:sz w:val="19"/>
          <w:szCs w:val="19"/>
        </w:rPr>
        <w:t xml:space="preserve"> </w:t>
      </w:r>
      <w:r>
        <w:rPr>
          <w:rFonts w:ascii="宋体" w:hAnsi="宋体" w:eastAsia="宋体" w:cs="宋体"/>
          <w:spacing w:val="1"/>
          <w:sz w:val="19"/>
          <w:szCs w:val="19"/>
        </w:rPr>
        <w:t>如</w:t>
      </w:r>
      <w:r>
        <w:rPr>
          <w:rFonts w:ascii="宋体" w:hAnsi="宋体" w:eastAsia="宋体" w:cs="宋体"/>
          <w:spacing w:val="-32"/>
          <w:sz w:val="19"/>
          <w:szCs w:val="19"/>
        </w:rPr>
        <w:t xml:space="preserve"> </w:t>
      </w:r>
      <w:r>
        <w:rPr>
          <w:rFonts w:ascii="宋体" w:hAnsi="宋体" w:eastAsia="宋体" w:cs="宋体"/>
          <w:spacing w:val="1"/>
          <w:sz w:val="19"/>
          <w:szCs w:val="19"/>
        </w:rPr>
        <w:t>果</w:t>
      </w:r>
      <w:r>
        <w:rPr>
          <w:rFonts w:ascii="Times New Roman" w:hAnsi="Times New Roman" w:eastAsia="Times New Roman" w:cs="Times New Roman"/>
          <w:sz w:val="19"/>
          <w:szCs w:val="19"/>
        </w:rPr>
        <w:t>Meta</w:t>
      </w:r>
      <w:r>
        <w:rPr>
          <w:rFonts w:ascii="Times New Roman" w:hAnsi="Times New Roman" w:eastAsia="Times New Roman" w:cs="Times New Roman"/>
          <w:spacing w:val="1"/>
          <w:sz w:val="19"/>
          <w:szCs w:val="19"/>
        </w:rPr>
        <w:t xml:space="preserve"> </w:t>
      </w:r>
      <w:r>
        <w:rPr>
          <w:rFonts w:ascii="宋体" w:hAnsi="宋体" w:eastAsia="宋体" w:cs="宋体"/>
          <w:spacing w:val="1"/>
          <w:sz w:val="19"/>
          <w:szCs w:val="19"/>
        </w:rPr>
        <w:t>分析只是基于英文报告，就可能引人偏倚。再如，世界上几个主要的医学文献检索库，如</w:t>
      </w:r>
      <w:r>
        <w:rPr>
          <w:rFonts w:ascii="宋体" w:hAnsi="宋体" w:eastAsia="宋体" w:cs="宋体"/>
          <w:sz w:val="19"/>
          <w:szCs w:val="19"/>
        </w:rPr>
        <w:t xml:space="preserve">  Medline</w:t>
      </w:r>
      <w:r>
        <w:rPr>
          <w:rFonts w:ascii="宋体" w:hAnsi="宋体" w:eastAsia="宋体" w:cs="宋体"/>
          <w:spacing w:val="9"/>
          <w:sz w:val="19"/>
          <w:szCs w:val="19"/>
        </w:rPr>
        <w:t>、</w:t>
      </w:r>
      <w:r>
        <w:rPr>
          <w:rFonts w:ascii="宋体" w:hAnsi="宋体" w:eastAsia="宋体" w:cs="宋体"/>
          <w:sz w:val="19"/>
          <w:szCs w:val="19"/>
        </w:rPr>
        <w:t>Embase</w:t>
      </w:r>
      <w:r>
        <w:rPr>
          <w:rFonts w:ascii="宋体" w:hAnsi="宋体" w:eastAsia="宋体" w:cs="宋体"/>
          <w:spacing w:val="9"/>
          <w:sz w:val="19"/>
          <w:szCs w:val="19"/>
        </w:rPr>
        <w:t>,虽然包括了3000～4000种杂志，但绝大部分来自发达国家，来</w:t>
      </w:r>
      <w:r>
        <w:rPr>
          <w:rFonts w:ascii="宋体" w:hAnsi="宋体" w:eastAsia="宋体" w:cs="宋体"/>
          <w:spacing w:val="8"/>
          <w:sz w:val="19"/>
          <w:szCs w:val="19"/>
        </w:rPr>
        <w:t>自发展中国家的</w:t>
      </w:r>
      <w:r>
        <w:rPr>
          <w:rFonts w:ascii="宋体" w:hAnsi="宋体" w:eastAsia="宋体" w:cs="宋体"/>
          <w:sz w:val="19"/>
          <w:szCs w:val="19"/>
        </w:rPr>
        <w:t xml:space="preserve">  </w:t>
      </w:r>
      <w:r>
        <w:rPr>
          <w:rFonts w:ascii="宋体" w:hAnsi="宋体" w:eastAsia="宋体" w:cs="宋体"/>
          <w:spacing w:val="15"/>
          <w:sz w:val="19"/>
          <w:szCs w:val="19"/>
        </w:rPr>
        <w:t>仅占2%,而发展中国家具有阳性结果的研究可能更容易发表在来自印度的3</w:t>
      </w:r>
      <w:r>
        <w:rPr>
          <w:rFonts w:ascii="宋体" w:hAnsi="宋体" w:eastAsia="宋体" w:cs="宋体"/>
          <w:spacing w:val="14"/>
          <w:sz w:val="19"/>
          <w:szCs w:val="19"/>
        </w:rPr>
        <w:t>0种使用英语的杂志</w:t>
      </w:r>
      <w:r>
        <w:rPr>
          <w:rFonts w:ascii="宋体" w:hAnsi="宋体" w:eastAsia="宋体" w:cs="宋体"/>
          <w:sz w:val="19"/>
          <w:szCs w:val="19"/>
        </w:rPr>
        <w:t xml:space="preserve">  </w:t>
      </w:r>
      <w:r>
        <w:rPr>
          <w:rFonts w:ascii="宋体" w:hAnsi="宋体" w:eastAsia="宋体" w:cs="宋体"/>
          <w:spacing w:val="-6"/>
          <w:sz w:val="19"/>
          <w:szCs w:val="19"/>
        </w:rPr>
        <w:t>中，从而引人偏倚，这种偏倚称为文献库偏倚(dat</w:t>
      </w:r>
      <w:r>
        <w:rPr>
          <w:rFonts w:ascii="宋体" w:hAnsi="宋体" w:eastAsia="宋体" w:cs="宋体"/>
          <w:spacing w:val="-7"/>
          <w:sz w:val="19"/>
          <w:szCs w:val="19"/>
        </w:rPr>
        <w:t>abase bias)。</w:t>
      </w:r>
    </w:p>
    <w:p w14:paraId="75DDB9EA">
      <w:pPr>
        <w:pStyle w:val="2"/>
        <w:spacing w:before="53" w:line="334" w:lineRule="auto"/>
        <w:ind w:left="649" w:right="19" w:firstLine="389"/>
        <w:rPr>
          <w:rFonts w:ascii="宋体" w:hAnsi="宋体" w:eastAsia="宋体" w:cs="宋体"/>
          <w:sz w:val="19"/>
          <w:szCs w:val="19"/>
        </w:rPr>
      </w:pPr>
      <w:r>
        <w:rPr>
          <w:rFonts w:ascii="Times New Roman" w:hAnsi="Times New Roman" w:eastAsia="Times New Roman" w:cs="Times New Roman"/>
          <w:spacing w:val="6"/>
          <w:sz w:val="19"/>
          <w:szCs w:val="19"/>
        </w:rPr>
        <w:t>3.</w:t>
      </w:r>
      <w:r>
        <w:rPr>
          <w:rFonts w:ascii="Times New Roman" w:hAnsi="Times New Roman" w:eastAsia="Times New Roman" w:cs="Times New Roman"/>
          <w:spacing w:val="15"/>
          <w:sz w:val="19"/>
          <w:szCs w:val="19"/>
        </w:rPr>
        <w:t xml:space="preserve">  </w:t>
      </w:r>
      <w:r>
        <w:rPr>
          <w:spacing w:val="6"/>
          <w:sz w:val="19"/>
          <w:szCs w:val="19"/>
        </w:rPr>
        <w:t>引用偏倚</w:t>
      </w:r>
      <w:r>
        <w:rPr>
          <w:rFonts w:ascii="Times New Roman" w:hAnsi="Times New Roman" w:eastAsia="Times New Roman" w:cs="Times New Roman"/>
          <w:spacing w:val="6"/>
          <w:sz w:val="19"/>
          <w:szCs w:val="19"/>
        </w:rPr>
        <w:t>(</w:t>
      </w:r>
      <w:r>
        <w:rPr>
          <w:rFonts w:ascii="Times New Roman" w:hAnsi="Times New Roman" w:eastAsia="Times New Roman" w:cs="Times New Roman"/>
          <w:sz w:val="19"/>
          <w:szCs w:val="19"/>
        </w:rPr>
        <w:t>citation</w:t>
      </w:r>
      <w:r>
        <w:rPr>
          <w:rFonts w:ascii="Times New Roman" w:hAnsi="Times New Roman" w:eastAsia="Times New Roman" w:cs="Times New Roman"/>
          <w:spacing w:val="6"/>
          <w:sz w:val="19"/>
          <w:szCs w:val="19"/>
        </w:rPr>
        <w:t xml:space="preserve">    </w:t>
      </w:r>
      <w:r>
        <w:rPr>
          <w:rFonts w:ascii="Times New Roman" w:hAnsi="Times New Roman" w:eastAsia="Times New Roman" w:cs="Times New Roman"/>
          <w:sz w:val="19"/>
          <w:szCs w:val="19"/>
        </w:rPr>
        <w:t>bias</w:t>
      </w:r>
      <w:r>
        <w:rPr>
          <w:rFonts w:ascii="Times New Roman" w:hAnsi="Times New Roman" w:eastAsia="Times New Roman" w:cs="Times New Roman"/>
          <w:spacing w:val="6"/>
          <w:sz w:val="19"/>
          <w:szCs w:val="19"/>
        </w:rPr>
        <w:t xml:space="preserve">)   </w:t>
      </w:r>
      <w:r>
        <w:rPr>
          <w:rFonts w:ascii="宋体" w:hAnsi="宋体" w:eastAsia="宋体" w:cs="宋体"/>
          <w:spacing w:val="6"/>
          <w:sz w:val="19"/>
          <w:szCs w:val="19"/>
        </w:rPr>
        <w:t>手工检索文献时，通过文章后面所列的参考文献可以进一步查找</w:t>
      </w:r>
      <w:r>
        <w:rPr>
          <w:rFonts w:ascii="宋体" w:hAnsi="宋体" w:eastAsia="宋体" w:cs="宋体"/>
          <w:sz w:val="19"/>
          <w:szCs w:val="19"/>
        </w:rPr>
        <w:t xml:space="preserve"> </w:t>
      </w:r>
      <w:r>
        <w:rPr>
          <w:rFonts w:ascii="宋体" w:hAnsi="宋体" w:eastAsia="宋体" w:cs="宋体"/>
          <w:spacing w:val="8"/>
          <w:sz w:val="19"/>
          <w:szCs w:val="19"/>
        </w:rPr>
        <w:t>其他相关文章。但在</w:t>
      </w:r>
      <w:r>
        <w:rPr>
          <w:rFonts w:ascii="Times New Roman" w:hAnsi="Times New Roman" w:eastAsia="Times New Roman" w:cs="Times New Roman"/>
          <w:sz w:val="19"/>
          <w:szCs w:val="19"/>
        </w:rPr>
        <w:t>Meta</w:t>
      </w:r>
      <w:r>
        <w:rPr>
          <w:rFonts w:ascii="Times New Roman" w:hAnsi="Times New Roman" w:eastAsia="Times New Roman" w:cs="Times New Roman"/>
          <w:spacing w:val="-14"/>
          <w:sz w:val="19"/>
          <w:szCs w:val="19"/>
        </w:rPr>
        <w:t xml:space="preserve"> </w:t>
      </w:r>
      <w:r>
        <w:rPr>
          <w:rFonts w:ascii="宋体" w:hAnsi="宋体" w:eastAsia="宋体" w:cs="宋体"/>
          <w:spacing w:val="8"/>
          <w:sz w:val="19"/>
          <w:szCs w:val="19"/>
        </w:rPr>
        <w:t>分析中这种途径可能带来引用</w:t>
      </w:r>
      <w:r>
        <w:rPr>
          <w:rFonts w:ascii="宋体" w:hAnsi="宋体" w:eastAsia="宋体" w:cs="宋体"/>
          <w:spacing w:val="7"/>
          <w:sz w:val="19"/>
          <w:szCs w:val="19"/>
        </w:rPr>
        <w:t>偏倚，因为支持阳性结果的试验比不支持</w:t>
      </w:r>
      <w:r>
        <w:rPr>
          <w:rFonts w:ascii="宋体" w:hAnsi="宋体" w:eastAsia="宋体" w:cs="宋体"/>
          <w:sz w:val="19"/>
          <w:szCs w:val="19"/>
        </w:rPr>
        <w:t xml:space="preserve"> </w:t>
      </w:r>
      <w:r>
        <w:rPr>
          <w:rFonts w:ascii="宋体" w:hAnsi="宋体" w:eastAsia="宋体" w:cs="宋体"/>
          <w:spacing w:val="10"/>
          <w:sz w:val="19"/>
          <w:szCs w:val="19"/>
        </w:rPr>
        <w:t>的试验可能更多地被作为参考文献加以引用。此外，杂志的知名度对文章的引用也</w:t>
      </w:r>
      <w:r>
        <w:rPr>
          <w:rFonts w:ascii="宋体" w:hAnsi="宋体" w:eastAsia="宋体" w:cs="宋体"/>
          <w:spacing w:val="9"/>
          <w:sz w:val="19"/>
          <w:szCs w:val="19"/>
        </w:rPr>
        <w:t>会产生影响。</w:t>
      </w:r>
      <w:r>
        <w:rPr>
          <w:rFonts w:ascii="宋体" w:hAnsi="宋体" w:eastAsia="宋体" w:cs="宋体"/>
          <w:sz w:val="19"/>
          <w:szCs w:val="19"/>
        </w:rPr>
        <w:t xml:space="preserve"> </w:t>
      </w:r>
      <w:r>
        <w:rPr>
          <w:rFonts w:ascii="宋体" w:hAnsi="宋体" w:eastAsia="宋体" w:cs="宋体"/>
          <w:spacing w:val="4"/>
          <w:sz w:val="19"/>
          <w:szCs w:val="19"/>
        </w:rPr>
        <w:t>例如，一项很有影响的降脂试验，最初计划包括评价其第一级预</w:t>
      </w:r>
      <w:r>
        <w:rPr>
          <w:rFonts w:ascii="宋体" w:hAnsi="宋体" w:eastAsia="宋体" w:cs="宋体"/>
          <w:spacing w:val="3"/>
          <w:sz w:val="19"/>
          <w:szCs w:val="19"/>
        </w:rPr>
        <w:t>防和第二级预防的效果。第一级预</w:t>
      </w:r>
      <w:r>
        <w:rPr>
          <w:rFonts w:ascii="宋体" w:hAnsi="宋体" w:eastAsia="宋体" w:cs="宋体"/>
          <w:sz w:val="19"/>
          <w:szCs w:val="19"/>
        </w:rPr>
        <w:t xml:space="preserve"> </w:t>
      </w:r>
      <w:r>
        <w:rPr>
          <w:rFonts w:ascii="宋体" w:hAnsi="宋体" w:eastAsia="宋体" w:cs="宋体"/>
          <w:spacing w:val="4"/>
          <w:sz w:val="19"/>
          <w:szCs w:val="19"/>
        </w:rPr>
        <w:t>防得到了有益的结果，因此相关研究于1987年发表</w:t>
      </w:r>
      <w:r>
        <w:rPr>
          <w:rFonts w:ascii="宋体" w:hAnsi="宋体" w:eastAsia="宋体" w:cs="宋体"/>
          <w:spacing w:val="3"/>
          <w:sz w:val="19"/>
          <w:szCs w:val="19"/>
        </w:rPr>
        <w:t>在《新英格兰医学杂志》上。而同期完成的第二</w:t>
      </w:r>
      <w:r>
        <w:rPr>
          <w:rFonts w:ascii="宋体" w:hAnsi="宋体" w:eastAsia="宋体" w:cs="宋体"/>
          <w:sz w:val="19"/>
          <w:szCs w:val="19"/>
        </w:rPr>
        <w:t xml:space="preserve"> </w:t>
      </w:r>
      <w:r>
        <w:rPr>
          <w:rFonts w:ascii="宋体" w:hAnsi="宋体" w:eastAsia="宋体" w:cs="宋体"/>
          <w:spacing w:val="3"/>
          <w:sz w:val="19"/>
          <w:szCs w:val="19"/>
        </w:rPr>
        <w:t>级预防评价，因效果不显著,直到1993年才发表于阅读量有限的《医学年</w:t>
      </w:r>
      <w:r>
        <w:rPr>
          <w:rFonts w:ascii="宋体" w:hAnsi="宋体" w:eastAsia="宋体" w:cs="宋体"/>
          <w:spacing w:val="2"/>
          <w:sz w:val="19"/>
          <w:szCs w:val="19"/>
        </w:rPr>
        <w:t>报》(</w:t>
      </w:r>
      <w:r>
        <w:rPr>
          <w:rFonts w:ascii="宋体" w:hAnsi="宋体" w:eastAsia="宋体" w:cs="宋体"/>
          <w:sz w:val="19"/>
          <w:szCs w:val="19"/>
        </w:rPr>
        <w:t>Annals</w:t>
      </w:r>
      <w:r>
        <w:rPr>
          <w:rFonts w:ascii="宋体" w:hAnsi="宋体" w:eastAsia="宋体" w:cs="宋体"/>
          <w:spacing w:val="2"/>
          <w:sz w:val="19"/>
          <w:szCs w:val="19"/>
        </w:rPr>
        <w:t xml:space="preserve"> </w:t>
      </w:r>
      <w:r>
        <w:rPr>
          <w:rFonts w:ascii="宋体" w:hAnsi="宋体" w:eastAsia="宋体" w:cs="宋体"/>
          <w:sz w:val="19"/>
          <w:szCs w:val="19"/>
        </w:rPr>
        <w:t>of</w:t>
      </w:r>
      <w:r>
        <w:rPr>
          <w:rFonts w:ascii="宋体" w:hAnsi="宋体" w:eastAsia="宋体" w:cs="宋体"/>
          <w:spacing w:val="2"/>
          <w:sz w:val="19"/>
          <w:szCs w:val="19"/>
        </w:rPr>
        <w:t xml:space="preserve"> </w:t>
      </w:r>
      <w:r>
        <w:rPr>
          <w:rFonts w:ascii="宋体" w:hAnsi="宋体" w:eastAsia="宋体" w:cs="宋体"/>
          <w:sz w:val="19"/>
          <w:szCs w:val="19"/>
        </w:rPr>
        <w:t>Medicine</w:t>
      </w:r>
      <w:r>
        <w:rPr>
          <w:rFonts w:ascii="宋体" w:hAnsi="宋体" w:eastAsia="宋体" w:cs="宋体"/>
          <w:spacing w:val="2"/>
          <w:sz w:val="19"/>
          <w:szCs w:val="19"/>
        </w:rPr>
        <w:t>)</w:t>
      </w:r>
      <w:r>
        <w:rPr>
          <w:rFonts w:ascii="宋体" w:hAnsi="宋体" w:eastAsia="宋体" w:cs="宋体"/>
          <w:sz w:val="19"/>
          <w:szCs w:val="19"/>
        </w:rPr>
        <w:t xml:space="preserve"> </w:t>
      </w:r>
      <w:r>
        <w:rPr>
          <w:rFonts w:ascii="宋体" w:hAnsi="宋体" w:eastAsia="宋体" w:cs="宋体"/>
          <w:spacing w:val="10"/>
          <w:sz w:val="19"/>
          <w:szCs w:val="19"/>
        </w:rPr>
        <w:t>上。前者在发表后的3年内被引用了450次，而后者只被</w:t>
      </w:r>
      <w:r>
        <w:rPr>
          <w:rFonts w:ascii="宋体" w:hAnsi="宋体" w:eastAsia="宋体" w:cs="宋体"/>
          <w:spacing w:val="9"/>
          <w:sz w:val="19"/>
          <w:szCs w:val="19"/>
        </w:rPr>
        <w:t>提及17次。</w:t>
      </w:r>
    </w:p>
    <w:p w14:paraId="6F263FD0">
      <w:pPr>
        <w:pStyle w:val="2"/>
        <w:spacing w:before="145" w:line="331" w:lineRule="auto"/>
        <w:ind w:left="649" w:firstLine="389"/>
        <w:rPr>
          <w:rFonts w:ascii="宋体" w:hAnsi="宋体" w:eastAsia="宋体" w:cs="宋体"/>
          <w:sz w:val="19"/>
          <w:szCs w:val="19"/>
        </w:rPr>
      </w:pPr>
      <w:r>
        <w:rPr>
          <w:rFonts w:ascii="Times New Roman" w:hAnsi="Times New Roman" w:eastAsia="Times New Roman" w:cs="Times New Roman"/>
          <w:spacing w:val="7"/>
          <w:sz w:val="19"/>
          <w:szCs w:val="19"/>
        </w:rPr>
        <w:t>4.</w:t>
      </w:r>
      <w:r>
        <w:rPr>
          <w:rFonts w:ascii="Times New Roman" w:hAnsi="Times New Roman" w:eastAsia="Times New Roman" w:cs="Times New Roman"/>
          <w:spacing w:val="30"/>
          <w:w w:val="101"/>
          <w:sz w:val="19"/>
          <w:szCs w:val="19"/>
        </w:rPr>
        <w:t xml:space="preserve">  </w:t>
      </w:r>
      <w:r>
        <w:rPr>
          <w:rFonts w:ascii="宋体" w:hAnsi="宋体" w:eastAsia="宋体" w:cs="宋体"/>
          <w:spacing w:val="7"/>
          <w:sz w:val="19"/>
          <w:szCs w:val="19"/>
        </w:rPr>
        <w:t>多次发表偏倚</w:t>
      </w:r>
      <w:r>
        <w:rPr>
          <w:spacing w:val="7"/>
          <w:sz w:val="19"/>
          <w:szCs w:val="19"/>
        </w:rPr>
        <w:t>(</w:t>
      </w:r>
      <w:r>
        <w:rPr>
          <w:rFonts w:ascii="Times New Roman" w:hAnsi="Times New Roman" w:eastAsia="Times New Roman" w:cs="Times New Roman"/>
          <w:sz w:val="19"/>
          <w:szCs w:val="19"/>
        </w:rPr>
        <w:t>multiple</w:t>
      </w:r>
      <w:r>
        <w:rPr>
          <w:rFonts w:ascii="Times New Roman" w:hAnsi="Times New Roman" w:eastAsia="Times New Roman" w:cs="Times New Roman"/>
          <w:spacing w:val="1"/>
          <w:sz w:val="19"/>
          <w:szCs w:val="19"/>
        </w:rPr>
        <w:t xml:space="preserve">   </w:t>
      </w:r>
      <w:r>
        <w:rPr>
          <w:rFonts w:ascii="Times New Roman" w:hAnsi="Times New Roman" w:eastAsia="Times New Roman" w:cs="Times New Roman"/>
          <w:sz w:val="19"/>
          <w:szCs w:val="19"/>
        </w:rPr>
        <w:t>publication</w:t>
      </w:r>
      <w:r>
        <w:rPr>
          <w:rFonts w:ascii="Times New Roman" w:hAnsi="Times New Roman" w:eastAsia="Times New Roman" w:cs="Times New Roman"/>
          <w:spacing w:val="2"/>
          <w:sz w:val="19"/>
          <w:szCs w:val="19"/>
        </w:rPr>
        <w:t xml:space="preserve">   </w:t>
      </w:r>
      <w:r>
        <w:rPr>
          <w:rFonts w:ascii="Times New Roman" w:hAnsi="Times New Roman" w:eastAsia="Times New Roman" w:cs="Times New Roman"/>
          <w:sz w:val="19"/>
          <w:szCs w:val="19"/>
        </w:rPr>
        <w:t>bias</w:t>
      </w:r>
      <w:r>
        <w:rPr>
          <w:rFonts w:ascii="Times New Roman" w:hAnsi="Times New Roman" w:eastAsia="Times New Roman" w:cs="Times New Roman"/>
          <w:spacing w:val="7"/>
          <w:sz w:val="19"/>
          <w:szCs w:val="19"/>
        </w:rPr>
        <w:t>)</w:t>
      </w:r>
      <w:r>
        <w:rPr>
          <w:rFonts w:ascii="Times New Roman" w:hAnsi="Times New Roman" w:eastAsia="Times New Roman" w:cs="Times New Roman"/>
          <w:spacing w:val="18"/>
          <w:w w:val="101"/>
          <w:sz w:val="19"/>
          <w:szCs w:val="19"/>
        </w:rPr>
        <w:t xml:space="preserve">  </w:t>
      </w:r>
      <w:r>
        <w:rPr>
          <w:rFonts w:ascii="宋体" w:hAnsi="宋体" w:eastAsia="宋体" w:cs="宋体"/>
          <w:spacing w:val="7"/>
          <w:sz w:val="19"/>
          <w:szCs w:val="19"/>
        </w:rPr>
        <w:t>同一研究多次发表会从几方面引入偏倚。首先，</w:t>
      </w:r>
      <w:r>
        <w:rPr>
          <w:rFonts w:ascii="宋体" w:hAnsi="宋体" w:eastAsia="宋体" w:cs="宋体"/>
          <w:sz w:val="19"/>
          <w:szCs w:val="19"/>
        </w:rPr>
        <w:t xml:space="preserve"> </w:t>
      </w:r>
      <w:r>
        <w:rPr>
          <w:rFonts w:ascii="宋体" w:hAnsi="宋体" w:eastAsia="宋体" w:cs="宋体"/>
          <w:spacing w:val="8"/>
          <w:sz w:val="19"/>
          <w:szCs w:val="19"/>
        </w:rPr>
        <w:t>阳性结果的研究更容易多次发表或作为会议报告，这就使</w:t>
      </w:r>
      <w:r>
        <w:rPr>
          <w:rFonts w:ascii="宋体" w:hAnsi="宋体" w:eastAsia="宋体" w:cs="宋体"/>
          <w:spacing w:val="7"/>
          <w:sz w:val="19"/>
          <w:szCs w:val="19"/>
        </w:rPr>
        <w:t>得这些文章更容易被查到并被纳人</w:t>
      </w:r>
      <w:r>
        <w:rPr>
          <w:rFonts w:ascii="Times New Roman" w:hAnsi="Times New Roman" w:eastAsia="Times New Roman" w:cs="Times New Roman"/>
          <w:sz w:val="19"/>
          <w:szCs w:val="19"/>
        </w:rPr>
        <w:t xml:space="preserve">Meta   </w:t>
      </w:r>
      <w:r>
        <w:rPr>
          <w:rFonts w:ascii="宋体" w:hAnsi="宋体" w:eastAsia="宋体" w:cs="宋体"/>
          <w:spacing w:val="7"/>
          <w:sz w:val="19"/>
          <w:szCs w:val="19"/>
        </w:rPr>
        <w:t>分析中。其次，</w:t>
      </w:r>
      <w:r>
        <w:rPr>
          <w:rFonts w:ascii="Times New Roman" w:hAnsi="Times New Roman" w:eastAsia="Times New Roman" w:cs="Times New Roman"/>
          <w:sz w:val="19"/>
          <w:szCs w:val="19"/>
        </w:rPr>
        <w:t>Meta</w:t>
      </w:r>
      <w:r>
        <w:rPr>
          <w:rFonts w:ascii="Times New Roman" w:hAnsi="Times New Roman" w:eastAsia="Times New Roman" w:cs="Times New Roman"/>
          <w:spacing w:val="16"/>
          <w:sz w:val="19"/>
          <w:szCs w:val="19"/>
        </w:rPr>
        <w:t xml:space="preserve"> </w:t>
      </w:r>
      <w:r>
        <w:rPr>
          <w:rFonts w:ascii="宋体" w:hAnsi="宋体" w:eastAsia="宋体" w:cs="宋体"/>
          <w:spacing w:val="7"/>
          <w:sz w:val="19"/>
          <w:szCs w:val="19"/>
        </w:rPr>
        <w:t>分析中如果包括重复数据会人为地提高统计学精确性。多次发表</w:t>
      </w:r>
      <w:r>
        <w:rPr>
          <w:rFonts w:ascii="宋体" w:hAnsi="宋体" w:eastAsia="宋体" w:cs="宋体"/>
          <w:spacing w:val="6"/>
          <w:sz w:val="19"/>
          <w:szCs w:val="19"/>
        </w:rPr>
        <w:t>偏倚在单一</w:t>
      </w:r>
      <w:r>
        <w:rPr>
          <w:rFonts w:ascii="宋体" w:hAnsi="宋体" w:eastAsia="宋体" w:cs="宋体"/>
          <w:sz w:val="19"/>
          <w:szCs w:val="19"/>
        </w:rPr>
        <w:t xml:space="preserve">  </w:t>
      </w:r>
      <w:r>
        <w:rPr>
          <w:rFonts w:ascii="宋体" w:hAnsi="宋体" w:eastAsia="宋体" w:cs="宋体"/>
          <w:spacing w:val="4"/>
          <w:sz w:val="19"/>
          <w:szCs w:val="19"/>
        </w:rPr>
        <w:t>的研究中不是很明显，但在多中心的临床试验中确实存在，因为除</w:t>
      </w:r>
      <w:r>
        <w:rPr>
          <w:rFonts w:ascii="宋体" w:hAnsi="宋体" w:eastAsia="宋体" w:cs="宋体"/>
          <w:spacing w:val="3"/>
          <w:sz w:val="19"/>
          <w:szCs w:val="19"/>
        </w:rPr>
        <w:t>了多中心合并的研究结果外，各</w:t>
      </w:r>
      <w:r>
        <w:rPr>
          <w:rFonts w:ascii="宋体" w:hAnsi="宋体" w:eastAsia="宋体" w:cs="宋体"/>
          <w:sz w:val="19"/>
          <w:szCs w:val="19"/>
        </w:rPr>
        <w:t xml:space="preserve">  </w:t>
      </w:r>
      <w:r>
        <w:rPr>
          <w:rFonts w:ascii="宋体" w:hAnsi="宋体" w:eastAsia="宋体" w:cs="宋体"/>
          <w:spacing w:val="7"/>
          <w:sz w:val="19"/>
          <w:szCs w:val="19"/>
        </w:rPr>
        <w:t>个分中心也可能报告各自的研究结果。而对</w:t>
      </w:r>
      <w:r>
        <w:rPr>
          <w:rFonts w:ascii="宋体" w:hAnsi="宋体" w:eastAsia="宋体" w:cs="宋体"/>
          <w:sz w:val="19"/>
          <w:szCs w:val="19"/>
        </w:rPr>
        <w:t>Meta</w:t>
      </w:r>
      <w:r>
        <w:rPr>
          <w:rFonts w:ascii="宋体" w:hAnsi="宋体" w:eastAsia="宋体" w:cs="宋体"/>
          <w:spacing w:val="-22"/>
          <w:sz w:val="19"/>
          <w:szCs w:val="19"/>
        </w:rPr>
        <w:t xml:space="preserve"> </w:t>
      </w:r>
      <w:r>
        <w:rPr>
          <w:rFonts w:ascii="宋体" w:hAnsi="宋体" w:eastAsia="宋体" w:cs="宋体"/>
          <w:spacing w:val="7"/>
          <w:sz w:val="19"/>
          <w:szCs w:val="19"/>
        </w:rPr>
        <w:t>分析人员来讲，很难区分两篇文章是一个研究的</w:t>
      </w:r>
      <w:r>
        <w:rPr>
          <w:rFonts w:ascii="宋体" w:hAnsi="宋体" w:eastAsia="宋体" w:cs="宋体"/>
          <w:sz w:val="19"/>
          <w:szCs w:val="19"/>
        </w:rPr>
        <w:t xml:space="preserve">  重复发表，还是来自两个不同的研究。</w:t>
      </w:r>
    </w:p>
    <w:p w14:paraId="52B0D9B0">
      <w:pPr>
        <w:pStyle w:val="2"/>
        <w:spacing w:before="148" w:line="314" w:lineRule="auto"/>
        <w:ind w:left="649" w:right="67" w:firstLine="389"/>
        <w:rPr>
          <w:rFonts w:ascii="宋体" w:hAnsi="宋体" w:eastAsia="宋体" w:cs="宋体"/>
          <w:sz w:val="19"/>
          <w:szCs w:val="19"/>
        </w:rPr>
      </w:pPr>
      <w:r>
        <w:rPr>
          <w:rFonts w:ascii="宋体" w:hAnsi="宋体" w:eastAsia="宋体" w:cs="宋体"/>
          <w:spacing w:val="4"/>
          <w:sz w:val="19"/>
          <w:szCs w:val="19"/>
        </w:rPr>
        <w:t xml:space="preserve">5. </w:t>
      </w:r>
      <w:r>
        <w:rPr>
          <w:spacing w:val="4"/>
          <w:sz w:val="19"/>
          <w:szCs w:val="19"/>
        </w:rPr>
        <w:t>权重偏倚</w:t>
      </w:r>
      <w:r>
        <w:rPr>
          <w:rFonts w:ascii="宋体" w:hAnsi="宋体" w:eastAsia="宋体" w:cs="宋体"/>
          <w:spacing w:val="4"/>
          <w:sz w:val="19"/>
          <w:szCs w:val="19"/>
        </w:rPr>
        <w:t>(</w:t>
      </w:r>
      <w:r>
        <w:rPr>
          <w:rFonts w:ascii="宋体" w:hAnsi="宋体" w:eastAsia="宋体" w:cs="宋体"/>
          <w:sz w:val="19"/>
          <w:szCs w:val="19"/>
        </w:rPr>
        <w:t>weighting</w:t>
      </w:r>
      <w:r>
        <w:rPr>
          <w:rFonts w:ascii="宋体" w:hAnsi="宋体" w:eastAsia="宋体" w:cs="宋体"/>
          <w:spacing w:val="4"/>
          <w:sz w:val="19"/>
          <w:szCs w:val="19"/>
        </w:rPr>
        <w:t xml:space="preserve"> </w:t>
      </w:r>
      <w:r>
        <w:rPr>
          <w:rFonts w:ascii="宋体" w:hAnsi="宋体" w:eastAsia="宋体" w:cs="宋体"/>
          <w:sz w:val="19"/>
          <w:szCs w:val="19"/>
        </w:rPr>
        <w:t>bias</w:t>
      </w:r>
      <w:r>
        <w:rPr>
          <w:rFonts w:ascii="宋体" w:hAnsi="宋体" w:eastAsia="宋体" w:cs="宋体"/>
          <w:spacing w:val="4"/>
          <w:sz w:val="19"/>
          <w:szCs w:val="19"/>
        </w:rPr>
        <w:t>) 是指在对各个研究结果进行整合时，由于使用不恰</w:t>
      </w:r>
      <w:r>
        <w:rPr>
          <w:rFonts w:ascii="宋体" w:hAnsi="宋体" w:eastAsia="宋体" w:cs="宋体"/>
          <w:spacing w:val="3"/>
          <w:sz w:val="19"/>
          <w:szCs w:val="19"/>
        </w:rPr>
        <w:t>当的权重面</w:t>
      </w:r>
      <w:r>
        <w:rPr>
          <w:rFonts w:ascii="宋体" w:hAnsi="宋体" w:eastAsia="宋体" w:cs="宋体"/>
          <w:sz w:val="19"/>
          <w:szCs w:val="19"/>
        </w:rPr>
        <w:t xml:space="preserve"> </w:t>
      </w:r>
      <w:r>
        <w:rPr>
          <w:rFonts w:ascii="宋体" w:hAnsi="宋体" w:eastAsia="宋体" w:cs="宋体"/>
          <w:spacing w:val="4"/>
          <w:sz w:val="19"/>
          <w:szCs w:val="19"/>
        </w:rPr>
        <w:t>引起的偏倚。产生权重偏倚的原因是不同的效应指标赋权的原则</w:t>
      </w:r>
      <w:r>
        <w:rPr>
          <w:rFonts w:ascii="宋体" w:hAnsi="宋体" w:eastAsia="宋体" w:cs="宋体"/>
          <w:spacing w:val="3"/>
          <w:sz w:val="19"/>
          <w:szCs w:val="19"/>
        </w:rPr>
        <w:t>不同：使用率差时，事件发生率越</w:t>
      </w:r>
      <w:r>
        <w:rPr>
          <w:rFonts w:ascii="宋体" w:hAnsi="宋体" w:eastAsia="宋体" w:cs="宋体"/>
          <w:sz w:val="19"/>
          <w:szCs w:val="19"/>
        </w:rPr>
        <w:t xml:space="preserve"> 低，赋予的权重越大；使用率比时刚好相反，事件发生率越低，赋予的</w:t>
      </w:r>
      <w:r>
        <w:rPr>
          <w:rFonts w:ascii="宋体" w:hAnsi="宋体" w:eastAsia="宋体" w:cs="宋体"/>
          <w:spacing w:val="-1"/>
          <w:sz w:val="19"/>
          <w:szCs w:val="19"/>
        </w:rPr>
        <w:t>权重越小。例如， 一项有6个</w:t>
      </w:r>
      <w:r>
        <w:rPr>
          <w:rFonts w:ascii="宋体" w:hAnsi="宋体" w:eastAsia="宋体" w:cs="宋体"/>
          <w:sz w:val="19"/>
          <w:szCs w:val="19"/>
        </w:rPr>
        <w:t xml:space="preserve"> </w:t>
      </w:r>
      <w:r>
        <w:rPr>
          <w:rFonts w:ascii="宋体" w:hAnsi="宋体" w:eastAsia="宋体" w:cs="宋体"/>
          <w:spacing w:val="5"/>
          <w:sz w:val="19"/>
          <w:szCs w:val="19"/>
        </w:rPr>
        <w:t>原始研究的</w:t>
      </w:r>
      <w:r>
        <w:rPr>
          <w:rFonts w:ascii="Times New Roman" w:hAnsi="Times New Roman" w:eastAsia="Times New Roman" w:cs="Times New Roman"/>
          <w:sz w:val="19"/>
          <w:szCs w:val="19"/>
        </w:rPr>
        <w:t>Meta</w:t>
      </w:r>
      <w:r>
        <w:rPr>
          <w:rFonts w:ascii="Times New Roman" w:hAnsi="Times New Roman" w:eastAsia="Times New Roman" w:cs="Times New Roman"/>
          <w:spacing w:val="5"/>
          <w:sz w:val="19"/>
          <w:szCs w:val="19"/>
        </w:rPr>
        <w:t xml:space="preserve"> </w:t>
      </w:r>
      <w:r>
        <w:rPr>
          <w:rFonts w:ascii="宋体" w:hAnsi="宋体" w:eastAsia="宋体" w:cs="宋体"/>
          <w:spacing w:val="5"/>
          <w:sz w:val="19"/>
          <w:szCs w:val="19"/>
        </w:rPr>
        <w:t>分析显示，使用率差时合并的结果为-6.5%,</w:t>
      </w:r>
      <w:r>
        <w:rPr>
          <w:rFonts w:ascii="Times New Roman" w:hAnsi="Times New Roman" w:eastAsia="Times New Roman" w:cs="Times New Roman"/>
          <w:spacing w:val="5"/>
          <w:sz w:val="19"/>
          <w:szCs w:val="19"/>
        </w:rPr>
        <w:t>P&lt;0.01,</w:t>
      </w:r>
      <w:r>
        <w:rPr>
          <w:rFonts w:ascii="Times New Roman" w:hAnsi="Times New Roman" w:eastAsia="Times New Roman" w:cs="Times New Roman"/>
          <w:spacing w:val="3"/>
          <w:sz w:val="19"/>
          <w:szCs w:val="19"/>
        </w:rPr>
        <w:t xml:space="preserve">    </w:t>
      </w:r>
      <w:r>
        <w:rPr>
          <w:rFonts w:ascii="宋体" w:hAnsi="宋体" w:eastAsia="宋体" w:cs="宋体"/>
          <w:spacing w:val="5"/>
          <w:sz w:val="19"/>
          <w:szCs w:val="19"/>
        </w:rPr>
        <w:t>但使用率比时合并的结果为</w:t>
      </w:r>
    </w:p>
    <w:p w14:paraId="09D645F4">
      <w:pPr>
        <w:spacing w:before="152" w:line="212" w:lineRule="auto"/>
        <w:jc w:val="right"/>
        <w:rPr>
          <w:rFonts w:ascii="宋体" w:hAnsi="宋体" w:eastAsia="宋体" w:cs="宋体"/>
          <w:sz w:val="19"/>
          <w:szCs w:val="19"/>
        </w:rPr>
      </w:pPr>
      <w:r>
        <w:rPr>
          <w:rFonts w:ascii="Times New Roman" w:hAnsi="Times New Roman" w:eastAsia="Times New Roman" w:cs="Times New Roman"/>
          <w:spacing w:val="1"/>
          <w:sz w:val="19"/>
          <w:szCs w:val="19"/>
        </w:rPr>
        <w:t>0.02,P&gt;0.05</w:t>
      </w:r>
      <w:r>
        <w:rPr>
          <w:rFonts w:ascii="Times New Roman" w:hAnsi="Times New Roman" w:eastAsia="Times New Roman" w:cs="Times New Roman"/>
          <w:spacing w:val="-21"/>
          <w:sz w:val="19"/>
          <w:szCs w:val="19"/>
        </w:rPr>
        <w:t xml:space="preserve"> </w:t>
      </w:r>
      <w:r>
        <w:rPr>
          <w:rFonts w:ascii="宋体" w:hAnsi="宋体" w:eastAsia="宋体" w:cs="宋体"/>
          <w:spacing w:val="1"/>
          <w:sz w:val="19"/>
          <w:szCs w:val="19"/>
        </w:rPr>
        <w:t>。  因此，当不同效应指标的合并结果相差很大时，应参考以样本量为权重的合并结果。</w:t>
      </w:r>
    </w:p>
    <w:p w14:paraId="4D5913A4">
      <w:pPr>
        <w:pStyle w:val="2"/>
        <w:spacing w:before="155" w:line="222" w:lineRule="auto"/>
        <w:ind w:left="1039"/>
        <w:rPr>
          <w:sz w:val="19"/>
          <w:szCs w:val="19"/>
        </w:rPr>
      </w:pPr>
      <w:r>
        <w:rPr>
          <w:spacing w:val="28"/>
          <w:sz w:val="19"/>
          <w:szCs w:val="19"/>
        </w:rPr>
        <w:t>(三)偏倚的检查</w:t>
      </w:r>
    </w:p>
    <w:p w14:paraId="1572720D">
      <w:pPr>
        <w:spacing w:before="151" w:line="347" w:lineRule="auto"/>
        <w:ind w:left="649" w:firstLine="389"/>
        <w:jc w:val="both"/>
        <w:rPr>
          <w:rFonts w:ascii="宋体" w:hAnsi="宋体" w:eastAsia="宋体" w:cs="宋体"/>
          <w:sz w:val="19"/>
          <w:szCs w:val="19"/>
        </w:rPr>
      </w:pPr>
      <w:r>
        <w:rPr>
          <w:rFonts w:ascii="Times New Roman" w:hAnsi="Times New Roman" w:eastAsia="Times New Roman" w:cs="Times New Roman"/>
          <w:sz w:val="19"/>
          <w:szCs w:val="19"/>
        </w:rPr>
        <w:t>Meta</w:t>
      </w:r>
      <w:r>
        <w:rPr>
          <w:rFonts w:ascii="Times New Roman" w:hAnsi="Times New Roman" w:eastAsia="Times New Roman" w:cs="Times New Roman"/>
          <w:spacing w:val="-14"/>
          <w:sz w:val="19"/>
          <w:szCs w:val="19"/>
        </w:rPr>
        <w:t xml:space="preserve"> </w:t>
      </w:r>
      <w:r>
        <w:rPr>
          <w:rFonts w:ascii="宋体" w:hAnsi="宋体" w:eastAsia="宋体" w:cs="宋体"/>
          <w:spacing w:val="3"/>
          <w:sz w:val="19"/>
          <w:szCs w:val="19"/>
        </w:rPr>
        <w:t>分析是对既往已完成的研究结果进行分析，收集到的多</w:t>
      </w:r>
      <w:r>
        <w:rPr>
          <w:rFonts w:ascii="宋体" w:hAnsi="宋体" w:eastAsia="宋体" w:cs="宋体"/>
          <w:spacing w:val="2"/>
          <w:sz w:val="19"/>
          <w:szCs w:val="19"/>
        </w:rPr>
        <w:t>是在期刊上公开发表的文章，因此</w:t>
      </w:r>
      <w:r>
        <w:rPr>
          <w:rFonts w:ascii="宋体" w:hAnsi="宋体" w:eastAsia="宋体" w:cs="宋体"/>
          <w:sz w:val="19"/>
          <w:szCs w:val="19"/>
        </w:rPr>
        <w:t xml:space="preserve">  </w:t>
      </w:r>
      <w:r>
        <w:rPr>
          <w:rFonts w:ascii="宋体" w:hAnsi="宋体" w:eastAsia="宋体" w:cs="宋体"/>
          <w:spacing w:val="5"/>
          <w:sz w:val="19"/>
          <w:szCs w:val="19"/>
        </w:rPr>
        <w:t>不可避免会存在发表偏倚等，有必要对此开展检查。目前还开</w:t>
      </w:r>
      <w:r>
        <w:rPr>
          <w:rFonts w:ascii="宋体" w:hAnsi="宋体" w:eastAsia="宋体" w:cs="宋体"/>
          <w:spacing w:val="4"/>
          <w:sz w:val="19"/>
          <w:szCs w:val="19"/>
        </w:rPr>
        <w:t>发了多种统计学方法，如</w:t>
      </w:r>
      <w:r>
        <w:rPr>
          <w:rFonts w:ascii="Times New Roman" w:hAnsi="Times New Roman" w:eastAsia="Times New Roman" w:cs="Times New Roman"/>
          <w:sz w:val="19"/>
          <w:szCs w:val="19"/>
        </w:rPr>
        <w:t>RevMan</w:t>
      </w:r>
      <w:r>
        <w:rPr>
          <w:rFonts w:ascii="Times New Roman" w:hAnsi="Times New Roman" w:eastAsia="Times New Roman" w:cs="Times New Roman"/>
          <w:spacing w:val="4"/>
          <w:sz w:val="19"/>
          <w:szCs w:val="19"/>
        </w:rPr>
        <w:t xml:space="preserve"> </w:t>
      </w:r>
      <w:r>
        <w:rPr>
          <w:rFonts w:ascii="宋体" w:hAnsi="宋体" w:eastAsia="宋体" w:cs="宋体"/>
          <w:spacing w:val="4"/>
          <w:sz w:val="19"/>
          <w:szCs w:val="19"/>
        </w:rPr>
        <w:t>软</w:t>
      </w:r>
      <w:r>
        <w:rPr>
          <w:rFonts w:ascii="宋体" w:hAnsi="宋体" w:eastAsia="宋体" w:cs="宋体"/>
          <w:sz w:val="19"/>
          <w:szCs w:val="19"/>
        </w:rPr>
        <w:t xml:space="preserve">  </w:t>
      </w:r>
      <w:r>
        <w:rPr>
          <w:rFonts w:ascii="宋体" w:hAnsi="宋体" w:eastAsia="宋体" w:cs="宋体"/>
          <w:spacing w:val="-5"/>
          <w:sz w:val="19"/>
          <w:szCs w:val="19"/>
        </w:rPr>
        <w:t>件中提供的漏斗图(funnel plot)分析，也可以计算失安全数(fail-safe number,N</w:t>
      </w:r>
      <w:r>
        <w:rPr>
          <w:rFonts w:ascii="Calibri" w:hAnsi="Calibri" w:eastAsia="Calibri" w:cs="Calibri"/>
          <w:spacing w:val="-5"/>
          <w:sz w:val="19"/>
          <w:szCs w:val="19"/>
        </w:rPr>
        <w:t>₆</w:t>
      </w:r>
      <w:r>
        <w:rPr>
          <w:rFonts w:ascii="宋体" w:hAnsi="宋体" w:eastAsia="宋体" w:cs="宋体"/>
          <w:spacing w:val="-5"/>
          <w:sz w:val="19"/>
          <w:szCs w:val="19"/>
        </w:rPr>
        <w:t>)来检查偏倚的程度。</w:t>
      </w:r>
    </w:p>
    <w:p w14:paraId="6EBD0297">
      <w:pPr>
        <w:spacing w:before="38" w:line="350" w:lineRule="auto"/>
        <w:ind w:left="649" w:firstLine="389"/>
        <w:rPr>
          <w:rFonts w:ascii="宋体" w:hAnsi="宋体" w:eastAsia="宋体" w:cs="宋体"/>
          <w:sz w:val="19"/>
          <w:szCs w:val="19"/>
        </w:rPr>
      </w:pPr>
      <w:r>
        <w:rPr>
          <w:rFonts w:ascii="宋体" w:hAnsi="宋体" w:eastAsia="宋体" w:cs="宋体"/>
          <w:spacing w:val="15"/>
          <w:sz w:val="19"/>
          <w:szCs w:val="19"/>
        </w:rPr>
        <w:t>1. 漏斗图</w:t>
      </w:r>
      <w:r>
        <w:rPr>
          <w:rFonts w:ascii="宋体" w:hAnsi="宋体" w:eastAsia="宋体" w:cs="宋体"/>
          <w:spacing w:val="42"/>
          <w:sz w:val="19"/>
          <w:szCs w:val="19"/>
        </w:rPr>
        <w:t xml:space="preserve"> </w:t>
      </w:r>
      <w:r>
        <w:rPr>
          <w:rFonts w:ascii="宋体" w:hAnsi="宋体" w:eastAsia="宋体" w:cs="宋体"/>
          <w:spacing w:val="15"/>
          <w:sz w:val="19"/>
          <w:szCs w:val="19"/>
        </w:rPr>
        <w:t>漏斗图是最常见的识别发表偏倚的方法。它是</w:t>
      </w:r>
      <w:r>
        <w:rPr>
          <w:rFonts w:ascii="宋体" w:hAnsi="宋体" w:eastAsia="宋体" w:cs="宋体"/>
          <w:spacing w:val="14"/>
          <w:sz w:val="19"/>
          <w:szCs w:val="19"/>
        </w:rPr>
        <w:t>以研究的效应量估计值(如</w:t>
      </w:r>
      <w:r>
        <w:rPr>
          <w:rFonts w:ascii="宋体" w:hAnsi="宋体" w:eastAsia="宋体" w:cs="宋体"/>
          <w:sz w:val="19"/>
          <w:szCs w:val="19"/>
        </w:rPr>
        <w:t>RR</w:t>
      </w:r>
      <w:r>
        <w:rPr>
          <w:rFonts w:ascii="宋体" w:hAnsi="宋体" w:eastAsia="宋体" w:cs="宋体"/>
          <w:spacing w:val="14"/>
          <w:sz w:val="19"/>
          <w:szCs w:val="19"/>
        </w:rPr>
        <w:t>、</w:t>
      </w:r>
      <w:r>
        <w:rPr>
          <w:rFonts w:ascii="宋体" w:hAnsi="宋体" w:eastAsia="宋体" w:cs="宋体"/>
          <w:sz w:val="19"/>
          <w:szCs w:val="19"/>
        </w:rPr>
        <w:t xml:space="preserve">  </w:t>
      </w:r>
      <w:r>
        <w:rPr>
          <w:rFonts w:ascii="Times New Roman" w:hAnsi="Times New Roman" w:eastAsia="Times New Roman" w:cs="Times New Roman"/>
          <w:sz w:val="19"/>
          <w:szCs w:val="19"/>
        </w:rPr>
        <w:t>OR</w:t>
      </w:r>
      <w:r>
        <w:rPr>
          <w:rFonts w:ascii="宋体" w:hAnsi="宋体" w:eastAsia="宋体" w:cs="宋体"/>
          <w:spacing w:val="7"/>
          <w:sz w:val="19"/>
          <w:szCs w:val="19"/>
        </w:rPr>
        <w:t>、</w:t>
      </w:r>
      <w:r>
        <w:rPr>
          <w:rFonts w:ascii="Times New Roman" w:hAnsi="Times New Roman" w:eastAsia="Times New Roman" w:cs="Times New Roman"/>
          <w:sz w:val="19"/>
          <w:szCs w:val="19"/>
        </w:rPr>
        <w:t>RD</w:t>
      </w:r>
      <w:r>
        <w:rPr>
          <w:rFonts w:ascii="宋体" w:hAnsi="宋体" w:eastAsia="宋体" w:cs="宋体"/>
          <w:spacing w:val="7"/>
          <w:sz w:val="19"/>
          <w:szCs w:val="19"/>
        </w:rPr>
        <w:t>和死亡比或取其对数值等)作为横坐标，以效应量标准误作为纵坐标画出的散点图。漏斗</w:t>
      </w:r>
      <w:r>
        <w:rPr>
          <w:rFonts w:ascii="宋体" w:hAnsi="宋体" w:eastAsia="宋体" w:cs="宋体"/>
          <w:spacing w:val="9"/>
          <w:sz w:val="19"/>
          <w:szCs w:val="19"/>
        </w:rPr>
        <w:t xml:space="preserve">  </w:t>
      </w:r>
      <w:r>
        <w:rPr>
          <w:rFonts w:ascii="宋体" w:hAnsi="宋体" w:eastAsia="宋体" w:cs="宋体"/>
          <w:spacing w:val="6"/>
          <w:sz w:val="19"/>
          <w:szCs w:val="19"/>
        </w:rPr>
        <w:t>图是基于效应量估计值的精度随着样本量的增加而增加的假设，</w:t>
      </w:r>
      <w:r>
        <w:rPr>
          <w:rFonts w:ascii="宋体" w:hAnsi="宋体" w:eastAsia="宋体" w:cs="宋体"/>
          <w:spacing w:val="5"/>
          <w:sz w:val="19"/>
          <w:szCs w:val="19"/>
        </w:rPr>
        <w:t>其宽度随精度的增加而逐渐变窄，</w:t>
      </w:r>
      <w:r>
        <w:rPr>
          <w:rFonts w:ascii="宋体" w:hAnsi="宋体" w:eastAsia="宋体" w:cs="宋体"/>
          <w:sz w:val="19"/>
          <w:szCs w:val="19"/>
        </w:rPr>
        <w:t xml:space="preserve"> </w:t>
      </w:r>
      <w:r>
        <w:rPr>
          <w:rFonts w:ascii="宋体" w:hAnsi="宋体" w:eastAsia="宋体" w:cs="宋体"/>
          <w:spacing w:val="-1"/>
          <w:sz w:val="19"/>
          <w:szCs w:val="19"/>
        </w:rPr>
        <w:t>最后趋近于点状，其形状类似一个对称倒置的漏斗，故称为漏斗图。也就是说，样本量小的研究，数</w:t>
      </w:r>
      <w:r>
        <w:rPr>
          <w:rFonts w:ascii="宋体" w:hAnsi="宋体" w:eastAsia="宋体" w:cs="宋体"/>
          <w:spacing w:val="5"/>
          <w:sz w:val="19"/>
          <w:szCs w:val="19"/>
        </w:rPr>
        <w:t xml:space="preserve">  </w:t>
      </w:r>
      <w:r>
        <w:rPr>
          <w:rFonts w:ascii="宋体" w:hAnsi="宋体" w:eastAsia="宋体" w:cs="宋体"/>
          <w:sz w:val="19"/>
          <w:szCs w:val="19"/>
        </w:rPr>
        <w:t>量多、精度低，分布在漏斗图的底部并呈左右对称排列；样本量大的研究，其精</w:t>
      </w:r>
      <w:r>
        <w:rPr>
          <w:rFonts w:ascii="宋体" w:hAnsi="宋体" w:eastAsia="宋体" w:cs="宋体"/>
          <w:spacing w:val="-1"/>
          <w:sz w:val="19"/>
          <w:szCs w:val="19"/>
        </w:rPr>
        <w:t>度高，分布在漏斗图</w:t>
      </w:r>
      <w:r>
        <w:rPr>
          <w:rFonts w:ascii="宋体" w:hAnsi="宋体" w:eastAsia="宋体" w:cs="宋体"/>
          <w:sz w:val="19"/>
          <w:szCs w:val="19"/>
        </w:rPr>
        <w:t xml:space="preserve"> </w:t>
      </w:r>
      <w:r>
        <w:rPr>
          <w:rFonts w:ascii="宋体" w:hAnsi="宋体" w:eastAsia="宋体" w:cs="宋体"/>
          <w:spacing w:val="8"/>
          <w:sz w:val="19"/>
          <w:szCs w:val="19"/>
        </w:rPr>
        <w:t>的顶部，且向中间集中。利用漏斗图可以直接观察原始研究的效应量估计值是否与其样本含量有</w:t>
      </w:r>
      <w:r>
        <w:rPr>
          <w:rFonts w:ascii="宋体" w:hAnsi="宋体" w:eastAsia="宋体" w:cs="宋体"/>
          <w:spacing w:val="6"/>
          <w:sz w:val="19"/>
          <w:szCs w:val="19"/>
        </w:rPr>
        <w:t xml:space="preserve">  </w:t>
      </w:r>
      <w:r>
        <w:rPr>
          <w:rFonts w:ascii="宋体" w:hAnsi="宋体" w:eastAsia="宋体" w:cs="宋体"/>
          <w:spacing w:val="5"/>
          <w:sz w:val="19"/>
          <w:szCs w:val="19"/>
        </w:rPr>
        <w:t>关。图18-7所示为漏斗图的两种假设情况。图(</w:t>
      </w:r>
      <w:r>
        <w:rPr>
          <w:rFonts w:ascii="宋体" w:hAnsi="宋体" w:eastAsia="宋体" w:cs="宋体"/>
          <w:spacing w:val="4"/>
          <w:sz w:val="19"/>
          <w:szCs w:val="19"/>
        </w:rPr>
        <w:t>a)</w:t>
      </w:r>
      <w:r>
        <w:rPr>
          <w:rFonts w:ascii="宋体" w:hAnsi="宋体" w:eastAsia="宋体" w:cs="宋体"/>
          <w:spacing w:val="-29"/>
          <w:sz w:val="19"/>
          <w:szCs w:val="19"/>
        </w:rPr>
        <w:t xml:space="preserve"> </w:t>
      </w:r>
      <w:r>
        <w:rPr>
          <w:rFonts w:ascii="宋体" w:hAnsi="宋体" w:eastAsia="宋体" w:cs="宋体"/>
          <w:spacing w:val="4"/>
          <w:sz w:val="19"/>
          <w:szCs w:val="19"/>
        </w:rPr>
        <w:t>中所有研究围绕中心线对称排列，表明没有发表</w:t>
      </w:r>
      <w:r>
        <w:rPr>
          <w:rFonts w:ascii="宋体" w:hAnsi="宋体" w:eastAsia="宋体" w:cs="宋体"/>
          <w:sz w:val="19"/>
          <w:szCs w:val="19"/>
        </w:rPr>
        <w:t xml:space="preserve"> </w:t>
      </w:r>
      <w:r>
        <w:rPr>
          <w:rFonts w:ascii="宋体" w:hAnsi="宋体" w:eastAsia="宋体" w:cs="宋体"/>
          <w:spacing w:val="4"/>
          <w:sz w:val="19"/>
          <w:szCs w:val="19"/>
        </w:rPr>
        <w:t>偏倚，图中空心散点代表结果无效的小样本研究，小样本研究估计的效应量变异较大，出现效应量</w:t>
      </w:r>
    </w:p>
    <w:p w14:paraId="41BB9625">
      <w:pPr>
        <w:spacing w:line="350" w:lineRule="auto"/>
        <w:rPr>
          <w:rFonts w:ascii="宋体" w:hAnsi="宋体" w:eastAsia="宋体" w:cs="宋体"/>
          <w:sz w:val="19"/>
          <w:szCs w:val="19"/>
        </w:rPr>
        <w:sectPr>
          <w:footerReference r:id="rId311" w:type="default"/>
          <w:pgSz w:w="11900" w:h="16820"/>
          <w:pgMar w:top="400" w:right="1734" w:bottom="882" w:left="1100" w:header="0" w:footer="711" w:gutter="0"/>
          <w:cols w:space="720" w:num="1"/>
        </w:sectPr>
      </w:pPr>
    </w:p>
    <w:p w14:paraId="298B2CC2">
      <w:pPr>
        <w:pStyle w:val="2"/>
        <w:spacing w:before="306" w:line="221" w:lineRule="auto"/>
        <w:ind w:left="6599"/>
        <w:rPr>
          <w:sz w:val="21"/>
          <w:szCs w:val="21"/>
        </w:rPr>
      </w:pPr>
      <w:r>
        <w:rPr>
          <w:spacing w:val="-17"/>
          <w:w w:val="95"/>
          <w:sz w:val="21"/>
          <w:szCs w:val="21"/>
        </w:rPr>
        <w:t>第十八章循证医学与系统综述</w:t>
      </w:r>
    </w:p>
    <w:p w14:paraId="29FE9F40">
      <w:pPr>
        <w:spacing w:line="254" w:lineRule="auto"/>
        <w:rPr>
          <w:rFonts w:ascii="Arial"/>
          <w:sz w:val="21"/>
        </w:rPr>
      </w:pPr>
    </w:p>
    <w:p w14:paraId="2B13C81C">
      <w:pPr>
        <w:spacing w:line="254" w:lineRule="auto"/>
        <w:rPr>
          <w:rFonts w:ascii="Arial"/>
          <w:sz w:val="21"/>
        </w:rPr>
      </w:pPr>
    </w:p>
    <w:p w14:paraId="69636C86">
      <w:pPr>
        <w:spacing w:line="3058" w:lineRule="exact"/>
        <w:ind w:firstLine="779"/>
      </w:pPr>
      <w:r>
        <mc:AlternateContent>
          <mc:Choice Requires="wps">
            <w:drawing>
              <wp:anchor distT="0" distB="0" distL="0" distR="0" simplePos="0" relativeHeight="251974656" behindDoc="0" locked="0" layoutInCell="1" allowOverlap="1">
                <wp:simplePos x="0" y="0"/>
                <wp:positionH relativeFrom="column">
                  <wp:posOffset>59055</wp:posOffset>
                </wp:positionH>
                <wp:positionV relativeFrom="paragraph">
                  <wp:posOffset>603885</wp:posOffset>
                </wp:positionV>
                <wp:extent cx="796925" cy="92710"/>
                <wp:effectExtent l="0" t="0" r="0" b="0"/>
                <wp:wrapNone/>
                <wp:docPr id="772" name="TextBox 772"/>
                <wp:cNvGraphicFramePr/>
                <a:graphic xmlns:a="http://schemas.openxmlformats.org/drawingml/2006/main">
                  <a:graphicData uri="http://schemas.microsoft.com/office/word/2010/wordprocessingShape">
                    <wps:wsp>
                      <wps:cNvSpPr txBox="1"/>
                      <wps:spPr>
                        <a:xfrm rot="16200000">
                          <a:off x="59436" y="603943"/>
                          <a:ext cx="796925" cy="92710"/>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7DCB17EA">
                            <w:pPr>
                              <w:spacing w:before="32" w:line="214" w:lineRule="auto"/>
                              <w:ind w:left="20"/>
                              <w:rPr>
                                <w:rFonts w:ascii="宋体" w:hAnsi="宋体" w:eastAsia="宋体" w:cs="宋体"/>
                                <w:sz w:val="8"/>
                                <w:szCs w:val="8"/>
                              </w:rPr>
                            </w:pPr>
                            <w:r>
                              <w:rPr>
                                <w:rFonts w:ascii="宋体" w:hAnsi="宋体" w:eastAsia="宋体" w:cs="宋体"/>
                                <w:spacing w:val="-4"/>
                                <w:sz w:val="8"/>
                                <w:szCs w:val="8"/>
                              </w:rPr>
                              <w:t>l  o</w:t>
                            </w:r>
                            <w:r>
                              <w:rPr>
                                <w:rFonts w:ascii="宋体" w:hAnsi="宋体" w:eastAsia="宋体" w:cs="宋体"/>
                                <w:spacing w:val="44"/>
                                <w:sz w:val="8"/>
                                <w:szCs w:val="8"/>
                              </w:rPr>
                              <w:t xml:space="preserve"> </w:t>
                            </w:r>
                            <w:r>
                              <w:rPr>
                                <w:rFonts w:ascii="宋体" w:hAnsi="宋体" w:eastAsia="宋体" w:cs="宋体"/>
                                <w:spacing w:val="-4"/>
                                <w:sz w:val="8"/>
                                <w:szCs w:val="8"/>
                              </w:rPr>
                              <w:t>g</w:t>
                            </w:r>
                            <w:r>
                              <w:rPr>
                                <w:rFonts w:ascii="宋体" w:hAnsi="宋体" w:eastAsia="宋体" w:cs="宋体"/>
                                <w:spacing w:val="7"/>
                                <w:sz w:val="8"/>
                                <w:szCs w:val="8"/>
                              </w:rPr>
                              <w:t xml:space="preserve">    </w:t>
                            </w:r>
                            <w:r>
                              <w:rPr>
                                <w:rFonts w:ascii="宋体" w:hAnsi="宋体" w:eastAsia="宋体" w:cs="宋体"/>
                                <w:spacing w:val="-4"/>
                                <w:sz w:val="8"/>
                                <w:szCs w:val="8"/>
                              </w:rPr>
                              <w:t>O  R</w:t>
                            </w:r>
                            <w:r>
                              <w:rPr>
                                <w:rFonts w:ascii="宋体" w:hAnsi="宋体" w:eastAsia="宋体" w:cs="宋体"/>
                                <w:spacing w:val="2"/>
                                <w:sz w:val="8"/>
                                <w:szCs w:val="8"/>
                              </w:rPr>
                              <w:t xml:space="preserve">  </w:t>
                            </w:r>
                            <w:r>
                              <w:rPr>
                                <w:rFonts w:ascii="宋体" w:hAnsi="宋体" w:eastAsia="宋体" w:cs="宋体"/>
                                <w:spacing w:val="-4"/>
                                <w:sz w:val="8"/>
                                <w:szCs w:val="8"/>
                              </w:rPr>
                              <w:t>的</w:t>
                            </w:r>
                            <w:r>
                              <w:rPr>
                                <w:rFonts w:ascii="宋体" w:hAnsi="宋体" w:eastAsia="宋体" w:cs="宋体"/>
                                <w:spacing w:val="38"/>
                                <w:sz w:val="8"/>
                                <w:szCs w:val="8"/>
                              </w:rPr>
                              <w:t xml:space="preserve"> </w:t>
                            </w:r>
                            <w:r>
                              <w:rPr>
                                <w:rFonts w:ascii="宋体" w:hAnsi="宋体" w:eastAsia="宋体" w:cs="宋体"/>
                                <w:spacing w:val="-4"/>
                                <w:sz w:val="8"/>
                                <w:szCs w:val="8"/>
                              </w:rPr>
                              <w:t>标</w:t>
                            </w:r>
                            <w:r>
                              <w:rPr>
                                <w:rFonts w:ascii="宋体" w:hAnsi="宋体" w:eastAsia="宋体" w:cs="宋体"/>
                                <w:spacing w:val="37"/>
                                <w:w w:val="101"/>
                                <w:sz w:val="8"/>
                                <w:szCs w:val="8"/>
                              </w:rPr>
                              <w:t xml:space="preserve"> </w:t>
                            </w:r>
                            <w:r>
                              <w:rPr>
                                <w:rFonts w:ascii="宋体" w:hAnsi="宋体" w:eastAsia="宋体" w:cs="宋体"/>
                                <w:spacing w:val="-4"/>
                                <w:sz w:val="8"/>
                                <w:szCs w:val="8"/>
                              </w:rPr>
                              <w:t>准</w:t>
                            </w:r>
                            <w:r>
                              <w:rPr>
                                <w:rFonts w:ascii="宋体" w:hAnsi="宋体" w:eastAsia="宋体" w:cs="宋体"/>
                                <w:spacing w:val="37"/>
                                <w:w w:val="101"/>
                                <w:sz w:val="8"/>
                                <w:szCs w:val="8"/>
                              </w:rPr>
                              <w:t xml:space="preserve"> </w:t>
                            </w:r>
                            <w:r>
                              <w:rPr>
                                <w:rFonts w:ascii="宋体" w:hAnsi="宋体" w:eastAsia="宋体" w:cs="宋体"/>
                                <w:spacing w:val="-4"/>
                                <w:sz w:val="8"/>
                                <w:szCs w:val="8"/>
                              </w:rPr>
                              <w:t>误</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772" o:spid="_x0000_s1026" o:spt="202" type="#_x0000_t202" style="position:absolute;left:0pt;margin-left:4.65pt;margin-top:47.55pt;height:7.3pt;width:62.75pt;rotation:-5898240f;z-index:251974656;mso-width-relative:page;mso-height-relative:page;" filled="f" stroked="f" coordsize="21600,21600" o:gfxdata="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Af0LWf1wAAAAgBAAAPAAAA&#10;AAAAAAEAIAAAACIAAABkcnMvZG93bnJldi54bWxQSwECFAAUAAAACACHTuJAlw26vk8CAAChBAAA&#10;DgAAAAAAAAABACAAAAAmAQAAZHJzL2Uyb0RvYy54bWxQSwUGAAAAAAYABgBZAQAA5wUAAAAA&#10;">
                <v:fill on="f" focussize="0,0"/>
                <v:stroke on="f" weight="0pt" miterlimit="0" joinstyle="miter"/>
                <v:imagedata o:title=""/>
                <o:lock v:ext="edit" aspectratio="f"/>
                <v:textbox inset="0mm,0mm,0mm,0mm">
                  <w:txbxContent>
                    <w:p w14:paraId="7DCB17EA">
                      <w:pPr>
                        <w:spacing w:before="32" w:line="214" w:lineRule="auto"/>
                        <w:ind w:left="20"/>
                        <w:rPr>
                          <w:rFonts w:ascii="宋体" w:hAnsi="宋体" w:eastAsia="宋体" w:cs="宋体"/>
                          <w:sz w:val="8"/>
                          <w:szCs w:val="8"/>
                        </w:rPr>
                      </w:pPr>
                      <w:r>
                        <w:rPr>
                          <w:rFonts w:ascii="宋体" w:hAnsi="宋体" w:eastAsia="宋体" w:cs="宋体"/>
                          <w:spacing w:val="-4"/>
                          <w:sz w:val="8"/>
                          <w:szCs w:val="8"/>
                        </w:rPr>
                        <w:t>l  o</w:t>
                      </w:r>
                      <w:r>
                        <w:rPr>
                          <w:rFonts w:ascii="宋体" w:hAnsi="宋体" w:eastAsia="宋体" w:cs="宋体"/>
                          <w:spacing w:val="44"/>
                          <w:sz w:val="8"/>
                          <w:szCs w:val="8"/>
                        </w:rPr>
                        <w:t xml:space="preserve"> </w:t>
                      </w:r>
                      <w:r>
                        <w:rPr>
                          <w:rFonts w:ascii="宋体" w:hAnsi="宋体" w:eastAsia="宋体" w:cs="宋体"/>
                          <w:spacing w:val="-4"/>
                          <w:sz w:val="8"/>
                          <w:szCs w:val="8"/>
                        </w:rPr>
                        <w:t>g</w:t>
                      </w:r>
                      <w:r>
                        <w:rPr>
                          <w:rFonts w:ascii="宋体" w:hAnsi="宋体" w:eastAsia="宋体" w:cs="宋体"/>
                          <w:spacing w:val="7"/>
                          <w:sz w:val="8"/>
                          <w:szCs w:val="8"/>
                        </w:rPr>
                        <w:t xml:space="preserve">    </w:t>
                      </w:r>
                      <w:r>
                        <w:rPr>
                          <w:rFonts w:ascii="宋体" w:hAnsi="宋体" w:eastAsia="宋体" w:cs="宋体"/>
                          <w:spacing w:val="-4"/>
                          <w:sz w:val="8"/>
                          <w:szCs w:val="8"/>
                        </w:rPr>
                        <w:t>O  R</w:t>
                      </w:r>
                      <w:r>
                        <w:rPr>
                          <w:rFonts w:ascii="宋体" w:hAnsi="宋体" w:eastAsia="宋体" w:cs="宋体"/>
                          <w:spacing w:val="2"/>
                          <w:sz w:val="8"/>
                          <w:szCs w:val="8"/>
                        </w:rPr>
                        <w:t xml:space="preserve">  </w:t>
                      </w:r>
                      <w:r>
                        <w:rPr>
                          <w:rFonts w:ascii="宋体" w:hAnsi="宋体" w:eastAsia="宋体" w:cs="宋体"/>
                          <w:spacing w:val="-4"/>
                          <w:sz w:val="8"/>
                          <w:szCs w:val="8"/>
                        </w:rPr>
                        <w:t>的</w:t>
                      </w:r>
                      <w:r>
                        <w:rPr>
                          <w:rFonts w:ascii="宋体" w:hAnsi="宋体" w:eastAsia="宋体" w:cs="宋体"/>
                          <w:spacing w:val="38"/>
                          <w:sz w:val="8"/>
                          <w:szCs w:val="8"/>
                        </w:rPr>
                        <w:t xml:space="preserve"> </w:t>
                      </w:r>
                      <w:r>
                        <w:rPr>
                          <w:rFonts w:ascii="宋体" w:hAnsi="宋体" w:eastAsia="宋体" w:cs="宋体"/>
                          <w:spacing w:val="-4"/>
                          <w:sz w:val="8"/>
                          <w:szCs w:val="8"/>
                        </w:rPr>
                        <w:t>标</w:t>
                      </w:r>
                      <w:r>
                        <w:rPr>
                          <w:rFonts w:ascii="宋体" w:hAnsi="宋体" w:eastAsia="宋体" w:cs="宋体"/>
                          <w:spacing w:val="37"/>
                          <w:w w:val="101"/>
                          <w:sz w:val="8"/>
                          <w:szCs w:val="8"/>
                        </w:rPr>
                        <w:t xml:space="preserve"> </w:t>
                      </w:r>
                      <w:r>
                        <w:rPr>
                          <w:rFonts w:ascii="宋体" w:hAnsi="宋体" w:eastAsia="宋体" w:cs="宋体"/>
                          <w:spacing w:val="-4"/>
                          <w:sz w:val="8"/>
                          <w:szCs w:val="8"/>
                        </w:rPr>
                        <w:t>准</w:t>
                      </w:r>
                      <w:r>
                        <w:rPr>
                          <w:rFonts w:ascii="宋体" w:hAnsi="宋体" w:eastAsia="宋体" w:cs="宋体"/>
                          <w:spacing w:val="37"/>
                          <w:w w:val="101"/>
                          <w:sz w:val="8"/>
                          <w:szCs w:val="8"/>
                        </w:rPr>
                        <w:t xml:space="preserve"> </w:t>
                      </w:r>
                      <w:r>
                        <w:rPr>
                          <w:rFonts w:ascii="宋体" w:hAnsi="宋体" w:eastAsia="宋体" w:cs="宋体"/>
                          <w:spacing w:val="-4"/>
                          <w:sz w:val="8"/>
                          <w:szCs w:val="8"/>
                        </w:rPr>
                        <w:t>误</w:t>
                      </w:r>
                    </w:p>
                  </w:txbxContent>
                </v:textbox>
              </v:shape>
            </w:pict>
          </mc:Fallback>
        </mc:AlternateContent>
      </w:r>
      <w:r>
        <mc:AlternateContent>
          <mc:Choice Requires="wps">
            <w:drawing>
              <wp:anchor distT="0" distB="0" distL="0" distR="0" simplePos="0" relativeHeight="251973632" behindDoc="0" locked="0" layoutInCell="1" allowOverlap="1">
                <wp:simplePos x="0" y="0"/>
                <wp:positionH relativeFrom="column">
                  <wp:posOffset>2786380</wp:posOffset>
                </wp:positionH>
                <wp:positionV relativeFrom="paragraph">
                  <wp:posOffset>607060</wp:posOffset>
                </wp:positionV>
                <wp:extent cx="803275" cy="92710"/>
                <wp:effectExtent l="0" t="0" r="0" b="0"/>
                <wp:wrapNone/>
                <wp:docPr id="774" name="TextBox 774"/>
                <wp:cNvGraphicFramePr/>
                <a:graphic xmlns:a="http://schemas.openxmlformats.org/drawingml/2006/main">
                  <a:graphicData uri="http://schemas.microsoft.com/office/word/2010/wordprocessingShape">
                    <wps:wsp>
                      <wps:cNvSpPr txBox="1"/>
                      <wps:spPr>
                        <a:xfrm rot="16200000">
                          <a:off x="2786779" y="607153"/>
                          <a:ext cx="803275" cy="92710"/>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24FD3F17">
                            <w:pPr>
                              <w:spacing w:before="32" w:line="214" w:lineRule="auto"/>
                              <w:ind w:left="20"/>
                              <w:rPr>
                                <w:rFonts w:ascii="宋体" w:hAnsi="宋体" w:eastAsia="宋体" w:cs="宋体"/>
                                <w:sz w:val="8"/>
                                <w:szCs w:val="8"/>
                              </w:rPr>
                            </w:pPr>
                            <w:r>
                              <w:rPr>
                                <w:rFonts w:ascii="宋体" w:hAnsi="宋体" w:eastAsia="宋体" w:cs="宋体"/>
                                <w:spacing w:val="-4"/>
                                <w:sz w:val="8"/>
                                <w:szCs w:val="8"/>
                              </w:rPr>
                              <w:t>l  o</w:t>
                            </w:r>
                            <w:r>
                              <w:rPr>
                                <w:rFonts w:ascii="宋体" w:hAnsi="宋体" w:eastAsia="宋体" w:cs="宋体"/>
                                <w:spacing w:val="42"/>
                                <w:sz w:val="8"/>
                                <w:szCs w:val="8"/>
                              </w:rPr>
                              <w:t xml:space="preserve"> </w:t>
                            </w:r>
                            <w:r>
                              <w:rPr>
                                <w:rFonts w:ascii="宋体" w:hAnsi="宋体" w:eastAsia="宋体" w:cs="宋体"/>
                                <w:spacing w:val="-4"/>
                                <w:sz w:val="8"/>
                                <w:szCs w:val="8"/>
                              </w:rPr>
                              <w:t>g</w:t>
                            </w:r>
                            <w:r>
                              <w:rPr>
                                <w:rFonts w:ascii="宋体" w:hAnsi="宋体" w:eastAsia="宋体" w:cs="宋体"/>
                                <w:spacing w:val="8"/>
                                <w:sz w:val="8"/>
                                <w:szCs w:val="8"/>
                              </w:rPr>
                              <w:t xml:space="preserve">    </w:t>
                            </w:r>
                            <w:r>
                              <w:rPr>
                                <w:rFonts w:ascii="宋体" w:hAnsi="宋体" w:eastAsia="宋体" w:cs="宋体"/>
                                <w:spacing w:val="-4"/>
                                <w:sz w:val="8"/>
                                <w:szCs w:val="8"/>
                              </w:rPr>
                              <w:t>O</w:t>
                            </w:r>
                            <w:r>
                              <w:rPr>
                                <w:rFonts w:ascii="宋体" w:hAnsi="宋体" w:eastAsia="宋体" w:cs="宋体"/>
                                <w:spacing w:val="37"/>
                                <w:w w:val="101"/>
                                <w:sz w:val="8"/>
                                <w:szCs w:val="8"/>
                              </w:rPr>
                              <w:t xml:space="preserve"> </w:t>
                            </w:r>
                            <w:r>
                              <w:rPr>
                                <w:rFonts w:ascii="宋体" w:hAnsi="宋体" w:eastAsia="宋体" w:cs="宋体"/>
                                <w:spacing w:val="-4"/>
                                <w:sz w:val="8"/>
                                <w:szCs w:val="8"/>
                              </w:rPr>
                              <w:t>R</w:t>
                            </w:r>
                            <w:r>
                              <w:rPr>
                                <w:rFonts w:ascii="宋体" w:hAnsi="宋体" w:eastAsia="宋体" w:cs="宋体"/>
                                <w:spacing w:val="2"/>
                                <w:sz w:val="8"/>
                                <w:szCs w:val="8"/>
                              </w:rPr>
                              <w:t xml:space="preserve">  </w:t>
                            </w:r>
                            <w:r>
                              <w:rPr>
                                <w:rFonts w:ascii="宋体" w:hAnsi="宋体" w:eastAsia="宋体" w:cs="宋体"/>
                                <w:spacing w:val="-4"/>
                                <w:sz w:val="8"/>
                                <w:szCs w:val="8"/>
                              </w:rPr>
                              <w:t>的</w:t>
                            </w:r>
                            <w:r>
                              <w:rPr>
                                <w:rFonts w:ascii="宋体" w:hAnsi="宋体" w:eastAsia="宋体" w:cs="宋体"/>
                                <w:spacing w:val="38"/>
                                <w:w w:val="101"/>
                                <w:sz w:val="8"/>
                                <w:szCs w:val="8"/>
                              </w:rPr>
                              <w:t xml:space="preserve"> </w:t>
                            </w:r>
                            <w:r>
                              <w:rPr>
                                <w:rFonts w:ascii="宋体" w:hAnsi="宋体" w:eastAsia="宋体" w:cs="宋体"/>
                                <w:spacing w:val="-4"/>
                                <w:sz w:val="8"/>
                                <w:szCs w:val="8"/>
                              </w:rPr>
                              <w:t>标</w:t>
                            </w:r>
                            <w:r>
                              <w:rPr>
                                <w:rFonts w:ascii="宋体" w:hAnsi="宋体" w:eastAsia="宋体" w:cs="宋体"/>
                                <w:spacing w:val="38"/>
                                <w:w w:val="101"/>
                                <w:sz w:val="8"/>
                                <w:szCs w:val="8"/>
                              </w:rPr>
                              <w:t xml:space="preserve"> </w:t>
                            </w:r>
                            <w:r>
                              <w:rPr>
                                <w:rFonts w:ascii="宋体" w:hAnsi="宋体" w:eastAsia="宋体" w:cs="宋体"/>
                                <w:spacing w:val="-4"/>
                                <w:sz w:val="8"/>
                                <w:szCs w:val="8"/>
                              </w:rPr>
                              <w:t>准</w:t>
                            </w:r>
                            <w:r>
                              <w:rPr>
                                <w:rFonts w:ascii="宋体" w:hAnsi="宋体" w:eastAsia="宋体" w:cs="宋体"/>
                                <w:spacing w:val="38"/>
                                <w:w w:val="102"/>
                                <w:sz w:val="8"/>
                                <w:szCs w:val="8"/>
                              </w:rPr>
                              <w:t xml:space="preserve"> </w:t>
                            </w:r>
                            <w:r>
                              <w:rPr>
                                <w:rFonts w:ascii="宋体" w:hAnsi="宋体" w:eastAsia="宋体" w:cs="宋体"/>
                                <w:spacing w:val="-4"/>
                                <w:sz w:val="8"/>
                                <w:szCs w:val="8"/>
                              </w:rPr>
                              <w:t>误</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774" o:spid="_x0000_s1026" o:spt="202" type="#_x0000_t202" style="position:absolute;left:0pt;margin-left:219.4pt;margin-top:47.8pt;height:7.3pt;width:63.25pt;rotation:-5898240f;z-index:251973632;mso-width-relative:page;mso-height-relative:page;" filled="f" stroked="f" coordsize="21600,21600" o:gfxdata="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NONiV7ZAAAACgEA&#10;AA8AAAAAAAAAAQAgAAAAIgAAAGRycy9kb3ducmV2LnhtbFBLAQIUABQAAAAIAIdO4kAyfG/iUgIA&#10;AKMEAAAOAAAAAAAAAAEAIAAAACgBAABkcnMvZTJvRG9jLnhtbFBLBQYAAAAABgAGAFkBAADsBQAA&#10;AAA=&#10;">
                <v:fill on="f" focussize="0,0"/>
                <v:stroke on="f" weight="0pt" miterlimit="0" joinstyle="miter"/>
                <v:imagedata o:title=""/>
                <o:lock v:ext="edit" aspectratio="f"/>
                <v:textbox inset="0mm,0mm,0mm,0mm">
                  <w:txbxContent>
                    <w:p w14:paraId="24FD3F17">
                      <w:pPr>
                        <w:spacing w:before="32" w:line="214" w:lineRule="auto"/>
                        <w:ind w:left="20"/>
                        <w:rPr>
                          <w:rFonts w:ascii="宋体" w:hAnsi="宋体" w:eastAsia="宋体" w:cs="宋体"/>
                          <w:sz w:val="8"/>
                          <w:szCs w:val="8"/>
                        </w:rPr>
                      </w:pPr>
                      <w:r>
                        <w:rPr>
                          <w:rFonts w:ascii="宋体" w:hAnsi="宋体" w:eastAsia="宋体" w:cs="宋体"/>
                          <w:spacing w:val="-4"/>
                          <w:sz w:val="8"/>
                          <w:szCs w:val="8"/>
                        </w:rPr>
                        <w:t>l  o</w:t>
                      </w:r>
                      <w:r>
                        <w:rPr>
                          <w:rFonts w:ascii="宋体" w:hAnsi="宋体" w:eastAsia="宋体" w:cs="宋体"/>
                          <w:spacing w:val="42"/>
                          <w:sz w:val="8"/>
                          <w:szCs w:val="8"/>
                        </w:rPr>
                        <w:t xml:space="preserve"> </w:t>
                      </w:r>
                      <w:r>
                        <w:rPr>
                          <w:rFonts w:ascii="宋体" w:hAnsi="宋体" w:eastAsia="宋体" w:cs="宋体"/>
                          <w:spacing w:val="-4"/>
                          <w:sz w:val="8"/>
                          <w:szCs w:val="8"/>
                        </w:rPr>
                        <w:t>g</w:t>
                      </w:r>
                      <w:r>
                        <w:rPr>
                          <w:rFonts w:ascii="宋体" w:hAnsi="宋体" w:eastAsia="宋体" w:cs="宋体"/>
                          <w:spacing w:val="8"/>
                          <w:sz w:val="8"/>
                          <w:szCs w:val="8"/>
                        </w:rPr>
                        <w:t xml:space="preserve">    </w:t>
                      </w:r>
                      <w:r>
                        <w:rPr>
                          <w:rFonts w:ascii="宋体" w:hAnsi="宋体" w:eastAsia="宋体" w:cs="宋体"/>
                          <w:spacing w:val="-4"/>
                          <w:sz w:val="8"/>
                          <w:szCs w:val="8"/>
                        </w:rPr>
                        <w:t>O</w:t>
                      </w:r>
                      <w:r>
                        <w:rPr>
                          <w:rFonts w:ascii="宋体" w:hAnsi="宋体" w:eastAsia="宋体" w:cs="宋体"/>
                          <w:spacing w:val="37"/>
                          <w:w w:val="101"/>
                          <w:sz w:val="8"/>
                          <w:szCs w:val="8"/>
                        </w:rPr>
                        <w:t xml:space="preserve"> </w:t>
                      </w:r>
                      <w:r>
                        <w:rPr>
                          <w:rFonts w:ascii="宋体" w:hAnsi="宋体" w:eastAsia="宋体" w:cs="宋体"/>
                          <w:spacing w:val="-4"/>
                          <w:sz w:val="8"/>
                          <w:szCs w:val="8"/>
                        </w:rPr>
                        <w:t>R</w:t>
                      </w:r>
                      <w:r>
                        <w:rPr>
                          <w:rFonts w:ascii="宋体" w:hAnsi="宋体" w:eastAsia="宋体" w:cs="宋体"/>
                          <w:spacing w:val="2"/>
                          <w:sz w:val="8"/>
                          <w:szCs w:val="8"/>
                        </w:rPr>
                        <w:t xml:space="preserve">  </w:t>
                      </w:r>
                      <w:r>
                        <w:rPr>
                          <w:rFonts w:ascii="宋体" w:hAnsi="宋体" w:eastAsia="宋体" w:cs="宋体"/>
                          <w:spacing w:val="-4"/>
                          <w:sz w:val="8"/>
                          <w:szCs w:val="8"/>
                        </w:rPr>
                        <w:t>的</w:t>
                      </w:r>
                      <w:r>
                        <w:rPr>
                          <w:rFonts w:ascii="宋体" w:hAnsi="宋体" w:eastAsia="宋体" w:cs="宋体"/>
                          <w:spacing w:val="38"/>
                          <w:w w:val="101"/>
                          <w:sz w:val="8"/>
                          <w:szCs w:val="8"/>
                        </w:rPr>
                        <w:t xml:space="preserve"> </w:t>
                      </w:r>
                      <w:r>
                        <w:rPr>
                          <w:rFonts w:ascii="宋体" w:hAnsi="宋体" w:eastAsia="宋体" w:cs="宋体"/>
                          <w:spacing w:val="-4"/>
                          <w:sz w:val="8"/>
                          <w:szCs w:val="8"/>
                        </w:rPr>
                        <w:t>标</w:t>
                      </w:r>
                      <w:r>
                        <w:rPr>
                          <w:rFonts w:ascii="宋体" w:hAnsi="宋体" w:eastAsia="宋体" w:cs="宋体"/>
                          <w:spacing w:val="38"/>
                          <w:w w:val="101"/>
                          <w:sz w:val="8"/>
                          <w:szCs w:val="8"/>
                        </w:rPr>
                        <w:t xml:space="preserve"> </w:t>
                      </w:r>
                      <w:r>
                        <w:rPr>
                          <w:rFonts w:ascii="宋体" w:hAnsi="宋体" w:eastAsia="宋体" w:cs="宋体"/>
                          <w:spacing w:val="-4"/>
                          <w:sz w:val="8"/>
                          <w:szCs w:val="8"/>
                        </w:rPr>
                        <w:t>准</w:t>
                      </w:r>
                      <w:r>
                        <w:rPr>
                          <w:rFonts w:ascii="宋体" w:hAnsi="宋体" w:eastAsia="宋体" w:cs="宋体"/>
                          <w:spacing w:val="38"/>
                          <w:w w:val="102"/>
                          <w:sz w:val="8"/>
                          <w:szCs w:val="8"/>
                        </w:rPr>
                        <w:t xml:space="preserve"> </w:t>
                      </w:r>
                      <w:r>
                        <w:rPr>
                          <w:rFonts w:ascii="宋体" w:hAnsi="宋体" w:eastAsia="宋体" w:cs="宋体"/>
                          <w:spacing w:val="-4"/>
                          <w:sz w:val="8"/>
                          <w:szCs w:val="8"/>
                        </w:rPr>
                        <w:t>误</w:t>
                      </w:r>
                    </w:p>
                  </w:txbxContent>
                </v:textbox>
              </v:shape>
            </w:pict>
          </mc:Fallback>
        </mc:AlternateContent>
      </w:r>
      <w:r>
        <w:pict>
          <v:shape id="_x0000_s1280" o:spid="_x0000_s1280" o:spt="202" type="#_x0000_t202" style="position:absolute;left:0pt;margin-left:266pt;margin-top:116.15pt;height:38.7pt;width:153.5pt;z-index:251972608;mso-width-relative:page;mso-height-relative:page;" filled="f" stroked="f" coordsize="21600,21600">
            <v:path/>
            <v:fill on="f" focussize="0,0"/>
            <v:stroke on="f"/>
            <v:imagedata o:title=""/>
            <o:lock v:ext="edit" aspectratio="f"/>
            <v:textbox inset="0mm,0mm,0mm,0mm">
              <w:txbxContent>
                <w:p w14:paraId="40E7AD0E">
                  <w:pPr>
                    <w:spacing w:before="20" w:line="188" w:lineRule="auto"/>
                    <w:ind w:left="1319"/>
                    <w:rPr>
                      <w:rFonts w:ascii="Times New Roman" w:hAnsi="Times New Roman" w:eastAsia="Times New Roman" w:cs="Times New Roman"/>
                      <w:sz w:val="21"/>
                      <w:szCs w:val="21"/>
                    </w:rPr>
                  </w:pPr>
                  <w:r>
                    <w:rPr>
                      <w:rFonts w:ascii="Times New Roman" w:hAnsi="Times New Roman" w:eastAsia="Times New Roman" w:cs="Times New Roman"/>
                      <w:spacing w:val="-7"/>
                      <w:w w:val="97"/>
                      <w:sz w:val="21"/>
                      <w:szCs w:val="21"/>
                    </w:rPr>
                    <w:t>OR</w:t>
                  </w:r>
                </w:p>
                <w:p w14:paraId="784B7D2D">
                  <w:pPr>
                    <w:spacing w:before="62" w:line="205" w:lineRule="auto"/>
                    <w:ind w:left="329"/>
                    <w:rPr>
                      <w:rFonts w:ascii="宋体" w:hAnsi="宋体" w:eastAsia="宋体" w:cs="宋体"/>
                      <w:sz w:val="21"/>
                      <w:szCs w:val="21"/>
                    </w:rPr>
                  </w:pPr>
                  <w:r>
                    <w:rPr>
                      <w:rFonts w:ascii="Times New Roman" w:hAnsi="Times New Roman" w:eastAsia="Times New Roman" w:cs="Times New Roman"/>
                      <w:spacing w:val="-19"/>
                      <w:w w:val="97"/>
                      <w:sz w:val="21"/>
                      <w:szCs w:val="21"/>
                    </w:rPr>
                    <w:t xml:space="preserve">(b)  </w:t>
                  </w:r>
                  <w:r>
                    <w:rPr>
                      <w:rFonts w:ascii="宋体" w:hAnsi="宋体" w:eastAsia="宋体" w:cs="宋体"/>
                      <w:spacing w:val="-19"/>
                      <w:w w:val="97"/>
                      <w:sz w:val="21"/>
                      <w:szCs w:val="21"/>
                    </w:rPr>
                    <w:t>存在发表偏倚时的不对称图</w:t>
                  </w:r>
                </w:p>
                <w:p w14:paraId="1926EB59">
                  <w:pPr>
                    <w:spacing w:line="218" w:lineRule="auto"/>
                    <w:ind w:left="20"/>
                    <w:rPr>
                      <w:rFonts w:ascii="宋体" w:hAnsi="宋体" w:eastAsia="宋体" w:cs="宋体"/>
                      <w:sz w:val="21"/>
                      <w:szCs w:val="21"/>
                    </w:rPr>
                  </w:pPr>
                  <w:r>
                    <w:rPr>
                      <w:rFonts w:ascii="宋体" w:hAnsi="宋体" w:eastAsia="宋体" w:cs="宋体"/>
                      <w:spacing w:val="-18"/>
                      <w:w w:val="94"/>
                      <w:sz w:val="21"/>
                      <w:szCs w:val="21"/>
                    </w:rPr>
                    <w:t>(效应无统计学意义的小规模研究缺失)</w:t>
                  </w:r>
                </w:p>
              </w:txbxContent>
            </v:textbox>
          </v:shape>
        </w:pict>
      </w:r>
      <w:r>
        <w:drawing>
          <wp:anchor distT="0" distB="0" distL="0" distR="0" simplePos="0" relativeHeight="251971584" behindDoc="0" locked="0" layoutInCell="1" allowOverlap="1">
            <wp:simplePos x="0" y="0"/>
            <wp:positionH relativeFrom="column">
              <wp:posOffset>3218815</wp:posOffset>
            </wp:positionH>
            <wp:positionV relativeFrom="paragraph">
              <wp:posOffset>0</wp:posOffset>
            </wp:positionV>
            <wp:extent cx="2165350" cy="1447800"/>
            <wp:effectExtent l="0" t="0" r="0" b="0"/>
            <wp:wrapNone/>
            <wp:docPr id="776" name="IM 776"/>
            <wp:cNvGraphicFramePr/>
            <a:graphic xmlns:a="http://schemas.openxmlformats.org/drawingml/2006/main">
              <a:graphicData uri="http://schemas.openxmlformats.org/drawingml/2006/picture">
                <pic:pic xmlns:pic="http://schemas.openxmlformats.org/drawingml/2006/picture">
                  <pic:nvPicPr>
                    <pic:cNvPr id="776" name="IM 776"/>
                    <pic:cNvPicPr/>
                  </pic:nvPicPr>
                  <pic:blipFill>
                    <a:blip r:embed="rId678"/>
                    <a:stretch>
                      <a:fillRect/>
                    </a:stretch>
                  </pic:blipFill>
                  <pic:spPr>
                    <a:xfrm>
                      <a:off x="0" y="0"/>
                      <a:ext cx="2165314" cy="1447768"/>
                    </a:xfrm>
                    <a:prstGeom prst="rect">
                      <a:avLst/>
                    </a:prstGeom>
                  </pic:spPr>
                </pic:pic>
              </a:graphicData>
            </a:graphic>
          </wp:anchor>
        </w:drawing>
      </w:r>
      <w:r>
        <w:rPr>
          <w:position w:val="-61"/>
        </w:rPr>
        <w:pict>
          <v:group id="_x0000_s1281" o:spid="_x0000_s1281" o:spt="203" style="height:152.9pt;width:187.55pt;" coordsize="3751,3057">
            <o:lock v:ext="edit"/>
            <v:shape id="_x0000_s1282" o:spid="_x0000_s1282" o:spt="75" type="#_x0000_t75" style="position:absolute;left:0;top:0;height:2260;width:3751;" filled="f" stroked="f" coordsize="21600,21600">
              <v:path/>
              <v:fill on="f" focussize="0,0"/>
              <v:stroke on="f"/>
              <v:imagedata r:id="rId679" o:title=""/>
              <o:lock v:ext="edit" aspectratio="t"/>
            </v:shape>
            <v:shape id="_x0000_s1283" o:spid="_x0000_s1283" o:spt="202" type="#_x0000_t202" style="position:absolute;left:90;top:2322;height:755;width:3610;" filled="f" stroked="f" coordsize="21600,21600">
              <v:path/>
              <v:fill on="f" focussize="0,0"/>
              <v:stroke on="f"/>
              <v:imagedata o:title=""/>
              <o:lock v:ext="edit" aspectratio="f"/>
              <v:textbox inset="0mm,0mm,0mm,0mm">
                <w:txbxContent>
                  <w:p w14:paraId="1578A176">
                    <w:pPr>
                      <w:spacing w:before="20" w:line="188" w:lineRule="auto"/>
                      <w:ind w:left="1699"/>
                      <w:rPr>
                        <w:rFonts w:ascii="Times New Roman" w:hAnsi="Times New Roman" w:eastAsia="Times New Roman" w:cs="Times New Roman"/>
                        <w:sz w:val="21"/>
                        <w:szCs w:val="21"/>
                      </w:rPr>
                    </w:pPr>
                    <w:r>
                      <w:rPr>
                        <w:rFonts w:ascii="Times New Roman" w:hAnsi="Times New Roman" w:eastAsia="Times New Roman" w:cs="Times New Roman"/>
                        <w:spacing w:val="-7"/>
                        <w:w w:val="97"/>
                        <w:sz w:val="21"/>
                        <w:szCs w:val="21"/>
                      </w:rPr>
                      <w:t>OR</w:t>
                    </w:r>
                  </w:p>
                  <w:p w14:paraId="5FFAD741">
                    <w:pPr>
                      <w:spacing w:before="62" w:line="212" w:lineRule="auto"/>
                      <w:ind w:left="679"/>
                      <w:rPr>
                        <w:rFonts w:ascii="宋体" w:hAnsi="宋体" w:eastAsia="宋体" w:cs="宋体"/>
                        <w:sz w:val="21"/>
                        <w:szCs w:val="21"/>
                      </w:rPr>
                    </w:pPr>
                    <w:r>
                      <w:rPr>
                        <w:rFonts w:ascii="Times New Roman" w:hAnsi="Times New Roman" w:eastAsia="Times New Roman" w:cs="Times New Roman"/>
                        <w:spacing w:val="-21"/>
                        <w:w w:val="99"/>
                        <w:sz w:val="21"/>
                        <w:szCs w:val="21"/>
                      </w:rPr>
                      <w:t xml:space="preserve">(a)   </w:t>
                    </w:r>
                    <w:r>
                      <w:rPr>
                        <w:rFonts w:ascii="宋体" w:hAnsi="宋体" w:eastAsia="宋体" w:cs="宋体"/>
                        <w:spacing w:val="-21"/>
                        <w:w w:val="99"/>
                        <w:sz w:val="21"/>
                        <w:szCs w:val="21"/>
                      </w:rPr>
                      <w:t>没有偏倚存在时的对称图</w:t>
                    </w:r>
                  </w:p>
                  <w:p w14:paraId="019B9E43">
                    <w:pPr>
                      <w:spacing w:before="11" w:line="219" w:lineRule="auto"/>
                      <w:ind w:left="20"/>
                      <w:rPr>
                        <w:rFonts w:ascii="宋体" w:hAnsi="宋体" w:eastAsia="宋体" w:cs="宋体"/>
                        <w:sz w:val="21"/>
                        <w:szCs w:val="21"/>
                      </w:rPr>
                    </w:pPr>
                    <w:r>
                      <w:rPr>
                        <w:rFonts w:ascii="宋体" w:hAnsi="宋体" w:eastAsia="宋体" w:cs="宋体"/>
                        <w:spacing w:val="-18"/>
                        <w:w w:val="94"/>
                        <w:sz w:val="21"/>
                        <w:szCs w:val="21"/>
                      </w:rPr>
                      <w:t>(空心圈表示效应无统计学意义的小规模研究)</w:t>
                    </w:r>
                  </w:p>
                </w:txbxContent>
              </v:textbox>
            </v:shape>
            <w10:wrap type="none"/>
            <w10:anchorlock/>
          </v:group>
        </w:pict>
      </w:r>
    </w:p>
    <w:p w14:paraId="395C4CEF">
      <w:pPr>
        <w:pStyle w:val="2"/>
        <w:spacing w:before="129" w:line="222" w:lineRule="auto"/>
        <w:ind w:left="3579"/>
        <w:rPr>
          <w:sz w:val="21"/>
          <w:szCs w:val="21"/>
        </w:rPr>
      </w:pPr>
      <w:r>
        <w:rPr>
          <w:spacing w:val="-11"/>
          <w:sz w:val="21"/>
          <w:szCs w:val="21"/>
        </w:rPr>
        <w:t>图18-7</w:t>
      </w:r>
      <w:r>
        <w:rPr>
          <w:spacing w:val="61"/>
          <w:sz w:val="21"/>
          <w:szCs w:val="21"/>
        </w:rPr>
        <w:t xml:space="preserve"> </w:t>
      </w:r>
      <w:r>
        <w:rPr>
          <w:spacing w:val="-11"/>
          <w:sz w:val="21"/>
          <w:szCs w:val="21"/>
        </w:rPr>
        <w:t>漏斗图示意图</w:t>
      </w:r>
    </w:p>
    <w:p w14:paraId="496A4AE3">
      <w:pPr>
        <w:spacing w:line="254" w:lineRule="auto"/>
        <w:rPr>
          <w:rFonts w:ascii="Arial"/>
          <w:sz w:val="21"/>
        </w:rPr>
      </w:pPr>
    </w:p>
    <w:p w14:paraId="48CB080A">
      <w:pPr>
        <w:spacing w:before="68" w:line="336" w:lineRule="auto"/>
        <w:ind w:left="8" w:right="672" w:hanging="9"/>
        <w:rPr>
          <w:rFonts w:ascii="宋体" w:hAnsi="宋体" w:eastAsia="宋体" w:cs="宋体"/>
          <w:sz w:val="21"/>
          <w:szCs w:val="21"/>
        </w:rPr>
      </w:pPr>
      <w:r>
        <w:rPr>
          <w:rFonts w:ascii="宋体" w:hAnsi="宋体" w:eastAsia="宋体" w:cs="宋体"/>
          <w:sz w:val="21"/>
          <w:szCs w:val="21"/>
        </w:rPr>
        <w:t>极端值的机会多于大样本研究。图</w:t>
      </w:r>
      <w:r>
        <w:rPr>
          <w:rFonts w:ascii="Times New Roman" w:hAnsi="Times New Roman" w:eastAsia="Times New Roman" w:cs="Times New Roman"/>
          <w:sz w:val="21"/>
          <w:szCs w:val="21"/>
        </w:rPr>
        <w:t>(b)</w:t>
      </w:r>
      <w:r>
        <w:rPr>
          <w:rFonts w:ascii="Times New Roman" w:hAnsi="Times New Roman" w:eastAsia="Times New Roman" w:cs="Times New Roman"/>
          <w:spacing w:val="63"/>
          <w:w w:val="101"/>
          <w:sz w:val="21"/>
          <w:szCs w:val="21"/>
        </w:rPr>
        <w:t xml:space="preserve"> </w:t>
      </w:r>
      <w:r>
        <w:rPr>
          <w:rFonts w:ascii="宋体" w:hAnsi="宋体" w:eastAsia="宋体" w:cs="宋体"/>
          <w:sz w:val="21"/>
          <w:szCs w:val="21"/>
        </w:rPr>
        <w:t xml:space="preserve">呈不对称分布，表示存在发表偏倚，所缺失部分恰恰为结果 </w:t>
      </w:r>
      <w:r>
        <w:rPr>
          <w:rFonts w:ascii="宋体" w:hAnsi="宋体" w:eastAsia="宋体" w:cs="宋体"/>
          <w:spacing w:val="1"/>
          <w:sz w:val="21"/>
          <w:szCs w:val="21"/>
        </w:rPr>
        <w:t>无统计学意义的小样本研究。绘制漏斗图需</w:t>
      </w:r>
      <w:r>
        <w:rPr>
          <w:rFonts w:ascii="宋体" w:hAnsi="宋体" w:eastAsia="宋体" w:cs="宋体"/>
          <w:sz w:val="21"/>
          <w:szCs w:val="21"/>
        </w:rPr>
        <w:t>要纳人较多的研究，原则上要求5个点以上才能进行。</w:t>
      </w:r>
    </w:p>
    <w:p w14:paraId="02EB31A1">
      <w:pPr>
        <w:spacing w:before="2" w:line="320" w:lineRule="auto"/>
        <w:ind w:right="675" w:firstLine="429"/>
        <w:jc w:val="both"/>
        <w:rPr>
          <w:rFonts w:ascii="宋体" w:hAnsi="宋体" w:eastAsia="宋体" w:cs="宋体"/>
          <w:sz w:val="21"/>
          <w:szCs w:val="21"/>
        </w:rPr>
      </w:pPr>
      <w:r>
        <w:rPr>
          <w:rFonts w:ascii="宋体" w:hAnsi="宋体" w:eastAsia="宋体" w:cs="宋体"/>
          <w:spacing w:val="-2"/>
          <w:sz w:val="21"/>
          <w:szCs w:val="21"/>
        </w:rPr>
        <w:t>需要指出的是，导致漏斗图图形不对称的原因较多，除了发表偏倚外，也可能因为纳人的试验</w:t>
      </w:r>
      <w:r>
        <w:rPr>
          <w:rFonts w:ascii="宋体" w:hAnsi="宋体" w:eastAsia="宋体" w:cs="宋体"/>
          <w:spacing w:val="9"/>
          <w:sz w:val="21"/>
          <w:szCs w:val="21"/>
        </w:rPr>
        <w:t xml:space="preserve"> </w:t>
      </w:r>
      <w:r>
        <w:rPr>
          <w:rFonts w:ascii="宋体" w:hAnsi="宋体" w:eastAsia="宋体" w:cs="宋体"/>
          <w:spacing w:val="-1"/>
          <w:sz w:val="21"/>
          <w:szCs w:val="21"/>
        </w:rPr>
        <w:t>总体质量较差、样本量较小、试验数较少(机遇的作用</w:t>
      </w:r>
      <w:r>
        <w:rPr>
          <w:rFonts w:ascii="宋体" w:hAnsi="宋体" w:eastAsia="宋体" w:cs="宋体"/>
          <w:spacing w:val="-2"/>
          <w:sz w:val="21"/>
          <w:szCs w:val="21"/>
        </w:rPr>
        <w:t>)或干预措施的变异性过大。因此，在解释图</w:t>
      </w:r>
      <w:r>
        <w:rPr>
          <w:rFonts w:ascii="宋体" w:hAnsi="宋体" w:eastAsia="宋体" w:cs="宋体"/>
          <w:sz w:val="21"/>
          <w:szCs w:val="21"/>
        </w:rPr>
        <w:t xml:space="preserve"> </w:t>
      </w:r>
      <w:r>
        <w:rPr>
          <w:rFonts w:ascii="宋体" w:hAnsi="宋体" w:eastAsia="宋体" w:cs="宋体"/>
          <w:spacing w:val="3"/>
          <w:sz w:val="21"/>
          <w:szCs w:val="21"/>
        </w:rPr>
        <w:t>形不对称的原因时应综合考虑。此外，当纳人系统综述的试验数较少(如低于10个)时，进行漏斗</w:t>
      </w:r>
      <w:r>
        <w:rPr>
          <w:rFonts w:ascii="宋体" w:hAnsi="宋体" w:eastAsia="宋体" w:cs="宋体"/>
          <w:spacing w:val="11"/>
          <w:sz w:val="21"/>
          <w:szCs w:val="21"/>
        </w:rPr>
        <w:t xml:space="preserve"> </w:t>
      </w:r>
      <w:r>
        <w:rPr>
          <w:rFonts w:ascii="宋体" w:hAnsi="宋体" w:eastAsia="宋体" w:cs="宋体"/>
          <w:spacing w:val="-2"/>
          <w:sz w:val="21"/>
          <w:szCs w:val="21"/>
        </w:rPr>
        <w:t>图分析对结果的解释需慎重，这时的对称性判断不准确。</w:t>
      </w:r>
    </w:p>
    <w:p w14:paraId="4B69145C">
      <w:pPr>
        <w:spacing w:before="1" w:line="309" w:lineRule="auto"/>
        <w:ind w:left="9" w:right="665" w:firstLine="439"/>
        <w:rPr>
          <w:rFonts w:ascii="宋体" w:hAnsi="宋体" w:eastAsia="宋体" w:cs="宋体"/>
          <w:sz w:val="21"/>
          <w:szCs w:val="21"/>
        </w:rPr>
      </w:pPr>
      <w:r>
        <w:rPr>
          <w:rFonts w:ascii="宋体" w:hAnsi="宋体" w:eastAsia="宋体" w:cs="宋体"/>
          <w:spacing w:val="1"/>
          <w:sz w:val="21"/>
          <w:szCs w:val="21"/>
        </w:rPr>
        <w:t>2.</w:t>
      </w:r>
      <w:r>
        <w:rPr>
          <w:rFonts w:ascii="宋体" w:hAnsi="宋体" w:eastAsia="宋体" w:cs="宋体"/>
          <w:spacing w:val="-18"/>
          <w:sz w:val="21"/>
          <w:szCs w:val="21"/>
        </w:rPr>
        <w:t xml:space="preserve"> </w:t>
      </w:r>
      <w:r>
        <w:rPr>
          <w:rFonts w:ascii="宋体" w:hAnsi="宋体" w:eastAsia="宋体" w:cs="宋体"/>
          <w:spacing w:val="1"/>
          <w:sz w:val="21"/>
          <w:szCs w:val="21"/>
        </w:rPr>
        <w:t>失安全数</w:t>
      </w:r>
      <w:r>
        <w:rPr>
          <w:rFonts w:ascii="宋体" w:hAnsi="宋体" w:eastAsia="宋体" w:cs="宋体"/>
          <w:spacing w:val="96"/>
          <w:sz w:val="21"/>
          <w:szCs w:val="21"/>
        </w:rPr>
        <w:t xml:space="preserve"> </w:t>
      </w:r>
      <w:r>
        <w:rPr>
          <w:rFonts w:ascii="Times New Roman" w:hAnsi="Times New Roman" w:eastAsia="Times New Roman" w:cs="Times New Roman"/>
          <w:sz w:val="21"/>
          <w:szCs w:val="21"/>
        </w:rPr>
        <w:t>Meta</w:t>
      </w:r>
      <w:r>
        <w:rPr>
          <w:rFonts w:ascii="宋体" w:hAnsi="宋体" w:eastAsia="宋体" w:cs="宋体"/>
          <w:spacing w:val="1"/>
          <w:sz w:val="21"/>
          <w:szCs w:val="21"/>
        </w:rPr>
        <w:t>分析中还可以计算需多少阴性研究结果的报告才能使结论逆转，即利用失</w:t>
      </w:r>
      <w:r>
        <w:rPr>
          <w:rFonts w:ascii="宋体" w:hAnsi="宋体" w:eastAsia="宋体" w:cs="宋体"/>
          <w:sz w:val="21"/>
          <w:szCs w:val="21"/>
        </w:rPr>
        <w:t xml:space="preserve"> </w:t>
      </w:r>
      <w:r>
        <w:rPr>
          <w:rFonts w:ascii="宋体" w:hAnsi="宋体" w:eastAsia="宋体" w:cs="宋体"/>
          <w:spacing w:val="1"/>
          <w:sz w:val="21"/>
          <w:szCs w:val="21"/>
        </w:rPr>
        <w:t>安全数来估计发表偏倚的程度。</w:t>
      </w:r>
      <w:r>
        <w:rPr>
          <w:rFonts w:ascii="Times New Roman" w:hAnsi="Times New Roman" w:eastAsia="Times New Roman" w:cs="Times New Roman"/>
          <w:spacing w:val="1"/>
          <w:sz w:val="21"/>
          <w:szCs w:val="21"/>
        </w:rPr>
        <w:t>P</w:t>
      </w:r>
      <w:r>
        <w:rPr>
          <w:rFonts w:ascii="Times New Roman" w:hAnsi="Times New Roman" w:eastAsia="Times New Roman" w:cs="Times New Roman"/>
          <w:spacing w:val="17"/>
          <w:sz w:val="21"/>
          <w:szCs w:val="21"/>
        </w:rPr>
        <w:t xml:space="preserve"> </w:t>
      </w:r>
      <w:r>
        <w:rPr>
          <w:rFonts w:ascii="宋体" w:hAnsi="宋体" w:eastAsia="宋体" w:cs="宋体"/>
          <w:spacing w:val="1"/>
          <w:sz w:val="21"/>
          <w:szCs w:val="21"/>
        </w:rPr>
        <w:t>为0.05和0.01时的失安全数计算公式如下：</w:t>
      </w:r>
    </w:p>
    <w:p w14:paraId="6328350B">
      <w:pPr>
        <w:spacing w:line="144" w:lineRule="exact"/>
      </w:pPr>
    </w:p>
    <w:p w14:paraId="78AAD03C">
      <w:pPr>
        <w:spacing w:line="144" w:lineRule="exact"/>
        <w:sectPr>
          <w:footerReference r:id="rId312" w:type="default"/>
          <w:pgSz w:w="11900" w:h="16820"/>
          <w:pgMar w:top="400" w:right="825" w:bottom="920" w:left="1430" w:header="0" w:footer="648" w:gutter="0"/>
          <w:cols w:equalWidth="0" w:num="1">
            <w:col w:w="9645"/>
          </w:cols>
        </w:sectPr>
      </w:pPr>
    </w:p>
    <w:p w14:paraId="4D11F84E">
      <w:pPr>
        <w:spacing w:before="46" w:line="343" w:lineRule="auto"/>
        <w:ind w:left="3519" w:right="2580" w:hanging="9"/>
        <w:rPr>
          <w:rFonts w:ascii="Times New Roman" w:hAnsi="Times New Roman" w:eastAsia="Times New Roman" w:cs="Times New Roman"/>
          <w:sz w:val="25"/>
          <w:szCs w:val="25"/>
        </w:rPr>
      </w:pPr>
      <w:r>
        <w:rPr>
          <w:rFonts w:ascii="Times New Roman" w:hAnsi="Times New Roman" w:eastAsia="Times New Roman" w:cs="Times New Roman"/>
          <w:sz w:val="25"/>
          <w:szCs w:val="25"/>
        </w:rPr>
        <w:t>N₆0o=(∑Z/1.64)²-S Nn=(∑Z/2.33)²-S</w:t>
      </w:r>
    </w:p>
    <w:p w14:paraId="3B46E17E">
      <w:pPr>
        <w:spacing w:line="48" w:lineRule="exact"/>
      </w:pPr>
    </w:p>
    <w:p w14:paraId="26862BDB">
      <w:pPr>
        <w:spacing w:line="14" w:lineRule="auto"/>
        <w:rPr>
          <w:rFonts w:ascii="Arial"/>
          <w:sz w:val="2"/>
        </w:rPr>
      </w:pPr>
      <w:r>
        <w:rPr>
          <w:rFonts w:ascii="Arial" w:hAnsi="Arial" w:eastAsia="Arial" w:cs="Arial"/>
          <w:sz w:val="2"/>
          <w:szCs w:val="2"/>
        </w:rPr>
        <w:br w:type="column"/>
      </w:r>
    </w:p>
    <w:p w14:paraId="18E4C8DC">
      <w:pPr>
        <w:spacing w:before="44" w:line="372" w:lineRule="auto"/>
        <w:ind w:right="598"/>
        <w:rPr>
          <w:rFonts w:ascii="宋体" w:hAnsi="宋体" w:eastAsia="宋体" w:cs="宋体"/>
          <w:sz w:val="21"/>
          <w:szCs w:val="21"/>
        </w:rPr>
      </w:pPr>
      <w:r>
        <w:rPr>
          <w:rFonts w:ascii="宋体" w:hAnsi="宋体" w:eastAsia="宋体" w:cs="宋体"/>
          <w:spacing w:val="9"/>
          <w:sz w:val="21"/>
          <w:szCs w:val="21"/>
        </w:rPr>
        <w:t>式(18-1)</w:t>
      </w:r>
      <w:r>
        <w:rPr>
          <w:rFonts w:ascii="宋体" w:hAnsi="宋体" w:eastAsia="宋体" w:cs="宋体"/>
          <w:spacing w:val="1"/>
          <w:sz w:val="21"/>
          <w:szCs w:val="21"/>
        </w:rPr>
        <w:t xml:space="preserve"> </w:t>
      </w:r>
      <w:r>
        <w:rPr>
          <w:rFonts w:ascii="宋体" w:hAnsi="宋体" w:eastAsia="宋体" w:cs="宋体"/>
          <w:spacing w:val="9"/>
          <w:sz w:val="21"/>
          <w:szCs w:val="21"/>
        </w:rPr>
        <w:t>式(18-2)</w:t>
      </w:r>
    </w:p>
    <w:p w14:paraId="78038CD8">
      <w:pPr>
        <w:spacing w:line="372" w:lineRule="auto"/>
        <w:rPr>
          <w:rFonts w:ascii="宋体" w:hAnsi="宋体" w:eastAsia="宋体" w:cs="宋体"/>
          <w:sz w:val="21"/>
          <w:szCs w:val="21"/>
        </w:rPr>
        <w:sectPr>
          <w:type w:val="continuous"/>
          <w:pgSz w:w="11900" w:h="16820"/>
          <w:pgMar w:top="400" w:right="825" w:bottom="920" w:left="1430" w:header="0" w:footer="648" w:gutter="0"/>
          <w:cols w:equalWidth="0" w:num="2">
            <w:col w:w="8040" w:space="100"/>
            <w:col w:w="1505"/>
          </w:cols>
        </w:sectPr>
      </w:pPr>
    </w:p>
    <w:p w14:paraId="41D1E33B">
      <w:pPr>
        <w:spacing w:before="57" w:line="328" w:lineRule="auto"/>
        <w:ind w:left="19" w:right="662"/>
        <w:rPr>
          <w:rFonts w:ascii="宋体" w:hAnsi="宋体" w:eastAsia="宋体" w:cs="宋体"/>
          <w:sz w:val="21"/>
          <w:szCs w:val="21"/>
        </w:rPr>
      </w:pPr>
      <w:r>
        <w:rPr>
          <w:rFonts w:ascii="宋体" w:hAnsi="宋体" w:eastAsia="宋体" w:cs="宋体"/>
          <w:spacing w:val="-5"/>
          <w:sz w:val="21"/>
          <w:szCs w:val="21"/>
        </w:rPr>
        <w:t>式中，</w:t>
      </w:r>
      <w:r>
        <w:rPr>
          <w:rFonts w:ascii="Times New Roman" w:hAnsi="Times New Roman" w:eastAsia="Times New Roman" w:cs="Times New Roman"/>
          <w:spacing w:val="-5"/>
          <w:sz w:val="21"/>
          <w:szCs w:val="21"/>
        </w:rPr>
        <w:t>S</w:t>
      </w:r>
      <w:r>
        <w:rPr>
          <w:rFonts w:ascii="Times New Roman" w:hAnsi="Times New Roman" w:eastAsia="Times New Roman" w:cs="Times New Roman"/>
          <w:spacing w:val="30"/>
          <w:w w:val="101"/>
          <w:sz w:val="21"/>
          <w:szCs w:val="21"/>
        </w:rPr>
        <w:t xml:space="preserve"> </w:t>
      </w:r>
      <w:r>
        <w:rPr>
          <w:rFonts w:ascii="宋体" w:hAnsi="宋体" w:eastAsia="宋体" w:cs="宋体"/>
          <w:spacing w:val="-5"/>
          <w:sz w:val="21"/>
          <w:szCs w:val="21"/>
        </w:rPr>
        <w:t>为研究个数，</w:t>
      </w:r>
      <w:r>
        <w:rPr>
          <w:rFonts w:ascii="Times New Roman" w:hAnsi="Times New Roman" w:eastAsia="Times New Roman" w:cs="Times New Roman"/>
          <w:spacing w:val="-5"/>
          <w:sz w:val="21"/>
          <w:szCs w:val="21"/>
        </w:rPr>
        <w:t>Z</w:t>
      </w:r>
      <w:r>
        <w:rPr>
          <w:rFonts w:ascii="Times New Roman" w:hAnsi="Times New Roman" w:eastAsia="Times New Roman" w:cs="Times New Roman"/>
          <w:spacing w:val="12"/>
          <w:sz w:val="21"/>
          <w:szCs w:val="21"/>
        </w:rPr>
        <w:t xml:space="preserve"> </w:t>
      </w:r>
      <w:r>
        <w:rPr>
          <w:rFonts w:ascii="宋体" w:hAnsi="宋体" w:eastAsia="宋体" w:cs="宋体"/>
          <w:spacing w:val="-5"/>
          <w:sz w:val="21"/>
          <w:szCs w:val="21"/>
        </w:rPr>
        <w:t>为各独立研究的</w:t>
      </w:r>
      <w:r>
        <w:rPr>
          <w:rFonts w:ascii="Times New Roman" w:hAnsi="Times New Roman" w:eastAsia="Times New Roman" w:cs="Times New Roman"/>
          <w:spacing w:val="-5"/>
          <w:sz w:val="21"/>
          <w:szCs w:val="21"/>
        </w:rPr>
        <w:t xml:space="preserve">Z </w:t>
      </w:r>
      <w:r>
        <w:rPr>
          <w:rFonts w:ascii="宋体" w:hAnsi="宋体" w:eastAsia="宋体" w:cs="宋体"/>
          <w:spacing w:val="-5"/>
          <w:sz w:val="21"/>
          <w:szCs w:val="21"/>
        </w:rPr>
        <w:t>值。失安全数越大，说明</w:t>
      </w:r>
      <w:r>
        <w:rPr>
          <w:rFonts w:ascii="Times New Roman" w:hAnsi="Times New Roman" w:eastAsia="Times New Roman" w:cs="Times New Roman"/>
          <w:spacing w:val="-5"/>
          <w:sz w:val="21"/>
          <w:szCs w:val="21"/>
        </w:rPr>
        <w:t>Meta</w:t>
      </w:r>
      <w:r>
        <w:rPr>
          <w:rFonts w:ascii="宋体" w:hAnsi="宋体" w:eastAsia="宋体" w:cs="宋体"/>
          <w:spacing w:val="-5"/>
          <w:sz w:val="21"/>
          <w:szCs w:val="21"/>
        </w:rPr>
        <w:t>分析的结果越稳定，发表偏</w:t>
      </w:r>
      <w:r>
        <w:rPr>
          <w:rFonts w:ascii="宋体" w:hAnsi="宋体" w:eastAsia="宋体" w:cs="宋体"/>
          <w:sz w:val="21"/>
          <w:szCs w:val="21"/>
        </w:rPr>
        <w:t xml:space="preserve"> </w:t>
      </w:r>
      <w:r>
        <w:rPr>
          <w:rFonts w:ascii="宋体" w:hAnsi="宋体" w:eastAsia="宋体" w:cs="宋体"/>
          <w:spacing w:val="-3"/>
          <w:sz w:val="21"/>
          <w:szCs w:val="21"/>
        </w:rPr>
        <w:t>倚对结果的影响越小，结论被推翻的可能性越小。</w:t>
      </w:r>
    </w:p>
    <w:p w14:paraId="1E547D5C">
      <w:pPr>
        <w:pStyle w:val="2"/>
        <w:spacing w:before="165" w:line="221" w:lineRule="auto"/>
        <w:ind w:left="489"/>
        <w:outlineLvl w:val="4"/>
        <w:rPr>
          <w:sz w:val="25"/>
          <w:szCs w:val="25"/>
        </w:rPr>
      </w:pPr>
      <w:bookmarkStart w:id="476" w:name="bookmark298"/>
      <w:bookmarkEnd w:id="476"/>
      <w:r>
        <w:rPr>
          <w:spacing w:val="7"/>
          <w:sz w:val="21"/>
          <w:szCs w:val="21"/>
        </w:rPr>
        <w:t>四 、</w:t>
      </w:r>
      <w:r>
        <w:rPr>
          <w:spacing w:val="7"/>
          <w:sz w:val="25"/>
          <w:szCs w:val="25"/>
        </w:rPr>
        <w:t>系统综述与</w:t>
      </w:r>
      <w:r>
        <w:rPr>
          <w:rFonts w:ascii="宋体" w:hAnsi="宋体" w:eastAsia="宋体" w:cs="宋体"/>
          <w:sz w:val="21"/>
          <w:szCs w:val="21"/>
        </w:rPr>
        <w:t>Meta</w:t>
      </w:r>
      <w:r>
        <w:rPr>
          <w:rFonts w:ascii="宋体" w:hAnsi="宋体" w:eastAsia="宋体" w:cs="宋体"/>
          <w:spacing w:val="13"/>
          <w:sz w:val="21"/>
          <w:szCs w:val="21"/>
        </w:rPr>
        <w:t xml:space="preserve">  </w:t>
      </w:r>
      <w:r>
        <w:rPr>
          <w:spacing w:val="7"/>
          <w:sz w:val="25"/>
          <w:szCs w:val="25"/>
        </w:rPr>
        <w:t>分析的进展</w:t>
      </w:r>
    </w:p>
    <w:p w14:paraId="56527CDF">
      <w:pPr>
        <w:spacing w:before="251" w:line="315" w:lineRule="auto"/>
        <w:ind w:left="9" w:right="647" w:firstLine="439"/>
        <w:rPr>
          <w:rFonts w:ascii="宋体" w:hAnsi="宋体" w:eastAsia="宋体" w:cs="宋体"/>
          <w:sz w:val="21"/>
          <w:szCs w:val="21"/>
        </w:rPr>
      </w:pPr>
      <w:r>
        <w:rPr>
          <w:rFonts w:ascii="宋体" w:hAnsi="宋体" w:eastAsia="宋体" w:cs="宋体"/>
          <w:spacing w:val="4"/>
          <w:sz w:val="21"/>
          <w:szCs w:val="21"/>
        </w:rPr>
        <w:t>除了前述常规的系统综述和</w:t>
      </w:r>
      <w:r>
        <w:rPr>
          <w:rFonts w:ascii="Times New Roman" w:hAnsi="Times New Roman" w:eastAsia="Times New Roman" w:cs="Times New Roman"/>
          <w:sz w:val="21"/>
          <w:szCs w:val="21"/>
        </w:rPr>
        <w:t>Meta</w:t>
      </w:r>
      <w:r>
        <w:rPr>
          <w:rFonts w:ascii="宋体" w:hAnsi="宋体" w:eastAsia="宋体" w:cs="宋体"/>
          <w:spacing w:val="4"/>
          <w:sz w:val="21"/>
          <w:szCs w:val="21"/>
        </w:rPr>
        <w:t>分析之外，近年</w:t>
      </w:r>
      <w:r>
        <w:rPr>
          <w:rFonts w:ascii="宋体" w:hAnsi="宋体" w:eastAsia="宋体" w:cs="宋体"/>
          <w:spacing w:val="3"/>
          <w:sz w:val="21"/>
          <w:szCs w:val="21"/>
        </w:rPr>
        <w:t>来还出现了其他一些文献综述和合成证据的</w:t>
      </w:r>
      <w:r>
        <w:rPr>
          <w:rFonts w:ascii="宋体" w:hAnsi="宋体" w:eastAsia="宋体" w:cs="宋体"/>
          <w:sz w:val="21"/>
          <w:szCs w:val="21"/>
        </w:rPr>
        <w:t xml:space="preserve"> </w:t>
      </w:r>
      <w:r>
        <w:rPr>
          <w:rFonts w:ascii="宋体" w:hAnsi="宋体" w:eastAsia="宋体" w:cs="宋体"/>
          <w:spacing w:val="-2"/>
          <w:sz w:val="21"/>
          <w:szCs w:val="21"/>
        </w:rPr>
        <w:t>方法，可以根据研究目的和潜在拥有的文献资料灵活选用。</w:t>
      </w:r>
    </w:p>
    <w:p w14:paraId="3F09AAC2">
      <w:pPr>
        <w:spacing w:before="2" w:line="302" w:lineRule="auto"/>
        <w:ind w:left="19" w:right="656" w:firstLine="439"/>
        <w:rPr>
          <w:rFonts w:ascii="宋体" w:hAnsi="宋体" w:eastAsia="宋体" w:cs="宋体"/>
          <w:sz w:val="21"/>
          <w:szCs w:val="21"/>
        </w:rPr>
      </w:pPr>
      <w:r>
        <w:rPr>
          <w:rFonts w:ascii="宋体" w:hAnsi="宋体" w:eastAsia="宋体" w:cs="宋体"/>
          <w:spacing w:val="5"/>
          <w:sz w:val="21"/>
          <w:szCs w:val="21"/>
        </w:rPr>
        <w:t>1. 快速综述</w:t>
      </w:r>
      <w:r>
        <w:rPr>
          <w:rFonts w:ascii="Times New Roman" w:hAnsi="Times New Roman" w:eastAsia="Times New Roman" w:cs="Times New Roman"/>
          <w:spacing w:val="5"/>
          <w:sz w:val="21"/>
          <w:szCs w:val="21"/>
        </w:rPr>
        <w:t>(</w:t>
      </w:r>
      <w:r>
        <w:rPr>
          <w:rFonts w:ascii="Times New Roman" w:hAnsi="Times New Roman" w:eastAsia="Times New Roman" w:cs="Times New Roman"/>
          <w:sz w:val="21"/>
          <w:szCs w:val="21"/>
        </w:rPr>
        <w:t>rapid</w:t>
      </w:r>
      <w:r>
        <w:rPr>
          <w:rFonts w:ascii="Times New Roman" w:hAnsi="Times New Roman" w:eastAsia="Times New Roman" w:cs="Times New Roman"/>
          <w:spacing w:val="5"/>
          <w:sz w:val="21"/>
          <w:szCs w:val="21"/>
        </w:rPr>
        <w:t xml:space="preserve">    </w:t>
      </w:r>
      <w:r>
        <w:rPr>
          <w:rFonts w:ascii="Times New Roman" w:hAnsi="Times New Roman" w:eastAsia="Times New Roman" w:cs="Times New Roman"/>
          <w:sz w:val="21"/>
          <w:szCs w:val="21"/>
        </w:rPr>
        <w:t>review</w:t>
      </w:r>
      <w:r>
        <w:rPr>
          <w:rFonts w:ascii="Times New Roman" w:hAnsi="Times New Roman" w:eastAsia="Times New Roman" w:cs="Times New Roman"/>
          <w:spacing w:val="5"/>
          <w:sz w:val="21"/>
          <w:szCs w:val="21"/>
        </w:rPr>
        <w:t xml:space="preserve">)   </w:t>
      </w:r>
      <w:r>
        <w:rPr>
          <w:rFonts w:ascii="宋体" w:hAnsi="宋体" w:eastAsia="宋体" w:cs="宋体"/>
          <w:spacing w:val="5"/>
          <w:sz w:val="21"/>
          <w:szCs w:val="21"/>
        </w:rPr>
        <w:t>快速综述</w:t>
      </w:r>
      <w:r>
        <w:rPr>
          <w:rFonts w:ascii="宋体" w:hAnsi="宋体" w:eastAsia="宋体" w:cs="宋体"/>
          <w:spacing w:val="4"/>
          <w:sz w:val="21"/>
          <w:szCs w:val="21"/>
        </w:rPr>
        <w:t>是指对有关决策问题的现有证据进行的快速总结和评</w:t>
      </w:r>
      <w:r>
        <w:rPr>
          <w:rFonts w:ascii="宋体" w:hAnsi="宋体" w:eastAsia="宋体" w:cs="宋体"/>
          <w:sz w:val="21"/>
          <w:szCs w:val="21"/>
        </w:rPr>
        <w:t xml:space="preserve"> </w:t>
      </w:r>
      <w:r>
        <w:rPr>
          <w:rFonts w:ascii="宋体" w:hAnsi="宋体" w:eastAsia="宋体" w:cs="宋体"/>
          <w:spacing w:val="-2"/>
          <w:sz w:val="21"/>
          <w:szCs w:val="21"/>
        </w:rPr>
        <w:t>估。它采用的仍然是系统综述的整体思路和方法，但是会依据具体情况，简化甚至节省</w:t>
      </w:r>
      <w:r>
        <w:rPr>
          <w:rFonts w:ascii="宋体" w:hAnsi="宋体" w:eastAsia="宋体" w:cs="宋体"/>
          <w:spacing w:val="-3"/>
          <w:sz w:val="21"/>
          <w:szCs w:val="21"/>
        </w:rPr>
        <w:t>某些研究步</w:t>
      </w:r>
      <w:r>
        <w:rPr>
          <w:rFonts w:ascii="宋体" w:hAnsi="宋体" w:eastAsia="宋体" w:cs="宋体"/>
          <w:sz w:val="21"/>
          <w:szCs w:val="21"/>
        </w:rPr>
        <w:t xml:space="preserve"> </w:t>
      </w:r>
      <w:r>
        <w:rPr>
          <w:rFonts w:ascii="宋体" w:hAnsi="宋体" w:eastAsia="宋体" w:cs="宋体"/>
          <w:spacing w:val="-2"/>
          <w:sz w:val="21"/>
          <w:szCs w:val="21"/>
        </w:rPr>
        <w:t>骤和方法，以达到快速完成的目的。例如，只选用最主要的检索词进行文献检索，而不</w:t>
      </w:r>
      <w:r>
        <w:rPr>
          <w:rFonts w:ascii="宋体" w:hAnsi="宋体" w:eastAsia="宋体" w:cs="宋体"/>
          <w:spacing w:val="-3"/>
          <w:sz w:val="21"/>
          <w:szCs w:val="21"/>
        </w:rPr>
        <w:t>是使用所有</w:t>
      </w:r>
      <w:r>
        <w:rPr>
          <w:rFonts w:ascii="宋体" w:hAnsi="宋体" w:eastAsia="宋体" w:cs="宋体"/>
          <w:sz w:val="21"/>
          <w:szCs w:val="21"/>
        </w:rPr>
        <w:t xml:space="preserve"> </w:t>
      </w:r>
      <w:r>
        <w:rPr>
          <w:rFonts w:ascii="宋体" w:hAnsi="宋体" w:eastAsia="宋体" w:cs="宋体"/>
          <w:spacing w:val="-2"/>
          <w:sz w:val="21"/>
          <w:szCs w:val="21"/>
        </w:rPr>
        <w:t>可能相关的检索词；只检索主要的文献库；只提取与结果和质量有关的数据；只进行简单的质量评</w:t>
      </w:r>
      <w:r>
        <w:rPr>
          <w:rFonts w:ascii="宋体" w:hAnsi="宋体" w:eastAsia="宋体" w:cs="宋体"/>
          <w:spacing w:val="13"/>
          <w:sz w:val="21"/>
          <w:szCs w:val="21"/>
        </w:rPr>
        <w:t xml:space="preserve"> </w:t>
      </w:r>
      <w:r>
        <w:rPr>
          <w:rFonts w:ascii="宋体" w:hAnsi="宋体" w:eastAsia="宋体" w:cs="宋体"/>
          <w:spacing w:val="-1"/>
          <w:sz w:val="21"/>
          <w:szCs w:val="21"/>
        </w:rPr>
        <w:t>价和结果整合。值得注意的是，为了节约时间而简化</w:t>
      </w:r>
      <w:r>
        <w:rPr>
          <w:rFonts w:ascii="宋体" w:hAnsi="宋体" w:eastAsia="宋体" w:cs="宋体"/>
          <w:spacing w:val="-2"/>
          <w:sz w:val="21"/>
          <w:szCs w:val="21"/>
        </w:rPr>
        <w:t>步骤和方法可能会增加偏倚的风险。</w:t>
      </w:r>
    </w:p>
    <w:p w14:paraId="7E4261E1">
      <w:pPr>
        <w:spacing w:before="130" w:line="302" w:lineRule="auto"/>
        <w:ind w:left="19" w:right="645" w:firstLine="449"/>
        <w:rPr>
          <w:rFonts w:ascii="宋体" w:hAnsi="宋体" w:eastAsia="宋体" w:cs="宋体"/>
          <w:sz w:val="21"/>
          <w:szCs w:val="21"/>
        </w:rPr>
      </w:pPr>
      <w:r>
        <w:rPr>
          <w:rFonts w:ascii="宋体" w:hAnsi="宋体" w:eastAsia="宋体" w:cs="宋体"/>
          <w:spacing w:val="-8"/>
          <w:sz w:val="21"/>
          <w:szCs w:val="21"/>
        </w:rPr>
        <w:t>2. 系统综述的综述(overview of systematic reviews) 一个</w:t>
      </w:r>
      <w:r>
        <w:rPr>
          <w:rFonts w:ascii="宋体" w:hAnsi="宋体" w:eastAsia="宋体" w:cs="宋体"/>
          <w:spacing w:val="-9"/>
          <w:sz w:val="21"/>
          <w:szCs w:val="21"/>
        </w:rPr>
        <w:t>系统综述总结的是关于同一问题的原</w:t>
      </w:r>
      <w:r>
        <w:rPr>
          <w:rFonts w:ascii="宋体" w:hAnsi="宋体" w:eastAsia="宋体" w:cs="宋体"/>
          <w:sz w:val="21"/>
          <w:szCs w:val="21"/>
        </w:rPr>
        <w:t xml:space="preserve"> </w:t>
      </w:r>
      <w:r>
        <w:rPr>
          <w:rFonts w:ascii="宋体" w:hAnsi="宋体" w:eastAsia="宋体" w:cs="宋体"/>
          <w:spacing w:val="-2"/>
          <w:sz w:val="21"/>
          <w:szCs w:val="21"/>
        </w:rPr>
        <w:t>始研究，因此回答的还是同一个问题。例如，一个关于噻嗪类利尿剂通过治疗高血压预防脑卒中效</w:t>
      </w:r>
      <w:r>
        <w:rPr>
          <w:rFonts w:ascii="宋体" w:hAnsi="宋体" w:eastAsia="宋体" w:cs="宋体"/>
          <w:spacing w:val="13"/>
          <w:sz w:val="21"/>
          <w:szCs w:val="21"/>
        </w:rPr>
        <w:t xml:space="preserve"> </w:t>
      </w:r>
      <w:r>
        <w:rPr>
          <w:rFonts w:ascii="宋体" w:hAnsi="宋体" w:eastAsia="宋体" w:cs="宋体"/>
          <w:spacing w:val="3"/>
          <w:sz w:val="21"/>
          <w:szCs w:val="21"/>
        </w:rPr>
        <w:t>果的系统综述不会包括关于生活方式和其他抗高血压药物的研究。然而，决策者面对的却是一个</w:t>
      </w:r>
      <w:r>
        <w:rPr>
          <w:rFonts w:ascii="宋体" w:hAnsi="宋体" w:eastAsia="宋体" w:cs="宋体"/>
          <w:spacing w:val="12"/>
          <w:sz w:val="21"/>
          <w:szCs w:val="21"/>
        </w:rPr>
        <w:t xml:space="preserve"> </w:t>
      </w:r>
      <w:r>
        <w:rPr>
          <w:rFonts w:ascii="宋体" w:hAnsi="宋体" w:eastAsia="宋体" w:cs="宋体"/>
          <w:spacing w:val="-1"/>
          <w:sz w:val="21"/>
          <w:szCs w:val="21"/>
        </w:rPr>
        <w:t>病人或复杂的决策问题，而不是一个简单的研究问题，需要一个决策问题所</w:t>
      </w:r>
      <w:r>
        <w:rPr>
          <w:rFonts w:ascii="宋体" w:hAnsi="宋体" w:eastAsia="宋体" w:cs="宋体"/>
          <w:spacing w:val="-2"/>
          <w:sz w:val="21"/>
          <w:szCs w:val="21"/>
        </w:rPr>
        <w:t>有有关的干预措施的证</w:t>
      </w:r>
      <w:r>
        <w:rPr>
          <w:rFonts w:ascii="宋体" w:hAnsi="宋体" w:eastAsia="宋体" w:cs="宋体"/>
          <w:sz w:val="21"/>
          <w:szCs w:val="21"/>
        </w:rPr>
        <w:t xml:space="preserve"> </w:t>
      </w:r>
      <w:r>
        <w:rPr>
          <w:rFonts w:ascii="宋体" w:hAnsi="宋体" w:eastAsia="宋体" w:cs="宋体"/>
          <w:spacing w:val="-2"/>
          <w:sz w:val="21"/>
          <w:szCs w:val="21"/>
        </w:rPr>
        <w:t>据，系统综述的综述正是为了解决这样的问题提出的。其制作方法与系统综述类似，但只纳入现有</w:t>
      </w:r>
      <w:r>
        <w:rPr>
          <w:rFonts w:ascii="宋体" w:hAnsi="宋体" w:eastAsia="宋体" w:cs="宋体"/>
          <w:spacing w:val="15"/>
          <w:sz w:val="21"/>
          <w:szCs w:val="21"/>
        </w:rPr>
        <w:t xml:space="preserve"> </w:t>
      </w:r>
      <w:r>
        <w:rPr>
          <w:rFonts w:ascii="宋体" w:hAnsi="宋体" w:eastAsia="宋体" w:cs="宋体"/>
          <w:spacing w:val="-5"/>
          <w:sz w:val="21"/>
          <w:szCs w:val="21"/>
        </w:rPr>
        <w:t>的系统综述，而不是原始研究，其本质就是系统综述的综述。</w:t>
      </w:r>
    </w:p>
    <w:p w14:paraId="09B95577">
      <w:pPr>
        <w:spacing w:before="109" w:line="198" w:lineRule="auto"/>
        <w:ind w:left="469"/>
        <w:rPr>
          <w:rFonts w:ascii="宋体" w:hAnsi="宋体" w:eastAsia="宋体" w:cs="宋体"/>
          <w:sz w:val="21"/>
          <w:szCs w:val="21"/>
        </w:rPr>
      </w:pPr>
      <w:r>
        <w:rPr>
          <w:rFonts w:ascii="宋体" w:hAnsi="宋体" w:eastAsia="宋体" w:cs="宋体"/>
          <w:spacing w:val="1"/>
          <w:sz w:val="21"/>
          <w:szCs w:val="21"/>
        </w:rPr>
        <w:t>3. 复合系统综述</w:t>
      </w:r>
      <w:r>
        <w:rPr>
          <w:rFonts w:ascii="Times New Roman" w:hAnsi="Times New Roman" w:eastAsia="Times New Roman" w:cs="Times New Roman"/>
          <w:spacing w:val="1"/>
          <w:sz w:val="21"/>
          <w:szCs w:val="21"/>
        </w:rPr>
        <w:t>(</w:t>
      </w:r>
      <w:r>
        <w:rPr>
          <w:rFonts w:ascii="Times New Roman" w:hAnsi="Times New Roman" w:eastAsia="Times New Roman" w:cs="Times New Roman"/>
          <w:sz w:val="21"/>
          <w:szCs w:val="21"/>
        </w:rPr>
        <w:t>multi</w:t>
      </w:r>
      <w:r>
        <w:rPr>
          <w:rFonts w:ascii="Times New Roman" w:hAnsi="Times New Roman" w:eastAsia="Times New Roman" w:cs="Times New Roman"/>
          <w:spacing w:val="1"/>
          <w:sz w:val="21"/>
          <w:szCs w:val="21"/>
        </w:rPr>
        <w:t>-</w:t>
      </w:r>
      <w:r>
        <w:rPr>
          <w:rFonts w:ascii="Times New Roman" w:hAnsi="Times New Roman" w:eastAsia="Times New Roman" w:cs="Times New Roman"/>
          <w:sz w:val="21"/>
          <w:szCs w:val="21"/>
        </w:rPr>
        <w:t>arm</w:t>
      </w:r>
      <w:r>
        <w:rPr>
          <w:rFonts w:ascii="Times New Roman" w:hAnsi="Times New Roman" w:eastAsia="Times New Roman" w:cs="Times New Roman"/>
          <w:spacing w:val="34"/>
          <w:sz w:val="21"/>
          <w:szCs w:val="21"/>
        </w:rPr>
        <w:t xml:space="preserve"> </w:t>
      </w:r>
      <w:r>
        <w:rPr>
          <w:rFonts w:ascii="Times New Roman" w:hAnsi="Times New Roman" w:eastAsia="Times New Roman" w:cs="Times New Roman"/>
          <w:sz w:val="21"/>
          <w:szCs w:val="21"/>
        </w:rPr>
        <w:t>systematic</w:t>
      </w:r>
      <w:r>
        <w:rPr>
          <w:rFonts w:ascii="Times New Roman" w:hAnsi="Times New Roman" w:eastAsia="Times New Roman" w:cs="Times New Roman"/>
          <w:spacing w:val="25"/>
          <w:sz w:val="21"/>
          <w:szCs w:val="21"/>
        </w:rPr>
        <w:t xml:space="preserve"> </w:t>
      </w:r>
      <w:r>
        <w:rPr>
          <w:rFonts w:ascii="Times New Roman" w:hAnsi="Times New Roman" w:eastAsia="Times New Roman" w:cs="Times New Roman"/>
          <w:sz w:val="21"/>
          <w:szCs w:val="21"/>
        </w:rPr>
        <w:t>review</w:t>
      </w:r>
      <w:r>
        <w:rPr>
          <w:rFonts w:ascii="Times New Roman" w:hAnsi="Times New Roman" w:eastAsia="Times New Roman" w:cs="Times New Roman"/>
          <w:spacing w:val="1"/>
          <w:sz w:val="21"/>
          <w:szCs w:val="21"/>
        </w:rPr>
        <w:t xml:space="preserve">)  </w:t>
      </w:r>
      <w:r>
        <w:rPr>
          <w:rFonts w:ascii="宋体" w:hAnsi="宋体" w:eastAsia="宋体" w:cs="宋体"/>
          <w:spacing w:val="1"/>
          <w:sz w:val="21"/>
          <w:szCs w:val="21"/>
        </w:rPr>
        <w:t>复合系统综述是针对更为宽泛的</w:t>
      </w:r>
      <w:r>
        <w:rPr>
          <w:rFonts w:ascii="宋体" w:hAnsi="宋体" w:eastAsia="宋体" w:cs="宋体"/>
          <w:sz w:val="21"/>
          <w:szCs w:val="21"/>
        </w:rPr>
        <w:t>研究问题的有</w:t>
      </w:r>
    </w:p>
    <w:p w14:paraId="31F1D91B">
      <w:pPr>
        <w:spacing w:line="198" w:lineRule="auto"/>
        <w:rPr>
          <w:rFonts w:ascii="宋体" w:hAnsi="宋体" w:eastAsia="宋体" w:cs="宋体"/>
          <w:sz w:val="21"/>
          <w:szCs w:val="21"/>
        </w:rPr>
        <w:sectPr>
          <w:type w:val="continuous"/>
          <w:pgSz w:w="11900" w:h="16820"/>
          <w:pgMar w:top="400" w:right="825" w:bottom="920" w:left="1430" w:header="0" w:footer="648" w:gutter="0"/>
          <w:cols w:equalWidth="0" w:num="1">
            <w:col w:w="9645"/>
          </w:cols>
        </w:sectPr>
      </w:pPr>
    </w:p>
    <w:p w14:paraId="2D9AB3C1">
      <w:pPr>
        <w:spacing w:line="279" w:lineRule="auto"/>
        <w:rPr>
          <w:rFonts w:ascii="Arial"/>
          <w:sz w:val="21"/>
        </w:rPr>
      </w:pPr>
    </w:p>
    <w:p w14:paraId="6B7F488D">
      <w:pPr>
        <w:pStyle w:val="2"/>
        <w:spacing w:before="65" w:line="221" w:lineRule="auto"/>
        <w:ind w:left="649"/>
        <w:rPr>
          <w:sz w:val="20"/>
          <w:szCs w:val="20"/>
        </w:rPr>
      </w:pPr>
      <w:r>
        <w:rPr>
          <w:spacing w:val="-17"/>
          <w:w w:val="96"/>
          <w:sz w:val="20"/>
          <w:szCs w:val="20"/>
        </w:rPr>
        <w:t>第十八章循证医学与系统综述</w:t>
      </w:r>
    </w:p>
    <w:p w14:paraId="467D6A7E">
      <w:pPr>
        <w:spacing w:line="271" w:lineRule="auto"/>
        <w:rPr>
          <w:rFonts w:ascii="Arial"/>
          <w:sz w:val="21"/>
        </w:rPr>
      </w:pPr>
    </w:p>
    <w:p w14:paraId="415A231F">
      <w:pPr>
        <w:spacing w:line="272" w:lineRule="auto"/>
        <w:rPr>
          <w:rFonts w:ascii="Arial"/>
          <w:sz w:val="21"/>
        </w:rPr>
      </w:pPr>
    </w:p>
    <w:p w14:paraId="1BFA86C3">
      <w:pPr>
        <w:spacing w:before="65" w:line="329" w:lineRule="auto"/>
        <w:ind w:left="649" w:right="20"/>
        <w:jc w:val="both"/>
        <w:rPr>
          <w:rFonts w:ascii="宋体" w:hAnsi="宋体" w:eastAsia="宋体" w:cs="宋体"/>
          <w:sz w:val="20"/>
          <w:szCs w:val="20"/>
        </w:rPr>
      </w:pPr>
      <w:r>
        <w:rPr>
          <w:rFonts w:ascii="宋体" w:hAnsi="宋体" w:eastAsia="宋体" w:cs="宋体"/>
          <w:spacing w:val="-1"/>
          <w:sz w:val="20"/>
          <w:szCs w:val="20"/>
        </w:rPr>
        <w:t>关证据的综合，可以看成是一个包括多个独立的并列的系统综述的综述，其研究问题宽于一般系统</w:t>
      </w:r>
      <w:r>
        <w:rPr>
          <w:rFonts w:ascii="宋体" w:hAnsi="宋体" w:eastAsia="宋体" w:cs="宋体"/>
          <w:sz w:val="20"/>
          <w:szCs w:val="20"/>
        </w:rPr>
        <w:t xml:space="preserve">  综述，但窄于系统综述的综述。比如，一个关于青少年摄入蔬菜和水果</w:t>
      </w:r>
      <w:r>
        <w:rPr>
          <w:rFonts w:ascii="宋体" w:hAnsi="宋体" w:eastAsia="宋体" w:cs="宋体"/>
          <w:spacing w:val="-1"/>
          <w:sz w:val="20"/>
          <w:szCs w:val="20"/>
        </w:rPr>
        <w:t>的促进因素和阻碍因素的综</w:t>
      </w:r>
      <w:r>
        <w:rPr>
          <w:rFonts w:ascii="宋体" w:hAnsi="宋体" w:eastAsia="宋体" w:cs="宋体"/>
          <w:sz w:val="20"/>
          <w:szCs w:val="20"/>
        </w:rPr>
        <w:t xml:space="preserve">  </w:t>
      </w:r>
      <w:r>
        <w:rPr>
          <w:rFonts w:ascii="宋体" w:hAnsi="宋体" w:eastAsia="宋体" w:cs="宋体"/>
          <w:spacing w:val="-3"/>
          <w:sz w:val="20"/>
          <w:szCs w:val="20"/>
        </w:rPr>
        <w:t>述研究涉及多个子问题，不同的子问题需要不同的研究方法，因此，此类综述既需要包括临床试验，</w:t>
      </w:r>
      <w:r>
        <w:rPr>
          <w:rFonts w:ascii="宋体" w:hAnsi="宋体" w:eastAsia="宋体" w:cs="宋体"/>
          <w:spacing w:val="1"/>
          <w:sz w:val="20"/>
          <w:szCs w:val="20"/>
        </w:rPr>
        <w:t xml:space="preserve"> </w:t>
      </w:r>
      <w:r>
        <w:rPr>
          <w:rFonts w:ascii="宋体" w:hAnsi="宋体" w:eastAsia="宋体" w:cs="宋体"/>
          <w:spacing w:val="-4"/>
          <w:sz w:val="20"/>
          <w:szCs w:val="20"/>
        </w:rPr>
        <w:t>也涉及观察性研究，甚至定性研究。对每一类研究，都须使用独立的检</w:t>
      </w:r>
      <w:r>
        <w:rPr>
          <w:rFonts w:ascii="宋体" w:hAnsi="宋体" w:eastAsia="宋体" w:cs="宋体"/>
          <w:spacing w:val="-5"/>
          <w:sz w:val="20"/>
          <w:szCs w:val="20"/>
        </w:rPr>
        <w:t>索策略、纳人与排除标准、质</w:t>
      </w:r>
      <w:r>
        <w:rPr>
          <w:rFonts w:ascii="宋体" w:hAnsi="宋体" w:eastAsia="宋体" w:cs="宋体"/>
          <w:sz w:val="20"/>
          <w:szCs w:val="20"/>
        </w:rPr>
        <w:t xml:space="preserve"> </w:t>
      </w:r>
      <w:r>
        <w:rPr>
          <w:rFonts w:ascii="宋体" w:hAnsi="宋体" w:eastAsia="宋体" w:cs="宋体"/>
          <w:spacing w:val="-4"/>
          <w:sz w:val="20"/>
          <w:szCs w:val="20"/>
        </w:rPr>
        <w:t>量评价方法和数据提取表等，然后分别进行分析和评价，最后得出综合的结论。</w:t>
      </w:r>
    </w:p>
    <w:p w14:paraId="7C280AE2">
      <w:pPr>
        <w:spacing w:before="5" w:line="324" w:lineRule="auto"/>
        <w:ind w:left="649" w:firstLine="380"/>
        <w:rPr>
          <w:rFonts w:ascii="宋体" w:hAnsi="宋体" w:eastAsia="宋体" w:cs="宋体"/>
          <w:sz w:val="20"/>
          <w:szCs w:val="20"/>
        </w:rPr>
      </w:pPr>
      <w:r>
        <w:rPr>
          <w:rFonts w:ascii="宋体" w:hAnsi="宋体" w:eastAsia="宋体" w:cs="宋体"/>
          <w:sz w:val="20"/>
          <w:szCs w:val="20"/>
        </w:rPr>
        <w:t>4. 累积Meta</w:t>
      </w:r>
      <w:r>
        <w:rPr>
          <w:rFonts w:ascii="宋体" w:hAnsi="宋体" w:eastAsia="宋体" w:cs="宋体"/>
          <w:spacing w:val="57"/>
          <w:sz w:val="20"/>
          <w:szCs w:val="20"/>
        </w:rPr>
        <w:t xml:space="preserve"> </w:t>
      </w:r>
      <w:r>
        <w:rPr>
          <w:rFonts w:ascii="宋体" w:hAnsi="宋体" w:eastAsia="宋体" w:cs="宋体"/>
          <w:sz w:val="20"/>
          <w:szCs w:val="20"/>
        </w:rPr>
        <w:t>分</w:t>
      </w:r>
      <w:r>
        <w:rPr>
          <w:rFonts w:ascii="宋体" w:hAnsi="宋体" w:eastAsia="宋体" w:cs="宋体"/>
          <w:spacing w:val="-32"/>
          <w:sz w:val="20"/>
          <w:szCs w:val="20"/>
        </w:rPr>
        <w:t xml:space="preserve"> </w:t>
      </w:r>
      <w:r>
        <w:rPr>
          <w:rFonts w:ascii="宋体" w:hAnsi="宋体" w:eastAsia="宋体" w:cs="宋体"/>
          <w:sz w:val="20"/>
          <w:szCs w:val="20"/>
        </w:rPr>
        <w:t>析</w:t>
      </w:r>
      <w:r>
        <w:rPr>
          <w:rFonts w:ascii="Arial" w:hAnsi="Arial" w:eastAsia="Arial" w:cs="Arial"/>
          <w:sz w:val="20"/>
          <w:szCs w:val="20"/>
        </w:rPr>
        <w:t xml:space="preserve">(cumulative </w:t>
      </w:r>
      <w:r>
        <w:rPr>
          <w:rFonts w:ascii="宋体" w:hAnsi="宋体" w:eastAsia="宋体" w:cs="宋体"/>
          <w:sz w:val="20"/>
          <w:szCs w:val="20"/>
        </w:rPr>
        <w:t>meta-analysis,CMA)</w:t>
      </w:r>
      <w:r>
        <w:rPr>
          <w:rFonts w:ascii="宋体" w:hAnsi="宋体" w:eastAsia="宋体" w:cs="宋体"/>
          <w:spacing w:val="-38"/>
          <w:sz w:val="20"/>
          <w:szCs w:val="20"/>
        </w:rPr>
        <w:t xml:space="preserve"> </w:t>
      </w:r>
      <w:r>
        <w:rPr>
          <w:rFonts w:ascii="宋体" w:hAnsi="宋体" w:eastAsia="宋体" w:cs="宋体"/>
          <w:sz w:val="20"/>
          <w:szCs w:val="20"/>
        </w:rPr>
        <w:t>累 积Meta</w:t>
      </w:r>
      <w:r>
        <w:rPr>
          <w:rFonts w:ascii="宋体" w:hAnsi="宋体" w:eastAsia="宋体" w:cs="宋体"/>
          <w:spacing w:val="-48"/>
          <w:sz w:val="20"/>
          <w:szCs w:val="20"/>
        </w:rPr>
        <w:t xml:space="preserve"> </w:t>
      </w:r>
      <w:r>
        <w:rPr>
          <w:rFonts w:ascii="宋体" w:hAnsi="宋体" w:eastAsia="宋体" w:cs="宋体"/>
          <w:sz w:val="20"/>
          <w:szCs w:val="20"/>
        </w:rPr>
        <w:t>分析是把有共同研究目的的研  究结果看成一个动态的连续统一体，每当有新的研究完</w:t>
      </w:r>
      <w:r>
        <w:rPr>
          <w:rFonts w:ascii="宋体" w:hAnsi="宋体" w:eastAsia="宋体" w:cs="宋体"/>
          <w:spacing w:val="-1"/>
          <w:sz w:val="20"/>
          <w:szCs w:val="20"/>
        </w:rPr>
        <w:t>成后，即将新的研究结果及时纳人并重新进</w:t>
      </w:r>
      <w:r>
        <w:rPr>
          <w:rFonts w:ascii="宋体" w:hAnsi="宋体" w:eastAsia="宋体" w:cs="宋体"/>
          <w:sz w:val="20"/>
          <w:szCs w:val="20"/>
        </w:rPr>
        <w:t xml:space="preserve">  </w:t>
      </w:r>
      <w:r>
        <w:rPr>
          <w:rFonts w:ascii="宋体" w:hAnsi="宋体" w:eastAsia="宋体" w:cs="宋体"/>
          <w:spacing w:val="-2"/>
          <w:sz w:val="20"/>
          <w:szCs w:val="20"/>
        </w:rPr>
        <w:t>行一次</w:t>
      </w:r>
      <w:r>
        <w:rPr>
          <w:rFonts w:ascii="宋体" w:hAnsi="宋体" w:eastAsia="宋体" w:cs="宋体"/>
          <w:spacing w:val="-49"/>
          <w:sz w:val="20"/>
          <w:szCs w:val="20"/>
        </w:rPr>
        <w:t xml:space="preserve"> </w:t>
      </w:r>
      <w:r>
        <w:rPr>
          <w:rFonts w:ascii="Times New Roman" w:hAnsi="Times New Roman" w:eastAsia="Times New Roman" w:cs="Times New Roman"/>
          <w:spacing w:val="-2"/>
          <w:sz w:val="20"/>
          <w:szCs w:val="20"/>
        </w:rPr>
        <w:t>Meta</w:t>
      </w:r>
      <w:r>
        <w:rPr>
          <w:rFonts w:ascii="Times New Roman" w:hAnsi="Times New Roman" w:eastAsia="Times New Roman" w:cs="Times New Roman"/>
          <w:spacing w:val="-17"/>
          <w:sz w:val="20"/>
          <w:szCs w:val="20"/>
        </w:rPr>
        <w:t xml:space="preserve"> </w:t>
      </w:r>
      <w:r>
        <w:rPr>
          <w:rFonts w:ascii="宋体" w:hAnsi="宋体" w:eastAsia="宋体" w:cs="宋体"/>
          <w:spacing w:val="-2"/>
          <w:sz w:val="20"/>
          <w:szCs w:val="20"/>
        </w:rPr>
        <w:t>分析，然后再按一定的顺序排列累积的结果，并用森林图表示，以分</w:t>
      </w:r>
      <w:r>
        <w:rPr>
          <w:rFonts w:ascii="宋体" w:hAnsi="宋体" w:eastAsia="宋体" w:cs="宋体"/>
          <w:spacing w:val="-3"/>
          <w:sz w:val="20"/>
          <w:szCs w:val="20"/>
        </w:rPr>
        <w:t>析每次研究对综合</w:t>
      </w:r>
      <w:r>
        <w:rPr>
          <w:rFonts w:ascii="宋体" w:hAnsi="宋体" w:eastAsia="宋体" w:cs="宋体"/>
          <w:sz w:val="20"/>
          <w:szCs w:val="20"/>
        </w:rPr>
        <w:t xml:space="preserve">  </w:t>
      </w:r>
      <w:r>
        <w:rPr>
          <w:rFonts w:ascii="宋体" w:hAnsi="宋体" w:eastAsia="宋体" w:cs="宋体"/>
          <w:spacing w:val="4"/>
          <w:sz w:val="20"/>
          <w:szCs w:val="20"/>
        </w:rPr>
        <w:t>结果的影响。</w:t>
      </w:r>
      <w:r>
        <w:rPr>
          <w:rFonts w:ascii="Times New Roman" w:hAnsi="Times New Roman" w:eastAsia="Times New Roman" w:cs="Times New Roman"/>
          <w:sz w:val="20"/>
          <w:szCs w:val="20"/>
        </w:rPr>
        <w:t>CMA</w:t>
      </w:r>
      <w:r>
        <w:rPr>
          <w:rFonts w:ascii="宋体" w:hAnsi="宋体" w:eastAsia="宋体" w:cs="宋体"/>
          <w:spacing w:val="4"/>
          <w:sz w:val="20"/>
          <w:szCs w:val="20"/>
        </w:rPr>
        <w:t>不仅可以反映研究结果的动态变化趋</w:t>
      </w:r>
      <w:r>
        <w:rPr>
          <w:rFonts w:ascii="宋体" w:hAnsi="宋体" w:eastAsia="宋体" w:cs="宋体"/>
          <w:spacing w:val="3"/>
          <w:sz w:val="20"/>
          <w:szCs w:val="20"/>
        </w:rPr>
        <w:t>势，还可显示出各个研究对综合结果的影</w:t>
      </w:r>
      <w:r>
        <w:rPr>
          <w:rFonts w:ascii="宋体" w:hAnsi="宋体" w:eastAsia="宋体" w:cs="宋体"/>
          <w:sz w:val="20"/>
          <w:szCs w:val="20"/>
        </w:rPr>
        <w:t xml:space="preserve">  </w:t>
      </w:r>
      <w:r>
        <w:rPr>
          <w:rFonts w:ascii="宋体" w:hAnsi="宋体" w:eastAsia="宋体" w:cs="宋体"/>
          <w:spacing w:val="-1"/>
          <w:sz w:val="20"/>
          <w:szCs w:val="20"/>
        </w:rPr>
        <w:t>响</w:t>
      </w:r>
      <w:r>
        <w:rPr>
          <w:rFonts w:ascii="宋体" w:hAnsi="宋体" w:eastAsia="宋体" w:cs="宋体"/>
          <w:spacing w:val="-43"/>
          <w:sz w:val="20"/>
          <w:szCs w:val="20"/>
        </w:rPr>
        <w:t xml:space="preserve"> </w:t>
      </w:r>
      <w:r>
        <w:rPr>
          <w:rFonts w:ascii="宋体" w:hAnsi="宋体" w:eastAsia="宋体" w:cs="宋体"/>
          <w:spacing w:val="-1"/>
          <w:sz w:val="20"/>
          <w:szCs w:val="20"/>
        </w:rPr>
        <w:t>。CMA</w:t>
      </w:r>
      <w:r>
        <w:rPr>
          <w:rFonts w:ascii="宋体" w:hAnsi="宋体" w:eastAsia="宋体" w:cs="宋体"/>
          <w:spacing w:val="66"/>
          <w:sz w:val="20"/>
          <w:szCs w:val="20"/>
        </w:rPr>
        <w:t xml:space="preserve"> </w:t>
      </w:r>
      <w:r>
        <w:rPr>
          <w:rFonts w:ascii="宋体" w:hAnsi="宋体" w:eastAsia="宋体" w:cs="宋体"/>
          <w:spacing w:val="-1"/>
          <w:sz w:val="20"/>
          <w:szCs w:val="20"/>
        </w:rPr>
        <w:t>是将各原始研究按照某个变量的变化依次引</w:t>
      </w:r>
      <w:r>
        <w:rPr>
          <w:rFonts w:ascii="宋体" w:hAnsi="宋体" w:eastAsia="宋体" w:cs="宋体"/>
          <w:spacing w:val="-2"/>
          <w:sz w:val="20"/>
          <w:szCs w:val="20"/>
        </w:rPr>
        <w:t>入 Meta</w:t>
      </w:r>
      <w:r>
        <w:rPr>
          <w:rFonts w:ascii="宋体" w:hAnsi="宋体" w:eastAsia="宋体" w:cs="宋体"/>
          <w:spacing w:val="-58"/>
          <w:sz w:val="20"/>
          <w:szCs w:val="20"/>
        </w:rPr>
        <w:t xml:space="preserve"> </w:t>
      </w:r>
      <w:r>
        <w:rPr>
          <w:rFonts w:ascii="宋体" w:hAnsi="宋体" w:eastAsia="宋体" w:cs="宋体"/>
          <w:spacing w:val="-2"/>
          <w:sz w:val="20"/>
          <w:szCs w:val="20"/>
        </w:rPr>
        <w:t>分析过程的一种独特显示方法，类似</w:t>
      </w:r>
      <w:r>
        <w:rPr>
          <w:rFonts w:ascii="宋体" w:hAnsi="宋体" w:eastAsia="宋体" w:cs="宋体"/>
          <w:sz w:val="20"/>
          <w:szCs w:val="20"/>
        </w:rPr>
        <w:t xml:space="preserve">  于序贯分析，但又有所不同，它不是新的统计分析方法。累积变量最常</w:t>
      </w:r>
      <w:r>
        <w:rPr>
          <w:rFonts w:ascii="宋体" w:hAnsi="宋体" w:eastAsia="宋体" w:cs="宋体"/>
          <w:spacing w:val="-1"/>
          <w:sz w:val="20"/>
          <w:szCs w:val="20"/>
        </w:rPr>
        <w:t>见的模式是按照年代顺序排</w:t>
      </w:r>
      <w:r>
        <w:rPr>
          <w:rFonts w:ascii="宋体" w:hAnsi="宋体" w:eastAsia="宋体" w:cs="宋体"/>
          <w:sz w:val="20"/>
          <w:szCs w:val="20"/>
        </w:rPr>
        <w:t xml:space="preserve">  列，此时结果会显示证据是如何随时间累积而变化的。当然，也可以按照其</w:t>
      </w:r>
      <w:r>
        <w:rPr>
          <w:rFonts w:ascii="宋体" w:hAnsi="宋体" w:eastAsia="宋体" w:cs="宋体"/>
          <w:spacing w:val="-1"/>
          <w:sz w:val="20"/>
          <w:szCs w:val="20"/>
        </w:rPr>
        <w:t>他变量(如样本量大小、</w:t>
      </w:r>
      <w:r>
        <w:rPr>
          <w:rFonts w:ascii="宋体" w:hAnsi="宋体" w:eastAsia="宋体" w:cs="宋体"/>
          <w:sz w:val="20"/>
          <w:szCs w:val="20"/>
        </w:rPr>
        <w:t xml:space="preserve"> </w:t>
      </w:r>
      <w:r>
        <w:rPr>
          <w:rFonts w:ascii="宋体" w:hAnsi="宋体" w:eastAsia="宋体" w:cs="宋体"/>
          <w:spacing w:val="-2"/>
          <w:sz w:val="20"/>
          <w:szCs w:val="20"/>
        </w:rPr>
        <w:t>研究质量等)进行排序，逐步引入</w:t>
      </w:r>
      <w:r>
        <w:rPr>
          <w:rFonts w:ascii="Times New Roman" w:hAnsi="Times New Roman" w:eastAsia="Times New Roman" w:cs="Times New Roman"/>
          <w:spacing w:val="-2"/>
          <w:sz w:val="20"/>
          <w:szCs w:val="20"/>
        </w:rPr>
        <w:t>Meta</w:t>
      </w:r>
      <w:r>
        <w:rPr>
          <w:rFonts w:ascii="宋体" w:hAnsi="宋体" w:eastAsia="宋体" w:cs="宋体"/>
          <w:spacing w:val="-2"/>
          <w:sz w:val="20"/>
          <w:szCs w:val="20"/>
        </w:rPr>
        <w:t>分析。</w:t>
      </w:r>
    </w:p>
    <w:p w14:paraId="34AC05AE">
      <w:pPr>
        <w:spacing w:before="169" w:line="322" w:lineRule="auto"/>
        <w:ind w:left="649" w:right="85" w:firstLine="380"/>
        <w:rPr>
          <w:rFonts w:ascii="宋体" w:hAnsi="宋体" w:eastAsia="宋体" w:cs="宋体"/>
          <w:sz w:val="20"/>
          <w:szCs w:val="20"/>
        </w:rPr>
      </w:pPr>
      <w:r>
        <w:rPr>
          <w:rFonts w:ascii="宋体" w:hAnsi="宋体" w:eastAsia="宋体" w:cs="宋体"/>
          <w:spacing w:val="-4"/>
          <w:sz w:val="20"/>
          <w:szCs w:val="20"/>
        </w:rPr>
        <w:t>5. 单病例</w:t>
      </w:r>
      <w:r>
        <w:rPr>
          <w:rFonts w:ascii="宋体" w:hAnsi="宋体" w:eastAsia="宋体" w:cs="宋体"/>
          <w:spacing w:val="-56"/>
          <w:sz w:val="20"/>
          <w:szCs w:val="20"/>
        </w:rPr>
        <w:t xml:space="preserve"> </w:t>
      </w:r>
      <w:r>
        <w:rPr>
          <w:rFonts w:ascii="宋体" w:hAnsi="宋体" w:eastAsia="宋体" w:cs="宋体"/>
          <w:spacing w:val="-4"/>
          <w:sz w:val="20"/>
          <w:szCs w:val="20"/>
        </w:rPr>
        <w:t>Meta</w:t>
      </w:r>
      <w:r>
        <w:rPr>
          <w:rFonts w:ascii="宋体" w:hAnsi="宋体" w:eastAsia="宋体" w:cs="宋体"/>
          <w:spacing w:val="22"/>
          <w:sz w:val="20"/>
          <w:szCs w:val="20"/>
        </w:rPr>
        <w:t xml:space="preserve"> </w:t>
      </w:r>
      <w:r>
        <w:rPr>
          <w:rFonts w:ascii="宋体" w:hAnsi="宋体" w:eastAsia="宋体" w:cs="宋体"/>
          <w:spacing w:val="-4"/>
          <w:sz w:val="20"/>
          <w:szCs w:val="20"/>
        </w:rPr>
        <w:t>分析(individual patient data meta-anal</w:t>
      </w:r>
      <w:r>
        <w:rPr>
          <w:rFonts w:ascii="宋体" w:hAnsi="宋体" w:eastAsia="宋体" w:cs="宋体"/>
          <w:spacing w:val="-5"/>
          <w:sz w:val="20"/>
          <w:szCs w:val="20"/>
        </w:rPr>
        <w:t>ysis,IPDMA) 单病例Meta</w:t>
      </w:r>
      <w:r>
        <w:rPr>
          <w:rFonts w:ascii="宋体" w:hAnsi="宋体" w:eastAsia="宋体" w:cs="宋体"/>
          <w:spacing w:val="-39"/>
          <w:sz w:val="20"/>
          <w:szCs w:val="20"/>
        </w:rPr>
        <w:t xml:space="preserve"> </w:t>
      </w:r>
      <w:r>
        <w:rPr>
          <w:rFonts w:ascii="宋体" w:hAnsi="宋体" w:eastAsia="宋体" w:cs="宋体"/>
          <w:spacing w:val="-5"/>
          <w:sz w:val="20"/>
          <w:szCs w:val="20"/>
        </w:rPr>
        <w:t>分析是一种</w:t>
      </w:r>
      <w:r>
        <w:rPr>
          <w:rFonts w:ascii="宋体" w:hAnsi="宋体" w:eastAsia="宋体" w:cs="宋体"/>
          <w:sz w:val="20"/>
          <w:szCs w:val="20"/>
        </w:rPr>
        <w:t xml:space="preserve"> 特殊类型的系统综述，它不是从已发表的研究中提取数据，而是直接从原始研</w:t>
      </w:r>
      <w:r>
        <w:rPr>
          <w:rFonts w:ascii="宋体" w:hAnsi="宋体" w:eastAsia="宋体" w:cs="宋体"/>
          <w:spacing w:val="-1"/>
          <w:sz w:val="20"/>
          <w:szCs w:val="20"/>
        </w:rPr>
        <w:t>究人员处获取纳入研</w:t>
      </w:r>
      <w:r>
        <w:rPr>
          <w:rFonts w:ascii="宋体" w:hAnsi="宋体" w:eastAsia="宋体" w:cs="宋体"/>
          <w:sz w:val="20"/>
          <w:szCs w:val="20"/>
        </w:rPr>
        <w:t xml:space="preserve"> </w:t>
      </w:r>
      <w:r>
        <w:rPr>
          <w:rFonts w:ascii="宋体" w:hAnsi="宋体" w:eastAsia="宋体" w:cs="宋体"/>
          <w:spacing w:val="-1"/>
          <w:sz w:val="20"/>
          <w:szCs w:val="20"/>
        </w:rPr>
        <w:t>究的每个受试者的原始研究数据，集中后重新分析，并在条件允许时合并</w:t>
      </w:r>
      <w:r>
        <w:rPr>
          <w:rFonts w:ascii="宋体" w:hAnsi="宋体" w:eastAsia="宋体" w:cs="宋体"/>
          <w:spacing w:val="-2"/>
          <w:sz w:val="20"/>
          <w:szCs w:val="20"/>
        </w:rPr>
        <w:t>进行Meta</w:t>
      </w:r>
      <w:r>
        <w:rPr>
          <w:rFonts w:ascii="宋体" w:hAnsi="宋体" w:eastAsia="宋体" w:cs="宋体"/>
          <w:spacing w:val="-29"/>
          <w:sz w:val="20"/>
          <w:szCs w:val="20"/>
        </w:rPr>
        <w:t xml:space="preserve"> </w:t>
      </w:r>
      <w:r>
        <w:rPr>
          <w:rFonts w:ascii="宋体" w:hAnsi="宋体" w:eastAsia="宋体" w:cs="宋体"/>
          <w:spacing w:val="-2"/>
          <w:sz w:val="20"/>
          <w:szCs w:val="20"/>
        </w:rPr>
        <w:t>分</w:t>
      </w:r>
      <w:r>
        <w:rPr>
          <w:rFonts w:ascii="宋体" w:hAnsi="宋体" w:eastAsia="宋体" w:cs="宋体"/>
          <w:spacing w:val="-36"/>
          <w:sz w:val="20"/>
          <w:szCs w:val="20"/>
        </w:rPr>
        <w:t xml:space="preserve"> </w:t>
      </w:r>
      <w:r>
        <w:rPr>
          <w:rFonts w:ascii="宋体" w:hAnsi="宋体" w:eastAsia="宋体" w:cs="宋体"/>
          <w:spacing w:val="-2"/>
          <w:sz w:val="20"/>
          <w:szCs w:val="20"/>
        </w:rPr>
        <w:t>析</w:t>
      </w:r>
      <w:r>
        <w:rPr>
          <w:rFonts w:ascii="宋体" w:hAnsi="宋体" w:eastAsia="宋体" w:cs="宋体"/>
          <w:spacing w:val="-45"/>
          <w:sz w:val="20"/>
          <w:szCs w:val="20"/>
        </w:rPr>
        <w:t xml:space="preserve"> </w:t>
      </w:r>
      <w:r>
        <w:rPr>
          <w:rFonts w:ascii="宋体" w:hAnsi="宋体" w:eastAsia="宋体" w:cs="宋体"/>
          <w:spacing w:val="-2"/>
          <w:sz w:val="20"/>
          <w:szCs w:val="20"/>
        </w:rPr>
        <w:t>。IPDMA</w:t>
      </w:r>
      <w:r>
        <w:rPr>
          <w:rFonts w:ascii="宋体" w:hAnsi="宋体" w:eastAsia="宋体" w:cs="宋体"/>
          <w:sz w:val="20"/>
          <w:szCs w:val="20"/>
        </w:rPr>
        <w:t xml:space="preserve">  可进行时间事件分析，是进行亚组分析唯一最切合实际的方法；还可通过</w:t>
      </w:r>
      <w:r>
        <w:rPr>
          <w:rFonts w:ascii="宋体" w:hAnsi="宋体" w:eastAsia="宋体" w:cs="宋体"/>
          <w:spacing w:val="-1"/>
          <w:sz w:val="20"/>
          <w:szCs w:val="20"/>
        </w:rPr>
        <w:t>与原始研究人员联系，详</w:t>
      </w:r>
      <w:r>
        <w:rPr>
          <w:rFonts w:ascii="宋体" w:hAnsi="宋体" w:eastAsia="宋体" w:cs="宋体"/>
          <w:sz w:val="20"/>
          <w:szCs w:val="20"/>
        </w:rPr>
        <w:t xml:space="preserve"> 细核查和反复校正原始资料，确证随机和随访的质量，通过现有病例记录系统</w:t>
      </w:r>
      <w:r>
        <w:rPr>
          <w:rFonts w:ascii="宋体" w:hAnsi="宋体" w:eastAsia="宋体" w:cs="宋体"/>
          <w:spacing w:val="-1"/>
          <w:sz w:val="20"/>
          <w:szCs w:val="20"/>
        </w:rPr>
        <w:t>(诸如死亡登记)更新</w:t>
      </w:r>
      <w:r>
        <w:rPr>
          <w:rFonts w:ascii="宋体" w:hAnsi="宋体" w:eastAsia="宋体" w:cs="宋体"/>
          <w:sz w:val="20"/>
          <w:szCs w:val="20"/>
        </w:rPr>
        <w:t xml:space="preserve"> </w:t>
      </w:r>
      <w:r>
        <w:rPr>
          <w:rFonts w:ascii="宋体" w:hAnsi="宋体" w:eastAsia="宋体" w:cs="宋体"/>
          <w:spacing w:val="-4"/>
          <w:sz w:val="20"/>
          <w:szCs w:val="20"/>
        </w:rPr>
        <w:t>随访信息。</w:t>
      </w:r>
    </w:p>
    <w:p w14:paraId="7AB2C0FA">
      <w:pPr>
        <w:spacing w:before="114" w:line="317" w:lineRule="auto"/>
        <w:ind w:left="649" w:firstLine="380"/>
        <w:rPr>
          <w:rFonts w:ascii="宋体" w:hAnsi="宋体" w:eastAsia="宋体" w:cs="宋体"/>
          <w:sz w:val="20"/>
          <w:szCs w:val="20"/>
        </w:rPr>
      </w:pPr>
      <w:r>
        <w:rPr>
          <w:rFonts w:ascii="宋体" w:hAnsi="宋体" w:eastAsia="宋体" w:cs="宋体"/>
          <w:spacing w:val="-1"/>
          <w:sz w:val="20"/>
          <w:szCs w:val="20"/>
        </w:rPr>
        <w:t>6. 网状</w:t>
      </w:r>
      <w:r>
        <w:rPr>
          <w:rFonts w:ascii="宋体" w:hAnsi="宋体" w:eastAsia="宋体" w:cs="宋体"/>
          <w:spacing w:val="-49"/>
          <w:sz w:val="20"/>
          <w:szCs w:val="20"/>
        </w:rPr>
        <w:t xml:space="preserve"> </w:t>
      </w:r>
      <w:r>
        <w:rPr>
          <w:rFonts w:ascii="宋体" w:hAnsi="宋体" w:eastAsia="宋体" w:cs="宋体"/>
          <w:spacing w:val="-1"/>
          <w:sz w:val="20"/>
          <w:szCs w:val="20"/>
        </w:rPr>
        <w:t>Meta 分</w:t>
      </w:r>
      <w:r>
        <w:rPr>
          <w:rFonts w:ascii="宋体" w:hAnsi="宋体" w:eastAsia="宋体" w:cs="宋体"/>
          <w:spacing w:val="-42"/>
          <w:sz w:val="20"/>
          <w:szCs w:val="20"/>
        </w:rPr>
        <w:t xml:space="preserve"> </w:t>
      </w:r>
      <w:r>
        <w:rPr>
          <w:rFonts w:ascii="宋体" w:hAnsi="宋体" w:eastAsia="宋体" w:cs="宋体"/>
          <w:spacing w:val="-1"/>
          <w:sz w:val="20"/>
          <w:szCs w:val="20"/>
        </w:rPr>
        <w:t>析(network meta-an</w:t>
      </w:r>
      <w:r>
        <w:rPr>
          <w:rFonts w:ascii="宋体" w:hAnsi="宋体" w:eastAsia="宋体" w:cs="宋体"/>
          <w:spacing w:val="-2"/>
          <w:sz w:val="20"/>
          <w:szCs w:val="20"/>
        </w:rPr>
        <w:t>alysis) 在临床实践中，会有一系列的药物可以治疗某种</w:t>
      </w:r>
      <w:r>
        <w:rPr>
          <w:rFonts w:ascii="宋体" w:hAnsi="宋体" w:eastAsia="宋体" w:cs="宋体"/>
          <w:sz w:val="20"/>
          <w:szCs w:val="20"/>
        </w:rPr>
        <w:t xml:space="preserve">  </w:t>
      </w:r>
      <w:r>
        <w:rPr>
          <w:rFonts w:ascii="宋体" w:hAnsi="宋体" w:eastAsia="宋体" w:cs="宋体"/>
          <w:spacing w:val="5"/>
          <w:sz w:val="20"/>
          <w:szCs w:val="20"/>
        </w:rPr>
        <w:t>疾病，但</w:t>
      </w:r>
      <w:r>
        <w:rPr>
          <w:rFonts w:ascii="Times New Roman" w:hAnsi="Times New Roman" w:eastAsia="Times New Roman" w:cs="Times New Roman"/>
          <w:sz w:val="20"/>
          <w:szCs w:val="20"/>
        </w:rPr>
        <w:t>RCT</w:t>
      </w:r>
      <w:r>
        <w:rPr>
          <w:rFonts w:ascii="Times New Roman" w:hAnsi="Times New Roman" w:eastAsia="Times New Roman" w:cs="Times New Roman"/>
          <w:spacing w:val="15"/>
          <w:sz w:val="20"/>
          <w:szCs w:val="20"/>
        </w:rPr>
        <w:t xml:space="preserve"> </w:t>
      </w:r>
      <w:r>
        <w:rPr>
          <w:rFonts w:ascii="宋体" w:hAnsi="宋体" w:eastAsia="宋体" w:cs="宋体"/>
          <w:spacing w:val="5"/>
          <w:sz w:val="20"/>
          <w:szCs w:val="20"/>
        </w:rPr>
        <w:t>多是单一药物与安慰剂的对照，而评价药物之间效果差异</w:t>
      </w:r>
      <w:r>
        <w:rPr>
          <w:rFonts w:ascii="宋体" w:hAnsi="宋体" w:eastAsia="宋体" w:cs="宋体"/>
          <w:spacing w:val="4"/>
          <w:sz w:val="20"/>
          <w:szCs w:val="20"/>
        </w:rPr>
        <w:t>的</w:t>
      </w:r>
      <w:r>
        <w:rPr>
          <w:rFonts w:ascii="Times New Roman" w:hAnsi="Times New Roman" w:eastAsia="Times New Roman" w:cs="Times New Roman"/>
          <w:sz w:val="20"/>
          <w:szCs w:val="20"/>
        </w:rPr>
        <w:t>RCT</w:t>
      </w:r>
      <w:r>
        <w:rPr>
          <w:rFonts w:ascii="Times New Roman" w:hAnsi="Times New Roman" w:eastAsia="Times New Roman" w:cs="Times New Roman"/>
          <w:spacing w:val="15"/>
          <w:sz w:val="20"/>
          <w:szCs w:val="20"/>
        </w:rPr>
        <w:t xml:space="preserve"> </w:t>
      </w:r>
      <w:r>
        <w:rPr>
          <w:rFonts w:ascii="宋体" w:hAnsi="宋体" w:eastAsia="宋体" w:cs="宋体"/>
          <w:spacing w:val="4"/>
          <w:sz w:val="20"/>
          <w:szCs w:val="20"/>
        </w:rPr>
        <w:t>没有进行或很少。</w:t>
      </w:r>
      <w:r>
        <w:rPr>
          <w:rFonts w:ascii="宋体" w:hAnsi="宋体" w:eastAsia="宋体" w:cs="宋体"/>
          <w:sz w:val="20"/>
          <w:szCs w:val="20"/>
        </w:rPr>
        <w:t xml:space="preserve"> </w:t>
      </w:r>
      <w:r>
        <w:rPr>
          <w:rFonts w:ascii="宋体" w:hAnsi="宋体" w:eastAsia="宋体" w:cs="宋体"/>
          <w:spacing w:val="3"/>
          <w:sz w:val="20"/>
          <w:szCs w:val="20"/>
        </w:rPr>
        <w:t>在这种情况下，就需要将间接比较和直接比较的证据进行合并，即进行网状</w:t>
      </w:r>
      <w:r>
        <w:rPr>
          <w:rFonts w:ascii="Times New Roman" w:hAnsi="Times New Roman" w:eastAsia="Times New Roman" w:cs="Times New Roman"/>
          <w:sz w:val="20"/>
          <w:szCs w:val="20"/>
        </w:rPr>
        <w:t>Meta</w:t>
      </w:r>
      <w:r>
        <w:rPr>
          <w:rFonts w:ascii="Times New Roman" w:hAnsi="Times New Roman" w:eastAsia="Times New Roman" w:cs="Times New Roman"/>
          <w:spacing w:val="3"/>
          <w:sz w:val="20"/>
          <w:szCs w:val="20"/>
        </w:rPr>
        <w:t xml:space="preserve"> </w:t>
      </w:r>
      <w:r>
        <w:rPr>
          <w:rFonts w:ascii="宋体" w:hAnsi="宋体" w:eastAsia="宋体" w:cs="宋体"/>
          <w:spacing w:val="3"/>
          <w:sz w:val="20"/>
          <w:szCs w:val="20"/>
        </w:rPr>
        <w:t>分析。多种干预</w:t>
      </w:r>
      <w:r>
        <w:rPr>
          <w:rFonts w:ascii="宋体" w:hAnsi="宋体" w:eastAsia="宋体" w:cs="宋体"/>
          <w:spacing w:val="6"/>
          <w:sz w:val="20"/>
          <w:szCs w:val="20"/>
        </w:rPr>
        <w:t xml:space="preserve">  </w:t>
      </w:r>
      <w:r>
        <w:rPr>
          <w:rFonts w:ascii="宋体" w:hAnsi="宋体" w:eastAsia="宋体" w:cs="宋体"/>
          <w:spacing w:val="5"/>
          <w:sz w:val="20"/>
          <w:szCs w:val="20"/>
        </w:rPr>
        <w:t>措施效果之间的证据关系可用一个网状图展示，此类</w:t>
      </w:r>
      <w:r>
        <w:rPr>
          <w:rFonts w:ascii="宋体" w:hAnsi="宋体" w:eastAsia="宋体" w:cs="宋体"/>
          <w:sz w:val="20"/>
          <w:szCs w:val="20"/>
        </w:rPr>
        <w:t>Meta</w:t>
      </w:r>
      <w:r>
        <w:rPr>
          <w:rFonts w:ascii="宋体" w:hAnsi="宋体" w:eastAsia="宋体" w:cs="宋体"/>
          <w:spacing w:val="-40"/>
          <w:sz w:val="20"/>
          <w:szCs w:val="20"/>
        </w:rPr>
        <w:t xml:space="preserve"> </w:t>
      </w:r>
      <w:r>
        <w:rPr>
          <w:rFonts w:ascii="宋体" w:hAnsi="宋体" w:eastAsia="宋体" w:cs="宋体"/>
          <w:spacing w:val="5"/>
          <w:sz w:val="20"/>
          <w:szCs w:val="20"/>
        </w:rPr>
        <w:t>分析称为网状</w:t>
      </w:r>
      <w:r>
        <w:rPr>
          <w:rFonts w:ascii="宋体" w:hAnsi="宋体" w:eastAsia="宋体" w:cs="宋体"/>
          <w:sz w:val="20"/>
          <w:szCs w:val="20"/>
        </w:rPr>
        <w:t>Meta</w:t>
      </w:r>
      <w:r>
        <w:rPr>
          <w:rFonts w:ascii="宋体" w:hAnsi="宋体" w:eastAsia="宋体" w:cs="宋体"/>
          <w:spacing w:val="-28"/>
          <w:sz w:val="20"/>
          <w:szCs w:val="20"/>
        </w:rPr>
        <w:t xml:space="preserve"> </w:t>
      </w:r>
      <w:r>
        <w:rPr>
          <w:rFonts w:ascii="宋体" w:hAnsi="宋体" w:eastAsia="宋体" w:cs="宋体"/>
          <w:spacing w:val="5"/>
          <w:sz w:val="20"/>
          <w:szCs w:val="20"/>
        </w:rPr>
        <w:t>分析。网状</w:t>
      </w:r>
      <w:r>
        <w:rPr>
          <w:rFonts w:ascii="宋体" w:hAnsi="宋体" w:eastAsia="宋体" w:cs="宋体"/>
          <w:sz w:val="20"/>
          <w:szCs w:val="20"/>
        </w:rPr>
        <w:t>Meta</w:t>
      </w:r>
      <w:r>
        <w:rPr>
          <w:rFonts w:ascii="宋体" w:hAnsi="宋体" w:eastAsia="宋体" w:cs="宋体"/>
          <w:spacing w:val="-49"/>
          <w:sz w:val="20"/>
          <w:szCs w:val="20"/>
        </w:rPr>
        <w:t xml:space="preserve"> </w:t>
      </w:r>
      <w:r>
        <w:rPr>
          <w:rFonts w:ascii="宋体" w:hAnsi="宋体" w:eastAsia="宋体" w:cs="宋体"/>
          <w:spacing w:val="5"/>
          <w:sz w:val="20"/>
          <w:szCs w:val="20"/>
        </w:rPr>
        <w:t>分</w:t>
      </w:r>
      <w:r>
        <w:rPr>
          <w:rFonts w:ascii="宋体" w:hAnsi="宋体" w:eastAsia="宋体" w:cs="宋体"/>
          <w:sz w:val="20"/>
          <w:szCs w:val="20"/>
        </w:rPr>
        <w:t xml:space="preserve">  析首要的是构造一个等级模型，以处理抽样变异、治疗异质性及研究治疗</w:t>
      </w:r>
      <w:r>
        <w:rPr>
          <w:rFonts w:ascii="宋体" w:hAnsi="宋体" w:eastAsia="宋体" w:cs="宋体"/>
          <w:spacing w:val="-1"/>
          <w:sz w:val="20"/>
          <w:szCs w:val="20"/>
        </w:rPr>
        <w:t>比较间的不一致性，并提</w:t>
      </w:r>
      <w:r>
        <w:rPr>
          <w:rFonts w:ascii="宋体" w:hAnsi="宋体" w:eastAsia="宋体" w:cs="宋体"/>
          <w:sz w:val="20"/>
          <w:szCs w:val="20"/>
        </w:rPr>
        <w:t xml:space="preserve">  供模型的最大似然比，进而获得不同药物间在效果上的差异及效应大小排序，</w:t>
      </w:r>
      <w:r>
        <w:rPr>
          <w:rFonts w:ascii="宋体" w:hAnsi="宋体" w:eastAsia="宋体" w:cs="宋体"/>
          <w:spacing w:val="-1"/>
          <w:sz w:val="20"/>
          <w:szCs w:val="20"/>
        </w:rPr>
        <w:t>为指导临床的有效治</w:t>
      </w:r>
      <w:r>
        <w:rPr>
          <w:rFonts w:ascii="宋体" w:hAnsi="宋体" w:eastAsia="宋体" w:cs="宋体"/>
          <w:sz w:val="20"/>
          <w:szCs w:val="20"/>
        </w:rPr>
        <w:t xml:space="preserve">  疗提供依据。</w:t>
      </w:r>
    </w:p>
    <w:p w14:paraId="2B205617">
      <w:pPr>
        <w:pStyle w:val="2"/>
        <w:spacing w:before="184" w:line="222" w:lineRule="auto"/>
        <w:ind w:right="32"/>
        <w:jc w:val="right"/>
        <w:rPr>
          <w:sz w:val="20"/>
          <w:szCs w:val="20"/>
        </w:rPr>
      </w:pPr>
      <w:r>
        <w:rPr>
          <w:spacing w:val="11"/>
          <w:sz w:val="20"/>
          <w:szCs w:val="20"/>
        </w:rPr>
        <w:t>(寇长贵)</w:t>
      </w:r>
    </w:p>
    <w:p w14:paraId="1336EDDE">
      <w:pPr>
        <w:spacing w:line="461" w:lineRule="auto"/>
        <w:rPr>
          <w:rFonts w:ascii="Arial"/>
          <w:sz w:val="21"/>
        </w:rPr>
      </w:pPr>
      <w:r>
        <w:drawing>
          <wp:anchor distT="0" distB="0" distL="0" distR="0" simplePos="0" relativeHeight="251975680" behindDoc="0" locked="0" layoutInCell="1" allowOverlap="1">
            <wp:simplePos x="0" y="0"/>
            <wp:positionH relativeFrom="column">
              <wp:posOffset>660400</wp:posOffset>
            </wp:positionH>
            <wp:positionV relativeFrom="paragraph">
              <wp:posOffset>318135</wp:posOffset>
            </wp:positionV>
            <wp:extent cx="5054600" cy="12700"/>
            <wp:effectExtent l="0" t="0" r="0" b="0"/>
            <wp:wrapNone/>
            <wp:docPr id="778" name="IM 778"/>
            <wp:cNvGraphicFramePr/>
            <a:graphic xmlns:a="http://schemas.openxmlformats.org/drawingml/2006/main">
              <a:graphicData uri="http://schemas.openxmlformats.org/drawingml/2006/picture">
                <pic:pic xmlns:pic="http://schemas.openxmlformats.org/drawingml/2006/picture">
                  <pic:nvPicPr>
                    <pic:cNvPr id="778" name="IM 778"/>
                    <pic:cNvPicPr/>
                  </pic:nvPicPr>
                  <pic:blipFill>
                    <a:blip r:embed="rId680"/>
                    <a:stretch>
                      <a:fillRect/>
                    </a:stretch>
                  </pic:blipFill>
                  <pic:spPr>
                    <a:xfrm>
                      <a:off x="0" y="0"/>
                      <a:ext cx="5054617" cy="12710"/>
                    </a:xfrm>
                    <a:prstGeom prst="rect">
                      <a:avLst/>
                    </a:prstGeom>
                  </pic:spPr>
                </pic:pic>
              </a:graphicData>
            </a:graphic>
          </wp:anchor>
        </w:drawing>
      </w:r>
    </w:p>
    <w:p w14:paraId="60E143E9">
      <w:pPr>
        <w:spacing w:before="66" w:line="241" w:lineRule="auto"/>
        <w:ind w:left="9010"/>
        <w:rPr>
          <w:rFonts w:ascii="宋体" w:hAnsi="宋体" w:eastAsia="宋体" w:cs="宋体"/>
          <w:sz w:val="20"/>
          <w:szCs w:val="20"/>
        </w:rPr>
      </w:pPr>
      <w:r>
        <w:rPr>
          <w:rFonts w:ascii="宋体" w:hAnsi="宋体" w:eastAsia="宋体" w:cs="宋体"/>
          <w:sz w:val="20"/>
          <w:szCs w:val="20"/>
        </w:rPr>
        <w:t>2</w:t>
      </w:r>
    </w:p>
    <w:p w14:paraId="6CE9659F">
      <w:pPr>
        <w:pStyle w:val="2"/>
        <w:spacing w:before="37" w:line="222" w:lineRule="auto"/>
        <w:ind w:left="1033"/>
        <w:rPr>
          <w:sz w:val="25"/>
          <w:szCs w:val="25"/>
        </w:rPr>
      </w:pPr>
      <w:r>
        <w:rPr>
          <w:b/>
          <w:bCs/>
          <w:spacing w:val="-5"/>
          <w:sz w:val="25"/>
          <w:szCs w:val="25"/>
        </w:rPr>
        <w:t>思考题</w:t>
      </w:r>
    </w:p>
    <w:p w14:paraId="4CB8D956">
      <w:pPr>
        <w:spacing w:before="111" w:line="219" w:lineRule="auto"/>
        <w:ind w:left="1819"/>
        <w:rPr>
          <w:rFonts w:ascii="宋体" w:hAnsi="宋体" w:eastAsia="宋体" w:cs="宋体"/>
          <w:sz w:val="20"/>
          <w:szCs w:val="20"/>
        </w:rPr>
      </w:pPr>
      <w:r>
        <w:rPr>
          <w:rFonts w:ascii="宋体" w:hAnsi="宋体" w:eastAsia="宋体" w:cs="宋体"/>
          <w:spacing w:val="5"/>
          <w:sz w:val="20"/>
          <w:szCs w:val="20"/>
        </w:rPr>
        <w:t>1.</w:t>
      </w:r>
      <w:r>
        <w:rPr>
          <w:rFonts w:ascii="宋体" w:hAnsi="宋体" w:eastAsia="宋体" w:cs="宋体"/>
          <w:spacing w:val="-46"/>
          <w:sz w:val="20"/>
          <w:szCs w:val="20"/>
        </w:rPr>
        <w:t xml:space="preserve"> </w:t>
      </w:r>
      <w:r>
        <w:rPr>
          <w:rFonts w:ascii="宋体" w:hAnsi="宋体" w:eastAsia="宋体" w:cs="宋体"/>
          <w:spacing w:val="5"/>
          <w:sz w:val="20"/>
          <w:szCs w:val="20"/>
        </w:rPr>
        <w:t>何谓循证医学?它的核心思想是什么?</w:t>
      </w:r>
    </w:p>
    <w:p w14:paraId="676D6B16">
      <w:pPr>
        <w:spacing w:before="122" w:line="219" w:lineRule="auto"/>
        <w:ind w:left="1819"/>
        <w:rPr>
          <w:rFonts w:ascii="宋体" w:hAnsi="宋体" w:eastAsia="宋体" w:cs="宋体"/>
          <w:sz w:val="20"/>
          <w:szCs w:val="20"/>
        </w:rPr>
      </w:pPr>
      <w:r>
        <w:rPr>
          <w:rFonts w:ascii="宋体" w:hAnsi="宋体" w:eastAsia="宋体" w:cs="宋体"/>
          <w:spacing w:val="-1"/>
          <w:sz w:val="20"/>
          <w:szCs w:val="20"/>
        </w:rPr>
        <w:t>2.</w:t>
      </w:r>
      <w:r>
        <w:rPr>
          <w:rFonts w:ascii="宋体" w:hAnsi="宋体" w:eastAsia="宋体" w:cs="宋体"/>
          <w:spacing w:val="-26"/>
          <w:sz w:val="20"/>
          <w:szCs w:val="20"/>
        </w:rPr>
        <w:t xml:space="preserve"> </w:t>
      </w:r>
      <w:r>
        <w:rPr>
          <w:rFonts w:ascii="宋体" w:hAnsi="宋体" w:eastAsia="宋体" w:cs="宋体"/>
          <w:spacing w:val="-1"/>
          <w:sz w:val="20"/>
          <w:szCs w:val="20"/>
        </w:rPr>
        <w:t>简述循证医学实践的基本步骤。</w:t>
      </w:r>
    </w:p>
    <w:p w14:paraId="29D66CFE">
      <w:pPr>
        <w:spacing w:before="142" w:line="219" w:lineRule="auto"/>
        <w:ind w:left="1819"/>
        <w:rPr>
          <w:rFonts w:ascii="宋体" w:hAnsi="宋体" w:eastAsia="宋体" w:cs="宋体"/>
          <w:sz w:val="20"/>
          <w:szCs w:val="20"/>
        </w:rPr>
      </w:pPr>
      <w:r>
        <w:rPr>
          <w:rFonts w:ascii="宋体" w:hAnsi="宋体" w:eastAsia="宋体" w:cs="宋体"/>
          <w:spacing w:val="-1"/>
          <w:sz w:val="20"/>
          <w:szCs w:val="20"/>
        </w:rPr>
        <w:t>3.</w:t>
      </w:r>
      <w:r>
        <w:rPr>
          <w:rFonts w:ascii="宋体" w:hAnsi="宋体" w:eastAsia="宋体" w:cs="宋体"/>
          <w:spacing w:val="-28"/>
          <w:sz w:val="20"/>
          <w:szCs w:val="20"/>
        </w:rPr>
        <w:t xml:space="preserve"> </w:t>
      </w:r>
      <w:r>
        <w:rPr>
          <w:rFonts w:ascii="宋体" w:hAnsi="宋体" w:eastAsia="宋体" w:cs="宋体"/>
          <w:spacing w:val="-1"/>
          <w:sz w:val="20"/>
          <w:szCs w:val="20"/>
        </w:rPr>
        <w:t>简述循证公共卫生的定义及其实践的基本步骤。</w:t>
      </w:r>
    </w:p>
    <w:p w14:paraId="7AD4BC61">
      <w:pPr>
        <w:spacing w:before="113" w:line="219" w:lineRule="auto"/>
        <w:ind w:left="1819"/>
        <w:rPr>
          <w:rFonts w:ascii="宋体" w:hAnsi="宋体" w:eastAsia="宋体" w:cs="宋体"/>
          <w:sz w:val="20"/>
          <w:szCs w:val="20"/>
        </w:rPr>
      </w:pPr>
      <w:r>
        <w:rPr>
          <w:rFonts w:ascii="宋体" w:hAnsi="宋体" w:eastAsia="宋体" w:cs="宋体"/>
          <w:spacing w:val="1"/>
          <w:sz w:val="20"/>
          <w:szCs w:val="20"/>
        </w:rPr>
        <w:t>4.</w:t>
      </w:r>
      <w:r>
        <w:rPr>
          <w:rFonts w:ascii="宋体" w:hAnsi="宋体" w:eastAsia="宋体" w:cs="宋体"/>
          <w:spacing w:val="-35"/>
          <w:sz w:val="20"/>
          <w:szCs w:val="20"/>
        </w:rPr>
        <w:t xml:space="preserve"> </w:t>
      </w:r>
      <w:r>
        <w:rPr>
          <w:rFonts w:ascii="宋体" w:hAnsi="宋体" w:eastAsia="宋体" w:cs="宋体"/>
          <w:spacing w:val="1"/>
          <w:sz w:val="20"/>
          <w:szCs w:val="20"/>
        </w:rPr>
        <w:t>简述系统综述的主要步骤。</w:t>
      </w:r>
    </w:p>
    <w:p w14:paraId="2C0D6E14">
      <w:pPr>
        <w:spacing w:before="143" w:line="219" w:lineRule="auto"/>
        <w:ind w:left="1819"/>
        <w:rPr>
          <w:rFonts w:ascii="宋体" w:hAnsi="宋体" w:eastAsia="宋体" w:cs="宋体"/>
          <w:sz w:val="20"/>
          <w:szCs w:val="20"/>
        </w:rPr>
      </w:pPr>
      <w:r>
        <w:rPr>
          <w:rFonts w:ascii="宋体" w:hAnsi="宋体" w:eastAsia="宋体" w:cs="宋体"/>
          <w:sz w:val="20"/>
          <w:szCs w:val="20"/>
        </w:rPr>
        <w:t>5.</w:t>
      </w:r>
      <w:r>
        <w:rPr>
          <w:rFonts w:ascii="宋体" w:hAnsi="宋体" w:eastAsia="宋体" w:cs="宋体"/>
          <w:spacing w:val="-31"/>
          <w:sz w:val="20"/>
          <w:szCs w:val="20"/>
        </w:rPr>
        <w:t xml:space="preserve"> </w:t>
      </w:r>
      <w:r>
        <w:rPr>
          <w:rFonts w:ascii="宋体" w:hAnsi="宋体" w:eastAsia="宋体" w:cs="宋体"/>
          <w:sz w:val="20"/>
          <w:szCs w:val="20"/>
        </w:rPr>
        <w:t>简述森林图解读的要点。</w:t>
      </w:r>
    </w:p>
    <w:p w14:paraId="75956B96">
      <w:pPr>
        <w:spacing w:line="219" w:lineRule="auto"/>
        <w:rPr>
          <w:rFonts w:ascii="宋体" w:hAnsi="宋体" w:eastAsia="宋体" w:cs="宋体"/>
          <w:sz w:val="20"/>
          <w:szCs w:val="20"/>
        </w:rPr>
        <w:sectPr>
          <w:footerReference r:id="rId313" w:type="default"/>
          <w:pgSz w:w="11900" w:h="16820"/>
          <w:pgMar w:top="400" w:right="1579" w:bottom="849" w:left="979" w:header="0" w:footer="669" w:gutter="0"/>
          <w:cols w:space="720" w:num="1"/>
        </w:sectPr>
      </w:pPr>
    </w:p>
    <w:p w14:paraId="11E2DA0E">
      <w:pPr>
        <w:spacing w:line="316" w:lineRule="auto"/>
        <w:rPr>
          <w:rFonts w:ascii="Arial"/>
          <w:sz w:val="21"/>
        </w:rPr>
      </w:pPr>
    </w:p>
    <w:p w14:paraId="6360DA71">
      <w:pPr>
        <w:spacing w:line="316" w:lineRule="auto"/>
        <w:rPr>
          <w:rFonts w:ascii="Arial"/>
          <w:sz w:val="21"/>
        </w:rPr>
      </w:pPr>
    </w:p>
    <w:p w14:paraId="1FFF1B49">
      <w:pPr>
        <w:spacing w:line="316" w:lineRule="auto"/>
        <w:rPr>
          <w:rFonts w:ascii="Arial"/>
          <w:sz w:val="21"/>
        </w:rPr>
      </w:pPr>
    </w:p>
    <w:p w14:paraId="01E617F5">
      <w:pPr>
        <w:pStyle w:val="2"/>
        <w:spacing w:before="91" w:line="222" w:lineRule="auto"/>
        <w:ind w:left="3933"/>
        <w:outlineLvl w:val="0"/>
        <w:rPr>
          <w:sz w:val="28"/>
          <w:szCs w:val="28"/>
        </w:rPr>
      </w:pPr>
      <w:r>
        <w:drawing>
          <wp:anchor distT="0" distB="0" distL="0" distR="0" simplePos="0" relativeHeight="251976704" behindDoc="0" locked="0" layoutInCell="1" allowOverlap="1">
            <wp:simplePos x="0" y="0"/>
            <wp:positionH relativeFrom="column">
              <wp:posOffset>5073650</wp:posOffset>
            </wp:positionH>
            <wp:positionV relativeFrom="paragraph">
              <wp:posOffset>73025</wp:posOffset>
            </wp:positionV>
            <wp:extent cx="552450" cy="609600"/>
            <wp:effectExtent l="0" t="0" r="0" b="0"/>
            <wp:wrapNone/>
            <wp:docPr id="780" name="IM 780"/>
            <wp:cNvGraphicFramePr/>
            <a:graphic xmlns:a="http://schemas.openxmlformats.org/drawingml/2006/main">
              <a:graphicData uri="http://schemas.openxmlformats.org/drawingml/2006/picture">
                <pic:pic xmlns:pic="http://schemas.openxmlformats.org/drawingml/2006/picture">
                  <pic:nvPicPr>
                    <pic:cNvPr id="780" name="IM 780"/>
                    <pic:cNvPicPr/>
                  </pic:nvPicPr>
                  <pic:blipFill>
                    <a:blip r:embed="rId681"/>
                    <a:stretch>
                      <a:fillRect/>
                    </a:stretch>
                  </pic:blipFill>
                  <pic:spPr>
                    <a:xfrm>
                      <a:off x="0" y="0"/>
                      <a:ext cx="552455" cy="609547"/>
                    </a:xfrm>
                    <a:prstGeom prst="rect">
                      <a:avLst/>
                    </a:prstGeom>
                  </pic:spPr>
                </pic:pic>
              </a:graphicData>
            </a:graphic>
          </wp:anchor>
        </w:drawing>
      </w:r>
      <w:bookmarkStart w:id="477" w:name="bookmark299"/>
      <w:bookmarkEnd w:id="477"/>
      <w:r>
        <w:rPr>
          <w:b/>
          <w:bCs/>
          <w:spacing w:val="5"/>
          <w:sz w:val="28"/>
          <w:szCs w:val="28"/>
        </w:rPr>
        <w:t>第十九章</w:t>
      </w:r>
    </w:p>
    <w:p w14:paraId="5AEB214D">
      <w:pPr>
        <w:pStyle w:val="2"/>
        <w:spacing w:before="139" w:line="222" w:lineRule="auto"/>
        <w:ind w:left="3416"/>
        <w:outlineLvl w:val="0"/>
        <w:rPr>
          <w:sz w:val="43"/>
          <w:szCs w:val="43"/>
        </w:rPr>
      </w:pPr>
      <w:bookmarkStart w:id="478" w:name="bookmark299"/>
      <w:bookmarkEnd w:id="478"/>
      <w:bookmarkStart w:id="479" w:name="bookmark570"/>
      <w:bookmarkEnd w:id="479"/>
      <w:r>
        <w:rPr>
          <w:b/>
          <w:bCs/>
          <w:spacing w:val="2"/>
          <w:sz w:val="43"/>
          <w:szCs w:val="43"/>
        </w:rPr>
        <w:t>病毒性肝炎</w:t>
      </w:r>
    </w:p>
    <w:p w14:paraId="2478290A">
      <w:pPr>
        <w:spacing w:before="161" w:line="450" w:lineRule="exact"/>
        <w:ind w:firstLine="8830"/>
      </w:pPr>
      <w:r>
        <w:rPr>
          <w:position w:val="-8"/>
        </w:rPr>
        <w:drawing>
          <wp:inline distT="0" distB="0" distL="0" distR="0">
            <wp:extent cx="304165" cy="285115"/>
            <wp:effectExtent l="0" t="0" r="0" b="0"/>
            <wp:docPr id="782" name="IM 782"/>
            <wp:cNvGraphicFramePr/>
            <a:graphic xmlns:a="http://schemas.openxmlformats.org/drawingml/2006/main">
              <a:graphicData uri="http://schemas.openxmlformats.org/drawingml/2006/picture">
                <pic:pic xmlns:pic="http://schemas.openxmlformats.org/drawingml/2006/picture">
                  <pic:nvPicPr>
                    <pic:cNvPr id="782" name="IM 782"/>
                    <pic:cNvPicPr/>
                  </pic:nvPicPr>
                  <pic:blipFill>
                    <a:blip r:embed="rId682"/>
                    <a:stretch>
                      <a:fillRect/>
                    </a:stretch>
                  </pic:blipFill>
                  <pic:spPr>
                    <a:xfrm>
                      <a:off x="0" y="0"/>
                      <a:ext cx="304753" cy="285708"/>
                    </a:xfrm>
                    <a:prstGeom prst="rect">
                      <a:avLst/>
                    </a:prstGeom>
                  </pic:spPr>
                </pic:pic>
              </a:graphicData>
            </a:graphic>
          </wp:inline>
        </w:drawing>
      </w:r>
    </w:p>
    <w:p w14:paraId="1D063194">
      <w:pPr>
        <w:spacing w:line="246" w:lineRule="auto"/>
        <w:rPr>
          <w:rFonts w:ascii="Arial"/>
          <w:sz w:val="21"/>
        </w:rPr>
      </w:pPr>
    </w:p>
    <w:p w14:paraId="7E209513">
      <w:pPr>
        <w:spacing w:before="81" w:line="198" w:lineRule="auto"/>
        <w:ind w:left="2769"/>
        <w:rPr>
          <w:rFonts w:ascii="Arial" w:hAnsi="Arial" w:eastAsia="Arial" w:cs="Arial"/>
          <w:sz w:val="28"/>
          <w:szCs w:val="28"/>
        </w:rPr>
      </w:pPr>
      <w:r>
        <w:rPr>
          <w:rFonts w:ascii="Arial" w:hAnsi="Arial" w:eastAsia="Arial" w:cs="Arial"/>
          <w:b/>
          <w:bCs/>
          <w:spacing w:val="-3"/>
          <w:sz w:val="28"/>
          <w:szCs w:val="28"/>
        </w:rPr>
        <w:t>Chapter</w:t>
      </w:r>
      <w:r>
        <w:rPr>
          <w:rFonts w:ascii="Arial" w:hAnsi="Arial" w:eastAsia="Arial" w:cs="Arial"/>
          <w:b/>
          <w:bCs/>
          <w:spacing w:val="67"/>
          <w:sz w:val="28"/>
          <w:szCs w:val="28"/>
        </w:rPr>
        <w:t xml:space="preserve"> </w:t>
      </w:r>
      <w:r>
        <w:rPr>
          <w:rFonts w:ascii="Arial" w:hAnsi="Arial" w:eastAsia="Arial" w:cs="Arial"/>
          <w:b/>
          <w:bCs/>
          <w:spacing w:val="-3"/>
          <w:sz w:val="28"/>
          <w:szCs w:val="28"/>
        </w:rPr>
        <w:t>19</w:t>
      </w:r>
      <w:r>
        <w:rPr>
          <w:rFonts w:ascii="Arial" w:hAnsi="Arial" w:eastAsia="Arial" w:cs="Arial"/>
          <w:b/>
          <w:bCs/>
          <w:spacing w:val="32"/>
          <w:sz w:val="28"/>
          <w:szCs w:val="28"/>
        </w:rPr>
        <w:t xml:space="preserve"> </w:t>
      </w:r>
      <w:r>
        <w:rPr>
          <w:rFonts w:ascii="Arial" w:hAnsi="Arial" w:eastAsia="Arial" w:cs="Arial"/>
          <w:b/>
          <w:bCs/>
          <w:spacing w:val="-3"/>
          <w:sz w:val="28"/>
          <w:szCs w:val="28"/>
        </w:rPr>
        <w:t>Viral</w:t>
      </w:r>
      <w:r>
        <w:rPr>
          <w:rFonts w:ascii="Arial" w:hAnsi="Arial" w:eastAsia="Arial" w:cs="Arial"/>
          <w:b/>
          <w:bCs/>
          <w:spacing w:val="53"/>
          <w:sz w:val="28"/>
          <w:szCs w:val="28"/>
        </w:rPr>
        <w:t xml:space="preserve"> </w:t>
      </w:r>
      <w:r>
        <w:rPr>
          <w:rFonts w:ascii="Arial" w:hAnsi="Arial" w:eastAsia="Arial" w:cs="Arial"/>
          <w:b/>
          <w:bCs/>
          <w:spacing w:val="-3"/>
          <w:sz w:val="28"/>
          <w:szCs w:val="28"/>
        </w:rPr>
        <w:t>Hepatitis</w:t>
      </w:r>
    </w:p>
    <w:p w14:paraId="4D70BED5">
      <w:pPr>
        <w:spacing w:line="437" w:lineRule="auto"/>
        <w:rPr>
          <w:rFonts w:ascii="Arial"/>
          <w:sz w:val="21"/>
        </w:rPr>
      </w:pPr>
    </w:p>
    <w:p w14:paraId="7366B539">
      <w:pPr>
        <w:spacing w:before="57" w:line="383" w:lineRule="auto"/>
        <w:ind w:right="575" w:firstLine="429"/>
        <w:jc w:val="both"/>
        <w:rPr>
          <w:rFonts w:ascii="Times New Roman" w:hAnsi="Times New Roman" w:eastAsia="Times New Roman" w:cs="Times New Roman"/>
          <w:sz w:val="20"/>
          <w:szCs w:val="20"/>
        </w:rPr>
      </w:pPr>
      <w:r>
        <w:rPr>
          <w:rFonts w:ascii="Times New Roman" w:hAnsi="Times New Roman" w:eastAsia="Times New Roman" w:cs="Times New Roman"/>
          <w:sz w:val="20"/>
          <w:szCs w:val="20"/>
        </w:rPr>
        <w:t>Viral  hepatitis  is</w:t>
      </w:r>
      <w:r>
        <w:rPr>
          <w:rFonts w:ascii="Times New Roman" w:hAnsi="Times New Roman" w:eastAsia="Times New Roman" w:cs="Times New Roman"/>
          <w:spacing w:val="10"/>
          <w:sz w:val="20"/>
          <w:szCs w:val="20"/>
        </w:rPr>
        <w:t xml:space="preserve">  </w:t>
      </w:r>
      <w:r>
        <w:rPr>
          <w:rFonts w:ascii="Times New Roman" w:hAnsi="Times New Roman" w:eastAsia="Times New Roman" w:cs="Times New Roman"/>
          <w:sz w:val="20"/>
          <w:szCs w:val="20"/>
        </w:rPr>
        <w:t>a</w:t>
      </w:r>
      <w:r>
        <w:rPr>
          <w:rFonts w:ascii="Times New Roman" w:hAnsi="Times New Roman" w:eastAsia="Times New Roman" w:cs="Times New Roman"/>
          <w:spacing w:val="9"/>
          <w:sz w:val="20"/>
          <w:szCs w:val="20"/>
        </w:rPr>
        <w:t xml:space="preserve">  </w:t>
      </w:r>
      <w:r>
        <w:rPr>
          <w:rFonts w:ascii="Times New Roman" w:hAnsi="Times New Roman" w:eastAsia="Times New Roman" w:cs="Times New Roman"/>
          <w:sz w:val="20"/>
          <w:szCs w:val="20"/>
        </w:rPr>
        <w:t>group</w:t>
      </w:r>
      <w:r>
        <w:rPr>
          <w:rFonts w:ascii="Times New Roman" w:hAnsi="Times New Roman" w:eastAsia="Times New Roman" w:cs="Times New Roman"/>
          <w:spacing w:val="10"/>
          <w:sz w:val="20"/>
          <w:szCs w:val="20"/>
        </w:rPr>
        <w:t xml:space="preserve">  </w:t>
      </w:r>
      <w:r>
        <w:rPr>
          <w:rFonts w:ascii="Times New Roman" w:hAnsi="Times New Roman" w:eastAsia="Times New Roman" w:cs="Times New Roman"/>
          <w:sz w:val="20"/>
          <w:szCs w:val="20"/>
        </w:rPr>
        <w:t>of  infectious</w:t>
      </w:r>
      <w:r>
        <w:rPr>
          <w:rFonts w:ascii="Times New Roman" w:hAnsi="Times New Roman" w:eastAsia="Times New Roman" w:cs="Times New Roman"/>
          <w:spacing w:val="9"/>
          <w:sz w:val="20"/>
          <w:szCs w:val="20"/>
        </w:rPr>
        <w:t xml:space="preserve">  </w:t>
      </w:r>
      <w:r>
        <w:rPr>
          <w:rFonts w:ascii="Times New Roman" w:hAnsi="Times New Roman" w:eastAsia="Times New Roman" w:cs="Times New Roman"/>
          <w:sz w:val="20"/>
          <w:szCs w:val="20"/>
        </w:rPr>
        <w:t>diseases  that</w:t>
      </w:r>
      <w:r>
        <w:rPr>
          <w:rFonts w:ascii="Times New Roman" w:hAnsi="Times New Roman" w:eastAsia="Times New Roman" w:cs="Times New Roman"/>
          <w:spacing w:val="6"/>
          <w:sz w:val="20"/>
          <w:szCs w:val="20"/>
        </w:rPr>
        <w:t xml:space="preserve">  </w:t>
      </w:r>
      <w:r>
        <w:rPr>
          <w:rFonts w:ascii="Times New Roman" w:hAnsi="Times New Roman" w:eastAsia="Times New Roman" w:cs="Times New Roman"/>
          <w:sz w:val="20"/>
          <w:szCs w:val="20"/>
        </w:rPr>
        <w:t>primarily</w:t>
      </w:r>
      <w:r>
        <w:rPr>
          <w:rFonts w:ascii="Times New Roman" w:hAnsi="Times New Roman" w:eastAsia="Times New Roman" w:cs="Times New Roman"/>
          <w:spacing w:val="10"/>
          <w:sz w:val="20"/>
          <w:szCs w:val="20"/>
        </w:rPr>
        <w:t xml:space="preserve">  </w:t>
      </w:r>
      <w:r>
        <w:rPr>
          <w:rFonts w:ascii="Times New Roman" w:hAnsi="Times New Roman" w:eastAsia="Times New Roman" w:cs="Times New Roman"/>
          <w:sz w:val="20"/>
          <w:szCs w:val="20"/>
        </w:rPr>
        <w:t>affect</w:t>
      </w:r>
      <w:r>
        <w:rPr>
          <w:rFonts w:ascii="Times New Roman" w:hAnsi="Times New Roman" w:eastAsia="Times New Roman" w:cs="Times New Roman"/>
          <w:spacing w:val="7"/>
          <w:sz w:val="20"/>
          <w:szCs w:val="20"/>
        </w:rPr>
        <w:t xml:space="preserve">  </w:t>
      </w:r>
      <w:r>
        <w:rPr>
          <w:rFonts w:ascii="Times New Roman" w:hAnsi="Times New Roman" w:eastAsia="Times New Roman" w:cs="Times New Roman"/>
          <w:sz w:val="20"/>
          <w:szCs w:val="20"/>
        </w:rPr>
        <w:t>the</w:t>
      </w:r>
      <w:r>
        <w:rPr>
          <w:rFonts w:ascii="Times New Roman" w:hAnsi="Times New Roman" w:eastAsia="Times New Roman" w:cs="Times New Roman"/>
          <w:spacing w:val="9"/>
          <w:sz w:val="20"/>
          <w:szCs w:val="20"/>
        </w:rPr>
        <w:t xml:space="preserve">  </w:t>
      </w:r>
      <w:r>
        <w:rPr>
          <w:rFonts w:ascii="Times New Roman" w:hAnsi="Times New Roman" w:eastAsia="Times New Roman" w:cs="Times New Roman"/>
          <w:sz w:val="20"/>
          <w:szCs w:val="20"/>
        </w:rPr>
        <w:t>liver,caused</w:t>
      </w:r>
      <w:r>
        <w:rPr>
          <w:rFonts w:ascii="Times New Roman" w:hAnsi="Times New Roman" w:eastAsia="Times New Roman" w:cs="Times New Roman"/>
          <w:spacing w:val="6"/>
          <w:sz w:val="20"/>
          <w:szCs w:val="20"/>
        </w:rPr>
        <w:t xml:space="preserve">  </w:t>
      </w:r>
      <w:r>
        <w:rPr>
          <w:rFonts w:ascii="Times New Roman" w:hAnsi="Times New Roman" w:eastAsia="Times New Roman" w:cs="Times New Roman"/>
          <w:sz w:val="20"/>
          <w:szCs w:val="20"/>
        </w:rPr>
        <w:t>by</w:t>
      </w:r>
      <w:r>
        <w:rPr>
          <w:rFonts w:ascii="Times New Roman" w:hAnsi="Times New Roman" w:eastAsia="Times New Roman" w:cs="Times New Roman"/>
          <w:spacing w:val="7"/>
          <w:sz w:val="20"/>
          <w:szCs w:val="20"/>
        </w:rPr>
        <w:t xml:space="preserve">  </w:t>
      </w:r>
      <w:r>
        <w:rPr>
          <w:rFonts w:ascii="Times New Roman" w:hAnsi="Times New Roman" w:eastAsia="Times New Roman" w:cs="Times New Roman"/>
          <w:sz w:val="20"/>
          <w:szCs w:val="20"/>
        </w:rPr>
        <w:t>yario</w:t>
      </w:r>
      <w:r>
        <w:rPr>
          <w:rFonts w:ascii="Times New Roman" w:hAnsi="Times New Roman" w:eastAsia="Times New Roman" w:cs="Times New Roman"/>
          <w:spacing w:val="-1"/>
          <w:sz w:val="20"/>
          <w:szCs w:val="20"/>
        </w:rPr>
        <w:t>us</w:t>
      </w:r>
      <w:r>
        <w:rPr>
          <w:rFonts w:ascii="Times New Roman" w:hAnsi="Times New Roman" w:eastAsia="Times New Roman" w:cs="Times New Roman"/>
          <w:spacing w:val="1"/>
          <w:sz w:val="20"/>
          <w:szCs w:val="20"/>
        </w:rPr>
        <w:t xml:space="preserve"> </w:t>
      </w:r>
      <w:r>
        <w:rPr>
          <w:rFonts w:ascii="Times New Roman" w:hAnsi="Times New Roman" w:eastAsia="Times New Roman" w:cs="Times New Roman"/>
          <w:sz w:val="20"/>
          <w:szCs w:val="20"/>
        </w:rPr>
        <w:t>hepatitis  viruses.It  occurs  worldwide  and  ranks  as</w:t>
      </w:r>
      <w:r>
        <w:rPr>
          <w:rFonts w:ascii="Times New Roman" w:hAnsi="Times New Roman" w:eastAsia="Times New Roman" w:cs="Times New Roman"/>
          <w:spacing w:val="4"/>
          <w:sz w:val="20"/>
          <w:szCs w:val="20"/>
        </w:rPr>
        <w:t xml:space="preserve">  </w:t>
      </w:r>
      <w:r>
        <w:rPr>
          <w:rFonts w:ascii="Times New Roman" w:hAnsi="Times New Roman" w:eastAsia="Times New Roman" w:cs="Times New Roman"/>
          <w:sz w:val="20"/>
          <w:szCs w:val="20"/>
        </w:rPr>
        <w:t>one</w:t>
      </w:r>
      <w:r>
        <w:rPr>
          <w:rFonts w:ascii="Times New Roman" w:hAnsi="Times New Roman" w:eastAsia="Times New Roman" w:cs="Times New Roman"/>
          <w:spacing w:val="5"/>
          <w:sz w:val="20"/>
          <w:szCs w:val="20"/>
        </w:rPr>
        <w:t xml:space="preserve">  </w:t>
      </w:r>
      <w:r>
        <w:rPr>
          <w:rFonts w:ascii="Times New Roman" w:hAnsi="Times New Roman" w:eastAsia="Times New Roman" w:cs="Times New Roman"/>
          <w:sz w:val="20"/>
          <w:szCs w:val="20"/>
        </w:rPr>
        <w:t>of  the  most  important  lethal</w:t>
      </w:r>
      <w:r>
        <w:rPr>
          <w:rFonts w:ascii="Times New Roman" w:hAnsi="Times New Roman" w:eastAsia="Times New Roman" w:cs="Times New Roman"/>
          <w:spacing w:val="4"/>
          <w:sz w:val="20"/>
          <w:szCs w:val="20"/>
        </w:rPr>
        <w:t xml:space="preserve">  </w:t>
      </w:r>
      <w:r>
        <w:rPr>
          <w:rFonts w:ascii="Times New Roman" w:hAnsi="Times New Roman" w:eastAsia="Times New Roman" w:cs="Times New Roman"/>
          <w:sz w:val="20"/>
          <w:szCs w:val="20"/>
        </w:rPr>
        <w:t>in</w:t>
      </w:r>
      <w:r>
        <w:rPr>
          <w:rFonts w:ascii="Times New Roman" w:hAnsi="Times New Roman" w:eastAsia="Times New Roman" w:cs="Times New Roman"/>
          <w:spacing w:val="-1"/>
          <w:sz w:val="20"/>
          <w:szCs w:val="20"/>
        </w:rPr>
        <w:t>fectious</w:t>
      </w:r>
      <w:r>
        <w:rPr>
          <w:rFonts w:ascii="Times New Roman" w:hAnsi="Times New Roman" w:eastAsia="Times New Roman" w:cs="Times New Roman"/>
          <w:spacing w:val="4"/>
          <w:sz w:val="20"/>
          <w:szCs w:val="20"/>
        </w:rPr>
        <w:t xml:space="preserve">  </w:t>
      </w:r>
      <w:r>
        <w:rPr>
          <w:rFonts w:ascii="Times New Roman" w:hAnsi="Times New Roman" w:eastAsia="Times New Roman" w:cs="Times New Roman"/>
          <w:spacing w:val="-1"/>
          <w:sz w:val="20"/>
          <w:szCs w:val="20"/>
        </w:rPr>
        <w:t>diseases</w:t>
      </w:r>
      <w:r>
        <w:rPr>
          <w:rFonts w:ascii="Times New Roman" w:hAnsi="Times New Roman" w:eastAsia="Times New Roman" w:cs="Times New Roman"/>
          <w:sz w:val="20"/>
          <w:szCs w:val="20"/>
        </w:rPr>
        <w:t xml:space="preserve">  </w:t>
      </w:r>
      <w:r>
        <w:rPr>
          <w:rFonts w:ascii="Times New Roman" w:hAnsi="Times New Roman" w:eastAsia="Times New Roman" w:cs="Times New Roman"/>
          <w:spacing w:val="-1"/>
          <w:sz w:val="20"/>
          <w:szCs w:val="20"/>
        </w:rPr>
        <w:t>globally.It</w:t>
      </w:r>
      <w:r>
        <w:rPr>
          <w:rFonts w:ascii="Times New Roman" w:hAnsi="Times New Roman" w:eastAsia="Times New Roman" w:cs="Times New Roman"/>
          <w:spacing w:val="66"/>
          <w:sz w:val="20"/>
          <w:szCs w:val="20"/>
        </w:rPr>
        <w:t xml:space="preserve"> </w:t>
      </w:r>
      <w:r>
        <w:rPr>
          <w:rFonts w:ascii="Times New Roman" w:hAnsi="Times New Roman" w:eastAsia="Times New Roman" w:cs="Times New Roman"/>
          <w:spacing w:val="-1"/>
          <w:sz w:val="20"/>
          <w:szCs w:val="20"/>
        </w:rPr>
        <w:t>is</w:t>
      </w:r>
      <w:r>
        <w:rPr>
          <w:rFonts w:ascii="Times New Roman" w:hAnsi="Times New Roman" w:eastAsia="Times New Roman" w:cs="Times New Roman"/>
          <w:spacing w:val="48"/>
          <w:sz w:val="20"/>
          <w:szCs w:val="20"/>
        </w:rPr>
        <w:t xml:space="preserve"> </w:t>
      </w:r>
      <w:r>
        <w:rPr>
          <w:rFonts w:ascii="Times New Roman" w:hAnsi="Times New Roman" w:eastAsia="Times New Roman" w:cs="Times New Roman"/>
          <w:spacing w:val="-1"/>
          <w:sz w:val="20"/>
          <w:szCs w:val="20"/>
        </w:rPr>
        <w:t>in</w:t>
      </w:r>
      <w:r>
        <w:rPr>
          <w:rFonts w:ascii="Times New Roman" w:hAnsi="Times New Roman" w:eastAsia="Times New Roman" w:cs="Times New Roman"/>
          <w:spacing w:val="44"/>
          <w:sz w:val="20"/>
          <w:szCs w:val="20"/>
        </w:rPr>
        <w:t xml:space="preserve"> </w:t>
      </w:r>
      <w:r>
        <w:rPr>
          <w:rFonts w:ascii="Times New Roman" w:hAnsi="Times New Roman" w:eastAsia="Times New Roman" w:cs="Times New Roman"/>
          <w:spacing w:val="-1"/>
          <w:sz w:val="20"/>
          <w:szCs w:val="20"/>
        </w:rPr>
        <w:t>the  front</w:t>
      </w:r>
      <w:r>
        <w:rPr>
          <w:rFonts w:ascii="Times New Roman" w:hAnsi="Times New Roman" w:eastAsia="Times New Roman" w:cs="Times New Roman"/>
          <w:spacing w:val="42"/>
          <w:w w:val="101"/>
          <w:sz w:val="20"/>
          <w:szCs w:val="20"/>
        </w:rPr>
        <w:t xml:space="preserve"> </w:t>
      </w:r>
      <w:r>
        <w:rPr>
          <w:rFonts w:ascii="Times New Roman" w:hAnsi="Times New Roman" w:eastAsia="Times New Roman" w:cs="Times New Roman"/>
          <w:spacing w:val="-1"/>
          <w:sz w:val="20"/>
          <w:szCs w:val="20"/>
        </w:rPr>
        <w:t>rank</w:t>
      </w:r>
      <w:r>
        <w:rPr>
          <w:rFonts w:ascii="Times New Roman" w:hAnsi="Times New Roman" w:eastAsia="Times New Roman" w:cs="Times New Roman"/>
          <w:spacing w:val="47"/>
          <w:sz w:val="20"/>
          <w:szCs w:val="20"/>
        </w:rPr>
        <w:t xml:space="preserve"> </w:t>
      </w:r>
      <w:r>
        <w:rPr>
          <w:rFonts w:ascii="Times New Roman" w:hAnsi="Times New Roman" w:eastAsia="Times New Roman" w:cs="Times New Roman"/>
          <w:spacing w:val="-1"/>
          <w:sz w:val="20"/>
          <w:szCs w:val="20"/>
        </w:rPr>
        <w:t>in</w:t>
      </w:r>
      <w:r>
        <w:rPr>
          <w:rFonts w:ascii="Times New Roman" w:hAnsi="Times New Roman" w:eastAsia="Times New Roman" w:cs="Times New Roman"/>
          <w:spacing w:val="44"/>
          <w:sz w:val="20"/>
          <w:szCs w:val="20"/>
        </w:rPr>
        <w:t xml:space="preserve"> </w:t>
      </w:r>
      <w:r>
        <w:rPr>
          <w:rFonts w:ascii="Times New Roman" w:hAnsi="Times New Roman" w:eastAsia="Times New Roman" w:cs="Times New Roman"/>
          <w:spacing w:val="-1"/>
          <w:sz w:val="20"/>
          <w:szCs w:val="20"/>
        </w:rPr>
        <w:t>the</w:t>
      </w:r>
      <w:r>
        <w:rPr>
          <w:rFonts w:ascii="Times New Roman" w:hAnsi="Times New Roman" w:eastAsia="Times New Roman" w:cs="Times New Roman"/>
          <w:spacing w:val="43"/>
          <w:sz w:val="20"/>
          <w:szCs w:val="20"/>
        </w:rPr>
        <w:t xml:space="preserve"> </w:t>
      </w:r>
      <w:r>
        <w:rPr>
          <w:rFonts w:ascii="Times New Roman" w:hAnsi="Times New Roman" w:eastAsia="Times New Roman" w:cs="Times New Roman"/>
          <w:spacing w:val="-1"/>
          <w:sz w:val="20"/>
          <w:szCs w:val="20"/>
        </w:rPr>
        <w:t>number</w:t>
      </w:r>
      <w:r>
        <w:rPr>
          <w:rFonts w:ascii="Times New Roman" w:hAnsi="Times New Roman" w:eastAsia="Times New Roman" w:cs="Times New Roman"/>
          <w:spacing w:val="47"/>
          <w:w w:val="101"/>
          <w:sz w:val="20"/>
          <w:szCs w:val="20"/>
        </w:rPr>
        <w:t xml:space="preserve"> </w:t>
      </w:r>
      <w:r>
        <w:rPr>
          <w:rFonts w:ascii="Times New Roman" w:hAnsi="Times New Roman" w:eastAsia="Times New Roman" w:cs="Times New Roman"/>
          <w:spacing w:val="-1"/>
          <w:sz w:val="20"/>
          <w:szCs w:val="20"/>
        </w:rPr>
        <w:t>of</w:t>
      </w:r>
      <w:r>
        <w:rPr>
          <w:rFonts w:ascii="Times New Roman" w:hAnsi="Times New Roman" w:eastAsia="Times New Roman" w:cs="Times New Roman"/>
          <w:spacing w:val="23"/>
          <w:sz w:val="20"/>
          <w:szCs w:val="20"/>
        </w:rPr>
        <w:t xml:space="preserve"> </w:t>
      </w:r>
      <w:r>
        <w:rPr>
          <w:rFonts w:ascii="Times New Roman" w:hAnsi="Times New Roman" w:eastAsia="Times New Roman" w:cs="Times New Roman"/>
          <w:spacing w:val="-1"/>
          <w:sz w:val="20"/>
          <w:szCs w:val="20"/>
        </w:rPr>
        <w:t>reported  cases  and</w:t>
      </w:r>
      <w:r>
        <w:rPr>
          <w:rFonts w:ascii="Times New Roman" w:hAnsi="Times New Roman" w:eastAsia="Times New Roman" w:cs="Times New Roman"/>
          <w:spacing w:val="48"/>
          <w:sz w:val="20"/>
          <w:szCs w:val="20"/>
        </w:rPr>
        <w:t xml:space="preserve"> </w:t>
      </w:r>
      <w:r>
        <w:rPr>
          <w:rFonts w:ascii="Times New Roman" w:hAnsi="Times New Roman" w:eastAsia="Times New Roman" w:cs="Times New Roman"/>
          <w:spacing w:val="-1"/>
          <w:sz w:val="20"/>
          <w:szCs w:val="20"/>
        </w:rPr>
        <w:t>deaths  among  category</w:t>
      </w:r>
      <w:r>
        <w:rPr>
          <w:rFonts w:ascii="Times New Roman" w:hAnsi="Times New Roman" w:eastAsia="Times New Roman" w:cs="Times New Roman"/>
          <w:spacing w:val="45"/>
          <w:w w:val="101"/>
          <w:sz w:val="20"/>
          <w:szCs w:val="20"/>
        </w:rPr>
        <w:t xml:space="preserve"> </w:t>
      </w:r>
      <w:r>
        <w:rPr>
          <w:rFonts w:ascii="Times New Roman" w:hAnsi="Times New Roman" w:eastAsia="Times New Roman" w:cs="Times New Roman"/>
          <w:spacing w:val="-1"/>
          <w:sz w:val="20"/>
          <w:szCs w:val="20"/>
        </w:rPr>
        <w:t>B</w:t>
      </w:r>
      <w:r>
        <w:rPr>
          <w:rFonts w:ascii="Times New Roman" w:hAnsi="Times New Roman" w:eastAsia="Times New Roman" w:cs="Times New Roman"/>
          <w:spacing w:val="48"/>
          <w:sz w:val="20"/>
          <w:szCs w:val="20"/>
        </w:rPr>
        <w:t xml:space="preserve"> </w:t>
      </w:r>
      <w:r>
        <w:rPr>
          <w:rFonts w:ascii="Times New Roman" w:hAnsi="Times New Roman" w:eastAsia="Times New Roman" w:cs="Times New Roman"/>
          <w:spacing w:val="-1"/>
          <w:sz w:val="20"/>
          <w:szCs w:val="20"/>
        </w:rPr>
        <w:t>infectious</w:t>
      </w:r>
      <w:r>
        <w:rPr>
          <w:rFonts w:ascii="Times New Roman" w:hAnsi="Times New Roman" w:eastAsia="Times New Roman" w:cs="Times New Roman"/>
          <w:sz w:val="20"/>
          <w:szCs w:val="20"/>
        </w:rPr>
        <w:t xml:space="preserve"> diseases  in  China,posing  a  significant  public  health  issue  both</w:t>
      </w:r>
      <w:r>
        <w:rPr>
          <w:rFonts w:ascii="Times New Roman" w:hAnsi="Times New Roman" w:eastAsia="Times New Roman" w:cs="Times New Roman"/>
          <w:spacing w:val="3"/>
          <w:sz w:val="20"/>
          <w:szCs w:val="20"/>
        </w:rPr>
        <w:t xml:space="preserve">  </w:t>
      </w:r>
      <w:r>
        <w:rPr>
          <w:rFonts w:ascii="Times New Roman" w:hAnsi="Times New Roman" w:eastAsia="Times New Roman" w:cs="Times New Roman"/>
          <w:sz w:val="20"/>
          <w:szCs w:val="20"/>
        </w:rPr>
        <w:t>globally</w:t>
      </w:r>
      <w:r>
        <w:rPr>
          <w:rFonts w:ascii="Times New Roman" w:hAnsi="Times New Roman" w:eastAsia="Times New Roman" w:cs="Times New Roman"/>
          <w:spacing w:val="4"/>
          <w:sz w:val="20"/>
          <w:szCs w:val="20"/>
        </w:rPr>
        <w:t xml:space="preserve">  </w:t>
      </w:r>
      <w:r>
        <w:rPr>
          <w:rFonts w:ascii="Times New Roman" w:hAnsi="Times New Roman" w:eastAsia="Times New Roman" w:cs="Times New Roman"/>
          <w:sz w:val="20"/>
          <w:szCs w:val="20"/>
        </w:rPr>
        <w:t>an</w:t>
      </w:r>
      <w:r>
        <w:rPr>
          <w:rFonts w:ascii="Times New Roman" w:hAnsi="Times New Roman" w:eastAsia="Times New Roman" w:cs="Times New Roman"/>
          <w:spacing w:val="-1"/>
          <w:sz w:val="20"/>
          <w:szCs w:val="20"/>
        </w:rPr>
        <w:t>d</w:t>
      </w:r>
      <w:r>
        <w:rPr>
          <w:rFonts w:ascii="Times New Roman" w:hAnsi="Times New Roman" w:eastAsia="Times New Roman" w:cs="Times New Roman"/>
          <w:spacing w:val="3"/>
          <w:sz w:val="20"/>
          <w:szCs w:val="20"/>
        </w:rPr>
        <w:t xml:space="preserve">  </w:t>
      </w:r>
      <w:r>
        <w:rPr>
          <w:rFonts w:ascii="Times New Roman" w:hAnsi="Times New Roman" w:eastAsia="Times New Roman" w:cs="Times New Roman"/>
          <w:spacing w:val="-1"/>
          <w:sz w:val="20"/>
          <w:szCs w:val="20"/>
        </w:rPr>
        <w:t>domestically.Currently,there</w:t>
      </w:r>
      <w:r>
        <w:rPr>
          <w:rFonts w:ascii="Times New Roman" w:hAnsi="Times New Roman" w:eastAsia="Times New Roman" w:cs="Times New Roman"/>
          <w:spacing w:val="1"/>
          <w:sz w:val="20"/>
          <w:szCs w:val="20"/>
        </w:rPr>
        <w:t xml:space="preserve"> </w:t>
      </w:r>
      <w:r>
        <w:rPr>
          <w:rFonts w:ascii="Times New Roman" w:hAnsi="Times New Roman" w:eastAsia="Times New Roman" w:cs="Times New Roman"/>
          <w:sz w:val="20"/>
          <w:szCs w:val="20"/>
        </w:rPr>
        <w:t>are  five  identified  hepatitis</w:t>
      </w:r>
      <w:r>
        <w:rPr>
          <w:rFonts w:ascii="Times New Roman" w:hAnsi="Times New Roman" w:eastAsia="Times New Roman" w:cs="Times New Roman"/>
          <w:spacing w:val="6"/>
          <w:sz w:val="20"/>
          <w:szCs w:val="20"/>
        </w:rPr>
        <w:t xml:space="preserve">  </w:t>
      </w:r>
      <w:r>
        <w:rPr>
          <w:rFonts w:ascii="Times New Roman" w:hAnsi="Times New Roman" w:eastAsia="Times New Roman" w:cs="Times New Roman"/>
          <w:sz w:val="20"/>
          <w:szCs w:val="20"/>
        </w:rPr>
        <w:t>viruses</w:t>
      </w:r>
      <w:r>
        <w:rPr>
          <w:rFonts w:ascii="Times New Roman" w:hAnsi="Times New Roman" w:eastAsia="Times New Roman" w:cs="Times New Roman"/>
          <w:spacing w:val="5"/>
          <w:sz w:val="20"/>
          <w:szCs w:val="20"/>
        </w:rPr>
        <w:t xml:space="preserve">  </w:t>
      </w:r>
      <w:r>
        <w:rPr>
          <w:rFonts w:ascii="Times New Roman" w:hAnsi="Times New Roman" w:eastAsia="Times New Roman" w:cs="Times New Roman"/>
          <w:sz w:val="20"/>
          <w:szCs w:val="20"/>
        </w:rPr>
        <w:t>known</w:t>
      </w:r>
      <w:r>
        <w:rPr>
          <w:rFonts w:ascii="Times New Roman" w:hAnsi="Times New Roman" w:eastAsia="Times New Roman" w:cs="Times New Roman"/>
          <w:spacing w:val="9"/>
          <w:sz w:val="20"/>
          <w:szCs w:val="20"/>
        </w:rPr>
        <w:t xml:space="preserve">  </w:t>
      </w:r>
      <w:r>
        <w:rPr>
          <w:rFonts w:ascii="Times New Roman" w:hAnsi="Times New Roman" w:eastAsia="Times New Roman" w:cs="Times New Roman"/>
          <w:sz w:val="20"/>
          <w:szCs w:val="20"/>
        </w:rPr>
        <w:t>as</w:t>
      </w:r>
      <w:r>
        <w:rPr>
          <w:rFonts w:ascii="Times New Roman" w:hAnsi="Times New Roman" w:eastAsia="Times New Roman" w:cs="Times New Roman"/>
          <w:spacing w:val="5"/>
          <w:sz w:val="20"/>
          <w:szCs w:val="20"/>
        </w:rPr>
        <w:t xml:space="preserve">  </w:t>
      </w:r>
      <w:r>
        <w:rPr>
          <w:rFonts w:ascii="Times New Roman" w:hAnsi="Times New Roman" w:eastAsia="Times New Roman" w:cs="Times New Roman"/>
          <w:sz w:val="20"/>
          <w:szCs w:val="20"/>
        </w:rPr>
        <w:t>A,B,C,D,and</w:t>
      </w:r>
      <w:r>
        <w:rPr>
          <w:rFonts w:ascii="Times New Roman" w:hAnsi="Times New Roman" w:eastAsia="Times New Roman" w:cs="Times New Roman"/>
          <w:spacing w:val="7"/>
          <w:sz w:val="20"/>
          <w:szCs w:val="20"/>
        </w:rPr>
        <w:t xml:space="preserve">  </w:t>
      </w:r>
      <w:r>
        <w:rPr>
          <w:rFonts w:ascii="Times New Roman" w:hAnsi="Times New Roman" w:eastAsia="Times New Roman" w:cs="Times New Roman"/>
          <w:sz w:val="20"/>
          <w:szCs w:val="20"/>
        </w:rPr>
        <w:t>E,each</w:t>
      </w:r>
      <w:r>
        <w:rPr>
          <w:rFonts w:ascii="Times New Roman" w:hAnsi="Times New Roman" w:eastAsia="Times New Roman" w:cs="Times New Roman"/>
          <w:spacing w:val="8"/>
          <w:sz w:val="20"/>
          <w:szCs w:val="20"/>
        </w:rPr>
        <w:t xml:space="preserve">  </w:t>
      </w:r>
      <w:r>
        <w:rPr>
          <w:rFonts w:ascii="Times New Roman" w:hAnsi="Times New Roman" w:eastAsia="Times New Roman" w:cs="Times New Roman"/>
          <w:sz w:val="20"/>
          <w:szCs w:val="20"/>
        </w:rPr>
        <w:t>of  which</w:t>
      </w:r>
      <w:r>
        <w:rPr>
          <w:rFonts w:ascii="Times New Roman" w:hAnsi="Times New Roman" w:eastAsia="Times New Roman" w:cs="Times New Roman"/>
          <w:spacing w:val="8"/>
          <w:sz w:val="20"/>
          <w:szCs w:val="20"/>
        </w:rPr>
        <w:t xml:space="preserve">  </w:t>
      </w:r>
      <w:r>
        <w:rPr>
          <w:rFonts w:ascii="Times New Roman" w:hAnsi="Times New Roman" w:eastAsia="Times New Roman" w:cs="Times New Roman"/>
          <w:sz w:val="20"/>
          <w:szCs w:val="20"/>
        </w:rPr>
        <w:t>causes  hepatitis</w:t>
      </w:r>
      <w:r>
        <w:rPr>
          <w:rFonts w:ascii="Times New Roman" w:hAnsi="Times New Roman" w:eastAsia="Times New Roman" w:cs="Times New Roman"/>
          <w:spacing w:val="6"/>
          <w:sz w:val="20"/>
          <w:szCs w:val="20"/>
        </w:rPr>
        <w:t xml:space="preserve">  </w:t>
      </w:r>
      <w:r>
        <w:rPr>
          <w:rFonts w:ascii="Times New Roman" w:hAnsi="Times New Roman" w:eastAsia="Times New Roman" w:cs="Times New Roman"/>
          <w:sz w:val="20"/>
          <w:szCs w:val="20"/>
        </w:rPr>
        <w:t>A,B,C,D, and</w:t>
      </w:r>
      <w:r>
        <w:rPr>
          <w:rFonts w:ascii="Times New Roman" w:hAnsi="Times New Roman" w:eastAsia="Times New Roman" w:cs="Times New Roman"/>
          <w:spacing w:val="33"/>
          <w:sz w:val="20"/>
          <w:szCs w:val="20"/>
        </w:rPr>
        <w:t xml:space="preserve"> </w:t>
      </w:r>
      <w:r>
        <w:rPr>
          <w:rFonts w:ascii="Times New Roman" w:hAnsi="Times New Roman" w:eastAsia="Times New Roman" w:cs="Times New Roman"/>
          <w:sz w:val="20"/>
          <w:szCs w:val="20"/>
        </w:rPr>
        <w:t>E,respectively.Patient</w:t>
      </w:r>
      <w:r>
        <w:rPr>
          <w:rFonts w:ascii="Times New Roman" w:hAnsi="Times New Roman" w:eastAsia="Times New Roman" w:cs="Times New Roman"/>
          <w:spacing w:val="-1"/>
          <w:sz w:val="20"/>
          <w:szCs w:val="20"/>
        </w:rPr>
        <w:t>s</w:t>
      </w:r>
      <w:r>
        <w:rPr>
          <w:rFonts w:ascii="Times New Roman" w:hAnsi="Times New Roman" w:eastAsia="Times New Roman" w:cs="Times New Roman"/>
          <w:spacing w:val="29"/>
          <w:w w:val="101"/>
          <w:sz w:val="20"/>
          <w:szCs w:val="20"/>
        </w:rPr>
        <w:t xml:space="preserve"> </w:t>
      </w:r>
      <w:r>
        <w:rPr>
          <w:rFonts w:ascii="Times New Roman" w:hAnsi="Times New Roman" w:eastAsia="Times New Roman" w:cs="Times New Roman"/>
          <w:spacing w:val="-1"/>
          <w:sz w:val="20"/>
          <w:szCs w:val="20"/>
        </w:rPr>
        <w:t>with</w:t>
      </w:r>
      <w:r>
        <w:rPr>
          <w:rFonts w:ascii="Times New Roman" w:hAnsi="Times New Roman" w:eastAsia="Times New Roman" w:cs="Times New Roman"/>
          <w:spacing w:val="30"/>
          <w:sz w:val="20"/>
          <w:szCs w:val="20"/>
        </w:rPr>
        <w:t xml:space="preserve"> </w:t>
      </w:r>
      <w:r>
        <w:rPr>
          <w:rFonts w:ascii="Times New Roman" w:hAnsi="Times New Roman" w:eastAsia="Times New Roman" w:cs="Times New Roman"/>
          <w:spacing w:val="-1"/>
          <w:sz w:val="20"/>
          <w:szCs w:val="20"/>
        </w:rPr>
        <w:t>viral</w:t>
      </w:r>
      <w:r>
        <w:rPr>
          <w:rFonts w:ascii="Times New Roman" w:hAnsi="Times New Roman" w:eastAsia="Times New Roman" w:cs="Times New Roman"/>
          <w:spacing w:val="30"/>
          <w:sz w:val="20"/>
          <w:szCs w:val="20"/>
        </w:rPr>
        <w:t xml:space="preserve"> </w:t>
      </w:r>
      <w:r>
        <w:rPr>
          <w:rFonts w:ascii="Times New Roman" w:hAnsi="Times New Roman" w:eastAsia="Times New Roman" w:cs="Times New Roman"/>
          <w:spacing w:val="-1"/>
          <w:sz w:val="20"/>
          <w:szCs w:val="20"/>
        </w:rPr>
        <w:t>hepatitis</w:t>
      </w:r>
      <w:r>
        <w:rPr>
          <w:rFonts w:ascii="Times New Roman" w:hAnsi="Times New Roman" w:eastAsia="Times New Roman" w:cs="Times New Roman"/>
          <w:spacing w:val="38"/>
          <w:sz w:val="20"/>
          <w:szCs w:val="20"/>
        </w:rPr>
        <w:t xml:space="preserve"> </w:t>
      </w:r>
      <w:r>
        <w:rPr>
          <w:rFonts w:ascii="Times New Roman" w:hAnsi="Times New Roman" w:eastAsia="Times New Roman" w:cs="Times New Roman"/>
          <w:spacing w:val="-1"/>
          <w:sz w:val="20"/>
          <w:szCs w:val="20"/>
        </w:rPr>
        <w:t>serve</w:t>
      </w:r>
      <w:r>
        <w:rPr>
          <w:rFonts w:ascii="Times New Roman" w:hAnsi="Times New Roman" w:eastAsia="Times New Roman" w:cs="Times New Roman"/>
          <w:spacing w:val="36"/>
          <w:sz w:val="20"/>
          <w:szCs w:val="20"/>
        </w:rPr>
        <w:t xml:space="preserve"> </w:t>
      </w:r>
      <w:r>
        <w:rPr>
          <w:rFonts w:ascii="Times New Roman" w:hAnsi="Times New Roman" w:eastAsia="Times New Roman" w:cs="Times New Roman"/>
          <w:spacing w:val="-1"/>
          <w:sz w:val="20"/>
          <w:szCs w:val="20"/>
        </w:rPr>
        <w:t>as</w:t>
      </w:r>
      <w:r>
        <w:rPr>
          <w:rFonts w:ascii="Times New Roman" w:hAnsi="Times New Roman" w:eastAsia="Times New Roman" w:cs="Times New Roman"/>
          <w:spacing w:val="30"/>
          <w:w w:val="101"/>
          <w:sz w:val="20"/>
          <w:szCs w:val="20"/>
        </w:rPr>
        <w:t xml:space="preserve"> </w:t>
      </w:r>
      <w:r>
        <w:rPr>
          <w:rFonts w:ascii="Times New Roman" w:hAnsi="Times New Roman" w:eastAsia="Times New Roman" w:cs="Times New Roman"/>
          <w:spacing w:val="-1"/>
          <w:sz w:val="20"/>
          <w:szCs w:val="20"/>
        </w:rPr>
        <w:t>the</w:t>
      </w:r>
      <w:r>
        <w:rPr>
          <w:rFonts w:ascii="Times New Roman" w:hAnsi="Times New Roman" w:eastAsia="Times New Roman" w:cs="Times New Roman"/>
          <w:spacing w:val="30"/>
          <w:sz w:val="20"/>
          <w:szCs w:val="20"/>
        </w:rPr>
        <w:t xml:space="preserve"> </w:t>
      </w:r>
      <w:r>
        <w:rPr>
          <w:rFonts w:ascii="Times New Roman" w:hAnsi="Times New Roman" w:eastAsia="Times New Roman" w:cs="Times New Roman"/>
          <w:spacing w:val="-1"/>
          <w:sz w:val="20"/>
          <w:szCs w:val="20"/>
        </w:rPr>
        <w:t>main</w:t>
      </w:r>
      <w:r>
        <w:rPr>
          <w:rFonts w:ascii="Times New Roman" w:hAnsi="Times New Roman" w:eastAsia="Times New Roman" w:cs="Times New Roman"/>
          <w:spacing w:val="38"/>
          <w:sz w:val="20"/>
          <w:szCs w:val="20"/>
        </w:rPr>
        <w:t xml:space="preserve"> </w:t>
      </w:r>
      <w:r>
        <w:rPr>
          <w:rFonts w:ascii="Times New Roman" w:hAnsi="Times New Roman" w:eastAsia="Times New Roman" w:cs="Times New Roman"/>
          <w:spacing w:val="-1"/>
          <w:sz w:val="20"/>
          <w:szCs w:val="20"/>
        </w:rPr>
        <w:t>source</w:t>
      </w:r>
      <w:r>
        <w:rPr>
          <w:rFonts w:ascii="Times New Roman" w:hAnsi="Times New Roman" w:eastAsia="Times New Roman" w:cs="Times New Roman"/>
          <w:spacing w:val="35"/>
          <w:w w:val="101"/>
          <w:sz w:val="20"/>
          <w:szCs w:val="20"/>
        </w:rPr>
        <w:t xml:space="preserve"> </w:t>
      </w:r>
      <w:r>
        <w:rPr>
          <w:rFonts w:ascii="Times New Roman" w:hAnsi="Times New Roman" w:eastAsia="Times New Roman" w:cs="Times New Roman"/>
          <w:spacing w:val="-1"/>
          <w:sz w:val="20"/>
          <w:szCs w:val="20"/>
        </w:rPr>
        <w:t>of</w:t>
      </w:r>
      <w:r>
        <w:rPr>
          <w:rFonts w:ascii="Times New Roman" w:hAnsi="Times New Roman" w:eastAsia="Times New Roman" w:cs="Times New Roman"/>
          <w:spacing w:val="14"/>
          <w:sz w:val="20"/>
          <w:szCs w:val="20"/>
        </w:rPr>
        <w:t xml:space="preserve"> </w:t>
      </w:r>
      <w:r>
        <w:rPr>
          <w:rFonts w:ascii="Times New Roman" w:hAnsi="Times New Roman" w:eastAsia="Times New Roman" w:cs="Times New Roman"/>
          <w:spacing w:val="-1"/>
          <w:sz w:val="20"/>
          <w:szCs w:val="20"/>
        </w:rPr>
        <w:t>infection.Hepatitis</w:t>
      </w:r>
      <w:r>
        <w:rPr>
          <w:rFonts w:ascii="Times New Roman" w:hAnsi="Times New Roman" w:eastAsia="Times New Roman" w:cs="Times New Roman"/>
          <w:spacing w:val="30"/>
          <w:sz w:val="20"/>
          <w:szCs w:val="20"/>
        </w:rPr>
        <w:t xml:space="preserve"> </w:t>
      </w:r>
      <w:r>
        <w:rPr>
          <w:rFonts w:ascii="Times New Roman" w:hAnsi="Times New Roman" w:eastAsia="Times New Roman" w:cs="Times New Roman"/>
          <w:spacing w:val="-1"/>
          <w:sz w:val="20"/>
          <w:szCs w:val="20"/>
        </w:rPr>
        <w:t>A</w:t>
      </w:r>
      <w:r>
        <w:rPr>
          <w:rFonts w:ascii="Times New Roman" w:hAnsi="Times New Roman" w:eastAsia="Times New Roman" w:cs="Times New Roman"/>
          <w:spacing w:val="35"/>
          <w:w w:val="101"/>
          <w:sz w:val="20"/>
          <w:szCs w:val="20"/>
        </w:rPr>
        <w:t xml:space="preserve"> </w:t>
      </w:r>
      <w:r>
        <w:rPr>
          <w:rFonts w:ascii="Times New Roman" w:hAnsi="Times New Roman" w:eastAsia="Times New Roman" w:cs="Times New Roman"/>
          <w:spacing w:val="-1"/>
          <w:sz w:val="20"/>
          <w:szCs w:val="20"/>
        </w:rPr>
        <w:t>and</w:t>
      </w:r>
      <w:r>
        <w:rPr>
          <w:rFonts w:ascii="Times New Roman" w:hAnsi="Times New Roman" w:eastAsia="Times New Roman" w:cs="Times New Roman"/>
          <w:spacing w:val="32"/>
          <w:w w:val="101"/>
          <w:sz w:val="20"/>
          <w:szCs w:val="20"/>
        </w:rPr>
        <w:t xml:space="preserve"> </w:t>
      </w:r>
      <w:r>
        <w:rPr>
          <w:rFonts w:ascii="Times New Roman" w:hAnsi="Times New Roman" w:eastAsia="Times New Roman" w:cs="Times New Roman"/>
          <w:spacing w:val="-1"/>
          <w:sz w:val="20"/>
          <w:szCs w:val="20"/>
        </w:rPr>
        <w:t>E</w:t>
      </w:r>
      <w:r>
        <w:rPr>
          <w:rFonts w:ascii="Times New Roman" w:hAnsi="Times New Roman" w:eastAsia="Times New Roman" w:cs="Times New Roman"/>
          <w:spacing w:val="35"/>
          <w:w w:val="101"/>
          <w:sz w:val="20"/>
          <w:szCs w:val="20"/>
        </w:rPr>
        <w:t xml:space="preserve"> </w:t>
      </w:r>
      <w:r>
        <w:rPr>
          <w:rFonts w:ascii="Times New Roman" w:hAnsi="Times New Roman" w:eastAsia="Times New Roman" w:cs="Times New Roman"/>
          <w:spacing w:val="-1"/>
          <w:sz w:val="20"/>
          <w:szCs w:val="20"/>
        </w:rPr>
        <w:t>are</w:t>
      </w:r>
      <w:r>
        <w:rPr>
          <w:rFonts w:ascii="Times New Roman" w:hAnsi="Times New Roman" w:eastAsia="Times New Roman" w:cs="Times New Roman"/>
          <w:sz w:val="20"/>
          <w:szCs w:val="20"/>
        </w:rPr>
        <w:t xml:space="preserve"> infectious  diseases  mainly  transmitted  through  the  digestive</w:t>
      </w:r>
      <w:r>
        <w:rPr>
          <w:rFonts w:ascii="Times New Roman" w:hAnsi="Times New Roman" w:eastAsia="Times New Roman" w:cs="Times New Roman"/>
          <w:spacing w:val="3"/>
          <w:sz w:val="20"/>
          <w:szCs w:val="20"/>
        </w:rPr>
        <w:t xml:space="preserve">  </w:t>
      </w:r>
      <w:r>
        <w:rPr>
          <w:rFonts w:ascii="Times New Roman" w:hAnsi="Times New Roman" w:eastAsia="Times New Roman" w:cs="Times New Roman"/>
          <w:sz w:val="20"/>
          <w:szCs w:val="20"/>
        </w:rPr>
        <w:t>tract.Hepatitis</w:t>
      </w:r>
      <w:r>
        <w:rPr>
          <w:rFonts w:ascii="Times New Roman" w:hAnsi="Times New Roman" w:eastAsia="Times New Roman" w:cs="Times New Roman"/>
          <w:spacing w:val="3"/>
          <w:sz w:val="20"/>
          <w:szCs w:val="20"/>
        </w:rPr>
        <w:t xml:space="preserve">  </w:t>
      </w:r>
      <w:r>
        <w:rPr>
          <w:rFonts w:ascii="Times New Roman" w:hAnsi="Times New Roman" w:eastAsia="Times New Roman" w:cs="Times New Roman"/>
          <w:sz w:val="20"/>
          <w:szCs w:val="20"/>
        </w:rPr>
        <w:t>B,C,and</w:t>
      </w:r>
      <w:r>
        <w:rPr>
          <w:rFonts w:ascii="Times New Roman" w:hAnsi="Times New Roman" w:eastAsia="Times New Roman" w:cs="Times New Roman"/>
          <w:spacing w:val="4"/>
          <w:sz w:val="20"/>
          <w:szCs w:val="20"/>
        </w:rPr>
        <w:t xml:space="preserve">  </w:t>
      </w:r>
      <w:r>
        <w:rPr>
          <w:rFonts w:ascii="Times New Roman" w:hAnsi="Times New Roman" w:eastAsia="Times New Roman" w:cs="Times New Roman"/>
          <w:sz w:val="20"/>
          <w:szCs w:val="20"/>
        </w:rPr>
        <w:t>D</w:t>
      </w:r>
      <w:r>
        <w:rPr>
          <w:rFonts w:ascii="Times New Roman" w:hAnsi="Times New Roman" w:eastAsia="Times New Roman" w:cs="Times New Roman"/>
          <w:spacing w:val="5"/>
          <w:sz w:val="20"/>
          <w:szCs w:val="20"/>
        </w:rPr>
        <w:t xml:space="preserve">  </w:t>
      </w:r>
      <w:r>
        <w:rPr>
          <w:rFonts w:ascii="Times New Roman" w:hAnsi="Times New Roman" w:eastAsia="Times New Roman" w:cs="Times New Roman"/>
          <w:sz w:val="20"/>
          <w:szCs w:val="20"/>
        </w:rPr>
        <w:t>are</w:t>
      </w:r>
      <w:r>
        <w:rPr>
          <w:rFonts w:ascii="Times New Roman" w:hAnsi="Times New Roman" w:eastAsia="Times New Roman" w:cs="Times New Roman"/>
          <w:spacing w:val="3"/>
          <w:sz w:val="20"/>
          <w:szCs w:val="20"/>
        </w:rPr>
        <w:t xml:space="preserve">  </w:t>
      </w:r>
      <w:r>
        <w:rPr>
          <w:rFonts w:ascii="Times New Roman" w:hAnsi="Times New Roman" w:eastAsia="Times New Roman" w:cs="Times New Roman"/>
          <w:sz w:val="20"/>
          <w:szCs w:val="20"/>
        </w:rPr>
        <w:t>non</w:t>
      </w:r>
      <w:r>
        <w:rPr>
          <w:rFonts w:ascii="Times New Roman" w:hAnsi="Times New Roman" w:eastAsia="Times New Roman" w:cs="Times New Roman"/>
          <w:spacing w:val="-1"/>
          <w:sz w:val="20"/>
          <w:szCs w:val="20"/>
        </w:rPr>
        <w:t>-digestive</w:t>
      </w:r>
      <w:r>
        <w:rPr>
          <w:rFonts w:ascii="Times New Roman" w:hAnsi="Times New Roman" w:eastAsia="Times New Roman" w:cs="Times New Roman"/>
          <w:sz w:val="20"/>
          <w:szCs w:val="20"/>
        </w:rPr>
        <w:t xml:space="preserve"> tract</w:t>
      </w:r>
      <w:r>
        <w:rPr>
          <w:rFonts w:ascii="Times New Roman" w:hAnsi="Times New Roman" w:eastAsia="Times New Roman" w:cs="Times New Roman"/>
          <w:spacing w:val="33"/>
          <w:sz w:val="20"/>
          <w:szCs w:val="20"/>
        </w:rPr>
        <w:t xml:space="preserve"> </w:t>
      </w:r>
      <w:r>
        <w:rPr>
          <w:rFonts w:ascii="Times New Roman" w:hAnsi="Times New Roman" w:eastAsia="Times New Roman" w:cs="Times New Roman"/>
          <w:sz w:val="20"/>
          <w:szCs w:val="20"/>
        </w:rPr>
        <w:t>infectious</w:t>
      </w:r>
      <w:r>
        <w:rPr>
          <w:rFonts w:ascii="Times New Roman" w:hAnsi="Times New Roman" w:eastAsia="Times New Roman" w:cs="Times New Roman"/>
          <w:spacing w:val="34"/>
          <w:sz w:val="20"/>
          <w:szCs w:val="20"/>
        </w:rPr>
        <w:t xml:space="preserve"> </w:t>
      </w:r>
      <w:r>
        <w:rPr>
          <w:rFonts w:ascii="Times New Roman" w:hAnsi="Times New Roman" w:eastAsia="Times New Roman" w:cs="Times New Roman"/>
          <w:sz w:val="20"/>
          <w:szCs w:val="20"/>
        </w:rPr>
        <w:t>diseases</w:t>
      </w:r>
      <w:r>
        <w:rPr>
          <w:rFonts w:ascii="Times New Roman" w:hAnsi="Times New Roman" w:eastAsia="Times New Roman" w:cs="Times New Roman"/>
          <w:spacing w:val="29"/>
          <w:sz w:val="20"/>
          <w:szCs w:val="20"/>
        </w:rPr>
        <w:t xml:space="preserve"> </w:t>
      </w:r>
      <w:r>
        <w:rPr>
          <w:rFonts w:ascii="Times New Roman" w:hAnsi="Times New Roman" w:eastAsia="Times New Roman" w:cs="Times New Roman"/>
          <w:sz w:val="20"/>
          <w:szCs w:val="20"/>
        </w:rPr>
        <w:t>mainly</w:t>
      </w:r>
      <w:r>
        <w:rPr>
          <w:rFonts w:ascii="Times New Roman" w:hAnsi="Times New Roman" w:eastAsia="Times New Roman" w:cs="Times New Roman"/>
          <w:spacing w:val="29"/>
          <w:w w:val="101"/>
          <w:sz w:val="20"/>
          <w:szCs w:val="20"/>
        </w:rPr>
        <w:t xml:space="preserve"> </w:t>
      </w:r>
      <w:r>
        <w:rPr>
          <w:rFonts w:ascii="Times New Roman" w:hAnsi="Times New Roman" w:eastAsia="Times New Roman" w:cs="Times New Roman"/>
          <w:sz w:val="20"/>
          <w:szCs w:val="20"/>
        </w:rPr>
        <w:t>transmitted</w:t>
      </w:r>
      <w:r>
        <w:rPr>
          <w:rFonts w:ascii="Times New Roman" w:hAnsi="Times New Roman" w:eastAsia="Times New Roman" w:cs="Times New Roman"/>
          <w:spacing w:val="29"/>
          <w:sz w:val="20"/>
          <w:szCs w:val="20"/>
        </w:rPr>
        <w:t xml:space="preserve"> </w:t>
      </w:r>
      <w:r>
        <w:rPr>
          <w:rFonts w:ascii="Times New Roman" w:hAnsi="Times New Roman" w:eastAsia="Times New Roman" w:cs="Times New Roman"/>
          <w:sz w:val="20"/>
          <w:szCs w:val="20"/>
        </w:rPr>
        <w:t>through</w:t>
      </w:r>
      <w:r>
        <w:rPr>
          <w:rFonts w:ascii="Times New Roman" w:hAnsi="Times New Roman" w:eastAsia="Times New Roman" w:cs="Times New Roman"/>
          <w:spacing w:val="27"/>
          <w:sz w:val="20"/>
          <w:szCs w:val="20"/>
        </w:rPr>
        <w:t xml:space="preserve"> </w:t>
      </w:r>
      <w:r>
        <w:rPr>
          <w:rFonts w:ascii="Times New Roman" w:hAnsi="Times New Roman" w:eastAsia="Times New Roman" w:cs="Times New Roman"/>
          <w:spacing w:val="-1"/>
          <w:sz w:val="20"/>
          <w:szCs w:val="20"/>
        </w:rPr>
        <w:t>blood.Individuals</w:t>
      </w:r>
      <w:r>
        <w:rPr>
          <w:rFonts w:ascii="Times New Roman" w:hAnsi="Times New Roman" w:eastAsia="Times New Roman" w:cs="Times New Roman"/>
          <w:spacing w:val="33"/>
          <w:w w:val="101"/>
          <w:sz w:val="20"/>
          <w:szCs w:val="20"/>
        </w:rPr>
        <w:t xml:space="preserve"> </w:t>
      </w:r>
      <w:r>
        <w:rPr>
          <w:rFonts w:ascii="Times New Roman" w:hAnsi="Times New Roman" w:eastAsia="Times New Roman" w:cs="Times New Roman"/>
          <w:spacing w:val="-1"/>
          <w:sz w:val="20"/>
          <w:szCs w:val="20"/>
        </w:rPr>
        <w:t>lacking</w:t>
      </w:r>
      <w:r>
        <w:rPr>
          <w:rFonts w:ascii="Times New Roman" w:hAnsi="Times New Roman" w:eastAsia="Times New Roman" w:cs="Times New Roman"/>
          <w:spacing w:val="37"/>
          <w:sz w:val="20"/>
          <w:szCs w:val="20"/>
        </w:rPr>
        <w:t xml:space="preserve"> </w:t>
      </w:r>
      <w:r>
        <w:rPr>
          <w:rFonts w:ascii="Times New Roman" w:hAnsi="Times New Roman" w:eastAsia="Times New Roman" w:cs="Times New Roman"/>
          <w:spacing w:val="-1"/>
          <w:sz w:val="20"/>
          <w:szCs w:val="20"/>
        </w:rPr>
        <w:t>specific</w:t>
      </w:r>
      <w:r>
        <w:rPr>
          <w:rFonts w:ascii="Times New Roman" w:hAnsi="Times New Roman" w:eastAsia="Times New Roman" w:cs="Times New Roman"/>
          <w:spacing w:val="27"/>
          <w:sz w:val="20"/>
          <w:szCs w:val="20"/>
        </w:rPr>
        <w:t xml:space="preserve"> </w:t>
      </w:r>
      <w:r>
        <w:rPr>
          <w:rFonts w:ascii="Times New Roman" w:hAnsi="Times New Roman" w:eastAsia="Times New Roman" w:cs="Times New Roman"/>
          <w:spacing w:val="-1"/>
          <w:sz w:val="20"/>
          <w:szCs w:val="20"/>
        </w:rPr>
        <w:t>protective</w:t>
      </w:r>
      <w:r>
        <w:rPr>
          <w:rFonts w:ascii="Times New Roman" w:hAnsi="Times New Roman" w:eastAsia="Times New Roman" w:cs="Times New Roman"/>
          <w:spacing w:val="34"/>
          <w:w w:val="101"/>
          <w:sz w:val="20"/>
          <w:szCs w:val="20"/>
        </w:rPr>
        <w:t xml:space="preserve"> </w:t>
      </w:r>
      <w:r>
        <w:rPr>
          <w:rFonts w:ascii="Times New Roman" w:hAnsi="Times New Roman" w:eastAsia="Times New Roman" w:cs="Times New Roman"/>
          <w:spacing w:val="-1"/>
          <w:sz w:val="20"/>
          <w:szCs w:val="20"/>
        </w:rPr>
        <w:t>antibodies</w:t>
      </w:r>
      <w:r>
        <w:rPr>
          <w:rFonts w:ascii="Times New Roman" w:hAnsi="Times New Roman" w:eastAsia="Times New Roman" w:cs="Times New Roman"/>
          <w:sz w:val="20"/>
          <w:szCs w:val="20"/>
        </w:rPr>
        <w:t xml:space="preserve"> </w:t>
      </w:r>
      <w:r>
        <w:rPr>
          <w:rFonts w:ascii="Times New Roman" w:hAnsi="Times New Roman" w:eastAsia="Times New Roman" w:cs="Times New Roman"/>
          <w:spacing w:val="-1"/>
          <w:sz w:val="20"/>
          <w:szCs w:val="20"/>
        </w:rPr>
        <w:t>are</w:t>
      </w:r>
      <w:r>
        <w:rPr>
          <w:rFonts w:ascii="Times New Roman" w:hAnsi="Times New Roman" w:eastAsia="Times New Roman" w:cs="Times New Roman"/>
          <w:spacing w:val="17"/>
          <w:sz w:val="20"/>
          <w:szCs w:val="20"/>
        </w:rPr>
        <w:t xml:space="preserve">  </w:t>
      </w:r>
      <w:r>
        <w:rPr>
          <w:rFonts w:ascii="Times New Roman" w:hAnsi="Times New Roman" w:eastAsia="Times New Roman" w:cs="Times New Roman"/>
          <w:spacing w:val="-1"/>
          <w:sz w:val="20"/>
          <w:szCs w:val="20"/>
        </w:rPr>
        <w:t>generally</w:t>
      </w:r>
      <w:r>
        <w:rPr>
          <w:rFonts w:ascii="Times New Roman" w:hAnsi="Times New Roman" w:eastAsia="Times New Roman" w:cs="Times New Roman"/>
          <w:spacing w:val="19"/>
          <w:sz w:val="20"/>
          <w:szCs w:val="20"/>
        </w:rPr>
        <w:t xml:space="preserve">  </w:t>
      </w:r>
      <w:r>
        <w:rPr>
          <w:rFonts w:ascii="Times New Roman" w:hAnsi="Times New Roman" w:eastAsia="Times New Roman" w:cs="Times New Roman"/>
          <w:spacing w:val="-1"/>
          <w:sz w:val="20"/>
          <w:szCs w:val="20"/>
        </w:rPr>
        <w:t>susceptible.Since</w:t>
      </w:r>
      <w:r>
        <w:rPr>
          <w:rFonts w:ascii="Times New Roman" w:hAnsi="Times New Roman" w:eastAsia="Times New Roman" w:cs="Times New Roman"/>
          <w:spacing w:val="14"/>
          <w:w w:val="101"/>
          <w:sz w:val="20"/>
          <w:szCs w:val="20"/>
        </w:rPr>
        <w:t xml:space="preserve">  </w:t>
      </w:r>
      <w:r>
        <w:rPr>
          <w:rFonts w:ascii="Times New Roman" w:hAnsi="Times New Roman" w:eastAsia="Times New Roman" w:cs="Times New Roman"/>
          <w:spacing w:val="-1"/>
          <w:sz w:val="20"/>
          <w:szCs w:val="20"/>
        </w:rPr>
        <w:t>the   1980s,China</w:t>
      </w:r>
      <w:r>
        <w:rPr>
          <w:rFonts w:ascii="Times New Roman" w:hAnsi="Times New Roman" w:eastAsia="Times New Roman" w:cs="Times New Roman"/>
          <w:spacing w:val="14"/>
          <w:w w:val="101"/>
          <w:sz w:val="20"/>
          <w:szCs w:val="20"/>
        </w:rPr>
        <w:t xml:space="preserve">  </w:t>
      </w:r>
      <w:r>
        <w:rPr>
          <w:rFonts w:ascii="Times New Roman" w:hAnsi="Times New Roman" w:eastAsia="Times New Roman" w:cs="Times New Roman"/>
          <w:spacing w:val="-1"/>
          <w:sz w:val="20"/>
          <w:szCs w:val="20"/>
        </w:rPr>
        <w:t>has</w:t>
      </w:r>
      <w:r>
        <w:rPr>
          <w:rFonts w:ascii="Times New Roman" w:hAnsi="Times New Roman" w:eastAsia="Times New Roman" w:cs="Times New Roman"/>
          <w:spacing w:val="17"/>
          <w:sz w:val="20"/>
          <w:szCs w:val="20"/>
        </w:rPr>
        <w:t xml:space="preserve">  </w:t>
      </w:r>
      <w:r>
        <w:rPr>
          <w:rFonts w:ascii="Times New Roman" w:hAnsi="Times New Roman" w:eastAsia="Times New Roman" w:cs="Times New Roman"/>
          <w:spacing w:val="-1"/>
          <w:sz w:val="20"/>
          <w:szCs w:val="20"/>
        </w:rPr>
        <w:t>implemented</w:t>
      </w:r>
      <w:r>
        <w:rPr>
          <w:rFonts w:ascii="Times New Roman" w:hAnsi="Times New Roman" w:eastAsia="Times New Roman" w:cs="Times New Roman"/>
          <w:spacing w:val="17"/>
          <w:sz w:val="20"/>
          <w:szCs w:val="20"/>
        </w:rPr>
        <w:t xml:space="preserve">  </w:t>
      </w:r>
      <w:r>
        <w:rPr>
          <w:rFonts w:ascii="Times New Roman" w:hAnsi="Times New Roman" w:eastAsia="Times New Roman" w:cs="Times New Roman"/>
          <w:spacing w:val="-1"/>
          <w:sz w:val="20"/>
          <w:szCs w:val="20"/>
        </w:rPr>
        <w:t>a</w:t>
      </w:r>
      <w:r>
        <w:rPr>
          <w:rFonts w:ascii="Times New Roman" w:hAnsi="Times New Roman" w:eastAsia="Times New Roman" w:cs="Times New Roman"/>
          <w:spacing w:val="19"/>
          <w:sz w:val="20"/>
          <w:szCs w:val="20"/>
        </w:rPr>
        <w:t xml:space="preserve">  </w:t>
      </w:r>
      <w:r>
        <w:rPr>
          <w:rFonts w:ascii="Times New Roman" w:hAnsi="Times New Roman" w:eastAsia="Times New Roman" w:cs="Times New Roman"/>
          <w:spacing w:val="-1"/>
          <w:sz w:val="20"/>
          <w:szCs w:val="20"/>
        </w:rPr>
        <w:t>scientific</w:t>
      </w:r>
      <w:r>
        <w:rPr>
          <w:rFonts w:ascii="Times New Roman" w:hAnsi="Times New Roman" w:eastAsia="Times New Roman" w:cs="Times New Roman"/>
          <w:spacing w:val="13"/>
          <w:w w:val="101"/>
          <w:sz w:val="20"/>
          <w:szCs w:val="20"/>
        </w:rPr>
        <w:t xml:space="preserve">  </w:t>
      </w:r>
      <w:r>
        <w:rPr>
          <w:rFonts w:ascii="Times New Roman" w:hAnsi="Times New Roman" w:eastAsia="Times New Roman" w:cs="Times New Roman"/>
          <w:spacing w:val="-1"/>
          <w:sz w:val="20"/>
          <w:szCs w:val="20"/>
        </w:rPr>
        <w:t>prevention</w:t>
      </w:r>
      <w:r>
        <w:rPr>
          <w:rFonts w:ascii="Times New Roman" w:hAnsi="Times New Roman" w:eastAsia="Times New Roman" w:cs="Times New Roman"/>
          <w:spacing w:val="17"/>
          <w:w w:val="101"/>
          <w:sz w:val="20"/>
          <w:szCs w:val="20"/>
        </w:rPr>
        <w:t xml:space="preserve">  </w:t>
      </w:r>
      <w:r>
        <w:rPr>
          <w:rFonts w:ascii="Times New Roman" w:hAnsi="Times New Roman" w:eastAsia="Times New Roman" w:cs="Times New Roman"/>
          <w:spacing w:val="-1"/>
          <w:sz w:val="20"/>
          <w:szCs w:val="20"/>
        </w:rPr>
        <w:t>and</w:t>
      </w:r>
      <w:r>
        <w:rPr>
          <w:rFonts w:ascii="Times New Roman" w:hAnsi="Times New Roman" w:eastAsia="Times New Roman" w:cs="Times New Roman"/>
          <w:spacing w:val="17"/>
          <w:sz w:val="20"/>
          <w:szCs w:val="20"/>
        </w:rPr>
        <w:t xml:space="preserve">  </w:t>
      </w:r>
      <w:r>
        <w:rPr>
          <w:rFonts w:ascii="Times New Roman" w:hAnsi="Times New Roman" w:eastAsia="Times New Roman" w:cs="Times New Roman"/>
          <w:spacing w:val="-1"/>
          <w:sz w:val="20"/>
          <w:szCs w:val="20"/>
        </w:rPr>
        <w:t>cont</w:t>
      </w:r>
      <w:r>
        <w:rPr>
          <w:rFonts w:ascii="Times New Roman" w:hAnsi="Times New Roman" w:eastAsia="Times New Roman" w:cs="Times New Roman"/>
          <w:spacing w:val="-2"/>
          <w:sz w:val="20"/>
          <w:szCs w:val="20"/>
        </w:rPr>
        <w:t>rol</w:t>
      </w:r>
      <w:r>
        <w:rPr>
          <w:rFonts w:ascii="Times New Roman" w:hAnsi="Times New Roman" w:eastAsia="Times New Roman" w:cs="Times New Roman"/>
          <w:sz w:val="20"/>
          <w:szCs w:val="20"/>
        </w:rPr>
        <w:t xml:space="preserve">  strategy,that  is  “putting  emphasis  on  prevent</w:t>
      </w:r>
      <w:r>
        <w:rPr>
          <w:rFonts w:ascii="Times New Roman" w:hAnsi="Times New Roman" w:eastAsia="Times New Roman" w:cs="Times New Roman"/>
          <w:spacing w:val="-1"/>
          <w:sz w:val="20"/>
          <w:szCs w:val="20"/>
        </w:rPr>
        <w:t>ion,combining  prevention</w:t>
      </w:r>
      <w:r>
        <w:rPr>
          <w:rFonts w:ascii="Times New Roman" w:hAnsi="Times New Roman" w:eastAsia="Times New Roman" w:cs="Times New Roman"/>
          <w:spacing w:val="47"/>
          <w:sz w:val="20"/>
          <w:szCs w:val="20"/>
        </w:rPr>
        <w:t xml:space="preserve"> </w:t>
      </w:r>
      <w:r>
        <w:rPr>
          <w:rFonts w:ascii="Times New Roman" w:hAnsi="Times New Roman" w:eastAsia="Times New Roman" w:cs="Times New Roman"/>
          <w:spacing w:val="-1"/>
          <w:sz w:val="20"/>
          <w:szCs w:val="20"/>
        </w:rPr>
        <w:t>with  treatment”.Over</w:t>
      </w:r>
      <w:r>
        <w:rPr>
          <w:rFonts w:ascii="Times New Roman" w:hAnsi="Times New Roman" w:eastAsia="Times New Roman" w:cs="Times New Roman"/>
          <w:spacing w:val="46"/>
          <w:sz w:val="20"/>
          <w:szCs w:val="20"/>
        </w:rPr>
        <w:t xml:space="preserve"> </w:t>
      </w:r>
      <w:r>
        <w:rPr>
          <w:rFonts w:ascii="Times New Roman" w:hAnsi="Times New Roman" w:eastAsia="Times New Roman" w:cs="Times New Roman"/>
          <w:spacing w:val="-1"/>
          <w:sz w:val="20"/>
          <w:szCs w:val="20"/>
        </w:rPr>
        <w:t>the  last  four</w:t>
      </w:r>
      <w:r>
        <w:rPr>
          <w:rFonts w:ascii="Times New Roman" w:hAnsi="Times New Roman" w:eastAsia="Times New Roman" w:cs="Times New Roman"/>
          <w:sz w:val="20"/>
          <w:szCs w:val="20"/>
        </w:rPr>
        <w:t xml:space="preserve"> decades,the</w:t>
      </w:r>
      <w:r>
        <w:rPr>
          <w:rFonts w:ascii="Times New Roman" w:hAnsi="Times New Roman" w:eastAsia="Times New Roman" w:cs="Times New Roman"/>
          <w:spacing w:val="23"/>
          <w:w w:val="101"/>
          <w:sz w:val="20"/>
          <w:szCs w:val="20"/>
        </w:rPr>
        <w:t xml:space="preserve"> </w:t>
      </w:r>
      <w:r>
        <w:rPr>
          <w:rFonts w:ascii="Times New Roman" w:hAnsi="Times New Roman" w:eastAsia="Times New Roman" w:cs="Times New Roman"/>
          <w:sz w:val="20"/>
          <w:szCs w:val="20"/>
        </w:rPr>
        <w:t>HBV</w:t>
      </w:r>
      <w:r>
        <w:rPr>
          <w:rFonts w:ascii="Times New Roman" w:hAnsi="Times New Roman" w:eastAsia="Times New Roman" w:cs="Times New Roman"/>
          <w:spacing w:val="25"/>
          <w:sz w:val="20"/>
          <w:szCs w:val="20"/>
        </w:rPr>
        <w:t xml:space="preserve"> </w:t>
      </w:r>
      <w:r>
        <w:rPr>
          <w:rFonts w:ascii="Times New Roman" w:hAnsi="Times New Roman" w:eastAsia="Times New Roman" w:cs="Times New Roman"/>
          <w:sz w:val="20"/>
          <w:szCs w:val="20"/>
        </w:rPr>
        <w:t>infection</w:t>
      </w:r>
      <w:r>
        <w:rPr>
          <w:rFonts w:ascii="Times New Roman" w:hAnsi="Times New Roman" w:eastAsia="Times New Roman" w:cs="Times New Roman"/>
          <w:spacing w:val="21"/>
          <w:sz w:val="20"/>
          <w:szCs w:val="20"/>
        </w:rPr>
        <w:t xml:space="preserve"> </w:t>
      </w:r>
      <w:r>
        <w:rPr>
          <w:rFonts w:ascii="Times New Roman" w:hAnsi="Times New Roman" w:eastAsia="Times New Roman" w:cs="Times New Roman"/>
          <w:sz w:val="20"/>
          <w:szCs w:val="20"/>
        </w:rPr>
        <w:t>rat</w:t>
      </w:r>
      <w:r>
        <w:rPr>
          <w:rFonts w:ascii="Times New Roman" w:hAnsi="Times New Roman" w:eastAsia="Times New Roman" w:cs="Times New Roman"/>
          <w:spacing w:val="-1"/>
          <w:sz w:val="20"/>
          <w:szCs w:val="20"/>
        </w:rPr>
        <w:t>e</w:t>
      </w:r>
      <w:r>
        <w:rPr>
          <w:rFonts w:ascii="Times New Roman" w:hAnsi="Times New Roman" w:eastAsia="Times New Roman" w:cs="Times New Roman"/>
          <w:spacing w:val="20"/>
          <w:w w:val="101"/>
          <w:sz w:val="20"/>
          <w:szCs w:val="20"/>
        </w:rPr>
        <w:t xml:space="preserve"> </w:t>
      </w:r>
      <w:r>
        <w:rPr>
          <w:rFonts w:ascii="Times New Roman" w:hAnsi="Times New Roman" w:eastAsia="Times New Roman" w:cs="Times New Roman"/>
          <w:spacing w:val="-1"/>
          <w:sz w:val="20"/>
          <w:szCs w:val="20"/>
        </w:rPr>
        <w:t>has</w:t>
      </w:r>
      <w:r>
        <w:rPr>
          <w:rFonts w:ascii="Times New Roman" w:hAnsi="Times New Roman" w:eastAsia="Times New Roman" w:cs="Times New Roman"/>
          <w:spacing w:val="29"/>
          <w:w w:val="101"/>
          <w:sz w:val="20"/>
          <w:szCs w:val="20"/>
        </w:rPr>
        <w:t xml:space="preserve"> </w:t>
      </w:r>
      <w:r>
        <w:rPr>
          <w:rFonts w:ascii="Times New Roman" w:hAnsi="Times New Roman" w:eastAsia="Times New Roman" w:cs="Times New Roman"/>
          <w:spacing w:val="-1"/>
          <w:sz w:val="20"/>
          <w:szCs w:val="20"/>
        </w:rPr>
        <w:t>significantly</w:t>
      </w:r>
      <w:r>
        <w:rPr>
          <w:rFonts w:ascii="Times New Roman" w:hAnsi="Times New Roman" w:eastAsia="Times New Roman" w:cs="Times New Roman"/>
          <w:spacing w:val="26"/>
          <w:sz w:val="20"/>
          <w:szCs w:val="20"/>
        </w:rPr>
        <w:t xml:space="preserve"> </w:t>
      </w:r>
      <w:r>
        <w:rPr>
          <w:rFonts w:ascii="Times New Roman" w:hAnsi="Times New Roman" w:eastAsia="Times New Roman" w:cs="Times New Roman"/>
          <w:spacing w:val="-1"/>
          <w:sz w:val="20"/>
          <w:szCs w:val="20"/>
        </w:rPr>
        <w:t>decreased</w:t>
      </w:r>
      <w:r>
        <w:rPr>
          <w:rFonts w:ascii="Times New Roman" w:hAnsi="Times New Roman" w:eastAsia="Times New Roman" w:cs="Times New Roman"/>
          <w:spacing w:val="25"/>
          <w:sz w:val="20"/>
          <w:szCs w:val="20"/>
        </w:rPr>
        <w:t xml:space="preserve"> </w:t>
      </w:r>
      <w:r>
        <w:rPr>
          <w:rFonts w:ascii="Times New Roman" w:hAnsi="Times New Roman" w:eastAsia="Times New Roman" w:cs="Times New Roman"/>
          <w:spacing w:val="-1"/>
          <w:sz w:val="20"/>
          <w:szCs w:val="20"/>
        </w:rPr>
        <w:t>in</w:t>
      </w:r>
      <w:r>
        <w:rPr>
          <w:rFonts w:ascii="Times New Roman" w:hAnsi="Times New Roman" w:eastAsia="Times New Roman" w:cs="Times New Roman"/>
          <w:spacing w:val="26"/>
          <w:w w:val="101"/>
          <w:sz w:val="20"/>
          <w:szCs w:val="20"/>
        </w:rPr>
        <w:t xml:space="preserve"> </w:t>
      </w:r>
      <w:r>
        <w:rPr>
          <w:rFonts w:ascii="Times New Roman" w:hAnsi="Times New Roman" w:eastAsia="Times New Roman" w:cs="Times New Roman"/>
          <w:spacing w:val="-1"/>
          <w:sz w:val="20"/>
          <w:szCs w:val="20"/>
        </w:rPr>
        <w:t>China,which</w:t>
      </w:r>
      <w:r>
        <w:rPr>
          <w:rFonts w:ascii="Times New Roman" w:hAnsi="Times New Roman" w:eastAsia="Times New Roman" w:cs="Times New Roman"/>
          <w:spacing w:val="25"/>
          <w:w w:val="101"/>
          <w:sz w:val="20"/>
          <w:szCs w:val="20"/>
        </w:rPr>
        <w:t xml:space="preserve"> </w:t>
      </w:r>
      <w:r>
        <w:rPr>
          <w:rFonts w:ascii="Times New Roman" w:hAnsi="Times New Roman" w:eastAsia="Times New Roman" w:cs="Times New Roman"/>
          <w:spacing w:val="-1"/>
          <w:sz w:val="20"/>
          <w:szCs w:val="20"/>
        </w:rPr>
        <w:t>is</w:t>
      </w:r>
      <w:r>
        <w:rPr>
          <w:rFonts w:ascii="Times New Roman" w:hAnsi="Times New Roman" w:eastAsia="Times New Roman" w:cs="Times New Roman"/>
          <w:spacing w:val="25"/>
          <w:w w:val="101"/>
          <w:sz w:val="20"/>
          <w:szCs w:val="20"/>
        </w:rPr>
        <w:t xml:space="preserve"> </w:t>
      </w:r>
      <w:r>
        <w:rPr>
          <w:rFonts w:ascii="Times New Roman" w:hAnsi="Times New Roman" w:eastAsia="Times New Roman" w:cs="Times New Roman"/>
          <w:spacing w:val="-1"/>
          <w:sz w:val="20"/>
          <w:szCs w:val="20"/>
        </w:rPr>
        <w:t>important</w:t>
      </w:r>
      <w:r>
        <w:rPr>
          <w:rFonts w:ascii="Times New Roman" w:hAnsi="Times New Roman" w:eastAsia="Times New Roman" w:cs="Times New Roman"/>
          <w:spacing w:val="21"/>
          <w:sz w:val="20"/>
          <w:szCs w:val="20"/>
        </w:rPr>
        <w:t xml:space="preserve"> </w:t>
      </w:r>
      <w:r>
        <w:rPr>
          <w:rFonts w:ascii="Times New Roman" w:hAnsi="Times New Roman" w:eastAsia="Times New Roman" w:cs="Times New Roman"/>
          <w:spacing w:val="-1"/>
          <w:sz w:val="20"/>
          <w:szCs w:val="20"/>
        </w:rPr>
        <w:t>to</w:t>
      </w:r>
      <w:r>
        <w:rPr>
          <w:rFonts w:ascii="Times New Roman" w:hAnsi="Times New Roman" w:eastAsia="Times New Roman" w:cs="Times New Roman"/>
          <w:spacing w:val="21"/>
          <w:sz w:val="20"/>
          <w:szCs w:val="20"/>
        </w:rPr>
        <w:t xml:space="preserve"> </w:t>
      </w:r>
      <w:r>
        <w:rPr>
          <w:rFonts w:ascii="Times New Roman" w:hAnsi="Times New Roman" w:eastAsia="Times New Roman" w:cs="Times New Roman"/>
          <w:spacing w:val="-1"/>
          <w:sz w:val="20"/>
          <w:szCs w:val="20"/>
        </w:rPr>
        <w:t>reach</w:t>
      </w:r>
      <w:r>
        <w:rPr>
          <w:rFonts w:ascii="Times New Roman" w:hAnsi="Times New Roman" w:eastAsia="Times New Roman" w:cs="Times New Roman"/>
          <w:spacing w:val="21"/>
          <w:w w:val="101"/>
          <w:sz w:val="20"/>
          <w:szCs w:val="20"/>
        </w:rPr>
        <w:t xml:space="preserve"> </w:t>
      </w:r>
      <w:r>
        <w:rPr>
          <w:rFonts w:ascii="Times New Roman" w:hAnsi="Times New Roman" w:eastAsia="Times New Roman" w:cs="Times New Roman"/>
          <w:spacing w:val="-1"/>
          <w:sz w:val="20"/>
          <w:szCs w:val="20"/>
        </w:rPr>
        <w:t>the</w:t>
      </w:r>
      <w:r>
        <w:rPr>
          <w:rFonts w:ascii="Times New Roman" w:hAnsi="Times New Roman" w:eastAsia="Times New Roman" w:cs="Times New Roman"/>
          <w:spacing w:val="25"/>
          <w:w w:val="101"/>
          <w:sz w:val="20"/>
          <w:szCs w:val="20"/>
        </w:rPr>
        <w:t xml:space="preserve"> </w:t>
      </w:r>
      <w:r>
        <w:rPr>
          <w:rFonts w:ascii="Times New Roman" w:hAnsi="Times New Roman" w:eastAsia="Times New Roman" w:cs="Times New Roman"/>
          <w:spacing w:val="-1"/>
          <w:sz w:val="20"/>
          <w:szCs w:val="20"/>
        </w:rPr>
        <w:t>goal</w:t>
      </w:r>
      <w:r>
        <w:rPr>
          <w:rFonts w:ascii="Times New Roman" w:hAnsi="Times New Roman" w:eastAsia="Times New Roman" w:cs="Times New Roman"/>
          <w:spacing w:val="26"/>
          <w:sz w:val="20"/>
          <w:szCs w:val="20"/>
        </w:rPr>
        <w:t xml:space="preserve"> </w:t>
      </w:r>
      <w:r>
        <w:rPr>
          <w:rFonts w:ascii="Times New Roman" w:hAnsi="Times New Roman" w:eastAsia="Times New Roman" w:cs="Times New Roman"/>
          <w:spacing w:val="-1"/>
          <w:sz w:val="20"/>
          <w:szCs w:val="20"/>
        </w:rPr>
        <w:t>of</w:t>
      </w:r>
      <w:r>
        <w:rPr>
          <w:rFonts w:ascii="Times New Roman" w:hAnsi="Times New Roman" w:eastAsia="Times New Roman" w:cs="Times New Roman"/>
          <w:sz w:val="20"/>
          <w:szCs w:val="20"/>
        </w:rPr>
        <w:t xml:space="preserve"> eliminating</w:t>
      </w:r>
      <w:r>
        <w:rPr>
          <w:rFonts w:ascii="Times New Roman" w:hAnsi="Times New Roman" w:eastAsia="Times New Roman" w:cs="Times New Roman"/>
          <w:spacing w:val="20"/>
          <w:w w:val="101"/>
          <w:sz w:val="20"/>
          <w:szCs w:val="20"/>
        </w:rPr>
        <w:t xml:space="preserve"> </w:t>
      </w:r>
      <w:r>
        <w:rPr>
          <w:rFonts w:ascii="Times New Roman" w:hAnsi="Times New Roman" w:eastAsia="Times New Roman" w:cs="Times New Roman"/>
          <w:sz w:val="20"/>
          <w:szCs w:val="20"/>
        </w:rPr>
        <w:t>viral</w:t>
      </w:r>
      <w:r>
        <w:rPr>
          <w:rFonts w:ascii="Times New Roman" w:hAnsi="Times New Roman" w:eastAsia="Times New Roman" w:cs="Times New Roman"/>
          <w:spacing w:val="20"/>
          <w:sz w:val="20"/>
          <w:szCs w:val="20"/>
        </w:rPr>
        <w:t xml:space="preserve"> </w:t>
      </w:r>
      <w:r>
        <w:rPr>
          <w:rFonts w:ascii="Times New Roman" w:hAnsi="Times New Roman" w:eastAsia="Times New Roman" w:cs="Times New Roman"/>
          <w:sz w:val="20"/>
          <w:szCs w:val="20"/>
        </w:rPr>
        <w:t>hepa</w:t>
      </w:r>
      <w:r>
        <w:rPr>
          <w:rFonts w:ascii="Times New Roman" w:hAnsi="Times New Roman" w:eastAsia="Times New Roman" w:cs="Times New Roman"/>
          <w:spacing w:val="-1"/>
          <w:sz w:val="20"/>
          <w:szCs w:val="20"/>
        </w:rPr>
        <w:t>titis</w:t>
      </w:r>
      <w:r>
        <w:rPr>
          <w:rFonts w:ascii="Times New Roman" w:hAnsi="Times New Roman" w:eastAsia="Times New Roman" w:cs="Times New Roman"/>
          <w:spacing w:val="25"/>
          <w:w w:val="101"/>
          <w:sz w:val="20"/>
          <w:szCs w:val="20"/>
        </w:rPr>
        <w:t xml:space="preserve"> </w:t>
      </w:r>
      <w:r>
        <w:rPr>
          <w:rFonts w:ascii="Times New Roman" w:hAnsi="Times New Roman" w:eastAsia="Times New Roman" w:cs="Times New Roman"/>
          <w:spacing w:val="-1"/>
          <w:sz w:val="20"/>
          <w:szCs w:val="20"/>
        </w:rPr>
        <w:t>as</w:t>
      </w:r>
      <w:r>
        <w:rPr>
          <w:rFonts w:ascii="Times New Roman" w:hAnsi="Times New Roman" w:eastAsia="Times New Roman" w:cs="Times New Roman"/>
          <w:spacing w:val="26"/>
          <w:sz w:val="20"/>
          <w:szCs w:val="20"/>
        </w:rPr>
        <w:t xml:space="preserve"> </w:t>
      </w:r>
      <w:r>
        <w:rPr>
          <w:rFonts w:ascii="Times New Roman" w:hAnsi="Times New Roman" w:eastAsia="Times New Roman" w:cs="Times New Roman"/>
          <w:spacing w:val="-1"/>
          <w:sz w:val="20"/>
          <w:szCs w:val="20"/>
        </w:rPr>
        <w:t>a</w:t>
      </w:r>
      <w:r>
        <w:rPr>
          <w:rFonts w:ascii="Times New Roman" w:hAnsi="Times New Roman" w:eastAsia="Times New Roman" w:cs="Times New Roman"/>
          <w:spacing w:val="20"/>
          <w:sz w:val="20"/>
          <w:szCs w:val="20"/>
        </w:rPr>
        <w:t xml:space="preserve"> </w:t>
      </w:r>
      <w:r>
        <w:rPr>
          <w:rFonts w:ascii="Times New Roman" w:hAnsi="Times New Roman" w:eastAsia="Times New Roman" w:cs="Times New Roman"/>
          <w:spacing w:val="-1"/>
          <w:sz w:val="20"/>
          <w:szCs w:val="20"/>
        </w:rPr>
        <w:t>major</w:t>
      </w:r>
      <w:r>
        <w:rPr>
          <w:rFonts w:ascii="Times New Roman" w:hAnsi="Times New Roman" w:eastAsia="Times New Roman" w:cs="Times New Roman"/>
          <w:spacing w:val="17"/>
          <w:sz w:val="20"/>
          <w:szCs w:val="20"/>
        </w:rPr>
        <w:t xml:space="preserve"> </w:t>
      </w:r>
      <w:r>
        <w:rPr>
          <w:rFonts w:ascii="Times New Roman" w:hAnsi="Times New Roman" w:eastAsia="Times New Roman" w:cs="Times New Roman"/>
          <w:spacing w:val="-1"/>
          <w:sz w:val="20"/>
          <w:szCs w:val="20"/>
        </w:rPr>
        <w:t>public</w:t>
      </w:r>
      <w:r>
        <w:rPr>
          <w:rFonts w:ascii="Times New Roman" w:hAnsi="Times New Roman" w:eastAsia="Times New Roman" w:cs="Times New Roman"/>
          <w:spacing w:val="20"/>
          <w:sz w:val="20"/>
          <w:szCs w:val="20"/>
        </w:rPr>
        <w:t xml:space="preserve"> </w:t>
      </w:r>
      <w:r>
        <w:rPr>
          <w:rFonts w:ascii="Times New Roman" w:hAnsi="Times New Roman" w:eastAsia="Times New Roman" w:cs="Times New Roman"/>
          <w:spacing w:val="-1"/>
          <w:sz w:val="20"/>
          <w:szCs w:val="20"/>
        </w:rPr>
        <w:t>health</w:t>
      </w:r>
      <w:r>
        <w:rPr>
          <w:rFonts w:ascii="Times New Roman" w:hAnsi="Times New Roman" w:eastAsia="Times New Roman" w:cs="Times New Roman"/>
          <w:spacing w:val="20"/>
          <w:w w:val="101"/>
          <w:sz w:val="20"/>
          <w:szCs w:val="20"/>
        </w:rPr>
        <w:t xml:space="preserve"> </w:t>
      </w:r>
      <w:r>
        <w:rPr>
          <w:rFonts w:ascii="Times New Roman" w:hAnsi="Times New Roman" w:eastAsia="Times New Roman" w:cs="Times New Roman"/>
          <w:spacing w:val="-1"/>
          <w:sz w:val="20"/>
          <w:szCs w:val="20"/>
        </w:rPr>
        <w:t>threat</w:t>
      </w:r>
      <w:r>
        <w:rPr>
          <w:rFonts w:ascii="Times New Roman" w:hAnsi="Times New Roman" w:eastAsia="Times New Roman" w:cs="Times New Roman"/>
          <w:spacing w:val="18"/>
          <w:sz w:val="20"/>
          <w:szCs w:val="20"/>
        </w:rPr>
        <w:t xml:space="preserve"> </w:t>
      </w:r>
      <w:r>
        <w:rPr>
          <w:rFonts w:ascii="Times New Roman" w:hAnsi="Times New Roman" w:eastAsia="Times New Roman" w:cs="Times New Roman"/>
          <w:spacing w:val="-1"/>
          <w:sz w:val="20"/>
          <w:szCs w:val="20"/>
        </w:rPr>
        <w:t>by</w:t>
      </w:r>
      <w:r>
        <w:rPr>
          <w:rFonts w:ascii="Times New Roman" w:hAnsi="Times New Roman" w:eastAsia="Times New Roman" w:cs="Times New Roman"/>
          <w:spacing w:val="23"/>
          <w:sz w:val="20"/>
          <w:szCs w:val="20"/>
        </w:rPr>
        <w:t xml:space="preserve"> </w:t>
      </w:r>
      <w:r>
        <w:rPr>
          <w:rFonts w:ascii="Times New Roman" w:hAnsi="Times New Roman" w:eastAsia="Times New Roman" w:cs="Times New Roman"/>
          <w:spacing w:val="-1"/>
          <w:sz w:val="20"/>
          <w:szCs w:val="20"/>
        </w:rPr>
        <w:t>2030.</w:t>
      </w:r>
    </w:p>
    <w:p w14:paraId="22897179">
      <w:pPr>
        <w:spacing w:line="283" w:lineRule="auto"/>
        <w:rPr>
          <w:rFonts w:ascii="Arial"/>
          <w:sz w:val="21"/>
        </w:rPr>
      </w:pPr>
    </w:p>
    <w:p w14:paraId="1FADCF57">
      <w:pPr>
        <w:spacing w:before="65" w:line="345" w:lineRule="auto"/>
        <w:ind w:right="581" w:firstLine="429"/>
        <w:jc w:val="both"/>
        <w:rPr>
          <w:rFonts w:ascii="宋体" w:hAnsi="宋体" w:eastAsia="宋体" w:cs="宋体"/>
          <w:sz w:val="20"/>
          <w:szCs w:val="20"/>
        </w:rPr>
      </w:pPr>
      <w:r>
        <w:rPr>
          <w:rFonts w:ascii="宋体" w:hAnsi="宋体" w:eastAsia="宋体" w:cs="宋体"/>
          <w:spacing w:val="7"/>
          <w:sz w:val="20"/>
          <w:szCs w:val="20"/>
        </w:rPr>
        <w:t>病毒性肝炎</w:t>
      </w:r>
      <w:r>
        <w:rPr>
          <w:rFonts w:ascii="Times New Roman" w:hAnsi="Times New Roman" w:eastAsia="Times New Roman" w:cs="Times New Roman"/>
          <w:spacing w:val="7"/>
          <w:sz w:val="20"/>
          <w:szCs w:val="20"/>
        </w:rPr>
        <w:t>(</w:t>
      </w:r>
      <w:r>
        <w:rPr>
          <w:rFonts w:ascii="Times New Roman" w:hAnsi="Times New Roman" w:eastAsia="Times New Roman" w:cs="Times New Roman"/>
          <w:sz w:val="20"/>
          <w:szCs w:val="20"/>
        </w:rPr>
        <w:t>viral</w:t>
      </w:r>
      <w:r>
        <w:rPr>
          <w:rFonts w:ascii="Times New Roman" w:hAnsi="Times New Roman" w:eastAsia="Times New Roman" w:cs="Times New Roman"/>
          <w:spacing w:val="7"/>
          <w:sz w:val="20"/>
          <w:szCs w:val="20"/>
        </w:rPr>
        <w:t xml:space="preserve">    </w:t>
      </w:r>
      <w:r>
        <w:rPr>
          <w:rFonts w:ascii="Times New Roman" w:hAnsi="Times New Roman" w:eastAsia="Times New Roman" w:cs="Times New Roman"/>
          <w:sz w:val="20"/>
          <w:szCs w:val="20"/>
        </w:rPr>
        <w:t>hepatitis</w:t>
      </w:r>
      <w:r>
        <w:rPr>
          <w:rFonts w:ascii="Times New Roman" w:hAnsi="Times New Roman" w:eastAsia="Times New Roman" w:cs="Times New Roman"/>
          <w:spacing w:val="7"/>
          <w:sz w:val="20"/>
          <w:szCs w:val="20"/>
        </w:rPr>
        <w:t>)</w:t>
      </w:r>
      <w:r>
        <w:rPr>
          <w:rFonts w:ascii="宋体" w:hAnsi="宋体" w:eastAsia="宋体" w:cs="宋体"/>
          <w:spacing w:val="7"/>
          <w:sz w:val="20"/>
          <w:szCs w:val="20"/>
        </w:rPr>
        <w:t>是由多种肝炎病毒引起的，以肝脏损害为主的一组传染</w:t>
      </w:r>
      <w:r>
        <w:rPr>
          <w:rFonts w:ascii="宋体" w:hAnsi="宋体" w:eastAsia="宋体" w:cs="宋体"/>
          <w:spacing w:val="6"/>
          <w:sz w:val="20"/>
          <w:szCs w:val="20"/>
        </w:rPr>
        <w:t>性疾病。病</w:t>
      </w:r>
      <w:r>
        <w:rPr>
          <w:rFonts w:ascii="宋体" w:hAnsi="宋体" w:eastAsia="宋体" w:cs="宋体"/>
          <w:sz w:val="20"/>
          <w:szCs w:val="20"/>
        </w:rPr>
        <w:t xml:space="preserve"> </w:t>
      </w:r>
      <w:r>
        <w:rPr>
          <w:rFonts w:ascii="宋体" w:hAnsi="宋体" w:eastAsia="宋体" w:cs="宋体"/>
          <w:spacing w:val="6"/>
          <w:sz w:val="20"/>
          <w:szCs w:val="20"/>
        </w:rPr>
        <w:t>毒性肝炎呈世界范围流行，是全球重要的致死性传染病之一，居于我国乙类传染病报告发病数和死</w:t>
      </w:r>
      <w:r>
        <w:rPr>
          <w:rFonts w:ascii="宋体" w:hAnsi="宋体" w:eastAsia="宋体" w:cs="宋体"/>
          <w:spacing w:val="11"/>
          <w:sz w:val="20"/>
          <w:szCs w:val="20"/>
        </w:rPr>
        <w:t xml:space="preserve"> </w:t>
      </w:r>
      <w:r>
        <w:rPr>
          <w:rFonts w:ascii="宋体" w:hAnsi="宋体" w:eastAsia="宋体" w:cs="宋体"/>
          <w:spacing w:val="6"/>
          <w:sz w:val="20"/>
          <w:szCs w:val="20"/>
        </w:rPr>
        <w:t>亡数前列，是世界和我国的重大公共卫生问题。</w:t>
      </w:r>
    </w:p>
    <w:p w14:paraId="4E4058A4">
      <w:pPr>
        <w:spacing w:before="5" w:line="330" w:lineRule="auto"/>
        <w:ind w:right="581" w:firstLine="429"/>
        <w:jc w:val="both"/>
        <w:rPr>
          <w:rFonts w:ascii="宋体" w:hAnsi="宋体" w:eastAsia="宋体" w:cs="宋体"/>
          <w:sz w:val="20"/>
          <w:szCs w:val="20"/>
        </w:rPr>
      </w:pPr>
      <w:r>
        <w:rPr>
          <w:rFonts w:ascii="宋体" w:hAnsi="宋体" w:eastAsia="宋体" w:cs="宋体"/>
          <w:spacing w:val="4"/>
          <w:sz w:val="20"/>
          <w:szCs w:val="20"/>
        </w:rPr>
        <w:t>病毒性肝炎主要包括甲型肝炎、乙型肝炎、丙型肝炎、丁型肝</w:t>
      </w:r>
      <w:r>
        <w:rPr>
          <w:rFonts w:ascii="宋体" w:hAnsi="宋体" w:eastAsia="宋体" w:cs="宋体"/>
          <w:spacing w:val="3"/>
          <w:sz w:val="20"/>
          <w:szCs w:val="20"/>
        </w:rPr>
        <w:t>炎和戊型肝炎(分别简称甲肝、乙</w:t>
      </w:r>
      <w:r>
        <w:rPr>
          <w:rFonts w:ascii="宋体" w:hAnsi="宋体" w:eastAsia="宋体" w:cs="宋体"/>
          <w:sz w:val="20"/>
          <w:szCs w:val="20"/>
        </w:rPr>
        <w:t xml:space="preserve"> </w:t>
      </w:r>
      <w:r>
        <w:rPr>
          <w:rFonts w:ascii="宋体" w:hAnsi="宋体" w:eastAsia="宋体" w:cs="宋体"/>
          <w:spacing w:val="4"/>
          <w:sz w:val="20"/>
          <w:szCs w:val="20"/>
        </w:rPr>
        <w:t>肝、丙肝、丁肝和戊肝),分别由甲型肝炎病毒</w:t>
      </w:r>
      <w:r>
        <w:rPr>
          <w:rFonts w:ascii="Times New Roman" w:hAnsi="Times New Roman" w:eastAsia="Times New Roman" w:cs="Times New Roman"/>
          <w:spacing w:val="4"/>
          <w:sz w:val="20"/>
          <w:szCs w:val="20"/>
        </w:rPr>
        <w:t>(</w:t>
      </w:r>
      <w:r>
        <w:rPr>
          <w:rFonts w:ascii="Times New Roman" w:hAnsi="Times New Roman" w:eastAsia="Times New Roman" w:cs="Times New Roman"/>
          <w:sz w:val="20"/>
          <w:szCs w:val="20"/>
        </w:rPr>
        <w:t>hepatitis</w:t>
      </w:r>
      <w:r>
        <w:rPr>
          <w:rFonts w:ascii="Times New Roman" w:hAnsi="Times New Roman" w:eastAsia="Times New Roman" w:cs="Times New Roman"/>
          <w:spacing w:val="4"/>
          <w:sz w:val="20"/>
          <w:szCs w:val="20"/>
        </w:rPr>
        <w:t xml:space="preserve">    </w:t>
      </w:r>
      <w:r>
        <w:rPr>
          <w:rFonts w:ascii="Times New Roman" w:hAnsi="Times New Roman" w:eastAsia="Times New Roman" w:cs="Times New Roman"/>
          <w:sz w:val="20"/>
          <w:szCs w:val="20"/>
        </w:rPr>
        <w:t>A</w:t>
      </w:r>
      <w:r>
        <w:rPr>
          <w:rFonts w:ascii="Times New Roman" w:hAnsi="Times New Roman" w:eastAsia="Times New Roman" w:cs="Times New Roman"/>
          <w:spacing w:val="4"/>
          <w:sz w:val="20"/>
          <w:szCs w:val="20"/>
        </w:rPr>
        <w:t xml:space="preserve">    </w:t>
      </w:r>
      <w:r>
        <w:rPr>
          <w:rFonts w:ascii="Times New Roman" w:hAnsi="Times New Roman" w:eastAsia="Times New Roman" w:cs="Times New Roman"/>
          <w:sz w:val="20"/>
          <w:szCs w:val="20"/>
        </w:rPr>
        <w:t>virus</w:t>
      </w:r>
      <w:r>
        <w:rPr>
          <w:rFonts w:ascii="Times New Roman" w:hAnsi="Times New Roman" w:eastAsia="Times New Roman" w:cs="Times New Roman"/>
          <w:spacing w:val="4"/>
          <w:sz w:val="20"/>
          <w:szCs w:val="20"/>
        </w:rPr>
        <w:t>,</w:t>
      </w:r>
      <w:r>
        <w:rPr>
          <w:rFonts w:ascii="Times New Roman" w:hAnsi="Times New Roman" w:eastAsia="Times New Roman" w:cs="Times New Roman"/>
          <w:sz w:val="20"/>
          <w:szCs w:val="20"/>
        </w:rPr>
        <w:t>HAV</w:t>
      </w:r>
      <w:r>
        <w:rPr>
          <w:rFonts w:ascii="Times New Roman" w:hAnsi="Times New Roman" w:eastAsia="Times New Roman" w:cs="Times New Roman"/>
          <w:spacing w:val="3"/>
          <w:sz w:val="20"/>
          <w:szCs w:val="20"/>
        </w:rPr>
        <w:t>)</w:t>
      </w:r>
      <w:r>
        <w:rPr>
          <w:rFonts w:ascii="宋体" w:hAnsi="宋体" w:eastAsia="宋体" w:cs="宋体"/>
          <w:spacing w:val="3"/>
          <w:sz w:val="20"/>
          <w:szCs w:val="20"/>
        </w:rPr>
        <w:t>、乙型肝炎病毒</w:t>
      </w:r>
      <w:r>
        <w:rPr>
          <w:rFonts w:ascii="Times New Roman" w:hAnsi="Times New Roman" w:eastAsia="Times New Roman" w:cs="Times New Roman"/>
          <w:spacing w:val="3"/>
          <w:sz w:val="20"/>
          <w:szCs w:val="20"/>
        </w:rPr>
        <w:t>(</w:t>
      </w:r>
      <w:r>
        <w:rPr>
          <w:rFonts w:ascii="Times New Roman" w:hAnsi="Times New Roman" w:eastAsia="Times New Roman" w:cs="Times New Roman"/>
          <w:sz w:val="20"/>
          <w:szCs w:val="20"/>
        </w:rPr>
        <w:t>hepatitis</w:t>
      </w:r>
      <w:r>
        <w:rPr>
          <w:rFonts w:ascii="Times New Roman" w:hAnsi="Times New Roman" w:eastAsia="Times New Roman" w:cs="Times New Roman"/>
          <w:spacing w:val="3"/>
          <w:sz w:val="20"/>
          <w:szCs w:val="20"/>
        </w:rPr>
        <w:t xml:space="preserve">    </w:t>
      </w:r>
      <w:r>
        <w:rPr>
          <w:rFonts w:ascii="Times New Roman" w:hAnsi="Times New Roman" w:eastAsia="Times New Roman" w:cs="Times New Roman"/>
          <w:sz w:val="20"/>
          <w:szCs w:val="20"/>
        </w:rPr>
        <w:t>B virus</w:t>
      </w:r>
      <w:r>
        <w:rPr>
          <w:rFonts w:ascii="Times New Roman" w:hAnsi="Times New Roman" w:eastAsia="Times New Roman" w:cs="Times New Roman"/>
          <w:spacing w:val="2"/>
          <w:sz w:val="20"/>
          <w:szCs w:val="20"/>
        </w:rPr>
        <w:t>,</w:t>
      </w:r>
      <w:r>
        <w:rPr>
          <w:rFonts w:ascii="Times New Roman" w:hAnsi="Times New Roman" w:eastAsia="Times New Roman" w:cs="Times New Roman"/>
          <w:sz w:val="20"/>
          <w:szCs w:val="20"/>
        </w:rPr>
        <w:t>HBV</w:t>
      </w:r>
      <w:r>
        <w:rPr>
          <w:rFonts w:ascii="Times New Roman" w:hAnsi="Times New Roman" w:eastAsia="Times New Roman" w:cs="Times New Roman"/>
          <w:spacing w:val="2"/>
          <w:sz w:val="20"/>
          <w:szCs w:val="20"/>
        </w:rPr>
        <w:t>)</w:t>
      </w:r>
      <w:r>
        <w:rPr>
          <w:rFonts w:ascii="Times New Roman" w:hAnsi="Times New Roman" w:eastAsia="Times New Roman" w:cs="Times New Roman"/>
          <w:spacing w:val="-29"/>
          <w:sz w:val="20"/>
          <w:szCs w:val="20"/>
        </w:rPr>
        <w:t xml:space="preserve"> </w:t>
      </w:r>
      <w:r>
        <w:rPr>
          <w:rFonts w:ascii="宋体" w:hAnsi="宋体" w:eastAsia="宋体" w:cs="宋体"/>
          <w:spacing w:val="2"/>
          <w:sz w:val="20"/>
          <w:szCs w:val="20"/>
        </w:rPr>
        <w:t>、</w:t>
      </w:r>
      <w:r>
        <w:rPr>
          <w:rFonts w:ascii="宋体" w:hAnsi="宋体" w:eastAsia="宋体" w:cs="宋体"/>
          <w:spacing w:val="-26"/>
          <w:sz w:val="20"/>
          <w:szCs w:val="20"/>
        </w:rPr>
        <w:t xml:space="preserve"> </w:t>
      </w:r>
      <w:r>
        <w:rPr>
          <w:rFonts w:ascii="宋体" w:hAnsi="宋体" w:eastAsia="宋体" w:cs="宋体"/>
          <w:spacing w:val="2"/>
          <w:sz w:val="20"/>
          <w:szCs w:val="20"/>
        </w:rPr>
        <w:t>丙型肝炎病毒</w:t>
      </w:r>
      <w:r>
        <w:rPr>
          <w:rFonts w:ascii="Times New Roman" w:hAnsi="Times New Roman" w:eastAsia="Times New Roman" w:cs="Times New Roman"/>
          <w:spacing w:val="2"/>
          <w:sz w:val="20"/>
          <w:szCs w:val="20"/>
        </w:rPr>
        <w:t>(</w:t>
      </w:r>
      <w:r>
        <w:rPr>
          <w:rFonts w:ascii="Times New Roman" w:hAnsi="Times New Roman" w:eastAsia="Times New Roman" w:cs="Times New Roman"/>
          <w:sz w:val="20"/>
          <w:szCs w:val="20"/>
        </w:rPr>
        <w:t>hepatitis</w:t>
      </w:r>
      <w:r>
        <w:rPr>
          <w:rFonts w:ascii="Times New Roman" w:hAnsi="Times New Roman" w:eastAsia="Times New Roman" w:cs="Times New Roman"/>
          <w:spacing w:val="16"/>
          <w:sz w:val="20"/>
          <w:szCs w:val="20"/>
        </w:rPr>
        <w:t xml:space="preserve">   </w:t>
      </w:r>
      <w:r>
        <w:rPr>
          <w:rFonts w:ascii="Times New Roman" w:hAnsi="Times New Roman" w:eastAsia="Times New Roman" w:cs="Times New Roman"/>
          <w:sz w:val="20"/>
          <w:szCs w:val="20"/>
        </w:rPr>
        <w:t>C</w:t>
      </w:r>
      <w:r>
        <w:rPr>
          <w:rFonts w:ascii="Times New Roman" w:hAnsi="Times New Roman" w:eastAsia="Times New Roman" w:cs="Times New Roman"/>
          <w:spacing w:val="14"/>
          <w:sz w:val="20"/>
          <w:szCs w:val="20"/>
        </w:rPr>
        <w:t xml:space="preserve">   </w:t>
      </w:r>
      <w:r>
        <w:rPr>
          <w:rFonts w:ascii="Times New Roman" w:hAnsi="Times New Roman" w:eastAsia="Times New Roman" w:cs="Times New Roman"/>
          <w:sz w:val="20"/>
          <w:szCs w:val="20"/>
        </w:rPr>
        <w:t>virus</w:t>
      </w:r>
      <w:r>
        <w:rPr>
          <w:rFonts w:ascii="Times New Roman" w:hAnsi="Times New Roman" w:eastAsia="Times New Roman" w:cs="Times New Roman"/>
          <w:spacing w:val="2"/>
          <w:sz w:val="20"/>
          <w:szCs w:val="20"/>
        </w:rPr>
        <w:t>,</w:t>
      </w:r>
      <w:r>
        <w:rPr>
          <w:rFonts w:ascii="Times New Roman" w:hAnsi="Times New Roman" w:eastAsia="Times New Roman" w:cs="Times New Roman"/>
          <w:sz w:val="20"/>
          <w:szCs w:val="20"/>
        </w:rPr>
        <w:t>HCV</w:t>
      </w:r>
      <w:r>
        <w:rPr>
          <w:rFonts w:ascii="Times New Roman" w:hAnsi="Times New Roman" w:eastAsia="Times New Roman" w:cs="Times New Roman"/>
          <w:spacing w:val="2"/>
          <w:sz w:val="20"/>
          <w:szCs w:val="20"/>
        </w:rPr>
        <w:t>)</w:t>
      </w:r>
      <w:r>
        <w:rPr>
          <w:rFonts w:ascii="宋体" w:hAnsi="宋体" w:eastAsia="宋体" w:cs="宋体"/>
          <w:spacing w:val="2"/>
          <w:sz w:val="20"/>
          <w:szCs w:val="20"/>
        </w:rPr>
        <w:t>、丁型肝炎病毒</w:t>
      </w:r>
      <w:r>
        <w:rPr>
          <w:rFonts w:ascii="Times New Roman" w:hAnsi="Times New Roman" w:eastAsia="Times New Roman" w:cs="Times New Roman"/>
          <w:spacing w:val="2"/>
          <w:sz w:val="20"/>
          <w:szCs w:val="20"/>
        </w:rPr>
        <w:t>(</w:t>
      </w:r>
      <w:r>
        <w:rPr>
          <w:rFonts w:ascii="Times New Roman" w:hAnsi="Times New Roman" w:eastAsia="Times New Roman" w:cs="Times New Roman"/>
          <w:sz w:val="20"/>
          <w:szCs w:val="20"/>
        </w:rPr>
        <w:t>hepatitis</w:t>
      </w:r>
      <w:r>
        <w:rPr>
          <w:rFonts w:ascii="Times New Roman" w:hAnsi="Times New Roman" w:eastAsia="Times New Roman" w:cs="Times New Roman"/>
          <w:spacing w:val="1"/>
          <w:sz w:val="20"/>
          <w:szCs w:val="20"/>
        </w:rPr>
        <w:t xml:space="preserve">   </w:t>
      </w:r>
      <w:r>
        <w:rPr>
          <w:rFonts w:ascii="Times New Roman" w:hAnsi="Times New Roman" w:eastAsia="Times New Roman" w:cs="Times New Roman"/>
          <w:sz w:val="20"/>
          <w:szCs w:val="20"/>
        </w:rPr>
        <w:t>D</w:t>
      </w:r>
      <w:r>
        <w:rPr>
          <w:rFonts w:ascii="Times New Roman" w:hAnsi="Times New Roman" w:eastAsia="Times New Roman" w:cs="Times New Roman"/>
          <w:spacing w:val="1"/>
          <w:sz w:val="20"/>
          <w:szCs w:val="20"/>
        </w:rPr>
        <w:t xml:space="preserve">    </w:t>
      </w:r>
      <w:r>
        <w:rPr>
          <w:rFonts w:ascii="Times New Roman" w:hAnsi="Times New Roman" w:eastAsia="Times New Roman" w:cs="Times New Roman"/>
          <w:sz w:val="20"/>
          <w:szCs w:val="20"/>
        </w:rPr>
        <w:t>virus</w:t>
      </w:r>
      <w:r>
        <w:rPr>
          <w:rFonts w:ascii="Times New Roman" w:hAnsi="Times New Roman" w:eastAsia="Times New Roman" w:cs="Times New Roman"/>
          <w:spacing w:val="1"/>
          <w:sz w:val="20"/>
          <w:szCs w:val="20"/>
        </w:rPr>
        <w:t>,</w:t>
      </w:r>
      <w:r>
        <w:rPr>
          <w:rFonts w:ascii="Times New Roman" w:hAnsi="Times New Roman" w:eastAsia="Times New Roman" w:cs="Times New Roman"/>
          <w:sz w:val="20"/>
          <w:szCs w:val="20"/>
        </w:rPr>
        <w:t>HDV</w:t>
      </w:r>
      <w:r>
        <w:rPr>
          <w:rFonts w:ascii="Times New Roman" w:hAnsi="Times New Roman" w:eastAsia="Times New Roman" w:cs="Times New Roman"/>
          <w:spacing w:val="1"/>
          <w:sz w:val="20"/>
          <w:szCs w:val="20"/>
        </w:rPr>
        <w:t>)</w:t>
      </w:r>
      <w:r>
        <w:rPr>
          <w:rFonts w:ascii="宋体" w:hAnsi="宋体" w:eastAsia="宋体" w:cs="宋体"/>
          <w:spacing w:val="1"/>
          <w:sz w:val="20"/>
          <w:szCs w:val="20"/>
        </w:rPr>
        <w:t xml:space="preserve">和戊型 </w:t>
      </w:r>
      <w:r>
        <w:rPr>
          <w:rFonts w:ascii="宋体" w:hAnsi="宋体" w:eastAsia="宋体" w:cs="宋体"/>
          <w:spacing w:val="7"/>
          <w:sz w:val="20"/>
          <w:szCs w:val="20"/>
        </w:rPr>
        <w:t>肝炎病毒</w:t>
      </w:r>
      <w:r>
        <w:rPr>
          <w:rFonts w:ascii="Times New Roman" w:hAnsi="Times New Roman" w:eastAsia="Times New Roman" w:cs="Times New Roman"/>
          <w:spacing w:val="7"/>
          <w:sz w:val="20"/>
          <w:szCs w:val="20"/>
        </w:rPr>
        <w:t>(</w:t>
      </w:r>
      <w:r>
        <w:rPr>
          <w:rFonts w:ascii="Times New Roman" w:hAnsi="Times New Roman" w:eastAsia="Times New Roman" w:cs="Times New Roman"/>
          <w:sz w:val="20"/>
          <w:szCs w:val="20"/>
        </w:rPr>
        <w:t>hepatitis</w:t>
      </w:r>
      <w:r>
        <w:rPr>
          <w:rFonts w:ascii="Times New Roman" w:hAnsi="Times New Roman" w:eastAsia="Times New Roman" w:cs="Times New Roman"/>
          <w:spacing w:val="7"/>
          <w:sz w:val="20"/>
          <w:szCs w:val="20"/>
        </w:rPr>
        <w:t xml:space="preserve">    </w:t>
      </w:r>
      <w:r>
        <w:rPr>
          <w:rFonts w:ascii="Times New Roman" w:hAnsi="Times New Roman" w:eastAsia="Times New Roman" w:cs="Times New Roman"/>
          <w:sz w:val="20"/>
          <w:szCs w:val="20"/>
        </w:rPr>
        <w:t>E</w:t>
      </w:r>
      <w:r>
        <w:rPr>
          <w:rFonts w:ascii="Times New Roman" w:hAnsi="Times New Roman" w:eastAsia="Times New Roman" w:cs="Times New Roman"/>
          <w:spacing w:val="7"/>
          <w:sz w:val="20"/>
          <w:szCs w:val="20"/>
        </w:rPr>
        <w:t xml:space="preserve">    </w:t>
      </w:r>
      <w:r>
        <w:rPr>
          <w:rFonts w:ascii="Times New Roman" w:hAnsi="Times New Roman" w:eastAsia="Times New Roman" w:cs="Times New Roman"/>
          <w:sz w:val="20"/>
          <w:szCs w:val="20"/>
        </w:rPr>
        <w:t>virus</w:t>
      </w:r>
      <w:r>
        <w:rPr>
          <w:rFonts w:ascii="Times New Roman" w:hAnsi="Times New Roman" w:eastAsia="Times New Roman" w:cs="Times New Roman"/>
          <w:spacing w:val="7"/>
          <w:sz w:val="20"/>
          <w:szCs w:val="20"/>
        </w:rPr>
        <w:t>,</w:t>
      </w:r>
      <w:r>
        <w:rPr>
          <w:rFonts w:ascii="Times New Roman" w:hAnsi="Times New Roman" w:eastAsia="Times New Roman" w:cs="Times New Roman"/>
          <w:sz w:val="20"/>
          <w:szCs w:val="20"/>
        </w:rPr>
        <w:t>HEV</w:t>
      </w:r>
      <w:r>
        <w:rPr>
          <w:rFonts w:ascii="Times New Roman" w:hAnsi="Times New Roman" w:eastAsia="Times New Roman" w:cs="Times New Roman"/>
          <w:spacing w:val="7"/>
          <w:sz w:val="20"/>
          <w:szCs w:val="20"/>
        </w:rPr>
        <w:t>)</w:t>
      </w:r>
      <w:r>
        <w:rPr>
          <w:rFonts w:ascii="宋体" w:hAnsi="宋体" w:eastAsia="宋体" w:cs="宋体"/>
          <w:spacing w:val="7"/>
          <w:sz w:val="20"/>
          <w:szCs w:val="20"/>
        </w:rPr>
        <w:t>引起。病毒性肝炎病人为主</w:t>
      </w:r>
      <w:r>
        <w:rPr>
          <w:rFonts w:ascii="宋体" w:hAnsi="宋体" w:eastAsia="宋体" w:cs="宋体"/>
          <w:spacing w:val="6"/>
          <w:sz w:val="20"/>
          <w:szCs w:val="20"/>
        </w:rPr>
        <w:t>要传染源，甲肝和戊肝属于消化道传</w:t>
      </w:r>
      <w:r>
        <w:rPr>
          <w:rFonts w:ascii="宋体" w:hAnsi="宋体" w:eastAsia="宋体" w:cs="宋体"/>
          <w:sz w:val="20"/>
          <w:szCs w:val="20"/>
        </w:rPr>
        <w:t xml:space="preserve"> </w:t>
      </w:r>
      <w:r>
        <w:rPr>
          <w:rFonts w:ascii="宋体" w:hAnsi="宋体" w:eastAsia="宋体" w:cs="宋体"/>
          <w:spacing w:val="6"/>
          <w:sz w:val="20"/>
          <w:szCs w:val="20"/>
        </w:rPr>
        <w:t>播的传染病，乙肝、丙肝和丁肝主要经血液传播，属于非消化道传播的传染病。无特异性保护性抗</w:t>
      </w:r>
      <w:r>
        <w:rPr>
          <w:rFonts w:ascii="宋体" w:hAnsi="宋体" w:eastAsia="宋体" w:cs="宋体"/>
          <w:spacing w:val="18"/>
          <w:sz w:val="20"/>
          <w:szCs w:val="20"/>
        </w:rPr>
        <w:t xml:space="preserve"> </w:t>
      </w:r>
      <w:r>
        <w:rPr>
          <w:rFonts w:ascii="宋体" w:hAnsi="宋体" w:eastAsia="宋体" w:cs="宋体"/>
          <w:spacing w:val="13"/>
          <w:sz w:val="20"/>
          <w:szCs w:val="20"/>
        </w:rPr>
        <w:t>体的人群普遍易感。</w:t>
      </w:r>
    </w:p>
    <w:p w14:paraId="049B12D5">
      <w:pPr>
        <w:spacing w:before="60" w:line="334" w:lineRule="auto"/>
        <w:ind w:right="584" w:firstLine="429"/>
        <w:jc w:val="both"/>
        <w:rPr>
          <w:rFonts w:ascii="宋体" w:hAnsi="宋体" w:eastAsia="宋体" w:cs="宋体"/>
          <w:sz w:val="20"/>
          <w:szCs w:val="20"/>
        </w:rPr>
      </w:pPr>
      <w:r>
        <w:rPr>
          <w:rFonts w:ascii="宋体" w:hAnsi="宋体" w:eastAsia="宋体" w:cs="宋体"/>
          <w:spacing w:val="6"/>
          <w:sz w:val="20"/>
          <w:szCs w:val="20"/>
        </w:rPr>
        <w:t>我国自20世纪80年代起实施“预防为主，防治结合”的科学防控</w:t>
      </w:r>
      <w:r>
        <w:rPr>
          <w:rFonts w:ascii="宋体" w:hAnsi="宋体" w:eastAsia="宋体" w:cs="宋体"/>
          <w:spacing w:val="5"/>
          <w:sz w:val="20"/>
          <w:szCs w:val="20"/>
        </w:rPr>
        <w:t>策略，40多年来，在推行预防</w:t>
      </w:r>
      <w:r>
        <w:rPr>
          <w:rFonts w:ascii="宋体" w:hAnsi="宋体" w:eastAsia="宋体" w:cs="宋体"/>
          <w:sz w:val="20"/>
          <w:szCs w:val="20"/>
        </w:rPr>
        <w:t xml:space="preserve"> </w:t>
      </w:r>
      <w:r>
        <w:rPr>
          <w:rFonts w:ascii="宋体" w:hAnsi="宋体" w:eastAsia="宋体" w:cs="宋体"/>
          <w:spacing w:val="7"/>
          <w:sz w:val="20"/>
          <w:szCs w:val="20"/>
        </w:rPr>
        <w:t>接种、加强血液筛查、规范诊疗服务、加强监</w:t>
      </w:r>
      <w:r>
        <w:rPr>
          <w:rFonts w:ascii="宋体" w:hAnsi="宋体" w:eastAsia="宋体" w:cs="宋体"/>
          <w:spacing w:val="6"/>
          <w:sz w:val="20"/>
          <w:szCs w:val="20"/>
        </w:rPr>
        <w:t>管和改水改厕等方面采取了有力措施，取得了显著成</w:t>
      </w:r>
      <w:r>
        <w:rPr>
          <w:rFonts w:ascii="宋体" w:hAnsi="宋体" w:eastAsia="宋体" w:cs="宋体"/>
          <w:sz w:val="20"/>
          <w:szCs w:val="20"/>
        </w:rPr>
        <w:t xml:space="preserve"> </w:t>
      </w:r>
      <w:r>
        <w:rPr>
          <w:rFonts w:ascii="宋体" w:hAnsi="宋体" w:eastAsia="宋体" w:cs="宋体"/>
          <w:spacing w:val="9"/>
          <w:sz w:val="20"/>
          <w:szCs w:val="20"/>
        </w:rPr>
        <w:t>效，对实现2030年全球消除病毒性肝炎公共卫生危害的目标</w:t>
      </w:r>
      <w:r>
        <w:rPr>
          <w:rFonts w:ascii="宋体" w:hAnsi="宋体" w:eastAsia="宋体" w:cs="宋体"/>
          <w:spacing w:val="8"/>
          <w:sz w:val="20"/>
          <w:szCs w:val="20"/>
        </w:rPr>
        <w:t>具有重要意义。</w:t>
      </w:r>
    </w:p>
    <w:p w14:paraId="3F2C7C62">
      <w:pPr>
        <w:spacing w:line="388" w:lineRule="auto"/>
        <w:rPr>
          <w:rFonts w:ascii="Arial"/>
          <w:sz w:val="21"/>
        </w:rPr>
      </w:pPr>
    </w:p>
    <w:p w14:paraId="66C587E9">
      <w:pPr>
        <w:pStyle w:val="2"/>
        <w:spacing w:before="92" w:line="221" w:lineRule="auto"/>
        <w:ind w:left="2693"/>
        <w:outlineLvl w:val="1"/>
        <w:rPr>
          <w:sz w:val="28"/>
          <w:szCs w:val="28"/>
        </w:rPr>
      </w:pPr>
      <w:bookmarkStart w:id="480" w:name="bookmark300"/>
      <w:bookmarkEnd w:id="480"/>
      <w:r>
        <w:rPr>
          <w:b/>
          <w:bCs/>
          <w:spacing w:val="27"/>
          <w:sz w:val="28"/>
          <w:szCs w:val="28"/>
        </w:rPr>
        <w:t>第</w:t>
      </w:r>
      <w:r>
        <w:rPr>
          <w:spacing w:val="-70"/>
          <w:sz w:val="28"/>
          <w:szCs w:val="28"/>
        </w:rPr>
        <w:t xml:space="preserve"> </w:t>
      </w:r>
      <w:r>
        <w:rPr>
          <w:b/>
          <w:bCs/>
          <w:spacing w:val="27"/>
          <w:sz w:val="28"/>
          <w:szCs w:val="28"/>
        </w:rPr>
        <w:t>一</w:t>
      </w:r>
      <w:r>
        <w:rPr>
          <w:spacing w:val="-77"/>
          <w:sz w:val="28"/>
          <w:szCs w:val="28"/>
        </w:rPr>
        <w:t xml:space="preserve"> </w:t>
      </w:r>
      <w:r>
        <w:rPr>
          <w:b/>
          <w:bCs/>
          <w:spacing w:val="27"/>
          <w:sz w:val="28"/>
          <w:szCs w:val="28"/>
        </w:rPr>
        <w:t>节病原学和临床特征</w:t>
      </w:r>
    </w:p>
    <w:p w14:paraId="6916F579">
      <w:pPr>
        <w:spacing w:line="331" w:lineRule="auto"/>
        <w:rPr>
          <w:rFonts w:ascii="Arial"/>
          <w:sz w:val="21"/>
        </w:rPr>
      </w:pPr>
    </w:p>
    <w:p w14:paraId="78E34007">
      <w:pPr>
        <w:pStyle w:val="2"/>
        <w:spacing w:before="92" w:line="221" w:lineRule="auto"/>
        <w:ind w:left="433"/>
        <w:outlineLvl w:val="4"/>
        <w:rPr>
          <w:sz w:val="28"/>
          <w:szCs w:val="28"/>
        </w:rPr>
      </w:pPr>
      <w:bookmarkStart w:id="481" w:name="bookmark301"/>
      <w:bookmarkEnd w:id="481"/>
      <w:r>
        <w:rPr>
          <w:b/>
          <w:bCs/>
          <w:spacing w:val="-24"/>
          <w:sz w:val="28"/>
          <w:szCs w:val="28"/>
        </w:rPr>
        <w:t>一、病原学</w:t>
      </w:r>
    </w:p>
    <w:p w14:paraId="5B847BE0">
      <w:pPr>
        <w:pStyle w:val="2"/>
        <w:spacing w:before="255" w:line="222" w:lineRule="auto"/>
        <w:ind w:left="432"/>
        <w:rPr>
          <w:sz w:val="20"/>
          <w:szCs w:val="20"/>
        </w:rPr>
      </w:pPr>
      <w:r>
        <w:rPr>
          <w:b/>
          <w:bCs/>
          <w:spacing w:val="16"/>
          <w:sz w:val="20"/>
          <w:szCs w:val="20"/>
        </w:rPr>
        <w:t>(</w:t>
      </w:r>
      <w:r>
        <w:rPr>
          <w:spacing w:val="-43"/>
          <w:sz w:val="20"/>
          <w:szCs w:val="20"/>
        </w:rPr>
        <w:t xml:space="preserve"> </w:t>
      </w:r>
      <w:r>
        <w:rPr>
          <w:b/>
          <w:bCs/>
          <w:spacing w:val="16"/>
          <w:sz w:val="20"/>
          <w:szCs w:val="20"/>
        </w:rPr>
        <w:t>一</w:t>
      </w:r>
      <w:r>
        <w:rPr>
          <w:spacing w:val="-57"/>
          <w:sz w:val="20"/>
          <w:szCs w:val="20"/>
        </w:rPr>
        <w:t xml:space="preserve"> </w:t>
      </w:r>
      <w:r>
        <w:rPr>
          <w:b/>
          <w:bCs/>
          <w:spacing w:val="16"/>
          <w:sz w:val="20"/>
          <w:szCs w:val="20"/>
        </w:rPr>
        <w:t>)甲型肝炎病毒</w:t>
      </w:r>
    </w:p>
    <w:p w14:paraId="0428D017">
      <w:pPr>
        <w:spacing w:before="130" w:line="212" w:lineRule="auto"/>
        <w:ind w:left="429"/>
        <w:rPr>
          <w:rFonts w:ascii="Times New Roman" w:hAnsi="Times New Roman" w:eastAsia="Times New Roman" w:cs="Times New Roman"/>
          <w:sz w:val="20"/>
          <w:szCs w:val="20"/>
        </w:rPr>
      </w:pPr>
      <w:r>
        <w:rPr>
          <w:rFonts w:ascii="Times New Roman" w:hAnsi="Times New Roman" w:eastAsia="Times New Roman" w:cs="Times New Roman"/>
          <w:sz w:val="20"/>
          <w:szCs w:val="20"/>
        </w:rPr>
        <w:t>HAV</w:t>
      </w:r>
      <w:r>
        <w:rPr>
          <w:rFonts w:ascii="Times New Roman" w:hAnsi="Times New Roman" w:eastAsia="Times New Roman" w:cs="Times New Roman"/>
          <w:spacing w:val="30"/>
          <w:w w:val="101"/>
          <w:sz w:val="20"/>
          <w:szCs w:val="20"/>
        </w:rPr>
        <w:t xml:space="preserve"> </w:t>
      </w:r>
      <w:r>
        <w:rPr>
          <w:rFonts w:ascii="宋体" w:hAnsi="宋体" w:eastAsia="宋体" w:cs="宋体"/>
          <w:spacing w:val="6"/>
          <w:sz w:val="20"/>
          <w:szCs w:val="20"/>
        </w:rPr>
        <w:t>属</w:t>
      </w:r>
      <w:r>
        <w:rPr>
          <w:rFonts w:ascii="宋体" w:hAnsi="宋体" w:eastAsia="宋体" w:cs="宋体"/>
          <w:spacing w:val="-31"/>
          <w:sz w:val="20"/>
          <w:szCs w:val="20"/>
        </w:rPr>
        <w:t xml:space="preserve"> </w:t>
      </w:r>
      <w:r>
        <w:rPr>
          <w:rFonts w:ascii="宋体" w:hAnsi="宋体" w:eastAsia="宋体" w:cs="宋体"/>
          <w:spacing w:val="6"/>
          <w:sz w:val="20"/>
          <w:szCs w:val="20"/>
        </w:rPr>
        <w:t>小</w:t>
      </w:r>
      <w:r>
        <w:rPr>
          <w:rFonts w:ascii="Times New Roman" w:hAnsi="Times New Roman" w:eastAsia="Times New Roman" w:cs="Times New Roman"/>
          <w:sz w:val="20"/>
          <w:szCs w:val="20"/>
        </w:rPr>
        <w:t>RNA</w:t>
      </w:r>
      <w:r>
        <w:rPr>
          <w:rFonts w:ascii="Times New Roman" w:hAnsi="Times New Roman" w:eastAsia="Times New Roman" w:cs="Times New Roman"/>
          <w:spacing w:val="6"/>
          <w:sz w:val="20"/>
          <w:szCs w:val="20"/>
        </w:rPr>
        <w:t xml:space="preserve"> </w:t>
      </w:r>
      <w:r>
        <w:rPr>
          <w:rFonts w:ascii="宋体" w:hAnsi="宋体" w:eastAsia="宋体" w:cs="宋体"/>
          <w:spacing w:val="6"/>
          <w:sz w:val="20"/>
          <w:szCs w:val="20"/>
        </w:rPr>
        <w:t>病毒科</w:t>
      </w:r>
      <w:r>
        <w:rPr>
          <w:rFonts w:ascii="Times New Roman" w:hAnsi="Times New Roman" w:eastAsia="Times New Roman" w:cs="Times New Roman"/>
          <w:spacing w:val="6"/>
          <w:sz w:val="20"/>
          <w:szCs w:val="20"/>
        </w:rPr>
        <w:t>(</w:t>
      </w:r>
      <w:r>
        <w:rPr>
          <w:rFonts w:ascii="Times New Roman" w:hAnsi="Times New Roman" w:eastAsia="Times New Roman" w:cs="Times New Roman"/>
          <w:sz w:val="20"/>
          <w:szCs w:val="20"/>
        </w:rPr>
        <w:t>Picornaviridae</w:t>
      </w:r>
      <w:r>
        <w:rPr>
          <w:rFonts w:ascii="Times New Roman" w:hAnsi="Times New Roman" w:eastAsia="Times New Roman" w:cs="Times New Roman"/>
          <w:spacing w:val="6"/>
          <w:sz w:val="20"/>
          <w:szCs w:val="20"/>
        </w:rPr>
        <w:t xml:space="preserve">)   </w:t>
      </w:r>
      <w:r>
        <w:rPr>
          <w:rFonts w:ascii="宋体" w:hAnsi="宋体" w:eastAsia="宋体" w:cs="宋体"/>
          <w:spacing w:val="6"/>
          <w:sz w:val="20"/>
          <w:szCs w:val="20"/>
        </w:rPr>
        <w:t>嗜肝病毒属</w:t>
      </w:r>
      <w:r>
        <w:rPr>
          <w:rFonts w:ascii="Times New Roman" w:hAnsi="Times New Roman" w:eastAsia="Times New Roman" w:cs="Times New Roman"/>
          <w:spacing w:val="6"/>
          <w:sz w:val="20"/>
          <w:szCs w:val="20"/>
        </w:rPr>
        <w:t>(</w:t>
      </w:r>
      <w:r>
        <w:rPr>
          <w:rFonts w:ascii="Times New Roman" w:hAnsi="Times New Roman" w:eastAsia="Times New Roman" w:cs="Times New Roman"/>
          <w:sz w:val="20"/>
          <w:szCs w:val="20"/>
        </w:rPr>
        <w:t>Hepatovirus</w:t>
      </w:r>
      <w:r>
        <w:rPr>
          <w:rFonts w:ascii="Times New Roman" w:hAnsi="Times New Roman" w:eastAsia="Times New Roman" w:cs="Times New Roman"/>
          <w:spacing w:val="6"/>
          <w:sz w:val="20"/>
          <w:szCs w:val="20"/>
        </w:rPr>
        <w:t>)</w:t>
      </w:r>
      <w:r>
        <w:rPr>
          <w:rFonts w:ascii="Times New Roman" w:hAnsi="Times New Roman" w:eastAsia="Times New Roman" w:cs="Times New Roman"/>
          <w:spacing w:val="-23"/>
          <w:sz w:val="20"/>
          <w:szCs w:val="20"/>
        </w:rPr>
        <w:t xml:space="preserve"> </w:t>
      </w:r>
      <w:r>
        <w:rPr>
          <w:rFonts w:ascii="宋体" w:hAnsi="宋体" w:eastAsia="宋体" w:cs="宋体"/>
          <w:spacing w:val="6"/>
          <w:sz w:val="20"/>
          <w:szCs w:val="20"/>
        </w:rPr>
        <w:t>。</w:t>
      </w:r>
      <w:r>
        <w:rPr>
          <w:rFonts w:ascii="宋体" w:hAnsi="宋体" w:eastAsia="宋体" w:cs="宋体"/>
          <w:spacing w:val="-31"/>
          <w:sz w:val="20"/>
          <w:szCs w:val="20"/>
        </w:rPr>
        <w:t xml:space="preserve"> </w:t>
      </w:r>
      <w:r>
        <w:rPr>
          <w:rFonts w:ascii="宋体" w:hAnsi="宋体" w:eastAsia="宋体" w:cs="宋体"/>
          <w:spacing w:val="6"/>
          <w:sz w:val="20"/>
          <w:szCs w:val="20"/>
        </w:rPr>
        <w:t>基因组为单正链线状</w:t>
      </w:r>
      <w:r>
        <w:rPr>
          <w:rFonts w:ascii="Times New Roman" w:hAnsi="Times New Roman" w:eastAsia="Times New Roman" w:cs="Times New Roman"/>
          <w:sz w:val="20"/>
          <w:szCs w:val="20"/>
        </w:rPr>
        <w:t>RNA</w:t>
      </w:r>
      <w:r>
        <w:rPr>
          <w:rFonts w:ascii="Times New Roman" w:hAnsi="Times New Roman" w:eastAsia="Times New Roman" w:cs="Times New Roman"/>
          <w:spacing w:val="6"/>
          <w:sz w:val="20"/>
          <w:szCs w:val="20"/>
        </w:rPr>
        <w:t>,</w:t>
      </w:r>
    </w:p>
    <w:p w14:paraId="407ED084">
      <w:pPr>
        <w:spacing w:line="212" w:lineRule="auto"/>
        <w:rPr>
          <w:rFonts w:ascii="Times New Roman" w:hAnsi="Times New Roman" w:eastAsia="Times New Roman" w:cs="Times New Roman"/>
          <w:sz w:val="20"/>
          <w:szCs w:val="20"/>
        </w:rPr>
        <w:sectPr>
          <w:footerReference r:id="rId314" w:type="default"/>
          <w:pgSz w:w="11900" w:h="16820"/>
          <w:pgMar w:top="400" w:right="934" w:bottom="889" w:left="1499" w:header="0" w:footer="709" w:gutter="0"/>
          <w:cols w:space="720" w:num="1"/>
        </w:sectPr>
      </w:pPr>
    </w:p>
    <w:p w14:paraId="5F7E25D9">
      <w:pPr>
        <w:spacing w:line="270" w:lineRule="auto"/>
        <w:rPr>
          <w:rFonts w:ascii="Arial"/>
          <w:sz w:val="21"/>
        </w:rPr>
      </w:pPr>
    </w:p>
    <w:p w14:paraId="0DCF20F1">
      <w:pPr>
        <w:pStyle w:val="2"/>
        <w:spacing w:before="65" w:line="222" w:lineRule="auto"/>
        <w:ind w:left="639"/>
        <w:rPr>
          <w:sz w:val="20"/>
          <w:szCs w:val="20"/>
        </w:rPr>
      </w:pPr>
      <w:r>
        <w:rPr>
          <w:spacing w:val="-20"/>
          <w:w w:val="97"/>
          <w:sz w:val="20"/>
          <w:szCs w:val="20"/>
        </w:rPr>
        <w:t>第十九章 病毒性肝炎</w:t>
      </w:r>
    </w:p>
    <w:p w14:paraId="150B06A4">
      <w:pPr>
        <w:spacing w:line="269" w:lineRule="auto"/>
        <w:rPr>
          <w:rFonts w:ascii="Arial"/>
          <w:sz w:val="21"/>
        </w:rPr>
      </w:pPr>
    </w:p>
    <w:p w14:paraId="78A95063">
      <w:pPr>
        <w:spacing w:line="269" w:lineRule="auto"/>
        <w:rPr>
          <w:rFonts w:ascii="Arial"/>
          <w:sz w:val="21"/>
        </w:rPr>
      </w:pPr>
    </w:p>
    <w:p w14:paraId="6D1EB51F">
      <w:pPr>
        <w:spacing w:before="65" w:line="342" w:lineRule="auto"/>
        <w:ind w:left="639" w:right="19"/>
        <w:jc w:val="both"/>
        <w:rPr>
          <w:rFonts w:ascii="宋体" w:hAnsi="宋体" w:eastAsia="宋体" w:cs="宋体"/>
          <w:sz w:val="20"/>
          <w:szCs w:val="20"/>
        </w:rPr>
      </w:pPr>
      <w:r>
        <w:rPr>
          <w:rFonts w:ascii="宋体" w:hAnsi="宋体" w:eastAsia="宋体" w:cs="宋体"/>
          <w:spacing w:val="6"/>
          <w:sz w:val="20"/>
          <w:szCs w:val="20"/>
        </w:rPr>
        <w:t>长度约为7.5</w:t>
      </w:r>
      <w:r>
        <w:rPr>
          <w:rFonts w:ascii="Times New Roman" w:hAnsi="Times New Roman" w:eastAsia="Times New Roman" w:cs="Times New Roman"/>
          <w:sz w:val="20"/>
          <w:szCs w:val="20"/>
        </w:rPr>
        <w:t>kb</w:t>
      </w:r>
      <w:r>
        <w:rPr>
          <w:rFonts w:ascii="Times New Roman" w:hAnsi="Times New Roman" w:eastAsia="Times New Roman" w:cs="Times New Roman"/>
          <w:spacing w:val="-7"/>
          <w:sz w:val="20"/>
          <w:szCs w:val="20"/>
        </w:rPr>
        <w:t xml:space="preserve"> </w:t>
      </w:r>
      <w:r>
        <w:rPr>
          <w:rFonts w:ascii="宋体" w:hAnsi="宋体" w:eastAsia="宋体" w:cs="宋体"/>
          <w:spacing w:val="6"/>
          <w:sz w:val="20"/>
          <w:szCs w:val="20"/>
        </w:rPr>
        <w:t>。</w:t>
      </w:r>
      <w:r>
        <w:rPr>
          <w:rFonts w:ascii="Times New Roman" w:hAnsi="Times New Roman" w:eastAsia="Times New Roman" w:cs="Times New Roman"/>
          <w:sz w:val="20"/>
          <w:szCs w:val="20"/>
        </w:rPr>
        <w:t>HAV</w:t>
      </w:r>
      <w:r>
        <w:rPr>
          <w:rFonts w:ascii="Times New Roman" w:hAnsi="Times New Roman" w:eastAsia="Times New Roman" w:cs="Times New Roman"/>
          <w:spacing w:val="-12"/>
          <w:sz w:val="20"/>
          <w:szCs w:val="20"/>
        </w:rPr>
        <w:t xml:space="preserve"> </w:t>
      </w:r>
      <w:r>
        <w:rPr>
          <w:rFonts w:ascii="宋体" w:hAnsi="宋体" w:eastAsia="宋体" w:cs="宋体"/>
          <w:spacing w:val="6"/>
          <w:sz w:val="20"/>
          <w:szCs w:val="20"/>
        </w:rPr>
        <w:t>有7种基因型</w:t>
      </w:r>
      <w:r>
        <w:rPr>
          <w:rFonts w:ascii="Times New Roman" w:hAnsi="Times New Roman" w:eastAsia="Times New Roman" w:cs="Times New Roman"/>
          <w:spacing w:val="6"/>
          <w:sz w:val="20"/>
          <w:szCs w:val="20"/>
        </w:rPr>
        <w:t>(I</w:t>
      </w:r>
      <w:r>
        <w:rPr>
          <w:rFonts w:ascii="宋体" w:hAnsi="宋体" w:eastAsia="宋体" w:cs="宋体"/>
          <w:spacing w:val="6"/>
          <w:sz w:val="20"/>
          <w:szCs w:val="20"/>
        </w:rPr>
        <w:t>～</w:t>
      </w:r>
      <w:r>
        <w:rPr>
          <w:rFonts w:ascii="Times New Roman" w:hAnsi="Times New Roman" w:eastAsia="Times New Roman" w:cs="Times New Roman"/>
          <w:sz w:val="20"/>
          <w:szCs w:val="20"/>
        </w:rPr>
        <w:t>VI</w:t>
      </w:r>
      <w:r>
        <w:rPr>
          <w:rFonts w:ascii="Times New Roman" w:hAnsi="Times New Roman" w:eastAsia="Times New Roman" w:cs="Times New Roman"/>
          <w:spacing w:val="6"/>
          <w:sz w:val="20"/>
          <w:szCs w:val="20"/>
        </w:rPr>
        <w:t xml:space="preserve">),    </w:t>
      </w:r>
      <w:r>
        <w:rPr>
          <w:rFonts w:ascii="宋体" w:hAnsi="宋体" w:eastAsia="宋体" w:cs="宋体"/>
          <w:spacing w:val="6"/>
          <w:sz w:val="20"/>
          <w:szCs w:val="20"/>
        </w:rPr>
        <w:t>但只有一种血清型。感染人的主要为</w:t>
      </w:r>
      <w:r>
        <w:rPr>
          <w:rFonts w:ascii="Times New Roman" w:hAnsi="Times New Roman" w:eastAsia="Times New Roman" w:cs="Times New Roman"/>
          <w:spacing w:val="6"/>
          <w:sz w:val="20"/>
          <w:szCs w:val="20"/>
        </w:rPr>
        <w:t>I</w:t>
      </w:r>
      <w:r>
        <w:rPr>
          <w:rFonts w:ascii="Times New Roman" w:hAnsi="Times New Roman" w:eastAsia="Times New Roman" w:cs="Times New Roman"/>
          <w:spacing w:val="-28"/>
          <w:sz w:val="20"/>
          <w:szCs w:val="20"/>
        </w:rPr>
        <w:t xml:space="preserve"> </w:t>
      </w:r>
      <w:r>
        <w:rPr>
          <w:rFonts w:ascii="宋体" w:hAnsi="宋体" w:eastAsia="宋体" w:cs="宋体"/>
          <w:spacing w:val="6"/>
          <w:sz w:val="20"/>
          <w:szCs w:val="20"/>
        </w:rPr>
        <w:t>、</w:t>
      </w:r>
      <w:r>
        <w:rPr>
          <w:rFonts w:ascii="Times New Roman" w:hAnsi="Times New Roman" w:eastAsia="Times New Roman" w:cs="Times New Roman"/>
          <w:spacing w:val="6"/>
          <w:sz w:val="20"/>
          <w:szCs w:val="20"/>
        </w:rPr>
        <w:t>Ⅱ</w:t>
      </w:r>
      <w:r>
        <w:rPr>
          <w:rFonts w:ascii="Times New Roman" w:hAnsi="Times New Roman" w:eastAsia="Times New Roman" w:cs="Times New Roman"/>
          <w:spacing w:val="-11"/>
          <w:sz w:val="20"/>
          <w:szCs w:val="20"/>
        </w:rPr>
        <w:t xml:space="preserve"> </w:t>
      </w:r>
      <w:r>
        <w:rPr>
          <w:rFonts w:ascii="宋体" w:hAnsi="宋体" w:eastAsia="宋体" w:cs="宋体"/>
          <w:spacing w:val="6"/>
          <w:sz w:val="20"/>
          <w:szCs w:val="20"/>
        </w:rPr>
        <w:t>和Ⅲ型，</w:t>
      </w:r>
      <w:r>
        <w:rPr>
          <w:rFonts w:ascii="宋体" w:hAnsi="宋体" w:eastAsia="宋体" w:cs="宋体"/>
          <w:sz w:val="20"/>
          <w:szCs w:val="20"/>
        </w:rPr>
        <w:t xml:space="preserve"> 分为</w:t>
      </w:r>
      <w:r>
        <w:rPr>
          <w:rFonts w:ascii="Times New Roman" w:hAnsi="Times New Roman" w:eastAsia="Times New Roman" w:cs="Times New Roman"/>
          <w:sz w:val="20"/>
          <w:szCs w:val="20"/>
        </w:rPr>
        <w:t>A</w:t>
      </w:r>
      <w:r>
        <w:rPr>
          <w:rFonts w:ascii="宋体" w:hAnsi="宋体" w:eastAsia="宋体" w:cs="宋体"/>
          <w:sz w:val="20"/>
          <w:szCs w:val="20"/>
        </w:rPr>
        <w:t>、</w:t>
      </w:r>
      <w:r>
        <w:rPr>
          <w:rFonts w:ascii="Times New Roman" w:hAnsi="Times New Roman" w:eastAsia="Times New Roman" w:cs="Times New Roman"/>
          <w:sz w:val="20"/>
          <w:szCs w:val="20"/>
        </w:rPr>
        <w:t>B</w:t>
      </w:r>
      <w:r>
        <w:rPr>
          <w:rFonts w:ascii="宋体" w:hAnsi="宋体" w:eastAsia="宋体" w:cs="宋体"/>
          <w:sz w:val="20"/>
          <w:szCs w:val="20"/>
        </w:rPr>
        <w:t>两种亚型，我国流行的主要为</w:t>
      </w:r>
      <w:r>
        <w:rPr>
          <w:rFonts w:ascii="Times New Roman" w:hAnsi="Times New Roman" w:eastAsia="Times New Roman" w:cs="Times New Roman"/>
          <w:sz w:val="20"/>
          <w:szCs w:val="20"/>
        </w:rPr>
        <w:t>IA</w:t>
      </w:r>
      <w:r>
        <w:rPr>
          <w:rFonts w:ascii="Times New Roman" w:hAnsi="Times New Roman" w:eastAsia="Times New Roman" w:cs="Times New Roman"/>
          <w:spacing w:val="47"/>
          <w:sz w:val="20"/>
          <w:szCs w:val="20"/>
        </w:rPr>
        <w:t xml:space="preserve"> </w:t>
      </w:r>
      <w:r>
        <w:rPr>
          <w:rFonts w:ascii="宋体" w:hAnsi="宋体" w:eastAsia="宋体" w:cs="宋体"/>
          <w:sz w:val="20"/>
          <w:szCs w:val="20"/>
        </w:rPr>
        <w:t>亚型。</w:t>
      </w:r>
      <w:r>
        <w:rPr>
          <w:rFonts w:ascii="Times New Roman" w:hAnsi="Times New Roman" w:eastAsia="Times New Roman" w:cs="Times New Roman"/>
          <w:sz w:val="20"/>
          <w:szCs w:val="20"/>
        </w:rPr>
        <w:t>HAV</w:t>
      </w:r>
      <w:r>
        <w:rPr>
          <w:rFonts w:ascii="宋体" w:hAnsi="宋体" w:eastAsia="宋体" w:cs="宋体"/>
          <w:sz w:val="20"/>
          <w:szCs w:val="20"/>
        </w:rPr>
        <w:t xml:space="preserve">中和抗原表位主要氨基酸序列保守，甲肝疫  </w:t>
      </w:r>
      <w:r>
        <w:rPr>
          <w:rFonts w:ascii="宋体" w:hAnsi="宋体" w:eastAsia="宋体" w:cs="宋体"/>
          <w:spacing w:val="2"/>
          <w:sz w:val="20"/>
          <w:szCs w:val="20"/>
        </w:rPr>
        <w:t>苗对不同基因型</w:t>
      </w:r>
      <w:r>
        <w:rPr>
          <w:rFonts w:ascii="Times New Roman" w:hAnsi="Times New Roman" w:eastAsia="Times New Roman" w:cs="Times New Roman"/>
          <w:sz w:val="20"/>
          <w:szCs w:val="20"/>
        </w:rPr>
        <w:t>HAV</w:t>
      </w:r>
      <w:r>
        <w:rPr>
          <w:rFonts w:ascii="宋体" w:hAnsi="宋体" w:eastAsia="宋体" w:cs="宋体"/>
          <w:spacing w:val="2"/>
          <w:sz w:val="20"/>
          <w:szCs w:val="20"/>
        </w:rPr>
        <w:t>的感染均具有保护作用。</w:t>
      </w:r>
    </w:p>
    <w:p w14:paraId="2E7D2DA9">
      <w:pPr>
        <w:spacing w:before="3" w:line="340" w:lineRule="auto"/>
        <w:ind w:left="639" w:right="108" w:firstLine="390"/>
        <w:jc w:val="both"/>
        <w:rPr>
          <w:rFonts w:ascii="宋体" w:hAnsi="宋体" w:eastAsia="宋体" w:cs="宋体"/>
          <w:sz w:val="20"/>
          <w:szCs w:val="20"/>
        </w:rPr>
      </w:pPr>
      <w:r>
        <w:rPr>
          <w:rFonts w:ascii="Times New Roman" w:hAnsi="Times New Roman" w:eastAsia="Times New Roman" w:cs="Times New Roman"/>
          <w:sz w:val="20"/>
          <w:szCs w:val="20"/>
        </w:rPr>
        <w:t>HAV</w:t>
      </w:r>
      <w:r>
        <w:rPr>
          <w:rFonts w:ascii="Times New Roman" w:hAnsi="Times New Roman" w:eastAsia="Times New Roman" w:cs="Times New Roman"/>
          <w:spacing w:val="-20"/>
          <w:sz w:val="20"/>
          <w:szCs w:val="20"/>
        </w:rPr>
        <w:t xml:space="preserve"> </w:t>
      </w:r>
      <w:r>
        <w:rPr>
          <w:rFonts w:ascii="宋体" w:hAnsi="宋体" w:eastAsia="宋体" w:cs="宋体"/>
          <w:sz w:val="20"/>
          <w:szCs w:val="20"/>
        </w:rPr>
        <w:t>对理化因素抵抗力较强，耐热、耐酸碱</w:t>
      </w:r>
      <w:r>
        <w:rPr>
          <w:rFonts w:ascii="宋体" w:hAnsi="宋体" w:eastAsia="宋体" w:cs="宋体"/>
          <w:spacing w:val="-1"/>
          <w:sz w:val="20"/>
          <w:szCs w:val="20"/>
        </w:rPr>
        <w:t>、耐乙醚，在</w:t>
      </w:r>
      <w:r>
        <w:rPr>
          <w:rFonts w:ascii="Times New Roman" w:hAnsi="Times New Roman" w:eastAsia="Times New Roman" w:cs="Times New Roman"/>
          <w:spacing w:val="-1"/>
          <w:sz w:val="20"/>
          <w:szCs w:val="20"/>
        </w:rPr>
        <w:t>pH2</w:t>
      </w:r>
      <w:r>
        <w:rPr>
          <w:rFonts w:ascii="宋体" w:hAnsi="宋体" w:eastAsia="宋体" w:cs="宋体"/>
          <w:spacing w:val="-1"/>
          <w:sz w:val="20"/>
          <w:szCs w:val="20"/>
        </w:rPr>
        <w:t>～</w:t>
      </w:r>
      <w:r>
        <w:rPr>
          <w:rFonts w:ascii="Times New Roman" w:hAnsi="Times New Roman" w:eastAsia="Times New Roman" w:cs="Times New Roman"/>
          <w:spacing w:val="-1"/>
          <w:sz w:val="20"/>
          <w:szCs w:val="20"/>
        </w:rPr>
        <w:t xml:space="preserve">10   </w:t>
      </w:r>
      <w:r>
        <w:rPr>
          <w:rFonts w:ascii="宋体" w:hAnsi="宋体" w:eastAsia="宋体" w:cs="宋体"/>
          <w:spacing w:val="-1"/>
          <w:sz w:val="20"/>
          <w:szCs w:val="20"/>
        </w:rPr>
        <w:t>的环境中稳定，20%乙醚不</w:t>
      </w:r>
      <w:r>
        <w:rPr>
          <w:rFonts w:ascii="宋体" w:hAnsi="宋体" w:eastAsia="宋体" w:cs="宋体"/>
          <w:sz w:val="20"/>
          <w:szCs w:val="20"/>
        </w:rPr>
        <w:t xml:space="preserve"> </w:t>
      </w:r>
      <w:r>
        <w:rPr>
          <w:rFonts w:ascii="宋体" w:hAnsi="宋体" w:eastAsia="宋体" w:cs="宋体"/>
          <w:spacing w:val="6"/>
          <w:sz w:val="20"/>
          <w:szCs w:val="20"/>
        </w:rPr>
        <w:t>能将其灭活。贝类(如牡蛎、蛤蜊等)中的</w:t>
      </w:r>
      <w:r>
        <w:rPr>
          <w:rFonts w:ascii="宋体" w:hAnsi="宋体" w:eastAsia="宋体" w:cs="宋体"/>
          <w:sz w:val="20"/>
          <w:szCs w:val="20"/>
        </w:rPr>
        <w:t>HAV</w:t>
      </w:r>
      <w:r>
        <w:rPr>
          <w:rFonts w:ascii="宋体" w:hAnsi="宋体" w:eastAsia="宋体" w:cs="宋体"/>
          <w:spacing w:val="84"/>
          <w:sz w:val="20"/>
          <w:szCs w:val="20"/>
        </w:rPr>
        <w:t xml:space="preserve"> </w:t>
      </w:r>
      <w:r>
        <w:rPr>
          <w:rFonts w:ascii="宋体" w:hAnsi="宋体" w:eastAsia="宋体" w:cs="宋体"/>
          <w:spacing w:val="6"/>
          <w:sz w:val="20"/>
          <w:szCs w:val="20"/>
        </w:rPr>
        <w:t>在</w:t>
      </w:r>
      <w:r>
        <w:rPr>
          <w:rFonts w:ascii="宋体" w:hAnsi="宋体" w:eastAsia="宋体" w:cs="宋体"/>
          <w:spacing w:val="5"/>
          <w:sz w:val="20"/>
          <w:szCs w:val="20"/>
        </w:rPr>
        <w:t>水中可存活数天至数月，4℃存放24～48小时仍</w:t>
      </w:r>
      <w:r>
        <w:rPr>
          <w:rFonts w:ascii="宋体" w:hAnsi="宋体" w:eastAsia="宋体" w:cs="宋体"/>
          <w:sz w:val="20"/>
          <w:szCs w:val="20"/>
        </w:rPr>
        <w:t xml:space="preserve"> </w:t>
      </w:r>
      <w:r>
        <w:rPr>
          <w:rFonts w:ascii="宋体" w:hAnsi="宋体" w:eastAsia="宋体" w:cs="宋体"/>
          <w:spacing w:val="9"/>
          <w:sz w:val="20"/>
          <w:szCs w:val="20"/>
        </w:rPr>
        <w:t>可保持稳定，1.5</w:t>
      </w:r>
      <w:r>
        <w:rPr>
          <w:rFonts w:ascii="Times New Roman" w:hAnsi="Times New Roman" w:eastAsia="Times New Roman" w:cs="Times New Roman"/>
          <w:sz w:val="20"/>
          <w:szCs w:val="20"/>
        </w:rPr>
        <w:t>mg</w:t>
      </w:r>
      <w:r>
        <w:rPr>
          <w:rFonts w:ascii="Times New Roman" w:hAnsi="Times New Roman" w:eastAsia="Times New Roman" w:cs="Times New Roman"/>
          <w:spacing w:val="9"/>
          <w:sz w:val="20"/>
          <w:szCs w:val="20"/>
        </w:rPr>
        <w:t>/L</w:t>
      </w:r>
      <w:r>
        <w:rPr>
          <w:rFonts w:ascii="宋体" w:hAnsi="宋体" w:eastAsia="宋体" w:cs="宋体"/>
          <w:spacing w:val="9"/>
          <w:sz w:val="20"/>
          <w:szCs w:val="20"/>
        </w:rPr>
        <w:t>余氯1小时仍存活。60℃6小时、100℃</w:t>
      </w:r>
      <w:r>
        <w:rPr>
          <w:rFonts w:ascii="宋体" w:hAnsi="宋体" w:eastAsia="宋体" w:cs="宋体"/>
          <w:spacing w:val="43"/>
          <w:sz w:val="20"/>
          <w:szCs w:val="20"/>
        </w:rPr>
        <w:t xml:space="preserve"> </w:t>
      </w:r>
      <w:r>
        <w:rPr>
          <w:rFonts w:ascii="宋体" w:hAnsi="宋体" w:eastAsia="宋体" w:cs="宋体"/>
          <w:spacing w:val="9"/>
          <w:sz w:val="20"/>
          <w:szCs w:val="20"/>
        </w:rPr>
        <w:t>5分钟、5%～8%甲醛或70%乙醇可</w:t>
      </w:r>
      <w:r>
        <w:rPr>
          <w:rFonts w:ascii="宋体" w:hAnsi="宋体" w:eastAsia="宋体" w:cs="宋体"/>
          <w:sz w:val="20"/>
          <w:szCs w:val="20"/>
        </w:rPr>
        <w:t xml:space="preserve"> </w:t>
      </w:r>
      <w:r>
        <w:rPr>
          <w:rFonts w:ascii="宋体" w:hAnsi="宋体" w:eastAsia="宋体" w:cs="宋体"/>
          <w:spacing w:val="3"/>
          <w:sz w:val="20"/>
          <w:szCs w:val="20"/>
        </w:rPr>
        <w:t>灭活</w:t>
      </w:r>
      <w:r>
        <w:rPr>
          <w:rFonts w:ascii="Times New Roman" w:hAnsi="Times New Roman" w:eastAsia="Times New Roman" w:cs="Times New Roman"/>
          <w:sz w:val="20"/>
          <w:szCs w:val="20"/>
        </w:rPr>
        <w:t>HAV</w:t>
      </w:r>
      <w:r>
        <w:rPr>
          <w:rFonts w:ascii="Times New Roman" w:hAnsi="Times New Roman" w:eastAsia="Times New Roman" w:cs="Times New Roman"/>
          <w:spacing w:val="3"/>
          <w:sz w:val="20"/>
          <w:szCs w:val="20"/>
        </w:rPr>
        <w:t xml:space="preserve">,1:4000      </w:t>
      </w:r>
      <w:r>
        <w:rPr>
          <w:rFonts w:ascii="宋体" w:hAnsi="宋体" w:eastAsia="宋体" w:cs="宋体"/>
          <w:spacing w:val="3"/>
          <w:sz w:val="20"/>
          <w:szCs w:val="20"/>
        </w:rPr>
        <w:t>的甲醛72小时可使其失去感染性而保留免疫原性。</w:t>
      </w:r>
    </w:p>
    <w:p w14:paraId="5FAADDA2">
      <w:pPr>
        <w:pStyle w:val="2"/>
        <w:spacing w:before="3" w:line="222" w:lineRule="auto"/>
        <w:ind w:left="1032"/>
        <w:rPr>
          <w:sz w:val="20"/>
          <w:szCs w:val="20"/>
        </w:rPr>
      </w:pPr>
      <w:r>
        <w:rPr>
          <w:b/>
          <w:bCs/>
          <w:spacing w:val="19"/>
          <w:sz w:val="20"/>
          <w:szCs w:val="20"/>
        </w:rPr>
        <w:t>(二)乙型肝炎病毒</w:t>
      </w:r>
    </w:p>
    <w:p w14:paraId="16EED38D">
      <w:pPr>
        <w:spacing w:before="117" w:line="338" w:lineRule="auto"/>
        <w:ind w:left="639" w:right="109" w:firstLine="390"/>
        <w:jc w:val="both"/>
        <w:rPr>
          <w:rFonts w:ascii="宋体" w:hAnsi="宋体" w:eastAsia="宋体" w:cs="宋体"/>
          <w:sz w:val="20"/>
          <w:szCs w:val="20"/>
        </w:rPr>
      </w:pPr>
      <w:r>
        <w:rPr>
          <w:rFonts w:ascii="Times New Roman" w:hAnsi="Times New Roman" w:eastAsia="Times New Roman" w:cs="Times New Roman"/>
          <w:sz w:val="20"/>
          <w:szCs w:val="20"/>
        </w:rPr>
        <w:t>HBV</w:t>
      </w:r>
      <w:r>
        <w:rPr>
          <w:rFonts w:ascii="Times New Roman" w:hAnsi="Times New Roman" w:eastAsia="Times New Roman" w:cs="Times New Roman"/>
          <w:spacing w:val="-6"/>
          <w:sz w:val="20"/>
          <w:szCs w:val="20"/>
        </w:rPr>
        <w:t xml:space="preserve"> </w:t>
      </w:r>
      <w:r>
        <w:rPr>
          <w:rFonts w:ascii="宋体" w:hAnsi="宋体" w:eastAsia="宋体" w:cs="宋体"/>
          <w:spacing w:val="6"/>
          <w:sz w:val="20"/>
          <w:szCs w:val="20"/>
        </w:rPr>
        <w:t>属嗜肝</w:t>
      </w:r>
      <w:r>
        <w:rPr>
          <w:rFonts w:ascii="Times New Roman" w:hAnsi="Times New Roman" w:eastAsia="Times New Roman" w:cs="Times New Roman"/>
          <w:sz w:val="20"/>
          <w:szCs w:val="20"/>
        </w:rPr>
        <w:t>DNA</w:t>
      </w:r>
      <w:r>
        <w:rPr>
          <w:rFonts w:ascii="Times New Roman" w:hAnsi="Times New Roman" w:eastAsia="Times New Roman" w:cs="Times New Roman"/>
          <w:spacing w:val="-9"/>
          <w:sz w:val="20"/>
          <w:szCs w:val="20"/>
        </w:rPr>
        <w:t xml:space="preserve"> </w:t>
      </w:r>
      <w:r>
        <w:rPr>
          <w:rFonts w:ascii="宋体" w:hAnsi="宋体" w:eastAsia="宋体" w:cs="宋体"/>
          <w:spacing w:val="6"/>
          <w:sz w:val="20"/>
          <w:szCs w:val="20"/>
        </w:rPr>
        <w:t>病毒科</w:t>
      </w:r>
      <w:r>
        <w:rPr>
          <w:rFonts w:ascii="Times New Roman" w:hAnsi="Times New Roman" w:eastAsia="Times New Roman" w:cs="Times New Roman"/>
          <w:spacing w:val="6"/>
          <w:sz w:val="20"/>
          <w:szCs w:val="20"/>
        </w:rPr>
        <w:t>(</w:t>
      </w:r>
      <w:r>
        <w:rPr>
          <w:rFonts w:ascii="Times New Roman" w:hAnsi="Times New Roman" w:eastAsia="Times New Roman" w:cs="Times New Roman"/>
          <w:sz w:val="20"/>
          <w:szCs w:val="20"/>
        </w:rPr>
        <w:t>Hepadnaviridae</w:t>
      </w:r>
      <w:r>
        <w:rPr>
          <w:rFonts w:ascii="Times New Roman" w:hAnsi="Times New Roman" w:eastAsia="Times New Roman" w:cs="Times New Roman"/>
          <w:spacing w:val="6"/>
          <w:sz w:val="20"/>
          <w:szCs w:val="20"/>
        </w:rPr>
        <w:t>)</w:t>
      </w:r>
      <w:r>
        <w:rPr>
          <w:rFonts w:ascii="Times New Roman" w:hAnsi="Times New Roman" w:eastAsia="Times New Roman" w:cs="Times New Roman"/>
          <w:spacing w:val="40"/>
          <w:sz w:val="20"/>
          <w:szCs w:val="20"/>
        </w:rPr>
        <w:t xml:space="preserve"> </w:t>
      </w:r>
      <w:r>
        <w:rPr>
          <w:rFonts w:ascii="宋体" w:hAnsi="宋体" w:eastAsia="宋体" w:cs="宋体"/>
          <w:spacing w:val="6"/>
          <w:sz w:val="20"/>
          <w:szCs w:val="20"/>
        </w:rPr>
        <w:t>正嗜肝</w:t>
      </w:r>
      <w:r>
        <w:rPr>
          <w:rFonts w:ascii="Times New Roman" w:hAnsi="Times New Roman" w:eastAsia="Times New Roman" w:cs="Times New Roman"/>
          <w:sz w:val="20"/>
          <w:szCs w:val="20"/>
        </w:rPr>
        <w:t>DNA</w:t>
      </w:r>
      <w:r>
        <w:rPr>
          <w:rFonts w:ascii="Times New Roman" w:hAnsi="Times New Roman" w:eastAsia="Times New Roman" w:cs="Times New Roman"/>
          <w:spacing w:val="-10"/>
          <w:sz w:val="20"/>
          <w:szCs w:val="20"/>
        </w:rPr>
        <w:t xml:space="preserve"> </w:t>
      </w:r>
      <w:r>
        <w:rPr>
          <w:rFonts w:ascii="宋体" w:hAnsi="宋体" w:eastAsia="宋体" w:cs="宋体"/>
          <w:spacing w:val="6"/>
          <w:sz w:val="20"/>
          <w:szCs w:val="20"/>
        </w:rPr>
        <w:t>病毒属</w:t>
      </w:r>
      <w:r>
        <w:rPr>
          <w:rFonts w:ascii="Times New Roman" w:hAnsi="Times New Roman" w:eastAsia="Times New Roman" w:cs="Times New Roman"/>
          <w:spacing w:val="6"/>
          <w:sz w:val="20"/>
          <w:szCs w:val="20"/>
        </w:rPr>
        <w:t>(</w:t>
      </w:r>
      <w:r>
        <w:rPr>
          <w:rFonts w:ascii="Times New Roman" w:hAnsi="Times New Roman" w:eastAsia="Times New Roman" w:cs="Times New Roman"/>
          <w:sz w:val="20"/>
          <w:szCs w:val="20"/>
        </w:rPr>
        <w:t>Orthohepadnavirus</w:t>
      </w:r>
      <w:r>
        <w:rPr>
          <w:rFonts w:ascii="Times New Roman" w:hAnsi="Times New Roman" w:eastAsia="Times New Roman" w:cs="Times New Roman"/>
          <w:spacing w:val="6"/>
          <w:sz w:val="20"/>
          <w:szCs w:val="20"/>
        </w:rPr>
        <w:t>)</w:t>
      </w:r>
      <w:r>
        <w:rPr>
          <w:rFonts w:ascii="Times New Roman" w:hAnsi="Times New Roman" w:eastAsia="Times New Roman" w:cs="Times New Roman"/>
          <w:spacing w:val="-23"/>
          <w:sz w:val="20"/>
          <w:szCs w:val="20"/>
        </w:rPr>
        <w:t xml:space="preserve"> </w:t>
      </w:r>
      <w:r>
        <w:rPr>
          <w:rFonts w:ascii="宋体" w:hAnsi="宋体" w:eastAsia="宋体" w:cs="宋体"/>
          <w:spacing w:val="6"/>
          <w:sz w:val="20"/>
          <w:szCs w:val="20"/>
        </w:rPr>
        <w:t>。 基因组为</w:t>
      </w:r>
      <w:r>
        <w:rPr>
          <w:rFonts w:ascii="宋体" w:hAnsi="宋体" w:eastAsia="宋体" w:cs="宋体"/>
          <w:sz w:val="20"/>
          <w:szCs w:val="20"/>
        </w:rPr>
        <w:t xml:space="preserve"> </w:t>
      </w:r>
      <w:r>
        <w:rPr>
          <w:rFonts w:ascii="宋体" w:hAnsi="宋体" w:eastAsia="宋体" w:cs="宋体"/>
          <w:spacing w:val="4"/>
          <w:sz w:val="20"/>
          <w:szCs w:val="20"/>
        </w:rPr>
        <w:t>不完全双链环状</w:t>
      </w:r>
      <w:r>
        <w:rPr>
          <w:rFonts w:ascii="Times New Roman" w:hAnsi="Times New Roman" w:eastAsia="Times New Roman" w:cs="Times New Roman"/>
          <w:sz w:val="20"/>
          <w:szCs w:val="20"/>
        </w:rPr>
        <w:t>DNA</w:t>
      </w:r>
      <w:r>
        <w:rPr>
          <w:rFonts w:ascii="Times New Roman" w:hAnsi="Times New Roman" w:eastAsia="Times New Roman" w:cs="Times New Roman"/>
          <w:spacing w:val="4"/>
          <w:sz w:val="20"/>
          <w:szCs w:val="20"/>
        </w:rPr>
        <w:t xml:space="preserve">, </w:t>
      </w:r>
      <w:r>
        <w:rPr>
          <w:rFonts w:ascii="宋体" w:hAnsi="宋体" w:eastAsia="宋体" w:cs="宋体"/>
          <w:spacing w:val="4"/>
          <w:sz w:val="20"/>
          <w:szCs w:val="20"/>
        </w:rPr>
        <w:t>全长约3.2</w:t>
      </w:r>
      <w:r>
        <w:rPr>
          <w:rFonts w:ascii="Times New Roman" w:hAnsi="Times New Roman" w:eastAsia="Times New Roman" w:cs="Times New Roman"/>
          <w:sz w:val="20"/>
          <w:szCs w:val="20"/>
        </w:rPr>
        <w:t>kb</w:t>
      </w:r>
      <w:r>
        <w:rPr>
          <w:rFonts w:ascii="Times New Roman" w:hAnsi="Times New Roman" w:eastAsia="Times New Roman" w:cs="Times New Roman"/>
          <w:spacing w:val="4"/>
          <w:sz w:val="20"/>
          <w:szCs w:val="20"/>
        </w:rPr>
        <w:t xml:space="preserve">, </w:t>
      </w:r>
      <w:r>
        <w:rPr>
          <w:rFonts w:ascii="宋体" w:hAnsi="宋体" w:eastAsia="宋体" w:cs="宋体"/>
          <w:spacing w:val="4"/>
          <w:sz w:val="20"/>
          <w:szCs w:val="20"/>
        </w:rPr>
        <w:t>有4个可读框</w:t>
      </w:r>
      <w:r>
        <w:rPr>
          <w:rFonts w:ascii="Times New Roman" w:hAnsi="Times New Roman" w:eastAsia="Times New Roman" w:cs="Times New Roman"/>
          <w:spacing w:val="4"/>
          <w:sz w:val="20"/>
          <w:szCs w:val="20"/>
        </w:rPr>
        <w:t>(</w:t>
      </w:r>
      <w:r>
        <w:rPr>
          <w:rFonts w:ascii="Times New Roman" w:hAnsi="Times New Roman" w:eastAsia="Times New Roman" w:cs="Times New Roman"/>
          <w:sz w:val="20"/>
          <w:szCs w:val="20"/>
        </w:rPr>
        <w:t>open</w:t>
      </w:r>
      <w:r>
        <w:rPr>
          <w:rFonts w:ascii="Times New Roman" w:hAnsi="Times New Roman" w:eastAsia="Times New Roman" w:cs="Times New Roman"/>
          <w:spacing w:val="4"/>
          <w:sz w:val="20"/>
          <w:szCs w:val="20"/>
        </w:rPr>
        <w:t xml:space="preserve">   </w:t>
      </w:r>
      <w:r>
        <w:rPr>
          <w:rFonts w:ascii="Times New Roman" w:hAnsi="Times New Roman" w:eastAsia="Times New Roman" w:cs="Times New Roman"/>
          <w:sz w:val="20"/>
          <w:szCs w:val="20"/>
        </w:rPr>
        <w:t>reading</w:t>
      </w:r>
      <w:r>
        <w:rPr>
          <w:rFonts w:ascii="Times New Roman" w:hAnsi="Times New Roman" w:eastAsia="Times New Roman" w:cs="Times New Roman"/>
          <w:spacing w:val="4"/>
          <w:sz w:val="20"/>
          <w:szCs w:val="20"/>
        </w:rPr>
        <w:t xml:space="preserve">    </w:t>
      </w:r>
      <w:r>
        <w:rPr>
          <w:rFonts w:ascii="Times New Roman" w:hAnsi="Times New Roman" w:eastAsia="Times New Roman" w:cs="Times New Roman"/>
          <w:sz w:val="20"/>
          <w:szCs w:val="20"/>
        </w:rPr>
        <w:t>frame</w:t>
      </w:r>
      <w:r>
        <w:rPr>
          <w:rFonts w:ascii="Times New Roman" w:hAnsi="Times New Roman" w:eastAsia="Times New Roman" w:cs="Times New Roman"/>
          <w:spacing w:val="4"/>
          <w:sz w:val="20"/>
          <w:szCs w:val="20"/>
        </w:rPr>
        <w:t>,</w:t>
      </w:r>
      <w:r>
        <w:rPr>
          <w:rFonts w:ascii="Times New Roman" w:hAnsi="Times New Roman" w:eastAsia="Times New Roman" w:cs="Times New Roman"/>
          <w:sz w:val="20"/>
          <w:szCs w:val="20"/>
        </w:rPr>
        <w:t>ORF</w:t>
      </w:r>
      <w:r>
        <w:rPr>
          <w:rFonts w:ascii="Times New Roman" w:hAnsi="Times New Roman" w:eastAsia="Times New Roman" w:cs="Times New Roman"/>
          <w:spacing w:val="4"/>
          <w:sz w:val="20"/>
          <w:szCs w:val="20"/>
        </w:rPr>
        <w:t>),</w:t>
      </w:r>
      <w:r>
        <w:rPr>
          <w:rFonts w:ascii="宋体" w:hAnsi="宋体" w:eastAsia="宋体" w:cs="宋体"/>
          <w:spacing w:val="4"/>
          <w:sz w:val="20"/>
          <w:szCs w:val="20"/>
        </w:rPr>
        <w:t>分别为</w:t>
      </w:r>
      <w:r>
        <w:rPr>
          <w:rFonts w:ascii="Times New Roman" w:hAnsi="Times New Roman" w:eastAsia="Times New Roman" w:cs="Times New Roman"/>
          <w:spacing w:val="4"/>
          <w:sz w:val="20"/>
          <w:szCs w:val="20"/>
        </w:rPr>
        <w:t>S</w:t>
      </w:r>
      <w:r>
        <w:rPr>
          <w:rFonts w:ascii="宋体" w:hAnsi="宋体" w:eastAsia="宋体" w:cs="宋体"/>
          <w:spacing w:val="4"/>
          <w:sz w:val="20"/>
          <w:szCs w:val="20"/>
        </w:rPr>
        <w:t>、</w:t>
      </w:r>
      <w:r>
        <w:rPr>
          <w:rFonts w:ascii="Times New Roman" w:hAnsi="Times New Roman" w:eastAsia="Times New Roman" w:cs="Times New Roman"/>
          <w:spacing w:val="4"/>
          <w:sz w:val="20"/>
          <w:szCs w:val="20"/>
        </w:rPr>
        <w:t>C</w:t>
      </w:r>
      <w:r>
        <w:rPr>
          <w:rFonts w:ascii="宋体" w:hAnsi="宋体" w:eastAsia="宋体" w:cs="宋体"/>
          <w:spacing w:val="4"/>
          <w:sz w:val="20"/>
          <w:szCs w:val="20"/>
        </w:rPr>
        <w:t>、</w:t>
      </w:r>
      <w:r>
        <w:rPr>
          <w:rFonts w:ascii="Times New Roman" w:hAnsi="Times New Roman" w:eastAsia="Times New Roman" w:cs="Times New Roman"/>
          <w:spacing w:val="4"/>
          <w:sz w:val="20"/>
          <w:szCs w:val="20"/>
        </w:rPr>
        <w:t>P</w:t>
      </w:r>
      <w:r>
        <w:rPr>
          <w:rFonts w:ascii="宋体" w:hAnsi="宋体" w:eastAsia="宋体" w:cs="宋体"/>
          <w:spacing w:val="4"/>
          <w:sz w:val="20"/>
          <w:szCs w:val="20"/>
        </w:rPr>
        <w:t>和</w:t>
      </w:r>
      <w:r>
        <w:rPr>
          <w:rFonts w:ascii="宋体" w:hAnsi="宋体" w:eastAsia="宋体" w:cs="宋体"/>
          <w:spacing w:val="-25"/>
          <w:sz w:val="20"/>
          <w:szCs w:val="20"/>
        </w:rPr>
        <w:t xml:space="preserve"> </w:t>
      </w:r>
      <w:r>
        <w:rPr>
          <w:rFonts w:ascii="Times New Roman" w:hAnsi="Times New Roman" w:eastAsia="Times New Roman" w:cs="Times New Roman"/>
          <w:spacing w:val="4"/>
          <w:sz w:val="20"/>
          <w:szCs w:val="20"/>
        </w:rPr>
        <w:t>X</w:t>
      </w:r>
      <w:r>
        <w:rPr>
          <w:rFonts w:ascii="Times New Roman" w:hAnsi="Times New Roman" w:eastAsia="Times New Roman" w:cs="Times New Roman"/>
          <w:sz w:val="20"/>
          <w:szCs w:val="20"/>
        </w:rPr>
        <w:t xml:space="preserve"> </w:t>
      </w:r>
      <w:r>
        <w:rPr>
          <w:rFonts w:ascii="宋体" w:hAnsi="宋体" w:eastAsia="宋体" w:cs="宋体"/>
          <w:spacing w:val="-2"/>
          <w:sz w:val="20"/>
          <w:szCs w:val="20"/>
        </w:rPr>
        <w:t>基因区，分别编码乙肝表面抗原</w:t>
      </w:r>
      <w:r>
        <w:rPr>
          <w:rFonts w:ascii="Times New Roman" w:hAnsi="Times New Roman" w:eastAsia="Times New Roman" w:cs="Times New Roman"/>
          <w:spacing w:val="-2"/>
          <w:sz w:val="20"/>
          <w:szCs w:val="20"/>
        </w:rPr>
        <w:t>(hepatitis</w:t>
      </w:r>
      <w:r>
        <w:rPr>
          <w:rFonts w:ascii="Times New Roman" w:hAnsi="Times New Roman" w:eastAsia="Times New Roman" w:cs="Times New Roman"/>
          <w:spacing w:val="13"/>
          <w:sz w:val="20"/>
          <w:szCs w:val="20"/>
        </w:rPr>
        <w:t xml:space="preserve">  </w:t>
      </w:r>
      <w:r>
        <w:rPr>
          <w:rFonts w:ascii="Times New Roman" w:hAnsi="Times New Roman" w:eastAsia="Times New Roman" w:cs="Times New Roman"/>
          <w:spacing w:val="-2"/>
          <w:sz w:val="20"/>
          <w:szCs w:val="20"/>
        </w:rPr>
        <w:t>B</w:t>
      </w:r>
      <w:r>
        <w:rPr>
          <w:rFonts w:ascii="Times New Roman" w:hAnsi="Times New Roman" w:eastAsia="Times New Roman" w:cs="Times New Roman"/>
          <w:spacing w:val="16"/>
          <w:w w:val="101"/>
          <w:sz w:val="20"/>
          <w:szCs w:val="20"/>
        </w:rPr>
        <w:t xml:space="preserve">  </w:t>
      </w:r>
      <w:r>
        <w:rPr>
          <w:rFonts w:ascii="Times New Roman" w:hAnsi="Times New Roman" w:eastAsia="Times New Roman" w:cs="Times New Roman"/>
          <w:spacing w:val="-2"/>
          <w:sz w:val="20"/>
          <w:szCs w:val="20"/>
        </w:rPr>
        <w:t>surface</w:t>
      </w:r>
      <w:r>
        <w:rPr>
          <w:rFonts w:ascii="Times New Roman" w:hAnsi="Times New Roman" w:eastAsia="Times New Roman" w:cs="Times New Roman"/>
          <w:spacing w:val="15"/>
          <w:w w:val="101"/>
          <w:sz w:val="20"/>
          <w:szCs w:val="20"/>
        </w:rPr>
        <w:t xml:space="preserve">  </w:t>
      </w:r>
      <w:r>
        <w:rPr>
          <w:rFonts w:ascii="Times New Roman" w:hAnsi="Times New Roman" w:eastAsia="Times New Roman" w:cs="Times New Roman"/>
          <w:spacing w:val="-2"/>
          <w:sz w:val="20"/>
          <w:szCs w:val="20"/>
        </w:rPr>
        <w:t>antigen,HBsAg)</w:t>
      </w:r>
      <w:r>
        <w:rPr>
          <w:rFonts w:ascii="宋体" w:hAnsi="宋体" w:eastAsia="宋体" w:cs="宋体"/>
          <w:spacing w:val="-2"/>
          <w:sz w:val="20"/>
          <w:szCs w:val="20"/>
        </w:rPr>
        <w:t>、乙肝核心抗原</w:t>
      </w:r>
      <w:r>
        <w:rPr>
          <w:rFonts w:ascii="Times New Roman" w:hAnsi="Times New Roman" w:eastAsia="Times New Roman" w:cs="Times New Roman"/>
          <w:spacing w:val="-2"/>
          <w:sz w:val="20"/>
          <w:szCs w:val="20"/>
        </w:rPr>
        <w:t>(hepa</w:t>
      </w:r>
      <w:r>
        <w:rPr>
          <w:rFonts w:ascii="Times New Roman" w:hAnsi="Times New Roman" w:eastAsia="Times New Roman" w:cs="Times New Roman"/>
          <w:spacing w:val="-3"/>
          <w:sz w:val="20"/>
          <w:szCs w:val="20"/>
        </w:rPr>
        <w:t>titis  B  core</w:t>
      </w:r>
      <w:r>
        <w:rPr>
          <w:rFonts w:ascii="Times New Roman" w:hAnsi="Times New Roman" w:eastAsia="Times New Roman" w:cs="Times New Roman"/>
          <w:sz w:val="20"/>
          <w:szCs w:val="20"/>
        </w:rPr>
        <w:t xml:space="preserve"> antigen,HBcAg)</w:t>
      </w:r>
      <w:r>
        <w:rPr>
          <w:rFonts w:ascii="宋体" w:hAnsi="宋体" w:eastAsia="宋体" w:cs="宋体"/>
          <w:sz w:val="20"/>
          <w:szCs w:val="20"/>
        </w:rPr>
        <w:t>、乙</w:t>
      </w:r>
      <w:r>
        <w:rPr>
          <w:rFonts w:ascii="宋体" w:hAnsi="宋体" w:eastAsia="宋体" w:cs="宋体"/>
          <w:spacing w:val="-35"/>
          <w:sz w:val="20"/>
          <w:szCs w:val="20"/>
        </w:rPr>
        <w:t xml:space="preserve"> </w:t>
      </w:r>
      <w:r>
        <w:rPr>
          <w:rFonts w:ascii="宋体" w:hAnsi="宋体" w:eastAsia="宋体" w:cs="宋体"/>
          <w:sz w:val="20"/>
          <w:szCs w:val="20"/>
        </w:rPr>
        <w:t>肝</w:t>
      </w:r>
      <w:r>
        <w:rPr>
          <w:rFonts w:ascii="Times New Roman" w:hAnsi="Times New Roman" w:eastAsia="Times New Roman" w:cs="Times New Roman"/>
          <w:sz w:val="20"/>
          <w:szCs w:val="20"/>
        </w:rPr>
        <w:t xml:space="preserve">e </w:t>
      </w:r>
      <w:r>
        <w:rPr>
          <w:rFonts w:ascii="宋体" w:hAnsi="宋体" w:eastAsia="宋体" w:cs="宋体"/>
          <w:sz w:val="20"/>
          <w:szCs w:val="20"/>
        </w:rPr>
        <w:t>抗原</w:t>
      </w:r>
      <w:r>
        <w:rPr>
          <w:rFonts w:ascii="Times New Roman" w:hAnsi="Times New Roman" w:eastAsia="Times New Roman" w:cs="Times New Roman"/>
          <w:spacing w:val="-1"/>
          <w:sz w:val="20"/>
          <w:szCs w:val="20"/>
        </w:rPr>
        <w:t>(hepatitis</w:t>
      </w:r>
      <w:r>
        <w:rPr>
          <w:rFonts w:ascii="Times New Roman" w:hAnsi="Times New Roman" w:eastAsia="Times New Roman" w:cs="Times New Roman"/>
          <w:spacing w:val="41"/>
          <w:sz w:val="20"/>
          <w:szCs w:val="20"/>
        </w:rPr>
        <w:t xml:space="preserve"> </w:t>
      </w:r>
      <w:r>
        <w:rPr>
          <w:rFonts w:ascii="Times New Roman" w:hAnsi="Times New Roman" w:eastAsia="Times New Roman" w:cs="Times New Roman"/>
          <w:spacing w:val="-1"/>
          <w:sz w:val="20"/>
          <w:szCs w:val="20"/>
        </w:rPr>
        <w:t>Beantigen,HBeAg)</w:t>
      </w:r>
      <w:r>
        <w:rPr>
          <w:rFonts w:ascii="Times New Roman" w:hAnsi="Times New Roman" w:eastAsia="Times New Roman" w:cs="Times New Roman"/>
          <w:spacing w:val="-28"/>
          <w:sz w:val="20"/>
          <w:szCs w:val="20"/>
        </w:rPr>
        <w:t xml:space="preserve"> </w:t>
      </w:r>
      <w:r>
        <w:rPr>
          <w:rFonts w:ascii="宋体" w:hAnsi="宋体" w:eastAsia="宋体" w:cs="宋体"/>
          <w:spacing w:val="-1"/>
          <w:sz w:val="20"/>
          <w:szCs w:val="20"/>
        </w:rPr>
        <w:t>、</w:t>
      </w:r>
      <w:r>
        <w:rPr>
          <w:rFonts w:ascii="Times New Roman" w:hAnsi="Times New Roman" w:eastAsia="Times New Roman" w:cs="Times New Roman"/>
          <w:spacing w:val="-1"/>
          <w:sz w:val="20"/>
          <w:szCs w:val="20"/>
        </w:rPr>
        <w:t>HBV</w:t>
      </w:r>
      <w:r>
        <w:rPr>
          <w:rFonts w:ascii="Times New Roman" w:hAnsi="Times New Roman" w:eastAsia="Times New Roman" w:cs="Times New Roman"/>
          <w:spacing w:val="41"/>
          <w:sz w:val="20"/>
          <w:szCs w:val="20"/>
        </w:rPr>
        <w:t xml:space="preserve"> </w:t>
      </w:r>
      <w:r>
        <w:rPr>
          <w:rFonts w:ascii="Times New Roman" w:hAnsi="Times New Roman" w:eastAsia="Times New Roman" w:cs="Times New Roman"/>
          <w:spacing w:val="-1"/>
          <w:sz w:val="20"/>
          <w:szCs w:val="20"/>
        </w:rPr>
        <w:t>DNA</w:t>
      </w:r>
      <w:r>
        <w:rPr>
          <w:rFonts w:ascii="宋体" w:hAnsi="宋体" w:eastAsia="宋体" w:cs="宋体"/>
          <w:spacing w:val="-1"/>
          <w:sz w:val="20"/>
          <w:szCs w:val="20"/>
        </w:rPr>
        <w:t>聚合酶和乙肝</w:t>
      </w:r>
      <w:r>
        <w:rPr>
          <w:rFonts w:ascii="Times New Roman" w:hAnsi="Times New Roman" w:eastAsia="Times New Roman" w:cs="Times New Roman"/>
          <w:spacing w:val="-1"/>
          <w:sz w:val="20"/>
          <w:szCs w:val="20"/>
        </w:rPr>
        <w:t>x</w:t>
      </w:r>
      <w:r>
        <w:rPr>
          <w:rFonts w:ascii="Times New Roman" w:hAnsi="Times New Roman" w:eastAsia="Times New Roman" w:cs="Times New Roman"/>
          <w:spacing w:val="-18"/>
          <w:sz w:val="20"/>
          <w:szCs w:val="20"/>
        </w:rPr>
        <w:t xml:space="preserve"> </w:t>
      </w:r>
      <w:r>
        <w:rPr>
          <w:rFonts w:ascii="宋体" w:hAnsi="宋体" w:eastAsia="宋体" w:cs="宋体"/>
          <w:spacing w:val="-1"/>
          <w:sz w:val="20"/>
          <w:szCs w:val="20"/>
        </w:rPr>
        <w:t>抗</w:t>
      </w:r>
      <w:r>
        <w:rPr>
          <w:rFonts w:ascii="宋体" w:hAnsi="宋体" w:eastAsia="宋体" w:cs="宋体"/>
          <w:spacing w:val="-23"/>
          <w:sz w:val="20"/>
          <w:szCs w:val="20"/>
        </w:rPr>
        <w:t xml:space="preserve"> </w:t>
      </w:r>
      <w:r>
        <w:rPr>
          <w:rFonts w:ascii="宋体" w:hAnsi="宋体" w:eastAsia="宋体" w:cs="宋体"/>
          <w:spacing w:val="-1"/>
          <w:sz w:val="20"/>
          <w:szCs w:val="20"/>
        </w:rPr>
        <w:t>原</w:t>
      </w:r>
      <w:r>
        <w:rPr>
          <w:rFonts w:ascii="Times New Roman" w:hAnsi="Times New Roman" w:eastAsia="Times New Roman" w:cs="Times New Roman"/>
          <w:spacing w:val="-1"/>
          <w:sz w:val="20"/>
          <w:szCs w:val="20"/>
        </w:rPr>
        <w:t>(hepatitis</w:t>
      </w:r>
      <w:r>
        <w:rPr>
          <w:rFonts w:ascii="Times New Roman" w:hAnsi="Times New Roman" w:eastAsia="Times New Roman" w:cs="Times New Roman"/>
          <w:sz w:val="20"/>
          <w:szCs w:val="20"/>
        </w:rPr>
        <w:t xml:space="preserve">  </w:t>
      </w:r>
      <w:r>
        <w:rPr>
          <w:rFonts w:ascii="Times New Roman" w:hAnsi="Times New Roman" w:eastAsia="Times New Roman" w:cs="Times New Roman"/>
          <w:spacing w:val="-1"/>
          <w:sz w:val="20"/>
          <w:szCs w:val="20"/>
        </w:rPr>
        <w:t>Bx   antigen,HBxAg)</w:t>
      </w:r>
      <w:r>
        <w:rPr>
          <w:rFonts w:ascii="宋体" w:hAnsi="宋体" w:eastAsia="宋体" w:cs="宋体"/>
          <w:spacing w:val="-1"/>
          <w:sz w:val="20"/>
          <w:szCs w:val="20"/>
        </w:rPr>
        <w:t>等蛋白。</w:t>
      </w:r>
    </w:p>
    <w:p w14:paraId="7A4AEF77">
      <w:pPr>
        <w:spacing w:before="15" w:line="340" w:lineRule="auto"/>
        <w:ind w:left="639" w:right="99" w:firstLine="390"/>
        <w:jc w:val="both"/>
        <w:rPr>
          <w:rFonts w:ascii="宋体" w:hAnsi="宋体" w:eastAsia="宋体" w:cs="宋体"/>
          <w:sz w:val="20"/>
          <w:szCs w:val="20"/>
        </w:rPr>
      </w:pPr>
      <w:r>
        <w:rPr>
          <w:rFonts w:ascii="宋体" w:hAnsi="宋体" w:eastAsia="宋体" w:cs="宋体"/>
          <w:spacing w:val="10"/>
          <w:sz w:val="20"/>
          <w:szCs w:val="20"/>
        </w:rPr>
        <w:t>根据</w:t>
      </w:r>
      <w:r>
        <w:rPr>
          <w:rFonts w:ascii="Times New Roman" w:hAnsi="Times New Roman" w:eastAsia="Times New Roman" w:cs="Times New Roman"/>
          <w:sz w:val="20"/>
          <w:szCs w:val="20"/>
        </w:rPr>
        <w:t>HBV</w:t>
      </w:r>
      <w:r>
        <w:rPr>
          <w:rFonts w:ascii="Times New Roman" w:hAnsi="Times New Roman" w:eastAsia="Times New Roman" w:cs="Times New Roman"/>
          <w:spacing w:val="-3"/>
          <w:sz w:val="20"/>
          <w:szCs w:val="20"/>
        </w:rPr>
        <w:t xml:space="preserve"> </w:t>
      </w:r>
      <w:r>
        <w:rPr>
          <w:rFonts w:ascii="宋体" w:hAnsi="宋体" w:eastAsia="宋体" w:cs="宋体"/>
          <w:spacing w:val="10"/>
          <w:sz w:val="20"/>
          <w:szCs w:val="20"/>
        </w:rPr>
        <w:t>全基因序列差异≥8%和不同抗原表位的组合形式，可将</w:t>
      </w:r>
      <w:r>
        <w:rPr>
          <w:rFonts w:ascii="Times New Roman" w:hAnsi="Times New Roman" w:eastAsia="Times New Roman" w:cs="Times New Roman"/>
          <w:sz w:val="20"/>
          <w:szCs w:val="20"/>
        </w:rPr>
        <w:t>HBV</w:t>
      </w:r>
      <w:r>
        <w:rPr>
          <w:rFonts w:ascii="Times New Roman" w:hAnsi="Times New Roman" w:eastAsia="Times New Roman" w:cs="Times New Roman"/>
          <w:spacing w:val="10"/>
          <w:sz w:val="20"/>
          <w:szCs w:val="20"/>
        </w:rPr>
        <w:t xml:space="preserve"> </w:t>
      </w:r>
      <w:r>
        <w:rPr>
          <w:rFonts w:ascii="宋体" w:hAnsi="宋体" w:eastAsia="宋体" w:cs="宋体"/>
          <w:spacing w:val="10"/>
          <w:sz w:val="20"/>
          <w:szCs w:val="20"/>
        </w:rPr>
        <w:t>分别分为9种基因型</w:t>
      </w:r>
      <w:r>
        <w:rPr>
          <w:rFonts w:ascii="宋体" w:hAnsi="宋体" w:eastAsia="宋体" w:cs="宋体"/>
          <w:sz w:val="20"/>
          <w:szCs w:val="20"/>
        </w:rPr>
        <w:t xml:space="preserve"> </w:t>
      </w:r>
      <w:r>
        <w:rPr>
          <w:rFonts w:ascii="Times New Roman" w:hAnsi="Times New Roman" w:eastAsia="Times New Roman" w:cs="Times New Roman"/>
          <w:spacing w:val="6"/>
          <w:sz w:val="20"/>
          <w:szCs w:val="20"/>
        </w:rPr>
        <w:t>(A</w:t>
      </w:r>
      <w:r>
        <w:rPr>
          <w:rFonts w:ascii="宋体" w:hAnsi="宋体" w:eastAsia="宋体" w:cs="宋体"/>
          <w:spacing w:val="6"/>
          <w:sz w:val="20"/>
          <w:szCs w:val="20"/>
        </w:rPr>
        <w:t>～</w:t>
      </w:r>
      <w:r>
        <w:rPr>
          <w:rFonts w:ascii="Times New Roman" w:hAnsi="Times New Roman" w:eastAsia="Times New Roman" w:cs="Times New Roman"/>
          <w:spacing w:val="6"/>
          <w:sz w:val="20"/>
          <w:szCs w:val="20"/>
        </w:rPr>
        <w:t>I)</w:t>
      </w:r>
      <w:r>
        <w:rPr>
          <w:rFonts w:ascii="Times New Roman" w:hAnsi="Times New Roman" w:eastAsia="Times New Roman" w:cs="Times New Roman"/>
          <w:spacing w:val="24"/>
          <w:w w:val="101"/>
          <w:sz w:val="20"/>
          <w:szCs w:val="20"/>
        </w:rPr>
        <w:t xml:space="preserve"> </w:t>
      </w:r>
      <w:r>
        <w:rPr>
          <w:rFonts w:ascii="宋体" w:hAnsi="宋体" w:eastAsia="宋体" w:cs="宋体"/>
          <w:spacing w:val="6"/>
          <w:sz w:val="20"/>
          <w:szCs w:val="20"/>
        </w:rPr>
        <w:t>和1种未定基因型</w:t>
      </w:r>
      <w:r>
        <w:rPr>
          <w:rFonts w:ascii="Times New Roman" w:hAnsi="Times New Roman" w:eastAsia="Times New Roman" w:cs="Times New Roman"/>
          <w:spacing w:val="6"/>
          <w:sz w:val="20"/>
          <w:szCs w:val="20"/>
        </w:rPr>
        <w:t xml:space="preserve">(J),   </w:t>
      </w:r>
      <w:r>
        <w:rPr>
          <w:rFonts w:ascii="宋体" w:hAnsi="宋体" w:eastAsia="宋体" w:cs="宋体"/>
          <w:spacing w:val="6"/>
          <w:sz w:val="20"/>
          <w:szCs w:val="20"/>
        </w:rPr>
        <w:t>以及</w:t>
      </w:r>
      <w:r>
        <w:rPr>
          <w:rFonts w:ascii="宋体" w:hAnsi="宋体" w:eastAsia="宋体" w:cs="宋体"/>
          <w:spacing w:val="5"/>
          <w:sz w:val="20"/>
          <w:szCs w:val="20"/>
        </w:rPr>
        <w:t>4种血清型</w:t>
      </w:r>
      <w:r>
        <w:rPr>
          <w:rFonts w:ascii="Times New Roman" w:hAnsi="Times New Roman" w:eastAsia="Times New Roman" w:cs="Times New Roman"/>
          <w:spacing w:val="5"/>
          <w:sz w:val="20"/>
          <w:szCs w:val="20"/>
        </w:rPr>
        <w:t>(</w:t>
      </w:r>
      <w:r>
        <w:rPr>
          <w:rFonts w:ascii="Times New Roman" w:hAnsi="Times New Roman" w:eastAsia="Times New Roman" w:cs="Times New Roman"/>
          <w:sz w:val="20"/>
          <w:szCs w:val="20"/>
        </w:rPr>
        <w:t>adw</w:t>
      </w:r>
      <w:r>
        <w:rPr>
          <w:rFonts w:ascii="Times New Roman" w:hAnsi="Times New Roman" w:eastAsia="Times New Roman" w:cs="Times New Roman"/>
          <w:spacing w:val="-29"/>
          <w:sz w:val="20"/>
          <w:szCs w:val="20"/>
        </w:rPr>
        <w:t xml:space="preserve"> </w:t>
      </w:r>
      <w:r>
        <w:rPr>
          <w:rFonts w:ascii="宋体" w:hAnsi="宋体" w:eastAsia="宋体" w:cs="宋体"/>
          <w:spacing w:val="5"/>
          <w:sz w:val="20"/>
          <w:szCs w:val="20"/>
        </w:rPr>
        <w:t>、</w:t>
      </w:r>
      <w:r>
        <w:rPr>
          <w:rFonts w:ascii="Times New Roman" w:hAnsi="Times New Roman" w:eastAsia="Times New Roman" w:cs="Times New Roman"/>
          <w:sz w:val="20"/>
          <w:szCs w:val="20"/>
        </w:rPr>
        <w:t>ayw</w:t>
      </w:r>
      <w:r>
        <w:rPr>
          <w:rFonts w:ascii="Times New Roman" w:hAnsi="Times New Roman" w:eastAsia="Times New Roman" w:cs="Times New Roman"/>
          <w:spacing w:val="-29"/>
          <w:sz w:val="20"/>
          <w:szCs w:val="20"/>
        </w:rPr>
        <w:t xml:space="preserve"> </w:t>
      </w:r>
      <w:r>
        <w:rPr>
          <w:rFonts w:ascii="宋体" w:hAnsi="宋体" w:eastAsia="宋体" w:cs="宋体"/>
          <w:spacing w:val="5"/>
          <w:sz w:val="20"/>
          <w:szCs w:val="20"/>
        </w:rPr>
        <w:t>、</w:t>
      </w:r>
      <w:r>
        <w:rPr>
          <w:rFonts w:ascii="Times New Roman" w:hAnsi="Times New Roman" w:eastAsia="Times New Roman" w:cs="Times New Roman"/>
          <w:sz w:val="20"/>
          <w:szCs w:val="20"/>
        </w:rPr>
        <w:t>adr</w:t>
      </w:r>
      <w:r>
        <w:rPr>
          <w:rFonts w:ascii="宋体" w:hAnsi="宋体" w:eastAsia="宋体" w:cs="宋体"/>
          <w:spacing w:val="5"/>
          <w:sz w:val="20"/>
          <w:szCs w:val="20"/>
        </w:rPr>
        <w:t>、</w:t>
      </w:r>
      <w:r>
        <w:rPr>
          <w:rFonts w:ascii="Times New Roman" w:hAnsi="Times New Roman" w:eastAsia="Times New Roman" w:cs="Times New Roman"/>
          <w:sz w:val="20"/>
          <w:szCs w:val="20"/>
        </w:rPr>
        <w:t>ayr</w:t>
      </w:r>
      <w:r>
        <w:rPr>
          <w:rFonts w:ascii="Times New Roman" w:hAnsi="Times New Roman" w:eastAsia="Times New Roman" w:cs="Times New Roman"/>
          <w:spacing w:val="5"/>
          <w:sz w:val="20"/>
          <w:szCs w:val="20"/>
        </w:rPr>
        <w:t>)</w:t>
      </w:r>
      <w:r>
        <w:rPr>
          <w:rFonts w:ascii="宋体" w:hAnsi="宋体" w:eastAsia="宋体" w:cs="宋体"/>
          <w:spacing w:val="5"/>
          <w:sz w:val="20"/>
          <w:szCs w:val="20"/>
        </w:rPr>
        <w:t>。不同的血清型可属同一基因</w:t>
      </w:r>
      <w:r>
        <w:rPr>
          <w:rFonts w:ascii="宋体" w:hAnsi="宋体" w:eastAsia="宋体" w:cs="宋体"/>
          <w:sz w:val="20"/>
          <w:szCs w:val="20"/>
        </w:rPr>
        <w:t xml:space="preserve"> </w:t>
      </w:r>
      <w:r>
        <w:rPr>
          <w:rFonts w:ascii="宋体" w:hAnsi="宋体" w:eastAsia="宋体" w:cs="宋体"/>
          <w:spacing w:val="-1"/>
          <w:sz w:val="20"/>
          <w:szCs w:val="20"/>
        </w:rPr>
        <w:t>型，同一血清型可分布于不同的基因型。不同基因型的HBV</w:t>
      </w:r>
      <w:r>
        <w:rPr>
          <w:rFonts w:ascii="宋体" w:hAnsi="宋体" w:eastAsia="宋体" w:cs="宋体"/>
          <w:spacing w:val="63"/>
          <w:sz w:val="20"/>
          <w:szCs w:val="20"/>
        </w:rPr>
        <w:t xml:space="preserve"> </w:t>
      </w:r>
      <w:r>
        <w:rPr>
          <w:rFonts w:ascii="宋体" w:hAnsi="宋体" w:eastAsia="宋体" w:cs="宋体"/>
          <w:spacing w:val="-1"/>
          <w:sz w:val="20"/>
          <w:szCs w:val="20"/>
        </w:rPr>
        <w:t>在生物学特性、表型、致病性和病程等</w:t>
      </w:r>
      <w:r>
        <w:rPr>
          <w:rFonts w:ascii="宋体" w:hAnsi="宋体" w:eastAsia="宋体" w:cs="宋体"/>
          <w:sz w:val="20"/>
          <w:szCs w:val="20"/>
        </w:rPr>
        <w:t xml:space="preserve"> </w:t>
      </w:r>
      <w:r>
        <w:rPr>
          <w:rFonts w:ascii="宋体" w:hAnsi="宋体" w:eastAsia="宋体" w:cs="宋体"/>
          <w:spacing w:val="3"/>
          <w:sz w:val="20"/>
          <w:szCs w:val="20"/>
        </w:rPr>
        <w:t>方面存在差异。乙肝疫苗对不同基因型和血清型的</w:t>
      </w:r>
      <w:r>
        <w:rPr>
          <w:rFonts w:ascii="Times New Roman" w:hAnsi="Times New Roman" w:eastAsia="Times New Roman" w:cs="Times New Roman"/>
          <w:sz w:val="20"/>
          <w:szCs w:val="20"/>
        </w:rPr>
        <w:t>HBV</w:t>
      </w:r>
      <w:r>
        <w:rPr>
          <w:rFonts w:ascii="Times New Roman" w:hAnsi="Times New Roman" w:eastAsia="Times New Roman" w:cs="Times New Roman"/>
          <w:spacing w:val="-19"/>
          <w:sz w:val="20"/>
          <w:szCs w:val="20"/>
        </w:rPr>
        <w:t xml:space="preserve"> </w:t>
      </w:r>
      <w:r>
        <w:rPr>
          <w:rFonts w:ascii="宋体" w:hAnsi="宋体" w:eastAsia="宋体" w:cs="宋体"/>
          <w:spacing w:val="3"/>
          <w:sz w:val="20"/>
          <w:szCs w:val="20"/>
        </w:rPr>
        <w:t>感染均具有保护作用。</w:t>
      </w:r>
    </w:p>
    <w:p w14:paraId="7447D229">
      <w:pPr>
        <w:spacing w:before="5" w:line="329" w:lineRule="auto"/>
        <w:ind w:left="639" w:right="20" w:firstLine="390"/>
        <w:jc w:val="both"/>
        <w:rPr>
          <w:rFonts w:ascii="宋体" w:hAnsi="宋体" w:eastAsia="宋体" w:cs="宋体"/>
          <w:sz w:val="20"/>
          <w:szCs w:val="20"/>
        </w:rPr>
      </w:pPr>
      <w:r>
        <w:rPr>
          <w:rFonts w:ascii="Times New Roman" w:hAnsi="Times New Roman" w:eastAsia="Times New Roman" w:cs="Times New Roman"/>
          <w:sz w:val="20"/>
          <w:szCs w:val="20"/>
        </w:rPr>
        <w:t>HBV</w:t>
      </w:r>
      <w:r>
        <w:rPr>
          <w:rFonts w:ascii="宋体" w:hAnsi="宋体" w:eastAsia="宋体" w:cs="宋体"/>
          <w:spacing w:val="8"/>
          <w:sz w:val="20"/>
          <w:szCs w:val="20"/>
        </w:rPr>
        <w:t>对理化因素抵抗力较强，对热、低温、干燥、紫外线及一般浓度的消毒剂如70%</w:t>
      </w:r>
      <w:r>
        <w:rPr>
          <w:rFonts w:ascii="宋体" w:hAnsi="宋体" w:eastAsia="宋体" w:cs="宋体"/>
          <w:spacing w:val="7"/>
          <w:sz w:val="20"/>
          <w:szCs w:val="20"/>
        </w:rPr>
        <w:t>乙醇均</w:t>
      </w:r>
      <w:r>
        <w:rPr>
          <w:rFonts w:ascii="宋体" w:hAnsi="宋体" w:eastAsia="宋体" w:cs="宋体"/>
          <w:sz w:val="20"/>
          <w:szCs w:val="20"/>
        </w:rPr>
        <w:t xml:space="preserve">  </w:t>
      </w:r>
      <w:r>
        <w:rPr>
          <w:rFonts w:ascii="宋体" w:hAnsi="宋体" w:eastAsia="宋体" w:cs="宋体"/>
          <w:spacing w:val="-4"/>
          <w:sz w:val="20"/>
          <w:szCs w:val="20"/>
        </w:rPr>
        <w:t>能耐受。在宿主体外的生存力较强，自然条件下可停留在医疗器械、牙刷、剃须刀</w:t>
      </w:r>
      <w:r>
        <w:rPr>
          <w:rFonts w:ascii="宋体" w:hAnsi="宋体" w:eastAsia="宋体" w:cs="宋体"/>
          <w:spacing w:val="-5"/>
          <w:sz w:val="20"/>
          <w:szCs w:val="20"/>
        </w:rPr>
        <w:t>、奶瓶、玩具、餐</w:t>
      </w:r>
      <w:r>
        <w:rPr>
          <w:rFonts w:ascii="宋体" w:hAnsi="宋体" w:eastAsia="宋体" w:cs="宋体"/>
          <w:sz w:val="20"/>
          <w:szCs w:val="20"/>
        </w:rPr>
        <w:t xml:space="preserve">  </w:t>
      </w:r>
      <w:r>
        <w:rPr>
          <w:rFonts w:ascii="宋体" w:hAnsi="宋体" w:eastAsia="宋体" w:cs="宋体"/>
          <w:spacing w:val="9"/>
          <w:sz w:val="20"/>
          <w:szCs w:val="20"/>
        </w:rPr>
        <w:t>具等物体表面1周而不失去感染性，在37℃环境下可存活7天，在血清中30～32℃可</w:t>
      </w:r>
      <w:r>
        <w:rPr>
          <w:rFonts w:ascii="宋体" w:hAnsi="宋体" w:eastAsia="宋体" w:cs="宋体"/>
          <w:spacing w:val="8"/>
          <w:sz w:val="20"/>
          <w:szCs w:val="20"/>
        </w:rPr>
        <w:t>保存6个月，</w:t>
      </w:r>
      <w:r>
        <w:rPr>
          <w:rFonts w:ascii="宋体" w:hAnsi="宋体" w:eastAsia="宋体" w:cs="宋体"/>
          <w:sz w:val="20"/>
          <w:szCs w:val="20"/>
        </w:rPr>
        <w:t xml:space="preserve"> </w:t>
      </w:r>
      <w:r>
        <w:rPr>
          <w:rFonts w:ascii="宋体" w:hAnsi="宋体" w:eastAsia="宋体" w:cs="宋体"/>
          <w:spacing w:val="2"/>
          <w:sz w:val="20"/>
          <w:szCs w:val="20"/>
        </w:rPr>
        <w:t>-20℃环境下可保存15年。65℃</w:t>
      </w:r>
      <w:r>
        <w:rPr>
          <w:rFonts w:ascii="宋体" w:hAnsi="宋体" w:eastAsia="宋体" w:cs="宋体"/>
          <w:spacing w:val="30"/>
          <w:sz w:val="20"/>
          <w:szCs w:val="20"/>
        </w:rPr>
        <w:t xml:space="preserve"> </w:t>
      </w:r>
      <w:r>
        <w:rPr>
          <w:rFonts w:ascii="宋体" w:hAnsi="宋体" w:eastAsia="宋体" w:cs="宋体"/>
          <w:spacing w:val="2"/>
          <w:sz w:val="20"/>
          <w:szCs w:val="20"/>
        </w:rPr>
        <w:t>10小时、100℃干热1小时、100℃煮沸10分钟、121℃ 20分钟高压</w:t>
      </w:r>
      <w:r>
        <w:rPr>
          <w:rFonts w:ascii="宋体" w:hAnsi="宋体" w:eastAsia="宋体" w:cs="宋体"/>
          <w:sz w:val="20"/>
          <w:szCs w:val="20"/>
        </w:rPr>
        <w:t xml:space="preserve"> </w:t>
      </w:r>
      <w:r>
        <w:rPr>
          <w:rFonts w:ascii="宋体" w:hAnsi="宋体" w:eastAsia="宋体" w:cs="宋体"/>
          <w:spacing w:val="6"/>
          <w:sz w:val="20"/>
          <w:szCs w:val="20"/>
        </w:rPr>
        <w:t>蒸汽可灭活</w:t>
      </w:r>
      <w:r>
        <w:rPr>
          <w:rFonts w:ascii="Times New Roman" w:hAnsi="Times New Roman" w:eastAsia="Times New Roman" w:cs="Times New Roman"/>
          <w:sz w:val="20"/>
          <w:szCs w:val="20"/>
        </w:rPr>
        <w:t>HBV</w:t>
      </w:r>
      <w:r>
        <w:rPr>
          <w:rFonts w:ascii="Times New Roman" w:hAnsi="Times New Roman" w:eastAsia="Times New Roman" w:cs="Times New Roman"/>
          <w:spacing w:val="6"/>
          <w:sz w:val="20"/>
          <w:szCs w:val="20"/>
        </w:rPr>
        <w:t xml:space="preserve">,0.5%  </w:t>
      </w:r>
      <w:r>
        <w:rPr>
          <w:rFonts w:ascii="宋体" w:hAnsi="宋体" w:eastAsia="宋体" w:cs="宋体"/>
          <w:spacing w:val="6"/>
          <w:sz w:val="20"/>
          <w:szCs w:val="20"/>
        </w:rPr>
        <w:t>过氧乙酸、5%次氯酸</w:t>
      </w:r>
      <w:r>
        <w:rPr>
          <w:rFonts w:ascii="宋体" w:hAnsi="宋体" w:eastAsia="宋体" w:cs="宋体"/>
          <w:spacing w:val="5"/>
          <w:sz w:val="20"/>
          <w:szCs w:val="20"/>
        </w:rPr>
        <w:t>钠和环氧乙烷常用于</w:t>
      </w:r>
      <w:r>
        <w:rPr>
          <w:rFonts w:ascii="Times New Roman" w:hAnsi="Times New Roman" w:eastAsia="Times New Roman" w:cs="Times New Roman"/>
          <w:sz w:val="20"/>
          <w:szCs w:val="20"/>
        </w:rPr>
        <w:t>HBV</w:t>
      </w:r>
      <w:r>
        <w:rPr>
          <w:rFonts w:ascii="宋体" w:hAnsi="宋体" w:eastAsia="宋体" w:cs="宋体"/>
          <w:spacing w:val="5"/>
          <w:sz w:val="20"/>
          <w:szCs w:val="20"/>
        </w:rPr>
        <w:t>的消毒。</w:t>
      </w:r>
    </w:p>
    <w:p w14:paraId="36E251ED">
      <w:pPr>
        <w:pStyle w:val="2"/>
        <w:spacing w:before="16" w:line="222" w:lineRule="auto"/>
        <w:ind w:left="1033"/>
        <w:rPr>
          <w:sz w:val="23"/>
          <w:szCs w:val="23"/>
        </w:rPr>
      </w:pPr>
      <w:r>
        <w:rPr>
          <w:b/>
          <w:bCs/>
          <w:spacing w:val="-8"/>
          <w:sz w:val="23"/>
          <w:szCs w:val="23"/>
        </w:rPr>
        <w:t>(三)丙型肝炎病毒</w:t>
      </w:r>
    </w:p>
    <w:p w14:paraId="1E0489EF">
      <w:pPr>
        <w:spacing w:before="133" w:line="329" w:lineRule="auto"/>
        <w:ind w:left="639" w:right="85" w:firstLine="390"/>
        <w:jc w:val="both"/>
        <w:rPr>
          <w:rFonts w:ascii="宋体" w:hAnsi="宋体" w:eastAsia="宋体" w:cs="宋体"/>
          <w:sz w:val="20"/>
          <w:szCs w:val="20"/>
        </w:rPr>
      </w:pPr>
      <w:r>
        <w:rPr>
          <w:rFonts w:ascii="Times New Roman" w:hAnsi="Times New Roman" w:eastAsia="Times New Roman" w:cs="Times New Roman"/>
          <w:sz w:val="20"/>
          <w:szCs w:val="20"/>
        </w:rPr>
        <w:t>HCV</w:t>
      </w:r>
      <w:r>
        <w:rPr>
          <w:rFonts w:ascii="Times New Roman" w:hAnsi="Times New Roman" w:eastAsia="Times New Roman" w:cs="Times New Roman"/>
          <w:spacing w:val="-19"/>
          <w:sz w:val="20"/>
          <w:szCs w:val="20"/>
        </w:rPr>
        <w:t xml:space="preserve"> </w:t>
      </w:r>
      <w:r>
        <w:rPr>
          <w:rFonts w:ascii="宋体" w:hAnsi="宋体" w:eastAsia="宋体" w:cs="宋体"/>
          <w:spacing w:val="6"/>
          <w:sz w:val="20"/>
          <w:szCs w:val="20"/>
        </w:rPr>
        <w:t>属黄病毒科</w:t>
      </w:r>
      <w:r>
        <w:rPr>
          <w:rFonts w:ascii="Times New Roman" w:hAnsi="Times New Roman" w:eastAsia="Times New Roman" w:cs="Times New Roman"/>
          <w:spacing w:val="6"/>
          <w:sz w:val="20"/>
          <w:szCs w:val="20"/>
        </w:rPr>
        <w:t>(</w:t>
      </w:r>
      <w:r>
        <w:rPr>
          <w:rFonts w:ascii="Times New Roman" w:hAnsi="Times New Roman" w:eastAsia="Times New Roman" w:cs="Times New Roman"/>
          <w:sz w:val="20"/>
          <w:szCs w:val="20"/>
        </w:rPr>
        <w:t>Flaviviridae</w:t>
      </w:r>
      <w:r>
        <w:rPr>
          <w:rFonts w:ascii="Times New Roman" w:hAnsi="Times New Roman" w:eastAsia="Times New Roman" w:cs="Times New Roman"/>
          <w:spacing w:val="6"/>
          <w:sz w:val="20"/>
          <w:szCs w:val="20"/>
        </w:rPr>
        <w:t>)</w:t>
      </w:r>
      <w:r>
        <w:rPr>
          <w:rFonts w:ascii="Times New Roman" w:hAnsi="Times New Roman" w:eastAsia="Times New Roman" w:cs="Times New Roman"/>
          <w:spacing w:val="14"/>
          <w:w w:val="101"/>
          <w:sz w:val="20"/>
          <w:szCs w:val="20"/>
        </w:rPr>
        <w:t xml:space="preserve">  </w:t>
      </w:r>
      <w:r>
        <w:rPr>
          <w:rFonts w:ascii="宋体" w:hAnsi="宋体" w:eastAsia="宋体" w:cs="宋体"/>
          <w:spacing w:val="6"/>
          <w:sz w:val="20"/>
          <w:szCs w:val="20"/>
        </w:rPr>
        <w:t>丙型肝炎病毒属</w:t>
      </w:r>
      <w:r>
        <w:rPr>
          <w:rFonts w:ascii="Times New Roman" w:hAnsi="Times New Roman" w:eastAsia="Times New Roman" w:cs="Times New Roman"/>
          <w:spacing w:val="6"/>
          <w:sz w:val="20"/>
          <w:szCs w:val="20"/>
        </w:rPr>
        <w:t>(</w:t>
      </w:r>
      <w:r>
        <w:rPr>
          <w:rFonts w:ascii="Times New Roman" w:hAnsi="Times New Roman" w:eastAsia="Times New Roman" w:cs="Times New Roman"/>
          <w:sz w:val="20"/>
          <w:szCs w:val="20"/>
        </w:rPr>
        <w:t>Hepacivirus</w:t>
      </w:r>
      <w:r>
        <w:rPr>
          <w:rFonts w:ascii="Times New Roman" w:hAnsi="Times New Roman" w:eastAsia="Times New Roman" w:cs="Times New Roman"/>
          <w:spacing w:val="6"/>
          <w:sz w:val="20"/>
          <w:szCs w:val="20"/>
        </w:rPr>
        <w:t>)</w:t>
      </w:r>
      <w:r>
        <w:rPr>
          <w:rFonts w:ascii="Times New Roman" w:hAnsi="Times New Roman" w:eastAsia="Times New Roman" w:cs="Times New Roman"/>
          <w:spacing w:val="-23"/>
          <w:sz w:val="20"/>
          <w:szCs w:val="20"/>
        </w:rPr>
        <w:t xml:space="preserve"> </w:t>
      </w:r>
      <w:r>
        <w:rPr>
          <w:rFonts w:ascii="宋体" w:hAnsi="宋体" w:eastAsia="宋体" w:cs="宋体"/>
          <w:spacing w:val="6"/>
          <w:sz w:val="20"/>
          <w:szCs w:val="20"/>
        </w:rPr>
        <w:t>。 基因组为单正链</w:t>
      </w:r>
      <w:r>
        <w:rPr>
          <w:rFonts w:ascii="Times New Roman" w:hAnsi="Times New Roman" w:eastAsia="Times New Roman" w:cs="Times New Roman"/>
          <w:sz w:val="20"/>
          <w:szCs w:val="20"/>
        </w:rPr>
        <w:t>RNA</w:t>
      </w:r>
      <w:r>
        <w:rPr>
          <w:rFonts w:ascii="Times New Roman" w:hAnsi="Times New Roman" w:eastAsia="Times New Roman" w:cs="Times New Roman"/>
          <w:spacing w:val="6"/>
          <w:sz w:val="20"/>
          <w:szCs w:val="20"/>
        </w:rPr>
        <w:t>,</w:t>
      </w:r>
      <w:r>
        <w:rPr>
          <w:rFonts w:ascii="Times New Roman" w:hAnsi="Times New Roman" w:eastAsia="Times New Roman" w:cs="Times New Roman"/>
          <w:spacing w:val="32"/>
          <w:sz w:val="20"/>
          <w:szCs w:val="20"/>
        </w:rPr>
        <w:t xml:space="preserve"> </w:t>
      </w:r>
      <w:r>
        <w:rPr>
          <w:rFonts w:ascii="宋体" w:hAnsi="宋体" w:eastAsia="宋体" w:cs="宋体"/>
          <w:spacing w:val="6"/>
          <w:sz w:val="20"/>
          <w:szCs w:val="20"/>
        </w:rPr>
        <w:t>全长约</w:t>
      </w:r>
      <w:r>
        <w:rPr>
          <w:rFonts w:ascii="宋体" w:hAnsi="宋体" w:eastAsia="宋体" w:cs="宋体"/>
          <w:sz w:val="20"/>
          <w:szCs w:val="20"/>
        </w:rPr>
        <w:t xml:space="preserve"> </w:t>
      </w:r>
      <w:r>
        <w:rPr>
          <w:rFonts w:ascii="Times New Roman" w:hAnsi="Times New Roman" w:eastAsia="Times New Roman" w:cs="Times New Roman"/>
          <w:spacing w:val="3"/>
          <w:sz w:val="20"/>
          <w:szCs w:val="20"/>
        </w:rPr>
        <w:t>9.5</w:t>
      </w:r>
      <w:r>
        <w:rPr>
          <w:rFonts w:ascii="Times New Roman" w:hAnsi="Times New Roman" w:eastAsia="Times New Roman" w:cs="Times New Roman"/>
          <w:sz w:val="20"/>
          <w:szCs w:val="20"/>
        </w:rPr>
        <w:t>kb</w:t>
      </w:r>
      <w:r>
        <w:rPr>
          <w:rFonts w:ascii="宋体" w:hAnsi="宋体" w:eastAsia="宋体" w:cs="宋体"/>
          <w:spacing w:val="3"/>
          <w:sz w:val="20"/>
          <w:szCs w:val="20"/>
        </w:rPr>
        <w:t>。仅包含一个</w:t>
      </w:r>
      <w:r>
        <w:rPr>
          <w:rFonts w:ascii="Times New Roman" w:hAnsi="Times New Roman" w:eastAsia="Times New Roman" w:cs="Times New Roman"/>
          <w:sz w:val="20"/>
          <w:szCs w:val="20"/>
        </w:rPr>
        <w:t>ORF</w:t>
      </w:r>
      <w:r>
        <w:rPr>
          <w:rFonts w:ascii="Times New Roman" w:hAnsi="Times New Roman" w:eastAsia="Times New Roman" w:cs="Times New Roman"/>
          <w:spacing w:val="3"/>
          <w:sz w:val="20"/>
          <w:szCs w:val="20"/>
        </w:rPr>
        <w:t>,</w:t>
      </w:r>
      <w:r>
        <w:rPr>
          <w:rFonts w:ascii="Times New Roman" w:hAnsi="Times New Roman" w:eastAsia="Times New Roman" w:cs="Times New Roman"/>
          <w:spacing w:val="35"/>
          <w:sz w:val="20"/>
          <w:szCs w:val="20"/>
        </w:rPr>
        <w:t xml:space="preserve"> </w:t>
      </w:r>
      <w:r>
        <w:rPr>
          <w:rFonts w:ascii="宋体" w:hAnsi="宋体" w:eastAsia="宋体" w:cs="宋体"/>
          <w:spacing w:val="3"/>
          <w:sz w:val="20"/>
          <w:szCs w:val="20"/>
        </w:rPr>
        <w:t>用以编码3种结构蛋白，其中编码包膜蛋白</w:t>
      </w:r>
      <w:r>
        <w:rPr>
          <w:rFonts w:ascii="Times New Roman" w:hAnsi="Times New Roman" w:eastAsia="Times New Roman" w:cs="Times New Roman"/>
          <w:spacing w:val="3"/>
          <w:sz w:val="20"/>
          <w:szCs w:val="20"/>
        </w:rPr>
        <w:t xml:space="preserve">E1 </w:t>
      </w:r>
      <w:r>
        <w:rPr>
          <w:rFonts w:ascii="宋体" w:hAnsi="宋体" w:eastAsia="宋体" w:cs="宋体"/>
          <w:spacing w:val="3"/>
          <w:sz w:val="20"/>
          <w:szCs w:val="20"/>
        </w:rPr>
        <w:t>和</w:t>
      </w:r>
      <w:r>
        <w:rPr>
          <w:rFonts w:ascii="宋体" w:hAnsi="宋体" w:eastAsia="宋体" w:cs="宋体"/>
          <w:spacing w:val="-52"/>
          <w:sz w:val="20"/>
          <w:szCs w:val="20"/>
        </w:rPr>
        <w:t xml:space="preserve"> </w:t>
      </w:r>
      <w:r>
        <w:rPr>
          <w:rFonts w:ascii="Times New Roman" w:hAnsi="Times New Roman" w:eastAsia="Times New Roman" w:cs="Times New Roman"/>
          <w:spacing w:val="3"/>
          <w:sz w:val="20"/>
          <w:szCs w:val="20"/>
        </w:rPr>
        <w:t>E2</w:t>
      </w:r>
      <w:r>
        <w:rPr>
          <w:rFonts w:ascii="Times New Roman" w:hAnsi="Times New Roman" w:eastAsia="Times New Roman" w:cs="Times New Roman"/>
          <w:spacing w:val="22"/>
          <w:w w:val="101"/>
          <w:sz w:val="20"/>
          <w:szCs w:val="20"/>
        </w:rPr>
        <w:t xml:space="preserve"> </w:t>
      </w:r>
      <w:r>
        <w:rPr>
          <w:rFonts w:ascii="宋体" w:hAnsi="宋体" w:eastAsia="宋体" w:cs="宋体"/>
          <w:spacing w:val="3"/>
          <w:sz w:val="20"/>
          <w:szCs w:val="20"/>
        </w:rPr>
        <w:t>的基因具有高度变异</w:t>
      </w:r>
      <w:r>
        <w:rPr>
          <w:rFonts w:ascii="宋体" w:hAnsi="宋体" w:eastAsia="宋体" w:cs="宋体"/>
          <w:sz w:val="20"/>
          <w:szCs w:val="20"/>
        </w:rPr>
        <w:t xml:space="preserve"> 性，这种变异引起的免疫逃逸现象是HCV</w:t>
      </w:r>
      <w:r>
        <w:rPr>
          <w:rFonts w:ascii="宋体" w:hAnsi="宋体" w:eastAsia="宋体" w:cs="宋体"/>
          <w:spacing w:val="63"/>
          <w:sz w:val="20"/>
          <w:szCs w:val="20"/>
        </w:rPr>
        <w:t xml:space="preserve"> </w:t>
      </w:r>
      <w:r>
        <w:rPr>
          <w:rFonts w:ascii="宋体" w:hAnsi="宋体" w:eastAsia="宋体" w:cs="宋体"/>
          <w:sz w:val="20"/>
          <w:szCs w:val="20"/>
        </w:rPr>
        <w:t>能够在体内</w:t>
      </w:r>
      <w:r>
        <w:rPr>
          <w:rFonts w:ascii="宋体" w:hAnsi="宋体" w:eastAsia="宋体" w:cs="宋体"/>
          <w:spacing w:val="-1"/>
          <w:sz w:val="20"/>
          <w:szCs w:val="20"/>
        </w:rPr>
        <w:t>持续存在、感染易于慢性化的主要原因，也是</w:t>
      </w:r>
      <w:r>
        <w:rPr>
          <w:rFonts w:ascii="宋体" w:hAnsi="宋体" w:eastAsia="宋体" w:cs="宋体"/>
          <w:sz w:val="20"/>
          <w:szCs w:val="20"/>
        </w:rPr>
        <w:t xml:space="preserve"> </w:t>
      </w:r>
      <w:r>
        <w:rPr>
          <w:rFonts w:ascii="Times New Roman" w:hAnsi="Times New Roman" w:eastAsia="Times New Roman" w:cs="Times New Roman"/>
          <w:sz w:val="20"/>
          <w:szCs w:val="20"/>
        </w:rPr>
        <w:t>HCV</w:t>
      </w:r>
      <w:r>
        <w:rPr>
          <w:rFonts w:ascii="宋体" w:hAnsi="宋体" w:eastAsia="宋体" w:cs="宋体"/>
          <w:spacing w:val="2"/>
          <w:sz w:val="20"/>
          <w:szCs w:val="20"/>
        </w:rPr>
        <w:t>疫苗研发的一大障碍。</w:t>
      </w:r>
    </w:p>
    <w:p w14:paraId="3DC3682A">
      <w:pPr>
        <w:spacing w:before="23" w:line="328" w:lineRule="auto"/>
        <w:ind w:left="639" w:right="89" w:firstLine="390"/>
        <w:rPr>
          <w:rFonts w:ascii="宋体" w:hAnsi="宋体" w:eastAsia="宋体" w:cs="宋体"/>
          <w:sz w:val="20"/>
          <w:szCs w:val="20"/>
        </w:rPr>
      </w:pPr>
      <w:r>
        <w:rPr>
          <w:rFonts w:ascii="宋体" w:hAnsi="宋体" w:eastAsia="宋体" w:cs="宋体"/>
          <w:sz w:val="20"/>
          <w:szCs w:val="20"/>
        </w:rPr>
        <w:t>HCV</w:t>
      </w:r>
      <w:r>
        <w:rPr>
          <w:rFonts w:ascii="宋体" w:hAnsi="宋体" w:eastAsia="宋体" w:cs="宋体"/>
          <w:spacing w:val="53"/>
          <w:sz w:val="20"/>
          <w:szCs w:val="20"/>
        </w:rPr>
        <w:t xml:space="preserve"> </w:t>
      </w:r>
      <w:r>
        <w:rPr>
          <w:rFonts w:ascii="宋体" w:hAnsi="宋体" w:eastAsia="宋体" w:cs="宋体"/>
          <w:sz w:val="20"/>
          <w:szCs w:val="20"/>
        </w:rPr>
        <w:t>至少分为7种基因型(1～7),同一基因型分为不同亚型(如1a、1b、1c、2a、2b、3c</w:t>
      </w:r>
      <w:r>
        <w:rPr>
          <w:rFonts w:ascii="宋体" w:hAnsi="宋体" w:eastAsia="宋体" w:cs="宋体"/>
          <w:spacing w:val="-1"/>
          <w:sz w:val="20"/>
          <w:szCs w:val="20"/>
        </w:rPr>
        <w:t>等)。在</w:t>
      </w:r>
      <w:r>
        <w:rPr>
          <w:rFonts w:ascii="宋体" w:hAnsi="宋体" w:eastAsia="宋体" w:cs="宋体"/>
          <w:sz w:val="20"/>
          <w:szCs w:val="20"/>
        </w:rPr>
        <w:t xml:space="preserve"> </w:t>
      </w:r>
      <w:r>
        <w:rPr>
          <w:rFonts w:ascii="宋体" w:hAnsi="宋体" w:eastAsia="宋体" w:cs="宋体"/>
          <w:spacing w:val="3"/>
          <w:sz w:val="20"/>
          <w:szCs w:val="20"/>
        </w:rPr>
        <w:t>我国1</w:t>
      </w:r>
      <w:r>
        <w:rPr>
          <w:rFonts w:ascii="Times New Roman" w:hAnsi="Times New Roman" w:eastAsia="Times New Roman" w:cs="Times New Roman"/>
          <w:spacing w:val="3"/>
          <w:sz w:val="20"/>
          <w:szCs w:val="20"/>
        </w:rPr>
        <w:t>b</w:t>
      </w:r>
      <w:r>
        <w:rPr>
          <w:rFonts w:ascii="Times New Roman" w:hAnsi="Times New Roman" w:eastAsia="Times New Roman" w:cs="Times New Roman"/>
          <w:sz w:val="20"/>
          <w:szCs w:val="20"/>
        </w:rPr>
        <w:t xml:space="preserve"> </w:t>
      </w:r>
      <w:r>
        <w:rPr>
          <w:rFonts w:ascii="宋体" w:hAnsi="宋体" w:eastAsia="宋体" w:cs="宋体"/>
          <w:spacing w:val="3"/>
          <w:sz w:val="20"/>
          <w:szCs w:val="20"/>
        </w:rPr>
        <w:t>和</w:t>
      </w:r>
      <w:r>
        <w:rPr>
          <w:rFonts w:ascii="宋体" w:hAnsi="宋体" w:eastAsia="宋体" w:cs="宋体"/>
          <w:spacing w:val="-19"/>
          <w:sz w:val="20"/>
          <w:szCs w:val="20"/>
        </w:rPr>
        <w:t xml:space="preserve"> </w:t>
      </w:r>
      <w:r>
        <w:rPr>
          <w:rFonts w:ascii="宋体" w:hAnsi="宋体" w:eastAsia="宋体" w:cs="宋体"/>
          <w:spacing w:val="3"/>
          <w:sz w:val="20"/>
          <w:szCs w:val="20"/>
        </w:rPr>
        <w:t>2</w:t>
      </w:r>
      <w:r>
        <w:rPr>
          <w:rFonts w:ascii="Times New Roman" w:hAnsi="Times New Roman" w:eastAsia="Times New Roman" w:cs="Times New Roman"/>
          <w:spacing w:val="3"/>
          <w:sz w:val="20"/>
          <w:szCs w:val="20"/>
        </w:rPr>
        <w:t>a</w:t>
      </w:r>
      <w:r>
        <w:rPr>
          <w:rFonts w:ascii="宋体" w:hAnsi="宋体" w:eastAsia="宋体" w:cs="宋体"/>
          <w:spacing w:val="3"/>
          <w:sz w:val="20"/>
          <w:szCs w:val="20"/>
        </w:rPr>
        <w:t>型较为常见。</w:t>
      </w:r>
    </w:p>
    <w:p w14:paraId="111EC820">
      <w:pPr>
        <w:spacing w:before="23" w:line="322" w:lineRule="auto"/>
        <w:ind w:left="639" w:firstLine="390"/>
        <w:rPr>
          <w:rFonts w:ascii="宋体" w:hAnsi="宋体" w:eastAsia="宋体" w:cs="宋体"/>
          <w:sz w:val="20"/>
          <w:szCs w:val="20"/>
        </w:rPr>
      </w:pPr>
      <w:r>
        <w:rPr>
          <w:rFonts w:ascii="Times New Roman" w:hAnsi="Times New Roman" w:eastAsia="Times New Roman" w:cs="Times New Roman"/>
          <w:sz w:val="20"/>
          <w:szCs w:val="20"/>
        </w:rPr>
        <w:t>HCV</w:t>
      </w:r>
      <w:r>
        <w:rPr>
          <w:rFonts w:ascii="Times New Roman" w:hAnsi="Times New Roman" w:eastAsia="Times New Roman" w:cs="Times New Roman"/>
          <w:spacing w:val="-19"/>
          <w:sz w:val="20"/>
          <w:szCs w:val="20"/>
        </w:rPr>
        <w:t xml:space="preserve"> </w:t>
      </w:r>
      <w:r>
        <w:rPr>
          <w:rFonts w:ascii="宋体" w:hAnsi="宋体" w:eastAsia="宋体" w:cs="宋体"/>
          <w:spacing w:val="2"/>
          <w:sz w:val="20"/>
          <w:szCs w:val="20"/>
        </w:rPr>
        <w:t>对理化因素抵抗力不强，对乙醚、氯仿等有机溶剂敏感，100℃干热5分钟、60℃10小时、</w:t>
      </w:r>
      <w:r>
        <w:rPr>
          <w:rFonts w:ascii="宋体" w:hAnsi="宋体" w:eastAsia="宋体" w:cs="宋体"/>
          <w:sz w:val="20"/>
          <w:szCs w:val="20"/>
        </w:rPr>
        <w:t xml:space="preserve"> </w:t>
      </w:r>
      <w:r>
        <w:rPr>
          <w:rFonts w:ascii="宋体" w:hAnsi="宋体" w:eastAsia="宋体" w:cs="宋体"/>
          <w:spacing w:val="-2"/>
          <w:sz w:val="20"/>
          <w:szCs w:val="20"/>
        </w:rPr>
        <w:t>121℃15～30分钟高压蒸汽、2%甲醛溶液或甲醛水溶液(福尔马林)55～80℃ 30～60分钟可灭活</w:t>
      </w:r>
      <w:r>
        <w:rPr>
          <w:rFonts w:ascii="Times New Roman" w:hAnsi="Times New Roman" w:eastAsia="Times New Roman" w:cs="Times New Roman"/>
          <w:spacing w:val="-3"/>
          <w:sz w:val="20"/>
          <w:szCs w:val="20"/>
        </w:rPr>
        <w:t>HCV</w:t>
      </w:r>
      <w:r>
        <w:rPr>
          <w:rFonts w:ascii="宋体" w:hAnsi="宋体" w:eastAsia="宋体" w:cs="宋体"/>
          <w:spacing w:val="-3"/>
          <w:sz w:val="20"/>
          <w:szCs w:val="20"/>
        </w:rPr>
        <w:t>。</w:t>
      </w:r>
    </w:p>
    <w:p w14:paraId="4BF34A54">
      <w:pPr>
        <w:pStyle w:val="2"/>
        <w:spacing w:line="222" w:lineRule="auto"/>
        <w:ind w:left="1033"/>
        <w:rPr>
          <w:sz w:val="23"/>
          <w:szCs w:val="23"/>
        </w:rPr>
      </w:pPr>
      <w:r>
        <w:rPr>
          <w:b/>
          <w:bCs/>
          <w:spacing w:val="-8"/>
          <w:sz w:val="23"/>
          <w:szCs w:val="23"/>
        </w:rPr>
        <w:t>(四)丁型肝炎病毒</w:t>
      </w:r>
    </w:p>
    <w:p w14:paraId="5BB166FB">
      <w:pPr>
        <w:spacing w:before="124" w:line="339" w:lineRule="auto"/>
        <w:ind w:left="639" w:right="102" w:firstLine="390"/>
        <w:jc w:val="both"/>
        <w:rPr>
          <w:rFonts w:ascii="宋体" w:hAnsi="宋体" w:eastAsia="宋体" w:cs="宋体"/>
          <w:sz w:val="20"/>
          <w:szCs w:val="20"/>
        </w:rPr>
      </w:pPr>
      <w:r>
        <w:rPr>
          <w:rFonts w:ascii="Times New Roman" w:hAnsi="Times New Roman" w:eastAsia="Times New Roman" w:cs="Times New Roman"/>
          <w:sz w:val="20"/>
          <w:szCs w:val="20"/>
        </w:rPr>
        <w:t>HDV</w:t>
      </w:r>
      <w:r>
        <w:rPr>
          <w:rFonts w:ascii="Times New Roman" w:hAnsi="Times New Roman" w:eastAsia="Times New Roman" w:cs="Times New Roman"/>
          <w:spacing w:val="-20"/>
          <w:sz w:val="20"/>
          <w:szCs w:val="20"/>
        </w:rPr>
        <w:t xml:space="preserve"> </w:t>
      </w:r>
      <w:r>
        <w:rPr>
          <w:rFonts w:ascii="宋体" w:hAnsi="宋体" w:eastAsia="宋体" w:cs="宋体"/>
          <w:spacing w:val="8"/>
          <w:sz w:val="20"/>
          <w:szCs w:val="20"/>
        </w:rPr>
        <w:t>属三角病毒科</w:t>
      </w:r>
      <w:r>
        <w:rPr>
          <w:rFonts w:ascii="Times New Roman" w:hAnsi="Times New Roman" w:eastAsia="Times New Roman" w:cs="Times New Roman"/>
          <w:spacing w:val="8"/>
          <w:sz w:val="20"/>
          <w:szCs w:val="20"/>
        </w:rPr>
        <w:t>(</w:t>
      </w:r>
      <w:r>
        <w:rPr>
          <w:rFonts w:ascii="Times New Roman" w:hAnsi="Times New Roman" w:eastAsia="Times New Roman" w:cs="Times New Roman"/>
          <w:sz w:val="20"/>
          <w:szCs w:val="20"/>
        </w:rPr>
        <w:t>Kolmioviridae</w:t>
      </w:r>
      <w:r>
        <w:rPr>
          <w:rFonts w:ascii="Times New Roman" w:hAnsi="Times New Roman" w:eastAsia="Times New Roman" w:cs="Times New Roman"/>
          <w:spacing w:val="8"/>
          <w:sz w:val="20"/>
          <w:szCs w:val="20"/>
        </w:rPr>
        <w:t>)δ</w:t>
      </w:r>
      <w:r>
        <w:rPr>
          <w:rFonts w:ascii="Times New Roman" w:hAnsi="Times New Roman" w:eastAsia="Times New Roman" w:cs="Times New Roman"/>
          <w:spacing w:val="22"/>
          <w:w w:val="101"/>
          <w:sz w:val="20"/>
          <w:szCs w:val="20"/>
        </w:rPr>
        <w:t xml:space="preserve">  </w:t>
      </w:r>
      <w:r>
        <w:rPr>
          <w:rFonts w:ascii="宋体" w:hAnsi="宋体" w:eastAsia="宋体" w:cs="宋体"/>
          <w:spacing w:val="8"/>
          <w:sz w:val="20"/>
          <w:szCs w:val="20"/>
        </w:rPr>
        <w:t>病毒属</w:t>
      </w:r>
      <w:r>
        <w:rPr>
          <w:rFonts w:ascii="Times New Roman" w:hAnsi="Times New Roman" w:eastAsia="Times New Roman" w:cs="Times New Roman"/>
          <w:spacing w:val="8"/>
          <w:sz w:val="20"/>
          <w:szCs w:val="20"/>
        </w:rPr>
        <w:t>(</w:t>
      </w:r>
      <w:r>
        <w:rPr>
          <w:rFonts w:ascii="Times New Roman" w:hAnsi="Times New Roman" w:eastAsia="Times New Roman" w:cs="Times New Roman"/>
          <w:sz w:val="20"/>
          <w:szCs w:val="20"/>
        </w:rPr>
        <w:t>Deltavirus</w:t>
      </w:r>
      <w:r>
        <w:rPr>
          <w:rFonts w:ascii="Times New Roman" w:hAnsi="Times New Roman" w:eastAsia="Times New Roman" w:cs="Times New Roman"/>
          <w:spacing w:val="8"/>
          <w:sz w:val="20"/>
          <w:szCs w:val="20"/>
        </w:rPr>
        <w:t>)</w:t>
      </w:r>
      <w:r>
        <w:rPr>
          <w:rFonts w:ascii="Times New Roman" w:hAnsi="Times New Roman" w:eastAsia="Times New Roman" w:cs="Times New Roman"/>
          <w:spacing w:val="-23"/>
          <w:sz w:val="20"/>
          <w:szCs w:val="20"/>
        </w:rPr>
        <w:t xml:space="preserve"> </w:t>
      </w:r>
      <w:r>
        <w:rPr>
          <w:rFonts w:ascii="宋体" w:hAnsi="宋体" w:eastAsia="宋体" w:cs="宋体"/>
          <w:spacing w:val="8"/>
          <w:sz w:val="20"/>
          <w:szCs w:val="20"/>
        </w:rPr>
        <w:t>。</w:t>
      </w:r>
      <w:r>
        <w:rPr>
          <w:rFonts w:ascii="宋体" w:hAnsi="宋体" w:eastAsia="宋体" w:cs="宋体"/>
          <w:spacing w:val="-27"/>
          <w:sz w:val="20"/>
          <w:szCs w:val="20"/>
        </w:rPr>
        <w:t xml:space="preserve"> </w:t>
      </w:r>
      <w:r>
        <w:rPr>
          <w:rFonts w:ascii="宋体" w:hAnsi="宋体" w:eastAsia="宋体" w:cs="宋体"/>
          <w:spacing w:val="8"/>
          <w:sz w:val="20"/>
          <w:szCs w:val="20"/>
        </w:rPr>
        <w:t>基因组为单负链环状</w:t>
      </w:r>
      <w:r>
        <w:rPr>
          <w:rFonts w:ascii="Times New Roman" w:hAnsi="Times New Roman" w:eastAsia="Times New Roman" w:cs="Times New Roman"/>
          <w:sz w:val="20"/>
          <w:szCs w:val="20"/>
        </w:rPr>
        <w:t>RNA</w:t>
      </w:r>
      <w:r>
        <w:rPr>
          <w:rFonts w:ascii="Times New Roman" w:hAnsi="Times New Roman" w:eastAsia="Times New Roman" w:cs="Times New Roman"/>
          <w:spacing w:val="8"/>
          <w:sz w:val="20"/>
          <w:szCs w:val="20"/>
        </w:rPr>
        <w:t>,</w:t>
      </w:r>
      <w:r>
        <w:rPr>
          <w:rFonts w:ascii="Times New Roman" w:hAnsi="Times New Roman" w:eastAsia="Times New Roman" w:cs="Times New Roman"/>
          <w:spacing w:val="22"/>
          <w:sz w:val="20"/>
          <w:szCs w:val="20"/>
        </w:rPr>
        <w:t xml:space="preserve"> </w:t>
      </w:r>
      <w:r>
        <w:rPr>
          <w:rFonts w:ascii="宋体" w:hAnsi="宋体" w:eastAsia="宋体" w:cs="宋体"/>
          <w:spacing w:val="8"/>
          <w:sz w:val="20"/>
          <w:szCs w:val="20"/>
        </w:rPr>
        <w:t>全长约</w:t>
      </w:r>
      <w:r>
        <w:rPr>
          <w:rFonts w:ascii="宋体" w:hAnsi="宋体" w:eastAsia="宋体" w:cs="宋体"/>
          <w:sz w:val="20"/>
          <w:szCs w:val="20"/>
        </w:rPr>
        <w:t xml:space="preserve"> </w:t>
      </w:r>
      <w:r>
        <w:rPr>
          <w:rFonts w:ascii="Times New Roman" w:hAnsi="Times New Roman" w:eastAsia="Times New Roman" w:cs="Times New Roman"/>
          <w:spacing w:val="1"/>
          <w:sz w:val="20"/>
          <w:szCs w:val="20"/>
        </w:rPr>
        <w:t>1.7</w:t>
      </w:r>
      <w:r>
        <w:rPr>
          <w:rFonts w:ascii="Times New Roman" w:hAnsi="Times New Roman" w:eastAsia="Times New Roman" w:cs="Times New Roman"/>
          <w:sz w:val="20"/>
          <w:szCs w:val="20"/>
        </w:rPr>
        <w:t>kb</w:t>
      </w:r>
      <w:r>
        <w:rPr>
          <w:rFonts w:ascii="Times New Roman" w:hAnsi="Times New Roman" w:eastAsia="Times New Roman" w:cs="Times New Roman"/>
          <w:spacing w:val="1"/>
          <w:sz w:val="20"/>
          <w:szCs w:val="20"/>
        </w:rPr>
        <w:t>,</w:t>
      </w:r>
      <w:r>
        <w:rPr>
          <w:rFonts w:ascii="Times New Roman" w:hAnsi="Times New Roman" w:eastAsia="Times New Roman" w:cs="Times New Roman"/>
          <w:spacing w:val="23"/>
          <w:w w:val="101"/>
          <w:sz w:val="20"/>
          <w:szCs w:val="20"/>
        </w:rPr>
        <w:t xml:space="preserve"> </w:t>
      </w:r>
      <w:r>
        <w:rPr>
          <w:rFonts w:ascii="宋体" w:hAnsi="宋体" w:eastAsia="宋体" w:cs="宋体"/>
          <w:spacing w:val="1"/>
          <w:sz w:val="20"/>
          <w:szCs w:val="20"/>
        </w:rPr>
        <w:t>是当前已知动物病毒中最小的基因组。</w:t>
      </w:r>
      <w:r>
        <w:rPr>
          <w:rFonts w:ascii="宋体" w:hAnsi="宋体" w:eastAsia="宋体" w:cs="宋体"/>
          <w:spacing w:val="-50"/>
          <w:sz w:val="20"/>
          <w:szCs w:val="20"/>
        </w:rPr>
        <w:t xml:space="preserve"> </w:t>
      </w:r>
      <w:r>
        <w:rPr>
          <w:rFonts w:ascii="Times New Roman" w:hAnsi="Times New Roman" w:eastAsia="Times New Roman" w:cs="Times New Roman"/>
          <w:sz w:val="20"/>
          <w:szCs w:val="20"/>
        </w:rPr>
        <w:t>HDV</w:t>
      </w:r>
      <w:r>
        <w:rPr>
          <w:rFonts w:ascii="Times New Roman" w:hAnsi="Times New Roman" w:eastAsia="Times New Roman" w:cs="Times New Roman"/>
          <w:spacing w:val="1"/>
          <w:sz w:val="20"/>
          <w:szCs w:val="20"/>
        </w:rPr>
        <w:t xml:space="preserve"> </w:t>
      </w:r>
      <w:r>
        <w:rPr>
          <w:rFonts w:ascii="宋体" w:hAnsi="宋体" w:eastAsia="宋体" w:cs="宋体"/>
          <w:spacing w:val="1"/>
          <w:sz w:val="20"/>
          <w:szCs w:val="20"/>
        </w:rPr>
        <w:t>是一种缺陷病毒，其</w:t>
      </w:r>
      <w:r>
        <w:rPr>
          <w:rFonts w:ascii="宋体" w:hAnsi="宋体" w:eastAsia="宋体" w:cs="宋体"/>
          <w:sz w:val="20"/>
          <w:szCs w:val="20"/>
        </w:rPr>
        <w:t>感染、复制依赖</w:t>
      </w:r>
      <w:r>
        <w:rPr>
          <w:rFonts w:ascii="Times New Roman" w:hAnsi="Times New Roman" w:eastAsia="Times New Roman" w:cs="Times New Roman"/>
          <w:sz w:val="20"/>
          <w:szCs w:val="20"/>
        </w:rPr>
        <w:t xml:space="preserve">HBV </w:t>
      </w:r>
      <w:r>
        <w:rPr>
          <w:rFonts w:ascii="宋体" w:hAnsi="宋体" w:eastAsia="宋体" w:cs="宋体"/>
          <w:sz w:val="20"/>
          <w:szCs w:val="20"/>
        </w:rPr>
        <w:t>提供 HBsAg</w:t>
      </w:r>
      <w:r>
        <w:rPr>
          <w:rFonts w:ascii="宋体" w:hAnsi="宋体" w:eastAsia="宋体" w:cs="宋体"/>
          <w:spacing w:val="5"/>
          <w:sz w:val="20"/>
          <w:szCs w:val="20"/>
        </w:rPr>
        <w:t xml:space="preserve"> 作为病毒包膜。</w:t>
      </w:r>
    </w:p>
    <w:p w14:paraId="6367EE1C">
      <w:pPr>
        <w:spacing w:line="220" w:lineRule="auto"/>
        <w:ind w:left="1030"/>
        <w:rPr>
          <w:rFonts w:ascii="宋体" w:hAnsi="宋体" w:eastAsia="宋体" w:cs="宋体"/>
          <w:sz w:val="20"/>
          <w:szCs w:val="20"/>
        </w:rPr>
      </w:pPr>
      <w:r>
        <w:rPr>
          <w:rFonts w:ascii="Times New Roman" w:hAnsi="Times New Roman" w:eastAsia="Times New Roman" w:cs="Times New Roman"/>
          <w:sz w:val="20"/>
          <w:szCs w:val="20"/>
        </w:rPr>
        <w:t>HDV</w:t>
      </w:r>
      <w:r>
        <w:rPr>
          <w:rFonts w:ascii="宋体" w:hAnsi="宋体" w:eastAsia="宋体" w:cs="宋体"/>
          <w:spacing w:val="11"/>
          <w:sz w:val="20"/>
          <w:szCs w:val="20"/>
        </w:rPr>
        <w:t>可分为8种基因型，在我国主要为1型和2型。</w:t>
      </w:r>
    </w:p>
    <w:p w14:paraId="2A30A541">
      <w:pPr>
        <w:spacing w:before="152" w:line="219" w:lineRule="auto"/>
        <w:ind w:left="1030"/>
        <w:rPr>
          <w:rFonts w:ascii="宋体" w:hAnsi="宋体" w:eastAsia="宋体" w:cs="宋体"/>
          <w:sz w:val="20"/>
          <w:szCs w:val="20"/>
        </w:rPr>
      </w:pPr>
      <w:r>
        <w:rPr>
          <w:rFonts w:ascii="Times New Roman" w:hAnsi="Times New Roman" w:eastAsia="Times New Roman" w:cs="Times New Roman"/>
          <w:sz w:val="20"/>
          <w:szCs w:val="20"/>
        </w:rPr>
        <w:t>HDV</w:t>
      </w:r>
      <w:r>
        <w:rPr>
          <w:rFonts w:ascii="宋体" w:hAnsi="宋体" w:eastAsia="宋体" w:cs="宋体"/>
          <w:sz w:val="20"/>
          <w:szCs w:val="20"/>
        </w:rPr>
        <w:t>的抵抗力较</w:t>
      </w:r>
      <w:r>
        <w:rPr>
          <w:rFonts w:ascii="Times New Roman" w:hAnsi="Times New Roman" w:eastAsia="Times New Roman" w:cs="Times New Roman"/>
          <w:sz w:val="20"/>
          <w:szCs w:val="20"/>
        </w:rPr>
        <w:t>HBV</w:t>
      </w:r>
      <w:r>
        <w:rPr>
          <w:rFonts w:ascii="Times New Roman" w:hAnsi="Times New Roman" w:eastAsia="Times New Roman" w:cs="Times New Roman"/>
          <w:spacing w:val="-19"/>
          <w:sz w:val="20"/>
          <w:szCs w:val="20"/>
        </w:rPr>
        <w:t xml:space="preserve"> </w:t>
      </w:r>
      <w:r>
        <w:rPr>
          <w:rFonts w:ascii="宋体" w:hAnsi="宋体" w:eastAsia="宋体" w:cs="宋体"/>
          <w:sz w:val="20"/>
          <w:szCs w:val="20"/>
        </w:rPr>
        <w:t>和</w:t>
      </w:r>
      <w:r>
        <w:rPr>
          <w:rFonts w:ascii="Times New Roman" w:hAnsi="Times New Roman" w:eastAsia="Times New Roman" w:cs="Times New Roman"/>
          <w:sz w:val="20"/>
          <w:szCs w:val="20"/>
        </w:rPr>
        <w:t>HCV</w:t>
      </w:r>
      <w:r>
        <w:rPr>
          <w:rFonts w:ascii="Times New Roman" w:hAnsi="Times New Roman" w:eastAsia="Times New Roman" w:cs="Times New Roman"/>
          <w:spacing w:val="-19"/>
          <w:sz w:val="20"/>
          <w:szCs w:val="20"/>
        </w:rPr>
        <w:t xml:space="preserve"> </w:t>
      </w:r>
      <w:r>
        <w:rPr>
          <w:rFonts w:ascii="宋体" w:hAnsi="宋体" w:eastAsia="宋体" w:cs="宋体"/>
          <w:sz w:val="20"/>
          <w:szCs w:val="20"/>
        </w:rPr>
        <w:t>弱，对甲醛、氯</w:t>
      </w:r>
      <w:r>
        <w:rPr>
          <w:rFonts w:ascii="宋体" w:hAnsi="宋体" w:eastAsia="宋体" w:cs="宋体"/>
          <w:spacing w:val="-1"/>
          <w:sz w:val="20"/>
          <w:szCs w:val="20"/>
        </w:rPr>
        <w:t>仿等敏感。</w:t>
      </w:r>
    </w:p>
    <w:p w14:paraId="62CE8DE7">
      <w:pPr>
        <w:pStyle w:val="2"/>
        <w:spacing w:before="99" w:line="222" w:lineRule="auto"/>
        <w:ind w:left="1032"/>
        <w:rPr>
          <w:sz w:val="20"/>
          <w:szCs w:val="20"/>
        </w:rPr>
      </w:pPr>
      <w:r>
        <w:rPr>
          <w:b/>
          <w:bCs/>
          <w:spacing w:val="21"/>
          <w:sz w:val="20"/>
          <w:szCs w:val="20"/>
        </w:rPr>
        <w:t>(五)戊型肝炎病毒</w:t>
      </w:r>
    </w:p>
    <w:p w14:paraId="67515D45">
      <w:pPr>
        <w:spacing w:before="130" w:line="212" w:lineRule="auto"/>
        <w:ind w:left="1030"/>
        <w:rPr>
          <w:rFonts w:ascii="宋体" w:hAnsi="宋体" w:eastAsia="宋体" w:cs="宋体"/>
          <w:sz w:val="20"/>
          <w:szCs w:val="20"/>
        </w:rPr>
      </w:pPr>
      <w:r>
        <w:rPr>
          <w:rFonts w:ascii="宋体" w:hAnsi="宋体" w:eastAsia="宋体" w:cs="宋体"/>
          <w:spacing w:val="5"/>
          <w:sz w:val="20"/>
          <w:szCs w:val="20"/>
        </w:rPr>
        <w:t>感染人类的</w:t>
      </w:r>
      <w:r>
        <w:rPr>
          <w:rFonts w:ascii="Times New Roman" w:hAnsi="Times New Roman" w:eastAsia="Times New Roman" w:cs="Times New Roman"/>
          <w:sz w:val="20"/>
          <w:szCs w:val="20"/>
        </w:rPr>
        <w:t>HEV</w:t>
      </w:r>
      <w:r>
        <w:rPr>
          <w:rFonts w:ascii="Times New Roman" w:hAnsi="Times New Roman" w:eastAsia="Times New Roman" w:cs="Times New Roman"/>
          <w:spacing w:val="5"/>
          <w:sz w:val="20"/>
          <w:szCs w:val="20"/>
        </w:rPr>
        <w:t xml:space="preserve"> </w:t>
      </w:r>
      <w:r>
        <w:rPr>
          <w:rFonts w:ascii="宋体" w:hAnsi="宋体" w:eastAsia="宋体" w:cs="宋体"/>
          <w:spacing w:val="5"/>
          <w:sz w:val="20"/>
          <w:szCs w:val="20"/>
        </w:rPr>
        <w:t>属于戊型肝炎病毒科</w:t>
      </w:r>
      <w:r>
        <w:rPr>
          <w:rFonts w:ascii="Times New Roman" w:hAnsi="Times New Roman" w:eastAsia="Times New Roman" w:cs="Times New Roman"/>
          <w:spacing w:val="5"/>
          <w:sz w:val="20"/>
          <w:szCs w:val="20"/>
        </w:rPr>
        <w:t>(</w:t>
      </w:r>
      <w:r>
        <w:rPr>
          <w:rFonts w:ascii="Times New Roman" w:hAnsi="Times New Roman" w:eastAsia="Times New Roman" w:cs="Times New Roman"/>
          <w:sz w:val="20"/>
          <w:szCs w:val="20"/>
        </w:rPr>
        <w:t>Hepeviridae</w:t>
      </w:r>
      <w:r>
        <w:rPr>
          <w:rFonts w:ascii="Times New Roman" w:hAnsi="Times New Roman" w:eastAsia="Times New Roman" w:cs="Times New Roman"/>
          <w:spacing w:val="5"/>
          <w:sz w:val="20"/>
          <w:szCs w:val="20"/>
        </w:rPr>
        <w:t>)</w:t>
      </w:r>
      <w:r>
        <w:rPr>
          <w:rFonts w:ascii="Times New Roman" w:hAnsi="Times New Roman" w:eastAsia="Times New Roman" w:cs="Times New Roman"/>
          <w:spacing w:val="19"/>
          <w:sz w:val="20"/>
          <w:szCs w:val="20"/>
        </w:rPr>
        <w:t xml:space="preserve"> </w:t>
      </w:r>
      <w:r>
        <w:rPr>
          <w:rFonts w:ascii="宋体" w:hAnsi="宋体" w:eastAsia="宋体" w:cs="宋体"/>
          <w:spacing w:val="5"/>
          <w:sz w:val="20"/>
          <w:szCs w:val="20"/>
        </w:rPr>
        <w:t>正戊型肝炎病毒亚科帕斯拉</w:t>
      </w:r>
      <w:r>
        <w:rPr>
          <w:rFonts w:ascii="宋体" w:hAnsi="宋体" w:eastAsia="宋体" w:cs="宋体"/>
          <w:spacing w:val="4"/>
          <w:sz w:val="20"/>
          <w:szCs w:val="20"/>
        </w:rPr>
        <w:t>戊型肝炎病毒</w:t>
      </w:r>
    </w:p>
    <w:p w14:paraId="05C92118">
      <w:pPr>
        <w:spacing w:line="212" w:lineRule="auto"/>
        <w:rPr>
          <w:rFonts w:ascii="宋体" w:hAnsi="宋体" w:eastAsia="宋体" w:cs="宋体"/>
          <w:sz w:val="20"/>
          <w:szCs w:val="20"/>
        </w:rPr>
        <w:sectPr>
          <w:footerReference r:id="rId315" w:type="default"/>
          <w:pgSz w:w="11900" w:h="16820"/>
          <w:pgMar w:top="400" w:right="1570" w:bottom="849" w:left="959" w:header="0" w:footer="669" w:gutter="0"/>
          <w:cols w:space="720" w:num="1"/>
        </w:sectPr>
      </w:pPr>
    </w:p>
    <w:p w14:paraId="7AA5502B">
      <w:pPr>
        <w:pStyle w:val="2"/>
        <w:spacing w:before="225" w:line="222" w:lineRule="auto"/>
        <w:ind w:left="7319"/>
        <w:rPr>
          <w:sz w:val="16"/>
          <w:szCs w:val="16"/>
        </w:rPr>
      </w:pPr>
      <w:r>
        <w:rPr>
          <w:spacing w:val="12"/>
          <w:sz w:val="16"/>
          <w:szCs w:val="16"/>
        </w:rPr>
        <w:t>第十九章</w:t>
      </w:r>
      <w:r>
        <w:rPr>
          <w:spacing w:val="46"/>
          <w:sz w:val="16"/>
          <w:szCs w:val="16"/>
        </w:rPr>
        <w:t xml:space="preserve"> </w:t>
      </w:r>
      <w:r>
        <w:rPr>
          <w:spacing w:val="12"/>
          <w:sz w:val="16"/>
          <w:szCs w:val="16"/>
        </w:rPr>
        <w:t>病毒性肝炎</w:t>
      </w:r>
    </w:p>
    <w:p w14:paraId="1B5FD868">
      <w:pPr>
        <w:spacing w:line="252" w:lineRule="auto"/>
        <w:rPr>
          <w:rFonts w:ascii="Arial"/>
          <w:sz w:val="21"/>
        </w:rPr>
      </w:pPr>
    </w:p>
    <w:p w14:paraId="3EFC20DF">
      <w:pPr>
        <w:spacing w:line="253" w:lineRule="auto"/>
        <w:rPr>
          <w:rFonts w:ascii="Arial"/>
          <w:sz w:val="21"/>
        </w:rPr>
      </w:pPr>
    </w:p>
    <w:p w14:paraId="4A2B8A59">
      <w:pPr>
        <w:spacing w:before="69" w:line="335" w:lineRule="auto"/>
        <w:ind w:right="561"/>
        <w:jc w:val="both"/>
        <w:rPr>
          <w:rFonts w:ascii="宋体" w:hAnsi="宋体" w:eastAsia="宋体" w:cs="宋体"/>
          <w:sz w:val="21"/>
          <w:szCs w:val="21"/>
        </w:rPr>
      </w:pPr>
      <w:r>
        <w:rPr>
          <w:rFonts w:ascii="宋体" w:hAnsi="宋体" w:eastAsia="宋体" w:cs="宋体"/>
          <w:spacing w:val="5"/>
          <w:sz w:val="21"/>
          <w:szCs w:val="21"/>
        </w:rPr>
        <w:t>属</w:t>
      </w:r>
      <w:r>
        <w:rPr>
          <w:rFonts w:ascii="Times New Roman" w:hAnsi="Times New Roman" w:eastAsia="Times New Roman" w:cs="Times New Roman"/>
          <w:spacing w:val="5"/>
          <w:sz w:val="21"/>
          <w:szCs w:val="21"/>
        </w:rPr>
        <w:t>(</w:t>
      </w:r>
      <w:r>
        <w:rPr>
          <w:rFonts w:ascii="Times New Roman" w:hAnsi="Times New Roman" w:eastAsia="Times New Roman" w:cs="Times New Roman"/>
          <w:sz w:val="21"/>
          <w:szCs w:val="21"/>
        </w:rPr>
        <w:t>Paslahepevirus</w:t>
      </w:r>
      <w:r>
        <w:rPr>
          <w:rFonts w:ascii="Times New Roman" w:hAnsi="Times New Roman" w:eastAsia="Times New Roman" w:cs="Times New Roman"/>
          <w:spacing w:val="5"/>
          <w:sz w:val="21"/>
          <w:szCs w:val="21"/>
        </w:rPr>
        <w:t>)</w:t>
      </w:r>
      <w:r>
        <w:rPr>
          <w:rFonts w:ascii="Times New Roman" w:hAnsi="Times New Roman" w:eastAsia="Times New Roman" w:cs="Times New Roman"/>
          <w:spacing w:val="-10"/>
          <w:sz w:val="21"/>
          <w:szCs w:val="21"/>
        </w:rPr>
        <w:t xml:space="preserve"> </w:t>
      </w:r>
      <w:r>
        <w:rPr>
          <w:rFonts w:ascii="宋体" w:hAnsi="宋体" w:eastAsia="宋体" w:cs="宋体"/>
          <w:spacing w:val="5"/>
          <w:sz w:val="21"/>
          <w:szCs w:val="21"/>
        </w:rPr>
        <w:t>。</w:t>
      </w:r>
      <w:r>
        <w:rPr>
          <w:rFonts w:ascii="宋体" w:hAnsi="宋体" w:eastAsia="宋体" w:cs="宋体"/>
          <w:spacing w:val="45"/>
          <w:sz w:val="21"/>
          <w:szCs w:val="21"/>
        </w:rPr>
        <w:t xml:space="preserve"> </w:t>
      </w:r>
      <w:r>
        <w:rPr>
          <w:rFonts w:ascii="宋体" w:hAnsi="宋体" w:eastAsia="宋体" w:cs="宋体"/>
          <w:spacing w:val="5"/>
          <w:sz w:val="21"/>
          <w:szCs w:val="21"/>
        </w:rPr>
        <w:t>基因组为单正链线状</w:t>
      </w:r>
      <w:r>
        <w:rPr>
          <w:rFonts w:ascii="Times New Roman" w:hAnsi="Times New Roman" w:eastAsia="Times New Roman" w:cs="Times New Roman"/>
          <w:sz w:val="21"/>
          <w:szCs w:val="21"/>
        </w:rPr>
        <w:t>RNA</w:t>
      </w:r>
      <w:r>
        <w:rPr>
          <w:rFonts w:ascii="Times New Roman" w:hAnsi="Times New Roman" w:eastAsia="Times New Roman" w:cs="Times New Roman"/>
          <w:spacing w:val="5"/>
          <w:sz w:val="21"/>
          <w:szCs w:val="21"/>
        </w:rPr>
        <w:t>,</w:t>
      </w:r>
      <w:r>
        <w:rPr>
          <w:rFonts w:ascii="Times New Roman" w:hAnsi="Times New Roman" w:eastAsia="Times New Roman" w:cs="Times New Roman"/>
          <w:spacing w:val="16"/>
          <w:sz w:val="21"/>
          <w:szCs w:val="21"/>
        </w:rPr>
        <w:t xml:space="preserve"> </w:t>
      </w:r>
      <w:r>
        <w:rPr>
          <w:rFonts w:ascii="宋体" w:hAnsi="宋体" w:eastAsia="宋体" w:cs="宋体"/>
          <w:spacing w:val="5"/>
          <w:sz w:val="21"/>
          <w:szCs w:val="21"/>
        </w:rPr>
        <w:t>全长约7.2</w:t>
      </w:r>
      <w:r>
        <w:rPr>
          <w:rFonts w:ascii="Times New Roman" w:hAnsi="Times New Roman" w:eastAsia="Times New Roman" w:cs="Times New Roman"/>
          <w:sz w:val="21"/>
          <w:szCs w:val="21"/>
        </w:rPr>
        <w:t>kb</w:t>
      </w:r>
      <w:r>
        <w:rPr>
          <w:rFonts w:ascii="Times New Roman" w:hAnsi="Times New Roman" w:eastAsia="Times New Roman" w:cs="Times New Roman"/>
          <w:spacing w:val="5"/>
          <w:sz w:val="21"/>
          <w:szCs w:val="21"/>
        </w:rPr>
        <w:t>,</w:t>
      </w:r>
      <w:r>
        <w:rPr>
          <w:rFonts w:ascii="Times New Roman" w:hAnsi="Times New Roman" w:eastAsia="Times New Roman" w:cs="Times New Roman"/>
          <w:spacing w:val="16"/>
          <w:w w:val="101"/>
          <w:sz w:val="21"/>
          <w:szCs w:val="21"/>
        </w:rPr>
        <w:t xml:space="preserve"> </w:t>
      </w:r>
      <w:r>
        <w:rPr>
          <w:rFonts w:ascii="宋体" w:hAnsi="宋体" w:eastAsia="宋体" w:cs="宋体"/>
          <w:spacing w:val="5"/>
          <w:sz w:val="21"/>
          <w:szCs w:val="21"/>
        </w:rPr>
        <w:t>可分为8种基因型。人类主要感染</w:t>
      </w:r>
      <w:r>
        <w:rPr>
          <w:rFonts w:ascii="宋体" w:hAnsi="宋体" w:eastAsia="宋体" w:cs="宋体"/>
          <w:sz w:val="21"/>
          <w:szCs w:val="21"/>
        </w:rPr>
        <w:t xml:space="preserve"> </w:t>
      </w:r>
      <w:r>
        <w:rPr>
          <w:rFonts w:ascii="宋体" w:hAnsi="宋体" w:eastAsia="宋体" w:cs="宋体"/>
          <w:spacing w:val="5"/>
          <w:sz w:val="21"/>
          <w:szCs w:val="21"/>
        </w:rPr>
        <w:t>1～4型，1型和2型只感染人；3型和4型可感染人和猪、鹿等</w:t>
      </w:r>
      <w:r>
        <w:rPr>
          <w:rFonts w:ascii="宋体" w:hAnsi="宋体" w:eastAsia="宋体" w:cs="宋体"/>
          <w:spacing w:val="4"/>
          <w:sz w:val="21"/>
          <w:szCs w:val="21"/>
        </w:rPr>
        <w:t>多种动物。</w:t>
      </w:r>
      <w:r>
        <w:rPr>
          <w:rFonts w:ascii="宋体" w:hAnsi="宋体" w:eastAsia="宋体" w:cs="宋体"/>
          <w:spacing w:val="-55"/>
          <w:sz w:val="21"/>
          <w:szCs w:val="21"/>
        </w:rPr>
        <w:t xml:space="preserve"> </w:t>
      </w:r>
      <w:r>
        <w:rPr>
          <w:rFonts w:ascii="宋体" w:hAnsi="宋体" w:eastAsia="宋体" w:cs="宋体"/>
          <w:sz w:val="21"/>
          <w:szCs w:val="21"/>
        </w:rPr>
        <w:t>HEV</w:t>
      </w:r>
      <w:r>
        <w:rPr>
          <w:rFonts w:ascii="宋体" w:hAnsi="宋体" w:eastAsia="宋体" w:cs="宋体"/>
          <w:spacing w:val="4"/>
          <w:sz w:val="21"/>
          <w:szCs w:val="21"/>
        </w:rPr>
        <w:t>1～4  型属于同一种</w:t>
      </w:r>
      <w:r>
        <w:rPr>
          <w:rFonts w:ascii="宋体" w:hAnsi="宋体" w:eastAsia="宋体" w:cs="宋体"/>
          <w:sz w:val="21"/>
          <w:szCs w:val="21"/>
        </w:rPr>
        <w:t xml:space="preserve"> </w:t>
      </w:r>
      <w:r>
        <w:rPr>
          <w:rFonts w:ascii="宋体" w:hAnsi="宋体" w:eastAsia="宋体" w:cs="宋体"/>
          <w:spacing w:val="4"/>
          <w:sz w:val="21"/>
          <w:szCs w:val="21"/>
        </w:rPr>
        <w:t>血清型，戊肝疫苗对1～4型</w:t>
      </w:r>
      <w:r>
        <w:rPr>
          <w:rFonts w:ascii="Times New Roman" w:hAnsi="Times New Roman" w:eastAsia="Times New Roman" w:cs="Times New Roman"/>
          <w:sz w:val="21"/>
          <w:szCs w:val="21"/>
        </w:rPr>
        <w:t>HEV</w:t>
      </w:r>
      <w:r>
        <w:rPr>
          <w:rFonts w:ascii="Times New Roman" w:hAnsi="Times New Roman" w:eastAsia="Times New Roman" w:cs="Times New Roman"/>
          <w:spacing w:val="4"/>
          <w:sz w:val="21"/>
          <w:szCs w:val="21"/>
        </w:rPr>
        <w:t xml:space="preserve"> </w:t>
      </w:r>
      <w:r>
        <w:rPr>
          <w:rFonts w:ascii="宋体" w:hAnsi="宋体" w:eastAsia="宋体" w:cs="宋体"/>
          <w:spacing w:val="4"/>
          <w:sz w:val="21"/>
          <w:szCs w:val="21"/>
        </w:rPr>
        <w:t>感染均有保护作用。</w:t>
      </w:r>
    </w:p>
    <w:p w14:paraId="303CC9BB">
      <w:pPr>
        <w:spacing w:before="2" w:line="343" w:lineRule="auto"/>
        <w:ind w:right="566" w:firstLine="449"/>
        <w:jc w:val="both"/>
        <w:rPr>
          <w:rFonts w:ascii="宋体" w:hAnsi="宋体" w:eastAsia="宋体" w:cs="宋体"/>
          <w:sz w:val="21"/>
          <w:szCs w:val="21"/>
        </w:rPr>
      </w:pPr>
      <w:r>
        <w:rPr>
          <w:rFonts w:ascii="Times New Roman" w:hAnsi="Times New Roman" w:eastAsia="Times New Roman" w:cs="Times New Roman"/>
          <w:spacing w:val="-4"/>
          <w:sz w:val="21"/>
          <w:szCs w:val="21"/>
        </w:rPr>
        <w:t xml:space="preserve">HEV </w:t>
      </w:r>
      <w:r>
        <w:rPr>
          <w:rFonts w:ascii="宋体" w:hAnsi="宋体" w:eastAsia="宋体" w:cs="宋体"/>
          <w:spacing w:val="-4"/>
          <w:sz w:val="21"/>
          <w:szCs w:val="21"/>
        </w:rPr>
        <w:t>在碱性环境中较稳定，可存在于肝内和胆囊内的胆汁中，在生肉或没有完全熟的肉制品里</w:t>
      </w:r>
      <w:r>
        <w:rPr>
          <w:rFonts w:ascii="宋体" w:hAnsi="宋体" w:eastAsia="宋体" w:cs="宋体"/>
          <w:spacing w:val="16"/>
          <w:sz w:val="21"/>
          <w:szCs w:val="21"/>
        </w:rPr>
        <w:t xml:space="preserve"> </w:t>
      </w:r>
      <w:r>
        <w:rPr>
          <w:rFonts w:ascii="宋体" w:hAnsi="宋体" w:eastAsia="宋体" w:cs="宋体"/>
          <w:spacing w:val="4"/>
          <w:sz w:val="21"/>
          <w:szCs w:val="21"/>
        </w:rPr>
        <w:t>仍可保持感染性。带病毒的猪肝56℃加热1小时仍有感染性，10</w:t>
      </w:r>
      <w:r>
        <w:rPr>
          <w:rFonts w:ascii="宋体" w:hAnsi="宋体" w:eastAsia="宋体" w:cs="宋体"/>
          <w:spacing w:val="3"/>
          <w:sz w:val="21"/>
          <w:szCs w:val="21"/>
        </w:rPr>
        <w:t>0℃煮沸5分钟可灭活病毒。</w:t>
      </w:r>
      <w:r>
        <w:rPr>
          <w:rFonts w:ascii="宋体" w:hAnsi="宋体" w:eastAsia="宋体" w:cs="宋体"/>
          <w:spacing w:val="-34"/>
          <w:sz w:val="21"/>
          <w:szCs w:val="21"/>
        </w:rPr>
        <w:t xml:space="preserve"> </w:t>
      </w:r>
      <w:r>
        <w:rPr>
          <w:rFonts w:ascii="Times New Roman" w:hAnsi="Times New Roman" w:eastAsia="Times New Roman" w:cs="Times New Roman"/>
          <w:sz w:val="21"/>
          <w:szCs w:val="21"/>
        </w:rPr>
        <w:t xml:space="preserve">HEV </w:t>
      </w:r>
      <w:r>
        <w:rPr>
          <w:rFonts w:ascii="宋体" w:hAnsi="宋体" w:eastAsia="宋体" w:cs="宋体"/>
          <w:spacing w:val="-5"/>
          <w:sz w:val="21"/>
          <w:szCs w:val="21"/>
        </w:rPr>
        <w:t>对高盐、氯化铯、氯仿等敏感，在-70～8℃条件下或反复冻融易裂解，在液氮中</w:t>
      </w:r>
      <w:r>
        <w:rPr>
          <w:rFonts w:ascii="宋体" w:hAnsi="宋体" w:eastAsia="宋体" w:cs="宋体"/>
          <w:spacing w:val="-6"/>
          <w:sz w:val="21"/>
          <w:szCs w:val="21"/>
        </w:rPr>
        <w:t>可稳定保存。</w:t>
      </w:r>
    </w:p>
    <w:p w14:paraId="6D54C426">
      <w:pPr>
        <w:pStyle w:val="2"/>
        <w:spacing w:before="133" w:line="221" w:lineRule="auto"/>
        <w:ind w:left="453"/>
        <w:outlineLvl w:val="4"/>
        <w:rPr>
          <w:sz w:val="27"/>
          <w:szCs w:val="27"/>
        </w:rPr>
      </w:pPr>
      <w:bookmarkStart w:id="482" w:name="bookmark302"/>
      <w:bookmarkEnd w:id="482"/>
      <w:bookmarkStart w:id="483" w:name="bookmark571"/>
      <w:bookmarkEnd w:id="483"/>
      <w:r>
        <w:rPr>
          <w:b/>
          <w:bCs/>
          <w:spacing w:val="-9"/>
          <w:sz w:val="27"/>
          <w:szCs w:val="27"/>
        </w:rPr>
        <w:t>二、临床特征</w:t>
      </w:r>
    </w:p>
    <w:p w14:paraId="65D7B901">
      <w:pPr>
        <w:spacing w:before="249" w:line="335" w:lineRule="auto"/>
        <w:ind w:right="471" w:firstLine="449"/>
        <w:jc w:val="both"/>
        <w:rPr>
          <w:rFonts w:ascii="宋体" w:hAnsi="宋体" w:eastAsia="宋体" w:cs="宋体"/>
          <w:sz w:val="21"/>
          <w:szCs w:val="21"/>
        </w:rPr>
      </w:pPr>
      <w:r>
        <w:rPr>
          <w:rFonts w:ascii="宋体" w:hAnsi="宋体" w:eastAsia="宋体" w:cs="宋体"/>
          <w:spacing w:val="-5"/>
          <w:sz w:val="21"/>
          <w:szCs w:val="21"/>
        </w:rPr>
        <w:t>不同型别病毒性肝炎病人的临床表现较为相似，主要症状为全身乏力、食欲缺乏、厌油、黄疸，</w:t>
      </w:r>
      <w:r>
        <w:rPr>
          <w:rFonts w:ascii="宋体" w:hAnsi="宋体" w:eastAsia="宋体" w:cs="宋体"/>
          <w:spacing w:val="4"/>
          <w:sz w:val="21"/>
          <w:szCs w:val="21"/>
        </w:rPr>
        <w:t xml:space="preserve"> </w:t>
      </w:r>
      <w:r>
        <w:rPr>
          <w:rFonts w:ascii="宋体" w:hAnsi="宋体" w:eastAsia="宋体" w:cs="宋体"/>
          <w:spacing w:val="-8"/>
          <w:sz w:val="21"/>
          <w:szCs w:val="21"/>
        </w:rPr>
        <w:t>并可伴有发热、腹痛、恶心、呕吐等，按临</w:t>
      </w:r>
      <w:r>
        <w:rPr>
          <w:rFonts w:ascii="宋体" w:hAnsi="宋体" w:eastAsia="宋体" w:cs="宋体"/>
          <w:spacing w:val="-9"/>
          <w:sz w:val="21"/>
          <w:szCs w:val="21"/>
        </w:rPr>
        <w:t>床表现分为急性肝炎、慢性肝炎、重型肝炎、淤胆型肝炎、</w:t>
      </w:r>
      <w:r>
        <w:rPr>
          <w:rFonts w:ascii="宋体" w:hAnsi="宋体" w:eastAsia="宋体" w:cs="宋体"/>
          <w:sz w:val="21"/>
          <w:szCs w:val="21"/>
        </w:rPr>
        <w:t xml:space="preserve"> </w:t>
      </w:r>
      <w:r>
        <w:rPr>
          <w:rFonts w:ascii="宋体" w:hAnsi="宋体" w:eastAsia="宋体" w:cs="宋体"/>
          <w:spacing w:val="-6"/>
          <w:sz w:val="21"/>
          <w:szCs w:val="21"/>
        </w:rPr>
        <w:t>肝炎肝硬化和慢性无症状携带者，按感染的病毒不同主要分为甲型肝炎、乙型肝炎、丙型肝</w:t>
      </w:r>
      <w:r>
        <w:rPr>
          <w:rFonts w:ascii="宋体" w:hAnsi="宋体" w:eastAsia="宋体" w:cs="宋体"/>
          <w:spacing w:val="-7"/>
          <w:sz w:val="21"/>
          <w:szCs w:val="21"/>
        </w:rPr>
        <w:t>炎、丁型</w:t>
      </w:r>
      <w:r>
        <w:rPr>
          <w:rFonts w:ascii="宋体" w:hAnsi="宋体" w:eastAsia="宋体" w:cs="宋体"/>
          <w:sz w:val="21"/>
          <w:szCs w:val="21"/>
        </w:rPr>
        <w:t xml:space="preserve">  肝炎和戊型肝炎。诊断时需综合考虑流行病学史、临床表现和实验</w:t>
      </w:r>
      <w:r>
        <w:rPr>
          <w:rFonts w:ascii="宋体" w:hAnsi="宋体" w:eastAsia="宋体" w:cs="宋体"/>
          <w:spacing w:val="-1"/>
          <w:sz w:val="21"/>
          <w:szCs w:val="21"/>
        </w:rPr>
        <w:t>室检测结果。</w:t>
      </w:r>
    </w:p>
    <w:p w14:paraId="0E136DC1">
      <w:pPr>
        <w:pStyle w:val="2"/>
        <w:spacing w:before="4" w:line="222" w:lineRule="auto"/>
        <w:ind w:left="452"/>
        <w:rPr>
          <w:sz w:val="21"/>
          <w:szCs w:val="21"/>
        </w:rPr>
      </w:pPr>
      <w:r>
        <w:rPr>
          <w:b/>
          <w:bCs/>
          <w:spacing w:val="16"/>
          <w:sz w:val="21"/>
          <w:szCs w:val="21"/>
        </w:rPr>
        <w:t>(</w:t>
      </w:r>
      <w:r>
        <w:rPr>
          <w:spacing w:val="-46"/>
          <w:sz w:val="21"/>
          <w:szCs w:val="21"/>
        </w:rPr>
        <w:t xml:space="preserve"> </w:t>
      </w:r>
      <w:r>
        <w:rPr>
          <w:b/>
          <w:bCs/>
          <w:spacing w:val="16"/>
          <w:sz w:val="21"/>
          <w:szCs w:val="21"/>
        </w:rPr>
        <w:t>一</w:t>
      </w:r>
      <w:r>
        <w:rPr>
          <w:spacing w:val="-52"/>
          <w:sz w:val="21"/>
          <w:szCs w:val="21"/>
        </w:rPr>
        <w:t xml:space="preserve"> </w:t>
      </w:r>
      <w:r>
        <w:rPr>
          <w:b/>
          <w:bCs/>
          <w:spacing w:val="16"/>
          <w:sz w:val="21"/>
          <w:szCs w:val="21"/>
        </w:rPr>
        <w:t>)甲型肝炎</w:t>
      </w:r>
    </w:p>
    <w:p w14:paraId="002ED57D">
      <w:pPr>
        <w:pStyle w:val="2"/>
        <w:spacing w:before="90" w:line="328" w:lineRule="auto"/>
        <w:ind w:right="491" w:firstLine="449"/>
        <w:jc w:val="both"/>
        <w:rPr>
          <w:rFonts w:ascii="宋体" w:hAnsi="宋体" w:eastAsia="宋体" w:cs="宋体"/>
          <w:sz w:val="21"/>
          <w:szCs w:val="21"/>
        </w:rPr>
      </w:pPr>
      <w:r>
        <w:rPr>
          <w:rFonts w:ascii="宋体" w:hAnsi="宋体" w:eastAsia="宋体" w:cs="宋体"/>
          <w:sz w:val="21"/>
          <w:szCs w:val="21"/>
        </w:rPr>
        <w:t xml:space="preserve">1. </w:t>
      </w:r>
      <w:r>
        <w:rPr>
          <w:sz w:val="21"/>
          <w:szCs w:val="21"/>
        </w:rPr>
        <w:t xml:space="preserve">临床分型和自然史  </w:t>
      </w:r>
      <w:r>
        <w:rPr>
          <w:rFonts w:ascii="宋体" w:hAnsi="宋体" w:eastAsia="宋体" w:cs="宋体"/>
          <w:sz w:val="21"/>
          <w:szCs w:val="21"/>
        </w:rPr>
        <w:t>甲肝为自限性疾病，预后良好。HAV</w:t>
      </w:r>
      <w:r>
        <w:rPr>
          <w:rFonts w:ascii="宋体" w:hAnsi="宋体" w:eastAsia="宋体" w:cs="宋体"/>
          <w:spacing w:val="89"/>
          <w:sz w:val="21"/>
          <w:szCs w:val="21"/>
        </w:rPr>
        <w:t xml:space="preserve"> </w:t>
      </w:r>
      <w:r>
        <w:rPr>
          <w:rFonts w:ascii="宋体" w:hAnsi="宋体" w:eastAsia="宋体" w:cs="宋体"/>
          <w:sz w:val="21"/>
          <w:szCs w:val="21"/>
        </w:rPr>
        <w:t xml:space="preserve">感染包括显性感染和隐性感染， </w:t>
      </w:r>
      <w:r>
        <w:rPr>
          <w:rFonts w:ascii="宋体" w:hAnsi="宋体" w:eastAsia="宋体" w:cs="宋体"/>
          <w:spacing w:val="8"/>
          <w:sz w:val="21"/>
          <w:szCs w:val="21"/>
        </w:rPr>
        <w:t>显性感染与隐性感染的比例约为1:(3～10),感染后均可诱导机体产生持久的免疫力。显性</w:t>
      </w:r>
      <w:r>
        <w:rPr>
          <w:rFonts w:ascii="宋体" w:hAnsi="宋体" w:eastAsia="宋体" w:cs="宋体"/>
          <w:spacing w:val="7"/>
          <w:sz w:val="21"/>
          <w:szCs w:val="21"/>
        </w:rPr>
        <w:t>感染</w:t>
      </w:r>
      <w:r>
        <w:rPr>
          <w:rFonts w:ascii="宋体" w:hAnsi="宋体" w:eastAsia="宋体" w:cs="宋体"/>
          <w:sz w:val="21"/>
          <w:szCs w:val="21"/>
        </w:rPr>
        <w:t xml:space="preserve"> 主要表现为急性甲肝，包括急性黄疸型肝炎和急性无黄疸型肝炎两种。</w:t>
      </w:r>
    </w:p>
    <w:p w14:paraId="09BB1C8F">
      <w:pPr>
        <w:spacing w:before="1" w:line="344" w:lineRule="auto"/>
        <w:ind w:right="563" w:firstLine="449"/>
        <w:jc w:val="both"/>
        <w:rPr>
          <w:rFonts w:ascii="宋体" w:hAnsi="宋体" w:eastAsia="宋体" w:cs="宋体"/>
          <w:sz w:val="21"/>
          <w:szCs w:val="21"/>
        </w:rPr>
      </w:pPr>
      <w:r>
        <w:rPr>
          <w:rFonts w:ascii="宋体" w:hAnsi="宋体" w:eastAsia="宋体" w:cs="宋体"/>
          <w:spacing w:val="-2"/>
          <w:sz w:val="21"/>
          <w:szCs w:val="21"/>
        </w:rPr>
        <w:t>HAV</w:t>
      </w:r>
      <w:r>
        <w:rPr>
          <w:rFonts w:ascii="宋体" w:hAnsi="宋体" w:eastAsia="宋体" w:cs="宋体"/>
          <w:spacing w:val="99"/>
          <w:sz w:val="21"/>
          <w:szCs w:val="21"/>
        </w:rPr>
        <w:t xml:space="preserve"> </w:t>
      </w:r>
      <w:r>
        <w:rPr>
          <w:rFonts w:ascii="宋体" w:hAnsi="宋体" w:eastAsia="宋体" w:cs="宋体"/>
          <w:spacing w:val="-2"/>
          <w:sz w:val="21"/>
          <w:szCs w:val="21"/>
        </w:rPr>
        <w:t>经口进入体内后，引起短暂的病毒血症(病毒血症期);约一周后进入肝细胞内复制，经胆</w:t>
      </w:r>
      <w:r>
        <w:rPr>
          <w:rFonts w:ascii="宋体" w:hAnsi="宋体" w:eastAsia="宋体" w:cs="宋体"/>
          <w:sz w:val="21"/>
          <w:szCs w:val="21"/>
        </w:rPr>
        <w:t xml:space="preserve"> </w:t>
      </w:r>
      <w:r>
        <w:rPr>
          <w:rFonts w:ascii="宋体" w:hAnsi="宋体" w:eastAsia="宋体" w:cs="宋体"/>
          <w:spacing w:val="1"/>
          <w:sz w:val="21"/>
          <w:szCs w:val="21"/>
        </w:rPr>
        <w:t>汁由粪便排出体外(粪便排出病毒期),此时期开始病人成为重要的传染源；随后病人出现急性肝炎</w:t>
      </w:r>
      <w:r>
        <w:rPr>
          <w:rFonts w:ascii="宋体" w:hAnsi="宋体" w:eastAsia="宋体" w:cs="宋体"/>
          <w:spacing w:val="2"/>
          <w:sz w:val="21"/>
          <w:szCs w:val="21"/>
        </w:rPr>
        <w:t xml:space="preserve"> </w:t>
      </w:r>
      <w:r>
        <w:rPr>
          <w:rFonts w:ascii="宋体" w:hAnsi="宋体" w:eastAsia="宋体" w:cs="宋体"/>
          <w:spacing w:val="3"/>
          <w:sz w:val="21"/>
          <w:szCs w:val="21"/>
        </w:rPr>
        <w:t>的症状和体征(临床疾病期)。急性甲型肝炎的自然史和临</w:t>
      </w:r>
      <w:r>
        <w:rPr>
          <w:rFonts w:ascii="宋体" w:hAnsi="宋体" w:eastAsia="宋体" w:cs="宋体"/>
          <w:spacing w:val="2"/>
          <w:sz w:val="21"/>
          <w:szCs w:val="21"/>
        </w:rPr>
        <w:t>床特征见图19-1。</w:t>
      </w:r>
    </w:p>
    <w:p w14:paraId="1EFF338D">
      <w:pPr>
        <w:spacing w:before="107" w:line="3200" w:lineRule="exact"/>
        <w:ind w:firstLine="2279"/>
      </w:pPr>
      <w:r>
        <mc:AlternateContent>
          <mc:Choice Requires="wps">
            <w:drawing>
              <wp:anchor distT="0" distB="0" distL="0" distR="0" simplePos="0" relativeHeight="251977728" behindDoc="0" locked="0" layoutInCell="1" allowOverlap="1">
                <wp:simplePos x="0" y="0"/>
                <wp:positionH relativeFrom="column">
                  <wp:posOffset>906780</wp:posOffset>
                </wp:positionH>
                <wp:positionV relativeFrom="paragraph">
                  <wp:posOffset>869950</wp:posOffset>
                </wp:positionV>
                <wp:extent cx="1028065" cy="200660"/>
                <wp:effectExtent l="0" t="0" r="0" b="0"/>
                <wp:wrapNone/>
                <wp:docPr id="784" name="TextBox 784"/>
                <wp:cNvGraphicFramePr/>
                <a:graphic xmlns:a="http://schemas.openxmlformats.org/drawingml/2006/main">
                  <a:graphicData uri="http://schemas.microsoft.com/office/word/2010/wordprocessingShape">
                    <wps:wsp>
                      <wps:cNvSpPr txBox="1"/>
                      <wps:spPr>
                        <a:xfrm rot="16200000">
                          <a:off x="907276" y="870006"/>
                          <a:ext cx="1028064" cy="200660"/>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1BEF5EBC">
                            <w:pPr>
                              <w:spacing w:before="58" w:line="219" w:lineRule="auto"/>
                              <w:jc w:val="right"/>
                              <w:rPr>
                                <w:rFonts w:ascii="宋体" w:hAnsi="宋体" w:eastAsia="宋体" w:cs="宋体"/>
                                <w:sz w:val="20"/>
                                <w:szCs w:val="20"/>
                              </w:rPr>
                            </w:pPr>
                            <w:r>
                              <w:rPr>
                                <w:rFonts w:ascii="宋体" w:hAnsi="宋体" w:eastAsia="宋体" w:cs="宋体"/>
                                <w:spacing w:val="-17"/>
                                <w:w w:val="95"/>
                                <w:sz w:val="20"/>
                                <w:szCs w:val="20"/>
                              </w:rPr>
                              <w:t>实验室检测指</w:t>
                            </w:r>
                            <w:r>
                              <w:rPr>
                                <w:rFonts w:ascii="宋体" w:hAnsi="宋体" w:eastAsia="宋体" w:cs="宋体"/>
                                <w:spacing w:val="-16"/>
                                <w:w w:val="95"/>
                                <w:sz w:val="20"/>
                                <w:szCs w:val="20"/>
                              </w:rPr>
                              <w:t>标水</w:t>
                            </w:r>
                            <w:r>
                              <w:rPr>
                                <w:rFonts w:ascii="宋体" w:hAnsi="宋体" w:eastAsia="宋体" w:cs="宋体"/>
                                <w:spacing w:val="-10"/>
                                <w:w w:val="95"/>
                                <w:sz w:val="20"/>
                                <w:szCs w:val="20"/>
                              </w:rPr>
                              <w:t>平</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784" o:spid="_x0000_s1026" o:spt="202" type="#_x0000_t202" style="position:absolute;left:0pt;margin-left:71.4pt;margin-top:68.5pt;height:15.8pt;width:80.95pt;rotation:-5898240f;z-index:251977728;mso-width-relative:page;mso-height-relative:page;" filled="f" stroked="f" coordsize="21600,21600" o:gfxdata="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3U8soNkAAAALAQAADwAA&#10;AAAAAAABACAAAAAiAAAAZHJzL2Rvd25yZXYueG1sUEsBAhQAFAAAAAgAh07iQNAwQpNOAgAApAQA&#10;AA4AAAAAAAAAAQAgAAAAKAEAAGRycy9lMm9Eb2MueG1sUEsFBgAAAAAGAAYAWQEAAOgFAAAAAA==&#10;">
                <v:fill on="f" focussize="0,0"/>
                <v:stroke on="f" weight="0pt" miterlimit="0" joinstyle="miter"/>
                <v:imagedata o:title=""/>
                <o:lock v:ext="edit" aspectratio="f"/>
                <v:textbox inset="0mm,0mm,0mm,0mm">
                  <w:txbxContent>
                    <w:p w14:paraId="1BEF5EBC">
                      <w:pPr>
                        <w:spacing w:before="58" w:line="219" w:lineRule="auto"/>
                        <w:jc w:val="right"/>
                        <w:rPr>
                          <w:rFonts w:ascii="宋体" w:hAnsi="宋体" w:eastAsia="宋体" w:cs="宋体"/>
                          <w:sz w:val="20"/>
                          <w:szCs w:val="20"/>
                        </w:rPr>
                      </w:pPr>
                      <w:r>
                        <w:rPr>
                          <w:rFonts w:ascii="宋体" w:hAnsi="宋体" w:eastAsia="宋体" w:cs="宋体"/>
                          <w:spacing w:val="-17"/>
                          <w:w w:val="95"/>
                          <w:sz w:val="20"/>
                          <w:szCs w:val="20"/>
                        </w:rPr>
                        <w:t>实验室检测指</w:t>
                      </w:r>
                      <w:r>
                        <w:rPr>
                          <w:rFonts w:ascii="宋体" w:hAnsi="宋体" w:eastAsia="宋体" w:cs="宋体"/>
                          <w:spacing w:val="-16"/>
                          <w:w w:val="95"/>
                          <w:sz w:val="20"/>
                          <w:szCs w:val="20"/>
                        </w:rPr>
                        <w:t>标水</w:t>
                      </w:r>
                      <w:r>
                        <w:rPr>
                          <w:rFonts w:ascii="宋体" w:hAnsi="宋体" w:eastAsia="宋体" w:cs="宋体"/>
                          <w:spacing w:val="-10"/>
                          <w:w w:val="95"/>
                          <w:sz w:val="20"/>
                          <w:szCs w:val="20"/>
                        </w:rPr>
                        <w:t>平</w:t>
                      </w:r>
                    </w:p>
                  </w:txbxContent>
                </v:textbox>
              </v:shape>
            </w:pict>
          </mc:Fallback>
        </mc:AlternateContent>
      </w:r>
      <w:r>
        <w:rPr>
          <w:position w:val="-64"/>
        </w:rPr>
        <w:pict>
          <v:group id="_x0000_s1284" o:spid="_x0000_s1284" o:spt="203" style="height:160.05pt;width:237.55pt;" coordsize="4751,3201">
            <o:lock v:ext="edit"/>
            <v:shape id="_x0000_s1285" o:spid="_x0000_s1285" o:spt="75" type="#_x0000_t75" style="position:absolute;left:0;top:0;height:3201;width:4751;" filled="f" stroked="f" coordsize="21600,21600">
              <v:path/>
              <v:fill on="f" focussize="0,0"/>
              <v:stroke on="f"/>
              <v:imagedata r:id="rId683" o:title=""/>
              <o:lock v:ext="edit" aspectratio="t"/>
            </v:shape>
            <v:shape id="_x0000_s1286" o:spid="_x0000_s1286" o:spt="202" type="#_x0000_t202" style="position:absolute;left:260;top:356;height:2842;width:4312;" filled="f" stroked="f" coordsize="21600,21600">
              <v:path/>
              <v:fill on="f" focussize="0,0"/>
              <v:stroke on="f"/>
              <v:imagedata o:title=""/>
              <o:lock v:ext="edit" aspectratio="f"/>
              <v:textbox inset="0mm,0mm,0mm,0mm">
                <w:txbxContent>
                  <w:p w14:paraId="784E7225">
                    <w:pPr>
                      <w:spacing w:before="20" w:line="219" w:lineRule="auto"/>
                      <w:ind w:left="1360"/>
                      <w:rPr>
                        <w:rFonts w:ascii="宋体" w:hAnsi="宋体" w:eastAsia="宋体" w:cs="宋体"/>
                        <w:sz w:val="16"/>
                        <w:szCs w:val="16"/>
                      </w:rPr>
                    </w:pPr>
                    <w:r>
                      <w:rPr>
                        <w:rFonts w:ascii="宋体" w:hAnsi="宋体" w:eastAsia="宋体" w:cs="宋体"/>
                        <w:spacing w:val="12"/>
                        <w:sz w:val="16"/>
                        <w:szCs w:val="16"/>
                      </w:rPr>
                      <w:t>临床疾病期</w:t>
                    </w:r>
                  </w:p>
                  <w:p w14:paraId="62692CBF">
                    <w:pPr>
                      <w:spacing w:before="209" w:line="188" w:lineRule="auto"/>
                      <w:ind w:left="3680"/>
                      <w:rPr>
                        <w:rFonts w:ascii="Times New Roman" w:hAnsi="Times New Roman" w:eastAsia="Times New Roman" w:cs="Times New Roman"/>
                        <w:sz w:val="16"/>
                        <w:szCs w:val="16"/>
                      </w:rPr>
                    </w:pPr>
                    <w:r>
                      <w:rPr>
                        <w:rFonts w:ascii="Times New Roman" w:hAnsi="Times New Roman" w:eastAsia="Times New Roman" w:cs="Times New Roman"/>
                        <w:spacing w:val="-1"/>
                        <w:sz w:val="16"/>
                        <w:szCs w:val="16"/>
                      </w:rPr>
                      <w:t>IgG</w:t>
                    </w:r>
                  </w:p>
                  <w:p w14:paraId="4BCFFA83">
                    <w:pPr>
                      <w:spacing w:line="273" w:lineRule="auto"/>
                      <w:rPr>
                        <w:rFonts w:ascii="Arial"/>
                        <w:sz w:val="21"/>
                      </w:rPr>
                    </w:pPr>
                  </w:p>
                  <w:p w14:paraId="5C972CFF">
                    <w:pPr>
                      <w:spacing w:line="274" w:lineRule="auto"/>
                      <w:rPr>
                        <w:rFonts w:ascii="Arial"/>
                        <w:sz w:val="21"/>
                      </w:rPr>
                    </w:pPr>
                  </w:p>
                  <w:p w14:paraId="307D7D34">
                    <w:pPr>
                      <w:spacing w:before="68" w:line="219" w:lineRule="auto"/>
                      <w:ind w:left="20"/>
                      <w:rPr>
                        <w:rFonts w:ascii="宋体" w:hAnsi="宋体" w:eastAsia="宋体" w:cs="宋体"/>
                        <w:sz w:val="21"/>
                        <w:szCs w:val="21"/>
                      </w:rPr>
                    </w:pPr>
                    <w:r>
                      <w:rPr>
                        <w:rFonts w:ascii="宋体" w:hAnsi="宋体" w:eastAsia="宋体" w:cs="宋体"/>
                        <w:spacing w:val="-18"/>
                        <w:w w:val="99"/>
                        <w:sz w:val="21"/>
                        <w:szCs w:val="21"/>
                      </w:rPr>
                      <w:t>病毒血症期</w:t>
                    </w:r>
                  </w:p>
                  <w:p w14:paraId="215CDACF">
                    <w:pPr>
                      <w:spacing w:before="80" w:line="185" w:lineRule="auto"/>
                      <w:ind w:left="3570"/>
                      <w:rPr>
                        <w:rFonts w:ascii="Times New Roman" w:hAnsi="Times New Roman" w:eastAsia="Times New Roman" w:cs="Times New Roman"/>
                        <w:sz w:val="16"/>
                        <w:szCs w:val="16"/>
                      </w:rPr>
                    </w:pPr>
                    <w:r>
                      <w:rPr>
                        <w:rFonts w:ascii="Times New Roman" w:hAnsi="Times New Roman" w:eastAsia="Times New Roman" w:cs="Times New Roman"/>
                        <w:spacing w:val="-1"/>
                        <w:sz w:val="16"/>
                        <w:szCs w:val="16"/>
                      </w:rPr>
                      <w:t>IgM</w:t>
                    </w:r>
                  </w:p>
                  <w:p w14:paraId="23E5F955">
                    <w:pPr>
                      <w:spacing w:before="246" w:line="219" w:lineRule="auto"/>
                      <w:ind w:left="760"/>
                      <w:rPr>
                        <w:rFonts w:ascii="宋体" w:hAnsi="宋体" w:eastAsia="宋体" w:cs="宋体"/>
                        <w:sz w:val="16"/>
                        <w:szCs w:val="16"/>
                      </w:rPr>
                    </w:pPr>
                    <w:r>
                      <w:rPr>
                        <w:rFonts w:ascii="宋体" w:hAnsi="宋体" w:eastAsia="宋体" w:cs="宋体"/>
                        <w:spacing w:val="18"/>
                        <w:sz w:val="16"/>
                        <w:szCs w:val="16"/>
                      </w:rPr>
                      <w:t>粪便排出病毒期</w:t>
                    </w:r>
                  </w:p>
                  <w:p w14:paraId="4E794608">
                    <w:pPr>
                      <w:spacing w:before="113" w:line="189" w:lineRule="auto"/>
                      <w:ind w:left="3150"/>
                      <w:rPr>
                        <w:rFonts w:ascii="Times New Roman" w:hAnsi="Times New Roman" w:eastAsia="Times New Roman" w:cs="Times New Roman"/>
                        <w:sz w:val="16"/>
                        <w:szCs w:val="16"/>
                      </w:rPr>
                    </w:pPr>
                    <w:r>
                      <w:rPr>
                        <w:rFonts w:ascii="Times New Roman" w:hAnsi="Times New Roman" w:eastAsia="Times New Roman" w:cs="Times New Roman"/>
                        <w:spacing w:val="-1"/>
                        <w:sz w:val="16"/>
                        <w:szCs w:val="16"/>
                      </w:rPr>
                      <w:t>ALT</w:t>
                    </w:r>
                  </w:p>
                  <w:p w14:paraId="53A4F74C">
                    <w:pPr>
                      <w:spacing w:before="265" w:line="236" w:lineRule="auto"/>
                      <w:ind w:right="15"/>
                      <w:jc w:val="right"/>
                      <w:rPr>
                        <w:rFonts w:ascii="Times New Roman" w:hAnsi="Times New Roman" w:eastAsia="Times New Roman" w:cs="Times New Roman"/>
                        <w:sz w:val="16"/>
                        <w:szCs w:val="16"/>
                      </w:rPr>
                    </w:pPr>
                    <w:r>
                      <w:rPr>
                        <w:rFonts w:ascii="宋体" w:hAnsi="宋体" w:eastAsia="宋体" w:cs="宋体"/>
                        <w:spacing w:val="-5"/>
                        <w:sz w:val="21"/>
                        <w:szCs w:val="21"/>
                      </w:rPr>
                      <w:t>1</w:t>
                    </w:r>
                    <w:r>
                      <w:rPr>
                        <w:rFonts w:ascii="宋体" w:hAnsi="宋体" w:eastAsia="宋体" w:cs="宋体"/>
                        <w:spacing w:val="24"/>
                        <w:sz w:val="21"/>
                        <w:szCs w:val="21"/>
                      </w:rPr>
                      <w:t xml:space="preserve">  </w:t>
                    </w:r>
                    <w:r>
                      <w:rPr>
                        <w:rFonts w:ascii="宋体" w:hAnsi="宋体" w:eastAsia="宋体" w:cs="宋体"/>
                        <w:spacing w:val="-5"/>
                        <w:sz w:val="21"/>
                        <w:szCs w:val="21"/>
                      </w:rPr>
                      <w:t>2</w:t>
                    </w:r>
                    <w:r>
                      <w:rPr>
                        <w:rFonts w:ascii="宋体" w:hAnsi="宋体" w:eastAsia="宋体" w:cs="宋体"/>
                        <w:spacing w:val="22"/>
                        <w:sz w:val="21"/>
                        <w:szCs w:val="21"/>
                      </w:rPr>
                      <w:t xml:space="preserve">  </w:t>
                    </w:r>
                    <w:r>
                      <w:rPr>
                        <w:rFonts w:ascii="宋体" w:hAnsi="宋体" w:eastAsia="宋体" w:cs="宋体"/>
                        <w:spacing w:val="-5"/>
                        <w:sz w:val="21"/>
                        <w:szCs w:val="21"/>
                      </w:rPr>
                      <w:t>3</w:t>
                    </w:r>
                    <w:r>
                      <w:rPr>
                        <w:rFonts w:ascii="宋体" w:hAnsi="宋体" w:eastAsia="宋体" w:cs="宋体"/>
                        <w:spacing w:val="34"/>
                        <w:sz w:val="21"/>
                        <w:szCs w:val="21"/>
                      </w:rPr>
                      <w:t xml:space="preserve">  </w:t>
                    </w:r>
                    <w:r>
                      <w:rPr>
                        <w:rFonts w:ascii="宋体" w:hAnsi="宋体" w:eastAsia="宋体" w:cs="宋体"/>
                        <w:spacing w:val="-5"/>
                        <w:sz w:val="21"/>
                        <w:szCs w:val="21"/>
                      </w:rPr>
                      <w:t>4</w:t>
                    </w:r>
                    <w:r>
                      <w:rPr>
                        <w:rFonts w:ascii="宋体" w:hAnsi="宋体" w:eastAsia="宋体" w:cs="宋体"/>
                        <w:spacing w:val="16"/>
                        <w:sz w:val="21"/>
                        <w:szCs w:val="21"/>
                      </w:rPr>
                      <w:t xml:space="preserve">  </w:t>
                    </w:r>
                    <w:r>
                      <w:rPr>
                        <w:rFonts w:ascii="Times New Roman" w:hAnsi="Times New Roman" w:eastAsia="Times New Roman" w:cs="Times New Roman"/>
                        <w:spacing w:val="-5"/>
                        <w:sz w:val="16"/>
                        <w:szCs w:val="16"/>
                      </w:rPr>
                      <w:t>5</w:t>
                    </w:r>
                    <w:r>
                      <w:rPr>
                        <w:rFonts w:ascii="Times New Roman" w:hAnsi="Times New Roman" w:eastAsia="Times New Roman" w:cs="Times New Roman"/>
                        <w:spacing w:val="6"/>
                        <w:sz w:val="16"/>
                        <w:szCs w:val="16"/>
                      </w:rPr>
                      <w:t xml:space="preserve">      </w:t>
                    </w:r>
                    <w:r>
                      <w:rPr>
                        <w:rFonts w:ascii="Times New Roman" w:hAnsi="Times New Roman" w:eastAsia="Times New Roman" w:cs="Times New Roman"/>
                        <w:spacing w:val="-5"/>
                        <w:sz w:val="16"/>
                        <w:szCs w:val="16"/>
                      </w:rPr>
                      <w:t>6        7       8</w:t>
                    </w:r>
                    <w:r>
                      <w:rPr>
                        <w:rFonts w:ascii="Times New Roman" w:hAnsi="Times New Roman" w:eastAsia="Times New Roman" w:cs="Times New Roman"/>
                        <w:spacing w:val="5"/>
                        <w:sz w:val="16"/>
                        <w:szCs w:val="16"/>
                      </w:rPr>
                      <w:t xml:space="preserve">      </w:t>
                    </w:r>
                    <w:r>
                      <w:rPr>
                        <w:rFonts w:ascii="Times New Roman" w:hAnsi="Times New Roman" w:eastAsia="Times New Roman" w:cs="Times New Roman"/>
                        <w:spacing w:val="-5"/>
                        <w:sz w:val="16"/>
                        <w:szCs w:val="16"/>
                      </w:rPr>
                      <w:t>9       1011</w:t>
                    </w:r>
                    <w:r>
                      <w:rPr>
                        <w:rFonts w:ascii="Times New Roman" w:hAnsi="Times New Roman" w:eastAsia="Times New Roman" w:cs="Times New Roman"/>
                        <w:spacing w:val="3"/>
                        <w:sz w:val="16"/>
                        <w:szCs w:val="16"/>
                      </w:rPr>
                      <w:t xml:space="preserve">         </w:t>
                    </w:r>
                    <w:r>
                      <w:rPr>
                        <w:rFonts w:ascii="Times New Roman" w:hAnsi="Times New Roman" w:eastAsia="Times New Roman" w:cs="Times New Roman"/>
                        <w:spacing w:val="-5"/>
                        <w:sz w:val="16"/>
                        <w:szCs w:val="16"/>
                      </w:rPr>
                      <w:t>1213</w:t>
                    </w:r>
                  </w:p>
                </w:txbxContent>
              </v:textbox>
            </v:shape>
            <v:shape id="_x0000_s1287" o:spid="_x0000_s1287" o:spt="202" type="#_x0000_t202" style="position:absolute;left:60;top:3008;height:151;width:115;" filled="f" stroked="f" coordsize="21600,21600">
              <v:path/>
              <v:fill on="f" focussize="0,0"/>
              <v:stroke on="f"/>
              <v:imagedata o:title=""/>
              <o:lock v:ext="edit" aspectratio="f"/>
              <v:textbox inset="0mm,0mm,0mm,0mm">
                <w:txbxContent>
                  <w:p w14:paraId="5CEB2792">
                    <w:pPr>
                      <w:spacing w:before="20" w:line="188" w:lineRule="auto"/>
                      <w:ind w:left="20"/>
                      <w:rPr>
                        <w:rFonts w:ascii="Times New Roman" w:hAnsi="Times New Roman" w:eastAsia="Times New Roman" w:cs="Times New Roman"/>
                        <w:sz w:val="16"/>
                        <w:szCs w:val="16"/>
                      </w:rPr>
                    </w:pPr>
                    <w:r>
                      <w:rPr>
                        <w:rFonts w:ascii="Times New Roman" w:hAnsi="Times New Roman" w:eastAsia="Times New Roman" w:cs="Times New Roman"/>
                        <w:sz w:val="16"/>
                        <w:szCs w:val="16"/>
                      </w:rPr>
                      <w:t>0</w:t>
                    </w:r>
                  </w:p>
                </w:txbxContent>
              </v:textbox>
            </v:shape>
            <w10:wrap type="none"/>
            <w10:anchorlock/>
          </v:group>
        </w:pict>
      </w:r>
    </w:p>
    <w:p w14:paraId="6CDA7E7F">
      <w:pPr>
        <w:spacing w:before="37" w:line="220" w:lineRule="auto"/>
        <w:ind w:left="4279"/>
        <w:rPr>
          <w:rFonts w:ascii="宋体" w:hAnsi="宋体" w:eastAsia="宋体" w:cs="宋体"/>
          <w:sz w:val="16"/>
          <w:szCs w:val="16"/>
        </w:rPr>
      </w:pPr>
      <w:r>
        <w:rPr>
          <w:rFonts w:ascii="宋体" w:hAnsi="宋体" w:eastAsia="宋体" w:cs="宋体"/>
          <w:spacing w:val="4"/>
          <w:sz w:val="16"/>
          <w:szCs w:val="16"/>
        </w:rPr>
        <w:t>感染时间/周</w:t>
      </w:r>
    </w:p>
    <w:p w14:paraId="50F1CEBC">
      <w:pPr>
        <w:spacing w:before="168" w:line="219" w:lineRule="auto"/>
        <w:ind w:left="2772"/>
        <w:rPr>
          <w:rFonts w:ascii="宋体" w:hAnsi="宋体" w:eastAsia="宋体" w:cs="宋体"/>
          <w:sz w:val="21"/>
          <w:szCs w:val="21"/>
        </w:rPr>
      </w:pPr>
      <w:r>
        <w:rPr>
          <w:rFonts w:ascii="宋体" w:hAnsi="宋体" w:eastAsia="宋体" w:cs="宋体"/>
          <w:b/>
          <w:bCs/>
          <w:spacing w:val="-19"/>
          <w:sz w:val="21"/>
          <w:szCs w:val="21"/>
        </w:rPr>
        <w:t>图19-1</w:t>
      </w:r>
      <w:r>
        <w:rPr>
          <w:rFonts w:ascii="宋体" w:hAnsi="宋体" w:eastAsia="宋体" w:cs="宋体"/>
          <w:spacing w:val="94"/>
          <w:sz w:val="21"/>
          <w:szCs w:val="21"/>
        </w:rPr>
        <w:t xml:space="preserve"> </w:t>
      </w:r>
      <w:r>
        <w:rPr>
          <w:rFonts w:ascii="宋体" w:hAnsi="宋体" w:eastAsia="宋体" w:cs="宋体"/>
          <w:b/>
          <w:bCs/>
          <w:spacing w:val="-19"/>
          <w:sz w:val="21"/>
          <w:szCs w:val="21"/>
        </w:rPr>
        <w:t>急性甲型肝炎的自然史和临床特征</w:t>
      </w:r>
    </w:p>
    <w:p w14:paraId="0700D59A">
      <w:pPr>
        <w:spacing w:before="102" w:line="219" w:lineRule="auto"/>
        <w:ind w:left="3759"/>
        <w:rPr>
          <w:rFonts w:ascii="宋体" w:hAnsi="宋体" w:eastAsia="宋体" w:cs="宋体"/>
          <w:sz w:val="16"/>
          <w:szCs w:val="16"/>
        </w:rPr>
      </w:pPr>
      <w:r>
        <w:rPr>
          <w:rFonts w:ascii="Times New Roman" w:hAnsi="Times New Roman" w:eastAsia="Times New Roman" w:cs="Times New Roman"/>
          <w:sz w:val="16"/>
          <w:szCs w:val="16"/>
        </w:rPr>
        <w:t>ALT</w:t>
      </w:r>
      <w:r>
        <w:rPr>
          <w:rFonts w:ascii="Times New Roman" w:hAnsi="Times New Roman" w:eastAsia="Times New Roman" w:cs="Times New Roman"/>
          <w:spacing w:val="22"/>
          <w:sz w:val="16"/>
          <w:szCs w:val="16"/>
        </w:rPr>
        <w:t>.</w:t>
      </w:r>
      <w:r>
        <w:rPr>
          <w:rFonts w:ascii="Times New Roman" w:hAnsi="Times New Roman" w:eastAsia="Times New Roman" w:cs="Times New Roman"/>
          <w:spacing w:val="32"/>
          <w:sz w:val="16"/>
          <w:szCs w:val="16"/>
        </w:rPr>
        <w:t xml:space="preserve"> </w:t>
      </w:r>
      <w:r>
        <w:rPr>
          <w:rFonts w:ascii="宋体" w:hAnsi="宋体" w:eastAsia="宋体" w:cs="宋体"/>
          <w:spacing w:val="22"/>
          <w:sz w:val="16"/>
          <w:szCs w:val="16"/>
        </w:rPr>
        <w:t>丙氨酸转氨酶。</w:t>
      </w:r>
    </w:p>
    <w:p w14:paraId="45303DD4">
      <w:pPr>
        <w:spacing w:before="112" w:line="212" w:lineRule="auto"/>
        <w:ind w:left="3480"/>
        <w:rPr>
          <w:rFonts w:ascii="Times New Roman" w:hAnsi="Times New Roman" w:eastAsia="Times New Roman" w:cs="Times New Roman"/>
          <w:sz w:val="16"/>
          <w:szCs w:val="16"/>
        </w:rPr>
      </w:pPr>
      <w:r>
        <w:rPr>
          <w:rFonts w:ascii="宋体" w:hAnsi="宋体" w:eastAsia="宋体" w:cs="宋体"/>
          <w:spacing w:val="-5"/>
          <w:sz w:val="16"/>
          <w:szCs w:val="16"/>
        </w:rPr>
        <w:t>( 改</w:t>
      </w:r>
      <w:r>
        <w:rPr>
          <w:rFonts w:ascii="宋体" w:hAnsi="宋体" w:eastAsia="宋体" w:cs="宋体"/>
          <w:spacing w:val="-9"/>
          <w:sz w:val="16"/>
          <w:szCs w:val="16"/>
        </w:rPr>
        <w:t xml:space="preserve"> </w:t>
      </w:r>
      <w:r>
        <w:rPr>
          <w:rFonts w:ascii="宋体" w:hAnsi="宋体" w:eastAsia="宋体" w:cs="宋体"/>
          <w:spacing w:val="-5"/>
          <w:sz w:val="16"/>
          <w:szCs w:val="16"/>
        </w:rPr>
        <w:t>编 自</w:t>
      </w:r>
      <w:r>
        <w:rPr>
          <w:rFonts w:ascii="Times New Roman" w:hAnsi="Times New Roman" w:eastAsia="Times New Roman" w:cs="Times New Roman"/>
          <w:spacing w:val="-5"/>
          <w:sz w:val="16"/>
          <w:szCs w:val="16"/>
        </w:rPr>
        <w:t>Matheny</w:t>
      </w:r>
      <w:r>
        <w:rPr>
          <w:rFonts w:ascii="Times New Roman" w:hAnsi="Times New Roman" w:eastAsia="Times New Roman" w:cs="Times New Roman"/>
          <w:spacing w:val="1"/>
          <w:sz w:val="16"/>
          <w:szCs w:val="16"/>
        </w:rPr>
        <w:t xml:space="preserve">        </w:t>
      </w:r>
      <w:r>
        <w:rPr>
          <w:rFonts w:ascii="Times New Roman" w:hAnsi="Times New Roman" w:eastAsia="Times New Roman" w:cs="Times New Roman"/>
          <w:spacing w:val="-5"/>
          <w:sz w:val="16"/>
          <w:szCs w:val="16"/>
        </w:rPr>
        <w:t>SC,2012)</w:t>
      </w:r>
    </w:p>
    <w:p w14:paraId="5A5AF7DD">
      <w:pPr>
        <w:spacing w:before="247" w:line="219" w:lineRule="auto"/>
        <w:ind w:left="449"/>
        <w:rPr>
          <w:rFonts w:ascii="宋体" w:hAnsi="宋体" w:eastAsia="宋体" w:cs="宋体"/>
          <w:sz w:val="21"/>
          <w:szCs w:val="21"/>
        </w:rPr>
      </w:pPr>
      <w:r>
        <w:rPr>
          <w:rFonts w:ascii="宋体" w:hAnsi="宋体" w:eastAsia="宋体" w:cs="宋体"/>
          <w:spacing w:val="1"/>
          <w:sz w:val="21"/>
          <w:szCs w:val="21"/>
        </w:rPr>
        <w:t>2. 实验室检测指标及意义</w:t>
      </w:r>
    </w:p>
    <w:p w14:paraId="32682372">
      <w:pPr>
        <w:spacing w:before="135" w:line="265" w:lineRule="auto"/>
        <w:ind w:right="471" w:firstLine="449"/>
        <w:rPr>
          <w:rFonts w:ascii="宋体" w:hAnsi="宋体" w:eastAsia="宋体" w:cs="宋体"/>
          <w:sz w:val="21"/>
          <w:szCs w:val="21"/>
        </w:rPr>
      </w:pPr>
      <w:r>
        <w:rPr>
          <w:rFonts w:ascii="宋体" w:hAnsi="宋体" w:eastAsia="宋体" w:cs="宋体"/>
          <w:spacing w:val="7"/>
          <w:sz w:val="21"/>
          <w:szCs w:val="21"/>
        </w:rPr>
        <w:t>(</w:t>
      </w:r>
      <w:r>
        <w:rPr>
          <w:rFonts w:ascii="宋体" w:hAnsi="宋体" w:eastAsia="宋体" w:cs="宋体"/>
          <w:spacing w:val="-16"/>
          <w:sz w:val="21"/>
          <w:szCs w:val="21"/>
        </w:rPr>
        <w:t xml:space="preserve"> </w:t>
      </w:r>
      <w:r>
        <w:rPr>
          <w:rFonts w:ascii="宋体" w:hAnsi="宋体" w:eastAsia="宋体" w:cs="宋体"/>
          <w:spacing w:val="7"/>
          <w:sz w:val="21"/>
          <w:szCs w:val="21"/>
        </w:rPr>
        <w:t>1</w:t>
      </w:r>
      <w:r>
        <w:rPr>
          <w:rFonts w:ascii="宋体" w:hAnsi="宋体" w:eastAsia="宋体" w:cs="宋体"/>
          <w:spacing w:val="-30"/>
          <w:sz w:val="21"/>
          <w:szCs w:val="21"/>
        </w:rPr>
        <w:t xml:space="preserve"> </w:t>
      </w:r>
      <w:r>
        <w:rPr>
          <w:rFonts w:ascii="宋体" w:hAnsi="宋体" w:eastAsia="宋体" w:cs="宋体"/>
          <w:spacing w:val="7"/>
          <w:sz w:val="21"/>
          <w:szCs w:val="21"/>
        </w:rPr>
        <w:t>)</w:t>
      </w:r>
      <w:r>
        <w:rPr>
          <w:rFonts w:ascii="宋体" w:hAnsi="宋体" w:eastAsia="宋体" w:cs="宋体"/>
          <w:spacing w:val="-31"/>
          <w:sz w:val="21"/>
          <w:szCs w:val="21"/>
        </w:rPr>
        <w:t xml:space="preserve"> </w:t>
      </w:r>
      <w:r>
        <w:rPr>
          <w:rFonts w:ascii="宋体" w:hAnsi="宋体" w:eastAsia="宋体" w:cs="宋体"/>
          <w:spacing w:val="7"/>
          <w:sz w:val="21"/>
          <w:szCs w:val="21"/>
        </w:rPr>
        <w:t>抗</w:t>
      </w:r>
      <w:r>
        <w:rPr>
          <w:rFonts w:ascii="宋体" w:hAnsi="宋体" w:eastAsia="宋体" w:cs="宋体"/>
          <w:spacing w:val="-33"/>
          <w:sz w:val="21"/>
          <w:szCs w:val="21"/>
        </w:rPr>
        <w:t xml:space="preserve"> </w:t>
      </w:r>
      <w:r>
        <w:rPr>
          <w:rFonts w:ascii="宋体" w:hAnsi="宋体" w:eastAsia="宋体" w:cs="宋体"/>
          <w:spacing w:val="7"/>
          <w:sz w:val="21"/>
          <w:szCs w:val="21"/>
        </w:rPr>
        <w:t>-</w:t>
      </w:r>
      <w:r>
        <w:rPr>
          <w:rFonts w:ascii="宋体" w:hAnsi="宋体" w:eastAsia="宋体" w:cs="宋体"/>
          <w:sz w:val="21"/>
          <w:szCs w:val="21"/>
        </w:rPr>
        <w:t>HAV</w:t>
      </w:r>
      <w:r>
        <w:rPr>
          <w:rFonts w:ascii="宋体" w:hAnsi="宋体" w:eastAsia="宋体" w:cs="宋体"/>
          <w:spacing w:val="28"/>
          <w:sz w:val="21"/>
          <w:szCs w:val="21"/>
        </w:rPr>
        <w:t xml:space="preserve">   </w:t>
      </w:r>
      <w:r>
        <w:rPr>
          <w:rFonts w:ascii="宋体" w:hAnsi="宋体" w:eastAsia="宋体" w:cs="宋体"/>
          <w:sz w:val="21"/>
          <w:szCs w:val="21"/>
        </w:rPr>
        <w:t>IgM</w:t>
      </w:r>
      <w:r>
        <w:rPr>
          <w:rFonts w:ascii="宋体" w:hAnsi="宋体" w:eastAsia="宋体" w:cs="宋体"/>
          <w:spacing w:val="7"/>
          <w:sz w:val="21"/>
          <w:szCs w:val="21"/>
        </w:rPr>
        <w:t>:是急性感染的标志，是早期诊断甲型</w:t>
      </w:r>
      <w:r>
        <w:rPr>
          <w:rFonts w:ascii="宋体" w:hAnsi="宋体" w:eastAsia="宋体" w:cs="宋体"/>
          <w:spacing w:val="6"/>
          <w:sz w:val="21"/>
          <w:szCs w:val="21"/>
        </w:rPr>
        <w:t>肝炎最简便可靠的血清学指标。</w:t>
      </w:r>
      <w:r>
        <w:rPr>
          <w:rFonts w:ascii="宋体" w:hAnsi="宋体" w:eastAsia="宋体" w:cs="宋体"/>
          <w:spacing w:val="1"/>
          <w:sz w:val="21"/>
          <w:szCs w:val="21"/>
        </w:rPr>
        <w:t xml:space="preserve"> </w:t>
      </w:r>
      <w:r>
        <w:rPr>
          <w:rFonts w:ascii="宋体" w:hAnsi="宋体" w:eastAsia="宋体" w:cs="宋体"/>
          <w:spacing w:val="-1"/>
          <w:sz w:val="21"/>
          <w:szCs w:val="21"/>
        </w:rPr>
        <w:t>抗</w:t>
      </w:r>
      <w:r>
        <w:rPr>
          <w:rFonts w:ascii="宋体" w:hAnsi="宋体" w:eastAsia="宋体" w:cs="宋体"/>
          <w:spacing w:val="-52"/>
          <w:sz w:val="21"/>
          <w:szCs w:val="21"/>
        </w:rPr>
        <w:t xml:space="preserve"> </w:t>
      </w:r>
      <w:r>
        <w:rPr>
          <w:rFonts w:ascii="宋体" w:hAnsi="宋体" w:eastAsia="宋体" w:cs="宋体"/>
          <w:spacing w:val="-1"/>
          <w:sz w:val="21"/>
          <w:szCs w:val="21"/>
        </w:rPr>
        <w:t>-</w:t>
      </w:r>
      <w:r>
        <w:rPr>
          <w:rFonts w:ascii="Times New Roman" w:hAnsi="Times New Roman" w:eastAsia="Times New Roman" w:cs="Times New Roman"/>
          <w:spacing w:val="-1"/>
          <w:sz w:val="21"/>
          <w:szCs w:val="21"/>
        </w:rPr>
        <w:t>HAV IgM</w:t>
      </w:r>
      <w:r>
        <w:rPr>
          <w:rFonts w:ascii="宋体" w:hAnsi="宋体" w:eastAsia="宋体" w:cs="宋体"/>
          <w:spacing w:val="-1"/>
          <w:sz w:val="21"/>
          <w:szCs w:val="21"/>
        </w:rPr>
        <w:t>在感染早期即可出现，在血清中持续存在约4～6个月。</w:t>
      </w:r>
    </w:p>
    <w:p w14:paraId="788E7BEA">
      <w:pPr>
        <w:spacing w:before="138" w:line="212" w:lineRule="auto"/>
        <w:ind w:left="449"/>
        <w:rPr>
          <w:rFonts w:ascii="宋体" w:hAnsi="宋体" w:eastAsia="宋体" w:cs="宋体"/>
          <w:sz w:val="21"/>
          <w:szCs w:val="21"/>
        </w:rPr>
      </w:pPr>
      <w:r>
        <w:rPr>
          <w:rFonts w:ascii="宋体" w:hAnsi="宋体" w:eastAsia="宋体" w:cs="宋体"/>
          <w:sz w:val="21"/>
          <w:szCs w:val="21"/>
        </w:rPr>
        <w:t>(2)抗</w:t>
      </w:r>
      <w:r>
        <w:rPr>
          <w:rFonts w:ascii="宋体" w:hAnsi="宋体" w:eastAsia="宋体" w:cs="宋体"/>
          <w:spacing w:val="-58"/>
          <w:sz w:val="21"/>
          <w:szCs w:val="21"/>
        </w:rPr>
        <w:t xml:space="preserve"> </w:t>
      </w:r>
      <w:r>
        <w:rPr>
          <w:rFonts w:ascii="宋体" w:hAnsi="宋体" w:eastAsia="宋体" w:cs="宋体"/>
          <w:sz w:val="21"/>
          <w:szCs w:val="21"/>
        </w:rPr>
        <w:t>-</w:t>
      </w:r>
      <w:r>
        <w:rPr>
          <w:rFonts w:ascii="Times New Roman" w:hAnsi="Times New Roman" w:eastAsia="Times New Roman" w:cs="Times New Roman"/>
          <w:sz w:val="21"/>
          <w:szCs w:val="21"/>
        </w:rPr>
        <w:t>HAV IgG:</w:t>
      </w:r>
      <w:r>
        <w:rPr>
          <w:rFonts w:ascii="宋体" w:hAnsi="宋体" w:eastAsia="宋体" w:cs="宋体"/>
          <w:sz w:val="21"/>
          <w:szCs w:val="21"/>
        </w:rPr>
        <w:t>是保护性抗体，是既往感染或疫</w:t>
      </w:r>
      <w:r>
        <w:rPr>
          <w:rFonts w:ascii="宋体" w:hAnsi="宋体" w:eastAsia="宋体" w:cs="宋体"/>
          <w:spacing w:val="-1"/>
          <w:sz w:val="21"/>
          <w:szCs w:val="21"/>
        </w:rPr>
        <w:t>苗接种后产生免疫力的标志。</w:t>
      </w:r>
    </w:p>
    <w:p w14:paraId="21E81752">
      <w:pPr>
        <w:spacing w:before="140" w:line="216" w:lineRule="auto"/>
        <w:ind w:left="449"/>
        <w:rPr>
          <w:rFonts w:ascii="宋体" w:hAnsi="宋体" w:eastAsia="宋体" w:cs="宋体"/>
          <w:sz w:val="21"/>
          <w:szCs w:val="21"/>
        </w:rPr>
      </w:pPr>
      <w:r>
        <w:rPr>
          <w:rFonts w:ascii="宋体" w:hAnsi="宋体" w:eastAsia="宋体" w:cs="宋体"/>
          <w:spacing w:val="-1"/>
          <w:sz w:val="21"/>
          <w:szCs w:val="21"/>
        </w:rPr>
        <w:t>(3)HAV    RNA:感染期病人的粪便中可检测到HAV</w:t>
      </w:r>
      <w:r>
        <w:rPr>
          <w:rFonts w:ascii="宋体" w:hAnsi="宋体" w:eastAsia="宋体" w:cs="宋体"/>
          <w:spacing w:val="15"/>
          <w:sz w:val="21"/>
          <w:szCs w:val="21"/>
        </w:rPr>
        <w:t xml:space="preserve">   </w:t>
      </w:r>
      <w:r>
        <w:rPr>
          <w:rFonts w:ascii="宋体" w:hAnsi="宋体" w:eastAsia="宋体" w:cs="宋体"/>
          <w:spacing w:val="-1"/>
          <w:sz w:val="21"/>
          <w:szCs w:val="21"/>
        </w:rPr>
        <w:t>RN</w:t>
      </w:r>
      <w:r>
        <w:rPr>
          <w:rFonts w:ascii="宋体" w:hAnsi="宋体" w:eastAsia="宋体" w:cs="宋体"/>
          <w:spacing w:val="-2"/>
          <w:sz w:val="21"/>
          <w:szCs w:val="21"/>
        </w:rPr>
        <w:t>A,是具有排毒性的标志。</w:t>
      </w:r>
    </w:p>
    <w:p w14:paraId="602525DE">
      <w:pPr>
        <w:pStyle w:val="2"/>
        <w:spacing w:before="128" w:line="222" w:lineRule="auto"/>
        <w:ind w:left="449"/>
        <w:rPr>
          <w:sz w:val="21"/>
          <w:szCs w:val="21"/>
        </w:rPr>
      </w:pPr>
      <w:r>
        <w:rPr>
          <w:spacing w:val="26"/>
          <w:sz w:val="21"/>
          <w:szCs w:val="21"/>
        </w:rPr>
        <w:t>(二)乙型肝炎</w:t>
      </w:r>
    </w:p>
    <w:p w14:paraId="0F639386">
      <w:pPr>
        <w:pStyle w:val="2"/>
        <w:spacing w:before="96" w:line="222" w:lineRule="auto"/>
        <w:ind w:left="449"/>
        <w:rPr>
          <w:rFonts w:ascii="宋体" w:hAnsi="宋体" w:eastAsia="宋体" w:cs="宋体"/>
          <w:sz w:val="21"/>
          <w:szCs w:val="21"/>
        </w:rPr>
      </w:pPr>
      <w:r>
        <w:rPr>
          <w:rFonts w:ascii="宋体" w:hAnsi="宋体" w:eastAsia="宋体" w:cs="宋体"/>
          <w:sz w:val="21"/>
          <w:szCs w:val="21"/>
        </w:rPr>
        <w:t xml:space="preserve">1. </w:t>
      </w:r>
      <w:r>
        <w:rPr>
          <w:sz w:val="21"/>
          <w:szCs w:val="21"/>
        </w:rPr>
        <w:t xml:space="preserve">临床分型和自然史  </w:t>
      </w:r>
      <w:r>
        <w:rPr>
          <w:rFonts w:ascii="宋体" w:hAnsi="宋体" w:eastAsia="宋体" w:cs="宋体"/>
          <w:sz w:val="21"/>
          <w:szCs w:val="21"/>
        </w:rPr>
        <w:t>乙肝临床分型多样，现以慢性乙肝和HBV</w:t>
      </w:r>
      <w:r>
        <w:rPr>
          <w:rFonts w:ascii="宋体" w:hAnsi="宋体" w:eastAsia="宋体" w:cs="宋体"/>
          <w:spacing w:val="65"/>
          <w:sz w:val="21"/>
          <w:szCs w:val="21"/>
        </w:rPr>
        <w:t xml:space="preserve"> </w:t>
      </w:r>
      <w:r>
        <w:rPr>
          <w:rFonts w:ascii="宋体" w:hAnsi="宋体" w:eastAsia="宋体" w:cs="宋体"/>
          <w:sz w:val="21"/>
          <w:szCs w:val="21"/>
        </w:rPr>
        <w:t>携带为主，急性乙肝少见。</w:t>
      </w:r>
    </w:p>
    <w:p w14:paraId="55462924">
      <w:pPr>
        <w:spacing w:line="222" w:lineRule="auto"/>
        <w:rPr>
          <w:rFonts w:ascii="宋体" w:hAnsi="宋体" w:eastAsia="宋体" w:cs="宋体"/>
          <w:sz w:val="21"/>
          <w:szCs w:val="21"/>
        </w:rPr>
        <w:sectPr>
          <w:footerReference r:id="rId316" w:type="default"/>
          <w:pgSz w:w="11900" w:h="16820"/>
          <w:pgMar w:top="400" w:right="933" w:bottom="751" w:left="1430" w:header="0" w:footer="607" w:gutter="0"/>
          <w:cols w:space="720" w:num="1"/>
        </w:sectPr>
      </w:pPr>
    </w:p>
    <w:p w14:paraId="6FC2FA6B">
      <w:pPr>
        <w:spacing w:line="329" w:lineRule="auto"/>
        <w:rPr>
          <w:rFonts w:ascii="Arial"/>
          <w:sz w:val="21"/>
        </w:rPr>
      </w:pPr>
    </w:p>
    <w:p w14:paraId="5B9AC3C9">
      <w:pPr>
        <w:pStyle w:val="2"/>
        <w:spacing w:before="65" w:line="222" w:lineRule="auto"/>
        <w:ind w:left="650"/>
        <w:rPr>
          <w:sz w:val="20"/>
          <w:szCs w:val="20"/>
        </w:rPr>
      </w:pPr>
      <w:bookmarkStart w:id="484" w:name="bookmark572"/>
      <w:bookmarkEnd w:id="484"/>
      <w:r>
        <w:rPr>
          <w:spacing w:val="-14"/>
          <w:w w:val="98"/>
          <w:sz w:val="20"/>
          <w:szCs w:val="20"/>
        </w:rPr>
        <w:t>第十九章病毒性肝炎</w:t>
      </w:r>
    </w:p>
    <w:p w14:paraId="69F5EF7F">
      <w:pPr>
        <w:spacing w:line="264" w:lineRule="auto"/>
        <w:rPr>
          <w:rFonts w:ascii="Arial"/>
          <w:sz w:val="21"/>
        </w:rPr>
      </w:pPr>
    </w:p>
    <w:p w14:paraId="3250EF8D">
      <w:pPr>
        <w:spacing w:line="265" w:lineRule="auto"/>
        <w:rPr>
          <w:rFonts w:ascii="Arial"/>
          <w:sz w:val="21"/>
        </w:rPr>
      </w:pPr>
    </w:p>
    <w:p w14:paraId="0A12467F">
      <w:pPr>
        <w:spacing w:before="65" w:line="332" w:lineRule="auto"/>
        <w:ind w:left="650" w:right="92"/>
        <w:rPr>
          <w:rFonts w:ascii="宋体" w:hAnsi="宋体" w:eastAsia="宋体" w:cs="宋体"/>
          <w:sz w:val="20"/>
          <w:szCs w:val="20"/>
        </w:rPr>
      </w:pPr>
      <w:r>
        <w:rPr>
          <w:rFonts w:ascii="Times New Roman" w:hAnsi="Times New Roman" w:eastAsia="Times New Roman" w:cs="Times New Roman"/>
          <w:sz w:val="20"/>
          <w:szCs w:val="20"/>
        </w:rPr>
        <w:t>HBV</w:t>
      </w:r>
      <w:r>
        <w:rPr>
          <w:rFonts w:ascii="宋体" w:hAnsi="宋体" w:eastAsia="宋体" w:cs="宋体"/>
          <w:spacing w:val="3"/>
          <w:sz w:val="20"/>
          <w:szCs w:val="20"/>
        </w:rPr>
        <w:t>携带者分为</w:t>
      </w:r>
      <w:r>
        <w:rPr>
          <w:rFonts w:ascii="Times New Roman" w:hAnsi="Times New Roman" w:eastAsia="Times New Roman" w:cs="Times New Roman"/>
          <w:sz w:val="20"/>
          <w:szCs w:val="20"/>
        </w:rPr>
        <w:t>HBsAg</w:t>
      </w:r>
      <w:r>
        <w:rPr>
          <w:rFonts w:ascii="宋体" w:hAnsi="宋体" w:eastAsia="宋体" w:cs="宋体"/>
          <w:spacing w:val="3"/>
          <w:sz w:val="20"/>
          <w:szCs w:val="20"/>
        </w:rPr>
        <w:t>阳性且</w:t>
      </w:r>
      <w:r>
        <w:rPr>
          <w:rFonts w:ascii="Times New Roman" w:hAnsi="Times New Roman" w:eastAsia="Times New Roman" w:cs="Times New Roman"/>
          <w:sz w:val="20"/>
          <w:szCs w:val="20"/>
        </w:rPr>
        <w:t>HBV</w:t>
      </w:r>
      <w:r>
        <w:rPr>
          <w:rFonts w:ascii="Times New Roman" w:hAnsi="Times New Roman" w:eastAsia="Times New Roman" w:cs="Times New Roman"/>
          <w:spacing w:val="3"/>
          <w:sz w:val="20"/>
          <w:szCs w:val="20"/>
        </w:rPr>
        <w:t xml:space="preserve"> </w:t>
      </w:r>
      <w:r>
        <w:rPr>
          <w:rFonts w:ascii="Times New Roman" w:hAnsi="Times New Roman" w:eastAsia="Times New Roman" w:cs="Times New Roman"/>
          <w:sz w:val="20"/>
          <w:szCs w:val="20"/>
        </w:rPr>
        <w:t>DNA</w:t>
      </w:r>
      <w:r>
        <w:rPr>
          <w:rFonts w:ascii="宋体" w:hAnsi="宋体" w:eastAsia="宋体" w:cs="宋体"/>
          <w:spacing w:val="3"/>
          <w:sz w:val="20"/>
          <w:szCs w:val="20"/>
        </w:rPr>
        <w:t>阴性的</w:t>
      </w:r>
      <w:r>
        <w:rPr>
          <w:rFonts w:ascii="Times New Roman" w:hAnsi="Times New Roman" w:eastAsia="Times New Roman" w:cs="Times New Roman"/>
          <w:sz w:val="20"/>
          <w:szCs w:val="20"/>
        </w:rPr>
        <w:t>HBsAg</w:t>
      </w:r>
      <w:r>
        <w:rPr>
          <w:rFonts w:ascii="宋体" w:hAnsi="宋体" w:eastAsia="宋体" w:cs="宋体"/>
          <w:spacing w:val="3"/>
          <w:sz w:val="20"/>
          <w:szCs w:val="20"/>
        </w:rPr>
        <w:t>携带者、</w:t>
      </w:r>
      <w:r>
        <w:rPr>
          <w:rFonts w:ascii="Times New Roman" w:hAnsi="Times New Roman" w:eastAsia="Times New Roman" w:cs="Times New Roman"/>
          <w:sz w:val="20"/>
          <w:szCs w:val="20"/>
        </w:rPr>
        <w:t>HBsAg</w:t>
      </w:r>
      <w:r>
        <w:rPr>
          <w:rFonts w:ascii="宋体" w:hAnsi="宋体" w:eastAsia="宋体" w:cs="宋体"/>
          <w:spacing w:val="3"/>
          <w:sz w:val="20"/>
          <w:szCs w:val="20"/>
        </w:rPr>
        <w:t>和</w:t>
      </w:r>
      <w:r>
        <w:rPr>
          <w:rFonts w:ascii="Times New Roman" w:hAnsi="Times New Roman" w:eastAsia="Times New Roman" w:cs="Times New Roman"/>
          <w:sz w:val="20"/>
          <w:szCs w:val="20"/>
        </w:rPr>
        <w:t>HBV</w:t>
      </w:r>
      <w:r>
        <w:rPr>
          <w:rFonts w:ascii="Times New Roman" w:hAnsi="Times New Roman" w:eastAsia="Times New Roman" w:cs="Times New Roman"/>
          <w:spacing w:val="3"/>
          <w:sz w:val="20"/>
          <w:szCs w:val="20"/>
        </w:rPr>
        <w:t xml:space="preserve"> </w:t>
      </w:r>
      <w:r>
        <w:rPr>
          <w:rFonts w:ascii="Times New Roman" w:hAnsi="Times New Roman" w:eastAsia="Times New Roman" w:cs="Times New Roman"/>
          <w:sz w:val="20"/>
          <w:szCs w:val="20"/>
        </w:rPr>
        <w:t>DNA</w:t>
      </w:r>
      <w:r>
        <w:rPr>
          <w:rFonts w:ascii="宋体" w:hAnsi="宋体" w:eastAsia="宋体" w:cs="宋体"/>
          <w:spacing w:val="3"/>
          <w:sz w:val="20"/>
          <w:szCs w:val="20"/>
        </w:rPr>
        <w:t>均阳性的慢性</w:t>
      </w:r>
      <w:r>
        <w:rPr>
          <w:rFonts w:ascii="宋体" w:hAnsi="宋体" w:eastAsia="宋体" w:cs="宋体"/>
          <w:spacing w:val="1"/>
          <w:sz w:val="20"/>
          <w:szCs w:val="20"/>
        </w:rPr>
        <w:t xml:space="preserve"> </w:t>
      </w:r>
      <w:r>
        <w:rPr>
          <w:rFonts w:ascii="Times New Roman" w:hAnsi="Times New Roman" w:eastAsia="Times New Roman" w:cs="Times New Roman"/>
          <w:sz w:val="20"/>
          <w:szCs w:val="20"/>
        </w:rPr>
        <w:t>HBV</w:t>
      </w:r>
      <w:r>
        <w:rPr>
          <w:rFonts w:ascii="宋体" w:hAnsi="宋体" w:eastAsia="宋体" w:cs="宋体"/>
          <w:spacing w:val="6"/>
          <w:sz w:val="20"/>
          <w:szCs w:val="20"/>
        </w:rPr>
        <w:t>携带者和</w:t>
      </w:r>
      <w:r>
        <w:rPr>
          <w:rFonts w:ascii="Times New Roman" w:hAnsi="Times New Roman" w:eastAsia="Times New Roman" w:cs="Times New Roman"/>
          <w:sz w:val="20"/>
          <w:szCs w:val="20"/>
        </w:rPr>
        <w:t>HBV</w:t>
      </w:r>
      <w:r>
        <w:rPr>
          <w:rFonts w:ascii="Times New Roman" w:hAnsi="Times New Roman" w:eastAsia="Times New Roman" w:cs="Times New Roman"/>
          <w:spacing w:val="6"/>
          <w:sz w:val="20"/>
          <w:szCs w:val="20"/>
        </w:rPr>
        <w:t xml:space="preserve"> </w:t>
      </w:r>
      <w:r>
        <w:rPr>
          <w:rFonts w:ascii="Times New Roman" w:hAnsi="Times New Roman" w:eastAsia="Times New Roman" w:cs="Times New Roman"/>
          <w:sz w:val="20"/>
          <w:szCs w:val="20"/>
        </w:rPr>
        <w:t>DNA</w:t>
      </w:r>
      <w:r>
        <w:rPr>
          <w:rFonts w:ascii="宋体" w:hAnsi="宋体" w:eastAsia="宋体" w:cs="宋体"/>
          <w:spacing w:val="6"/>
          <w:sz w:val="20"/>
          <w:szCs w:val="20"/>
        </w:rPr>
        <w:t>阳性且</w:t>
      </w:r>
      <w:r>
        <w:rPr>
          <w:rFonts w:ascii="Times New Roman" w:hAnsi="Times New Roman" w:eastAsia="Times New Roman" w:cs="Times New Roman"/>
          <w:sz w:val="20"/>
          <w:szCs w:val="20"/>
        </w:rPr>
        <w:t>HBsAg</w:t>
      </w:r>
      <w:r>
        <w:rPr>
          <w:rFonts w:ascii="宋体" w:hAnsi="宋体" w:eastAsia="宋体" w:cs="宋体"/>
          <w:spacing w:val="6"/>
          <w:sz w:val="20"/>
          <w:szCs w:val="20"/>
        </w:rPr>
        <w:t>阴性的隐匿性</w:t>
      </w:r>
      <w:r>
        <w:rPr>
          <w:rFonts w:ascii="Times New Roman" w:hAnsi="Times New Roman" w:eastAsia="Times New Roman" w:cs="Times New Roman"/>
          <w:sz w:val="20"/>
          <w:szCs w:val="20"/>
        </w:rPr>
        <w:t>HBV</w:t>
      </w:r>
      <w:r>
        <w:rPr>
          <w:rFonts w:ascii="宋体" w:hAnsi="宋体" w:eastAsia="宋体" w:cs="宋体"/>
          <w:spacing w:val="6"/>
          <w:sz w:val="20"/>
          <w:szCs w:val="20"/>
        </w:rPr>
        <w:t>感染者。</w:t>
      </w:r>
    </w:p>
    <w:p w14:paraId="586257C7">
      <w:pPr>
        <w:spacing w:before="24" w:line="333" w:lineRule="auto"/>
        <w:ind w:left="650" w:firstLine="379"/>
        <w:jc w:val="both"/>
        <w:rPr>
          <w:rFonts w:ascii="宋体" w:hAnsi="宋体" w:eastAsia="宋体" w:cs="宋体"/>
          <w:sz w:val="20"/>
          <w:szCs w:val="20"/>
        </w:rPr>
      </w:pPr>
      <w:r>
        <w:rPr>
          <w:rFonts w:ascii="宋体" w:hAnsi="宋体" w:eastAsia="宋体" w:cs="宋体"/>
          <w:sz w:val="20"/>
          <w:szCs w:val="20"/>
        </w:rPr>
        <w:t>HBV</w:t>
      </w:r>
      <w:r>
        <w:rPr>
          <w:rFonts w:ascii="宋体" w:hAnsi="宋体" w:eastAsia="宋体" w:cs="宋体"/>
          <w:spacing w:val="43"/>
          <w:sz w:val="20"/>
          <w:szCs w:val="20"/>
        </w:rPr>
        <w:t xml:space="preserve"> </w:t>
      </w:r>
      <w:r>
        <w:rPr>
          <w:rFonts w:ascii="宋体" w:hAnsi="宋体" w:eastAsia="宋体" w:cs="宋体"/>
          <w:spacing w:val="1"/>
          <w:sz w:val="20"/>
          <w:szCs w:val="20"/>
        </w:rPr>
        <w:t>感染的自然史主要取决于病毒和宿主的相互作用</w:t>
      </w:r>
      <w:r>
        <w:rPr>
          <w:rFonts w:ascii="宋体" w:hAnsi="宋体" w:eastAsia="宋体" w:cs="宋体"/>
          <w:sz w:val="20"/>
          <w:szCs w:val="20"/>
        </w:rPr>
        <w:t>，其中感染HBV</w:t>
      </w:r>
      <w:r>
        <w:rPr>
          <w:rFonts w:ascii="宋体" w:hAnsi="宋体" w:eastAsia="宋体" w:cs="宋体"/>
          <w:spacing w:val="63"/>
          <w:sz w:val="20"/>
          <w:szCs w:val="20"/>
        </w:rPr>
        <w:t xml:space="preserve"> </w:t>
      </w:r>
      <w:r>
        <w:rPr>
          <w:rFonts w:ascii="宋体" w:hAnsi="宋体" w:eastAsia="宋体" w:cs="宋体"/>
          <w:sz w:val="20"/>
          <w:szCs w:val="20"/>
        </w:rPr>
        <w:t xml:space="preserve">时的年龄是影响慢性化  </w:t>
      </w:r>
      <w:r>
        <w:rPr>
          <w:rFonts w:ascii="宋体" w:hAnsi="宋体" w:eastAsia="宋体" w:cs="宋体"/>
          <w:spacing w:val="12"/>
          <w:sz w:val="20"/>
          <w:szCs w:val="20"/>
        </w:rPr>
        <w:t>的主要因素之一。新生儿及1岁以下婴幼儿</w:t>
      </w:r>
      <w:r>
        <w:rPr>
          <w:rFonts w:ascii="宋体" w:hAnsi="宋体" w:eastAsia="宋体" w:cs="宋体"/>
          <w:sz w:val="20"/>
          <w:szCs w:val="20"/>
        </w:rPr>
        <w:t>HBV</w:t>
      </w:r>
      <w:r>
        <w:rPr>
          <w:rFonts w:ascii="宋体" w:hAnsi="宋体" w:eastAsia="宋体" w:cs="宋体"/>
          <w:spacing w:val="73"/>
          <w:sz w:val="20"/>
          <w:szCs w:val="20"/>
        </w:rPr>
        <w:t xml:space="preserve"> </w:t>
      </w:r>
      <w:r>
        <w:rPr>
          <w:rFonts w:ascii="宋体" w:hAnsi="宋体" w:eastAsia="宋体" w:cs="宋体"/>
          <w:spacing w:val="12"/>
          <w:sz w:val="20"/>
          <w:szCs w:val="20"/>
        </w:rPr>
        <w:t>感染慢性化风险为90%,而</w:t>
      </w:r>
      <w:r>
        <w:rPr>
          <w:rFonts w:ascii="宋体" w:hAnsi="宋体" w:eastAsia="宋体" w:cs="宋体"/>
          <w:spacing w:val="11"/>
          <w:sz w:val="20"/>
          <w:szCs w:val="20"/>
        </w:rPr>
        <w:t>成人</w:t>
      </w:r>
      <w:r>
        <w:rPr>
          <w:rFonts w:ascii="宋体" w:hAnsi="宋体" w:eastAsia="宋体" w:cs="宋体"/>
          <w:sz w:val="20"/>
          <w:szCs w:val="20"/>
        </w:rPr>
        <w:t>HBV</w:t>
      </w:r>
      <w:r>
        <w:rPr>
          <w:rFonts w:ascii="宋体" w:hAnsi="宋体" w:eastAsia="宋体" w:cs="宋体"/>
          <w:spacing w:val="83"/>
          <w:sz w:val="20"/>
          <w:szCs w:val="20"/>
        </w:rPr>
        <w:t xml:space="preserve"> </w:t>
      </w:r>
      <w:r>
        <w:rPr>
          <w:rFonts w:ascii="宋体" w:hAnsi="宋体" w:eastAsia="宋体" w:cs="宋体"/>
          <w:spacing w:val="11"/>
          <w:sz w:val="20"/>
          <w:szCs w:val="20"/>
        </w:rPr>
        <w:t>感染慢性</w:t>
      </w:r>
      <w:r>
        <w:rPr>
          <w:rFonts w:ascii="宋体" w:hAnsi="宋体" w:eastAsia="宋体" w:cs="宋体"/>
          <w:sz w:val="20"/>
          <w:szCs w:val="20"/>
        </w:rPr>
        <w:t xml:space="preserve">  </w:t>
      </w:r>
      <w:r>
        <w:rPr>
          <w:rFonts w:ascii="宋体" w:hAnsi="宋体" w:eastAsia="宋体" w:cs="宋体"/>
          <w:spacing w:val="2"/>
          <w:sz w:val="20"/>
          <w:szCs w:val="20"/>
        </w:rPr>
        <w:t>化风险则低于5%。</w:t>
      </w:r>
      <w:r>
        <w:rPr>
          <w:rFonts w:ascii="宋体" w:hAnsi="宋体" w:eastAsia="宋体" w:cs="宋体"/>
          <w:spacing w:val="56"/>
          <w:sz w:val="20"/>
          <w:szCs w:val="20"/>
        </w:rPr>
        <w:t xml:space="preserve"> </w:t>
      </w:r>
      <w:r>
        <w:rPr>
          <w:rFonts w:ascii="宋体" w:hAnsi="宋体" w:eastAsia="宋体" w:cs="宋体"/>
          <w:spacing w:val="2"/>
          <w:sz w:val="20"/>
          <w:szCs w:val="20"/>
        </w:rPr>
        <w:t>一般将慢性</w:t>
      </w:r>
      <w:r>
        <w:rPr>
          <w:rFonts w:ascii="Times New Roman" w:hAnsi="Times New Roman" w:eastAsia="Times New Roman" w:cs="Times New Roman"/>
          <w:sz w:val="20"/>
          <w:szCs w:val="20"/>
        </w:rPr>
        <w:t>HBV</w:t>
      </w:r>
      <w:r>
        <w:rPr>
          <w:rFonts w:ascii="Times New Roman" w:hAnsi="Times New Roman" w:eastAsia="Times New Roman" w:cs="Times New Roman"/>
          <w:spacing w:val="-9"/>
          <w:sz w:val="20"/>
          <w:szCs w:val="20"/>
        </w:rPr>
        <w:t xml:space="preserve"> </w:t>
      </w:r>
      <w:r>
        <w:rPr>
          <w:rFonts w:ascii="宋体" w:hAnsi="宋体" w:eastAsia="宋体" w:cs="宋体"/>
          <w:spacing w:val="2"/>
          <w:sz w:val="20"/>
          <w:szCs w:val="20"/>
        </w:rPr>
        <w:t>感染的自然史划分为4个阶段，即免疫耐受期、免疫清</w:t>
      </w:r>
      <w:r>
        <w:rPr>
          <w:rFonts w:ascii="宋体" w:hAnsi="宋体" w:eastAsia="宋体" w:cs="宋体"/>
          <w:spacing w:val="1"/>
          <w:sz w:val="20"/>
          <w:szCs w:val="20"/>
        </w:rPr>
        <w:t>除期、</w:t>
      </w:r>
      <w:r>
        <w:rPr>
          <w:rFonts w:ascii="宋体" w:hAnsi="宋体" w:eastAsia="宋体" w:cs="宋体"/>
          <w:sz w:val="20"/>
          <w:szCs w:val="20"/>
        </w:rPr>
        <w:t xml:space="preserve"> </w:t>
      </w:r>
      <w:r>
        <w:rPr>
          <w:rFonts w:ascii="宋体" w:hAnsi="宋体" w:eastAsia="宋体" w:cs="宋体"/>
          <w:spacing w:val="4"/>
          <w:sz w:val="20"/>
          <w:szCs w:val="20"/>
        </w:rPr>
        <w:t>非活动期和再活动期(图19-2)。青少年和成年时期感染</w:t>
      </w:r>
      <w:r>
        <w:rPr>
          <w:rFonts w:ascii="宋体" w:hAnsi="宋体" w:eastAsia="宋体" w:cs="宋体"/>
          <w:sz w:val="20"/>
          <w:szCs w:val="20"/>
        </w:rPr>
        <w:t>HBV</w:t>
      </w:r>
      <w:r>
        <w:rPr>
          <w:rFonts w:ascii="宋体" w:hAnsi="宋体" w:eastAsia="宋体" w:cs="宋体"/>
          <w:spacing w:val="4"/>
          <w:sz w:val="20"/>
          <w:szCs w:val="20"/>
        </w:rPr>
        <w:t>,</w:t>
      </w:r>
      <w:r>
        <w:rPr>
          <w:rFonts w:ascii="宋体" w:hAnsi="宋体" w:eastAsia="宋体" w:cs="宋体"/>
          <w:spacing w:val="37"/>
          <w:sz w:val="20"/>
          <w:szCs w:val="20"/>
        </w:rPr>
        <w:t xml:space="preserve"> </w:t>
      </w:r>
      <w:r>
        <w:rPr>
          <w:rFonts w:ascii="宋体" w:hAnsi="宋体" w:eastAsia="宋体" w:cs="宋体"/>
          <w:spacing w:val="4"/>
          <w:sz w:val="20"/>
          <w:szCs w:val="20"/>
        </w:rPr>
        <w:t>多无免疫耐受期而直接进入免疫清</w:t>
      </w:r>
      <w:r>
        <w:rPr>
          <w:rFonts w:ascii="宋体" w:hAnsi="宋体" w:eastAsia="宋体" w:cs="宋体"/>
          <w:sz w:val="20"/>
          <w:szCs w:val="20"/>
        </w:rPr>
        <w:t xml:space="preserve">  </w:t>
      </w:r>
      <w:r>
        <w:rPr>
          <w:rFonts w:ascii="宋体" w:hAnsi="宋体" w:eastAsia="宋体" w:cs="宋体"/>
          <w:spacing w:val="-3"/>
          <w:sz w:val="20"/>
          <w:szCs w:val="20"/>
        </w:rPr>
        <w:t>除期。</w:t>
      </w:r>
    </w:p>
    <w:p w14:paraId="76BC1F01">
      <w:pPr>
        <w:spacing w:before="20"/>
      </w:pPr>
    </w:p>
    <w:tbl>
      <w:tblPr>
        <w:tblStyle w:val="5"/>
        <w:tblW w:w="7050" w:type="dxa"/>
        <w:tblInd w:w="14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300"/>
        <w:gridCol w:w="1320"/>
        <w:gridCol w:w="1430"/>
        <w:gridCol w:w="1480"/>
        <w:gridCol w:w="1520"/>
      </w:tblGrid>
      <w:tr w14:paraId="46C264CD">
        <w:trPr>
          <w:trHeight w:val="903" w:hRule="atLeast"/>
        </w:trPr>
        <w:tc>
          <w:tcPr>
            <w:tcW w:w="1300" w:type="dxa"/>
            <w:tcBorders>
              <w:left w:val="nil"/>
            </w:tcBorders>
            <w:vAlign w:val="top"/>
          </w:tcPr>
          <w:p w14:paraId="7A58B7FD">
            <w:pPr>
              <w:spacing w:line="302" w:lineRule="auto"/>
              <w:rPr>
                <w:rFonts w:ascii="Arial"/>
                <w:sz w:val="21"/>
              </w:rPr>
            </w:pPr>
          </w:p>
          <w:p w14:paraId="59544621">
            <w:pPr>
              <w:pStyle w:val="6"/>
              <w:spacing w:before="59" w:line="220" w:lineRule="auto"/>
              <w:ind w:left="470"/>
              <w:rPr>
                <w:sz w:val="18"/>
                <w:szCs w:val="18"/>
              </w:rPr>
            </w:pPr>
            <w:r>
              <w:rPr>
                <w:spacing w:val="5"/>
                <w:sz w:val="18"/>
                <w:szCs w:val="18"/>
              </w:rPr>
              <w:t>分期</w:t>
            </w:r>
          </w:p>
        </w:tc>
        <w:tc>
          <w:tcPr>
            <w:tcW w:w="1320" w:type="dxa"/>
            <w:vAlign w:val="top"/>
          </w:tcPr>
          <w:p w14:paraId="7B81C4DB">
            <w:pPr>
              <w:spacing w:line="302" w:lineRule="auto"/>
              <w:rPr>
                <w:rFonts w:ascii="Arial"/>
                <w:sz w:val="21"/>
              </w:rPr>
            </w:pPr>
          </w:p>
          <w:p w14:paraId="5B566CEF">
            <w:pPr>
              <w:pStyle w:val="6"/>
              <w:spacing w:before="59" w:line="220" w:lineRule="auto"/>
              <w:ind w:left="204"/>
              <w:rPr>
                <w:sz w:val="18"/>
                <w:szCs w:val="18"/>
              </w:rPr>
            </w:pPr>
            <w:r>
              <w:rPr>
                <w:spacing w:val="2"/>
                <w:sz w:val="18"/>
                <w:szCs w:val="18"/>
              </w:rPr>
              <w:t>免疫耐受期</w:t>
            </w:r>
          </w:p>
        </w:tc>
        <w:tc>
          <w:tcPr>
            <w:tcW w:w="1430" w:type="dxa"/>
            <w:vAlign w:val="top"/>
          </w:tcPr>
          <w:p w14:paraId="14AD3C46">
            <w:pPr>
              <w:spacing w:line="302" w:lineRule="auto"/>
              <w:rPr>
                <w:rFonts w:ascii="Arial"/>
                <w:sz w:val="21"/>
              </w:rPr>
            </w:pPr>
          </w:p>
          <w:p w14:paraId="1A511549">
            <w:pPr>
              <w:pStyle w:val="6"/>
              <w:spacing w:before="58" w:line="219" w:lineRule="auto"/>
              <w:ind w:left="255"/>
              <w:rPr>
                <w:sz w:val="18"/>
                <w:szCs w:val="18"/>
              </w:rPr>
            </w:pPr>
            <w:r>
              <w:rPr>
                <w:spacing w:val="2"/>
                <w:sz w:val="18"/>
                <w:szCs w:val="18"/>
              </w:rPr>
              <w:t>免疫清除期</w:t>
            </w:r>
          </w:p>
        </w:tc>
        <w:tc>
          <w:tcPr>
            <w:tcW w:w="1480" w:type="dxa"/>
            <w:vAlign w:val="top"/>
          </w:tcPr>
          <w:p w14:paraId="11DF87CA">
            <w:pPr>
              <w:spacing w:line="302" w:lineRule="auto"/>
              <w:rPr>
                <w:rFonts w:ascii="Arial"/>
                <w:sz w:val="21"/>
              </w:rPr>
            </w:pPr>
          </w:p>
          <w:p w14:paraId="688B21CD">
            <w:pPr>
              <w:pStyle w:val="6"/>
              <w:spacing w:before="59" w:line="220" w:lineRule="auto"/>
              <w:ind w:left="375"/>
              <w:rPr>
                <w:sz w:val="18"/>
                <w:szCs w:val="18"/>
              </w:rPr>
            </w:pPr>
            <w:r>
              <w:rPr>
                <w:spacing w:val="2"/>
                <w:sz w:val="18"/>
                <w:szCs w:val="18"/>
              </w:rPr>
              <w:t>非活动期</w:t>
            </w:r>
          </w:p>
        </w:tc>
        <w:tc>
          <w:tcPr>
            <w:tcW w:w="1520" w:type="dxa"/>
            <w:tcBorders>
              <w:right w:val="nil"/>
            </w:tcBorders>
            <w:vAlign w:val="top"/>
          </w:tcPr>
          <w:p w14:paraId="00B242D5">
            <w:pPr>
              <w:spacing w:line="302" w:lineRule="auto"/>
              <w:rPr>
                <w:rFonts w:ascii="Arial"/>
                <w:sz w:val="21"/>
              </w:rPr>
            </w:pPr>
          </w:p>
          <w:p w14:paraId="6B321190">
            <w:pPr>
              <w:pStyle w:val="6"/>
              <w:spacing w:before="59" w:line="220" w:lineRule="auto"/>
              <w:ind w:left="395"/>
              <w:rPr>
                <w:sz w:val="18"/>
                <w:szCs w:val="18"/>
              </w:rPr>
            </w:pPr>
            <w:r>
              <w:rPr>
                <w:spacing w:val="2"/>
                <w:sz w:val="18"/>
                <w:szCs w:val="18"/>
              </w:rPr>
              <w:t>再活动期</w:t>
            </w:r>
          </w:p>
        </w:tc>
      </w:tr>
      <w:tr w14:paraId="46FE887F">
        <w:trPr>
          <w:trHeight w:val="189" w:hRule="atLeast"/>
        </w:trPr>
        <w:tc>
          <w:tcPr>
            <w:tcW w:w="1300" w:type="dxa"/>
            <w:vMerge w:val="restart"/>
            <w:tcBorders>
              <w:left w:val="nil"/>
              <w:bottom w:val="nil"/>
            </w:tcBorders>
            <w:vAlign w:val="top"/>
          </w:tcPr>
          <w:p w14:paraId="40F8CF42">
            <w:pPr>
              <w:spacing w:line="359" w:lineRule="auto"/>
              <w:rPr>
                <w:rFonts w:ascii="Arial"/>
                <w:sz w:val="21"/>
              </w:rPr>
            </w:pPr>
          </w:p>
          <w:p w14:paraId="20FEF1E2">
            <w:pPr>
              <w:pStyle w:val="6"/>
              <w:spacing w:before="58" w:line="220" w:lineRule="auto"/>
              <w:ind w:left="200"/>
              <w:rPr>
                <w:sz w:val="18"/>
                <w:szCs w:val="18"/>
              </w:rPr>
            </w:pPr>
            <w:r>
              <w:rPr>
                <w:spacing w:val="-2"/>
                <w:sz w:val="18"/>
                <w:szCs w:val="18"/>
              </w:rPr>
              <w:t>血清学指标</w:t>
            </w:r>
          </w:p>
        </w:tc>
        <w:tc>
          <w:tcPr>
            <w:tcW w:w="1320" w:type="dxa"/>
            <w:vAlign w:val="top"/>
          </w:tcPr>
          <w:p w14:paraId="6C98EE2B">
            <w:pPr>
              <w:spacing w:line="179" w:lineRule="exact"/>
              <w:rPr>
                <w:rFonts w:ascii="Arial"/>
                <w:sz w:val="15"/>
              </w:rPr>
            </w:pPr>
          </w:p>
        </w:tc>
        <w:tc>
          <w:tcPr>
            <w:tcW w:w="1430" w:type="dxa"/>
            <w:vAlign w:val="top"/>
          </w:tcPr>
          <w:p w14:paraId="20A7CD46">
            <w:pPr>
              <w:spacing w:line="179" w:lineRule="exact"/>
              <w:rPr>
                <w:rFonts w:ascii="Arial"/>
                <w:sz w:val="15"/>
              </w:rPr>
            </w:pPr>
          </w:p>
        </w:tc>
        <w:tc>
          <w:tcPr>
            <w:tcW w:w="1480" w:type="dxa"/>
            <w:vAlign w:val="top"/>
          </w:tcPr>
          <w:p w14:paraId="5296B2A1">
            <w:pPr>
              <w:spacing w:line="179" w:lineRule="exact"/>
              <w:rPr>
                <w:rFonts w:ascii="Arial"/>
                <w:sz w:val="15"/>
              </w:rPr>
            </w:pPr>
          </w:p>
        </w:tc>
        <w:tc>
          <w:tcPr>
            <w:tcW w:w="1520" w:type="dxa"/>
            <w:tcBorders>
              <w:right w:val="nil"/>
            </w:tcBorders>
            <w:vAlign w:val="top"/>
          </w:tcPr>
          <w:p w14:paraId="4960BF4A">
            <w:pPr>
              <w:spacing w:line="179" w:lineRule="exact"/>
              <w:rPr>
                <w:rFonts w:ascii="Arial"/>
                <w:sz w:val="15"/>
              </w:rPr>
            </w:pPr>
          </w:p>
        </w:tc>
      </w:tr>
      <w:tr w14:paraId="7F7A5BE6">
        <w:trPr>
          <w:trHeight w:val="239" w:hRule="atLeast"/>
        </w:trPr>
        <w:tc>
          <w:tcPr>
            <w:tcW w:w="1300" w:type="dxa"/>
            <w:vMerge w:val="continue"/>
            <w:tcBorders>
              <w:top w:val="nil"/>
              <w:left w:val="nil"/>
              <w:bottom w:val="nil"/>
            </w:tcBorders>
            <w:vAlign w:val="top"/>
          </w:tcPr>
          <w:p w14:paraId="25CFE764">
            <w:pPr>
              <w:rPr>
                <w:rFonts w:ascii="Arial"/>
                <w:sz w:val="21"/>
              </w:rPr>
            </w:pPr>
          </w:p>
        </w:tc>
        <w:tc>
          <w:tcPr>
            <w:tcW w:w="1320" w:type="dxa"/>
            <w:vAlign w:val="top"/>
          </w:tcPr>
          <w:p w14:paraId="58518B73">
            <w:pPr>
              <w:pStyle w:val="6"/>
              <w:spacing w:before="51" w:line="182" w:lineRule="auto"/>
              <w:ind w:left="425"/>
              <w:rPr>
                <w:sz w:val="18"/>
                <w:szCs w:val="18"/>
              </w:rPr>
            </w:pPr>
            <w:r>
              <w:rPr>
                <w:spacing w:val="-1"/>
                <w:sz w:val="18"/>
                <w:szCs w:val="18"/>
              </w:rPr>
              <w:t>HBsAg</w:t>
            </w:r>
          </w:p>
        </w:tc>
        <w:tc>
          <w:tcPr>
            <w:tcW w:w="1430" w:type="dxa"/>
            <w:vAlign w:val="top"/>
          </w:tcPr>
          <w:p w14:paraId="43B53EDA">
            <w:pPr>
              <w:spacing w:line="229" w:lineRule="exact"/>
              <w:rPr>
                <w:rFonts w:ascii="Arial"/>
                <w:sz w:val="19"/>
              </w:rPr>
            </w:pPr>
          </w:p>
        </w:tc>
        <w:tc>
          <w:tcPr>
            <w:tcW w:w="1480" w:type="dxa"/>
            <w:vAlign w:val="top"/>
          </w:tcPr>
          <w:p w14:paraId="08149A65">
            <w:pPr>
              <w:spacing w:line="229" w:lineRule="exact"/>
              <w:rPr>
                <w:rFonts w:ascii="Arial"/>
                <w:sz w:val="19"/>
              </w:rPr>
            </w:pPr>
          </w:p>
        </w:tc>
        <w:tc>
          <w:tcPr>
            <w:tcW w:w="1520" w:type="dxa"/>
            <w:vMerge w:val="restart"/>
            <w:tcBorders>
              <w:bottom w:val="nil"/>
              <w:right w:val="nil"/>
            </w:tcBorders>
            <w:vAlign w:val="top"/>
          </w:tcPr>
          <w:p w14:paraId="788563ED">
            <w:pPr>
              <w:spacing w:line="399" w:lineRule="auto"/>
              <w:rPr>
                <w:rFonts w:ascii="Arial"/>
                <w:sz w:val="21"/>
              </w:rPr>
            </w:pPr>
          </w:p>
          <w:p w14:paraId="0B020377">
            <w:pPr>
              <w:pStyle w:val="6"/>
              <w:spacing w:before="59" w:line="219" w:lineRule="auto"/>
              <w:ind w:left="484"/>
              <w:rPr>
                <w:sz w:val="18"/>
                <w:szCs w:val="18"/>
              </w:rPr>
            </w:pPr>
            <w:r>
              <w:rPr>
                <w:spacing w:val="-2"/>
                <w:sz w:val="18"/>
                <w:szCs w:val="18"/>
              </w:rPr>
              <w:t>抗-HBe</w:t>
            </w:r>
          </w:p>
        </w:tc>
      </w:tr>
      <w:tr w14:paraId="73834672">
        <w:trPr>
          <w:trHeight w:val="149" w:hRule="atLeast"/>
        </w:trPr>
        <w:tc>
          <w:tcPr>
            <w:tcW w:w="1300" w:type="dxa"/>
            <w:vMerge w:val="continue"/>
            <w:tcBorders>
              <w:top w:val="nil"/>
              <w:left w:val="nil"/>
              <w:bottom w:val="nil"/>
            </w:tcBorders>
            <w:vAlign w:val="top"/>
          </w:tcPr>
          <w:p w14:paraId="701DF1C6">
            <w:pPr>
              <w:rPr>
                <w:rFonts w:ascii="Arial"/>
                <w:sz w:val="21"/>
              </w:rPr>
            </w:pPr>
          </w:p>
        </w:tc>
        <w:tc>
          <w:tcPr>
            <w:tcW w:w="1320" w:type="dxa"/>
            <w:vAlign w:val="top"/>
          </w:tcPr>
          <w:p w14:paraId="486A6C94">
            <w:pPr>
              <w:spacing w:line="139" w:lineRule="exact"/>
              <w:rPr>
                <w:rFonts w:ascii="Arial"/>
                <w:sz w:val="12"/>
              </w:rPr>
            </w:pPr>
          </w:p>
        </w:tc>
        <w:tc>
          <w:tcPr>
            <w:tcW w:w="1430" w:type="dxa"/>
            <w:vAlign w:val="top"/>
          </w:tcPr>
          <w:p w14:paraId="1B21B882">
            <w:pPr>
              <w:spacing w:line="139" w:lineRule="exact"/>
              <w:rPr>
                <w:rFonts w:ascii="Arial"/>
                <w:sz w:val="12"/>
              </w:rPr>
            </w:pPr>
          </w:p>
        </w:tc>
        <w:tc>
          <w:tcPr>
            <w:tcW w:w="1480" w:type="dxa"/>
            <w:vMerge w:val="restart"/>
            <w:tcBorders>
              <w:bottom w:val="nil"/>
            </w:tcBorders>
            <w:vAlign w:val="top"/>
          </w:tcPr>
          <w:p w14:paraId="4F820EF0">
            <w:pPr>
              <w:rPr>
                <w:rFonts w:ascii="Arial"/>
                <w:sz w:val="21"/>
              </w:rPr>
            </w:pPr>
          </w:p>
        </w:tc>
        <w:tc>
          <w:tcPr>
            <w:tcW w:w="1520" w:type="dxa"/>
            <w:vMerge w:val="continue"/>
            <w:tcBorders>
              <w:top w:val="nil"/>
              <w:bottom w:val="nil"/>
              <w:right w:val="nil"/>
            </w:tcBorders>
            <w:vAlign w:val="top"/>
          </w:tcPr>
          <w:p w14:paraId="10961EA1">
            <w:pPr>
              <w:rPr>
                <w:rFonts w:ascii="Arial"/>
                <w:sz w:val="21"/>
              </w:rPr>
            </w:pPr>
          </w:p>
        </w:tc>
      </w:tr>
      <w:tr w14:paraId="0F7D477A">
        <w:trPr>
          <w:trHeight w:val="160" w:hRule="atLeast"/>
        </w:trPr>
        <w:tc>
          <w:tcPr>
            <w:tcW w:w="1300" w:type="dxa"/>
            <w:vMerge w:val="continue"/>
            <w:tcBorders>
              <w:top w:val="nil"/>
              <w:left w:val="nil"/>
              <w:bottom w:val="nil"/>
            </w:tcBorders>
            <w:vAlign w:val="top"/>
          </w:tcPr>
          <w:p w14:paraId="1E042A4E">
            <w:pPr>
              <w:rPr>
                <w:rFonts w:ascii="Arial"/>
                <w:sz w:val="21"/>
              </w:rPr>
            </w:pPr>
          </w:p>
        </w:tc>
        <w:tc>
          <w:tcPr>
            <w:tcW w:w="1320" w:type="dxa"/>
            <w:vAlign w:val="top"/>
          </w:tcPr>
          <w:p w14:paraId="00212446">
            <w:pPr>
              <w:pStyle w:val="6"/>
              <w:spacing w:before="12" w:line="138" w:lineRule="exact"/>
              <w:ind w:left="425"/>
              <w:rPr>
                <w:sz w:val="17"/>
                <w:szCs w:val="17"/>
              </w:rPr>
            </w:pPr>
            <w:r>
              <w:rPr>
                <w:spacing w:val="-1"/>
                <w:position w:val="-1"/>
                <w:sz w:val="17"/>
                <w:szCs w:val="17"/>
              </w:rPr>
              <w:t>HBeAg</w:t>
            </w:r>
          </w:p>
        </w:tc>
        <w:tc>
          <w:tcPr>
            <w:tcW w:w="1430" w:type="dxa"/>
            <w:vAlign w:val="top"/>
          </w:tcPr>
          <w:p w14:paraId="102442A8">
            <w:pPr>
              <w:spacing w:line="150" w:lineRule="exact"/>
              <w:rPr>
                <w:rFonts w:ascii="Arial"/>
                <w:sz w:val="13"/>
              </w:rPr>
            </w:pPr>
          </w:p>
        </w:tc>
        <w:tc>
          <w:tcPr>
            <w:tcW w:w="1480" w:type="dxa"/>
            <w:vMerge w:val="continue"/>
            <w:tcBorders>
              <w:top w:val="nil"/>
            </w:tcBorders>
            <w:vAlign w:val="top"/>
          </w:tcPr>
          <w:p w14:paraId="452D1F9D">
            <w:pPr>
              <w:rPr>
                <w:rFonts w:ascii="Arial"/>
                <w:sz w:val="21"/>
              </w:rPr>
            </w:pPr>
          </w:p>
        </w:tc>
        <w:tc>
          <w:tcPr>
            <w:tcW w:w="1520" w:type="dxa"/>
            <w:vMerge w:val="continue"/>
            <w:tcBorders>
              <w:top w:val="nil"/>
              <w:bottom w:val="nil"/>
              <w:right w:val="nil"/>
            </w:tcBorders>
            <w:vAlign w:val="top"/>
          </w:tcPr>
          <w:p w14:paraId="7F446802">
            <w:pPr>
              <w:rPr>
                <w:rFonts w:ascii="Arial"/>
                <w:sz w:val="21"/>
              </w:rPr>
            </w:pPr>
          </w:p>
        </w:tc>
      </w:tr>
      <w:tr w14:paraId="1E4F3550">
        <w:trPr>
          <w:trHeight w:val="120" w:hRule="atLeast"/>
        </w:trPr>
        <w:tc>
          <w:tcPr>
            <w:tcW w:w="1300" w:type="dxa"/>
            <w:vMerge w:val="continue"/>
            <w:tcBorders>
              <w:top w:val="nil"/>
              <w:left w:val="nil"/>
              <w:bottom w:val="nil"/>
            </w:tcBorders>
            <w:vAlign w:val="top"/>
          </w:tcPr>
          <w:p w14:paraId="1BF0BA06">
            <w:pPr>
              <w:rPr>
                <w:rFonts w:ascii="Arial"/>
                <w:sz w:val="21"/>
              </w:rPr>
            </w:pPr>
          </w:p>
        </w:tc>
        <w:tc>
          <w:tcPr>
            <w:tcW w:w="1320" w:type="dxa"/>
            <w:vMerge w:val="restart"/>
            <w:tcBorders>
              <w:bottom w:val="nil"/>
            </w:tcBorders>
            <w:vAlign w:val="top"/>
          </w:tcPr>
          <w:p w14:paraId="7E658227">
            <w:pPr>
              <w:spacing w:line="230" w:lineRule="exact"/>
              <w:rPr>
                <w:rFonts w:ascii="Arial"/>
                <w:sz w:val="20"/>
              </w:rPr>
            </w:pPr>
          </w:p>
        </w:tc>
        <w:tc>
          <w:tcPr>
            <w:tcW w:w="1430" w:type="dxa"/>
            <w:vMerge w:val="restart"/>
            <w:tcBorders>
              <w:bottom w:val="nil"/>
            </w:tcBorders>
            <w:vAlign w:val="top"/>
          </w:tcPr>
          <w:p w14:paraId="7C961673">
            <w:pPr>
              <w:spacing w:line="230" w:lineRule="exact"/>
              <w:rPr>
                <w:rFonts w:ascii="Arial"/>
                <w:sz w:val="20"/>
              </w:rPr>
            </w:pPr>
          </w:p>
        </w:tc>
        <w:tc>
          <w:tcPr>
            <w:tcW w:w="1480" w:type="dxa"/>
            <w:vAlign w:val="top"/>
          </w:tcPr>
          <w:p w14:paraId="72F7B47F">
            <w:pPr>
              <w:spacing w:line="110" w:lineRule="exact"/>
              <w:rPr>
                <w:rFonts w:ascii="Arial"/>
                <w:sz w:val="9"/>
              </w:rPr>
            </w:pPr>
          </w:p>
        </w:tc>
        <w:tc>
          <w:tcPr>
            <w:tcW w:w="1520" w:type="dxa"/>
            <w:vMerge w:val="continue"/>
            <w:tcBorders>
              <w:top w:val="nil"/>
              <w:right w:val="nil"/>
            </w:tcBorders>
            <w:vAlign w:val="top"/>
          </w:tcPr>
          <w:p w14:paraId="3CD7C8F8">
            <w:pPr>
              <w:rPr>
                <w:rFonts w:ascii="Arial"/>
                <w:sz w:val="21"/>
              </w:rPr>
            </w:pPr>
          </w:p>
        </w:tc>
      </w:tr>
      <w:tr w14:paraId="2E8D7105">
        <w:trPr>
          <w:trHeight w:val="110" w:hRule="atLeast"/>
        </w:trPr>
        <w:tc>
          <w:tcPr>
            <w:tcW w:w="1300" w:type="dxa"/>
            <w:vMerge w:val="continue"/>
            <w:tcBorders>
              <w:top w:val="nil"/>
              <w:left w:val="nil"/>
            </w:tcBorders>
            <w:vAlign w:val="top"/>
          </w:tcPr>
          <w:p w14:paraId="68D34081">
            <w:pPr>
              <w:rPr>
                <w:rFonts w:ascii="Arial"/>
                <w:sz w:val="21"/>
              </w:rPr>
            </w:pPr>
          </w:p>
        </w:tc>
        <w:tc>
          <w:tcPr>
            <w:tcW w:w="1320" w:type="dxa"/>
            <w:vMerge w:val="continue"/>
            <w:tcBorders>
              <w:top w:val="nil"/>
            </w:tcBorders>
            <w:vAlign w:val="top"/>
          </w:tcPr>
          <w:p w14:paraId="6460DB70">
            <w:pPr>
              <w:spacing w:line="230" w:lineRule="exact"/>
              <w:rPr>
                <w:rFonts w:ascii="Arial"/>
                <w:sz w:val="20"/>
              </w:rPr>
            </w:pPr>
          </w:p>
        </w:tc>
        <w:tc>
          <w:tcPr>
            <w:tcW w:w="1430" w:type="dxa"/>
            <w:vMerge w:val="continue"/>
            <w:tcBorders>
              <w:top w:val="nil"/>
            </w:tcBorders>
            <w:vAlign w:val="top"/>
          </w:tcPr>
          <w:p w14:paraId="6FA74115">
            <w:pPr>
              <w:spacing w:line="230" w:lineRule="exact"/>
              <w:rPr>
                <w:rFonts w:ascii="Arial"/>
                <w:sz w:val="20"/>
              </w:rPr>
            </w:pPr>
          </w:p>
        </w:tc>
        <w:tc>
          <w:tcPr>
            <w:tcW w:w="1480" w:type="dxa"/>
            <w:vAlign w:val="top"/>
          </w:tcPr>
          <w:p w14:paraId="671E0708">
            <w:pPr>
              <w:spacing w:line="100" w:lineRule="exact"/>
              <w:rPr>
                <w:rFonts w:ascii="Arial"/>
                <w:sz w:val="8"/>
              </w:rPr>
            </w:pPr>
          </w:p>
        </w:tc>
        <w:tc>
          <w:tcPr>
            <w:tcW w:w="1520" w:type="dxa"/>
            <w:tcBorders>
              <w:right w:val="nil"/>
            </w:tcBorders>
            <w:vAlign w:val="top"/>
          </w:tcPr>
          <w:p w14:paraId="1D8CC544">
            <w:pPr>
              <w:spacing w:line="100" w:lineRule="exact"/>
              <w:rPr>
                <w:rFonts w:ascii="Arial"/>
                <w:sz w:val="8"/>
              </w:rPr>
            </w:pPr>
          </w:p>
        </w:tc>
      </w:tr>
      <w:tr w14:paraId="0951589D">
        <w:trPr>
          <w:trHeight w:val="688" w:hRule="atLeast"/>
        </w:trPr>
        <w:tc>
          <w:tcPr>
            <w:tcW w:w="1300" w:type="dxa"/>
            <w:tcBorders>
              <w:left w:val="nil"/>
            </w:tcBorders>
            <w:vAlign w:val="top"/>
          </w:tcPr>
          <w:p w14:paraId="7F31AEB1">
            <w:pPr>
              <w:pStyle w:val="6"/>
              <w:spacing w:before="262" w:line="219" w:lineRule="auto"/>
              <w:ind w:left="290"/>
              <w:rPr>
                <w:sz w:val="18"/>
                <w:szCs w:val="18"/>
              </w:rPr>
            </w:pPr>
            <w:r>
              <w:rPr>
                <w:spacing w:val="-2"/>
                <w:sz w:val="18"/>
                <w:szCs w:val="18"/>
              </w:rPr>
              <w:t>病毒载量</w:t>
            </w:r>
          </w:p>
        </w:tc>
        <w:tc>
          <w:tcPr>
            <w:tcW w:w="1320" w:type="dxa"/>
            <w:vMerge w:val="restart"/>
            <w:tcBorders>
              <w:bottom w:val="nil"/>
            </w:tcBorders>
            <w:vAlign w:val="top"/>
          </w:tcPr>
          <w:p w14:paraId="3D67B3E5">
            <w:pPr>
              <w:rPr>
                <w:rFonts w:ascii="Arial"/>
                <w:sz w:val="21"/>
              </w:rPr>
            </w:pPr>
          </w:p>
        </w:tc>
        <w:tc>
          <w:tcPr>
            <w:tcW w:w="1430" w:type="dxa"/>
            <w:vMerge w:val="restart"/>
            <w:tcBorders>
              <w:bottom w:val="nil"/>
            </w:tcBorders>
            <w:vAlign w:val="top"/>
          </w:tcPr>
          <w:p w14:paraId="7CF7E9FF">
            <w:pPr>
              <w:spacing w:line="273" w:lineRule="auto"/>
              <w:rPr>
                <w:rFonts w:ascii="Arial"/>
                <w:sz w:val="21"/>
              </w:rPr>
            </w:pPr>
          </w:p>
          <w:p w14:paraId="63BFD7AA">
            <w:pPr>
              <w:spacing w:line="274" w:lineRule="auto"/>
              <w:rPr>
                <w:rFonts w:ascii="Arial"/>
                <w:sz w:val="21"/>
              </w:rPr>
            </w:pPr>
          </w:p>
          <w:p w14:paraId="1C025A44">
            <w:pPr>
              <w:pStyle w:val="6"/>
              <w:spacing w:before="59" w:line="182" w:lineRule="auto"/>
              <w:ind w:left="664"/>
              <w:rPr>
                <w:sz w:val="18"/>
                <w:szCs w:val="18"/>
              </w:rPr>
            </w:pPr>
            <w:r>
              <w:rPr>
                <w:sz w:val="18"/>
                <w:szCs w:val="18"/>
              </w:rPr>
              <w:t>B</w:t>
            </w:r>
          </w:p>
        </w:tc>
        <w:tc>
          <w:tcPr>
            <w:tcW w:w="1480" w:type="dxa"/>
            <w:vMerge w:val="restart"/>
            <w:tcBorders>
              <w:bottom w:val="nil"/>
            </w:tcBorders>
            <w:vAlign w:val="top"/>
          </w:tcPr>
          <w:p w14:paraId="0FC349E4">
            <w:pPr>
              <w:rPr>
                <w:rFonts w:ascii="Arial"/>
                <w:sz w:val="21"/>
              </w:rPr>
            </w:pPr>
          </w:p>
        </w:tc>
        <w:tc>
          <w:tcPr>
            <w:tcW w:w="1520" w:type="dxa"/>
            <w:vMerge w:val="restart"/>
            <w:tcBorders>
              <w:bottom w:val="nil"/>
              <w:right w:val="nil"/>
            </w:tcBorders>
            <w:vAlign w:val="top"/>
          </w:tcPr>
          <w:p w14:paraId="634F3FA7">
            <w:pPr>
              <w:spacing w:line="261" w:lineRule="auto"/>
              <w:rPr>
                <w:rFonts w:ascii="Arial"/>
                <w:sz w:val="21"/>
              </w:rPr>
            </w:pPr>
          </w:p>
          <w:p w14:paraId="4EA05C94">
            <w:pPr>
              <w:spacing w:line="261" w:lineRule="auto"/>
              <w:rPr>
                <w:rFonts w:ascii="Arial"/>
                <w:sz w:val="21"/>
              </w:rPr>
            </w:pPr>
          </w:p>
          <w:p w14:paraId="03E95650">
            <w:pPr>
              <w:spacing w:line="262" w:lineRule="auto"/>
              <w:rPr>
                <w:rFonts w:ascii="Arial"/>
                <w:sz w:val="21"/>
              </w:rPr>
            </w:pPr>
          </w:p>
          <w:p w14:paraId="5FB7A973">
            <w:pPr>
              <w:pStyle w:val="6"/>
              <w:spacing w:before="52" w:line="215" w:lineRule="exact"/>
              <w:ind w:left="665"/>
              <w:rPr>
                <w:sz w:val="16"/>
                <w:szCs w:val="16"/>
              </w:rPr>
            </w:pPr>
            <w:r>
              <w:rPr>
                <w:spacing w:val="-1"/>
                <w:position w:val="3"/>
                <w:sz w:val="16"/>
                <w:szCs w:val="16"/>
              </w:rPr>
              <w:t>oo</w:t>
            </w:r>
          </w:p>
        </w:tc>
      </w:tr>
      <w:tr w14:paraId="3EE7B8BD">
        <w:trPr>
          <w:trHeight w:val="469" w:hRule="atLeast"/>
        </w:trPr>
        <w:tc>
          <w:tcPr>
            <w:tcW w:w="1300" w:type="dxa"/>
            <w:vMerge w:val="restart"/>
            <w:tcBorders>
              <w:left w:val="nil"/>
              <w:bottom w:val="nil"/>
            </w:tcBorders>
            <w:vAlign w:val="top"/>
          </w:tcPr>
          <w:p w14:paraId="4FD0E188">
            <w:pPr>
              <w:pStyle w:val="6"/>
              <w:spacing w:before="259" w:line="184" w:lineRule="auto"/>
              <w:ind w:left="510"/>
              <w:rPr>
                <w:sz w:val="18"/>
                <w:szCs w:val="18"/>
              </w:rPr>
            </w:pPr>
            <w:r>
              <w:rPr>
                <w:spacing w:val="-1"/>
                <w:sz w:val="18"/>
                <w:szCs w:val="18"/>
              </w:rPr>
              <w:t>ALT</w:t>
            </w:r>
          </w:p>
        </w:tc>
        <w:tc>
          <w:tcPr>
            <w:tcW w:w="1320" w:type="dxa"/>
            <w:vMerge w:val="continue"/>
            <w:tcBorders>
              <w:top w:val="nil"/>
            </w:tcBorders>
            <w:vAlign w:val="top"/>
          </w:tcPr>
          <w:p w14:paraId="04119999">
            <w:pPr>
              <w:rPr>
                <w:rFonts w:ascii="Arial"/>
                <w:sz w:val="21"/>
              </w:rPr>
            </w:pPr>
          </w:p>
        </w:tc>
        <w:tc>
          <w:tcPr>
            <w:tcW w:w="1430" w:type="dxa"/>
            <w:vMerge w:val="continue"/>
            <w:tcBorders>
              <w:top w:val="nil"/>
              <w:bottom w:val="nil"/>
            </w:tcBorders>
            <w:vAlign w:val="top"/>
          </w:tcPr>
          <w:p w14:paraId="65431C7E">
            <w:pPr>
              <w:rPr>
                <w:rFonts w:ascii="Arial"/>
                <w:sz w:val="21"/>
              </w:rPr>
            </w:pPr>
          </w:p>
        </w:tc>
        <w:tc>
          <w:tcPr>
            <w:tcW w:w="1480" w:type="dxa"/>
            <w:vMerge w:val="continue"/>
            <w:tcBorders>
              <w:top w:val="nil"/>
              <w:bottom w:val="nil"/>
            </w:tcBorders>
            <w:vAlign w:val="top"/>
          </w:tcPr>
          <w:p w14:paraId="298066F7">
            <w:pPr>
              <w:rPr>
                <w:rFonts w:ascii="Arial"/>
                <w:sz w:val="21"/>
              </w:rPr>
            </w:pPr>
          </w:p>
        </w:tc>
        <w:tc>
          <w:tcPr>
            <w:tcW w:w="1520" w:type="dxa"/>
            <w:vMerge w:val="continue"/>
            <w:tcBorders>
              <w:top w:val="nil"/>
              <w:bottom w:val="nil"/>
              <w:right w:val="nil"/>
            </w:tcBorders>
            <w:vAlign w:val="top"/>
          </w:tcPr>
          <w:p w14:paraId="4ACA3016">
            <w:pPr>
              <w:rPr>
                <w:rFonts w:ascii="Arial"/>
                <w:sz w:val="21"/>
              </w:rPr>
            </w:pPr>
          </w:p>
        </w:tc>
      </w:tr>
      <w:tr w14:paraId="0CB6AF99">
        <w:trPr>
          <w:trHeight w:val="120" w:hRule="atLeast"/>
        </w:trPr>
        <w:tc>
          <w:tcPr>
            <w:tcW w:w="1300" w:type="dxa"/>
            <w:vMerge w:val="continue"/>
            <w:tcBorders>
              <w:top w:val="nil"/>
              <w:left w:val="nil"/>
            </w:tcBorders>
            <w:vAlign w:val="top"/>
          </w:tcPr>
          <w:p w14:paraId="5187783E">
            <w:pPr>
              <w:rPr>
                <w:rFonts w:ascii="Arial"/>
                <w:sz w:val="21"/>
              </w:rPr>
            </w:pPr>
          </w:p>
        </w:tc>
        <w:tc>
          <w:tcPr>
            <w:tcW w:w="1320" w:type="dxa"/>
            <w:vAlign w:val="top"/>
          </w:tcPr>
          <w:p w14:paraId="1295E2D8">
            <w:pPr>
              <w:spacing w:line="110" w:lineRule="exact"/>
              <w:rPr>
                <w:rFonts w:ascii="Arial"/>
                <w:sz w:val="9"/>
              </w:rPr>
            </w:pPr>
          </w:p>
        </w:tc>
        <w:tc>
          <w:tcPr>
            <w:tcW w:w="1430" w:type="dxa"/>
            <w:vMerge w:val="continue"/>
            <w:tcBorders>
              <w:top w:val="nil"/>
            </w:tcBorders>
            <w:vAlign w:val="top"/>
          </w:tcPr>
          <w:p w14:paraId="2D4CF64E">
            <w:pPr>
              <w:rPr>
                <w:rFonts w:ascii="Arial"/>
                <w:sz w:val="21"/>
              </w:rPr>
            </w:pPr>
          </w:p>
        </w:tc>
        <w:tc>
          <w:tcPr>
            <w:tcW w:w="1480" w:type="dxa"/>
            <w:vMerge w:val="continue"/>
            <w:tcBorders>
              <w:top w:val="nil"/>
            </w:tcBorders>
            <w:vAlign w:val="top"/>
          </w:tcPr>
          <w:p w14:paraId="3176D983">
            <w:pPr>
              <w:rPr>
                <w:rFonts w:ascii="Arial"/>
                <w:sz w:val="21"/>
              </w:rPr>
            </w:pPr>
          </w:p>
        </w:tc>
        <w:tc>
          <w:tcPr>
            <w:tcW w:w="1520" w:type="dxa"/>
            <w:vMerge w:val="continue"/>
            <w:tcBorders>
              <w:top w:val="nil"/>
              <w:right w:val="nil"/>
            </w:tcBorders>
            <w:vAlign w:val="top"/>
          </w:tcPr>
          <w:p w14:paraId="03A60B39">
            <w:pPr>
              <w:rPr>
                <w:rFonts w:ascii="Arial"/>
                <w:sz w:val="21"/>
              </w:rPr>
            </w:pPr>
          </w:p>
        </w:tc>
      </w:tr>
      <w:tr w14:paraId="0E8EBD61">
        <w:trPr>
          <w:trHeight w:val="1252" w:hRule="atLeast"/>
        </w:trPr>
        <w:tc>
          <w:tcPr>
            <w:tcW w:w="1300" w:type="dxa"/>
            <w:tcBorders>
              <w:left w:val="nil"/>
            </w:tcBorders>
            <w:vAlign w:val="top"/>
          </w:tcPr>
          <w:p w14:paraId="124753B8">
            <w:pPr>
              <w:spacing w:line="241" w:lineRule="auto"/>
              <w:rPr>
                <w:rFonts w:ascii="Arial"/>
                <w:sz w:val="21"/>
              </w:rPr>
            </w:pPr>
          </w:p>
          <w:p w14:paraId="50088A2C">
            <w:pPr>
              <w:spacing w:line="242" w:lineRule="auto"/>
              <w:rPr>
                <w:rFonts w:ascii="Arial"/>
                <w:sz w:val="21"/>
              </w:rPr>
            </w:pPr>
          </w:p>
          <w:p w14:paraId="4C322292">
            <w:pPr>
              <w:pStyle w:val="6"/>
              <w:spacing w:before="59" w:line="219" w:lineRule="auto"/>
              <w:ind w:left="19"/>
              <w:rPr>
                <w:sz w:val="18"/>
                <w:szCs w:val="18"/>
              </w:rPr>
            </w:pPr>
            <w:r>
              <w:rPr>
                <w:spacing w:val="-1"/>
                <w:sz w:val="18"/>
                <w:szCs w:val="18"/>
              </w:rPr>
              <w:t>肝内复制中间体</w:t>
            </w:r>
          </w:p>
        </w:tc>
        <w:tc>
          <w:tcPr>
            <w:tcW w:w="1320" w:type="dxa"/>
            <w:vAlign w:val="top"/>
          </w:tcPr>
          <w:p w14:paraId="02081FB4">
            <w:pPr>
              <w:pStyle w:val="6"/>
              <w:spacing w:before="284" w:line="218" w:lineRule="auto"/>
              <w:ind w:left="484" w:right="175" w:hanging="329"/>
              <w:rPr>
                <w:sz w:val="18"/>
                <w:szCs w:val="18"/>
              </w:rPr>
            </w:pPr>
            <w:r>
              <w:rPr>
                <w:spacing w:val="-2"/>
                <w:sz w:val="18"/>
                <w:szCs w:val="18"/>
              </w:rPr>
              <w:t>ccDNA拷贝数</w:t>
            </w:r>
            <w:r>
              <w:rPr>
                <w:spacing w:val="4"/>
                <w:sz w:val="18"/>
                <w:szCs w:val="18"/>
              </w:rPr>
              <w:t xml:space="preserve"> </w:t>
            </w:r>
            <w:r>
              <w:rPr>
                <w:spacing w:val="-2"/>
                <w:sz w:val="18"/>
                <w:szCs w:val="18"/>
              </w:rPr>
              <w:t>++</w:t>
            </w:r>
          </w:p>
          <w:p w14:paraId="4F3C441F">
            <w:pPr>
              <w:pStyle w:val="6"/>
              <w:spacing w:before="1" w:line="264" w:lineRule="auto"/>
              <w:ind w:left="473" w:hanging="408"/>
              <w:rPr>
                <w:sz w:val="18"/>
                <w:szCs w:val="18"/>
              </w:rPr>
            </w:pPr>
            <w:r>
              <w:rPr>
                <w:spacing w:val="-2"/>
                <w:sz w:val="18"/>
                <w:szCs w:val="18"/>
              </w:rPr>
              <w:t>cccDNA转录活性</w:t>
            </w:r>
            <w:r>
              <w:rPr>
                <w:spacing w:val="3"/>
                <w:sz w:val="18"/>
                <w:szCs w:val="18"/>
              </w:rPr>
              <w:t xml:space="preserve"> </w:t>
            </w:r>
            <w:r>
              <w:rPr>
                <w:spacing w:val="-2"/>
                <w:sz w:val="18"/>
                <w:szCs w:val="18"/>
              </w:rPr>
              <w:t>++++</w:t>
            </w:r>
          </w:p>
        </w:tc>
        <w:tc>
          <w:tcPr>
            <w:tcW w:w="1430" w:type="dxa"/>
            <w:vAlign w:val="top"/>
          </w:tcPr>
          <w:p w14:paraId="164DCB87">
            <w:pPr>
              <w:pStyle w:val="6"/>
              <w:spacing w:before="275" w:line="219" w:lineRule="auto"/>
              <w:ind w:left="215"/>
              <w:rPr>
                <w:sz w:val="18"/>
                <w:szCs w:val="18"/>
              </w:rPr>
            </w:pPr>
            <w:r>
              <w:rPr>
                <w:spacing w:val="-2"/>
                <w:sz w:val="18"/>
                <w:szCs w:val="18"/>
              </w:rPr>
              <w:t>ccDNA拷贝数</w:t>
            </w:r>
          </w:p>
          <w:p w14:paraId="3280E7B7">
            <w:pPr>
              <w:pStyle w:val="6"/>
              <w:spacing w:before="34" w:line="181" w:lineRule="auto"/>
              <w:ind w:left="565"/>
              <w:rPr>
                <w:sz w:val="18"/>
                <w:szCs w:val="18"/>
              </w:rPr>
            </w:pPr>
            <w:r>
              <w:rPr>
                <w:spacing w:val="-2"/>
                <w:sz w:val="18"/>
                <w:szCs w:val="18"/>
              </w:rPr>
              <w:t>+++</w:t>
            </w:r>
          </w:p>
          <w:p w14:paraId="7B7C82BA">
            <w:pPr>
              <w:pStyle w:val="6"/>
              <w:spacing w:line="216" w:lineRule="auto"/>
              <w:ind w:left="74"/>
              <w:rPr>
                <w:sz w:val="18"/>
                <w:szCs w:val="18"/>
              </w:rPr>
            </w:pPr>
            <w:r>
              <w:rPr>
                <w:spacing w:val="-2"/>
                <w:sz w:val="18"/>
                <w:szCs w:val="18"/>
              </w:rPr>
              <w:t>cccDNA转录活性</w:t>
            </w:r>
          </w:p>
          <w:p w14:paraId="73D77055">
            <w:pPr>
              <w:pStyle w:val="6"/>
              <w:spacing w:before="53" w:line="254" w:lineRule="exact"/>
              <w:ind w:left="575"/>
              <w:rPr>
                <w:sz w:val="18"/>
                <w:szCs w:val="18"/>
              </w:rPr>
            </w:pPr>
            <w:r>
              <w:rPr>
                <w:spacing w:val="-2"/>
                <w:position w:val="1"/>
                <w:sz w:val="18"/>
                <w:szCs w:val="18"/>
              </w:rPr>
              <w:t>+++</w:t>
            </w:r>
          </w:p>
        </w:tc>
        <w:tc>
          <w:tcPr>
            <w:tcW w:w="1480" w:type="dxa"/>
            <w:vAlign w:val="top"/>
          </w:tcPr>
          <w:p w14:paraId="607968CA">
            <w:pPr>
              <w:pStyle w:val="6"/>
              <w:spacing w:before="274" w:line="218" w:lineRule="auto"/>
              <w:ind w:left="674" w:right="205" w:hanging="480"/>
              <w:rPr>
                <w:sz w:val="18"/>
                <w:szCs w:val="18"/>
              </w:rPr>
            </w:pPr>
            <w:r>
              <w:rPr>
                <w:spacing w:val="-2"/>
                <w:sz w:val="18"/>
                <w:szCs w:val="18"/>
              </w:rPr>
              <w:t>cccDNA拷贝数</w:t>
            </w:r>
            <w:r>
              <w:rPr>
                <w:spacing w:val="6"/>
                <w:sz w:val="18"/>
                <w:szCs w:val="18"/>
              </w:rPr>
              <w:t xml:space="preserve"> </w:t>
            </w:r>
            <w:r>
              <w:rPr>
                <w:sz w:val="18"/>
                <w:szCs w:val="18"/>
              </w:rPr>
              <w:t>+</w:t>
            </w:r>
          </w:p>
          <w:p w14:paraId="38696546">
            <w:pPr>
              <w:pStyle w:val="6"/>
              <w:spacing w:line="278" w:lineRule="auto"/>
              <w:ind w:left="685" w:right="115" w:hanging="580"/>
              <w:rPr>
                <w:sz w:val="18"/>
                <w:szCs w:val="18"/>
              </w:rPr>
            </w:pPr>
            <w:r>
              <w:rPr>
                <w:spacing w:val="-2"/>
                <w:sz w:val="18"/>
                <w:szCs w:val="18"/>
              </w:rPr>
              <w:t>cccDNA转录活性</w:t>
            </w:r>
            <w:r>
              <w:rPr>
                <w:spacing w:val="8"/>
                <w:sz w:val="18"/>
                <w:szCs w:val="18"/>
              </w:rPr>
              <w:t xml:space="preserve"> </w:t>
            </w:r>
            <w:r>
              <w:rPr>
                <w:sz w:val="18"/>
                <w:szCs w:val="18"/>
              </w:rPr>
              <w:t>+</w:t>
            </w:r>
          </w:p>
        </w:tc>
        <w:tc>
          <w:tcPr>
            <w:tcW w:w="1520" w:type="dxa"/>
            <w:tcBorders>
              <w:right w:val="nil"/>
            </w:tcBorders>
            <w:vAlign w:val="top"/>
          </w:tcPr>
          <w:p w14:paraId="43D82FC0">
            <w:pPr>
              <w:pStyle w:val="6"/>
              <w:spacing w:before="275" w:line="219" w:lineRule="auto"/>
              <w:ind w:left="214"/>
              <w:rPr>
                <w:sz w:val="18"/>
                <w:szCs w:val="18"/>
              </w:rPr>
            </w:pPr>
            <w:r>
              <w:rPr>
                <w:spacing w:val="-2"/>
                <w:sz w:val="18"/>
                <w:szCs w:val="18"/>
              </w:rPr>
              <w:t>cccDNA拷贝数</w:t>
            </w:r>
          </w:p>
          <w:p w14:paraId="4AA95E46">
            <w:pPr>
              <w:pStyle w:val="6"/>
              <w:spacing w:before="38" w:line="195" w:lineRule="auto"/>
              <w:ind w:left="685"/>
              <w:rPr>
                <w:sz w:val="14"/>
                <w:szCs w:val="14"/>
              </w:rPr>
            </w:pPr>
            <w:r>
              <w:rPr>
                <w:spacing w:val="-2"/>
                <w:sz w:val="14"/>
                <w:szCs w:val="14"/>
              </w:rPr>
              <w:t>++</w:t>
            </w:r>
          </w:p>
          <w:p w14:paraId="6B577502">
            <w:pPr>
              <w:pStyle w:val="6"/>
              <w:spacing w:line="220" w:lineRule="auto"/>
              <w:ind w:left="144"/>
              <w:rPr>
                <w:sz w:val="18"/>
                <w:szCs w:val="18"/>
              </w:rPr>
            </w:pPr>
            <w:r>
              <w:rPr>
                <w:spacing w:val="-2"/>
                <w:sz w:val="18"/>
                <w:szCs w:val="18"/>
              </w:rPr>
              <w:t>cDNA转录活性</w:t>
            </w:r>
          </w:p>
          <w:p w14:paraId="018A81FC">
            <w:pPr>
              <w:pStyle w:val="6"/>
              <w:spacing w:before="47" w:line="198" w:lineRule="exact"/>
              <w:ind w:left="685"/>
              <w:rPr>
                <w:sz w:val="14"/>
                <w:szCs w:val="14"/>
              </w:rPr>
            </w:pPr>
            <w:r>
              <w:rPr>
                <w:spacing w:val="-2"/>
                <w:position w:val="1"/>
                <w:sz w:val="14"/>
                <w:szCs w:val="14"/>
              </w:rPr>
              <w:t>++</w:t>
            </w:r>
          </w:p>
        </w:tc>
      </w:tr>
    </w:tbl>
    <w:p w14:paraId="3F46A12B">
      <w:pPr>
        <w:spacing w:before="114" w:line="219" w:lineRule="auto"/>
        <w:ind w:left="2930"/>
        <w:rPr>
          <w:rFonts w:ascii="宋体" w:hAnsi="宋体" w:eastAsia="宋体" w:cs="宋体"/>
          <w:sz w:val="20"/>
          <w:szCs w:val="20"/>
        </w:rPr>
      </w:pPr>
      <w:r>
        <w:rPr>
          <w:rFonts w:ascii="宋体" w:hAnsi="宋体" w:eastAsia="宋体" w:cs="宋体"/>
          <w:spacing w:val="-13"/>
          <w:sz w:val="20"/>
          <w:szCs w:val="20"/>
        </w:rPr>
        <w:t>图19-2</w:t>
      </w:r>
      <w:r>
        <w:rPr>
          <w:rFonts w:ascii="宋体" w:hAnsi="宋体" w:eastAsia="宋体" w:cs="宋体"/>
          <w:spacing w:val="58"/>
          <w:sz w:val="20"/>
          <w:szCs w:val="20"/>
        </w:rPr>
        <w:t xml:space="preserve"> </w:t>
      </w:r>
      <w:r>
        <w:rPr>
          <w:rFonts w:ascii="宋体" w:hAnsi="宋体" w:eastAsia="宋体" w:cs="宋体"/>
          <w:spacing w:val="-13"/>
          <w:sz w:val="20"/>
          <w:szCs w:val="20"/>
        </w:rPr>
        <w:t>慢性HBV 感染的自然史、分期</w:t>
      </w:r>
      <w:r>
        <w:rPr>
          <w:rFonts w:ascii="宋体" w:hAnsi="宋体" w:eastAsia="宋体" w:cs="宋体"/>
          <w:spacing w:val="-14"/>
          <w:sz w:val="20"/>
          <w:szCs w:val="20"/>
        </w:rPr>
        <w:t>和临床特点</w:t>
      </w:r>
    </w:p>
    <w:p w14:paraId="694E7DE5">
      <w:pPr>
        <w:spacing w:before="50" w:line="212" w:lineRule="auto"/>
        <w:ind w:left="3950"/>
        <w:rPr>
          <w:rFonts w:ascii="Times New Roman" w:hAnsi="Times New Roman" w:eastAsia="Times New Roman" w:cs="Times New Roman"/>
          <w:sz w:val="20"/>
          <w:szCs w:val="20"/>
        </w:rPr>
      </w:pPr>
      <w:r>
        <w:rPr>
          <w:rFonts w:ascii="宋体" w:hAnsi="宋体" w:eastAsia="宋体" w:cs="宋体"/>
          <w:spacing w:val="-4"/>
          <w:sz w:val="20"/>
          <w:szCs w:val="20"/>
        </w:rPr>
        <w:t>(改编自</w:t>
      </w:r>
      <w:r>
        <w:rPr>
          <w:rFonts w:ascii="Times New Roman" w:hAnsi="Times New Roman" w:eastAsia="Times New Roman" w:cs="Times New Roman"/>
          <w:spacing w:val="-4"/>
          <w:sz w:val="20"/>
          <w:szCs w:val="20"/>
        </w:rPr>
        <w:t>Burns GS,2014)</w:t>
      </w:r>
    </w:p>
    <w:p w14:paraId="1F573380">
      <w:pPr>
        <w:spacing w:line="336" w:lineRule="auto"/>
        <w:rPr>
          <w:rFonts w:ascii="Arial"/>
          <w:sz w:val="21"/>
        </w:rPr>
      </w:pPr>
    </w:p>
    <w:p w14:paraId="055A7C1C">
      <w:pPr>
        <w:spacing w:before="65" w:line="219" w:lineRule="auto"/>
        <w:ind w:left="1030"/>
        <w:rPr>
          <w:rFonts w:ascii="宋体" w:hAnsi="宋体" w:eastAsia="宋体" w:cs="宋体"/>
          <w:sz w:val="20"/>
          <w:szCs w:val="20"/>
        </w:rPr>
      </w:pPr>
      <w:r>
        <w:rPr>
          <w:rFonts w:ascii="宋体" w:hAnsi="宋体" w:eastAsia="宋体" w:cs="宋体"/>
          <w:sz w:val="20"/>
          <w:szCs w:val="20"/>
        </w:rPr>
        <w:t>2. 实验室检测指标及意义</w:t>
      </w:r>
    </w:p>
    <w:p w14:paraId="0A5AC5CF">
      <w:pPr>
        <w:spacing w:before="149" w:line="212" w:lineRule="auto"/>
        <w:ind w:left="1030"/>
        <w:rPr>
          <w:rFonts w:ascii="宋体" w:hAnsi="宋体" w:eastAsia="宋体" w:cs="宋体"/>
          <w:sz w:val="20"/>
          <w:szCs w:val="20"/>
        </w:rPr>
      </w:pPr>
      <w:r>
        <w:rPr>
          <w:rFonts w:ascii="Times New Roman" w:hAnsi="Times New Roman" w:eastAsia="Times New Roman" w:cs="Times New Roman"/>
          <w:spacing w:val="-1"/>
          <w:sz w:val="20"/>
          <w:szCs w:val="20"/>
        </w:rPr>
        <w:t>(1)HBsAg:</w:t>
      </w:r>
      <w:r>
        <w:rPr>
          <w:rFonts w:ascii="Times New Roman" w:hAnsi="Times New Roman" w:eastAsia="Times New Roman" w:cs="Times New Roman"/>
          <w:spacing w:val="16"/>
          <w:sz w:val="20"/>
          <w:szCs w:val="20"/>
        </w:rPr>
        <w:t xml:space="preserve">   </w:t>
      </w:r>
      <w:r>
        <w:rPr>
          <w:rFonts w:ascii="宋体" w:hAnsi="宋体" w:eastAsia="宋体" w:cs="宋体"/>
          <w:spacing w:val="-1"/>
          <w:sz w:val="20"/>
          <w:szCs w:val="20"/>
        </w:rPr>
        <w:t>是现症感染的标志。</w:t>
      </w:r>
    </w:p>
    <w:p w14:paraId="0C9FC1B4">
      <w:pPr>
        <w:spacing w:before="137" w:line="288" w:lineRule="auto"/>
        <w:ind w:left="650" w:right="92" w:firstLine="379"/>
        <w:rPr>
          <w:rFonts w:ascii="宋体" w:hAnsi="宋体" w:eastAsia="宋体" w:cs="宋体"/>
          <w:sz w:val="20"/>
          <w:szCs w:val="20"/>
        </w:rPr>
      </w:pPr>
      <w:r>
        <w:rPr>
          <w:rFonts w:ascii="宋体" w:hAnsi="宋体" w:eastAsia="宋体" w:cs="宋体"/>
          <w:spacing w:val="-1"/>
          <w:sz w:val="20"/>
          <w:szCs w:val="20"/>
        </w:rPr>
        <w:t>(2)抗</w:t>
      </w:r>
      <w:r>
        <w:rPr>
          <w:rFonts w:ascii="宋体" w:hAnsi="宋体" w:eastAsia="宋体" w:cs="宋体"/>
          <w:spacing w:val="-59"/>
          <w:sz w:val="20"/>
          <w:szCs w:val="20"/>
        </w:rPr>
        <w:t xml:space="preserve"> </w:t>
      </w:r>
      <w:r>
        <w:rPr>
          <w:rFonts w:ascii="宋体" w:hAnsi="宋体" w:eastAsia="宋体" w:cs="宋体"/>
          <w:spacing w:val="-1"/>
          <w:sz w:val="20"/>
          <w:szCs w:val="20"/>
        </w:rPr>
        <w:t>-HBs:</w:t>
      </w:r>
      <w:r>
        <w:rPr>
          <w:rFonts w:ascii="宋体" w:hAnsi="宋体" w:eastAsia="宋体" w:cs="宋体"/>
          <w:spacing w:val="-37"/>
          <w:sz w:val="20"/>
          <w:szCs w:val="20"/>
        </w:rPr>
        <w:t xml:space="preserve"> </w:t>
      </w:r>
      <w:r>
        <w:rPr>
          <w:rFonts w:ascii="宋体" w:hAnsi="宋体" w:eastAsia="宋体" w:cs="宋体"/>
          <w:spacing w:val="-1"/>
          <w:sz w:val="20"/>
          <w:szCs w:val="20"/>
        </w:rPr>
        <w:t>是</w:t>
      </w:r>
      <w:r>
        <w:rPr>
          <w:rFonts w:ascii="宋体" w:hAnsi="宋体" w:eastAsia="宋体" w:cs="宋体"/>
          <w:spacing w:val="-29"/>
          <w:sz w:val="20"/>
          <w:szCs w:val="20"/>
        </w:rPr>
        <w:t xml:space="preserve"> </w:t>
      </w:r>
      <w:r>
        <w:rPr>
          <w:rFonts w:ascii="宋体" w:hAnsi="宋体" w:eastAsia="宋体" w:cs="宋体"/>
          <w:spacing w:val="-1"/>
          <w:sz w:val="20"/>
          <w:szCs w:val="20"/>
        </w:rPr>
        <w:t>HBsAg 相应的抗体，为乙肝恢复期或接种乙肝疫苗后产生的保护性抗体，</w:t>
      </w:r>
      <w:r>
        <w:rPr>
          <w:rFonts w:ascii="宋体" w:hAnsi="宋体" w:eastAsia="宋体" w:cs="宋体"/>
          <w:spacing w:val="-2"/>
          <w:sz w:val="20"/>
          <w:szCs w:val="20"/>
        </w:rPr>
        <w:t>是机</w:t>
      </w:r>
      <w:r>
        <w:rPr>
          <w:rFonts w:ascii="宋体" w:hAnsi="宋体" w:eastAsia="宋体" w:cs="宋体"/>
          <w:sz w:val="20"/>
          <w:szCs w:val="20"/>
        </w:rPr>
        <w:t xml:space="preserve"> </w:t>
      </w:r>
      <w:r>
        <w:rPr>
          <w:rFonts w:ascii="宋体" w:hAnsi="宋体" w:eastAsia="宋体" w:cs="宋体"/>
          <w:spacing w:val="1"/>
          <w:sz w:val="20"/>
          <w:szCs w:val="20"/>
        </w:rPr>
        <w:t>体获得免疫力的标志。</w:t>
      </w:r>
    </w:p>
    <w:p w14:paraId="257E85AB">
      <w:pPr>
        <w:spacing w:before="120" w:line="212" w:lineRule="auto"/>
        <w:ind w:left="1030"/>
        <w:rPr>
          <w:rFonts w:ascii="宋体" w:hAnsi="宋体" w:eastAsia="宋体" w:cs="宋体"/>
          <w:sz w:val="20"/>
          <w:szCs w:val="20"/>
        </w:rPr>
      </w:pPr>
      <w:r>
        <w:rPr>
          <w:rFonts w:ascii="Times New Roman" w:hAnsi="Times New Roman" w:eastAsia="Times New Roman" w:cs="Times New Roman"/>
          <w:spacing w:val="-1"/>
          <w:sz w:val="20"/>
          <w:szCs w:val="20"/>
        </w:rPr>
        <w:t>(3)HBeAg:</w:t>
      </w:r>
      <w:r>
        <w:rPr>
          <w:rFonts w:ascii="Times New Roman" w:hAnsi="Times New Roman" w:eastAsia="Times New Roman" w:cs="Times New Roman"/>
          <w:spacing w:val="15"/>
          <w:w w:val="101"/>
          <w:sz w:val="20"/>
          <w:szCs w:val="20"/>
        </w:rPr>
        <w:t xml:space="preserve">   </w:t>
      </w:r>
      <w:r>
        <w:rPr>
          <w:rFonts w:ascii="宋体" w:hAnsi="宋体" w:eastAsia="宋体" w:cs="宋体"/>
          <w:spacing w:val="-1"/>
          <w:sz w:val="20"/>
          <w:szCs w:val="20"/>
        </w:rPr>
        <w:t>是病毒复制活跃和传染性较强的标志，与</w:t>
      </w:r>
      <w:r>
        <w:rPr>
          <w:rFonts w:ascii="Times New Roman" w:hAnsi="Times New Roman" w:eastAsia="Times New Roman" w:cs="Times New Roman"/>
          <w:spacing w:val="-1"/>
          <w:sz w:val="20"/>
          <w:szCs w:val="20"/>
        </w:rPr>
        <w:t>HBV DNA</w:t>
      </w:r>
      <w:r>
        <w:rPr>
          <w:rFonts w:ascii="宋体" w:hAnsi="宋体" w:eastAsia="宋体" w:cs="宋体"/>
          <w:spacing w:val="-1"/>
          <w:sz w:val="20"/>
          <w:szCs w:val="20"/>
        </w:rPr>
        <w:t>具有良好的相关性。</w:t>
      </w:r>
    </w:p>
    <w:p w14:paraId="65A57F92">
      <w:pPr>
        <w:spacing w:before="156" w:line="214" w:lineRule="auto"/>
        <w:ind w:left="1030"/>
        <w:rPr>
          <w:rFonts w:ascii="宋体" w:hAnsi="宋体" w:eastAsia="宋体" w:cs="宋体"/>
          <w:sz w:val="20"/>
          <w:szCs w:val="20"/>
        </w:rPr>
      </w:pPr>
      <w:r>
        <w:rPr>
          <w:rFonts w:ascii="宋体" w:hAnsi="宋体" w:eastAsia="宋体" w:cs="宋体"/>
          <w:spacing w:val="-2"/>
          <w:sz w:val="20"/>
          <w:szCs w:val="20"/>
        </w:rPr>
        <w:t>(4)抗</w:t>
      </w:r>
      <w:r>
        <w:rPr>
          <w:rFonts w:ascii="宋体" w:hAnsi="宋体" w:eastAsia="宋体" w:cs="宋体"/>
          <w:spacing w:val="-59"/>
          <w:sz w:val="20"/>
          <w:szCs w:val="20"/>
        </w:rPr>
        <w:t xml:space="preserve"> </w:t>
      </w:r>
      <w:r>
        <w:rPr>
          <w:rFonts w:ascii="宋体" w:hAnsi="宋体" w:eastAsia="宋体" w:cs="宋体"/>
          <w:spacing w:val="-2"/>
          <w:sz w:val="20"/>
          <w:szCs w:val="20"/>
        </w:rPr>
        <w:t>-HBe: 是</w:t>
      </w:r>
      <w:r>
        <w:rPr>
          <w:rFonts w:ascii="宋体" w:hAnsi="宋体" w:eastAsia="宋体" w:cs="宋体"/>
          <w:spacing w:val="-39"/>
          <w:sz w:val="20"/>
          <w:szCs w:val="20"/>
        </w:rPr>
        <w:t xml:space="preserve"> </w:t>
      </w:r>
      <w:r>
        <w:rPr>
          <w:rFonts w:ascii="宋体" w:hAnsi="宋体" w:eastAsia="宋体" w:cs="宋体"/>
          <w:spacing w:val="-2"/>
          <w:sz w:val="20"/>
          <w:szCs w:val="20"/>
        </w:rPr>
        <w:t>HBeAg 相应的抗体，非保护性抗体，为病毒复制水平和传染性降</w:t>
      </w:r>
      <w:r>
        <w:rPr>
          <w:rFonts w:ascii="宋体" w:hAnsi="宋体" w:eastAsia="宋体" w:cs="宋体"/>
          <w:spacing w:val="-3"/>
          <w:sz w:val="20"/>
          <w:szCs w:val="20"/>
        </w:rPr>
        <w:t>低的标志。</w:t>
      </w:r>
    </w:p>
    <w:p w14:paraId="10104237">
      <w:pPr>
        <w:spacing w:before="93" w:line="290" w:lineRule="auto"/>
        <w:ind w:left="650" w:right="68" w:firstLine="379"/>
        <w:rPr>
          <w:rFonts w:ascii="宋体" w:hAnsi="宋体" w:eastAsia="宋体" w:cs="宋体"/>
          <w:sz w:val="20"/>
          <w:szCs w:val="20"/>
        </w:rPr>
      </w:pPr>
      <w:r>
        <w:rPr>
          <w:rFonts w:ascii="Times New Roman" w:hAnsi="Times New Roman" w:eastAsia="Times New Roman" w:cs="Times New Roman"/>
          <w:sz w:val="20"/>
          <w:szCs w:val="20"/>
        </w:rPr>
        <w:t xml:space="preserve">(5)HBcAg:    </w:t>
      </w:r>
      <w:r>
        <w:rPr>
          <w:rFonts w:ascii="宋体" w:hAnsi="宋体" w:eastAsia="宋体" w:cs="宋体"/>
          <w:sz w:val="20"/>
          <w:szCs w:val="20"/>
        </w:rPr>
        <w:t>不易从血清中直接检出，可通过免疫组织化学方法检测肝组织</w:t>
      </w:r>
      <w:r>
        <w:rPr>
          <w:rFonts w:ascii="宋体" w:hAnsi="宋体" w:eastAsia="宋体" w:cs="宋体"/>
          <w:spacing w:val="-1"/>
          <w:sz w:val="20"/>
          <w:szCs w:val="20"/>
        </w:rPr>
        <w:t>中</w:t>
      </w:r>
      <w:r>
        <w:rPr>
          <w:rFonts w:ascii="Times New Roman" w:hAnsi="Times New Roman" w:eastAsia="Times New Roman" w:cs="Times New Roman"/>
          <w:spacing w:val="-1"/>
          <w:sz w:val="20"/>
          <w:szCs w:val="20"/>
        </w:rPr>
        <w:t xml:space="preserve">HBcAg </w:t>
      </w:r>
      <w:r>
        <w:rPr>
          <w:rFonts w:ascii="宋体" w:hAnsi="宋体" w:eastAsia="宋体" w:cs="宋体"/>
          <w:spacing w:val="-1"/>
          <w:sz w:val="20"/>
          <w:szCs w:val="20"/>
        </w:rPr>
        <w:t>的表达及</w:t>
      </w:r>
      <w:r>
        <w:rPr>
          <w:rFonts w:ascii="宋体" w:hAnsi="宋体" w:eastAsia="宋体" w:cs="宋体"/>
          <w:sz w:val="20"/>
          <w:szCs w:val="20"/>
        </w:rPr>
        <w:t xml:space="preserve"> </w:t>
      </w:r>
      <w:r>
        <w:rPr>
          <w:rFonts w:ascii="宋体" w:hAnsi="宋体" w:eastAsia="宋体" w:cs="宋体"/>
          <w:spacing w:val="-4"/>
          <w:sz w:val="20"/>
          <w:szCs w:val="20"/>
        </w:rPr>
        <w:t>分布，与</w:t>
      </w:r>
      <w:r>
        <w:rPr>
          <w:rFonts w:ascii="Times New Roman" w:hAnsi="Times New Roman" w:eastAsia="Times New Roman" w:cs="Times New Roman"/>
          <w:spacing w:val="-4"/>
          <w:sz w:val="20"/>
          <w:szCs w:val="20"/>
        </w:rPr>
        <w:t>HBV DNA</w:t>
      </w:r>
      <w:r>
        <w:rPr>
          <w:rFonts w:ascii="宋体" w:hAnsi="宋体" w:eastAsia="宋体" w:cs="宋体"/>
          <w:spacing w:val="-4"/>
          <w:sz w:val="20"/>
          <w:szCs w:val="20"/>
        </w:rPr>
        <w:t>呈正相关，是病毒复制</w:t>
      </w:r>
      <w:r>
        <w:rPr>
          <w:rFonts w:ascii="宋体" w:hAnsi="宋体" w:eastAsia="宋体" w:cs="宋体"/>
          <w:spacing w:val="-5"/>
          <w:sz w:val="20"/>
          <w:szCs w:val="20"/>
        </w:rPr>
        <w:t>和具有传染性的标志。</w:t>
      </w:r>
    </w:p>
    <w:p w14:paraId="2FE76C85">
      <w:pPr>
        <w:spacing w:before="126" w:line="297" w:lineRule="auto"/>
        <w:ind w:left="650" w:right="89" w:firstLine="379"/>
        <w:rPr>
          <w:rFonts w:ascii="宋体" w:hAnsi="宋体" w:eastAsia="宋体" w:cs="宋体"/>
          <w:sz w:val="20"/>
          <w:szCs w:val="20"/>
        </w:rPr>
      </w:pPr>
      <w:r>
        <w:rPr>
          <w:rFonts w:ascii="宋体" w:hAnsi="宋体" w:eastAsia="宋体" w:cs="宋体"/>
          <w:spacing w:val="-3"/>
          <w:sz w:val="20"/>
          <w:szCs w:val="20"/>
        </w:rPr>
        <w:t>(6)抗</w:t>
      </w:r>
      <w:r>
        <w:rPr>
          <w:rFonts w:ascii="宋体" w:hAnsi="宋体" w:eastAsia="宋体" w:cs="宋体"/>
          <w:spacing w:val="-59"/>
          <w:sz w:val="20"/>
          <w:szCs w:val="20"/>
        </w:rPr>
        <w:t xml:space="preserve"> </w:t>
      </w:r>
      <w:r>
        <w:rPr>
          <w:rFonts w:ascii="宋体" w:hAnsi="宋体" w:eastAsia="宋体" w:cs="宋体"/>
          <w:spacing w:val="-3"/>
          <w:sz w:val="20"/>
          <w:szCs w:val="20"/>
        </w:rPr>
        <w:t>-HBc:</w:t>
      </w:r>
      <w:r>
        <w:rPr>
          <w:rFonts w:ascii="宋体" w:hAnsi="宋体" w:eastAsia="宋体" w:cs="宋体"/>
          <w:spacing w:val="-36"/>
          <w:sz w:val="20"/>
          <w:szCs w:val="20"/>
        </w:rPr>
        <w:t xml:space="preserve"> </w:t>
      </w:r>
      <w:r>
        <w:rPr>
          <w:rFonts w:ascii="宋体" w:hAnsi="宋体" w:eastAsia="宋体" w:cs="宋体"/>
          <w:spacing w:val="-3"/>
          <w:sz w:val="20"/>
          <w:szCs w:val="20"/>
        </w:rPr>
        <w:t>是</w:t>
      </w:r>
      <w:r>
        <w:rPr>
          <w:rFonts w:ascii="宋体" w:hAnsi="宋体" w:eastAsia="宋体" w:cs="宋体"/>
          <w:spacing w:val="-29"/>
          <w:sz w:val="20"/>
          <w:szCs w:val="20"/>
        </w:rPr>
        <w:t xml:space="preserve"> </w:t>
      </w:r>
      <w:r>
        <w:rPr>
          <w:rFonts w:ascii="宋体" w:hAnsi="宋体" w:eastAsia="宋体" w:cs="宋体"/>
          <w:spacing w:val="-3"/>
          <w:sz w:val="20"/>
          <w:szCs w:val="20"/>
        </w:rPr>
        <w:t>HBcAg</w:t>
      </w:r>
      <w:r>
        <w:rPr>
          <w:rFonts w:ascii="宋体" w:hAnsi="宋体" w:eastAsia="宋体" w:cs="宋体"/>
          <w:spacing w:val="33"/>
          <w:sz w:val="20"/>
          <w:szCs w:val="20"/>
        </w:rPr>
        <w:t xml:space="preserve"> </w:t>
      </w:r>
      <w:r>
        <w:rPr>
          <w:rFonts w:ascii="宋体" w:hAnsi="宋体" w:eastAsia="宋体" w:cs="宋体"/>
          <w:spacing w:val="-3"/>
          <w:sz w:val="20"/>
          <w:szCs w:val="20"/>
        </w:rPr>
        <w:t>相应的抗体，非保护性抗体，分IgM</w:t>
      </w:r>
      <w:r>
        <w:rPr>
          <w:rFonts w:ascii="宋体" w:hAnsi="宋体" w:eastAsia="宋体" w:cs="宋体"/>
          <w:spacing w:val="-21"/>
          <w:sz w:val="20"/>
          <w:szCs w:val="20"/>
        </w:rPr>
        <w:t xml:space="preserve"> </w:t>
      </w:r>
      <w:r>
        <w:rPr>
          <w:rFonts w:ascii="宋体" w:hAnsi="宋体" w:eastAsia="宋体" w:cs="宋体"/>
          <w:spacing w:val="-3"/>
          <w:sz w:val="20"/>
          <w:szCs w:val="20"/>
        </w:rPr>
        <w:t>和</w:t>
      </w:r>
      <w:r>
        <w:rPr>
          <w:rFonts w:ascii="宋体" w:hAnsi="宋体" w:eastAsia="宋体" w:cs="宋体"/>
          <w:spacing w:val="-52"/>
          <w:sz w:val="20"/>
          <w:szCs w:val="20"/>
        </w:rPr>
        <w:t xml:space="preserve"> </w:t>
      </w:r>
      <w:r>
        <w:rPr>
          <w:rFonts w:ascii="宋体" w:hAnsi="宋体" w:eastAsia="宋体" w:cs="宋体"/>
          <w:spacing w:val="-3"/>
          <w:sz w:val="20"/>
          <w:szCs w:val="20"/>
        </w:rPr>
        <w:t>IgG</w:t>
      </w:r>
      <w:r>
        <w:rPr>
          <w:rFonts w:ascii="宋体" w:hAnsi="宋体" w:eastAsia="宋体" w:cs="宋体"/>
          <w:spacing w:val="-21"/>
          <w:sz w:val="20"/>
          <w:szCs w:val="20"/>
        </w:rPr>
        <w:t xml:space="preserve"> </w:t>
      </w:r>
      <w:r>
        <w:rPr>
          <w:rFonts w:ascii="宋体" w:hAnsi="宋体" w:eastAsia="宋体" w:cs="宋体"/>
          <w:spacing w:val="-3"/>
          <w:sz w:val="20"/>
          <w:szCs w:val="20"/>
        </w:rPr>
        <w:t>两型。抗-H</w:t>
      </w:r>
      <w:r>
        <w:rPr>
          <w:rFonts w:ascii="宋体" w:hAnsi="宋体" w:eastAsia="宋体" w:cs="宋体"/>
          <w:spacing w:val="-4"/>
          <w:sz w:val="20"/>
          <w:szCs w:val="20"/>
        </w:rPr>
        <w:t>Bc</w:t>
      </w:r>
      <w:r>
        <w:rPr>
          <w:rFonts w:ascii="宋体" w:hAnsi="宋体" w:eastAsia="宋体" w:cs="宋体"/>
          <w:spacing w:val="64"/>
          <w:sz w:val="20"/>
          <w:szCs w:val="20"/>
        </w:rPr>
        <w:t xml:space="preserve"> </w:t>
      </w:r>
      <w:r>
        <w:rPr>
          <w:rFonts w:ascii="宋体" w:hAnsi="宋体" w:eastAsia="宋体" w:cs="宋体"/>
          <w:spacing w:val="-4"/>
          <w:sz w:val="20"/>
          <w:szCs w:val="20"/>
        </w:rPr>
        <w:t>IgM是感染后</w:t>
      </w:r>
      <w:r>
        <w:rPr>
          <w:rFonts w:ascii="宋体" w:hAnsi="宋体" w:eastAsia="宋体" w:cs="宋体"/>
          <w:sz w:val="20"/>
          <w:szCs w:val="20"/>
        </w:rPr>
        <w:t xml:space="preserve"> </w:t>
      </w:r>
      <w:r>
        <w:rPr>
          <w:rFonts w:ascii="宋体" w:hAnsi="宋体" w:eastAsia="宋体" w:cs="宋体"/>
          <w:spacing w:val="-2"/>
          <w:sz w:val="20"/>
          <w:szCs w:val="20"/>
        </w:rPr>
        <w:t>较早出现的抗体，是急性感染或慢性感染病情活动</w:t>
      </w:r>
      <w:r>
        <w:rPr>
          <w:rFonts w:ascii="宋体" w:hAnsi="宋体" w:eastAsia="宋体" w:cs="宋体"/>
          <w:spacing w:val="-3"/>
          <w:sz w:val="20"/>
          <w:szCs w:val="20"/>
        </w:rPr>
        <w:t>的标志。抗-</w:t>
      </w:r>
      <w:r>
        <w:rPr>
          <w:rFonts w:ascii="Times New Roman" w:hAnsi="Times New Roman" w:eastAsia="Times New Roman" w:cs="Times New Roman"/>
          <w:spacing w:val="-3"/>
          <w:sz w:val="20"/>
          <w:szCs w:val="20"/>
        </w:rPr>
        <w:t>HBc IgG</w:t>
      </w:r>
      <w:r>
        <w:rPr>
          <w:rFonts w:ascii="宋体" w:hAnsi="宋体" w:eastAsia="宋体" w:cs="宋体"/>
          <w:spacing w:val="-3"/>
          <w:sz w:val="20"/>
          <w:szCs w:val="20"/>
        </w:rPr>
        <w:t>出现较迟，但长期存在甚至</w:t>
      </w:r>
      <w:r>
        <w:rPr>
          <w:rFonts w:ascii="宋体" w:hAnsi="宋体" w:eastAsia="宋体" w:cs="宋体"/>
          <w:sz w:val="20"/>
          <w:szCs w:val="20"/>
        </w:rPr>
        <w:t xml:space="preserve"> </w:t>
      </w:r>
      <w:r>
        <w:rPr>
          <w:rFonts w:ascii="宋体" w:hAnsi="宋体" w:eastAsia="宋体" w:cs="宋体"/>
          <w:spacing w:val="-4"/>
          <w:sz w:val="20"/>
          <w:szCs w:val="20"/>
        </w:rPr>
        <w:t>终身维持阳性，是慢性感染或既往感染的标志。</w:t>
      </w:r>
    </w:p>
    <w:p w14:paraId="7EB05B76">
      <w:pPr>
        <w:spacing w:before="131" w:line="219" w:lineRule="auto"/>
        <w:ind w:left="1030"/>
        <w:rPr>
          <w:rFonts w:ascii="宋体" w:hAnsi="宋体" w:eastAsia="宋体" w:cs="宋体"/>
          <w:sz w:val="20"/>
          <w:szCs w:val="20"/>
        </w:rPr>
      </w:pPr>
      <w:r>
        <w:rPr>
          <w:rFonts w:ascii="宋体" w:hAnsi="宋体" w:eastAsia="宋体" w:cs="宋体"/>
          <w:spacing w:val="-3"/>
          <w:sz w:val="20"/>
          <w:szCs w:val="20"/>
        </w:rPr>
        <w:t>(7)HBV</w:t>
      </w:r>
      <w:r>
        <w:rPr>
          <w:rFonts w:ascii="宋体" w:hAnsi="宋体" w:eastAsia="宋体" w:cs="宋体"/>
          <w:spacing w:val="12"/>
          <w:sz w:val="20"/>
          <w:szCs w:val="20"/>
        </w:rPr>
        <w:t xml:space="preserve">    </w:t>
      </w:r>
      <w:r>
        <w:rPr>
          <w:rFonts w:ascii="宋体" w:hAnsi="宋体" w:eastAsia="宋体" w:cs="宋体"/>
          <w:spacing w:val="-3"/>
          <w:sz w:val="20"/>
          <w:szCs w:val="20"/>
        </w:rPr>
        <w:t>DNA:是病毒复制和具有传染性的直接标志。</w:t>
      </w:r>
    </w:p>
    <w:p w14:paraId="71715886">
      <w:pPr>
        <w:spacing w:before="124" w:line="219" w:lineRule="auto"/>
        <w:ind w:left="1030"/>
        <w:rPr>
          <w:rFonts w:ascii="宋体" w:hAnsi="宋体" w:eastAsia="宋体" w:cs="宋体"/>
          <w:sz w:val="20"/>
          <w:szCs w:val="20"/>
        </w:rPr>
      </w:pPr>
      <w:r>
        <w:rPr>
          <w:rFonts w:ascii="宋体" w:hAnsi="宋体" w:eastAsia="宋体" w:cs="宋体"/>
          <w:sz w:val="20"/>
          <w:szCs w:val="20"/>
        </w:rPr>
        <w:t>上述指标的常见模式及其临床和流行病学意义见表19-1。</w:t>
      </w:r>
    </w:p>
    <w:p w14:paraId="2CC30382">
      <w:pPr>
        <w:pStyle w:val="2"/>
        <w:spacing w:before="133" w:line="222" w:lineRule="auto"/>
        <w:ind w:left="1030"/>
        <w:rPr>
          <w:sz w:val="20"/>
          <w:szCs w:val="20"/>
        </w:rPr>
      </w:pPr>
      <w:r>
        <w:rPr>
          <w:spacing w:val="23"/>
          <w:sz w:val="20"/>
          <w:szCs w:val="20"/>
        </w:rPr>
        <w:t>(三)丙型肝炎</w:t>
      </w:r>
    </w:p>
    <w:p w14:paraId="00D803C8">
      <w:pPr>
        <w:pStyle w:val="2"/>
        <w:spacing w:before="109" w:line="351" w:lineRule="auto"/>
        <w:ind w:left="650" w:right="75" w:firstLine="379"/>
        <w:rPr>
          <w:rFonts w:ascii="宋体" w:hAnsi="宋体" w:eastAsia="宋体" w:cs="宋体"/>
          <w:sz w:val="20"/>
          <w:szCs w:val="20"/>
        </w:rPr>
      </w:pPr>
      <w:r>
        <w:rPr>
          <w:rFonts w:ascii="宋体" w:hAnsi="宋体" w:eastAsia="宋体" w:cs="宋体"/>
          <w:sz w:val="20"/>
          <w:szCs w:val="20"/>
        </w:rPr>
        <w:t xml:space="preserve">1. </w:t>
      </w:r>
      <w:r>
        <w:rPr>
          <w:sz w:val="20"/>
          <w:szCs w:val="20"/>
        </w:rPr>
        <w:t>临床分型和自然史</w:t>
      </w:r>
      <w:r>
        <w:rPr>
          <w:spacing w:val="88"/>
          <w:sz w:val="20"/>
          <w:szCs w:val="20"/>
        </w:rPr>
        <w:t xml:space="preserve"> </w:t>
      </w:r>
      <w:r>
        <w:rPr>
          <w:rFonts w:ascii="Times New Roman" w:hAnsi="Times New Roman" w:eastAsia="Times New Roman" w:cs="Times New Roman"/>
          <w:sz w:val="20"/>
          <w:szCs w:val="20"/>
        </w:rPr>
        <w:t>H</w:t>
      </w:r>
      <w:r>
        <w:rPr>
          <w:rFonts w:ascii="宋体" w:hAnsi="宋体" w:eastAsia="宋体" w:cs="宋体"/>
          <w:sz w:val="20"/>
          <w:szCs w:val="20"/>
        </w:rPr>
        <w:t xml:space="preserve">CV 感染后可表现为急性肝炎、慢性肝炎或无症状携带者。大多数急 </w:t>
      </w:r>
      <w:r>
        <w:rPr>
          <w:rFonts w:ascii="宋体" w:hAnsi="宋体" w:eastAsia="宋体" w:cs="宋体"/>
          <w:spacing w:val="5"/>
          <w:sz w:val="20"/>
          <w:szCs w:val="20"/>
        </w:rPr>
        <w:t>性</w:t>
      </w:r>
      <w:r>
        <w:rPr>
          <w:rFonts w:ascii="宋体" w:hAnsi="宋体" w:eastAsia="宋体" w:cs="宋体"/>
          <w:spacing w:val="-50"/>
          <w:sz w:val="20"/>
          <w:szCs w:val="20"/>
        </w:rPr>
        <w:t xml:space="preserve"> </w:t>
      </w:r>
      <w:r>
        <w:rPr>
          <w:rFonts w:ascii="宋体" w:hAnsi="宋体" w:eastAsia="宋体" w:cs="宋体"/>
          <w:sz w:val="20"/>
          <w:szCs w:val="20"/>
        </w:rPr>
        <w:t>HCV</w:t>
      </w:r>
      <w:r>
        <w:rPr>
          <w:rFonts w:ascii="宋体" w:hAnsi="宋体" w:eastAsia="宋体" w:cs="宋体"/>
          <w:spacing w:val="53"/>
          <w:sz w:val="20"/>
          <w:szCs w:val="20"/>
        </w:rPr>
        <w:t xml:space="preserve"> </w:t>
      </w:r>
      <w:r>
        <w:rPr>
          <w:rFonts w:ascii="宋体" w:hAnsi="宋体" w:eastAsia="宋体" w:cs="宋体"/>
          <w:spacing w:val="5"/>
          <w:sz w:val="20"/>
          <w:szCs w:val="20"/>
        </w:rPr>
        <w:t>感染者临床表现不明显，极易慢性化，55%～85%的病人可转为慢性肝炎，其中15</w:t>
      </w:r>
      <w:r>
        <w:rPr>
          <w:rFonts w:ascii="宋体" w:hAnsi="宋体" w:eastAsia="宋体" w:cs="宋体"/>
          <w:spacing w:val="4"/>
          <w:sz w:val="20"/>
          <w:szCs w:val="20"/>
        </w:rPr>
        <w:t>%～30%</w:t>
      </w:r>
    </w:p>
    <w:p w14:paraId="6A3B74A7">
      <w:pPr>
        <w:spacing w:line="351" w:lineRule="auto"/>
        <w:rPr>
          <w:rFonts w:ascii="宋体" w:hAnsi="宋体" w:eastAsia="宋体" w:cs="宋体"/>
          <w:sz w:val="20"/>
          <w:szCs w:val="20"/>
        </w:rPr>
        <w:sectPr>
          <w:footerReference r:id="rId317" w:type="default"/>
          <w:pgSz w:w="11900" w:h="16820"/>
          <w:pgMar w:top="400" w:right="1640" w:bottom="869" w:left="1009" w:header="0" w:footer="689" w:gutter="0"/>
          <w:cols w:space="720" w:num="1"/>
        </w:sectPr>
      </w:pPr>
    </w:p>
    <w:p w14:paraId="46706116">
      <w:pPr>
        <w:pStyle w:val="2"/>
        <w:spacing w:before="217" w:line="222" w:lineRule="auto"/>
        <w:ind w:left="7259"/>
        <w:rPr>
          <w:sz w:val="21"/>
          <w:szCs w:val="21"/>
        </w:rPr>
      </w:pPr>
      <w:r>
        <w:rPr>
          <w:spacing w:val="-21"/>
          <w:w w:val="97"/>
          <w:sz w:val="21"/>
          <w:szCs w:val="21"/>
        </w:rPr>
        <w:t>第十九章 病毒性肝炎</w:t>
      </w:r>
    </w:p>
    <w:p w14:paraId="00589E9D">
      <w:pPr>
        <w:spacing w:line="291" w:lineRule="auto"/>
        <w:rPr>
          <w:rFonts w:ascii="Arial"/>
          <w:sz w:val="21"/>
        </w:rPr>
      </w:pPr>
    </w:p>
    <w:p w14:paraId="7E516EE9">
      <w:pPr>
        <w:spacing w:line="291" w:lineRule="auto"/>
        <w:rPr>
          <w:rFonts w:ascii="Arial"/>
          <w:sz w:val="21"/>
        </w:rPr>
      </w:pPr>
    </w:p>
    <w:p w14:paraId="027013AB">
      <w:pPr>
        <w:spacing w:before="62" w:line="219" w:lineRule="auto"/>
        <w:ind w:left="2580"/>
        <w:rPr>
          <w:rFonts w:ascii="宋体" w:hAnsi="宋体" w:eastAsia="宋体" w:cs="宋体"/>
          <w:sz w:val="19"/>
          <w:szCs w:val="19"/>
        </w:rPr>
      </w:pPr>
      <w:r>
        <w:rPr>
          <w:rFonts w:ascii="宋体" w:hAnsi="宋体" w:eastAsia="宋体" w:cs="宋体"/>
          <w:spacing w:val="-1"/>
          <w:sz w:val="19"/>
          <w:szCs w:val="19"/>
        </w:rPr>
        <w:t>表19-1 HBV实验室检测指标的常见模式及意义</w:t>
      </w:r>
    </w:p>
    <w:p w14:paraId="2746BDDB">
      <w:pPr>
        <w:spacing w:line="21" w:lineRule="exact"/>
      </w:pPr>
    </w:p>
    <w:tbl>
      <w:tblPr>
        <w:tblStyle w:val="5"/>
        <w:tblW w:w="8919" w:type="dxa"/>
        <w:tblInd w:w="19"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0" w:type="dxa"/>
          <w:left w:w="0" w:type="dxa"/>
          <w:bottom w:w="0" w:type="dxa"/>
          <w:right w:w="0" w:type="dxa"/>
        </w:tblCellMar>
      </w:tblPr>
      <w:tblGrid>
        <w:gridCol w:w="850"/>
        <w:gridCol w:w="860"/>
        <w:gridCol w:w="860"/>
        <w:gridCol w:w="920"/>
        <w:gridCol w:w="910"/>
        <w:gridCol w:w="910"/>
        <w:gridCol w:w="566"/>
        <w:gridCol w:w="192"/>
        <w:gridCol w:w="2851"/>
      </w:tblGrid>
      <w:tr w14:paraId="2767A9B1">
        <w:trPr>
          <w:trHeight w:val="653" w:hRule="atLeast"/>
        </w:trPr>
        <w:tc>
          <w:tcPr>
            <w:tcW w:w="850" w:type="dxa"/>
            <w:tcBorders>
              <w:top w:val="single" w:color="000000" w:sz="4" w:space="0"/>
              <w:bottom w:val="single" w:color="000000" w:sz="4" w:space="0"/>
            </w:tcBorders>
            <w:shd w:val="clear" w:color="auto" w:fill="CEE2EB"/>
            <w:vAlign w:val="top"/>
          </w:tcPr>
          <w:p w14:paraId="538EB50B">
            <w:pPr>
              <w:pStyle w:val="6"/>
              <w:spacing w:before="252" w:line="184" w:lineRule="auto"/>
              <w:ind w:left="142"/>
              <w:rPr>
                <w:sz w:val="19"/>
                <w:szCs w:val="19"/>
              </w:rPr>
            </w:pPr>
            <w:r>
              <w:rPr>
                <w:b/>
                <w:bCs/>
                <w:spacing w:val="-3"/>
                <w:sz w:val="19"/>
                <w:szCs w:val="19"/>
              </w:rPr>
              <w:t>HBsAg</w:t>
            </w:r>
          </w:p>
        </w:tc>
        <w:tc>
          <w:tcPr>
            <w:tcW w:w="860" w:type="dxa"/>
            <w:tcBorders>
              <w:top w:val="single" w:color="000000" w:sz="4" w:space="0"/>
              <w:bottom w:val="single" w:color="000000" w:sz="4" w:space="0"/>
            </w:tcBorders>
            <w:shd w:val="clear" w:color="auto" w:fill="D1E0E9"/>
            <w:vAlign w:val="top"/>
          </w:tcPr>
          <w:p w14:paraId="6B508848">
            <w:pPr>
              <w:pStyle w:val="6"/>
              <w:spacing w:before="252" w:line="184" w:lineRule="auto"/>
              <w:ind w:left="192"/>
              <w:rPr>
                <w:sz w:val="19"/>
                <w:szCs w:val="19"/>
              </w:rPr>
            </w:pPr>
            <w:r>
              <w:rPr>
                <w:b/>
                <w:bCs/>
                <w:spacing w:val="-3"/>
                <w:sz w:val="19"/>
                <w:szCs w:val="19"/>
              </w:rPr>
              <w:t>HBeAg</w:t>
            </w:r>
          </w:p>
        </w:tc>
        <w:tc>
          <w:tcPr>
            <w:tcW w:w="860" w:type="dxa"/>
            <w:tcBorders>
              <w:top w:val="single" w:color="000000" w:sz="4" w:space="0"/>
              <w:bottom w:val="single" w:color="000000" w:sz="4" w:space="0"/>
            </w:tcBorders>
            <w:shd w:val="clear" w:color="auto" w:fill="CDD1DA"/>
            <w:vAlign w:val="top"/>
          </w:tcPr>
          <w:p w14:paraId="7FED2004">
            <w:pPr>
              <w:pStyle w:val="6"/>
              <w:spacing w:before="230" w:line="219" w:lineRule="auto"/>
              <w:ind w:left="142"/>
              <w:rPr>
                <w:sz w:val="19"/>
                <w:szCs w:val="19"/>
              </w:rPr>
            </w:pPr>
            <w:r>
              <w:rPr>
                <w:b/>
                <w:bCs/>
                <w:spacing w:val="-4"/>
                <w:sz w:val="19"/>
                <w:szCs w:val="19"/>
              </w:rPr>
              <w:t>抗-HBs</w:t>
            </w:r>
          </w:p>
        </w:tc>
        <w:tc>
          <w:tcPr>
            <w:tcW w:w="920" w:type="dxa"/>
            <w:tcBorders>
              <w:top w:val="single" w:color="000000" w:sz="4" w:space="0"/>
              <w:bottom w:val="single" w:color="000000" w:sz="4" w:space="0"/>
            </w:tcBorders>
            <w:shd w:val="clear" w:color="auto" w:fill="C5C8CD"/>
            <w:vAlign w:val="top"/>
          </w:tcPr>
          <w:p w14:paraId="00475D75">
            <w:pPr>
              <w:pStyle w:val="6"/>
              <w:spacing w:before="230" w:line="219" w:lineRule="auto"/>
              <w:ind w:left="172"/>
              <w:rPr>
                <w:sz w:val="19"/>
                <w:szCs w:val="19"/>
              </w:rPr>
            </w:pPr>
            <w:r>
              <w:rPr>
                <w:b/>
                <w:bCs/>
                <w:spacing w:val="-4"/>
                <w:sz w:val="19"/>
                <w:szCs w:val="19"/>
              </w:rPr>
              <w:t>抗-HBe</w:t>
            </w:r>
          </w:p>
        </w:tc>
        <w:tc>
          <w:tcPr>
            <w:tcW w:w="910" w:type="dxa"/>
            <w:tcBorders>
              <w:top w:val="single" w:color="000000" w:sz="4" w:space="0"/>
              <w:bottom w:val="single" w:color="000000" w:sz="4" w:space="0"/>
            </w:tcBorders>
            <w:shd w:val="clear" w:color="auto" w:fill="CACDCE"/>
            <w:vAlign w:val="top"/>
          </w:tcPr>
          <w:p w14:paraId="5B7D57F9">
            <w:pPr>
              <w:pStyle w:val="6"/>
              <w:spacing w:before="92" w:line="251" w:lineRule="auto"/>
              <w:ind w:left="208" w:right="267" w:hanging="129"/>
              <w:rPr>
                <w:sz w:val="19"/>
                <w:szCs w:val="19"/>
              </w:rPr>
            </w:pPr>
            <w:r>
              <w:rPr>
                <w:spacing w:val="-2"/>
                <w:sz w:val="19"/>
                <w:szCs w:val="19"/>
              </w:rPr>
              <w:t>抗-HBc</w:t>
            </w:r>
            <w:r>
              <w:rPr>
                <w:spacing w:val="1"/>
                <w:sz w:val="19"/>
                <w:szCs w:val="19"/>
              </w:rPr>
              <w:t xml:space="preserve"> </w:t>
            </w:r>
            <w:r>
              <w:rPr>
                <w:spacing w:val="-4"/>
                <w:sz w:val="19"/>
                <w:szCs w:val="19"/>
              </w:rPr>
              <w:t>IgM</w:t>
            </w:r>
          </w:p>
        </w:tc>
        <w:tc>
          <w:tcPr>
            <w:tcW w:w="910" w:type="dxa"/>
            <w:tcBorders>
              <w:top w:val="single" w:color="000000" w:sz="4" w:space="0"/>
              <w:bottom w:val="single" w:color="000000" w:sz="4" w:space="0"/>
            </w:tcBorders>
            <w:shd w:val="clear" w:color="auto" w:fill="CCCDCC"/>
            <w:vAlign w:val="top"/>
          </w:tcPr>
          <w:p w14:paraId="4BE4E4BF">
            <w:pPr>
              <w:pStyle w:val="6"/>
              <w:spacing w:before="91" w:line="251" w:lineRule="auto"/>
              <w:ind w:left="138" w:right="227" w:hanging="19"/>
              <w:rPr>
                <w:sz w:val="19"/>
                <w:szCs w:val="19"/>
              </w:rPr>
            </w:pPr>
            <w:r>
              <w:rPr>
                <w:spacing w:val="-2"/>
                <w:sz w:val="19"/>
                <w:szCs w:val="19"/>
              </w:rPr>
              <w:t>抗-HBc</w:t>
            </w:r>
            <w:r>
              <w:rPr>
                <w:spacing w:val="1"/>
                <w:sz w:val="19"/>
                <w:szCs w:val="19"/>
              </w:rPr>
              <w:t xml:space="preserve"> </w:t>
            </w:r>
            <w:r>
              <w:rPr>
                <w:spacing w:val="-4"/>
                <w:sz w:val="19"/>
                <w:szCs w:val="19"/>
              </w:rPr>
              <w:t>IgG</w:t>
            </w:r>
          </w:p>
        </w:tc>
        <w:tc>
          <w:tcPr>
            <w:tcW w:w="566" w:type="dxa"/>
            <w:tcBorders>
              <w:top w:val="single" w:color="000000" w:sz="4" w:space="0"/>
              <w:bottom w:val="single" w:color="000000" w:sz="4" w:space="0"/>
            </w:tcBorders>
            <w:shd w:val="clear" w:color="auto" w:fill="D0D0CF"/>
            <w:vAlign w:val="top"/>
          </w:tcPr>
          <w:p w14:paraId="45B5C1C8">
            <w:pPr>
              <w:pStyle w:val="6"/>
              <w:spacing w:before="142" w:line="182" w:lineRule="auto"/>
              <w:ind w:left="89"/>
              <w:rPr>
                <w:sz w:val="19"/>
                <w:szCs w:val="19"/>
              </w:rPr>
            </w:pPr>
            <w:r>
              <w:rPr>
                <w:spacing w:val="-2"/>
                <w:sz w:val="19"/>
                <w:szCs w:val="19"/>
              </w:rPr>
              <w:t>HBV</w:t>
            </w:r>
          </w:p>
          <w:p w14:paraId="607B6FBE">
            <w:pPr>
              <w:pStyle w:val="6"/>
              <w:spacing w:before="60" w:line="184" w:lineRule="auto"/>
              <w:ind w:left="89"/>
              <w:rPr>
                <w:sz w:val="19"/>
                <w:szCs w:val="19"/>
              </w:rPr>
            </w:pPr>
            <w:r>
              <w:rPr>
                <w:spacing w:val="-1"/>
                <w:sz w:val="19"/>
                <w:szCs w:val="19"/>
              </w:rPr>
              <w:t>DNA</w:t>
            </w:r>
          </w:p>
        </w:tc>
        <w:tc>
          <w:tcPr>
            <w:tcW w:w="3043" w:type="dxa"/>
            <w:gridSpan w:val="2"/>
            <w:tcBorders>
              <w:top w:val="single" w:color="000000" w:sz="4" w:space="0"/>
              <w:bottom w:val="single" w:color="000000" w:sz="4" w:space="0"/>
            </w:tcBorders>
            <w:shd w:val="clear" w:color="auto" w:fill="D0D0CF"/>
            <w:vAlign w:val="top"/>
          </w:tcPr>
          <w:p w14:paraId="3C804A3B">
            <w:pPr>
              <w:pStyle w:val="6"/>
              <w:spacing w:before="233" w:line="220" w:lineRule="auto"/>
              <w:ind w:left="193"/>
              <w:rPr>
                <w:sz w:val="19"/>
                <w:szCs w:val="19"/>
              </w:rPr>
            </w:pPr>
            <w:r>
              <w:rPr>
                <w:spacing w:val="4"/>
                <w:sz w:val="19"/>
                <w:szCs w:val="19"/>
              </w:rPr>
              <w:t>意义</w:t>
            </w:r>
          </w:p>
        </w:tc>
      </w:tr>
      <w:tr w14:paraId="46294261">
        <w:trPr>
          <w:trHeight w:val="315" w:hRule="atLeast"/>
        </w:trPr>
        <w:tc>
          <w:tcPr>
            <w:tcW w:w="850" w:type="dxa"/>
            <w:vMerge w:val="restart"/>
            <w:tcBorders>
              <w:top w:val="single" w:color="000000" w:sz="4" w:space="0"/>
              <w:bottom w:val="nil"/>
            </w:tcBorders>
            <w:vAlign w:val="top"/>
          </w:tcPr>
          <w:p w14:paraId="76ACD844">
            <w:pPr>
              <w:pStyle w:val="6"/>
              <w:spacing w:before="108" w:line="269" w:lineRule="exact"/>
              <w:ind w:left="369"/>
              <w:rPr>
                <w:sz w:val="19"/>
                <w:szCs w:val="19"/>
              </w:rPr>
            </w:pPr>
            <w:r>
              <w:drawing>
                <wp:anchor distT="0" distB="0" distL="0" distR="0" simplePos="0" relativeHeight="251979776" behindDoc="0" locked="0" layoutInCell="1" allowOverlap="1">
                  <wp:simplePos x="0" y="0"/>
                  <wp:positionH relativeFrom="rightMargin">
                    <wp:posOffset>-330200</wp:posOffset>
                  </wp:positionH>
                  <wp:positionV relativeFrom="topMargin">
                    <wp:posOffset>1854200</wp:posOffset>
                  </wp:positionV>
                  <wp:extent cx="114300" cy="12700"/>
                  <wp:effectExtent l="0" t="0" r="0" b="0"/>
                  <wp:wrapNone/>
                  <wp:docPr id="786" name="IM 786"/>
                  <wp:cNvGraphicFramePr/>
                  <a:graphic xmlns:a="http://schemas.openxmlformats.org/drawingml/2006/main">
                    <a:graphicData uri="http://schemas.openxmlformats.org/drawingml/2006/picture">
                      <pic:pic xmlns:pic="http://schemas.openxmlformats.org/drawingml/2006/picture">
                        <pic:nvPicPr>
                          <pic:cNvPr id="786" name="IM 786"/>
                          <pic:cNvPicPr/>
                        </pic:nvPicPr>
                        <pic:blipFill>
                          <a:blip r:embed="rId684"/>
                          <a:stretch>
                            <a:fillRect/>
                          </a:stretch>
                        </pic:blipFill>
                        <pic:spPr>
                          <a:xfrm>
                            <a:off x="0" y="0"/>
                            <a:ext cx="114014" cy="12668"/>
                          </a:xfrm>
                          <a:prstGeom prst="rect">
                            <a:avLst/>
                          </a:prstGeom>
                        </pic:spPr>
                      </pic:pic>
                    </a:graphicData>
                  </a:graphic>
                </wp:anchor>
              </w:drawing>
            </w:r>
            <w:r>
              <w:rPr>
                <w:position w:val="1"/>
                <w:sz w:val="19"/>
                <w:szCs w:val="19"/>
              </w:rPr>
              <w:t>+</w:t>
            </w:r>
          </w:p>
          <w:p w14:paraId="6D0DE716">
            <w:pPr>
              <w:pStyle w:val="6"/>
              <w:spacing w:before="101" w:line="269" w:lineRule="exact"/>
              <w:ind w:left="369"/>
              <w:rPr>
                <w:sz w:val="19"/>
                <w:szCs w:val="19"/>
              </w:rPr>
            </w:pPr>
            <w:r>
              <w:rPr>
                <w:position w:val="1"/>
                <w:sz w:val="19"/>
                <w:szCs w:val="19"/>
              </w:rPr>
              <w:t>+</w:t>
            </w:r>
          </w:p>
          <w:p w14:paraId="10B9C9B2">
            <w:pPr>
              <w:spacing w:line="244" w:lineRule="auto"/>
              <w:rPr>
                <w:rFonts w:ascii="Arial"/>
                <w:sz w:val="21"/>
              </w:rPr>
            </w:pPr>
          </w:p>
          <w:p w14:paraId="1DEAEE10">
            <w:pPr>
              <w:spacing w:line="245" w:lineRule="auto"/>
              <w:rPr>
                <w:rFonts w:ascii="Arial"/>
                <w:sz w:val="21"/>
              </w:rPr>
            </w:pPr>
          </w:p>
          <w:p w14:paraId="56039A4F">
            <w:pPr>
              <w:spacing w:line="245" w:lineRule="auto"/>
              <w:rPr>
                <w:rFonts w:ascii="Arial"/>
                <w:sz w:val="21"/>
              </w:rPr>
            </w:pPr>
          </w:p>
          <w:p w14:paraId="1243B244">
            <w:pPr>
              <w:pStyle w:val="6"/>
              <w:spacing w:before="62" w:line="269" w:lineRule="exact"/>
              <w:ind w:left="369"/>
              <w:rPr>
                <w:sz w:val="19"/>
                <w:szCs w:val="19"/>
              </w:rPr>
            </w:pPr>
            <w:r>
              <w:rPr>
                <w:position w:val="1"/>
                <w:sz w:val="19"/>
                <w:szCs w:val="19"/>
              </w:rPr>
              <w:t>+</w:t>
            </w:r>
          </w:p>
          <w:p w14:paraId="7A7ACFE7">
            <w:pPr>
              <w:pStyle w:val="6"/>
              <w:spacing w:before="121" w:line="269" w:lineRule="exact"/>
              <w:ind w:left="369"/>
              <w:rPr>
                <w:sz w:val="19"/>
                <w:szCs w:val="19"/>
              </w:rPr>
            </w:pPr>
            <w:r>
              <w:rPr>
                <w:position w:val="1"/>
                <w:sz w:val="19"/>
                <w:szCs w:val="19"/>
              </w:rPr>
              <w:t>+</w:t>
            </w:r>
          </w:p>
        </w:tc>
        <w:tc>
          <w:tcPr>
            <w:tcW w:w="860" w:type="dxa"/>
            <w:vMerge w:val="restart"/>
            <w:tcBorders>
              <w:top w:val="single" w:color="000000" w:sz="4" w:space="0"/>
              <w:bottom w:val="nil"/>
            </w:tcBorders>
            <w:vAlign w:val="top"/>
          </w:tcPr>
          <w:p w14:paraId="48B02CC4">
            <w:pPr>
              <w:spacing w:line="401" w:lineRule="auto"/>
              <w:rPr>
                <w:rFonts w:ascii="Arial"/>
                <w:sz w:val="21"/>
              </w:rPr>
            </w:pPr>
          </w:p>
          <w:p w14:paraId="5544742D">
            <w:pPr>
              <w:pStyle w:val="6"/>
              <w:spacing w:before="61" w:line="224" w:lineRule="auto"/>
              <w:ind w:left="280"/>
              <w:rPr>
                <w:sz w:val="19"/>
                <w:szCs w:val="19"/>
              </w:rPr>
            </w:pPr>
            <w:r>
              <w:rPr>
                <w:spacing w:val="-1"/>
                <w:sz w:val="19"/>
                <w:szCs w:val="19"/>
              </w:rPr>
              <w:t>+/-</w:t>
            </w:r>
          </w:p>
        </w:tc>
        <w:tc>
          <w:tcPr>
            <w:tcW w:w="860" w:type="dxa"/>
            <w:vMerge w:val="restart"/>
            <w:tcBorders>
              <w:top w:val="single" w:color="000000" w:sz="4" w:space="0"/>
              <w:bottom w:val="nil"/>
            </w:tcBorders>
            <w:vAlign w:val="top"/>
          </w:tcPr>
          <w:p w14:paraId="0AE94B44">
            <w:pPr>
              <w:spacing w:line="251" w:lineRule="auto"/>
              <w:rPr>
                <w:rFonts w:ascii="Arial"/>
                <w:sz w:val="21"/>
              </w:rPr>
            </w:pPr>
          </w:p>
          <w:p w14:paraId="315FB8E3">
            <w:pPr>
              <w:spacing w:line="252" w:lineRule="auto"/>
              <w:rPr>
                <w:rFonts w:ascii="Arial"/>
                <w:sz w:val="21"/>
              </w:rPr>
            </w:pPr>
          </w:p>
          <w:p w14:paraId="24F0BDD1">
            <w:pPr>
              <w:pStyle w:val="6"/>
              <w:spacing w:before="62" w:line="129" w:lineRule="exact"/>
              <w:ind w:left="379"/>
              <w:rPr>
                <w:sz w:val="19"/>
                <w:szCs w:val="19"/>
              </w:rPr>
            </w:pPr>
            <w:r>
              <w:rPr>
                <w:position w:val="-3"/>
                <w:sz w:val="19"/>
                <w:szCs w:val="19"/>
              </w:rPr>
              <w:t>-</w:t>
            </w:r>
          </w:p>
          <w:p w14:paraId="4AC9DD20">
            <w:pPr>
              <w:pStyle w:val="6"/>
              <w:spacing w:before="298" w:line="224" w:lineRule="auto"/>
              <w:ind w:left="280"/>
              <w:rPr>
                <w:sz w:val="19"/>
                <w:szCs w:val="19"/>
              </w:rPr>
            </w:pPr>
            <w:r>
              <w:rPr>
                <w:spacing w:val="-1"/>
                <w:sz w:val="19"/>
                <w:szCs w:val="19"/>
              </w:rPr>
              <w:t>+/-</w:t>
            </w:r>
          </w:p>
        </w:tc>
        <w:tc>
          <w:tcPr>
            <w:tcW w:w="920" w:type="dxa"/>
            <w:vMerge w:val="restart"/>
            <w:tcBorders>
              <w:top w:val="single" w:color="000000" w:sz="4" w:space="0"/>
              <w:bottom w:val="nil"/>
            </w:tcBorders>
            <w:vAlign w:val="top"/>
          </w:tcPr>
          <w:p w14:paraId="705B837F">
            <w:pPr>
              <w:pStyle w:val="6"/>
              <w:spacing w:before="95" w:line="224" w:lineRule="auto"/>
              <w:ind w:left="310"/>
              <w:rPr>
                <w:sz w:val="19"/>
                <w:szCs w:val="19"/>
              </w:rPr>
            </w:pPr>
            <w:r>
              <w:rPr>
                <w:spacing w:val="-1"/>
                <w:sz w:val="19"/>
                <w:szCs w:val="19"/>
              </w:rPr>
              <w:t>+/-</w:t>
            </w:r>
          </w:p>
          <w:p w14:paraId="3BE36F71">
            <w:pPr>
              <w:pStyle w:val="6"/>
              <w:spacing w:before="139" w:line="224" w:lineRule="auto"/>
              <w:ind w:left="310"/>
              <w:rPr>
                <w:sz w:val="19"/>
                <w:szCs w:val="19"/>
              </w:rPr>
            </w:pPr>
            <w:r>
              <w:rPr>
                <w:spacing w:val="-1"/>
                <w:sz w:val="19"/>
                <w:szCs w:val="19"/>
              </w:rPr>
              <w:t>+/-</w:t>
            </w:r>
          </w:p>
          <w:p w14:paraId="5655F8E0">
            <w:pPr>
              <w:pStyle w:val="6"/>
              <w:spacing w:before="299" w:line="224" w:lineRule="auto"/>
              <w:ind w:left="310"/>
              <w:rPr>
                <w:sz w:val="19"/>
                <w:szCs w:val="19"/>
              </w:rPr>
            </w:pPr>
            <w:r>
              <w:rPr>
                <w:spacing w:val="-1"/>
                <w:sz w:val="19"/>
                <w:szCs w:val="19"/>
              </w:rPr>
              <w:t>+/-</w:t>
            </w:r>
          </w:p>
        </w:tc>
        <w:tc>
          <w:tcPr>
            <w:tcW w:w="910" w:type="dxa"/>
            <w:vMerge w:val="restart"/>
            <w:tcBorders>
              <w:top w:val="single" w:color="000000" w:sz="4" w:space="0"/>
              <w:bottom w:val="nil"/>
            </w:tcBorders>
            <w:vAlign w:val="top"/>
          </w:tcPr>
          <w:p w14:paraId="06F5BF93">
            <w:pPr>
              <w:pStyle w:val="6"/>
              <w:spacing w:before="198" w:line="129" w:lineRule="exact"/>
              <w:ind w:left="399"/>
              <w:rPr>
                <w:sz w:val="19"/>
                <w:szCs w:val="19"/>
              </w:rPr>
            </w:pPr>
            <w:r>
              <w:rPr>
                <w:position w:val="-3"/>
                <w:sz w:val="19"/>
                <w:szCs w:val="19"/>
              </w:rPr>
              <w:t>-</w:t>
            </w:r>
          </w:p>
          <w:p w14:paraId="454EA20B">
            <w:pPr>
              <w:pStyle w:val="6"/>
              <w:spacing w:before="222" w:line="148" w:lineRule="exact"/>
              <w:ind w:left="360"/>
              <w:rPr>
                <w:sz w:val="19"/>
                <w:szCs w:val="19"/>
              </w:rPr>
            </w:pPr>
            <w:r>
              <w:rPr>
                <w:position w:val="-4"/>
                <w:sz w:val="19"/>
                <w:szCs w:val="19"/>
              </w:rPr>
              <w:t>一</w:t>
            </w:r>
          </w:p>
          <w:p w14:paraId="19F8F1D1">
            <w:pPr>
              <w:spacing w:line="337" w:lineRule="auto"/>
              <w:rPr>
                <w:rFonts w:ascii="Arial"/>
                <w:sz w:val="21"/>
              </w:rPr>
            </w:pPr>
          </w:p>
          <w:p w14:paraId="7263E765">
            <w:pPr>
              <w:pStyle w:val="6"/>
              <w:spacing w:before="62" w:line="128" w:lineRule="exact"/>
              <w:ind w:left="399"/>
              <w:rPr>
                <w:sz w:val="19"/>
                <w:szCs w:val="19"/>
              </w:rPr>
            </w:pPr>
            <w:r>
              <w:rPr>
                <w:position w:val="-3"/>
                <w:sz w:val="19"/>
                <w:szCs w:val="19"/>
              </w:rPr>
              <w:t>-</w:t>
            </w:r>
          </w:p>
        </w:tc>
        <w:tc>
          <w:tcPr>
            <w:tcW w:w="910" w:type="dxa"/>
            <w:vMerge w:val="restart"/>
            <w:tcBorders>
              <w:top w:val="single" w:color="000000" w:sz="4" w:space="0"/>
              <w:bottom w:val="nil"/>
            </w:tcBorders>
            <w:vAlign w:val="top"/>
          </w:tcPr>
          <w:p w14:paraId="1445572F">
            <w:pPr>
              <w:pStyle w:val="6"/>
              <w:spacing w:before="198" w:line="129" w:lineRule="exact"/>
              <w:ind w:left="399"/>
              <w:rPr>
                <w:sz w:val="19"/>
                <w:szCs w:val="19"/>
              </w:rPr>
            </w:pPr>
            <w:r>
              <w:drawing>
                <wp:anchor distT="0" distB="0" distL="0" distR="0" simplePos="0" relativeHeight="251978752" behindDoc="0" locked="0" layoutInCell="1" allowOverlap="1">
                  <wp:simplePos x="0" y="0"/>
                  <wp:positionH relativeFrom="rightMargin">
                    <wp:posOffset>-349250</wp:posOffset>
                  </wp:positionH>
                  <wp:positionV relativeFrom="topMargin">
                    <wp:posOffset>349250</wp:posOffset>
                  </wp:positionV>
                  <wp:extent cx="114300" cy="12700"/>
                  <wp:effectExtent l="0" t="0" r="0" b="0"/>
                  <wp:wrapNone/>
                  <wp:docPr id="788" name="IM 788"/>
                  <wp:cNvGraphicFramePr/>
                  <a:graphic xmlns:a="http://schemas.openxmlformats.org/drawingml/2006/main">
                    <a:graphicData uri="http://schemas.openxmlformats.org/drawingml/2006/picture">
                      <pic:pic xmlns:pic="http://schemas.openxmlformats.org/drawingml/2006/picture">
                        <pic:nvPicPr>
                          <pic:cNvPr id="788" name="IM 788"/>
                          <pic:cNvPicPr/>
                        </pic:nvPicPr>
                        <pic:blipFill>
                          <a:blip r:embed="rId685"/>
                          <a:stretch>
                            <a:fillRect/>
                          </a:stretch>
                        </pic:blipFill>
                        <pic:spPr>
                          <a:xfrm>
                            <a:off x="0" y="0"/>
                            <a:ext cx="114014" cy="12668"/>
                          </a:xfrm>
                          <a:prstGeom prst="rect">
                            <a:avLst/>
                          </a:prstGeom>
                        </pic:spPr>
                      </pic:pic>
                    </a:graphicData>
                  </a:graphic>
                </wp:anchor>
              </w:drawing>
            </w:r>
            <w:r>
              <w:rPr>
                <w:position w:val="-3"/>
                <w:sz w:val="19"/>
                <w:szCs w:val="19"/>
              </w:rPr>
              <w:t>-</w:t>
            </w:r>
          </w:p>
          <w:p w14:paraId="2083951E">
            <w:pPr>
              <w:spacing w:line="301" w:lineRule="auto"/>
              <w:rPr>
                <w:rFonts w:ascii="Arial"/>
                <w:sz w:val="21"/>
              </w:rPr>
            </w:pPr>
          </w:p>
          <w:p w14:paraId="2F4383B7">
            <w:pPr>
              <w:spacing w:line="301" w:lineRule="auto"/>
              <w:rPr>
                <w:rFonts w:ascii="Arial"/>
                <w:sz w:val="21"/>
              </w:rPr>
            </w:pPr>
          </w:p>
          <w:p w14:paraId="335EA8FF">
            <w:pPr>
              <w:pStyle w:val="6"/>
              <w:spacing w:before="62" w:line="224" w:lineRule="auto"/>
              <w:ind w:left="310"/>
              <w:rPr>
                <w:sz w:val="19"/>
                <w:szCs w:val="19"/>
              </w:rPr>
            </w:pPr>
            <w:r>
              <w:rPr>
                <w:spacing w:val="-1"/>
                <w:sz w:val="19"/>
                <w:szCs w:val="19"/>
              </w:rPr>
              <w:t>+/-</w:t>
            </w:r>
          </w:p>
        </w:tc>
        <w:tc>
          <w:tcPr>
            <w:tcW w:w="3609" w:type="dxa"/>
            <w:gridSpan w:val="3"/>
            <w:tcBorders>
              <w:top w:val="single" w:color="000000" w:sz="4" w:space="0"/>
            </w:tcBorders>
            <w:vAlign w:val="top"/>
          </w:tcPr>
          <w:p w14:paraId="78F2F664">
            <w:pPr>
              <w:pStyle w:val="6"/>
              <w:spacing w:before="83" w:line="214" w:lineRule="auto"/>
              <w:ind w:left="759"/>
              <w:rPr>
                <w:sz w:val="19"/>
                <w:szCs w:val="19"/>
              </w:rPr>
            </w:pPr>
            <w:r>
              <w:rPr>
                <w:spacing w:val="-1"/>
                <w:sz w:val="19"/>
                <w:szCs w:val="19"/>
              </w:rPr>
              <w:t>HBsAg携带者，现症感染</w:t>
            </w:r>
          </w:p>
        </w:tc>
      </w:tr>
      <w:tr w14:paraId="539D2A40">
        <w:trPr>
          <w:trHeight w:val="482" w:hRule="atLeast"/>
        </w:trPr>
        <w:tc>
          <w:tcPr>
            <w:tcW w:w="850" w:type="dxa"/>
            <w:vMerge w:val="continue"/>
            <w:tcBorders>
              <w:top w:val="nil"/>
              <w:bottom w:val="nil"/>
            </w:tcBorders>
            <w:vAlign w:val="top"/>
          </w:tcPr>
          <w:p w14:paraId="2ADB3F03">
            <w:pPr>
              <w:rPr>
                <w:rFonts w:ascii="Arial"/>
                <w:sz w:val="21"/>
              </w:rPr>
            </w:pPr>
          </w:p>
        </w:tc>
        <w:tc>
          <w:tcPr>
            <w:tcW w:w="860" w:type="dxa"/>
            <w:vMerge w:val="continue"/>
            <w:tcBorders>
              <w:top w:val="nil"/>
              <w:bottom w:val="nil"/>
            </w:tcBorders>
            <w:vAlign w:val="top"/>
          </w:tcPr>
          <w:p w14:paraId="135AB36F">
            <w:pPr>
              <w:rPr>
                <w:rFonts w:ascii="Arial"/>
                <w:sz w:val="21"/>
              </w:rPr>
            </w:pPr>
          </w:p>
        </w:tc>
        <w:tc>
          <w:tcPr>
            <w:tcW w:w="860" w:type="dxa"/>
            <w:vMerge w:val="continue"/>
            <w:tcBorders>
              <w:top w:val="nil"/>
              <w:bottom w:val="nil"/>
            </w:tcBorders>
            <w:vAlign w:val="top"/>
          </w:tcPr>
          <w:p w14:paraId="6A9FC4F1">
            <w:pPr>
              <w:rPr>
                <w:rFonts w:ascii="Arial"/>
                <w:sz w:val="21"/>
              </w:rPr>
            </w:pPr>
          </w:p>
        </w:tc>
        <w:tc>
          <w:tcPr>
            <w:tcW w:w="920" w:type="dxa"/>
            <w:vMerge w:val="continue"/>
            <w:tcBorders>
              <w:top w:val="nil"/>
              <w:bottom w:val="nil"/>
            </w:tcBorders>
            <w:vAlign w:val="top"/>
          </w:tcPr>
          <w:p w14:paraId="11E8AFD6">
            <w:pPr>
              <w:rPr>
                <w:rFonts w:ascii="Arial"/>
                <w:sz w:val="21"/>
              </w:rPr>
            </w:pPr>
          </w:p>
        </w:tc>
        <w:tc>
          <w:tcPr>
            <w:tcW w:w="910" w:type="dxa"/>
            <w:vMerge w:val="continue"/>
            <w:tcBorders>
              <w:top w:val="nil"/>
              <w:bottom w:val="nil"/>
            </w:tcBorders>
            <w:vAlign w:val="top"/>
          </w:tcPr>
          <w:p w14:paraId="17E0CE56">
            <w:pPr>
              <w:rPr>
                <w:rFonts w:ascii="Arial"/>
                <w:sz w:val="21"/>
              </w:rPr>
            </w:pPr>
          </w:p>
        </w:tc>
        <w:tc>
          <w:tcPr>
            <w:tcW w:w="910" w:type="dxa"/>
            <w:vMerge w:val="continue"/>
            <w:tcBorders>
              <w:top w:val="nil"/>
              <w:bottom w:val="nil"/>
            </w:tcBorders>
            <w:vAlign w:val="top"/>
          </w:tcPr>
          <w:p w14:paraId="52E08EE6">
            <w:pPr>
              <w:rPr>
                <w:rFonts w:ascii="Arial"/>
                <w:sz w:val="21"/>
              </w:rPr>
            </w:pPr>
          </w:p>
        </w:tc>
        <w:tc>
          <w:tcPr>
            <w:tcW w:w="3609" w:type="dxa"/>
            <w:gridSpan w:val="3"/>
            <w:vAlign w:val="top"/>
          </w:tcPr>
          <w:p w14:paraId="7B73CE5D">
            <w:pPr>
              <w:pStyle w:val="6"/>
              <w:spacing w:before="47" w:line="380" w:lineRule="exact"/>
              <w:ind w:firstLine="620"/>
            </w:pPr>
            <w:r>
              <w:rPr>
                <w:position w:val="-7"/>
              </w:rPr>
              <w:pict>
                <v:group id="_x0000_s1288" o:spid="_x0000_s1288" o:spt="203" style="height:19pt;width:149.5pt;" coordsize="2990,380">
                  <o:lock v:ext="edit"/>
                  <v:rect id="_x0000_s1289" o:spid="_x0000_s1289" o:spt="1" style="position:absolute;left:119;top:0;height:380;width:2871;" fillcolor="#E6E3E2" filled="t" stroked="f" coordsize="21600,21600">
                    <v:path/>
                    <v:fill on="t" focussize="0,0"/>
                    <v:stroke on="f"/>
                    <v:imagedata o:title=""/>
                    <o:lock v:ext="edit"/>
                  </v:rect>
                  <v:shape id="_x0000_s1290" o:spid="_x0000_s1290" o:spt="202" type="#_x0000_t202" style="position:absolute;left:-20;top:-20;height:420;width:3030;" filled="f" stroked="f" coordsize="21600,21600">
                    <v:path/>
                    <v:fill on="f" focussize="0,0"/>
                    <v:stroke on="f"/>
                    <v:imagedata o:title=""/>
                    <o:lock v:ext="edit" aspectratio="f"/>
                    <v:textbox inset="0mm,0mm,0mm,0mm">
                      <w:txbxContent>
                        <w:p w14:paraId="075F1F0D">
                          <w:pPr>
                            <w:spacing w:before="117" w:line="238" w:lineRule="auto"/>
                            <w:ind w:left="20"/>
                            <w:rPr>
                              <w:rFonts w:ascii="宋体" w:hAnsi="宋体" w:eastAsia="宋体" w:cs="宋体"/>
                              <w:sz w:val="19"/>
                              <w:szCs w:val="19"/>
                            </w:rPr>
                          </w:pPr>
                          <w:r>
                            <w:rPr>
                              <w:rFonts w:ascii="宋体" w:hAnsi="宋体" w:eastAsia="宋体" w:cs="宋体"/>
                              <w:spacing w:val="-2"/>
                              <w:sz w:val="19"/>
                              <w:szCs w:val="19"/>
                            </w:rPr>
                            <w:t>+</w:t>
                          </w:r>
                          <w:r>
                            <w:rPr>
                              <w:rFonts w:ascii="宋体" w:hAnsi="宋体" w:eastAsia="宋体" w:cs="宋体"/>
                              <w:spacing w:val="-42"/>
                              <w:sz w:val="19"/>
                              <w:szCs w:val="19"/>
                            </w:rPr>
                            <w:t xml:space="preserve"> </w:t>
                          </w:r>
                          <w:r>
                            <w:rPr>
                              <w:rFonts w:ascii="宋体" w:hAnsi="宋体" w:eastAsia="宋体" w:cs="宋体"/>
                              <w:spacing w:val="-2"/>
                              <w:sz w:val="19"/>
                              <w:szCs w:val="19"/>
                            </w:rPr>
                            <w:t>慢性HBV携带者</w:t>
                          </w:r>
                        </w:p>
                      </w:txbxContent>
                    </v:textbox>
                  </v:shape>
                  <w10:wrap type="none"/>
                  <w10:anchorlock/>
                </v:group>
              </w:pict>
            </w:r>
          </w:p>
        </w:tc>
      </w:tr>
      <w:tr w14:paraId="7AC99D0B">
        <w:trPr>
          <w:trHeight w:val="620" w:hRule="atLeast"/>
        </w:trPr>
        <w:tc>
          <w:tcPr>
            <w:tcW w:w="850" w:type="dxa"/>
            <w:vMerge w:val="continue"/>
            <w:tcBorders>
              <w:top w:val="nil"/>
              <w:bottom w:val="nil"/>
            </w:tcBorders>
            <w:vAlign w:val="top"/>
          </w:tcPr>
          <w:p w14:paraId="1F0D2536">
            <w:pPr>
              <w:rPr>
                <w:rFonts w:ascii="Arial"/>
                <w:sz w:val="21"/>
              </w:rPr>
            </w:pPr>
          </w:p>
        </w:tc>
        <w:tc>
          <w:tcPr>
            <w:tcW w:w="860" w:type="dxa"/>
            <w:vMerge w:val="continue"/>
            <w:tcBorders>
              <w:top w:val="nil"/>
            </w:tcBorders>
            <w:vAlign w:val="top"/>
          </w:tcPr>
          <w:p w14:paraId="007CABFD">
            <w:pPr>
              <w:rPr>
                <w:rFonts w:ascii="Arial"/>
                <w:sz w:val="21"/>
              </w:rPr>
            </w:pPr>
          </w:p>
        </w:tc>
        <w:tc>
          <w:tcPr>
            <w:tcW w:w="860" w:type="dxa"/>
            <w:vMerge w:val="continue"/>
            <w:tcBorders>
              <w:top w:val="nil"/>
            </w:tcBorders>
            <w:vAlign w:val="top"/>
          </w:tcPr>
          <w:p w14:paraId="72D80E75">
            <w:pPr>
              <w:rPr>
                <w:rFonts w:ascii="Arial"/>
                <w:sz w:val="21"/>
              </w:rPr>
            </w:pPr>
          </w:p>
        </w:tc>
        <w:tc>
          <w:tcPr>
            <w:tcW w:w="920" w:type="dxa"/>
            <w:vMerge w:val="continue"/>
            <w:tcBorders>
              <w:top w:val="nil"/>
            </w:tcBorders>
            <w:vAlign w:val="top"/>
          </w:tcPr>
          <w:p w14:paraId="66952C3A">
            <w:pPr>
              <w:rPr>
                <w:rFonts w:ascii="Arial"/>
                <w:sz w:val="21"/>
              </w:rPr>
            </w:pPr>
          </w:p>
        </w:tc>
        <w:tc>
          <w:tcPr>
            <w:tcW w:w="910" w:type="dxa"/>
            <w:vMerge w:val="continue"/>
            <w:tcBorders>
              <w:top w:val="nil"/>
            </w:tcBorders>
            <w:vAlign w:val="top"/>
          </w:tcPr>
          <w:p w14:paraId="0D8C57CF">
            <w:pPr>
              <w:rPr>
                <w:rFonts w:ascii="Arial"/>
                <w:sz w:val="21"/>
              </w:rPr>
            </w:pPr>
          </w:p>
        </w:tc>
        <w:tc>
          <w:tcPr>
            <w:tcW w:w="910" w:type="dxa"/>
            <w:vMerge w:val="continue"/>
            <w:tcBorders>
              <w:top w:val="nil"/>
            </w:tcBorders>
            <w:vAlign w:val="top"/>
          </w:tcPr>
          <w:p w14:paraId="68345C8E">
            <w:pPr>
              <w:rPr>
                <w:rFonts w:ascii="Arial"/>
                <w:sz w:val="21"/>
              </w:rPr>
            </w:pPr>
          </w:p>
        </w:tc>
        <w:tc>
          <w:tcPr>
            <w:tcW w:w="758" w:type="dxa"/>
            <w:gridSpan w:val="2"/>
            <w:vAlign w:val="top"/>
          </w:tcPr>
          <w:p w14:paraId="20B5C48A">
            <w:pPr>
              <w:pStyle w:val="6"/>
              <w:spacing w:before="211" w:line="269" w:lineRule="exact"/>
              <w:ind w:left="620"/>
              <w:rPr>
                <w:sz w:val="19"/>
                <w:szCs w:val="19"/>
              </w:rPr>
            </w:pPr>
            <w:r>
              <w:rPr>
                <w:position w:val="1"/>
                <w:sz w:val="19"/>
                <w:szCs w:val="19"/>
              </w:rPr>
              <w:t>+</w:t>
            </w:r>
          </w:p>
        </w:tc>
        <w:tc>
          <w:tcPr>
            <w:tcW w:w="2851" w:type="dxa"/>
            <w:vAlign w:val="top"/>
          </w:tcPr>
          <w:p w14:paraId="45F37111">
            <w:pPr>
              <w:pStyle w:val="6"/>
              <w:spacing w:before="63" w:line="263" w:lineRule="auto"/>
              <w:ind w:left="52" w:right="412"/>
              <w:rPr>
                <w:sz w:val="19"/>
                <w:szCs w:val="19"/>
              </w:rPr>
            </w:pPr>
            <w:r>
              <w:rPr>
                <w:spacing w:val="1"/>
                <w:sz w:val="19"/>
                <w:szCs w:val="19"/>
              </w:rPr>
              <w:t>隐匿性</w:t>
            </w:r>
            <w:r>
              <w:rPr>
                <w:sz w:val="19"/>
                <w:szCs w:val="19"/>
              </w:rPr>
              <w:t>HBV</w:t>
            </w:r>
            <w:r>
              <w:rPr>
                <w:spacing w:val="1"/>
                <w:sz w:val="19"/>
                <w:szCs w:val="19"/>
              </w:rPr>
              <w:t>感染者，病毒复制</w:t>
            </w:r>
            <w:r>
              <w:rPr>
                <w:sz w:val="19"/>
                <w:szCs w:val="19"/>
              </w:rPr>
              <w:t xml:space="preserve"> </w:t>
            </w:r>
            <w:r>
              <w:rPr>
                <w:spacing w:val="7"/>
                <w:sz w:val="19"/>
                <w:szCs w:val="19"/>
              </w:rPr>
              <w:t>且具有传染性</w:t>
            </w:r>
          </w:p>
        </w:tc>
      </w:tr>
      <w:tr w14:paraId="11B40150">
        <w:trPr>
          <w:trHeight w:val="441" w:hRule="atLeast"/>
        </w:trPr>
        <w:tc>
          <w:tcPr>
            <w:tcW w:w="850" w:type="dxa"/>
            <w:vMerge w:val="continue"/>
            <w:tcBorders>
              <w:top w:val="nil"/>
              <w:bottom w:val="nil"/>
            </w:tcBorders>
            <w:vAlign w:val="top"/>
          </w:tcPr>
          <w:p w14:paraId="6FE5A318">
            <w:pPr>
              <w:rPr>
                <w:rFonts w:ascii="Arial"/>
                <w:sz w:val="21"/>
              </w:rPr>
            </w:pPr>
          </w:p>
        </w:tc>
        <w:tc>
          <w:tcPr>
            <w:tcW w:w="860" w:type="dxa"/>
            <w:vMerge w:val="restart"/>
            <w:tcBorders>
              <w:bottom w:val="nil"/>
            </w:tcBorders>
            <w:vAlign w:val="top"/>
          </w:tcPr>
          <w:p w14:paraId="0F6AF0CA">
            <w:pPr>
              <w:pStyle w:val="6"/>
              <w:spacing w:before="131" w:line="269" w:lineRule="exact"/>
              <w:ind w:left="379"/>
              <w:rPr>
                <w:sz w:val="19"/>
                <w:szCs w:val="19"/>
              </w:rPr>
            </w:pPr>
            <w:r>
              <w:drawing>
                <wp:anchor distT="0" distB="0" distL="0" distR="0" simplePos="0" relativeHeight="251980800" behindDoc="0" locked="0" layoutInCell="1" allowOverlap="1">
                  <wp:simplePos x="0" y="0"/>
                  <wp:positionH relativeFrom="rightMargin">
                    <wp:posOffset>-335915</wp:posOffset>
                  </wp:positionH>
                  <wp:positionV relativeFrom="topMargin">
                    <wp:posOffset>376555</wp:posOffset>
                  </wp:positionV>
                  <wp:extent cx="114300" cy="12700"/>
                  <wp:effectExtent l="0" t="0" r="0" b="0"/>
                  <wp:wrapNone/>
                  <wp:docPr id="790" name="IM 790"/>
                  <wp:cNvGraphicFramePr/>
                  <a:graphic xmlns:a="http://schemas.openxmlformats.org/drawingml/2006/main">
                    <a:graphicData uri="http://schemas.openxmlformats.org/drawingml/2006/picture">
                      <pic:pic xmlns:pic="http://schemas.openxmlformats.org/drawingml/2006/picture">
                        <pic:nvPicPr>
                          <pic:cNvPr id="790" name="IM 790"/>
                          <pic:cNvPicPr/>
                        </pic:nvPicPr>
                        <pic:blipFill>
                          <a:blip r:embed="rId685"/>
                          <a:stretch>
                            <a:fillRect/>
                          </a:stretch>
                        </pic:blipFill>
                        <pic:spPr>
                          <a:xfrm>
                            <a:off x="0" y="0"/>
                            <a:ext cx="114014" cy="12668"/>
                          </a:xfrm>
                          <a:prstGeom prst="rect">
                            <a:avLst/>
                          </a:prstGeom>
                        </pic:spPr>
                      </pic:pic>
                    </a:graphicData>
                  </a:graphic>
                </wp:anchor>
              </w:drawing>
            </w:r>
            <w:r>
              <w:rPr>
                <w:position w:val="1"/>
                <w:sz w:val="19"/>
                <w:szCs w:val="19"/>
              </w:rPr>
              <w:t>+</w:t>
            </w:r>
          </w:p>
        </w:tc>
        <w:tc>
          <w:tcPr>
            <w:tcW w:w="860" w:type="dxa"/>
            <w:vMerge w:val="restart"/>
            <w:tcBorders>
              <w:bottom w:val="nil"/>
            </w:tcBorders>
            <w:vAlign w:val="top"/>
          </w:tcPr>
          <w:p w14:paraId="0F08B864">
            <w:pPr>
              <w:pStyle w:val="6"/>
              <w:spacing w:before="203" w:line="147" w:lineRule="exact"/>
              <w:ind w:left="330"/>
              <w:rPr>
                <w:sz w:val="19"/>
                <w:szCs w:val="19"/>
              </w:rPr>
            </w:pPr>
            <w:r>
              <w:rPr>
                <w:position w:val="-4"/>
                <w:sz w:val="19"/>
                <w:szCs w:val="19"/>
              </w:rPr>
              <w:t>一</w:t>
            </w:r>
          </w:p>
          <w:p w14:paraId="3D2A30F7">
            <w:pPr>
              <w:pStyle w:val="6"/>
              <w:spacing w:before="242" w:line="148" w:lineRule="exact"/>
              <w:ind w:left="330"/>
              <w:rPr>
                <w:sz w:val="19"/>
                <w:szCs w:val="19"/>
              </w:rPr>
            </w:pPr>
            <w:r>
              <w:rPr>
                <w:position w:val="-4"/>
                <w:sz w:val="19"/>
                <w:szCs w:val="19"/>
              </w:rPr>
              <w:t>一</w:t>
            </w:r>
          </w:p>
        </w:tc>
        <w:tc>
          <w:tcPr>
            <w:tcW w:w="920" w:type="dxa"/>
            <w:vMerge w:val="restart"/>
            <w:tcBorders>
              <w:bottom w:val="nil"/>
            </w:tcBorders>
            <w:vAlign w:val="top"/>
          </w:tcPr>
          <w:p w14:paraId="5F46EE24">
            <w:pPr>
              <w:spacing w:line="457" w:lineRule="auto"/>
              <w:rPr>
                <w:rFonts w:ascii="Arial"/>
                <w:sz w:val="21"/>
              </w:rPr>
            </w:pPr>
          </w:p>
          <w:p w14:paraId="08FDB136">
            <w:pPr>
              <w:pStyle w:val="6"/>
              <w:spacing w:before="62" w:line="252" w:lineRule="exact"/>
              <w:ind w:left="409"/>
              <w:rPr>
                <w:sz w:val="19"/>
                <w:szCs w:val="19"/>
              </w:rPr>
            </w:pPr>
            <w:r>
              <w:rPr>
                <w:position w:val="1"/>
                <w:sz w:val="19"/>
                <w:szCs w:val="19"/>
              </w:rPr>
              <w:t>+</w:t>
            </w:r>
          </w:p>
        </w:tc>
        <w:tc>
          <w:tcPr>
            <w:tcW w:w="910" w:type="dxa"/>
            <w:vMerge w:val="restart"/>
            <w:tcBorders>
              <w:bottom w:val="nil"/>
            </w:tcBorders>
            <w:vAlign w:val="top"/>
          </w:tcPr>
          <w:p w14:paraId="484ECF4F">
            <w:pPr>
              <w:pStyle w:val="6"/>
              <w:spacing w:before="131" w:line="269" w:lineRule="exact"/>
              <w:ind w:left="399"/>
              <w:rPr>
                <w:sz w:val="19"/>
                <w:szCs w:val="19"/>
              </w:rPr>
            </w:pPr>
            <w:r>
              <w:drawing>
                <wp:anchor distT="0" distB="0" distL="0" distR="0" simplePos="0" relativeHeight="251981824" behindDoc="0" locked="0" layoutInCell="1" allowOverlap="1">
                  <wp:simplePos x="0" y="0"/>
                  <wp:positionH relativeFrom="rightMargin">
                    <wp:posOffset>-323850</wp:posOffset>
                  </wp:positionH>
                  <wp:positionV relativeFrom="topMargin">
                    <wp:posOffset>387350</wp:posOffset>
                  </wp:positionV>
                  <wp:extent cx="56515" cy="6350"/>
                  <wp:effectExtent l="0" t="0" r="0" b="0"/>
                  <wp:wrapNone/>
                  <wp:docPr id="792" name="IM 792"/>
                  <wp:cNvGraphicFramePr/>
                  <a:graphic xmlns:a="http://schemas.openxmlformats.org/drawingml/2006/main">
                    <a:graphicData uri="http://schemas.openxmlformats.org/drawingml/2006/picture">
                      <pic:pic xmlns:pic="http://schemas.openxmlformats.org/drawingml/2006/picture">
                        <pic:nvPicPr>
                          <pic:cNvPr id="792" name="IM 792"/>
                          <pic:cNvPicPr/>
                        </pic:nvPicPr>
                        <pic:blipFill>
                          <a:blip r:embed="rId686"/>
                          <a:stretch>
                            <a:fillRect/>
                          </a:stretch>
                        </pic:blipFill>
                        <pic:spPr>
                          <a:xfrm>
                            <a:off x="0" y="0"/>
                            <a:ext cx="56584" cy="6350"/>
                          </a:xfrm>
                          <a:prstGeom prst="rect">
                            <a:avLst/>
                          </a:prstGeom>
                        </pic:spPr>
                      </pic:pic>
                    </a:graphicData>
                  </a:graphic>
                </wp:anchor>
              </w:drawing>
            </w:r>
            <w:r>
              <w:rPr>
                <w:position w:val="1"/>
                <w:sz w:val="19"/>
                <w:szCs w:val="19"/>
              </w:rPr>
              <w:t>+</w:t>
            </w:r>
          </w:p>
        </w:tc>
        <w:tc>
          <w:tcPr>
            <w:tcW w:w="910" w:type="dxa"/>
            <w:vMerge w:val="restart"/>
            <w:tcBorders>
              <w:bottom w:val="nil"/>
            </w:tcBorders>
            <w:vAlign w:val="top"/>
          </w:tcPr>
          <w:p w14:paraId="09624A44">
            <w:pPr>
              <w:pStyle w:val="6"/>
              <w:spacing w:before="131" w:line="241" w:lineRule="auto"/>
              <w:ind w:left="399"/>
              <w:rPr>
                <w:sz w:val="19"/>
                <w:szCs w:val="19"/>
              </w:rPr>
            </w:pPr>
            <w:r>
              <w:rPr>
                <w:sz w:val="19"/>
                <w:szCs w:val="19"/>
              </w:rPr>
              <w:t>1</w:t>
            </w:r>
          </w:p>
          <w:p w14:paraId="0079EAD2">
            <w:pPr>
              <w:pStyle w:val="6"/>
              <w:spacing w:before="142" w:line="252" w:lineRule="exact"/>
              <w:ind w:left="399"/>
              <w:rPr>
                <w:sz w:val="19"/>
                <w:szCs w:val="19"/>
              </w:rPr>
            </w:pPr>
            <w:r>
              <w:rPr>
                <w:position w:val="1"/>
                <w:sz w:val="19"/>
                <w:szCs w:val="19"/>
              </w:rPr>
              <w:t>+</w:t>
            </w:r>
          </w:p>
        </w:tc>
        <w:tc>
          <w:tcPr>
            <w:tcW w:w="3609" w:type="dxa"/>
            <w:gridSpan w:val="3"/>
            <w:vAlign w:val="top"/>
          </w:tcPr>
          <w:p w14:paraId="76795633">
            <w:pPr>
              <w:pStyle w:val="6"/>
              <w:spacing w:before="5" w:line="390" w:lineRule="exact"/>
              <w:ind w:firstLine="530"/>
            </w:pPr>
            <w:r>
              <w:rPr>
                <w:position w:val="-7"/>
              </w:rPr>
              <w:pict>
                <v:group id="_x0000_s1291" o:spid="_x0000_s1291" o:spt="203" style="height:19.55pt;width:154pt;" coordsize="3080,390">
                  <o:lock v:ext="edit"/>
                  <v:rect id="_x0000_s1292" o:spid="_x0000_s1292" o:spt="1" style="position:absolute;left:209;top:0;height:390;width:2871;" fillcolor="#EAEAE4" filled="t" stroked="f" coordsize="21600,21600">
                    <v:path/>
                    <v:fill on="t" focussize="0,0"/>
                    <v:stroke on="f"/>
                    <v:imagedata o:title=""/>
                    <o:lock v:ext="edit"/>
                  </v:rect>
                  <v:shape id="_x0000_s1293" o:spid="_x0000_s1293" o:spt="202" type="#_x0000_t202" style="position:absolute;left:-20;top:-20;height:430;width:3120;" filled="f" stroked="f" coordsize="21600,21600">
                    <v:path/>
                    <v:fill on="f" focussize="0,0"/>
                    <v:stroke on="f"/>
                    <v:imagedata o:title=""/>
                    <o:lock v:ext="edit" aspectratio="f"/>
                    <v:textbox inset="0mm,0mm,0mm,0mm">
                      <w:txbxContent>
                        <w:p w14:paraId="71D5ECCB">
                          <w:pPr>
                            <w:spacing w:before="124" w:line="238" w:lineRule="auto"/>
                            <w:ind w:left="20"/>
                            <w:rPr>
                              <w:rFonts w:ascii="宋体" w:hAnsi="宋体" w:eastAsia="宋体" w:cs="宋体"/>
                              <w:sz w:val="19"/>
                              <w:szCs w:val="19"/>
                            </w:rPr>
                          </w:pPr>
                          <w:r>
                            <w:rPr>
                              <w:rFonts w:ascii="宋体" w:hAnsi="宋体" w:eastAsia="宋体" w:cs="宋体"/>
                              <w:spacing w:val="-2"/>
                              <w:position w:val="-2"/>
                              <w:sz w:val="19"/>
                              <w:szCs w:val="19"/>
                            </w:rPr>
                            <w:t>+</w:t>
                          </w:r>
                          <w:r>
                            <w:rPr>
                              <w:rFonts w:ascii="宋体" w:hAnsi="宋体" w:eastAsia="宋体" w:cs="宋体"/>
                              <w:spacing w:val="33"/>
                              <w:position w:val="-2"/>
                              <w:sz w:val="19"/>
                              <w:szCs w:val="19"/>
                            </w:rPr>
                            <w:t xml:space="preserve">  </w:t>
                          </w:r>
                          <w:r>
                            <w:rPr>
                              <w:rFonts w:ascii="宋体" w:hAnsi="宋体" w:eastAsia="宋体" w:cs="宋体"/>
                              <w:spacing w:val="-2"/>
                              <w:sz w:val="19"/>
                              <w:szCs w:val="19"/>
                            </w:rPr>
                            <w:t>俗称“大三阳”,传染性较强</w:t>
                          </w:r>
                        </w:p>
                      </w:txbxContent>
                    </v:textbox>
                  </v:shape>
                  <w10:wrap type="none"/>
                  <w10:anchorlock/>
                </v:group>
              </w:pict>
            </w:r>
          </w:p>
        </w:tc>
      </w:tr>
      <w:tr w14:paraId="1B213C58">
        <w:trPr>
          <w:trHeight w:val="343" w:hRule="atLeast"/>
        </w:trPr>
        <w:tc>
          <w:tcPr>
            <w:tcW w:w="850" w:type="dxa"/>
            <w:vMerge w:val="continue"/>
            <w:tcBorders>
              <w:top w:val="nil"/>
              <w:bottom w:val="nil"/>
            </w:tcBorders>
            <w:vAlign w:val="top"/>
          </w:tcPr>
          <w:p w14:paraId="179F4291">
            <w:pPr>
              <w:rPr>
                <w:rFonts w:ascii="Arial"/>
                <w:sz w:val="21"/>
              </w:rPr>
            </w:pPr>
          </w:p>
        </w:tc>
        <w:tc>
          <w:tcPr>
            <w:tcW w:w="860" w:type="dxa"/>
            <w:vMerge w:val="continue"/>
            <w:tcBorders>
              <w:top w:val="nil"/>
            </w:tcBorders>
            <w:vAlign w:val="top"/>
          </w:tcPr>
          <w:p w14:paraId="3D005D31">
            <w:pPr>
              <w:rPr>
                <w:rFonts w:ascii="Arial"/>
                <w:sz w:val="21"/>
              </w:rPr>
            </w:pPr>
          </w:p>
        </w:tc>
        <w:tc>
          <w:tcPr>
            <w:tcW w:w="860" w:type="dxa"/>
            <w:vMerge w:val="continue"/>
            <w:tcBorders>
              <w:top w:val="nil"/>
            </w:tcBorders>
            <w:vAlign w:val="top"/>
          </w:tcPr>
          <w:p w14:paraId="0B56EC2D">
            <w:pPr>
              <w:rPr>
                <w:rFonts w:ascii="Arial"/>
                <w:sz w:val="21"/>
              </w:rPr>
            </w:pPr>
          </w:p>
        </w:tc>
        <w:tc>
          <w:tcPr>
            <w:tcW w:w="920" w:type="dxa"/>
            <w:vMerge w:val="continue"/>
            <w:tcBorders>
              <w:top w:val="nil"/>
            </w:tcBorders>
            <w:vAlign w:val="top"/>
          </w:tcPr>
          <w:p w14:paraId="6BD2589E">
            <w:pPr>
              <w:rPr>
                <w:rFonts w:ascii="Arial"/>
                <w:sz w:val="21"/>
              </w:rPr>
            </w:pPr>
          </w:p>
        </w:tc>
        <w:tc>
          <w:tcPr>
            <w:tcW w:w="910" w:type="dxa"/>
            <w:vMerge w:val="continue"/>
            <w:tcBorders>
              <w:top w:val="nil"/>
            </w:tcBorders>
            <w:vAlign w:val="top"/>
          </w:tcPr>
          <w:p w14:paraId="5134CE91">
            <w:pPr>
              <w:rPr>
                <w:rFonts w:ascii="Arial"/>
                <w:sz w:val="21"/>
              </w:rPr>
            </w:pPr>
          </w:p>
        </w:tc>
        <w:tc>
          <w:tcPr>
            <w:tcW w:w="910" w:type="dxa"/>
            <w:vMerge w:val="continue"/>
            <w:tcBorders>
              <w:top w:val="nil"/>
            </w:tcBorders>
            <w:vAlign w:val="top"/>
          </w:tcPr>
          <w:p w14:paraId="6A2D1BBC">
            <w:pPr>
              <w:rPr>
                <w:rFonts w:ascii="Arial"/>
                <w:sz w:val="21"/>
              </w:rPr>
            </w:pPr>
          </w:p>
        </w:tc>
        <w:tc>
          <w:tcPr>
            <w:tcW w:w="3609" w:type="dxa"/>
            <w:gridSpan w:val="3"/>
            <w:vAlign w:val="top"/>
          </w:tcPr>
          <w:p w14:paraId="2E5F6D56">
            <w:pPr>
              <w:pStyle w:val="6"/>
              <w:spacing w:before="59" w:line="216" w:lineRule="auto"/>
              <w:jc w:val="right"/>
              <w:rPr>
                <w:sz w:val="19"/>
                <w:szCs w:val="19"/>
              </w:rPr>
            </w:pPr>
            <w:r>
              <w:rPr>
                <w:spacing w:val="-1"/>
                <w:position w:val="-2"/>
                <w:sz w:val="19"/>
                <w:szCs w:val="19"/>
              </w:rPr>
              <w:t>-</w:t>
            </w:r>
            <w:r>
              <w:rPr>
                <w:spacing w:val="26"/>
                <w:w w:val="101"/>
                <w:position w:val="-2"/>
                <w:sz w:val="19"/>
                <w:szCs w:val="19"/>
              </w:rPr>
              <w:t xml:space="preserve">  </w:t>
            </w:r>
            <w:r>
              <w:rPr>
                <w:spacing w:val="-1"/>
                <w:sz w:val="19"/>
                <w:szCs w:val="19"/>
              </w:rPr>
              <w:t>俗称“小三阳”,传染性相对较弱</w:t>
            </w:r>
          </w:p>
        </w:tc>
      </w:tr>
      <w:tr w14:paraId="6B49755E">
        <w:trPr>
          <w:trHeight w:val="384" w:hRule="atLeast"/>
        </w:trPr>
        <w:tc>
          <w:tcPr>
            <w:tcW w:w="850" w:type="dxa"/>
            <w:vMerge w:val="continue"/>
            <w:tcBorders>
              <w:top w:val="nil"/>
              <w:bottom w:val="nil"/>
            </w:tcBorders>
            <w:vAlign w:val="top"/>
          </w:tcPr>
          <w:p w14:paraId="043CE435">
            <w:pPr>
              <w:rPr>
                <w:rFonts w:ascii="Arial"/>
                <w:sz w:val="21"/>
              </w:rPr>
            </w:pPr>
          </w:p>
        </w:tc>
        <w:tc>
          <w:tcPr>
            <w:tcW w:w="860" w:type="dxa"/>
            <w:vAlign w:val="top"/>
          </w:tcPr>
          <w:p w14:paraId="55C19014">
            <w:pPr>
              <w:pStyle w:val="6"/>
              <w:spacing w:before="199" w:line="147" w:lineRule="exact"/>
              <w:ind w:left="330"/>
              <w:rPr>
                <w:sz w:val="19"/>
                <w:szCs w:val="19"/>
              </w:rPr>
            </w:pPr>
            <w:r>
              <w:rPr>
                <w:position w:val="-4"/>
                <w:sz w:val="19"/>
                <w:szCs w:val="19"/>
              </w:rPr>
              <w:t>一</w:t>
            </w:r>
          </w:p>
        </w:tc>
        <w:tc>
          <w:tcPr>
            <w:tcW w:w="860" w:type="dxa"/>
            <w:vAlign w:val="top"/>
          </w:tcPr>
          <w:p w14:paraId="0B7CBD5D">
            <w:pPr>
              <w:pStyle w:val="6"/>
              <w:spacing w:before="114" w:line="224" w:lineRule="auto"/>
              <w:ind w:left="280"/>
              <w:rPr>
                <w:sz w:val="19"/>
                <w:szCs w:val="19"/>
              </w:rPr>
            </w:pPr>
            <w:r>
              <w:rPr>
                <w:spacing w:val="-1"/>
                <w:sz w:val="19"/>
                <w:szCs w:val="19"/>
              </w:rPr>
              <w:t>+/-</w:t>
            </w:r>
          </w:p>
        </w:tc>
        <w:tc>
          <w:tcPr>
            <w:tcW w:w="920" w:type="dxa"/>
            <w:vAlign w:val="top"/>
          </w:tcPr>
          <w:p w14:paraId="76ABB97F">
            <w:pPr>
              <w:pStyle w:val="6"/>
              <w:spacing w:before="114" w:line="224" w:lineRule="auto"/>
              <w:ind w:left="310"/>
              <w:rPr>
                <w:sz w:val="19"/>
                <w:szCs w:val="19"/>
              </w:rPr>
            </w:pPr>
            <w:r>
              <w:rPr>
                <w:spacing w:val="-1"/>
                <w:sz w:val="19"/>
                <w:szCs w:val="19"/>
              </w:rPr>
              <w:t>+/-</w:t>
            </w:r>
          </w:p>
        </w:tc>
        <w:tc>
          <w:tcPr>
            <w:tcW w:w="910" w:type="dxa"/>
            <w:vAlign w:val="top"/>
          </w:tcPr>
          <w:p w14:paraId="088F0D8D">
            <w:pPr>
              <w:pStyle w:val="6"/>
              <w:spacing w:before="199" w:line="147" w:lineRule="exact"/>
              <w:ind w:left="360"/>
              <w:rPr>
                <w:sz w:val="19"/>
                <w:szCs w:val="19"/>
              </w:rPr>
            </w:pPr>
            <w:r>
              <w:rPr>
                <w:position w:val="-4"/>
                <w:sz w:val="19"/>
                <w:szCs w:val="19"/>
              </w:rPr>
              <w:t>一</w:t>
            </w:r>
          </w:p>
        </w:tc>
        <w:tc>
          <w:tcPr>
            <w:tcW w:w="910" w:type="dxa"/>
            <w:vAlign w:val="top"/>
          </w:tcPr>
          <w:p w14:paraId="6AB94FFA">
            <w:pPr>
              <w:pStyle w:val="6"/>
              <w:spacing w:before="128" w:line="239" w:lineRule="auto"/>
              <w:ind w:left="399"/>
              <w:rPr>
                <w:sz w:val="19"/>
                <w:szCs w:val="19"/>
              </w:rPr>
            </w:pPr>
            <w:r>
              <w:rPr>
                <w:sz w:val="19"/>
                <w:szCs w:val="19"/>
              </w:rPr>
              <w:t>+</w:t>
            </w:r>
          </w:p>
        </w:tc>
        <w:tc>
          <w:tcPr>
            <w:tcW w:w="3609" w:type="dxa"/>
            <w:gridSpan w:val="3"/>
            <w:vAlign w:val="top"/>
          </w:tcPr>
          <w:p w14:paraId="1E3ED6DE">
            <w:pPr>
              <w:pStyle w:val="6"/>
              <w:spacing w:before="108" w:line="219" w:lineRule="auto"/>
              <w:ind w:left="429"/>
              <w:rPr>
                <w:sz w:val="19"/>
                <w:szCs w:val="19"/>
              </w:rPr>
            </w:pPr>
            <w:r>
              <w:rPr>
                <w:spacing w:val="-3"/>
                <w:position w:val="-1"/>
                <w:sz w:val="19"/>
                <w:szCs w:val="19"/>
              </w:rPr>
              <w:t>-</w:t>
            </w:r>
            <w:r>
              <w:rPr>
                <w:spacing w:val="24"/>
                <w:position w:val="-1"/>
                <w:sz w:val="19"/>
                <w:szCs w:val="19"/>
              </w:rPr>
              <w:t xml:space="preserve">   </w:t>
            </w:r>
            <w:r>
              <w:rPr>
                <w:spacing w:val="-3"/>
                <w:sz w:val="19"/>
                <w:szCs w:val="19"/>
              </w:rPr>
              <w:t>既往感染，已恢复</w:t>
            </w:r>
          </w:p>
        </w:tc>
      </w:tr>
      <w:tr w14:paraId="6535D4E4">
        <w:trPr>
          <w:trHeight w:val="662" w:hRule="atLeast"/>
        </w:trPr>
        <w:tc>
          <w:tcPr>
            <w:tcW w:w="850" w:type="dxa"/>
            <w:vMerge w:val="continue"/>
            <w:tcBorders>
              <w:top w:val="nil"/>
              <w:bottom w:val="single" w:color="000000" w:sz="4" w:space="0"/>
            </w:tcBorders>
            <w:vAlign w:val="top"/>
          </w:tcPr>
          <w:p w14:paraId="505D329D">
            <w:pPr>
              <w:rPr>
                <w:rFonts w:ascii="Arial"/>
                <w:sz w:val="21"/>
              </w:rPr>
            </w:pPr>
          </w:p>
        </w:tc>
        <w:tc>
          <w:tcPr>
            <w:tcW w:w="860" w:type="dxa"/>
            <w:tcBorders>
              <w:bottom w:val="single" w:color="000000" w:sz="4" w:space="0"/>
            </w:tcBorders>
            <w:vAlign w:val="top"/>
          </w:tcPr>
          <w:p w14:paraId="4399A0FD">
            <w:pPr>
              <w:spacing w:line="289" w:lineRule="auto"/>
              <w:rPr>
                <w:rFonts w:ascii="Arial"/>
                <w:sz w:val="21"/>
              </w:rPr>
            </w:pPr>
          </w:p>
          <w:p w14:paraId="20537919">
            <w:pPr>
              <w:pStyle w:val="6"/>
              <w:spacing w:before="62" w:line="129" w:lineRule="exact"/>
              <w:ind w:left="379"/>
              <w:rPr>
                <w:sz w:val="19"/>
                <w:szCs w:val="19"/>
              </w:rPr>
            </w:pPr>
            <w:r>
              <w:rPr>
                <w:position w:val="-3"/>
                <w:sz w:val="19"/>
                <w:szCs w:val="19"/>
              </w:rPr>
              <w:t>-</w:t>
            </w:r>
          </w:p>
        </w:tc>
        <w:tc>
          <w:tcPr>
            <w:tcW w:w="860" w:type="dxa"/>
            <w:tcBorders>
              <w:bottom w:val="single" w:color="000000" w:sz="4" w:space="0"/>
            </w:tcBorders>
            <w:vAlign w:val="top"/>
          </w:tcPr>
          <w:p w14:paraId="2ACC2B7F">
            <w:pPr>
              <w:pStyle w:val="6"/>
              <w:spacing w:before="263" w:line="269" w:lineRule="exact"/>
              <w:ind w:left="379"/>
              <w:rPr>
                <w:sz w:val="19"/>
                <w:szCs w:val="19"/>
              </w:rPr>
            </w:pPr>
            <w:r>
              <w:rPr>
                <w:position w:val="1"/>
                <w:sz w:val="19"/>
                <w:szCs w:val="19"/>
              </w:rPr>
              <w:t>+</w:t>
            </w:r>
          </w:p>
        </w:tc>
        <w:tc>
          <w:tcPr>
            <w:tcW w:w="920" w:type="dxa"/>
            <w:tcBorders>
              <w:bottom w:val="single" w:color="000000" w:sz="4" w:space="0"/>
            </w:tcBorders>
            <w:vAlign w:val="top"/>
          </w:tcPr>
          <w:p w14:paraId="33E4D966">
            <w:pPr>
              <w:spacing w:line="289" w:lineRule="auto"/>
              <w:rPr>
                <w:rFonts w:ascii="Arial"/>
                <w:sz w:val="21"/>
              </w:rPr>
            </w:pPr>
          </w:p>
          <w:p w14:paraId="4D9A2091">
            <w:pPr>
              <w:pStyle w:val="6"/>
              <w:spacing w:before="62" w:line="129" w:lineRule="exact"/>
              <w:ind w:left="409"/>
              <w:rPr>
                <w:sz w:val="19"/>
                <w:szCs w:val="19"/>
              </w:rPr>
            </w:pPr>
            <w:r>
              <w:rPr>
                <w:position w:val="-3"/>
                <w:sz w:val="19"/>
                <w:szCs w:val="19"/>
              </w:rPr>
              <w:t>-</w:t>
            </w:r>
          </w:p>
        </w:tc>
        <w:tc>
          <w:tcPr>
            <w:tcW w:w="910" w:type="dxa"/>
            <w:tcBorders>
              <w:bottom w:val="single" w:color="000000" w:sz="4" w:space="0"/>
            </w:tcBorders>
            <w:vAlign w:val="top"/>
          </w:tcPr>
          <w:p w14:paraId="54312ECA">
            <w:pPr>
              <w:spacing w:line="289" w:lineRule="auto"/>
              <w:rPr>
                <w:rFonts w:ascii="Arial"/>
                <w:sz w:val="21"/>
              </w:rPr>
            </w:pPr>
          </w:p>
          <w:p w14:paraId="1DA3AF37">
            <w:pPr>
              <w:pStyle w:val="6"/>
              <w:spacing w:before="62" w:line="129" w:lineRule="exact"/>
              <w:ind w:left="399"/>
              <w:rPr>
                <w:sz w:val="19"/>
                <w:szCs w:val="19"/>
              </w:rPr>
            </w:pPr>
            <w:r>
              <w:rPr>
                <w:position w:val="-3"/>
                <w:sz w:val="19"/>
                <w:szCs w:val="19"/>
              </w:rPr>
              <w:t>-</w:t>
            </w:r>
          </w:p>
        </w:tc>
        <w:tc>
          <w:tcPr>
            <w:tcW w:w="910" w:type="dxa"/>
            <w:tcBorders>
              <w:bottom w:val="single" w:color="000000" w:sz="4" w:space="0"/>
            </w:tcBorders>
            <w:vAlign w:val="top"/>
          </w:tcPr>
          <w:p w14:paraId="68946B5D">
            <w:pPr>
              <w:pStyle w:val="6"/>
              <w:spacing w:before="263" w:line="241" w:lineRule="auto"/>
              <w:ind w:left="399"/>
              <w:rPr>
                <w:sz w:val="19"/>
                <w:szCs w:val="19"/>
              </w:rPr>
            </w:pPr>
            <w:r>
              <w:rPr>
                <w:sz w:val="19"/>
                <w:szCs w:val="19"/>
              </w:rPr>
              <w:t>1</w:t>
            </w:r>
          </w:p>
        </w:tc>
        <w:tc>
          <w:tcPr>
            <w:tcW w:w="566" w:type="dxa"/>
            <w:tcBorders>
              <w:bottom w:val="single" w:color="000000" w:sz="4" w:space="0"/>
            </w:tcBorders>
            <w:vAlign w:val="top"/>
          </w:tcPr>
          <w:p w14:paraId="6052161D">
            <w:pPr>
              <w:spacing w:line="289" w:lineRule="auto"/>
              <w:rPr>
                <w:rFonts w:ascii="Arial"/>
                <w:sz w:val="21"/>
              </w:rPr>
            </w:pPr>
          </w:p>
          <w:p w14:paraId="241A13F5">
            <w:pPr>
              <w:pStyle w:val="6"/>
              <w:spacing w:before="62" w:line="129" w:lineRule="exact"/>
              <w:ind w:left="340"/>
              <w:rPr>
                <w:sz w:val="19"/>
                <w:szCs w:val="19"/>
              </w:rPr>
            </w:pPr>
            <w:r>
              <w:rPr>
                <w:position w:val="-3"/>
                <w:sz w:val="19"/>
                <w:szCs w:val="19"/>
              </w:rPr>
              <w:t>-</w:t>
            </w:r>
          </w:p>
        </w:tc>
        <w:tc>
          <w:tcPr>
            <w:tcW w:w="3043" w:type="dxa"/>
            <w:gridSpan w:val="2"/>
            <w:tcBorders>
              <w:bottom w:val="single" w:color="000000" w:sz="4" w:space="0"/>
            </w:tcBorders>
            <w:vAlign w:val="top"/>
          </w:tcPr>
          <w:p w14:paraId="106406A5">
            <w:pPr>
              <w:pStyle w:val="6"/>
              <w:spacing w:before="104" w:line="264" w:lineRule="auto"/>
              <w:ind w:left="234" w:firstLine="216"/>
              <w:rPr>
                <w:sz w:val="19"/>
                <w:szCs w:val="19"/>
              </w:rPr>
            </w:pPr>
            <w:r>
              <w:rPr>
                <w:spacing w:val="-5"/>
                <w:sz w:val="19"/>
                <w:szCs w:val="19"/>
              </w:rPr>
              <w:t>乙肝恢复期或接种乙肝疫苗后。</w:t>
            </w:r>
            <w:r>
              <w:rPr>
                <w:spacing w:val="1"/>
                <w:sz w:val="19"/>
                <w:szCs w:val="19"/>
              </w:rPr>
              <w:t xml:space="preserve"> </w:t>
            </w:r>
            <w:r>
              <w:rPr>
                <w:spacing w:val="5"/>
                <w:sz w:val="19"/>
                <w:szCs w:val="19"/>
              </w:rPr>
              <w:t>产生保护性抗体</w:t>
            </w:r>
          </w:p>
        </w:tc>
      </w:tr>
    </w:tbl>
    <w:p w14:paraId="6D2B075D">
      <w:pPr>
        <w:spacing w:before="56" w:line="214" w:lineRule="auto"/>
        <w:ind w:left="39"/>
        <w:rPr>
          <w:rFonts w:ascii="宋体" w:hAnsi="宋体" w:eastAsia="宋体" w:cs="宋体"/>
          <w:sz w:val="19"/>
          <w:szCs w:val="19"/>
        </w:rPr>
      </w:pPr>
      <w:r>
        <w:rPr>
          <w:rFonts w:ascii="宋体" w:hAnsi="宋体" w:eastAsia="宋体" w:cs="宋体"/>
          <w:sz w:val="19"/>
          <w:szCs w:val="19"/>
        </w:rPr>
        <w:t>注：*临床上检测抗-HBe,一般不区分IgG</w:t>
      </w:r>
      <w:r>
        <w:rPr>
          <w:rFonts w:ascii="宋体" w:hAnsi="宋体" w:eastAsia="宋体" w:cs="宋体"/>
          <w:spacing w:val="-1"/>
          <w:sz w:val="19"/>
          <w:szCs w:val="19"/>
        </w:rPr>
        <w:t>和IgM。</w:t>
      </w:r>
    </w:p>
    <w:p w14:paraId="0108E37D">
      <w:pPr>
        <w:spacing w:line="267" w:lineRule="auto"/>
        <w:rPr>
          <w:rFonts w:ascii="Arial"/>
          <w:sz w:val="21"/>
        </w:rPr>
      </w:pPr>
    </w:p>
    <w:p w14:paraId="7B6E1BE6">
      <w:pPr>
        <w:spacing w:before="68" w:line="219" w:lineRule="auto"/>
        <w:rPr>
          <w:rFonts w:ascii="宋体" w:hAnsi="宋体" w:eastAsia="宋体" w:cs="宋体"/>
          <w:sz w:val="21"/>
          <w:szCs w:val="21"/>
        </w:rPr>
      </w:pPr>
      <w:r>
        <w:rPr>
          <w:rFonts w:ascii="宋体" w:hAnsi="宋体" w:eastAsia="宋体" w:cs="宋体"/>
          <w:spacing w:val="12"/>
          <w:sz w:val="21"/>
          <w:szCs w:val="21"/>
        </w:rPr>
        <w:t>在20年内出现肝硬化。</w:t>
      </w:r>
    </w:p>
    <w:p w14:paraId="6311BF42">
      <w:pPr>
        <w:spacing w:before="150" w:line="316" w:lineRule="auto"/>
        <w:ind w:right="645" w:firstLine="409"/>
        <w:jc w:val="both"/>
        <w:rPr>
          <w:rFonts w:ascii="宋体" w:hAnsi="宋体" w:eastAsia="宋体" w:cs="宋体"/>
          <w:sz w:val="21"/>
          <w:szCs w:val="21"/>
        </w:rPr>
      </w:pPr>
      <w:r>
        <w:rPr>
          <w:rFonts w:ascii="宋体" w:hAnsi="宋体" w:eastAsia="宋体" w:cs="宋体"/>
          <w:sz w:val="21"/>
          <w:szCs w:val="21"/>
        </w:rPr>
        <w:t>大多数</w:t>
      </w:r>
      <w:r>
        <w:rPr>
          <w:rFonts w:ascii="Times New Roman" w:hAnsi="Times New Roman" w:eastAsia="Times New Roman" w:cs="Times New Roman"/>
          <w:sz w:val="21"/>
          <w:szCs w:val="21"/>
        </w:rPr>
        <w:t xml:space="preserve">HCV </w:t>
      </w:r>
      <w:r>
        <w:rPr>
          <w:rFonts w:ascii="宋体" w:hAnsi="宋体" w:eastAsia="宋体" w:cs="宋体"/>
          <w:sz w:val="21"/>
          <w:szCs w:val="21"/>
        </w:rPr>
        <w:t>感染者在急性期和慢性感染早期症状隐匿，确切的自然</w:t>
      </w:r>
      <w:r>
        <w:rPr>
          <w:rFonts w:ascii="宋体" w:hAnsi="宋体" w:eastAsia="宋体" w:cs="宋体"/>
          <w:spacing w:val="-1"/>
          <w:sz w:val="21"/>
          <w:szCs w:val="21"/>
        </w:rPr>
        <w:t>史难以评估。</w:t>
      </w:r>
      <w:r>
        <w:rPr>
          <w:rFonts w:ascii="Times New Roman" w:hAnsi="Times New Roman" w:eastAsia="Times New Roman" w:cs="Times New Roman"/>
          <w:spacing w:val="-1"/>
          <w:sz w:val="21"/>
          <w:szCs w:val="21"/>
        </w:rPr>
        <w:t>HCV</w:t>
      </w:r>
      <w:r>
        <w:rPr>
          <w:rFonts w:ascii="Times New Roman" w:hAnsi="Times New Roman" w:eastAsia="Times New Roman" w:cs="Times New Roman"/>
          <w:spacing w:val="-12"/>
          <w:sz w:val="21"/>
          <w:szCs w:val="21"/>
        </w:rPr>
        <w:t xml:space="preserve"> </w:t>
      </w:r>
      <w:r>
        <w:rPr>
          <w:rFonts w:ascii="宋体" w:hAnsi="宋体" w:eastAsia="宋体" w:cs="宋体"/>
          <w:spacing w:val="-1"/>
          <w:sz w:val="21"/>
          <w:szCs w:val="21"/>
        </w:rPr>
        <w:t>进入体</w:t>
      </w:r>
      <w:r>
        <w:rPr>
          <w:rFonts w:ascii="宋体" w:hAnsi="宋体" w:eastAsia="宋体" w:cs="宋体"/>
          <w:sz w:val="21"/>
          <w:szCs w:val="21"/>
        </w:rPr>
        <w:t xml:space="preserve"> </w:t>
      </w:r>
      <w:r>
        <w:rPr>
          <w:rFonts w:ascii="宋体" w:hAnsi="宋体" w:eastAsia="宋体" w:cs="宋体"/>
          <w:spacing w:val="1"/>
          <w:sz w:val="21"/>
          <w:szCs w:val="21"/>
        </w:rPr>
        <w:t>内后，首先引起病毒血症，病毒血症间断地出现于整个病程。第1</w:t>
      </w:r>
      <w:r>
        <w:rPr>
          <w:rFonts w:ascii="宋体" w:hAnsi="宋体" w:eastAsia="宋体" w:cs="宋体"/>
          <w:sz w:val="21"/>
          <w:szCs w:val="21"/>
        </w:rPr>
        <w:t>周即可从血液或肝组织中检测出 HCV</w:t>
      </w:r>
      <w:r>
        <w:rPr>
          <w:rFonts w:ascii="宋体" w:hAnsi="宋体" w:eastAsia="宋体" w:cs="宋体"/>
          <w:spacing w:val="17"/>
          <w:sz w:val="21"/>
          <w:szCs w:val="21"/>
        </w:rPr>
        <w:t xml:space="preserve">   </w:t>
      </w:r>
      <w:r>
        <w:rPr>
          <w:rFonts w:ascii="宋体" w:hAnsi="宋体" w:eastAsia="宋体" w:cs="宋体"/>
          <w:sz w:val="21"/>
          <w:szCs w:val="21"/>
        </w:rPr>
        <w:t>RNA</w:t>
      </w:r>
      <w:r>
        <w:rPr>
          <w:rFonts w:ascii="宋体" w:hAnsi="宋体" w:eastAsia="宋体" w:cs="宋体"/>
          <w:spacing w:val="2"/>
          <w:sz w:val="21"/>
          <w:szCs w:val="21"/>
        </w:rPr>
        <w:t>,第2周开始能够检测出抗-</w:t>
      </w:r>
      <w:r>
        <w:rPr>
          <w:rFonts w:ascii="宋体" w:hAnsi="宋体" w:eastAsia="宋体" w:cs="宋体"/>
          <w:sz w:val="21"/>
          <w:szCs w:val="21"/>
        </w:rPr>
        <w:t>HCV</w:t>
      </w:r>
      <w:r>
        <w:rPr>
          <w:rFonts w:ascii="宋体" w:hAnsi="宋体" w:eastAsia="宋体" w:cs="宋体"/>
          <w:spacing w:val="2"/>
          <w:sz w:val="21"/>
          <w:szCs w:val="21"/>
        </w:rPr>
        <w:t>。</w:t>
      </w:r>
    </w:p>
    <w:p w14:paraId="7F64DD75">
      <w:pPr>
        <w:spacing w:before="22" w:line="219" w:lineRule="auto"/>
        <w:ind w:left="409"/>
        <w:rPr>
          <w:rFonts w:ascii="宋体" w:hAnsi="宋体" w:eastAsia="宋体" w:cs="宋体"/>
          <w:sz w:val="21"/>
          <w:szCs w:val="21"/>
        </w:rPr>
      </w:pPr>
      <w:r>
        <w:rPr>
          <w:rFonts w:ascii="宋体" w:hAnsi="宋体" w:eastAsia="宋体" w:cs="宋体"/>
          <w:spacing w:val="5"/>
          <w:sz w:val="21"/>
          <w:szCs w:val="21"/>
        </w:rPr>
        <w:t>2. 实验室检测指标及意义</w:t>
      </w:r>
    </w:p>
    <w:p w14:paraId="2FF1B239">
      <w:pPr>
        <w:spacing w:before="120" w:line="219" w:lineRule="auto"/>
        <w:ind w:left="389"/>
        <w:rPr>
          <w:rFonts w:ascii="宋体" w:hAnsi="宋体" w:eastAsia="宋体" w:cs="宋体"/>
          <w:sz w:val="21"/>
          <w:szCs w:val="21"/>
        </w:rPr>
      </w:pPr>
      <w:r>
        <w:rPr>
          <w:rFonts w:ascii="宋体" w:hAnsi="宋体" w:eastAsia="宋体" w:cs="宋体"/>
          <w:spacing w:val="-3"/>
          <w:sz w:val="21"/>
          <w:szCs w:val="21"/>
        </w:rPr>
        <w:t>(1)HCV</w:t>
      </w:r>
      <w:r>
        <w:rPr>
          <w:rFonts w:ascii="宋体" w:hAnsi="宋体" w:eastAsia="宋体" w:cs="宋体"/>
          <w:spacing w:val="24"/>
          <w:sz w:val="21"/>
          <w:szCs w:val="21"/>
        </w:rPr>
        <w:t xml:space="preserve">    </w:t>
      </w:r>
      <w:r>
        <w:rPr>
          <w:rFonts w:ascii="宋体" w:hAnsi="宋体" w:eastAsia="宋体" w:cs="宋体"/>
          <w:spacing w:val="-3"/>
          <w:sz w:val="21"/>
          <w:szCs w:val="21"/>
        </w:rPr>
        <w:t>RNA:是病毒复制和具有传染性的直接标志。</w:t>
      </w:r>
    </w:p>
    <w:p w14:paraId="7DC910C7">
      <w:pPr>
        <w:spacing w:before="96" w:line="291" w:lineRule="auto"/>
        <w:ind w:right="641" w:firstLine="409"/>
        <w:rPr>
          <w:rFonts w:ascii="宋体" w:hAnsi="宋体" w:eastAsia="宋体" w:cs="宋体"/>
          <w:sz w:val="21"/>
          <w:szCs w:val="21"/>
        </w:rPr>
      </w:pPr>
      <w:r>
        <w:rPr>
          <w:rFonts w:ascii="宋体" w:hAnsi="宋体" w:eastAsia="宋体" w:cs="宋体"/>
          <w:sz w:val="21"/>
          <w:szCs w:val="21"/>
        </w:rPr>
        <w:t>(2)抗</w:t>
      </w:r>
      <w:r>
        <w:rPr>
          <w:rFonts w:ascii="宋体" w:hAnsi="宋体" w:eastAsia="宋体" w:cs="宋体"/>
          <w:spacing w:val="-37"/>
          <w:sz w:val="21"/>
          <w:szCs w:val="21"/>
        </w:rPr>
        <w:t xml:space="preserve"> </w:t>
      </w:r>
      <w:r>
        <w:rPr>
          <w:rFonts w:ascii="宋体" w:hAnsi="宋体" w:eastAsia="宋体" w:cs="宋体"/>
          <w:sz w:val="21"/>
          <w:szCs w:val="21"/>
        </w:rPr>
        <w:t>-</w:t>
      </w:r>
      <w:r>
        <w:rPr>
          <w:rFonts w:ascii="Times New Roman" w:hAnsi="Times New Roman" w:eastAsia="Times New Roman" w:cs="Times New Roman"/>
          <w:sz w:val="21"/>
          <w:szCs w:val="21"/>
        </w:rPr>
        <w:t>HCV IgM</w:t>
      </w:r>
      <w:r>
        <w:rPr>
          <w:rFonts w:ascii="宋体" w:hAnsi="宋体" w:eastAsia="宋体" w:cs="宋体"/>
          <w:sz w:val="21"/>
          <w:szCs w:val="21"/>
        </w:rPr>
        <w:t>和抗-</w:t>
      </w:r>
      <w:r>
        <w:rPr>
          <w:rFonts w:ascii="Times New Roman" w:hAnsi="Times New Roman" w:eastAsia="Times New Roman" w:cs="Times New Roman"/>
          <w:sz w:val="21"/>
          <w:szCs w:val="21"/>
        </w:rPr>
        <w:t>HCV</w:t>
      </w:r>
      <w:r>
        <w:rPr>
          <w:rFonts w:ascii="Times New Roman" w:hAnsi="Times New Roman" w:eastAsia="Times New Roman" w:cs="Times New Roman"/>
          <w:spacing w:val="36"/>
          <w:sz w:val="21"/>
          <w:szCs w:val="21"/>
        </w:rPr>
        <w:t xml:space="preserve"> </w:t>
      </w:r>
      <w:r>
        <w:rPr>
          <w:rFonts w:ascii="Times New Roman" w:hAnsi="Times New Roman" w:eastAsia="Times New Roman" w:cs="Times New Roman"/>
          <w:sz w:val="21"/>
          <w:szCs w:val="21"/>
        </w:rPr>
        <w:t>IgG:</w:t>
      </w:r>
      <w:r>
        <w:rPr>
          <w:rFonts w:ascii="宋体" w:hAnsi="宋体" w:eastAsia="宋体" w:cs="宋体"/>
          <w:sz w:val="21"/>
          <w:szCs w:val="21"/>
        </w:rPr>
        <w:t>抗-</w:t>
      </w:r>
      <w:r>
        <w:rPr>
          <w:rFonts w:ascii="Times New Roman" w:hAnsi="Times New Roman" w:eastAsia="Times New Roman" w:cs="Times New Roman"/>
          <w:sz w:val="21"/>
          <w:szCs w:val="21"/>
        </w:rPr>
        <w:t>HCV</w:t>
      </w:r>
      <w:r>
        <w:rPr>
          <w:rFonts w:ascii="宋体" w:hAnsi="宋体" w:eastAsia="宋体" w:cs="宋体"/>
          <w:sz w:val="21"/>
          <w:szCs w:val="21"/>
        </w:rPr>
        <w:t>非保护性抗体，是</w:t>
      </w:r>
      <w:r>
        <w:rPr>
          <w:rFonts w:ascii="Times New Roman" w:hAnsi="Times New Roman" w:eastAsia="Times New Roman" w:cs="Times New Roman"/>
          <w:sz w:val="21"/>
          <w:szCs w:val="21"/>
        </w:rPr>
        <w:t>HCV</w:t>
      </w:r>
      <w:r>
        <w:rPr>
          <w:rFonts w:ascii="宋体" w:hAnsi="宋体" w:eastAsia="宋体" w:cs="宋体"/>
          <w:sz w:val="21"/>
          <w:szCs w:val="21"/>
        </w:rPr>
        <w:t>感染的标志。抗-</w:t>
      </w:r>
      <w:r>
        <w:rPr>
          <w:rFonts w:ascii="Times New Roman" w:hAnsi="Times New Roman" w:eastAsia="Times New Roman" w:cs="Times New Roman"/>
          <w:sz w:val="21"/>
          <w:szCs w:val="21"/>
        </w:rPr>
        <w:t>HCV IgM</w:t>
      </w:r>
      <w:r>
        <w:rPr>
          <w:rFonts w:ascii="宋体" w:hAnsi="宋体" w:eastAsia="宋体" w:cs="宋体"/>
          <w:sz w:val="21"/>
          <w:szCs w:val="21"/>
        </w:rPr>
        <w:t>在 发病后即可检测到，阳性提示现症HCV</w:t>
      </w:r>
      <w:r>
        <w:rPr>
          <w:rFonts w:ascii="宋体" w:hAnsi="宋体" w:eastAsia="宋体" w:cs="宋体"/>
          <w:spacing w:val="53"/>
          <w:sz w:val="21"/>
          <w:szCs w:val="21"/>
        </w:rPr>
        <w:t xml:space="preserve"> </w:t>
      </w:r>
      <w:r>
        <w:rPr>
          <w:rFonts w:ascii="宋体" w:hAnsi="宋体" w:eastAsia="宋体" w:cs="宋体"/>
          <w:sz w:val="21"/>
          <w:szCs w:val="21"/>
        </w:rPr>
        <w:t>感染，一般持续1～3个</w:t>
      </w:r>
      <w:r>
        <w:rPr>
          <w:rFonts w:ascii="宋体" w:hAnsi="宋体" w:eastAsia="宋体" w:cs="宋体"/>
          <w:spacing w:val="-1"/>
          <w:sz w:val="21"/>
          <w:szCs w:val="21"/>
        </w:rPr>
        <w:t>月；抗-HCV</w:t>
      </w:r>
      <w:r>
        <w:rPr>
          <w:rFonts w:ascii="宋体" w:hAnsi="宋体" w:eastAsia="宋体" w:cs="宋体"/>
          <w:spacing w:val="103"/>
          <w:sz w:val="21"/>
          <w:szCs w:val="21"/>
        </w:rPr>
        <w:t xml:space="preserve"> </w:t>
      </w:r>
      <w:r>
        <w:rPr>
          <w:rFonts w:ascii="宋体" w:hAnsi="宋体" w:eastAsia="宋体" w:cs="宋体"/>
          <w:spacing w:val="-1"/>
          <w:sz w:val="21"/>
          <w:szCs w:val="21"/>
        </w:rPr>
        <w:t>IgG阳性提示现症感染</w:t>
      </w:r>
      <w:r>
        <w:rPr>
          <w:rFonts w:ascii="宋体" w:hAnsi="宋体" w:eastAsia="宋体" w:cs="宋体"/>
          <w:sz w:val="21"/>
          <w:szCs w:val="21"/>
        </w:rPr>
        <w:t xml:space="preserve"> </w:t>
      </w:r>
      <w:r>
        <w:rPr>
          <w:rFonts w:ascii="宋体" w:hAnsi="宋体" w:eastAsia="宋体" w:cs="宋体"/>
          <w:spacing w:val="-2"/>
          <w:sz w:val="21"/>
          <w:szCs w:val="21"/>
        </w:rPr>
        <w:t>或既往感染，对于该抗体阳性者，应进一步检测</w:t>
      </w:r>
      <w:r>
        <w:rPr>
          <w:rFonts w:ascii="Times New Roman" w:hAnsi="Times New Roman" w:eastAsia="Times New Roman" w:cs="Times New Roman"/>
          <w:spacing w:val="-2"/>
          <w:sz w:val="21"/>
          <w:szCs w:val="21"/>
        </w:rPr>
        <w:t>HC</w:t>
      </w:r>
      <w:r>
        <w:rPr>
          <w:rFonts w:ascii="Times New Roman" w:hAnsi="Times New Roman" w:eastAsia="Times New Roman" w:cs="Times New Roman"/>
          <w:spacing w:val="-3"/>
          <w:sz w:val="21"/>
          <w:szCs w:val="21"/>
        </w:rPr>
        <w:t>V</w:t>
      </w:r>
      <w:r>
        <w:rPr>
          <w:rFonts w:ascii="Times New Roman" w:hAnsi="Times New Roman" w:eastAsia="Times New Roman" w:cs="Times New Roman"/>
          <w:spacing w:val="36"/>
          <w:w w:val="101"/>
          <w:sz w:val="21"/>
          <w:szCs w:val="21"/>
        </w:rPr>
        <w:t xml:space="preserve"> </w:t>
      </w:r>
      <w:r>
        <w:rPr>
          <w:rFonts w:ascii="Times New Roman" w:hAnsi="Times New Roman" w:eastAsia="Times New Roman" w:cs="Times New Roman"/>
          <w:spacing w:val="-3"/>
          <w:sz w:val="21"/>
          <w:szCs w:val="21"/>
        </w:rPr>
        <w:t>RNA,</w:t>
      </w:r>
      <w:r>
        <w:rPr>
          <w:rFonts w:ascii="宋体" w:hAnsi="宋体" w:eastAsia="宋体" w:cs="宋体"/>
          <w:spacing w:val="-3"/>
          <w:sz w:val="21"/>
          <w:szCs w:val="21"/>
        </w:rPr>
        <w:t>以确定是否为现症感染。</w:t>
      </w:r>
    </w:p>
    <w:p w14:paraId="18D260A4">
      <w:pPr>
        <w:pStyle w:val="2"/>
        <w:spacing w:before="135" w:line="222" w:lineRule="auto"/>
        <w:ind w:left="409"/>
        <w:rPr>
          <w:sz w:val="25"/>
          <w:szCs w:val="25"/>
        </w:rPr>
      </w:pPr>
      <w:r>
        <w:rPr>
          <w:spacing w:val="-2"/>
          <w:sz w:val="25"/>
          <w:szCs w:val="25"/>
        </w:rPr>
        <w:t>(四)丁型肝炎</w:t>
      </w:r>
    </w:p>
    <w:p w14:paraId="20DCC962">
      <w:pPr>
        <w:pStyle w:val="2"/>
        <w:spacing w:before="88" w:line="293" w:lineRule="auto"/>
        <w:ind w:right="638" w:firstLine="409"/>
        <w:rPr>
          <w:rFonts w:ascii="宋体" w:hAnsi="宋体" w:eastAsia="宋体" w:cs="宋体"/>
          <w:sz w:val="21"/>
          <w:szCs w:val="21"/>
        </w:rPr>
      </w:pPr>
      <w:r>
        <w:rPr>
          <w:rFonts w:ascii="宋体" w:hAnsi="宋体" w:eastAsia="宋体" w:cs="宋体"/>
          <w:spacing w:val="3"/>
          <w:sz w:val="21"/>
          <w:szCs w:val="21"/>
        </w:rPr>
        <w:t xml:space="preserve">1. </w:t>
      </w:r>
      <w:r>
        <w:rPr>
          <w:spacing w:val="3"/>
          <w:sz w:val="21"/>
          <w:szCs w:val="21"/>
        </w:rPr>
        <w:t xml:space="preserve">临床分型和自然史 </w:t>
      </w:r>
      <w:r>
        <w:rPr>
          <w:rFonts w:ascii="宋体" w:hAnsi="宋体" w:eastAsia="宋体" w:cs="宋体"/>
          <w:spacing w:val="3"/>
          <w:sz w:val="21"/>
          <w:szCs w:val="21"/>
        </w:rPr>
        <w:t>在各类病毒性肝炎中，丁肝的预后</w:t>
      </w:r>
      <w:r>
        <w:rPr>
          <w:rFonts w:ascii="宋体" w:hAnsi="宋体" w:eastAsia="宋体" w:cs="宋体"/>
          <w:spacing w:val="2"/>
          <w:sz w:val="21"/>
          <w:szCs w:val="21"/>
        </w:rPr>
        <w:t>最差，更易转化为肝硬化等不良结</w:t>
      </w:r>
      <w:r>
        <w:rPr>
          <w:rFonts w:ascii="宋体" w:hAnsi="宋体" w:eastAsia="宋体" w:cs="宋体"/>
          <w:sz w:val="21"/>
          <w:szCs w:val="21"/>
        </w:rPr>
        <w:t xml:space="preserve"> </w:t>
      </w:r>
      <w:r>
        <w:rPr>
          <w:rFonts w:ascii="宋体" w:hAnsi="宋体" w:eastAsia="宋体" w:cs="宋体"/>
          <w:spacing w:val="2"/>
          <w:sz w:val="21"/>
          <w:szCs w:val="21"/>
        </w:rPr>
        <w:t>局。丁肝的临床特征与乙肝基本相同，但病情比乙肝更为严重。</w:t>
      </w:r>
      <w:r>
        <w:rPr>
          <w:rFonts w:ascii="宋体" w:hAnsi="宋体" w:eastAsia="宋体" w:cs="宋体"/>
          <w:spacing w:val="-32"/>
          <w:sz w:val="21"/>
          <w:szCs w:val="21"/>
        </w:rPr>
        <w:t xml:space="preserve"> </w:t>
      </w:r>
      <w:r>
        <w:rPr>
          <w:rFonts w:ascii="Times New Roman" w:hAnsi="Times New Roman" w:eastAsia="Times New Roman" w:cs="Times New Roman"/>
          <w:sz w:val="21"/>
          <w:szCs w:val="21"/>
        </w:rPr>
        <w:t>HDV</w:t>
      </w:r>
      <w:r>
        <w:rPr>
          <w:rFonts w:ascii="Times New Roman" w:hAnsi="Times New Roman" w:eastAsia="Times New Roman" w:cs="Times New Roman"/>
          <w:spacing w:val="2"/>
          <w:sz w:val="21"/>
          <w:szCs w:val="21"/>
        </w:rPr>
        <w:t xml:space="preserve"> </w:t>
      </w:r>
      <w:r>
        <w:rPr>
          <w:rFonts w:ascii="宋体" w:hAnsi="宋体" w:eastAsia="宋体" w:cs="宋体"/>
          <w:spacing w:val="2"/>
          <w:sz w:val="21"/>
          <w:szCs w:val="21"/>
        </w:rPr>
        <w:t>感染表现为</w:t>
      </w:r>
      <w:r>
        <w:rPr>
          <w:rFonts w:ascii="Times New Roman" w:hAnsi="Times New Roman" w:eastAsia="Times New Roman" w:cs="Times New Roman"/>
          <w:sz w:val="21"/>
          <w:szCs w:val="21"/>
        </w:rPr>
        <w:t>HBV</w:t>
      </w:r>
      <w:r>
        <w:rPr>
          <w:rFonts w:ascii="Times New Roman" w:hAnsi="Times New Roman" w:eastAsia="Times New Roman" w:cs="Times New Roman"/>
          <w:spacing w:val="2"/>
          <w:sz w:val="21"/>
          <w:szCs w:val="21"/>
        </w:rPr>
        <w:t>/</w:t>
      </w:r>
      <w:r>
        <w:rPr>
          <w:rFonts w:ascii="Times New Roman" w:hAnsi="Times New Roman" w:eastAsia="Times New Roman" w:cs="Times New Roman"/>
          <w:sz w:val="21"/>
          <w:szCs w:val="21"/>
        </w:rPr>
        <w:t>HDV</w:t>
      </w:r>
      <w:r>
        <w:rPr>
          <w:rFonts w:ascii="宋体" w:hAnsi="宋体" w:eastAsia="宋体" w:cs="宋体"/>
          <w:spacing w:val="2"/>
          <w:sz w:val="21"/>
          <w:szCs w:val="21"/>
        </w:rPr>
        <w:t>同时</w:t>
      </w:r>
      <w:r>
        <w:rPr>
          <w:rFonts w:ascii="宋体" w:hAnsi="宋体" w:eastAsia="宋体" w:cs="宋体"/>
          <w:sz w:val="21"/>
          <w:szCs w:val="21"/>
        </w:rPr>
        <w:t xml:space="preserve"> </w:t>
      </w:r>
      <w:r>
        <w:rPr>
          <w:rFonts w:ascii="宋体" w:hAnsi="宋体" w:eastAsia="宋体" w:cs="宋体"/>
          <w:spacing w:val="3"/>
          <w:sz w:val="21"/>
          <w:szCs w:val="21"/>
        </w:rPr>
        <w:t>感染</w:t>
      </w:r>
      <w:r>
        <w:rPr>
          <w:rFonts w:ascii="Times New Roman" w:hAnsi="Times New Roman" w:eastAsia="Times New Roman" w:cs="Times New Roman"/>
          <w:spacing w:val="3"/>
          <w:sz w:val="21"/>
          <w:szCs w:val="21"/>
        </w:rPr>
        <w:t>(</w:t>
      </w:r>
      <w:r>
        <w:rPr>
          <w:rFonts w:ascii="Times New Roman" w:hAnsi="Times New Roman" w:eastAsia="Times New Roman" w:cs="Times New Roman"/>
          <w:sz w:val="21"/>
          <w:szCs w:val="21"/>
        </w:rPr>
        <w:t>coinfection</w:t>
      </w:r>
      <w:r>
        <w:rPr>
          <w:rFonts w:ascii="Times New Roman" w:hAnsi="Times New Roman" w:eastAsia="Times New Roman" w:cs="Times New Roman"/>
          <w:spacing w:val="3"/>
          <w:sz w:val="21"/>
          <w:szCs w:val="21"/>
        </w:rPr>
        <w:t>)</w:t>
      </w:r>
      <w:r>
        <w:rPr>
          <w:rFonts w:ascii="Times New Roman" w:hAnsi="Times New Roman" w:eastAsia="Times New Roman" w:cs="Times New Roman"/>
          <w:spacing w:val="27"/>
          <w:sz w:val="21"/>
          <w:szCs w:val="21"/>
        </w:rPr>
        <w:t xml:space="preserve">  </w:t>
      </w:r>
      <w:r>
        <w:rPr>
          <w:rFonts w:ascii="宋体" w:hAnsi="宋体" w:eastAsia="宋体" w:cs="宋体"/>
          <w:spacing w:val="3"/>
          <w:sz w:val="21"/>
          <w:szCs w:val="21"/>
        </w:rPr>
        <w:t>和重叠感染</w:t>
      </w:r>
      <w:r>
        <w:rPr>
          <w:rFonts w:ascii="Times New Roman" w:hAnsi="Times New Roman" w:eastAsia="Times New Roman" w:cs="Times New Roman"/>
          <w:spacing w:val="3"/>
          <w:sz w:val="21"/>
          <w:szCs w:val="21"/>
        </w:rPr>
        <w:t>(</w:t>
      </w:r>
      <w:r>
        <w:rPr>
          <w:rFonts w:ascii="Times New Roman" w:hAnsi="Times New Roman" w:eastAsia="Times New Roman" w:cs="Times New Roman"/>
          <w:sz w:val="21"/>
          <w:szCs w:val="21"/>
        </w:rPr>
        <w:t>superinfection</w:t>
      </w:r>
      <w:r>
        <w:rPr>
          <w:rFonts w:ascii="Times New Roman" w:hAnsi="Times New Roman" w:eastAsia="Times New Roman" w:cs="Times New Roman"/>
          <w:spacing w:val="3"/>
          <w:sz w:val="21"/>
          <w:szCs w:val="21"/>
        </w:rPr>
        <w:t xml:space="preserve">)  </w:t>
      </w:r>
      <w:r>
        <w:rPr>
          <w:rFonts w:ascii="宋体" w:hAnsi="宋体" w:eastAsia="宋体" w:cs="宋体"/>
          <w:spacing w:val="3"/>
          <w:sz w:val="21"/>
          <w:szCs w:val="21"/>
        </w:rPr>
        <w:t>两种类型。同时感染指从未感染过</w:t>
      </w:r>
      <w:r>
        <w:rPr>
          <w:rFonts w:ascii="Times New Roman" w:hAnsi="Times New Roman" w:eastAsia="Times New Roman" w:cs="Times New Roman"/>
          <w:sz w:val="21"/>
          <w:szCs w:val="21"/>
        </w:rPr>
        <w:t>HBV</w:t>
      </w:r>
      <w:r>
        <w:rPr>
          <w:rFonts w:ascii="Times New Roman" w:hAnsi="Times New Roman" w:eastAsia="Times New Roman" w:cs="Times New Roman"/>
          <w:spacing w:val="3"/>
          <w:sz w:val="21"/>
          <w:szCs w:val="21"/>
        </w:rPr>
        <w:t xml:space="preserve"> </w:t>
      </w:r>
      <w:r>
        <w:rPr>
          <w:rFonts w:ascii="宋体" w:hAnsi="宋体" w:eastAsia="宋体" w:cs="宋体"/>
          <w:spacing w:val="3"/>
          <w:sz w:val="21"/>
          <w:szCs w:val="21"/>
        </w:rPr>
        <w:t>的人同时发</w:t>
      </w:r>
      <w:r>
        <w:rPr>
          <w:rFonts w:ascii="宋体" w:hAnsi="宋体" w:eastAsia="宋体" w:cs="宋体"/>
          <w:sz w:val="21"/>
          <w:szCs w:val="21"/>
        </w:rPr>
        <w:t xml:space="preserve"> </w:t>
      </w:r>
      <w:r>
        <w:rPr>
          <w:rFonts w:ascii="宋体" w:hAnsi="宋体" w:eastAsia="宋体" w:cs="宋体"/>
          <w:spacing w:val="-4"/>
          <w:sz w:val="21"/>
          <w:szCs w:val="21"/>
        </w:rPr>
        <w:t>生</w:t>
      </w:r>
      <w:r>
        <w:rPr>
          <w:rFonts w:ascii="宋体" w:hAnsi="宋体" w:eastAsia="宋体" w:cs="宋体"/>
          <w:spacing w:val="-41"/>
          <w:sz w:val="21"/>
          <w:szCs w:val="21"/>
        </w:rPr>
        <w:t xml:space="preserve"> </w:t>
      </w:r>
      <w:r>
        <w:rPr>
          <w:rFonts w:ascii="宋体" w:hAnsi="宋体" w:eastAsia="宋体" w:cs="宋体"/>
          <w:spacing w:val="-4"/>
          <w:sz w:val="21"/>
          <w:szCs w:val="21"/>
        </w:rPr>
        <w:t>HBV</w:t>
      </w:r>
      <w:r>
        <w:rPr>
          <w:rFonts w:ascii="宋体" w:hAnsi="宋体" w:eastAsia="宋体" w:cs="宋体"/>
          <w:spacing w:val="83"/>
          <w:sz w:val="21"/>
          <w:szCs w:val="21"/>
        </w:rPr>
        <w:t xml:space="preserve"> </w:t>
      </w:r>
      <w:r>
        <w:rPr>
          <w:rFonts w:ascii="宋体" w:hAnsi="宋体" w:eastAsia="宋体" w:cs="宋体"/>
          <w:spacing w:val="-4"/>
          <w:sz w:val="21"/>
          <w:szCs w:val="21"/>
        </w:rPr>
        <w:t>和</w:t>
      </w:r>
      <w:r>
        <w:rPr>
          <w:rFonts w:ascii="宋体" w:hAnsi="宋体" w:eastAsia="宋体" w:cs="宋体"/>
          <w:spacing w:val="-36"/>
          <w:sz w:val="21"/>
          <w:szCs w:val="21"/>
        </w:rPr>
        <w:t xml:space="preserve"> </w:t>
      </w:r>
      <w:r>
        <w:rPr>
          <w:rFonts w:ascii="宋体" w:hAnsi="宋体" w:eastAsia="宋体" w:cs="宋体"/>
          <w:spacing w:val="-4"/>
          <w:sz w:val="21"/>
          <w:szCs w:val="21"/>
        </w:rPr>
        <w:t>HDV  的感染，多呈自限性发病过程，表现为一般的急性肝炎临床表现；重叠感染指在慢</w:t>
      </w:r>
      <w:r>
        <w:rPr>
          <w:rFonts w:ascii="宋体" w:hAnsi="宋体" w:eastAsia="宋体" w:cs="宋体"/>
          <w:sz w:val="21"/>
          <w:szCs w:val="21"/>
        </w:rPr>
        <w:t xml:space="preserve"> 性</w:t>
      </w:r>
      <w:r>
        <w:rPr>
          <w:rFonts w:ascii="Times New Roman" w:hAnsi="Times New Roman" w:eastAsia="Times New Roman" w:cs="Times New Roman"/>
          <w:sz w:val="21"/>
          <w:szCs w:val="21"/>
        </w:rPr>
        <w:t xml:space="preserve">HBV </w:t>
      </w:r>
      <w:r>
        <w:rPr>
          <w:rFonts w:ascii="宋体" w:hAnsi="宋体" w:eastAsia="宋体" w:cs="宋体"/>
          <w:sz w:val="21"/>
          <w:szCs w:val="21"/>
        </w:rPr>
        <w:t>感染的基础上再感染</w:t>
      </w:r>
      <w:r>
        <w:rPr>
          <w:rFonts w:ascii="Times New Roman" w:hAnsi="Times New Roman" w:eastAsia="Times New Roman" w:cs="Times New Roman"/>
          <w:sz w:val="21"/>
          <w:szCs w:val="21"/>
        </w:rPr>
        <w:t xml:space="preserve">HDV, </w:t>
      </w:r>
      <w:r>
        <w:rPr>
          <w:rFonts w:ascii="宋体" w:hAnsi="宋体" w:eastAsia="宋体" w:cs="宋体"/>
          <w:sz w:val="21"/>
          <w:szCs w:val="21"/>
        </w:rPr>
        <w:t>常使病人肝脏产生明显病变，且</w:t>
      </w:r>
      <w:r>
        <w:rPr>
          <w:rFonts w:ascii="宋体" w:hAnsi="宋体" w:eastAsia="宋体" w:cs="宋体"/>
          <w:spacing w:val="-1"/>
          <w:sz w:val="21"/>
          <w:szCs w:val="21"/>
        </w:rPr>
        <w:t>易发展为慢性丁肝。</w:t>
      </w:r>
    </w:p>
    <w:p w14:paraId="5D91618F">
      <w:pPr>
        <w:spacing w:before="183" w:line="219" w:lineRule="auto"/>
        <w:ind w:left="409"/>
        <w:rPr>
          <w:rFonts w:ascii="宋体" w:hAnsi="宋体" w:eastAsia="宋体" w:cs="宋体"/>
          <w:sz w:val="21"/>
          <w:szCs w:val="21"/>
        </w:rPr>
      </w:pPr>
      <w:r>
        <w:rPr>
          <w:rFonts w:ascii="宋体" w:hAnsi="宋体" w:eastAsia="宋体" w:cs="宋体"/>
          <w:spacing w:val="3"/>
          <w:sz w:val="21"/>
          <w:szCs w:val="21"/>
        </w:rPr>
        <w:t>2. 实验室检测指标及意义</w:t>
      </w:r>
    </w:p>
    <w:p w14:paraId="377D6BE2">
      <w:pPr>
        <w:spacing w:before="111" w:line="259" w:lineRule="auto"/>
        <w:ind w:right="682" w:firstLine="409"/>
        <w:rPr>
          <w:rFonts w:ascii="宋体" w:hAnsi="宋体" w:eastAsia="宋体" w:cs="宋体"/>
          <w:sz w:val="21"/>
          <w:szCs w:val="21"/>
        </w:rPr>
      </w:pPr>
      <w:r>
        <w:rPr>
          <w:rFonts w:ascii="宋体" w:hAnsi="宋体" w:eastAsia="宋体" w:cs="宋体"/>
          <w:sz w:val="21"/>
          <w:szCs w:val="21"/>
        </w:rPr>
        <w:t>(1)HDV    RNA:是病毒复制和具有传染性的直接标志。病人血清或肝组织中检出HDV   RNA是</w:t>
      </w:r>
      <w:r>
        <w:rPr>
          <w:rFonts w:ascii="宋体" w:hAnsi="宋体" w:eastAsia="宋体" w:cs="宋体"/>
          <w:spacing w:val="2"/>
          <w:sz w:val="21"/>
          <w:szCs w:val="21"/>
        </w:rPr>
        <w:t xml:space="preserve"> </w:t>
      </w:r>
      <w:r>
        <w:rPr>
          <w:rFonts w:ascii="宋体" w:hAnsi="宋体" w:eastAsia="宋体" w:cs="宋体"/>
          <w:spacing w:val="8"/>
          <w:sz w:val="21"/>
          <w:szCs w:val="21"/>
        </w:rPr>
        <w:t>诊断</w:t>
      </w:r>
      <w:r>
        <w:rPr>
          <w:rFonts w:ascii="Times New Roman" w:hAnsi="Times New Roman" w:eastAsia="Times New Roman" w:cs="Times New Roman"/>
          <w:sz w:val="21"/>
          <w:szCs w:val="21"/>
        </w:rPr>
        <w:t>HDV</w:t>
      </w:r>
      <w:r>
        <w:rPr>
          <w:rFonts w:ascii="宋体" w:hAnsi="宋体" w:eastAsia="宋体" w:cs="宋体"/>
          <w:spacing w:val="8"/>
          <w:sz w:val="21"/>
          <w:szCs w:val="21"/>
        </w:rPr>
        <w:t>感染的可靠方法。</w:t>
      </w:r>
    </w:p>
    <w:p w14:paraId="17CED7E4">
      <w:pPr>
        <w:spacing w:before="105" w:line="291" w:lineRule="auto"/>
        <w:ind w:right="639" w:firstLine="409"/>
        <w:rPr>
          <w:rFonts w:ascii="宋体" w:hAnsi="宋体" w:eastAsia="宋体" w:cs="宋体"/>
          <w:sz w:val="21"/>
          <w:szCs w:val="21"/>
        </w:rPr>
      </w:pPr>
      <w:r>
        <w:rPr>
          <w:rFonts w:ascii="宋体" w:hAnsi="宋体" w:eastAsia="宋体" w:cs="宋体"/>
          <w:sz w:val="21"/>
          <w:szCs w:val="21"/>
        </w:rPr>
        <w:t>(2)抗</w:t>
      </w:r>
      <w:r>
        <w:rPr>
          <w:rFonts w:ascii="宋体" w:hAnsi="宋体" w:eastAsia="宋体" w:cs="宋体"/>
          <w:spacing w:val="-40"/>
          <w:sz w:val="21"/>
          <w:szCs w:val="21"/>
        </w:rPr>
        <w:t xml:space="preserve"> </w:t>
      </w:r>
      <w:r>
        <w:rPr>
          <w:rFonts w:ascii="宋体" w:hAnsi="宋体" w:eastAsia="宋体" w:cs="宋体"/>
          <w:sz w:val="21"/>
          <w:szCs w:val="21"/>
        </w:rPr>
        <w:t>-</w:t>
      </w:r>
      <w:r>
        <w:rPr>
          <w:rFonts w:ascii="Times New Roman" w:hAnsi="Times New Roman" w:eastAsia="Times New Roman" w:cs="Times New Roman"/>
          <w:sz w:val="21"/>
          <w:szCs w:val="21"/>
        </w:rPr>
        <w:t>HDV IgM</w:t>
      </w:r>
      <w:r>
        <w:rPr>
          <w:rFonts w:ascii="宋体" w:hAnsi="宋体" w:eastAsia="宋体" w:cs="宋体"/>
          <w:sz w:val="21"/>
          <w:szCs w:val="21"/>
        </w:rPr>
        <w:t>和抗-</w:t>
      </w:r>
      <w:r>
        <w:rPr>
          <w:rFonts w:ascii="Times New Roman" w:hAnsi="Times New Roman" w:eastAsia="Times New Roman" w:cs="Times New Roman"/>
          <w:sz w:val="21"/>
          <w:szCs w:val="21"/>
        </w:rPr>
        <w:t>HDV</w:t>
      </w:r>
      <w:r>
        <w:rPr>
          <w:rFonts w:ascii="Times New Roman" w:hAnsi="Times New Roman" w:eastAsia="Times New Roman" w:cs="Times New Roman"/>
          <w:spacing w:val="44"/>
          <w:w w:val="101"/>
          <w:sz w:val="21"/>
          <w:szCs w:val="21"/>
        </w:rPr>
        <w:t xml:space="preserve"> </w:t>
      </w:r>
      <w:r>
        <w:rPr>
          <w:rFonts w:ascii="Times New Roman" w:hAnsi="Times New Roman" w:eastAsia="Times New Roman" w:cs="Times New Roman"/>
          <w:sz w:val="21"/>
          <w:szCs w:val="21"/>
        </w:rPr>
        <w:t>IgG:</w:t>
      </w:r>
      <w:r>
        <w:rPr>
          <w:rFonts w:ascii="宋体" w:hAnsi="宋体" w:eastAsia="宋体" w:cs="宋体"/>
          <w:sz w:val="21"/>
          <w:szCs w:val="21"/>
        </w:rPr>
        <w:t>抗-</w:t>
      </w:r>
      <w:r>
        <w:rPr>
          <w:rFonts w:ascii="Times New Roman" w:hAnsi="Times New Roman" w:eastAsia="Times New Roman" w:cs="Times New Roman"/>
          <w:sz w:val="21"/>
          <w:szCs w:val="21"/>
        </w:rPr>
        <w:t>HDV</w:t>
      </w:r>
      <w:r>
        <w:rPr>
          <w:rFonts w:ascii="宋体" w:hAnsi="宋体" w:eastAsia="宋体" w:cs="宋体"/>
          <w:sz w:val="21"/>
          <w:szCs w:val="21"/>
        </w:rPr>
        <w:t>非保护性抗体。抗-</w:t>
      </w:r>
      <w:r>
        <w:rPr>
          <w:rFonts w:ascii="Times New Roman" w:hAnsi="Times New Roman" w:eastAsia="Times New Roman" w:cs="Times New Roman"/>
          <w:sz w:val="21"/>
          <w:szCs w:val="21"/>
        </w:rPr>
        <w:t>HDV IgM</w:t>
      </w:r>
      <w:r>
        <w:rPr>
          <w:rFonts w:ascii="宋体" w:hAnsi="宋体" w:eastAsia="宋体" w:cs="宋体"/>
          <w:sz w:val="21"/>
          <w:szCs w:val="21"/>
        </w:rPr>
        <w:t xml:space="preserve">是现症感染的标志，在 </w:t>
      </w:r>
      <w:r>
        <w:rPr>
          <w:rFonts w:ascii="宋体" w:hAnsi="宋体" w:eastAsia="宋体" w:cs="宋体"/>
          <w:spacing w:val="-1"/>
          <w:sz w:val="21"/>
          <w:szCs w:val="21"/>
        </w:rPr>
        <w:t>感染后2周出现，4～5周达高峰，随之迅速下</w:t>
      </w:r>
      <w:r>
        <w:rPr>
          <w:rFonts w:ascii="宋体" w:hAnsi="宋体" w:eastAsia="宋体" w:cs="宋体"/>
          <w:spacing w:val="-2"/>
          <w:sz w:val="21"/>
          <w:szCs w:val="21"/>
        </w:rPr>
        <w:t>降，但在慢性感染期存在较大个体差异；抗-HDV  IgG</w:t>
      </w:r>
      <w:r>
        <w:rPr>
          <w:rFonts w:ascii="宋体" w:hAnsi="宋体" w:eastAsia="宋体" w:cs="宋体"/>
          <w:sz w:val="21"/>
          <w:szCs w:val="21"/>
        </w:rPr>
        <w:t xml:space="preserve"> 高滴度提示</w:t>
      </w:r>
      <w:r>
        <w:rPr>
          <w:rFonts w:ascii="Times New Roman" w:hAnsi="Times New Roman" w:eastAsia="Times New Roman" w:cs="Times New Roman"/>
          <w:sz w:val="21"/>
          <w:szCs w:val="21"/>
        </w:rPr>
        <w:t>HDV</w:t>
      </w:r>
      <w:r>
        <w:rPr>
          <w:rFonts w:ascii="宋体" w:hAnsi="宋体" w:eastAsia="宋体" w:cs="宋体"/>
          <w:sz w:val="21"/>
          <w:szCs w:val="21"/>
        </w:rPr>
        <w:t>感染持续存在，低滴度提示感染静止或终止。</w:t>
      </w:r>
    </w:p>
    <w:p w14:paraId="6B41CD33">
      <w:pPr>
        <w:pStyle w:val="2"/>
        <w:spacing w:before="163" w:line="222" w:lineRule="auto"/>
        <w:ind w:left="409"/>
        <w:rPr>
          <w:sz w:val="21"/>
          <w:szCs w:val="21"/>
        </w:rPr>
      </w:pPr>
      <w:r>
        <w:rPr>
          <w:spacing w:val="26"/>
          <w:sz w:val="21"/>
          <w:szCs w:val="21"/>
        </w:rPr>
        <w:t>(五)戊型肝炎</w:t>
      </w:r>
    </w:p>
    <w:p w14:paraId="763DA040">
      <w:pPr>
        <w:pStyle w:val="2"/>
        <w:spacing w:before="76" w:line="326" w:lineRule="auto"/>
        <w:ind w:right="622" w:firstLine="409"/>
        <w:jc w:val="both"/>
        <w:rPr>
          <w:rFonts w:ascii="宋体" w:hAnsi="宋体" w:eastAsia="宋体" w:cs="宋体"/>
          <w:sz w:val="21"/>
          <w:szCs w:val="21"/>
        </w:rPr>
      </w:pPr>
      <w:r>
        <w:rPr>
          <w:rFonts w:ascii="宋体" w:hAnsi="宋体" w:eastAsia="宋体" w:cs="宋体"/>
          <w:sz w:val="21"/>
          <w:szCs w:val="21"/>
        </w:rPr>
        <w:t xml:space="preserve">1. </w:t>
      </w:r>
      <w:r>
        <w:rPr>
          <w:sz w:val="21"/>
          <w:szCs w:val="21"/>
        </w:rPr>
        <w:t xml:space="preserve">临床分型和自然史  </w:t>
      </w:r>
      <w:r>
        <w:rPr>
          <w:rFonts w:ascii="Times New Roman" w:hAnsi="Times New Roman" w:eastAsia="Times New Roman" w:cs="Times New Roman"/>
          <w:sz w:val="21"/>
          <w:szCs w:val="21"/>
        </w:rPr>
        <w:t>H</w:t>
      </w:r>
      <w:r>
        <w:rPr>
          <w:rFonts w:ascii="宋体" w:hAnsi="宋体" w:eastAsia="宋体" w:cs="宋体"/>
          <w:sz w:val="21"/>
          <w:szCs w:val="21"/>
        </w:rPr>
        <w:t>EV 感染通常表现为显性感染和隐性感染两类，隐性感染</w:t>
      </w:r>
      <w:r>
        <w:rPr>
          <w:rFonts w:ascii="宋体" w:hAnsi="宋体" w:eastAsia="宋体" w:cs="宋体"/>
          <w:spacing w:val="-1"/>
          <w:sz w:val="21"/>
          <w:szCs w:val="21"/>
        </w:rPr>
        <w:t>多见，显性</w:t>
      </w:r>
      <w:r>
        <w:rPr>
          <w:rFonts w:ascii="宋体" w:hAnsi="宋体" w:eastAsia="宋体" w:cs="宋体"/>
          <w:sz w:val="21"/>
          <w:szCs w:val="21"/>
        </w:rPr>
        <w:t xml:space="preserve"> </w:t>
      </w:r>
      <w:r>
        <w:rPr>
          <w:rFonts w:ascii="宋体" w:hAnsi="宋体" w:eastAsia="宋体" w:cs="宋体"/>
          <w:spacing w:val="1"/>
          <w:sz w:val="21"/>
          <w:szCs w:val="21"/>
        </w:rPr>
        <w:t>感染主要表现为急性戊肝，在免疫功能正常的病人中通常不转为慢性，但在免疫抑制病人(如</w:t>
      </w:r>
      <w:r>
        <w:rPr>
          <w:rFonts w:ascii="Times New Roman" w:hAnsi="Times New Roman" w:eastAsia="Times New Roman" w:cs="Times New Roman"/>
          <w:sz w:val="21"/>
          <w:szCs w:val="21"/>
        </w:rPr>
        <w:t>HIV</w:t>
      </w:r>
      <w:r>
        <w:rPr>
          <w:rFonts w:ascii="Times New Roman" w:hAnsi="Times New Roman" w:eastAsia="Times New Roman" w:cs="Times New Roman"/>
          <w:spacing w:val="4"/>
          <w:sz w:val="21"/>
          <w:szCs w:val="21"/>
        </w:rPr>
        <w:t xml:space="preserve">  </w:t>
      </w:r>
      <w:r>
        <w:rPr>
          <w:rFonts w:ascii="宋体" w:hAnsi="宋体" w:eastAsia="宋体" w:cs="宋体"/>
          <w:sz w:val="21"/>
          <w:szCs w:val="21"/>
        </w:rPr>
        <w:t>感染者、器官移植病人等)中易慢性化。老年病人和慢性肝病病人感染</w:t>
      </w:r>
      <w:r>
        <w:rPr>
          <w:rFonts w:ascii="Times New Roman" w:hAnsi="Times New Roman" w:eastAsia="Times New Roman" w:cs="Times New Roman"/>
          <w:sz w:val="21"/>
          <w:szCs w:val="21"/>
        </w:rPr>
        <w:t>H</w:t>
      </w:r>
      <w:r>
        <w:rPr>
          <w:rFonts w:ascii="Times New Roman" w:hAnsi="Times New Roman" w:eastAsia="Times New Roman" w:cs="Times New Roman"/>
          <w:spacing w:val="-1"/>
          <w:sz w:val="21"/>
          <w:szCs w:val="21"/>
        </w:rPr>
        <w:t xml:space="preserve">EV </w:t>
      </w:r>
      <w:r>
        <w:rPr>
          <w:rFonts w:ascii="宋体" w:hAnsi="宋体" w:eastAsia="宋体" w:cs="宋体"/>
          <w:spacing w:val="-1"/>
          <w:sz w:val="21"/>
          <w:szCs w:val="21"/>
        </w:rPr>
        <w:t>后，肝损伤严重，易进</w:t>
      </w:r>
      <w:r>
        <w:rPr>
          <w:rFonts w:ascii="宋体" w:hAnsi="宋体" w:eastAsia="宋体" w:cs="宋体"/>
          <w:sz w:val="21"/>
          <w:szCs w:val="21"/>
        </w:rPr>
        <w:t xml:space="preserve"> </w:t>
      </w:r>
      <w:r>
        <w:rPr>
          <w:rFonts w:ascii="宋体" w:hAnsi="宋体" w:eastAsia="宋体" w:cs="宋体"/>
          <w:spacing w:val="5"/>
          <w:sz w:val="21"/>
          <w:szCs w:val="21"/>
        </w:rPr>
        <w:t>展为肝衰竭。</w:t>
      </w:r>
    </w:p>
    <w:p w14:paraId="1850A316">
      <w:pPr>
        <w:spacing w:line="326" w:lineRule="auto"/>
        <w:rPr>
          <w:rFonts w:ascii="宋体" w:hAnsi="宋体" w:eastAsia="宋体" w:cs="宋体"/>
          <w:sz w:val="21"/>
          <w:szCs w:val="21"/>
        </w:rPr>
        <w:sectPr>
          <w:footerReference r:id="rId318" w:type="default"/>
          <w:pgSz w:w="11900" w:h="16820"/>
          <w:pgMar w:top="400" w:right="839" w:bottom="866" w:left="1460" w:header="0" w:footer="677" w:gutter="0"/>
          <w:cols w:space="720" w:num="1"/>
        </w:sectPr>
      </w:pPr>
    </w:p>
    <w:p w14:paraId="07101955">
      <w:pPr>
        <w:spacing w:line="278" w:lineRule="auto"/>
        <w:rPr>
          <w:rFonts w:ascii="Arial"/>
          <w:sz w:val="21"/>
        </w:rPr>
      </w:pPr>
    </w:p>
    <w:p w14:paraId="743C9813">
      <w:pPr>
        <w:pStyle w:val="2"/>
        <w:spacing w:before="56" w:line="222" w:lineRule="auto"/>
        <w:ind w:left="670"/>
        <w:rPr>
          <w:sz w:val="17"/>
          <w:szCs w:val="17"/>
        </w:rPr>
      </w:pPr>
      <w:r>
        <w:rPr>
          <w:spacing w:val="10"/>
          <w:sz w:val="17"/>
          <w:szCs w:val="17"/>
        </w:rPr>
        <w:t>第十九章病毒性肝炎</w:t>
      </w:r>
    </w:p>
    <w:p w14:paraId="60EB8046">
      <w:pPr>
        <w:spacing w:line="289" w:lineRule="auto"/>
        <w:rPr>
          <w:rFonts w:ascii="Arial"/>
          <w:sz w:val="21"/>
        </w:rPr>
      </w:pPr>
    </w:p>
    <w:p w14:paraId="71F82529">
      <w:pPr>
        <w:spacing w:line="289" w:lineRule="auto"/>
        <w:rPr>
          <w:rFonts w:ascii="Arial"/>
          <w:sz w:val="21"/>
        </w:rPr>
      </w:pPr>
    </w:p>
    <w:p w14:paraId="1680EBCB">
      <w:pPr>
        <w:spacing w:before="65" w:line="342" w:lineRule="auto"/>
        <w:ind w:left="670" w:right="91" w:firstLine="379"/>
        <w:rPr>
          <w:rFonts w:ascii="宋体" w:hAnsi="宋体" w:eastAsia="宋体" w:cs="宋体"/>
          <w:sz w:val="20"/>
          <w:szCs w:val="20"/>
        </w:rPr>
      </w:pPr>
      <w:r>
        <w:rPr>
          <w:rFonts w:ascii="Times New Roman" w:hAnsi="Times New Roman" w:eastAsia="Times New Roman" w:cs="Times New Roman"/>
          <w:spacing w:val="-4"/>
          <w:sz w:val="20"/>
          <w:szCs w:val="20"/>
        </w:rPr>
        <w:t xml:space="preserve">HEV </w:t>
      </w:r>
      <w:r>
        <w:rPr>
          <w:rFonts w:ascii="宋体" w:hAnsi="宋体" w:eastAsia="宋体" w:cs="宋体"/>
          <w:spacing w:val="-4"/>
          <w:sz w:val="20"/>
          <w:szCs w:val="20"/>
        </w:rPr>
        <w:t>经消化道侵入血流，导致病毒血症，</w:t>
      </w:r>
      <w:r>
        <w:rPr>
          <w:rFonts w:ascii="宋体" w:hAnsi="宋体" w:eastAsia="宋体" w:cs="宋体"/>
          <w:spacing w:val="-5"/>
          <w:sz w:val="20"/>
          <w:szCs w:val="20"/>
        </w:rPr>
        <w:t>并在肝细胞内复制。从潜伏期末开始，</w:t>
      </w:r>
      <w:r>
        <w:rPr>
          <w:rFonts w:ascii="Times New Roman" w:hAnsi="Times New Roman" w:eastAsia="Times New Roman" w:cs="Times New Roman"/>
          <w:spacing w:val="-5"/>
          <w:sz w:val="20"/>
          <w:szCs w:val="20"/>
        </w:rPr>
        <w:t xml:space="preserve">HEV </w:t>
      </w:r>
      <w:r>
        <w:rPr>
          <w:rFonts w:ascii="宋体" w:hAnsi="宋体" w:eastAsia="宋体" w:cs="宋体"/>
          <w:spacing w:val="-5"/>
          <w:sz w:val="20"/>
          <w:szCs w:val="20"/>
        </w:rPr>
        <w:t>开始在胆</w:t>
      </w:r>
      <w:r>
        <w:rPr>
          <w:rFonts w:ascii="宋体" w:hAnsi="宋体" w:eastAsia="宋体" w:cs="宋体"/>
          <w:sz w:val="20"/>
          <w:szCs w:val="20"/>
        </w:rPr>
        <w:t xml:space="preserve"> </w:t>
      </w:r>
      <w:r>
        <w:rPr>
          <w:rFonts w:ascii="宋体" w:hAnsi="宋体" w:eastAsia="宋体" w:cs="宋体"/>
          <w:spacing w:val="-6"/>
          <w:sz w:val="20"/>
          <w:szCs w:val="20"/>
        </w:rPr>
        <w:t>汁中出现，随粪便排出体外，并持续至起病后1周左右，此阶段传染性最强。</w:t>
      </w:r>
    </w:p>
    <w:p w14:paraId="48C6A676">
      <w:pPr>
        <w:spacing w:line="219" w:lineRule="auto"/>
        <w:ind w:left="1050"/>
        <w:rPr>
          <w:rFonts w:ascii="宋体" w:hAnsi="宋体" w:eastAsia="宋体" w:cs="宋体"/>
          <w:sz w:val="20"/>
          <w:szCs w:val="20"/>
        </w:rPr>
      </w:pPr>
      <w:r>
        <w:rPr>
          <w:rFonts w:ascii="宋体" w:hAnsi="宋体" w:eastAsia="宋体" w:cs="宋体"/>
          <w:spacing w:val="-1"/>
          <w:sz w:val="20"/>
          <w:szCs w:val="20"/>
        </w:rPr>
        <w:t>2. 实验室检测指标及意义</w:t>
      </w:r>
    </w:p>
    <w:p w14:paraId="0123237C">
      <w:pPr>
        <w:spacing w:before="90" w:line="295" w:lineRule="auto"/>
        <w:ind w:left="670" w:right="83" w:firstLine="379"/>
        <w:rPr>
          <w:rFonts w:ascii="宋体" w:hAnsi="宋体" w:eastAsia="宋体" w:cs="宋体"/>
          <w:sz w:val="20"/>
          <w:szCs w:val="20"/>
        </w:rPr>
      </w:pPr>
      <w:r>
        <w:rPr>
          <w:rFonts w:ascii="Times New Roman" w:hAnsi="Times New Roman" w:eastAsia="Times New Roman" w:cs="Times New Roman"/>
          <w:spacing w:val="5"/>
          <w:sz w:val="20"/>
          <w:szCs w:val="20"/>
        </w:rPr>
        <w:t>(1)</w:t>
      </w:r>
      <w:r>
        <w:rPr>
          <w:rFonts w:ascii="Times New Roman" w:hAnsi="Times New Roman" w:eastAsia="Times New Roman" w:cs="Times New Roman"/>
          <w:sz w:val="20"/>
          <w:szCs w:val="20"/>
        </w:rPr>
        <w:t>HEV</w:t>
      </w:r>
      <w:r>
        <w:rPr>
          <w:rFonts w:ascii="Times New Roman" w:hAnsi="Times New Roman" w:eastAsia="Times New Roman" w:cs="Times New Roman"/>
          <w:spacing w:val="5"/>
          <w:sz w:val="20"/>
          <w:szCs w:val="20"/>
        </w:rPr>
        <w:t xml:space="preserve">     </w:t>
      </w:r>
      <w:r>
        <w:rPr>
          <w:rFonts w:ascii="Times New Roman" w:hAnsi="Times New Roman" w:eastAsia="Times New Roman" w:cs="Times New Roman"/>
          <w:sz w:val="20"/>
          <w:szCs w:val="20"/>
        </w:rPr>
        <w:t>RNA</w:t>
      </w:r>
      <w:r>
        <w:rPr>
          <w:rFonts w:ascii="Times New Roman" w:hAnsi="Times New Roman" w:eastAsia="Times New Roman" w:cs="Times New Roman"/>
          <w:spacing w:val="5"/>
          <w:sz w:val="20"/>
          <w:szCs w:val="20"/>
        </w:rPr>
        <w:t>:</w:t>
      </w:r>
      <w:r>
        <w:rPr>
          <w:rFonts w:ascii="宋体" w:hAnsi="宋体" w:eastAsia="宋体" w:cs="宋体"/>
          <w:spacing w:val="5"/>
          <w:sz w:val="20"/>
          <w:szCs w:val="20"/>
        </w:rPr>
        <w:t>是病毒复制和具有传染性的直接标志。感染</w:t>
      </w:r>
      <w:r>
        <w:rPr>
          <w:rFonts w:ascii="Times New Roman" w:hAnsi="Times New Roman" w:eastAsia="Times New Roman" w:cs="Times New Roman"/>
          <w:sz w:val="20"/>
          <w:szCs w:val="20"/>
        </w:rPr>
        <w:t>HEV</w:t>
      </w:r>
      <w:r>
        <w:rPr>
          <w:rFonts w:ascii="Times New Roman" w:hAnsi="Times New Roman" w:eastAsia="Times New Roman" w:cs="Times New Roman"/>
          <w:spacing w:val="4"/>
          <w:sz w:val="20"/>
          <w:szCs w:val="20"/>
        </w:rPr>
        <w:t xml:space="preserve"> </w:t>
      </w:r>
      <w:r>
        <w:rPr>
          <w:rFonts w:ascii="宋体" w:hAnsi="宋体" w:eastAsia="宋体" w:cs="宋体"/>
          <w:spacing w:val="4"/>
          <w:sz w:val="20"/>
          <w:szCs w:val="20"/>
        </w:rPr>
        <w:t>后，约3周即可在血中检测</w:t>
      </w:r>
      <w:r>
        <w:rPr>
          <w:rFonts w:ascii="宋体" w:hAnsi="宋体" w:eastAsia="宋体" w:cs="宋体"/>
          <w:sz w:val="20"/>
          <w:szCs w:val="20"/>
        </w:rPr>
        <w:t xml:space="preserve"> </w:t>
      </w:r>
      <w:r>
        <w:rPr>
          <w:rFonts w:ascii="宋体" w:hAnsi="宋体" w:eastAsia="宋体" w:cs="宋体"/>
          <w:spacing w:val="3"/>
          <w:sz w:val="20"/>
          <w:szCs w:val="20"/>
        </w:rPr>
        <w:t>到</w:t>
      </w:r>
      <w:r>
        <w:rPr>
          <w:rFonts w:ascii="宋体" w:hAnsi="宋体" w:eastAsia="宋体" w:cs="宋体"/>
          <w:spacing w:val="-44"/>
          <w:sz w:val="20"/>
          <w:szCs w:val="20"/>
        </w:rPr>
        <w:t xml:space="preserve"> </w:t>
      </w:r>
      <w:r>
        <w:rPr>
          <w:rFonts w:ascii="Times New Roman" w:hAnsi="Times New Roman" w:eastAsia="Times New Roman" w:cs="Times New Roman"/>
          <w:sz w:val="20"/>
          <w:szCs w:val="20"/>
        </w:rPr>
        <w:t>HEV</w:t>
      </w:r>
      <w:r>
        <w:rPr>
          <w:rFonts w:ascii="Times New Roman" w:hAnsi="Times New Roman" w:eastAsia="Times New Roman" w:cs="Times New Roman"/>
          <w:spacing w:val="24"/>
          <w:w w:val="101"/>
          <w:sz w:val="20"/>
          <w:szCs w:val="20"/>
        </w:rPr>
        <w:t xml:space="preserve"> </w:t>
      </w:r>
      <w:r>
        <w:rPr>
          <w:rFonts w:ascii="Times New Roman" w:hAnsi="Times New Roman" w:eastAsia="Times New Roman" w:cs="Times New Roman"/>
          <w:sz w:val="20"/>
          <w:szCs w:val="20"/>
        </w:rPr>
        <w:t>RNA</w:t>
      </w:r>
      <w:r>
        <w:rPr>
          <w:rFonts w:ascii="Times New Roman" w:hAnsi="Times New Roman" w:eastAsia="Times New Roman" w:cs="Times New Roman"/>
          <w:spacing w:val="3"/>
          <w:sz w:val="20"/>
          <w:szCs w:val="20"/>
        </w:rPr>
        <w:t>,</w:t>
      </w:r>
      <w:r>
        <w:rPr>
          <w:rFonts w:ascii="宋体" w:hAnsi="宋体" w:eastAsia="宋体" w:cs="宋体"/>
          <w:spacing w:val="3"/>
          <w:sz w:val="20"/>
          <w:szCs w:val="20"/>
        </w:rPr>
        <w:t>通过粪便排出</w:t>
      </w:r>
      <w:r>
        <w:rPr>
          <w:rFonts w:ascii="Times New Roman" w:hAnsi="Times New Roman" w:eastAsia="Times New Roman" w:cs="Times New Roman"/>
          <w:sz w:val="20"/>
          <w:szCs w:val="20"/>
        </w:rPr>
        <w:t>HEV</w:t>
      </w:r>
      <w:r>
        <w:rPr>
          <w:rFonts w:ascii="Times New Roman" w:hAnsi="Times New Roman" w:eastAsia="Times New Roman" w:cs="Times New Roman"/>
          <w:spacing w:val="-17"/>
          <w:sz w:val="20"/>
          <w:szCs w:val="20"/>
        </w:rPr>
        <w:t xml:space="preserve"> </w:t>
      </w:r>
      <w:r>
        <w:rPr>
          <w:rFonts w:ascii="宋体" w:hAnsi="宋体" w:eastAsia="宋体" w:cs="宋体"/>
          <w:spacing w:val="3"/>
          <w:sz w:val="20"/>
          <w:szCs w:val="20"/>
        </w:rPr>
        <w:t>可长达约4～6周。</w:t>
      </w:r>
    </w:p>
    <w:p w14:paraId="7A2BC149">
      <w:pPr>
        <w:spacing w:before="110" w:line="282" w:lineRule="auto"/>
        <w:ind w:left="670" w:right="68" w:firstLine="379"/>
        <w:rPr>
          <w:rFonts w:ascii="宋体" w:hAnsi="宋体" w:eastAsia="宋体" w:cs="宋体"/>
          <w:sz w:val="20"/>
          <w:szCs w:val="20"/>
        </w:rPr>
      </w:pPr>
      <w:r>
        <w:rPr>
          <w:rFonts w:ascii="宋体" w:hAnsi="宋体" w:eastAsia="宋体" w:cs="宋体"/>
          <w:spacing w:val="4"/>
          <w:sz w:val="20"/>
          <w:szCs w:val="20"/>
        </w:rPr>
        <w:t>(2)抗</w:t>
      </w:r>
      <w:r>
        <w:rPr>
          <w:rFonts w:ascii="宋体" w:hAnsi="宋体" w:eastAsia="宋体" w:cs="宋体"/>
          <w:spacing w:val="-55"/>
          <w:sz w:val="20"/>
          <w:szCs w:val="20"/>
        </w:rPr>
        <w:t xml:space="preserve"> </w:t>
      </w:r>
      <w:r>
        <w:rPr>
          <w:rFonts w:ascii="宋体" w:hAnsi="宋体" w:eastAsia="宋体" w:cs="宋体"/>
          <w:spacing w:val="4"/>
          <w:sz w:val="20"/>
          <w:szCs w:val="20"/>
        </w:rPr>
        <w:t>-</w:t>
      </w:r>
      <w:r>
        <w:rPr>
          <w:rFonts w:ascii="Times New Roman" w:hAnsi="Times New Roman" w:eastAsia="Times New Roman" w:cs="Times New Roman"/>
          <w:sz w:val="20"/>
          <w:szCs w:val="20"/>
        </w:rPr>
        <w:t>HEV</w:t>
      </w:r>
      <w:r>
        <w:rPr>
          <w:rFonts w:ascii="Times New Roman" w:hAnsi="Times New Roman" w:eastAsia="Times New Roman" w:cs="Times New Roman"/>
          <w:spacing w:val="27"/>
          <w:w w:val="101"/>
          <w:sz w:val="20"/>
          <w:szCs w:val="20"/>
        </w:rPr>
        <w:t xml:space="preserve"> </w:t>
      </w:r>
      <w:r>
        <w:rPr>
          <w:rFonts w:ascii="Times New Roman" w:hAnsi="Times New Roman" w:eastAsia="Times New Roman" w:cs="Times New Roman"/>
          <w:sz w:val="20"/>
          <w:szCs w:val="20"/>
        </w:rPr>
        <w:t>IgM</w:t>
      </w:r>
      <w:r>
        <w:rPr>
          <w:rFonts w:ascii="宋体" w:hAnsi="宋体" w:eastAsia="宋体" w:cs="宋体"/>
          <w:spacing w:val="4"/>
          <w:sz w:val="20"/>
          <w:szCs w:val="20"/>
        </w:rPr>
        <w:t>和抗-</w:t>
      </w:r>
      <w:r>
        <w:rPr>
          <w:rFonts w:ascii="Times New Roman" w:hAnsi="Times New Roman" w:eastAsia="Times New Roman" w:cs="Times New Roman"/>
          <w:sz w:val="20"/>
          <w:szCs w:val="20"/>
        </w:rPr>
        <w:t>HEV</w:t>
      </w:r>
      <w:r>
        <w:rPr>
          <w:rFonts w:ascii="Times New Roman" w:hAnsi="Times New Roman" w:eastAsia="Times New Roman" w:cs="Times New Roman"/>
          <w:spacing w:val="13"/>
          <w:w w:val="101"/>
          <w:sz w:val="20"/>
          <w:szCs w:val="20"/>
        </w:rPr>
        <w:t xml:space="preserve">  </w:t>
      </w:r>
      <w:r>
        <w:rPr>
          <w:rFonts w:ascii="Times New Roman" w:hAnsi="Times New Roman" w:eastAsia="Times New Roman" w:cs="Times New Roman"/>
          <w:sz w:val="20"/>
          <w:szCs w:val="20"/>
        </w:rPr>
        <w:t>IgG</w:t>
      </w:r>
      <w:r>
        <w:rPr>
          <w:rFonts w:ascii="Times New Roman" w:hAnsi="Times New Roman" w:eastAsia="Times New Roman" w:cs="Times New Roman"/>
          <w:spacing w:val="4"/>
          <w:sz w:val="20"/>
          <w:szCs w:val="20"/>
        </w:rPr>
        <w:t>:</w:t>
      </w:r>
      <w:r>
        <w:rPr>
          <w:rFonts w:ascii="宋体" w:hAnsi="宋体" w:eastAsia="宋体" w:cs="宋体"/>
          <w:spacing w:val="4"/>
          <w:sz w:val="20"/>
          <w:szCs w:val="20"/>
        </w:rPr>
        <w:t>抗-</w:t>
      </w:r>
      <w:r>
        <w:rPr>
          <w:rFonts w:ascii="Times New Roman" w:hAnsi="Times New Roman" w:eastAsia="Times New Roman" w:cs="Times New Roman"/>
          <w:sz w:val="20"/>
          <w:szCs w:val="20"/>
        </w:rPr>
        <w:t>HEV</w:t>
      </w:r>
      <w:r>
        <w:rPr>
          <w:rFonts w:ascii="Times New Roman" w:hAnsi="Times New Roman" w:eastAsia="Times New Roman" w:cs="Times New Roman"/>
          <w:spacing w:val="28"/>
          <w:sz w:val="20"/>
          <w:szCs w:val="20"/>
        </w:rPr>
        <w:t xml:space="preserve"> </w:t>
      </w:r>
      <w:r>
        <w:rPr>
          <w:rFonts w:ascii="Times New Roman" w:hAnsi="Times New Roman" w:eastAsia="Times New Roman" w:cs="Times New Roman"/>
          <w:sz w:val="20"/>
          <w:szCs w:val="20"/>
        </w:rPr>
        <w:t>IgM</w:t>
      </w:r>
      <w:r>
        <w:rPr>
          <w:rFonts w:ascii="宋体" w:hAnsi="宋体" w:eastAsia="宋体" w:cs="宋体"/>
          <w:spacing w:val="4"/>
          <w:sz w:val="20"/>
          <w:szCs w:val="20"/>
        </w:rPr>
        <w:t>在潜伏期末产生，是急性感染的标志，多数在</w:t>
      </w:r>
      <w:r>
        <w:rPr>
          <w:rFonts w:ascii="宋体" w:hAnsi="宋体" w:eastAsia="宋体" w:cs="宋体"/>
          <w:sz w:val="20"/>
          <w:szCs w:val="20"/>
        </w:rPr>
        <w:t xml:space="preserve"> </w:t>
      </w:r>
      <w:r>
        <w:rPr>
          <w:rFonts w:ascii="宋体" w:hAnsi="宋体" w:eastAsia="宋体" w:cs="宋体"/>
          <w:spacing w:val="2"/>
          <w:sz w:val="20"/>
          <w:szCs w:val="20"/>
        </w:rPr>
        <w:t>3个月内转阴，但少数可持续6个月甚至1年。抗-</w:t>
      </w:r>
      <w:r>
        <w:rPr>
          <w:rFonts w:ascii="Arial" w:hAnsi="Arial" w:eastAsia="Arial" w:cs="Arial"/>
          <w:sz w:val="20"/>
          <w:szCs w:val="20"/>
        </w:rPr>
        <w:t>HEVIgG</w:t>
      </w:r>
      <w:r>
        <w:rPr>
          <w:rFonts w:ascii="Arial" w:hAnsi="Arial" w:eastAsia="Arial" w:cs="Arial"/>
          <w:spacing w:val="2"/>
          <w:sz w:val="20"/>
          <w:szCs w:val="20"/>
        </w:rPr>
        <w:t xml:space="preserve"> </w:t>
      </w:r>
      <w:r>
        <w:rPr>
          <w:rFonts w:ascii="宋体" w:hAnsi="宋体" w:eastAsia="宋体" w:cs="宋体"/>
          <w:spacing w:val="2"/>
          <w:sz w:val="20"/>
          <w:szCs w:val="20"/>
        </w:rPr>
        <w:t>是既往感染的标志。</w:t>
      </w:r>
    </w:p>
    <w:p w14:paraId="6153B9D8">
      <w:pPr>
        <w:spacing w:before="119" w:line="300" w:lineRule="auto"/>
        <w:ind w:left="670" w:right="65" w:firstLine="379"/>
        <w:rPr>
          <w:rFonts w:ascii="宋体" w:hAnsi="宋体" w:eastAsia="宋体" w:cs="宋体"/>
          <w:sz w:val="20"/>
          <w:szCs w:val="20"/>
        </w:rPr>
      </w:pPr>
      <w:r>
        <w:rPr>
          <w:rFonts w:ascii="Times New Roman" w:hAnsi="Times New Roman" w:eastAsia="Times New Roman" w:cs="Times New Roman"/>
          <w:spacing w:val="-2"/>
          <w:sz w:val="20"/>
          <w:szCs w:val="20"/>
        </w:rPr>
        <w:t>(3)HEV</w:t>
      </w:r>
      <w:r>
        <w:rPr>
          <w:rFonts w:ascii="Times New Roman" w:hAnsi="Times New Roman" w:eastAsia="Times New Roman" w:cs="Times New Roman"/>
          <w:spacing w:val="16"/>
          <w:sz w:val="20"/>
          <w:szCs w:val="20"/>
        </w:rPr>
        <w:t xml:space="preserve">   </w:t>
      </w:r>
      <w:r>
        <w:rPr>
          <w:rFonts w:ascii="宋体" w:hAnsi="宋体" w:eastAsia="宋体" w:cs="宋体"/>
          <w:spacing w:val="-2"/>
          <w:sz w:val="20"/>
          <w:szCs w:val="20"/>
        </w:rPr>
        <w:t>抗原：血清、粪便或尿液中可检出</w:t>
      </w:r>
      <w:r>
        <w:rPr>
          <w:rFonts w:ascii="Times New Roman" w:hAnsi="Times New Roman" w:eastAsia="Times New Roman" w:cs="Times New Roman"/>
          <w:spacing w:val="-2"/>
          <w:sz w:val="20"/>
          <w:szCs w:val="20"/>
        </w:rPr>
        <w:t>HEV</w:t>
      </w:r>
      <w:r>
        <w:rPr>
          <w:rFonts w:ascii="Times New Roman" w:hAnsi="Times New Roman" w:eastAsia="Times New Roman" w:cs="Times New Roman"/>
          <w:spacing w:val="-17"/>
          <w:sz w:val="20"/>
          <w:szCs w:val="20"/>
        </w:rPr>
        <w:t xml:space="preserve"> </w:t>
      </w:r>
      <w:r>
        <w:rPr>
          <w:rFonts w:ascii="宋体" w:hAnsi="宋体" w:eastAsia="宋体" w:cs="宋体"/>
          <w:spacing w:val="-2"/>
          <w:sz w:val="20"/>
          <w:szCs w:val="20"/>
        </w:rPr>
        <w:t>抗原，其与</w:t>
      </w:r>
      <w:r>
        <w:rPr>
          <w:rFonts w:ascii="Times New Roman" w:hAnsi="Times New Roman" w:eastAsia="Times New Roman" w:cs="Times New Roman"/>
          <w:spacing w:val="-2"/>
          <w:sz w:val="20"/>
          <w:szCs w:val="20"/>
        </w:rPr>
        <w:t>HEV</w:t>
      </w:r>
      <w:r>
        <w:rPr>
          <w:rFonts w:ascii="Times New Roman" w:hAnsi="Times New Roman" w:eastAsia="Times New Roman" w:cs="Times New Roman"/>
          <w:spacing w:val="26"/>
          <w:sz w:val="20"/>
          <w:szCs w:val="20"/>
        </w:rPr>
        <w:t xml:space="preserve"> </w:t>
      </w:r>
      <w:r>
        <w:rPr>
          <w:rFonts w:ascii="Times New Roman" w:hAnsi="Times New Roman" w:eastAsia="Times New Roman" w:cs="Times New Roman"/>
          <w:spacing w:val="-2"/>
          <w:sz w:val="20"/>
          <w:szCs w:val="20"/>
        </w:rPr>
        <w:t>RNA</w:t>
      </w:r>
      <w:r>
        <w:rPr>
          <w:rFonts w:ascii="Times New Roman" w:hAnsi="Times New Roman" w:eastAsia="Times New Roman" w:cs="Times New Roman"/>
          <w:spacing w:val="-12"/>
          <w:sz w:val="20"/>
          <w:szCs w:val="20"/>
        </w:rPr>
        <w:t xml:space="preserve"> </w:t>
      </w:r>
      <w:r>
        <w:rPr>
          <w:rFonts w:ascii="宋体" w:hAnsi="宋体" w:eastAsia="宋体" w:cs="宋体"/>
          <w:spacing w:val="-2"/>
          <w:sz w:val="20"/>
          <w:szCs w:val="20"/>
        </w:rPr>
        <w:t>检测结果有较好的互补</w:t>
      </w:r>
      <w:r>
        <w:rPr>
          <w:rFonts w:ascii="宋体" w:hAnsi="宋体" w:eastAsia="宋体" w:cs="宋体"/>
          <w:sz w:val="20"/>
          <w:szCs w:val="20"/>
        </w:rPr>
        <w:t xml:space="preserve"> </w:t>
      </w:r>
      <w:r>
        <w:rPr>
          <w:rFonts w:ascii="宋体" w:hAnsi="宋体" w:eastAsia="宋体" w:cs="宋体"/>
          <w:spacing w:val="-3"/>
          <w:sz w:val="20"/>
          <w:szCs w:val="20"/>
        </w:rPr>
        <w:t>性，可作为</w:t>
      </w:r>
      <w:r>
        <w:rPr>
          <w:rFonts w:ascii="Times New Roman" w:hAnsi="Times New Roman" w:eastAsia="Times New Roman" w:cs="Times New Roman"/>
          <w:spacing w:val="-3"/>
          <w:sz w:val="20"/>
          <w:szCs w:val="20"/>
        </w:rPr>
        <w:t>HEV</w:t>
      </w:r>
      <w:r>
        <w:rPr>
          <w:rFonts w:ascii="宋体" w:hAnsi="宋体" w:eastAsia="宋体" w:cs="宋体"/>
          <w:spacing w:val="-3"/>
          <w:sz w:val="20"/>
          <w:szCs w:val="20"/>
        </w:rPr>
        <w:t>现症感染的直接证据。</w:t>
      </w:r>
    </w:p>
    <w:p w14:paraId="29E5CA4A">
      <w:pPr>
        <w:spacing w:line="246" w:lineRule="auto"/>
        <w:rPr>
          <w:rFonts w:ascii="Arial"/>
          <w:sz w:val="21"/>
        </w:rPr>
      </w:pPr>
    </w:p>
    <w:p w14:paraId="097C7E2F">
      <w:pPr>
        <w:spacing w:line="246" w:lineRule="auto"/>
        <w:rPr>
          <w:rFonts w:ascii="Arial"/>
          <w:sz w:val="21"/>
        </w:rPr>
      </w:pPr>
    </w:p>
    <w:p w14:paraId="730C9A05">
      <w:pPr>
        <w:pStyle w:val="2"/>
        <w:spacing w:before="94" w:line="221" w:lineRule="auto"/>
        <w:ind w:left="3794"/>
        <w:outlineLvl w:val="1"/>
        <w:rPr>
          <w:sz w:val="29"/>
          <w:szCs w:val="29"/>
        </w:rPr>
      </w:pPr>
      <w:bookmarkStart w:id="485" w:name="bookmark303"/>
      <w:bookmarkEnd w:id="485"/>
      <w:r>
        <w:rPr>
          <w:b/>
          <w:bCs/>
          <w:spacing w:val="-11"/>
          <w:sz w:val="29"/>
          <w:szCs w:val="29"/>
        </w:rPr>
        <w:t>第二节</w:t>
      </w:r>
      <w:r>
        <w:rPr>
          <w:spacing w:val="108"/>
          <w:sz w:val="29"/>
          <w:szCs w:val="29"/>
        </w:rPr>
        <w:t xml:space="preserve"> </w:t>
      </w:r>
      <w:r>
        <w:rPr>
          <w:b/>
          <w:bCs/>
          <w:spacing w:val="-11"/>
          <w:sz w:val="29"/>
          <w:szCs w:val="29"/>
        </w:rPr>
        <w:t>流行过程</w:t>
      </w:r>
    </w:p>
    <w:p w14:paraId="6B2C9C49">
      <w:pPr>
        <w:spacing w:line="445" w:lineRule="auto"/>
        <w:rPr>
          <w:rFonts w:ascii="Arial"/>
          <w:sz w:val="21"/>
        </w:rPr>
      </w:pPr>
    </w:p>
    <w:p w14:paraId="5645D5E4">
      <w:pPr>
        <w:pStyle w:val="2"/>
        <w:spacing w:before="65" w:line="222" w:lineRule="auto"/>
        <w:ind w:left="1052"/>
        <w:outlineLvl w:val="4"/>
        <w:rPr>
          <w:sz w:val="20"/>
          <w:szCs w:val="20"/>
        </w:rPr>
      </w:pPr>
      <w:bookmarkStart w:id="486" w:name="bookmark304"/>
      <w:bookmarkEnd w:id="486"/>
      <w:r>
        <w:rPr>
          <w:b/>
          <w:bCs/>
          <w:spacing w:val="-17"/>
          <w:sz w:val="20"/>
          <w:szCs w:val="20"/>
        </w:rPr>
        <w:t>一</w:t>
      </w:r>
      <w:r>
        <w:rPr>
          <w:spacing w:val="-17"/>
          <w:sz w:val="20"/>
          <w:szCs w:val="20"/>
        </w:rPr>
        <w:t xml:space="preserve"> </w:t>
      </w:r>
      <w:r>
        <w:rPr>
          <w:b/>
          <w:bCs/>
          <w:spacing w:val="-17"/>
          <w:sz w:val="20"/>
          <w:szCs w:val="20"/>
        </w:rPr>
        <w:t>、甲</w:t>
      </w:r>
      <w:r>
        <w:rPr>
          <w:spacing w:val="-17"/>
          <w:sz w:val="20"/>
          <w:szCs w:val="20"/>
        </w:rPr>
        <w:t xml:space="preserve"> </w:t>
      </w:r>
      <w:r>
        <w:rPr>
          <w:b/>
          <w:bCs/>
          <w:spacing w:val="-17"/>
          <w:sz w:val="20"/>
          <w:szCs w:val="20"/>
        </w:rPr>
        <w:t>型</w:t>
      </w:r>
      <w:r>
        <w:rPr>
          <w:spacing w:val="-18"/>
          <w:sz w:val="20"/>
          <w:szCs w:val="20"/>
        </w:rPr>
        <w:t xml:space="preserve"> </w:t>
      </w:r>
      <w:r>
        <w:rPr>
          <w:b/>
          <w:bCs/>
          <w:spacing w:val="-17"/>
          <w:sz w:val="20"/>
          <w:szCs w:val="20"/>
        </w:rPr>
        <w:t>肝</w:t>
      </w:r>
      <w:r>
        <w:rPr>
          <w:spacing w:val="-20"/>
          <w:sz w:val="20"/>
          <w:szCs w:val="20"/>
        </w:rPr>
        <w:t xml:space="preserve"> </w:t>
      </w:r>
      <w:r>
        <w:rPr>
          <w:b/>
          <w:bCs/>
          <w:spacing w:val="-17"/>
          <w:sz w:val="20"/>
          <w:szCs w:val="20"/>
        </w:rPr>
        <w:t>炎</w:t>
      </w:r>
    </w:p>
    <w:p w14:paraId="0E5ED752">
      <w:pPr>
        <w:pStyle w:val="2"/>
        <w:spacing w:before="280" w:line="221" w:lineRule="auto"/>
        <w:ind w:left="1050"/>
        <w:rPr>
          <w:sz w:val="20"/>
          <w:szCs w:val="20"/>
        </w:rPr>
      </w:pPr>
      <w:r>
        <w:rPr>
          <w:spacing w:val="8"/>
          <w:sz w:val="20"/>
          <w:szCs w:val="20"/>
        </w:rPr>
        <w:t>(</w:t>
      </w:r>
      <w:r>
        <w:rPr>
          <w:spacing w:val="-53"/>
          <w:sz w:val="20"/>
          <w:szCs w:val="20"/>
        </w:rPr>
        <w:t xml:space="preserve"> </w:t>
      </w:r>
      <w:r>
        <w:rPr>
          <w:spacing w:val="8"/>
          <w:sz w:val="20"/>
          <w:szCs w:val="20"/>
        </w:rPr>
        <w:t>一</w:t>
      </w:r>
      <w:r>
        <w:rPr>
          <w:spacing w:val="-59"/>
          <w:sz w:val="20"/>
          <w:szCs w:val="20"/>
        </w:rPr>
        <w:t xml:space="preserve"> </w:t>
      </w:r>
      <w:r>
        <w:rPr>
          <w:spacing w:val="8"/>
          <w:sz w:val="20"/>
          <w:szCs w:val="20"/>
        </w:rPr>
        <w:t>)传染源</w:t>
      </w:r>
    </w:p>
    <w:p w14:paraId="502F953A">
      <w:pPr>
        <w:spacing w:before="121" w:line="318" w:lineRule="auto"/>
        <w:ind w:left="670" w:right="111" w:firstLine="379"/>
        <w:rPr>
          <w:rFonts w:ascii="宋体" w:hAnsi="宋体" w:eastAsia="宋体" w:cs="宋体"/>
          <w:sz w:val="20"/>
          <w:szCs w:val="20"/>
        </w:rPr>
      </w:pPr>
      <w:r>
        <w:rPr>
          <w:rFonts w:ascii="宋体" w:hAnsi="宋体" w:eastAsia="宋体" w:cs="宋体"/>
          <w:sz w:val="20"/>
          <w:szCs w:val="20"/>
        </w:rPr>
        <w:t>甲肝的传染源主要是急性甲肝病人和隐性感染者，HAV</w:t>
      </w:r>
      <w:r>
        <w:rPr>
          <w:rFonts w:ascii="宋体" w:hAnsi="宋体" w:eastAsia="宋体" w:cs="宋体"/>
          <w:spacing w:val="97"/>
          <w:sz w:val="20"/>
          <w:szCs w:val="20"/>
        </w:rPr>
        <w:t xml:space="preserve"> </w:t>
      </w:r>
      <w:r>
        <w:rPr>
          <w:rFonts w:ascii="宋体" w:hAnsi="宋体" w:eastAsia="宋体" w:cs="宋体"/>
          <w:sz w:val="20"/>
          <w:szCs w:val="20"/>
        </w:rPr>
        <w:t xml:space="preserve">主要通过粪便排出。甲肝潜伏期一般 </w:t>
      </w:r>
      <w:r>
        <w:rPr>
          <w:rFonts w:ascii="宋体" w:hAnsi="宋体" w:eastAsia="宋体" w:cs="宋体"/>
          <w:spacing w:val="3"/>
          <w:sz w:val="20"/>
          <w:szCs w:val="20"/>
        </w:rPr>
        <w:t>为15～50天，平均30天。</w:t>
      </w:r>
    </w:p>
    <w:p w14:paraId="70407FA8">
      <w:pPr>
        <w:pStyle w:val="2"/>
        <w:spacing w:before="30" w:line="310" w:lineRule="auto"/>
        <w:ind w:left="670" w:right="86" w:firstLine="379"/>
        <w:rPr>
          <w:rFonts w:ascii="宋体" w:hAnsi="宋体" w:eastAsia="宋体" w:cs="宋体"/>
          <w:sz w:val="20"/>
          <w:szCs w:val="20"/>
        </w:rPr>
      </w:pPr>
      <w:r>
        <w:rPr>
          <w:rFonts w:ascii="宋体" w:hAnsi="宋体" w:eastAsia="宋体" w:cs="宋体"/>
          <w:spacing w:val="1"/>
          <w:sz w:val="20"/>
          <w:szCs w:val="20"/>
        </w:rPr>
        <w:t xml:space="preserve">1. </w:t>
      </w:r>
      <w:r>
        <w:rPr>
          <w:spacing w:val="1"/>
          <w:sz w:val="20"/>
          <w:szCs w:val="20"/>
        </w:rPr>
        <w:t>急性甲肝病人</w:t>
      </w:r>
      <w:r>
        <w:rPr>
          <w:spacing w:val="40"/>
          <w:sz w:val="20"/>
          <w:szCs w:val="20"/>
        </w:rPr>
        <w:t xml:space="preserve"> </w:t>
      </w:r>
      <w:r>
        <w:rPr>
          <w:rFonts w:ascii="宋体" w:hAnsi="宋体" w:eastAsia="宋体" w:cs="宋体"/>
          <w:spacing w:val="1"/>
          <w:sz w:val="20"/>
          <w:szCs w:val="20"/>
        </w:rPr>
        <w:t>急性甲肝病人的传染性强，是重要的传染源。急性黄疸型肝炎病程</w:t>
      </w:r>
      <w:r>
        <w:rPr>
          <w:rFonts w:ascii="宋体" w:hAnsi="宋体" w:eastAsia="宋体" w:cs="宋体"/>
          <w:sz w:val="20"/>
          <w:szCs w:val="20"/>
        </w:rPr>
        <w:t xml:space="preserve">可分为 </w:t>
      </w:r>
      <w:r>
        <w:rPr>
          <w:rFonts w:ascii="宋体" w:hAnsi="宋体" w:eastAsia="宋体" w:cs="宋体"/>
          <w:spacing w:val="1"/>
          <w:sz w:val="20"/>
          <w:szCs w:val="20"/>
        </w:rPr>
        <w:t>潜伏期、黄疸前期、黄疸期和恢复期。</w:t>
      </w:r>
      <w:r>
        <w:rPr>
          <w:rFonts w:ascii="宋体" w:hAnsi="宋体" w:eastAsia="宋体" w:cs="宋体"/>
          <w:sz w:val="20"/>
          <w:szCs w:val="20"/>
        </w:rPr>
        <w:t>HAV</w:t>
      </w:r>
      <w:r>
        <w:rPr>
          <w:rFonts w:ascii="宋体" w:hAnsi="宋体" w:eastAsia="宋体" w:cs="宋体"/>
          <w:spacing w:val="73"/>
          <w:sz w:val="20"/>
          <w:szCs w:val="20"/>
        </w:rPr>
        <w:t xml:space="preserve"> </w:t>
      </w:r>
      <w:r>
        <w:rPr>
          <w:rFonts w:ascii="宋体" w:hAnsi="宋体" w:eastAsia="宋体" w:cs="宋体"/>
          <w:spacing w:val="1"/>
          <w:sz w:val="20"/>
          <w:szCs w:val="20"/>
        </w:rPr>
        <w:t>感染后1～2周</w:t>
      </w:r>
      <w:r>
        <w:rPr>
          <w:rFonts w:ascii="宋体" w:hAnsi="宋体" w:eastAsia="宋体" w:cs="宋体"/>
          <w:sz w:val="20"/>
          <w:szCs w:val="20"/>
        </w:rPr>
        <w:t xml:space="preserve">病毒即可通过粪便排出体外。排毒高峰 </w:t>
      </w:r>
      <w:r>
        <w:rPr>
          <w:rFonts w:ascii="宋体" w:hAnsi="宋体" w:eastAsia="宋体" w:cs="宋体"/>
          <w:spacing w:val="2"/>
          <w:sz w:val="20"/>
          <w:szCs w:val="20"/>
        </w:rPr>
        <w:t>在潜伏期末和黄疸前期，此阶段传染性最强，大多数病例在黄疸出现1～2周后排毒基本停止。急</w:t>
      </w:r>
      <w:r>
        <w:rPr>
          <w:rFonts w:ascii="宋体" w:hAnsi="宋体" w:eastAsia="宋体" w:cs="宋体"/>
          <w:spacing w:val="16"/>
          <w:sz w:val="20"/>
          <w:szCs w:val="20"/>
        </w:rPr>
        <w:t xml:space="preserve"> </w:t>
      </w:r>
      <w:r>
        <w:rPr>
          <w:rFonts w:ascii="宋体" w:hAnsi="宋体" w:eastAsia="宋体" w:cs="宋体"/>
          <w:spacing w:val="-2"/>
          <w:sz w:val="20"/>
          <w:szCs w:val="20"/>
        </w:rPr>
        <w:t>性黄疸型病人在潜伏期末和黄疸前期难以被确诊和隔离，急性无黄疸型</w:t>
      </w:r>
      <w:r>
        <w:rPr>
          <w:rFonts w:ascii="宋体" w:hAnsi="宋体" w:eastAsia="宋体" w:cs="宋体"/>
          <w:spacing w:val="-3"/>
          <w:sz w:val="20"/>
          <w:szCs w:val="20"/>
        </w:rPr>
        <w:t>病人数量较多、症状不典型</w:t>
      </w:r>
      <w:r>
        <w:rPr>
          <w:rFonts w:ascii="宋体" w:hAnsi="宋体" w:eastAsia="宋体" w:cs="宋体"/>
          <w:sz w:val="20"/>
          <w:szCs w:val="20"/>
        </w:rPr>
        <w:t xml:space="preserve"> </w:t>
      </w:r>
      <w:r>
        <w:rPr>
          <w:rFonts w:ascii="宋体" w:hAnsi="宋体" w:eastAsia="宋体" w:cs="宋体"/>
          <w:spacing w:val="-8"/>
          <w:sz w:val="20"/>
          <w:szCs w:val="20"/>
        </w:rPr>
        <w:t>易被误诊，</w:t>
      </w:r>
      <w:r>
        <w:rPr>
          <w:rFonts w:ascii="Times New Roman" w:hAnsi="Times New Roman" w:eastAsia="Times New Roman" w:cs="Times New Roman"/>
          <w:spacing w:val="-8"/>
          <w:sz w:val="20"/>
          <w:szCs w:val="20"/>
        </w:rPr>
        <w:t>HAV</w:t>
      </w:r>
      <w:r>
        <w:rPr>
          <w:rFonts w:ascii="宋体" w:hAnsi="宋体" w:eastAsia="宋体" w:cs="宋体"/>
          <w:spacing w:val="-8"/>
          <w:sz w:val="20"/>
          <w:szCs w:val="20"/>
        </w:rPr>
        <w:t>传播机会多，作为传染源的意义更大。</w:t>
      </w:r>
    </w:p>
    <w:p w14:paraId="32349B8A">
      <w:pPr>
        <w:pStyle w:val="2"/>
        <w:spacing w:before="173" w:line="266" w:lineRule="auto"/>
        <w:ind w:left="670" w:right="98" w:firstLine="379"/>
        <w:rPr>
          <w:rFonts w:ascii="宋体" w:hAnsi="宋体" w:eastAsia="宋体" w:cs="宋体"/>
          <w:sz w:val="20"/>
          <w:szCs w:val="20"/>
        </w:rPr>
      </w:pPr>
      <w:r>
        <w:rPr>
          <w:rFonts w:ascii="宋体" w:hAnsi="宋体" w:eastAsia="宋体" w:cs="宋体"/>
          <w:spacing w:val="1"/>
          <w:sz w:val="20"/>
          <w:szCs w:val="20"/>
        </w:rPr>
        <w:t xml:space="preserve">2. </w:t>
      </w:r>
      <w:r>
        <w:rPr>
          <w:spacing w:val="1"/>
          <w:sz w:val="20"/>
          <w:szCs w:val="20"/>
        </w:rPr>
        <w:t>隐性感染者</w:t>
      </w:r>
      <w:r>
        <w:rPr>
          <w:spacing w:val="69"/>
          <w:sz w:val="20"/>
          <w:szCs w:val="20"/>
        </w:rPr>
        <w:t xml:space="preserve"> </w:t>
      </w:r>
      <w:r>
        <w:rPr>
          <w:spacing w:val="1"/>
          <w:sz w:val="20"/>
          <w:szCs w:val="20"/>
        </w:rPr>
        <w:t>隐</w:t>
      </w:r>
      <w:r>
        <w:rPr>
          <w:rFonts w:ascii="宋体" w:hAnsi="宋体" w:eastAsia="宋体" w:cs="宋体"/>
          <w:spacing w:val="1"/>
          <w:sz w:val="20"/>
          <w:szCs w:val="20"/>
        </w:rPr>
        <w:t>性感染者可通过粪便排出病毒，排毒量虽不及显性感染者，但感染后无明</w:t>
      </w:r>
      <w:r>
        <w:rPr>
          <w:rFonts w:ascii="宋体" w:hAnsi="宋体" w:eastAsia="宋体" w:cs="宋体"/>
          <w:sz w:val="20"/>
          <w:szCs w:val="20"/>
        </w:rPr>
        <w:t xml:space="preserve"> </w:t>
      </w:r>
      <w:r>
        <w:rPr>
          <w:rFonts w:ascii="宋体" w:hAnsi="宋体" w:eastAsia="宋体" w:cs="宋体"/>
          <w:spacing w:val="-7"/>
          <w:sz w:val="20"/>
          <w:szCs w:val="20"/>
        </w:rPr>
        <w:t>显的临床症状和体征，不易被发现和诊断，亦是重要的传染源。</w:t>
      </w:r>
    </w:p>
    <w:p w14:paraId="204BB2BB">
      <w:pPr>
        <w:pStyle w:val="2"/>
        <w:spacing w:before="140" w:line="222" w:lineRule="auto"/>
        <w:ind w:left="1052"/>
        <w:rPr>
          <w:sz w:val="20"/>
          <w:szCs w:val="20"/>
        </w:rPr>
      </w:pPr>
      <w:r>
        <w:rPr>
          <w:b/>
          <w:bCs/>
          <w:spacing w:val="21"/>
          <w:sz w:val="20"/>
          <w:szCs w:val="20"/>
        </w:rPr>
        <w:t>(二)传播途径</w:t>
      </w:r>
    </w:p>
    <w:p w14:paraId="156E8B43">
      <w:pPr>
        <w:spacing w:before="133" w:line="327" w:lineRule="auto"/>
        <w:ind w:left="670" w:right="129" w:firstLine="379"/>
        <w:rPr>
          <w:rFonts w:ascii="宋体" w:hAnsi="宋体" w:eastAsia="宋体" w:cs="宋体"/>
          <w:sz w:val="20"/>
          <w:szCs w:val="20"/>
        </w:rPr>
      </w:pPr>
      <w:r>
        <w:rPr>
          <w:rFonts w:ascii="宋体" w:hAnsi="宋体" w:eastAsia="宋体" w:cs="宋体"/>
          <w:sz w:val="20"/>
          <w:szCs w:val="20"/>
        </w:rPr>
        <w:t>甲肝的主要传播途径是消化道传播，易感人群会因摄入被</w:t>
      </w:r>
      <w:r>
        <w:rPr>
          <w:rFonts w:ascii="Times New Roman" w:hAnsi="Times New Roman" w:eastAsia="Times New Roman" w:cs="Times New Roman"/>
          <w:sz w:val="20"/>
          <w:szCs w:val="20"/>
        </w:rPr>
        <w:t>HAV</w:t>
      </w:r>
      <w:r>
        <w:rPr>
          <w:rFonts w:ascii="Times New Roman" w:hAnsi="Times New Roman" w:eastAsia="Times New Roman" w:cs="Times New Roman"/>
          <w:spacing w:val="-5"/>
          <w:sz w:val="20"/>
          <w:szCs w:val="20"/>
        </w:rPr>
        <w:t xml:space="preserve"> </w:t>
      </w:r>
      <w:r>
        <w:rPr>
          <w:rFonts w:ascii="宋体" w:hAnsi="宋体" w:eastAsia="宋体" w:cs="宋体"/>
          <w:sz w:val="20"/>
          <w:szCs w:val="20"/>
        </w:rPr>
        <w:t xml:space="preserve">感染者粪便污染的食物或水而 </w:t>
      </w:r>
      <w:r>
        <w:rPr>
          <w:rFonts w:ascii="宋体" w:hAnsi="宋体" w:eastAsia="宋体" w:cs="宋体"/>
          <w:spacing w:val="-6"/>
          <w:sz w:val="20"/>
          <w:szCs w:val="20"/>
        </w:rPr>
        <w:t>感染，也可能通过与感染者直接或间接接触</w:t>
      </w:r>
      <w:r>
        <w:rPr>
          <w:rFonts w:ascii="宋体" w:hAnsi="宋体" w:eastAsia="宋体" w:cs="宋体"/>
          <w:spacing w:val="-7"/>
          <w:sz w:val="20"/>
          <w:szCs w:val="20"/>
        </w:rPr>
        <w:t>感染。</w:t>
      </w:r>
    </w:p>
    <w:p w14:paraId="12F7625D">
      <w:pPr>
        <w:pStyle w:val="2"/>
        <w:spacing w:before="12" w:line="275" w:lineRule="auto"/>
        <w:ind w:left="670" w:right="139" w:firstLine="379"/>
        <w:rPr>
          <w:rFonts w:ascii="宋体" w:hAnsi="宋体" w:eastAsia="宋体" w:cs="宋体"/>
          <w:sz w:val="20"/>
          <w:szCs w:val="20"/>
        </w:rPr>
      </w:pPr>
      <w:r>
        <w:rPr>
          <w:rFonts w:ascii="Times New Roman" w:hAnsi="Times New Roman" w:eastAsia="Times New Roman" w:cs="Times New Roman"/>
          <w:spacing w:val="3"/>
          <w:sz w:val="20"/>
          <w:szCs w:val="20"/>
        </w:rPr>
        <w:t>1.</w:t>
      </w:r>
      <w:r>
        <w:rPr>
          <w:rFonts w:ascii="Times New Roman" w:hAnsi="Times New Roman" w:eastAsia="Times New Roman" w:cs="Times New Roman"/>
          <w:spacing w:val="21"/>
          <w:sz w:val="20"/>
          <w:szCs w:val="20"/>
        </w:rPr>
        <w:t xml:space="preserve">  </w:t>
      </w:r>
      <w:r>
        <w:rPr>
          <w:spacing w:val="3"/>
          <w:sz w:val="20"/>
          <w:szCs w:val="20"/>
        </w:rPr>
        <w:t>经食物传播</w:t>
      </w:r>
      <w:r>
        <w:rPr>
          <w:spacing w:val="73"/>
          <w:sz w:val="20"/>
          <w:szCs w:val="20"/>
        </w:rPr>
        <w:t xml:space="preserve"> </w:t>
      </w:r>
      <w:r>
        <w:rPr>
          <w:rFonts w:ascii="宋体" w:hAnsi="宋体" w:eastAsia="宋体" w:cs="宋体"/>
          <w:spacing w:val="3"/>
          <w:sz w:val="20"/>
          <w:szCs w:val="20"/>
        </w:rPr>
        <w:t>生吃受</w:t>
      </w:r>
      <w:r>
        <w:rPr>
          <w:rFonts w:ascii="Times New Roman" w:hAnsi="Times New Roman" w:eastAsia="Times New Roman" w:cs="Times New Roman"/>
          <w:sz w:val="20"/>
          <w:szCs w:val="20"/>
        </w:rPr>
        <w:t>HAV</w:t>
      </w:r>
      <w:r>
        <w:rPr>
          <w:rFonts w:ascii="Times New Roman" w:hAnsi="Times New Roman" w:eastAsia="Times New Roman" w:cs="Times New Roman"/>
          <w:spacing w:val="3"/>
          <w:sz w:val="20"/>
          <w:szCs w:val="20"/>
        </w:rPr>
        <w:t xml:space="preserve"> </w:t>
      </w:r>
      <w:r>
        <w:rPr>
          <w:rFonts w:ascii="宋体" w:hAnsi="宋体" w:eastAsia="宋体" w:cs="宋体"/>
          <w:spacing w:val="3"/>
          <w:sz w:val="20"/>
          <w:szCs w:val="20"/>
        </w:rPr>
        <w:t>污染的蔬菜水果(如莴苣、草莓)、凉拌食品(如沙拉)和海产品</w:t>
      </w:r>
      <w:r>
        <w:rPr>
          <w:rFonts w:ascii="宋体" w:hAnsi="宋体" w:eastAsia="宋体" w:cs="宋体"/>
          <w:sz w:val="20"/>
          <w:szCs w:val="20"/>
        </w:rPr>
        <w:t xml:space="preserve"> </w:t>
      </w:r>
      <w:r>
        <w:rPr>
          <w:rFonts w:ascii="宋体" w:hAnsi="宋体" w:eastAsia="宋体" w:cs="宋体"/>
          <w:spacing w:val="-4"/>
          <w:sz w:val="20"/>
          <w:szCs w:val="20"/>
        </w:rPr>
        <w:t>(如毛蚶、牡蛎等贝类)可引起甲肝暴发或散发。</w:t>
      </w:r>
    </w:p>
    <w:p w14:paraId="4FE66C71">
      <w:pPr>
        <w:pStyle w:val="2"/>
        <w:spacing w:before="112" w:line="301" w:lineRule="auto"/>
        <w:ind w:left="670" w:right="91" w:firstLine="379"/>
        <w:rPr>
          <w:rFonts w:ascii="宋体" w:hAnsi="宋体" w:eastAsia="宋体" w:cs="宋体"/>
          <w:sz w:val="20"/>
          <w:szCs w:val="20"/>
        </w:rPr>
      </w:pPr>
      <w:r>
        <w:rPr>
          <w:rFonts w:ascii="Times New Roman" w:hAnsi="Times New Roman" w:eastAsia="Times New Roman" w:cs="Times New Roman"/>
          <w:spacing w:val="1"/>
          <w:sz w:val="20"/>
          <w:szCs w:val="20"/>
        </w:rPr>
        <w:t>2.</w:t>
      </w:r>
      <w:r>
        <w:rPr>
          <w:rFonts w:ascii="Times New Roman" w:hAnsi="Times New Roman" w:eastAsia="Times New Roman" w:cs="Times New Roman"/>
          <w:spacing w:val="25"/>
          <w:sz w:val="20"/>
          <w:szCs w:val="20"/>
        </w:rPr>
        <w:t xml:space="preserve">  </w:t>
      </w:r>
      <w:r>
        <w:rPr>
          <w:spacing w:val="1"/>
          <w:sz w:val="20"/>
          <w:szCs w:val="20"/>
        </w:rPr>
        <w:t>经水传播</w:t>
      </w:r>
      <w:r>
        <w:rPr>
          <w:spacing w:val="93"/>
          <w:sz w:val="20"/>
          <w:szCs w:val="20"/>
        </w:rPr>
        <w:t xml:space="preserve"> </w:t>
      </w:r>
      <w:r>
        <w:rPr>
          <w:rFonts w:ascii="宋体" w:hAnsi="宋体" w:eastAsia="宋体" w:cs="宋体"/>
          <w:spacing w:val="1"/>
          <w:sz w:val="20"/>
          <w:szCs w:val="20"/>
        </w:rPr>
        <w:t>饮用被</w:t>
      </w:r>
      <w:r>
        <w:rPr>
          <w:rFonts w:ascii="Times New Roman" w:hAnsi="Times New Roman" w:eastAsia="Times New Roman" w:cs="Times New Roman"/>
          <w:sz w:val="20"/>
          <w:szCs w:val="20"/>
        </w:rPr>
        <w:t>HAV</w:t>
      </w:r>
      <w:r>
        <w:rPr>
          <w:rFonts w:ascii="Times New Roman" w:hAnsi="Times New Roman" w:eastAsia="Times New Roman" w:cs="Times New Roman"/>
          <w:spacing w:val="1"/>
          <w:sz w:val="20"/>
          <w:szCs w:val="20"/>
        </w:rPr>
        <w:t xml:space="preserve"> </w:t>
      </w:r>
      <w:r>
        <w:rPr>
          <w:rFonts w:ascii="宋体" w:hAnsi="宋体" w:eastAsia="宋体" w:cs="宋体"/>
          <w:spacing w:val="1"/>
          <w:sz w:val="20"/>
          <w:szCs w:val="20"/>
        </w:rPr>
        <w:t>污染的水也会导致</w:t>
      </w:r>
      <w:r>
        <w:rPr>
          <w:rFonts w:ascii="Times New Roman" w:hAnsi="Times New Roman" w:eastAsia="Times New Roman" w:cs="Times New Roman"/>
          <w:sz w:val="20"/>
          <w:szCs w:val="20"/>
        </w:rPr>
        <w:t>HAV</w:t>
      </w:r>
      <w:r>
        <w:rPr>
          <w:rFonts w:ascii="Times New Roman" w:hAnsi="Times New Roman" w:eastAsia="Times New Roman" w:cs="Times New Roman"/>
          <w:spacing w:val="1"/>
          <w:sz w:val="20"/>
          <w:szCs w:val="20"/>
        </w:rPr>
        <w:t xml:space="preserve"> </w:t>
      </w:r>
      <w:r>
        <w:rPr>
          <w:rFonts w:ascii="宋体" w:hAnsi="宋体" w:eastAsia="宋体" w:cs="宋体"/>
          <w:spacing w:val="1"/>
          <w:sz w:val="20"/>
          <w:szCs w:val="20"/>
        </w:rPr>
        <w:t>感染，该情况通常发生在不发达、卫生条</w:t>
      </w:r>
      <w:r>
        <w:rPr>
          <w:rFonts w:ascii="宋体" w:hAnsi="宋体" w:eastAsia="宋体" w:cs="宋体"/>
          <w:sz w:val="20"/>
          <w:szCs w:val="20"/>
        </w:rPr>
        <w:t xml:space="preserve"> </w:t>
      </w:r>
      <w:r>
        <w:rPr>
          <w:rFonts w:ascii="宋体" w:hAnsi="宋体" w:eastAsia="宋体" w:cs="宋体"/>
          <w:spacing w:val="1"/>
          <w:sz w:val="20"/>
          <w:szCs w:val="20"/>
        </w:rPr>
        <w:t>件欠佳的地区，在这些地区感染者随粪便排出的</w:t>
      </w:r>
      <w:r>
        <w:rPr>
          <w:rFonts w:ascii="宋体" w:hAnsi="宋体" w:eastAsia="宋体" w:cs="宋体"/>
          <w:sz w:val="20"/>
          <w:szCs w:val="20"/>
        </w:rPr>
        <w:t>HAV</w:t>
      </w:r>
      <w:r>
        <w:rPr>
          <w:rFonts w:ascii="宋体" w:hAnsi="宋体" w:eastAsia="宋体" w:cs="宋体"/>
          <w:spacing w:val="73"/>
          <w:sz w:val="20"/>
          <w:szCs w:val="20"/>
        </w:rPr>
        <w:t xml:space="preserve"> </w:t>
      </w:r>
      <w:r>
        <w:rPr>
          <w:rFonts w:ascii="宋体" w:hAnsi="宋体" w:eastAsia="宋体" w:cs="宋体"/>
          <w:spacing w:val="1"/>
          <w:sz w:val="20"/>
          <w:szCs w:val="20"/>
        </w:rPr>
        <w:t>会污染</w:t>
      </w:r>
      <w:r>
        <w:rPr>
          <w:rFonts w:ascii="宋体" w:hAnsi="宋体" w:eastAsia="宋体" w:cs="宋体"/>
          <w:sz w:val="20"/>
          <w:szCs w:val="20"/>
        </w:rPr>
        <w:t xml:space="preserve">饮用水，造成甲肝的暴发或流行。经 </w:t>
      </w:r>
      <w:r>
        <w:rPr>
          <w:rFonts w:ascii="宋体" w:hAnsi="宋体" w:eastAsia="宋体" w:cs="宋体"/>
          <w:spacing w:val="-3"/>
          <w:sz w:val="20"/>
          <w:szCs w:val="20"/>
        </w:rPr>
        <w:t>水传播是甲肝呈地方性流行的重要原因。</w:t>
      </w:r>
    </w:p>
    <w:p w14:paraId="7192A182">
      <w:pPr>
        <w:pStyle w:val="2"/>
        <w:spacing w:before="112" w:line="301" w:lineRule="auto"/>
        <w:ind w:left="670" w:firstLine="379"/>
        <w:rPr>
          <w:rFonts w:ascii="宋体" w:hAnsi="宋体" w:eastAsia="宋体" w:cs="宋体"/>
          <w:sz w:val="20"/>
          <w:szCs w:val="20"/>
        </w:rPr>
      </w:pPr>
      <w:r>
        <w:rPr>
          <w:rFonts w:ascii="Times New Roman" w:hAnsi="Times New Roman" w:eastAsia="Times New Roman" w:cs="Times New Roman"/>
          <w:b/>
          <w:bCs/>
          <w:spacing w:val="-4"/>
          <w:sz w:val="20"/>
          <w:szCs w:val="20"/>
        </w:rPr>
        <w:t>3.</w:t>
      </w:r>
      <w:r>
        <w:rPr>
          <w:rFonts w:ascii="Times New Roman" w:hAnsi="Times New Roman" w:eastAsia="Times New Roman" w:cs="Times New Roman"/>
          <w:b/>
          <w:bCs/>
          <w:spacing w:val="26"/>
          <w:w w:val="101"/>
          <w:sz w:val="20"/>
          <w:szCs w:val="20"/>
        </w:rPr>
        <w:t xml:space="preserve">  </w:t>
      </w:r>
      <w:r>
        <w:rPr>
          <w:b/>
          <w:bCs/>
          <w:spacing w:val="-4"/>
          <w:sz w:val="20"/>
          <w:szCs w:val="20"/>
        </w:rPr>
        <w:t>其他途径</w:t>
      </w:r>
      <w:r>
        <w:rPr>
          <w:spacing w:val="-4"/>
          <w:sz w:val="20"/>
          <w:szCs w:val="20"/>
        </w:rPr>
        <w:t xml:space="preserve">  </w:t>
      </w:r>
      <w:r>
        <w:rPr>
          <w:rFonts w:ascii="宋体" w:hAnsi="宋体" w:eastAsia="宋体" w:cs="宋体"/>
          <w:spacing w:val="-4"/>
          <w:sz w:val="20"/>
          <w:szCs w:val="20"/>
        </w:rPr>
        <w:t>甲肝可通过</w:t>
      </w:r>
      <w:r>
        <w:rPr>
          <w:rFonts w:ascii="Times New Roman" w:hAnsi="Times New Roman" w:eastAsia="Times New Roman" w:cs="Times New Roman"/>
          <w:spacing w:val="-4"/>
          <w:sz w:val="20"/>
          <w:szCs w:val="20"/>
        </w:rPr>
        <w:t>HAV</w:t>
      </w:r>
      <w:r>
        <w:rPr>
          <w:rFonts w:ascii="Times New Roman" w:hAnsi="Times New Roman" w:eastAsia="Times New Roman" w:cs="Times New Roman"/>
          <w:spacing w:val="-10"/>
          <w:sz w:val="20"/>
          <w:szCs w:val="20"/>
        </w:rPr>
        <w:t xml:space="preserve"> </w:t>
      </w:r>
      <w:r>
        <w:rPr>
          <w:rFonts w:ascii="宋体" w:hAnsi="宋体" w:eastAsia="宋体" w:cs="宋体"/>
          <w:spacing w:val="-4"/>
          <w:sz w:val="20"/>
          <w:szCs w:val="20"/>
        </w:rPr>
        <w:t>污染的手、食品、玩具等，直接或间接经口传播，多见于学校、</w:t>
      </w:r>
      <w:r>
        <w:rPr>
          <w:rFonts w:ascii="宋体" w:hAnsi="宋体" w:eastAsia="宋体" w:cs="宋体"/>
          <w:sz w:val="20"/>
          <w:szCs w:val="20"/>
        </w:rPr>
        <w:t xml:space="preserve"> </w:t>
      </w:r>
      <w:r>
        <w:rPr>
          <w:rFonts w:ascii="宋体" w:hAnsi="宋体" w:eastAsia="宋体" w:cs="宋体"/>
          <w:spacing w:val="1"/>
          <w:sz w:val="20"/>
          <w:szCs w:val="20"/>
        </w:rPr>
        <w:t>托幼机构、工厂和部队等集体单位。极少数情况下，</w:t>
      </w:r>
      <w:r>
        <w:rPr>
          <w:rFonts w:ascii="Times New Roman" w:hAnsi="Times New Roman" w:eastAsia="Times New Roman" w:cs="Times New Roman"/>
          <w:sz w:val="20"/>
          <w:szCs w:val="20"/>
        </w:rPr>
        <w:t>HAV</w:t>
      </w:r>
      <w:r>
        <w:rPr>
          <w:rFonts w:ascii="Times New Roman" w:hAnsi="Times New Roman" w:eastAsia="Times New Roman" w:cs="Times New Roman"/>
          <w:spacing w:val="-10"/>
          <w:sz w:val="20"/>
          <w:szCs w:val="20"/>
        </w:rPr>
        <w:t xml:space="preserve"> </w:t>
      </w:r>
      <w:r>
        <w:rPr>
          <w:rFonts w:ascii="宋体" w:hAnsi="宋体" w:eastAsia="宋体" w:cs="宋体"/>
          <w:spacing w:val="1"/>
          <w:sz w:val="20"/>
          <w:szCs w:val="20"/>
        </w:rPr>
        <w:t>感染</w:t>
      </w:r>
      <w:r>
        <w:rPr>
          <w:rFonts w:ascii="宋体" w:hAnsi="宋体" w:eastAsia="宋体" w:cs="宋体"/>
          <w:sz w:val="20"/>
          <w:szCs w:val="20"/>
        </w:rPr>
        <w:t xml:space="preserve">者在出现病毒血症时，可经血液传  </w:t>
      </w:r>
      <w:r>
        <w:rPr>
          <w:rFonts w:ascii="宋体" w:hAnsi="宋体" w:eastAsia="宋体" w:cs="宋体"/>
          <w:spacing w:val="-6"/>
          <w:sz w:val="20"/>
          <w:szCs w:val="20"/>
        </w:rPr>
        <w:t>播。此外，男男性行为者由于不安全性行为，可能导致甲肝传播。</w:t>
      </w:r>
    </w:p>
    <w:p w14:paraId="4555A40F">
      <w:pPr>
        <w:pStyle w:val="2"/>
        <w:spacing w:before="149" w:line="221" w:lineRule="auto"/>
        <w:ind w:left="1052"/>
        <w:rPr>
          <w:sz w:val="20"/>
          <w:szCs w:val="20"/>
        </w:rPr>
      </w:pPr>
      <w:r>
        <w:rPr>
          <w:b/>
          <w:bCs/>
          <w:spacing w:val="19"/>
          <w:sz w:val="20"/>
          <w:szCs w:val="20"/>
        </w:rPr>
        <w:t>(三)人群易感性</w:t>
      </w:r>
    </w:p>
    <w:p w14:paraId="11C8C36E">
      <w:pPr>
        <w:spacing w:before="92" w:line="341" w:lineRule="auto"/>
        <w:ind w:left="670" w:right="20" w:firstLine="379"/>
        <w:jc w:val="both"/>
        <w:rPr>
          <w:rFonts w:ascii="宋体" w:hAnsi="宋体" w:eastAsia="宋体" w:cs="宋体"/>
          <w:sz w:val="20"/>
          <w:szCs w:val="20"/>
        </w:rPr>
      </w:pPr>
      <w:r>
        <w:rPr>
          <w:rFonts w:ascii="宋体" w:hAnsi="宋体" w:eastAsia="宋体" w:cs="宋体"/>
          <w:spacing w:val="3"/>
          <w:sz w:val="20"/>
          <w:szCs w:val="20"/>
        </w:rPr>
        <w:t>抗-</w:t>
      </w:r>
      <w:r>
        <w:rPr>
          <w:rFonts w:ascii="Times New Roman" w:hAnsi="Times New Roman" w:eastAsia="Times New Roman" w:cs="Times New Roman"/>
          <w:sz w:val="20"/>
          <w:szCs w:val="20"/>
        </w:rPr>
        <w:t>HAVIgG</w:t>
      </w:r>
      <w:r>
        <w:rPr>
          <w:rFonts w:ascii="Times New Roman" w:hAnsi="Times New Roman" w:eastAsia="Times New Roman" w:cs="Times New Roman"/>
          <w:spacing w:val="3"/>
          <w:sz w:val="20"/>
          <w:szCs w:val="20"/>
        </w:rPr>
        <w:t xml:space="preserve"> </w:t>
      </w:r>
      <w:r>
        <w:rPr>
          <w:rFonts w:ascii="宋体" w:hAnsi="宋体" w:eastAsia="宋体" w:cs="宋体"/>
          <w:spacing w:val="3"/>
          <w:sz w:val="20"/>
          <w:szCs w:val="20"/>
        </w:rPr>
        <w:t>阴性者对</w:t>
      </w:r>
      <w:r>
        <w:rPr>
          <w:rFonts w:ascii="Times New Roman" w:hAnsi="Times New Roman" w:eastAsia="Times New Roman" w:cs="Times New Roman"/>
          <w:sz w:val="20"/>
          <w:szCs w:val="20"/>
        </w:rPr>
        <w:t>HAV</w:t>
      </w:r>
      <w:r>
        <w:rPr>
          <w:rFonts w:ascii="宋体" w:hAnsi="宋体" w:eastAsia="宋体" w:cs="宋体"/>
          <w:spacing w:val="3"/>
          <w:sz w:val="20"/>
          <w:szCs w:val="20"/>
        </w:rPr>
        <w:t>易感。接种甲肝疫苗和既往感染</w:t>
      </w:r>
      <w:r>
        <w:rPr>
          <w:rFonts w:ascii="Times New Roman" w:hAnsi="Times New Roman" w:eastAsia="Times New Roman" w:cs="Times New Roman"/>
          <w:sz w:val="20"/>
          <w:szCs w:val="20"/>
        </w:rPr>
        <w:t>HAV</w:t>
      </w:r>
      <w:r>
        <w:rPr>
          <w:rFonts w:ascii="Times New Roman" w:hAnsi="Times New Roman" w:eastAsia="Times New Roman" w:cs="Times New Roman"/>
          <w:spacing w:val="-10"/>
          <w:sz w:val="20"/>
          <w:szCs w:val="20"/>
        </w:rPr>
        <w:t xml:space="preserve"> </w:t>
      </w:r>
      <w:r>
        <w:rPr>
          <w:rFonts w:ascii="宋体" w:hAnsi="宋体" w:eastAsia="宋体" w:cs="宋体"/>
          <w:spacing w:val="3"/>
          <w:sz w:val="20"/>
          <w:szCs w:val="20"/>
        </w:rPr>
        <w:t>都可获得抗-</w:t>
      </w:r>
      <w:r>
        <w:rPr>
          <w:rFonts w:ascii="Times New Roman" w:hAnsi="Times New Roman" w:eastAsia="Times New Roman" w:cs="Times New Roman"/>
          <w:sz w:val="20"/>
          <w:szCs w:val="20"/>
        </w:rPr>
        <w:t>HAV</w:t>
      </w:r>
      <w:r>
        <w:rPr>
          <w:rFonts w:ascii="Times New Roman" w:hAnsi="Times New Roman" w:eastAsia="Times New Roman" w:cs="Times New Roman"/>
          <w:spacing w:val="3"/>
          <w:sz w:val="20"/>
          <w:szCs w:val="20"/>
        </w:rPr>
        <w:t xml:space="preserve"> </w:t>
      </w:r>
      <w:r>
        <w:rPr>
          <w:rFonts w:ascii="Times New Roman" w:hAnsi="Times New Roman" w:eastAsia="Times New Roman" w:cs="Times New Roman"/>
          <w:sz w:val="20"/>
          <w:szCs w:val="20"/>
        </w:rPr>
        <w:t>IgG</w:t>
      </w:r>
      <w:r>
        <w:rPr>
          <w:rFonts w:ascii="宋体" w:hAnsi="宋体" w:eastAsia="宋体" w:cs="宋体"/>
          <w:spacing w:val="3"/>
          <w:sz w:val="20"/>
          <w:szCs w:val="20"/>
        </w:rPr>
        <w:t>抗体，</w:t>
      </w:r>
      <w:r>
        <w:rPr>
          <w:rFonts w:ascii="宋体" w:hAnsi="宋体" w:eastAsia="宋体" w:cs="宋体"/>
          <w:sz w:val="20"/>
          <w:szCs w:val="20"/>
        </w:rPr>
        <w:t xml:space="preserve"> </w:t>
      </w:r>
      <w:r>
        <w:rPr>
          <w:rFonts w:ascii="宋体" w:hAnsi="宋体" w:eastAsia="宋体" w:cs="宋体"/>
          <w:spacing w:val="-2"/>
          <w:sz w:val="20"/>
          <w:szCs w:val="20"/>
        </w:rPr>
        <w:t>降低人群易感性。在大多数低收入地区，儿童易感且感染率</w:t>
      </w:r>
      <w:r>
        <w:rPr>
          <w:rFonts w:ascii="宋体" w:hAnsi="宋体" w:eastAsia="宋体" w:cs="宋体"/>
          <w:spacing w:val="-3"/>
          <w:sz w:val="20"/>
          <w:szCs w:val="20"/>
        </w:rPr>
        <w:t>高，感染后可获得持久免疫力，青少年</w:t>
      </w:r>
      <w:r>
        <w:rPr>
          <w:rFonts w:ascii="宋体" w:hAnsi="宋体" w:eastAsia="宋体" w:cs="宋体"/>
          <w:sz w:val="20"/>
          <w:szCs w:val="20"/>
        </w:rPr>
        <w:t xml:space="preserve"> </w:t>
      </w:r>
      <w:r>
        <w:rPr>
          <w:rFonts w:ascii="宋体" w:hAnsi="宋体" w:eastAsia="宋体" w:cs="宋体"/>
          <w:spacing w:val="-2"/>
          <w:sz w:val="20"/>
          <w:szCs w:val="20"/>
        </w:rPr>
        <w:t>和成人中基本无易感者；在大多数中等收入地区，存在大量的易</w:t>
      </w:r>
      <w:r>
        <w:rPr>
          <w:rFonts w:ascii="宋体" w:hAnsi="宋体" w:eastAsia="宋体" w:cs="宋体"/>
          <w:spacing w:val="-3"/>
          <w:sz w:val="20"/>
          <w:szCs w:val="20"/>
        </w:rPr>
        <w:t>感青少年和成人；在大多数高收入</w:t>
      </w:r>
    </w:p>
    <w:p w14:paraId="6965E059">
      <w:pPr>
        <w:spacing w:line="341" w:lineRule="auto"/>
        <w:rPr>
          <w:rFonts w:ascii="宋体" w:hAnsi="宋体" w:eastAsia="宋体" w:cs="宋体"/>
          <w:sz w:val="20"/>
          <w:szCs w:val="20"/>
        </w:rPr>
        <w:sectPr>
          <w:footerReference r:id="rId319" w:type="default"/>
          <w:pgSz w:w="11900" w:h="16820"/>
          <w:pgMar w:top="400" w:right="1659" w:bottom="878" w:left="979" w:header="0" w:footer="725" w:gutter="0"/>
          <w:cols w:space="720" w:num="1"/>
        </w:sectPr>
      </w:pPr>
    </w:p>
    <w:p w14:paraId="140EB9E5">
      <w:pPr>
        <w:pStyle w:val="2"/>
        <w:spacing w:before="177" w:line="222" w:lineRule="auto"/>
        <w:ind w:left="7249"/>
        <w:rPr>
          <w:sz w:val="21"/>
          <w:szCs w:val="21"/>
        </w:rPr>
      </w:pPr>
      <w:r>
        <w:rPr>
          <w:spacing w:val="-21"/>
          <w:w w:val="97"/>
          <w:sz w:val="21"/>
          <w:szCs w:val="21"/>
        </w:rPr>
        <w:t>第十九章 病毒性肝炎</w:t>
      </w:r>
    </w:p>
    <w:p w14:paraId="7F2E3CC0">
      <w:pPr>
        <w:spacing w:line="258" w:lineRule="auto"/>
        <w:rPr>
          <w:rFonts w:ascii="Arial"/>
          <w:sz w:val="21"/>
        </w:rPr>
      </w:pPr>
    </w:p>
    <w:p w14:paraId="70A162A4">
      <w:pPr>
        <w:spacing w:line="258" w:lineRule="auto"/>
        <w:rPr>
          <w:rFonts w:ascii="Arial"/>
          <w:sz w:val="21"/>
        </w:rPr>
      </w:pPr>
    </w:p>
    <w:p w14:paraId="5468C524">
      <w:pPr>
        <w:spacing w:before="68" w:line="328" w:lineRule="auto"/>
        <w:ind w:right="663"/>
        <w:rPr>
          <w:rFonts w:ascii="宋体" w:hAnsi="宋体" w:eastAsia="宋体" w:cs="宋体"/>
          <w:sz w:val="21"/>
          <w:szCs w:val="21"/>
        </w:rPr>
      </w:pPr>
      <w:r>
        <w:rPr>
          <w:rFonts w:ascii="宋体" w:hAnsi="宋体" w:eastAsia="宋体" w:cs="宋体"/>
          <w:spacing w:val="-6"/>
          <w:sz w:val="21"/>
          <w:szCs w:val="21"/>
        </w:rPr>
        <w:t>地区，存在高比例的成年易感者。食品生产经营从业人</w:t>
      </w:r>
      <w:r>
        <w:rPr>
          <w:rFonts w:ascii="宋体" w:hAnsi="宋体" w:eastAsia="宋体" w:cs="宋体"/>
          <w:spacing w:val="-7"/>
          <w:sz w:val="21"/>
          <w:szCs w:val="21"/>
        </w:rPr>
        <w:t>员、托幼机构工作人员、集体生活人员、灾区</w:t>
      </w:r>
      <w:r>
        <w:rPr>
          <w:rFonts w:ascii="宋体" w:hAnsi="宋体" w:eastAsia="宋体" w:cs="宋体"/>
          <w:sz w:val="21"/>
          <w:szCs w:val="21"/>
        </w:rPr>
        <w:t xml:space="preserve"> 人群和前往高流行地区的旅行者等人群感染</w:t>
      </w:r>
      <w:r>
        <w:rPr>
          <w:rFonts w:ascii="Times New Roman" w:hAnsi="Times New Roman" w:eastAsia="Times New Roman" w:cs="Times New Roman"/>
          <w:sz w:val="21"/>
          <w:szCs w:val="21"/>
        </w:rPr>
        <w:t>HAV</w:t>
      </w:r>
      <w:r>
        <w:rPr>
          <w:rFonts w:ascii="宋体" w:hAnsi="宋体" w:eastAsia="宋体" w:cs="宋体"/>
          <w:sz w:val="21"/>
          <w:szCs w:val="21"/>
        </w:rPr>
        <w:t>的风险高，是重要的易感人群。</w:t>
      </w:r>
    </w:p>
    <w:p w14:paraId="5ABAA49B">
      <w:pPr>
        <w:pStyle w:val="2"/>
        <w:spacing w:before="202" w:line="222" w:lineRule="auto"/>
        <w:ind w:left="463"/>
        <w:outlineLvl w:val="4"/>
        <w:rPr>
          <w:sz w:val="25"/>
          <w:szCs w:val="25"/>
        </w:rPr>
      </w:pPr>
      <w:bookmarkStart w:id="487" w:name="bookmark305"/>
      <w:bookmarkEnd w:id="487"/>
      <w:r>
        <w:rPr>
          <w:b/>
          <w:bCs/>
          <w:spacing w:val="-2"/>
          <w:sz w:val="25"/>
          <w:szCs w:val="25"/>
        </w:rPr>
        <w:t>二</w:t>
      </w:r>
      <w:r>
        <w:rPr>
          <w:spacing w:val="-49"/>
          <w:sz w:val="25"/>
          <w:szCs w:val="25"/>
        </w:rPr>
        <w:t xml:space="preserve"> </w:t>
      </w:r>
      <w:r>
        <w:rPr>
          <w:b/>
          <w:bCs/>
          <w:spacing w:val="-2"/>
          <w:sz w:val="25"/>
          <w:szCs w:val="25"/>
        </w:rPr>
        <w:t>、乙型肝炎</w:t>
      </w:r>
    </w:p>
    <w:p w14:paraId="0D95BF24">
      <w:pPr>
        <w:pStyle w:val="2"/>
        <w:spacing w:before="230" w:line="221" w:lineRule="auto"/>
        <w:ind w:left="459"/>
        <w:rPr>
          <w:sz w:val="25"/>
          <w:szCs w:val="25"/>
        </w:rPr>
      </w:pPr>
      <w:r>
        <w:rPr>
          <w:spacing w:val="4"/>
          <w:sz w:val="25"/>
          <w:szCs w:val="25"/>
        </w:rPr>
        <w:t>(一)传染源</w:t>
      </w:r>
    </w:p>
    <w:p w14:paraId="7A3263C1">
      <w:pPr>
        <w:spacing w:before="89" w:line="328" w:lineRule="auto"/>
        <w:ind w:right="630" w:firstLine="459"/>
        <w:jc w:val="both"/>
        <w:rPr>
          <w:rFonts w:ascii="宋体" w:hAnsi="宋体" w:eastAsia="宋体" w:cs="宋体"/>
          <w:sz w:val="21"/>
          <w:szCs w:val="21"/>
        </w:rPr>
      </w:pPr>
      <w:r>
        <w:rPr>
          <w:rFonts w:ascii="宋体" w:hAnsi="宋体" w:eastAsia="宋体" w:cs="宋体"/>
          <w:sz w:val="21"/>
          <w:szCs w:val="21"/>
        </w:rPr>
        <w:t>乙肝的传染源主要是急性、慢性乙肝病人和</w:t>
      </w:r>
      <w:r>
        <w:rPr>
          <w:rFonts w:ascii="Times New Roman" w:hAnsi="Times New Roman" w:eastAsia="Times New Roman" w:cs="Times New Roman"/>
          <w:sz w:val="21"/>
          <w:szCs w:val="21"/>
        </w:rPr>
        <w:t>HBV</w:t>
      </w:r>
      <w:r>
        <w:rPr>
          <w:rFonts w:ascii="Times New Roman" w:hAnsi="Times New Roman" w:eastAsia="Times New Roman" w:cs="Times New Roman"/>
          <w:spacing w:val="-12"/>
          <w:sz w:val="21"/>
          <w:szCs w:val="21"/>
        </w:rPr>
        <w:t xml:space="preserve"> </w:t>
      </w:r>
      <w:r>
        <w:rPr>
          <w:rFonts w:ascii="宋体" w:hAnsi="宋体" w:eastAsia="宋体" w:cs="宋体"/>
          <w:sz w:val="21"/>
          <w:szCs w:val="21"/>
        </w:rPr>
        <w:t>携带者，</w:t>
      </w:r>
      <w:r>
        <w:rPr>
          <w:rFonts w:ascii="Times New Roman" w:hAnsi="Times New Roman" w:eastAsia="Times New Roman" w:cs="Times New Roman"/>
          <w:sz w:val="21"/>
          <w:szCs w:val="21"/>
        </w:rPr>
        <w:t xml:space="preserve">HBV </w:t>
      </w:r>
      <w:r>
        <w:rPr>
          <w:rFonts w:ascii="宋体" w:hAnsi="宋体" w:eastAsia="宋体" w:cs="宋体"/>
          <w:sz w:val="21"/>
          <w:szCs w:val="21"/>
        </w:rPr>
        <w:t>主要</w:t>
      </w:r>
      <w:r>
        <w:rPr>
          <w:rFonts w:ascii="宋体" w:hAnsi="宋体" w:eastAsia="宋体" w:cs="宋体"/>
          <w:spacing w:val="-1"/>
          <w:sz w:val="21"/>
          <w:szCs w:val="21"/>
        </w:rPr>
        <w:t>存在于血液、体液和分泌</w:t>
      </w:r>
      <w:r>
        <w:rPr>
          <w:rFonts w:ascii="宋体" w:hAnsi="宋体" w:eastAsia="宋体" w:cs="宋体"/>
          <w:sz w:val="21"/>
          <w:szCs w:val="21"/>
        </w:rPr>
        <w:t xml:space="preserve"> </w:t>
      </w:r>
      <w:r>
        <w:rPr>
          <w:rFonts w:ascii="宋体" w:hAnsi="宋体" w:eastAsia="宋体" w:cs="宋体"/>
          <w:spacing w:val="10"/>
          <w:sz w:val="21"/>
          <w:szCs w:val="21"/>
        </w:rPr>
        <w:t>物中，传染性强弱与其中的</w:t>
      </w:r>
      <w:r>
        <w:rPr>
          <w:rFonts w:ascii="宋体" w:hAnsi="宋体" w:eastAsia="宋体" w:cs="宋体"/>
          <w:sz w:val="21"/>
          <w:szCs w:val="21"/>
        </w:rPr>
        <w:t>HBV</w:t>
      </w:r>
      <w:r>
        <w:rPr>
          <w:rFonts w:ascii="宋体" w:hAnsi="宋体" w:eastAsia="宋体" w:cs="宋体"/>
          <w:spacing w:val="10"/>
          <w:sz w:val="21"/>
          <w:szCs w:val="21"/>
        </w:rPr>
        <w:t xml:space="preserve">   </w:t>
      </w:r>
      <w:r>
        <w:rPr>
          <w:rFonts w:ascii="宋体" w:hAnsi="宋体" w:eastAsia="宋体" w:cs="宋体"/>
          <w:sz w:val="21"/>
          <w:szCs w:val="21"/>
        </w:rPr>
        <w:t>DNA</w:t>
      </w:r>
      <w:r>
        <w:rPr>
          <w:rFonts w:ascii="宋体" w:hAnsi="宋体" w:eastAsia="宋体" w:cs="宋体"/>
          <w:spacing w:val="10"/>
          <w:sz w:val="21"/>
          <w:szCs w:val="21"/>
        </w:rPr>
        <w:t>含量成正比。乙肝的潜伏期一般为45～180天，平均60~</w:t>
      </w:r>
      <w:r>
        <w:rPr>
          <w:rFonts w:ascii="宋体" w:hAnsi="宋体" w:eastAsia="宋体" w:cs="宋体"/>
          <w:spacing w:val="3"/>
          <w:sz w:val="21"/>
          <w:szCs w:val="21"/>
        </w:rPr>
        <w:t xml:space="preserve"> </w:t>
      </w:r>
      <w:r>
        <w:rPr>
          <w:rFonts w:ascii="宋体" w:hAnsi="宋体" w:eastAsia="宋体" w:cs="宋体"/>
          <w:spacing w:val="18"/>
          <w:sz w:val="21"/>
          <w:szCs w:val="21"/>
        </w:rPr>
        <w:t>90天。</w:t>
      </w:r>
    </w:p>
    <w:p w14:paraId="253B0DB8">
      <w:pPr>
        <w:pStyle w:val="2"/>
        <w:spacing w:before="13" w:line="276" w:lineRule="auto"/>
        <w:ind w:right="675" w:firstLine="459"/>
        <w:rPr>
          <w:rFonts w:ascii="宋体" w:hAnsi="宋体" w:eastAsia="宋体" w:cs="宋体"/>
          <w:sz w:val="21"/>
          <w:szCs w:val="21"/>
        </w:rPr>
      </w:pPr>
      <w:r>
        <w:rPr>
          <w:rFonts w:ascii="宋体" w:hAnsi="宋体" w:eastAsia="宋体" w:cs="宋体"/>
          <w:spacing w:val="2"/>
          <w:sz w:val="21"/>
          <w:szCs w:val="21"/>
        </w:rPr>
        <w:t xml:space="preserve">1. </w:t>
      </w:r>
      <w:r>
        <w:rPr>
          <w:spacing w:val="2"/>
          <w:sz w:val="21"/>
          <w:szCs w:val="21"/>
        </w:rPr>
        <w:t xml:space="preserve">急性乙肝病人 </w:t>
      </w:r>
      <w:r>
        <w:rPr>
          <w:rFonts w:ascii="宋体" w:hAnsi="宋体" w:eastAsia="宋体" w:cs="宋体"/>
          <w:spacing w:val="2"/>
          <w:sz w:val="21"/>
          <w:szCs w:val="21"/>
        </w:rPr>
        <w:t>急性乙肝病人在潜伏期末和急性期均具有传染性，可经血液、母婴等途径</w:t>
      </w:r>
      <w:r>
        <w:rPr>
          <w:rFonts w:ascii="宋体" w:hAnsi="宋体" w:eastAsia="宋体" w:cs="宋体"/>
          <w:sz w:val="21"/>
          <w:szCs w:val="21"/>
        </w:rPr>
        <w:t xml:space="preserve"> </w:t>
      </w:r>
      <w:r>
        <w:rPr>
          <w:rFonts w:ascii="宋体" w:hAnsi="宋体" w:eastAsia="宋体" w:cs="宋体"/>
          <w:spacing w:val="2"/>
          <w:sz w:val="21"/>
          <w:szCs w:val="21"/>
        </w:rPr>
        <w:t>传播，是传染源之一。</w:t>
      </w:r>
    </w:p>
    <w:p w14:paraId="04B387C3">
      <w:pPr>
        <w:pStyle w:val="2"/>
        <w:spacing w:before="104" w:line="298" w:lineRule="auto"/>
        <w:ind w:right="615" w:firstLine="459"/>
        <w:rPr>
          <w:rFonts w:ascii="宋体" w:hAnsi="宋体" w:eastAsia="宋体" w:cs="宋体"/>
          <w:sz w:val="21"/>
          <w:szCs w:val="21"/>
        </w:rPr>
      </w:pPr>
      <w:r>
        <w:rPr>
          <w:rFonts w:ascii="宋体" w:hAnsi="宋体" w:eastAsia="宋体" w:cs="宋体"/>
          <w:spacing w:val="-2"/>
          <w:sz w:val="21"/>
          <w:szCs w:val="21"/>
        </w:rPr>
        <w:t xml:space="preserve">2. 慢性乙肝病人和HBV  </w:t>
      </w:r>
      <w:r>
        <w:rPr>
          <w:spacing w:val="-2"/>
          <w:sz w:val="21"/>
          <w:szCs w:val="21"/>
        </w:rPr>
        <w:t>携带者</w:t>
      </w:r>
      <w:r>
        <w:rPr>
          <w:spacing w:val="72"/>
          <w:sz w:val="21"/>
          <w:szCs w:val="21"/>
        </w:rPr>
        <w:t xml:space="preserve"> </w:t>
      </w:r>
      <w:r>
        <w:rPr>
          <w:rFonts w:ascii="宋体" w:hAnsi="宋体" w:eastAsia="宋体" w:cs="宋体"/>
          <w:spacing w:val="-2"/>
          <w:sz w:val="21"/>
          <w:szCs w:val="21"/>
        </w:rPr>
        <w:t>慢性乙肝病人数量多于急性病人，病情隐匿、反复发</w:t>
      </w:r>
      <w:r>
        <w:rPr>
          <w:rFonts w:ascii="宋体" w:hAnsi="宋体" w:eastAsia="宋体" w:cs="宋体"/>
          <w:spacing w:val="-3"/>
          <w:sz w:val="21"/>
          <w:szCs w:val="21"/>
        </w:rPr>
        <w:t>作或迁</w:t>
      </w:r>
      <w:r>
        <w:rPr>
          <w:rFonts w:ascii="宋体" w:hAnsi="宋体" w:eastAsia="宋体" w:cs="宋体"/>
          <w:sz w:val="21"/>
          <w:szCs w:val="21"/>
        </w:rPr>
        <w:t xml:space="preserve"> </w:t>
      </w:r>
      <w:r>
        <w:rPr>
          <w:rFonts w:ascii="宋体" w:hAnsi="宋体" w:eastAsia="宋体" w:cs="宋体"/>
          <w:spacing w:val="-7"/>
          <w:sz w:val="21"/>
          <w:szCs w:val="21"/>
        </w:rPr>
        <w:t>延不愈，病毒长期存在于体内；</w:t>
      </w:r>
      <w:r>
        <w:rPr>
          <w:rFonts w:ascii="Times New Roman" w:hAnsi="Times New Roman" w:eastAsia="Times New Roman" w:cs="Times New Roman"/>
          <w:spacing w:val="-7"/>
          <w:sz w:val="21"/>
          <w:szCs w:val="21"/>
        </w:rPr>
        <w:t>HBV</w:t>
      </w:r>
      <w:r>
        <w:rPr>
          <w:rFonts w:ascii="Times New Roman" w:hAnsi="Times New Roman" w:eastAsia="Times New Roman" w:cs="Times New Roman"/>
          <w:spacing w:val="3"/>
          <w:sz w:val="21"/>
          <w:szCs w:val="21"/>
        </w:rPr>
        <w:t xml:space="preserve"> </w:t>
      </w:r>
      <w:r>
        <w:rPr>
          <w:rFonts w:ascii="宋体" w:hAnsi="宋体" w:eastAsia="宋体" w:cs="宋体"/>
          <w:spacing w:val="-7"/>
          <w:sz w:val="21"/>
          <w:szCs w:val="21"/>
        </w:rPr>
        <w:t>携带者数量多、分布地区广、携带病毒时间长、活动不受限制。</w:t>
      </w:r>
      <w:r>
        <w:rPr>
          <w:rFonts w:ascii="宋体" w:hAnsi="宋体" w:eastAsia="宋体" w:cs="宋体"/>
          <w:sz w:val="21"/>
          <w:szCs w:val="21"/>
        </w:rPr>
        <w:t xml:space="preserve"> 因此，二者作为传染源的意义更大。孕妇中的慢性乙肝病人和HBV</w:t>
      </w:r>
      <w:r>
        <w:rPr>
          <w:rFonts w:ascii="宋体" w:hAnsi="宋体" w:eastAsia="宋体" w:cs="宋体"/>
          <w:spacing w:val="54"/>
          <w:sz w:val="21"/>
          <w:szCs w:val="21"/>
        </w:rPr>
        <w:t xml:space="preserve"> </w:t>
      </w:r>
      <w:r>
        <w:rPr>
          <w:rFonts w:ascii="宋体" w:hAnsi="宋体" w:eastAsia="宋体" w:cs="宋体"/>
          <w:sz w:val="21"/>
          <w:szCs w:val="21"/>
        </w:rPr>
        <w:t>携带者可将HBV</w:t>
      </w:r>
      <w:r>
        <w:rPr>
          <w:rFonts w:ascii="宋体" w:hAnsi="宋体" w:eastAsia="宋体" w:cs="宋体"/>
          <w:spacing w:val="54"/>
          <w:sz w:val="21"/>
          <w:szCs w:val="21"/>
        </w:rPr>
        <w:t xml:space="preserve"> </w:t>
      </w:r>
      <w:r>
        <w:rPr>
          <w:rFonts w:ascii="宋体" w:hAnsi="宋体" w:eastAsia="宋体" w:cs="宋体"/>
          <w:sz w:val="21"/>
          <w:szCs w:val="21"/>
        </w:rPr>
        <w:t xml:space="preserve">传播给新生儿 </w:t>
      </w:r>
      <w:r>
        <w:rPr>
          <w:rFonts w:ascii="宋体" w:hAnsi="宋体" w:eastAsia="宋体" w:cs="宋体"/>
          <w:spacing w:val="-4"/>
          <w:sz w:val="21"/>
          <w:szCs w:val="21"/>
        </w:rPr>
        <w:t>和婴儿，是重要的传染源。</w:t>
      </w:r>
    </w:p>
    <w:p w14:paraId="38D156DA">
      <w:pPr>
        <w:pStyle w:val="2"/>
        <w:spacing w:before="119" w:line="222" w:lineRule="auto"/>
        <w:ind w:left="463"/>
        <w:rPr>
          <w:sz w:val="25"/>
          <w:szCs w:val="25"/>
        </w:rPr>
      </w:pPr>
      <w:r>
        <w:rPr>
          <w:b/>
          <w:bCs/>
          <w:spacing w:val="-5"/>
          <w:sz w:val="25"/>
          <w:szCs w:val="25"/>
        </w:rPr>
        <w:t>(二)传播途径</w:t>
      </w:r>
    </w:p>
    <w:p w14:paraId="7B5AEDAB">
      <w:pPr>
        <w:spacing w:before="91" w:line="219" w:lineRule="auto"/>
        <w:ind w:left="459"/>
        <w:rPr>
          <w:rFonts w:ascii="宋体" w:hAnsi="宋体" w:eastAsia="宋体" w:cs="宋体"/>
          <w:sz w:val="21"/>
          <w:szCs w:val="21"/>
        </w:rPr>
      </w:pPr>
      <w:r>
        <w:rPr>
          <w:rFonts w:ascii="宋体" w:hAnsi="宋体" w:eastAsia="宋体" w:cs="宋体"/>
          <w:spacing w:val="-2"/>
          <w:sz w:val="21"/>
          <w:szCs w:val="21"/>
        </w:rPr>
        <w:t>乙肝的主要传播途径包括经血液传播、母婴传</w:t>
      </w:r>
      <w:r>
        <w:rPr>
          <w:rFonts w:ascii="宋体" w:hAnsi="宋体" w:eastAsia="宋体" w:cs="宋体"/>
          <w:spacing w:val="-3"/>
          <w:sz w:val="21"/>
          <w:szCs w:val="21"/>
        </w:rPr>
        <w:t>播和性传播。</w:t>
      </w:r>
    </w:p>
    <w:p w14:paraId="41656FF0">
      <w:pPr>
        <w:pStyle w:val="2"/>
        <w:spacing w:before="109" w:line="310" w:lineRule="auto"/>
        <w:ind w:right="595" w:firstLine="462"/>
        <w:rPr>
          <w:rFonts w:ascii="宋体" w:hAnsi="宋体" w:eastAsia="宋体" w:cs="宋体"/>
          <w:sz w:val="21"/>
          <w:szCs w:val="21"/>
        </w:rPr>
      </w:pPr>
      <w:r>
        <w:rPr>
          <w:rFonts w:ascii="宋体" w:hAnsi="宋体" w:eastAsia="宋体" w:cs="宋体"/>
          <w:b/>
          <w:bCs/>
          <w:spacing w:val="7"/>
          <w:sz w:val="21"/>
          <w:szCs w:val="21"/>
        </w:rPr>
        <w:t>1.</w:t>
      </w:r>
      <w:r>
        <w:rPr>
          <w:rFonts w:ascii="宋体" w:hAnsi="宋体" w:eastAsia="宋体" w:cs="宋体"/>
          <w:spacing w:val="7"/>
          <w:sz w:val="21"/>
          <w:szCs w:val="21"/>
        </w:rPr>
        <w:t xml:space="preserve"> </w:t>
      </w:r>
      <w:r>
        <w:rPr>
          <w:b/>
          <w:bCs/>
          <w:spacing w:val="7"/>
          <w:sz w:val="21"/>
          <w:szCs w:val="21"/>
        </w:rPr>
        <w:t>经血液传播</w:t>
      </w:r>
      <w:r>
        <w:rPr>
          <w:spacing w:val="7"/>
          <w:sz w:val="21"/>
          <w:szCs w:val="21"/>
        </w:rPr>
        <w:t xml:space="preserve">  </w:t>
      </w:r>
      <w:r>
        <w:rPr>
          <w:rFonts w:ascii="宋体" w:hAnsi="宋体" w:eastAsia="宋体" w:cs="宋体"/>
          <w:spacing w:val="7"/>
          <w:sz w:val="21"/>
          <w:szCs w:val="21"/>
        </w:rPr>
        <w:t>经血液传播主要存在以下5种途</w:t>
      </w:r>
      <w:r>
        <w:rPr>
          <w:rFonts w:ascii="宋体" w:hAnsi="宋体" w:eastAsia="宋体" w:cs="宋体"/>
          <w:spacing w:val="6"/>
          <w:sz w:val="21"/>
          <w:szCs w:val="21"/>
        </w:rPr>
        <w:t>径：①输血和血制品传播：我国从20世纪</w:t>
      </w:r>
      <w:r>
        <w:rPr>
          <w:rFonts w:ascii="宋体" w:hAnsi="宋体" w:eastAsia="宋体" w:cs="宋体"/>
          <w:sz w:val="21"/>
          <w:szCs w:val="21"/>
        </w:rPr>
        <w:t xml:space="preserve"> </w:t>
      </w:r>
      <w:r>
        <w:rPr>
          <w:rFonts w:ascii="宋体" w:hAnsi="宋体" w:eastAsia="宋体" w:cs="宋体"/>
          <w:spacing w:val="7"/>
          <w:sz w:val="21"/>
          <w:szCs w:val="21"/>
        </w:rPr>
        <w:t>80年代开始实施对献血者筛查</w:t>
      </w:r>
      <w:r>
        <w:rPr>
          <w:rFonts w:ascii="Times New Roman" w:hAnsi="Times New Roman" w:eastAsia="Times New Roman" w:cs="Times New Roman"/>
          <w:sz w:val="21"/>
          <w:szCs w:val="21"/>
        </w:rPr>
        <w:t>HBsAg</w:t>
      </w:r>
      <w:r>
        <w:rPr>
          <w:rFonts w:ascii="Times New Roman" w:hAnsi="Times New Roman" w:eastAsia="Times New Roman" w:cs="Times New Roman"/>
          <w:spacing w:val="7"/>
          <w:sz w:val="21"/>
          <w:szCs w:val="21"/>
        </w:rPr>
        <w:t xml:space="preserve">,2015  </w:t>
      </w:r>
      <w:r>
        <w:rPr>
          <w:rFonts w:ascii="宋体" w:hAnsi="宋体" w:eastAsia="宋体" w:cs="宋体"/>
          <w:spacing w:val="7"/>
          <w:sz w:val="21"/>
          <w:szCs w:val="21"/>
        </w:rPr>
        <w:t>年开始对</w:t>
      </w:r>
      <w:r>
        <w:rPr>
          <w:rFonts w:ascii="Times New Roman" w:hAnsi="Times New Roman" w:eastAsia="Times New Roman" w:cs="Times New Roman"/>
          <w:sz w:val="21"/>
          <w:szCs w:val="21"/>
        </w:rPr>
        <w:t>HBsAg</w:t>
      </w:r>
      <w:r>
        <w:rPr>
          <w:rFonts w:ascii="宋体" w:hAnsi="宋体" w:eastAsia="宋体" w:cs="宋体"/>
          <w:spacing w:val="7"/>
          <w:sz w:val="21"/>
          <w:szCs w:val="21"/>
        </w:rPr>
        <w:t>阴性献血者进行</w:t>
      </w:r>
      <w:r>
        <w:rPr>
          <w:rFonts w:ascii="Times New Roman" w:hAnsi="Times New Roman" w:eastAsia="Times New Roman" w:cs="Times New Roman"/>
          <w:sz w:val="21"/>
          <w:szCs w:val="21"/>
        </w:rPr>
        <w:t>HBV</w:t>
      </w:r>
      <w:r>
        <w:rPr>
          <w:rFonts w:ascii="Times New Roman" w:hAnsi="Times New Roman" w:eastAsia="Times New Roman" w:cs="Times New Roman"/>
          <w:spacing w:val="7"/>
          <w:sz w:val="21"/>
          <w:szCs w:val="21"/>
        </w:rPr>
        <w:t xml:space="preserve"> </w:t>
      </w:r>
      <w:r>
        <w:rPr>
          <w:rFonts w:ascii="Times New Roman" w:hAnsi="Times New Roman" w:eastAsia="Times New Roman" w:cs="Times New Roman"/>
          <w:sz w:val="21"/>
          <w:szCs w:val="21"/>
        </w:rPr>
        <w:t>DNA</w:t>
      </w:r>
      <w:r>
        <w:rPr>
          <w:rFonts w:ascii="Times New Roman" w:hAnsi="Times New Roman" w:eastAsia="Times New Roman" w:cs="Times New Roman"/>
          <w:spacing w:val="-9"/>
          <w:sz w:val="21"/>
          <w:szCs w:val="21"/>
        </w:rPr>
        <w:t xml:space="preserve"> </w:t>
      </w:r>
      <w:r>
        <w:rPr>
          <w:rFonts w:ascii="宋体" w:hAnsi="宋体" w:eastAsia="宋体" w:cs="宋体"/>
          <w:spacing w:val="7"/>
          <w:sz w:val="21"/>
          <w:szCs w:val="21"/>
        </w:rPr>
        <w:t>检</w:t>
      </w:r>
      <w:r>
        <w:rPr>
          <w:rFonts w:ascii="宋体" w:hAnsi="宋体" w:eastAsia="宋体" w:cs="宋体"/>
          <w:spacing w:val="6"/>
          <w:sz w:val="21"/>
          <w:szCs w:val="21"/>
        </w:rPr>
        <w:t>测，大</w:t>
      </w:r>
      <w:r>
        <w:rPr>
          <w:rFonts w:ascii="宋体" w:hAnsi="宋体" w:eastAsia="宋体" w:cs="宋体"/>
          <w:sz w:val="21"/>
          <w:szCs w:val="21"/>
        </w:rPr>
        <w:t xml:space="preserve"> </w:t>
      </w:r>
      <w:r>
        <w:rPr>
          <w:rFonts w:ascii="宋体" w:hAnsi="宋体" w:eastAsia="宋体" w:cs="宋体"/>
          <w:spacing w:val="-6"/>
          <w:sz w:val="21"/>
          <w:szCs w:val="21"/>
        </w:rPr>
        <w:t>大降低了由输血和血制品引起</w:t>
      </w:r>
      <w:r>
        <w:rPr>
          <w:rFonts w:ascii="Times New Roman" w:hAnsi="Times New Roman" w:eastAsia="Times New Roman" w:cs="Times New Roman"/>
          <w:spacing w:val="-6"/>
          <w:sz w:val="21"/>
          <w:szCs w:val="21"/>
        </w:rPr>
        <w:t xml:space="preserve">HBV </w:t>
      </w:r>
      <w:r>
        <w:rPr>
          <w:rFonts w:ascii="宋体" w:hAnsi="宋体" w:eastAsia="宋体" w:cs="宋体"/>
          <w:spacing w:val="-6"/>
          <w:sz w:val="21"/>
          <w:szCs w:val="21"/>
        </w:rPr>
        <w:t>感染的风险。②医源性传播：</w:t>
      </w:r>
      <w:r>
        <w:rPr>
          <w:rFonts w:ascii="宋体" w:hAnsi="宋体" w:eastAsia="宋体" w:cs="宋体"/>
          <w:spacing w:val="-7"/>
          <w:sz w:val="21"/>
          <w:szCs w:val="21"/>
        </w:rPr>
        <w:t>指在静脉注射、采血、针灸、手术、</w:t>
      </w:r>
      <w:r>
        <w:rPr>
          <w:rFonts w:ascii="宋体" w:hAnsi="宋体" w:eastAsia="宋体" w:cs="宋体"/>
          <w:sz w:val="21"/>
          <w:szCs w:val="21"/>
        </w:rPr>
        <w:t xml:space="preserve"> </w:t>
      </w:r>
      <w:r>
        <w:rPr>
          <w:rFonts w:ascii="宋体" w:hAnsi="宋体" w:eastAsia="宋体" w:cs="宋体"/>
          <w:spacing w:val="-3"/>
          <w:sz w:val="21"/>
          <w:szCs w:val="21"/>
        </w:rPr>
        <w:t>血液透析、器官移植、口腔治疗等过程中，使用</w:t>
      </w:r>
      <w:r>
        <w:rPr>
          <w:rFonts w:ascii="宋体" w:hAnsi="宋体" w:eastAsia="宋体" w:cs="宋体"/>
          <w:spacing w:val="-4"/>
          <w:sz w:val="21"/>
          <w:szCs w:val="21"/>
        </w:rPr>
        <w:t>被</w:t>
      </w:r>
      <w:r>
        <w:rPr>
          <w:rFonts w:ascii="Times New Roman" w:hAnsi="Times New Roman" w:eastAsia="Times New Roman" w:cs="Times New Roman"/>
          <w:spacing w:val="-4"/>
          <w:sz w:val="21"/>
          <w:szCs w:val="21"/>
        </w:rPr>
        <w:t>HBV</w:t>
      </w:r>
      <w:r>
        <w:rPr>
          <w:rFonts w:ascii="Times New Roman" w:hAnsi="Times New Roman" w:eastAsia="Times New Roman" w:cs="Times New Roman"/>
          <w:spacing w:val="-12"/>
          <w:sz w:val="21"/>
          <w:szCs w:val="21"/>
        </w:rPr>
        <w:t xml:space="preserve"> </w:t>
      </w:r>
      <w:r>
        <w:rPr>
          <w:rFonts w:ascii="宋体" w:hAnsi="宋体" w:eastAsia="宋体" w:cs="宋体"/>
          <w:spacing w:val="-4"/>
          <w:sz w:val="21"/>
          <w:szCs w:val="21"/>
        </w:rPr>
        <w:t>污染且未消毒或消毒不彻底的医疗器械引起</w:t>
      </w:r>
      <w:r>
        <w:rPr>
          <w:rFonts w:ascii="宋体" w:hAnsi="宋体" w:eastAsia="宋体" w:cs="宋体"/>
          <w:sz w:val="21"/>
          <w:szCs w:val="21"/>
        </w:rPr>
        <w:t xml:space="preserve"> </w:t>
      </w:r>
      <w:r>
        <w:rPr>
          <w:rFonts w:ascii="宋体" w:hAnsi="宋体" w:eastAsia="宋体" w:cs="宋体"/>
          <w:spacing w:val="-1"/>
          <w:sz w:val="21"/>
          <w:szCs w:val="21"/>
        </w:rPr>
        <w:t>的</w:t>
      </w:r>
      <w:r>
        <w:rPr>
          <w:rFonts w:ascii="宋体" w:hAnsi="宋体" w:eastAsia="宋体" w:cs="宋体"/>
          <w:spacing w:val="-15"/>
          <w:sz w:val="21"/>
          <w:szCs w:val="21"/>
        </w:rPr>
        <w:t xml:space="preserve"> </w:t>
      </w:r>
      <w:r>
        <w:rPr>
          <w:rFonts w:ascii="Times New Roman" w:hAnsi="Times New Roman" w:eastAsia="Times New Roman" w:cs="Times New Roman"/>
          <w:spacing w:val="-1"/>
          <w:sz w:val="21"/>
          <w:szCs w:val="21"/>
        </w:rPr>
        <w:t xml:space="preserve">HBV </w:t>
      </w:r>
      <w:r>
        <w:rPr>
          <w:rFonts w:ascii="宋体" w:hAnsi="宋体" w:eastAsia="宋体" w:cs="宋体"/>
          <w:spacing w:val="-1"/>
          <w:sz w:val="21"/>
          <w:szCs w:val="21"/>
        </w:rPr>
        <w:t>传播。随着一次性注射用品的普及应用，医源性传播已明显减少。③共用针头或针筒静脉</w:t>
      </w:r>
      <w:r>
        <w:rPr>
          <w:rFonts w:ascii="宋体" w:hAnsi="宋体" w:eastAsia="宋体" w:cs="宋体"/>
          <w:sz w:val="21"/>
          <w:szCs w:val="21"/>
        </w:rPr>
        <w:t xml:space="preserve"> </w:t>
      </w:r>
      <w:r>
        <w:rPr>
          <w:rFonts w:ascii="宋体" w:hAnsi="宋体" w:eastAsia="宋体" w:cs="宋体"/>
          <w:spacing w:val="-6"/>
          <w:sz w:val="21"/>
          <w:szCs w:val="21"/>
        </w:rPr>
        <w:t>注射吸毒一度成为</w:t>
      </w:r>
      <w:r>
        <w:rPr>
          <w:rFonts w:ascii="Times New Roman" w:hAnsi="Times New Roman" w:eastAsia="Times New Roman" w:cs="Times New Roman"/>
          <w:spacing w:val="-6"/>
          <w:sz w:val="21"/>
          <w:szCs w:val="21"/>
        </w:rPr>
        <w:t>HBV</w:t>
      </w:r>
      <w:r>
        <w:rPr>
          <w:rFonts w:ascii="Times New Roman" w:hAnsi="Times New Roman" w:eastAsia="Times New Roman" w:cs="Times New Roman"/>
          <w:spacing w:val="-1"/>
          <w:sz w:val="21"/>
          <w:szCs w:val="21"/>
        </w:rPr>
        <w:t xml:space="preserve"> </w:t>
      </w:r>
      <w:r>
        <w:rPr>
          <w:rFonts w:ascii="宋体" w:hAnsi="宋体" w:eastAsia="宋体" w:cs="宋体"/>
          <w:spacing w:val="-6"/>
          <w:sz w:val="21"/>
          <w:szCs w:val="21"/>
        </w:rPr>
        <w:t>传播的重要途径。④文身、文眉、修眉、修足、扎耳孔、刮痧等易使</w:t>
      </w:r>
      <w:r>
        <w:rPr>
          <w:rFonts w:ascii="Times New Roman" w:hAnsi="Times New Roman" w:eastAsia="Times New Roman" w:cs="Times New Roman"/>
          <w:spacing w:val="-6"/>
          <w:sz w:val="21"/>
          <w:szCs w:val="21"/>
        </w:rPr>
        <w:t>HBV</w:t>
      </w:r>
      <w:r>
        <w:rPr>
          <w:rFonts w:ascii="Times New Roman" w:hAnsi="Times New Roman" w:eastAsia="Times New Roman" w:cs="Times New Roman"/>
          <w:spacing w:val="-12"/>
          <w:sz w:val="21"/>
          <w:szCs w:val="21"/>
        </w:rPr>
        <w:t xml:space="preserve"> </w:t>
      </w:r>
      <w:r>
        <w:rPr>
          <w:rFonts w:ascii="宋体" w:hAnsi="宋体" w:eastAsia="宋体" w:cs="宋体"/>
          <w:spacing w:val="-6"/>
          <w:sz w:val="21"/>
          <w:szCs w:val="21"/>
        </w:rPr>
        <w:t>经</w:t>
      </w:r>
      <w:r>
        <w:rPr>
          <w:rFonts w:ascii="宋体" w:hAnsi="宋体" w:eastAsia="宋体" w:cs="宋体"/>
          <w:sz w:val="21"/>
          <w:szCs w:val="21"/>
        </w:rPr>
        <w:t xml:space="preserve">  </w:t>
      </w:r>
      <w:r>
        <w:rPr>
          <w:rFonts w:ascii="宋体" w:hAnsi="宋体" w:eastAsia="宋体" w:cs="宋体"/>
          <w:spacing w:val="-3"/>
          <w:sz w:val="21"/>
          <w:szCs w:val="21"/>
        </w:rPr>
        <w:t>破损的皮肤和黏膜传播。⑤日常用品如牙刷、指甲刀、修脚刀、剃须</w:t>
      </w:r>
      <w:r>
        <w:rPr>
          <w:rFonts w:ascii="宋体" w:hAnsi="宋体" w:eastAsia="宋体" w:cs="宋体"/>
          <w:spacing w:val="-4"/>
          <w:sz w:val="21"/>
          <w:szCs w:val="21"/>
        </w:rPr>
        <w:t>刀、玩具等若被</w:t>
      </w:r>
      <w:r>
        <w:rPr>
          <w:rFonts w:ascii="Times New Roman" w:hAnsi="Times New Roman" w:eastAsia="Times New Roman" w:cs="Times New Roman"/>
          <w:spacing w:val="-4"/>
          <w:sz w:val="21"/>
          <w:szCs w:val="21"/>
        </w:rPr>
        <w:t>HBV</w:t>
      </w:r>
      <w:r>
        <w:rPr>
          <w:rFonts w:ascii="Times New Roman" w:hAnsi="Times New Roman" w:eastAsia="Times New Roman" w:cs="Times New Roman"/>
          <w:spacing w:val="-12"/>
          <w:sz w:val="21"/>
          <w:szCs w:val="21"/>
        </w:rPr>
        <w:t xml:space="preserve"> </w:t>
      </w:r>
      <w:r>
        <w:rPr>
          <w:rFonts w:ascii="宋体" w:hAnsi="宋体" w:eastAsia="宋体" w:cs="宋体"/>
          <w:spacing w:val="-4"/>
          <w:sz w:val="21"/>
          <w:szCs w:val="21"/>
        </w:rPr>
        <w:t>污染也可</w:t>
      </w:r>
      <w:r>
        <w:rPr>
          <w:rFonts w:ascii="宋体" w:hAnsi="宋体" w:eastAsia="宋体" w:cs="宋体"/>
          <w:sz w:val="21"/>
          <w:szCs w:val="21"/>
        </w:rPr>
        <w:t xml:space="preserve"> </w:t>
      </w:r>
      <w:r>
        <w:rPr>
          <w:rFonts w:ascii="宋体" w:hAnsi="宋体" w:eastAsia="宋体" w:cs="宋体"/>
          <w:spacing w:val="2"/>
          <w:sz w:val="21"/>
          <w:szCs w:val="21"/>
        </w:rPr>
        <w:t>经破损的皮肤或黏膜传播</w:t>
      </w:r>
      <w:r>
        <w:rPr>
          <w:rFonts w:ascii="Times New Roman" w:hAnsi="Times New Roman" w:eastAsia="Times New Roman" w:cs="Times New Roman"/>
          <w:sz w:val="21"/>
          <w:szCs w:val="21"/>
        </w:rPr>
        <w:t>HBV</w:t>
      </w:r>
      <w:r>
        <w:rPr>
          <w:rFonts w:ascii="Times New Roman" w:hAnsi="Times New Roman" w:eastAsia="Times New Roman" w:cs="Times New Roman"/>
          <w:spacing w:val="2"/>
          <w:sz w:val="21"/>
          <w:szCs w:val="21"/>
        </w:rPr>
        <w:t xml:space="preserve">, </w:t>
      </w:r>
      <w:r>
        <w:rPr>
          <w:rFonts w:ascii="宋体" w:hAnsi="宋体" w:eastAsia="宋体" w:cs="宋体"/>
          <w:spacing w:val="2"/>
          <w:sz w:val="21"/>
          <w:szCs w:val="21"/>
        </w:rPr>
        <w:t>是造成乙肝家庭聚集性的原因之一。</w:t>
      </w:r>
    </w:p>
    <w:p w14:paraId="23C90A8B">
      <w:pPr>
        <w:pStyle w:val="2"/>
        <w:spacing w:before="158" w:line="285" w:lineRule="auto"/>
        <w:ind w:right="650" w:firstLine="459"/>
        <w:rPr>
          <w:rFonts w:ascii="宋体" w:hAnsi="宋体" w:eastAsia="宋体" w:cs="宋体"/>
          <w:sz w:val="21"/>
          <w:szCs w:val="21"/>
        </w:rPr>
      </w:pPr>
      <w:r>
        <w:rPr>
          <w:rFonts w:ascii="Times New Roman" w:hAnsi="Times New Roman" w:eastAsia="Times New Roman" w:cs="Times New Roman"/>
          <w:b/>
          <w:bCs/>
          <w:spacing w:val="-2"/>
          <w:sz w:val="21"/>
          <w:szCs w:val="21"/>
        </w:rPr>
        <w:t xml:space="preserve">2.   </w:t>
      </w:r>
      <w:r>
        <w:rPr>
          <w:b/>
          <w:bCs/>
          <w:spacing w:val="-2"/>
          <w:sz w:val="21"/>
          <w:szCs w:val="21"/>
        </w:rPr>
        <w:t>母婴传播</w:t>
      </w:r>
      <w:r>
        <w:rPr>
          <w:spacing w:val="-2"/>
          <w:sz w:val="21"/>
          <w:szCs w:val="21"/>
        </w:rPr>
        <w:t xml:space="preserve">  </w:t>
      </w:r>
      <w:r>
        <w:rPr>
          <w:rFonts w:ascii="Times New Roman" w:hAnsi="Times New Roman" w:eastAsia="Times New Roman" w:cs="Times New Roman"/>
          <w:spacing w:val="-2"/>
          <w:sz w:val="21"/>
          <w:szCs w:val="21"/>
        </w:rPr>
        <w:t>HBV</w:t>
      </w:r>
      <w:r>
        <w:rPr>
          <w:rFonts w:ascii="Times New Roman" w:hAnsi="Times New Roman" w:eastAsia="Times New Roman" w:cs="Times New Roman"/>
          <w:spacing w:val="-11"/>
          <w:sz w:val="21"/>
          <w:szCs w:val="21"/>
        </w:rPr>
        <w:t xml:space="preserve"> </w:t>
      </w:r>
      <w:r>
        <w:rPr>
          <w:rFonts w:ascii="宋体" w:hAnsi="宋体" w:eastAsia="宋体" w:cs="宋体"/>
          <w:spacing w:val="-2"/>
          <w:sz w:val="21"/>
          <w:szCs w:val="21"/>
        </w:rPr>
        <w:t>母婴传播指</w:t>
      </w:r>
      <w:r>
        <w:rPr>
          <w:rFonts w:ascii="Times New Roman" w:hAnsi="Times New Roman" w:eastAsia="Times New Roman" w:cs="Times New Roman"/>
          <w:spacing w:val="-2"/>
          <w:sz w:val="21"/>
          <w:szCs w:val="21"/>
        </w:rPr>
        <w:t>HBV</w:t>
      </w:r>
      <w:r>
        <w:rPr>
          <w:rFonts w:ascii="宋体" w:hAnsi="宋体" w:eastAsia="宋体" w:cs="宋体"/>
          <w:spacing w:val="-2"/>
          <w:sz w:val="21"/>
          <w:szCs w:val="21"/>
        </w:rPr>
        <w:t>从孕妇体内进人子代，并且在子代体内复制繁殖，造成子</w:t>
      </w:r>
      <w:r>
        <w:rPr>
          <w:rFonts w:ascii="宋体" w:hAnsi="宋体" w:eastAsia="宋体" w:cs="宋体"/>
          <w:sz w:val="21"/>
          <w:szCs w:val="21"/>
        </w:rPr>
        <w:t xml:space="preserve"> </w:t>
      </w:r>
      <w:r>
        <w:rPr>
          <w:rFonts w:ascii="宋体" w:hAnsi="宋体" w:eastAsia="宋体" w:cs="宋体"/>
          <w:spacing w:val="6"/>
          <w:sz w:val="21"/>
          <w:szCs w:val="21"/>
        </w:rPr>
        <w:t>代发生慢性</w:t>
      </w:r>
      <w:r>
        <w:rPr>
          <w:rFonts w:ascii="Times New Roman" w:hAnsi="Times New Roman" w:eastAsia="Times New Roman" w:cs="Times New Roman"/>
          <w:sz w:val="21"/>
          <w:szCs w:val="21"/>
        </w:rPr>
        <w:t>HBV</w:t>
      </w:r>
      <w:r>
        <w:rPr>
          <w:rFonts w:ascii="Times New Roman" w:hAnsi="Times New Roman" w:eastAsia="Times New Roman" w:cs="Times New Roman"/>
          <w:spacing w:val="6"/>
          <w:sz w:val="21"/>
          <w:szCs w:val="21"/>
        </w:rPr>
        <w:t xml:space="preserve"> </w:t>
      </w:r>
      <w:r>
        <w:rPr>
          <w:rFonts w:ascii="宋体" w:hAnsi="宋体" w:eastAsia="宋体" w:cs="宋体"/>
          <w:spacing w:val="6"/>
          <w:sz w:val="21"/>
          <w:szCs w:val="21"/>
        </w:rPr>
        <w:t>感染。若孕妇的</w:t>
      </w:r>
      <w:r>
        <w:rPr>
          <w:rFonts w:ascii="Times New Roman" w:hAnsi="Times New Roman" w:eastAsia="Times New Roman" w:cs="Times New Roman"/>
          <w:sz w:val="21"/>
          <w:szCs w:val="21"/>
        </w:rPr>
        <w:t>HBV</w:t>
      </w:r>
      <w:r>
        <w:rPr>
          <w:rFonts w:ascii="Times New Roman" w:hAnsi="Times New Roman" w:eastAsia="Times New Roman" w:cs="Times New Roman"/>
          <w:spacing w:val="6"/>
          <w:sz w:val="21"/>
          <w:szCs w:val="21"/>
        </w:rPr>
        <w:t xml:space="preserve"> </w:t>
      </w:r>
      <w:r>
        <w:rPr>
          <w:rFonts w:ascii="Times New Roman" w:hAnsi="Times New Roman" w:eastAsia="Times New Roman" w:cs="Times New Roman"/>
          <w:sz w:val="21"/>
          <w:szCs w:val="21"/>
        </w:rPr>
        <w:t>DNA</w:t>
      </w:r>
      <w:r>
        <w:rPr>
          <w:rFonts w:ascii="宋体" w:hAnsi="宋体" w:eastAsia="宋体" w:cs="宋体"/>
          <w:spacing w:val="6"/>
          <w:sz w:val="21"/>
          <w:szCs w:val="21"/>
        </w:rPr>
        <w:t>水平较高和/或</w:t>
      </w:r>
      <w:r>
        <w:rPr>
          <w:rFonts w:ascii="Times New Roman" w:hAnsi="Times New Roman" w:eastAsia="Times New Roman" w:cs="Times New Roman"/>
          <w:sz w:val="21"/>
          <w:szCs w:val="21"/>
        </w:rPr>
        <w:t>HBeAg</w:t>
      </w:r>
      <w:r>
        <w:rPr>
          <w:rFonts w:ascii="宋体" w:hAnsi="宋体" w:eastAsia="宋体" w:cs="宋体"/>
          <w:spacing w:val="5"/>
          <w:sz w:val="21"/>
          <w:szCs w:val="21"/>
        </w:rPr>
        <w:t>阳性，则出生后婴儿感染</w:t>
      </w:r>
      <w:r>
        <w:rPr>
          <w:rFonts w:ascii="Times New Roman" w:hAnsi="Times New Roman" w:eastAsia="Times New Roman" w:cs="Times New Roman"/>
          <w:sz w:val="21"/>
          <w:szCs w:val="21"/>
        </w:rPr>
        <w:t xml:space="preserve">HBV  </w:t>
      </w:r>
      <w:r>
        <w:rPr>
          <w:rFonts w:ascii="宋体" w:hAnsi="宋体" w:eastAsia="宋体" w:cs="宋体"/>
          <w:spacing w:val="1"/>
          <w:sz w:val="21"/>
          <w:szCs w:val="21"/>
        </w:rPr>
        <w:t>的风险高。母婴传播是导致乙肝家庭聚集性的原因之一。</w:t>
      </w:r>
    </w:p>
    <w:p w14:paraId="2CA3321B">
      <w:pPr>
        <w:spacing w:before="150" w:line="318" w:lineRule="auto"/>
        <w:ind w:right="688" w:firstLine="459"/>
        <w:jc w:val="both"/>
        <w:rPr>
          <w:rFonts w:ascii="宋体" w:hAnsi="宋体" w:eastAsia="宋体" w:cs="宋体"/>
          <w:sz w:val="21"/>
          <w:szCs w:val="21"/>
        </w:rPr>
      </w:pPr>
      <w:r>
        <w:rPr>
          <w:rFonts w:ascii="Times New Roman" w:hAnsi="Times New Roman" w:eastAsia="Times New Roman" w:cs="Times New Roman"/>
          <w:sz w:val="21"/>
          <w:szCs w:val="21"/>
        </w:rPr>
        <w:t>HBV</w:t>
      </w:r>
      <w:r>
        <w:rPr>
          <w:rFonts w:ascii="宋体" w:hAnsi="宋体" w:eastAsia="宋体" w:cs="宋体"/>
          <w:sz w:val="21"/>
          <w:szCs w:val="21"/>
        </w:rPr>
        <w:t>母婴传播包括经胎盘传播、分娩时传播和哺乳传播</w:t>
      </w:r>
      <w:r>
        <w:rPr>
          <w:rFonts w:ascii="宋体" w:hAnsi="宋体" w:eastAsia="宋体" w:cs="宋体"/>
          <w:spacing w:val="-1"/>
          <w:sz w:val="21"/>
          <w:szCs w:val="21"/>
        </w:rPr>
        <w:t>。分娩时传播是</w:t>
      </w:r>
      <w:r>
        <w:rPr>
          <w:rFonts w:ascii="Times New Roman" w:hAnsi="Times New Roman" w:eastAsia="Times New Roman" w:cs="Times New Roman"/>
          <w:spacing w:val="-1"/>
          <w:sz w:val="21"/>
          <w:szCs w:val="21"/>
        </w:rPr>
        <w:t>HBV</w:t>
      </w:r>
      <w:r>
        <w:rPr>
          <w:rFonts w:ascii="Times New Roman" w:hAnsi="Times New Roman" w:eastAsia="Times New Roman" w:cs="Times New Roman"/>
          <w:spacing w:val="-12"/>
          <w:sz w:val="21"/>
          <w:szCs w:val="21"/>
        </w:rPr>
        <w:t xml:space="preserve"> </w:t>
      </w:r>
      <w:r>
        <w:rPr>
          <w:rFonts w:ascii="宋体" w:hAnsi="宋体" w:eastAsia="宋体" w:cs="宋体"/>
          <w:spacing w:val="-1"/>
          <w:sz w:val="21"/>
          <w:szCs w:val="21"/>
        </w:rPr>
        <w:t>母婴传播最普遍</w:t>
      </w:r>
      <w:r>
        <w:rPr>
          <w:rFonts w:ascii="宋体" w:hAnsi="宋体" w:eastAsia="宋体" w:cs="宋体"/>
          <w:sz w:val="21"/>
          <w:szCs w:val="21"/>
        </w:rPr>
        <w:t xml:space="preserve"> </w:t>
      </w:r>
      <w:r>
        <w:rPr>
          <w:rFonts w:ascii="宋体" w:hAnsi="宋体" w:eastAsia="宋体" w:cs="宋体"/>
          <w:spacing w:val="-3"/>
          <w:sz w:val="21"/>
          <w:szCs w:val="21"/>
        </w:rPr>
        <w:t>的方式，分娩时，新生儿因破损的皮肤或黏膜接</w:t>
      </w:r>
      <w:r>
        <w:rPr>
          <w:rFonts w:ascii="宋体" w:hAnsi="宋体" w:eastAsia="宋体" w:cs="宋体"/>
          <w:spacing w:val="-4"/>
          <w:sz w:val="21"/>
          <w:szCs w:val="21"/>
        </w:rPr>
        <w:t>触到含有</w:t>
      </w:r>
      <w:r>
        <w:rPr>
          <w:rFonts w:ascii="Times New Roman" w:hAnsi="Times New Roman" w:eastAsia="Times New Roman" w:cs="Times New Roman"/>
          <w:spacing w:val="-4"/>
          <w:sz w:val="21"/>
          <w:szCs w:val="21"/>
        </w:rPr>
        <w:t>HBV</w:t>
      </w:r>
      <w:r>
        <w:rPr>
          <w:rFonts w:ascii="宋体" w:hAnsi="宋体" w:eastAsia="宋体" w:cs="宋体"/>
          <w:spacing w:val="-4"/>
          <w:sz w:val="21"/>
          <w:szCs w:val="21"/>
        </w:rPr>
        <w:t>的母体血液或阴道分泌物，造成</w:t>
      </w:r>
      <w:r>
        <w:rPr>
          <w:rFonts w:ascii="Times New Roman" w:hAnsi="Times New Roman" w:eastAsia="Times New Roman" w:cs="Times New Roman"/>
          <w:spacing w:val="-4"/>
          <w:sz w:val="21"/>
          <w:szCs w:val="21"/>
        </w:rPr>
        <w:t>HBV</w:t>
      </w:r>
      <w:r>
        <w:rPr>
          <w:rFonts w:ascii="Times New Roman" w:hAnsi="Times New Roman" w:eastAsia="Times New Roman" w:cs="Times New Roman"/>
          <w:sz w:val="21"/>
          <w:szCs w:val="21"/>
        </w:rPr>
        <w:t xml:space="preserve"> </w:t>
      </w:r>
      <w:r>
        <w:rPr>
          <w:rFonts w:ascii="宋体" w:hAnsi="宋体" w:eastAsia="宋体" w:cs="宋体"/>
          <w:spacing w:val="1"/>
          <w:sz w:val="21"/>
          <w:szCs w:val="21"/>
        </w:rPr>
        <w:t>传播。经胎盘传播和哺乳传播极少见。</w:t>
      </w:r>
    </w:p>
    <w:p w14:paraId="6DA7AA69">
      <w:pPr>
        <w:pStyle w:val="2"/>
        <w:spacing w:before="2" w:line="327" w:lineRule="auto"/>
        <w:ind w:right="671" w:firstLine="459"/>
        <w:rPr>
          <w:rFonts w:ascii="宋体" w:hAnsi="宋体" w:eastAsia="宋体" w:cs="宋体"/>
          <w:sz w:val="21"/>
          <w:szCs w:val="21"/>
        </w:rPr>
      </w:pPr>
      <w:r>
        <w:rPr>
          <w:rFonts w:ascii="Times New Roman" w:hAnsi="Times New Roman" w:eastAsia="Times New Roman" w:cs="Times New Roman"/>
          <w:b/>
          <w:bCs/>
          <w:sz w:val="21"/>
          <w:szCs w:val="21"/>
        </w:rPr>
        <w:t xml:space="preserve">3.   </w:t>
      </w:r>
      <w:r>
        <w:rPr>
          <w:b/>
          <w:bCs/>
          <w:sz w:val="21"/>
          <w:szCs w:val="21"/>
        </w:rPr>
        <w:t>性传播</w:t>
      </w:r>
      <w:r>
        <w:rPr>
          <w:spacing w:val="102"/>
          <w:sz w:val="21"/>
          <w:szCs w:val="21"/>
        </w:rPr>
        <w:t xml:space="preserve"> </w:t>
      </w:r>
      <w:r>
        <w:rPr>
          <w:rFonts w:ascii="宋体" w:hAnsi="宋体" w:eastAsia="宋体" w:cs="宋体"/>
          <w:sz w:val="21"/>
          <w:szCs w:val="21"/>
        </w:rPr>
        <w:t>与</w:t>
      </w:r>
      <w:r>
        <w:rPr>
          <w:rFonts w:ascii="宋体" w:hAnsi="宋体" w:eastAsia="宋体" w:cs="宋体"/>
          <w:spacing w:val="-63"/>
          <w:sz w:val="21"/>
          <w:szCs w:val="21"/>
        </w:rPr>
        <w:t xml:space="preserve"> </w:t>
      </w:r>
      <w:r>
        <w:rPr>
          <w:rFonts w:ascii="Times New Roman" w:hAnsi="Times New Roman" w:eastAsia="Times New Roman" w:cs="Times New Roman"/>
          <w:sz w:val="21"/>
          <w:szCs w:val="21"/>
        </w:rPr>
        <w:t xml:space="preserve">HBV </w:t>
      </w:r>
      <w:r>
        <w:rPr>
          <w:rFonts w:ascii="宋体" w:hAnsi="宋体" w:eastAsia="宋体" w:cs="宋体"/>
          <w:sz w:val="21"/>
          <w:szCs w:val="21"/>
        </w:rPr>
        <w:t>感染者发生无保护措施的性行为可引起</w:t>
      </w:r>
      <w:r>
        <w:rPr>
          <w:rFonts w:ascii="Times New Roman" w:hAnsi="Times New Roman" w:eastAsia="Times New Roman" w:cs="Times New Roman"/>
          <w:sz w:val="21"/>
          <w:szCs w:val="21"/>
        </w:rPr>
        <w:t xml:space="preserve">HBV </w:t>
      </w:r>
      <w:r>
        <w:rPr>
          <w:rFonts w:ascii="宋体" w:hAnsi="宋体" w:eastAsia="宋体" w:cs="宋体"/>
          <w:sz w:val="21"/>
          <w:szCs w:val="21"/>
        </w:rPr>
        <w:t>传播，有多个性</w:t>
      </w:r>
      <w:r>
        <w:rPr>
          <w:rFonts w:ascii="宋体" w:hAnsi="宋体" w:eastAsia="宋体" w:cs="宋体"/>
          <w:spacing w:val="-1"/>
          <w:sz w:val="21"/>
          <w:szCs w:val="21"/>
        </w:rPr>
        <w:t>伴侣者感染</w:t>
      </w:r>
      <w:r>
        <w:rPr>
          <w:rFonts w:ascii="宋体" w:hAnsi="宋体" w:eastAsia="宋体" w:cs="宋体"/>
          <w:sz w:val="21"/>
          <w:szCs w:val="21"/>
        </w:rPr>
        <w:t xml:space="preserve"> </w:t>
      </w:r>
      <w:r>
        <w:rPr>
          <w:rFonts w:ascii="Times New Roman" w:hAnsi="Times New Roman" w:eastAsia="Times New Roman" w:cs="Times New Roman"/>
          <w:spacing w:val="-1"/>
          <w:sz w:val="21"/>
          <w:szCs w:val="21"/>
        </w:rPr>
        <w:t>HBV</w:t>
      </w:r>
      <w:r>
        <w:rPr>
          <w:rFonts w:ascii="宋体" w:hAnsi="宋体" w:eastAsia="宋体" w:cs="宋体"/>
          <w:spacing w:val="-1"/>
          <w:sz w:val="21"/>
          <w:szCs w:val="21"/>
        </w:rPr>
        <w:t>的风险更高。</w:t>
      </w:r>
      <w:r>
        <w:rPr>
          <w:rFonts w:ascii="宋体" w:hAnsi="宋体" w:eastAsia="宋体" w:cs="宋体"/>
          <w:spacing w:val="-41"/>
          <w:sz w:val="21"/>
          <w:szCs w:val="21"/>
        </w:rPr>
        <w:t xml:space="preserve"> </w:t>
      </w:r>
      <w:r>
        <w:rPr>
          <w:rFonts w:ascii="Times New Roman" w:hAnsi="Times New Roman" w:eastAsia="Times New Roman" w:cs="Times New Roman"/>
          <w:spacing w:val="-1"/>
          <w:sz w:val="21"/>
          <w:szCs w:val="21"/>
        </w:rPr>
        <w:t>HBV</w:t>
      </w:r>
      <w:r>
        <w:rPr>
          <w:rFonts w:ascii="Times New Roman" w:hAnsi="Times New Roman" w:eastAsia="Times New Roman" w:cs="Times New Roman"/>
          <w:spacing w:val="-12"/>
          <w:sz w:val="21"/>
          <w:szCs w:val="21"/>
        </w:rPr>
        <w:t xml:space="preserve"> </w:t>
      </w:r>
      <w:r>
        <w:rPr>
          <w:rFonts w:ascii="宋体" w:hAnsi="宋体" w:eastAsia="宋体" w:cs="宋体"/>
          <w:spacing w:val="-1"/>
          <w:sz w:val="21"/>
          <w:szCs w:val="21"/>
        </w:rPr>
        <w:t>在夫妻间的性传播是导致乙肝家庭聚集性的主要原因之一。</w:t>
      </w:r>
    </w:p>
    <w:p w14:paraId="62E05424">
      <w:pPr>
        <w:spacing w:line="322" w:lineRule="auto"/>
        <w:ind w:right="668" w:firstLine="459"/>
        <w:jc w:val="both"/>
        <w:rPr>
          <w:rFonts w:ascii="宋体" w:hAnsi="宋体" w:eastAsia="宋体" w:cs="宋体"/>
          <w:sz w:val="21"/>
          <w:szCs w:val="21"/>
        </w:rPr>
      </w:pPr>
      <w:r>
        <w:rPr>
          <w:rFonts w:ascii="Times New Roman" w:hAnsi="Times New Roman" w:eastAsia="Times New Roman" w:cs="Times New Roman"/>
          <w:spacing w:val="-8"/>
          <w:sz w:val="21"/>
          <w:szCs w:val="21"/>
        </w:rPr>
        <w:t>HBV</w:t>
      </w:r>
      <w:r>
        <w:rPr>
          <w:rFonts w:ascii="宋体" w:hAnsi="宋体" w:eastAsia="宋体" w:cs="宋体"/>
          <w:spacing w:val="-8"/>
          <w:sz w:val="21"/>
          <w:szCs w:val="21"/>
        </w:rPr>
        <w:t>不经呼吸道和消化道传播，因此，日常学习、工作或生活接触，如在同</w:t>
      </w:r>
      <w:r>
        <w:rPr>
          <w:rFonts w:ascii="宋体" w:hAnsi="宋体" w:eastAsia="宋体" w:cs="宋体"/>
          <w:spacing w:val="-9"/>
          <w:sz w:val="21"/>
          <w:szCs w:val="21"/>
        </w:rPr>
        <w:t>一教室学习、同一办</w:t>
      </w:r>
      <w:r>
        <w:rPr>
          <w:rFonts w:ascii="宋体" w:hAnsi="宋体" w:eastAsia="宋体" w:cs="宋体"/>
          <w:sz w:val="21"/>
          <w:szCs w:val="21"/>
        </w:rPr>
        <w:t xml:space="preserve"> </w:t>
      </w:r>
      <w:r>
        <w:rPr>
          <w:rFonts w:ascii="宋体" w:hAnsi="宋体" w:eastAsia="宋体" w:cs="宋体"/>
          <w:spacing w:val="-7"/>
          <w:sz w:val="21"/>
          <w:szCs w:val="21"/>
        </w:rPr>
        <w:t>公室工作、共用办公用品、握手、拥抱、同住一宿舍、同一餐厅用餐、共用厕所等无血液暴露的</w:t>
      </w:r>
      <w:r>
        <w:rPr>
          <w:rFonts w:ascii="宋体" w:hAnsi="宋体" w:eastAsia="宋体" w:cs="宋体"/>
          <w:spacing w:val="-8"/>
          <w:sz w:val="21"/>
          <w:szCs w:val="21"/>
        </w:rPr>
        <w:t>接触</w:t>
      </w:r>
      <w:r>
        <w:rPr>
          <w:rFonts w:ascii="宋体" w:hAnsi="宋体" w:eastAsia="宋体" w:cs="宋体"/>
          <w:sz w:val="21"/>
          <w:szCs w:val="21"/>
        </w:rPr>
        <w:t xml:space="preserve"> </w:t>
      </w:r>
      <w:r>
        <w:rPr>
          <w:rFonts w:ascii="宋体" w:hAnsi="宋体" w:eastAsia="宋体" w:cs="宋体"/>
          <w:strike/>
          <w:spacing w:val="6"/>
          <w:sz w:val="21"/>
          <w:szCs w:val="21"/>
        </w:rPr>
        <w:t>一般</w:t>
      </w:r>
      <w:r>
        <w:rPr>
          <w:rFonts w:ascii="宋体" w:hAnsi="宋体" w:eastAsia="宋体" w:cs="宋体"/>
          <w:spacing w:val="6"/>
          <w:sz w:val="21"/>
          <w:szCs w:val="21"/>
        </w:rPr>
        <w:t>不会传播</w:t>
      </w:r>
      <w:r>
        <w:rPr>
          <w:rFonts w:ascii="Times New Roman" w:hAnsi="Times New Roman" w:eastAsia="Times New Roman" w:cs="Times New Roman"/>
          <w:sz w:val="21"/>
          <w:szCs w:val="21"/>
        </w:rPr>
        <w:t>HBV</w:t>
      </w:r>
      <w:r>
        <w:rPr>
          <w:rFonts w:ascii="宋体" w:hAnsi="宋体" w:eastAsia="宋体" w:cs="宋体"/>
          <w:spacing w:val="6"/>
          <w:sz w:val="21"/>
          <w:szCs w:val="21"/>
        </w:rPr>
        <w:t>。</w:t>
      </w:r>
    </w:p>
    <w:p w14:paraId="47DA8E5B">
      <w:pPr>
        <w:pStyle w:val="2"/>
        <w:spacing w:before="27" w:line="221" w:lineRule="auto"/>
        <w:ind w:left="462"/>
        <w:rPr>
          <w:sz w:val="21"/>
          <w:szCs w:val="21"/>
        </w:rPr>
      </w:pPr>
      <w:r>
        <w:rPr>
          <w:b/>
          <w:bCs/>
          <w:spacing w:val="21"/>
          <w:sz w:val="21"/>
          <w:szCs w:val="21"/>
        </w:rPr>
        <w:t>(三)人群易感性</w:t>
      </w:r>
    </w:p>
    <w:p w14:paraId="7784120E">
      <w:pPr>
        <w:spacing w:before="84" w:line="327" w:lineRule="auto"/>
        <w:ind w:right="652" w:firstLine="459"/>
        <w:rPr>
          <w:rFonts w:ascii="宋体" w:hAnsi="宋体" w:eastAsia="宋体" w:cs="宋体"/>
          <w:sz w:val="21"/>
          <w:szCs w:val="21"/>
        </w:rPr>
      </w:pPr>
      <w:r>
        <w:rPr>
          <w:rFonts w:ascii="宋体" w:hAnsi="宋体" w:eastAsia="宋体" w:cs="宋体"/>
          <w:spacing w:val="-2"/>
          <w:sz w:val="21"/>
          <w:szCs w:val="21"/>
        </w:rPr>
        <w:t>抗-HBs 阴性者均为易感人群，接种乙肝疫苗产生抗-HBs 是降低人群</w:t>
      </w:r>
      <w:r>
        <w:rPr>
          <w:rFonts w:ascii="宋体" w:hAnsi="宋体" w:eastAsia="宋体" w:cs="宋体"/>
          <w:spacing w:val="-3"/>
          <w:sz w:val="21"/>
          <w:szCs w:val="21"/>
        </w:rPr>
        <w:t>易感性的最主要途径，接</w:t>
      </w:r>
      <w:r>
        <w:rPr>
          <w:rFonts w:ascii="宋体" w:hAnsi="宋体" w:eastAsia="宋体" w:cs="宋体"/>
          <w:sz w:val="21"/>
          <w:szCs w:val="21"/>
        </w:rPr>
        <w:t xml:space="preserve"> </w:t>
      </w:r>
      <w:r>
        <w:rPr>
          <w:rFonts w:ascii="宋体" w:hAnsi="宋体" w:eastAsia="宋体" w:cs="宋体"/>
          <w:spacing w:val="1"/>
          <w:sz w:val="21"/>
          <w:szCs w:val="21"/>
        </w:rPr>
        <w:t>种乙肝疫苗后抗-</w:t>
      </w:r>
      <w:r>
        <w:rPr>
          <w:rFonts w:ascii="Times New Roman" w:hAnsi="Times New Roman" w:eastAsia="Times New Roman" w:cs="Times New Roman"/>
          <w:sz w:val="21"/>
          <w:szCs w:val="21"/>
        </w:rPr>
        <w:t>HBs</w:t>
      </w:r>
      <w:r>
        <w:rPr>
          <w:rFonts w:ascii="宋体" w:hAnsi="宋体" w:eastAsia="宋体" w:cs="宋体"/>
          <w:spacing w:val="1"/>
          <w:sz w:val="21"/>
          <w:szCs w:val="21"/>
        </w:rPr>
        <w:t>阳性表示获得免疫力。</w:t>
      </w:r>
    </w:p>
    <w:p w14:paraId="22A63F9E">
      <w:pPr>
        <w:spacing w:before="3" w:line="217" w:lineRule="auto"/>
        <w:ind w:left="459"/>
        <w:rPr>
          <w:rFonts w:ascii="宋体" w:hAnsi="宋体" w:eastAsia="宋体" w:cs="宋体"/>
          <w:sz w:val="21"/>
          <w:szCs w:val="21"/>
        </w:rPr>
      </w:pPr>
      <w:r>
        <w:rPr>
          <w:rFonts w:ascii="宋体" w:hAnsi="宋体" w:eastAsia="宋体" w:cs="宋体"/>
          <w:sz w:val="21"/>
          <w:szCs w:val="21"/>
        </w:rPr>
        <w:t>HBV</w:t>
      </w:r>
      <w:r>
        <w:rPr>
          <w:rFonts w:ascii="宋体" w:hAnsi="宋体" w:eastAsia="宋体" w:cs="宋体"/>
          <w:spacing w:val="73"/>
          <w:sz w:val="21"/>
          <w:szCs w:val="21"/>
        </w:rPr>
        <w:t xml:space="preserve"> </w:t>
      </w:r>
      <w:r>
        <w:rPr>
          <w:rFonts w:ascii="宋体" w:hAnsi="宋体" w:eastAsia="宋体" w:cs="宋体"/>
          <w:spacing w:val="2"/>
          <w:sz w:val="21"/>
          <w:szCs w:val="21"/>
        </w:rPr>
        <w:t>感染高危人群是重要的易感人群，主要分为4</w:t>
      </w:r>
      <w:r>
        <w:rPr>
          <w:rFonts w:ascii="宋体" w:hAnsi="宋体" w:eastAsia="宋体" w:cs="宋体"/>
          <w:spacing w:val="1"/>
          <w:sz w:val="21"/>
          <w:szCs w:val="21"/>
        </w:rPr>
        <w:t>类：①存在性传播风险的人群：</w:t>
      </w:r>
      <w:r>
        <w:rPr>
          <w:rFonts w:ascii="宋体" w:hAnsi="宋体" w:eastAsia="宋体" w:cs="宋体"/>
          <w:sz w:val="21"/>
          <w:szCs w:val="21"/>
        </w:rPr>
        <w:t>HBV</w:t>
      </w:r>
      <w:r>
        <w:rPr>
          <w:rFonts w:ascii="宋体" w:hAnsi="宋体" w:eastAsia="宋体" w:cs="宋体"/>
          <w:spacing w:val="64"/>
          <w:sz w:val="21"/>
          <w:szCs w:val="21"/>
        </w:rPr>
        <w:t xml:space="preserve"> </w:t>
      </w:r>
      <w:r>
        <w:rPr>
          <w:rFonts w:ascii="宋体" w:hAnsi="宋体" w:eastAsia="宋体" w:cs="宋体"/>
          <w:spacing w:val="1"/>
          <w:sz w:val="21"/>
          <w:szCs w:val="21"/>
        </w:rPr>
        <w:t>感染</w:t>
      </w:r>
    </w:p>
    <w:p w14:paraId="65B110CB">
      <w:pPr>
        <w:spacing w:line="217" w:lineRule="auto"/>
        <w:rPr>
          <w:rFonts w:ascii="宋体" w:hAnsi="宋体" w:eastAsia="宋体" w:cs="宋体"/>
          <w:sz w:val="21"/>
          <w:szCs w:val="21"/>
        </w:rPr>
        <w:sectPr>
          <w:footerReference r:id="rId320" w:type="default"/>
          <w:pgSz w:w="11900" w:h="16820"/>
          <w:pgMar w:top="400" w:right="829" w:bottom="876" w:left="1450" w:header="0" w:footer="687" w:gutter="0"/>
          <w:cols w:space="720" w:num="1"/>
        </w:sectPr>
      </w:pPr>
    </w:p>
    <w:p w14:paraId="1FA10DB0">
      <w:pPr>
        <w:pStyle w:val="2"/>
        <w:spacing w:before="236" w:line="222" w:lineRule="auto"/>
        <w:ind w:left="699"/>
        <w:rPr>
          <w:sz w:val="20"/>
          <w:szCs w:val="20"/>
        </w:rPr>
      </w:pPr>
      <w:bookmarkStart w:id="488" w:name="bookmark573"/>
      <w:bookmarkEnd w:id="488"/>
      <w:r>
        <w:rPr>
          <w:spacing w:val="-20"/>
          <w:w w:val="98"/>
          <w:sz w:val="20"/>
          <w:szCs w:val="20"/>
        </w:rPr>
        <w:t>第十九章 病毒性肝炎</w:t>
      </w:r>
    </w:p>
    <w:p w14:paraId="7FF2757B">
      <w:pPr>
        <w:spacing w:line="280" w:lineRule="auto"/>
        <w:rPr>
          <w:rFonts w:ascii="Arial"/>
          <w:sz w:val="21"/>
        </w:rPr>
      </w:pPr>
    </w:p>
    <w:p w14:paraId="2A93DFA2">
      <w:pPr>
        <w:spacing w:line="281" w:lineRule="auto"/>
        <w:rPr>
          <w:rFonts w:ascii="Arial"/>
          <w:sz w:val="21"/>
        </w:rPr>
      </w:pPr>
    </w:p>
    <w:p w14:paraId="5DF9402C">
      <w:pPr>
        <w:spacing w:before="65" w:line="334" w:lineRule="auto"/>
        <w:ind w:left="699"/>
        <w:jc w:val="both"/>
        <w:rPr>
          <w:rFonts w:ascii="宋体" w:hAnsi="宋体" w:eastAsia="宋体" w:cs="宋体"/>
          <w:sz w:val="20"/>
          <w:szCs w:val="20"/>
        </w:rPr>
      </w:pPr>
      <w:r>
        <w:rPr>
          <w:rFonts w:ascii="宋体" w:hAnsi="宋体" w:eastAsia="宋体" w:cs="宋体"/>
          <w:sz w:val="20"/>
          <w:szCs w:val="20"/>
        </w:rPr>
        <w:t>者的性伴侣、男男性行为者、多个性伴侣者；②存在职业暴露风险的人群：</w:t>
      </w:r>
      <w:r>
        <w:rPr>
          <w:rFonts w:ascii="宋体" w:hAnsi="宋体" w:eastAsia="宋体" w:cs="宋体"/>
          <w:spacing w:val="-1"/>
          <w:sz w:val="20"/>
          <w:szCs w:val="20"/>
        </w:rPr>
        <w:t>接触血液的医务工作者；</w:t>
      </w:r>
      <w:r>
        <w:rPr>
          <w:rFonts w:ascii="宋体" w:hAnsi="宋体" w:eastAsia="宋体" w:cs="宋体"/>
          <w:sz w:val="20"/>
          <w:szCs w:val="20"/>
        </w:rPr>
        <w:t xml:space="preserve"> </w:t>
      </w:r>
      <w:r>
        <w:rPr>
          <w:rFonts w:ascii="宋体" w:hAnsi="宋体" w:eastAsia="宋体" w:cs="宋体"/>
          <w:spacing w:val="3"/>
          <w:sz w:val="20"/>
          <w:szCs w:val="20"/>
        </w:rPr>
        <w:t>③存在经皮肤和黏膜暴露风险的人群：静脉注射吸毒者、</w:t>
      </w:r>
      <w:r>
        <w:rPr>
          <w:rFonts w:ascii="Times New Roman" w:hAnsi="Times New Roman" w:eastAsia="Times New Roman" w:cs="Times New Roman"/>
          <w:sz w:val="20"/>
          <w:szCs w:val="20"/>
        </w:rPr>
        <w:t>HBV</w:t>
      </w:r>
      <w:r>
        <w:rPr>
          <w:rFonts w:ascii="Times New Roman" w:hAnsi="Times New Roman" w:eastAsia="Times New Roman" w:cs="Times New Roman"/>
          <w:spacing w:val="3"/>
          <w:sz w:val="20"/>
          <w:szCs w:val="20"/>
        </w:rPr>
        <w:t xml:space="preserve"> </w:t>
      </w:r>
      <w:r>
        <w:rPr>
          <w:rFonts w:ascii="宋体" w:hAnsi="宋体" w:eastAsia="宋体" w:cs="宋体"/>
          <w:spacing w:val="3"/>
          <w:sz w:val="20"/>
          <w:szCs w:val="20"/>
        </w:rPr>
        <w:t>感染者的家庭</w:t>
      </w:r>
      <w:r>
        <w:rPr>
          <w:rFonts w:ascii="宋体" w:hAnsi="宋体" w:eastAsia="宋体" w:cs="宋体"/>
          <w:spacing w:val="2"/>
          <w:sz w:val="20"/>
          <w:szCs w:val="20"/>
        </w:rPr>
        <w:t>成员、易发生外伤者、</w:t>
      </w:r>
      <w:r>
        <w:rPr>
          <w:rFonts w:ascii="宋体" w:hAnsi="宋体" w:eastAsia="宋体" w:cs="宋体"/>
          <w:sz w:val="20"/>
          <w:szCs w:val="20"/>
        </w:rPr>
        <w:t xml:space="preserve"> </w:t>
      </w:r>
      <w:r>
        <w:rPr>
          <w:rFonts w:ascii="宋体" w:hAnsi="宋体" w:eastAsia="宋体" w:cs="宋体"/>
          <w:spacing w:val="3"/>
          <w:sz w:val="20"/>
          <w:szCs w:val="20"/>
        </w:rPr>
        <w:t>血液透析病人和器官移植病人；④其他人群：其他慢性肝病病人、</w:t>
      </w:r>
      <w:r>
        <w:rPr>
          <w:rFonts w:ascii="Times New Roman" w:hAnsi="Times New Roman" w:eastAsia="Times New Roman" w:cs="Times New Roman"/>
          <w:sz w:val="20"/>
          <w:szCs w:val="20"/>
        </w:rPr>
        <w:t>HBV</w:t>
      </w:r>
      <w:r>
        <w:rPr>
          <w:rFonts w:ascii="Times New Roman" w:hAnsi="Times New Roman" w:eastAsia="Times New Roman" w:cs="Times New Roman"/>
          <w:spacing w:val="3"/>
          <w:sz w:val="20"/>
          <w:szCs w:val="20"/>
        </w:rPr>
        <w:t xml:space="preserve"> </w:t>
      </w:r>
      <w:r>
        <w:rPr>
          <w:rFonts w:ascii="宋体" w:hAnsi="宋体" w:eastAsia="宋体" w:cs="宋体"/>
          <w:spacing w:val="3"/>
          <w:sz w:val="20"/>
          <w:szCs w:val="20"/>
        </w:rPr>
        <w:t>高发</w:t>
      </w:r>
      <w:r>
        <w:rPr>
          <w:rFonts w:ascii="宋体" w:hAnsi="宋体" w:eastAsia="宋体" w:cs="宋体"/>
          <w:spacing w:val="2"/>
          <w:sz w:val="20"/>
          <w:szCs w:val="20"/>
        </w:rPr>
        <w:t>区的居住者和旅行者、</w:t>
      </w:r>
      <w:r>
        <w:rPr>
          <w:rFonts w:ascii="宋体" w:hAnsi="宋体" w:eastAsia="宋体" w:cs="宋体"/>
          <w:sz w:val="20"/>
          <w:szCs w:val="20"/>
        </w:rPr>
        <w:t xml:space="preserve"> </w:t>
      </w:r>
      <w:r>
        <w:rPr>
          <w:rFonts w:ascii="宋体" w:hAnsi="宋体" w:eastAsia="宋体" w:cs="宋体"/>
          <w:spacing w:val="4"/>
          <w:sz w:val="20"/>
          <w:szCs w:val="20"/>
        </w:rPr>
        <w:t>免疫功能低下者和</w:t>
      </w:r>
      <w:r>
        <w:rPr>
          <w:rFonts w:ascii="Times New Roman" w:hAnsi="Times New Roman" w:eastAsia="Times New Roman" w:cs="Times New Roman"/>
          <w:sz w:val="20"/>
          <w:szCs w:val="20"/>
        </w:rPr>
        <w:t>HIV</w:t>
      </w:r>
      <w:r>
        <w:rPr>
          <w:rFonts w:ascii="Times New Roman" w:hAnsi="Times New Roman" w:eastAsia="Times New Roman" w:cs="Times New Roman"/>
          <w:spacing w:val="-5"/>
          <w:sz w:val="20"/>
          <w:szCs w:val="20"/>
        </w:rPr>
        <w:t xml:space="preserve"> </w:t>
      </w:r>
      <w:r>
        <w:rPr>
          <w:rFonts w:ascii="宋体" w:hAnsi="宋体" w:eastAsia="宋体" w:cs="宋体"/>
          <w:spacing w:val="4"/>
          <w:sz w:val="20"/>
          <w:szCs w:val="20"/>
        </w:rPr>
        <w:t>感染者。</w:t>
      </w:r>
    </w:p>
    <w:p w14:paraId="2ECDC803">
      <w:pPr>
        <w:pStyle w:val="2"/>
        <w:spacing w:before="241" w:line="222" w:lineRule="auto"/>
        <w:ind w:left="1113"/>
        <w:outlineLvl w:val="4"/>
        <w:rPr>
          <w:sz w:val="24"/>
          <w:szCs w:val="24"/>
        </w:rPr>
      </w:pPr>
      <w:bookmarkStart w:id="489" w:name="bookmark306"/>
      <w:bookmarkEnd w:id="489"/>
      <w:r>
        <w:rPr>
          <w:b/>
          <w:bCs/>
          <w:spacing w:val="1"/>
          <w:sz w:val="24"/>
          <w:szCs w:val="24"/>
        </w:rPr>
        <w:t>三、丙型肝炎</w:t>
      </w:r>
    </w:p>
    <w:p w14:paraId="389D5FA4">
      <w:pPr>
        <w:pStyle w:val="2"/>
        <w:spacing w:before="249" w:line="221" w:lineRule="auto"/>
        <w:ind w:left="1113"/>
        <w:rPr>
          <w:sz w:val="24"/>
          <w:szCs w:val="24"/>
        </w:rPr>
      </w:pPr>
      <w:r>
        <w:rPr>
          <w:b/>
          <w:bCs/>
          <w:spacing w:val="-12"/>
          <w:sz w:val="24"/>
          <w:szCs w:val="24"/>
        </w:rPr>
        <w:t>(一)传染源</w:t>
      </w:r>
    </w:p>
    <w:p w14:paraId="18215B4B">
      <w:pPr>
        <w:spacing w:before="86" w:line="335" w:lineRule="auto"/>
        <w:ind w:left="699" w:firstLine="410"/>
        <w:jc w:val="both"/>
        <w:rPr>
          <w:rFonts w:ascii="宋体" w:hAnsi="宋体" w:eastAsia="宋体" w:cs="宋体"/>
          <w:sz w:val="20"/>
          <w:szCs w:val="20"/>
        </w:rPr>
      </w:pPr>
      <w:r>
        <w:rPr>
          <w:rFonts w:ascii="宋体" w:hAnsi="宋体" w:eastAsia="宋体" w:cs="宋体"/>
          <w:spacing w:val="8"/>
          <w:sz w:val="20"/>
          <w:szCs w:val="20"/>
        </w:rPr>
        <w:t>丙肝的主要传染源是急性、慢性丙肝病人和</w:t>
      </w:r>
      <w:r>
        <w:rPr>
          <w:rFonts w:ascii="Times New Roman" w:hAnsi="Times New Roman" w:eastAsia="Times New Roman" w:cs="Times New Roman"/>
          <w:sz w:val="20"/>
          <w:szCs w:val="20"/>
        </w:rPr>
        <w:t>HCV</w:t>
      </w:r>
      <w:r>
        <w:rPr>
          <w:rFonts w:ascii="Times New Roman" w:hAnsi="Times New Roman" w:eastAsia="Times New Roman" w:cs="Times New Roman"/>
          <w:spacing w:val="-9"/>
          <w:sz w:val="20"/>
          <w:szCs w:val="20"/>
        </w:rPr>
        <w:t xml:space="preserve"> </w:t>
      </w:r>
      <w:r>
        <w:rPr>
          <w:rFonts w:ascii="宋体" w:hAnsi="宋体" w:eastAsia="宋体" w:cs="宋体"/>
          <w:spacing w:val="8"/>
          <w:sz w:val="20"/>
          <w:szCs w:val="20"/>
        </w:rPr>
        <w:t>携带者，潜伏期为2周至6个月，平</w:t>
      </w:r>
      <w:r>
        <w:rPr>
          <w:rFonts w:ascii="宋体" w:hAnsi="宋体" w:eastAsia="宋体" w:cs="宋体"/>
          <w:spacing w:val="7"/>
          <w:sz w:val="20"/>
          <w:szCs w:val="20"/>
        </w:rPr>
        <w:t>均40天。</w:t>
      </w:r>
      <w:r>
        <w:rPr>
          <w:rFonts w:ascii="宋体" w:hAnsi="宋体" w:eastAsia="宋体" w:cs="宋体"/>
          <w:sz w:val="20"/>
          <w:szCs w:val="20"/>
        </w:rPr>
        <w:t xml:space="preserve"> </w:t>
      </w:r>
      <w:r>
        <w:rPr>
          <w:rFonts w:ascii="宋体" w:hAnsi="宋体" w:eastAsia="宋体" w:cs="宋体"/>
          <w:spacing w:val="11"/>
          <w:sz w:val="20"/>
          <w:szCs w:val="20"/>
        </w:rPr>
        <w:t>感染后1周内即可在血液或肝组织中检测到</w:t>
      </w:r>
      <w:r>
        <w:rPr>
          <w:rFonts w:ascii="宋体" w:hAnsi="宋体" w:eastAsia="宋体" w:cs="宋体"/>
          <w:sz w:val="20"/>
          <w:szCs w:val="20"/>
        </w:rPr>
        <w:t>HCV</w:t>
      </w:r>
      <w:r>
        <w:rPr>
          <w:rFonts w:ascii="宋体" w:hAnsi="宋体" w:eastAsia="宋体" w:cs="宋体"/>
          <w:spacing w:val="2"/>
          <w:sz w:val="20"/>
          <w:szCs w:val="20"/>
        </w:rPr>
        <w:t xml:space="preserve">    </w:t>
      </w:r>
      <w:r>
        <w:rPr>
          <w:rFonts w:ascii="宋体" w:hAnsi="宋体" w:eastAsia="宋体" w:cs="宋体"/>
          <w:sz w:val="20"/>
          <w:szCs w:val="20"/>
        </w:rPr>
        <w:t>RNA</w:t>
      </w:r>
      <w:r>
        <w:rPr>
          <w:rFonts w:ascii="宋体" w:hAnsi="宋体" w:eastAsia="宋体" w:cs="宋体"/>
          <w:spacing w:val="11"/>
          <w:sz w:val="20"/>
          <w:szCs w:val="20"/>
        </w:rPr>
        <w:t>。急性丙肝虽然临床症状较轻，但极易慢</w:t>
      </w:r>
      <w:r>
        <w:rPr>
          <w:rFonts w:ascii="宋体" w:hAnsi="宋体" w:eastAsia="宋体" w:cs="宋体"/>
          <w:spacing w:val="2"/>
          <w:sz w:val="20"/>
          <w:szCs w:val="20"/>
        </w:rPr>
        <w:t xml:space="preserve"> </w:t>
      </w:r>
      <w:r>
        <w:rPr>
          <w:rFonts w:ascii="宋体" w:hAnsi="宋体" w:eastAsia="宋体" w:cs="宋体"/>
          <w:spacing w:val="6"/>
          <w:sz w:val="20"/>
          <w:szCs w:val="20"/>
        </w:rPr>
        <w:t>性化。</w:t>
      </w:r>
    </w:p>
    <w:p w14:paraId="0691EDB9">
      <w:pPr>
        <w:pStyle w:val="2"/>
        <w:spacing w:before="18" w:line="222" w:lineRule="auto"/>
        <w:ind w:left="1113"/>
        <w:rPr>
          <w:sz w:val="24"/>
          <w:szCs w:val="24"/>
        </w:rPr>
      </w:pPr>
      <w:r>
        <w:rPr>
          <w:b/>
          <w:bCs/>
          <w:spacing w:val="-10"/>
          <w:sz w:val="24"/>
          <w:szCs w:val="24"/>
        </w:rPr>
        <w:t>(二)传播途径</w:t>
      </w:r>
    </w:p>
    <w:p w14:paraId="67490680">
      <w:pPr>
        <w:spacing w:before="94" w:line="219" w:lineRule="auto"/>
        <w:ind w:left="1110"/>
        <w:rPr>
          <w:rFonts w:ascii="宋体" w:hAnsi="宋体" w:eastAsia="宋体" w:cs="宋体"/>
          <w:sz w:val="20"/>
          <w:szCs w:val="20"/>
        </w:rPr>
      </w:pPr>
      <w:r>
        <w:rPr>
          <w:rFonts w:ascii="宋体" w:hAnsi="宋体" w:eastAsia="宋体" w:cs="宋体"/>
          <w:spacing w:val="-1"/>
          <w:sz w:val="20"/>
          <w:szCs w:val="20"/>
        </w:rPr>
        <w:t>丙肝的主要传播途径为经血液传播，其次为性传播，而母</w:t>
      </w:r>
      <w:r>
        <w:rPr>
          <w:rFonts w:ascii="宋体" w:hAnsi="宋体" w:eastAsia="宋体" w:cs="宋体"/>
          <w:spacing w:val="-2"/>
          <w:sz w:val="20"/>
          <w:szCs w:val="20"/>
        </w:rPr>
        <w:t>婴传播概率较低。</w:t>
      </w:r>
    </w:p>
    <w:p w14:paraId="7342E111">
      <w:pPr>
        <w:pStyle w:val="2"/>
        <w:spacing w:before="110" w:line="316" w:lineRule="auto"/>
        <w:ind w:left="699" w:right="86" w:firstLine="410"/>
        <w:rPr>
          <w:rFonts w:ascii="宋体" w:hAnsi="宋体" w:eastAsia="宋体" w:cs="宋体"/>
          <w:sz w:val="20"/>
          <w:szCs w:val="20"/>
        </w:rPr>
      </w:pPr>
      <w:r>
        <w:rPr>
          <w:rFonts w:ascii="Times New Roman" w:hAnsi="Times New Roman" w:eastAsia="Times New Roman" w:cs="Times New Roman"/>
          <w:spacing w:val="5"/>
          <w:sz w:val="20"/>
          <w:szCs w:val="20"/>
        </w:rPr>
        <w:t>1.</w:t>
      </w:r>
      <w:r>
        <w:rPr>
          <w:rFonts w:ascii="Times New Roman" w:hAnsi="Times New Roman" w:eastAsia="Times New Roman" w:cs="Times New Roman"/>
          <w:spacing w:val="21"/>
          <w:w w:val="101"/>
          <w:sz w:val="20"/>
          <w:szCs w:val="20"/>
        </w:rPr>
        <w:t xml:space="preserve">  </w:t>
      </w:r>
      <w:r>
        <w:rPr>
          <w:spacing w:val="5"/>
          <w:sz w:val="20"/>
          <w:szCs w:val="20"/>
        </w:rPr>
        <w:t>经血液传播</w:t>
      </w:r>
      <w:r>
        <w:rPr>
          <w:spacing w:val="64"/>
          <w:sz w:val="20"/>
          <w:szCs w:val="20"/>
        </w:rPr>
        <w:t xml:space="preserve"> </w:t>
      </w:r>
      <w:r>
        <w:rPr>
          <w:rFonts w:ascii="Times New Roman" w:hAnsi="Times New Roman" w:eastAsia="Times New Roman" w:cs="Times New Roman"/>
          <w:sz w:val="20"/>
          <w:szCs w:val="20"/>
        </w:rPr>
        <w:t>HCV</w:t>
      </w:r>
      <w:r>
        <w:rPr>
          <w:rFonts w:ascii="Times New Roman" w:hAnsi="Times New Roman" w:eastAsia="Times New Roman" w:cs="Times New Roman"/>
          <w:spacing w:val="5"/>
          <w:sz w:val="20"/>
          <w:szCs w:val="20"/>
        </w:rPr>
        <w:t xml:space="preserve"> </w:t>
      </w:r>
      <w:r>
        <w:rPr>
          <w:rFonts w:ascii="宋体" w:hAnsi="宋体" w:eastAsia="宋体" w:cs="宋体"/>
          <w:spacing w:val="5"/>
          <w:sz w:val="20"/>
          <w:szCs w:val="20"/>
        </w:rPr>
        <w:t>主要经血液传播。我国自1993年</w:t>
      </w:r>
      <w:r>
        <w:rPr>
          <w:rFonts w:ascii="宋体" w:hAnsi="宋体" w:eastAsia="宋体" w:cs="宋体"/>
          <w:spacing w:val="4"/>
          <w:sz w:val="20"/>
          <w:szCs w:val="20"/>
        </w:rPr>
        <w:t>开始对献血者筛查抗-</w:t>
      </w:r>
      <w:r>
        <w:rPr>
          <w:rFonts w:ascii="Times New Roman" w:hAnsi="Times New Roman" w:eastAsia="Times New Roman" w:cs="Times New Roman"/>
          <w:sz w:val="20"/>
          <w:szCs w:val="20"/>
        </w:rPr>
        <w:t>HCV</w:t>
      </w:r>
      <w:r>
        <w:rPr>
          <w:rFonts w:ascii="Times New Roman" w:hAnsi="Times New Roman" w:eastAsia="Times New Roman" w:cs="Times New Roman"/>
          <w:spacing w:val="4"/>
          <w:sz w:val="20"/>
          <w:szCs w:val="20"/>
        </w:rPr>
        <w:t>,2015</w:t>
      </w:r>
      <w:r>
        <w:rPr>
          <w:rFonts w:ascii="Times New Roman" w:hAnsi="Times New Roman" w:eastAsia="Times New Roman" w:cs="Times New Roman"/>
          <w:spacing w:val="21"/>
          <w:sz w:val="20"/>
          <w:szCs w:val="20"/>
        </w:rPr>
        <w:t xml:space="preserve">  </w:t>
      </w:r>
      <w:r>
        <w:rPr>
          <w:rFonts w:ascii="宋体" w:hAnsi="宋体" w:eastAsia="宋体" w:cs="宋体"/>
          <w:spacing w:val="4"/>
          <w:sz w:val="20"/>
          <w:szCs w:val="20"/>
        </w:rPr>
        <w:t>年</w:t>
      </w:r>
      <w:r>
        <w:rPr>
          <w:rFonts w:ascii="宋体" w:hAnsi="宋体" w:eastAsia="宋体" w:cs="宋体"/>
          <w:spacing w:val="-44"/>
          <w:sz w:val="20"/>
          <w:szCs w:val="20"/>
        </w:rPr>
        <w:t xml:space="preserve"> </w:t>
      </w:r>
      <w:r>
        <w:rPr>
          <w:rFonts w:ascii="宋体" w:hAnsi="宋体" w:eastAsia="宋体" w:cs="宋体"/>
          <w:spacing w:val="4"/>
          <w:sz w:val="20"/>
          <w:szCs w:val="20"/>
        </w:rPr>
        <w:t>开</w:t>
      </w:r>
      <w:r>
        <w:rPr>
          <w:rFonts w:ascii="宋体" w:hAnsi="宋体" w:eastAsia="宋体" w:cs="宋体"/>
          <w:sz w:val="20"/>
          <w:szCs w:val="20"/>
        </w:rPr>
        <w:t xml:space="preserve"> </w:t>
      </w:r>
      <w:r>
        <w:rPr>
          <w:rFonts w:ascii="宋体" w:hAnsi="宋体" w:eastAsia="宋体" w:cs="宋体"/>
          <w:spacing w:val="10"/>
          <w:sz w:val="20"/>
          <w:szCs w:val="20"/>
        </w:rPr>
        <w:t>始对抗-</w:t>
      </w:r>
      <w:r>
        <w:rPr>
          <w:rFonts w:ascii="Times New Roman" w:hAnsi="Times New Roman" w:eastAsia="Times New Roman" w:cs="Times New Roman"/>
          <w:sz w:val="20"/>
          <w:szCs w:val="20"/>
        </w:rPr>
        <w:t>HCV</w:t>
      </w:r>
      <w:r>
        <w:rPr>
          <w:rFonts w:ascii="宋体" w:hAnsi="宋体" w:eastAsia="宋体" w:cs="宋体"/>
          <w:spacing w:val="10"/>
          <w:sz w:val="20"/>
          <w:szCs w:val="20"/>
        </w:rPr>
        <w:t>阴性献血者筛查</w:t>
      </w:r>
      <w:r>
        <w:rPr>
          <w:rFonts w:ascii="Times New Roman" w:hAnsi="Times New Roman" w:eastAsia="Times New Roman" w:cs="Times New Roman"/>
          <w:sz w:val="20"/>
          <w:szCs w:val="20"/>
        </w:rPr>
        <w:t>HCV</w:t>
      </w:r>
      <w:r>
        <w:rPr>
          <w:rFonts w:ascii="Times New Roman" w:hAnsi="Times New Roman" w:eastAsia="Times New Roman" w:cs="Times New Roman"/>
          <w:spacing w:val="16"/>
          <w:w w:val="101"/>
          <w:sz w:val="20"/>
          <w:szCs w:val="20"/>
        </w:rPr>
        <w:t xml:space="preserve">  </w:t>
      </w:r>
      <w:r>
        <w:rPr>
          <w:rFonts w:ascii="Times New Roman" w:hAnsi="Times New Roman" w:eastAsia="Times New Roman" w:cs="Times New Roman"/>
          <w:sz w:val="20"/>
          <w:szCs w:val="20"/>
        </w:rPr>
        <w:t>RNA</w:t>
      </w:r>
      <w:r>
        <w:rPr>
          <w:rFonts w:ascii="Times New Roman" w:hAnsi="Times New Roman" w:eastAsia="Times New Roman" w:cs="Times New Roman"/>
          <w:spacing w:val="10"/>
          <w:sz w:val="20"/>
          <w:szCs w:val="20"/>
        </w:rPr>
        <w:t>,</w:t>
      </w:r>
      <w:r>
        <w:rPr>
          <w:rFonts w:ascii="宋体" w:hAnsi="宋体" w:eastAsia="宋体" w:cs="宋体"/>
          <w:spacing w:val="10"/>
          <w:sz w:val="20"/>
          <w:szCs w:val="20"/>
        </w:rPr>
        <w:t>经输血和血制品传播已很少发生。现</w:t>
      </w:r>
      <w:r>
        <w:rPr>
          <w:rFonts w:ascii="宋体" w:hAnsi="宋体" w:eastAsia="宋体" w:cs="宋体"/>
          <w:spacing w:val="9"/>
          <w:sz w:val="20"/>
          <w:szCs w:val="20"/>
        </w:rPr>
        <w:t>阶段主要存在以下</w:t>
      </w:r>
      <w:r>
        <w:rPr>
          <w:rFonts w:ascii="宋体" w:hAnsi="宋体" w:eastAsia="宋体" w:cs="宋体"/>
          <w:sz w:val="20"/>
          <w:szCs w:val="20"/>
        </w:rPr>
        <w:t xml:space="preserve"> </w:t>
      </w:r>
      <w:r>
        <w:rPr>
          <w:rFonts w:ascii="宋体" w:hAnsi="宋体" w:eastAsia="宋体" w:cs="宋体"/>
          <w:spacing w:val="10"/>
          <w:sz w:val="20"/>
          <w:szCs w:val="20"/>
        </w:rPr>
        <w:t>3种途径：①静脉注射吸毒者共用注射器和不</w:t>
      </w:r>
      <w:r>
        <w:rPr>
          <w:rFonts w:ascii="宋体" w:hAnsi="宋体" w:eastAsia="宋体" w:cs="宋体"/>
          <w:spacing w:val="9"/>
          <w:sz w:val="20"/>
          <w:szCs w:val="20"/>
        </w:rPr>
        <w:t>安全注射是目前新发感染最主要的传播方式；②共</w:t>
      </w:r>
      <w:r>
        <w:rPr>
          <w:rFonts w:ascii="宋体" w:hAnsi="宋体" w:eastAsia="宋体" w:cs="宋体"/>
          <w:sz w:val="20"/>
          <w:szCs w:val="20"/>
        </w:rPr>
        <w:t xml:space="preserve"> </w:t>
      </w:r>
      <w:r>
        <w:rPr>
          <w:rFonts w:ascii="宋体" w:hAnsi="宋体" w:eastAsia="宋体" w:cs="宋体"/>
          <w:spacing w:val="1"/>
          <w:sz w:val="20"/>
          <w:szCs w:val="20"/>
        </w:rPr>
        <w:t>用剃须刀、共用牙刷、修足、文身和扎耳孔等也是</w:t>
      </w:r>
      <w:r>
        <w:rPr>
          <w:rFonts w:ascii="Times New Roman" w:hAnsi="Times New Roman" w:eastAsia="Times New Roman" w:cs="Times New Roman"/>
          <w:sz w:val="20"/>
          <w:szCs w:val="20"/>
        </w:rPr>
        <w:t>HCV</w:t>
      </w:r>
      <w:r>
        <w:rPr>
          <w:rFonts w:ascii="Times New Roman" w:hAnsi="Times New Roman" w:eastAsia="Times New Roman" w:cs="Times New Roman"/>
          <w:spacing w:val="-8"/>
          <w:sz w:val="20"/>
          <w:szCs w:val="20"/>
        </w:rPr>
        <w:t xml:space="preserve"> </w:t>
      </w:r>
      <w:r>
        <w:rPr>
          <w:rFonts w:ascii="宋体" w:hAnsi="宋体" w:eastAsia="宋体" w:cs="宋体"/>
          <w:spacing w:val="1"/>
          <w:sz w:val="20"/>
          <w:szCs w:val="20"/>
        </w:rPr>
        <w:t>潜在的经血液传播方式；③使</w:t>
      </w:r>
      <w:r>
        <w:rPr>
          <w:rFonts w:ascii="宋体" w:hAnsi="宋体" w:eastAsia="宋体" w:cs="宋体"/>
          <w:sz w:val="20"/>
          <w:szCs w:val="20"/>
        </w:rPr>
        <w:t xml:space="preserve">用非一次性注 </w:t>
      </w:r>
      <w:r>
        <w:rPr>
          <w:rFonts w:ascii="宋体" w:hAnsi="宋体" w:eastAsia="宋体" w:cs="宋体"/>
          <w:spacing w:val="6"/>
          <w:sz w:val="20"/>
          <w:szCs w:val="20"/>
        </w:rPr>
        <w:t>射器和针头、未经严格消毒的牙科器械或内镜</w:t>
      </w:r>
      <w:r>
        <w:rPr>
          <w:rFonts w:ascii="宋体" w:hAnsi="宋体" w:eastAsia="宋体" w:cs="宋体"/>
          <w:spacing w:val="5"/>
          <w:sz w:val="20"/>
          <w:szCs w:val="20"/>
        </w:rPr>
        <w:t>、侵袭性操作和针刺等也是</w:t>
      </w:r>
      <w:r>
        <w:rPr>
          <w:rFonts w:ascii="Times New Roman" w:hAnsi="Times New Roman" w:eastAsia="Times New Roman" w:cs="Times New Roman"/>
          <w:sz w:val="20"/>
          <w:szCs w:val="20"/>
        </w:rPr>
        <w:t>HCV</w:t>
      </w:r>
      <w:r>
        <w:rPr>
          <w:rFonts w:ascii="Times New Roman" w:hAnsi="Times New Roman" w:eastAsia="Times New Roman" w:cs="Times New Roman"/>
          <w:spacing w:val="5"/>
          <w:sz w:val="20"/>
          <w:szCs w:val="20"/>
        </w:rPr>
        <w:t xml:space="preserve"> </w:t>
      </w:r>
      <w:r>
        <w:rPr>
          <w:rFonts w:ascii="宋体" w:hAnsi="宋体" w:eastAsia="宋体" w:cs="宋体"/>
          <w:spacing w:val="5"/>
          <w:sz w:val="20"/>
          <w:szCs w:val="20"/>
        </w:rPr>
        <w:t>潜在的经血液传播</w:t>
      </w:r>
      <w:r>
        <w:rPr>
          <w:rFonts w:ascii="宋体" w:hAnsi="宋体" w:eastAsia="宋体" w:cs="宋体"/>
          <w:sz w:val="20"/>
          <w:szCs w:val="20"/>
        </w:rPr>
        <w:t xml:space="preserve"> </w:t>
      </w:r>
      <w:r>
        <w:rPr>
          <w:rFonts w:ascii="宋体" w:hAnsi="宋体" w:eastAsia="宋体" w:cs="宋体"/>
          <w:spacing w:val="6"/>
          <w:sz w:val="20"/>
          <w:szCs w:val="20"/>
        </w:rPr>
        <w:t>方式。</w:t>
      </w:r>
    </w:p>
    <w:p w14:paraId="787C341D">
      <w:pPr>
        <w:pStyle w:val="2"/>
        <w:spacing w:before="168" w:line="281" w:lineRule="auto"/>
        <w:ind w:left="699" w:right="91" w:firstLine="410"/>
        <w:rPr>
          <w:rFonts w:ascii="宋体" w:hAnsi="宋体" w:eastAsia="宋体" w:cs="宋体"/>
          <w:sz w:val="20"/>
          <w:szCs w:val="20"/>
        </w:rPr>
      </w:pPr>
      <w:r>
        <w:rPr>
          <w:rFonts w:ascii="宋体" w:hAnsi="宋体" w:eastAsia="宋体" w:cs="宋体"/>
          <w:spacing w:val="6"/>
          <w:sz w:val="20"/>
          <w:szCs w:val="20"/>
        </w:rPr>
        <w:t xml:space="preserve">2. </w:t>
      </w:r>
      <w:r>
        <w:rPr>
          <w:spacing w:val="6"/>
          <w:sz w:val="20"/>
          <w:szCs w:val="20"/>
        </w:rPr>
        <w:t>性传播</w:t>
      </w:r>
      <w:r>
        <w:rPr>
          <w:spacing w:val="74"/>
          <w:sz w:val="20"/>
          <w:szCs w:val="20"/>
        </w:rPr>
        <w:t xml:space="preserve"> </w:t>
      </w:r>
      <w:r>
        <w:rPr>
          <w:rFonts w:ascii="宋体" w:hAnsi="宋体" w:eastAsia="宋体" w:cs="宋体"/>
          <w:spacing w:val="6"/>
          <w:sz w:val="20"/>
          <w:szCs w:val="20"/>
        </w:rPr>
        <w:t>与</w:t>
      </w:r>
      <w:r>
        <w:rPr>
          <w:rFonts w:ascii="宋体" w:hAnsi="宋体" w:eastAsia="宋体" w:cs="宋体"/>
          <w:spacing w:val="-28"/>
          <w:sz w:val="20"/>
          <w:szCs w:val="20"/>
        </w:rPr>
        <w:t xml:space="preserve"> </w:t>
      </w:r>
      <w:r>
        <w:rPr>
          <w:rFonts w:ascii="宋体" w:hAnsi="宋体" w:eastAsia="宋体" w:cs="宋体"/>
          <w:sz w:val="20"/>
          <w:szCs w:val="20"/>
        </w:rPr>
        <w:t>HCV</w:t>
      </w:r>
      <w:r>
        <w:rPr>
          <w:rFonts w:ascii="宋体" w:hAnsi="宋体" w:eastAsia="宋体" w:cs="宋体"/>
          <w:spacing w:val="63"/>
          <w:sz w:val="20"/>
          <w:szCs w:val="20"/>
        </w:rPr>
        <w:t xml:space="preserve"> </w:t>
      </w:r>
      <w:r>
        <w:rPr>
          <w:rFonts w:ascii="宋体" w:hAnsi="宋体" w:eastAsia="宋体" w:cs="宋体"/>
          <w:spacing w:val="6"/>
          <w:sz w:val="20"/>
          <w:szCs w:val="20"/>
        </w:rPr>
        <w:t>感染者发生无保护措施的性行为可造成</w:t>
      </w:r>
      <w:r>
        <w:rPr>
          <w:rFonts w:ascii="宋体" w:hAnsi="宋体" w:eastAsia="宋体" w:cs="宋体"/>
          <w:sz w:val="20"/>
          <w:szCs w:val="20"/>
        </w:rPr>
        <w:t>HCV</w:t>
      </w:r>
      <w:r>
        <w:rPr>
          <w:rFonts w:ascii="宋体" w:hAnsi="宋体" w:eastAsia="宋体" w:cs="宋体"/>
          <w:spacing w:val="73"/>
          <w:sz w:val="20"/>
          <w:szCs w:val="20"/>
        </w:rPr>
        <w:t xml:space="preserve"> </w:t>
      </w:r>
      <w:r>
        <w:rPr>
          <w:rFonts w:ascii="宋体" w:hAnsi="宋体" w:eastAsia="宋体" w:cs="宋体"/>
          <w:spacing w:val="6"/>
          <w:sz w:val="20"/>
          <w:szCs w:val="20"/>
        </w:rPr>
        <w:t>传</w:t>
      </w:r>
      <w:r>
        <w:rPr>
          <w:rFonts w:ascii="宋体" w:hAnsi="宋体" w:eastAsia="宋体" w:cs="宋体"/>
          <w:spacing w:val="5"/>
          <w:sz w:val="20"/>
          <w:szCs w:val="20"/>
        </w:rPr>
        <w:t>播。同时伴有其他性传播</w:t>
      </w:r>
      <w:r>
        <w:rPr>
          <w:rFonts w:ascii="宋体" w:hAnsi="宋体" w:eastAsia="宋体" w:cs="宋体"/>
          <w:sz w:val="20"/>
          <w:szCs w:val="20"/>
        </w:rPr>
        <w:t xml:space="preserve"> </w:t>
      </w:r>
      <w:r>
        <w:rPr>
          <w:rFonts w:ascii="宋体" w:hAnsi="宋体" w:eastAsia="宋体" w:cs="宋体"/>
          <w:spacing w:val="-1"/>
          <w:sz w:val="20"/>
          <w:szCs w:val="20"/>
        </w:rPr>
        <w:t>疾病，特别是感染</w:t>
      </w:r>
      <w:r>
        <w:rPr>
          <w:rFonts w:ascii="Times New Roman" w:hAnsi="Times New Roman" w:eastAsia="Times New Roman" w:cs="Times New Roman"/>
          <w:spacing w:val="-1"/>
          <w:sz w:val="20"/>
          <w:szCs w:val="20"/>
        </w:rPr>
        <w:t>HIV</w:t>
      </w:r>
      <w:r>
        <w:rPr>
          <w:rFonts w:ascii="Times New Roman" w:hAnsi="Times New Roman" w:eastAsia="Times New Roman" w:cs="Times New Roman"/>
          <w:spacing w:val="-4"/>
          <w:sz w:val="20"/>
          <w:szCs w:val="20"/>
        </w:rPr>
        <w:t xml:space="preserve"> </w:t>
      </w:r>
      <w:r>
        <w:rPr>
          <w:rFonts w:ascii="宋体" w:hAnsi="宋体" w:eastAsia="宋体" w:cs="宋体"/>
          <w:spacing w:val="-1"/>
          <w:sz w:val="20"/>
          <w:szCs w:val="20"/>
        </w:rPr>
        <w:t>者，感染</w:t>
      </w:r>
      <w:r>
        <w:rPr>
          <w:rFonts w:ascii="Times New Roman" w:hAnsi="Times New Roman" w:eastAsia="Times New Roman" w:cs="Times New Roman"/>
          <w:spacing w:val="-1"/>
          <w:sz w:val="20"/>
          <w:szCs w:val="20"/>
        </w:rPr>
        <w:t>HCV</w:t>
      </w:r>
      <w:r>
        <w:rPr>
          <w:rFonts w:ascii="宋体" w:hAnsi="宋体" w:eastAsia="宋体" w:cs="宋体"/>
          <w:spacing w:val="-1"/>
          <w:sz w:val="20"/>
          <w:szCs w:val="20"/>
        </w:rPr>
        <w:t>的危险性更高。</w:t>
      </w:r>
    </w:p>
    <w:p w14:paraId="2144CA3D">
      <w:pPr>
        <w:pStyle w:val="2"/>
        <w:spacing w:before="140" w:line="295" w:lineRule="auto"/>
        <w:ind w:left="699" w:right="90" w:firstLine="410"/>
        <w:rPr>
          <w:rFonts w:ascii="宋体" w:hAnsi="宋体" w:eastAsia="宋体" w:cs="宋体"/>
          <w:sz w:val="20"/>
          <w:szCs w:val="20"/>
        </w:rPr>
      </w:pPr>
      <w:r>
        <w:rPr>
          <w:rFonts w:ascii="Times New Roman" w:hAnsi="Times New Roman" w:eastAsia="Times New Roman" w:cs="Times New Roman"/>
          <w:spacing w:val="7"/>
          <w:sz w:val="20"/>
          <w:szCs w:val="20"/>
        </w:rPr>
        <w:t>3.</w:t>
      </w:r>
      <w:r>
        <w:rPr>
          <w:rFonts w:ascii="Times New Roman" w:hAnsi="Times New Roman" w:eastAsia="Times New Roman" w:cs="Times New Roman"/>
          <w:spacing w:val="19"/>
          <w:w w:val="101"/>
          <w:sz w:val="20"/>
          <w:szCs w:val="20"/>
        </w:rPr>
        <w:t xml:space="preserve">  </w:t>
      </w:r>
      <w:r>
        <w:rPr>
          <w:spacing w:val="7"/>
          <w:sz w:val="20"/>
          <w:szCs w:val="20"/>
        </w:rPr>
        <w:t>母婴传播抗</w:t>
      </w:r>
      <w:r>
        <w:rPr>
          <w:spacing w:val="-51"/>
          <w:sz w:val="20"/>
          <w:szCs w:val="20"/>
        </w:rPr>
        <w:t xml:space="preserve"> </w:t>
      </w:r>
      <w:r>
        <w:rPr>
          <w:spacing w:val="7"/>
          <w:sz w:val="20"/>
          <w:szCs w:val="20"/>
        </w:rPr>
        <w:t>-</w:t>
      </w:r>
      <w:r>
        <w:rPr>
          <w:rFonts w:ascii="Times New Roman" w:hAnsi="Times New Roman" w:eastAsia="Times New Roman" w:cs="Times New Roman"/>
          <w:sz w:val="20"/>
          <w:szCs w:val="20"/>
        </w:rPr>
        <w:t>HCV</w:t>
      </w:r>
      <w:r>
        <w:rPr>
          <w:rFonts w:ascii="宋体" w:hAnsi="宋体" w:eastAsia="宋体" w:cs="宋体"/>
          <w:spacing w:val="7"/>
          <w:sz w:val="20"/>
          <w:szCs w:val="20"/>
        </w:rPr>
        <w:t>阳性孕妇可将</w:t>
      </w:r>
      <w:r>
        <w:rPr>
          <w:rFonts w:ascii="Times New Roman" w:hAnsi="Times New Roman" w:eastAsia="Times New Roman" w:cs="Times New Roman"/>
          <w:sz w:val="20"/>
          <w:szCs w:val="20"/>
        </w:rPr>
        <w:t>HCV</w:t>
      </w:r>
      <w:r>
        <w:rPr>
          <w:rFonts w:ascii="Times New Roman" w:hAnsi="Times New Roman" w:eastAsia="Times New Roman" w:cs="Times New Roman"/>
          <w:spacing w:val="7"/>
          <w:sz w:val="20"/>
          <w:szCs w:val="20"/>
        </w:rPr>
        <w:t xml:space="preserve"> </w:t>
      </w:r>
      <w:r>
        <w:rPr>
          <w:rFonts w:ascii="宋体" w:hAnsi="宋体" w:eastAsia="宋体" w:cs="宋体"/>
          <w:spacing w:val="7"/>
          <w:sz w:val="20"/>
          <w:szCs w:val="20"/>
        </w:rPr>
        <w:t>传播给新生儿，但危险性较低；若分娩时</w:t>
      </w:r>
      <w:r>
        <w:rPr>
          <w:rFonts w:ascii="宋体" w:hAnsi="宋体" w:eastAsia="宋体" w:cs="宋体"/>
          <w:sz w:val="20"/>
          <w:szCs w:val="20"/>
        </w:rPr>
        <w:t>HCV</w:t>
      </w:r>
      <w:r>
        <w:rPr>
          <w:rFonts w:ascii="宋体" w:hAnsi="宋体" w:eastAsia="宋体" w:cs="宋体"/>
          <w:spacing w:val="7"/>
          <w:sz w:val="20"/>
          <w:szCs w:val="20"/>
        </w:rPr>
        <w:t xml:space="preserve"> </w:t>
      </w:r>
      <w:r>
        <w:rPr>
          <w:rFonts w:ascii="宋体" w:hAnsi="宋体" w:eastAsia="宋体" w:cs="宋体"/>
          <w:spacing w:val="6"/>
          <w:sz w:val="20"/>
          <w:szCs w:val="20"/>
        </w:rPr>
        <w:t xml:space="preserve">  </w:t>
      </w:r>
      <w:r>
        <w:rPr>
          <w:rFonts w:ascii="宋体" w:hAnsi="宋体" w:eastAsia="宋体" w:cs="宋体"/>
          <w:sz w:val="20"/>
          <w:szCs w:val="20"/>
        </w:rPr>
        <w:t>RNA 阳性，传播危险性增加。孕妇合并HIV 感染、HCV   RNA载量高、接受羊膜腔穿刺术等，可能增</w:t>
      </w:r>
      <w:r>
        <w:rPr>
          <w:rFonts w:ascii="宋体" w:hAnsi="宋体" w:eastAsia="宋体" w:cs="宋体"/>
          <w:spacing w:val="-1"/>
          <w:sz w:val="20"/>
          <w:szCs w:val="20"/>
        </w:rPr>
        <w:t>加母</w:t>
      </w:r>
      <w:r>
        <w:rPr>
          <w:rFonts w:ascii="宋体" w:hAnsi="宋体" w:eastAsia="宋体" w:cs="宋体"/>
          <w:sz w:val="20"/>
          <w:szCs w:val="20"/>
        </w:rPr>
        <w:t xml:space="preserve"> </w:t>
      </w:r>
      <w:r>
        <w:rPr>
          <w:rFonts w:ascii="宋体" w:hAnsi="宋体" w:eastAsia="宋体" w:cs="宋体"/>
          <w:spacing w:val="5"/>
          <w:sz w:val="20"/>
          <w:szCs w:val="20"/>
        </w:rPr>
        <w:t>婴传播风险。</w:t>
      </w:r>
    </w:p>
    <w:p w14:paraId="5CFCDACF">
      <w:pPr>
        <w:pStyle w:val="2"/>
        <w:spacing w:before="160" w:line="221" w:lineRule="auto"/>
        <w:ind w:left="1112"/>
        <w:rPr>
          <w:sz w:val="20"/>
          <w:szCs w:val="20"/>
        </w:rPr>
      </w:pPr>
      <w:r>
        <w:rPr>
          <w:b/>
          <w:bCs/>
          <w:spacing w:val="22"/>
          <w:sz w:val="20"/>
          <w:szCs w:val="20"/>
        </w:rPr>
        <w:t>(三)人群易感性</w:t>
      </w:r>
    </w:p>
    <w:p w14:paraId="652FCA44">
      <w:pPr>
        <w:spacing w:before="114" w:line="334" w:lineRule="auto"/>
        <w:ind w:left="699" w:right="69" w:firstLine="410"/>
        <w:jc w:val="both"/>
        <w:rPr>
          <w:rFonts w:ascii="宋体" w:hAnsi="宋体" w:eastAsia="宋体" w:cs="宋体"/>
          <w:sz w:val="20"/>
          <w:szCs w:val="20"/>
        </w:rPr>
      </w:pPr>
      <w:r>
        <w:rPr>
          <w:rFonts w:ascii="宋体" w:hAnsi="宋体" w:eastAsia="宋体" w:cs="宋体"/>
          <w:spacing w:val="3"/>
          <w:sz w:val="20"/>
          <w:szCs w:val="20"/>
        </w:rPr>
        <w:t>人群对</w:t>
      </w:r>
      <w:r>
        <w:rPr>
          <w:rFonts w:ascii="Times New Roman" w:hAnsi="Times New Roman" w:eastAsia="Times New Roman" w:cs="Times New Roman"/>
          <w:sz w:val="20"/>
          <w:szCs w:val="20"/>
        </w:rPr>
        <w:t>HCV</w:t>
      </w:r>
      <w:r>
        <w:rPr>
          <w:rFonts w:ascii="Times New Roman" w:hAnsi="Times New Roman" w:eastAsia="Times New Roman" w:cs="Times New Roman"/>
          <w:spacing w:val="-16"/>
          <w:sz w:val="20"/>
          <w:szCs w:val="20"/>
        </w:rPr>
        <w:t xml:space="preserve"> </w:t>
      </w:r>
      <w:r>
        <w:rPr>
          <w:rFonts w:ascii="宋体" w:hAnsi="宋体" w:eastAsia="宋体" w:cs="宋体"/>
          <w:spacing w:val="3"/>
          <w:sz w:val="20"/>
          <w:szCs w:val="20"/>
        </w:rPr>
        <w:t>普遍易感，目前尚无特异性预防</w:t>
      </w:r>
      <w:r>
        <w:rPr>
          <w:rFonts w:ascii="Times New Roman" w:hAnsi="Times New Roman" w:eastAsia="Times New Roman" w:cs="Times New Roman"/>
          <w:sz w:val="20"/>
          <w:szCs w:val="20"/>
        </w:rPr>
        <w:t>HCV</w:t>
      </w:r>
      <w:r>
        <w:rPr>
          <w:rFonts w:ascii="Times New Roman" w:hAnsi="Times New Roman" w:eastAsia="Times New Roman" w:cs="Times New Roman"/>
          <w:spacing w:val="3"/>
          <w:sz w:val="20"/>
          <w:szCs w:val="20"/>
        </w:rPr>
        <w:t xml:space="preserve"> </w:t>
      </w:r>
      <w:r>
        <w:rPr>
          <w:rFonts w:ascii="宋体" w:hAnsi="宋体" w:eastAsia="宋体" w:cs="宋体"/>
          <w:spacing w:val="3"/>
          <w:sz w:val="20"/>
          <w:szCs w:val="20"/>
        </w:rPr>
        <w:t>感染的疫苗。</w:t>
      </w:r>
      <w:r>
        <w:rPr>
          <w:rFonts w:ascii="Times New Roman" w:hAnsi="Times New Roman" w:eastAsia="Times New Roman" w:cs="Times New Roman"/>
          <w:sz w:val="20"/>
          <w:szCs w:val="20"/>
        </w:rPr>
        <w:t>HCV</w:t>
      </w:r>
      <w:r>
        <w:rPr>
          <w:rFonts w:ascii="Times New Roman" w:hAnsi="Times New Roman" w:eastAsia="Times New Roman" w:cs="Times New Roman"/>
          <w:spacing w:val="3"/>
          <w:sz w:val="20"/>
          <w:szCs w:val="20"/>
        </w:rPr>
        <w:t xml:space="preserve"> </w:t>
      </w:r>
      <w:r>
        <w:rPr>
          <w:rFonts w:ascii="宋体" w:hAnsi="宋体" w:eastAsia="宋体" w:cs="宋体"/>
          <w:spacing w:val="3"/>
          <w:sz w:val="20"/>
          <w:szCs w:val="20"/>
        </w:rPr>
        <w:t>易于变异，不断出现免疫</w:t>
      </w:r>
      <w:r>
        <w:rPr>
          <w:rFonts w:ascii="宋体" w:hAnsi="宋体" w:eastAsia="宋体" w:cs="宋体"/>
          <w:sz w:val="20"/>
          <w:szCs w:val="20"/>
        </w:rPr>
        <w:t xml:space="preserve"> </w:t>
      </w:r>
      <w:r>
        <w:rPr>
          <w:rFonts w:ascii="宋体" w:hAnsi="宋体" w:eastAsia="宋体" w:cs="宋体"/>
          <w:spacing w:val="2"/>
          <w:sz w:val="20"/>
          <w:szCs w:val="20"/>
        </w:rPr>
        <w:t>逃逸突变株，因此，人感染</w:t>
      </w:r>
      <w:r>
        <w:rPr>
          <w:rFonts w:ascii="Times New Roman" w:hAnsi="Times New Roman" w:eastAsia="Times New Roman" w:cs="Times New Roman"/>
          <w:sz w:val="20"/>
          <w:szCs w:val="20"/>
        </w:rPr>
        <w:t>HCV</w:t>
      </w:r>
      <w:r>
        <w:rPr>
          <w:rFonts w:ascii="Times New Roman" w:hAnsi="Times New Roman" w:eastAsia="Times New Roman" w:cs="Times New Roman"/>
          <w:spacing w:val="-4"/>
          <w:sz w:val="20"/>
          <w:szCs w:val="20"/>
        </w:rPr>
        <w:t xml:space="preserve"> </w:t>
      </w:r>
      <w:r>
        <w:rPr>
          <w:rFonts w:ascii="宋体" w:hAnsi="宋体" w:eastAsia="宋体" w:cs="宋体"/>
          <w:spacing w:val="2"/>
          <w:sz w:val="20"/>
          <w:szCs w:val="20"/>
        </w:rPr>
        <w:t>后所产生的免疫保护作用有限。</w:t>
      </w:r>
      <w:r>
        <w:rPr>
          <w:rFonts w:ascii="宋体" w:hAnsi="宋体" w:eastAsia="宋体" w:cs="宋体"/>
          <w:spacing w:val="-50"/>
          <w:sz w:val="20"/>
          <w:szCs w:val="20"/>
        </w:rPr>
        <w:t xml:space="preserve"> </w:t>
      </w:r>
      <w:r>
        <w:rPr>
          <w:rFonts w:ascii="Times New Roman" w:hAnsi="Times New Roman" w:eastAsia="Times New Roman" w:cs="Times New Roman"/>
          <w:sz w:val="20"/>
          <w:szCs w:val="20"/>
        </w:rPr>
        <w:t>HCV</w:t>
      </w:r>
      <w:r>
        <w:rPr>
          <w:rFonts w:ascii="Times New Roman" w:hAnsi="Times New Roman" w:eastAsia="Times New Roman" w:cs="Times New Roman"/>
          <w:spacing w:val="31"/>
          <w:w w:val="101"/>
          <w:sz w:val="20"/>
          <w:szCs w:val="20"/>
        </w:rPr>
        <w:t xml:space="preserve"> </w:t>
      </w:r>
      <w:r>
        <w:rPr>
          <w:rFonts w:ascii="宋体" w:hAnsi="宋体" w:eastAsia="宋体" w:cs="宋体"/>
          <w:spacing w:val="2"/>
          <w:sz w:val="20"/>
          <w:szCs w:val="20"/>
        </w:rPr>
        <w:t>感染高危人群是重要的易感</w:t>
      </w:r>
      <w:r>
        <w:rPr>
          <w:rFonts w:ascii="宋体" w:hAnsi="宋体" w:eastAsia="宋体" w:cs="宋体"/>
          <w:sz w:val="20"/>
          <w:szCs w:val="20"/>
        </w:rPr>
        <w:t xml:space="preserve"> </w:t>
      </w:r>
      <w:r>
        <w:rPr>
          <w:rFonts w:ascii="宋体" w:hAnsi="宋体" w:eastAsia="宋体" w:cs="宋体"/>
          <w:spacing w:val="-3"/>
          <w:sz w:val="20"/>
          <w:szCs w:val="20"/>
        </w:rPr>
        <w:t>人群，如注射吸毒者、男男性行为者以及</w:t>
      </w:r>
      <w:r>
        <w:rPr>
          <w:rFonts w:ascii="Times New Roman" w:hAnsi="Times New Roman" w:eastAsia="Times New Roman" w:cs="Times New Roman"/>
          <w:spacing w:val="-3"/>
          <w:sz w:val="20"/>
          <w:szCs w:val="20"/>
        </w:rPr>
        <w:t xml:space="preserve">HIV </w:t>
      </w:r>
      <w:r>
        <w:rPr>
          <w:rFonts w:ascii="宋体" w:hAnsi="宋体" w:eastAsia="宋体" w:cs="宋体"/>
          <w:spacing w:val="-3"/>
          <w:sz w:val="20"/>
          <w:szCs w:val="20"/>
        </w:rPr>
        <w:t>感染者。</w:t>
      </w:r>
    </w:p>
    <w:p w14:paraId="0E1456BF">
      <w:pPr>
        <w:pStyle w:val="2"/>
        <w:spacing w:before="204" w:line="222" w:lineRule="auto"/>
        <w:ind w:left="1113"/>
        <w:outlineLvl w:val="4"/>
        <w:rPr>
          <w:sz w:val="24"/>
          <w:szCs w:val="24"/>
        </w:rPr>
      </w:pPr>
      <w:bookmarkStart w:id="490" w:name="bookmark307"/>
      <w:bookmarkEnd w:id="490"/>
      <w:r>
        <w:rPr>
          <w:b/>
          <w:bCs/>
          <w:spacing w:val="-9"/>
          <w:sz w:val="24"/>
          <w:szCs w:val="24"/>
        </w:rPr>
        <w:t>四</w:t>
      </w:r>
      <w:r>
        <w:rPr>
          <w:spacing w:val="-61"/>
          <w:sz w:val="24"/>
          <w:szCs w:val="24"/>
        </w:rPr>
        <w:t xml:space="preserve"> </w:t>
      </w:r>
      <w:r>
        <w:rPr>
          <w:b/>
          <w:bCs/>
          <w:spacing w:val="-9"/>
          <w:sz w:val="24"/>
          <w:szCs w:val="24"/>
        </w:rPr>
        <w:t>、丁型肝炎</w:t>
      </w:r>
    </w:p>
    <w:p w14:paraId="64EE2B71">
      <w:pPr>
        <w:pStyle w:val="2"/>
        <w:spacing w:before="242" w:line="221" w:lineRule="auto"/>
        <w:ind w:left="1110"/>
        <w:rPr>
          <w:sz w:val="24"/>
          <w:szCs w:val="24"/>
        </w:rPr>
      </w:pPr>
      <w:r>
        <w:rPr>
          <w:spacing w:val="-1"/>
          <w:sz w:val="24"/>
          <w:szCs w:val="24"/>
        </w:rPr>
        <w:t>(一)传染源</w:t>
      </w:r>
    </w:p>
    <w:p w14:paraId="666A774C">
      <w:pPr>
        <w:spacing w:before="82" w:line="335" w:lineRule="auto"/>
        <w:ind w:left="699" w:right="71" w:firstLine="410"/>
        <w:jc w:val="both"/>
        <w:rPr>
          <w:rFonts w:ascii="宋体" w:hAnsi="宋体" w:eastAsia="宋体" w:cs="宋体"/>
          <w:sz w:val="20"/>
          <w:szCs w:val="20"/>
        </w:rPr>
      </w:pPr>
      <w:r>
        <w:rPr>
          <w:rFonts w:ascii="Times New Roman" w:hAnsi="Times New Roman" w:eastAsia="Times New Roman" w:cs="Times New Roman"/>
          <w:sz w:val="20"/>
          <w:szCs w:val="20"/>
        </w:rPr>
        <w:t>HDV</w:t>
      </w:r>
      <w:r>
        <w:rPr>
          <w:rFonts w:ascii="宋体" w:hAnsi="宋体" w:eastAsia="宋体" w:cs="宋体"/>
          <w:spacing w:val="9"/>
          <w:sz w:val="20"/>
          <w:szCs w:val="20"/>
        </w:rPr>
        <w:t>是一种依赖</w:t>
      </w:r>
      <w:r>
        <w:rPr>
          <w:rFonts w:ascii="Times New Roman" w:hAnsi="Times New Roman" w:eastAsia="Times New Roman" w:cs="Times New Roman"/>
          <w:sz w:val="20"/>
          <w:szCs w:val="20"/>
        </w:rPr>
        <w:t>HBV</w:t>
      </w:r>
      <w:r>
        <w:rPr>
          <w:rFonts w:ascii="Times New Roman" w:hAnsi="Times New Roman" w:eastAsia="Times New Roman" w:cs="Times New Roman"/>
          <w:spacing w:val="9"/>
          <w:sz w:val="20"/>
          <w:szCs w:val="20"/>
        </w:rPr>
        <w:t xml:space="preserve"> </w:t>
      </w:r>
      <w:r>
        <w:rPr>
          <w:rFonts w:ascii="宋体" w:hAnsi="宋体" w:eastAsia="宋体" w:cs="宋体"/>
          <w:spacing w:val="9"/>
          <w:sz w:val="20"/>
          <w:szCs w:val="20"/>
        </w:rPr>
        <w:t>生存和复制的病毒。丁肝的传染源为</w:t>
      </w:r>
      <w:r>
        <w:rPr>
          <w:rFonts w:ascii="Times New Roman" w:hAnsi="Times New Roman" w:eastAsia="Times New Roman" w:cs="Times New Roman"/>
          <w:sz w:val="20"/>
          <w:szCs w:val="20"/>
        </w:rPr>
        <w:t>HBV</w:t>
      </w:r>
      <w:r>
        <w:rPr>
          <w:rFonts w:ascii="Times New Roman" w:hAnsi="Times New Roman" w:eastAsia="Times New Roman" w:cs="Times New Roman"/>
          <w:spacing w:val="9"/>
          <w:sz w:val="20"/>
          <w:szCs w:val="20"/>
        </w:rPr>
        <w:t>/</w:t>
      </w:r>
      <w:r>
        <w:rPr>
          <w:rFonts w:ascii="Times New Roman" w:hAnsi="Times New Roman" w:eastAsia="Times New Roman" w:cs="Times New Roman"/>
          <w:sz w:val="20"/>
          <w:szCs w:val="20"/>
        </w:rPr>
        <w:t>HDV</w:t>
      </w:r>
      <w:r>
        <w:rPr>
          <w:rFonts w:ascii="宋体" w:hAnsi="宋体" w:eastAsia="宋体" w:cs="宋体"/>
          <w:spacing w:val="9"/>
          <w:sz w:val="20"/>
          <w:szCs w:val="20"/>
        </w:rPr>
        <w:t>同时感</w:t>
      </w:r>
      <w:r>
        <w:rPr>
          <w:rFonts w:ascii="宋体" w:hAnsi="宋体" w:eastAsia="宋体" w:cs="宋体"/>
          <w:spacing w:val="8"/>
          <w:sz w:val="20"/>
          <w:szCs w:val="20"/>
        </w:rPr>
        <w:t>染者和重叠感染</w:t>
      </w:r>
      <w:r>
        <w:rPr>
          <w:rFonts w:ascii="宋体" w:hAnsi="宋体" w:eastAsia="宋体" w:cs="宋体"/>
          <w:sz w:val="20"/>
          <w:szCs w:val="20"/>
        </w:rPr>
        <w:t xml:space="preserve"> </w:t>
      </w:r>
      <w:r>
        <w:rPr>
          <w:rFonts w:ascii="宋体" w:hAnsi="宋体" w:eastAsia="宋体" w:cs="宋体"/>
          <w:spacing w:val="5"/>
          <w:sz w:val="20"/>
          <w:szCs w:val="20"/>
        </w:rPr>
        <w:t>者，潜伏期为4～20周。发生同时感染的成人常呈自</w:t>
      </w:r>
      <w:r>
        <w:rPr>
          <w:rFonts w:ascii="宋体" w:hAnsi="宋体" w:eastAsia="宋体" w:cs="宋体"/>
          <w:spacing w:val="4"/>
          <w:sz w:val="20"/>
          <w:szCs w:val="20"/>
        </w:rPr>
        <w:t>限性，表现为急性肝炎；而重叠感染者多发展</w:t>
      </w:r>
      <w:r>
        <w:rPr>
          <w:rFonts w:ascii="宋体" w:hAnsi="宋体" w:eastAsia="宋体" w:cs="宋体"/>
          <w:sz w:val="20"/>
          <w:szCs w:val="20"/>
        </w:rPr>
        <w:t xml:space="preserve"> </w:t>
      </w:r>
      <w:r>
        <w:rPr>
          <w:rFonts w:ascii="宋体" w:hAnsi="宋体" w:eastAsia="宋体" w:cs="宋体"/>
          <w:spacing w:val="-3"/>
          <w:sz w:val="20"/>
          <w:szCs w:val="20"/>
        </w:rPr>
        <w:t>为慢性感染，作为传染源的意义更大。</w:t>
      </w:r>
    </w:p>
    <w:p w14:paraId="341CF123">
      <w:pPr>
        <w:pStyle w:val="2"/>
        <w:spacing w:before="1" w:line="221" w:lineRule="auto"/>
        <w:ind w:left="1113"/>
        <w:rPr>
          <w:sz w:val="24"/>
          <w:szCs w:val="24"/>
        </w:rPr>
      </w:pPr>
      <w:r>
        <w:rPr>
          <w:b/>
          <w:bCs/>
          <w:spacing w:val="-6"/>
          <w:sz w:val="24"/>
          <w:szCs w:val="24"/>
        </w:rPr>
        <w:t>(二)传播途径</w:t>
      </w:r>
    </w:p>
    <w:p w14:paraId="6BDC91DA">
      <w:pPr>
        <w:spacing w:before="103" w:line="219" w:lineRule="auto"/>
        <w:ind w:left="1110"/>
        <w:rPr>
          <w:rFonts w:ascii="宋体" w:hAnsi="宋体" w:eastAsia="宋体" w:cs="宋体"/>
          <w:sz w:val="20"/>
          <w:szCs w:val="20"/>
        </w:rPr>
      </w:pPr>
      <w:r>
        <w:rPr>
          <w:rFonts w:ascii="宋体" w:hAnsi="宋体" w:eastAsia="宋体" w:cs="宋体"/>
          <w:spacing w:val="1"/>
          <w:sz w:val="20"/>
          <w:szCs w:val="20"/>
        </w:rPr>
        <w:t>丁肝的主要传播途径为经血液传播和性传播，很少发生母婴传播。</w:t>
      </w:r>
    </w:p>
    <w:p w14:paraId="3129F485">
      <w:pPr>
        <w:pStyle w:val="2"/>
        <w:spacing w:before="124" w:line="280" w:lineRule="auto"/>
        <w:ind w:left="699" w:right="90" w:firstLine="410"/>
        <w:rPr>
          <w:rFonts w:ascii="宋体" w:hAnsi="宋体" w:eastAsia="宋体" w:cs="宋体"/>
          <w:sz w:val="20"/>
          <w:szCs w:val="20"/>
        </w:rPr>
      </w:pPr>
      <w:r>
        <w:rPr>
          <w:rFonts w:ascii="Times New Roman" w:hAnsi="Times New Roman" w:eastAsia="Times New Roman" w:cs="Times New Roman"/>
          <w:spacing w:val="12"/>
          <w:sz w:val="20"/>
          <w:szCs w:val="20"/>
        </w:rPr>
        <w:t xml:space="preserve">1.   </w:t>
      </w:r>
      <w:r>
        <w:rPr>
          <w:spacing w:val="12"/>
          <w:sz w:val="20"/>
          <w:szCs w:val="20"/>
        </w:rPr>
        <w:t xml:space="preserve">经血液传播  </w:t>
      </w:r>
      <w:r>
        <w:rPr>
          <w:rFonts w:ascii="宋体" w:hAnsi="宋体" w:eastAsia="宋体" w:cs="宋体"/>
          <w:spacing w:val="12"/>
          <w:sz w:val="20"/>
          <w:szCs w:val="20"/>
        </w:rPr>
        <w:t>输入或经破损的皮肤和黏膜接触受</w:t>
      </w:r>
      <w:r>
        <w:rPr>
          <w:rFonts w:ascii="Times New Roman" w:hAnsi="Times New Roman" w:eastAsia="Times New Roman" w:cs="Times New Roman"/>
          <w:sz w:val="20"/>
          <w:szCs w:val="20"/>
        </w:rPr>
        <w:t>HDV</w:t>
      </w:r>
      <w:r>
        <w:rPr>
          <w:rFonts w:ascii="Times New Roman" w:hAnsi="Times New Roman" w:eastAsia="Times New Roman" w:cs="Times New Roman"/>
          <w:spacing w:val="21"/>
          <w:sz w:val="20"/>
          <w:szCs w:val="20"/>
        </w:rPr>
        <w:t xml:space="preserve"> </w:t>
      </w:r>
      <w:r>
        <w:rPr>
          <w:rFonts w:ascii="宋体" w:hAnsi="宋体" w:eastAsia="宋体" w:cs="宋体"/>
          <w:spacing w:val="12"/>
          <w:sz w:val="20"/>
          <w:szCs w:val="20"/>
        </w:rPr>
        <w:t>污染的血液和</w:t>
      </w:r>
      <w:r>
        <w:rPr>
          <w:rFonts w:ascii="宋体" w:hAnsi="宋体" w:eastAsia="宋体" w:cs="宋体"/>
          <w:spacing w:val="11"/>
          <w:sz w:val="20"/>
          <w:szCs w:val="20"/>
        </w:rPr>
        <w:t>血制品等，可造成</w:t>
      </w:r>
      <w:r>
        <w:rPr>
          <w:rFonts w:ascii="宋体" w:hAnsi="宋体" w:eastAsia="宋体" w:cs="宋体"/>
          <w:sz w:val="20"/>
          <w:szCs w:val="20"/>
        </w:rPr>
        <w:t xml:space="preserve"> HDV</w:t>
      </w:r>
      <w:r>
        <w:rPr>
          <w:rFonts w:ascii="宋体" w:hAnsi="宋体" w:eastAsia="宋体" w:cs="宋体"/>
          <w:spacing w:val="63"/>
          <w:sz w:val="20"/>
          <w:szCs w:val="20"/>
        </w:rPr>
        <w:t xml:space="preserve"> </w:t>
      </w:r>
      <w:r>
        <w:rPr>
          <w:rFonts w:ascii="宋体" w:hAnsi="宋体" w:eastAsia="宋体" w:cs="宋体"/>
          <w:spacing w:val="4"/>
          <w:sz w:val="20"/>
          <w:szCs w:val="20"/>
        </w:rPr>
        <w:t>的传播。</w:t>
      </w:r>
    </w:p>
    <w:p w14:paraId="159B6C22">
      <w:pPr>
        <w:pStyle w:val="2"/>
        <w:spacing w:before="152" w:line="222" w:lineRule="auto"/>
        <w:ind w:left="1110"/>
        <w:rPr>
          <w:rFonts w:ascii="宋体" w:hAnsi="宋体" w:eastAsia="宋体" w:cs="宋体"/>
          <w:sz w:val="20"/>
          <w:szCs w:val="20"/>
        </w:rPr>
      </w:pPr>
      <w:r>
        <w:rPr>
          <w:rFonts w:ascii="Times New Roman" w:hAnsi="Times New Roman" w:eastAsia="Times New Roman" w:cs="Times New Roman"/>
          <w:spacing w:val="2"/>
          <w:sz w:val="20"/>
          <w:szCs w:val="20"/>
        </w:rPr>
        <w:t>2.</w:t>
      </w:r>
      <w:r>
        <w:rPr>
          <w:rFonts w:ascii="Times New Roman" w:hAnsi="Times New Roman" w:eastAsia="Times New Roman" w:cs="Times New Roman"/>
          <w:spacing w:val="19"/>
          <w:sz w:val="20"/>
          <w:szCs w:val="20"/>
        </w:rPr>
        <w:t xml:space="preserve">  </w:t>
      </w:r>
      <w:r>
        <w:rPr>
          <w:spacing w:val="2"/>
          <w:sz w:val="20"/>
          <w:szCs w:val="20"/>
        </w:rPr>
        <w:t>性传播</w:t>
      </w:r>
      <w:r>
        <w:rPr>
          <w:spacing w:val="74"/>
          <w:sz w:val="20"/>
          <w:szCs w:val="20"/>
        </w:rPr>
        <w:t xml:space="preserve"> </w:t>
      </w:r>
      <w:r>
        <w:rPr>
          <w:rFonts w:ascii="宋体" w:hAnsi="宋体" w:eastAsia="宋体" w:cs="宋体"/>
          <w:spacing w:val="2"/>
          <w:sz w:val="20"/>
          <w:szCs w:val="20"/>
        </w:rPr>
        <w:t>与</w:t>
      </w:r>
      <w:r>
        <w:rPr>
          <w:rFonts w:ascii="宋体" w:hAnsi="宋体" w:eastAsia="宋体" w:cs="宋体"/>
          <w:spacing w:val="-48"/>
          <w:sz w:val="20"/>
          <w:szCs w:val="20"/>
        </w:rPr>
        <w:t xml:space="preserve"> </w:t>
      </w:r>
      <w:r>
        <w:rPr>
          <w:rFonts w:ascii="Times New Roman" w:hAnsi="Times New Roman" w:eastAsia="Times New Roman" w:cs="Times New Roman"/>
          <w:sz w:val="20"/>
          <w:szCs w:val="20"/>
        </w:rPr>
        <w:t>HDV</w:t>
      </w:r>
      <w:r>
        <w:rPr>
          <w:rFonts w:ascii="Times New Roman" w:hAnsi="Times New Roman" w:eastAsia="Times New Roman" w:cs="Times New Roman"/>
          <w:spacing w:val="-10"/>
          <w:sz w:val="20"/>
          <w:szCs w:val="20"/>
        </w:rPr>
        <w:t xml:space="preserve"> </w:t>
      </w:r>
      <w:r>
        <w:rPr>
          <w:rFonts w:ascii="宋体" w:hAnsi="宋体" w:eastAsia="宋体" w:cs="宋体"/>
          <w:spacing w:val="2"/>
          <w:sz w:val="20"/>
          <w:szCs w:val="20"/>
        </w:rPr>
        <w:t>感染者发生无保护措施的性行为，可导致</w:t>
      </w:r>
      <w:r>
        <w:rPr>
          <w:rFonts w:ascii="Times New Roman" w:hAnsi="Times New Roman" w:eastAsia="Times New Roman" w:cs="Times New Roman"/>
          <w:sz w:val="20"/>
          <w:szCs w:val="20"/>
        </w:rPr>
        <w:t>HDV</w:t>
      </w:r>
      <w:r>
        <w:rPr>
          <w:rFonts w:ascii="Times New Roman" w:hAnsi="Times New Roman" w:eastAsia="Times New Roman" w:cs="Times New Roman"/>
          <w:spacing w:val="2"/>
          <w:sz w:val="20"/>
          <w:szCs w:val="20"/>
        </w:rPr>
        <w:t xml:space="preserve"> </w:t>
      </w:r>
      <w:r>
        <w:rPr>
          <w:rFonts w:ascii="宋体" w:hAnsi="宋体" w:eastAsia="宋体" w:cs="宋体"/>
          <w:spacing w:val="2"/>
          <w:sz w:val="20"/>
          <w:szCs w:val="20"/>
        </w:rPr>
        <w:t>的传播。</w:t>
      </w:r>
    </w:p>
    <w:p w14:paraId="45098220">
      <w:pPr>
        <w:pStyle w:val="2"/>
        <w:spacing w:before="140" w:line="222" w:lineRule="auto"/>
        <w:ind w:left="1110"/>
        <w:rPr>
          <w:rFonts w:ascii="宋体" w:hAnsi="宋体" w:eastAsia="宋体" w:cs="宋体"/>
          <w:sz w:val="20"/>
          <w:szCs w:val="20"/>
        </w:rPr>
      </w:pPr>
      <w:r>
        <w:rPr>
          <w:rFonts w:ascii="Times New Roman" w:hAnsi="Times New Roman" w:eastAsia="Times New Roman" w:cs="Times New Roman"/>
          <w:spacing w:val="1"/>
          <w:sz w:val="20"/>
          <w:szCs w:val="20"/>
        </w:rPr>
        <w:t>3.</w:t>
      </w:r>
      <w:r>
        <w:rPr>
          <w:rFonts w:ascii="Times New Roman" w:hAnsi="Times New Roman" w:eastAsia="Times New Roman" w:cs="Times New Roman"/>
          <w:spacing w:val="28"/>
          <w:sz w:val="20"/>
          <w:szCs w:val="20"/>
        </w:rPr>
        <w:t xml:space="preserve">  </w:t>
      </w:r>
      <w:r>
        <w:rPr>
          <w:spacing w:val="1"/>
          <w:sz w:val="20"/>
          <w:szCs w:val="20"/>
        </w:rPr>
        <w:t>母婴传播</w:t>
      </w:r>
      <w:r>
        <w:rPr>
          <w:spacing w:val="84"/>
          <w:sz w:val="20"/>
          <w:szCs w:val="20"/>
        </w:rPr>
        <w:t xml:space="preserve"> </w:t>
      </w:r>
      <w:r>
        <w:rPr>
          <w:rFonts w:ascii="Times New Roman" w:hAnsi="Times New Roman" w:eastAsia="Times New Roman" w:cs="Times New Roman"/>
          <w:sz w:val="20"/>
          <w:szCs w:val="20"/>
        </w:rPr>
        <w:t>HDV</w:t>
      </w:r>
      <w:r>
        <w:rPr>
          <w:rFonts w:ascii="宋体" w:hAnsi="宋体" w:eastAsia="宋体" w:cs="宋体"/>
          <w:spacing w:val="1"/>
          <w:sz w:val="20"/>
          <w:szCs w:val="20"/>
        </w:rPr>
        <w:t>存在通过母婴传播的可能性，但十分罕见。</w:t>
      </w:r>
    </w:p>
    <w:p w14:paraId="24DC9584">
      <w:pPr>
        <w:spacing w:line="222" w:lineRule="auto"/>
        <w:rPr>
          <w:rFonts w:ascii="宋体" w:hAnsi="宋体" w:eastAsia="宋体" w:cs="宋体"/>
          <w:sz w:val="20"/>
          <w:szCs w:val="20"/>
        </w:rPr>
        <w:sectPr>
          <w:footerReference r:id="rId321" w:type="default"/>
          <w:pgSz w:w="11900" w:h="16820"/>
          <w:pgMar w:top="400" w:right="1529" w:bottom="859" w:left="880" w:header="0" w:footer="679" w:gutter="0"/>
          <w:cols w:space="720" w:num="1"/>
        </w:sectPr>
      </w:pPr>
    </w:p>
    <w:p w14:paraId="76FB535E">
      <w:pPr>
        <w:pStyle w:val="2"/>
        <w:spacing w:before="287" w:line="222" w:lineRule="auto"/>
        <w:ind w:left="7140"/>
        <w:rPr>
          <w:sz w:val="21"/>
          <w:szCs w:val="21"/>
        </w:rPr>
      </w:pPr>
      <w:r>
        <w:rPr>
          <w:spacing w:val="-15"/>
          <w:w w:val="96"/>
          <w:sz w:val="21"/>
          <w:szCs w:val="21"/>
        </w:rPr>
        <w:t>第十九章病毒性肝炎</w:t>
      </w:r>
    </w:p>
    <w:p w14:paraId="6E1C07A4">
      <w:pPr>
        <w:spacing w:line="245" w:lineRule="auto"/>
        <w:rPr>
          <w:rFonts w:ascii="Arial"/>
          <w:sz w:val="21"/>
        </w:rPr>
      </w:pPr>
    </w:p>
    <w:p w14:paraId="63A84E24">
      <w:pPr>
        <w:spacing w:line="245" w:lineRule="auto"/>
        <w:rPr>
          <w:rFonts w:ascii="Arial"/>
          <w:sz w:val="21"/>
        </w:rPr>
      </w:pPr>
    </w:p>
    <w:p w14:paraId="0F5A9959">
      <w:pPr>
        <w:pStyle w:val="2"/>
        <w:spacing w:before="81" w:line="221" w:lineRule="auto"/>
        <w:ind w:left="433"/>
        <w:rPr>
          <w:sz w:val="25"/>
          <w:szCs w:val="25"/>
        </w:rPr>
      </w:pPr>
      <w:r>
        <w:rPr>
          <w:b/>
          <w:bCs/>
          <w:spacing w:val="-9"/>
          <w:sz w:val="25"/>
          <w:szCs w:val="25"/>
        </w:rPr>
        <w:t>(三)人群易感性</w:t>
      </w:r>
    </w:p>
    <w:p w14:paraId="1B371E95">
      <w:pPr>
        <w:spacing w:before="83" w:line="326" w:lineRule="auto"/>
        <w:ind w:right="629" w:firstLine="420"/>
        <w:rPr>
          <w:rFonts w:ascii="宋体" w:hAnsi="宋体" w:eastAsia="宋体" w:cs="宋体"/>
          <w:sz w:val="21"/>
          <w:szCs w:val="21"/>
        </w:rPr>
      </w:pPr>
      <w:r>
        <w:rPr>
          <w:rFonts w:ascii="Times New Roman" w:hAnsi="Times New Roman" w:eastAsia="Times New Roman" w:cs="Times New Roman"/>
          <w:sz w:val="21"/>
          <w:szCs w:val="21"/>
        </w:rPr>
        <w:t>HDV</w:t>
      </w:r>
      <w:r>
        <w:rPr>
          <w:rFonts w:ascii="宋体" w:hAnsi="宋体" w:eastAsia="宋体" w:cs="宋体"/>
          <w:sz w:val="21"/>
          <w:szCs w:val="21"/>
        </w:rPr>
        <w:t>需依赖</w:t>
      </w:r>
      <w:r>
        <w:rPr>
          <w:rFonts w:ascii="Times New Roman" w:hAnsi="Times New Roman" w:eastAsia="Times New Roman" w:cs="Times New Roman"/>
          <w:sz w:val="21"/>
          <w:szCs w:val="21"/>
        </w:rPr>
        <w:t>HBV</w:t>
      </w:r>
      <w:r>
        <w:rPr>
          <w:rFonts w:ascii="Times New Roman" w:hAnsi="Times New Roman" w:eastAsia="Times New Roman" w:cs="Times New Roman"/>
          <w:spacing w:val="-18"/>
          <w:sz w:val="21"/>
          <w:szCs w:val="21"/>
        </w:rPr>
        <w:t xml:space="preserve"> </w:t>
      </w:r>
      <w:r>
        <w:rPr>
          <w:rFonts w:ascii="宋体" w:hAnsi="宋体" w:eastAsia="宋体" w:cs="宋体"/>
          <w:sz w:val="21"/>
          <w:szCs w:val="21"/>
        </w:rPr>
        <w:t>才可生存和复制，</w:t>
      </w:r>
      <w:r>
        <w:rPr>
          <w:rFonts w:ascii="Times New Roman" w:hAnsi="Times New Roman" w:eastAsia="Times New Roman" w:cs="Times New Roman"/>
          <w:sz w:val="21"/>
          <w:szCs w:val="21"/>
        </w:rPr>
        <w:t>HDV</w:t>
      </w:r>
      <w:r>
        <w:rPr>
          <w:rFonts w:ascii="宋体" w:hAnsi="宋体" w:eastAsia="宋体" w:cs="宋体"/>
          <w:sz w:val="21"/>
          <w:szCs w:val="21"/>
        </w:rPr>
        <w:t>易感人群为抗-</w:t>
      </w:r>
      <w:r>
        <w:rPr>
          <w:rFonts w:ascii="Times New Roman" w:hAnsi="Times New Roman" w:eastAsia="Times New Roman" w:cs="Times New Roman"/>
          <w:sz w:val="21"/>
          <w:szCs w:val="21"/>
        </w:rPr>
        <w:t>HBs</w:t>
      </w:r>
      <w:r>
        <w:rPr>
          <w:rFonts w:ascii="宋体" w:hAnsi="宋体" w:eastAsia="宋体" w:cs="宋体"/>
          <w:sz w:val="21"/>
          <w:szCs w:val="21"/>
        </w:rPr>
        <w:t>阴性者和慢性</w:t>
      </w:r>
      <w:r>
        <w:rPr>
          <w:rFonts w:ascii="Times New Roman" w:hAnsi="Times New Roman" w:eastAsia="Times New Roman" w:cs="Times New Roman"/>
          <w:sz w:val="21"/>
          <w:szCs w:val="21"/>
        </w:rPr>
        <w:t>HBV</w:t>
      </w:r>
      <w:r>
        <w:rPr>
          <w:rFonts w:ascii="宋体" w:hAnsi="宋体" w:eastAsia="宋体" w:cs="宋体"/>
          <w:sz w:val="21"/>
          <w:szCs w:val="21"/>
        </w:rPr>
        <w:t xml:space="preserve">感染者。感染 </w:t>
      </w:r>
      <w:r>
        <w:rPr>
          <w:rFonts w:ascii="Times New Roman" w:hAnsi="Times New Roman" w:eastAsia="Times New Roman" w:cs="Times New Roman"/>
          <w:sz w:val="21"/>
          <w:szCs w:val="21"/>
        </w:rPr>
        <w:t>HDV</w:t>
      </w:r>
      <w:r>
        <w:rPr>
          <w:rFonts w:ascii="宋体" w:hAnsi="宋体" w:eastAsia="宋体" w:cs="宋体"/>
          <w:sz w:val="21"/>
          <w:szCs w:val="21"/>
        </w:rPr>
        <w:t>后产生的抗-</w:t>
      </w:r>
      <w:r>
        <w:rPr>
          <w:rFonts w:ascii="Times New Roman" w:hAnsi="Times New Roman" w:eastAsia="Times New Roman" w:cs="Times New Roman"/>
          <w:sz w:val="21"/>
          <w:szCs w:val="21"/>
        </w:rPr>
        <w:t>HDV</w:t>
      </w:r>
      <w:r>
        <w:rPr>
          <w:rFonts w:ascii="宋体" w:hAnsi="宋体" w:eastAsia="宋体" w:cs="宋体"/>
          <w:sz w:val="21"/>
          <w:szCs w:val="21"/>
        </w:rPr>
        <w:t>非保护性抗体。接种乙肝疫苗是预防</w:t>
      </w:r>
      <w:r>
        <w:rPr>
          <w:rFonts w:ascii="Times New Roman" w:hAnsi="Times New Roman" w:eastAsia="Times New Roman" w:cs="Times New Roman"/>
          <w:sz w:val="21"/>
          <w:szCs w:val="21"/>
        </w:rPr>
        <w:t>HDV</w:t>
      </w:r>
      <w:r>
        <w:rPr>
          <w:rFonts w:ascii="宋体" w:hAnsi="宋体" w:eastAsia="宋体" w:cs="宋体"/>
          <w:spacing w:val="-1"/>
          <w:sz w:val="21"/>
          <w:szCs w:val="21"/>
        </w:rPr>
        <w:t>感染的重要方法。</w:t>
      </w:r>
    </w:p>
    <w:p w14:paraId="08D8346F">
      <w:pPr>
        <w:spacing w:before="1" w:line="344" w:lineRule="auto"/>
        <w:ind w:right="629" w:firstLine="430"/>
        <w:rPr>
          <w:rFonts w:ascii="宋体" w:hAnsi="宋体" w:eastAsia="宋体" w:cs="宋体"/>
          <w:sz w:val="21"/>
          <w:szCs w:val="21"/>
        </w:rPr>
      </w:pPr>
      <w:r>
        <w:rPr>
          <w:rFonts w:ascii="宋体" w:hAnsi="宋体" w:eastAsia="宋体" w:cs="宋体"/>
          <w:spacing w:val="-2"/>
          <w:sz w:val="21"/>
          <w:szCs w:val="21"/>
        </w:rPr>
        <w:t>注射吸毒者、男男性行为者、血液透析病人和</w:t>
      </w:r>
      <w:r>
        <w:rPr>
          <w:rFonts w:ascii="Times New Roman" w:hAnsi="Times New Roman" w:eastAsia="Times New Roman" w:cs="Times New Roman"/>
          <w:spacing w:val="-2"/>
          <w:sz w:val="21"/>
          <w:szCs w:val="21"/>
        </w:rPr>
        <w:t>HIV</w:t>
      </w:r>
      <w:r>
        <w:rPr>
          <w:rFonts w:ascii="宋体" w:hAnsi="宋体" w:eastAsia="宋体" w:cs="宋体"/>
          <w:spacing w:val="-2"/>
          <w:sz w:val="21"/>
          <w:szCs w:val="21"/>
        </w:rPr>
        <w:t>感染者发生</w:t>
      </w:r>
      <w:r>
        <w:rPr>
          <w:rFonts w:ascii="Times New Roman" w:hAnsi="Times New Roman" w:eastAsia="Times New Roman" w:cs="Times New Roman"/>
          <w:spacing w:val="-2"/>
          <w:sz w:val="21"/>
          <w:szCs w:val="21"/>
        </w:rPr>
        <w:t>HBVHDV</w:t>
      </w:r>
      <w:r>
        <w:rPr>
          <w:rFonts w:ascii="Times New Roman" w:hAnsi="Times New Roman" w:eastAsia="Times New Roman" w:cs="Times New Roman"/>
          <w:spacing w:val="14"/>
          <w:sz w:val="21"/>
          <w:szCs w:val="21"/>
        </w:rPr>
        <w:t xml:space="preserve"> </w:t>
      </w:r>
      <w:r>
        <w:rPr>
          <w:rFonts w:ascii="宋体" w:hAnsi="宋体" w:eastAsia="宋体" w:cs="宋体"/>
          <w:spacing w:val="-2"/>
          <w:sz w:val="21"/>
          <w:szCs w:val="21"/>
        </w:rPr>
        <w:t>同时感染和重叠</w:t>
      </w:r>
      <w:r>
        <w:rPr>
          <w:rFonts w:ascii="宋体" w:hAnsi="宋体" w:eastAsia="宋体" w:cs="宋体"/>
          <w:spacing w:val="-3"/>
          <w:sz w:val="21"/>
          <w:szCs w:val="21"/>
        </w:rPr>
        <w:t>感染</w:t>
      </w:r>
      <w:r>
        <w:rPr>
          <w:rFonts w:ascii="宋体" w:hAnsi="宋体" w:eastAsia="宋体" w:cs="宋体"/>
          <w:sz w:val="21"/>
          <w:szCs w:val="21"/>
        </w:rPr>
        <w:t xml:space="preserve"> </w:t>
      </w:r>
      <w:r>
        <w:rPr>
          <w:rFonts w:ascii="宋体" w:hAnsi="宋体" w:eastAsia="宋体" w:cs="宋体"/>
          <w:spacing w:val="-4"/>
          <w:sz w:val="21"/>
          <w:szCs w:val="21"/>
        </w:rPr>
        <w:t>的风险高，是重要的易感人群。</w:t>
      </w:r>
    </w:p>
    <w:p w14:paraId="49D3C96E">
      <w:pPr>
        <w:pStyle w:val="2"/>
        <w:spacing w:before="173" w:line="222" w:lineRule="auto"/>
        <w:ind w:left="433"/>
        <w:outlineLvl w:val="4"/>
        <w:rPr>
          <w:sz w:val="25"/>
          <w:szCs w:val="25"/>
        </w:rPr>
      </w:pPr>
      <w:bookmarkStart w:id="491" w:name="bookmark308"/>
      <w:bookmarkEnd w:id="491"/>
      <w:r>
        <w:rPr>
          <w:b/>
          <w:bCs/>
          <w:spacing w:val="-4"/>
          <w:sz w:val="25"/>
          <w:szCs w:val="25"/>
        </w:rPr>
        <w:t>五</w:t>
      </w:r>
      <w:r>
        <w:rPr>
          <w:spacing w:val="-57"/>
          <w:sz w:val="25"/>
          <w:szCs w:val="25"/>
        </w:rPr>
        <w:t xml:space="preserve"> </w:t>
      </w:r>
      <w:r>
        <w:rPr>
          <w:b/>
          <w:bCs/>
          <w:spacing w:val="-4"/>
          <w:sz w:val="25"/>
          <w:szCs w:val="25"/>
        </w:rPr>
        <w:t>、戊型肝炎</w:t>
      </w:r>
    </w:p>
    <w:p w14:paraId="4D7AC8BB">
      <w:pPr>
        <w:pStyle w:val="2"/>
        <w:spacing w:before="221" w:line="221" w:lineRule="auto"/>
        <w:ind w:left="430"/>
        <w:rPr>
          <w:sz w:val="25"/>
          <w:szCs w:val="25"/>
        </w:rPr>
      </w:pPr>
      <w:r>
        <w:rPr>
          <w:spacing w:val="3"/>
          <w:sz w:val="25"/>
          <w:szCs w:val="25"/>
        </w:rPr>
        <w:t>(一)传染源</w:t>
      </w:r>
    </w:p>
    <w:p w14:paraId="7C98ACDB">
      <w:pPr>
        <w:spacing w:before="69" w:line="326" w:lineRule="auto"/>
        <w:ind w:right="651" w:firstLine="430"/>
        <w:rPr>
          <w:rFonts w:ascii="宋体" w:hAnsi="宋体" w:eastAsia="宋体" w:cs="宋体"/>
          <w:sz w:val="21"/>
          <w:szCs w:val="21"/>
        </w:rPr>
      </w:pPr>
      <w:r>
        <w:rPr>
          <w:rFonts w:ascii="宋体" w:hAnsi="宋体" w:eastAsia="宋体" w:cs="宋体"/>
          <w:spacing w:val="-7"/>
          <w:sz w:val="21"/>
          <w:szCs w:val="21"/>
        </w:rPr>
        <w:t>戊肝的传染源为急性戊肝病人、隐性感染者和携带病毒的动物，HEV</w:t>
      </w:r>
      <w:r>
        <w:rPr>
          <w:rFonts w:ascii="宋体" w:hAnsi="宋体" w:eastAsia="宋体" w:cs="宋体"/>
          <w:spacing w:val="53"/>
          <w:sz w:val="21"/>
          <w:szCs w:val="21"/>
        </w:rPr>
        <w:t xml:space="preserve"> </w:t>
      </w:r>
      <w:r>
        <w:rPr>
          <w:rFonts w:ascii="宋体" w:hAnsi="宋体" w:eastAsia="宋体" w:cs="宋体"/>
          <w:spacing w:val="-7"/>
          <w:sz w:val="21"/>
          <w:szCs w:val="21"/>
        </w:rPr>
        <w:t>主要通过粪便排出。</w:t>
      </w:r>
      <w:r>
        <w:rPr>
          <w:rFonts w:ascii="宋体" w:hAnsi="宋体" w:eastAsia="宋体" w:cs="宋体"/>
          <w:spacing w:val="-8"/>
          <w:sz w:val="21"/>
          <w:szCs w:val="21"/>
        </w:rPr>
        <w:t>戊肝</w:t>
      </w:r>
      <w:r>
        <w:rPr>
          <w:rFonts w:ascii="宋体" w:hAnsi="宋体" w:eastAsia="宋体" w:cs="宋体"/>
          <w:sz w:val="21"/>
          <w:szCs w:val="21"/>
        </w:rPr>
        <w:t xml:space="preserve"> </w:t>
      </w:r>
      <w:r>
        <w:rPr>
          <w:rFonts w:ascii="宋体" w:hAnsi="宋体" w:eastAsia="宋体" w:cs="宋体"/>
          <w:spacing w:val="6"/>
          <w:sz w:val="21"/>
          <w:szCs w:val="21"/>
        </w:rPr>
        <w:t>的潜伏期为2～10周，平均5～6周。</w:t>
      </w:r>
    </w:p>
    <w:p w14:paraId="631B8B63">
      <w:pPr>
        <w:pStyle w:val="2"/>
        <w:spacing w:before="1" w:line="288" w:lineRule="auto"/>
        <w:ind w:right="640" w:firstLine="430"/>
        <w:rPr>
          <w:rFonts w:ascii="宋体" w:hAnsi="宋体" w:eastAsia="宋体" w:cs="宋体"/>
          <w:sz w:val="21"/>
          <w:szCs w:val="21"/>
        </w:rPr>
      </w:pPr>
      <w:r>
        <w:rPr>
          <w:rFonts w:ascii="宋体" w:hAnsi="宋体" w:eastAsia="宋体" w:cs="宋体"/>
          <w:spacing w:val="1"/>
          <w:sz w:val="21"/>
          <w:szCs w:val="21"/>
        </w:rPr>
        <w:t xml:space="preserve">1. </w:t>
      </w:r>
      <w:r>
        <w:rPr>
          <w:spacing w:val="1"/>
          <w:sz w:val="21"/>
          <w:szCs w:val="21"/>
        </w:rPr>
        <w:t>急性戊肝病人和隐性感染者</w:t>
      </w:r>
      <w:r>
        <w:rPr>
          <w:spacing w:val="77"/>
          <w:sz w:val="21"/>
          <w:szCs w:val="21"/>
        </w:rPr>
        <w:t xml:space="preserve"> </w:t>
      </w:r>
      <w:r>
        <w:rPr>
          <w:rFonts w:ascii="宋体" w:hAnsi="宋体" w:eastAsia="宋体" w:cs="宋体"/>
          <w:sz w:val="21"/>
          <w:szCs w:val="21"/>
        </w:rPr>
        <w:t>HEV</w:t>
      </w:r>
      <w:r>
        <w:rPr>
          <w:rFonts w:ascii="宋体" w:hAnsi="宋体" w:eastAsia="宋体" w:cs="宋体"/>
          <w:spacing w:val="74"/>
          <w:sz w:val="21"/>
          <w:szCs w:val="21"/>
        </w:rPr>
        <w:t xml:space="preserve"> </w:t>
      </w:r>
      <w:r>
        <w:rPr>
          <w:rFonts w:ascii="宋体" w:hAnsi="宋体" w:eastAsia="宋体" w:cs="宋体"/>
          <w:spacing w:val="1"/>
          <w:sz w:val="21"/>
          <w:szCs w:val="21"/>
        </w:rPr>
        <w:t>主要通过病人和隐性感染者的排泄物污染饮用水和食</w:t>
      </w:r>
      <w:r>
        <w:rPr>
          <w:rFonts w:ascii="宋体" w:hAnsi="宋体" w:eastAsia="宋体" w:cs="宋体"/>
          <w:sz w:val="21"/>
          <w:szCs w:val="21"/>
        </w:rPr>
        <w:t xml:space="preserve"> </w:t>
      </w:r>
      <w:r>
        <w:rPr>
          <w:rFonts w:ascii="宋体" w:hAnsi="宋体" w:eastAsia="宋体" w:cs="宋体"/>
          <w:spacing w:val="-5"/>
          <w:sz w:val="21"/>
          <w:szCs w:val="21"/>
        </w:rPr>
        <w:t>物传播。急性戊肝病人在潜伏期末和急性期初，粪便排毒量最大，</w:t>
      </w:r>
      <w:r>
        <w:rPr>
          <w:rFonts w:ascii="宋体" w:hAnsi="宋体" w:eastAsia="宋体" w:cs="宋体"/>
          <w:spacing w:val="-6"/>
          <w:sz w:val="21"/>
          <w:szCs w:val="21"/>
        </w:rPr>
        <w:t>传染性最强，是主要传染源。隐</w:t>
      </w:r>
      <w:r>
        <w:rPr>
          <w:rFonts w:ascii="宋体" w:hAnsi="宋体" w:eastAsia="宋体" w:cs="宋体"/>
          <w:sz w:val="21"/>
          <w:szCs w:val="21"/>
        </w:rPr>
        <w:t xml:space="preserve"> </w:t>
      </w:r>
      <w:r>
        <w:rPr>
          <w:rFonts w:ascii="宋体" w:hAnsi="宋体" w:eastAsia="宋体" w:cs="宋体"/>
          <w:spacing w:val="-4"/>
          <w:sz w:val="21"/>
          <w:szCs w:val="21"/>
        </w:rPr>
        <w:t>性感染者无临床症状，但可通过粪便排出HEV, 不易被察觉，亦是主要传染源。</w:t>
      </w:r>
    </w:p>
    <w:p w14:paraId="7A64CBBE">
      <w:pPr>
        <w:pStyle w:val="2"/>
        <w:spacing w:before="145" w:line="268" w:lineRule="auto"/>
        <w:ind w:right="649" w:firstLine="430"/>
        <w:rPr>
          <w:rFonts w:ascii="宋体" w:hAnsi="宋体" w:eastAsia="宋体" w:cs="宋体"/>
          <w:sz w:val="21"/>
          <w:szCs w:val="21"/>
        </w:rPr>
      </w:pPr>
      <w:r>
        <w:rPr>
          <w:rFonts w:ascii="宋体" w:hAnsi="宋体" w:eastAsia="宋体" w:cs="宋体"/>
          <w:spacing w:val="-5"/>
          <w:sz w:val="21"/>
          <w:szCs w:val="21"/>
        </w:rPr>
        <w:t xml:space="preserve">2. </w:t>
      </w:r>
      <w:r>
        <w:rPr>
          <w:spacing w:val="-5"/>
          <w:sz w:val="21"/>
          <w:szCs w:val="21"/>
        </w:rPr>
        <w:t>动物宿主</w:t>
      </w:r>
      <w:r>
        <w:rPr>
          <w:spacing w:val="68"/>
          <w:sz w:val="21"/>
          <w:szCs w:val="21"/>
        </w:rPr>
        <w:t xml:space="preserve"> </w:t>
      </w:r>
      <w:r>
        <w:rPr>
          <w:rFonts w:ascii="宋体" w:hAnsi="宋体" w:eastAsia="宋体" w:cs="宋体"/>
          <w:spacing w:val="-5"/>
          <w:sz w:val="21"/>
          <w:szCs w:val="21"/>
        </w:rPr>
        <w:t>猪、鹿、兔、牛和羊等动物可能是HEV</w:t>
      </w:r>
      <w:r>
        <w:rPr>
          <w:rFonts w:ascii="宋体" w:hAnsi="宋体" w:eastAsia="宋体" w:cs="宋体"/>
          <w:spacing w:val="63"/>
          <w:sz w:val="21"/>
          <w:szCs w:val="21"/>
        </w:rPr>
        <w:t xml:space="preserve"> </w:t>
      </w:r>
      <w:r>
        <w:rPr>
          <w:rFonts w:ascii="宋体" w:hAnsi="宋体" w:eastAsia="宋体" w:cs="宋体"/>
          <w:spacing w:val="-5"/>
          <w:sz w:val="21"/>
          <w:szCs w:val="21"/>
        </w:rPr>
        <w:t>的自然宿主，可通过被HEV</w:t>
      </w:r>
      <w:r>
        <w:rPr>
          <w:rFonts w:ascii="宋体" w:hAnsi="宋体" w:eastAsia="宋体" w:cs="宋体"/>
          <w:spacing w:val="53"/>
          <w:sz w:val="21"/>
          <w:szCs w:val="21"/>
        </w:rPr>
        <w:t xml:space="preserve"> </w:t>
      </w:r>
      <w:r>
        <w:rPr>
          <w:rFonts w:ascii="宋体" w:hAnsi="宋体" w:eastAsia="宋体" w:cs="宋体"/>
          <w:spacing w:val="-5"/>
          <w:sz w:val="21"/>
          <w:szCs w:val="21"/>
        </w:rPr>
        <w:t>污染的动物</w:t>
      </w:r>
      <w:r>
        <w:rPr>
          <w:rFonts w:ascii="宋体" w:hAnsi="宋体" w:eastAsia="宋体" w:cs="宋体"/>
          <w:sz w:val="21"/>
          <w:szCs w:val="21"/>
        </w:rPr>
        <w:t xml:space="preserve"> </w:t>
      </w:r>
      <w:r>
        <w:rPr>
          <w:rFonts w:ascii="宋体" w:hAnsi="宋体" w:eastAsia="宋体" w:cs="宋体"/>
          <w:spacing w:val="-7"/>
          <w:sz w:val="21"/>
          <w:szCs w:val="21"/>
        </w:rPr>
        <w:t>内脏、肉制品等食品感染人，亦是戊肝的传染源。</w:t>
      </w:r>
    </w:p>
    <w:p w14:paraId="37ACC33C">
      <w:pPr>
        <w:pStyle w:val="2"/>
        <w:spacing w:before="89" w:line="222" w:lineRule="auto"/>
        <w:ind w:left="433"/>
        <w:rPr>
          <w:sz w:val="25"/>
          <w:szCs w:val="25"/>
        </w:rPr>
      </w:pPr>
      <w:r>
        <w:rPr>
          <w:b/>
          <w:bCs/>
          <w:spacing w:val="-6"/>
          <w:sz w:val="25"/>
          <w:szCs w:val="25"/>
        </w:rPr>
        <w:t>(二)传播途径</w:t>
      </w:r>
    </w:p>
    <w:p w14:paraId="1EC665DF">
      <w:pPr>
        <w:spacing w:before="110" w:line="318" w:lineRule="auto"/>
        <w:ind w:right="651" w:firstLine="430"/>
        <w:jc w:val="both"/>
        <w:rPr>
          <w:rFonts w:ascii="宋体" w:hAnsi="宋体" w:eastAsia="宋体" w:cs="宋体"/>
          <w:sz w:val="21"/>
          <w:szCs w:val="21"/>
        </w:rPr>
      </w:pPr>
      <w:r>
        <w:rPr>
          <w:rFonts w:ascii="宋体" w:hAnsi="宋体" w:eastAsia="宋体" w:cs="宋体"/>
          <w:spacing w:val="-2"/>
          <w:sz w:val="21"/>
          <w:szCs w:val="21"/>
        </w:rPr>
        <w:t>戊肝的主要传播途径是消化道传播，经水传播</w:t>
      </w:r>
      <w:r>
        <w:rPr>
          <w:rFonts w:ascii="宋体" w:hAnsi="宋体" w:eastAsia="宋体" w:cs="宋体"/>
          <w:spacing w:val="-3"/>
          <w:sz w:val="21"/>
          <w:szCs w:val="21"/>
        </w:rPr>
        <w:t>造成流行多见，易感人群通过饮用被</w:t>
      </w:r>
      <w:r>
        <w:rPr>
          <w:rFonts w:ascii="Times New Roman" w:hAnsi="Times New Roman" w:eastAsia="Times New Roman" w:cs="Times New Roman"/>
          <w:spacing w:val="-3"/>
          <w:sz w:val="21"/>
          <w:szCs w:val="21"/>
        </w:rPr>
        <w:t xml:space="preserve">HEV </w:t>
      </w:r>
      <w:r>
        <w:rPr>
          <w:rFonts w:ascii="宋体" w:hAnsi="宋体" w:eastAsia="宋体" w:cs="宋体"/>
          <w:spacing w:val="-3"/>
          <w:sz w:val="21"/>
          <w:szCs w:val="21"/>
        </w:rPr>
        <w:t>污染</w:t>
      </w:r>
      <w:r>
        <w:rPr>
          <w:rFonts w:ascii="宋体" w:hAnsi="宋体" w:eastAsia="宋体" w:cs="宋体"/>
          <w:sz w:val="21"/>
          <w:szCs w:val="21"/>
        </w:rPr>
        <w:t xml:space="preserve"> </w:t>
      </w:r>
      <w:r>
        <w:rPr>
          <w:rFonts w:ascii="宋体" w:hAnsi="宋体" w:eastAsia="宋体" w:cs="宋体"/>
          <w:spacing w:val="-2"/>
          <w:sz w:val="21"/>
          <w:szCs w:val="21"/>
        </w:rPr>
        <w:t>的水而感染，多在雨季和洪水后出现戊肝暴发或流行。食用被HEV</w:t>
      </w:r>
      <w:r>
        <w:rPr>
          <w:rFonts w:ascii="宋体" w:hAnsi="宋体" w:eastAsia="宋体" w:cs="宋体"/>
          <w:spacing w:val="73"/>
          <w:sz w:val="21"/>
          <w:szCs w:val="21"/>
        </w:rPr>
        <w:t xml:space="preserve"> </w:t>
      </w:r>
      <w:r>
        <w:rPr>
          <w:rFonts w:ascii="宋体" w:hAnsi="宋体" w:eastAsia="宋体" w:cs="宋体"/>
          <w:spacing w:val="-2"/>
          <w:sz w:val="21"/>
          <w:szCs w:val="21"/>
        </w:rPr>
        <w:t>污染的</w:t>
      </w:r>
      <w:r>
        <w:rPr>
          <w:rFonts w:ascii="宋体" w:hAnsi="宋体" w:eastAsia="宋体" w:cs="宋体"/>
          <w:spacing w:val="-3"/>
          <w:sz w:val="21"/>
          <w:szCs w:val="21"/>
        </w:rPr>
        <w:t>食物，如未加工的贝类</w:t>
      </w:r>
      <w:r>
        <w:rPr>
          <w:rFonts w:ascii="宋体" w:hAnsi="宋体" w:eastAsia="宋体" w:cs="宋体"/>
          <w:sz w:val="21"/>
          <w:szCs w:val="21"/>
        </w:rPr>
        <w:t xml:space="preserve"> </w:t>
      </w:r>
      <w:r>
        <w:rPr>
          <w:rFonts w:ascii="宋体" w:hAnsi="宋体" w:eastAsia="宋体" w:cs="宋体"/>
          <w:spacing w:val="-7"/>
          <w:sz w:val="21"/>
          <w:szCs w:val="21"/>
        </w:rPr>
        <w:t>以及被感染动物未煮熟的肉、肝脏等，可引起散发或暴发。</w:t>
      </w:r>
    </w:p>
    <w:p w14:paraId="4945016D">
      <w:pPr>
        <w:spacing w:before="7" w:line="312" w:lineRule="auto"/>
        <w:ind w:right="644" w:firstLine="430"/>
        <w:rPr>
          <w:rFonts w:ascii="宋体" w:hAnsi="宋体" w:eastAsia="宋体" w:cs="宋体"/>
          <w:sz w:val="21"/>
          <w:szCs w:val="21"/>
        </w:rPr>
      </w:pPr>
      <w:r>
        <w:rPr>
          <w:rFonts w:ascii="Times New Roman" w:hAnsi="Times New Roman" w:eastAsia="Times New Roman" w:cs="Times New Roman"/>
          <w:spacing w:val="-7"/>
          <w:sz w:val="21"/>
          <w:szCs w:val="21"/>
        </w:rPr>
        <w:t xml:space="preserve">HEV </w:t>
      </w:r>
      <w:r>
        <w:rPr>
          <w:rFonts w:ascii="宋体" w:hAnsi="宋体" w:eastAsia="宋体" w:cs="宋体"/>
          <w:spacing w:val="-7"/>
          <w:sz w:val="21"/>
          <w:szCs w:val="21"/>
        </w:rPr>
        <w:t>可通过病人粪便污染外环境或日常生活用品而发生传播，少数情况下，也可经血液传播和</w:t>
      </w:r>
      <w:r>
        <w:rPr>
          <w:rFonts w:ascii="宋体" w:hAnsi="宋体" w:eastAsia="宋体" w:cs="宋体"/>
          <w:spacing w:val="2"/>
          <w:sz w:val="21"/>
          <w:szCs w:val="21"/>
        </w:rPr>
        <w:t xml:space="preserve"> </w:t>
      </w:r>
      <w:r>
        <w:rPr>
          <w:rFonts w:ascii="宋体" w:hAnsi="宋体" w:eastAsia="宋体" w:cs="宋体"/>
          <w:spacing w:val="-3"/>
          <w:sz w:val="21"/>
          <w:szCs w:val="21"/>
        </w:rPr>
        <w:t>母婴传播，但发生可能性很小。</w:t>
      </w:r>
    </w:p>
    <w:p w14:paraId="1FCC03C5">
      <w:pPr>
        <w:pStyle w:val="2"/>
        <w:spacing w:before="1" w:line="220" w:lineRule="auto"/>
        <w:ind w:left="430"/>
        <w:rPr>
          <w:sz w:val="25"/>
          <w:szCs w:val="25"/>
        </w:rPr>
      </w:pPr>
      <w:r>
        <w:rPr>
          <w:spacing w:val="-7"/>
          <w:sz w:val="25"/>
          <w:szCs w:val="25"/>
        </w:rPr>
        <w:t>(三)人群易感性</w:t>
      </w:r>
    </w:p>
    <w:p w14:paraId="1DDAD4EE">
      <w:pPr>
        <w:spacing w:before="102" w:line="327" w:lineRule="auto"/>
        <w:ind w:right="649" w:firstLine="430"/>
        <w:rPr>
          <w:rFonts w:ascii="宋体" w:hAnsi="宋体" w:eastAsia="宋体" w:cs="宋体"/>
          <w:sz w:val="21"/>
          <w:szCs w:val="21"/>
        </w:rPr>
      </w:pPr>
      <w:r>
        <w:rPr>
          <w:rFonts w:ascii="宋体" w:hAnsi="宋体" w:eastAsia="宋体" w:cs="宋体"/>
          <w:spacing w:val="-8"/>
          <w:sz w:val="21"/>
          <w:szCs w:val="21"/>
        </w:rPr>
        <w:t>人群对</w:t>
      </w:r>
      <w:r>
        <w:rPr>
          <w:rFonts w:ascii="Times New Roman" w:hAnsi="Times New Roman" w:eastAsia="Times New Roman" w:cs="Times New Roman"/>
          <w:spacing w:val="-8"/>
          <w:sz w:val="21"/>
          <w:szCs w:val="21"/>
        </w:rPr>
        <w:t xml:space="preserve">HEV </w:t>
      </w:r>
      <w:r>
        <w:rPr>
          <w:rFonts w:ascii="宋体" w:hAnsi="宋体" w:eastAsia="宋体" w:cs="宋体"/>
          <w:spacing w:val="-8"/>
          <w:sz w:val="21"/>
          <w:szCs w:val="21"/>
        </w:rPr>
        <w:t>普遍易感，畜牧养殖者、疫区旅行者、餐饮业人员、集体生活者发</w:t>
      </w:r>
      <w:r>
        <w:rPr>
          <w:rFonts w:ascii="宋体" w:hAnsi="宋体" w:eastAsia="宋体" w:cs="宋体"/>
          <w:spacing w:val="-9"/>
          <w:sz w:val="21"/>
          <w:szCs w:val="21"/>
        </w:rPr>
        <w:t>生</w:t>
      </w:r>
      <w:r>
        <w:rPr>
          <w:rFonts w:ascii="Times New Roman" w:hAnsi="Times New Roman" w:eastAsia="Times New Roman" w:cs="Times New Roman"/>
          <w:spacing w:val="-9"/>
          <w:sz w:val="21"/>
          <w:szCs w:val="21"/>
        </w:rPr>
        <w:t xml:space="preserve">HEV </w:t>
      </w:r>
      <w:r>
        <w:rPr>
          <w:rFonts w:ascii="宋体" w:hAnsi="宋体" w:eastAsia="宋体" w:cs="宋体"/>
          <w:spacing w:val="-9"/>
          <w:sz w:val="21"/>
          <w:szCs w:val="21"/>
        </w:rPr>
        <w:t>感染的风</w:t>
      </w:r>
      <w:r>
        <w:rPr>
          <w:rFonts w:ascii="宋体" w:hAnsi="宋体" w:eastAsia="宋体" w:cs="宋体"/>
          <w:sz w:val="21"/>
          <w:szCs w:val="21"/>
        </w:rPr>
        <w:t xml:space="preserve"> </w:t>
      </w:r>
      <w:r>
        <w:rPr>
          <w:rFonts w:ascii="宋体" w:hAnsi="宋体" w:eastAsia="宋体" w:cs="宋体"/>
          <w:spacing w:val="-2"/>
          <w:sz w:val="21"/>
          <w:szCs w:val="21"/>
        </w:rPr>
        <w:t>险高，是重要易感人群。接种戊肝疫苗可预防</w:t>
      </w:r>
      <w:r>
        <w:rPr>
          <w:rFonts w:ascii="Times New Roman" w:hAnsi="Times New Roman" w:eastAsia="Times New Roman" w:cs="Times New Roman"/>
          <w:spacing w:val="-2"/>
          <w:sz w:val="21"/>
          <w:szCs w:val="21"/>
        </w:rPr>
        <w:t>HEV</w:t>
      </w:r>
      <w:r>
        <w:rPr>
          <w:rFonts w:ascii="宋体" w:hAnsi="宋体" w:eastAsia="宋体" w:cs="宋体"/>
          <w:spacing w:val="-2"/>
          <w:sz w:val="21"/>
          <w:szCs w:val="21"/>
        </w:rPr>
        <w:t>感染。</w:t>
      </w:r>
    </w:p>
    <w:p w14:paraId="4DADD5F0">
      <w:pPr>
        <w:spacing w:line="372" w:lineRule="auto"/>
        <w:rPr>
          <w:rFonts w:ascii="Arial"/>
          <w:sz w:val="21"/>
        </w:rPr>
      </w:pPr>
    </w:p>
    <w:p w14:paraId="0113BDDC">
      <w:pPr>
        <w:pStyle w:val="2"/>
        <w:spacing w:before="98" w:line="221" w:lineRule="auto"/>
        <w:ind w:left="3354"/>
        <w:outlineLvl w:val="1"/>
      </w:pPr>
      <w:bookmarkStart w:id="492" w:name="bookmark309"/>
      <w:bookmarkEnd w:id="492"/>
      <w:r>
        <w:rPr>
          <w:b/>
          <w:bCs/>
          <w:spacing w:val="-13"/>
        </w:rPr>
        <w:t>第三节</w:t>
      </w:r>
      <w:r>
        <w:rPr>
          <w:spacing w:val="121"/>
        </w:rPr>
        <w:t xml:space="preserve"> </w:t>
      </w:r>
      <w:r>
        <w:rPr>
          <w:b/>
          <w:bCs/>
          <w:spacing w:val="-13"/>
        </w:rPr>
        <w:t>流行特征</w:t>
      </w:r>
    </w:p>
    <w:p w14:paraId="33F924B7">
      <w:pPr>
        <w:spacing w:line="368" w:lineRule="auto"/>
        <w:rPr>
          <w:rFonts w:ascii="Arial"/>
          <w:sz w:val="21"/>
        </w:rPr>
      </w:pPr>
    </w:p>
    <w:p w14:paraId="15CAAD00">
      <w:pPr>
        <w:pStyle w:val="2"/>
        <w:spacing w:before="82" w:line="222" w:lineRule="auto"/>
        <w:ind w:left="433"/>
        <w:outlineLvl w:val="4"/>
        <w:rPr>
          <w:sz w:val="25"/>
          <w:szCs w:val="25"/>
        </w:rPr>
      </w:pPr>
      <w:bookmarkStart w:id="493" w:name="bookmark310"/>
      <w:bookmarkEnd w:id="493"/>
      <w:r>
        <w:rPr>
          <w:b/>
          <w:bCs/>
          <w:spacing w:val="-9"/>
          <w:sz w:val="25"/>
          <w:szCs w:val="25"/>
        </w:rPr>
        <w:t>一</w:t>
      </w:r>
      <w:r>
        <w:rPr>
          <w:spacing w:val="-57"/>
          <w:sz w:val="25"/>
          <w:szCs w:val="25"/>
        </w:rPr>
        <w:t xml:space="preserve"> </w:t>
      </w:r>
      <w:r>
        <w:rPr>
          <w:b/>
          <w:bCs/>
          <w:spacing w:val="-9"/>
          <w:sz w:val="25"/>
          <w:szCs w:val="25"/>
        </w:rPr>
        <w:t>、甲型肝炎</w:t>
      </w:r>
    </w:p>
    <w:p w14:paraId="37FC735A">
      <w:pPr>
        <w:spacing w:before="261" w:line="317" w:lineRule="auto"/>
        <w:ind w:right="575" w:firstLine="430"/>
        <w:jc w:val="both"/>
        <w:rPr>
          <w:rFonts w:ascii="宋体" w:hAnsi="宋体" w:eastAsia="宋体" w:cs="宋体"/>
          <w:sz w:val="21"/>
          <w:szCs w:val="21"/>
        </w:rPr>
      </w:pPr>
      <w:r>
        <w:rPr>
          <w:rFonts w:ascii="宋体" w:hAnsi="宋体" w:eastAsia="宋体" w:cs="宋体"/>
          <w:spacing w:val="4"/>
          <w:sz w:val="21"/>
          <w:szCs w:val="21"/>
        </w:rPr>
        <w:t>甲肝是</w:t>
      </w:r>
      <w:r>
        <w:rPr>
          <w:rFonts w:ascii="Times New Roman" w:hAnsi="Times New Roman" w:eastAsia="Times New Roman" w:cs="Times New Roman"/>
          <w:sz w:val="21"/>
          <w:szCs w:val="21"/>
        </w:rPr>
        <w:t>HAV</w:t>
      </w:r>
      <w:r>
        <w:rPr>
          <w:rFonts w:ascii="Times New Roman" w:hAnsi="Times New Roman" w:eastAsia="Times New Roman" w:cs="Times New Roman"/>
          <w:spacing w:val="4"/>
          <w:sz w:val="21"/>
          <w:szCs w:val="21"/>
        </w:rPr>
        <w:t xml:space="preserve"> </w:t>
      </w:r>
      <w:r>
        <w:rPr>
          <w:rFonts w:ascii="宋体" w:hAnsi="宋体" w:eastAsia="宋体" w:cs="宋体"/>
          <w:spacing w:val="4"/>
          <w:sz w:val="21"/>
          <w:szCs w:val="21"/>
        </w:rPr>
        <w:t>感染导致的炎症性肝病。据</w:t>
      </w:r>
      <w:r>
        <w:rPr>
          <w:rFonts w:ascii="Times New Roman" w:hAnsi="Times New Roman" w:eastAsia="Times New Roman" w:cs="Times New Roman"/>
          <w:sz w:val="21"/>
          <w:szCs w:val="21"/>
        </w:rPr>
        <w:t>WHO</w:t>
      </w:r>
      <w:r>
        <w:rPr>
          <w:rFonts w:ascii="宋体" w:hAnsi="宋体" w:eastAsia="宋体" w:cs="宋体"/>
          <w:spacing w:val="4"/>
          <w:sz w:val="21"/>
          <w:szCs w:val="21"/>
        </w:rPr>
        <w:t>估计，全球每年新报告</w:t>
      </w:r>
      <w:r>
        <w:rPr>
          <w:rFonts w:ascii="Times New Roman" w:hAnsi="Times New Roman" w:eastAsia="Times New Roman" w:cs="Times New Roman"/>
          <w:sz w:val="21"/>
          <w:szCs w:val="21"/>
        </w:rPr>
        <w:t>HAV</w:t>
      </w:r>
      <w:r>
        <w:rPr>
          <w:rFonts w:ascii="宋体" w:hAnsi="宋体" w:eastAsia="宋体" w:cs="宋体"/>
          <w:spacing w:val="4"/>
          <w:sz w:val="21"/>
          <w:szCs w:val="21"/>
        </w:rPr>
        <w:t>感染约150万例，</w:t>
      </w:r>
      <w:r>
        <w:rPr>
          <w:rFonts w:ascii="宋体" w:hAnsi="宋体" w:eastAsia="宋体" w:cs="宋体"/>
          <w:spacing w:val="15"/>
          <w:sz w:val="21"/>
          <w:szCs w:val="21"/>
        </w:rPr>
        <w:t xml:space="preserve"> </w:t>
      </w:r>
      <w:r>
        <w:rPr>
          <w:rFonts w:ascii="宋体" w:hAnsi="宋体" w:eastAsia="宋体" w:cs="宋体"/>
          <w:spacing w:val="-5"/>
          <w:sz w:val="21"/>
          <w:szCs w:val="21"/>
        </w:rPr>
        <w:t>由于年轻人群中无症状感染者众多，漏报率高，因此实际感染数可能更高。2022</w:t>
      </w:r>
      <w:r>
        <w:rPr>
          <w:rFonts w:ascii="宋体" w:hAnsi="宋体" w:eastAsia="宋体" w:cs="宋体"/>
          <w:spacing w:val="-6"/>
          <w:sz w:val="21"/>
          <w:szCs w:val="21"/>
        </w:rPr>
        <w:t>年我国共报告甲肝</w:t>
      </w:r>
      <w:r>
        <w:rPr>
          <w:rFonts w:ascii="宋体" w:hAnsi="宋体" w:eastAsia="宋体" w:cs="宋体"/>
          <w:sz w:val="21"/>
          <w:szCs w:val="21"/>
        </w:rPr>
        <w:t xml:space="preserve"> </w:t>
      </w:r>
      <w:r>
        <w:rPr>
          <w:rFonts w:ascii="宋体" w:hAnsi="宋体" w:eastAsia="宋体" w:cs="宋体"/>
          <w:spacing w:val="-2"/>
          <w:sz w:val="21"/>
          <w:szCs w:val="21"/>
        </w:rPr>
        <w:t>病例1.04万例，报告发病率为0.74/1</w:t>
      </w:r>
      <w:r>
        <w:rPr>
          <w:rFonts w:ascii="宋体" w:hAnsi="宋体" w:eastAsia="宋体" w:cs="宋体"/>
          <w:spacing w:val="-3"/>
          <w:sz w:val="21"/>
          <w:szCs w:val="21"/>
        </w:rPr>
        <w:t>0万。</w:t>
      </w:r>
    </w:p>
    <w:p w14:paraId="6EE2AEA5">
      <w:pPr>
        <w:pStyle w:val="2"/>
        <w:spacing w:before="36" w:line="222" w:lineRule="auto"/>
        <w:ind w:left="433"/>
        <w:rPr>
          <w:sz w:val="21"/>
          <w:szCs w:val="21"/>
        </w:rPr>
      </w:pPr>
      <w:r>
        <w:rPr>
          <w:b/>
          <w:bCs/>
          <w:spacing w:val="10"/>
          <w:sz w:val="21"/>
          <w:szCs w:val="21"/>
        </w:rPr>
        <w:t>(</w:t>
      </w:r>
      <w:r>
        <w:rPr>
          <w:spacing w:val="-49"/>
          <w:sz w:val="21"/>
          <w:szCs w:val="21"/>
        </w:rPr>
        <w:t xml:space="preserve"> </w:t>
      </w:r>
      <w:r>
        <w:rPr>
          <w:b/>
          <w:bCs/>
          <w:spacing w:val="10"/>
          <w:sz w:val="21"/>
          <w:szCs w:val="21"/>
        </w:rPr>
        <w:t>一</w:t>
      </w:r>
      <w:r>
        <w:rPr>
          <w:spacing w:val="-62"/>
          <w:sz w:val="21"/>
          <w:szCs w:val="21"/>
        </w:rPr>
        <w:t xml:space="preserve"> </w:t>
      </w:r>
      <w:r>
        <w:rPr>
          <w:b/>
          <w:bCs/>
          <w:spacing w:val="10"/>
          <w:sz w:val="21"/>
          <w:szCs w:val="21"/>
        </w:rPr>
        <w:t>)地区分布</w:t>
      </w:r>
    </w:p>
    <w:p w14:paraId="74E61C1E">
      <w:pPr>
        <w:spacing w:before="101" w:line="317" w:lineRule="auto"/>
        <w:ind w:right="629" w:firstLine="430"/>
        <w:jc w:val="both"/>
        <w:rPr>
          <w:rFonts w:ascii="宋体" w:hAnsi="宋体" w:eastAsia="宋体" w:cs="宋体"/>
          <w:sz w:val="21"/>
          <w:szCs w:val="21"/>
        </w:rPr>
      </w:pPr>
      <w:r>
        <w:rPr>
          <w:rFonts w:ascii="宋体" w:hAnsi="宋体" w:eastAsia="宋体" w:cs="宋体"/>
          <w:spacing w:val="-1"/>
          <w:sz w:val="21"/>
          <w:szCs w:val="21"/>
        </w:rPr>
        <w:t>甲肝呈世界范围流行，但抗-</w:t>
      </w:r>
      <w:r>
        <w:rPr>
          <w:rFonts w:ascii="Times New Roman" w:hAnsi="Times New Roman" w:eastAsia="Times New Roman" w:cs="Times New Roman"/>
          <w:spacing w:val="-1"/>
          <w:sz w:val="21"/>
          <w:szCs w:val="21"/>
        </w:rPr>
        <w:t>HAV</w:t>
      </w:r>
      <w:r>
        <w:rPr>
          <w:rFonts w:ascii="宋体" w:hAnsi="宋体" w:eastAsia="宋体" w:cs="宋体"/>
          <w:spacing w:val="-1"/>
          <w:sz w:val="21"/>
          <w:szCs w:val="21"/>
        </w:rPr>
        <w:t>阳性率具有明显地区差异</w:t>
      </w:r>
      <w:r>
        <w:rPr>
          <w:rFonts w:ascii="宋体" w:hAnsi="宋体" w:eastAsia="宋体" w:cs="宋体"/>
          <w:spacing w:val="-2"/>
          <w:sz w:val="21"/>
          <w:szCs w:val="21"/>
        </w:rPr>
        <w:t>。总体而言，66%的急性甲肝病例</w:t>
      </w:r>
      <w:r>
        <w:rPr>
          <w:rFonts w:ascii="宋体" w:hAnsi="宋体" w:eastAsia="宋体" w:cs="宋体"/>
          <w:sz w:val="21"/>
          <w:szCs w:val="21"/>
        </w:rPr>
        <w:t xml:space="preserve"> </w:t>
      </w:r>
      <w:r>
        <w:rPr>
          <w:rFonts w:ascii="宋体" w:hAnsi="宋体" w:eastAsia="宋体" w:cs="宋体"/>
          <w:spacing w:val="3"/>
          <w:sz w:val="21"/>
          <w:szCs w:val="21"/>
        </w:rPr>
        <w:t>和97%的甲肝死亡病例发生在低收入和中低收入国家。按抗-</w:t>
      </w:r>
      <w:r>
        <w:rPr>
          <w:rFonts w:ascii="Times New Roman" w:hAnsi="Times New Roman" w:eastAsia="Times New Roman" w:cs="Times New Roman"/>
          <w:sz w:val="21"/>
          <w:szCs w:val="21"/>
        </w:rPr>
        <w:t>HAV</w:t>
      </w:r>
      <w:r>
        <w:rPr>
          <w:rFonts w:ascii="Times New Roman" w:hAnsi="Times New Roman" w:eastAsia="Times New Roman" w:cs="Times New Roman"/>
          <w:spacing w:val="3"/>
          <w:sz w:val="21"/>
          <w:szCs w:val="21"/>
        </w:rPr>
        <w:t xml:space="preserve"> </w:t>
      </w:r>
      <w:r>
        <w:rPr>
          <w:rFonts w:ascii="宋体" w:hAnsi="宋体" w:eastAsia="宋体" w:cs="宋体"/>
          <w:spacing w:val="2"/>
          <w:sz w:val="21"/>
          <w:szCs w:val="21"/>
        </w:rPr>
        <w:t>阳性率不同，可分为高度、中</w:t>
      </w:r>
      <w:r>
        <w:rPr>
          <w:rFonts w:ascii="宋体" w:hAnsi="宋体" w:eastAsia="宋体" w:cs="宋体"/>
          <w:sz w:val="21"/>
          <w:szCs w:val="21"/>
        </w:rPr>
        <w:t xml:space="preserve"> </w:t>
      </w:r>
      <w:r>
        <w:rPr>
          <w:rFonts w:ascii="宋体" w:hAnsi="宋体" w:eastAsia="宋体" w:cs="宋体"/>
          <w:spacing w:val="-3"/>
          <w:sz w:val="21"/>
          <w:szCs w:val="21"/>
        </w:rPr>
        <w:t>度和低度流行地区。在高度流行地区如非洲、拉丁美洲和东南亚部分地区，成人抗</w:t>
      </w:r>
      <w:r>
        <w:rPr>
          <w:rFonts w:ascii="宋体" w:hAnsi="宋体" w:eastAsia="宋体" w:cs="宋体"/>
          <w:spacing w:val="-4"/>
          <w:sz w:val="21"/>
          <w:szCs w:val="21"/>
        </w:rPr>
        <w:t>-</w:t>
      </w:r>
      <w:r>
        <w:rPr>
          <w:rFonts w:ascii="Times New Roman" w:hAnsi="Times New Roman" w:eastAsia="Times New Roman" w:cs="Times New Roman"/>
          <w:spacing w:val="-4"/>
          <w:sz w:val="21"/>
          <w:szCs w:val="21"/>
        </w:rPr>
        <w:t>HAV</w:t>
      </w:r>
      <w:r>
        <w:rPr>
          <w:rFonts w:ascii="宋体" w:hAnsi="宋体" w:eastAsia="宋体" w:cs="宋体"/>
          <w:spacing w:val="-4"/>
          <w:sz w:val="21"/>
          <w:szCs w:val="21"/>
        </w:rPr>
        <w:t>阳性率在</w:t>
      </w:r>
      <w:r>
        <w:rPr>
          <w:rFonts w:ascii="宋体" w:hAnsi="宋体" w:eastAsia="宋体" w:cs="宋体"/>
          <w:sz w:val="21"/>
          <w:szCs w:val="21"/>
        </w:rPr>
        <w:t xml:space="preserve"> </w:t>
      </w:r>
      <w:r>
        <w:rPr>
          <w:rFonts w:ascii="宋体" w:hAnsi="宋体" w:eastAsia="宋体" w:cs="宋体"/>
          <w:spacing w:val="-3"/>
          <w:sz w:val="21"/>
          <w:szCs w:val="21"/>
        </w:rPr>
        <w:t>90%以上。其中，东南亚地区甲肝病例数和甲肝相关死亡人数最多，甲肝相关死亡率最高；非洲地</w:t>
      </w:r>
      <w:r>
        <w:rPr>
          <w:rFonts w:ascii="宋体" w:hAnsi="宋体" w:eastAsia="宋体" w:cs="宋体"/>
          <w:spacing w:val="4"/>
          <w:sz w:val="21"/>
          <w:szCs w:val="21"/>
        </w:rPr>
        <w:t xml:space="preserve"> </w:t>
      </w:r>
      <w:r>
        <w:rPr>
          <w:rFonts w:ascii="宋体" w:hAnsi="宋体" w:eastAsia="宋体" w:cs="宋体"/>
          <w:spacing w:val="1"/>
          <w:sz w:val="21"/>
          <w:szCs w:val="21"/>
        </w:rPr>
        <w:t>区甲肝发病率最高。在低度流行地区如北美、西欧等地区，成人抗-</w:t>
      </w:r>
      <w:r>
        <w:rPr>
          <w:rFonts w:ascii="Times New Roman" w:hAnsi="Times New Roman" w:eastAsia="Times New Roman" w:cs="Times New Roman"/>
          <w:sz w:val="21"/>
          <w:szCs w:val="21"/>
        </w:rPr>
        <w:t>HAV</w:t>
      </w:r>
      <w:r>
        <w:rPr>
          <w:rFonts w:ascii="宋体" w:hAnsi="宋体" w:eastAsia="宋体" w:cs="宋体"/>
          <w:spacing w:val="1"/>
          <w:sz w:val="21"/>
          <w:szCs w:val="21"/>
        </w:rPr>
        <w:t>阳性率低于30%,其中欧</w:t>
      </w:r>
      <w:r>
        <w:rPr>
          <w:rFonts w:ascii="宋体" w:hAnsi="宋体" w:eastAsia="宋体" w:cs="宋体"/>
          <w:spacing w:val="6"/>
          <w:sz w:val="21"/>
          <w:szCs w:val="21"/>
        </w:rPr>
        <w:t xml:space="preserve"> </w:t>
      </w:r>
      <w:r>
        <w:rPr>
          <w:rFonts w:ascii="宋体" w:hAnsi="宋体" w:eastAsia="宋体" w:cs="宋体"/>
          <w:spacing w:val="-3"/>
          <w:sz w:val="21"/>
          <w:szCs w:val="21"/>
        </w:rPr>
        <w:t>洲地区甲肝发病率和甲肝相关死亡率最低。</w:t>
      </w:r>
    </w:p>
    <w:p w14:paraId="5FDB579E">
      <w:pPr>
        <w:spacing w:line="317" w:lineRule="auto"/>
        <w:rPr>
          <w:rFonts w:ascii="宋体" w:hAnsi="宋体" w:eastAsia="宋体" w:cs="宋体"/>
          <w:sz w:val="21"/>
          <w:szCs w:val="21"/>
        </w:rPr>
        <w:sectPr>
          <w:footerReference r:id="rId322" w:type="default"/>
          <w:pgSz w:w="11900" w:h="16820"/>
          <w:pgMar w:top="400" w:right="899" w:bottom="846" w:left="1549" w:header="0" w:footer="657" w:gutter="0"/>
          <w:cols w:space="720" w:num="1"/>
        </w:sectPr>
      </w:pPr>
    </w:p>
    <w:p w14:paraId="3AE55539">
      <w:pPr>
        <w:spacing w:line="280" w:lineRule="auto"/>
        <w:rPr>
          <w:rFonts w:ascii="Arial"/>
          <w:sz w:val="21"/>
        </w:rPr>
      </w:pPr>
    </w:p>
    <w:p w14:paraId="26DBE91E">
      <w:pPr>
        <w:pStyle w:val="2"/>
        <w:spacing w:before="65" w:line="222" w:lineRule="auto"/>
        <w:ind w:left="679"/>
        <w:rPr>
          <w:sz w:val="20"/>
          <w:szCs w:val="20"/>
        </w:rPr>
      </w:pPr>
      <w:bookmarkStart w:id="494" w:name="bookmark574"/>
      <w:bookmarkEnd w:id="494"/>
      <w:r>
        <w:rPr>
          <w:spacing w:val="-20"/>
          <w:w w:val="98"/>
          <w:sz w:val="20"/>
          <w:szCs w:val="20"/>
        </w:rPr>
        <w:t>第十九章 病毒性肝炎</w:t>
      </w:r>
    </w:p>
    <w:p w14:paraId="5B981E98">
      <w:pPr>
        <w:spacing w:line="251" w:lineRule="auto"/>
        <w:rPr>
          <w:rFonts w:ascii="Arial"/>
          <w:sz w:val="21"/>
        </w:rPr>
      </w:pPr>
    </w:p>
    <w:p w14:paraId="7B5EA3FD">
      <w:pPr>
        <w:spacing w:line="251" w:lineRule="auto"/>
        <w:rPr>
          <w:rFonts w:ascii="Arial"/>
          <w:sz w:val="21"/>
        </w:rPr>
      </w:pPr>
    </w:p>
    <w:p w14:paraId="1278F8E6">
      <w:pPr>
        <w:spacing w:before="65" w:line="346" w:lineRule="auto"/>
        <w:ind w:left="679" w:right="91" w:firstLine="400"/>
        <w:rPr>
          <w:rFonts w:ascii="宋体" w:hAnsi="宋体" w:eastAsia="宋体" w:cs="宋体"/>
          <w:sz w:val="20"/>
          <w:szCs w:val="20"/>
        </w:rPr>
      </w:pPr>
      <w:r>
        <w:rPr>
          <w:rFonts w:ascii="宋体" w:hAnsi="宋体" w:eastAsia="宋体" w:cs="宋体"/>
          <w:spacing w:val="1"/>
          <w:sz w:val="20"/>
          <w:szCs w:val="20"/>
        </w:rPr>
        <w:t>我国各地区甲肝发病率存在差异，《2022中国卫生健康统</w:t>
      </w:r>
      <w:r>
        <w:rPr>
          <w:rFonts w:ascii="宋体" w:hAnsi="宋体" w:eastAsia="宋体" w:cs="宋体"/>
          <w:sz w:val="20"/>
          <w:szCs w:val="20"/>
        </w:rPr>
        <w:t xml:space="preserve">计年鉴》显示，2021年青海省甲肝发 </w:t>
      </w:r>
      <w:r>
        <w:rPr>
          <w:rFonts w:ascii="宋体" w:hAnsi="宋体" w:eastAsia="宋体" w:cs="宋体"/>
          <w:spacing w:val="-8"/>
          <w:sz w:val="20"/>
          <w:szCs w:val="20"/>
        </w:rPr>
        <w:t>病率最高，为4.76/10万，河南省最低，为0.17/</w:t>
      </w:r>
      <w:r>
        <w:rPr>
          <w:rFonts w:ascii="宋体" w:hAnsi="宋体" w:eastAsia="宋体" w:cs="宋体"/>
          <w:spacing w:val="-9"/>
          <w:sz w:val="20"/>
          <w:szCs w:val="20"/>
        </w:rPr>
        <w:t>10万。</w:t>
      </w:r>
    </w:p>
    <w:p w14:paraId="54F84C93">
      <w:pPr>
        <w:spacing w:before="2" w:line="343" w:lineRule="auto"/>
        <w:ind w:left="679" w:right="90" w:firstLine="400"/>
        <w:jc w:val="both"/>
        <w:rPr>
          <w:rFonts w:ascii="宋体" w:hAnsi="宋体" w:eastAsia="宋体" w:cs="宋体"/>
          <w:sz w:val="20"/>
          <w:szCs w:val="20"/>
        </w:rPr>
      </w:pPr>
      <w:r>
        <w:rPr>
          <w:rFonts w:ascii="Times New Roman" w:hAnsi="Times New Roman" w:eastAsia="Times New Roman" w:cs="Times New Roman"/>
          <w:sz w:val="20"/>
          <w:szCs w:val="20"/>
        </w:rPr>
        <w:t>HAV</w:t>
      </w:r>
      <w:r>
        <w:rPr>
          <w:rFonts w:ascii="Times New Roman" w:hAnsi="Times New Roman" w:eastAsia="Times New Roman" w:cs="Times New Roman"/>
          <w:spacing w:val="5"/>
          <w:sz w:val="20"/>
          <w:szCs w:val="20"/>
        </w:rPr>
        <w:t xml:space="preserve"> </w:t>
      </w:r>
      <w:r>
        <w:rPr>
          <w:rFonts w:ascii="宋体" w:hAnsi="宋体" w:eastAsia="宋体" w:cs="宋体"/>
          <w:spacing w:val="5"/>
          <w:sz w:val="20"/>
          <w:szCs w:val="20"/>
        </w:rPr>
        <w:t>的基因型和基因亚型具有一定的地理分布特点。基因</w:t>
      </w:r>
      <w:r>
        <w:rPr>
          <w:rFonts w:ascii="Times New Roman" w:hAnsi="Times New Roman" w:eastAsia="Times New Roman" w:cs="Times New Roman"/>
          <w:spacing w:val="5"/>
          <w:sz w:val="20"/>
          <w:szCs w:val="20"/>
        </w:rPr>
        <w:t>I</w:t>
      </w:r>
      <w:r>
        <w:rPr>
          <w:rFonts w:ascii="Times New Roman" w:hAnsi="Times New Roman" w:eastAsia="Times New Roman" w:cs="Times New Roman"/>
          <w:spacing w:val="34"/>
          <w:sz w:val="20"/>
          <w:szCs w:val="20"/>
        </w:rPr>
        <w:t xml:space="preserve"> </w:t>
      </w:r>
      <w:r>
        <w:rPr>
          <w:rFonts w:ascii="宋体" w:hAnsi="宋体" w:eastAsia="宋体" w:cs="宋体"/>
          <w:spacing w:val="5"/>
          <w:sz w:val="20"/>
          <w:szCs w:val="20"/>
        </w:rPr>
        <w:t>型在世界范围内最为普遍，在南</w:t>
      </w:r>
      <w:r>
        <w:rPr>
          <w:rFonts w:ascii="宋体" w:hAnsi="宋体" w:eastAsia="宋体" w:cs="宋体"/>
          <w:sz w:val="20"/>
          <w:szCs w:val="20"/>
        </w:rPr>
        <w:t xml:space="preserve"> </w:t>
      </w:r>
      <w:r>
        <w:rPr>
          <w:rFonts w:ascii="宋体" w:hAnsi="宋体" w:eastAsia="宋体" w:cs="宋体"/>
          <w:spacing w:val="-2"/>
          <w:sz w:val="20"/>
          <w:szCs w:val="20"/>
        </w:rPr>
        <w:t>美、北美、欧洲、大部分亚洲和非洲地区主要流行株是IA 亚型，而在中东、南非等地区主要流行株</w:t>
      </w:r>
      <w:r>
        <w:rPr>
          <w:rFonts w:ascii="宋体" w:hAnsi="宋体" w:eastAsia="宋体" w:cs="宋体"/>
          <w:spacing w:val="17"/>
          <w:sz w:val="20"/>
          <w:szCs w:val="20"/>
        </w:rPr>
        <w:t xml:space="preserve"> </w:t>
      </w:r>
      <w:r>
        <w:rPr>
          <w:rFonts w:ascii="宋体" w:hAnsi="宋体" w:eastAsia="宋体" w:cs="宋体"/>
          <w:sz w:val="20"/>
          <w:szCs w:val="20"/>
        </w:rPr>
        <w:t>是</w:t>
      </w:r>
      <w:r>
        <w:rPr>
          <w:rFonts w:ascii="宋体" w:hAnsi="宋体" w:eastAsia="宋体" w:cs="宋体"/>
          <w:spacing w:val="-52"/>
          <w:sz w:val="20"/>
          <w:szCs w:val="20"/>
        </w:rPr>
        <w:t xml:space="preserve"> </w:t>
      </w:r>
      <w:r>
        <w:rPr>
          <w:rFonts w:ascii="Times New Roman" w:hAnsi="Times New Roman" w:eastAsia="Times New Roman" w:cs="Times New Roman"/>
          <w:sz w:val="20"/>
          <w:szCs w:val="20"/>
        </w:rPr>
        <w:t>IB</w:t>
      </w:r>
      <w:r>
        <w:rPr>
          <w:rFonts w:ascii="Times New Roman" w:hAnsi="Times New Roman" w:eastAsia="Times New Roman" w:cs="Times New Roman"/>
          <w:spacing w:val="26"/>
          <w:sz w:val="20"/>
          <w:szCs w:val="20"/>
        </w:rPr>
        <w:t xml:space="preserve"> </w:t>
      </w:r>
      <w:r>
        <w:rPr>
          <w:rFonts w:ascii="宋体" w:hAnsi="宋体" w:eastAsia="宋体" w:cs="宋体"/>
          <w:sz w:val="20"/>
          <w:szCs w:val="20"/>
        </w:rPr>
        <w:t>亚型。我国以</w:t>
      </w:r>
      <w:r>
        <w:rPr>
          <w:rFonts w:ascii="Times New Roman" w:hAnsi="Times New Roman" w:eastAsia="Times New Roman" w:cs="Times New Roman"/>
          <w:sz w:val="20"/>
          <w:szCs w:val="20"/>
        </w:rPr>
        <w:t>IA</w:t>
      </w:r>
      <w:r>
        <w:rPr>
          <w:rFonts w:ascii="Times New Roman" w:hAnsi="Times New Roman" w:eastAsia="Times New Roman" w:cs="Times New Roman"/>
          <w:spacing w:val="34"/>
          <w:sz w:val="20"/>
          <w:szCs w:val="20"/>
        </w:rPr>
        <w:t xml:space="preserve"> </w:t>
      </w:r>
      <w:r>
        <w:rPr>
          <w:rFonts w:ascii="宋体" w:hAnsi="宋体" w:eastAsia="宋体" w:cs="宋体"/>
          <w:sz w:val="20"/>
          <w:szCs w:val="20"/>
        </w:rPr>
        <w:t>亚型流行为主。</w:t>
      </w:r>
    </w:p>
    <w:p w14:paraId="52B707D7">
      <w:pPr>
        <w:pStyle w:val="2"/>
        <w:spacing w:before="1" w:line="222" w:lineRule="auto"/>
        <w:ind w:left="1083"/>
        <w:rPr>
          <w:sz w:val="23"/>
          <w:szCs w:val="23"/>
        </w:rPr>
      </w:pPr>
      <w:r>
        <w:rPr>
          <w:b/>
          <w:bCs/>
          <w:spacing w:val="-6"/>
          <w:sz w:val="23"/>
          <w:szCs w:val="23"/>
        </w:rPr>
        <w:t>(二)时间分布</w:t>
      </w:r>
    </w:p>
    <w:p w14:paraId="2A3A4FF2">
      <w:pPr>
        <w:spacing w:before="76" w:line="350" w:lineRule="auto"/>
        <w:ind w:left="679" w:right="122" w:firstLine="400"/>
        <w:rPr>
          <w:rFonts w:ascii="宋体" w:hAnsi="宋体" w:eastAsia="宋体" w:cs="宋体"/>
          <w:sz w:val="20"/>
          <w:szCs w:val="20"/>
        </w:rPr>
      </w:pPr>
      <w:r>
        <w:rPr>
          <w:rFonts w:ascii="宋体" w:hAnsi="宋体" w:eastAsia="宋体" w:cs="宋体"/>
          <w:sz w:val="20"/>
          <w:szCs w:val="20"/>
        </w:rPr>
        <w:t>甲肝全年均有发病，但有一定的季节性。温带地区甲肝发病高峰多在秋末冬初，而热</w:t>
      </w:r>
      <w:r>
        <w:rPr>
          <w:rFonts w:ascii="宋体" w:hAnsi="宋体" w:eastAsia="宋体" w:cs="宋体"/>
          <w:spacing w:val="-1"/>
          <w:sz w:val="20"/>
          <w:szCs w:val="20"/>
        </w:rPr>
        <w:t>带地区则</w:t>
      </w:r>
      <w:r>
        <w:rPr>
          <w:rFonts w:ascii="宋体" w:hAnsi="宋体" w:eastAsia="宋体" w:cs="宋体"/>
          <w:sz w:val="20"/>
          <w:szCs w:val="20"/>
        </w:rPr>
        <w:t xml:space="preserve"> </w:t>
      </w:r>
      <w:r>
        <w:rPr>
          <w:rFonts w:ascii="宋体" w:hAnsi="宋体" w:eastAsia="宋体" w:cs="宋体"/>
          <w:spacing w:val="-2"/>
          <w:sz w:val="20"/>
          <w:szCs w:val="20"/>
        </w:rPr>
        <w:t>在雨季。我国甲肝发病呈春季高发，但近年来流行高峰已逐年趋平。</w:t>
      </w:r>
    </w:p>
    <w:p w14:paraId="369AB1CC">
      <w:pPr>
        <w:spacing w:line="334" w:lineRule="auto"/>
        <w:ind w:left="679" w:right="89" w:firstLine="400"/>
        <w:jc w:val="both"/>
        <w:rPr>
          <w:rFonts w:ascii="宋体" w:hAnsi="宋体" w:eastAsia="宋体" w:cs="宋体"/>
          <w:sz w:val="20"/>
          <w:szCs w:val="20"/>
        </w:rPr>
      </w:pPr>
      <w:r>
        <w:rPr>
          <w:rFonts w:ascii="宋体" w:hAnsi="宋体" w:eastAsia="宋体" w:cs="宋体"/>
          <w:spacing w:val="1"/>
          <w:sz w:val="20"/>
          <w:szCs w:val="20"/>
        </w:rPr>
        <w:t>我国甲肝发病率呈明显下降趋势。随着我国社会经济的快速发展、</w:t>
      </w:r>
      <w:r>
        <w:rPr>
          <w:rFonts w:ascii="宋体" w:hAnsi="宋体" w:eastAsia="宋体" w:cs="宋体"/>
          <w:sz w:val="20"/>
          <w:szCs w:val="20"/>
        </w:rPr>
        <w:t xml:space="preserve">卫生条件的明显改善，以及 </w:t>
      </w:r>
      <w:r>
        <w:rPr>
          <w:rFonts w:ascii="宋体" w:hAnsi="宋体" w:eastAsia="宋体" w:cs="宋体"/>
          <w:spacing w:val="2"/>
          <w:sz w:val="20"/>
          <w:szCs w:val="20"/>
        </w:rPr>
        <w:t>儿童甲肝疫苗覆盖率的增加，甲肝发病率从1992年的52.08/10万降至2006年的5.25/10万，2014年</w:t>
      </w:r>
      <w:r>
        <w:rPr>
          <w:rFonts w:ascii="宋体" w:hAnsi="宋体" w:eastAsia="宋体" w:cs="宋体"/>
          <w:spacing w:val="16"/>
          <w:sz w:val="20"/>
          <w:szCs w:val="20"/>
        </w:rPr>
        <w:t xml:space="preserve"> </w:t>
      </w:r>
      <w:r>
        <w:rPr>
          <w:rFonts w:ascii="宋体" w:hAnsi="宋体" w:eastAsia="宋体" w:cs="宋体"/>
          <w:spacing w:val="-3"/>
          <w:sz w:val="20"/>
          <w:szCs w:val="20"/>
        </w:rPr>
        <w:t>降至1.92/10万，2022年进一步降至0.74/10万。</w:t>
      </w:r>
    </w:p>
    <w:p w14:paraId="1B66AEDD">
      <w:pPr>
        <w:pStyle w:val="2"/>
        <w:spacing w:before="1" w:line="221" w:lineRule="auto"/>
        <w:ind w:left="1083"/>
        <w:rPr>
          <w:sz w:val="23"/>
          <w:szCs w:val="23"/>
        </w:rPr>
      </w:pPr>
      <w:r>
        <w:rPr>
          <w:b/>
          <w:bCs/>
          <w:spacing w:val="-6"/>
          <w:sz w:val="23"/>
          <w:szCs w:val="23"/>
        </w:rPr>
        <w:t>(三)人群分布</w:t>
      </w:r>
    </w:p>
    <w:p w14:paraId="381DEF91">
      <w:pPr>
        <w:spacing w:before="77" w:line="345" w:lineRule="auto"/>
        <w:ind w:left="679" w:firstLine="400"/>
        <w:jc w:val="both"/>
        <w:rPr>
          <w:rFonts w:ascii="宋体" w:hAnsi="宋体" w:eastAsia="宋体" w:cs="宋体"/>
          <w:sz w:val="20"/>
          <w:szCs w:val="20"/>
        </w:rPr>
      </w:pPr>
      <w:r>
        <w:rPr>
          <w:rFonts w:ascii="宋体" w:hAnsi="宋体" w:eastAsia="宋体" w:cs="宋体"/>
          <w:spacing w:val="9"/>
          <w:sz w:val="20"/>
          <w:szCs w:val="20"/>
        </w:rPr>
        <w:t>不同年龄人群的</w:t>
      </w:r>
      <w:r>
        <w:rPr>
          <w:rFonts w:ascii="Times New Roman" w:hAnsi="Times New Roman" w:eastAsia="Times New Roman" w:cs="Times New Roman"/>
          <w:sz w:val="20"/>
          <w:szCs w:val="20"/>
        </w:rPr>
        <w:t>HAV</w:t>
      </w:r>
      <w:r>
        <w:rPr>
          <w:rFonts w:ascii="Times New Roman" w:hAnsi="Times New Roman" w:eastAsia="Times New Roman" w:cs="Times New Roman"/>
          <w:spacing w:val="9"/>
          <w:sz w:val="20"/>
          <w:szCs w:val="20"/>
        </w:rPr>
        <w:t xml:space="preserve"> </w:t>
      </w:r>
      <w:r>
        <w:rPr>
          <w:rFonts w:ascii="宋体" w:hAnsi="宋体" w:eastAsia="宋体" w:cs="宋体"/>
          <w:spacing w:val="9"/>
          <w:sz w:val="20"/>
          <w:szCs w:val="20"/>
        </w:rPr>
        <w:t>感染率存在明显差异。多数低收入区为高度流行区，10岁以下儿童的</w:t>
      </w:r>
      <w:r>
        <w:rPr>
          <w:rFonts w:ascii="宋体" w:hAnsi="宋体" w:eastAsia="宋体" w:cs="宋体"/>
          <w:sz w:val="20"/>
          <w:szCs w:val="20"/>
        </w:rPr>
        <w:t xml:space="preserve">  HAV</w:t>
      </w:r>
      <w:r>
        <w:rPr>
          <w:rFonts w:ascii="宋体" w:hAnsi="宋体" w:eastAsia="宋体" w:cs="宋体"/>
          <w:spacing w:val="66"/>
          <w:sz w:val="20"/>
          <w:szCs w:val="20"/>
        </w:rPr>
        <w:t xml:space="preserve"> </w:t>
      </w:r>
      <w:r>
        <w:rPr>
          <w:rFonts w:ascii="宋体" w:hAnsi="宋体" w:eastAsia="宋体" w:cs="宋体"/>
          <w:spacing w:val="10"/>
          <w:sz w:val="20"/>
          <w:szCs w:val="20"/>
        </w:rPr>
        <w:t>感染率高于90%,儿童通常在5岁以内暴露于</w:t>
      </w:r>
      <w:r>
        <w:rPr>
          <w:rFonts w:ascii="宋体" w:hAnsi="宋体" w:eastAsia="宋体" w:cs="宋体"/>
          <w:sz w:val="20"/>
          <w:szCs w:val="20"/>
        </w:rPr>
        <w:t>HAV</w:t>
      </w:r>
      <w:r>
        <w:rPr>
          <w:rFonts w:ascii="宋体" w:hAnsi="宋体" w:eastAsia="宋体" w:cs="宋体"/>
          <w:spacing w:val="10"/>
          <w:sz w:val="20"/>
          <w:szCs w:val="20"/>
        </w:rPr>
        <w:t>,</w:t>
      </w:r>
      <w:r>
        <w:rPr>
          <w:rFonts w:ascii="宋体" w:hAnsi="宋体" w:eastAsia="宋体" w:cs="宋体"/>
          <w:spacing w:val="53"/>
          <w:sz w:val="20"/>
          <w:szCs w:val="20"/>
        </w:rPr>
        <w:t xml:space="preserve"> </w:t>
      </w:r>
      <w:r>
        <w:rPr>
          <w:rFonts w:ascii="宋体" w:hAnsi="宋体" w:eastAsia="宋体" w:cs="宋体"/>
          <w:spacing w:val="10"/>
          <w:sz w:val="20"/>
          <w:szCs w:val="20"/>
        </w:rPr>
        <w:t>多为无症状感染，成人基本上无感染者。</w:t>
      </w:r>
      <w:r>
        <w:rPr>
          <w:rFonts w:ascii="宋体" w:hAnsi="宋体" w:eastAsia="宋体" w:cs="宋体"/>
          <w:sz w:val="20"/>
          <w:szCs w:val="20"/>
        </w:rPr>
        <w:t xml:space="preserve"> </w:t>
      </w:r>
      <w:r>
        <w:rPr>
          <w:rFonts w:ascii="宋体" w:hAnsi="宋体" w:eastAsia="宋体" w:cs="宋体"/>
          <w:spacing w:val="-7"/>
          <w:sz w:val="20"/>
          <w:szCs w:val="20"/>
        </w:rPr>
        <w:t>在低度流行区，发病年龄后移，成人发病比例高。</w:t>
      </w:r>
    </w:p>
    <w:p w14:paraId="2674A343">
      <w:pPr>
        <w:spacing w:line="337" w:lineRule="auto"/>
        <w:ind w:left="679" w:firstLine="400"/>
        <w:jc w:val="both"/>
        <w:rPr>
          <w:rFonts w:ascii="宋体" w:hAnsi="宋体" w:eastAsia="宋体" w:cs="宋体"/>
          <w:sz w:val="20"/>
          <w:szCs w:val="20"/>
        </w:rPr>
      </w:pPr>
      <w:r>
        <w:rPr>
          <w:rFonts w:ascii="宋体" w:hAnsi="宋体" w:eastAsia="宋体" w:cs="宋体"/>
          <w:spacing w:val="6"/>
          <w:sz w:val="20"/>
          <w:szCs w:val="20"/>
        </w:rPr>
        <w:t>我国不同年龄人群抗-</w:t>
      </w:r>
      <w:r>
        <w:rPr>
          <w:rFonts w:ascii="宋体" w:hAnsi="宋体" w:eastAsia="宋体" w:cs="宋体"/>
          <w:sz w:val="20"/>
          <w:szCs w:val="20"/>
        </w:rPr>
        <w:t>HAV</w:t>
      </w:r>
      <w:r>
        <w:rPr>
          <w:rFonts w:ascii="宋体" w:hAnsi="宋体" w:eastAsia="宋体" w:cs="宋体"/>
          <w:spacing w:val="74"/>
          <w:sz w:val="20"/>
          <w:szCs w:val="20"/>
        </w:rPr>
        <w:t xml:space="preserve"> </w:t>
      </w:r>
      <w:r>
        <w:rPr>
          <w:rFonts w:ascii="宋体" w:hAnsi="宋体" w:eastAsia="宋体" w:cs="宋体"/>
          <w:spacing w:val="6"/>
          <w:sz w:val="20"/>
          <w:szCs w:val="20"/>
        </w:rPr>
        <w:t>阳性率不同，2014年血清流行病学调查显示，2岁以</w:t>
      </w:r>
      <w:r>
        <w:rPr>
          <w:rFonts w:ascii="宋体" w:hAnsi="宋体" w:eastAsia="宋体" w:cs="宋体"/>
          <w:spacing w:val="5"/>
          <w:sz w:val="20"/>
          <w:szCs w:val="20"/>
        </w:rPr>
        <w:t>下、2～4岁、</w:t>
      </w:r>
      <w:r>
        <w:rPr>
          <w:rFonts w:ascii="宋体" w:hAnsi="宋体" w:eastAsia="宋体" w:cs="宋体"/>
          <w:sz w:val="20"/>
          <w:szCs w:val="20"/>
        </w:rPr>
        <w:t xml:space="preserve"> </w:t>
      </w:r>
      <w:r>
        <w:rPr>
          <w:rFonts w:ascii="宋体" w:hAnsi="宋体" w:eastAsia="宋体" w:cs="宋体"/>
          <w:spacing w:val="2"/>
          <w:sz w:val="20"/>
          <w:szCs w:val="20"/>
        </w:rPr>
        <w:t>5～9岁、10～14岁、15～19岁、20～24岁和2</w:t>
      </w:r>
      <w:r>
        <w:rPr>
          <w:rFonts w:ascii="宋体" w:hAnsi="宋体" w:eastAsia="宋体" w:cs="宋体"/>
          <w:spacing w:val="1"/>
          <w:sz w:val="20"/>
          <w:szCs w:val="20"/>
        </w:rPr>
        <w:t>5～29岁抗-</w:t>
      </w:r>
      <w:r>
        <w:rPr>
          <w:rFonts w:ascii="Times New Roman" w:hAnsi="Times New Roman" w:eastAsia="Times New Roman" w:cs="Times New Roman"/>
          <w:sz w:val="20"/>
          <w:szCs w:val="20"/>
        </w:rPr>
        <w:t>HAV</w:t>
      </w:r>
      <w:r>
        <w:rPr>
          <w:rFonts w:ascii="宋体" w:hAnsi="宋体" w:eastAsia="宋体" w:cs="宋体"/>
          <w:spacing w:val="1"/>
          <w:sz w:val="20"/>
          <w:szCs w:val="20"/>
        </w:rPr>
        <w:t>阳性率分别为43.5%、88.1%、76.6%、</w:t>
      </w:r>
      <w:r>
        <w:rPr>
          <w:rFonts w:ascii="宋体" w:hAnsi="宋体" w:eastAsia="宋体" w:cs="宋体"/>
          <w:sz w:val="20"/>
          <w:szCs w:val="20"/>
        </w:rPr>
        <w:t xml:space="preserve"> </w:t>
      </w:r>
      <w:r>
        <w:rPr>
          <w:rFonts w:ascii="宋体" w:hAnsi="宋体" w:eastAsia="宋体" w:cs="宋体"/>
          <w:spacing w:val="4"/>
          <w:sz w:val="20"/>
          <w:szCs w:val="20"/>
        </w:rPr>
        <w:t>59.2%、48.6%、56.8%和67.7%。法定报告传染病数据显示，2022年我国甲肝报告病例数最多的年</w:t>
      </w:r>
      <w:r>
        <w:rPr>
          <w:rFonts w:ascii="宋体" w:hAnsi="宋体" w:eastAsia="宋体" w:cs="宋体"/>
          <w:spacing w:val="5"/>
          <w:sz w:val="20"/>
          <w:szCs w:val="20"/>
        </w:rPr>
        <w:t xml:space="preserve">  </w:t>
      </w:r>
      <w:r>
        <w:rPr>
          <w:rFonts w:ascii="宋体" w:hAnsi="宋体" w:eastAsia="宋体" w:cs="宋体"/>
          <w:spacing w:val="2"/>
          <w:sz w:val="20"/>
          <w:szCs w:val="20"/>
        </w:rPr>
        <w:t>龄段是50～54岁组，占总报告病例数的13.97%,男性发病数多于女性，职业分布中以农民</w:t>
      </w:r>
      <w:r>
        <w:rPr>
          <w:rFonts w:ascii="宋体" w:hAnsi="宋体" w:eastAsia="宋体" w:cs="宋体"/>
          <w:spacing w:val="1"/>
          <w:sz w:val="20"/>
          <w:szCs w:val="20"/>
        </w:rPr>
        <w:t>报告发病</w:t>
      </w:r>
      <w:r>
        <w:rPr>
          <w:rFonts w:ascii="宋体" w:hAnsi="宋体" w:eastAsia="宋体" w:cs="宋体"/>
          <w:sz w:val="20"/>
          <w:szCs w:val="20"/>
        </w:rPr>
        <w:t xml:space="preserve">  </w:t>
      </w:r>
      <w:r>
        <w:rPr>
          <w:rFonts w:ascii="宋体" w:hAnsi="宋体" w:eastAsia="宋体" w:cs="宋体"/>
          <w:spacing w:val="-2"/>
          <w:sz w:val="20"/>
          <w:szCs w:val="20"/>
        </w:rPr>
        <w:t>数最多，占总报告病例数的43.94%。</w:t>
      </w:r>
    </w:p>
    <w:p w14:paraId="7F0E1464">
      <w:pPr>
        <w:spacing w:before="4" w:line="345" w:lineRule="auto"/>
        <w:ind w:left="679" w:right="87" w:firstLine="400"/>
        <w:rPr>
          <w:rFonts w:ascii="宋体" w:hAnsi="宋体" w:eastAsia="宋体" w:cs="宋体"/>
          <w:sz w:val="20"/>
          <w:szCs w:val="20"/>
        </w:rPr>
      </w:pPr>
      <w:r>
        <w:rPr>
          <w:rFonts w:ascii="宋体" w:hAnsi="宋体" w:eastAsia="宋体" w:cs="宋体"/>
          <w:sz w:val="20"/>
          <w:szCs w:val="20"/>
        </w:rPr>
        <w:t>HAV</w:t>
      </w:r>
      <w:r>
        <w:rPr>
          <w:rFonts w:ascii="宋体" w:hAnsi="宋体" w:eastAsia="宋体" w:cs="宋体"/>
          <w:spacing w:val="53"/>
          <w:sz w:val="20"/>
          <w:szCs w:val="20"/>
        </w:rPr>
        <w:t xml:space="preserve"> </w:t>
      </w:r>
      <w:r>
        <w:rPr>
          <w:rFonts w:ascii="宋体" w:hAnsi="宋体" w:eastAsia="宋体" w:cs="宋体"/>
          <w:spacing w:val="5"/>
          <w:sz w:val="20"/>
          <w:szCs w:val="20"/>
        </w:rPr>
        <w:t>感染有明显的家庭聚集现象，这与家庭成员摄入相同的食物</w:t>
      </w:r>
      <w:r>
        <w:rPr>
          <w:rFonts w:ascii="宋体" w:hAnsi="宋体" w:eastAsia="宋体" w:cs="宋体"/>
          <w:spacing w:val="4"/>
          <w:sz w:val="20"/>
          <w:szCs w:val="20"/>
        </w:rPr>
        <w:t>和饮用水以及日常生活中密</w:t>
      </w:r>
      <w:r>
        <w:rPr>
          <w:rFonts w:ascii="宋体" w:hAnsi="宋体" w:eastAsia="宋体" w:cs="宋体"/>
          <w:sz w:val="20"/>
          <w:szCs w:val="20"/>
        </w:rPr>
        <w:t xml:space="preserve"> </w:t>
      </w:r>
      <w:r>
        <w:rPr>
          <w:rFonts w:ascii="宋体" w:hAnsi="宋体" w:eastAsia="宋体" w:cs="宋体"/>
          <w:spacing w:val="-2"/>
          <w:sz w:val="20"/>
          <w:szCs w:val="20"/>
        </w:rPr>
        <w:t>切接触有关。</w:t>
      </w:r>
    </w:p>
    <w:p w14:paraId="484D7AF3">
      <w:pPr>
        <w:pStyle w:val="2"/>
        <w:spacing w:before="181" w:line="222" w:lineRule="auto"/>
        <w:ind w:left="1083"/>
        <w:outlineLvl w:val="4"/>
        <w:rPr>
          <w:sz w:val="23"/>
          <w:szCs w:val="23"/>
        </w:rPr>
      </w:pPr>
      <w:bookmarkStart w:id="495" w:name="bookmark311"/>
      <w:bookmarkEnd w:id="495"/>
      <w:r>
        <w:rPr>
          <w:b/>
          <w:bCs/>
          <w:spacing w:val="6"/>
          <w:sz w:val="23"/>
          <w:szCs w:val="23"/>
        </w:rPr>
        <w:t>二、乙型肝炎</w:t>
      </w:r>
    </w:p>
    <w:p w14:paraId="117BDE70">
      <w:pPr>
        <w:spacing w:before="221" w:line="337" w:lineRule="auto"/>
        <w:ind w:left="679" w:right="131" w:firstLine="400"/>
        <w:jc w:val="both"/>
        <w:rPr>
          <w:rFonts w:ascii="宋体" w:hAnsi="宋体" w:eastAsia="宋体" w:cs="宋体"/>
          <w:sz w:val="20"/>
          <w:szCs w:val="20"/>
        </w:rPr>
      </w:pPr>
      <w:r>
        <w:rPr>
          <w:rFonts w:ascii="宋体" w:hAnsi="宋体" w:eastAsia="宋体" w:cs="宋体"/>
          <w:spacing w:val="-1"/>
          <w:sz w:val="20"/>
          <w:szCs w:val="20"/>
        </w:rPr>
        <w:t>乙肝是全球重大公共卫生问题。据《2024年全球肝炎报告》</w:t>
      </w:r>
      <w:r>
        <w:rPr>
          <w:rFonts w:ascii="Times New Roman" w:hAnsi="Times New Roman" w:eastAsia="Times New Roman" w:cs="Times New Roman"/>
          <w:spacing w:val="-2"/>
          <w:sz w:val="20"/>
          <w:szCs w:val="20"/>
        </w:rPr>
        <w:t>(Global</w:t>
      </w:r>
      <w:r>
        <w:rPr>
          <w:rFonts w:ascii="Times New Roman" w:hAnsi="Times New Roman" w:eastAsia="Times New Roman" w:cs="Times New Roman"/>
          <w:spacing w:val="45"/>
          <w:sz w:val="20"/>
          <w:szCs w:val="20"/>
        </w:rPr>
        <w:t xml:space="preserve"> </w:t>
      </w:r>
      <w:r>
        <w:rPr>
          <w:rFonts w:ascii="Times New Roman" w:hAnsi="Times New Roman" w:eastAsia="Times New Roman" w:cs="Times New Roman"/>
          <w:spacing w:val="-2"/>
          <w:sz w:val="20"/>
          <w:szCs w:val="20"/>
        </w:rPr>
        <w:t>Hepatitis</w:t>
      </w:r>
      <w:r>
        <w:rPr>
          <w:rFonts w:ascii="Times New Roman" w:hAnsi="Times New Roman" w:eastAsia="Times New Roman" w:cs="Times New Roman"/>
          <w:spacing w:val="45"/>
          <w:sz w:val="20"/>
          <w:szCs w:val="20"/>
        </w:rPr>
        <w:t xml:space="preserve"> </w:t>
      </w:r>
      <w:r>
        <w:rPr>
          <w:rFonts w:ascii="Times New Roman" w:hAnsi="Times New Roman" w:eastAsia="Times New Roman" w:cs="Times New Roman"/>
          <w:spacing w:val="-2"/>
          <w:sz w:val="20"/>
          <w:szCs w:val="20"/>
        </w:rPr>
        <w:t>Report</w:t>
      </w:r>
      <w:r>
        <w:rPr>
          <w:rFonts w:ascii="Times New Roman" w:hAnsi="Times New Roman" w:eastAsia="Times New Roman" w:cs="Times New Roman"/>
          <w:spacing w:val="45"/>
          <w:sz w:val="20"/>
          <w:szCs w:val="20"/>
        </w:rPr>
        <w:t xml:space="preserve"> </w:t>
      </w:r>
      <w:r>
        <w:rPr>
          <w:rFonts w:ascii="Times New Roman" w:hAnsi="Times New Roman" w:eastAsia="Times New Roman" w:cs="Times New Roman"/>
          <w:spacing w:val="-2"/>
          <w:sz w:val="20"/>
          <w:szCs w:val="20"/>
        </w:rPr>
        <w:t>2024),2022</w:t>
      </w:r>
      <w:r>
        <w:rPr>
          <w:rFonts w:ascii="Times New Roman" w:hAnsi="Times New Roman" w:eastAsia="Times New Roman" w:cs="Times New Roman"/>
          <w:sz w:val="20"/>
          <w:szCs w:val="20"/>
        </w:rPr>
        <w:t xml:space="preserve"> </w:t>
      </w:r>
      <w:r>
        <w:rPr>
          <w:rFonts w:ascii="宋体" w:hAnsi="宋体" w:eastAsia="宋体" w:cs="宋体"/>
          <w:spacing w:val="7"/>
          <w:sz w:val="20"/>
          <w:szCs w:val="20"/>
        </w:rPr>
        <w:t>年全球约有2.54亿乙肝病人，每年新发</w:t>
      </w:r>
      <w:r>
        <w:rPr>
          <w:rFonts w:ascii="宋体" w:hAnsi="宋体" w:eastAsia="宋体" w:cs="宋体"/>
          <w:sz w:val="20"/>
          <w:szCs w:val="20"/>
        </w:rPr>
        <w:t>HBV</w:t>
      </w:r>
      <w:r>
        <w:rPr>
          <w:rFonts w:ascii="宋体" w:hAnsi="宋体" w:eastAsia="宋体" w:cs="宋体"/>
          <w:spacing w:val="73"/>
          <w:sz w:val="20"/>
          <w:szCs w:val="20"/>
        </w:rPr>
        <w:t xml:space="preserve"> </w:t>
      </w:r>
      <w:r>
        <w:rPr>
          <w:rFonts w:ascii="宋体" w:hAnsi="宋体" w:eastAsia="宋体" w:cs="宋体"/>
          <w:spacing w:val="7"/>
          <w:sz w:val="20"/>
          <w:szCs w:val="20"/>
        </w:rPr>
        <w:t>感染者约123万人，新发感染率16/10万，每年</w:t>
      </w:r>
      <w:r>
        <w:rPr>
          <w:rFonts w:ascii="宋体" w:hAnsi="宋体" w:eastAsia="宋体" w:cs="宋体"/>
          <w:spacing w:val="6"/>
          <w:sz w:val="20"/>
          <w:szCs w:val="20"/>
        </w:rPr>
        <w:t>导致</w:t>
      </w:r>
      <w:r>
        <w:rPr>
          <w:rFonts w:ascii="宋体" w:hAnsi="宋体" w:eastAsia="宋体" w:cs="宋体"/>
          <w:sz w:val="20"/>
          <w:szCs w:val="20"/>
        </w:rPr>
        <w:t xml:space="preserve"> </w:t>
      </w:r>
      <w:r>
        <w:rPr>
          <w:rFonts w:ascii="宋体" w:hAnsi="宋体" w:eastAsia="宋体" w:cs="宋体"/>
          <w:spacing w:val="3"/>
          <w:sz w:val="20"/>
          <w:szCs w:val="20"/>
        </w:rPr>
        <w:t>约110万人死亡，病死率14/10万，如果</w:t>
      </w:r>
      <w:r>
        <w:rPr>
          <w:rFonts w:ascii="宋体" w:hAnsi="宋体" w:eastAsia="宋体" w:cs="宋体"/>
          <w:spacing w:val="2"/>
          <w:sz w:val="20"/>
          <w:szCs w:val="20"/>
        </w:rPr>
        <w:t>不进行有效干预，预计到2034年，</w:t>
      </w:r>
      <w:r>
        <w:rPr>
          <w:rFonts w:ascii="Times New Roman" w:hAnsi="Times New Roman" w:eastAsia="Times New Roman" w:cs="Times New Roman"/>
          <w:sz w:val="20"/>
          <w:szCs w:val="20"/>
        </w:rPr>
        <w:t>HBV</w:t>
      </w:r>
      <w:r>
        <w:rPr>
          <w:rFonts w:ascii="Times New Roman" w:hAnsi="Times New Roman" w:eastAsia="Times New Roman" w:cs="Times New Roman"/>
          <w:spacing w:val="2"/>
          <w:sz w:val="20"/>
          <w:szCs w:val="20"/>
        </w:rPr>
        <w:t xml:space="preserve"> </w:t>
      </w:r>
      <w:r>
        <w:rPr>
          <w:rFonts w:ascii="宋体" w:hAnsi="宋体" w:eastAsia="宋体" w:cs="宋体"/>
          <w:spacing w:val="2"/>
          <w:sz w:val="20"/>
          <w:szCs w:val="20"/>
        </w:rPr>
        <w:t>感染导致的死亡人</w:t>
      </w:r>
      <w:r>
        <w:rPr>
          <w:rFonts w:ascii="宋体" w:hAnsi="宋体" w:eastAsia="宋体" w:cs="宋体"/>
          <w:sz w:val="20"/>
          <w:szCs w:val="20"/>
        </w:rPr>
        <w:t xml:space="preserve"> </w:t>
      </w:r>
      <w:r>
        <w:rPr>
          <w:rFonts w:ascii="宋体" w:hAnsi="宋体" w:eastAsia="宋体" w:cs="宋体"/>
          <w:spacing w:val="13"/>
          <w:sz w:val="20"/>
          <w:szCs w:val="20"/>
        </w:rPr>
        <w:t>数将继续上升至114万人的峰值。2022年我国人群</w:t>
      </w:r>
      <w:r>
        <w:rPr>
          <w:rFonts w:ascii="Times New Roman" w:hAnsi="Times New Roman" w:eastAsia="Times New Roman" w:cs="Times New Roman"/>
          <w:sz w:val="20"/>
          <w:szCs w:val="20"/>
        </w:rPr>
        <w:t>HBsAg</w:t>
      </w:r>
      <w:r>
        <w:rPr>
          <w:rFonts w:ascii="Times New Roman" w:hAnsi="Times New Roman" w:eastAsia="Times New Roman" w:cs="Times New Roman"/>
          <w:spacing w:val="24"/>
          <w:sz w:val="20"/>
          <w:szCs w:val="20"/>
        </w:rPr>
        <w:t xml:space="preserve"> </w:t>
      </w:r>
      <w:r>
        <w:rPr>
          <w:rFonts w:ascii="宋体" w:hAnsi="宋体" w:eastAsia="宋体" w:cs="宋体"/>
          <w:spacing w:val="13"/>
          <w:sz w:val="20"/>
          <w:szCs w:val="20"/>
        </w:rPr>
        <w:t>阳性率约5.60%,</w:t>
      </w:r>
      <w:r>
        <w:rPr>
          <w:rFonts w:ascii="Times New Roman" w:hAnsi="Times New Roman" w:eastAsia="Times New Roman" w:cs="Times New Roman"/>
          <w:sz w:val="20"/>
          <w:szCs w:val="20"/>
        </w:rPr>
        <w:t>HBV</w:t>
      </w:r>
      <w:r>
        <w:rPr>
          <w:rFonts w:ascii="Times New Roman" w:hAnsi="Times New Roman" w:eastAsia="Times New Roman" w:cs="Times New Roman"/>
          <w:spacing w:val="13"/>
          <w:sz w:val="20"/>
          <w:szCs w:val="20"/>
        </w:rPr>
        <w:t xml:space="preserve"> </w:t>
      </w:r>
      <w:r>
        <w:rPr>
          <w:rFonts w:ascii="宋体" w:hAnsi="宋体" w:eastAsia="宋体" w:cs="宋体"/>
          <w:spacing w:val="12"/>
          <w:sz w:val="20"/>
          <w:szCs w:val="20"/>
        </w:rPr>
        <w:t>感染者人数达</w:t>
      </w:r>
      <w:r>
        <w:rPr>
          <w:rFonts w:ascii="宋体" w:hAnsi="宋体" w:eastAsia="宋体" w:cs="宋体"/>
          <w:sz w:val="20"/>
          <w:szCs w:val="20"/>
        </w:rPr>
        <w:t xml:space="preserve"> </w:t>
      </w:r>
      <w:r>
        <w:rPr>
          <w:rFonts w:ascii="宋体" w:hAnsi="宋体" w:eastAsia="宋体" w:cs="宋体"/>
          <w:spacing w:val="16"/>
          <w:sz w:val="20"/>
          <w:szCs w:val="20"/>
        </w:rPr>
        <w:t>7974万。</w:t>
      </w:r>
    </w:p>
    <w:p w14:paraId="3387FF27">
      <w:pPr>
        <w:pStyle w:val="2"/>
        <w:spacing w:before="66" w:line="222" w:lineRule="auto"/>
        <w:ind w:left="1082"/>
        <w:rPr>
          <w:sz w:val="20"/>
          <w:szCs w:val="20"/>
        </w:rPr>
      </w:pPr>
      <w:r>
        <w:rPr>
          <w:b/>
          <w:bCs/>
          <w:spacing w:val="13"/>
          <w:sz w:val="20"/>
          <w:szCs w:val="20"/>
        </w:rPr>
        <w:t>(</w:t>
      </w:r>
      <w:r>
        <w:rPr>
          <w:spacing w:val="-51"/>
          <w:sz w:val="20"/>
          <w:szCs w:val="20"/>
        </w:rPr>
        <w:t xml:space="preserve"> </w:t>
      </w:r>
      <w:r>
        <w:rPr>
          <w:b/>
          <w:bCs/>
          <w:spacing w:val="13"/>
          <w:sz w:val="20"/>
          <w:szCs w:val="20"/>
        </w:rPr>
        <w:t>一)地区分布</w:t>
      </w:r>
    </w:p>
    <w:p w14:paraId="08D8877B">
      <w:pPr>
        <w:pStyle w:val="2"/>
        <w:spacing w:before="92" w:line="299" w:lineRule="auto"/>
        <w:ind w:left="679" w:right="131" w:firstLine="400"/>
        <w:rPr>
          <w:rFonts w:ascii="宋体" w:hAnsi="宋体" w:eastAsia="宋体" w:cs="宋体"/>
          <w:sz w:val="20"/>
          <w:szCs w:val="20"/>
        </w:rPr>
      </w:pPr>
      <w:r>
        <w:rPr>
          <w:rFonts w:ascii="宋体" w:hAnsi="宋体" w:eastAsia="宋体" w:cs="宋体"/>
          <w:spacing w:val="1"/>
          <w:sz w:val="20"/>
          <w:szCs w:val="20"/>
        </w:rPr>
        <w:t xml:space="preserve">1. </w:t>
      </w:r>
      <w:r>
        <w:rPr>
          <w:spacing w:val="1"/>
          <w:sz w:val="20"/>
          <w:szCs w:val="20"/>
        </w:rPr>
        <w:t>世界不同地区乙肝流行现状</w:t>
      </w:r>
      <w:r>
        <w:rPr>
          <w:spacing w:val="91"/>
          <w:sz w:val="20"/>
          <w:szCs w:val="20"/>
        </w:rPr>
        <w:t xml:space="preserve"> </w:t>
      </w:r>
      <w:r>
        <w:rPr>
          <w:rFonts w:ascii="宋体" w:hAnsi="宋体" w:eastAsia="宋体" w:cs="宋体"/>
          <w:spacing w:val="1"/>
          <w:sz w:val="20"/>
          <w:szCs w:val="20"/>
        </w:rPr>
        <w:t>乙肝呈全球性分布</w:t>
      </w:r>
      <w:r>
        <w:rPr>
          <w:rFonts w:ascii="宋体" w:hAnsi="宋体" w:eastAsia="宋体" w:cs="宋体"/>
          <w:sz w:val="20"/>
          <w:szCs w:val="20"/>
        </w:rPr>
        <w:t>，但不同地区乙肝患病率、HBV</w:t>
      </w:r>
      <w:r>
        <w:rPr>
          <w:rFonts w:ascii="宋体" w:hAnsi="宋体" w:eastAsia="宋体" w:cs="宋体"/>
          <w:spacing w:val="73"/>
          <w:sz w:val="20"/>
          <w:szCs w:val="20"/>
        </w:rPr>
        <w:t xml:space="preserve"> </w:t>
      </w:r>
      <w:r>
        <w:rPr>
          <w:rFonts w:ascii="宋体" w:hAnsi="宋体" w:eastAsia="宋体" w:cs="宋体"/>
          <w:sz w:val="20"/>
          <w:szCs w:val="20"/>
        </w:rPr>
        <w:t xml:space="preserve">感染总人 </w:t>
      </w:r>
      <w:r>
        <w:rPr>
          <w:rFonts w:ascii="宋体" w:hAnsi="宋体" w:eastAsia="宋体" w:cs="宋体"/>
          <w:spacing w:val="1"/>
          <w:sz w:val="20"/>
          <w:szCs w:val="20"/>
        </w:rPr>
        <w:t>数、每年新发</w:t>
      </w:r>
      <w:r>
        <w:rPr>
          <w:rFonts w:ascii="Times New Roman" w:hAnsi="Times New Roman" w:eastAsia="Times New Roman" w:cs="Times New Roman"/>
          <w:sz w:val="20"/>
          <w:szCs w:val="20"/>
        </w:rPr>
        <w:t>HBV</w:t>
      </w:r>
      <w:r>
        <w:rPr>
          <w:rFonts w:ascii="Times New Roman" w:hAnsi="Times New Roman" w:eastAsia="Times New Roman" w:cs="Times New Roman"/>
          <w:spacing w:val="1"/>
          <w:sz w:val="20"/>
          <w:szCs w:val="20"/>
        </w:rPr>
        <w:t xml:space="preserve"> </w:t>
      </w:r>
      <w:r>
        <w:rPr>
          <w:rFonts w:ascii="宋体" w:hAnsi="宋体" w:eastAsia="宋体" w:cs="宋体"/>
          <w:spacing w:val="1"/>
          <w:sz w:val="20"/>
          <w:szCs w:val="20"/>
        </w:rPr>
        <w:t>感染人数和每年因</w:t>
      </w:r>
      <w:r>
        <w:rPr>
          <w:rFonts w:ascii="Times New Roman" w:hAnsi="Times New Roman" w:eastAsia="Times New Roman" w:cs="Times New Roman"/>
          <w:sz w:val="20"/>
          <w:szCs w:val="20"/>
        </w:rPr>
        <w:t>HBV</w:t>
      </w:r>
      <w:r>
        <w:rPr>
          <w:rFonts w:ascii="Times New Roman" w:hAnsi="Times New Roman" w:eastAsia="Times New Roman" w:cs="Times New Roman"/>
          <w:spacing w:val="-6"/>
          <w:sz w:val="20"/>
          <w:szCs w:val="20"/>
        </w:rPr>
        <w:t xml:space="preserve"> </w:t>
      </w:r>
      <w:r>
        <w:rPr>
          <w:rFonts w:ascii="宋体" w:hAnsi="宋体" w:eastAsia="宋体" w:cs="宋体"/>
          <w:spacing w:val="1"/>
          <w:sz w:val="20"/>
          <w:szCs w:val="20"/>
        </w:rPr>
        <w:t>死亡人数差异较大，见表19-2。其中，非洲和西太平洋</w:t>
      </w:r>
      <w:r>
        <w:rPr>
          <w:rFonts w:ascii="宋体" w:hAnsi="宋体" w:eastAsia="宋体" w:cs="宋体"/>
          <w:sz w:val="20"/>
          <w:szCs w:val="20"/>
        </w:rPr>
        <w:t xml:space="preserve"> </w:t>
      </w:r>
      <w:r>
        <w:rPr>
          <w:rFonts w:ascii="宋体" w:hAnsi="宋体" w:eastAsia="宋体" w:cs="宋体"/>
          <w:spacing w:val="2"/>
          <w:sz w:val="20"/>
          <w:szCs w:val="20"/>
        </w:rPr>
        <w:t>地区乙肝患病率最高，约为5.0%～5.8%,欧洲和美洲地区最低，约为0.5%～1.2%。</w:t>
      </w:r>
    </w:p>
    <w:p w14:paraId="778619D3">
      <w:pPr>
        <w:pStyle w:val="2"/>
        <w:spacing w:before="116" w:line="305" w:lineRule="auto"/>
        <w:ind w:left="679" w:right="39" w:firstLine="400"/>
        <w:rPr>
          <w:rFonts w:ascii="宋体" w:hAnsi="宋体" w:eastAsia="宋体" w:cs="宋体"/>
          <w:sz w:val="20"/>
          <w:szCs w:val="20"/>
        </w:rPr>
      </w:pPr>
      <w:r>
        <w:rPr>
          <w:rFonts w:ascii="宋体" w:hAnsi="宋体" w:eastAsia="宋体" w:cs="宋体"/>
          <w:spacing w:val="4"/>
          <w:sz w:val="20"/>
          <w:szCs w:val="20"/>
        </w:rPr>
        <w:t xml:space="preserve">2. </w:t>
      </w:r>
      <w:r>
        <w:rPr>
          <w:spacing w:val="4"/>
          <w:sz w:val="20"/>
          <w:szCs w:val="20"/>
        </w:rPr>
        <w:t>我国不同地区乙肝流行现状</w:t>
      </w:r>
      <w:r>
        <w:rPr>
          <w:spacing w:val="7"/>
          <w:sz w:val="20"/>
          <w:szCs w:val="20"/>
        </w:rPr>
        <w:t xml:space="preserve">  </w:t>
      </w:r>
      <w:r>
        <w:rPr>
          <w:rFonts w:ascii="宋体" w:hAnsi="宋体" w:eastAsia="宋体" w:cs="宋体"/>
          <w:spacing w:val="4"/>
          <w:sz w:val="20"/>
          <w:szCs w:val="20"/>
        </w:rPr>
        <w:t>乙肝在全国范围均有发病，不同地区乙肝发病率存在差异。</w:t>
      </w:r>
      <w:r>
        <w:rPr>
          <w:rFonts w:ascii="宋体" w:hAnsi="宋体" w:eastAsia="宋体" w:cs="宋体"/>
          <w:spacing w:val="1"/>
          <w:sz w:val="20"/>
          <w:szCs w:val="20"/>
        </w:rPr>
        <w:t xml:space="preserve"> </w:t>
      </w:r>
      <w:r>
        <w:rPr>
          <w:rFonts w:ascii="宋体" w:hAnsi="宋体" w:eastAsia="宋体" w:cs="宋体"/>
          <w:spacing w:val="-1"/>
          <w:sz w:val="20"/>
          <w:szCs w:val="20"/>
        </w:rPr>
        <w:t>2021年海南发病率最高，为138.21/10万，北京最低，为7.85/10万。我国孕妇</w:t>
      </w:r>
      <w:r>
        <w:rPr>
          <w:rFonts w:ascii="Times New Roman" w:hAnsi="Times New Roman" w:eastAsia="Times New Roman" w:cs="Times New Roman"/>
          <w:spacing w:val="-1"/>
          <w:sz w:val="20"/>
          <w:szCs w:val="20"/>
        </w:rPr>
        <w:t xml:space="preserve">HBsAg </w:t>
      </w:r>
      <w:r>
        <w:rPr>
          <w:rFonts w:ascii="宋体" w:hAnsi="宋体" w:eastAsia="宋体" w:cs="宋体"/>
          <w:spacing w:val="-1"/>
          <w:sz w:val="20"/>
          <w:szCs w:val="20"/>
        </w:rPr>
        <w:t>阳</w:t>
      </w:r>
      <w:r>
        <w:rPr>
          <w:rFonts w:ascii="宋体" w:hAnsi="宋体" w:eastAsia="宋体" w:cs="宋体"/>
          <w:spacing w:val="-2"/>
          <w:sz w:val="20"/>
          <w:szCs w:val="20"/>
        </w:rPr>
        <w:t>性率也存在</w:t>
      </w:r>
      <w:r>
        <w:rPr>
          <w:rFonts w:ascii="宋体" w:hAnsi="宋体" w:eastAsia="宋体" w:cs="宋体"/>
          <w:sz w:val="20"/>
          <w:szCs w:val="20"/>
        </w:rPr>
        <w:t xml:space="preserve">  </w:t>
      </w:r>
      <w:r>
        <w:rPr>
          <w:rFonts w:ascii="宋体" w:hAnsi="宋体" w:eastAsia="宋体" w:cs="宋体"/>
          <w:spacing w:val="-2"/>
          <w:sz w:val="20"/>
          <w:szCs w:val="20"/>
        </w:rPr>
        <w:t>明显地区差异：2020年海南最高，约11.99%,其次是西藏、江西、</w:t>
      </w:r>
      <w:r>
        <w:rPr>
          <w:rFonts w:ascii="宋体" w:hAnsi="宋体" w:eastAsia="宋体" w:cs="宋体"/>
          <w:spacing w:val="-3"/>
          <w:sz w:val="20"/>
          <w:szCs w:val="20"/>
        </w:rPr>
        <w:t>福建、广东和广西，最低的是天津</w:t>
      </w:r>
      <w:r>
        <w:rPr>
          <w:rFonts w:ascii="宋体" w:hAnsi="宋体" w:eastAsia="宋体" w:cs="宋体"/>
          <w:sz w:val="20"/>
          <w:szCs w:val="20"/>
        </w:rPr>
        <w:t xml:space="preserve">  和山西，均低于2.00%。</w:t>
      </w:r>
    </w:p>
    <w:p w14:paraId="429797B4">
      <w:pPr>
        <w:pStyle w:val="2"/>
        <w:spacing w:before="161" w:line="281" w:lineRule="auto"/>
        <w:ind w:left="679" w:right="130" w:firstLine="400"/>
        <w:rPr>
          <w:rFonts w:ascii="Times New Roman" w:hAnsi="Times New Roman" w:eastAsia="Times New Roman" w:cs="Times New Roman"/>
          <w:sz w:val="20"/>
          <w:szCs w:val="20"/>
        </w:rPr>
      </w:pPr>
      <w:r>
        <w:rPr>
          <w:rFonts w:ascii="宋体" w:hAnsi="宋体" w:eastAsia="宋体" w:cs="宋体"/>
          <w:spacing w:val="4"/>
          <w:sz w:val="20"/>
          <w:szCs w:val="20"/>
        </w:rPr>
        <w:t>3. 世界和我国不同地区</w:t>
      </w:r>
      <w:r>
        <w:rPr>
          <w:rFonts w:ascii="宋体" w:hAnsi="宋体" w:eastAsia="宋体" w:cs="宋体"/>
          <w:sz w:val="20"/>
          <w:szCs w:val="20"/>
        </w:rPr>
        <w:t>HBV</w:t>
      </w:r>
      <w:r>
        <w:rPr>
          <w:rFonts w:ascii="宋体" w:hAnsi="宋体" w:eastAsia="宋体" w:cs="宋体"/>
          <w:spacing w:val="4"/>
          <w:sz w:val="20"/>
          <w:szCs w:val="20"/>
        </w:rPr>
        <w:t xml:space="preserve">  </w:t>
      </w:r>
      <w:r>
        <w:rPr>
          <w:spacing w:val="4"/>
          <w:sz w:val="20"/>
          <w:szCs w:val="20"/>
        </w:rPr>
        <w:t>基因型分布</w:t>
      </w:r>
      <w:r>
        <w:rPr>
          <w:spacing w:val="78"/>
          <w:sz w:val="20"/>
          <w:szCs w:val="20"/>
        </w:rPr>
        <w:t xml:space="preserve"> </w:t>
      </w:r>
      <w:r>
        <w:rPr>
          <w:rFonts w:ascii="宋体" w:hAnsi="宋体" w:eastAsia="宋体" w:cs="宋体"/>
          <w:sz w:val="20"/>
          <w:szCs w:val="20"/>
        </w:rPr>
        <w:t>HBV</w:t>
      </w:r>
      <w:r>
        <w:rPr>
          <w:rFonts w:ascii="宋体" w:hAnsi="宋体" w:eastAsia="宋体" w:cs="宋体"/>
          <w:spacing w:val="53"/>
          <w:sz w:val="20"/>
          <w:szCs w:val="20"/>
        </w:rPr>
        <w:t xml:space="preserve"> </w:t>
      </w:r>
      <w:r>
        <w:rPr>
          <w:rFonts w:ascii="宋体" w:hAnsi="宋体" w:eastAsia="宋体" w:cs="宋体"/>
          <w:spacing w:val="4"/>
          <w:sz w:val="20"/>
          <w:szCs w:val="20"/>
        </w:rPr>
        <w:t>不同基因型的分布有明</w:t>
      </w:r>
      <w:r>
        <w:rPr>
          <w:rFonts w:ascii="宋体" w:hAnsi="宋体" w:eastAsia="宋体" w:cs="宋体"/>
          <w:spacing w:val="3"/>
          <w:sz w:val="20"/>
          <w:szCs w:val="20"/>
        </w:rPr>
        <w:t>显的地区差异：非洲</w:t>
      </w:r>
      <w:r>
        <w:rPr>
          <w:rFonts w:ascii="宋体" w:hAnsi="宋体" w:eastAsia="宋体" w:cs="宋体"/>
          <w:sz w:val="20"/>
          <w:szCs w:val="20"/>
        </w:rPr>
        <w:t xml:space="preserve"> </w:t>
      </w:r>
      <w:r>
        <w:rPr>
          <w:rFonts w:ascii="宋体" w:hAnsi="宋体" w:eastAsia="宋体" w:cs="宋体"/>
          <w:spacing w:val="1"/>
          <w:sz w:val="20"/>
          <w:szCs w:val="20"/>
        </w:rPr>
        <w:t>地区主要为</w:t>
      </w:r>
      <w:r>
        <w:rPr>
          <w:rFonts w:ascii="Times New Roman" w:hAnsi="Times New Roman" w:eastAsia="Times New Roman" w:cs="Times New Roman"/>
          <w:spacing w:val="1"/>
          <w:sz w:val="20"/>
          <w:szCs w:val="20"/>
        </w:rPr>
        <w:t>A</w:t>
      </w:r>
      <w:r>
        <w:rPr>
          <w:rFonts w:ascii="宋体" w:hAnsi="宋体" w:eastAsia="宋体" w:cs="宋体"/>
          <w:spacing w:val="1"/>
          <w:sz w:val="20"/>
          <w:szCs w:val="20"/>
        </w:rPr>
        <w:t>、</w:t>
      </w:r>
      <w:r>
        <w:rPr>
          <w:rFonts w:ascii="Times New Roman" w:hAnsi="Times New Roman" w:eastAsia="Times New Roman" w:cs="Times New Roman"/>
          <w:spacing w:val="1"/>
          <w:sz w:val="20"/>
          <w:szCs w:val="20"/>
        </w:rPr>
        <w:t>E</w:t>
      </w:r>
      <w:r>
        <w:rPr>
          <w:rFonts w:ascii="宋体" w:hAnsi="宋体" w:eastAsia="宋体" w:cs="宋体"/>
          <w:spacing w:val="1"/>
          <w:sz w:val="20"/>
          <w:szCs w:val="20"/>
        </w:rPr>
        <w:t>和</w:t>
      </w:r>
      <w:r>
        <w:rPr>
          <w:rFonts w:ascii="宋体" w:hAnsi="宋体" w:eastAsia="宋体" w:cs="宋体"/>
          <w:spacing w:val="-51"/>
          <w:sz w:val="20"/>
          <w:szCs w:val="20"/>
        </w:rPr>
        <w:t xml:space="preserve"> </w:t>
      </w:r>
      <w:r>
        <w:rPr>
          <w:rFonts w:ascii="Times New Roman" w:hAnsi="Times New Roman" w:eastAsia="Times New Roman" w:cs="Times New Roman"/>
          <w:spacing w:val="1"/>
          <w:sz w:val="20"/>
          <w:szCs w:val="20"/>
        </w:rPr>
        <w:t xml:space="preserve">F </w:t>
      </w:r>
      <w:r>
        <w:rPr>
          <w:rFonts w:ascii="宋体" w:hAnsi="宋体" w:eastAsia="宋体" w:cs="宋体"/>
          <w:spacing w:val="1"/>
          <w:sz w:val="20"/>
          <w:szCs w:val="20"/>
        </w:rPr>
        <w:t>型，亚洲地区主要为</w:t>
      </w:r>
      <w:r>
        <w:rPr>
          <w:rFonts w:ascii="Times New Roman" w:hAnsi="Times New Roman" w:eastAsia="Times New Roman" w:cs="Times New Roman"/>
          <w:spacing w:val="1"/>
          <w:sz w:val="20"/>
          <w:szCs w:val="20"/>
        </w:rPr>
        <w:t>B</w:t>
      </w:r>
      <w:r>
        <w:rPr>
          <w:rFonts w:ascii="Times New Roman" w:hAnsi="Times New Roman" w:eastAsia="Times New Roman" w:cs="Times New Roman"/>
          <w:spacing w:val="-10"/>
          <w:sz w:val="20"/>
          <w:szCs w:val="20"/>
        </w:rPr>
        <w:t xml:space="preserve"> </w:t>
      </w:r>
      <w:r>
        <w:rPr>
          <w:rFonts w:ascii="宋体" w:hAnsi="宋体" w:eastAsia="宋体" w:cs="宋体"/>
          <w:spacing w:val="1"/>
          <w:sz w:val="20"/>
          <w:szCs w:val="20"/>
        </w:rPr>
        <w:t>和</w:t>
      </w:r>
      <w:r>
        <w:rPr>
          <w:rFonts w:ascii="Times New Roman" w:hAnsi="Times New Roman" w:eastAsia="Times New Roman" w:cs="Times New Roman"/>
          <w:spacing w:val="1"/>
          <w:sz w:val="20"/>
          <w:szCs w:val="20"/>
        </w:rPr>
        <w:t xml:space="preserve">C </w:t>
      </w:r>
      <w:r>
        <w:rPr>
          <w:rFonts w:ascii="宋体" w:hAnsi="宋体" w:eastAsia="宋体" w:cs="宋体"/>
          <w:spacing w:val="1"/>
          <w:sz w:val="20"/>
          <w:szCs w:val="20"/>
        </w:rPr>
        <w:t>型，欧洲和北美洲地区主要为</w:t>
      </w:r>
      <w:r>
        <w:rPr>
          <w:rFonts w:ascii="Times New Roman" w:hAnsi="Times New Roman" w:eastAsia="Times New Roman" w:cs="Times New Roman"/>
          <w:spacing w:val="1"/>
          <w:sz w:val="20"/>
          <w:szCs w:val="20"/>
        </w:rPr>
        <w:t>A</w:t>
      </w:r>
      <w:r>
        <w:rPr>
          <w:rFonts w:ascii="Times New Roman" w:hAnsi="Times New Roman" w:eastAsia="Times New Roman" w:cs="Times New Roman"/>
          <w:spacing w:val="-13"/>
          <w:sz w:val="20"/>
          <w:szCs w:val="20"/>
        </w:rPr>
        <w:t xml:space="preserve"> </w:t>
      </w:r>
      <w:r>
        <w:rPr>
          <w:rFonts w:ascii="宋体" w:hAnsi="宋体" w:eastAsia="宋体" w:cs="宋体"/>
          <w:spacing w:val="1"/>
          <w:sz w:val="20"/>
          <w:szCs w:val="20"/>
        </w:rPr>
        <w:t>型。</w:t>
      </w:r>
      <w:r>
        <w:rPr>
          <w:rFonts w:ascii="宋体" w:hAnsi="宋体" w:eastAsia="宋体" w:cs="宋体"/>
          <w:sz w:val="20"/>
          <w:szCs w:val="20"/>
        </w:rPr>
        <w:t>我国主要为</w:t>
      </w:r>
      <w:r>
        <w:rPr>
          <w:rFonts w:ascii="Times New Roman" w:hAnsi="Times New Roman" w:eastAsia="Times New Roman" w:cs="Times New Roman"/>
          <w:sz w:val="20"/>
          <w:szCs w:val="20"/>
        </w:rPr>
        <w:t>B</w:t>
      </w:r>
    </w:p>
    <w:p w14:paraId="25003800">
      <w:pPr>
        <w:spacing w:line="281" w:lineRule="auto"/>
        <w:rPr>
          <w:rFonts w:ascii="Times New Roman" w:hAnsi="Times New Roman" w:eastAsia="Times New Roman" w:cs="Times New Roman"/>
          <w:sz w:val="20"/>
          <w:szCs w:val="20"/>
        </w:rPr>
        <w:sectPr>
          <w:footerReference r:id="rId323" w:type="default"/>
          <w:pgSz w:w="11900" w:h="16820"/>
          <w:pgMar w:top="400" w:right="1559" w:bottom="879" w:left="939" w:header="0" w:footer="699" w:gutter="0"/>
          <w:cols w:space="720" w:num="1"/>
        </w:sectPr>
      </w:pPr>
    </w:p>
    <w:p w14:paraId="4B1EFB29">
      <w:pPr>
        <w:pStyle w:val="2"/>
        <w:spacing w:before="156" w:line="222" w:lineRule="auto"/>
        <w:ind w:left="7269"/>
        <w:rPr>
          <w:sz w:val="18"/>
          <w:szCs w:val="18"/>
        </w:rPr>
      </w:pPr>
      <w:bookmarkStart w:id="496" w:name="bookmark575"/>
      <w:bookmarkEnd w:id="496"/>
      <w:r>
        <w:rPr>
          <w:spacing w:val="-1"/>
          <w:sz w:val="18"/>
          <w:szCs w:val="18"/>
        </w:rPr>
        <w:t>第十九章 病毒性肝炎</w:t>
      </w:r>
    </w:p>
    <w:p w14:paraId="5163ED74">
      <w:pPr>
        <w:spacing w:line="302" w:lineRule="auto"/>
        <w:rPr>
          <w:rFonts w:ascii="Arial"/>
          <w:sz w:val="21"/>
        </w:rPr>
      </w:pPr>
    </w:p>
    <w:p w14:paraId="73BE14E5">
      <w:pPr>
        <w:spacing w:line="303" w:lineRule="auto"/>
        <w:rPr>
          <w:rFonts w:ascii="Arial"/>
          <w:sz w:val="21"/>
        </w:rPr>
      </w:pPr>
    </w:p>
    <w:p w14:paraId="4A43FEED">
      <w:pPr>
        <w:spacing w:before="55" w:line="220" w:lineRule="auto"/>
        <w:ind w:left="2050"/>
        <w:rPr>
          <w:rFonts w:ascii="宋体" w:hAnsi="宋体" w:eastAsia="宋体" w:cs="宋体"/>
          <w:sz w:val="17"/>
          <w:szCs w:val="17"/>
        </w:rPr>
      </w:pPr>
      <w:r>
        <w:rPr>
          <w:rFonts w:ascii="宋体" w:hAnsi="宋体" w:eastAsia="宋体" w:cs="宋体"/>
          <w:spacing w:val="-2"/>
          <w:sz w:val="17"/>
          <w:szCs w:val="17"/>
        </w:rPr>
        <w:t>表19-22022年</w:t>
      </w:r>
      <w:r>
        <w:rPr>
          <w:rFonts w:ascii="宋体" w:hAnsi="宋体" w:eastAsia="宋体" w:cs="宋体"/>
          <w:spacing w:val="10"/>
          <w:sz w:val="17"/>
          <w:szCs w:val="17"/>
        </w:rPr>
        <w:t xml:space="preserve">      </w:t>
      </w:r>
      <w:r>
        <w:rPr>
          <w:rFonts w:ascii="宋体" w:hAnsi="宋体" w:eastAsia="宋体" w:cs="宋体"/>
          <w:spacing w:val="-2"/>
          <w:sz w:val="17"/>
          <w:szCs w:val="17"/>
        </w:rPr>
        <w:t>全球6个区域乙型肝</w:t>
      </w:r>
      <w:r>
        <w:rPr>
          <w:rFonts w:ascii="宋体" w:hAnsi="宋体" w:eastAsia="宋体" w:cs="宋体"/>
          <w:spacing w:val="79"/>
          <w:sz w:val="17"/>
          <w:szCs w:val="17"/>
        </w:rPr>
        <w:t xml:space="preserve"> </w:t>
      </w:r>
      <w:r>
        <w:rPr>
          <w:rFonts w:ascii="宋体" w:hAnsi="宋体" w:eastAsia="宋体" w:cs="宋体"/>
          <w:spacing w:val="-2"/>
          <w:sz w:val="17"/>
          <w:szCs w:val="17"/>
        </w:rPr>
        <w:t>炎发病、患病和死亡情况</w:t>
      </w:r>
    </w:p>
    <w:p w14:paraId="38EBC967">
      <w:pPr>
        <w:spacing w:line="35" w:lineRule="exact"/>
      </w:pPr>
    </w:p>
    <w:tbl>
      <w:tblPr>
        <w:tblStyle w:val="5"/>
        <w:tblW w:w="9009"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0" w:type="dxa"/>
          <w:left w:w="0" w:type="dxa"/>
          <w:bottom w:w="0" w:type="dxa"/>
          <w:right w:w="0" w:type="dxa"/>
        </w:tblCellMar>
      </w:tblPr>
      <w:tblGrid>
        <w:gridCol w:w="1630"/>
        <w:gridCol w:w="1870"/>
        <w:gridCol w:w="1699"/>
        <w:gridCol w:w="1860"/>
        <w:gridCol w:w="1950"/>
      </w:tblGrid>
      <w:tr w14:paraId="5316C332">
        <w:trPr>
          <w:trHeight w:val="682" w:hRule="atLeast"/>
        </w:trPr>
        <w:tc>
          <w:tcPr>
            <w:tcW w:w="1630" w:type="dxa"/>
            <w:tcBorders>
              <w:top w:val="single" w:color="000000" w:sz="4" w:space="0"/>
              <w:bottom w:val="single" w:color="000000" w:sz="4" w:space="0"/>
            </w:tcBorders>
            <w:shd w:val="clear" w:color="auto" w:fill="C5DAE5"/>
            <w:vAlign w:val="top"/>
          </w:tcPr>
          <w:p w14:paraId="39FFD7B6">
            <w:pPr>
              <w:pStyle w:val="6"/>
              <w:spacing w:before="262" w:line="220" w:lineRule="auto"/>
              <w:ind w:left="89"/>
              <w:rPr>
                <w:sz w:val="17"/>
                <w:szCs w:val="17"/>
              </w:rPr>
            </w:pPr>
            <w:r>
              <w:rPr>
                <w:spacing w:val="-1"/>
                <w:sz w:val="17"/>
                <w:szCs w:val="17"/>
              </w:rPr>
              <w:t>WHO区域</w:t>
            </w:r>
          </w:p>
        </w:tc>
        <w:tc>
          <w:tcPr>
            <w:tcW w:w="1870" w:type="dxa"/>
            <w:tcBorders>
              <w:top w:val="single" w:color="000000" w:sz="4" w:space="0"/>
              <w:bottom w:val="single" w:color="000000" w:sz="4" w:space="0"/>
            </w:tcBorders>
            <w:shd w:val="clear" w:color="auto" w:fill="C2C4C9"/>
            <w:vAlign w:val="top"/>
          </w:tcPr>
          <w:p w14:paraId="271A97EF">
            <w:pPr>
              <w:pStyle w:val="6"/>
              <w:spacing w:before="262" w:line="219" w:lineRule="auto"/>
              <w:ind w:left="420"/>
              <w:rPr>
                <w:sz w:val="17"/>
                <w:szCs w:val="17"/>
              </w:rPr>
            </w:pPr>
            <w:r>
              <w:rPr>
                <w:sz w:val="17"/>
                <w:szCs w:val="17"/>
              </w:rPr>
              <w:t>乙肝患病率1%</w:t>
            </w:r>
          </w:p>
        </w:tc>
        <w:tc>
          <w:tcPr>
            <w:tcW w:w="1699" w:type="dxa"/>
            <w:tcBorders>
              <w:top w:val="single" w:color="000000" w:sz="4" w:space="0"/>
              <w:bottom w:val="single" w:color="000000" w:sz="4" w:space="0"/>
            </w:tcBorders>
            <w:shd w:val="clear" w:color="auto" w:fill="C3C5C7"/>
            <w:vAlign w:val="top"/>
          </w:tcPr>
          <w:p w14:paraId="4C48872A">
            <w:pPr>
              <w:pStyle w:val="6"/>
              <w:spacing w:before="91" w:line="315" w:lineRule="auto"/>
              <w:ind w:left="479" w:right="632" w:hanging="179"/>
              <w:rPr>
                <w:sz w:val="17"/>
                <w:szCs w:val="17"/>
              </w:rPr>
            </w:pPr>
            <w:r>
              <w:rPr>
                <w:spacing w:val="-1"/>
                <w:sz w:val="17"/>
                <w:szCs w:val="17"/>
              </w:rPr>
              <w:t>HBV感染总</w:t>
            </w:r>
            <w:r>
              <w:rPr>
                <w:spacing w:val="2"/>
                <w:sz w:val="17"/>
                <w:szCs w:val="17"/>
              </w:rPr>
              <w:t xml:space="preserve"> </w:t>
            </w:r>
            <w:r>
              <w:rPr>
                <w:spacing w:val="-2"/>
                <w:sz w:val="17"/>
                <w:szCs w:val="17"/>
              </w:rPr>
              <w:t>人数/万</w:t>
            </w:r>
          </w:p>
        </w:tc>
        <w:tc>
          <w:tcPr>
            <w:tcW w:w="1860" w:type="dxa"/>
            <w:tcBorders>
              <w:top w:val="single" w:color="000000" w:sz="4" w:space="0"/>
              <w:bottom w:val="single" w:color="000000" w:sz="4" w:space="0"/>
            </w:tcBorders>
            <w:shd w:val="clear" w:color="auto" w:fill="CCCDCB"/>
            <w:vAlign w:val="top"/>
          </w:tcPr>
          <w:p w14:paraId="240850A9">
            <w:pPr>
              <w:pStyle w:val="6"/>
              <w:spacing w:before="90" w:line="316" w:lineRule="auto"/>
              <w:ind w:left="353" w:right="490"/>
              <w:rPr>
                <w:sz w:val="17"/>
                <w:szCs w:val="17"/>
              </w:rPr>
            </w:pPr>
            <w:r>
              <w:rPr>
                <w:b/>
                <w:bCs/>
                <w:spacing w:val="15"/>
                <w:sz w:val="17"/>
                <w:szCs w:val="17"/>
              </w:rPr>
              <w:t>每年新发</w:t>
            </w:r>
            <w:r>
              <w:rPr>
                <w:b/>
                <w:bCs/>
                <w:sz w:val="17"/>
                <w:szCs w:val="17"/>
              </w:rPr>
              <w:t>HBV</w:t>
            </w:r>
            <w:r>
              <w:rPr>
                <w:spacing w:val="1"/>
                <w:sz w:val="17"/>
                <w:szCs w:val="17"/>
              </w:rPr>
              <w:t xml:space="preserve"> </w:t>
            </w:r>
            <w:r>
              <w:rPr>
                <w:b/>
                <w:bCs/>
                <w:spacing w:val="11"/>
                <w:sz w:val="17"/>
                <w:szCs w:val="17"/>
              </w:rPr>
              <w:t>感染人数/万</w:t>
            </w:r>
          </w:p>
        </w:tc>
        <w:tc>
          <w:tcPr>
            <w:tcW w:w="1950" w:type="dxa"/>
            <w:tcBorders>
              <w:top w:val="single" w:color="000000" w:sz="4" w:space="0"/>
              <w:bottom w:val="single" w:color="000000" w:sz="4" w:space="0"/>
            </w:tcBorders>
            <w:shd w:val="clear" w:color="auto" w:fill="D0D0CC"/>
            <w:vAlign w:val="top"/>
          </w:tcPr>
          <w:p w14:paraId="3F53A674">
            <w:pPr>
              <w:pStyle w:val="6"/>
              <w:spacing w:before="90" w:line="316" w:lineRule="auto"/>
              <w:ind w:left="603" w:right="618" w:hanging="370"/>
              <w:rPr>
                <w:sz w:val="17"/>
                <w:szCs w:val="17"/>
              </w:rPr>
            </w:pPr>
            <w:r>
              <w:rPr>
                <w:b/>
                <w:bCs/>
                <w:spacing w:val="-3"/>
                <w:sz w:val="17"/>
                <w:szCs w:val="17"/>
              </w:rPr>
              <w:t>每年因HBV死亡</w:t>
            </w:r>
            <w:r>
              <w:rPr>
                <w:spacing w:val="2"/>
                <w:sz w:val="17"/>
                <w:szCs w:val="17"/>
              </w:rPr>
              <w:t xml:space="preserve"> </w:t>
            </w:r>
            <w:r>
              <w:rPr>
                <w:b/>
                <w:bCs/>
                <w:spacing w:val="-4"/>
                <w:sz w:val="17"/>
                <w:szCs w:val="17"/>
              </w:rPr>
              <w:t>人数/万</w:t>
            </w:r>
          </w:p>
        </w:tc>
      </w:tr>
      <w:tr w14:paraId="277232A2">
        <w:trPr>
          <w:trHeight w:val="388" w:hRule="atLeast"/>
        </w:trPr>
        <w:tc>
          <w:tcPr>
            <w:tcW w:w="1630" w:type="dxa"/>
            <w:tcBorders>
              <w:top w:val="single" w:color="000000" w:sz="4" w:space="0"/>
            </w:tcBorders>
            <w:vAlign w:val="top"/>
          </w:tcPr>
          <w:p w14:paraId="4446565C">
            <w:pPr>
              <w:pStyle w:val="6"/>
              <w:spacing w:before="110" w:line="220" w:lineRule="auto"/>
              <w:ind w:left="89"/>
              <w:rPr>
                <w:sz w:val="17"/>
                <w:szCs w:val="17"/>
              </w:rPr>
            </w:pPr>
            <w:r>
              <w:rPr>
                <w:spacing w:val="3"/>
                <w:sz w:val="17"/>
                <w:szCs w:val="17"/>
              </w:rPr>
              <w:t>非洲地区</w:t>
            </w:r>
          </w:p>
        </w:tc>
        <w:tc>
          <w:tcPr>
            <w:tcW w:w="1870" w:type="dxa"/>
            <w:tcBorders>
              <w:top w:val="single" w:color="000000" w:sz="4" w:space="0"/>
            </w:tcBorders>
            <w:vAlign w:val="top"/>
          </w:tcPr>
          <w:p w14:paraId="29D6AA65">
            <w:pPr>
              <w:pStyle w:val="6"/>
              <w:spacing w:before="126" w:line="239" w:lineRule="auto"/>
              <w:ind w:left="799"/>
              <w:rPr>
                <w:sz w:val="17"/>
                <w:szCs w:val="17"/>
              </w:rPr>
            </w:pPr>
            <w:r>
              <w:rPr>
                <w:spacing w:val="-3"/>
                <w:sz w:val="17"/>
                <w:szCs w:val="17"/>
              </w:rPr>
              <w:t>5.8</w:t>
            </w:r>
          </w:p>
        </w:tc>
        <w:tc>
          <w:tcPr>
            <w:tcW w:w="1699" w:type="dxa"/>
            <w:tcBorders>
              <w:top w:val="single" w:color="000000" w:sz="4" w:space="0"/>
            </w:tcBorders>
            <w:vAlign w:val="top"/>
          </w:tcPr>
          <w:p w14:paraId="6AAC99BD">
            <w:pPr>
              <w:pStyle w:val="6"/>
              <w:spacing w:before="126"/>
              <w:ind w:left="679"/>
              <w:rPr>
                <w:sz w:val="17"/>
                <w:szCs w:val="17"/>
              </w:rPr>
            </w:pPr>
            <w:r>
              <w:rPr>
                <w:spacing w:val="-2"/>
                <w:sz w:val="17"/>
                <w:szCs w:val="17"/>
              </w:rPr>
              <w:t>6470</w:t>
            </w:r>
          </w:p>
        </w:tc>
        <w:tc>
          <w:tcPr>
            <w:tcW w:w="1860" w:type="dxa"/>
            <w:tcBorders>
              <w:top w:val="single" w:color="000000" w:sz="4" w:space="0"/>
            </w:tcBorders>
            <w:vAlign w:val="top"/>
          </w:tcPr>
          <w:p w14:paraId="526E2F7C">
            <w:pPr>
              <w:pStyle w:val="6"/>
              <w:spacing w:before="126" w:line="239" w:lineRule="auto"/>
              <w:ind w:left="760"/>
              <w:rPr>
                <w:sz w:val="17"/>
                <w:szCs w:val="17"/>
              </w:rPr>
            </w:pPr>
            <w:r>
              <w:rPr>
                <w:spacing w:val="-3"/>
                <w:sz w:val="17"/>
                <w:szCs w:val="17"/>
              </w:rPr>
              <w:t>77.1</w:t>
            </w:r>
          </w:p>
        </w:tc>
        <w:tc>
          <w:tcPr>
            <w:tcW w:w="1950" w:type="dxa"/>
            <w:tcBorders>
              <w:top w:val="single" w:color="000000" w:sz="4" w:space="0"/>
            </w:tcBorders>
            <w:vAlign w:val="top"/>
          </w:tcPr>
          <w:p w14:paraId="37EC25EA">
            <w:pPr>
              <w:pStyle w:val="6"/>
              <w:spacing w:before="126" w:line="239" w:lineRule="auto"/>
              <w:ind w:left="800"/>
              <w:rPr>
                <w:sz w:val="17"/>
                <w:szCs w:val="17"/>
              </w:rPr>
            </w:pPr>
            <w:r>
              <w:rPr>
                <w:spacing w:val="-2"/>
                <w:sz w:val="17"/>
                <w:szCs w:val="17"/>
              </w:rPr>
              <w:t>27.2</w:t>
            </w:r>
          </w:p>
        </w:tc>
      </w:tr>
      <w:tr w14:paraId="04444A3F">
        <w:trPr>
          <w:trHeight w:val="389" w:hRule="atLeast"/>
        </w:trPr>
        <w:tc>
          <w:tcPr>
            <w:tcW w:w="1630" w:type="dxa"/>
            <w:vAlign w:val="top"/>
          </w:tcPr>
          <w:p w14:paraId="7E46568C">
            <w:pPr>
              <w:pStyle w:val="6"/>
              <w:spacing w:before="122" w:line="220" w:lineRule="auto"/>
              <w:ind w:left="89"/>
              <w:rPr>
                <w:sz w:val="17"/>
                <w:szCs w:val="17"/>
              </w:rPr>
            </w:pPr>
            <w:r>
              <w:rPr>
                <w:spacing w:val="3"/>
                <w:sz w:val="17"/>
                <w:szCs w:val="17"/>
              </w:rPr>
              <w:t>美洲地区</w:t>
            </w:r>
          </w:p>
        </w:tc>
        <w:tc>
          <w:tcPr>
            <w:tcW w:w="1870" w:type="dxa"/>
            <w:vAlign w:val="top"/>
          </w:tcPr>
          <w:p w14:paraId="684C723C">
            <w:pPr>
              <w:pStyle w:val="6"/>
              <w:spacing w:before="138" w:line="239" w:lineRule="auto"/>
              <w:ind w:left="799"/>
              <w:rPr>
                <w:sz w:val="17"/>
                <w:szCs w:val="17"/>
              </w:rPr>
            </w:pPr>
            <w:r>
              <w:rPr>
                <w:spacing w:val="-2"/>
                <w:sz w:val="17"/>
                <w:szCs w:val="17"/>
              </w:rPr>
              <w:t>0.5</w:t>
            </w:r>
          </w:p>
        </w:tc>
        <w:tc>
          <w:tcPr>
            <w:tcW w:w="1699" w:type="dxa"/>
            <w:vAlign w:val="top"/>
          </w:tcPr>
          <w:p w14:paraId="35613DB3">
            <w:pPr>
              <w:pStyle w:val="6"/>
              <w:spacing w:before="138"/>
              <w:ind w:left="719"/>
              <w:rPr>
                <w:sz w:val="17"/>
                <w:szCs w:val="17"/>
              </w:rPr>
            </w:pPr>
            <w:r>
              <w:rPr>
                <w:spacing w:val="-3"/>
                <w:sz w:val="17"/>
                <w:szCs w:val="17"/>
              </w:rPr>
              <w:t>500</w:t>
            </w:r>
          </w:p>
        </w:tc>
        <w:tc>
          <w:tcPr>
            <w:tcW w:w="1860" w:type="dxa"/>
            <w:shd w:val="clear" w:color="auto" w:fill="E1E0E2"/>
            <w:vAlign w:val="top"/>
          </w:tcPr>
          <w:p w14:paraId="1E4EAB6B">
            <w:pPr>
              <w:pStyle w:val="6"/>
              <w:spacing w:before="138" w:line="239" w:lineRule="auto"/>
              <w:ind w:left="800"/>
              <w:rPr>
                <w:sz w:val="17"/>
                <w:szCs w:val="17"/>
              </w:rPr>
            </w:pPr>
            <w:r>
              <w:rPr>
                <w:spacing w:val="-2"/>
                <w:sz w:val="17"/>
                <w:szCs w:val="17"/>
              </w:rPr>
              <w:t>0.8</w:t>
            </w:r>
          </w:p>
        </w:tc>
        <w:tc>
          <w:tcPr>
            <w:tcW w:w="1950" w:type="dxa"/>
            <w:shd w:val="clear" w:color="auto" w:fill="E1DFDF"/>
            <w:vAlign w:val="top"/>
          </w:tcPr>
          <w:p w14:paraId="48AC5A26">
            <w:pPr>
              <w:pStyle w:val="6"/>
              <w:spacing w:before="138" w:line="239" w:lineRule="auto"/>
              <w:ind w:left="840"/>
              <w:rPr>
                <w:sz w:val="17"/>
                <w:szCs w:val="17"/>
              </w:rPr>
            </w:pPr>
            <w:r>
              <w:rPr>
                <w:spacing w:val="-2"/>
                <w:sz w:val="17"/>
                <w:szCs w:val="17"/>
              </w:rPr>
              <w:t>2.0</w:t>
            </w:r>
          </w:p>
        </w:tc>
      </w:tr>
      <w:tr w14:paraId="422DCFB6">
        <w:trPr>
          <w:trHeight w:val="389" w:hRule="atLeast"/>
        </w:trPr>
        <w:tc>
          <w:tcPr>
            <w:tcW w:w="1630" w:type="dxa"/>
            <w:vAlign w:val="top"/>
          </w:tcPr>
          <w:p w14:paraId="587D9C3B">
            <w:pPr>
              <w:pStyle w:val="6"/>
              <w:spacing w:before="123" w:line="219" w:lineRule="auto"/>
              <w:ind w:left="89"/>
              <w:rPr>
                <w:sz w:val="17"/>
                <w:szCs w:val="17"/>
              </w:rPr>
            </w:pPr>
            <w:r>
              <w:rPr>
                <w:spacing w:val="2"/>
                <w:sz w:val="17"/>
                <w:szCs w:val="17"/>
              </w:rPr>
              <w:t>东南亚地区</w:t>
            </w:r>
          </w:p>
        </w:tc>
        <w:tc>
          <w:tcPr>
            <w:tcW w:w="1870" w:type="dxa"/>
            <w:vAlign w:val="top"/>
          </w:tcPr>
          <w:p w14:paraId="035827CD">
            <w:pPr>
              <w:pStyle w:val="6"/>
              <w:spacing w:before="139" w:line="239" w:lineRule="auto"/>
              <w:ind w:left="799"/>
              <w:rPr>
                <w:sz w:val="17"/>
                <w:szCs w:val="17"/>
              </w:rPr>
            </w:pPr>
            <w:r>
              <w:rPr>
                <w:spacing w:val="-3"/>
                <w:sz w:val="17"/>
                <w:szCs w:val="17"/>
              </w:rPr>
              <w:t>3.0</w:t>
            </w:r>
          </w:p>
        </w:tc>
        <w:tc>
          <w:tcPr>
            <w:tcW w:w="1699" w:type="dxa"/>
            <w:vAlign w:val="top"/>
          </w:tcPr>
          <w:p w14:paraId="06F5E733">
            <w:pPr>
              <w:pStyle w:val="6"/>
              <w:spacing w:before="139"/>
              <w:ind w:left="679"/>
              <w:rPr>
                <w:sz w:val="17"/>
                <w:szCs w:val="17"/>
              </w:rPr>
            </w:pPr>
            <w:r>
              <w:rPr>
                <w:spacing w:val="-2"/>
                <w:sz w:val="17"/>
                <w:szCs w:val="17"/>
              </w:rPr>
              <w:t>6140</w:t>
            </w:r>
          </w:p>
        </w:tc>
        <w:tc>
          <w:tcPr>
            <w:tcW w:w="1860" w:type="dxa"/>
            <w:vAlign w:val="top"/>
          </w:tcPr>
          <w:p w14:paraId="59BDC0D7">
            <w:pPr>
              <w:pStyle w:val="6"/>
              <w:spacing w:before="139" w:line="239" w:lineRule="auto"/>
              <w:ind w:left="760"/>
              <w:rPr>
                <w:sz w:val="17"/>
                <w:szCs w:val="17"/>
              </w:rPr>
            </w:pPr>
            <w:r>
              <w:rPr>
                <w:spacing w:val="-2"/>
                <w:sz w:val="17"/>
                <w:szCs w:val="17"/>
              </w:rPr>
              <w:t>26.6</w:t>
            </w:r>
          </w:p>
        </w:tc>
        <w:tc>
          <w:tcPr>
            <w:tcW w:w="1950" w:type="dxa"/>
            <w:vAlign w:val="top"/>
          </w:tcPr>
          <w:p w14:paraId="3007DCF8">
            <w:pPr>
              <w:pStyle w:val="6"/>
              <w:spacing w:before="139" w:line="239" w:lineRule="auto"/>
              <w:ind w:left="800"/>
              <w:rPr>
                <w:sz w:val="17"/>
                <w:szCs w:val="17"/>
              </w:rPr>
            </w:pPr>
            <w:r>
              <w:rPr>
                <w:spacing w:val="-2"/>
                <w:sz w:val="17"/>
                <w:szCs w:val="17"/>
              </w:rPr>
              <w:t>21.8</w:t>
            </w:r>
          </w:p>
        </w:tc>
      </w:tr>
      <w:tr w14:paraId="287BC534">
        <w:trPr>
          <w:trHeight w:val="359" w:hRule="atLeast"/>
        </w:trPr>
        <w:tc>
          <w:tcPr>
            <w:tcW w:w="1630" w:type="dxa"/>
            <w:vAlign w:val="top"/>
          </w:tcPr>
          <w:p w14:paraId="7422EF77">
            <w:pPr>
              <w:pStyle w:val="6"/>
              <w:spacing w:before="106" w:line="221" w:lineRule="auto"/>
              <w:ind w:left="89"/>
              <w:rPr>
                <w:sz w:val="17"/>
                <w:szCs w:val="17"/>
              </w:rPr>
            </w:pPr>
            <w:r>
              <w:rPr>
                <w:spacing w:val="3"/>
                <w:sz w:val="17"/>
                <w:szCs w:val="17"/>
              </w:rPr>
              <w:t>欧洲地区</w:t>
            </w:r>
          </w:p>
        </w:tc>
        <w:tc>
          <w:tcPr>
            <w:tcW w:w="1870" w:type="dxa"/>
            <w:vAlign w:val="top"/>
          </w:tcPr>
          <w:p w14:paraId="649BD568">
            <w:pPr>
              <w:pStyle w:val="6"/>
              <w:spacing w:before="120" w:line="239" w:lineRule="auto"/>
              <w:ind w:left="799"/>
              <w:rPr>
                <w:sz w:val="17"/>
                <w:szCs w:val="17"/>
              </w:rPr>
            </w:pPr>
            <w:r>
              <w:rPr>
                <w:spacing w:val="-5"/>
                <w:sz w:val="17"/>
                <w:szCs w:val="17"/>
              </w:rPr>
              <w:t>1.2</w:t>
            </w:r>
          </w:p>
        </w:tc>
        <w:tc>
          <w:tcPr>
            <w:tcW w:w="1699" w:type="dxa"/>
            <w:vAlign w:val="top"/>
          </w:tcPr>
          <w:p w14:paraId="41B6B3A3">
            <w:pPr>
              <w:pStyle w:val="6"/>
              <w:spacing w:before="120"/>
              <w:ind w:left="679"/>
              <w:rPr>
                <w:sz w:val="17"/>
                <w:szCs w:val="17"/>
              </w:rPr>
            </w:pPr>
            <w:r>
              <w:rPr>
                <w:spacing w:val="-4"/>
                <w:sz w:val="17"/>
                <w:szCs w:val="17"/>
              </w:rPr>
              <w:t>1060</w:t>
            </w:r>
          </w:p>
        </w:tc>
        <w:tc>
          <w:tcPr>
            <w:tcW w:w="1860" w:type="dxa"/>
            <w:shd w:val="clear" w:color="auto" w:fill="E8E7EA"/>
            <w:vAlign w:val="top"/>
          </w:tcPr>
          <w:p w14:paraId="28FC4B73">
            <w:pPr>
              <w:pStyle w:val="6"/>
              <w:spacing w:before="120" w:line="239" w:lineRule="auto"/>
              <w:ind w:left="800"/>
              <w:rPr>
                <w:sz w:val="17"/>
                <w:szCs w:val="17"/>
              </w:rPr>
            </w:pPr>
            <w:r>
              <w:rPr>
                <w:spacing w:val="-5"/>
                <w:sz w:val="17"/>
                <w:szCs w:val="17"/>
              </w:rPr>
              <w:t>1.8</w:t>
            </w:r>
          </w:p>
        </w:tc>
        <w:tc>
          <w:tcPr>
            <w:tcW w:w="1950" w:type="dxa"/>
            <w:shd w:val="clear" w:color="auto" w:fill="E6E3E4"/>
            <w:vAlign w:val="top"/>
          </w:tcPr>
          <w:p w14:paraId="117E5695">
            <w:pPr>
              <w:pStyle w:val="6"/>
              <w:spacing w:before="120" w:line="239" w:lineRule="auto"/>
              <w:ind w:left="840"/>
              <w:rPr>
                <w:sz w:val="17"/>
                <w:szCs w:val="17"/>
              </w:rPr>
            </w:pPr>
            <w:r>
              <w:rPr>
                <w:spacing w:val="-3"/>
                <w:sz w:val="17"/>
                <w:szCs w:val="17"/>
              </w:rPr>
              <w:t>3.2</w:t>
            </w:r>
          </w:p>
        </w:tc>
      </w:tr>
      <w:tr w14:paraId="7E18640F">
        <w:trPr>
          <w:trHeight w:val="389" w:hRule="atLeast"/>
        </w:trPr>
        <w:tc>
          <w:tcPr>
            <w:tcW w:w="1630" w:type="dxa"/>
            <w:vAlign w:val="top"/>
          </w:tcPr>
          <w:p w14:paraId="3EFC1606">
            <w:pPr>
              <w:pStyle w:val="6"/>
              <w:spacing w:before="125" w:line="219" w:lineRule="auto"/>
              <w:ind w:left="89"/>
              <w:rPr>
                <w:sz w:val="17"/>
                <w:szCs w:val="17"/>
              </w:rPr>
            </w:pPr>
            <w:r>
              <w:rPr>
                <w:spacing w:val="2"/>
                <w:sz w:val="17"/>
                <w:szCs w:val="17"/>
              </w:rPr>
              <w:t>东地中海地区</w:t>
            </w:r>
          </w:p>
        </w:tc>
        <w:tc>
          <w:tcPr>
            <w:tcW w:w="1870" w:type="dxa"/>
            <w:vAlign w:val="top"/>
          </w:tcPr>
          <w:p w14:paraId="1A3BF1A5">
            <w:pPr>
              <w:pStyle w:val="6"/>
              <w:spacing w:before="141" w:line="239" w:lineRule="auto"/>
              <w:ind w:left="799"/>
              <w:rPr>
                <w:sz w:val="17"/>
                <w:szCs w:val="17"/>
              </w:rPr>
            </w:pPr>
            <w:r>
              <w:rPr>
                <w:spacing w:val="-2"/>
                <w:sz w:val="17"/>
                <w:szCs w:val="17"/>
              </w:rPr>
              <w:t>2.1</w:t>
            </w:r>
          </w:p>
        </w:tc>
        <w:tc>
          <w:tcPr>
            <w:tcW w:w="1699" w:type="dxa"/>
            <w:vAlign w:val="top"/>
          </w:tcPr>
          <w:p w14:paraId="714E35BC">
            <w:pPr>
              <w:pStyle w:val="6"/>
              <w:spacing w:before="141"/>
              <w:ind w:left="679"/>
              <w:rPr>
                <w:sz w:val="17"/>
                <w:szCs w:val="17"/>
              </w:rPr>
            </w:pPr>
            <w:r>
              <w:rPr>
                <w:spacing w:val="-4"/>
                <w:sz w:val="17"/>
                <w:szCs w:val="17"/>
              </w:rPr>
              <w:t>1510</w:t>
            </w:r>
          </w:p>
        </w:tc>
        <w:tc>
          <w:tcPr>
            <w:tcW w:w="1860" w:type="dxa"/>
            <w:vAlign w:val="top"/>
          </w:tcPr>
          <w:p w14:paraId="17904363">
            <w:pPr>
              <w:pStyle w:val="6"/>
              <w:spacing w:before="141" w:line="239" w:lineRule="auto"/>
              <w:ind w:left="800"/>
              <w:rPr>
                <w:sz w:val="17"/>
                <w:szCs w:val="17"/>
              </w:rPr>
            </w:pPr>
            <w:r>
              <w:rPr>
                <w:spacing w:val="-2"/>
                <w:sz w:val="17"/>
                <w:szCs w:val="17"/>
              </w:rPr>
              <w:t>8.6</w:t>
            </w:r>
          </w:p>
        </w:tc>
        <w:tc>
          <w:tcPr>
            <w:tcW w:w="1950" w:type="dxa"/>
            <w:vAlign w:val="top"/>
          </w:tcPr>
          <w:p w14:paraId="51D4448D">
            <w:pPr>
              <w:pStyle w:val="6"/>
              <w:spacing w:before="141" w:line="239" w:lineRule="auto"/>
              <w:ind w:left="840"/>
              <w:rPr>
                <w:sz w:val="17"/>
                <w:szCs w:val="17"/>
              </w:rPr>
            </w:pPr>
            <w:r>
              <w:rPr>
                <w:spacing w:val="-2"/>
                <w:sz w:val="17"/>
                <w:szCs w:val="17"/>
              </w:rPr>
              <w:t>4.1</w:t>
            </w:r>
          </w:p>
        </w:tc>
      </w:tr>
      <w:tr w14:paraId="1BA0D6A4">
        <w:trPr>
          <w:trHeight w:val="354" w:hRule="atLeast"/>
        </w:trPr>
        <w:tc>
          <w:tcPr>
            <w:tcW w:w="1630" w:type="dxa"/>
            <w:tcBorders>
              <w:bottom w:val="single" w:color="000000" w:sz="4" w:space="0"/>
            </w:tcBorders>
            <w:vAlign w:val="top"/>
          </w:tcPr>
          <w:p w14:paraId="191D711A">
            <w:pPr>
              <w:pStyle w:val="6"/>
              <w:spacing w:before="106" w:line="220" w:lineRule="auto"/>
              <w:ind w:left="89"/>
              <w:rPr>
                <w:sz w:val="17"/>
                <w:szCs w:val="17"/>
              </w:rPr>
            </w:pPr>
            <w:r>
              <w:rPr>
                <w:spacing w:val="2"/>
                <w:sz w:val="17"/>
                <w:szCs w:val="17"/>
              </w:rPr>
              <w:t>西太平洋地区</w:t>
            </w:r>
          </w:p>
        </w:tc>
        <w:tc>
          <w:tcPr>
            <w:tcW w:w="1870" w:type="dxa"/>
            <w:tcBorders>
              <w:bottom w:val="single" w:color="000000" w:sz="4" w:space="0"/>
            </w:tcBorders>
            <w:vAlign w:val="top"/>
          </w:tcPr>
          <w:p w14:paraId="3B5CB5A5">
            <w:pPr>
              <w:pStyle w:val="6"/>
              <w:spacing w:before="122" w:line="239" w:lineRule="auto"/>
              <w:ind w:left="799"/>
              <w:rPr>
                <w:sz w:val="17"/>
                <w:szCs w:val="17"/>
              </w:rPr>
            </w:pPr>
            <w:r>
              <w:rPr>
                <w:spacing w:val="-3"/>
                <w:sz w:val="17"/>
                <w:szCs w:val="17"/>
              </w:rPr>
              <w:t>5.0</w:t>
            </w:r>
          </w:p>
        </w:tc>
        <w:tc>
          <w:tcPr>
            <w:tcW w:w="1699" w:type="dxa"/>
            <w:tcBorders>
              <w:bottom w:val="single" w:color="000000" w:sz="4" w:space="0"/>
            </w:tcBorders>
            <w:shd w:val="clear" w:color="auto" w:fill="DFDFE1"/>
            <w:vAlign w:val="top"/>
          </w:tcPr>
          <w:p w14:paraId="010BEDDB">
            <w:pPr>
              <w:pStyle w:val="6"/>
              <w:spacing w:before="122"/>
              <w:ind w:left="679"/>
              <w:rPr>
                <w:sz w:val="17"/>
                <w:szCs w:val="17"/>
              </w:rPr>
            </w:pPr>
            <w:r>
              <w:rPr>
                <w:spacing w:val="-2"/>
                <w:sz w:val="17"/>
                <w:szCs w:val="17"/>
              </w:rPr>
              <w:t>9680</w:t>
            </w:r>
          </w:p>
        </w:tc>
        <w:tc>
          <w:tcPr>
            <w:tcW w:w="1860" w:type="dxa"/>
            <w:tcBorders>
              <w:bottom w:val="single" w:color="000000" w:sz="4" w:space="0"/>
            </w:tcBorders>
            <w:shd w:val="clear" w:color="auto" w:fill="E2E1E1"/>
            <w:vAlign w:val="top"/>
          </w:tcPr>
          <w:p w14:paraId="39E16A13">
            <w:pPr>
              <w:pStyle w:val="6"/>
              <w:spacing w:before="122" w:line="239" w:lineRule="auto"/>
              <w:ind w:left="800"/>
              <w:rPr>
                <w:sz w:val="17"/>
                <w:szCs w:val="17"/>
              </w:rPr>
            </w:pPr>
            <w:r>
              <w:rPr>
                <w:spacing w:val="-2"/>
                <w:sz w:val="17"/>
                <w:szCs w:val="17"/>
              </w:rPr>
              <w:t>8.3</w:t>
            </w:r>
          </w:p>
        </w:tc>
        <w:tc>
          <w:tcPr>
            <w:tcW w:w="1950" w:type="dxa"/>
            <w:tcBorders>
              <w:bottom w:val="single" w:color="000000" w:sz="4" w:space="0"/>
            </w:tcBorders>
            <w:shd w:val="clear" w:color="auto" w:fill="E6E4E1"/>
            <w:vAlign w:val="top"/>
          </w:tcPr>
          <w:p w14:paraId="645C4BD9">
            <w:pPr>
              <w:pStyle w:val="6"/>
              <w:spacing w:before="122" w:line="239" w:lineRule="auto"/>
              <w:ind w:left="840"/>
              <w:rPr>
                <w:sz w:val="17"/>
                <w:szCs w:val="17"/>
              </w:rPr>
            </w:pPr>
            <w:r>
              <w:rPr>
                <w:spacing w:val="-2"/>
                <w:sz w:val="17"/>
                <w:szCs w:val="17"/>
              </w:rPr>
              <w:t>4.1</w:t>
            </w:r>
          </w:p>
        </w:tc>
      </w:tr>
    </w:tbl>
    <w:p w14:paraId="3522ACBC">
      <w:pPr>
        <w:spacing w:before="69" w:line="216" w:lineRule="auto"/>
        <w:ind w:left="7350"/>
        <w:rPr>
          <w:rFonts w:ascii="宋体" w:hAnsi="宋体" w:eastAsia="宋体" w:cs="宋体"/>
          <w:sz w:val="17"/>
          <w:szCs w:val="17"/>
        </w:rPr>
      </w:pPr>
      <w:r>
        <w:rPr>
          <w:rFonts w:ascii="宋体" w:hAnsi="宋体" w:eastAsia="宋体" w:cs="宋体"/>
          <w:spacing w:val="3"/>
          <w:sz w:val="17"/>
          <w:szCs w:val="17"/>
        </w:rPr>
        <w:t>(改编自</w:t>
      </w:r>
      <w:r>
        <w:rPr>
          <w:rFonts w:ascii="宋体" w:hAnsi="宋体" w:eastAsia="宋体" w:cs="宋体"/>
          <w:sz w:val="17"/>
          <w:szCs w:val="17"/>
        </w:rPr>
        <w:t>WHO</w:t>
      </w:r>
      <w:r>
        <w:rPr>
          <w:rFonts w:ascii="宋体" w:hAnsi="宋体" w:eastAsia="宋体" w:cs="宋体"/>
          <w:spacing w:val="3"/>
          <w:sz w:val="17"/>
          <w:szCs w:val="17"/>
        </w:rPr>
        <w:t>,2024)</w:t>
      </w:r>
    </w:p>
    <w:p w14:paraId="5B8603EB">
      <w:pPr>
        <w:spacing w:before="255" w:line="219" w:lineRule="auto"/>
        <w:rPr>
          <w:rFonts w:ascii="宋体" w:hAnsi="宋体" w:eastAsia="宋体" w:cs="宋体"/>
          <w:sz w:val="22"/>
          <w:szCs w:val="22"/>
        </w:rPr>
      </w:pPr>
      <w:r>
        <w:rPr>
          <w:rFonts w:ascii="宋体" w:hAnsi="宋体" w:eastAsia="宋体" w:cs="宋体"/>
          <w:spacing w:val="-15"/>
          <w:sz w:val="22"/>
          <w:szCs w:val="22"/>
        </w:rPr>
        <w:t>和C 型，北方城市以C 型流行为主，由北方至南方，B</w:t>
      </w:r>
      <w:r>
        <w:rPr>
          <w:rFonts w:ascii="宋体" w:hAnsi="宋体" w:eastAsia="宋体" w:cs="宋体"/>
          <w:spacing w:val="-21"/>
          <w:sz w:val="22"/>
          <w:szCs w:val="22"/>
        </w:rPr>
        <w:t xml:space="preserve"> </w:t>
      </w:r>
      <w:r>
        <w:rPr>
          <w:rFonts w:ascii="宋体" w:hAnsi="宋体" w:eastAsia="宋体" w:cs="宋体"/>
          <w:spacing w:val="-15"/>
          <w:sz w:val="22"/>
          <w:szCs w:val="22"/>
        </w:rPr>
        <w:t>型感染率逐渐增高，A</w:t>
      </w:r>
      <w:r>
        <w:rPr>
          <w:rFonts w:ascii="宋体" w:hAnsi="宋体" w:eastAsia="宋体" w:cs="宋体"/>
          <w:spacing w:val="-38"/>
          <w:sz w:val="22"/>
          <w:szCs w:val="22"/>
        </w:rPr>
        <w:t xml:space="preserve"> </w:t>
      </w:r>
      <w:r>
        <w:rPr>
          <w:rFonts w:ascii="宋体" w:hAnsi="宋体" w:eastAsia="宋体" w:cs="宋体"/>
          <w:spacing w:val="-15"/>
          <w:sz w:val="22"/>
          <w:szCs w:val="22"/>
        </w:rPr>
        <w:t>和D</w:t>
      </w:r>
      <w:r>
        <w:rPr>
          <w:rFonts w:ascii="宋体" w:hAnsi="宋体" w:eastAsia="宋体" w:cs="宋体"/>
          <w:spacing w:val="-35"/>
          <w:sz w:val="22"/>
          <w:szCs w:val="22"/>
        </w:rPr>
        <w:t xml:space="preserve"> </w:t>
      </w:r>
      <w:r>
        <w:rPr>
          <w:rFonts w:ascii="宋体" w:hAnsi="宋体" w:eastAsia="宋体" w:cs="宋体"/>
          <w:spacing w:val="-15"/>
          <w:sz w:val="22"/>
          <w:szCs w:val="22"/>
        </w:rPr>
        <w:t>型很少见。</w:t>
      </w:r>
    </w:p>
    <w:p w14:paraId="7E17A284">
      <w:pPr>
        <w:pStyle w:val="2"/>
        <w:spacing w:before="126" w:line="222" w:lineRule="auto"/>
        <w:ind w:left="463"/>
        <w:rPr>
          <w:sz w:val="22"/>
          <w:szCs w:val="22"/>
        </w:rPr>
      </w:pPr>
      <w:r>
        <w:rPr>
          <w:b/>
          <w:bCs/>
          <w:spacing w:val="24"/>
          <w:sz w:val="22"/>
          <w:szCs w:val="22"/>
        </w:rPr>
        <w:t>(二)时间分布</w:t>
      </w:r>
    </w:p>
    <w:p w14:paraId="24F83840">
      <w:pPr>
        <w:spacing w:before="114" w:line="302" w:lineRule="auto"/>
        <w:ind w:right="486" w:firstLine="459"/>
        <w:jc w:val="both"/>
        <w:rPr>
          <w:rFonts w:ascii="宋体" w:hAnsi="宋体" w:eastAsia="宋体" w:cs="宋体"/>
          <w:sz w:val="22"/>
          <w:szCs w:val="22"/>
        </w:rPr>
      </w:pPr>
      <w:r>
        <w:rPr>
          <w:rFonts w:ascii="宋体" w:hAnsi="宋体" w:eastAsia="宋体" w:cs="宋体"/>
          <w:spacing w:val="-9"/>
          <w:sz w:val="22"/>
          <w:szCs w:val="22"/>
        </w:rPr>
        <w:t>乙肝发病无明显的季节性，全年均有病例报告，多呈散发或</w:t>
      </w:r>
      <w:r>
        <w:rPr>
          <w:rFonts w:ascii="宋体" w:hAnsi="宋体" w:eastAsia="宋体" w:cs="宋体"/>
          <w:spacing w:val="-10"/>
          <w:sz w:val="22"/>
          <w:szCs w:val="22"/>
        </w:rPr>
        <w:t>地方性流行。全球和我国HBV</w:t>
      </w:r>
      <w:r>
        <w:rPr>
          <w:rFonts w:ascii="宋体" w:hAnsi="宋体" w:eastAsia="宋体" w:cs="宋体"/>
          <w:spacing w:val="43"/>
          <w:sz w:val="22"/>
          <w:szCs w:val="22"/>
        </w:rPr>
        <w:t xml:space="preserve"> </w:t>
      </w:r>
      <w:r>
        <w:rPr>
          <w:rFonts w:ascii="宋体" w:hAnsi="宋体" w:eastAsia="宋体" w:cs="宋体"/>
          <w:spacing w:val="-10"/>
          <w:sz w:val="22"/>
          <w:szCs w:val="22"/>
        </w:rPr>
        <w:t>感</w:t>
      </w:r>
      <w:r>
        <w:rPr>
          <w:rFonts w:ascii="宋体" w:hAnsi="宋体" w:eastAsia="宋体" w:cs="宋体"/>
          <w:sz w:val="22"/>
          <w:szCs w:val="22"/>
        </w:rPr>
        <w:t xml:space="preserve">  </w:t>
      </w:r>
      <w:r>
        <w:rPr>
          <w:rFonts w:ascii="宋体" w:hAnsi="宋体" w:eastAsia="宋体" w:cs="宋体"/>
          <w:spacing w:val="3"/>
          <w:sz w:val="22"/>
          <w:szCs w:val="22"/>
        </w:rPr>
        <w:t>染呈下降趋势。全球</w:t>
      </w:r>
      <w:r>
        <w:rPr>
          <w:rFonts w:ascii="Times New Roman" w:hAnsi="Times New Roman" w:eastAsia="Times New Roman" w:cs="Times New Roman"/>
          <w:sz w:val="22"/>
          <w:szCs w:val="22"/>
        </w:rPr>
        <w:t>HBV</w:t>
      </w:r>
      <w:r>
        <w:rPr>
          <w:rFonts w:ascii="宋体" w:hAnsi="宋体" w:eastAsia="宋体" w:cs="宋体"/>
          <w:spacing w:val="3"/>
          <w:sz w:val="22"/>
          <w:szCs w:val="22"/>
        </w:rPr>
        <w:t>感染人数从2015年的2.57亿下降至2022年的2.54亿。我国自1992年</w:t>
      </w:r>
      <w:r>
        <w:rPr>
          <w:rFonts w:ascii="宋体" w:hAnsi="宋体" w:eastAsia="宋体" w:cs="宋体"/>
          <w:sz w:val="22"/>
          <w:szCs w:val="22"/>
        </w:rPr>
        <w:t xml:space="preserve"> </w:t>
      </w:r>
      <w:r>
        <w:rPr>
          <w:rFonts w:ascii="宋体" w:hAnsi="宋体" w:eastAsia="宋体" w:cs="宋体"/>
          <w:spacing w:val="5"/>
          <w:sz w:val="22"/>
          <w:szCs w:val="22"/>
        </w:rPr>
        <w:t>将乙肝疫苗纳入计划免疫管理后，</w:t>
      </w:r>
      <w:r>
        <w:rPr>
          <w:rFonts w:ascii="Times New Roman" w:hAnsi="Times New Roman" w:eastAsia="Times New Roman" w:cs="Times New Roman"/>
          <w:sz w:val="22"/>
          <w:szCs w:val="22"/>
        </w:rPr>
        <w:t>HBV</w:t>
      </w:r>
      <w:r>
        <w:rPr>
          <w:rFonts w:ascii="宋体" w:hAnsi="宋体" w:eastAsia="宋体" w:cs="宋体"/>
          <w:spacing w:val="5"/>
          <w:sz w:val="22"/>
          <w:szCs w:val="22"/>
        </w:rPr>
        <w:t>感染人数从1992年的1.20亿减少至2022年的</w:t>
      </w:r>
      <w:r>
        <w:rPr>
          <w:rFonts w:ascii="宋体" w:hAnsi="宋体" w:eastAsia="宋体" w:cs="宋体"/>
          <w:spacing w:val="4"/>
          <w:sz w:val="22"/>
          <w:szCs w:val="22"/>
        </w:rPr>
        <w:t>7974万，</w:t>
      </w:r>
      <w:r>
        <w:rPr>
          <w:rFonts w:ascii="宋体" w:hAnsi="宋体" w:eastAsia="宋体" w:cs="宋体"/>
          <w:sz w:val="22"/>
          <w:szCs w:val="22"/>
        </w:rPr>
        <w:t xml:space="preserve"> </w:t>
      </w:r>
      <w:r>
        <w:rPr>
          <w:rFonts w:ascii="Times New Roman" w:hAnsi="Times New Roman" w:eastAsia="Times New Roman" w:cs="Times New Roman"/>
          <w:sz w:val="22"/>
          <w:szCs w:val="22"/>
        </w:rPr>
        <w:t>HBsAg</w:t>
      </w:r>
      <w:r>
        <w:rPr>
          <w:rFonts w:ascii="宋体" w:hAnsi="宋体" w:eastAsia="宋体" w:cs="宋体"/>
          <w:spacing w:val="3"/>
          <w:sz w:val="22"/>
          <w:szCs w:val="22"/>
        </w:rPr>
        <w:t>阳性率从1992年的9.75%明显下降至2022年的5.60%;5岁以下儿童中</w:t>
      </w:r>
      <w:r>
        <w:rPr>
          <w:rFonts w:ascii="Times New Roman" w:hAnsi="Times New Roman" w:eastAsia="Times New Roman" w:cs="Times New Roman"/>
          <w:sz w:val="22"/>
          <w:szCs w:val="22"/>
        </w:rPr>
        <w:t>HBsAg</w:t>
      </w:r>
      <w:r>
        <w:rPr>
          <w:rFonts w:ascii="宋体" w:hAnsi="宋体" w:eastAsia="宋体" w:cs="宋体"/>
          <w:spacing w:val="3"/>
          <w:sz w:val="22"/>
          <w:szCs w:val="22"/>
        </w:rPr>
        <w:t>阳性率下降</w:t>
      </w:r>
      <w:r>
        <w:rPr>
          <w:rFonts w:ascii="宋体" w:hAnsi="宋体" w:eastAsia="宋体" w:cs="宋体"/>
          <w:spacing w:val="8"/>
          <w:sz w:val="22"/>
          <w:szCs w:val="22"/>
        </w:rPr>
        <w:t xml:space="preserve">  </w:t>
      </w:r>
      <w:r>
        <w:rPr>
          <w:rFonts w:ascii="宋体" w:hAnsi="宋体" w:eastAsia="宋体" w:cs="宋体"/>
          <w:spacing w:val="5"/>
          <w:sz w:val="22"/>
          <w:szCs w:val="22"/>
        </w:rPr>
        <w:t>更为明显，从1992年的9.67%降至2020年的0.3%;育龄期女性</w:t>
      </w:r>
      <w:r>
        <w:rPr>
          <w:rFonts w:ascii="Times New Roman" w:hAnsi="Times New Roman" w:eastAsia="Times New Roman" w:cs="Times New Roman"/>
          <w:sz w:val="22"/>
          <w:szCs w:val="22"/>
        </w:rPr>
        <w:t>HBsAg</w:t>
      </w:r>
      <w:r>
        <w:rPr>
          <w:rFonts w:ascii="宋体" w:hAnsi="宋体" w:eastAsia="宋体" w:cs="宋体"/>
          <w:spacing w:val="5"/>
          <w:sz w:val="22"/>
          <w:szCs w:val="22"/>
        </w:rPr>
        <w:t>阳性率从1992年的8.18%</w:t>
      </w:r>
      <w:r>
        <w:rPr>
          <w:rFonts w:ascii="宋体" w:hAnsi="宋体" w:eastAsia="宋体" w:cs="宋体"/>
          <w:spacing w:val="1"/>
          <w:sz w:val="22"/>
          <w:szCs w:val="22"/>
        </w:rPr>
        <w:t xml:space="preserve">  </w:t>
      </w:r>
      <w:r>
        <w:rPr>
          <w:rFonts w:ascii="宋体" w:hAnsi="宋体" w:eastAsia="宋体" w:cs="宋体"/>
          <w:spacing w:val="8"/>
          <w:sz w:val="22"/>
          <w:szCs w:val="22"/>
        </w:rPr>
        <w:t>下降至2020年的5.87%。</w:t>
      </w:r>
    </w:p>
    <w:p w14:paraId="1E241FA3">
      <w:pPr>
        <w:pStyle w:val="2"/>
        <w:spacing w:before="50" w:line="221" w:lineRule="auto"/>
        <w:ind w:left="463"/>
        <w:rPr>
          <w:sz w:val="22"/>
          <w:szCs w:val="22"/>
        </w:rPr>
      </w:pPr>
      <w:r>
        <w:rPr>
          <w:b/>
          <w:bCs/>
          <w:spacing w:val="18"/>
          <w:sz w:val="22"/>
          <w:szCs w:val="22"/>
        </w:rPr>
        <w:t>(三)人群分布</w:t>
      </w:r>
    </w:p>
    <w:p w14:paraId="59673731">
      <w:pPr>
        <w:spacing w:before="96" w:line="309" w:lineRule="auto"/>
        <w:ind w:right="486" w:firstLine="459"/>
        <w:jc w:val="both"/>
        <w:rPr>
          <w:rFonts w:ascii="宋体" w:hAnsi="宋体" w:eastAsia="宋体" w:cs="宋体"/>
          <w:sz w:val="22"/>
          <w:szCs w:val="22"/>
        </w:rPr>
      </w:pPr>
      <w:r>
        <w:rPr>
          <w:rFonts w:ascii="宋体" w:hAnsi="宋体" w:eastAsia="宋体" w:cs="宋体"/>
          <w:spacing w:val="-5"/>
          <w:sz w:val="22"/>
          <w:szCs w:val="22"/>
        </w:rPr>
        <w:t>我国不同年龄人群HBsAg 阳性率存在差异，2020年全国第四次乙肝血清流行病学调查显示，</w:t>
      </w:r>
      <w:r>
        <w:rPr>
          <w:rFonts w:ascii="宋体" w:hAnsi="宋体" w:eastAsia="宋体" w:cs="宋体"/>
          <w:spacing w:val="14"/>
          <w:sz w:val="22"/>
          <w:szCs w:val="22"/>
        </w:rPr>
        <w:t xml:space="preserve"> </w:t>
      </w:r>
      <w:r>
        <w:rPr>
          <w:rFonts w:ascii="宋体" w:hAnsi="宋体" w:eastAsia="宋体" w:cs="宋体"/>
          <w:spacing w:val="3"/>
          <w:sz w:val="22"/>
          <w:szCs w:val="22"/>
        </w:rPr>
        <w:t>1～4岁儿童的</w:t>
      </w:r>
      <w:r>
        <w:rPr>
          <w:rFonts w:ascii="Times New Roman" w:hAnsi="Times New Roman" w:eastAsia="Times New Roman" w:cs="Times New Roman"/>
          <w:sz w:val="22"/>
          <w:szCs w:val="22"/>
        </w:rPr>
        <w:t>HBsAg</w:t>
      </w:r>
      <w:r>
        <w:rPr>
          <w:rFonts w:ascii="宋体" w:hAnsi="宋体" w:eastAsia="宋体" w:cs="宋体"/>
          <w:spacing w:val="3"/>
          <w:sz w:val="22"/>
          <w:szCs w:val="22"/>
        </w:rPr>
        <w:t>阳性率为0.30%,5～14岁青少年为0.38%,15～2</w:t>
      </w:r>
      <w:r>
        <w:rPr>
          <w:rFonts w:ascii="宋体" w:hAnsi="宋体" w:eastAsia="宋体" w:cs="宋体"/>
          <w:spacing w:val="2"/>
          <w:sz w:val="22"/>
          <w:szCs w:val="22"/>
        </w:rPr>
        <w:t>9岁人群为2.62%。在性别</w:t>
      </w:r>
      <w:r>
        <w:rPr>
          <w:rFonts w:ascii="宋体" w:hAnsi="宋体" w:eastAsia="宋体" w:cs="宋体"/>
          <w:sz w:val="22"/>
          <w:szCs w:val="22"/>
        </w:rPr>
        <w:t xml:space="preserve">  </w:t>
      </w:r>
      <w:r>
        <w:rPr>
          <w:rFonts w:ascii="宋体" w:hAnsi="宋体" w:eastAsia="宋体" w:cs="宋体"/>
          <w:spacing w:val="-11"/>
          <w:sz w:val="22"/>
          <w:szCs w:val="22"/>
        </w:rPr>
        <w:t>分布上，我国各年龄组乙肝报告发病率和死亡率均为男性高于女性。</w:t>
      </w:r>
    </w:p>
    <w:p w14:paraId="493EB5AE">
      <w:pPr>
        <w:spacing w:before="2" w:line="303" w:lineRule="auto"/>
        <w:ind w:right="587" w:firstLine="459"/>
        <w:rPr>
          <w:rFonts w:ascii="宋体" w:hAnsi="宋体" w:eastAsia="宋体" w:cs="宋体"/>
          <w:sz w:val="22"/>
          <w:szCs w:val="22"/>
        </w:rPr>
      </w:pPr>
      <w:r>
        <w:rPr>
          <w:rFonts w:ascii="宋体" w:hAnsi="宋体" w:eastAsia="宋体" w:cs="宋体"/>
          <w:spacing w:val="-10"/>
          <w:sz w:val="22"/>
          <w:szCs w:val="22"/>
        </w:rPr>
        <w:t>HBV</w:t>
      </w:r>
      <w:r>
        <w:rPr>
          <w:rFonts w:ascii="宋体" w:hAnsi="宋体" w:eastAsia="宋体" w:cs="宋体"/>
          <w:spacing w:val="54"/>
          <w:sz w:val="22"/>
          <w:szCs w:val="22"/>
        </w:rPr>
        <w:t xml:space="preserve"> </w:t>
      </w:r>
      <w:r>
        <w:rPr>
          <w:rFonts w:ascii="宋体" w:hAnsi="宋体" w:eastAsia="宋体" w:cs="宋体"/>
          <w:spacing w:val="-10"/>
          <w:sz w:val="22"/>
          <w:szCs w:val="22"/>
        </w:rPr>
        <w:t>感染有明显的家庭聚集现象，可能与母婴传播、夫妻间性传播和被HBV</w:t>
      </w:r>
      <w:r>
        <w:rPr>
          <w:rFonts w:ascii="宋体" w:hAnsi="宋体" w:eastAsia="宋体" w:cs="宋体"/>
          <w:spacing w:val="54"/>
          <w:sz w:val="22"/>
          <w:szCs w:val="22"/>
        </w:rPr>
        <w:t xml:space="preserve"> </w:t>
      </w:r>
      <w:r>
        <w:rPr>
          <w:rFonts w:ascii="宋体" w:hAnsi="宋体" w:eastAsia="宋体" w:cs="宋体"/>
          <w:spacing w:val="-10"/>
          <w:sz w:val="22"/>
          <w:szCs w:val="22"/>
        </w:rPr>
        <w:t>污染的物品经破</w:t>
      </w:r>
      <w:r>
        <w:rPr>
          <w:rFonts w:ascii="宋体" w:hAnsi="宋体" w:eastAsia="宋体" w:cs="宋体"/>
          <w:sz w:val="22"/>
          <w:szCs w:val="22"/>
        </w:rPr>
        <w:t xml:space="preserve"> </w:t>
      </w:r>
      <w:r>
        <w:rPr>
          <w:rFonts w:ascii="宋体" w:hAnsi="宋体" w:eastAsia="宋体" w:cs="宋体"/>
          <w:spacing w:val="-5"/>
          <w:sz w:val="22"/>
          <w:szCs w:val="22"/>
        </w:rPr>
        <w:t>损的皮肤或黏膜传播等有关。</w:t>
      </w:r>
    </w:p>
    <w:p w14:paraId="62AD8E8F">
      <w:pPr>
        <w:pStyle w:val="2"/>
        <w:spacing w:before="234" w:line="222" w:lineRule="auto"/>
        <w:ind w:left="463"/>
        <w:outlineLvl w:val="4"/>
        <w:rPr>
          <w:sz w:val="22"/>
          <w:szCs w:val="22"/>
        </w:rPr>
      </w:pPr>
      <w:bookmarkStart w:id="497" w:name="bookmark312"/>
      <w:bookmarkEnd w:id="497"/>
      <w:r>
        <w:rPr>
          <w:b/>
          <w:bCs/>
          <w:spacing w:val="18"/>
          <w:sz w:val="22"/>
          <w:szCs w:val="22"/>
        </w:rPr>
        <w:t>三</w:t>
      </w:r>
      <w:r>
        <w:rPr>
          <w:spacing w:val="18"/>
          <w:sz w:val="22"/>
          <w:szCs w:val="22"/>
        </w:rPr>
        <w:t xml:space="preserve"> </w:t>
      </w:r>
      <w:r>
        <w:rPr>
          <w:b/>
          <w:bCs/>
          <w:spacing w:val="18"/>
          <w:sz w:val="22"/>
          <w:szCs w:val="22"/>
        </w:rPr>
        <w:t>、丙型肝炎</w:t>
      </w:r>
    </w:p>
    <w:p w14:paraId="2613A25F">
      <w:pPr>
        <w:spacing w:before="246" w:line="313" w:lineRule="auto"/>
        <w:ind w:right="581" w:firstLine="459"/>
        <w:jc w:val="both"/>
        <w:rPr>
          <w:rFonts w:ascii="宋体" w:hAnsi="宋体" w:eastAsia="宋体" w:cs="宋体"/>
          <w:sz w:val="22"/>
          <w:szCs w:val="22"/>
        </w:rPr>
      </w:pPr>
      <w:r>
        <w:rPr>
          <w:rFonts w:ascii="宋体" w:hAnsi="宋体" w:eastAsia="宋体" w:cs="宋体"/>
          <w:spacing w:val="-4"/>
          <w:sz w:val="22"/>
          <w:szCs w:val="22"/>
        </w:rPr>
        <w:t>丙肝是全球重大公共卫生问题。据《2024年全球肝炎报告》,2022年</w:t>
      </w:r>
      <w:r>
        <w:rPr>
          <w:rFonts w:ascii="宋体" w:hAnsi="宋体" w:eastAsia="宋体" w:cs="宋体"/>
          <w:spacing w:val="-5"/>
          <w:sz w:val="22"/>
          <w:szCs w:val="22"/>
        </w:rPr>
        <w:t>全球约有5000万丙肝病</w:t>
      </w:r>
      <w:r>
        <w:rPr>
          <w:rFonts w:ascii="宋体" w:hAnsi="宋体" w:eastAsia="宋体" w:cs="宋体"/>
          <w:sz w:val="22"/>
          <w:szCs w:val="22"/>
        </w:rPr>
        <w:t xml:space="preserve"> </w:t>
      </w:r>
      <w:r>
        <w:rPr>
          <w:rFonts w:ascii="宋体" w:hAnsi="宋体" w:eastAsia="宋体" w:cs="宋体"/>
          <w:spacing w:val="-9"/>
          <w:sz w:val="22"/>
          <w:szCs w:val="22"/>
        </w:rPr>
        <w:t>人，每年新发</w:t>
      </w:r>
      <w:r>
        <w:rPr>
          <w:rFonts w:ascii="Times New Roman" w:hAnsi="Times New Roman" w:eastAsia="Times New Roman" w:cs="Times New Roman"/>
          <w:spacing w:val="-9"/>
          <w:sz w:val="22"/>
          <w:szCs w:val="22"/>
        </w:rPr>
        <w:t>HCV</w:t>
      </w:r>
      <w:r>
        <w:rPr>
          <w:rFonts w:ascii="宋体" w:hAnsi="宋体" w:eastAsia="宋体" w:cs="宋体"/>
          <w:spacing w:val="-9"/>
          <w:sz w:val="22"/>
          <w:szCs w:val="22"/>
        </w:rPr>
        <w:t>感染者接近100万例，新发感染率约为13/10万，每年导致约24.40万人死亡，病</w:t>
      </w:r>
      <w:r>
        <w:rPr>
          <w:rFonts w:ascii="宋体" w:hAnsi="宋体" w:eastAsia="宋体" w:cs="宋体"/>
          <w:spacing w:val="9"/>
          <w:sz w:val="22"/>
          <w:szCs w:val="22"/>
        </w:rPr>
        <w:t xml:space="preserve"> </w:t>
      </w:r>
      <w:r>
        <w:rPr>
          <w:rFonts w:ascii="宋体" w:hAnsi="宋体" w:eastAsia="宋体" w:cs="宋体"/>
          <w:spacing w:val="-4"/>
          <w:sz w:val="22"/>
          <w:szCs w:val="22"/>
        </w:rPr>
        <w:t>死率约3/10万。2022年我国约有400万</w:t>
      </w:r>
      <w:r>
        <w:rPr>
          <w:rFonts w:ascii="Times New Roman" w:hAnsi="Times New Roman" w:eastAsia="Times New Roman" w:cs="Times New Roman"/>
          <w:spacing w:val="-4"/>
          <w:sz w:val="22"/>
          <w:szCs w:val="22"/>
        </w:rPr>
        <w:t>HCV</w:t>
      </w:r>
      <w:r>
        <w:rPr>
          <w:rFonts w:ascii="宋体" w:hAnsi="宋体" w:eastAsia="宋体" w:cs="宋体"/>
          <w:spacing w:val="-4"/>
          <w:sz w:val="22"/>
          <w:szCs w:val="22"/>
        </w:rPr>
        <w:t>感染者，</w:t>
      </w:r>
      <w:r>
        <w:rPr>
          <w:rFonts w:ascii="Times New Roman" w:hAnsi="Times New Roman" w:eastAsia="Times New Roman" w:cs="Times New Roman"/>
          <w:spacing w:val="-4"/>
          <w:sz w:val="22"/>
          <w:szCs w:val="22"/>
        </w:rPr>
        <w:t>HCV</w:t>
      </w:r>
      <w:r>
        <w:rPr>
          <w:rFonts w:ascii="宋体" w:hAnsi="宋体" w:eastAsia="宋体" w:cs="宋体"/>
          <w:spacing w:val="-4"/>
          <w:sz w:val="22"/>
          <w:szCs w:val="22"/>
        </w:rPr>
        <w:t>感染者数量位居全球第三。</w:t>
      </w:r>
    </w:p>
    <w:p w14:paraId="2951DD58">
      <w:pPr>
        <w:pStyle w:val="2"/>
        <w:spacing w:before="10" w:line="222" w:lineRule="auto"/>
        <w:ind w:left="463"/>
        <w:rPr>
          <w:sz w:val="22"/>
          <w:szCs w:val="22"/>
        </w:rPr>
      </w:pPr>
      <w:r>
        <w:rPr>
          <w:b/>
          <w:bCs/>
          <w:spacing w:val="12"/>
          <w:sz w:val="22"/>
          <w:szCs w:val="22"/>
        </w:rPr>
        <w:t>(</w:t>
      </w:r>
      <w:r>
        <w:rPr>
          <w:spacing w:val="-65"/>
          <w:sz w:val="22"/>
          <w:szCs w:val="22"/>
        </w:rPr>
        <w:t xml:space="preserve"> </w:t>
      </w:r>
      <w:r>
        <w:rPr>
          <w:b/>
          <w:bCs/>
          <w:spacing w:val="12"/>
          <w:sz w:val="22"/>
          <w:szCs w:val="22"/>
        </w:rPr>
        <w:t>一)地区分布</w:t>
      </w:r>
    </w:p>
    <w:p w14:paraId="33A661B0">
      <w:pPr>
        <w:spacing w:before="68" w:line="312" w:lineRule="auto"/>
        <w:ind w:right="575" w:firstLine="459"/>
        <w:jc w:val="both"/>
        <w:rPr>
          <w:rFonts w:ascii="宋体" w:hAnsi="宋体" w:eastAsia="宋体" w:cs="宋体"/>
          <w:sz w:val="22"/>
          <w:szCs w:val="22"/>
        </w:rPr>
      </w:pPr>
      <w:r>
        <w:rPr>
          <w:rFonts w:ascii="宋体" w:hAnsi="宋体" w:eastAsia="宋体" w:cs="宋体"/>
          <w:spacing w:val="-5"/>
          <w:sz w:val="22"/>
          <w:szCs w:val="22"/>
        </w:rPr>
        <w:t>丙肝呈全球性分布，但各地区丙肝患病率、</w:t>
      </w:r>
      <w:r>
        <w:rPr>
          <w:rFonts w:ascii="Times New Roman" w:hAnsi="Times New Roman" w:eastAsia="Times New Roman" w:cs="Times New Roman"/>
          <w:spacing w:val="-5"/>
          <w:sz w:val="22"/>
          <w:szCs w:val="22"/>
        </w:rPr>
        <w:t>HCV</w:t>
      </w:r>
      <w:r>
        <w:rPr>
          <w:rFonts w:ascii="Times New Roman" w:hAnsi="Times New Roman" w:eastAsia="Times New Roman" w:cs="Times New Roman"/>
          <w:spacing w:val="-15"/>
          <w:sz w:val="22"/>
          <w:szCs w:val="22"/>
        </w:rPr>
        <w:t xml:space="preserve"> </w:t>
      </w:r>
      <w:r>
        <w:rPr>
          <w:rFonts w:ascii="宋体" w:hAnsi="宋体" w:eastAsia="宋体" w:cs="宋体"/>
          <w:spacing w:val="-5"/>
          <w:sz w:val="22"/>
          <w:szCs w:val="22"/>
        </w:rPr>
        <w:t>感染总人数、每年新发</w:t>
      </w:r>
      <w:r>
        <w:rPr>
          <w:rFonts w:ascii="Times New Roman" w:hAnsi="Times New Roman" w:eastAsia="Times New Roman" w:cs="Times New Roman"/>
          <w:spacing w:val="-5"/>
          <w:sz w:val="22"/>
          <w:szCs w:val="22"/>
        </w:rPr>
        <w:t>HCV</w:t>
      </w:r>
      <w:r>
        <w:rPr>
          <w:rFonts w:ascii="Times New Roman" w:hAnsi="Times New Roman" w:eastAsia="Times New Roman" w:cs="Times New Roman"/>
          <w:spacing w:val="-16"/>
          <w:sz w:val="22"/>
          <w:szCs w:val="22"/>
        </w:rPr>
        <w:t xml:space="preserve"> </w:t>
      </w:r>
      <w:r>
        <w:rPr>
          <w:rFonts w:ascii="宋体" w:hAnsi="宋体" w:eastAsia="宋体" w:cs="宋体"/>
          <w:spacing w:val="-5"/>
          <w:sz w:val="22"/>
          <w:szCs w:val="22"/>
        </w:rPr>
        <w:t>感染</w:t>
      </w:r>
      <w:r>
        <w:rPr>
          <w:rFonts w:ascii="宋体" w:hAnsi="宋体" w:eastAsia="宋体" w:cs="宋体"/>
          <w:spacing w:val="-6"/>
          <w:sz w:val="22"/>
          <w:szCs w:val="22"/>
        </w:rPr>
        <w:t>人数和因</w:t>
      </w:r>
      <w:r>
        <w:rPr>
          <w:rFonts w:ascii="宋体" w:hAnsi="宋体" w:eastAsia="宋体" w:cs="宋体"/>
          <w:sz w:val="22"/>
          <w:szCs w:val="22"/>
        </w:rPr>
        <w:t xml:space="preserve"> </w:t>
      </w:r>
      <w:r>
        <w:rPr>
          <w:rFonts w:ascii="Times New Roman" w:hAnsi="Times New Roman" w:eastAsia="Times New Roman" w:cs="Times New Roman"/>
          <w:spacing w:val="-9"/>
          <w:sz w:val="22"/>
          <w:szCs w:val="22"/>
        </w:rPr>
        <w:t>HCV</w:t>
      </w:r>
      <w:r>
        <w:rPr>
          <w:rFonts w:ascii="宋体" w:hAnsi="宋体" w:eastAsia="宋体" w:cs="宋体"/>
          <w:spacing w:val="-9"/>
          <w:sz w:val="22"/>
          <w:szCs w:val="22"/>
        </w:rPr>
        <w:t>死亡人数存在较大差异，见表19-3。其中东地中海地区的患病率最高</w:t>
      </w:r>
      <w:r>
        <w:rPr>
          <w:rFonts w:ascii="宋体" w:hAnsi="宋体" w:eastAsia="宋体" w:cs="宋体"/>
          <w:spacing w:val="-10"/>
          <w:sz w:val="22"/>
          <w:szCs w:val="22"/>
        </w:rPr>
        <w:t>，约1.8%,西太平洋、美</w:t>
      </w:r>
      <w:r>
        <w:rPr>
          <w:rFonts w:ascii="宋体" w:hAnsi="宋体" w:eastAsia="宋体" w:cs="宋体"/>
          <w:sz w:val="22"/>
          <w:szCs w:val="22"/>
        </w:rPr>
        <w:t xml:space="preserve"> </w:t>
      </w:r>
      <w:r>
        <w:rPr>
          <w:rFonts w:ascii="宋体" w:hAnsi="宋体" w:eastAsia="宋体" w:cs="宋体"/>
          <w:spacing w:val="-5"/>
          <w:sz w:val="22"/>
          <w:szCs w:val="22"/>
        </w:rPr>
        <w:t>洲和东南亚地区最低，约0.4%～0.5%。</w:t>
      </w:r>
    </w:p>
    <w:p w14:paraId="612D0D9C">
      <w:pPr>
        <w:spacing w:before="4" w:line="292" w:lineRule="auto"/>
        <w:ind w:right="585" w:firstLine="459"/>
        <w:rPr>
          <w:rFonts w:ascii="宋体" w:hAnsi="宋体" w:eastAsia="宋体" w:cs="宋体"/>
          <w:sz w:val="22"/>
          <w:szCs w:val="22"/>
        </w:rPr>
      </w:pPr>
      <w:r>
        <w:rPr>
          <w:rFonts w:ascii="宋体" w:hAnsi="宋体" w:eastAsia="宋体" w:cs="宋体"/>
          <w:spacing w:val="-11"/>
          <w:sz w:val="22"/>
          <w:szCs w:val="22"/>
        </w:rPr>
        <w:t>丙肝在我国范围均有发病，不同地区抗-HCV</w:t>
      </w:r>
      <w:r>
        <w:rPr>
          <w:rFonts w:ascii="宋体" w:hAnsi="宋体" w:eastAsia="宋体" w:cs="宋体"/>
          <w:spacing w:val="63"/>
          <w:sz w:val="22"/>
          <w:szCs w:val="22"/>
        </w:rPr>
        <w:t xml:space="preserve"> </w:t>
      </w:r>
      <w:r>
        <w:rPr>
          <w:rFonts w:ascii="宋体" w:hAnsi="宋体" w:eastAsia="宋体" w:cs="宋体"/>
          <w:spacing w:val="-11"/>
          <w:sz w:val="22"/>
          <w:szCs w:val="22"/>
        </w:rPr>
        <w:t>阳性率存在差异，2006年全国血清流行病学调查</w:t>
      </w:r>
      <w:r>
        <w:rPr>
          <w:rFonts w:ascii="宋体" w:hAnsi="宋体" w:eastAsia="宋体" w:cs="宋体"/>
          <w:sz w:val="22"/>
          <w:szCs w:val="22"/>
        </w:rPr>
        <w:t xml:space="preserve"> </w:t>
      </w:r>
      <w:r>
        <w:rPr>
          <w:rFonts w:ascii="宋体" w:hAnsi="宋体" w:eastAsia="宋体" w:cs="宋体"/>
          <w:spacing w:val="-2"/>
          <w:sz w:val="22"/>
          <w:szCs w:val="22"/>
        </w:rPr>
        <w:t>显示，北方为0.53%,南方为0.29%。</w:t>
      </w:r>
    </w:p>
    <w:p w14:paraId="7EF6D05C">
      <w:pPr>
        <w:pStyle w:val="2"/>
        <w:spacing w:before="52" w:line="222" w:lineRule="auto"/>
        <w:ind w:left="463"/>
        <w:rPr>
          <w:sz w:val="22"/>
          <w:szCs w:val="22"/>
        </w:rPr>
      </w:pPr>
      <w:r>
        <w:rPr>
          <w:b/>
          <w:bCs/>
          <w:spacing w:val="18"/>
          <w:sz w:val="22"/>
          <w:szCs w:val="22"/>
        </w:rPr>
        <w:t>(二)时间分布</w:t>
      </w:r>
    </w:p>
    <w:p w14:paraId="540A58B2">
      <w:pPr>
        <w:spacing w:before="88" w:line="303" w:lineRule="auto"/>
        <w:ind w:right="593" w:firstLine="459"/>
        <w:jc w:val="both"/>
        <w:rPr>
          <w:rFonts w:ascii="宋体" w:hAnsi="宋体" w:eastAsia="宋体" w:cs="宋体"/>
          <w:sz w:val="22"/>
          <w:szCs w:val="22"/>
        </w:rPr>
      </w:pPr>
      <w:r>
        <w:rPr>
          <w:rFonts w:ascii="宋体" w:hAnsi="宋体" w:eastAsia="宋体" w:cs="宋体"/>
          <w:spacing w:val="-14"/>
          <w:sz w:val="22"/>
          <w:szCs w:val="22"/>
        </w:rPr>
        <w:t>丙肝发病无明显季节性，全年发病较平稳，以散发为主。全球</w:t>
      </w:r>
      <w:r>
        <w:rPr>
          <w:rFonts w:ascii="Times New Roman" w:hAnsi="Times New Roman" w:eastAsia="Times New Roman" w:cs="Times New Roman"/>
          <w:spacing w:val="-14"/>
          <w:sz w:val="22"/>
          <w:szCs w:val="22"/>
        </w:rPr>
        <w:t>HCV</w:t>
      </w:r>
      <w:r>
        <w:rPr>
          <w:rFonts w:ascii="宋体" w:hAnsi="宋体" w:eastAsia="宋体" w:cs="宋体"/>
          <w:spacing w:val="-14"/>
          <w:sz w:val="22"/>
          <w:szCs w:val="22"/>
        </w:rPr>
        <w:t>感染呈下降趋势，全球</w:t>
      </w:r>
      <w:r>
        <w:rPr>
          <w:rFonts w:ascii="Times New Roman" w:hAnsi="Times New Roman" w:eastAsia="Times New Roman" w:cs="Times New Roman"/>
          <w:spacing w:val="-14"/>
          <w:sz w:val="22"/>
          <w:szCs w:val="22"/>
        </w:rPr>
        <w:t>HCV</w:t>
      </w:r>
      <w:r>
        <w:rPr>
          <w:rFonts w:ascii="Times New Roman" w:hAnsi="Times New Roman" w:eastAsia="Times New Roman" w:cs="Times New Roman"/>
          <w:spacing w:val="14"/>
          <w:sz w:val="22"/>
          <w:szCs w:val="22"/>
        </w:rPr>
        <w:t xml:space="preserve"> </w:t>
      </w:r>
      <w:r>
        <w:rPr>
          <w:rFonts w:ascii="宋体" w:hAnsi="宋体" w:eastAsia="宋体" w:cs="宋体"/>
          <w:spacing w:val="6"/>
          <w:sz w:val="22"/>
          <w:szCs w:val="22"/>
        </w:rPr>
        <w:t>感染人数从2015年的7100万下降至20</w:t>
      </w:r>
      <w:r>
        <w:rPr>
          <w:rFonts w:ascii="宋体" w:hAnsi="宋体" w:eastAsia="宋体" w:cs="宋体"/>
          <w:spacing w:val="5"/>
          <w:sz w:val="22"/>
          <w:szCs w:val="22"/>
        </w:rPr>
        <w:t>22年的5000万。我国2015—2021年</w:t>
      </w:r>
      <w:r>
        <w:rPr>
          <w:rFonts w:ascii="Times New Roman" w:hAnsi="Times New Roman" w:eastAsia="Times New Roman" w:cs="Times New Roman"/>
          <w:sz w:val="22"/>
          <w:szCs w:val="22"/>
        </w:rPr>
        <w:t>HCV</w:t>
      </w:r>
      <w:r>
        <w:rPr>
          <w:rFonts w:ascii="Times New Roman" w:hAnsi="Times New Roman" w:eastAsia="Times New Roman" w:cs="Times New Roman"/>
          <w:spacing w:val="-18"/>
          <w:sz w:val="22"/>
          <w:szCs w:val="22"/>
        </w:rPr>
        <w:t xml:space="preserve"> </w:t>
      </w:r>
      <w:r>
        <w:rPr>
          <w:rFonts w:ascii="宋体" w:hAnsi="宋体" w:eastAsia="宋体" w:cs="宋体"/>
          <w:spacing w:val="5"/>
          <w:sz w:val="22"/>
          <w:szCs w:val="22"/>
        </w:rPr>
        <w:t>报告发病数基</w:t>
      </w:r>
      <w:r>
        <w:rPr>
          <w:rFonts w:ascii="宋体" w:hAnsi="宋体" w:eastAsia="宋体" w:cs="宋体"/>
          <w:sz w:val="22"/>
          <w:szCs w:val="22"/>
        </w:rPr>
        <w:t xml:space="preserve"> </w:t>
      </w:r>
      <w:r>
        <w:rPr>
          <w:rFonts w:ascii="宋体" w:hAnsi="宋体" w:eastAsia="宋体" w:cs="宋体"/>
          <w:spacing w:val="-3"/>
          <w:sz w:val="22"/>
          <w:szCs w:val="22"/>
        </w:rPr>
        <w:t>本稳定，在20万～25万之间。</w:t>
      </w:r>
    </w:p>
    <w:p w14:paraId="7D53B959">
      <w:pPr>
        <w:spacing w:line="303" w:lineRule="auto"/>
        <w:rPr>
          <w:rFonts w:ascii="宋体" w:hAnsi="宋体" w:eastAsia="宋体" w:cs="宋体"/>
          <w:sz w:val="22"/>
          <w:szCs w:val="22"/>
        </w:rPr>
        <w:sectPr>
          <w:footerReference r:id="rId324" w:type="default"/>
          <w:pgSz w:w="11900" w:h="16820"/>
          <w:pgMar w:top="400" w:right="903" w:bottom="875" w:left="1460" w:header="0" w:footer="713" w:gutter="0"/>
          <w:cols w:space="720" w:num="1"/>
        </w:sectPr>
      </w:pPr>
    </w:p>
    <w:p w14:paraId="63767F14">
      <w:pPr>
        <w:pStyle w:val="2"/>
        <w:spacing w:before="294" w:line="222" w:lineRule="auto"/>
        <w:ind w:left="662"/>
        <w:rPr>
          <w:sz w:val="20"/>
          <w:szCs w:val="20"/>
        </w:rPr>
      </w:pPr>
      <w:bookmarkStart w:id="498" w:name="bookmark576"/>
      <w:bookmarkEnd w:id="498"/>
      <w:r>
        <w:rPr>
          <w:b/>
          <w:bCs/>
          <w:spacing w:val="-20"/>
          <w:w w:val="96"/>
          <w:sz w:val="20"/>
          <w:szCs w:val="20"/>
        </w:rPr>
        <w:t>第十九章</w:t>
      </w:r>
      <w:r>
        <w:rPr>
          <w:spacing w:val="-20"/>
          <w:w w:val="96"/>
          <w:sz w:val="20"/>
          <w:szCs w:val="20"/>
        </w:rPr>
        <w:t xml:space="preserve"> </w:t>
      </w:r>
      <w:r>
        <w:rPr>
          <w:b/>
          <w:bCs/>
          <w:spacing w:val="-20"/>
          <w:w w:val="96"/>
          <w:sz w:val="20"/>
          <w:szCs w:val="20"/>
        </w:rPr>
        <w:t>病毒性肝炎</w:t>
      </w:r>
    </w:p>
    <w:p w14:paraId="725EDE10">
      <w:pPr>
        <w:spacing w:line="282" w:lineRule="auto"/>
        <w:rPr>
          <w:rFonts w:ascii="Arial"/>
          <w:sz w:val="21"/>
        </w:rPr>
      </w:pPr>
    </w:p>
    <w:p w14:paraId="60D2139D">
      <w:pPr>
        <w:spacing w:line="283" w:lineRule="auto"/>
        <w:rPr>
          <w:rFonts w:ascii="Arial"/>
          <w:sz w:val="21"/>
        </w:rPr>
      </w:pPr>
    </w:p>
    <w:p w14:paraId="4410A3E6">
      <w:pPr>
        <w:spacing w:before="65" w:line="219" w:lineRule="auto"/>
        <w:ind w:left="2630"/>
        <w:rPr>
          <w:rFonts w:ascii="宋体" w:hAnsi="宋体" w:eastAsia="宋体" w:cs="宋体"/>
          <w:sz w:val="20"/>
          <w:szCs w:val="20"/>
        </w:rPr>
      </w:pPr>
      <w:r>
        <w:rPr>
          <w:rFonts w:ascii="宋体" w:hAnsi="宋体" w:eastAsia="宋体" w:cs="宋体"/>
          <w:sz w:val="20"/>
          <w:szCs w:val="20"/>
        </w:rPr>
        <w:t>表19-32022年全球6个区域丙型肝炎发病、患病和死亡情况</w:t>
      </w:r>
    </w:p>
    <w:p w14:paraId="59CC6F1E">
      <w:pPr>
        <w:spacing w:line="96" w:lineRule="auto"/>
        <w:rPr>
          <w:rFonts w:ascii="Arial"/>
          <w:sz w:val="2"/>
        </w:rPr>
      </w:pPr>
    </w:p>
    <w:tbl>
      <w:tblPr>
        <w:tblStyle w:val="5"/>
        <w:tblW w:w="8710" w:type="dxa"/>
        <w:tblInd w:w="699"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0" w:type="dxa"/>
          <w:left w:w="0" w:type="dxa"/>
          <w:bottom w:w="0" w:type="dxa"/>
          <w:right w:w="0" w:type="dxa"/>
        </w:tblCellMar>
      </w:tblPr>
      <w:tblGrid>
        <w:gridCol w:w="1530"/>
        <w:gridCol w:w="1800"/>
        <w:gridCol w:w="1660"/>
        <w:gridCol w:w="1800"/>
        <w:gridCol w:w="1920"/>
      </w:tblGrid>
      <w:tr w14:paraId="39AEE32F">
        <w:trPr>
          <w:trHeight w:val="663" w:hRule="atLeast"/>
        </w:trPr>
        <w:tc>
          <w:tcPr>
            <w:tcW w:w="1530" w:type="dxa"/>
            <w:tcBorders>
              <w:top w:val="single" w:color="000000" w:sz="4" w:space="0"/>
              <w:bottom w:val="single" w:color="000000" w:sz="4" w:space="0"/>
            </w:tcBorders>
            <w:shd w:val="clear" w:color="auto" w:fill="D2D5D9"/>
            <w:vAlign w:val="top"/>
          </w:tcPr>
          <w:p w14:paraId="7FAEB15F">
            <w:pPr>
              <w:pStyle w:val="6"/>
              <w:spacing w:before="231" w:line="220" w:lineRule="auto"/>
              <w:ind w:left="92"/>
            </w:pPr>
            <w:r>
              <w:rPr>
                <w:b/>
                <w:bCs/>
                <w:spacing w:val="-3"/>
              </w:rPr>
              <w:t>WHO区域</w:t>
            </w:r>
          </w:p>
        </w:tc>
        <w:tc>
          <w:tcPr>
            <w:tcW w:w="1800" w:type="dxa"/>
            <w:tcBorders>
              <w:top w:val="single" w:color="000000" w:sz="4" w:space="0"/>
              <w:bottom w:val="single" w:color="000000" w:sz="4" w:space="0"/>
            </w:tcBorders>
            <w:shd w:val="clear" w:color="auto" w:fill="CFD1D1"/>
            <w:vAlign w:val="top"/>
          </w:tcPr>
          <w:p w14:paraId="4F53993C">
            <w:pPr>
              <w:pStyle w:val="6"/>
              <w:spacing w:before="230" w:line="219" w:lineRule="auto"/>
              <w:ind w:left="302"/>
            </w:pPr>
            <w:r>
              <w:rPr>
                <w:b/>
                <w:bCs/>
                <w:spacing w:val="-4"/>
              </w:rPr>
              <w:t>丙肝患病率1%</w:t>
            </w:r>
          </w:p>
        </w:tc>
        <w:tc>
          <w:tcPr>
            <w:tcW w:w="1660" w:type="dxa"/>
            <w:tcBorders>
              <w:top w:val="single" w:color="000000" w:sz="4" w:space="0"/>
              <w:bottom w:val="single" w:color="000000" w:sz="4" w:space="0"/>
            </w:tcBorders>
            <w:shd w:val="clear" w:color="auto" w:fill="D4D5D1"/>
            <w:vAlign w:val="top"/>
          </w:tcPr>
          <w:p w14:paraId="49C09944">
            <w:pPr>
              <w:pStyle w:val="6"/>
              <w:spacing w:before="83" w:line="220" w:lineRule="auto"/>
              <w:ind w:left="280"/>
            </w:pPr>
            <w:r>
              <w:t>HCV</w:t>
            </w:r>
            <w:r>
              <w:rPr>
                <w:spacing w:val="5"/>
              </w:rPr>
              <w:t>感染总</w:t>
            </w:r>
          </w:p>
          <w:p w14:paraId="16F83DBC">
            <w:pPr>
              <w:pStyle w:val="6"/>
              <w:spacing w:before="48" w:line="219" w:lineRule="auto"/>
              <w:ind w:left="472"/>
            </w:pPr>
            <w:r>
              <w:rPr>
                <w:b/>
                <w:bCs/>
                <w:spacing w:val="-4"/>
              </w:rPr>
              <w:t>人数/万</w:t>
            </w:r>
          </w:p>
        </w:tc>
        <w:tc>
          <w:tcPr>
            <w:tcW w:w="1800" w:type="dxa"/>
            <w:tcBorders>
              <w:top w:val="single" w:color="000000" w:sz="4" w:space="0"/>
              <w:bottom w:val="single" w:color="000000" w:sz="4" w:space="0"/>
            </w:tcBorders>
            <w:shd w:val="clear" w:color="auto" w:fill="D8D8D4"/>
            <w:vAlign w:val="top"/>
          </w:tcPr>
          <w:p w14:paraId="65E683CE">
            <w:pPr>
              <w:pStyle w:val="6"/>
              <w:spacing w:before="83" w:line="219" w:lineRule="auto"/>
              <w:ind w:left="320"/>
            </w:pPr>
            <w:r>
              <w:rPr>
                <w:spacing w:val="21"/>
              </w:rPr>
              <w:t>每年新发</w:t>
            </w:r>
            <w:r>
              <w:t>HCV</w:t>
            </w:r>
          </w:p>
          <w:p w14:paraId="154D6A33">
            <w:pPr>
              <w:pStyle w:val="6"/>
              <w:spacing w:before="49" w:line="219" w:lineRule="auto"/>
              <w:ind w:left="322"/>
            </w:pPr>
            <w:r>
              <w:rPr>
                <w:b/>
                <w:bCs/>
                <w:spacing w:val="12"/>
              </w:rPr>
              <w:t>感染人数/万</w:t>
            </w:r>
          </w:p>
        </w:tc>
        <w:tc>
          <w:tcPr>
            <w:tcW w:w="1920" w:type="dxa"/>
            <w:tcBorders>
              <w:top w:val="single" w:color="000000" w:sz="4" w:space="0"/>
              <w:bottom w:val="single" w:color="000000" w:sz="4" w:space="0"/>
            </w:tcBorders>
            <w:shd w:val="clear" w:color="auto" w:fill="B7B5A8"/>
            <w:vAlign w:val="top"/>
          </w:tcPr>
          <w:p w14:paraId="7ACAD8D6">
            <w:pPr>
              <w:pStyle w:val="6"/>
              <w:spacing w:before="79" w:line="261" w:lineRule="auto"/>
              <w:ind w:left="601" w:right="424" w:hanging="399"/>
            </w:pPr>
            <w:r>
              <w:rPr>
                <w:b/>
                <w:bCs/>
                <w:spacing w:val="-4"/>
              </w:rPr>
              <w:t>每年因HCV死亡</w:t>
            </w:r>
            <w:r>
              <w:rPr>
                <w:spacing w:val="6"/>
              </w:rPr>
              <w:t xml:space="preserve"> </w:t>
            </w:r>
            <w:r>
              <w:rPr>
                <w:b/>
                <w:bCs/>
                <w:spacing w:val="-4"/>
              </w:rPr>
              <w:t>人数/万</w:t>
            </w:r>
          </w:p>
        </w:tc>
      </w:tr>
      <w:tr w14:paraId="4530BA91">
        <w:trPr>
          <w:trHeight w:val="378" w:hRule="atLeast"/>
        </w:trPr>
        <w:tc>
          <w:tcPr>
            <w:tcW w:w="1530" w:type="dxa"/>
            <w:tcBorders>
              <w:top w:val="single" w:color="000000" w:sz="4" w:space="0"/>
              <w:bottom w:val="single" w:color="000000" w:sz="4" w:space="0"/>
            </w:tcBorders>
            <w:vAlign w:val="top"/>
          </w:tcPr>
          <w:p w14:paraId="5D6E4078">
            <w:pPr>
              <w:pStyle w:val="6"/>
              <w:spacing w:before="90" w:line="220" w:lineRule="auto"/>
              <w:ind w:left="90"/>
            </w:pPr>
            <w:r>
              <w:rPr>
                <w:spacing w:val="4"/>
              </w:rPr>
              <w:t>非洲地区</w:t>
            </w:r>
          </w:p>
        </w:tc>
        <w:tc>
          <w:tcPr>
            <w:tcW w:w="1800" w:type="dxa"/>
            <w:tcBorders>
              <w:top w:val="single" w:color="000000" w:sz="4" w:space="0"/>
              <w:bottom w:val="single" w:color="000000" w:sz="4" w:space="0"/>
            </w:tcBorders>
            <w:vAlign w:val="top"/>
          </w:tcPr>
          <w:p w14:paraId="1A94FEC7">
            <w:pPr>
              <w:pStyle w:val="6"/>
              <w:spacing w:before="110" w:line="238" w:lineRule="auto"/>
              <w:ind w:left="750"/>
            </w:pPr>
            <w:r>
              <w:rPr>
                <w:spacing w:val="-3"/>
              </w:rPr>
              <w:t>0.7</w:t>
            </w:r>
          </w:p>
        </w:tc>
        <w:tc>
          <w:tcPr>
            <w:tcW w:w="1660" w:type="dxa"/>
            <w:tcBorders>
              <w:top w:val="single" w:color="000000" w:sz="4" w:space="0"/>
              <w:bottom w:val="single" w:color="000000" w:sz="4" w:space="0"/>
            </w:tcBorders>
            <w:vAlign w:val="top"/>
          </w:tcPr>
          <w:p w14:paraId="38E4334A">
            <w:pPr>
              <w:pStyle w:val="6"/>
              <w:spacing w:before="110" w:line="238" w:lineRule="auto"/>
              <w:ind w:left="680"/>
            </w:pPr>
            <w:r>
              <w:rPr>
                <w:spacing w:val="-3"/>
              </w:rPr>
              <w:t>780</w:t>
            </w:r>
          </w:p>
        </w:tc>
        <w:tc>
          <w:tcPr>
            <w:tcW w:w="1800" w:type="dxa"/>
            <w:tcBorders>
              <w:top w:val="single" w:color="000000" w:sz="4" w:space="0"/>
              <w:bottom w:val="single" w:color="000000" w:sz="4" w:space="0"/>
            </w:tcBorders>
            <w:vAlign w:val="top"/>
          </w:tcPr>
          <w:p w14:paraId="402DB744">
            <w:pPr>
              <w:pStyle w:val="6"/>
              <w:spacing w:before="110" w:line="238" w:lineRule="auto"/>
              <w:ind w:left="700"/>
            </w:pPr>
            <w:r>
              <w:rPr>
                <w:spacing w:val="-5"/>
              </w:rPr>
              <w:t>17.2</w:t>
            </w:r>
          </w:p>
        </w:tc>
        <w:tc>
          <w:tcPr>
            <w:tcW w:w="1920" w:type="dxa"/>
            <w:tcBorders>
              <w:top w:val="single" w:color="000000" w:sz="4" w:space="0"/>
              <w:bottom w:val="single" w:color="000000" w:sz="4" w:space="0"/>
            </w:tcBorders>
            <w:vAlign w:val="top"/>
          </w:tcPr>
          <w:p w14:paraId="5272501A">
            <w:pPr>
              <w:pStyle w:val="6"/>
              <w:spacing w:before="110" w:line="238" w:lineRule="auto"/>
              <w:ind w:left="810"/>
            </w:pPr>
            <w:r>
              <w:rPr>
                <w:spacing w:val="-3"/>
              </w:rPr>
              <w:t>3.5</w:t>
            </w:r>
          </w:p>
        </w:tc>
      </w:tr>
      <w:tr w14:paraId="22E65B6A">
        <w:trPr>
          <w:trHeight w:val="409" w:hRule="atLeast"/>
        </w:trPr>
        <w:tc>
          <w:tcPr>
            <w:tcW w:w="1530" w:type="dxa"/>
            <w:tcBorders>
              <w:top w:val="single" w:color="000000" w:sz="4" w:space="0"/>
              <w:bottom w:val="single" w:color="000000" w:sz="4" w:space="0"/>
            </w:tcBorders>
            <w:vAlign w:val="top"/>
          </w:tcPr>
          <w:p w14:paraId="41521F0E">
            <w:pPr>
              <w:pStyle w:val="6"/>
              <w:spacing w:before="113" w:line="220" w:lineRule="auto"/>
              <w:ind w:left="90"/>
            </w:pPr>
            <w:r>
              <w:rPr>
                <w:spacing w:val="4"/>
              </w:rPr>
              <w:t>美洲地区</w:t>
            </w:r>
          </w:p>
        </w:tc>
        <w:tc>
          <w:tcPr>
            <w:tcW w:w="1800" w:type="dxa"/>
            <w:tcBorders>
              <w:top w:val="single" w:color="000000" w:sz="4" w:space="0"/>
              <w:bottom w:val="single" w:color="000000" w:sz="4" w:space="0"/>
            </w:tcBorders>
            <w:shd w:val="clear" w:color="auto" w:fill="ECEBEE"/>
            <w:vAlign w:val="top"/>
          </w:tcPr>
          <w:p w14:paraId="39A3B3BE">
            <w:pPr>
              <w:pStyle w:val="6"/>
              <w:spacing w:before="132" w:line="239" w:lineRule="auto"/>
              <w:ind w:left="750"/>
            </w:pPr>
            <w:r>
              <w:rPr>
                <w:spacing w:val="-3"/>
              </w:rPr>
              <w:t>0.5</w:t>
            </w:r>
          </w:p>
        </w:tc>
        <w:tc>
          <w:tcPr>
            <w:tcW w:w="1660" w:type="dxa"/>
            <w:tcBorders>
              <w:top w:val="single" w:color="000000" w:sz="4" w:space="0"/>
              <w:bottom w:val="single" w:color="000000" w:sz="4" w:space="0"/>
            </w:tcBorders>
            <w:shd w:val="clear" w:color="auto" w:fill="EDECEB"/>
            <w:vAlign w:val="top"/>
          </w:tcPr>
          <w:p w14:paraId="029026A3">
            <w:pPr>
              <w:pStyle w:val="6"/>
              <w:spacing w:before="131"/>
              <w:ind w:left="680"/>
            </w:pPr>
            <w:r>
              <w:rPr>
                <w:spacing w:val="-3"/>
              </w:rPr>
              <w:t>530</w:t>
            </w:r>
          </w:p>
        </w:tc>
        <w:tc>
          <w:tcPr>
            <w:tcW w:w="1800" w:type="dxa"/>
            <w:tcBorders>
              <w:top w:val="single" w:color="000000" w:sz="4" w:space="0"/>
              <w:bottom w:val="single" w:color="000000" w:sz="4" w:space="0"/>
            </w:tcBorders>
            <w:shd w:val="clear" w:color="auto" w:fill="EDEBE9"/>
            <w:vAlign w:val="top"/>
          </w:tcPr>
          <w:p w14:paraId="3F4EFA5D">
            <w:pPr>
              <w:pStyle w:val="6"/>
              <w:spacing w:before="132" w:line="239" w:lineRule="auto"/>
              <w:ind w:left="700"/>
            </w:pPr>
            <w:r>
              <w:rPr>
                <w:spacing w:val="-5"/>
              </w:rPr>
              <w:t>17.6</w:t>
            </w:r>
          </w:p>
        </w:tc>
        <w:tc>
          <w:tcPr>
            <w:tcW w:w="1920" w:type="dxa"/>
            <w:tcBorders>
              <w:top w:val="single" w:color="000000" w:sz="4" w:space="0"/>
              <w:bottom w:val="single" w:color="000000" w:sz="4" w:space="0"/>
            </w:tcBorders>
            <w:shd w:val="clear" w:color="auto" w:fill="E5E4E2"/>
            <w:vAlign w:val="top"/>
          </w:tcPr>
          <w:p w14:paraId="4A4CD6E6">
            <w:pPr>
              <w:pStyle w:val="6"/>
              <w:spacing w:before="132" w:line="239" w:lineRule="auto"/>
              <w:ind w:left="810"/>
            </w:pPr>
            <w:r>
              <w:rPr>
                <w:spacing w:val="-3"/>
              </w:rPr>
              <w:t>3.8</w:t>
            </w:r>
          </w:p>
        </w:tc>
      </w:tr>
      <w:tr w14:paraId="0229C307">
        <w:trPr>
          <w:trHeight w:val="369" w:hRule="atLeast"/>
        </w:trPr>
        <w:tc>
          <w:tcPr>
            <w:tcW w:w="1530" w:type="dxa"/>
            <w:tcBorders>
              <w:top w:val="single" w:color="000000" w:sz="4" w:space="0"/>
              <w:bottom w:val="single" w:color="000000" w:sz="4" w:space="0"/>
            </w:tcBorders>
            <w:vAlign w:val="top"/>
          </w:tcPr>
          <w:p w14:paraId="42C6CCEB">
            <w:pPr>
              <w:pStyle w:val="6"/>
              <w:spacing w:before="93" w:line="219" w:lineRule="auto"/>
              <w:ind w:left="90"/>
            </w:pPr>
            <w:r>
              <w:rPr>
                <w:spacing w:val="3"/>
              </w:rPr>
              <w:t>东南亚地区</w:t>
            </w:r>
          </w:p>
        </w:tc>
        <w:tc>
          <w:tcPr>
            <w:tcW w:w="1800" w:type="dxa"/>
            <w:tcBorders>
              <w:top w:val="single" w:color="000000" w:sz="4" w:space="0"/>
              <w:bottom w:val="single" w:color="000000" w:sz="4" w:space="0"/>
            </w:tcBorders>
            <w:vAlign w:val="top"/>
          </w:tcPr>
          <w:p w14:paraId="6FDCEB83">
            <w:pPr>
              <w:pStyle w:val="6"/>
              <w:spacing w:before="113" w:line="227" w:lineRule="auto"/>
              <w:ind w:left="750"/>
            </w:pPr>
            <w:r>
              <w:rPr>
                <w:spacing w:val="-3"/>
              </w:rPr>
              <w:t>0.5</w:t>
            </w:r>
          </w:p>
        </w:tc>
        <w:tc>
          <w:tcPr>
            <w:tcW w:w="1660" w:type="dxa"/>
            <w:tcBorders>
              <w:top w:val="single" w:color="000000" w:sz="4" w:space="0"/>
              <w:bottom w:val="single" w:color="000000" w:sz="4" w:space="0"/>
            </w:tcBorders>
            <w:vAlign w:val="top"/>
          </w:tcPr>
          <w:p w14:paraId="060C9460">
            <w:pPr>
              <w:pStyle w:val="6"/>
              <w:spacing w:before="113" w:line="227" w:lineRule="auto"/>
              <w:ind w:left="680"/>
            </w:pPr>
            <w:r>
              <w:rPr>
                <w:spacing w:val="-2"/>
              </w:rPr>
              <w:t>910</w:t>
            </w:r>
          </w:p>
        </w:tc>
        <w:tc>
          <w:tcPr>
            <w:tcW w:w="1800" w:type="dxa"/>
            <w:tcBorders>
              <w:top w:val="single" w:color="000000" w:sz="4" w:space="0"/>
              <w:bottom w:val="single" w:color="000000" w:sz="4" w:space="0"/>
            </w:tcBorders>
            <w:vAlign w:val="top"/>
          </w:tcPr>
          <w:p w14:paraId="51047DE3">
            <w:pPr>
              <w:pStyle w:val="6"/>
              <w:spacing w:before="113" w:line="227" w:lineRule="auto"/>
              <w:ind w:left="700"/>
            </w:pPr>
            <w:r>
              <w:rPr>
                <w:spacing w:val="-2"/>
              </w:rPr>
              <w:t>22.5</w:t>
            </w:r>
          </w:p>
        </w:tc>
        <w:tc>
          <w:tcPr>
            <w:tcW w:w="1920" w:type="dxa"/>
            <w:tcBorders>
              <w:top w:val="single" w:color="000000" w:sz="4" w:space="0"/>
              <w:bottom w:val="single" w:color="000000" w:sz="4" w:space="0"/>
            </w:tcBorders>
            <w:vAlign w:val="top"/>
          </w:tcPr>
          <w:p w14:paraId="43330049">
            <w:pPr>
              <w:pStyle w:val="6"/>
              <w:spacing w:before="113" w:line="227" w:lineRule="auto"/>
              <w:ind w:left="810"/>
            </w:pPr>
            <w:r>
              <w:rPr>
                <w:spacing w:val="-2"/>
              </w:rPr>
              <w:t>4.2</w:t>
            </w:r>
          </w:p>
        </w:tc>
      </w:tr>
      <w:tr w14:paraId="3124C1A9">
        <w:trPr>
          <w:trHeight w:val="398" w:hRule="atLeast"/>
        </w:trPr>
        <w:tc>
          <w:tcPr>
            <w:tcW w:w="1530" w:type="dxa"/>
            <w:tcBorders>
              <w:top w:val="single" w:color="000000" w:sz="4" w:space="0"/>
              <w:bottom w:val="single" w:color="000000" w:sz="4" w:space="0"/>
            </w:tcBorders>
            <w:vAlign w:val="top"/>
          </w:tcPr>
          <w:p w14:paraId="4EF56AA3">
            <w:pPr>
              <w:pStyle w:val="6"/>
              <w:spacing w:before="106" w:line="221" w:lineRule="auto"/>
              <w:ind w:left="90"/>
            </w:pPr>
            <w:r>
              <w:rPr>
                <w:spacing w:val="4"/>
              </w:rPr>
              <w:t>欧洲地区</w:t>
            </w:r>
          </w:p>
        </w:tc>
        <w:tc>
          <w:tcPr>
            <w:tcW w:w="1800" w:type="dxa"/>
            <w:tcBorders>
              <w:top w:val="single" w:color="000000" w:sz="4" w:space="0"/>
              <w:bottom w:val="single" w:color="000000" w:sz="4" w:space="0"/>
            </w:tcBorders>
            <w:shd w:val="clear" w:color="auto" w:fill="ECEBEE"/>
            <w:vAlign w:val="top"/>
          </w:tcPr>
          <w:p w14:paraId="63C9BCF2">
            <w:pPr>
              <w:pStyle w:val="6"/>
              <w:spacing w:before="124" w:line="239" w:lineRule="auto"/>
              <w:ind w:left="750"/>
            </w:pPr>
            <w:r>
              <w:rPr>
                <w:spacing w:val="-3"/>
              </w:rPr>
              <w:t>0.9</w:t>
            </w:r>
          </w:p>
        </w:tc>
        <w:tc>
          <w:tcPr>
            <w:tcW w:w="1660" w:type="dxa"/>
            <w:tcBorders>
              <w:top w:val="single" w:color="000000" w:sz="4" w:space="0"/>
              <w:bottom w:val="single" w:color="000000" w:sz="4" w:space="0"/>
            </w:tcBorders>
            <w:shd w:val="clear" w:color="auto" w:fill="EBE9E8"/>
            <w:vAlign w:val="top"/>
          </w:tcPr>
          <w:p w14:paraId="52A137C0">
            <w:pPr>
              <w:pStyle w:val="6"/>
              <w:spacing w:before="123"/>
              <w:ind w:left="680"/>
            </w:pPr>
            <w:r>
              <w:rPr>
                <w:spacing w:val="-2"/>
              </w:rPr>
              <w:t>860</w:t>
            </w:r>
          </w:p>
        </w:tc>
        <w:tc>
          <w:tcPr>
            <w:tcW w:w="1800" w:type="dxa"/>
            <w:tcBorders>
              <w:top w:val="single" w:color="000000" w:sz="4" w:space="0"/>
              <w:bottom w:val="single" w:color="000000" w:sz="4" w:space="0"/>
            </w:tcBorders>
            <w:shd w:val="clear" w:color="auto" w:fill="EAE8E6"/>
            <w:vAlign w:val="top"/>
          </w:tcPr>
          <w:p w14:paraId="49538497">
            <w:pPr>
              <w:pStyle w:val="6"/>
              <w:spacing w:before="124" w:line="239" w:lineRule="auto"/>
              <w:ind w:left="700"/>
            </w:pPr>
            <w:r>
              <w:rPr>
                <w:spacing w:val="-5"/>
              </w:rPr>
              <w:t>12.6</w:t>
            </w:r>
          </w:p>
        </w:tc>
        <w:tc>
          <w:tcPr>
            <w:tcW w:w="1920" w:type="dxa"/>
            <w:tcBorders>
              <w:top w:val="single" w:color="000000" w:sz="4" w:space="0"/>
              <w:bottom w:val="single" w:color="000000" w:sz="4" w:space="0"/>
            </w:tcBorders>
            <w:shd w:val="clear" w:color="auto" w:fill="E1E0DE"/>
            <w:vAlign w:val="top"/>
          </w:tcPr>
          <w:p w14:paraId="7B2E81CD">
            <w:pPr>
              <w:pStyle w:val="6"/>
              <w:spacing w:before="124" w:line="239" w:lineRule="auto"/>
              <w:ind w:left="810"/>
            </w:pPr>
            <w:r>
              <w:rPr>
                <w:spacing w:val="-3"/>
              </w:rPr>
              <w:t>2.1</w:t>
            </w:r>
          </w:p>
        </w:tc>
      </w:tr>
      <w:tr w14:paraId="466F37E9">
        <w:trPr>
          <w:trHeight w:val="399" w:hRule="atLeast"/>
        </w:trPr>
        <w:tc>
          <w:tcPr>
            <w:tcW w:w="1530" w:type="dxa"/>
            <w:tcBorders>
              <w:top w:val="single" w:color="000000" w:sz="4" w:space="0"/>
              <w:bottom w:val="single" w:color="000000" w:sz="4" w:space="0"/>
            </w:tcBorders>
            <w:vAlign w:val="top"/>
          </w:tcPr>
          <w:p w14:paraId="11C43311">
            <w:pPr>
              <w:pStyle w:val="6"/>
              <w:spacing w:before="106" w:line="219" w:lineRule="auto"/>
              <w:ind w:left="90"/>
            </w:pPr>
            <w:r>
              <w:rPr>
                <w:spacing w:val="2"/>
              </w:rPr>
              <w:t>东地中海地区</w:t>
            </w:r>
          </w:p>
        </w:tc>
        <w:tc>
          <w:tcPr>
            <w:tcW w:w="1800" w:type="dxa"/>
            <w:tcBorders>
              <w:top w:val="single" w:color="000000" w:sz="4" w:space="0"/>
              <w:bottom w:val="single" w:color="000000" w:sz="4" w:space="0"/>
            </w:tcBorders>
            <w:vAlign w:val="top"/>
          </w:tcPr>
          <w:p w14:paraId="61E7B80C">
            <w:pPr>
              <w:pStyle w:val="6"/>
              <w:spacing w:before="126" w:line="239" w:lineRule="auto"/>
              <w:ind w:left="750"/>
            </w:pPr>
            <w:r>
              <w:rPr>
                <w:spacing w:val="-6"/>
              </w:rPr>
              <w:t>1.8</w:t>
            </w:r>
          </w:p>
        </w:tc>
        <w:tc>
          <w:tcPr>
            <w:tcW w:w="1660" w:type="dxa"/>
            <w:tcBorders>
              <w:top w:val="single" w:color="000000" w:sz="4" w:space="0"/>
              <w:bottom w:val="single" w:color="000000" w:sz="4" w:space="0"/>
            </w:tcBorders>
            <w:vAlign w:val="top"/>
          </w:tcPr>
          <w:p w14:paraId="62BF93F8">
            <w:pPr>
              <w:pStyle w:val="6"/>
              <w:spacing w:before="125"/>
              <w:ind w:left="630"/>
            </w:pPr>
            <w:r>
              <w:rPr>
                <w:spacing w:val="-5"/>
              </w:rPr>
              <w:t>1170</w:t>
            </w:r>
          </w:p>
        </w:tc>
        <w:tc>
          <w:tcPr>
            <w:tcW w:w="1800" w:type="dxa"/>
            <w:tcBorders>
              <w:top w:val="single" w:color="000000" w:sz="4" w:space="0"/>
              <w:bottom w:val="single" w:color="000000" w:sz="4" w:space="0"/>
            </w:tcBorders>
            <w:vAlign w:val="top"/>
          </w:tcPr>
          <w:p w14:paraId="226A0B2F">
            <w:pPr>
              <w:pStyle w:val="6"/>
              <w:spacing w:before="126" w:line="239" w:lineRule="auto"/>
              <w:ind w:left="700"/>
            </w:pPr>
            <w:r>
              <w:rPr>
                <w:spacing w:val="-5"/>
              </w:rPr>
              <w:t>18.3</w:t>
            </w:r>
          </w:p>
        </w:tc>
        <w:tc>
          <w:tcPr>
            <w:tcW w:w="1920" w:type="dxa"/>
            <w:tcBorders>
              <w:top w:val="single" w:color="000000" w:sz="4" w:space="0"/>
              <w:bottom w:val="single" w:color="000000" w:sz="4" w:space="0"/>
            </w:tcBorders>
            <w:vAlign w:val="top"/>
          </w:tcPr>
          <w:p w14:paraId="72B82DCB">
            <w:pPr>
              <w:pStyle w:val="6"/>
              <w:spacing w:before="126" w:line="239" w:lineRule="auto"/>
              <w:ind w:left="810"/>
            </w:pPr>
            <w:r>
              <w:rPr>
                <w:spacing w:val="-3"/>
              </w:rPr>
              <w:t>6.5</w:t>
            </w:r>
          </w:p>
        </w:tc>
      </w:tr>
      <w:tr w14:paraId="15486007">
        <w:trPr>
          <w:trHeight w:val="384" w:hRule="atLeast"/>
        </w:trPr>
        <w:tc>
          <w:tcPr>
            <w:tcW w:w="1530" w:type="dxa"/>
            <w:tcBorders>
              <w:top w:val="single" w:color="000000" w:sz="4" w:space="0"/>
              <w:bottom w:val="single" w:color="000000" w:sz="4" w:space="0"/>
            </w:tcBorders>
            <w:shd w:val="clear" w:color="auto" w:fill="E8E7EB"/>
            <w:vAlign w:val="top"/>
          </w:tcPr>
          <w:p w14:paraId="135AB4B7">
            <w:pPr>
              <w:pStyle w:val="6"/>
              <w:spacing w:before="97" w:line="220" w:lineRule="auto"/>
              <w:ind w:left="90"/>
            </w:pPr>
            <w:r>
              <w:rPr>
                <w:spacing w:val="2"/>
              </w:rPr>
              <w:t>西太平洋地区</w:t>
            </w:r>
          </w:p>
        </w:tc>
        <w:tc>
          <w:tcPr>
            <w:tcW w:w="1800" w:type="dxa"/>
            <w:tcBorders>
              <w:top w:val="single" w:color="000000" w:sz="4" w:space="0"/>
              <w:bottom w:val="single" w:color="000000" w:sz="4" w:space="0"/>
            </w:tcBorders>
            <w:shd w:val="clear" w:color="auto" w:fill="E8E8EA"/>
            <w:vAlign w:val="top"/>
          </w:tcPr>
          <w:p w14:paraId="3EED9F99">
            <w:pPr>
              <w:pStyle w:val="6"/>
              <w:spacing w:before="117" w:line="237" w:lineRule="auto"/>
              <w:ind w:left="750"/>
            </w:pPr>
            <w:r>
              <w:rPr>
                <w:spacing w:val="-3"/>
              </w:rPr>
              <w:t>0.4</w:t>
            </w:r>
          </w:p>
        </w:tc>
        <w:tc>
          <w:tcPr>
            <w:tcW w:w="1660" w:type="dxa"/>
            <w:tcBorders>
              <w:top w:val="single" w:color="000000" w:sz="4" w:space="0"/>
              <w:bottom w:val="single" w:color="000000" w:sz="4" w:space="0"/>
            </w:tcBorders>
            <w:shd w:val="clear" w:color="auto" w:fill="E5E3E2"/>
            <w:vAlign w:val="top"/>
          </w:tcPr>
          <w:p w14:paraId="5369509F">
            <w:pPr>
              <w:pStyle w:val="6"/>
              <w:spacing w:before="117" w:line="237" w:lineRule="auto"/>
              <w:ind w:left="680"/>
            </w:pPr>
            <w:r>
              <w:rPr>
                <w:spacing w:val="-3"/>
              </w:rPr>
              <w:t>710</w:t>
            </w:r>
          </w:p>
        </w:tc>
        <w:tc>
          <w:tcPr>
            <w:tcW w:w="1800" w:type="dxa"/>
            <w:tcBorders>
              <w:top w:val="single" w:color="000000" w:sz="4" w:space="0"/>
              <w:bottom w:val="single" w:color="000000" w:sz="4" w:space="0"/>
            </w:tcBorders>
            <w:shd w:val="clear" w:color="auto" w:fill="E2E0DE"/>
            <w:vAlign w:val="top"/>
          </w:tcPr>
          <w:p w14:paraId="0F6BA4AA">
            <w:pPr>
              <w:pStyle w:val="6"/>
              <w:spacing w:before="117" w:line="237" w:lineRule="auto"/>
              <w:ind w:left="750"/>
            </w:pPr>
            <w:r>
              <w:rPr>
                <w:spacing w:val="-2"/>
              </w:rPr>
              <w:t>9.8</w:t>
            </w:r>
          </w:p>
        </w:tc>
        <w:tc>
          <w:tcPr>
            <w:tcW w:w="1920" w:type="dxa"/>
            <w:tcBorders>
              <w:top w:val="single" w:color="000000" w:sz="4" w:space="0"/>
              <w:bottom w:val="single" w:color="000000" w:sz="4" w:space="0"/>
            </w:tcBorders>
            <w:shd w:val="clear" w:color="auto" w:fill="D7D3CF"/>
            <w:vAlign w:val="top"/>
          </w:tcPr>
          <w:p w14:paraId="6F850C2D">
            <w:pPr>
              <w:pStyle w:val="6"/>
              <w:spacing w:before="117" w:line="237" w:lineRule="auto"/>
              <w:ind w:left="810"/>
            </w:pPr>
            <w:r>
              <w:rPr>
                <w:spacing w:val="-2"/>
              </w:rPr>
              <w:t>4.3</w:t>
            </w:r>
          </w:p>
        </w:tc>
      </w:tr>
    </w:tbl>
    <w:p w14:paraId="19D7D927">
      <w:pPr>
        <w:spacing w:before="50" w:line="216" w:lineRule="auto"/>
        <w:ind w:left="7650"/>
        <w:rPr>
          <w:rFonts w:ascii="宋体" w:hAnsi="宋体" w:eastAsia="宋体" w:cs="宋体"/>
          <w:sz w:val="20"/>
          <w:szCs w:val="20"/>
        </w:rPr>
      </w:pPr>
      <w:r>
        <w:rPr>
          <w:rFonts w:ascii="宋体" w:hAnsi="宋体" w:eastAsia="宋体" w:cs="宋体"/>
          <w:spacing w:val="4"/>
          <w:sz w:val="20"/>
          <w:szCs w:val="20"/>
        </w:rPr>
        <w:t>(改编自</w:t>
      </w:r>
      <w:r>
        <w:rPr>
          <w:rFonts w:ascii="宋体" w:hAnsi="宋体" w:eastAsia="宋体" w:cs="宋体"/>
          <w:sz w:val="20"/>
          <w:szCs w:val="20"/>
        </w:rPr>
        <w:t>WHO</w:t>
      </w:r>
      <w:r>
        <w:rPr>
          <w:rFonts w:ascii="宋体" w:hAnsi="宋体" w:eastAsia="宋体" w:cs="宋体"/>
          <w:spacing w:val="4"/>
          <w:sz w:val="20"/>
          <w:szCs w:val="20"/>
        </w:rPr>
        <w:t>,2024)</w:t>
      </w:r>
    </w:p>
    <w:p w14:paraId="28656432">
      <w:pPr>
        <w:spacing w:line="297" w:lineRule="auto"/>
        <w:rPr>
          <w:rFonts w:ascii="Arial"/>
          <w:sz w:val="21"/>
        </w:rPr>
      </w:pPr>
    </w:p>
    <w:p w14:paraId="1648EE63">
      <w:pPr>
        <w:pStyle w:val="2"/>
        <w:spacing w:before="65" w:line="221" w:lineRule="auto"/>
        <w:ind w:left="1082"/>
        <w:rPr>
          <w:sz w:val="20"/>
          <w:szCs w:val="20"/>
        </w:rPr>
      </w:pPr>
      <w:r>
        <w:rPr>
          <w:b/>
          <w:bCs/>
          <w:spacing w:val="21"/>
          <w:sz w:val="20"/>
          <w:szCs w:val="20"/>
        </w:rPr>
        <w:t>(三)人群分布</w:t>
      </w:r>
    </w:p>
    <w:p w14:paraId="1FB459B1">
      <w:pPr>
        <w:spacing w:before="112" w:line="344" w:lineRule="auto"/>
        <w:ind w:left="659" w:right="41" w:firstLine="420"/>
        <w:jc w:val="both"/>
        <w:rPr>
          <w:rFonts w:ascii="宋体" w:hAnsi="宋体" w:eastAsia="宋体" w:cs="宋体"/>
          <w:sz w:val="20"/>
          <w:szCs w:val="20"/>
        </w:rPr>
      </w:pPr>
      <w:r>
        <w:rPr>
          <w:rFonts w:ascii="宋体" w:hAnsi="宋体" w:eastAsia="宋体" w:cs="宋体"/>
          <w:spacing w:val="9"/>
          <w:sz w:val="20"/>
          <w:szCs w:val="20"/>
        </w:rPr>
        <w:t>我国抗-</w:t>
      </w:r>
      <w:r>
        <w:rPr>
          <w:rFonts w:ascii="Times New Roman" w:hAnsi="Times New Roman" w:eastAsia="Times New Roman" w:cs="Times New Roman"/>
          <w:sz w:val="20"/>
          <w:szCs w:val="20"/>
        </w:rPr>
        <w:t>HCV</w:t>
      </w:r>
      <w:r>
        <w:rPr>
          <w:rFonts w:ascii="宋体" w:hAnsi="宋体" w:eastAsia="宋体" w:cs="宋体"/>
          <w:spacing w:val="9"/>
          <w:sz w:val="20"/>
          <w:szCs w:val="20"/>
        </w:rPr>
        <w:t>阳性率随年龄增长而上升，2006年1～4岁人群</w:t>
      </w:r>
      <w:r>
        <w:rPr>
          <w:rFonts w:ascii="宋体" w:hAnsi="宋体" w:eastAsia="宋体" w:cs="宋体"/>
          <w:spacing w:val="8"/>
          <w:sz w:val="20"/>
          <w:szCs w:val="20"/>
        </w:rPr>
        <w:t>阳性率为0.09%,50～55岁人群上</w:t>
      </w:r>
      <w:r>
        <w:rPr>
          <w:rFonts w:ascii="宋体" w:hAnsi="宋体" w:eastAsia="宋体" w:cs="宋体"/>
          <w:sz w:val="20"/>
          <w:szCs w:val="20"/>
        </w:rPr>
        <w:t xml:space="preserve"> </w:t>
      </w:r>
      <w:r>
        <w:rPr>
          <w:rFonts w:ascii="宋体" w:hAnsi="宋体" w:eastAsia="宋体" w:cs="宋体"/>
          <w:spacing w:val="7"/>
          <w:sz w:val="20"/>
          <w:szCs w:val="20"/>
        </w:rPr>
        <w:t>升至0.83%。在性别分布上，男性为0.46%,女性为0.40%。吸毒人群和血液透析病人抗-</w:t>
      </w:r>
      <w:r>
        <w:rPr>
          <w:rFonts w:ascii="Times New Roman" w:hAnsi="Times New Roman" w:eastAsia="Times New Roman" w:cs="Times New Roman"/>
          <w:sz w:val="20"/>
          <w:szCs w:val="20"/>
        </w:rPr>
        <w:t>HCV</w:t>
      </w:r>
      <w:r>
        <w:rPr>
          <w:rFonts w:ascii="Times New Roman" w:hAnsi="Times New Roman" w:eastAsia="Times New Roman" w:cs="Times New Roman"/>
          <w:spacing w:val="7"/>
          <w:sz w:val="20"/>
          <w:szCs w:val="20"/>
        </w:rPr>
        <w:t xml:space="preserve"> </w:t>
      </w:r>
      <w:r>
        <w:rPr>
          <w:rFonts w:ascii="宋体" w:hAnsi="宋体" w:eastAsia="宋体" w:cs="宋体"/>
          <w:spacing w:val="7"/>
          <w:sz w:val="20"/>
          <w:szCs w:val="20"/>
        </w:rPr>
        <w:t>阳性</w:t>
      </w:r>
      <w:r>
        <w:rPr>
          <w:rFonts w:ascii="宋体" w:hAnsi="宋体" w:eastAsia="宋体" w:cs="宋体"/>
          <w:spacing w:val="1"/>
          <w:sz w:val="20"/>
          <w:szCs w:val="20"/>
        </w:rPr>
        <w:t xml:space="preserve"> </w:t>
      </w:r>
      <w:r>
        <w:rPr>
          <w:rFonts w:ascii="宋体" w:hAnsi="宋体" w:eastAsia="宋体" w:cs="宋体"/>
          <w:spacing w:val="3"/>
          <w:sz w:val="20"/>
          <w:szCs w:val="20"/>
        </w:rPr>
        <w:t>率高于一般人群。</w:t>
      </w:r>
    </w:p>
    <w:p w14:paraId="53FDF8B7">
      <w:pPr>
        <w:pStyle w:val="2"/>
        <w:spacing w:before="182" w:line="222" w:lineRule="auto"/>
        <w:ind w:left="1083"/>
        <w:outlineLvl w:val="4"/>
        <w:rPr>
          <w:sz w:val="24"/>
          <w:szCs w:val="24"/>
        </w:rPr>
      </w:pPr>
      <w:bookmarkStart w:id="499" w:name="bookmark313"/>
      <w:bookmarkEnd w:id="499"/>
      <w:r>
        <w:rPr>
          <w:b/>
          <w:bCs/>
          <w:spacing w:val="-9"/>
          <w:sz w:val="24"/>
          <w:szCs w:val="24"/>
        </w:rPr>
        <w:t>四</w:t>
      </w:r>
      <w:r>
        <w:rPr>
          <w:spacing w:val="-61"/>
          <w:sz w:val="24"/>
          <w:szCs w:val="24"/>
        </w:rPr>
        <w:t xml:space="preserve"> </w:t>
      </w:r>
      <w:r>
        <w:rPr>
          <w:b/>
          <w:bCs/>
          <w:spacing w:val="-9"/>
          <w:sz w:val="24"/>
          <w:szCs w:val="24"/>
        </w:rPr>
        <w:t>、丁型肝炎</w:t>
      </w:r>
    </w:p>
    <w:p w14:paraId="51CDF955">
      <w:pPr>
        <w:spacing w:before="220" w:line="339" w:lineRule="auto"/>
        <w:ind w:left="659" w:right="68" w:firstLine="420"/>
        <w:jc w:val="both"/>
        <w:rPr>
          <w:rFonts w:ascii="宋体" w:hAnsi="宋体" w:eastAsia="宋体" w:cs="宋体"/>
          <w:sz w:val="20"/>
          <w:szCs w:val="20"/>
        </w:rPr>
      </w:pPr>
      <w:r>
        <w:rPr>
          <w:rFonts w:ascii="Times New Roman" w:hAnsi="Times New Roman" w:eastAsia="Times New Roman" w:cs="Times New Roman"/>
          <w:sz w:val="20"/>
          <w:szCs w:val="20"/>
        </w:rPr>
        <w:t>HDV</w:t>
      </w:r>
      <w:r>
        <w:rPr>
          <w:rFonts w:ascii="宋体" w:hAnsi="宋体" w:eastAsia="宋体" w:cs="宋体"/>
          <w:spacing w:val="4"/>
          <w:sz w:val="20"/>
          <w:szCs w:val="20"/>
        </w:rPr>
        <w:t>常</w:t>
      </w:r>
      <w:r>
        <w:rPr>
          <w:rFonts w:ascii="宋体" w:hAnsi="宋体" w:eastAsia="宋体" w:cs="宋体"/>
          <w:spacing w:val="-29"/>
          <w:sz w:val="20"/>
          <w:szCs w:val="20"/>
        </w:rPr>
        <w:t xml:space="preserve"> </w:t>
      </w:r>
      <w:r>
        <w:rPr>
          <w:rFonts w:ascii="宋体" w:hAnsi="宋体" w:eastAsia="宋体" w:cs="宋体"/>
          <w:spacing w:val="4"/>
          <w:sz w:val="20"/>
          <w:szCs w:val="20"/>
        </w:rPr>
        <w:t>与</w:t>
      </w:r>
      <w:r>
        <w:rPr>
          <w:rFonts w:ascii="Times New Roman" w:hAnsi="Times New Roman" w:eastAsia="Times New Roman" w:cs="Times New Roman"/>
          <w:sz w:val="20"/>
          <w:szCs w:val="20"/>
        </w:rPr>
        <w:t>HBV</w:t>
      </w:r>
      <w:r>
        <w:rPr>
          <w:rFonts w:ascii="Times New Roman" w:hAnsi="Times New Roman" w:eastAsia="Times New Roman" w:cs="Times New Roman"/>
          <w:spacing w:val="21"/>
          <w:w w:val="101"/>
          <w:sz w:val="20"/>
          <w:szCs w:val="20"/>
        </w:rPr>
        <w:t xml:space="preserve"> </w:t>
      </w:r>
      <w:r>
        <w:rPr>
          <w:rFonts w:ascii="宋体" w:hAnsi="宋体" w:eastAsia="宋体" w:cs="宋体"/>
          <w:spacing w:val="4"/>
          <w:sz w:val="20"/>
          <w:szCs w:val="20"/>
        </w:rPr>
        <w:t>发生同时感染或重叠感染。据《2024年全球肝炎报告》,2022年全球</w:t>
      </w:r>
      <w:r>
        <w:rPr>
          <w:rFonts w:ascii="Times New Roman" w:hAnsi="Times New Roman" w:eastAsia="Times New Roman" w:cs="Times New Roman"/>
          <w:sz w:val="20"/>
          <w:szCs w:val="20"/>
        </w:rPr>
        <w:t>HBsAg</w:t>
      </w:r>
      <w:r>
        <w:rPr>
          <w:rFonts w:ascii="宋体" w:hAnsi="宋体" w:eastAsia="宋体" w:cs="宋体"/>
          <w:spacing w:val="4"/>
          <w:sz w:val="20"/>
          <w:szCs w:val="20"/>
        </w:rPr>
        <w:t>阳</w:t>
      </w:r>
      <w:r>
        <w:rPr>
          <w:rFonts w:ascii="宋体" w:hAnsi="宋体" w:eastAsia="宋体" w:cs="宋体"/>
          <w:sz w:val="20"/>
          <w:szCs w:val="20"/>
        </w:rPr>
        <w:t xml:space="preserve"> </w:t>
      </w:r>
      <w:r>
        <w:rPr>
          <w:rFonts w:ascii="宋体" w:hAnsi="宋体" w:eastAsia="宋体" w:cs="宋体"/>
          <w:spacing w:val="8"/>
          <w:sz w:val="20"/>
          <w:szCs w:val="20"/>
        </w:rPr>
        <w:t>性人群中</w:t>
      </w:r>
      <w:r>
        <w:rPr>
          <w:rFonts w:ascii="Times New Roman" w:hAnsi="Times New Roman" w:eastAsia="Times New Roman" w:cs="Times New Roman"/>
          <w:sz w:val="20"/>
          <w:szCs w:val="20"/>
        </w:rPr>
        <w:t>HDV</w:t>
      </w:r>
      <w:r>
        <w:rPr>
          <w:rFonts w:ascii="Times New Roman" w:hAnsi="Times New Roman" w:eastAsia="Times New Roman" w:cs="Times New Roman"/>
          <w:spacing w:val="8"/>
          <w:sz w:val="20"/>
          <w:szCs w:val="20"/>
        </w:rPr>
        <w:t xml:space="preserve"> </w:t>
      </w:r>
      <w:r>
        <w:rPr>
          <w:rFonts w:ascii="宋体" w:hAnsi="宋体" w:eastAsia="宋体" w:cs="宋体"/>
          <w:spacing w:val="8"/>
          <w:sz w:val="20"/>
          <w:szCs w:val="20"/>
        </w:rPr>
        <w:t>感染者人数约1200万，抗-</w:t>
      </w:r>
      <w:r>
        <w:rPr>
          <w:rFonts w:ascii="Times New Roman" w:hAnsi="Times New Roman" w:eastAsia="Times New Roman" w:cs="Times New Roman"/>
          <w:sz w:val="20"/>
          <w:szCs w:val="20"/>
        </w:rPr>
        <w:t>HDV</w:t>
      </w:r>
      <w:r>
        <w:rPr>
          <w:rFonts w:ascii="宋体" w:hAnsi="宋体" w:eastAsia="宋体" w:cs="宋体"/>
          <w:spacing w:val="8"/>
          <w:sz w:val="20"/>
          <w:szCs w:val="20"/>
        </w:rPr>
        <w:t>阳性率约4.50%,一般人群中约为0.16%。《2022中</w:t>
      </w:r>
      <w:r>
        <w:rPr>
          <w:rFonts w:ascii="宋体" w:hAnsi="宋体" w:eastAsia="宋体" w:cs="宋体"/>
          <w:spacing w:val="10"/>
          <w:sz w:val="20"/>
          <w:szCs w:val="20"/>
        </w:rPr>
        <w:t xml:space="preserve"> </w:t>
      </w:r>
      <w:r>
        <w:rPr>
          <w:rFonts w:ascii="宋体" w:hAnsi="宋体" w:eastAsia="宋体" w:cs="宋体"/>
          <w:spacing w:val="-2"/>
          <w:sz w:val="20"/>
          <w:szCs w:val="20"/>
        </w:rPr>
        <w:t>国卫生健康统计年鉴》显示，2021年我国丁肝发病率约0.02/10</w:t>
      </w:r>
      <w:r>
        <w:rPr>
          <w:rFonts w:ascii="宋体" w:hAnsi="宋体" w:eastAsia="宋体" w:cs="宋体"/>
          <w:spacing w:val="-3"/>
          <w:sz w:val="20"/>
          <w:szCs w:val="20"/>
        </w:rPr>
        <w:t>万。</w:t>
      </w:r>
    </w:p>
    <w:p w14:paraId="56653524">
      <w:pPr>
        <w:pStyle w:val="2"/>
        <w:spacing w:line="222" w:lineRule="auto"/>
        <w:ind w:left="1083"/>
        <w:rPr>
          <w:sz w:val="24"/>
          <w:szCs w:val="24"/>
        </w:rPr>
      </w:pPr>
      <w:r>
        <w:rPr>
          <w:b/>
          <w:bCs/>
          <w:spacing w:val="-8"/>
          <w:sz w:val="24"/>
          <w:szCs w:val="24"/>
        </w:rPr>
        <w:t>(一)地区分布</w:t>
      </w:r>
    </w:p>
    <w:p w14:paraId="58B9E28D">
      <w:pPr>
        <w:spacing w:before="90" w:line="330" w:lineRule="auto"/>
        <w:ind w:left="659" w:right="87" w:firstLine="420"/>
        <w:jc w:val="both"/>
        <w:rPr>
          <w:rFonts w:ascii="宋体" w:hAnsi="宋体" w:eastAsia="宋体" w:cs="宋体"/>
          <w:sz w:val="20"/>
          <w:szCs w:val="20"/>
        </w:rPr>
      </w:pPr>
      <w:r>
        <w:rPr>
          <w:rFonts w:ascii="宋体" w:hAnsi="宋体" w:eastAsia="宋体" w:cs="宋体"/>
          <w:spacing w:val="-2"/>
          <w:sz w:val="20"/>
          <w:szCs w:val="20"/>
        </w:rPr>
        <w:t>丁肝呈全球性分布，不同地区的抗-</w:t>
      </w:r>
      <w:r>
        <w:rPr>
          <w:rFonts w:ascii="Times New Roman" w:hAnsi="Times New Roman" w:eastAsia="Times New Roman" w:cs="Times New Roman"/>
          <w:spacing w:val="-2"/>
          <w:sz w:val="20"/>
          <w:szCs w:val="20"/>
        </w:rPr>
        <w:t>HDV</w:t>
      </w:r>
      <w:r>
        <w:rPr>
          <w:rFonts w:ascii="宋体" w:hAnsi="宋体" w:eastAsia="宋体" w:cs="宋体"/>
          <w:spacing w:val="-2"/>
          <w:sz w:val="20"/>
          <w:szCs w:val="20"/>
        </w:rPr>
        <w:t>阳性率差异较大。</w:t>
      </w:r>
      <w:r>
        <w:rPr>
          <w:rFonts w:ascii="宋体" w:hAnsi="宋体" w:eastAsia="宋体" w:cs="宋体"/>
          <w:spacing w:val="-40"/>
          <w:sz w:val="20"/>
          <w:szCs w:val="20"/>
        </w:rPr>
        <w:t xml:space="preserve"> </w:t>
      </w:r>
      <w:r>
        <w:rPr>
          <w:rFonts w:ascii="Times New Roman" w:hAnsi="Times New Roman" w:eastAsia="Times New Roman" w:cs="Times New Roman"/>
          <w:spacing w:val="-2"/>
          <w:sz w:val="20"/>
          <w:szCs w:val="20"/>
        </w:rPr>
        <w:t xml:space="preserve">HBsAg </w:t>
      </w:r>
      <w:r>
        <w:rPr>
          <w:rFonts w:ascii="宋体" w:hAnsi="宋体" w:eastAsia="宋体" w:cs="宋体"/>
          <w:spacing w:val="-2"/>
          <w:sz w:val="20"/>
          <w:szCs w:val="20"/>
        </w:rPr>
        <w:t>阳性</w:t>
      </w:r>
      <w:r>
        <w:rPr>
          <w:rFonts w:ascii="宋体" w:hAnsi="宋体" w:eastAsia="宋体" w:cs="宋体"/>
          <w:spacing w:val="-3"/>
          <w:sz w:val="20"/>
          <w:szCs w:val="20"/>
        </w:rPr>
        <w:t>者中，非洲地区抗-</w:t>
      </w:r>
      <w:r>
        <w:rPr>
          <w:rFonts w:ascii="Times New Roman" w:hAnsi="Times New Roman" w:eastAsia="Times New Roman" w:cs="Times New Roman"/>
          <w:spacing w:val="-3"/>
          <w:sz w:val="20"/>
          <w:szCs w:val="20"/>
        </w:rPr>
        <w:t>HDV</w:t>
      </w:r>
      <w:r>
        <w:rPr>
          <w:rFonts w:ascii="Times New Roman" w:hAnsi="Times New Roman" w:eastAsia="Times New Roman" w:cs="Times New Roman"/>
          <w:sz w:val="20"/>
          <w:szCs w:val="20"/>
        </w:rPr>
        <w:t xml:space="preserve"> </w:t>
      </w:r>
      <w:r>
        <w:rPr>
          <w:rFonts w:ascii="宋体" w:hAnsi="宋体" w:eastAsia="宋体" w:cs="宋体"/>
          <w:spacing w:val="6"/>
          <w:sz w:val="20"/>
          <w:szCs w:val="20"/>
        </w:rPr>
        <w:t>阳性率最高，约5.97%,欧洲地区最低，约3.00%;乙肝病人中，</w:t>
      </w:r>
      <w:r>
        <w:rPr>
          <w:rFonts w:ascii="宋体" w:hAnsi="宋体" w:eastAsia="宋体" w:cs="宋体"/>
          <w:spacing w:val="5"/>
          <w:sz w:val="20"/>
          <w:szCs w:val="20"/>
        </w:rPr>
        <w:t>欧洲地区抗-</w:t>
      </w:r>
      <w:r>
        <w:rPr>
          <w:rFonts w:ascii="Times New Roman" w:hAnsi="Times New Roman" w:eastAsia="Times New Roman" w:cs="Times New Roman"/>
          <w:sz w:val="20"/>
          <w:szCs w:val="20"/>
        </w:rPr>
        <w:t>HDV</w:t>
      </w:r>
      <w:r>
        <w:rPr>
          <w:rFonts w:ascii="Times New Roman" w:hAnsi="Times New Roman" w:eastAsia="Times New Roman" w:cs="Times New Roman"/>
          <w:spacing w:val="30"/>
          <w:w w:val="101"/>
          <w:sz w:val="20"/>
          <w:szCs w:val="20"/>
        </w:rPr>
        <w:t xml:space="preserve"> </w:t>
      </w:r>
      <w:r>
        <w:rPr>
          <w:rFonts w:ascii="宋体" w:hAnsi="宋体" w:eastAsia="宋体" w:cs="宋体"/>
          <w:spacing w:val="5"/>
          <w:sz w:val="20"/>
          <w:szCs w:val="20"/>
        </w:rPr>
        <w:t>阳性率最高，约</w:t>
      </w:r>
      <w:r>
        <w:rPr>
          <w:rFonts w:ascii="宋体" w:hAnsi="宋体" w:eastAsia="宋体" w:cs="宋体"/>
          <w:sz w:val="20"/>
          <w:szCs w:val="20"/>
        </w:rPr>
        <w:t xml:space="preserve"> </w:t>
      </w:r>
      <w:r>
        <w:rPr>
          <w:rFonts w:ascii="宋体" w:hAnsi="宋体" w:eastAsia="宋体" w:cs="宋体"/>
          <w:spacing w:val="3"/>
          <w:sz w:val="20"/>
          <w:szCs w:val="20"/>
        </w:rPr>
        <w:t>19.48%,美洲地区最低，约3.34%,见表19-4。</w:t>
      </w:r>
    </w:p>
    <w:p w14:paraId="2DD8A13C">
      <w:pPr>
        <w:spacing w:before="164" w:line="214" w:lineRule="auto"/>
        <w:ind w:left="1700"/>
        <w:rPr>
          <w:rFonts w:ascii="宋体" w:hAnsi="宋体" w:eastAsia="宋体" w:cs="宋体"/>
          <w:sz w:val="20"/>
          <w:szCs w:val="20"/>
        </w:rPr>
      </w:pPr>
      <w:r>
        <w:rPr>
          <w:rFonts w:ascii="宋体" w:hAnsi="宋体" w:eastAsia="宋体" w:cs="宋体"/>
          <w:spacing w:val="-2"/>
          <w:sz w:val="20"/>
          <w:szCs w:val="20"/>
        </w:rPr>
        <w:t>表19-41998—2019年全球6个区域HBsAg阳性者和乙型肝炎病人的抗-HDV阳性率</w:t>
      </w:r>
    </w:p>
    <w:p w14:paraId="0EAF2027">
      <w:pPr>
        <w:spacing w:line="118" w:lineRule="exact"/>
      </w:pPr>
    </w:p>
    <w:tbl>
      <w:tblPr>
        <w:tblStyle w:val="5"/>
        <w:tblW w:w="8010" w:type="dxa"/>
        <w:tblInd w:w="1219"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0" w:type="dxa"/>
          <w:left w:w="0" w:type="dxa"/>
          <w:bottom w:w="0" w:type="dxa"/>
          <w:right w:w="0" w:type="dxa"/>
        </w:tblCellMar>
      </w:tblPr>
      <w:tblGrid>
        <w:gridCol w:w="1654"/>
        <w:gridCol w:w="3558"/>
        <w:gridCol w:w="2798"/>
      </w:tblGrid>
      <w:tr w14:paraId="6EFC69B8">
        <w:trPr>
          <w:trHeight w:val="297" w:hRule="atLeast"/>
        </w:trPr>
        <w:tc>
          <w:tcPr>
            <w:tcW w:w="1654" w:type="dxa"/>
            <w:vAlign w:val="top"/>
          </w:tcPr>
          <w:p w14:paraId="269940C1">
            <w:pPr>
              <w:pStyle w:val="6"/>
              <w:spacing w:before="7" w:line="220" w:lineRule="auto"/>
              <w:ind w:left="250"/>
            </w:pPr>
            <w:r>
              <w:drawing>
                <wp:anchor distT="0" distB="0" distL="0" distR="0" simplePos="0" relativeHeight="251982848" behindDoc="1" locked="0" layoutInCell="1" allowOverlap="1">
                  <wp:simplePos x="0" y="0"/>
                  <wp:positionH relativeFrom="column">
                    <wp:posOffset>-355600</wp:posOffset>
                  </wp:positionH>
                  <wp:positionV relativeFrom="paragraph">
                    <wp:posOffset>-54610</wp:posOffset>
                  </wp:positionV>
                  <wp:extent cx="5575300" cy="1695450"/>
                  <wp:effectExtent l="0" t="0" r="0" b="0"/>
                  <wp:wrapNone/>
                  <wp:docPr id="794" name="IM 794"/>
                  <wp:cNvGraphicFramePr/>
                  <a:graphic xmlns:a="http://schemas.openxmlformats.org/drawingml/2006/main">
                    <a:graphicData uri="http://schemas.openxmlformats.org/drawingml/2006/picture">
                      <pic:pic xmlns:pic="http://schemas.openxmlformats.org/drawingml/2006/picture">
                        <pic:nvPicPr>
                          <pic:cNvPr id="794" name="IM 794"/>
                          <pic:cNvPicPr/>
                        </pic:nvPicPr>
                        <pic:blipFill>
                          <a:blip r:embed="rId687"/>
                          <a:stretch>
                            <a:fillRect/>
                          </a:stretch>
                        </pic:blipFill>
                        <pic:spPr>
                          <a:xfrm>
                            <a:off x="0" y="0"/>
                            <a:ext cx="5575337" cy="1695502"/>
                          </a:xfrm>
                          <a:prstGeom prst="rect">
                            <a:avLst/>
                          </a:prstGeom>
                        </pic:spPr>
                      </pic:pic>
                    </a:graphicData>
                  </a:graphic>
                </wp:anchor>
              </w:drawing>
            </w:r>
            <w:r>
              <w:rPr>
                <w:spacing w:val="-1"/>
              </w:rPr>
              <w:t>WHO区域</w:t>
            </w:r>
          </w:p>
        </w:tc>
        <w:tc>
          <w:tcPr>
            <w:tcW w:w="3558" w:type="dxa"/>
            <w:vAlign w:val="top"/>
          </w:tcPr>
          <w:p w14:paraId="5B1D2748">
            <w:pPr>
              <w:pStyle w:val="6"/>
              <w:spacing w:line="213" w:lineRule="auto"/>
              <w:ind w:left="435"/>
            </w:pPr>
            <w:r>
              <w:rPr>
                <w:spacing w:val="-1"/>
              </w:rPr>
              <w:t>HBsAg阳性者的抗-HDV阳性率1%</w:t>
            </w:r>
          </w:p>
        </w:tc>
        <w:tc>
          <w:tcPr>
            <w:tcW w:w="2798" w:type="dxa"/>
            <w:vAlign w:val="top"/>
          </w:tcPr>
          <w:p w14:paraId="4B300FA5">
            <w:pPr>
              <w:pStyle w:val="6"/>
              <w:spacing w:before="6" w:line="219" w:lineRule="auto"/>
              <w:jc w:val="right"/>
            </w:pPr>
            <w:r>
              <w:rPr>
                <w:spacing w:val="-2"/>
              </w:rPr>
              <w:t>乙肝病人的抗-HDV阳性率1%</w:t>
            </w:r>
          </w:p>
        </w:tc>
      </w:tr>
      <w:tr w14:paraId="0815C35C">
        <w:trPr>
          <w:trHeight w:val="390" w:hRule="atLeast"/>
        </w:trPr>
        <w:tc>
          <w:tcPr>
            <w:tcW w:w="1654" w:type="dxa"/>
            <w:vAlign w:val="top"/>
          </w:tcPr>
          <w:p w14:paraId="1F71F276">
            <w:pPr>
              <w:pStyle w:val="6"/>
              <w:spacing w:before="90" w:line="220" w:lineRule="auto"/>
              <w:ind w:left="200"/>
            </w:pPr>
            <w:r>
              <w:rPr>
                <w:spacing w:val="4"/>
              </w:rPr>
              <w:t>非洲地区</w:t>
            </w:r>
          </w:p>
        </w:tc>
        <w:tc>
          <w:tcPr>
            <w:tcW w:w="3558" w:type="dxa"/>
            <w:vAlign w:val="top"/>
          </w:tcPr>
          <w:p w14:paraId="0652B133">
            <w:pPr>
              <w:pStyle w:val="6"/>
              <w:spacing w:before="109" w:line="239" w:lineRule="auto"/>
              <w:ind w:left="1685"/>
            </w:pPr>
            <w:r>
              <w:rPr>
                <w:spacing w:val="-3"/>
              </w:rPr>
              <w:t>5.97</w:t>
            </w:r>
          </w:p>
        </w:tc>
        <w:tc>
          <w:tcPr>
            <w:tcW w:w="2798" w:type="dxa"/>
            <w:vAlign w:val="top"/>
          </w:tcPr>
          <w:p w14:paraId="17F157FC">
            <w:pPr>
              <w:pStyle w:val="6"/>
              <w:spacing w:before="109" w:line="239" w:lineRule="auto"/>
              <w:ind w:left="1298"/>
            </w:pPr>
            <w:r>
              <w:rPr>
                <w:spacing w:val="-4"/>
              </w:rPr>
              <w:t>12.26</w:t>
            </w:r>
          </w:p>
        </w:tc>
      </w:tr>
      <w:tr w14:paraId="633D63E5">
        <w:trPr>
          <w:trHeight w:val="380" w:hRule="atLeast"/>
        </w:trPr>
        <w:tc>
          <w:tcPr>
            <w:tcW w:w="1654" w:type="dxa"/>
            <w:vAlign w:val="top"/>
          </w:tcPr>
          <w:p w14:paraId="5A9DAE24">
            <w:pPr>
              <w:pStyle w:val="6"/>
              <w:spacing w:before="79" w:line="220" w:lineRule="auto"/>
              <w:ind w:left="200"/>
            </w:pPr>
            <w:r>
              <w:rPr>
                <w:spacing w:val="4"/>
              </w:rPr>
              <w:t>美洲地区</w:t>
            </w:r>
          </w:p>
        </w:tc>
        <w:tc>
          <w:tcPr>
            <w:tcW w:w="3558" w:type="dxa"/>
            <w:vAlign w:val="top"/>
          </w:tcPr>
          <w:p w14:paraId="0FD8CFE1">
            <w:pPr>
              <w:pStyle w:val="6"/>
              <w:spacing w:before="99" w:line="239" w:lineRule="auto"/>
              <w:ind w:left="1685"/>
            </w:pPr>
            <w:r>
              <w:rPr>
                <w:spacing w:val="-3"/>
              </w:rPr>
              <w:t>5.91</w:t>
            </w:r>
          </w:p>
        </w:tc>
        <w:tc>
          <w:tcPr>
            <w:tcW w:w="2798" w:type="dxa"/>
            <w:vAlign w:val="top"/>
          </w:tcPr>
          <w:p w14:paraId="0A7E7CA0">
            <w:pPr>
              <w:pStyle w:val="6"/>
              <w:spacing w:before="99" w:line="239" w:lineRule="auto"/>
              <w:ind w:left="1347"/>
            </w:pPr>
            <w:r>
              <w:rPr>
                <w:spacing w:val="-3"/>
              </w:rPr>
              <w:t>3.34</w:t>
            </w:r>
          </w:p>
        </w:tc>
      </w:tr>
      <w:tr w14:paraId="20A8A56D">
        <w:trPr>
          <w:trHeight w:val="386" w:hRule="atLeast"/>
        </w:trPr>
        <w:tc>
          <w:tcPr>
            <w:tcW w:w="1654" w:type="dxa"/>
            <w:vAlign w:val="top"/>
          </w:tcPr>
          <w:p w14:paraId="320BFBC8">
            <w:pPr>
              <w:pStyle w:val="6"/>
              <w:spacing w:before="79" w:line="219" w:lineRule="auto"/>
              <w:ind w:left="99"/>
            </w:pPr>
            <w:r>
              <w:rPr>
                <w:spacing w:val="3"/>
              </w:rPr>
              <w:t>东南亚地区</w:t>
            </w:r>
          </w:p>
        </w:tc>
        <w:tc>
          <w:tcPr>
            <w:tcW w:w="3558" w:type="dxa"/>
            <w:vAlign w:val="top"/>
          </w:tcPr>
          <w:p w14:paraId="6948335D">
            <w:pPr>
              <w:pStyle w:val="6"/>
              <w:spacing w:before="99" w:line="239" w:lineRule="auto"/>
              <w:ind w:left="1685"/>
            </w:pPr>
            <w:r>
              <w:rPr>
                <w:spacing w:val="-3"/>
              </w:rPr>
              <w:t>3.20</w:t>
            </w:r>
          </w:p>
        </w:tc>
        <w:tc>
          <w:tcPr>
            <w:tcW w:w="2798" w:type="dxa"/>
            <w:vAlign w:val="top"/>
          </w:tcPr>
          <w:p w14:paraId="769395FA">
            <w:pPr>
              <w:pStyle w:val="6"/>
              <w:spacing w:before="99" w:line="239" w:lineRule="auto"/>
              <w:ind w:left="1347"/>
            </w:pPr>
            <w:r>
              <w:rPr>
                <w:spacing w:val="-2"/>
              </w:rPr>
              <w:t>4.00</w:t>
            </w:r>
          </w:p>
        </w:tc>
      </w:tr>
      <w:tr w14:paraId="5401FF37">
        <w:trPr>
          <w:trHeight w:val="384" w:hRule="atLeast"/>
        </w:trPr>
        <w:tc>
          <w:tcPr>
            <w:tcW w:w="1654" w:type="dxa"/>
            <w:vAlign w:val="top"/>
          </w:tcPr>
          <w:p w14:paraId="5C8FCB8F">
            <w:pPr>
              <w:pStyle w:val="6"/>
              <w:spacing w:before="86" w:line="221" w:lineRule="auto"/>
              <w:ind w:left="200"/>
            </w:pPr>
            <w:r>
              <w:rPr>
                <w:spacing w:val="4"/>
              </w:rPr>
              <w:t>欧洲地区</w:t>
            </w:r>
          </w:p>
        </w:tc>
        <w:tc>
          <w:tcPr>
            <w:tcW w:w="3558" w:type="dxa"/>
            <w:vAlign w:val="top"/>
          </w:tcPr>
          <w:p w14:paraId="137DD696">
            <w:pPr>
              <w:pStyle w:val="6"/>
              <w:spacing w:before="103" w:line="239" w:lineRule="auto"/>
              <w:ind w:left="1685"/>
            </w:pPr>
            <w:r>
              <w:rPr>
                <w:spacing w:val="-3"/>
              </w:rPr>
              <w:t>3.00</w:t>
            </w:r>
          </w:p>
        </w:tc>
        <w:tc>
          <w:tcPr>
            <w:tcW w:w="2798" w:type="dxa"/>
            <w:vAlign w:val="top"/>
          </w:tcPr>
          <w:p w14:paraId="2BBB8041">
            <w:pPr>
              <w:pStyle w:val="6"/>
              <w:spacing w:before="103" w:line="239" w:lineRule="auto"/>
              <w:ind w:left="1298"/>
            </w:pPr>
            <w:r>
              <w:rPr>
                <w:spacing w:val="-4"/>
              </w:rPr>
              <w:t>19.48</w:t>
            </w:r>
          </w:p>
        </w:tc>
      </w:tr>
      <w:tr w14:paraId="1E4F4B11">
        <w:trPr>
          <w:trHeight w:val="380" w:hRule="atLeast"/>
        </w:trPr>
        <w:tc>
          <w:tcPr>
            <w:tcW w:w="1654" w:type="dxa"/>
            <w:vAlign w:val="top"/>
          </w:tcPr>
          <w:p w14:paraId="590700F2">
            <w:pPr>
              <w:pStyle w:val="6"/>
              <w:spacing w:before="79" w:line="219" w:lineRule="auto"/>
            </w:pPr>
            <w:r>
              <w:rPr>
                <w:spacing w:val="2"/>
              </w:rPr>
              <w:t>东地中海地区</w:t>
            </w:r>
          </w:p>
        </w:tc>
        <w:tc>
          <w:tcPr>
            <w:tcW w:w="3558" w:type="dxa"/>
            <w:vAlign w:val="top"/>
          </w:tcPr>
          <w:p w14:paraId="60E4CCCD">
            <w:pPr>
              <w:pStyle w:val="6"/>
              <w:spacing w:before="99" w:line="239" w:lineRule="auto"/>
              <w:ind w:left="1685"/>
            </w:pPr>
            <w:r>
              <w:rPr>
                <w:spacing w:val="-3"/>
              </w:rPr>
              <w:t>3.54</w:t>
            </w:r>
          </w:p>
        </w:tc>
        <w:tc>
          <w:tcPr>
            <w:tcW w:w="2798" w:type="dxa"/>
            <w:vAlign w:val="top"/>
          </w:tcPr>
          <w:p w14:paraId="77F68228">
            <w:pPr>
              <w:pStyle w:val="6"/>
              <w:spacing w:before="99" w:line="239" w:lineRule="auto"/>
              <w:ind w:left="1298"/>
            </w:pPr>
            <w:r>
              <w:rPr>
                <w:spacing w:val="-4"/>
              </w:rPr>
              <w:t>17.36</w:t>
            </w:r>
          </w:p>
        </w:tc>
      </w:tr>
      <w:tr w14:paraId="77547C88">
        <w:trPr>
          <w:trHeight w:val="299" w:hRule="atLeast"/>
        </w:trPr>
        <w:tc>
          <w:tcPr>
            <w:tcW w:w="1654" w:type="dxa"/>
            <w:vAlign w:val="top"/>
          </w:tcPr>
          <w:p w14:paraId="25AB50AD">
            <w:pPr>
              <w:pStyle w:val="6"/>
              <w:spacing w:before="79" w:line="193" w:lineRule="auto"/>
            </w:pPr>
            <w:r>
              <w:rPr>
                <w:spacing w:val="2"/>
              </w:rPr>
              <w:t>西太平洋地区</w:t>
            </w:r>
          </w:p>
        </w:tc>
        <w:tc>
          <w:tcPr>
            <w:tcW w:w="3558" w:type="dxa"/>
            <w:vAlign w:val="top"/>
          </w:tcPr>
          <w:p w14:paraId="5C845BD2">
            <w:pPr>
              <w:pStyle w:val="6"/>
              <w:spacing w:before="99" w:line="175" w:lineRule="auto"/>
              <w:ind w:left="1685"/>
            </w:pPr>
            <w:r>
              <w:rPr>
                <w:spacing w:val="-2"/>
              </w:rPr>
              <w:t>4.09</w:t>
            </w:r>
          </w:p>
        </w:tc>
        <w:tc>
          <w:tcPr>
            <w:tcW w:w="2798" w:type="dxa"/>
            <w:vAlign w:val="top"/>
          </w:tcPr>
          <w:p w14:paraId="4DC8FDAC">
            <w:pPr>
              <w:pStyle w:val="6"/>
              <w:spacing w:before="99" w:line="175" w:lineRule="auto"/>
              <w:ind w:left="1347"/>
            </w:pPr>
            <w:r>
              <w:rPr>
                <w:spacing w:val="-2"/>
              </w:rPr>
              <w:t>8.07</w:t>
            </w:r>
          </w:p>
        </w:tc>
      </w:tr>
    </w:tbl>
    <w:p w14:paraId="315DB5BA">
      <w:pPr>
        <w:spacing w:before="118" w:line="216" w:lineRule="auto"/>
        <w:ind w:left="6730"/>
        <w:rPr>
          <w:rFonts w:ascii="宋体" w:hAnsi="宋体" w:eastAsia="宋体" w:cs="宋体"/>
          <w:sz w:val="20"/>
          <w:szCs w:val="20"/>
        </w:rPr>
      </w:pPr>
      <w:r>
        <w:rPr>
          <w:rFonts w:ascii="宋体" w:hAnsi="宋体" w:eastAsia="宋体" w:cs="宋体"/>
          <w:spacing w:val="3"/>
          <w:sz w:val="20"/>
          <w:szCs w:val="20"/>
        </w:rPr>
        <w:t>(改编自</w:t>
      </w:r>
      <w:r>
        <w:rPr>
          <w:rFonts w:ascii="宋体" w:hAnsi="宋体" w:eastAsia="宋体" w:cs="宋体"/>
          <w:sz w:val="20"/>
          <w:szCs w:val="20"/>
        </w:rPr>
        <w:t>Stockdale</w:t>
      </w:r>
      <w:r>
        <w:rPr>
          <w:rFonts w:ascii="宋体" w:hAnsi="宋体" w:eastAsia="宋体" w:cs="宋体"/>
          <w:spacing w:val="3"/>
          <w:sz w:val="20"/>
          <w:szCs w:val="20"/>
        </w:rPr>
        <w:t xml:space="preserve"> </w:t>
      </w:r>
      <w:r>
        <w:rPr>
          <w:rFonts w:ascii="宋体" w:hAnsi="宋体" w:eastAsia="宋体" w:cs="宋体"/>
          <w:sz w:val="20"/>
          <w:szCs w:val="20"/>
        </w:rPr>
        <w:t>AJ</w:t>
      </w:r>
      <w:r>
        <w:rPr>
          <w:rFonts w:ascii="宋体" w:hAnsi="宋体" w:eastAsia="宋体" w:cs="宋体"/>
          <w:spacing w:val="3"/>
          <w:sz w:val="20"/>
          <w:szCs w:val="20"/>
        </w:rPr>
        <w:t>,2020)</w:t>
      </w:r>
    </w:p>
    <w:p w14:paraId="25AFEBA7">
      <w:pPr>
        <w:spacing w:line="302" w:lineRule="auto"/>
        <w:rPr>
          <w:rFonts w:ascii="Arial"/>
          <w:sz w:val="21"/>
        </w:rPr>
      </w:pPr>
    </w:p>
    <w:p w14:paraId="30385BDA">
      <w:pPr>
        <w:spacing w:before="65" w:line="334" w:lineRule="auto"/>
        <w:ind w:left="659" w:right="77" w:firstLine="420"/>
        <w:jc w:val="both"/>
        <w:rPr>
          <w:rFonts w:ascii="宋体" w:hAnsi="宋体" w:eastAsia="宋体" w:cs="宋体"/>
          <w:sz w:val="20"/>
          <w:szCs w:val="20"/>
        </w:rPr>
      </w:pPr>
      <w:r>
        <w:rPr>
          <w:rFonts w:ascii="宋体" w:hAnsi="宋体" w:eastAsia="宋体" w:cs="宋体"/>
          <w:spacing w:val="-1"/>
          <w:sz w:val="20"/>
          <w:szCs w:val="20"/>
        </w:rPr>
        <w:t>我</w:t>
      </w:r>
      <w:r>
        <w:rPr>
          <w:rFonts w:ascii="宋体" w:hAnsi="宋体" w:eastAsia="宋体" w:cs="宋体"/>
          <w:spacing w:val="-23"/>
          <w:sz w:val="20"/>
          <w:szCs w:val="20"/>
        </w:rPr>
        <w:t xml:space="preserve"> </w:t>
      </w:r>
      <w:r>
        <w:rPr>
          <w:rFonts w:ascii="宋体" w:hAnsi="宋体" w:eastAsia="宋体" w:cs="宋体"/>
          <w:spacing w:val="-1"/>
          <w:sz w:val="20"/>
          <w:szCs w:val="20"/>
        </w:rPr>
        <w:t>国</w:t>
      </w:r>
      <w:r>
        <w:rPr>
          <w:rFonts w:ascii="Times New Roman" w:hAnsi="Times New Roman" w:eastAsia="Times New Roman" w:cs="Times New Roman"/>
          <w:spacing w:val="-1"/>
          <w:sz w:val="20"/>
          <w:szCs w:val="20"/>
        </w:rPr>
        <w:t>HDV</w:t>
      </w:r>
      <w:r>
        <w:rPr>
          <w:rFonts w:ascii="Times New Roman" w:hAnsi="Times New Roman" w:eastAsia="Times New Roman" w:cs="Times New Roman"/>
          <w:spacing w:val="-19"/>
          <w:sz w:val="20"/>
          <w:szCs w:val="20"/>
        </w:rPr>
        <w:t xml:space="preserve"> </w:t>
      </w:r>
      <w:r>
        <w:rPr>
          <w:rFonts w:ascii="宋体" w:hAnsi="宋体" w:eastAsia="宋体" w:cs="宋体"/>
          <w:spacing w:val="-1"/>
          <w:sz w:val="20"/>
          <w:szCs w:val="20"/>
        </w:rPr>
        <w:t>感染率整体较低，不同地区差异较小。《2022中</w:t>
      </w:r>
      <w:r>
        <w:rPr>
          <w:rFonts w:ascii="宋体" w:hAnsi="宋体" w:eastAsia="宋体" w:cs="宋体"/>
          <w:spacing w:val="-2"/>
          <w:sz w:val="20"/>
          <w:szCs w:val="20"/>
        </w:rPr>
        <w:t>国卫生健康统计年鉴》显示，2021年</w:t>
      </w:r>
      <w:r>
        <w:rPr>
          <w:rFonts w:ascii="宋体" w:hAnsi="宋体" w:eastAsia="宋体" w:cs="宋体"/>
          <w:sz w:val="20"/>
          <w:szCs w:val="20"/>
        </w:rPr>
        <w:t xml:space="preserve"> </w:t>
      </w:r>
      <w:r>
        <w:rPr>
          <w:rFonts w:ascii="宋体" w:hAnsi="宋体" w:eastAsia="宋体" w:cs="宋体"/>
          <w:spacing w:val="-4"/>
          <w:sz w:val="20"/>
          <w:szCs w:val="20"/>
        </w:rPr>
        <w:t>青海的丁肝发病率最高，约0.05/10万，北京、吉林、黑龙江、江西、山东和甘肃的发</w:t>
      </w:r>
      <w:r>
        <w:rPr>
          <w:rFonts w:ascii="宋体" w:hAnsi="宋体" w:eastAsia="宋体" w:cs="宋体"/>
          <w:spacing w:val="-5"/>
          <w:sz w:val="20"/>
          <w:szCs w:val="20"/>
        </w:rPr>
        <w:t>病率最低，均低</w:t>
      </w:r>
      <w:r>
        <w:rPr>
          <w:rFonts w:ascii="宋体" w:hAnsi="宋体" w:eastAsia="宋体" w:cs="宋体"/>
          <w:sz w:val="20"/>
          <w:szCs w:val="20"/>
        </w:rPr>
        <w:t xml:space="preserve"> </w:t>
      </w:r>
      <w:r>
        <w:rPr>
          <w:rFonts w:ascii="宋体" w:hAnsi="宋体" w:eastAsia="宋体" w:cs="宋体"/>
          <w:spacing w:val="-1"/>
          <w:sz w:val="20"/>
          <w:szCs w:val="20"/>
        </w:rPr>
        <w:t>于0.01/10万。</w:t>
      </w:r>
    </w:p>
    <w:p w14:paraId="285EA28B">
      <w:pPr>
        <w:spacing w:before="12" w:line="331" w:lineRule="auto"/>
        <w:ind w:left="659" w:right="81" w:firstLine="420"/>
        <w:rPr>
          <w:rFonts w:ascii="宋体" w:hAnsi="宋体" w:eastAsia="宋体" w:cs="宋体"/>
          <w:sz w:val="20"/>
          <w:szCs w:val="20"/>
        </w:rPr>
      </w:pPr>
      <w:r>
        <w:rPr>
          <w:rFonts w:ascii="宋体" w:hAnsi="宋体" w:eastAsia="宋体" w:cs="宋体"/>
          <w:sz w:val="20"/>
          <w:szCs w:val="20"/>
        </w:rPr>
        <w:t>HDV</w:t>
      </w:r>
      <w:r>
        <w:rPr>
          <w:rFonts w:ascii="宋体" w:hAnsi="宋体" w:eastAsia="宋体" w:cs="宋体"/>
          <w:spacing w:val="65"/>
          <w:sz w:val="20"/>
          <w:szCs w:val="20"/>
        </w:rPr>
        <w:t xml:space="preserve"> </w:t>
      </w:r>
      <w:r>
        <w:rPr>
          <w:rFonts w:ascii="宋体" w:hAnsi="宋体" w:eastAsia="宋体" w:cs="宋体"/>
          <w:spacing w:val="8"/>
          <w:sz w:val="20"/>
          <w:szCs w:val="20"/>
        </w:rPr>
        <w:t>不同基因型的地区分布也存在明显差异。其中1型在全世界范围分布，2型和4型主要分</w:t>
      </w:r>
      <w:r>
        <w:rPr>
          <w:rFonts w:ascii="宋体" w:hAnsi="宋体" w:eastAsia="宋体" w:cs="宋体"/>
          <w:sz w:val="20"/>
          <w:szCs w:val="20"/>
        </w:rPr>
        <w:t xml:space="preserve"> </w:t>
      </w:r>
      <w:r>
        <w:rPr>
          <w:rFonts w:ascii="宋体" w:hAnsi="宋体" w:eastAsia="宋体" w:cs="宋体"/>
          <w:spacing w:val="8"/>
          <w:sz w:val="20"/>
          <w:szCs w:val="20"/>
        </w:rPr>
        <w:t>布在亚洲地区，3型主要分布在拉丁美洲地区(亚马孙河流域地区),5型主要分布在西非地区，6~</w:t>
      </w:r>
    </w:p>
    <w:p w14:paraId="0FB06001">
      <w:pPr>
        <w:spacing w:line="331" w:lineRule="auto"/>
        <w:rPr>
          <w:rFonts w:ascii="宋体" w:hAnsi="宋体" w:eastAsia="宋体" w:cs="宋体"/>
          <w:sz w:val="20"/>
          <w:szCs w:val="20"/>
        </w:rPr>
        <w:sectPr>
          <w:footerReference r:id="rId325" w:type="default"/>
          <w:pgSz w:w="11900" w:h="16820"/>
          <w:pgMar w:top="400" w:right="1559" w:bottom="909" w:left="899" w:header="0" w:footer="729" w:gutter="0"/>
          <w:cols w:space="720" w:num="1"/>
        </w:sectPr>
      </w:pPr>
    </w:p>
    <w:p w14:paraId="6C6C5943">
      <w:pPr>
        <w:pStyle w:val="2"/>
        <w:spacing w:before="307" w:line="222" w:lineRule="auto"/>
        <w:ind w:left="7294"/>
        <w:rPr>
          <w:sz w:val="21"/>
          <w:szCs w:val="21"/>
        </w:rPr>
      </w:pPr>
      <w:bookmarkStart w:id="500" w:name="bookmark577"/>
      <w:bookmarkEnd w:id="500"/>
      <w:r>
        <w:rPr>
          <w:spacing w:val="-21"/>
          <w:w w:val="96"/>
          <w:sz w:val="21"/>
          <w:szCs w:val="21"/>
        </w:rPr>
        <w:t>第十九章 病毒性肝炎</w:t>
      </w:r>
    </w:p>
    <w:p w14:paraId="184D1304">
      <w:pPr>
        <w:spacing w:line="243" w:lineRule="auto"/>
        <w:rPr>
          <w:rFonts w:ascii="Arial"/>
          <w:sz w:val="21"/>
        </w:rPr>
      </w:pPr>
    </w:p>
    <w:p w14:paraId="40E8FA91">
      <w:pPr>
        <w:spacing w:line="243" w:lineRule="auto"/>
        <w:rPr>
          <w:rFonts w:ascii="Arial"/>
          <w:sz w:val="21"/>
        </w:rPr>
      </w:pPr>
    </w:p>
    <w:p w14:paraId="6BBD0AFB">
      <w:pPr>
        <w:spacing w:before="68" w:line="219" w:lineRule="auto"/>
        <w:ind w:left="105"/>
        <w:rPr>
          <w:rFonts w:ascii="宋体" w:hAnsi="宋体" w:eastAsia="宋体" w:cs="宋体"/>
          <w:sz w:val="21"/>
          <w:szCs w:val="21"/>
        </w:rPr>
      </w:pPr>
      <w:r>
        <w:rPr>
          <w:rFonts w:ascii="宋体" w:hAnsi="宋体" w:eastAsia="宋体" w:cs="宋体"/>
          <w:spacing w:val="8"/>
          <w:sz w:val="21"/>
          <w:szCs w:val="21"/>
        </w:rPr>
        <w:t>8型主要分布在中非地区。我国</w:t>
      </w:r>
      <w:r>
        <w:rPr>
          <w:rFonts w:ascii="Times New Roman" w:hAnsi="Times New Roman" w:eastAsia="Times New Roman" w:cs="Times New Roman"/>
          <w:sz w:val="21"/>
          <w:szCs w:val="21"/>
        </w:rPr>
        <w:t>HDV</w:t>
      </w:r>
      <w:r>
        <w:rPr>
          <w:rFonts w:ascii="宋体" w:hAnsi="宋体" w:eastAsia="宋体" w:cs="宋体"/>
          <w:spacing w:val="8"/>
          <w:sz w:val="21"/>
          <w:szCs w:val="21"/>
        </w:rPr>
        <w:t>主要基因型为1型和2型。</w:t>
      </w:r>
    </w:p>
    <w:p w14:paraId="44D2FB49">
      <w:pPr>
        <w:pStyle w:val="2"/>
        <w:spacing w:before="93" w:line="222" w:lineRule="auto"/>
        <w:ind w:left="544"/>
        <w:rPr>
          <w:sz w:val="25"/>
          <w:szCs w:val="25"/>
        </w:rPr>
      </w:pPr>
      <w:r>
        <w:rPr>
          <w:spacing w:val="-1"/>
          <w:sz w:val="25"/>
          <w:szCs w:val="25"/>
        </w:rPr>
        <w:t>(二)时间分布</w:t>
      </w:r>
    </w:p>
    <w:p w14:paraId="21452C52">
      <w:pPr>
        <w:spacing w:before="75" w:line="326" w:lineRule="auto"/>
        <w:ind w:left="105" w:right="616" w:firstLine="439"/>
        <w:rPr>
          <w:rFonts w:ascii="宋体" w:hAnsi="宋体" w:eastAsia="宋体" w:cs="宋体"/>
          <w:sz w:val="21"/>
          <w:szCs w:val="21"/>
        </w:rPr>
      </w:pPr>
      <w:r>
        <w:rPr>
          <w:rFonts w:ascii="宋体" w:hAnsi="宋体" w:eastAsia="宋体" w:cs="宋体"/>
          <w:spacing w:val="-1"/>
          <w:sz w:val="21"/>
          <w:szCs w:val="21"/>
        </w:rPr>
        <w:t>全球</w:t>
      </w:r>
      <w:r>
        <w:rPr>
          <w:rFonts w:ascii="Times New Roman" w:hAnsi="Times New Roman" w:eastAsia="Times New Roman" w:cs="Times New Roman"/>
          <w:spacing w:val="-1"/>
          <w:sz w:val="21"/>
          <w:szCs w:val="21"/>
        </w:rPr>
        <w:t xml:space="preserve">HDV </w:t>
      </w:r>
      <w:r>
        <w:rPr>
          <w:rFonts w:ascii="宋体" w:hAnsi="宋体" w:eastAsia="宋体" w:cs="宋体"/>
          <w:spacing w:val="-1"/>
          <w:sz w:val="21"/>
          <w:szCs w:val="21"/>
        </w:rPr>
        <w:t>感染率总体呈持续下降趋势。我国丁肝发病情况基本稳定，2016—2</w:t>
      </w:r>
      <w:r>
        <w:rPr>
          <w:rFonts w:ascii="宋体" w:hAnsi="宋体" w:eastAsia="宋体" w:cs="宋体"/>
          <w:spacing w:val="-2"/>
          <w:sz w:val="21"/>
          <w:szCs w:val="21"/>
        </w:rPr>
        <w:t>019年报告发病</w:t>
      </w:r>
      <w:r>
        <w:rPr>
          <w:rFonts w:ascii="宋体" w:hAnsi="宋体" w:eastAsia="宋体" w:cs="宋体"/>
          <w:sz w:val="21"/>
          <w:szCs w:val="21"/>
        </w:rPr>
        <w:t xml:space="preserve"> </w:t>
      </w:r>
      <w:r>
        <w:rPr>
          <w:rFonts w:ascii="宋体" w:hAnsi="宋体" w:eastAsia="宋体" w:cs="宋体"/>
          <w:spacing w:val="-4"/>
          <w:sz w:val="21"/>
          <w:szCs w:val="21"/>
        </w:rPr>
        <w:t>率维持在0.03/10万，2020年为0.01/10万，2021年为0.02/10万。</w:t>
      </w:r>
    </w:p>
    <w:p w14:paraId="6ED1E1E0">
      <w:pPr>
        <w:pStyle w:val="2"/>
        <w:spacing w:before="1" w:line="220" w:lineRule="auto"/>
        <w:ind w:left="544"/>
        <w:rPr>
          <w:sz w:val="25"/>
          <w:szCs w:val="25"/>
        </w:rPr>
      </w:pPr>
      <w:r>
        <w:rPr>
          <w:spacing w:val="-1"/>
          <w:sz w:val="25"/>
          <w:szCs w:val="25"/>
        </w:rPr>
        <w:t>(三)人群分布</w:t>
      </w:r>
    </w:p>
    <w:p w14:paraId="0C3D7A9F">
      <w:pPr>
        <w:spacing w:before="48" w:line="334" w:lineRule="auto"/>
        <w:ind w:left="104" w:right="555" w:firstLine="439"/>
        <w:jc w:val="both"/>
        <w:rPr>
          <w:rFonts w:ascii="宋体" w:hAnsi="宋体" w:eastAsia="宋体" w:cs="宋体"/>
          <w:sz w:val="21"/>
          <w:szCs w:val="21"/>
        </w:rPr>
      </w:pPr>
      <w:r>
        <w:rPr>
          <w:rFonts w:ascii="宋体" w:hAnsi="宋体" w:eastAsia="宋体" w:cs="宋体"/>
          <w:spacing w:val="4"/>
          <w:sz w:val="21"/>
          <w:szCs w:val="21"/>
        </w:rPr>
        <w:t>与一般人群或无症状</w:t>
      </w:r>
      <w:r>
        <w:rPr>
          <w:rFonts w:ascii="Times New Roman" w:hAnsi="Times New Roman" w:eastAsia="Times New Roman" w:cs="Times New Roman"/>
          <w:sz w:val="21"/>
          <w:szCs w:val="21"/>
        </w:rPr>
        <w:t>HBsAg</w:t>
      </w:r>
      <w:r>
        <w:rPr>
          <w:rFonts w:ascii="Times New Roman" w:hAnsi="Times New Roman" w:eastAsia="Times New Roman" w:cs="Times New Roman"/>
          <w:spacing w:val="48"/>
          <w:w w:val="101"/>
          <w:sz w:val="21"/>
          <w:szCs w:val="21"/>
        </w:rPr>
        <w:t xml:space="preserve"> </w:t>
      </w:r>
      <w:r>
        <w:rPr>
          <w:rFonts w:ascii="宋体" w:hAnsi="宋体" w:eastAsia="宋体" w:cs="宋体"/>
          <w:spacing w:val="4"/>
          <w:sz w:val="21"/>
          <w:szCs w:val="21"/>
        </w:rPr>
        <w:t>阳性人群相比，在经血液传播风险较高的人群中，包括注射吸</w:t>
      </w:r>
      <w:r>
        <w:rPr>
          <w:rFonts w:ascii="宋体" w:hAnsi="宋体" w:eastAsia="宋体" w:cs="宋体"/>
          <w:sz w:val="21"/>
          <w:szCs w:val="21"/>
        </w:rPr>
        <w:t xml:space="preserve"> </w:t>
      </w:r>
      <w:r>
        <w:rPr>
          <w:rFonts w:ascii="宋体" w:hAnsi="宋体" w:eastAsia="宋体" w:cs="宋体"/>
          <w:spacing w:val="7"/>
          <w:sz w:val="21"/>
          <w:szCs w:val="21"/>
        </w:rPr>
        <w:t>毒者、男同性恋者和其他有男男性行为者、血液透析病人和</w:t>
      </w:r>
      <w:r>
        <w:rPr>
          <w:rFonts w:ascii="Times New Roman" w:hAnsi="Times New Roman" w:eastAsia="Times New Roman" w:cs="Times New Roman"/>
          <w:sz w:val="21"/>
          <w:szCs w:val="21"/>
        </w:rPr>
        <w:t>HCV</w:t>
      </w:r>
      <w:r>
        <w:rPr>
          <w:rFonts w:ascii="宋体" w:hAnsi="宋体" w:eastAsia="宋体" w:cs="宋体"/>
          <w:spacing w:val="7"/>
          <w:sz w:val="21"/>
          <w:szCs w:val="21"/>
        </w:rPr>
        <w:t>抗体阳性或</w:t>
      </w:r>
      <w:r>
        <w:rPr>
          <w:rFonts w:ascii="Times New Roman" w:hAnsi="Times New Roman" w:eastAsia="Times New Roman" w:cs="Times New Roman"/>
          <w:sz w:val="21"/>
          <w:szCs w:val="21"/>
        </w:rPr>
        <w:t>HIV</w:t>
      </w:r>
      <w:r>
        <w:rPr>
          <w:rFonts w:ascii="Times New Roman" w:hAnsi="Times New Roman" w:eastAsia="Times New Roman" w:cs="Times New Roman"/>
          <w:spacing w:val="35"/>
          <w:w w:val="101"/>
          <w:sz w:val="21"/>
          <w:szCs w:val="21"/>
        </w:rPr>
        <w:t xml:space="preserve"> </w:t>
      </w:r>
      <w:r>
        <w:rPr>
          <w:rFonts w:ascii="宋体" w:hAnsi="宋体" w:eastAsia="宋体" w:cs="宋体"/>
          <w:spacing w:val="7"/>
          <w:sz w:val="21"/>
          <w:szCs w:val="21"/>
        </w:rPr>
        <w:t>抗体阳性者，</w:t>
      </w:r>
      <w:r>
        <w:rPr>
          <w:rFonts w:ascii="宋体" w:hAnsi="宋体" w:eastAsia="宋体" w:cs="宋体"/>
          <w:sz w:val="21"/>
          <w:szCs w:val="21"/>
        </w:rPr>
        <w:t xml:space="preserve"> </w:t>
      </w:r>
      <w:r>
        <w:rPr>
          <w:rFonts w:ascii="宋体" w:hAnsi="宋体" w:eastAsia="宋体" w:cs="宋体"/>
          <w:spacing w:val="1"/>
          <w:sz w:val="21"/>
          <w:szCs w:val="21"/>
        </w:rPr>
        <w:t>抗-</w:t>
      </w:r>
      <w:r>
        <w:rPr>
          <w:rFonts w:ascii="宋体" w:hAnsi="宋体" w:eastAsia="宋体" w:cs="宋体"/>
          <w:sz w:val="21"/>
          <w:szCs w:val="21"/>
        </w:rPr>
        <w:t>HDV</w:t>
      </w:r>
      <w:r>
        <w:rPr>
          <w:rFonts w:ascii="宋体" w:hAnsi="宋体" w:eastAsia="宋体" w:cs="宋体"/>
          <w:spacing w:val="88"/>
          <w:sz w:val="21"/>
          <w:szCs w:val="21"/>
        </w:rPr>
        <w:t xml:space="preserve"> </w:t>
      </w:r>
      <w:r>
        <w:rPr>
          <w:rFonts w:ascii="宋体" w:hAnsi="宋体" w:eastAsia="宋体" w:cs="宋体"/>
          <w:spacing w:val="1"/>
          <w:sz w:val="21"/>
          <w:szCs w:val="21"/>
        </w:rPr>
        <w:t>阳性率明显更高。</w:t>
      </w:r>
    </w:p>
    <w:p w14:paraId="6F47C52B">
      <w:pPr>
        <w:pStyle w:val="2"/>
        <w:spacing w:before="182" w:line="222" w:lineRule="auto"/>
        <w:ind w:left="608"/>
        <w:outlineLvl w:val="4"/>
        <w:rPr>
          <w:sz w:val="25"/>
          <w:szCs w:val="25"/>
        </w:rPr>
      </w:pPr>
      <w:bookmarkStart w:id="501" w:name="bookmark314"/>
      <w:bookmarkEnd w:id="501"/>
      <w:r>
        <w:rPr>
          <w:b/>
          <w:bCs/>
          <w:spacing w:val="-4"/>
          <w:sz w:val="25"/>
          <w:szCs w:val="25"/>
        </w:rPr>
        <w:t>五</w:t>
      </w:r>
      <w:r>
        <w:rPr>
          <w:spacing w:val="-37"/>
          <w:sz w:val="25"/>
          <w:szCs w:val="25"/>
        </w:rPr>
        <w:t xml:space="preserve"> </w:t>
      </w:r>
      <w:r>
        <w:rPr>
          <w:b/>
          <w:bCs/>
          <w:spacing w:val="-4"/>
          <w:sz w:val="25"/>
          <w:szCs w:val="25"/>
        </w:rPr>
        <w:t>、戊型肝炎</w:t>
      </w:r>
    </w:p>
    <w:p w14:paraId="50194CFE">
      <w:pPr>
        <w:spacing w:before="249" w:line="320" w:lineRule="auto"/>
        <w:ind w:right="525" w:firstLine="544"/>
        <w:jc w:val="both"/>
        <w:rPr>
          <w:rFonts w:ascii="宋体" w:hAnsi="宋体" w:eastAsia="宋体" w:cs="宋体"/>
          <w:sz w:val="21"/>
          <w:szCs w:val="21"/>
        </w:rPr>
      </w:pPr>
      <w:r>
        <w:rPr>
          <w:rFonts w:ascii="宋体" w:hAnsi="宋体" w:eastAsia="宋体" w:cs="宋体"/>
          <w:spacing w:val="4"/>
          <w:sz w:val="21"/>
          <w:szCs w:val="21"/>
        </w:rPr>
        <w:t>戊肝是常见的急性散发性病毒性肝炎。全球每年发生约2000万例</w:t>
      </w:r>
      <w:r>
        <w:rPr>
          <w:rFonts w:ascii="Times New Roman" w:hAnsi="Times New Roman" w:eastAsia="Times New Roman" w:cs="Times New Roman"/>
          <w:sz w:val="21"/>
          <w:szCs w:val="21"/>
        </w:rPr>
        <w:t>HEV</w:t>
      </w:r>
      <w:r>
        <w:rPr>
          <w:rFonts w:ascii="宋体" w:hAnsi="宋体" w:eastAsia="宋体" w:cs="宋体"/>
          <w:spacing w:val="4"/>
          <w:sz w:val="21"/>
          <w:szCs w:val="21"/>
        </w:rPr>
        <w:t>感染，其中</w:t>
      </w:r>
      <w:r>
        <w:rPr>
          <w:rFonts w:ascii="宋体" w:hAnsi="宋体" w:eastAsia="宋体" w:cs="宋体"/>
          <w:spacing w:val="3"/>
          <w:sz w:val="21"/>
          <w:szCs w:val="21"/>
        </w:rPr>
        <w:t>有约330万</w:t>
      </w:r>
      <w:r>
        <w:rPr>
          <w:rFonts w:ascii="宋体" w:hAnsi="宋体" w:eastAsia="宋体" w:cs="宋体"/>
          <w:sz w:val="21"/>
          <w:szCs w:val="21"/>
        </w:rPr>
        <w:t xml:space="preserve"> </w:t>
      </w:r>
      <w:r>
        <w:rPr>
          <w:rFonts w:ascii="宋体" w:hAnsi="宋体" w:eastAsia="宋体" w:cs="宋体"/>
          <w:spacing w:val="5"/>
          <w:sz w:val="21"/>
          <w:szCs w:val="21"/>
        </w:rPr>
        <w:t>例戊肝病例，7万例与</w:t>
      </w:r>
      <w:r>
        <w:rPr>
          <w:rFonts w:ascii="Times New Roman" w:hAnsi="Times New Roman" w:eastAsia="Times New Roman" w:cs="Times New Roman"/>
          <w:sz w:val="21"/>
          <w:szCs w:val="21"/>
        </w:rPr>
        <w:t>HEV</w:t>
      </w:r>
      <w:r>
        <w:rPr>
          <w:rFonts w:ascii="Times New Roman" w:hAnsi="Times New Roman" w:eastAsia="Times New Roman" w:cs="Times New Roman"/>
          <w:spacing w:val="5"/>
          <w:sz w:val="21"/>
          <w:szCs w:val="21"/>
        </w:rPr>
        <w:t xml:space="preserve"> </w:t>
      </w:r>
      <w:r>
        <w:rPr>
          <w:rFonts w:ascii="宋体" w:hAnsi="宋体" w:eastAsia="宋体" w:cs="宋体"/>
          <w:spacing w:val="5"/>
          <w:sz w:val="21"/>
          <w:szCs w:val="21"/>
        </w:rPr>
        <w:t>感染相关的死亡病例。据</w:t>
      </w:r>
      <w:r>
        <w:rPr>
          <w:rFonts w:ascii="Times New Roman" w:hAnsi="Times New Roman" w:eastAsia="Times New Roman" w:cs="Times New Roman"/>
          <w:sz w:val="21"/>
          <w:szCs w:val="21"/>
        </w:rPr>
        <w:t>WHO</w:t>
      </w:r>
      <w:r>
        <w:rPr>
          <w:rFonts w:ascii="宋体" w:hAnsi="宋体" w:eastAsia="宋体" w:cs="宋体"/>
          <w:spacing w:val="5"/>
          <w:sz w:val="21"/>
          <w:szCs w:val="21"/>
        </w:rPr>
        <w:t>估计，2015年</w:t>
      </w:r>
      <w:r>
        <w:rPr>
          <w:rFonts w:ascii="Times New Roman" w:hAnsi="Times New Roman" w:eastAsia="Times New Roman" w:cs="Times New Roman"/>
          <w:sz w:val="21"/>
          <w:szCs w:val="21"/>
        </w:rPr>
        <w:t>HEV</w:t>
      </w:r>
      <w:r>
        <w:rPr>
          <w:rFonts w:ascii="宋体" w:hAnsi="宋体" w:eastAsia="宋体" w:cs="宋体"/>
          <w:spacing w:val="5"/>
          <w:sz w:val="21"/>
          <w:szCs w:val="21"/>
        </w:rPr>
        <w:t>感染造成约4.4万人</w:t>
      </w:r>
      <w:r>
        <w:rPr>
          <w:rFonts w:ascii="宋体" w:hAnsi="宋体" w:eastAsia="宋体" w:cs="宋体"/>
          <w:spacing w:val="2"/>
          <w:sz w:val="21"/>
          <w:szCs w:val="21"/>
        </w:rPr>
        <w:t xml:space="preserve">  </w:t>
      </w:r>
      <w:r>
        <w:rPr>
          <w:rFonts w:ascii="宋体" w:hAnsi="宋体" w:eastAsia="宋体" w:cs="宋体"/>
          <w:spacing w:val="1"/>
          <w:sz w:val="21"/>
          <w:szCs w:val="21"/>
        </w:rPr>
        <w:t>死亡，占病毒性肝炎死亡病例的3.3%。我国属于戊肝高发国家，近年来戊肝发病人数</w:t>
      </w:r>
      <w:r>
        <w:rPr>
          <w:rFonts w:ascii="宋体" w:hAnsi="宋体" w:eastAsia="宋体" w:cs="宋体"/>
          <w:sz w:val="21"/>
          <w:szCs w:val="21"/>
        </w:rPr>
        <w:t xml:space="preserve">已超过甲肝。 </w:t>
      </w:r>
      <w:r>
        <w:rPr>
          <w:rFonts w:ascii="宋体" w:hAnsi="宋体" w:eastAsia="宋体" w:cs="宋体"/>
          <w:spacing w:val="-1"/>
          <w:sz w:val="21"/>
          <w:szCs w:val="21"/>
        </w:rPr>
        <w:t>《2022中国卫生健康统计年鉴》显示，2021年我国戊肝发病率为1.85/10万，病死率</w:t>
      </w:r>
      <w:r>
        <w:rPr>
          <w:rFonts w:ascii="宋体" w:hAnsi="宋体" w:eastAsia="宋体" w:cs="宋体"/>
          <w:spacing w:val="-2"/>
          <w:sz w:val="21"/>
          <w:szCs w:val="21"/>
        </w:rPr>
        <w:t>为0.001/10万。</w:t>
      </w:r>
      <w:r>
        <w:rPr>
          <w:rFonts w:ascii="宋体" w:hAnsi="宋体" w:eastAsia="宋体" w:cs="宋体"/>
          <w:sz w:val="21"/>
          <w:szCs w:val="21"/>
        </w:rPr>
        <w:t xml:space="preserve"> </w:t>
      </w:r>
      <w:r>
        <w:rPr>
          <w:rFonts w:ascii="宋体" w:hAnsi="宋体" w:eastAsia="宋体" w:cs="宋体"/>
          <w:spacing w:val="9"/>
          <w:sz w:val="21"/>
          <w:szCs w:val="21"/>
        </w:rPr>
        <w:t>我国人口基数大，应重视</w:t>
      </w:r>
      <w:r>
        <w:rPr>
          <w:rFonts w:ascii="宋体" w:hAnsi="宋体" w:eastAsia="宋体" w:cs="宋体"/>
          <w:sz w:val="21"/>
          <w:szCs w:val="21"/>
        </w:rPr>
        <w:t>HEV</w:t>
      </w:r>
      <w:r>
        <w:rPr>
          <w:rFonts w:ascii="宋体" w:hAnsi="宋体" w:eastAsia="宋体" w:cs="宋体"/>
          <w:spacing w:val="52"/>
          <w:sz w:val="21"/>
          <w:szCs w:val="21"/>
        </w:rPr>
        <w:t xml:space="preserve"> </w:t>
      </w:r>
      <w:r>
        <w:rPr>
          <w:rFonts w:ascii="宋体" w:hAnsi="宋体" w:eastAsia="宋体" w:cs="宋体"/>
          <w:spacing w:val="9"/>
          <w:sz w:val="21"/>
          <w:szCs w:val="21"/>
        </w:rPr>
        <w:t>感染。</w:t>
      </w:r>
    </w:p>
    <w:p w14:paraId="1C4F2BA4">
      <w:pPr>
        <w:pStyle w:val="2"/>
        <w:spacing w:line="222" w:lineRule="auto"/>
        <w:ind w:left="548"/>
        <w:rPr>
          <w:sz w:val="25"/>
          <w:szCs w:val="25"/>
        </w:rPr>
      </w:pPr>
      <w:r>
        <w:rPr>
          <w:b/>
          <w:bCs/>
          <w:spacing w:val="-2"/>
          <w:sz w:val="25"/>
          <w:szCs w:val="25"/>
        </w:rPr>
        <w:t>(一)地区分布</w:t>
      </w:r>
    </w:p>
    <w:p w14:paraId="0B455F2B">
      <w:pPr>
        <w:spacing w:before="100" w:line="327" w:lineRule="auto"/>
        <w:ind w:left="104" w:right="598" w:firstLine="439"/>
        <w:jc w:val="both"/>
        <w:rPr>
          <w:rFonts w:ascii="宋体" w:hAnsi="宋体" w:eastAsia="宋体" w:cs="宋体"/>
          <w:sz w:val="21"/>
          <w:szCs w:val="21"/>
        </w:rPr>
      </w:pPr>
      <w:r>
        <w:rPr>
          <w:rFonts w:ascii="宋体" w:hAnsi="宋体" w:eastAsia="宋体" w:cs="宋体"/>
          <w:spacing w:val="-9"/>
          <w:sz w:val="21"/>
          <w:szCs w:val="21"/>
        </w:rPr>
        <w:t>戊肝呈世界性分布，主要流行于南亚、东南亚、中亚、北非、东非和西非等地区。戊肝在我国范</w:t>
      </w:r>
      <w:r>
        <w:rPr>
          <w:rFonts w:ascii="宋体" w:hAnsi="宋体" w:eastAsia="宋体" w:cs="宋体"/>
          <w:spacing w:val="8"/>
          <w:sz w:val="21"/>
          <w:szCs w:val="21"/>
        </w:rPr>
        <w:t xml:space="preserve"> </w:t>
      </w:r>
      <w:r>
        <w:rPr>
          <w:rFonts w:ascii="宋体" w:hAnsi="宋体" w:eastAsia="宋体" w:cs="宋体"/>
          <w:spacing w:val="-3"/>
          <w:sz w:val="21"/>
          <w:szCs w:val="21"/>
        </w:rPr>
        <w:t>围均有发病，不同地区发病率存在一定差异。《2022中国卫生健康统计</w:t>
      </w:r>
      <w:r>
        <w:rPr>
          <w:rFonts w:ascii="宋体" w:hAnsi="宋体" w:eastAsia="宋体" w:cs="宋体"/>
          <w:spacing w:val="-4"/>
          <w:sz w:val="21"/>
          <w:szCs w:val="21"/>
        </w:rPr>
        <w:t>年鉴》显示，2021年浙江的</w:t>
      </w:r>
      <w:r>
        <w:rPr>
          <w:rFonts w:ascii="宋体" w:hAnsi="宋体" w:eastAsia="宋体" w:cs="宋体"/>
          <w:sz w:val="21"/>
          <w:szCs w:val="21"/>
        </w:rPr>
        <w:t xml:space="preserve"> </w:t>
      </w:r>
      <w:r>
        <w:rPr>
          <w:rFonts w:ascii="宋体" w:hAnsi="宋体" w:eastAsia="宋体" w:cs="宋体"/>
          <w:spacing w:val="-7"/>
          <w:sz w:val="21"/>
          <w:szCs w:val="21"/>
        </w:rPr>
        <w:t>戊肝发病率最高，为3.85/10万，西藏发病率最低，为0.82/10万。</w:t>
      </w:r>
    </w:p>
    <w:p w14:paraId="74F7A1E9">
      <w:pPr>
        <w:spacing w:before="16" w:line="316" w:lineRule="auto"/>
        <w:ind w:left="104" w:right="616" w:firstLine="439"/>
        <w:jc w:val="both"/>
        <w:rPr>
          <w:rFonts w:ascii="宋体" w:hAnsi="宋体" w:eastAsia="宋体" w:cs="宋体"/>
          <w:sz w:val="21"/>
          <w:szCs w:val="21"/>
        </w:rPr>
      </w:pPr>
      <w:r>
        <w:rPr>
          <w:rFonts w:ascii="Times New Roman" w:hAnsi="Times New Roman" w:eastAsia="Times New Roman" w:cs="Times New Roman"/>
          <w:sz w:val="21"/>
          <w:szCs w:val="21"/>
        </w:rPr>
        <w:t>HEV</w:t>
      </w:r>
      <w:r>
        <w:rPr>
          <w:rFonts w:ascii="Times New Roman" w:hAnsi="Times New Roman" w:eastAsia="Times New Roman" w:cs="Times New Roman"/>
          <w:spacing w:val="3"/>
          <w:sz w:val="21"/>
          <w:szCs w:val="21"/>
        </w:rPr>
        <w:t xml:space="preserve"> </w:t>
      </w:r>
      <w:r>
        <w:rPr>
          <w:rFonts w:ascii="宋体" w:hAnsi="宋体" w:eastAsia="宋体" w:cs="宋体"/>
          <w:spacing w:val="3"/>
          <w:sz w:val="21"/>
          <w:szCs w:val="21"/>
        </w:rPr>
        <w:t>不同基因型分布有明显的地区差异。</w:t>
      </w:r>
      <w:r>
        <w:rPr>
          <w:rFonts w:ascii="Times New Roman" w:hAnsi="Times New Roman" w:eastAsia="Times New Roman" w:cs="Times New Roman"/>
          <w:sz w:val="21"/>
          <w:szCs w:val="21"/>
        </w:rPr>
        <w:t>HEV</w:t>
      </w:r>
      <w:r>
        <w:rPr>
          <w:rFonts w:ascii="Times New Roman" w:hAnsi="Times New Roman" w:eastAsia="Times New Roman" w:cs="Times New Roman"/>
          <w:spacing w:val="3"/>
          <w:sz w:val="21"/>
          <w:szCs w:val="21"/>
        </w:rPr>
        <w:t xml:space="preserve"> </w:t>
      </w:r>
      <w:r>
        <w:rPr>
          <w:rFonts w:ascii="宋体" w:hAnsi="宋体" w:eastAsia="宋体" w:cs="宋体"/>
          <w:spacing w:val="3"/>
          <w:sz w:val="21"/>
          <w:szCs w:val="21"/>
        </w:rPr>
        <w:t>可分为8种基因型，其中1～4型感染人</w:t>
      </w:r>
      <w:r>
        <w:rPr>
          <w:rFonts w:ascii="宋体" w:hAnsi="宋体" w:eastAsia="宋体" w:cs="宋体"/>
          <w:spacing w:val="2"/>
          <w:sz w:val="21"/>
          <w:szCs w:val="21"/>
        </w:rPr>
        <w:t>。1型</w:t>
      </w:r>
      <w:r>
        <w:rPr>
          <w:rFonts w:ascii="宋体" w:hAnsi="宋体" w:eastAsia="宋体" w:cs="宋体"/>
          <w:sz w:val="21"/>
          <w:szCs w:val="21"/>
        </w:rPr>
        <w:t xml:space="preserve"> </w:t>
      </w:r>
      <w:r>
        <w:rPr>
          <w:rFonts w:ascii="宋体" w:hAnsi="宋体" w:eastAsia="宋体" w:cs="宋体"/>
          <w:spacing w:val="-1"/>
          <w:sz w:val="21"/>
          <w:szCs w:val="21"/>
        </w:rPr>
        <w:t>和2型主要分布于卫生条件较差、经济欠发达的发展中国家，如</w:t>
      </w:r>
      <w:r>
        <w:rPr>
          <w:rFonts w:ascii="宋体" w:hAnsi="宋体" w:eastAsia="宋体" w:cs="宋体"/>
          <w:spacing w:val="-2"/>
          <w:sz w:val="21"/>
          <w:szCs w:val="21"/>
        </w:rPr>
        <w:t>亚洲、非洲和美洲的部分卫生条件</w:t>
      </w:r>
      <w:r>
        <w:rPr>
          <w:rFonts w:ascii="宋体" w:hAnsi="宋体" w:eastAsia="宋体" w:cs="宋体"/>
          <w:sz w:val="21"/>
          <w:szCs w:val="21"/>
        </w:rPr>
        <w:t xml:space="preserve"> </w:t>
      </w:r>
      <w:r>
        <w:rPr>
          <w:rFonts w:ascii="宋体" w:hAnsi="宋体" w:eastAsia="宋体" w:cs="宋体"/>
          <w:spacing w:val="1"/>
          <w:sz w:val="21"/>
          <w:szCs w:val="21"/>
        </w:rPr>
        <w:t>差的地区，多由被粪便污染的水源引起暴发或流行；3型主要分布在发达国家，4型主要分布于亚</w:t>
      </w:r>
      <w:r>
        <w:rPr>
          <w:rFonts w:ascii="宋体" w:hAnsi="宋体" w:eastAsia="宋体" w:cs="宋体"/>
          <w:spacing w:val="5"/>
          <w:sz w:val="21"/>
          <w:szCs w:val="21"/>
        </w:rPr>
        <w:t xml:space="preserve"> </w:t>
      </w:r>
      <w:r>
        <w:rPr>
          <w:rFonts w:ascii="宋体" w:hAnsi="宋体" w:eastAsia="宋体" w:cs="宋体"/>
          <w:spacing w:val="4"/>
          <w:sz w:val="21"/>
          <w:szCs w:val="21"/>
        </w:rPr>
        <w:t>洲地区，多为散发。随着我国公共卫生基础设施的明显改善，我</w:t>
      </w:r>
      <w:r>
        <w:rPr>
          <w:rFonts w:ascii="宋体" w:hAnsi="宋体" w:eastAsia="宋体" w:cs="宋体"/>
          <w:spacing w:val="3"/>
          <w:sz w:val="21"/>
          <w:szCs w:val="21"/>
        </w:rPr>
        <w:t>国主要流行株逐渐从1型转变为</w:t>
      </w:r>
      <w:r>
        <w:rPr>
          <w:rFonts w:ascii="宋体" w:hAnsi="宋体" w:eastAsia="宋体" w:cs="宋体"/>
          <w:sz w:val="21"/>
          <w:szCs w:val="21"/>
        </w:rPr>
        <w:t xml:space="preserve"> </w:t>
      </w:r>
      <w:r>
        <w:rPr>
          <w:rFonts w:ascii="宋体" w:hAnsi="宋体" w:eastAsia="宋体" w:cs="宋体"/>
          <w:spacing w:val="-8"/>
          <w:sz w:val="21"/>
          <w:szCs w:val="21"/>
        </w:rPr>
        <w:t>4</w:t>
      </w:r>
      <w:r>
        <w:rPr>
          <w:rFonts w:ascii="宋体" w:hAnsi="宋体" w:eastAsia="宋体" w:cs="宋体"/>
          <w:spacing w:val="-36"/>
          <w:sz w:val="21"/>
          <w:szCs w:val="21"/>
        </w:rPr>
        <w:t xml:space="preserve"> </w:t>
      </w:r>
      <w:r>
        <w:rPr>
          <w:rFonts w:ascii="宋体" w:hAnsi="宋体" w:eastAsia="宋体" w:cs="宋体"/>
          <w:spacing w:val="-8"/>
          <w:sz w:val="21"/>
          <w:szCs w:val="21"/>
        </w:rPr>
        <w:t>型</w:t>
      </w:r>
      <w:r>
        <w:rPr>
          <w:rFonts w:ascii="宋体" w:hAnsi="宋体" w:eastAsia="宋体" w:cs="宋体"/>
          <w:spacing w:val="-51"/>
          <w:sz w:val="21"/>
          <w:szCs w:val="21"/>
        </w:rPr>
        <w:t xml:space="preserve"> </w:t>
      </w:r>
      <w:r>
        <w:rPr>
          <w:rFonts w:ascii="宋体" w:hAnsi="宋体" w:eastAsia="宋体" w:cs="宋体"/>
          <w:spacing w:val="-8"/>
          <w:sz w:val="21"/>
          <w:szCs w:val="21"/>
        </w:rPr>
        <w:t>。</w:t>
      </w:r>
    </w:p>
    <w:p w14:paraId="74A041E9">
      <w:pPr>
        <w:pStyle w:val="2"/>
        <w:spacing w:line="222" w:lineRule="auto"/>
        <w:ind w:left="608"/>
        <w:rPr>
          <w:sz w:val="25"/>
          <w:szCs w:val="25"/>
        </w:rPr>
      </w:pPr>
      <w:r>
        <w:rPr>
          <w:b/>
          <w:bCs/>
          <w:spacing w:val="-7"/>
          <w:sz w:val="25"/>
          <w:szCs w:val="25"/>
        </w:rPr>
        <w:t>(二)时间分布</w:t>
      </w:r>
    </w:p>
    <w:p w14:paraId="08B3C10C">
      <w:pPr>
        <w:spacing w:before="101" w:line="327" w:lineRule="auto"/>
        <w:ind w:left="104" w:right="615" w:firstLine="439"/>
        <w:jc w:val="both"/>
        <w:rPr>
          <w:rFonts w:ascii="宋体" w:hAnsi="宋体" w:eastAsia="宋体" w:cs="宋体"/>
          <w:sz w:val="21"/>
          <w:szCs w:val="21"/>
        </w:rPr>
      </w:pPr>
      <w:r>
        <w:rPr>
          <w:rFonts w:ascii="宋体" w:hAnsi="宋体" w:eastAsia="宋体" w:cs="宋体"/>
          <w:spacing w:val="-4"/>
          <w:sz w:val="21"/>
          <w:szCs w:val="21"/>
        </w:rPr>
        <w:t>戊肝发病有较明显的季节性，多发生在暴雨与洪水</w:t>
      </w:r>
      <w:r>
        <w:rPr>
          <w:rFonts w:ascii="宋体" w:hAnsi="宋体" w:eastAsia="宋体" w:cs="宋体"/>
          <w:spacing w:val="-5"/>
          <w:sz w:val="21"/>
          <w:szCs w:val="21"/>
        </w:rPr>
        <w:t>灾害后，雨季和夏季常是戊肝暴发的高发季</w:t>
      </w:r>
      <w:r>
        <w:rPr>
          <w:rFonts w:ascii="宋体" w:hAnsi="宋体" w:eastAsia="宋体" w:cs="宋体"/>
          <w:sz w:val="21"/>
          <w:szCs w:val="21"/>
        </w:rPr>
        <w:t xml:space="preserve"> </w:t>
      </w:r>
      <w:r>
        <w:rPr>
          <w:rFonts w:ascii="宋体" w:hAnsi="宋体" w:eastAsia="宋体" w:cs="宋体"/>
          <w:spacing w:val="3"/>
          <w:sz w:val="21"/>
          <w:szCs w:val="21"/>
        </w:rPr>
        <w:t>节。我国2011—2021年戊肝发病高峰在1—4月，其中3月报告发病数最多。近年来我国戊肝报告</w:t>
      </w:r>
      <w:r>
        <w:rPr>
          <w:rFonts w:ascii="宋体" w:hAnsi="宋体" w:eastAsia="宋体" w:cs="宋体"/>
          <w:spacing w:val="18"/>
          <w:sz w:val="21"/>
          <w:szCs w:val="21"/>
        </w:rPr>
        <w:t xml:space="preserve"> </w:t>
      </w:r>
      <w:r>
        <w:rPr>
          <w:rFonts w:ascii="宋体" w:hAnsi="宋体" w:eastAsia="宋体" w:cs="宋体"/>
          <w:spacing w:val="1"/>
          <w:sz w:val="21"/>
          <w:szCs w:val="21"/>
        </w:rPr>
        <w:t>发病率呈上升趋势，从2004年的1.27/10万上升至2021年的1.85/10</w:t>
      </w:r>
      <w:r>
        <w:rPr>
          <w:rFonts w:ascii="宋体" w:hAnsi="宋体" w:eastAsia="宋体" w:cs="宋体"/>
          <w:sz w:val="21"/>
          <w:szCs w:val="21"/>
        </w:rPr>
        <w:t>万。</w:t>
      </w:r>
    </w:p>
    <w:p w14:paraId="59363EB3">
      <w:pPr>
        <w:pStyle w:val="2"/>
        <w:spacing w:line="221" w:lineRule="auto"/>
        <w:ind w:left="608"/>
        <w:rPr>
          <w:sz w:val="21"/>
          <w:szCs w:val="21"/>
        </w:rPr>
      </w:pPr>
      <w:r>
        <w:rPr>
          <w:b/>
          <w:bCs/>
          <w:spacing w:val="27"/>
          <w:sz w:val="21"/>
          <w:szCs w:val="21"/>
        </w:rPr>
        <w:t>(三)人群分布</w:t>
      </w:r>
    </w:p>
    <w:p w14:paraId="04CCE33E">
      <w:pPr>
        <w:spacing w:before="110" w:line="327" w:lineRule="auto"/>
        <w:ind w:left="104" w:right="613" w:firstLine="439"/>
        <w:jc w:val="both"/>
        <w:rPr>
          <w:rFonts w:ascii="宋体" w:hAnsi="宋体" w:eastAsia="宋体" w:cs="宋体"/>
          <w:sz w:val="21"/>
          <w:szCs w:val="21"/>
        </w:rPr>
      </w:pPr>
      <w:r>
        <w:rPr>
          <w:rFonts w:ascii="宋体" w:hAnsi="宋体" w:eastAsia="宋体" w:cs="宋体"/>
          <w:spacing w:val="1"/>
          <w:sz w:val="21"/>
          <w:szCs w:val="21"/>
        </w:rPr>
        <w:t>据2011—2021年法定传染病报告数据，我国戊肝发病总体上</w:t>
      </w:r>
      <w:r>
        <w:rPr>
          <w:rFonts w:ascii="宋体" w:hAnsi="宋体" w:eastAsia="宋体" w:cs="宋体"/>
          <w:sz w:val="21"/>
          <w:szCs w:val="21"/>
        </w:rPr>
        <w:t xml:space="preserve">随年龄增长呈升高趋势，40岁及 </w:t>
      </w:r>
      <w:r>
        <w:rPr>
          <w:rFonts w:ascii="宋体" w:hAnsi="宋体" w:eastAsia="宋体" w:cs="宋体"/>
          <w:spacing w:val="1"/>
          <w:sz w:val="21"/>
          <w:szCs w:val="21"/>
        </w:rPr>
        <w:t>以上人群戊肝发病率较高，其中60～64岁年龄段戊肝发病率最高。职业分布中以农民报告发病数</w:t>
      </w:r>
      <w:r>
        <w:rPr>
          <w:rFonts w:ascii="宋体" w:hAnsi="宋体" w:eastAsia="宋体" w:cs="宋体"/>
          <w:spacing w:val="3"/>
          <w:sz w:val="21"/>
          <w:szCs w:val="21"/>
        </w:rPr>
        <w:t xml:space="preserve"> </w:t>
      </w:r>
      <w:r>
        <w:rPr>
          <w:rFonts w:ascii="宋体" w:hAnsi="宋体" w:eastAsia="宋体" w:cs="宋体"/>
          <w:spacing w:val="-1"/>
          <w:sz w:val="21"/>
          <w:szCs w:val="21"/>
        </w:rPr>
        <w:t>最高，占戊肝总报告人数的40%以上。此外，在老年人、免疫功能低下人群、慢性肝病</w:t>
      </w:r>
      <w:r>
        <w:rPr>
          <w:rFonts w:ascii="宋体" w:hAnsi="宋体" w:eastAsia="宋体" w:cs="宋体"/>
          <w:spacing w:val="-2"/>
          <w:sz w:val="21"/>
          <w:szCs w:val="21"/>
        </w:rPr>
        <w:t>病人及孕妇</w:t>
      </w:r>
      <w:r>
        <w:rPr>
          <w:rFonts w:ascii="宋体" w:hAnsi="宋体" w:eastAsia="宋体" w:cs="宋体"/>
          <w:sz w:val="21"/>
          <w:szCs w:val="21"/>
        </w:rPr>
        <w:t xml:space="preserve"> </w:t>
      </w:r>
      <w:r>
        <w:rPr>
          <w:rFonts w:ascii="宋体" w:hAnsi="宋体" w:eastAsia="宋体" w:cs="宋体"/>
          <w:spacing w:val="-4"/>
          <w:sz w:val="21"/>
          <w:szCs w:val="21"/>
        </w:rPr>
        <w:t>中，戊肝发病率和病死率均更高。</w:t>
      </w:r>
    </w:p>
    <w:p w14:paraId="7E9A4E4A">
      <w:pPr>
        <w:spacing w:line="342" w:lineRule="auto"/>
        <w:rPr>
          <w:rFonts w:ascii="Arial"/>
          <w:sz w:val="21"/>
        </w:rPr>
      </w:pPr>
    </w:p>
    <w:p w14:paraId="2A95ECA0">
      <w:pPr>
        <w:pStyle w:val="2"/>
        <w:spacing w:before="98" w:line="221" w:lineRule="auto"/>
        <w:ind w:left="3029"/>
        <w:outlineLvl w:val="1"/>
      </w:pPr>
      <w:bookmarkStart w:id="502" w:name="bookmark315"/>
      <w:bookmarkEnd w:id="502"/>
      <w:r>
        <w:rPr>
          <w:b/>
          <w:bCs/>
          <w:spacing w:val="-9"/>
        </w:rPr>
        <w:t>第四节</w:t>
      </w:r>
      <w:r>
        <w:rPr>
          <w:spacing w:val="101"/>
        </w:rPr>
        <w:t xml:space="preserve"> </w:t>
      </w:r>
      <w:r>
        <w:rPr>
          <w:b/>
          <w:bCs/>
          <w:spacing w:val="-9"/>
        </w:rPr>
        <w:t>预防策略与措施</w:t>
      </w:r>
    </w:p>
    <w:p w14:paraId="2EEB87D4">
      <w:pPr>
        <w:spacing w:line="386" w:lineRule="auto"/>
        <w:rPr>
          <w:rFonts w:ascii="Arial"/>
          <w:sz w:val="21"/>
        </w:rPr>
      </w:pPr>
    </w:p>
    <w:p w14:paraId="15200BD3">
      <w:pPr>
        <w:pStyle w:val="2"/>
        <w:spacing w:before="82" w:line="222" w:lineRule="auto"/>
        <w:ind w:left="548"/>
        <w:outlineLvl w:val="4"/>
        <w:rPr>
          <w:sz w:val="25"/>
          <w:szCs w:val="25"/>
        </w:rPr>
      </w:pPr>
      <w:bookmarkStart w:id="503" w:name="bookmark316"/>
      <w:bookmarkEnd w:id="503"/>
      <w:r>
        <w:rPr>
          <w:b/>
          <w:bCs/>
          <w:spacing w:val="-7"/>
          <w:sz w:val="25"/>
          <w:szCs w:val="25"/>
        </w:rPr>
        <w:t>一</w:t>
      </w:r>
      <w:r>
        <w:rPr>
          <w:spacing w:val="-39"/>
          <w:sz w:val="25"/>
          <w:szCs w:val="25"/>
        </w:rPr>
        <w:t xml:space="preserve"> </w:t>
      </w:r>
      <w:r>
        <w:rPr>
          <w:b/>
          <w:bCs/>
          <w:spacing w:val="-7"/>
          <w:sz w:val="25"/>
          <w:szCs w:val="25"/>
        </w:rPr>
        <w:t>、策略</w:t>
      </w:r>
    </w:p>
    <w:p w14:paraId="3DFB9BED">
      <w:pPr>
        <w:spacing w:before="252" w:line="219" w:lineRule="auto"/>
        <w:ind w:left="544"/>
        <w:rPr>
          <w:rFonts w:ascii="宋体" w:hAnsi="宋体" w:eastAsia="宋体" w:cs="宋体"/>
          <w:sz w:val="21"/>
          <w:szCs w:val="21"/>
        </w:rPr>
      </w:pPr>
      <w:r>
        <w:rPr>
          <w:rFonts w:ascii="宋体" w:hAnsi="宋体" w:eastAsia="宋体" w:cs="宋体"/>
          <w:spacing w:val="-2"/>
          <w:sz w:val="21"/>
          <w:szCs w:val="21"/>
        </w:rPr>
        <w:t>病毒性肝炎是全球重要公共卫生问题，造成了巨大的疾病负担。2010年世界卫</w:t>
      </w:r>
      <w:r>
        <w:rPr>
          <w:rFonts w:ascii="宋体" w:hAnsi="宋体" w:eastAsia="宋体" w:cs="宋体"/>
          <w:spacing w:val="-3"/>
          <w:sz w:val="21"/>
          <w:szCs w:val="21"/>
        </w:rPr>
        <w:t>生大会(WHA)</w:t>
      </w:r>
    </w:p>
    <w:p w14:paraId="0F6EDE7A">
      <w:pPr>
        <w:spacing w:line="219" w:lineRule="auto"/>
        <w:rPr>
          <w:rFonts w:ascii="宋体" w:hAnsi="宋体" w:eastAsia="宋体" w:cs="宋体"/>
          <w:sz w:val="21"/>
          <w:szCs w:val="21"/>
        </w:rPr>
        <w:sectPr>
          <w:footerReference r:id="rId326" w:type="default"/>
          <w:pgSz w:w="11900" w:h="16820"/>
          <w:pgMar w:top="400" w:right="919" w:bottom="846" w:left="1384" w:header="0" w:footer="657" w:gutter="0"/>
          <w:cols w:space="720" w:num="1"/>
        </w:sectPr>
      </w:pPr>
    </w:p>
    <w:p w14:paraId="7588ECCF">
      <w:pPr>
        <w:spacing w:line="250" w:lineRule="auto"/>
        <w:rPr>
          <w:rFonts w:ascii="Arial"/>
          <w:sz w:val="21"/>
        </w:rPr>
      </w:pPr>
    </w:p>
    <w:p w14:paraId="115821E0">
      <w:pPr>
        <w:pStyle w:val="2"/>
        <w:spacing w:before="65" w:line="222" w:lineRule="auto"/>
        <w:ind w:left="679"/>
        <w:rPr>
          <w:sz w:val="20"/>
          <w:szCs w:val="20"/>
        </w:rPr>
      </w:pPr>
      <w:bookmarkStart w:id="504" w:name="bookmark578"/>
      <w:bookmarkEnd w:id="504"/>
      <w:r>
        <w:rPr>
          <w:spacing w:val="-14"/>
          <w:sz w:val="20"/>
          <w:szCs w:val="20"/>
        </w:rPr>
        <w:t>第十九章病毒性肝炎</w:t>
      </w:r>
    </w:p>
    <w:p w14:paraId="17C2FAB1">
      <w:pPr>
        <w:spacing w:line="275" w:lineRule="auto"/>
        <w:rPr>
          <w:rFonts w:ascii="Arial"/>
          <w:sz w:val="21"/>
        </w:rPr>
      </w:pPr>
    </w:p>
    <w:p w14:paraId="784C4F6D">
      <w:pPr>
        <w:spacing w:line="276" w:lineRule="auto"/>
        <w:rPr>
          <w:rFonts w:ascii="Arial"/>
          <w:sz w:val="21"/>
        </w:rPr>
      </w:pPr>
    </w:p>
    <w:p w14:paraId="5813E4E7">
      <w:pPr>
        <w:spacing w:before="65" w:line="335" w:lineRule="auto"/>
        <w:ind w:left="679" w:right="102"/>
        <w:rPr>
          <w:rFonts w:ascii="宋体" w:hAnsi="宋体" w:eastAsia="宋体" w:cs="宋体"/>
          <w:sz w:val="20"/>
          <w:szCs w:val="20"/>
        </w:rPr>
      </w:pPr>
      <w:r>
        <w:rPr>
          <w:rFonts w:ascii="宋体" w:hAnsi="宋体" w:eastAsia="宋体" w:cs="宋体"/>
          <w:spacing w:val="1"/>
          <w:sz w:val="20"/>
          <w:szCs w:val="20"/>
        </w:rPr>
        <w:t>呼吁各国开展健康促进行动，加强预防、诊断和治疗，加强</w:t>
      </w:r>
      <w:r>
        <w:rPr>
          <w:rFonts w:ascii="宋体" w:hAnsi="宋体" w:eastAsia="宋体" w:cs="宋体"/>
          <w:sz w:val="20"/>
          <w:szCs w:val="20"/>
        </w:rPr>
        <w:t xml:space="preserve">流行病学监测，强化实验室检测能力，制 </w:t>
      </w:r>
      <w:r>
        <w:rPr>
          <w:rFonts w:ascii="宋体" w:hAnsi="宋体" w:eastAsia="宋体" w:cs="宋体"/>
          <w:spacing w:val="5"/>
          <w:sz w:val="20"/>
          <w:szCs w:val="20"/>
        </w:rPr>
        <w:t>定预防和控制病毒性肝炎的策略和措施。十余年来，全球消除病毒性肝炎工作已取得重大进展。</w:t>
      </w:r>
    </w:p>
    <w:p w14:paraId="044AFAE0">
      <w:pPr>
        <w:spacing w:before="5" w:line="333" w:lineRule="auto"/>
        <w:ind w:left="679" w:right="90" w:firstLine="409"/>
        <w:jc w:val="both"/>
        <w:rPr>
          <w:rFonts w:ascii="宋体" w:hAnsi="宋体" w:eastAsia="宋体" w:cs="宋体"/>
          <w:sz w:val="20"/>
          <w:szCs w:val="20"/>
        </w:rPr>
      </w:pPr>
      <w:r>
        <w:rPr>
          <w:rFonts w:ascii="宋体" w:hAnsi="宋体" w:eastAsia="宋体" w:cs="宋体"/>
          <w:spacing w:val="10"/>
          <w:sz w:val="20"/>
          <w:szCs w:val="20"/>
        </w:rPr>
        <w:t>我国是病毒性肝炎疾病负担最重的国家之一。为控制病毒性肝炎流行，20世纪80年代开</w:t>
      </w:r>
      <w:r>
        <w:rPr>
          <w:rFonts w:ascii="宋体" w:hAnsi="宋体" w:eastAsia="宋体" w:cs="宋体"/>
          <w:spacing w:val="9"/>
          <w:sz w:val="20"/>
          <w:szCs w:val="20"/>
        </w:rPr>
        <w:t>始针</w:t>
      </w:r>
      <w:r>
        <w:rPr>
          <w:rFonts w:ascii="宋体" w:hAnsi="宋体" w:eastAsia="宋体" w:cs="宋体"/>
          <w:sz w:val="20"/>
          <w:szCs w:val="20"/>
        </w:rPr>
        <w:t xml:space="preserve"> </w:t>
      </w:r>
      <w:r>
        <w:rPr>
          <w:rFonts w:ascii="宋体" w:hAnsi="宋体" w:eastAsia="宋体" w:cs="宋体"/>
          <w:spacing w:val="-4"/>
          <w:sz w:val="20"/>
          <w:szCs w:val="20"/>
        </w:rPr>
        <w:t>对病毒性肝炎采取“预防为主、防治结合”的策略，通过重点人群筛查、预防接种、医院感染防控、血</w:t>
      </w:r>
      <w:r>
        <w:rPr>
          <w:rFonts w:ascii="宋体" w:hAnsi="宋体" w:eastAsia="宋体" w:cs="宋体"/>
          <w:spacing w:val="17"/>
          <w:sz w:val="20"/>
          <w:szCs w:val="20"/>
        </w:rPr>
        <w:t xml:space="preserve"> </w:t>
      </w:r>
      <w:r>
        <w:rPr>
          <w:rFonts w:ascii="宋体" w:hAnsi="宋体" w:eastAsia="宋体" w:cs="宋体"/>
          <w:spacing w:val="1"/>
          <w:sz w:val="20"/>
          <w:szCs w:val="20"/>
        </w:rPr>
        <w:t>液监管、母婴传播阻断、食品安全保障等措施，以及大力开展爱国卫生运动，努力改</w:t>
      </w:r>
      <w:r>
        <w:rPr>
          <w:rFonts w:ascii="宋体" w:hAnsi="宋体" w:eastAsia="宋体" w:cs="宋体"/>
          <w:sz w:val="20"/>
          <w:szCs w:val="20"/>
        </w:rPr>
        <w:t xml:space="preserve">善城乡卫生环境 </w:t>
      </w:r>
      <w:r>
        <w:rPr>
          <w:rFonts w:ascii="宋体" w:hAnsi="宋体" w:eastAsia="宋体" w:cs="宋体"/>
          <w:spacing w:val="6"/>
          <w:sz w:val="20"/>
          <w:szCs w:val="20"/>
        </w:rPr>
        <w:t>和普及安全饮用水，积极推行规范化治疗和管理，显著</w:t>
      </w:r>
      <w:r>
        <w:rPr>
          <w:rFonts w:ascii="宋体" w:hAnsi="宋体" w:eastAsia="宋体" w:cs="宋体"/>
          <w:spacing w:val="5"/>
          <w:sz w:val="20"/>
          <w:szCs w:val="20"/>
        </w:rPr>
        <w:t>降低了病毒性肝炎的发病率和疾病负担，为</w:t>
      </w:r>
      <w:r>
        <w:rPr>
          <w:rFonts w:ascii="宋体" w:hAnsi="宋体" w:eastAsia="宋体" w:cs="宋体"/>
          <w:sz w:val="20"/>
          <w:szCs w:val="20"/>
        </w:rPr>
        <w:t xml:space="preserve"> </w:t>
      </w:r>
      <w:r>
        <w:rPr>
          <w:rFonts w:ascii="宋体" w:hAnsi="宋体" w:eastAsia="宋体" w:cs="宋体"/>
          <w:spacing w:val="8"/>
          <w:sz w:val="20"/>
          <w:szCs w:val="20"/>
        </w:rPr>
        <w:t>实</w:t>
      </w:r>
      <w:r>
        <w:rPr>
          <w:rFonts w:ascii="宋体" w:hAnsi="宋体" w:eastAsia="宋体" w:cs="宋体"/>
          <w:spacing w:val="-37"/>
          <w:sz w:val="20"/>
          <w:szCs w:val="20"/>
        </w:rPr>
        <w:t xml:space="preserve"> </w:t>
      </w:r>
      <w:r>
        <w:rPr>
          <w:rFonts w:ascii="宋体" w:hAnsi="宋体" w:eastAsia="宋体" w:cs="宋体"/>
          <w:spacing w:val="8"/>
          <w:sz w:val="20"/>
          <w:szCs w:val="20"/>
        </w:rPr>
        <w:t>现</w:t>
      </w:r>
      <w:r>
        <w:rPr>
          <w:rFonts w:ascii="Times New Roman" w:hAnsi="Times New Roman" w:eastAsia="Times New Roman" w:cs="Times New Roman"/>
          <w:sz w:val="20"/>
          <w:szCs w:val="20"/>
        </w:rPr>
        <w:t>VHO</w:t>
      </w:r>
      <w:r>
        <w:rPr>
          <w:rFonts w:ascii="Times New Roman" w:hAnsi="Times New Roman" w:eastAsia="Times New Roman" w:cs="Times New Roman"/>
          <w:spacing w:val="28"/>
          <w:w w:val="101"/>
          <w:sz w:val="20"/>
          <w:szCs w:val="20"/>
        </w:rPr>
        <w:t xml:space="preserve"> </w:t>
      </w:r>
      <w:r>
        <w:rPr>
          <w:rFonts w:ascii="宋体" w:hAnsi="宋体" w:eastAsia="宋体" w:cs="宋体"/>
          <w:spacing w:val="8"/>
          <w:sz w:val="20"/>
          <w:szCs w:val="20"/>
        </w:rPr>
        <w:t>提出的2030年消除病毒性肝炎公共卫生危害目标奠定了坚实基础。</w:t>
      </w:r>
    </w:p>
    <w:p w14:paraId="4EF070E3">
      <w:pPr>
        <w:pStyle w:val="2"/>
        <w:spacing w:before="54" w:line="221" w:lineRule="auto"/>
        <w:ind w:left="1089"/>
        <w:rPr>
          <w:sz w:val="20"/>
          <w:szCs w:val="20"/>
        </w:rPr>
      </w:pPr>
      <w:r>
        <w:rPr>
          <w:spacing w:val="16"/>
          <w:sz w:val="20"/>
          <w:szCs w:val="20"/>
        </w:rPr>
        <w:t>(</w:t>
      </w:r>
      <w:r>
        <w:rPr>
          <w:spacing w:val="-41"/>
          <w:sz w:val="20"/>
          <w:szCs w:val="20"/>
        </w:rPr>
        <w:t xml:space="preserve"> </w:t>
      </w:r>
      <w:r>
        <w:rPr>
          <w:spacing w:val="16"/>
          <w:sz w:val="20"/>
          <w:szCs w:val="20"/>
        </w:rPr>
        <w:t>一</w:t>
      </w:r>
      <w:r>
        <w:rPr>
          <w:spacing w:val="-51"/>
          <w:sz w:val="20"/>
          <w:szCs w:val="20"/>
        </w:rPr>
        <w:t xml:space="preserve"> </w:t>
      </w:r>
      <w:r>
        <w:rPr>
          <w:spacing w:val="16"/>
          <w:sz w:val="20"/>
          <w:szCs w:val="20"/>
        </w:rPr>
        <w:t>)预防为主</w:t>
      </w:r>
    </w:p>
    <w:p w14:paraId="2B6E48EE">
      <w:pPr>
        <w:pStyle w:val="2"/>
        <w:spacing w:before="121" w:line="333" w:lineRule="auto"/>
        <w:ind w:left="679" w:firstLine="409"/>
        <w:jc w:val="both"/>
        <w:rPr>
          <w:rFonts w:ascii="宋体" w:hAnsi="宋体" w:eastAsia="宋体" w:cs="宋体"/>
          <w:sz w:val="20"/>
          <w:szCs w:val="20"/>
        </w:rPr>
      </w:pPr>
      <w:r>
        <w:rPr>
          <w:rFonts w:ascii="宋体" w:hAnsi="宋体" w:eastAsia="宋体" w:cs="宋体"/>
          <w:spacing w:val="10"/>
          <w:sz w:val="20"/>
          <w:szCs w:val="20"/>
        </w:rPr>
        <w:t xml:space="preserve">1. </w:t>
      </w:r>
      <w:r>
        <w:rPr>
          <w:spacing w:val="10"/>
          <w:sz w:val="20"/>
          <w:szCs w:val="20"/>
        </w:rPr>
        <w:t xml:space="preserve">加强健康教育和健康促进  </w:t>
      </w:r>
      <w:r>
        <w:rPr>
          <w:rFonts w:ascii="宋体" w:hAnsi="宋体" w:eastAsia="宋体" w:cs="宋体"/>
          <w:spacing w:val="10"/>
          <w:sz w:val="20"/>
          <w:szCs w:val="20"/>
        </w:rPr>
        <w:t>健康教育是最经济有效的疾病预防手</w:t>
      </w:r>
      <w:r>
        <w:rPr>
          <w:rFonts w:ascii="宋体" w:hAnsi="宋体" w:eastAsia="宋体" w:cs="宋体"/>
          <w:spacing w:val="9"/>
          <w:sz w:val="20"/>
          <w:szCs w:val="20"/>
        </w:rPr>
        <w:t>段之一。针对一般人群，</w:t>
      </w:r>
      <w:r>
        <w:rPr>
          <w:rFonts w:ascii="宋体" w:hAnsi="宋体" w:eastAsia="宋体" w:cs="宋体"/>
          <w:sz w:val="20"/>
          <w:szCs w:val="20"/>
        </w:rPr>
        <w:t xml:space="preserve"> </w:t>
      </w:r>
      <w:r>
        <w:rPr>
          <w:rFonts w:ascii="宋体" w:hAnsi="宋体" w:eastAsia="宋体" w:cs="宋体"/>
          <w:spacing w:val="6"/>
          <w:sz w:val="20"/>
          <w:szCs w:val="20"/>
        </w:rPr>
        <w:t>广泛宣传病毒性肝炎可防可治及国家医保政策等核心信</w:t>
      </w:r>
      <w:r>
        <w:rPr>
          <w:rFonts w:ascii="宋体" w:hAnsi="宋体" w:eastAsia="宋体" w:cs="宋体"/>
          <w:spacing w:val="5"/>
          <w:sz w:val="20"/>
          <w:szCs w:val="20"/>
        </w:rPr>
        <w:t>息，普及防治知识，提高自我保护意识和能</w:t>
      </w:r>
      <w:r>
        <w:rPr>
          <w:rFonts w:ascii="宋体" w:hAnsi="宋体" w:eastAsia="宋体" w:cs="宋体"/>
          <w:sz w:val="20"/>
          <w:szCs w:val="20"/>
        </w:rPr>
        <w:t xml:space="preserve">  </w:t>
      </w:r>
      <w:r>
        <w:rPr>
          <w:rFonts w:ascii="宋体" w:hAnsi="宋体" w:eastAsia="宋体" w:cs="宋体"/>
          <w:spacing w:val="3"/>
          <w:sz w:val="20"/>
          <w:szCs w:val="20"/>
        </w:rPr>
        <w:t>力；提高个人卫生水平，防止“病从口入”;改变不良行为生活方式；减少对病毒性肝炎的恐惧和对</w:t>
      </w:r>
      <w:r>
        <w:rPr>
          <w:rFonts w:ascii="宋体" w:hAnsi="宋体" w:eastAsia="宋体" w:cs="宋体"/>
          <w:spacing w:val="2"/>
          <w:sz w:val="20"/>
          <w:szCs w:val="20"/>
        </w:rPr>
        <w:t xml:space="preserve">  </w:t>
      </w:r>
      <w:r>
        <w:rPr>
          <w:rFonts w:ascii="宋体" w:hAnsi="宋体" w:eastAsia="宋体" w:cs="宋体"/>
          <w:spacing w:val="3"/>
          <w:sz w:val="20"/>
          <w:szCs w:val="20"/>
        </w:rPr>
        <w:t>病人的歧视。针对重点人群，要根据人群特点，以预防接种、减少高危行为和定期检测为宣</w:t>
      </w:r>
      <w:r>
        <w:rPr>
          <w:rFonts w:ascii="宋体" w:hAnsi="宋体" w:eastAsia="宋体" w:cs="宋体"/>
          <w:spacing w:val="2"/>
          <w:sz w:val="20"/>
          <w:szCs w:val="20"/>
        </w:rPr>
        <w:t>传重点，</w:t>
      </w:r>
      <w:r>
        <w:rPr>
          <w:rFonts w:ascii="宋体" w:hAnsi="宋体" w:eastAsia="宋体" w:cs="宋体"/>
          <w:sz w:val="20"/>
          <w:szCs w:val="20"/>
        </w:rPr>
        <w:t xml:space="preserve"> </w:t>
      </w:r>
      <w:r>
        <w:rPr>
          <w:rFonts w:ascii="宋体" w:hAnsi="宋体" w:eastAsia="宋体" w:cs="宋体"/>
          <w:spacing w:val="3"/>
          <w:sz w:val="20"/>
          <w:szCs w:val="20"/>
        </w:rPr>
        <w:t>减少新发感染。针对病人，要以早诊早治、科学规范治疗为宣传重点，提高治疗依从性和治</w:t>
      </w:r>
      <w:r>
        <w:rPr>
          <w:rFonts w:ascii="宋体" w:hAnsi="宋体" w:eastAsia="宋体" w:cs="宋体"/>
          <w:spacing w:val="2"/>
          <w:sz w:val="20"/>
          <w:szCs w:val="20"/>
        </w:rPr>
        <w:t>疗效果，</w:t>
      </w:r>
      <w:r>
        <w:rPr>
          <w:rFonts w:ascii="宋体" w:hAnsi="宋体" w:eastAsia="宋体" w:cs="宋体"/>
          <w:sz w:val="20"/>
          <w:szCs w:val="20"/>
        </w:rPr>
        <w:t xml:space="preserve"> </w:t>
      </w:r>
      <w:r>
        <w:rPr>
          <w:rFonts w:ascii="宋体" w:hAnsi="宋体" w:eastAsia="宋体" w:cs="宋体"/>
          <w:spacing w:val="5"/>
          <w:sz w:val="20"/>
          <w:szCs w:val="20"/>
        </w:rPr>
        <w:t>维持较高的生命质量和健康水平。</w:t>
      </w:r>
    </w:p>
    <w:p w14:paraId="2BD20E51">
      <w:pPr>
        <w:spacing w:before="34" w:line="342" w:lineRule="auto"/>
        <w:ind w:left="679" w:right="90" w:firstLine="409"/>
        <w:rPr>
          <w:rFonts w:ascii="宋体" w:hAnsi="宋体" w:eastAsia="宋体" w:cs="宋体"/>
          <w:sz w:val="20"/>
          <w:szCs w:val="20"/>
        </w:rPr>
      </w:pPr>
      <w:r>
        <w:rPr>
          <w:rFonts w:ascii="宋体" w:hAnsi="宋体" w:eastAsia="宋体" w:cs="宋体"/>
          <w:spacing w:val="6"/>
          <w:sz w:val="20"/>
          <w:szCs w:val="20"/>
        </w:rPr>
        <w:t>通过加强采供血机构、血液制品生产单位和医疗卫生</w:t>
      </w:r>
      <w:r>
        <w:rPr>
          <w:rFonts w:ascii="宋体" w:hAnsi="宋体" w:eastAsia="宋体" w:cs="宋体"/>
          <w:spacing w:val="5"/>
          <w:sz w:val="20"/>
          <w:szCs w:val="20"/>
        </w:rPr>
        <w:t>行业管理，加强饮食行业和服务行业卫生</w:t>
      </w:r>
      <w:r>
        <w:rPr>
          <w:rFonts w:ascii="宋体" w:hAnsi="宋体" w:eastAsia="宋体" w:cs="宋体"/>
          <w:sz w:val="20"/>
          <w:szCs w:val="20"/>
        </w:rPr>
        <w:t xml:space="preserve"> 监督，预防和控制病毒性肝炎的发生和传播，保障人民健康。</w:t>
      </w:r>
    </w:p>
    <w:p w14:paraId="5C82E17F">
      <w:pPr>
        <w:spacing w:before="1" w:line="336" w:lineRule="auto"/>
        <w:ind w:left="679" w:right="72" w:firstLine="409"/>
        <w:rPr>
          <w:rFonts w:ascii="宋体" w:hAnsi="宋体" w:eastAsia="宋体" w:cs="宋体"/>
          <w:sz w:val="20"/>
          <w:szCs w:val="20"/>
        </w:rPr>
      </w:pPr>
      <w:r>
        <w:rPr>
          <w:rFonts w:ascii="宋体" w:hAnsi="宋体" w:eastAsia="宋体" w:cs="宋体"/>
          <w:spacing w:val="1"/>
          <w:sz w:val="20"/>
          <w:szCs w:val="20"/>
        </w:rPr>
        <w:t>结合婚前保健、孕前孕期检查、青少年保健、性病防治、吸毒人群美沙酮维持治疗等医疗保健服</w:t>
      </w:r>
      <w:r>
        <w:rPr>
          <w:rFonts w:ascii="宋体" w:hAnsi="宋体" w:eastAsia="宋体" w:cs="宋体"/>
          <w:spacing w:val="5"/>
          <w:sz w:val="20"/>
          <w:szCs w:val="20"/>
        </w:rPr>
        <w:t xml:space="preserve"> </w:t>
      </w:r>
      <w:r>
        <w:rPr>
          <w:rFonts w:ascii="宋体" w:hAnsi="宋体" w:eastAsia="宋体" w:cs="宋体"/>
          <w:spacing w:val="3"/>
          <w:sz w:val="20"/>
          <w:szCs w:val="20"/>
        </w:rPr>
        <w:t>务开展预防病毒性肝炎传播的健康咨询等，提高防治意识，减</w:t>
      </w:r>
      <w:r>
        <w:rPr>
          <w:rFonts w:ascii="宋体" w:hAnsi="宋体" w:eastAsia="宋体" w:cs="宋体"/>
          <w:spacing w:val="2"/>
          <w:sz w:val="20"/>
          <w:szCs w:val="20"/>
        </w:rPr>
        <w:t>少或杜绝高危行为。</w:t>
      </w:r>
    </w:p>
    <w:p w14:paraId="6DC7C67C">
      <w:pPr>
        <w:pStyle w:val="2"/>
        <w:spacing w:before="2" w:line="304" w:lineRule="auto"/>
        <w:ind w:left="679" w:right="71" w:firstLine="409"/>
        <w:rPr>
          <w:rFonts w:ascii="宋体" w:hAnsi="宋体" w:eastAsia="宋体" w:cs="宋体"/>
          <w:sz w:val="20"/>
          <w:szCs w:val="20"/>
        </w:rPr>
      </w:pPr>
      <w:r>
        <w:rPr>
          <w:rFonts w:ascii="宋体" w:hAnsi="宋体" w:eastAsia="宋体" w:cs="宋体"/>
          <w:spacing w:val="15"/>
          <w:sz w:val="20"/>
          <w:szCs w:val="20"/>
        </w:rPr>
        <w:t xml:space="preserve">2. </w:t>
      </w:r>
      <w:r>
        <w:rPr>
          <w:spacing w:val="15"/>
          <w:sz w:val="20"/>
          <w:szCs w:val="20"/>
        </w:rPr>
        <w:t xml:space="preserve">加强人群免疫 </w:t>
      </w:r>
      <w:r>
        <w:rPr>
          <w:rFonts w:ascii="宋体" w:hAnsi="宋体" w:eastAsia="宋体" w:cs="宋体"/>
          <w:spacing w:val="15"/>
          <w:sz w:val="20"/>
          <w:szCs w:val="20"/>
        </w:rPr>
        <w:t>免疫预防是控制传染病发生的重要策略。我国自1992年将乙肝疫苗纳入</w:t>
      </w:r>
      <w:r>
        <w:rPr>
          <w:rFonts w:ascii="宋体" w:hAnsi="宋体" w:eastAsia="宋体" w:cs="宋体"/>
          <w:spacing w:val="2"/>
          <w:sz w:val="20"/>
          <w:szCs w:val="20"/>
        </w:rPr>
        <w:t xml:space="preserve"> </w:t>
      </w:r>
      <w:r>
        <w:rPr>
          <w:rFonts w:ascii="宋体" w:hAnsi="宋体" w:eastAsia="宋体" w:cs="宋体"/>
          <w:spacing w:val="5"/>
          <w:sz w:val="20"/>
          <w:szCs w:val="20"/>
        </w:rPr>
        <w:t>计划免疫管理，人群</w:t>
      </w:r>
      <w:r>
        <w:rPr>
          <w:rFonts w:ascii="Times New Roman" w:hAnsi="Times New Roman" w:eastAsia="Times New Roman" w:cs="Times New Roman"/>
          <w:sz w:val="20"/>
          <w:szCs w:val="20"/>
        </w:rPr>
        <w:t>HBsAg</w:t>
      </w:r>
      <w:r>
        <w:rPr>
          <w:rFonts w:ascii="Times New Roman" w:hAnsi="Times New Roman" w:eastAsia="Times New Roman" w:cs="Times New Roman"/>
          <w:spacing w:val="5"/>
          <w:sz w:val="20"/>
          <w:szCs w:val="20"/>
        </w:rPr>
        <w:t xml:space="preserve"> </w:t>
      </w:r>
      <w:r>
        <w:rPr>
          <w:rFonts w:ascii="宋体" w:hAnsi="宋体" w:eastAsia="宋体" w:cs="宋体"/>
          <w:spacing w:val="5"/>
          <w:sz w:val="20"/>
          <w:szCs w:val="20"/>
        </w:rPr>
        <w:t>携带率显著降低，乙肝防控取得了举世瞩目的成</w:t>
      </w:r>
      <w:r>
        <w:rPr>
          <w:rFonts w:ascii="宋体" w:hAnsi="宋体" w:eastAsia="宋体" w:cs="宋体"/>
          <w:spacing w:val="4"/>
          <w:sz w:val="20"/>
          <w:szCs w:val="20"/>
        </w:rPr>
        <w:t>就。2008年，我国将甲</w:t>
      </w:r>
      <w:r>
        <w:rPr>
          <w:rFonts w:ascii="宋体" w:hAnsi="宋体" w:eastAsia="宋体" w:cs="宋体"/>
          <w:sz w:val="20"/>
          <w:szCs w:val="20"/>
        </w:rPr>
        <w:t xml:space="preserve"> </w:t>
      </w:r>
      <w:r>
        <w:rPr>
          <w:rFonts w:ascii="宋体" w:hAnsi="宋体" w:eastAsia="宋体" w:cs="宋体"/>
          <w:spacing w:val="1"/>
          <w:sz w:val="20"/>
          <w:szCs w:val="20"/>
        </w:rPr>
        <w:t>肝疫苗纳入国家免疫规划，对适龄儿童进行常规接种，甲肝发病率显著下降，防控效果明显。2011年</w:t>
      </w:r>
      <w:r>
        <w:rPr>
          <w:rFonts w:ascii="宋体" w:hAnsi="宋体" w:eastAsia="宋体" w:cs="宋体"/>
          <w:spacing w:val="11"/>
          <w:sz w:val="20"/>
          <w:szCs w:val="20"/>
        </w:rPr>
        <w:t xml:space="preserve"> </w:t>
      </w:r>
      <w:r>
        <w:rPr>
          <w:rFonts w:ascii="宋体" w:hAnsi="宋体" w:eastAsia="宋体" w:cs="宋体"/>
          <w:spacing w:val="6"/>
          <w:sz w:val="20"/>
          <w:szCs w:val="20"/>
        </w:rPr>
        <w:t>我国成功研制出全球首个戊肝疫苗并陆续在国内外应用</w:t>
      </w:r>
      <w:r>
        <w:rPr>
          <w:rFonts w:ascii="宋体" w:hAnsi="宋体" w:eastAsia="宋体" w:cs="宋体"/>
          <w:spacing w:val="5"/>
          <w:sz w:val="20"/>
          <w:szCs w:val="20"/>
        </w:rPr>
        <w:t>，戊肝成为人类又一疫苗可预防疾病。</w:t>
      </w:r>
    </w:p>
    <w:p w14:paraId="01B3752C">
      <w:pPr>
        <w:spacing w:before="152" w:line="280" w:lineRule="auto"/>
        <w:ind w:left="679" w:right="71" w:firstLine="409"/>
        <w:rPr>
          <w:rFonts w:ascii="宋体" w:hAnsi="宋体" w:eastAsia="宋体" w:cs="宋体"/>
          <w:sz w:val="20"/>
          <w:szCs w:val="20"/>
        </w:rPr>
      </w:pPr>
      <w:r>
        <w:rPr>
          <w:rFonts w:ascii="宋体" w:hAnsi="宋体" w:eastAsia="宋体" w:cs="宋体"/>
          <w:spacing w:val="5"/>
          <w:sz w:val="20"/>
          <w:szCs w:val="20"/>
        </w:rPr>
        <w:t>3. 改善卫生条件</w:t>
      </w:r>
      <w:r>
        <w:rPr>
          <w:rFonts w:ascii="宋体" w:hAnsi="宋体" w:eastAsia="宋体" w:cs="宋体"/>
          <w:spacing w:val="37"/>
          <w:sz w:val="20"/>
          <w:szCs w:val="20"/>
        </w:rPr>
        <w:t xml:space="preserve"> </w:t>
      </w:r>
      <w:r>
        <w:rPr>
          <w:rFonts w:ascii="宋体" w:hAnsi="宋体" w:eastAsia="宋体" w:cs="宋体"/>
          <w:spacing w:val="5"/>
          <w:sz w:val="20"/>
          <w:szCs w:val="20"/>
        </w:rPr>
        <w:t>改善人居环境状况，改善饮用水卫生条件，加强污水、污物和粪便无害化处</w:t>
      </w:r>
      <w:r>
        <w:rPr>
          <w:rFonts w:ascii="宋体" w:hAnsi="宋体" w:eastAsia="宋体" w:cs="宋体"/>
          <w:sz w:val="20"/>
          <w:szCs w:val="20"/>
        </w:rPr>
        <w:t xml:space="preserve"> </w:t>
      </w:r>
      <w:r>
        <w:rPr>
          <w:rFonts w:ascii="宋体" w:hAnsi="宋体" w:eastAsia="宋体" w:cs="宋体"/>
          <w:spacing w:val="4"/>
          <w:sz w:val="20"/>
          <w:szCs w:val="20"/>
        </w:rPr>
        <w:t>置，加强食品卫生监督和管理等，都有助于从根本上杜绝消化道传播的病毒性肝炎的发生</w:t>
      </w:r>
      <w:r>
        <w:rPr>
          <w:rFonts w:ascii="宋体" w:hAnsi="宋体" w:eastAsia="宋体" w:cs="宋体"/>
          <w:spacing w:val="3"/>
          <w:sz w:val="20"/>
          <w:szCs w:val="20"/>
        </w:rPr>
        <w:t>和传播。</w:t>
      </w:r>
    </w:p>
    <w:p w14:paraId="4BEE6FB8">
      <w:pPr>
        <w:pStyle w:val="2"/>
        <w:spacing w:before="123" w:line="222" w:lineRule="auto"/>
        <w:ind w:left="1089"/>
        <w:rPr>
          <w:sz w:val="20"/>
          <w:szCs w:val="20"/>
        </w:rPr>
      </w:pPr>
      <w:r>
        <w:rPr>
          <w:spacing w:val="27"/>
          <w:sz w:val="20"/>
          <w:szCs w:val="20"/>
        </w:rPr>
        <w:t>(二)加强传染病监测</w:t>
      </w:r>
    </w:p>
    <w:p w14:paraId="17FEBF7D">
      <w:pPr>
        <w:spacing w:before="115" w:line="334" w:lineRule="auto"/>
        <w:ind w:left="679" w:firstLine="409"/>
        <w:jc w:val="both"/>
        <w:rPr>
          <w:rFonts w:ascii="宋体" w:hAnsi="宋体" w:eastAsia="宋体" w:cs="宋体"/>
          <w:sz w:val="20"/>
          <w:szCs w:val="20"/>
        </w:rPr>
      </w:pPr>
      <w:r>
        <w:rPr>
          <w:rFonts w:ascii="宋体" w:hAnsi="宋体" w:eastAsia="宋体" w:cs="宋体"/>
          <w:spacing w:val="9"/>
          <w:sz w:val="20"/>
          <w:szCs w:val="20"/>
        </w:rPr>
        <w:t>病毒性肝炎属于乙类传染病。应依照《传染病防</w:t>
      </w:r>
      <w:r>
        <w:rPr>
          <w:rFonts w:ascii="宋体" w:hAnsi="宋体" w:eastAsia="宋体" w:cs="宋体"/>
          <w:spacing w:val="8"/>
          <w:sz w:val="20"/>
          <w:szCs w:val="20"/>
        </w:rPr>
        <w:t>治法》,做好病毒性肝炎报告。针对消化道传</w:t>
      </w:r>
      <w:r>
        <w:rPr>
          <w:rFonts w:ascii="宋体" w:hAnsi="宋体" w:eastAsia="宋体" w:cs="宋体"/>
          <w:sz w:val="20"/>
          <w:szCs w:val="20"/>
        </w:rPr>
        <w:t xml:space="preserve"> </w:t>
      </w:r>
      <w:r>
        <w:rPr>
          <w:rFonts w:ascii="宋体" w:hAnsi="宋体" w:eastAsia="宋体" w:cs="宋体"/>
          <w:spacing w:val="3"/>
          <w:sz w:val="20"/>
          <w:szCs w:val="20"/>
        </w:rPr>
        <w:t>播的病毒性肝炎，应加强疫情监测和预警，积极应对甲肝和戊肝暴发，防止疾病在人群中传播</w:t>
      </w:r>
      <w:r>
        <w:rPr>
          <w:rFonts w:ascii="宋体" w:hAnsi="宋体" w:eastAsia="宋体" w:cs="宋体"/>
          <w:spacing w:val="2"/>
          <w:sz w:val="20"/>
          <w:szCs w:val="20"/>
        </w:rPr>
        <w:t>蔓延。</w:t>
      </w:r>
      <w:r>
        <w:rPr>
          <w:rFonts w:ascii="宋体" w:hAnsi="宋体" w:eastAsia="宋体" w:cs="宋体"/>
          <w:sz w:val="20"/>
          <w:szCs w:val="20"/>
        </w:rPr>
        <w:t xml:space="preserve"> </w:t>
      </w:r>
      <w:r>
        <w:rPr>
          <w:rFonts w:ascii="宋体" w:hAnsi="宋体" w:eastAsia="宋体" w:cs="宋体"/>
          <w:spacing w:val="1"/>
          <w:sz w:val="20"/>
          <w:szCs w:val="20"/>
        </w:rPr>
        <w:t>针对非消化道传播的病毒性肝炎，还可借助于艾滋病、性病和丙肝哨点监测，收集其流行</w:t>
      </w:r>
      <w:r>
        <w:rPr>
          <w:rFonts w:ascii="宋体" w:hAnsi="宋体" w:eastAsia="宋体" w:cs="宋体"/>
          <w:sz w:val="20"/>
          <w:szCs w:val="20"/>
        </w:rPr>
        <w:t xml:space="preserve">因素、流行  </w:t>
      </w:r>
      <w:r>
        <w:rPr>
          <w:rFonts w:ascii="宋体" w:hAnsi="宋体" w:eastAsia="宋体" w:cs="宋体"/>
          <w:spacing w:val="11"/>
          <w:sz w:val="20"/>
          <w:szCs w:val="20"/>
        </w:rPr>
        <w:t>规律及与传播相关的高危行为信息等，为制定与完善病毒性肝炎预防控制措施及其</w:t>
      </w:r>
      <w:r>
        <w:rPr>
          <w:rFonts w:ascii="宋体" w:hAnsi="宋体" w:eastAsia="宋体" w:cs="宋体"/>
          <w:spacing w:val="10"/>
          <w:sz w:val="20"/>
          <w:szCs w:val="20"/>
        </w:rPr>
        <w:t>效果评价提供</w:t>
      </w:r>
      <w:r>
        <w:rPr>
          <w:rFonts w:ascii="宋体" w:hAnsi="宋体" w:eastAsia="宋体" w:cs="宋体"/>
          <w:sz w:val="20"/>
          <w:szCs w:val="20"/>
        </w:rPr>
        <w:t xml:space="preserve"> </w:t>
      </w:r>
      <w:r>
        <w:rPr>
          <w:rFonts w:ascii="宋体" w:hAnsi="宋体" w:eastAsia="宋体" w:cs="宋体"/>
          <w:spacing w:val="9"/>
          <w:sz w:val="20"/>
          <w:szCs w:val="20"/>
        </w:rPr>
        <w:t>科学依据。</w:t>
      </w:r>
    </w:p>
    <w:p w14:paraId="5B9111D9">
      <w:pPr>
        <w:pStyle w:val="2"/>
        <w:spacing w:before="53" w:line="222" w:lineRule="auto"/>
        <w:ind w:left="1092"/>
        <w:rPr>
          <w:sz w:val="20"/>
          <w:szCs w:val="20"/>
        </w:rPr>
      </w:pPr>
      <w:r>
        <w:rPr>
          <w:b/>
          <w:bCs/>
          <w:spacing w:val="27"/>
          <w:sz w:val="20"/>
          <w:szCs w:val="20"/>
        </w:rPr>
        <w:t>(三)全球化控制</w:t>
      </w:r>
    </w:p>
    <w:p w14:paraId="1A785C9B">
      <w:pPr>
        <w:spacing w:before="122" w:line="333" w:lineRule="auto"/>
        <w:ind w:left="679" w:right="71" w:firstLine="409"/>
        <w:jc w:val="both"/>
        <w:rPr>
          <w:rFonts w:ascii="宋体" w:hAnsi="宋体" w:eastAsia="宋体" w:cs="宋体"/>
          <w:sz w:val="20"/>
          <w:szCs w:val="20"/>
        </w:rPr>
      </w:pPr>
      <w:r>
        <w:rPr>
          <w:rFonts w:ascii="宋体" w:hAnsi="宋体" w:eastAsia="宋体" w:cs="宋体"/>
          <w:spacing w:val="13"/>
          <w:sz w:val="20"/>
          <w:szCs w:val="20"/>
        </w:rPr>
        <w:t>2016年，</w:t>
      </w:r>
      <w:r>
        <w:rPr>
          <w:rFonts w:ascii="宋体" w:hAnsi="宋体" w:eastAsia="宋体" w:cs="宋体"/>
          <w:sz w:val="20"/>
          <w:szCs w:val="20"/>
        </w:rPr>
        <w:t>WHO</w:t>
      </w:r>
      <w:r>
        <w:rPr>
          <w:rFonts w:ascii="宋体" w:hAnsi="宋体" w:eastAsia="宋体" w:cs="宋体"/>
          <w:spacing w:val="13"/>
          <w:sz w:val="20"/>
          <w:szCs w:val="20"/>
        </w:rPr>
        <w:t xml:space="preserve">  提出到2030年消除病</w:t>
      </w:r>
      <w:r>
        <w:rPr>
          <w:rFonts w:ascii="宋体" w:hAnsi="宋体" w:eastAsia="宋体" w:cs="宋体"/>
          <w:spacing w:val="12"/>
          <w:sz w:val="20"/>
          <w:szCs w:val="20"/>
        </w:rPr>
        <w:t>毒性肝炎公共卫生危害，并制定了明确的目标。近10年</w:t>
      </w:r>
      <w:r>
        <w:rPr>
          <w:rFonts w:ascii="宋体" w:hAnsi="宋体" w:eastAsia="宋体" w:cs="宋体"/>
          <w:sz w:val="20"/>
          <w:szCs w:val="20"/>
        </w:rPr>
        <w:t xml:space="preserve"> </w:t>
      </w:r>
      <w:r>
        <w:rPr>
          <w:rFonts w:ascii="宋体" w:hAnsi="宋体" w:eastAsia="宋体" w:cs="宋体"/>
          <w:spacing w:val="1"/>
          <w:sz w:val="20"/>
          <w:szCs w:val="20"/>
        </w:rPr>
        <w:t>来，为实现这一目标，各国卫生部门采取了一系列行动计划，目前虽已取得阶段性成果，但</w:t>
      </w:r>
      <w:r>
        <w:rPr>
          <w:rFonts w:ascii="宋体" w:hAnsi="宋体" w:eastAsia="宋体" w:cs="宋体"/>
          <w:sz w:val="20"/>
          <w:szCs w:val="20"/>
        </w:rPr>
        <w:t xml:space="preserve">仍面临巨 </w:t>
      </w:r>
      <w:r>
        <w:rPr>
          <w:rFonts w:ascii="宋体" w:hAnsi="宋体" w:eastAsia="宋体" w:cs="宋体"/>
          <w:spacing w:val="9"/>
          <w:sz w:val="20"/>
          <w:szCs w:val="20"/>
        </w:rPr>
        <w:t>大挑战。</w:t>
      </w:r>
      <w:r>
        <w:rPr>
          <w:rFonts w:ascii="Times New Roman" w:hAnsi="Times New Roman" w:eastAsia="Times New Roman" w:cs="Times New Roman"/>
          <w:sz w:val="20"/>
          <w:szCs w:val="20"/>
        </w:rPr>
        <w:t>WHO</w:t>
      </w:r>
      <w:r>
        <w:rPr>
          <w:rFonts w:ascii="Times New Roman" w:hAnsi="Times New Roman" w:eastAsia="Times New Roman" w:cs="Times New Roman"/>
          <w:spacing w:val="9"/>
          <w:sz w:val="20"/>
          <w:szCs w:val="20"/>
        </w:rPr>
        <w:t xml:space="preserve"> </w:t>
      </w:r>
      <w:r>
        <w:rPr>
          <w:rFonts w:ascii="宋体" w:hAnsi="宋体" w:eastAsia="宋体" w:cs="宋体"/>
          <w:spacing w:val="9"/>
          <w:sz w:val="20"/>
          <w:szCs w:val="20"/>
        </w:rPr>
        <w:t>的2022—2030年全球卫生部门战略建议各国在</w:t>
      </w:r>
      <w:r>
        <w:rPr>
          <w:rFonts w:ascii="Times New Roman" w:hAnsi="Times New Roman" w:eastAsia="Times New Roman" w:cs="Times New Roman"/>
          <w:sz w:val="20"/>
          <w:szCs w:val="20"/>
        </w:rPr>
        <w:t>WHO</w:t>
      </w:r>
      <w:r>
        <w:rPr>
          <w:rFonts w:ascii="Times New Roman" w:hAnsi="Times New Roman" w:eastAsia="Times New Roman" w:cs="Times New Roman"/>
          <w:spacing w:val="9"/>
          <w:sz w:val="20"/>
          <w:szCs w:val="20"/>
        </w:rPr>
        <w:t xml:space="preserve"> </w:t>
      </w:r>
      <w:r>
        <w:rPr>
          <w:rFonts w:ascii="宋体" w:hAnsi="宋体" w:eastAsia="宋体" w:cs="宋体"/>
          <w:spacing w:val="9"/>
          <w:sz w:val="20"/>
          <w:szCs w:val="20"/>
        </w:rPr>
        <w:t>及合作伙伴的行动支持下通力</w:t>
      </w:r>
      <w:r>
        <w:rPr>
          <w:rFonts w:ascii="宋体" w:hAnsi="宋体" w:eastAsia="宋体" w:cs="宋体"/>
          <w:spacing w:val="4"/>
          <w:sz w:val="20"/>
          <w:szCs w:val="20"/>
        </w:rPr>
        <w:t xml:space="preserve"> 合作，采取共同且针对病毒性肝炎具体疾病</w:t>
      </w:r>
      <w:r>
        <w:rPr>
          <w:rFonts w:ascii="宋体" w:hAnsi="宋体" w:eastAsia="宋体" w:cs="宋体"/>
          <w:spacing w:val="3"/>
          <w:sz w:val="20"/>
          <w:szCs w:val="20"/>
        </w:rPr>
        <w:t>的行动。</w:t>
      </w:r>
    </w:p>
    <w:p w14:paraId="0007124B">
      <w:pPr>
        <w:pStyle w:val="2"/>
        <w:spacing w:before="187" w:line="223" w:lineRule="auto"/>
        <w:ind w:left="1093"/>
        <w:outlineLvl w:val="4"/>
        <w:rPr>
          <w:sz w:val="25"/>
          <w:szCs w:val="25"/>
        </w:rPr>
      </w:pPr>
      <w:bookmarkStart w:id="505" w:name="bookmark317"/>
      <w:bookmarkEnd w:id="505"/>
      <w:r>
        <w:rPr>
          <w:b/>
          <w:bCs/>
          <w:spacing w:val="-2"/>
          <w:sz w:val="25"/>
          <w:szCs w:val="25"/>
        </w:rPr>
        <w:t>二、措施</w:t>
      </w:r>
    </w:p>
    <w:p w14:paraId="56BC9428">
      <w:pPr>
        <w:pStyle w:val="2"/>
        <w:spacing w:before="257" w:line="221" w:lineRule="auto"/>
        <w:ind w:left="1089"/>
        <w:rPr>
          <w:sz w:val="20"/>
          <w:szCs w:val="20"/>
        </w:rPr>
      </w:pPr>
      <w:r>
        <w:rPr>
          <w:spacing w:val="22"/>
          <w:sz w:val="20"/>
          <w:szCs w:val="20"/>
        </w:rPr>
        <w:t>(</w:t>
      </w:r>
      <w:r>
        <w:rPr>
          <w:spacing w:val="-52"/>
          <w:sz w:val="20"/>
          <w:szCs w:val="20"/>
        </w:rPr>
        <w:t xml:space="preserve"> </w:t>
      </w:r>
      <w:r>
        <w:rPr>
          <w:spacing w:val="22"/>
          <w:sz w:val="20"/>
          <w:szCs w:val="20"/>
        </w:rPr>
        <w:t>一)甲型和戊型肝炎的预防措施</w:t>
      </w:r>
    </w:p>
    <w:p w14:paraId="3FEC0EFC">
      <w:pPr>
        <w:spacing w:before="111" w:line="219" w:lineRule="auto"/>
        <w:ind w:left="1089"/>
        <w:rPr>
          <w:rFonts w:ascii="宋体" w:hAnsi="宋体" w:eastAsia="宋体" w:cs="宋体"/>
          <w:sz w:val="20"/>
          <w:szCs w:val="20"/>
        </w:rPr>
      </w:pPr>
      <w:r>
        <w:rPr>
          <w:rFonts w:ascii="宋体" w:hAnsi="宋体" w:eastAsia="宋体" w:cs="宋体"/>
          <w:spacing w:val="10"/>
          <w:sz w:val="20"/>
          <w:szCs w:val="20"/>
        </w:rPr>
        <w:t>甲肝和戊肝的传播途径主要为消化道传播，应采取以切断消化</w:t>
      </w:r>
      <w:r>
        <w:rPr>
          <w:rFonts w:ascii="宋体" w:hAnsi="宋体" w:eastAsia="宋体" w:cs="宋体"/>
          <w:spacing w:val="9"/>
          <w:sz w:val="20"/>
          <w:szCs w:val="20"/>
        </w:rPr>
        <w:t>道传播和预防接种相结合的综</w:t>
      </w:r>
    </w:p>
    <w:p w14:paraId="2778D47B">
      <w:pPr>
        <w:spacing w:line="219" w:lineRule="auto"/>
        <w:rPr>
          <w:rFonts w:ascii="宋体" w:hAnsi="宋体" w:eastAsia="宋体" w:cs="宋体"/>
          <w:sz w:val="20"/>
          <w:szCs w:val="20"/>
        </w:rPr>
        <w:sectPr>
          <w:footerReference r:id="rId327" w:type="default"/>
          <w:pgSz w:w="11900" w:h="16820"/>
          <w:pgMar w:top="400" w:right="1479" w:bottom="849" w:left="810" w:header="0" w:footer="669" w:gutter="0"/>
          <w:cols w:space="720" w:num="1"/>
        </w:sectPr>
      </w:pPr>
    </w:p>
    <w:p w14:paraId="7646B696">
      <w:pPr>
        <w:pStyle w:val="2"/>
        <w:spacing w:before="66" w:line="222" w:lineRule="auto"/>
        <w:ind w:left="7060"/>
        <w:rPr>
          <w:sz w:val="20"/>
          <w:szCs w:val="20"/>
        </w:rPr>
      </w:pPr>
      <w:r>
        <w:rPr>
          <w:spacing w:val="-21"/>
          <w:sz w:val="20"/>
          <w:szCs w:val="20"/>
        </w:rPr>
        <w:t>第十九章 病毒性肝炎</w:t>
      </w:r>
    </w:p>
    <w:p w14:paraId="2E179F7C">
      <w:pPr>
        <w:spacing w:line="286" w:lineRule="auto"/>
        <w:rPr>
          <w:rFonts w:ascii="Arial"/>
          <w:sz w:val="21"/>
        </w:rPr>
      </w:pPr>
    </w:p>
    <w:p w14:paraId="3E81F8D0">
      <w:pPr>
        <w:spacing w:line="286" w:lineRule="auto"/>
        <w:rPr>
          <w:rFonts w:ascii="Arial"/>
          <w:sz w:val="21"/>
        </w:rPr>
      </w:pPr>
    </w:p>
    <w:p w14:paraId="515DA180">
      <w:pPr>
        <w:spacing w:before="65" w:line="220" w:lineRule="auto"/>
        <w:rPr>
          <w:rFonts w:ascii="宋体" w:hAnsi="宋体" w:eastAsia="宋体" w:cs="宋体"/>
          <w:sz w:val="20"/>
          <w:szCs w:val="20"/>
        </w:rPr>
      </w:pPr>
      <w:r>
        <w:rPr>
          <w:rFonts w:ascii="宋体" w:hAnsi="宋体" w:eastAsia="宋体" w:cs="宋体"/>
          <w:spacing w:val="7"/>
          <w:sz w:val="20"/>
          <w:szCs w:val="20"/>
        </w:rPr>
        <w:t>合性预防措施。</w:t>
      </w:r>
    </w:p>
    <w:p w14:paraId="1ECE9A98">
      <w:pPr>
        <w:pStyle w:val="2"/>
        <w:spacing w:before="129" w:line="337" w:lineRule="auto"/>
        <w:ind w:right="688" w:firstLine="390"/>
        <w:rPr>
          <w:rFonts w:ascii="宋体" w:hAnsi="宋体" w:eastAsia="宋体" w:cs="宋体"/>
          <w:sz w:val="20"/>
          <w:szCs w:val="20"/>
        </w:rPr>
      </w:pPr>
      <w:r>
        <w:rPr>
          <w:rFonts w:ascii="宋体" w:hAnsi="宋体" w:eastAsia="宋体" w:cs="宋体"/>
          <w:spacing w:val="9"/>
          <w:sz w:val="20"/>
          <w:szCs w:val="20"/>
        </w:rPr>
        <w:t xml:space="preserve">1. </w:t>
      </w:r>
      <w:r>
        <w:rPr>
          <w:spacing w:val="9"/>
          <w:sz w:val="20"/>
          <w:szCs w:val="20"/>
        </w:rPr>
        <w:t xml:space="preserve">管理传染源  </w:t>
      </w:r>
      <w:r>
        <w:rPr>
          <w:rFonts w:ascii="宋体" w:hAnsi="宋体" w:eastAsia="宋体" w:cs="宋体"/>
          <w:spacing w:val="9"/>
          <w:sz w:val="20"/>
          <w:szCs w:val="20"/>
        </w:rPr>
        <w:t>甲肝和戊肝病人是重要的传染源，应按照乙类传染病进行管理。由3型和4</w:t>
      </w:r>
      <w:r>
        <w:rPr>
          <w:rFonts w:ascii="宋体" w:hAnsi="宋体" w:eastAsia="宋体" w:cs="宋体"/>
          <w:spacing w:val="8"/>
          <w:sz w:val="20"/>
          <w:szCs w:val="20"/>
        </w:rPr>
        <w:t xml:space="preserve"> </w:t>
      </w:r>
      <w:r>
        <w:rPr>
          <w:rFonts w:ascii="宋体" w:hAnsi="宋体" w:eastAsia="宋体" w:cs="宋体"/>
          <w:spacing w:val="4"/>
          <w:sz w:val="20"/>
          <w:szCs w:val="20"/>
        </w:rPr>
        <w:t>型</w:t>
      </w:r>
      <w:r>
        <w:rPr>
          <w:rFonts w:ascii="Times New Roman" w:hAnsi="Times New Roman" w:eastAsia="Times New Roman" w:cs="Times New Roman"/>
          <w:sz w:val="20"/>
          <w:szCs w:val="20"/>
        </w:rPr>
        <w:t>HEV</w:t>
      </w:r>
      <w:r>
        <w:rPr>
          <w:rFonts w:ascii="Times New Roman" w:hAnsi="Times New Roman" w:eastAsia="Times New Roman" w:cs="Times New Roman"/>
          <w:spacing w:val="4"/>
          <w:sz w:val="20"/>
          <w:szCs w:val="20"/>
        </w:rPr>
        <w:t xml:space="preserve"> </w:t>
      </w:r>
      <w:r>
        <w:rPr>
          <w:rFonts w:ascii="宋体" w:hAnsi="宋体" w:eastAsia="宋体" w:cs="宋体"/>
          <w:spacing w:val="4"/>
          <w:sz w:val="20"/>
          <w:szCs w:val="20"/>
        </w:rPr>
        <w:t>引起的戊肝可能存在动物宿主，亦是需要管理的传染源。</w:t>
      </w:r>
    </w:p>
    <w:p w14:paraId="3032AC34">
      <w:pPr>
        <w:spacing w:before="1" w:line="307" w:lineRule="auto"/>
        <w:ind w:right="645" w:firstLine="390"/>
        <w:rPr>
          <w:rFonts w:ascii="宋体" w:hAnsi="宋体" w:eastAsia="宋体" w:cs="宋体"/>
          <w:sz w:val="20"/>
          <w:szCs w:val="20"/>
        </w:rPr>
      </w:pPr>
      <w:r>
        <w:rPr>
          <w:rFonts w:ascii="宋体" w:hAnsi="宋体" w:eastAsia="宋体" w:cs="宋体"/>
          <w:spacing w:val="6"/>
          <w:sz w:val="20"/>
          <w:szCs w:val="20"/>
        </w:rPr>
        <w:t>(1)诊断与报告：应依照甲肝和戊肝诊断标准及时对甲肝和</w:t>
      </w:r>
      <w:r>
        <w:rPr>
          <w:rFonts w:ascii="宋体" w:hAnsi="宋体" w:eastAsia="宋体" w:cs="宋体"/>
          <w:spacing w:val="5"/>
          <w:sz w:val="20"/>
          <w:szCs w:val="20"/>
        </w:rPr>
        <w:t>戊肝病人或疑似病人进行诊断，并</w:t>
      </w:r>
      <w:r>
        <w:rPr>
          <w:rFonts w:ascii="宋体" w:hAnsi="宋体" w:eastAsia="宋体" w:cs="宋体"/>
          <w:sz w:val="20"/>
          <w:szCs w:val="20"/>
        </w:rPr>
        <w:t xml:space="preserve"> </w:t>
      </w:r>
      <w:r>
        <w:rPr>
          <w:rFonts w:ascii="宋体" w:hAnsi="宋体" w:eastAsia="宋体" w:cs="宋体"/>
          <w:spacing w:val="3"/>
          <w:sz w:val="20"/>
          <w:szCs w:val="20"/>
        </w:rPr>
        <w:t>按要求在24小时内进行网络直报。疾病预防控制机构应主动收集、分析、调查、核实甲肝</w:t>
      </w:r>
      <w:r>
        <w:rPr>
          <w:rFonts w:ascii="宋体" w:hAnsi="宋体" w:eastAsia="宋体" w:cs="宋体"/>
          <w:spacing w:val="2"/>
          <w:sz w:val="20"/>
          <w:szCs w:val="20"/>
        </w:rPr>
        <w:t>和戊肝疫</w:t>
      </w:r>
      <w:r>
        <w:rPr>
          <w:rFonts w:ascii="宋体" w:hAnsi="宋体" w:eastAsia="宋体" w:cs="宋体"/>
          <w:sz w:val="20"/>
          <w:szCs w:val="20"/>
        </w:rPr>
        <w:t xml:space="preserve"> </w:t>
      </w:r>
      <w:r>
        <w:rPr>
          <w:rFonts w:ascii="宋体" w:hAnsi="宋体" w:eastAsia="宋体" w:cs="宋体"/>
          <w:spacing w:val="12"/>
          <w:sz w:val="20"/>
          <w:szCs w:val="20"/>
        </w:rPr>
        <w:t>情信息。</w:t>
      </w:r>
    </w:p>
    <w:p w14:paraId="2918531D">
      <w:pPr>
        <w:spacing w:before="132" w:line="307" w:lineRule="auto"/>
        <w:ind w:right="642" w:firstLine="390"/>
        <w:rPr>
          <w:rFonts w:ascii="宋体" w:hAnsi="宋体" w:eastAsia="宋体" w:cs="宋体"/>
          <w:sz w:val="20"/>
          <w:szCs w:val="20"/>
        </w:rPr>
      </w:pPr>
      <w:r>
        <w:rPr>
          <w:rFonts w:ascii="宋体" w:hAnsi="宋体" w:eastAsia="宋体" w:cs="宋体"/>
          <w:spacing w:val="11"/>
          <w:sz w:val="20"/>
          <w:szCs w:val="20"/>
        </w:rPr>
        <w:t>(2)治疗与随访：甲肝和戊肝病人以急性肝炎为主。急性肝炎</w:t>
      </w:r>
      <w:r>
        <w:rPr>
          <w:rFonts w:ascii="宋体" w:hAnsi="宋体" w:eastAsia="宋体" w:cs="宋体"/>
          <w:spacing w:val="10"/>
          <w:sz w:val="20"/>
          <w:szCs w:val="20"/>
        </w:rPr>
        <w:t>通常具有自限性，多可完全康</w:t>
      </w:r>
      <w:r>
        <w:rPr>
          <w:rFonts w:ascii="宋体" w:hAnsi="宋体" w:eastAsia="宋体" w:cs="宋体"/>
          <w:sz w:val="20"/>
          <w:szCs w:val="20"/>
        </w:rPr>
        <w:t xml:space="preserve"> </w:t>
      </w:r>
      <w:r>
        <w:rPr>
          <w:rFonts w:ascii="宋体" w:hAnsi="宋体" w:eastAsia="宋体" w:cs="宋体"/>
          <w:spacing w:val="-1"/>
          <w:sz w:val="20"/>
          <w:szCs w:val="20"/>
        </w:rPr>
        <w:t>复。因此，治疗原则是以一般治疗和对症支持</w:t>
      </w:r>
      <w:r>
        <w:rPr>
          <w:rFonts w:ascii="宋体" w:hAnsi="宋体" w:eastAsia="宋体" w:cs="宋体"/>
          <w:spacing w:val="-2"/>
          <w:sz w:val="20"/>
          <w:szCs w:val="20"/>
        </w:rPr>
        <w:t>治疗为主，不需要抗病毒治疗，但需密切观察病情，定</w:t>
      </w:r>
      <w:r>
        <w:rPr>
          <w:rFonts w:ascii="宋体" w:hAnsi="宋体" w:eastAsia="宋体" w:cs="宋体"/>
          <w:sz w:val="20"/>
          <w:szCs w:val="20"/>
        </w:rPr>
        <w:t xml:space="preserve"> </w:t>
      </w:r>
      <w:r>
        <w:rPr>
          <w:rFonts w:ascii="宋体" w:hAnsi="宋体" w:eastAsia="宋体" w:cs="宋体"/>
          <w:spacing w:val="7"/>
          <w:sz w:val="20"/>
          <w:szCs w:val="20"/>
        </w:rPr>
        <w:t>期随访。甲肝和戊肝病人治愈前不得从事直接为顾客服</w:t>
      </w:r>
      <w:r>
        <w:rPr>
          <w:rFonts w:ascii="宋体" w:hAnsi="宋体" w:eastAsia="宋体" w:cs="宋体"/>
          <w:spacing w:val="6"/>
          <w:sz w:val="20"/>
          <w:szCs w:val="20"/>
        </w:rPr>
        <w:t>务的工作。</w:t>
      </w:r>
    </w:p>
    <w:p w14:paraId="23784D44">
      <w:pPr>
        <w:spacing w:before="141" w:line="342" w:lineRule="auto"/>
        <w:ind w:right="666" w:firstLine="390"/>
        <w:rPr>
          <w:rFonts w:ascii="宋体" w:hAnsi="宋体" w:eastAsia="宋体" w:cs="宋体"/>
          <w:sz w:val="20"/>
          <w:szCs w:val="20"/>
        </w:rPr>
      </w:pPr>
      <w:r>
        <w:rPr>
          <w:rFonts w:ascii="宋体" w:hAnsi="宋体" w:eastAsia="宋体" w:cs="宋体"/>
          <w:spacing w:val="-2"/>
          <w:sz w:val="20"/>
          <w:szCs w:val="20"/>
        </w:rPr>
        <w:t>此外，针对危害大且经济价值不大的动物应进行控制、扑杀、无害化处理，对危害不大且有经济</w:t>
      </w:r>
      <w:r>
        <w:rPr>
          <w:rFonts w:ascii="宋体" w:hAnsi="宋体" w:eastAsia="宋体" w:cs="宋体"/>
          <w:spacing w:val="2"/>
          <w:sz w:val="20"/>
          <w:szCs w:val="20"/>
        </w:rPr>
        <w:t xml:space="preserve"> </w:t>
      </w:r>
      <w:r>
        <w:rPr>
          <w:rFonts w:ascii="宋体" w:hAnsi="宋体" w:eastAsia="宋体" w:cs="宋体"/>
          <w:spacing w:val="9"/>
          <w:sz w:val="20"/>
          <w:szCs w:val="20"/>
        </w:rPr>
        <w:t>价值的动物宿主可予以隔离和治疗。</w:t>
      </w:r>
    </w:p>
    <w:p w14:paraId="3E73C894">
      <w:pPr>
        <w:spacing w:before="1" w:line="218" w:lineRule="auto"/>
        <w:ind w:left="390"/>
        <w:rPr>
          <w:rFonts w:ascii="宋体" w:hAnsi="宋体" w:eastAsia="宋体" w:cs="宋体"/>
          <w:sz w:val="20"/>
          <w:szCs w:val="20"/>
        </w:rPr>
      </w:pPr>
      <w:r>
        <w:rPr>
          <w:rFonts w:ascii="宋体" w:hAnsi="宋体" w:eastAsia="宋体" w:cs="宋体"/>
          <w:spacing w:val="12"/>
          <w:sz w:val="20"/>
          <w:szCs w:val="20"/>
        </w:rPr>
        <w:t>2. 切断传播途径</w:t>
      </w:r>
    </w:p>
    <w:p w14:paraId="6A612022">
      <w:pPr>
        <w:spacing w:before="133" w:line="290" w:lineRule="auto"/>
        <w:ind w:right="645" w:firstLine="390"/>
        <w:rPr>
          <w:rFonts w:ascii="宋体" w:hAnsi="宋体" w:eastAsia="宋体" w:cs="宋体"/>
          <w:sz w:val="20"/>
          <w:szCs w:val="20"/>
        </w:rPr>
      </w:pPr>
      <w:r>
        <w:rPr>
          <w:rFonts w:ascii="宋体" w:hAnsi="宋体" w:eastAsia="宋体" w:cs="宋体"/>
          <w:spacing w:val="6"/>
          <w:sz w:val="20"/>
          <w:szCs w:val="20"/>
        </w:rPr>
        <w:t>(1)疫源地消毒：急性甲肝病人居家或住院隔离治疗后，应尽早</w:t>
      </w:r>
      <w:r>
        <w:rPr>
          <w:rFonts w:ascii="宋体" w:hAnsi="宋体" w:eastAsia="宋体" w:cs="宋体"/>
          <w:spacing w:val="5"/>
          <w:sz w:val="20"/>
          <w:szCs w:val="20"/>
        </w:rPr>
        <w:t>对其居住地和活动场所进行随</w:t>
      </w:r>
      <w:r>
        <w:rPr>
          <w:rFonts w:ascii="宋体" w:hAnsi="宋体" w:eastAsia="宋体" w:cs="宋体"/>
          <w:sz w:val="20"/>
          <w:szCs w:val="20"/>
        </w:rPr>
        <w:t xml:space="preserve"> </w:t>
      </w:r>
      <w:r>
        <w:rPr>
          <w:rFonts w:ascii="宋体" w:hAnsi="宋体" w:eastAsia="宋体" w:cs="宋体"/>
          <w:spacing w:val="2"/>
          <w:sz w:val="20"/>
          <w:szCs w:val="20"/>
        </w:rPr>
        <w:t>时消毒和终末消毒，对其接触过的用品和呕吐物、排泄物等</w:t>
      </w:r>
      <w:r>
        <w:rPr>
          <w:rFonts w:ascii="宋体" w:hAnsi="宋体" w:eastAsia="宋体" w:cs="宋体"/>
          <w:spacing w:val="1"/>
          <w:sz w:val="20"/>
          <w:szCs w:val="20"/>
        </w:rPr>
        <w:t>进行彻底消毒。</w:t>
      </w:r>
    </w:p>
    <w:p w14:paraId="24EFF774">
      <w:pPr>
        <w:spacing w:before="141" w:line="278" w:lineRule="auto"/>
        <w:ind w:right="645" w:firstLine="390"/>
        <w:rPr>
          <w:rFonts w:ascii="宋体" w:hAnsi="宋体" w:eastAsia="宋体" w:cs="宋体"/>
          <w:sz w:val="20"/>
          <w:szCs w:val="20"/>
        </w:rPr>
      </w:pPr>
      <w:r>
        <w:rPr>
          <w:rFonts w:ascii="宋体" w:hAnsi="宋体" w:eastAsia="宋体" w:cs="宋体"/>
          <w:spacing w:val="6"/>
          <w:sz w:val="20"/>
          <w:szCs w:val="20"/>
        </w:rPr>
        <w:t>(2)预防性消毒：做好食品卫生、饮用水消毒、餐具消毒和粪</w:t>
      </w:r>
      <w:r>
        <w:rPr>
          <w:rFonts w:ascii="宋体" w:hAnsi="宋体" w:eastAsia="宋体" w:cs="宋体"/>
          <w:spacing w:val="5"/>
          <w:sz w:val="20"/>
          <w:szCs w:val="20"/>
        </w:rPr>
        <w:t>便无害化处置等，防止“病从口</w:t>
      </w:r>
      <w:r>
        <w:rPr>
          <w:rFonts w:ascii="宋体" w:hAnsi="宋体" w:eastAsia="宋体" w:cs="宋体"/>
          <w:sz w:val="20"/>
          <w:szCs w:val="20"/>
        </w:rPr>
        <w:t xml:space="preserve"> </w:t>
      </w:r>
      <w:r>
        <w:rPr>
          <w:rFonts w:ascii="宋体" w:hAnsi="宋体" w:eastAsia="宋体" w:cs="宋体"/>
          <w:spacing w:val="3"/>
          <w:sz w:val="20"/>
          <w:szCs w:val="20"/>
        </w:rPr>
        <w:t>入”,预防甲肝和戊肝等消化道传播疾病的发生。</w:t>
      </w:r>
    </w:p>
    <w:p w14:paraId="2B0E7EAC">
      <w:pPr>
        <w:spacing w:before="136" w:line="219" w:lineRule="auto"/>
        <w:ind w:left="392"/>
        <w:rPr>
          <w:rFonts w:ascii="宋体" w:hAnsi="宋体" w:eastAsia="宋体" w:cs="宋体"/>
          <w:sz w:val="20"/>
          <w:szCs w:val="20"/>
        </w:rPr>
      </w:pPr>
      <w:r>
        <w:rPr>
          <w:rFonts w:ascii="宋体" w:hAnsi="宋体" w:eastAsia="宋体" w:cs="宋体"/>
          <w:b/>
          <w:bCs/>
          <w:spacing w:val="8"/>
          <w:sz w:val="20"/>
          <w:szCs w:val="20"/>
        </w:rPr>
        <w:t>3.</w:t>
      </w:r>
      <w:r>
        <w:rPr>
          <w:rFonts w:ascii="宋体" w:hAnsi="宋体" w:eastAsia="宋体" w:cs="宋体"/>
          <w:spacing w:val="-9"/>
          <w:sz w:val="20"/>
          <w:szCs w:val="20"/>
        </w:rPr>
        <w:t xml:space="preserve"> </w:t>
      </w:r>
      <w:r>
        <w:rPr>
          <w:rFonts w:ascii="宋体" w:hAnsi="宋体" w:eastAsia="宋体" w:cs="宋体"/>
          <w:b/>
          <w:bCs/>
          <w:spacing w:val="8"/>
          <w:sz w:val="20"/>
          <w:szCs w:val="20"/>
        </w:rPr>
        <w:t>保护易感人群</w:t>
      </w:r>
    </w:p>
    <w:p w14:paraId="4B329CC1">
      <w:pPr>
        <w:spacing w:before="137" w:line="321" w:lineRule="auto"/>
        <w:ind w:right="621" w:firstLine="390"/>
        <w:rPr>
          <w:rFonts w:ascii="宋体" w:hAnsi="宋体" w:eastAsia="宋体" w:cs="宋体"/>
          <w:sz w:val="20"/>
          <w:szCs w:val="20"/>
        </w:rPr>
      </w:pPr>
      <w:r>
        <w:rPr>
          <w:rFonts w:ascii="宋体" w:hAnsi="宋体" w:eastAsia="宋体" w:cs="宋体"/>
          <w:spacing w:val="10"/>
          <w:sz w:val="20"/>
          <w:szCs w:val="20"/>
        </w:rPr>
        <w:t>(1)人工自动免疫：疫苗接种是预防与控制甲肝和戊肝的有效手段。自2008年我国将甲肝疫</w:t>
      </w:r>
      <w:r>
        <w:rPr>
          <w:rFonts w:ascii="宋体" w:hAnsi="宋体" w:eastAsia="宋体" w:cs="宋体"/>
          <w:spacing w:val="9"/>
          <w:sz w:val="20"/>
          <w:szCs w:val="20"/>
        </w:rPr>
        <w:t xml:space="preserve"> </w:t>
      </w:r>
      <w:r>
        <w:rPr>
          <w:rFonts w:ascii="宋体" w:hAnsi="宋体" w:eastAsia="宋体" w:cs="宋体"/>
          <w:spacing w:val="3"/>
          <w:sz w:val="20"/>
          <w:szCs w:val="20"/>
        </w:rPr>
        <w:t>苗纳入国家免疫规划，对适龄儿童常规进行疫苗接种以来，我国全人群甲肝发病率逐年下降，控制</w:t>
      </w:r>
      <w:r>
        <w:rPr>
          <w:rFonts w:ascii="宋体" w:hAnsi="宋体" w:eastAsia="宋体" w:cs="宋体"/>
          <w:spacing w:val="7"/>
          <w:sz w:val="20"/>
          <w:szCs w:val="20"/>
        </w:rPr>
        <w:t xml:space="preserve"> </w:t>
      </w:r>
      <w:r>
        <w:rPr>
          <w:rFonts w:ascii="宋体" w:hAnsi="宋体" w:eastAsia="宋体" w:cs="宋体"/>
          <w:spacing w:val="8"/>
          <w:sz w:val="20"/>
          <w:szCs w:val="20"/>
        </w:rPr>
        <w:t>效果显著。目前有甲肝减毒活疫苗和甲肝灭活疫苗两种，易感人群均可接种甲肝疫苗。由我国自</w:t>
      </w:r>
      <w:r>
        <w:rPr>
          <w:rFonts w:ascii="宋体" w:hAnsi="宋体" w:eastAsia="宋体" w:cs="宋体"/>
          <w:spacing w:val="16"/>
          <w:sz w:val="20"/>
          <w:szCs w:val="20"/>
        </w:rPr>
        <w:t xml:space="preserve"> </w:t>
      </w:r>
      <w:r>
        <w:rPr>
          <w:rFonts w:ascii="宋体" w:hAnsi="宋体" w:eastAsia="宋体" w:cs="宋体"/>
          <w:spacing w:val="8"/>
          <w:sz w:val="20"/>
          <w:szCs w:val="20"/>
        </w:rPr>
        <w:t>主研制的全球唯一的戊肝预防性疫苗——重组</w:t>
      </w:r>
      <w:r>
        <w:rPr>
          <w:rFonts w:ascii="宋体" w:hAnsi="宋体" w:eastAsia="宋体" w:cs="宋体"/>
          <w:spacing w:val="7"/>
          <w:sz w:val="20"/>
          <w:szCs w:val="20"/>
        </w:rPr>
        <w:t>戊肝疫苗已于2011年获准上市，目前推荐对畜牧养</w:t>
      </w:r>
      <w:r>
        <w:rPr>
          <w:rFonts w:ascii="宋体" w:hAnsi="宋体" w:eastAsia="宋体" w:cs="宋体"/>
          <w:sz w:val="20"/>
          <w:szCs w:val="20"/>
        </w:rPr>
        <w:t xml:space="preserve"> </w:t>
      </w:r>
      <w:r>
        <w:rPr>
          <w:rFonts w:ascii="宋体" w:hAnsi="宋体" w:eastAsia="宋体" w:cs="宋体"/>
          <w:spacing w:val="2"/>
          <w:sz w:val="20"/>
          <w:szCs w:val="20"/>
        </w:rPr>
        <w:t>殖者、疫区旅行者、餐饮业人群、集体生活者等高危人</w:t>
      </w:r>
      <w:r>
        <w:rPr>
          <w:rFonts w:ascii="宋体" w:hAnsi="宋体" w:eastAsia="宋体" w:cs="宋体"/>
          <w:spacing w:val="1"/>
          <w:sz w:val="20"/>
          <w:szCs w:val="20"/>
        </w:rPr>
        <w:t>群，以及感染</w:t>
      </w:r>
      <w:r>
        <w:rPr>
          <w:rFonts w:ascii="Times New Roman" w:hAnsi="Times New Roman" w:eastAsia="Times New Roman" w:cs="Times New Roman"/>
          <w:sz w:val="20"/>
          <w:szCs w:val="20"/>
        </w:rPr>
        <w:t>HEV</w:t>
      </w:r>
      <w:r>
        <w:rPr>
          <w:rFonts w:ascii="Times New Roman" w:hAnsi="Times New Roman" w:eastAsia="Times New Roman" w:cs="Times New Roman"/>
          <w:spacing w:val="1"/>
          <w:sz w:val="20"/>
          <w:szCs w:val="20"/>
        </w:rPr>
        <w:t xml:space="preserve"> </w:t>
      </w:r>
      <w:r>
        <w:rPr>
          <w:rFonts w:ascii="宋体" w:hAnsi="宋体" w:eastAsia="宋体" w:cs="宋体"/>
          <w:spacing w:val="1"/>
          <w:sz w:val="20"/>
          <w:szCs w:val="20"/>
        </w:rPr>
        <w:t>后可能病情较重的慢性肝</w:t>
      </w:r>
      <w:r>
        <w:rPr>
          <w:rFonts w:ascii="宋体" w:hAnsi="宋体" w:eastAsia="宋体" w:cs="宋体"/>
          <w:sz w:val="20"/>
          <w:szCs w:val="20"/>
        </w:rPr>
        <w:t xml:space="preserve"> </w:t>
      </w:r>
      <w:r>
        <w:rPr>
          <w:rFonts w:ascii="宋体" w:hAnsi="宋体" w:eastAsia="宋体" w:cs="宋体"/>
          <w:spacing w:val="4"/>
          <w:sz w:val="20"/>
          <w:szCs w:val="20"/>
        </w:rPr>
        <w:t>病病人、育龄期妇女和老年人等接种戊肝疫苗。</w:t>
      </w:r>
    </w:p>
    <w:p w14:paraId="78EAD035">
      <w:pPr>
        <w:spacing w:before="150" w:line="290" w:lineRule="auto"/>
        <w:ind w:right="647" w:firstLine="390"/>
        <w:rPr>
          <w:rFonts w:ascii="宋体" w:hAnsi="宋体" w:eastAsia="宋体" w:cs="宋体"/>
          <w:sz w:val="20"/>
          <w:szCs w:val="20"/>
        </w:rPr>
      </w:pPr>
      <w:r>
        <w:rPr>
          <w:rFonts w:ascii="宋体" w:hAnsi="宋体" w:eastAsia="宋体" w:cs="宋体"/>
          <w:spacing w:val="8"/>
          <w:sz w:val="20"/>
          <w:szCs w:val="20"/>
        </w:rPr>
        <w:t>(2)人工被动免疫：人免疫球蛋白</w:t>
      </w:r>
      <w:r>
        <w:rPr>
          <w:rFonts w:ascii="Times New Roman" w:hAnsi="Times New Roman" w:eastAsia="Times New Roman" w:cs="Times New Roman"/>
          <w:spacing w:val="8"/>
          <w:sz w:val="20"/>
          <w:szCs w:val="20"/>
        </w:rPr>
        <w:t>(</w:t>
      </w:r>
      <w:r>
        <w:rPr>
          <w:rFonts w:ascii="Times New Roman" w:hAnsi="Times New Roman" w:eastAsia="Times New Roman" w:cs="Times New Roman"/>
          <w:sz w:val="20"/>
          <w:szCs w:val="20"/>
        </w:rPr>
        <w:t>human</w:t>
      </w:r>
      <w:r>
        <w:rPr>
          <w:rFonts w:ascii="Times New Roman" w:hAnsi="Times New Roman" w:eastAsia="Times New Roman" w:cs="Times New Roman"/>
          <w:spacing w:val="8"/>
          <w:sz w:val="20"/>
          <w:szCs w:val="20"/>
        </w:rPr>
        <w:t xml:space="preserve">   </w:t>
      </w:r>
      <w:r>
        <w:rPr>
          <w:rFonts w:ascii="Times New Roman" w:hAnsi="Times New Roman" w:eastAsia="Times New Roman" w:cs="Times New Roman"/>
          <w:sz w:val="20"/>
          <w:szCs w:val="20"/>
        </w:rPr>
        <w:t>immunoglobulin</w:t>
      </w:r>
      <w:r>
        <w:rPr>
          <w:rFonts w:ascii="Times New Roman" w:hAnsi="Times New Roman" w:eastAsia="Times New Roman" w:cs="Times New Roman"/>
          <w:spacing w:val="8"/>
          <w:sz w:val="20"/>
          <w:szCs w:val="20"/>
        </w:rPr>
        <w:t>)</w:t>
      </w:r>
      <w:r>
        <w:rPr>
          <w:rFonts w:ascii="宋体" w:hAnsi="宋体" w:eastAsia="宋体" w:cs="宋体"/>
          <w:spacing w:val="8"/>
          <w:sz w:val="20"/>
          <w:szCs w:val="20"/>
        </w:rPr>
        <w:t>主要用</w:t>
      </w:r>
      <w:r>
        <w:rPr>
          <w:rFonts w:ascii="宋体" w:hAnsi="宋体" w:eastAsia="宋体" w:cs="宋体"/>
          <w:spacing w:val="7"/>
          <w:sz w:val="20"/>
          <w:szCs w:val="20"/>
        </w:rPr>
        <w:t>于与甲肝病人接触的托幼儿</w:t>
      </w:r>
      <w:r>
        <w:rPr>
          <w:rFonts w:ascii="宋体" w:hAnsi="宋体" w:eastAsia="宋体" w:cs="宋体"/>
          <w:sz w:val="20"/>
          <w:szCs w:val="20"/>
        </w:rPr>
        <w:t xml:space="preserve"> </w:t>
      </w:r>
      <w:r>
        <w:rPr>
          <w:rFonts w:ascii="宋体" w:hAnsi="宋体" w:eastAsia="宋体" w:cs="宋体"/>
          <w:spacing w:val="2"/>
          <w:sz w:val="20"/>
          <w:szCs w:val="20"/>
        </w:rPr>
        <w:t>童、学生以及成人的紧急预防，也可用于甲</w:t>
      </w:r>
      <w:r>
        <w:rPr>
          <w:rFonts w:ascii="宋体" w:hAnsi="宋体" w:eastAsia="宋体" w:cs="宋体"/>
          <w:spacing w:val="1"/>
          <w:sz w:val="20"/>
          <w:szCs w:val="20"/>
        </w:rPr>
        <w:t>肝高流行地区旅行者的暴露前和暴露后预防。</w:t>
      </w:r>
    </w:p>
    <w:p w14:paraId="1505A5F7">
      <w:pPr>
        <w:pStyle w:val="2"/>
        <w:spacing w:before="132" w:line="221" w:lineRule="auto"/>
        <w:ind w:left="390"/>
        <w:rPr>
          <w:sz w:val="20"/>
          <w:szCs w:val="20"/>
        </w:rPr>
      </w:pPr>
      <w:r>
        <w:rPr>
          <w:spacing w:val="18"/>
          <w:sz w:val="20"/>
          <w:szCs w:val="20"/>
        </w:rPr>
        <w:t>(二)乙型、丙型和丁型肝炎的预防措施</w:t>
      </w:r>
    </w:p>
    <w:p w14:paraId="00120985">
      <w:pPr>
        <w:spacing w:before="133" w:line="350" w:lineRule="auto"/>
        <w:ind w:right="622" w:firstLine="390"/>
        <w:jc w:val="both"/>
        <w:rPr>
          <w:rFonts w:ascii="宋体" w:hAnsi="宋体" w:eastAsia="宋体" w:cs="宋体"/>
          <w:sz w:val="20"/>
          <w:szCs w:val="20"/>
        </w:rPr>
      </w:pPr>
      <w:r>
        <w:rPr>
          <w:rFonts w:ascii="宋体" w:hAnsi="宋体" w:eastAsia="宋体" w:cs="宋体"/>
          <w:spacing w:val="2"/>
          <w:sz w:val="20"/>
          <w:szCs w:val="20"/>
        </w:rPr>
        <w:t>乙肝、丙肝和丁肝系非消化道传播的病毒性肝炎，以经血液传播为主，可通过切断经血液传播</w:t>
      </w:r>
      <w:r>
        <w:rPr>
          <w:rFonts w:ascii="宋体" w:hAnsi="宋体" w:eastAsia="宋体" w:cs="宋体"/>
          <w:spacing w:val="15"/>
          <w:sz w:val="20"/>
          <w:szCs w:val="20"/>
        </w:rPr>
        <w:t xml:space="preserve"> </w:t>
      </w:r>
      <w:r>
        <w:rPr>
          <w:rFonts w:ascii="宋体" w:hAnsi="宋体" w:eastAsia="宋体" w:cs="宋体"/>
          <w:spacing w:val="4"/>
          <w:sz w:val="20"/>
          <w:szCs w:val="20"/>
        </w:rPr>
        <w:t>途径来预防。乙肝和丁肝的主要预防措施是乙肝疫苗</w:t>
      </w:r>
      <w:r>
        <w:rPr>
          <w:rFonts w:ascii="宋体" w:hAnsi="宋体" w:eastAsia="宋体" w:cs="宋体"/>
          <w:spacing w:val="3"/>
          <w:sz w:val="20"/>
          <w:szCs w:val="20"/>
        </w:rPr>
        <w:t>接种，同时加强乙肝的筛查、诊断和治疗，丙</w:t>
      </w:r>
      <w:r>
        <w:rPr>
          <w:rFonts w:ascii="宋体" w:hAnsi="宋体" w:eastAsia="宋体" w:cs="宋体"/>
          <w:sz w:val="20"/>
          <w:szCs w:val="20"/>
        </w:rPr>
        <w:t xml:space="preserve"> </w:t>
      </w:r>
      <w:r>
        <w:rPr>
          <w:rFonts w:ascii="宋体" w:hAnsi="宋体" w:eastAsia="宋体" w:cs="宋体"/>
          <w:spacing w:val="4"/>
          <w:sz w:val="20"/>
          <w:szCs w:val="20"/>
        </w:rPr>
        <w:t>肝的主要预防措施是高危人群筛查、诊断和治疗。</w:t>
      </w:r>
    </w:p>
    <w:p w14:paraId="193FF16C">
      <w:pPr>
        <w:pStyle w:val="2"/>
        <w:spacing w:before="1" w:line="220" w:lineRule="auto"/>
        <w:ind w:left="390"/>
        <w:rPr>
          <w:rFonts w:ascii="宋体" w:hAnsi="宋体" w:eastAsia="宋体" w:cs="宋体"/>
          <w:sz w:val="20"/>
          <w:szCs w:val="20"/>
        </w:rPr>
      </w:pPr>
      <w:r>
        <w:rPr>
          <w:rFonts w:ascii="宋体" w:hAnsi="宋体" w:eastAsia="宋体" w:cs="宋体"/>
          <w:spacing w:val="1"/>
          <w:sz w:val="20"/>
          <w:szCs w:val="20"/>
        </w:rPr>
        <w:t xml:space="preserve">1. </w:t>
      </w:r>
      <w:r>
        <w:rPr>
          <w:spacing w:val="1"/>
          <w:sz w:val="20"/>
          <w:szCs w:val="20"/>
        </w:rPr>
        <w:t>管理传染源</w:t>
      </w:r>
      <w:r>
        <w:rPr>
          <w:spacing w:val="83"/>
          <w:sz w:val="20"/>
          <w:szCs w:val="20"/>
        </w:rPr>
        <w:t xml:space="preserve"> </w:t>
      </w:r>
      <w:r>
        <w:rPr>
          <w:rFonts w:ascii="宋体" w:hAnsi="宋体" w:eastAsia="宋体" w:cs="宋体"/>
          <w:spacing w:val="1"/>
          <w:sz w:val="20"/>
          <w:szCs w:val="20"/>
        </w:rPr>
        <w:t>乙肝、丙肝和丁肝病人是重要的传染源，</w:t>
      </w:r>
      <w:r>
        <w:rPr>
          <w:rFonts w:ascii="宋体" w:hAnsi="宋体" w:eastAsia="宋体" w:cs="宋体"/>
          <w:sz w:val="20"/>
          <w:szCs w:val="20"/>
        </w:rPr>
        <w:t>应按照乙类传染病进行管理。</w:t>
      </w:r>
    </w:p>
    <w:p w14:paraId="0FD732E0">
      <w:pPr>
        <w:spacing w:before="112" w:line="318" w:lineRule="auto"/>
        <w:ind w:right="621" w:firstLine="390"/>
        <w:rPr>
          <w:rFonts w:ascii="宋体" w:hAnsi="宋体" w:eastAsia="宋体" w:cs="宋体"/>
          <w:sz w:val="20"/>
          <w:szCs w:val="20"/>
        </w:rPr>
      </w:pPr>
      <w:r>
        <w:rPr>
          <w:rFonts w:ascii="宋体" w:hAnsi="宋体" w:eastAsia="宋体" w:cs="宋体"/>
          <w:spacing w:val="3"/>
          <w:sz w:val="20"/>
          <w:szCs w:val="20"/>
        </w:rPr>
        <w:t>(1)筛查：我国2024年《成人乙型肝炎病毒感染筛查、检测及管理专家建议》指出，成人(特别</w:t>
      </w:r>
      <w:r>
        <w:rPr>
          <w:rFonts w:ascii="宋体" w:hAnsi="宋体" w:eastAsia="宋体" w:cs="宋体"/>
          <w:spacing w:val="10"/>
          <w:sz w:val="20"/>
          <w:szCs w:val="20"/>
        </w:rPr>
        <w:t xml:space="preserve"> </w:t>
      </w:r>
      <w:r>
        <w:rPr>
          <w:rFonts w:ascii="宋体" w:hAnsi="宋体" w:eastAsia="宋体" w:cs="宋体"/>
          <w:spacing w:val="7"/>
          <w:sz w:val="20"/>
          <w:szCs w:val="20"/>
        </w:rPr>
        <w:t>是2000年前出生的人群)应尽早进行</w:t>
      </w:r>
      <w:r>
        <w:rPr>
          <w:rFonts w:ascii="Times New Roman" w:hAnsi="Times New Roman" w:eastAsia="Times New Roman" w:cs="Times New Roman"/>
          <w:sz w:val="20"/>
          <w:szCs w:val="20"/>
        </w:rPr>
        <w:t>HBV</w:t>
      </w:r>
      <w:r>
        <w:rPr>
          <w:rFonts w:ascii="Times New Roman" w:hAnsi="Times New Roman" w:eastAsia="Times New Roman" w:cs="Times New Roman"/>
          <w:spacing w:val="-19"/>
          <w:sz w:val="20"/>
          <w:szCs w:val="20"/>
        </w:rPr>
        <w:t xml:space="preserve"> </w:t>
      </w:r>
      <w:r>
        <w:rPr>
          <w:rFonts w:ascii="宋体" w:hAnsi="宋体" w:eastAsia="宋体" w:cs="宋体"/>
          <w:spacing w:val="7"/>
          <w:sz w:val="20"/>
          <w:szCs w:val="20"/>
        </w:rPr>
        <w:t>感染筛查，一生至少筛查1次；育龄期女性无论是否接种</w:t>
      </w:r>
      <w:r>
        <w:rPr>
          <w:rFonts w:ascii="宋体" w:hAnsi="宋体" w:eastAsia="宋体" w:cs="宋体"/>
          <w:sz w:val="20"/>
          <w:szCs w:val="20"/>
        </w:rPr>
        <w:t xml:space="preserve"> </w:t>
      </w:r>
      <w:r>
        <w:rPr>
          <w:rFonts w:ascii="宋体" w:hAnsi="宋体" w:eastAsia="宋体" w:cs="宋体"/>
          <w:spacing w:val="1"/>
          <w:sz w:val="20"/>
          <w:szCs w:val="20"/>
        </w:rPr>
        <w:t>过乙肝疫苗和筛查过</w:t>
      </w:r>
      <w:r>
        <w:rPr>
          <w:rFonts w:ascii="Times New Roman" w:hAnsi="Times New Roman" w:eastAsia="Times New Roman" w:cs="Times New Roman"/>
          <w:sz w:val="20"/>
          <w:szCs w:val="20"/>
        </w:rPr>
        <w:t>HBV</w:t>
      </w:r>
      <w:r>
        <w:rPr>
          <w:rFonts w:ascii="Times New Roman" w:hAnsi="Times New Roman" w:eastAsia="Times New Roman" w:cs="Times New Roman"/>
          <w:spacing w:val="1"/>
          <w:sz w:val="20"/>
          <w:szCs w:val="20"/>
        </w:rPr>
        <w:t xml:space="preserve"> </w:t>
      </w:r>
      <w:r>
        <w:rPr>
          <w:rFonts w:ascii="宋体" w:hAnsi="宋体" w:eastAsia="宋体" w:cs="宋体"/>
          <w:spacing w:val="1"/>
          <w:sz w:val="20"/>
          <w:szCs w:val="20"/>
        </w:rPr>
        <w:t>感染，每次妊娠时，均应尽早筛查；所有高危人群不管年龄如何，均应筛</w:t>
      </w:r>
      <w:r>
        <w:rPr>
          <w:rFonts w:ascii="宋体" w:hAnsi="宋体" w:eastAsia="宋体" w:cs="宋体"/>
          <w:spacing w:val="14"/>
          <w:sz w:val="20"/>
          <w:szCs w:val="20"/>
        </w:rPr>
        <w:t xml:space="preserve"> </w:t>
      </w:r>
      <w:r>
        <w:rPr>
          <w:rFonts w:ascii="宋体" w:hAnsi="宋体" w:eastAsia="宋体" w:cs="宋体"/>
          <w:sz w:val="20"/>
          <w:szCs w:val="20"/>
        </w:rPr>
        <w:t>查；对持续暴露于高危因素的易感人群，均应定期筛查。筛</w:t>
      </w:r>
      <w:r>
        <w:rPr>
          <w:rFonts w:ascii="宋体" w:hAnsi="宋体" w:eastAsia="宋体" w:cs="宋体"/>
          <w:spacing w:val="-1"/>
          <w:sz w:val="20"/>
          <w:szCs w:val="20"/>
        </w:rPr>
        <w:t>查指标为</w:t>
      </w:r>
      <w:r>
        <w:rPr>
          <w:rFonts w:ascii="Times New Roman" w:hAnsi="Times New Roman" w:eastAsia="Times New Roman" w:cs="Times New Roman"/>
          <w:spacing w:val="-1"/>
          <w:sz w:val="20"/>
          <w:szCs w:val="20"/>
        </w:rPr>
        <w:t>HBsAg</w:t>
      </w:r>
      <w:r>
        <w:rPr>
          <w:rFonts w:ascii="宋体" w:hAnsi="宋体" w:eastAsia="宋体" w:cs="宋体"/>
          <w:spacing w:val="-1"/>
          <w:sz w:val="20"/>
          <w:szCs w:val="20"/>
        </w:rPr>
        <w:t>、抗-</w:t>
      </w:r>
      <w:r>
        <w:rPr>
          <w:rFonts w:ascii="Times New Roman" w:hAnsi="Times New Roman" w:eastAsia="Times New Roman" w:cs="Times New Roman"/>
          <w:spacing w:val="-1"/>
          <w:sz w:val="20"/>
          <w:szCs w:val="20"/>
        </w:rPr>
        <w:t>HBs</w:t>
      </w:r>
      <w:r>
        <w:rPr>
          <w:rFonts w:ascii="宋体" w:hAnsi="宋体" w:eastAsia="宋体" w:cs="宋体"/>
          <w:spacing w:val="-1"/>
          <w:sz w:val="20"/>
          <w:szCs w:val="20"/>
        </w:rPr>
        <w:t>和抗-</w:t>
      </w:r>
      <w:r>
        <w:rPr>
          <w:rFonts w:ascii="Times New Roman" w:hAnsi="Times New Roman" w:eastAsia="Times New Roman" w:cs="Times New Roman"/>
          <w:spacing w:val="-1"/>
          <w:sz w:val="20"/>
          <w:szCs w:val="20"/>
        </w:rPr>
        <w:t>HBc</w:t>
      </w:r>
      <w:r>
        <w:rPr>
          <w:rFonts w:ascii="宋体" w:hAnsi="宋体" w:eastAsia="宋体" w:cs="宋体"/>
          <w:spacing w:val="-1"/>
          <w:sz w:val="20"/>
          <w:szCs w:val="20"/>
        </w:rPr>
        <w:t>。我</w:t>
      </w:r>
      <w:r>
        <w:rPr>
          <w:rFonts w:ascii="宋体" w:hAnsi="宋体" w:eastAsia="宋体" w:cs="宋体"/>
          <w:sz w:val="20"/>
          <w:szCs w:val="20"/>
        </w:rPr>
        <w:t xml:space="preserve"> </w:t>
      </w:r>
      <w:r>
        <w:rPr>
          <w:rFonts w:ascii="宋体" w:hAnsi="宋体" w:eastAsia="宋体" w:cs="宋体"/>
          <w:spacing w:val="4"/>
          <w:sz w:val="20"/>
          <w:szCs w:val="20"/>
        </w:rPr>
        <w:t>国《丙型肝炎防治指南(2022年版)》建议所有成</w:t>
      </w:r>
      <w:r>
        <w:rPr>
          <w:rFonts w:ascii="宋体" w:hAnsi="宋体" w:eastAsia="宋体" w:cs="宋体"/>
          <w:spacing w:val="3"/>
          <w:sz w:val="20"/>
          <w:szCs w:val="20"/>
        </w:rPr>
        <w:t>人进行抗-</w:t>
      </w:r>
      <w:r>
        <w:rPr>
          <w:rFonts w:ascii="Times New Roman" w:hAnsi="Times New Roman" w:eastAsia="Times New Roman" w:cs="Times New Roman"/>
          <w:sz w:val="20"/>
          <w:szCs w:val="20"/>
        </w:rPr>
        <w:t>HCV</w:t>
      </w:r>
      <w:r>
        <w:rPr>
          <w:rFonts w:ascii="宋体" w:hAnsi="宋体" w:eastAsia="宋体" w:cs="宋体"/>
          <w:spacing w:val="3"/>
          <w:sz w:val="20"/>
          <w:szCs w:val="20"/>
        </w:rPr>
        <w:t>的筛查，持续存在</w:t>
      </w:r>
      <w:r>
        <w:rPr>
          <w:rFonts w:ascii="Times New Roman" w:hAnsi="Times New Roman" w:eastAsia="Times New Roman" w:cs="Times New Roman"/>
          <w:sz w:val="20"/>
          <w:szCs w:val="20"/>
        </w:rPr>
        <w:t>HCV</w:t>
      </w:r>
      <w:r>
        <w:rPr>
          <w:rFonts w:ascii="Times New Roman" w:hAnsi="Times New Roman" w:eastAsia="Times New Roman" w:cs="Times New Roman"/>
          <w:spacing w:val="3"/>
          <w:sz w:val="20"/>
          <w:szCs w:val="20"/>
        </w:rPr>
        <w:t xml:space="preserve"> </w:t>
      </w:r>
      <w:r>
        <w:rPr>
          <w:rFonts w:ascii="宋体" w:hAnsi="宋体" w:eastAsia="宋体" w:cs="宋体"/>
          <w:spacing w:val="3"/>
          <w:sz w:val="20"/>
          <w:szCs w:val="20"/>
        </w:rPr>
        <w:t>感染高危风</w:t>
      </w:r>
      <w:r>
        <w:rPr>
          <w:rFonts w:ascii="宋体" w:hAnsi="宋体" w:eastAsia="宋体" w:cs="宋体"/>
          <w:sz w:val="20"/>
          <w:szCs w:val="20"/>
        </w:rPr>
        <w:t xml:space="preserve"> </w:t>
      </w:r>
      <w:r>
        <w:rPr>
          <w:rFonts w:ascii="宋体" w:hAnsi="宋体" w:eastAsia="宋体" w:cs="宋体"/>
          <w:spacing w:val="8"/>
          <w:sz w:val="20"/>
          <w:szCs w:val="20"/>
        </w:rPr>
        <w:t>险的人群需定期筛查抗-</w:t>
      </w:r>
      <w:r>
        <w:rPr>
          <w:rFonts w:ascii="Times New Roman" w:hAnsi="Times New Roman" w:eastAsia="Times New Roman" w:cs="Times New Roman"/>
          <w:sz w:val="20"/>
          <w:szCs w:val="20"/>
        </w:rPr>
        <w:t>HCV</w:t>
      </w:r>
      <w:r>
        <w:rPr>
          <w:rFonts w:ascii="Times New Roman" w:hAnsi="Times New Roman" w:eastAsia="Times New Roman" w:cs="Times New Roman"/>
          <w:spacing w:val="8"/>
          <w:sz w:val="20"/>
          <w:szCs w:val="20"/>
        </w:rPr>
        <w:t xml:space="preserve">, </w:t>
      </w:r>
      <w:r>
        <w:rPr>
          <w:rFonts w:ascii="宋体" w:hAnsi="宋体" w:eastAsia="宋体" w:cs="宋体"/>
          <w:spacing w:val="8"/>
          <w:sz w:val="20"/>
          <w:szCs w:val="20"/>
        </w:rPr>
        <w:t>抗-</w:t>
      </w:r>
      <w:r>
        <w:rPr>
          <w:rFonts w:ascii="Times New Roman" w:hAnsi="Times New Roman" w:eastAsia="Times New Roman" w:cs="Times New Roman"/>
          <w:sz w:val="20"/>
          <w:szCs w:val="20"/>
        </w:rPr>
        <w:t>HCV</w:t>
      </w:r>
      <w:r>
        <w:rPr>
          <w:rFonts w:ascii="宋体" w:hAnsi="宋体" w:eastAsia="宋体" w:cs="宋体"/>
          <w:spacing w:val="8"/>
          <w:sz w:val="20"/>
          <w:szCs w:val="20"/>
        </w:rPr>
        <w:t>阳性者需进行</w:t>
      </w:r>
      <w:r>
        <w:rPr>
          <w:rFonts w:ascii="Times New Roman" w:hAnsi="Times New Roman" w:eastAsia="Times New Roman" w:cs="Times New Roman"/>
          <w:sz w:val="20"/>
          <w:szCs w:val="20"/>
        </w:rPr>
        <w:t>HCV</w:t>
      </w:r>
      <w:r>
        <w:rPr>
          <w:rFonts w:ascii="Times New Roman" w:hAnsi="Times New Roman" w:eastAsia="Times New Roman" w:cs="Times New Roman"/>
          <w:spacing w:val="8"/>
          <w:sz w:val="20"/>
          <w:szCs w:val="20"/>
        </w:rPr>
        <w:t xml:space="preserve"> </w:t>
      </w:r>
      <w:r>
        <w:rPr>
          <w:rFonts w:ascii="Times New Roman" w:hAnsi="Times New Roman" w:eastAsia="Times New Roman" w:cs="Times New Roman"/>
          <w:sz w:val="20"/>
          <w:szCs w:val="20"/>
        </w:rPr>
        <w:t>RNA</w:t>
      </w:r>
      <w:r>
        <w:rPr>
          <w:rFonts w:ascii="宋体" w:hAnsi="宋体" w:eastAsia="宋体" w:cs="宋体"/>
          <w:spacing w:val="8"/>
          <w:sz w:val="20"/>
          <w:szCs w:val="20"/>
        </w:rPr>
        <w:t>检测。</w:t>
      </w:r>
    </w:p>
    <w:p w14:paraId="51A4C88F">
      <w:pPr>
        <w:spacing w:before="174" w:line="309" w:lineRule="auto"/>
        <w:ind w:right="575" w:firstLine="390"/>
        <w:rPr>
          <w:rFonts w:ascii="宋体" w:hAnsi="宋体" w:eastAsia="宋体" w:cs="宋体"/>
          <w:sz w:val="20"/>
          <w:szCs w:val="20"/>
        </w:rPr>
      </w:pPr>
      <w:r>
        <w:rPr>
          <w:rFonts w:ascii="宋体" w:hAnsi="宋体" w:eastAsia="宋体" w:cs="宋体"/>
          <w:spacing w:val="6"/>
          <w:sz w:val="20"/>
          <w:szCs w:val="20"/>
        </w:rPr>
        <w:t>(2)筛查后管理：人群经过筛查和检测后，根据不同的筛查和</w:t>
      </w:r>
      <w:r>
        <w:rPr>
          <w:rFonts w:ascii="宋体" w:hAnsi="宋体" w:eastAsia="宋体" w:cs="宋体"/>
          <w:spacing w:val="5"/>
          <w:sz w:val="20"/>
          <w:szCs w:val="20"/>
        </w:rPr>
        <w:t>检测结果进行后续的管理是消除</w:t>
      </w:r>
      <w:r>
        <w:rPr>
          <w:rFonts w:ascii="宋体" w:hAnsi="宋体" w:eastAsia="宋体" w:cs="宋体"/>
          <w:sz w:val="20"/>
          <w:szCs w:val="20"/>
        </w:rPr>
        <w:t xml:space="preserve"> </w:t>
      </w:r>
      <w:r>
        <w:rPr>
          <w:rFonts w:ascii="宋体" w:hAnsi="宋体" w:eastAsia="宋体" w:cs="宋体"/>
          <w:spacing w:val="4"/>
          <w:sz w:val="20"/>
          <w:szCs w:val="20"/>
        </w:rPr>
        <w:t>乙肝和丙肝危害的关键。我国2024年《成人乙型肝炎病毒感染筛查、检测及管理专家建议》指出，</w:t>
      </w:r>
      <w:r>
        <w:rPr>
          <w:rFonts w:ascii="宋体" w:hAnsi="宋体" w:eastAsia="宋体" w:cs="宋体"/>
          <w:spacing w:val="18"/>
          <w:sz w:val="20"/>
          <w:szCs w:val="20"/>
        </w:rPr>
        <w:t xml:space="preserve"> </w:t>
      </w:r>
      <w:r>
        <w:rPr>
          <w:rFonts w:ascii="宋体" w:hAnsi="宋体" w:eastAsia="宋体" w:cs="宋体"/>
          <w:sz w:val="20"/>
          <w:szCs w:val="20"/>
        </w:rPr>
        <w:t>HBsAg</w:t>
      </w:r>
      <w:r>
        <w:rPr>
          <w:rFonts w:ascii="宋体" w:hAnsi="宋体" w:eastAsia="宋体" w:cs="宋体"/>
          <w:spacing w:val="6"/>
          <w:sz w:val="20"/>
          <w:szCs w:val="20"/>
        </w:rPr>
        <w:t xml:space="preserve">  阳性者应到相关的医疗机构进行疾病评估、诊断和治疗；对医疗机构就诊或社区筛查发现</w:t>
      </w:r>
    </w:p>
    <w:p w14:paraId="04456DB6">
      <w:pPr>
        <w:spacing w:line="309" w:lineRule="auto"/>
        <w:rPr>
          <w:rFonts w:ascii="宋体" w:hAnsi="宋体" w:eastAsia="宋体" w:cs="宋体"/>
          <w:sz w:val="20"/>
          <w:szCs w:val="20"/>
        </w:rPr>
        <w:sectPr>
          <w:footerReference r:id="rId328" w:type="default"/>
          <w:pgSz w:w="11900" w:h="16820"/>
          <w:pgMar w:top="400" w:right="954" w:bottom="809" w:left="1569" w:header="0" w:footer="629" w:gutter="0"/>
          <w:cols w:space="720" w:num="1"/>
        </w:sectPr>
      </w:pPr>
    </w:p>
    <w:p w14:paraId="58911F0B">
      <w:pPr>
        <w:spacing w:line="280" w:lineRule="auto"/>
        <w:rPr>
          <w:rFonts w:ascii="Arial"/>
          <w:sz w:val="21"/>
        </w:rPr>
      </w:pPr>
    </w:p>
    <w:p w14:paraId="70537238">
      <w:pPr>
        <w:pStyle w:val="2"/>
        <w:spacing w:before="65" w:line="222" w:lineRule="auto"/>
        <w:ind w:left="649"/>
        <w:rPr>
          <w:sz w:val="20"/>
          <w:szCs w:val="20"/>
        </w:rPr>
      </w:pPr>
      <w:bookmarkStart w:id="506" w:name="bookmark579"/>
      <w:bookmarkEnd w:id="506"/>
      <w:r>
        <w:rPr>
          <w:spacing w:val="-20"/>
          <w:sz w:val="20"/>
          <w:szCs w:val="20"/>
        </w:rPr>
        <w:t>第十九章 病毒性肝炎</w:t>
      </w:r>
    </w:p>
    <w:p w14:paraId="35D62F4A">
      <w:pPr>
        <w:spacing w:line="251" w:lineRule="auto"/>
        <w:rPr>
          <w:rFonts w:ascii="Arial"/>
          <w:sz w:val="21"/>
        </w:rPr>
      </w:pPr>
    </w:p>
    <w:p w14:paraId="08F672B2">
      <w:pPr>
        <w:spacing w:line="251" w:lineRule="auto"/>
        <w:rPr>
          <w:rFonts w:ascii="Arial"/>
          <w:sz w:val="21"/>
        </w:rPr>
      </w:pPr>
    </w:p>
    <w:p w14:paraId="69D7E79E">
      <w:pPr>
        <w:spacing w:before="65" w:line="345" w:lineRule="auto"/>
        <w:ind w:left="649" w:right="127"/>
        <w:jc w:val="both"/>
        <w:rPr>
          <w:rFonts w:ascii="宋体" w:hAnsi="宋体" w:eastAsia="宋体" w:cs="宋体"/>
          <w:sz w:val="20"/>
          <w:szCs w:val="20"/>
        </w:rPr>
      </w:pPr>
      <w:r>
        <w:rPr>
          <w:rFonts w:ascii="宋体" w:hAnsi="宋体" w:eastAsia="宋体" w:cs="宋体"/>
          <w:spacing w:val="2"/>
          <w:sz w:val="20"/>
          <w:szCs w:val="20"/>
        </w:rPr>
        <w:t>的乙肝病人，应督促其家庭成员进行</w:t>
      </w:r>
      <w:r>
        <w:rPr>
          <w:rFonts w:ascii="Times New Roman" w:hAnsi="Times New Roman" w:eastAsia="Times New Roman" w:cs="Times New Roman"/>
          <w:sz w:val="20"/>
          <w:szCs w:val="20"/>
        </w:rPr>
        <w:t>HBV</w:t>
      </w:r>
      <w:r>
        <w:rPr>
          <w:rFonts w:ascii="Times New Roman" w:hAnsi="Times New Roman" w:eastAsia="Times New Roman" w:cs="Times New Roman"/>
          <w:spacing w:val="2"/>
          <w:sz w:val="20"/>
          <w:szCs w:val="20"/>
        </w:rPr>
        <w:t xml:space="preserve"> </w:t>
      </w:r>
      <w:r>
        <w:rPr>
          <w:rFonts w:ascii="宋体" w:hAnsi="宋体" w:eastAsia="宋体" w:cs="宋体"/>
          <w:spacing w:val="2"/>
          <w:sz w:val="20"/>
          <w:szCs w:val="20"/>
        </w:rPr>
        <w:t>筛查；对</w:t>
      </w:r>
      <w:r>
        <w:rPr>
          <w:rFonts w:ascii="Times New Roman" w:hAnsi="Times New Roman" w:eastAsia="Times New Roman" w:cs="Times New Roman"/>
          <w:sz w:val="20"/>
          <w:szCs w:val="20"/>
        </w:rPr>
        <w:t>HBsAg</w:t>
      </w:r>
      <w:r>
        <w:rPr>
          <w:rFonts w:ascii="宋体" w:hAnsi="宋体" w:eastAsia="宋体" w:cs="宋体"/>
          <w:spacing w:val="2"/>
          <w:sz w:val="20"/>
          <w:szCs w:val="20"/>
        </w:rPr>
        <w:t>、抗-</w:t>
      </w:r>
      <w:r>
        <w:rPr>
          <w:rFonts w:ascii="Times New Roman" w:hAnsi="Times New Roman" w:eastAsia="Times New Roman" w:cs="Times New Roman"/>
          <w:sz w:val="20"/>
          <w:szCs w:val="20"/>
        </w:rPr>
        <w:t>HBs</w:t>
      </w:r>
      <w:r>
        <w:rPr>
          <w:rFonts w:ascii="Times New Roman" w:hAnsi="Times New Roman" w:eastAsia="Times New Roman" w:cs="Times New Roman"/>
          <w:spacing w:val="2"/>
          <w:sz w:val="20"/>
          <w:szCs w:val="20"/>
        </w:rPr>
        <w:t xml:space="preserve"> </w:t>
      </w:r>
      <w:r>
        <w:rPr>
          <w:rFonts w:ascii="宋体" w:hAnsi="宋体" w:eastAsia="宋体" w:cs="宋体"/>
          <w:spacing w:val="2"/>
          <w:sz w:val="20"/>
          <w:szCs w:val="20"/>
        </w:rPr>
        <w:t>和抗-</w:t>
      </w:r>
      <w:r>
        <w:rPr>
          <w:rFonts w:ascii="Times New Roman" w:hAnsi="Times New Roman" w:eastAsia="Times New Roman" w:cs="Times New Roman"/>
          <w:sz w:val="20"/>
          <w:szCs w:val="20"/>
        </w:rPr>
        <w:t>HBc</w:t>
      </w:r>
      <w:r>
        <w:rPr>
          <w:rFonts w:ascii="Times New Roman" w:hAnsi="Times New Roman" w:eastAsia="Times New Roman" w:cs="Times New Roman"/>
          <w:spacing w:val="2"/>
          <w:sz w:val="20"/>
          <w:szCs w:val="20"/>
        </w:rPr>
        <w:t xml:space="preserve"> </w:t>
      </w:r>
      <w:r>
        <w:rPr>
          <w:rFonts w:ascii="宋体" w:hAnsi="宋体" w:eastAsia="宋体" w:cs="宋体"/>
          <w:spacing w:val="2"/>
          <w:sz w:val="20"/>
          <w:szCs w:val="20"/>
        </w:rPr>
        <w:t>均阴性者接种乙肝疫</w:t>
      </w:r>
      <w:r>
        <w:rPr>
          <w:rFonts w:ascii="宋体" w:hAnsi="宋体" w:eastAsia="宋体" w:cs="宋体"/>
          <w:spacing w:val="18"/>
          <w:sz w:val="20"/>
          <w:szCs w:val="20"/>
        </w:rPr>
        <w:t xml:space="preserve"> </w:t>
      </w:r>
      <w:r>
        <w:rPr>
          <w:rFonts w:ascii="宋体" w:hAnsi="宋体" w:eastAsia="宋体" w:cs="宋体"/>
          <w:spacing w:val="6"/>
          <w:sz w:val="20"/>
          <w:szCs w:val="20"/>
        </w:rPr>
        <w:t>苗；对抗-</w:t>
      </w:r>
      <w:r>
        <w:rPr>
          <w:rFonts w:ascii="Times New Roman" w:hAnsi="Times New Roman" w:eastAsia="Times New Roman" w:cs="Times New Roman"/>
          <w:sz w:val="20"/>
          <w:szCs w:val="20"/>
        </w:rPr>
        <w:t>HBc</w:t>
      </w:r>
      <w:r>
        <w:rPr>
          <w:rFonts w:ascii="Times New Roman" w:hAnsi="Times New Roman" w:eastAsia="Times New Roman" w:cs="Times New Roman"/>
          <w:spacing w:val="6"/>
          <w:sz w:val="20"/>
          <w:szCs w:val="20"/>
        </w:rPr>
        <w:t xml:space="preserve"> </w:t>
      </w:r>
      <w:r>
        <w:rPr>
          <w:rFonts w:ascii="宋体" w:hAnsi="宋体" w:eastAsia="宋体" w:cs="宋体"/>
          <w:spacing w:val="6"/>
          <w:sz w:val="20"/>
          <w:szCs w:val="20"/>
        </w:rPr>
        <w:t>和抗-</w:t>
      </w:r>
      <w:r>
        <w:rPr>
          <w:rFonts w:ascii="Times New Roman" w:hAnsi="Times New Roman" w:eastAsia="Times New Roman" w:cs="Times New Roman"/>
          <w:sz w:val="20"/>
          <w:szCs w:val="20"/>
        </w:rPr>
        <w:t>HBs</w:t>
      </w:r>
      <w:r>
        <w:rPr>
          <w:rFonts w:ascii="Times New Roman" w:hAnsi="Times New Roman" w:eastAsia="Times New Roman" w:cs="Times New Roman"/>
          <w:spacing w:val="6"/>
          <w:sz w:val="20"/>
          <w:szCs w:val="20"/>
        </w:rPr>
        <w:t xml:space="preserve"> </w:t>
      </w:r>
      <w:r>
        <w:rPr>
          <w:rFonts w:ascii="宋体" w:hAnsi="宋体" w:eastAsia="宋体" w:cs="宋体"/>
          <w:spacing w:val="6"/>
          <w:sz w:val="20"/>
          <w:szCs w:val="20"/>
        </w:rPr>
        <w:t>双阳性或单项抗-</w:t>
      </w:r>
      <w:r>
        <w:rPr>
          <w:rFonts w:ascii="Times New Roman" w:hAnsi="Times New Roman" w:eastAsia="Times New Roman" w:cs="Times New Roman"/>
          <w:sz w:val="20"/>
          <w:szCs w:val="20"/>
        </w:rPr>
        <w:t>HBc</w:t>
      </w:r>
      <w:r>
        <w:rPr>
          <w:rFonts w:ascii="Times New Roman" w:hAnsi="Times New Roman" w:eastAsia="Times New Roman" w:cs="Times New Roman"/>
          <w:spacing w:val="17"/>
          <w:w w:val="101"/>
          <w:sz w:val="20"/>
          <w:szCs w:val="20"/>
        </w:rPr>
        <w:t xml:space="preserve"> </w:t>
      </w:r>
      <w:r>
        <w:rPr>
          <w:rFonts w:ascii="宋体" w:hAnsi="宋体" w:eastAsia="宋体" w:cs="宋体"/>
          <w:spacing w:val="6"/>
          <w:sz w:val="20"/>
          <w:szCs w:val="20"/>
        </w:rPr>
        <w:t>阳性者</w:t>
      </w:r>
      <w:r>
        <w:rPr>
          <w:rFonts w:ascii="宋体" w:hAnsi="宋体" w:eastAsia="宋体" w:cs="宋体"/>
          <w:spacing w:val="5"/>
          <w:sz w:val="20"/>
          <w:szCs w:val="20"/>
        </w:rPr>
        <w:t>作进一步评估。2021年《中国丙型病毒性肝</w:t>
      </w:r>
      <w:r>
        <w:rPr>
          <w:rFonts w:ascii="宋体" w:hAnsi="宋体" w:eastAsia="宋体" w:cs="宋体"/>
          <w:sz w:val="20"/>
          <w:szCs w:val="20"/>
        </w:rPr>
        <w:t xml:space="preserve"> </w:t>
      </w:r>
      <w:r>
        <w:rPr>
          <w:rFonts w:ascii="宋体" w:hAnsi="宋体" w:eastAsia="宋体" w:cs="宋体"/>
          <w:spacing w:val="5"/>
          <w:sz w:val="20"/>
          <w:szCs w:val="20"/>
        </w:rPr>
        <w:t>炎院内筛查管理流程(试行)》提出，促进医疗机构管理</w:t>
      </w:r>
      <w:r>
        <w:rPr>
          <w:rFonts w:ascii="宋体" w:hAnsi="宋体" w:eastAsia="宋体" w:cs="宋体"/>
          <w:spacing w:val="4"/>
          <w:sz w:val="20"/>
          <w:szCs w:val="20"/>
        </w:rPr>
        <w:t>、临床、检验和感染控制等多学科、多部门</w:t>
      </w:r>
      <w:r>
        <w:rPr>
          <w:rFonts w:ascii="宋体" w:hAnsi="宋体" w:eastAsia="宋体" w:cs="宋体"/>
          <w:sz w:val="20"/>
          <w:szCs w:val="20"/>
        </w:rPr>
        <w:t xml:space="preserve"> </w:t>
      </w:r>
      <w:r>
        <w:rPr>
          <w:rFonts w:ascii="宋体" w:hAnsi="宋体" w:eastAsia="宋体" w:cs="宋体"/>
          <w:spacing w:val="5"/>
          <w:sz w:val="20"/>
          <w:szCs w:val="20"/>
        </w:rPr>
        <w:t>联合，加强医疗机构对检出抗-</w:t>
      </w:r>
      <w:r>
        <w:rPr>
          <w:rFonts w:ascii="Times New Roman" w:hAnsi="Times New Roman" w:eastAsia="Times New Roman" w:cs="Times New Roman"/>
          <w:sz w:val="20"/>
          <w:szCs w:val="20"/>
        </w:rPr>
        <w:t>HCV</w:t>
      </w:r>
      <w:r>
        <w:rPr>
          <w:rFonts w:ascii="Times New Roman" w:hAnsi="Times New Roman" w:eastAsia="Times New Roman" w:cs="Times New Roman"/>
          <w:spacing w:val="21"/>
          <w:w w:val="101"/>
          <w:sz w:val="20"/>
          <w:szCs w:val="20"/>
        </w:rPr>
        <w:t xml:space="preserve"> </w:t>
      </w:r>
      <w:r>
        <w:rPr>
          <w:rFonts w:ascii="宋体" w:hAnsi="宋体" w:eastAsia="宋体" w:cs="宋体"/>
          <w:spacing w:val="5"/>
          <w:sz w:val="20"/>
          <w:szCs w:val="20"/>
        </w:rPr>
        <w:t>阳性就诊者的咨询和转诊，促进慢性丙肝</w:t>
      </w:r>
      <w:r>
        <w:rPr>
          <w:rFonts w:ascii="宋体" w:hAnsi="宋体" w:eastAsia="宋体" w:cs="宋体"/>
          <w:spacing w:val="4"/>
          <w:sz w:val="20"/>
          <w:szCs w:val="20"/>
        </w:rPr>
        <w:t>病人的诊断和抗病毒</w:t>
      </w:r>
      <w:r>
        <w:rPr>
          <w:rFonts w:ascii="宋体" w:hAnsi="宋体" w:eastAsia="宋体" w:cs="宋体"/>
          <w:sz w:val="20"/>
          <w:szCs w:val="20"/>
        </w:rPr>
        <w:t xml:space="preserve"> </w:t>
      </w:r>
      <w:r>
        <w:rPr>
          <w:rFonts w:ascii="宋体" w:hAnsi="宋体" w:eastAsia="宋体" w:cs="宋体"/>
          <w:spacing w:val="6"/>
          <w:sz w:val="20"/>
          <w:szCs w:val="20"/>
        </w:rPr>
        <w:t>治疗。</w:t>
      </w:r>
    </w:p>
    <w:p w14:paraId="308DF798">
      <w:pPr>
        <w:spacing w:before="2" w:line="288" w:lineRule="auto"/>
        <w:ind w:left="649" w:right="90" w:firstLine="419"/>
        <w:rPr>
          <w:rFonts w:ascii="宋体" w:hAnsi="宋体" w:eastAsia="宋体" w:cs="宋体"/>
          <w:sz w:val="20"/>
          <w:szCs w:val="20"/>
        </w:rPr>
      </w:pPr>
      <w:r>
        <w:rPr>
          <w:rFonts w:ascii="宋体" w:hAnsi="宋体" w:eastAsia="宋体" w:cs="宋体"/>
          <w:spacing w:val="8"/>
          <w:sz w:val="20"/>
          <w:szCs w:val="20"/>
        </w:rPr>
        <w:t>(3)诊断与报告：应按照诊断标准及时对乙肝、丙肝</w:t>
      </w:r>
      <w:r>
        <w:rPr>
          <w:rFonts w:ascii="宋体" w:hAnsi="宋体" w:eastAsia="宋体" w:cs="宋体"/>
          <w:spacing w:val="7"/>
          <w:sz w:val="20"/>
          <w:szCs w:val="20"/>
        </w:rPr>
        <w:t>和丁肝病人或疑似病人进行诊断，按要求</w:t>
      </w:r>
      <w:r>
        <w:rPr>
          <w:rFonts w:ascii="宋体" w:hAnsi="宋体" w:eastAsia="宋体" w:cs="宋体"/>
          <w:sz w:val="20"/>
          <w:szCs w:val="20"/>
        </w:rPr>
        <w:t xml:space="preserve"> </w:t>
      </w:r>
      <w:r>
        <w:rPr>
          <w:rFonts w:ascii="宋体" w:hAnsi="宋体" w:eastAsia="宋体" w:cs="宋体"/>
          <w:spacing w:val="11"/>
          <w:sz w:val="20"/>
          <w:szCs w:val="20"/>
        </w:rPr>
        <w:t>在24小时内进行网络报告。</w:t>
      </w:r>
    </w:p>
    <w:p w14:paraId="3AC8D187">
      <w:pPr>
        <w:spacing w:before="115" w:line="270" w:lineRule="auto"/>
        <w:ind w:left="649" w:right="121" w:firstLine="419"/>
        <w:rPr>
          <w:rFonts w:ascii="宋体" w:hAnsi="宋体" w:eastAsia="宋体" w:cs="宋体"/>
          <w:sz w:val="20"/>
          <w:szCs w:val="20"/>
        </w:rPr>
      </w:pPr>
      <w:r>
        <w:rPr>
          <w:rFonts w:ascii="宋体" w:hAnsi="宋体" w:eastAsia="宋体" w:cs="宋体"/>
          <w:spacing w:val="7"/>
          <w:sz w:val="20"/>
          <w:szCs w:val="20"/>
        </w:rPr>
        <w:t>(4)治疗与随访：抗病毒治疗可抑制病毒复制，减轻病毒对病人自身的损伤，</w:t>
      </w:r>
      <w:r>
        <w:rPr>
          <w:rFonts w:ascii="宋体" w:hAnsi="宋体" w:eastAsia="宋体" w:cs="宋体"/>
          <w:spacing w:val="6"/>
          <w:sz w:val="20"/>
          <w:szCs w:val="20"/>
        </w:rPr>
        <w:t>降低传染性。我</w:t>
      </w:r>
      <w:r>
        <w:rPr>
          <w:rFonts w:ascii="宋体" w:hAnsi="宋体" w:eastAsia="宋体" w:cs="宋体"/>
          <w:sz w:val="20"/>
          <w:szCs w:val="20"/>
        </w:rPr>
        <w:t xml:space="preserve"> </w:t>
      </w:r>
      <w:r>
        <w:rPr>
          <w:rFonts w:ascii="宋体" w:hAnsi="宋体" w:eastAsia="宋体" w:cs="宋体"/>
          <w:spacing w:val="8"/>
          <w:sz w:val="20"/>
          <w:szCs w:val="20"/>
        </w:rPr>
        <w:t>国《慢性乙型肝炎防治指南(2022年版)》建议放宽慢性乙肝抗病</w:t>
      </w:r>
      <w:r>
        <w:rPr>
          <w:rFonts w:ascii="宋体" w:hAnsi="宋体" w:eastAsia="宋体" w:cs="宋体"/>
          <w:spacing w:val="7"/>
          <w:sz w:val="20"/>
          <w:szCs w:val="20"/>
        </w:rPr>
        <w:t>毒治疗适应证，同时建议</w:t>
      </w:r>
      <w:r>
        <w:rPr>
          <w:rFonts w:ascii="宋体" w:hAnsi="宋体" w:eastAsia="宋体" w:cs="宋体"/>
          <w:sz w:val="20"/>
          <w:szCs w:val="20"/>
        </w:rPr>
        <w:t>HBsAg</w:t>
      </w:r>
    </w:p>
    <w:p w14:paraId="58F8DA3B">
      <w:pPr>
        <w:spacing w:before="135" w:line="304" w:lineRule="auto"/>
        <w:ind w:left="649" w:right="132"/>
        <w:rPr>
          <w:rFonts w:ascii="宋体" w:hAnsi="宋体" w:eastAsia="宋体" w:cs="宋体"/>
          <w:sz w:val="20"/>
          <w:szCs w:val="20"/>
        </w:rPr>
      </w:pPr>
      <w:r>
        <w:rPr>
          <w:rFonts w:ascii="宋体" w:hAnsi="宋体" w:eastAsia="宋体" w:cs="宋体"/>
          <w:spacing w:val="9"/>
          <w:sz w:val="20"/>
          <w:szCs w:val="20"/>
        </w:rPr>
        <w:t>携带者、慢性乙肝病人、乙肝相关肝硬化和肝衰竭病人均应接受定期随访。</w:t>
      </w:r>
      <w:r>
        <w:rPr>
          <w:rFonts w:ascii="宋体" w:hAnsi="宋体" w:eastAsia="宋体" w:cs="宋体"/>
          <w:spacing w:val="8"/>
          <w:sz w:val="20"/>
          <w:szCs w:val="20"/>
        </w:rPr>
        <w:t>《丙型肝炎防治指南</w:t>
      </w:r>
      <w:r>
        <w:rPr>
          <w:rFonts w:ascii="宋体" w:hAnsi="宋体" w:eastAsia="宋体" w:cs="宋体"/>
          <w:sz w:val="20"/>
          <w:szCs w:val="20"/>
        </w:rPr>
        <w:t xml:space="preserve"> </w:t>
      </w:r>
      <w:r>
        <w:rPr>
          <w:rFonts w:ascii="宋体" w:hAnsi="宋体" w:eastAsia="宋体" w:cs="宋体"/>
          <w:spacing w:val="-2"/>
          <w:sz w:val="20"/>
          <w:szCs w:val="20"/>
        </w:rPr>
        <w:t>(2022年版)》指出，应动员病人“应治尽治”,加强规范治疗，提高治疗覆盖率和治</w:t>
      </w:r>
      <w:r>
        <w:rPr>
          <w:rFonts w:ascii="宋体" w:hAnsi="宋体" w:eastAsia="宋体" w:cs="宋体"/>
          <w:spacing w:val="-3"/>
          <w:sz w:val="20"/>
          <w:szCs w:val="20"/>
        </w:rPr>
        <w:t>愈率；治疗中或治</w:t>
      </w:r>
      <w:r>
        <w:rPr>
          <w:rFonts w:ascii="宋体" w:hAnsi="宋体" w:eastAsia="宋体" w:cs="宋体"/>
          <w:sz w:val="20"/>
          <w:szCs w:val="20"/>
        </w:rPr>
        <w:t xml:space="preserve"> </w:t>
      </w:r>
      <w:r>
        <w:rPr>
          <w:rFonts w:ascii="宋体" w:hAnsi="宋体" w:eastAsia="宋体" w:cs="宋体"/>
          <w:spacing w:val="4"/>
          <w:sz w:val="20"/>
          <w:szCs w:val="20"/>
        </w:rPr>
        <w:t>疗结束的病人，以及因某种原因未治疗、治疗失败或有进展期肝纤维化或肝硬化基础的病人，均应</w:t>
      </w:r>
      <w:r>
        <w:rPr>
          <w:rFonts w:ascii="宋体" w:hAnsi="宋体" w:eastAsia="宋体" w:cs="宋体"/>
          <w:spacing w:val="15"/>
          <w:sz w:val="20"/>
          <w:szCs w:val="20"/>
        </w:rPr>
        <w:t xml:space="preserve"> </w:t>
      </w:r>
      <w:r>
        <w:rPr>
          <w:rFonts w:ascii="宋体" w:hAnsi="宋体" w:eastAsia="宋体" w:cs="宋体"/>
          <w:spacing w:val="4"/>
          <w:sz w:val="20"/>
          <w:szCs w:val="20"/>
        </w:rPr>
        <w:t>接受定期随访。</w:t>
      </w:r>
    </w:p>
    <w:p w14:paraId="32E1E150">
      <w:pPr>
        <w:spacing w:before="168" w:line="219" w:lineRule="auto"/>
        <w:ind w:left="1072"/>
        <w:rPr>
          <w:rFonts w:ascii="宋体" w:hAnsi="宋体" w:eastAsia="宋体" w:cs="宋体"/>
          <w:sz w:val="20"/>
          <w:szCs w:val="20"/>
        </w:rPr>
      </w:pPr>
      <w:r>
        <w:rPr>
          <w:rFonts w:ascii="宋体" w:hAnsi="宋体" w:eastAsia="宋体" w:cs="宋体"/>
          <w:b/>
          <w:bCs/>
          <w:spacing w:val="4"/>
          <w:sz w:val="20"/>
          <w:szCs w:val="20"/>
        </w:rPr>
        <w:t>2.</w:t>
      </w:r>
      <w:r>
        <w:rPr>
          <w:rFonts w:ascii="宋体" w:hAnsi="宋体" w:eastAsia="宋体" w:cs="宋体"/>
          <w:spacing w:val="-6"/>
          <w:sz w:val="20"/>
          <w:szCs w:val="20"/>
        </w:rPr>
        <w:t xml:space="preserve"> </w:t>
      </w:r>
      <w:r>
        <w:rPr>
          <w:rFonts w:ascii="宋体" w:hAnsi="宋体" w:eastAsia="宋体" w:cs="宋体"/>
          <w:b/>
          <w:bCs/>
          <w:spacing w:val="4"/>
          <w:sz w:val="20"/>
          <w:szCs w:val="20"/>
        </w:rPr>
        <w:t>切断传播途径</w:t>
      </w:r>
    </w:p>
    <w:p w14:paraId="33848C68">
      <w:pPr>
        <w:spacing w:before="111" w:line="315" w:lineRule="auto"/>
        <w:ind w:left="649" w:right="30" w:firstLine="419"/>
        <w:rPr>
          <w:rFonts w:ascii="宋体" w:hAnsi="宋体" w:eastAsia="宋体" w:cs="宋体"/>
          <w:sz w:val="20"/>
          <w:szCs w:val="20"/>
        </w:rPr>
      </w:pPr>
      <w:r>
        <w:rPr>
          <w:rFonts w:ascii="宋体" w:hAnsi="宋体" w:eastAsia="宋体" w:cs="宋体"/>
          <w:spacing w:val="15"/>
          <w:sz w:val="20"/>
          <w:szCs w:val="20"/>
        </w:rPr>
        <w:t>(1)预防和控制经血液传播：加强用血或血液制品的管理，通过检测</w:t>
      </w:r>
      <w:r>
        <w:rPr>
          <w:rFonts w:ascii="Times New Roman" w:hAnsi="Times New Roman" w:eastAsia="Times New Roman" w:cs="Times New Roman"/>
          <w:sz w:val="20"/>
          <w:szCs w:val="20"/>
        </w:rPr>
        <w:t>HBsAg</w:t>
      </w:r>
      <w:r>
        <w:rPr>
          <w:rFonts w:ascii="Times New Roman" w:hAnsi="Times New Roman" w:eastAsia="Times New Roman" w:cs="Times New Roman"/>
          <w:spacing w:val="-17"/>
          <w:sz w:val="20"/>
          <w:szCs w:val="20"/>
        </w:rPr>
        <w:t xml:space="preserve"> </w:t>
      </w:r>
      <w:r>
        <w:rPr>
          <w:rFonts w:ascii="宋体" w:hAnsi="宋体" w:eastAsia="宋体" w:cs="宋体"/>
          <w:spacing w:val="15"/>
          <w:sz w:val="20"/>
          <w:szCs w:val="20"/>
        </w:rPr>
        <w:t>、</w:t>
      </w:r>
      <w:r>
        <w:rPr>
          <w:rFonts w:ascii="Times New Roman" w:hAnsi="Times New Roman" w:eastAsia="Times New Roman" w:cs="Times New Roman"/>
          <w:sz w:val="20"/>
          <w:szCs w:val="20"/>
        </w:rPr>
        <w:t>HBV</w:t>
      </w:r>
      <w:r>
        <w:rPr>
          <w:rFonts w:ascii="Times New Roman" w:hAnsi="Times New Roman" w:eastAsia="Times New Roman" w:cs="Times New Roman"/>
          <w:spacing w:val="15"/>
          <w:sz w:val="20"/>
          <w:szCs w:val="20"/>
        </w:rPr>
        <w:t xml:space="preserve">   </w:t>
      </w:r>
      <w:r>
        <w:rPr>
          <w:rFonts w:ascii="Times New Roman" w:hAnsi="Times New Roman" w:eastAsia="Times New Roman" w:cs="Times New Roman"/>
          <w:sz w:val="20"/>
          <w:szCs w:val="20"/>
        </w:rPr>
        <w:t>DNA</w:t>
      </w:r>
      <w:r>
        <w:rPr>
          <w:rFonts w:ascii="宋体" w:hAnsi="宋体" w:eastAsia="宋体" w:cs="宋体"/>
          <w:spacing w:val="15"/>
          <w:sz w:val="20"/>
          <w:szCs w:val="20"/>
        </w:rPr>
        <w:t>、</w:t>
      </w:r>
      <w:r>
        <w:rPr>
          <w:rFonts w:ascii="宋体" w:hAnsi="宋体" w:eastAsia="宋体" w:cs="宋体"/>
          <w:sz w:val="20"/>
          <w:szCs w:val="20"/>
        </w:rPr>
        <w:t xml:space="preserve"> </w:t>
      </w:r>
      <w:r>
        <w:rPr>
          <w:rFonts w:ascii="宋体" w:hAnsi="宋体" w:eastAsia="宋体" w:cs="宋体"/>
          <w:spacing w:val="-1"/>
          <w:sz w:val="20"/>
          <w:szCs w:val="20"/>
        </w:rPr>
        <w:t>抗-</w:t>
      </w:r>
      <w:r>
        <w:rPr>
          <w:rFonts w:ascii="Times New Roman" w:hAnsi="Times New Roman" w:eastAsia="Times New Roman" w:cs="Times New Roman"/>
          <w:spacing w:val="-1"/>
          <w:sz w:val="20"/>
          <w:szCs w:val="20"/>
        </w:rPr>
        <w:t>HCV</w:t>
      </w:r>
      <w:r>
        <w:rPr>
          <w:rFonts w:ascii="Times New Roman" w:hAnsi="Times New Roman" w:eastAsia="Times New Roman" w:cs="Times New Roman"/>
          <w:spacing w:val="-18"/>
          <w:sz w:val="20"/>
          <w:szCs w:val="20"/>
        </w:rPr>
        <w:t xml:space="preserve"> </w:t>
      </w:r>
      <w:r>
        <w:rPr>
          <w:rFonts w:ascii="宋体" w:hAnsi="宋体" w:eastAsia="宋体" w:cs="宋体"/>
          <w:spacing w:val="-1"/>
          <w:sz w:val="20"/>
          <w:szCs w:val="20"/>
        </w:rPr>
        <w:t>和</w:t>
      </w:r>
      <w:r>
        <w:rPr>
          <w:rFonts w:ascii="宋体" w:hAnsi="宋体" w:eastAsia="宋体" w:cs="宋体"/>
          <w:spacing w:val="-42"/>
          <w:sz w:val="20"/>
          <w:szCs w:val="20"/>
        </w:rPr>
        <w:t xml:space="preserve"> </w:t>
      </w:r>
      <w:r>
        <w:rPr>
          <w:rFonts w:ascii="Times New Roman" w:hAnsi="Times New Roman" w:eastAsia="Times New Roman" w:cs="Times New Roman"/>
          <w:spacing w:val="-1"/>
          <w:sz w:val="20"/>
          <w:szCs w:val="20"/>
        </w:rPr>
        <w:t>HCV   RNA,</w:t>
      </w:r>
      <w:r>
        <w:rPr>
          <w:rFonts w:ascii="宋体" w:hAnsi="宋体" w:eastAsia="宋体" w:cs="宋体"/>
          <w:spacing w:val="-1"/>
          <w:sz w:val="20"/>
          <w:szCs w:val="20"/>
        </w:rPr>
        <w:t>严格筛选献血者；严格实施透析设备、肠镜、胃</w:t>
      </w:r>
      <w:r>
        <w:rPr>
          <w:rFonts w:ascii="宋体" w:hAnsi="宋体" w:eastAsia="宋体" w:cs="宋体"/>
          <w:spacing w:val="-2"/>
          <w:sz w:val="20"/>
          <w:szCs w:val="20"/>
        </w:rPr>
        <w:t>镜、手术器械、牙科器械等的</w:t>
      </w:r>
      <w:r>
        <w:rPr>
          <w:rFonts w:ascii="宋体" w:hAnsi="宋体" w:eastAsia="宋体" w:cs="宋体"/>
          <w:sz w:val="20"/>
          <w:szCs w:val="20"/>
        </w:rPr>
        <w:t xml:space="preserve">  消毒，严格规范注射、静脉输液、侵入性诊断治疗等医疗行为，推行自</w:t>
      </w:r>
      <w:r>
        <w:rPr>
          <w:rFonts w:ascii="宋体" w:hAnsi="宋体" w:eastAsia="宋体" w:cs="宋体"/>
          <w:spacing w:val="-1"/>
          <w:sz w:val="20"/>
          <w:szCs w:val="20"/>
        </w:rPr>
        <w:t>毁型注射器等安全注射器具的</w:t>
      </w:r>
      <w:r>
        <w:rPr>
          <w:rFonts w:ascii="宋体" w:hAnsi="宋体" w:eastAsia="宋体" w:cs="宋体"/>
          <w:sz w:val="20"/>
          <w:szCs w:val="20"/>
        </w:rPr>
        <w:t xml:space="preserve">  </w:t>
      </w:r>
      <w:r>
        <w:rPr>
          <w:rFonts w:ascii="宋体" w:hAnsi="宋体" w:eastAsia="宋体" w:cs="宋体"/>
          <w:spacing w:val="4"/>
          <w:sz w:val="20"/>
          <w:szCs w:val="20"/>
        </w:rPr>
        <w:t>使用；加强文身、文眉、修脚等行业所用工具的卫生消毒管理；建议避免共用剃须刀和牙具等个人</w:t>
      </w:r>
      <w:r>
        <w:rPr>
          <w:rFonts w:ascii="宋体" w:hAnsi="宋体" w:eastAsia="宋体" w:cs="宋体"/>
          <w:spacing w:val="7"/>
          <w:sz w:val="20"/>
          <w:szCs w:val="20"/>
        </w:rPr>
        <w:t xml:space="preserve">  </w:t>
      </w:r>
      <w:r>
        <w:rPr>
          <w:rFonts w:ascii="宋体" w:hAnsi="宋体" w:eastAsia="宋体" w:cs="宋体"/>
          <w:spacing w:val="6"/>
          <w:sz w:val="20"/>
          <w:szCs w:val="20"/>
        </w:rPr>
        <w:t>用品。</w:t>
      </w:r>
    </w:p>
    <w:p w14:paraId="5B2BE37E">
      <w:pPr>
        <w:spacing w:before="137" w:line="307" w:lineRule="auto"/>
        <w:ind w:left="649" w:right="133" w:firstLine="419"/>
        <w:rPr>
          <w:rFonts w:ascii="宋体" w:hAnsi="宋体" w:eastAsia="宋体" w:cs="宋体"/>
          <w:sz w:val="20"/>
          <w:szCs w:val="20"/>
        </w:rPr>
      </w:pPr>
      <w:r>
        <w:rPr>
          <w:rFonts w:ascii="宋体" w:hAnsi="宋体" w:eastAsia="宋体" w:cs="宋体"/>
          <w:spacing w:val="6"/>
          <w:sz w:val="20"/>
          <w:szCs w:val="20"/>
        </w:rPr>
        <w:t>(2)阻断母婴传播：对育龄期和备孕妇女进行</w:t>
      </w:r>
      <w:r>
        <w:rPr>
          <w:rFonts w:ascii="Times New Roman" w:hAnsi="Times New Roman" w:eastAsia="Times New Roman" w:cs="Times New Roman"/>
          <w:sz w:val="20"/>
          <w:szCs w:val="20"/>
        </w:rPr>
        <w:t>HBV</w:t>
      </w:r>
      <w:r>
        <w:rPr>
          <w:rFonts w:ascii="Times New Roman" w:hAnsi="Times New Roman" w:eastAsia="Times New Roman" w:cs="Times New Roman"/>
          <w:spacing w:val="-5"/>
          <w:sz w:val="20"/>
          <w:szCs w:val="20"/>
        </w:rPr>
        <w:t xml:space="preserve"> </w:t>
      </w:r>
      <w:r>
        <w:rPr>
          <w:rFonts w:ascii="宋体" w:hAnsi="宋体" w:eastAsia="宋体" w:cs="宋体"/>
          <w:spacing w:val="6"/>
          <w:sz w:val="20"/>
          <w:szCs w:val="20"/>
        </w:rPr>
        <w:t>和</w:t>
      </w:r>
      <w:r>
        <w:rPr>
          <w:rFonts w:ascii="宋体" w:hAnsi="宋体" w:eastAsia="宋体" w:cs="宋体"/>
          <w:spacing w:val="-31"/>
          <w:sz w:val="20"/>
          <w:szCs w:val="20"/>
        </w:rPr>
        <w:t xml:space="preserve"> </w:t>
      </w:r>
      <w:r>
        <w:rPr>
          <w:rFonts w:ascii="Times New Roman" w:hAnsi="Times New Roman" w:eastAsia="Times New Roman" w:cs="Times New Roman"/>
          <w:sz w:val="20"/>
          <w:szCs w:val="20"/>
        </w:rPr>
        <w:t>HCV</w:t>
      </w:r>
      <w:r>
        <w:rPr>
          <w:rFonts w:ascii="Times New Roman" w:hAnsi="Times New Roman" w:eastAsia="Times New Roman" w:cs="Times New Roman"/>
          <w:spacing w:val="6"/>
          <w:sz w:val="20"/>
          <w:szCs w:val="20"/>
        </w:rPr>
        <w:t xml:space="preserve"> </w:t>
      </w:r>
      <w:r>
        <w:rPr>
          <w:rFonts w:ascii="宋体" w:hAnsi="宋体" w:eastAsia="宋体" w:cs="宋体"/>
          <w:spacing w:val="6"/>
          <w:sz w:val="20"/>
          <w:szCs w:val="20"/>
        </w:rPr>
        <w:t>感染筛查。如</w:t>
      </w:r>
      <w:r>
        <w:rPr>
          <w:rFonts w:ascii="Times New Roman" w:hAnsi="Times New Roman" w:eastAsia="Times New Roman" w:cs="Times New Roman"/>
          <w:sz w:val="20"/>
          <w:szCs w:val="20"/>
        </w:rPr>
        <w:t>HBsAg</w:t>
      </w:r>
      <w:r>
        <w:rPr>
          <w:rFonts w:ascii="Times New Roman" w:hAnsi="Times New Roman" w:eastAsia="Times New Roman" w:cs="Times New Roman"/>
          <w:spacing w:val="6"/>
          <w:sz w:val="20"/>
          <w:szCs w:val="20"/>
        </w:rPr>
        <w:t xml:space="preserve"> </w:t>
      </w:r>
      <w:r>
        <w:rPr>
          <w:rFonts w:ascii="宋体" w:hAnsi="宋体" w:eastAsia="宋体" w:cs="宋体"/>
          <w:spacing w:val="6"/>
          <w:sz w:val="20"/>
          <w:szCs w:val="20"/>
        </w:rPr>
        <w:t>阳性，需检测</w:t>
      </w:r>
      <w:r>
        <w:rPr>
          <w:rFonts w:ascii="宋体" w:hAnsi="宋体" w:eastAsia="宋体" w:cs="宋体"/>
          <w:sz w:val="20"/>
          <w:szCs w:val="20"/>
        </w:rPr>
        <w:t xml:space="preserve"> </w:t>
      </w:r>
      <w:r>
        <w:rPr>
          <w:rFonts w:ascii="Times New Roman" w:hAnsi="Times New Roman" w:eastAsia="Times New Roman" w:cs="Times New Roman"/>
          <w:spacing w:val="-1"/>
          <w:sz w:val="20"/>
          <w:szCs w:val="20"/>
        </w:rPr>
        <w:t>HBV  DNA,</w:t>
      </w:r>
      <w:r>
        <w:rPr>
          <w:rFonts w:ascii="宋体" w:hAnsi="宋体" w:eastAsia="宋体" w:cs="宋体"/>
          <w:spacing w:val="-1"/>
          <w:sz w:val="20"/>
          <w:szCs w:val="20"/>
        </w:rPr>
        <w:t>进行进一步诊断和治疗；如抗-</w:t>
      </w:r>
      <w:r>
        <w:rPr>
          <w:rFonts w:ascii="Times New Roman" w:hAnsi="Times New Roman" w:eastAsia="Times New Roman" w:cs="Times New Roman"/>
          <w:spacing w:val="-1"/>
          <w:sz w:val="20"/>
          <w:szCs w:val="20"/>
        </w:rPr>
        <w:t xml:space="preserve">HCV </w:t>
      </w:r>
      <w:r>
        <w:rPr>
          <w:rFonts w:ascii="宋体" w:hAnsi="宋体" w:eastAsia="宋体" w:cs="宋体"/>
          <w:spacing w:val="-1"/>
          <w:sz w:val="20"/>
          <w:szCs w:val="20"/>
        </w:rPr>
        <w:t>阳性，则应检测</w:t>
      </w:r>
      <w:r>
        <w:rPr>
          <w:rFonts w:ascii="Times New Roman" w:hAnsi="Times New Roman" w:eastAsia="Times New Roman" w:cs="Times New Roman"/>
          <w:spacing w:val="-1"/>
          <w:sz w:val="20"/>
          <w:szCs w:val="20"/>
        </w:rPr>
        <w:t>HCV</w:t>
      </w:r>
      <w:r>
        <w:rPr>
          <w:rFonts w:ascii="Times New Roman" w:hAnsi="Times New Roman" w:eastAsia="Times New Roman" w:cs="Times New Roman"/>
          <w:spacing w:val="25"/>
          <w:sz w:val="20"/>
          <w:szCs w:val="20"/>
        </w:rPr>
        <w:t xml:space="preserve">  </w:t>
      </w:r>
      <w:r>
        <w:rPr>
          <w:rFonts w:ascii="Times New Roman" w:hAnsi="Times New Roman" w:eastAsia="Times New Roman" w:cs="Times New Roman"/>
          <w:spacing w:val="-1"/>
          <w:sz w:val="20"/>
          <w:szCs w:val="20"/>
        </w:rPr>
        <w:t>RNA,</w:t>
      </w:r>
      <w:r>
        <w:rPr>
          <w:rFonts w:ascii="宋体" w:hAnsi="宋体" w:eastAsia="宋体" w:cs="宋体"/>
          <w:spacing w:val="-1"/>
          <w:sz w:val="20"/>
          <w:szCs w:val="20"/>
        </w:rPr>
        <w:t>如</w:t>
      </w:r>
      <w:r>
        <w:rPr>
          <w:rFonts w:ascii="宋体" w:hAnsi="宋体" w:eastAsia="宋体" w:cs="宋体"/>
          <w:spacing w:val="-25"/>
          <w:sz w:val="20"/>
          <w:szCs w:val="20"/>
        </w:rPr>
        <w:t xml:space="preserve"> </w:t>
      </w:r>
      <w:r>
        <w:rPr>
          <w:rFonts w:ascii="宋体" w:hAnsi="宋体" w:eastAsia="宋体" w:cs="宋体"/>
          <w:spacing w:val="-1"/>
          <w:sz w:val="20"/>
          <w:szCs w:val="20"/>
        </w:rPr>
        <w:t>果</w:t>
      </w:r>
      <w:r>
        <w:rPr>
          <w:rFonts w:ascii="Times New Roman" w:hAnsi="Times New Roman" w:eastAsia="Times New Roman" w:cs="Times New Roman"/>
          <w:spacing w:val="-1"/>
          <w:sz w:val="20"/>
          <w:szCs w:val="20"/>
        </w:rPr>
        <w:t>HCV  RNA</w:t>
      </w:r>
      <w:r>
        <w:rPr>
          <w:rFonts w:ascii="宋体" w:hAnsi="宋体" w:eastAsia="宋体" w:cs="宋体"/>
          <w:spacing w:val="-1"/>
          <w:sz w:val="20"/>
          <w:szCs w:val="20"/>
        </w:rPr>
        <w:t>阳性，应</w:t>
      </w:r>
      <w:r>
        <w:rPr>
          <w:rFonts w:ascii="宋体" w:hAnsi="宋体" w:eastAsia="宋体" w:cs="宋体"/>
          <w:sz w:val="20"/>
          <w:szCs w:val="20"/>
        </w:rPr>
        <w:t xml:space="preserve"> 尽快治疗，治愈后再考虑妊娠。</w:t>
      </w:r>
    </w:p>
    <w:p w14:paraId="15B9DDC2">
      <w:pPr>
        <w:spacing w:before="114" w:line="331" w:lineRule="auto"/>
        <w:ind w:left="649" w:right="132" w:firstLine="419"/>
        <w:rPr>
          <w:rFonts w:ascii="宋体" w:hAnsi="宋体" w:eastAsia="宋体" w:cs="宋体"/>
          <w:sz w:val="20"/>
          <w:szCs w:val="20"/>
        </w:rPr>
      </w:pPr>
      <w:r>
        <w:rPr>
          <w:rFonts w:ascii="宋体" w:hAnsi="宋体" w:eastAsia="宋体" w:cs="宋体"/>
          <w:spacing w:val="9"/>
          <w:sz w:val="20"/>
          <w:szCs w:val="20"/>
        </w:rPr>
        <w:t>妊娠期间首次诊断乙肝，其治疗适应证同普通乙肝病人，可使用核苷酸类似物进行抗病毒治</w:t>
      </w:r>
      <w:r>
        <w:rPr>
          <w:rFonts w:ascii="宋体" w:hAnsi="宋体" w:eastAsia="宋体" w:cs="宋体"/>
          <w:spacing w:val="16"/>
          <w:sz w:val="20"/>
          <w:szCs w:val="20"/>
        </w:rPr>
        <w:t xml:space="preserve"> </w:t>
      </w:r>
      <w:r>
        <w:rPr>
          <w:rFonts w:ascii="宋体" w:hAnsi="宋体" w:eastAsia="宋体" w:cs="宋体"/>
          <w:spacing w:val="3"/>
          <w:sz w:val="20"/>
          <w:szCs w:val="20"/>
        </w:rPr>
        <w:t>疗。妊娠期间发现丙肝，可考虑继续妊娠，分娩并停止哺乳后再进行丙肝的抗病毒治疗。</w:t>
      </w:r>
    </w:p>
    <w:p w14:paraId="5D33CA17">
      <w:pPr>
        <w:spacing w:line="336" w:lineRule="auto"/>
        <w:ind w:left="649" w:right="131" w:firstLine="419"/>
        <w:jc w:val="both"/>
        <w:rPr>
          <w:rFonts w:ascii="宋体" w:hAnsi="宋体" w:eastAsia="宋体" w:cs="宋体"/>
          <w:sz w:val="20"/>
          <w:szCs w:val="20"/>
        </w:rPr>
      </w:pPr>
      <w:r>
        <w:rPr>
          <w:rFonts w:ascii="宋体" w:hAnsi="宋体" w:eastAsia="宋体" w:cs="宋体"/>
          <w:spacing w:val="3"/>
          <w:sz w:val="20"/>
          <w:szCs w:val="20"/>
        </w:rPr>
        <w:t>对</w:t>
      </w:r>
      <w:r>
        <w:rPr>
          <w:rFonts w:ascii="宋体" w:hAnsi="宋体" w:eastAsia="宋体" w:cs="宋体"/>
          <w:spacing w:val="-43"/>
          <w:sz w:val="20"/>
          <w:szCs w:val="20"/>
        </w:rPr>
        <w:t xml:space="preserve"> </w:t>
      </w:r>
      <w:r>
        <w:rPr>
          <w:rFonts w:ascii="Times New Roman" w:hAnsi="Times New Roman" w:eastAsia="Times New Roman" w:cs="Times New Roman"/>
          <w:sz w:val="20"/>
          <w:szCs w:val="20"/>
        </w:rPr>
        <w:t>HBsAg</w:t>
      </w:r>
      <w:r>
        <w:rPr>
          <w:rFonts w:ascii="Times New Roman" w:hAnsi="Times New Roman" w:eastAsia="Times New Roman" w:cs="Times New Roman"/>
          <w:spacing w:val="24"/>
          <w:sz w:val="20"/>
          <w:szCs w:val="20"/>
        </w:rPr>
        <w:t xml:space="preserve"> </w:t>
      </w:r>
      <w:r>
        <w:rPr>
          <w:rFonts w:ascii="宋体" w:hAnsi="宋体" w:eastAsia="宋体" w:cs="宋体"/>
          <w:spacing w:val="3"/>
          <w:sz w:val="20"/>
          <w:szCs w:val="20"/>
        </w:rPr>
        <w:t>阳性或</w:t>
      </w:r>
      <w:r>
        <w:rPr>
          <w:rFonts w:ascii="Times New Roman" w:hAnsi="Times New Roman" w:eastAsia="Times New Roman" w:cs="Times New Roman"/>
          <w:sz w:val="20"/>
          <w:szCs w:val="20"/>
        </w:rPr>
        <w:t>HCV</w:t>
      </w:r>
      <w:r>
        <w:rPr>
          <w:rFonts w:ascii="Times New Roman" w:hAnsi="Times New Roman" w:eastAsia="Times New Roman" w:cs="Times New Roman"/>
          <w:spacing w:val="3"/>
          <w:sz w:val="20"/>
          <w:szCs w:val="20"/>
        </w:rPr>
        <w:t xml:space="preserve">  </w:t>
      </w:r>
      <w:r>
        <w:rPr>
          <w:rFonts w:ascii="Times New Roman" w:hAnsi="Times New Roman" w:eastAsia="Times New Roman" w:cs="Times New Roman"/>
          <w:sz w:val="20"/>
          <w:szCs w:val="20"/>
        </w:rPr>
        <w:t>RNA</w:t>
      </w:r>
      <w:r>
        <w:rPr>
          <w:rFonts w:ascii="宋体" w:hAnsi="宋体" w:eastAsia="宋体" w:cs="宋体"/>
          <w:spacing w:val="3"/>
          <w:sz w:val="20"/>
          <w:szCs w:val="20"/>
        </w:rPr>
        <w:t>阳性的孕妇，应避免羊膜腔穿刺，并</w:t>
      </w:r>
      <w:r>
        <w:rPr>
          <w:rFonts w:ascii="宋体" w:hAnsi="宋体" w:eastAsia="宋体" w:cs="宋体"/>
          <w:spacing w:val="2"/>
          <w:sz w:val="20"/>
          <w:szCs w:val="20"/>
        </w:rPr>
        <w:t>尽量缩短分娩时间，保证胎盘</w:t>
      </w:r>
      <w:r>
        <w:rPr>
          <w:rFonts w:ascii="宋体" w:hAnsi="宋体" w:eastAsia="宋体" w:cs="宋体"/>
          <w:sz w:val="20"/>
          <w:szCs w:val="20"/>
        </w:rPr>
        <w:t xml:space="preserve"> </w:t>
      </w:r>
      <w:r>
        <w:rPr>
          <w:rFonts w:ascii="宋体" w:hAnsi="宋体" w:eastAsia="宋体" w:cs="宋体"/>
          <w:spacing w:val="4"/>
          <w:sz w:val="20"/>
          <w:szCs w:val="20"/>
        </w:rPr>
        <w:t xml:space="preserve">的完整性，减少新生儿暴露于母血的机会。《中国乙型肝炎病毒母婴传播防治指南(2024年版)》推 </w:t>
      </w:r>
      <w:r>
        <w:rPr>
          <w:rFonts w:ascii="宋体" w:hAnsi="宋体" w:eastAsia="宋体" w:cs="宋体"/>
          <w:spacing w:val="5"/>
          <w:sz w:val="20"/>
          <w:szCs w:val="20"/>
        </w:rPr>
        <w:t>荐，孕24～28周</w:t>
      </w:r>
      <w:r>
        <w:rPr>
          <w:rFonts w:ascii="宋体" w:hAnsi="宋体" w:eastAsia="宋体" w:cs="宋体"/>
          <w:sz w:val="20"/>
          <w:szCs w:val="20"/>
        </w:rPr>
        <w:t>HBV</w:t>
      </w:r>
      <w:r>
        <w:rPr>
          <w:rFonts w:ascii="宋体" w:hAnsi="宋体" w:eastAsia="宋体" w:cs="宋体"/>
          <w:spacing w:val="5"/>
          <w:sz w:val="20"/>
          <w:szCs w:val="20"/>
        </w:rPr>
        <w:t xml:space="preserve">   </w:t>
      </w:r>
      <w:r>
        <w:rPr>
          <w:rFonts w:ascii="宋体" w:hAnsi="宋体" w:eastAsia="宋体" w:cs="宋体"/>
          <w:sz w:val="20"/>
          <w:szCs w:val="20"/>
        </w:rPr>
        <w:t>DNA</w:t>
      </w:r>
      <w:r>
        <w:rPr>
          <w:rFonts w:ascii="宋体" w:hAnsi="宋体" w:eastAsia="宋体" w:cs="宋体"/>
          <w:spacing w:val="5"/>
          <w:sz w:val="20"/>
          <w:szCs w:val="20"/>
        </w:rPr>
        <w:t>≥2×10</w:t>
      </w:r>
      <w:r>
        <w:rPr>
          <w:rFonts w:ascii="Calibri" w:hAnsi="Calibri" w:eastAsia="Calibri" w:cs="Calibri"/>
          <w:spacing w:val="5"/>
          <w:sz w:val="20"/>
          <w:szCs w:val="20"/>
        </w:rPr>
        <w:t>⁵</w:t>
      </w:r>
      <w:r>
        <w:rPr>
          <w:rFonts w:ascii="宋体" w:hAnsi="宋体" w:eastAsia="宋体" w:cs="宋体"/>
          <w:sz w:val="20"/>
          <w:szCs w:val="20"/>
        </w:rPr>
        <w:t>IU</w:t>
      </w:r>
      <w:r>
        <w:rPr>
          <w:rFonts w:ascii="宋体" w:hAnsi="宋体" w:eastAsia="宋体" w:cs="宋体"/>
          <w:spacing w:val="5"/>
          <w:sz w:val="20"/>
          <w:szCs w:val="20"/>
        </w:rPr>
        <w:t>/</w:t>
      </w:r>
      <w:r>
        <w:rPr>
          <w:rFonts w:ascii="宋体" w:hAnsi="宋体" w:eastAsia="宋体" w:cs="宋体"/>
          <w:sz w:val="20"/>
          <w:szCs w:val="20"/>
        </w:rPr>
        <w:t>ml</w:t>
      </w:r>
      <w:r>
        <w:rPr>
          <w:rFonts w:ascii="宋体" w:hAnsi="宋体" w:eastAsia="宋体" w:cs="宋体"/>
          <w:spacing w:val="5"/>
          <w:sz w:val="20"/>
          <w:szCs w:val="20"/>
        </w:rPr>
        <w:t>的孕妇，建议启动抗病毒治疗以阻断母婴传播，孕28周以</w:t>
      </w:r>
      <w:r>
        <w:rPr>
          <w:rFonts w:ascii="宋体" w:hAnsi="宋体" w:eastAsia="宋体" w:cs="宋体"/>
          <w:spacing w:val="6"/>
          <w:sz w:val="20"/>
          <w:szCs w:val="20"/>
        </w:rPr>
        <w:t xml:space="preserve"> </w:t>
      </w:r>
      <w:r>
        <w:rPr>
          <w:rFonts w:ascii="宋体" w:hAnsi="宋体" w:eastAsia="宋体" w:cs="宋体"/>
          <w:spacing w:val="4"/>
          <w:sz w:val="20"/>
          <w:szCs w:val="20"/>
        </w:rPr>
        <w:t>后首诊发现</w:t>
      </w:r>
      <w:r>
        <w:rPr>
          <w:rFonts w:ascii="Times New Roman" w:hAnsi="Times New Roman" w:eastAsia="Times New Roman" w:cs="Times New Roman"/>
          <w:sz w:val="20"/>
          <w:szCs w:val="20"/>
        </w:rPr>
        <w:t>HBV</w:t>
      </w:r>
      <w:r>
        <w:rPr>
          <w:rFonts w:ascii="Times New Roman" w:hAnsi="Times New Roman" w:eastAsia="Times New Roman" w:cs="Times New Roman"/>
          <w:spacing w:val="4"/>
          <w:sz w:val="20"/>
          <w:szCs w:val="20"/>
        </w:rPr>
        <w:t xml:space="preserve">    </w:t>
      </w:r>
      <w:r>
        <w:rPr>
          <w:rFonts w:ascii="Times New Roman" w:hAnsi="Times New Roman" w:eastAsia="Times New Roman" w:cs="Times New Roman"/>
          <w:sz w:val="20"/>
          <w:szCs w:val="20"/>
        </w:rPr>
        <w:t>DNA</w:t>
      </w:r>
      <w:r>
        <w:rPr>
          <w:rFonts w:ascii="Times New Roman" w:hAnsi="Times New Roman" w:eastAsia="Times New Roman" w:cs="Times New Roman"/>
          <w:spacing w:val="4"/>
          <w:sz w:val="20"/>
          <w:szCs w:val="20"/>
        </w:rPr>
        <w:t>≥2×10⁵</w:t>
      </w:r>
      <w:r>
        <w:rPr>
          <w:rFonts w:ascii="Times New Roman" w:hAnsi="Times New Roman" w:eastAsia="Times New Roman" w:cs="Times New Roman"/>
          <w:sz w:val="20"/>
          <w:szCs w:val="20"/>
        </w:rPr>
        <w:t>IU</w:t>
      </w:r>
      <w:r>
        <w:rPr>
          <w:rFonts w:ascii="Times New Roman" w:hAnsi="Times New Roman" w:eastAsia="Times New Roman" w:cs="Times New Roman"/>
          <w:spacing w:val="4"/>
          <w:sz w:val="20"/>
          <w:szCs w:val="20"/>
        </w:rPr>
        <w:t>/</w:t>
      </w:r>
      <w:r>
        <w:rPr>
          <w:rFonts w:ascii="Times New Roman" w:hAnsi="Times New Roman" w:eastAsia="Times New Roman" w:cs="Times New Roman"/>
          <w:sz w:val="20"/>
          <w:szCs w:val="20"/>
        </w:rPr>
        <w:t>ml</w:t>
      </w:r>
      <w:r>
        <w:rPr>
          <w:rFonts w:ascii="宋体" w:hAnsi="宋体" w:eastAsia="宋体" w:cs="宋体"/>
          <w:spacing w:val="4"/>
          <w:sz w:val="20"/>
          <w:szCs w:val="20"/>
        </w:rPr>
        <w:t>的孕妇，建议立即启动抗</w:t>
      </w:r>
      <w:r>
        <w:rPr>
          <w:rFonts w:ascii="宋体" w:hAnsi="宋体" w:eastAsia="宋体" w:cs="宋体"/>
          <w:spacing w:val="3"/>
          <w:sz w:val="20"/>
          <w:szCs w:val="20"/>
        </w:rPr>
        <w:t>病毒治疗以阻断母婴传播。</w:t>
      </w:r>
      <w:r>
        <w:rPr>
          <w:rFonts w:ascii="宋体" w:hAnsi="宋体" w:eastAsia="宋体" w:cs="宋体"/>
          <w:spacing w:val="-50"/>
          <w:sz w:val="20"/>
          <w:szCs w:val="20"/>
        </w:rPr>
        <w:t xml:space="preserve"> </w:t>
      </w:r>
      <w:r>
        <w:rPr>
          <w:rFonts w:ascii="Times New Roman" w:hAnsi="Times New Roman" w:eastAsia="Times New Roman" w:cs="Times New Roman"/>
          <w:sz w:val="20"/>
          <w:szCs w:val="20"/>
        </w:rPr>
        <w:t>HBsAg</w:t>
      </w:r>
      <w:r>
        <w:rPr>
          <w:rFonts w:ascii="Times New Roman" w:hAnsi="Times New Roman" w:eastAsia="Times New Roman" w:cs="Times New Roman"/>
          <w:spacing w:val="3"/>
          <w:sz w:val="20"/>
          <w:szCs w:val="20"/>
        </w:rPr>
        <w:t xml:space="preserve"> </w:t>
      </w:r>
      <w:r>
        <w:rPr>
          <w:rFonts w:ascii="宋体" w:hAnsi="宋体" w:eastAsia="宋体" w:cs="宋体"/>
          <w:spacing w:val="3"/>
          <w:sz w:val="20"/>
          <w:szCs w:val="20"/>
        </w:rPr>
        <w:t>阳</w:t>
      </w:r>
      <w:r>
        <w:rPr>
          <w:rFonts w:ascii="宋体" w:hAnsi="宋体" w:eastAsia="宋体" w:cs="宋体"/>
          <w:sz w:val="20"/>
          <w:szCs w:val="20"/>
        </w:rPr>
        <w:t xml:space="preserve"> </w:t>
      </w:r>
      <w:r>
        <w:rPr>
          <w:rFonts w:ascii="宋体" w:hAnsi="宋体" w:eastAsia="宋体" w:cs="宋体"/>
          <w:spacing w:val="4"/>
          <w:sz w:val="20"/>
          <w:szCs w:val="20"/>
        </w:rPr>
        <w:t>性孕妇所生婴儿在接受人工自动免疫和人工被动免疫后，无论孕妇产后是否继续抗病毒治疗，均可</w:t>
      </w:r>
      <w:r>
        <w:rPr>
          <w:rFonts w:ascii="宋体" w:hAnsi="宋体" w:eastAsia="宋体" w:cs="宋体"/>
          <w:spacing w:val="15"/>
          <w:sz w:val="20"/>
          <w:szCs w:val="20"/>
        </w:rPr>
        <w:t xml:space="preserve"> </w:t>
      </w:r>
      <w:r>
        <w:rPr>
          <w:rFonts w:ascii="宋体" w:hAnsi="宋体" w:eastAsia="宋体" w:cs="宋体"/>
          <w:spacing w:val="6"/>
          <w:sz w:val="20"/>
          <w:szCs w:val="20"/>
        </w:rPr>
        <w:t>以母乳喂养。</w:t>
      </w:r>
    </w:p>
    <w:p w14:paraId="1834893D">
      <w:pPr>
        <w:spacing w:before="29" w:line="341" w:lineRule="auto"/>
        <w:ind w:left="649" w:right="120" w:firstLine="419"/>
        <w:jc w:val="both"/>
        <w:rPr>
          <w:rFonts w:ascii="宋体" w:hAnsi="宋体" w:eastAsia="宋体" w:cs="宋体"/>
          <w:sz w:val="20"/>
          <w:szCs w:val="20"/>
        </w:rPr>
      </w:pPr>
      <w:r>
        <w:rPr>
          <w:rFonts w:ascii="宋体" w:hAnsi="宋体" w:eastAsia="宋体" w:cs="宋体"/>
          <w:spacing w:val="7"/>
          <w:sz w:val="20"/>
          <w:szCs w:val="20"/>
        </w:rPr>
        <w:t>(3)预防和控制性传播：加强性健康教育，传播安全性行为知识，促进安全套使</w:t>
      </w:r>
      <w:r>
        <w:rPr>
          <w:rFonts w:ascii="宋体" w:hAnsi="宋体" w:eastAsia="宋体" w:cs="宋体"/>
          <w:spacing w:val="6"/>
          <w:sz w:val="20"/>
          <w:szCs w:val="20"/>
        </w:rPr>
        <w:t>用。鼓励婚前</w:t>
      </w:r>
      <w:r>
        <w:rPr>
          <w:rFonts w:ascii="宋体" w:hAnsi="宋体" w:eastAsia="宋体" w:cs="宋体"/>
          <w:sz w:val="20"/>
          <w:szCs w:val="20"/>
        </w:rPr>
        <w:t xml:space="preserve"> </w:t>
      </w:r>
      <w:r>
        <w:rPr>
          <w:rFonts w:ascii="宋体" w:hAnsi="宋体" w:eastAsia="宋体" w:cs="宋体"/>
          <w:spacing w:val="6"/>
          <w:sz w:val="20"/>
          <w:szCs w:val="20"/>
        </w:rPr>
        <w:t>或同居前进行</w:t>
      </w:r>
      <w:r>
        <w:rPr>
          <w:rFonts w:ascii="Times New Roman" w:hAnsi="Times New Roman" w:eastAsia="Times New Roman" w:cs="Times New Roman"/>
          <w:sz w:val="20"/>
          <w:szCs w:val="20"/>
        </w:rPr>
        <w:t>HBV</w:t>
      </w:r>
      <w:r>
        <w:rPr>
          <w:rFonts w:ascii="Times New Roman" w:hAnsi="Times New Roman" w:eastAsia="Times New Roman" w:cs="Times New Roman"/>
          <w:spacing w:val="6"/>
          <w:sz w:val="20"/>
          <w:szCs w:val="20"/>
        </w:rPr>
        <w:t xml:space="preserve"> </w:t>
      </w:r>
      <w:r>
        <w:rPr>
          <w:rFonts w:ascii="宋体" w:hAnsi="宋体" w:eastAsia="宋体" w:cs="宋体"/>
          <w:spacing w:val="6"/>
          <w:sz w:val="20"/>
          <w:szCs w:val="20"/>
        </w:rPr>
        <w:t>筛查，若配偶或性伴侣</w:t>
      </w:r>
      <w:r>
        <w:rPr>
          <w:rFonts w:ascii="Times New Roman" w:hAnsi="Times New Roman" w:eastAsia="Times New Roman" w:cs="Times New Roman"/>
          <w:sz w:val="20"/>
          <w:szCs w:val="20"/>
        </w:rPr>
        <w:t>HBsAg</w:t>
      </w:r>
      <w:r>
        <w:rPr>
          <w:rFonts w:ascii="Times New Roman" w:hAnsi="Times New Roman" w:eastAsia="Times New Roman" w:cs="Times New Roman"/>
          <w:spacing w:val="38"/>
          <w:w w:val="101"/>
          <w:sz w:val="20"/>
          <w:szCs w:val="20"/>
        </w:rPr>
        <w:t xml:space="preserve"> </w:t>
      </w:r>
      <w:r>
        <w:rPr>
          <w:rFonts w:ascii="宋体" w:hAnsi="宋体" w:eastAsia="宋体" w:cs="宋体"/>
          <w:spacing w:val="6"/>
          <w:sz w:val="20"/>
          <w:szCs w:val="20"/>
        </w:rPr>
        <w:t>阳性或不详，应及时接种乙肝疫苗。对男男性行</w:t>
      </w:r>
      <w:r>
        <w:rPr>
          <w:rFonts w:ascii="宋体" w:hAnsi="宋体" w:eastAsia="宋体" w:cs="宋体"/>
          <w:sz w:val="20"/>
          <w:szCs w:val="20"/>
        </w:rPr>
        <w:t xml:space="preserve"> </w:t>
      </w:r>
      <w:r>
        <w:rPr>
          <w:rFonts w:ascii="宋体" w:hAnsi="宋体" w:eastAsia="宋体" w:cs="宋体"/>
          <w:spacing w:val="5"/>
          <w:sz w:val="20"/>
          <w:szCs w:val="20"/>
        </w:rPr>
        <w:t>为者和有多个性伴侣者等高危人群应加强管理，定期</w:t>
      </w:r>
      <w:r>
        <w:rPr>
          <w:rFonts w:ascii="宋体" w:hAnsi="宋体" w:eastAsia="宋体" w:cs="宋体"/>
          <w:spacing w:val="4"/>
          <w:sz w:val="20"/>
          <w:szCs w:val="20"/>
        </w:rPr>
        <w:t>检测</w:t>
      </w:r>
      <w:r>
        <w:rPr>
          <w:rFonts w:ascii="宋体" w:hAnsi="宋体" w:eastAsia="宋体" w:cs="宋体"/>
          <w:sz w:val="20"/>
          <w:szCs w:val="20"/>
        </w:rPr>
        <w:t>HBsAg</w:t>
      </w:r>
      <w:r>
        <w:rPr>
          <w:rFonts w:ascii="宋体" w:hAnsi="宋体" w:eastAsia="宋体" w:cs="宋体"/>
          <w:spacing w:val="33"/>
          <w:sz w:val="20"/>
          <w:szCs w:val="20"/>
        </w:rPr>
        <w:t xml:space="preserve"> </w:t>
      </w:r>
      <w:r>
        <w:rPr>
          <w:rFonts w:ascii="宋体" w:hAnsi="宋体" w:eastAsia="宋体" w:cs="宋体"/>
          <w:spacing w:val="4"/>
          <w:sz w:val="20"/>
          <w:szCs w:val="20"/>
        </w:rPr>
        <w:t>和抗-</w:t>
      </w:r>
      <w:r>
        <w:rPr>
          <w:rFonts w:ascii="宋体" w:hAnsi="宋体" w:eastAsia="宋体" w:cs="宋体"/>
          <w:sz w:val="20"/>
          <w:szCs w:val="20"/>
        </w:rPr>
        <w:t>HCV</w:t>
      </w:r>
      <w:r>
        <w:rPr>
          <w:rFonts w:ascii="宋体" w:hAnsi="宋体" w:eastAsia="宋体" w:cs="宋体"/>
          <w:spacing w:val="4"/>
          <w:sz w:val="20"/>
          <w:szCs w:val="20"/>
        </w:rPr>
        <w:t>。</w:t>
      </w:r>
    </w:p>
    <w:p w14:paraId="056C9E35">
      <w:pPr>
        <w:pStyle w:val="2"/>
        <w:spacing w:line="326" w:lineRule="auto"/>
        <w:ind w:left="649" w:firstLine="419"/>
        <w:jc w:val="both"/>
        <w:rPr>
          <w:rFonts w:ascii="宋体" w:hAnsi="宋体" w:eastAsia="宋体" w:cs="宋体"/>
          <w:sz w:val="20"/>
          <w:szCs w:val="20"/>
        </w:rPr>
      </w:pPr>
      <w:r>
        <w:rPr>
          <w:rFonts w:ascii="宋体" w:hAnsi="宋体" w:eastAsia="宋体" w:cs="宋体"/>
          <w:spacing w:val="23"/>
          <w:sz w:val="20"/>
          <w:szCs w:val="20"/>
        </w:rPr>
        <w:t>3.</w:t>
      </w:r>
      <w:r>
        <w:rPr>
          <w:rFonts w:ascii="宋体" w:hAnsi="宋体" w:eastAsia="宋体" w:cs="宋体"/>
          <w:spacing w:val="42"/>
          <w:sz w:val="20"/>
          <w:szCs w:val="20"/>
        </w:rPr>
        <w:t xml:space="preserve"> </w:t>
      </w:r>
      <w:r>
        <w:rPr>
          <w:spacing w:val="23"/>
          <w:sz w:val="20"/>
          <w:szCs w:val="20"/>
        </w:rPr>
        <w:t>保护易感人群</w:t>
      </w:r>
      <w:r>
        <w:rPr>
          <w:spacing w:val="90"/>
          <w:sz w:val="20"/>
          <w:szCs w:val="20"/>
        </w:rPr>
        <w:t xml:space="preserve"> </w:t>
      </w:r>
      <w:r>
        <w:rPr>
          <w:rFonts w:ascii="宋体" w:hAnsi="宋体" w:eastAsia="宋体" w:cs="宋体"/>
          <w:spacing w:val="23"/>
          <w:sz w:val="20"/>
          <w:szCs w:val="20"/>
        </w:rPr>
        <w:t>乙肝疫苗接种是预防</w:t>
      </w:r>
      <w:r>
        <w:rPr>
          <w:rFonts w:ascii="宋体" w:hAnsi="宋体" w:eastAsia="宋体" w:cs="宋体"/>
          <w:sz w:val="20"/>
          <w:szCs w:val="20"/>
        </w:rPr>
        <w:t>HBV</w:t>
      </w:r>
      <w:r>
        <w:rPr>
          <w:rFonts w:ascii="宋体" w:hAnsi="宋体" w:eastAsia="宋体" w:cs="宋体"/>
          <w:spacing w:val="6"/>
          <w:sz w:val="20"/>
          <w:szCs w:val="20"/>
        </w:rPr>
        <w:t xml:space="preserve">  </w:t>
      </w:r>
      <w:r>
        <w:rPr>
          <w:rFonts w:ascii="宋体" w:hAnsi="宋体" w:eastAsia="宋体" w:cs="宋体"/>
          <w:spacing w:val="23"/>
          <w:sz w:val="20"/>
          <w:szCs w:val="20"/>
        </w:rPr>
        <w:t>感染</w:t>
      </w:r>
      <w:r>
        <w:rPr>
          <w:rFonts w:ascii="宋体" w:hAnsi="宋体" w:eastAsia="宋体" w:cs="宋体"/>
          <w:spacing w:val="22"/>
          <w:sz w:val="20"/>
          <w:szCs w:val="20"/>
        </w:rPr>
        <w:t>最有效的方法，乙型肝炎免疫球蛋白</w:t>
      </w:r>
      <w:r>
        <w:rPr>
          <w:rFonts w:ascii="宋体" w:hAnsi="宋体" w:eastAsia="宋体" w:cs="宋体"/>
          <w:spacing w:val="1"/>
          <w:sz w:val="20"/>
          <w:szCs w:val="20"/>
        </w:rPr>
        <w:t xml:space="preserve"> </w:t>
      </w:r>
      <w:r>
        <w:rPr>
          <w:rFonts w:ascii="Times New Roman" w:hAnsi="Times New Roman" w:eastAsia="Times New Roman" w:cs="Times New Roman"/>
          <w:spacing w:val="4"/>
          <w:sz w:val="20"/>
          <w:szCs w:val="20"/>
        </w:rPr>
        <w:t>(</w:t>
      </w:r>
      <w:r>
        <w:rPr>
          <w:rFonts w:ascii="Times New Roman" w:hAnsi="Times New Roman" w:eastAsia="Times New Roman" w:cs="Times New Roman"/>
          <w:sz w:val="20"/>
          <w:szCs w:val="20"/>
        </w:rPr>
        <w:t>hepatitis</w:t>
      </w:r>
      <w:r>
        <w:rPr>
          <w:rFonts w:ascii="Times New Roman" w:hAnsi="Times New Roman" w:eastAsia="Times New Roman" w:cs="Times New Roman"/>
          <w:spacing w:val="4"/>
          <w:sz w:val="20"/>
          <w:szCs w:val="20"/>
        </w:rPr>
        <w:t xml:space="preserve">   </w:t>
      </w:r>
      <w:r>
        <w:rPr>
          <w:rFonts w:ascii="Times New Roman" w:hAnsi="Times New Roman" w:eastAsia="Times New Roman" w:cs="Times New Roman"/>
          <w:sz w:val="20"/>
          <w:szCs w:val="20"/>
        </w:rPr>
        <w:t>B</w:t>
      </w:r>
      <w:r>
        <w:rPr>
          <w:rFonts w:ascii="Times New Roman" w:hAnsi="Times New Roman" w:eastAsia="Times New Roman" w:cs="Times New Roman"/>
          <w:spacing w:val="4"/>
          <w:sz w:val="20"/>
          <w:szCs w:val="20"/>
        </w:rPr>
        <w:t xml:space="preserve">   </w:t>
      </w:r>
      <w:r>
        <w:rPr>
          <w:rFonts w:ascii="Times New Roman" w:hAnsi="Times New Roman" w:eastAsia="Times New Roman" w:cs="Times New Roman"/>
          <w:sz w:val="20"/>
          <w:szCs w:val="20"/>
        </w:rPr>
        <w:t>immunoglobulin</w:t>
      </w:r>
      <w:r>
        <w:rPr>
          <w:rFonts w:ascii="Times New Roman" w:hAnsi="Times New Roman" w:eastAsia="Times New Roman" w:cs="Times New Roman"/>
          <w:spacing w:val="4"/>
          <w:sz w:val="20"/>
          <w:szCs w:val="20"/>
        </w:rPr>
        <w:t>,</w:t>
      </w:r>
      <w:r>
        <w:rPr>
          <w:rFonts w:ascii="Times New Roman" w:hAnsi="Times New Roman" w:eastAsia="Times New Roman" w:cs="Times New Roman"/>
          <w:sz w:val="20"/>
          <w:szCs w:val="20"/>
        </w:rPr>
        <w:t>HBIG</w:t>
      </w:r>
      <w:r>
        <w:rPr>
          <w:rFonts w:ascii="Times New Roman" w:hAnsi="Times New Roman" w:eastAsia="Times New Roman" w:cs="Times New Roman"/>
          <w:spacing w:val="4"/>
          <w:sz w:val="20"/>
          <w:szCs w:val="20"/>
        </w:rPr>
        <w:t>)</w:t>
      </w:r>
      <w:r>
        <w:rPr>
          <w:rFonts w:ascii="宋体" w:hAnsi="宋体" w:eastAsia="宋体" w:cs="宋体"/>
          <w:spacing w:val="4"/>
          <w:sz w:val="20"/>
          <w:szCs w:val="20"/>
        </w:rPr>
        <w:t>可与乙肝疫苗联合使用，用于母亲</w:t>
      </w:r>
      <w:r>
        <w:rPr>
          <w:rFonts w:ascii="Times New Roman" w:hAnsi="Times New Roman" w:eastAsia="Times New Roman" w:cs="Times New Roman"/>
          <w:sz w:val="20"/>
          <w:szCs w:val="20"/>
        </w:rPr>
        <w:t>HBsAg</w:t>
      </w:r>
      <w:r>
        <w:rPr>
          <w:rFonts w:ascii="Times New Roman" w:hAnsi="Times New Roman" w:eastAsia="Times New Roman" w:cs="Times New Roman"/>
          <w:spacing w:val="26"/>
          <w:sz w:val="20"/>
          <w:szCs w:val="20"/>
        </w:rPr>
        <w:t xml:space="preserve"> </w:t>
      </w:r>
      <w:r>
        <w:rPr>
          <w:rFonts w:ascii="宋体" w:hAnsi="宋体" w:eastAsia="宋体" w:cs="宋体"/>
          <w:spacing w:val="4"/>
          <w:sz w:val="20"/>
          <w:szCs w:val="20"/>
        </w:rPr>
        <w:t>阳性或不详的新生儿、</w:t>
      </w:r>
      <w:r>
        <w:rPr>
          <w:rFonts w:ascii="宋体" w:hAnsi="宋体" w:eastAsia="宋体" w:cs="宋体"/>
          <w:sz w:val="20"/>
          <w:szCs w:val="20"/>
        </w:rPr>
        <w:t xml:space="preserve"> </w:t>
      </w:r>
      <w:r>
        <w:rPr>
          <w:rFonts w:ascii="宋体" w:hAnsi="宋体" w:eastAsia="宋体" w:cs="宋体"/>
          <w:spacing w:val="8"/>
          <w:sz w:val="20"/>
          <w:szCs w:val="20"/>
        </w:rPr>
        <w:t>意外暴露于</w:t>
      </w:r>
      <w:r>
        <w:rPr>
          <w:rFonts w:ascii="Times New Roman" w:hAnsi="Times New Roman" w:eastAsia="Times New Roman" w:cs="Times New Roman"/>
          <w:sz w:val="20"/>
          <w:szCs w:val="20"/>
        </w:rPr>
        <w:t>HBV</w:t>
      </w:r>
      <w:r>
        <w:rPr>
          <w:rFonts w:ascii="Times New Roman" w:hAnsi="Times New Roman" w:eastAsia="Times New Roman" w:cs="Times New Roman"/>
          <w:spacing w:val="8"/>
          <w:sz w:val="20"/>
          <w:szCs w:val="20"/>
        </w:rPr>
        <w:t xml:space="preserve"> </w:t>
      </w:r>
      <w:r>
        <w:rPr>
          <w:rFonts w:ascii="宋体" w:hAnsi="宋体" w:eastAsia="宋体" w:cs="宋体"/>
          <w:spacing w:val="8"/>
          <w:sz w:val="20"/>
          <w:szCs w:val="20"/>
        </w:rPr>
        <w:t>者的预防。目前尚无特异性预防</w:t>
      </w:r>
      <w:r>
        <w:rPr>
          <w:rFonts w:ascii="Times New Roman" w:hAnsi="Times New Roman" w:eastAsia="Times New Roman" w:cs="Times New Roman"/>
          <w:sz w:val="20"/>
          <w:szCs w:val="20"/>
        </w:rPr>
        <w:t>HCV</w:t>
      </w:r>
      <w:r>
        <w:rPr>
          <w:rFonts w:ascii="Times New Roman" w:hAnsi="Times New Roman" w:eastAsia="Times New Roman" w:cs="Times New Roman"/>
          <w:spacing w:val="2"/>
          <w:sz w:val="20"/>
          <w:szCs w:val="20"/>
        </w:rPr>
        <w:t xml:space="preserve"> </w:t>
      </w:r>
      <w:r>
        <w:rPr>
          <w:rFonts w:ascii="宋体" w:hAnsi="宋体" w:eastAsia="宋体" w:cs="宋体"/>
          <w:spacing w:val="8"/>
          <w:sz w:val="20"/>
          <w:szCs w:val="20"/>
        </w:rPr>
        <w:t>和</w:t>
      </w:r>
      <w:r>
        <w:rPr>
          <w:rFonts w:ascii="Times New Roman" w:hAnsi="Times New Roman" w:eastAsia="Times New Roman" w:cs="Times New Roman"/>
          <w:sz w:val="20"/>
          <w:szCs w:val="20"/>
        </w:rPr>
        <w:t>HDV</w:t>
      </w:r>
      <w:r>
        <w:rPr>
          <w:rFonts w:ascii="Times New Roman" w:hAnsi="Times New Roman" w:eastAsia="Times New Roman" w:cs="Times New Roman"/>
          <w:spacing w:val="8"/>
          <w:sz w:val="20"/>
          <w:szCs w:val="20"/>
        </w:rPr>
        <w:t xml:space="preserve"> </w:t>
      </w:r>
      <w:r>
        <w:rPr>
          <w:rFonts w:ascii="宋体" w:hAnsi="宋体" w:eastAsia="宋体" w:cs="宋体"/>
          <w:spacing w:val="8"/>
          <w:sz w:val="20"/>
          <w:szCs w:val="20"/>
        </w:rPr>
        <w:t>感染的疫苗，但对</w:t>
      </w:r>
      <w:r>
        <w:rPr>
          <w:rFonts w:ascii="Times New Roman" w:hAnsi="Times New Roman" w:eastAsia="Times New Roman" w:cs="Times New Roman"/>
          <w:sz w:val="20"/>
          <w:szCs w:val="20"/>
        </w:rPr>
        <w:t>HBV</w:t>
      </w:r>
      <w:r>
        <w:rPr>
          <w:rFonts w:ascii="Times New Roman" w:hAnsi="Times New Roman" w:eastAsia="Times New Roman" w:cs="Times New Roman"/>
          <w:spacing w:val="8"/>
          <w:sz w:val="20"/>
          <w:szCs w:val="20"/>
        </w:rPr>
        <w:t xml:space="preserve"> </w:t>
      </w:r>
      <w:r>
        <w:rPr>
          <w:rFonts w:ascii="宋体" w:hAnsi="宋体" w:eastAsia="宋体" w:cs="宋体"/>
          <w:spacing w:val="8"/>
          <w:sz w:val="20"/>
          <w:szCs w:val="20"/>
        </w:rPr>
        <w:t>有免疫力者</w:t>
      </w:r>
      <w:r>
        <w:rPr>
          <w:rFonts w:ascii="宋体" w:hAnsi="宋体" w:eastAsia="宋体" w:cs="宋体"/>
          <w:sz w:val="20"/>
          <w:szCs w:val="20"/>
        </w:rPr>
        <w:t xml:space="preserve">  </w:t>
      </w:r>
      <w:r>
        <w:rPr>
          <w:rFonts w:ascii="宋体" w:hAnsi="宋体" w:eastAsia="宋体" w:cs="宋体"/>
          <w:spacing w:val="10"/>
          <w:sz w:val="20"/>
          <w:szCs w:val="20"/>
        </w:rPr>
        <w:t>也不再感染</w:t>
      </w:r>
      <w:r>
        <w:rPr>
          <w:rFonts w:ascii="Times New Roman" w:hAnsi="Times New Roman" w:eastAsia="Times New Roman" w:cs="Times New Roman"/>
          <w:sz w:val="20"/>
          <w:szCs w:val="20"/>
        </w:rPr>
        <w:t>HDV</w:t>
      </w:r>
      <w:r>
        <w:rPr>
          <w:rFonts w:ascii="Times New Roman" w:hAnsi="Times New Roman" w:eastAsia="Times New Roman" w:cs="Times New Roman"/>
          <w:spacing w:val="10"/>
          <w:sz w:val="20"/>
          <w:szCs w:val="20"/>
        </w:rPr>
        <w:t>,</w:t>
      </w:r>
      <w:r>
        <w:rPr>
          <w:rFonts w:ascii="Times New Roman" w:hAnsi="Times New Roman" w:eastAsia="Times New Roman" w:cs="Times New Roman"/>
          <w:spacing w:val="58"/>
          <w:w w:val="101"/>
          <w:sz w:val="20"/>
          <w:szCs w:val="20"/>
        </w:rPr>
        <w:t xml:space="preserve"> </w:t>
      </w:r>
      <w:r>
        <w:rPr>
          <w:rFonts w:ascii="宋体" w:hAnsi="宋体" w:eastAsia="宋体" w:cs="宋体"/>
          <w:spacing w:val="10"/>
          <w:sz w:val="20"/>
          <w:szCs w:val="20"/>
        </w:rPr>
        <w:t>因此接种乙肝疫苗可通过预防</w:t>
      </w:r>
      <w:r>
        <w:rPr>
          <w:rFonts w:ascii="Times New Roman" w:hAnsi="Times New Roman" w:eastAsia="Times New Roman" w:cs="Times New Roman"/>
          <w:sz w:val="20"/>
          <w:szCs w:val="20"/>
        </w:rPr>
        <w:t>HBV</w:t>
      </w:r>
      <w:r>
        <w:rPr>
          <w:rFonts w:ascii="Times New Roman" w:hAnsi="Times New Roman" w:eastAsia="Times New Roman" w:cs="Times New Roman"/>
          <w:spacing w:val="-9"/>
          <w:sz w:val="20"/>
          <w:szCs w:val="20"/>
        </w:rPr>
        <w:t xml:space="preserve"> </w:t>
      </w:r>
      <w:r>
        <w:rPr>
          <w:rFonts w:ascii="宋体" w:hAnsi="宋体" w:eastAsia="宋体" w:cs="宋体"/>
          <w:spacing w:val="10"/>
          <w:sz w:val="20"/>
          <w:szCs w:val="20"/>
        </w:rPr>
        <w:t>感染而间接达到预防</w:t>
      </w:r>
      <w:r>
        <w:rPr>
          <w:rFonts w:ascii="Times New Roman" w:hAnsi="Times New Roman" w:eastAsia="Times New Roman" w:cs="Times New Roman"/>
          <w:sz w:val="20"/>
          <w:szCs w:val="20"/>
        </w:rPr>
        <w:t>HDV</w:t>
      </w:r>
      <w:r>
        <w:rPr>
          <w:rFonts w:ascii="Times New Roman" w:hAnsi="Times New Roman" w:eastAsia="Times New Roman" w:cs="Times New Roman"/>
          <w:spacing w:val="-10"/>
          <w:sz w:val="20"/>
          <w:szCs w:val="20"/>
        </w:rPr>
        <w:t xml:space="preserve"> </w:t>
      </w:r>
      <w:r>
        <w:rPr>
          <w:rFonts w:ascii="宋体" w:hAnsi="宋体" w:eastAsia="宋体" w:cs="宋体"/>
          <w:spacing w:val="10"/>
          <w:sz w:val="20"/>
          <w:szCs w:val="20"/>
        </w:rPr>
        <w:t>感染的目的。</w:t>
      </w:r>
    </w:p>
    <w:p w14:paraId="42E4402C">
      <w:pPr>
        <w:spacing w:before="38" w:line="344" w:lineRule="auto"/>
        <w:ind w:left="649" w:right="81" w:firstLine="419"/>
        <w:rPr>
          <w:rFonts w:ascii="宋体" w:hAnsi="宋体" w:eastAsia="宋体" w:cs="宋体"/>
          <w:sz w:val="20"/>
          <w:szCs w:val="20"/>
        </w:rPr>
      </w:pPr>
      <w:r>
        <w:rPr>
          <w:rFonts w:ascii="宋体" w:hAnsi="宋体" w:eastAsia="宋体" w:cs="宋体"/>
          <w:spacing w:val="11"/>
          <w:sz w:val="20"/>
          <w:szCs w:val="20"/>
        </w:rPr>
        <w:t>(1)人工自动免疫：乙肝疫苗接种是预防和控制</w:t>
      </w:r>
      <w:r>
        <w:rPr>
          <w:rFonts w:ascii="Times New Roman" w:hAnsi="Times New Roman" w:eastAsia="Times New Roman" w:cs="Times New Roman"/>
          <w:sz w:val="20"/>
          <w:szCs w:val="20"/>
        </w:rPr>
        <w:t>HBV</w:t>
      </w:r>
      <w:r>
        <w:rPr>
          <w:rFonts w:ascii="Times New Roman" w:hAnsi="Times New Roman" w:eastAsia="Times New Roman" w:cs="Times New Roman"/>
          <w:spacing w:val="11"/>
          <w:sz w:val="20"/>
          <w:szCs w:val="20"/>
        </w:rPr>
        <w:t xml:space="preserve"> </w:t>
      </w:r>
      <w:r>
        <w:rPr>
          <w:rFonts w:ascii="宋体" w:hAnsi="宋体" w:eastAsia="宋体" w:cs="宋体"/>
          <w:spacing w:val="11"/>
          <w:sz w:val="20"/>
          <w:szCs w:val="20"/>
        </w:rPr>
        <w:t>感染最有效的措施。目前，在全球范围</w:t>
      </w:r>
      <w:r>
        <w:rPr>
          <w:rFonts w:ascii="宋体" w:hAnsi="宋体" w:eastAsia="宋体" w:cs="宋体"/>
          <w:spacing w:val="15"/>
          <w:sz w:val="20"/>
          <w:szCs w:val="20"/>
        </w:rPr>
        <w:t xml:space="preserve"> </w:t>
      </w:r>
      <w:r>
        <w:rPr>
          <w:rFonts w:ascii="宋体" w:hAnsi="宋体" w:eastAsia="宋体" w:cs="宋体"/>
          <w:spacing w:val="8"/>
          <w:sz w:val="20"/>
          <w:szCs w:val="20"/>
        </w:rPr>
        <w:t>内已有115个国家实行了出生时乙肝疫苗普遍接种，190个国家将乙肝疫苗纳入免疫规划。自1992</w:t>
      </w:r>
    </w:p>
    <w:p w14:paraId="2B7DDD94">
      <w:pPr>
        <w:spacing w:line="344" w:lineRule="auto"/>
        <w:rPr>
          <w:rFonts w:ascii="宋体" w:hAnsi="宋体" w:eastAsia="宋体" w:cs="宋体"/>
          <w:sz w:val="20"/>
          <w:szCs w:val="20"/>
        </w:rPr>
        <w:sectPr>
          <w:footerReference r:id="rId329" w:type="default"/>
          <w:pgSz w:w="11900" w:h="16820"/>
          <w:pgMar w:top="400" w:right="1469" w:bottom="839" w:left="850" w:header="0" w:footer="659" w:gutter="0"/>
          <w:cols w:space="720" w:num="1"/>
        </w:sectPr>
      </w:pPr>
    </w:p>
    <w:p w14:paraId="30B46365">
      <w:pPr>
        <w:pStyle w:val="2"/>
        <w:spacing w:before="217" w:line="222" w:lineRule="auto"/>
        <w:ind w:left="7159"/>
        <w:rPr>
          <w:sz w:val="21"/>
          <w:szCs w:val="21"/>
        </w:rPr>
      </w:pPr>
      <w:r>
        <w:rPr>
          <w:spacing w:val="-15"/>
          <w:w w:val="97"/>
          <w:sz w:val="21"/>
          <w:szCs w:val="21"/>
        </w:rPr>
        <w:t>第十九章病毒性肝炎</w:t>
      </w:r>
    </w:p>
    <w:p w14:paraId="15733B0F">
      <w:pPr>
        <w:spacing w:line="278" w:lineRule="auto"/>
        <w:rPr>
          <w:rFonts w:ascii="Arial"/>
          <w:sz w:val="21"/>
        </w:rPr>
      </w:pPr>
    </w:p>
    <w:p w14:paraId="40CEDC81">
      <w:pPr>
        <w:spacing w:line="278" w:lineRule="auto"/>
        <w:rPr>
          <w:rFonts w:ascii="Arial"/>
          <w:sz w:val="21"/>
        </w:rPr>
      </w:pPr>
    </w:p>
    <w:p w14:paraId="41EA6E7F">
      <w:pPr>
        <w:spacing w:before="68" w:line="330" w:lineRule="auto"/>
        <w:ind w:right="542"/>
        <w:rPr>
          <w:rFonts w:ascii="宋体" w:hAnsi="宋体" w:eastAsia="宋体" w:cs="宋体"/>
          <w:sz w:val="21"/>
          <w:szCs w:val="21"/>
        </w:rPr>
      </w:pPr>
      <w:r>
        <w:rPr>
          <w:rFonts w:ascii="宋体" w:hAnsi="宋体" w:eastAsia="宋体" w:cs="宋体"/>
          <w:spacing w:val="-4"/>
          <w:sz w:val="21"/>
          <w:szCs w:val="21"/>
        </w:rPr>
        <w:t>年我国将乙肝疫苗纳入计划免疫管理以来，通过以接种乙肝疫苗为主的综</w:t>
      </w:r>
      <w:r>
        <w:rPr>
          <w:rFonts w:ascii="宋体" w:hAnsi="宋体" w:eastAsia="宋体" w:cs="宋体"/>
          <w:spacing w:val="-5"/>
          <w:sz w:val="21"/>
          <w:szCs w:val="21"/>
        </w:rPr>
        <w:t>合性防控措施的实施，我</w:t>
      </w:r>
      <w:r>
        <w:rPr>
          <w:rFonts w:ascii="宋体" w:hAnsi="宋体" w:eastAsia="宋体" w:cs="宋体"/>
          <w:sz w:val="21"/>
          <w:szCs w:val="21"/>
        </w:rPr>
        <w:t xml:space="preserve"> </w:t>
      </w:r>
      <w:r>
        <w:rPr>
          <w:rFonts w:ascii="宋体" w:hAnsi="宋体" w:eastAsia="宋体" w:cs="宋体"/>
          <w:spacing w:val="-1"/>
          <w:sz w:val="21"/>
          <w:szCs w:val="21"/>
        </w:rPr>
        <w:t>国乙肝防控已取得了举世瞩目的成就。</w:t>
      </w:r>
    </w:p>
    <w:p w14:paraId="54C35C42">
      <w:pPr>
        <w:spacing w:before="1" w:line="322" w:lineRule="auto"/>
        <w:ind w:right="522" w:firstLine="429"/>
        <w:jc w:val="both"/>
        <w:rPr>
          <w:rFonts w:ascii="宋体" w:hAnsi="宋体" w:eastAsia="宋体" w:cs="宋体"/>
          <w:sz w:val="21"/>
          <w:szCs w:val="21"/>
        </w:rPr>
      </w:pPr>
      <w:r>
        <w:rPr>
          <w:rFonts w:ascii="宋体" w:hAnsi="宋体" w:eastAsia="宋体" w:cs="宋体"/>
          <w:spacing w:val="1"/>
          <w:sz w:val="21"/>
          <w:szCs w:val="21"/>
        </w:rPr>
        <w:t>乙肝疫苗的接种对象主要是新生儿，其次为15岁以下未接种人群和高危人群。乙</w:t>
      </w:r>
      <w:r>
        <w:rPr>
          <w:rFonts w:ascii="宋体" w:hAnsi="宋体" w:eastAsia="宋体" w:cs="宋体"/>
          <w:sz w:val="21"/>
          <w:szCs w:val="21"/>
        </w:rPr>
        <w:t xml:space="preserve">肝疫苗全程 </w:t>
      </w:r>
      <w:r>
        <w:rPr>
          <w:rFonts w:ascii="宋体" w:hAnsi="宋体" w:eastAsia="宋体" w:cs="宋体"/>
          <w:spacing w:val="3"/>
          <w:sz w:val="21"/>
          <w:szCs w:val="21"/>
        </w:rPr>
        <w:t>需接种3剂，按照0、1、6个月程序，即接种第1剂疫苗后，在1个月和6个月时接种第2和</w:t>
      </w:r>
      <w:r>
        <w:rPr>
          <w:rFonts w:ascii="宋体" w:hAnsi="宋体" w:eastAsia="宋体" w:cs="宋体"/>
          <w:spacing w:val="2"/>
          <w:sz w:val="21"/>
          <w:szCs w:val="21"/>
        </w:rPr>
        <w:t>第3剂疫</w:t>
      </w:r>
      <w:r>
        <w:rPr>
          <w:rFonts w:ascii="宋体" w:hAnsi="宋体" w:eastAsia="宋体" w:cs="宋体"/>
          <w:sz w:val="21"/>
          <w:szCs w:val="21"/>
        </w:rPr>
        <w:t xml:space="preserve"> </w:t>
      </w:r>
      <w:r>
        <w:rPr>
          <w:rFonts w:ascii="宋体" w:hAnsi="宋体" w:eastAsia="宋体" w:cs="宋体"/>
          <w:spacing w:val="-4"/>
          <w:sz w:val="21"/>
          <w:szCs w:val="21"/>
        </w:rPr>
        <w:t>苗。《慢性乙型肝炎防治指南(2022年版)》指出，对于免疫功能低下人群，应增加疫苗的剂量或剂</w:t>
      </w:r>
      <w:r>
        <w:rPr>
          <w:rFonts w:ascii="宋体" w:hAnsi="宋体" w:eastAsia="宋体" w:cs="宋体"/>
          <w:spacing w:val="5"/>
          <w:sz w:val="21"/>
          <w:szCs w:val="21"/>
        </w:rPr>
        <w:t xml:space="preserve"> </w:t>
      </w:r>
      <w:r>
        <w:rPr>
          <w:rFonts w:ascii="宋体" w:hAnsi="宋体" w:eastAsia="宋体" w:cs="宋体"/>
          <w:spacing w:val="1"/>
          <w:sz w:val="21"/>
          <w:szCs w:val="21"/>
        </w:rPr>
        <w:t>次；对0、1、6个月程序无应答(抗-</w:t>
      </w:r>
      <w:r>
        <w:rPr>
          <w:rFonts w:ascii="Times New Roman" w:hAnsi="Times New Roman" w:eastAsia="Times New Roman" w:cs="Times New Roman"/>
          <w:sz w:val="21"/>
          <w:szCs w:val="21"/>
        </w:rPr>
        <w:t>HBs</w:t>
      </w:r>
      <w:r>
        <w:rPr>
          <w:rFonts w:ascii="宋体" w:hAnsi="宋体" w:eastAsia="宋体" w:cs="宋体"/>
          <w:spacing w:val="1"/>
          <w:sz w:val="21"/>
          <w:szCs w:val="21"/>
        </w:rPr>
        <w:t>阴性)者可再接种1剂60μ</w:t>
      </w:r>
      <w:r>
        <w:rPr>
          <w:rFonts w:ascii="Times New Roman" w:hAnsi="Times New Roman" w:eastAsia="Times New Roman" w:cs="Times New Roman"/>
          <w:spacing w:val="1"/>
          <w:sz w:val="21"/>
          <w:szCs w:val="21"/>
        </w:rPr>
        <w:t>g</w:t>
      </w:r>
      <w:r>
        <w:rPr>
          <w:rFonts w:ascii="Times New Roman" w:hAnsi="Times New Roman" w:eastAsia="Times New Roman" w:cs="Times New Roman"/>
          <w:spacing w:val="-11"/>
          <w:sz w:val="21"/>
          <w:szCs w:val="21"/>
        </w:rPr>
        <w:t xml:space="preserve"> </w:t>
      </w:r>
      <w:r>
        <w:rPr>
          <w:rFonts w:ascii="宋体" w:hAnsi="宋体" w:eastAsia="宋体" w:cs="宋体"/>
          <w:spacing w:val="1"/>
          <w:sz w:val="21"/>
          <w:szCs w:val="21"/>
        </w:rPr>
        <w:t>或3</w:t>
      </w:r>
      <w:r>
        <w:rPr>
          <w:rFonts w:ascii="宋体" w:hAnsi="宋体" w:eastAsia="宋体" w:cs="宋体"/>
          <w:sz w:val="21"/>
          <w:szCs w:val="21"/>
        </w:rPr>
        <w:t>剂20μ</w:t>
      </w:r>
      <w:r>
        <w:rPr>
          <w:rFonts w:ascii="Times New Roman" w:hAnsi="Times New Roman" w:eastAsia="Times New Roman" w:cs="Times New Roman"/>
          <w:sz w:val="21"/>
          <w:szCs w:val="21"/>
        </w:rPr>
        <w:t>g</w:t>
      </w:r>
      <w:r>
        <w:rPr>
          <w:rFonts w:ascii="宋体" w:hAnsi="宋体" w:eastAsia="宋体" w:cs="宋体"/>
          <w:sz w:val="21"/>
          <w:szCs w:val="21"/>
        </w:rPr>
        <w:t xml:space="preserve">乙肝疫苗，并于完 </w:t>
      </w:r>
      <w:r>
        <w:rPr>
          <w:rFonts w:ascii="宋体" w:hAnsi="宋体" w:eastAsia="宋体" w:cs="宋体"/>
          <w:spacing w:val="3"/>
          <w:sz w:val="21"/>
          <w:szCs w:val="21"/>
        </w:rPr>
        <w:t>成第2次接种程序后1～2个月时检测抗-</w:t>
      </w:r>
      <w:r>
        <w:rPr>
          <w:rFonts w:ascii="宋体" w:hAnsi="宋体" w:eastAsia="宋体" w:cs="宋体"/>
          <w:sz w:val="21"/>
          <w:szCs w:val="21"/>
        </w:rPr>
        <w:t>HBs</w:t>
      </w:r>
      <w:r>
        <w:rPr>
          <w:rFonts w:ascii="宋体" w:hAnsi="宋体" w:eastAsia="宋体" w:cs="宋体"/>
          <w:spacing w:val="3"/>
          <w:sz w:val="21"/>
          <w:szCs w:val="21"/>
        </w:rPr>
        <w:t>,如仍无应答，可再接种1剂60μg乙肝疫苗。</w:t>
      </w:r>
    </w:p>
    <w:p w14:paraId="1555A810">
      <w:pPr>
        <w:spacing w:before="14" w:line="325" w:lineRule="auto"/>
        <w:ind w:right="520" w:firstLine="389"/>
        <w:jc w:val="both"/>
        <w:rPr>
          <w:rFonts w:ascii="宋体" w:hAnsi="宋体" w:eastAsia="宋体" w:cs="宋体"/>
          <w:sz w:val="21"/>
          <w:szCs w:val="21"/>
        </w:rPr>
      </w:pPr>
      <w:r>
        <w:rPr>
          <w:rFonts w:ascii="宋体" w:hAnsi="宋体" w:eastAsia="宋体" w:cs="宋体"/>
          <w:spacing w:val="-1"/>
          <w:sz w:val="21"/>
          <w:szCs w:val="21"/>
        </w:rPr>
        <w:t>(2)人工自动免疫联合人工被动免疫：对于母亲HBsAg 阳性或不详的新生儿，应按照</w:t>
      </w:r>
      <w:r>
        <w:rPr>
          <w:rFonts w:ascii="宋体" w:hAnsi="宋体" w:eastAsia="宋体" w:cs="宋体"/>
          <w:spacing w:val="-2"/>
          <w:sz w:val="21"/>
          <w:szCs w:val="21"/>
        </w:rPr>
        <w:t>以下方法</w:t>
      </w:r>
      <w:r>
        <w:rPr>
          <w:rFonts w:ascii="宋体" w:hAnsi="宋体" w:eastAsia="宋体" w:cs="宋体"/>
          <w:sz w:val="21"/>
          <w:szCs w:val="21"/>
        </w:rPr>
        <w:t xml:space="preserve"> </w:t>
      </w:r>
      <w:r>
        <w:rPr>
          <w:rFonts w:ascii="宋体" w:hAnsi="宋体" w:eastAsia="宋体" w:cs="宋体"/>
          <w:spacing w:val="6"/>
          <w:sz w:val="21"/>
          <w:szCs w:val="21"/>
        </w:rPr>
        <w:t>处理。①在出生后12小时内尽早注射</w:t>
      </w:r>
      <w:r>
        <w:rPr>
          <w:rFonts w:ascii="Times New Roman" w:hAnsi="Times New Roman" w:eastAsia="Times New Roman" w:cs="Times New Roman"/>
          <w:sz w:val="21"/>
          <w:szCs w:val="21"/>
        </w:rPr>
        <w:t>HBIG</w:t>
      </w:r>
      <w:r>
        <w:rPr>
          <w:rFonts w:ascii="Times New Roman" w:hAnsi="Times New Roman" w:eastAsia="Times New Roman" w:cs="Times New Roman"/>
          <w:spacing w:val="6"/>
          <w:sz w:val="21"/>
          <w:szCs w:val="21"/>
        </w:rPr>
        <w:t>,</w:t>
      </w:r>
      <w:r>
        <w:rPr>
          <w:rFonts w:ascii="Times New Roman" w:hAnsi="Times New Roman" w:eastAsia="Times New Roman" w:cs="Times New Roman"/>
          <w:spacing w:val="16"/>
          <w:sz w:val="21"/>
          <w:szCs w:val="21"/>
        </w:rPr>
        <w:t xml:space="preserve"> </w:t>
      </w:r>
      <w:r>
        <w:rPr>
          <w:rFonts w:ascii="宋体" w:hAnsi="宋体" w:eastAsia="宋体" w:cs="宋体"/>
          <w:spacing w:val="6"/>
          <w:sz w:val="21"/>
          <w:szCs w:val="21"/>
        </w:rPr>
        <w:t>同时在不同部位接种乙肝疫苗，</w:t>
      </w:r>
      <w:r>
        <w:rPr>
          <w:rFonts w:ascii="宋体" w:hAnsi="宋体" w:eastAsia="宋体" w:cs="宋体"/>
          <w:spacing w:val="5"/>
          <w:sz w:val="21"/>
          <w:szCs w:val="21"/>
        </w:rPr>
        <w:t>在1月龄和6月龄时</w:t>
      </w:r>
      <w:r>
        <w:rPr>
          <w:rFonts w:ascii="宋体" w:hAnsi="宋体" w:eastAsia="宋体" w:cs="宋体"/>
          <w:sz w:val="21"/>
          <w:szCs w:val="21"/>
        </w:rPr>
        <w:t xml:space="preserve"> </w:t>
      </w:r>
      <w:r>
        <w:rPr>
          <w:rFonts w:ascii="宋体" w:hAnsi="宋体" w:eastAsia="宋体" w:cs="宋体"/>
          <w:spacing w:val="6"/>
          <w:sz w:val="21"/>
          <w:szCs w:val="21"/>
        </w:rPr>
        <w:t>分别接种第2和第3剂乙肝疫苗。②于全程接种后</w:t>
      </w:r>
      <w:r>
        <w:rPr>
          <w:rFonts w:ascii="宋体" w:hAnsi="宋体" w:eastAsia="宋体" w:cs="宋体"/>
          <w:spacing w:val="5"/>
          <w:sz w:val="21"/>
          <w:szCs w:val="21"/>
        </w:rPr>
        <w:t>1～2个月时检测</w:t>
      </w:r>
      <w:r>
        <w:rPr>
          <w:rFonts w:ascii="Times New Roman" w:hAnsi="Times New Roman" w:eastAsia="Times New Roman" w:cs="Times New Roman"/>
          <w:sz w:val="21"/>
          <w:szCs w:val="21"/>
        </w:rPr>
        <w:t>HBsAg</w:t>
      </w:r>
      <w:r>
        <w:rPr>
          <w:rFonts w:ascii="宋体" w:hAnsi="宋体" w:eastAsia="宋体" w:cs="宋体"/>
          <w:spacing w:val="5"/>
          <w:sz w:val="21"/>
          <w:szCs w:val="21"/>
        </w:rPr>
        <w:t>和抗-</w:t>
      </w:r>
      <w:r>
        <w:rPr>
          <w:rFonts w:ascii="Times New Roman" w:hAnsi="Times New Roman" w:eastAsia="Times New Roman" w:cs="Times New Roman"/>
          <w:sz w:val="21"/>
          <w:szCs w:val="21"/>
        </w:rPr>
        <w:t>HBs</w:t>
      </w:r>
      <w:r>
        <w:rPr>
          <w:rFonts w:ascii="Times New Roman" w:hAnsi="Times New Roman" w:eastAsia="Times New Roman" w:cs="Times New Roman"/>
          <w:spacing w:val="5"/>
          <w:sz w:val="21"/>
          <w:szCs w:val="21"/>
        </w:rPr>
        <w:t xml:space="preserve">, </w:t>
      </w:r>
      <w:r>
        <w:rPr>
          <w:rFonts w:ascii="宋体" w:hAnsi="宋体" w:eastAsia="宋体" w:cs="宋体"/>
          <w:spacing w:val="5"/>
          <w:sz w:val="21"/>
          <w:szCs w:val="21"/>
        </w:rPr>
        <w:t>若</w:t>
      </w:r>
      <w:r>
        <w:rPr>
          <w:rFonts w:ascii="宋体" w:hAnsi="宋体" w:eastAsia="宋体" w:cs="宋体"/>
          <w:spacing w:val="-46"/>
          <w:sz w:val="21"/>
          <w:szCs w:val="21"/>
        </w:rPr>
        <w:t xml:space="preserve"> </w:t>
      </w:r>
      <w:r>
        <w:rPr>
          <w:rFonts w:ascii="Times New Roman" w:hAnsi="Times New Roman" w:eastAsia="Times New Roman" w:cs="Times New Roman"/>
          <w:sz w:val="21"/>
          <w:szCs w:val="21"/>
        </w:rPr>
        <w:t>HBsAg</w:t>
      </w:r>
      <w:r>
        <w:rPr>
          <w:rFonts w:ascii="宋体" w:hAnsi="宋体" w:eastAsia="宋体" w:cs="宋体"/>
          <w:spacing w:val="5"/>
          <w:sz w:val="21"/>
          <w:szCs w:val="21"/>
        </w:rPr>
        <w:t>和</w:t>
      </w:r>
      <w:r>
        <w:rPr>
          <w:rFonts w:ascii="宋体" w:hAnsi="宋体" w:eastAsia="宋体" w:cs="宋体"/>
          <w:sz w:val="21"/>
          <w:szCs w:val="21"/>
        </w:rPr>
        <w:t xml:space="preserve"> </w:t>
      </w:r>
      <w:r>
        <w:rPr>
          <w:rFonts w:ascii="宋体" w:hAnsi="宋体" w:eastAsia="宋体" w:cs="宋体"/>
          <w:spacing w:val="-2"/>
          <w:sz w:val="21"/>
          <w:szCs w:val="21"/>
        </w:rPr>
        <w:t>抗-</w:t>
      </w:r>
      <w:r>
        <w:rPr>
          <w:rFonts w:ascii="Times New Roman" w:hAnsi="Times New Roman" w:eastAsia="Times New Roman" w:cs="Times New Roman"/>
          <w:spacing w:val="-2"/>
          <w:sz w:val="21"/>
          <w:szCs w:val="21"/>
        </w:rPr>
        <w:t xml:space="preserve">HBs </w:t>
      </w:r>
      <w:r>
        <w:rPr>
          <w:rFonts w:ascii="宋体" w:hAnsi="宋体" w:eastAsia="宋体" w:cs="宋体"/>
          <w:spacing w:val="-2"/>
          <w:sz w:val="21"/>
          <w:szCs w:val="21"/>
        </w:rPr>
        <w:t>均阴性，可按0、1、6个月程序再接种3剂乙肝疫苗，若</w:t>
      </w:r>
      <w:r>
        <w:rPr>
          <w:rFonts w:ascii="Times New Roman" w:hAnsi="Times New Roman" w:eastAsia="Times New Roman" w:cs="Times New Roman"/>
          <w:spacing w:val="-3"/>
          <w:sz w:val="21"/>
          <w:szCs w:val="21"/>
        </w:rPr>
        <w:t>HBsAg</w:t>
      </w:r>
      <w:r>
        <w:rPr>
          <w:rFonts w:ascii="Times New Roman" w:hAnsi="Times New Roman" w:eastAsia="Times New Roman" w:cs="Times New Roman"/>
          <w:spacing w:val="-18"/>
          <w:sz w:val="21"/>
          <w:szCs w:val="21"/>
        </w:rPr>
        <w:t xml:space="preserve"> </w:t>
      </w:r>
      <w:r>
        <w:rPr>
          <w:rFonts w:ascii="宋体" w:hAnsi="宋体" w:eastAsia="宋体" w:cs="宋体"/>
          <w:spacing w:val="-3"/>
          <w:sz w:val="21"/>
          <w:szCs w:val="21"/>
        </w:rPr>
        <w:t>和/或</w:t>
      </w:r>
      <w:r>
        <w:rPr>
          <w:rFonts w:ascii="Times New Roman" w:hAnsi="Times New Roman" w:eastAsia="Times New Roman" w:cs="Times New Roman"/>
          <w:spacing w:val="-3"/>
          <w:sz w:val="21"/>
          <w:szCs w:val="21"/>
        </w:rPr>
        <w:t>HBV DNA</w:t>
      </w:r>
      <w:r>
        <w:rPr>
          <w:rFonts w:ascii="宋体" w:hAnsi="宋体" w:eastAsia="宋体" w:cs="宋体"/>
          <w:spacing w:val="-3"/>
          <w:sz w:val="21"/>
          <w:szCs w:val="21"/>
        </w:rPr>
        <w:t>阳性，为免</w:t>
      </w:r>
      <w:r>
        <w:rPr>
          <w:rFonts w:ascii="宋体" w:hAnsi="宋体" w:eastAsia="宋体" w:cs="宋体"/>
          <w:sz w:val="21"/>
          <w:szCs w:val="21"/>
        </w:rPr>
        <w:t xml:space="preserve"> </w:t>
      </w:r>
      <w:r>
        <w:rPr>
          <w:rFonts w:ascii="宋体" w:hAnsi="宋体" w:eastAsia="宋体" w:cs="宋体"/>
          <w:spacing w:val="-5"/>
          <w:sz w:val="21"/>
          <w:szCs w:val="21"/>
        </w:rPr>
        <w:t>疫失败，应定期监测。在出生时进行人工自动免疫和人工被动免疫，也可预防</w:t>
      </w:r>
      <w:r>
        <w:rPr>
          <w:rFonts w:ascii="Times New Roman" w:hAnsi="Times New Roman" w:eastAsia="Times New Roman" w:cs="Times New Roman"/>
          <w:spacing w:val="-5"/>
          <w:sz w:val="21"/>
          <w:szCs w:val="21"/>
        </w:rPr>
        <w:t>HDV</w:t>
      </w:r>
      <w:r>
        <w:rPr>
          <w:rFonts w:ascii="宋体" w:hAnsi="宋体" w:eastAsia="宋体" w:cs="宋体"/>
          <w:spacing w:val="-5"/>
          <w:sz w:val="21"/>
          <w:szCs w:val="21"/>
        </w:rPr>
        <w:t>从</w:t>
      </w:r>
      <w:r>
        <w:rPr>
          <w:rFonts w:ascii="宋体" w:hAnsi="宋体" w:eastAsia="宋体" w:cs="宋体"/>
          <w:spacing w:val="-37"/>
          <w:sz w:val="21"/>
          <w:szCs w:val="21"/>
        </w:rPr>
        <w:t xml:space="preserve"> </w:t>
      </w:r>
      <w:r>
        <w:rPr>
          <w:rFonts w:ascii="Times New Roman" w:hAnsi="Times New Roman" w:eastAsia="Times New Roman" w:cs="Times New Roman"/>
          <w:spacing w:val="-5"/>
          <w:sz w:val="21"/>
          <w:szCs w:val="21"/>
        </w:rPr>
        <w:t>HBV/HDV</w:t>
      </w:r>
      <w:r>
        <w:rPr>
          <w:rFonts w:ascii="宋体" w:hAnsi="宋体" w:eastAsia="宋体" w:cs="宋体"/>
          <w:spacing w:val="-5"/>
          <w:sz w:val="21"/>
          <w:szCs w:val="21"/>
        </w:rPr>
        <w:t>同</w:t>
      </w:r>
      <w:r>
        <w:rPr>
          <w:rFonts w:ascii="宋体" w:hAnsi="宋体" w:eastAsia="宋体" w:cs="宋体"/>
          <w:sz w:val="21"/>
          <w:szCs w:val="21"/>
        </w:rPr>
        <w:t xml:space="preserve"> </w:t>
      </w:r>
      <w:r>
        <w:rPr>
          <w:rFonts w:ascii="宋体" w:hAnsi="宋体" w:eastAsia="宋体" w:cs="宋体"/>
          <w:spacing w:val="3"/>
          <w:sz w:val="21"/>
          <w:szCs w:val="21"/>
        </w:rPr>
        <w:t>时感染或重叠感染的母亲传播给子女。对于低体重儿或早产儿，应在出生12小时内尽早接种第1</w:t>
      </w:r>
      <w:r>
        <w:rPr>
          <w:rFonts w:ascii="宋体" w:hAnsi="宋体" w:eastAsia="宋体" w:cs="宋体"/>
          <w:spacing w:val="16"/>
          <w:sz w:val="21"/>
          <w:szCs w:val="21"/>
        </w:rPr>
        <w:t xml:space="preserve"> </w:t>
      </w:r>
      <w:r>
        <w:rPr>
          <w:rFonts w:ascii="宋体" w:hAnsi="宋体" w:eastAsia="宋体" w:cs="宋体"/>
          <w:spacing w:val="-6"/>
          <w:sz w:val="21"/>
          <w:szCs w:val="21"/>
        </w:rPr>
        <w:t>剂乙肝疫苗，满1月龄后，再按0、1、6个月程序接种3剂乙肝疫苗；危重症新生儿，应在生命体征平</w:t>
      </w:r>
      <w:r>
        <w:rPr>
          <w:rFonts w:ascii="宋体" w:hAnsi="宋体" w:eastAsia="宋体" w:cs="宋体"/>
          <w:spacing w:val="9"/>
          <w:sz w:val="21"/>
          <w:szCs w:val="21"/>
        </w:rPr>
        <w:t xml:space="preserve"> 稳后尽早接种第1剂乙肝疫苗。</w:t>
      </w:r>
    </w:p>
    <w:p w14:paraId="26EB9881">
      <w:pPr>
        <w:spacing w:before="43" w:line="325" w:lineRule="auto"/>
        <w:ind w:right="445" w:firstLine="429"/>
        <w:jc w:val="both"/>
        <w:rPr>
          <w:rFonts w:ascii="宋体" w:hAnsi="宋体" w:eastAsia="宋体" w:cs="宋体"/>
          <w:sz w:val="21"/>
          <w:szCs w:val="21"/>
        </w:rPr>
      </w:pPr>
      <w:r>
        <w:rPr>
          <w:rFonts w:ascii="宋体" w:hAnsi="宋体" w:eastAsia="宋体" w:cs="宋体"/>
          <w:spacing w:val="-1"/>
          <w:sz w:val="21"/>
          <w:szCs w:val="21"/>
        </w:rPr>
        <w:t>对于意外暴露于</w:t>
      </w:r>
      <w:r>
        <w:rPr>
          <w:rFonts w:ascii="Times New Roman" w:hAnsi="Times New Roman" w:eastAsia="Times New Roman" w:cs="Times New Roman"/>
          <w:spacing w:val="-1"/>
          <w:sz w:val="21"/>
          <w:szCs w:val="21"/>
        </w:rPr>
        <w:t xml:space="preserve">HBV </w:t>
      </w:r>
      <w:r>
        <w:rPr>
          <w:rFonts w:ascii="宋体" w:hAnsi="宋体" w:eastAsia="宋体" w:cs="宋体"/>
          <w:spacing w:val="-1"/>
          <w:sz w:val="21"/>
          <w:szCs w:val="21"/>
        </w:rPr>
        <w:t>者，应按照以下方法处理：①立即在伤口周围轻轻</w:t>
      </w:r>
      <w:r>
        <w:rPr>
          <w:rFonts w:ascii="宋体" w:hAnsi="宋体" w:eastAsia="宋体" w:cs="宋体"/>
          <w:spacing w:val="-2"/>
          <w:sz w:val="21"/>
          <w:szCs w:val="21"/>
        </w:rPr>
        <w:t>挤压，排出伤口中的</w:t>
      </w:r>
      <w:r>
        <w:rPr>
          <w:rFonts w:ascii="宋体" w:hAnsi="宋体" w:eastAsia="宋体" w:cs="宋体"/>
          <w:sz w:val="21"/>
          <w:szCs w:val="21"/>
        </w:rPr>
        <w:t xml:space="preserve">  血液，生理盐水冲洗，然后用消毒液处理。②应立即检</w:t>
      </w:r>
      <w:r>
        <w:rPr>
          <w:rFonts w:ascii="宋体" w:hAnsi="宋体" w:eastAsia="宋体" w:cs="宋体"/>
          <w:spacing w:val="-1"/>
          <w:sz w:val="21"/>
          <w:szCs w:val="21"/>
        </w:rPr>
        <w:t>测</w:t>
      </w:r>
      <w:r>
        <w:rPr>
          <w:rFonts w:ascii="Times New Roman" w:hAnsi="Times New Roman" w:eastAsia="Times New Roman" w:cs="Times New Roman"/>
          <w:spacing w:val="-1"/>
          <w:sz w:val="21"/>
          <w:szCs w:val="21"/>
        </w:rPr>
        <w:t xml:space="preserve">HBsAg </w:t>
      </w:r>
      <w:r>
        <w:rPr>
          <w:rFonts w:ascii="宋体" w:hAnsi="宋体" w:eastAsia="宋体" w:cs="宋体"/>
          <w:spacing w:val="-1"/>
          <w:sz w:val="21"/>
          <w:szCs w:val="21"/>
        </w:rPr>
        <w:t>和</w:t>
      </w:r>
      <w:r>
        <w:rPr>
          <w:rFonts w:ascii="宋体" w:hAnsi="宋体" w:eastAsia="宋体" w:cs="宋体"/>
          <w:spacing w:val="-56"/>
          <w:sz w:val="21"/>
          <w:szCs w:val="21"/>
        </w:rPr>
        <w:t xml:space="preserve"> </w:t>
      </w:r>
      <w:r>
        <w:rPr>
          <w:rFonts w:ascii="Times New Roman" w:hAnsi="Times New Roman" w:eastAsia="Times New Roman" w:cs="Times New Roman"/>
          <w:spacing w:val="-1"/>
          <w:sz w:val="21"/>
          <w:szCs w:val="21"/>
        </w:rPr>
        <w:t>HBV</w:t>
      </w:r>
      <w:r>
        <w:rPr>
          <w:rFonts w:ascii="Times New Roman" w:hAnsi="Times New Roman" w:eastAsia="Times New Roman" w:cs="Times New Roman"/>
          <w:spacing w:val="20"/>
          <w:sz w:val="21"/>
          <w:szCs w:val="21"/>
        </w:rPr>
        <w:t xml:space="preserve">  </w:t>
      </w:r>
      <w:r>
        <w:rPr>
          <w:rFonts w:ascii="Times New Roman" w:hAnsi="Times New Roman" w:eastAsia="Times New Roman" w:cs="Times New Roman"/>
          <w:spacing w:val="-1"/>
          <w:sz w:val="21"/>
          <w:szCs w:val="21"/>
        </w:rPr>
        <w:t>DNA,3</w:t>
      </w:r>
      <w:r>
        <w:rPr>
          <w:rFonts w:ascii="宋体" w:hAnsi="宋体" w:eastAsia="宋体" w:cs="宋体"/>
          <w:spacing w:val="-1"/>
          <w:sz w:val="21"/>
          <w:szCs w:val="21"/>
        </w:rPr>
        <w:t>～</w:t>
      </w:r>
      <w:r>
        <w:rPr>
          <w:rFonts w:ascii="Times New Roman" w:hAnsi="Times New Roman" w:eastAsia="Times New Roman" w:cs="Times New Roman"/>
          <w:spacing w:val="-1"/>
          <w:sz w:val="21"/>
          <w:szCs w:val="21"/>
        </w:rPr>
        <w:t>6</w:t>
      </w:r>
      <w:r>
        <w:rPr>
          <w:rFonts w:ascii="宋体" w:hAnsi="宋体" w:eastAsia="宋体" w:cs="宋体"/>
          <w:spacing w:val="-1"/>
          <w:sz w:val="21"/>
          <w:szCs w:val="21"/>
        </w:rPr>
        <w:t>个月后复查。</w:t>
      </w:r>
      <w:r>
        <w:rPr>
          <w:rFonts w:ascii="宋体" w:hAnsi="宋体" w:eastAsia="宋体" w:cs="宋体"/>
          <w:sz w:val="21"/>
          <w:szCs w:val="21"/>
        </w:rPr>
        <w:t xml:space="preserve"> </w:t>
      </w:r>
      <w:r>
        <w:rPr>
          <w:rFonts w:ascii="宋体" w:hAnsi="宋体" w:eastAsia="宋体" w:cs="宋体"/>
          <w:spacing w:val="-4"/>
          <w:sz w:val="21"/>
          <w:szCs w:val="21"/>
        </w:rPr>
        <w:t>③接种过乙肝疫苗且已知抗-</w:t>
      </w:r>
      <w:r>
        <w:rPr>
          <w:rFonts w:ascii="Times New Roman" w:hAnsi="Times New Roman" w:eastAsia="Times New Roman" w:cs="Times New Roman"/>
          <w:spacing w:val="-4"/>
          <w:sz w:val="21"/>
          <w:szCs w:val="21"/>
        </w:rPr>
        <w:t xml:space="preserve">HBs </w:t>
      </w:r>
      <w:r>
        <w:rPr>
          <w:rFonts w:ascii="宋体" w:hAnsi="宋体" w:eastAsia="宋体" w:cs="宋体"/>
          <w:spacing w:val="-4"/>
          <w:sz w:val="21"/>
          <w:szCs w:val="21"/>
        </w:rPr>
        <w:t>阳性者，可不再注射</w:t>
      </w:r>
      <w:r>
        <w:rPr>
          <w:rFonts w:ascii="Times New Roman" w:hAnsi="Times New Roman" w:eastAsia="Times New Roman" w:cs="Times New Roman"/>
          <w:spacing w:val="-4"/>
          <w:sz w:val="21"/>
          <w:szCs w:val="21"/>
        </w:rPr>
        <w:t>HBIG</w:t>
      </w:r>
      <w:r>
        <w:rPr>
          <w:rFonts w:ascii="宋体" w:hAnsi="宋体" w:eastAsia="宋体" w:cs="宋体"/>
          <w:spacing w:val="-4"/>
          <w:sz w:val="21"/>
          <w:szCs w:val="21"/>
        </w:rPr>
        <w:t>或乙肝疫苗；未接种过乙肝疫苗，或接</w:t>
      </w:r>
      <w:r>
        <w:rPr>
          <w:rFonts w:ascii="宋体" w:hAnsi="宋体" w:eastAsia="宋体" w:cs="宋体"/>
          <w:spacing w:val="5"/>
          <w:sz w:val="21"/>
          <w:szCs w:val="21"/>
        </w:rPr>
        <w:t xml:space="preserve">  </w:t>
      </w:r>
      <w:r>
        <w:rPr>
          <w:rFonts w:ascii="宋体" w:hAnsi="宋体" w:eastAsia="宋体" w:cs="宋体"/>
          <w:spacing w:val="-1"/>
          <w:sz w:val="21"/>
          <w:szCs w:val="21"/>
        </w:rPr>
        <w:t>种过乙肝疫苗但抗-HBs 阴性或不详者，应立即注射HBIG, 同时</w:t>
      </w:r>
      <w:r>
        <w:rPr>
          <w:rFonts w:ascii="宋体" w:hAnsi="宋体" w:eastAsia="宋体" w:cs="宋体"/>
          <w:spacing w:val="-2"/>
          <w:sz w:val="21"/>
          <w:szCs w:val="21"/>
        </w:rPr>
        <w:t>在不同部位接种1剂乙肝疫苗，于1</w:t>
      </w:r>
      <w:r>
        <w:rPr>
          <w:rFonts w:ascii="宋体" w:hAnsi="宋体" w:eastAsia="宋体" w:cs="宋体"/>
          <w:sz w:val="21"/>
          <w:szCs w:val="21"/>
        </w:rPr>
        <w:t xml:space="preserve"> </w:t>
      </w:r>
      <w:r>
        <w:rPr>
          <w:rFonts w:ascii="宋体" w:hAnsi="宋体" w:eastAsia="宋体" w:cs="宋体"/>
          <w:spacing w:val="9"/>
          <w:sz w:val="21"/>
          <w:szCs w:val="21"/>
        </w:rPr>
        <w:t>个月和6个月后分别接种第2剂和第3剂乙肝疫苗。</w:t>
      </w:r>
    </w:p>
    <w:p w14:paraId="326CF48C">
      <w:pPr>
        <w:pStyle w:val="2"/>
        <w:spacing w:before="12" w:line="222" w:lineRule="auto"/>
        <w:ind w:left="8000"/>
        <w:rPr>
          <w:sz w:val="21"/>
          <w:szCs w:val="21"/>
        </w:rPr>
      </w:pPr>
      <w:r>
        <w:rPr>
          <w:spacing w:val="14"/>
          <w:sz w:val="21"/>
          <w:szCs w:val="21"/>
        </w:rPr>
        <w:t>(冯永亮)</w:t>
      </w:r>
    </w:p>
    <w:p w14:paraId="58B3E287">
      <w:pPr>
        <w:spacing w:line="268" w:lineRule="auto"/>
        <w:rPr>
          <w:rFonts w:ascii="Arial"/>
          <w:sz w:val="21"/>
        </w:rPr>
      </w:pPr>
    </w:p>
    <w:p w14:paraId="27D5EA10">
      <w:pPr>
        <w:spacing w:line="460" w:lineRule="exact"/>
        <w:ind w:firstLine="1070"/>
      </w:pPr>
      <w:r>
        <w:rPr>
          <w:position w:val="-9"/>
        </w:rPr>
        <w:drawing>
          <wp:inline distT="0" distB="0" distL="0" distR="0">
            <wp:extent cx="5079365" cy="292100"/>
            <wp:effectExtent l="0" t="0" r="0" b="0"/>
            <wp:docPr id="796" name="IM 796"/>
            <wp:cNvGraphicFramePr/>
            <a:graphic xmlns:a="http://schemas.openxmlformats.org/drawingml/2006/main">
              <a:graphicData uri="http://schemas.openxmlformats.org/drawingml/2006/picture">
                <pic:pic xmlns:pic="http://schemas.openxmlformats.org/drawingml/2006/picture">
                  <pic:nvPicPr>
                    <pic:cNvPr id="796" name="IM 796"/>
                    <pic:cNvPicPr/>
                  </pic:nvPicPr>
                  <pic:blipFill>
                    <a:blip r:embed="rId688"/>
                    <a:stretch>
                      <a:fillRect/>
                    </a:stretch>
                  </pic:blipFill>
                  <pic:spPr>
                    <a:xfrm>
                      <a:off x="0" y="0"/>
                      <a:ext cx="5079933" cy="292117"/>
                    </a:xfrm>
                    <a:prstGeom prst="rect">
                      <a:avLst/>
                    </a:prstGeom>
                  </pic:spPr>
                </pic:pic>
              </a:graphicData>
            </a:graphic>
          </wp:inline>
        </w:drawing>
      </w:r>
    </w:p>
    <w:p w14:paraId="143CAE08">
      <w:pPr>
        <w:pStyle w:val="2"/>
        <w:spacing w:before="88" w:line="222" w:lineRule="auto"/>
        <w:ind w:left="493"/>
        <w:rPr>
          <w:sz w:val="27"/>
          <w:szCs w:val="27"/>
        </w:rPr>
      </w:pPr>
      <w:r>
        <w:rPr>
          <w:b/>
          <w:bCs/>
          <w:spacing w:val="-6"/>
          <w:sz w:val="27"/>
          <w:szCs w:val="27"/>
        </w:rPr>
        <w:t>思考题</w:t>
      </w:r>
    </w:p>
    <w:p w14:paraId="4E9313BA">
      <w:pPr>
        <w:spacing w:before="85" w:line="219" w:lineRule="auto"/>
        <w:ind w:left="1309"/>
        <w:rPr>
          <w:rFonts w:ascii="宋体" w:hAnsi="宋体" w:eastAsia="宋体" w:cs="宋体"/>
          <w:sz w:val="21"/>
          <w:szCs w:val="21"/>
        </w:rPr>
      </w:pPr>
      <w:r>
        <w:rPr>
          <w:rFonts w:ascii="宋体" w:hAnsi="宋体" w:eastAsia="宋体" w:cs="宋体"/>
          <w:spacing w:val="-8"/>
          <w:sz w:val="21"/>
          <w:szCs w:val="21"/>
        </w:rPr>
        <w:t>1.</w:t>
      </w:r>
      <w:r>
        <w:rPr>
          <w:rFonts w:ascii="宋体" w:hAnsi="宋体" w:eastAsia="宋体" w:cs="宋体"/>
          <w:spacing w:val="-51"/>
          <w:sz w:val="21"/>
          <w:szCs w:val="21"/>
        </w:rPr>
        <w:t xml:space="preserve"> </w:t>
      </w:r>
      <w:r>
        <w:rPr>
          <w:rFonts w:ascii="宋体" w:hAnsi="宋体" w:eastAsia="宋体" w:cs="宋体"/>
          <w:spacing w:val="-8"/>
          <w:sz w:val="21"/>
          <w:szCs w:val="21"/>
        </w:rPr>
        <w:t>试比较甲型肝炎和戊型肝炎的传染源、传播途径和人群易感</w:t>
      </w:r>
      <w:r>
        <w:rPr>
          <w:rFonts w:ascii="宋体" w:hAnsi="宋体" w:eastAsia="宋体" w:cs="宋体"/>
          <w:spacing w:val="-9"/>
          <w:sz w:val="21"/>
          <w:szCs w:val="21"/>
        </w:rPr>
        <w:t>性。</w:t>
      </w:r>
    </w:p>
    <w:p w14:paraId="3F3B1BA2">
      <w:pPr>
        <w:spacing w:before="132" w:line="219" w:lineRule="auto"/>
        <w:ind w:left="1309"/>
        <w:rPr>
          <w:rFonts w:ascii="宋体" w:hAnsi="宋体" w:eastAsia="宋体" w:cs="宋体"/>
          <w:sz w:val="21"/>
          <w:szCs w:val="21"/>
        </w:rPr>
      </w:pPr>
      <w:r>
        <w:rPr>
          <w:rFonts w:ascii="宋体" w:hAnsi="宋体" w:eastAsia="宋体" w:cs="宋体"/>
          <w:spacing w:val="-5"/>
          <w:sz w:val="21"/>
          <w:szCs w:val="21"/>
        </w:rPr>
        <w:t>2.</w:t>
      </w:r>
      <w:r>
        <w:rPr>
          <w:rFonts w:ascii="宋体" w:hAnsi="宋体" w:eastAsia="宋体" w:cs="宋体"/>
          <w:spacing w:val="-37"/>
          <w:sz w:val="21"/>
          <w:szCs w:val="21"/>
        </w:rPr>
        <w:t xml:space="preserve"> </w:t>
      </w:r>
      <w:r>
        <w:rPr>
          <w:rFonts w:ascii="宋体" w:hAnsi="宋体" w:eastAsia="宋体" w:cs="宋体"/>
          <w:spacing w:val="-5"/>
          <w:sz w:val="21"/>
          <w:szCs w:val="21"/>
        </w:rPr>
        <w:t>试比较我国乙型肝炎和丙型肝炎的流行特征。</w:t>
      </w:r>
    </w:p>
    <w:p w14:paraId="372D073C">
      <w:pPr>
        <w:spacing w:before="110" w:line="219" w:lineRule="auto"/>
        <w:ind w:left="1309"/>
        <w:rPr>
          <w:rFonts w:ascii="宋体" w:hAnsi="宋体" w:eastAsia="宋体" w:cs="宋体"/>
          <w:sz w:val="21"/>
          <w:szCs w:val="21"/>
        </w:rPr>
      </w:pPr>
      <w:r>
        <w:rPr>
          <w:rFonts w:ascii="宋体" w:hAnsi="宋体" w:eastAsia="宋体" w:cs="宋体"/>
          <w:spacing w:val="-4"/>
          <w:sz w:val="21"/>
          <w:szCs w:val="21"/>
        </w:rPr>
        <w:t>3.</w:t>
      </w:r>
      <w:r>
        <w:rPr>
          <w:rFonts w:ascii="宋体" w:hAnsi="宋体" w:eastAsia="宋体" w:cs="宋体"/>
          <w:spacing w:val="-51"/>
          <w:sz w:val="21"/>
          <w:szCs w:val="21"/>
        </w:rPr>
        <w:t xml:space="preserve"> </w:t>
      </w:r>
      <w:r>
        <w:rPr>
          <w:rFonts w:ascii="宋体" w:hAnsi="宋体" w:eastAsia="宋体" w:cs="宋体"/>
          <w:spacing w:val="-4"/>
          <w:sz w:val="21"/>
          <w:szCs w:val="21"/>
        </w:rPr>
        <w:t>我国推荐对哪些人群进行戊型肝炎疫苗接种?</w:t>
      </w:r>
    </w:p>
    <w:p w14:paraId="43104C4F">
      <w:pPr>
        <w:spacing w:before="132" w:line="219" w:lineRule="auto"/>
        <w:ind w:left="1309"/>
        <w:rPr>
          <w:rFonts w:ascii="宋体" w:hAnsi="宋体" w:eastAsia="宋体" w:cs="宋体"/>
          <w:sz w:val="21"/>
          <w:szCs w:val="21"/>
        </w:rPr>
      </w:pPr>
      <w:r>
        <w:rPr>
          <w:rFonts w:ascii="宋体" w:hAnsi="宋体" w:eastAsia="宋体" w:cs="宋体"/>
          <w:spacing w:val="-2"/>
          <w:sz w:val="21"/>
          <w:szCs w:val="21"/>
        </w:rPr>
        <w:t>4.</w:t>
      </w:r>
      <w:r>
        <w:rPr>
          <w:rFonts w:ascii="宋体" w:hAnsi="宋体" w:eastAsia="宋体" w:cs="宋体"/>
          <w:spacing w:val="-58"/>
          <w:sz w:val="21"/>
          <w:szCs w:val="21"/>
        </w:rPr>
        <w:t xml:space="preserve"> </w:t>
      </w:r>
      <w:r>
        <w:rPr>
          <w:rFonts w:ascii="宋体" w:hAnsi="宋体" w:eastAsia="宋体" w:cs="宋体"/>
          <w:spacing w:val="-2"/>
          <w:sz w:val="21"/>
          <w:szCs w:val="21"/>
        </w:rPr>
        <w:t>为什么接种乙型肝炎疫苗是预防HDV  感</w:t>
      </w:r>
      <w:r>
        <w:rPr>
          <w:rFonts w:ascii="宋体" w:hAnsi="宋体" w:eastAsia="宋体" w:cs="宋体"/>
          <w:spacing w:val="-3"/>
          <w:sz w:val="21"/>
          <w:szCs w:val="21"/>
        </w:rPr>
        <w:t>染的重要方法?</w:t>
      </w:r>
    </w:p>
    <w:p w14:paraId="20E8B62F">
      <w:pPr>
        <w:spacing w:before="120" w:line="219" w:lineRule="auto"/>
        <w:ind w:left="1309"/>
        <w:rPr>
          <w:rFonts w:ascii="宋体" w:hAnsi="宋体" w:eastAsia="宋体" w:cs="宋体"/>
          <w:sz w:val="21"/>
          <w:szCs w:val="21"/>
        </w:rPr>
      </w:pPr>
      <w:r>
        <w:rPr>
          <w:rFonts w:ascii="宋体" w:hAnsi="宋体" w:eastAsia="宋体" w:cs="宋体"/>
          <w:spacing w:val="-5"/>
          <w:sz w:val="21"/>
          <w:szCs w:val="21"/>
        </w:rPr>
        <w:t>5.</w:t>
      </w:r>
      <w:r>
        <w:rPr>
          <w:rFonts w:ascii="宋体" w:hAnsi="宋体" w:eastAsia="宋体" w:cs="宋体"/>
          <w:spacing w:val="-53"/>
          <w:sz w:val="21"/>
          <w:szCs w:val="21"/>
        </w:rPr>
        <w:t xml:space="preserve"> </w:t>
      </w:r>
      <w:r>
        <w:rPr>
          <w:rFonts w:ascii="宋体" w:hAnsi="宋体" w:eastAsia="宋体" w:cs="宋体"/>
          <w:spacing w:val="-5"/>
          <w:sz w:val="21"/>
          <w:szCs w:val="21"/>
        </w:rPr>
        <w:t>试述消化道传播和非消化道传播的病毒性肝炎的</w:t>
      </w:r>
      <w:r>
        <w:rPr>
          <w:rFonts w:ascii="宋体" w:hAnsi="宋体" w:eastAsia="宋体" w:cs="宋体"/>
          <w:spacing w:val="-6"/>
          <w:sz w:val="21"/>
          <w:szCs w:val="21"/>
        </w:rPr>
        <w:t>预防策略和措施。</w:t>
      </w:r>
    </w:p>
    <w:p w14:paraId="55D8E451">
      <w:pPr>
        <w:spacing w:line="219" w:lineRule="auto"/>
        <w:rPr>
          <w:rFonts w:ascii="宋体" w:hAnsi="宋体" w:eastAsia="宋体" w:cs="宋体"/>
          <w:sz w:val="21"/>
          <w:szCs w:val="21"/>
        </w:rPr>
        <w:sectPr>
          <w:footerReference r:id="rId330" w:type="default"/>
          <w:pgSz w:w="11900" w:h="16820"/>
          <w:pgMar w:top="400" w:right="1029" w:bottom="846" w:left="1480" w:header="0" w:footer="657" w:gutter="0"/>
          <w:cols w:space="720" w:num="1"/>
        </w:sectPr>
      </w:pPr>
    </w:p>
    <w:p w14:paraId="46C0A303">
      <w:pPr>
        <w:spacing w:line="256" w:lineRule="auto"/>
        <w:rPr>
          <w:rFonts w:ascii="Arial"/>
          <w:sz w:val="21"/>
        </w:rPr>
      </w:pPr>
    </w:p>
    <w:p w14:paraId="75548D5A">
      <w:pPr>
        <w:spacing w:line="256" w:lineRule="auto"/>
        <w:rPr>
          <w:rFonts w:ascii="Arial"/>
          <w:sz w:val="21"/>
        </w:rPr>
      </w:pPr>
    </w:p>
    <w:p w14:paraId="4D9FE26A">
      <w:pPr>
        <w:spacing w:line="256" w:lineRule="auto"/>
        <w:rPr>
          <w:rFonts w:ascii="Arial"/>
          <w:sz w:val="21"/>
        </w:rPr>
      </w:pPr>
    </w:p>
    <w:p w14:paraId="0BA3F241">
      <w:pPr>
        <w:spacing w:line="256" w:lineRule="auto"/>
        <w:rPr>
          <w:rFonts w:ascii="Arial"/>
          <w:sz w:val="21"/>
        </w:rPr>
      </w:pPr>
    </w:p>
    <w:p w14:paraId="1DAAB680">
      <w:pPr>
        <w:pStyle w:val="2"/>
        <w:spacing w:before="95" w:line="244" w:lineRule="auto"/>
        <w:ind w:left="4466" w:right="3740" w:firstLine="97"/>
        <w:outlineLvl w:val="0"/>
        <w:rPr>
          <w:sz w:val="45"/>
          <w:szCs w:val="45"/>
        </w:rPr>
      </w:pPr>
      <w:r>
        <w:drawing>
          <wp:anchor distT="0" distB="0" distL="0" distR="0" simplePos="0" relativeHeight="251983872" behindDoc="0" locked="0" layoutInCell="1" allowOverlap="1">
            <wp:simplePos x="0" y="0"/>
            <wp:positionH relativeFrom="column">
              <wp:posOffset>418465</wp:posOffset>
            </wp:positionH>
            <wp:positionV relativeFrom="paragraph">
              <wp:posOffset>62230</wp:posOffset>
            </wp:positionV>
            <wp:extent cx="571500" cy="596900"/>
            <wp:effectExtent l="0" t="0" r="0" b="0"/>
            <wp:wrapNone/>
            <wp:docPr id="798" name="IM 798"/>
            <wp:cNvGraphicFramePr/>
            <a:graphic xmlns:a="http://schemas.openxmlformats.org/drawingml/2006/main">
              <a:graphicData uri="http://schemas.openxmlformats.org/drawingml/2006/picture">
                <pic:pic xmlns:pic="http://schemas.openxmlformats.org/drawingml/2006/picture">
                  <pic:nvPicPr>
                    <pic:cNvPr id="798" name="IM 798"/>
                    <pic:cNvPicPr/>
                  </pic:nvPicPr>
                  <pic:blipFill>
                    <a:blip r:embed="rId689"/>
                    <a:stretch>
                      <a:fillRect/>
                    </a:stretch>
                  </pic:blipFill>
                  <pic:spPr>
                    <a:xfrm>
                      <a:off x="0" y="0"/>
                      <a:ext cx="571498" cy="596944"/>
                    </a:xfrm>
                    <a:prstGeom prst="rect">
                      <a:avLst/>
                    </a:prstGeom>
                  </pic:spPr>
                </pic:pic>
              </a:graphicData>
            </a:graphic>
          </wp:anchor>
        </w:drawing>
      </w:r>
      <w:bookmarkStart w:id="507" w:name="bookmark318"/>
      <w:bookmarkEnd w:id="507"/>
      <w:r>
        <w:rPr>
          <w:b/>
          <w:bCs/>
          <w:sz w:val="29"/>
          <w:szCs w:val="29"/>
        </w:rPr>
        <w:t>第二十章</w:t>
      </w:r>
      <w:r>
        <w:rPr>
          <w:sz w:val="29"/>
          <w:szCs w:val="29"/>
        </w:rPr>
        <w:t xml:space="preserve"> </w:t>
      </w:r>
      <w:bookmarkStart w:id="508" w:name="bookmark318"/>
      <w:bookmarkEnd w:id="508"/>
      <w:r>
        <w:rPr>
          <w:b/>
          <w:bCs/>
          <w:spacing w:val="-10"/>
          <w:sz w:val="45"/>
          <w:szCs w:val="45"/>
        </w:rPr>
        <w:t>结核病</w:t>
      </w:r>
    </w:p>
    <w:p w14:paraId="253AB1EB">
      <w:pPr>
        <w:spacing w:before="116" w:line="450" w:lineRule="exact"/>
        <w:ind w:firstLine="219"/>
      </w:pPr>
      <w:r>
        <w:rPr>
          <w:position w:val="-8"/>
        </w:rPr>
        <w:drawing>
          <wp:inline distT="0" distB="0" distL="0" distR="0">
            <wp:extent cx="317500" cy="285115"/>
            <wp:effectExtent l="0" t="0" r="0" b="0"/>
            <wp:docPr id="800" name="IM 800"/>
            <wp:cNvGraphicFramePr/>
            <a:graphic xmlns:a="http://schemas.openxmlformats.org/drawingml/2006/main">
              <a:graphicData uri="http://schemas.openxmlformats.org/drawingml/2006/picture">
                <pic:pic xmlns:pic="http://schemas.openxmlformats.org/drawingml/2006/picture">
                  <pic:nvPicPr>
                    <pic:cNvPr id="800" name="IM 800"/>
                    <pic:cNvPicPr/>
                  </pic:nvPicPr>
                  <pic:blipFill>
                    <a:blip r:embed="rId690"/>
                    <a:stretch>
                      <a:fillRect/>
                    </a:stretch>
                  </pic:blipFill>
                  <pic:spPr>
                    <a:xfrm>
                      <a:off x="0" y="0"/>
                      <a:ext cx="317524" cy="285708"/>
                    </a:xfrm>
                    <a:prstGeom prst="rect">
                      <a:avLst/>
                    </a:prstGeom>
                  </pic:spPr>
                </pic:pic>
              </a:graphicData>
            </a:graphic>
          </wp:inline>
        </w:drawing>
      </w:r>
    </w:p>
    <w:p w14:paraId="242351DA">
      <w:pPr>
        <w:spacing w:before="289" w:line="198" w:lineRule="auto"/>
        <w:ind w:left="3449"/>
        <w:rPr>
          <w:rFonts w:ascii="Arial" w:hAnsi="Arial" w:eastAsia="Arial" w:cs="Arial"/>
          <w:sz w:val="29"/>
          <w:szCs w:val="29"/>
        </w:rPr>
      </w:pPr>
      <w:r>
        <w:rPr>
          <w:rFonts w:ascii="Arial" w:hAnsi="Arial" w:eastAsia="Arial" w:cs="Arial"/>
          <w:b/>
          <w:bCs/>
          <w:spacing w:val="-1"/>
          <w:sz w:val="29"/>
          <w:szCs w:val="29"/>
        </w:rPr>
        <w:t>Chapter 20 Tuberculosis</w:t>
      </w:r>
    </w:p>
    <w:p w14:paraId="326B0719">
      <w:pPr>
        <w:spacing w:line="441" w:lineRule="auto"/>
        <w:rPr>
          <w:rFonts w:ascii="Arial"/>
          <w:sz w:val="21"/>
        </w:rPr>
      </w:pPr>
    </w:p>
    <w:p w14:paraId="7446622A">
      <w:pPr>
        <w:spacing w:before="57" w:line="372" w:lineRule="auto"/>
        <w:ind w:left="679" w:firstLine="419"/>
        <w:jc w:val="both"/>
        <w:rPr>
          <w:rFonts w:ascii="Times New Roman" w:hAnsi="Times New Roman" w:eastAsia="Times New Roman" w:cs="Times New Roman"/>
          <w:sz w:val="20"/>
          <w:szCs w:val="20"/>
        </w:rPr>
      </w:pPr>
      <w:r>
        <w:rPr>
          <w:rFonts w:ascii="Times New Roman" w:hAnsi="Times New Roman" w:eastAsia="Times New Roman" w:cs="Times New Roman"/>
          <w:sz w:val="20"/>
          <w:szCs w:val="20"/>
        </w:rPr>
        <w:t>Tuberculosis   has   become   a   major   public</w:t>
      </w:r>
      <w:r>
        <w:rPr>
          <w:rFonts w:ascii="Times New Roman" w:hAnsi="Times New Roman" w:eastAsia="Times New Roman" w:cs="Times New Roman"/>
          <w:spacing w:val="2"/>
          <w:sz w:val="20"/>
          <w:szCs w:val="20"/>
        </w:rPr>
        <w:t xml:space="preserve">   </w:t>
      </w:r>
      <w:r>
        <w:rPr>
          <w:rFonts w:ascii="Times New Roman" w:hAnsi="Times New Roman" w:eastAsia="Times New Roman" w:cs="Times New Roman"/>
          <w:sz w:val="20"/>
          <w:szCs w:val="20"/>
        </w:rPr>
        <w:t>health   problem</w:t>
      </w:r>
      <w:r>
        <w:rPr>
          <w:rFonts w:ascii="Times New Roman" w:hAnsi="Times New Roman" w:eastAsia="Times New Roman" w:cs="Times New Roman"/>
          <w:spacing w:val="4"/>
          <w:sz w:val="20"/>
          <w:szCs w:val="20"/>
        </w:rPr>
        <w:t xml:space="preserve">   </w:t>
      </w:r>
      <w:r>
        <w:rPr>
          <w:rFonts w:ascii="Times New Roman" w:hAnsi="Times New Roman" w:eastAsia="Times New Roman" w:cs="Times New Roman"/>
          <w:sz w:val="20"/>
          <w:szCs w:val="20"/>
        </w:rPr>
        <w:t>globally.In    1993</w:t>
      </w:r>
      <w:r>
        <w:rPr>
          <w:rFonts w:ascii="Times New Roman" w:hAnsi="Times New Roman" w:eastAsia="Times New Roman" w:cs="Times New Roman"/>
          <w:spacing w:val="-1"/>
          <w:sz w:val="20"/>
          <w:szCs w:val="20"/>
        </w:rPr>
        <w:t>,the   World   Health</w:t>
      </w:r>
      <w:r>
        <w:rPr>
          <w:rFonts w:ascii="Times New Roman" w:hAnsi="Times New Roman" w:eastAsia="Times New Roman" w:cs="Times New Roman"/>
          <w:sz w:val="20"/>
          <w:szCs w:val="20"/>
        </w:rPr>
        <w:t xml:space="preserve"> Organization</w:t>
      </w:r>
      <w:r>
        <w:rPr>
          <w:rFonts w:ascii="Times New Roman" w:hAnsi="Times New Roman" w:eastAsia="Times New Roman" w:cs="Times New Roman"/>
          <w:spacing w:val="37"/>
          <w:w w:val="101"/>
          <w:sz w:val="20"/>
          <w:szCs w:val="20"/>
        </w:rPr>
        <w:t xml:space="preserve"> </w:t>
      </w:r>
      <w:r>
        <w:rPr>
          <w:rFonts w:ascii="Times New Roman" w:hAnsi="Times New Roman" w:eastAsia="Times New Roman" w:cs="Times New Roman"/>
          <w:sz w:val="20"/>
          <w:szCs w:val="20"/>
        </w:rPr>
        <w:t>declared</w:t>
      </w:r>
      <w:r>
        <w:rPr>
          <w:rFonts w:ascii="Times New Roman" w:hAnsi="Times New Roman" w:eastAsia="Times New Roman" w:cs="Times New Roman"/>
          <w:spacing w:val="37"/>
          <w:w w:val="101"/>
          <w:sz w:val="20"/>
          <w:szCs w:val="20"/>
        </w:rPr>
        <w:t xml:space="preserve"> </w:t>
      </w:r>
      <w:r>
        <w:rPr>
          <w:rFonts w:ascii="Times New Roman" w:hAnsi="Times New Roman" w:eastAsia="Times New Roman" w:cs="Times New Roman"/>
          <w:sz w:val="20"/>
          <w:szCs w:val="20"/>
        </w:rPr>
        <w:t>a</w:t>
      </w:r>
      <w:r>
        <w:rPr>
          <w:rFonts w:ascii="Times New Roman" w:hAnsi="Times New Roman" w:eastAsia="Times New Roman" w:cs="Times New Roman"/>
          <w:spacing w:val="36"/>
          <w:w w:val="101"/>
          <w:sz w:val="20"/>
          <w:szCs w:val="20"/>
        </w:rPr>
        <w:t xml:space="preserve"> </w:t>
      </w:r>
      <w:r>
        <w:rPr>
          <w:rFonts w:ascii="Times New Roman" w:hAnsi="Times New Roman" w:eastAsia="Times New Roman" w:cs="Times New Roman"/>
          <w:sz w:val="20"/>
          <w:szCs w:val="20"/>
        </w:rPr>
        <w:t>globa</w:t>
      </w:r>
      <w:r>
        <w:rPr>
          <w:rFonts w:ascii="Times New Roman" w:hAnsi="Times New Roman" w:eastAsia="Times New Roman" w:cs="Times New Roman"/>
          <w:spacing w:val="-1"/>
          <w:sz w:val="20"/>
          <w:szCs w:val="20"/>
        </w:rPr>
        <w:t>l</w:t>
      </w:r>
      <w:r>
        <w:rPr>
          <w:rFonts w:ascii="Times New Roman" w:hAnsi="Times New Roman" w:eastAsia="Times New Roman" w:cs="Times New Roman"/>
          <w:spacing w:val="38"/>
          <w:sz w:val="20"/>
          <w:szCs w:val="20"/>
        </w:rPr>
        <w:t xml:space="preserve"> </w:t>
      </w:r>
      <w:r>
        <w:rPr>
          <w:rFonts w:ascii="Times New Roman" w:hAnsi="Times New Roman" w:eastAsia="Times New Roman" w:cs="Times New Roman"/>
          <w:spacing w:val="-1"/>
          <w:sz w:val="20"/>
          <w:szCs w:val="20"/>
        </w:rPr>
        <w:t>emergency</w:t>
      </w:r>
      <w:r>
        <w:rPr>
          <w:rFonts w:ascii="Times New Roman" w:hAnsi="Times New Roman" w:eastAsia="Times New Roman" w:cs="Times New Roman"/>
          <w:spacing w:val="37"/>
          <w:w w:val="101"/>
          <w:sz w:val="20"/>
          <w:szCs w:val="20"/>
        </w:rPr>
        <w:t xml:space="preserve"> </w:t>
      </w:r>
      <w:r>
        <w:rPr>
          <w:rFonts w:ascii="Times New Roman" w:hAnsi="Times New Roman" w:eastAsia="Times New Roman" w:cs="Times New Roman"/>
          <w:spacing w:val="-1"/>
          <w:sz w:val="20"/>
          <w:szCs w:val="20"/>
        </w:rPr>
        <w:t>of</w:t>
      </w:r>
      <w:r>
        <w:rPr>
          <w:rFonts w:ascii="Times New Roman" w:hAnsi="Times New Roman" w:eastAsia="Times New Roman" w:cs="Times New Roman"/>
          <w:spacing w:val="12"/>
          <w:w w:val="101"/>
          <w:sz w:val="20"/>
          <w:szCs w:val="20"/>
        </w:rPr>
        <w:t xml:space="preserve"> </w:t>
      </w:r>
      <w:r>
        <w:rPr>
          <w:rFonts w:ascii="Times New Roman" w:hAnsi="Times New Roman" w:eastAsia="Times New Roman" w:cs="Times New Roman"/>
          <w:spacing w:val="-1"/>
          <w:sz w:val="20"/>
          <w:szCs w:val="20"/>
        </w:rPr>
        <w:t>tuberculosis.Currently,tuberculosis</w:t>
      </w:r>
      <w:r>
        <w:rPr>
          <w:rFonts w:ascii="Times New Roman" w:hAnsi="Times New Roman" w:eastAsia="Times New Roman" w:cs="Times New Roman"/>
          <w:spacing w:val="40"/>
          <w:w w:val="101"/>
          <w:sz w:val="20"/>
          <w:szCs w:val="20"/>
        </w:rPr>
        <w:t xml:space="preserve"> </w:t>
      </w:r>
      <w:r>
        <w:rPr>
          <w:rFonts w:ascii="Times New Roman" w:hAnsi="Times New Roman" w:eastAsia="Times New Roman" w:cs="Times New Roman"/>
          <w:spacing w:val="-1"/>
          <w:sz w:val="20"/>
          <w:szCs w:val="20"/>
        </w:rPr>
        <w:t>still</w:t>
      </w:r>
      <w:r>
        <w:rPr>
          <w:rFonts w:ascii="Times New Roman" w:hAnsi="Times New Roman" w:eastAsia="Times New Roman" w:cs="Times New Roman"/>
          <w:spacing w:val="37"/>
          <w:w w:val="101"/>
          <w:sz w:val="20"/>
          <w:szCs w:val="20"/>
        </w:rPr>
        <w:t xml:space="preserve"> </w:t>
      </w:r>
      <w:r>
        <w:rPr>
          <w:rFonts w:ascii="Times New Roman" w:hAnsi="Times New Roman" w:eastAsia="Times New Roman" w:cs="Times New Roman"/>
          <w:spacing w:val="-1"/>
          <w:sz w:val="20"/>
          <w:szCs w:val="20"/>
        </w:rPr>
        <w:t>causes</w:t>
      </w:r>
      <w:r>
        <w:rPr>
          <w:rFonts w:ascii="Times New Roman" w:hAnsi="Times New Roman" w:eastAsia="Times New Roman" w:cs="Times New Roman"/>
          <w:spacing w:val="32"/>
          <w:sz w:val="20"/>
          <w:szCs w:val="20"/>
        </w:rPr>
        <w:t xml:space="preserve"> </w:t>
      </w:r>
      <w:r>
        <w:rPr>
          <w:rFonts w:ascii="Times New Roman" w:hAnsi="Times New Roman" w:eastAsia="Times New Roman" w:cs="Times New Roman"/>
          <w:spacing w:val="-1"/>
          <w:sz w:val="20"/>
          <w:szCs w:val="20"/>
        </w:rPr>
        <w:t>more</w:t>
      </w:r>
      <w:r>
        <w:rPr>
          <w:rFonts w:ascii="Times New Roman" w:hAnsi="Times New Roman" w:eastAsia="Times New Roman" w:cs="Times New Roman"/>
          <w:spacing w:val="33"/>
          <w:sz w:val="20"/>
          <w:szCs w:val="20"/>
        </w:rPr>
        <w:t xml:space="preserve"> </w:t>
      </w:r>
      <w:r>
        <w:rPr>
          <w:rFonts w:ascii="Times New Roman" w:hAnsi="Times New Roman" w:eastAsia="Times New Roman" w:cs="Times New Roman"/>
          <w:spacing w:val="-1"/>
          <w:sz w:val="20"/>
          <w:szCs w:val="20"/>
        </w:rPr>
        <w:t>than  1.5</w:t>
      </w:r>
      <w:r>
        <w:rPr>
          <w:rFonts w:ascii="Times New Roman" w:hAnsi="Times New Roman" w:eastAsia="Times New Roman" w:cs="Times New Roman"/>
          <w:sz w:val="20"/>
          <w:szCs w:val="20"/>
        </w:rPr>
        <w:t xml:space="preserve"> million</w:t>
      </w:r>
      <w:r>
        <w:rPr>
          <w:rFonts w:ascii="Times New Roman" w:hAnsi="Times New Roman" w:eastAsia="Times New Roman" w:cs="Times New Roman"/>
          <w:spacing w:val="44"/>
          <w:sz w:val="20"/>
          <w:szCs w:val="20"/>
        </w:rPr>
        <w:t xml:space="preserve"> </w:t>
      </w:r>
      <w:r>
        <w:rPr>
          <w:rFonts w:ascii="Times New Roman" w:hAnsi="Times New Roman" w:eastAsia="Times New Roman" w:cs="Times New Roman"/>
          <w:sz w:val="20"/>
          <w:szCs w:val="20"/>
        </w:rPr>
        <w:t>deaths</w:t>
      </w:r>
      <w:r>
        <w:rPr>
          <w:rFonts w:ascii="Times New Roman" w:hAnsi="Times New Roman" w:eastAsia="Times New Roman" w:cs="Times New Roman"/>
          <w:spacing w:val="37"/>
          <w:sz w:val="20"/>
          <w:szCs w:val="20"/>
        </w:rPr>
        <w:t xml:space="preserve"> </w:t>
      </w:r>
      <w:r>
        <w:rPr>
          <w:rFonts w:ascii="Times New Roman" w:hAnsi="Times New Roman" w:eastAsia="Times New Roman" w:cs="Times New Roman"/>
          <w:sz w:val="20"/>
          <w:szCs w:val="20"/>
        </w:rPr>
        <w:t>per</w:t>
      </w:r>
      <w:r>
        <w:rPr>
          <w:rFonts w:ascii="Times New Roman" w:hAnsi="Times New Roman" w:eastAsia="Times New Roman" w:cs="Times New Roman"/>
          <w:spacing w:val="37"/>
          <w:w w:val="101"/>
          <w:sz w:val="20"/>
          <w:szCs w:val="20"/>
        </w:rPr>
        <w:t xml:space="preserve"> </w:t>
      </w:r>
      <w:r>
        <w:rPr>
          <w:rFonts w:ascii="Times New Roman" w:hAnsi="Times New Roman" w:eastAsia="Times New Roman" w:cs="Times New Roman"/>
          <w:sz w:val="20"/>
          <w:szCs w:val="20"/>
        </w:rPr>
        <w:t>year</w:t>
      </w:r>
      <w:r>
        <w:rPr>
          <w:rFonts w:ascii="Times New Roman" w:hAnsi="Times New Roman" w:eastAsia="Times New Roman" w:cs="Times New Roman"/>
          <w:spacing w:val="37"/>
          <w:w w:val="101"/>
          <w:sz w:val="20"/>
          <w:szCs w:val="20"/>
        </w:rPr>
        <w:t xml:space="preserve"> </w:t>
      </w:r>
      <w:r>
        <w:rPr>
          <w:rFonts w:ascii="Times New Roman" w:hAnsi="Times New Roman" w:eastAsia="Times New Roman" w:cs="Times New Roman"/>
          <w:sz w:val="20"/>
          <w:szCs w:val="20"/>
        </w:rPr>
        <w:t>worldwide,even</w:t>
      </w:r>
      <w:r>
        <w:rPr>
          <w:rFonts w:ascii="Times New Roman" w:hAnsi="Times New Roman" w:eastAsia="Times New Roman" w:cs="Times New Roman"/>
          <w:spacing w:val="39"/>
          <w:w w:val="101"/>
          <w:sz w:val="20"/>
          <w:szCs w:val="20"/>
        </w:rPr>
        <w:t xml:space="preserve"> </w:t>
      </w:r>
      <w:r>
        <w:rPr>
          <w:rFonts w:ascii="Times New Roman" w:hAnsi="Times New Roman" w:eastAsia="Times New Roman" w:cs="Times New Roman"/>
          <w:sz w:val="20"/>
          <w:szCs w:val="20"/>
        </w:rPr>
        <w:t>tho</w:t>
      </w:r>
      <w:r>
        <w:rPr>
          <w:rFonts w:ascii="Times New Roman" w:hAnsi="Times New Roman" w:eastAsia="Times New Roman" w:cs="Times New Roman"/>
          <w:spacing w:val="-1"/>
          <w:sz w:val="20"/>
          <w:szCs w:val="20"/>
        </w:rPr>
        <w:t>ugh</w:t>
      </w:r>
      <w:r>
        <w:rPr>
          <w:rFonts w:ascii="Times New Roman" w:hAnsi="Times New Roman" w:eastAsia="Times New Roman" w:cs="Times New Roman"/>
          <w:spacing w:val="44"/>
          <w:w w:val="101"/>
          <w:sz w:val="20"/>
          <w:szCs w:val="20"/>
        </w:rPr>
        <w:t xml:space="preserve"> </w:t>
      </w:r>
      <w:r>
        <w:rPr>
          <w:rFonts w:ascii="Times New Roman" w:hAnsi="Times New Roman" w:eastAsia="Times New Roman" w:cs="Times New Roman"/>
          <w:spacing w:val="-1"/>
          <w:sz w:val="20"/>
          <w:szCs w:val="20"/>
        </w:rPr>
        <w:t>effective</w:t>
      </w:r>
      <w:r>
        <w:rPr>
          <w:rFonts w:ascii="Times New Roman" w:hAnsi="Times New Roman" w:eastAsia="Times New Roman" w:cs="Times New Roman"/>
          <w:spacing w:val="44"/>
          <w:w w:val="101"/>
          <w:sz w:val="20"/>
          <w:szCs w:val="20"/>
        </w:rPr>
        <w:t xml:space="preserve"> </w:t>
      </w:r>
      <w:r>
        <w:rPr>
          <w:rFonts w:ascii="Times New Roman" w:hAnsi="Times New Roman" w:eastAsia="Times New Roman" w:cs="Times New Roman"/>
          <w:spacing w:val="-1"/>
          <w:sz w:val="20"/>
          <w:szCs w:val="20"/>
        </w:rPr>
        <w:t>chemotherapy</w:t>
      </w:r>
      <w:r>
        <w:rPr>
          <w:rFonts w:ascii="Times New Roman" w:hAnsi="Times New Roman" w:eastAsia="Times New Roman" w:cs="Times New Roman"/>
          <w:spacing w:val="38"/>
          <w:w w:val="101"/>
          <w:sz w:val="20"/>
          <w:szCs w:val="20"/>
        </w:rPr>
        <w:t xml:space="preserve"> </w:t>
      </w:r>
      <w:r>
        <w:rPr>
          <w:rFonts w:ascii="Times New Roman" w:hAnsi="Times New Roman" w:eastAsia="Times New Roman" w:cs="Times New Roman"/>
          <w:spacing w:val="-1"/>
          <w:sz w:val="20"/>
          <w:szCs w:val="20"/>
        </w:rPr>
        <w:t>has</w:t>
      </w:r>
      <w:r>
        <w:rPr>
          <w:rFonts w:ascii="Times New Roman" w:hAnsi="Times New Roman" w:eastAsia="Times New Roman" w:cs="Times New Roman"/>
          <w:spacing w:val="37"/>
          <w:sz w:val="20"/>
          <w:szCs w:val="20"/>
        </w:rPr>
        <w:t xml:space="preserve"> </w:t>
      </w:r>
      <w:r>
        <w:rPr>
          <w:rFonts w:ascii="Times New Roman" w:hAnsi="Times New Roman" w:eastAsia="Times New Roman" w:cs="Times New Roman"/>
          <w:spacing w:val="-1"/>
          <w:sz w:val="20"/>
          <w:szCs w:val="20"/>
        </w:rPr>
        <w:t>been</w:t>
      </w:r>
      <w:r>
        <w:rPr>
          <w:rFonts w:ascii="Times New Roman" w:hAnsi="Times New Roman" w:eastAsia="Times New Roman" w:cs="Times New Roman"/>
          <w:spacing w:val="44"/>
          <w:w w:val="101"/>
          <w:sz w:val="20"/>
          <w:szCs w:val="20"/>
        </w:rPr>
        <w:t xml:space="preserve"> </w:t>
      </w:r>
      <w:r>
        <w:rPr>
          <w:rFonts w:ascii="Times New Roman" w:hAnsi="Times New Roman" w:eastAsia="Times New Roman" w:cs="Times New Roman"/>
          <w:spacing w:val="-1"/>
          <w:sz w:val="20"/>
          <w:szCs w:val="20"/>
        </w:rPr>
        <w:t>available</w:t>
      </w:r>
      <w:r>
        <w:rPr>
          <w:rFonts w:ascii="Times New Roman" w:hAnsi="Times New Roman" w:eastAsia="Times New Roman" w:cs="Times New Roman"/>
          <w:spacing w:val="45"/>
          <w:w w:val="101"/>
          <w:sz w:val="20"/>
          <w:szCs w:val="20"/>
        </w:rPr>
        <w:t xml:space="preserve"> </w:t>
      </w:r>
      <w:r>
        <w:rPr>
          <w:rFonts w:ascii="Times New Roman" w:hAnsi="Times New Roman" w:eastAsia="Times New Roman" w:cs="Times New Roman"/>
          <w:spacing w:val="-1"/>
          <w:sz w:val="20"/>
          <w:szCs w:val="20"/>
        </w:rPr>
        <w:t>for</w:t>
      </w:r>
      <w:r>
        <w:rPr>
          <w:rFonts w:ascii="Times New Roman" w:hAnsi="Times New Roman" w:eastAsia="Times New Roman" w:cs="Times New Roman"/>
          <w:spacing w:val="38"/>
          <w:sz w:val="20"/>
          <w:szCs w:val="20"/>
        </w:rPr>
        <w:t xml:space="preserve"> </w:t>
      </w:r>
      <w:r>
        <w:rPr>
          <w:rFonts w:ascii="Times New Roman" w:hAnsi="Times New Roman" w:eastAsia="Times New Roman" w:cs="Times New Roman"/>
          <w:spacing w:val="-1"/>
          <w:sz w:val="20"/>
          <w:szCs w:val="20"/>
        </w:rPr>
        <w:t>more</w:t>
      </w:r>
      <w:r>
        <w:rPr>
          <w:rFonts w:ascii="Times New Roman" w:hAnsi="Times New Roman" w:eastAsia="Times New Roman" w:cs="Times New Roman"/>
          <w:spacing w:val="39"/>
          <w:sz w:val="20"/>
          <w:szCs w:val="20"/>
        </w:rPr>
        <w:t xml:space="preserve"> </w:t>
      </w:r>
      <w:r>
        <w:rPr>
          <w:rFonts w:ascii="Times New Roman" w:hAnsi="Times New Roman" w:eastAsia="Times New Roman" w:cs="Times New Roman"/>
          <w:spacing w:val="-1"/>
          <w:sz w:val="20"/>
          <w:szCs w:val="20"/>
        </w:rPr>
        <w:t>than</w:t>
      </w:r>
      <w:r>
        <w:rPr>
          <w:rFonts w:ascii="Times New Roman" w:hAnsi="Times New Roman" w:eastAsia="Times New Roman" w:cs="Times New Roman"/>
          <w:sz w:val="20"/>
          <w:szCs w:val="20"/>
        </w:rPr>
        <w:t xml:space="preserve"> 60</w:t>
      </w:r>
      <w:r>
        <w:rPr>
          <w:rFonts w:ascii="Times New Roman" w:hAnsi="Times New Roman" w:eastAsia="Times New Roman" w:cs="Times New Roman"/>
          <w:spacing w:val="37"/>
          <w:w w:val="101"/>
          <w:sz w:val="20"/>
          <w:szCs w:val="20"/>
        </w:rPr>
        <w:t xml:space="preserve"> </w:t>
      </w:r>
      <w:r>
        <w:rPr>
          <w:rFonts w:ascii="Times New Roman" w:hAnsi="Times New Roman" w:eastAsia="Times New Roman" w:cs="Times New Roman"/>
          <w:sz w:val="20"/>
          <w:szCs w:val="20"/>
        </w:rPr>
        <w:t>years.China</w:t>
      </w:r>
      <w:r>
        <w:rPr>
          <w:rFonts w:ascii="Times New Roman" w:hAnsi="Times New Roman" w:eastAsia="Times New Roman" w:cs="Times New Roman"/>
          <w:spacing w:val="37"/>
          <w:sz w:val="20"/>
          <w:szCs w:val="20"/>
        </w:rPr>
        <w:t xml:space="preserve"> </w:t>
      </w:r>
      <w:r>
        <w:rPr>
          <w:rFonts w:ascii="Times New Roman" w:hAnsi="Times New Roman" w:eastAsia="Times New Roman" w:cs="Times New Roman"/>
          <w:sz w:val="20"/>
          <w:szCs w:val="20"/>
        </w:rPr>
        <w:t>has</w:t>
      </w:r>
      <w:r>
        <w:rPr>
          <w:rFonts w:ascii="Times New Roman" w:hAnsi="Times New Roman" w:eastAsia="Times New Roman" w:cs="Times New Roman"/>
          <w:spacing w:val="37"/>
          <w:w w:val="101"/>
          <w:sz w:val="20"/>
          <w:szCs w:val="20"/>
        </w:rPr>
        <w:t xml:space="preserve"> </w:t>
      </w:r>
      <w:r>
        <w:rPr>
          <w:rFonts w:ascii="Times New Roman" w:hAnsi="Times New Roman" w:eastAsia="Times New Roman" w:cs="Times New Roman"/>
          <w:sz w:val="20"/>
          <w:szCs w:val="20"/>
        </w:rPr>
        <w:t>the</w:t>
      </w:r>
      <w:r>
        <w:rPr>
          <w:rFonts w:ascii="Times New Roman" w:hAnsi="Times New Roman" w:eastAsia="Times New Roman" w:cs="Times New Roman"/>
          <w:spacing w:val="38"/>
          <w:sz w:val="20"/>
          <w:szCs w:val="20"/>
        </w:rPr>
        <w:t xml:space="preserve"> </w:t>
      </w:r>
      <w:r>
        <w:rPr>
          <w:rFonts w:ascii="Times New Roman" w:hAnsi="Times New Roman" w:eastAsia="Times New Roman" w:cs="Times New Roman"/>
          <w:sz w:val="20"/>
          <w:szCs w:val="20"/>
        </w:rPr>
        <w:t>third</w:t>
      </w:r>
      <w:r>
        <w:rPr>
          <w:rFonts w:ascii="Times New Roman" w:hAnsi="Times New Roman" w:eastAsia="Times New Roman" w:cs="Times New Roman"/>
          <w:spacing w:val="36"/>
          <w:w w:val="101"/>
          <w:sz w:val="20"/>
          <w:szCs w:val="20"/>
        </w:rPr>
        <w:t xml:space="preserve"> </w:t>
      </w:r>
      <w:r>
        <w:rPr>
          <w:rFonts w:ascii="Times New Roman" w:hAnsi="Times New Roman" w:eastAsia="Times New Roman" w:cs="Times New Roman"/>
          <w:sz w:val="20"/>
          <w:szCs w:val="20"/>
        </w:rPr>
        <w:t>highest</w:t>
      </w:r>
      <w:r>
        <w:rPr>
          <w:rFonts w:ascii="Times New Roman" w:hAnsi="Times New Roman" w:eastAsia="Times New Roman" w:cs="Times New Roman"/>
          <w:spacing w:val="37"/>
          <w:sz w:val="20"/>
          <w:szCs w:val="20"/>
        </w:rPr>
        <w:t xml:space="preserve"> </w:t>
      </w:r>
      <w:r>
        <w:rPr>
          <w:rFonts w:ascii="Times New Roman" w:hAnsi="Times New Roman" w:eastAsia="Times New Roman" w:cs="Times New Roman"/>
          <w:sz w:val="20"/>
          <w:szCs w:val="20"/>
        </w:rPr>
        <w:t>tuberculosis</w:t>
      </w:r>
      <w:r>
        <w:rPr>
          <w:rFonts w:ascii="Times New Roman" w:hAnsi="Times New Roman" w:eastAsia="Times New Roman" w:cs="Times New Roman"/>
          <w:spacing w:val="35"/>
          <w:w w:val="101"/>
          <w:sz w:val="20"/>
          <w:szCs w:val="20"/>
        </w:rPr>
        <w:t xml:space="preserve"> </w:t>
      </w:r>
      <w:r>
        <w:rPr>
          <w:rFonts w:ascii="Times New Roman" w:hAnsi="Times New Roman" w:eastAsia="Times New Roman" w:cs="Times New Roman"/>
          <w:sz w:val="20"/>
          <w:szCs w:val="20"/>
        </w:rPr>
        <w:t>burde</w:t>
      </w:r>
      <w:r>
        <w:rPr>
          <w:rFonts w:ascii="Times New Roman" w:hAnsi="Times New Roman" w:eastAsia="Times New Roman" w:cs="Times New Roman"/>
          <w:spacing w:val="-1"/>
          <w:sz w:val="20"/>
          <w:szCs w:val="20"/>
        </w:rPr>
        <w:t>n</w:t>
      </w:r>
      <w:r>
        <w:rPr>
          <w:rFonts w:ascii="Times New Roman" w:hAnsi="Times New Roman" w:eastAsia="Times New Roman" w:cs="Times New Roman"/>
          <w:spacing w:val="42"/>
          <w:sz w:val="20"/>
          <w:szCs w:val="20"/>
        </w:rPr>
        <w:t xml:space="preserve"> </w:t>
      </w:r>
      <w:r>
        <w:rPr>
          <w:rFonts w:ascii="Times New Roman" w:hAnsi="Times New Roman" w:eastAsia="Times New Roman" w:cs="Times New Roman"/>
          <w:spacing w:val="-1"/>
          <w:sz w:val="20"/>
          <w:szCs w:val="20"/>
        </w:rPr>
        <w:t>in</w:t>
      </w:r>
      <w:r>
        <w:rPr>
          <w:rFonts w:ascii="Times New Roman" w:hAnsi="Times New Roman" w:eastAsia="Times New Roman" w:cs="Times New Roman"/>
          <w:spacing w:val="37"/>
          <w:w w:val="101"/>
          <w:sz w:val="20"/>
          <w:szCs w:val="20"/>
        </w:rPr>
        <w:t xml:space="preserve"> </w:t>
      </w:r>
      <w:r>
        <w:rPr>
          <w:rFonts w:ascii="Times New Roman" w:hAnsi="Times New Roman" w:eastAsia="Times New Roman" w:cs="Times New Roman"/>
          <w:spacing w:val="-1"/>
          <w:sz w:val="20"/>
          <w:szCs w:val="20"/>
        </w:rPr>
        <w:t>the</w:t>
      </w:r>
      <w:r>
        <w:rPr>
          <w:rFonts w:ascii="Times New Roman" w:hAnsi="Times New Roman" w:eastAsia="Times New Roman" w:cs="Times New Roman"/>
          <w:spacing w:val="37"/>
          <w:sz w:val="20"/>
          <w:szCs w:val="20"/>
        </w:rPr>
        <w:t xml:space="preserve"> </w:t>
      </w:r>
      <w:r>
        <w:rPr>
          <w:rFonts w:ascii="Times New Roman" w:hAnsi="Times New Roman" w:eastAsia="Times New Roman" w:cs="Times New Roman"/>
          <w:spacing w:val="-1"/>
          <w:sz w:val="20"/>
          <w:szCs w:val="20"/>
        </w:rPr>
        <w:t>world.Tuberculosis</w:t>
      </w:r>
      <w:r>
        <w:rPr>
          <w:rFonts w:ascii="Times New Roman" w:hAnsi="Times New Roman" w:eastAsia="Times New Roman" w:cs="Times New Roman"/>
          <w:spacing w:val="41"/>
          <w:w w:val="101"/>
          <w:sz w:val="20"/>
          <w:szCs w:val="20"/>
        </w:rPr>
        <w:t xml:space="preserve"> </w:t>
      </w:r>
      <w:r>
        <w:rPr>
          <w:rFonts w:ascii="Times New Roman" w:hAnsi="Times New Roman" w:eastAsia="Times New Roman" w:cs="Times New Roman"/>
          <w:spacing w:val="-1"/>
          <w:sz w:val="20"/>
          <w:szCs w:val="20"/>
        </w:rPr>
        <w:t>is</w:t>
      </w:r>
      <w:r>
        <w:rPr>
          <w:rFonts w:ascii="Times New Roman" w:hAnsi="Times New Roman" w:eastAsia="Times New Roman" w:cs="Times New Roman"/>
          <w:spacing w:val="42"/>
          <w:w w:val="101"/>
          <w:sz w:val="20"/>
          <w:szCs w:val="20"/>
        </w:rPr>
        <w:t xml:space="preserve"> </w:t>
      </w:r>
      <w:r>
        <w:rPr>
          <w:rFonts w:ascii="Times New Roman" w:hAnsi="Times New Roman" w:eastAsia="Times New Roman" w:cs="Times New Roman"/>
          <w:spacing w:val="-1"/>
          <w:sz w:val="20"/>
          <w:szCs w:val="20"/>
        </w:rPr>
        <w:t>one</w:t>
      </w:r>
      <w:r>
        <w:rPr>
          <w:rFonts w:ascii="Times New Roman" w:hAnsi="Times New Roman" w:eastAsia="Times New Roman" w:cs="Times New Roman"/>
          <w:spacing w:val="42"/>
          <w:w w:val="101"/>
          <w:sz w:val="20"/>
          <w:szCs w:val="20"/>
        </w:rPr>
        <w:t xml:space="preserve"> </w:t>
      </w:r>
      <w:r>
        <w:rPr>
          <w:rFonts w:ascii="Times New Roman" w:hAnsi="Times New Roman" w:eastAsia="Times New Roman" w:cs="Times New Roman"/>
          <w:spacing w:val="-1"/>
          <w:sz w:val="20"/>
          <w:szCs w:val="20"/>
        </w:rPr>
        <w:t>of</w:t>
      </w:r>
      <w:r>
        <w:rPr>
          <w:rFonts w:ascii="Times New Roman" w:hAnsi="Times New Roman" w:eastAsia="Times New Roman" w:cs="Times New Roman"/>
          <w:spacing w:val="17"/>
          <w:w w:val="101"/>
          <w:sz w:val="20"/>
          <w:szCs w:val="20"/>
        </w:rPr>
        <w:t xml:space="preserve"> </w:t>
      </w:r>
      <w:r>
        <w:rPr>
          <w:rFonts w:ascii="Times New Roman" w:hAnsi="Times New Roman" w:eastAsia="Times New Roman" w:cs="Times New Roman"/>
          <w:spacing w:val="-1"/>
          <w:sz w:val="20"/>
          <w:szCs w:val="20"/>
        </w:rPr>
        <w:t>the</w:t>
      </w:r>
      <w:r>
        <w:rPr>
          <w:rFonts w:ascii="Times New Roman" w:hAnsi="Times New Roman" w:eastAsia="Times New Roman" w:cs="Times New Roman"/>
          <w:spacing w:val="42"/>
          <w:sz w:val="20"/>
          <w:szCs w:val="20"/>
        </w:rPr>
        <w:t xml:space="preserve"> </w:t>
      </w:r>
      <w:r>
        <w:rPr>
          <w:rFonts w:ascii="Times New Roman" w:hAnsi="Times New Roman" w:eastAsia="Times New Roman" w:cs="Times New Roman"/>
          <w:spacing w:val="-1"/>
          <w:sz w:val="20"/>
          <w:szCs w:val="20"/>
        </w:rPr>
        <w:t>diseases</w:t>
      </w:r>
      <w:r>
        <w:rPr>
          <w:rFonts w:ascii="Times New Roman" w:hAnsi="Times New Roman" w:eastAsia="Times New Roman" w:cs="Times New Roman"/>
          <w:sz w:val="20"/>
          <w:szCs w:val="20"/>
        </w:rPr>
        <w:t xml:space="preserve"> </w:t>
      </w:r>
      <w:r>
        <w:rPr>
          <w:rFonts w:ascii="Times New Roman" w:hAnsi="Times New Roman" w:eastAsia="Times New Roman" w:cs="Times New Roman"/>
          <w:i/>
          <w:iCs/>
          <w:sz w:val="20"/>
          <w:szCs w:val="20"/>
        </w:rPr>
        <w:t>mainly</w:t>
      </w:r>
      <w:r>
        <w:rPr>
          <w:rFonts w:ascii="Times New Roman" w:hAnsi="Times New Roman" w:eastAsia="Times New Roman" w:cs="Times New Roman"/>
          <w:i/>
          <w:iCs/>
          <w:spacing w:val="16"/>
          <w:sz w:val="20"/>
          <w:szCs w:val="20"/>
        </w:rPr>
        <w:t xml:space="preserve"> </w:t>
      </w:r>
      <w:r>
        <w:rPr>
          <w:rFonts w:ascii="Times New Roman" w:hAnsi="Times New Roman" w:eastAsia="Times New Roman" w:cs="Times New Roman"/>
          <w:i/>
          <w:iCs/>
          <w:sz w:val="20"/>
          <w:szCs w:val="20"/>
        </w:rPr>
        <w:t>caused</w:t>
      </w:r>
      <w:r>
        <w:rPr>
          <w:rFonts w:ascii="Times New Roman" w:hAnsi="Times New Roman" w:eastAsia="Times New Roman" w:cs="Times New Roman"/>
          <w:i/>
          <w:iCs/>
          <w:spacing w:val="4"/>
          <w:sz w:val="20"/>
          <w:szCs w:val="20"/>
        </w:rPr>
        <w:t xml:space="preserve"> </w:t>
      </w:r>
      <w:r>
        <w:rPr>
          <w:rFonts w:ascii="Times New Roman" w:hAnsi="Times New Roman" w:eastAsia="Times New Roman" w:cs="Times New Roman"/>
          <w:i/>
          <w:iCs/>
          <w:sz w:val="20"/>
          <w:szCs w:val="20"/>
        </w:rPr>
        <w:t>by</w:t>
      </w:r>
      <w:r>
        <w:rPr>
          <w:rFonts w:ascii="Times New Roman" w:hAnsi="Times New Roman" w:eastAsia="Times New Roman" w:cs="Times New Roman"/>
          <w:i/>
          <w:iCs/>
          <w:spacing w:val="4"/>
          <w:sz w:val="20"/>
          <w:szCs w:val="20"/>
        </w:rPr>
        <w:t xml:space="preserve"> </w:t>
      </w:r>
      <w:r>
        <w:rPr>
          <w:rFonts w:ascii="Times New Roman" w:hAnsi="Times New Roman" w:eastAsia="Times New Roman" w:cs="Times New Roman"/>
          <w:i/>
          <w:iCs/>
          <w:sz w:val="20"/>
          <w:szCs w:val="20"/>
        </w:rPr>
        <w:t>Mycobacterium</w:t>
      </w:r>
      <w:r>
        <w:rPr>
          <w:rFonts w:ascii="Times New Roman" w:hAnsi="Times New Roman" w:eastAsia="Times New Roman" w:cs="Times New Roman"/>
          <w:i/>
          <w:iCs/>
          <w:spacing w:val="18"/>
          <w:sz w:val="20"/>
          <w:szCs w:val="20"/>
        </w:rPr>
        <w:t xml:space="preserve"> </w:t>
      </w:r>
      <w:r>
        <w:rPr>
          <w:rFonts w:ascii="Times New Roman" w:hAnsi="Times New Roman" w:eastAsia="Times New Roman" w:cs="Times New Roman"/>
          <w:i/>
          <w:iCs/>
          <w:sz w:val="20"/>
          <w:szCs w:val="20"/>
        </w:rPr>
        <w:t>tuberculosis</w:t>
      </w:r>
      <w:r>
        <w:rPr>
          <w:rFonts w:ascii="Times New Roman" w:hAnsi="Times New Roman" w:eastAsia="Times New Roman" w:cs="Times New Roman"/>
          <w:i/>
          <w:iCs/>
          <w:spacing w:val="14"/>
          <w:sz w:val="20"/>
          <w:szCs w:val="20"/>
        </w:rPr>
        <w:t xml:space="preserve"> </w:t>
      </w:r>
      <w:r>
        <w:rPr>
          <w:rFonts w:ascii="Times New Roman" w:hAnsi="Times New Roman" w:eastAsia="Times New Roman" w:cs="Times New Roman"/>
          <w:i/>
          <w:iCs/>
          <w:sz w:val="20"/>
          <w:szCs w:val="20"/>
        </w:rPr>
        <w:t>and</w:t>
      </w:r>
      <w:r>
        <w:rPr>
          <w:rFonts w:ascii="Times New Roman" w:hAnsi="Times New Roman" w:eastAsia="Times New Roman" w:cs="Times New Roman"/>
          <w:i/>
          <w:iCs/>
          <w:spacing w:val="-20"/>
          <w:sz w:val="20"/>
          <w:szCs w:val="20"/>
        </w:rPr>
        <w:t xml:space="preserve"> </w:t>
      </w:r>
      <w:r>
        <w:rPr>
          <w:rFonts w:ascii="Times New Roman" w:hAnsi="Times New Roman" w:eastAsia="Times New Roman" w:cs="Times New Roman"/>
          <w:i/>
          <w:iCs/>
          <w:sz w:val="20"/>
          <w:szCs w:val="20"/>
        </w:rPr>
        <w:t>pulmonary</w:t>
      </w:r>
      <w:r>
        <w:rPr>
          <w:rFonts w:ascii="Times New Roman" w:hAnsi="Times New Roman" w:eastAsia="Times New Roman" w:cs="Times New Roman"/>
          <w:i/>
          <w:iCs/>
          <w:spacing w:val="17"/>
          <w:w w:val="101"/>
          <w:sz w:val="20"/>
          <w:szCs w:val="20"/>
        </w:rPr>
        <w:t xml:space="preserve"> </w:t>
      </w:r>
      <w:r>
        <w:rPr>
          <w:rFonts w:ascii="Times New Roman" w:hAnsi="Times New Roman" w:eastAsia="Times New Roman" w:cs="Times New Roman"/>
          <w:i/>
          <w:iCs/>
          <w:sz w:val="20"/>
          <w:szCs w:val="20"/>
        </w:rPr>
        <w:t>tuberculosis</w:t>
      </w:r>
      <w:r>
        <w:rPr>
          <w:rFonts w:ascii="Times New Roman" w:hAnsi="Times New Roman" w:eastAsia="Times New Roman" w:cs="Times New Roman"/>
          <w:i/>
          <w:iCs/>
          <w:spacing w:val="18"/>
          <w:sz w:val="20"/>
          <w:szCs w:val="20"/>
        </w:rPr>
        <w:t xml:space="preserve"> </w:t>
      </w:r>
      <w:r>
        <w:rPr>
          <w:rFonts w:ascii="Times New Roman" w:hAnsi="Times New Roman" w:eastAsia="Times New Roman" w:cs="Times New Roman"/>
          <w:i/>
          <w:iCs/>
          <w:sz w:val="20"/>
          <w:szCs w:val="20"/>
        </w:rPr>
        <w:t>transmitted</w:t>
      </w:r>
      <w:r>
        <w:rPr>
          <w:rFonts w:ascii="Times New Roman" w:hAnsi="Times New Roman" w:eastAsia="Times New Roman" w:cs="Times New Roman"/>
          <w:i/>
          <w:iCs/>
          <w:spacing w:val="4"/>
          <w:sz w:val="20"/>
          <w:szCs w:val="20"/>
        </w:rPr>
        <w:t xml:space="preserve"> </w:t>
      </w:r>
      <w:r>
        <w:rPr>
          <w:rFonts w:ascii="Times New Roman" w:hAnsi="Times New Roman" w:eastAsia="Times New Roman" w:cs="Times New Roman"/>
          <w:i/>
          <w:iCs/>
          <w:sz w:val="20"/>
          <w:szCs w:val="20"/>
        </w:rPr>
        <w:t>through</w:t>
      </w:r>
      <w:r>
        <w:rPr>
          <w:rFonts w:ascii="Times New Roman" w:hAnsi="Times New Roman" w:eastAsia="Times New Roman" w:cs="Times New Roman"/>
          <w:i/>
          <w:iCs/>
          <w:spacing w:val="13"/>
          <w:w w:val="101"/>
          <w:sz w:val="20"/>
          <w:szCs w:val="20"/>
        </w:rPr>
        <w:t xml:space="preserve"> </w:t>
      </w:r>
      <w:r>
        <w:rPr>
          <w:rFonts w:ascii="Times New Roman" w:hAnsi="Times New Roman" w:eastAsia="Times New Roman" w:cs="Times New Roman"/>
          <w:i/>
          <w:iCs/>
          <w:sz w:val="20"/>
          <w:szCs w:val="20"/>
        </w:rPr>
        <w:t>droplets</w:t>
      </w:r>
      <w:r>
        <w:rPr>
          <w:rFonts w:ascii="Times New Roman" w:hAnsi="Times New Roman" w:eastAsia="Times New Roman" w:cs="Times New Roman"/>
          <w:i/>
          <w:iCs/>
          <w:spacing w:val="14"/>
          <w:sz w:val="20"/>
          <w:szCs w:val="20"/>
        </w:rPr>
        <w:t xml:space="preserve"> </w:t>
      </w:r>
      <w:r>
        <w:rPr>
          <w:rFonts w:ascii="Times New Roman" w:hAnsi="Times New Roman" w:eastAsia="Times New Roman" w:cs="Times New Roman"/>
          <w:i/>
          <w:iCs/>
          <w:sz w:val="20"/>
          <w:szCs w:val="20"/>
        </w:rPr>
        <w:t xml:space="preserve">and  </w:t>
      </w:r>
      <w:r>
        <w:rPr>
          <w:rFonts w:ascii="Times New Roman" w:hAnsi="Times New Roman" w:eastAsia="Times New Roman" w:cs="Times New Roman"/>
          <w:sz w:val="20"/>
          <w:szCs w:val="20"/>
        </w:rPr>
        <w:t>aerosols.The</w:t>
      </w:r>
      <w:r>
        <w:rPr>
          <w:rFonts w:ascii="Times New Roman" w:hAnsi="Times New Roman" w:eastAsia="Times New Roman" w:cs="Times New Roman"/>
          <w:spacing w:val="14"/>
          <w:w w:val="101"/>
          <w:sz w:val="20"/>
          <w:szCs w:val="20"/>
        </w:rPr>
        <w:t xml:space="preserve"> </w:t>
      </w:r>
      <w:r>
        <w:rPr>
          <w:rFonts w:ascii="Times New Roman" w:hAnsi="Times New Roman" w:eastAsia="Times New Roman" w:cs="Times New Roman"/>
          <w:sz w:val="20"/>
          <w:szCs w:val="20"/>
        </w:rPr>
        <w:t>vast</w:t>
      </w:r>
      <w:r>
        <w:rPr>
          <w:rFonts w:ascii="Times New Roman" w:hAnsi="Times New Roman" w:eastAsia="Times New Roman" w:cs="Times New Roman"/>
          <w:spacing w:val="13"/>
          <w:w w:val="101"/>
          <w:sz w:val="20"/>
          <w:szCs w:val="20"/>
        </w:rPr>
        <w:t xml:space="preserve"> </w:t>
      </w:r>
      <w:r>
        <w:rPr>
          <w:rFonts w:ascii="Times New Roman" w:hAnsi="Times New Roman" w:eastAsia="Times New Roman" w:cs="Times New Roman"/>
          <w:sz w:val="20"/>
          <w:szCs w:val="20"/>
        </w:rPr>
        <w:t>majority</w:t>
      </w:r>
      <w:r>
        <w:rPr>
          <w:rFonts w:ascii="Times New Roman" w:hAnsi="Times New Roman" w:eastAsia="Times New Roman" w:cs="Times New Roman"/>
          <w:spacing w:val="19"/>
          <w:w w:val="101"/>
          <w:sz w:val="20"/>
          <w:szCs w:val="20"/>
        </w:rPr>
        <w:t xml:space="preserve"> </w:t>
      </w:r>
      <w:r>
        <w:rPr>
          <w:rFonts w:ascii="Times New Roman" w:hAnsi="Times New Roman" w:eastAsia="Times New Roman" w:cs="Times New Roman"/>
          <w:sz w:val="20"/>
          <w:szCs w:val="20"/>
        </w:rPr>
        <w:t>of healthy people</w:t>
      </w:r>
      <w:r>
        <w:rPr>
          <w:rFonts w:ascii="Times New Roman" w:hAnsi="Times New Roman" w:eastAsia="Times New Roman" w:cs="Times New Roman"/>
          <w:spacing w:val="13"/>
          <w:w w:val="101"/>
          <w:sz w:val="20"/>
          <w:szCs w:val="20"/>
        </w:rPr>
        <w:t xml:space="preserve"> </w:t>
      </w:r>
      <w:r>
        <w:rPr>
          <w:rFonts w:ascii="Times New Roman" w:hAnsi="Times New Roman" w:eastAsia="Times New Roman" w:cs="Times New Roman"/>
          <w:sz w:val="20"/>
          <w:szCs w:val="20"/>
        </w:rPr>
        <w:t>with</w:t>
      </w:r>
      <w:r>
        <w:rPr>
          <w:rFonts w:ascii="Times New Roman" w:hAnsi="Times New Roman" w:eastAsia="Times New Roman" w:cs="Times New Roman"/>
          <w:spacing w:val="18"/>
          <w:w w:val="101"/>
          <w:sz w:val="20"/>
          <w:szCs w:val="20"/>
        </w:rPr>
        <w:t xml:space="preserve"> </w:t>
      </w:r>
      <w:r>
        <w:rPr>
          <w:rFonts w:ascii="Times New Roman" w:hAnsi="Times New Roman" w:eastAsia="Times New Roman" w:cs="Times New Roman"/>
          <w:sz w:val="20"/>
          <w:szCs w:val="20"/>
        </w:rPr>
        <w:t>latent</w:t>
      </w:r>
      <w:r>
        <w:rPr>
          <w:rFonts w:ascii="Times New Roman" w:hAnsi="Times New Roman" w:eastAsia="Times New Roman" w:cs="Times New Roman"/>
          <w:spacing w:val="14"/>
          <w:sz w:val="20"/>
          <w:szCs w:val="20"/>
        </w:rPr>
        <w:t xml:space="preserve"> </w:t>
      </w:r>
      <w:r>
        <w:rPr>
          <w:rFonts w:ascii="Times New Roman" w:hAnsi="Times New Roman" w:eastAsia="Times New Roman" w:cs="Times New Roman"/>
          <w:sz w:val="20"/>
          <w:szCs w:val="20"/>
        </w:rPr>
        <w:t>t</w:t>
      </w:r>
      <w:r>
        <w:rPr>
          <w:rFonts w:ascii="Times New Roman" w:hAnsi="Times New Roman" w:eastAsia="Times New Roman" w:cs="Times New Roman"/>
          <w:spacing w:val="-1"/>
          <w:sz w:val="20"/>
          <w:szCs w:val="20"/>
        </w:rPr>
        <w:t>uberculosis</w:t>
      </w:r>
      <w:r>
        <w:rPr>
          <w:rFonts w:ascii="Times New Roman" w:hAnsi="Times New Roman" w:eastAsia="Times New Roman" w:cs="Times New Roman"/>
          <w:spacing w:val="18"/>
          <w:sz w:val="20"/>
          <w:szCs w:val="20"/>
        </w:rPr>
        <w:t xml:space="preserve"> </w:t>
      </w:r>
      <w:r>
        <w:rPr>
          <w:rFonts w:ascii="Times New Roman" w:hAnsi="Times New Roman" w:eastAsia="Times New Roman" w:cs="Times New Roman"/>
          <w:spacing w:val="-1"/>
          <w:sz w:val="20"/>
          <w:szCs w:val="20"/>
        </w:rPr>
        <w:t>infections</w:t>
      </w:r>
      <w:r>
        <w:rPr>
          <w:rFonts w:ascii="Times New Roman" w:hAnsi="Times New Roman" w:eastAsia="Times New Roman" w:cs="Times New Roman"/>
          <w:spacing w:val="19"/>
          <w:sz w:val="20"/>
          <w:szCs w:val="20"/>
        </w:rPr>
        <w:t xml:space="preserve"> </w:t>
      </w:r>
      <w:r>
        <w:rPr>
          <w:rFonts w:ascii="Times New Roman" w:hAnsi="Times New Roman" w:eastAsia="Times New Roman" w:cs="Times New Roman"/>
          <w:spacing w:val="-1"/>
          <w:sz w:val="20"/>
          <w:szCs w:val="20"/>
        </w:rPr>
        <w:t>do</w:t>
      </w:r>
      <w:r>
        <w:rPr>
          <w:rFonts w:ascii="Times New Roman" w:hAnsi="Times New Roman" w:eastAsia="Times New Roman" w:cs="Times New Roman"/>
          <w:spacing w:val="13"/>
          <w:w w:val="101"/>
          <w:sz w:val="20"/>
          <w:szCs w:val="20"/>
        </w:rPr>
        <w:t xml:space="preserve"> </w:t>
      </w:r>
      <w:r>
        <w:rPr>
          <w:rFonts w:ascii="Times New Roman" w:hAnsi="Times New Roman" w:eastAsia="Times New Roman" w:cs="Times New Roman"/>
          <w:spacing w:val="-1"/>
          <w:sz w:val="20"/>
          <w:szCs w:val="20"/>
        </w:rPr>
        <w:t>not</w:t>
      </w:r>
      <w:r>
        <w:rPr>
          <w:rFonts w:ascii="Times New Roman" w:hAnsi="Times New Roman" w:eastAsia="Times New Roman" w:cs="Times New Roman"/>
          <w:spacing w:val="18"/>
          <w:w w:val="101"/>
          <w:sz w:val="20"/>
          <w:szCs w:val="20"/>
        </w:rPr>
        <w:t xml:space="preserve"> </w:t>
      </w:r>
      <w:r>
        <w:rPr>
          <w:rFonts w:ascii="Times New Roman" w:hAnsi="Times New Roman" w:eastAsia="Times New Roman" w:cs="Times New Roman"/>
          <w:spacing w:val="-1"/>
          <w:sz w:val="20"/>
          <w:szCs w:val="20"/>
        </w:rPr>
        <w:t>develop</w:t>
      </w:r>
      <w:r>
        <w:rPr>
          <w:rFonts w:ascii="Times New Roman" w:hAnsi="Times New Roman" w:eastAsia="Times New Roman" w:cs="Times New Roman"/>
          <w:spacing w:val="18"/>
          <w:w w:val="101"/>
          <w:sz w:val="20"/>
          <w:szCs w:val="20"/>
        </w:rPr>
        <w:t xml:space="preserve"> </w:t>
      </w:r>
      <w:r>
        <w:rPr>
          <w:rFonts w:ascii="Times New Roman" w:hAnsi="Times New Roman" w:eastAsia="Times New Roman" w:cs="Times New Roman"/>
          <w:spacing w:val="-1"/>
          <w:sz w:val="20"/>
          <w:szCs w:val="20"/>
        </w:rPr>
        <w:t>into</w:t>
      </w:r>
      <w:r>
        <w:rPr>
          <w:rFonts w:ascii="Times New Roman" w:hAnsi="Times New Roman" w:eastAsia="Times New Roman" w:cs="Times New Roman"/>
          <w:spacing w:val="22"/>
          <w:sz w:val="20"/>
          <w:szCs w:val="20"/>
        </w:rPr>
        <w:t xml:space="preserve"> </w:t>
      </w:r>
      <w:r>
        <w:rPr>
          <w:rFonts w:ascii="Times New Roman" w:hAnsi="Times New Roman" w:eastAsia="Times New Roman" w:cs="Times New Roman"/>
          <w:spacing w:val="-1"/>
          <w:sz w:val="20"/>
          <w:szCs w:val="20"/>
        </w:rPr>
        <w:t>sickness.</w:t>
      </w:r>
      <w:r>
        <w:rPr>
          <w:rFonts w:ascii="Times New Roman" w:hAnsi="Times New Roman" w:eastAsia="Times New Roman" w:cs="Times New Roman"/>
          <w:sz w:val="20"/>
          <w:szCs w:val="20"/>
        </w:rPr>
        <w:t xml:space="preserve"> A  small</w:t>
      </w:r>
      <w:r>
        <w:rPr>
          <w:rFonts w:ascii="Times New Roman" w:hAnsi="Times New Roman" w:eastAsia="Times New Roman" w:cs="Times New Roman"/>
          <w:spacing w:val="44"/>
          <w:sz w:val="20"/>
          <w:szCs w:val="20"/>
        </w:rPr>
        <w:t xml:space="preserve"> </w:t>
      </w:r>
      <w:r>
        <w:rPr>
          <w:rFonts w:ascii="Times New Roman" w:hAnsi="Times New Roman" w:eastAsia="Times New Roman" w:cs="Times New Roman"/>
          <w:sz w:val="20"/>
          <w:szCs w:val="20"/>
        </w:rPr>
        <w:t>percentage  will  get  sick  if</w:t>
      </w:r>
      <w:r>
        <w:rPr>
          <w:rFonts w:ascii="Times New Roman" w:hAnsi="Times New Roman" w:eastAsia="Times New Roman" w:cs="Times New Roman"/>
          <w:spacing w:val="26"/>
          <w:sz w:val="20"/>
          <w:szCs w:val="20"/>
        </w:rPr>
        <w:t xml:space="preserve"> </w:t>
      </w:r>
      <w:r>
        <w:rPr>
          <w:rFonts w:ascii="Times New Roman" w:hAnsi="Times New Roman" w:eastAsia="Times New Roman" w:cs="Times New Roman"/>
          <w:sz w:val="20"/>
          <w:szCs w:val="20"/>
        </w:rPr>
        <w:t>their  i</w:t>
      </w:r>
      <w:r>
        <w:rPr>
          <w:rFonts w:ascii="Times New Roman" w:hAnsi="Times New Roman" w:eastAsia="Times New Roman" w:cs="Times New Roman"/>
          <w:spacing w:val="-1"/>
          <w:sz w:val="20"/>
          <w:szCs w:val="20"/>
        </w:rPr>
        <w:t>mmune  systems  are  temporarily  or  permanently  compromised</w:t>
      </w:r>
      <w:r>
        <w:rPr>
          <w:rFonts w:ascii="Times New Roman" w:hAnsi="Times New Roman" w:eastAsia="Times New Roman" w:cs="Times New Roman"/>
          <w:sz w:val="20"/>
          <w:szCs w:val="20"/>
        </w:rPr>
        <w:t xml:space="preserve"> (e.g.,when  people  are</w:t>
      </w:r>
      <w:r>
        <w:rPr>
          <w:rFonts w:ascii="Times New Roman" w:hAnsi="Times New Roman" w:eastAsia="Times New Roman" w:cs="Times New Roman"/>
          <w:spacing w:val="9"/>
          <w:sz w:val="20"/>
          <w:szCs w:val="20"/>
        </w:rPr>
        <w:t xml:space="preserve">  </w:t>
      </w:r>
      <w:r>
        <w:rPr>
          <w:rFonts w:ascii="Times New Roman" w:hAnsi="Times New Roman" w:eastAsia="Times New Roman" w:cs="Times New Roman"/>
          <w:sz w:val="20"/>
          <w:szCs w:val="20"/>
        </w:rPr>
        <w:t>infected</w:t>
      </w:r>
      <w:r>
        <w:rPr>
          <w:rFonts w:ascii="Times New Roman" w:hAnsi="Times New Roman" w:eastAsia="Times New Roman" w:cs="Times New Roman"/>
          <w:spacing w:val="8"/>
          <w:sz w:val="20"/>
          <w:szCs w:val="20"/>
        </w:rPr>
        <w:t xml:space="preserve">  </w:t>
      </w:r>
      <w:r>
        <w:rPr>
          <w:rFonts w:ascii="Times New Roman" w:hAnsi="Times New Roman" w:eastAsia="Times New Roman" w:cs="Times New Roman"/>
          <w:sz w:val="20"/>
          <w:szCs w:val="20"/>
        </w:rPr>
        <w:t>with</w:t>
      </w:r>
      <w:r>
        <w:rPr>
          <w:rFonts w:ascii="Times New Roman" w:hAnsi="Times New Roman" w:eastAsia="Times New Roman" w:cs="Times New Roman"/>
          <w:spacing w:val="8"/>
          <w:sz w:val="20"/>
          <w:szCs w:val="20"/>
        </w:rPr>
        <w:t xml:space="preserve">  </w:t>
      </w:r>
      <w:r>
        <w:rPr>
          <w:rFonts w:ascii="Times New Roman" w:hAnsi="Times New Roman" w:eastAsia="Times New Roman" w:cs="Times New Roman"/>
          <w:sz w:val="20"/>
          <w:szCs w:val="20"/>
        </w:rPr>
        <w:t>HIV).Treatment</w:t>
      </w:r>
      <w:r>
        <w:rPr>
          <w:rFonts w:ascii="Times New Roman" w:hAnsi="Times New Roman" w:eastAsia="Times New Roman" w:cs="Times New Roman"/>
          <w:spacing w:val="11"/>
          <w:sz w:val="20"/>
          <w:szCs w:val="20"/>
        </w:rPr>
        <w:t xml:space="preserve">  </w:t>
      </w:r>
      <w:r>
        <w:rPr>
          <w:rFonts w:ascii="Times New Roman" w:hAnsi="Times New Roman" w:eastAsia="Times New Roman" w:cs="Times New Roman"/>
          <w:sz w:val="20"/>
          <w:szCs w:val="20"/>
        </w:rPr>
        <w:t>for</w:t>
      </w:r>
      <w:r>
        <w:rPr>
          <w:rFonts w:ascii="Times New Roman" w:hAnsi="Times New Roman" w:eastAsia="Times New Roman" w:cs="Times New Roman"/>
          <w:spacing w:val="7"/>
          <w:sz w:val="20"/>
          <w:szCs w:val="20"/>
        </w:rPr>
        <w:t xml:space="preserve">  </w:t>
      </w:r>
      <w:r>
        <w:rPr>
          <w:rFonts w:ascii="Times New Roman" w:hAnsi="Times New Roman" w:eastAsia="Times New Roman" w:cs="Times New Roman"/>
          <w:sz w:val="20"/>
          <w:szCs w:val="20"/>
        </w:rPr>
        <w:t>tu</w:t>
      </w:r>
      <w:r>
        <w:rPr>
          <w:rFonts w:ascii="Times New Roman" w:hAnsi="Times New Roman" w:eastAsia="Times New Roman" w:cs="Times New Roman"/>
          <w:spacing w:val="-1"/>
          <w:sz w:val="20"/>
          <w:szCs w:val="20"/>
        </w:rPr>
        <w:t>berculosis</w:t>
      </w:r>
      <w:r>
        <w:rPr>
          <w:rFonts w:ascii="Times New Roman" w:hAnsi="Times New Roman" w:eastAsia="Times New Roman" w:cs="Times New Roman"/>
          <w:spacing w:val="10"/>
          <w:sz w:val="20"/>
          <w:szCs w:val="20"/>
        </w:rPr>
        <w:t xml:space="preserve">  </w:t>
      </w:r>
      <w:r>
        <w:rPr>
          <w:rFonts w:ascii="Times New Roman" w:hAnsi="Times New Roman" w:eastAsia="Times New Roman" w:cs="Times New Roman"/>
          <w:spacing w:val="-1"/>
          <w:sz w:val="20"/>
          <w:szCs w:val="20"/>
        </w:rPr>
        <w:t>involves</w:t>
      </w:r>
      <w:r>
        <w:rPr>
          <w:rFonts w:ascii="Times New Roman" w:hAnsi="Times New Roman" w:eastAsia="Times New Roman" w:cs="Times New Roman"/>
          <w:spacing w:val="12"/>
          <w:sz w:val="20"/>
          <w:szCs w:val="20"/>
        </w:rPr>
        <w:t xml:space="preserve">  </w:t>
      </w:r>
      <w:r>
        <w:rPr>
          <w:rFonts w:ascii="Times New Roman" w:hAnsi="Times New Roman" w:eastAsia="Times New Roman" w:cs="Times New Roman"/>
          <w:spacing w:val="-1"/>
          <w:sz w:val="20"/>
          <w:szCs w:val="20"/>
        </w:rPr>
        <w:t>several</w:t>
      </w:r>
      <w:r>
        <w:rPr>
          <w:rFonts w:ascii="Times New Roman" w:hAnsi="Times New Roman" w:eastAsia="Times New Roman" w:cs="Times New Roman"/>
          <w:spacing w:val="10"/>
          <w:sz w:val="20"/>
          <w:szCs w:val="20"/>
        </w:rPr>
        <w:t xml:space="preserve">  </w:t>
      </w:r>
      <w:r>
        <w:rPr>
          <w:rFonts w:ascii="Times New Roman" w:hAnsi="Times New Roman" w:eastAsia="Times New Roman" w:cs="Times New Roman"/>
          <w:spacing w:val="-1"/>
          <w:sz w:val="20"/>
          <w:szCs w:val="20"/>
        </w:rPr>
        <w:t>drugs</w:t>
      </w:r>
      <w:r>
        <w:rPr>
          <w:rFonts w:ascii="Times New Roman" w:hAnsi="Times New Roman" w:eastAsia="Times New Roman" w:cs="Times New Roman"/>
          <w:spacing w:val="10"/>
          <w:sz w:val="20"/>
          <w:szCs w:val="20"/>
        </w:rPr>
        <w:t xml:space="preserve">  </w:t>
      </w:r>
      <w:r>
        <w:rPr>
          <w:rFonts w:ascii="Times New Roman" w:hAnsi="Times New Roman" w:eastAsia="Times New Roman" w:cs="Times New Roman"/>
          <w:spacing w:val="-1"/>
          <w:sz w:val="20"/>
          <w:szCs w:val="20"/>
        </w:rPr>
        <w:t>and</w:t>
      </w:r>
      <w:r>
        <w:rPr>
          <w:rFonts w:ascii="Times New Roman" w:hAnsi="Times New Roman" w:eastAsia="Times New Roman" w:cs="Times New Roman"/>
          <w:spacing w:val="8"/>
          <w:sz w:val="20"/>
          <w:szCs w:val="20"/>
        </w:rPr>
        <w:t xml:space="preserve">  </w:t>
      </w:r>
      <w:r>
        <w:rPr>
          <w:rFonts w:ascii="Times New Roman" w:hAnsi="Times New Roman" w:eastAsia="Times New Roman" w:cs="Times New Roman"/>
          <w:spacing w:val="-1"/>
          <w:sz w:val="20"/>
          <w:szCs w:val="20"/>
        </w:rPr>
        <w:t>takes</w:t>
      </w:r>
      <w:r>
        <w:rPr>
          <w:rFonts w:ascii="Times New Roman" w:hAnsi="Times New Roman" w:eastAsia="Times New Roman" w:cs="Times New Roman"/>
          <w:sz w:val="20"/>
          <w:szCs w:val="20"/>
        </w:rPr>
        <w:t xml:space="preserve"> six</w:t>
      </w:r>
      <w:r>
        <w:rPr>
          <w:rFonts w:ascii="Times New Roman" w:hAnsi="Times New Roman" w:eastAsia="Times New Roman" w:cs="Times New Roman"/>
          <w:spacing w:val="33"/>
          <w:sz w:val="20"/>
          <w:szCs w:val="20"/>
        </w:rPr>
        <w:t xml:space="preserve"> </w:t>
      </w:r>
      <w:r>
        <w:rPr>
          <w:rFonts w:ascii="Times New Roman" w:hAnsi="Times New Roman" w:eastAsia="Times New Roman" w:cs="Times New Roman"/>
          <w:sz w:val="20"/>
          <w:szCs w:val="20"/>
        </w:rPr>
        <w:t>to</w:t>
      </w:r>
      <w:r>
        <w:rPr>
          <w:rFonts w:ascii="Times New Roman" w:hAnsi="Times New Roman" w:eastAsia="Times New Roman" w:cs="Times New Roman"/>
          <w:spacing w:val="37"/>
          <w:w w:val="101"/>
          <w:sz w:val="20"/>
          <w:szCs w:val="20"/>
        </w:rPr>
        <w:t xml:space="preserve"> </w:t>
      </w:r>
      <w:r>
        <w:rPr>
          <w:rFonts w:ascii="Times New Roman" w:hAnsi="Times New Roman" w:eastAsia="Times New Roman" w:cs="Times New Roman"/>
          <w:sz w:val="20"/>
          <w:szCs w:val="20"/>
        </w:rPr>
        <w:t>eight</w:t>
      </w:r>
      <w:r>
        <w:rPr>
          <w:rFonts w:ascii="Times New Roman" w:hAnsi="Times New Roman" w:eastAsia="Times New Roman" w:cs="Times New Roman"/>
          <w:spacing w:val="31"/>
          <w:w w:val="101"/>
          <w:sz w:val="20"/>
          <w:szCs w:val="20"/>
        </w:rPr>
        <w:t xml:space="preserve"> </w:t>
      </w:r>
      <w:r>
        <w:rPr>
          <w:rFonts w:ascii="Times New Roman" w:hAnsi="Times New Roman" w:eastAsia="Times New Roman" w:cs="Times New Roman"/>
          <w:sz w:val="20"/>
          <w:szCs w:val="20"/>
        </w:rPr>
        <w:t>months.Many</w:t>
      </w:r>
      <w:r>
        <w:rPr>
          <w:rFonts w:ascii="Times New Roman" w:hAnsi="Times New Roman" w:eastAsia="Times New Roman" w:cs="Times New Roman"/>
          <w:spacing w:val="31"/>
          <w:w w:val="101"/>
          <w:sz w:val="20"/>
          <w:szCs w:val="20"/>
        </w:rPr>
        <w:t xml:space="preserve"> </w:t>
      </w:r>
      <w:r>
        <w:rPr>
          <w:rFonts w:ascii="Times New Roman" w:hAnsi="Times New Roman" w:eastAsia="Times New Roman" w:cs="Times New Roman"/>
          <w:sz w:val="20"/>
          <w:szCs w:val="20"/>
        </w:rPr>
        <w:t>high-burden</w:t>
      </w:r>
      <w:r>
        <w:rPr>
          <w:rFonts w:ascii="Times New Roman" w:hAnsi="Times New Roman" w:eastAsia="Times New Roman" w:cs="Times New Roman"/>
          <w:spacing w:val="37"/>
          <w:w w:val="101"/>
          <w:sz w:val="20"/>
          <w:szCs w:val="20"/>
        </w:rPr>
        <w:t xml:space="preserve"> </w:t>
      </w:r>
      <w:r>
        <w:rPr>
          <w:rFonts w:ascii="Times New Roman" w:hAnsi="Times New Roman" w:eastAsia="Times New Roman" w:cs="Times New Roman"/>
          <w:sz w:val="20"/>
          <w:szCs w:val="20"/>
        </w:rPr>
        <w:t>countr</w:t>
      </w:r>
      <w:r>
        <w:rPr>
          <w:rFonts w:ascii="Times New Roman" w:hAnsi="Times New Roman" w:eastAsia="Times New Roman" w:cs="Times New Roman"/>
          <w:spacing w:val="-1"/>
          <w:sz w:val="20"/>
          <w:szCs w:val="20"/>
        </w:rPr>
        <w:t>ies</w:t>
      </w:r>
      <w:r>
        <w:rPr>
          <w:rFonts w:ascii="Times New Roman" w:hAnsi="Times New Roman" w:eastAsia="Times New Roman" w:cs="Times New Roman"/>
          <w:spacing w:val="31"/>
          <w:w w:val="101"/>
          <w:sz w:val="20"/>
          <w:szCs w:val="20"/>
        </w:rPr>
        <w:t xml:space="preserve"> </w:t>
      </w:r>
      <w:r>
        <w:rPr>
          <w:rFonts w:ascii="Times New Roman" w:hAnsi="Times New Roman" w:eastAsia="Times New Roman" w:cs="Times New Roman"/>
          <w:spacing w:val="-1"/>
          <w:sz w:val="20"/>
          <w:szCs w:val="20"/>
        </w:rPr>
        <w:t>have</w:t>
      </w:r>
      <w:r>
        <w:rPr>
          <w:rFonts w:ascii="Times New Roman" w:hAnsi="Times New Roman" w:eastAsia="Times New Roman" w:cs="Times New Roman"/>
          <w:spacing w:val="36"/>
          <w:sz w:val="20"/>
          <w:szCs w:val="20"/>
        </w:rPr>
        <w:t xml:space="preserve"> </w:t>
      </w:r>
      <w:r>
        <w:rPr>
          <w:rFonts w:ascii="Times New Roman" w:hAnsi="Times New Roman" w:eastAsia="Times New Roman" w:cs="Times New Roman"/>
          <w:spacing w:val="-1"/>
          <w:sz w:val="20"/>
          <w:szCs w:val="20"/>
        </w:rPr>
        <w:t>implemented</w:t>
      </w:r>
      <w:r>
        <w:rPr>
          <w:rFonts w:ascii="Times New Roman" w:hAnsi="Times New Roman" w:eastAsia="Times New Roman" w:cs="Times New Roman"/>
          <w:spacing w:val="31"/>
          <w:w w:val="101"/>
          <w:sz w:val="20"/>
          <w:szCs w:val="20"/>
        </w:rPr>
        <w:t xml:space="preserve"> </w:t>
      </w:r>
      <w:r>
        <w:rPr>
          <w:rFonts w:ascii="Times New Roman" w:hAnsi="Times New Roman" w:eastAsia="Times New Roman" w:cs="Times New Roman"/>
          <w:spacing w:val="-1"/>
          <w:sz w:val="20"/>
          <w:szCs w:val="20"/>
        </w:rPr>
        <w:t>national</w:t>
      </w:r>
      <w:r>
        <w:rPr>
          <w:rFonts w:ascii="Times New Roman" w:hAnsi="Times New Roman" w:eastAsia="Times New Roman" w:cs="Times New Roman"/>
          <w:spacing w:val="32"/>
          <w:sz w:val="20"/>
          <w:szCs w:val="20"/>
        </w:rPr>
        <w:t xml:space="preserve"> </w:t>
      </w:r>
      <w:r>
        <w:rPr>
          <w:rFonts w:ascii="Times New Roman" w:hAnsi="Times New Roman" w:eastAsia="Times New Roman" w:cs="Times New Roman"/>
          <w:spacing w:val="-1"/>
          <w:sz w:val="20"/>
          <w:szCs w:val="20"/>
        </w:rPr>
        <w:t>tuberculosis</w:t>
      </w:r>
      <w:r>
        <w:rPr>
          <w:rFonts w:ascii="Times New Roman" w:hAnsi="Times New Roman" w:eastAsia="Times New Roman" w:cs="Times New Roman"/>
          <w:spacing w:val="37"/>
          <w:w w:val="101"/>
          <w:sz w:val="20"/>
          <w:szCs w:val="20"/>
        </w:rPr>
        <w:t xml:space="preserve"> </w:t>
      </w:r>
      <w:r>
        <w:rPr>
          <w:rFonts w:ascii="Times New Roman" w:hAnsi="Times New Roman" w:eastAsia="Times New Roman" w:cs="Times New Roman"/>
          <w:spacing w:val="-1"/>
          <w:sz w:val="20"/>
          <w:szCs w:val="20"/>
        </w:rPr>
        <w:t>control</w:t>
      </w:r>
      <w:r>
        <w:rPr>
          <w:rFonts w:ascii="Times New Roman" w:hAnsi="Times New Roman" w:eastAsia="Times New Roman" w:cs="Times New Roman"/>
          <w:spacing w:val="30"/>
          <w:sz w:val="20"/>
          <w:szCs w:val="20"/>
        </w:rPr>
        <w:t xml:space="preserve"> </w:t>
      </w:r>
      <w:r>
        <w:rPr>
          <w:rFonts w:ascii="Times New Roman" w:hAnsi="Times New Roman" w:eastAsia="Times New Roman" w:cs="Times New Roman"/>
          <w:spacing w:val="-1"/>
          <w:sz w:val="20"/>
          <w:szCs w:val="20"/>
        </w:rPr>
        <w:t>programs</w:t>
      </w:r>
      <w:r>
        <w:rPr>
          <w:rFonts w:ascii="Times New Roman" w:hAnsi="Times New Roman" w:eastAsia="Times New Roman" w:cs="Times New Roman"/>
          <w:sz w:val="20"/>
          <w:szCs w:val="20"/>
        </w:rPr>
        <w:t xml:space="preserve">  with  the  DOTS  strategy,STOP-TB</w:t>
      </w:r>
      <w:r>
        <w:rPr>
          <w:rFonts w:ascii="Times New Roman" w:hAnsi="Times New Roman" w:eastAsia="Times New Roman" w:cs="Times New Roman"/>
          <w:spacing w:val="9"/>
          <w:sz w:val="20"/>
          <w:szCs w:val="20"/>
        </w:rPr>
        <w:t xml:space="preserve">  </w:t>
      </w:r>
      <w:r>
        <w:rPr>
          <w:rFonts w:ascii="Times New Roman" w:hAnsi="Times New Roman" w:eastAsia="Times New Roman" w:cs="Times New Roman"/>
          <w:sz w:val="20"/>
          <w:szCs w:val="20"/>
        </w:rPr>
        <w:t>strategy,and</w:t>
      </w:r>
      <w:r>
        <w:rPr>
          <w:rFonts w:ascii="Times New Roman" w:hAnsi="Times New Roman" w:eastAsia="Times New Roman" w:cs="Times New Roman"/>
          <w:spacing w:val="6"/>
          <w:sz w:val="20"/>
          <w:szCs w:val="20"/>
        </w:rPr>
        <w:t xml:space="preserve">  </w:t>
      </w:r>
      <w:r>
        <w:rPr>
          <w:rFonts w:ascii="Times New Roman" w:hAnsi="Times New Roman" w:eastAsia="Times New Roman" w:cs="Times New Roman"/>
          <w:sz w:val="20"/>
          <w:szCs w:val="20"/>
        </w:rPr>
        <w:t>END-TB</w:t>
      </w:r>
      <w:r>
        <w:rPr>
          <w:rFonts w:ascii="Times New Roman" w:hAnsi="Times New Roman" w:eastAsia="Times New Roman" w:cs="Times New Roman"/>
          <w:spacing w:val="9"/>
          <w:sz w:val="20"/>
          <w:szCs w:val="20"/>
        </w:rPr>
        <w:t xml:space="preserve">  </w:t>
      </w:r>
      <w:r>
        <w:rPr>
          <w:rFonts w:ascii="Times New Roman" w:hAnsi="Times New Roman" w:eastAsia="Times New Roman" w:cs="Times New Roman"/>
          <w:sz w:val="20"/>
          <w:szCs w:val="20"/>
        </w:rPr>
        <w:t>strategy,respectively.After</w:t>
      </w:r>
      <w:r>
        <w:rPr>
          <w:rFonts w:ascii="Times New Roman" w:hAnsi="Times New Roman" w:eastAsia="Times New Roman" w:cs="Times New Roman"/>
          <w:spacing w:val="5"/>
          <w:sz w:val="20"/>
          <w:szCs w:val="20"/>
        </w:rPr>
        <w:t xml:space="preserve">  </w:t>
      </w:r>
      <w:r>
        <w:rPr>
          <w:rFonts w:ascii="Times New Roman" w:hAnsi="Times New Roman" w:eastAsia="Times New Roman" w:cs="Times New Roman"/>
          <w:sz w:val="20"/>
          <w:szCs w:val="20"/>
        </w:rPr>
        <w:t>40</w:t>
      </w:r>
      <w:r>
        <w:rPr>
          <w:rFonts w:ascii="Times New Roman" w:hAnsi="Times New Roman" w:eastAsia="Times New Roman" w:cs="Times New Roman"/>
          <w:spacing w:val="4"/>
          <w:sz w:val="20"/>
          <w:szCs w:val="20"/>
        </w:rPr>
        <w:t xml:space="preserve">  </w:t>
      </w:r>
      <w:r>
        <w:rPr>
          <w:rFonts w:ascii="Times New Roman" w:hAnsi="Times New Roman" w:eastAsia="Times New Roman" w:cs="Times New Roman"/>
          <w:sz w:val="20"/>
          <w:szCs w:val="20"/>
        </w:rPr>
        <w:t>years</w:t>
      </w:r>
      <w:r>
        <w:rPr>
          <w:rFonts w:ascii="Times New Roman" w:hAnsi="Times New Roman" w:eastAsia="Times New Roman" w:cs="Times New Roman"/>
          <w:spacing w:val="8"/>
          <w:sz w:val="20"/>
          <w:szCs w:val="20"/>
        </w:rPr>
        <w:t xml:space="preserve">  </w:t>
      </w:r>
      <w:r>
        <w:rPr>
          <w:rFonts w:ascii="Times New Roman" w:hAnsi="Times New Roman" w:eastAsia="Times New Roman" w:cs="Times New Roman"/>
          <w:sz w:val="20"/>
          <w:szCs w:val="20"/>
        </w:rPr>
        <w:t>o</w:t>
      </w:r>
      <w:r>
        <w:rPr>
          <w:rFonts w:ascii="Times New Roman" w:hAnsi="Times New Roman" w:eastAsia="Times New Roman" w:cs="Times New Roman"/>
          <w:spacing w:val="-1"/>
          <w:sz w:val="20"/>
          <w:szCs w:val="20"/>
        </w:rPr>
        <w:t>f  efforts</w:t>
      </w:r>
      <w:r>
        <w:rPr>
          <w:rFonts w:ascii="Times New Roman" w:hAnsi="Times New Roman" w:eastAsia="Times New Roman" w:cs="Times New Roman"/>
          <w:sz w:val="20"/>
          <w:szCs w:val="20"/>
        </w:rPr>
        <w:t xml:space="preserve">  against</w:t>
      </w:r>
      <w:r>
        <w:rPr>
          <w:rFonts w:ascii="Times New Roman" w:hAnsi="Times New Roman" w:eastAsia="Times New Roman" w:cs="Times New Roman"/>
          <w:spacing w:val="23"/>
          <w:sz w:val="20"/>
          <w:szCs w:val="20"/>
        </w:rPr>
        <w:t xml:space="preserve"> </w:t>
      </w:r>
      <w:r>
        <w:rPr>
          <w:rFonts w:ascii="Times New Roman" w:hAnsi="Times New Roman" w:eastAsia="Times New Roman" w:cs="Times New Roman"/>
          <w:sz w:val="20"/>
          <w:szCs w:val="20"/>
        </w:rPr>
        <w:t>tuberculosis,tuberculosis</w:t>
      </w:r>
      <w:r>
        <w:rPr>
          <w:rFonts w:ascii="Times New Roman" w:hAnsi="Times New Roman" w:eastAsia="Times New Roman" w:cs="Times New Roman"/>
          <w:spacing w:val="26"/>
          <w:w w:val="101"/>
          <w:sz w:val="20"/>
          <w:szCs w:val="20"/>
        </w:rPr>
        <w:t xml:space="preserve"> </w:t>
      </w:r>
      <w:r>
        <w:rPr>
          <w:rFonts w:ascii="Times New Roman" w:hAnsi="Times New Roman" w:eastAsia="Times New Roman" w:cs="Times New Roman"/>
          <w:sz w:val="20"/>
          <w:szCs w:val="20"/>
        </w:rPr>
        <w:t>incidence</w:t>
      </w:r>
      <w:r>
        <w:rPr>
          <w:rFonts w:ascii="Times New Roman" w:hAnsi="Times New Roman" w:eastAsia="Times New Roman" w:cs="Times New Roman"/>
          <w:spacing w:val="21"/>
          <w:sz w:val="20"/>
          <w:szCs w:val="20"/>
        </w:rPr>
        <w:t xml:space="preserve"> </w:t>
      </w:r>
      <w:r>
        <w:rPr>
          <w:rFonts w:ascii="Times New Roman" w:hAnsi="Times New Roman" w:eastAsia="Times New Roman" w:cs="Times New Roman"/>
          <w:sz w:val="20"/>
          <w:szCs w:val="20"/>
        </w:rPr>
        <w:t>begins</w:t>
      </w:r>
      <w:r>
        <w:rPr>
          <w:rFonts w:ascii="Times New Roman" w:hAnsi="Times New Roman" w:eastAsia="Times New Roman" w:cs="Times New Roman"/>
          <w:spacing w:val="23"/>
          <w:sz w:val="20"/>
          <w:szCs w:val="20"/>
        </w:rPr>
        <w:t xml:space="preserve"> </w:t>
      </w:r>
      <w:r>
        <w:rPr>
          <w:rFonts w:ascii="Times New Roman" w:hAnsi="Times New Roman" w:eastAsia="Times New Roman" w:cs="Times New Roman"/>
          <w:sz w:val="20"/>
          <w:szCs w:val="20"/>
        </w:rPr>
        <w:t>to</w:t>
      </w:r>
      <w:r>
        <w:rPr>
          <w:rFonts w:ascii="Times New Roman" w:hAnsi="Times New Roman" w:eastAsia="Times New Roman" w:cs="Times New Roman"/>
          <w:spacing w:val="22"/>
          <w:w w:val="101"/>
          <w:sz w:val="20"/>
          <w:szCs w:val="20"/>
        </w:rPr>
        <w:t xml:space="preserve"> </w:t>
      </w:r>
      <w:r>
        <w:rPr>
          <w:rFonts w:ascii="Times New Roman" w:hAnsi="Times New Roman" w:eastAsia="Times New Roman" w:cs="Times New Roman"/>
          <w:sz w:val="20"/>
          <w:szCs w:val="20"/>
        </w:rPr>
        <w:t>reverse</w:t>
      </w:r>
      <w:r>
        <w:rPr>
          <w:rFonts w:ascii="Times New Roman" w:hAnsi="Times New Roman" w:eastAsia="Times New Roman" w:cs="Times New Roman"/>
          <w:spacing w:val="27"/>
          <w:sz w:val="20"/>
          <w:szCs w:val="20"/>
        </w:rPr>
        <w:t xml:space="preserve"> </w:t>
      </w:r>
      <w:r>
        <w:rPr>
          <w:rFonts w:ascii="Times New Roman" w:hAnsi="Times New Roman" w:eastAsia="Times New Roman" w:cs="Times New Roman"/>
          <w:sz w:val="20"/>
          <w:szCs w:val="20"/>
        </w:rPr>
        <w:t>globall</w:t>
      </w:r>
      <w:r>
        <w:rPr>
          <w:rFonts w:ascii="Times New Roman" w:hAnsi="Times New Roman" w:eastAsia="Times New Roman" w:cs="Times New Roman"/>
          <w:spacing w:val="-1"/>
          <w:sz w:val="20"/>
          <w:szCs w:val="20"/>
        </w:rPr>
        <w:t>y.One</w:t>
      </w:r>
      <w:r>
        <w:rPr>
          <w:rFonts w:ascii="Times New Roman" w:hAnsi="Times New Roman" w:eastAsia="Times New Roman" w:cs="Times New Roman"/>
          <w:spacing w:val="28"/>
          <w:sz w:val="20"/>
          <w:szCs w:val="20"/>
        </w:rPr>
        <w:t xml:space="preserve"> </w:t>
      </w:r>
      <w:r>
        <w:rPr>
          <w:rFonts w:ascii="Times New Roman" w:hAnsi="Times New Roman" w:eastAsia="Times New Roman" w:cs="Times New Roman"/>
          <w:spacing w:val="-1"/>
          <w:sz w:val="20"/>
          <w:szCs w:val="20"/>
        </w:rPr>
        <w:t>of the</w:t>
      </w:r>
      <w:r>
        <w:rPr>
          <w:rFonts w:ascii="Times New Roman" w:hAnsi="Times New Roman" w:eastAsia="Times New Roman" w:cs="Times New Roman"/>
          <w:spacing w:val="22"/>
          <w:w w:val="101"/>
          <w:sz w:val="20"/>
          <w:szCs w:val="20"/>
        </w:rPr>
        <w:t xml:space="preserve"> </w:t>
      </w:r>
      <w:r>
        <w:rPr>
          <w:rFonts w:ascii="Times New Roman" w:hAnsi="Times New Roman" w:eastAsia="Times New Roman" w:cs="Times New Roman"/>
          <w:spacing w:val="-1"/>
          <w:sz w:val="20"/>
          <w:szCs w:val="20"/>
        </w:rPr>
        <w:t>major</w:t>
      </w:r>
      <w:r>
        <w:rPr>
          <w:rFonts w:ascii="Times New Roman" w:hAnsi="Times New Roman" w:eastAsia="Times New Roman" w:cs="Times New Roman"/>
          <w:spacing w:val="26"/>
          <w:w w:val="101"/>
          <w:sz w:val="20"/>
          <w:szCs w:val="20"/>
        </w:rPr>
        <w:t xml:space="preserve"> </w:t>
      </w:r>
      <w:r>
        <w:rPr>
          <w:rFonts w:ascii="Times New Roman" w:hAnsi="Times New Roman" w:eastAsia="Times New Roman" w:cs="Times New Roman"/>
          <w:spacing w:val="-1"/>
          <w:sz w:val="20"/>
          <w:szCs w:val="20"/>
        </w:rPr>
        <w:t>challenges</w:t>
      </w:r>
      <w:r>
        <w:rPr>
          <w:rFonts w:ascii="Times New Roman" w:hAnsi="Times New Roman" w:eastAsia="Times New Roman" w:cs="Times New Roman"/>
          <w:spacing w:val="23"/>
          <w:w w:val="101"/>
          <w:sz w:val="20"/>
          <w:szCs w:val="20"/>
        </w:rPr>
        <w:t xml:space="preserve"> </w:t>
      </w:r>
      <w:r>
        <w:rPr>
          <w:rFonts w:ascii="Times New Roman" w:hAnsi="Times New Roman" w:eastAsia="Times New Roman" w:cs="Times New Roman"/>
          <w:spacing w:val="-1"/>
          <w:sz w:val="20"/>
          <w:szCs w:val="20"/>
        </w:rPr>
        <w:t>to</w:t>
      </w:r>
      <w:r>
        <w:rPr>
          <w:rFonts w:ascii="Times New Roman" w:hAnsi="Times New Roman" w:eastAsia="Times New Roman" w:cs="Times New Roman"/>
          <w:spacing w:val="27"/>
          <w:sz w:val="20"/>
          <w:szCs w:val="20"/>
        </w:rPr>
        <w:t xml:space="preserve"> </w:t>
      </w:r>
      <w:r>
        <w:rPr>
          <w:rFonts w:ascii="Times New Roman" w:hAnsi="Times New Roman" w:eastAsia="Times New Roman" w:cs="Times New Roman"/>
          <w:spacing w:val="-1"/>
          <w:sz w:val="20"/>
          <w:szCs w:val="20"/>
        </w:rPr>
        <w:t>global</w:t>
      </w:r>
      <w:r>
        <w:rPr>
          <w:rFonts w:ascii="Times New Roman" w:hAnsi="Times New Roman" w:eastAsia="Times New Roman" w:cs="Times New Roman"/>
          <w:sz w:val="20"/>
          <w:szCs w:val="20"/>
        </w:rPr>
        <w:t xml:space="preserve">  tuberculosis</w:t>
      </w:r>
      <w:r>
        <w:rPr>
          <w:rFonts w:ascii="Times New Roman" w:hAnsi="Times New Roman" w:eastAsia="Times New Roman" w:cs="Times New Roman"/>
          <w:spacing w:val="15"/>
          <w:w w:val="101"/>
          <w:sz w:val="20"/>
          <w:szCs w:val="20"/>
        </w:rPr>
        <w:t xml:space="preserve"> </w:t>
      </w:r>
      <w:r>
        <w:rPr>
          <w:rFonts w:ascii="Times New Roman" w:hAnsi="Times New Roman" w:eastAsia="Times New Roman" w:cs="Times New Roman"/>
          <w:sz w:val="20"/>
          <w:szCs w:val="20"/>
        </w:rPr>
        <w:t>control</w:t>
      </w:r>
      <w:r>
        <w:rPr>
          <w:rFonts w:ascii="Times New Roman" w:hAnsi="Times New Roman" w:eastAsia="Times New Roman" w:cs="Times New Roman"/>
          <w:spacing w:val="13"/>
          <w:w w:val="101"/>
          <w:sz w:val="20"/>
          <w:szCs w:val="20"/>
        </w:rPr>
        <w:t xml:space="preserve"> </w:t>
      </w:r>
      <w:r>
        <w:rPr>
          <w:rFonts w:ascii="Times New Roman" w:hAnsi="Times New Roman" w:eastAsia="Times New Roman" w:cs="Times New Roman"/>
          <w:sz w:val="20"/>
          <w:szCs w:val="20"/>
        </w:rPr>
        <w:t>is the</w:t>
      </w:r>
      <w:r>
        <w:rPr>
          <w:rFonts w:ascii="Times New Roman" w:hAnsi="Times New Roman" w:eastAsia="Times New Roman" w:cs="Times New Roman"/>
          <w:spacing w:val="15"/>
          <w:w w:val="101"/>
          <w:sz w:val="20"/>
          <w:szCs w:val="20"/>
        </w:rPr>
        <w:t xml:space="preserve"> </w:t>
      </w:r>
      <w:r>
        <w:rPr>
          <w:rFonts w:ascii="Times New Roman" w:hAnsi="Times New Roman" w:eastAsia="Times New Roman" w:cs="Times New Roman"/>
          <w:sz w:val="20"/>
          <w:szCs w:val="20"/>
        </w:rPr>
        <w:t>epidemics</w:t>
      </w:r>
      <w:r>
        <w:rPr>
          <w:rFonts w:ascii="Times New Roman" w:hAnsi="Times New Roman" w:eastAsia="Times New Roman" w:cs="Times New Roman"/>
          <w:spacing w:val="15"/>
          <w:sz w:val="20"/>
          <w:szCs w:val="20"/>
        </w:rPr>
        <w:t xml:space="preserve"> </w:t>
      </w:r>
      <w:r>
        <w:rPr>
          <w:rFonts w:ascii="Times New Roman" w:hAnsi="Times New Roman" w:eastAsia="Times New Roman" w:cs="Times New Roman"/>
          <w:sz w:val="20"/>
          <w:szCs w:val="20"/>
        </w:rPr>
        <w:t>of drug-resistant tu</w:t>
      </w:r>
      <w:r>
        <w:rPr>
          <w:rFonts w:ascii="Times New Roman" w:hAnsi="Times New Roman" w:eastAsia="Times New Roman" w:cs="Times New Roman"/>
          <w:spacing w:val="-1"/>
          <w:sz w:val="20"/>
          <w:szCs w:val="20"/>
        </w:rPr>
        <w:t>berculosis.</w:t>
      </w:r>
    </w:p>
    <w:p w14:paraId="5649CEBE">
      <w:pPr>
        <w:spacing w:line="357" w:lineRule="auto"/>
        <w:rPr>
          <w:rFonts w:ascii="Arial"/>
          <w:sz w:val="21"/>
        </w:rPr>
      </w:pPr>
    </w:p>
    <w:p w14:paraId="2EB2E142">
      <w:pPr>
        <w:spacing w:before="65" w:line="342" w:lineRule="auto"/>
        <w:ind w:left="679" w:right="12" w:firstLine="419"/>
        <w:jc w:val="both"/>
        <w:rPr>
          <w:rFonts w:ascii="宋体" w:hAnsi="宋体" w:eastAsia="宋体" w:cs="宋体"/>
          <w:sz w:val="20"/>
          <w:szCs w:val="20"/>
        </w:rPr>
      </w:pPr>
      <w:r>
        <w:rPr>
          <w:rFonts w:ascii="宋体" w:hAnsi="宋体" w:eastAsia="宋体" w:cs="宋体"/>
          <w:spacing w:val="7"/>
          <w:sz w:val="20"/>
          <w:szCs w:val="20"/>
        </w:rPr>
        <w:t>结核病是全球重要的公共卫生问题。1993年，</w:t>
      </w:r>
      <w:r>
        <w:rPr>
          <w:rFonts w:ascii="Times New Roman" w:hAnsi="Times New Roman" w:eastAsia="Times New Roman" w:cs="Times New Roman"/>
          <w:sz w:val="20"/>
          <w:szCs w:val="20"/>
        </w:rPr>
        <w:t>WHO</w:t>
      </w:r>
      <w:r>
        <w:rPr>
          <w:rFonts w:ascii="Times New Roman" w:hAnsi="Times New Roman" w:eastAsia="Times New Roman" w:cs="Times New Roman"/>
          <w:spacing w:val="7"/>
          <w:sz w:val="20"/>
          <w:szCs w:val="20"/>
        </w:rPr>
        <w:t xml:space="preserve"> </w:t>
      </w:r>
      <w:r>
        <w:rPr>
          <w:rFonts w:ascii="宋体" w:hAnsi="宋体" w:eastAsia="宋体" w:cs="宋体"/>
          <w:spacing w:val="7"/>
          <w:sz w:val="20"/>
          <w:szCs w:val="20"/>
        </w:rPr>
        <w:t>宣布全球处于结核病紧急状态。尽管有效</w:t>
      </w:r>
      <w:r>
        <w:rPr>
          <w:rFonts w:ascii="宋体" w:hAnsi="宋体" w:eastAsia="宋体" w:cs="宋体"/>
          <w:spacing w:val="12"/>
          <w:sz w:val="20"/>
          <w:szCs w:val="20"/>
        </w:rPr>
        <w:t xml:space="preserve"> </w:t>
      </w:r>
      <w:r>
        <w:rPr>
          <w:rFonts w:ascii="宋体" w:hAnsi="宋体" w:eastAsia="宋体" w:cs="宋体"/>
          <w:spacing w:val="7"/>
          <w:sz w:val="20"/>
          <w:szCs w:val="20"/>
        </w:rPr>
        <w:t>的结核病化疗药物问世已有半个多世纪，但目前全球每年仍有150多万人死于结核病。2022年，在</w:t>
      </w:r>
      <w:r>
        <w:rPr>
          <w:rFonts w:ascii="宋体" w:hAnsi="宋体" w:eastAsia="宋体" w:cs="宋体"/>
          <w:spacing w:val="8"/>
          <w:sz w:val="20"/>
          <w:szCs w:val="20"/>
        </w:rPr>
        <w:t xml:space="preserve"> </w:t>
      </w:r>
      <w:r>
        <w:rPr>
          <w:rFonts w:ascii="宋体" w:hAnsi="宋体" w:eastAsia="宋体" w:cs="宋体"/>
          <w:spacing w:val="10"/>
          <w:sz w:val="20"/>
          <w:szCs w:val="20"/>
        </w:rPr>
        <w:t>全球30个结核病高负担国家中，我国每年结核病新发患者数位居第三位。结核病主要由结核分枝</w:t>
      </w:r>
      <w:r>
        <w:rPr>
          <w:rFonts w:ascii="宋体" w:hAnsi="宋体" w:eastAsia="宋体" w:cs="宋体"/>
          <w:sz w:val="20"/>
          <w:szCs w:val="20"/>
        </w:rPr>
        <w:t xml:space="preserve"> </w:t>
      </w:r>
      <w:r>
        <w:rPr>
          <w:rFonts w:ascii="宋体" w:hAnsi="宋体" w:eastAsia="宋体" w:cs="宋体"/>
          <w:spacing w:val="5"/>
          <w:sz w:val="20"/>
          <w:szCs w:val="20"/>
        </w:rPr>
        <w:t>杆菌所致，肺结核主要经飞沫传播，肺外结核病也可经消化道或者血行播散。大部分健康人在感染</w:t>
      </w:r>
      <w:r>
        <w:rPr>
          <w:rFonts w:ascii="宋体" w:hAnsi="宋体" w:eastAsia="宋体" w:cs="宋体"/>
          <w:spacing w:val="12"/>
          <w:sz w:val="20"/>
          <w:szCs w:val="20"/>
        </w:rPr>
        <w:t xml:space="preserve"> </w:t>
      </w:r>
      <w:r>
        <w:rPr>
          <w:rFonts w:ascii="宋体" w:hAnsi="宋体" w:eastAsia="宋体" w:cs="宋体"/>
          <w:spacing w:val="8"/>
          <w:sz w:val="20"/>
          <w:szCs w:val="20"/>
        </w:rPr>
        <w:t>了结核分枝杆菌后呈潜伏感染，少数感染者发病，发生活动性肺结核等。</w:t>
      </w:r>
      <w:r>
        <w:rPr>
          <w:rFonts w:ascii="宋体" w:hAnsi="宋体" w:eastAsia="宋体" w:cs="宋体"/>
          <w:spacing w:val="7"/>
          <w:sz w:val="20"/>
          <w:szCs w:val="20"/>
        </w:rPr>
        <w:t>机体在免疫功能低下(如</w:t>
      </w:r>
      <w:r>
        <w:rPr>
          <w:rFonts w:ascii="宋体" w:hAnsi="宋体" w:eastAsia="宋体" w:cs="宋体"/>
          <w:sz w:val="20"/>
          <w:szCs w:val="20"/>
        </w:rPr>
        <w:t xml:space="preserve"> </w:t>
      </w:r>
      <w:r>
        <w:rPr>
          <w:rFonts w:ascii="Times New Roman" w:hAnsi="Times New Roman" w:eastAsia="Times New Roman" w:cs="Times New Roman"/>
          <w:sz w:val="20"/>
          <w:szCs w:val="20"/>
        </w:rPr>
        <w:t>HIV</w:t>
      </w:r>
      <w:r>
        <w:rPr>
          <w:rFonts w:ascii="Times New Roman" w:hAnsi="Times New Roman" w:eastAsia="Times New Roman" w:cs="Times New Roman"/>
          <w:spacing w:val="8"/>
          <w:sz w:val="20"/>
          <w:szCs w:val="20"/>
        </w:rPr>
        <w:t xml:space="preserve"> </w:t>
      </w:r>
      <w:r>
        <w:rPr>
          <w:rFonts w:ascii="宋体" w:hAnsi="宋体" w:eastAsia="宋体" w:cs="宋体"/>
          <w:spacing w:val="8"/>
          <w:sz w:val="20"/>
          <w:szCs w:val="20"/>
        </w:rPr>
        <w:t>感染、患糖尿病或存在营养不良等)时容易发生结核病病变。</w:t>
      </w:r>
      <w:r>
        <w:rPr>
          <w:rFonts w:ascii="宋体" w:hAnsi="宋体" w:eastAsia="宋体" w:cs="宋体"/>
          <w:spacing w:val="7"/>
          <w:sz w:val="20"/>
          <w:szCs w:val="20"/>
        </w:rPr>
        <w:t>结核病治疗采用数种药物联合化</w:t>
      </w:r>
      <w:r>
        <w:rPr>
          <w:rFonts w:ascii="宋体" w:hAnsi="宋体" w:eastAsia="宋体" w:cs="宋体"/>
          <w:sz w:val="20"/>
          <w:szCs w:val="20"/>
        </w:rPr>
        <w:t xml:space="preserve"> </w:t>
      </w:r>
      <w:r>
        <w:rPr>
          <w:rFonts w:ascii="宋体" w:hAnsi="宋体" w:eastAsia="宋体" w:cs="宋体"/>
          <w:spacing w:val="10"/>
          <w:sz w:val="20"/>
          <w:szCs w:val="20"/>
        </w:rPr>
        <w:t>疗，疗程通常为6～8个月。许多结核病高负担国家先后实施了现代结核病控制策略、遏制结核病</w:t>
      </w:r>
      <w:r>
        <w:rPr>
          <w:rFonts w:ascii="宋体" w:hAnsi="宋体" w:eastAsia="宋体" w:cs="宋体"/>
          <w:spacing w:val="2"/>
          <w:sz w:val="20"/>
          <w:szCs w:val="20"/>
        </w:rPr>
        <w:t xml:space="preserve"> </w:t>
      </w:r>
      <w:r>
        <w:rPr>
          <w:rFonts w:ascii="宋体" w:hAnsi="宋体" w:eastAsia="宋体" w:cs="宋体"/>
          <w:spacing w:val="10"/>
          <w:sz w:val="20"/>
          <w:szCs w:val="20"/>
        </w:rPr>
        <w:t>策略和终结结核病策略。经过40多年的努力，全球结核病发病率上升趋势已经出现逆转，但依旧</w:t>
      </w:r>
      <w:r>
        <w:rPr>
          <w:rFonts w:ascii="宋体" w:hAnsi="宋体" w:eastAsia="宋体" w:cs="宋体"/>
          <w:spacing w:val="12"/>
          <w:sz w:val="20"/>
          <w:szCs w:val="20"/>
        </w:rPr>
        <w:t xml:space="preserve"> </w:t>
      </w:r>
      <w:r>
        <w:rPr>
          <w:rFonts w:ascii="宋体" w:hAnsi="宋体" w:eastAsia="宋体" w:cs="宋体"/>
          <w:spacing w:val="6"/>
          <w:sz w:val="20"/>
          <w:szCs w:val="20"/>
        </w:rPr>
        <w:t>面临耐药结核病等挑战。</w:t>
      </w:r>
    </w:p>
    <w:p w14:paraId="47408FDB">
      <w:pPr>
        <w:spacing w:line="266" w:lineRule="auto"/>
        <w:rPr>
          <w:rFonts w:ascii="Arial"/>
          <w:sz w:val="21"/>
        </w:rPr>
      </w:pPr>
    </w:p>
    <w:p w14:paraId="50C912C2">
      <w:pPr>
        <w:pStyle w:val="2"/>
        <w:spacing w:before="95" w:line="221" w:lineRule="auto"/>
        <w:ind w:left="4104"/>
        <w:outlineLvl w:val="1"/>
        <w:rPr>
          <w:sz w:val="29"/>
          <w:szCs w:val="29"/>
        </w:rPr>
      </w:pPr>
      <w:bookmarkStart w:id="509" w:name="bookmark319"/>
      <w:bookmarkEnd w:id="509"/>
      <w:r>
        <w:rPr>
          <w:b/>
          <w:bCs/>
          <w:spacing w:val="-7"/>
          <w:sz w:val="29"/>
          <w:szCs w:val="29"/>
        </w:rPr>
        <w:t>第一节</w:t>
      </w:r>
      <w:r>
        <w:rPr>
          <w:spacing w:val="136"/>
          <w:sz w:val="29"/>
          <w:szCs w:val="29"/>
        </w:rPr>
        <w:t xml:space="preserve"> </w:t>
      </w:r>
      <w:r>
        <w:rPr>
          <w:b/>
          <w:bCs/>
          <w:spacing w:val="-7"/>
          <w:sz w:val="29"/>
          <w:szCs w:val="29"/>
        </w:rPr>
        <w:t>概</w:t>
      </w:r>
      <w:r>
        <w:rPr>
          <w:spacing w:val="19"/>
          <w:sz w:val="29"/>
          <w:szCs w:val="29"/>
        </w:rPr>
        <w:t xml:space="preserve">  </w:t>
      </w:r>
      <w:r>
        <w:rPr>
          <w:b/>
          <w:bCs/>
          <w:spacing w:val="-7"/>
          <w:sz w:val="29"/>
          <w:szCs w:val="29"/>
        </w:rPr>
        <w:t>述</w:t>
      </w:r>
    </w:p>
    <w:p w14:paraId="5A6FE536">
      <w:pPr>
        <w:spacing w:line="318" w:lineRule="auto"/>
        <w:rPr>
          <w:rFonts w:ascii="Arial"/>
          <w:sz w:val="21"/>
        </w:rPr>
      </w:pPr>
    </w:p>
    <w:p w14:paraId="69ED2939">
      <w:pPr>
        <w:spacing w:before="65" w:line="344" w:lineRule="auto"/>
        <w:ind w:left="679" w:right="17" w:firstLine="419"/>
        <w:jc w:val="both"/>
        <w:rPr>
          <w:rFonts w:ascii="宋体" w:hAnsi="宋体" w:eastAsia="宋体" w:cs="宋体"/>
          <w:sz w:val="20"/>
          <w:szCs w:val="20"/>
        </w:rPr>
      </w:pPr>
      <w:r>
        <w:rPr>
          <w:rFonts w:ascii="宋体" w:hAnsi="宋体" w:eastAsia="宋体" w:cs="宋体"/>
          <w:spacing w:val="11"/>
          <w:sz w:val="20"/>
          <w:szCs w:val="20"/>
        </w:rPr>
        <w:t>结核病</w:t>
      </w:r>
      <w:r>
        <w:rPr>
          <w:rFonts w:ascii="Times New Roman" w:hAnsi="Times New Roman" w:eastAsia="Times New Roman" w:cs="Times New Roman"/>
          <w:spacing w:val="11"/>
          <w:sz w:val="20"/>
          <w:szCs w:val="20"/>
        </w:rPr>
        <w:t>(</w:t>
      </w:r>
      <w:r>
        <w:rPr>
          <w:rFonts w:ascii="Times New Roman" w:hAnsi="Times New Roman" w:eastAsia="Times New Roman" w:cs="Times New Roman"/>
          <w:sz w:val="20"/>
          <w:szCs w:val="20"/>
        </w:rPr>
        <w:t>tuberculosis</w:t>
      </w:r>
      <w:r>
        <w:rPr>
          <w:rFonts w:ascii="Times New Roman" w:hAnsi="Times New Roman" w:eastAsia="Times New Roman" w:cs="Times New Roman"/>
          <w:spacing w:val="11"/>
          <w:sz w:val="20"/>
          <w:szCs w:val="20"/>
        </w:rPr>
        <w:t>,</w:t>
      </w:r>
      <w:r>
        <w:rPr>
          <w:rFonts w:ascii="Times New Roman" w:hAnsi="Times New Roman" w:eastAsia="Times New Roman" w:cs="Times New Roman"/>
          <w:sz w:val="20"/>
          <w:szCs w:val="20"/>
        </w:rPr>
        <w:t>TB</w:t>
      </w:r>
      <w:r>
        <w:rPr>
          <w:rFonts w:ascii="Times New Roman" w:hAnsi="Times New Roman" w:eastAsia="Times New Roman" w:cs="Times New Roman"/>
          <w:spacing w:val="11"/>
          <w:sz w:val="20"/>
          <w:szCs w:val="20"/>
        </w:rPr>
        <w:t xml:space="preserve">)     </w:t>
      </w:r>
      <w:r>
        <w:rPr>
          <w:rFonts w:ascii="宋体" w:hAnsi="宋体" w:eastAsia="宋体" w:cs="宋体"/>
          <w:spacing w:val="11"/>
          <w:sz w:val="20"/>
          <w:szCs w:val="20"/>
        </w:rPr>
        <w:t>是一种慢性传染病，以肺结核为主，约占结核病的80%以上，肺结</w:t>
      </w:r>
      <w:r>
        <w:rPr>
          <w:rFonts w:ascii="宋体" w:hAnsi="宋体" w:eastAsia="宋体" w:cs="宋体"/>
          <w:spacing w:val="4"/>
          <w:sz w:val="20"/>
          <w:szCs w:val="20"/>
        </w:rPr>
        <w:t xml:space="preserve"> </w:t>
      </w:r>
      <w:r>
        <w:rPr>
          <w:rFonts w:ascii="宋体" w:hAnsi="宋体" w:eastAsia="宋体" w:cs="宋体"/>
          <w:spacing w:val="11"/>
          <w:sz w:val="20"/>
          <w:szCs w:val="20"/>
        </w:rPr>
        <w:t>核主要通过呼吸道传播。数千年来结核病严重危害</w:t>
      </w:r>
      <w:r>
        <w:rPr>
          <w:rFonts w:ascii="宋体" w:hAnsi="宋体" w:eastAsia="宋体" w:cs="宋体"/>
          <w:spacing w:val="10"/>
          <w:sz w:val="20"/>
          <w:szCs w:val="20"/>
        </w:rPr>
        <w:t>着人类健康，迄今仍是全球重要的公共卫生问</w:t>
      </w:r>
      <w:r>
        <w:rPr>
          <w:rFonts w:ascii="宋体" w:hAnsi="宋体" w:eastAsia="宋体" w:cs="宋体"/>
          <w:sz w:val="20"/>
          <w:szCs w:val="20"/>
        </w:rPr>
        <w:t xml:space="preserve"> </w:t>
      </w:r>
      <w:r>
        <w:rPr>
          <w:rFonts w:ascii="宋体" w:hAnsi="宋体" w:eastAsia="宋体" w:cs="宋体"/>
          <w:spacing w:val="10"/>
          <w:sz w:val="20"/>
          <w:szCs w:val="20"/>
        </w:rPr>
        <w:t>题。希波克拉底在公元前4世纪首次描述了结核病，把结核病称为“消耗病”,这一名称直观地描</w:t>
      </w:r>
      <w:r>
        <w:rPr>
          <w:rFonts w:ascii="宋体" w:hAnsi="宋体" w:eastAsia="宋体" w:cs="宋体"/>
          <w:sz w:val="20"/>
          <w:szCs w:val="20"/>
        </w:rPr>
        <w:t xml:space="preserve"> </w:t>
      </w:r>
      <w:r>
        <w:rPr>
          <w:rFonts w:ascii="宋体" w:hAnsi="宋体" w:eastAsia="宋体" w:cs="宋体"/>
          <w:spacing w:val="10"/>
          <w:sz w:val="20"/>
          <w:szCs w:val="20"/>
        </w:rPr>
        <w:t>述了结核病患者罹病后的消耗性症状和体征，几乎所有这类患者最后都死</w:t>
      </w:r>
      <w:r>
        <w:rPr>
          <w:rFonts w:ascii="宋体" w:hAnsi="宋体" w:eastAsia="宋体" w:cs="宋体"/>
          <w:spacing w:val="9"/>
          <w:sz w:val="20"/>
          <w:szCs w:val="20"/>
        </w:rPr>
        <w:t>于结核病。1720年，英</w:t>
      </w:r>
      <w:r>
        <w:rPr>
          <w:rFonts w:ascii="宋体" w:hAnsi="宋体" w:eastAsia="宋体" w:cs="宋体"/>
          <w:sz w:val="20"/>
          <w:szCs w:val="20"/>
        </w:rPr>
        <w:t xml:space="preserve"> </w:t>
      </w:r>
      <w:r>
        <w:rPr>
          <w:rFonts w:ascii="宋体" w:hAnsi="宋体" w:eastAsia="宋体" w:cs="宋体"/>
          <w:spacing w:val="13"/>
          <w:sz w:val="20"/>
          <w:szCs w:val="20"/>
        </w:rPr>
        <w:t>国医师</w:t>
      </w:r>
      <w:r>
        <w:rPr>
          <w:rFonts w:ascii="Times New Roman" w:hAnsi="Times New Roman" w:eastAsia="Times New Roman" w:cs="Times New Roman"/>
          <w:sz w:val="20"/>
          <w:szCs w:val="20"/>
        </w:rPr>
        <w:t>Benjamin</w:t>
      </w:r>
      <w:r>
        <w:rPr>
          <w:rFonts w:ascii="Times New Roman" w:hAnsi="Times New Roman" w:eastAsia="Times New Roman" w:cs="Times New Roman"/>
          <w:spacing w:val="13"/>
          <w:sz w:val="20"/>
          <w:szCs w:val="20"/>
        </w:rPr>
        <w:t xml:space="preserve">    </w:t>
      </w:r>
      <w:r>
        <w:rPr>
          <w:rFonts w:ascii="Times New Roman" w:hAnsi="Times New Roman" w:eastAsia="Times New Roman" w:cs="Times New Roman"/>
          <w:sz w:val="20"/>
          <w:szCs w:val="20"/>
        </w:rPr>
        <w:t>Marten</w:t>
      </w:r>
      <w:r>
        <w:rPr>
          <w:rFonts w:ascii="宋体" w:hAnsi="宋体" w:eastAsia="宋体" w:cs="宋体"/>
          <w:spacing w:val="13"/>
          <w:sz w:val="20"/>
          <w:szCs w:val="20"/>
        </w:rPr>
        <w:t>首次提出结核病可能是由肉</w:t>
      </w:r>
      <w:r>
        <w:rPr>
          <w:rFonts w:ascii="宋体" w:hAnsi="宋体" w:eastAsia="宋体" w:cs="宋体"/>
          <w:spacing w:val="12"/>
          <w:sz w:val="20"/>
          <w:szCs w:val="20"/>
        </w:rPr>
        <w:t>眼看不到的小生物引起的，进而指出与结核</w:t>
      </w:r>
      <w:r>
        <w:rPr>
          <w:rFonts w:ascii="宋体" w:hAnsi="宋体" w:eastAsia="宋体" w:cs="宋体"/>
          <w:sz w:val="20"/>
          <w:szCs w:val="20"/>
        </w:rPr>
        <w:t xml:space="preserve"> </w:t>
      </w:r>
      <w:r>
        <w:rPr>
          <w:rFonts w:ascii="宋体" w:hAnsi="宋体" w:eastAsia="宋体" w:cs="宋体"/>
          <w:spacing w:val="15"/>
          <w:sz w:val="20"/>
          <w:szCs w:val="20"/>
        </w:rPr>
        <w:t>病患者接触可能引起健康人患上此病。1882年3月24日，德国科学家</w:t>
      </w:r>
      <w:r>
        <w:rPr>
          <w:rFonts w:ascii="Times New Roman" w:hAnsi="Times New Roman" w:eastAsia="Times New Roman" w:cs="Times New Roman"/>
          <w:sz w:val="20"/>
          <w:szCs w:val="20"/>
        </w:rPr>
        <w:t>Robert   Koch</w:t>
      </w:r>
      <w:r>
        <w:rPr>
          <w:rFonts w:ascii="宋体" w:hAnsi="宋体" w:eastAsia="宋体" w:cs="宋体"/>
          <w:spacing w:val="15"/>
          <w:sz w:val="20"/>
          <w:szCs w:val="20"/>
        </w:rPr>
        <w:t>在关于结核病</w:t>
      </w:r>
      <w:r>
        <w:rPr>
          <w:rFonts w:ascii="宋体" w:hAnsi="宋体" w:eastAsia="宋体" w:cs="宋体"/>
          <w:sz w:val="20"/>
          <w:szCs w:val="20"/>
        </w:rPr>
        <w:t xml:space="preserve"> </w:t>
      </w:r>
      <w:r>
        <w:rPr>
          <w:rFonts w:ascii="宋体" w:hAnsi="宋体" w:eastAsia="宋体" w:cs="宋体"/>
          <w:spacing w:val="10"/>
          <w:sz w:val="20"/>
          <w:szCs w:val="20"/>
        </w:rPr>
        <w:t>的病因学的报告中首次报告了结核分枝杆菌是结核病的病原菌，并可</w:t>
      </w:r>
      <w:r>
        <w:rPr>
          <w:rFonts w:ascii="宋体" w:hAnsi="宋体" w:eastAsia="宋体" w:cs="宋体"/>
          <w:spacing w:val="9"/>
          <w:sz w:val="20"/>
          <w:szCs w:val="20"/>
        </w:rPr>
        <w:t>以从肺结核患者传播给健康</w:t>
      </w:r>
    </w:p>
    <w:p w14:paraId="60442FB7">
      <w:pPr>
        <w:spacing w:line="344" w:lineRule="auto"/>
        <w:rPr>
          <w:rFonts w:ascii="宋体" w:hAnsi="宋体" w:eastAsia="宋体" w:cs="宋体"/>
          <w:sz w:val="20"/>
          <w:szCs w:val="20"/>
        </w:rPr>
        <w:sectPr>
          <w:footerReference r:id="rId331" w:type="default"/>
          <w:pgSz w:w="11900" w:h="16820"/>
          <w:pgMar w:top="400" w:right="1538" w:bottom="849" w:left="820" w:header="0" w:footer="669" w:gutter="0"/>
          <w:cols w:space="720" w:num="1"/>
        </w:sectPr>
      </w:pPr>
    </w:p>
    <w:p w14:paraId="72953088">
      <w:pPr>
        <w:spacing w:line="329" w:lineRule="auto"/>
        <w:rPr>
          <w:rFonts w:ascii="Arial"/>
          <w:sz w:val="21"/>
        </w:rPr>
      </w:pPr>
    </w:p>
    <w:p w14:paraId="558348CF">
      <w:pPr>
        <w:pStyle w:val="2"/>
        <w:spacing w:before="65" w:line="222" w:lineRule="auto"/>
        <w:ind w:left="7330"/>
        <w:rPr>
          <w:sz w:val="20"/>
          <w:szCs w:val="20"/>
        </w:rPr>
      </w:pPr>
      <w:bookmarkStart w:id="510" w:name="bookmark580"/>
      <w:bookmarkEnd w:id="510"/>
      <w:r>
        <w:rPr>
          <w:spacing w:val="-9"/>
          <w:sz w:val="20"/>
          <w:szCs w:val="20"/>
        </w:rPr>
        <w:t>第二十章结核病</w:t>
      </w:r>
    </w:p>
    <w:p w14:paraId="347FEAB0">
      <w:pPr>
        <w:spacing w:line="271" w:lineRule="auto"/>
        <w:rPr>
          <w:rFonts w:ascii="Arial"/>
          <w:sz w:val="21"/>
        </w:rPr>
      </w:pPr>
    </w:p>
    <w:p w14:paraId="10B37FF5">
      <w:pPr>
        <w:spacing w:line="271" w:lineRule="auto"/>
        <w:rPr>
          <w:rFonts w:ascii="Arial"/>
          <w:sz w:val="21"/>
        </w:rPr>
      </w:pPr>
    </w:p>
    <w:p w14:paraId="1BBDECAE">
      <w:pPr>
        <w:spacing w:before="65" w:line="332" w:lineRule="auto"/>
        <w:ind w:right="545"/>
        <w:jc w:val="both"/>
        <w:rPr>
          <w:rFonts w:ascii="宋体" w:hAnsi="宋体" w:eastAsia="宋体" w:cs="宋体"/>
          <w:sz w:val="20"/>
          <w:szCs w:val="20"/>
        </w:rPr>
      </w:pPr>
      <w:r>
        <w:rPr>
          <w:rFonts w:ascii="宋体" w:hAnsi="宋体" w:eastAsia="宋体" w:cs="宋体"/>
          <w:spacing w:val="4"/>
          <w:sz w:val="20"/>
          <w:szCs w:val="20"/>
        </w:rPr>
        <w:t>人。1921年</w:t>
      </w:r>
      <w:r>
        <w:rPr>
          <w:rFonts w:ascii="Times New Roman" w:hAnsi="Times New Roman" w:eastAsia="Times New Roman" w:cs="Times New Roman"/>
          <w:sz w:val="20"/>
          <w:szCs w:val="20"/>
        </w:rPr>
        <w:t>Calmette</w:t>
      </w:r>
      <w:r>
        <w:rPr>
          <w:rFonts w:ascii="Times New Roman" w:hAnsi="Times New Roman" w:eastAsia="Times New Roman" w:cs="Times New Roman"/>
          <w:spacing w:val="27"/>
          <w:w w:val="101"/>
          <w:sz w:val="20"/>
          <w:szCs w:val="20"/>
        </w:rPr>
        <w:t xml:space="preserve"> </w:t>
      </w:r>
      <w:r>
        <w:rPr>
          <w:rFonts w:ascii="宋体" w:hAnsi="宋体" w:eastAsia="宋体" w:cs="宋体"/>
          <w:spacing w:val="4"/>
          <w:sz w:val="20"/>
          <w:szCs w:val="20"/>
        </w:rPr>
        <w:t>和</w:t>
      </w:r>
      <w:r>
        <w:rPr>
          <w:rFonts w:ascii="宋体" w:hAnsi="宋体" w:eastAsia="宋体" w:cs="宋体"/>
          <w:spacing w:val="-22"/>
          <w:sz w:val="20"/>
          <w:szCs w:val="20"/>
        </w:rPr>
        <w:t xml:space="preserve"> </w:t>
      </w:r>
      <w:r>
        <w:rPr>
          <w:rFonts w:ascii="Times New Roman" w:hAnsi="Times New Roman" w:eastAsia="Times New Roman" w:cs="Times New Roman"/>
          <w:sz w:val="20"/>
          <w:szCs w:val="20"/>
        </w:rPr>
        <w:t>Guerin</w:t>
      </w:r>
      <w:r>
        <w:rPr>
          <w:rFonts w:ascii="Times New Roman" w:hAnsi="Times New Roman" w:eastAsia="Times New Roman" w:cs="Times New Roman"/>
          <w:spacing w:val="42"/>
          <w:w w:val="101"/>
          <w:sz w:val="20"/>
          <w:szCs w:val="20"/>
        </w:rPr>
        <w:t xml:space="preserve"> </w:t>
      </w:r>
      <w:r>
        <w:rPr>
          <w:rFonts w:ascii="宋体" w:hAnsi="宋体" w:eastAsia="宋体" w:cs="宋体"/>
          <w:spacing w:val="4"/>
          <w:sz w:val="20"/>
          <w:szCs w:val="20"/>
        </w:rPr>
        <w:t>培育出减毒的牛型结核分枝杆菌——卡介苗，可用于特异性</w:t>
      </w:r>
      <w:r>
        <w:rPr>
          <w:rFonts w:ascii="宋体" w:hAnsi="宋体" w:eastAsia="宋体" w:cs="宋体"/>
          <w:spacing w:val="3"/>
          <w:sz w:val="20"/>
          <w:szCs w:val="20"/>
        </w:rPr>
        <w:t>免疫预</w:t>
      </w:r>
      <w:r>
        <w:rPr>
          <w:rFonts w:ascii="宋体" w:hAnsi="宋体" w:eastAsia="宋体" w:cs="宋体"/>
          <w:sz w:val="20"/>
          <w:szCs w:val="20"/>
        </w:rPr>
        <w:t xml:space="preserve"> </w:t>
      </w:r>
      <w:r>
        <w:rPr>
          <w:rFonts w:ascii="宋体" w:hAnsi="宋体" w:eastAsia="宋体" w:cs="宋体"/>
          <w:spacing w:val="1"/>
          <w:sz w:val="20"/>
          <w:szCs w:val="20"/>
        </w:rPr>
        <w:t>防。1944年链霉素的问世启动了结核病的化学治</w:t>
      </w:r>
      <w:r>
        <w:rPr>
          <w:rFonts w:ascii="宋体" w:hAnsi="宋体" w:eastAsia="宋体" w:cs="宋体"/>
          <w:sz w:val="20"/>
          <w:szCs w:val="20"/>
        </w:rPr>
        <w:t xml:space="preserve">疗。其后，伴随着异烟肼、利福平、吮嗓酰肢和乙  </w:t>
      </w:r>
      <w:r>
        <w:rPr>
          <w:rFonts w:ascii="宋体" w:hAnsi="宋体" w:eastAsia="宋体" w:cs="宋体"/>
          <w:spacing w:val="3"/>
          <w:sz w:val="20"/>
          <w:szCs w:val="20"/>
        </w:rPr>
        <w:t>胺丁醇等抗结核药物的临床应用，结核病的病死率得到了有效的控制，成为一种可治愈的传染病。</w:t>
      </w:r>
      <w:r>
        <w:rPr>
          <w:rFonts w:ascii="宋体" w:hAnsi="宋体" w:eastAsia="宋体" w:cs="宋体"/>
          <w:sz w:val="20"/>
          <w:szCs w:val="20"/>
        </w:rPr>
        <w:t xml:space="preserve"> </w:t>
      </w:r>
      <w:r>
        <w:rPr>
          <w:rFonts w:ascii="宋体" w:hAnsi="宋体" w:eastAsia="宋体" w:cs="宋体"/>
          <w:spacing w:val="6"/>
          <w:sz w:val="20"/>
          <w:szCs w:val="20"/>
        </w:rPr>
        <w:t>结核病化疗方案也已从单一药物的长期治疗(2年左右),发展到多种药物的联合治疗</w:t>
      </w:r>
      <w:r>
        <w:rPr>
          <w:rFonts w:ascii="宋体" w:hAnsi="宋体" w:eastAsia="宋体" w:cs="宋体"/>
          <w:spacing w:val="5"/>
          <w:sz w:val="20"/>
          <w:szCs w:val="20"/>
        </w:rPr>
        <w:t>，并大幅度缩</w:t>
      </w:r>
      <w:r>
        <w:rPr>
          <w:rFonts w:ascii="宋体" w:hAnsi="宋体" w:eastAsia="宋体" w:cs="宋体"/>
          <w:sz w:val="20"/>
          <w:szCs w:val="20"/>
        </w:rPr>
        <w:t xml:space="preserve"> </w:t>
      </w:r>
      <w:r>
        <w:rPr>
          <w:rFonts w:ascii="宋体" w:hAnsi="宋体" w:eastAsia="宋体" w:cs="宋体"/>
          <w:spacing w:val="5"/>
          <w:sz w:val="20"/>
          <w:szCs w:val="20"/>
        </w:rPr>
        <w:t>短了疗程，形成了标准化短程化疗(6～9个月)。1995年起，在</w:t>
      </w:r>
      <w:r>
        <w:rPr>
          <w:rFonts w:ascii="Times New Roman" w:hAnsi="Times New Roman" w:eastAsia="Times New Roman" w:cs="Times New Roman"/>
          <w:sz w:val="20"/>
          <w:szCs w:val="20"/>
        </w:rPr>
        <w:t>WHO</w:t>
      </w:r>
      <w:r>
        <w:rPr>
          <w:rFonts w:ascii="宋体" w:hAnsi="宋体" w:eastAsia="宋体" w:cs="宋体"/>
          <w:spacing w:val="5"/>
          <w:sz w:val="20"/>
          <w:szCs w:val="20"/>
        </w:rPr>
        <w:t>和全球遏制结核病联盟</w:t>
      </w:r>
      <w:r>
        <w:rPr>
          <w:rFonts w:ascii="Times New Roman" w:hAnsi="Times New Roman" w:eastAsia="Times New Roman" w:cs="Times New Roman"/>
          <w:spacing w:val="5"/>
          <w:sz w:val="20"/>
          <w:szCs w:val="20"/>
        </w:rPr>
        <w:t>(</w:t>
      </w:r>
      <w:r>
        <w:rPr>
          <w:rFonts w:ascii="Times New Roman" w:hAnsi="Times New Roman" w:eastAsia="Times New Roman" w:cs="Times New Roman"/>
          <w:sz w:val="20"/>
          <w:szCs w:val="20"/>
        </w:rPr>
        <w:t>Stop</w:t>
      </w:r>
      <w:r>
        <w:rPr>
          <w:rFonts w:ascii="Times New Roman" w:hAnsi="Times New Roman" w:eastAsia="Times New Roman" w:cs="Times New Roman"/>
          <w:spacing w:val="5"/>
          <w:sz w:val="20"/>
          <w:szCs w:val="20"/>
        </w:rPr>
        <w:t>-</w:t>
      </w:r>
      <w:r>
        <w:rPr>
          <w:rFonts w:ascii="Times New Roman" w:hAnsi="Times New Roman" w:eastAsia="Times New Roman" w:cs="Times New Roman"/>
          <w:spacing w:val="2"/>
          <w:sz w:val="20"/>
          <w:szCs w:val="20"/>
        </w:rPr>
        <w:t xml:space="preserve">   </w:t>
      </w:r>
      <w:r>
        <w:rPr>
          <w:rFonts w:ascii="宋体" w:hAnsi="宋体" w:eastAsia="宋体" w:cs="宋体"/>
          <w:sz w:val="20"/>
          <w:szCs w:val="20"/>
        </w:rPr>
        <w:t>TB</w:t>
      </w:r>
      <w:r>
        <w:rPr>
          <w:rFonts w:ascii="宋体" w:hAnsi="宋体" w:eastAsia="宋体" w:cs="宋体"/>
          <w:spacing w:val="88"/>
          <w:sz w:val="20"/>
          <w:szCs w:val="20"/>
        </w:rPr>
        <w:t xml:space="preserve"> </w:t>
      </w:r>
      <w:r>
        <w:rPr>
          <w:rFonts w:ascii="宋体" w:hAnsi="宋体" w:eastAsia="宋体" w:cs="宋体"/>
          <w:sz w:val="20"/>
          <w:szCs w:val="20"/>
        </w:rPr>
        <w:t>Partnership</w:t>
      </w:r>
      <w:r>
        <w:rPr>
          <w:rFonts w:ascii="宋体" w:hAnsi="宋体" w:eastAsia="宋体" w:cs="宋体"/>
          <w:spacing w:val="2"/>
          <w:sz w:val="20"/>
          <w:szCs w:val="20"/>
        </w:rPr>
        <w:t>)的倡导以及国际抗结核病与肺部疾病联盟等组织和各国政府的共同努力下，结核</w:t>
      </w:r>
      <w:r>
        <w:rPr>
          <w:rFonts w:ascii="宋体" w:hAnsi="宋体" w:eastAsia="宋体" w:cs="宋体"/>
          <w:sz w:val="20"/>
          <w:szCs w:val="20"/>
        </w:rPr>
        <w:t xml:space="preserve"> </w:t>
      </w:r>
      <w:r>
        <w:rPr>
          <w:rFonts w:ascii="宋体" w:hAnsi="宋体" w:eastAsia="宋体" w:cs="宋体"/>
          <w:spacing w:val="5"/>
          <w:sz w:val="20"/>
          <w:szCs w:val="20"/>
        </w:rPr>
        <w:t>病高负担国家和地区全面实施了以直接面视下的短程化疗</w:t>
      </w:r>
      <w:r>
        <w:rPr>
          <w:rFonts w:ascii="Times New Roman" w:hAnsi="Times New Roman" w:eastAsia="Times New Roman" w:cs="Times New Roman"/>
          <w:spacing w:val="5"/>
          <w:sz w:val="20"/>
          <w:szCs w:val="20"/>
        </w:rPr>
        <w:t>(</w:t>
      </w:r>
      <w:r>
        <w:rPr>
          <w:rFonts w:ascii="Times New Roman" w:hAnsi="Times New Roman" w:eastAsia="Times New Roman" w:cs="Times New Roman"/>
          <w:sz w:val="20"/>
          <w:szCs w:val="20"/>
        </w:rPr>
        <w:t>directly</w:t>
      </w:r>
      <w:r>
        <w:rPr>
          <w:rFonts w:ascii="Times New Roman" w:hAnsi="Times New Roman" w:eastAsia="Times New Roman" w:cs="Times New Roman"/>
          <w:spacing w:val="60"/>
          <w:sz w:val="20"/>
          <w:szCs w:val="20"/>
        </w:rPr>
        <w:t xml:space="preserve"> </w:t>
      </w:r>
      <w:r>
        <w:rPr>
          <w:rFonts w:ascii="Times New Roman" w:hAnsi="Times New Roman" w:eastAsia="Times New Roman" w:cs="Times New Roman"/>
          <w:sz w:val="20"/>
          <w:szCs w:val="20"/>
        </w:rPr>
        <w:t>observed</w:t>
      </w:r>
      <w:r>
        <w:rPr>
          <w:rFonts w:ascii="Times New Roman" w:hAnsi="Times New Roman" w:eastAsia="Times New Roman" w:cs="Times New Roman"/>
          <w:spacing w:val="42"/>
          <w:sz w:val="20"/>
          <w:szCs w:val="20"/>
        </w:rPr>
        <w:t xml:space="preserve"> </w:t>
      </w:r>
      <w:r>
        <w:rPr>
          <w:rFonts w:ascii="Times New Roman" w:hAnsi="Times New Roman" w:eastAsia="Times New Roman" w:cs="Times New Roman"/>
          <w:sz w:val="20"/>
          <w:szCs w:val="20"/>
        </w:rPr>
        <w:t>treatment</w:t>
      </w:r>
      <w:r>
        <w:rPr>
          <w:rFonts w:ascii="Times New Roman" w:hAnsi="Times New Roman" w:eastAsia="Times New Roman" w:cs="Times New Roman"/>
          <w:spacing w:val="5"/>
          <w:sz w:val="20"/>
          <w:szCs w:val="20"/>
        </w:rPr>
        <w:t>,</w:t>
      </w:r>
      <w:r>
        <w:rPr>
          <w:rFonts w:ascii="Times New Roman" w:hAnsi="Times New Roman" w:eastAsia="Times New Roman" w:cs="Times New Roman"/>
          <w:sz w:val="20"/>
          <w:szCs w:val="20"/>
        </w:rPr>
        <w:t>short</w:t>
      </w:r>
      <w:r>
        <w:rPr>
          <w:rFonts w:ascii="Times New Roman" w:hAnsi="Times New Roman" w:eastAsia="Times New Roman" w:cs="Times New Roman"/>
          <w:spacing w:val="47"/>
          <w:sz w:val="20"/>
          <w:szCs w:val="20"/>
        </w:rPr>
        <w:t xml:space="preserve"> </w:t>
      </w:r>
      <w:r>
        <w:rPr>
          <w:rFonts w:ascii="Times New Roman" w:hAnsi="Times New Roman" w:eastAsia="Times New Roman" w:cs="Times New Roman"/>
          <w:sz w:val="20"/>
          <w:szCs w:val="20"/>
        </w:rPr>
        <w:t>course</w:t>
      </w:r>
      <w:r>
        <w:rPr>
          <w:rFonts w:ascii="Times New Roman" w:hAnsi="Times New Roman" w:eastAsia="Times New Roman" w:cs="Times New Roman"/>
          <w:spacing w:val="5"/>
          <w:sz w:val="20"/>
          <w:szCs w:val="20"/>
        </w:rPr>
        <w:t>;</w:t>
      </w:r>
      <w:r>
        <w:rPr>
          <w:rFonts w:ascii="Times New Roman" w:hAnsi="Times New Roman" w:eastAsia="Times New Roman" w:cs="Times New Roman"/>
          <w:sz w:val="20"/>
          <w:szCs w:val="20"/>
        </w:rPr>
        <w:t xml:space="preserve">   DOTS</w:t>
      </w:r>
      <w:r>
        <w:rPr>
          <w:rFonts w:ascii="Times New Roman" w:hAnsi="Times New Roman" w:eastAsia="Times New Roman" w:cs="Times New Roman"/>
          <w:spacing w:val="3"/>
          <w:sz w:val="20"/>
          <w:szCs w:val="20"/>
        </w:rPr>
        <w:t xml:space="preserve">) </w:t>
      </w:r>
      <w:r>
        <w:rPr>
          <w:rFonts w:ascii="宋体" w:hAnsi="宋体" w:eastAsia="宋体" w:cs="宋体"/>
          <w:spacing w:val="3"/>
          <w:sz w:val="20"/>
          <w:szCs w:val="20"/>
        </w:rPr>
        <w:t>为核心的现代结核病控制策略，2006年起逐步实</w:t>
      </w:r>
      <w:r>
        <w:rPr>
          <w:rFonts w:ascii="宋体" w:hAnsi="宋体" w:eastAsia="宋体" w:cs="宋体"/>
          <w:spacing w:val="2"/>
          <w:sz w:val="20"/>
          <w:szCs w:val="20"/>
        </w:rPr>
        <w:t>施遏制结核病策略</w:t>
      </w:r>
      <w:r>
        <w:rPr>
          <w:rFonts w:ascii="Times New Roman" w:hAnsi="Times New Roman" w:eastAsia="Times New Roman" w:cs="Times New Roman"/>
          <w:spacing w:val="2"/>
          <w:sz w:val="20"/>
          <w:szCs w:val="20"/>
        </w:rPr>
        <w:t>(</w:t>
      </w:r>
      <w:r>
        <w:rPr>
          <w:rFonts w:ascii="Times New Roman" w:hAnsi="Times New Roman" w:eastAsia="Times New Roman" w:cs="Times New Roman"/>
          <w:sz w:val="20"/>
          <w:szCs w:val="20"/>
        </w:rPr>
        <w:t>Stop</w:t>
      </w:r>
      <w:r>
        <w:rPr>
          <w:rFonts w:ascii="Times New Roman" w:hAnsi="Times New Roman" w:eastAsia="Times New Roman" w:cs="Times New Roman"/>
          <w:spacing w:val="2"/>
          <w:sz w:val="20"/>
          <w:szCs w:val="20"/>
        </w:rPr>
        <w:t>-</w:t>
      </w:r>
      <w:r>
        <w:rPr>
          <w:rFonts w:ascii="Times New Roman" w:hAnsi="Times New Roman" w:eastAsia="Times New Roman" w:cs="Times New Roman"/>
          <w:sz w:val="20"/>
          <w:szCs w:val="20"/>
        </w:rPr>
        <w:t>TB</w:t>
      </w:r>
      <w:r>
        <w:rPr>
          <w:rFonts w:ascii="Times New Roman" w:hAnsi="Times New Roman" w:eastAsia="Times New Roman" w:cs="Times New Roman"/>
          <w:spacing w:val="14"/>
          <w:sz w:val="20"/>
          <w:szCs w:val="20"/>
        </w:rPr>
        <w:t xml:space="preserve">  </w:t>
      </w:r>
      <w:r>
        <w:rPr>
          <w:rFonts w:ascii="Times New Roman" w:hAnsi="Times New Roman" w:eastAsia="Times New Roman" w:cs="Times New Roman"/>
          <w:sz w:val="20"/>
          <w:szCs w:val="20"/>
        </w:rPr>
        <w:t>Strategy</w:t>
      </w:r>
      <w:r>
        <w:rPr>
          <w:rFonts w:ascii="Times New Roman" w:hAnsi="Times New Roman" w:eastAsia="Times New Roman" w:cs="Times New Roman"/>
          <w:spacing w:val="2"/>
          <w:sz w:val="20"/>
          <w:szCs w:val="20"/>
        </w:rPr>
        <w:t>).</w:t>
      </w:r>
      <w:r>
        <w:rPr>
          <w:rFonts w:ascii="宋体" w:hAnsi="宋体" w:eastAsia="宋体" w:cs="宋体"/>
          <w:spacing w:val="2"/>
          <w:sz w:val="20"/>
          <w:szCs w:val="20"/>
        </w:rPr>
        <w:t>取得</w:t>
      </w:r>
      <w:r>
        <w:rPr>
          <w:rFonts w:ascii="宋体" w:hAnsi="宋体" w:eastAsia="宋体" w:cs="宋体"/>
          <w:sz w:val="20"/>
          <w:szCs w:val="20"/>
        </w:rPr>
        <w:t xml:space="preserve">  </w:t>
      </w:r>
      <w:r>
        <w:rPr>
          <w:rFonts w:ascii="宋体" w:hAnsi="宋体" w:eastAsia="宋体" w:cs="宋体"/>
          <w:spacing w:val="10"/>
          <w:sz w:val="20"/>
          <w:szCs w:val="20"/>
        </w:rPr>
        <w:t>了结核病控制的巨大成就。2012年的</w:t>
      </w:r>
      <w:r>
        <w:rPr>
          <w:rFonts w:ascii="Times New Roman" w:hAnsi="Times New Roman" w:eastAsia="Times New Roman" w:cs="Times New Roman"/>
          <w:sz w:val="20"/>
          <w:szCs w:val="20"/>
        </w:rPr>
        <w:t>WHO</w:t>
      </w:r>
      <w:r>
        <w:rPr>
          <w:rFonts w:ascii="Times New Roman" w:hAnsi="Times New Roman" w:eastAsia="Times New Roman" w:cs="Times New Roman"/>
          <w:spacing w:val="-14"/>
          <w:sz w:val="20"/>
          <w:szCs w:val="20"/>
        </w:rPr>
        <w:t xml:space="preserve"> </w:t>
      </w:r>
      <w:r>
        <w:rPr>
          <w:rFonts w:ascii="宋体" w:hAnsi="宋体" w:eastAsia="宋体" w:cs="宋体"/>
          <w:spacing w:val="10"/>
          <w:sz w:val="20"/>
          <w:szCs w:val="20"/>
        </w:rPr>
        <w:t>会议上，与会的卫生部部长们呼吁</w:t>
      </w:r>
      <w:r>
        <w:rPr>
          <w:rFonts w:ascii="Times New Roman" w:hAnsi="Times New Roman" w:eastAsia="Times New Roman" w:cs="Times New Roman"/>
          <w:sz w:val="20"/>
          <w:szCs w:val="20"/>
        </w:rPr>
        <w:t>WHO</w:t>
      </w:r>
      <w:r>
        <w:rPr>
          <w:rFonts w:ascii="Times New Roman" w:hAnsi="Times New Roman" w:eastAsia="Times New Roman" w:cs="Times New Roman"/>
          <w:spacing w:val="-15"/>
          <w:sz w:val="20"/>
          <w:szCs w:val="20"/>
        </w:rPr>
        <w:t xml:space="preserve"> </w:t>
      </w:r>
      <w:r>
        <w:rPr>
          <w:rFonts w:ascii="宋体" w:hAnsi="宋体" w:eastAsia="宋体" w:cs="宋体"/>
          <w:spacing w:val="10"/>
          <w:sz w:val="20"/>
          <w:szCs w:val="20"/>
        </w:rPr>
        <w:t>在2014</w:t>
      </w:r>
      <w:r>
        <w:rPr>
          <w:rFonts w:ascii="宋体" w:hAnsi="宋体" w:eastAsia="宋体" w:cs="宋体"/>
          <w:spacing w:val="9"/>
          <w:sz w:val="20"/>
          <w:szCs w:val="20"/>
        </w:rPr>
        <w:t>年确</w:t>
      </w:r>
      <w:r>
        <w:rPr>
          <w:rFonts w:ascii="宋体" w:hAnsi="宋体" w:eastAsia="宋体" w:cs="宋体"/>
          <w:sz w:val="20"/>
          <w:szCs w:val="20"/>
        </w:rPr>
        <w:t xml:space="preserve">  </w:t>
      </w:r>
      <w:r>
        <w:rPr>
          <w:rFonts w:ascii="宋体" w:hAnsi="宋体" w:eastAsia="宋体" w:cs="宋体"/>
          <w:spacing w:val="6"/>
          <w:sz w:val="20"/>
          <w:szCs w:val="20"/>
        </w:rPr>
        <w:t>立2015年后的结核病防治策略和与之相适应的结核病控制目标。全球结核病项目组通过与各个国</w:t>
      </w:r>
      <w:r>
        <w:rPr>
          <w:rFonts w:ascii="宋体" w:hAnsi="宋体" w:eastAsia="宋体" w:cs="宋体"/>
          <w:spacing w:val="4"/>
          <w:sz w:val="20"/>
          <w:szCs w:val="20"/>
        </w:rPr>
        <w:t xml:space="preserve"> </w:t>
      </w:r>
      <w:r>
        <w:rPr>
          <w:rFonts w:ascii="宋体" w:hAnsi="宋体" w:eastAsia="宋体" w:cs="宋体"/>
          <w:spacing w:val="-2"/>
          <w:sz w:val="20"/>
          <w:szCs w:val="20"/>
        </w:rPr>
        <w:t>家 、</w:t>
      </w:r>
      <w:r>
        <w:rPr>
          <w:rFonts w:ascii="Times New Roman" w:hAnsi="Times New Roman" w:eastAsia="Times New Roman" w:cs="Times New Roman"/>
          <w:spacing w:val="-2"/>
          <w:sz w:val="20"/>
          <w:szCs w:val="20"/>
        </w:rPr>
        <w:t>WHO</w:t>
      </w:r>
      <w:r>
        <w:rPr>
          <w:rFonts w:ascii="Times New Roman" w:hAnsi="Times New Roman" w:eastAsia="Times New Roman" w:cs="Times New Roman"/>
          <w:spacing w:val="35"/>
          <w:w w:val="101"/>
          <w:sz w:val="20"/>
          <w:szCs w:val="20"/>
        </w:rPr>
        <w:t xml:space="preserve"> </w:t>
      </w:r>
      <w:r>
        <w:rPr>
          <w:rFonts w:ascii="宋体" w:hAnsi="宋体" w:eastAsia="宋体" w:cs="宋体"/>
          <w:spacing w:val="-2"/>
          <w:sz w:val="20"/>
          <w:szCs w:val="20"/>
        </w:rPr>
        <w:t>成员国和地区的官方机构及合作伙伴沟通，制定了终结结核病策略</w:t>
      </w:r>
      <w:r>
        <w:rPr>
          <w:rFonts w:ascii="Times New Roman" w:hAnsi="Times New Roman" w:eastAsia="Times New Roman" w:cs="Times New Roman"/>
          <w:spacing w:val="-2"/>
          <w:sz w:val="20"/>
          <w:szCs w:val="20"/>
        </w:rPr>
        <w:t>(END-TB</w:t>
      </w:r>
      <w:r>
        <w:rPr>
          <w:rFonts w:ascii="Times New Roman" w:hAnsi="Times New Roman" w:eastAsia="Times New Roman" w:cs="Times New Roman"/>
          <w:spacing w:val="13"/>
          <w:w w:val="101"/>
          <w:sz w:val="20"/>
          <w:szCs w:val="20"/>
        </w:rPr>
        <w:t xml:space="preserve">  </w:t>
      </w:r>
      <w:r>
        <w:rPr>
          <w:rFonts w:ascii="Times New Roman" w:hAnsi="Times New Roman" w:eastAsia="Times New Roman" w:cs="Times New Roman"/>
          <w:spacing w:val="-2"/>
          <w:sz w:val="20"/>
          <w:szCs w:val="20"/>
        </w:rPr>
        <w:t>Strat</w:t>
      </w:r>
      <w:r>
        <w:rPr>
          <w:rFonts w:ascii="Times New Roman" w:hAnsi="Times New Roman" w:eastAsia="Times New Roman" w:cs="Times New Roman"/>
          <w:spacing w:val="-3"/>
          <w:sz w:val="20"/>
          <w:szCs w:val="20"/>
        </w:rPr>
        <w:t>egy)</w:t>
      </w:r>
      <w:r>
        <w:rPr>
          <w:rFonts w:ascii="宋体" w:hAnsi="宋体" w:eastAsia="宋体" w:cs="宋体"/>
          <w:spacing w:val="-3"/>
          <w:sz w:val="20"/>
          <w:szCs w:val="20"/>
        </w:rPr>
        <w:t>的</w:t>
      </w:r>
      <w:r>
        <w:rPr>
          <w:rFonts w:ascii="宋体" w:hAnsi="宋体" w:eastAsia="宋体" w:cs="宋体"/>
          <w:sz w:val="20"/>
          <w:szCs w:val="20"/>
        </w:rPr>
        <w:t xml:space="preserve">  </w:t>
      </w:r>
      <w:r>
        <w:rPr>
          <w:rFonts w:ascii="宋体" w:hAnsi="宋体" w:eastAsia="宋体" w:cs="宋体"/>
          <w:spacing w:val="-3"/>
          <w:sz w:val="20"/>
          <w:szCs w:val="20"/>
        </w:rPr>
        <w:t>基本框架。愿景是“一个没有结核病的世界；没有因结核病而死亡、忍受</w:t>
      </w:r>
      <w:r>
        <w:rPr>
          <w:rFonts w:ascii="宋体" w:hAnsi="宋体" w:eastAsia="宋体" w:cs="宋体"/>
          <w:spacing w:val="-4"/>
          <w:sz w:val="20"/>
          <w:szCs w:val="20"/>
        </w:rPr>
        <w:t>痛苦和折磨的患者”。目标</w:t>
      </w:r>
      <w:r>
        <w:rPr>
          <w:rFonts w:ascii="宋体" w:hAnsi="宋体" w:eastAsia="宋体" w:cs="宋体"/>
          <w:sz w:val="20"/>
          <w:szCs w:val="20"/>
        </w:rPr>
        <w:t xml:space="preserve"> </w:t>
      </w:r>
      <w:r>
        <w:rPr>
          <w:rFonts w:ascii="宋体" w:hAnsi="宋体" w:eastAsia="宋体" w:cs="宋体"/>
          <w:spacing w:val="2"/>
          <w:sz w:val="20"/>
          <w:szCs w:val="20"/>
        </w:rPr>
        <w:t>是消除结核病的全球流行。目前，全球结核病控制正朝着终结结</w:t>
      </w:r>
      <w:r>
        <w:rPr>
          <w:rFonts w:ascii="宋体" w:hAnsi="宋体" w:eastAsia="宋体" w:cs="宋体"/>
          <w:spacing w:val="1"/>
          <w:sz w:val="20"/>
          <w:szCs w:val="20"/>
        </w:rPr>
        <w:t>核病流行这个方向稳步迈进。</w:t>
      </w:r>
    </w:p>
    <w:p w14:paraId="7844C845">
      <w:pPr>
        <w:pStyle w:val="2"/>
        <w:spacing w:before="280" w:line="221" w:lineRule="auto"/>
        <w:ind w:left="453"/>
        <w:outlineLvl w:val="4"/>
        <w:rPr>
          <w:sz w:val="26"/>
          <w:szCs w:val="26"/>
        </w:rPr>
      </w:pPr>
      <w:bookmarkStart w:id="511" w:name="bookmark320"/>
      <w:bookmarkEnd w:id="511"/>
      <w:r>
        <w:rPr>
          <w:b/>
          <w:bCs/>
          <w:spacing w:val="-18"/>
          <w:sz w:val="26"/>
          <w:szCs w:val="26"/>
        </w:rPr>
        <w:t>一</w:t>
      </w:r>
      <w:r>
        <w:rPr>
          <w:spacing w:val="-74"/>
          <w:sz w:val="26"/>
          <w:szCs w:val="26"/>
        </w:rPr>
        <w:t xml:space="preserve"> </w:t>
      </w:r>
      <w:r>
        <w:rPr>
          <w:b/>
          <w:bCs/>
          <w:spacing w:val="-18"/>
          <w:sz w:val="26"/>
          <w:szCs w:val="26"/>
        </w:rPr>
        <w:t>、感染和发病</w:t>
      </w:r>
    </w:p>
    <w:p w14:paraId="2A777BFA">
      <w:pPr>
        <w:spacing w:before="248" w:line="340" w:lineRule="auto"/>
        <w:ind w:right="613" w:firstLine="450"/>
        <w:rPr>
          <w:rFonts w:ascii="宋体" w:hAnsi="宋体" w:eastAsia="宋体" w:cs="宋体"/>
          <w:sz w:val="20"/>
          <w:szCs w:val="20"/>
        </w:rPr>
      </w:pPr>
      <w:r>
        <w:rPr>
          <w:rFonts w:ascii="宋体" w:hAnsi="宋体" w:eastAsia="宋体" w:cs="宋体"/>
          <w:spacing w:val="13"/>
          <w:sz w:val="20"/>
          <w:szCs w:val="20"/>
        </w:rPr>
        <w:t>结核病的病原体为结核分枝杆菌(简称结核菌),属分枝杆菌，后者主</w:t>
      </w:r>
      <w:r>
        <w:rPr>
          <w:rFonts w:ascii="宋体" w:hAnsi="宋体" w:eastAsia="宋体" w:cs="宋体"/>
          <w:spacing w:val="12"/>
          <w:sz w:val="20"/>
          <w:szCs w:val="20"/>
        </w:rPr>
        <w:t>要包括结核分枝杆菌</w:t>
      </w:r>
      <w:r>
        <w:rPr>
          <w:rFonts w:ascii="宋体" w:hAnsi="宋体" w:eastAsia="宋体" w:cs="宋体"/>
          <w:sz w:val="20"/>
          <w:szCs w:val="20"/>
        </w:rPr>
        <w:t xml:space="preserve"> </w:t>
      </w:r>
      <w:r>
        <w:rPr>
          <w:rFonts w:ascii="Times New Roman" w:hAnsi="Times New Roman" w:eastAsia="Times New Roman" w:cs="Times New Roman"/>
          <w:spacing w:val="1"/>
          <w:sz w:val="20"/>
          <w:szCs w:val="20"/>
        </w:rPr>
        <w:t>(M.</w:t>
      </w:r>
      <w:r>
        <w:rPr>
          <w:rFonts w:ascii="Times New Roman" w:hAnsi="Times New Roman" w:eastAsia="Times New Roman" w:cs="Times New Roman"/>
          <w:sz w:val="20"/>
          <w:szCs w:val="20"/>
        </w:rPr>
        <w:t>tuberculosis</w:t>
      </w:r>
      <w:r>
        <w:rPr>
          <w:rFonts w:ascii="Times New Roman" w:hAnsi="Times New Roman" w:eastAsia="Times New Roman" w:cs="Times New Roman"/>
          <w:spacing w:val="1"/>
          <w:sz w:val="20"/>
          <w:szCs w:val="20"/>
        </w:rPr>
        <w:t>)</w:t>
      </w:r>
      <w:r>
        <w:rPr>
          <w:rFonts w:ascii="Times New Roman" w:hAnsi="Times New Roman" w:eastAsia="Times New Roman" w:cs="Times New Roman"/>
          <w:spacing w:val="-25"/>
          <w:sz w:val="20"/>
          <w:szCs w:val="20"/>
        </w:rPr>
        <w:t xml:space="preserve"> </w:t>
      </w:r>
      <w:r>
        <w:rPr>
          <w:rFonts w:ascii="宋体" w:hAnsi="宋体" w:eastAsia="宋体" w:cs="宋体"/>
          <w:spacing w:val="1"/>
          <w:sz w:val="20"/>
          <w:szCs w:val="20"/>
        </w:rPr>
        <w:t>、 牛分枝杆菌</w:t>
      </w:r>
      <w:r>
        <w:rPr>
          <w:rFonts w:ascii="Times New Roman" w:hAnsi="Times New Roman" w:eastAsia="Times New Roman" w:cs="Times New Roman"/>
          <w:spacing w:val="1"/>
          <w:sz w:val="20"/>
          <w:szCs w:val="20"/>
        </w:rPr>
        <w:t>(M.</w:t>
      </w:r>
      <w:r>
        <w:rPr>
          <w:rFonts w:ascii="Times New Roman" w:hAnsi="Times New Roman" w:eastAsia="Times New Roman" w:cs="Times New Roman"/>
          <w:sz w:val="20"/>
          <w:szCs w:val="20"/>
        </w:rPr>
        <w:t>bovis</w:t>
      </w:r>
      <w:r>
        <w:rPr>
          <w:rFonts w:ascii="Times New Roman" w:hAnsi="Times New Roman" w:eastAsia="Times New Roman" w:cs="Times New Roman"/>
          <w:spacing w:val="1"/>
          <w:sz w:val="20"/>
          <w:szCs w:val="20"/>
        </w:rPr>
        <w:t>)</w:t>
      </w:r>
      <w:r>
        <w:rPr>
          <w:rFonts w:ascii="Times New Roman" w:hAnsi="Times New Roman" w:eastAsia="Times New Roman" w:cs="Times New Roman"/>
          <w:spacing w:val="-28"/>
          <w:sz w:val="20"/>
          <w:szCs w:val="20"/>
        </w:rPr>
        <w:t xml:space="preserve"> </w:t>
      </w:r>
      <w:r>
        <w:rPr>
          <w:rFonts w:ascii="宋体" w:hAnsi="宋体" w:eastAsia="宋体" w:cs="宋体"/>
          <w:spacing w:val="1"/>
          <w:sz w:val="20"/>
          <w:szCs w:val="20"/>
        </w:rPr>
        <w:t>、非洲分枝杆菌</w:t>
      </w:r>
      <w:r>
        <w:rPr>
          <w:rFonts w:ascii="Times New Roman" w:hAnsi="Times New Roman" w:eastAsia="Times New Roman" w:cs="Times New Roman"/>
          <w:spacing w:val="1"/>
          <w:sz w:val="20"/>
          <w:szCs w:val="20"/>
        </w:rPr>
        <w:t>(M.</w:t>
      </w:r>
      <w:r>
        <w:rPr>
          <w:rFonts w:ascii="Times New Roman" w:hAnsi="Times New Roman" w:eastAsia="Times New Roman" w:cs="Times New Roman"/>
          <w:sz w:val="20"/>
          <w:szCs w:val="20"/>
        </w:rPr>
        <w:t>africanum</w:t>
      </w:r>
      <w:r>
        <w:rPr>
          <w:rFonts w:ascii="Times New Roman" w:hAnsi="Times New Roman" w:eastAsia="Times New Roman" w:cs="Times New Roman"/>
          <w:spacing w:val="1"/>
          <w:sz w:val="20"/>
          <w:szCs w:val="20"/>
        </w:rPr>
        <w:t>)</w:t>
      </w:r>
      <w:r>
        <w:rPr>
          <w:rFonts w:ascii="Times New Roman" w:hAnsi="Times New Roman" w:eastAsia="Times New Roman" w:cs="Times New Roman"/>
          <w:spacing w:val="-28"/>
          <w:sz w:val="20"/>
          <w:szCs w:val="20"/>
        </w:rPr>
        <w:t xml:space="preserve"> </w:t>
      </w:r>
      <w:r>
        <w:rPr>
          <w:rFonts w:ascii="宋体" w:hAnsi="宋体" w:eastAsia="宋体" w:cs="宋体"/>
          <w:spacing w:val="1"/>
          <w:sz w:val="20"/>
          <w:szCs w:val="20"/>
        </w:rPr>
        <w:t>、田鼠分枝杆菌</w:t>
      </w:r>
      <w:r>
        <w:rPr>
          <w:rFonts w:ascii="Times New Roman" w:hAnsi="Times New Roman" w:eastAsia="Times New Roman" w:cs="Times New Roman"/>
          <w:spacing w:val="1"/>
          <w:sz w:val="20"/>
          <w:szCs w:val="20"/>
        </w:rPr>
        <w:t>(M.</w:t>
      </w:r>
      <w:r>
        <w:rPr>
          <w:rFonts w:ascii="Times New Roman" w:hAnsi="Times New Roman" w:eastAsia="Times New Roman" w:cs="Times New Roman"/>
          <w:sz w:val="20"/>
          <w:szCs w:val="20"/>
        </w:rPr>
        <w:t>microti</w:t>
      </w:r>
      <w:r>
        <w:rPr>
          <w:rFonts w:ascii="Times New Roman" w:hAnsi="Times New Roman" w:eastAsia="Times New Roman" w:cs="Times New Roman"/>
          <w:spacing w:val="1"/>
          <w:sz w:val="20"/>
          <w:szCs w:val="20"/>
        </w:rPr>
        <w:t>)</w:t>
      </w:r>
      <w:r>
        <w:rPr>
          <w:rFonts w:ascii="Times New Roman" w:hAnsi="Times New Roman" w:eastAsia="Times New Roman" w:cs="Times New Roman"/>
          <w:spacing w:val="-28"/>
          <w:sz w:val="20"/>
          <w:szCs w:val="20"/>
        </w:rPr>
        <w:t xml:space="preserve"> </w:t>
      </w:r>
      <w:r>
        <w:rPr>
          <w:rFonts w:ascii="宋体" w:hAnsi="宋体" w:eastAsia="宋体" w:cs="宋体"/>
          <w:spacing w:val="1"/>
          <w:sz w:val="20"/>
          <w:szCs w:val="20"/>
        </w:rPr>
        <w:t>、</w:t>
      </w:r>
      <w:r>
        <w:rPr>
          <w:rFonts w:ascii="宋体" w:hAnsi="宋体" w:eastAsia="宋体" w:cs="宋体"/>
          <w:sz w:val="20"/>
          <w:szCs w:val="20"/>
        </w:rPr>
        <w:t xml:space="preserve"> </w:t>
      </w:r>
      <w:r>
        <w:rPr>
          <w:rFonts w:ascii="宋体" w:hAnsi="宋体" w:eastAsia="宋体" w:cs="宋体"/>
          <w:spacing w:val="-2"/>
          <w:sz w:val="20"/>
          <w:szCs w:val="20"/>
        </w:rPr>
        <w:t>卡内蒂分枝杆菌(M.canetti)、海豹分枝杆菌(M.pinnipedii)和山羊分枝杆菌(M.caprae)</w:t>
      </w:r>
      <w:r>
        <w:rPr>
          <w:rFonts w:ascii="宋体" w:hAnsi="宋体" w:eastAsia="宋体" w:cs="宋体"/>
          <w:spacing w:val="-29"/>
          <w:sz w:val="20"/>
          <w:szCs w:val="20"/>
        </w:rPr>
        <w:t xml:space="preserve"> </w:t>
      </w:r>
      <w:r>
        <w:rPr>
          <w:rFonts w:ascii="宋体" w:hAnsi="宋体" w:eastAsia="宋体" w:cs="宋体"/>
          <w:spacing w:val="-2"/>
          <w:sz w:val="20"/>
          <w:szCs w:val="20"/>
        </w:rPr>
        <w:t>等。以结核</w:t>
      </w:r>
      <w:r>
        <w:rPr>
          <w:rFonts w:ascii="宋体" w:hAnsi="宋体" w:eastAsia="宋体" w:cs="宋体"/>
          <w:sz w:val="20"/>
          <w:szCs w:val="20"/>
        </w:rPr>
        <w:t xml:space="preserve"> </w:t>
      </w:r>
      <w:r>
        <w:rPr>
          <w:rFonts w:ascii="宋体" w:hAnsi="宋体" w:eastAsia="宋体" w:cs="宋体"/>
          <w:spacing w:val="11"/>
          <w:sz w:val="20"/>
          <w:szCs w:val="20"/>
        </w:rPr>
        <w:t>分枝杆菌对人的感染率和致病率最高，约占</w:t>
      </w:r>
      <w:r>
        <w:rPr>
          <w:rFonts w:ascii="宋体" w:hAnsi="宋体" w:eastAsia="宋体" w:cs="宋体"/>
          <w:spacing w:val="10"/>
          <w:sz w:val="20"/>
          <w:szCs w:val="20"/>
        </w:rPr>
        <w:t>90%,牛分枝杆菌较少(约占5%),其他约占5%。</w:t>
      </w:r>
    </w:p>
    <w:p w14:paraId="1C20FE16">
      <w:pPr>
        <w:spacing w:before="12" w:line="331" w:lineRule="auto"/>
        <w:ind w:right="596" w:firstLine="450"/>
        <w:jc w:val="both"/>
        <w:rPr>
          <w:rFonts w:ascii="宋体" w:hAnsi="宋体" w:eastAsia="宋体" w:cs="宋体"/>
          <w:sz w:val="20"/>
          <w:szCs w:val="20"/>
        </w:rPr>
      </w:pPr>
      <w:r>
        <w:rPr>
          <w:rFonts w:ascii="宋体" w:hAnsi="宋体" w:eastAsia="宋体" w:cs="宋体"/>
          <w:spacing w:val="1"/>
          <w:sz w:val="20"/>
          <w:szCs w:val="20"/>
        </w:rPr>
        <w:t>结核分枝杆菌典型的形态为直或微弯曲的细长杆菌，革兰氏染色</w:t>
      </w:r>
      <w:r>
        <w:rPr>
          <w:rFonts w:ascii="宋体" w:hAnsi="宋体" w:eastAsia="宋体" w:cs="宋体"/>
          <w:sz w:val="20"/>
          <w:szCs w:val="20"/>
        </w:rPr>
        <w:t>阳性，但不易着色，具有抗酸 性，用齐-内</w:t>
      </w:r>
      <w:r>
        <w:rPr>
          <w:rFonts w:ascii="Times New Roman" w:hAnsi="Times New Roman" w:eastAsia="Times New Roman" w:cs="Times New Roman"/>
          <w:sz w:val="20"/>
          <w:szCs w:val="20"/>
        </w:rPr>
        <w:t xml:space="preserve">(Ziehl-Neelsen)  </w:t>
      </w:r>
      <w:r>
        <w:rPr>
          <w:rFonts w:ascii="宋体" w:hAnsi="宋体" w:eastAsia="宋体" w:cs="宋体"/>
          <w:sz w:val="20"/>
          <w:szCs w:val="20"/>
        </w:rPr>
        <w:t>染色法抗酸性强，借此能与痰液等标本内的其他杆菌相</w:t>
      </w:r>
      <w:r>
        <w:rPr>
          <w:rFonts w:ascii="宋体" w:hAnsi="宋体" w:eastAsia="宋体" w:cs="宋体"/>
          <w:spacing w:val="-1"/>
          <w:sz w:val="20"/>
          <w:szCs w:val="20"/>
        </w:rPr>
        <w:t>区别。结核分枝</w:t>
      </w:r>
      <w:r>
        <w:rPr>
          <w:rFonts w:ascii="宋体" w:hAnsi="宋体" w:eastAsia="宋体" w:cs="宋体"/>
          <w:sz w:val="20"/>
          <w:szCs w:val="20"/>
        </w:rPr>
        <w:t xml:space="preserve"> </w:t>
      </w:r>
      <w:r>
        <w:rPr>
          <w:rFonts w:ascii="宋体" w:hAnsi="宋体" w:eastAsia="宋体" w:cs="宋体"/>
          <w:spacing w:val="1"/>
          <w:sz w:val="20"/>
          <w:szCs w:val="20"/>
        </w:rPr>
        <w:t>杆菌为需氧菌，生长缓慢，增殖一代通常需要16～24小时，固体培养通常需2～4周，临床初次分离</w:t>
      </w:r>
      <w:r>
        <w:rPr>
          <w:rFonts w:ascii="宋体" w:hAnsi="宋体" w:eastAsia="宋体" w:cs="宋体"/>
          <w:spacing w:val="14"/>
          <w:sz w:val="20"/>
          <w:szCs w:val="20"/>
        </w:rPr>
        <w:t xml:space="preserve"> </w:t>
      </w:r>
      <w:r>
        <w:rPr>
          <w:rFonts w:ascii="宋体" w:hAnsi="宋体" w:eastAsia="宋体" w:cs="宋体"/>
          <w:spacing w:val="7"/>
          <w:sz w:val="20"/>
          <w:szCs w:val="20"/>
        </w:rPr>
        <w:t>培养时常用改良罗氏培养基(固体法)或者肉汤培养</w:t>
      </w:r>
      <w:r>
        <w:rPr>
          <w:rFonts w:ascii="宋体" w:hAnsi="宋体" w:eastAsia="宋体" w:cs="宋体"/>
          <w:spacing w:val="6"/>
          <w:sz w:val="20"/>
          <w:szCs w:val="20"/>
        </w:rPr>
        <w:t>基等(液体法)。</w:t>
      </w:r>
    </w:p>
    <w:p w14:paraId="3BEBDB53">
      <w:pPr>
        <w:spacing w:before="16" w:line="333" w:lineRule="auto"/>
        <w:ind w:right="610" w:firstLine="450"/>
        <w:jc w:val="both"/>
        <w:rPr>
          <w:rFonts w:ascii="宋体" w:hAnsi="宋体" w:eastAsia="宋体" w:cs="宋体"/>
          <w:sz w:val="20"/>
          <w:szCs w:val="20"/>
        </w:rPr>
      </w:pPr>
      <w:r>
        <w:rPr>
          <w:rFonts w:ascii="宋体" w:hAnsi="宋体" w:eastAsia="宋体" w:cs="宋体"/>
          <w:spacing w:val="5"/>
          <w:sz w:val="20"/>
          <w:szCs w:val="20"/>
        </w:rPr>
        <w:t>结核分枝杆菌侵入机体的门户主要是呼吸道。它可以通过血行或淋巴播散侵袭机体的所有脏</w:t>
      </w:r>
      <w:r>
        <w:rPr>
          <w:rFonts w:ascii="宋体" w:hAnsi="宋体" w:eastAsia="宋体" w:cs="宋体"/>
          <w:spacing w:val="6"/>
          <w:sz w:val="20"/>
          <w:szCs w:val="20"/>
        </w:rPr>
        <w:t xml:space="preserve"> </w:t>
      </w:r>
      <w:r>
        <w:rPr>
          <w:rFonts w:ascii="宋体" w:hAnsi="宋体" w:eastAsia="宋体" w:cs="宋体"/>
          <w:spacing w:val="1"/>
          <w:sz w:val="20"/>
          <w:szCs w:val="20"/>
        </w:rPr>
        <w:t>器和组织，人体除了头发、指甲和牙齿外，其他器官都可以被结核分枝杆菌侵袭，而以肺</w:t>
      </w:r>
      <w:r>
        <w:rPr>
          <w:rFonts w:ascii="宋体" w:hAnsi="宋体" w:eastAsia="宋体" w:cs="宋体"/>
          <w:sz w:val="20"/>
          <w:szCs w:val="20"/>
        </w:rPr>
        <w:t xml:space="preserve">脏最为常 </w:t>
      </w:r>
      <w:r>
        <w:rPr>
          <w:rFonts w:ascii="宋体" w:hAnsi="宋体" w:eastAsia="宋体" w:cs="宋体"/>
          <w:spacing w:val="8"/>
          <w:sz w:val="20"/>
          <w:szCs w:val="20"/>
        </w:rPr>
        <w:t>见。在各类结核病患者中，最多见的也是肺结核，约占结核病患者的80%以上。结核菌通过呼吸</w:t>
      </w:r>
      <w:r>
        <w:rPr>
          <w:rFonts w:ascii="宋体" w:hAnsi="宋体" w:eastAsia="宋体" w:cs="宋体"/>
          <w:spacing w:val="13"/>
          <w:sz w:val="20"/>
          <w:szCs w:val="20"/>
        </w:rPr>
        <w:t xml:space="preserve"> </w:t>
      </w:r>
      <w:r>
        <w:rPr>
          <w:rFonts w:ascii="宋体" w:hAnsi="宋体" w:eastAsia="宋体" w:cs="宋体"/>
          <w:spacing w:val="-4"/>
          <w:sz w:val="20"/>
          <w:szCs w:val="20"/>
        </w:rPr>
        <w:t>道进人肺泡进行繁殖，称为“原发感染”。原发感染的结核菌沿淋巴管进入血流中，再经血液循环到</w:t>
      </w:r>
      <w:r>
        <w:rPr>
          <w:rFonts w:ascii="宋体" w:hAnsi="宋体" w:eastAsia="宋体" w:cs="宋体"/>
          <w:spacing w:val="18"/>
          <w:sz w:val="20"/>
          <w:szCs w:val="20"/>
        </w:rPr>
        <w:t xml:space="preserve"> </w:t>
      </w:r>
      <w:r>
        <w:rPr>
          <w:rFonts w:ascii="宋体" w:hAnsi="宋体" w:eastAsia="宋体" w:cs="宋体"/>
          <w:spacing w:val="-7"/>
          <w:sz w:val="20"/>
          <w:szCs w:val="20"/>
        </w:rPr>
        <w:t>达各个脏器和组织，如肠、肾、骨、关节、淋</w:t>
      </w:r>
      <w:r>
        <w:rPr>
          <w:rFonts w:ascii="宋体" w:hAnsi="宋体" w:eastAsia="宋体" w:cs="宋体"/>
          <w:spacing w:val="-8"/>
          <w:sz w:val="20"/>
          <w:szCs w:val="20"/>
        </w:rPr>
        <w:t>巴等，此过程叫作“血行播散”。机体感染结核分枝杆菌</w:t>
      </w:r>
      <w:r>
        <w:rPr>
          <w:rFonts w:ascii="宋体" w:hAnsi="宋体" w:eastAsia="宋体" w:cs="宋体"/>
          <w:sz w:val="20"/>
          <w:szCs w:val="20"/>
        </w:rPr>
        <w:t xml:space="preserve"> </w:t>
      </w:r>
      <w:r>
        <w:rPr>
          <w:rFonts w:ascii="宋体" w:hAnsi="宋体" w:eastAsia="宋体" w:cs="宋体"/>
          <w:spacing w:val="6"/>
          <w:sz w:val="20"/>
          <w:szCs w:val="20"/>
        </w:rPr>
        <w:t xml:space="preserve">后是否发病受到细菌毒力、侵入机体的菌量以及机体自身免疫力的影响。大部分感染者可能一生 </w:t>
      </w:r>
      <w:r>
        <w:rPr>
          <w:rFonts w:ascii="宋体" w:hAnsi="宋体" w:eastAsia="宋体" w:cs="宋体"/>
          <w:spacing w:val="7"/>
          <w:sz w:val="20"/>
          <w:szCs w:val="20"/>
        </w:rPr>
        <w:t>都不发病，此时，结核分枝杆菌蛰伏于体内，称为潜伏感染</w:t>
      </w:r>
      <w:r>
        <w:rPr>
          <w:rFonts w:ascii="Times New Roman" w:hAnsi="Times New Roman" w:eastAsia="Times New Roman" w:cs="Times New Roman"/>
          <w:spacing w:val="7"/>
          <w:sz w:val="20"/>
          <w:szCs w:val="20"/>
        </w:rPr>
        <w:t>(</w:t>
      </w:r>
      <w:r>
        <w:rPr>
          <w:rFonts w:ascii="Times New Roman" w:hAnsi="Times New Roman" w:eastAsia="Times New Roman" w:cs="Times New Roman"/>
          <w:sz w:val="20"/>
          <w:szCs w:val="20"/>
        </w:rPr>
        <w:t>latent</w:t>
      </w:r>
      <w:r>
        <w:rPr>
          <w:rFonts w:ascii="Times New Roman" w:hAnsi="Times New Roman" w:eastAsia="Times New Roman" w:cs="Times New Roman"/>
          <w:spacing w:val="1"/>
          <w:sz w:val="20"/>
          <w:szCs w:val="20"/>
        </w:rPr>
        <w:t xml:space="preserve">    </w:t>
      </w:r>
      <w:r>
        <w:rPr>
          <w:rFonts w:ascii="Times New Roman" w:hAnsi="Times New Roman" w:eastAsia="Times New Roman" w:cs="Times New Roman"/>
          <w:sz w:val="20"/>
          <w:szCs w:val="20"/>
        </w:rPr>
        <w:t>infection</w:t>
      </w:r>
      <w:r>
        <w:rPr>
          <w:rFonts w:ascii="Times New Roman" w:hAnsi="Times New Roman" w:eastAsia="Times New Roman" w:cs="Times New Roman"/>
          <w:spacing w:val="7"/>
          <w:sz w:val="20"/>
          <w:szCs w:val="20"/>
        </w:rPr>
        <w:t>)</w:t>
      </w:r>
      <w:r>
        <w:rPr>
          <w:rFonts w:ascii="宋体" w:hAnsi="宋体" w:eastAsia="宋体" w:cs="宋体"/>
          <w:spacing w:val="7"/>
          <w:sz w:val="20"/>
          <w:szCs w:val="20"/>
        </w:rPr>
        <w:t>。只有约5%～1</w:t>
      </w:r>
      <w:r>
        <w:rPr>
          <w:rFonts w:ascii="宋体" w:hAnsi="宋体" w:eastAsia="宋体" w:cs="宋体"/>
          <w:spacing w:val="6"/>
          <w:sz w:val="20"/>
          <w:szCs w:val="20"/>
        </w:rPr>
        <w:t>0%的</w:t>
      </w:r>
      <w:r>
        <w:rPr>
          <w:rFonts w:ascii="宋体" w:hAnsi="宋体" w:eastAsia="宋体" w:cs="宋体"/>
          <w:spacing w:val="2"/>
          <w:sz w:val="20"/>
          <w:szCs w:val="20"/>
        </w:rPr>
        <w:t xml:space="preserve"> </w:t>
      </w:r>
      <w:r>
        <w:rPr>
          <w:rFonts w:ascii="宋体" w:hAnsi="宋体" w:eastAsia="宋体" w:cs="宋体"/>
          <w:spacing w:val="10"/>
          <w:sz w:val="20"/>
          <w:szCs w:val="20"/>
        </w:rPr>
        <w:t>感染者会在一生中的某一阶段发展为活动性结核病，在发病患者中，有60%～90%发生在感染初</w:t>
      </w:r>
      <w:r>
        <w:rPr>
          <w:rFonts w:ascii="宋体" w:hAnsi="宋体" w:eastAsia="宋体" w:cs="宋体"/>
          <w:sz w:val="20"/>
          <w:szCs w:val="20"/>
        </w:rPr>
        <w:t xml:space="preserve"> </w:t>
      </w:r>
      <w:r>
        <w:rPr>
          <w:rFonts w:ascii="宋体" w:hAnsi="宋体" w:eastAsia="宋体" w:cs="宋体"/>
          <w:spacing w:val="6"/>
          <w:sz w:val="20"/>
          <w:szCs w:val="20"/>
        </w:rPr>
        <w:t>期的1～2年内。处于潜伏感染的感染者没有结核病的临床表现，也不会传播结核病，其体内的结</w:t>
      </w:r>
      <w:r>
        <w:rPr>
          <w:rFonts w:ascii="宋体" w:hAnsi="宋体" w:eastAsia="宋体" w:cs="宋体"/>
          <w:spacing w:val="2"/>
          <w:sz w:val="20"/>
          <w:szCs w:val="20"/>
        </w:rPr>
        <w:t xml:space="preserve"> </w:t>
      </w:r>
      <w:r>
        <w:rPr>
          <w:rFonts w:ascii="宋体" w:hAnsi="宋体" w:eastAsia="宋体" w:cs="宋体"/>
          <w:spacing w:val="6"/>
          <w:sz w:val="20"/>
          <w:szCs w:val="20"/>
        </w:rPr>
        <w:t>核分枝杆菌处于休眠静止状态；但当机体因各种原因出现免疫力下降时，处于休眠状态的结核分</w:t>
      </w:r>
      <w:r>
        <w:rPr>
          <w:rFonts w:ascii="宋体" w:hAnsi="宋体" w:eastAsia="宋体" w:cs="宋体"/>
          <w:spacing w:val="5"/>
          <w:sz w:val="20"/>
          <w:szCs w:val="20"/>
        </w:rPr>
        <w:t xml:space="preserve"> </w:t>
      </w:r>
      <w:r>
        <w:rPr>
          <w:rFonts w:ascii="宋体" w:hAnsi="宋体" w:eastAsia="宋体" w:cs="宋体"/>
          <w:spacing w:val="2"/>
          <w:sz w:val="20"/>
          <w:szCs w:val="20"/>
        </w:rPr>
        <w:t>枝杆菌会重新滋生繁殖，引起发病，这一过程称为复燃</w:t>
      </w:r>
      <w:r>
        <w:rPr>
          <w:rFonts w:ascii="Times New Roman" w:hAnsi="Times New Roman" w:eastAsia="Times New Roman" w:cs="Times New Roman"/>
          <w:spacing w:val="2"/>
          <w:sz w:val="20"/>
          <w:szCs w:val="20"/>
        </w:rPr>
        <w:t>(</w:t>
      </w:r>
      <w:r>
        <w:rPr>
          <w:rFonts w:ascii="Times New Roman" w:hAnsi="Times New Roman" w:eastAsia="Times New Roman" w:cs="Times New Roman"/>
          <w:sz w:val="20"/>
          <w:szCs w:val="20"/>
        </w:rPr>
        <w:t>reactivation</w:t>
      </w:r>
      <w:r>
        <w:rPr>
          <w:rFonts w:ascii="Times New Roman" w:hAnsi="Times New Roman" w:eastAsia="Times New Roman" w:cs="Times New Roman"/>
          <w:spacing w:val="2"/>
          <w:sz w:val="20"/>
          <w:szCs w:val="20"/>
        </w:rPr>
        <w:t xml:space="preserve">)    </w:t>
      </w:r>
      <w:r>
        <w:rPr>
          <w:rFonts w:ascii="宋体" w:hAnsi="宋体" w:eastAsia="宋体" w:cs="宋体"/>
          <w:spacing w:val="2"/>
          <w:sz w:val="20"/>
          <w:szCs w:val="20"/>
        </w:rPr>
        <w:t>或“内源性发病”</w:t>
      </w:r>
      <w:r>
        <w:rPr>
          <w:rFonts w:ascii="宋体" w:hAnsi="宋体" w:eastAsia="宋体" w:cs="宋体"/>
          <w:spacing w:val="1"/>
          <w:sz w:val="20"/>
          <w:szCs w:val="20"/>
        </w:rPr>
        <w:t>,大部分成</w:t>
      </w:r>
      <w:r>
        <w:rPr>
          <w:rFonts w:ascii="宋体" w:hAnsi="宋体" w:eastAsia="宋体" w:cs="宋体"/>
          <w:sz w:val="20"/>
          <w:szCs w:val="20"/>
        </w:rPr>
        <w:t xml:space="preserve"> </w:t>
      </w:r>
      <w:r>
        <w:rPr>
          <w:rFonts w:ascii="宋体" w:hAnsi="宋体" w:eastAsia="宋体" w:cs="宋体"/>
          <w:spacing w:val="6"/>
          <w:sz w:val="20"/>
          <w:szCs w:val="20"/>
        </w:rPr>
        <w:t>人的发病为潜伏感染后的复燃。少部分感染者因感染的菌量大、毒力强或重复多次感染，在感染</w:t>
      </w:r>
      <w:r>
        <w:rPr>
          <w:rFonts w:ascii="宋体" w:hAnsi="宋体" w:eastAsia="宋体" w:cs="宋体"/>
          <w:spacing w:val="5"/>
          <w:sz w:val="20"/>
          <w:szCs w:val="20"/>
        </w:rPr>
        <w:t xml:space="preserve"> </w:t>
      </w:r>
      <w:r>
        <w:rPr>
          <w:rFonts w:ascii="宋体" w:hAnsi="宋体" w:eastAsia="宋体" w:cs="宋体"/>
          <w:spacing w:val="1"/>
          <w:sz w:val="20"/>
          <w:szCs w:val="20"/>
        </w:rPr>
        <w:t>后很快发病，称为“外源性发病”。婴幼儿、</w:t>
      </w:r>
      <w:r>
        <w:rPr>
          <w:rFonts w:ascii="宋体" w:hAnsi="宋体" w:eastAsia="宋体" w:cs="宋体"/>
          <w:sz w:val="20"/>
          <w:szCs w:val="20"/>
        </w:rPr>
        <w:t>HIV</w:t>
      </w:r>
      <w:r>
        <w:rPr>
          <w:rFonts w:ascii="宋体" w:hAnsi="宋体" w:eastAsia="宋体" w:cs="宋体"/>
          <w:spacing w:val="1"/>
          <w:sz w:val="20"/>
          <w:szCs w:val="20"/>
        </w:rPr>
        <w:t xml:space="preserve"> 感染者等各种免疫功能低下者容易发生活动性结</w:t>
      </w:r>
      <w:r>
        <w:rPr>
          <w:rFonts w:ascii="宋体" w:hAnsi="宋体" w:eastAsia="宋体" w:cs="宋体"/>
          <w:spacing w:val="18"/>
          <w:sz w:val="20"/>
          <w:szCs w:val="20"/>
        </w:rPr>
        <w:t xml:space="preserve"> </w:t>
      </w:r>
      <w:r>
        <w:rPr>
          <w:rFonts w:ascii="宋体" w:hAnsi="宋体" w:eastAsia="宋体" w:cs="宋体"/>
          <w:spacing w:val="13"/>
          <w:sz w:val="20"/>
          <w:szCs w:val="20"/>
        </w:rPr>
        <w:t>核病</w:t>
      </w:r>
      <w:r>
        <w:rPr>
          <w:rFonts w:ascii="宋体" w:hAnsi="宋体" w:eastAsia="宋体" w:cs="宋体"/>
          <w:spacing w:val="-51"/>
          <w:sz w:val="20"/>
          <w:szCs w:val="20"/>
        </w:rPr>
        <w:t xml:space="preserve"> </w:t>
      </w:r>
      <w:r>
        <w:rPr>
          <w:rFonts w:ascii="宋体" w:hAnsi="宋体" w:eastAsia="宋体" w:cs="宋体"/>
          <w:spacing w:val="13"/>
          <w:sz w:val="20"/>
          <w:szCs w:val="20"/>
        </w:rPr>
        <w:t>。</w:t>
      </w:r>
    </w:p>
    <w:p w14:paraId="3998766F">
      <w:pPr>
        <w:spacing w:before="58" w:line="306" w:lineRule="auto"/>
        <w:ind w:right="565" w:firstLine="450"/>
        <w:rPr>
          <w:rFonts w:ascii="宋体" w:hAnsi="宋体" w:eastAsia="宋体" w:cs="宋体"/>
          <w:sz w:val="20"/>
          <w:szCs w:val="20"/>
        </w:rPr>
      </w:pPr>
      <w:r>
        <w:rPr>
          <w:rFonts w:ascii="宋体" w:hAnsi="宋体" w:eastAsia="宋体" w:cs="宋体"/>
          <w:sz w:val="20"/>
          <w:szCs w:val="20"/>
        </w:rPr>
        <w:t>结核分枝杆菌潜伏感染如同蓄水池，当一个国家或地区的结核病控制达到了一定的效果后，是</w:t>
      </w:r>
      <w:r>
        <w:rPr>
          <w:rFonts w:ascii="宋体" w:hAnsi="宋体" w:eastAsia="宋体" w:cs="宋体"/>
          <w:spacing w:val="8"/>
          <w:sz w:val="20"/>
          <w:szCs w:val="20"/>
        </w:rPr>
        <w:t xml:space="preserve"> </w:t>
      </w:r>
      <w:r>
        <w:rPr>
          <w:rFonts w:ascii="宋体" w:hAnsi="宋体" w:eastAsia="宋体" w:cs="宋体"/>
          <w:spacing w:val="3"/>
          <w:sz w:val="20"/>
          <w:szCs w:val="20"/>
        </w:rPr>
        <w:t>否能够进一步根除或消灭结核病，取决于人群潜伏感</w:t>
      </w:r>
      <w:r>
        <w:rPr>
          <w:rFonts w:ascii="宋体" w:hAnsi="宋体" w:eastAsia="宋体" w:cs="宋体"/>
          <w:spacing w:val="2"/>
          <w:sz w:val="20"/>
          <w:szCs w:val="20"/>
        </w:rPr>
        <w:t>染率的高低。只有识别人群中的潜伏感染者，</w:t>
      </w:r>
    </w:p>
    <w:p w14:paraId="30C55B5D">
      <w:pPr>
        <w:spacing w:line="306" w:lineRule="auto"/>
        <w:rPr>
          <w:rFonts w:ascii="宋体" w:hAnsi="宋体" w:eastAsia="宋体" w:cs="宋体"/>
          <w:sz w:val="20"/>
          <w:szCs w:val="20"/>
        </w:rPr>
        <w:sectPr>
          <w:footerReference r:id="rId332" w:type="default"/>
          <w:pgSz w:w="11900" w:h="16820"/>
          <w:pgMar w:top="400" w:right="1014" w:bottom="859" w:left="1609" w:header="0" w:footer="679" w:gutter="0"/>
          <w:cols w:space="720" w:num="1"/>
        </w:sectPr>
      </w:pPr>
    </w:p>
    <w:p w14:paraId="51884E14">
      <w:pPr>
        <w:pStyle w:val="2"/>
        <w:spacing w:before="257" w:line="222" w:lineRule="auto"/>
        <w:ind w:left="669"/>
        <w:rPr>
          <w:sz w:val="20"/>
          <w:szCs w:val="20"/>
        </w:rPr>
      </w:pPr>
      <w:r>
        <w:rPr>
          <w:spacing w:val="-7"/>
          <w:sz w:val="20"/>
          <w:szCs w:val="20"/>
        </w:rPr>
        <w:t>第二十章结核病</w:t>
      </w:r>
    </w:p>
    <w:p w14:paraId="4B714F83">
      <w:pPr>
        <w:spacing w:line="285" w:lineRule="auto"/>
        <w:rPr>
          <w:rFonts w:ascii="Arial"/>
          <w:sz w:val="21"/>
        </w:rPr>
      </w:pPr>
    </w:p>
    <w:p w14:paraId="2A8E457D">
      <w:pPr>
        <w:spacing w:line="285" w:lineRule="auto"/>
        <w:rPr>
          <w:rFonts w:ascii="Arial"/>
          <w:sz w:val="21"/>
        </w:rPr>
      </w:pPr>
    </w:p>
    <w:p w14:paraId="607069DC">
      <w:pPr>
        <w:spacing w:before="65" w:line="353" w:lineRule="auto"/>
        <w:ind w:left="669"/>
        <w:rPr>
          <w:rFonts w:ascii="宋体" w:hAnsi="宋体" w:eastAsia="宋体" w:cs="宋体"/>
          <w:sz w:val="20"/>
          <w:szCs w:val="20"/>
        </w:rPr>
      </w:pPr>
      <w:r>
        <w:rPr>
          <w:rFonts w:ascii="宋体" w:hAnsi="宋体" w:eastAsia="宋体" w:cs="宋体"/>
          <w:spacing w:val="4"/>
          <w:sz w:val="20"/>
          <w:szCs w:val="20"/>
        </w:rPr>
        <w:t>尤其是免疫力低下的高危感染者如</w:t>
      </w:r>
      <w:r>
        <w:rPr>
          <w:rFonts w:ascii="宋体" w:hAnsi="宋体" w:eastAsia="宋体" w:cs="宋体"/>
          <w:sz w:val="20"/>
          <w:szCs w:val="20"/>
        </w:rPr>
        <w:t>HIV</w:t>
      </w:r>
      <w:r>
        <w:rPr>
          <w:rFonts w:ascii="宋体" w:hAnsi="宋体" w:eastAsia="宋体" w:cs="宋体"/>
          <w:spacing w:val="4"/>
          <w:sz w:val="20"/>
          <w:szCs w:val="20"/>
        </w:rPr>
        <w:t>/</w:t>
      </w:r>
      <w:r>
        <w:rPr>
          <w:rFonts w:ascii="宋体" w:hAnsi="宋体" w:eastAsia="宋体" w:cs="宋体"/>
          <w:sz w:val="20"/>
          <w:szCs w:val="20"/>
        </w:rPr>
        <w:t>TB</w:t>
      </w:r>
      <w:r>
        <w:rPr>
          <w:rFonts w:ascii="宋体" w:hAnsi="宋体" w:eastAsia="宋体" w:cs="宋体"/>
          <w:spacing w:val="4"/>
          <w:sz w:val="20"/>
          <w:szCs w:val="20"/>
        </w:rPr>
        <w:t xml:space="preserve"> 双重感染者，及时进行预防性治疗</w:t>
      </w:r>
      <w:r>
        <w:rPr>
          <w:rFonts w:ascii="宋体" w:hAnsi="宋体" w:eastAsia="宋体" w:cs="宋体"/>
          <w:spacing w:val="3"/>
          <w:sz w:val="20"/>
          <w:szCs w:val="20"/>
        </w:rPr>
        <w:t>，消除潜在的传染源，</w:t>
      </w:r>
      <w:r>
        <w:rPr>
          <w:rFonts w:ascii="宋体" w:hAnsi="宋体" w:eastAsia="宋体" w:cs="宋体"/>
          <w:sz w:val="20"/>
          <w:szCs w:val="20"/>
        </w:rPr>
        <w:t xml:space="preserve"> </w:t>
      </w:r>
      <w:r>
        <w:rPr>
          <w:rFonts w:ascii="宋体" w:hAnsi="宋体" w:eastAsia="宋体" w:cs="宋体"/>
          <w:spacing w:val="2"/>
          <w:sz w:val="20"/>
          <w:szCs w:val="20"/>
        </w:rPr>
        <w:t>才有可能从根本上控制结核病发病，达到在全球范围内消除结核病的最终目标。</w:t>
      </w:r>
    </w:p>
    <w:p w14:paraId="0AE78ADF">
      <w:pPr>
        <w:pStyle w:val="2"/>
        <w:spacing w:before="133" w:line="221" w:lineRule="auto"/>
        <w:ind w:left="1113"/>
        <w:outlineLvl w:val="4"/>
        <w:rPr>
          <w:sz w:val="25"/>
          <w:szCs w:val="25"/>
        </w:rPr>
      </w:pPr>
      <w:bookmarkStart w:id="512" w:name="bookmark321"/>
      <w:bookmarkEnd w:id="512"/>
      <w:r>
        <w:rPr>
          <w:b/>
          <w:bCs/>
          <w:spacing w:val="-8"/>
          <w:sz w:val="25"/>
          <w:szCs w:val="25"/>
        </w:rPr>
        <w:t>二、结核病的诊治与管理</w:t>
      </w:r>
    </w:p>
    <w:p w14:paraId="1D47E691">
      <w:pPr>
        <w:spacing w:before="283" w:line="345" w:lineRule="auto"/>
        <w:ind w:left="669" w:right="71" w:firstLine="440"/>
        <w:jc w:val="both"/>
        <w:rPr>
          <w:rFonts w:ascii="宋体" w:hAnsi="宋体" w:eastAsia="宋体" w:cs="宋体"/>
          <w:sz w:val="20"/>
          <w:szCs w:val="20"/>
        </w:rPr>
      </w:pPr>
      <w:r>
        <w:rPr>
          <w:rFonts w:ascii="宋体" w:hAnsi="宋体" w:eastAsia="宋体" w:cs="宋体"/>
          <w:spacing w:val="9"/>
          <w:sz w:val="20"/>
          <w:szCs w:val="20"/>
        </w:rPr>
        <w:t>结核病的临床症状因其累及的器官和系统而异。临床最为常见</w:t>
      </w:r>
      <w:r>
        <w:rPr>
          <w:rFonts w:ascii="宋体" w:hAnsi="宋体" w:eastAsia="宋体" w:cs="宋体"/>
          <w:spacing w:val="8"/>
          <w:sz w:val="20"/>
          <w:szCs w:val="20"/>
        </w:rPr>
        <w:t>、对人群传播意义最大的是肺</w:t>
      </w:r>
      <w:r>
        <w:rPr>
          <w:rFonts w:ascii="宋体" w:hAnsi="宋体" w:eastAsia="宋体" w:cs="宋体"/>
          <w:sz w:val="20"/>
          <w:szCs w:val="20"/>
        </w:rPr>
        <w:t xml:space="preserve"> </w:t>
      </w:r>
      <w:r>
        <w:rPr>
          <w:rFonts w:ascii="宋体" w:hAnsi="宋体" w:eastAsia="宋体" w:cs="宋体"/>
          <w:spacing w:val="4"/>
          <w:sz w:val="20"/>
          <w:szCs w:val="20"/>
        </w:rPr>
        <w:t>结核。肺结核早期无自觉症状，可在健康检查时发现；活动性肺结核常见的症状有咳嗽、咳痰、胸</w:t>
      </w:r>
      <w:r>
        <w:rPr>
          <w:rFonts w:ascii="宋体" w:hAnsi="宋体" w:eastAsia="宋体" w:cs="宋体"/>
          <w:spacing w:val="1"/>
          <w:sz w:val="20"/>
          <w:szCs w:val="20"/>
        </w:rPr>
        <w:t xml:space="preserve"> </w:t>
      </w:r>
      <w:r>
        <w:rPr>
          <w:rFonts w:ascii="宋体" w:hAnsi="宋体" w:eastAsia="宋体" w:cs="宋体"/>
          <w:spacing w:val="-12"/>
          <w:sz w:val="20"/>
          <w:szCs w:val="20"/>
        </w:rPr>
        <w:t>痛、咯血、疲劳、食欲减退、消瘦、发热、盗汗和月经不调等。</w:t>
      </w:r>
    </w:p>
    <w:p w14:paraId="225E0542">
      <w:pPr>
        <w:spacing w:before="1" w:line="341" w:lineRule="auto"/>
        <w:ind w:left="669" w:right="70" w:firstLine="440"/>
        <w:jc w:val="both"/>
        <w:rPr>
          <w:rFonts w:ascii="宋体" w:hAnsi="宋体" w:eastAsia="宋体" w:cs="宋体"/>
          <w:sz w:val="20"/>
          <w:szCs w:val="20"/>
        </w:rPr>
      </w:pPr>
      <w:r>
        <w:rPr>
          <w:rFonts w:ascii="宋体" w:hAnsi="宋体" w:eastAsia="宋体" w:cs="宋体"/>
          <w:spacing w:val="6"/>
          <w:sz w:val="20"/>
          <w:szCs w:val="20"/>
        </w:rPr>
        <w:t>肺结核的主要检查手段为病原学检查和/或胸部影像学检查。病原学检查包括痰涂片、痰培养</w:t>
      </w:r>
      <w:r>
        <w:rPr>
          <w:rFonts w:ascii="宋体" w:hAnsi="宋体" w:eastAsia="宋体" w:cs="宋体"/>
          <w:spacing w:val="1"/>
          <w:sz w:val="20"/>
          <w:szCs w:val="20"/>
        </w:rPr>
        <w:t xml:space="preserve"> </w:t>
      </w:r>
      <w:r>
        <w:rPr>
          <w:rFonts w:ascii="宋体" w:hAnsi="宋体" w:eastAsia="宋体" w:cs="宋体"/>
          <w:spacing w:val="6"/>
          <w:sz w:val="20"/>
          <w:szCs w:val="20"/>
        </w:rPr>
        <w:t>和分子生物学检查。目前</w:t>
      </w:r>
      <w:r>
        <w:rPr>
          <w:rFonts w:ascii="Times New Roman" w:hAnsi="Times New Roman" w:eastAsia="Times New Roman" w:cs="Times New Roman"/>
          <w:sz w:val="20"/>
          <w:szCs w:val="20"/>
        </w:rPr>
        <w:t>WHO</w:t>
      </w:r>
      <w:r>
        <w:rPr>
          <w:rFonts w:ascii="Times New Roman" w:hAnsi="Times New Roman" w:eastAsia="Times New Roman" w:cs="Times New Roman"/>
          <w:spacing w:val="3"/>
          <w:sz w:val="20"/>
          <w:szCs w:val="20"/>
        </w:rPr>
        <w:t xml:space="preserve"> </w:t>
      </w:r>
      <w:r>
        <w:rPr>
          <w:rFonts w:ascii="宋体" w:hAnsi="宋体" w:eastAsia="宋体" w:cs="宋体"/>
          <w:spacing w:val="6"/>
          <w:sz w:val="20"/>
          <w:szCs w:val="20"/>
        </w:rPr>
        <w:t>推荐分子生物学检查作为结核病诊断的优先选择方法。《中国结核</w:t>
      </w:r>
      <w:r>
        <w:rPr>
          <w:rFonts w:ascii="宋体" w:hAnsi="宋体" w:eastAsia="宋体" w:cs="宋体"/>
          <w:sz w:val="20"/>
          <w:szCs w:val="20"/>
        </w:rPr>
        <w:t xml:space="preserve"> </w:t>
      </w:r>
      <w:r>
        <w:rPr>
          <w:rFonts w:ascii="宋体" w:hAnsi="宋体" w:eastAsia="宋体" w:cs="宋体"/>
          <w:spacing w:val="1"/>
          <w:sz w:val="20"/>
          <w:szCs w:val="20"/>
        </w:rPr>
        <w:t>病防治规划实施工作指南》中规定肺结核病</w:t>
      </w:r>
      <w:r>
        <w:rPr>
          <w:rFonts w:ascii="宋体" w:hAnsi="宋体" w:eastAsia="宋体" w:cs="宋体"/>
          <w:sz w:val="20"/>
          <w:szCs w:val="20"/>
        </w:rPr>
        <w:t>的诊断要点为：</w:t>
      </w:r>
    </w:p>
    <w:p w14:paraId="1F1BB010">
      <w:pPr>
        <w:pStyle w:val="2"/>
        <w:spacing w:line="221" w:lineRule="auto"/>
        <w:ind w:left="1110"/>
        <w:rPr>
          <w:rFonts w:ascii="宋体" w:hAnsi="宋体" w:eastAsia="宋体" w:cs="宋体"/>
          <w:sz w:val="20"/>
          <w:szCs w:val="20"/>
        </w:rPr>
      </w:pPr>
      <w:r>
        <w:rPr>
          <w:rFonts w:ascii="宋体" w:hAnsi="宋体" w:eastAsia="宋体" w:cs="宋体"/>
          <w:spacing w:val="1"/>
          <w:sz w:val="20"/>
          <w:szCs w:val="20"/>
        </w:rPr>
        <w:t xml:space="preserve">1. </w:t>
      </w:r>
      <w:r>
        <w:rPr>
          <w:spacing w:val="1"/>
          <w:sz w:val="20"/>
          <w:szCs w:val="20"/>
        </w:rPr>
        <w:t>涂阳肺结核患者</w:t>
      </w:r>
      <w:r>
        <w:rPr>
          <w:spacing w:val="98"/>
          <w:sz w:val="20"/>
          <w:szCs w:val="20"/>
        </w:rPr>
        <w:t xml:space="preserve"> </w:t>
      </w:r>
      <w:r>
        <w:rPr>
          <w:rFonts w:ascii="宋体" w:hAnsi="宋体" w:eastAsia="宋体" w:cs="宋体"/>
          <w:spacing w:val="1"/>
          <w:sz w:val="20"/>
          <w:szCs w:val="20"/>
        </w:rPr>
        <w:t>凡符合以下三项之一者，</w:t>
      </w:r>
      <w:r>
        <w:rPr>
          <w:rFonts w:ascii="宋体" w:hAnsi="宋体" w:eastAsia="宋体" w:cs="宋体"/>
          <w:sz w:val="20"/>
          <w:szCs w:val="20"/>
        </w:rPr>
        <w:t>为涂阳肺结核患者：</w:t>
      </w:r>
    </w:p>
    <w:p w14:paraId="0D305A5B">
      <w:pPr>
        <w:spacing w:before="130" w:line="219" w:lineRule="auto"/>
        <w:ind w:left="1110"/>
        <w:rPr>
          <w:rFonts w:ascii="宋体" w:hAnsi="宋体" w:eastAsia="宋体" w:cs="宋体"/>
          <w:sz w:val="20"/>
          <w:szCs w:val="20"/>
        </w:rPr>
      </w:pPr>
      <w:r>
        <w:rPr>
          <w:rFonts w:ascii="宋体" w:hAnsi="宋体" w:eastAsia="宋体" w:cs="宋体"/>
          <w:spacing w:val="7"/>
          <w:sz w:val="20"/>
          <w:szCs w:val="20"/>
        </w:rPr>
        <w:t>(1)初诊肺结核患者，直接痰涂片镜检2次痰菌阳性。</w:t>
      </w:r>
    </w:p>
    <w:p w14:paraId="435F394D">
      <w:pPr>
        <w:spacing w:before="143" w:line="219" w:lineRule="auto"/>
        <w:ind w:left="1110"/>
        <w:rPr>
          <w:rFonts w:ascii="宋体" w:hAnsi="宋体" w:eastAsia="宋体" w:cs="宋体"/>
          <w:sz w:val="20"/>
          <w:szCs w:val="20"/>
        </w:rPr>
      </w:pPr>
      <w:r>
        <w:rPr>
          <w:rFonts w:ascii="宋体" w:hAnsi="宋体" w:eastAsia="宋体" w:cs="宋体"/>
          <w:spacing w:val="15"/>
          <w:sz w:val="20"/>
          <w:szCs w:val="20"/>
        </w:rPr>
        <w:t>(2)1次涂片阳性加1次痰培养阳性。</w:t>
      </w:r>
    </w:p>
    <w:p w14:paraId="58FE653A">
      <w:pPr>
        <w:spacing w:before="132" w:line="281" w:lineRule="auto"/>
        <w:ind w:left="669" w:right="65" w:firstLine="420"/>
        <w:rPr>
          <w:rFonts w:ascii="宋体" w:hAnsi="宋体" w:eastAsia="宋体" w:cs="宋体"/>
          <w:sz w:val="20"/>
          <w:szCs w:val="20"/>
        </w:rPr>
      </w:pPr>
      <w:r>
        <w:rPr>
          <w:rFonts w:ascii="宋体" w:hAnsi="宋体" w:eastAsia="宋体" w:cs="宋体"/>
          <w:spacing w:val="6"/>
          <w:sz w:val="20"/>
          <w:szCs w:val="20"/>
        </w:rPr>
        <w:t>(3)虽一次涂片阳性，但经病案讨论会或主管专业医师确认，X 线胸片显示有活动性肺结核病</w:t>
      </w:r>
      <w:r>
        <w:rPr>
          <w:rFonts w:ascii="宋体" w:hAnsi="宋体" w:eastAsia="宋体" w:cs="宋体"/>
          <w:spacing w:val="14"/>
          <w:sz w:val="20"/>
          <w:szCs w:val="20"/>
        </w:rPr>
        <w:t xml:space="preserve"> </w:t>
      </w:r>
      <w:r>
        <w:rPr>
          <w:rFonts w:ascii="宋体" w:hAnsi="宋体" w:eastAsia="宋体" w:cs="宋体"/>
          <w:spacing w:val="7"/>
          <w:sz w:val="20"/>
          <w:szCs w:val="20"/>
        </w:rPr>
        <w:t>变阴影。</w:t>
      </w:r>
    </w:p>
    <w:p w14:paraId="144180D1">
      <w:pPr>
        <w:pStyle w:val="2"/>
        <w:spacing w:before="131" w:line="222" w:lineRule="auto"/>
        <w:ind w:left="1110"/>
        <w:rPr>
          <w:rFonts w:ascii="宋体" w:hAnsi="宋体" w:eastAsia="宋体" w:cs="宋体"/>
          <w:sz w:val="20"/>
          <w:szCs w:val="20"/>
        </w:rPr>
      </w:pPr>
      <w:r>
        <w:rPr>
          <w:rFonts w:ascii="宋体" w:hAnsi="宋体" w:eastAsia="宋体" w:cs="宋体"/>
          <w:spacing w:val="2"/>
          <w:sz w:val="20"/>
          <w:szCs w:val="20"/>
        </w:rPr>
        <w:t xml:space="preserve">2. </w:t>
      </w:r>
      <w:r>
        <w:rPr>
          <w:spacing w:val="2"/>
          <w:sz w:val="20"/>
          <w:szCs w:val="20"/>
        </w:rPr>
        <w:t xml:space="preserve">涂阴肺结核患者  </w:t>
      </w:r>
      <w:r>
        <w:rPr>
          <w:rFonts w:ascii="宋体" w:hAnsi="宋体" w:eastAsia="宋体" w:cs="宋体"/>
          <w:spacing w:val="2"/>
          <w:sz w:val="20"/>
          <w:szCs w:val="20"/>
        </w:rPr>
        <w:t>主要诊断指征：</w:t>
      </w:r>
    </w:p>
    <w:p w14:paraId="7B88B98F">
      <w:pPr>
        <w:spacing w:before="130" w:line="219" w:lineRule="auto"/>
        <w:ind w:left="1110"/>
        <w:rPr>
          <w:rFonts w:ascii="宋体" w:hAnsi="宋体" w:eastAsia="宋体" w:cs="宋体"/>
          <w:sz w:val="20"/>
          <w:szCs w:val="20"/>
        </w:rPr>
      </w:pPr>
      <w:r>
        <w:rPr>
          <w:rFonts w:ascii="宋体" w:hAnsi="宋体" w:eastAsia="宋体" w:cs="宋体"/>
          <w:spacing w:val="7"/>
          <w:sz w:val="20"/>
          <w:szCs w:val="20"/>
        </w:rPr>
        <w:t>(1)初诊肺结核患者，直接痰涂片镜检3次痰菌阴性。</w:t>
      </w:r>
    </w:p>
    <w:p w14:paraId="155895E0">
      <w:pPr>
        <w:spacing w:before="123" w:line="219" w:lineRule="auto"/>
        <w:ind w:left="1110"/>
        <w:rPr>
          <w:rFonts w:ascii="宋体" w:hAnsi="宋体" w:eastAsia="宋体" w:cs="宋体"/>
          <w:sz w:val="20"/>
          <w:szCs w:val="20"/>
        </w:rPr>
      </w:pPr>
      <w:r>
        <w:rPr>
          <w:rFonts w:ascii="宋体" w:hAnsi="宋体" w:eastAsia="宋体" w:cs="宋体"/>
          <w:spacing w:val="2"/>
          <w:sz w:val="20"/>
          <w:szCs w:val="20"/>
        </w:rPr>
        <w:t>(2)X  线胸片显示与活动性肺结核病相符的病变。</w:t>
      </w:r>
    </w:p>
    <w:p w14:paraId="4615B6DB">
      <w:pPr>
        <w:spacing w:before="140" w:line="343" w:lineRule="auto"/>
        <w:ind w:left="669" w:right="71" w:firstLine="440"/>
        <w:jc w:val="both"/>
        <w:rPr>
          <w:rFonts w:ascii="宋体" w:hAnsi="宋体" w:eastAsia="宋体" w:cs="宋体"/>
          <w:sz w:val="20"/>
          <w:szCs w:val="20"/>
        </w:rPr>
      </w:pPr>
      <w:r>
        <w:rPr>
          <w:rFonts w:ascii="宋体" w:hAnsi="宋体" w:eastAsia="宋体" w:cs="宋体"/>
          <w:spacing w:val="9"/>
          <w:sz w:val="20"/>
          <w:szCs w:val="20"/>
        </w:rPr>
        <w:t>肺结核病诊断的最直接证据是从患者的痰中培养分离出结核分</w:t>
      </w:r>
      <w:r>
        <w:rPr>
          <w:rFonts w:ascii="宋体" w:hAnsi="宋体" w:eastAsia="宋体" w:cs="宋体"/>
          <w:spacing w:val="8"/>
          <w:sz w:val="20"/>
          <w:szCs w:val="20"/>
        </w:rPr>
        <w:t>枝杆菌。但鉴于结核病主要分</w:t>
      </w:r>
      <w:r>
        <w:rPr>
          <w:rFonts w:ascii="宋体" w:hAnsi="宋体" w:eastAsia="宋体" w:cs="宋体"/>
          <w:sz w:val="20"/>
          <w:szCs w:val="20"/>
        </w:rPr>
        <w:t xml:space="preserve"> </w:t>
      </w:r>
      <w:r>
        <w:rPr>
          <w:rFonts w:ascii="宋体" w:hAnsi="宋体" w:eastAsia="宋体" w:cs="宋体"/>
          <w:spacing w:val="4"/>
          <w:sz w:val="20"/>
          <w:szCs w:val="20"/>
        </w:rPr>
        <w:t>布在较为贫困落后的地区，开展以细菌培养为依据的细菌学诊断存在诸多困难，而且结核分枝杆菌</w:t>
      </w:r>
      <w:r>
        <w:rPr>
          <w:rFonts w:ascii="宋体" w:hAnsi="宋体" w:eastAsia="宋体" w:cs="宋体"/>
          <w:sz w:val="20"/>
          <w:szCs w:val="20"/>
        </w:rPr>
        <w:t xml:space="preserve"> </w:t>
      </w:r>
      <w:r>
        <w:rPr>
          <w:rFonts w:ascii="宋体" w:hAnsi="宋体" w:eastAsia="宋体" w:cs="宋体"/>
          <w:spacing w:val="3"/>
          <w:sz w:val="20"/>
          <w:szCs w:val="20"/>
        </w:rPr>
        <w:t>培养耗时长达4～8周，因此，目前在高负担国家和地区，结核病诊断仍以显微镜下的痰涂片诊断为</w:t>
      </w:r>
      <w:r>
        <w:rPr>
          <w:rFonts w:ascii="宋体" w:hAnsi="宋体" w:eastAsia="宋体" w:cs="宋体"/>
          <w:spacing w:val="17"/>
          <w:sz w:val="20"/>
          <w:szCs w:val="20"/>
        </w:rPr>
        <w:t xml:space="preserve"> </w:t>
      </w:r>
      <w:r>
        <w:rPr>
          <w:rFonts w:ascii="宋体" w:hAnsi="宋体" w:eastAsia="宋体" w:cs="宋体"/>
          <w:spacing w:val="-1"/>
          <w:sz w:val="20"/>
          <w:szCs w:val="20"/>
        </w:rPr>
        <w:t>主。但以分子生物学技术为基础的、准确、快速、安全、简便和成本效益合理的</w:t>
      </w:r>
      <w:r>
        <w:rPr>
          <w:rFonts w:ascii="宋体" w:hAnsi="宋体" w:eastAsia="宋体" w:cs="宋体"/>
          <w:spacing w:val="-2"/>
          <w:sz w:val="20"/>
          <w:szCs w:val="20"/>
        </w:rPr>
        <w:t>新型诊断方法已逐渐</w:t>
      </w:r>
      <w:r>
        <w:rPr>
          <w:rFonts w:ascii="宋体" w:hAnsi="宋体" w:eastAsia="宋体" w:cs="宋体"/>
          <w:sz w:val="20"/>
          <w:szCs w:val="20"/>
        </w:rPr>
        <w:t xml:space="preserve"> </w:t>
      </w:r>
      <w:r>
        <w:rPr>
          <w:rFonts w:ascii="宋体" w:hAnsi="宋体" w:eastAsia="宋体" w:cs="宋体"/>
          <w:spacing w:val="4"/>
          <w:sz w:val="20"/>
          <w:szCs w:val="20"/>
        </w:rPr>
        <w:t>在一些资源相对充裕的国家应用。</w:t>
      </w:r>
    </w:p>
    <w:p w14:paraId="496B3F73">
      <w:pPr>
        <w:spacing w:before="13" w:line="325" w:lineRule="auto"/>
        <w:ind w:left="669" w:right="68" w:firstLine="440"/>
        <w:jc w:val="both"/>
        <w:rPr>
          <w:rFonts w:ascii="宋体" w:hAnsi="宋体" w:eastAsia="宋体" w:cs="宋体"/>
          <w:sz w:val="20"/>
          <w:szCs w:val="20"/>
        </w:rPr>
      </w:pPr>
      <w:r>
        <w:rPr>
          <w:rFonts w:ascii="宋体" w:hAnsi="宋体" w:eastAsia="宋体" w:cs="宋体"/>
          <w:spacing w:val="9"/>
          <w:sz w:val="20"/>
          <w:szCs w:val="20"/>
        </w:rPr>
        <w:t>对确诊的肺结核患者应当及时给予抗结核药物治疗，尤其对于痰涂片</w:t>
      </w:r>
      <w:r>
        <w:rPr>
          <w:rFonts w:ascii="宋体" w:hAnsi="宋体" w:eastAsia="宋体" w:cs="宋体"/>
          <w:spacing w:val="8"/>
          <w:sz w:val="20"/>
          <w:szCs w:val="20"/>
        </w:rPr>
        <w:t>检查阳性的传染性肺结</w:t>
      </w:r>
      <w:r>
        <w:rPr>
          <w:rFonts w:ascii="宋体" w:hAnsi="宋体" w:eastAsia="宋体" w:cs="宋体"/>
          <w:sz w:val="20"/>
          <w:szCs w:val="20"/>
        </w:rPr>
        <w:t xml:space="preserve"> </w:t>
      </w:r>
      <w:r>
        <w:rPr>
          <w:rFonts w:ascii="宋体" w:hAnsi="宋体" w:eastAsia="宋体" w:cs="宋体"/>
          <w:spacing w:val="4"/>
          <w:sz w:val="20"/>
          <w:szCs w:val="20"/>
        </w:rPr>
        <w:t>核患者，化疗可消除其传染性，从而控制结核分枝杆菌在人群中的传播。因此，化疗是控制结核病</w:t>
      </w:r>
      <w:r>
        <w:rPr>
          <w:rFonts w:ascii="宋体" w:hAnsi="宋体" w:eastAsia="宋体" w:cs="宋体"/>
          <w:sz w:val="20"/>
          <w:szCs w:val="20"/>
        </w:rPr>
        <w:t xml:space="preserve"> </w:t>
      </w:r>
      <w:r>
        <w:rPr>
          <w:rFonts w:ascii="宋体" w:hAnsi="宋体" w:eastAsia="宋体" w:cs="宋体"/>
          <w:spacing w:val="2"/>
          <w:sz w:val="20"/>
          <w:szCs w:val="20"/>
        </w:rPr>
        <w:t>的最有效措施。</w:t>
      </w:r>
    </w:p>
    <w:p w14:paraId="354CED14">
      <w:pPr>
        <w:spacing w:before="29" w:line="333" w:lineRule="auto"/>
        <w:ind w:left="669" w:right="69" w:firstLine="440"/>
        <w:jc w:val="both"/>
        <w:rPr>
          <w:rFonts w:ascii="宋体" w:hAnsi="宋体" w:eastAsia="宋体" w:cs="宋体"/>
          <w:sz w:val="20"/>
          <w:szCs w:val="20"/>
        </w:rPr>
      </w:pPr>
      <w:r>
        <w:rPr>
          <w:rFonts w:ascii="宋体" w:hAnsi="宋体" w:eastAsia="宋体" w:cs="宋体"/>
          <w:spacing w:val="-1"/>
          <w:sz w:val="20"/>
          <w:szCs w:val="20"/>
        </w:rPr>
        <w:t>结核病化疗的原则是：早期、联合、适量、规律和全程用药。①早期</w:t>
      </w:r>
      <w:r>
        <w:rPr>
          <w:rFonts w:ascii="宋体" w:hAnsi="宋体" w:eastAsia="宋体" w:cs="宋体"/>
          <w:spacing w:val="-2"/>
          <w:sz w:val="20"/>
          <w:szCs w:val="20"/>
        </w:rPr>
        <w:t>：一旦诊断就应及时给予抗</w:t>
      </w:r>
      <w:r>
        <w:rPr>
          <w:rFonts w:ascii="宋体" w:hAnsi="宋体" w:eastAsia="宋体" w:cs="宋体"/>
          <w:sz w:val="20"/>
          <w:szCs w:val="20"/>
        </w:rPr>
        <w:t xml:space="preserve"> </w:t>
      </w:r>
      <w:r>
        <w:rPr>
          <w:rFonts w:ascii="宋体" w:hAnsi="宋体" w:eastAsia="宋体" w:cs="宋体"/>
          <w:spacing w:val="4"/>
          <w:sz w:val="20"/>
          <w:szCs w:val="20"/>
        </w:rPr>
        <w:t>结核药物治疗。早期发现和治疗结核病，有利于药物渗透和分布，有助于聚集巨噬细胞</w:t>
      </w:r>
      <w:r>
        <w:rPr>
          <w:rFonts w:ascii="宋体" w:hAnsi="宋体" w:eastAsia="宋体" w:cs="宋体"/>
          <w:spacing w:val="3"/>
          <w:sz w:val="20"/>
          <w:szCs w:val="20"/>
        </w:rPr>
        <w:t>吞噬结核分</w:t>
      </w:r>
      <w:r>
        <w:rPr>
          <w:rFonts w:ascii="宋体" w:hAnsi="宋体" w:eastAsia="宋体" w:cs="宋体"/>
          <w:sz w:val="20"/>
          <w:szCs w:val="20"/>
        </w:rPr>
        <w:t xml:space="preserve"> </w:t>
      </w:r>
      <w:r>
        <w:rPr>
          <w:rFonts w:ascii="宋体" w:hAnsi="宋体" w:eastAsia="宋体" w:cs="宋体"/>
          <w:spacing w:val="4"/>
          <w:sz w:val="20"/>
          <w:szCs w:val="20"/>
        </w:rPr>
        <w:t>枝杆菌，从而促进炎症的吸收和组织的修复。②联合：采取几种抗结核药物配伍联用，可以利</w:t>
      </w:r>
      <w:r>
        <w:rPr>
          <w:rFonts w:ascii="宋体" w:hAnsi="宋体" w:eastAsia="宋体" w:cs="宋体"/>
          <w:spacing w:val="3"/>
          <w:sz w:val="20"/>
          <w:szCs w:val="20"/>
        </w:rPr>
        <w:t>用不</w:t>
      </w:r>
      <w:r>
        <w:rPr>
          <w:rFonts w:ascii="宋体" w:hAnsi="宋体" w:eastAsia="宋体" w:cs="宋体"/>
          <w:sz w:val="20"/>
          <w:szCs w:val="20"/>
        </w:rPr>
        <w:t xml:space="preserve"> </w:t>
      </w:r>
      <w:r>
        <w:rPr>
          <w:rFonts w:ascii="宋体" w:hAnsi="宋体" w:eastAsia="宋体" w:cs="宋体"/>
          <w:spacing w:val="4"/>
          <w:sz w:val="20"/>
          <w:szCs w:val="20"/>
        </w:rPr>
        <w:t>同药物的杀菌、抑菌作用，同时作用于细胞内、外的结核分枝杆菌，以提高药物的杀菌能</w:t>
      </w:r>
      <w:r>
        <w:rPr>
          <w:rFonts w:ascii="宋体" w:hAnsi="宋体" w:eastAsia="宋体" w:cs="宋体"/>
          <w:spacing w:val="3"/>
          <w:sz w:val="20"/>
          <w:szCs w:val="20"/>
        </w:rPr>
        <w:t>力和防止</w:t>
      </w:r>
      <w:r>
        <w:rPr>
          <w:rFonts w:ascii="宋体" w:hAnsi="宋体" w:eastAsia="宋体" w:cs="宋体"/>
          <w:sz w:val="20"/>
          <w:szCs w:val="20"/>
        </w:rPr>
        <w:t xml:space="preserve"> </w:t>
      </w:r>
      <w:r>
        <w:rPr>
          <w:rFonts w:ascii="宋体" w:hAnsi="宋体" w:eastAsia="宋体" w:cs="宋体"/>
          <w:spacing w:val="4"/>
          <w:sz w:val="20"/>
          <w:szCs w:val="20"/>
        </w:rPr>
        <w:t>耐药性的产生。目前结核病短程化疗采用的一线抗结核药物有：异</w:t>
      </w:r>
      <w:r>
        <w:rPr>
          <w:rFonts w:ascii="宋体" w:hAnsi="宋体" w:eastAsia="宋体" w:cs="宋体"/>
          <w:spacing w:val="3"/>
          <w:sz w:val="20"/>
          <w:szCs w:val="20"/>
        </w:rPr>
        <w:t>烟肼(H)、利福平(R)、乙胺丁醇</w:t>
      </w:r>
      <w:r>
        <w:rPr>
          <w:rFonts w:ascii="宋体" w:hAnsi="宋体" w:eastAsia="宋体" w:cs="宋体"/>
          <w:sz w:val="20"/>
          <w:szCs w:val="20"/>
        </w:rPr>
        <w:t xml:space="preserve"> </w:t>
      </w:r>
      <w:r>
        <w:rPr>
          <w:rFonts w:ascii="Times New Roman" w:hAnsi="Times New Roman" w:eastAsia="Times New Roman" w:cs="Times New Roman"/>
          <w:spacing w:val="1"/>
          <w:sz w:val="20"/>
          <w:szCs w:val="20"/>
        </w:rPr>
        <w:t>(E)</w:t>
      </w:r>
      <w:r>
        <w:rPr>
          <w:rFonts w:ascii="Times New Roman" w:hAnsi="Times New Roman" w:eastAsia="Times New Roman" w:cs="Times New Roman"/>
          <w:spacing w:val="-28"/>
          <w:sz w:val="20"/>
          <w:szCs w:val="20"/>
        </w:rPr>
        <w:t xml:space="preserve"> </w:t>
      </w:r>
      <w:r>
        <w:rPr>
          <w:rFonts w:ascii="宋体" w:hAnsi="宋体" w:eastAsia="宋体" w:cs="宋体"/>
          <w:spacing w:val="1"/>
          <w:sz w:val="20"/>
          <w:szCs w:val="20"/>
        </w:rPr>
        <w:t>、毗嗪酰胺</w:t>
      </w:r>
      <w:r>
        <w:rPr>
          <w:rFonts w:ascii="Times New Roman" w:hAnsi="Times New Roman" w:eastAsia="Times New Roman" w:cs="Times New Roman"/>
          <w:spacing w:val="1"/>
          <w:sz w:val="20"/>
          <w:szCs w:val="20"/>
        </w:rPr>
        <w:t xml:space="preserve">(Z)  </w:t>
      </w:r>
      <w:r>
        <w:rPr>
          <w:rFonts w:ascii="宋体" w:hAnsi="宋体" w:eastAsia="宋体" w:cs="宋体"/>
          <w:spacing w:val="1"/>
          <w:sz w:val="20"/>
          <w:szCs w:val="20"/>
        </w:rPr>
        <w:t>和链霉素</w:t>
      </w:r>
      <w:r>
        <w:rPr>
          <w:rFonts w:ascii="Times New Roman" w:hAnsi="Times New Roman" w:eastAsia="Times New Roman" w:cs="Times New Roman"/>
          <w:spacing w:val="1"/>
          <w:sz w:val="20"/>
          <w:szCs w:val="20"/>
        </w:rPr>
        <w:t>(S)</w:t>
      </w:r>
      <w:r>
        <w:rPr>
          <w:rFonts w:ascii="宋体" w:hAnsi="宋体" w:eastAsia="宋体" w:cs="宋体"/>
          <w:spacing w:val="1"/>
          <w:sz w:val="20"/>
          <w:szCs w:val="20"/>
        </w:rPr>
        <w:t>。③</w:t>
      </w:r>
      <w:r>
        <w:rPr>
          <w:rFonts w:ascii="宋体" w:hAnsi="宋体" w:eastAsia="宋体" w:cs="宋体"/>
          <w:spacing w:val="-39"/>
          <w:sz w:val="20"/>
          <w:szCs w:val="20"/>
        </w:rPr>
        <w:t xml:space="preserve"> </w:t>
      </w:r>
      <w:r>
        <w:rPr>
          <w:rFonts w:ascii="宋体" w:hAnsi="宋体" w:eastAsia="宋体" w:cs="宋体"/>
          <w:spacing w:val="1"/>
          <w:sz w:val="20"/>
          <w:szCs w:val="20"/>
        </w:rPr>
        <w:t>适量：在治疗过程中，必须根据</w:t>
      </w:r>
      <w:r>
        <w:rPr>
          <w:rFonts w:ascii="宋体" w:hAnsi="宋体" w:eastAsia="宋体" w:cs="宋体"/>
          <w:sz w:val="20"/>
          <w:szCs w:val="20"/>
        </w:rPr>
        <w:t>患者的体重，参照抗结核药物的 用药剂量，给予适当的药量。药量不足，易导致结核分枝杆菌的适应，即耐</w:t>
      </w:r>
      <w:r>
        <w:rPr>
          <w:rFonts w:ascii="宋体" w:hAnsi="宋体" w:eastAsia="宋体" w:cs="宋体"/>
          <w:spacing w:val="-1"/>
          <w:sz w:val="20"/>
          <w:szCs w:val="20"/>
        </w:rPr>
        <w:t>药性；药量过大，则会引</w:t>
      </w:r>
      <w:r>
        <w:rPr>
          <w:rFonts w:ascii="宋体" w:hAnsi="宋体" w:eastAsia="宋体" w:cs="宋体"/>
          <w:sz w:val="20"/>
          <w:szCs w:val="20"/>
        </w:rPr>
        <w:t xml:space="preserve"> </w:t>
      </w:r>
      <w:r>
        <w:rPr>
          <w:rFonts w:ascii="宋体" w:hAnsi="宋体" w:eastAsia="宋体" w:cs="宋体"/>
          <w:spacing w:val="4"/>
          <w:sz w:val="20"/>
          <w:szCs w:val="20"/>
        </w:rPr>
        <w:t>起药物不良反应。④规律：严格按照规定的抗结核治疗方案，包括药品种类、剂量、</w:t>
      </w:r>
      <w:r>
        <w:rPr>
          <w:rFonts w:ascii="宋体" w:hAnsi="宋体" w:eastAsia="宋体" w:cs="宋体"/>
          <w:spacing w:val="3"/>
          <w:sz w:val="20"/>
          <w:szCs w:val="20"/>
        </w:rPr>
        <w:t>服药方法和服</w:t>
      </w:r>
      <w:r>
        <w:rPr>
          <w:rFonts w:ascii="宋体" w:hAnsi="宋体" w:eastAsia="宋体" w:cs="宋体"/>
          <w:sz w:val="20"/>
          <w:szCs w:val="20"/>
        </w:rPr>
        <w:t xml:space="preserve"> </w:t>
      </w:r>
      <w:r>
        <w:rPr>
          <w:rFonts w:ascii="宋体" w:hAnsi="宋体" w:eastAsia="宋体" w:cs="宋体"/>
          <w:spacing w:val="4"/>
          <w:sz w:val="20"/>
          <w:szCs w:val="20"/>
        </w:rPr>
        <w:t>药时间等规律服用，不能随意更改化疗方案或间断服药。规律用药可维持相对稳定的血药浓度，以 达到杀灭结核分枝杆菌的目的，并可避免诱发细菌的耐药性。⑤全程：有效的抗结核</w:t>
      </w:r>
      <w:r>
        <w:rPr>
          <w:rFonts w:ascii="宋体" w:hAnsi="宋体" w:eastAsia="宋体" w:cs="宋体"/>
          <w:spacing w:val="3"/>
          <w:sz w:val="20"/>
          <w:szCs w:val="20"/>
        </w:rPr>
        <w:t>化疗方案包括</w:t>
      </w:r>
      <w:r>
        <w:rPr>
          <w:rFonts w:ascii="宋体" w:hAnsi="宋体" w:eastAsia="宋体" w:cs="宋体"/>
          <w:sz w:val="20"/>
          <w:szCs w:val="20"/>
        </w:rPr>
        <w:t xml:space="preserve"> </w:t>
      </w:r>
      <w:r>
        <w:rPr>
          <w:rFonts w:ascii="宋体" w:hAnsi="宋体" w:eastAsia="宋体" w:cs="宋体"/>
          <w:spacing w:val="4"/>
          <w:sz w:val="20"/>
          <w:szCs w:val="20"/>
        </w:rPr>
        <w:t>强化期和继续化疗期， 一般为6～9个月。 一旦确定了化疗方案并开始治</w:t>
      </w:r>
      <w:r>
        <w:rPr>
          <w:rFonts w:ascii="宋体" w:hAnsi="宋体" w:eastAsia="宋体" w:cs="宋体"/>
          <w:spacing w:val="3"/>
          <w:sz w:val="20"/>
          <w:szCs w:val="20"/>
        </w:rPr>
        <w:t>疗，卫生服务提供者就要</w:t>
      </w:r>
      <w:r>
        <w:rPr>
          <w:rFonts w:ascii="宋体" w:hAnsi="宋体" w:eastAsia="宋体" w:cs="宋体"/>
          <w:sz w:val="20"/>
          <w:szCs w:val="20"/>
        </w:rPr>
        <w:t xml:space="preserve"> </w:t>
      </w:r>
      <w:r>
        <w:rPr>
          <w:rFonts w:ascii="宋体" w:hAnsi="宋体" w:eastAsia="宋体" w:cs="宋体"/>
          <w:spacing w:val="4"/>
          <w:sz w:val="20"/>
          <w:szCs w:val="20"/>
        </w:rPr>
        <w:t>采取有效的健康教育和经常性的督导等管理措施，以确保患者连续不间断地治疗，直至完成规定的</w:t>
      </w:r>
      <w:r>
        <w:rPr>
          <w:rFonts w:ascii="宋体" w:hAnsi="宋体" w:eastAsia="宋体" w:cs="宋体"/>
          <w:spacing w:val="2"/>
          <w:sz w:val="20"/>
          <w:szCs w:val="20"/>
        </w:rPr>
        <w:t xml:space="preserve"> </w:t>
      </w:r>
      <w:r>
        <w:rPr>
          <w:rFonts w:ascii="宋体" w:hAnsi="宋体" w:eastAsia="宋体" w:cs="宋体"/>
          <w:spacing w:val="13"/>
          <w:sz w:val="20"/>
          <w:szCs w:val="20"/>
        </w:rPr>
        <w:t>疗程。</w:t>
      </w:r>
    </w:p>
    <w:p w14:paraId="554983ED">
      <w:pPr>
        <w:spacing w:line="333" w:lineRule="auto"/>
        <w:rPr>
          <w:rFonts w:ascii="宋体" w:hAnsi="宋体" w:eastAsia="宋体" w:cs="宋体"/>
          <w:sz w:val="20"/>
          <w:szCs w:val="20"/>
        </w:rPr>
        <w:sectPr>
          <w:footerReference r:id="rId333" w:type="default"/>
          <w:pgSz w:w="11900" w:h="16820"/>
          <w:pgMar w:top="400" w:right="1490" w:bottom="789" w:left="880" w:header="0" w:footer="609" w:gutter="0"/>
          <w:cols w:space="720" w:num="1"/>
        </w:sectPr>
      </w:pPr>
    </w:p>
    <w:p w14:paraId="64853DE9">
      <w:pPr>
        <w:pStyle w:val="2"/>
        <w:spacing w:before="254" w:line="222" w:lineRule="auto"/>
        <w:ind w:left="7362"/>
        <w:rPr>
          <w:sz w:val="20"/>
          <w:szCs w:val="20"/>
        </w:rPr>
      </w:pPr>
      <w:r>
        <w:rPr>
          <w:b/>
          <w:bCs/>
          <w:spacing w:val="-14"/>
          <w:sz w:val="20"/>
          <w:szCs w:val="20"/>
        </w:rPr>
        <w:t>第二十章结核病</w:t>
      </w:r>
    </w:p>
    <w:p w14:paraId="6E36F96E">
      <w:pPr>
        <w:spacing w:line="338" w:lineRule="auto"/>
        <w:rPr>
          <w:rFonts w:ascii="Arial"/>
          <w:sz w:val="21"/>
        </w:rPr>
      </w:pPr>
    </w:p>
    <w:p w14:paraId="70A73E20">
      <w:pPr>
        <w:spacing w:line="338" w:lineRule="auto"/>
        <w:rPr>
          <w:rFonts w:ascii="Arial"/>
          <w:sz w:val="21"/>
        </w:rPr>
      </w:pPr>
    </w:p>
    <w:p w14:paraId="1F1FF786">
      <w:pPr>
        <w:pStyle w:val="2"/>
        <w:spacing w:before="81" w:line="222" w:lineRule="auto"/>
        <w:ind w:left="403"/>
        <w:outlineLvl w:val="4"/>
        <w:rPr>
          <w:sz w:val="25"/>
          <w:szCs w:val="25"/>
        </w:rPr>
      </w:pPr>
      <w:bookmarkStart w:id="513" w:name="bookmark322"/>
      <w:bookmarkEnd w:id="513"/>
      <w:bookmarkStart w:id="514" w:name="bookmark581"/>
      <w:bookmarkEnd w:id="514"/>
      <w:r>
        <w:rPr>
          <w:b/>
          <w:bCs/>
          <w:spacing w:val="-7"/>
          <w:sz w:val="25"/>
          <w:szCs w:val="25"/>
        </w:rPr>
        <w:t>三</w:t>
      </w:r>
      <w:r>
        <w:rPr>
          <w:spacing w:val="-39"/>
          <w:sz w:val="25"/>
          <w:szCs w:val="25"/>
        </w:rPr>
        <w:t xml:space="preserve"> </w:t>
      </w:r>
      <w:r>
        <w:rPr>
          <w:b/>
          <w:bCs/>
          <w:spacing w:val="-7"/>
          <w:sz w:val="25"/>
          <w:szCs w:val="25"/>
        </w:rPr>
        <w:t>、耐药结核病</w:t>
      </w:r>
    </w:p>
    <w:p w14:paraId="7ABDA276">
      <w:pPr>
        <w:spacing w:before="261" w:line="333" w:lineRule="auto"/>
        <w:ind w:right="645" w:firstLine="400"/>
        <w:jc w:val="both"/>
        <w:rPr>
          <w:rFonts w:ascii="宋体" w:hAnsi="宋体" w:eastAsia="宋体" w:cs="宋体"/>
          <w:sz w:val="20"/>
          <w:szCs w:val="20"/>
        </w:rPr>
      </w:pPr>
      <w:r>
        <w:rPr>
          <w:rFonts w:ascii="宋体" w:hAnsi="宋体" w:eastAsia="宋体" w:cs="宋体"/>
          <w:spacing w:val="11"/>
          <w:sz w:val="20"/>
          <w:szCs w:val="20"/>
        </w:rPr>
        <w:t>在第一个抗结核药物诞生后不久就出现了耐药结核分枝杆菌。20世纪50年代由国际防痨协</w:t>
      </w:r>
      <w:r>
        <w:rPr>
          <w:rFonts w:ascii="宋体" w:hAnsi="宋体" w:eastAsia="宋体" w:cs="宋体"/>
          <w:spacing w:val="18"/>
          <w:sz w:val="20"/>
          <w:szCs w:val="20"/>
        </w:rPr>
        <w:t xml:space="preserve"> </w:t>
      </w:r>
      <w:r>
        <w:rPr>
          <w:rFonts w:ascii="宋体" w:hAnsi="宋体" w:eastAsia="宋体" w:cs="宋体"/>
          <w:spacing w:val="13"/>
          <w:sz w:val="20"/>
          <w:szCs w:val="20"/>
        </w:rPr>
        <w:t>会在17个国家开展的调查发现对链霉素和异烟肼的原发性耐</w:t>
      </w:r>
      <w:r>
        <w:rPr>
          <w:rFonts w:ascii="宋体" w:hAnsi="宋体" w:eastAsia="宋体" w:cs="宋体"/>
          <w:spacing w:val="12"/>
          <w:sz w:val="20"/>
          <w:szCs w:val="20"/>
        </w:rPr>
        <w:t>药比例分别为3.7%和3%,同时耐这</w:t>
      </w:r>
      <w:r>
        <w:rPr>
          <w:rFonts w:ascii="宋体" w:hAnsi="宋体" w:eastAsia="宋体" w:cs="宋体"/>
          <w:sz w:val="20"/>
          <w:szCs w:val="20"/>
        </w:rPr>
        <w:t xml:space="preserve"> </w:t>
      </w:r>
      <w:r>
        <w:rPr>
          <w:rFonts w:ascii="宋体" w:hAnsi="宋体" w:eastAsia="宋体" w:cs="宋体"/>
          <w:spacing w:val="6"/>
          <w:sz w:val="20"/>
          <w:szCs w:val="20"/>
        </w:rPr>
        <w:t>两种药的百分比为1%。60年代利福平问世后，耐利福平的结核分枝杆菌也很快就出现了。随着抗</w:t>
      </w:r>
      <w:r>
        <w:rPr>
          <w:rFonts w:ascii="宋体" w:hAnsi="宋体" w:eastAsia="宋体" w:cs="宋体"/>
          <w:spacing w:val="2"/>
          <w:sz w:val="20"/>
          <w:szCs w:val="20"/>
        </w:rPr>
        <w:t xml:space="preserve"> 结核化疗在全球的日益普及，由于化疗方案不合理或患者的</w:t>
      </w:r>
      <w:r>
        <w:rPr>
          <w:rFonts w:ascii="宋体" w:hAnsi="宋体" w:eastAsia="宋体" w:cs="宋体"/>
          <w:spacing w:val="1"/>
          <w:sz w:val="20"/>
          <w:szCs w:val="20"/>
        </w:rPr>
        <w:t>治疗依从性差，结核分枝杆菌耐药问题</w:t>
      </w:r>
      <w:r>
        <w:rPr>
          <w:rFonts w:ascii="宋体" w:hAnsi="宋体" w:eastAsia="宋体" w:cs="宋体"/>
          <w:sz w:val="20"/>
          <w:szCs w:val="20"/>
        </w:rPr>
        <w:t xml:space="preserve"> </w:t>
      </w:r>
      <w:r>
        <w:rPr>
          <w:rFonts w:ascii="宋体" w:hAnsi="宋体" w:eastAsia="宋体" w:cs="宋体"/>
          <w:spacing w:val="3"/>
          <w:sz w:val="20"/>
          <w:szCs w:val="20"/>
        </w:rPr>
        <w:t>日趋严重，成为结核病防治工作中的一个难题。</w:t>
      </w:r>
    </w:p>
    <w:p w14:paraId="6BBDC394">
      <w:pPr>
        <w:pStyle w:val="2"/>
        <w:spacing w:before="5" w:line="221" w:lineRule="auto"/>
        <w:ind w:left="400"/>
        <w:rPr>
          <w:sz w:val="25"/>
          <w:szCs w:val="25"/>
        </w:rPr>
      </w:pPr>
      <w:r>
        <w:rPr>
          <w:spacing w:val="3"/>
          <w:sz w:val="25"/>
          <w:szCs w:val="25"/>
        </w:rPr>
        <w:t>(一)概念</w:t>
      </w:r>
    </w:p>
    <w:p w14:paraId="3627CF54">
      <w:pPr>
        <w:spacing w:before="78" w:line="323" w:lineRule="auto"/>
        <w:ind w:right="556" w:firstLine="400"/>
        <w:rPr>
          <w:rFonts w:ascii="宋体" w:hAnsi="宋体" w:eastAsia="宋体" w:cs="宋体"/>
          <w:sz w:val="20"/>
          <w:szCs w:val="20"/>
        </w:rPr>
      </w:pPr>
      <w:r>
        <w:rPr>
          <w:rFonts w:ascii="宋体" w:hAnsi="宋体" w:eastAsia="宋体" w:cs="宋体"/>
          <w:spacing w:val="3"/>
          <w:sz w:val="20"/>
          <w:szCs w:val="20"/>
        </w:rPr>
        <w:t>耐药结核病</w:t>
      </w:r>
      <w:r>
        <w:rPr>
          <w:rFonts w:ascii="Times New Roman" w:hAnsi="Times New Roman" w:eastAsia="Times New Roman" w:cs="Times New Roman"/>
          <w:spacing w:val="3"/>
          <w:sz w:val="20"/>
          <w:szCs w:val="20"/>
        </w:rPr>
        <w:t>(</w:t>
      </w:r>
      <w:r>
        <w:rPr>
          <w:rFonts w:ascii="Times New Roman" w:hAnsi="Times New Roman" w:eastAsia="Times New Roman" w:cs="Times New Roman"/>
          <w:sz w:val="20"/>
          <w:szCs w:val="20"/>
        </w:rPr>
        <w:t>drug</w:t>
      </w:r>
      <w:r>
        <w:rPr>
          <w:rFonts w:ascii="Times New Roman" w:hAnsi="Times New Roman" w:eastAsia="Times New Roman" w:cs="Times New Roman"/>
          <w:spacing w:val="3"/>
          <w:sz w:val="20"/>
          <w:szCs w:val="20"/>
        </w:rPr>
        <w:t>-</w:t>
      </w:r>
      <w:r>
        <w:rPr>
          <w:rFonts w:ascii="Times New Roman" w:hAnsi="Times New Roman" w:eastAsia="Times New Roman" w:cs="Times New Roman"/>
          <w:sz w:val="20"/>
          <w:szCs w:val="20"/>
        </w:rPr>
        <w:t>resistant</w:t>
      </w:r>
      <w:r>
        <w:rPr>
          <w:rFonts w:ascii="Times New Roman" w:hAnsi="Times New Roman" w:eastAsia="Times New Roman" w:cs="Times New Roman"/>
          <w:spacing w:val="3"/>
          <w:sz w:val="20"/>
          <w:szCs w:val="20"/>
        </w:rPr>
        <w:t xml:space="preserve">   </w:t>
      </w:r>
      <w:r>
        <w:rPr>
          <w:rFonts w:ascii="Times New Roman" w:hAnsi="Times New Roman" w:eastAsia="Times New Roman" w:cs="Times New Roman"/>
          <w:sz w:val="20"/>
          <w:szCs w:val="20"/>
        </w:rPr>
        <w:t>tuberculosis</w:t>
      </w:r>
      <w:r>
        <w:rPr>
          <w:rFonts w:ascii="Times New Roman" w:hAnsi="Times New Roman" w:eastAsia="Times New Roman" w:cs="Times New Roman"/>
          <w:spacing w:val="3"/>
          <w:sz w:val="20"/>
          <w:szCs w:val="20"/>
        </w:rPr>
        <w:t>)</w:t>
      </w:r>
      <w:r>
        <w:rPr>
          <w:rFonts w:ascii="宋体" w:hAnsi="宋体" w:eastAsia="宋体" w:cs="宋体"/>
          <w:spacing w:val="3"/>
          <w:sz w:val="20"/>
          <w:szCs w:val="20"/>
        </w:rPr>
        <w:t>是指结核病患者感染的结核分枝杆菌对抗结核药物产生</w:t>
      </w:r>
      <w:r>
        <w:rPr>
          <w:rFonts w:ascii="宋体" w:hAnsi="宋体" w:eastAsia="宋体" w:cs="宋体"/>
          <w:spacing w:val="6"/>
          <w:sz w:val="20"/>
          <w:szCs w:val="20"/>
        </w:rPr>
        <w:t xml:space="preserve">  </w:t>
      </w:r>
      <w:r>
        <w:rPr>
          <w:rFonts w:ascii="宋体" w:hAnsi="宋体" w:eastAsia="宋体" w:cs="宋体"/>
          <w:spacing w:val="4"/>
          <w:sz w:val="20"/>
          <w:szCs w:val="20"/>
        </w:rPr>
        <w:t>耐药性。耐药结核病尤其是耐多药结核病和广泛耐药结核病的出现</w:t>
      </w:r>
      <w:r>
        <w:rPr>
          <w:rFonts w:ascii="宋体" w:hAnsi="宋体" w:eastAsia="宋体" w:cs="宋体"/>
          <w:spacing w:val="3"/>
          <w:sz w:val="20"/>
          <w:szCs w:val="20"/>
        </w:rPr>
        <w:t>使得结核病流行势态更为严峻。</w:t>
      </w:r>
    </w:p>
    <w:p w14:paraId="3DD07C99">
      <w:pPr>
        <w:spacing w:before="6" w:line="338" w:lineRule="auto"/>
        <w:ind w:right="576" w:firstLine="400"/>
        <w:rPr>
          <w:rFonts w:ascii="宋体" w:hAnsi="宋体" w:eastAsia="宋体" w:cs="宋体"/>
          <w:sz w:val="20"/>
          <w:szCs w:val="20"/>
        </w:rPr>
      </w:pPr>
      <w:r>
        <w:rPr>
          <w:rFonts w:ascii="宋体" w:hAnsi="宋体" w:eastAsia="宋体" w:cs="宋体"/>
          <w:spacing w:val="5"/>
          <w:sz w:val="20"/>
          <w:szCs w:val="20"/>
        </w:rPr>
        <w:t>耐多药结核病</w:t>
      </w:r>
      <w:r>
        <w:rPr>
          <w:rFonts w:ascii="Times New Roman" w:hAnsi="Times New Roman" w:eastAsia="Times New Roman" w:cs="Times New Roman"/>
          <w:spacing w:val="5"/>
          <w:sz w:val="20"/>
          <w:szCs w:val="20"/>
        </w:rPr>
        <w:t>(</w:t>
      </w:r>
      <w:r>
        <w:rPr>
          <w:rFonts w:ascii="Times New Roman" w:hAnsi="Times New Roman" w:eastAsia="Times New Roman" w:cs="Times New Roman"/>
          <w:sz w:val="20"/>
          <w:szCs w:val="20"/>
        </w:rPr>
        <w:t>multidrug</w:t>
      </w:r>
      <w:r>
        <w:rPr>
          <w:rFonts w:ascii="Times New Roman" w:hAnsi="Times New Roman" w:eastAsia="Times New Roman" w:cs="Times New Roman"/>
          <w:spacing w:val="5"/>
          <w:sz w:val="20"/>
          <w:szCs w:val="20"/>
        </w:rPr>
        <w:t>-</w:t>
      </w:r>
      <w:r>
        <w:rPr>
          <w:rFonts w:ascii="Times New Roman" w:hAnsi="Times New Roman" w:eastAsia="Times New Roman" w:cs="Times New Roman"/>
          <w:sz w:val="20"/>
          <w:szCs w:val="20"/>
        </w:rPr>
        <w:t>resistant</w:t>
      </w:r>
      <w:r>
        <w:rPr>
          <w:rFonts w:ascii="Times New Roman" w:hAnsi="Times New Roman" w:eastAsia="Times New Roman" w:cs="Times New Roman"/>
          <w:spacing w:val="5"/>
          <w:sz w:val="20"/>
          <w:szCs w:val="20"/>
        </w:rPr>
        <w:t xml:space="preserve">     </w:t>
      </w:r>
      <w:r>
        <w:rPr>
          <w:rFonts w:ascii="Times New Roman" w:hAnsi="Times New Roman" w:eastAsia="Times New Roman" w:cs="Times New Roman"/>
          <w:sz w:val="20"/>
          <w:szCs w:val="20"/>
        </w:rPr>
        <w:t>tuberculosis</w:t>
      </w:r>
      <w:r>
        <w:rPr>
          <w:rFonts w:ascii="Times New Roman" w:hAnsi="Times New Roman" w:eastAsia="Times New Roman" w:cs="Times New Roman"/>
          <w:spacing w:val="5"/>
          <w:sz w:val="20"/>
          <w:szCs w:val="20"/>
        </w:rPr>
        <w:t>,</w:t>
      </w:r>
      <w:r>
        <w:rPr>
          <w:rFonts w:ascii="Times New Roman" w:hAnsi="Times New Roman" w:eastAsia="Times New Roman" w:cs="Times New Roman"/>
          <w:sz w:val="20"/>
          <w:szCs w:val="20"/>
        </w:rPr>
        <w:t>MDR</w:t>
      </w:r>
      <w:r>
        <w:rPr>
          <w:rFonts w:ascii="Times New Roman" w:hAnsi="Times New Roman" w:eastAsia="Times New Roman" w:cs="Times New Roman"/>
          <w:spacing w:val="5"/>
          <w:sz w:val="20"/>
          <w:szCs w:val="20"/>
        </w:rPr>
        <w:t>-</w:t>
      </w:r>
      <w:r>
        <w:rPr>
          <w:rFonts w:ascii="Times New Roman" w:hAnsi="Times New Roman" w:eastAsia="Times New Roman" w:cs="Times New Roman"/>
          <w:sz w:val="20"/>
          <w:szCs w:val="20"/>
        </w:rPr>
        <w:t>TB</w:t>
      </w:r>
      <w:r>
        <w:rPr>
          <w:rFonts w:ascii="Times New Roman" w:hAnsi="Times New Roman" w:eastAsia="Times New Roman" w:cs="Times New Roman"/>
          <w:spacing w:val="5"/>
          <w:sz w:val="20"/>
          <w:szCs w:val="20"/>
        </w:rPr>
        <w:t>)</w:t>
      </w:r>
      <w:r>
        <w:rPr>
          <w:rFonts w:ascii="宋体" w:hAnsi="宋体" w:eastAsia="宋体" w:cs="宋体"/>
          <w:spacing w:val="5"/>
          <w:sz w:val="20"/>
          <w:szCs w:val="20"/>
        </w:rPr>
        <w:t>是指结核患者感染的结核分枝杆菌在</w:t>
      </w:r>
      <w:r>
        <w:rPr>
          <w:rFonts w:ascii="宋体" w:hAnsi="宋体" w:eastAsia="宋体" w:cs="宋体"/>
          <w:spacing w:val="10"/>
          <w:sz w:val="20"/>
          <w:szCs w:val="20"/>
        </w:rPr>
        <w:t xml:space="preserve"> </w:t>
      </w:r>
      <w:r>
        <w:rPr>
          <w:rFonts w:ascii="宋体" w:hAnsi="宋体" w:eastAsia="宋体" w:cs="宋体"/>
          <w:spacing w:val="6"/>
          <w:sz w:val="20"/>
          <w:szCs w:val="20"/>
        </w:rPr>
        <w:t>体外被证实至少对异烟肼、利福平耐药。异烟肼和利福平是一线抗结核药物中效力最强的两种药</w:t>
      </w:r>
      <w:r>
        <w:rPr>
          <w:rFonts w:ascii="宋体" w:hAnsi="宋体" w:eastAsia="宋体" w:cs="宋体"/>
          <w:spacing w:val="16"/>
          <w:sz w:val="20"/>
          <w:szCs w:val="20"/>
        </w:rPr>
        <w:t xml:space="preserve"> </w:t>
      </w:r>
      <w:r>
        <w:rPr>
          <w:rFonts w:ascii="宋体" w:hAnsi="宋体" w:eastAsia="宋体" w:cs="宋体"/>
          <w:spacing w:val="2"/>
          <w:sz w:val="20"/>
          <w:szCs w:val="20"/>
        </w:rPr>
        <w:t>物，一旦结核分枝杆菌发生异烟肼和利福平耐药，常规</w:t>
      </w:r>
      <w:r>
        <w:rPr>
          <w:rFonts w:ascii="宋体" w:hAnsi="宋体" w:eastAsia="宋体" w:cs="宋体"/>
          <w:spacing w:val="1"/>
          <w:sz w:val="20"/>
          <w:szCs w:val="20"/>
        </w:rPr>
        <w:t>化疗就很难发挥治疗作用。</w:t>
      </w:r>
      <w:r>
        <w:rPr>
          <w:rFonts w:ascii="宋体" w:hAnsi="宋体" w:eastAsia="宋体" w:cs="宋体"/>
          <w:sz w:val="20"/>
          <w:szCs w:val="20"/>
        </w:rPr>
        <w:t>MDR</w:t>
      </w:r>
      <w:r>
        <w:rPr>
          <w:rFonts w:ascii="宋体" w:hAnsi="宋体" w:eastAsia="宋体" w:cs="宋体"/>
          <w:spacing w:val="1"/>
          <w:sz w:val="20"/>
          <w:szCs w:val="20"/>
        </w:rPr>
        <w:t>-</w:t>
      </w:r>
      <w:r>
        <w:rPr>
          <w:rFonts w:ascii="宋体" w:hAnsi="宋体" w:eastAsia="宋体" w:cs="宋体"/>
          <w:sz w:val="20"/>
          <w:szCs w:val="20"/>
        </w:rPr>
        <w:t>TB</w:t>
      </w:r>
      <w:r>
        <w:rPr>
          <w:rFonts w:ascii="宋体" w:hAnsi="宋体" w:eastAsia="宋体" w:cs="宋体"/>
          <w:spacing w:val="92"/>
          <w:sz w:val="20"/>
          <w:szCs w:val="20"/>
        </w:rPr>
        <w:t xml:space="preserve"> </w:t>
      </w:r>
      <w:r>
        <w:rPr>
          <w:rFonts w:ascii="宋体" w:hAnsi="宋体" w:eastAsia="宋体" w:cs="宋体"/>
          <w:spacing w:val="1"/>
          <w:sz w:val="20"/>
          <w:szCs w:val="20"/>
        </w:rPr>
        <w:t>治疗需</w:t>
      </w:r>
      <w:r>
        <w:rPr>
          <w:rFonts w:ascii="宋体" w:hAnsi="宋体" w:eastAsia="宋体" w:cs="宋体"/>
          <w:sz w:val="20"/>
          <w:szCs w:val="20"/>
        </w:rPr>
        <w:t xml:space="preserve">  </w:t>
      </w:r>
      <w:r>
        <w:rPr>
          <w:rFonts w:ascii="宋体" w:hAnsi="宋体" w:eastAsia="宋体" w:cs="宋体"/>
          <w:spacing w:val="-3"/>
          <w:sz w:val="20"/>
          <w:szCs w:val="20"/>
        </w:rPr>
        <w:t>要采用二线抗结核药物，包括氟喹诺酮类、丙硫异烟胺、氯法齐明、卡那霉素、硫酸卷曲霉素和阿米</w:t>
      </w:r>
      <w:r>
        <w:rPr>
          <w:rFonts w:ascii="宋体" w:hAnsi="宋体" w:eastAsia="宋体" w:cs="宋体"/>
          <w:sz w:val="20"/>
          <w:szCs w:val="20"/>
        </w:rPr>
        <w:t xml:space="preserve"> </w:t>
      </w:r>
      <w:r>
        <w:rPr>
          <w:rFonts w:ascii="宋体" w:hAnsi="宋体" w:eastAsia="宋体" w:cs="宋体"/>
          <w:spacing w:val="1"/>
          <w:sz w:val="20"/>
          <w:szCs w:val="20"/>
        </w:rPr>
        <w:t>卡星等药物。</w:t>
      </w:r>
      <w:r>
        <w:rPr>
          <w:rFonts w:ascii="宋体" w:hAnsi="宋体" w:eastAsia="宋体" w:cs="宋体"/>
          <w:spacing w:val="-31"/>
          <w:sz w:val="20"/>
          <w:szCs w:val="20"/>
        </w:rPr>
        <w:t xml:space="preserve"> </w:t>
      </w:r>
      <w:r>
        <w:rPr>
          <w:rFonts w:ascii="Times New Roman" w:hAnsi="Times New Roman" w:eastAsia="Times New Roman" w:cs="Times New Roman"/>
          <w:sz w:val="20"/>
          <w:szCs w:val="20"/>
        </w:rPr>
        <w:t>MDR</w:t>
      </w:r>
      <w:r>
        <w:rPr>
          <w:rFonts w:ascii="Times New Roman" w:hAnsi="Times New Roman" w:eastAsia="Times New Roman" w:cs="Times New Roman"/>
          <w:spacing w:val="1"/>
          <w:sz w:val="20"/>
          <w:szCs w:val="20"/>
        </w:rPr>
        <w:t>-</w:t>
      </w:r>
      <w:r>
        <w:rPr>
          <w:rFonts w:ascii="Times New Roman" w:hAnsi="Times New Roman" w:eastAsia="Times New Roman" w:cs="Times New Roman"/>
          <w:sz w:val="20"/>
          <w:szCs w:val="20"/>
        </w:rPr>
        <w:t>TB</w:t>
      </w:r>
      <w:r>
        <w:rPr>
          <w:rFonts w:ascii="Times New Roman" w:hAnsi="Times New Roman" w:eastAsia="Times New Roman" w:cs="Times New Roman"/>
          <w:spacing w:val="1"/>
          <w:sz w:val="20"/>
          <w:szCs w:val="20"/>
        </w:rPr>
        <w:t xml:space="preserve"> </w:t>
      </w:r>
      <w:r>
        <w:rPr>
          <w:rFonts w:ascii="宋体" w:hAnsi="宋体" w:eastAsia="宋体" w:cs="宋体"/>
          <w:spacing w:val="1"/>
          <w:sz w:val="20"/>
          <w:szCs w:val="20"/>
        </w:rPr>
        <w:t>治疗成本高昂，给结核病患者和家庭造成沉重的经济负担。更为严重的是，</w:t>
      </w:r>
      <w:r>
        <w:rPr>
          <w:rFonts w:ascii="宋体" w:hAnsi="宋体" w:eastAsia="宋体" w:cs="宋体"/>
          <w:sz w:val="20"/>
          <w:szCs w:val="20"/>
        </w:rPr>
        <w:t xml:space="preserve"> </w:t>
      </w:r>
      <w:r>
        <w:rPr>
          <w:rFonts w:ascii="宋体" w:hAnsi="宋体" w:eastAsia="宋体" w:cs="宋体"/>
          <w:spacing w:val="2"/>
          <w:sz w:val="20"/>
          <w:szCs w:val="20"/>
        </w:rPr>
        <w:t>一旦耐多药结核菌在人群中出现传播和流行，可能改变结核病流行谱，严重影响控制和消灭结核病</w:t>
      </w:r>
      <w:r>
        <w:rPr>
          <w:rFonts w:ascii="宋体" w:hAnsi="宋体" w:eastAsia="宋体" w:cs="宋体"/>
          <w:spacing w:val="7"/>
          <w:sz w:val="20"/>
          <w:szCs w:val="20"/>
        </w:rPr>
        <w:t xml:space="preserve"> </w:t>
      </w:r>
      <w:r>
        <w:rPr>
          <w:rFonts w:ascii="宋体" w:hAnsi="宋体" w:eastAsia="宋体" w:cs="宋体"/>
          <w:spacing w:val="13"/>
          <w:sz w:val="20"/>
          <w:szCs w:val="20"/>
        </w:rPr>
        <w:t>的长远目标。</w:t>
      </w:r>
    </w:p>
    <w:p w14:paraId="25E4E709">
      <w:pPr>
        <w:spacing w:before="4" w:line="335" w:lineRule="auto"/>
        <w:ind w:right="626" w:firstLine="400"/>
        <w:jc w:val="both"/>
        <w:rPr>
          <w:rFonts w:ascii="宋体" w:hAnsi="宋体" w:eastAsia="宋体" w:cs="宋体"/>
          <w:sz w:val="21"/>
          <w:szCs w:val="21"/>
        </w:rPr>
      </w:pPr>
      <w:r>
        <w:rPr>
          <w:rFonts w:ascii="宋体" w:hAnsi="宋体" w:eastAsia="宋体" w:cs="宋体"/>
          <w:spacing w:val="4"/>
          <w:sz w:val="20"/>
          <w:szCs w:val="20"/>
        </w:rPr>
        <w:t>准广泛耐药结核病</w:t>
      </w:r>
      <w:r>
        <w:rPr>
          <w:rFonts w:ascii="Times New Roman" w:hAnsi="Times New Roman" w:eastAsia="Times New Roman" w:cs="Times New Roman"/>
          <w:spacing w:val="4"/>
          <w:sz w:val="20"/>
          <w:szCs w:val="20"/>
        </w:rPr>
        <w:t>(</w:t>
      </w:r>
      <w:r>
        <w:rPr>
          <w:rFonts w:ascii="Times New Roman" w:hAnsi="Times New Roman" w:eastAsia="Times New Roman" w:cs="Times New Roman"/>
          <w:sz w:val="20"/>
          <w:szCs w:val="20"/>
        </w:rPr>
        <w:t>pre</w:t>
      </w:r>
      <w:r>
        <w:rPr>
          <w:rFonts w:ascii="Times New Roman" w:hAnsi="Times New Roman" w:eastAsia="Times New Roman" w:cs="Times New Roman"/>
          <w:spacing w:val="4"/>
          <w:sz w:val="20"/>
          <w:szCs w:val="20"/>
        </w:rPr>
        <w:t>-</w:t>
      </w:r>
      <w:r>
        <w:rPr>
          <w:rFonts w:ascii="Times New Roman" w:hAnsi="Times New Roman" w:eastAsia="Times New Roman" w:cs="Times New Roman"/>
          <w:sz w:val="20"/>
          <w:szCs w:val="20"/>
        </w:rPr>
        <w:t>extensively</w:t>
      </w:r>
      <w:r>
        <w:rPr>
          <w:rFonts w:ascii="Times New Roman" w:hAnsi="Times New Roman" w:eastAsia="Times New Roman" w:cs="Times New Roman"/>
          <w:spacing w:val="4"/>
          <w:sz w:val="20"/>
          <w:szCs w:val="20"/>
        </w:rPr>
        <w:t xml:space="preserve">   </w:t>
      </w:r>
      <w:r>
        <w:rPr>
          <w:rFonts w:ascii="Times New Roman" w:hAnsi="Times New Roman" w:eastAsia="Times New Roman" w:cs="Times New Roman"/>
          <w:sz w:val="20"/>
          <w:szCs w:val="20"/>
        </w:rPr>
        <w:t>drug</w:t>
      </w:r>
      <w:r>
        <w:rPr>
          <w:rFonts w:ascii="Times New Roman" w:hAnsi="Times New Roman" w:eastAsia="Times New Roman" w:cs="Times New Roman"/>
          <w:spacing w:val="4"/>
          <w:sz w:val="20"/>
          <w:szCs w:val="20"/>
        </w:rPr>
        <w:t>-</w:t>
      </w:r>
      <w:r>
        <w:rPr>
          <w:rFonts w:ascii="Times New Roman" w:hAnsi="Times New Roman" w:eastAsia="Times New Roman" w:cs="Times New Roman"/>
          <w:sz w:val="20"/>
          <w:szCs w:val="20"/>
        </w:rPr>
        <w:t>resistant</w:t>
      </w:r>
      <w:r>
        <w:rPr>
          <w:rFonts w:ascii="Times New Roman" w:hAnsi="Times New Roman" w:eastAsia="Times New Roman" w:cs="Times New Roman"/>
          <w:spacing w:val="4"/>
          <w:sz w:val="20"/>
          <w:szCs w:val="20"/>
        </w:rPr>
        <w:t xml:space="preserve">   </w:t>
      </w:r>
      <w:r>
        <w:rPr>
          <w:rFonts w:ascii="Times New Roman" w:hAnsi="Times New Roman" w:eastAsia="Times New Roman" w:cs="Times New Roman"/>
          <w:sz w:val="20"/>
          <w:szCs w:val="20"/>
        </w:rPr>
        <w:t>TB</w:t>
      </w:r>
      <w:r>
        <w:rPr>
          <w:rFonts w:ascii="Times New Roman" w:hAnsi="Times New Roman" w:eastAsia="Times New Roman" w:cs="Times New Roman"/>
          <w:spacing w:val="4"/>
          <w:sz w:val="20"/>
          <w:szCs w:val="20"/>
        </w:rPr>
        <w:t>,</w:t>
      </w:r>
      <w:r>
        <w:rPr>
          <w:rFonts w:ascii="Times New Roman" w:hAnsi="Times New Roman" w:eastAsia="Times New Roman" w:cs="Times New Roman"/>
          <w:sz w:val="20"/>
          <w:szCs w:val="20"/>
        </w:rPr>
        <w:t>pre</w:t>
      </w:r>
      <w:r>
        <w:rPr>
          <w:rFonts w:ascii="Times New Roman" w:hAnsi="Times New Roman" w:eastAsia="Times New Roman" w:cs="Times New Roman"/>
          <w:spacing w:val="4"/>
          <w:sz w:val="20"/>
          <w:szCs w:val="20"/>
        </w:rPr>
        <w:t>-</w:t>
      </w:r>
      <w:r>
        <w:rPr>
          <w:rFonts w:ascii="Times New Roman" w:hAnsi="Times New Roman" w:eastAsia="Times New Roman" w:cs="Times New Roman"/>
          <w:sz w:val="20"/>
          <w:szCs w:val="20"/>
        </w:rPr>
        <w:t>XDR</w:t>
      </w:r>
      <w:r>
        <w:rPr>
          <w:rFonts w:ascii="Times New Roman" w:hAnsi="Times New Roman" w:eastAsia="Times New Roman" w:cs="Times New Roman"/>
          <w:spacing w:val="4"/>
          <w:sz w:val="20"/>
          <w:szCs w:val="20"/>
        </w:rPr>
        <w:t>-</w:t>
      </w:r>
      <w:r>
        <w:rPr>
          <w:rFonts w:ascii="Times New Roman" w:hAnsi="Times New Roman" w:eastAsia="Times New Roman" w:cs="Times New Roman"/>
          <w:sz w:val="20"/>
          <w:szCs w:val="20"/>
        </w:rPr>
        <w:t>TB</w:t>
      </w:r>
      <w:r>
        <w:rPr>
          <w:rFonts w:ascii="Times New Roman" w:hAnsi="Times New Roman" w:eastAsia="Times New Roman" w:cs="Times New Roman"/>
          <w:spacing w:val="4"/>
          <w:sz w:val="20"/>
          <w:szCs w:val="20"/>
        </w:rPr>
        <w:t>)</w:t>
      </w:r>
      <w:r>
        <w:rPr>
          <w:rFonts w:ascii="宋体" w:hAnsi="宋体" w:eastAsia="宋体" w:cs="宋体"/>
          <w:spacing w:val="4"/>
          <w:sz w:val="20"/>
          <w:szCs w:val="20"/>
        </w:rPr>
        <w:t xml:space="preserve">指结核分枝杆菌在耐多药的 </w:t>
      </w:r>
      <w:r>
        <w:rPr>
          <w:rFonts w:ascii="宋体" w:hAnsi="宋体" w:eastAsia="宋体" w:cs="宋体"/>
          <w:spacing w:val="11"/>
          <w:sz w:val="20"/>
          <w:szCs w:val="20"/>
        </w:rPr>
        <w:t>基础上对一种喹诺酮类药物耐药。广泛耐药结核病</w:t>
      </w:r>
      <w:r>
        <w:rPr>
          <w:rFonts w:ascii="Times New Roman" w:hAnsi="Times New Roman" w:eastAsia="Times New Roman" w:cs="Times New Roman"/>
          <w:spacing w:val="11"/>
          <w:sz w:val="20"/>
          <w:szCs w:val="20"/>
        </w:rPr>
        <w:t>(</w:t>
      </w:r>
      <w:r>
        <w:rPr>
          <w:rFonts w:ascii="Times New Roman" w:hAnsi="Times New Roman" w:eastAsia="Times New Roman" w:cs="Times New Roman"/>
          <w:sz w:val="20"/>
          <w:szCs w:val="20"/>
        </w:rPr>
        <w:t>extensively</w:t>
      </w:r>
      <w:r>
        <w:rPr>
          <w:rFonts w:ascii="Times New Roman" w:hAnsi="Times New Roman" w:eastAsia="Times New Roman" w:cs="Times New Roman"/>
          <w:spacing w:val="11"/>
          <w:sz w:val="20"/>
          <w:szCs w:val="20"/>
        </w:rPr>
        <w:t xml:space="preserve">    </w:t>
      </w:r>
      <w:r>
        <w:rPr>
          <w:rFonts w:ascii="Times New Roman" w:hAnsi="Times New Roman" w:eastAsia="Times New Roman" w:cs="Times New Roman"/>
          <w:sz w:val="20"/>
          <w:szCs w:val="20"/>
        </w:rPr>
        <w:t>drug</w:t>
      </w:r>
      <w:r>
        <w:rPr>
          <w:rFonts w:ascii="Times New Roman" w:hAnsi="Times New Roman" w:eastAsia="Times New Roman" w:cs="Times New Roman"/>
          <w:spacing w:val="11"/>
          <w:sz w:val="20"/>
          <w:szCs w:val="20"/>
        </w:rPr>
        <w:t>-</w:t>
      </w:r>
      <w:r>
        <w:rPr>
          <w:rFonts w:ascii="Times New Roman" w:hAnsi="Times New Roman" w:eastAsia="Times New Roman" w:cs="Times New Roman"/>
          <w:sz w:val="20"/>
          <w:szCs w:val="20"/>
        </w:rPr>
        <w:t>resistant</w:t>
      </w:r>
      <w:r>
        <w:rPr>
          <w:rFonts w:ascii="Times New Roman" w:hAnsi="Times New Roman" w:eastAsia="Times New Roman" w:cs="Times New Roman"/>
          <w:spacing w:val="11"/>
          <w:sz w:val="20"/>
          <w:szCs w:val="20"/>
        </w:rPr>
        <w:t xml:space="preserve">     </w:t>
      </w:r>
      <w:r>
        <w:rPr>
          <w:rFonts w:ascii="Times New Roman" w:hAnsi="Times New Roman" w:eastAsia="Times New Roman" w:cs="Times New Roman"/>
          <w:sz w:val="20"/>
          <w:szCs w:val="20"/>
        </w:rPr>
        <w:t>TB</w:t>
      </w:r>
      <w:r>
        <w:rPr>
          <w:rFonts w:ascii="Times New Roman" w:hAnsi="Times New Roman" w:eastAsia="Times New Roman" w:cs="Times New Roman"/>
          <w:spacing w:val="11"/>
          <w:sz w:val="20"/>
          <w:szCs w:val="20"/>
        </w:rPr>
        <w:t>,</w:t>
      </w:r>
      <w:r>
        <w:rPr>
          <w:rFonts w:ascii="Times New Roman" w:hAnsi="Times New Roman" w:eastAsia="Times New Roman" w:cs="Times New Roman"/>
          <w:sz w:val="20"/>
          <w:szCs w:val="20"/>
        </w:rPr>
        <w:t>XDR</w:t>
      </w:r>
      <w:r>
        <w:rPr>
          <w:rFonts w:ascii="Times New Roman" w:hAnsi="Times New Roman" w:eastAsia="Times New Roman" w:cs="Times New Roman"/>
          <w:spacing w:val="11"/>
          <w:sz w:val="20"/>
          <w:szCs w:val="20"/>
        </w:rPr>
        <w:t>-</w:t>
      </w:r>
      <w:r>
        <w:rPr>
          <w:rFonts w:ascii="Times New Roman" w:hAnsi="Times New Roman" w:eastAsia="Times New Roman" w:cs="Times New Roman"/>
          <w:sz w:val="20"/>
          <w:szCs w:val="20"/>
        </w:rPr>
        <w:t>TB</w:t>
      </w:r>
      <w:r>
        <w:rPr>
          <w:rFonts w:ascii="Times New Roman" w:hAnsi="Times New Roman" w:eastAsia="Times New Roman" w:cs="Times New Roman"/>
          <w:spacing w:val="11"/>
          <w:sz w:val="20"/>
          <w:szCs w:val="20"/>
        </w:rPr>
        <w:t>)</w:t>
      </w:r>
      <w:r>
        <w:rPr>
          <w:rFonts w:ascii="宋体" w:hAnsi="宋体" w:eastAsia="宋体" w:cs="宋体"/>
          <w:spacing w:val="11"/>
          <w:sz w:val="20"/>
          <w:szCs w:val="20"/>
        </w:rPr>
        <w:t>指</w:t>
      </w:r>
      <w:r>
        <w:rPr>
          <w:rFonts w:ascii="宋体" w:hAnsi="宋体" w:eastAsia="宋体" w:cs="宋体"/>
          <w:spacing w:val="18"/>
          <w:sz w:val="20"/>
          <w:szCs w:val="20"/>
        </w:rPr>
        <w:t xml:space="preserve"> </w:t>
      </w:r>
      <w:r>
        <w:rPr>
          <w:rFonts w:ascii="宋体" w:hAnsi="宋体" w:eastAsia="宋体" w:cs="宋体"/>
          <w:spacing w:val="12"/>
          <w:sz w:val="20"/>
          <w:szCs w:val="20"/>
        </w:rPr>
        <w:t>患者感染的结核分枝杆菌除了对异烟肼和利福平耐药(即</w:t>
      </w:r>
      <w:r>
        <w:rPr>
          <w:rFonts w:ascii="Times New Roman" w:hAnsi="Times New Roman" w:eastAsia="Times New Roman" w:cs="Times New Roman"/>
          <w:sz w:val="20"/>
          <w:szCs w:val="20"/>
        </w:rPr>
        <w:t>MDR</w:t>
      </w:r>
      <w:r>
        <w:rPr>
          <w:rFonts w:ascii="Times New Roman" w:hAnsi="Times New Roman" w:eastAsia="Times New Roman" w:cs="Times New Roman"/>
          <w:spacing w:val="12"/>
          <w:sz w:val="20"/>
          <w:szCs w:val="20"/>
        </w:rPr>
        <w:t>-</w:t>
      </w:r>
      <w:r>
        <w:rPr>
          <w:rFonts w:ascii="Times New Roman" w:hAnsi="Times New Roman" w:eastAsia="Times New Roman" w:cs="Times New Roman"/>
          <w:sz w:val="20"/>
          <w:szCs w:val="20"/>
        </w:rPr>
        <w:t>TB</w:t>
      </w:r>
      <w:r>
        <w:rPr>
          <w:rFonts w:ascii="Times New Roman" w:hAnsi="Times New Roman" w:eastAsia="Times New Roman" w:cs="Times New Roman"/>
          <w:spacing w:val="12"/>
          <w:sz w:val="20"/>
          <w:szCs w:val="20"/>
        </w:rPr>
        <w:t>)</w:t>
      </w:r>
      <w:r>
        <w:rPr>
          <w:rFonts w:ascii="Times New Roman" w:hAnsi="Times New Roman" w:eastAsia="Times New Roman" w:cs="Times New Roman"/>
          <w:spacing w:val="25"/>
          <w:w w:val="101"/>
          <w:sz w:val="20"/>
          <w:szCs w:val="20"/>
        </w:rPr>
        <w:t xml:space="preserve"> </w:t>
      </w:r>
      <w:r>
        <w:rPr>
          <w:rFonts w:ascii="宋体" w:hAnsi="宋体" w:eastAsia="宋体" w:cs="宋体"/>
          <w:spacing w:val="12"/>
          <w:sz w:val="20"/>
          <w:szCs w:val="20"/>
        </w:rPr>
        <w:t>外，还对任何氟喹诺酮类药</w:t>
      </w:r>
      <w:r>
        <w:rPr>
          <w:rFonts w:ascii="宋体" w:hAnsi="宋体" w:eastAsia="宋体" w:cs="宋体"/>
          <w:sz w:val="20"/>
          <w:szCs w:val="20"/>
        </w:rPr>
        <w:t xml:space="preserve"> </w:t>
      </w:r>
      <w:r>
        <w:rPr>
          <w:rFonts w:ascii="宋体" w:hAnsi="宋体" w:eastAsia="宋体" w:cs="宋体"/>
          <w:spacing w:val="9"/>
          <w:sz w:val="20"/>
          <w:szCs w:val="20"/>
        </w:rPr>
        <w:t>物以及3种二线注射药物(硫酸卷曲霉素、卡那霉素</w:t>
      </w:r>
      <w:r>
        <w:rPr>
          <w:rFonts w:ascii="宋体" w:hAnsi="宋体" w:eastAsia="宋体" w:cs="宋体"/>
          <w:spacing w:val="8"/>
          <w:sz w:val="20"/>
          <w:szCs w:val="20"/>
        </w:rPr>
        <w:t>和阿米卡星)中的至少一种具有耐药性。在对</w:t>
      </w:r>
      <w:r>
        <w:rPr>
          <w:rFonts w:ascii="宋体" w:hAnsi="宋体" w:eastAsia="宋体" w:cs="宋体"/>
          <w:sz w:val="20"/>
          <w:szCs w:val="20"/>
        </w:rPr>
        <w:t xml:space="preserve"> </w:t>
      </w:r>
      <w:r>
        <w:rPr>
          <w:rFonts w:ascii="Times New Roman" w:hAnsi="Times New Roman" w:eastAsia="Times New Roman" w:cs="Times New Roman"/>
          <w:sz w:val="20"/>
          <w:szCs w:val="20"/>
        </w:rPr>
        <w:t>MDR</w:t>
      </w:r>
      <w:r>
        <w:rPr>
          <w:rFonts w:ascii="Times New Roman" w:hAnsi="Times New Roman" w:eastAsia="Times New Roman" w:cs="Times New Roman"/>
          <w:spacing w:val="1"/>
          <w:sz w:val="20"/>
          <w:szCs w:val="20"/>
        </w:rPr>
        <w:t>-</w:t>
      </w:r>
      <w:r>
        <w:rPr>
          <w:rFonts w:ascii="Times New Roman" w:hAnsi="Times New Roman" w:eastAsia="Times New Roman" w:cs="Times New Roman"/>
          <w:sz w:val="20"/>
          <w:szCs w:val="20"/>
        </w:rPr>
        <w:t>TB</w:t>
      </w:r>
      <w:r>
        <w:rPr>
          <w:rFonts w:ascii="Times New Roman" w:hAnsi="Times New Roman" w:eastAsia="Times New Roman" w:cs="Times New Roman"/>
          <w:spacing w:val="1"/>
          <w:sz w:val="20"/>
          <w:szCs w:val="20"/>
        </w:rPr>
        <w:t xml:space="preserve"> </w:t>
      </w:r>
      <w:r>
        <w:rPr>
          <w:rFonts w:ascii="宋体" w:hAnsi="宋体" w:eastAsia="宋体" w:cs="宋体"/>
          <w:spacing w:val="1"/>
          <w:sz w:val="20"/>
          <w:szCs w:val="20"/>
        </w:rPr>
        <w:t>的治疗中，如果二线抗结核药物使用或管理不当，结核分枝杆菌就有可能产生对二线药物</w:t>
      </w:r>
      <w:r>
        <w:rPr>
          <w:rFonts w:ascii="宋体" w:hAnsi="宋体" w:eastAsia="宋体" w:cs="宋体"/>
          <w:sz w:val="20"/>
          <w:szCs w:val="20"/>
        </w:rPr>
        <w:t xml:space="preserve"> </w:t>
      </w:r>
      <w:r>
        <w:rPr>
          <w:rFonts w:ascii="宋体" w:hAnsi="宋体" w:eastAsia="宋体" w:cs="宋体"/>
          <w:spacing w:val="2"/>
          <w:sz w:val="20"/>
          <w:szCs w:val="20"/>
        </w:rPr>
        <w:t>的耐药性，由此形成准广泛或者广泛耐药。</w:t>
      </w:r>
      <w:r>
        <w:rPr>
          <w:rFonts w:ascii="宋体" w:hAnsi="宋体" w:eastAsia="宋体" w:cs="宋体"/>
          <w:spacing w:val="-40"/>
          <w:sz w:val="20"/>
          <w:szCs w:val="20"/>
        </w:rPr>
        <w:t xml:space="preserve"> </w:t>
      </w:r>
      <w:r>
        <w:rPr>
          <w:rFonts w:ascii="Times New Roman" w:hAnsi="Times New Roman" w:eastAsia="Times New Roman" w:cs="Times New Roman"/>
          <w:sz w:val="20"/>
          <w:szCs w:val="20"/>
        </w:rPr>
        <w:t>XDR</w:t>
      </w:r>
      <w:r>
        <w:rPr>
          <w:rFonts w:ascii="Times New Roman" w:hAnsi="Times New Roman" w:eastAsia="Times New Roman" w:cs="Times New Roman"/>
          <w:spacing w:val="2"/>
          <w:sz w:val="20"/>
          <w:szCs w:val="20"/>
        </w:rPr>
        <w:t>-</w:t>
      </w:r>
      <w:r>
        <w:rPr>
          <w:rFonts w:ascii="Times New Roman" w:hAnsi="Times New Roman" w:eastAsia="Times New Roman" w:cs="Times New Roman"/>
          <w:sz w:val="20"/>
          <w:szCs w:val="20"/>
        </w:rPr>
        <w:t>TB</w:t>
      </w:r>
      <w:r>
        <w:rPr>
          <w:rFonts w:ascii="宋体" w:hAnsi="宋体" w:eastAsia="宋体" w:cs="宋体"/>
          <w:spacing w:val="2"/>
          <w:sz w:val="20"/>
          <w:szCs w:val="20"/>
        </w:rPr>
        <w:t>流行是当前全</w:t>
      </w:r>
      <w:r>
        <w:rPr>
          <w:rFonts w:ascii="宋体" w:hAnsi="宋体" w:eastAsia="宋体" w:cs="宋体"/>
          <w:spacing w:val="1"/>
          <w:sz w:val="20"/>
          <w:szCs w:val="20"/>
        </w:rPr>
        <w:t>球结核病控制面临的最严峻挑战</w:t>
      </w:r>
      <w:r>
        <w:rPr>
          <w:rFonts w:ascii="宋体" w:hAnsi="宋体" w:eastAsia="宋体" w:cs="宋体"/>
          <w:sz w:val="20"/>
          <w:szCs w:val="20"/>
        </w:rPr>
        <w:t xml:space="preserve"> </w:t>
      </w:r>
      <w:r>
        <w:rPr>
          <w:rFonts w:ascii="宋体" w:hAnsi="宋体" w:eastAsia="宋体" w:cs="宋体"/>
          <w:i/>
          <w:iCs/>
          <w:spacing w:val="5"/>
          <w:sz w:val="21"/>
          <w:szCs w:val="21"/>
        </w:rPr>
        <w:t>之一。</w:t>
      </w:r>
    </w:p>
    <w:p w14:paraId="7F221C9A">
      <w:pPr>
        <w:pStyle w:val="2"/>
        <w:spacing w:before="7" w:line="221" w:lineRule="auto"/>
        <w:ind w:left="403"/>
        <w:rPr>
          <w:sz w:val="25"/>
          <w:szCs w:val="25"/>
        </w:rPr>
      </w:pPr>
      <w:r>
        <w:rPr>
          <w:b/>
          <w:bCs/>
          <w:sz w:val="25"/>
          <w:szCs w:val="25"/>
        </w:rPr>
        <w:t>(二)分类</w:t>
      </w:r>
    </w:p>
    <w:p w14:paraId="0A6EEB88">
      <w:pPr>
        <w:spacing w:before="81" w:line="334" w:lineRule="auto"/>
        <w:ind w:right="622" w:firstLine="400"/>
        <w:jc w:val="both"/>
        <w:rPr>
          <w:rFonts w:ascii="宋体" w:hAnsi="宋体" w:eastAsia="宋体" w:cs="宋体"/>
          <w:sz w:val="20"/>
          <w:szCs w:val="20"/>
        </w:rPr>
      </w:pPr>
      <w:r>
        <w:rPr>
          <w:rFonts w:ascii="宋体" w:hAnsi="宋体" w:eastAsia="宋体" w:cs="宋体"/>
          <w:spacing w:val="-2"/>
          <w:sz w:val="20"/>
          <w:szCs w:val="20"/>
        </w:rPr>
        <w:t>耐药结核病分为原发性耐药和获得性耐药两类。原</w:t>
      </w:r>
      <w:r>
        <w:rPr>
          <w:rFonts w:ascii="宋体" w:hAnsi="宋体" w:eastAsia="宋体" w:cs="宋体"/>
          <w:spacing w:val="-3"/>
          <w:sz w:val="20"/>
          <w:szCs w:val="20"/>
        </w:rPr>
        <w:t>发性耐药(primary resistance)发生于从未接</w:t>
      </w:r>
      <w:r>
        <w:rPr>
          <w:rFonts w:ascii="宋体" w:hAnsi="宋体" w:eastAsia="宋体" w:cs="宋体"/>
          <w:sz w:val="20"/>
          <w:szCs w:val="20"/>
        </w:rPr>
        <w:t xml:space="preserve"> </w:t>
      </w:r>
      <w:r>
        <w:rPr>
          <w:rFonts w:ascii="宋体" w:hAnsi="宋体" w:eastAsia="宋体" w:cs="宋体"/>
          <w:spacing w:val="1"/>
          <w:sz w:val="20"/>
          <w:szCs w:val="20"/>
        </w:rPr>
        <w:t>受过抗结核药物治疗的结核患者，其感染的结核菌株对一种或多种抗结核药物耐药，</w:t>
      </w:r>
      <w:r>
        <w:rPr>
          <w:rFonts w:ascii="宋体" w:hAnsi="宋体" w:eastAsia="宋体" w:cs="宋体"/>
          <w:spacing w:val="-55"/>
          <w:sz w:val="20"/>
          <w:szCs w:val="20"/>
        </w:rPr>
        <w:t xml:space="preserve"> </w:t>
      </w:r>
      <w:r>
        <w:rPr>
          <w:rFonts w:ascii="宋体" w:hAnsi="宋体" w:eastAsia="宋体" w:cs="宋体"/>
          <w:spacing w:val="1"/>
          <w:sz w:val="20"/>
          <w:szCs w:val="20"/>
        </w:rPr>
        <w:t>一般是由耐药</w:t>
      </w:r>
      <w:r>
        <w:rPr>
          <w:rFonts w:ascii="宋体" w:hAnsi="宋体" w:eastAsia="宋体" w:cs="宋体"/>
          <w:sz w:val="20"/>
          <w:szCs w:val="20"/>
        </w:rPr>
        <w:t xml:space="preserve"> </w:t>
      </w:r>
      <w:r>
        <w:rPr>
          <w:rFonts w:ascii="宋体" w:hAnsi="宋体" w:eastAsia="宋体" w:cs="宋体"/>
          <w:spacing w:val="-4"/>
          <w:sz w:val="20"/>
          <w:szCs w:val="20"/>
        </w:rPr>
        <w:t>结核菌传播引起的，又称初始耐药。获得性耐药(acquired resistance)指</w:t>
      </w:r>
      <w:r>
        <w:rPr>
          <w:rFonts w:ascii="宋体" w:hAnsi="宋体" w:eastAsia="宋体" w:cs="宋体"/>
          <w:spacing w:val="-5"/>
          <w:sz w:val="20"/>
          <w:szCs w:val="20"/>
        </w:rPr>
        <w:t>患者感染的结核菌株最初对</w:t>
      </w:r>
      <w:r>
        <w:rPr>
          <w:rFonts w:ascii="宋体" w:hAnsi="宋体" w:eastAsia="宋体" w:cs="宋体"/>
          <w:sz w:val="20"/>
          <w:szCs w:val="20"/>
        </w:rPr>
        <w:t xml:space="preserve"> </w:t>
      </w:r>
      <w:r>
        <w:rPr>
          <w:rFonts w:ascii="宋体" w:hAnsi="宋体" w:eastAsia="宋体" w:cs="宋体"/>
          <w:spacing w:val="2"/>
          <w:sz w:val="20"/>
          <w:szCs w:val="20"/>
        </w:rPr>
        <w:t>抗结核药物敏感，但在治疗过程中发展为耐药，多数是治疗不规律所致。另外还有继发性耐药，指</w:t>
      </w:r>
      <w:r>
        <w:rPr>
          <w:rFonts w:ascii="宋体" w:hAnsi="宋体" w:eastAsia="宋体" w:cs="宋体"/>
          <w:spacing w:val="5"/>
          <w:sz w:val="20"/>
          <w:szCs w:val="20"/>
        </w:rPr>
        <w:t xml:space="preserve"> </w:t>
      </w:r>
      <w:r>
        <w:rPr>
          <w:rFonts w:ascii="宋体" w:hAnsi="宋体" w:eastAsia="宋体" w:cs="宋体"/>
          <w:spacing w:val="2"/>
          <w:sz w:val="20"/>
          <w:szCs w:val="20"/>
        </w:rPr>
        <w:t>以往经过抗结核药物治疗者中出现的耐药，其中既有原发性耐药又有获得性耐药的患者。</w:t>
      </w:r>
    </w:p>
    <w:p w14:paraId="61C2D75B">
      <w:pPr>
        <w:spacing w:before="26" w:line="342" w:lineRule="auto"/>
        <w:ind w:right="640" w:firstLine="400"/>
        <w:jc w:val="both"/>
        <w:rPr>
          <w:rFonts w:ascii="宋体" w:hAnsi="宋体" w:eastAsia="宋体" w:cs="宋体"/>
          <w:sz w:val="20"/>
          <w:szCs w:val="20"/>
        </w:rPr>
      </w:pPr>
      <w:r>
        <w:rPr>
          <w:rFonts w:ascii="宋体" w:hAnsi="宋体" w:eastAsia="宋体" w:cs="宋体"/>
          <w:spacing w:val="2"/>
          <w:sz w:val="20"/>
          <w:szCs w:val="20"/>
        </w:rPr>
        <w:t>结核病是一种贫困相关疾病，其流行地区多为贫穷落后的</w:t>
      </w:r>
      <w:r>
        <w:rPr>
          <w:rFonts w:ascii="宋体" w:hAnsi="宋体" w:eastAsia="宋体" w:cs="宋体"/>
          <w:spacing w:val="1"/>
          <w:sz w:val="20"/>
          <w:szCs w:val="20"/>
        </w:rPr>
        <w:t>发展中国家和地区，对结核病治疗过</w:t>
      </w:r>
      <w:r>
        <w:rPr>
          <w:rFonts w:ascii="宋体" w:hAnsi="宋体" w:eastAsia="宋体" w:cs="宋体"/>
          <w:sz w:val="20"/>
          <w:szCs w:val="20"/>
        </w:rPr>
        <w:t xml:space="preserve"> </w:t>
      </w:r>
      <w:r>
        <w:rPr>
          <w:rFonts w:ascii="宋体" w:hAnsi="宋体" w:eastAsia="宋体" w:cs="宋体"/>
          <w:spacing w:val="2"/>
          <w:sz w:val="20"/>
          <w:szCs w:val="20"/>
        </w:rPr>
        <w:t>程中耐药性的发生缺乏监测手段，对既往的结核病治</w:t>
      </w:r>
      <w:r>
        <w:rPr>
          <w:rFonts w:ascii="宋体" w:hAnsi="宋体" w:eastAsia="宋体" w:cs="宋体"/>
          <w:spacing w:val="1"/>
          <w:sz w:val="20"/>
          <w:szCs w:val="20"/>
        </w:rPr>
        <w:t>疗也缺乏完整的记录。因此，目前在全球的耐</w:t>
      </w:r>
      <w:r>
        <w:rPr>
          <w:rFonts w:ascii="宋体" w:hAnsi="宋体" w:eastAsia="宋体" w:cs="宋体"/>
          <w:sz w:val="20"/>
          <w:szCs w:val="20"/>
        </w:rPr>
        <w:t xml:space="preserve"> </w:t>
      </w:r>
      <w:r>
        <w:rPr>
          <w:rFonts w:ascii="宋体" w:hAnsi="宋体" w:eastAsia="宋体" w:cs="宋体"/>
          <w:spacing w:val="7"/>
          <w:sz w:val="20"/>
          <w:szCs w:val="20"/>
        </w:rPr>
        <w:t>药结核病监测中又将耐药结核病分为发生于新病例</w:t>
      </w:r>
      <w:r>
        <w:rPr>
          <w:rFonts w:ascii="宋体" w:hAnsi="宋体" w:eastAsia="宋体" w:cs="宋体"/>
          <w:spacing w:val="6"/>
          <w:sz w:val="20"/>
          <w:szCs w:val="20"/>
        </w:rPr>
        <w:t>的耐药和发生于有既往治疗史病例的耐药两种</w:t>
      </w:r>
      <w:r>
        <w:rPr>
          <w:rFonts w:ascii="宋体" w:hAnsi="宋体" w:eastAsia="宋体" w:cs="宋体"/>
          <w:sz w:val="20"/>
          <w:szCs w:val="20"/>
        </w:rPr>
        <w:t xml:space="preserve"> </w:t>
      </w:r>
      <w:r>
        <w:rPr>
          <w:rFonts w:ascii="宋体" w:hAnsi="宋体" w:eastAsia="宋体" w:cs="宋体"/>
          <w:spacing w:val="16"/>
          <w:sz w:val="20"/>
          <w:szCs w:val="20"/>
        </w:rPr>
        <w:t>类型。</w:t>
      </w:r>
    </w:p>
    <w:p w14:paraId="5856F0B0">
      <w:pPr>
        <w:spacing w:before="10" w:line="297" w:lineRule="auto"/>
        <w:ind w:right="647" w:firstLine="400"/>
        <w:rPr>
          <w:rFonts w:ascii="宋体" w:hAnsi="宋体" w:eastAsia="宋体" w:cs="宋体"/>
          <w:sz w:val="20"/>
          <w:szCs w:val="20"/>
        </w:rPr>
      </w:pPr>
      <w:r>
        <w:rPr>
          <w:rFonts w:ascii="宋体" w:hAnsi="宋体" w:eastAsia="宋体" w:cs="宋体"/>
          <w:spacing w:val="-4"/>
          <w:sz w:val="20"/>
          <w:szCs w:val="20"/>
        </w:rPr>
        <w:t>1. 发生于新病例的耐药(drug resistance among new cases) 指感染耐药结核分枝杆菌的结核患</w:t>
      </w:r>
      <w:r>
        <w:rPr>
          <w:rFonts w:ascii="宋体" w:hAnsi="宋体" w:eastAsia="宋体" w:cs="宋体"/>
          <w:spacing w:val="3"/>
          <w:sz w:val="20"/>
          <w:szCs w:val="20"/>
        </w:rPr>
        <w:t xml:space="preserve"> </w:t>
      </w:r>
      <w:r>
        <w:rPr>
          <w:rFonts w:ascii="宋体" w:hAnsi="宋体" w:eastAsia="宋体" w:cs="宋体"/>
          <w:spacing w:val="4"/>
          <w:sz w:val="20"/>
          <w:szCs w:val="20"/>
        </w:rPr>
        <w:t>者，在直接询问时否认有先前的抗结核治疗史或抗结核治疗不足1个月，在具有完善的</w:t>
      </w:r>
      <w:r>
        <w:rPr>
          <w:rFonts w:ascii="宋体" w:hAnsi="宋体" w:eastAsia="宋体" w:cs="宋体"/>
          <w:spacing w:val="3"/>
          <w:sz w:val="20"/>
          <w:szCs w:val="20"/>
        </w:rPr>
        <w:t>结核病治疗</w:t>
      </w:r>
      <w:r>
        <w:rPr>
          <w:rFonts w:ascii="宋体" w:hAnsi="宋体" w:eastAsia="宋体" w:cs="宋体"/>
          <w:sz w:val="20"/>
          <w:szCs w:val="20"/>
        </w:rPr>
        <w:t xml:space="preserve"> </w:t>
      </w:r>
      <w:r>
        <w:rPr>
          <w:rFonts w:ascii="宋体" w:hAnsi="宋体" w:eastAsia="宋体" w:cs="宋体"/>
          <w:spacing w:val="3"/>
          <w:sz w:val="20"/>
          <w:szCs w:val="20"/>
        </w:rPr>
        <w:t>记录的国家没有关于这些患者的治疗记录。</w:t>
      </w:r>
    </w:p>
    <w:p w14:paraId="47E1B2AC">
      <w:pPr>
        <w:spacing w:before="115" w:line="283" w:lineRule="auto"/>
        <w:ind w:right="644" w:firstLine="400"/>
        <w:rPr>
          <w:rFonts w:ascii="宋体" w:hAnsi="宋体" w:eastAsia="宋体" w:cs="宋体"/>
          <w:sz w:val="20"/>
          <w:szCs w:val="20"/>
        </w:rPr>
      </w:pPr>
      <w:r>
        <w:rPr>
          <w:rFonts w:ascii="宋体" w:hAnsi="宋体" w:eastAsia="宋体" w:cs="宋体"/>
          <w:spacing w:val="-8"/>
          <w:sz w:val="20"/>
          <w:szCs w:val="20"/>
        </w:rPr>
        <w:t>2. 发生于有既往治疗史病例的耐药(drug resistance among previously treated cases) 指感染耐</w:t>
      </w:r>
      <w:r>
        <w:rPr>
          <w:rFonts w:ascii="宋体" w:hAnsi="宋体" w:eastAsia="宋体" w:cs="宋体"/>
          <w:spacing w:val="6"/>
          <w:sz w:val="20"/>
          <w:szCs w:val="20"/>
        </w:rPr>
        <w:t xml:space="preserve"> 药结核分枝杆菌的结核患者，在直接询问时承认既往有1个月或1个月以上的抗结核治疗史，在具</w:t>
      </w:r>
    </w:p>
    <w:p w14:paraId="5A42D7EE">
      <w:pPr>
        <w:spacing w:line="283" w:lineRule="auto"/>
        <w:rPr>
          <w:rFonts w:ascii="宋体" w:hAnsi="宋体" w:eastAsia="宋体" w:cs="宋体"/>
          <w:sz w:val="20"/>
          <w:szCs w:val="20"/>
        </w:rPr>
        <w:sectPr>
          <w:footerReference r:id="rId334" w:type="default"/>
          <w:pgSz w:w="11900" w:h="16820"/>
          <w:pgMar w:top="400" w:right="984" w:bottom="969" w:left="1599" w:header="0" w:footer="789" w:gutter="0"/>
          <w:cols w:space="720" w:num="1"/>
        </w:sectPr>
      </w:pPr>
    </w:p>
    <w:p w14:paraId="515B93D8">
      <w:pPr>
        <w:pStyle w:val="2"/>
        <w:spacing w:before="286" w:line="222" w:lineRule="auto"/>
        <w:ind w:left="669"/>
        <w:rPr>
          <w:sz w:val="20"/>
          <w:szCs w:val="20"/>
        </w:rPr>
      </w:pPr>
      <w:r>
        <w:rPr>
          <w:spacing w:val="-4"/>
          <w:sz w:val="20"/>
          <w:szCs w:val="20"/>
        </w:rPr>
        <w:t>第二十章结核病</w:t>
      </w:r>
    </w:p>
    <w:p w14:paraId="60920A87">
      <w:pPr>
        <w:spacing w:line="271" w:lineRule="auto"/>
        <w:rPr>
          <w:rFonts w:ascii="Arial"/>
          <w:sz w:val="21"/>
        </w:rPr>
      </w:pPr>
    </w:p>
    <w:p w14:paraId="1E9EE920">
      <w:pPr>
        <w:spacing w:line="271" w:lineRule="auto"/>
        <w:rPr>
          <w:rFonts w:ascii="Arial"/>
          <w:sz w:val="21"/>
        </w:rPr>
      </w:pPr>
    </w:p>
    <w:p w14:paraId="22648CF0">
      <w:pPr>
        <w:spacing w:before="65" w:line="219" w:lineRule="auto"/>
        <w:ind w:left="669"/>
        <w:rPr>
          <w:rFonts w:ascii="宋体" w:hAnsi="宋体" w:eastAsia="宋体" w:cs="宋体"/>
          <w:sz w:val="20"/>
          <w:szCs w:val="20"/>
        </w:rPr>
      </w:pPr>
      <w:r>
        <w:rPr>
          <w:rFonts w:ascii="宋体" w:hAnsi="宋体" w:eastAsia="宋体" w:cs="宋体"/>
          <w:spacing w:val="5"/>
          <w:sz w:val="20"/>
          <w:szCs w:val="20"/>
        </w:rPr>
        <w:t>有完善的结核病治疗记录的国家有关于这些患者的治疗记录。</w:t>
      </w:r>
    </w:p>
    <w:p w14:paraId="7C9A93E4">
      <w:pPr>
        <w:spacing w:before="108" w:line="361" w:lineRule="auto"/>
        <w:ind w:left="669" w:right="90" w:firstLine="429"/>
        <w:rPr>
          <w:rFonts w:ascii="宋体" w:hAnsi="宋体" w:eastAsia="宋体" w:cs="宋体"/>
          <w:sz w:val="20"/>
          <w:szCs w:val="20"/>
        </w:rPr>
      </w:pPr>
      <w:r>
        <w:rPr>
          <w:rFonts w:ascii="宋体" w:hAnsi="宋体" w:eastAsia="宋体" w:cs="宋体"/>
          <w:spacing w:val="10"/>
          <w:sz w:val="20"/>
          <w:szCs w:val="20"/>
        </w:rPr>
        <w:t>合并耐药率</w:t>
      </w:r>
      <w:r>
        <w:rPr>
          <w:rFonts w:ascii="Times New Roman" w:hAnsi="Times New Roman" w:eastAsia="Times New Roman" w:cs="Times New Roman"/>
          <w:spacing w:val="10"/>
          <w:sz w:val="20"/>
          <w:szCs w:val="20"/>
        </w:rPr>
        <w:t>(</w:t>
      </w:r>
      <w:r>
        <w:rPr>
          <w:rFonts w:ascii="Times New Roman" w:hAnsi="Times New Roman" w:eastAsia="Times New Roman" w:cs="Times New Roman"/>
          <w:sz w:val="20"/>
          <w:szCs w:val="20"/>
        </w:rPr>
        <w:t>combined</w:t>
      </w:r>
      <w:r>
        <w:rPr>
          <w:rFonts w:ascii="Times New Roman" w:hAnsi="Times New Roman" w:eastAsia="Times New Roman" w:cs="Times New Roman"/>
          <w:spacing w:val="10"/>
          <w:sz w:val="20"/>
          <w:szCs w:val="20"/>
        </w:rPr>
        <w:t xml:space="preserve">  </w:t>
      </w:r>
      <w:r>
        <w:rPr>
          <w:rFonts w:ascii="Times New Roman" w:hAnsi="Times New Roman" w:eastAsia="Times New Roman" w:cs="Times New Roman"/>
          <w:sz w:val="20"/>
          <w:szCs w:val="20"/>
        </w:rPr>
        <w:t>prevalence</w:t>
      </w:r>
      <w:r>
        <w:rPr>
          <w:rFonts w:ascii="Times New Roman" w:hAnsi="Times New Roman" w:eastAsia="Times New Roman" w:cs="Times New Roman"/>
          <w:spacing w:val="10"/>
          <w:sz w:val="20"/>
          <w:szCs w:val="20"/>
        </w:rPr>
        <w:t xml:space="preserve">  </w:t>
      </w:r>
      <w:r>
        <w:rPr>
          <w:rFonts w:ascii="Times New Roman" w:hAnsi="Times New Roman" w:eastAsia="Times New Roman" w:cs="Times New Roman"/>
          <w:sz w:val="20"/>
          <w:szCs w:val="20"/>
        </w:rPr>
        <w:t>of</w:t>
      </w:r>
      <w:r>
        <w:rPr>
          <w:rFonts w:ascii="Times New Roman" w:hAnsi="Times New Roman" w:eastAsia="Times New Roman" w:cs="Times New Roman"/>
          <w:spacing w:val="10"/>
          <w:sz w:val="20"/>
          <w:szCs w:val="20"/>
        </w:rPr>
        <w:t xml:space="preserve">  </w:t>
      </w:r>
      <w:r>
        <w:rPr>
          <w:rFonts w:ascii="Times New Roman" w:hAnsi="Times New Roman" w:eastAsia="Times New Roman" w:cs="Times New Roman"/>
          <w:sz w:val="20"/>
          <w:szCs w:val="20"/>
        </w:rPr>
        <w:t>drug</w:t>
      </w:r>
      <w:r>
        <w:rPr>
          <w:rFonts w:ascii="Times New Roman" w:hAnsi="Times New Roman" w:eastAsia="Times New Roman" w:cs="Times New Roman"/>
          <w:spacing w:val="10"/>
          <w:sz w:val="20"/>
          <w:szCs w:val="20"/>
        </w:rPr>
        <w:t xml:space="preserve">  </w:t>
      </w:r>
      <w:r>
        <w:rPr>
          <w:rFonts w:ascii="Times New Roman" w:hAnsi="Times New Roman" w:eastAsia="Times New Roman" w:cs="Times New Roman"/>
          <w:sz w:val="20"/>
          <w:szCs w:val="20"/>
        </w:rPr>
        <w:t>resistance</w:t>
      </w:r>
      <w:r>
        <w:rPr>
          <w:rFonts w:ascii="Times New Roman" w:hAnsi="Times New Roman" w:eastAsia="Times New Roman" w:cs="Times New Roman"/>
          <w:spacing w:val="10"/>
          <w:sz w:val="20"/>
          <w:szCs w:val="20"/>
        </w:rPr>
        <w:t>)</w:t>
      </w:r>
      <w:r>
        <w:rPr>
          <w:rFonts w:ascii="宋体" w:hAnsi="宋体" w:eastAsia="宋体" w:cs="宋体"/>
          <w:spacing w:val="10"/>
          <w:sz w:val="20"/>
          <w:szCs w:val="20"/>
        </w:rPr>
        <w:t>指调查人群中</w:t>
      </w:r>
      <w:r>
        <w:rPr>
          <w:rFonts w:ascii="宋体" w:hAnsi="宋体" w:eastAsia="宋体" w:cs="宋体"/>
          <w:spacing w:val="9"/>
          <w:sz w:val="20"/>
          <w:szCs w:val="20"/>
        </w:rPr>
        <w:t>不考虑既往治疗史时的耐药</w:t>
      </w:r>
      <w:r>
        <w:rPr>
          <w:rFonts w:ascii="宋体" w:hAnsi="宋体" w:eastAsia="宋体" w:cs="宋体"/>
          <w:sz w:val="20"/>
          <w:szCs w:val="20"/>
        </w:rPr>
        <w:t xml:space="preserve"> </w:t>
      </w:r>
      <w:r>
        <w:rPr>
          <w:rFonts w:ascii="宋体" w:hAnsi="宋体" w:eastAsia="宋体" w:cs="宋体"/>
          <w:spacing w:val="10"/>
          <w:sz w:val="20"/>
          <w:szCs w:val="20"/>
        </w:rPr>
        <w:t>患病率。</w:t>
      </w:r>
    </w:p>
    <w:p w14:paraId="15186112">
      <w:pPr>
        <w:pStyle w:val="2"/>
        <w:spacing w:before="1" w:line="220" w:lineRule="auto"/>
        <w:ind w:left="1099"/>
        <w:rPr>
          <w:sz w:val="20"/>
          <w:szCs w:val="20"/>
        </w:rPr>
      </w:pPr>
      <w:r>
        <w:rPr>
          <w:spacing w:val="22"/>
          <w:sz w:val="20"/>
          <w:szCs w:val="20"/>
        </w:rPr>
        <w:t>(三)耐药结核病发生的机制和原因</w:t>
      </w:r>
    </w:p>
    <w:p w14:paraId="1CAFA5DD">
      <w:pPr>
        <w:spacing w:before="112" w:line="339" w:lineRule="auto"/>
        <w:ind w:left="669" w:right="69" w:firstLine="429"/>
        <w:jc w:val="both"/>
        <w:rPr>
          <w:rFonts w:ascii="宋体" w:hAnsi="宋体" w:eastAsia="宋体" w:cs="宋体"/>
          <w:sz w:val="20"/>
          <w:szCs w:val="20"/>
        </w:rPr>
      </w:pPr>
      <w:r>
        <w:rPr>
          <w:rFonts w:ascii="宋体" w:hAnsi="宋体" w:eastAsia="宋体" w:cs="宋体"/>
          <w:spacing w:val="11"/>
          <w:sz w:val="20"/>
          <w:szCs w:val="20"/>
        </w:rPr>
        <w:t>耐药结核菌是由结核分枝杆菌基因突变而产生的。结核分枝杆菌的自发突变导致对不同药物</w:t>
      </w:r>
      <w:r>
        <w:rPr>
          <w:rFonts w:ascii="宋体" w:hAnsi="宋体" w:eastAsia="宋体" w:cs="宋体"/>
          <w:spacing w:val="8"/>
          <w:sz w:val="20"/>
          <w:szCs w:val="20"/>
        </w:rPr>
        <w:t xml:space="preserve"> </w:t>
      </w:r>
      <w:r>
        <w:rPr>
          <w:rFonts w:ascii="宋体" w:hAnsi="宋体" w:eastAsia="宋体" w:cs="宋体"/>
          <w:spacing w:val="6"/>
          <w:sz w:val="20"/>
          <w:szCs w:val="20"/>
        </w:rPr>
        <w:t>的耐药，但各药物防止耐药菌出现的能力各不相同，且各药物间在耐药方面没有联系。因此，结核</w:t>
      </w:r>
      <w:r>
        <w:rPr>
          <w:rFonts w:ascii="宋体" w:hAnsi="宋体" w:eastAsia="宋体" w:cs="宋体"/>
          <w:spacing w:val="3"/>
          <w:sz w:val="20"/>
          <w:szCs w:val="20"/>
        </w:rPr>
        <w:t xml:space="preserve"> </w:t>
      </w:r>
      <w:r>
        <w:rPr>
          <w:rFonts w:ascii="宋体" w:hAnsi="宋体" w:eastAsia="宋体" w:cs="宋体"/>
          <w:spacing w:val="11"/>
          <w:sz w:val="20"/>
          <w:szCs w:val="20"/>
        </w:rPr>
        <w:t>病短程化疗中采用两药和多药联合治疗，可以使耐某种药物的突变菌被化疗方案中的其他药</w:t>
      </w:r>
      <w:r>
        <w:rPr>
          <w:rFonts w:ascii="宋体" w:hAnsi="宋体" w:eastAsia="宋体" w:cs="宋体"/>
          <w:spacing w:val="10"/>
          <w:sz w:val="20"/>
          <w:szCs w:val="20"/>
        </w:rPr>
        <w:t>物杀</w:t>
      </w:r>
      <w:r>
        <w:rPr>
          <w:rFonts w:ascii="宋体" w:hAnsi="宋体" w:eastAsia="宋体" w:cs="宋体"/>
          <w:sz w:val="20"/>
          <w:szCs w:val="20"/>
        </w:rPr>
        <w:t xml:space="preserve"> </w:t>
      </w:r>
      <w:r>
        <w:rPr>
          <w:rFonts w:ascii="宋体" w:hAnsi="宋体" w:eastAsia="宋体" w:cs="宋体"/>
          <w:spacing w:val="1"/>
          <w:sz w:val="20"/>
          <w:szCs w:val="20"/>
        </w:rPr>
        <w:t>死，从而防止耐药的发展。</w:t>
      </w:r>
    </w:p>
    <w:p w14:paraId="000E84FD">
      <w:pPr>
        <w:spacing w:before="4" w:line="342" w:lineRule="auto"/>
        <w:ind w:left="669" w:right="64" w:firstLine="429"/>
        <w:jc w:val="both"/>
        <w:rPr>
          <w:rFonts w:ascii="宋体" w:hAnsi="宋体" w:eastAsia="宋体" w:cs="宋体"/>
          <w:sz w:val="20"/>
          <w:szCs w:val="20"/>
        </w:rPr>
      </w:pPr>
      <w:r>
        <w:rPr>
          <w:rFonts w:ascii="宋体" w:hAnsi="宋体" w:eastAsia="宋体" w:cs="宋体"/>
          <w:spacing w:val="11"/>
          <w:sz w:val="20"/>
          <w:szCs w:val="20"/>
        </w:rPr>
        <w:t>耐药性的发生与结核患者的治疗管理过程和患者本身诸多因素有关。从管理角度而言，有些</w:t>
      </w:r>
      <w:r>
        <w:rPr>
          <w:rFonts w:ascii="宋体" w:hAnsi="宋体" w:eastAsia="宋体" w:cs="宋体"/>
          <w:spacing w:val="8"/>
          <w:sz w:val="20"/>
          <w:szCs w:val="20"/>
        </w:rPr>
        <w:t xml:space="preserve"> </w:t>
      </w:r>
      <w:r>
        <w:rPr>
          <w:rFonts w:ascii="宋体" w:hAnsi="宋体" w:eastAsia="宋体" w:cs="宋体"/>
          <w:spacing w:val="6"/>
          <w:sz w:val="20"/>
          <w:szCs w:val="20"/>
        </w:rPr>
        <w:t>国家的结核病控制规划中，缺乏政府对结核病控制的承诺，经费投入不足，又没有推行标准的</w:t>
      </w:r>
      <w:r>
        <w:rPr>
          <w:rFonts w:ascii="宋体" w:hAnsi="宋体" w:eastAsia="宋体" w:cs="宋体"/>
          <w:spacing w:val="5"/>
          <w:sz w:val="20"/>
          <w:szCs w:val="20"/>
        </w:rPr>
        <w:t>短程</w:t>
      </w:r>
      <w:r>
        <w:rPr>
          <w:rFonts w:ascii="宋体" w:hAnsi="宋体" w:eastAsia="宋体" w:cs="宋体"/>
          <w:sz w:val="20"/>
          <w:szCs w:val="20"/>
        </w:rPr>
        <w:t xml:space="preserve"> </w:t>
      </w:r>
      <w:r>
        <w:rPr>
          <w:rFonts w:ascii="宋体" w:hAnsi="宋体" w:eastAsia="宋体" w:cs="宋体"/>
          <w:spacing w:val="6"/>
          <w:sz w:val="20"/>
          <w:szCs w:val="20"/>
        </w:rPr>
        <w:t>化疗方案，药物供应的质量、数量和连续性得不到保证，使结核病控制工作不能有效地开展。在治</w:t>
      </w:r>
      <w:r>
        <w:rPr>
          <w:rFonts w:ascii="宋体" w:hAnsi="宋体" w:eastAsia="宋体" w:cs="宋体"/>
          <w:spacing w:val="7"/>
          <w:sz w:val="20"/>
          <w:szCs w:val="20"/>
        </w:rPr>
        <w:t xml:space="preserve"> 疗过程中使用单种药物，药物浓度不够，以及对治疗失败病</w:t>
      </w:r>
      <w:r>
        <w:rPr>
          <w:rFonts w:ascii="宋体" w:hAnsi="宋体" w:eastAsia="宋体" w:cs="宋体"/>
          <w:spacing w:val="6"/>
          <w:sz w:val="20"/>
          <w:szCs w:val="20"/>
        </w:rPr>
        <w:t>例没有妥善处理，使耐药结核病发生的</w:t>
      </w:r>
      <w:r>
        <w:rPr>
          <w:rFonts w:ascii="宋体" w:hAnsi="宋体" w:eastAsia="宋体" w:cs="宋体"/>
          <w:sz w:val="20"/>
          <w:szCs w:val="20"/>
        </w:rPr>
        <w:t xml:space="preserve"> </w:t>
      </w:r>
      <w:r>
        <w:rPr>
          <w:rFonts w:ascii="宋体" w:hAnsi="宋体" w:eastAsia="宋体" w:cs="宋体"/>
          <w:spacing w:val="1"/>
          <w:sz w:val="20"/>
          <w:szCs w:val="20"/>
        </w:rPr>
        <w:t>危险性上升。就患者而言，其自身疾病特征和免疫状态，不遵守医嘱用药，不能坚持规律、适量、全</w:t>
      </w:r>
      <w:r>
        <w:rPr>
          <w:rFonts w:ascii="宋体" w:hAnsi="宋体" w:eastAsia="宋体" w:cs="宋体"/>
          <w:spacing w:val="14"/>
          <w:sz w:val="20"/>
          <w:szCs w:val="20"/>
        </w:rPr>
        <w:t xml:space="preserve"> </w:t>
      </w:r>
      <w:r>
        <w:rPr>
          <w:rFonts w:ascii="宋体" w:hAnsi="宋体" w:eastAsia="宋体" w:cs="宋体"/>
          <w:spacing w:val="6"/>
          <w:sz w:val="20"/>
          <w:szCs w:val="20"/>
        </w:rPr>
        <w:t>程的治疗也是造成耐药的重要原因。</w:t>
      </w:r>
    </w:p>
    <w:p w14:paraId="727FF02A">
      <w:pPr>
        <w:spacing w:line="371" w:lineRule="auto"/>
        <w:rPr>
          <w:rFonts w:ascii="Arial"/>
          <w:sz w:val="21"/>
        </w:rPr>
      </w:pPr>
    </w:p>
    <w:p w14:paraId="56B926D3">
      <w:pPr>
        <w:pStyle w:val="2"/>
        <w:spacing w:before="98" w:line="221" w:lineRule="auto"/>
        <w:ind w:left="3954"/>
        <w:outlineLvl w:val="1"/>
      </w:pPr>
      <w:bookmarkStart w:id="515" w:name="bookmark323"/>
      <w:bookmarkEnd w:id="515"/>
      <w:r>
        <w:rPr>
          <w:b/>
          <w:bCs/>
          <w:spacing w:val="-11"/>
        </w:rPr>
        <w:t>第二节</w:t>
      </w:r>
      <w:r>
        <w:rPr>
          <w:spacing w:val="122"/>
        </w:rPr>
        <w:t xml:space="preserve"> </w:t>
      </w:r>
      <w:r>
        <w:rPr>
          <w:b/>
          <w:bCs/>
          <w:spacing w:val="-11"/>
        </w:rPr>
        <w:t>流行特征</w:t>
      </w:r>
    </w:p>
    <w:p w14:paraId="216512DB">
      <w:pPr>
        <w:spacing w:line="363" w:lineRule="auto"/>
        <w:rPr>
          <w:rFonts w:ascii="Arial"/>
          <w:sz w:val="21"/>
        </w:rPr>
      </w:pPr>
    </w:p>
    <w:p w14:paraId="72F25794">
      <w:pPr>
        <w:pStyle w:val="2"/>
        <w:spacing w:before="85" w:line="221" w:lineRule="auto"/>
        <w:ind w:left="1103"/>
        <w:outlineLvl w:val="4"/>
        <w:rPr>
          <w:sz w:val="26"/>
          <w:szCs w:val="26"/>
        </w:rPr>
      </w:pPr>
      <w:bookmarkStart w:id="516" w:name="bookmark324"/>
      <w:bookmarkEnd w:id="516"/>
      <w:r>
        <w:rPr>
          <w:b/>
          <w:bCs/>
          <w:spacing w:val="-13"/>
          <w:sz w:val="26"/>
          <w:szCs w:val="26"/>
        </w:rPr>
        <w:t>一、流行概况</w:t>
      </w:r>
    </w:p>
    <w:p w14:paraId="7DC4FF1D">
      <w:pPr>
        <w:pStyle w:val="2"/>
        <w:spacing w:before="270" w:line="221" w:lineRule="auto"/>
        <w:ind w:left="1099"/>
        <w:rPr>
          <w:sz w:val="20"/>
          <w:szCs w:val="20"/>
        </w:rPr>
      </w:pPr>
      <w:r>
        <w:rPr>
          <w:spacing w:val="20"/>
          <w:sz w:val="20"/>
          <w:szCs w:val="20"/>
        </w:rPr>
        <w:t>(</w:t>
      </w:r>
      <w:r>
        <w:rPr>
          <w:spacing w:val="-54"/>
          <w:sz w:val="20"/>
          <w:szCs w:val="20"/>
        </w:rPr>
        <w:t xml:space="preserve"> </w:t>
      </w:r>
      <w:r>
        <w:rPr>
          <w:spacing w:val="20"/>
          <w:sz w:val="20"/>
          <w:szCs w:val="20"/>
        </w:rPr>
        <w:t>一)全球结核病的流行概况</w:t>
      </w:r>
    </w:p>
    <w:p w14:paraId="49944A81">
      <w:pPr>
        <w:spacing w:before="102" w:line="333" w:lineRule="auto"/>
        <w:ind w:left="669" w:right="66" w:firstLine="429"/>
        <w:jc w:val="both"/>
        <w:rPr>
          <w:rFonts w:ascii="宋体" w:hAnsi="宋体" w:eastAsia="宋体" w:cs="宋体"/>
          <w:sz w:val="20"/>
          <w:szCs w:val="20"/>
        </w:rPr>
      </w:pPr>
      <w:r>
        <w:rPr>
          <w:rFonts w:ascii="宋体" w:hAnsi="宋体" w:eastAsia="宋体" w:cs="宋体"/>
          <w:spacing w:val="15"/>
          <w:sz w:val="20"/>
          <w:szCs w:val="20"/>
        </w:rPr>
        <w:t>据</w:t>
      </w:r>
      <w:r>
        <w:rPr>
          <w:rFonts w:ascii="宋体" w:hAnsi="宋体" w:eastAsia="宋体" w:cs="宋体"/>
          <w:spacing w:val="-33"/>
          <w:sz w:val="20"/>
          <w:szCs w:val="20"/>
        </w:rPr>
        <w:t xml:space="preserve"> </w:t>
      </w:r>
      <w:r>
        <w:rPr>
          <w:rFonts w:ascii="Times New Roman" w:hAnsi="Times New Roman" w:eastAsia="Times New Roman" w:cs="Times New Roman"/>
          <w:sz w:val="20"/>
          <w:szCs w:val="20"/>
        </w:rPr>
        <w:t>WHO</w:t>
      </w:r>
      <w:r>
        <w:rPr>
          <w:rFonts w:ascii="Times New Roman" w:hAnsi="Times New Roman" w:eastAsia="Times New Roman" w:cs="Times New Roman"/>
          <w:spacing w:val="25"/>
          <w:w w:val="101"/>
          <w:sz w:val="20"/>
          <w:szCs w:val="20"/>
        </w:rPr>
        <w:t xml:space="preserve"> </w:t>
      </w:r>
      <w:r>
        <w:rPr>
          <w:rFonts w:ascii="宋体" w:hAnsi="宋体" w:eastAsia="宋体" w:cs="宋体"/>
          <w:spacing w:val="15"/>
          <w:sz w:val="20"/>
          <w:szCs w:val="20"/>
        </w:rPr>
        <w:t>报告，2022年，全球有新发结核患者1060万例，结核病发</w:t>
      </w:r>
      <w:r>
        <w:rPr>
          <w:rFonts w:ascii="宋体" w:hAnsi="宋体" w:eastAsia="宋体" w:cs="宋体"/>
          <w:spacing w:val="14"/>
          <w:sz w:val="20"/>
          <w:szCs w:val="20"/>
        </w:rPr>
        <w:t>病率约为133/10万。自</w:t>
      </w:r>
      <w:r>
        <w:rPr>
          <w:rFonts w:ascii="宋体" w:hAnsi="宋体" w:eastAsia="宋体" w:cs="宋体"/>
          <w:sz w:val="20"/>
          <w:szCs w:val="20"/>
        </w:rPr>
        <w:t xml:space="preserve"> </w:t>
      </w:r>
      <w:r>
        <w:rPr>
          <w:rFonts w:ascii="宋体" w:hAnsi="宋体" w:eastAsia="宋体" w:cs="宋体"/>
          <w:spacing w:val="14"/>
          <w:sz w:val="20"/>
          <w:szCs w:val="20"/>
        </w:rPr>
        <w:t>2000年以来，结核病发病绝对数呈现缓慢下降趋势(平均</w:t>
      </w:r>
      <w:r>
        <w:rPr>
          <w:rFonts w:ascii="宋体" w:hAnsi="宋体" w:eastAsia="宋体" w:cs="宋体"/>
          <w:spacing w:val="13"/>
          <w:sz w:val="20"/>
          <w:szCs w:val="20"/>
        </w:rPr>
        <w:t>每年下降1.5%),累计下降18%。2022年</w:t>
      </w:r>
      <w:r>
        <w:rPr>
          <w:rFonts w:ascii="宋体" w:hAnsi="宋体" w:eastAsia="宋体" w:cs="宋体"/>
          <w:sz w:val="20"/>
          <w:szCs w:val="20"/>
        </w:rPr>
        <w:t xml:space="preserve"> </w:t>
      </w:r>
      <w:r>
        <w:rPr>
          <w:rFonts w:ascii="宋体" w:hAnsi="宋体" w:eastAsia="宋体" w:cs="宋体"/>
          <w:spacing w:val="7"/>
          <w:sz w:val="20"/>
          <w:szCs w:val="20"/>
        </w:rPr>
        <w:t>全球因结核病死亡人数共有130万，其中约有16.7万人为</w:t>
      </w:r>
      <w:r>
        <w:rPr>
          <w:rFonts w:ascii="宋体" w:hAnsi="宋体" w:eastAsia="宋体" w:cs="宋体"/>
          <w:sz w:val="20"/>
          <w:szCs w:val="20"/>
        </w:rPr>
        <w:t>HIV</w:t>
      </w:r>
      <w:r>
        <w:rPr>
          <w:rFonts w:ascii="宋体" w:hAnsi="宋体" w:eastAsia="宋体" w:cs="宋体"/>
          <w:spacing w:val="7"/>
          <w:sz w:val="20"/>
          <w:szCs w:val="20"/>
        </w:rPr>
        <w:t xml:space="preserve"> 感染者，结核病(</w:t>
      </w:r>
      <w:r>
        <w:rPr>
          <w:rFonts w:ascii="宋体" w:hAnsi="宋体" w:eastAsia="宋体" w:cs="宋体"/>
          <w:sz w:val="20"/>
          <w:szCs w:val="20"/>
        </w:rPr>
        <w:t>HIV</w:t>
      </w:r>
      <w:r>
        <w:rPr>
          <w:rFonts w:ascii="宋体" w:hAnsi="宋体" w:eastAsia="宋体" w:cs="宋体"/>
          <w:spacing w:val="53"/>
          <w:sz w:val="20"/>
          <w:szCs w:val="20"/>
        </w:rPr>
        <w:t xml:space="preserve"> </w:t>
      </w:r>
      <w:r>
        <w:rPr>
          <w:rFonts w:ascii="宋体" w:hAnsi="宋体" w:eastAsia="宋体" w:cs="宋体"/>
          <w:spacing w:val="7"/>
          <w:sz w:val="20"/>
          <w:szCs w:val="20"/>
        </w:rPr>
        <w:t>阴性者)</w:t>
      </w:r>
      <w:r>
        <w:rPr>
          <w:rFonts w:ascii="宋体" w:hAnsi="宋体" w:eastAsia="宋体" w:cs="宋体"/>
          <w:spacing w:val="6"/>
          <w:sz w:val="20"/>
          <w:szCs w:val="20"/>
        </w:rPr>
        <w:t>死亡率</w:t>
      </w:r>
      <w:r>
        <w:rPr>
          <w:rFonts w:ascii="宋体" w:hAnsi="宋体" w:eastAsia="宋体" w:cs="宋体"/>
          <w:sz w:val="20"/>
          <w:szCs w:val="20"/>
        </w:rPr>
        <w:t xml:space="preserve"> </w:t>
      </w:r>
      <w:r>
        <w:rPr>
          <w:rFonts w:ascii="宋体" w:hAnsi="宋体" w:eastAsia="宋体" w:cs="宋体"/>
          <w:spacing w:val="12"/>
          <w:sz w:val="20"/>
          <w:szCs w:val="20"/>
        </w:rPr>
        <w:t>约为14/10万。与2015年相比，全球结核病死亡人数下降</w:t>
      </w:r>
      <w:r>
        <w:rPr>
          <w:rFonts w:ascii="宋体" w:hAnsi="宋体" w:eastAsia="宋体" w:cs="宋体"/>
          <w:spacing w:val="11"/>
          <w:sz w:val="20"/>
          <w:szCs w:val="20"/>
        </w:rPr>
        <w:t>了19%,但在所有传染病中，仍位列全世</w:t>
      </w:r>
      <w:r>
        <w:rPr>
          <w:rFonts w:ascii="宋体" w:hAnsi="宋体" w:eastAsia="宋体" w:cs="宋体"/>
          <w:sz w:val="20"/>
          <w:szCs w:val="20"/>
        </w:rPr>
        <w:t xml:space="preserve"> </w:t>
      </w:r>
      <w:r>
        <w:rPr>
          <w:rFonts w:ascii="宋体" w:hAnsi="宋体" w:eastAsia="宋体" w:cs="宋体"/>
          <w:spacing w:val="6"/>
          <w:sz w:val="20"/>
          <w:szCs w:val="20"/>
        </w:rPr>
        <w:t>界单个传染病所致死亡数的第二名。</w:t>
      </w:r>
    </w:p>
    <w:p w14:paraId="59FCB3F6">
      <w:pPr>
        <w:spacing w:before="37" w:line="332" w:lineRule="auto"/>
        <w:ind w:left="669" w:right="89" w:firstLine="429"/>
        <w:jc w:val="both"/>
        <w:rPr>
          <w:rFonts w:ascii="宋体" w:hAnsi="宋体" w:eastAsia="宋体" w:cs="宋体"/>
          <w:sz w:val="20"/>
          <w:szCs w:val="20"/>
        </w:rPr>
      </w:pPr>
      <w:r>
        <w:rPr>
          <w:rFonts w:ascii="宋体" w:hAnsi="宋体" w:eastAsia="宋体" w:cs="宋体"/>
          <w:spacing w:val="10"/>
          <w:sz w:val="20"/>
          <w:szCs w:val="20"/>
        </w:rPr>
        <w:t>自20世纪初以来，随着社会经济水平和医疗卫生服务的发展，结核病发病率在西方发达国家</w:t>
      </w:r>
      <w:r>
        <w:rPr>
          <w:rFonts w:ascii="宋体" w:hAnsi="宋体" w:eastAsia="宋体" w:cs="宋体"/>
          <w:spacing w:val="1"/>
          <w:sz w:val="20"/>
          <w:szCs w:val="20"/>
        </w:rPr>
        <w:t xml:space="preserve"> </w:t>
      </w:r>
      <w:r>
        <w:rPr>
          <w:rFonts w:ascii="宋体" w:hAnsi="宋体" w:eastAsia="宋体" w:cs="宋体"/>
          <w:spacing w:val="6"/>
          <w:sz w:val="20"/>
          <w:szCs w:val="20"/>
        </w:rPr>
        <w:t>快速下降；20世纪50年代结核病化疗问世后，结核病在发达</w:t>
      </w:r>
      <w:r>
        <w:rPr>
          <w:rFonts w:ascii="宋体" w:hAnsi="宋体" w:eastAsia="宋体" w:cs="宋体"/>
          <w:spacing w:val="5"/>
          <w:sz w:val="20"/>
          <w:szCs w:val="20"/>
        </w:rPr>
        <w:t>国家的流行得到了有效控制。但是，80</w:t>
      </w:r>
      <w:r>
        <w:rPr>
          <w:rFonts w:ascii="宋体" w:hAnsi="宋体" w:eastAsia="宋体" w:cs="宋体"/>
          <w:sz w:val="20"/>
          <w:szCs w:val="20"/>
        </w:rPr>
        <w:t xml:space="preserve"> </w:t>
      </w:r>
      <w:r>
        <w:rPr>
          <w:rFonts w:ascii="宋体" w:hAnsi="宋体" w:eastAsia="宋体" w:cs="宋体"/>
          <w:spacing w:val="7"/>
          <w:sz w:val="20"/>
          <w:szCs w:val="20"/>
        </w:rPr>
        <w:t>年代后期，很多国家出现了结核病发病率回升趋势。据统计，1986—1999年，42%的发展中国家和</w:t>
      </w:r>
      <w:r>
        <w:rPr>
          <w:rFonts w:ascii="宋体" w:hAnsi="宋体" w:eastAsia="宋体" w:cs="宋体"/>
          <w:spacing w:val="9"/>
          <w:sz w:val="20"/>
          <w:szCs w:val="20"/>
        </w:rPr>
        <w:t xml:space="preserve"> </w:t>
      </w:r>
      <w:r>
        <w:rPr>
          <w:rFonts w:ascii="宋体" w:hAnsi="宋体" w:eastAsia="宋体" w:cs="宋体"/>
          <w:spacing w:val="16"/>
          <w:sz w:val="20"/>
          <w:szCs w:val="20"/>
        </w:rPr>
        <w:t>25%的发达国家结核病疫情呈现上升趋势，其中美国1985—1992年肺结核患者</w:t>
      </w:r>
      <w:r>
        <w:rPr>
          <w:rFonts w:ascii="宋体" w:hAnsi="宋体" w:eastAsia="宋体" w:cs="宋体"/>
          <w:spacing w:val="15"/>
          <w:sz w:val="20"/>
          <w:szCs w:val="20"/>
        </w:rPr>
        <w:t>数增加了20%,荷</w:t>
      </w:r>
      <w:r>
        <w:rPr>
          <w:rFonts w:ascii="宋体" w:hAnsi="宋体" w:eastAsia="宋体" w:cs="宋体"/>
          <w:sz w:val="20"/>
          <w:szCs w:val="20"/>
        </w:rPr>
        <w:t xml:space="preserve"> </w:t>
      </w:r>
      <w:r>
        <w:rPr>
          <w:rFonts w:ascii="宋体" w:hAnsi="宋体" w:eastAsia="宋体" w:cs="宋体"/>
          <w:spacing w:val="13"/>
          <w:sz w:val="20"/>
          <w:szCs w:val="20"/>
        </w:rPr>
        <w:t>兰1987—1992年增加了19%。1993年，</w:t>
      </w:r>
      <w:r>
        <w:rPr>
          <w:rFonts w:ascii="Times New Roman" w:hAnsi="Times New Roman" w:eastAsia="Times New Roman" w:cs="Times New Roman"/>
          <w:sz w:val="20"/>
          <w:szCs w:val="20"/>
        </w:rPr>
        <w:t>WHO</w:t>
      </w:r>
      <w:r>
        <w:rPr>
          <w:rFonts w:ascii="Times New Roman" w:hAnsi="Times New Roman" w:eastAsia="Times New Roman" w:cs="Times New Roman"/>
          <w:spacing w:val="13"/>
          <w:sz w:val="20"/>
          <w:szCs w:val="20"/>
        </w:rPr>
        <w:t xml:space="preserve"> </w:t>
      </w:r>
      <w:r>
        <w:rPr>
          <w:rFonts w:ascii="宋体" w:hAnsi="宋体" w:eastAsia="宋体" w:cs="宋体"/>
          <w:spacing w:val="13"/>
          <w:sz w:val="20"/>
          <w:szCs w:val="20"/>
        </w:rPr>
        <w:t>在第46届世界卫生大会上发布</w:t>
      </w:r>
      <w:r>
        <w:rPr>
          <w:rFonts w:ascii="宋体" w:hAnsi="宋体" w:eastAsia="宋体" w:cs="宋体"/>
          <w:spacing w:val="12"/>
          <w:sz w:val="20"/>
          <w:szCs w:val="20"/>
        </w:rPr>
        <w:t>了“全球结核病紧急</w:t>
      </w:r>
      <w:r>
        <w:rPr>
          <w:rFonts w:ascii="宋体" w:hAnsi="宋体" w:eastAsia="宋体" w:cs="宋体"/>
          <w:sz w:val="20"/>
          <w:szCs w:val="20"/>
        </w:rPr>
        <w:t xml:space="preserve"> </w:t>
      </w:r>
      <w:r>
        <w:rPr>
          <w:rFonts w:ascii="宋体" w:hAnsi="宋体" w:eastAsia="宋体" w:cs="宋体"/>
          <w:spacing w:val="-3"/>
          <w:sz w:val="20"/>
          <w:szCs w:val="20"/>
        </w:rPr>
        <w:t>状态宣言”,并呼吁“采取迅速行动与结核病危机进行</w:t>
      </w:r>
      <w:r>
        <w:rPr>
          <w:rFonts w:ascii="宋体" w:hAnsi="宋体" w:eastAsia="宋体" w:cs="宋体"/>
          <w:spacing w:val="-4"/>
          <w:sz w:val="20"/>
          <w:szCs w:val="20"/>
        </w:rPr>
        <w:t>斗争”。</w:t>
      </w:r>
    </w:p>
    <w:p w14:paraId="0DBCE7E4">
      <w:pPr>
        <w:spacing w:before="39" w:line="334" w:lineRule="auto"/>
        <w:ind w:left="669" w:firstLine="429"/>
        <w:jc w:val="both"/>
        <w:rPr>
          <w:rFonts w:ascii="宋体" w:hAnsi="宋体" w:eastAsia="宋体" w:cs="宋体"/>
          <w:sz w:val="20"/>
          <w:szCs w:val="20"/>
        </w:rPr>
      </w:pPr>
      <w:r>
        <w:rPr>
          <w:rFonts w:ascii="宋体" w:hAnsi="宋体" w:eastAsia="宋体" w:cs="宋体"/>
          <w:spacing w:val="8"/>
          <w:sz w:val="20"/>
          <w:szCs w:val="20"/>
        </w:rPr>
        <w:t>结核病的流行情况在不同地区差异明显。</w:t>
      </w:r>
      <w:r>
        <w:rPr>
          <w:rFonts w:ascii="宋体" w:hAnsi="宋体" w:eastAsia="宋体" w:cs="宋体"/>
          <w:spacing w:val="-30"/>
          <w:sz w:val="20"/>
          <w:szCs w:val="20"/>
        </w:rPr>
        <w:t xml:space="preserve"> </w:t>
      </w:r>
      <w:r>
        <w:rPr>
          <w:rFonts w:ascii="Times New Roman" w:hAnsi="Times New Roman" w:eastAsia="Times New Roman" w:cs="Times New Roman"/>
          <w:sz w:val="20"/>
          <w:szCs w:val="20"/>
        </w:rPr>
        <w:t>WHO</w:t>
      </w:r>
      <w:r>
        <w:rPr>
          <w:rFonts w:ascii="Times New Roman" w:hAnsi="Times New Roman" w:eastAsia="Times New Roman" w:cs="Times New Roman"/>
          <w:spacing w:val="15"/>
          <w:sz w:val="20"/>
          <w:szCs w:val="20"/>
        </w:rPr>
        <w:t xml:space="preserve"> </w:t>
      </w:r>
      <w:r>
        <w:rPr>
          <w:rFonts w:ascii="宋体" w:hAnsi="宋体" w:eastAsia="宋体" w:cs="宋体"/>
          <w:spacing w:val="8"/>
          <w:sz w:val="20"/>
          <w:szCs w:val="20"/>
        </w:rPr>
        <w:t>估</w:t>
      </w:r>
      <w:r>
        <w:rPr>
          <w:rFonts w:ascii="宋体" w:hAnsi="宋体" w:eastAsia="宋体" w:cs="宋体"/>
          <w:spacing w:val="7"/>
          <w:sz w:val="20"/>
          <w:szCs w:val="20"/>
        </w:rPr>
        <w:t>计，非洲地区结核病发病率高达208/10万，</w:t>
      </w:r>
      <w:r>
        <w:rPr>
          <w:rFonts w:ascii="宋体" w:hAnsi="宋体" w:eastAsia="宋体" w:cs="宋体"/>
          <w:sz w:val="20"/>
          <w:szCs w:val="20"/>
        </w:rPr>
        <w:t xml:space="preserve"> </w:t>
      </w:r>
      <w:r>
        <w:rPr>
          <w:rFonts w:ascii="宋体" w:hAnsi="宋体" w:eastAsia="宋体" w:cs="宋体"/>
          <w:spacing w:val="11"/>
          <w:sz w:val="20"/>
          <w:szCs w:val="20"/>
        </w:rPr>
        <w:t>而结核病病例负担最大的国家则在亚洲的印度、印度尼西亚和中国。</w:t>
      </w:r>
      <w:r>
        <w:rPr>
          <w:rFonts w:ascii="宋体" w:hAnsi="宋体" w:eastAsia="宋体" w:cs="宋体"/>
          <w:spacing w:val="10"/>
          <w:sz w:val="20"/>
          <w:szCs w:val="20"/>
        </w:rPr>
        <w:t>全球30个结核病高负担国家</w:t>
      </w:r>
      <w:r>
        <w:rPr>
          <w:rFonts w:ascii="宋体" w:hAnsi="宋体" w:eastAsia="宋体" w:cs="宋体"/>
          <w:sz w:val="20"/>
          <w:szCs w:val="20"/>
        </w:rPr>
        <w:t xml:space="preserve">  </w:t>
      </w:r>
      <w:r>
        <w:rPr>
          <w:rFonts w:ascii="宋体" w:hAnsi="宋体" w:eastAsia="宋体" w:cs="宋体"/>
          <w:spacing w:val="12"/>
          <w:sz w:val="20"/>
          <w:szCs w:val="20"/>
        </w:rPr>
        <w:t>多为低、中收入国家；2022年，大约8</w:t>
      </w:r>
      <w:r>
        <w:rPr>
          <w:rFonts w:ascii="宋体" w:hAnsi="宋体" w:eastAsia="宋体" w:cs="宋体"/>
          <w:spacing w:val="11"/>
          <w:sz w:val="20"/>
          <w:szCs w:val="20"/>
        </w:rPr>
        <w:t>7%的结核病新发病例发生在这30个国家(表20-1)。值得注</w:t>
      </w:r>
      <w:r>
        <w:rPr>
          <w:rFonts w:ascii="宋体" w:hAnsi="宋体" w:eastAsia="宋体" w:cs="宋体"/>
          <w:sz w:val="20"/>
          <w:szCs w:val="20"/>
        </w:rPr>
        <w:t xml:space="preserve">  </w:t>
      </w:r>
      <w:r>
        <w:rPr>
          <w:rFonts w:ascii="宋体" w:hAnsi="宋体" w:eastAsia="宋体" w:cs="宋体"/>
          <w:spacing w:val="11"/>
          <w:sz w:val="20"/>
          <w:szCs w:val="20"/>
        </w:rPr>
        <w:t>意的是，由于发展中国家结核病登记系统较为薄弱，</w:t>
      </w:r>
      <w:r>
        <w:rPr>
          <w:rFonts w:ascii="宋体" w:hAnsi="宋体" w:eastAsia="宋体" w:cs="宋体"/>
          <w:spacing w:val="10"/>
          <w:sz w:val="20"/>
          <w:szCs w:val="20"/>
        </w:rPr>
        <w:t>所报告的结核病发病情况可能会低估结核病</w:t>
      </w:r>
      <w:r>
        <w:rPr>
          <w:rFonts w:ascii="宋体" w:hAnsi="宋体" w:eastAsia="宋体" w:cs="宋体"/>
          <w:sz w:val="20"/>
          <w:szCs w:val="20"/>
        </w:rPr>
        <w:t xml:space="preserve">  </w:t>
      </w:r>
      <w:r>
        <w:rPr>
          <w:rFonts w:ascii="宋体" w:hAnsi="宋体" w:eastAsia="宋体" w:cs="宋体"/>
          <w:spacing w:val="13"/>
          <w:sz w:val="20"/>
          <w:szCs w:val="20"/>
        </w:rPr>
        <w:t>疫情。</w:t>
      </w:r>
    </w:p>
    <w:p w14:paraId="46E32E9B">
      <w:pPr>
        <w:spacing w:before="3" w:line="343" w:lineRule="auto"/>
        <w:ind w:left="669" w:right="78" w:firstLine="429"/>
        <w:jc w:val="both"/>
        <w:rPr>
          <w:rFonts w:ascii="宋体" w:hAnsi="宋体" w:eastAsia="宋体" w:cs="宋体"/>
          <w:sz w:val="20"/>
          <w:szCs w:val="20"/>
        </w:rPr>
      </w:pPr>
      <w:r>
        <w:rPr>
          <w:rFonts w:ascii="宋体" w:hAnsi="宋体" w:eastAsia="宋体" w:cs="宋体"/>
          <w:spacing w:val="6"/>
          <w:sz w:val="20"/>
          <w:szCs w:val="20"/>
        </w:rPr>
        <w:t>在发达国家中，大部分感染人口是老年人，为既往感染，因此患者也多为老年人</w:t>
      </w:r>
      <w:r>
        <w:rPr>
          <w:rFonts w:ascii="宋体" w:hAnsi="宋体" w:eastAsia="宋体" w:cs="宋体"/>
          <w:spacing w:val="5"/>
          <w:sz w:val="20"/>
          <w:szCs w:val="20"/>
        </w:rPr>
        <w:t>。但在发展中</w:t>
      </w:r>
      <w:r>
        <w:rPr>
          <w:rFonts w:ascii="宋体" w:hAnsi="宋体" w:eastAsia="宋体" w:cs="宋体"/>
          <w:sz w:val="20"/>
          <w:szCs w:val="20"/>
        </w:rPr>
        <w:t xml:space="preserve"> </w:t>
      </w:r>
      <w:r>
        <w:rPr>
          <w:rFonts w:ascii="宋体" w:hAnsi="宋体" w:eastAsia="宋体" w:cs="宋体"/>
          <w:spacing w:val="10"/>
          <w:sz w:val="20"/>
          <w:szCs w:val="20"/>
        </w:rPr>
        <w:t>国家，感染人口以青壮年为多，发病也集中在生产能力最强的青壮年。在2022年报告的结核病患</w:t>
      </w:r>
      <w:r>
        <w:rPr>
          <w:rFonts w:ascii="宋体" w:hAnsi="宋体" w:eastAsia="宋体" w:cs="宋体"/>
          <w:spacing w:val="9"/>
          <w:sz w:val="20"/>
          <w:szCs w:val="20"/>
        </w:rPr>
        <w:t xml:space="preserve"> </w:t>
      </w:r>
      <w:r>
        <w:rPr>
          <w:rFonts w:ascii="宋体" w:hAnsi="宋体" w:eastAsia="宋体" w:cs="宋体"/>
          <w:spacing w:val="10"/>
          <w:sz w:val="20"/>
          <w:szCs w:val="20"/>
        </w:rPr>
        <w:t>者中，15岁以下儿童占12%。结核病发病的男女性别比约为1.7:1。在</w:t>
      </w:r>
      <w:r>
        <w:rPr>
          <w:rFonts w:ascii="宋体" w:hAnsi="宋体" w:eastAsia="宋体" w:cs="宋体"/>
          <w:sz w:val="20"/>
          <w:szCs w:val="20"/>
        </w:rPr>
        <w:t>HIV</w:t>
      </w:r>
      <w:r>
        <w:rPr>
          <w:rFonts w:ascii="宋体" w:hAnsi="宋体" w:eastAsia="宋体" w:cs="宋体"/>
          <w:spacing w:val="-12"/>
          <w:sz w:val="20"/>
          <w:szCs w:val="20"/>
        </w:rPr>
        <w:t xml:space="preserve"> </w:t>
      </w:r>
      <w:r>
        <w:rPr>
          <w:rFonts w:ascii="宋体" w:hAnsi="宋体" w:eastAsia="宋体" w:cs="宋体"/>
          <w:spacing w:val="10"/>
          <w:sz w:val="20"/>
          <w:szCs w:val="20"/>
        </w:rPr>
        <w:t>高感染地区，育龄妇女</w:t>
      </w:r>
    </w:p>
    <w:p w14:paraId="69E4F100">
      <w:pPr>
        <w:spacing w:line="343" w:lineRule="auto"/>
        <w:rPr>
          <w:rFonts w:ascii="宋体" w:hAnsi="宋体" w:eastAsia="宋体" w:cs="宋体"/>
          <w:sz w:val="20"/>
          <w:szCs w:val="20"/>
        </w:rPr>
        <w:sectPr>
          <w:footerReference r:id="rId335" w:type="default"/>
          <w:pgSz w:w="11900" w:h="16820"/>
          <w:pgMar w:top="400" w:right="1450" w:bottom="879" w:left="830" w:header="0" w:footer="699" w:gutter="0"/>
          <w:cols w:space="720" w:num="1"/>
        </w:sectPr>
      </w:pPr>
    </w:p>
    <w:p w14:paraId="608C9CEB">
      <w:pPr>
        <w:pStyle w:val="2"/>
        <w:spacing w:before="164" w:line="222" w:lineRule="auto"/>
        <w:ind w:left="7532"/>
        <w:rPr>
          <w:sz w:val="20"/>
          <w:szCs w:val="20"/>
        </w:rPr>
      </w:pPr>
      <w:bookmarkStart w:id="517" w:name="bookmark582"/>
      <w:bookmarkEnd w:id="517"/>
      <w:r>
        <w:rPr>
          <w:b/>
          <w:bCs/>
          <w:spacing w:val="-20"/>
          <w:sz w:val="20"/>
          <w:szCs w:val="20"/>
        </w:rPr>
        <w:t>第二十章</w:t>
      </w:r>
      <w:r>
        <w:rPr>
          <w:spacing w:val="-20"/>
          <w:sz w:val="20"/>
          <w:szCs w:val="20"/>
        </w:rPr>
        <w:t xml:space="preserve"> </w:t>
      </w:r>
      <w:r>
        <w:rPr>
          <w:b/>
          <w:bCs/>
          <w:spacing w:val="-20"/>
          <w:sz w:val="20"/>
          <w:szCs w:val="20"/>
        </w:rPr>
        <w:t>结核病</w:t>
      </w:r>
    </w:p>
    <w:p w14:paraId="40E2DC2A">
      <w:pPr>
        <w:spacing w:before="68"/>
      </w:pPr>
    </w:p>
    <w:p w14:paraId="14DA7D3E">
      <w:pPr>
        <w:spacing w:before="68"/>
      </w:pPr>
    </w:p>
    <w:p w14:paraId="7CD9681C">
      <w:pPr>
        <w:sectPr>
          <w:footerReference r:id="rId336" w:type="default"/>
          <w:pgSz w:w="11900" w:h="16820"/>
          <w:pgMar w:top="400" w:right="884" w:bottom="949" w:left="1499" w:header="0" w:footer="769" w:gutter="0"/>
          <w:cols w:equalWidth="0" w:num="1">
            <w:col w:w="9516"/>
          </w:cols>
        </w:sectPr>
      </w:pPr>
    </w:p>
    <w:p w14:paraId="7E4F1622">
      <w:pPr>
        <w:spacing w:before="42" w:line="221" w:lineRule="auto"/>
        <w:ind w:left="1002"/>
        <w:rPr>
          <w:rFonts w:ascii="宋体" w:hAnsi="宋体" w:eastAsia="宋体" w:cs="宋体"/>
          <w:sz w:val="20"/>
          <w:szCs w:val="20"/>
        </w:rPr>
      </w:pPr>
      <w:r>
        <w:rPr>
          <w:rFonts w:ascii="宋体" w:hAnsi="宋体" w:eastAsia="宋体" w:cs="宋体"/>
          <w:b/>
          <w:bCs/>
          <w:spacing w:val="-5"/>
          <w:sz w:val="20"/>
          <w:szCs w:val="20"/>
        </w:rPr>
        <w:t>表2</w:t>
      </w:r>
    </w:p>
    <w:p w14:paraId="3A6E0B01">
      <w:pPr>
        <w:spacing w:line="14" w:lineRule="auto"/>
        <w:rPr>
          <w:rFonts w:ascii="Arial"/>
          <w:sz w:val="2"/>
        </w:rPr>
      </w:pPr>
      <w:r>
        <w:rPr>
          <w:rFonts w:ascii="Arial" w:hAnsi="Arial" w:eastAsia="Arial" w:cs="Arial"/>
          <w:sz w:val="2"/>
          <w:szCs w:val="2"/>
        </w:rPr>
        <w:br w:type="column"/>
      </w:r>
    </w:p>
    <w:p w14:paraId="153474B0">
      <w:pPr>
        <w:spacing w:before="40" w:line="219" w:lineRule="auto"/>
        <w:rPr>
          <w:rFonts w:ascii="宋体" w:hAnsi="宋体" w:eastAsia="宋体" w:cs="宋体"/>
          <w:sz w:val="20"/>
          <w:szCs w:val="20"/>
        </w:rPr>
      </w:pPr>
      <w:r>
        <w:rPr>
          <w:rFonts w:ascii="宋体" w:hAnsi="宋体" w:eastAsia="宋体" w:cs="宋体"/>
          <w:b/>
          <w:bCs/>
          <w:spacing w:val="-3"/>
          <w:sz w:val="20"/>
          <w:szCs w:val="20"/>
        </w:rPr>
        <w:t>0-12022年30个结核病高</w:t>
      </w:r>
    </w:p>
    <w:p w14:paraId="00E2D535">
      <w:pPr>
        <w:spacing w:line="14" w:lineRule="auto"/>
        <w:rPr>
          <w:rFonts w:ascii="Arial"/>
          <w:sz w:val="2"/>
        </w:rPr>
      </w:pPr>
      <w:r>
        <w:rPr>
          <w:rFonts w:ascii="Arial" w:hAnsi="Arial" w:eastAsia="Arial" w:cs="Arial"/>
          <w:sz w:val="2"/>
          <w:szCs w:val="2"/>
        </w:rPr>
        <w:br w:type="column"/>
      </w:r>
    </w:p>
    <w:p w14:paraId="265F22AF">
      <w:pPr>
        <w:spacing w:before="38" w:line="218" w:lineRule="auto"/>
        <w:rPr>
          <w:rFonts w:ascii="宋体" w:hAnsi="宋体" w:eastAsia="宋体" w:cs="宋体"/>
          <w:sz w:val="20"/>
          <w:szCs w:val="20"/>
        </w:rPr>
      </w:pPr>
      <w:r>
        <w:rPr>
          <w:rFonts w:ascii="宋体" w:hAnsi="宋体" w:eastAsia="宋体" w:cs="宋体"/>
          <w:b/>
          <w:bCs/>
          <w:spacing w:val="-22"/>
          <w:w w:val="98"/>
          <w:sz w:val="20"/>
          <w:szCs w:val="20"/>
        </w:rPr>
        <w:t>负担国家结核病负担的估计</w:t>
      </w:r>
    </w:p>
    <w:p w14:paraId="0367F148">
      <w:pPr>
        <w:spacing w:line="218" w:lineRule="auto"/>
        <w:rPr>
          <w:rFonts w:ascii="宋体" w:hAnsi="宋体" w:eastAsia="宋体" w:cs="宋体"/>
          <w:sz w:val="20"/>
          <w:szCs w:val="20"/>
        </w:rPr>
        <w:sectPr>
          <w:type w:val="continuous"/>
          <w:pgSz w:w="11900" w:h="16820"/>
          <w:pgMar w:top="400" w:right="884" w:bottom="949" w:left="1499" w:header="0" w:footer="769" w:gutter="0"/>
          <w:cols w:equalWidth="0" w:num="3">
            <w:col w:w="2373" w:space="100"/>
            <w:col w:w="2190" w:space="100"/>
            <w:col w:w="4754"/>
          </w:cols>
        </w:sectPr>
      </w:pPr>
    </w:p>
    <w:p w14:paraId="6DEC0969">
      <w:pPr>
        <w:spacing w:line="28" w:lineRule="exact"/>
      </w:pPr>
    </w:p>
    <w:tbl>
      <w:tblPr>
        <w:tblStyle w:val="5"/>
        <w:tblW w:w="8830"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0" w:type="dxa"/>
          <w:left w:w="0" w:type="dxa"/>
          <w:bottom w:w="0" w:type="dxa"/>
          <w:right w:w="0" w:type="dxa"/>
        </w:tblCellMar>
      </w:tblPr>
      <w:tblGrid>
        <w:gridCol w:w="2310"/>
        <w:gridCol w:w="2430"/>
        <w:gridCol w:w="2120"/>
        <w:gridCol w:w="1970"/>
      </w:tblGrid>
      <w:tr w14:paraId="105DBA79">
        <w:trPr>
          <w:trHeight w:val="384" w:hRule="atLeast"/>
        </w:trPr>
        <w:tc>
          <w:tcPr>
            <w:tcW w:w="2310" w:type="dxa"/>
            <w:tcBorders>
              <w:top w:val="single" w:color="000000" w:sz="4" w:space="0"/>
              <w:bottom w:val="single" w:color="000000" w:sz="4" w:space="0"/>
            </w:tcBorders>
            <w:shd w:val="clear" w:color="auto" w:fill="BDD3D1"/>
            <w:vAlign w:val="top"/>
          </w:tcPr>
          <w:p w14:paraId="301FD83B">
            <w:pPr>
              <w:pStyle w:val="6"/>
              <w:spacing w:before="90" w:line="220" w:lineRule="auto"/>
              <w:ind w:left="952"/>
            </w:pPr>
            <w:r>
              <w:rPr>
                <w:b/>
                <w:bCs/>
              </w:rPr>
              <w:t>国家</w:t>
            </w:r>
          </w:p>
        </w:tc>
        <w:tc>
          <w:tcPr>
            <w:tcW w:w="2430" w:type="dxa"/>
            <w:tcBorders>
              <w:top w:val="single" w:color="000000" w:sz="4" w:space="0"/>
              <w:bottom w:val="single" w:color="000000" w:sz="4" w:space="0"/>
            </w:tcBorders>
            <w:shd w:val="clear" w:color="auto" w:fill="B8C1B4"/>
            <w:vAlign w:val="top"/>
          </w:tcPr>
          <w:p w14:paraId="73AE6667">
            <w:pPr>
              <w:pStyle w:val="6"/>
              <w:spacing w:before="93" w:line="219" w:lineRule="auto"/>
              <w:ind w:left="459"/>
            </w:pPr>
            <w:r>
              <w:rPr>
                <w:spacing w:val="14"/>
              </w:rPr>
              <w:t>人口数/(×10³)</w:t>
            </w:r>
          </w:p>
        </w:tc>
        <w:tc>
          <w:tcPr>
            <w:tcW w:w="2120" w:type="dxa"/>
            <w:tcBorders>
              <w:top w:val="single" w:color="000000" w:sz="4" w:space="0"/>
              <w:bottom w:val="single" w:color="000000" w:sz="4" w:space="0"/>
            </w:tcBorders>
            <w:shd w:val="clear" w:color="auto" w:fill="BABFAF"/>
            <w:vAlign w:val="top"/>
          </w:tcPr>
          <w:p w14:paraId="0AD32941">
            <w:pPr>
              <w:pStyle w:val="6"/>
              <w:spacing w:before="90" w:line="219" w:lineRule="auto"/>
              <w:ind w:left="312"/>
            </w:pPr>
            <w:r>
              <w:rPr>
                <w:b/>
                <w:bCs/>
                <w:spacing w:val="11"/>
              </w:rPr>
              <w:t>发病数/(×10³)</w:t>
            </w:r>
          </w:p>
        </w:tc>
        <w:tc>
          <w:tcPr>
            <w:tcW w:w="1970" w:type="dxa"/>
            <w:tcBorders>
              <w:top w:val="single" w:color="000000" w:sz="4" w:space="0"/>
              <w:bottom w:val="single" w:color="000000" w:sz="4" w:space="0"/>
            </w:tcBorders>
            <w:shd w:val="clear" w:color="auto" w:fill="BCBFAD"/>
            <w:vAlign w:val="top"/>
          </w:tcPr>
          <w:p w14:paraId="72738E48">
            <w:pPr>
              <w:pStyle w:val="6"/>
              <w:spacing w:before="90" w:line="219" w:lineRule="auto"/>
              <w:ind w:left="232"/>
            </w:pPr>
            <w:r>
              <w:rPr>
                <w:b/>
                <w:bCs/>
                <w:spacing w:val="1"/>
              </w:rPr>
              <w:t>死亡数/(×10°)</w:t>
            </w:r>
          </w:p>
        </w:tc>
      </w:tr>
      <w:tr w14:paraId="5AAC4447">
        <w:trPr>
          <w:trHeight w:val="370" w:hRule="atLeast"/>
        </w:trPr>
        <w:tc>
          <w:tcPr>
            <w:tcW w:w="2310" w:type="dxa"/>
            <w:tcBorders>
              <w:top w:val="single" w:color="000000" w:sz="4" w:space="0"/>
              <w:bottom w:val="single" w:color="000000" w:sz="4" w:space="0"/>
            </w:tcBorders>
            <w:vAlign w:val="top"/>
          </w:tcPr>
          <w:p w14:paraId="3B97F7B9">
            <w:pPr>
              <w:pStyle w:val="6"/>
              <w:spacing w:before="89" w:line="220" w:lineRule="auto"/>
              <w:ind w:left="850"/>
            </w:pPr>
            <w:r>
              <w:rPr>
                <w:spacing w:val="-3"/>
              </w:rPr>
              <w:t>安哥拉</w:t>
            </w:r>
          </w:p>
        </w:tc>
        <w:tc>
          <w:tcPr>
            <w:tcW w:w="2430" w:type="dxa"/>
            <w:tcBorders>
              <w:top w:val="single" w:color="000000" w:sz="4" w:space="0"/>
              <w:bottom w:val="single" w:color="000000" w:sz="4" w:space="0"/>
            </w:tcBorders>
            <w:vAlign w:val="top"/>
          </w:tcPr>
          <w:p w14:paraId="1B04D45A">
            <w:pPr>
              <w:pStyle w:val="6"/>
              <w:spacing w:before="109" w:line="231" w:lineRule="auto"/>
              <w:ind w:left="960"/>
            </w:pPr>
            <w:r>
              <w:rPr>
                <w:spacing w:val="-2"/>
              </w:rPr>
              <w:t>36000</w:t>
            </w:r>
          </w:p>
        </w:tc>
        <w:tc>
          <w:tcPr>
            <w:tcW w:w="2120" w:type="dxa"/>
            <w:tcBorders>
              <w:top w:val="single" w:color="000000" w:sz="4" w:space="0"/>
              <w:bottom w:val="single" w:color="000000" w:sz="4" w:space="0"/>
            </w:tcBorders>
            <w:vAlign w:val="top"/>
          </w:tcPr>
          <w:p w14:paraId="6D2F28A5">
            <w:pPr>
              <w:pStyle w:val="6"/>
              <w:spacing w:before="109" w:line="231" w:lineRule="auto"/>
              <w:ind w:left="910"/>
            </w:pPr>
            <w:r>
              <w:rPr>
                <w:spacing w:val="-6"/>
              </w:rPr>
              <w:t>119</w:t>
            </w:r>
          </w:p>
        </w:tc>
        <w:tc>
          <w:tcPr>
            <w:tcW w:w="1970" w:type="dxa"/>
            <w:tcBorders>
              <w:top w:val="single" w:color="000000" w:sz="4" w:space="0"/>
              <w:bottom w:val="single" w:color="000000" w:sz="4" w:space="0"/>
            </w:tcBorders>
            <w:vAlign w:val="top"/>
          </w:tcPr>
          <w:p w14:paraId="1755C8C3">
            <w:pPr>
              <w:pStyle w:val="6"/>
              <w:spacing w:before="109" w:line="231" w:lineRule="auto"/>
              <w:ind w:left="780"/>
            </w:pPr>
            <w:r>
              <w:rPr>
                <w:spacing w:val="-2"/>
              </w:rPr>
              <w:t>22.3</w:t>
            </w:r>
          </w:p>
        </w:tc>
      </w:tr>
      <w:tr w14:paraId="1E32AB69">
        <w:trPr>
          <w:trHeight w:val="350" w:hRule="atLeast"/>
        </w:trPr>
        <w:tc>
          <w:tcPr>
            <w:tcW w:w="2310" w:type="dxa"/>
            <w:tcBorders>
              <w:top w:val="single" w:color="000000" w:sz="4" w:space="0"/>
              <w:bottom w:val="single" w:color="000000" w:sz="4" w:space="0"/>
            </w:tcBorders>
            <w:shd w:val="clear" w:color="auto" w:fill="E5F3F9"/>
            <w:vAlign w:val="top"/>
          </w:tcPr>
          <w:p w14:paraId="1050114B">
            <w:pPr>
              <w:pStyle w:val="6"/>
              <w:spacing w:before="80" w:line="221" w:lineRule="auto"/>
              <w:ind w:left="750"/>
            </w:pPr>
            <w:r>
              <w:rPr>
                <w:spacing w:val="5"/>
              </w:rPr>
              <w:t>孟加拉国</w:t>
            </w:r>
          </w:p>
        </w:tc>
        <w:tc>
          <w:tcPr>
            <w:tcW w:w="2430" w:type="dxa"/>
            <w:tcBorders>
              <w:top w:val="single" w:color="000000" w:sz="4" w:space="0"/>
              <w:bottom w:val="single" w:color="000000" w:sz="4" w:space="0"/>
            </w:tcBorders>
            <w:shd w:val="clear" w:color="auto" w:fill="DEE1DB"/>
            <w:vAlign w:val="top"/>
          </w:tcPr>
          <w:p w14:paraId="727A61F6">
            <w:pPr>
              <w:pStyle w:val="6"/>
              <w:spacing w:before="99" w:line="222" w:lineRule="auto"/>
              <w:ind w:left="910"/>
            </w:pPr>
            <w:r>
              <w:rPr>
                <w:spacing w:val="-4"/>
              </w:rPr>
              <w:t>171000</w:t>
            </w:r>
          </w:p>
        </w:tc>
        <w:tc>
          <w:tcPr>
            <w:tcW w:w="2120" w:type="dxa"/>
            <w:tcBorders>
              <w:top w:val="single" w:color="000000" w:sz="4" w:space="0"/>
              <w:bottom w:val="single" w:color="000000" w:sz="4" w:space="0"/>
            </w:tcBorders>
            <w:shd w:val="clear" w:color="auto" w:fill="DFE1D9"/>
            <w:vAlign w:val="top"/>
          </w:tcPr>
          <w:p w14:paraId="62E79995">
            <w:pPr>
              <w:pStyle w:val="6"/>
              <w:spacing w:before="99" w:line="222" w:lineRule="auto"/>
              <w:ind w:left="910"/>
            </w:pPr>
            <w:r>
              <w:rPr>
                <w:spacing w:val="-3"/>
              </w:rPr>
              <w:t>379</w:t>
            </w:r>
          </w:p>
        </w:tc>
        <w:tc>
          <w:tcPr>
            <w:tcW w:w="1970" w:type="dxa"/>
            <w:tcBorders>
              <w:top w:val="single" w:color="000000" w:sz="4" w:space="0"/>
              <w:bottom w:val="single" w:color="000000" w:sz="4" w:space="0"/>
            </w:tcBorders>
            <w:shd w:val="clear" w:color="auto" w:fill="E2E1D3"/>
            <w:vAlign w:val="top"/>
          </w:tcPr>
          <w:p w14:paraId="420FE96E">
            <w:pPr>
              <w:pStyle w:val="6"/>
              <w:spacing w:before="99" w:line="222" w:lineRule="auto"/>
              <w:ind w:left="730"/>
            </w:pPr>
            <w:r>
              <w:rPr>
                <w:spacing w:val="-2"/>
              </w:rPr>
              <w:t>42.17</w:t>
            </w:r>
          </w:p>
        </w:tc>
      </w:tr>
      <w:tr w14:paraId="650BC3A9">
        <w:trPr>
          <w:trHeight w:val="380" w:hRule="atLeast"/>
        </w:trPr>
        <w:tc>
          <w:tcPr>
            <w:tcW w:w="2310" w:type="dxa"/>
            <w:tcBorders>
              <w:top w:val="single" w:color="000000" w:sz="4" w:space="0"/>
              <w:bottom w:val="single" w:color="000000" w:sz="4" w:space="0"/>
            </w:tcBorders>
            <w:vAlign w:val="top"/>
          </w:tcPr>
          <w:p w14:paraId="0E81C506">
            <w:pPr>
              <w:pStyle w:val="6"/>
              <w:spacing w:before="92" w:line="223" w:lineRule="auto"/>
              <w:ind w:left="949"/>
            </w:pPr>
            <w:r>
              <w:rPr>
                <w:spacing w:val="7"/>
              </w:rPr>
              <w:t>巴西</w:t>
            </w:r>
          </w:p>
        </w:tc>
        <w:tc>
          <w:tcPr>
            <w:tcW w:w="2430" w:type="dxa"/>
            <w:tcBorders>
              <w:top w:val="single" w:color="000000" w:sz="4" w:space="0"/>
              <w:bottom w:val="single" w:color="000000" w:sz="4" w:space="0"/>
            </w:tcBorders>
            <w:vAlign w:val="top"/>
          </w:tcPr>
          <w:p w14:paraId="4831F12A">
            <w:pPr>
              <w:pStyle w:val="6"/>
              <w:spacing w:before="108"/>
              <w:ind w:left="910"/>
            </w:pPr>
            <w:r>
              <w:rPr>
                <w:spacing w:val="-2"/>
              </w:rPr>
              <w:t>215000</w:t>
            </w:r>
          </w:p>
        </w:tc>
        <w:tc>
          <w:tcPr>
            <w:tcW w:w="2120" w:type="dxa"/>
            <w:tcBorders>
              <w:top w:val="single" w:color="000000" w:sz="4" w:space="0"/>
              <w:bottom w:val="single" w:color="000000" w:sz="4" w:space="0"/>
            </w:tcBorders>
            <w:vAlign w:val="top"/>
          </w:tcPr>
          <w:p w14:paraId="7EA8EFB0">
            <w:pPr>
              <w:pStyle w:val="6"/>
              <w:spacing w:before="108"/>
              <w:ind w:left="910"/>
            </w:pPr>
            <w:r>
              <w:rPr>
                <w:spacing w:val="-6"/>
              </w:rPr>
              <w:t>105</w:t>
            </w:r>
          </w:p>
        </w:tc>
        <w:tc>
          <w:tcPr>
            <w:tcW w:w="1970" w:type="dxa"/>
            <w:tcBorders>
              <w:top w:val="single" w:color="000000" w:sz="4" w:space="0"/>
              <w:bottom w:val="single" w:color="000000" w:sz="4" w:space="0"/>
            </w:tcBorders>
            <w:vAlign w:val="top"/>
          </w:tcPr>
          <w:p w14:paraId="0C870E4E">
            <w:pPr>
              <w:pStyle w:val="6"/>
              <w:spacing w:before="108" w:line="239" w:lineRule="auto"/>
              <w:ind w:left="780"/>
            </w:pPr>
            <w:r>
              <w:rPr>
                <w:spacing w:val="-5"/>
              </w:rPr>
              <w:t>11.2</w:t>
            </w:r>
          </w:p>
        </w:tc>
      </w:tr>
      <w:tr w14:paraId="0DD536F4">
        <w:trPr>
          <w:trHeight w:val="370" w:hRule="atLeast"/>
        </w:trPr>
        <w:tc>
          <w:tcPr>
            <w:tcW w:w="2310" w:type="dxa"/>
            <w:tcBorders>
              <w:top w:val="single" w:color="000000" w:sz="4" w:space="0"/>
              <w:bottom w:val="single" w:color="000000" w:sz="4" w:space="0"/>
            </w:tcBorders>
            <w:shd w:val="clear" w:color="auto" w:fill="E8F3FA"/>
            <w:vAlign w:val="top"/>
          </w:tcPr>
          <w:p w14:paraId="231D71DE">
            <w:pPr>
              <w:pStyle w:val="6"/>
              <w:spacing w:before="89" w:line="220" w:lineRule="auto"/>
              <w:ind w:left="949"/>
            </w:pPr>
            <w:r>
              <w:rPr>
                <w:spacing w:val="4"/>
              </w:rPr>
              <w:t>中非</w:t>
            </w:r>
          </w:p>
        </w:tc>
        <w:tc>
          <w:tcPr>
            <w:tcW w:w="2430" w:type="dxa"/>
            <w:tcBorders>
              <w:top w:val="single" w:color="000000" w:sz="4" w:space="0"/>
              <w:bottom w:val="single" w:color="000000" w:sz="4" w:space="0"/>
            </w:tcBorders>
            <w:shd w:val="clear" w:color="auto" w:fill="DEE1DC"/>
            <w:vAlign w:val="top"/>
          </w:tcPr>
          <w:p w14:paraId="28796BC0">
            <w:pPr>
              <w:pStyle w:val="6"/>
              <w:spacing w:before="108" w:line="232" w:lineRule="auto"/>
              <w:ind w:left="1009"/>
            </w:pPr>
            <w:r>
              <w:rPr>
                <w:spacing w:val="-3"/>
              </w:rPr>
              <w:t>5600</w:t>
            </w:r>
          </w:p>
        </w:tc>
        <w:tc>
          <w:tcPr>
            <w:tcW w:w="2120" w:type="dxa"/>
            <w:tcBorders>
              <w:top w:val="single" w:color="000000" w:sz="4" w:space="0"/>
              <w:bottom w:val="single" w:color="000000" w:sz="4" w:space="0"/>
            </w:tcBorders>
            <w:shd w:val="clear" w:color="auto" w:fill="E1E2D8"/>
            <w:vAlign w:val="top"/>
          </w:tcPr>
          <w:p w14:paraId="256FCD27">
            <w:pPr>
              <w:pStyle w:val="6"/>
              <w:spacing w:before="108" w:line="232" w:lineRule="auto"/>
              <w:ind w:left="959"/>
            </w:pPr>
            <w:r>
              <w:rPr>
                <w:spacing w:val="-3"/>
              </w:rPr>
              <w:t>30</w:t>
            </w:r>
          </w:p>
        </w:tc>
        <w:tc>
          <w:tcPr>
            <w:tcW w:w="1970" w:type="dxa"/>
            <w:tcBorders>
              <w:top w:val="single" w:color="000000" w:sz="4" w:space="0"/>
              <w:bottom w:val="single" w:color="000000" w:sz="4" w:space="0"/>
            </w:tcBorders>
            <w:shd w:val="clear" w:color="auto" w:fill="E6E6D8"/>
            <w:vAlign w:val="top"/>
          </w:tcPr>
          <w:p w14:paraId="7703E5EA">
            <w:pPr>
              <w:pStyle w:val="6"/>
              <w:spacing w:before="108" w:line="232" w:lineRule="auto"/>
              <w:ind w:left="830"/>
            </w:pPr>
            <w:r>
              <w:rPr>
                <w:spacing w:val="-2"/>
              </w:rPr>
              <w:t>8.7</w:t>
            </w:r>
          </w:p>
        </w:tc>
      </w:tr>
      <w:tr w14:paraId="5FB72068">
        <w:trPr>
          <w:trHeight w:val="370" w:hRule="atLeast"/>
        </w:trPr>
        <w:tc>
          <w:tcPr>
            <w:tcW w:w="2310" w:type="dxa"/>
            <w:tcBorders>
              <w:top w:val="single" w:color="000000" w:sz="4" w:space="0"/>
              <w:bottom w:val="single" w:color="000000" w:sz="4" w:space="0"/>
            </w:tcBorders>
            <w:vAlign w:val="top"/>
          </w:tcPr>
          <w:p w14:paraId="73CE4CD9">
            <w:pPr>
              <w:pStyle w:val="6"/>
              <w:spacing w:before="89" w:line="220" w:lineRule="auto"/>
              <w:ind w:left="949"/>
            </w:pPr>
            <w:r>
              <w:rPr>
                <w:spacing w:val="23"/>
              </w:rPr>
              <w:t>中国</w:t>
            </w:r>
          </w:p>
        </w:tc>
        <w:tc>
          <w:tcPr>
            <w:tcW w:w="2430" w:type="dxa"/>
            <w:tcBorders>
              <w:top w:val="single" w:color="000000" w:sz="4" w:space="0"/>
              <w:bottom w:val="single" w:color="000000" w:sz="4" w:space="0"/>
            </w:tcBorders>
            <w:vAlign w:val="top"/>
          </w:tcPr>
          <w:p w14:paraId="3D5D5302">
            <w:pPr>
              <w:pStyle w:val="6"/>
              <w:spacing w:before="108" w:line="232" w:lineRule="auto"/>
              <w:ind w:left="860"/>
            </w:pPr>
            <w:r>
              <w:rPr>
                <w:spacing w:val="-3"/>
              </w:rPr>
              <w:t>1426000</w:t>
            </w:r>
          </w:p>
        </w:tc>
        <w:tc>
          <w:tcPr>
            <w:tcW w:w="2120" w:type="dxa"/>
            <w:tcBorders>
              <w:top w:val="single" w:color="000000" w:sz="4" w:space="0"/>
              <w:bottom w:val="single" w:color="000000" w:sz="4" w:space="0"/>
            </w:tcBorders>
            <w:vAlign w:val="top"/>
          </w:tcPr>
          <w:p w14:paraId="051F9543">
            <w:pPr>
              <w:pStyle w:val="6"/>
              <w:spacing w:before="108" w:line="232" w:lineRule="auto"/>
              <w:ind w:left="910"/>
            </w:pPr>
            <w:r>
              <w:rPr>
                <w:spacing w:val="-3"/>
              </w:rPr>
              <w:t>748</w:t>
            </w:r>
          </w:p>
        </w:tc>
        <w:tc>
          <w:tcPr>
            <w:tcW w:w="1970" w:type="dxa"/>
            <w:tcBorders>
              <w:top w:val="single" w:color="000000" w:sz="4" w:space="0"/>
              <w:bottom w:val="single" w:color="000000" w:sz="4" w:space="0"/>
            </w:tcBorders>
            <w:vAlign w:val="top"/>
          </w:tcPr>
          <w:p w14:paraId="0B4FD78D">
            <w:pPr>
              <w:pStyle w:val="6"/>
              <w:spacing w:before="108" w:line="232" w:lineRule="auto"/>
              <w:ind w:left="879"/>
            </w:pPr>
            <w:r>
              <w:rPr>
                <w:spacing w:val="-3"/>
              </w:rPr>
              <w:t>30</w:t>
            </w:r>
          </w:p>
        </w:tc>
      </w:tr>
      <w:tr w14:paraId="21E28184">
        <w:trPr>
          <w:trHeight w:val="350" w:hRule="atLeast"/>
        </w:trPr>
        <w:tc>
          <w:tcPr>
            <w:tcW w:w="2310" w:type="dxa"/>
            <w:tcBorders>
              <w:top w:val="single" w:color="000000" w:sz="4" w:space="0"/>
              <w:bottom w:val="single" w:color="000000" w:sz="4" w:space="0"/>
            </w:tcBorders>
            <w:vAlign w:val="top"/>
          </w:tcPr>
          <w:p w14:paraId="5E89B42A">
            <w:pPr>
              <w:pStyle w:val="6"/>
              <w:spacing w:before="77" w:line="219" w:lineRule="auto"/>
              <w:ind w:left="750"/>
            </w:pPr>
            <w:r>
              <w:rPr>
                <w:spacing w:val="8"/>
              </w:rPr>
              <w:t>刚果(布)</w:t>
            </w:r>
          </w:p>
        </w:tc>
        <w:tc>
          <w:tcPr>
            <w:tcW w:w="2430" w:type="dxa"/>
            <w:tcBorders>
              <w:top w:val="single" w:color="000000" w:sz="4" w:space="0"/>
              <w:bottom w:val="single" w:color="000000" w:sz="4" w:space="0"/>
            </w:tcBorders>
            <w:shd w:val="clear" w:color="auto" w:fill="E2E6E1"/>
            <w:vAlign w:val="top"/>
          </w:tcPr>
          <w:p w14:paraId="57723955">
            <w:pPr>
              <w:pStyle w:val="6"/>
              <w:spacing w:before="99" w:line="222" w:lineRule="auto"/>
              <w:ind w:left="1009"/>
            </w:pPr>
            <w:r>
              <w:rPr>
                <w:spacing w:val="-2"/>
              </w:rPr>
              <w:t>6000</w:t>
            </w:r>
          </w:p>
        </w:tc>
        <w:tc>
          <w:tcPr>
            <w:tcW w:w="2120" w:type="dxa"/>
            <w:tcBorders>
              <w:top w:val="single" w:color="000000" w:sz="4" w:space="0"/>
              <w:bottom w:val="single" w:color="000000" w:sz="4" w:space="0"/>
            </w:tcBorders>
            <w:shd w:val="clear" w:color="auto" w:fill="E0E2DB"/>
            <w:vAlign w:val="top"/>
          </w:tcPr>
          <w:p w14:paraId="5CF52043">
            <w:pPr>
              <w:pStyle w:val="6"/>
              <w:spacing w:before="99" w:line="222" w:lineRule="auto"/>
              <w:ind w:left="959"/>
            </w:pPr>
            <w:r>
              <w:rPr>
                <w:spacing w:val="-3"/>
              </w:rPr>
              <w:t>22</w:t>
            </w:r>
          </w:p>
        </w:tc>
        <w:tc>
          <w:tcPr>
            <w:tcW w:w="1970" w:type="dxa"/>
            <w:tcBorders>
              <w:top w:val="single" w:color="000000" w:sz="4" w:space="0"/>
              <w:bottom w:val="single" w:color="000000" w:sz="4" w:space="0"/>
            </w:tcBorders>
            <w:shd w:val="clear" w:color="auto" w:fill="E5E5D9"/>
            <w:vAlign w:val="top"/>
          </w:tcPr>
          <w:p w14:paraId="3D41FB2B">
            <w:pPr>
              <w:pStyle w:val="6"/>
              <w:spacing w:before="99" w:line="222" w:lineRule="auto"/>
              <w:ind w:left="830"/>
            </w:pPr>
            <w:r>
              <w:rPr>
                <w:spacing w:val="-3"/>
              </w:rPr>
              <w:t>5.1</w:t>
            </w:r>
          </w:p>
        </w:tc>
      </w:tr>
      <w:tr w14:paraId="099B2834">
        <w:trPr>
          <w:trHeight w:val="360" w:hRule="atLeast"/>
        </w:trPr>
        <w:tc>
          <w:tcPr>
            <w:tcW w:w="2310" w:type="dxa"/>
            <w:tcBorders>
              <w:top w:val="single" w:color="000000" w:sz="4" w:space="0"/>
              <w:bottom w:val="single" w:color="000000" w:sz="4" w:space="0"/>
            </w:tcBorders>
            <w:vAlign w:val="top"/>
          </w:tcPr>
          <w:p w14:paraId="1ACAED3D">
            <w:pPr>
              <w:pStyle w:val="6"/>
              <w:spacing w:before="79" w:line="219" w:lineRule="auto"/>
              <w:ind w:left="949"/>
            </w:pPr>
            <w:r>
              <w:rPr>
                <w:spacing w:val="-2"/>
              </w:rPr>
              <w:t>朝鲜</w:t>
            </w:r>
          </w:p>
        </w:tc>
        <w:tc>
          <w:tcPr>
            <w:tcW w:w="2430" w:type="dxa"/>
            <w:tcBorders>
              <w:top w:val="single" w:color="000000" w:sz="4" w:space="0"/>
              <w:bottom w:val="single" w:color="000000" w:sz="4" w:space="0"/>
            </w:tcBorders>
            <w:vAlign w:val="top"/>
          </w:tcPr>
          <w:p w14:paraId="6B2A1D8B">
            <w:pPr>
              <w:pStyle w:val="6"/>
              <w:spacing w:before="98" w:line="232" w:lineRule="auto"/>
              <w:ind w:left="960"/>
            </w:pPr>
            <w:r>
              <w:rPr>
                <w:spacing w:val="-2"/>
              </w:rPr>
              <w:t>26000</w:t>
            </w:r>
          </w:p>
        </w:tc>
        <w:tc>
          <w:tcPr>
            <w:tcW w:w="2120" w:type="dxa"/>
            <w:tcBorders>
              <w:top w:val="single" w:color="000000" w:sz="4" w:space="0"/>
              <w:bottom w:val="single" w:color="000000" w:sz="4" w:space="0"/>
            </w:tcBorders>
            <w:vAlign w:val="top"/>
          </w:tcPr>
          <w:p w14:paraId="345A3ADE">
            <w:pPr>
              <w:pStyle w:val="6"/>
              <w:spacing w:before="98" w:line="232" w:lineRule="auto"/>
              <w:ind w:left="910"/>
            </w:pPr>
            <w:r>
              <w:rPr>
                <w:spacing w:val="-6"/>
              </w:rPr>
              <w:t>134</w:t>
            </w:r>
          </w:p>
        </w:tc>
        <w:tc>
          <w:tcPr>
            <w:tcW w:w="1970" w:type="dxa"/>
            <w:tcBorders>
              <w:top w:val="single" w:color="000000" w:sz="4" w:space="0"/>
              <w:bottom w:val="single" w:color="000000" w:sz="4" w:space="0"/>
            </w:tcBorders>
            <w:vAlign w:val="top"/>
          </w:tcPr>
          <w:p w14:paraId="6D1BE681">
            <w:pPr>
              <w:pStyle w:val="6"/>
              <w:spacing w:before="98" w:line="232" w:lineRule="auto"/>
              <w:ind w:left="730"/>
            </w:pPr>
            <w:r>
              <w:rPr>
                <w:spacing w:val="-2"/>
              </w:rPr>
              <w:t>25.46</w:t>
            </w:r>
          </w:p>
        </w:tc>
      </w:tr>
      <w:tr w14:paraId="6793B175">
        <w:trPr>
          <w:trHeight w:val="360" w:hRule="atLeast"/>
        </w:trPr>
        <w:tc>
          <w:tcPr>
            <w:tcW w:w="2310" w:type="dxa"/>
            <w:tcBorders>
              <w:top w:val="single" w:color="000000" w:sz="4" w:space="0"/>
              <w:bottom w:val="single" w:color="000000" w:sz="4" w:space="0"/>
            </w:tcBorders>
            <w:vAlign w:val="top"/>
          </w:tcPr>
          <w:p w14:paraId="63C61241">
            <w:pPr>
              <w:pStyle w:val="6"/>
              <w:spacing w:before="79" w:line="220" w:lineRule="auto"/>
              <w:ind w:left="750"/>
            </w:pPr>
            <w:r>
              <w:rPr>
                <w:spacing w:val="8"/>
              </w:rPr>
              <w:t>刚果(金)</w:t>
            </w:r>
          </w:p>
        </w:tc>
        <w:tc>
          <w:tcPr>
            <w:tcW w:w="2430" w:type="dxa"/>
            <w:tcBorders>
              <w:top w:val="single" w:color="000000" w:sz="4" w:space="0"/>
              <w:bottom w:val="single" w:color="000000" w:sz="4" w:space="0"/>
            </w:tcBorders>
            <w:shd w:val="clear" w:color="auto" w:fill="DEE2DE"/>
            <w:vAlign w:val="top"/>
          </w:tcPr>
          <w:p w14:paraId="020624D7">
            <w:pPr>
              <w:pStyle w:val="6"/>
              <w:spacing w:before="98" w:line="232" w:lineRule="auto"/>
              <w:ind w:left="960"/>
            </w:pPr>
            <w:r>
              <w:rPr>
                <w:spacing w:val="-2"/>
              </w:rPr>
              <w:t>99000</w:t>
            </w:r>
          </w:p>
        </w:tc>
        <w:tc>
          <w:tcPr>
            <w:tcW w:w="2120" w:type="dxa"/>
            <w:tcBorders>
              <w:top w:val="single" w:color="000000" w:sz="4" w:space="0"/>
              <w:bottom w:val="single" w:color="000000" w:sz="4" w:space="0"/>
            </w:tcBorders>
            <w:shd w:val="clear" w:color="auto" w:fill="E0E2DB"/>
            <w:vAlign w:val="top"/>
          </w:tcPr>
          <w:p w14:paraId="119F0BF2">
            <w:pPr>
              <w:pStyle w:val="6"/>
              <w:spacing w:before="98" w:line="232" w:lineRule="auto"/>
              <w:ind w:left="910"/>
            </w:pPr>
            <w:r>
              <w:rPr>
                <w:spacing w:val="-3"/>
              </w:rPr>
              <w:t>314</w:t>
            </w:r>
          </w:p>
        </w:tc>
        <w:tc>
          <w:tcPr>
            <w:tcW w:w="1970" w:type="dxa"/>
            <w:tcBorders>
              <w:top w:val="single" w:color="000000" w:sz="4" w:space="0"/>
              <w:bottom w:val="single" w:color="000000" w:sz="4" w:space="0"/>
            </w:tcBorders>
            <w:shd w:val="clear" w:color="auto" w:fill="E5E6D8"/>
            <w:vAlign w:val="top"/>
          </w:tcPr>
          <w:p w14:paraId="69F1AF3F">
            <w:pPr>
              <w:pStyle w:val="6"/>
              <w:spacing w:before="98" w:line="232" w:lineRule="auto"/>
              <w:ind w:left="780"/>
            </w:pPr>
            <w:r>
              <w:rPr>
                <w:spacing w:val="-3"/>
              </w:rPr>
              <w:t>39.1</w:t>
            </w:r>
          </w:p>
        </w:tc>
      </w:tr>
      <w:tr w14:paraId="45F60CAF">
        <w:trPr>
          <w:trHeight w:val="370" w:hRule="atLeast"/>
        </w:trPr>
        <w:tc>
          <w:tcPr>
            <w:tcW w:w="2310" w:type="dxa"/>
            <w:tcBorders>
              <w:top w:val="single" w:color="000000" w:sz="4" w:space="0"/>
              <w:bottom w:val="single" w:color="000000" w:sz="4" w:space="0"/>
            </w:tcBorders>
            <w:vAlign w:val="top"/>
          </w:tcPr>
          <w:p w14:paraId="1571DF74">
            <w:pPr>
              <w:pStyle w:val="6"/>
              <w:spacing w:before="89" w:line="220" w:lineRule="auto"/>
              <w:ind w:left="649"/>
            </w:pPr>
            <w:r>
              <w:rPr>
                <w:spacing w:val="-2"/>
              </w:rPr>
              <w:t>埃塞俄比亚</w:t>
            </w:r>
          </w:p>
        </w:tc>
        <w:tc>
          <w:tcPr>
            <w:tcW w:w="2430" w:type="dxa"/>
            <w:tcBorders>
              <w:top w:val="single" w:color="000000" w:sz="4" w:space="0"/>
              <w:bottom w:val="single" w:color="000000" w:sz="4" w:space="0"/>
            </w:tcBorders>
            <w:vAlign w:val="top"/>
          </w:tcPr>
          <w:p w14:paraId="3E615EE3">
            <w:pPr>
              <w:pStyle w:val="6"/>
              <w:spacing w:before="108" w:line="232" w:lineRule="auto"/>
              <w:ind w:left="910"/>
            </w:pPr>
            <w:r>
              <w:rPr>
                <w:spacing w:val="-4"/>
              </w:rPr>
              <w:t>123000</w:t>
            </w:r>
          </w:p>
        </w:tc>
        <w:tc>
          <w:tcPr>
            <w:tcW w:w="2120" w:type="dxa"/>
            <w:tcBorders>
              <w:top w:val="single" w:color="000000" w:sz="4" w:space="0"/>
              <w:bottom w:val="single" w:color="000000" w:sz="4" w:space="0"/>
            </w:tcBorders>
            <w:vAlign w:val="top"/>
          </w:tcPr>
          <w:p w14:paraId="446657BA">
            <w:pPr>
              <w:pStyle w:val="6"/>
              <w:spacing w:before="108" w:line="232" w:lineRule="auto"/>
              <w:ind w:left="910"/>
            </w:pPr>
            <w:r>
              <w:rPr>
                <w:spacing w:val="-6"/>
              </w:rPr>
              <w:t>156</w:t>
            </w:r>
          </w:p>
        </w:tc>
        <w:tc>
          <w:tcPr>
            <w:tcW w:w="1970" w:type="dxa"/>
            <w:tcBorders>
              <w:top w:val="single" w:color="000000" w:sz="4" w:space="0"/>
              <w:bottom w:val="single" w:color="000000" w:sz="4" w:space="0"/>
            </w:tcBorders>
            <w:vAlign w:val="top"/>
          </w:tcPr>
          <w:p w14:paraId="4350B3EC">
            <w:pPr>
              <w:pStyle w:val="6"/>
              <w:spacing w:before="108" w:line="232" w:lineRule="auto"/>
              <w:ind w:left="780"/>
            </w:pPr>
            <w:r>
              <w:rPr>
                <w:spacing w:val="-2"/>
              </w:rPr>
              <w:t>22.7</w:t>
            </w:r>
          </w:p>
        </w:tc>
      </w:tr>
      <w:tr w14:paraId="33EA1C1D">
        <w:trPr>
          <w:trHeight w:val="360" w:hRule="atLeast"/>
        </w:trPr>
        <w:tc>
          <w:tcPr>
            <w:tcW w:w="2310" w:type="dxa"/>
            <w:tcBorders>
              <w:top w:val="single" w:color="000000" w:sz="4" w:space="0"/>
              <w:bottom w:val="single" w:color="000000" w:sz="4" w:space="0"/>
            </w:tcBorders>
            <w:vAlign w:val="top"/>
          </w:tcPr>
          <w:p w14:paraId="45E0A4B5">
            <w:pPr>
              <w:pStyle w:val="6"/>
              <w:spacing w:before="82" w:line="223" w:lineRule="auto"/>
              <w:ind w:left="949"/>
            </w:pPr>
            <w:r>
              <w:rPr>
                <w:spacing w:val="-2"/>
              </w:rPr>
              <w:t>加蓬</w:t>
            </w:r>
          </w:p>
        </w:tc>
        <w:tc>
          <w:tcPr>
            <w:tcW w:w="2430" w:type="dxa"/>
            <w:tcBorders>
              <w:top w:val="single" w:color="000000" w:sz="4" w:space="0"/>
              <w:bottom w:val="single" w:color="000000" w:sz="4" w:space="0"/>
            </w:tcBorders>
            <w:shd w:val="clear" w:color="auto" w:fill="DEE2DD"/>
            <w:vAlign w:val="top"/>
          </w:tcPr>
          <w:p w14:paraId="5F694B51">
            <w:pPr>
              <w:pStyle w:val="6"/>
              <w:spacing w:before="98" w:line="232" w:lineRule="auto"/>
              <w:ind w:left="1009"/>
            </w:pPr>
            <w:r>
              <w:rPr>
                <w:spacing w:val="-2"/>
              </w:rPr>
              <w:t>2400</w:t>
            </w:r>
          </w:p>
        </w:tc>
        <w:tc>
          <w:tcPr>
            <w:tcW w:w="2120" w:type="dxa"/>
            <w:tcBorders>
              <w:top w:val="single" w:color="000000" w:sz="4" w:space="0"/>
              <w:bottom w:val="single" w:color="000000" w:sz="4" w:space="0"/>
            </w:tcBorders>
            <w:shd w:val="clear" w:color="auto" w:fill="E1E2D9"/>
            <w:vAlign w:val="top"/>
          </w:tcPr>
          <w:p w14:paraId="67EB523E">
            <w:pPr>
              <w:pStyle w:val="6"/>
              <w:spacing w:before="98" w:line="232" w:lineRule="auto"/>
              <w:ind w:left="959"/>
            </w:pPr>
            <w:r>
              <w:rPr>
                <w:spacing w:val="-6"/>
              </w:rPr>
              <w:t>12</w:t>
            </w:r>
          </w:p>
        </w:tc>
        <w:tc>
          <w:tcPr>
            <w:tcW w:w="1970" w:type="dxa"/>
            <w:tcBorders>
              <w:top w:val="single" w:color="000000" w:sz="4" w:space="0"/>
              <w:bottom w:val="single" w:color="000000" w:sz="4" w:space="0"/>
            </w:tcBorders>
            <w:shd w:val="clear" w:color="auto" w:fill="E4E4DB"/>
            <w:vAlign w:val="top"/>
          </w:tcPr>
          <w:p w14:paraId="28C200B4">
            <w:pPr>
              <w:pStyle w:val="6"/>
              <w:spacing w:before="98" w:line="232" w:lineRule="auto"/>
              <w:ind w:left="830"/>
            </w:pPr>
            <w:r>
              <w:rPr>
                <w:spacing w:val="-3"/>
              </w:rPr>
              <w:t>3.4</w:t>
            </w:r>
          </w:p>
        </w:tc>
      </w:tr>
      <w:tr w14:paraId="3194A480">
        <w:trPr>
          <w:trHeight w:val="360" w:hRule="atLeast"/>
        </w:trPr>
        <w:tc>
          <w:tcPr>
            <w:tcW w:w="2310" w:type="dxa"/>
            <w:tcBorders>
              <w:top w:val="single" w:color="000000" w:sz="4" w:space="0"/>
              <w:bottom w:val="single" w:color="000000" w:sz="4" w:space="0"/>
            </w:tcBorders>
            <w:vAlign w:val="top"/>
          </w:tcPr>
          <w:p w14:paraId="277D423A">
            <w:pPr>
              <w:pStyle w:val="6"/>
              <w:spacing w:before="79" w:line="219" w:lineRule="auto"/>
              <w:ind w:left="949"/>
            </w:pPr>
            <w:r>
              <w:rPr>
                <w:spacing w:val="5"/>
              </w:rPr>
              <w:t>印度</w:t>
            </w:r>
          </w:p>
        </w:tc>
        <w:tc>
          <w:tcPr>
            <w:tcW w:w="2430" w:type="dxa"/>
            <w:tcBorders>
              <w:top w:val="single" w:color="000000" w:sz="4" w:space="0"/>
              <w:bottom w:val="single" w:color="000000" w:sz="4" w:space="0"/>
            </w:tcBorders>
            <w:vAlign w:val="top"/>
          </w:tcPr>
          <w:p w14:paraId="3A11FEAB">
            <w:pPr>
              <w:pStyle w:val="6"/>
              <w:spacing w:before="99" w:line="231" w:lineRule="auto"/>
              <w:ind w:left="860"/>
            </w:pPr>
            <w:r>
              <w:rPr>
                <w:spacing w:val="-3"/>
              </w:rPr>
              <w:t>1417000</w:t>
            </w:r>
          </w:p>
        </w:tc>
        <w:tc>
          <w:tcPr>
            <w:tcW w:w="2120" w:type="dxa"/>
            <w:tcBorders>
              <w:top w:val="single" w:color="000000" w:sz="4" w:space="0"/>
              <w:bottom w:val="single" w:color="000000" w:sz="4" w:space="0"/>
            </w:tcBorders>
            <w:vAlign w:val="top"/>
          </w:tcPr>
          <w:p w14:paraId="48FEFE7A">
            <w:pPr>
              <w:pStyle w:val="6"/>
              <w:spacing w:before="99" w:line="231" w:lineRule="auto"/>
              <w:ind w:left="860"/>
            </w:pPr>
            <w:r>
              <w:rPr>
                <w:spacing w:val="-2"/>
              </w:rPr>
              <w:t>2820</w:t>
            </w:r>
          </w:p>
        </w:tc>
        <w:tc>
          <w:tcPr>
            <w:tcW w:w="1970" w:type="dxa"/>
            <w:tcBorders>
              <w:top w:val="single" w:color="000000" w:sz="4" w:space="0"/>
              <w:bottom w:val="single" w:color="000000" w:sz="4" w:space="0"/>
            </w:tcBorders>
            <w:vAlign w:val="top"/>
          </w:tcPr>
          <w:p w14:paraId="79DDDE75">
            <w:pPr>
              <w:pStyle w:val="6"/>
              <w:spacing w:before="99" w:line="231" w:lineRule="auto"/>
              <w:ind w:left="830"/>
            </w:pPr>
            <w:r>
              <w:rPr>
                <w:spacing w:val="-3"/>
              </w:rPr>
              <w:t>342</w:t>
            </w:r>
          </w:p>
        </w:tc>
      </w:tr>
      <w:tr w14:paraId="2DE942D6">
        <w:trPr>
          <w:trHeight w:val="370" w:hRule="atLeast"/>
        </w:trPr>
        <w:tc>
          <w:tcPr>
            <w:tcW w:w="2310" w:type="dxa"/>
            <w:tcBorders>
              <w:top w:val="single" w:color="000000" w:sz="4" w:space="0"/>
              <w:bottom w:val="single" w:color="000000" w:sz="4" w:space="0"/>
            </w:tcBorders>
            <w:vAlign w:val="top"/>
          </w:tcPr>
          <w:p w14:paraId="700A4BB9">
            <w:pPr>
              <w:pStyle w:val="6"/>
              <w:spacing w:before="89" w:line="219" w:lineRule="auto"/>
              <w:ind w:left="649"/>
            </w:pPr>
            <w:r>
              <w:rPr>
                <w:spacing w:val="1"/>
              </w:rPr>
              <w:t>印度尼西亚</w:t>
            </w:r>
          </w:p>
        </w:tc>
        <w:tc>
          <w:tcPr>
            <w:tcW w:w="2430" w:type="dxa"/>
            <w:tcBorders>
              <w:top w:val="single" w:color="000000" w:sz="4" w:space="0"/>
              <w:bottom w:val="single" w:color="000000" w:sz="4" w:space="0"/>
            </w:tcBorders>
            <w:shd w:val="clear" w:color="auto" w:fill="D4DAD7"/>
            <w:vAlign w:val="top"/>
          </w:tcPr>
          <w:p w14:paraId="21D8C937">
            <w:pPr>
              <w:pStyle w:val="6"/>
              <w:spacing w:before="108" w:line="232" w:lineRule="auto"/>
              <w:ind w:left="910"/>
            </w:pPr>
            <w:r>
              <w:rPr>
                <w:spacing w:val="-2"/>
              </w:rPr>
              <w:t>276000</w:t>
            </w:r>
          </w:p>
        </w:tc>
        <w:tc>
          <w:tcPr>
            <w:tcW w:w="2120" w:type="dxa"/>
            <w:tcBorders>
              <w:top w:val="single" w:color="000000" w:sz="4" w:space="0"/>
              <w:bottom w:val="single" w:color="000000" w:sz="4" w:space="0"/>
            </w:tcBorders>
            <w:shd w:val="clear" w:color="auto" w:fill="D7DAD5"/>
            <w:vAlign w:val="top"/>
          </w:tcPr>
          <w:p w14:paraId="1DDC923E">
            <w:pPr>
              <w:pStyle w:val="6"/>
              <w:spacing w:before="108" w:line="232" w:lineRule="auto"/>
              <w:ind w:left="860"/>
            </w:pPr>
            <w:r>
              <w:rPr>
                <w:spacing w:val="-5"/>
              </w:rPr>
              <w:t>1060</w:t>
            </w:r>
          </w:p>
        </w:tc>
        <w:tc>
          <w:tcPr>
            <w:tcW w:w="1970" w:type="dxa"/>
            <w:tcBorders>
              <w:top w:val="single" w:color="000000" w:sz="4" w:space="0"/>
              <w:bottom w:val="single" w:color="000000" w:sz="4" w:space="0"/>
            </w:tcBorders>
            <w:shd w:val="clear" w:color="auto" w:fill="DCDCD3"/>
            <w:vAlign w:val="top"/>
          </w:tcPr>
          <w:p w14:paraId="6CE2060B">
            <w:pPr>
              <w:pStyle w:val="6"/>
              <w:spacing w:before="108" w:line="232" w:lineRule="auto"/>
              <w:ind w:left="730"/>
            </w:pPr>
            <w:r>
              <w:rPr>
                <w:spacing w:val="-4"/>
              </w:rPr>
              <w:t>140.7</w:t>
            </w:r>
          </w:p>
        </w:tc>
      </w:tr>
      <w:tr w14:paraId="05D91719">
        <w:trPr>
          <w:trHeight w:val="369" w:hRule="atLeast"/>
        </w:trPr>
        <w:tc>
          <w:tcPr>
            <w:tcW w:w="2310" w:type="dxa"/>
            <w:tcBorders>
              <w:top w:val="single" w:color="000000" w:sz="4" w:space="0"/>
              <w:bottom w:val="single" w:color="000000" w:sz="4" w:space="0"/>
            </w:tcBorders>
            <w:vAlign w:val="top"/>
          </w:tcPr>
          <w:p w14:paraId="1930271B">
            <w:pPr>
              <w:pStyle w:val="6"/>
              <w:spacing w:before="89" w:line="220" w:lineRule="auto"/>
              <w:ind w:left="850"/>
            </w:pPr>
            <w:r>
              <w:rPr>
                <w:spacing w:val="-2"/>
              </w:rPr>
              <w:t>肯尼亚</w:t>
            </w:r>
          </w:p>
        </w:tc>
        <w:tc>
          <w:tcPr>
            <w:tcW w:w="2430" w:type="dxa"/>
            <w:tcBorders>
              <w:top w:val="single" w:color="000000" w:sz="4" w:space="0"/>
              <w:bottom w:val="single" w:color="000000" w:sz="4" w:space="0"/>
            </w:tcBorders>
            <w:vAlign w:val="top"/>
          </w:tcPr>
          <w:p w14:paraId="7C04BE5A">
            <w:pPr>
              <w:pStyle w:val="6"/>
              <w:spacing w:before="108" w:line="231" w:lineRule="auto"/>
              <w:ind w:left="960"/>
            </w:pPr>
            <w:r>
              <w:rPr>
                <w:spacing w:val="-2"/>
              </w:rPr>
              <w:t>54000</w:t>
            </w:r>
          </w:p>
        </w:tc>
        <w:tc>
          <w:tcPr>
            <w:tcW w:w="2120" w:type="dxa"/>
            <w:tcBorders>
              <w:top w:val="single" w:color="000000" w:sz="4" w:space="0"/>
              <w:bottom w:val="single" w:color="000000" w:sz="4" w:space="0"/>
            </w:tcBorders>
            <w:vAlign w:val="top"/>
          </w:tcPr>
          <w:p w14:paraId="5F4B4ECA">
            <w:pPr>
              <w:pStyle w:val="6"/>
              <w:spacing w:before="108" w:line="231" w:lineRule="auto"/>
              <w:ind w:left="910"/>
            </w:pPr>
            <w:r>
              <w:rPr>
                <w:spacing w:val="-6"/>
              </w:rPr>
              <w:t>128</w:t>
            </w:r>
          </w:p>
        </w:tc>
        <w:tc>
          <w:tcPr>
            <w:tcW w:w="1970" w:type="dxa"/>
            <w:tcBorders>
              <w:top w:val="single" w:color="000000" w:sz="4" w:space="0"/>
              <w:bottom w:val="single" w:color="000000" w:sz="4" w:space="0"/>
            </w:tcBorders>
            <w:vAlign w:val="top"/>
          </w:tcPr>
          <w:p w14:paraId="0BACB74D">
            <w:pPr>
              <w:pStyle w:val="6"/>
              <w:spacing w:before="108" w:line="231" w:lineRule="auto"/>
              <w:ind w:left="780"/>
            </w:pPr>
            <w:r>
              <w:rPr>
                <w:spacing w:val="-2"/>
              </w:rPr>
              <w:t>25.9</w:t>
            </w:r>
          </w:p>
        </w:tc>
      </w:tr>
      <w:tr w14:paraId="3F2A7835">
        <w:trPr>
          <w:trHeight w:val="360" w:hRule="atLeast"/>
        </w:trPr>
        <w:tc>
          <w:tcPr>
            <w:tcW w:w="2310" w:type="dxa"/>
            <w:tcBorders>
              <w:top w:val="single" w:color="000000" w:sz="4" w:space="0"/>
              <w:bottom w:val="single" w:color="000000" w:sz="4" w:space="0"/>
            </w:tcBorders>
            <w:vAlign w:val="top"/>
          </w:tcPr>
          <w:p w14:paraId="3A2F1FBB">
            <w:pPr>
              <w:pStyle w:val="6"/>
              <w:spacing w:before="80" w:line="219" w:lineRule="auto"/>
              <w:ind w:left="850"/>
            </w:pPr>
            <w:r>
              <w:rPr>
                <w:spacing w:val="-3"/>
              </w:rPr>
              <w:t>莱索托</w:t>
            </w:r>
          </w:p>
        </w:tc>
        <w:tc>
          <w:tcPr>
            <w:tcW w:w="2430" w:type="dxa"/>
            <w:tcBorders>
              <w:top w:val="single" w:color="000000" w:sz="4" w:space="0"/>
              <w:bottom w:val="single" w:color="000000" w:sz="4" w:space="0"/>
            </w:tcBorders>
            <w:shd w:val="clear" w:color="auto" w:fill="D2D7D4"/>
            <w:vAlign w:val="top"/>
          </w:tcPr>
          <w:p w14:paraId="6E16ED69">
            <w:pPr>
              <w:pStyle w:val="6"/>
              <w:spacing w:before="99" w:line="231" w:lineRule="auto"/>
              <w:ind w:left="1009"/>
            </w:pPr>
            <w:r>
              <w:rPr>
                <w:spacing w:val="-2"/>
              </w:rPr>
              <w:t>2300</w:t>
            </w:r>
          </w:p>
        </w:tc>
        <w:tc>
          <w:tcPr>
            <w:tcW w:w="2120" w:type="dxa"/>
            <w:tcBorders>
              <w:top w:val="single" w:color="000000" w:sz="4" w:space="0"/>
              <w:bottom w:val="single" w:color="000000" w:sz="4" w:space="0"/>
            </w:tcBorders>
            <w:shd w:val="clear" w:color="auto" w:fill="D2D6D1"/>
            <w:vAlign w:val="top"/>
          </w:tcPr>
          <w:p w14:paraId="77D284FB">
            <w:pPr>
              <w:pStyle w:val="6"/>
              <w:spacing w:before="99" w:line="231" w:lineRule="auto"/>
              <w:ind w:left="959"/>
            </w:pPr>
            <w:r>
              <w:rPr>
                <w:spacing w:val="-6"/>
              </w:rPr>
              <w:t>15</w:t>
            </w:r>
          </w:p>
        </w:tc>
        <w:tc>
          <w:tcPr>
            <w:tcW w:w="1970" w:type="dxa"/>
            <w:tcBorders>
              <w:top w:val="single" w:color="000000" w:sz="4" w:space="0"/>
              <w:bottom w:val="single" w:color="000000" w:sz="4" w:space="0"/>
            </w:tcBorders>
            <w:shd w:val="clear" w:color="auto" w:fill="DADAD2"/>
            <w:vAlign w:val="top"/>
          </w:tcPr>
          <w:p w14:paraId="0D2CE0EA">
            <w:pPr>
              <w:pStyle w:val="6"/>
              <w:spacing w:before="99" w:line="231" w:lineRule="auto"/>
              <w:ind w:left="830"/>
            </w:pPr>
            <w:r>
              <w:rPr>
                <w:spacing w:val="-3"/>
              </w:rPr>
              <w:t>3.8</w:t>
            </w:r>
          </w:p>
        </w:tc>
      </w:tr>
      <w:tr w14:paraId="0B332400">
        <w:trPr>
          <w:trHeight w:val="380" w:hRule="atLeast"/>
        </w:trPr>
        <w:tc>
          <w:tcPr>
            <w:tcW w:w="2310" w:type="dxa"/>
            <w:tcBorders>
              <w:top w:val="single" w:color="000000" w:sz="4" w:space="0"/>
              <w:bottom w:val="single" w:color="000000" w:sz="4" w:space="0"/>
            </w:tcBorders>
            <w:vAlign w:val="top"/>
          </w:tcPr>
          <w:p w14:paraId="1630F7F1">
            <w:pPr>
              <w:pStyle w:val="6"/>
              <w:spacing w:before="92" w:line="221" w:lineRule="auto"/>
              <w:ind w:left="750"/>
            </w:pPr>
            <w:r>
              <w:rPr>
                <w:spacing w:val="-2"/>
              </w:rPr>
              <w:t>利比里亚</w:t>
            </w:r>
          </w:p>
        </w:tc>
        <w:tc>
          <w:tcPr>
            <w:tcW w:w="2430" w:type="dxa"/>
            <w:tcBorders>
              <w:top w:val="single" w:color="000000" w:sz="4" w:space="0"/>
              <w:bottom w:val="single" w:color="000000" w:sz="4" w:space="0"/>
            </w:tcBorders>
            <w:vAlign w:val="top"/>
          </w:tcPr>
          <w:p w14:paraId="4316C001">
            <w:pPr>
              <w:pStyle w:val="6"/>
              <w:spacing w:before="109"/>
              <w:ind w:left="1009"/>
            </w:pPr>
            <w:r>
              <w:rPr>
                <w:spacing w:val="-3"/>
              </w:rPr>
              <w:t>5300</w:t>
            </w:r>
          </w:p>
        </w:tc>
        <w:tc>
          <w:tcPr>
            <w:tcW w:w="2120" w:type="dxa"/>
            <w:tcBorders>
              <w:top w:val="single" w:color="000000" w:sz="4" w:space="0"/>
              <w:bottom w:val="single" w:color="000000" w:sz="4" w:space="0"/>
            </w:tcBorders>
            <w:vAlign w:val="top"/>
          </w:tcPr>
          <w:p w14:paraId="5FF71503">
            <w:pPr>
              <w:pStyle w:val="6"/>
              <w:spacing w:before="109"/>
              <w:ind w:left="959"/>
            </w:pPr>
            <w:r>
              <w:rPr>
                <w:spacing w:val="-6"/>
              </w:rPr>
              <w:t>16</w:t>
            </w:r>
          </w:p>
        </w:tc>
        <w:tc>
          <w:tcPr>
            <w:tcW w:w="1970" w:type="dxa"/>
            <w:tcBorders>
              <w:top w:val="single" w:color="000000" w:sz="4" w:space="0"/>
              <w:bottom w:val="single" w:color="000000" w:sz="4" w:space="0"/>
            </w:tcBorders>
            <w:vAlign w:val="top"/>
          </w:tcPr>
          <w:p w14:paraId="37D4AB6B">
            <w:pPr>
              <w:pStyle w:val="6"/>
              <w:spacing w:before="109" w:line="239" w:lineRule="auto"/>
              <w:ind w:left="780"/>
            </w:pPr>
            <w:r>
              <w:rPr>
                <w:spacing w:val="-2"/>
              </w:rPr>
              <w:t>4.58</w:t>
            </w:r>
          </w:p>
        </w:tc>
      </w:tr>
      <w:tr w14:paraId="4AB50948">
        <w:trPr>
          <w:trHeight w:val="359" w:hRule="atLeast"/>
        </w:trPr>
        <w:tc>
          <w:tcPr>
            <w:tcW w:w="2310" w:type="dxa"/>
            <w:tcBorders>
              <w:top w:val="single" w:color="000000" w:sz="4" w:space="0"/>
              <w:bottom w:val="single" w:color="000000" w:sz="4" w:space="0"/>
            </w:tcBorders>
            <w:vAlign w:val="top"/>
          </w:tcPr>
          <w:p w14:paraId="0A88FE7F">
            <w:pPr>
              <w:pStyle w:val="6"/>
              <w:spacing w:before="80" w:line="219" w:lineRule="auto"/>
              <w:ind w:left="949"/>
            </w:pPr>
            <w:r>
              <w:rPr>
                <w:spacing w:val="5"/>
              </w:rPr>
              <w:t>蒙古</w:t>
            </w:r>
          </w:p>
        </w:tc>
        <w:tc>
          <w:tcPr>
            <w:tcW w:w="2430" w:type="dxa"/>
            <w:tcBorders>
              <w:top w:val="single" w:color="000000" w:sz="4" w:space="0"/>
              <w:bottom w:val="single" w:color="000000" w:sz="4" w:space="0"/>
            </w:tcBorders>
            <w:shd w:val="clear" w:color="auto" w:fill="D6D9D7"/>
            <w:vAlign w:val="top"/>
          </w:tcPr>
          <w:p w14:paraId="12570B15">
            <w:pPr>
              <w:pStyle w:val="6"/>
              <w:spacing w:before="99" w:line="230" w:lineRule="auto"/>
              <w:ind w:left="1009"/>
            </w:pPr>
            <w:r>
              <w:rPr>
                <w:spacing w:val="-3"/>
              </w:rPr>
              <w:t>3400</w:t>
            </w:r>
          </w:p>
        </w:tc>
        <w:tc>
          <w:tcPr>
            <w:tcW w:w="2120" w:type="dxa"/>
            <w:tcBorders>
              <w:top w:val="single" w:color="000000" w:sz="4" w:space="0"/>
              <w:bottom w:val="single" w:color="000000" w:sz="4" w:space="0"/>
            </w:tcBorders>
            <w:shd w:val="clear" w:color="auto" w:fill="D8D9D5"/>
            <w:vAlign w:val="top"/>
          </w:tcPr>
          <w:p w14:paraId="6CCEF64C">
            <w:pPr>
              <w:pStyle w:val="6"/>
              <w:spacing w:before="99" w:line="230" w:lineRule="auto"/>
              <w:ind w:left="959"/>
            </w:pPr>
            <w:r>
              <w:rPr>
                <w:spacing w:val="-6"/>
              </w:rPr>
              <w:t>15</w:t>
            </w:r>
          </w:p>
        </w:tc>
        <w:tc>
          <w:tcPr>
            <w:tcW w:w="1970" w:type="dxa"/>
            <w:tcBorders>
              <w:top w:val="single" w:color="000000" w:sz="4" w:space="0"/>
              <w:bottom w:val="single" w:color="000000" w:sz="4" w:space="0"/>
            </w:tcBorders>
            <w:shd w:val="clear" w:color="auto" w:fill="E1E0D6"/>
            <w:vAlign w:val="top"/>
          </w:tcPr>
          <w:p w14:paraId="4D46C46C">
            <w:pPr>
              <w:pStyle w:val="6"/>
              <w:spacing w:before="99" w:line="230" w:lineRule="auto"/>
              <w:ind w:left="730"/>
            </w:pPr>
            <w:r>
              <w:rPr>
                <w:spacing w:val="-2"/>
              </w:rPr>
              <w:t>0.431</w:t>
            </w:r>
          </w:p>
        </w:tc>
      </w:tr>
      <w:tr w14:paraId="4E099329">
        <w:trPr>
          <w:trHeight w:val="389" w:hRule="atLeast"/>
        </w:trPr>
        <w:tc>
          <w:tcPr>
            <w:tcW w:w="2310" w:type="dxa"/>
            <w:tcBorders>
              <w:top w:val="single" w:color="000000" w:sz="4" w:space="0"/>
              <w:bottom w:val="single" w:color="000000" w:sz="4" w:space="0"/>
            </w:tcBorders>
            <w:vAlign w:val="top"/>
          </w:tcPr>
          <w:p w14:paraId="4A4DA950">
            <w:pPr>
              <w:pStyle w:val="6"/>
              <w:spacing w:before="101" w:line="219" w:lineRule="auto"/>
              <w:ind w:left="750"/>
            </w:pPr>
            <w:r>
              <w:rPr>
                <w:spacing w:val="2"/>
              </w:rPr>
              <w:t>莫桑比克</w:t>
            </w:r>
          </w:p>
        </w:tc>
        <w:tc>
          <w:tcPr>
            <w:tcW w:w="2430" w:type="dxa"/>
            <w:tcBorders>
              <w:top w:val="single" w:color="000000" w:sz="4" w:space="0"/>
              <w:bottom w:val="single" w:color="000000" w:sz="4" w:space="0"/>
            </w:tcBorders>
            <w:vAlign w:val="top"/>
          </w:tcPr>
          <w:p w14:paraId="4B56A013">
            <w:pPr>
              <w:pStyle w:val="6"/>
              <w:spacing w:before="121" w:line="238" w:lineRule="auto"/>
              <w:ind w:left="960"/>
            </w:pPr>
            <w:r>
              <w:rPr>
                <w:spacing w:val="-2"/>
              </w:rPr>
              <w:t>33000</w:t>
            </w:r>
          </w:p>
        </w:tc>
        <w:tc>
          <w:tcPr>
            <w:tcW w:w="2120" w:type="dxa"/>
            <w:tcBorders>
              <w:top w:val="single" w:color="000000" w:sz="4" w:space="0"/>
              <w:bottom w:val="single" w:color="000000" w:sz="4" w:space="0"/>
            </w:tcBorders>
            <w:vAlign w:val="top"/>
          </w:tcPr>
          <w:p w14:paraId="55E73A31">
            <w:pPr>
              <w:pStyle w:val="6"/>
              <w:spacing w:before="121" w:line="238" w:lineRule="auto"/>
              <w:ind w:left="910"/>
            </w:pPr>
            <w:r>
              <w:rPr>
                <w:spacing w:val="-6"/>
              </w:rPr>
              <w:t>119</w:t>
            </w:r>
          </w:p>
        </w:tc>
        <w:tc>
          <w:tcPr>
            <w:tcW w:w="1970" w:type="dxa"/>
            <w:tcBorders>
              <w:top w:val="single" w:color="000000" w:sz="4" w:space="0"/>
              <w:bottom w:val="single" w:color="000000" w:sz="4" w:space="0"/>
            </w:tcBorders>
            <w:vAlign w:val="top"/>
          </w:tcPr>
          <w:p w14:paraId="27B2BB20">
            <w:pPr>
              <w:pStyle w:val="6"/>
              <w:spacing w:before="121" w:line="238" w:lineRule="auto"/>
              <w:ind w:left="830"/>
            </w:pPr>
            <w:r>
              <w:rPr>
                <w:spacing w:val="-2"/>
              </w:rPr>
              <w:t>9.6</w:t>
            </w:r>
          </w:p>
        </w:tc>
      </w:tr>
      <w:tr w14:paraId="26A6E1DF">
        <w:trPr>
          <w:trHeight w:val="370" w:hRule="atLeast"/>
        </w:trPr>
        <w:tc>
          <w:tcPr>
            <w:tcW w:w="2310" w:type="dxa"/>
            <w:tcBorders>
              <w:top w:val="single" w:color="000000" w:sz="4" w:space="0"/>
              <w:bottom w:val="single" w:color="000000" w:sz="4" w:space="0"/>
            </w:tcBorders>
            <w:vAlign w:val="top"/>
          </w:tcPr>
          <w:p w14:paraId="6D7555CD">
            <w:pPr>
              <w:pStyle w:val="6"/>
              <w:spacing w:before="92" w:line="219" w:lineRule="auto"/>
              <w:ind w:left="949"/>
            </w:pPr>
            <w:r>
              <w:rPr>
                <w:spacing w:val="8"/>
              </w:rPr>
              <w:t>缅甸</w:t>
            </w:r>
          </w:p>
        </w:tc>
        <w:tc>
          <w:tcPr>
            <w:tcW w:w="2430" w:type="dxa"/>
            <w:tcBorders>
              <w:top w:val="single" w:color="000000" w:sz="4" w:space="0"/>
              <w:bottom w:val="single" w:color="000000" w:sz="4" w:space="0"/>
            </w:tcBorders>
            <w:shd w:val="clear" w:color="auto" w:fill="D8DDDC"/>
            <w:vAlign w:val="top"/>
          </w:tcPr>
          <w:p w14:paraId="505E80FA">
            <w:pPr>
              <w:pStyle w:val="6"/>
              <w:spacing w:before="111" w:line="229" w:lineRule="auto"/>
              <w:ind w:left="960"/>
            </w:pPr>
            <w:r>
              <w:rPr>
                <w:spacing w:val="-2"/>
              </w:rPr>
              <w:t>54000</w:t>
            </w:r>
          </w:p>
        </w:tc>
        <w:tc>
          <w:tcPr>
            <w:tcW w:w="2120" w:type="dxa"/>
            <w:tcBorders>
              <w:top w:val="single" w:color="000000" w:sz="4" w:space="0"/>
              <w:bottom w:val="single" w:color="000000" w:sz="4" w:space="0"/>
            </w:tcBorders>
            <w:shd w:val="clear" w:color="auto" w:fill="D7D9D7"/>
            <w:vAlign w:val="top"/>
          </w:tcPr>
          <w:p w14:paraId="2C6970B2">
            <w:pPr>
              <w:pStyle w:val="6"/>
              <w:spacing w:before="111" w:line="229" w:lineRule="auto"/>
              <w:ind w:left="910"/>
            </w:pPr>
            <w:r>
              <w:rPr>
                <w:spacing w:val="-3"/>
              </w:rPr>
              <w:t>257</w:t>
            </w:r>
          </w:p>
        </w:tc>
        <w:tc>
          <w:tcPr>
            <w:tcW w:w="1970" w:type="dxa"/>
            <w:tcBorders>
              <w:top w:val="single" w:color="000000" w:sz="4" w:space="0"/>
              <w:bottom w:val="single" w:color="000000" w:sz="4" w:space="0"/>
            </w:tcBorders>
            <w:shd w:val="clear" w:color="auto" w:fill="DDDDD5"/>
            <w:vAlign w:val="top"/>
          </w:tcPr>
          <w:p w14:paraId="33BD7205">
            <w:pPr>
              <w:pStyle w:val="6"/>
              <w:spacing w:before="111" w:line="229" w:lineRule="auto"/>
              <w:ind w:left="780"/>
            </w:pPr>
            <w:r>
              <w:rPr>
                <w:spacing w:val="-2"/>
              </w:rPr>
              <w:t>49.9</w:t>
            </w:r>
          </w:p>
        </w:tc>
      </w:tr>
      <w:tr w14:paraId="1986F2ED">
        <w:trPr>
          <w:trHeight w:val="379" w:hRule="atLeast"/>
        </w:trPr>
        <w:tc>
          <w:tcPr>
            <w:tcW w:w="2310" w:type="dxa"/>
            <w:tcBorders>
              <w:top w:val="single" w:color="000000" w:sz="4" w:space="0"/>
              <w:bottom w:val="single" w:color="000000" w:sz="4" w:space="0"/>
            </w:tcBorders>
            <w:vAlign w:val="top"/>
          </w:tcPr>
          <w:p w14:paraId="7E7FA1ED">
            <w:pPr>
              <w:pStyle w:val="6"/>
              <w:spacing w:before="92" w:line="219" w:lineRule="auto"/>
              <w:ind w:left="750"/>
            </w:pPr>
            <w:r>
              <w:rPr>
                <w:spacing w:val="-2"/>
              </w:rPr>
              <w:t>纳米比亚</w:t>
            </w:r>
          </w:p>
        </w:tc>
        <w:tc>
          <w:tcPr>
            <w:tcW w:w="2430" w:type="dxa"/>
            <w:tcBorders>
              <w:top w:val="single" w:color="000000" w:sz="4" w:space="0"/>
              <w:bottom w:val="single" w:color="000000" w:sz="4" w:space="0"/>
            </w:tcBorders>
            <w:vAlign w:val="top"/>
          </w:tcPr>
          <w:p w14:paraId="6734F58A">
            <w:pPr>
              <w:pStyle w:val="6"/>
              <w:spacing w:before="112" w:line="237" w:lineRule="auto"/>
              <w:ind w:left="1009"/>
            </w:pPr>
            <w:r>
              <w:rPr>
                <w:spacing w:val="-2"/>
              </w:rPr>
              <w:t>2600</w:t>
            </w:r>
          </w:p>
        </w:tc>
        <w:tc>
          <w:tcPr>
            <w:tcW w:w="2120" w:type="dxa"/>
            <w:tcBorders>
              <w:top w:val="single" w:color="000000" w:sz="4" w:space="0"/>
              <w:bottom w:val="single" w:color="000000" w:sz="4" w:space="0"/>
            </w:tcBorders>
            <w:vAlign w:val="top"/>
          </w:tcPr>
          <w:p w14:paraId="7EE7F4C3">
            <w:pPr>
              <w:pStyle w:val="6"/>
              <w:spacing w:before="112" w:line="237" w:lineRule="auto"/>
              <w:ind w:left="959"/>
            </w:pPr>
            <w:r>
              <w:rPr>
                <w:spacing w:val="-6"/>
              </w:rPr>
              <w:t>12</w:t>
            </w:r>
          </w:p>
        </w:tc>
        <w:tc>
          <w:tcPr>
            <w:tcW w:w="1970" w:type="dxa"/>
            <w:tcBorders>
              <w:top w:val="single" w:color="000000" w:sz="4" w:space="0"/>
              <w:bottom w:val="single" w:color="000000" w:sz="4" w:space="0"/>
            </w:tcBorders>
            <w:vAlign w:val="top"/>
          </w:tcPr>
          <w:p w14:paraId="2FCDE5CE">
            <w:pPr>
              <w:pStyle w:val="6"/>
              <w:spacing w:before="112" w:line="237" w:lineRule="auto"/>
              <w:ind w:left="830"/>
            </w:pPr>
            <w:r>
              <w:rPr>
                <w:spacing w:val="-3"/>
              </w:rPr>
              <w:t>2.5</w:t>
            </w:r>
          </w:p>
        </w:tc>
      </w:tr>
      <w:tr w14:paraId="58A5D2D9">
        <w:trPr>
          <w:trHeight w:val="370" w:hRule="atLeast"/>
        </w:trPr>
        <w:tc>
          <w:tcPr>
            <w:tcW w:w="2310" w:type="dxa"/>
            <w:tcBorders>
              <w:top w:val="single" w:color="000000" w:sz="4" w:space="0"/>
              <w:bottom w:val="single" w:color="000000" w:sz="4" w:space="0"/>
            </w:tcBorders>
            <w:vAlign w:val="top"/>
          </w:tcPr>
          <w:p w14:paraId="06276B6E">
            <w:pPr>
              <w:pStyle w:val="6"/>
              <w:spacing w:before="94" w:line="221" w:lineRule="auto"/>
              <w:ind w:left="750"/>
            </w:pPr>
            <w:r>
              <w:rPr>
                <w:spacing w:val="-2"/>
              </w:rPr>
              <w:t>尼日利亚</w:t>
            </w:r>
          </w:p>
        </w:tc>
        <w:tc>
          <w:tcPr>
            <w:tcW w:w="2430" w:type="dxa"/>
            <w:tcBorders>
              <w:top w:val="single" w:color="000000" w:sz="4" w:space="0"/>
              <w:bottom w:val="single" w:color="000000" w:sz="4" w:space="0"/>
            </w:tcBorders>
            <w:shd w:val="clear" w:color="auto" w:fill="D5DAD9"/>
            <w:vAlign w:val="top"/>
          </w:tcPr>
          <w:p w14:paraId="7199B864">
            <w:pPr>
              <w:pStyle w:val="6"/>
              <w:spacing w:before="113" w:line="228" w:lineRule="auto"/>
              <w:ind w:left="910"/>
            </w:pPr>
            <w:r>
              <w:rPr>
                <w:spacing w:val="-2"/>
              </w:rPr>
              <w:t>219000</w:t>
            </w:r>
          </w:p>
        </w:tc>
        <w:tc>
          <w:tcPr>
            <w:tcW w:w="2120" w:type="dxa"/>
            <w:tcBorders>
              <w:top w:val="single" w:color="000000" w:sz="4" w:space="0"/>
              <w:bottom w:val="single" w:color="000000" w:sz="4" w:space="0"/>
            </w:tcBorders>
            <w:shd w:val="clear" w:color="auto" w:fill="D7D9D7"/>
            <w:vAlign w:val="top"/>
          </w:tcPr>
          <w:p w14:paraId="46381390">
            <w:pPr>
              <w:pStyle w:val="6"/>
              <w:spacing w:before="113" w:line="228" w:lineRule="auto"/>
              <w:ind w:left="910"/>
            </w:pPr>
            <w:r>
              <w:rPr>
                <w:spacing w:val="-2"/>
              </w:rPr>
              <w:t>479</w:t>
            </w:r>
          </w:p>
        </w:tc>
        <w:tc>
          <w:tcPr>
            <w:tcW w:w="1970" w:type="dxa"/>
            <w:tcBorders>
              <w:top w:val="single" w:color="000000" w:sz="4" w:space="0"/>
              <w:bottom w:val="single" w:color="000000" w:sz="4" w:space="0"/>
            </w:tcBorders>
            <w:shd w:val="clear" w:color="auto" w:fill="DDDDD4"/>
            <w:vAlign w:val="top"/>
          </w:tcPr>
          <w:p w14:paraId="6FE678F3">
            <w:pPr>
              <w:pStyle w:val="6"/>
              <w:spacing w:before="113" w:line="228" w:lineRule="auto"/>
              <w:ind w:left="879"/>
            </w:pPr>
            <w:r>
              <w:rPr>
                <w:spacing w:val="-3"/>
              </w:rPr>
              <w:t>98</w:t>
            </w:r>
          </w:p>
        </w:tc>
      </w:tr>
      <w:tr w14:paraId="5996A6F2">
        <w:trPr>
          <w:trHeight w:val="379" w:hRule="atLeast"/>
        </w:trPr>
        <w:tc>
          <w:tcPr>
            <w:tcW w:w="2310" w:type="dxa"/>
            <w:tcBorders>
              <w:top w:val="single" w:color="000000" w:sz="4" w:space="0"/>
              <w:bottom w:val="single" w:color="000000" w:sz="4" w:space="0"/>
            </w:tcBorders>
            <w:vAlign w:val="top"/>
          </w:tcPr>
          <w:p w14:paraId="0AF9E966">
            <w:pPr>
              <w:pStyle w:val="6"/>
              <w:spacing w:before="93" w:line="220" w:lineRule="auto"/>
              <w:ind w:left="750"/>
            </w:pPr>
            <w:r>
              <w:rPr>
                <w:spacing w:val="2"/>
              </w:rPr>
              <w:t>巴基斯坦</w:t>
            </w:r>
          </w:p>
        </w:tc>
        <w:tc>
          <w:tcPr>
            <w:tcW w:w="2430" w:type="dxa"/>
            <w:tcBorders>
              <w:top w:val="single" w:color="000000" w:sz="4" w:space="0"/>
              <w:bottom w:val="single" w:color="000000" w:sz="4" w:space="0"/>
            </w:tcBorders>
            <w:vAlign w:val="top"/>
          </w:tcPr>
          <w:p w14:paraId="096FD974">
            <w:pPr>
              <w:pStyle w:val="6"/>
              <w:spacing w:before="113" w:line="236" w:lineRule="auto"/>
              <w:ind w:left="910"/>
            </w:pPr>
            <w:r>
              <w:rPr>
                <w:spacing w:val="-2"/>
              </w:rPr>
              <w:t>236000</w:t>
            </w:r>
          </w:p>
        </w:tc>
        <w:tc>
          <w:tcPr>
            <w:tcW w:w="2120" w:type="dxa"/>
            <w:tcBorders>
              <w:top w:val="single" w:color="000000" w:sz="4" w:space="0"/>
              <w:bottom w:val="single" w:color="000000" w:sz="4" w:space="0"/>
            </w:tcBorders>
            <w:vAlign w:val="top"/>
          </w:tcPr>
          <w:p w14:paraId="611A3F13">
            <w:pPr>
              <w:pStyle w:val="6"/>
              <w:spacing w:before="113" w:line="236" w:lineRule="auto"/>
              <w:ind w:left="910"/>
            </w:pPr>
            <w:r>
              <w:rPr>
                <w:spacing w:val="-3"/>
              </w:rPr>
              <w:t>608</w:t>
            </w:r>
          </w:p>
        </w:tc>
        <w:tc>
          <w:tcPr>
            <w:tcW w:w="1970" w:type="dxa"/>
            <w:tcBorders>
              <w:top w:val="single" w:color="000000" w:sz="4" w:space="0"/>
              <w:bottom w:val="single" w:color="000000" w:sz="4" w:space="0"/>
            </w:tcBorders>
            <w:vAlign w:val="top"/>
          </w:tcPr>
          <w:p w14:paraId="5C259B7E">
            <w:pPr>
              <w:pStyle w:val="6"/>
              <w:spacing w:before="113" w:line="236" w:lineRule="auto"/>
              <w:ind w:left="780"/>
            </w:pPr>
            <w:r>
              <w:rPr>
                <w:spacing w:val="-2"/>
              </w:rPr>
              <w:t>48.5</w:t>
            </w:r>
          </w:p>
        </w:tc>
      </w:tr>
      <w:tr w14:paraId="4F1B9757">
        <w:trPr>
          <w:trHeight w:val="360" w:hRule="atLeast"/>
        </w:trPr>
        <w:tc>
          <w:tcPr>
            <w:tcW w:w="2310" w:type="dxa"/>
            <w:tcBorders>
              <w:top w:val="single" w:color="000000" w:sz="4" w:space="0"/>
              <w:bottom w:val="single" w:color="000000" w:sz="4" w:space="0"/>
            </w:tcBorders>
            <w:shd w:val="clear" w:color="auto" w:fill="EEF7FD"/>
            <w:vAlign w:val="top"/>
          </w:tcPr>
          <w:p w14:paraId="23025D4C">
            <w:pPr>
              <w:pStyle w:val="6"/>
              <w:spacing w:before="82" w:line="219" w:lineRule="auto"/>
              <w:ind w:left="450"/>
            </w:pPr>
            <w:r>
              <w:rPr>
                <w:spacing w:val="1"/>
              </w:rPr>
              <w:t>巴布亚新几内亚</w:t>
            </w:r>
          </w:p>
        </w:tc>
        <w:tc>
          <w:tcPr>
            <w:tcW w:w="2430" w:type="dxa"/>
            <w:tcBorders>
              <w:top w:val="single" w:color="000000" w:sz="4" w:space="0"/>
              <w:bottom w:val="single" w:color="000000" w:sz="4" w:space="0"/>
            </w:tcBorders>
            <w:shd w:val="clear" w:color="auto" w:fill="D5D9D9"/>
            <w:vAlign w:val="top"/>
          </w:tcPr>
          <w:p w14:paraId="34CEBEF5">
            <w:pPr>
              <w:pStyle w:val="6"/>
              <w:spacing w:before="104" w:line="227" w:lineRule="auto"/>
              <w:ind w:left="960"/>
            </w:pPr>
            <w:r>
              <w:rPr>
                <w:spacing w:val="-4"/>
              </w:rPr>
              <w:t>10000</w:t>
            </w:r>
          </w:p>
        </w:tc>
        <w:tc>
          <w:tcPr>
            <w:tcW w:w="2120" w:type="dxa"/>
            <w:tcBorders>
              <w:top w:val="single" w:color="000000" w:sz="4" w:space="0"/>
              <w:bottom w:val="single" w:color="000000" w:sz="4" w:space="0"/>
            </w:tcBorders>
            <w:shd w:val="clear" w:color="auto" w:fill="D7D9D7"/>
            <w:vAlign w:val="top"/>
          </w:tcPr>
          <w:p w14:paraId="6CBD4258">
            <w:pPr>
              <w:pStyle w:val="6"/>
              <w:spacing w:before="104" w:line="227" w:lineRule="auto"/>
              <w:ind w:left="959"/>
            </w:pPr>
            <w:r>
              <w:rPr>
                <w:spacing w:val="-2"/>
              </w:rPr>
              <w:t>44</w:t>
            </w:r>
          </w:p>
        </w:tc>
        <w:tc>
          <w:tcPr>
            <w:tcW w:w="1970" w:type="dxa"/>
            <w:tcBorders>
              <w:top w:val="single" w:color="000000" w:sz="4" w:space="0"/>
              <w:bottom w:val="single" w:color="000000" w:sz="4" w:space="0"/>
            </w:tcBorders>
            <w:shd w:val="clear" w:color="auto" w:fill="E1E0DA"/>
            <w:vAlign w:val="top"/>
          </w:tcPr>
          <w:p w14:paraId="77C826EC">
            <w:pPr>
              <w:pStyle w:val="6"/>
              <w:spacing w:before="104" w:line="227" w:lineRule="auto"/>
              <w:ind w:left="780"/>
            </w:pPr>
            <w:r>
              <w:rPr>
                <w:spacing w:val="-3"/>
              </w:rPr>
              <w:t>5.05</w:t>
            </w:r>
          </w:p>
        </w:tc>
      </w:tr>
      <w:tr w14:paraId="6B544F37">
        <w:trPr>
          <w:trHeight w:val="380" w:hRule="atLeast"/>
        </w:trPr>
        <w:tc>
          <w:tcPr>
            <w:tcW w:w="2310" w:type="dxa"/>
            <w:tcBorders>
              <w:top w:val="single" w:color="000000" w:sz="4" w:space="0"/>
              <w:bottom w:val="single" w:color="000000" w:sz="4" w:space="0"/>
            </w:tcBorders>
            <w:vAlign w:val="top"/>
          </w:tcPr>
          <w:p w14:paraId="394C1A4E">
            <w:pPr>
              <w:pStyle w:val="6"/>
              <w:spacing w:before="94" w:line="219" w:lineRule="auto"/>
              <w:ind w:left="850"/>
            </w:pPr>
            <w:r>
              <w:rPr>
                <w:spacing w:val="3"/>
              </w:rPr>
              <w:t>菲律宾</w:t>
            </w:r>
          </w:p>
        </w:tc>
        <w:tc>
          <w:tcPr>
            <w:tcW w:w="2430" w:type="dxa"/>
            <w:tcBorders>
              <w:top w:val="single" w:color="000000" w:sz="4" w:space="0"/>
              <w:bottom w:val="single" w:color="000000" w:sz="4" w:space="0"/>
            </w:tcBorders>
            <w:vAlign w:val="top"/>
          </w:tcPr>
          <w:p w14:paraId="781F4A84">
            <w:pPr>
              <w:pStyle w:val="6"/>
              <w:spacing w:before="114" w:line="236" w:lineRule="auto"/>
              <w:ind w:left="910"/>
            </w:pPr>
            <w:r>
              <w:rPr>
                <w:spacing w:val="-4"/>
              </w:rPr>
              <w:t>116000</w:t>
            </w:r>
          </w:p>
        </w:tc>
        <w:tc>
          <w:tcPr>
            <w:tcW w:w="2120" w:type="dxa"/>
            <w:tcBorders>
              <w:top w:val="single" w:color="000000" w:sz="4" w:space="0"/>
              <w:bottom w:val="single" w:color="000000" w:sz="4" w:space="0"/>
            </w:tcBorders>
            <w:vAlign w:val="top"/>
          </w:tcPr>
          <w:p w14:paraId="0ADFAFAA">
            <w:pPr>
              <w:pStyle w:val="6"/>
              <w:spacing w:before="114" w:line="236" w:lineRule="auto"/>
              <w:ind w:left="910"/>
            </w:pPr>
            <w:r>
              <w:rPr>
                <w:spacing w:val="-3"/>
              </w:rPr>
              <w:t>737</w:t>
            </w:r>
          </w:p>
        </w:tc>
        <w:tc>
          <w:tcPr>
            <w:tcW w:w="1970" w:type="dxa"/>
            <w:tcBorders>
              <w:top w:val="single" w:color="000000" w:sz="4" w:space="0"/>
              <w:bottom w:val="single" w:color="000000" w:sz="4" w:space="0"/>
            </w:tcBorders>
            <w:vAlign w:val="top"/>
          </w:tcPr>
          <w:p w14:paraId="1D6756D5">
            <w:pPr>
              <w:pStyle w:val="6"/>
              <w:spacing w:before="114" w:line="236" w:lineRule="auto"/>
              <w:ind w:left="780"/>
            </w:pPr>
            <w:r>
              <w:rPr>
                <w:spacing w:val="-3"/>
              </w:rPr>
              <w:t>39.8</w:t>
            </w:r>
          </w:p>
        </w:tc>
      </w:tr>
      <w:tr w14:paraId="34D4DB71">
        <w:trPr>
          <w:trHeight w:val="379" w:hRule="atLeast"/>
        </w:trPr>
        <w:tc>
          <w:tcPr>
            <w:tcW w:w="2310" w:type="dxa"/>
            <w:tcBorders>
              <w:top w:val="single" w:color="000000" w:sz="4" w:space="0"/>
              <w:bottom w:val="single" w:color="000000" w:sz="4" w:space="0"/>
            </w:tcBorders>
            <w:shd w:val="clear" w:color="auto" w:fill="EFF6FD"/>
            <w:vAlign w:val="top"/>
          </w:tcPr>
          <w:p w14:paraId="65EE25EE">
            <w:pPr>
              <w:pStyle w:val="6"/>
              <w:spacing w:before="95" w:line="221" w:lineRule="auto"/>
              <w:ind w:left="750"/>
            </w:pPr>
            <w:r>
              <w:rPr>
                <w:spacing w:val="5"/>
              </w:rPr>
              <w:t>塞拉利昂</w:t>
            </w:r>
          </w:p>
        </w:tc>
        <w:tc>
          <w:tcPr>
            <w:tcW w:w="2430" w:type="dxa"/>
            <w:tcBorders>
              <w:top w:val="single" w:color="000000" w:sz="4" w:space="0"/>
              <w:bottom w:val="single" w:color="000000" w:sz="4" w:space="0"/>
            </w:tcBorders>
            <w:shd w:val="clear" w:color="auto" w:fill="D6D9D9"/>
            <w:vAlign w:val="top"/>
          </w:tcPr>
          <w:p w14:paraId="3E51A212">
            <w:pPr>
              <w:pStyle w:val="6"/>
              <w:spacing w:before="114" w:line="235" w:lineRule="auto"/>
              <w:ind w:left="1009"/>
            </w:pPr>
            <w:r>
              <w:rPr>
                <w:spacing w:val="-2"/>
              </w:rPr>
              <w:t>8600</w:t>
            </w:r>
          </w:p>
        </w:tc>
        <w:tc>
          <w:tcPr>
            <w:tcW w:w="2120" w:type="dxa"/>
            <w:tcBorders>
              <w:top w:val="single" w:color="000000" w:sz="4" w:space="0"/>
              <w:bottom w:val="single" w:color="000000" w:sz="4" w:space="0"/>
            </w:tcBorders>
            <w:shd w:val="clear" w:color="auto" w:fill="D8D8D7"/>
            <w:vAlign w:val="top"/>
          </w:tcPr>
          <w:p w14:paraId="5A13135F">
            <w:pPr>
              <w:pStyle w:val="6"/>
              <w:spacing w:before="114" w:line="235" w:lineRule="auto"/>
              <w:ind w:left="959"/>
            </w:pPr>
            <w:r>
              <w:rPr>
                <w:spacing w:val="-3"/>
              </w:rPr>
              <w:t>25</w:t>
            </w:r>
          </w:p>
        </w:tc>
        <w:tc>
          <w:tcPr>
            <w:tcW w:w="1970" w:type="dxa"/>
            <w:tcBorders>
              <w:top w:val="single" w:color="000000" w:sz="4" w:space="0"/>
              <w:bottom w:val="single" w:color="000000" w:sz="4" w:space="0"/>
            </w:tcBorders>
            <w:shd w:val="clear" w:color="auto" w:fill="DDDCD5"/>
            <w:vAlign w:val="top"/>
          </w:tcPr>
          <w:p w14:paraId="58E261DA">
            <w:pPr>
              <w:pStyle w:val="6"/>
              <w:spacing w:before="114" w:line="235" w:lineRule="auto"/>
              <w:ind w:left="780"/>
            </w:pPr>
            <w:r>
              <w:rPr>
                <w:spacing w:val="-3"/>
              </w:rPr>
              <w:t>3.28</w:t>
            </w:r>
          </w:p>
        </w:tc>
      </w:tr>
      <w:tr w14:paraId="1EE8E643">
        <w:trPr>
          <w:trHeight w:val="360" w:hRule="atLeast"/>
        </w:trPr>
        <w:tc>
          <w:tcPr>
            <w:tcW w:w="2310" w:type="dxa"/>
            <w:tcBorders>
              <w:top w:val="single" w:color="000000" w:sz="4" w:space="0"/>
              <w:bottom w:val="single" w:color="000000" w:sz="4" w:space="0"/>
            </w:tcBorders>
            <w:vAlign w:val="top"/>
          </w:tcPr>
          <w:p w14:paraId="691B4AFF">
            <w:pPr>
              <w:pStyle w:val="6"/>
              <w:spacing w:before="85" w:line="220" w:lineRule="auto"/>
              <w:ind w:left="949"/>
            </w:pPr>
            <w:r>
              <w:rPr>
                <w:spacing w:val="-3"/>
              </w:rPr>
              <w:t>南非</w:t>
            </w:r>
          </w:p>
        </w:tc>
        <w:tc>
          <w:tcPr>
            <w:tcW w:w="2430" w:type="dxa"/>
            <w:tcBorders>
              <w:top w:val="single" w:color="000000" w:sz="4" w:space="0"/>
              <w:bottom w:val="single" w:color="000000" w:sz="4" w:space="0"/>
            </w:tcBorders>
            <w:vAlign w:val="top"/>
          </w:tcPr>
          <w:p w14:paraId="7F84372C">
            <w:pPr>
              <w:pStyle w:val="6"/>
              <w:spacing w:before="105" w:line="226" w:lineRule="auto"/>
              <w:ind w:left="960"/>
            </w:pPr>
            <w:r>
              <w:rPr>
                <w:spacing w:val="-2"/>
              </w:rPr>
              <w:t>60000</w:t>
            </w:r>
          </w:p>
        </w:tc>
        <w:tc>
          <w:tcPr>
            <w:tcW w:w="2120" w:type="dxa"/>
            <w:tcBorders>
              <w:top w:val="single" w:color="000000" w:sz="4" w:space="0"/>
              <w:bottom w:val="single" w:color="000000" w:sz="4" w:space="0"/>
            </w:tcBorders>
            <w:vAlign w:val="top"/>
          </w:tcPr>
          <w:p w14:paraId="3F689112">
            <w:pPr>
              <w:pStyle w:val="6"/>
              <w:spacing w:before="105" w:line="226" w:lineRule="auto"/>
              <w:ind w:left="910"/>
            </w:pPr>
            <w:r>
              <w:rPr>
                <w:spacing w:val="-3"/>
              </w:rPr>
              <w:t>280</w:t>
            </w:r>
          </w:p>
        </w:tc>
        <w:tc>
          <w:tcPr>
            <w:tcW w:w="1970" w:type="dxa"/>
            <w:tcBorders>
              <w:top w:val="single" w:color="000000" w:sz="4" w:space="0"/>
              <w:bottom w:val="single" w:color="000000" w:sz="4" w:space="0"/>
            </w:tcBorders>
            <w:vAlign w:val="top"/>
          </w:tcPr>
          <w:p w14:paraId="791F325B">
            <w:pPr>
              <w:pStyle w:val="6"/>
              <w:spacing w:before="105" w:line="226" w:lineRule="auto"/>
              <w:ind w:left="879"/>
            </w:pPr>
            <w:r>
              <w:rPr>
                <w:spacing w:val="-3"/>
              </w:rPr>
              <w:t>54</w:t>
            </w:r>
          </w:p>
        </w:tc>
      </w:tr>
      <w:tr w14:paraId="577396F6">
        <w:trPr>
          <w:trHeight w:val="369" w:hRule="atLeast"/>
        </w:trPr>
        <w:tc>
          <w:tcPr>
            <w:tcW w:w="2310" w:type="dxa"/>
            <w:tcBorders>
              <w:top w:val="single" w:color="000000" w:sz="4" w:space="0"/>
              <w:bottom w:val="single" w:color="000000" w:sz="4" w:space="0"/>
            </w:tcBorders>
            <w:shd w:val="clear" w:color="auto" w:fill="D7DDE0"/>
            <w:vAlign w:val="top"/>
          </w:tcPr>
          <w:p w14:paraId="50C91C37">
            <w:pPr>
              <w:pStyle w:val="6"/>
              <w:spacing w:before="95" w:line="220" w:lineRule="auto"/>
              <w:ind w:left="949"/>
            </w:pPr>
            <w:r>
              <w:rPr>
                <w:spacing w:val="10"/>
              </w:rPr>
              <w:t>泰国</w:t>
            </w:r>
          </w:p>
        </w:tc>
        <w:tc>
          <w:tcPr>
            <w:tcW w:w="2430" w:type="dxa"/>
            <w:tcBorders>
              <w:top w:val="single" w:color="000000" w:sz="4" w:space="0"/>
              <w:bottom w:val="single" w:color="000000" w:sz="4" w:space="0"/>
            </w:tcBorders>
            <w:shd w:val="clear" w:color="auto" w:fill="D5D9D8"/>
            <w:vAlign w:val="top"/>
          </w:tcPr>
          <w:p w14:paraId="37130620">
            <w:pPr>
              <w:pStyle w:val="6"/>
              <w:spacing w:before="115" w:line="225" w:lineRule="auto"/>
              <w:ind w:left="960"/>
            </w:pPr>
            <w:r>
              <w:rPr>
                <w:spacing w:val="-3"/>
              </w:rPr>
              <w:t>72000</w:t>
            </w:r>
          </w:p>
        </w:tc>
        <w:tc>
          <w:tcPr>
            <w:tcW w:w="2120" w:type="dxa"/>
            <w:tcBorders>
              <w:top w:val="single" w:color="000000" w:sz="4" w:space="0"/>
              <w:bottom w:val="single" w:color="000000" w:sz="4" w:space="0"/>
            </w:tcBorders>
            <w:shd w:val="clear" w:color="auto" w:fill="DBDCDA"/>
            <w:vAlign w:val="top"/>
          </w:tcPr>
          <w:p w14:paraId="3DF2A99E">
            <w:pPr>
              <w:pStyle w:val="6"/>
              <w:spacing w:before="115" w:line="225" w:lineRule="auto"/>
              <w:ind w:left="910"/>
            </w:pPr>
            <w:r>
              <w:rPr>
                <w:spacing w:val="-6"/>
              </w:rPr>
              <w:t>111</w:t>
            </w:r>
          </w:p>
        </w:tc>
        <w:tc>
          <w:tcPr>
            <w:tcW w:w="1970" w:type="dxa"/>
            <w:tcBorders>
              <w:top w:val="single" w:color="000000" w:sz="4" w:space="0"/>
              <w:bottom w:val="single" w:color="000000" w:sz="4" w:space="0"/>
            </w:tcBorders>
            <w:shd w:val="clear" w:color="auto" w:fill="DCDCD7"/>
            <w:vAlign w:val="top"/>
          </w:tcPr>
          <w:p w14:paraId="11917CD2">
            <w:pPr>
              <w:pStyle w:val="6"/>
              <w:spacing w:before="115" w:line="225" w:lineRule="auto"/>
              <w:ind w:left="780"/>
            </w:pPr>
            <w:r>
              <w:rPr>
                <w:spacing w:val="-5"/>
              </w:rPr>
              <w:t>14.1</w:t>
            </w:r>
          </w:p>
        </w:tc>
      </w:tr>
      <w:tr w14:paraId="26F04469">
        <w:trPr>
          <w:trHeight w:val="369" w:hRule="atLeast"/>
        </w:trPr>
        <w:tc>
          <w:tcPr>
            <w:tcW w:w="2310" w:type="dxa"/>
            <w:tcBorders>
              <w:top w:val="single" w:color="000000" w:sz="4" w:space="0"/>
              <w:bottom w:val="single" w:color="000000" w:sz="4" w:space="0"/>
            </w:tcBorders>
            <w:vAlign w:val="top"/>
          </w:tcPr>
          <w:p w14:paraId="452CBBB6">
            <w:pPr>
              <w:pStyle w:val="6"/>
              <w:spacing w:before="94" w:line="219" w:lineRule="auto"/>
              <w:ind w:left="850"/>
            </w:pPr>
            <w:r>
              <w:rPr>
                <w:spacing w:val="-3"/>
              </w:rPr>
              <w:t>乌干达</w:t>
            </w:r>
          </w:p>
        </w:tc>
        <w:tc>
          <w:tcPr>
            <w:tcW w:w="2430" w:type="dxa"/>
            <w:tcBorders>
              <w:top w:val="single" w:color="000000" w:sz="4" w:space="0"/>
              <w:bottom w:val="single" w:color="000000" w:sz="4" w:space="0"/>
            </w:tcBorders>
            <w:vAlign w:val="top"/>
          </w:tcPr>
          <w:p w14:paraId="3BD7BA33">
            <w:pPr>
              <w:pStyle w:val="6"/>
              <w:spacing w:before="116" w:line="224" w:lineRule="auto"/>
              <w:ind w:left="960"/>
            </w:pPr>
            <w:r>
              <w:rPr>
                <w:spacing w:val="-2"/>
              </w:rPr>
              <w:t>47000</w:t>
            </w:r>
          </w:p>
        </w:tc>
        <w:tc>
          <w:tcPr>
            <w:tcW w:w="2120" w:type="dxa"/>
            <w:tcBorders>
              <w:top w:val="single" w:color="000000" w:sz="4" w:space="0"/>
              <w:bottom w:val="single" w:color="000000" w:sz="4" w:space="0"/>
            </w:tcBorders>
            <w:vAlign w:val="top"/>
          </w:tcPr>
          <w:p w14:paraId="3CA4F71C">
            <w:pPr>
              <w:pStyle w:val="6"/>
              <w:spacing w:before="116" w:line="224" w:lineRule="auto"/>
              <w:ind w:left="959"/>
            </w:pPr>
            <w:r>
              <w:rPr>
                <w:spacing w:val="-3"/>
              </w:rPr>
              <w:t>94</w:t>
            </w:r>
          </w:p>
        </w:tc>
        <w:tc>
          <w:tcPr>
            <w:tcW w:w="1970" w:type="dxa"/>
            <w:tcBorders>
              <w:top w:val="single" w:color="000000" w:sz="4" w:space="0"/>
              <w:bottom w:val="single" w:color="000000" w:sz="4" w:space="0"/>
            </w:tcBorders>
            <w:vAlign w:val="top"/>
          </w:tcPr>
          <w:p w14:paraId="2DFAA30E">
            <w:pPr>
              <w:pStyle w:val="6"/>
              <w:spacing w:before="116" w:line="224" w:lineRule="auto"/>
              <w:ind w:left="830"/>
            </w:pPr>
            <w:r>
              <w:rPr>
                <w:spacing w:val="-2"/>
              </w:rPr>
              <w:t>4.7</w:t>
            </w:r>
          </w:p>
        </w:tc>
      </w:tr>
      <w:tr w14:paraId="75D01177">
        <w:trPr>
          <w:trHeight w:val="370" w:hRule="atLeast"/>
        </w:trPr>
        <w:tc>
          <w:tcPr>
            <w:tcW w:w="2310" w:type="dxa"/>
            <w:tcBorders>
              <w:top w:val="single" w:color="000000" w:sz="4" w:space="0"/>
              <w:bottom w:val="single" w:color="000000" w:sz="4" w:space="0"/>
            </w:tcBorders>
            <w:shd w:val="clear" w:color="auto" w:fill="D4DADC"/>
            <w:vAlign w:val="top"/>
          </w:tcPr>
          <w:p w14:paraId="25941825">
            <w:pPr>
              <w:pStyle w:val="6"/>
              <w:spacing w:before="97" w:line="220" w:lineRule="auto"/>
              <w:ind w:left="750"/>
            </w:pPr>
            <w:r>
              <w:rPr>
                <w:spacing w:val="-2"/>
              </w:rPr>
              <w:t>坦桑尼亚</w:t>
            </w:r>
          </w:p>
        </w:tc>
        <w:tc>
          <w:tcPr>
            <w:tcW w:w="2430" w:type="dxa"/>
            <w:tcBorders>
              <w:top w:val="single" w:color="000000" w:sz="4" w:space="0"/>
              <w:bottom w:val="single" w:color="000000" w:sz="4" w:space="0"/>
            </w:tcBorders>
            <w:shd w:val="clear" w:color="auto" w:fill="D9DDDD"/>
            <w:vAlign w:val="top"/>
          </w:tcPr>
          <w:p w14:paraId="3CFA2B17">
            <w:pPr>
              <w:pStyle w:val="6"/>
              <w:spacing w:before="117" w:line="224" w:lineRule="auto"/>
              <w:ind w:left="960"/>
            </w:pPr>
            <w:r>
              <w:rPr>
                <w:spacing w:val="-2"/>
              </w:rPr>
              <w:t>65000</w:t>
            </w:r>
          </w:p>
        </w:tc>
        <w:tc>
          <w:tcPr>
            <w:tcW w:w="2120" w:type="dxa"/>
            <w:tcBorders>
              <w:top w:val="single" w:color="000000" w:sz="4" w:space="0"/>
              <w:bottom w:val="single" w:color="000000" w:sz="4" w:space="0"/>
            </w:tcBorders>
            <w:shd w:val="clear" w:color="auto" w:fill="DBDCDB"/>
            <w:vAlign w:val="top"/>
          </w:tcPr>
          <w:p w14:paraId="382F0E78">
            <w:pPr>
              <w:pStyle w:val="6"/>
              <w:spacing w:before="117" w:line="224" w:lineRule="auto"/>
              <w:ind w:left="910"/>
            </w:pPr>
            <w:r>
              <w:rPr>
                <w:spacing w:val="-6"/>
              </w:rPr>
              <w:t>128</w:t>
            </w:r>
          </w:p>
        </w:tc>
        <w:tc>
          <w:tcPr>
            <w:tcW w:w="1970" w:type="dxa"/>
            <w:tcBorders>
              <w:top w:val="single" w:color="000000" w:sz="4" w:space="0"/>
              <w:bottom w:val="single" w:color="000000" w:sz="4" w:space="0"/>
            </w:tcBorders>
            <w:shd w:val="clear" w:color="auto" w:fill="DFE0DC"/>
            <w:vAlign w:val="top"/>
          </w:tcPr>
          <w:p w14:paraId="794F1747">
            <w:pPr>
              <w:pStyle w:val="6"/>
              <w:spacing w:before="117" w:line="224" w:lineRule="auto"/>
              <w:ind w:left="780"/>
            </w:pPr>
            <w:r>
              <w:rPr>
                <w:spacing w:val="-5"/>
              </w:rPr>
              <w:t>18.1</w:t>
            </w:r>
          </w:p>
        </w:tc>
      </w:tr>
      <w:tr w14:paraId="0BBFAE30">
        <w:trPr>
          <w:trHeight w:val="370" w:hRule="atLeast"/>
        </w:trPr>
        <w:tc>
          <w:tcPr>
            <w:tcW w:w="2310" w:type="dxa"/>
            <w:tcBorders>
              <w:top w:val="single" w:color="000000" w:sz="4" w:space="0"/>
              <w:bottom w:val="single" w:color="000000" w:sz="4" w:space="0"/>
            </w:tcBorders>
            <w:vAlign w:val="top"/>
          </w:tcPr>
          <w:p w14:paraId="62199839">
            <w:pPr>
              <w:pStyle w:val="6"/>
              <w:spacing w:before="98" w:line="221" w:lineRule="auto"/>
              <w:ind w:left="949"/>
            </w:pPr>
            <w:r>
              <w:rPr>
                <w:spacing w:val="-2"/>
              </w:rPr>
              <w:t>越南</w:t>
            </w:r>
          </w:p>
        </w:tc>
        <w:tc>
          <w:tcPr>
            <w:tcW w:w="2430" w:type="dxa"/>
            <w:tcBorders>
              <w:top w:val="single" w:color="000000" w:sz="4" w:space="0"/>
              <w:bottom w:val="single" w:color="000000" w:sz="4" w:space="0"/>
            </w:tcBorders>
            <w:vAlign w:val="top"/>
          </w:tcPr>
          <w:p w14:paraId="26A00286">
            <w:pPr>
              <w:pStyle w:val="6"/>
              <w:spacing w:before="117" w:line="224" w:lineRule="auto"/>
              <w:ind w:left="960"/>
            </w:pPr>
            <w:r>
              <w:rPr>
                <w:spacing w:val="-2"/>
              </w:rPr>
              <w:t>98000</w:t>
            </w:r>
          </w:p>
        </w:tc>
        <w:tc>
          <w:tcPr>
            <w:tcW w:w="2120" w:type="dxa"/>
            <w:tcBorders>
              <w:top w:val="single" w:color="000000" w:sz="4" w:space="0"/>
              <w:bottom w:val="single" w:color="000000" w:sz="4" w:space="0"/>
            </w:tcBorders>
            <w:vAlign w:val="top"/>
          </w:tcPr>
          <w:p w14:paraId="0A1CF830">
            <w:pPr>
              <w:pStyle w:val="6"/>
              <w:spacing w:before="117" w:line="224" w:lineRule="auto"/>
              <w:ind w:left="910"/>
            </w:pPr>
            <w:r>
              <w:rPr>
                <w:spacing w:val="-6"/>
              </w:rPr>
              <w:t>172</w:t>
            </w:r>
          </w:p>
        </w:tc>
        <w:tc>
          <w:tcPr>
            <w:tcW w:w="1970" w:type="dxa"/>
            <w:tcBorders>
              <w:top w:val="single" w:color="000000" w:sz="4" w:space="0"/>
              <w:bottom w:val="single" w:color="000000" w:sz="4" w:space="0"/>
            </w:tcBorders>
            <w:vAlign w:val="top"/>
          </w:tcPr>
          <w:p w14:paraId="51034B69">
            <w:pPr>
              <w:pStyle w:val="6"/>
              <w:spacing w:before="117" w:line="224" w:lineRule="auto"/>
              <w:ind w:left="780"/>
            </w:pPr>
            <w:r>
              <w:rPr>
                <w:spacing w:val="-5"/>
              </w:rPr>
              <w:t>13.6</w:t>
            </w:r>
          </w:p>
        </w:tc>
      </w:tr>
      <w:tr w14:paraId="1301CD45">
        <w:trPr>
          <w:trHeight w:val="454" w:hRule="atLeast"/>
        </w:trPr>
        <w:tc>
          <w:tcPr>
            <w:tcW w:w="2310" w:type="dxa"/>
            <w:tcBorders>
              <w:top w:val="single" w:color="000000" w:sz="4" w:space="0"/>
              <w:bottom w:val="single" w:color="000000" w:sz="4" w:space="0"/>
            </w:tcBorders>
            <w:shd w:val="clear" w:color="auto" w:fill="DEE5EC"/>
            <w:vAlign w:val="top"/>
          </w:tcPr>
          <w:p w14:paraId="14E96124">
            <w:pPr>
              <w:pStyle w:val="6"/>
              <w:spacing w:before="137" w:line="220" w:lineRule="auto"/>
              <w:ind w:left="850"/>
            </w:pPr>
            <w:r>
              <w:rPr>
                <w:spacing w:val="3"/>
              </w:rPr>
              <w:t>赞比亚</w:t>
            </w:r>
          </w:p>
        </w:tc>
        <w:tc>
          <w:tcPr>
            <w:tcW w:w="2430" w:type="dxa"/>
            <w:tcBorders>
              <w:top w:val="single" w:color="000000" w:sz="4" w:space="0"/>
              <w:bottom w:val="single" w:color="000000" w:sz="4" w:space="0"/>
            </w:tcBorders>
            <w:shd w:val="clear" w:color="auto" w:fill="D8DDDD"/>
            <w:vAlign w:val="top"/>
          </w:tcPr>
          <w:p w14:paraId="70DCDCF0">
            <w:pPr>
              <w:pStyle w:val="6"/>
              <w:spacing w:before="156"/>
              <w:ind w:left="960"/>
            </w:pPr>
            <w:r>
              <w:rPr>
                <w:spacing w:val="-2"/>
              </w:rPr>
              <w:t>20000</w:t>
            </w:r>
          </w:p>
        </w:tc>
        <w:tc>
          <w:tcPr>
            <w:tcW w:w="2120" w:type="dxa"/>
            <w:tcBorders>
              <w:top w:val="single" w:color="000000" w:sz="4" w:space="0"/>
              <w:bottom w:val="single" w:color="000000" w:sz="4" w:space="0"/>
            </w:tcBorders>
            <w:shd w:val="clear" w:color="auto" w:fill="DBDCDD"/>
            <w:vAlign w:val="top"/>
          </w:tcPr>
          <w:p w14:paraId="14483769">
            <w:pPr>
              <w:pStyle w:val="6"/>
              <w:spacing w:before="156"/>
              <w:ind w:left="959"/>
            </w:pPr>
            <w:r>
              <w:rPr>
                <w:spacing w:val="-3"/>
              </w:rPr>
              <w:t>59</w:t>
            </w:r>
          </w:p>
        </w:tc>
        <w:tc>
          <w:tcPr>
            <w:tcW w:w="1970" w:type="dxa"/>
            <w:tcBorders>
              <w:top w:val="single" w:color="000000" w:sz="4" w:space="0"/>
              <w:bottom w:val="single" w:color="000000" w:sz="4" w:space="0"/>
            </w:tcBorders>
            <w:shd w:val="clear" w:color="auto" w:fill="E0E0DD"/>
            <w:vAlign w:val="top"/>
          </w:tcPr>
          <w:p w14:paraId="1A018C5B">
            <w:pPr>
              <w:pStyle w:val="6"/>
              <w:spacing w:before="156" w:line="239" w:lineRule="auto"/>
              <w:ind w:left="830"/>
            </w:pPr>
            <w:r>
              <w:rPr>
                <w:spacing w:val="-3"/>
              </w:rPr>
              <w:t>5.3</w:t>
            </w:r>
          </w:p>
        </w:tc>
      </w:tr>
    </w:tbl>
    <w:p w14:paraId="1353F729">
      <w:pPr>
        <w:spacing w:before="10" w:line="216" w:lineRule="auto"/>
        <w:ind w:left="7910"/>
        <w:rPr>
          <w:rFonts w:ascii="宋体" w:hAnsi="宋体" w:eastAsia="宋体" w:cs="宋体"/>
          <w:sz w:val="21"/>
          <w:szCs w:val="21"/>
        </w:rPr>
      </w:pPr>
      <w:r>
        <w:rPr>
          <w:rFonts w:ascii="宋体" w:hAnsi="宋体" w:eastAsia="宋体" w:cs="宋体"/>
          <w:spacing w:val="-5"/>
          <w:sz w:val="21"/>
          <w:szCs w:val="21"/>
        </w:rPr>
        <w:t>(WHO,2023)</w:t>
      </w:r>
    </w:p>
    <w:p w14:paraId="38C159D9">
      <w:pPr>
        <w:spacing w:before="227" w:line="219" w:lineRule="auto"/>
        <w:ind w:left="29"/>
        <w:rPr>
          <w:rFonts w:ascii="宋体" w:hAnsi="宋体" w:eastAsia="宋体" w:cs="宋体"/>
          <w:sz w:val="20"/>
          <w:szCs w:val="20"/>
        </w:rPr>
      </w:pPr>
      <w:r>
        <w:rPr>
          <w:rFonts w:ascii="宋体" w:hAnsi="宋体" w:eastAsia="宋体" w:cs="宋体"/>
          <w:spacing w:val="7"/>
          <w:sz w:val="20"/>
          <w:szCs w:val="20"/>
        </w:rPr>
        <w:t>结核病病例构成比高于</w:t>
      </w:r>
      <w:r>
        <w:rPr>
          <w:rFonts w:ascii="宋体" w:hAnsi="宋体" w:eastAsia="宋体" w:cs="宋体"/>
          <w:sz w:val="20"/>
          <w:szCs w:val="20"/>
        </w:rPr>
        <w:t>HIV</w:t>
      </w:r>
      <w:r>
        <w:rPr>
          <w:rFonts w:ascii="宋体" w:hAnsi="宋体" w:eastAsia="宋体" w:cs="宋体"/>
          <w:spacing w:val="38"/>
          <w:sz w:val="20"/>
          <w:szCs w:val="20"/>
        </w:rPr>
        <w:t xml:space="preserve"> </w:t>
      </w:r>
      <w:r>
        <w:rPr>
          <w:rFonts w:ascii="宋体" w:hAnsi="宋体" w:eastAsia="宋体" w:cs="宋体"/>
          <w:spacing w:val="7"/>
          <w:sz w:val="20"/>
          <w:szCs w:val="20"/>
        </w:rPr>
        <w:t>低感染地区，且病例的平均年龄低于</w:t>
      </w:r>
      <w:r>
        <w:rPr>
          <w:rFonts w:ascii="宋体" w:hAnsi="宋体" w:eastAsia="宋体" w:cs="宋体"/>
          <w:sz w:val="20"/>
          <w:szCs w:val="20"/>
        </w:rPr>
        <w:t>HIV</w:t>
      </w:r>
      <w:r>
        <w:rPr>
          <w:rFonts w:ascii="宋体" w:hAnsi="宋体" w:eastAsia="宋体" w:cs="宋体"/>
          <w:spacing w:val="7"/>
          <w:sz w:val="20"/>
          <w:szCs w:val="20"/>
        </w:rPr>
        <w:t xml:space="preserve"> 低感染地区。</w:t>
      </w:r>
    </w:p>
    <w:p w14:paraId="252D875E">
      <w:pPr>
        <w:spacing w:before="134" w:line="295" w:lineRule="auto"/>
        <w:ind w:left="29" w:right="622" w:firstLine="440"/>
        <w:jc w:val="both"/>
        <w:rPr>
          <w:rFonts w:ascii="宋体" w:hAnsi="宋体" w:eastAsia="宋体" w:cs="宋体"/>
          <w:sz w:val="20"/>
          <w:szCs w:val="20"/>
        </w:rPr>
      </w:pPr>
      <w:r>
        <w:rPr>
          <w:rFonts w:ascii="宋体" w:hAnsi="宋体" w:eastAsia="宋体" w:cs="宋体"/>
          <w:spacing w:val="11"/>
          <w:sz w:val="20"/>
          <w:szCs w:val="20"/>
        </w:rPr>
        <w:t>结核病在贫困落后的国家和地区的流行尤其严重。</w:t>
      </w:r>
      <w:r>
        <w:rPr>
          <w:rFonts w:ascii="宋体" w:hAnsi="宋体" w:eastAsia="宋体" w:cs="宋体"/>
          <w:spacing w:val="10"/>
          <w:sz w:val="20"/>
          <w:szCs w:val="20"/>
        </w:rPr>
        <w:t>在高收入的发达国家，社会经济水平较低</w:t>
      </w:r>
      <w:r>
        <w:rPr>
          <w:rFonts w:ascii="宋体" w:hAnsi="宋体" w:eastAsia="宋体" w:cs="宋体"/>
          <w:sz w:val="20"/>
          <w:szCs w:val="20"/>
        </w:rPr>
        <w:t xml:space="preserve"> </w:t>
      </w:r>
      <w:r>
        <w:rPr>
          <w:rFonts w:ascii="宋体" w:hAnsi="宋体" w:eastAsia="宋体" w:cs="宋体"/>
          <w:spacing w:val="10"/>
          <w:sz w:val="20"/>
          <w:szCs w:val="20"/>
        </w:rPr>
        <w:t>的移民人群结核病患病率较高。生活居住条件和卫生条件低劣的难民营、监狱和无家可归者的栖</w:t>
      </w:r>
      <w:r>
        <w:rPr>
          <w:rFonts w:ascii="宋体" w:hAnsi="宋体" w:eastAsia="宋体" w:cs="宋体"/>
          <w:spacing w:val="17"/>
          <w:sz w:val="20"/>
          <w:szCs w:val="20"/>
        </w:rPr>
        <w:t xml:space="preserve"> </w:t>
      </w:r>
      <w:r>
        <w:rPr>
          <w:rFonts w:ascii="宋体" w:hAnsi="宋体" w:eastAsia="宋体" w:cs="宋体"/>
          <w:spacing w:val="6"/>
          <w:sz w:val="20"/>
          <w:szCs w:val="20"/>
        </w:rPr>
        <w:t>居地也是结核病的高发地。在中低收入国家，贫困人口是结核病的</w:t>
      </w:r>
      <w:r>
        <w:rPr>
          <w:rFonts w:ascii="宋体" w:hAnsi="宋体" w:eastAsia="宋体" w:cs="宋体"/>
          <w:spacing w:val="5"/>
          <w:sz w:val="20"/>
          <w:szCs w:val="20"/>
        </w:rPr>
        <w:t>主要高发人群，加之这一人群的</w:t>
      </w:r>
      <w:r>
        <w:rPr>
          <w:rFonts w:ascii="宋体" w:hAnsi="宋体" w:eastAsia="宋体" w:cs="宋体"/>
          <w:sz w:val="20"/>
          <w:szCs w:val="20"/>
        </w:rPr>
        <w:t xml:space="preserve"> </w:t>
      </w:r>
      <w:r>
        <w:rPr>
          <w:rFonts w:ascii="宋体" w:hAnsi="宋体" w:eastAsia="宋体" w:cs="宋体"/>
          <w:spacing w:val="5"/>
          <w:sz w:val="20"/>
          <w:szCs w:val="20"/>
        </w:rPr>
        <w:t>医疗服务可及性较差、医疗负担重，其患病后的预后较差，严重影响了贫穷落后地区的结核病控制</w:t>
      </w:r>
    </w:p>
    <w:p w14:paraId="273F9162">
      <w:pPr>
        <w:spacing w:line="295" w:lineRule="auto"/>
        <w:rPr>
          <w:rFonts w:ascii="宋体" w:hAnsi="宋体" w:eastAsia="宋体" w:cs="宋体"/>
          <w:sz w:val="20"/>
          <w:szCs w:val="20"/>
        </w:rPr>
        <w:sectPr>
          <w:type w:val="continuous"/>
          <w:pgSz w:w="11900" w:h="16820"/>
          <w:pgMar w:top="400" w:right="884" w:bottom="949" w:left="1499" w:header="0" w:footer="769" w:gutter="0"/>
          <w:cols w:equalWidth="0" w:num="1">
            <w:col w:w="9516"/>
          </w:cols>
        </w:sectPr>
      </w:pPr>
    </w:p>
    <w:p w14:paraId="0CE44FAD">
      <w:pPr>
        <w:pStyle w:val="2"/>
        <w:spacing w:before="217" w:line="222" w:lineRule="auto"/>
        <w:ind w:left="669"/>
        <w:rPr>
          <w:sz w:val="21"/>
          <w:szCs w:val="21"/>
        </w:rPr>
      </w:pPr>
      <w:bookmarkStart w:id="518" w:name="bookmark564"/>
      <w:bookmarkEnd w:id="518"/>
      <w:r>
        <w:rPr>
          <w:spacing w:val="-24"/>
          <w:sz w:val="21"/>
          <w:szCs w:val="21"/>
        </w:rPr>
        <w:t>第二十章 结核病</w:t>
      </w:r>
    </w:p>
    <w:p w14:paraId="39FBAEE3">
      <w:pPr>
        <w:spacing w:line="278" w:lineRule="auto"/>
        <w:rPr>
          <w:rFonts w:ascii="Arial"/>
          <w:sz w:val="21"/>
        </w:rPr>
      </w:pPr>
    </w:p>
    <w:p w14:paraId="1C3DE60A">
      <w:pPr>
        <w:spacing w:line="279" w:lineRule="auto"/>
        <w:rPr>
          <w:rFonts w:ascii="Arial"/>
          <w:sz w:val="21"/>
        </w:rPr>
      </w:pPr>
    </w:p>
    <w:p w14:paraId="22706A9E">
      <w:pPr>
        <w:spacing w:before="68" w:line="309" w:lineRule="auto"/>
        <w:ind w:left="669" w:right="98"/>
        <w:rPr>
          <w:rFonts w:ascii="宋体" w:hAnsi="宋体" w:eastAsia="宋体" w:cs="宋体"/>
          <w:sz w:val="21"/>
          <w:szCs w:val="21"/>
        </w:rPr>
      </w:pPr>
      <w:r>
        <w:rPr>
          <w:rFonts w:ascii="宋体" w:hAnsi="宋体" w:eastAsia="宋体" w:cs="宋体"/>
          <w:sz w:val="21"/>
          <w:szCs w:val="21"/>
        </w:rPr>
        <w:t>效果。结核病已成为因贫致病、因病返贫的重要原因，损害了人</w:t>
      </w:r>
      <w:r>
        <w:rPr>
          <w:rFonts w:ascii="宋体" w:hAnsi="宋体" w:eastAsia="宋体" w:cs="宋体"/>
          <w:spacing w:val="-1"/>
          <w:sz w:val="21"/>
          <w:szCs w:val="21"/>
        </w:rPr>
        <w:t>群健康和社会经济发展，影响了社</w:t>
      </w:r>
      <w:r>
        <w:rPr>
          <w:rFonts w:ascii="宋体" w:hAnsi="宋体" w:eastAsia="宋体" w:cs="宋体"/>
          <w:sz w:val="21"/>
          <w:szCs w:val="21"/>
        </w:rPr>
        <w:t xml:space="preserve"> </w:t>
      </w:r>
      <w:r>
        <w:rPr>
          <w:rFonts w:ascii="宋体" w:hAnsi="宋体" w:eastAsia="宋体" w:cs="宋体"/>
          <w:spacing w:val="-2"/>
          <w:sz w:val="21"/>
          <w:szCs w:val="21"/>
        </w:rPr>
        <w:t>会和卫生服务公平性。</w:t>
      </w:r>
    </w:p>
    <w:p w14:paraId="62F79995">
      <w:pPr>
        <w:spacing w:before="17" w:line="324" w:lineRule="auto"/>
        <w:ind w:left="669" w:right="100" w:firstLine="429"/>
        <w:jc w:val="both"/>
        <w:rPr>
          <w:rFonts w:ascii="宋体" w:hAnsi="宋体" w:eastAsia="宋体" w:cs="宋体"/>
          <w:sz w:val="21"/>
          <w:szCs w:val="21"/>
        </w:rPr>
      </w:pPr>
      <w:r>
        <w:rPr>
          <w:rFonts w:ascii="宋体" w:hAnsi="宋体" w:eastAsia="宋体" w:cs="宋体"/>
          <w:spacing w:val="8"/>
          <w:sz w:val="21"/>
          <w:szCs w:val="21"/>
        </w:rPr>
        <w:t>结核病的另一个高发人群是</w:t>
      </w:r>
      <w:r>
        <w:rPr>
          <w:rFonts w:ascii="Times New Roman" w:hAnsi="Times New Roman" w:eastAsia="Times New Roman" w:cs="Times New Roman"/>
          <w:sz w:val="21"/>
          <w:szCs w:val="21"/>
        </w:rPr>
        <w:t>HIV</w:t>
      </w:r>
      <w:r>
        <w:rPr>
          <w:rFonts w:ascii="Times New Roman" w:hAnsi="Times New Roman" w:eastAsia="Times New Roman" w:cs="Times New Roman"/>
          <w:spacing w:val="44"/>
          <w:sz w:val="21"/>
          <w:szCs w:val="21"/>
        </w:rPr>
        <w:t xml:space="preserve"> </w:t>
      </w:r>
      <w:r>
        <w:rPr>
          <w:rFonts w:ascii="宋体" w:hAnsi="宋体" w:eastAsia="宋体" w:cs="宋体"/>
          <w:spacing w:val="8"/>
          <w:sz w:val="21"/>
          <w:szCs w:val="21"/>
        </w:rPr>
        <w:t>感染者。随着全球</w:t>
      </w:r>
      <w:r>
        <w:rPr>
          <w:rFonts w:ascii="Times New Roman" w:hAnsi="Times New Roman" w:eastAsia="Times New Roman" w:cs="Times New Roman"/>
          <w:sz w:val="21"/>
          <w:szCs w:val="21"/>
        </w:rPr>
        <w:t>HIV</w:t>
      </w:r>
      <w:r>
        <w:rPr>
          <w:rFonts w:ascii="Times New Roman" w:hAnsi="Times New Roman" w:eastAsia="Times New Roman" w:cs="Times New Roman"/>
          <w:spacing w:val="38"/>
          <w:sz w:val="21"/>
          <w:szCs w:val="21"/>
        </w:rPr>
        <w:t xml:space="preserve"> </w:t>
      </w:r>
      <w:r>
        <w:rPr>
          <w:rFonts w:ascii="宋体" w:hAnsi="宋体" w:eastAsia="宋体" w:cs="宋体"/>
          <w:spacing w:val="8"/>
          <w:sz w:val="21"/>
          <w:szCs w:val="21"/>
        </w:rPr>
        <w:t>感染及艾滋病患者的日益增多，由</w:t>
      </w:r>
      <w:r>
        <w:rPr>
          <w:rFonts w:ascii="宋体" w:hAnsi="宋体" w:eastAsia="宋体" w:cs="宋体"/>
          <w:sz w:val="21"/>
          <w:szCs w:val="21"/>
        </w:rPr>
        <w:t xml:space="preserve"> HIV</w:t>
      </w:r>
      <w:r>
        <w:rPr>
          <w:rFonts w:ascii="宋体" w:hAnsi="宋体" w:eastAsia="宋体" w:cs="宋体"/>
          <w:spacing w:val="-2"/>
          <w:sz w:val="21"/>
          <w:szCs w:val="21"/>
        </w:rPr>
        <w:t xml:space="preserve"> </w:t>
      </w:r>
      <w:r>
        <w:rPr>
          <w:rFonts w:ascii="宋体" w:hAnsi="宋体" w:eastAsia="宋体" w:cs="宋体"/>
          <w:spacing w:val="9"/>
          <w:sz w:val="21"/>
          <w:szCs w:val="21"/>
        </w:rPr>
        <w:t>感染引起的结核病患病与死亡的人数也日益增多。2022年1060万新发患者中，大约有6.3%</w:t>
      </w:r>
      <w:r>
        <w:rPr>
          <w:rFonts w:ascii="宋体" w:hAnsi="宋体" w:eastAsia="宋体" w:cs="宋体"/>
          <w:sz w:val="21"/>
          <w:szCs w:val="21"/>
        </w:rPr>
        <w:t xml:space="preserve"> </w:t>
      </w:r>
      <w:r>
        <w:rPr>
          <w:rFonts w:ascii="宋体" w:hAnsi="宋体" w:eastAsia="宋体" w:cs="宋体"/>
          <w:spacing w:val="2"/>
          <w:sz w:val="21"/>
          <w:szCs w:val="21"/>
        </w:rPr>
        <w:t>为</w:t>
      </w:r>
      <w:r>
        <w:rPr>
          <w:rFonts w:ascii="Times New Roman" w:hAnsi="Times New Roman" w:eastAsia="Times New Roman" w:cs="Times New Roman"/>
          <w:sz w:val="21"/>
          <w:szCs w:val="21"/>
        </w:rPr>
        <w:t>HIV</w:t>
      </w:r>
      <w:r>
        <w:rPr>
          <w:rFonts w:ascii="Times New Roman" w:hAnsi="Times New Roman" w:eastAsia="Times New Roman" w:cs="Times New Roman"/>
          <w:spacing w:val="-3"/>
          <w:sz w:val="21"/>
          <w:szCs w:val="21"/>
        </w:rPr>
        <w:t xml:space="preserve"> </w:t>
      </w:r>
      <w:r>
        <w:rPr>
          <w:rFonts w:ascii="宋体" w:hAnsi="宋体" w:eastAsia="宋体" w:cs="宋体"/>
          <w:spacing w:val="2"/>
          <w:sz w:val="21"/>
          <w:szCs w:val="21"/>
        </w:rPr>
        <w:t>感染者(表20-2),</w:t>
      </w:r>
      <w:r>
        <w:rPr>
          <w:rFonts w:ascii="Times New Roman" w:hAnsi="Times New Roman" w:eastAsia="Times New Roman" w:cs="Times New Roman"/>
          <w:sz w:val="21"/>
          <w:szCs w:val="21"/>
        </w:rPr>
        <w:t>HIV</w:t>
      </w:r>
      <w:r>
        <w:rPr>
          <w:rFonts w:ascii="Times New Roman" w:hAnsi="Times New Roman" w:eastAsia="Times New Roman" w:cs="Times New Roman"/>
          <w:spacing w:val="2"/>
          <w:sz w:val="21"/>
          <w:szCs w:val="21"/>
        </w:rPr>
        <w:t xml:space="preserve"> </w:t>
      </w:r>
      <w:r>
        <w:rPr>
          <w:rFonts w:ascii="宋体" w:hAnsi="宋体" w:eastAsia="宋体" w:cs="宋体"/>
          <w:spacing w:val="2"/>
          <w:sz w:val="21"/>
          <w:szCs w:val="21"/>
        </w:rPr>
        <w:t>感染合并结核病的患者中将近三分之一的患者会死于结核病。</w:t>
      </w:r>
    </w:p>
    <w:p w14:paraId="3B87A5FE">
      <w:pPr>
        <w:spacing w:before="183" w:line="219" w:lineRule="auto"/>
        <w:ind w:left="789"/>
        <w:rPr>
          <w:rFonts w:ascii="宋体" w:hAnsi="宋体" w:eastAsia="宋体" w:cs="宋体"/>
          <w:sz w:val="20"/>
          <w:szCs w:val="20"/>
        </w:rPr>
      </w:pPr>
      <w:r>
        <w:rPr>
          <w:rFonts w:ascii="宋体" w:hAnsi="宋体" w:eastAsia="宋体" w:cs="宋体"/>
          <w:spacing w:val="-1"/>
          <w:sz w:val="20"/>
          <w:szCs w:val="20"/>
        </w:rPr>
        <w:t>表20-2全球结核病与HIV感染并发情况</w:t>
      </w:r>
    </w:p>
    <w:p w14:paraId="2F384009">
      <w:pPr>
        <w:spacing w:line="96" w:lineRule="auto"/>
        <w:rPr>
          <w:rFonts w:ascii="Arial"/>
          <w:sz w:val="2"/>
        </w:rPr>
      </w:pPr>
    </w:p>
    <w:tbl>
      <w:tblPr>
        <w:tblStyle w:val="5"/>
        <w:tblW w:w="9029" w:type="dxa"/>
        <w:tblInd w:w="709"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0" w:type="dxa"/>
          <w:left w:w="0" w:type="dxa"/>
          <w:bottom w:w="0" w:type="dxa"/>
          <w:right w:w="0" w:type="dxa"/>
        </w:tblCellMar>
      </w:tblPr>
      <w:tblGrid>
        <w:gridCol w:w="3710"/>
        <w:gridCol w:w="1290"/>
        <w:gridCol w:w="1340"/>
        <w:gridCol w:w="1310"/>
        <w:gridCol w:w="1379"/>
      </w:tblGrid>
      <w:tr w14:paraId="7C9643B0">
        <w:trPr>
          <w:trHeight w:val="374" w:hRule="atLeast"/>
        </w:trPr>
        <w:tc>
          <w:tcPr>
            <w:tcW w:w="3710" w:type="dxa"/>
            <w:tcBorders>
              <w:top w:val="single" w:color="000000" w:sz="4" w:space="0"/>
              <w:bottom w:val="single" w:color="000000" w:sz="4" w:space="0"/>
            </w:tcBorders>
            <w:shd w:val="clear" w:color="auto" w:fill="D6D8D7"/>
            <w:vAlign w:val="top"/>
          </w:tcPr>
          <w:p w14:paraId="0C824250">
            <w:pPr>
              <w:pStyle w:val="6"/>
              <w:spacing w:before="93" w:line="219" w:lineRule="auto"/>
              <w:ind w:left="280"/>
            </w:pPr>
            <w:r>
              <w:rPr>
                <w:spacing w:val="8"/>
              </w:rPr>
              <w:t>类别</w:t>
            </w:r>
          </w:p>
        </w:tc>
        <w:tc>
          <w:tcPr>
            <w:tcW w:w="1290" w:type="dxa"/>
            <w:tcBorders>
              <w:top w:val="single" w:color="000000" w:sz="4" w:space="0"/>
              <w:bottom w:val="single" w:color="000000" w:sz="4" w:space="0"/>
            </w:tcBorders>
            <w:shd w:val="clear" w:color="auto" w:fill="D5D6D0"/>
            <w:vAlign w:val="top"/>
          </w:tcPr>
          <w:p w14:paraId="52054DE3">
            <w:pPr>
              <w:pStyle w:val="6"/>
              <w:spacing w:before="93" w:line="219" w:lineRule="auto"/>
              <w:ind w:left="340"/>
            </w:pPr>
            <w:r>
              <w:rPr>
                <w:spacing w:val="1"/>
              </w:rPr>
              <w:t>1990年</w:t>
            </w:r>
          </w:p>
        </w:tc>
        <w:tc>
          <w:tcPr>
            <w:tcW w:w="1340" w:type="dxa"/>
            <w:tcBorders>
              <w:top w:val="single" w:color="000000" w:sz="4" w:space="0"/>
              <w:bottom w:val="single" w:color="000000" w:sz="4" w:space="0"/>
            </w:tcBorders>
            <w:shd w:val="clear" w:color="auto" w:fill="D5D5D0"/>
            <w:vAlign w:val="top"/>
          </w:tcPr>
          <w:p w14:paraId="73603252">
            <w:pPr>
              <w:pStyle w:val="6"/>
              <w:spacing w:before="93" w:line="219" w:lineRule="auto"/>
              <w:ind w:left="369"/>
            </w:pPr>
            <w:r>
              <w:rPr>
                <w:spacing w:val="-2"/>
              </w:rPr>
              <w:t>2000年</w:t>
            </w:r>
          </w:p>
        </w:tc>
        <w:tc>
          <w:tcPr>
            <w:tcW w:w="1310" w:type="dxa"/>
            <w:tcBorders>
              <w:top w:val="single" w:color="000000" w:sz="4" w:space="0"/>
              <w:bottom w:val="single" w:color="000000" w:sz="4" w:space="0"/>
            </w:tcBorders>
            <w:shd w:val="clear" w:color="auto" w:fill="D5D5CF"/>
            <w:vAlign w:val="top"/>
          </w:tcPr>
          <w:p w14:paraId="5C28C413">
            <w:pPr>
              <w:pStyle w:val="6"/>
              <w:spacing w:before="93" w:line="219" w:lineRule="auto"/>
              <w:ind w:left="349"/>
            </w:pPr>
            <w:r>
              <w:rPr>
                <w:spacing w:val="-2"/>
              </w:rPr>
              <w:t>2010年</w:t>
            </w:r>
          </w:p>
        </w:tc>
        <w:tc>
          <w:tcPr>
            <w:tcW w:w="1379" w:type="dxa"/>
            <w:tcBorders>
              <w:top w:val="single" w:color="000000" w:sz="4" w:space="0"/>
              <w:bottom w:val="single" w:color="000000" w:sz="4" w:space="0"/>
            </w:tcBorders>
            <w:shd w:val="clear" w:color="auto" w:fill="C3C1B2"/>
            <w:vAlign w:val="top"/>
          </w:tcPr>
          <w:p w14:paraId="71354795">
            <w:pPr>
              <w:pStyle w:val="6"/>
              <w:spacing w:before="93" w:line="219" w:lineRule="auto"/>
              <w:ind w:left="389"/>
            </w:pPr>
            <w:r>
              <w:rPr>
                <w:spacing w:val="-2"/>
              </w:rPr>
              <w:t>2022年</w:t>
            </w:r>
          </w:p>
        </w:tc>
      </w:tr>
      <w:tr w14:paraId="4FE81DE6">
        <w:trPr>
          <w:trHeight w:val="365" w:hRule="atLeast"/>
        </w:trPr>
        <w:tc>
          <w:tcPr>
            <w:tcW w:w="3710" w:type="dxa"/>
            <w:tcBorders>
              <w:top w:val="single" w:color="000000" w:sz="4" w:space="0"/>
            </w:tcBorders>
            <w:vAlign w:val="top"/>
          </w:tcPr>
          <w:p w14:paraId="4C04C5D6">
            <w:pPr>
              <w:pStyle w:val="6"/>
              <w:spacing w:before="80" w:line="221" w:lineRule="auto"/>
              <w:ind w:left="280"/>
            </w:pPr>
            <w:r>
              <w:rPr>
                <w:spacing w:val="6"/>
              </w:rPr>
              <w:t>患病</w:t>
            </w:r>
          </w:p>
        </w:tc>
        <w:tc>
          <w:tcPr>
            <w:tcW w:w="1290" w:type="dxa"/>
            <w:tcBorders>
              <w:top w:val="single" w:color="000000" w:sz="4" w:space="0"/>
            </w:tcBorders>
            <w:vAlign w:val="top"/>
          </w:tcPr>
          <w:p w14:paraId="612EC0D8">
            <w:pPr>
              <w:rPr>
                <w:rFonts w:ascii="Arial"/>
                <w:sz w:val="21"/>
              </w:rPr>
            </w:pPr>
          </w:p>
        </w:tc>
        <w:tc>
          <w:tcPr>
            <w:tcW w:w="1340" w:type="dxa"/>
            <w:tcBorders>
              <w:top w:val="single" w:color="000000" w:sz="4" w:space="0"/>
            </w:tcBorders>
            <w:vAlign w:val="top"/>
          </w:tcPr>
          <w:p w14:paraId="676DB2B7">
            <w:pPr>
              <w:rPr>
                <w:rFonts w:ascii="Arial"/>
                <w:sz w:val="21"/>
              </w:rPr>
            </w:pPr>
          </w:p>
        </w:tc>
        <w:tc>
          <w:tcPr>
            <w:tcW w:w="1310" w:type="dxa"/>
            <w:tcBorders>
              <w:top w:val="single" w:color="000000" w:sz="4" w:space="0"/>
            </w:tcBorders>
            <w:vAlign w:val="top"/>
          </w:tcPr>
          <w:p w14:paraId="7E595904">
            <w:pPr>
              <w:rPr>
                <w:rFonts w:ascii="Arial"/>
                <w:sz w:val="21"/>
              </w:rPr>
            </w:pPr>
          </w:p>
        </w:tc>
        <w:tc>
          <w:tcPr>
            <w:tcW w:w="1379" w:type="dxa"/>
            <w:tcBorders>
              <w:top w:val="single" w:color="000000" w:sz="4" w:space="0"/>
            </w:tcBorders>
            <w:vAlign w:val="top"/>
          </w:tcPr>
          <w:p w14:paraId="6400ACF4">
            <w:pPr>
              <w:rPr>
                <w:rFonts w:ascii="Arial"/>
                <w:sz w:val="21"/>
              </w:rPr>
            </w:pPr>
          </w:p>
        </w:tc>
      </w:tr>
      <w:tr w14:paraId="621DEB7F">
        <w:trPr>
          <w:trHeight w:val="399" w:hRule="atLeast"/>
        </w:trPr>
        <w:tc>
          <w:tcPr>
            <w:tcW w:w="3710" w:type="dxa"/>
            <w:vAlign w:val="top"/>
          </w:tcPr>
          <w:p w14:paraId="6636A3B2">
            <w:pPr>
              <w:pStyle w:val="6"/>
              <w:spacing w:before="94" w:line="219" w:lineRule="auto"/>
              <w:ind w:left="280"/>
            </w:pPr>
            <w:r>
              <w:rPr>
                <w:spacing w:val="1"/>
              </w:rPr>
              <w:t>结核患者数/万</w:t>
            </w:r>
          </w:p>
        </w:tc>
        <w:tc>
          <w:tcPr>
            <w:tcW w:w="1290" w:type="dxa"/>
            <w:vAlign w:val="top"/>
          </w:tcPr>
          <w:p w14:paraId="0D14DB7E">
            <w:pPr>
              <w:pStyle w:val="6"/>
              <w:spacing w:before="113" w:line="239" w:lineRule="auto"/>
              <w:ind w:left="390"/>
            </w:pPr>
            <w:r>
              <w:rPr>
                <w:spacing w:val="-3"/>
              </w:rPr>
              <w:t>753.7</w:t>
            </w:r>
          </w:p>
        </w:tc>
        <w:tc>
          <w:tcPr>
            <w:tcW w:w="1340" w:type="dxa"/>
            <w:vAlign w:val="top"/>
          </w:tcPr>
          <w:p w14:paraId="77C4789C">
            <w:pPr>
              <w:pStyle w:val="6"/>
              <w:spacing w:before="113" w:line="239" w:lineRule="auto"/>
              <w:ind w:left="369"/>
            </w:pPr>
            <w:r>
              <w:rPr>
                <w:spacing w:val="-4"/>
              </w:rPr>
              <w:t>1022.2</w:t>
            </w:r>
          </w:p>
        </w:tc>
        <w:tc>
          <w:tcPr>
            <w:tcW w:w="1310" w:type="dxa"/>
            <w:vAlign w:val="top"/>
          </w:tcPr>
          <w:p w14:paraId="1D7E7354">
            <w:pPr>
              <w:pStyle w:val="6"/>
              <w:spacing w:before="113" w:line="239" w:lineRule="auto"/>
              <w:ind w:left="349"/>
            </w:pPr>
            <w:r>
              <w:rPr>
                <w:spacing w:val="-4"/>
              </w:rPr>
              <w:t>1200.0</w:t>
            </w:r>
          </w:p>
        </w:tc>
        <w:tc>
          <w:tcPr>
            <w:tcW w:w="1379" w:type="dxa"/>
            <w:vAlign w:val="top"/>
          </w:tcPr>
          <w:p w14:paraId="0F33CF6A">
            <w:pPr>
              <w:pStyle w:val="6"/>
              <w:spacing w:before="113" w:line="239" w:lineRule="auto"/>
              <w:ind w:left="389"/>
            </w:pPr>
            <w:r>
              <w:rPr>
                <w:spacing w:val="-4"/>
              </w:rPr>
              <w:t>1060.0</w:t>
            </w:r>
          </w:p>
        </w:tc>
      </w:tr>
      <w:tr w14:paraId="548F8F4E">
        <w:trPr>
          <w:trHeight w:val="394" w:hRule="atLeast"/>
        </w:trPr>
        <w:tc>
          <w:tcPr>
            <w:tcW w:w="3710" w:type="dxa"/>
            <w:vAlign w:val="top"/>
          </w:tcPr>
          <w:p w14:paraId="1C165060">
            <w:pPr>
              <w:pStyle w:val="6"/>
              <w:spacing w:before="115" w:line="219" w:lineRule="auto"/>
              <w:ind w:left="280"/>
            </w:pPr>
            <w:r>
              <w:rPr>
                <w:spacing w:val="-1"/>
              </w:rPr>
              <w:t>HIV阳性者中的结核患者数/万</w:t>
            </w:r>
          </w:p>
        </w:tc>
        <w:tc>
          <w:tcPr>
            <w:tcW w:w="1290" w:type="dxa"/>
            <w:vAlign w:val="top"/>
          </w:tcPr>
          <w:p w14:paraId="4F918A2F">
            <w:pPr>
              <w:pStyle w:val="6"/>
              <w:spacing w:before="134" w:line="230" w:lineRule="auto"/>
              <w:ind w:left="440"/>
            </w:pPr>
            <w:r>
              <w:rPr>
                <w:spacing w:val="-3"/>
              </w:rPr>
              <w:t>31.5</w:t>
            </w:r>
          </w:p>
        </w:tc>
        <w:tc>
          <w:tcPr>
            <w:tcW w:w="1340" w:type="dxa"/>
            <w:vAlign w:val="top"/>
          </w:tcPr>
          <w:p w14:paraId="112F1E41">
            <w:pPr>
              <w:pStyle w:val="6"/>
              <w:spacing w:before="134" w:line="230" w:lineRule="auto"/>
              <w:ind w:left="419"/>
            </w:pPr>
            <w:r>
              <w:rPr>
                <w:spacing w:val="-4"/>
              </w:rPr>
              <w:t>141.0</w:t>
            </w:r>
          </w:p>
        </w:tc>
        <w:tc>
          <w:tcPr>
            <w:tcW w:w="1310" w:type="dxa"/>
            <w:vAlign w:val="top"/>
          </w:tcPr>
          <w:p w14:paraId="76D69C4B">
            <w:pPr>
              <w:pStyle w:val="6"/>
              <w:spacing w:before="134" w:line="230" w:lineRule="auto"/>
              <w:ind w:left="400"/>
            </w:pPr>
            <w:r>
              <w:rPr>
                <w:spacing w:val="-4"/>
              </w:rPr>
              <w:t>110.0</w:t>
            </w:r>
          </w:p>
        </w:tc>
        <w:tc>
          <w:tcPr>
            <w:tcW w:w="1379" w:type="dxa"/>
            <w:vAlign w:val="top"/>
          </w:tcPr>
          <w:p w14:paraId="69EF9D99">
            <w:pPr>
              <w:pStyle w:val="6"/>
              <w:spacing w:before="134" w:line="230" w:lineRule="auto"/>
              <w:ind w:left="489"/>
            </w:pPr>
            <w:r>
              <w:rPr>
                <w:spacing w:val="-2"/>
              </w:rPr>
              <w:t>67.1</w:t>
            </w:r>
          </w:p>
        </w:tc>
      </w:tr>
      <w:tr w14:paraId="2F5FA66B">
        <w:trPr>
          <w:trHeight w:val="687" w:hRule="atLeast"/>
        </w:trPr>
        <w:tc>
          <w:tcPr>
            <w:tcW w:w="3710" w:type="dxa"/>
            <w:tcBorders>
              <w:bottom w:val="single" w:color="000000" w:sz="4" w:space="0"/>
            </w:tcBorders>
            <w:vAlign w:val="top"/>
          </w:tcPr>
          <w:p w14:paraId="4B7B5EC3">
            <w:pPr>
              <w:pStyle w:val="6"/>
              <w:spacing w:before="90" w:line="262" w:lineRule="auto"/>
              <w:ind w:left="280" w:right="133"/>
            </w:pPr>
            <w:r>
              <w:rPr>
                <w:spacing w:val="-1"/>
              </w:rPr>
              <w:t>HIV感染合并结核病者占结核患者总数</w:t>
            </w:r>
            <w:r>
              <w:rPr>
                <w:spacing w:val="13"/>
              </w:rPr>
              <w:t xml:space="preserve"> </w:t>
            </w:r>
            <w:r>
              <w:rPr>
                <w:spacing w:val="2"/>
              </w:rPr>
              <w:t>百分比1%</w:t>
            </w:r>
          </w:p>
        </w:tc>
        <w:tc>
          <w:tcPr>
            <w:tcW w:w="1290" w:type="dxa"/>
            <w:tcBorders>
              <w:bottom w:val="single" w:color="000000" w:sz="4" w:space="0"/>
            </w:tcBorders>
            <w:vAlign w:val="top"/>
          </w:tcPr>
          <w:p w14:paraId="66907003">
            <w:pPr>
              <w:pStyle w:val="6"/>
              <w:spacing w:before="281" w:line="239" w:lineRule="auto"/>
              <w:ind w:left="489"/>
            </w:pPr>
            <w:r>
              <w:rPr>
                <w:spacing w:val="-2"/>
              </w:rPr>
              <w:t>4.2</w:t>
            </w:r>
          </w:p>
        </w:tc>
        <w:tc>
          <w:tcPr>
            <w:tcW w:w="1340" w:type="dxa"/>
            <w:tcBorders>
              <w:bottom w:val="single" w:color="000000" w:sz="4" w:space="0"/>
            </w:tcBorders>
            <w:vAlign w:val="top"/>
          </w:tcPr>
          <w:p w14:paraId="46D80479">
            <w:pPr>
              <w:pStyle w:val="6"/>
              <w:spacing w:before="281" w:line="239" w:lineRule="auto"/>
              <w:ind w:left="469"/>
            </w:pPr>
            <w:r>
              <w:rPr>
                <w:spacing w:val="-5"/>
              </w:rPr>
              <w:t>13.8</w:t>
            </w:r>
          </w:p>
        </w:tc>
        <w:tc>
          <w:tcPr>
            <w:tcW w:w="1310" w:type="dxa"/>
            <w:tcBorders>
              <w:bottom w:val="single" w:color="000000" w:sz="4" w:space="0"/>
            </w:tcBorders>
            <w:vAlign w:val="top"/>
          </w:tcPr>
          <w:p w14:paraId="0F410085">
            <w:pPr>
              <w:pStyle w:val="6"/>
              <w:spacing w:before="280"/>
              <w:ind w:left="549"/>
            </w:pPr>
            <w:r>
              <w:rPr>
                <w:spacing w:val="-6"/>
              </w:rPr>
              <w:t>13</w:t>
            </w:r>
          </w:p>
        </w:tc>
        <w:tc>
          <w:tcPr>
            <w:tcW w:w="1379" w:type="dxa"/>
            <w:tcBorders>
              <w:bottom w:val="single" w:color="000000" w:sz="4" w:space="0"/>
            </w:tcBorders>
            <w:vAlign w:val="top"/>
          </w:tcPr>
          <w:p w14:paraId="6B399629">
            <w:pPr>
              <w:pStyle w:val="6"/>
              <w:spacing w:before="281" w:line="239" w:lineRule="auto"/>
              <w:ind w:left="539"/>
            </w:pPr>
            <w:r>
              <w:rPr>
                <w:spacing w:val="-3"/>
              </w:rPr>
              <w:t>6.3</w:t>
            </w:r>
          </w:p>
        </w:tc>
      </w:tr>
      <w:tr w14:paraId="73ACF87F">
        <w:trPr>
          <w:trHeight w:val="359" w:hRule="atLeast"/>
        </w:trPr>
        <w:tc>
          <w:tcPr>
            <w:tcW w:w="3710" w:type="dxa"/>
            <w:tcBorders>
              <w:top w:val="single" w:color="000000" w:sz="4" w:space="0"/>
            </w:tcBorders>
            <w:vAlign w:val="top"/>
          </w:tcPr>
          <w:p w14:paraId="7324A263">
            <w:pPr>
              <w:pStyle w:val="6"/>
              <w:spacing w:before="85" w:line="221" w:lineRule="auto"/>
              <w:ind w:left="79"/>
            </w:pPr>
            <w:r>
              <w:rPr>
                <w:spacing w:val="-3"/>
              </w:rPr>
              <w:t>死亡</w:t>
            </w:r>
          </w:p>
        </w:tc>
        <w:tc>
          <w:tcPr>
            <w:tcW w:w="1290" w:type="dxa"/>
            <w:tcBorders>
              <w:top w:val="single" w:color="000000" w:sz="4" w:space="0"/>
            </w:tcBorders>
            <w:vAlign w:val="top"/>
          </w:tcPr>
          <w:p w14:paraId="33D833C5">
            <w:pPr>
              <w:rPr>
                <w:rFonts w:ascii="Arial"/>
                <w:sz w:val="21"/>
              </w:rPr>
            </w:pPr>
          </w:p>
        </w:tc>
        <w:tc>
          <w:tcPr>
            <w:tcW w:w="1340" w:type="dxa"/>
            <w:tcBorders>
              <w:top w:val="single" w:color="000000" w:sz="4" w:space="0"/>
            </w:tcBorders>
            <w:vAlign w:val="top"/>
          </w:tcPr>
          <w:p w14:paraId="16B7F624">
            <w:pPr>
              <w:rPr>
                <w:rFonts w:ascii="Arial"/>
                <w:sz w:val="21"/>
              </w:rPr>
            </w:pPr>
          </w:p>
        </w:tc>
        <w:tc>
          <w:tcPr>
            <w:tcW w:w="1310" w:type="dxa"/>
            <w:tcBorders>
              <w:top w:val="single" w:color="000000" w:sz="4" w:space="0"/>
            </w:tcBorders>
            <w:vAlign w:val="top"/>
          </w:tcPr>
          <w:p w14:paraId="2DAFE1EB">
            <w:pPr>
              <w:rPr>
                <w:rFonts w:ascii="Arial"/>
                <w:sz w:val="21"/>
              </w:rPr>
            </w:pPr>
          </w:p>
        </w:tc>
        <w:tc>
          <w:tcPr>
            <w:tcW w:w="1379" w:type="dxa"/>
            <w:tcBorders>
              <w:top w:val="single" w:color="000000" w:sz="4" w:space="0"/>
            </w:tcBorders>
            <w:vAlign w:val="top"/>
          </w:tcPr>
          <w:p w14:paraId="4D3A94E7">
            <w:pPr>
              <w:rPr>
                <w:rFonts w:ascii="Arial"/>
                <w:sz w:val="21"/>
              </w:rPr>
            </w:pPr>
          </w:p>
        </w:tc>
      </w:tr>
      <w:tr w14:paraId="0B216586">
        <w:trPr>
          <w:trHeight w:val="399" w:hRule="atLeast"/>
        </w:trPr>
        <w:tc>
          <w:tcPr>
            <w:tcW w:w="3710" w:type="dxa"/>
            <w:vAlign w:val="top"/>
          </w:tcPr>
          <w:p w14:paraId="43AFCB41">
            <w:pPr>
              <w:pStyle w:val="6"/>
              <w:spacing w:before="115" w:line="219" w:lineRule="auto"/>
              <w:ind w:left="280"/>
            </w:pPr>
            <w:r>
              <w:rPr>
                <w:spacing w:val="1"/>
              </w:rPr>
              <w:t>结核病死亡人数/万</w:t>
            </w:r>
          </w:p>
        </w:tc>
        <w:tc>
          <w:tcPr>
            <w:tcW w:w="1290" w:type="dxa"/>
            <w:vAlign w:val="top"/>
          </w:tcPr>
          <w:p w14:paraId="63C2E0E8">
            <w:pPr>
              <w:pStyle w:val="6"/>
              <w:spacing w:before="135" w:line="234" w:lineRule="auto"/>
              <w:ind w:left="390"/>
            </w:pPr>
            <w:r>
              <w:rPr>
                <w:spacing w:val="-2"/>
              </w:rPr>
              <w:t>253.0</w:t>
            </w:r>
          </w:p>
        </w:tc>
        <w:tc>
          <w:tcPr>
            <w:tcW w:w="1340" w:type="dxa"/>
            <w:vAlign w:val="top"/>
          </w:tcPr>
          <w:p w14:paraId="7D3AE818">
            <w:pPr>
              <w:pStyle w:val="6"/>
              <w:spacing w:before="135" w:line="234" w:lineRule="auto"/>
              <w:ind w:left="419"/>
            </w:pPr>
            <w:r>
              <w:rPr>
                <w:spacing w:val="-2"/>
              </w:rPr>
              <w:t>350.9</w:t>
            </w:r>
          </w:p>
        </w:tc>
        <w:tc>
          <w:tcPr>
            <w:tcW w:w="1310" w:type="dxa"/>
            <w:vAlign w:val="top"/>
          </w:tcPr>
          <w:p w14:paraId="74799234">
            <w:pPr>
              <w:pStyle w:val="6"/>
              <w:spacing w:before="135" w:line="234" w:lineRule="auto"/>
              <w:ind w:left="400"/>
            </w:pPr>
            <w:r>
              <w:rPr>
                <w:spacing w:val="-4"/>
              </w:rPr>
              <w:t>140.0</w:t>
            </w:r>
          </w:p>
        </w:tc>
        <w:tc>
          <w:tcPr>
            <w:tcW w:w="1379" w:type="dxa"/>
            <w:shd w:val="clear" w:color="auto" w:fill="E1DCD0"/>
            <w:vAlign w:val="top"/>
          </w:tcPr>
          <w:p w14:paraId="38E0AFEE">
            <w:pPr>
              <w:pStyle w:val="6"/>
              <w:spacing w:before="135" w:line="234" w:lineRule="auto"/>
              <w:ind w:left="439"/>
            </w:pPr>
            <w:r>
              <w:rPr>
                <w:spacing w:val="-4"/>
              </w:rPr>
              <w:t>130.0</w:t>
            </w:r>
          </w:p>
        </w:tc>
      </w:tr>
      <w:tr w14:paraId="54B120D0">
        <w:trPr>
          <w:trHeight w:val="389" w:hRule="atLeast"/>
        </w:trPr>
        <w:tc>
          <w:tcPr>
            <w:tcW w:w="3710" w:type="dxa"/>
            <w:vAlign w:val="top"/>
          </w:tcPr>
          <w:p w14:paraId="64685A1B">
            <w:pPr>
              <w:pStyle w:val="6"/>
              <w:spacing w:before="106" w:line="219" w:lineRule="auto"/>
              <w:ind w:left="280"/>
            </w:pPr>
            <w:r>
              <w:rPr>
                <w:spacing w:val="-1"/>
              </w:rPr>
              <w:t>HIV阳性者中结核患者死亡数/万</w:t>
            </w:r>
          </w:p>
        </w:tc>
        <w:tc>
          <w:tcPr>
            <w:tcW w:w="1290" w:type="dxa"/>
            <w:vAlign w:val="top"/>
          </w:tcPr>
          <w:p w14:paraId="6F491EBC">
            <w:pPr>
              <w:pStyle w:val="6"/>
              <w:spacing w:before="126" w:line="233" w:lineRule="auto"/>
              <w:ind w:left="440"/>
            </w:pPr>
            <w:r>
              <w:rPr>
                <w:spacing w:val="-5"/>
              </w:rPr>
              <w:t>11.6</w:t>
            </w:r>
          </w:p>
        </w:tc>
        <w:tc>
          <w:tcPr>
            <w:tcW w:w="1340" w:type="dxa"/>
            <w:vAlign w:val="top"/>
          </w:tcPr>
          <w:p w14:paraId="3EB2F1CD">
            <w:pPr>
              <w:pStyle w:val="6"/>
              <w:spacing w:before="126" w:line="233" w:lineRule="auto"/>
              <w:ind w:left="469"/>
            </w:pPr>
            <w:r>
              <w:rPr>
                <w:spacing w:val="-3"/>
              </w:rPr>
              <w:t>50.0</w:t>
            </w:r>
          </w:p>
        </w:tc>
        <w:tc>
          <w:tcPr>
            <w:tcW w:w="1310" w:type="dxa"/>
            <w:vAlign w:val="top"/>
          </w:tcPr>
          <w:p w14:paraId="35557974">
            <w:pPr>
              <w:pStyle w:val="6"/>
              <w:spacing w:before="126" w:line="233" w:lineRule="auto"/>
              <w:ind w:left="450"/>
            </w:pPr>
            <w:r>
              <w:rPr>
                <w:spacing w:val="-3"/>
              </w:rPr>
              <w:t>35.0</w:t>
            </w:r>
          </w:p>
        </w:tc>
        <w:tc>
          <w:tcPr>
            <w:tcW w:w="1379" w:type="dxa"/>
            <w:shd w:val="clear" w:color="auto" w:fill="EAE3D6"/>
            <w:vAlign w:val="top"/>
          </w:tcPr>
          <w:p w14:paraId="23F002F7">
            <w:pPr>
              <w:pStyle w:val="6"/>
              <w:spacing w:before="126" w:line="233" w:lineRule="auto"/>
              <w:ind w:left="489"/>
            </w:pPr>
            <w:r>
              <w:rPr>
                <w:spacing w:val="-5"/>
              </w:rPr>
              <w:t>16.7</w:t>
            </w:r>
          </w:p>
        </w:tc>
      </w:tr>
      <w:tr w14:paraId="6C674DED">
        <w:trPr>
          <w:trHeight w:val="684" w:hRule="atLeast"/>
        </w:trPr>
        <w:tc>
          <w:tcPr>
            <w:tcW w:w="3710" w:type="dxa"/>
            <w:tcBorders>
              <w:bottom w:val="single" w:color="000000" w:sz="4" w:space="0"/>
            </w:tcBorders>
            <w:vAlign w:val="top"/>
          </w:tcPr>
          <w:p w14:paraId="5E25249E">
            <w:pPr>
              <w:pStyle w:val="6"/>
              <w:spacing w:before="117" w:line="242" w:lineRule="auto"/>
              <w:ind w:left="270" w:right="120"/>
            </w:pPr>
            <w:r>
              <w:t>HIV</w:t>
            </w:r>
            <w:r>
              <w:rPr>
                <w:spacing w:val="1"/>
              </w:rPr>
              <w:t>感染合并结核病死亡占总结核患者</w:t>
            </w:r>
            <w:r>
              <w:rPr>
                <w:spacing w:val="3"/>
              </w:rPr>
              <w:t xml:space="preserve"> </w:t>
            </w:r>
            <w:r>
              <w:rPr>
                <w:spacing w:val="-2"/>
              </w:rPr>
              <w:t>数百分比1%</w:t>
            </w:r>
          </w:p>
        </w:tc>
        <w:tc>
          <w:tcPr>
            <w:tcW w:w="1290" w:type="dxa"/>
            <w:tcBorders>
              <w:bottom w:val="single" w:color="000000" w:sz="4" w:space="0"/>
            </w:tcBorders>
            <w:vAlign w:val="top"/>
          </w:tcPr>
          <w:p w14:paraId="110797B3">
            <w:pPr>
              <w:pStyle w:val="6"/>
              <w:spacing w:before="276" w:line="239" w:lineRule="auto"/>
              <w:ind w:left="489"/>
            </w:pPr>
            <w:r>
              <w:rPr>
                <w:spacing w:val="-2"/>
              </w:rPr>
              <w:t>4.6</w:t>
            </w:r>
          </w:p>
        </w:tc>
        <w:tc>
          <w:tcPr>
            <w:tcW w:w="1340" w:type="dxa"/>
            <w:tcBorders>
              <w:bottom w:val="single" w:color="000000" w:sz="4" w:space="0"/>
            </w:tcBorders>
            <w:vAlign w:val="top"/>
          </w:tcPr>
          <w:p w14:paraId="0FE9FB4C">
            <w:pPr>
              <w:pStyle w:val="6"/>
              <w:spacing w:before="276" w:line="239" w:lineRule="auto"/>
              <w:ind w:left="469"/>
            </w:pPr>
            <w:r>
              <w:rPr>
                <w:spacing w:val="-5"/>
              </w:rPr>
              <w:t>14.2</w:t>
            </w:r>
          </w:p>
        </w:tc>
        <w:tc>
          <w:tcPr>
            <w:tcW w:w="1310" w:type="dxa"/>
            <w:tcBorders>
              <w:bottom w:val="single" w:color="000000" w:sz="4" w:space="0"/>
            </w:tcBorders>
            <w:vAlign w:val="top"/>
          </w:tcPr>
          <w:p w14:paraId="2B6CA3C8">
            <w:pPr>
              <w:pStyle w:val="6"/>
              <w:spacing w:before="276" w:line="239" w:lineRule="auto"/>
              <w:ind w:left="450"/>
            </w:pPr>
            <w:r>
              <w:rPr>
                <w:spacing w:val="-2"/>
              </w:rPr>
              <w:t>24.1</w:t>
            </w:r>
          </w:p>
        </w:tc>
        <w:tc>
          <w:tcPr>
            <w:tcW w:w="1379" w:type="dxa"/>
            <w:tcBorders>
              <w:bottom w:val="single" w:color="000000" w:sz="4" w:space="0"/>
            </w:tcBorders>
            <w:shd w:val="clear" w:color="auto" w:fill="E7E4DB"/>
            <w:vAlign w:val="top"/>
          </w:tcPr>
          <w:p w14:paraId="6CCF5063">
            <w:pPr>
              <w:pStyle w:val="6"/>
              <w:spacing w:before="276" w:line="239" w:lineRule="auto"/>
              <w:ind w:left="489"/>
            </w:pPr>
            <w:r>
              <w:rPr>
                <w:spacing w:val="-5"/>
              </w:rPr>
              <w:t>12.8</w:t>
            </w:r>
          </w:p>
        </w:tc>
      </w:tr>
    </w:tbl>
    <w:p w14:paraId="1C598C68">
      <w:pPr>
        <w:spacing w:before="50" w:line="216" w:lineRule="auto"/>
        <w:ind w:right="12"/>
        <w:jc w:val="right"/>
        <w:rPr>
          <w:rFonts w:ascii="宋体" w:hAnsi="宋体" w:eastAsia="宋体" w:cs="宋体"/>
          <w:sz w:val="18"/>
          <w:szCs w:val="18"/>
        </w:rPr>
      </w:pPr>
      <w:r>
        <w:rPr>
          <w:rFonts w:ascii="宋体" w:hAnsi="宋体" w:eastAsia="宋体" w:cs="宋体"/>
          <w:spacing w:val="-2"/>
          <w:sz w:val="18"/>
          <w:szCs w:val="18"/>
        </w:rPr>
        <w:t>(改编自：原寿基，1998;WHO,2010,2023)</w:t>
      </w:r>
    </w:p>
    <w:p w14:paraId="49D0602C">
      <w:pPr>
        <w:spacing w:line="314" w:lineRule="auto"/>
        <w:rPr>
          <w:rFonts w:ascii="Arial"/>
          <w:sz w:val="21"/>
        </w:rPr>
      </w:pPr>
    </w:p>
    <w:p w14:paraId="71B51CA3">
      <w:pPr>
        <w:spacing w:before="68" w:line="316" w:lineRule="auto"/>
        <w:ind w:left="669" w:firstLine="429"/>
        <w:rPr>
          <w:rFonts w:ascii="宋体" w:hAnsi="宋体" w:eastAsia="宋体" w:cs="宋体"/>
          <w:sz w:val="21"/>
          <w:szCs w:val="21"/>
        </w:rPr>
      </w:pPr>
      <w:r>
        <w:rPr>
          <w:rFonts w:ascii="宋体" w:hAnsi="宋体" w:eastAsia="宋体" w:cs="宋体"/>
          <w:spacing w:val="6"/>
          <w:sz w:val="21"/>
          <w:szCs w:val="21"/>
        </w:rPr>
        <w:t>全球结核病控制面临的重要挑战之一是耐药结</w:t>
      </w:r>
      <w:r>
        <w:rPr>
          <w:rFonts w:ascii="宋体" w:hAnsi="宋体" w:eastAsia="宋体" w:cs="宋体"/>
          <w:spacing w:val="5"/>
          <w:sz w:val="21"/>
          <w:szCs w:val="21"/>
        </w:rPr>
        <w:t>核病流行。据</w:t>
      </w:r>
      <w:r>
        <w:rPr>
          <w:rFonts w:ascii="Times New Roman" w:hAnsi="Times New Roman" w:eastAsia="Times New Roman" w:cs="Times New Roman"/>
          <w:sz w:val="21"/>
          <w:szCs w:val="21"/>
        </w:rPr>
        <w:t>WHO</w:t>
      </w:r>
      <w:r>
        <w:rPr>
          <w:rFonts w:ascii="Times New Roman" w:hAnsi="Times New Roman" w:eastAsia="Times New Roman" w:cs="Times New Roman"/>
          <w:spacing w:val="5"/>
          <w:sz w:val="21"/>
          <w:szCs w:val="21"/>
        </w:rPr>
        <w:t xml:space="preserve">  2023</w:t>
      </w:r>
      <w:r>
        <w:rPr>
          <w:rFonts w:ascii="宋体" w:hAnsi="宋体" w:eastAsia="宋体" w:cs="宋体"/>
          <w:spacing w:val="5"/>
          <w:sz w:val="21"/>
          <w:szCs w:val="21"/>
        </w:rPr>
        <w:t>年估计，全球在2022</w:t>
      </w:r>
      <w:r>
        <w:rPr>
          <w:rFonts w:ascii="宋体" w:hAnsi="宋体" w:eastAsia="宋体" w:cs="宋体"/>
          <w:sz w:val="21"/>
          <w:szCs w:val="21"/>
        </w:rPr>
        <w:t xml:space="preserve"> </w:t>
      </w:r>
      <w:r>
        <w:rPr>
          <w:rFonts w:ascii="宋体" w:hAnsi="宋体" w:eastAsia="宋体" w:cs="宋体"/>
          <w:spacing w:val="6"/>
          <w:sz w:val="21"/>
          <w:szCs w:val="21"/>
        </w:rPr>
        <w:t>年新发生41万例耐多药/利福平耐药结核</w:t>
      </w:r>
      <w:r>
        <w:rPr>
          <w:rFonts w:ascii="Times New Roman" w:hAnsi="Times New Roman" w:eastAsia="Times New Roman" w:cs="Times New Roman"/>
          <w:spacing w:val="5"/>
          <w:sz w:val="21"/>
          <w:szCs w:val="21"/>
        </w:rPr>
        <w:t>(</w:t>
      </w:r>
      <w:r>
        <w:rPr>
          <w:rFonts w:ascii="Times New Roman" w:hAnsi="Times New Roman" w:eastAsia="Times New Roman" w:cs="Times New Roman"/>
          <w:sz w:val="21"/>
          <w:szCs w:val="21"/>
        </w:rPr>
        <w:t>MDR</w:t>
      </w:r>
      <w:r>
        <w:rPr>
          <w:rFonts w:ascii="Times New Roman" w:hAnsi="Times New Roman" w:eastAsia="Times New Roman" w:cs="Times New Roman"/>
          <w:spacing w:val="5"/>
          <w:sz w:val="21"/>
          <w:szCs w:val="21"/>
        </w:rPr>
        <w:t>/</w:t>
      </w:r>
      <w:r>
        <w:rPr>
          <w:rFonts w:ascii="Times New Roman" w:hAnsi="Times New Roman" w:eastAsia="Times New Roman" w:cs="Times New Roman"/>
          <w:sz w:val="21"/>
          <w:szCs w:val="21"/>
        </w:rPr>
        <w:t>RR</w:t>
      </w:r>
      <w:r>
        <w:rPr>
          <w:rFonts w:ascii="Times New Roman" w:hAnsi="Times New Roman" w:eastAsia="Times New Roman" w:cs="Times New Roman"/>
          <w:spacing w:val="5"/>
          <w:sz w:val="21"/>
          <w:szCs w:val="21"/>
        </w:rPr>
        <w:t>-</w:t>
      </w:r>
      <w:r>
        <w:rPr>
          <w:rFonts w:ascii="Times New Roman" w:hAnsi="Times New Roman" w:eastAsia="Times New Roman" w:cs="Times New Roman"/>
          <w:sz w:val="21"/>
          <w:szCs w:val="21"/>
        </w:rPr>
        <w:t>TB</w:t>
      </w:r>
      <w:r>
        <w:rPr>
          <w:rFonts w:ascii="Times New Roman" w:hAnsi="Times New Roman" w:eastAsia="Times New Roman" w:cs="Times New Roman"/>
          <w:spacing w:val="5"/>
          <w:sz w:val="21"/>
          <w:szCs w:val="21"/>
        </w:rPr>
        <w:t xml:space="preserve">) </w:t>
      </w:r>
      <w:r>
        <w:rPr>
          <w:rFonts w:ascii="宋体" w:hAnsi="宋体" w:eastAsia="宋体" w:cs="宋体"/>
          <w:spacing w:val="5"/>
          <w:sz w:val="21"/>
          <w:szCs w:val="21"/>
        </w:rPr>
        <w:t>患者。虽然近些年</w:t>
      </w:r>
      <w:r>
        <w:rPr>
          <w:rFonts w:ascii="Times New Roman" w:hAnsi="Times New Roman" w:eastAsia="Times New Roman" w:cs="Times New Roman"/>
          <w:sz w:val="21"/>
          <w:szCs w:val="21"/>
        </w:rPr>
        <w:t>MDR</w:t>
      </w:r>
      <w:r>
        <w:rPr>
          <w:rFonts w:ascii="Times New Roman" w:hAnsi="Times New Roman" w:eastAsia="Times New Roman" w:cs="Times New Roman"/>
          <w:spacing w:val="-19"/>
          <w:sz w:val="21"/>
          <w:szCs w:val="21"/>
        </w:rPr>
        <w:t xml:space="preserve"> </w:t>
      </w:r>
      <w:r>
        <w:rPr>
          <w:rFonts w:ascii="宋体" w:hAnsi="宋体" w:eastAsia="宋体" w:cs="宋体"/>
          <w:spacing w:val="5"/>
          <w:sz w:val="21"/>
          <w:szCs w:val="21"/>
        </w:rPr>
        <w:t>发生率略有降低，</w:t>
      </w:r>
      <w:r>
        <w:rPr>
          <w:rFonts w:ascii="宋体" w:hAnsi="宋体" w:eastAsia="宋体" w:cs="宋体"/>
          <w:sz w:val="21"/>
          <w:szCs w:val="21"/>
        </w:rPr>
        <w:t xml:space="preserve"> </w:t>
      </w:r>
      <w:r>
        <w:rPr>
          <w:rFonts w:ascii="宋体" w:hAnsi="宋体" w:eastAsia="宋体" w:cs="宋体"/>
          <w:spacing w:val="5"/>
          <w:sz w:val="21"/>
          <w:szCs w:val="21"/>
        </w:rPr>
        <w:t>但由于患者基数的增加，全球每年新发</w:t>
      </w:r>
      <w:r>
        <w:rPr>
          <w:rFonts w:ascii="宋体" w:hAnsi="宋体" w:eastAsia="宋体" w:cs="宋体"/>
          <w:sz w:val="21"/>
          <w:szCs w:val="21"/>
        </w:rPr>
        <w:t>MDR</w:t>
      </w:r>
      <w:r>
        <w:rPr>
          <w:rFonts w:ascii="宋体" w:hAnsi="宋体" w:eastAsia="宋体" w:cs="宋体"/>
          <w:spacing w:val="5"/>
          <w:sz w:val="21"/>
          <w:szCs w:val="21"/>
        </w:rPr>
        <w:t>/</w:t>
      </w:r>
      <w:r>
        <w:rPr>
          <w:rFonts w:ascii="宋体" w:hAnsi="宋体" w:eastAsia="宋体" w:cs="宋体"/>
          <w:sz w:val="21"/>
          <w:szCs w:val="21"/>
        </w:rPr>
        <w:t>RR</w:t>
      </w:r>
      <w:r>
        <w:rPr>
          <w:rFonts w:ascii="宋体" w:hAnsi="宋体" w:eastAsia="宋体" w:cs="宋体"/>
          <w:spacing w:val="5"/>
          <w:sz w:val="21"/>
          <w:szCs w:val="21"/>
        </w:rPr>
        <w:t>-</w:t>
      </w:r>
      <w:r>
        <w:rPr>
          <w:rFonts w:ascii="宋体" w:hAnsi="宋体" w:eastAsia="宋体" w:cs="宋体"/>
          <w:sz w:val="21"/>
          <w:szCs w:val="21"/>
        </w:rPr>
        <w:t>TB</w:t>
      </w:r>
      <w:r>
        <w:rPr>
          <w:rFonts w:ascii="宋体" w:hAnsi="宋体" w:eastAsia="宋体" w:cs="宋体"/>
          <w:spacing w:val="104"/>
          <w:sz w:val="21"/>
          <w:szCs w:val="21"/>
        </w:rPr>
        <w:t xml:space="preserve"> </w:t>
      </w:r>
      <w:r>
        <w:rPr>
          <w:rFonts w:ascii="宋体" w:hAnsi="宋体" w:eastAsia="宋体" w:cs="宋体"/>
          <w:spacing w:val="5"/>
          <w:sz w:val="21"/>
          <w:szCs w:val="21"/>
        </w:rPr>
        <w:t>病例数仍居高不下。这些患者中至少86%分布</w:t>
      </w:r>
      <w:r>
        <w:rPr>
          <w:rFonts w:ascii="宋体" w:hAnsi="宋体" w:eastAsia="宋体" w:cs="宋体"/>
          <w:sz w:val="21"/>
          <w:szCs w:val="21"/>
        </w:rPr>
        <w:t xml:space="preserve">  </w:t>
      </w:r>
      <w:r>
        <w:rPr>
          <w:rFonts w:ascii="宋体" w:hAnsi="宋体" w:eastAsia="宋体" w:cs="宋体"/>
          <w:spacing w:val="9"/>
          <w:sz w:val="21"/>
          <w:szCs w:val="21"/>
        </w:rPr>
        <w:t>在30个</w:t>
      </w:r>
      <w:r>
        <w:rPr>
          <w:rFonts w:ascii="Times New Roman" w:hAnsi="Times New Roman" w:eastAsia="Times New Roman" w:cs="Times New Roman"/>
          <w:sz w:val="21"/>
          <w:szCs w:val="21"/>
        </w:rPr>
        <w:t>MDR</w:t>
      </w:r>
      <w:r>
        <w:rPr>
          <w:rFonts w:ascii="Times New Roman" w:hAnsi="Times New Roman" w:eastAsia="Times New Roman" w:cs="Times New Roman"/>
          <w:spacing w:val="9"/>
          <w:sz w:val="21"/>
          <w:szCs w:val="21"/>
        </w:rPr>
        <w:t>/</w:t>
      </w:r>
      <w:r>
        <w:rPr>
          <w:rFonts w:ascii="Times New Roman" w:hAnsi="Times New Roman" w:eastAsia="Times New Roman" w:cs="Times New Roman"/>
          <w:sz w:val="21"/>
          <w:szCs w:val="21"/>
        </w:rPr>
        <w:t>RR</w:t>
      </w:r>
      <w:r>
        <w:rPr>
          <w:rFonts w:ascii="Times New Roman" w:hAnsi="Times New Roman" w:eastAsia="Times New Roman" w:cs="Times New Roman"/>
          <w:spacing w:val="9"/>
          <w:sz w:val="21"/>
          <w:szCs w:val="21"/>
        </w:rPr>
        <w:t>-</w:t>
      </w:r>
      <w:r>
        <w:rPr>
          <w:rFonts w:ascii="Times New Roman" w:hAnsi="Times New Roman" w:eastAsia="Times New Roman" w:cs="Times New Roman"/>
          <w:sz w:val="21"/>
          <w:szCs w:val="21"/>
        </w:rPr>
        <w:t>TB</w:t>
      </w:r>
      <w:r>
        <w:rPr>
          <w:rFonts w:ascii="宋体" w:hAnsi="宋体" w:eastAsia="宋体" w:cs="宋体"/>
          <w:spacing w:val="9"/>
          <w:sz w:val="21"/>
          <w:szCs w:val="21"/>
        </w:rPr>
        <w:t>高负担国家，其中8个为非洲国家。</w:t>
      </w:r>
      <w:r>
        <w:rPr>
          <w:rFonts w:ascii="宋体" w:hAnsi="宋体" w:eastAsia="宋体" w:cs="宋体"/>
          <w:spacing w:val="-19"/>
          <w:sz w:val="21"/>
          <w:szCs w:val="21"/>
        </w:rPr>
        <w:t xml:space="preserve"> </w:t>
      </w:r>
      <w:r>
        <w:rPr>
          <w:rFonts w:ascii="Times New Roman" w:hAnsi="Times New Roman" w:eastAsia="Times New Roman" w:cs="Times New Roman"/>
          <w:sz w:val="21"/>
          <w:szCs w:val="21"/>
        </w:rPr>
        <w:t>MDR</w:t>
      </w:r>
      <w:r>
        <w:rPr>
          <w:rFonts w:ascii="Times New Roman" w:hAnsi="Times New Roman" w:eastAsia="Times New Roman" w:cs="Times New Roman"/>
          <w:spacing w:val="9"/>
          <w:sz w:val="21"/>
          <w:szCs w:val="21"/>
        </w:rPr>
        <w:t>/</w:t>
      </w:r>
      <w:r>
        <w:rPr>
          <w:rFonts w:ascii="Times New Roman" w:hAnsi="Times New Roman" w:eastAsia="Times New Roman" w:cs="Times New Roman"/>
          <w:sz w:val="21"/>
          <w:szCs w:val="21"/>
        </w:rPr>
        <w:t>RR</w:t>
      </w:r>
      <w:r>
        <w:rPr>
          <w:rFonts w:ascii="Times New Roman" w:hAnsi="Times New Roman" w:eastAsia="Times New Roman" w:cs="Times New Roman"/>
          <w:spacing w:val="9"/>
          <w:sz w:val="21"/>
          <w:szCs w:val="21"/>
        </w:rPr>
        <w:t>-</w:t>
      </w:r>
      <w:r>
        <w:rPr>
          <w:rFonts w:ascii="Times New Roman" w:hAnsi="Times New Roman" w:eastAsia="Times New Roman" w:cs="Times New Roman"/>
          <w:sz w:val="21"/>
          <w:szCs w:val="21"/>
        </w:rPr>
        <w:t>TB</w:t>
      </w:r>
      <w:r>
        <w:rPr>
          <w:rFonts w:ascii="宋体" w:hAnsi="宋体" w:eastAsia="宋体" w:cs="宋体"/>
          <w:spacing w:val="9"/>
          <w:sz w:val="21"/>
          <w:szCs w:val="21"/>
        </w:rPr>
        <w:t>病例负担最重的3个国家依</w:t>
      </w:r>
      <w:r>
        <w:rPr>
          <w:rFonts w:ascii="宋体" w:hAnsi="宋体" w:eastAsia="宋体" w:cs="宋体"/>
          <w:sz w:val="21"/>
          <w:szCs w:val="21"/>
        </w:rPr>
        <w:t xml:space="preserve">  次为印度(27%)、菲律宾(7.5%)、俄</w:t>
      </w:r>
      <w:r>
        <w:rPr>
          <w:rFonts w:ascii="宋体" w:hAnsi="宋体" w:eastAsia="宋体" w:cs="宋体"/>
          <w:spacing w:val="-1"/>
          <w:sz w:val="21"/>
          <w:szCs w:val="21"/>
        </w:rPr>
        <w:t>罗斯(7.5%)。在全球所有报告的新发结核患者中，</w:t>
      </w:r>
      <w:r>
        <w:rPr>
          <w:rFonts w:ascii="Arial" w:hAnsi="Arial" w:eastAsia="Arial" w:cs="Arial"/>
          <w:spacing w:val="-1"/>
          <w:sz w:val="21"/>
          <w:szCs w:val="21"/>
        </w:rPr>
        <w:t>MDR/RR-TB</w:t>
      </w:r>
      <w:r>
        <w:rPr>
          <w:rFonts w:ascii="Arial" w:hAnsi="Arial" w:eastAsia="Arial" w:cs="Arial"/>
          <w:sz w:val="21"/>
          <w:szCs w:val="21"/>
        </w:rPr>
        <w:t xml:space="preserve">  </w:t>
      </w:r>
      <w:r>
        <w:rPr>
          <w:rFonts w:ascii="宋体" w:hAnsi="宋体" w:eastAsia="宋体" w:cs="宋体"/>
          <w:spacing w:val="6"/>
          <w:sz w:val="21"/>
          <w:szCs w:val="21"/>
        </w:rPr>
        <w:t>平均约占3.3%;在有既往抗结核治疗史的患者中，这一比例可达17%(表20-3)。</w:t>
      </w:r>
      <w:r>
        <w:rPr>
          <w:rFonts w:ascii="宋体" w:hAnsi="宋体" w:eastAsia="宋体" w:cs="宋体"/>
          <w:sz w:val="21"/>
          <w:szCs w:val="21"/>
        </w:rPr>
        <w:t>MDR</w:t>
      </w:r>
      <w:r>
        <w:rPr>
          <w:rFonts w:ascii="宋体" w:hAnsi="宋体" w:eastAsia="宋体" w:cs="宋体"/>
          <w:spacing w:val="6"/>
          <w:sz w:val="21"/>
          <w:szCs w:val="21"/>
        </w:rPr>
        <w:t>/</w:t>
      </w:r>
      <w:r>
        <w:rPr>
          <w:rFonts w:ascii="宋体" w:hAnsi="宋体" w:eastAsia="宋体" w:cs="宋体"/>
          <w:sz w:val="21"/>
          <w:szCs w:val="21"/>
        </w:rPr>
        <w:t>RR</w:t>
      </w:r>
      <w:r>
        <w:rPr>
          <w:rFonts w:ascii="宋体" w:hAnsi="宋体" w:eastAsia="宋体" w:cs="宋体"/>
          <w:spacing w:val="6"/>
          <w:sz w:val="21"/>
          <w:szCs w:val="21"/>
        </w:rPr>
        <w:t>-</w:t>
      </w:r>
      <w:r>
        <w:rPr>
          <w:rFonts w:ascii="宋体" w:hAnsi="宋体" w:eastAsia="宋体" w:cs="宋体"/>
          <w:sz w:val="21"/>
          <w:szCs w:val="21"/>
        </w:rPr>
        <w:t>TB</w:t>
      </w:r>
      <w:r>
        <w:rPr>
          <w:rFonts w:ascii="宋体" w:hAnsi="宋体" w:eastAsia="宋体" w:cs="宋体"/>
          <w:spacing w:val="7"/>
          <w:sz w:val="21"/>
          <w:szCs w:val="21"/>
        </w:rPr>
        <w:t xml:space="preserve">  </w:t>
      </w:r>
      <w:r>
        <w:rPr>
          <w:rFonts w:ascii="宋体" w:hAnsi="宋体" w:eastAsia="宋体" w:cs="宋体"/>
          <w:spacing w:val="6"/>
          <w:sz w:val="21"/>
          <w:szCs w:val="21"/>
        </w:rPr>
        <w:t>疫情</w:t>
      </w:r>
      <w:r>
        <w:rPr>
          <w:rFonts w:ascii="宋体" w:hAnsi="宋体" w:eastAsia="宋体" w:cs="宋体"/>
          <w:sz w:val="21"/>
          <w:szCs w:val="21"/>
        </w:rPr>
        <w:t xml:space="preserve">  </w:t>
      </w:r>
      <w:r>
        <w:rPr>
          <w:rFonts w:ascii="宋体" w:hAnsi="宋体" w:eastAsia="宋体" w:cs="宋体"/>
          <w:spacing w:val="7"/>
          <w:sz w:val="21"/>
          <w:szCs w:val="21"/>
        </w:rPr>
        <w:t>在不同国家和地区差异很大，既往治疗的患者中5</w:t>
      </w:r>
      <w:r>
        <w:rPr>
          <w:rFonts w:ascii="宋体" w:hAnsi="宋体" w:eastAsia="宋体" w:cs="宋体"/>
          <w:spacing w:val="6"/>
          <w:sz w:val="21"/>
          <w:szCs w:val="21"/>
        </w:rPr>
        <w:t>0%以上的</w:t>
      </w:r>
      <w:r>
        <w:rPr>
          <w:rFonts w:ascii="宋体" w:hAnsi="宋体" w:eastAsia="宋体" w:cs="宋体"/>
          <w:sz w:val="21"/>
          <w:szCs w:val="21"/>
        </w:rPr>
        <w:t>MDR</w:t>
      </w:r>
      <w:r>
        <w:rPr>
          <w:rFonts w:ascii="宋体" w:hAnsi="宋体" w:eastAsia="宋体" w:cs="宋体"/>
          <w:spacing w:val="6"/>
          <w:sz w:val="21"/>
          <w:szCs w:val="21"/>
        </w:rPr>
        <w:t>/</w:t>
      </w:r>
      <w:r>
        <w:rPr>
          <w:rFonts w:ascii="宋体" w:hAnsi="宋体" w:eastAsia="宋体" w:cs="宋体"/>
          <w:sz w:val="21"/>
          <w:szCs w:val="21"/>
        </w:rPr>
        <w:t>RR</w:t>
      </w:r>
      <w:r>
        <w:rPr>
          <w:rFonts w:ascii="宋体" w:hAnsi="宋体" w:eastAsia="宋体" w:cs="宋体"/>
          <w:spacing w:val="6"/>
          <w:sz w:val="21"/>
          <w:szCs w:val="21"/>
        </w:rPr>
        <w:t>-</w:t>
      </w:r>
      <w:r>
        <w:rPr>
          <w:rFonts w:ascii="宋体" w:hAnsi="宋体" w:eastAsia="宋体" w:cs="宋体"/>
          <w:sz w:val="21"/>
          <w:szCs w:val="21"/>
        </w:rPr>
        <w:t>TB</w:t>
      </w:r>
      <w:r>
        <w:rPr>
          <w:rFonts w:ascii="宋体" w:hAnsi="宋体" w:eastAsia="宋体" w:cs="宋体"/>
          <w:spacing w:val="6"/>
          <w:sz w:val="21"/>
          <w:szCs w:val="21"/>
        </w:rPr>
        <w:t xml:space="preserve">  分布于东欧和中亚国家；</w:t>
      </w:r>
      <w:r>
        <w:rPr>
          <w:rFonts w:ascii="宋体" w:hAnsi="宋体" w:eastAsia="宋体" w:cs="宋体"/>
          <w:sz w:val="21"/>
          <w:szCs w:val="21"/>
        </w:rPr>
        <w:t xml:space="preserve"> </w:t>
      </w:r>
      <w:r>
        <w:rPr>
          <w:rFonts w:ascii="宋体" w:hAnsi="宋体" w:eastAsia="宋体" w:cs="宋体"/>
          <w:spacing w:val="-5"/>
          <w:sz w:val="21"/>
          <w:szCs w:val="21"/>
        </w:rPr>
        <w:t>在新发患者中，</w:t>
      </w:r>
      <w:r>
        <w:rPr>
          <w:rFonts w:ascii="Times New Roman" w:hAnsi="Times New Roman" w:eastAsia="Times New Roman" w:cs="Times New Roman"/>
          <w:spacing w:val="-5"/>
          <w:sz w:val="21"/>
          <w:szCs w:val="21"/>
        </w:rPr>
        <w:t>MDR/RR-TB</w:t>
      </w:r>
      <w:r>
        <w:rPr>
          <w:rFonts w:ascii="宋体" w:hAnsi="宋体" w:eastAsia="宋体" w:cs="宋体"/>
          <w:spacing w:val="-5"/>
          <w:sz w:val="21"/>
          <w:szCs w:val="21"/>
        </w:rPr>
        <w:t>比例在白俄罗斯、俄罗斯、哈萨克斯坦、乌克兰和摩尔多瓦等地区最高。</w:t>
      </w:r>
      <w:r>
        <w:rPr>
          <w:rFonts w:ascii="宋体" w:hAnsi="宋体" w:eastAsia="宋体" w:cs="宋体"/>
          <w:spacing w:val="8"/>
          <w:sz w:val="21"/>
          <w:szCs w:val="21"/>
        </w:rPr>
        <w:t xml:space="preserve"> </w:t>
      </w:r>
      <w:r>
        <w:rPr>
          <w:rFonts w:ascii="宋体" w:hAnsi="宋体" w:eastAsia="宋体" w:cs="宋体"/>
          <w:spacing w:val="7"/>
          <w:sz w:val="21"/>
          <w:szCs w:val="21"/>
        </w:rPr>
        <w:t>此外，耐药结核病中最为严重的</w:t>
      </w:r>
      <w:r>
        <w:rPr>
          <w:rFonts w:ascii="宋体" w:hAnsi="宋体" w:eastAsia="宋体" w:cs="宋体"/>
          <w:sz w:val="21"/>
          <w:szCs w:val="21"/>
        </w:rPr>
        <w:t>XDR</w:t>
      </w:r>
      <w:r>
        <w:rPr>
          <w:rFonts w:ascii="宋体" w:hAnsi="宋体" w:eastAsia="宋体" w:cs="宋体"/>
          <w:spacing w:val="7"/>
          <w:sz w:val="21"/>
          <w:szCs w:val="21"/>
        </w:rPr>
        <w:t>-</w:t>
      </w:r>
      <w:r>
        <w:rPr>
          <w:rFonts w:ascii="宋体" w:hAnsi="宋体" w:eastAsia="宋体" w:cs="宋体"/>
          <w:sz w:val="21"/>
          <w:szCs w:val="21"/>
        </w:rPr>
        <w:t>TB</w:t>
      </w:r>
      <w:r>
        <w:rPr>
          <w:rFonts w:ascii="宋体" w:hAnsi="宋体" w:eastAsia="宋体" w:cs="宋体"/>
          <w:spacing w:val="3"/>
          <w:sz w:val="21"/>
          <w:szCs w:val="21"/>
        </w:rPr>
        <w:t xml:space="preserve">  </w:t>
      </w:r>
      <w:r>
        <w:rPr>
          <w:rFonts w:ascii="宋体" w:hAnsi="宋体" w:eastAsia="宋体" w:cs="宋体"/>
          <w:spacing w:val="7"/>
          <w:sz w:val="21"/>
          <w:szCs w:val="21"/>
        </w:rPr>
        <w:t>病例报告也在日趋增多。2018年，全</w:t>
      </w:r>
      <w:r>
        <w:rPr>
          <w:rFonts w:ascii="宋体" w:hAnsi="宋体" w:eastAsia="宋体" w:cs="宋体"/>
          <w:spacing w:val="6"/>
          <w:sz w:val="21"/>
          <w:szCs w:val="21"/>
        </w:rPr>
        <w:t>球共报告1.3万例</w:t>
      </w:r>
      <w:r>
        <w:rPr>
          <w:rFonts w:ascii="宋体" w:hAnsi="宋体" w:eastAsia="宋体" w:cs="宋体"/>
          <w:sz w:val="21"/>
          <w:szCs w:val="21"/>
        </w:rPr>
        <w:t xml:space="preserve">  </w:t>
      </w:r>
      <w:r>
        <w:rPr>
          <w:rFonts w:ascii="Times New Roman" w:hAnsi="Times New Roman" w:eastAsia="Times New Roman" w:cs="Times New Roman"/>
          <w:sz w:val="21"/>
          <w:szCs w:val="21"/>
        </w:rPr>
        <w:t>XDR</w:t>
      </w:r>
      <w:r>
        <w:rPr>
          <w:rFonts w:ascii="Times New Roman" w:hAnsi="Times New Roman" w:eastAsia="Times New Roman" w:cs="Times New Roman"/>
          <w:spacing w:val="4"/>
          <w:sz w:val="21"/>
          <w:szCs w:val="21"/>
        </w:rPr>
        <w:t>-</w:t>
      </w:r>
      <w:r>
        <w:rPr>
          <w:rFonts w:ascii="Times New Roman" w:hAnsi="Times New Roman" w:eastAsia="Times New Roman" w:cs="Times New Roman"/>
          <w:sz w:val="21"/>
          <w:szCs w:val="21"/>
        </w:rPr>
        <w:t>TB</w:t>
      </w:r>
      <w:r>
        <w:rPr>
          <w:rFonts w:ascii="宋体" w:hAnsi="宋体" w:eastAsia="宋体" w:cs="宋体"/>
          <w:spacing w:val="4"/>
          <w:sz w:val="21"/>
          <w:szCs w:val="21"/>
        </w:rPr>
        <w:t>病例，分布在131个国家和地区，其中88%的病例来自欧洲和东南亚地区。</w:t>
      </w:r>
      <w:r>
        <w:rPr>
          <w:rFonts w:ascii="宋体" w:hAnsi="宋体" w:eastAsia="宋体" w:cs="宋体"/>
          <w:spacing w:val="3"/>
          <w:sz w:val="21"/>
          <w:szCs w:val="21"/>
        </w:rPr>
        <w:t>在</w:t>
      </w:r>
      <w:r>
        <w:rPr>
          <w:rFonts w:ascii="Times New Roman" w:hAnsi="Times New Roman" w:eastAsia="Times New Roman" w:cs="Times New Roman"/>
          <w:sz w:val="21"/>
          <w:szCs w:val="21"/>
        </w:rPr>
        <w:t>MDR</w:t>
      </w:r>
      <w:r>
        <w:rPr>
          <w:rFonts w:ascii="Times New Roman" w:hAnsi="Times New Roman" w:eastAsia="Times New Roman" w:cs="Times New Roman"/>
          <w:spacing w:val="3"/>
          <w:sz w:val="21"/>
          <w:szCs w:val="21"/>
        </w:rPr>
        <w:t>/</w:t>
      </w:r>
      <w:r>
        <w:rPr>
          <w:rFonts w:ascii="Times New Roman" w:hAnsi="Times New Roman" w:eastAsia="Times New Roman" w:cs="Times New Roman"/>
          <w:sz w:val="21"/>
          <w:szCs w:val="21"/>
        </w:rPr>
        <w:t>RR</w:t>
      </w:r>
      <w:r>
        <w:rPr>
          <w:rFonts w:ascii="Times New Roman" w:hAnsi="Times New Roman" w:eastAsia="Times New Roman" w:cs="Times New Roman"/>
          <w:spacing w:val="3"/>
          <w:sz w:val="21"/>
          <w:szCs w:val="21"/>
        </w:rPr>
        <w:t>-</w:t>
      </w:r>
      <w:r>
        <w:rPr>
          <w:rFonts w:ascii="Times New Roman" w:hAnsi="Times New Roman" w:eastAsia="Times New Roman" w:cs="Times New Roman"/>
          <w:sz w:val="21"/>
          <w:szCs w:val="21"/>
        </w:rPr>
        <w:t xml:space="preserve">TB   </w:t>
      </w:r>
      <w:r>
        <w:rPr>
          <w:rFonts w:ascii="宋体" w:hAnsi="宋体" w:eastAsia="宋体" w:cs="宋体"/>
          <w:spacing w:val="6"/>
          <w:sz w:val="21"/>
          <w:szCs w:val="21"/>
        </w:rPr>
        <w:t>病例中，出现</w:t>
      </w:r>
      <w:r>
        <w:rPr>
          <w:rFonts w:ascii="Times New Roman" w:hAnsi="Times New Roman" w:eastAsia="Times New Roman" w:cs="Times New Roman"/>
          <w:sz w:val="21"/>
          <w:szCs w:val="21"/>
        </w:rPr>
        <w:t>XDR</w:t>
      </w:r>
      <w:r>
        <w:rPr>
          <w:rFonts w:ascii="Times New Roman" w:hAnsi="Times New Roman" w:eastAsia="Times New Roman" w:cs="Times New Roman"/>
          <w:spacing w:val="6"/>
          <w:sz w:val="21"/>
          <w:szCs w:val="21"/>
        </w:rPr>
        <w:t>-</w:t>
      </w:r>
      <w:r>
        <w:rPr>
          <w:rFonts w:ascii="Times New Roman" w:hAnsi="Times New Roman" w:eastAsia="Times New Roman" w:cs="Times New Roman"/>
          <w:sz w:val="21"/>
          <w:szCs w:val="21"/>
        </w:rPr>
        <w:t>TB</w:t>
      </w:r>
      <w:r>
        <w:rPr>
          <w:rFonts w:ascii="宋体" w:hAnsi="宋体" w:eastAsia="宋体" w:cs="宋体"/>
          <w:spacing w:val="6"/>
          <w:sz w:val="21"/>
          <w:szCs w:val="21"/>
        </w:rPr>
        <w:t>的比例高达6.2%,而这部分病例的治疗成功率仅为39%。</w:t>
      </w:r>
    </w:p>
    <w:p w14:paraId="6C4441B4">
      <w:pPr>
        <w:pStyle w:val="2"/>
        <w:spacing w:before="123" w:line="221" w:lineRule="auto"/>
        <w:ind w:left="1099"/>
        <w:rPr>
          <w:sz w:val="21"/>
          <w:szCs w:val="21"/>
        </w:rPr>
      </w:pPr>
      <w:r>
        <w:rPr>
          <w:spacing w:val="17"/>
          <w:sz w:val="21"/>
          <w:szCs w:val="21"/>
        </w:rPr>
        <w:t>(二)我国结核病的流行概况</w:t>
      </w:r>
    </w:p>
    <w:p w14:paraId="7AF5EDFD">
      <w:pPr>
        <w:spacing w:before="109" w:line="316" w:lineRule="auto"/>
        <w:ind w:left="669" w:right="75" w:firstLine="429"/>
        <w:jc w:val="both"/>
        <w:rPr>
          <w:rFonts w:ascii="宋体" w:hAnsi="宋体" w:eastAsia="宋体" w:cs="宋体"/>
          <w:sz w:val="21"/>
          <w:szCs w:val="21"/>
        </w:rPr>
      </w:pPr>
      <w:r>
        <w:rPr>
          <w:rFonts w:ascii="宋体" w:hAnsi="宋体" w:eastAsia="宋体" w:cs="宋体"/>
          <w:spacing w:val="9"/>
          <w:sz w:val="21"/>
          <w:szCs w:val="21"/>
        </w:rPr>
        <w:t>我国结核潜伏感染人数庞大，据模型推断全国5岁及以上人群结核潜伏感染率为18.1%(9</w:t>
      </w:r>
      <w:r>
        <w:rPr>
          <w:rFonts w:ascii="宋体" w:hAnsi="宋体" w:eastAsia="宋体" w:cs="宋体"/>
          <w:spacing w:val="8"/>
          <w:sz w:val="21"/>
          <w:szCs w:val="21"/>
        </w:rPr>
        <w:t>5%</w:t>
      </w:r>
      <w:r>
        <w:rPr>
          <w:rFonts w:ascii="宋体" w:hAnsi="宋体" w:eastAsia="宋体" w:cs="宋体"/>
          <w:sz w:val="21"/>
          <w:szCs w:val="21"/>
        </w:rPr>
        <w:t xml:space="preserve"> CI</w:t>
      </w:r>
      <w:r>
        <w:rPr>
          <w:rFonts w:ascii="宋体" w:hAnsi="宋体" w:eastAsia="宋体" w:cs="宋体"/>
          <w:spacing w:val="4"/>
          <w:sz w:val="21"/>
          <w:szCs w:val="21"/>
        </w:rPr>
        <w:t>:13.7%～22.4%),估算我国感染人数为2.3亿左右。中国是世界上仅次于印度和印度尼西亚的结</w:t>
      </w:r>
      <w:r>
        <w:rPr>
          <w:rFonts w:ascii="宋体" w:hAnsi="宋体" w:eastAsia="宋体" w:cs="宋体"/>
          <w:spacing w:val="5"/>
          <w:sz w:val="21"/>
          <w:szCs w:val="21"/>
        </w:rPr>
        <w:t xml:space="preserve"> </w:t>
      </w:r>
      <w:r>
        <w:rPr>
          <w:rFonts w:ascii="宋体" w:hAnsi="宋体" w:eastAsia="宋体" w:cs="宋体"/>
          <w:spacing w:val="4"/>
          <w:sz w:val="21"/>
          <w:szCs w:val="21"/>
        </w:rPr>
        <w:t>核病高负担国家。据</w:t>
      </w:r>
      <w:r>
        <w:rPr>
          <w:rFonts w:ascii="Times New Roman" w:hAnsi="Times New Roman" w:eastAsia="Times New Roman" w:cs="Times New Roman"/>
          <w:sz w:val="21"/>
          <w:szCs w:val="21"/>
        </w:rPr>
        <w:t>WHO</w:t>
      </w:r>
      <w:r>
        <w:rPr>
          <w:rFonts w:ascii="Times New Roman" w:hAnsi="Times New Roman" w:eastAsia="Times New Roman" w:cs="Times New Roman"/>
          <w:spacing w:val="-11"/>
          <w:sz w:val="21"/>
          <w:szCs w:val="21"/>
        </w:rPr>
        <w:t xml:space="preserve"> </w:t>
      </w:r>
      <w:r>
        <w:rPr>
          <w:rFonts w:ascii="宋体" w:hAnsi="宋体" w:eastAsia="宋体" w:cs="宋体"/>
          <w:spacing w:val="4"/>
          <w:sz w:val="21"/>
          <w:szCs w:val="21"/>
        </w:rPr>
        <w:t>统计，2023年我国新发结核病患者75万例，估计发病率为</w:t>
      </w:r>
      <w:r>
        <w:rPr>
          <w:rFonts w:ascii="宋体" w:hAnsi="宋体" w:eastAsia="宋体" w:cs="宋体"/>
          <w:spacing w:val="3"/>
          <w:sz w:val="21"/>
          <w:szCs w:val="21"/>
        </w:rPr>
        <w:t>52/10万；因</w:t>
      </w:r>
      <w:r>
        <w:rPr>
          <w:rFonts w:ascii="宋体" w:hAnsi="宋体" w:eastAsia="宋体" w:cs="宋体"/>
          <w:sz w:val="21"/>
          <w:szCs w:val="21"/>
        </w:rPr>
        <w:t xml:space="preserve"> </w:t>
      </w:r>
      <w:r>
        <w:rPr>
          <w:rFonts w:ascii="宋体" w:hAnsi="宋体" w:eastAsia="宋体" w:cs="宋体"/>
          <w:spacing w:val="2"/>
          <w:sz w:val="21"/>
          <w:szCs w:val="21"/>
        </w:rPr>
        <w:t>结核病死亡人数</w:t>
      </w:r>
      <w:r>
        <w:rPr>
          <w:rFonts w:ascii="Times New Roman" w:hAnsi="Times New Roman" w:eastAsia="Times New Roman" w:cs="Times New Roman"/>
          <w:spacing w:val="2"/>
          <w:sz w:val="21"/>
          <w:szCs w:val="21"/>
        </w:rPr>
        <w:t>(</w:t>
      </w:r>
      <w:r>
        <w:rPr>
          <w:rFonts w:ascii="Times New Roman" w:hAnsi="Times New Roman" w:eastAsia="Times New Roman" w:cs="Times New Roman"/>
          <w:sz w:val="21"/>
          <w:szCs w:val="21"/>
        </w:rPr>
        <w:t>HIV</w:t>
      </w:r>
      <w:r>
        <w:rPr>
          <w:rFonts w:ascii="Times New Roman" w:hAnsi="Times New Roman" w:eastAsia="Times New Roman" w:cs="Times New Roman"/>
          <w:spacing w:val="48"/>
          <w:w w:val="101"/>
          <w:sz w:val="21"/>
          <w:szCs w:val="21"/>
        </w:rPr>
        <w:t xml:space="preserve"> </w:t>
      </w:r>
      <w:r>
        <w:rPr>
          <w:rFonts w:ascii="宋体" w:hAnsi="宋体" w:eastAsia="宋体" w:cs="宋体"/>
          <w:spacing w:val="2"/>
          <w:sz w:val="21"/>
          <w:szCs w:val="21"/>
        </w:rPr>
        <w:t>阳性者除外)约为2.8万，死亡率</w:t>
      </w:r>
      <w:r>
        <w:rPr>
          <w:rFonts w:ascii="Times New Roman" w:hAnsi="Times New Roman" w:eastAsia="Times New Roman" w:cs="Times New Roman"/>
          <w:spacing w:val="2"/>
          <w:sz w:val="21"/>
          <w:szCs w:val="21"/>
        </w:rPr>
        <w:t>(</w:t>
      </w:r>
      <w:r>
        <w:rPr>
          <w:rFonts w:ascii="Times New Roman" w:hAnsi="Times New Roman" w:eastAsia="Times New Roman" w:cs="Times New Roman"/>
          <w:sz w:val="21"/>
          <w:szCs w:val="21"/>
        </w:rPr>
        <w:t>HIV</w:t>
      </w:r>
      <w:r>
        <w:rPr>
          <w:rFonts w:ascii="Times New Roman" w:hAnsi="Times New Roman" w:eastAsia="Times New Roman" w:cs="Times New Roman"/>
          <w:spacing w:val="33"/>
          <w:sz w:val="21"/>
          <w:szCs w:val="21"/>
        </w:rPr>
        <w:t xml:space="preserve"> </w:t>
      </w:r>
      <w:r>
        <w:rPr>
          <w:rFonts w:ascii="宋体" w:hAnsi="宋体" w:eastAsia="宋体" w:cs="宋体"/>
          <w:spacing w:val="2"/>
          <w:sz w:val="21"/>
          <w:szCs w:val="21"/>
        </w:rPr>
        <w:t>阳性者除外)为2.0/10万，结核病死亡</w:t>
      </w:r>
      <w:r>
        <w:rPr>
          <w:rFonts w:ascii="宋体" w:hAnsi="宋体" w:eastAsia="宋体" w:cs="宋体"/>
          <w:sz w:val="21"/>
          <w:szCs w:val="21"/>
        </w:rPr>
        <w:t xml:space="preserve"> </w:t>
      </w:r>
      <w:r>
        <w:rPr>
          <w:rFonts w:ascii="宋体" w:hAnsi="宋体" w:eastAsia="宋体" w:cs="宋体"/>
          <w:spacing w:val="-2"/>
          <w:sz w:val="21"/>
          <w:szCs w:val="21"/>
        </w:rPr>
        <w:t>位居传染病死亡第二位。</w:t>
      </w:r>
    </w:p>
    <w:p w14:paraId="189207CD">
      <w:pPr>
        <w:spacing w:before="24" w:line="335" w:lineRule="auto"/>
        <w:ind w:left="669" w:right="70" w:firstLine="429"/>
        <w:jc w:val="both"/>
        <w:rPr>
          <w:rFonts w:ascii="宋体" w:hAnsi="宋体" w:eastAsia="宋体" w:cs="宋体"/>
          <w:sz w:val="21"/>
          <w:szCs w:val="21"/>
        </w:rPr>
      </w:pPr>
      <w:r>
        <w:rPr>
          <w:rFonts w:ascii="宋体" w:hAnsi="宋体" w:eastAsia="宋体" w:cs="宋体"/>
          <w:spacing w:val="5"/>
          <w:sz w:val="21"/>
          <w:szCs w:val="21"/>
        </w:rPr>
        <w:t>新中国成立初期，我国大城市的结核病患病率约为350</w:t>
      </w:r>
      <w:r>
        <w:rPr>
          <w:rFonts w:ascii="宋体" w:hAnsi="宋体" w:eastAsia="宋体" w:cs="宋体"/>
          <w:spacing w:val="4"/>
          <w:sz w:val="21"/>
          <w:szCs w:val="21"/>
        </w:rPr>
        <w:t>0/10万，农村约为1500/10万，结核病</w:t>
      </w:r>
      <w:r>
        <w:rPr>
          <w:rFonts w:ascii="宋体" w:hAnsi="宋体" w:eastAsia="宋体" w:cs="宋体"/>
          <w:sz w:val="21"/>
          <w:szCs w:val="21"/>
        </w:rPr>
        <w:t xml:space="preserve"> </w:t>
      </w:r>
      <w:r>
        <w:rPr>
          <w:rFonts w:ascii="宋体" w:hAnsi="宋体" w:eastAsia="宋体" w:cs="宋体"/>
          <w:spacing w:val="-7"/>
          <w:sz w:val="21"/>
          <w:szCs w:val="21"/>
        </w:rPr>
        <w:t>死亡率高达200/10万，为居民主要死因之一。“十痨九死”,结核病因其高病死率而令人们谈“痨”色</w:t>
      </w:r>
      <w:r>
        <w:rPr>
          <w:rFonts w:ascii="宋体" w:hAnsi="宋体" w:eastAsia="宋体" w:cs="宋体"/>
          <w:sz w:val="21"/>
          <w:szCs w:val="21"/>
        </w:rPr>
        <w:t xml:space="preserve"> </w:t>
      </w:r>
      <w:r>
        <w:rPr>
          <w:rFonts w:ascii="宋体" w:hAnsi="宋体" w:eastAsia="宋体" w:cs="宋体"/>
          <w:spacing w:val="5"/>
          <w:sz w:val="21"/>
          <w:szCs w:val="21"/>
        </w:rPr>
        <w:t>变。20世纪50—60年代，随着人们生活和</w:t>
      </w:r>
      <w:r>
        <w:rPr>
          <w:rFonts w:ascii="宋体" w:hAnsi="宋体" w:eastAsia="宋体" w:cs="宋体"/>
          <w:spacing w:val="4"/>
          <w:sz w:val="21"/>
          <w:szCs w:val="21"/>
        </w:rPr>
        <w:t>健康水平的提高，通过卡介苗免疫接种和有效的抗结核</w:t>
      </w:r>
    </w:p>
    <w:p w14:paraId="40B89E3D">
      <w:pPr>
        <w:spacing w:line="335" w:lineRule="auto"/>
        <w:rPr>
          <w:rFonts w:ascii="宋体" w:hAnsi="宋体" w:eastAsia="宋体" w:cs="宋体"/>
          <w:sz w:val="21"/>
          <w:szCs w:val="21"/>
        </w:rPr>
        <w:sectPr>
          <w:footerReference r:id="rId337" w:type="default"/>
          <w:pgSz w:w="11900" w:h="16820"/>
          <w:pgMar w:top="400" w:right="1364" w:bottom="896" w:left="750" w:header="0" w:footer="707" w:gutter="0"/>
          <w:cols w:space="720" w:num="1"/>
        </w:sectPr>
      </w:pPr>
    </w:p>
    <w:p w14:paraId="33499A4B">
      <w:pPr>
        <w:rPr>
          <w:rFonts w:ascii="Arial"/>
          <w:sz w:val="21"/>
        </w:rPr>
      </w:pPr>
    </w:p>
    <w:p w14:paraId="07917A61">
      <w:pPr>
        <w:pStyle w:val="2"/>
        <w:spacing w:before="62" w:line="222" w:lineRule="auto"/>
        <w:ind w:left="7562"/>
        <w:rPr>
          <w:sz w:val="19"/>
          <w:szCs w:val="19"/>
        </w:rPr>
      </w:pPr>
      <w:bookmarkStart w:id="519" w:name="bookmark583"/>
      <w:bookmarkEnd w:id="519"/>
      <w:r>
        <w:rPr>
          <w:b/>
          <w:bCs/>
          <w:spacing w:val="4"/>
          <w:sz w:val="19"/>
          <w:szCs w:val="19"/>
        </w:rPr>
        <w:t>第二十章结核病</w:t>
      </w:r>
    </w:p>
    <w:p w14:paraId="026A033A">
      <w:pPr>
        <w:spacing w:before="50"/>
      </w:pPr>
    </w:p>
    <w:p w14:paraId="4F5EA39C">
      <w:pPr>
        <w:spacing w:before="49"/>
      </w:pPr>
    </w:p>
    <w:p w14:paraId="606C29E0">
      <w:pPr>
        <w:sectPr>
          <w:footerReference r:id="rId338" w:type="default"/>
          <w:pgSz w:w="11900" w:h="16820"/>
          <w:pgMar w:top="400" w:right="908" w:bottom="752" w:left="1480" w:header="0" w:footer="581" w:gutter="0"/>
          <w:cols w:equalWidth="0" w:num="1">
            <w:col w:w="9512"/>
          </w:cols>
        </w:sectPr>
      </w:pPr>
    </w:p>
    <w:p w14:paraId="43C7D36C">
      <w:pPr>
        <w:spacing w:before="44" w:line="221" w:lineRule="auto"/>
        <w:ind w:left="359"/>
        <w:rPr>
          <w:rFonts w:ascii="宋体" w:hAnsi="宋体" w:eastAsia="宋体" w:cs="宋体"/>
          <w:sz w:val="21"/>
          <w:szCs w:val="21"/>
        </w:rPr>
      </w:pPr>
      <w:r>
        <w:rPr>
          <w:rFonts w:ascii="宋体" w:hAnsi="宋体" w:eastAsia="宋体" w:cs="宋体"/>
          <w:spacing w:val="3"/>
          <w:sz w:val="21"/>
          <w:szCs w:val="21"/>
        </w:rPr>
        <w:t>表20-32</w:t>
      </w:r>
    </w:p>
    <w:p w14:paraId="77979782">
      <w:pPr>
        <w:spacing w:line="14" w:lineRule="auto"/>
        <w:rPr>
          <w:rFonts w:ascii="Arial"/>
          <w:sz w:val="2"/>
        </w:rPr>
      </w:pPr>
      <w:r>
        <w:rPr>
          <w:rFonts w:ascii="Arial" w:hAnsi="Arial" w:eastAsia="Arial" w:cs="Arial"/>
          <w:sz w:val="2"/>
          <w:szCs w:val="2"/>
        </w:rPr>
        <w:br w:type="column"/>
      </w:r>
    </w:p>
    <w:p w14:paraId="4F85D4B4">
      <w:pPr>
        <w:spacing w:before="42" w:line="219" w:lineRule="auto"/>
        <w:rPr>
          <w:rFonts w:ascii="宋体" w:hAnsi="宋体" w:eastAsia="宋体" w:cs="宋体"/>
          <w:sz w:val="21"/>
          <w:szCs w:val="21"/>
        </w:rPr>
      </w:pPr>
      <w:r>
        <w:rPr>
          <w:rFonts w:ascii="宋体" w:hAnsi="宋体" w:eastAsia="宋体" w:cs="宋体"/>
          <w:spacing w:val="-1"/>
          <w:sz w:val="21"/>
          <w:szCs w:val="21"/>
        </w:rPr>
        <w:t>022年30个MDR/RR-TB</w:t>
      </w:r>
    </w:p>
    <w:p w14:paraId="76B23C07">
      <w:pPr>
        <w:spacing w:line="14" w:lineRule="auto"/>
        <w:rPr>
          <w:rFonts w:ascii="Arial"/>
          <w:sz w:val="2"/>
        </w:rPr>
      </w:pPr>
      <w:r>
        <w:rPr>
          <w:rFonts w:ascii="Arial" w:hAnsi="Arial" w:eastAsia="Arial" w:cs="Arial"/>
          <w:sz w:val="2"/>
          <w:szCs w:val="2"/>
        </w:rPr>
        <w:br w:type="column"/>
      </w:r>
    </w:p>
    <w:p w14:paraId="4CF900F7">
      <w:pPr>
        <w:spacing w:before="40" w:line="218" w:lineRule="auto"/>
        <w:rPr>
          <w:rFonts w:ascii="宋体" w:hAnsi="宋体" w:eastAsia="宋体" w:cs="宋体"/>
          <w:sz w:val="21"/>
          <w:szCs w:val="21"/>
        </w:rPr>
      </w:pPr>
      <w:r>
        <w:rPr>
          <w:rFonts w:ascii="宋体" w:hAnsi="宋体" w:eastAsia="宋体" w:cs="宋体"/>
          <w:spacing w:val="-13"/>
          <w:sz w:val="21"/>
          <w:szCs w:val="21"/>
        </w:rPr>
        <w:t>高负担国家和全球估计的MD</w:t>
      </w:r>
    </w:p>
    <w:p w14:paraId="39B77853">
      <w:pPr>
        <w:spacing w:line="14" w:lineRule="auto"/>
        <w:rPr>
          <w:rFonts w:ascii="Arial"/>
          <w:sz w:val="2"/>
        </w:rPr>
      </w:pPr>
      <w:r>
        <w:rPr>
          <w:rFonts w:ascii="Arial" w:hAnsi="Arial" w:eastAsia="Arial" w:cs="Arial"/>
          <w:sz w:val="2"/>
          <w:szCs w:val="2"/>
        </w:rPr>
        <w:br w:type="column"/>
      </w:r>
    </w:p>
    <w:p w14:paraId="1B06FC14">
      <w:pPr>
        <w:spacing w:before="42" w:line="219" w:lineRule="auto"/>
        <w:rPr>
          <w:rFonts w:ascii="宋体" w:hAnsi="宋体" w:eastAsia="宋体" w:cs="宋体"/>
          <w:sz w:val="21"/>
          <w:szCs w:val="21"/>
        </w:rPr>
      </w:pPr>
      <w:r>
        <w:rPr>
          <w:rFonts w:ascii="宋体" w:hAnsi="宋体" w:eastAsia="宋体" w:cs="宋体"/>
          <w:spacing w:val="-1"/>
          <w:sz w:val="21"/>
          <w:szCs w:val="21"/>
        </w:rPr>
        <w:t>R/RR-TB负担</w:t>
      </w:r>
    </w:p>
    <w:p w14:paraId="2B2F8F95">
      <w:pPr>
        <w:spacing w:line="219" w:lineRule="auto"/>
        <w:rPr>
          <w:rFonts w:ascii="宋体" w:hAnsi="宋体" w:eastAsia="宋体" w:cs="宋体"/>
          <w:sz w:val="21"/>
          <w:szCs w:val="21"/>
        </w:rPr>
        <w:sectPr>
          <w:type w:val="continuous"/>
          <w:pgSz w:w="11900" w:h="16820"/>
          <w:pgMar w:top="400" w:right="908" w:bottom="752" w:left="1480" w:header="0" w:footer="581" w:gutter="0"/>
          <w:cols w:equalWidth="0" w:num="4">
            <w:col w:w="2141" w:space="100"/>
            <w:col w:w="1970" w:space="100"/>
            <w:col w:w="2771" w:space="100"/>
            <w:col w:w="2332"/>
          </w:cols>
        </w:sectPr>
      </w:pPr>
    </w:p>
    <w:p w14:paraId="234782DC">
      <w:pPr>
        <w:spacing w:line="31" w:lineRule="auto"/>
        <w:rPr>
          <w:rFonts w:ascii="Arial"/>
          <w:sz w:val="2"/>
        </w:rPr>
      </w:pPr>
    </w:p>
    <w:tbl>
      <w:tblPr>
        <w:tblStyle w:val="5"/>
        <w:tblW w:w="8850"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0" w:type="dxa"/>
          <w:left w:w="0" w:type="dxa"/>
          <w:bottom w:w="0" w:type="dxa"/>
          <w:right w:w="0" w:type="dxa"/>
        </w:tblCellMar>
      </w:tblPr>
      <w:tblGrid>
        <w:gridCol w:w="2080"/>
        <w:gridCol w:w="2210"/>
        <w:gridCol w:w="2380"/>
        <w:gridCol w:w="2180"/>
      </w:tblGrid>
      <w:tr w14:paraId="15B25D66">
        <w:trPr>
          <w:trHeight w:val="654" w:hRule="atLeast"/>
        </w:trPr>
        <w:tc>
          <w:tcPr>
            <w:tcW w:w="2080" w:type="dxa"/>
            <w:tcBorders>
              <w:top w:val="single" w:color="000000" w:sz="4" w:space="0"/>
              <w:bottom w:val="single" w:color="000000" w:sz="4" w:space="0"/>
            </w:tcBorders>
            <w:shd w:val="clear" w:color="auto" w:fill="C6D9E0"/>
            <w:vAlign w:val="top"/>
          </w:tcPr>
          <w:p w14:paraId="725E8A96">
            <w:pPr>
              <w:pStyle w:val="6"/>
              <w:spacing w:before="224" w:line="220" w:lineRule="auto"/>
              <w:ind w:left="359"/>
              <w:rPr>
                <w:sz w:val="21"/>
                <w:szCs w:val="21"/>
              </w:rPr>
            </w:pPr>
            <w:r>
              <w:rPr>
                <w:spacing w:val="2"/>
                <w:sz w:val="21"/>
                <w:szCs w:val="21"/>
              </w:rPr>
              <w:t>国家/全球</w:t>
            </w:r>
          </w:p>
        </w:tc>
        <w:tc>
          <w:tcPr>
            <w:tcW w:w="2210" w:type="dxa"/>
            <w:tcBorders>
              <w:top w:val="single" w:color="000000" w:sz="4" w:space="0"/>
              <w:bottom w:val="single" w:color="000000" w:sz="4" w:space="0"/>
            </w:tcBorders>
            <w:shd w:val="clear" w:color="auto" w:fill="C4CAC6"/>
            <w:vAlign w:val="top"/>
          </w:tcPr>
          <w:p w14:paraId="45FEF178">
            <w:pPr>
              <w:pStyle w:val="6"/>
              <w:spacing w:before="94" w:line="241" w:lineRule="auto"/>
              <w:ind w:left="499" w:right="474" w:hanging="120"/>
              <w:rPr>
                <w:sz w:val="21"/>
                <w:szCs w:val="21"/>
              </w:rPr>
            </w:pPr>
            <w:r>
              <w:rPr>
                <w:spacing w:val="-2"/>
                <w:sz w:val="21"/>
                <w:szCs w:val="21"/>
              </w:rPr>
              <w:t>新患者中的MDR</w:t>
            </w:r>
            <w:r>
              <w:rPr>
                <w:spacing w:val="5"/>
                <w:sz w:val="21"/>
                <w:szCs w:val="21"/>
              </w:rPr>
              <w:t xml:space="preserve"> </w:t>
            </w:r>
            <w:r>
              <w:rPr>
                <w:spacing w:val="-1"/>
                <w:sz w:val="21"/>
                <w:szCs w:val="21"/>
              </w:rPr>
              <w:t>RR-TB比例/%</w:t>
            </w:r>
          </w:p>
        </w:tc>
        <w:tc>
          <w:tcPr>
            <w:tcW w:w="2380" w:type="dxa"/>
            <w:tcBorders>
              <w:top w:val="single" w:color="000000" w:sz="4" w:space="0"/>
              <w:bottom w:val="single" w:color="000000" w:sz="4" w:space="0"/>
            </w:tcBorders>
            <w:shd w:val="clear" w:color="auto" w:fill="C3C6BE"/>
            <w:vAlign w:val="top"/>
          </w:tcPr>
          <w:p w14:paraId="5BB2A915">
            <w:pPr>
              <w:pStyle w:val="6"/>
              <w:spacing w:before="72" w:line="242" w:lineRule="auto"/>
              <w:ind w:left="229" w:right="205"/>
              <w:rPr>
                <w:sz w:val="21"/>
                <w:szCs w:val="21"/>
              </w:rPr>
            </w:pPr>
            <w:r>
              <w:rPr>
                <w:spacing w:val="-16"/>
                <w:sz w:val="21"/>
                <w:szCs w:val="21"/>
              </w:rPr>
              <w:t>有既往治疗史患者中的</w:t>
            </w:r>
            <w:r>
              <w:rPr>
                <w:spacing w:val="3"/>
                <w:sz w:val="21"/>
                <w:szCs w:val="21"/>
              </w:rPr>
              <w:t xml:space="preserve"> </w:t>
            </w:r>
            <w:r>
              <w:rPr>
                <w:spacing w:val="23"/>
                <w:sz w:val="21"/>
                <w:szCs w:val="21"/>
              </w:rPr>
              <w:t>MDR/RR-TB比例/%</w:t>
            </w:r>
          </w:p>
        </w:tc>
        <w:tc>
          <w:tcPr>
            <w:tcW w:w="2180" w:type="dxa"/>
            <w:tcBorders>
              <w:top w:val="single" w:color="000000" w:sz="4" w:space="0"/>
              <w:bottom w:val="single" w:color="000000" w:sz="4" w:space="0"/>
            </w:tcBorders>
            <w:shd w:val="clear" w:color="auto" w:fill="C5C6B6"/>
            <w:vAlign w:val="top"/>
          </w:tcPr>
          <w:p w14:paraId="462A0723">
            <w:pPr>
              <w:pStyle w:val="6"/>
              <w:spacing w:before="71" w:line="241" w:lineRule="auto"/>
              <w:ind w:left="146" w:right="63" w:firstLine="12"/>
              <w:rPr>
                <w:sz w:val="21"/>
                <w:szCs w:val="21"/>
              </w:rPr>
            </w:pPr>
            <w:r>
              <w:rPr>
                <w:spacing w:val="26"/>
                <w:sz w:val="21"/>
                <w:szCs w:val="21"/>
              </w:rPr>
              <w:t>2022年估计的</w:t>
            </w:r>
            <w:r>
              <w:rPr>
                <w:sz w:val="21"/>
                <w:szCs w:val="21"/>
              </w:rPr>
              <w:t>MDR</w:t>
            </w:r>
            <w:r>
              <w:rPr>
                <w:spacing w:val="26"/>
                <w:sz w:val="21"/>
                <w:szCs w:val="21"/>
              </w:rPr>
              <w:t>/</w:t>
            </w:r>
            <w:r>
              <w:rPr>
                <w:spacing w:val="4"/>
                <w:sz w:val="21"/>
                <w:szCs w:val="21"/>
              </w:rPr>
              <w:t xml:space="preserve"> </w:t>
            </w:r>
            <w:r>
              <w:rPr>
                <w:sz w:val="21"/>
                <w:szCs w:val="21"/>
              </w:rPr>
              <w:t>RR</w:t>
            </w:r>
            <w:r>
              <w:rPr>
                <w:spacing w:val="18"/>
                <w:sz w:val="21"/>
                <w:szCs w:val="21"/>
              </w:rPr>
              <w:t>-</w:t>
            </w:r>
            <w:r>
              <w:rPr>
                <w:sz w:val="21"/>
                <w:szCs w:val="21"/>
              </w:rPr>
              <w:t>TB</w:t>
            </w:r>
            <w:r>
              <w:rPr>
                <w:spacing w:val="18"/>
                <w:sz w:val="21"/>
                <w:szCs w:val="21"/>
              </w:rPr>
              <w:t>例数/(×10³)</w:t>
            </w:r>
          </w:p>
        </w:tc>
      </w:tr>
      <w:tr w14:paraId="2DD40A66">
        <w:trPr>
          <w:trHeight w:val="372" w:hRule="atLeast"/>
        </w:trPr>
        <w:tc>
          <w:tcPr>
            <w:tcW w:w="2080" w:type="dxa"/>
            <w:tcBorders>
              <w:top w:val="single" w:color="000000" w:sz="4" w:space="0"/>
            </w:tcBorders>
            <w:vAlign w:val="top"/>
          </w:tcPr>
          <w:p w14:paraId="2DC78905">
            <w:pPr>
              <w:pStyle w:val="6"/>
              <w:spacing w:before="80" w:line="220" w:lineRule="auto"/>
              <w:ind w:left="359"/>
              <w:rPr>
                <w:sz w:val="21"/>
                <w:szCs w:val="21"/>
              </w:rPr>
            </w:pPr>
            <w:r>
              <w:rPr>
                <w:spacing w:val="2"/>
                <w:sz w:val="21"/>
                <w:szCs w:val="21"/>
              </w:rPr>
              <w:t>安哥拉</w:t>
            </w:r>
          </w:p>
        </w:tc>
        <w:tc>
          <w:tcPr>
            <w:tcW w:w="2210" w:type="dxa"/>
            <w:tcBorders>
              <w:top w:val="single" w:color="000000" w:sz="4" w:space="0"/>
            </w:tcBorders>
            <w:vAlign w:val="top"/>
          </w:tcPr>
          <w:p w14:paraId="3C4D0A72">
            <w:pPr>
              <w:pStyle w:val="6"/>
              <w:spacing w:before="100" w:line="230" w:lineRule="auto"/>
              <w:ind w:left="1049"/>
              <w:rPr>
                <w:sz w:val="21"/>
                <w:szCs w:val="21"/>
              </w:rPr>
            </w:pPr>
            <w:r>
              <w:rPr>
                <w:sz w:val="21"/>
                <w:szCs w:val="21"/>
              </w:rPr>
              <w:t>4</w:t>
            </w:r>
          </w:p>
        </w:tc>
        <w:tc>
          <w:tcPr>
            <w:tcW w:w="2380" w:type="dxa"/>
            <w:tcBorders>
              <w:top w:val="single" w:color="000000" w:sz="4" w:space="0"/>
            </w:tcBorders>
            <w:vAlign w:val="top"/>
          </w:tcPr>
          <w:p w14:paraId="4473A5A4">
            <w:pPr>
              <w:pStyle w:val="6"/>
              <w:spacing w:before="100" w:line="230" w:lineRule="auto"/>
              <w:ind w:left="1079"/>
              <w:rPr>
                <w:sz w:val="21"/>
                <w:szCs w:val="21"/>
              </w:rPr>
            </w:pPr>
            <w:r>
              <w:rPr>
                <w:spacing w:val="-6"/>
                <w:sz w:val="21"/>
                <w:szCs w:val="21"/>
              </w:rPr>
              <w:t>16</w:t>
            </w:r>
          </w:p>
        </w:tc>
        <w:tc>
          <w:tcPr>
            <w:tcW w:w="2180" w:type="dxa"/>
            <w:tcBorders>
              <w:top w:val="single" w:color="000000" w:sz="4" w:space="0"/>
            </w:tcBorders>
            <w:vAlign w:val="top"/>
          </w:tcPr>
          <w:p w14:paraId="262EBBAA">
            <w:pPr>
              <w:pStyle w:val="6"/>
              <w:spacing w:before="100" w:line="230" w:lineRule="auto"/>
              <w:ind w:left="930"/>
              <w:rPr>
                <w:sz w:val="21"/>
                <w:szCs w:val="21"/>
              </w:rPr>
            </w:pPr>
            <w:r>
              <w:rPr>
                <w:spacing w:val="-3"/>
                <w:sz w:val="21"/>
                <w:szCs w:val="21"/>
              </w:rPr>
              <w:t>6.1</w:t>
            </w:r>
          </w:p>
        </w:tc>
      </w:tr>
      <w:tr w14:paraId="1E0EE603">
        <w:trPr>
          <w:trHeight w:val="385" w:hRule="atLeast"/>
        </w:trPr>
        <w:tc>
          <w:tcPr>
            <w:tcW w:w="2080" w:type="dxa"/>
            <w:vAlign w:val="top"/>
          </w:tcPr>
          <w:p w14:paraId="30C60DB7">
            <w:pPr>
              <w:pStyle w:val="6"/>
              <w:spacing w:before="87" w:line="219" w:lineRule="auto"/>
              <w:ind w:left="359"/>
              <w:rPr>
                <w:sz w:val="21"/>
                <w:szCs w:val="21"/>
              </w:rPr>
            </w:pPr>
            <w:r>
              <w:rPr>
                <w:spacing w:val="2"/>
                <w:sz w:val="21"/>
                <w:szCs w:val="21"/>
              </w:rPr>
              <w:t>阿塞拜疆</w:t>
            </w:r>
          </w:p>
        </w:tc>
        <w:tc>
          <w:tcPr>
            <w:tcW w:w="2210" w:type="dxa"/>
            <w:vAlign w:val="top"/>
          </w:tcPr>
          <w:p w14:paraId="5CEBE6C0">
            <w:pPr>
              <w:pStyle w:val="6"/>
              <w:spacing w:before="108" w:line="234" w:lineRule="auto"/>
              <w:ind w:left="999"/>
              <w:rPr>
                <w:sz w:val="21"/>
                <w:szCs w:val="21"/>
              </w:rPr>
            </w:pPr>
            <w:r>
              <w:rPr>
                <w:spacing w:val="-6"/>
                <w:sz w:val="21"/>
                <w:szCs w:val="21"/>
              </w:rPr>
              <w:t>12</w:t>
            </w:r>
          </w:p>
        </w:tc>
        <w:tc>
          <w:tcPr>
            <w:tcW w:w="2380" w:type="dxa"/>
            <w:vAlign w:val="top"/>
          </w:tcPr>
          <w:p w14:paraId="112D5EFA">
            <w:pPr>
              <w:pStyle w:val="6"/>
              <w:spacing w:before="108" w:line="234" w:lineRule="auto"/>
              <w:ind w:left="1079"/>
              <w:rPr>
                <w:sz w:val="21"/>
                <w:szCs w:val="21"/>
              </w:rPr>
            </w:pPr>
            <w:r>
              <w:rPr>
                <w:spacing w:val="-3"/>
                <w:sz w:val="21"/>
                <w:szCs w:val="21"/>
              </w:rPr>
              <w:t>21</w:t>
            </w:r>
          </w:p>
        </w:tc>
        <w:tc>
          <w:tcPr>
            <w:tcW w:w="2180" w:type="dxa"/>
            <w:vAlign w:val="top"/>
          </w:tcPr>
          <w:p w14:paraId="5BBA9287">
            <w:pPr>
              <w:pStyle w:val="6"/>
              <w:spacing w:before="108" w:line="234" w:lineRule="auto"/>
              <w:ind w:left="930"/>
              <w:rPr>
                <w:sz w:val="21"/>
                <w:szCs w:val="21"/>
              </w:rPr>
            </w:pPr>
            <w:r>
              <w:rPr>
                <w:spacing w:val="-6"/>
                <w:sz w:val="21"/>
                <w:szCs w:val="21"/>
              </w:rPr>
              <w:t>1.2</w:t>
            </w:r>
          </w:p>
        </w:tc>
      </w:tr>
      <w:tr w14:paraId="0FA2AF4A">
        <w:trPr>
          <w:trHeight w:val="380" w:hRule="atLeast"/>
        </w:trPr>
        <w:tc>
          <w:tcPr>
            <w:tcW w:w="2080" w:type="dxa"/>
            <w:vAlign w:val="top"/>
          </w:tcPr>
          <w:p w14:paraId="60155619">
            <w:pPr>
              <w:pStyle w:val="6"/>
              <w:spacing w:before="93" w:line="221" w:lineRule="auto"/>
              <w:ind w:left="359"/>
              <w:rPr>
                <w:sz w:val="21"/>
                <w:szCs w:val="21"/>
              </w:rPr>
            </w:pPr>
            <w:r>
              <w:rPr>
                <w:spacing w:val="5"/>
                <w:sz w:val="21"/>
                <w:szCs w:val="21"/>
              </w:rPr>
              <w:t>孟加拉国</w:t>
            </w:r>
          </w:p>
        </w:tc>
        <w:tc>
          <w:tcPr>
            <w:tcW w:w="2210" w:type="dxa"/>
            <w:vAlign w:val="top"/>
          </w:tcPr>
          <w:p w14:paraId="2E0246C4">
            <w:pPr>
              <w:pStyle w:val="6"/>
              <w:spacing w:before="114" w:line="225" w:lineRule="auto"/>
              <w:ind w:left="939"/>
              <w:rPr>
                <w:sz w:val="21"/>
                <w:szCs w:val="21"/>
              </w:rPr>
            </w:pPr>
            <w:r>
              <w:rPr>
                <w:spacing w:val="-6"/>
                <w:sz w:val="21"/>
                <w:szCs w:val="21"/>
              </w:rPr>
              <w:t>1.1</w:t>
            </w:r>
          </w:p>
        </w:tc>
        <w:tc>
          <w:tcPr>
            <w:tcW w:w="2380" w:type="dxa"/>
            <w:vAlign w:val="top"/>
          </w:tcPr>
          <w:p w14:paraId="73D5DD29">
            <w:pPr>
              <w:pStyle w:val="6"/>
              <w:spacing w:before="114" w:line="225" w:lineRule="auto"/>
              <w:ind w:left="1030"/>
              <w:rPr>
                <w:sz w:val="21"/>
                <w:szCs w:val="21"/>
              </w:rPr>
            </w:pPr>
            <w:r>
              <w:rPr>
                <w:spacing w:val="-3"/>
                <w:sz w:val="21"/>
                <w:szCs w:val="21"/>
              </w:rPr>
              <w:t>5.5</w:t>
            </w:r>
          </w:p>
        </w:tc>
        <w:tc>
          <w:tcPr>
            <w:tcW w:w="2180" w:type="dxa"/>
            <w:vAlign w:val="top"/>
          </w:tcPr>
          <w:p w14:paraId="7809569F">
            <w:pPr>
              <w:pStyle w:val="6"/>
              <w:spacing w:before="114" w:line="225" w:lineRule="auto"/>
              <w:ind w:left="930"/>
              <w:rPr>
                <w:sz w:val="21"/>
                <w:szCs w:val="21"/>
              </w:rPr>
            </w:pPr>
            <w:r>
              <w:rPr>
                <w:spacing w:val="-2"/>
                <w:sz w:val="21"/>
                <w:szCs w:val="21"/>
              </w:rPr>
              <w:t>4.9</w:t>
            </w:r>
          </w:p>
        </w:tc>
      </w:tr>
      <w:tr w14:paraId="63FCAF5D">
        <w:trPr>
          <w:trHeight w:val="378" w:hRule="atLeast"/>
        </w:trPr>
        <w:tc>
          <w:tcPr>
            <w:tcW w:w="2080" w:type="dxa"/>
            <w:vAlign w:val="top"/>
          </w:tcPr>
          <w:p w14:paraId="125B84E0">
            <w:pPr>
              <w:pStyle w:val="6"/>
              <w:spacing w:before="83" w:line="220" w:lineRule="auto"/>
              <w:ind w:left="359"/>
              <w:rPr>
                <w:sz w:val="21"/>
                <w:szCs w:val="21"/>
              </w:rPr>
            </w:pPr>
            <w:r>
              <w:rPr>
                <w:spacing w:val="2"/>
                <w:sz w:val="21"/>
                <w:szCs w:val="21"/>
              </w:rPr>
              <w:t>白俄罗斯</w:t>
            </w:r>
          </w:p>
        </w:tc>
        <w:tc>
          <w:tcPr>
            <w:tcW w:w="2210" w:type="dxa"/>
            <w:vAlign w:val="top"/>
          </w:tcPr>
          <w:p w14:paraId="629BFBFE">
            <w:pPr>
              <w:pStyle w:val="6"/>
              <w:spacing w:before="104" w:line="232" w:lineRule="auto"/>
              <w:ind w:left="999"/>
              <w:rPr>
                <w:sz w:val="21"/>
                <w:szCs w:val="21"/>
              </w:rPr>
            </w:pPr>
            <w:r>
              <w:rPr>
                <w:spacing w:val="-2"/>
                <w:sz w:val="21"/>
                <w:szCs w:val="21"/>
              </w:rPr>
              <w:t>40</w:t>
            </w:r>
          </w:p>
        </w:tc>
        <w:tc>
          <w:tcPr>
            <w:tcW w:w="2380" w:type="dxa"/>
            <w:vAlign w:val="top"/>
          </w:tcPr>
          <w:p w14:paraId="70DFAF4B">
            <w:pPr>
              <w:pStyle w:val="6"/>
              <w:spacing w:before="104" w:line="232" w:lineRule="auto"/>
              <w:ind w:left="1079"/>
              <w:rPr>
                <w:sz w:val="21"/>
                <w:szCs w:val="21"/>
              </w:rPr>
            </w:pPr>
            <w:r>
              <w:rPr>
                <w:spacing w:val="-3"/>
                <w:sz w:val="21"/>
                <w:szCs w:val="21"/>
              </w:rPr>
              <w:t>62</w:t>
            </w:r>
          </w:p>
        </w:tc>
        <w:tc>
          <w:tcPr>
            <w:tcW w:w="2180" w:type="dxa"/>
            <w:vAlign w:val="top"/>
          </w:tcPr>
          <w:p w14:paraId="5378A1B2">
            <w:pPr>
              <w:pStyle w:val="6"/>
              <w:spacing w:before="104" w:line="232" w:lineRule="auto"/>
              <w:ind w:left="930"/>
              <w:rPr>
                <w:sz w:val="21"/>
                <w:szCs w:val="21"/>
              </w:rPr>
            </w:pPr>
            <w:r>
              <w:rPr>
                <w:spacing w:val="-6"/>
                <w:sz w:val="21"/>
                <w:szCs w:val="21"/>
              </w:rPr>
              <w:t>1.3</w:t>
            </w:r>
          </w:p>
        </w:tc>
      </w:tr>
      <w:tr w14:paraId="051C9475">
        <w:trPr>
          <w:trHeight w:val="383" w:hRule="atLeast"/>
        </w:trPr>
        <w:tc>
          <w:tcPr>
            <w:tcW w:w="2080" w:type="dxa"/>
            <w:vAlign w:val="top"/>
          </w:tcPr>
          <w:p w14:paraId="71564283">
            <w:pPr>
              <w:pStyle w:val="6"/>
              <w:spacing w:before="92" w:line="220" w:lineRule="auto"/>
              <w:ind w:left="362"/>
              <w:rPr>
                <w:sz w:val="21"/>
                <w:szCs w:val="21"/>
              </w:rPr>
            </w:pPr>
            <w:r>
              <w:rPr>
                <w:b/>
                <w:bCs/>
                <w:spacing w:val="5"/>
                <w:sz w:val="21"/>
                <w:szCs w:val="21"/>
              </w:rPr>
              <w:t>中国</w:t>
            </w:r>
          </w:p>
        </w:tc>
        <w:tc>
          <w:tcPr>
            <w:tcW w:w="2210" w:type="dxa"/>
            <w:vAlign w:val="top"/>
          </w:tcPr>
          <w:p w14:paraId="602B928D">
            <w:pPr>
              <w:pStyle w:val="6"/>
              <w:spacing w:before="115" w:line="226" w:lineRule="auto"/>
              <w:ind w:left="1049"/>
              <w:rPr>
                <w:sz w:val="21"/>
                <w:szCs w:val="21"/>
              </w:rPr>
            </w:pPr>
            <w:r>
              <w:rPr>
                <w:sz w:val="21"/>
                <w:szCs w:val="21"/>
              </w:rPr>
              <w:t>3</w:t>
            </w:r>
          </w:p>
        </w:tc>
        <w:tc>
          <w:tcPr>
            <w:tcW w:w="2380" w:type="dxa"/>
            <w:vAlign w:val="top"/>
          </w:tcPr>
          <w:p w14:paraId="611B3305">
            <w:pPr>
              <w:pStyle w:val="6"/>
              <w:spacing w:before="115" w:line="226" w:lineRule="auto"/>
              <w:ind w:left="1079"/>
              <w:rPr>
                <w:sz w:val="21"/>
                <w:szCs w:val="21"/>
              </w:rPr>
            </w:pPr>
            <w:r>
              <w:rPr>
                <w:spacing w:val="-3"/>
                <w:sz w:val="21"/>
                <w:szCs w:val="21"/>
              </w:rPr>
              <w:t>20</w:t>
            </w:r>
          </w:p>
        </w:tc>
        <w:tc>
          <w:tcPr>
            <w:tcW w:w="2180" w:type="dxa"/>
            <w:vAlign w:val="top"/>
          </w:tcPr>
          <w:p w14:paraId="61A2EE49">
            <w:pPr>
              <w:pStyle w:val="6"/>
              <w:spacing w:before="115" w:line="226" w:lineRule="auto"/>
              <w:ind w:left="980"/>
              <w:rPr>
                <w:sz w:val="21"/>
                <w:szCs w:val="21"/>
              </w:rPr>
            </w:pPr>
            <w:r>
              <w:rPr>
                <w:spacing w:val="-4"/>
                <w:sz w:val="21"/>
                <w:szCs w:val="21"/>
              </w:rPr>
              <w:t>30</w:t>
            </w:r>
          </w:p>
        </w:tc>
      </w:tr>
      <w:tr w14:paraId="532C8E45">
        <w:trPr>
          <w:trHeight w:val="387" w:hRule="atLeast"/>
        </w:trPr>
        <w:tc>
          <w:tcPr>
            <w:tcW w:w="2080" w:type="dxa"/>
            <w:vAlign w:val="top"/>
          </w:tcPr>
          <w:p w14:paraId="36AF806D">
            <w:pPr>
              <w:pStyle w:val="6"/>
              <w:spacing w:before="88" w:line="219" w:lineRule="auto"/>
              <w:ind w:left="362"/>
              <w:rPr>
                <w:sz w:val="21"/>
                <w:szCs w:val="21"/>
              </w:rPr>
            </w:pPr>
            <w:r>
              <w:rPr>
                <w:b/>
                <w:bCs/>
                <w:spacing w:val="-5"/>
                <w:sz w:val="21"/>
                <w:szCs w:val="21"/>
              </w:rPr>
              <w:t>朝鲜</w:t>
            </w:r>
          </w:p>
        </w:tc>
        <w:tc>
          <w:tcPr>
            <w:tcW w:w="2210" w:type="dxa"/>
            <w:vAlign w:val="top"/>
          </w:tcPr>
          <w:p w14:paraId="7557FB12">
            <w:pPr>
              <w:pStyle w:val="6"/>
              <w:spacing w:before="113" w:line="232" w:lineRule="auto"/>
              <w:ind w:left="939"/>
              <w:rPr>
                <w:sz w:val="21"/>
                <w:szCs w:val="21"/>
              </w:rPr>
            </w:pPr>
            <w:r>
              <w:rPr>
                <w:spacing w:val="-3"/>
                <w:sz w:val="21"/>
                <w:szCs w:val="21"/>
              </w:rPr>
              <w:t>2.4</w:t>
            </w:r>
          </w:p>
        </w:tc>
        <w:tc>
          <w:tcPr>
            <w:tcW w:w="2380" w:type="dxa"/>
            <w:vAlign w:val="top"/>
          </w:tcPr>
          <w:p w14:paraId="2911B8EB">
            <w:pPr>
              <w:pStyle w:val="6"/>
              <w:spacing w:before="113" w:line="232" w:lineRule="auto"/>
              <w:ind w:left="1079"/>
              <w:rPr>
                <w:sz w:val="21"/>
                <w:szCs w:val="21"/>
              </w:rPr>
            </w:pPr>
            <w:r>
              <w:rPr>
                <w:spacing w:val="-6"/>
                <w:sz w:val="21"/>
                <w:szCs w:val="21"/>
              </w:rPr>
              <w:t>13</w:t>
            </w:r>
          </w:p>
        </w:tc>
        <w:tc>
          <w:tcPr>
            <w:tcW w:w="2180" w:type="dxa"/>
            <w:vAlign w:val="top"/>
          </w:tcPr>
          <w:p w14:paraId="10D41DFD">
            <w:pPr>
              <w:pStyle w:val="6"/>
              <w:spacing w:before="113" w:line="232" w:lineRule="auto"/>
              <w:ind w:left="930"/>
              <w:rPr>
                <w:sz w:val="21"/>
                <w:szCs w:val="21"/>
              </w:rPr>
            </w:pPr>
            <w:r>
              <w:rPr>
                <w:spacing w:val="-3"/>
                <w:sz w:val="21"/>
                <w:szCs w:val="21"/>
              </w:rPr>
              <w:t>5.2</w:t>
            </w:r>
          </w:p>
        </w:tc>
      </w:tr>
      <w:tr w14:paraId="480165F3">
        <w:trPr>
          <w:trHeight w:val="384" w:hRule="atLeast"/>
        </w:trPr>
        <w:tc>
          <w:tcPr>
            <w:tcW w:w="2080" w:type="dxa"/>
            <w:vAlign w:val="top"/>
          </w:tcPr>
          <w:p w14:paraId="1AD1DA07">
            <w:pPr>
              <w:pStyle w:val="6"/>
              <w:spacing w:before="95" w:line="220" w:lineRule="auto"/>
              <w:ind w:left="359"/>
              <w:rPr>
                <w:sz w:val="21"/>
                <w:szCs w:val="21"/>
              </w:rPr>
            </w:pPr>
            <w:r>
              <w:rPr>
                <w:spacing w:val="9"/>
                <w:sz w:val="21"/>
                <w:szCs w:val="21"/>
              </w:rPr>
              <w:t>刚果(金)</w:t>
            </w:r>
          </w:p>
        </w:tc>
        <w:tc>
          <w:tcPr>
            <w:tcW w:w="2210" w:type="dxa"/>
            <w:vAlign w:val="top"/>
          </w:tcPr>
          <w:p w14:paraId="3B8F2547">
            <w:pPr>
              <w:pStyle w:val="6"/>
              <w:spacing w:before="115" w:line="227" w:lineRule="auto"/>
              <w:ind w:left="939"/>
              <w:rPr>
                <w:sz w:val="21"/>
                <w:szCs w:val="21"/>
              </w:rPr>
            </w:pPr>
            <w:r>
              <w:rPr>
                <w:spacing w:val="-6"/>
                <w:sz w:val="21"/>
                <w:szCs w:val="21"/>
              </w:rPr>
              <w:t>1.6</w:t>
            </w:r>
          </w:p>
        </w:tc>
        <w:tc>
          <w:tcPr>
            <w:tcW w:w="2380" w:type="dxa"/>
            <w:vAlign w:val="top"/>
          </w:tcPr>
          <w:p w14:paraId="236C7F22">
            <w:pPr>
              <w:pStyle w:val="6"/>
              <w:spacing w:before="115" w:line="227" w:lineRule="auto"/>
              <w:ind w:left="1079"/>
              <w:rPr>
                <w:sz w:val="21"/>
                <w:szCs w:val="21"/>
              </w:rPr>
            </w:pPr>
            <w:r>
              <w:rPr>
                <w:spacing w:val="-6"/>
                <w:sz w:val="21"/>
                <w:szCs w:val="21"/>
              </w:rPr>
              <w:t>19</w:t>
            </w:r>
          </w:p>
        </w:tc>
        <w:tc>
          <w:tcPr>
            <w:tcW w:w="2180" w:type="dxa"/>
            <w:vAlign w:val="top"/>
          </w:tcPr>
          <w:p w14:paraId="7AF39742">
            <w:pPr>
              <w:pStyle w:val="6"/>
              <w:spacing w:before="115" w:line="227" w:lineRule="auto"/>
              <w:ind w:left="930"/>
              <w:rPr>
                <w:sz w:val="21"/>
                <w:szCs w:val="21"/>
              </w:rPr>
            </w:pPr>
            <w:r>
              <w:rPr>
                <w:spacing w:val="-3"/>
                <w:sz w:val="21"/>
                <w:szCs w:val="21"/>
              </w:rPr>
              <w:t>6.3</w:t>
            </w:r>
          </w:p>
        </w:tc>
      </w:tr>
      <w:tr w14:paraId="466DF37B">
        <w:trPr>
          <w:trHeight w:val="380" w:hRule="atLeast"/>
        </w:trPr>
        <w:tc>
          <w:tcPr>
            <w:tcW w:w="2080" w:type="dxa"/>
            <w:vAlign w:val="top"/>
          </w:tcPr>
          <w:p w14:paraId="5F62C89D">
            <w:pPr>
              <w:pStyle w:val="6"/>
              <w:spacing w:before="90" w:line="219" w:lineRule="auto"/>
              <w:ind w:left="359"/>
              <w:rPr>
                <w:sz w:val="21"/>
                <w:szCs w:val="21"/>
              </w:rPr>
            </w:pPr>
            <w:r>
              <w:rPr>
                <w:spacing w:val="6"/>
                <w:sz w:val="21"/>
                <w:szCs w:val="21"/>
              </w:rPr>
              <w:t>印度</w:t>
            </w:r>
          </w:p>
        </w:tc>
        <w:tc>
          <w:tcPr>
            <w:tcW w:w="2210" w:type="dxa"/>
            <w:vAlign w:val="top"/>
          </w:tcPr>
          <w:p w14:paraId="55BD1BEE">
            <w:pPr>
              <w:pStyle w:val="6"/>
              <w:spacing w:before="111" w:line="227" w:lineRule="auto"/>
              <w:ind w:left="939"/>
              <w:rPr>
                <w:sz w:val="21"/>
                <w:szCs w:val="21"/>
              </w:rPr>
            </w:pPr>
            <w:r>
              <w:rPr>
                <w:spacing w:val="-3"/>
                <w:sz w:val="21"/>
                <w:szCs w:val="21"/>
              </w:rPr>
              <w:t>2.5</w:t>
            </w:r>
          </w:p>
        </w:tc>
        <w:tc>
          <w:tcPr>
            <w:tcW w:w="2380" w:type="dxa"/>
            <w:vAlign w:val="top"/>
          </w:tcPr>
          <w:p w14:paraId="4F918132">
            <w:pPr>
              <w:pStyle w:val="6"/>
              <w:spacing w:before="111" w:line="227" w:lineRule="auto"/>
              <w:ind w:left="1079"/>
              <w:rPr>
                <w:sz w:val="21"/>
                <w:szCs w:val="21"/>
              </w:rPr>
            </w:pPr>
            <w:r>
              <w:rPr>
                <w:spacing w:val="-6"/>
                <w:sz w:val="21"/>
                <w:szCs w:val="21"/>
              </w:rPr>
              <w:t>13</w:t>
            </w:r>
          </w:p>
        </w:tc>
        <w:tc>
          <w:tcPr>
            <w:tcW w:w="2180" w:type="dxa"/>
            <w:vAlign w:val="top"/>
          </w:tcPr>
          <w:p w14:paraId="5ECC2BDF">
            <w:pPr>
              <w:pStyle w:val="6"/>
              <w:spacing w:before="111" w:line="227" w:lineRule="auto"/>
              <w:ind w:left="930"/>
              <w:rPr>
                <w:sz w:val="21"/>
                <w:szCs w:val="21"/>
              </w:rPr>
            </w:pPr>
            <w:r>
              <w:rPr>
                <w:spacing w:val="-6"/>
                <w:sz w:val="21"/>
                <w:szCs w:val="21"/>
              </w:rPr>
              <w:t>110</w:t>
            </w:r>
          </w:p>
        </w:tc>
      </w:tr>
      <w:tr w14:paraId="19BB86B9">
        <w:trPr>
          <w:trHeight w:val="380" w:hRule="atLeast"/>
        </w:trPr>
        <w:tc>
          <w:tcPr>
            <w:tcW w:w="2080" w:type="dxa"/>
            <w:vAlign w:val="top"/>
          </w:tcPr>
          <w:p w14:paraId="15B22C3F">
            <w:pPr>
              <w:pStyle w:val="6"/>
              <w:spacing w:before="90" w:line="219" w:lineRule="auto"/>
              <w:ind w:left="359"/>
              <w:rPr>
                <w:sz w:val="21"/>
                <w:szCs w:val="21"/>
              </w:rPr>
            </w:pPr>
            <w:r>
              <w:rPr>
                <w:spacing w:val="1"/>
                <w:sz w:val="21"/>
                <w:szCs w:val="21"/>
              </w:rPr>
              <w:t>印度尼西亚</w:t>
            </w:r>
          </w:p>
        </w:tc>
        <w:tc>
          <w:tcPr>
            <w:tcW w:w="2210" w:type="dxa"/>
            <w:vAlign w:val="top"/>
          </w:tcPr>
          <w:p w14:paraId="090941F4">
            <w:pPr>
              <w:pStyle w:val="6"/>
              <w:spacing w:before="111" w:line="227" w:lineRule="auto"/>
              <w:ind w:left="939"/>
              <w:rPr>
                <w:sz w:val="21"/>
                <w:szCs w:val="21"/>
              </w:rPr>
            </w:pPr>
            <w:r>
              <w:rPr>
                <w:spacing w:val="-3"/>
                <w:sz w:val="21"/>
                <w:szCs w:val="21"/>
              </w:rPr>
              <w:t>2.2</w:t>
            </w:r>
          </w:p>
        </w:tc>
        <w:tc>
          <w:tcPr>
            <w:tcW w:w="2380" w:type="dxa"/>
            <w:vAlign w:val="top"/>
          </w:tcPr>
          <w:p w14:paraId="72AA4BDD">
            <w:pPr>
              <w:pStyle w:val="6"/>
              <w:spacing w:before="111" w:line="227" w:lineRule="auto"/>
              <w:ind w:left="1079"/>
              <w:rPr>
                <w:sz w:val="21"/>
                <w:szCs w:val="21"/>
              </w:rPr>
            </w:pPr>
            <w:r>
              <w:rPr>
                <w:spacing w:val="-3"/>
                <w:sz w:val="21"/>
                <w:szCs w:val="21"/>
              </w:rPr>
              <w:t>25</w:t>
            </w:r>
          </w:p>
        </w:tc>
        <w:tc>
          <w:tcPr>
            <w:tcW w:w="2180" w:type="dxa"/>
            <w:vAlign w:val="top"/>
          </w:tcPr>
          <w:p w14:paraId="6AA83DB1">
            <w:pPr>
              <w:pStyle w:val="6"/>
              <w:spacing w:before="111" w:line="227" w:lineRule="auto"/>
              <w:ind w:left="980"/>
              <w:rPr>
                <w:sz w:val="21"/>
                <w:szCs w:val="21"/>
              </w:rPr>
            </w:pPr>
            <w:r>
              <w:rPr>
                <w:spacing w:val="-4"/>
                <w:sz w:val="21"/>
                <w:szCs w:val="21"/>
              </w:rPr>
              <w:t>31</w:t>
            </w:r>
          </w:p>
        </w:tc>
      </w:tr>
      <w:tr w14:paraId="04D2ED34">
        <w:trPr>
          <w:trHeight w:val="385" w:hRule="atLeast"/>
        </w:trPr>
        <w:tc>
          <w:tcPr>
            <w:tcW w:w="2080" w:type="dxa"/>
            <w:vAlign w:val="top"/>
          </w:tcPr>
          <w:p w14:paraId="627F314F">
            <w:pPr>
              <w:pStyle w:val="6"/>
              <w:spacing w:before="90" w:line="219" w:lineRule="auto"/>
              <w:ind w:left="359"/>
              <w:rPr>
                <w:sz w:val="21"/>
                <w:szCs w:val="21"/>
              </w:rPr>
            </w:pPr>
            <w:r>
              <w:rPr>
                <w:spacing w:val="1"/>
                <w:sz w:val="21"/>
                <w:szCs w:val="21"/>
              </w:rPr>
              <w:t>哈萨克斯坦</w:t>
            </w:r>
          </w:p>
        </w:tc>
        <w:tc>
          <w:tcPr>
            <w:tcW w:w="2210" w:type="dxa"/>
            <w:vAlign w:val="top"/>
          </w:tcPr>
          <w:p w14:paraId="468025D0">
            <w:pPr>
              <w:pStyle w:val="6"/>
              <w:spacing w:before="111" w:line="232" w:lineRule="auto"/>
              <w:ind w:left="999"/>
              <w:rPr>
                <w:sz w:val="21"/>
                <w:szCs w:val="21"/>
              </w:rPr>
            </w:pPr>
            <w:r>
              <w:rPr>
                <w:spacing w:val="-4"/>
                <w:sz w:val="21"/>
                <w:szCs w:val="21"/>
              </w:rPr>
              <w:t>34</w:t>
            </w:r>
          </w:p>
        </w:tc>
        <w:tc>
          <w:tcPr>
            <w:tcW w:w="2380" w:type="dxa"/>
            <w:vAlign w:val="top"/>
          </w:tcPr>
          <w:p w14:paraId="6F64A295">
            <w:pPr>
              <w:pStyle w:val="6"/>
              <w:spacing w:before="111" w:line="232" w:lineRule="auto"/>
              <w:ind w:left="1079"/>
              <w:rPr>
                <w:sz w:val="21"/>
                <w:szCs w:val="21"/>
              </w:rPr>
            </w:pPr>
            <w:r>
              <w:rPr>
                <w:spacing w:val="-4"/>
                <w:sz w:val="21"/>
                <w:szCs w:val="21"/>
              </w:rPr>
              <w:t>51</w:t>
            </w:r>
          </w:p>
        </w:tc>
        <w:tc>
          <w:tcPr>
            <w:tcW w:w="2180" w:type="dxa"/>
            <w:vAlign w:val="top"/>
          </w:tcPr>
          <w:p w14:paraId="2C51889A">
            <w:pPr>
              <w:pStyle w:val="6"/>
              <w:spacing w:before="111" w:line="232" w:lineRule="auto"/>
              <w:ind w:left="930"/>
              <w:rPr>
                <w:sz w:val="21"/>
                <w:szCs w:val="21"/>
              </w:rPr>
            </w:pPr>
            <w:r>
              <w:rPr>
                <w:spacing w:val="-3"/>
                <w:sz w:val="21"/>
                <w:szCs w:val="21"/>
              </w:rPr>
              <w:t>5.9</w:t>
            </w:r>
          </w:p>
        </w:tc>
      </w:tr>
      <w:tr w14:paraId="287ABCD7">
        <w:trPr>
          <w:trHeight w:val="389" w:hRule="atLeast"/>
        </w:trPr>
        <w:tc>
          <w:tcPr>
            <w:tcW w:w="2080" w:type="dxa"/>
            <w:vAlign w:val="top"/>
          </w:tcPr>
          <w:p w14:paraId="54A8AE4B">
            <w:pPr>
              <w:pStyle w:val="6"/>
              <w:spacing w:before="96" w:line="220" w:lineRule="auto"/>
              <w:ind w:left="359"/>
              <w:rPr>
                <w:sz w:val="21"/>
                <w:szCs w:val="21"/>
              </w:rPr>
            </w:pPr>
            <w:r>
              <w:rPr>
                <w:spacing w:val="1"/>
                <w:sz w:val="21"/>
                <w:szCs w:val="21"/>
              </w:rPr>
              <w:t>吉尔吉斯斯坦</w:t>
            </w:r>
          </w:p>
        </w:tc>
        <w:tc>
          <w:tcPr>
            <w:tcW w:w="2210" w:type="dxa"/>
            <w:vAlign w:val="top"/>
          </w:tcPr>
          <w:p w14:paraId="015168B6">
            <w:pPr>
              <w:pStyle w:val="6"/>
              <w:spacing w:before="116" w:line="231" w:lineRule="auto"/>
              <w:ind w:left="999"/>
              <w:rPr>
                <w:sz w:val="21"/>
                <w:szCs w:val="21"/>
              </w:rPr>
            </w:pPr>
            <w:r>
              <w:rPr>
                <w:spacing w:val="-3"/>
                <w:sz w:val="21"/>
                <w:szCs w:val="21"/>
              </w:rPr>
              <w:t>26</w:t>
            </w:r>
          </w:p>
        </w:tc>
        <w:tc>
          <w:tcPr>
            <w:tcW w:w="2380" w:type="dxa"/>
            <w:vAlign w:val="top"/>
          </w:tcPr>
          <w:p w14:paraId="520E3796">
            <w:pPr>
              <w:pStyle w:val="6"/>
              <w:spacing w:before="116" w:line="231" w:lineRule="auto"/>
              <w:ind w:left="1079"/>
              <w:rPr>
                <w:sz w:val="21"/>
                <w:szCs w:val="21"/>
              </w:rPr>
            </w:pPr>
            <w:r>
              <w:rPr>
                <w:spacing w:val="-4"/>
                <w:sz w:val="21"/>
                <w:szCs w:val="21"/>
              </w:rPr>
              <w:t>55</w:t>
            </w:r>
          </w:p>
        </w:tc>
        <w:tc>
          <w:tcPr>
            <w:tcW w:w="2180" w:type="dxa"/>
            <w:vAlign w:val="top"/>
          </w:tcPr>
          <w:p w14:paraId="6B4409D8">
            <w:pPr>
              <w:pStyle w:val="6"/>
              <w:spacing w:before="116" w:line="231" w:lineRule="auto"/>
              <w:ind w:left="1030"/>
              <w:rPr>
                <w:sz w:val="21"/>
                <w:szCs w:val="21"/>
              </w:rPr>
            </w:pPr>
            <w:r>
              <w:rPr>
                <w:sz w:val="21"/>
                <w:szCs w:val="21"/>
              </w:rPr>
              <w:t>3</w:t>
            </w:r>
          </w:p>
        </w:tc>
      </w:tr>
      <w:tr w14:paraId="0C00AF81">
        <w:trPr>
          <w:trHeight w:val="390" w:hRule="atLeast"/>
        </w:trPr>
        <w:tc>
          <w:tcPr>
            <w:tcW w:w="2080" w:type="dxa"/>
            <w:vAlign w:val="top"/>
          </w:tcPr>
          <w:p w14:paraId="49AD74AE">
            <w:pPr>
              <w:pStyle w:val="6"/>
              <w:spacing w:before="96" w:line="219" w:lineRule="auto"/>
              <w:ind w:left="359"/>
              <w:rPr>
                <w:sz w:val="21"/>
                <w:szCs w:val="21"/>
              </w:rPr>
            </w:pPr>
            <w:r>
              <w:rPr>
                <w:spacing w:val="6"/>
                <w:sz w:val="21"/>
                <w:szCs w:val="21"/>
              </w:rPr>
              <w:t>蒙古</w:t>
            </w:r>
          </w:p>
        </w:tc>
        <w:tc>
          <w:tcPr>
            <w:tcW w:w="2210" w:type="dxa"/>
            <w:vAlign w:val="top"/>
          </w:tcPr>
          <w:p w14:paraId="4C76399E">
            <w:pPr>
              <w:pStyle w:val="6"/>
              <w:spacing w:before="117" w:line="231" w:lineRule="auto"/>
              <w:ind w:left="939"/>
              <w:rPr>
                <w:sz w:val="21"/>
                <w:szCs w:val="21"/>
              </w:rPr>
            </w:pPr>
            <w:r>
              <w:rPr>
                <w:spacing w:val="-3"/>
                <w:sz w:val="21"/>
                <w:szCs w:val="21"/>
              </w:rPr>
              <w:t>7.2</w:t>
            </w:r>
          </w:p>
        </w:tc>
        <w:tc>
          <w:tcPr>
            <w:tcW w:w="2380" w:type="dxa"/>
            <w:vAlign w:val="top"/>
          </w:tcPr>
          <w:p w14:paraId="1A2E525C">
            <w:pPr>
              <w:pStyle w:val="6"/>
              <w:spacing w:before="117" w:line="231" w:lineRule="auto"/>
              <w:ind w:left="1030"/>
              <w:rPr>
                <w:sz w:val="21"/>
                <w:szCs w:val="21"/>
              </w:rPr>
            </w:pPr>
            <w:r>
              <w:rPr>
                <w:spacing w:val="-3"/>
                <w:sz w:val="21"/>
                <w:szCs w:val="21"/>
              </w:rPr>
              <w:t>8.2</w:t>
            </w:r>
          </w:p>
        </w:tc>
        <w:tc>
          <w:tcPr>
            <w:tcW w:w="2180" w:type="dxa"/>
            <w:vAlign w:val="top"/>
          </w:tcPr>
          <w:p w14:paraId="48A9BB39">
            <w:pPr>
              <w:pStyle w:val="6"/>
              <w:spacing w:before="117" w:line="231" w:lineRule="auto"/>
              <w:ind w:left="930"/>
              <w:rPr>
                <w:sz w:val="21"/>
                <w:szCs w:val="21"/>
              </w:rPr>
            </w:pPr>
            <w:r>
              <w:rPr>
                <w:spacing w:val="-6"/>
                <w:sz w:val="21"/>
                <w:szCs w:val="21"/>
              </w:rPr>
              <w:t>1.1</w:t>
            </w:r>
          </w:p>
        </w:tc>
      </w:tr>
      <w:tr w14:paraId="6E672709">
        <w:trPr>
          <w:trHeight w:val="384" w:hRule="atLeast"/>
        </w:trPr>
        <w:tc>
          <w:tcPr>
            <w:tcW w:w="2080" w:type="dxa"/>
            <w:vAlign w:val="top"/>
          </w:tcPr>
          <w:p w14:paraId="0E24C838">
            <w:pPr>
              <w:pStyle w:val="6"/>
              <w:spacing w:before="96" w:line="219" w:lineRule="auto"/>
              <w:ind w:left="359"/>
              <w:rPr>
                <w:sz w:val="21"/>
                <w:szCs w:val="21"/>
              </w:rPr>
            </w:pPr>
            <w:r>
              <w:rPr>
                <w:spacing w:val="3"/>
                <w:sz w:val="21"/>
                <w:szCs w:val="21"/>
              </w:rPr>
              <w:t>莫桑比克</w:t>
            </w:r>
          </w:p>
        </w:tc>
        <w:tc>
          <w:tcPr>
            <w:tcW w:w="2210" w:type="dxa"/>
            <w:vAlign w:val="top"/>
          </w:tcPr>
          <w:p w14:paraId="7171FE23">
            <w:pPr>
              <w:pStyle w:val="6"/>
              <w:spacing w:before="118" w:line="225" w:lineRule="auto"/>
              <w:ind w:left="939"/>
              <w:rPr>
                <w:sz w:val="21"/>
                <w:szCs w:val="21"/>
              </w:rPr>
            </w:pPr>
            <w:r>
              <w:rPr>
                <w:spacing w:val="-3"/>
                <w:sz w:val="21"/>
                <w:szCs w:val="21"/>
              </w:rPr>
              <w:t>2.9</w:t>
            </w:r>
          </w:p>
        </w:tc>
        <w:tc>
          <w:tcPr>
            <w:tcW w:w="2380" w:type="dxa"/>
            <w:vAlign w:val="top"/>
          </w:tcPr>
          <w:p w14:paraId="31258E60">
            <w:pPr>
              <w:pStyle w:val="6"/>
              <w:spacing w:before="118" w:line="225" w:lineRule="auto"/>
              <w:ind w:left="1079"/>
              <w:rPr>
                <w:sz w:val="21"/>
                <w:szCs w:val="21"/>
              </w:rPr>
            </w:pPr>
            <w:r>
              <w:rPr>
                <w:spacing w:val="-6"/>
                <w:sz w:val="21"/>
                <w:szCs w:val="21"/>
              </w:rPr>
              <w:t>14</w:t>
            </w:r>
          </w:p>
        </w:tc>
        <w:tc>
          <w:tcPr>
            <w:tcW w:w="2180" w:type="dxa"/>
            <w:vAlign w:val="top"/>
          </w:tcPr>
          <w:p w14:paraId="15CB003C">
            <w:pPr>
              <w:pStyle w:val="6"/>
              <w:spacing w:before="118" w:line="225" w:lineRule="auto"/>
              <w:ind w:left="930"/>
              <w:rPr>
                <w:sz w:val="21"/>
                <w:szCs w:val="21"/>
              </w:rPr>
            </w:pPr>
            <w:r>
              <w:rPr>
                <w:spacing w:val="-2"/>
                <w:sz w:val="21"/>
                <w:szCs w:val="21"/>
              </w:rPr>
              <w:t>4.3</w:t>
            </w:r>
          </w:p>
        </w:tc>
      </w:tr>
      <w:tr w14:paraId="5574CDE3">
        <w:trPr>
          <w:trHeight w:val="375" w:hRule="atLeast"/>
        </w:trPr>
        <w:tc>
          <w:tcPr>
            <w:tcW w:w="2080" w:type="dxa"/>
            <w:vAlign w:val="top"/>
          </w:tcPr>
          <w:p w14:paraId="395C12BC">
            <w:pPr>
              <w:pStyle w:val="6"/>
              <w:spacing w:before="89" w:line="219" w:lineRule="auto"/>
              <w:ind w:left="362"/>
              <w:rPr>
                <w:sz w:val="21"/>
                <w:szCs w:val="21"/>
              </w:rPr>
            </w:pPr>
            <w:r>
              <w:rPr>
                <w:b/>
                <w:bCs/>
                <w:spacing w:val="3"/>
                <w:sz w:val="21"/>
                <w:szCs w:val="21"/>
              </w:rPr>
              <w:t>缅甸</w:t>
            </w:r>
          </w:p>
        </w:tc>
        <w:tc>
          <w:tcPr>
            <w:tcW w:w="2210" w:type="dxa"/>
            <w:vAlign w:val="top"/>
          </w:tcPr>
          <w:p w14:paraId="07C36378">
            <w:pPr>
              <w:pStyle w:val="6"/>
              <w:spacing w:before="113" w:line="221" w:lineRule="auto"/>
              <w:ind w:left="939"/>
              <w:rPr>
                <w:sz w:val="21"/>
                <w:szCs w:val="21"/>
              </w:rPr>
            </w:pPr>
            <w:r>
              <w:rPr>
                <w:spacing w:val="-2"/>
                <w:sz w:val="21"/>
                <w:szCs w:val="21"/>
              </w:rPr>
              <w:t>4.1</w:t>
            </w:r>
          </w:p>
        </w:tc>
        <w:tc>
          <w:tcPr>
            <w:tcW w:w="2380" w:type="dxa"/>
            <w:vAlign w:val="top"/>
          </w:tcPr>
          <w:p w14:paraId="53D8FF9A">
            <w:pPr>
              <w:pStyle w:val="6"/>
              <w:spacing w:before="113" w:line="221" w:lineRule="auto"/>
              <w:ind w:left="1079"/>
              <w:rPr>
                <w:sz w:val="21"/>
                <w:szCs w:val="21"/>
              </w:rPr>
            </w:pPr>
            <w:r>
              <w:rPr>
                <w:spacing w:val="-6"/>
                <w:sz w:val="21"/>
                <w:szCs w:val="21"/>
              </w:rPr>
              <w:t>19</w:t>
            </w:r>
          </w:p>
        </w:tc>
        <w:tc>
          <w:tcPr>
            <w:tcW w:w="2180" w:type="dxa"/>
            <w:vAlign w:val="top"/>
          </w:tcPr>
          <w:p w14:paraId="3A4885D2">
            <w:pPr>
              <w:pStyle w:val="6"/>
              <w:spacing w:before="113" w:line="221" w:lineRule="auto"/>
              <w:ind w:left="980"/>
              <w:rPr>
                <w:sz w:val="21"/>
                <w:szCs w:val="21"/>
              </w:rPr>
            </w:pPr>
            <w:r>
              <w:rPr>
                <w:spacing w:val="-6"/>
                <w:sz w:val="21"/>
                <w:szCs w:val="21"/>
              </w:rPr>
              <w:t>13</w:t>
            </w:r>
          </w:p>
        </w:tc>
      </w:tr>
      <w:tr w14:paraId="59CDE79F">
        <w:trPr>
          <w:trHeight w:val="380" w:hRule="atLeast"/>
        </w:trPr>
        <w:tc>
          <w:tcPr>
            <w:tcW w:w="2080" w:type="dxa"/>
            <w:vAlign w:val="top"/>
          </w:tcPr>
          <w:p w14:paraId="147C5079">
            <w:pPr>
              <w:pStyle w:val="6"/>
              <w:spacing w:before="85" w:line="220" w:lineRule="auto"/>
              <w:ind w:left="362"/>
              <w:rPr>
                <w:sz w:val="21"/>
                <w:szCs w:val="21"/>
              </w:rPr>
            </w:pPr>
            <w:r>
              <w:rPr>
                <w:b/>
                <w:bCs/>
                <w:spacing w:val="1"/>
                <w:sz w:val="21"/>
                <w:szCs w:val="21"/>
              </w:rPr>
              <w:t>尼泊尔</w:t>
            </w:r>
          </w:p>
        </w:tc>
        <w:tc>
          <w:tcPr>
            <w:tcW w:w="2210" w:type="dxa"/>
            <w:vAlign w:val="top"/>
          </w:tcPr>
          <w:p w14:paraId="569B9A7B">
            <w:pPr>
              <w:pStyle w:val="6"/>
              <w:spacing w:before="108" w:line="230" w:lineRule="auto"/>
              <w:ind w:left="1049"/>
              <w:rPr>
                <w:sz w:val="21"/>
                <w:szCs w:val="21"/>
              </w:rPr>
            </w:pPr>
            <w:r>
              <w:rPr>
                <w:sz w:val="21"/>
                <w:szCs w:val="21"/>
              </w:rPr>
              <w:t>4</w:t>
            </w:r>
          </w:p>
        </w:tc>
        <w:tc>
          <w:tcPr>
            <w:tcW w:w="2380" w:type="dxa"/>
            <w:vAlign w:val="top"/>
          </w:tcPr>
          <w:p w14:paraId="4993FCCB">
            <w:pPr>
              <w:pStyle w:val="6"/>
              <w:spacing w:before="108" w:line="230" w:lineRule="auto"/>
              <w:ind w:left="1030"/>
              <w:rPr>
                <w:sz w:val="21"/>
                <w:szCs w:val="21"/>
              </w:rPr>
            </w:pPr>
            <w:r>
              <w:rPr>
                <w:spacing w:val="-3"/>
                <w:sz w:val="21"/>
                <w:szCs w:val="21"/>
              </w:rPr>
              <w:t>6.3</w:t>
            </w:r>
          </w:p>
        </w:tc>
        <w:tc>
          <w:tcPr>
            <w:tcW w:w="2180" w:type="dxa"/>
            <w:vAlign w:val="top"/>
          </w:tcPr>
          <w:p w14:paraId="15F53D12">
            <w:pPr>
              <w:pStyle w:val="6"/>
              <w:spacing w:before="108" w:line="230" w:lineRule="auto"/>
              <w:ind w:left="930"/>
              <w:rPr>
                <w:sz w:val="21"/>
                <w:szCs w:val="21"/>
              </w:rPr>
            </w:pPr>
            <w:r>
              <w:rPr>
                <w:spacing w:val="-3"/>
                <w:sz w:val="21"/>
                <w:szCs w:val="21"/>
              </w:rPr>
              <w:t>2.9</w:t>
            </w:r>
          </w:p>
        </w:tc>
      </w:tr>
      <w:tr w14:paraId="7E3906EE">
        <w:trPr>
          <w:trHeight w:val="385" w:hRule="atLeast"/>
        </w:trPr>
        <w:tc>
          <w:tcPr>
            <w:tcW w:w="2080" w:type="dxa"/>
            <w:vAlign w:val="top"/>
          </w:tcPr>
          <w:p w14:paraId="2D74D805">
            <w:pPr>
              <w:pStyle w:val="6"/>
              <w:spacing w:before="95" w:line="221" w:lineRule="auto"/>
              <w:ind w:left="362"/>
              <w:rPr>
                <w:sz w:val="21"/>
                <w:szCs w:val="21"/>
              </w:rPr>
            </w:pPr>
            <w:r>
              <w:rPr>
                <w:b/>
                <w:bCs/>
                <w:spacing w:val="-4"/>
                <w:sz w:val="21"/>
                <w:szCs w:val="21"/>
              </w:rPr>
              <w:t>尼日利亚</w:t>
            </w:r>
          </w:p>
        </w:tc>
        <w:tc>
          <w:tcPr>
            <w:tcW w:w="2210" w:type="dxa"/>
            <w:vAlign w:val="top"/>
          </w:tcPr>
          <w:p w14:paraId="0049D531">
            <w:pPr>
              <w:pStyle w:val="6"/>
              <w:spacing w:before="119" w:line="225" w:lineRule="auto"/>
              <w:ind w:left="939"/>
              <w:rPr>
                <w:sz w:val="21"/>
                <w:szCs w:val="21"/>
              </w:rPr>
            </w:pPr>
            <w:r>
              <w:rPr>
                <w:spacing w:val="-3"/>
                <w:sz w:val="21"/>
                <w:szCs w:val="21"/>
              </w:rPr>
              <w:t>2.1</w:t>
            </w:r>
          </w:p>
        </w:tc>
        <w:tc>
          <w:tcPr>
            <w:tcW w:w="2380" w:type="dxa"/>
            <w:vAlign w:val="top"/>
          </w:tcPr>
          <w:p w14:paraId="01E0FAAA">
            <w:pPr>
              <w:pStyle w:val="6"/>
              <w:spacing w:before="119" w:line="225" w:lineRule="auto"/>
              <w:ind w:left="1079"/>
              <w:rPr>
                <w:sz w:val="21"/>
                <w:szCs w:val="21"/>
              </w:rPr>
            </w:pPr>
            <w:r>
              <w:rPr>
                <w:spacing w:val="-6"/>
                <w:sz w:val="21"/>
                <w:szCs w:val="21"/>
              </w:rPr>
              <w:t>14</w:t>
            </w:r>
          </w:p>
        </w:tc>
        <w:tc>
          <w:tcPr>
            <w:tcW w:w="2180" w:type="dxa"/>
            <w:vAlign w:val="top"/>
          </w:tcPr>
          <w:p w14:paraId="26F49D51">
            <w:pPr>
              <w:pStyle w:val="6"/>
              <w:spacing w:before="119" w:line="225" w:lineRule="auto"/>
              <w:ind w:left="980"/>
              <w:rPr>
                <w:sz w:val="21"/>
                <w:szCs w:val="21"/>
              </w:rPr>
            </w:pPr>
            <w:r>
              <w:rPr>
                <w:spacing w:val="-6"/>
                <w:sz w:val="21"/>
                <w:szCs w:val="21"/>
              </w:rPr>
              <w:t>12</w:t>
            </w:r>
          </w:p>
        </w:tc>
      </w:tr>
      <w:tr w14:paraId="0EF3E4B8">
        <w:trPr>
          <w:trHeight w:val="385" w:hRule="atLeast"/>
        </w:trPr>
        <w:tc>
          <w:tcPr>
            <w:tcW w:w="2080" w:type="dxa"/>
            <w:vAlign w:val="top"/>
          </w:tcPr>
          <w:p w14:paraId="28E41FAF">
            <w:pPr>
              <w:pStyle w:val="6"/>
              <w:spacing w:before="90" w:line="220" w:lineRule="auto"/>
              <w:ind w:left="362"/>
              <w:rPr>
                <w:sz w:val="21"/>
                <w:szCs w:val="21"/>
              </w:rPr>
            </w:pPr>
            <w:r>
              <w:rPr>
                <w:b/>
                <w:bCs/>
                <w:spacing w:val="-2"/>
                <w:sz w:val="21"/>
                <w:szCs w:val="21"/>
              </w:rPr>
              <w:t>巴基斯坦</w:t>
            </w:r>
          </w:p>
        </w:tc>
        <w:tc>
          <w:tcPr>
            <w:tcW w:w="2210" w:type="dxa"/>
            <w:vAlign w:val="top"/>
          </w:tcPr>
          <w:p w14:paraId="1786E20C">
            <w:pPr>
              <w:pStyle w:val="6"/>
              <w:spacing w:before="113" w:line="230" w:lineRule="auto"/>
              <w:ind w:left="939"/>
              <w:rPr>
                <w:sz w:val="21"/>
                <w:szCs w:val="21"/>
              </w:rPr>
            </w:pPr>
            <w:r>
              <w:rPr>
                <w:spacing w:val="-3"/>
                <w:sz w:val="21"/>
                <w:szCs w:val="21"/>
              </w:rPr>
              <w:t>2.3</w:t>
            </w:r>
          </w:p>
        </w:tc>
        <w:tc>
          <w:tcPr>
            <w:tcW w:w="2380" w:type="dxa"/>
            <w:vAlign w:val="top"/>
          </w:tcPr>
          <w:p w14:paraId="5BD83EE1">
            <w:pPr>
              <w:pStyle w:val="6"/>
              <w:spacing w:before="113" w:line="230" w:lineRule="auto"/>
              <w:ind w:left="1030"/>
              <w:rPr>
                <w:sz w:val="21"/>
                <w:szCs w:val="21"/>
              </w:rPr>
            </w:pPr>
            <w:r>
              <w:rPr>
                <w:spacing w:val="-2"/>
                <w:sz w:val="21"/>
                <w:szCs w:val="21"/>
              </w:rPr>
              <w:t>4.6</w:t>
            </w:r>
          </w:p>
        </w:tc>
        <w:tc>
          <w:tcPr>
            <w:tcW w:w="2180" w:type="dxa"/>
            <w:vAlign w:val="top"/>
          </w:tcPr>
          <w:p w14:paraId="1AD82AE4">
            <w:pPr>
              <w:pStyle w:val="6"/>
              <w:spacing w:before="113" w:line="230" w:lineRule="auto"/>
              <w:ind w:left="980"/>
              <w:rPr>
                <w:sz w:val="21"/>
                <w:szCs w:val="21"/>
              </w:rPr>
            </w:pPr>
            <w:r>
              <w:rPr>
                <w:spacing w:val="-6"/>
                <w:sz w:val="21"/>
                <w:szCs w:val="21"/>
              </w:rPr>
              <w:t>15</w:t>
            </w:r>
          </w:p>
        </w:tc>
      </w:tr>
      <w:tr w14:paraId="7678A836">
        <w:trPr>
          <w:trHeight w:val="383" w:hRule="atLeast"/>
        </w:trPr>
        <w:tc>
          <w:tcPr>
            <w:tcW w:w="2080" w:type="dxa"/>
            <w:vAlign w:val="top"/>
          </w:tcPr>
          <w:p w14:paraId="560CF6E3">
            <w:pPr>
              <w:pStyle w:val="6"/>
              <w:spacing w:before="96" w:line="219" w:lineRule="auto"/>
              <w:ind w:left="359"/>
              <w:rPr>
                <w:sz w:val="21"/>
                <w:szCs w:val="21"/>
              </w:rPr>
            </w:pPr>
            <w:r>
              <w:rPr>
                <w:spacing w:val="1"/>
                <w:sz w:val="21"/>
                <w:szCs w:val="21"/>
              </w:rPr>
              <w:t>巴布亚新几内亚</w:t>
            </w:r>
          </w:p>
        </w:tc>
        <w:tc>
          <w:tcPr>
            <w:tcW w:w="2210" w:type="dxa"/>
            <w:vAlign w:val="top"/>
          </w:tcPr>
          <w:p w14:paraId="468DD681">
            <w:pPr>
              <w:pStyle w:val="6"/>
              <w:spacing w:before="118" w:line="224" w:lineRule="auto"/>
              <w:ind w:left="939"/>
              <w:rPr>
                <w:sz w:val="21"/>
                <w:szCs w:val="21"/>
              </w:rPr>
            </w:pPr>
            <w:r>
              <w:rPr>
                <w:spacing w:val="-3"/>
                <w:sz w:val="21"/>
                <w:szCs w:val="21"/>
              </w:rPr>
              <w:t>3.6</w:t>
            </w:r>
          </w:p>
        </w:tc>
        <w:tc>
          <w:tcPr>
            <w:tcW w:w="2380" w:type="dxa"/>
            <w:vAlign w:val="top"/>
          </w:tcPr>
          <w:p w14:paraId="37CF2DFD">
            <w:pPr>
              <w:pStyle w:val="6"/>
              <w:spacing w:before="118" w:line="224" w:lineRule="auto"/>
              <w:ind w:left="1079"/>
              <w:rPr>
                <w:sz w:val="21"/>
                <w:szCs w:val="21"/>
              </w:rPr>
            </w:pPr>
            <w:r>
              <w:rPr>
                <w:spacing w:val="-3"/>
                <w:sz w:val="21"/>
                <w:szCs w:val="21"/>
              </w:rPr>
              <w:t>22</w:t>
            </w:r>
          </w:p>
        </w:tc>
        <w:tc>
          <w:tcPr>
            <w:tcW w:w="2180" w:type="dxa"/>
            <w:vAlign w:val="top"/>
          </w:tcPr>
          <w:p w14:paraId="31936705">
            <w:pPr>
              <w:pStyle w:val="6"/>
              <w:spacing w:before="118" w:line="224" w:lineRule="auto"/>
              <w:ind w:left="930"/>
              <w:rPr>
                <w:sz w:val="21"/>
                <w:szCs w:val="21"/>
              </w:rPr>
            </w:pPr>
            <w:r>
              <w:rPr>
                <w:spacing w:val="-3"/>
                <w:sz w:val="21"/>
                <w:szCs w:val="21"/>
              </w:rPr>
              <w:t>2.3</w:t>
            </w:r>
          </w:p>
        </w:tc>
      </w:tr>
      <w:tr w14:paraId="75C22912">
        <w:trPr>
          <w:trHeight w:val="386" w:hRule="atLeast"/>
        </w:trPr>
        <w:tc>
          <w:tcPr>
            <w:tcW w:w="2080" w:type="dxa"/>
            <w:vAlign w:val="top"/>
          </w:tcPr>
          <w:p w14:paraId="4F83E582">
            <w:pPr>
              <w:pStyle w:val="6"/>
              <w:spacing w:before="91" w:line="219" w:lineRule="auto"/>
              <w:ind w:left="362"/>
              <w:rPr>
                <w:sz w:val="21"/>
                <w:szCs w:val="21"/>
              </w:rPr>
            </w:pPr>
            <w:r>
              <w:rPr>
                <w:b/>
                <w:bCs/>
                <w:spacing w:val="-5"/>
                <w:sz w:val="21"/>
                <w:szCs w:val="21"/>
              </w:rPr>
              <w:t>秘鲁</w:t>
            </w:r>
          </w:p>
        </w:tc>
        <w:tc>
          <w:tcPr>
            <w:tcW w:w="2210" w:type="dxa"/>
            <w:vAlign w:val="top"/>
          </w:tcPr>
          <w:p w14:paraId="6920077A">
            <w:pPr>
              <w:pStyle w:val="6"/>
              <w:spacing w:before="115" w:line="229" w:lineRule="auto"/>
              <w:ind w:left="939"/>
              <w:rPr>
                <w:sz w:val="21"/>
                <w:szCs w:val="21"/>
              </w:rPr>
            </w:pPr>
            <w:r>
              <w:rPr>
                <w:spacing w:val="-2"/>
                <w:sz w:val="21"/>
                <w:szCs w:val="21"/>
              </w:rPr>
              <w:t>4.9</w:t>
            </w:r>
          </w:p>
        </w:tc>
        <w:tc>
          <w:tcPr>
            <w:tcW w:w="2380" w:type="dxa"/>
            <w:vAlign w:val="top"/>
          </w:tcPr>
          <w:p w14:paraId="49D51126">
            <w:pPr>
              <w:pStyle w:val="6"/>
              <w:spacing w:before="115" w:line="229" w:lineRule="auto"/>
              <w:ind w:left="1030"/>
              <w:rPr>
                <w:sz w:val="21"/>
                <w:szCs w:val="21"/>
              </w:rPr>
            </w:pPr>
            <w:r>
              <w:rPr>
                <w:spacing w:val="-3"/>
                <w:sz w:val="21"/>
                <w:szCs w:val="21"/>
              </w:rPr>
              <w:t>9.5</w:t>
            </w:r>
          </w:p>
        </w:tc>
        <w:tc>
          <w:tcPr>
            <w:tcW w:w="2180" w:type="dxa"/>
            <w:vAlign w:val="top"/>
          </w:tcPr>
          <w:p w14:paraId="674E0518">
            <w:pPr>
              <w:pStyle w:val="6"/>
              <w:spacing w:before="115" w:line="229" w:lineRule="auto"/>
              <w:ind w:left="930"/>
              <w:rPr>
                <w:sz w:val="21"/>
                <w:szCs w:val="21"/>
              </w:rPr>
            </w:pPr>
            <w:r>
              <w:rPr>
                <w:spacing w:val="-3"/>
                <w:sz w:val="21"/>
                <w:szCs w:val="21"/>
              </w:rPr>
              <w:t>2.8</w:t>
            </w:r>
          </w:p>
        </w:tc>
      </w:tr>
      <w:tr w14:paraId="05C483AD">
        <w:trPr>
          <w:trHeight w:val="385" w:hRule="atLeast"/>
        </w:trPr>
        <w:tc>
          <w:tcPr>
            <w:tcW w:w="2080" w:type="dxa"/>
            <w:vAlign w:val="top"/>
          </w:tcPr>
          <w:p w14:paraId="3F6A0427">
            <w:pPr>
              <w:pStyle w:val="6"/>
              <w:spacing w:before="98" w:line="219" w:lineRule="auto"/>
              <w:ind w:left="359"/>
              <w:rPr>
                <w:sz w:val="21"/>
                <w:szCs w:val="21"/>
              </w:rPr>
            </w:pPr>
            <w:r>
              <w:rPr>
                <w:spacing w:val="3"/>
                <w:sz w:val="21"/>
                <w:szCs w:val="21"/>
              </w:rPr>
              <w:t>菲律宾</w:t>
            </w:r>
          </w:p>
        </w:tc>
        <w:tc>
          <w:tcPr>
            <w:tcW w:w="2210" w:type="dxa"/>
            <w:vAlign w:val="top"/>
          </w:tcPr>
          <w:p w14:paraId="4F3FC18D">
            <w:pPr>
              <w:pStyle w:val="6"/>
              <w:spacing w:before="120" w:line="224" w:lineRule="auto"/>
              <w:ind w:left="939"/>
              <w:rPr>
                <w:sz w:val="21"/>
                <w:szCs w:val="21"/>
              </w:rPr>
            </w:pPr>
            <w:r>
              <w:rPr>
                <w:spacing w:val="-3"/>
                <w:sz w:val="21"/>
                <w:szCs w:val="21"/>
              </w:rPr>
              <w:t>2.5</w:t>
            </w:r>
          </w:p>
        </w:tc>
        <w:tc>
          <w:tcPr>
            <w:tcW w:w="2380" w:type="dxa"/>
            <w:vAlign w:val="top"/>
          </w:tcPr>
          <w:p w14:paraId="7CD7EDEA">
            <w:pPr>
              <w:pStyle w:val="6"/>
              <w:spacing w:before="120" w:line="224" w:lineRule="auto"/>
              <w:ind w:left="1079"/>
              <w:rPr>
                <w:sz w:val="21"/>
                <w:szCs w:val="21"/>
              </w:rPr>
            </w:pPr>
            <w:r>
              <w:rPr>
                <w:spacing w:val="-3"/>
                <w:sz w:val="21"/>
                <w:szCs w:val="21"/>
              </w:rPr>
              <w:t>23</w:t>
            </w:r>
          </w:p>
        </w:tc>
        <w:tc>
          <w:tcPr>
            <w:tcW w:w="2180" w:type="dxa"/>
            <w:vAlign w:val="top"/>
          </w:tcPr>
          <w:p w14:paraId="2E4D5B44">
            <w:pPr>
              <w:pStyle w:val="6"/>
              <w:spacing w:before="120" w:line="224" w:lineRule="auto"/>
              <w:ind w:left="980"/>
              <w:rPr>
                <w:sz w:val="21"/>
                <w:szCs w:val="21"/>
              </w:rPr>
            </w:pPr>
            <w:r>
              <w:rPr>
                <w:spacing w:val="-4"/>
                <w:sz w:val="21"/>
                <w:szCs w:val="21"/>
              </w:rPr>
              <w:t>31</w:t>
            </w:r>
          </w:p>
        </w:tc>
      </w:tr>
      <w:tr w14:paraId="11A16373">
        <w:trPr>
          <w:trHeight w:val="380" w:hRule="atLeast"/>
        </w:trPr>
        <w:tc>
          <w:tcPr>
            <w:tcW w:w="2080" w:type="dxa"/>
            <w:vAlign w:val="top"/>
          </w:tcPr>
          <w:p w14:paraId="1BE4E65B">
            <w:pPr>
              <w:pStyle w:val="6"/>
              <w:spacing w:before="94" w:line="220" w:lineRule="auto"/>
              <w:ind w:left="359"/>
              <w:rPr>
                <w:sz w:val="21"/>
                <w:szCs w:val="21"/>
              </w:rPr>
            </w:pPr>
            <w:r>
              <w:rPr>
                <w:spacing w:val="-2"/>
                <w:sz w:val="21"/>
                <w:szCs w:val="21"/>
              </w:rPr>
              <w:t>摩尔多瓦</w:t>
            </w:r>
          </w:p>
        </w:tc>
        <w:tc>
          <w:tcPr>
            <w:tcW w:w="2210" w:type="dxa"/>
            <w:vAlign w:val="top"/>
          </w:tcPr>
          <w:p w14:paraId="7F5DBAA6">
            <w:pPr>
              <w:pStyle w:val="6"/>
              <w:spacing w:before="115" w:line="224" w:lineRule="auto"/>
              <w:ind w:left="999"/>
              <w:rPr>
                <w:sz w:val="21"/>
                <w:szCs w:val="21"/>
              </w:rPr>
            </w:pPr>
            <w:r>
              <w:rPr>
                <w:spacing w:val="-3"/>
                <w:sz w:val="21"/>
                <w:szCs w:val="21"/>
              </w:rPr>
              <w:t>28</w:t>
            </w:r>
          </w:p>
        </w:tc>
        <w:tc>
          <w:tcPr>
            <w:tcW w:w="2380" w:type="dxa"/>
            <w:vAlign w:val="top"/>
          </w:tcPr>
          <w:p w14:paraId="5F024673">
            <w:pPr>
              <w:pStyle w:val="6"/>
              <w:spacing w:before="115" w:line="224" w:lineRule="auto"/>
              <w:ind w:left="1079"/>
              <w:rPr>
                <w:sz w:val="21"/>
                <w:szCs w:val="21"/>
              </w:rPr>
            </w:pPr>
            <w:r>
              <w:rPr>
                <w:spacing w:val="-4"/>
                <w:sz w:val="21"/>
                <w:szCs w:val="21"/>
              </w:rPr>
              <w:t>57</w:t>
            </w:r>
          </w:p>
        </w:tc>
        <w:tc>
          <w:tcPr>
            <w:tcW w:w="2180" w:type="dxa"/>
            <w:vAlign w:val="top"/>
          </w:tcPr>
          <w:p w14:paraId="74852EB8">
            <w:pPr>
              <w:pStyle w:val="6"/>
              <w:spacing w:before="115" w:line="224" w:lineRule="auto"/>
              <w:ind w:left="930"/>
              <w:rPr>
                <w:sz w:val="21"/>
                <w:szCs w:val="21"/>
              </w:rPr>
            </w:pPr>
            <w:r>
              <w:rPr>
                <w:spacing w:val="-3"/>
                <w:sz w:val="21"/>
                <w:szCs w:val="21"/>
              </w:rPr>
              <w:t>0.9</w:t>
            </w:r>
          </w:p>
        </w:tc>
      </w:tr>
      <w:tr w14:paraId="21EBDD9A">
        <w:trPr>
          <w:trHeight w:val="379" w:hRule="atLeast"/>
        </w:trPr>
        <w:tc>
          <w:tcPr>
            <w:tcW w:w="2080" w:type="dxa"/>
            <w:vAlign w:val="top"/>
          </w:tcPr>
          <w:p w14:paraId="2626CCD9">
            <w:pPr>
              <w:pStyle w:val="6"/>
              <w:spacing w:before="94" w:line="220" w:lineRule="auto"/>
              <w:ind w:left="359"/>
              <w:rPr>
                <w:sz w:val="21"/>
                <w:szCs w:val="21"/>
              </w:rPr>
            </w:pPr>
            <w:r>
              <w:rPr>
                <w:spacing w:val="-2"/>
                <w:sz w:val="21"/>
                <w:szCs w:val="21"/>
              </w:rPr>
              <w:t>俄罗斯</w:t>
            </w:r>
          </w:p>
        </w:tc>
        <w:tc>
          <w:tcPr>
            <w:tcW w:w="2210" w:type="dxa"/>
            <w:vAlign w:val="top"/>
          </w:tcPr>
          <w:p w14:paraId="03ECE071">
            <w:pPr>
              <w:pStyle w:val="6"/>
              <w:spacing w:before="114" w:line="224" w:lineRule="auto"/>
              <w:ind w:left="999"/>
              <w:rPr>
                <w:sz w:val="21"/>
                <w:szCs w:val="21"/>
              </w:rPr>
            </w:pPr>
            <w:r>
              <w:rPr>
                <w:spacing w:val="-4"/>
                <w:sz w:val="21"/>
                <w:szCs w:val="21"/>
              </w:rPr>
              <w:t>37</w:t>
            </w:r>
          </w:p>
        </w:tc>
        <w:tc>
          <w:tcPr>
            <w:tcW w:w="2380" w:type="dxa"/>
            <w:vAlign w:val="top"/>
          </w:tcPr>
          <w:p w14:paraId="0F7E1310">
            <w:pPr>
              <w:pStyle w:val="6"/>
              <w:spacing w:before="114" w:line="224" w:lineRule="auto"/>
              <w:ind w:left="1079"/>
              <w:rPr>
                <w:sz w:val="21"/>
                <w:szCs w:val="21"/>
              </w:rPr>
            </w:pPr>
            <w:r>
              <w:rPr>
                <w:spacing w:val="-3"/>
                <w:sz w:val="21"/>
                <w:szCs w:val="21"/>
              </w:rPr>
              <w:t>68</w:t>
            </w:r>
          </w:p>
        </w:tc>
        <w:tc>
          <w:tcPr>
            <w:tcW w:w="2180" w:type="dxa"/>
            <w:vAlign w:val="top"/>
          </w:tcPr>
          <w:p w14:paraId="6CAD080C">
            <w:pPr>
              <w:pStyle w:val="6"/>
              <w:spacing w:before="114" w:line="224" w:lineRule="auto"/>
              <w:ind w:left="980"/>
              <w:rPr>
                <w:sz w:val="21"/>
                <w:szCs w:val="21"/>
              </w:rPr>
            </w:pPr>
            <w:r>
              <w:rPr>
                <w:spacing w:val="-4"/>
                <w:sz w:val="21"/>
                <w:szCs w:val="21"/>
              </w:rPr>
              <w:t>31</w:t>
            </w:r>
          </w:p>
        </w:tc>
      </w:tr>
      <w:tr w14:paraId="24BE8180">
        <w:trPr>
          <w:trHeight w:val="381" w:hRule="atLeast"/>
        </w:trPr>
        <w:tc>
          <w:tcPr>
            <w:tcW w:w="2080" w:type="dxa"/>
            <w:vAlign w:val="top"/>
          </w:tcPr>
          <w:p w14:paraId="059DCAC3">
            <w:pPr>
              <w:pStyle w:val="6"/>
              <w:spacing w:before="95" w:line="220" w:lineRule="auto"/>
              <w:ind w:left="359"/>
              <w:rPr>
                <w:sz w:val="21"/>
                <w:szCs w:val="21"/>
              </w:rPr>
            </w:pPr>
            <w:r>
              <w:rPr>
                <w:spacing w:val="3"/>
                <w:sz w:val="21"/>
                <w:szCs w:val="21"/>
              </w:rPr>
              <w:t>索马里</w:t>
            </w:r>
          </w:p>
        </w:tc>
        <w:tc>
          <w:tcPr>
            <w:tcW w:w="2210" w:type="dxa"/>
            <w:vAlign w:val="top"/>
          </w:tcPr>
          <w:p w14:paraId="53D622CA">
            <w:pPr>
              <w:pStyle w:val="6"/>
              <w:spacing w:before="115" w:line="225" w:lineRule="auto"/>
              <w:ind w:left="939"/>
              <w:rPr>
                <w:sz w:val="21"/>
                <w:szCs w:val="21"/>
              </w:rPr>
            </w:pPr>
            <w:r>
              <w:rPr>
                <w:spacing w:val="-2"/>
                <w:sz w:val="21"/>
                <w:szCs w:val="21"/>
              </w:rPr>
              <w:t>4.6</w:t>
            </w:r>
          </w:p>
        </w:tc>
        <w:tc>
          <w:tcPr>
            <w:tcW w:w="2380" w:type="dxa"/>
            <w:vAlign w:val="top"/>
          </w:tcPr>
          <w:p w14:paraId="7B28F7CD">
            <w:pPr>
              <w:pStyle w:val="6"/>
              <w:spacing w:before="115" w:line="225" w:lineRule="auto"/>
              <w:ind w:left="1079"/>
              <w:rPr>
                <w:sz w:val="21"/>
                <w:szCs w:val="21"/>
              </w:rPr>
            </w:pPr>
            <w:r>
              <w:rPr>
                <w:spacing w:val="-3"/>
                <w:sz w:val="21"/>
                <w:szCs w:val="21"/>
              </w:rPr>
              <w:t>86</w:t>
            </w:r>
          </w:p>
        </w:tc>
        <w:tc>
          <w:tcPr>
            <w:tcW w:w="2180" w:type="dxa"/>
            <w:vAlign w:val="top"/>
          </w:tcPr>
          <w:p w14:paraId="0F7296FB">
            <w:pPr>
              <w:pStyle w:val="6"/>
              <w:spacing w:before="115" w:line="225" w:lineRule="auto"/>
              <w:ind w:left="930"/>
              <w:rPr>
                <w:sz w:val="21"/>
                <w:szCs w:val="21"/>
              </w:rPr>
            </w:pPr>
            <w:r>
              <w:rPr>
                <w:spacing w:val="-3"/>
                <w:sz w:val="21"/>
                <w:szCs w:val="21"/>
              </w:rPr>
              <w:t>2.1</w:t>
            </w:r>
          </w:p>
        </w:tc>
      </w:tr>
      <w:tr w14:paraId="75B677C8">
        <w:trPr>
          <w:trHeight w:val="373" w:hRule="atLeast"/>
        </w:trPr>
        <w:tc>
          <w:tcPr>
            <w:tcW w:w="2080" w:type="dxa"/>
            <w:vAlign w:val="top"/>
          </w:tcPr>
          <w:p w14:paraId="1A47BF75">
            <w:pPr>
              <w:pStyle w:val="6"/>
              <w:spacing w:before="94" w:line="220" w:lineRule="auto"/>
              <w:ind w:left="359"/>
              <w:rPr>
                <w:sz w:val="21"/>
                <w:szCs w:val="21"/>
              </w:rPr>
            </w:pPr>
            <w:r>
              <w:rPr>
                <w:spacing w:val="-3"/>
                <w:sz w:val="21"/>
                <w:szCs w:val="21"/>
              </w:rPr>
              <w:t>南非</w:t>
            </w:r>
          </w:p>
        </w:tc>
        <w:tc>
          <w:tcPr>
            <w:tcW w:w="2210" w:type="dxa"/>
            <w:vAlign w:val="top"/>
          </w:tcPr>
          <w:p w14:paraId="391D633C">
            <w:pPr>
              <w:pStyle w:val="6"/>
              <w:spacing w:before="115" w:line="218" w:lineRule="auto"/>
              <w:ind w:left="939"/>
              <w:rPr>
                <w:sz w:val="21"/>
                <w:szCs w:val="21"/>
              </w:rPr>
            </w:pPr>
            <w:r>
              <w:rPr>
                <w:spacing w:val="-3"/>
                <w:sz w:val="21"/>
                <w:szCs w:val="21"/>
              </w:rPr>
              <w:t>2.9</w:t>
            </w:r>
          </w:p>
        </w:tc>
        <w:tc>
          <w:tcPr>
            <w:tcW w:w="2380" w:type="dxa"/>
            <w:vAlign w:val="top"/>
          </w:tcPr>
          <w:p w14:paraId="6F7AFBE5">
            <w:pPr>
              <w:pStyle w:val="6"/>
              <w:spacing w:before="115" w:line="218" w:lineRule="auto"/>
              <w:ind w:left="1079"/>
              <w:rPr>
                <w:sz w:val="21"/>
                <w:szCs w:val="21"/>
              </w:rPr>
            </w:pPr>
            <w:r>
              <w:rPr>
                <w:spacing w:val="-6"/>
                <w:sz w:val="21"/>
                <w:szCs w:val="21"/>
              </w:rPr>
              <w:t>10</w:t>
            </w:r>
          </w:p>
        </w:tc>
        <w:tc>
          <w:tcPr>
            <w:tcW w:w="2180" w:type="dxa"/>
            <w:vAlign w:val="top"/>
          </w:tcPr>
          <w:p w14:paraId="4DA2C11B">
            <w:pPr>
              <w:pStyle w:val="6"/>
              <w:spacing w:before="115" w:line="218" w:lineRule="auto"/>
              <w:ind w:left="980"/>
              <w:rPr>
                <w:sz w:val="21"/>
                <w:szCs w:val="21"/>
              </w:rPr>
            </w:pPr>
            <w:r>
              <w:rPr>
                <w:spacing w:val="-6"/>
                <w:sz w:val="21"/>
                <w:szCs w:val="21"/>
              </w:rPr>
              <w:t>11</w:t>
            </w:r>
          </w:p>
        </w:tc>
      </w:tr>
      <w:tr w14:paraId="16E6FEDC">
        <w:trPr>
          <w:trHeight w:val="380" w:hRule="atLeast"/>
        </w:trPr>
        <w:tc>
          <w:tcPr>
            <w:tcW w:w="2080" w:type="dxa"/>
            <w:vAlign w:val="top"/>
          </w:tcPr>
          <w:p w14:paraId="3CBCCDE5">
            <w:pPr>
              <w:pStyle w:val="6"/>
              <w:spacing w:before="90" w:line="219" w:lineRule="auto"/>
              <w:ind w:left="359"/>
              <w:rPr>
                <w:sz w:val="21"/>
                <w:szCs w:val="21"/>
              </w:rPr>
            </w:pPr>
            <w:r>
              <w:rPr>
                <w:spacing w:val="-2"/>
                <w:sz w:val="21"/>
                <w:szCs w:val="21"/>
              </w:rPr>
              <w:t>塔吉克斯坦</w:t>
            </w:r>
          </w:p>
        </w:tc>
        <w:tc>
          <w:tcPr>
            <w:tcW w:w="2210" w:type="dxa"/>
            <w:vAlign w:val="top"/>
          </w:tcPr>
          <w:p w14:paraId="65698B85">
            <w:pPr>
              <w:pStyle w:val="6"/>
              <w:spacing w:before="111" w:line="227" w:lineRule="auto"/>
              <w:ind w:left="999"/>
              <w:rPr>
                <w:sz w:val="21"/>
                <w:szCs w:val="21"/>
              </w:rPr>
            </w:pPr>
            <w:r>
              <w:rPr>
                <w:spacing w:val="-3"/>
                <w:sz w:val="21"/>
                <w:szCs w:val="21"/>
              </w:rPr>
              <w:t>28</w:t>
            </w:r>
          </w:p>
        </w:tc>
        <w:tc>
          <w:tcPr>
            <w:tcW w:w="2380" w:type="dxa"/>
            <w:vAlign w:val="top"/>
          </w:tcPr>
          <w:p w14:paraId="435FA5A0">
            <w:pPr>
              <w:pStyle w:val="6"/>
              <w:spacing w:before="111" w:line="227" w:lineRule="auto"/>
              <w:ind w:left="1079"/>
              <w:rPr>
                <w:sz w:val="21"/>
                <w:szCs w:val="21"/>
              </w:rPr>
            </w:pPr>
            <w:r>
              <w:rPr>
                <w:spacing w:val="-4"/>
                <w:sz w:val="21"/>
                <w:szCs w:val="21"/>
              </w:rPr>
              <w:t>33</w:t>
            </w:r>
          </w:p>
        </w:tc>
        <w:tc>
          <w:tcPr>
            <w:tcW w:w="2180" w:type="dxa"/>
            <w:vAlign w:val="top"/>
          </w:tcPr>
          <w:p w14:paraId="7B9DF88C">
            <w:pPr>
              <w:pStyle w:val="6"/>
              <w:spacing w:before="111" w:line="227" w:lineRule="auto"/>
              <w:ind w:left="930"/>
              <w:rPr>
                <w:sz w:val="21"/>
                <w:szCs w:val="21"/>
              </w:rPr>
            </w:pPr>
            <w:r>
              <w:rPr>
                <w:spacing w:val="-3"/>
                <w:sz w:val="21"/>
                <w:szCs w:val="21"/>
              </w:rPr>
              <w:t>2.2</w:t>
            </w:r>
          </w:p>
        </w:tc>
      </w:tr>
      <w:tr w14:paraId="520B7899">
        <w:trPr>
          <w:trHeight w:val="385" w:hRule="atLeast"/>
        </w:trPr>
        <w:tc>
          <w:tcPr>
            <w:tcW w:w="2080" w:type="dxa"/>
            <w:vAlign w:val="top"/>
          </w:tcPr>
          <w:p w14:paraId="3AAC4A58">
            <w:pPr>
              <w:pStyle w:val="6"/>
              <w:spacing w:before="100" w:line="219" w:lineRule="auto"/>
              <w:ind w:left="359"/>
              <w:rPr>
                <w:sz w:val="21"/>
                <w:szCs w:val="21"/>
              </w:rPr>
            </w:pPr>
            <w:r>
              <w:rPr>
                <w:spacing w:val="-3"/>
                <w:sz w:val="21"/>
                <w:szCs w:val="21"/>
              </w:rPr>
              <w:t>乌克兰</w:t>
            </w:r>
          </w:p>
        </w:tc>
        <w:tc>
          <w:tcPr>
            <w:tcW w:w="2210" w:type="dxa"/>
            <w:vAlign w:val="top"/>
          </w:tcPr>
          <w:p w14:paraId="48456F92">
            <w:pPr>
              <w:pStyle w:val="6"/>
              <w:spacing w:before="121" w:line="223" w:lineRule="auto"/>
              <w:ind w:left="999"/>
              <w:rPr>
                <w:sz w:val="21"/>
                <w:szCs w:val="21"/>
              </w:rPr>
            </w:pPr>
            <w:r>
              <w:rPr>
                <w:spacing w:val="-3"/>
                <w:sz w:val="21"/>
                <w:szCs w:val="21"/>
              </w:rPr>
              <w:t>29</w:t>
            </w:r>
          </w:p>
        </w:tc>
        <w:tc>
          <w:tcPr>
            <w:tcW w:w="2380" w:type="dxa"/>
            <w:vAlign w:val="top"/>
          </w:tcPr>
          <w:p w14:paraId="723AC5DD">
            <w:pPr>
              <w:pStyle w:val="6"/>
              <w:spacing w:before="121" w:line="223" w:lineRule="auto"/>
              <w:ind w:left="1079"/>
              <w:rPr>
                <w:sz w:val="21"/>
                <w:szCs w:val="21"/>
              </w:rPr>
            </w:pPr>
            <w:r>
              <w:rPr>
                <w:spacing w:val="-2"/>
                <w:sz w:val="21"/>
                <w:szCs w:val="21"/>
              </w:rPr>
              <w:t>43</w:t>
            </w:r>
          </w:p>
        </w:tc>
        <w:tc>
          <w:tcPr>
            <w:tcW w:w="2180" w:type="dxa"/>
            <w:vAlign w:val="top"/>
          </w:tcPr>
          <w:p w14:paraId="5B8FF38C">
            <w:pPr>
              <w:pStyle w:val="6"/>
              <w:spacing w:before="121" w:line="223" w:lineRule="auto"/>
              <w:ind w:left="980"/>
              <w:rPr>
                <w:sz w:val="21"/>
                <w:szCs w:val="21"/>
              </w:rPr>
            </w:pPr>
            <w:r>
              <w:rPr>
                <w:spacing w:val="-6"/>
                <w:sz w:val="21"/>
                <w:szCs w:val="21"/>
              </w:rPr>
              <w:t>12</w:t>
            </w:r>
          </w:p>
        </w:tc>
      </w:tr>
      <w:tr w14:paraId="60DC1D7F">
        <w:trPr>
          <w:trHeight w:val="381" w:hRule="atLeast"/>
        </w:trPr>
        <w:tc>
          <w:tcPr>
            <w:tcW w:w="2080" w:type="dxa"/>
            <w:vAlign w:val="top"/>
          </w:tcPr>
          <w:p w14:paraId="6424FC1D">
            <w:pPr>
              <w:pStyle w:val="6"/>
              <w:spacing w:before="95" w:line="219" w:lineRule="auto"/>
              <w:ind w:left="359"/>
              <w:rPr>
                <w:sz w:val="21"/>
                <w:szCs w:val="21"/>
              </w:rPr>
            </w:pPr>
            <w:r>
              <w:rPr>
                <w:spacing w:val="-2"/>
                <w:sz w:val="21"/>
                <w:szCs w:val="21"/>
              </w:rPr>
              <w:t>乌兹别克斯坦</w:t>
            </w:r>
          </w:p>
        </w:tc>
        <w:tc>
          <w:tcPr>
            <w:tcW w:w="2210" w:type="dxa"/>
            <w:vAlign w:val="top"/>
          </w:tcPr>
          <w:p w14:paraId="2A3AFF10">
            <w:pPr>
              <w:pStyle w:val="6"/>
              <w:spacing w:before="116" w:line="224" w:lineRule="auto"/>
              <w:ind w:left="999"/>
              <w:rPr>
                <w:sz w:val="21"/>
                <w:szCs w:val="21"/>
              </w:rPr>
            </w:pPr>
            <w:r>
              <w:rPr>
                <w:spacing w:val="-6"/>
                <w:sz w:val="21"/>
                <w:szCs w:val="21"/>
              </w:rPr>
              <w:t>16</w:t>
            </w:r>
          </w:p>
        </w:tc>
        <w:tc>
          <w:tcPr>
            <w:tcW w:w="2380" w:type="dxa"/>
            <w:vAlign w:val="top"/>
          </w:tcPr>
          <w:p w14:paraId="39A51BF2">
            <w:pPr>
              <w:pStyle w:val="6"/>
              <w:spacing w:before="116" w:line="224" w:lineRule="auto"/>
              <w:ind w:left="1079"/>
              <w:rPr>
                <w:sz w:val="21"/>
                <w:szCs w:val="21"/>
              </w:rPr>
            </w:pPr>
            <w:r>
              <w:rPr>
                <w:spacing w:val="-4"/>
                <w:sz w:val="21"/>
                <w:szCs w:val="21"/>
              </w:rPr>
              <w:t>31</w:t>
            </w:r>
          </w:p>
        </w:tc>
        <w:tc>
          <w:tcPr>
            <w:tcW w:w="2180" w:type="dxa"/>
            <w:vAlign w:val="top"/>
          </w:tcPr>
          <w:p w14:paraId="337D4624">
            <w:pPr>
              <w:pStyle w:val="6"/>
              <w:spacing w:before="116" w:line="224" w:lineRule="auto"/>
              <w:ind w:left="930"/>
              <w:rPr>
                <w:sz w:val="21"/>
                <w:szCs w:val="21"/>
              </w:rPr>
            </w:pPr>
            <w:r>
              <w:rPr>
                <w:spacing w:val="-3"/>
                <w:sz w:val="21"/>
                <w:szCs w:val="21"/>
              </w:rPr>
              <w:t>5.8</w:t>
            </w:r>
          </w:p>
        </w:tc>
      </w:tr>
      <w:tr w14:paraId="75035430">
        <w:trPr>
          <w:trHeight w:val="380" w:hRule="atLeast"/>
        </w:trPr>
        <w:tc>
          <w:tcPr>
            <w:tcW w:w="2080" w:type="dxa"/>
            <w:vAlign w:val="top"/>
          </w:tcPr>
          <w:p w14:paraId="04C1ABEF">
            <w:pPr>
              <w:pStyle w:val="6"/>
              <w:spacing w:before="95" w:line="221" w:lineRule="auto"/>
              <w:ind w:left="359"/>
              <w:rPr>
                <w:sz w:val="21"/>
                <w:szCs w:val="21"/>
              </w:rPr>
            </w:pPr>
            <w:r>
              <w:rPr>
                <w:spacing w:val="-2"/>
                <w:sz w:val="21"/>
                <w:szCs w:val="21"/>
              </w:rPr>
              <w:t>越南</w:t>
            </w:r>
          </w:p>
        </w:tc>
        <w:tc>
          <w:tcPr>
            <w:tcW w:w="2210" w:type="dxa"/>
            <w:vAlign w:val="top"/>
          </w:tcPr>
          <w:p w14:paraId="4E96026C">
            <w:pPr>
              <w:pStyle w:val="6"/>
              <w:spacing w:before="115" w:line="224" w:lineRule="auto"/>
              <w:ind w:left="939"/>
              <w:rPr>
                <w:sz w:val="21"/>
                <w:szCs w:val="21"/>
              </w:rPr>
            </w:pPr>
            <w:r>
              <w:rPr>
                <w:spacing w:val="-2"/>
                <w:sz w:val="21"/>
                <w:szCs w:val="21"/>
              </w:rPr>
              <w:t>4.5</w:t>
            </w:r>
          </w:p>
        </w:tc>
        <w:tc>
          <w:tcPr>
            <w:tcW w:w="2380" w:type="dxa"/>
            <w:vAlign w:val="top"/>
          </w:tcPr>
          <w:p w14:paraId="3B7983AC">
            <w:pPr>
              <w:pStyle w:val="6"/>
              <w:spacing w:before="115" w:line="224" w:lineRule="auto"/>
              <w:ind w:left="1079"/>
              <w:rPr>
                <w:sz w:val="21"/>
                <w:szCs w:val="21"/>
              </w:rPr>
            </w:pPr>
            <w:r>
              <w:rPr>
                <w:spacing w:val="-6"/>
                <w:sz w:val="21"/>
                <w:szCs w:val="21"/>
              </w:rPr>
              <w:t>15</w:t>
            </w:r>
          </w:p>
        </w:tc>
        <w:tc>
          <w:tcPr>
            <w:tcW w:w="2180" w:type="dxa"/>
            <w:vAlign w:val="top"/>
          </w:tcPr>
          <w:p w14:paraId="32C042FE">
            <w:pPr>
              <w:pStyle w:val="6"/>
              <w:spacing w:before="115" w:line="224" w:lineRule="auto"/>
              <w:ind w:left="930"/>
              <w:rPr>
                <w:sz w:val="21"/>
                <w:szCs w:val="21"/>
              </w:rPr>
            </w:pPr>
            <w:r>
              <w:rPr>
                <w:spacing w:val="-3"/>
                <w:sz w:val="21"/>
                <w:szCs w:val="21"/>
              </w:rPr>
              <w:t>9.2</w:t>
            </w:r>
          </w:p>
        </w:tc>
      </w:tr>
      <w:tr w14:paraId="2F4DED1D">
        <w:trPr>
          <w:trHeight w:val="378" w:hRule="atLeast"/>
        </w:trPr>
        <w:tc>
          <w:tcPr>
            <w:tcW w:w="2080" w:type="dxa"/>
            <w:vAlign w:val="top"/>
          </w:tcPr>
          <w:p w14:paraId="52BBF531">
            <w:pPr>
              <w:pStyle w:val="6"/>
              <w:spacing w:before="95" w:line="220" w:lineRule="auto"/>
              <w:ind w:left="359"/>
              <w:rPr>
                <w:sz w:val="21"/>
                <w:szCs w:val="21"/>
              </w:rPr>
            </w:pPr>
            <w:r>
              <w:rPr>
                <w:spacing w:val="3"/>
                <w:sz w:val="21"/>
                <w:szCs w:val="21"/>
              </w:rPr>
              <w:t>赞比亚</w:t>
            </w:r>
          </w:p>
        </w:tc>
        <w:tc>
          <w:tcPr>
            <w:tcW w:w="2210" w:type="dxa"/>
            <w:vAlign w:val="top"/>
          </w:tcPr>
          <w:p w14:paraId="67A42F5D">
            <w:pPr>
              <w:pStyle w:val="6"/>
              <w:spacing w:before="115" w:line="222" w:lineRule="auto"/>
              <w:ind w:left="939"/>
              <w:rPr>
                <w:sz w:val="21"/>
                <w:szCs w:val="21"/>
              </w:rPr>
            </w:pPr>
            <w:r>
              <w:rPr>
                <w:spacing w:val="-3"/>
                <w:sz w:val="21"/>
                <w:szCs w:val="21"/>
              </w:rPr>
              <w:t>2.2</w:t>
            </w:r>
          </w:p>
        </w:tc>
        <w:tc>
          <w:tcPr>
            <w:tcW w:w="2380" w:type="dxa"/>
            <w:vAlign w:val="top"/>
          </w:tcPr>
          <w:p w14:paraId="75C5ABBA">
            <w:pPr>
              <w:pStyle w:val="6"/>
              <w:spacing w:before="115" w:line="222" w:lineRule="auto"/>
              <w:ind w:left="1079"/>
              <w:rPr>
                <w:sz w:val="21"/>
                <w:szCs w:val="21"/>
              </w:rPr>
            </w:pPr>
            <w:r>
              <w:rPr>
                <w:spacing w:val="-6"/>
                <w:sz w:val="21"/>
                <w:szCs w:val="21"/>
              </w:rPr>
              <w:t>10</w:t>
            </w:r>
          </w:p>
        </w:tc>
        <w:tc>
          <w:tcPr>
            <w:tcW w:w="2180" w:type="dxa"/>
            <w:vAlign w:val="top"/>
          </w:tcPr>
          <w:p w14:paraId="3B360DE8">
            <w:pPr>
              <w:pStyle w:val="6"/>
              <w:spacing w:before="115" w:line="222" w:lineRule="auto"/>
              <w:ind w:left="930"/>
              <w:rPr>
                <w:sz w:val="21"/>
                <w:szCs w:val="21"/>
              </w:rPr>
            </w:pPr>
            <w:r>
              <w:rPr>
                <w:spacing w:val="-6"/>
                <w:sz w:val="21"/>
                <w:szCs w:val="21"/>
              </w:rPr>
              <w:t>1.9</w:t>
            </w:r>
          </w:p>
        </w:tc>
      </w:tr>
      <w:tr w14:paraId="3D7A23D3">
        <w:trPr>
          <w:trHeight w:val="401" w:hRule="atLeast"/>
        </w:trPr>
        <w:tc>
          <w:tcPr>
            <w:tcW w:w="2080" w:type="dxa"/>
            <w:vAlign w:val="top"/>
          </w:tcPr>
          <w:p w14:paraId="5CA498FE">
            <w:pPr>
              <w:pStyle w:val="6"/>
              <w:spacing w:before="95" w:line="219" w:lineRule="auto"/>
              <w:ind w:left="359"/>
              <w:rPr>
                <w:sz w:val="21"/>
                <w:szCs w:val="21"/>
              </w:rPr>
            </w:pPr>
            <w:r>
              <w:rPr>
                <w:spacing w:val="4"/>
                <w:sz w:val="21"/>
                <w:szCs w:val="21"/>
              </w:rPr>
              <w:t>津巴布韦</w:t>
            </w:r>
          </w:p>
        </w:tc>
        <w:tc>
          <w:tcPr>
            <w:tcW w:w="2210" w:type="dxa"/>
            <w:vAlign w:val="top"/>
          </w:tcPr>
          <w:p w14:paraId="78E9CD16">
            <w:pPr>
              <w:pStyle w:val="6"/>
              <w:spacing w:before="117" w:line="239" w:lineRule="auto"/>
              <w:ind w:left="939"/>
              <w:rPr>
                <w:sz w:val="21"/>
                <w:szCs w:val="21"/>
              </w:rPr>
            </w:pPr>
            <w:r>
              <w:rPr>
                <w:spacing w:val="-6"/>
                <w:sz w:val="21"/>
                <w:szCs w:val="21"/>
              </w:rPr>
              <w:t>1.7</w:t>
            </w:r>
          </w:p>
        </w:tc>
        <w:tc>
          <w:tcPr>
            <w:tcW w:w="2380" w:type="dxa"/>
            <w:vAlign w:val="top"/>
          </w:tcPr>
          <w:p w14:paraId="53899A61">
            <w:pPr>
              <w:pStyle w:val="6"/>
              <w:spacing w:before="117"/>
              <w:ind w:left="1079"/>
              <w:rPr>
                <w:sz w:val="21"/>
                <w:szCs w:val="21"/>
              </w:rPr>
            </w:pPr>
            <w:r>
              <w:rPr>
                <w:spacing w:val="-3"/>
                <w:sz w:val="21"/>
                <w:szCs w:val="21"/>
              </w:rPr>
              <w:t>20</w:t>
            </w:r>
          </w:p>
        </w:tc>
        <w:tc>
          <w:tcPr>
            <w:tcW w:w="2180" w:type="dxa"/>
            <w:vAlign w:val="top"/>
          </w:tcPr>
          <w:p w14:paraId="2EBC5F60">
            <w:pPr>
              <w:pStyle w:val="6"/>
              <w:spacing w:before="117" w:line="239" w:lineRule="auto"/>
              <w:ind w:left="879"/>
              <w:rPr>
                <w:sz w:val="21"/>
                <w:szCs w:val="21"/>
              </w:rPr>
            </w:pPr>
            <w:r>
              <w:rPr>
                <w:spacing w:val="-2"/>
                <w:sz w:val="21"/>
                <w:szCs w:val="21"/>
              </w:rPr>
              <w:t>0.82</w:t>
            </w:r>
          </w:p>
        </w:tc>
      </w:tr>
      <w:tr w14:paraId="668D508C">
        <w:trPr>
          <w:trHeight w:val="442" w:hRule="atLeast"/>
        </w:trPr>
        <w:tc>
          <w:tcPr>
            <w:tcW w:w="2080" w:type="dxa"/>
            <w:tcBorders>
              <w:bottom w:val="single" w:color="000000" w:sz="4" w:space="0"/>
            </w:tcBorders>
            <w:vAlign w:val="top"/>
          </w:tcPr>
          <w:p w14:paraId="25485FC7">
            <w:pPr>
              <w:pStyle w:val="6"/>
              <w:spacing w:before="116" w:line="221" w:lineRule="auto"/>
              <w:ind w:left="359"/>
              <w:rPr>
                <w:sz w:val="21"/>
                <w:szCs w:val="21"/>
              </w:rPr>
            </w:pPr>
            <w:r>
              <w:rPr>
                <w:spacing w:val="-3"/>
                <w:sz w:val="21"/>
                <w:szCs w:val="21"/>
              </w:rPr>
              <w:t>全球</w:t>
            </w:r>
          </w:p>
        </w:tc>
        <w:tc>
          <w:tcPr>
            <w:tcW w:w="2210" w:type="dxa"/>
            <w:tcBorders>
              <w:bottom w:val="single" w:color="000000" w:sz="4" w:space="0"/>
            </w:tcBorders>
            <w:vAlign w:val="top"/>
          </w:tcPr>
          <w:p w14:paraId="4F294419">
            <w:pPr>
              <w:pStyle w:val="6"/>
              <w:spacing w:before="136" w:line="239" w:lineRule="auto"/>
              <w:ind w:left="939"/>
              <w:rPr>
                <w:sz w:val="21"/>
                <w:szCs w:val="21"/>
              </w:rPr>
            </w:pPr>
            <w:r>
              <w:rPr>
                <w:spacing w:val="-3"/>
                <w:sz w:val="21"/>
                <w:szCs w:val="21"/>
              </w:rPr>
              <w:t>3.3</w:t>
            </w:r>
          </w:p>
        </w:tc>
        <w:tc>
          <w:tcPr>
            <w:tcW w:w="2380" w:type="dxa"/>
            <w:tcBorders>
              <w:bottom w:val="single" w:color="000000" w:sz="4" w:space="0"/>
            </w:tcBorders>
            <w:vAlign w:val="top"/>
          </w:tcPr>
          <w:p w14:paraId="18192B64">
            <w:pPr>
              <w:pStyle w:val="6"/>
              <w:spacing w:before="136"/>
              <w:ind w:left="1079"/>
              <w:rPr>
                <w:sz w:val="21"/>
                <w:szCs w:val="21"/>
              </w:rPr>
            </w:pPr>
            <w:r>
              <w:rPr>
                <w:spacing w:val="-6"/>
                <w:sz w:val="21"/>
                <w:szCs w:val="21"/>
              </w:rPr>
              <w:t>17</w:t>
            </w:r>
          </w:p>
        </w:tc>
        <w:tc>
          <w:tcPr>
            <w:tcW w:w="2180" w:type="dxa"/>
            <w:tcBorders>
              <w:bottom w:val="single" w:color="000000" w:sz="4" w:space="0"/>
            </w:tcBorders>
            <w:vAlign w:val="top"/>
          </w:tcPr>
          <w:p w14:paraId="58C837BF">
            <w:pPr>
              <w:pStyle w:val="6"/>
              <w:spacing w:before="136"/>
              <w:ind w:left="930"/>
              <w:rPr>
                <w:sz w:val="21"/>
                <w:szCs w:val="21"/>
              </w:rPr>
            </w:pPr>
            <w:r>
              <w:rPr>
                <w:spacing w:val="-2"/>
                <w:sz w:val="21"/>
                <w:szCs w:val="21"/>
              </w:rPr>
              <w:t>410</w:t>
            </w:r>
          </w:p>
        </w:tc>
      </w:tr>
    </w:tbl>
    <w:p w14:paraId="70F868BF">
      <w:pPr>
        <w:spacing w:before="10" w:line="216" w:lineRule="auto"/>
        <w:ind w:left="7930"/>
        <w:rPr>
          <w:rFonts w:ascii="宋体" w:hAnsi="宋体" w:eastAsia="宋体" w:cs="宋体"/>
          <w:sz w:val="21"/>
          <w:szCs w:val="21"/>
        </w:rPr>
      </w:pPr>
      <w:r>
        <w:rPr>
          <w:rFonts w:ascii="宋体" w:hAnsi="宋体" w:eastAsia="宋体" w:cs="宋体"/>
          <w:spacing w:val="-5"/>
          <w:sz w:val="21"/>
          <w:szCs w:val="21"/>
        </w:rPr>
        <w:t>(WHO,2023)</w:t>
      </w:r>
    </w:p>
    <w:p w14:paraId="0E2C1796">
      <w:pPr>
        <w:spacing w:before="245" w:line="295" w:lineRule="auto"/>
        <w:ind w:left="9" w:right="582"/>
        <w:jc w:val="both"/>
        <w:rPr>
          <w:rFonts w:ascii="宋体" w:hAnsi="宋体" w:eastAsia="宋体" w:cs="宋体"/>
          <w:sz w:val="19"/>
          <w:szCs w:val="19"/>
        </w:rPr>
      </w:pPr>
      <w:r>
        <w:rPr>
          <w:rFonts w:ascii="宋体" w:hAnsi="宋体" w:eastAsia="宋体" w:cs="宋体"/>
          <w:spacing w:val="19"/>
          <w:sz w:val="19"/>
          <w:szCs w:val="19"/>
        </w:rPr>
        <w:t>化疗，结核病的患病率和死亡率分别降至2000/10万和40/10万。近30年来，在政府的</w:t>
      </w:r>
      <w:r>
        <w:rPr>
          <w:rFonts w:ascii="宋体" w:hAnsi="宋体" w:eastAsia="宋体" w:cs="宋体"/>
          <w:spacing w:val="18"/>
          <w:sz w:val="19"/>
          <w:szCs w:val="19"/>
        </w:rPr>
        <w:t>承诺和支持</w:t>
      </w:r>
      <w:r>
        <w:rPr>
          <w:rFonts w:ascii="宋体" w:hAnsi="宋体" w:eastAsia="宋体" w:cs="宋体"/>
          <w:sz w:val="19"/>
          <w:szCs w:val="19"/>
        </w:rPr>
        <w:t xml:space="preserve"> </w:t>
      </w:r>
      <w:r>
        <w:rPr>
          <w:rFonts w:ascii="宋体" w:hAnsi="宋体" w:eastAsia="宋体" w:cs="宋体"/>
          <w:spacing w:val="16"/>
          <w:sz w:val="19"/>
          <w:szCs w:val="19"/>
        </w:rPr>
        <w:t>下，我国的结核病控制取得了显著成效，结核病发病率和患病率都呈下降趋势(表20-4)。由于我国</w:t>
      </w:r>
      <w:r>
        <w:rPr>
          <w:rFonts w:ascii="宋体" w:hAnsi="宋体" w:eastAsia="宋体" w:cs="宋体"/>
          <w:spacing w:val="12"/>
          <w:sz w:val="19"/>
          <w:szCs w:val="19"/>
        </w:rPr>
        <w:t xml:space="preserve"> </w:t>
      </w:r>
      <w:r>
        <w:rPr>
          <w:rFonts w:ascii="宋体" w:hAnsi="宋体" w:eastAsia="宋体" w:cs="宋体"/>
          <w:spacing w:val="15"/>
          <w:sz w:val="19"/>
          <w:szCs w:val="19"/>
        </w:rPr>
        <w:t>人口基数大，实际发生的结核病病例数虽有一定下降，但结核病病例负担仍位</w:t>
      </w:r>
      <w:r>
        <w:rPr>
          <w:rFonts w:ascii="宋体" w:hAnsi="宋体" w:eastAsia="宋体" w:cs="宋体"/>
          <w:spacing w:val="14"/>
          <w:sz w:val="19"/>
          <w:szCs w:val="19"/>
        </w:rPr>
        <w:t>居全球第三。</w:t>
      </w:r>
    </w:p>
    <w:p w14:paraId="73D37C3E">
      <w:pPr>
        <w:spacing w:line="295" w:lineRule="auto"/>
        <w:rPr>
          <w:rFonts w:ascii="宋体" w:hAnsi="宋体" w:eastAsia="宋体" w:cs="宋体"/>
          <w:sz w:val="19"/>
          <w:szCs w:val="19"/>
        </w:rPr>
        <w:sectPr>
          <w:type w:val="continuous"/>
          <w:pgSz w:w="11900" w:h="16820"/>
          <w:pgMar w:top="400" w:right="908" w:bottom="752" w:left="1480" w:header="0" w:footer="581" w:gutter="0"/>
          <w:cols w:equalWidth="0" w:num="1">
            <w:col w:w="9512"/>
          </w:cols>
        </w:sectPr>
      </w:pPr>
    </w:p>
    <w:p w14:paraId="0135D67C">
      <w:pPr>
        <w:pStyle w:val="2"/>
        <w:spacing w:before="276" w:line="222" w:lineRule="auto"/>
        <w:ind w:left="689"/>
        <w:rPr>
          <w:sz w:val="20"/>
          <w:szCs w:val="20"/>
        </w:rPr>
      </w:pPr>
      <w:bookmarkStart w:id="520" w:name="bookmark584"/>
      <w:bookmarkEnd w:id="520"/>
      <w:r>
        <w:rPr>
          <w:spacing w:val="-18"/>
          <w:sz w:val="20"/>
          <w:szCs w:val="20"/>
        </w:rPr>
        <w:t>第二十章 结核病</w:t>
      </w:r>
    </w:p>
    <w:p w14:paraId="4E631A57">
      <w:pPr>
        <w:spacing w:line="282" w:lineRule="auto"/>
        <w:rPr>
          <w:rFonts w:ascii="Arial"/>
          <w:sz w:val="21"/>
        </w:rPr>
      </w:pPr>
    </w:p>
    <w:p w14:paraId="640AB2B6">
      <w:pPr>
        <w:spacing w:line="282" w:lineRule="auto"/>
        <w:rPr>
          <w:rFonts w:ascii="Arial"/>
          <w:sz w:val="21"/>
        </w:rPr>
      </w:pPr>
    </w:p>
    <w:p w14:paraId="551EEEEF">
      <w:pPr>
        <w:spacing w:before="62" w:line="221" w:lineRule="auto"/>
        <w:ind w:left="2979"/>
        <w:rPr>
          <w:rFonts w:ascii="宋体" w:hAnsi="宋体" w:eastAsia="宋体" w:cs="宋体"/>
          <w:sz w:val="19"/>
          <w:szCs w:val="19"/>
        </w:rPr>
      </w:pPr>
      <w:r>
        <w:rPr>
          <w:rFonts w:ascii="宋体" w:hAnsi="宋体" w:eastAsia="宋体" w:cs="宋体"/>
          <w:spacing w:val="-2"/>
          <w:sz w:val="19"/>
          <w:szCs w:val="19"/>
        </w:rPr>
        <w:t>表20-4</w:t>
      </w:r>
      <w:r>
        <w:rPr>
          <w:rFonts w:ascii="宋体" w:hAnsi="宋体" w:eastAsia="宋体" w:cs="宋体"/>
          <w:spacing w:val="52"/>
          <w:sz w:val="19"/>
          <w:szCs w:val="19"/>
        </w:rPr>
        <w:t xml:space="preserve">  </w:t>
      </w:r>
      <w:r>
        <w:rPr>
          <w:rFonts w:ascii="宋体" w:hAnsi="宋体" w:eastAsia="宋体" w:cs="宋体"/>
          <w:spacing w:val="-2"/>
          <w:sz w:val="19"/>
          <w:szCs w:val="19"/>
        </w:rPr>
        <w:t xml:space="preserve">2009—2017年 </w:t>
      </w:r>
      <w:r>
        <w:rPr>
          <w:rFonts w:ascii="宋体" w:hAnsi="宋体" w:eastAsia="宋体" w:cs="宋体"/>
          <w:spacing w:val="-2"/>
          <w:sz w:val="19"/>
          <w:szCs w:val="19"/>
          <w:shd w:val="clear" w:fill="313031"/>
        </w:rPr>
        <w:t>全国结核病发病</w:t>
      </w:r>
      <w:r>
        <w:rPr>
          <w:rFonts w:ascii="宋体" w:hAnsi="宋体" w:eastAsia="宋体" w:cs="宋体"/>
          <w:spacing w:val="-2"/>
          <w:sz w:val="19"/>
          <w:szCs w:val="19"/>
        </w:rPr>
        <w:t>率及死亡     率</w:t>
      </w:r>
    </w:p>
    <w:p w14:paraId="7C62FEB4">
      <w:pPr>
        <w:spacing w:line="20" w:lineRule="exact"/>
      </w:pPr>
    </w:p>
    <w:tbl>
      <w:tblPr>
        <w:tblStyle w:val="5"/>
        <w:tblW w:w="8901" w:type="dxa"/>
        <w:tblInd w:w="699"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0" w:type="dxa"/>
          <w:left w:w="0" w:type="dxa"/>
          <w:bottom w:w="0" w:type="dxa"/>
          <w:right w:w="0" w:type="dxa"/>
        </w:tblCellMar>
      </w:tblPr>
      <w:tblGrid>
        <w:gridCol w:w="1050"/>
        <w:gridCol w:w="1030"/>
        <w:gridCol w:w="3540"/>
        <w:gridCol w:w="810"/>
        <w:gridCol w:w="1071"/>
        <w:gridCol w:w="1400"/>
      </w:tblGrid>
      <w:tr w14:paraId="6CC806E6">
        <w:trPr>
          <w:trHeight w:val="381" w:hRule="atLeast"/>
        </w:trPr>
        <w:tc>
          <w:tcPr>
            <w:tcW w:w="1050" w:type="dxa"/>
            <w:vMerge w:val="restart"/>
            <w:tcBorders>
              <w:top w:val="single" w:color="000000" w:sz="4" w:space="0"/>
              <w:bottom w:val="nil"/>
            </w:tcBorders>
            <w:shd w:val="clear" w:color="auto" w:fill="D5D8DD"/>
            <w:vAlign w:val="top"/>
          </w:tcPr>
          <w:p w14:paraId="642E4FCF">
            <w:pPr>
              <w:spacing w:line="368" w:lineRule="auto"/>
              <w:rPr>
                <w:rFonts w:ascii="Arial"/>
                <w:sz w:val="21"/>
              </w:rPr>
            </w:pPr>
          </w:p>
          <w:p w14:paraId="2B1ECE0E">
            <w:pPr>
              <w:pStyle w:val="6"/>
              <w:spacing w:before="62" w:line="219" w:lineRule="auto"/>
              <w:ind w:left="329"/>
              <w:rPr>
                <w:sz w:val="19"/>
                <w:szCs w:val="19"/>
              </w:rPr>
            </w:pPr>
            <w:r>
              <w:rPr>
                <w:spacing w:val="-3"/>
                <w:sz w:val="19"/>
                <w:szCs w:val="19"/>
              </w:rPr>
              <w:t>年份</w:t>
            </w:r>
          </w:p>
        </w:tc>
        <w:tc>
          <w:tcPr>
            <w:tcW w:w="1030" w:type="dxa"/>
            <w:tcBorders>
              <w:top w:val="single" w:color="000000" w:sz="4" w:space="0"/>
              <w:bottom w:val="single" w:color="000000" w:sz="4" w:space="0"/>
            </w:tcBorders>
            <w:shd w:val="clear" w:color="auto" w:fill="D8D9DA"/>
            <w:vAlign w:val="top"/>
          </w:tcPr>
          <w:p w14:paraId="6FF94409">
            <w:pPr>
              <w:rPr>
                <w:rFonts w:ascii="Arial"/>
                <w:sz w:val="21"/>
              </w:rPr>
            </w:pPr>
          </w:p>
        </w:tc>
        <w:tc>
          <w:tcPr>
            <w:tcW w:w="3540" w:type="dxa"/>
            <w:tcBorders>
              <w:top w:val="single" w:color="000000" w:sz="4" w:space="0"/>
              <w:bottom w:val="single" w:color="000000" w:sz="4" w:space="0"/>
            </w:tcBorders>
            <w:shd w:val="clear" w:color="auto" w:fill="D8D9DA"/>
            <w:vAlign w:val="top"/>
          </w:tcPr>
          <w:p w14:paraId="766A7284">
            <w:pPr>
              <w:pStyle w:val="6"/>
              <w:spacing w:before="102" w:line="219" w:lineRule="auto"/>
              <w:ind w:left="490"/>
              <w:rPr>
                <w:sz w:val="19"/>
                <w:szCs w:val="19"/>
              </w:rPr>
            </w:pPr>
            <w:r>
              <w:rPr>
                <w:spacing w:val="-1"/>
                <w:sz w:val="19"/>
                <w:szCs w:val="19"/>
              </w:rPr>
              <w:t>发病率/(1/10万)#</w:t>
            </w:r>
          </w:p>
        </w:tc>
        <w:tc>
          <w:tcPr>
            <w:tcW w:w="810" w:type="dxa"/>
            <w:tcBorders>
              <w:top w:val="single" w:color="000000" w:sz="4" w:space="0"/>
              <w:bottom w:val="single" w:color="000000" w:sz="4" w:space="0"/>
            </w:tcBorders>
            <w:shd w:val="clear" w:color="auto" w:fill="DAD9D4"/>
            <w:vAlign w:val="top"/>
          </w:tcPr>
          <w:p w14:paraId="36B9941D">
            <w:pPr>
              <w:rPr>
                <w:rFonts w:ascii="Arial"/>
                <w:sz w:val="21"/>
              </w:rPr>
            </w:pPr>
          </w:p>
        </w:tc>
        <w:tc>
          <w:tcPr>
            <w:tcW w:w="2471" w:type="dxa"/>
            <w:gridSpan w:val="2"/>
            <w:tcBorders>
              <w:top w:val="single" w:color="000000" w:sz="4" w:space="0"/>
              <w:bottom w:val="single" w:color="000000" w:sz="4" w:space="0"/>
            </w:tcBorders>
            <w:shd w:val="clear" w:color="auto" w:fill="DAD9D4"/>
            <w:vAlign w:val="top"/>
          </w:tcPr>
          <w:p w14:paraId="200370D1">
            <w:pPr>
              <w:pStyle w:val="6"/>
              <w:spacing w:before="102" w:line="219" w:lineRule="auto"/>
              <w:jc w:val="right"/>
              <w:rPr>
                <w:sz w:val="19"/>
                <w:szCs w:val="19"/>
              </w:rPr>
            </w:pPr>
            <w:r>
              <w:rPr>
                <w:spacing w:val="10"/>
                <w:sz w:val="19"/>
                <w:szCs w:val="19"/>
              </w:rPr>
              <w:t>死亡率/(1/10万)°</w:t>
            </w:r>
          </w:p>
        </w:tc>
      </w:tr>
      <w:tr w14:paraId="0935369E">
        <w:trPr>
          <w:trHeight w:val="658" w:hRule="atLeast"/>
        </w:trPr>
        <w:tc>
          <w:tcPr>
            <w:tcW w:w="1050" w:type="dxa"/>
            <w:vMerge w:val="continue"/>
            <w:tcBorders>
              <w:top w:val="nil"/>
              <w:bottom w:val="single" w:color="000000" w:sz="4" w:space="0"/>
            </w:tcBorders>
            <w:vAlign w:val="top"/>
          </w:tcPr>
          <w:p w14:paraId="24B379CD">
            <w:pPr>
              <w:rPr>
                <w:rFonts w:ascii="Arial"/>
                <w:sz w:val="21"/>
              </w:rPr>
            </w:pPr>
          </w:p>
        </w:tc>
        <w:tc>
          <w:tcPr>
            <w:tcW w:w="1030" w:type="dxa"/>
            <w:tcBorders>
              <w:top w:val="single" w:color="000000" w:sz="4" w:space="0"/>
              <w:bottom w:val="single" w:color="000000" w:sz="4" w:space="0"/>
            </w:tcBorders>
            <w:shd w:val="clear" w:color="auto" w:fill="DBDBDF"/>
            <w:vAlign w:val="top"/>
          </w:tcPr>
          <w:p w14:paraId="28E5205B">
            <w:pPr>
              <w:pStyle w:val="6"/>
              <w:spacing w:before="80" w:line="266" w:lineRule="auto"/>
              <w:ind w:left="260" w:right="192"/>
              <w:rPr>
                <w:sz w:val="19"/>
                <w:szCs w:val="19"/>
              </w:rPr>
            </w:pPr>
            <w:r>
              <w:rPr>
                <w:spacing w:val="-2"/>
                <w:sz w:val="19"/>
                <w:szCs w:val="19"/>
              </w:rPr>
              <w:t>仅培养</w:t>
            </w:r>
            <w:r>
              <w:rPr>
                <w:sz w:val="19"/>
                <w:szCs w:val="19"/>
              </w:rPr>
              <w:t xml:space="preserve"> </w:t>
            </w:r>
            <w:r>
              <w:rPr>
                <w:spacing w:val="-16"/>
                <w:sz w:val="19"/>
                <w:szCs w:val="19"/>
              </w:rPr>
              <w:t>阳</w:t>
            </w:r>
            <w:r>
              <w:rPr>
                <w:spacing w:val="19"/>
                <w:sz w:val="19"/>
                <w:szCs w:val="19"/>
              </w:rPr>
              <w:t xml:space="preserve">  </w:t>
            </w:r>
            <w:r>
              <w:rPr>
                <w:spacing w:val="-16"/>
                <w:sz w:val="19"/>
                <w:szCs w:val="19"/>
              </w:rPr>
              <w:t>性</w:t>
            </w:r>
          </w:p>
        </w:tc>
        <w:tc>
          <w:tcPr>
            <w:tcW w:w="3540" w:type="dxa"/>
            <w:tcBorders>
              <w:top w:val="single" w:color="000000" w:sz="4" w:space="0"/>
              <w:bottom w:val="single" w:color="000000" w:sz="4" w:space="0"/>
            </w:tcBorders>
            <w:shd w:val="clear" w:color="auto" w:fill="DBDCDD"/>
            <w:vAlign w:val="top"/>
          </w:tcPr>
          <w:p w14:paraId="69B48C0E">
            <w:pPr>
              <w:pStyle w:val="6"/>
              <w:spacing w:before="241" w:line="220" w:lineRule="auto"/>
              <w:ind w:left="200"/>
              <w:rPr>
                <w:sz w:val="19"/>
                <w:szCs w:val="19"/>
              </w:rPr>
            </w:pPr>
            <w:r>
              <w:rPr>
                <w:sz w:val="19"/>
                <w:szCs w:val="19"/>
              </w:rPr>
              <w:t>未痰检</w:t>
            </w:r>
            <w:r>
              <w:rPr>
                <w:spacing w:val="18"/>
                <w:sz w:val="19"/>
                <w:szCs w:val="19"/>
              </w:rPr>
              <w:t xml:space="preserve">   </w:t>
            </w:r>
            <w:r>
              <w:rPr>
                <w:sz w:val="19"/>
                <w:szCs w:val="19"/>
              </w:rPr>
              <w:t>涂阳肺结核</w:t>
            </w:r>
            <w:r>
              <w:rPr>
                <w:spacing w:val="20"/>
                <w:sz w:val="19"/>
                <w:szCs w:val="19"/>
              </w:rPr>
              <w:t xml:space="preserve">  </w:t>
            </w:r>
            <w:r>
              <w:rPr>
                <w:sz w:val="19"/>
                <w:szCs w:val="19"/>
              </w:rPr>
              <w:t>菌阴性肺结核</w:t>
            </w:r>
          </w:p>
        </w:tc>
        <w:tc>
          <w:tcPr>
            <w:tcW w:w="810" w:type="dxa"/>
            <w:tcBorders>
              <w:top w:val="single" w:color="000000" w:sz="4" w:space="0"/>
              <w:bottom w:val="single" w:color="000000" w:sz="4" w:space="0"/>
            </w:tcBorders>
            <w:shd w:val="clear" w:color="auto" w:fill="DCDBD7"/>
            <w:vAlign w:val="top"/>
          </w:tcPr>
          <w:p w14:paraId="05DE2CD5">
            <w:pPr>
              <w:pStyle w:val="6"/>
              <w:spacing w:before="242" w:line="221" w:lineRule="auto"/>
              <w:ind w:left="210"/>
              <w:rPr>
                <w:sz w:val="19"/>
                <w:szCs w:val="19"/>
              </w:rPr>
            </w:pPr>
            <w:r>
              <w:rPr>
                <w:spacing w:val="4"/>
                <w:sz w:val="19"/>
                <w:szCs w:val="19"/>
              </w:rPr>
              <w:t>总体</w:t>
            </w:r>
          </w:p>
        </w:tc>
        <w:tc>
          <w:tcPr>
            <w:tcW w:w="1071" w:type="dxa"/>
            <w:tcBorders>
              <w:top w:val="single" w:color="000000" w:sz="4" w:space="0"/>
              <w:bottom w:val="single" w:color="000000" w:sz="4" w:space="0"/>
            </w:tcBorders>
            <w:shd w:val="clear" w:color="auto" w:fill="D9D8D3"/>
            <w:vAlign w:val="top"/>
          </w:tcPr>
          <w:p w14:paraId="4C3085E7">
            <w:pPr>
              <w:pStyle w:val="6"/>
              <w:spacing w:before="73" w:line="273" w:lineRule="auto"/>
              <w:ind w:left="339" w:right="269" w:hanging="200"/>
              <w:rPr>
                <w:sz w:val="19"/>
                <w:szCs w:val="19"/>
              </w:rPr>
            </w:pPr>
            <w:r>
              <w:rPr>
                <w:spacing w:val="-1"/>
                <w:sz w:val="19"/>
                <w:szCs w:val="19"/>
              </w:rPr>
              <w:t>HIV阴性</w:t>
            </w:r>
            <w:r>
              <w:rPr>
                <w:sz w:val="19"/>
                <w:szCs w:val="19"/>
              </w:rPr>
              <w:t xml:space="preserve"> </w:t>
            </w:r>
            <w:r>
              <w:rPr>
                <w:spacing w:val="-3"/>
                <w:sz w:val="19"/>
                <w:szCs w:val="19"/>
              </w:rPr>
              <w:t>人群</w:t>
            </w:r>
          </w:p>
        </w:tc>
        <w:tc>
          <w:tcPr>
            <w:tcW w:w="1400" w:type="dxa"/>
            <w:tcBorders>
              <w:top w:val="single" w:color="000000" w:sz="4" w:space="0"/>
              <w:bottom w:val="single" w:color="000000" w:sz="4" w:space="0"/>
            </w:tcBorders>
            <w:shd w:val="clear" w:color="auto" w:fill="CBC8BD"/>
            <w:vAlign w:val="top"/>
          </w:tcPr>
          <w:p w14:paraId="7F2F260D">
            <w:pPr>
              <w:pStyle w:val="6"/>
              <w:spacing w:before="73" w:line="273" w:lineRule="auto"/>
              <w:ind w:left="468" w:right="469" w:hanging="200"/>
              <w:rPr>
                <w:sz w:val="19"/>
                <w:szCs w:val="19"/>
              </w:rPr>
            </w:pPr>
            <w:r>
              <w:rPr>
                <w:spacing w:val="-1"/>
                <w:sz w:val="19"/>
                <w:szCs w:val="19"/>
              </w:rPr>
              <w:t>HIV阳性</w:t>
            </w:r>
            <w:r>
              <w:rPr>
                <w:sz w:val="19"/>
                <w:szCs w:val="19"/>
              </w:rPr>
              <w:t xml:space="preserve"> </w:t>
            </w:r>
            <w:r>
              <w:rPr>
                <w:spacing w:val="-3"/>
                <w:sz w:val="19"/>
                <w:szCs w:val="19"/>
              </w:rPr>
              <w:t>人群</w:t>
            </w:r>
          </w:p>
        </w:tc>
      </w:tr>
    </w:tbl>
    <w:p w14:paraId="48A6C656">
      <w:pPr>
        <w:spacing w:line="83" w:lineRule="exact"/>
        <w:rPr>
          <w:rFonts w:ascii="Arial"/>
          <w:sz w:val="7"/>
        </w:rPr>
      </w:pPr>
    </w:p>
    <w:p w14:paraId="6A431D6C">
      <w:pPr>
        <w:spacing w:line="83" w:lineRule="exact"/>
        <w:rPr>
          <w:rFonts w:ascii="Arial" w:hAnsi="Arial" w:eastAsia="Arial" w:cs="Arial"/>
          <w:sz w:val="7"/>
          <w:szCs w:val="7"/>
        </w:rPr>
        <w:sectPr>
          <w:footerReference r:id="rId339" w:type="default"/>
          <w:pgSz w:w="11900" w:h="16820"/>
          <w:pgMar w:top="400" w:right="1458" w:bottom="769" w:left="840" w:header="0" w:footer="589" w:gutter="0"/>
          <w:cols w:equalWidth="0" w:num="1">
            <w:col w:w="9601"/>
          </w:cols>
        </w:sectPr>
      </w:pPr>
    </w:p>
    <w:p w14:paraId="4D44CF1A">
      <w:pPr>
        <w:spacing w:before="37"/>
        <w:ind w:left="1029"/>
        <w:rPr>
          <w:rFonts w:ascii="宋体" w:hAnsi="宋体" w:eastAsia="宋体" w:cs="宋体"/>
          <w:sz w:val="19"/>
          <w:szCs w:val="19"/>
        </w:rPr>
      </w:pPr>
      <w:r>
        <w:rPr>
          <w:rFonts w:ascii="宋体" w:hAnsi="宋体" w:eastAsia="宋体" w:cs="宋体"/>
          <w:spacing w:val="-2"/>
          <w:sz w:val="19"/>
          <w:szCs w:val="19"/>
        </w:rPr>
        <w:t>2009</w:t>
      </w:r>
    </w:p>
    <w:p w14:paraId="2C3DF549">
      <w:pPr>
        <w:spacing w:before="153"/>
        <w:ind w:left="1029"/>
        <w:rPr>
          <w:rFonts w:ascii="宋体" w:hAnsi="宋体" w:eastAsia="宋体" w:cs="宋体"/>
          <w:sz w:val="19"/>
          <w:szCs w:val="19"/>
        </w:rPr>
      </w:pPr>
      <w:r>
        <w:rPr>
          <w:rFonts w:ascii="宋体" w:hAnsi="宋体" w:eastAsia="宋体" w:cs="宋体"/>
          <w:spacing w:val="-2"/>
          <w:sz w:val="19"/>
          <w:szCs w:val="19"/>
        </w:rPr>
        <w:t>2011</w:t>
      </w:r>
    </w:p>
    <w:p w14:paraId="6628BAC3">
      <w:pPr>
        <w:spacing w:before="163"/>
        <w:ind w:left="1029"/>
        <w:rPr>
          <w:rFonts w:ascii="宋体" w:hAnsi="宋体" w:eastAsia="宋体" w:cs="宋体"/>
          <w:sz w:val="19"/>
          <w:szCs w:val="19"/>
        </w:rPr>
      </w:pPr>
      <w:r>
        <w:rPr>
          <w:rFonts w:ascii="宋体" w:hAnsi="宋体" w:eastAsia="宋体" w:cs="宋体"/>
          <w:spacing w:val="-2"/>
          <w:sz w:val="19"/>
          <w:szCs w:val="19"/>
        </w:rPr>
        <w:t>2013</w:t>
      </w:r>
    </w:p>
    <w:p w14:paraId="283719BD">
      <w:pPr>
        <w:spacing w:before="153"/>
        <w:ind w:left="1029"/>
        <w:rPr>
          <w:rFonts w:ascii="宋体" w:hAnsi="宋体" w:eastAsia="宋体" w:cs="宋体"/>
          <w:sz w:val="19"/>
          <w:szCs w:val="19"/>
        </w:rPr>
      </w:pPr>
      <w:r>
        <w:rPr>
          <w:rFonts w:ascii="宋体" w:hAnsi="宋体" w:eastAsia="宋体" w:cs="宋体"/>
          <w:spacing w:val="-2"/>
          <w:sz w:val="19"/>
          <w:szCs w:val="19"/>
        </w:rPr>
        <w:t>2015</w:t>
      </w:r>
    </w:p>
    <w:p w14:paraId="3754C9B8">
      <w:pPr>
        <w:spacing w:before="143"/>
        <w:ind w:left="1029"/>
        <w:rPr>
          <w:rFonts w:ascii="宋体" w:hAnsi="宋体" w:eastAsia="宋体" w:cs="宋体"/>
          <w:sz w:val="19"/>
          <w:szCs w:val="19"/>
        </w:rPr>
      </w:pPr>
      <w:r>
        <w:pict>
          <v:shape id="_x0000_s1294" o:spid="_x0000_s1294" style="position:absolute;left:0pt;margin-left:35.2pt;margin-top:21.3pt;height:0.5pt;width:439.05pt;z-index:251984896;mso-width-relative:page;mso-height-relative:page;" filled="f" stroked="t" coordsize="8780,10" path="m0,5l1050,5m1050,5l2080,5m2080,5l3049,5m3049,5l4239,5m4239,5l5620,5m5620,5l6430,5m6430,5l7529,5m7529,5l8780,5m0,5l8780,5e">
            <v:fill on="f" focussize="0,0"/>
            <v:stroke weight="0.5pt" color="#000000" miterlimit="10" joinstyle="miter"/>
            <v:imagedata o:title=""/>
            <o:lock v:ext="edit"/>
          </v:shape>
        </w:pict>
      </w:r>
      <w:r>
        <w:rPr>
          <w:rFonts w:ascii="宋体" w:hAnsi="宋体" w:eastAsia="宋体" w:cs="宋体"/>
          <w:spacing w:val="-2"/>
          <w:sz w:val="19"/>
          <w:szCs w:val="19"/>
        </w:rPr>
        <w:t>2017</w:t>
      </w:r>
    </w:p>
    <w:p w14:paraId="4B00C5B9">
      <w:pPr>
        <w:spacing w:line="14" w:lineRule="auto"/>
        <w:rPr>
          <w:rFonts w:ascii="Arial"/>
          <w:sz w:val="2"/>
        </w:rPr>
      </w:pPr>
      <w:r>
        <w:rPr>
          <w:rFonts w:ascii="Arial" w:hAnsi="Arial" w:eastAsia="Arial" w:cs="Arial"/>
          <w:sz w:val="2"/>
          <w:szCs w:val="2"/>
        </w:rPr>
        <w:br w:type="column"/>
      </w:r>
    </w:p>
    <w:p w14:paraId="086EAF8C">
      <w:pPr>
        <w:spacing w:before="35" w:line="354" w:lineRule="auto"/>
        <w:ind w:right="528"/>
        <w:rPr>
          <w:rFonts w:ascii="宋体" w:hAnsi="宋体" w:eastAsia="宋体" w:cs="宋体"/>
          <w:sz w:val="19"/>
          <w:szCs w:val="19"/>
        </w:rPr>
      </w:pPr>
      <w:r>
        <w:rPr>
          <w:rFonts w:ascii="宋体" w:hAnsi="宋体" w:eastAsia="宋体" w:cs="宋体"/>
          <w:spacing w:val="-3"/>
          <w:sz w:val="19"/>
          <w:szCs w:val="19"/>
        </w:rPr>
        <w:t>0.08</w:t>
      </w:r>
      <w:r>
        <w:rPr>
          <w:rFonts w:ascii="宋体" w:hAnsi="宋体" w:eastAsia="宋体" w:cs="宋体"/>
          <w:spacing w:val="2"/>
          <w:sz w:val="19"/>
          <w:szCs w:val="19"/>
        </w:rPr>
        <w:t xml:space="preserve"> </w:t>
      </w:r>
      <w:r>
        <w:rPr>
          <w:rFonts w:ascii="宋体" w:hAnsi="宋体" w:eastAsia="宋体" w:cs="宋体"/>
          <w:spacing w:val="-3"/>
          <w:sz w:val="19"/>
          <w:szCs w:val="19"/>
        </w:rPr>
        <w:t>0.14</w:t>
      </w:r>
      <w:r>
        <w:rPr>
          <w:rFonts w:ascii="宋体" w:hAnsi="宋体" w:eastAsia="宋体" w:cs="宋体"/>
          <w:spacing w:val="2"/>
          <w:sz w:val="19"/>
          <w:szCs w:val="19"/>
        </w:rPr>
        <w:t xml:space="preserve"> </w:t>
      </w:r>
      <w:r>
        <w:rPr>
          <w:rFonts w:ascii="宋体" w:hAnsi="宋体" w:eastAsia="宋体" w:cs="宋体"/>
          <w:spacing w:val="-3"/>
          <w:sz w:val="19"/>
          <w:szCs w:val="19"/>
        </w:rPr>
        <w:t>0.18</w:t>
      </w:r>
      <w:r>
        <w:rPr>
          <w:rFonts w:ascii="宋体" w:hAnsi="宋体" w:eastAsia="宋体" w:cs="宋体"/>
          <w:spacing w:val="2"/>
          <w:sz w:val="19"/>
          <w:szCs w:val="19"/>
        </w:rPr>
        <w:t xml:space="preserve"> </w:t>
      </w:r>
      <w:r>
        <w:rPr>
          <w:rFonts w:ascii="宋体" w:hAnsi="宋体" w:eastAsia="宋体" w:cs="宋体"/>
          <w:spacing w:val="-3"/>
          <w:sz w:val="19"/>
          <w:szCs w:val="19"/>
        </w:rPr>
        <w:t>0.21</w:t>
      </w:r>
    </w:p>
    <w:p w14:paraId="3643EF06">
      <w:pPr>
        <w:spacing w:before="144" w:line="239" w:lineRule="auto"/>
        <w:rPr>
          <w:rFonts w:ascii="宋体" w:hAnsi="宋体" w:eastAsia="宋体" w:cs="宋体"/>
          <w:sz w:val="19"/>
          <w:szCs w:val="19"/>
        </w:rPr>
      </w:pPr>
      <w:r>
        <w:rPr>
          <w:rFonts w:ascii="宋体" w:hAnsi="宋体" w:eastAsia="宋体" w:cs="宋体"/>
          <w:spacing w:val="-2"/>
          <w:sz w:val="19"/>
          <w:szCs w:val="19"/>
        </w:rPr>
        <w:t>0.37</w:t>
      </w:r>
    </w:p>
    <w:p w14:paraId="1FFB6922">
      <w:pPr>
        <w:spacing w:line="14" w:lineRule="auto"/>
        <w:rPr>
          <w:rFonts w:ascii="Arial"/>
          <w:sz w:val="2"/>
        </w:rPr>
      </w:pPr>
      <w:r>
        <w:rPr>
          <w:rFonts w:ascii="Arial" w:hAnsi="Arial" w:eastAsia="Arial" w:cs="Arial"/>
          <w:sz w:val="2"/>
          <w:szCs w:val="2"/>
        </w:rPr>
        <w:br w:type="column"/>
      </w:r>
    </w:p>
    <w:p w14:paraId="37A05BC7">
      <w:pPr>
        <w:spacing w:before="36" w:line="239" w:lineRule="auto"/>
        <w:rPr>
          <w:rFonts w:ascii="宋体" w:hAnsi="宋体" w:eastAsia="宋体" w:cs="宋体"/>
          <w:sz w:val="19"/>
          <w:szCs w:val="19"/>
        </w:rPr>
      </w:pPr>
      <w:r>
        <w:rPr>
          <w:rFonts w:ascii="宋体" w:hAnsi="宋体" w:eastAsia="宋体" w:cs="宋体"/>
          <w:spacing w:val="-5"/>
          <w:sz w:val="19"/>
          <w:szCs w:val="19"/>
        </w:rPr>
        <w:t>10.3</w:t>
      </w:r>
    </w:p>
    <w:p w14:paraId="5234375A">
      <w:pPr>
        <w:spacing w:before="154" w:line="342" w:lineRule="auto"/>
        <w:ind w:right="558"/>
        <w:rPr>
          <w:rFonts w:ascii="宋体" w:hAnsi="宋体" w:eastAsia="宋体" w:cs="宋体"/>
          <w:sz w:val="19"/>
          <w:szCs w:val="19"/>
        </w:rPr>
      </w:pPr>
      <w:r>
        <w:rPr>
          <w:rFonts w:ascii="宋体" w:hAnsi="宋体" w:eastAsia="宋体" w:cs="宋体"/>
          <w:spacing w:val="-3"/>
          <w:sz w:val="19"/>
          <w:szCs w:val="19"/>
        </w:rPr>
        <w:t>6.46</w:t>
      </w:r>
      <w:r>
        <w:rPr>
          <w:rFonts w:ascii="宋体" w:hAnsi="宋体" w:eastAsia="宋体" w:cs="宋体"/>
          <w:spacing w:val="2"/>
          <w:sz w:val="19"/>
          <w:szCs w:val="19"/>
        </w:rPr>
        <w:t xml:space="preserve"> </w:t>
      </w:r>
      <w:r>
        <w:rPr>
          <w:rFonts w:ascii="宋体" w:hAnsi="宋体" w:eastAsia="宋体" w:cs="宋体"/>
          <w:spacing w:val="-3"/>
          <w:sz w:val="19"/>
          <w:szCs w:val="19"/>
        </w:rPr>
        <w:t>5.88</w:t>
      </w:r>
      <w:r>
        <w:rPr>
          <w:rFonts w:ascii="宋体" w:hAnsi="宋体" w:eastAsia="宋体" w:cs="宋体"/>
          <w:sz w:val="19"/>
          <w:szCs w:val="19"/>
        </w:rPr>
        <w:t xml:space="preserve"> </w:t>
      </w:r>
      <w:r>
        <w:rPr>
          <w:rFonts w:ascii="宋体" w:hAnsi="宋体" w:eastAsia="宋体" w:cs="宋体"/>
          <w:spacing w:val="-3"/>
          <w:sz w:val="19"/>
          <w:szCs w:val="19"/>
        </w:rPr>
        <w:t>5.94</w:t>
      </w:r>
    </w:p>
    <w:p w14:paraId="374DDC16">
      <w:pPr>
        <w:spacing w:before="144" w:line="239" w:lineRule="auto"/>
        <w:rPr>
          <w:rFonts w:ascii="宋体" w:hAnsi="宋体" w:eastAsia="宋体" w:cs="宋体"/>
          <w:sz w:val="19"/>
          <w:szCs w:val="19"/>
        </w:rPr>
      </w:pPr>
      <w:r>
        <w:rPr>
          <w:rFonts w:ascii="宋体" w:hAnsi="宋体" w:eastAsia="宋体" w:cs="宋体"/>
          <w:spacing w:val="-3"/>
          <w:sz w:val="19"/>
          <w:szCs w:val="19"/>
        </w:rPr>
        <w:t>5.36</w:t>
      </w:r>
    </w:p>
    <w:p w14:paraId="5B4D3AE1">
      <w:pPr>
        <w:spacing w:line="14" w:lineRule="auto"/>
        <w:rPr>
          <w:rFonts w:ascii="Arial"/>
          <w:sz w:val="2"/>
        </w:rPr>
      </w:pPr>
      <w:r>
        <w:rPr>
          <w:rFonts w:ascii="Arial" w:hAnsi="Arial" w:eastAsia="Arial" w:cs="Arial"/>
          <w:sz w:val="2"/>
          <w:szCs w:val="2"/>
        </w:rPr>
        <w:br w:type="column"/>
      </w:r>
    </w:p>
    <w:p w14:paraId="7E04518E">
      <w:pPr>
        <w:spacing w:before="35" w:line="354" w:lineRule="auto"/>
        <w:ind w:right="724"/>
        <w:rPr>
          <w:rFonts w:ascii="宋体" w:hAnsi="宋体" w:eastAsia="宋体" w:cs="宋体"/>
          <w:sz w:val="19"/>
          <w:szCs w:val="19"/>
        </w:rPr>
      </w:pPr>
      <w:r>
        <w:rPr>
          <w:rFonts w:ascii="宋体" w:hAnsi="宋体" w:eastAsia="宋体" w:cs="宋体"/>
          <w:spacing w:val="-3"/>
          <w:sz w:val="19"/>
          <w:szCs w:val="19"/>
        </w:rPr>
        <w:t>36.17</w:t>
      </w:r>
      <w:r>
        <w:rPr>
          <w:rFonts w:ascii="宋体" w:hAnsi="宋体" w:eastAsia="宋体" w:cs="宋体"/>
          <w:spacing w:val="2"/>
          <w:sz w:val="19"/>
          <w:szCs w:val="19"/>
        </w:rPr>
        <w:t xml:space="preserve"> </w:t>
      </w:r>
      <w:r>
        <w:rPr>
          <w:rFonts w:ascii="宋体" w:hAnsi="宋体" w:eastAsia="宋体" w:cs="宋体"/>
          <w:spacing w:val="-2"/>
          <w:sz w:val="19"/>
          <w:szCs w:val="19"/>
        </w:rPr>
        <w:t>29.82</w:t>
      </w:r>
      <w:r>
        <w:rPr>
          <w:rFonts w:ascii="宋体" w:hAnsi="宋体" w:eastAsia="宋体" w:cs="宋体"/>
          <w:sz w:val="19"/>
          <w:szCs w:val="19"/>
        </w:rPr>
        <w:t xml:space="preserve"> </w:t>
      </w:r>
      <w:r>
        <w:rPr>
          <w:rFonts w:ascii="宋体" w:hAnsi="宋体" w:eastAsia="宋体" w:cs="宋体"/>
          <w:spacing w:val="-2"/>
          <w:sz w:val="19"/>
          <w:szCs w:val="19"/>
        </w:rPr>
        <w:t>22.67</w:t>
      </w:r>
      <w:r>
        <w:rPr>
          <w:rFonts w:ascii="宋体" w:hAnsi="宋体" w:eastAsia="宋体" w:cs="宋体"/>
          <w:sz w:val="19"/>
          <w:szCs w:val="19"/>
        </w:rPr>
        <w:t xml:space="preserve"> </w:t>
      </w:r>
      <w:r>
        <w:rPr>
          <w:rFonts w:ascii="宋体" w:hAnsi="宋体" w:eastAsia="宋体" w:cs="宋体"/>
          <w:spacing w:val="-4"/>
          <w:sz w:val="19"/>
          <w:szCs w:val="19"/>
        </w:rPr>
        <w:t>17.94</w:t>
      </w:r>
    </w:p>
    <w:p w14:paraId="3F49544B">
      <w:pPr>
        <w:spacing w:before="144" w:line="239" w:lineRule="auto"/>
        <w:rPr>
          <w:rFonts w:ascii="宋体" w:hAnsi="宋体" w:eastAsia="宋体" w:cs="宋体"/>
          <w:sz w:val="19"/>
          <w:szCs w:val="19"/>
        </w:rPr>
      </w:pPr>
      <w:r>
        <w:rPr>
          <w:rFonts w:ascii="宋体" w:hAnsi="宋体" w:eastAsia="宋体" w:cs="宋体"/>
          <w:spacing w:val="-4"/>
          <w:sz w:val="19"/>
          <w:szCs w:val="19"/>
        </w:rPr>
        <w:t>16.79</w:t>
      </w:r>
    </w:p>
    <w:p w14:paraId="619C65E9">
      <w:pPr>
        <w:spacing w:line="14" w:lineRule="auto"/>
        <w:rPr>
          <w:rFonts w:ascii="Arial"/>
          <w:sz w:val="2"/>
        </w:rPr>
      </w:pPr>
      <w:r>
        <w:rPr>
          <w:rFonts w:ascii="Arial" w:hAnsi="Arial" w:eastAsia="Arial" w:cs="Arial"/>
          <w:sz w:val="2"/>
          <w:szCs w:val="2"/>
        </w:rPr>
        <w:br w:type="column"/>
      </w:r>
    </w:p>
    <w:p w14:paraId="529D606F">
      <w:pPr>
        <w:spacing w:before="35" w:line="354" w:lineRule="auto"/>
        <w:ind w:right="526"/>
        <w:rPr>
          <w:rFonts w:ascii="宋体" w:hAnsi="宋体" w:eastAsia="宋体" w:cs="宋体"/>
          <w:sz w:val="19"/>
          <w:szCs w:val="19"/>
        </w:rPr>
      </w:pPr>
      <w:r>
        <w:rPr>
          <w:rFonts w:ascii="宋体" w:hAnsi="宋体" w:eastAsia="宋体" w:cs="宋体"/>
          <w:spacing w:val="-3"/>
          <w:sz w:val="19"/>
          <w:szCs w:val="19"/>
        </w:rPr>
        <w:t>34.53</w:t>
      </w:r>
      <w:r>
        <w:rPr>
          <w:rFonts w:ascii="宋体" w:hAnsi="宋体" w:eastAsia="宋体" w:cs="宋体"/>
          <w:spacing w:val="2"/>
          <w:sz w:val="19"/>
          <w:szCs w:val="19"/>
        </w:rPr>
        <w:t xml:space="preserve"> </w:t>
      </w:r>
      <w:r>
        <w:rPr>
          <w:rFonts w:ascii="宋体" w:hAnsi="宋体" w:eastAsia="宋体" w:cs="宋体"/>
          <w:spacing w:val="-3"/>
          <w:sz w:val="19"/>
          <w:szCs w:val="19"/>
        </w:rPr>
        <w:t>34.68</w:t>
      </w:r>
      <w:r>
        <w:rPr>
          <w:rFonts w:ascii="宋体" w:hAnsi="宋体" w:eastAsia="宋体" w:cs="宋体"/>
          <w:spacing w:val="2"/>
          <w:sz w:val="19"/>
          <w:szCs w:val="19"/>
        </w:rPr>
        <w:t xml:space="preserve"> </w:t>
      </w:r>
      <w:r>
        <w:rPr>
          <w:rFonts w:ascii="宋体" w:hAnsi="宋体" w:eastAsia="宋体" w:cs="宋体"/>
          <w:spacing w:val="-3"/>
          <w:sz w:val="19"/>
          <w:szCs w:val="19"/>
        </w:rPr>
        <w:t>38.07</w:t>
      </w:r>
      <w:r>
        <w:rPr>
          <w:rFonts w:ascii="宋体" w:hAnsi="宋体" w:eastAsia="宋体" w:cs="宋体"/>
          <w:spacing w:val="2"/>
          <w:sz w:val="19"/>
          <w:szCs w:val="19"/>
        </w:rPr>
        <w:t xml:space="preserve"> </w:t>
      </w:r>
      <w:r>
        <w:rPr>
          <w:rFonts w:ascii="宋体" w:hAnsi="宋体" w:eastAsia="宋体" w:cs="宋体"/>
          <w:spacing w:val="-3"/>
          <w:sz w:val="19"/>
          <w:szCs w:val="19"/>
        </w:rPr>
        <w:t>39.34</w:t>
      </w:r>
    </w:p>
    <w:p w14:paraId="06AFF295">
      <w:pPr>
        <w:spacing w:before="144" w:line="239" w:lineRule="auto"/>
        <w:rPr>
          <w:rFonts w:ascii="宋体" w:hAnsi="宋体" w:eastAsia="宋体" w:cs="宋体"/>
          <w:sz w:val="19"/>
          <w:szCs w:val="19"/>
        </w:rPr>
      </w:pPr>
      <w:r>
        <w:rPr>
          <w:rFonts w:ascii="宋体" w:hAnsi="宋体" w:eastAsia="宋体" w:cs="宋体"/>
          <w:spacing w:val="-2"/>
          <w:sz w:val="19"/>
          <w:szCs w:val="19"/>
        </w:rPr>
        <w:t>38.02</w:t>
      </w:r>
    </w:p>
    <w:p w14:paraId="356232CE">
      <w:pPr>
        <w:spacing w:line="14" w:lineRule="auto"/>
        <w:rPr>
          <w:rFonts w:ascii="Arial"/>
          <w:sz w:val="2"/>
        </w:rPr>
      </w:pPr>
      <w:r>
        <w:rPr>
          <w:rFonts w:ascii="Arial" w:hAnsi="Arial" w:eastAsia="Arial" w:cs="Arial"/>
          <w:sz w:val="2"/>
          <w:szCs w:val="2"/>
        </w:rPr>
        <w:br w:type="column"/>
      </w:r>
    </w:p>
    <w:p w14:paraId="4CFDBE23">
      <w:pPr>
        <w:spacing w:before="35" w:line="354" w:lineRule="auto"/>
        <w:ind w:right="443"/>
        <w:rPr>
          <w:rFonts w:ascii="宋体" w:hAnsi="宋体" w:eastAsia="宋体" w:cs="宋体"/>
          <w:sz w:val="19"/>
          <w:szCs w:val="19"/>
        </w:rPr>
      </w:pPr>
      <w:r>
        <w:rPr>
          <w:rFonts w:ascii="宋体" w:hAnsi="宋体" w:eastAsia="宋体" w:cs="宋体"/>
          <w:spacing w:val="-2"/>
          <w:sz w:val="19"/>
          <w:szCs w:val="19"/>
        </w:rPr>
        <w:t>81.09</w:t>
      </w:r>
      <w:r>
        <w:rPr>
          <w:rFonts w:ascii="宋体" w:hAnsi="宋体" w:eastAsia="宋体" w:cs="宋体"/>
          <w:sz w:val="19"/>
          <w:szCs w:val="19"/>
        </w:rPr>
        <w:t xml:space="preserve"> </w:t>
      </w:r>
      <w:r>
        <w:rPr>
          <w:rFonts w:ascii="宋体" w:hAnsi="宋体" w:eastAsia="宋体" w:cs="宋体"/>
          <w:spacing w:val="-3"/>
          <w:sz w:val="19"/>
          <w:szCs w:val="19"/>
        </w:rPr>
        <w:t>71.09</w:t>
      </w:r>
      <w:r>
        <w:rPr>
          <w:rFonts w:ascii="宋体" w:hAnsi="宋体" w:eastAsia="宋体" w:cs="宋体"/>
          <w:spacing w:val="2"/>
          <w:sz w:val="19"/>
          <w:szCs w:val="19"/>
        </w:rPr>
        <w:t xml:space="preserve"> </w:t>
      </w:r>
      <w:r>
        <w:rPr>
          <w:rFonts w:ascii="宋体" w:hAnsi="宋体" w:eastAsia="宋体" w:cs="宋体"/>
          <w:spacing w:val="10"/>
          <w:sz w:val="19"/>
          <w:szCs w:val="19"/>
        </w:rPr>
        <w:t>66.8</w:t>
      </w:r>
      <w:r>
        <w:rPr>
          <w:rFonts w:ascii="宋体" w:hAnsi="宋体" w:eastAsia="宋体" w:cs="宋体"/>
          <w:sz w:val="19"/>
          <w:szCs w:val="19"/>
        </w:rPr>
        <w:t xml:space="preserve"> </w:t>
      </w:r>
      <w:r>
        <w:rPr>
          <w:rFonts w:ascii="宋体" w:hAnsi="宋体" w:eastAsia="宋体" w:cs="宋体"/>
          <w:spacing w:val="-2"/>
          <w:sz w:val="19"/>
          <w:szCs w:val="19"/>
        </w:rPr>
        <w:t>63.42</w:t>
      </w:r>
    </w:p>
    <w:p w14:paraId="7380D71B">
      <w:pPr>
        <w:spacing w:before="144" w:line="239" w:lineRule="auto"/>
        <w:rPr>
          <w:rFonts w:ascii="宋体" w:hAnsi="宋体" w:eastAsia="宋体" w:cs="宋体"/>
          <w:sz w:val="19"/>
          <w:szCs w:val="19"/>
        </w:rPr>
      </w:pPr>
      <w:r>
        <w:rPr>
          <w:rFonts w:ascii="宋体" w:hAnsi="宋体" w:eastAsia="宋体" w:cs="宋体"/>
          <w:spacing w:val="-2"/>
          <w:sz w:val="19"/>
          <w:szCs w:val="19"/>
        </w:rPr>
        <w:t>60.53</w:t>
      </w:r>
    </w:p>
    <w:p w14:paraId="535F5D25">
      <w:pPr>
        <w:spacing w:line="14" w:lineRule="auto"/>
        <w:rPr>
          <w:rFonts w:ascii="Arial"/>
          <w:sz w:val="2"/>
        </w:rPr>
      </w:pPr>
      <w:r>
        <w:rPr>
          <w:rFonts w:ascii="Arial" w:hAnsi="Arial" w:eastAsia="Arial" w:cs="Arial"/>
          <w:sz w:val="2"/>
          <w:szCs w:val="2"/>
        </w:rPr>
        <w:br w:type="column"/>
      </w:r>
    </w:p>
    <w:p w14:paraId="3DEAD4D2">
      <w:pPr>
        <w:spacing w:line="372" w:lineRule="auto"/>
        <w:rPr>
          <w:rFonts w:ascii="Arial"/>
          <w:sz w:val="21"/>
        </w:rPr>
      </w:pPr>
    </w:p>
    <w:p w14:paraId="52F63A90">
      <w:pPr>
        <w:spacing w:before="62" w:line="376" w:lineRule="auto"/>
        <w:ind w:left="39" w:right="348" w:hanging="39"/>
        <w:jc w:val="both"/>
        <w:rPr>
          <w:rFonts w:ascii="宋体" w:hAnsi="宋体" w:eastAsia="宋体" w:cs="宋体"/>
          <w:sz w:val="19"/>
          <w:szCs w:val="19"/>
        </w:rPr>
      </w:pPr>
      <w:r>
        <w:rPr>
          <w:rFonts w:ascii="宋体" w:hAnsi="宋体" w:eastAsia="宋体" w:cs="宋体"/>
          <w:spacing w:val="-3"/>
          <w:sz w:val="19"/>
          <w:szCs w:val="19"/>
        </w:rPr>
        <w:t>0.26</w:t>
      </w:r>
      <w:r>
        <w:rPr>
          <w:rFonts w:ascii="宋体" w:hAnsi="宋体" w:eastAsia="宋体" w:cs="宋体"/>
          <w:spacing w:val="2"/>
          <w:sz w:val="19"/>
          <w:szCs w:val="19"/>
        </w:rPr>
        <w:t xml:space="preserve"> </w:t>
      </w:r>
      <w:r>
        <w:rPr>
          <w:rFonts w:ascii="宋体" w:hAnsi="宋体" w:eastAsia="宋体" w:cs="宋体"/>
          <w:spacing w:val="-4"/>
          <w:sz w:val="19"/>
          <w:szCs w:val="19"/>
        </w:rPr>
        <w:t>3.0</w:t>
      </w:r>
      <w:r>
        <w:rPr>
          <w:rFonts w:ascii="宋体" w:hAnsi="宋体" w:eastAsia="宋体" w:cs="宋体"/>
          <w:sz w:val="19"/>
          <w:szCs w:val="19"/>
        </w:rPr>
        <w:t xml:space="preserve"> </w:t>
      </w:r>
      <w:r>
        <w:rPr>
          <w:rFonts w:ascii="宋体" w:hAnsi="宋体" w:eastAsia="宋体" w:cs="宋体"/>
          <w:spacing w:val="-4"/>
          <w:sz w:val="19"/>
          <w:szCs w:val="19"/>
        </w:rPr>
        <w:t>2.6</w:t>
      </w:r>
      <w:r>
        <w:rPr>
          <w:rFonts w:ascii="宋体" w:hAnsi="宋体" w:eastAsia="宋体" w:cs="宋体"/>
          <w:spacing w:val="1"/>
          <w:sz w:val="19"/>
          <w:szCs w:val="19"/>
        </w:rPr>
        <w:t xml:space="preserve"> </w:t>
      </w:r>
      <w:r>
        <w:rPr>
          <w:rFonts w:ascii="宋体" w:hAnsi="宋体" w:eastAsia="宋体" w:cs="宋体"/>
          <w:spacing w:val="-3"/>
          <w:sz w:val="19"/>
          <w:szCs w:val="19"/>
        </w:rPr>
        <w:t>2.6</w:t>
      </w:r>
    </w:p>
    <w:p w14:paraId="0208C18C">
      <w:pPr>
        <w:spacing w:line="14" w:lineRule="auto"/>
        <w:rPr>
          <w:rFonts w:ascii="Arial"/>
          <w:sz w:val="2"/>
        </w:rPr>
      </w:pPr>
      <w:r>
        <w:rPr>
          <w:rFonts w:ascii="Arial" w:hAnsi="Arial" w:eastAsia="Arial" w:cs="Arial"/>
          <w:sz w:val="2"/>
          <w:szCs w:val="2"/>
        </w:rPr>
        <w:br w:type="column"/>
      </w:r>
    </w:p>
    <w:p w14:paraId="523DCC2D">
      <w:pPr>
        <w:spacing w:line="259" w:lineRule="auto"/>
        <w:rPr>
          <w:rFonts w:ascii="Arial"/>
          <w:sz w:val="21"/>
        </w:rPr>
      </w:pPr>
    </w:p>
    <w:p w14:paraId="793393E1">
      <w:pPr>
        <w:spacing w:line="260" w:lineRule="auto"/>
        <w:rPr>
          <w:rFonts w:ascii="Arial"/>
          <w:sz w:val="21"/>
        </w:rPr>
      </w:pPr>
      <w:r>
        <w:pict>
          <v:rect id="_x0000_s1295" o:spid="_x0000_s1295" o:spt="1" style="position:absolute;left:0pt;margin-left:0pt;margin-top:1.9pt;height:20.55pt;width:62.55pt;z-index:251985920;mso-width-relative:page;mso-height-relative:page;" fillcolor="#F5EFEA" filled="t" stroked="f" coordsize="21600,21600">
            <v:path/>
            <v:fill on="t" focussize="0,0"/>
            <v:stroke on="f"/>
            <v:imagedata o:title=""/>
            <o:lock v:ext="edit"/>
          </v:rect>
        </w:pict>
      </w:r>
    </w:p>
    <w:p w14:paraId="2171CA01">
      <w:pPr>
        <w:spacing w:line="260" w:lineRule="auto"/>
        <w:rPr>
          <w:rFonts w:ascii="Arial"/>
          <w:sz w:val="21"/>
        </w:rPr>
      </w:pPr>
    </w:p>
    <w:p w14:paraId="1EA8EED6">
      <w:pPr>
        <w:spacing w:before="62" w:line="314" w:lineRule="auto"/>
        <w:ind w:left="430" w:right="569"/>
        <w:rPr>
          <w:rFonts w:ascii="宋体" w:hAnsi="宋体" w:eastAsia="宋体" w:cs="宋体"/>
          <w:sz w:val="19"/>
          <w:szCs w:val="19"/>
        </w:rPr>
      </w:pPr>
      <w:r>
        <w:rPr>
          <w:rFonts w:ascii="宋体" w:hAnsi="宋体" w:eastAsia="宋体" w:cs="宋体"/>
          <w:spacing w:val="-3"/>
          <w:sz w:val="19"/>
          <w:szCs w:val="19"/>
        </w:rPr>
        <w:t>0.05</w:t>
      </w:r>
      <w:r>
        <w:rPr>
          <w:rFonts w:ascii="宋体" w:hAnsi="宋体" w:eastAsia="宋体" w:cs="宋体"/>
          <w:spacing w:val="2"/>
          <w:sz w:val="19"/>
          <w:szCs w:val="19"/>
        </w:rPr>
        <w:t xml:space="preserve"> </w:t>
      </w:r>
      <w:r>
        <w:rPr>
          <w:rFonts w:ascii="宋体" w:hAnsi="宋体" w:eastAsia="宋体" w:cs="宋体"/>
          <w:spacing w:val="-3"/>
          <w:sz w:val="19"/>
          <w:szCs w:val="19"/>
        </w:rPr>
        <w:t>0.19</w:t>
      </w:r>
    </w:p>
    <w:p w14:paraId="13C6D899">
      <w:pPr>
        <w:spacing w:before="144" w:line="239" w:lineRule="auto"/>
        <w:ind w:left="430"/>
        <w:rPr>
          <w:rFonts w:ascii="宋体" w:hAnsi="宋体" w:eastAsia="宋体" w:cs="宋体"/>
          <w:sz w:val="19"/>
          <w:szCs w:val="19"/>
        </w:rPr>
      </w:pPr>
      <w:r>
        <w:rPr>
          <w:rFonts w:ascii="宋体" w:hAnsi="宋体" w:eastAsia="宋体" w:cs="宋体"/>
          <w:spacing w:val="-2"/>
          <w:sz w:val="19"/>
          <w:szCs w:val="19"/>
        </w:rPr>
        <w:t>0.13</w:t>
      </w:r>
    </w:p>
    <w:p w14:paraId="7D264882">
      <w:pPr>
        <w:spacing w:line="239" w:lineRule="auto"/>
        <w:rPr>
          <w:rFonts w:ascii="宋体" w:hAnsi="宋体" w:eastAsia="宋体" w:cs="宋体"/>
          <w:sz w:val="19"/>
          <w:szCs w:val="19"/>
        </w:rPr>
        <w:sectPr>
          <w:type w:val="continuous"/>
          <w:pgSz w:w="11900" w:h="16820"/>
          <w:pgMar w:top="400" w:right="1458" w:bottom="769" w:left="840" w:header="0" w:footer="589" w:gutter="0"/>
          <w:cols w:equalWidth="0" w:num="8">
            <w:col w:w="1971" w:space="100"/>
            <w:col w:w="900" w:space="100"/>
            <w:col w:w="931" w:space="100"/>
            <w:col w:w="1190" w:space="100"/>
            <w:col w:w="991" w:space="100"/>
            <w:col w:w="910" w:space="100"/>
            <w:col w:w="720" w:space="19"/>
            <w:col w:w="1372"/>
          </w:cols>
        </w:sectPr>
      </w:pPr>
    </w:p>
    <w:p w14:paraId="790F807D">
      <w:pPr>
        <w:spacing w:before="2" w:line="246" w:lineRule="auto"/>
        <w:ind w:left="689" w:right="78" w:firstLine="29"/>
        <w:rPr>
          <w:rFonts w:ascii="宋体" w:hAnsi="宋体" w:eastAsia="宋体" w:cs="宋体"/>
          <w:sz w:val="20"/>
          <w:szCs w:val="20"/>
        </w:rPr>
      </w:pPr>
      <w:r>
        <w:rPr>
          <w:rFonts w:ascii="宋体" w:hAnsi="宋体" w:eastAsia="宋体" w:cs="宋体"/>
          <w:spacing w:val="-18"/>
          <w:sz w:val="19"/>
          <w:szCs w:val="19"/>
        </w:rPr>
        <w:t>注：数据来自文献：刘家起，姜婧，王亮，等.2008-2017年全国肺结核发病的时空分布特征分析.现代预防医学，2020,</w:t>
      </w:r>
      <w:r>
        <w:rPr>
          <w:rFonts w:ascii="宋体" w:hAnsi="宋体" w:eastAsia="宋体" w:cs="宋体"/>
          <w:spacing w:val="1"/>
          <w:sz w:val="19"/>
          <w:szCs w:val="19"/>
        </w:rPr>
        <w:t xml:space="preserve"> </w:t>
      </w:r>
      <w:r>
        <w:rPr>
          <w:rFonts w:ascii="Times New Roman" w:hAnsi="Times New Roman" w:eastAsia="Times New Roman" w:cs="Times New Roman"/>
          <w:spacing w:val="-6"/>
          <w:sz w:val="20"/>
          <w:szCs w:val="20"/>
        </w:rPr>
        <w:t>47(19):3461-3464</w:t>
      </w:r>
      <w:r>
        <w:rPr>
          <w:rFonts w:ascii="宋体" w:hAnsi="宋体" w:eastAsia="宋体" w:cs="宋体"/>
          <w:spacing w:val="-6"/>
          <w:sz w:val="20"/>
          <w:szCs w:val="20"/>
        </w:rPr>
        <w:t>。</w:t>
      </w:r>
    </w:p>
    <w:p w14:paraId="7F42DFF3">
      <w:pPr>
        <w:spacing w:before="2" w:line="219" w:lineRule="auto"/>
        <w:ind w:left="929"/>
        <w:rPr>
          <w:rFonts w:ascii="宋体" w:hAnsi="宋体" w:eastAsia="宋体" w:cs="宋体"/>
          <w:sz w:val="20"/>
          <w:szCs w:val="20"/>
        </w:rPr>
      </w:pPr>
      <w:r>
        <w:rPr>
          <w:rFonts w:ascii="宋体" w:hAnsi="宋体" w:eastAsia="宋体" w:cs="宋体"/>
          <w:spacing w:val="-22"/>
          <w:sz w:val="20"/>
          <w:szCs w:val="20"/>
        </w:rPr>
        <w:t>“数据来自</w:t>
      </w:r>
      <w:r>
        <w:rPr>
          <w:rFonts w:ascii="Times New Roman" w:hAnsi="Times New Roman" w:eastAsia="Times New Roman" w:cs="Times New Roman"/>
          <w:spacing w:val="-22"/>
          <w:sz w:val="20"/>
          <w:szCs w:val="20"/>
        </w:rPr>
        <w:t>WHO</w:t>
      </w:r>
      <w:r>
        <w:rPr>
          <w:rFonts w:ascii="宋体" w:hAnsi="宋体" w:eastAsia="宋体" w:cs="宋体"/>
          <w:spacing w:val="-22"/>
          <w:sz w:val="20"/>
          <w:szCs w:val="20"/>
        </w:rPr>
        <w:t>。</w:t>
      </w:r>
    </w:p>
    <w:p w14:paraId="68CC8DA9">
      <w:pPr>
        <w:spacing w:before="303" w:line="342" w:lineRule="auto"/>
        <w:ind w:left="689" w:right="31" w:firstLine="420"/>
        <w:jc w:val="both"/>
        <w:rPr>
          <w:rFonts w:ascii="宋体" w:hAnsi="宋体" w:eastAsia="宋体" w:cs="宋体"/>
          <w:sz w:val="20"/>
          <w:szCs w:val="20"/>
        </w:rPr>
      </w:pPr>
      <w:r>
        <w:rPr>
          <w:rFonts w:ascii="宋体" w:hAnsi="宋体" w:eastAsia="宋体" w:cs="宋体"/>
          <w:spacing w:val="6"/>
          <w:sz w:val="20"/>
          <w:szCs w:val="20"/>
        </w:rPr>
        <w:t>全国结核病流行病学调查发现，结核病的地区分布呈现为西部最高，中部地区高低交错过渡，</w:t>
      </w:r>
      <w:r>
        <w:rPr>
          <w:rFonts w:ascii="宋体" w:hAnsi="宋体" w:eastAsia="宋体" w:cs="宋体"/>
          <w:spacing w:val="12"/>
          <w:sz w:val="20"/>
          <w:szCs w:val="20"/>
        </w:rPr>
        <w:t xml:space="preserve"> </w:t>
      </w:r>
      <w:r>
        <w:rPr>
          <w:rFonts w:ascii="宋体" w:hAnsi="宋体" w:eastAsia="宋体" w:cs="宋体"/>
          <w:spacing w:val="-4"/>
          <w:sz w:val="20"/>
          <w:szCs w:val="20"/>
        </w:rPr>
        <w:t>东部最低。广西、四川、贵州、云南、西藏、重庆</w:t>
      </w:r>
      <w:r>
        <w:rPr>
          <w:rFonts w:ascii="宋体" w:hAnsi="宋体" w:eastAsia="宋体" w:cs="宋体"/>
          <w:spacing w:val="-5"/>
          <w:sz w:val="20"/>
          <w:szCs w:val="20"/>
        </w:rPr>
        <w:t>、新疆和青海省(自治区、直辖市)的大部分地区患病</w:t>
      </w:r>
      <w:r>
        <w:rPr>
          <w:rFonts w:ascii="宋体" w:hAnsi="宋体" w:eastAsia="宋体" w:cs="宋体"/>
          <w:sz w:val="20"/>
          <w:szCs w:val="20"/>
        </w:rPr>
        <w:t xml:space="preserve">  </w:t>
      </w:r>
      <w:r>
        <w:rPr>
          <w:rFonts w:ascii="宋体" w:hAnsi="宋体" w:eastAsia="宋体" w:cs="宋体"/>
          <w:spacing w:val="6"/>
          <w:sz w:val="20"/>
          <w:szCs w:val="20"/>
        </w:rPr>
        <w:t>率较高。农村的患病率高于城镇；与2000年相比</w:t>
      </w:r>
      <w:r>
        <w:rPr>
          <w:rFonts w:ascii="宋体" w:hAnsi="宋体" w:eastAsia="宋体" w:cs="宋体"/>
          <w:spacing w:val="5"/>
          <w:sz w:val="20"/>
          <w:szCs w:val="20"/>
        </w:rPr>
        <w:t>，2010年城镇人口活动性肺结核患病率略有下降，</w:t>
      </w:r>
      <w:r>
        <w:rPr>
          <w:rFonts w:ascii="宋体" w:hAnsi="宋体" w:eastAsia="宋体" w:cs="宋体"/>
          <w:sz w:val="20"/>
          <w:szCs w:val="20"/>
        </w:rPr>
        <w:t xml:space="preserve"> </w:t>
      </w:r>
      <w:r>
        <w:rPr>
          <w:rFonts w:ascii="宋体" w:hAnsi="宋体" w:eastAsia="宋体" w:cs="宋体"/>
          <w:spacing w:val="7"/>
          <w:sz w:val="20"/>
          <w:szCs w:val="20"/>
        </w:rPr>
        <w:t>农村患病率有所升高。从年龄性别分布来看，63.8%的结核</w:t>
      </w:r>
      <w:r>
        <w:rPr>
          <w:rFonts w:ascii="宋体" w:hAnsi="宋体" w:eastAsia="宋体" w:cs="宋体"/>
          <w:spacing w:val="6"/>
          <w:sz w:val="20"/>
          <w:szCs w:val="20"/>
        </w:rPr>
        <w:t>病患者年龄在15～54岁之间，处于最具</w:t>
      </w:r>
      <w:r>
        <w:rPr>
          <w:rFonts w:ascii="宋体" w:hAnsi="宋体" w:eastAsia="宋体" w:cs="宋体"/>
          <w:sz w:val="20"/>
          <w:szCs w:val="20"/>
        </w:rPr>
        <w:t xml:space="preserve"> </w:t>
      </w:r>
      <w:r>
        <w:rPr>
          <w:rFonts w:ascii="宋体" w:hAnsi="宋体" w:eastAsia="宋体" w:cs="宋体"/>
          <w:spacing w:val="9"/>
          <w:sz w:val="20"/>
          <w:szCs w:val="20"/>
        </w:rPr>
        <w:t>生产能力的年龄段。结核病患病率呈随年龄增长而上升的趋势，在75～79</w:t>
      </w:r>
      <w:r>
        <w:rPr>
          <w:rFonts w:ascii="宋体" w:hAnsi="宋体" w:eastAsia="宋体" w:cs="宋体"/>
          <w:spacing w:val="8"/>
          <w:sz w:val="20"/>
          <w:szCs w:val="20"/>
        </w:rPr>
        <w:t>岁达到峰值。各年龄组</w:t>
      </w:r>
      <w:r>
        <w:rPr>
          <w:rFonts w:ascii="宋体" w:hAnsi="宋体" w:eastAsia="宋体" w:cs="宋体"/>
          <w:sz w:val="20"/>
          <w:szCs w:val="20"/>
        </w:rPr>
        <w:t xml:space="preserve">  </w:t>
      </w:r>
      <w:r>
        <w:rPr>
          <w:rFonts w:ascii="宋体" w:hAnsi="宋体" w:eastAsia="宋体" w:cs="宋体"/>
          <w:spacing w:val="13"/>
          <w:sz w:val="20"/>
          <w:szCs w:val="20"/>
        </w:rPr>
        <w:t>患病率均为男性高于女性，男女性别比约为2:1,但在34岁以下组中差异不明显，35岁及以上人</w:t>
      </w:r>
      <w:r>
        <w:rPr>
          <w:rFonts w:ascii="宋体" w:hAnsi="宋体" w:eastAsia="宋体" w:cs="宋体"/>
          <w:spacing w:val="1"/>
          <w:sz w:val="20"/>
          <w:szCs w:val="20"/>
        </w:rPr>
        <w:t xml:space="preserve">  </w:t>
      </w:r>
      <w:r>
        <w:rPr>
          <w:rFonts w:ascii="宋体" w:hAnsi="宋体" w:eastAsia="宋体" w:cs="宋体"/>
          <w:spacing w:val="9"/>
          <w:sz w:val="20"/>
          <w:szCs w:val="20"/>
        </w:rPr>
        <w:t>群中性别差异逐渐增大。男性在40岁以后患病率持续升高，以75～79</w:t>
      </w:r>
      <w:r>
        <w:rPr>
          <w:rFonts w:ascii="宋体" w:hAnsi="宋体" w:eastAsia="宋体" w:cs="宋体"/>
          <w:spacing w:val="8"/>
          <w:sz w:val="20"/>
          <w:szCs w:val="20"/>
        </w:rPr>
        <w:t>岁年龄组为最高；女性患病</w:t>
      </w:r>
      <w:r>
        <w:rPr>
          <w:rFonts w:ascii="宋体" w:hAnsi="宋体" w:eastAsia="宋体" w:cs="宋体"/>
          <w:sz w:val="20"/>
          <w:szCs w:val="20"/>
        </w:rPr>
        <w:t xml:space="preserve">  </w:t>
      </w:r>
      <w:r>
        <w:rPr>
          <w:rFonts w:ascii="宋体" w:hAnsi="宋体" w:eastAsia="宋体" w:cs="宋体"/>
          <w:spacing w:val="5"/>
          <w:sz w:val="20"/>
          <w:szCs w:val="20"/>
        </w:rPr>
        <w:t>率变化趋势与男性相似，自45岁开始患病率缓慢上升，到70～74岁组达到峰值。</w:t>
      </w:r>
    </w:p>
    <w:p w14:paraId="1A872411">
      <w:pPr>
        <w:spacing w:before="15" w:line="219" w:lineRule="auto"/>
        <w:ind w:left="1110"/>
        <w:rPr>
          <w:rFonts w:ascii="宋体" w:hAnsi="宋体" w:eastAsia="宋体" w:cs="宋体"/>
          <w:sz w:val="20"/>
          <w:szCs w:val="20"/>
        </w:rPr>
      </w:pPr>
      <w:r>
        <w:rPr>
          <w:rFonts w:ascii="宋体" w:hAnsi="宋体" w:eastAsia="宋体" w:cs="宋体"/>
          <w:spacing w:val="6"/>
          <w:sz w:val="20"/>
          <w:szCs w:val="20"/>
        </w:rPr>
        <w:t>我国结核病控制面临的一个严峻考验是</w:t>
      </w:r>
      <w:r>
        <w:rPr>
          <w:rFonts w:ascii="宋体" w:hAnsi="宋体" w:eastAsia="宋体" w:cs="宋体"/>
          <w:sz w:val="20"/>
          <w:szCs w:val="20"/>
        </w:rPr>
        <w:t>MDR</w:t>
      </w:r>
      <w:r>
        <w:rPr>
          <w:rFonts w:ascii="宋体" w:hAnsi="宋体" w:eastAsia="宋体" w:cs="宋体"/>
          <w:spacing w:val="6"/>
          <w:sz w:val="20"/>
          <w:szCs w:val="20"/>
        </w:rPr>
        <w:t>-</w:t>
      </w:r>
      <w:r>
        <w:rPr>
          <w:rFonts w:ascii="宋体" w:hAnsi="宋体" w:eastAsia="宋体" w:cs="宋体"/>
          <w:sz w:val="20"/>
          <w:szCs w:val="20"/>
        </w:rPr>
        <w:t>TB</w:t>
      </w:r>
      <w:r>
        <w:rPr>
          <w:rFonts w:ascii="宋体" w:hAnsi="宋体" w:eastAsia="宋体" w:cs="宋体"/>
          <w:spacing w:val="92"/>
          <w:sz w:val="20"/>
          <w:szCs w:val="20"/>
        </w:rPr>
        <w:t xml:space="preserve"> </w:t>
      </w:r>
      <w:r>
        <w:rPr>
          <w:rFonts w:ascii="宋体" w:hAnsi="宋体" w:eastAsia="宋体" w:cs="宋体"/>
          <w:spacing w:val="6"/>
          <w:sz w:val="20"/>
          <w:szCs w:val="20"/>
        </w:rPr>
        <w:t>流行</w:t>
      </w:r>
      <w:r>
        <w:rPr>
          <w:rFonts w:ascii="宋体" w:hAnsi="宋体" w:eastAsia="宋体" w:cs="宋体"/>
          <w:spacing w:val="5"/>
          <w:sz w:val="20"/>
          <w:szCs w:val="20"/>
        </w:rPr>
        <w:t>。从病例负担角度而言，我国的</w:t>
      </w:r>
      <w:r>
        <w:rPr>
          <w:rFonts w:ascii="宋体" w:hAnsi="宋体" w:eastAsia="宋体" w:cs="宋体"/>
          <w:sz w:val="20"/>
          <w:szCs w:val="20"/>
        </w:rPr>
        <w:t>MDR</w:t>
      </w:r>
      <w:r>
        <w:rPr>
          <w:rFonts w:ascii="宋体" w:hAnsi="宋体" w:eastAsia="宋体" w:cs="宋体"/>
          <w:spacing w:val="5"/>
          <w:sz w:val="20"/>
          <w:szCs w:val="20"/>
        </w:rPr>
        <w:t>-</w:t>
      </w:r>
      <w:r>
        <w:rPr>
          <w:rFonts w:ascii="宋体" w:hAnsi="宋体" w:eastAsia="宋体" w:cs="宋体"/>
          <w:sz w:val="20"/>
          <w:szCs w:val="20"/>
        </w:rPr>
        <w:t>TB</w:t>
      </w:r>
    </w:p>
    <w:p w14:paraId="725E73E1">
      <w:pPr>
        <w:spacing w:before="121" w:line="342" w:lineRule="auto"/>
        <w:ind w:left="689" w:right="10"/>
        <w:rPr>
          <w:rFonts w:ascii="宋体" w:hAnsi="宋体" w:eastAsia="宋体" w:cs="宋体"/>
          <w:sz w:val="20"/>
          <w:szCs w:val="20"/>
        </w:rPr>
      </w:pPr>
      <w:r>
        <w:rPr>
          <w:rFonts w:ascii="宋体" w:hAnsi="宋体" w:eastAsia="宋体" w:cs="宋体"/>
          <w:spacing w:val="16"/>
          <w:sz w:val="20"/>
          <w:szCs w:val="20"/>
        </w:rPr>
        <w:t>病例负担位居全球30个</w:t>
      </w:r>
      <w:r>
        <w:rPr>
          <w:rFonts w:ascii="Times New Roman" w:hAnsi="Times New Roman" w:eastAsia="Times New Roman" w:cs="Times New Roman"/>
          <w:sz w:val="20"/>
          <w:szCs w:val="20"/>
        </w:rPr>
        <w:t>MDR</w:t>
      </w:r>
      <w:r>
        <w:rPr>
          <w:rFonts w:ascii="Times New Roman" w:hAnsi="Times New Roman" w:eastAsia="Times New Roman" w:cs="Times New Roman"/>
          <w:spacing w:val="16"/>
          <w:sz w:val="20"/>
          <w:szCs w:val="20"/>
        </w:rPr>
        <w:t>-</w:t>
      </w:r>
      <w:r>
        <w:rPr>
          <w:rFonts w:ascii="Times New Roman" w:hAnsi="Times New Roman" w:eastAsia="Times New Roman" w:cs="Times New Roman"/>
          <w:sz w:val="20"/>
          <w:szCs w:val="20"/>
        </w:rPr>
        <w:t>TB</w:t>
      </w:r>
      <w:r>
        <w:rPr>
          <w:rFonts w:ascii="Times New Roman" w:hAnsi="Times New Roman" w:eastAsia="Times New Roman" w:cs="Times New Roman"/>
          <w:spacing w:val="16"/>
          <w:sz w:val="20"/>
          <w:szCs w:val="20"/>
        </w:rPr>
        <w:t xml:space="preserve"> </w:t>
      </w:r>
      <w:r>
        <w:rPr>
          <w:rFonts w:ascii="宋体" w:hAnsi="宋体" w:eastAsia="宋体" w:cs="宋体"/>
          <w:spacing w:val="16"/>
          <w:sz w:val="20"/>
          <w:szCs w:val="20"/>
        </w:rPr>
        <w:t>高负担国家的第二</w:t>
      </w:r>
      <w:r>
        <w:rPr>
          <w:rFonts w:ascii="宋体" w:hAnsi="宋体" w:eastAsia="宋体" w:cs="宋体"/>
          <w:spacing w:val="15"/>
          <w:sz w:val="20"/>
          <w:szCs w:val="20"/>
        </w:rPr>
        <w:t>位。2018年全国结核病耐药监测数据显示，</w:t>
      </w:r>
      <w:r>
        <w:rPr>
          <w:rFonts w:ascii="宋体" w:hAnsi="宋体" w:eastAsia="宋体" w:cs="宋体"/>
          <w:sz w:val="20"/>
          <w:szCs w:val="20"/>
        </w:rPr>
        <w:t xml:space="preserve"> </w:t>
      </w:r>
      <w:r>
        <w:rPr>
          <w:rFonts w:ascii="宋体" w:hAnsi="宋体" w:eastAsia="宋体" w:cs="宋体"/>
          <w:spacing w:val="11"/>
          <w:sz w:val="20"/>
          <w:szCs w:val="20"/>
        </w:rPr>
        <w:t>新涂阳肺结核患者和复治涂阳患者的</w:t>
      </w:r>
      <w:r>
        <w:rPr>
          <w:rFonts w:ascii="Times New Roman" w:hAnsi="Times New Roman" w:eastAsia="Times New Roman" w:cs="Times New Roman"/>
          <w:sz w:val="20"/>
          <w:szCs w:val="20"/>
        </w:rPr>
        <w:t>RR</w:t>
      </w:r>
      <w:r>
        <w:rPr>
          <w:rFonts w:ascii="Times New Roman" w:hAnsi="Times New Roman" w:eastAsia="Times New Roman" w:cs="Times New Roman"/>
          <w:spacing w:val="11"/>
          <w:sz w:val="20"/>
          <w:szCs w:val="20"/>
        </w:rPr>
        <w:t>-</w:t>
      </w:r>
      <w:r>
        <w:rPr>
          <w:rFonts w:ascii="Times New Roman" w:hAnsi="Times New Roman" w:eastAsia="Times New Roman" w:cs="Times New Roman"/>
          <w:sz w:val="20"/>
          <w:szCs w:val="20"/>
        </w:rPr>
        <w:t>TB</w:t>
      </w:r>
      <w:r>
        <w:rPr>
          <w:rFonts w:ascii="Times New Roman" w:hAnsi="Times New Roman" w:eastAsia="Times New Roman" w:cs="Times New Roman"/>
          <w:spacing w:val="11"/>
          <w:sz w:val="20"/>
          <w:szCs w:val="20"/>
        </w:rPr>
        <w:t xml:space="preserve"> </w:t>
      </w:r>
      <w:r>
        <w:rPr>
          <w:rFonts w:ascii="宋体" w:hAnsi="宋体" w:eastAsia="宋体" w:cs="宋体"/>
          <w:spacing w:val="11"/>
          <w:sz w:val="20"/>
          <w:szCs w:val="20"/>
        </w:rPr>
        <w:t>率分别为5.08%、23.31%,</w:t>
      </w:r>
      <w:r>
        <w:rPr>
          <w:rFonts w:ascii="Times New Roman" w:hAnsi="Times New Roman" w:eastAsia="Times New Roman" w:cs="Times New Roman"/>
          <w:sz w:val="20"/>
          <w:szCs w:val="20"/>
        </w:rPr>
        <w:t>MDR</w:t>
      </w:r>
      <w:r>
        <w:rPr>
          <w:rFonts w:ascii="Times New Roman" w:hAnsi="Times New Roman" w:eastAsia="Times New Roman" w:cs="Times New Roman"/>
          <w:spacing w:val="11"/>
          <w:sz w:val="20"/>
          <w:szCs w:val="20"/>
        </w:rPr>
        <w:t>-</w:t>
      </w:r>
      <w:r>
        <w:rPr>
          <w:rFonts w:ascii="Times New Roman" w:hAnsi="Times New Roman" w:eastAsia="Times New Roman" w:cs="Times New Roman"/>
          <w:sz w:val="20"/>
          <w:szCs w:val="20"/>
        </w:rPr>
        <w:t>TB</w:t>
      </w:r>
      <w:r>
        <w:rPr>
          <w:rFonts w:ascii="Times New Roman" w:hAnsi="Times New Roman" w:eastAsia="Times New Roman" w:cs="Times New Roman"/>
          <w:spacing w:val="11"/>
          <w:sz w:val="20"/>
          <w:szCs w:val="20"/>
        </w:rPr>
        <w:t xml:space="preserve"> </w:t>
      </w:r>
      <w:r>
        <w:rPr>
          <w:rFonts w:ascii="宋体" w:hAnsi="宋体" w:eastAsia="宋体" w:cs="宋体"/>
          <w:spacing w:val="11"/>
          <w:sz w:val="20"/>
          <w:szCs w:val="20"/>
        </w:rPr>
        <w:t>率分别为3.52%、</w:t>
      </w:r>
      <w:r>
        <w:rPr>
          <w:rFonts w:ascii="宋体" w:hAnsi="宋体" w:eastAsia="宋体" w:cs="宋体"/>
          <w:spacing w:val="15"/>
          <w:sz w:val="20"/>
          <w:szCs w:val="20"/>
        </w:rPr>
        <w:t xml:space="preserve"> </w:t>
      </w:r>
      <w:r>
        <w:rPr>
          <w:rFonts w:ascii="Times New Roman" w:hAnsi="Times New Roman" w:eastAsia="Times New Roman" w:cs="Times New Roman"/>
          <w:spacing w:val="10"/>
          <w:sz w:val="20"/>
          <w:szCs w:val="20"/>
        </w:rPr>
        <w:t>18.01%,</w:t>
      </w:r>
      <w:r>
        <w:rPr>
          <w:rFonts w:ascii="Times New Roman" w:hAnsi="Times New Roman" w:eastAsia="Times New Roman" w:cs="Times New Roman"/>
          <w:sz w:val="20"/>
          <w:szCs w:val="20"/>
        </w:rPr>
        <w:t>XDR</w:t>
      </w:r>
      <w:r>
        <w:rPr>
          <w:rFonts w:ascii="Times New Roman" w:hAnsi="Times New Roman" w:eastAsia="Times New Roman" w:cs="Times New Roman"/>
          <w:spacing w:val="10"/>
          <w:sz w:val="20"/>
          <w:szCs w:val="20"/>
        </w:rPr>
        <w:t>-</w:t>
      </w:r>
      <w:r>
        <w:rPr>
          <w:rFonts w:ascii="Times New Roman" w:hAnsi="Times New Roman" w:eastAsia="Times New Roman" w:cs="Times New Roman"/>
          <w:sz w:val="20"/>
          <w:szCs w:val="20"/>
        </w:rPr>
        <w:t>TB</w:t>
      </w:r>
      <w:r>
        <w:rPr>
          <w:rFonts w:ascii="Times New Roman" w:hAnsi="Times New Roman" w:eastAsia="Times New Roman" w:cs="Times New Roman"/>
          <w:spacing w:val="10"/>
          <w:sz w:val="20"/>
          <w:szCs w:val="20"/>
        </w:rPr>
        <w:t xml:space="preserve">   </w:t>
      </w:r>
      <w:r>
        <w:rPr>
          <w:rFonts w:ascii="宋体" w:hAnsi="宋体" w:eastAsia="宋体" w:cs="宋体"/>
          <w:spacing w:val="10"/>
          <w:sz w:val="20"/>
          <w:szCs w:val="20"/>
        </w:rPr>
        <w:t>率分别为0.12%、0.87</w:t>
      </w:r>
      <w:r>
        <w:rPr>
          <w:rFonts w:ascii="宋体" w:hAnsi="宋体" w:eastAsia="宋体" w:cs="宋体"/>
          <w:spacing w:val="9"/>
          <w:sz w:val="20"/>
          <w:szCs w:val="20"/>
        </w:rPr>
        <w:t>%,其中</w:t>
      </w:r>
      <w:r>
        <w:rPr>
          <w:rFonts w:ascii="Times New Roman" w:hAnsi="Times New Roman" w:eastAsia="Times New Roman" w:cs="Times New Roman"/>
          <w:sz w:val="20"/>
          <w:szCs w:val="20"/>
        </w:rPr>
        <w:t>RR</w:t>
      </w:r>
      <w:r>
        <w:rPr>
          <w:rFonts w:ascii="Times New Roman" w:hAnsi="Times New Roman" w:eastAsia="Times New Roman" w:cs="Times New Roman"/>
          <w:spacing w:val="9"/>
          <w:sz w:val="20"/>
          <w:szCs w:val="20"/>
        </w:rPr>
        <w:t>-</w:t>
      </w:r>
      <w:r>
        <w:rPr>
          <w:rFonts w:ascii="Times New Roman" w:hAnsi="Times New Roman" w:eastAsia="Times New Roman" w:cs="Times New Roman"/>
          <w:sz w:val="20"/>
          <w:szCs w:val="20"/>
        </w:rPr>
        <w:t>TB</w:t>
      </w:r>
      <w:r>
        <w:rPr>
          <w:rFonts w:ascii="Times New Roman" w:hAnsi="Times New Roman" w:eastAsia="Times New Roman" w:cs="Times New Roman"/>
          <w:spacing w:val="25"/>
          <w:sz w:val="20"/>
          <w:szCs w:val="20"/>
        </w:rPr>
        <w:t xml:space="preserve"> </w:t>
      </w:r>
      <w:r>
        <w:rPr>
          <w:rFonts w:ascii="宋体" w:hAnsi="宋体" w:eastAsia="宋体" w:cs="宋体"/>
          <w:spacing w:val="9"/>
          <w:sz w:val="20"/>
          <w:szCs w:val="20"/>
        </w:rPr>
        <w:t>率</w:t>
      </w:r>
      <w:r>
        <w:rPr>
          <w:rFonts w:ascii="宋体" w:hAnsi="宋体" w:eastAsia="宋体" w:cs="宋体"/>
          <w:spacing w:val="-26"/>
          <w:sz w:val="20"/>
          <w:szCs w:val="20"/>
        </w:rPr>
        <w:t xml:space="preserve"> </w:t>
      </w:r>
      <w:r>
        <w:rPr>
          <w:rFonts w:ascii="宋体" w:hAnsi="宋体" w:eastAsia="宋体" w:cs="宋体"/>
          <w:spacing w:val="9"/>
          <w:sz w:val="20"/>
          <w:szCs w:val="20"/>
        </w:rPr>
        <w:t>和</w:t>
      </w:r>
      <w:r>
        <w:rPr>
          <w:rFonts w:ascii="Times New Roman" w:hAnsi="Times New Roman" w:eastAsia="Times New Roman" w:cs="Times New Roman"/>
          <w:sz w:val="20"/>
          <w:szCs w:val="20"/>
        </w:rPr>
        <w:t>MDR</w:t>
      </w:r>
      <w:r>
        <w:rPr>
          <w:rFonts w:ascii="Times New Roman" w:hAnsi="Times New Roman" w:eastAsia="Times New Roman" w:cs="Times New Roman"/>
          <w:spacing w:val="9"/>
          <w:sz w:val="20"/>
          <w:szCs w:val="20"/>
        </w:rPr>
        <w:t>-</w:t>
      </w:r>
      <w:r>
        <w:rPr>
          <w:rFonts w:ascii="Times New Roman" w:hAnsi="Times New Roman" w:eastAsia="Times New Roman" w:cs="Times New Roman"/>
          <w:sz w:val="20"/>
          <w:szCs w:val="20"/>
        </w:rPr>
        <w:t>TB</w:t>
      </w:r>
      <w:r>
        <w:rPr>
          <w:rFonts w:ascii="Times New Roman" w:hAnsi="Times New Roman" w:eastAsia="Times New Roman" w:cs="Times New Roman"/>
          <w:spacing w:val="9"/>
          <w:sz w:val="20"/>
          <w:szCs w:val="20"/>
        </w:rPr>
        <w:t xml:space="preserve"> </w:t>
      </w:r>
      <w:r>
        <w:rPr>
          <w:rFonts w:ascii="宋体" w:hAnsi="宋体" w:eastAsia="宋体" w:cs="宋体"/>
          <w:spacing w:val="9"/>
          <w:sz w:val="20"/>
          <w:szCs w:val="20"/>
        </w:rPr>
        <w:t>率较基线调查数据(2007—</w:t>
      </w:r>
      <w:r>
        <w:rPr>
          <w:rFonts w:ascii="宋体" w:hAnsi="宋体" w:eastAsia="宋体" w:cs="宋体"/>
          <w:sz w:val="20"/>
          <w:szCs w:val="20"/>
        </w:rPr>
        <w:t xml:space="preserve">  </w:t>
      </w:r>
      <w:r>
        <w:rPr>
          <w:rFonts w:ascii="宋体" w:hAnsi="宋体" w:eastAsia="宋体" w:cs="宋体"/>
          <w:spacing w:val="5"/>
          <w:sz w:val="20"/>
          <w:szCs w:val="20"/>
        </w:rPr>
        <w:t>2008年)有所降低。</w:t>
      </w:r>
      <w:r>
        <w:rPr>
          <w:rFonts w:ascii="宋体" w:hAnsi="宋体" w:eastAsia="宋体" w:cs="宋体"/>
          <w:spacing w:val="-60"/>
          <w:sz w:val="20"/>
          <w:szCs w:val="20"/>
        </w:rPr>
        <w:t xml:space="preserve"> </w:t>
      </w:r>
      <w:r>
        <w:rPr>
          <w:rFonts w:ascii="Times New Roman" w:hAnsi="Times New Roman" w:eastAsia="Times New Roman" w:cs="Times New Roman"/>
          <w:sz w:val="20"/>
          <w:szCs w:val="20"/>
        </w:rPr>
        <w:t>WHO</w:t>
      </w:r>
      <w:r>
        <w:rPr>
          <w:rFonts w:ascii="Times New Roman" w:hAnsi="Times New Roman" w:eastAsia="Times New Roman" w:cs="Times New Roman"/>
          <w:spacing w:val="5"/>
          <w:sz w:val="20"/>
          <w:szCs w:val="20"/>
        </w:rPr>
        <w:t xml:space="preserve"> </w:t>
      </w:r>
      <w:r>
        <w:rPr>
          <w:rFonts w:ascii="宋体" w:hAnsi="宋体" w:eastAsia="宋体" w:cs="宋体"/>
          <w:spacing w:val="5"/>
          <w:sz w:val="20"/>
          <w:szCs w:val="20"/>
        </w:rPr>
        <w:t>报道称，2022年我国新发</w:t>
      </w:r>
      <w:r>
        <w:rPr>
          <w:rFonts w:ascii="Times New Roman" w:hAnsi="Times New Roman" w:eastAsia="Times New Roman" w:cs="Times New Roman"/>
          <w:sz w:val="20"/>
          <w:szCs w:val="20"/>
        </w:rPr>
        <w:t>MDR</w:t>
      </w:r>
      <w:r>
        <w:rPr>
          <w:rFonts w:ascii="Times New Roman" w:hAnsi="Times New Roman" w:eastAsia="Times New Roman" w:cs="Times New Roman"/>
          <w:spacing w:val="5"/>
          <w:sz w:val="20"/>
          <w:szCs w:val="20"/>
        </w:rPr>
        <w:t>/</w:t>
      </w:r>
      <w:r>
        <w:rPr>
          <w:rFonts w:ascii="Times New Roman" w:hAnsi="Times New Roman" w:eastAsia="Times New Roman" w:cs="Times New Roman"/>
          <w:sz w:val="20"/>
          <w:szCs w:val="20"/>
        </w:rPr>
        <w:t>RR</w:t>
      </w:r>
      <w:r>
        <w:rPr>
          <w:rFonts w:ascii="Times New Roman" w:hAnsi="Times New Roman" w:eastAsia="Times New Roman" w:cs="Times New Roman"/>
          <w:spacing w:val="5"/>
          <w:sz w:val="20"/>
          <w:szCs w:val="20"/>
        </w:rPr>
        <w:t>-</w:t>
      </w:r>
      <w:r>
        <w:rPr>
          <w:rFonts w:ascii="Times New Roman" w:hAnsi="Times New Roman" w:eastAsia="Times New Roman" w:cs="Times New Roman"/>
          <w:sz w:val="20"/>
          <w:szCs w:val="20"/>
        </w:rPr>
        <w:t>TB</w:t>
      </w:r>
      <w:r>
        <w:rPr>
          <w:rFonts w:ascii="宋体" w:hAnsi="宋体" w:eastAsia="宋体" w:cs="宋体"/>
          <w:spacing w:val="4"/>
          <w:sz w:val="20"/>
          <w:szCs w:val="20"/>
        </w:rPr>
        <w:t>患者约3万例，发病率为2.1/10万。</w:t>
      </w:r>
      <w:r>
        <w:rPr>
          <w:rFonts w:ascii="宋体" w:hAnsi="宋体" w:eastAsia="宋体" w:cs="宋体"/>
          <w:sz w:val="20"/>
          <w:szCs w:val="20"/>
        </w:rPr>
        <w:t xml:space="preserve"> MDR</w:t>
      </w:r>
      <w:r>
        <w:rPr>
          <w:rFonts w:ascii="宋体" w:hAnsi="宋体" w:eastAsia="宋体" w:cs="宋体"/>
          <w:spacing w:val="1"/>
          <w:sz w:val="20"/>
          <w:szCs w:val="20"/>
        </w:rPr>
        <w:t>-</w:t>
      </w:r>
      <w:r>
        <w:rPr>
          <w:rFonts w:ascii="宋体" w:hAnsi="宋体" w:eastAsia="宋体" w:cs="宋体"/>
          <w:sz w:val="20"/>
          <w:szCs w:val="20"/>
        </w:rPr>
        <w:t>TB</w:t>
      </w:r>
      <w:r>
        <w:rPr>
          <w:rFonts w:ascii="宋体" w:hAnsi="宋体" w:eastAsia="宋体" w:cs="宋体"/>
          <w:spacing w:val="77"/>
          <w:sz w:val="20"/>
          <w:szCs w:val="20"/>
        </w:rPr>
        <w:t xml:space="preserve"> </w:t>
      </w:r>
      <w:r>
        <w:rPr>
          <w:rFonts w:ascii="宋体" w:hAnsi="宋体" w:eastAsia="宋体" w:cs="宋体"/>
          <w:spacing w:val="1"/>
          <w:sz w:val="20"/>
          <w:szCs w:val="20"/>
        </w:rPr>
        <w:t>分布以农村为主，青壮年患者比例较高，耐药结核病的性别分布相似。</w:t>
      </w:r>
    </w:p>
    <w:p w14:paraId="79AD63DA">
      <w:pPr>
        <w:spacing w:before="2" w:line="352" w:lineRule="auto"/>
        <w:ind w:left="689" w:right="102" w:firstLine="420"/>
        <w:rPr>
          <w:rFonts w:ascii="宋体" w:hAnsi="宋体" w:eastAsia="宋体" w:cs="宋体"/>
          <w:sz w:val="20"/>
          <w:szCs w:val="20"/>
        </w:rPr>
      </w:pPr>
      <w:r>
        <w:rPr>
          <w:rFonts w:ascii="宋体" w:hAnsi="宋体" w:eastAsia="宋体" w:cs="宋体"/>
          <w:spacing w:val="5"/>
          <w:sz w:val="20"/>
          <w:szCs w:val="20"/>
        </w:rPr>
        <w:t>综上所述，我国的结核病流行特点为：高感染率、高</w:t>
      </w:r>
      <w:r>
        <w:rPr>
          <w:rFonts w:ascii="宋体" w:hAnsi="宋体" w:eastAsia="宋体" w:cs="宋体"/>
          <w:spacing w:val="4"/>
          <w:sz w:val="20"/>
          <w:szCs w:val="20"/>
        </w:rPr>
        <w:t>患病率和高耐药率。我国的耐药结核病流</w:t>
      </w:r>
      <w:r>
        <w:rPr>
          <w:rFonts w:ascii="宋体" w:hAnsi="宋体" w:eastAsia="宋体" w:cs="宋体"/>
          <w:sz w:val="20"/>
          <w:szCs w:val="20"/>
        </w:rPr>
        <w:t xml:space="preserve"> </w:t>
      </w:r>
      <w:r>
        <w:rPr>
          <w:rFonts w:ascii="宋体" w:hAnsi="宋体" w:eastAsia="宋体" w:cs="宋体"/>
          <w:spacing w:val="2"/>
          <w:sz w:val="20"/>
          <w:szCs w:val="20"/>
        </w:rPr>
        <w:t>行尚未得到有效控制，结核病控制任务仍然十分艰巨。</w:t>
      </w:r>
    </w:p>
    <w:p w14:paraId="512D3B96">
      <w:pPr>
        <w:pStyle w:val="2"/>
        <w:spacing w:before="162" w:line="221" w:lineRule="auto"/>
        <w:ind w:left="1113"/>
        <w:outlineLvl w:val="4"/>
        <w:rPr>
          <w:sz w:val="25"/>
          <w:szCs w:val="25"/>
        </w:rPr>
      </w:pPr>
      <w:bookmarkStart w:id="521" w:name="bookmark325"/>
      <w:bookmarkEnd w:id="521"/>
      <w:r>
        <w:rPr>
          <w:b/>
          <w:bCs/>
          <w:spacing w:val="-6"/>
          <w:sz w:val="25"/>
          <w:szCs w:val="25"/>
        </w:rPr>
        <w:t>二、流行过程及其影响因素</w:t>
      </w:r>
    </w:p>
    <w:p w14:paraId="79B58CAC">
      <w:pPr>
        <w:pStyle w:val="2"/>
        <w:spacing w:before="282" w:line="221" w:lineRule="auto"/>
        <w:ind w:left="1110"/>
        <w:rPr>
          <w:sz w:val="20"/>
          <w:szCs w:val="20"/>
        </w:rPr>
      </w:pPr>
      <w:r>
        <w:rPr>
          <w:spacing w:val="16"/>
          <w:sz w:val="20"/>
          <w:szCs w:val="20"/>
        </w:rPr>
        <w:t>(</w:t>
      </w:r>
      <w:r>
        <w:rPr>
          <w:spacing w:val="-45"/>
          <w:sz w:val="20"/>
          <w:szCs w:val="20"/>
        </w:rPr>
        <w:t xml:space="preserve"> </w:t>
      </w:r>
      <w:r>
        <w:rPr>
          <w:spacing w:val="16"/>
          <w:sz w:val="20"/>
          <w:szCs w:val="20"/>
        </w:rPr>
        <w:t>一</w:t>
      </w:r>
      <w:r>
        <w:rPr>
          <w:spacing w:val="-52"/>
          <w:sz w:val="20"/>
          <w:szCs w:val="20"/>
        </w:rPr>
        <w:t xml:space="preserve"> </w:t>
      </w:r>
      <w:r>
        <w:rPr>
          <w:spacing w:val="16"/>
          <w:sz w:val="20"/>
          <w:szCs w:val="20"/>
        </w:rPr>
        <w:t>)流行过程</w:t>
      </w:r>
    </w:p>
    <w:p w14:paraId="5DF52ADF">
      <w:pPr>
        <w:pStyle w:val="2"/>
        <w:spacing w:before="91" w:line="342" w:lineRule="auto"/>
        <w:ind w:left="689" w:right="109" w:firstLine="420"/>
        <w:jc w:val="both"/>
        <w:rPr>
          <w:rFonts w:ascii="宋体" w:hAnsi="宋体" w:eastAsia="宋体" w:cs="宋体"/>
          <w:sz w:val="20"/>
          <w:szCs w:val="20"/>
        </w:rPr>
      </w:pPr>
      <w:r>
        <w:rPr>
          <w:rFonts w:ascii="宋体" w:hAnsi="宋体" w:eastAsia="宋体" w:cs="宋体"/>
          <w:spacing w:val="7"/>
          <w:sz w:val="20"/>
          <w:szCs w:val="20"/>
        </w:rPr>
        <w:t xml:space="preserve">1. </w:t>
      </w:r>
      <w:r>
        <w:rPr>
          <w:spacing w:val="7"/>
          <w:sz w:val="20"/>
          <w:szCs w:val="20"/>
        </w:rPr>
        <w:t>传染源</w:t>
      </w:r>
      <w:r>
        <w:rPr>
          <w:spacing w:val="1"/>
          <w:sz w:val="20"/>
          <w:szCs w:val="20"/>
        </w:rPr>
        <w:t xml:space="preserve">  </w:t>
      </w:r>
      <w:r>
        <w:rPr>
          <w:rFonts w:ascii="宋体" w:hAnsi="宋体" w:eastAsia="宋体" w:cs="宋体"/>
          <w:spacing w:val="7"/>
          <w:sz w:val="20"/>
          <w:szCs w:val="20"/>
        </w:rPr>
        <w:t>病原学阳性的肺结核患者是结核病</w:t>
      </w:r>
      <w:r>
        <w:rPr>
          <w:rFonts w:ascii="宋体" w:hAnsi="宋体" w:eastAsia="宋体" w:cs="宋体"/>
          <w:spacing w:val="6"/>
          <w:sz w:val="20"/>
          <w:szCs w:val="20"/>
        </w:rPr>
        <w:t>的主要传染源。儿童肺结核以原发为主，大部</w:t>
      </w:r>
      <w:r>
        <w:rPr>
          <w:rFonts w:ascii="宋体" w:hAnsi="宋体" w:eastAsia="宋体" w:cs="宋体"/>
          <w:spacing w:val="1"/>
          <w:sz w:val="20"/>
          <w:szCs w:val="20"/>
        </w:rPr>
        <w:t xml:space="preserve"> 分为涂片阴性，传染性小。传染性大小主要取决于患者的排菌数量。据估计，</w:t>
      </w:r>
      <w:r>
        <w:rPr>
          <w:rFonts w:ascii="宋体" w:hAnsi="宋体" w:eastAsia="宋体" w:cs="宋体"/>
          <w:spacing w:val="61"/>
          <w:sz w:val="20"/>
          <w:szCs w:val="20"/>
        </w:rPr>
        <w:t xml:space="preserve"> </w:t>
      </w:r>
      <w:r>
        <w:rPr>
          <w:rFonts w:ascii="宋体" w:hAnsi="宋体" w:eastAsia="宋体" w:cs="宋体"/>
          <w:spacing w:val="1"/>
          <w:sz w:val="20"/>
          <w:szCs w:val="20"/>
        </w:rPr>
        <w:t>一个未经治</w:t>
      </w:r>
      <w:r>
        <w:rPr>
          <w:rFonts w:ascii="宋体" w:hAnsi="宋体" w:eastAsia="宋体" w:cs="宋体"/>
          <w:sz w:val="20"/>
          <w:szCs w:val="20"/>
        </w:rPr>
        <w:t xml:space="preserve">疗的涂阳 </w:t>
      </w:r>
      <w:r>
        <w:rPr>
          <w:rFonts w:ascii="宋体" w:hAnsi="宋体" w:eastAsia="宋体" w:cs="宋体"/>
          <w:spacing w:val="6"/>
          <w:sz w:val="20"/>
          <w:szCs w:val="20"/>
        </w:rPr>
        <w:t>肺结核患者，每年平均可能感染10～15人。</w:t>
      </w:r>
    </w:p>
    <w:p w14:paraId="6E2E2B63">
      <w:pPr>
        <w:spacing w:before="3" w:line="302" w:lineRule="auto"/>
        <w:ind w:left="689" w:right="121" w:firstLine="420"/>
        <w:jc w:val="both"/>
        <w:rPr>
          <w:rFonts w:ascii="宋体" w:hAnsi="宋体" w:eastAsia="宋体" w:cs="宋体"/>
          <w:sz w:val="20"/>
          <w:szCs w:val="20"/>
        </w:rPr>
      </w:pPr>
      <w:r>
        <w:rPr>
          <w:rFonts w:ascii="宋体" w:hAnsi="宋体" w:eastAsia="宋体" w:cs="宋体"/>
          <w:spacing w:val="4"/>
          <w:sz w:val="20"/>
          <w:szCs w:val="20"/>
        </w:rPr>
        <w:t>活动性肺结核患者的排菌状态并非固定的。原来未排菌的患者，当结核病灶恶化进展、破坏肺</w:t>
      </w:r>
      <w:r>
        <w:rPr>
          <w:rFonts w:ascii="宋体" w:hAnsi="宋体" w:eastAsia="宋体" w:cs="宋体"/>
          <w:spacing w:val="3"/>
          <w:sz w:val="20"/>
          <w:szCs w:val="20"/>
        </w:rPr>
        <w:t xml:space="preserve"> </w:t>
      </w:r>
      <w:r>
        <w:rPr>
          <w:rFonts w:ascii="宋体" w:hAnsi="宋体" w:eastAsia="宋体" w:cs="宋体"/>
          <w:sz w:val="20"/>
          <w:szCs w:val="20"/>
        </w:rPr>
        <w:t>组织，穿破支气管与外界相通后，就可处于排菌状态。因此，应当连续地</w:t>
      </w:r>
      <w:r>
        <w:rPr>
          <w:rFonts w:ascii="宋体" w:hAnsi="宋体" w:eastAsia="宋体" w:cs="宋体"/>
          <w:spacing w:val="-1"/>
          <w:sz w:val="20"/>
          <w:szCs w:val="20"/>
        </w:rPr>
        <w:t>进行痰涂片检查，以免漏掉</w:t>
      </w:r>
      <w:r>
        <w:rPr>
          <w:rFonts w:ascii="宋体" w:hAnsi="宋体" w:eastAsia="宋体" w:cs="宋体"/>
          <w:sz w:val="20"/>
          <w:szCs w:val="20"/>
        </w:rPr>
        <w:t xml:space="preserve"> </w:t>
      </w:r>
      <w:r>
        <w:rPr>
          <w:rFonts w:ascii="宋体" w:hAnsi="宋体" w:eastAsia="宋体" w:cs="宋体"/>
          <w:spacing w:val="4"/>
          <w:sz w:val="20"/>
          <w:szCs w:val="20"/>
        </w:rPr>
        <w:t>间歇性排菌患者。有空洞形成的患者，其痰中含有大量的结核菌，是重要的传染源。化</w:t>
      </w:r>
      <w:r>
        <w:rPr>
          <w:rFonts w:ascii="宋体" w:hAnsi="宋体" w:eastAsia="宋体" w:cs="宋体"/>
          <w:spacing w:val="3"/>
          <w:sz w:val="20"/>
          <w:szCs w:val="20"/>
        </w:rPr>
        <w:t>学药物治疗</w:t>
      </w:r>
      <w:r>
        <w:rPr>
          <w:rFonts w:ascii="宋体" w:hAnsi="宋体" w:eastAsia="宋体" w:cs="宋体"/>
          <w:sz w:val="20"/>
          <w:szCs w:val="20"/>
        </w:rPr>
        <w:t xml:space="preserve"> </w:t>
      </w:r>
      <w:r>
        <w:rPr>
          <w:rFonts w:ascii="宋体" w:hAnsi="宋体" w:eastAsia="宋体" w:cs="宋体"/>
          <w:spacing w:val="4"/>
          <w:sz w:val="20"/>
          <w:szCs w:val="20"/>
        </w:rPr>
        <w:t>直接作用于结核菌，2～3周后痰菌量明显减少，痰菌开始阴转，并且患者的咳嗽症状迅速消失，排</w:t>
      </w:r>
      <w:r>
        <w:rPr>
          <w:rFonts w:ascii="宋体" w:hAnsi="宋体" w:eastAsia="宋体" w:cs="宋体"/>
          <w:spacing w:val="10"/>
          <w:sz w:val="20"/>
          <w:szCs w:val="20"/>
        </w:rPr>
        <w:t xml:space="preserve"> </w:t>
      </w:r>
      <w:r>
        <w:rPr>
          <w:rFonts w:ascii="宋体" w:hAnsi="宋体" w:eastAsia="宋体" w:cs="宋体"/>
          <w:spacing w:val="9"/>
          <w:sz w:val="20"/>
          <w:szCs w:val="20"/>
        </w:rPr>
        <w:t>菌状态显著改变。这说明化疗开始后排菌患者的传染性迅速下降或消失</w:t>
      </w:r>
      <w:r>
        <w:rPr>
          <w:rFonts w:ascii="宋体" w:hAnsi="宋体" w:eastAsia="宋体" w:cs="宋体"/>
          <w:spacing w:val="8"/>
          <w:sz w:val="20"/>
          <w:szCs w:val="20"/>
        </w:rPr>
        <w:t>，不再造成新的传播。化</w:t>
      </w:r>
    </w:p>
    <w:p w14:paraId="00A99626">
      <w:pPr>
        <w:spacing w:line="302" w:lineRule="auto"/>
        <w:rPr>
          <w:rFonts w:ascii="宋体" w:hAnsi="宋体" w:eastAsia="宋体" w:cs="宋体"/>
          <w:sz w:val="20"/>
          <w:szCs w:val="20"/>
        </w:rPr>
        <w:sectPr>
          <w:type w:val="continuous"/>
          <w:pgSz w:w="11900" w:h="16820"/>
          <w:pgMar w:top="400" w:right="1458" w:bottom="769" w:left="840" w:header="0" w:footer="589" w:gutter="0"/>
          <w:cols w:equalWidth="0" w:num="1">
            <w:col w:w="9601"/>
          </w:cols>
        </w:sectPr>
      </w:pPr>
    </w:p>
    <w:p w14:paraId="263C3D06">
      <w:pPr>
        <w:spacing w:line="290" w:lineRule="auto"/>
        <w:rPr>
          <w:rFonts w:ascii="Arial"/>
          <w:sz w:val="21"/>
        </w:rPr>
      </w:pPr>
    </w:p>
    <w:p w14:paraId="762E9013">
      <w:pPr>
        <w:pStyle w:val="2"/>
        <w:spacing w:before="65" w:line="222" w:lineRule="auto"/>
        <w:ind w:left="7390"/>
        <w:rPr>
          <w:sz w:val="20"/>
          <w:szCs w:val="20"/>
        </w:rPr>
      </w:pPr>
      <w:bookmarkStart w:id="522" w:name="bookmark585"/>
      <w:bookmarkEnd w:id="522"/>
      <w:r>
        <w:rPr>
          <w:spacing w:val="-10"/>
          <w:sz w:val="20"/>
          <w:szCs w:val="20"/>
        </w:rPr>
        <w:t>第二十章结核病</w:t>
      </w:r>
    </w:p>
    <w:p w14:paraId="3072B04D">
      <w:pPr>
        <w:spacing w:line="269" w:lineRule="auto"/>
        <w:rPr>
          <w:rFonts w:ascii="Arial"/>
          <w:sz w:val="21"/>
        </w:rPr>
      </w:pPr>
    </w:p>
    <w:p w14:paraId="3A1506FA">
      <w:pPr>
        <w:spacing w:line="270" w:lineRule="auto"/>
        <w:rPr>
          <w:rFonts w:ascii="Arial"/>
          <w:sz w:val="21"/>
        </w:rPr>
      </w:pPr>
    </w:p>
    <w:p w14:paraId="4780F63E">
      <w:pPr>
        <w:spacing w:before="65" w:line="216" w:lineRule="auto"/>
        <w:rPr>
          <w:rFonts w:ascii="宋体" w:hAnsi="宋体" w:eastAsia="宋体" w:cs="宋体"/>
          <w:sz w:val="20"/>
          <w:szCs w:val="20"/>
        </w:rPr>
      </w:pPr>
      <w:r>
        <w:rPr>
          <w:rFonts w:ascii="宋体" w:hAnsi="宋体" w:eastAsia="宋体" w:cs="宋体"/>
          <w:spacing w:val="7"/>
          <w:sz w:val="20"/>
          <w:szCs w:val="20"/>
        </w:rPr>
        <w:t>疗不仅可以治愈患者(即减少传染源的数量),而且能缩短其传染期。</w:t>
      </w:r>
    </w:p>
    <w:p w14:paraId="7DDD0392">
      <w:pPr>
        <w:spacing w:before="128" w:line="343" w:lineRule="auto"/>
        <w:ind w:right="643" w:firstLine="440"/>
        <w:rPr>
          <w:rFonts w:ascii="宋体" w:hAnsi="宋体" w:eastAsia="宋体" w:cs="宋体"/>
          <w:sz w:val="20"/>
          <w:szCs w:val="20"/>
        </w:rPr>
      </w:pPr>
      <w:r>
        <w:rPr>
          <w:rFonts w:ascii="宋体" w:hAnsi="宋体" w:eastAsia="宋体" w:cs="宋体"/>
          <w:spacing w:val="2"/>
          <w:sz w:val="20"/>
          <w:szCs w:val="20"/>
        </w:rPr>
        <w:t>结核病牛作为人类结核的传染源，主要是经牛奶传播。自从巴氏消毒法被广泛应用以来，经牛</w:t>
      </w:r>
      <w:r>
        <w:rPr>
          <w:rFonts w:ascii="宋体" w:hAnsi="宋体" w:eastAsia="宋体" w:cs="宋体"/>
          <w:spacing w:val="9"/>
          <w:sz w:val="20"/>
          <w:szCs w:val="20"/>
        </w:rPr>
        <w:t xml:space="preserve"> </w:t>
      </w:r>
      <w:r>
        <w:rPr>
          <w:rFonts w:ascii="宋体" w:hAnsi="宋体" w:eastAsia="宋体" w:cs="宋体"/>
          <w:spacing w:val="1"/>
          <w:sz w:val="20"/>
          <w:szCs w:val="20"/>
        </w:rPr>
        <w:t>奶传播的病例已较少见，加上中国人很少饮用生牛奶，牛作为传染</w:t>
      </w:r>
      <w:r>
        <w:rPr>
          <w:rFonts w:ascii="宋体" w:hAnsi="宋体" w:eastAsia="宋体" w:cs="宋体"/>
          <w:sz w:val="20"/>
          <w:szCs w:val="20"/>
        </w:rPr>
        <w:t>源的流行病学意义不大。</w:t>
      </w:r>
    </w:p>
    <w:p w14:paraId="4732160E">
      <w:pPr>
        <w:spacing w:before="17" w:line="325" w:lineRule="auto"/>
        <w:ind w:right="665" w:firstLine="440"/>
        <w:jc w:val="both"/>
        <w:rPr>
          <w:rFonts w:ascii="宋体" w:hAnsi="宋体" w:eastAsia="宋体" w:cs="宋体"/>
          <w:sz w:val="20"/>
          <w:szCs w:val="20"/>
        </w:rPr>
      </w:pPr>
      <w:r>
        <w:rPr>
          <w:rFonts w:ascii="宋体" w:hAnsi="宋体" w:eastAsia="宋体" w:cs="宋体"/>
          <w:spacing w:val="7"/>
          <w:sz w:val="20"/>
          <w:szCs w:val="20"/>
        </w:rPr>
        <w:t>已经发现30余种非结核分枝杆菌，尤其是堪萨斯分</w:t>
      </w:r>
      <w:r>
        <w:rPr>
          <w:rFonts w:ascii="宋体" w:hAnsi="宋体" w:eastAsia="宋体" w:cs="宋体"/>
          <w:spacing w:val="6"/>
          <w:sz w:val="20"/>
          <w:szCs w:val="20"/>
        </w:rPr>
        <w:t>枝杆菌、鸟分枝杆菌和胞内分枝杆菌可能</w:t>
      </w:r>
      <w:r>
        <w:rPr>
          <w:rFonts w:ascii="宋体" w:hAnsi="宋体" w:eastAsia="宋体" w:cs="宋体"/>
          <w:sz w:val="20"/>
          <w:szCs w:val="20"/>
        </w:rPr>
        <w:t xml:space="preserve"> </w:t>
      </w:r>
      <w:r>
        <w:rPr>
          <w:rFonts w:ascii="宋体" w:hAnsi="宋体" w:eastAsia="宋体" w:cs="宋体"/>
          <w:spacing w:val="3"/>
          <w:sz w:val="20"/>
          <w:szCs w:val="20"/>
        </w:rPr>
        <w:t>致病，在热带地区人群感染率较高，称为非结核分</w:t>
      </w:r>
      <w:r>
        <w:rPr>
          <w:rFonts w:ascii="宋体" w:hAnsi="宋体" w:eastAsia="宋体" w:cs="宋体"/>
          <w:spacing w:val="2"/>
          <w:sz w:val="20"/>
          <w:szCs w:val="20"/>
        </w:rPr>
        <w:t>枝杆菌感染。这些分枝杆菌一般存在于土壤和水</w:t>
      </w:r>
      <w:r>
        <w:rPr>
          <w:rFonts w:ascii="宋体" w:hAnsi="宋体" w:eastAsia="宋体" w:cs="宋体"/>
          <w:sz w:val="20"/>
          <w:szCs w:val="20"/>
        </w:rPr>
        <w:t xml:space="preserve"> </w:t>
      </w:r>
      <w:r>
        <w:rPr>
          <w:rFonts w:ascii="宋体" w:hAnsi="宋体" w:eastAsia="宋体" w:cs="宋体"/>
          <w:spacing w:val="-12"/>
          <w:sz w:val="20"/>
          <w:szCs w:val="20"/>
        </w:rPr>
        <w:t>体</w:t>
      </w:r>
      <w:r>
        <w:rPr>
          <w:rFonts w:ascii="宋体" w:hAnsi="宋体" w:eastAsia="宋体" w:cs="宋体"/>
          <w:spacing w:val="-25"/>
          <w:sz w:val="20"/>
          <w:szCs w:val="20"/>
        </w:rPr>
        <w:t xml:space="preserve"> </w:t>
      </w:r>
      <w:r>
        <w:rPr>
          <w:rFonts w:ascii="宋体" w:hAnsi="宋体" w:eastAsia="宋体" w:cs="宋体"/>
          <w:spacing w:val="-12"/>
          <w:sz w:val="20"/>
          <w:szCs w:val="20"/>
        </w:rPr>
        <w:t>中</w:t>
      </w:r>
      <w:r>
        <w:rPr>
          <w:rFonts w:ascii="宋体" w:hAnsi="宋体" w:eastAsia="宋体" w:cs="宋体"/>
          <w:spacing w:val="-51"/>
          <w:sz w:val="20"/>
          <w:szCs w:val="20"/>
        </w:rPr>
        <w:t xml:space="preserve"> </w:t>
      </w:r>
      <w:r>
        <w:rPr>
          <w:rFonts w:ascii="宋体" w:hAnsi="宋体" w:eastAsia="宋体" w:cs="宋体"/>
          <w:spacing w:val="-12"/>
          <w:sz w:val="20"/>
          <w:szCs w:val="20"/>
        </w:rPr>
        <w:t>。</w:t>
      </w:r>
    </w:p>
    <w:p w14:paraId="0E0238E5">
      <w:pPr>
        <w:pStyle w:val="2"/>
        <w:spacing w:before="42" w:line="333" w:lineRule="auto"/>
        <w:ind w:right="644" w:firstLine="440"/>
        <w:jc w:val="both"/>
        <w:rPr>
          <w:rFonts w:ascii="宋体" w:hAnsi="宋体" w:eastAsia="宋体" w:cs="宋体"/>
          <w:sz w:val="20"/>
          <w:szCs w:val="20"/>
        </w:rPr>
      </w:pPr>
      <w:r>
        <w:rPr>
          <w:rFonts w:ascii="宋体" w:hAnsi="宋体" w:eastAsia="宋体" w:cs="宋体"/>
          <w:spacing w:val="9"/>
          <w:sz w:val="20"/>
          <w:szCs w:val="20"/>
        </w:rPr>
        <w:t xml:space="preserve">2. </w:t>
      </w:r>
      <w:r>
        <w:rPr>
          <w:spacing w:val="9"/>
          <w:sz w:val="20"/>
          <w:szCs w:val="20"/>
        </w:rPr>
        <w:t xml:space="preserve">传播途径 </w:t>
      </w:r>
      <w:r>
        <w:rPr>
          <w:rFonts w:ascii="宋体" w:hAnsi="宋体" w:eastAsia="宋体" w:cs="宋体"/>
          <w:spacing w:val="9"/>
          <w:sz w:val="20"/>
          <w:szCs w:val="20"/>
        </w:rPr>
        <w:t>经空气传播是结核病的主要传播途</w:t>
      </w:r>
      <w:r>
        <w:rPr>
          <w:rFonts w:ascii="宋体" w:hAnsi="宋体" w:eastAsia="宋体" w:cs="宋体"/>
          <w:spacing w:val="8"/>
          <w:sz w:val="20"/>
          <w:szCs w:val="20"/>
        </w:rPr>
        <w:t>径。95%以上的结核菌的原发感染灶是在肺</w:t>
      </w:r>
      <w:r>
        <w:rPr>
          <w:rFonts w:ascii="宋体" w:hAnsi="宋体" w:eastAsia="宋体" w:cs="宋体"/>
          <w:sz w:val="20"/>
          <w:szCs w:val="20"/>
        </w:rPr>
        <w:t xml:space="preserve"> </w:t>
      </w:r>
      <w:r>
        <w:rPr>
          <w:rFonts w:ascii="宋体" w:hAnsi="宋体" w:eastAsia="宋体" w:cs="宋体"/>
          <w:spacing w:val="3"/>
          <w:sz w:val="20"/>
          <w:szCs w:val="20"/>
        </w:rPr>
        <w:t>部，而且通过称为“微滴核”的飞沫传播。肺结核患者在谈话和</w:t>
      </w:r>
      <w:r>
        <w:rPr>
          <w:rFonts w:ascii="宋体" w:hAnsi="宋体" w:eastAsia="宋体" w:cs="宋体"/>
          <w:spacing w:val="2"/>
          <w:sz w:val="20"/>
          <w:szCs w:val="20"/>
        </w:rPr>
        <w:t>咳嗽时从呼吸道排出含有结核菌的</w:t>
      </w:r>
      <w:r>
        <w:rPr>
          <w:rFonts w:ascii="宋体" w:hAnsi="宋体" w:eastAsia="宋体" w:cs="宋体"/>
          <w:sz w:val="20"/>
          <w:szCs w:val="20"/>
        </w:rPr>
        <w:t xml:space="preserve"> </w:t>
      </w:r>
      <w:r>
        <w:rPr>
          <w:rFonts w:ascii="宋体" w:hAnsi="宋体" w:eastAsia="宋体" w:cs="宋体"/>
          <w:spacing w:val="3"/>
          <w:sz w:val="20"/>
          <w:szCs w:val="20"/>
        </w:rPr>
        <w:t>飞沫，大飞沫迅速落下，小飞沫与空气接触后水分急剧蒸发而形成飞沫核(微滴核),直径小于5μ</w:t>
      </w:r>
      <w:r>
        <w:rPr>
          <w:rFonts w:ascii="Times New Roman" w:hAnsi="Times New Roman" w:eastAsia="Times New Roman" w:cs="Times New Roman"/>
          <w:spacing w:val="3"/>
          <w:sz w:val="20"/>
          <w:szCs w:val="20"/>
        </w:rPr>
        <w:t>m</w:t>
      </w:r>
      <w:r>
        <w:rPr>
          <w:rFonts w:ascii="Times New Roman" w:hAnsi="Times New Roman" w:eastAsia="Times New Roman" w:cs="Times New Roman"/>
          <w:spacing w:val="12"/>
          <w:sz w:val="20"/>
          <w:szCs w:val="20"/>
        </w:rPr>
        <w:t xml:space="preserve"> </w:t>
      </w:r>
      <w:r>
        <w:rPr>
          <w:rFonts w:ascii="宋体" w:hAnsi="宋体" w:eastAsia="宋体" w:cs="宋体"/>
          <w:spacing w:val="7"/>
          <w:sz w:val="20"/>
          <w:szCs w:val="20"/>
        </w:rPr>
        <w:t>的含菌微滴核可进人易感者肺泡而造成感染。微滴核弥散距离的远近与传染性有关。换言之，距</w:t>
      </w:r>
      <w:r>
        <w:rPr>
          <w:rFonts w:ascii="宋体" w:hAnsi="宋体" w:eastAsia="宋体" w:cs="宋体"/>
          <w:spacing w:val="14"/>
          <w:sz w:val="20"/>
          <w:szCs w:val="20"/>
        </w:rPr>
        <w:t xml:space="preserve"> </w:t>
      </w:r>
      <w:r>
        <w:rPr>
          <w:rFonts w:ascii="宋体" w:hAnsi="宋体" w:eastAsia="宋体" w:cs="宋体"/>
          <w:spacing w:val="5"/>
          <w:sz w:val="20"/>
          <w:szCs w:val="20"/>
        </w:rPr>
        <w:t>离传染源越近，受感染的可能性就越大。微滴核的量与传染源呼出气体速度有关，1次咳嗽可使具</w:t>
      </w:r>
      <w:r>
        <w:rPr>
          <w:rFonts w:ascii="宋体" w:hAnsi="宋体" w:eastAsia="宋体" w:cs="宋体"/>
          <w:spacing w:val="14"/>
          <w:sz w:val="20"/>
          <w:szCs w:val="20"/>
        </w:rPr>
        <w:t xml:space="preserve"> </w:t>
      </w:r>
      <w:r>
        <w:rPr>
          <w:rFonts w:ascii="宋体" w:hAnsi="宋体" w:eastAsia="宋体" w:cs="宋体"/>
          <w:spacing w:val="12"/>
          <w:sz w:val="20"/>
          <w:szCs w:val="20"/>
        </w:rPr>
        <w:t>有传染性的微滴核增加到3500个，而1次喷嚏可排放高达100万个微</w:t>
      </w:r>
      <w:r>
        <w:rPr>
          <w:rFonts w:ascii="宋体" w:hAnsi="宋体" w:eastAsia="宋体" w:cs="宋体"/>
          <w:spacing w:val="11"/>
          <w:sz w:val="20"/>
          <w:szCs w:val="20"/>
        </w:rPr>
        <w:t>滴核。加强室内通风可有效</w:t>
      </w:r>
      <w:r>
        <w:rPr>
          <w:rFonts w:ascii="宋体" w:hAnsi="宋体" w:eastAsia="宋体" w:cs="宋体"/>
          <w:sz w:val="20"/>
          <w:szCs w:val="20"/>
        </w:rPr>
        <w:t xml:space="preserve"> </w:t>
      </w:r>
      <w:r>
        <w:rPr>
          <w:rFonts w:ascii="宋体" w:hAnsi="宋体" w:eastAsia="宋体" w:cs="宋体"/>
          <w:spacing w:val="3"/>
          <w:sz w:val="20"/>
          <w:szCs w:val="20"/>
        </w:rPr>
        <w:t>减少微滴核，紫外线直接照射也能迅速杀灭微滴核中的结核分枝杆菌。</w:t>
      </w:r>
    </w:p>
    <w:p w14:paraId="3CEB4403">
      <w:pPr>
        <w:spacing w:before="26" w:line="334" w:lineRule="auto"/>
        <w:ind w:right="575" w:firstLine="440"/>
        <w:jc w:val="both"/>
        <w:rPr>
          <w:rFonts w:ascii="宋体" w:hAnsi="宋体" w:eastAsia="宋体" w:cs="宋体"/>
          <w:sz w:val="20"/>
          <w:szCs w:val="20"/>
        </w:rPr>
      </w:pPr>
      <w:r>
        <w:rPr>
          <w:rFonts w:ascii="宋体" w:hAnsi="宋体" w:eastAsia="宋体" w:cs="宋体"/>
          <w:spacing w:val="7"/>
          <w:sz w:val="20"/>
          <w:szCs w:val="20"/>
        </w:rPr>
        <w:t>患者排出的飞沫下落干燥后附着于尘土上，再随风形成飘浮于空气中的带菌尘埃，人们吸人 后也可能造成感染。虽然含有结核菌的大尘埃颗粒或直径5μ</w:t>
      </w:r>
      <w:r>
        <w:rPr>
          <w:rFonts w:ascii="Times New Roman" w:hAnsi="Times New Roman" w:eastAsia="Times New Roman" w:cs="Times New Roman"/>
          <w:spacing w:val="7"/>
          <w:sz w:val="20"/>
          <w:szCs w:val="20"/>
        </w:rPr>
        <w:t>m</w:t>
      </w:r>
      <w:r>
        <w:rPr>
          <w:rFonts w:ascii="Times New Roman" w:hAnsi="Times New Roman" w:eastAsia="Times New Roman" w:cs="Times New Roman"/>
          <w:spacing w:val="-8"/>
          <w:sz w:val="20"/>
          <w:szCs w:val="20"/>
        </w:rPr>
        <w:t xml:space="preserve"> </w:t>
      </w:r>
      <w:r>
        <w:rPr>
          <w:rFonts w:ascii="宋体" w:hAnsi="宋体" w:eastAsia="宋体" w:cs="宋体"/>
          <w:spacing w:val="7"/>
          <w:sz w:val="20"/>
          <w:szCs w:val="20"/>
        </w:rPr>
        <w:t>以上的微滴核一般不会造成感染，</w:t>
      </w:r>
      <w:r>
        <w:rPr>
          <w:rFonts w:ascii="宋体" w:hAnsi="宋体" w:eastAsia="宋体" w:cs="宋体"/>
          <w:sz w:val="20"/>
          <w:szCs w:val="20"/>
        </w:rPr>
        <w:t xml:space="preserve"> </w:t>
      </w:r>
      <w:r>
        <w:rPr>
          <w:rFonts w:ascii="宋体" w:hAnsi="宋体" w:eastAsia="宋体" w:cs="宋体"/>
          <w:spacing w:val="3"/>
          <w:sz w:val="20"/>
          <w:szCs w:val="20"/>
        </w:rPr>
        <w:t>但动物实验发现，菌尘气溶胶可以造成豚鼠感染</w:t>
      </w:r>
      <w:r>
        <w:rPr>
          <w:rFonts w:ascii="宋体" w:hAnsi="宋体" w:eastAsia="宋体" w:cs="宋体"/>
          <w:spacing w:val="2"/>
          <w:sz w:val="20"/>
          <w:szCs w:val="20"/>
        </w:rPr>
        <w:t>，因此，仍需注意结核菌通过再生气溶胶传播的可</w:t>
      </w:r>
      <w:r>
        <w:rPr>
          <w:rFonts w:ascii="宋体" w:hAnsi="宋体" w:eastAsia="宋体" w:cs="宋体"/>
          <w:sz w:val="20"/>
          <w:szCs w:val="20"/>
        </w:rPr>
        <w:t xml:space="preserve">  </w:t>
      </w:r>
      <w:r>
        <w:rPr>
          <w:rFonts w:ascii="宋体" w:hAnsi="宋体" w:eastAsia="宋体" w:cs="宋体"/>
          <w:spacing w:val="12"/>
          <w:sz w:val="20"/>
          <w:szCs w:val="20"/>
        </w:rPr>
        <w:t>能性</w:t>
      </w:r>
      <w:r>
        <w:rPr>
          <w:rFonts w:ascii="宋体" w:hAnsi="宋体" w:eastAsia="宋体" w:cs="宋体"/>
          <w:spacing w:val="-48"/>
          <w:sz w:val="20"/>
          <w:szCs w:val="20"/>
        </w:rPr>
        <w:t xml:space="preserve"> </w:t>
      </w:r>
      <w:r>
        <w:rPr>
          <w:rFonts w:ascii="宋体" w:hAnsi="宋体" w:eastAsia="宋体" w:cs="宋体"/>
          <w:spacing w:val="12"/>
          <w:sz w:val="20"/>
          <w:szCs w:val="20"/>
        </w:rPr>
        <w:t>。</w:t>
      </w:r>
    </w:p>
    <w:p w14:paraId="5E6DC23E">
      <w:pPr>
        <w:spacing w:before="11" w:line="334" w:lineRule="auto"/>
        <w:ind w:right="627" w:firstLine="440"/>
        <w:jc w:val="both"/>
        <w:rPr>
          <w:rFonts w:ascii="宋体" w:hAnsi="宋体" w:eastAsia="宋体" w:cs="宋体"/>
          <w:sz w:val="20"/>
          <w:szCs w:val="20"/>
        </w:rPr>
      </w:pPr>
      <w:r>
        <w:rPr>
          <w:rFonts w:ascii="宋体" w:hAnsi="宋体" w:eastAsia="宋体" w:cs="宋体"/>
          <w:spacing w:val="1"/>
          <w:sz w:val="20"/>
          <w:szCs w:val="20"/>
        </w:rPr>
        <w:t>结核菌经食物进入消化道，很容易被大量胃酸杀死，</w:t>
      </w:r>
      <w:r>
        <w:rPr>
          <w:rFonts w:ascii="宋体" w:hAnsi="宋体" w:eastAsia="宋体" w:cs="宋体"/>
          <w:spacing w:val="-32"/>
          <w:sz w:val="20"/>
          <w:szCs w:val="20"/>
        </w:rPr>
        <w:t xml:space="preserve"> </w:t>
      </w:r>
      <w:r>
        <w:rPr>
          <w:rFonts w:ascii="宋体" w:hAnsi="宋体" w:eastAsia="宋体" w:cs="宋体"/>
          <w:spacing w:val="1"/>
          <w:sz w:val="20"/>
          <w:szCs w:val="20"/>
        </w:rPr>
        <w:t>一般不会造成感染。当结核菌大量或</w:t>
      </w:r>
      <w:r>
        <w:rPr>
          <w:rFonts w:ascii="宋体" w:hAnsi="宋体" w:eastAsia="宋体" w:cs="宋体"/>
          <w:sz w:val="20"/>
          <w:szCs w:val="20"/>
        </w:rPr>
        <w:t xml:space="preserve">少量 </w:t>
      </w:r>
      <w:r>
        <w:rPr>
          <w:rFonts w:ascii="宋体" w:hAnsi="宋体" w:eastAsia="宋体" w:cs="宋体"/>
          <w:spacing w:val="3"/>
          <w:sz w:val="20"/>
          <w:szCs w:val="20"/>
        </w:rPr>
        <w:t>反复进入消化道时，可在肠壁淋巴滤泡形成病灶，造成感染。食</w:t>
      </w:r>
      <w:r>
        <w:rPr>
          <w:rFonts w:ascii="宋体" w:hAnsi="宋体" w:eastAsia="宋体" w:cs="宋体"/>
          <w:spacing w:val="2"/>
          <w:sz w:val="20"/>
          <w:szCs w:val="20"/>
        </w:rPr>
        <w:t>物载体主要是牛奶，因未经充分加</w:t>
      </w:r>
      <w:r>
        <w:rPr>
          <w:rFonts w:ascii="宋体" w:hAnsi="宋体" w:eastAsia="宋体" w:cs="宋体"/>
          <w:sz w:val="20"/>
          <w:szCs w:val="20"/>
        </w:rPr>
        <w:t xml:space="preserve"> </w:t>
      </w:r>
      <w:r>
        <w:rPr>
          <w:rFonts w:ascii="宋体" w:hAnsi="宋体" w:eastAsia="宋体" w:cs="宋体"/>
          <w:spacing w:val="8"/>
          <w:sz w:val="20"/>
          <w:szCs w:val="20"/>
        </w:rPr>
        <w:t>热引起感染。这种情况在我国较少见。</w:t>
      </w:r>
    </w:p>
    <w:p w14:paraId="48019C3A">
      <w:pPr>
        <w:pStyle w:val="2"/>
        <w:spacing w:before="4" w:line="333" w:lineRule="auto"/>
        <w:ind w:right="575" w:firstLine="442"/>
        <w:jc w:val="both"/>
        <w:rPr>
          <w:rFonts w:ascii="宋体" w:hAnsi="宋体" w:eastAsia="宋体" w:cs="宋体"/>
          <w:sz w:val="20"/>
          <w:szCs w:val="20"/>
        </w:rPr>
      </w:pPr>
      <w:r>
        <w:rPr>
          <w:rFonts w:ascii="宋体" w:hAnsi="宋体" w:eastAsia="宋体" w:cs="宋体"/>
          <w:b/>
          <w:bCs/>
          <w:spacing w:val="5"/>
          <w:sz w:val="20"/>
          <w:szCs w:val="20"/>
        </w:rPr>
        <w:t>3.</w:t>
      </w:r>
      <w:r>
        <w:rPr>
          <w:rFonts w:ascii="宋体" w:hAnsi="宋体" w:eastAsia="宋体" w:cs="宋体"/>
          <w:spacing w:val="5"/>
          <w:sz w:val="20"/>
          <w:szCs w:val="20"/>
        </w:rPr>
        <w:t xml:space="preserve"> </w:t>
      </w:r>
      <w:r>
        <w:rPr>
          <w:b/>
          <w:bCs/>
          <w:spacing w:val="5"/>
          <w:sz w:val="20"/>
          <w:szCs w:val="20"/>
        </w:rPr>
        <w:t>易感人群</w:t>
      </w:r>
      <w:r>
        <w:rPr>
          <w:spacing w:val="73"/>
          <w:sz w:val="20"/>
          <w:szCs w:val="20"/>
        </w:rPr>
        <w:t xml:space="preserve"> </w:t>
      </w:r>
      <w:r>
        <w:rPr>
          <w:rFonts w:ascii="宋体" w:hAnsi="宋体" w:eastAsia="宋体" w:cs="宋体"/>
          <w:spacing w:val="5"/>
          <w:sz w:val="20"/>
          <w:szCs w:val="20"/>
        </w:rPr>
        <w:t>人群对结核分枝杆菌普遍易感，人群</w:t>
      </w:r>
      <w:r>
        <w:rPr>
          <w:rFonts w:ascii="宋体" w:hAnsi="宋体" w:eastAsia="宋体" w:cs="宋体"/>
          <w:spacing w:val="4"/>
          <w:sz w:val="20"/>
          <w:szCs w:val="20"/>
        </w:rPr>
        <w:t>中易感者的比例是结核病流行的重要影响</w:t>
      </w:r>
      <w:r>
        <w:rPr>
          <w:rFonts w:ascii="宋体" w:hAnsi="宋体" w:eastAsia="宋体" w:cs="宋体"/>
          <w:sz w:val="20"/>
          <w:szCs w:val="20"/>
        </w:rPr>
        <w:t xml:space="preserve">  </w:t>
      </w:r>
      <w:r>
        <w:rPr>
          <w:rFonts w:ascii="宋体" w:hAnsi="宋体" w:eastAsia="宋体" w:cs="宋体"/>
          <w:spacing w:val="7"/>
          <w:sz w:val="20"/>
          <w:szCs w:val="20"/>
        </w:rPr>
        <w:t>因素。易感者在接触传染源后是否感染与接触时间长短和暴露程度有关。接触时间越长、传染源</w:t>
      </w:r>
      <w:r>
        <w:rPr>
          <w:rFonts w:ascii="宋体" w:hAnsi="宋体" w:eastAsia="宋体" w:cs="宋体"/>
          <w:spacing w:val="6"/>
          <w:sz w:val="20"/>
          <w:szCs w:val="20"/>
        </w:rPr>
        <w:t xml:space="preserve">  </w:t>
      </w:r>
      <w:r>
        <w:rPr>
          <w:rFonts w:ascii="宋体" w:hAnsi="宋体" w:eastAsia="宋体" w:cs="宋体"/>
          <w:spacing w:val="3"/>
          <w:sz w:val="20"/>
          <w:szCs w:val="20"/>
        </w:rPr>
        <w:t>的传染性越强、与传染源接触越密切，则获得感染的可能性越大。拥</w:t>
      </w:r>
      <w:r>
        <w:rPr>
          <w:rFonts w:ascii="宋体" w:hAnsi="宋体" w:eastAsia="宋体" w:cs="宋体"/>
          <w:spacing w:val="2"/>
          <w:sz w:val="20"/>
          <w:szCs w:val="20"/>
        </w:rPr>
        <w:t>挤、通风不良的居住环境可以</w:t>
      </w:r>
      <w:r>
        <w:rPr>
          <w:rFonts w:ascii="宋体" w:hAnsi="宋体" w:eastAsia="宋体" w:cs="宋体"/>
          <w:sz w:val="20"/>
          <w:szCs w:val="20"/>
        </w:rPr>
        <w:t xml:space="preserve">  </w:t>
      </w:r>
      <w:r>
        <w:rPr>
          <w:rFonts w:ascii="宋体" w:hAnsi="宋体" w:eastAsia="宋体" w:cs="宋体"/>
          <w:spacing w:val="4"/>
          <w:sz w:val="20"/>
          <w:szCs w:val="20"/>
        </w:rPr>
        <w:t>增加易感者与传染源接触的密切程度和暴露危险性。易感者的年龄也可影响其感染的危险</w:t>
      </w:r>
      <w:r>
        <w:rPr>
          <w:rFonts w:ascii="宋体" w:hAnsi="宋体" w:eastAsia="宋体" w:cs="宋体"/>
          <w:spacing w:val="3"/>
          <w:sz w:val="20"/>
          <w:szCs w:val="20"/>
        </w:rPr>
        <w:t>性，</w:t>
      </w:r>
      <w:r>
        <w:rPr>
          <w:rFonts w:ascii="宋体" w:hAnsi="宋体" w:eastAsia="宋体" w:cs="宋体"/>
          <w:spacing w:val="64"/>
          <w:sz w:val="20"/>
          <w:szCs w:val="20"/>
        </w:rPr>
        <w:t xml:space="preserve"> </w:t>
      </w:r>
      <w:r>
        <w:rPr>
          <w:rFonts w:ascii="宋体" w:hAnsi="宋体" w:eastAsia="宋体" w:cs="宋体"/>
          <w:spacing w:val="3"/>
          <w:sz w:val="20"/>
          <w:szCs w:val="20"/>
        </w:rPr>
        <w:t>一</w:t>
      </w:r>
      <w:r>
        <w:rPr>
          <w:rFonts w:ascii="宋体" w:hAnsi="宋体" w:eastAsia="宋体" w:cs="宋体"/>
          <w:sz w:val="20"/>
          <w:szCs w:val="20"/>
        </w:rPr>
        <w:t xml:space="preserve"> </w:t>
      </w:r>
      <w:r>
        <w:rPr>
          <w:rFonts w:ascii="宋体" w:hAnsi="宋体" w:eastAsia="宋体" w:cs="宋体"/>
          <w:spacing w:val="8"/>
          <w:sz w:val="20"/>
          <w:szCs w:val="20"/>
        </w:rPr>
        <w:t>般认为易感者发生感染的危险性随年龄增长而增加。在非</w:t>
      </w:r>
      <w:r>
        <w:rPr>
          <w:rFonts w:ascii="Times New Roman" w:hAnsi="Times New Roman" w:eastAsia="Times New Roman" w:cs="Times New Roman"/>
          <w:sz w:val="20"/>
          <w:szCs w:val="20"/>
        </w:rPr>
        <w:t>HIV</w:t>
      </w:r>
      <w:r>
        <w:rPr>
          <w:rFonts w:ascii="Times New Roman" w:hAnsi="Times New Roman" w:eastAsia="Times New Roman" w:cs="Times New Roman"/>
          <w:spacing w:val="8"/>
          <w:sz w:val="20"/>
          <w:szCs w:val="20"/>
        </w:rPr>
        <w:t xml:space="preserve"> </w:t>
      </w:r>
      <w:r>
        <w:rPr>
          <w:rFonts w:ascii="宋体" w:hAnsi="宋体" w:eastAsia="宋体" w:cs="宋体"/>
          <w:spacing w:val="8"/>
          <w:sz w:val="20"/>
          <w:szCs w:val="20"/>
        </w:rPr>
        <w:t>高感染地区，成年男</w:t>
      </w:r>
      <w:r>
        <w:rPr>
          <w:rFonts w:ascii="宋体" w:hAnsi="宋体" w:eastAsia="宋体" w:cs="宋体"/>
          <w:spacing w:val="7"/>
          <w:sz w:val="20"/>
          <w:szCs w:val="20"/>
        </w:rPr>
        <w:t>性感染结核分</w:t>
      </w:r>
      <w:r>
        <w:rPr>
          <w:rFonts w:ascii="宋体" w:hAnsi="宋体" w:eastAsia="宋体" w:cs="宋体"/>
          <w:sz w:val="20"/>
          <w:szCs w:val="20"/>
        </w:rPr>
        <w:t xml:space="preserve"> </w:t>
      </w:r>
      <w:r>
        <w:rPr>
          <w:rFonts w:ascii="宋体" w:hAnsi="宋体" w:eastAsia="宋体" w:cs="宋体"/>
          <w:spacing w:val="10"/>
          <w:sz w:val="20"/>
          <w:szCs w:val="20"/>
        </w:rPr>
        <w:t>枝杆菌的危险性高于女性，可能与男性有更多的机会接触传染源有关。免疫功能紊乱或缺陷(如</w:t>
      </w:r>
      <w:r>
        <w:rPr>
          <w:rFonts w:ascii="宋体" w:hAnsi="宋体" w:eastAsia="宋体" w:cs="宋体"/>
          <w:spacing w:val="14"/>
          <w:sz w:val="20"/>
          <w:szCs w:val="20"/>
        </w:rPr>
        <w:t xml:space="preserve"> </w:t>
      </w:r>
      <w:r>
        <w:rPr>
          <w:rFonts w:ascii="Times New Roman" w:hAnsi="Times New Roman" w:eastAsia="Times New Roman" w:cs="Times New Roman"/>
          <w:spacing w:val="-3"/>
          <w:sz w:val="20"/>
          <w:szCs w:val="20"/>
        </w:rPr>
        <w:t>HIV</w:t>
      </w:r>
      <w:r>
        <w:rPr>
          <w:rFonts w:ascii="Times New Roman" w:hAnsi="Times New Roman" w:eastAsia="Times New Roman" w:cs="Times New Roman"/>
          <w:spacing w:val="31"/>
          <w:w w:val="101"/>
          <w:sz w:val="20"/>
          <w:szCs w:val="20"/>
        </w:rPr>
        <w:t xml:space="preserve"> </w:t>
      </w:r>
      <w:r>
        <w:rPr>
          <w:rFonts w:ascii="宋体" w:hAnsi="宋体" w:eastAsia="宋体" w:cs="宋体"/>
          <w:spacing w:val="-3"/>
          <w:sz w:val="20"/>
          <w:szCs w:val="20"/>
        </w:rPr>
        <w:t>感染)、营养不良、接触硅尘、患糖尿病、重度吸烟和过度劳累等，均能增加对结核菌的易感性。</w:t>
      </w:r>
      <w:r>
        <w:rPr>
          <w:rFonts w:ascii="宋体" w:hAnsi="宋体" w:eastAsia="宋体" w:cs="宋体"/>
          <w:sz w:val="20"/>
          <w:szCs w:val="20"/>
        </w:rPr>
        <w:t xml:space="preserve"> </w:t>
      </w:r>
      <w:r>
        <w:rPr>
          <w:rFonts w:ascii="宋体" w:hAnsi="宋体" w:eastAsia="宋体" w:cs="宋体"/>
          <w:spacing w:val="3"/>
          <w:sz w:val="20"/>
          <w:szCs w:val="20"/>
        </w:rPr>
        <w:t>与肺结核患者接触的医务人员为结核病的高发人群</w:t>
      </w:r>
      <w:r>
        <w:rPr>
          <w:rFonts w:ascii="宋体" w:hAnsi="宋体" w:eastAsia="宋体" w:cs="宋体"/>
          <w:spacing w:val="2"/>
          <w:sz w:val="20"/>
          <w:szCs w:val="20"/>
        </w:rPr>
        <w:t>，其发病属于医院感染。</w:t>
      </w:r>
    </w:p>
    <w:p w14:paraId="0CD78AB5">
      <w:pPr>
        <w:pStyle w:val="2"/>
        <w:spacing w:before="51" w:line="221" w:lineRule="auto"/>
        <w:ind w:left="442"/>
        <w:rPr>
          <w:sz w:val="20"/>
          <w:szCs w:val="20"/>
        </w:rPr>
      </w:pPr>
      <w:r>
        <w:rPr>
          <w:b/>
          <w:bCs/>
          <w:spacing w:val="25"/>
          <w:sz w:val="20"/>
          <w:szCs w:val="20"/>
        </w:rPr>
        <w:t>(二)影响流行过程的因素</w:t>
      </w:r>
    </w:p>
    <w:p w14:paraId="599BD70E">
      <w:pPr>
        <w:pStyle w:val="2"/>
        <w:spacing w:before="105" w:line="280" w:lineRule="auto"/>
        <w:ind w:right="664" w:firstLine="440"/>
        <w:rPr>
          <w:rFonts w:ascii="宋体" w:hAnsi="宋体" w:eastAsia="宋体" w:cs="宋体"/>
          <w:sz w:val="20"/>
          <w:szCs w:val="20"/>
        </w:rPr>
      </w:pPr>
      <w:r>
        <w:rPr>
          <w:rFonts w:ascii="宋体" w:hAnsi="宋体" w:eastAsia="宋体" w:cs="宋体"/>
          <w:spacing w:val="1"/>
          <w:sz w:val="20"/>
          <w:szCs w:val="20"/>
        </w:rPr>
        <w:t xml:space="preserve">1. </w:t>
      </w:r>
      <w:r>
        <w:rPr>
          <w:spacing w:val="1"/>
          <w:sz w:val="20"/>
          <w:szCs w:val="20"/>
        </w:rPr>
        <w:t>自然因素</w:t>
      </w:r>
      <w:r>
        <w:rPr>
          <w:spacing w:val="46"/>
          <w:sz w:val="20"/>
          <w:szCs w:val="20"/>
        </w:rPr>
        <w:t xml:space="preserve"> </w:t>
      </w:r>
      <w:r>
        <w:rPr>
          <w:rFonts w:ascii="宋体" w:hAnsi="宋体" w:eastAsia="宋体" w:cs="宋体"/>
          <w:spacing w:val="1"/>
          <w:sz w:val="20"/>
          <w:szCs w:val="20"/>
        </w:rPr>
        <w:t>季节影响不明显，但冬春季略多；在潮</w:t>
      </w:r>
      <w:r>
        <w:rPr>
          <w:rFonts w:ascii="宋体" w:hAnsi="宋体" w:eastAsia="宋体" w:cs="宋体"/>
          <w:sz w:val="20"/>
          <w:szCs w:val="20"/>
        </w:rPr>
        <w:t xml:space="preserve">湿环境下容易感染；通风不良等有利于结 </w:t>
      </w:r>
      <w:r>
        <w:rPr>
          <w:rFonts w:ascii="宋体" w:hAnsi="宋体" w:eastAsia="宋体" w:cs="宋体"/>
          <w:spacing w:val="14"/>
          <w:sz w:val="20"/>
          <w:szCs w:val="20"/>
        </w:rPr>
        <w:t>核菌传播。</w:t>
      </w:r>
    </w:p>
    <w:p w14:paraId="689B185B">
      <w:pPr>
        <w:pStyle w:val="2"/>
        <w:spacing w:before="112" w:line="304" w:lineRule="auto"/>
        <w:ind w:right="629" w:firstLine="442"/>
        <w:rPr>
          <w:rFonts w:ascii="宋体" w:hAnsi="宋体" w:eastAsia="宋体" w:cs="宋体"/>
          <w:sz w:val="20"/>
          <w:szCs w:val="20"/>
        </w:rPr>
      </w:pPr>
      <w:r>
        <w:rPr>
          <w:rFonts w:ascii="宋体" w:hAnsi="宋体" w:eastAsia="宋体" w:cs="宋体"/>
          <w:b/>
          <w:bCs/>
          <w:spacing w:val="5"/>
          <w:sz w:val="20"/>
          <w:szCs w:val="20"/>
        </w:rPr>
        <w:t>2.</w:t>
      </w:r>
      <w:r>
        <w:rPr>
          <w:rFonts w:ascii="宋体" w:hAnsi="宋体" w:eastAsia="宋体" w:cs="宋体"/>
          <w:spacing w:val="5"/>
          <w:sz w:val="20"/>
          <w:szCs w:val="20"/>
        </w:rPr>
        <w:t xml:space="preserve"> </w:t>
      </w:r>
      <w:r>
        <w:rPr>
          <w:b/>
          <w:bCs/>
          <w:spacing w:val="5"/>
          <w:sz w:val="20"/>
          <w:szCs w:val="20"/>
        </w:rPr>
        <w:t>社会因素</w:t>
      </w:r>
      <w:r>
        <w:rPr>
          <w:spacing w:val="69"/>
          <w:sz w:val="20"/>
          <w:szCs w:val="20"/>
        </w:rPr>
        <w:t xml:space="preserve"> </w:t>
      </w:r>
      <w:r>
        <w:rPr>
          <w:rFonts w:ascii="宋体" w:hAnsi="宋体" w:eastAsia="宋体" w:cs="宋体"/>
          <w:spacing w:val="5"/>
          <w:sz w:val="20"/>
          <w:szCs w:val="20"/>
        </w:rPr>
        <w:t>生活水平、居住条件、人口</w:t>
      </w:r>
      <w:r>
        <w:rPr>
          <w:rFonts w:ascii="宋体" w:hAnsi="宋体" w:eastAsia="宋体" w:cs="宋体"/>
          <w:spacing w:val="4"/>
          <w:sz w:val="20"/>
          <w:szCs w:val="20"/>
        </w:rPr>
        <w:t>流动和卫生服务等因素对结核病的流行有着重要影</w:t>
      </w:r>
      <w:r>
        <w:rPr>
          <w:rFonts w:ascii="宋体" w:hAnsi="宋体" w:eastAsia="宋体" w:cs="宋体"/>
          <w:sz w:val="20"/>
          <w:szCs w:val="20"/>
        </w:rPr>
        <w:t xml:space="preserve"> </w:t>
      </w:r>
      <w:r>
        <w:rPr>
          <w:rFonts w:ascii="宋体" w:hAnsi="宋体" w:eastAsia="宋体" w:cs="宋体"/>
          <w:spacing w:val="3"/>
          <w:sz w:val="20"/>
          <w:szCs w:val="20"/>
        </w:rPr>
        <w:t>响。贫困是结核病发生的一个重要危险因素。贫困</w:t>
      </w:r>
      <w:r>
        <w:rPr>
          <w:rFonts w:ascii="宋体" w:hAnsi="宋体" w:eastAsia="宋体" w:cs="宋体"/>
          <w:spacing w:val="2"/>
          <w:sz w:val="20"/>
          <w:szCs w:val="20"/>
        </w:rPr>
        <w:t>常常伴随着营养不良、居住条件差、劳动强度大</w:t>
      </w:r>
      <w:r>
        <w:rPr>
          <w:rFonts w:ascii="宋体" w:hAnsi="宋体" w:eastAsia="宋体" w:cs="宋体"/>
          <w:sz w:val="20"/>
          <w:szCs w:val="20"/>
        </w:rPr>
        <w:t xml:space="preserve"> </w:t>
      </w:r>
      <w:r>
        <w:rPr>
          <w:rFonts w:ascii="宋体" w:hAnsi="宋体" w:eastAsia="宋体" w:cs="宋体"/>
          <w:spacing w:val="-1"/>
          <w:sz w:val="20"/>
          <w:szCs w:val="20"/>
        </w:rPr>
        <w:t>等，同时，贫困人群的医疗服务可及性和公平性都处于较低水平，不能及</w:t>
      </w:r>
      <w:r>
        <w:rPr>
          <w:rFonts w:ascii="宋体" w:hAnsi="宋体" w:eastAsia="宋体" w:cs="宋体"/>
          <w:spacing w:val="-2"/>
          <w:sz w:val="20"/>
          <w:szCs w:val="20"/>
        </w:rPr>
        <w:t>时获得结核病诊断和治疗，</w:t>
      </w:r>
      <w:r>
        <w:rPr>
          <w:rFonts w:ascii="宋体" w:hAnsi="宋体" w:eastAsia="宋体" w:cs="宋体"/>
          <w:sz w:val="20"/>
          <w:szCs w:val="20"/>
        </w:rPr>
        <w:t xml:space="preserve"> </w:t>
      </w:r>
      <w:r>
        <w:rPr>
          <w:rFonts w:ascii="宋体" w:hAnsi="宋体" w:eastAsia="宋体" w:cs="宋体"/>
          <w:spacing w:val="6"/>
          <w:sz w:val="20"/>
          <w:szCs w:val="20"/>
        </w:rPr>
        <w:t>造成了结核病在贫困人群中的肆虐流行。</w:t>
      </w:r>
    </w:p>
    <w:p w14:paraId="57D69514">
      <w:pPr>
        <w:pStyle w:val="2"/>
        <w:spacing w:before="159" w:line="221" w:lineRule="auto"/>
        <w:ind w:left="442"/>
        <w:rPr>
          <w:sz w:val="20"/>
          <w:szCs w:val="20"/>
        </w:rPr>
      </w:pPr>
      <w:r>
        <w:rPr>
          <w:b/>
          <w:bCs/>
          <w:spacing w:val="21"/>
          <w:sz w:val="20"/>
          <w:szCs w:val="20"/>
        </w:rPr>
        <w:t>(三)全球结核病流行的原因</w:t>
      </w:r>
    </w:p>
    <w:p w14:paraId="5A7D385D">
      <w:pPr>
        <w:pStyle w:val="2"/>
        <w:spacing w:before="91" w:line="339" w:lineRule="auto"/>
        <w:ind w:right="677" w:firstLine="440"/>
        <w:jc w:val="both"/>
        <w:rPr>
          <w:rFonts w:ascii="宋体" w:hAnsi="宋体" w:eastAsia="宋体" w:cs="宋体"/>
          <w:sz w:val="20"/>
          <w:szCs w:val="20"/>
        </w:rPr>
      </w:pPr>
      <w:r>
        <w:rPr>
          <w:rFonts w:ascii="Times New Roman" w:hAnsi="Times New Roman" w:eastAsia="Times New Roman" w:cs="Times New Roman"/>
          <w:spacing w:val="9"/>
          <w:sz w:val="20"/>
          <w:szCs w:val="20"/>
        </w:rPr>
        <w:t>1,</w:t>
      </w:r>
      <w:r>
        <w:rPr>
          <w:rFonts w:ascii="Times New Roman" w:hAnsi="Times New Roman" w:eastAsia="Times New Roman" w:cs="Times New Roman"/>
          <w:sz w:val="20"/>
          <w:szCs w:val="20"/>
        </w:rPr>
        <w:t>HIV</w:t>
      </w:r>
      <w:r>
        <w:rPr>
          <w:rFonts w:ascii="Times New Roman" w:hAnsi="Times New Roman" w:eastAsia="Times New Roman" w:cs="Times New Roman"/>
          <w:spacing w:val="9"/>
          <w:sz w:val="20"/>
          <w:szCs w:val="20"/>
        </w:rPr>
        <w:t xml:space="preserve">    </w:t>
      </w:r>
      <w:r>
        <w:rPr>
          <w:spacing w:val="9"/>
          <w:sz w:val="20"/>
          <w:szCs w:val="20"/>
        </w:rPr>
        <w:t>和艾滋病的蔓延和流行</w:t>
      </w:r>
      <w:r>
        <w:rPr>
          <w:spacing w:val="63"/>
          <w:sz w:val="20"/>
          <w:szCs w:val="20"/>
        </w:rPr>
        <w:t xml:space="preserve"> </w:t>
      </w:r>
      <w:r>
        <w:rPr>
          <w:rFonts w:ascii="Times New Roman" w:hAnsi="Times New Roman" w:eastAsia="Times New Roman" w:cs="Times New Roman"/>
          <w:sz w:val="20"/>
          <w:szCs w:val="20"/>
        </w:rPr>
        <w:t>HIV</w:t>
      </w:r>
      <w:r>
        <w:rPr>
          <w:rFonts w:ascii="Times New Roman" w:hAnsi="Times New Roman" w:eastAsia="Times New Roman" w:cs="Times New Roman"/>
          <w:spacing w:val="27"/>
          <w:w w:val="101"/>
          <w:sz w:val="20"/>
          <w:szCs w:val="20"/>
        </w:rPr>
        <w:t xml:space="preserve"> </w:t>
      </w:r>
      <w:r>
        <w:rPr>
          <w:rFonts w:ascii="宋体" w:hAnsi="宋体" w:eastAsia="宋体" w:cs="宋体"/>
          <w:spacing w:val="9"/>
          <w:sz w:val="20"/>
          <w:szCs w:val="20"/>
        </w:rPr>
        <w:t>和结核的合并感染是一种致命的结合，促进了艾滋病</w:t>
      </w:r>
      <w:r>
        <w:rPr>
          <w:rFonts w:ascii="宋体" w:hAnsi="宋体" w:eastAsia="宋体" w:cs="宋体"/>
          <w:sz w:val="20"/>
          <w:szCs w:val="20"/>
        </w:rPr>
        <w:t xml:space="preserve"> </w:t>
      </w:r>
      <w:r>
        <w:rPr>
          <w:rFonts w:ascii="宋体" w:hAnsi="宋体" w:eastAsia="宋体" w:cs="宋体"/>
          <w:spacing w:val="4"/>
          <w:sz w:val="20"/>
          <w:szCs w:val="20"/>
        </w:rPr>
        <w:t>和结核病的进行性发展。</w:t>
      </w:r>
      <w:r>
        <w:rPr>
          <w:rFonts w:ascii="宋体" w:hAnsi="宋体" w:eastAsia="宋体" w:cs="宋体"/>
          <w:spacing w:val="-35"/>
          <w:sz w:val="20"/>
          <w:szCs w:val="20"/>
        </w:rPr>
        <w:t xml:space="preserve"> </w:t>
      </w:r>
      <w:r>
        <w:rPr>
          <w:rFonts w:ascii="Times New Roman" w:hAnsi="Times New Roman" w:eastAsia="Times New Roman" w:cs="Times New Roman"/>
          <w:sz w:val="20"/>
          <w:szCs w:val="20"/>
        </w:rPr>
        <w:t>HIV</w:t>
      </w:r>
      <w:r>
        <w:rPr>
          <w:rFonts w:ascii="Times New Roman" w:hAnsi="Times New Roman" w:eastAsia="Times New Roman" w:cs="Times New Roman"/>
          <w:spacing w:val="4"/>
          <w:sz w:val="20"/>
          <w:szCs w:val="20"/>
        </w:rPr>
        <w:t xml:space="preserve">  </w:t>
      </w:r>
      <w:r>
        <w:rPr>
          <w:rFonts w:ascii="宋体" w:hAnsi="宋体" w:eastAsia="宋体" w:cs="宋体"/>
          <w:spacing w:val="4"/>
          <w:sz w:val="20"/>
          <w:szCs w:val="20"/>
        </w:rPr>
        <w:t>削弱了机体的免疫系统，使感染者更容易感染结核分枝杆菌，更容</w:t>
      </w:r>
      <w:r>
        <w:rPr>
          <w:rFonts w:ascii="宋体" w:hAnsi="宋体" w:eastAsia="宋体" w:cs="宋体"/>
          <w:sz w:val="20"/>
          <w:szCs w:val="20"/>
        </w:rPr>
        <w:t xml:space="preserve"> </w:t>
      </w:r>
      <w:r>
        <w:rPr>
          <w:rFonts w:ascii="宋体" w:hAnsi="宋体" w:eastAsia="宋体" w:cs="宋体"/>
          <w:spacing w:val="7"/>
          <w:sz w:val="20"/>
          <w:szCs w:val="20"/>
        </w:rPr>
        <w:t>易发生结核病内源性复燃，也更容易发展为活动性结核病；而结核病的发生发展又造成了全球约</w:t>
      </w:r>
    </w:p>
    <w:p w14:paraId="12669D96">
      <w:pPr>
        <w:spacing w:line="339" w:lineRule="auto"/>
        <w:rPr>
          <w:rFonts w:ascii="宋体" w:hAnsi="宋体" w:eastAsia="宋体" w:cs="宋体"/>
          <w:sz w:val="20"/>
          <w:szCs w:val="20"/>
        </w:rPr>
        <w:sectPr>
          <w:footerReference r:id="rId340" w:type="default"/>
          <w:pgSz w:w="11900" w:h="16820"/>
          <w:pgMar w:top="400" w:right="954" w:bottom="899" w:left="1569" w:header="0" w:footer="719" w:gutter="0"/>
          <w:cols w:space="720" w:num="1"/>
        </w:sectPr>
      </w:pPr>
    </w:p>
    <w:p w14:paraId="6025A905">
      <w:pPr>
        <w:rPr>
          <w:rFonts w:ascii="Arial"/>
          <w:sz w:val="21"/>
        </w:rPr>
      </w:pPr>
    </w:p>
    <w:p w14:paraId="2A1138FE">
      <w:pPr>
        <w:pStyle w:val="2"/>
        <w:spacing w:before="65" w:line="222" w:lineRule="auto"/>
        <w:ind w:left="659"/>
        <w:rPr>
          <w:sz w:val="20"/>
          <w:szCs w:val="20"/>
        </w:rPr>
      </w:pPr>
      <w:bookmarkStart w:id="523" w:name="bookmark586"/>
      <w:bookmarkEnd w:id="523"/>
      <w:r>
        <w:rPr>
          <w:spacing w:val="-7"/>
          <w:sz w:val="20"/>
          <w:szCs w:val="20"/>
        </w:rPr>
        <w:t>第二十章结核病</w:t>
      </w:r>
    </w:p>
    <w:p w14:paraId="37C52F6B">
      <w:pPr>
        <w:spacing w:line="279" w:lineRule="auto"/>
        <w:rPr>
          <w:rFonts w:ascii="Arial"/>
          <w:sz w:val="21"/>
        </w:rPr>
      </w:pPr>
    </w:p>
    <w:p w14:paraId="3D875703">
      <w:pPr>
        <w:spacing w:line="280" w:lineRule="auto"/>
        <w:rPr>
          <w:rFonts w:ascii="Arial"/>
          <w:sz w:val="21"/>
        </w:rPr>
      </w:pPr>
    </w:p>
    <w:p w14:paraId="639937D4">
      <w:pPr>
        <w:spacing w:before="65" w:line="333" w:lineRule="auto"/>
        <w:ind w:left="659" w:right="22"/>
        <w:jc w:val="both"/>
        <w:rPr>
          <w:rFonts w:ascii="宋体" w:hAnsi="宋体" w:eastAsia="宋体" w:cs="宋体"/>
          <w:sz w:val="20"/>
          <w:szCs w:val="20"/>
        </w:rPr>
      </w:pPr>
      <w:r>
        <w:rPr>
          <w:rFonts w:ascii="宋体" w:hAnsi="宋体" w:eastAsia="宋体" w:cs="宋体"/>
          <w:spacing w:val="14"/>
          <w:sz w:val="20"/>
          <w:szCs w:val="20"/>
        </w:rPr>
        <w:t>15%～30%的艾滋病患者死亡。在非洲，</w:t>
      </w:r>
      <w:r>
        <w:rPr>
          <w:rFonts w:ascii="Times New Roman" w:hAnsi="Times New Roman" w:eastAsia="Times New Roman" w:cs="Times New Roman"/>
          <w:sz w:val="20"/>
          <w:szCs w:val="20"/>
        </w:rPr>
        <w:t>HIV</w:t>
      </w:r>
      <w:r>
        <w:rPr>
          <w:rFonts w:ascii="Times New Roman" w:hAnsi="Times New Roman" w:eastAsia="Times New Roman" w:cs="Times New Roman"/>
          <w:spacing w:val="14"/>
          <w:sz w:val="20"/>
          <w:szCs w:val="20"/>
        </w:rPr>
        <w:t xml:space="preserve"> </w:t>
      </w:r>
      <w:r>
        <w:rPr>
          <w:rFonts w:ascii="宋体" w:hAnsi="宋体" w:eastAsia="宋体" w:cs="宋体"/>
          <w:spacing w:val="14"/>
          <w:sz w:val="20"/>
          <w:szCs w:val="20"/>
        </w:rPr>
        <w:t>感染已成为过去30年间导致结核病发病率上升的最</w:t>
      </w:r>
      <w:r>
        <w:rPr>
          <w:rFonts w:ascii="宋体" w:hAnsi="宋体" w:eastAsia="宋体" w:cs="宋体"/>
          <w:spacing w:val="17"/>
          <w:sz w:val="20"/>
          <w:szCs w:val="20"/>
        </w:rPr>
        <w:t xml:space="preserve"> </w:t>
      </w:r>
      <w:r>
        <w:rPr>
          <w:rFonts w:ascii="宋体" w:hAnsi="宋体" w:eastAsia="宋体" w:cs="宋体"/>
          <w:spacing w:val="10"/>
          <w:sz w:val="20"/>
          <w:szCs w:val="20"/>
        </w:rPr>
        <w:t>主要原因。与大多数患者不同，伴有免疫抑制的</w:t>
      </w:r>
      <w:r>
        <w:rPr>
          <w:rFonts w:ascii="Times New Roman" w:hAnsi="Times New Roman" w:eastAsia="Times New Roman" w:cs="Times New Roman"/>
          <w:sz w:val="20"/>
          <w:szCs w:val="20"/>
        </w:rPr>
        <w:t>HIV</w:t>
      </w:r>
      <w:r>
        <w:rPr>
          <w:rFonts w:ascii="Times New Roman" w:hAnsi="Times New Roman" w:eastAsia="Times New Roman" w:cs="Times New Roman"/>
          <w:spacing w:val="10"/>
          <w:sz w:val="20"/>
          <w:szCs w:val="20"/>
        </w:rPr>
        <w:t xml:space="preserve"> </w:t>
      </w:r>
      <w:r>
        <w:rPr>
          <w:rFonts w:ascii="宋体" w:hAnsi="宋体" w:eastAsia="宋体" w:cs="宋体"/>
          <w:spacing w:val="10"/>
          <w:sz w:val="20"/>
          <w:szCs w:val="20"/>
        </w:rPr>
        <w:t>感染者，由于其在感染后2～3个月内即可发</w:t>
      </w:r>
      <w:r>
        <w:rPr>
          <w:rFonts w:ascii="宋体" w:hAnsi="宋体" w:eastAsia="宋体" w:cs="宋体"/>
          <w:spacing w:val="12"/>
          <w:sz w:val="20"/>
          <w:szCs w:val="20"/>
        </w:rPr>
        <w:t xml:space="preserve"> </w:t>
      </w:r>
      <w:r>
        <w:rPr>
          <w:rFonts w:ascii="宋体" w:hAnsi="宋体" w:eastAsia="宋体" w:cs="宋体"/>
          <w:spacing w:val="6"/>
          <w:sz w:val="20"/>
          <w:szCs w:val="20"/>
        </w:rPr>
        <w:t>生活动性结核病，因此容易发生诊断延误和不</w:t>
      </w:r>
      <w:r>
        <w:rPr>
          <w:rFonts w:ascii="宋体" w:hAnsi="宋体" w:eastAsia="宋体" w:cs="宋体"/>
          <w:spacing w:val="5"/>
          <w:sz w:val="20"/>
          <w:szCs w:val="20"/>
        </w:rPr>
        <w:t>规范治疗，最终导致</w:t>
      </w:r>
      <w:r>
        <w:rPr>
          <w:rFonts w:ascii="Times New Roman" w:hAnsi="Times New Roman" w:eastAsia="Times New Roman" w:cs="Times New Roman"/>
          <w:sz w:val="20"/>
          <w:szCs w:val="20"/>
        </w:rPr>
        <w:t>HIV</w:t>
      </w:r>
      <w:r>
        <w:rPr>
          <w:rFonts w:ascii="Times New Roman" w:hAnsi="Times New Roman" w:eastAsia="Times New Roman" w:cs="Times New Roman"/>
          <w:spacing w:val="27"/>
          <w:w w:val="101"/>
          <w:sz w:val="20"/>
          <w:szCs w:val="20"/>
        </w:rPr>
        <w:t xml:space="preserve"> </w:t>
      </w:r>
      <w:r>
        <w:rPr>
          <w:rFonts w:ascii="宋体" w:hAnsi="宋体" w:eastAsia="宋体" w:cs="宋体"/>
          <w:spacing w:val="5"/>
          <w:sz w:val="20"/>
          <w:szCs w:val="20"/>
        </w:rPr>
        <w:t>和结核分枝杆菌合并感染者</w:t>
      </w:r>
      <w:r>
        <w:rPr>
          <w:rFonts w:ascii="宋体" w:hAnsi="宋体" w:eastAsia="宋体" w:cs="宋体"/>
          <w:sz w:val="20"/>
          <w:szCs w:val="20"/>
        </w:rPr>
        <w:t xml:space="preserve"> </w:t>
      </w:r>
      <w:r>
        <w:rPr>
          <w:rFonts w:ascii="宋体" w:hAnsi="宋体" w:eastAsia="宋体" w:cs="宋体"/>
          <w:spacing w:val="7"/>
          <w:sz w:val="20"/>
          <w:szCs w:val="20"/>
        </w:rPr>
        <w:t>中耐多药结核病高发，且容易在</w:t>
      </w:r>
      <w:r>
        <w:rPr>
          <w:rFonts w:ascii="宋体" w:hAnsi="宋体" w:eastAsia="宋体" w:cs="宋体"/>
          <w:sz w:val="20"/>
          <w:szCs w:val="20"/>
        </w:rPr>
        <w:t>HIV</w:t>
      </w:r>
      <w:r>
        <w:rPr>
          <w:rFonts w:ascii="宋体" w:hAnsi="宋体" w:eastAsia="宋体" w:cs="宋体"/>
          <w:spacing w:val="7"/>
          <w:sz w:val="20"/>
          <w:szCs w:val="20"/>
        </w:rPr>
        <w:t xml:space="preserve"> 感染者中发生耐</w:t>
      </w:r>
      <w:r>
        <w:rPr>
          <w:rFonts w:ascii="宋体" w:hAnsi="宋体" w:eastAsia="宋体" w:cs="宋体"/>
          <w:spacing w:val="6"/>
          <w:sz w:val="20"/>
          <w:szCs w:val="20"/>
        </w:rPr>
        <w:t>药结核分枝杆菌的传播。</w:t>
      </w:r>
      <w:r>
        <w:rPr>
          <w:rFonts w:ascii="宋体" w:hAnsi="宋体" w:eastAsia="宋体" w:cs="宋体"/>
          <w:spacing w:val="-30"/>
          <w:sz w:val="20"/>
          <w:szCs w:val="20"/>
        </w:rPr>
        <w:t xml:space="preserve"> </w:t>
      </w:r>
      <w:r>
        <w:rPr>
          <w:rFonts w:ascii="宋体" w:hAnsi="宋体" w:eastAsia="宋体" w:cs="宋体"/>
          <w:sz w:val="20"/>
          <w:szCs w:val="20"/>
        </w:rPr>
        <w:t>WHO</w:t>
      </w:r>
      <w:r>
        <w:rPr>
          <w:rFonts w:ascii="宋体" w:hAnsi="宋体" w:eastAsia="宋体" w:cs="宋体"/>
          <w:spacing w:val="6"/>
          <w:sz w:val="20"/>
          <w:szCs w:val="20"/>
        </w:rPr>
        <w:t xml:space="preserve">  关于全球艾滋</w:t>
      </w:r>
      <w:r>
        <w:rPr>
          <w:rFonts w:ascii="宋体" w:hAnsi="宋体" w:eastAsia="宋体" w:cs="宋体"/>
          <w:sz w:val="20"/>
          <w:szCs w:val="20"/>
        </w:rPr>
        <w:t xml:space="preserve"> </w:t>
      </w:r>
      <w:r>
        <w:rPr>
          <w:rFonts w:ascii="宋体" w:hAnsi="宋体" w:eastAsia="宋体" w:cs="宋体"/>
          <w:spacing w:val="5"/>
          <w:sz w:val="20"/>
          <w:szCs w:val="20"/>
        </w:rPr>
        <w:t>病和结核病并发情况的报告表明，</w:t>
      </w:r>
      <w:r>
        <w:rPr>
          <w:rFonts w:ascii="Times New Roman" w:hAnsi="Times New Roman" w:eastAsia="Times New Roman" w:cs="Times New Roman"/>
          <w:sz w:val="20"/>
          <w:szCs w:val="20"/>
        </w:rPr>
        <w:t>HIV</w:t>
      </w:r>
      <w:r>
        <w:rPr>
          <w:rFonts w:ascii="Times New Roman" w:hAnsi="Times New Roman" w:eastAsia="Times New Roman" w:cs="Times New Roman"/>
          <w:spacing w:val="5"/>
          <w:sz w:val="20"/>
          <w:szCs w:val="20"/>
        </w:rPr>
        <w:t xml:space="preserve"> </w:t>
      </w:r>
      <w:r>
        <w:rPr>
          <w:rFonts w:ascii="宋体" w:hAnsi="宋体" w:eastAsia="宋体" w:cs="宋体"/>
          <w:spacing w:val="5"/>
          <w:sz w:val="20"/>
          <w:szCs w:val="20"/>
        </w:rPr>
        <w:t>的感染流行是全球结核病控制遇到的最严重的挑</w:t>
      </w:r>
      <w:r>
        <w:rPr>
          <w:rFonts w:ascii="宋体" w:hAnsi="宋体" w:eastAsia="宋体" w:cs="宋体"/>
          <w:spacing w:val="4"/>
          <w:sz w:val="20"/>
          <w:szCs w:val="20"/>
        </w:rPr>
        <w:t>战。</w:t>
      </w:r>
    </w:p>
    <w:p w14:paraId="5D2F5223">
      <w:pPr>
        <w:pStyle w:val="2"/>
        <w:spacing w:before="49" w:line="313" w:lineRule="auto"/>
        <w:ind w:left="659" w:right="35" w:firstLine="399"/>
        <w:rPr>
          <w:rFonts w:ascii="宋体" w:hAnsi="宋体" w:eastAsia="宋体" w:cs="宋体"/>
          <w:sz w:val="20"/>
          <w:szCs w:val="20"/>
        </w:rPr>
      </w:pPr>
      <w:r>
        <w:rPr>
          <w:rFonts w:ascii="宋体" w:hAnsi="宋体" w:eastAsia="宋体" w:cs="宋体"/>
          <w:spacing w:val="8"/>
          <w:sz w:val="20"/>
          <w:szCs w:val="20"/>
        </w:rPr>
        <w:t xml:space="preserve">2. </w:t>
      </w:r>
      <w:r>
        <w:rPr>
          <w:spacing w:val="8"/>
          <w:sz w:val="20"/>
          <w:szCs w:val="20"/>
        </w:rPr>
        <w:t>发展中国家人口的迅速增长和加速流动</w:t>
      </w:r>
      <w:r>
        <w:rPr>
          <w:spacing w:val="7"/>
          <w:sz w:val="20"/>
          <w:szCs w:val="20"/>
        </w:rPr>
        <w:t xml:space="preserve">  </w:t>
      </w:r>
      <w:r>
        <w:rPr>
          <w:rFonts w:ascii="宋体" w:hAnsi="宋体" w:eastAsia="宋体" w:cs="宋体"/>
          <w:spacing w:val="8"/>
          <w:sz w:val="20"/>
          <w:szCs w:val="20"/>
        </w:rPr>
        <w:t>发展中国家的人口发展很快，人口的城市化流动</w:t>
      </w:r>
      <w:r>
        <w:rPr>
          <w:rFonts w:ascii="宋体" w:hAnsi="宋体" w:eastAsia="宋体" w:cs="宋体"/>
          <w:spacing w:val="1"/>
          <w:sz w:val="20"/>
          <w:szCs w:val="20"/>
        </w:rPr>
        <w:t xml:space="preserve"> </w:t>
      </w:r>
      <w:r>
        <w:rPr>
          <w:rFonts w:ascii="宋体" w:hAnsi="宋体" w:eastAsia="宋体" w:cs="宋体"/>
          <w:spacing w:val="6"/>
          <w:sz w:val="20"/>
          <w:szCs w:val="20"/>
        </w:rPr>
        <w:t>和国际流动使结核病的传播范围扩大，流动人口构成中以青壮年为</w:t>
      </w:r>
      <w:r>
        <w:rPr>
          <w:rFonts w:ascii="宋体" w:hAnsi="宋体" w:eastAsia="宋体" w:cs="宋体"/>
          <w:spacing w:val="5"/>
          <w:sz w:val="20"/>
          <w:szCs w:val="20"/>
        </w:rPr>
        <w:t>主，他们是结核病发病和死亡的</w:t>
      </w:r>
      <w:r>
        <w:rPr>
          <w:rFonts w:ascii="宋体" w:hAnsi="宋体" w:eastAsia="宋体" w:cs="宋体"/>
          <w:sz w:val="20"/>
          <w:szCs w:val="20"/>
        </w:rPr>
        <w:t xml:space="preserve"> </w:t>
      </w:r>
      <w:r>
        <w:rPr>
          <w:rFonts w:ascii="宋体" w:hAnsi="宋体" w:eastAsia="宋体" w:cs="宋体"/>
          <w:spacing w:val="5"/>
          <w:sz w:val="20"/>
          <w:szCs w:val="20"/>
        </w:rPr>
        <w:t>高发人群，且其中相当部分为贫困人口。据估计，目前约有2000万人因战争、自然灾害、经济崩溃</w:t>
      </w:r>
      <w:r>
        <w:rPr>
          <w:rFonts w:ascii="宋体" w:hAnsi="宋体" w:eastAsia="宋体" w:cs="宋体"/>
          <w:spacing w:val="13"/>
          <w:sz w:val="20"/>
          <w:szCs w:val="20"/>
        </w:rPr>
        <w:t xml:space="preserve"> </w:t>
      </w:r>
      <w:r>
        <w:rPr>
          <w:rFonts w:ascii="宋体" w:hAnsi="宋体" w:eastAsia="宋体" w:cs="宋体"/>
          <w:spacing w:val="10"/>
          <w:sz w:val="20"/>
          <w:szCs w:val="20"/>
        </w:rPr>
        <w:t>等原因流离失所，更有约4000万人因贫困和城市化流动而居无定所。传染性结核病患者生</w:t>
      </w:r>
      <w:r>
        <w:rPr>
          <w:rFonts w:ascii="宋体" w:hAnsi="宋体" w:eastAsia="宋体" w:cs="宋体"/>
          <w:spacing w:val="9"/>
          <w:sz w:val="20"/>
          <w:szCs w:val="20"/>
        </w:rPr>
        <w:t>活在难</w:t>
      </w:r>
      <w:r>
        <w:rPr>
          <w:rFonts w:ascii="宋体" w:hAnsi="宋体" w:eastAsia="宋体" w:cs="宋体"/>
          <w:sz w:val="20"/>
          <w:szCs w:val="20"/>
        </w:rPr>
        <w:t xml:space="preserve"> </w:t>
      </w:r>
      <w:r>
        <w:rPr>
          <w:rFonts w:ascii="宋体" w:hAnsi="宋体" w:eastAsia="宋体" w:cs="宋体"/>
          <w:spacing w:val="1"/>
          <w:sz w:val="20"/>
          <w:szCs w:val="20"/>
        </w:rPr>
        <w:t>民营、贫民窟等居住条件拥挤、卫生状况恶劣的地方，成为结核病传播的重要传染源</w:t>
      </w:r>
      <w:r>
        <w:rPr>
          <w:rFonts w:ascii="宋体" w:hAnsi="宋体" w:eastAsia="宋体" w:cs="宋体"/>
          <w:sz w:val="20"/>
          <w:szCs w:val="20"/>
        </w:rPr>
        <w:t xml:space="preserve">。因此，流动人 </w:t>
      </w:r>
      <w:r>
        <w:rPr>
          <w:rFonts w:ascii="宋体" w:hAnsi="宋体" w:eastAsia="宋体" w:cs="宋体"/>
          <w:spacing w:val="4"/>
          <w:sz w:val="20"/>
          <w:szCs w:val="20"/>
        </w:rPr>
        <w:t>口中新发生的肺结核患者数将会大幅度上升，从而加重结核病控制工作的负担。</w:t>
      </w:r>
    </w:p>
    <w:p w14:paraId="0F95B47A">
      <w:pPr>
        <w:pStyle w:val="2"/>
        <w:spacing w:before="133" w:line="276" w:lineRule="auto"/>
        <w:ind w:left="659" w:right="43" w:firstLine="399"/>
        <w:rPr>
          <w:rFonts w:ascii="宋体" w:hAnsi="宋体" w:eastAsia="宋体" w:cs="宋体"/>
          <w:sz w:val="20"/>
          <w:szCs w:val="20"/>
        </w:rPr>
      </w:pPr>
      <w:r>
        <w:rPr>
          <w:rFonts w:ascii="宋体" w:hAnsi="宋体" w:eastAsia="宋体" w:cs="宋体"/>
          <w:spacing w:val="9"/>
          <w:sz w:val="20"/>
          <w:szCs w:val="20"/>
        </w:rPr>
        <w:t xml:space="preserve">3. </w:t>
      </w:r>
      <w:r>
        <w:rPr>
          <w:spacing w:val="9"/>
          <w:sz w:val="20"/>
          <w:szCs w:val="20"/>
        </w:rPr>
        <w:t>耐多药结核病的产生</w:t>
      </w:r>
      <w:r>
        <w:rPr>
          <w:spacing w:val="77"/>
          <w:sz w:val="20"/>
          <w:szCs w:val="20"/>
        </w:rPr>
        <w:t xml:space="preserve"> </w:t>
      </w:r>
      <w:r>
        <w:rPr>
          <w:rFonts w:ascii="宋体" w:hAnsi="宋体" w:eastAsia="宋体" w:cs="宋体"/>
          <w:spacing w:val="9"/>
          <w:sz w:val="20"/>
          <w:szCs w:val="20"/>
        </w:rPr>
        <w:t>不完善的结核病控制过程是导致</w:t>
      </w:r>
      <w:r>
        <w:rPr>
          <w:rFonts w:ascii="宋体" w:hAnsi="宋体" w:eastAsia="宋体" w:cs="宋体"/>
          <w:sz w:val="20"/>
          <w:szCs w:val="20"/>
        </w:rPr>
        <w:t>MDR</w:t>
      </w:r>
      <w:r>
        <w:rPr>
          <w:rFonts w:ascii="宋体" w:hAnsi="宋体" w:eastAsia="宋体" w:cs="宋体"/>
          <w:spacing w:val="9"/>
          <w:sz w:val="20"/>
          <w:szCs w:val="20"/>
        </w:rPr>
        <w:t>-</w:t>
      </w:r>
      <w:r>
        <w:rPr>
          <w:rFonts w:ascii="宋体" w:hAnsi="宋体" w:eastAsia="宋体" w:cs="宋体"/>
          <w:sz w:val="20"/>
          <w:szCs w:val="20"/>
        </w:rPr>
        <w:t>TB</w:t>
      </w:r>
      <w:r>
        <w:rPr>
          <w:rFonts w:ascii="宋体" w:hAnsi="宋体" w:eastAsia="宋体" w:cs="宋体"/>
          <w:spacing w:val="9"/>
          <w:sz w:val="20"/>
          <w:szCs w:val="20"/>
        </w:rPr>
        <w:t xml:space="preserve">  发生的主要原因。而感染</w:t>
      </w:r>
      <w:r>
        <w:rPr>
          <w:rFonts w:ascii="宋体" w:hAnsi="宋体" w:eastAsia="宋体" w:cs="宋体"/>
          <w:sz w:val="20"/>
          <w:szCs w:val="20"/>
        </w:rPr>
        <w:t xml:space="preserve"> </w:t>
      </w:r>
      <w:r>
        <w:rPr>
          <w:rFonts w:ascii="宋体" w:hAnsi="宋体" w:eastAsia="宋体" w:cs="宋体"/>
          <w:spacing w:val="8"/>
          <w:sz w:val="20"/>
          <w:szCs w:val="20"/>
        </w:rPr>
        <w:t>耐多药结核分枝杆菌的患者如果不能获得及时有效的治疗，则可向其他易感者直接传播</w:t>
      </w:r>
      <w:r>
        <w:rPr>
          <w:rFonts w:ascii="宋体" w:hAnsi="宋体" w:eastAsia="宋体" w:cs="宋体"/>
          <w:sz w:val="20"/>
          <w:szCs w:val="20"/>
        </w:rPr>
        <w:t>MDR</w:t>
      </w:r>
      <w:r>
        <w:rPr>
          <w:rFonts w:ascii="宋体" w:hAnsi="宋体" w:eastAsia="宋体" w:cs="宋体"/>
          <w:spacing w:val="8"/>
          <w:sz w:val="20"/>
          <w:szCs w:val="20"/>
        </w:rPr>
        <w:t>-</w:t>
      </w:r>
      <w:r>
        <w:rPr>
          <w:rFonts w:ascii="宋体" w:hAnsi="宋体" w:eastAsia="宋体" w:cs="宋体"/>
          <w:sz w:val="20"/>
          <w:szCs w:val="20"/>
        </w:rPr>
        <w:t>TB</w:t>
      </w:r>
      <w:r>
        <w:rPr>
          <w:rFonts w:ascii="宋体" w:hAnsi="宋体" w:eastAsia="宋体" w:cs="宋体"/>
          <w:spacing w:val="8"/>
          <w:sz w:val="20"/>
          <w:szCs w:val="20"/>
        </w:rPr>
        <w:t>。</w:t>
      </w:r>
    </w:p>
    <w:p w14:paraId="71A8BCB2">
      <w:pPr>
        <w:spacing w:before="97" w:line="321" w:lineRule="auto"/>
        <w:ind w:left="659" w:right="23"/>
        <w:rPr>
          <w:rFonts w:ascii="宋体" w:hAnsi="宋体" w:eastAsia="宋体" w:cs="宋体"/>
          <w:sz w:val="20"/>
          <w:szCs w:val="20"/>
        </w:rPr>
      </w:pPr>
      <w:r>
        <w:rPr>
          <w:rFonts w:ascii="宋体" w:hAnsi="宋体" w:eastAsia="宋体" w:cs="宋体"/>
          <w:spacing w:val="10"/>
          <w:sz w:val="20"/>
          <w:szCs w:val="20"/>
        </w:rPr>
        <w:t>20世纪90年代初期，纽约市发生了多起</w:t>
      </w:r>
      <w:r>
        <w:rPr>
          <w:rFonts w:ascii="Times New Roman" w:hAnsi="Times New Roman" w:eastAsia="Times New Roman" w:cs="Times New Roman"/>
          <w:sz w:val="20"/>
          <w:szCs w:val="20"/>
        </w:rPr>
        <w:t>MDR</w:t>
      </w:r>
      <w:r>
        <w:rPr>
          <w:rFonts w:ascii="Times New Roman" w:hAnsi="Times New Roman" w:eastAsia="Times New Roman" w:cs="Times New Roman"/>
          <w:spacing w:val="10"/>
          <w:sz w:val="20"/>
          <w:szCs w:val="20"/>
        </w:rPr>
        <w:t>-</w:t>
      </w:r>
      <w:r>
        <w:rPr>
          <w:rFonts w:ascii="Times New Roman" w:hAnsi="Times New Roman" w:eastAsia="Times New Roman" w:cs="Times New Roman"/>
          <w:sz w:val="20"/>
          <w:szCs w:val="20"/>
        </w:rPr>
        <w:t>TB</w:t>
      </w:r>
      <w:r>
        <w:rPr>
          <w:rFonts w:ascii="宋体" w:hAnsi="宋体" w:eastAsia="宋体" w:cs="宋体"/>
          <w:spacing w:val="10"/>
          <w:sz w:val="20"/>
          <w:szCs w:val="20"/>
        </w:rPr>
        <w:t>暴发，而</w:t>
      </w:r>
      <w:r>
        <w:rPr>
          <w:rFonts w:ascii="宋体" w:hAnsi="宋体" w:eastAsia="宋体" w:cs="宋体"/>
          <w:spacing w:val="9"/>
          <w:sz w:val="20"/>
          <w:szCs w:val="20"/>
        </w:rPr>
        <w:t>这些暴发源自同一个菌株</w:t>
      </w:r>
      <w:r>
        <w:rPr>
          <w:rFonts w:ascii="Times New Roman" w:hAnsi="Times New Roman" w:eastAsia="Times New Roman" w:cs="Times New Roman"/>
          <w:spacing w:val="9"/>
          <w:sz w:val="20"/>
          <w:szCs w:val="20"/>
        </w:rPr>
        <w:t>(W</w:t>
      </w:r>
      <w:r>
        <w:rPr>
          <w:rFonts w:ascii="Times New Roman" w:hAnsi="Times New Roman" w:eastAsia="Times New Roman" w:cs="Times New Roman"/>
          <w:spacing w:val="1"/>
          <w:sz w:val="20"/>
          <w:szCs w:val="20"/>
        </w:rPr>
        <w:t xml:space="preserve">  </w:t>
      </w:r>
      <w:r>
        <w:rPr>
          <w:rFonts w:ascii="宋体" w:hAnsi="宋体" w:eastAsia="宋体" w:cs="宋体"/>
          <w:spacing w:val="9"/>
          <w:sz w:val="20"/>
          <w:szCs w:val="20"/>
        </w:rPr>
        <w:t>株)在患者</w:t>
      </w:r>
      <w:r>
        <w:rPr>
          <w:rFonts w:ascii="宋体" w:hAnsi="宋体" w:eastAsia="宋体" w:cs="宋体"/>
          <w:spacing w:val="1"/>
          <w:sz w:val="20"/>
          <w:szCs w:val="20"/>
        </w:rPr>
        <w:t xml:space="preserve"> </w:t>
      </w:r>
      <w:r>
        <w:rPr>
          <w:rFonts w:ascii="宋体" w:hAnsi="宋体" w:eastAsia="宋体" w:cs="宋体"/>
          <w:spacing w:val="8"/>
          <w:sz w:val="20"/>
          <w:szCs w:val="20"/>
        </w:rPr>
        <w:t>中的连续传播，该菌株耐7～9种抗结核药物，大量患者最后死于</w:t>
      </w:r>
      <w:r>
        <w:rPr>
          <w:rFonts w:ascii="Times New Roman" w:hAnsi="Times New Roman" w:eastAsia="Times New Roman" w:cs="Times New Roman"/>
          <w:sz w:val="20"/>
          <w:szCs w:val="20"/>
        </w:rPr>
        <w:t>MDR</w:t>
      </w:r>
      <w:r>
        <w:rPr>
          <w:rFonts w:ascii="Times New Roman" w:hAnsi="Times New Roman" w:eastAsia="Times New Roman" w:cs="Times New Roman"/>
          <w:spacing w:val="8"/>
          <w:sz w:val="20"/>
          <w:szCs w:val="20"/>
        </w:rPr>
        <w:t>-</w:t>
      </w:r>
      <w:r>
        <w:rPr>
          <w:rFonts w:ascii="Times New Roman" w:hAnsi="Times New Roman" w:eastAsia="Times New Roman" w:cs="Times New Roman"/>
          <w:sz w:val="20"/>
          <w:szCs w:val="20"/>
        </w:rPr>
        <w:t>TB</w:t>
      </w:r>
      <w:r>
        <w:rPr>
          <w:rFonts w:ascii="Times New Roman" w:hAnsi="Times New Roman" w:eastAsia="Times New Roman" w:cs="Times New Roman"/>
          <w:spacing w:val="8"/>
          <w:sz w:val="20"/>
          <w:szCs w:val="20"/>
        </w:rPr>
        <w:t>,</w:t>
      </w:r>
      <w:r>
        <w:rPr>
          <w:rFonts w:ascii="Times New Roman" w:hAnsi="Times New Roman" w:eastAsia="Times New Roman" w:cs="Times New Roman"/>
          <w:spacing w:val="33"/>
          <w:sz w:val="20"/>
          <w:szCs w:val="20"/>
        </w:rPr>
        <w:t xml:space="preserve"> </w:t>
      </w:r>
      <w:r>
        <w:rPr>
          <w:rFonts w:ascii="宋体" w:hAnsi="宋体" w:eastAsia="宋体" w:cs="宋体"/>
          <w:spacing w:val="8"/>
          <w:sz w:val="20"/>
          <w:szCs w:val="20"/>
        </w:rPr>
        <w:t>还有许多医务人员成为</w:t>
      </w:r>
      <w:r>
        <w:rPr>
          <w:rFonts w:ascii="宋体" w:hAnsi="宋体" w:eastAsia="宋体" w:cs="宋体"/>
          <w:sz w:val="20"/>
          <w:szCs w:val="20"/>
        </w:rPr>
        <w:t xml:space="preserve"> </w:t>
      </w:r>
      <w:r>
        <w:rPr>
          <w:rFonts w:ascii="宋体" w:hAnsi="宋体" w:eastAsia="宋体" w:cs="宋体"/>
          <w:spacing w:val="11"/>
          <w:sz w:val="20"/>
          <w:szCs w:val="20"/>
        </w:rPr>
        <w:t>这一高度耐药菌株的潜伏感染者。结核病是一种贫困性疾病，如果没有面向贫困患者</w:t>
      </w:r>
      <w:r>
        <w:rPr>
          <w:rFonts w:ascii="宋体" w:hAnsi="宋体" w:eastAsia="宋体" w:cs="宋体"/>
          <w:spacing w:val="10"/>
          <w:sz w:val="20"/>
          <w:szCs w:val="20"/>
        </w:rPr>
        <w:t>的结核病控</w:t>
      </w:r>
      <w:r>
        <w:rPr>
          <w:rFonts w:ascii="宋体" w:hAnsi="宋体" w:eastAsia="宋体" w:cs="宋体"/>
          <w:sz w:val="20"/>
          <w:szCs w:val="20"/>
        </w:rPr>
        <w:t xml:space="preserve"> </w:t>
      </w:r>
      <w:r>
        <w:rPr>
          <w:rFonts w:ascii="宋体" w:hAnsi="宋体" w:eastAsia="宋体" w:cs="宋体"/>
          <w:spacing w:val="7"/>
          <w:sz w:val="20"/>
          <w:szCs w:val="20"/>
        </w:rPr>
        <w:t>制策略，或没有实施规范的</w:t>
      </w:r>
      <w:r>
        <w:rPr>
          <w:rFonts w:ascii="宋体" w:hAnsi="宋体" w:eastAsia="宋体" w:cs="宋体"/>
          <w:sz w:val="20"/>
          <w:szCs w:val="20"/>
        </w:rPr>
        <w:t>DOTS</w:t>
      </w:r>
      <w:r>
        <w:rPr>
          <w:rFonts w:ascii="宋体" w:hAnsi="宋体" w:eastAsia="宋体" w:cs="宋体"/>
          <w:spacing w:val="64"/>
          <w:sz w:val="20"/>
          <w:szCs w:val="20"/>
        </w:rPr>
        <w:t xml:space="preserve"> </w:t>
      </w:r>
      <w:r>
        <w:rPr>
          <w:rFonts w:ascii="宋体" w:hAnsi="宋体" w:eastAsia="宋体" w:cs="宋体"/>
          <w:spacing w:val="7"/>
          <w:sz w:val="20"/>
          <w:szCs w:val="20"/>
        </w:rPr>
        <w:t>策略，则许多肺结核患者会因为贫困等原因在接</w:t>
      </w:r>
      <w:r>
        <w:rPr>
          <w:rFonts w:ascii="宋体" w:hAnsi="宋体" w:eastAsia="宋体" w:cs="宋体"/>
          <w:spacing w:val="6"/>
          <w:sz w:val="20"/>
          <w:szCs w:val="20"/>
        </w:rPr>
        <w:t>受短时间的治疗</w:t>
      </w:r>
      <w:r>
        <w:rPr>
          <w:rFonts w:ascii="宋体" w:hAnsi="宋体" w:eastAsia="宋体" w:cs="宋体"/>
          <w:sz w:val="20"/>
          <w:szCs w:val="20"/>
        </w:rPr>
        <w:t xml:space="preserve"> </w:t>
      </w:r>
      <w:r>
        <w:rPr>
          <w:rFonts w:ascii="宋体" w:hAnsi="宋体" w:eastAsia="宋体" w:cs="宋体"/>
          <w:spacing w:val="6"/>
          <w:sz w:val="20"/>
          <w:szCs w:val="20"/>
        </w:rPr>
        <w:t>后，因症状缓解或消失，自认为已经痊愈而中止治疗。</w:t>
      </w:r>
      <w:r>
        <w:rPr>
          <w:rFonts w:ascii="宋体" w:hAnsi="宋体" w:eastAsia="宋体" w:cs="宋体"/>
          <w:spacing w:val="5"/>
          <w:sz w:val="20"/>
          <w:szCs w:val="20"/>
        </w:rPr>
        <w:t>实际上这类患者体内的结核菌并未被全部杀</w:t>
      </w:r>
      <w:r>
        <w:rPr>
          <w:rFonts w:ascii="宋体" w:hAnsi="宋体" w:eastAsia="宋体" w:cs="宋体"/>
          <w:sz w:val="20"/>
          <w:szCs w:val="20"/>
        </w:rPr>
        <w:t xml:space="preserve"> </w:t>
      </w:r>
      <w:r>
        <w:rPr>
          <w:rFonts w:ascii="宋体" w:hAnsi="宋体" w:eastAsia="宋体" w:cs="宋体"/>
          <w:spacing w:val="6"/>
          <w:sz w:val="20"/>
          <w:szCs w:val="20"/>
        </w:rPr>
        <w:t>灭，待体内药物浓度降低时，处于休眠状态的结核菌逐</w:t>
      </w:r>
      <w:r>
        <w:rPr>
          <w:rFonts w:ascii="宋体" w:hAnsi="宋体" w:eastAsia="宋体" w:cs="宋体"/>
          <w:spacing w:val="5"/>
          <w:sz w:val="20"/>
          <w:szCs w:val="20"/>
        </w:rPr>
        <w:t>渐产生对药物的适应性，并且又开始滋生繁</w:t>
      </w:r>
      <w:r>
        <w:rPr>
          <w:rFonts w:ascii="宋体" w:hAnsi="宋体" w:eastAsia="宋体" w:cs="宋体"/>
          <w:sz w:val="20"/>
          <w:szCs w:val="20"/>
        </w:rPr>
        <w:t xml:space="preserve"> </w:t>
      </w:r>
      <w:r>
        <w:rPr>
          <w:rFonts w:ascii="宋体" w:hAnsi="宋体" w:eastAsia="宋体" w:cs="宋体"/>
          <w:spacing w:val="6"/>
          <w:sz w:val="20"/>
          <w:szCs w:val="20"/>
        </w:rPr>
        <w:t>殖。患者病情再度恶化，不得不再次求医诊治，在接</w:t>
      </w:r>
      <w:r>
        <w:rPr>
          <w:rFonts w:ascii="宋体" w:hAnsi="宋体" w:eastAsia="宋体" w:cs="宋体"/>
          <w:spacing w:val="5"/>
          <w:sz w:val="20"/>
          <w:szCs w:val="20"/>
        </w:rPr>
        <w:t>受短暂的治疗后又中止治疗，从而导致耐多药</w:t>
      </w:r>
      <w:r>
        <w:rPr>
          <w:rFonts w:ascii="宋体" w:hAnsi="宋体" w:eastAsia="宋体" w:cs="宋体"/>
          <w:sz w:val="20"/>
          <w:szCs w:val="20"/>
        </w:rPr>
        <w:t xml:space="preserve"> </w:t>
      </w:r>
      <w:r>
        <w:rPr>
          <w:rFonts w:ascii="宋体" w:hAnsi="宋体" w:eastAsia="宋体" w:cs="宋体"/>
          <w:spacing w:val="5"/>
          <w:sz w:val="20"/>
          <w:szCs w:val="20"/>
        </w:rPr>
        <w:t>菌株的出现。这类未彻底治愈的患者仍具有很强的传染性，传播的多为耐多药菌株。</w:t>
      </w:r>
    </w:p>
    <w:p w14:paraId="1E5B9F07">
      <w:pPr>
        <w:spacing w:line="450" w:lineRule="auto"/>
        <w:rPr>
          <w:rFonts w:ascii="Arial"/>
          <w:sz w:val="21"/>
        </w:rPr>
      </w:pPr>
    </w:p>
    <w:p w14:paraId="1D4240E9">
      <w:pPr>
        <w:pStyle w:val="2"/>
        <w:spacing w:before="98" w:line="221" w:lineRule="auto"/>
        <w:ind w:left="3464"/>
        <w:outlineLvl w:val="1"/>
      </w:pPr>
      <w:bookmarkStart w:id="524" w:name="bookmark326"/>
      <w:bookmarkEnd w:id="524"/>
      <w:r>
        <w:rPr>
          <w:b/>
          <w:bCs/>
          <w:spacing w:val="-9"/>
        </w:rPr>
        <w:t>第三节</w:t>
      </w:r>
      <w:r>
        <w:rPr>
          <w:spacing w:val="123"/>
        </w:rPr>
        <w:t xml:space="preserve"> </w:t>
      </w:r>
      <w:r>
        <w:rPr>
          <w:b/>
          <w:bCs/>
          <w:spacing w:val="-9"/>
        </w:rPr>
        <w:t>预防策略与措施</w:t>
      </w:r>
    </w:p>
    <w:p w14:paraId="7A0D7EA1">
      <w:pPr>
        <w:spacing w:line="335" w:lineRule="auto"/>
        <w:rPr>
          <w:rFonts w:ascii="Arial"/>
          <w:sz w:val="21"/>
        </w:rPr>
      </w:pPr>
    </w:p>
    <w:p w14:paraId="10681702">
      <w:pPr>
        <w:spacing w:before="66" w:line="326" w:lineRule="auto"/>
        <w:ind w:left="659" w:right="43" w:firstLine="399"/>
        <w:rPr>
          <w:rFonts w:ascii="宋体" w:hAnsi="宋体" w:eastAsia="宋体" w:cs="宋体"/>
          <w:sz w:val="20"/>
          <w:szCs w:val="20"/>
        </w:rPr>
      </w:pPr>
      <w:r>
        <w:rPr>
          <w:rFonts w:ascii="宋体" w:hAnsi="宋体" w:eastAsia="宋体" w:cs="宋体"/>
          <w:spacing w:val="6"/>
          <w:sz w:val="20"/>
          <w:szCs w:val="20"/>
        </w:rPr>
        <w:t>结核病是一种可治愈、可预防的疾病，我们需要正视当前全球结核病流行</w:t>
      </w:r>
      <w:r>
        <w:rPr>
          <w:rFonts w:ascii="宋体" w:hAnsi="宋体" w:eastAsia="宋体" w:cs="宋体"/>
          <w:spacing w:val="5"/>
          <w:sz w:val="20"/>
          <w:szCs w:val="20"/>
        </w:rPr>
        <w:t>的严重状态，积极采</w:t>
      </w:r>
      <w:r>
        <w:rPr>
          <w:rFonts w:ascii="宋体" w:hAnsi="宋体" w:eastAsia="宋体" w:cs="宋体"/>
          <w:sz w:val="20"/>
          <w:szCs w:val="20"/>
        </w:rPr>
        <w:t xml:space="preserve"> </w:t>
      </w:r>
      <w:r>
        <w:rPr>
          <w:rFonts w:ascii="宋体" w:hAnsi="宋体" w:eastAsia="宋体" w:cs="宋体"/>
          <w:spacing w:val="-1"/>
          <w:sz w:val="20"/>
          <w:szCs w:val="20"/>
        </w:rPr>
        <w:t>取行动，在全球范围内有效控制结核病。</w:t>
      </w:r>
    </w:p>
    <w:p w14:paraId="32C0BF2F">
      <w:pPr>
        <w:pStyle w:val="2"/>
        <w:spacing w:before="201" w:line="221" w:lineRule="auto"/>
        <w:ind w:left="1063"/>
        <w:outlineLvl w:val="4"/>
        <w:rPr>
          <w:sz w:val="25"/>
          <w:szCs w:val="25"/>
        </w:rPr>
      </w:pPr>
      <w:bookmarkStart w:id="525" w:name="bookmark327"/>
      <w:bookmarkEnd w:id="525"/>
      <w:r>
        <w:rPr>
          <w:b/>
          <w:bCs/>
          <w:spacing w:val="-12"/>
          <w:sz w:val="25"/>
          <w:szCs w:val="25"/>
        </w:rPr>
        <w:t>一</w:t>
      </w:r>
      <w:r>
        <w:rPr>
          <w:spacing w:val="-53"/>
          <w:sz w:val="25"/>
          <w:szCs w:val="25"/>
        </w:rPr>
        <w:t xml:space="preserve"> </w:t>
      </w:r>
      <w:r>
        <w:rPr>
          <w:b/>
          <w:bCs/>
          <w:spacing w:val="-12"/>
          <w:sz w:val="25"/>
          <w:szCs w:val="25"/>
        </w:rPr>
        <w:t>、策略及其演变</w:t>
      </w:r>
    </w:p>
    <w:p w14:paraId="27FE86B3">
      <w:pPr>
        <w:spacing w:before="253" w:line="328" w:lineRule="auto"/>
        <w:ind w:left="659" w:right="37" w:firstLine="399"/>
        <w:jc w:val="both"/>
        <w:rPr>
          <w:rFonts w:ascii="宋体" w:hAnsi="宋体" w:eastAsia="宋体" w:cs="宋体"/>
          <w:sz w:val="20"/>
          <w:szCs w:val="20"/>
        </w:rPr>
      </w:pPr>
      <w:r>
        <w:rPr>
          <w:rFonts w:ascii="宋体" w:hAnsi="宋体" w:eastAsia="宋体" w:cs="宋体"/>
          <w:spacing w:val="12"/>
          <w:sz w:val="20"/>
          <w:szCs w:val="20"/>
        </w:rPr>
        <w:t>为了有效地控制结核病流行，</w:t>
      </w:r>
      <w:r>
        <w:rPr>
          <w:rFonts w:ascii="宋体" w:hAnsi="宋体" w:eastAsia="宋体" w:cs="宋体"/>
          <w:sz w:val="20"/>
          <w:szCs w:val="20"/>
        </w:rPr>
        <w:t>WHO</w:t>
      </w:r>
      <w:r>
        <w:rPr>
          <w:rFonts w:ascii="宋体" w:hAnsi="宋体" w:eastAsia="宋体" w:cs="宋体"/>
          <w:spacing w:val="12"/>
          <w:sz w:val="20"/>
          <w:szCs w:val="20"/>
        </w:rPr>
        <w:t xml:space="preserve">  要求各国政</w:t>
      </w:r>
      <w:r>
        <w:rPr>
          <w:rFonts w:ascii="宋体" w:hAnsi="宋体" w:eastAsia="宋体" w:cs="宋体"/>
          <w:spacing w:val="11"/>
          <w:sz w:val="20"/>
          <w:szCs w:val="20"/>
        </w:rPr>
        <w:t>府制定和推行国家结核病控制规划(</w:t>
      </w:r>
      <w:r>
        <w:rPr>
          <w:rFonts w:ascii="宋体" w:hAnsi="宋体" w:eastAsia="宋体" w:cs="宋体"/>
          <w:sz w:val="20"/>
          <w:szCs w:val="20"/>
        </w:rPr>
        <w:t xml:space="preserve">National </w:t>
      </w:r>
      <w:r>
        <w:rPr>
          <w:rFonts w:ascii="Times New Roman" w:hAnsi="Times New Roman" w:eastAsia="Times New Roman" w:cs="Times New Roman"/>
          <w:sz w:val="20"/>
          <w:szCs w:val="20"/>
        </w:rPr>
        <w:t>Tubereulosis</w:t>
      </w:r>
      <w:r>
        <w:rPr>
          <w:rFonts w:ascii="Times New Roman" w:hAnsi="Times New Roman" w:eastAsia="Times New Roman" w:cs="Times New Roman"/>
          <w:spacing w:val="1"/>
          <w:sz w:val="20"/>
          <w:szCs w:val="20"/>
        </w:rPr>
        <w:t xml:space="preserve">   </w:t>
      </w:r>
      <w:r>
        <w:rPr>
          <w:rFonts w:ascii="Times New Roman" w:hAnsi="Times New Roman" w:eastAsia="Times New Roman" w:cs="Times New Roman"/>
          <w:sz w:val="20"/>
          <w:szCs w:val="20"/>
        </w:rPr>
        <w:t>Control</w:t>
      </w:r>
      <w:r>
        <w:rPr>
          <w:rFonts w:ascii="Times New Roman" w:hAnsi="Times New Roman" w:eastAsia="Times New Roman" w:cs="Times New Roman"/>
          <w:spacing w:val="25"/>
          <w:sz w:val="20"/>
          <w:szCs w:val="20"/>
        </w:rPr>
        <w:t xml:space="preserve">  </w:t>
      </w:r>
      <w:r>
        <w:rPr>
          <w:rFonts w:ascii="Times New Roman" w:hAnsi="Times New Roman" w:eastAsia="Times New Roman" w:cs="Times New Roman"/>
          <w:sz w:val="20"/>
          <w:szCs w:val="20"/>
        </w:rPr>
        <w:t>Program</w:t>
      </w:r>
      <w:r>
        <w:rPr>
          <w:rFonts w:ascii="Times New Roman" w:hAnsi="Times New Roman" w:eastAsia="Times New Roman" w:cs="Times New Roman"/>
          <w:spacing w:val="5"/>
          <w:sz w:val="20"/>
          <w:szCs w:val="20"/>
        </w:rPr>
        <w:t>,</w:t>
      </w:r>
      <w:r>
        <w:rPr>
          <w:rFonts w:ascii="Times New Roman" w:hAnsi="Times New Roman" w:eastAsia="Times New Roman" w:cs="Times New Roman"/>
          <w:sz w:val="20"/>
          <w:szCs w:val="20"/>
        </w:rPr>
        <w:t>NTP</w:t>
      </w:r>
      <w:r>
        <w:rPr>
          <w:rFonts w:ascii="Times New Roman" w:hAnsi="Times New Roman" w:eastAsia="Times New Roman" w:cs="Times New Roman"/>
          <w:spacing w:val="5"/>
          <w:sz w:val="20"/>
          <w:szCs w:val="20"/>
        </w:rPr>
        <w:t>)</w:t>
      </w:r>
      <w:r>
        <w:rPr>
          <w:rFonts w:ascii="宋体" w:hAnsi="宋体" w:eastAsia="宋体" w:cs="宋体"/>
          <w:spacing w:val="5"/>
          <w:sz w:val="20"/>
          <w:szCs w:val="20"/>
        </w:rPr>
        <w:t>。全球结核病防控策略先后经历了基本</w:t>
      </w:r>
      <w:r>
        <w:rPr>
          <w:rFonts w:ascii="Times New Roman" w:hAnsi="Times New Roman" w:eastAsia="Times New Roman" w:cs="Times New Roman"/>
          <w:sz w:val="20"/>
          <w:szCs w:val="20"/>
        </w:rPr>
        <w:t>DOTS</w:t>
      </w:r>
      <w:r>
        <w:rPr>
          <w:rFonts w:ascii="Times New Roman" w:hAnsi="Times New Roman" w:eastAsia="Times New Roman" w:cs="Times New Roman"/>
          <w:spacing w:val="5"/>
          <w:sz w:val="20"/>
          <w:szCs w:val="20"/>
        </w:rPr>
        <w:t xml:space="preserve"> </w:t>
      </w:r>
      <w:r>
        <w:rPr>
          <w:rFonts w:ascii="宋体" w:hAnsi="宋体" w:eastAsia="宋体" w:cs="宋体"/>
          <w:spacing w:val="5"/>
          <w:sz w:val="20"/>
          <w:szCs w:val="20"/>
        </w:rPr>
        <w:t>策略、遏制结核病</w:t>
      </w:r>
      <w:r>
        <w:rPr>
          <w:rFonts w:ascii="宋体" w:hAnsi="宋体" w:eastAsia="宋体" w:cs="宋体"/>
          <w:sz w:val="20"/>
          <w:szCs w:val="20"/>
        </w:rPr>
        <w:t xml:space="preserve"> </w:t>
      </w:r>
      <w:r>
        <w:rPr>
          <w:rFonts w:ascii="宋体" w:hAnsi="宋体" w:eastAsia="宋体" w:cs="宋体"/>
          <w:spacing w:val="3"/>
          <w:sz w:val="20"/>
          <w:szCs w:val="20"/>
        </w:rPr>
        <w:t>策略</w:t>
      </w:r>
      <w:r>
        <w:rPr>
          <w:rFonts w:ascii="Times New Roman" w:hAnsi="Times New Roman" w:eastAsia="Times New Roman" w:cs="Times New Roman"/>
          <w:spacing w:val="3"/>
          <w:sz w:val="20"/>
          <w:szCs w:val="20"/>
        </w:rPr>
        <w:t>(</w:t>
      </w:r>
      <w:r>
        <w:rPr>
          <w:rFonts w:ascii="Times New Roman" w:hAnsi="Times New Roman" w:eastAsia="Times New Roman" w:cs="Times New Roman"/>
          <w:sz w:val="20"/>
          <w:szCs w:val="20"/>
        </w:rPr>
        <w:t>Stop</w:t>
      </w:r>
      <w:r>
        <w:rPr>
          <w:rFonts w:ascii="Times New Roman" w:hAnsi="Times New Roman" w:eastAsia="Times New Roman" w:cs="Times New Roman"/>
          <w:spacing w:val="3"/>
          <w:sz w:val="20"/>
          <w:szCs w:val="20"/>
        </w:rPr>
        <w:t>-</w:t>
      </w:r>
      <w:r>
        <w:rPr>
          <w:rFonts w:ascii="Times New Roman" w:hAnsi="Times New Roman" w:eastAsia="Times New Roman" w:cs="Times New Roman"/>
          <w:sz w:val="20"/>
          <w:szCs w:val="20"/>
        </w:rPr>
        <w:t>TB</w:t>
      </w:r>
      <w:r>
        <w:rPr>
          <w:rFonts w:ascii="Times New Roman" w:hAnsi="Times New Roman" w:eastAsia="Times New Roman" w:cs="Times New Roman"/>
          <w:spacing w:val="3"/>
          <w:sz w:val="20"/>
          <w:szCs w:val="20"/>
        </w:rPr>
        <w:t xml:space="preserve">  </w:t>
      </w:r>
      <w:r>
        <w:rPr>
          <w:rFonts w:ascii="Times New Roman" w:hAnsi="Times New Roman" w:eastAsia="Times New Roman" w:cs="Times New Roman"/>
          <w:sz w:val="20"/>
          <w:szCs w:val="20"/>
        </w:rPr>
        <w:t>Strategy</w:t>
      </w:r>
      <w:r>
        <w:rPr>
          <w:rFonts w:ascii="Times New Roman" w:hAnsi="Times New Roman" w:eastAsia="Times New Roman" w:cs="Times New Roman"/>
          <w:spacing w:val="3"/>
          <w:sz w:val="20"/>
          <w:szCs w:val="20"/>
        </w:rPr>
        <w:t>)</w:t>
      </w:r>
      <w:r>
        <w:rPr>
          <w:rFonts w:ascii="宋体" w:hAnsi="宋体" w:eastAsia="宋体" w:cs="宋体"/>
          <w:spacing w:val="3"/>
          <w:sz w:val="20"/>
          <w:szCs w:val="20"/>
        </w:rPr>
        <w:t>和终结结核病策略</w:t>
      </w:r>
      <w:r>
        <w:rPr>
          <w:rFonts w:ascii="Times New Roman" w:hAnsi="Times New Roman" w:eastAsia="Times New Roman" w:cs="Times New Roman"/>
          <w:spacing w:val="3"/>
          <w:sz w:val="20"/>
          <w:szCs w:val="20"/>
        </w:rPr>
        <w:t>(</w:t>
      </w:r>
      <w:r>
        <w:rPr>
          <w:rFonts w:ascii="Times New Roman" w:hAnsi="Times New Roman" w:eastAsia="Times New Roman" w:cs="Times New Roman"/>
          <w:sz w:val="20"/>
          <w:szCs w:val="20"/>
        </w:rPr>
        <w:t>End</w:t>
      </w:r>
      <w:r>
        <w:rPr>
          <w:rFonts w:ascii="Times New Roman" w:hAnsi="Times New Roman" w:eastAsia="Times New Roman" w:cs="Times New Roman"/>
          <w:spacing w:val="3"/>
          <w:sz w:val="20"/>
          <w:szCs w:val="20"/>
        </w:rPr>
        <w:t>-</w:t>
      </w:r>
      <w:r>
        <w:rPr>
          <w:rFonts w:ascii="Times New Roman" w:hAnsi="Times New Roman" w:eastAsia="Times New Roman" w:cs="Times New Roman"/>
          <w:sz w:val="20"/>
          <w:szCs w:val="20"/>
        </w:rPr>
        <w:t>TB</w:t>
      </w:r>
      <w:r>
        <w:rPr>
          <w:rFonts w:ascii="Times New Roman" w:hAnsi="Times New Roman" w:eastAsia="Times New Roman" w:cs="Times New Roman"/>
          <w:spacing w:val="3"/>
          <w:sz w:val="20"/>
          <w:szCs w:val="20"/>
        </w:rPr>
        <w:t xml:space="preserve">   </w:t>
      </w:r>
      <w:r>
        <w:rPr>
          <w:rFonts w:ascii="Times New Roman" w:hAnsi="Times New Roman" w:eastAsia="Times New Roman" w:cs="Times New Roman"/>
          <w:sz w:val="20"/>
          <w:szCs w:val="20"/>
        </w:rPr>
        <w:t>Strategy</w:t>
      </w:r>
      <w:r>
        <w:rPr>
          <w:rFonts w:ascii="Times New Roman" w:hAnsi="Times New Roman" w:eastAsia="Times New Roman" w:cs="Times New Roman"/>
          <w:spacing w:val="3"/>
          <w:sz w:val="20"/>
          <w:szCs w:val="20"/>
        </w:rPr>
        <w:t>)</w:t>
      </w:r>
      <w:r>
        <w:rPr>
          <w:rFonts w:ascii="宋体" w:hAnsi="宋体" w:eastAsia="宋体" w:cs="宋体"/>
          <w:spacing w:val="3"/>
          <w:sz w:val="20"/>
          <w:szCs w:val="20"/>
        </w:rPr>
        <w:t>的演变。</w:t>
      </w:r>
    </w:p>
    <w:p w14:paraId="0A668B9C">
      <w:pPr>
        <w:spacing w:before="34" w:line="219" w:lineRule="auto"/>
        <w:ind w:left="1059"/>
        <w:rPr>
          <w:rFonts w:ascii="宋体" w:hAnsi="宋体" w:eastAsia="宋体" w:cs="宋体"/>
          <w:sz w:val="20"/>
          <w:szCs w:val="20"/>
        </w:rPr>
      </w:pPr>
      <w:r>
        <w:rPr>
          <w:rFonts w:ascii="Times New Roman" w:hAnsi="Times New Roman" w:eastAsia="Times New Roman" w:cs="Times New Roman"/>
          <w:sz w:val="20"/>
          <w:szCs w:val="20"/>
        </w:rPr>
        <w:t>DOTS</w:t>
      </w:r>
      <w:r>
        <w:rPr>
          <w:rFonts w:ascii="宋体" w:hAnsi="宋体" w:eastAsia="宋体" w:cs="宋体"/>
          <w:spacing w:val="10"/>
          <w:sz w:val="20"/>
          <w:szCs w:val="20"/>
        </w:rPr>
        <w:t>策略的基本要素包括5个方面：</w:t>
      </w:r>
    </w:p>
    <w:p w14:paraId="34F88A42">
      <w:pPr>
        <w:spacing w:before="134" w:line="289" w:lineRule="auto"/>
        <w:ind w:left="659" w:right="36" w:firstLine="399"/>
        <w:rPr>
          <w:rFonts w:ascii="宋体" w:hAnsi="宋体" w:eastAsia="宋体" w:cs="宋体"/>
          <w:sz w:val="20"/>
          <w:szCs w:val="20"/>
        </w:rPr>
      </w:pPr>
      <w:r>
        <w:rPr>
          <w:rFonts w:ascii="宋体" w:hAnsi="宋体" w:eastAsia="宋体" w:cs="宋体"/>
          <w:spacing w:val="8"/>
          <w:sz w:val="20"/>
          <w:szCs w:val="20"/>
        </w:rPr>
        <w:t>1. 加强政府承诺  控制结核病是各国政府的责任，政府应将结核病列为重点防治</w:t>
      </w:r>
      <w:r>
        <w:rPr>
          <w:rFonts w:ascii="宋体" w:hAnsi="宋体" w:eastAsia="宋体" w:cs="宋体"/>
          <w:spacing w:val="7"/>
          <w:sz w:val="20"/>
          <w:szCs w:val="20"/>
        </w:rPr>
        <w:t>疾病，加强</w:t>
      </w:r>
      <w:r>
        <w:rPr>
          <w:rFonts w:ascii="宋体" w:hAnsi="宋体" w:eastAsia="宋体" w:cs="宋体"/>
          <w:sz w:val="20"/>
          <w:szCs w:val="20"/>
        </w:rPr>
        <w:t xml:space="preserve"> </w:t>
      </w:r>
      <w:r>
        <w:rPr>
          <w:rFonts w:ascii="宋体" w:hAnsi="宋体" w:eastAsia="宋体" w:cs="宋体"/>
          <w:spacing w:val="11"/>
          <w:sz w:val="20"/>
          <w:szCs w:val="20"/>
        </w:rPr>
        <w:t>对结核病控制工作的领导和支持，要提供足够的人力和</w:t>
      </w:r>
      <w:r>
        <w:rPr>
          <w:rFonts w:ascii="宋体" w:hAnsi="宋体" w:eastAsia="宋体" w:cs="宋体"/>
          <w:spacing w:val="10"/>
          <w:sz w:val="20"/>
          <w:szCs w:val="20"/>
        </w:rPr>
        <w:t>经费，以满足开展现代结核病控制策略的</w:t>
      </w:r>
      <w:r>
        <w:rPr>
          <w:rFonts w:ascii="宋体" w:hAnsi="宋体" w:eastAsia="宋体" w:cs="宋体"/>
          <w:sz w:val="20"/>
          <w:szCs w:val="20"/>
        </w:rPr>
        <w:t xml:space="preserve"> </w:t>
      </w:r>
      <w:r>
        <w:rPr>
          <w:rFonts w:ascii="宋体" w:hAnsi="宋体" w:eastAsia="宋体" w:cs="宋体"/>
          <w:spacing w:val="6"/>
          <w:sz w:val="20"/>
          <w:szCs w:val="20"/>
        </w:rPr>
        <w:t>需要。</w:t>
      </w:r>
    </w:p>
    <w:p w14:paraId="76524709">
      <w:pPr>
        <w:pStyle w:val="2"/>
        <w:spacing w:before="159" w:line="276" w:lineRule="auto"/>
        <w:ind w:left="659" w:firstLine="399"/>
        <w:rPr>
          <w:rFonts w:ascii="宋体" w:hAnsi="宋体" w:eastAsia="宋体" w:cs="宋体"/>
          <w:sz w:val="20"/>
          <w:szCs w:val="20"/>
        </w:rPr>
      </w:pPr>
      <w:r>
        <w:rPr>
          <w:rFonts w:ascii="宋体" w:hAnsi="宋体" w:eastAsia="宋体" w:cs="宋体"/>
          <w:spacing w:val="12"/>
          <w:sz w:val="20"/>
          <w:szCs w:val="20"/>
        </w:rPr>
        <w:t xml:space="preserve">2. </w:t>
      </w:r>
      <w:r>
        <w:rPr>
          <w:spacing w:val="12"/>
          <w:sz w:val="20"/>
          <w:szCs w:val="20"/>
        </w:rPr>
        <w:t>将痰涂片检查作为发现肺结核患者的主要手段</w:t>
      </w:r>
      <w:r>
        <w:rPr>
          <w:spacing w:val="91"/>
          <w:sz w:val="20"/>
          <w:szCs w:val="20"/>
        </w:rPr>
        <w:t xml:space="preserve"> </w:t>
      </w:r>
      <w:r>
        <w:rPr>
          <w:rFonts w:ascii="宋体" w:hAnsi="宋体" w:eastAsia="宋体" w:cs="宋体"/>
          <w:spacing w:val="12"/>
          <w:sz w:val="20"/>
          <w:szCs w:val="20"/>
        </w:rPr>
        <w:t>主要是对有咳嗽、咳痰2周以上的</w:t>
      </w:r>
      <w:r>
        <w:rPr>
          <w:rFonts w:ascii="宋体" w:hAnsi="宋体" w:eastAsia="宋体" w:cs="宋体"/>
          <w:spacing w:val="11"/>
          <w:sz w:val="20"/>
          <w:szCs w:val="20"/>
        </w:rPr>
        <w:t>肺结核</w:t>
      </w:r>
      <w:r>
        <w:rPr>
          <w:rFonts w:ascii="宋体" w:hAnsi="宋体" w:eastAsia="宋体" w:cs="宋体"/>
          <w:sz w:val="20"/>
          <w:szCs w:val="20"/>
        </w:rPr>
        <w:t xml:space="preserve"> </w:t>
      </w:r>
      <w:r>
        <w:rPr>
          <w:rFonts w:ascii="宋体" w:hAnsi="宋体" w:eastAsia="宋体" w:cs="宋体"/>
          <w:spacing w:val="2"/>
          <w:sz w:val="20"/>
          <w:szCs w:val="20"/>
        </w:rPr>
        <w:t>可疑症状者进行痰涂片检查。该方法简便易行，</w:t>
      </w:r>
      <w:r>
        <w:rPr>
          <w:rFonts w:ascii="宋体" w:hAnsi="宋体" w:eastAsia="宋体" w:cs="宋体"/>
          <w:spacing w:val="63"/>
          <w:sz w:val="20"/>
          <w:szCs w:val="20"/>
        </w:rPr>
        <w:t xml:space="preserve"> </w:t>
      </w:r>
      <w:r>
        <w:rPr>
          <w:rFonts w:ascii="宋体" w:hAnsi="宋体" w:eastAsia="宋体" w:cs="宋体"/>
          <w:spacing w:val="2"/>
          <w:sz w:val="20"/>
          <w:szCs w:val="20"/>
        </w:rPr>
        <w:t>一旦发现抗酸杆菌就可以确诊</w:t>
      </w:r>
      <w:r>
        <w:rPr>
          <w:rFonts w:ascii="宋体" w:hAnsi="宋体" w:eastAsia="宋体" w:cs="宋体"/>
          <w:spacing w:val="1"/>
          <w:sz w:val="20"/>
          <w:szCs w:val="20"/>
        </w:rPr>
        <w:t>传染性肺结核病。</w:t>
      </w:r>
    </w:p>
    <w:p w14:paraId="51618569">
      <w:pPr>
        <w:pStyle w:val="2"/>
        <w:spacing w:before="133" w:line="276" w:lineRule="auto"/>
        <w:ind w:left="659" w:right="39" w:firstLine="399"/>
        <w:rPr>
          <w:rFonts w:ascii="宋体" w:hAnsi="宋体" w:eastAsia="宋体" w:cs="宋体"/>
          <w:sz w:val="20"/>
          <w:szCs w:val="20"/>
        </w:rPr>
      </w:pPr>
      <w:r>
        <w:rPr>
          <w:rFonts w:ascii="宋体" w:hAnsi="宋体" w:eastAsia="宋体" w:cs="宋体"/>
          <w:spacing w:val="9"/>
          <w:sz w:val="20"/>
          <w:szCs w:val="20"/>
        </w:rPr>
        <w:t xml:space="preserve">3. </w:t>
      </w:r>
      <w:r>
        <w:rPr>
          <w:spacing w:val="9"/>
          <w:sz w:val="20"/>
          <w:szCs w:val="20"/>
        </w:rPr>
        <w:t>医护人员直接面视下的短程化疗</w:t>
      </w:r>
      <w:r>
        <w:rPr>
          <w:spacing w:val="81"/>
          <w:sz w:val="20"/>
          <w:szCs w:val="20"/>
        </w:rPr>
        <w:t xml:space="preserve"> </w:t>
      </w:r>
      <w:r>
        <w:rPr>
          <w:rFonts w:ascii="宋体" w:hAnsi="宋体" w:eastAsia="宋体" w:cs="宋体"/>
          <w:spacing w:val="9"/>
          <w:sz w:val="20"/>
          <w:szCs w:val="20"/>
        </w:rPr>
        <w:t>对涂片阳性的传染性肺结核患者</w:t>
      </w:r>
      <w:r>
        <w:rPr>
          <w:rFonts w:ascii="宋体" w:hAnsi="宋体" w:eastAsia="宋体" w:cs="宋体"/>
          <w:spacing w:val="8"/>
          <w:sz w:val="20"/>
          <w:szCs w:val="20"/>
        </w:rPr>
        <w:t>应由国家提供免费抗结</w:t>
      </w:r>
      <w:r>
        <w:rPr>
          <w:rFonts w:ascii="宋体" w:hAnsi="宋体" w:eastAsia="宋体" w:cs="宋体"/>
          <w:sz w:val="20"/>
          <w:szCs w:val="20"/>
        </w:rPr>
        <w:t xml:space="preserve"> 核药物，并实施在医护人员直接面视下的短程化疗。</w:t>
      </w:r>
    </w:p>
    <w:p w14:paraId="4DA2384E">
      <w:pPr>
        <w:spacing w:line="276" w:lineRule="auto"/>
        <w:rPr>
          <w:rFonts w:ascii="宋体" w:hAnsi="宋体" w:eastAsia="宋体" w:cs="宋体"/>
          <w:sz w:val="20"/>
          <w:szCs w:val="20"/>
        </w:rPr>
        <w:sectPr>
          <w:footerReference r:id="rId341" w:type="default"/>
          <w:pgSz w:w="11900" w:h="16820"/>
          <w:pgMar w:top="400" w:right="1518" w:bottom="879" w:left="840" w:header="0" w:footer="699" w:gutter="0"/>
          <w:cols w:space="720" w:num="1"/>
        </w:sectPr>
      </w:pPr>
    </w:p>
    <w:p w14:paraId="2F5741CA">
      <w:pPr>
        <w:pStyle w:val="2"/>
        <w:spacing w:before="224" w:line="222" w:lineRule="auto"/>
        <w:ind w:left="7332"/>
        <w:rPr>
          <w:sz w:val="20"/>
          <w:szCs w:val="20"/>
        </w:rPr>
      </w:pPr>
      <w:bookmarkStart w:id="526" w:name="bookmark587"/>
      <w:bookmarkEnd w:id="526"/>
      <w:r>
        <w:rPr>
          <w:b/>
          <w:bCs/>
          <w:spacing w:val="-21"/>
          <w:sz w:val="20"/>
          <w:szCs w:val="20"/>
        </w:rPr>
        <w:t>第二十章</w:t>
      </w:r>
      <w:r>
        <w:rPr>
          <w:spacing w:val="-21"/>
          <w:sz w:val="20"/>
          <w:szCs w:val="20"/>
        </w:rPr>
        <w:t xml:space="preserve"> </w:t>
      </w:r>
      <w:r>
        <w:rPr>
          <w:b/>
          <w:bCs/>
          <w:spacing w:val="-21"/>
          <w:sz w:val="20"/>
          <w:szCs w:val="20"/>
        </w:rPr>
        <w:t>结核病</w:t>
      </w:r>
    </w:p>
    <w:p w14:paraId="6243BC6B">
      <w:pPr>
        <w:spacing w:line="286" w:lineRule="auto"/>
        <w:rPr>
          <w:rFonts w:ascii="Arial"/>
          <w:sz w:val="21"/>
        </w:rPr>
      </w:pPr>
    </w:p>
    <w:p w14:paraId="3F1232CF">
      <w:pPr>
        <w:spacing w:line="287" w:lineRule="auto"/>
        <w:rPr>
          <w:rFonts w:ascii="Arial"/>
          <w:sz w:val="21"/>
        </w:rPr>
      </w:pPr>
    </w:p>
    <w:p w14:paraId="52166DE1">
      <w:pPr>
        <w:pStyle w:val="2"/>
        <w:spacing w:before="65" w:line="282" w:lineRule="auto"/>
        <w:ind w:right="658" w:firstLine="420"/>
        <w:rPr>
          <w:rFonts w:ascii="宋体" w:hAnsi="宋体" w:eastAsia="宋体" w:cs="宋体"/>
          <w:sz w:val="20"/>
          <w:szCs w:val="20"/>
        </w:rPr>
      </w:pPr>
      <w:r>
        <w:rPr>
          <w:rFonts w:ascii="宋体" w:hAnsi="宋体" w:eastAsia="宋体" w:cs="宋体"/>
          <w:spacing w:val="3"/>
          <w:sz w:val="20"/>
          <w:szCs w:val="20"/>
        </w:rPr>
        <w:t xml:space="preserve">4. </w:t>
      </w:r>
      <w:r>
        <w:rPr>
          <w:spacing w:val="3"/>
          <w:sz w:val="20"/>
          <w:szCs w:val="20"/>
        </w:rPr>
        <w:t xml:space="preserve">定期不间断地提供高质量的抗结核药物  </w:t>
      </w:r>
      <w:r>
        <w:rPr>
          <w:rFonts w:ascii="宋体" w:hAnsi="宋体" w:eastAsia="宋体" w:cs="宋体"/>
          <w:spacing w:val="3"/>
          <w:sz w:val="20"/>
          <w:szCs w:val="20"/>
        </w:rPr>
        <w:t>国家对于抗结核药物实行有效的管理和供应，以</w:t>
      </w:r>
      <w:r>
        <w:rPr>
          <w:rFonts w:ascii="宋体" w:hAnsi="宋体" w:eastAsia="宋体" w:cs="宋体"/>
          <w:spacing w:val="17"/>
          <w:sz w:val="20"/>
          <w:szCs w:val="20"/>
        </w:rPr>
        <w:t xml:space="preserve"> </w:t>
      </w:r>
      <w:r>
        <w:rPr>
          <w:rFonts w:ascii="宋体" w:hAnsi="宋体" w:eastAsia="宋体" w:cs="宋体"/>
          <w:spacing w:val="7"/>
          <w:sz w:val="20"/>
          <w:szCs w:val="20"/>
        </w:rPr>
        <w:t>保证患者的需要。</w:t>
      </w:r>
    </w:p>
    <w:p w14:paraId="3B1EF51C">
      <w:pPr>
        <w:pStyle w:val="2"/>
        <w:spacing w:before="129" w:line="281" w:lineRule="auto"/>
        <w:ind w:right="668" w:firstLine="420"/>
        <w:rPr>
          <w:rFonts w:ascii="宋体" w:hAnsi="宋体" w:eastAsia="宋体" w:cs="宋体"/>
          <w:sz w:val="20"/>
          <w:szCs w:val="20"/>
        </w:rPr>
      </w:pPr>
      <w:r>
        <w:rPr>
          <w:rFonts w:ascii="宋体" w:hAnsi="宋体" w:eastAsia="宋体" w:cs="宋体"/>
          <w:spacing w:val="5"/>
          <w:sz w:val="20"/>
          <w:szCs w:val="20"/>
        </w:rPr>
        <w:t xml:space="preserve">5. </w:t>
      </w:r>
      <w:r>
        <w:rPr>
          <w:spacing w:val="5"/>
          <w:sz w:val="20"/>
          <w:szCs w:val="20"/>
        </w:rPr>
        <w:t>登记报告系统</w:t>
      </w:r>
      <w:r>
        <w:rPr>
          <w:spacing w:val="33"/>
          <w:sz w:val="20"/>
          <w:szCs w:val="20"/>
        </w:rPr>
        <w:t xml:space="preserve"> </w:t>
      </w:r>
      <w:r>
        <w:rPr>
          <w:rFonts w:ascii="宋体" w:hAnsi="宋体" w:eastAsia="宋体" w:cs="宋体"/>
          <w:spacing w:val="5"/>
          <w:sz w:val="20"/>
          <w:szCs w:val="20"/>
        </w:rPr>
        <w:t>国家应建立和健全肺结核患者的登记报告制度和评价监控系统，及</w:t>
      </w:r>
      <w:r>
        <w:rPr>
          <w:rFonts w:ascii="宋体" w:hAnsi="宋体" w:eastAsia="宋体" w:cs="宋体"/>
          <w:spacing w:val="4"/>
          <w:sz w:val="20"/>
          <w:szCs w:val="20"/>
        </w:rPr>
        <w:t>时地反</w:t>
      </w:r>
      <w:r>
        <w:rPr>
          <w:rFonts w:ascii="宋体" w:hAnsi="宋体" w:eastAsia="宋体" w:cs="宋体"/>
          <w:sz w:val="20"/>
          <w:szCs w:val="20"/>
        </w:rPr>
        <w:t xml:space="preserve"> 馈信息，指导和改进工作。</w:t>
      </w:r>
    </w:p>
    <w:p w14:paraId="59C8D22B">
      <w:pPr>
        <w:spacing w:before="142" w:line="340" w:lineRule="auto"/>
        <w:ind w:right="575" w:firstLine="420"/>
        <w:jc w:val="both"/>
        <w:rPr>
          <w:rFonts w:ascii="宋体" w:hAnsi="宋体" w:eastAsia="宋体" w:cs="宋体"/>
          <w:sz w:val="20"/>
          <w:szCs w:val="20"/>
        </w:rPr>
      </w:pPr>
      <w:r>
        <w:rPr>
          <w:rFonts w:ascii="宋体" w:hAnsi="宋体" w:eastAsia="宋体" w:cs="宋体"/>
          <w:sz w:val="20"/>
          <w:szCs w:val="20"/>
        </w:rPr>
        <w:t>DOTS</w:t>
      </w:r>
      <w:r>
        <w:rPr>
          <w:rFonts w:ascii="宋体" w:hAnsi="宋体" w:eastAsia="宋体" w:cs="宋体"/>
          <w:spacing w:val="2"/>
          <w:sz w:val="20"/>
          <w:szCs w:val="20"/>
        </w:rPr>
        <w:t xml:space="preserve">  策略的推行和实施，大幅度提高了患者的治</w:t>
      </w:r>
      <w:r>
        <w:rPr>
          <w:rFonts w:ascii="宋体" w:hAnsi="宋体" w:eastAsia="宋体" w:cs="宋体"/>
          <w:spacing w:val="1"/>
          <w:sz w:val="20"/>
          <w:szCs w:val="20"/>
        </w:rPr>
        <w:t>愈率和发现率，同时可以防止耐药菌株的产</w:t>
      </w:r>
      <w:r>
        <w:rPr>
          <w:rFonts w:ascii="宋体" w:hAnsi="宋体" w:eastAsia="宋体" w:cs="宋体"/>
          <w:sz w:val="20"/>
          <w:szCs w:val="20"/>
        </w:rPr>
        <w:t xml:space="preserve"> </w:t>
      </w:r>
      <w:r>
        <w:rPr>
          <w:rFonts w:ascii="宋体" w:hAnsi="宋体" w:eastAsia="宋体" w:cs="宋体"/>
          <w:spacing w:val="6"/>
          <w:sz w:val="20"/>
          <w:szCs w:val="20"/>
        </w:rPr>
        <w:t>生。我国从1992年开始在13个省(自治区)实施现</w:t>
      </w:r>
      <w:r>
        <w:rPr>
          <w:rFonts w:ascii="宋体" w:hAnsi="宋体" w:eastAsia="宋体" w:cs="宋体"/>
          <w:spacing w:val="5"/>
          <w:sz w:val="20"/>
          <w:szCs w:val="20"/>
        </w:rPr>
        <w:t>代结核病控制策略</w:t>
      </w:r>
      <w:r>
        <w:rPr>
          <w:rFonts w:ascii="Times New Roman" w:hAnsi="Times New Roman" w:eastAsia="Times New Roman" w:cs="Times New Roman"/>
          <w:spacing w:val="5"/>
          <w:sz w:val="20"/>
          <w:szCs w:val="20"/>
        </w:rPr>
        <w:t>(</w:t>
      </w:r>
      <w:r>
        <w:rPr>
          <w:rFonts w:ascii="Times New Roman" w:hAnsi="Times New Roman" w:eastAsia="Times New Roman" w:cs="Times New Roman"/>
          <w:sz w:val="20"/>
          <w:szCs w:val="20"/>
        </w:rPr>
        <w:t>DOTS</w:t>
      </w:r>
      <w:r>
        <w:rPr>
          <w:rFonts w:ascii="宋体" w:hAnsi="宋体" w:eastAsia="宋体" w:cs="宋体"/>
          <w:spacing w:val="5"/>
          <w:sz w:val="20"/>
          <w:szCs w:val="20"/>
        </w:rPr>
        <w:t>策略)项目，到2000年，</w:t>
      </w:r>
      <w:r>
        <w:rPr>
          <w:rFonts w:ascii="宋体" w:hAnsi="宋体" w:eastAsia="宋体" w:cs="宋体"/>
          <w:sz w:val="20"/>
          <w:szCs w:val="20"/>
        </w:rPr>
        <w:t xml:space="preserve"> </w:t>
      </w:r>
      <w:r>
        <w:rPr>
          <w:rFonts w:ascii="宋体" w:hAnsi="宋体" w:eastAsia="宋体" w:cs="宋体"/>
          <w:spacing w:val="6"/>
          <w:sz w:val="20"/>
          <w:szCs w:val="20"/>
        </w:rPr>
        <w:t>该项目共诊断了180万活动性肺结核患者，为130万涂阳肺结核患者提供了免费</w:t>
      </w:r>
      <w:r>
        <w:rPr>
          <w:rFonts w:ascii="宋体" w:hAnsi="宋体" w:eastAsia="宋体" w:cs="宋体"/>
          <w:spacing w:val="5"/>
          <w:sz w:val="20"/>
          <w:szCs w:val="20"/>
        </w:rPr>
        <w:t>治疗，治愈率达到</w:t>
      </w:r>
      <w:r>
        <w:rPr>
          <w:rFonts w:ascii="宋体" w:hAnsi="宋体" w:eastAsia="宋体" w:cs="宋体"/>
          <w:sz w:val="20"/>
          <w:szCs w:val="20"/>
        </w:rPr>
        <w:t xml:space="preserve">  </w:t>
      </w:r>
      <w:r>
        <w:rPr>
          <w:rFonts w:ascii="宋体" w:hAnsi="宋体" w:eastAsia="宋体" w:cs="宋体"/>
          <w:spacing w:val="3"/>
          <w:sz w:val="20"/>
          <w:szCs w:val="20"/>
        </w:rPr>
        <w:t>85%以上，被</w:t>
      </w:r>
      <w:r>
        <w:rPr>
          <w:rFonts w:ascii="Times New Roman" w:hAnsi="Times New Roman" w:eastAsia="Times New Roman" w:cs="Times New Roman"/>
          <w:sz w:val="20"/>
          <w:szCs w:val="20"/>
        </w:rPr>
        <w:t>WHO</w:t>
      </w:r>
      <w:r>
        <w:rPr>
          <w:rFonts w:ascii="Times New Roman" w:hAnsi="Times New Roman" w:eastAsia="Times New Roman" w:cs="Times New Roman"/>
          <w:spacing w:val="3"/>
          <w:sz w:val="20"/>
          <w:szCs w:val="20"/>
        </w:rPr>
        <w:t xml:space="preserve"> </w:t>
      </w:r>
      <w:r>
        <w:rPr>
          <w:rFonts w:ascii="宋体" w:hAnsi="宋体" w:eastAsia="宋体" w:cs="宋体"/>
          <w:spacing w:val="3"/>
          <w:sz w:val="20"/>
          <w:szCs w:val="20"/>
        </w:rPr>
        <w:t>评价为“全世界最成功地实施</w:t>
      </w:r>
      <w:r>
        <w:rPr>
          <w:rFonts w:ascii="Times New Roman" w:hAnsi="Times New Roman" w:eastAsia="Times New Roman" w:cs="Times New Roman"/>
          <w:sz w:val="20"/>
          <w:szCs w:val="20"/>
        </w:rPr>
        <w:t>DOTS</w:t>
      </w:r>
      <w:r>
        <w:rPr>
          <w:rFonts w:ascii="宋体" w:hAnsi="宋体" w:eastAsia="宋体" w:cs="宋体"/>
          <w:spacing w:val="3"/>
          <w:sz w:val="20"/>
          <w:szCs w:val="20"/>
        </w:rPr>
        <w:t>策略的项目</w:t>
      </w:r>
      <w:r>
        <w:rPr>
          <w:rFonts w:ascii="宋体" w:hAnsi="宋体" w:eastAsia="宋体" w:cs="宋体"/>
          <w:spacing w:val="2"/>
          <w:sz w:val="20"/>
          <w:szCs w:val="20"/>
        </w:rPr>
        <w:t>之一”。2001年起，在第三个结</w:t>
      </w:r>
      <w:r>
        <w:rPr>
          <w:rFonts w:ascii="宋体" w:hAnsi="宋体" w:eastAsia="宋体" w:cs="宋体"/>
          <w:sz w:val="20"/>
          <w:szCs w:val="20"/>
        </w:rPr>
        <w:t xml:space="preserve">  </w:t>
      </w:r>
      <w:r>
        <w:rPr>
          <w:rFonts w:ascii="宋体" w:hAnsi="宋体" w:eastAsia="宋体" w:cs="宋体"/>
          <w:spacing w:val="6"/>
          <w:sz w:val="20"/>
          <w:szCs w:val="20"/>
        </w:rPr>
        <w:t>核病控制十年规划的指导下，我国全面推行现代结核病控制策略。至2005年，我</w:t>
      </w:r>
      <w:r>
        <w:rPr>
          <w:rFonts w:ascii="宋体" w:hAnsi="宋体" w:eastAsia="宋体" w:cs="宋体"/>
          <w:spacing w:val="5"/>
          <w:sz w:val="20"/>
          <w:szCs w:val="20"/>
        </w:rPr>
        <w:t>国的结核病发现</w:t>
      </w:r>
      <w:r>
        <w:rPr>
          <w:rFonts w:ascii="宋体" w:hAnsi="宋体" w:eastAsia="宋体" w:cs="宋体"/>
          <w:sz w:val="20"/>
          <w:szCs w:val="20"/>
        </w:rPr>
        <w:t xml:space="preserve">  </w:t>
      </w:r>
      <w:r>
        <w:rPr>
          <w:rFonts w:ascii="宋体" w:hAnsi="宋体" w:eastAsia="宋体" w:cs="宋体"/>
          <w:spacing w:val="13"/>
          <w:sz w:val="20"/>
          <w:szCs w:val="20"/>
        </w:rPr>
        <w:t>率已达到</w:t>
      </w:r>
      <w:r>
        <w:rPr>
          <w:rFonts w:ascii="Times New Roman" w:hAnsi="Times New Roman" w:eastAsia="Times New Roman" w:cs="Times New Roman"/>
          <w:sz w:val="20"/>
          <w:szCs w:val="20"/>
        </w:rPr>
        <w:t>WHO</w:t>
      </w:r>
      <w:r>
        <w:rPr>
          <w:rFonts w:ascii="Times New Roman" w:hAnsi="Times New Roman" w:eastAsia="Times New Roman" w:cs="Times New Roman"/>
          <w:spacing w:val="13"/>
          <w:sz w:val="20"/>
          <w:szCs w:val="20"/>
        </w:rPr>
        <w:t xml:space="preserve"> </w:t>
      </w:r>
      <w:r>
        <w:rPr>
          <w:rFonts w:ascii="宋体" w:hAnsi="宋体" w:eastAsia="宋体" w:cs="宋体"/>
          <w:spacing w:val="13"/>
          <w:sz w:val="20"/>
          <w:szCs w:val="20"/>
        </w:rPr>
        <w:t>要求的70%的目标，</w:t>
      </w:r>
      <w:r>
        <w:rPr>
          <w:rFonts w:ascii="Times New Roman" w:hAnsi="Times New Roman" w:eastAsia="Times New Roman" w:cs="Times New Roman"/>
          <w:sz w:val="20"/>
          <w:szCs w:val="20"/>
        </w:rPr>
        <w:t>DOTS</w:t>
      </w:r>
      <w:r>
        <w:rPr>
          <w:rFonts w:ascii="宋体" w:hAnsi="宋体" w:eastAsia="宋体" w:cs="宋体"/>
          <w:spacing w:val="13"/>
          <w:sz w:val="20"/>
          <w:szCs w:val="20"/>
        </w:rPr>
        <w:t>策略覆盖</w:t>
      </w:r>
      <w:r>
        <w:rPr>
          <w:rFonts w:ascii="宋体" w:hAnsi="宋体" w:eastAsia="宋体" w:cs="宋体"/>
          <w:spacing w:val="12"/>
          <w:sz w:val="20"/>
          <w:szCs w:val="20"/>
        </w:rPr>
        <w:t>率已达100%,患者治愈率也在85%以上。</w:t>
      </w:r>
    </w:p>
    <w:p w14:paraId="4BD2DFE2">
      <w:pPr>
        <w:spacing w:before="2" w:line="342" w:lineRule="auto"/>
        <w:ind w:right="615" w:firstLine="420"/>
        <w:jc w:val="both"/>
        <w:rPr>
          <w:rFonts w:ascii="宋体" w:hAnsi="宋体" w:eastAsia="宋体" w:cs="宋体"/>
          <w:sz w:val="20"/>
          <w:szCs w:val="20"/>
        </w:rPr>
      </w:pPr>
      <w:r>
        <w:rPr>
          <w:rFonts w:ascii="宋体" w:hAnsi="宋体" w:eastAsia="宋体" w:cs="宋体"/>
          <w:spacing w:val="4"/>
          <w:sz w:val="20"/>
          <w:szCs w:val="20"/>
        </w:rPr>
        <w:t>然</w:t>
      </w:r>
      <w:r>
        <w:rPr>
          <w:rFonts w:ascii="宋体" w:hAnsi="宋体" w:eastAsia="宋体" w:cs="宋体"/>
          <w:spacing w:val="-40"/>
          <w:sz w:val="20"/>
          <w:szCs w:val="20"/>
        </w:rPr>
        <w:t xml:space="preserve"> </w:t>
      </w:r>
      <w:r>
        <w:rPr>
          <w:rFonts w:ascii="宋体" w:hAnsi="宋体" w:eastAsia="宋体" w:cs="宋体"/>
          <w:spacing w:val="4"/>
          <w:sz w:val="20"/>
          <w:szCs w:val="20"/>
        </w:rPr>
        <w:t>而</w:t>
      </w:r>
      <w:r>
        <w:rPr>
          <w:rFonts w:ascii="宋体" w:hAnsi="宋体" w:eastAsia="宋体" w:cs="宋体"/>
          <w:spacing w:val="-48"/>
          <w:sz w:val="20"/>
          <w:szCs w:val="20"/>
        </w:rPr>
        <w:t xml:space="preserve"> </w:t>
      </w:r>
      <w:r>
        <w:rPr>
          <w:rFonts w:ascii="宋体" w:hAnsi="宋体" w:eastAsia="宋体" w:cs="宋体"/>
          <w:spacing w:val="4"/>
          <w:sz w:val="20"/>
          <w:szCs w:val="20"/>
        </w:rPr>
        <w:t>，</w:t>
      </w:r>
      <w:r>
        <w:rPr>
          <w:rFonts w:ascii="Times New Roman" w:hAnsi="Times New Roman" w:eastAsia="Times New Roman" w:cs="Times New Roman"/>
          <w:sz w:val="20"/>
          <w:szCs w:val="20"/>
        </w:rPr>
        <w:t>DOTS</w:t>
      </w:r>
      <w:r>
        <w:rPr>
          <w:rFonts w:ascii="Times New Roman" w:hAnsi="Times New Roman" w:eastAsia="Times New Roman" w:cs="Times New Roman"/>
          <w:spacing w:val="4"/>
          <w:sz w:val="20"/>
          <w:szCs w:val="20"/>
        </w:rPr>
        <w:t xml:space="preserve"> </w:t>
      </w:r>
      <w:r>
        <w:rPr>
          <w:rFonts w:ascii="宋体" w:hAnsi="宋体" w:eastAsia="宋体" w:cs="宋体"/>
          <w:spacing w:val="4"/>
          <w:sz w:val="20"/>
          <w:szCs w:val="20"/>
        </w:rPr>
        <w:t>策略的制定主要基于20世纪90年代结核病的流行特征，在当前全</w:t>
      </w:r>
      <w:r>
        <w:rPr>
          <w:rFonts w:ascii="宋体" w:hAnsi="宋体" w:eastAsia="宋体" w:cs="宋体"/>
          <w:spacing w:val="3"/>
          <w:sz w:val="20"/>
          <w:szCs w:val="20"/>
        </w:rPr>
        <w:t>球结核病疫情</w:t>
      </w:r>
      <w:r>
        <w:rPr>
          <w:rFonts w:ascii="宋体" w:hAnsi="宋体" w:eastAsia="宋体" w:cs="宋体"/>
          <w:sz w:val="20"/>
          <w:szCs w:val="20"/>
        </w:rPr>
        <w:t xml:space="preserve"> </w:t>
      </w:r>
      <w:r>
        <w:rPr>
          <w:rFonts w:ascii="宋体" w:hAnsi="宋体" w:eastAsia="宋体" w:cs="宋体"/>
          <w:spacing w:val="4"/>
          <w:sz w:val="20"/>
          <w:szCs w:val="20"/>
        </w:rPr>
        <w:t>变化和耐药结核病流行日趋严重的情况下，</w:t>
      </w:r>
      <w:r>
        <w:rPr>
          <w:rFonts w:ascii="Times New Roman" w:hAnsi="Times New Roman" w:eastAsia="Times New Roman" w:cs="Times New Roman"/>
          <w:sz w:val="20"/>
          <w:szCs w:val="20"/>
        </w:rPr>
        <w:t>DOTS</w:t>
      </w:r>
      <w:r>
        <w:rPr>
          <w:rFonts w:ascii="宋体" w:hAnsi="宋体" w:eastAsia="宋体" w:cs="宋体"/>
          <w:spacing w:val="4"/>
          <w:sz w:val="20"/>
          <w:szCs w:val="20"/>
        </w:rPr>
        <w:t>策略表</w:t>
      </w:r>
      <w:r>
        <w:rPr>
          <w:rFonts w:ascii="宋体" w:hAnsi="宋体" w:eastAsia="宋体" w:cs="宋体"/>
          <w:spacing w:val="3"/>
          <w:sz w:val="20"/>
          <w:szCs w:val="20"/>
        </w:rPr>
        <w:t>现出较大的局限性，如强调传染性严重的</w:t>
      </w:r>
      <w:r>
        <w:rPr>
          <w:rFonts w:ascii="宋体" w:hAnsi="宋体" w:eastAsia="宋体" w:cs="宋体"/>
          <w:sz w:val="20"/>
          <w:szCs w:val="20"/>
        </w:rPr>
        <w:t xml:space="preserve"> </w:t>
      </w:r>
      <w:r>
        <w:rPr>
          <w:rFonts w:ascii="宋体" w:hAnsi="宋体" w:eastAsia="宋体" w:cs="宋体"/>
          <w:spacing w:val="2"/>
          <w:sz w:val="20"/>
          <w:szCs w:val="20"/>
        </w:rPr>
        <w:t>涂阳肺结核患者是发现、治疗与管理的主要对象，只提供如</w:t>
      </w:r>
      <w:r>
        <w:rPr>
          <w:rFonts w:ascii="宋体" w:hAnsi="宋体" w:eastAsia="宋体" w:cs="宋体"/>
          <w:spacing w:val="1"/>
          <w:sz w:val="20"/>
          <w:szCs w:val="20"/>
        </w:rPr>
        <w:t>痰涂片检查这样的最基本的服务等。因</w:t>
      </w:r>
      <w:r>
        <w:rPr>
          <w:rFonts w:ascii="宋体" w:hAnsi="宋体" w:eastAsia="宋体" w:cs="宋体"/>
          <w:sz w:val="20"/>
          <w:szCs w:val="20"/>
        </w:rPr>
        <w:t xml:space="preserve"> </w:t>
      </w:r>
      <w:r>
        <w:rPr>
          <w:rFonts w:ascii="宋体" w:hAnsi="宋体" w:eastAsia="宋体" w:cs="宋体"/>
          <w:spacing w:val="-1"/>
          <w:sz w:val="20"/>
          <w:szCs w:val="20"/>
        </w:rPr>
        <w:t>此</w:t>
      </w:r>
      <w:r>
        <w:rPr>
          <w:rFonts w:ascii="宋体" w:hAnsi="宋体" w:eastAsia="宋体" w:cs="宋体"/>
          <w:spacing w:val="-27"/>
          <w:sz w:val="20"/>
          <w:szCs w:val="20"/>
        </w:rPr>
        <w:t xml:space="preserve"> </w:t>
      </w:r>
      <w:r>
        <w:rPr>
          <w:rFonts w:ascii="宋体" w:hAnsi="宋体" w:eastAsia="宋体" w:cs="宋体"/>
          <w:spacing w:val="-1"/>
          <w:sz w:val="20"/>
          <w:szCs w:val="20"/>
        </w:rPr>
        <w:t>，WHO</w:t>
      </w:r>
      <w:r>
        <w:rPr>
          <w:rFonts w:ascii="宋体" w:hAnsi="宋体" w:eastAsia="宋体" w:cs="宋体"/>
          <w:spacing w:val="31"/>
          <w:sz w:val="20"/>
          <w:szCs w:val="20"/>
        </w:rPr>
        <w:t xml:space="preserve">  </w:t>
      </w:r>
      <w:r>
        <w:rPr>
          <w:rFonts w:ascii="宋体" w:hAnsi="宋体" w:eastAsia="宋体" w:cs="宋体"/>
          <w:spacing w:val="-1"/>
          <w:sz w:val="20"/>
          <w:szCs w:val="20"/>
        </w:rPr>
        <w:t>和全球遏制结核病联盟于2006年倡导将DOTS</w:t>
      </w:r>
      <w:r>
        <w:rPr>
          <w:rFonts w:ascii="宋体" w:hAnsi="宋体" w:eastAsia="宋体" w:cs="宋体"/>
          <w:spacing w:val="34"/>
          <w:sz w:val="20"/>
          <w:szCs w:val="20"/>
        </w:rPr>
        <w:t xml:space="preserve"> </w:t>
      </w:r>
      <w:r>
        <w:rPr>
          <w:rFonts w:ascii="宋体" w:hAnsi="宋体" w:eastAsia="宋体" w:cs="宋体"/>
          <w:spacing w:val="-1"/>
          <w:sz w:val="20"/>
          <w:szCs w:val="20"/>
        </w:rPr>
        <w:t>策略向遏制结核病策略(Stop-TB Strat</w:t>
      </w:r>
      <w:r>
        <w:rPr>
          <w:rFonts w:ascii="宋体" w:hAnsi="宋体" w:eastAsia="宋体" w:cs="宋体"/>
          <w:spacing w:val="-2"/>
          <w:sz w:val="20"/>
          <w:szCs w:val="20"/>
        </w:rPr>
        <w:t>egy)</w:t>
      </w:r>
      <w:r>
        <w:rPr>
          <w:rFonts w:ascii="宋体" w:hAnsi="宋体" w:eastAsia="宋体" w:cs="宋体"/>
          <w:sz w:val="20"/>
          <w:szCs w:val="20"/>
        </w:rPr>
        <w:t xml:space="preserve"> </w:t>
      </w:r>
      <w:r>
        <w:rPr>
          <w:rFonts w:ascii="宋体" w:hAnsi="宋体" w:eastAsia="宋体" w:cs="宋体"/>
          <w:spacing w:val="3"/>
          <w:sz w:val="20"/>
          <w:szCs w:val="20"/>
        </w:rPr>
        <w:t>转化，宗旨是在提高</w:t>
      </w:r>
      <w:r>
        <w:rPr>
          <w:rFonts w:ascii="Times New Roman" w:hAnsi="Times New Roman" w:eastAsia="Times New Roman" w:cs="Times New Roman"/>
          <w:sz w:val="20"/>
          <w:szCs w:val="20"/>
        </w:rPr>
        <w:t>DOTS</w:t>
      </w:r>
      <w:r>
        <w:rPr>
          <w:rFonts w:ascii="宋体" w:hAnsi="宋体" w:eastAsia="宋体" w:cs="宋体"/>
          <w:spacing w:val="3"/>
          <w:sz w:val="20"/>
          <w:szCs w:val="20"/>
        </w:rPr>
        <w:t>质量的基础上全面加大结核病控制工作的力度和深度。</w:t>
      </w:r>
    </w:p>
    <w:p w14:paraId="6FCE7E72">
      <w:pPr>
        <w:spacing w:before="5" w:line="341" w:lineRule="auto"/>
        <w:ind w:right="644" w:firstLine="420"/>
        <w:jc w:val="both"/>
        <w:rPr>
          <w:rFonts w:ascii="宋体" w:hAnsi="宋体" w:eastAsia="宋体" w:cs="宋体"/>
          <w:sz w:val="20"/>
          <w:szCs w:val="20"/>
        </w:rPr>
      </w:pPr>
      <w:r>
        <w:rPr>
          <w:rFonts w:ascii="宋体" w:hAnsi="宋体" w:eastAsia="宋体" w:cs="宋体"/>
          <w:spacing w:val="5"/>
          <w:sz w:val="20"/>
          <w:szCs w:val="20"/>
        </w:rPr>
        <w:t>2014年5月19日，第67届世界卫生大会采纳了</w:t>
      </w:r>
      <w:r>
        <w:rPr>
          <w:rFonts w:ascii="宋体" w:hAnsi="宋体" w:eastAsia="宋体" w:cs="宋体"/>
          <w:sz w:val="20"/>
          <w:szCs w:val="20"/>
        </w:rPr>
        <w:t>WHO</w:t>
      </w:r>
      <w:r>
        <w:rPr>
          <w:rFonts w:ascii="宋体" w:hAnsi="宋体" w:eastAsia="宋体" w:cs="宋体"/>
          <w:spacing w:val="5"/>
          <w:sz w:val="20"/>
          <w:szCs w:val="20"/>
        </w:rPr>
        <w:t xml:space="preserve">  的“2015年之后肺结核预防、治疗和控制</w:t>
      </w:r>
      <w:r>
        <w:rPr>
          <w:rFonts w:ascii="宋体" w:hAnsi="宋体" w:eastAsia="宋体" w:cs="宋体"/>
          <w:spacing w:val="15"/>
          <w:sz w:val="20"/>
          <w:szCs w:val="20"/>
        </w:rPr>
        <w:t xml:space="preserve"> </w:t>
      </w:r>
      <w:r>
        <w:rPr>
          <w:rFonts w:ascii="宋体" w:hAnsi="宋体" w:eastAsia="宋体" w:cs="宋体"/>
          <w:spacing w:val="-2"/>
          <w:sz w:val="20"/>
          <w:szCs w:val="20"/>
        </w:rPr>
        <w:t>的全球战略和目标”,这项战略称为“终结结核病策略”(</w:t>
      </w:r>
      <w:r>
        <w:rPr>
          <w:rFonts w:ascii="宋体" w:hAnsi="宋体" w:eastAsia="宋体" w:cs="宋体"/>
          <w:spacing w:val="-3"/>
          <w:sz w:val="20"/>
          <w:szCs w:val="20"/>
        </w:rPr>
        <w:t>END-TB Strategy)。该策略的目标是与2015</w:t>
      </w:r>
      <w:r>
        <w:rPr>
          <w:rFonts w:ascii="宋体" w:hAnsi="宋体" w:eastAsia="宋体" w:cs="宋体"/>
          <w:sz w:val="20"/>
          <w:szCs w:val="20"/>
        </w:rPr>
        <w:t xml:space="preserve"> </w:t>
      </w:r>
      <w:r>
        <w:rPr>
          <w:rFonts w:ascii="宋体" w:hAnsi="宋体" w:eastAsia="宋体" w:cs="宋体"/>
          <w:spacing w:val="13"/>
          <w:sz w:val="20"/>
          <w:szCs w:val="20"/>
        </w:rPr>
        <w:t>年相比，2035年结核病死亡率下降95%、发病率下降9</w:t>
      </w:r>
      <w:r>
        <w:rPr>
          <w:rFonts w:ascii="宋体" w:hAnsi="宋体" w:eastAsia="宋体" w:cs="宋体"/>
          <w:spacing w:val="12"/>
          <w:sz w:val="20"/>
          <w:szCs w:val="20"/>
        </w:rPr>
        <w:t>0%,并且不再由结核病造成家庭灾难性支</w:t>
      </w:r>
      <w:r>
        <w:rPr>
          <w:rFonts w:ascii="宋体" w:hAnsi="宋体" w:eastAsia="宋体" w:cs="宋体"/>
          <w:sz w:val="20"/>
          <w:szCs w:val="20"/>
        </w:rPr>
        <w:t xml:space="preserve"> </w:t>
      </w:r>
      <w:r>
        <w:rPr>
          <w:rFonts w:ascii="宋体" w:hAnsi="宋体" w:eastAsia="宋体" w:cs="宋体"/>
          <w:spacing w:val="-2"/>
          <w:sz w:val="20"/>
          <w:szCs w:val="20"/>
        </w:rPr>
        <w:t>出。“终结结核病策略”可以概括为四个原则和三个支柱。</w:t>
      </w:r>
    </w:p>
    <w:p w14:paraId="6606D085">
      <w:pPr>
        <w:spacing w:line="342" w:lineRule="auto"/>
        <w:ind w:right="666" w:firstLine="420"/>
        <w:rPr>
          <w:rFonts w:ascii="宋体" w:hAnsi="宋体" w:eastAsia="宋体" w:cs="宋体"/>
          <w:sz w:val="20"/>
          <w:szCs w:val="20"/>
        </w:rPr>
      </w:pPr>
      <w:r>
        <w:rPr>
          <w:rFonts w:ascii="宋体" w:hAnsi="宋体" w:eastAsia="宋体" w:cs="宋体"/>
          <w:spacing w:val="1"/>
          <w:sz w:val="20"/>
          <w:szCs w:val="20"/>
        </w:rPr>
        <w:t>四个原则：①政府负责管理和问责，同时进行监测和评价；②与民间社会组织和社区</w:t>
      </w:r>
      <w:r>
        <w:rPr>
          <w:rFonts w:ascii="宋体" w:hAnsi="宋体" w:eastAsia="宋体" w:cs="宋体"/>
          <w:sz w:val="20"/>
          <w:szCs w:val="20"/>
        </w:rPr>
        <w:t xml:space="preserve">建立强大 </w:t>
      </w:r>
      <w:r>
        <w:rPr>
          <w:rFonts w:ascii="宋体" w:hAnsi="宋体" w:eastAsia="宋体" w:cs="宋体"/>
          <w:spacing w:val="-3"/>
          <w:sz w:val="20"/>
          <w:szCs w:val="20"/>
        </w:rPr>
        <w:t>的联盟；③保护和促进人权、伦理和公平；④全球</w:t>
      </w:r>
      <w:r>
        <w:rPr>
          <w:rFonts w:ascii="宋体" w:hAnsi="宋体" w:eastAsia="宋体" w:cs="宋体"/>
          <w:spacing w:val="-4"/>
          <w:sz w:val="20"/>
          <w:szCs w:val="20"/>
        </w:rPr>
        <w:t>协力，在国家层面调整应用战略和目标。</w:t>
      </w:r>
    </w:p>
    <w:p w14:paraId="7E66AC64">
      <w:pPr>
        <w:spacing w:line="218" w:lineRule="auto"/>
        <w:ind w:left="420"/>
        <w:rPr>
          <w:rFonts w:ascii="宋体" w:hAnsi="宋体" w:eastAsia="宋体" w:cs="宋体"/>
          <w:sz w:val="20"/>
          <w:szCs w:val="20"/>
        </w:rPr>
      </w:pPr>
      <w:r>
        <w:rPr>
          <w:rFonts w:ascii="宋体" w:hAnsi="宋体" w:eastAsia="宋体" w:cs="宋体"/>
          <w:spacing w:val="-2"/>
          <w:sz w:val="20"/>
          <w:szCs w:val="20"/>
        </w:rPr>
        <w:t>三个支柱：整合以患者为中心的关怀和预防措施；更大胆的政策和支持系统；加强研</w:t>
      </w:r>
      <w:r>
        <w:rPr>
          <w:rFonts w:ascii="宋体" w:hAnsi="宋体" w:eastAsia="宋体" w:cs="宋体"/>
          <w:spacing w:val="-3"/>
          <w:sz w:val="20"/>
          <w:szCs w:val="20"/>
        </w:rPr>
        <w:t>究和创新。</w:t>
      </w:r>
    </w:p>
    <w:p w14:paraId="5C4912BA">
      <w:pPr>
        <w:spacing w:before="122" w:line="343" w:lineRule="auto"/>
        <w:ind w:right="615" w:firstLine="420"/>
        <w:rPr>
          <w:rFonts w:ascii="宋体" w:hAnsi="宋体" w:eastAsia="宋体" w:cs="宋体"/>
          <w:sz w:val="20"/>
          <w:szCs w:val="20"/>
        </w:rPr>
      </w:pPr>
      <w:r>
        <w:rPr>
          <w:rFonts w:ascii="宋体" w:hAnsi="宋体" w:eastAsia="宋体" w:cs="宋体"/>
          <w:spacing w:val="3"/>
          <w:sz w:val="20"/>
          <w:szCs w:val="20"/>
        </w:rPr>
        <w:t>2024年11月28日，国家九部门联合印发《全国结核病防治规划(2024—</w:t>
      </w:r>
      <w:r>
        <w:rPr>
          <w:rFonts w:ascii="宋体" w:hAnsi="宋体" w:eastAsia="宋体" w:cs="宋体"/>
          <w:spacing w:val="2"/>
          <w:sz w:val="20"/>
          <w:szCs w:val="20"/>
        </w:rPr>
        <w:t>2030年)》,提出坚持预</w:t>
      </w:r>
      <w:r>
        <w:rPr>
          <w:rFonts w:ascii="宋体" w:hAnsi="宋体" w:eastAsia="宋体" w:cs="宋体"/>
          <w:sz w:val="20"/>
          <w:szCs w:val="20"/>
        </w:rPr>
        <w:t xml:space="preserve"> </w:t>
      </w:r>
      <w:r>
        <w:rPr>
          <w:rFonts w:ascii="宋体" w:hAnsi="宋体" w:eastAsia="宋体" w:cs="宋体"/>
          <w:spacing w:val="-3"/>
          <w:sz w:val="20"/>
          <w:szCs w:val="20"/>
        </w:rPr>
        <w:t>防为主、防治结合、因地制宜、突出重点的原则，不断优化防治策略措施，</w:t>
      </w:r>
      <w:r>
        <w:rPr>
          <w:rFonts w:ascii="宋体" w:hAnsi="宋体" w:eastAsia="宋体" w:cs="宋体"/>
          <w:spacing w:val="-4"/>
          <w:sz w:val="20"/>
          <w:szCs w:val="20"/>
        </w:rPr>
        <w:t>持续提升防治水平。总体</w:t>
      </w:r>
      <w:r>
        <w:rPr>
          <w:rFonts w:ascii="宋体" w:hAnsi="宋体" w:eastAsia="宋体" w:cs="宋体"/>
          <w:sz w:val="20"/>
          <w:szCs w:val="20"/>
        </w:rPr>
        <w:t xml:space="preserve"> </w:t>
      </w:r>
      <w:r>
        <w:rPr>
          <w:rFonts w:ascii="宋体" w:hAnsi="宋体" w:eastAsia="宋体" w:cs="宋体"/>
          <w:spacing w:val="3"/>
          <w:sz w:val="20"/>
          <w:szCs w:val="20"/>
        </w:rPr>
        <w:t>目标是全国结核病发病率持续降低，死亡率始终保持</w:t>
      </w:r>
      <w:r>
        <w:rPr>
          <w:rFonts w:ascii="宋体" w:hAnsi="宋体" w:eastAsia="宋体" w:cs="宋体"/>
          <w:spacing w:val="2"/>
          <w:sz w:val="20"/>
          <w:szCs w:val="20"/>
        </w:rPr>
        <w:t>在较低水平，结核病患者经济负担逐步降低，</w:t>
      </w:r>
      <w:r>
        <w:rPr>
          <w:rFonts w:ascii="宋体" w:hAnsi="宋体" w:eastAsia="宋体" w:cs="宋体"/>
          <w:sz w:val="20"/>
          <w:szCs w:val="20"/>
        </w:rPr>
        <w:t xml:space="preserve"> </w:t>
      </w:r>
      <w:r>
        <w:rPr>
          <w:rFonts w:ascii="宋体" w:hAnsi="宋体" w:eastAsia="宋体" w:cs="宋体"/>
          <w:spacing w:val="1"/>
          <w:sz w:val="20"/>
          <w:szCs w:val="20"/>
        </w:rPr>
        <w:t>为终结结核病流行奠定坚实基础。该规划从患者及早发现、规范治疗管理、预防性干预、公众健康</w:t>
      </w:r>
      <w:r>
        <w:rPr>
          <w:rFonts w:ascii="宋体" w:hAnsi="宋体" w:eastAsia="宋体" w:cs="宋体"/>
          <w:spacing w:val="15"/>
          <w:sz w:val="20"/>
          <w:szCs w:val="20"/>
        </w:rPr>
        <w:t xml:space="preserve"> </w:t>
      </w:r>
      <w:r>
        <w:rPr>
          <w:rFonts w:ascii="宋体" w:hAnsi="宋体" w:eastAsia="宋体" w:cs="宋体"/>
          <w:spacing w:val="9"/>
          <w:sz w:val="20"/>
          <w:szCs w:val="20"/>
        </w:rPr>
        <w:t>素养提高4个方面明确了系列具体量化指标。</w:t>
      </w:r>
    </w:p>
    <w:p w14:paraId="5408270C">
      <w:pPr>
        <w:pStyle w:val="2"/>
        <w:spacing w:before="134" w:line="223" w:lineRule="auto"/>
        <w:ind w:left="503"/>
        <w:outlineLvl w:val="4"/>
        <w:rPr>
          <w:sz w:val="26"/>
          <w:szCs w:val="26"/>
        </w:rPr>
      </w:pPr>
      <w:bookmarkStart w:id="527" w:name="bookmark328"/>
      <w:bookmarkEnd w:id="527"/>
      <w:r>
        <w:rPr>
          <w:b/>
          <w:bCs/>
          <w:spacing w:val="-7"/>
          <w:sz w:val="26"/>
          <w:szCs w:val="26"/>
        </w:rPr>
        <w:t>二、措施</w:t>
      </w:r>
    </w:p>
    <w:p w14:paraId="17EF4269">
      <w:pPr>
        <w:pStyle w:val="2"/>
        <w:spacing w:before="265" w:line="221" w:lineRule="auto"/>
        <w:ind w:left="420"/>
        <w:rPr>
          <w:sz w:val="20"/>
          <w:szCs w:val="20"/>
        </w:rPr>
      </w:pPr>
      <w:r>
        <w:rPr>
          <w:spacing w:val="22"/>
          <w:sz w:val="20"/>
          <w:szCs w:val="20"/>
        </w:rPr>
        <w:t>(</w:t>
      </w:r>
      <w:r>
        <w:rPr>
          <w:spacing w:val="-54"/>
          <w:sz w:val="20"/>
          <w:szCs w:val="20"/>
        </w:rPr>
        <w:t xml:space="preserve"> </w:t>
      </w:r>
      <w:r>
        <w:rPr>
          <w:spacing w:val="22"/>
          <w:sz w:val="20"/>
          <w:szCs w:val="20"/>
        </w:rPr>
        <w:t>一)针对传染源的措施</w:t>
      </w:r>
    </w:p>
    <w:p w14:paraId="60DF7BE3">
      <w:pPr>
        <w:pStyle w:val="2"/>
        <w:spacing w:before="138" w:line="335" w:lineRule="auto"/>
        <w:ind w:right="682" w:firstLine="422"/>
        <w:rPr>
          <w:rFonts w:ascii="宋体" w:hAnsi="宋体" w:eastAsia="宋体" w:cs="宋体"/>
          <w:sz w:val="20"/>
          <w:szCs w:val="20"/>
        </w:rPr>
      </w:pPr>
      <w:r>
        <w:rPr>
          <w:rFonts w:ascii="宋体" w:hAnsi="宋体" w:eastAsia="宋体" w:cs="宋体"/>
          <w:b/>
          <w:bCs/>
          <w:spacing w:val="3"/>
          <w:sz w:val="20"/>
          <w:szCs w:val="20"/>
        </w:rPr>
        <w:t>1.</w:t>
      </w:r>
      <w:r>
        <w:rPr>
          <w:rFonts w:ascii="宋体" w:hAnsi="宋体" w:eastAsia="宋体" w:cs="宋体"/>
          <w:spacing w:val="3"/>
          <w:sz w:val="20"/>
          <w:szCs w:val="20"/>
        </w:rPr>
        <w:t xml:space="preserve"> </w:t>
      </w:r>
      <w:r>
        <w:rPr>
          <w:b/>
          <w:bCs/>
          <w:spacing w:val="3"/>
          <w:sz w:val="20"/>
          <w:szCs w:val="20"/>
        </w:rPr>
        <w:t>患者发现</w:t>
      </w:r>
      <w:r>
        <w:rPr>
          <w:spacing w:val="83"/>
          <w:sz w:val="20"/>
          <w:szCs w:val="20"/>
        </w:rPr>
        <w:t xml:space="preserve"> </w:t>
      </w:r>
      <w:r>
        <w:rPr>
          <w:rFonts w:ascii="宋体" w:hAnsi="宋体" w:eastAsia="宋体" w:cs="宋体"/>
          <w:spacing w:val="3"/>
          <w:sz w:val="20"/>
          <w:szCs w:val="20"/>
        </w:rPr>
        <w:t>病原学阳性的肺结核患者是结核病的主要传染源。及时发现、规范隔离和治愈</w:t>
      </w:r>
      <w:r>
        <w:rPr>
          <w:rFonts w:ascii="宋体" w:hAnsi="宋体" w:eastAsia="宋体" w:cs="宋体"/>
          <w:sz w:val="20"/>
          <w:szCs w:val="20"/>
        </w:rPr>
        <w:t xml:space="preserve"> </w:t>
      </w:r>
      <w:r>
        <w:rPr>
          <w:rFonts w:ascii="宋体" w:hAnsi="宋体" w:eastAsia="宋体" w:cs="宋体"/>
          <w:spacing w:val="1"/>
          <w:sz w:val="20"/>
          <w:szCs w:val="20"/>
        </w:rPr>
        <w:t>肺结核患者，是防止结核病传播和预防耐药结核病产生的有效措施。</w:t>
      </w:r>
    </w:p>
    <w:p w14:paraId="1F93E023">
      <w:pPr>
        <w:spacing w:before="16" w:line="333" w:lineRule="auto"/>
        <w:ind w:right="596" w:firstLine="420"/>
        <w:jc w:val="both"/>
        <w:rPr>
          <w:rFonts w:ascii="宋体" w:hAnsi="宋体" w:eastAsia="宋体" w:cs="宋体"/>
          <w:sz w:val="20"/>
          <w:szCs w:val="20"/>
        </w:rPr>
      </w:pPr>
      <w:r>
        <w:rPr>
          <w:rFonts w:ascii="宋体" w:hAnsi="宋体" w:eastAsia="宋体" w:cs="宋体"/>
          <w:spacing w:val="3"/>
          <w:sz w:val="20"/>
          <w:szCs w:val="20"/>
        </w:rPr>
        <w:t>(1)患者发现的途径：结核患者的发现方式主要包括因症就诊和主动筛查。因症就诊主要是指</w:t>
      </w:r>
      <w:r>
        <w:rPr>
          <w:rFonts w:ascii="宋体" w:hAnsi="宋体" w:eastAsia="宋体" w:cs="宋体"/>
          <w:spacing w:val="16"/>
          <w:sz w:val="20"/>
          <w:szCs w:val="20"/>
        </w:rPr>
        <w:t xml:space="preserve"> </w:t>
      </w:r>
      <w:r>
        <w:rPr>
          <w:rFonts w:ascii="宋体" w:hAnsi="宋体" w:eastAsia="宋体" w:cs="宋体"/>
          <w:spacing w:val="6"/>
          <w:sz w:val="20"/>
          <w:szCs w:val="20"/>
        </w:rPr>
        <w:t>医疗卫生机构对就诊的肺结核可疑症状者进行结核病相关检查，对发现的肺结核或疑似肺结核患</w:t>
      </w:r>
      <w:r>
        <w:rPr>
          <w:rFonts w:ascii="宋体" w:hAnsi="宋体" w:eastAsia="宋体" w:cs="宋体"/>
          <w:spacing w:val="17"/>
          <w:sz w:val="20"/>
          <w:szCs w:val="20"/>
        </w:rPr>
        <w:t xml:space="preserve"> </w:t>
      </w:r>
      <w:r>
        <w:rPr>
          <w:rFonts w:ascii="宋体" w:hAnsi="宋体" w:eastAsia="宋体" w:cs="宋体"/>
          <w:spacing w:val="3"/>
          <w:sz w:val="20"/>
          <w:szCs w:val="20"/>
        </w:rPr>
        <w:t>者开展结核病防治知识的宣传教育，使其了解及时诊治的重要性，并转诊到结核病定点医疗机构。</w:t>
      </w:r>
      <w:r>
        <w:rPr>
          <w:rFonts w:ascii="宋体" w:hAnsi="宋体" w:eastAsia="宋体" w:cs="宋体"/>
          <w:sz w:val="20"/>
          <w:szCs w:val="20"/>
        </w:rPr>
        <w:t xml:space="preserve"> </w:t>
      </w:r>
      <w:r>
        <w:rPr>
          <w:rFonts w:ascii="宋体" w:hAnsi="宋体" w:eastAsia="宋体" w:cs="宋体"/>
          <w:spacing w:val="6"/>
          <w:sz w:val="20"/>
          <w:szCs w:val="20"/>
        </w:rPr>
        <w:t>主动筛查是指疾病预防控制机构组织结核病定点医疗机构和基层医疗卫生机构对辖区内病原学阳</w:t>
      </w:r>
      <w:r>
        <w:rPr>
          <w:rFonts w:ascii="宋体" w:hAnsi="宋体" w:eastAsia="宋体" w:cs="宋体"/>
          <w:spacing w:val="18"/>
          <w:sz w:val="20"/>
          <w:szCs w:val="20"/>
        </w:rPr>
        <w:t xml:space="preserve"> </w:t>
      </w:r>
      <w:r>
        <w:rPr>
          <w:rFonts w:ascii="宋体" w:hAnsi="宋体" w:eastAsia="宋体" w:cs="宋体"/>
          <w:spacing w:val="2"/>
          <w:sz w:val="20"/>
          <w:szCs w:val="20"/>
        </w:rPr>
        <w:t>性肺结核患者的密切接触者、</w:t>
      </w:r>
      <w:r>
        <w:rPr>
          <w:rFonts w:ascii="宋体" w:hAnsi="宋体" w:eastAsia="宋体" w:cs="宋体"/>
          <w:sz w:val="20"/>
          <w:szCs w:val="20"/>
        </w:rPr>
        <w:t>HIV</w:t>
      </w:r>
      <w:r>
        <w:rPr>
          <w:rFonts w:ascii="宋体" w:hAnsi="宋体" w:eastAsia="宋体" w:cs="宋体"/>
          <w:spacing w:val="2"/>
          <w:sz w:val="20"/>
          <w:szCs w:val="20"/>
        </w:rPr>
        <w:t xml:space="preserve"> 感染者和艾滋病患者等发病高危人群以及寄宿制学校学</w:t>
      </w:r>
      <w:r>
        <w:rPr>
          <w:rFonts w:ascii="宋体" w:hAnsi="宋体" w:eastAsia="宋体" w:cs="宋体"/>
          <w:spacing w:val="1"/>
          <w:sz w:val="20"/>
          <w:szCs w:val="20"/>
        </w:rPr>
        <w:t>生、监管</w:t>
      </w:r>
      <w:r>
        <w:rPr>
          <w:rFonts w:ascii="宋体" w:hAnsi="宋体" w:eastAsia="宋体" w:cs="宋体"/>
          <w:sz w:val="20"/>
          <w:szCs w:val="20"/>
        </w:rPr>
        <w:t xml:space="preserve"> </w:t>
      </w:r>
      <w:r>
        <w:rPr>
          <w:rFonts w:ascii="宋体" w:hAnsi="宋体" w:eastAsia="宋体" w:cs="宋体"/>
          <w:spacing w:val="1"/>
          <w:sz w:val="20"/>
          <w:szCs w:val="20"/>
        </w:rPr>
        <w:t>场所被监管人员、集中居住的农民工、厂矿企业的矿工和疫情高发区域的特定人群等开展结核病筛</w:t>
      </w:r>
      <w:r>
        <w:rPr>
          <w:rFonts w:ascii="宋体" w:hAnsi="宋体" w:eastAsia="宋体" w:cs="宋体"/>
          <w:spacing w:val="16"/>
          <w:sz w:val="20"/>
          <w:szCs w:val="20"/>
        </w:rPr>
        <w:t xml:space="preserve"> </w:t>
      </w:r>
      <w:r>
        <w:rPr>
          <w:rFonts w:ascii="宋体" w:hAnsi="宋体" w:eastAsia="宋体" w:cs="宋体"/>
          <w:spacing w:val="7"/>
          <w:sz w:val="20"/>
          <w:szCs w:val="20"/>
        </w:rPr>
        <w:t>查。此外，开展健康体检的各级各类医疗卫生机构在健康体检过程中发现的肺结核或疑似肺结核</w:t>
      </w:r>
    </w:p>
    <w:p w14:paraId="10054C1B">
      <w:pPr>
        <w:spacing w:line="333" w:lineRule="auto"/>
        <w:rPr>
          <w:rFonts w:ascii="宋体" w:hAnsi="宋体" w:eastAsia="宋体" w:cs="宋体"/>
          <w:sz w:val="20"/>
          <w:szCs w:val="20"/>
        </w:rPr>
        <w:sectPr>
          <w:footerReference r:id="rId342" w:type="default"/>
          <w:pgSz w:w="11900" w:h="16820"/>
          <w:pgMar w:top="400" w:right="984" w:bottom="839" w:left="1589" w:header="0" w:footer="659" w:gutter="0"/>
          <w:cols w:space="720" w:num="1"/>
        </w:sectPr>
      </w:pPr>
    </w:p>
    <w:p w14:paraId="749110CE">
      <w:pPr>
        <w:spacing w:line="257" w:lineRule="auto"/>
        <w:rPr>
          <w:rFonts w:ascii="Arial"/>
          <w:sz w:val="21"/>
        </w:rPr>
      </w:pPr>
    </w:p>
    <w:p w14:paraId="7EF3AC96">
      <w:pPr>
        <w:pStyle w:val="2"/>
        <w:spacing w:before="68" w:line="222" w:lineRule="auto"/>
        <w:ind w:left="689"/>
        <w:rPr>
          <w:sz w:val="21"/>
          <w:szCs w:val="21"/>
        </w:rPr>
      </w:pPr>
      <w:r>
        <w:rPr>
          <w:spacing w:val="-24"/>
          <w:w w:val="99"/>
          <w:sz w:val="21"/>
          <w:szCs w:val="21"/>
        </w:rPr>
        <w:t>第二十章 结核病</w:t>
      </w:r>
    </w:p>
    <w:p w14:paraId="2D0DBD45">
      <w:pPr>
        <w:spacing w:line="258" w:lineRule="auto"/>
        <w:rPr>
          <w:rFonts w:ascii="Arial"/>
          <w:sz w:val="21"/>
        </w:rPr>
      </w:pPr>
    </w:p>
    <w:p w14:paraId="40AD8EF9">
      <w:pPr>
        <w:spacing w:line="258" w:lineRule="auto"/>
        <w:rPr>
          <w:rFonts w:ascii="Arial"/>
          <w:sz w:val="21"/>
        </w:rPr>
      </w:pPr>
    </w:p>
    <w:p w14:paraId="4A858861">
      <w:pPr>
        <w:spacing w:before="68" w:line="219" w:lineRule="auto"/>
        <w:ind w:left="689"/>
        <w:rPr>
          <w:rFonts w:ascii="宋体" w:hAnsi="宋体" w:eastAsia="宋体" w:cs="宋体"/>
          <w:sz w:val="21"/>
          <w:szCs w:val="21"/>
        </w:rPr>
      </w:pPr>
      <w:r>
        <w:rPr>
          <w:rFonts w:ascii="宋体" w:hAnsi="宋体" w:eastAsia="宋体" w:cs="宋体"/>
          <w:spacing w:val="-8"/>
          <w:sz w:val="21"/>
          <w:szCs w:val="21"/>
        </w:rPr>
        <w:t>患者，应及时转诊至结核病定点医疗机构进行诊治。</w:t>
      </w:r>
    </w:p>
    <w:p w14:paraId="6F7C15DB">
      <w:pPr>
        <w:spacing w:before="116" w:line="316" w:lineRule="auto"/>
        <w:ind w:left="689" w:right="85" w:firstLine="409"/>
        <w:jc w:val="both"/>
        <w:rPr>
          <w:rFonts w:ascii="宋体" w:hAnsi="宋体" w:eastAsia="宋体" w:cs="宋体"/>
          <w:sz w:val="21"/>
          <w:szCs w:val="21"/>
        </w:rPr>
      </w:pPr>
      <w:r>
        <w:rPr>
          <w:rFonts w:ascii="宋体" w:hAnsi="宋体" w:eastAsia="宋体" w:cs="宋体"/>
          <w:sz w:val="21"/>
          <w:szCs w:val="21"/>
        </w:rPr>
        <w:t>(2)患者发现的方法：通过问诊、体格检查、影像学检</w:t>
      </w:r>
      <w:r>
        <w:rPr>
          <w:rFonts w:ascii="宋体" w:hAnsi="宋体" w:eastAsia="宋体" w:cs="宋体"/>
          <w:spacing w:val="-1"/>
          <w:sz w:val="21"/>
          <w:szCs w:val="21"/>
        </w:rPr>
        <w:t>查和实验室检查等方法诊断结核病。对</w:t>
      </w:r>
      <w:r>
        <w:rPr>
          <w:rFonts w:ascii="宋体" w:hAnsi="宋体" w:eastAsia="宋体" w:cs="宋体"/>
          <w:sz w:val="21"/>
          <w:szCs w:val="21"/>
        </w:rPr>
        <w:t xml:space="preserve"> </w:t>
      </w:r>
      <w:r>
        <w:rPr>
          <w:rFonts w:ascii="宋体" w:hAnsi="宋体" w:eastAsia="宋体" w:cs="宋体"/>
          <w:spacing w:val="-12"/>
          <w:sz w:val="21"/>
          <w:szCs w:val="21"/>
        </w:rPr>
        <w:t>就诊患者，要详细询问其是否有咳嗽、咳痰、咯血、胸痛、发热、乏力、</w:t>
      </w:r>
      <w:r>
        <w:rPr>
          <w:rFonts w:ascii="宋体" w:hAnsi="宋体" w:eastAsia="宋体" w:cs="宋体"/>
          <w:spacing w:val="-13"/>
          <w:sz w:val="21"/>
          <w:szCs w:val="21"/>
        </w:rPr>
        <w:t>食欲减退和盗汗等症状，症状</w:t>
      </w:r>
      <w:r>
        <w:rPr>
          <w:rFonts w:ascii="宋体" w:hAnsi="宋体" w:eastAsia="宋体" w:cs="宋体"/>
          <w:sz w:val="21"/>
          <w:szCs w:val="21"/>
        </w:rPr>
        <w:t xml:space="preserve"> </w:t>
      </w:r>
      <w:r>
        <w:rPr>
          <w:rFonts w:ascii="宋体" w:hAnsi="宋体" w:eastAsia="宋体" w:cs="宋体"/>
          <w:spacing w:val="1"/>
          <w:sz w:val="21"/>
          <w:szCs w:val="21"/>
        </w:rPr>
        <w:t>出现和持续的时间，既往抗结核治疗史和诊疗经过，并进行相关的体格检查。对15岁及以上的所</w:t>
      </w:r>
      <w:r>
        <w:rPr>
          <w:rFonts w:ascii="宋体" w:hAnsi="宋体" w:eastAsia="宋体" w:cs="宋体"/>
          <w:spacing w:val="13"/>
          <w:sz w:val="21"/>
          <w:szCs w:val="21"/>
        </w:rPr>
        <w:t xml:space="preserve"> </w:t>
      </w:r>
      <w:r>
        <w:rPr>
          <w:rFonts w:ascii="宋体" w:hAnsi="宋体" w:eastAsia="宋体" w:cs="宋体"/>
          <w:sz w:val="21"/>
          <w:szCs w:val="21"/>
        </w:rPr>
        <w:t>有就诊患者进行胸部影像学检查</w:t>
      </w:r>
      <w:r>
        <w:rPr>
          <w:rFonts w:ascii="Times New Roman" w:hAnsi="Times New Roman" w:eastAsia="Times New Roman" w:cs="Times New Roman"/>
          <w:sz w:val="21"/>
          <w:szCs w:val="21"/>
        </w:rPr>
        <w:t xml:space="preserve">(X </w:t>
      </w:r>
      <w:r>
        <w:rPr>
          <w:rFonts w:ascii="宋体" w:hAnsi="宋体" w:eastAsia="宋体" w:cs="宋体"/>
          <w:sz w:val="21"/>
          <w:szCs w:val="21"/>
        </w:rPr>
        <w:t>线胸片)。对0～14岁儿童有肺结核可疑症状者，要先进行结核</w:t>
      </w:r>
      <w:r>
        <w:rPr>
          <w:rFonts w:ascii="宋体" w:hAnsi="宋体" w:eastAsia="宋体" w:cs="宋体"/>
          <w:spacing w:val="17"/>
          <w:sz w:val="21"/>
          <w:szCs w:val="21"/>
        </w:rPr>
        <w:t xml:space="preserve"> </w:t>
      </w:r>
      <w:r>
        <w:rPr>
          <w:rFonts w:ascii="宋体" w:hAnsi="宋体" w:eastAsia="宋体" w:cs="宋体"/>
          <w:sz w:val="21"/>
          <w:szCs w:val="21"/>
        </w:rPr>
        <w:t>菌素试验、γ干扰素释放试验及相关的结核病实验室检查，对于结</w:t>
      </w:r>
      <w:r>
        <w:rPr>
          <w:rFonts w:ascii="宋体" w:hAnsi="宋体" w:eastAsia="宋体" w:cs="宋体"/>
          <w:spacing w:val="-1"/>
          <w:sz w:val="21"/>
          <w:szCs w:val="21"/>
        </w:rPr>
        <w:t>核菌素试验强阳性和/或病原学</w:t>
      </w:r>
      <w:r>
        <w:rPr>
          <w:rFonts w:ascii="宋体" w:hAnsi="宋体" w:eastAsia="宋体" w:cs="宋体"/>
          <w:sz w:val="21"/>
          <w:szCs w:val="21"/>
        </w:rPr>
        <w:t xml:space="preserve"> </w:t>
      </w:r>
      <w:r>
        <w:rPr>
          <w:rFonts w:ascii="宋体" w:hAnsi="宋体" w:eastAsia="宋体" w:cs="宋体"/>
          <w:spacing w:val="-3"/>
          <w:sz w:val="21"/>
          <w:szCs w:val="21"/>
        </w:rPr>
        <w:t>阳性者，以及需要与其他肺部疾病进行鉴别诊断者，要拍</w:t>
      </w:r>
      <w:r>
        <w:rPr>
          <w:rFonts w:ascii="宋体" w:hAnsi="宋体" w:eastAsia="宋体" w:cs="宋体"/>
          <w:spacing w:val="-4"/>
          <w:sz w:val="21"/>
          <w:szCs w:val="21"/>
        </w:rPr>
        <w:t>摄X 线胸片。结核分枝杆菌的病原学检查</w:t>
      </w:r>
      <w:r>
        <w:rPr>
          <w:rFonts w:ascii="宋体" w:hAnsi="宋体" w:eastAsia="宋体" w:cs="宋体"/>
          <w:sz w:val="21"/>
          <w:szCs w:val="21"/>
        </w:rPr>
        <w:t xml:space="preserve"> </w:t>
      </w:r>
      <w:r>
        <w:rPr>
          <w:rFonts w:ascii="宋体" w:hAnsi="宋体" w:eastAsia="宋体" w:cs="宋体"/>
          <w:spacing w:val="2"/>
          <w:sz w:val="21"/>
          <w:szCs w:val="21"/>
        </w:rPr>
        <w:t>包括涂片、培养和分子生物学检测。收集有肺结核可疑症状者的3份痰标本(即时痰、夜间痰和晨</w:t>
      </w:r>
      <w:r>
        <w:rPr>
          <w:rFonts w:ascii="宋体" w:hAnsi="宋体" w:eastAsia="宋体" w:cs="宋体"/>
          <w:spacing w:val="15"/>
          <w:sz w:val="21"/>
          <w:szCs w:val="21"/>
        </w:rPr>
        <w:t xml:space="preserve"> </w:t>
      </w:r>
      <w:r>
        <w:rPr>
          <w:rFonts w:ascii="宋体" w:hAnsi="宋体" w:eastAsia="宋体" w:cs="宋体"/>
          <w:spacing w:val="-1"/>
          <w:sz w:val="21"/>
          <w:szCs w:val="21"/>
        </w:rPr>
        <w:t>痰)进行病原学检查，目前优先推荐使用分子生物学方法对结核病进行诊断。分子生物学检测要选</w:t>
      </w:r>
      <w:r>
        <w:rPr>
          <w:rFonts w:ascii="宋体" w:hAnsi="宋体" w:eastAsia="宋体" w:cs="宋体"/>
          <w:spacing w:val="15"/>
          <w:sz w:val="21"/>
          <w:szCs w:val="21"/>
        </w:rPr>
        <w:t xml:space="preserve"> </w:t>
      </w:r>
      <w:r>
        <w:rPr>
          <w:rFonts w:ascii="宋体" w:hAnsi="宋体" w:eastAsia="宋体" w:cs="宋体"/>
          <w:spacing w:val="3"/>
          <w:sz w:val="21"/>
          <w:szCs w:val="21"/>
        </w:rPr>
        <w:t>择3份痰标本中1份性状较好的痰标本进行检查。</w:t>
      </w:r>
    </w:p>
    <w:p w14:paraId="4FB0CE6E">
      <w:pPr>
        <w:pStyle w:val="2"/>
        <w:spacing w:before="70" w:line="325" w:lineRule="auto"/>
        <w:ind w:left="689" w:firstLine="409"/>
        <w:jc w:val="both"/>
        <w:rPr>
          <w:rFonts w:ascii="宋体" w:hAnsi="宋体" w:eastAsia="宋体" w:cs="宋体"/>
          <w:sz w:val="21"/>
          <w:szCs w:val="21"/>
        </w:rPr>
      </w:pPr>
      <w:r>
        <w:rPr>
          <w:rFonts w:ascii="宋体" w:hAnsi="宋体" w:eastAsia="宋体" w:cs="宋体"/>
          <w:spacing w:val="7"/>
          <w:sz w:val="21"/>
          <w:szCs w:val="21"/>
        </w:rPr>
        <w:t xml:space="preserve">2. </w:t>
      </w:r>
      <w:r>
        <w:rPr>
          <w:spacing w:val="7"/>
          <w:sz w:val="21"/>
          <w:szCs w:val="21"/>
        </w:rPr>
        <w:t xml:space="preserve">患者治疗  </w:t>
      </w:r>
      <w:r>
        <w:rPr>
          <w:rFonts w:ascii="宋体" w:hAnsi="宋体" w:eastAsia="宋体" w:cs="宋体"/>
          <w:spacing w:val="7"/>
          <w:sz w:val="21"/>
          <w:szCs w:val="21"/>
        </w:rPr>
        <w:t>有效的抗结核药物和规范的督导化疗能使90%的患者获得治愈。积极发现和</w:t>
      </w:r>
      <w:r>
        <w:rPr>
          <w:rFonts w:ascii="宋体" w:hAnsi="宋体" w:eastAsia="宋体" w:cs="宋体"/>
          <w:spacing w:val="2"/>
          <w:sz w:val="21"/>
          <w:szCs w:val="21"/>
        </w:rPr>
        <w:t xml:space="preserve">  </w:t>
      </w:r>
      <w:r>
        <w:rPr>
          <w:rFonts w:ascii="宋体" w:hAnsi="宋体" w:eastAsia="宋体" w:cs="宋体"/>
          <w:sz w:val="21"/>
          <w:szCs w:val="21"/>
        </w:rPr>
        <w:t>治愈传染性患者是目前阻断结核病传播、预防</w:t>
      </w:r>
      <w:r>
        <w:rPr>
          <w:rFonts w:ascii="宋体" w:hAnsi="宋体" w:eastAsia="宋体" w:cs="宋体"/>
          <w:spacing w:val="-1"/>
          <w:sz w:val="21"/>
          <w:szCs w:val="21"/>
        </w:rPr>
        <w:t>耐药结核病发生的最有效的方法。《传染病防治法》</w:t>
      </w:r>
      <w:r>
        <w:rPr>
          <w:rFonts w:ascii="宋体" w:hAnsi="宋体" w:eastAsia="宋体" w:cs="宋体"/>
          <w:sz w:val="21"/>
          <w:szCs w:val="21"/>
        </w:rPr>
        <w:t xml:space="preserve"> </w:t>
      </w:r>
      <w:r>
        <w:rPr>
          <w:rFonts w:ascii="宋体" w:hAnsi="宋体" w:eastAsia="宋体" w:cs="宋体"/>
          <w:spacing w:val="-3"/>
          <w:sz w:val="21"/>
          <w:szCs w:val="21"/>
        </w:rPr>
        <w:t>规定，县级以上地方人民政府疾病预防控制部门指定的医疗机构对肺结核患者进行治疗，对具</w:t>
      </w:r>
      <w:r>
        <w:rPr>
          <w:rFonts w:ascii="宋体" w:hAnsi="宋体" w:eastAsia="宋体" w:cs="宋体"/>
          <w:spacing w:val="-4"/>
          <w:sz w:val="21"/>
          <w:szCs w:val="21"/>
        </w:rPr>
        <w:t>有传</w:t>
      </w:r>
      <w:r>
        <w:rPr>
          <w:rFonts w:ascii="宋体" w:hAnsi="宋体" w:eastAsia="宋体" w:cs="宋体"/>
          <w:sz w:val="21"/>
          <w:szCs w:val="21"/>
        </w:rPr>
        <w:t xml:space="preserve">  </w:t>
      </w:r>
      <w:r>
        <w:rPr>
          <w:rFonts w:ascii="宋体" w:hAnsi="宋体" w:eastAsia="宋体" w:cs="宋体"/>
          <w:spacing w:val="-4"/>
          <w:sz w:val="21"/>
          <w:szCs w:val="21"/>
        </w:rPr>
        <w:t>染性的肺结核患者进行耐药检查和规范隔离治疗。</w:t>
      </w:r>
    </w:p>
    <w:p w14:paraId="786D52C3">
      <w:pPr>
        <w:spacing w:before="2" w:line="325" w:lineRule="auto"/>
        <w:ind w:left="689" w:right="13" w:firstLine="409"/>
        <w:jc w:val="both"/>
        <w:rPr>
          <w:rFonts w:ascii="宋体" w:hAnsi="宋体" w:eastAsia="宋体" w:cs="宋体"/>
          <w:sz w:val="21"/>
          <w:szCs w:val="21"/>
        </w:rPr>
      </w:pPr>
      <w:r>
        <w:rPr>
          <w:rFonts w:ascii="宋体" w:hAnsi="宋体" w:eastAsia="宋体" w:cs="宋体"/>
          <w:spacing w:val="5"/>
          <w:sz w:val="21"/>
          <w:szCs w:val="21"/>
        </w:rPr>
        <w:t>(1)结核病督导化疗的形成和发展：在化疗问</w:t>
      </w:r>
      <w:r>
        <w:rPr>
          <w:rFonts w:ascii="宋体" w:hAnsi="宋体" w:eastAsia="宋体" w:cs="宋体"/>
          <w:spacing w:val="4"/>
          <w:sz w:val="21"/>
          <w:szCs w:val="21"/>
        </w:rPr>
        <w:t>世前，60%以上的传染性结核患者在5年内死亡</w:t>
      </w:r>
      <w:r>
        <w:rPr>
          <w:rFonts w:ascii="宋体" w:hAnsi="宋体" w:eastAsia="宋体" w:cs="宋体"/>
          <w:sz w:val="21"/>
          <w:szCs w:val="21"/>
        </w:rPr>
        <w:t xml:space="preserve">  </w:t>
      </w:r>
      <w:r>
        <w:rPr>
          <w:rFonts w:ascii="宋体" w:hAnsi="宋体" w:eastAsia="宋体" w:cs="宋体"/>
          <w:spacing w:val="6"/>
          <w:sz w:val="21"/>
          <w:szCs w:val="21"/>
        </w:rPr>
        <w:t>(1年内死亡占其中的40%),约20%的患者自愈，另外约20%的患者成为慢性传</w:t>
      </w:r>
      <w:r>
        <w:rPr>
          <w:rFonts w:ascii="宋体" w:hAnsi="宋体" w:eastAsia="宋体" w:cs="宋体"/>
          <w:spacing w:val="5"/>
          <w:sz w:val="21"/>
          <w:szCs w:val="21"/>
        </w:rPr>
        <w:t>染源。化疗问世后，</w:t>
      </w:r>
      <w:r>
        <w:rPr>
          <w:rFonts w:ascii="宋体" w:hAnsi="宋体" w:eastAsia="宋体" w:cs="宋体"/>
          <w:sz w:val="21"/>
          <w:szCs w:val="21"/>
        </w:rPr>
        <w:t xml:space="preserve"> </w:t>
      </w:r>
      <w:r>
        <w:rPr>
          <w:rFonts w:ascii="宋体" w:hAnsi="宋体" w:eastAsia="宋体" w:cs="宋体"/>
          <w:spacing w:val="8"/>
          <w:sz w:val="21"/>
          <w:szCs w:val="21"/>
        </w:rPr>
        <w:t>在没有督导的情况下，实际治疗成功率只有40%～65%,病死率下降到约10%,另外约30%～40%的</w:t>
      </w:r>
      <w:r>
        <w:rPr>
          <w:rFonts w:ascii="宋体" w:hAnsi="宋体" w:eastAsia="宋体" w:cs="宋体"/>
          <w:spacing w:val="4"/>
          <w:sz w:val="21"/>
          <w:szCs w:val="21"/>
        </w:rPr>
        <w:t xml:space="preserve">  </w:t>
      </w:r>
      <w:r>
        <w:rPr>
          <w:rFonts w:ascii="宋体" w:hAnsi="宋体" w:eastAsia="宋体" w:cs="宋体"/>
          <w:spacing w:val="-3"/>
          <w:sz w:val="21"/>
          <w:szCs w:val="21"/>
        </w:rPr>
        <w:t>患者成为慢性传染源。这意味着比自然转归情况下，有更多的慢性传染源存在。而有督导</w:t>
      </w:r>
      <w:r>
        <w:rPr>
          <w:rFonts w:ascii="宋体" w:hAnsi="宋体" w:eastAsia="宋体" w:cs="宋体"/>
          <w:spacing w:val="-4"/>
          <w:sz w:val="21"/>
          <w:szCs w:val="21"/>
        </w:rPr>
        <w:t>的化疗可</w:t>
      </w:r>
      <w:r>
        <w:rPr>
          <w:rFonts w:ascii="宋体" w:hAnsi="宋体" w:eastAsia="宋体" w:cs="宋体"/>
          <w:sz w:val="21"/>
          <w:szCs w:val="21"/>
        </w:rPr>
        <w:t xml:space="preserve">  </w:t>
      </w:r>
      <w:r>
        <w:rPr>
          <w:rFonts w:ascii="宋体" w:hAnsi="宋体" w:eastAsia="宋体" w:cs="宋体"/>
          <w:spacing w:val="3"/>
          <w:sz w:val="21"/>
          <w:szCs w:val="21"/>
        </w:rPr>
        <w:t>治愈85%以上的传染源，只剩下约低于5%的</w:t>
      </w:r>
      <w:r>
        <w:rPr>
          <w:rFonts w:ascii="宋体" w:hAnsi="宋体" w:eastAsia="宋体" w:cs="宋体"/>
          <w:spacing w:val="2"/>
          <w:sz w:val="21"/>
          <w:szCs w:val="21"/>
        </w:rPr>
        <w:t>患者成为慢性传染源，因而可加速结核病疫情下降。</w:t>
      </w:r>
    </w:p>
    <w:p w14:paraId="608A62B0">
      <w:pPr>
        <w:spacing w:line="328" w:lineRule="auto"/>
        <w:ind w:left="689" w:right="32" w:firstLine="409"/>
        <w:jc w:val="both"/>
        <w:rPr>
          <w:rFonts w:ascii="宋体" w:hAnsi="宋体" w:eastAsia="宋体" w:cs="宋体"/>
          <w:sz w:val="21"/>
          <w:szCs w:val="21"/>
        </w:rPr>
      </w:pPr>
      <w:r>
        <w:rPr>
          <w:rFonts w:ascii="宋体" w:hAnsi="宋体" w:eastAsia="宋体" w:cs="宋体"/>
          <w:spacing w:val="2"/>
          <w:sz w:val="21"/>
          <w:szCs w:val="21"/>
        </w:rPr>
        <w:t>为了保证患者不间断地服用抗结核药物，英国从1970年研究短程疗法。许多研究证实：只有</w:t>
      </w:r>
      <w:r>
        <w:rPr>
          <w:rFonts w:ascii="宋体" w:hAnsi="宋体" w:eastAsia="宋体" w:cs="宋体"/>
          <w:spacing w:val="5"/>
          <w:sz w:val="21"/>
          <w:szCs w:val="21"/>
        </w:rPr>
        <w:t xml:space="preserve"> </w:t>
      </w:r>
      <w:r>
        <w:rPr>
          <w:rFonts w:ascii="宋体" w:hAnsi="宋体" w:eastAsia="宋体" w:cs="宋体"/>
          <w:spacing w:val="-1"/>
          <w:sz w:val="21"/>
          <w:szCs w:val="21"/>
        </w:rPr>
        <w:t>在较短时期(6～9个月)内，医师督促患者服下每剂抗结核药物，才能达到</w:t>
      </w:r>
      <w:r>
        <w:rPr>
          <w:rFonts w:ascii="宋体" w:hAnsi="宋体" w:eastAsia="宋体" w:cs="宋体"/>
          <w:spacing w:val="-2"/>
          <w:sz w:val="21"/>
          <w:szCs w:val="21"/>
        </w:rPr>
        <w:t>满意的治疗效果。因此，</w:t>
      </w:r>
      <w:r>
        <w:rPr>
          <w:rFonts w:ascii="宋体" w:hAnsi="宋体" w:eastAsia="宋体" w:cs="宋体"/>
          <w:sz w:val="21"/>
          <w:szCs w:val="21"/>
        </w:rPr>
        <w:t xml:space="preserve"> </w:t>
      </w:r>
      <w:r>
        <w:rPr>
          <w:rFonts w:ascii="宋体" w:hAnsi="宋体" w:eastAsia="宋体" w:cs="宋体"/>
          <w:spacing w:val="-2"/>
          <w:sz w:val="21"/>
          <w:szCs w:val="21"/>
        </w:rPr>
        <w:t>不住院患者的化疗应当在医务人员督导下进行，短程方案</w:t>
      </w:r>
      <w:r>
        <w:rPr>
          <w:rFonts w:ascii="宋体" w:hAnsi="宋体" w:eastAsia="宋体" w:cs="宋体"/>
          <w:spacing w:val="-3"/>
          <w:sz w:val="21"/>
          <w:szCs w:val="21"/>
        </w:rPr>
        <w:t>能够在很大程度上保证督导的顺利完成。</w:t>
      </w:r>
    </w:p>
    <w:p w14:paraId="16E2832C">
      <w:pPr>
        <w:spacing w:before="1" w:line="318" w:lineRule="auto"/>
        <w:ind w:left="689" w:right="88" w:firstLine="409"/>
        <w:jc w:val="both"/>
        <w:rPr>
          <w:rFonts w:ascii="宋体" w:hAnsi="宋体" w:eastAsia="宋体" w:cs="宋体"/>
          <w:sz w:val="21"/>
          <w:szCs w:val="21"/>
        </w:rPr>
      </w:pPr>
      <w:r>
        <w:rPr>
          <w:rFonts w:ascii="宋体" w:hAnsi="宋体" w:eastAsia="宋体" w:cs="宋体"/>
          <w:sz w:val="21"/>
          <w:szCs w:val="21"/>
        </w:rPr>
        <w:t>(2)短程督导化疗的实施方法：实施短程督导化疗，要求患者在服用每剂药物时，必须在医务</w:t>
      </w:r>
      <w:r>
        <w:rPr>
          <w:rFonts w:ascii="宋体" w:hAnsi="宋体" w:eastAsia="宋体" w:cs="宋体"/>
          <w:spacing w:val="3"/>
          <w:sz w:val="21"/>
          <w:szCs w:val="21"/>
        </w:rPr>
        <w:t xml:space="preserve"> </w:t>
      </w:r>
      <w:r>
        <w:rPr>
          <w:rFonts w:ascii="宋体" w:hAnsi="宋体" w:eastAsia="宋体" w:cs="宋体"/>
          <w:spacing w:val="-5"/>
          <w:sz w:val="21"/>
          <w:szCs w:val="21"/>
        </w:rPr>
        <w:t>人员的直接面视下进行(送药到手，看药入口),因而必须简化治疗方法</w:t>
      </w:r>
      <w:r>
        <w:rPr>
          <w:rFonts w:ascii="宋体" w:hAnsi="宋体" w:eastAsia="宋体" w:cs="宋体"/>
          <w:spacing w:val="-6"/>
          <w:sz w:val="21"/>
          <w:szCs w:val="21"/>
        </w:rPr>
        <w:t>，缩短治疗期限，减少服药次</w:t>
      </w:r>
      <w:r>
        <w:rPr>
          <w:rFonts w:ascii="宋体" w:hAnsi="宋体" w:eastAsia="宋体" w:cs="宋体"/>
          <w:sz w:val="21"/>
          <w:szCs w:val="21"/>
        </w:rPr>
        <w:t xml:space="preserve"> </w:t>
      </w:r>
      <w:r>
        <w:rPr>
          <w:rFonts w:ascii="宋体" w:hAnsi="宋体" w:eastAsia="宋体" w:cs="宋体"/>
          <w:spacing w:val="1"/>
          <w:sz w:val="21"/>
          <w:szCs w:val="21"/>
        </w:rPr>
        <w:t>数。目前的治疗有每日或隔日服药1次的全程间歇化疗方法。</w:t>
      </w:r>
    </w:p>
    <w:p w14:paraId="0A30418D">
      <w:pPr>
        <w:spacing w:before="33" w:line="316" w:lineRule="auto"/>
        <w:ind w:left="689" w:right="109" w:firstLine="409"/>
        <w:jc w:val="both"/>
        <w:rPr>
          <w:rFonts w:ascii="宋体" w:hAnsi="宋体" w:eastAsia="宋体" w:cs="宋体"/>
          <w:sz w:val="21"/>
          <w:szCs w:val="21"/>
        </w:rPr>
      </w:pPr>
      <w:r>
        <w:rPr>
          <w:rFonts w:ascii="宋体" w:hAnsi="宋体" w:eastAsia="宋体" w:cs="宋体"/>
          <w:spacing w:val="7"/>
          <w:sz w:val="21"/>
          <w:szCs w:val="21"/>
        </w:rPr>
        <w:t>对涂阳新发结核病病例的治疗方案由持续2个月的强化期和持续4个月的继续期组成。强化</w:t>
      </w:r>
      <w:r>
        <w:rPr>
          <w:rFonts w:ascii="宋体" w:hAnsi="宋体" w:eastAsia="宋体" w:cs="宋体"/>
          <w:spacing w:val="18"/>
          <w:sz w:val="21"/>
          <w:szCs w:val="21"/>
        </w:rPr>
        <w:t xml:space="preserve"> </w:t>
      </w:r>
      <w:r>
        <w:rPr>
          <w:rFonts w:ascii="宋体" w:hAnsi="宋体" w:eastAsia="宋体" w:cs="宋体"/>
          <w:spacing w:val="1"/>
          <w:sz w:val="21"/>
          <w:szCs w:val="21"/>
        </w:rPr>
        <w:t>期治疗药物通常包含可以迅速杀灭结核分枝杆菌的异烟肼</w:t>
      </w:r>
      <w:r>
        <w:rPr>
          <w:rFonts w:ascii="Times New Roman" w:hAnsi="Times New Roman" w:eastAsia="Times New Roman" w:cs="Times New Roman"/>
          <w:spacing w:val="1"/>
          <w:sz w:val="21"/>
          <w:szCs w:val="21"/>
        </w:rPr>
        <w:t>(H)</w:t>
      </w:r>
      <w:r>
        <w:rPr>
          <w:rFonts w:ascii="Times New Roman" w:hAnsi="Times New Roman" w:eastAsia="Times New Roman" w:cs="Times New Roman"/>
          <w:spacing w:val="-29"/>
          <w:sz w:val="21"/>
          <w:szCs w:val="21"/>
        </w:rPr>
        <w:t xml:space="preserve"> </w:t>
      </w:r>
      <w:r>
        <w:rPr>
          <w:rFonts w:ascii="宋体" w:hAnsi="宋体" w:eastAsia="宋体" w:cs="宋体"/>
          <w:spacing w:val="1"/>
          <w:sz w:val="21"/>
          <w:szCs w:val="21"/>
        </w:rPr>
        <w:t>、利福平</w:t>
      </w:r>
      <w:r>
        <w:rPr>
          <w:rFonts w:ascii="Times New Roman" w:hAnsi="Times New Roman" w:eastAsia="Times New Roman" w:cs="Times New Roman"/>
          <w:sz w:val="21"/>
          <w:szCs w:val="21"/>
        </w:rPr>
        <w:t>(R)</w:t>
      </w:r>
      <w:r>
        <w:rPr>
          <w:rFonts w:ascii="宋体" w:hAnsi="宋体" w:eastAsia="宋体" w:cs="宋体"/>
          <w:sz w:val="21"/>
          <w:szCs w:val="21"/>
        </w:rPr>
        <w:t>、乙胺丁醇</w:t>
      </w:r>
      <w:r>
        <w:rPr>
          <w:rFonts w:ascii="Times New Roman" w:hAnsi="Times New Roman" w:eastAsia="Times New Roman" w:cs="Times New Roman"/>
          <w:sz w:val="21"/>
          <w:szCs w:val="21"/>
        </w:rPr>
        <w:t>(E)</w:t>
      </w:r>
      <w:r>
        <w:rPr>
          <w:rFonts w:ascii="Times New Roman" w:hAnsi="Times New Roman" w:eastAsia="Times New Roman" w:cs="Times New Roman"/>
          <w:spacing w:val="-30"/>
          <w:sz w:val="21"/>
          <w:szCs w:val="21"/>
        </w:rPr>
        <w:t xml:space="preserve"> </w:t>
      </w:r>
      <w:r>
        <w:rPr>
          <w:rFonts w:ascii="宋体" w:hAnsi="宋体" w:eastAsia="宋体" w:cs="宋体"/>
          <w:sz w:val="21"/>
          <w:szCs w:val="21"/>
        </w:rPr>
        <w:t xml:space="preserve">、吡嗪酰 </w:t>
      </w:r>
      <w:r>
        <w:rPr>
          <w:rFonts w:ascii="宋体" w:hAnsi="宋体" w:eastAsia="宋体" w:cs="宋体"/>
          <w:spacing w:val="2"/>
          <w:sz w:val="21"/>
          <w:szCs w:val="21"/>
        </w:rPr>
        <w:t>胺(Z) 和链霉素(S)。大多数涂阳肺结核患者在2个月内痰菌可以</w:t>
      </w:r>
      <w:r>
        <w:rPr>
          <w:rFonts w:ascii="宋体" w:hAnsi="宋体" w:eastAsia="宋体" w:cs="宋体"/>
          <w:spacing w:val="1"/>
          <w:sz w:val="21"/>
          <w:szCs w:val="21"/>
        </w:rPr>
        <w:t>转阴。继续期药物可以清除残余</w:t>
      </w:r>
      <w:r>
        <w:rPr>
          <w:rFonts w:ascii="宋体" w:hAnsi="宋体" w:eastAsia="宋体" w:cs="宋体"/>
          <w:sz w:val="21"/>
          <w:szCs w:val="21"/>
        </w:rPr>
        <w:t xml:space="preserve"> </w:t>
      </w:r>
      <w:r>
        <w:rPr>
          <w:rFonts w:ascii="宋体" w:hAnsi="宋体" w:eastAsia="宋体" w:cs="宋体"/>
          <w:spacing w:val="-7"/>
          <w:sz w:val="21"/>
          <w:szCs w:val="21"/>
        </w:rPr>
        <w:t>的结核分枝杆菌，并防止恶化与复发。</w:t>
      </w:r>
    </w:p>
    <w:p w14:paraId="65CCEDC7">
      <w:pPr>
        <w:spacing w:before="14" w:line="326" w:lineRule="auto"/>
        <w:ind w:left="689" w:right="108" w:firstLine="409"/>
        <w:jc w:val="both"/>
        <w:rPr>
          <w:rFonts w:ascii="宋体" w:hAnsi="宋体" w:eastAsia="宋体" w:cs="宋体"/>
          <w:sz w:val="21"/>
          <w:szCs w:val="21"/>
        </w:rPr>
      </w:pPr>
      <w:r>
        <w:rPr>
          <w:rFonts w:ascii="宋体" w:hAnsi="宋体" w:eastAsia="宋体" w:cs="宋体"/>
          <w:spacing w:val="-3"/>
          <w:sz w:val="21"/>
          <w:szCs w:val="21"/>
        </w:rPr>
        <w:t>近年来，新型抗结核病药物与新的药物组合治疗方案不断推陈出新，改善了耐多药及广泛耐药</w:t>
      </w:r>
      <w:r>
        <w:rPr>
          <w:rFonts w:ascii="宋体" w:hAnsi="宋体" w:eastAsia="宋体" w:cs="宋体"/>
          <w:spacing w:val="1"/>
          <w:sz w:val="21"/>
          <w:szCs w:val="21"/>
        </w:rPr>
        <w:t xml:space="preserve"> </w:t>
      </w:r>
      <w:r>
        <w:rPr>
          <w:rFonts w:ascii="宋体" w:hAnsi="宋体" w:eastAsia="宋体" w:cs="宋体"/>
          <w:spacing w:val="-3"/>
          <w:sz w:val="21"/>
          <w:szCs w:val="21"/>
        </w:rPr>
        <w:t>结核病的治疗效果并缩短了疗程。同时，新药物的上市为耐药结核病的治疗提供了新的选择，</w:t>
      </w:r>
      <w:r>
        <w:rPr>
          <w:rFonts w:ascii="宋体" w:hAnsi="宋体" w:eastAsia="宋体" w:cs="宋体"/>
          <w:spacing w:val="-4"/>
          <w:sz w:val="21"/>
          <w:szCs w:val="21"/>
        </w:rPr>
        <w:t>目前</w:t>
      </w:r>
      <w:r>
        <w:rPr>
          <w:rFonts w:ascii="宋体" w:hAnsi="宋体" w:eastAsia="宋体" w:cs="宋体"/>
          <w:sz w:val="21"/>
          <w:szCs w:val="21"/>
        </w:rPr>
        <w:t xml:space="preserve"> </w:t>
      </w:r>
      <w:r>
        <w:rPr>
          <w:rFonts w:ascii="宋体" w:hAnsi="宋体" w:eastAsia="宋体" w:cs="宋体"/>
          <w:spacing w:val="2"/>
          <w:sz w:val="21"/>
          <w:szCs w:val="21"/>
        </w:rPr>
        <w:t>列人</w:t>
      </w:r>
      <w:r>
        <w:rPr>
          <w:rFonts w:ascii="Times New Roman" w:hAnsi="Times New Roman" w:eastAsia="Times New Roman" w:cs="Times New Roman"/>
          <w:sz w:val="21"/>
          <w:szCs w:val="21"/>
        </w:rPr>
        <w:t>WHO</w:t>
      </w:r>
      <w:r>
        <w:rPr>
          <w:rFonts w:ascii="宋体" w:hAnsi="宋体" w:eastAsia="宋体" w:cs="宋体"/>
          <w:spacing w:val="2"/>
          <w:sz w:val="21"/>
          <w:szCs w:val="21"/>
        </w:rPr>
        <w:t>推荐的新药包括贝达喹啉、利奈唑胺等。目前我国的</w:t>
      </w:r>
      <w:r>
        <w:rPr>
          <w:rFonts w:ascii="Times New Roman" w:hAnsi="Times New Roman" w:eastAsia="Times New Roman" w:cs="Times New Roman"/>
          <w:sz w:val="21"/>
          <w:szCs w:val="21"/>
        </w:rPr>
        <w:t>DOTS</w:t>
      </w:r>
      <w:r>
        <w:rPr>
          <w:rFonts w:ascii="宋体" w:hAnsi="宋体" w:eastAsia="宋体" w:cs="宋体"/>
          <w:spacing w:val="2"/>
          <w:sz w:val="21"/>
          <w:szCs w:val="21"/>
        </w:rPr>
        <w:t>策略对肺结核患者制订了统</w:t>
      </w:r>
      <w:r>
        <w:rPr>
          <w:rFonts w:ascii="宋体" w:hAnsi="宋体" w:eastAsia="宋体" w:cs="宋体"/>
          <w:spacing w:val="4"/>
          <w:sz w:val="21"/>
          <w:szCs w:val="21"/>
        </w:rPr>
        <w:t xml:space="preserve"> </w:t>
      </w:r>
      <w:r>
        <w:rPr>
          <w:rFonts w:ascii="宋体" w:hAnsi="宋体" w:eastAsia="宋体" w:cs="宋体"/>
          <w:spacing w:val="-6"/>
          <w:sz w:val="21"/>
          <w:szCs w:val="21"/>
        </w:rPr>
        <w:t>一的标准化疗方案，详见相关专业书籍。</w:t>
      </w:r>
    </w:p>
    <w:p w14:paraId="1C4546C0">
      <w:pPr>
        <w:spacing w:before="7" w:line="317" w:lineRule="auto"/>
        <w:ind w:left="689" w:right="104" w:firstLine="409"/>
        <w:jc w:val="both"/>
        <w:rPr>
          <w:rFonts w:ascii="宋体" w:hAnsi="宋体" w:eastAsia="宋体" w:cs="宋体"/>
          <w:sz w:val="21"/>
          <w:szCs w:val="21"/>
        </w:rPr>
      </w:pPr>
      <w:r>
        <w:rPr>
          <w:rFonts w:ascii="宋体" w:hAnsi="宋体" w:eastAsia="宋体" w:cs="宋体"/>
          <w:spacing w:val="2"/>
          <w:sz w:val="21"/>
          <w:szCs w:val="21"/>
        </w:rPr>
        <w:t>(3)药物预防性治疗：预防性治疗是感染后发病前的治疗，90%以上的新发肺结核患者来自潜</w:t>
      </w:r>
      <w:r>
        <w:rPr>
          <w:rFonts w:ascii="宋体" w:hAnsi="宋体" w:eastAsia="宋体" w:cs="宋体"/>
          <w:spacing w:val="3"/>
          <w:sz w:val="21"/>
          <w:szCs w:val="21"/>
        </w:rPr>
        <w:t xml:space="preserve"> </w:t>
      </w:r>
      <w:r>
        <w:rPr>
          <w:rFonts w:ascii="宋体" w:hAnsi="宋体" w:eastAsia="宋体" w:cs="宋体"/>
          <w:spacing w:val="-3"/>
          <w:sz w:val="21"/>
          <w:szCs w:val="21"/>
        </w:rPr>
        <w:t>伏感染者，预防性治疗可以预防感染的内源性复燃和既往结核病的复发，防止感染发展到临床疾病</w:t>
      </w:r>
      <w:r>
        <w:rPr>
          <w:rFonts w:ascii="宋体" w:hAnsi="宋体" w:eastAsia="宋体" w:cs="宋体"/>
          <w:spacing w:val="2"/>
          <w:sz w:val="21"/>
          <w:szCs w:val="21"/>
        </w:rPr>
        <w:t xml:space="preserve"> </w:t>
      </w:r>
      <w:r>
        <w:rPr>
          <w:rFonts w:ascii="宋体" w:hAnsi="宋体" w:eastAsia="宋体" w:cs="宋体"/>
          <w:spacing w:val="-3"/>
          <w:sz w:val="21"/>
          <w:szCs w:val="21"/>
        </w:rPr>
        <w:t>或出现严重并发症。要在全世界范围内控制和消灭结核病，必须有效控制潜伏感染。因此</w:t>
      </w:r>
      <w:r>
        <w:rPr>
          <w:rFonts w:ascii="宋体" w:hAnsi="宋体" w:eastAsia="宋体" w:cs="宋体"/>
          <w:spacing w:val="-4"/>
          <w:sz w:val="21"/>
          <w:szCs w:val="21"/>
        </w:rPr>
        <w:t>，如何控</w:t>
      </w:r>
      <w:r>
        <w:rPr>
          <w:rFonts w:ascii="宋体" w:hAnsi="宋体" w:eastAsia="宋体" w:cs="宋体"/>
          <w:sz w:val="21"/>
          <w:szCs w:val="21"/>
        </w:rPr>
        <w:t xml:space="preserve"> </w:t>
      </w:r>
      <w:r>
        <w:rPr>
          <w:rFonts w:ascii="宋体" w:hAnsi="宋体" w:eastAsia="宋体" w:cs="宋体"/>
          <w:spacing w:val="-5"/>
          <w:sz w:val="21"/>
          <w:szCs w:val="21"/>
        </w:rPr>
        <w:t>制人群结核病潜伏感染、预防结核病发病，已成为结核病控制领域的重要议题之一。</w:t>
      </w:r>
    </w:p>
    <w:p w14:paraId="75D253DB">
      <w:pPr>
        <w:spacing w:before="17" w:line="318" w:lineRule="auto"/>
        <w:ind w:left="689" w:right="106" w:firstLine="409"/>
        <w:rPr>
          <w:rFonts w:ascii="宋体" w:hAnsi="宋体" w:eastAsia="宋体" w:cs="宋体"/>
          <w:sz w:val="21"/>
          <w:szCs w:val="21"/>
        </w:rPr>
      </w:pPr>
      <w:r>
        <w:rPr>
          <w:rFonts w:ascii="宋体" w:hAnsi="宋体" w:eastAsia="宋体" w:cs="宋体"/>
          <w:spacing w:val="5"/>
          <w:sz w:val="21"/>
          <w:szCs w:val="21"/>
        </w:rPr>
        <w:t>预防性治疗主要针对结核病发病风险高的新近感染者。目前</w:t>
      </w:r>
      <w:r>
        <w:rPr>
          <w:rFonts w:ascii="Times New Roman" w:hAnsi="Times New Roman" w:eastAsia="Times New Roman" w:cs="Times New Roman"/>
          <w:sz w:val="21"/>
          <w:szCs w:val="21"/>
        </w:rPr>
        <w:t>WHO</w:t>
      </w:r>
      <w:r>
        <w:rPr>
          <w:rFonts w:ascii="Times New Roman" w:hAnsi="Times New Roman" w:eastAsia="Times New Roman" w:cs="Times New Roman"/>
          <w:spacing w:val="-11"/>
          <w:sz w:val="21"/>
          <w:szCs w:val="21"/>
        </w:rPr>
        <w:t xml:space="preserve"> </w:t>
      </w:r>
      <w:r>
        <w:rPr>
          <w:rFonts w:ascii="宋体" w:hAnsi="宋体" w:eastAsia="宋体" w:cs="宋体"/>
          <w:spacing w:val="5"/>
          <w:sz w:val="21"/>
          <w:szCs w:val="21"/>
        </w:rPr>
        <w:t>推荐的</w:t>
      </w:r>
      <w:r>
        <w:rPr>
          <w:rFonts w:ascii="宋体" w:hAnsi="宋体" w:eastAsia="宋体" w:cs="宋体"/>
          <w:spacing w:val="4"/>
          <w:sz w:val="21"/>
          <w:szCs w:val="21"/>
        </w:rPr>
        <w:t>预防性治疗方案主</w:t>
      </w:r>
      <w:r>
        <w:rPr>
          <w:rFonts w:ascii="宋体" w:hAnsi="宋体" w:eastAsia="宋体" w:cs="宋体"/>
          <w:sz w:val="21"/>
          <w:szCs w:val="21"/>
        </w:rPr>
        <w:t xml:space="preserve"> </w:t>
      </w:r>
      <w:r>
        <w:rPr>
          <w:rFonts w:ascii="宋体" w:hAnsi="宋体" w:eastAsia="宋体" w:cs="宋体"/>
          <w:spacing w:val="1"/>
          <w:sz w:val="21"/>
          <w:szCs w:val="21"/>
        </w:rPr>
        <w:t>要采用异烟肼治疗或与其他药物联用，方案视对象年龄和有无</w:t>
      </w:r>
      <w:r>
        <w:rPr>
          <w:rFonts w:ascii="Times New Roman" w:hAnsi="Times New Roman" w:eastAsia="Times New Roman" w:cs="Times New Roman"/>
          <w:sz w:val="21"/>
          <w:szCs w:val="21"/>
        </w:rPr>
        <w:t>HIV</w:t>
      </w:r>
      <w:r>
        <w:rPr>
          <w:rFonts w:ascii="Times New Roman" w:hAnsi="Times New Roman" w:eastAsia="Times New Roman" w:cs="Times New Roman"/>
          <w:spacing w:val="1"/>
          <w:sz w:val="21"/>
          <w:szCs w:val="21"/>
        </w:rPr>
        <w:t xml:space="preserve"> </w:t>
      </w:r>
      <w:r>
        <w:rPr>
          <w:rFonts w:ascii="宋体" w:hAnsi="宋体" w:eastAsia="宋体" w:cs="宋体"/>
          <w:spacing w:val="1"/>
          <w:sz w:val="21"/>
          <w:szCs w:val="21"/>
        </w:rPr>
        <w:t>感</w:t>
      </w:r>
      <w:r>
        <w:rPr>
          <w:rFonts w:ascii="宋体" w:hAnsi="宋体" w:eastAsia="宋体" w:cs="宋体"/>
          <w:sz w:val="21"/>
          <w:szCs w:val="21"/>
        </w:rPr>
        <w:t>染等而定。对</w:t>
      </w:r>
      <w:r>
        <w:rPr>
          <w:rFonts w:ascii="Times New Roman" w:hAnsi="Times New Roman" w:eastAsia="Times New Roman" w:cs="Times New Roman"/>
          <w:sz w:val="21"/>
          <w:szCs w:val="21"/>
        </w:rPr>
        <w:t>HIV</w:t>
      </w:r>
      <w:r>
        <w:rPr>
          <w:rFonts w:ascii="Times New Roman" w:hAnsi="Times New Roman" w:eastAsia="Times New Roman" w:cs="Times New Roman"/>
          <w:spacing w:val="38"/>
          <w:sz w:val="21"/>
          <w:szCs w:val="21"/>
        </w:rPr>
        <w:t xml:space="preserve"> </w:t>
      </w:r>
      <w:r>
        <w:rPr>
          <w:rFonts w:ascii="宋体" w:hAnsi="宋体" w:eastAsia="宋体" w:cs="宋体"/>
          <w:sz w:val="21"/>
          <w:szCs w:val="21"/>
        </w:rPr>
        <w:t>阳性的成</w:t>
      </w:r>
    </w:p>
    <w:p w14:paraId="78069737">
      <w:pPr>
        <w:spacing w:line="318" w:lineRule="auto"/>
        <w:rPr>
          <w:rFonts w:ascii="宋体" w:hAnsi="宋体" w:eastAsia="宋体" w:cs="宋体"/>
          <w:sz w:val="21"/>
          <w:szCs w:val="21"/>
        </w:rPr>
        <w:sectPr>
          <w:footerReference r:id="rId343" w:type="default"/>
          <w:pgSz w:w="11900" w:h="16820"/>
          <w:pgMar w:top="400" w:right="1421" w:bottom="796" w:left="780" w:header="0" w:footer="607" w:gutter="0"/>
          <w:cols w:space="720" w:num="1"/>
        </w:sectPr>
      </w:pPr>
    </w:p>
    <w:p w14:paraId="7213F867">
      <w:pPr>
        <w:pStyle w:val="2"/>
        <w:spacing w:before="167" w:line="222" w:lineRule="auto"/>
        <w:ind w:left="7509"/>
        <w:rPr>
          <w:sz w:val="21"/>
          <w:szCs w:val="21"/>
        </w:rPr>
      </w:pPr>
      <w:bookmarkStart w:id="528" w:name="bookmark588"/>
      <w:bookmarkEnd w:id="528"/>
      <w:r>
        <w:rPr>
          <w:spacing w:val="-16"/>
          <w:sz w:val="21"/>
          <w:szCs w:val="21"/>
        </w:rPr>
        <w:t>第二十章结核病</w:t>
      </w:r>
    </w:p>
    <w:p w14:paraId="062095E8">
      <w:pPr>
        <w:spacing w:line="273" w:lineRule="auto"/>
        <w:rPr>
          <w:rFonts w:ascii="Arial"/>
          <w:sz w:val="21"/>
        </w:rPr>
      </w:pPr>
    </w:p>
    <w:p w14:paraId="6A02228D">
      <w:pPr>
        <w:spacing w:line="274" w:lineRule="auto"/>
        <w:rPr>
          <w:rFonts w:ascii="Arial"/>
          <w:sz w:val="21"/>
        </w:rPr>
      </w:pPr>
    </w:p>
    <w:p w14:paraId="7D04BD48">
      <w:pPr>
        <w:spacing w:before="68" w:line="327" w:lineRule="auto"/>
        <w:ind w:right="565"/>
        <w:jc w:val="both"/>
        <w:rPr>
          <w:rFonts w:ascii="宋体" w:hAnsi="宋体" w:eastAsia="宋体" w:cs="宋体"/>
          <w:sz w:val="21"/>
          <w:szCs w:val="21"/>
        </w:rPr>
      </w:pPr>
      <w:r>
        <w:rPr>
          <w:rFonts w:ascii="宋体" w:hAnsi="宋体" w:eastAsia="宋体" w:cs="宋体"/>
          <w:spacing w:val="-9"/>
          <w:sz w:val="21"/>
          <w:szCs w:val="21"/>
        </w:rPr>
        <w:t>人和青少年，</w:t>
      </w:r>
      <w:r>
        <w:rPr>
          <w:rFonts w:ascii="Times New Roman" w:hAnsi="Times New Roman" w:eastAsia="Times New Roman" w:cs="Times New Roman"/>
          <w:spacing w:val="-9"/>
          <w:sz w:val="21"/>
          <w:szCs w:val="21"/>
        </w:rPr>
        <w:t xml:space="preserve">WHO </w:t>
      </w:r>
      <w:r>
        <w:rPr>
          <w:rFonts w:ascii="宋体" w:hAnsi="宋体" w:eastAsia="宋体" w:cs="宋体"/>
          <w:spacing w:val="-9"/>
          <w:sz w:val="21"/>
          <w:szCs w:val="21"/>
        </w:rPr>
        <w:t>建议不论其是否具有咳嗽、发热、体重降低、</w:t>
      </w:r>
      <w:r>
        <w:rPr>
          <w:rFonts w:ascii="宋体" w:hAnsi="宋体" w:eastAsia="宋体" w:cs="宋体"/>
          <w:spacing w:val="-10"/>
          <w:sz w:val="21"/>
          <w:szCs w:val="21"/>
        </w:rPr>
        <w:t>盗汗症状，都应该进行预防性治疗。</w:t>
      </w:r>
      <w:r>
        <w:rPr>
          <w:rFonts w:ascii="宋体" w:hAnsi="宋体" w:eastAsia="宋体" w:cs="宋体"/>
          <w:sz w:val="21"/>
          <w:szCs w:val="21"/>
        </w:rPr>
        <w:t xml:space="preserve"> </w:t>
      </w:r>
      <w:r>
        <w:rPr>
          <w:rFonts w:ascii="宋体" w:hAnsi="宋体" w:eastAsia="宋体" w:cs="宋体"/>
          <w:spacing w:val="4"/>
          <w:sz w:val="21"/>
          <w:szCs w:val="21"/>
        </w:rPr>
        <w:t>无论是否感染</w:t>
      </w:r>
      <w:r>
        <w:rPr>
          <w:rFonts w:ascii="Times New Roman" w:hAnsi="Times New Roman" w:eastAsia="Times New Roman" w:cs="Times New Roman"/>
          <w:sz w:val="21"/>
          <w:szCs w:val="21"/>
        </w:rPr>
        <w:t>HIV</w:t>
      </w:r>
      <w:r>
        <w:rPr>
          <w:rFonts w:ascii="Times New Roman" w:hAnsi="Times New Roman" w:eastAsia="Times New Roman" w:cs="Times New Roman"/>
          <w:spacing w:val="4"/>
          <w:sz w:val="21"/>
          <w:szCs w:val="21"/>
        </w:rPr>
        <w:t>,</w:t>
      </w:r>
      <w:r>
        <w:rPr>
          <w:rFonts w:ascii="Times New Roman" w:hAnsi="Times New Roman" w:eastAsia="Times New Roman" w:cs="Times New Roman"/>
          <w:spacing w:val="30"/>
          <w:w w:val="101"/>
          <w:sz w:val="21"/>
          <w:szCs w:val="21"/>
        </w:rPr>
        <w:t xml:space="preserve"> </w:t>
      </w:r>
      <w:r>
        <w:rPr>
          <w:rFonts w:ascii="宋体" w:hAnsi="宋体" w:eastAsia="宋体" w:cs="宋体"/>
          <w:spacing w:val="4"/>
          <w:sz w:val="21"/>
          <w:szCs w:val="21"/>
        </w:rPr>
        <w:t>均推荐如下预防性治疗方案：每日1次异烟肼6个月或9个月方案，或每周1次</w:t>
      </w:r>
      <w:r>
        <w:rPr>
          <w:rFonts w:ascii="宋体" w:hAnsi="宋体" w:eastAsia="宋体" w:cs="宋体"/>
          <w:sz w:val="21"/>
          <w:szCs w:val="21"/>
        </w:rPr>
        <w:t xml:space="preserve"> </w:t>
      </w:r>
      <w:r>
        <w:rPr>
          <w:rFonts w:ascii="宋体" w:hAnsi="宋体" w:eastAsia="宋体" w:cs="宋体"/>
          <w:spacing w:val="6"/>
          <w:sz w:val="21"/>
          <w:szCs w:val="21"/>
        </w:rPr>
        <w:t>异烟肼加利福喷丁3个月方案，或每日1次异烟肼</w:t>
      </w:r>
      <w:r>
        <w:rPr>
          <w:rFonts w:ascii="宋体" w:hAnsi="宋体" w:eastAsia="宋体" w:cs="宋体"/>
          <w:spacing w:val="5"/>
          <w:sz w:val="21"/>
          <w:szCs w:val="21"/>
        </w:rPr>
        <w:t>加利福平3个月方案；每日1次异烟耕加利福喷</w:t>
      </w:r>
      <w:r>
        <w:rPr>
          <w:rFonts w:ascii="宋体" w:hAnsi="宋体" w:eastAsia="宋体" w:cs="宋体"/>
          <w:sz w:val="21"/>
          <w:szCs w:val="21"/>
        </w:rPr>
        <w:t xml:space="preserve">  </w:t>
      </w:r>
      <w:r>
        <w:rPr>
          <w:rFonts w:ascii="宋体" w:hAnsi="宋体" w:eastAsia="宋体" w:cs="宋体"/>
          <w:spacing w:val="4"/>
          <w:sz w:val="21"/>
          <w:szCs w:val="21"/>
        </w:rPr>
        <w:t>丁1个月方案，或每日1次利福平4个月方案。</w:t>
      </w:r>
      <w:r>
        <w:rPr>
          <w:rFonts w:ascii="宋体" w:hAnsi="宋体" w:eastAsia="宋体" w:cs="宋体"/>
          <w:sz w:val="21"/>
          <w:szCs w:val="21"/>
        </w:rPr>
        <w:t>MDR</w:t>
      </w:r>
      <w:r>
        <w:rPr>
          <w:rFonts w:ascii="宋体" w:hAnsi="宋体" w:eastAsia="宋体" w:cs="宋体"/>
          <w:spacing w:val="4"/>
          <w:sz w:val="21"/>
          <w:szCs w:val="21"/>
        </w:rPr>
        <w:t>-</w:t>
      </w:r>
      <w:r>
        <w:rPr>
          <w:rFonts w:ascii="宋体" w:hAnsi="宋体" w:eastAsia="宋体" w:cs="宋体"/>
          <w:sz w:val="21"/>
          <w:szCs w:val="21"/>
        </w:rPr>
        <w:t>TB</w:t>
      </w:r>
      <w:r>
        <w:rPr>
          <w:rFonts w:ascii="宋体" w:hAnsi="宋体" w:eastAsia="宋体" w:cs="宋体"/>
          <w:spacing w:val="87"/>
          <w:sz w:val="21"/>
          <w:szCs w:val="21"/>
        </w:rPr>
        <w:t xml:space="preserve"> </w:t>
      </w:r>
      <w:r>
        <w:rPr>
          <w:rFonts w:ascii="宋体" w:hAnsi="宋体" w:eastAsia="宋体" w:cs="宋体"/>
          <w:spacing w:val="4"/>
          <w:sz w:val="21"/>
          <w:szCs w:val="21"/>
        </w:rPr>
        <w:t>的预防性治疗需要不同的</w:t>
      </w:r>
      <w:r>
        <w:rPr>
          <w:rFonts w:ascii="宋体" w:hAnsi="宋体" w:eastAsia="宋体" w:cs="宋体"/>
          <w:spacing w:val="3"/>
          <w:sz w:val="21"/>
          <w:szCs w:val="21"/>
        </w:rPr>
        <w:t>方案，可使用一</w:t>
      </w:r>
      <w:r>
        <w:rPr>
          <w:rFonts w:ascii="宋体" w:hAnsi="宋体" w:eastAsia="宋体" w:cs="宋体"/>
          <w:sz w:val="21"/>
          <w:szCs w:val="21"/>
        </w:rPr>
        <w:t xml:space="preserve">  种氟喹诺酮类或者其他二线药物，一般为6个月</w:t>
      </w:r>
      <w:r>
        <w:rPr>
          <w:rFonts w:ascii="宋体" w:hAnsi="宋体" w:eastAsia="宋体" w:cs="宋体"/>
          <w:spacing w:val="-1"/>
          <w:sz w:val="21"/>
          <w:szCs w:val="21"/>
        </w:rPr>
        <w:t>左氧氟沙星每日治疗。</w:t>
      </w:r>
    </w:p>
    <w:p w14:paraId="0A1DBC96">
      <w:pPr>
        <w:spacing w:before="7" w:line="325" w:lineRule="auto"/>
        <w:ind w:right="565" w:firstLine="470"/>
        <w:jc w:val="both"/>
        <w:rPr>
          <w:rFonts w:ascii="宋体" w:hAnsi="宋体" w:eastAsia="宋体" w:cs="宋体"/>
          <w:sz w:val="21"/>
          <w:szCs w:val="21"/>
        </w:rPr>
      </w:pPr>
      <w:r>
        <w:rPr>
          <w:rFonts w:ascii="宋体" w:hAnsi="宋体" w:eastAsia="宋体" w:cs="宋体"/>
          <w:sz w:val="21"/>
          <w:szCs w:val="21"/>
        </w:rPr>
        <w:t>我国结核病防治技术规范建议各地区针对当地实际情况选择预防性</w:t>
      </w:r>
      <w:r>
        <w:rPr>
          <w:rFonts w:ascii="宋体" w:hAnsi="宋体" w:eastAsia="宋体" w:cs="宋体"/>
          <w:spacing w:val="-1"/>
          <w:sz w:val="21"/>
          <w:szCs w:val="21"/>
        </w:rPr>
        <w:t>治疗的对象，主要包括以</w:t>
      </w:r>
      <w:r>
        <w:rPr>
          <w:rFonts w:ascii="宋体" w:hAnsi="宋体" w:eastAsia="宋体" w:cs="宋体"/>
          <w:sz w:val="21"/>
          <w:szCs w:val="21"/>
        </w:rPr>
        <w:t xml:space="preserve"> </w:t>
      </w:r>
      <w:r>
        <w:rPr>
          <w:rFonts w:ascii="宋体" w:hAnsi="宋体" w:eastAsia="宋体" w:cs="宋体"/>
          <w:spacing w:val="-2"/>
          <w:sz w:val="21"/>
          <w:szCs w:val="21"/>
        </w:rPr>
        <w:t>下几类人群：与病原学阳性肺结核患者密切接触的5岁以下儿童结核潜伏感染者；HIV</w:t>
      </w:r>
      <w:r>
        <w:rPr>
          <w:rFonts w:ascii="宋体" w:hAnsi="宋体" w:eastAsia="宋体" w:cs="宋体"/>
          <w:spacing w:val="-3"/>
          <w:sz w:val="21"/>
          <w:szCs w:val="21"/>
        </w:rPr>
        <w:t xml:space="preserve"> 感染者及艾</w:t>
      </w:r>
      <w:r>
        <w:rPr>
          <w:rFonts w:ascii="宋体" w:hAnsi="宋体" w:eastAsia="宋体" w:cs="宋体"/>
          <w:sz w:val="21"/>
          <w:szCs w:val="21"/>
        </w:rPr>
        <w:t xml:space="preserve">  </w:t>
      </w:r>
      <w:r>
        <w:rPr>
          <w:rFonts w:ascii="宋体" w:hAnsi="宋体" w:eastAsia="宋体" w:cs="宋体"/>
          <w:spacing w:val="-2"/>
          <w:sz w:val="21"/>
          <w:szCs w:val="21"/>
        </w:rPr>
        <w:t>滋病患者中的结核潜伏感染者，或感染检测未检出阳性而临床医师认为确有必要进行治疗的个体：</w:t>
      </w:r>
      <w:r>
        <w:rPr>
          <w:rFonts w:ascii="宋体" w:hAnsi="宋体" w:eastAsia="宋体" w:cs="宋体"/>
          <w:sz w:val="21"/>
          <w:szCs w:val="21"/>
        </w:rPr>
        <w:t xml:space="preserve"> </w:t>
      </w:r>
      <w:r>
        <w:rPr>
          <w:rFonts w:ascii="宋体" w:hAnsi="宋体" w:eastAsia="宋体" w:cs="宋体"/>
          <w:spacing w:val="-2"/>
          <w:sz w:val="21"/>
          <w:szCs w:val="21"/>
        </w:rPr>
        <w:t>与活动性肺结核患者密切接触的学生等新近潜伏感染者；其他人群包括需使用肿瘤坏死因子治疗、</w:t>
      </w:r>
      <w:r>
        <w:rPr>
          <w:rFonts w:ascii="宋体" w:hAnsi="宋体" w:eastAsia="宋体" w:cs="宋体"/>
          <w:sz w:val="21"/>
          <w:szCs w:val="21"/>
        </w:rPr>
        <w:t xml:space="preserve"> </w:t>
      </w:r>
      <w:r>
        <w:rPr>
          <w:rFonts w:ascii="宋体" w:hAnsi="宋体" w:eastAsia="宋体" w:cs="宋体"/>
          <w:spacing w:val="-4"/>
          <w:sz w:val="21"/>
          <w:szCs w:val="21"/>
        </w:rPr>
        <w:t>长期应用透析治疗、准备接受器官移植或骨髓移植者、硅沉着病患者以及</w:t>
      </w:r>
      <w:r>
        <w:rPr>
          <w:rFonts w:ascii="宋体" w:hAnsi="宋体" w:eastAsia="宋体" w:cs="宋体"/>
          <w:spacing w:val="-5"/>
          <w:sz w:val="21"/>
          <w:szCs w:val="21"/>
        </w:rPr>
        <w:t>长期应用糖皮质激素或其</w:t>
      </w:r>
      <w:r>
        <w:rPr>
          <w:rFonts w:ascii="宋体" w:hAnsi="宋体" w:eastAsia="宋体" w:cs="宋体"/>
          <w:sz w:val="21"/>
          <w:szCs w:val="21"/>
        </w:rPr>
        <w:t xml:space="preserve">  </w:t>
      </w:r>
      <w:r>
        <w:rPr>
          <w:rFonts w:ascii="宋体" w:hAnsi="宋体" w:eastAsia="宋体" w:cs="宋体"/>
          <w:spacing w:val="1"/>
          <w:sz w:val="21"/>
          <w:szCs w:val="21"/>
        </w:rPr>
        <w:t>他免疫抑制剂的结核潜伏感染者。推荐的检查方法有结核菌素</w:t>
      </w:r>
      <w:r>
        <w:rPr>
          <w:rFonts w:ascii="宋体" w:hAnsi="宋体" w:eastAsia="宋体" w:cs="宋体"/>
          <w:sz w:val="21"/>
          <w:szCs w:val="21"/>
        </w:rPr>
        <w:t xml:space="preserve">皮肤试验或γ干扰索释放试验。推  </w:t>
      </w:r>
      <w:r>
        <w:rPr>
          <w:rFonts w:ascii="宋体" w:hAnsi="宋体" w:eastAsia="宋体" w:cs="宋体"/>
          <w:spacing w:val="1"/>
          <w:sz w:val="21"/>
          <w:szCs w:val="21"/>
        </w:rPr>
        <w:t>荐的方案主要包括6～9个月单用异烟肼方案、3个月的异烟肼加利福喷丁联合</w:t>
      </w:r>
      <w:r>
        <w:rPr>
          <w:rFonts w:ascii="宋体" w:hAnsi="宋体" w:eastAsia="宋体" w:cs="宋体"/>
          <w:sz w:val="21"/>
          <w:szCs w:val="21"/>
        </w:rPr>
        <w:t xml:space="preserve">间歇方案、3个月的  </w:t>
      </w:r>
      <w:r>
        <w:rPr>
          <w:rFonts w:ascii="宋体" w:hAnsi="宋体" w:eastAsia="宋体" w:cs="宋体"/>
          <w:spacing w:val="3"/>
          <w:sz w:val="21"/>
          <w:szCs w:val="21"/>
        </w:rPr>
        <w:t>异烟肼加利福平联合方案以及4个月的单用</w:t>
      </w:r>
      <w:r>
        <w:rPr>
          <w:rFonts w:ascii="宋体" w:hAnsi="宋体" w:eastAsia="宋体" w:cs="宋体"/>
          <w:spacing w:val="2"/>
          <w:sz w:val="21"/>
          <w:szCs w:val="21"/>
        </w:rPr>
        <w:t>利福平方案。</w:t>
      </w:r>
    </w:p>
    <w:p w14:paraId="74D6D034">
      <w:pPr>
        <w:pStyle w:val="2"/>
        <w:spacing w:before="41" w:line="222" w:lineRule="auto"/>
        <w:ind w:left="473"/>
        <w:rPr>
          <w:sz w:val="21"/>
          <w:szCs w:val="21"/>
        </w:rPr>
      </w:pPr>
      <w:r>
        <w:rPr>
          <w:b/>
          <w:bCs/>
          <w:spacing w:val="18"/>
          <w:sz w:val="21"/>
          <w:szCs w:val="21"/>
        </w:rPr>
        <w:t>(二)针对传播途径的措施</w:t>
      </w:r>
    </w:p>
    <w:p w14:paraId="11DC6251">
      <w:pPr>
        <w:spacing w:before="119" w:line="324" w:lineRule="auto"/>
        <w:ind w:right="654" w:firstLine="470"/>
        <w:jc w:val="both"/>
        <w:rPr>
          <w:rFonts w:ascii="宋体" w:hAnsi="宋体" w:eastAsia="宋体" w:cs="宋体"/>
          <w:sz w:val="21"/>
          <w:szCs w:val="21"/>
        </w:rPr>
      </w:pPr>
      <w:r>
        <w:rPr>
          <w:rFonts w:ascii="宋体" w:hAnsi="宋体" w:eastAsia="宋体" w:cs="宋体"/>
          <w:spacing w:val="-5"/>
          <w:sz w:val="21"/>
          <w:szCs w:val="21"/>
        </w:rPr>
        <w:t>对传染性肺结核患者应该加强结核病防治知识</w:t>
      </w:r>
      <w:r>
        <w:rPr>
          <w:rFonts w:ascii="宋体" w:hAnsi="宋体" w:eastAsia="宋体" w:cs="宋体"/>
          <w:spacing w:val="-6"/>
          <w:sz w:val="21"/>
          <w:szCs w:val="21"/>
        </w:rPr>
        <w:t>宣传教育，教育患者咳嗽、喷嚏或大笑时用手帕</w:t>
      </w:r>
      <w:r>
        <w:rPr>
          <w:rFonts w:ascii="宋体" w:hAnsi="宋体" w:eastAsia="宋体" w:cs="宋体"/>
          <w:sz w:val="21"/>
          <w:szCs w:val="21"/>
        </w:rPr>
        <w:t xml:space="preserve"> </w:t>
      </w:r>
      <w:r>
        <w:rPr>
          <w:rFonts w:ascii="宋体" w:hAnsi="宋体" w:eastAsia="宋体" w:cs="宋体"/>
          <w:spacing w:val="-4"/>
          <w:sz w:val="21"/>
          <w:szCs w:val="21"/>
        </w:rPr>
        <w:t>掩捂口鼻，与健康人谈话时应戴口罩。要加强</w:t>
      </w:r>
      <w:r>
        <w:rPr>
          <w:rFonts w:ascii="宋体" w:hAnsi="宋体" w:eastAsia="宋体" w:cs="宋体"/>
          <w:spacing w:val="-5"/>
          <w:sz w:val="21"/>
          <w:szCs w:val="21"/>
        </w:rPr>
        <w:t>室内通风，良好的通风是减少空气中结核分枝杆菌的</w:t>
      </w:r>
      <w:r>
        <w:rPr>
          <w:rFonts w:ascii="宋体" w:hAnsi="宋体" w:eastAsia="宋体" w:cs="宋体"/>
          <w:sz w:val="21"/>
          <w:szCs w:val="21"/>
        </w:rPr>
        <w:t xml:space="preserve"> </w:t>
      </w:r>
      <w:r>
        <w:rPr>
          <w:rFonts w:ascii="宋体" w:hAnsi="宋体" w:eastAsia="宋体" w:cs="宋体"/>
          <w:spacing w:val="5"/>
          <w:sz w:val="21"/>
          <w:szCs w:val="21"/>
        </w:rPr>
        <w:t>最有效措施之一。室内每小时与户外通风6次可减少99%的微滴核。紫外线照射具</w:t>
      </w:r>
      <w:r>
        <w:rPr>
          <w:rFonts w:ascii="宋体" w:hAnsi="宋体" w:eastAsia="宋体" w:cs="宋体"/>
          <w:spacing w:val="4"/>
          <w:sz w:val="21"/>
          <w:szCs w:val="21"/>
        </w:rPr>
        <w:t>有高效杀灭空</w:t>
      </w:r>
      <w:r>
        <w:rPr>
          <w:rFonts w:ascii="宋体" w:hAnsi="宋体" w:eastAsia="宋体" w:cs="宋体"/>
          <w:sz w:val="21"/>
          <w:szCs w:val="21"/>
        </w:rPr>
        <w:t xml:space="preserve"> 气微滴核中细菌的作用。太阳光是最便宜的紫外线来源，所以患者居室</w:t>
      </w:r>
      <w:r>
        <w:rPr>
          <w:rFonts w:ascii="宋体" w:hAnsi="宋体" w:eastAsia="宋体" w:cs="宋体"/>
          <w:spacing w:val="-1"/>
          <w:sz w:val="21"/>
          <w:szCs w:val="21"/>
        </w:rPr>
        <w:t>应有较大的窗户。要防止</w:t>
      </w:r>
      <w:r>
        <w:rPr>
          <w:rFonts w:ascii="宋体" w:hAnsi="宋体" w:eastAsia="宋体" w:cs="宋体"/>
          <w:sz w:val="21"/>
          <w:szCs w:val="21"/>
        </w:rPr>
        <w:t xml:space="preserve"> 院内感染，医务人员或家属等在与患者面对面接触时应戴口罩。只有紧贴口鼻的滤菌口罩才可以</w:t>
      </w:r>
      <w:r>
        <w:rPr>
          <w:rFonts w:ascii="宋体" w:hAnsi="宋体" w:eastAsia="宋体" w:cs="宋体"/>
          <w:spacing w:val="17"/>
          <w:sz w:val="21"/>
          <w:szCs w:val="21"/>
        </w:rPr>
        <w:t xml:space="preserve"> </w:t>
      </w:r>
      <w:r>
        <w:rPr>
          <w:rFonts w:ascii="宋体" w:hAnsi="宋体" w:eastAsia="宋体" w:cs="宋体"/>
          <w:spacing w:val="-8"/>
          <w:sz w:val="21"/>
          <w:szCs w:val="21"/>
        </w:rPr>
        <w:t>滤去1～5</w:t>
      </w:r>
      <w:r>
        <w:rPr>
          <w:rFonts w:ascii="宋体" w:hAnsi="宋体" w:eastAsia="宋体" w:cs="宋体"/>
          <w:spacing w:val="-28"/>
          <w:sz w:val="21"/>
          <w:szCs w:val="21"/>
        </w:rPr>
        <w:t xml:space="preserve"> </w:t>
      </w:r>
      <w:r>
        <w:rPr>
          <w:rFonts w:ascii="宋体" w:hAnsi="宋体" w:eastAsia="宋体" w:cs="宋体"/>
          <w:spacing w:val="-8"/>
          <w:sz w:val="21"/>
          <w:szCs w:val="21"/>
        </w:rPr>
        <w:t>μ</w:t>
      </w:r>
      <w:r>
        <w:rPr>
          <w:rFonts w:ascii="Times New Roman" w:hAnsi="Times New Roman" w:eastAsia="Times New Roman" w:cs="Times New Roman"/>
          <w:spacing w:val="-8"/>
          <w:sz w:val="21"/>
          <w:szCs w:val="21"/>
        </w:rPr>
        <w:t xml:space="preserve">m </w:t>
      </w:r>
      <w:r>
        <w:rPr>
          <w:rFonts w:ascii="宋体" w:hAnsi="宋体" w:eastAsia="宋体" w:cs="宋体"/>
          <w:spacing w:val="-8"/>
          <w:sz w:val="21"/>
          <w:szCs w:val="21"/>
        </w:rPr>
        <w:t>的传染性微滴核，一般口罩的保护作用不完全。</w:t>
      </w:r>
    </w:p>
    <w:p w14:paraId="48A0C990">
      <w:pPr>
        <w:spacing w:line="327" w:lineRule="auto"/>
        <w:ind w:right="656" w:firstLine="470"/>
        <w:rPr>
          <w:rFonts w:ascii="宋体" w:hAnsi="宋体" w:eastAsia="宋体" w:cs="宋体"/>
          <w:sz w:val="21"/>
          <w:szCs w:val="21"/>
        </w:rPr>
      </w:pPr>
      <w:r>
        <w:rPr>
          <w:rFonts w:ascii="宋体" w:hAnsi="宋体" w:eastAsia="宋体" w:cs="宋体"/>
          <w:spacing w:val="-5"/>
          <w:sz w:val="21"/>
          <w:szCs w:val="21"/>
        </w:rPr>
        <w:t>对于传染期结核病，特别是</w:t>
      </w:r>
      <w:r>
        <w:rPr>
          <w:rFonts w:ascii="Times New Roman" w:hAnsi="Times New Roman" w:eastAsia="Times New Roman" w:cs="Times New Roman"/>
          <w:spacing w:val="-5"/>
          <w:sz w:val="21"/>
          <w:szCs w:val="21"/>
        </w:rPr>
        <w:t>MDR-TB</w:t>
      </w:r>
      <w:r>
        <w:rPr>
          <w:rFonts w:ascii="宋体" w:hAnsi="宋体" w:eastAsia="宋体" w:cs="宋体"/>
          <w:spacing w:val="-5"/>
          <w:sz w:val="21"/>
          <w:szCs w:val="21"/>
        </w:rPr>
        <w:t>甚</w:t>
      </w:r>
      <w:r>
        <w:rPr>
          <w:rFonts w:ascii="宋体" w:hAnsi="宋体" w:eastAsia="宋体" w:cs="宋体"/>
          <w:spacing w:val="-26"/>
          <w:sz w:val="21"/>
          <w:szCs w:val="21"/>
        </w:rPr>
        <w:t xml:space="preserve"> </w:t>
      </w:r>
      <w:r>
        <w:rPr>
          <w:rFonts w:ascii="宋体" w:hAnsi="宋体" w:eastAsia="宋体" w:cs="宋体"/>
          <w:spacing w:val="-5"/>
          <w:sz w:val="21"/>
          <w:szCs w:val="21"/>
        </w:rPr>
        <w:t>至</w:t>
      </w:r>
      <w:r>
        <w:rPr>
          <w:rFonts w:ascii="Times New Roman" w:hAnsi="Times New Roman" w:eastAsia="Times New Roman" w:cs="Times New Roman"/>
          <w:spacing w:val="-5"/>
          <w:sz w:val="21"/>
          <w:szCs w:val="21"/>
        </w:rPr>
        <w:t>XDR-TB</w:t>
      </w:r>
      <w:r>
        <w:rPr>
          <w:rFonts w:ascii="宋体" w:hAnsi="宋体" w:eastAsia="宋体" w:cs="宋体"/>
          <w:spacing w:val="-5"/>
          <w:sz w:val="21"/>
          <w:szCs w:val="21"/>
        </w:rPr>
        <w:t>患者，建议进行规范隔离治疗，防止结核病</w:t>
      </w:r>
      <w:r>
        <w:rPr>
          <w:rFonts w:ascii="宋体" w:hAnsi="宋体" w:eastAsia="宋体" w:cs="宋体"/>
          <w:sz w:val="21"/>
          <w:szCs w:val="21"/>
        </w:rPr>
        <w:t xml:space="preserve"> </w:t>
      </w:r>
      <w:r>
        <w:rPr>
          <w:rFonts w:ascii="宋体" w:hAnsi="宋体" w:eastAsia="宋体" w:cs="宋体"/>
          <w:spacing w:val="-1"/>
          <w:sz w:val="21"/>
          <w:szCs w:val="21"/>
        </w:rPr>
        <w:t>特别是耐药结核病在人群中的传播和流行。</w:t>
      </w:r>
    </w:p>
    <w:p w14:paraId="7AEB2934">
      <w:pPr>
        <w:pStyle w:val="2"/>
        <w:spacing w:before="1" w:line="221" w:lineRule="auto"/>
        <w:ind w:left="543"/>
        <w:rPr>
          <w:sz w:val="21"/>
          <w:szCs w:val="21"/>
        </w:rPr>
      </w:pPr>
      <w:r>
        <w:rPr>
          <w:b/>
          <w:bCs/>
          <w:spacing w:val="18"/>
          <w:sz w:val="21"/>
          <w:szCs w:val="21"/>
        </w:rPr>
        <w:t>(三)针对易感人群的措施</w:t>
      </w:r>
    </w:p>
    <w:p w14:paraId="4FBF360D">
      <w:pPr>
        <w:pStyle w:val="2"/>
        <w:spacing w:before="103" w:line="301" w:lineRule="auto"/>
        <w:ind w:right="662" w:firstLine="470"/>
        <w:rPr>
          <w:rFonts w:ascii="宋体" w:hAnsi="宋体" w:eastAsia="宋体" w:cs="宋体"/>
          <w:sz w:val="21"/>
          <w:szCs w:val="21"/>
        </w:rPr>
      </w:pPr>
      <w:r>
        <w:rPr>
          <w:rFonts w:ascii="宋体" w:hAnsi="宋体" w:eastAsia="宋体" w:cs="宋体"/>
          <w:spacing w:val="-2"/>
          <w:sz w:val="21"/>
          <w:szCs w:val="21"/>
        </w:rPr>
        <w:t xml:space="preserve">1. </w:t>
      </w:r>
      <w:r>
        <w:rPr>
          <w:spacing w:val="-2"/>
          <w:sz w:val="21"/>
          <w:szCs w:val="21"/>
        </w:rPr>
        <w:t>加强宣传教育，提高民众自我保护意识</w:t>
      </w:r>
      <w:r>
        <w:rPr>
          <w:spacing w:val="66"/>
          <w:sz w:val="21"/>
          <w:szCs w:val="21"/>
        </w:rPr>
        <w:t xml:space="preserve"> </w:t>
      </w:r>
      <w:r>
        <w:rPr>
          <w:rFonts w:ascii="宋体" w:hAnsi="宋体" w:eastAsia="宋体" w:cs="宋体"/>
          <w:spacing w:val="-2"/>
          <w:sz w:val="21"/>
          <w:szCs w:val="21"/>
        </w:rPr>
        <w:t>健康教育是结核病控制措施中最</w:t>
      </w:r>
      <w:r>
        <w:rPr>
          <w:rFonts w:ascii="宋体" w:hAnsi="宋体" w:eastAsia="宋体" w:cs="宋体"/>
          <w:spacing w:val="-3"/>
          <w:sz w:val="21"/>
          <w:szCs w:val="21"/>
        </w:rPr>
        <w:t>为经济有效的方</w:t>
      </w:r>
      <w:r>
        <w:rPr>
          <w:rFonts w:ascii="宋体" w:hAnsi="宋体" w:eastAsia="宋体" w:cs="宋体"/>
          <w:sz w:val="21"/>
          <w:szCs w:val="21"/>
        </w:rPr>
        <w:t xml:space="preserve"> </w:t>
      </w:r>
      <w:r>
        <w:rPr>
          <w:rFonts w:ascii="宋体" w:hAnsi="宋体" w:eastAsia="宋体" w:cs="宋体"/>
          <w:spacing w:val="-5"/>
          <w:sz w:val="21"/>
          <w:szCs w:val="21"/>
        </w:rPr>
        <w:t>法。特别要在结核病感染和发病的高危人群中开展健康教育，提高人群的健康水</w:t>
      </w:r>
      <w:r>
        <w:rPr>
          <w:rFonts w:ascii="宋体" w:hAnsi="宋体" w:eastAsia="宋体" w:cs="宋体"/>
          <w:spacing w:val="-6"/>
          <w:sz w:val="21"/>
          <w:szCs w:val="21"/>
        </w:rPr>
        <w:t>平和免疫水平，普</w:t>
      </w:r>
      <w:r>
        <w:rPr>
          <w:rFonts w:ascii="宋体" w:hAnsi="宋体" w:eastAsia="宋体" w:cs="宋体"/>
          <w:sz w:val="21"/>
          <w:szCs w:val="21"/>
        </w:rPr>
        <w:t xml:space="preserve"> </w:t>
      </w:r>
      <w:r>
        <w:rPr>
          <w:rFonts w:ascii="宋体" w:hAnsi="宋体" w:eastAsia="宋体" w:cs="宋体"/>
          <w:spacing w:val="-5"/>
          <w:sz w:val="21"/>
          <w:szCs w:val="21"/>
        </w:rPr>
        <w:t>及结核病相关健康知识，及时识别肺结核患者，避免接触传染源，在医院内要强化院内感染控制措</w:t>
      </w:r>
      <w:r>
        <w:rPr>
          <w:rFonts w:ascii="宋体" w:hAnsi="宋体" w:eastAsia="宋体" w:cs="宋体"/>
          <w:spacing w:val="15"/>
          <w:sz w:val="21"/>
          <w:szCs w:val="21"/>
        </w:rPr>
        <w:t xml:space="preserve"> </w:t>
      </w:r>
      <w:r>
        <w:rPr>
          <w:rFonts w:ascii="宋体" w:hAnsi="宋体" w:eastAsia="宋体" w:cs="宋体"/>
          <w:spacing w:val="-7"/>
          <w:sz w:val="21"/>
          <w:szCs w:val="21"/>
        </w:rPr>
        <w:t>施，提高人群的自我保护、预防结核病的意</w:t>
      </w:r>
      <w:r>
        <w:rPr>
          <w:rFonts w:ascii="宋体" w:hAnsi="宋体" w:eastAsia="宋体" w:cs="宋体"/>
          <w:spacing w:val="-8"/>
          <w:sz w:val="21"/>
          <w:szCs w:val="21"/>
        </w:rPr>
        <w:t>识。</w:t>
      </w:r>
    </w:p>
    <w:p w14:paraId="140B97C7">
      <w:pPr>
        <w:pStyle w:val="2"/>
        <w:spacing w:before="99" w:line="308" w:lineRule="auto"/>
        <w:ind w:right="679" w:firstLine="470"/>
        <w:rPr>
          <w:rFonts w:ascii="宋体" w:hAnsi="宋体" w:eastAsia="宋体" w:cs="宋体"/>
          <w:sz w:val="21"/>
          <w:szCs w:val="21"/>
        </w:rPr>
      </w:pPr>
      <w:r>
        <w:rPr>
          <w:rFonts w:ascii="Times New Roman" w:hAnsi="Times New Roman" w:eastAsia="Times New Roman" w:cs="Times New Roman"/>
          <w:spacing w:val="1"/>
          <w:sz w:val="21"/>
          <w:szCs w:val="21"/>
        </w:rPr>
        <w:t>2.</w:t>
      </w:r>
      <w:r>
        <w:rPr>
          <w:rFonts w:ascii="Times New Roman" w:hAnsi="Times New Roman" w:eastAsia="Times New Roman" w:cs="Times New Roman"/>
          <w:spacing w:val="33"/>
          <w:sz w:val="21"/>
          <w:szCs w:val="21"/>
        </w:rPr>
        <w:t xml:space="preserve">  </w:t>
      </w:r>
      <w:r>
        <w:rPr>
          <w:spacing w:val="1"/>
          <w:sz w:val="21"/>
          <w:szCs w:val="21"/>
        </w:rPr>
        <w:t>预防接种</w:t>
      </w:r>
      <w:r>
        <w:rPr>
          <w:spacing w:val="53"/>
          <w:sz w:val="21"/>
          <w:szCs w:val="21"/>
        </w:rPr>
        <w:t xml:space="preserve"> </w:t>
      </w:r>
      <w:r>
        <w:rPr>
          <w:rFonts w:ascii="宋体" w:hAnsi="宋体" w:eastAsia="宋体" w:cs="宋体"/>
          <w:spacing w:val="1"/>
          <w:sz w:val="21"/>
          <w:szCs w:val="21"/>
        </w:rPr>
        <w:t>卡介苗</w:t>
      </w:r>
      <w:r>
        <w:rPr>
          <w:rFonts w:ascii="Times New Roman" w:hAnsi="Times New Roman" w:eastAsia="Times New Roman" w:cs="Times New Roman"/>
          <w:spacing w:val="1"/>
          <w:sz w:val="21"/>
          <w:szCs w:val="21"/>
        </w:rPr>
        <w:t>(</w:t>
      </w:r>
      <w:r>
        <w:rPr>
          <w:rFonts w:ascii="Times New Roman" w:hAnsi="Times New Roman" w:eastAsia="Times New Roman" w:cs="Times New Roman"/>
          <w:sz w:val="21"/>
          <w:szCs w:val="21"/>
        </w:rPr>
        <w:t>Bacille</w:t>
      </w:r>
      <w:r>
        <w:rPr>
          <w:rFonts w:ascii="Times New Roman" w:hAnsi="Times New Roman" w:eastAsia="Times New Roman" w:cs="Times New Roman"/>
          <w:spacing w:val="16"/>
          <w:w w:val="101"/>
          <w:sz w:val="21"/>
          <w:szCs w:val="21"/>
        </w:rPr>
        <w:t xml:space="preserve">  </w:t>
      </w:r>
      <w:r>
        <w:rPr>
          <w:rFonts w:ascii="Times New Roman" w:hAnsi="Times New Roman" w:eastAsia="Times New Roman" w:cs="Times New Roman"/>
          <w:sz w:val="21"/>
          <w:szCs w:val="21"/>
        </w:rPr>
        <w:t>Calmette</w:t>
      </w:r>
      <w:r>
        <w:rPr>
          <w:rFonts w:ascii="Times New Roman" w:hAnsi="Times New Roman" w:eastAsia="Times New Roman" w:cs="Times New Roman"/>
          <w:spacing w:val="1"/>
          <w:sz w:val="21"/>
          <w:szCs w:val="21"/>
        </w:rPr>
        <w:t>-</w:t>
      </w:r>
      <w:r>
        <w:rPr>
          <w:rFonts w:ascii="Times New Roman" w:hAnsi="Times New Roman" w:eastAsia="Times New Roman" w:cs="Times New Roman"/>
          <w:sz w:val="21"/>
          <w:szCs w:val="21"/>
        </w:rPr>
        <w:t>Guerin</w:t>
      </w:r>
      <w:r>
        <w:rPr>
          <w:rFonts w:ascii="Times New Roman" w:hAnsi="Times New Roman" w:eastAsia="Times New Roman" w:cs="Times New Roman"/>
          <w:spacing w:val="1"/>
          <w:sz w:val="21"/>
          <w:szCs w:val="21"/>
        </w:rPr>
        <w:t>,</w:t>
      </w:r>
      <w:r>
        <w:rPr>
          <w:rFonts w:ascii="Times New Roman" w:hAnsi="Times New Roman" w:eastAsia="Times New Roman" w:cs="Times New Roman"/>
          <w:sz w:val="21"/>
          <w:szCs w:val="21"/>
        </w:rPr>
        <w:t>BCG</w:t>
      </w:r>
      <w:r>
        <w:rPr>
          <w:rFonts w:ascii="Times New Roman" w:hAnsi="Times New Roman" w:eastAsia="Times New Roman" w:cs="Times New Roman"/>
          <w:spacing w:val="1"/>
          <w:sz w:val="21"/>
          <w:szCs w:val="21"/>
        </w:rPr>
        <w:t>)</w:t>
      </w:r>
      <w:r>
        <w:rPr>
          <w:rFonts w:ascii="宋体" w:hAnsi="宋体" w:eastAsia="宋体" w:cs="宋体"/>
          <w:spacing w:val="1"/>
          <w:sz w:val="21"/>
          <w:szCs w:val="21"/>
        </w:rPr>
        <w:t>是法国巴斯德研究所医学家</w:t>
      </w:r>
      <w:r>
        <w:rPr>
          <w:rFonts w:ascii="Times New Roman" w:hAnsi="Times New Roman" w:eastAsia="Times New Roman" w:cs="Times New Roman"/>
          <w:sz w:val="21"/>
          <w:szCs w:val="21"/>
        </w:rPr>
        <w:t>Calmette</w:t>
      </w:r>
      <w:r>
        <w:rPr>
          <w:rFonts w:ascii="Times New Roman" w:hAnsi="Times New Roman" w:eastAsia="Times New Roman" w:cs="Times New Roman"/>
          <w:spacing w:val="1"/>
          <w:sz w:val="21"/>
          <w:szCs w:val="21"/>
        </w:rPr>
        <w:t>(</w:t>
      </w:r>
      <w:r>
        <w:rPr>
          <w:rFonts w:ascii="宋体" w:hAnsi="宋体" w:eastAsia="宋体" w:cs="宋体"/>
          <w:spacing w:val="1"/>
          <w:sz w:val="21"/>
          <w:szCs w:val="21"/>
        </w:rPr>
        <w:t>卡</w:t>
      </w:r>
      <w:r>
        <w:rPr>
          <w:rFonts w:ascii="宋体" w:hAnsi="宋体" w:eastAsia="宋体" w:cs="宋体"/>
          <w:sz w:val="21"/>
          <w:szCs w:val="21"/>
        </w:rPr>
        <w:t xml:space="preserve"> </w:t>
      </w:r>
      <w:r>
        <w:rPr>
          <w:rFonts w:ascii="宋体" w:hAnsi="宋体" w:eastAsia="宋体" w:cs="宋体"/>
          <w:spacing w:val="6"/>
          <w:sz w:val="21"/>
          <w:szCs w:val="21"/>
        </w:rPr>
        <w:t>氏)和兽医学家</w:t>
      </w:r>
      <w:r>
        <w:rPr>
          <w:rFonts w:ascii="Times New Roman" w:hAnsi="Times New Roman" w:eastAsia="Times New Roman" w:cs="Times New Roman"/>
          <w:sz w:val="21"/>
          <w:szCs w:val="21"/>
        </w:rPr>
        <w:t>Guerin</w:t>
      </w:r>
      <w:r>
        <w:rPr>
          <w:rFonts w:ascii="宋体" w:hAnsi="宋体" w:eastAsia="宋体" w:cs="宋体"/>
          <w:spacing w:val="6"/>
          <w:sz w:val="21"/>
          <w:szCs w:val="21"/>
        </w:rPr>
        <w:t>(介氏)于1907—1920年间以牛型结核分枝杆菌经230</w:t>
      </w:r>
      <w:r>
        <w:rPr>
          <w:rFonts w:ascii="宋体" w:hAnsi="宋体" w:eastAsia="宋体" w:cs="宋体"/>
          <w:spacing w:val="5"/>
          <w:sz w:val="21"/>
          <w:szCs w:val="21"/>
        </w:rPr>
        <w:t>代以上传代后培育出</w:t>
      </w:r>
      <w:r>
        <w:rPr>
          <w:rFonts w:ascii="宋体" w:hAnsi="宋体" w:eastAsia="宋体" w:cs="宋体"/>
          <w:sz w:val="21"/>
          <w:szCs w:val="21"/>
        </w:rPr>
        <w:t xml:space="preserve"> </w:t>
      </w:r>
      <w:r>
        <w:rPr>
          <w:rFonts w:ascii="宋体" w:hAnsi="宋体" w:eastAsia="宋体" w:cs="宋体"/>
          <w:spacing w:val="5"/>
          <w:sz w:val="21"/>
          <w:szCs w:val="21"/>
        </w:rPr>
        <w:t>来的结核病疫苗。1921年首次以口服法接种于新生儿，获得良好免疫效果。19</w:t>
      </w:r>
      <w:r>
        <w:rPr>
          <w:rFonts w:ascii="宋体" w:hAnsi="宋体" w:eastAsia="宋体" w:cs="宋体"/>
          <w:spacing w:val="4"/>
          <w:sz w:val="21"/>
          <w:szCs w:val="21"/>
        </w:rPr>
        <w:t>28年该株细菌被</w:t>
      </w:r>
      <w:r>
        <w:rPr>
          <w:rFonts w:ascii="宋体" w:hAnsi="宋体" w:eastAsia="宋体" w:cs="宋体"/>
          <w:sz w:val="21"/>
          <w:szCs w:val="21"/>
        </w:rPr>
        <w:t xml:space="preserve"> </w:t>
      </w:r>
      <w:r>
        <w:rPr>
          <w:rFonts w:ascii="宋体" w:hAnsi="宋体" w:eastAsia="宋体" w:cs="宋体"/>
          <w:spacing w:val="-2"/>
          <w:sz w:val="21"/>
          <w:szCs w:val="21"/>
        </w:rPr>
        <w:t>卡、介二氏命名为卡介菌(BCG),</w:t>
      </w:r>
      <w:r>
        <w:rPr>
          <w:rFonts w:ascii="宋体" w:hAnsi="宋体" w:eastAsia="宋体" w:cs="宋体"/>
          <w:spacing w:val="30"/>
          <w:sz w:val="21"/>
          <w:szCs w:val="21"/>
        </w:rPr>
        <w:t xml:space="preserve"> </w:t>
      </w:r>
      <w:r>
        <w:rPr>
          <w:rFonts w:ascii="宋体" w:hAnsi="宋体" w:eastAsia="宋体" w:cs="宋体"/>
          <w:spacing w:val="-2"/>
          <w:sz w:val="21"/>
          <w:szCs w:val="21"/>
        </w:rPr>
        <w:t>以其制备</w:t>
      </w:r>
      <w:r>
        <w:rPr>
          <w:rFonts w:ascii="宋体" w:hAnsi="宋体" w:eastAsia="宋体" w:cs="宋体"/>
          <w:spacing w:val="-3"/>
          <w:sz w:val="21"/>
          <w:szCs w:val="21"/>
        </w:rPr>
        <w:t>的活疫苗称卡介苗，习惯上仍用BCG。1929 年瑞典医师</w:t>
      </w:r>
      <w:r>
        <w:rPr>
          <w:rFonts w:ascii="宋体" w:hAnsi="宋体" w:eastAsia="宋体" w:cs="宋体"/>
          <w:sz w:val="21"/>
          <w:szCs w:val="21"/>
        </w:rPr>
        <w:t xml:space="preserve"> </w:t>
      </w:r>
      <w:r>
        <w:rPr>
          <w:rFonts w:ascii="Times New Roman" w:hAnsi="Times New Roman" w:eastAsia="Times New Roman" w:cs="Times New Roman"/>
          <w:spacing w:val="-4"/>
          <w:sz w:val="21"/>
          <w:szCs w:val="21"/>
        </w:rPr>
        <w:t>Mantoux</w:t>
      </w:r>
      <w:r>
        <w:rPr>
          <w:rFonts w:ascii="宋体" w:hAnsi="宋体" w:eastAsia="宋体" w:cs="宋体"/>
          <w:spacing w:val="-4"/>
          <w:sz w:val="21"/>
          <w:szCs w:val="21"/>
        </w:rPr>
        <w:t>提出皮内法接种，沿用至今。</w:t>
      </w:r>
    </w:p>
    <w:p w14:paraId="2E7635F7">
      <w:pPr>
        <w:spacing w:before="121" w:line="319" w:lineRule="auto"/>
        <w:ind w:right="661" w:firstLine="470"/>
        <w:jc w:val="both"/>
        <w:rPr>
          <w:rFonts w:ascii="宋体" w:hAnsi="宋体" w:eastAsia="宋体" w:cs="宋体"/>
          <w:sz w:val="21"/>
          <w:szCs w:val="21"/>
        </w:rPr>
      </w:pPr>
      <w:r>
        <w:rPr>
          <w:rFonts w:ascii="宋体" w:hAnsi="宋体" w:eastAsia="宋体" w:cs="宋体"/>
          <w:spacing w:val="-8"/>
          <w:sz w:val="21"/>
          <w:szCs w:val="21"/>
        </w:rPr>
        <w:t>卡介苗的接种对象为新生儿和婴儿，由于结核不存在母传被动免疫，因此，应尽早(一般为出生</w:t>
      </w:r>
      <w:r>
        <w:rPr>
          <w:rFonts w:ascii="宋体" w:hAnsi="宋体" w:eastAsia="宋体" w:cs="宋体"/>
          <w:sz w:val="21"/>
          <w:szCs w:val="21"/>
        </w:rPr>
        <w:t xml:space="preserve"> </w:t>
      </w:r>
      <w:r>
        <w:rPr>
          <w:rFonts w:ascii="宋体" w:hAnsi="宋体" w:eastAsia="宋体" w:cs="宋体"/>
          <w:spacing w:val="5"/>
          <w:sz w:val="21"/>
          <w:szCs w:val="21"/>
        </w:rPr>
        <w:t>后24小时内)对新生儿进行接种，最迟在1岁以内。卡介苗接种后2～3个月结核菌素试验阳</w:t>
      </w:r>
      <w:r>
        <w:rPr>
          <w:rFonts w:ascii="宋体" w:hAnsi="宋体" w:eastAsia="宋体" w:cs="宋体"/>
          <w:spacing w:val="4"/>
          <w:sz w:val="21"/>
          <w:szCs w:val="21"/>
        </w:rPr>
        <w:t>性率</w:t>
      </w:r>
      <w:r>
        <w:rPr>
          <w:rFonts w:ascii="宋体" w:hAnsi="宋体" w:eastAsia="宋体" w:cs="宋体"/>
          <w:sz w:val="21"/>
          <w:szCs w:val="21"/>
        </w:rPr>
        <w:t xml:space="preserve"> </w:t>
      </w:r>
      <w:r>
        <w:rPr>
          <w:rFonts w:ascii="宋体" w:hAnsi="宋体" w:eastAsia="宋体" w:cs="宋体"/>
          <w:spacing w:val="2"/>
          <w:sz w:val="21"/>
          <w:szCs w:val="21"/>
        </w:rPr>
        <w:t>可达90%以上，</w:t>
      </w:r>
      <w:r>
        <w:rPr>
          <w:rFonts w:ascii="宋体" w:hAnsi="宋体" w:eastAsia="宋体" w:cs="宋体"/>
          <w:spacing w:val="-9"/>
          <w:sz w:val="21"/>
          <w:szCs w:val="21"/>
        </w:rPr>
        <w:t xml:space="preserve"> </w:t>
      </w:r>
      <w:r>
        <w:rPr>
          <w:rFonts w:ascii="宋体" w:hAnsi="宋体" w:eastAsia="宋体" w:cs="宋体"/>
          <w:spacing w:val="2"/>
          <w:sz w:val="21"/>
          <w:szCs w:val="21"/>
        </w:rPr>
        <w:t>一般可维持5～10年。</w:t>
      </w:r>
    </w:p>
    <w:p w14:paraId="74CF8F3B">
      <w:pPr>
        <w:spacing w:before="3" w:line="317" w:lineRule="auto"/>
        <w:ind w:right="658" w:firstLine="470"/>
        <w:jc w:val="both"/>
        <w:rPr>
          <w:rFonts w:ascii="宋体" w:hAnsi="宋体" w:eastAsia="宋体" w:cs="宋体"/>
          <w:sz w:val="21"/>
          <w:szCs w:val="21"/>
        </w:rPr>
      </w:pPr>
      <w:r>
        <w:rPr>
          <w:rFonts w:ascii="宋体" w:hAnsi="宋体" w:eastAsia="宋体" w:cs="宋体"/>
          <w:sz w:val="21"/>
          <w:szCs w:val="21"/>
        </w:rPr>
        <w:t>尽管卡介苗是全球使用最广泛的疫苗之一，但大</w:t>
      </w:r>
      <w:r>
        <w:rPr>
          <w:rFonts w:ascii="宋体" w:hAnsi="宋体" w:eastAsia="宋体" w:cs="宋体"/>
          <w:spacing w:val="-1"/>
          <w:sz w:val="21"/>
          <w:szCs w:val="21"/>
        </w:rPr>
        <w:t>样本非随机化研究(病例对照和队列研究)提</w:t>
      </w:r>
      <w:r>
        <w:rPr>
          <w:rFonts w:ascii="宋体" w:hAnsi="宋体" w:eastAsia="宋体" w:cs="宋体"/>
          <w:sz w:val="21"/>
          <w:szCs w:val="21"/>
        </w:rPr>
        <w:t xml:space="preserve"> </w:t>
      </w:r>
      <w:r>
        <w:rPr>
          <w:rFonts w:ascii="宋体" w:hAnsi="宋体" w:eastAsia="宋体" w:cs="宋体"/>
          <w:spacing w:val="3"/>
          <w:sz w:val="21"/>
          <w:szCs w:val="21"/>
        </w:rPr>
        <w:t>示卡介苗仅能够保护婴幼儿免于结核病的严重类型(如粟粒性</w:t>
      </w:r>
      <w:r>
        <w:rPr>
          <w:rFonts w:ascii="宋体" w:hAnsi="宋体" w:eastAsia="宋体" w:cs="宋体"/>
          <w:spacing w:val="2"/>
          <w:sz w:val="21"/>
          <w:szCs w:val="21"/>
        </w:rPr>
        <w:t>肺结核和结核性脑膜炎),但不能预</w:t>
      </w:r>
      <w:r>
        <w:rPr>
          <w:rFonts w:ascii="宋体" w:hAnsi="宋体" w:eastAsia="宋体" w:cs="宋体"/>
          <w:sz w:val="21"/>
          <w:szCs w:val="21"/>
        </w:rPr>
        <w:t xml:space="preserve"> </w:t>
      </w:r>
      <w:r>
        <w:rPr>
          <w:rFonts w:ascii="宋体" w:hAnsi="宋体" w:eastAsia="宋体" w:cs="宋体"/>
          <w:spacing w:val="-6"/>
          <w:sz w:val="21"/>
          <w:szCs w:val="21"/>
        </w:rPr>
        <w:t>防结核菌感染，而且也不能预防成人继发性结核。我国由于结核感染率高，BCG</w:t>
      </w:r>
      <w:r>
        <w:rPr>
          <w:rFonts w:ascii="宋体" w:hAnsi="宋体" w:eastAsia="宋体" w:cs="宋体"/>
          <w:spacing w:val="23"/>
          <w:sz w:val="21"/>
          <w:szCs w:val="21"/>
        </w:rPr>
        <w:t xml:space="preserve"> </w:t>
      </w:r>
      <w:r>
        <w:rPr>
          <w:rFonts w:ascii="宋体" w:hAnsi="宋体" w:eastAsia="宋体" w:cs="宋体"/>
          <w:spacing w:val="-6"/>
          <w:sz w:val="21"/>
          <w:szCs w:val="21"/>
        </w:rPr>
        <w:t>可以降低儿童中严</w:t>
      </w:r>
      <w:r>
        <w:rPr>
          <w:rFonts w:ascii="宋体" w:hAnsi="宋体" w:eastAsia="宋体" w:cs="宋体"/>
          <w:sz w:val="21"/>
          <w:szCs w:val="21"/>
        </w:rPr>
        <w:t xml:space="preserve"> </w:t>
      </w:r>
      <w:r>
        <w:rPr>
          <w:rFonts w:ascii="宋体" w:hAnsi="宋体" w:eastAsia="宋体" w:cs="宋体"/>
          <w:spacing w:val="-7"/>
          <w:sz w:val="21"/>
          <w:szCs w:val="21"/>
        </w:rPr>
        <w:t>重类型肺结核的发病率，因此，</w:t>
      </w:r>
      <w:r>
        <w:rPr>
          <w:rFonts w:ascii="Times New Roman" w:hAnsi="Times New Roman" w:eastAsia="Times New Roman" w:cs="Times New Roman"/>
          <w:spacing w:val="-7"/>
          <w:sz w:val="21"/>
          <w:szCs w:val="21"/>
        </w:rPr>
        <w:t>BCG</w:t>
      </w:r>
      <w:r>
        <w:rPr>
          <w:rFonts w:ascii="Times New Roman" w:hAnsi="Times New Roman" w:eastAsia="Times New Roman" w:cs="Times New Roman"/>
          <w:spacing w:val="-4"/>
          <w:sz w:val="21"/>
          <w:szCs w:val="21"/>
        </w:rPr>
        <w:t xml:space="preserve"> </w:t>
      </w:r>
      <w:r>
        <w:rPr>
          <w:rFonts w:ascii="宋体" w:hAnsi="宋体" w:eastAsia="宋体" w:cs="宋体"/>
          <w:spacing w:val="-7"/>
          <w:sz w:val="21"/>
          <w:szCs w:val="21"/>
        </w:rPr>
        <w:t>接种仍是我国结核病控制措施之一，在较长时间内仍应坚持对</w:t>
      </w:r>
    </w:p>
    <w:p w14:paraId="7C15EB71">
      <w:pPr>
        <w:spacing w:line="317" w:lineRule="auto"/>
        <w:rPr>
          <w:rFonts w:ascii="宋体" w:hAnsi="宋体" w:eastAsia="宋体" w:cs="宋体"/>
          <w:sz w:val="21"/>
          <w:szCs w:val="21"/>
        </w:rPr>
        <w:sectPr>
          <w:footerReference r:id="rId344" w:type="default"/>
          <w:pgSz w:w="11900" w:h="16820"/>
          <w:pgMar w:top="400" w:right="879" w:bottom="846" w:left="1509" w:header="0" w:footer="657" w:gutter="0"/>
          <w:cols w:space="720" w:num="1"/>
        </w:sectPr>
      </w:pPr>
    </w:p>
    <w:p w14:paraId="03E45BC7">
      <w:pPr>
        <w:spacing w:line="297" w:lineRule="auto"/>
        <w:rPr>
          <w:rFonts w:ascii="Arial"/>
          <w:sz w:val="21"/>
        </w:rPr>
      </w:pPr>
    </w:p>
    <w:p w14:paraId="00C5994A">
      <w:pPr>
        <w:pStyle w:val="2"/>
        <w:spacing w:before="65" w:line="222" w:lineRule="auto"/>
        <w:ind w:left="732"/>
        <w:rPr>
          <w:sz w:val="20"/>
          <w:szCs w:val="20"/>
        </w:rPr>
      </w:pPr>
      <w:bookmarkStart w:id="529" w:name="bookmark589"/>
      <w:bookmarkEnd w:id="529"/>
      <w:r>
        <w:rPr>
          <w:b/>
          <w:bCs/>
          <w:spacing w:val="-16"/>
          <w:sz w:val="20"/>
          <w:szCs w:val="20"/>
        </w:rPr>
        <w:t>第二十章</w:t>
      </w:r>
      <w:r>
        <w:rPr>
          <w:spacing w:val="-16"/>
          <w:sz w:val="20"/>
          <w:szCs w:val="20"/>
        </w:rPr>
        <w:t xml:space="preserve"> </w:t>
      </w:r>
      <w:r>
        <w:rPr>
          <w:b/>
          <w:bCs/>
          <w:spacing w:val="-16"/>
          <w:sz w:val="20"/>
          <w:szCs w:val="20"/>
        </w:rPr>
        <w:t>结核病</w:t>
      </w:r>
    </w:p>
    <w:p w14:paraId="5B902A88">
      <w:pPr>
        <w:spacing w:line="271" w:lineRule="auto"/>
        <w:rPr>
          <w:rFonts w:ascii="Arial"/>
          <w:sz w:val="21"/>
        </w:rPr>
      </w:pPr>
    </w:p>
    <w:p w14:paraId="1D007A7B">
      <w:pPr>
        <w:spacing w:line="272" w:lineRule="auto"/>
        <w:rPr>
          <w:rFonts w:ascii="Arial"/>
          <w:sz w:val="21"/>
        </w:rPr>
      </w:pPr>
    </w:p>
    <w:p w14:paraId="5BE2C4F9">
      <w:pPr>
        <w:spacing w:before="65" w:line="342" w:lineRule="auto"/>
        <w:ind w:left="730" w:right="178"/>
        <w:rPr>
          <w:rFonts w:ascii="宋体" w:hAnsi="宋体" w:eastAsia="宋体" w:cs="宋体"/>
          <w:sz w:val="20"/>
          <w:szCs w:val="20"/>
        </w:rPr>
      </w:pPr>
      <w:r>
        <w:rPr>
          <w:rFonts w:ascii="宋体" w:hAnsi="宋体" w:eastAsia="宋体" w:cs="宋体"/>
          <w:spacing w:val="11"/>
          <w:sz w:val="20"/>
          <w:szCs w:val="20"/>
        </w:rPr>
        <w:t>新生儿接种</w:t>
      </w:r>
      <w:r>
        <w:rPr>
          <w:rFonts w:ascii="Times New Roman" w:hAnsi="Times New Roman" w:eastAsia="Times New Roman" w:cs="Times New Roman"/>
          <w:sz w:val="20"/>
          <w:szCs w:val="20"/>
        </w:rPr>
        <w:t>BCG</w:t>
      </w:r>
      <w:r>
        <w:rPr>
          <w:rFonts w:ascii="Times New Roman" w:hAnsi="Times New Roman" w:eastAsia="Times New Roman" w:cs="Times New Roman"/>
          <w:spacing w:val="-22"/>
          <w:sz w:val="20"/>
          <w:szCs w:val="20"/>
        </w:rPr>
        <w:t xml:space="preserve"> </w:t>
      </w:r>
      <w:r>
        <w:rPr>
          <w:rFonts w:ascii="宋体" w:hAnsi="宋体" w:eastAsia="宋体" w:cs="宋体"/>
          <w:spacing w:val="11"/>
          <w:sz w:val="20"/>
          <w:szCs w:val="20"/>
        </w:rPr>
        <w:t>。最近，丹麦一项基于人群的回顾性队列研究结果显示，卡</w:t>
      </w:r>
      <w:r>
        <w:rPr>
          <w:rFonts w:ascii="宋体" w:hAnsi="宋体" w:eastAsia="宋体" w:cs="宋体"/>
          <w:spacing w:val="10"/>
          <w:sz w:val="20"/>
          <w:szCs w:val="20"/>
        </w:rPr>
        <w:t>介苗虽然对成人肺结核</w:t>
      </w:r>
      <w:r>
        <w:rPr>
          <w:rFonts w:ascii="宋体" w:hAnsi="宋体" w:eastAsia="宋体" w:cs="宋体"/>
          <w:sz w:val="20"/>
          <w:szCs w:val="20"/>
        </w:rPr>
        <w:t xml:space="preserve"> </w:t>
      </w:r>
      <w:r>
        <w:rPr>
          <w:rFonts w:ascii="宋体" w:hAnsi="宋体" w:eastAsia="宋体" w:cs="宋体"/>
          <w:spacing w:val="4"/>
          <w:sz w:val="20"/>
          <w:szCs w:val="20"/>
        </w:rPr>
        <w:t>有一定的保护效应，但其效果随着时间推移</w:t>
      </w:r>
      <w:r>
        <w:rPr>
          <w:rFonts w:ascii="宋体" w:hAnsi="宋体" w:eastAsia="宋体" w:cs="宋体"/>
          <w:spacing w:val="3"/>
          <w:sz w:val="20"/>
          <w:szCs w:val="20"/>
        </w:rPr>
        <w:t>而下降。</w:t>
      </w:r>
    </w:p>
    <w:p w14:paraId="48D31C08">
      <w:pPr>
        <w:spacing w:before="3" w:line="346" w:lineRule="auto"/>
        <w:ind w:left="730" w:right="120" w:firstLine="489"/>
        <w:jc w:val="both"/>
        <w:rPr>
          <w:rFonts w:ascii="宋体" w:hAnsi="宋体" w:eastAsia="宋体" w:cs="宋体"/>
          <w:sz w:val="20"/>
          <w:szCs w:val="20"/>
        </w:rPr>
      </w:pPr>
      <w:r>
        <w:rPr>
          <w:rFonts w:ascii="宋体" w:hAnsi="宋体" w:eastAsia="宋体" w:cs="宋体"/>
          <w:spacing w:val="6"/>
          <w:sz w:val="20"/>
          <w:szCs w:val="20"/>
        </w:rPr>
        <w:t>目前，世界各国都在致力于研究新的结核病疫苗，但是，新疫苗的诞生还需假以时日。</w:t>
      </w:r>
      <w:r>
        <w:rPr>
          <w:rFonts w:ascii="宋体" w:hAnsi="宋体" w:eastAsia="宋体" w:cs="宋体"/>
          <w:spacing w:val="5"/>
          <w:sz w:val="20"/>
          <w:szCs w:val="20"/>
        </w:rPr>
        <w:t>近期内，</w:t>
      </w:r>
      <w:r>
        <w:rPr>
          <w:rFonts w:ascii="宋体" w:hAnsi="宋体" w:eastAsia="宋体" w:cs="宋体"/>
          <w:sz w:val="20"/>
          <w:szCs w:val="20"/>
        </w:rPr>
        <w:t xml:space="preserve"> </w:t>
      </w:r>
      <w:r>
        <w:rPr>
          <w:rFonts w:ascii="宋体" w:hAnsi="宋体" w:eastAsia="宋体" w:cs="宋体"/>
          <w:spacing w:val="11"/>
          <w:sz w:val="20"/>
          <w:szCs w:val="20"/>
        </w:rPr>
        <w:t>卡介苗免疫计划仍将是发展中国家免疫规划</w:t>
      </w:r>
      <w:r>
        <w:rPr>
          <w:rFonts w:ascii="宋体" w:hAnsi="宋体" w:eastAsia="宋体" w:cs="宋体"/>
          <w:spacing w:val="10"/>
          <w:sz w:val="20"/>
          <w:szCs w:val="20"/>
        </w:rPr>
        <w:t>的重要部分，因此，有必要最大可能地发挥卡介苗免疫</w:t>
      </w:r>
      <w:r>
        <w:rPr>
          <w:rFonts w:ascii="宋体" w:hAnsi="宋体" w:eastAsia="宋体" w:cs="宋体"/>
          <w:sz w:val="20"/>
          <w:szCs w:val="20"/>
        </w:rPr>
        <w:t xml:space="preserve">  </w:t>
      </w:r>
      <w:r>
        <w:rPr>
          <w:rFonts w:ascii="宋体" w:hAnsi="宋体" w:eastAsia="宋体" w:cs="宋体"/>
          <w:spacing w:val="3"/>
          <w:sz w:val="20"/>
          <w:szCs w:val="20"/>
        </w:rPr>
        <w:t>的效益，从而更好地保护儿童，使其免于罹患严</w:t>
      </w:r>
      <w:r>
        <w:rPr>
          <w:rFonts w:ascii="宋体" w:hAnsi="宋体" w:eastAsia="宋体" w:cs="宋体"/>
          <w:spacing w:val="2"/>
          <w:sz w:val="20"/>
          <w:szCs w:val="20"/>
        </w:rPr>
        <w:t>重类型的结核病。</w:t>
      </w:r>
    </w:p>
    <w:p w14:paraId="6DB22102">
      <w:pPr>
        <w:spacing w:line="219" w:lineRule="auto"/>
        <w:ind w:left="8902"/>
        <w:rPr>
          <w:rFonts w:ascii="宋体" w:hAnsi="宋体" w:eastAsia="宋体" w:cs="宋体"/>
          <w:sz w:val="20"/>
          <w:szCs w:val="20"/>
        </w:rPr>
      </w:pPr>
      <w:r>
        <w:rPr>
          <w:rFonts w:ascii="宋体" w:hAnsi="宋体" w:eastAsia="宋体" w:cs="宋体"/>
          <w:b/>
          <w:bCs/>
          <w:spacing w:val="25"/>
          <w:sz w:val="20"/>
          <w:szCs w:val="20"/>
        </w:rPr>
        <w:t>(王伟炳)</w:t>
      </w:r>
    </w:p>
    <w:p w14:paraId="758CFAAC">
      <w:pPr>
        <w:spacing w:line="285" w:lineRule="auto"/>
        <w:rPr>
          <w:rFonts w:ascii="Arial"/>
          <w:sz w:val="21"/>
        </w:rPr>
      </w:pPr>
    </w:p>
    <w:p w14:paraId="694FF46B">
      <w:pPr>
        <w:spacing w:line="460" w:lineRule="exact"/>
        <w:ind w:firstLine="9490"/>
      </w:pPr>
      <w:r>
        <w:rPr>
          <w:position w:val="-9"/>
        </w:rPr>
        <w:drawing>
          <wp:inline distT="0" distB="0" distL="0" distR="0">
            <wp:extent cx="317500" cy="292100"/>
            <wp:effectExtent l="0" t="0" r="0" b="0"/>
            <wp:docPr id="802" name="IM 802"/>
            <wp:cNvGraphicFramePr/>
            <a:graphic xmlns:a="http://schemas.openxmlformats.org/drawingml/2006/main">
              <a:graphicData uri="http://schemas.openxmlformats.org/drawingml/2006/picture">
                <pic:pic xmlns:pic="http://schemas.openxmlformats.org/drawingml/2006/picture">
                  <pic:nvPicPr>
                    <pic:cNvPr id="802" name="IM 802"/>
                    <pic:cNvPicPr/>
                  </pic:nvPicPr>
                  <pic:blipFill>
                    <a:blip r:embed="rId691"/>
                    <a:stretch>
                      <a:fillRect/>
                    </a:stretch>
                  </pic:blipFill>
                  <pic:spPr>
                    <a:xfrm>
                      <a:off x="0" y="0"/>
                      <a:ext cx="317524" cy="292117"/>
                    </a:xfrm>
                    <a:prstGeom prst="rect">
                      <a:avLst/>
                    </a:prstGeom>
                  </pic:spPr>
                </pic:pic>
              </a:graphicData>
            </a:graphic>
          </wp:inline>
        </w:drawing>
      </w:r>
    </w:p>
    <w:p w14:paraId="16436019">
      <w:pPr>
        <w:pStyle w:val="2"/>
        <w:spacing w:before="107" w:line="222" w:lineRule="auto"/>
        <w:ind w:left="1163"/>
        <w:rPr>
          <w:sz w:val="26"/>
          <w:szCs w:val="26"/>
        </w:rPr>
      </w:pPr>
      <w:r>
        <w:rPr>
          <w:b/>
          <w:bCs/>
          <w:spacing w:val="-5"/>
          <w:sz w:val="26"/>
          <w:szCs w:val="26"/>
        </w:rPr>
        <w:t>思考题</w:t>
      </w:r>
    </w:p>
    <w:p w14:paraId="4C194780">
      <w:pPr>
        <w:spacing w:before="78" w:line="219" w:lineRule="auto"/>
        <w:ind w:left="2010"/>
        <w:rPr>
          <w:rFonts w:ascii="宋体" w:hAnsi="宋体" w:eastAsia="宋体" w:cs="宋体"/>
          <w:sz w:val="20"/>
          <w:szCs w:val="20"/>
        </w:rPr>
      </w:pPr>
      <w:r>
        <w:rPr>
          <w:rFonts w:ascii="宋体" w:hAnsi="宋体" w:eastAsia="宋体" w:cs="宋体"/>
          <w:spacing w:val="3"/>
          <w:sz w:val="20"/>
          <w:szCs w:val="20"/>
        </w:rPr>
        <w:t>1.</w:t>
      </w:r>
      <w:r>
        <w:rPr>
          <w:rFonts w:ascii="宋体" w:hAnsi="宋体" w:eastAsia="宋体" w:cs="宋体"/>
          <w:spacing w:val="-25"/>
          <w:sz w:val="20"/>
          <w:szCs w:val="20"/>
        </w:rPr>
        <w:t xml:space="preserve"> </w:t>
      </w:r>
      <w:r>
        <w:rPr>
          <w:rFonts w:ascii="宋体" w:hAnsi="宋体" w:eastAsia="宋体" w:cs="宋体"/>
          <w:spacing w:val="3"/>
          <w:sz w:val="20"/>
          <w:szCs w:val="20"/>
        </w:rPr>
        <w:t>耐药结核病流行的主要因素有哪些?</w:t>
      </w:r>
    </w:p>
    <w:p w14:paraId="7C4DDDBA">
      <w:pPr>
        <w:spacing w:before="131" w:line="219" w:lineRule="auto"/>
        <w:ind w:left="2010"/>
        <w:rPr>
          <w:rFonts w:ascii="宋体" w:hAnsi="宋体" w:eastAsia="宋体" w:cs="宋体"/>
          <w:sz w:val="20"/>
          <w:szCs w:val="20"/>
        </w:rPr>
      </w:pPr>
      <w:r>
        <w:rPr>
          <w:rFonts w:ascii="Times New Roman" w:hAnsi="Times New Roman" w:eastAsia="Times New Roman" w:cs="Times New Roman"/>
          <w:spacing w:val="11"/>
          <w:sz w:val="20"/>
          <w:szCs w:val="20"/>
        </w:rPr>
        <w:t>2.</w:t>
      </w:r>
      <w:r>
        <w:rPr>
          <w:rFonts w:ascii="Times New Roman" w:hAnsi="Times New Roman" w:eastAsia="Times New Roman" w:cs="Times New Roman"/>
          <w:sz w:val="20"/>
          <w:szCs w:val="20"/>
        </w:rPr>
        <w:t>DOTS</w:t>
      </w:r>
      <w:r>
        <w:rPr>
          <w:rFonts w:ascii="Times New Roman" w:hAnsi="Times New Roman" w:eastAsia="Times New Roman" w:cs="Times New Roman"/>
          <w:spacing w:val="11"/>
          <w:sz w:val="20"/>
          <w:szCs w:val="20"/>
        </w:rPr>
        <w:t xml:space="preserve">   </w:t>
      </w:r>
      <w:r>
        <w:rPr>
          <w:rFonts w:ascii="宋体" w:hAnsi="宋体" w:eastAsia="宋体" w:cs="宋体"/>
          <w:spacing w:val="11"/>
          <w:sz w:val="20"/>
          <w:szCs w:val="20"/>
        </w:rPr>
        <w:t>策略和</w:t>
      </w:r>
      <w:r>
        <w:rPr>
          <w:rFonts w:ascii="Times New Roman" w:hAnsi="Times New Roman" w:eastAsia="Times New Roman" w:cs="Times New Roman"/>
          <w:sz w:val="20"/>
          <w:szCs w:val="20"/>
        </w:rPr>
        <w:t>END</w:t>
      </w:r>
      <w:r>
        <w:rPr>
          <w:rFonts w:ascii="Times New Roman" w:hAnsi="Times New Roman" w:eastAsia="Times New Roman" w:cs="Times New Roman"/>
          <w:spacing w:val="11"/>
          <w:sz w:val="20"/>
          <w:szCs w:val="20"/>
        </w:rPr>
        <w:t>-</w:t>
      </w:r>
      <w:r>
        <w:rPr>
          <w:rFonts w:ascii="Times New Roman" w:hAnsi="Times New Roman" w:eastAsia="Times New Roman" w:cs="Times New Roman"/>
          <w:sz w:val="20"/>
          <w:szCs w:val="20"/>
        </w:rPr>
        <w:t>TB</w:t>
      </w:r>
      <w:r>
        <w:rPr>
          <w:rFonts w:ascii="Times New Roman" w:hAnsi="Times New Roman" w:eastAsia="Times New Roman" w:cs="Times New Roman"/>
          <w:spacing w:val="33"/>
          <w:w w:val="101"/>
          <w:sz w:val="20"/>
          <w:szCs w:val="20"/>
        </w:rPr>
        <w:t xml:space="preserve"> </w:t>
      </w:r>
      <w:r>
        <w:rPr>
          <w:rFonts w:ascii="宋体" w:hAnsi="宋体" w:eastAsia="宋体" w:cs="宋体"/>
          <w:spacing w:val="11"/>
          <w:sz w:val="20"/>
          <w:szCs w:val="20"/>
        </w:rPr>
        <w:t>策略的基本要素是什么?</w:t>
      </w:r>
    </w:p>
    <w:p w14:paraId="3A27D4C6">
      <w:pPr>
        <w:spacing w:line="219" w:lineRule="auto"/>
        <w:rPr>
          <w:rFonts w:ascii="宋体" w:hAnsi="宋体" w:eastAsia="宋体" w:cs="宋体"/>
          <w:sz w:val="20"/>
          <w:szCs w:val="20"/>
        </w:rPr>
        <w:sectPr>
          <w:footerReference r:id="rId345" w:type="default"/>
          <w:pgSz w:w="11900" w:h="16820"/>
          <w:pgMar w:top="400" w:right="1269" w:bottom="849" w:left="639" w:header="0" w:footer="669" w:gutter="0"/>
          <w:cols w:space="720" w:num="1"/>
        </w:sectPr>
      </w:pPr>
    </w:p>
    <w:p w14:paraId="578D1457">
      <w:pPr>
        <w:spacing w:line="297" w:lineRule="auto"/>
        <w:rPr>
          <w:rFonts w:ascii="Arial"/>
          <w:sz w:val="21"/>
        </w:rPr>
      </w:pPr>
    </w:p>
    <w:p w14:paraId="06FF5711">
      <w:pPr>
        <w:spacing w:line="297" w:lineRule="auto"/>
        <w:rPr>
          <w:rFonts w:ascii="Arial"/>
          <w:sz w:val="21"/>
        </w:rPr>
      </w:pPr>
    </w:p>
    <w:p w14:paraId="2ECEAC48">
      <w:pPr>
        <w:spacing w:line="298" w:lineRule="auto"/>
        <w:rPr>
          <w:rFonts w:ascii="Arial"/>
          <w:sz w:val="21"/>
        </w:rPr>
      </w:pPr>
      <w:r>
        <w:drawing>
          <wp:anchor distT="0" distB="0" distL="0" distR="0" simplePos="0" relativeHeight="251986944" behindDoc="0" locked="0" layoutInCell="1" allowOverlap="1">
            <wp:simplePos x="0" y="0"/>
            <wp:positionH relativeFrom="column">
              <wp:posOffset>4991100</wp:posOffset>
            </wp:positionH>
            <wp:positionV relativeFrom="paragraph">
              <wp:posOffset>203835</wp:posOffset>
            </wp:positionV>
            <wp:extent cx="558800" cy="628650"/>
            <wp:effectExtent l="0" t="0" r="0" b="0"/>
            <wp:wrapNone/>
            <wp:docPr id="804" name="IM 804"/>
            <wp:cNvGraphicFramePr/>
            <a:graphic xmlns:a="http://schemas.openxmlformats.org/drawingml/2006/main">
              <a:graphicData uri="http://schemas.openxmlformats.org/drawingml/2006/picture">
                <pic:pic xmlns:pic="http://schemas.openxmlformats.org/drawingml/2006/picture">
                  <pic:nvPicPr>
                    <pic:cNvPr id="804" name="IM 804"/>
                    <pic:cNvPicPr/>
                  </pic:nvPicPr>
                  <pic:blipFill>
                    <a:blip r:embed="rId692"/>
                    <a:stretch>
                      <a:fillRect/>
                    </a:stretch>
                  </pic:blipFill>
                  <pic:spPr>
                    <a:xfrm>
                      <a:off x="0" y="0"/>
                      <a:ext cx="558727" cy="628665"/>
                    </a:xfrm>
                    <a:prstGeom prst="rect">
                      <a:avLst/>
                    </a:prstGeom>
                  </pic:spPr>
                </pic:pic>
              </a:graphicData>
            </a:graphic>
          </wp:anchor>
        </w:drawing>
      </w:r>
    </w:p>
    <w:p w14:paraId="0C853556">
      <w:pPr>
        <w:pStyle w:val="2"/>
        <w:spacing w:before="88" w:line="222" w:lineRule="auto"/>
        <w:ind w:left="3703"/>
        <w:outlineLvl w:val="0"/>
        <w:rPr>
          <w:sz w:val="27"/>
          <w:szCs w:val="27"/>
        </w:rPr>
      </w:pPr>
      <w:bookmarkStart w:id="530" w:name="bookmark329"/>
      <w:bookmarkEnd w:id="530"/>
      <w:r>
        <w:rPr>
          <w:b/>
          <w:bCs/>
          <w:spacing w:val="9"/>
          <w:sz w:val="27"/>
          <w:szCs w:val="27"/>
        </w:rPr>
        <w:t>第二十一章</w:t>
      </w:r>
    </w:p>
    <w:p w14:paraId="306394CF">
      <w:pPr>
        <w:pStyle w:val="2"/>
        <w:spacing w:before="137" w:line="221" w:lineRule="auto"/>
        <w:ind w:left="3356"/>
        <w:outlineLvl w:val="0"/>
        <w:rPr>
          <w:sz w:val="43"/>
          <w:szCs w:val="43"/>
        </w:rPr>
      </w:pPr>
      <w:bookmarkStart w:id="531" w:name="bookmark590"/>
      <w:bookmarkEnd w:id="531"/>
      <w:bookmarkStart w:id="532" w:name="bookmark329"/>
      <w:bookmarkEnd w:id="532"/>
      <w:r>
        <w:rPr>
          <w:b/>
          <w:bCs/>
          <w:spacing w:val="-8"/>
          <w:sz w:val="43"/>
          <w:szCs w:val="43"/>
        </w:rPr>
        <w:t>性传播疾病</w:t>
      </w:r>
    </w:p>
    <w:p w14:paraId="223B65F9">
      <w:pPr>
        <w:spacing w:before="117" w:line="460" w:lineRule="exact"/>
        <w:ind w:firstLine="8699"/>
      </w:pPr>
      <w:r>
        <w:rPr>
          <w:position w:val="-9"/>
        </w:rPr>
        <w:drawing>
          <wp:inline distT="0" distB="0" distL="0" distR="0">
            <wp:extent cx="311150" cy="292100"/>
            <wp:effectExtent l="0" t="0" r="0" b="0"/>
            <wp:docPr id="806" name="IM 806"/>
            <wp:cNvGraphicFramePr/>
            <a:graphic xmlns:a="http://schemas.openxmlformats.org/drawingml/2006/main">
              <a:graphicData uri="http://schemas.openxmlformats.org/drawingml/2006/picture">
                <pic:pic xmlns:pic="http://schemas.openxmlformats.org/drawingml/2006/picture">
                  <pic:nvPicPr>
                    <pic:cNvPr id="806" name="IM 806"/>
                    <pic:cNvPicPr/>
                  </pic:nvPicPr>
                  <pic:blipFill>
                    <a:blip r:embed="rId693"/>
                    <a:stretch>
                      <a:fillRect/>
                    </a:stretch>
                  </pic:blipFill>
                  <pic:spPr>
                    <a:xfrm>
                      <a:off x="0" y="0"/>
                      <a:ext cx="311177" cy="292117"/>
                    </a:xfrm>
                    <a:prstGeom prst="rect">
                      <a:avLst/>
                    </a:prstGeom>
                  </pic:spPr>
                </pic:pic>
              </a:graphicData>
            </a:graphic>
          </wp:inline>
        </w:drawing>
      </w:r>
    </w:p>
    <w:p w14:paraId="075A3735">
      <w:pPr>
        <w:spacing w:line="284" w:lineRule="auto"/>
        <w:rPr>
          <w:rFonts w:ascii="Arial"/>
          <w:sz w:val="21"/>
        </w:rPr>
      </w:pPr>
    </w:p>
    <w:p w14:paraId="74D5A18E">
      <w:pPr>
        <w:spacing w:before="78" w:line="198" w:lineRule="auto"/>
        <w:ind w:left="1630"/>
        <w:rPr>
          <w:rFonts w:ascii="Arial" w:hAnsi="Arial" w:eastAsia="Arial" w:cs="Arial"/>
          <w:sz w:val="27"/>
          <w:szCs w:val="27"/>
        </w:rPr>
      </w:pPr>
      <w:r>
        <w:rPr>
          <w:rFonts w:ascii="Arial" w:hAnsi="Arial" w:eastAsia="Arial" w:cs="Arial"/>
          <w:b/>
          <w:bCs/>
          <w:spacing w:val="-1"/>
          <w:sz w:val="27"/>
          <w:szCs w:val="27"/>
        </w:rPr>
        <w:t>Chapter</w:t>
      </w:r>
      <w:r>
        <w:rPr>
          <w:rFonts w:ascii="Arial" w:hAnsi="Arial" w:eastAsia="Arial" w:cs="Arial"/>
          <w:b/>
          <w:bCs/>
          <w:spacing w:val="42"/>
          <w:sz w:val="27"/>
          <w:szCs w:val="27"/>
        </w:rPr>
        <w:t xml:space="preserve"> </w:t>
      </w:r>
      <w:r>
        <w:rPr>
          <w:rFonts w:ascii="Arial" w:hAnsi="Arial" w:eastAsia="Arial" w:cs="Arial"/>
          <w:b/>
          <w:bCs/>
          <w:spacing w:val="-1"/>
          <w:sz w:val="27"/>
          <w:szCs w:val="27"/>
        </w:rPr>
        <w:t>21</w:t>
      </w:r>
      <w:r>
        <w:rPr>
          <w:rFonts w:ascii="Arial" w:hAnsi="Arial" w:eastAsia="Arial" w:cs="Arial"/>
          <w:b/>
          <w:bCs/>
          <w:spacing w:val="49"/>
          <w:sz w:val="27"/>
          <w:szCs w:val="27"/>
        </w:rPr>
        <w:t xml:space="preserve"> </w:t>
      </w:r>
      <w:r>
        <w:rPr>
          <w:rFonts w:ascii="Arial" w:hAnsi="Arial" w:eastAsia="Arial" w:cs="Arial"/>
          <w:b/>
          <w:bCs/>
          <w:spacing w:val="-1"/>
          <w:sz w:val="27"/>
          <w:szCs w:val="27"/>
        </w:rPr>
        <w:t>Sexually</w:t>
      </w:r>
      <w:r>
        <w:rPr>
          <w:rFonts w:ascii="Arial" w:hAnsi="Arial" w:eastAsia="Arial" w:cs="Arial"/>
          <w:b/>
          <w:bCs/>
          <w:spacing w:val="45"/>
          <w:sz w:val="27"/>
          <w:szCs w:val="27"/>
        </w:rPr>
        <w:t xml:space="preserve"> </w:t>
      </w:r>
      <w:r>
        <w:rPr>
          <w:rFonts w:ascii="Arial" w:hAnsi="Arial" w:eastAsia="Arial" w:cs="Arial"/>
          <w:b/>
          <w:bCs/>
          <w:spacing w:val="-1"/>
          <w:sz w:val="27"/>
          <w:szCs w:val="27"/>
        </w:rPr>
        <w:t>Tr</w:t>
      </w:r>
      <w:r>
        <w:rPr>
          <w:rFonts w:ascii="Arial" w:hAnsi="Arial" w:eastAsia="Arial" w:cs="Arial"/>
          <w:b/>
          <w:bCs/>
          <w:spacing w:val="-2"/>
          <w:sz w:val="27"/>
          <w:szCs w:val="27"/>
        </w:rPr>
        <w:t>ansmitted</w:t>
      </w:r>
      <w:r>
        <w:rPr>
          <w:rFonts w:ascii="Arial" w:hAnsi="Arial" w:eastAsia="Arial" w:cs="Arial"/>
          <w:b/>
          <w:bCs/>
          <w:spacing w:val="59"/>
          <w:sz w:val="27"/>
          <w:szCs w:val="27"/>
        </w:rPr>
        <w:t xml:space="preserve"> </w:t>
      </w:r>
      <w:r>
        <w:rPr>
          <w:rFonts w:ascii="Arial" w:hAnsi="Arial" w:eastAsia="Arial" w:cs="Arial"/>
          <w:b/>
          <w:bCs/>
          <w:spacing w:val="-2"/>
          <w:sz w:val="27"/>
          <w:szCs w:val="27"/>
        </w:rPr>
        <w:t>Diseases</w:t>
      </w:r>
    </w:p>
    <w:p w14:paraId="46F22ACC">
      <w:pPr>
        <w:spacing w:line="432" w:lineRule="auto"/>
        <w:rPr>
          <w:rFonts w:ascii="Arial"/>
          <w:sz w:val="21"/>
        </w:rPr>
      </w:pPr>
    </w:p>
    <w:p w14:paraId="21336836">
      <w:pPr>
        <w:spacing w:before="58" w:line="382" w:lineRule="auto"/>
        <w:ind w:right="637" w:firstLine="420"/>
        <w:jc w:val="both"/>
        <w:rPr>
          <w:rFonts w:ascii="Times New Roman" w:hAnsi="Times New Roman" w:eastAsia="Times New Roman" w:cs="Times New Roman"/>
          <w:sz w:val="20"/>
          <w:szCs w:val="20"/>
        </w:rPr>
      </w:pPr>
      <w:r>
        <w:rPr>
          <w:rFonts w:ascii="Times New Roman" w:hAnsi="Times New Roman" w:eastAsia="Times New Roman" w:cs="Times New Roman"/>
          <w:sz w:val="20"/>
          <w:szCs w:val="20"/>
        </w:rPr>
        <w:t>Sexually</w:t>
      </w:r>
      <w:r>
        <w:rPr>
          <w:rFonts w:ascii="Times New Roman" w:hAnsi="Times New Roman" w:eastAsia="Times New Roman" w:cs="Times New Roman"/>
          <w:spacing w:val="23"/>
          <w:w w:val="101"/>
          <w:sz w:val="20"/>
          <w:szCs w:val="20"/>
        </w:rPr>
        <w:t xml:space="preserve"> </w:t>
      </w:r>
      <w:r>
        <w:rPr>
          <w:rFonts w:ascii="Times New Roman" w:hAnsi="Times New Roman" w:eastAsia="Times New Roman" w:cs="Times New Roman"/>
          <w:sz w:val="20"/>
          <w:szCs w:val="20"/>
        </w:rPr>
        <w:t>transmitted</w:t>
      </w:r>
      <w:r>
        <w:rPr>
          <w:rFonts w:ascii="Times New Roman" w:hAnsi="Times New Roman" w:eastAsia="Times New Roman" w:cs="Times New Roman"/>
          <w:spacing w:val="27"/>
          <w:sz w:val="20"/>
          <w:szCs w:val="20"/>
        </w:rPr>
        <w:t xml:space="preserve"> </w:t>
      </w:r>
      <w:r>
        <w:rPr>
          <w:rFonts w:ascii="Times New Roman" w:hAnsi="Times New Roman" w:eastAsia="Times New Roman" w:cs="Times New Roman"/>
          <w:sz w:val="20"/>
          <w:szCs w:val="20"/>
        </w:rPr>
        <w:t>infections(STIs)are</w:t>
      </w:r>
      <w:r>
        <w:rPr>
          <w:rFonts w:ascii="Times New Roman" w:hAnsi="Times New Roman" w:eastAsia="Times New Roman" w:cs="Times New Roman"/>
          <w:spacing w:val="27"/>
          <w:sz w:val="20"/>
          <w:szCs w:val="20"/>
        </w:rPr>
        <w:t xml:space="preserve"> </w:t>
      </w:r>
      <w:r>
        <w:rPr>
          <w:rFonts w:ascii="Times New Roman" w:hAnsi="Times New Roman" w:eastAsia="Times New Roman" w:cs="Times New Roman"/>
          <w:sz w:val="20"/>
          <w:szCs w:val="20"/>
        </w:rPr>
        <w:t>i</w:t>
      </w:r>
      <w:r>
        <w:rPr>
          <w:rFonts w:ascii="Times New Roman" w:hAnsi="Times New Roman" w:eastAsia="Times New Roman" w:cs="Times New Roman"/>
          <w:spacing w:val="-1"/>
          <w:sz w:val="20"/>
          <w:szCs w:val="20"/>
        </w:rPr>
        <w:t>nfections</w:t>
      </w:r>
      <w:r>
        <w:rPr>
          <w:rFonts w:ascii="Times New Roman" w:hAnsi="Times New Roman" w:eastAsia="Times New Roman" w:cs="Times New Roman"/>
          <w:spacing w:val="23"/>
          <w:sz w:val="20"/>
          <w:szCs w:val="20"/>
        </w:rPr>
        <w:t xml:space="preserve"> </w:t>
      </w:r>
      <w:r>
        <w:rPr>
          <w:rFonts w:ascii="Times New Roman" w:hAnsi="Times New Roman" w:eastAsia="Times New Roman" w:cs="Times New Roman"/>
          <w:spacing w:val="-1"/>
          <w:sz w:val="20"/>
          <w:szCs w:val="20"/>
        </w:rPr>
        <w:t>that</w:t>
      </w:r>
      <w:r>
        <w:rPr>
          <w:rFonts w:ascii="Times New Roman" w:hAnsi="Times New Roman" w:eastAsia="Times New Roman" w:cs="Times New Roman"/>
          <w:spacing w:val="28"/>
          <w:sz w:val="20"/>
          <w:szCs w:val="20"/>
        </w:rPr>
        <w:t xml:space="preserve"> </w:t>
      </w:r>
      <w:r>
        <w:rPr>
          <w:rFonts w:ascii="Times New Roman" w:hAnsi="Times New Roman" w:eastAsia="Times New Roman" w:cs="Times New Roman"/>
          <w:spacing w:val="-1"/>
          <w:sz w:val="20"/>
          <w:szCs w:val="20"/>
        </w:rPr>
        <w:t>are</w:t>
      </w:r>
      <w:r>
        <w:rPr>
          <w:rFonts w:ascii="Times New Roman" w:hAnsi="Times New Roman" w:eastAsia="Times New Roman" w:cs="Times New Roman"/>
          <w:spacing w:val="31"/>
          <w:sz w:val="20"/>
          <w:szCs w:val="20"/>
        </w:rPr>
        <w:t xml:space="preserve"> </w:t>
      </w:r>
      <w:r>
        <w:rPr>
          <w:rFonts w:ascii="Times New Roman" w:hAnsi="Times New Roman" w:eastAsia="Times New Roman" w:cs="Times New Roman"/>
          <w:spacing w:val="-1"/>
          <w:sz w:val="20"/>
          <w:szCs w:val="20"/>
        </w:rPr>
        <w:t>spread</w:t>
      </w:r>
      <w:r>
        <w:rPr>
          <w:rFonts w:ascii="Times New Roman" w:hAnsi="Times New Roman" w:eastAsia="Times New Roman" w:cs="Times New Roman"/>
          <w:spacing w:val="20"/>
          <w:w w:val="101"/>
          <w:sz w:val="20"/>
          <w:szCs w:val="20"/>
        </w:rPr>
        <w:t xml:space="preserve"> </w:t>
      </w:r>
      <w:r>
        <w:rPr>
          <w:rFonts w:ascii="Times New Roman" w:hAnsi="Times New Roman" w:eastAsia="Times New Roman" w:cs="Times New Roman"/>
          <w:spacing w:val="-1"/>
          <w:sz w:val="20"/>
          <w:szCs w:val="20"/>
        </w:rPr>
        <w:t>primarily</w:t>
      </w:r>
      <w:r>
        <w:rPr>
          <w:rFonts w:ascii="Times New Roman" w:hAnsi="Times New Roman" w:eastAsia="Times New Roman" w:cs="Times New Roman"/>
          <w:spacing w:val="23"/>
          <w:sz w:val="20"/>
          <w:szCs w:val="20"/>
        </w:rPr>
        <w:t xml:space="preserve"> </w:t>
      </w:r>
      <w:r>
        <w:rPr>
          <w:rFonts w:ascii="Times New Roman" w:hAnsi="Times New Roman" w:eastAsia="Times New Roman" w:cs="Times New Roman"/>
          <w:spacing w:val="-1"/>
          <w:sz w:val="20"/>
          <w:szCs w:val="20"/>
        </w:rPr>
        <w:t>through</w:t>
      </w:r>
      <w:r>
        <w:rPr>
          <w:rFonts w:ascii="Times New Roman" w:hAnsi="Times New Roman" w:eastAsia="Times New Roman" w:cs="Times New Roman"/>
          <w:spacing w:val="20"/>
          <w:w w:val="101"/>
          <w:sz w:val="20"/>
          <w:szCs w:val="20"/>
        </w:rPr>
        <w:t xml:space="preserve"> </w:t>
      </w:r>
      <w:r>
        <w:rPr>
          <w:rFonts w:ascii="Times New Roman" w:hAnsi="Times New Roman" w:eastAsia="Times New Roman" w:cs="Times New Roman"/>
          <w:spacing w:val="-1"/>
          <w:sz w:val="20"/>
          <w:szCs w:val="20"/>
        </w:rPr>
        <w:t>person-to-person</w:t>
      </w:r>
      <w:r>
        <w:rPr>
          <w:rFonts w:ascii="Times New Roman" w:hAnsi="Times New Roman" w:eastAsia="Times New Roman" w:cs="Times New Roman"/>
          <w:sz w:val="20"/>
          <w:szCs w:val="20"/>
        </w:rPr>
        <w:t xml:space="preserve"> </w:t>
      </w:r>
      <w:r>
        <w:rPr>
          <w:rFonts w:ascii="Times New Roman" w:hAnsi="Times New Roman" w:eastAsia="Times New Roman" w:cs="Times New Roman"/>
          <w:spacing w:val="-1"/>
          <w:sz w:val="20"/>
          <w:szCs w:val="20"/>
        </w:rPr>
        <w:t>sexual</w:t>
      </w:r>
      <w:r>
        <w:rPr>
          <w:rFonts w:ascii="Times New Roman" w:hAnsi="Times New Roman" w:eastAsia="Times New Roman" w:cs="Times New Roman"/>
          <w:spacing w:val="37"/>
          <w:sz w:val="20"/>
          <w:szCs w:val="20"/>
        </w:rPr>
        <w:t xml:space="preserve"> </w:t>
      </w:r>
      <w:r>
        <w:rPr>
          <w:rFonts w:ascii="Times New Roman" w:hAnsi="Times New Roman" w:eastAsia="Times New Roman" w:cs="Times New Roman"/>
          <w:spacing w:val="-1"/>
          <w:sz w:val="20"/>
          <w:szCs w:val="20"/>
        </w:rPr>
        <w:t>contact.Most</w:t>
      </w:r>
      <w:r>
        <w:rPr>
          <w:rFonts w:ascii="Times New Roman" w:hAnsi="Times New Roman" w:eastAsia="Times New Roman" w:cs="Times New Roman"/>
          <w:spacing w:val="42"/>
          <w:sz w:val="20"/>
          <w:szCs w:val="20"/>
        </w:rPr>
        <w:t xml:space="preserve"> </w:t>
      </w:r>
      <w:r>
        <w:rPr>
          <w:rFonts w:ascii="Times New Roman" w:hAnsi="Times New Roman" w:eastAsia="Times New Roman" w:cs="Times New Roman"/>
          <w:spacing w:val="-1"/>
          <w:sz w:val="20"/>
          <w:szCs w:val="20"/>
        </w:rPr>
        <w:t>STIs</w:t>
      </w:r>
      <w:r>
        <w:rPr>
          <w:rFonts w:ascii="Times New Roman" w:hAnsi="Times New Roman" w:eastAsia="Times New Roman" w:cs="Times New Roman"/>
          <w:spacing w:val="37"/>
          <w:sz w:val="20"/>
          <w:szCs w:val="20"/>
        </w:rPr>
        <w:t xml:space="preserve"> </w:t>
      </w:r>
      <w:r>
        <w:rPr>
          <w:rFonts w:ascii="Times New Roman" w:hAnsi="Times New Roman" w:eastAsia="Times New Roman" w:cs="Times New Roman"/>
          <w:spacing w:val="-1"/>
          <w:sz w:val="20"/>
          <w:szCs w:val="20"/>
        </w:rPr>
        <w:t>are</w:t>
      </w:r>
      <w:r>
        <w:rPr>
          <w:rFonts w:ascii="Times New Roman" w:hAnsi="Times New Roman" w:eastAsia="Times New Roman" w:cs="Times New Roman"/>
          <w:spacing w:val="37"/>
          <w:w w:val="101"/>
          <w:sz w:val="20"/>
          <w:szCs w:val="20"/>
        </w:rPr>
        <w:t xml:space="preserve"> </w:t>
      </w:r>
      <w:r>
        <w:rPr>
          <w:rFonts w:ascii="Times New Roman" w:hAnsi="Times New Roman" w:eastAsia="Times New Roman" w:cs="Times New Roman"/>
          <w:spacing w:val="-1"/>
          <w:sz w:val="20"/>
          <w:szCs w:val="20"/>
        </w:rPr>
        <w:t>asymptomatic.When</w:t>
      </w:r>
      <w:r>
        <w:rPr>
          <w:rFonts w:ascii="Times New Roman" w:hAnsi="Times New Roman" w:eastAsia="Times New Roman" w:cs="Times New Roman"/>
          <w:spacing w:val="37"/>
          <w:sz w:val="20"/>
          <w:szCs w:val="20"/>
        </w:rPr>
        <w:t xml:space="preserve"> </w:t>
      </w:r>
      <w:r>
        <w:rPr>
          <w:rFonts w:ascii="Times New Roman" w:hAnsi="Times New Roman" w:eastAsia="Times New Roman" w:cs="Times New Roman"/>
          <w:spacing w:val="-1"/>
          <w:sz w:val="20"/>
          <w:szCs w:val="20"/>
        </w:rPr>
        <w:t>an</w:t>
      </w:r>
      <w:r>
        <w:rPr>
          <w:rFonts w:ascii="Times New Roman" w:hAnsi="Times New Roman" w:eastAsia="Times New Roman" w:cs="Times New Roman"/>
          <w:spacing w:val="42"/>
          <w:w w:val="101"/>
          <w:sz w:val="20"/>
          <w:szCs w:val="20"/>
        </w:rPr>
        <w:t xml:space="preserve"> </w:t>
      </w:r>
      <w:r>
        <w:rPr>
          <w:rFonts w:ascii="Times New Roman" w:hAnsi="Times New Roman" w:eastAsia="Times New Roman" w:cs="Times New Roman"/>
          <w:spacing w:val="-1"/>
          <w:sz w:val="20"/>
          <w:szCs w:val="20"/>
        </w:rPr>
        <w:t>STI</w:t>
      </w:r>
      <w:r>
        <w:rPr>
          <w:rFonts w:ascii="Times New Roman" w:hAnsi="Times New Roman" w:eastAsia="Times New Roman" w:cs="Times New Roman"/>
          <w:spacing w:val="37"/>
          <w:sz w:val="20"/>
          <w:szCs w:val="20"/>
        </w:rPr>
        <w:t xml:space="preserve"> </w:t>
      </w:r>
      <w:r>
        <w:rPr>
          <w:rFonts w:ascii="Times New Roman" w:hAnsi="Times New Roman" w:eastAsia="Times New Roman" w:cs="Times New Roman"/>
          <w:spacing w:val="-1"/>
          <w:sz w:val="20"/>
          <w:szCs w:val="20"/>
        </w:rPr>
        <w:t>causes</w:t>
      </w:r>
      <w:r>
        <w:rPr>
          <w:rFonts w:ascii="Times New Roman" w:hAnsi="Times New Roman" w:eastAsia="Times New Roman" w:cs="Times New Roman"/>
          <w:spacing w:val="40"/>
          <w:sz w:val="20"/>
          <w:szCs w:val="20"/>
        </w:rPr>
        <w:t xml:space="preserve"> </w:t>
      </w:r>
      <w:r>
        <w:rPr>
          <w:rFonts w:ascii="Times New Roman" w:hAnsi="Times New Roman" w:eastAsia="Times New Roman" w:cs="Times New Roman"/>
          <w:spacing w:val="-2"/>
          <w:sz w:val="20"/>
          <w:szCs w:val="20"/>
        </w:rPr>
        <w:t>symptoms,it</w:t>
      </w:r>
      <w:r>
        <w:rPr>
          <w:rFonts w:ascii="Times New Roman" w:hAnsi="Times New Roman" w:eastAsia="Times New Roman" w:cs="Times New Roman"/>
          <w:spacing w:val="35"/>
          <w:sz w:val="20"/>
          <w:szCs w:val="20"/>
        </w:rPr>
        <w:t xml:space="preserve"> </w:t>
      </w:r>
      <w:r>
        <w:rPr>
          <w:rFonts w:ascii="Times New Roman" w:hAnsi="Times New Roman" w:eastAsia="Times New Roman" w:cs="Times New Roman"/>
          <w:spacing w:val="-2"/>
          <w:sz w:val="20"/>
          <w:szCs w:val="20"/>
        </w:rPr>
        <w:t>is</w:t>
      </w:r>
      <w:r>
        <w:rPr>
          <w:rFonts w:ascii="Times New Roman" w:hAnsi="Times New Roman" w:eastAsia="Times New Roman" w:cs="Times New Roman"/>
          <w:spacing w:val="31"/>
          <w:w w:val="101"/>
          <w:sz w:val="20"/>
          <w:szCs w:val="20"/>
        </w:rPr>
        <w:t xml:space="preserve"> </w:t>
      </w:r>
      <w:r>
        <w:rPr>
          <w:rFonts w:ascii="Times New Roman" w:hAnsi="Times New Roman" w:eastAsia="Times New Roman" w:cs="Times New Roman"/>
          <w:spacing w:val="-2"/>
          <w:sz w:val="20"/>
          <w:szCs w:val="20"/>
        </w:rPr>
        <w:t>referred</w:t>
      </w:r>
      <w:r>
        <w:rPr>
          <w:rFonts w:ascii="Times New Roman" w:hAnsi="Times New Roman" w:eastAsia="Times New Roman" w:cs="Times New Roman"/>
          <w:spacing w:val="31"/>
          <w:w w:val="101"/>
          <w:sz w:val="20"/>
          <w:szCs w:val="20"/>
        </w:rPr>
        <w:t xml:space="preserve"> </w:t>
      </w:r>
      <w:r>
        <w:rPr>
          <w:rFonts w:ascii="Times New Roman" w:hAnsi="Times New Roman" w:eastAsia="Times New Roman" w:cs="Times New Roman"/>
          <w:spacing w:val="-2"/>
          <w:sz w:val="20"/>
          <w:szCs w:val="20"/>
        </w:rPr>
        <w:t>to</w:t>
      </w:r>
      <w:r>
        <w:rPr>
          <w:rFonts w:ascii="Times New Roman" w:hAnsi="Times New Roman" w:eastAsia="Times New Roman" w:cs="Times New Roman"/>
          <w:spacing w:val="37"/>
          <w:sz w:val="20"/>
          <w:szCs w:val="20"/>
        </w:rPr>
        <w:t xml:space="preserve"> </w:t>
      </w:r>
      <w:r>
        <w:rPr>
          <w:rFonts w:ascii="Times New Roman" w:hAnsi="Times New Roman" w:eastAsia="Times New Roman" w:cs="Times New Roman"/>
          <w:spacing w:val="-2"/>
          <w:sz w:val="20"/>
          <w:szCs w:val="20"/>
        </w:rPr>
        <w:t>as</w:t>
      </w:r>
      <w:r>
        <w:rPr>
          <w:rFonts w:ascii="Times New Roman" w:hAnsi="Times New Roman" w:eastAsia="Times New Roman" w:cs="Times New Roman"/>
          <w:spacing w:val="37"/>
          <w:w w:val="101"/>
          <w:sz w:val="20"/>
          <w:szCs w:val="20"/>
        </w:rPr>
        <w:t xml:space="preserve"> </w:t>
      </w:r>
      <w:r>
        <w:rPr>
          <w:rFonts w:ascii="Times New Roman" w:hAnsi="Times New Roman" w:eastAsia="Times New Roman" w:cs="Times New Roman"/>
          <w:spacing w:val="-2"/>
          <w:sz w:val="20"/>
          <w:szCs w:val="20"/>
        </w:rPr>
        <w:t>a</w:t>
      </w:r>
      <w:r>
        <w:rPr>
          <w:rFonts w:ascii="Times New Roman" w:hAnsi="Times New Roman" w:eastAsia="Times New Roman" w:cs="Times New Roman"/>
          <w:spacing w:val="39"/>
          <w:w w:val="101"/>
          <w:sz w:val="20"/>
          <w:szCs w:val="20"/>
        </w:rPr>
        <w:t xml:space="preserve"> </w:t>
      </w:r>
      <w:r>
        <w:rPr>
          <w:rFonts w:ascii="Times New Roman" w:hAnsi="Times New Roman" w:eastAsia="Times New Roman" w:cs="Times New Roman"/>
          <w:spacing w:val="-2"/>
          <w:sz w:val="20"/>
          <w:szCs w:val="20"/>
        </w:rPr>
        <w:t>sexually</w:t>
      </w:r>
      <w:r>
        <w:rPr>
          <w:rFonts w:ascii="Times New Roman" w:hAnsi="Times New Roman" w:eastAsia="Times New Roman" w:cs="Times New Roman"/>
          <w:sz w:val="20"/>
          <w:szCs w:val="20"/>
        </w:rPr>
        <w:t xml:space="preserve"> transmitted</w:t>
      </w:r>
      <w:r>
        <w:rPr>
          <w:rFonts w:ascii="Times New Roman" w:hAnsi="Times New Roman" w:eastAsia="Times New Roman" w:cs="Times New Roman"/>
          <w:spacing w:val="37"/>
          <w:sz w:val="20"/>
          <w:szCs w:val="20"/>
        </w:rPr>
        <w:t xml:space="preserve"> </w:t>
      </w:r>
      <w:r>
        <w:rPr>
          <w:rFonts w:ascii="Times New Roman" w:hAnsi="Times New Roman" w:eastAsia="Times New Roman" w:cs="Times New Roman"/>
          <w:sz w:val="20"/>
          <w:szCs w:val="20"/>
        </w:rPr>
        <w:t>disease(STD).The</w:t>
      </w:r>
      <w:r>
        <w:rPr>
          <w:rFonts w:ascii="Times New Roman" w:hAnsi="Times New Roman" w:eastAsia="Times New Roman" w:cs="Times New Roman"/>
          <w:spacing w:val="32"/>
          <w:sz w:val="20"/>
          <w:szCs w:val="20"/>
        </w:rPr>
        <w:t xml:space="preserve"> </w:t>
      </w:r>
      <w:r>
        <w:rPr>
          <w:rFonts w:ascii="Times New Roman" w:hAnsi="Times New Roman" w:eastAsia="Times New Roman" w:cs="Times New Roman"/>
          <w:sz w:val="20"/>
          <w:szCs w:val="20"/>
        </w:rPr>
        <w:t>high</w:t>
      </w:r>
      <w:r>
        <w:rPr>
          <w:rFonts w:ascii="Times New Roman" w:hAnsi="Times New Roman" w:eastAsia="Times New Roman" w:cs="Times New Roman"/>
          <w:spacing w:val="32"/>
          <w:w w:val="101"/>
          <w:sz w:val="20"/>
          <w:szCs w:val="20"/>
        </w:rPr>
        <w:t xml:space="preserve"> </w:t>
      </w:r>
      <w:r>
        <w:rPr>
          <w:rFonts w:ascii="Times New Roman" w:hAnsi="Times New Roman" w:eastAsia="Times New Roman" w:cs="Times New Roman"/>
          <w:sz w:val="20"/>
          <w:szCs w:val="20"/>
        </w:rPr>
        <w:t>rate</w:t>
      </w:r>
      <w:r>
        <w:rPr>
          <w:rFonts w:ascii="Times New Roman" w:hAnsi="Times New Roman" w:eastAsia="Times New Roman" w:cs="Times New Roman"/>
          <w:spacing w:val="37"/>
          <w:w w:val="101"/>
          <w:sz w:val="20"/>
          <w:szCs w:val="20"/>
        </w:rPr>
        <w:t xml:space="preserve"> </w:t>
      </w:r>
      <w:r>
        <w:rPr>
          <w:rFonts w:ascii="Times New Roman" w:hAnsi="Times New Roman" w:eastAsia="Times New Roman" w:cs="Times New Roman"/>
          <w:sz w:val="20"/>
          <w:szCs w:val="20"/>
        </w:rPr>
        <w:t>of</w:t>
      </w:r>
      <w:r>
        <w:rPr>
          <w:rFonts w:ascii="Times New Roman" w:hAnsi="Times New Roman" w:eastAsia="Times New Roman" w:cs="Times New Roman"/>
          <w:spacing w:val="17"/>
          <w:w w:val="101"/>
          <w:sz w:val="20"/>
          <w:szCs w:val="20"/>
        </w:rPr>
        <w:t xml:space="preserve"> </w:t>
      </w:r>
      <w:r>
        <w:rPr>
          <w:rFonts w:ascii="Times New Roman" w:hAnsi="Times New Roman" w:eastAsia="Times New Roman" w:cs="Times New Roman"/>
          <w:sz w:val="20"/>
          <w:szCs w:val="20"/>
        </w:rPr>
        <w:t>complications</w:t>
      </w:r>
      <w:r>
        <w:rPr>
          <w:rFonts w:ascii="Times New Roman" w:hAnsi="Times New Roman" w:eastAsia="Times New Roman" w:cs="Times New Roman"/>
          <w:spacing w:val="38"/>
          <w:sz w:val="20"/>
          <w:szCs w:val="20"/>
        </w:rPr>
        <w:t xml:space="preserve"> </w:t>
      </w:r>
      <w:r>
        <w:rPr>
          <w:rFonts w:ascii="Times New Roman" w:hAnsi="Times New Roman" w:eastAsia="Times New Roman" w:cs="Times New Roman"/>
          <w:sz w:val="20"/>
          <w:szCs w:val="20"/>
        </w:rPr>
        <w:t>aggravates</w:t>
      </w:r>
      <w:r>
        <w:rPr>
          <w:rFonts w:ascii="Times New Roman" w:hAnsi="Times New Roman" w:eastAsia="Times New Roman" w:cs="Times New Roman"/>
          <w:spacing w:val="33"/>
          <w:sz w:val="20"/>
          <w:szCs w:val="20"/>
        </w:rPr>
        <w:t xml:space="preserve"> </w:t>
      </w:r>
      <w:r>
        <w:rPr>
          <w:rFonts w:ascii="Times New Roman" w:hAnsi="Times New Roman" w:eastAsia="Times New Roman" w:cs="Times New Roman"/>
          <w:spacing w:val="-1"/>
          <w:sz w:val="20"/>
          <w:szCs w:val="20"/>
        </w:rPr>
        <w:t>the</w:t>
      </w:r>
      <w:r>
        <w:rPr>
          <w:rFonts w:ascii="Times New Roman" w:hAnsi="Times New Roman" w:eastAsia="Times New Roman" w:cs="Times New Roman"/>
          <w:spacing w:val="31"/>
          <w:sz w:val="20"/>
          <w:szCs w:val="20"/>
        </w:rPr>
        <w:t xml:space="preserve"> </w:t>
      </w:r>
      <w:r>
        <w:rPr>
          <w:rFonts w:ascii="Times New Roman" w:hAnsi="Times New Roman" w:eastAsia="Times New Roman" w:cs="Times New Roman"/>
          <w:spacing w:val="-1"/>
          <w:sz w:val="20"/>
          <w:szCs w:val="20"/>
        </w:rPr>
        <w:t>burden</w:t>
      </w:r>
      <w:r>
        <w:rPr>
          <w:rFonts w:ascii="Times New Roman" w:hAnsi="Times New Roman" w:eastAsia="Times New Roman" w:cs="Times New Roman"/>
          <w:spacing w:val="37"/>
          <w:w w:val="101"/>
          <w:sz w:val="20"/>
          <w:szCs w:val="20"/>
        </w:rPr>
        <w:t xml:space="preserve"> </w:t>
      </w:r>
      <w:r>
        <w:rPr>
          <w:rFonts w:ascii="Times New Roman" w:hAnsi="Times New Roman" w:eastAsia="Times New Roman" w:cs="Times New Roman"/>
          <w:spacing w:val="-1"/>
          <w:sz w:val="20"/>
          <w:szCs w:val="20"/>
        </w:rPr>
        <w:t>of</w:t>
      </w:r>
      <w:r>
        <w:rPr>
          <w:rFonts w:ascii="Times New Roman" w:hAnsi="Times New Roman" w:eastAsia="Times New Roman" w:cs="Times New Roman"/>
          <w:spacing w:val="23"/>
          <w:sz w:val="20"/>
          <w:szCs w:val="20"/>
        </w:rPr>
        <w:t xml:space="preserve"> </w:t>
      </w:r>
      <w:r>
        <w:rPr>
          <w:rFonts w:ascii="Times New Roman" w:hAnsi="Times New Roman" w:eastAsia="Times New Roman" w:cs="Times New Roman"/>
          <w:spacing w:val="-1"/>
          <w:sz w:val="20"/>
          <w:szCs w:val="20"/>
        </w:rPr>
        <w:t>STDs,and</w:t>
      </w:r>
      <w:r>
        <w:rPr>
          <w:rFonts w:ascii="Times New Roman" w:hAnsi="Times New Roman" w:eastAsia="Times New Roman" w:cs="Times New Roman"/>
          <w:spacing w:val="33"/>
          <w:sz w:val="20"/>
          <w:szCs w:val="20"/>
        </w:rPr>
        <w:t xml:space="preserve"> </w:t>
      </w:r>
      <w:r>
        <w:rPr>
          <w:rFonts w:ascii="Times New Roman" w:hAnsi="Times New Roman" w:eastAsia="Times New Roman" w:cs="Times New Roman"/>
          <w:spacing w:val="-1"/>
          <w:sz w:val="20"/>
          <w:szCs w:val="20"/>
        </w:rPr>
        <w:t>their</w:t>
      </w:r>
      <w:r>
        <w:rPr>
          <w:rFonts w:ascii="Times New Roman" w:hAnsi="Times New Roman" w:eastAsia="Times New Roman" w:cs="Times New Roman"/>
          <w:spacing w:val="39"/>
          <w:w w:val="101"/>
          <w:sz w:val="20"/>
          <w:szCs w:val="20"/>
        </w:rPr>
        <w:t xml:space="preserve"> </w:t>
      </w:r>
      <w:r>
        <w:rPr>
          <w:rFonts w:ascii="Times New Roman" w:hAnsi="Times New Roman" w:eastAsia="Times New Roman" w:cs="Times New Roman"/>
          <w:spacing w:val="-1"/>
          <w:sz w:val="20"/>
          <w:szCs w:val="20"/>
        </w:rPr>
        <w:t>spread</w:t>
      </w:r>
      <w:r>
        <w:rPr>
          <w:rFonts w:ascii="Times New Roman" w:hAnsi="Times New Roman" w:eastAsia="Times New Roman" w:cs="Times New Roman"/>
          <w:sz w:val="20"/>
          <w:szCs w:val="20"/>
        </w:rPr>
        <w:t xml:space="preserve"> has</w:t>
      </w:r>
      <w:r>
        <w:rPr>
          <w:rFonts w:ascii="Times New Roman" w:hAnsi="Times New Roman" w:eastAsia="Times New Roman" w:cs="Times New Roman"/>
          <w:spacing w:val="16"/>
          <w:w w:val="101"/>
          <w:sz w:val="20"/>
          <w:szCs w:val="20"/>
        </w:rPr>
        <w:t xml:space="preserve"> </w:t>
      </w:r>
      <w:r>
        <w:rPr>
          <w:rFonts w:ascii="Times New Roman" w:hAnsi="Times New Roman" w:eastAsia="Times New Roman" w:cs="Times New Roman"/>
          <w:sz w:val="20"/>
          <w:szCs w:val="20"/>
        </w:rPr>
        <w:t>had</w:t>
      </w:r>
      <w:r>
        <w:rPr>
          <w:rFonts w:ascii="Times New Roman" w:hAnsi="Times New Roman" w:eastAsia="Times New Roman" w:cs="Times New Roman"/>
          <w:spacing w:val="21"/>
          <w:w w:val="101"/>
          <w:sz w:val="20"/>
          <w:szCs w:val="20"/>
        </w:rPr>
        <w:t xml:space="preserve"> </w:t>
      </w:r>
      <w:r>
        <w:rPr>
          <w:rFonts w:ascii="Times New Roman" w:hAnsi="Times New Roman" w:eastAsia="Times New Roman" w:cs="Times New Roman"/>
          <w:sz w:val="20"/>
          <w:szCs w:val="20"/>
        </w:rPr>
        <w:t>a</w:t>
      </w:r>
      <w:r>
        <w:rPr>
          <w:rFonts w:ascii="Times New Roman" w:hAnsi="Times New Roman" w:eastAsia="Times New Roman" w:cs="Times New Roman"/>
          <w:spacing w:val="16"/>
          <w:sz w:val="20"/>
          <w:szCs w:val="20"/>
        </w:rPr>
        <w:t xml:space="preserve"> </w:t>
      </w:r>
      <w:r>
        <w:rPr>
          <w:rFonts w:ascii="Times New Roman" w:hAnsi="Times New Roman" w:eastAsia="Times New Roman" w:cs="Times New Roman"/>
          <w:sz w:val="20"/>
          <w:szCs w:val="20"/>
        </w:rPr>
        <w:t>negative</w:t>
      </w:r>
      <w:r>
        <w:rPr>
          <w:rFonts w:ascii="Times New Roman" w:hAnsi="Times New Roman" w:eastAsia="Times New Roman" w:cs="Times New Roman"/>
          <w:spacing w:val="21"/>
          <w:sz w:val="20"/>
          <w:szCs w:val="20"/>
        </w:rPr>
        <w:t xml:space="preserve"> </w:t>
      </w:r>
      <w:r>
        <w:rPr>
          <w:rFonts w:ascii="Times New Roman" w:hAnsi="Times New Roman" w:eastAsia="Times New Roman" w:cs="Times New Roman"/>
          <w:sz w:val="20"/>
          <w:szCs w:val="20"/>
        </w:rPr>
        <w:t>impact</w:t>
      </w:r>
      <w:r>
        <w:rPr>
          <w:rFonts w:ascii="Times New Roman" w:hAnsi="Times New Roman" w:eastAsia="Times New Roman" w:cs="Times New Roman"/>
          <w:spacing w:val="21"/>
          <w:w w:val="101"/>
          <w:sz w:val="20"/>
          <w:szCs w:val="20"/>
        </w:rPr>
        <w:t xml:space="preserve"> </w:t>
      </w:r>
      <w:r>
        <w:rPr>
          <w:rFonts w:ascii="Times New Roman" w:hAnsi="Times New Roman" w:eastAsia="Times New Roman" w:cs="Times New Roman"/>
          <w:sz w:val="20"/>
          <w:szCs w:val="20"/>
        </w:rPr>
        <w:t>on</w:t>
      </w:r>
      <w:r>
        <w:rPr>
          <w:rFonts w:ascii="Times New Roman" w:hAnsi="Times New Roman" w:eastAsia="Times New Roman" w:cs="Times New Roman"/>
          <w:spacing w:val="16"/>
          <w:sz w:val="20"/>
          <w:szCs w:val="20"/>
        </w:rPr>
        <w:t xml:space="preserve"> </w:t>
      </w:r>
      <w:r>
        <w:rPr>
          <w:rFonts w:ascii="Times New Roman" w:hAnsi="Times New Roman" w:eastAsia="Times New Roman" w:cs="Times New Roman"/>
          <w:sz w:val="20"/>
          <w:szCs w:val="20"/>
        </w:rPr>
        <w:t>human</w:t>
      </w:r>
      <w:r>
        <w:rPr>
          <w:rFonts w:ascii="Times New Roman" w:hAnsi="Times New Roman" w:eastAsia="Times New Roman" w:cs="Times New Roman"/>
          <w:spacing w:val="21"/>
          <w:w w:val="101"/>
          <w:sz w:val="20"/>
          <w:szCs w:val="20"/>
        </w:rPr>
        <w:t xml:space="preserve"> </w:t>
      </w:r>
      <w:r>
        <w:rPr>
          <w:rFonts w:ascii="Times New Roman" w:hAnsi="Times New Roman" w:eastAsia="Times New Roman" w:cs="Times New Roman"/>
          <w:sz w:val="20"/>
          <w:szCs w:val="20"/>
        </w:rPr>
        <w:t>develo</w:t>
      </w:r>
      <w:r>
        <w:rPr>
          <w:rFonts w:ascii="Times New Roman" w:hAnsi="Times New Roman" w:eastAsia="Times New Roman" w:cs="Times New Roman"/>
          <w:spacing w:val="-1"/>
          <w:sz w:val="20"/>
          <w:szCs w:val="20"/>
        </w:rPr>
        <w:t>pment.Acquired</w:t>
      </w:r>
      <w:r>
        <w:rPr>
          <w:rFonts w:ascii="Times New Roman" w:hAnsi="Times New Roman" w:eastAsia="Times New Roman" w:cs="Times New Roman"/>
          <w:spacing w:val="20"/>
          <w:w w:val="101"/>
          <w:sz w:val="20"/>
          <w:szCs w:val="20"/>
        </w:rPr>
        <w:t xml:space="preserve"> </w:t>
      </w:r>
      <w:r>
        <w:rPr>
          <w:rFonts w:ascii="Times New Roman" w:hAnsi="Times New Roman" w:eastAsia="Times New Roman" w:cs="Times New Roman"/>
          <w:spacing w:val="-1"/>
          <w:sz w:val="20"/>
          <w:szCs w:val="20"/>
        </w:rPr>
        <w:t>immunodeficiency</w:t>
      </w:r>
      <w:r>
        <w:rPr>
          <w:rFonts w:ascii="Times New Roman" w:hAnsi="Times New Roman" w:eastAsia="Times New Roman" w:cs="Times New Roman"/>
          <w:spacing w:val="24"/>
          <w:w w:val="101"/>
          <w:sz w:val="20"/>
          <w:szCs w:val="20"/>
        </w:rPr>
        <w:t xml:space="preserve"> </w:t>
      </w:r>
      <w:r>
        <w:rPr>
          <w:rFonts w:ascii="Times New Roman" w:hAnsi="Times New Roman" w:eastAsia="Times New Roman" w:cs="Times New Roman"/>
          <w:spacing w:val="-1"/>
          <w:sz w:val="20"/>
          <w:szCs w:val="20"/>
        </w:rPr>
        <w:t>syndrome(AIDS),caused</w:t>
      </w:r>
      <w:r>
        <w:rPr>
          <w:rFonts w:ascii="Times New Roman" w:hAnsi="Times New Roman" w:eastAsia="Times New Roman" w:cs="Times New Roman"/>
          <w:spacing w:val="14"/>
          <w:w w:val="101"/>
          <w:sz w:val="20"/>
          <w:szCs w:val="20"/>
        </w:rPr>
        <w:t xml:space="preserve"> </w:t>
      </w:r>
      <w:r>
        <w:rPr>
          <w:rFonts w:ascii="Times New Roman" w:hAnsi="Times New Roman" w:eastAsia="Times New Roman" w:cs="Times New Roman"/>
          <w:spacing w:val="-1"/>
          <w:sz w:val="20"/>
          <w:szCs w:val="20"/>
        </w:rPr>
        <w:t>by</w:t>
      </w:r>
      <w:r>
        <w:rPr>
          <w:rFonts w:ascii="Times New Roman" w:hAnsi="Times New Roman" w:eastAsia="Times New Roman" w:cs="Times New Roman"/>
          <w:sz w:val="20"/>
          <w:szCs w:val="20"/>
        </w:rPr>
        <w:t xml:space="preserve"> HIV</w:t>
      </w:r>
      <w:r>
        <w:rPr>
          <w:rFonts w:ascii="Times New Roman" w:hAnsi="Times New Roman" w:eastAsia="Times New Roman" w:cs="Times New Roman"/>
          <w:spacing w:val="17"/>
          <w:w w:val="101"/>
          <w:sz w:val="20"/>
          <w:szCs w:val="20"/>
        </w:rPr>
        <w:t xml:space="preserve"> </w:t>
      </w:r>
      <w:r>
        <w:rPr>
          <w:rFonts w:ascii="Times New Roman" w:hAnsi="Times New Roman" w:eastAsia="Times New Roman" w:cs="Times New Roman"/>
          <w:sz w:val="20"/>
          <w:szCs w:val="20"/>
        </w:rPr>
        <w:t>infection,as</w:t>
      </w:r>
      <w:r>
        <w:rPr>
          <w:rFonts w:ascii="Times New Roman" w:hAnsi="Times New Roman" w:eastAsia="Times New Roman" w:cs="Times New Roman"/>
          <w:spacing w:val="18"/>
          <w:sz w:val="20"/>
          <w:szCs w:val="20"/>
        </w:rPr>
        <w:t xml:space="preserve"> </w:t>
      </w:r>
      <w:r>
        <w:rPr>
          <w:rFonts w:ascii="Times New Roman" w:hAnsi="Times New Roman" w:eastAsia="Times New Roman" w:cs="Times New Roman"/>
          <w:sz w:val="20"/>
          <w:szCs w:val="20"/>
        </w:rPr>
        <w:t>one</w:t>
      </w:r>
      <w:r>
        <w:rPr>
          <w:rFonts w:ascii="Times New Roman" w:hAnsi="Times New Roman" w:eastAsia="Times New Roman" w:cs="Times New Roman"/>
          <w:spacing w:val="18"/>
          <w:sz w:val="20"/>
          <w:szCs w:val="20"/>
        </w:rPr>
        <w:t xml:space="preserve"> </w:t>
      </w:r>
      <w:r>
        <w:rPr>
          <w:rFonts w:ascii="Times New Roman" w:hAnsi="Times New Roman" w:eastAsia="Times New Roman" w:cs="Times New Roman"/>
          <w:sz w:val="20"/>
          <w:szCs w:val="20"/>
        </w:rPr>
        <w:t>of the</w:t>
      </w:r>
      <w:r>
        <w:rPr>
          <w:rFonts w:ascii="Times New Roman" w:hAnsi="Times New Roman" w:eastAsia="Times New Roman" w:cs="Times New Roman"/>
          <w:spacing w:val="13"/>
          <w:sz w:val="20"/>
          <w:szCs w:val="20"/>
        </w:rPr>
        <w:t xml:space="preserve"> </w:t>
      </w:r>
      <w:r>
        <w:rPr>
          <w:rFonts w:ascii="Times New Roman" w:hAnsi="Times New Roman" w:eastAsia="Times New Roman" w:cs="Times New Roman"/>
          <w:sz w:val="20"/>
          <w:szCs w:val="20"/>
        </w:rPr>
        <w:t>major</w:t>
      </w:r>
      <w:r>
        <w:rPr>
          <w:rFonts w:ascii="Times New Roman" w:hAnsi="Times New Roman" w:eastAsia="Times New Roman" w:cs="Times New Roman"/>
          <w:spacing w:val="22"/>
          <w:w w:val="101"/>
          <w:sz w:val="20"/>
          <w:szCs w:val="20"/>
        </w:rPr>
        <w:t xml:space="preserve"> </w:t>
      </w:r>
      <w:r>
        <w:rPr>
          <w:rFonts w:ascii="Times New Roman" w:hAnsi="Times New Roman" w:eastAsia="Times New Roman" w:cs="Times New Roman"/>
          <w:sz w:val="20"/>
          <w:szCs w:val="20"/>
        </w:rPr>
        <w:t>STDs,has</w:t>
      </w:r>
      <w:r>
        <w:rPr>
          <w:rFonts w:ascii="Times New Roman" w:hAnsi="Times New Roman" w:eastAsia="Times New Roman" w:cs="Times New Roman"/>
          <w:spacing w:val="21"/>
          <w:sz w:val="20"/>
          <w:szCs w:val="20"/>
        </w:rPr>
        <w:t xml:space="preserve"> </w:t>
      </w:r>
      <w:r>
        <w:rPr>
          <w:rFonts w:ascii="Times New Roman" w:hAnsi="Times New Roman" w:eastAsia="Times New Roman" w:cs="Times New Roman"/>
          <w:sz w:val="20"/>
          <w:szCs w:val="20"/>
        </w:rPr>
        <w:t>spread r</w:t>
      </w:r>
      <w:r>
        <w:rPr>
          <w:rFonts w:ascii="Times New Roman" w:hAnsi="Times New Roman" w:eastAsia="Times New Roman" w:cs="Times New Roman"/>
          <w:spacing w:val="-1"/>
          <w:sz w:val="20"/>
          <w:szCs w:val="20"/>
        </w:rPr>
        <w:t>apidly</w:t>
      </w:r>
      <w:r>
        <w:rPr>
          <w:rFonts w:ascii="Times New Roman" w:hAnsi="Times New Roman" w:eastAsia="Times New Roman" w:cs="Times New Roman"/>
          <w:spacing w:val="18"/>
          <w:w w:val="101"/>
          <w:sz w:val="20"/>
          <w:szCs w:val="20"/>
        </w:rPr>
        <w:t xml:space="preserve"> </w:t>
      </w:r>
      <w:r>
        <w:rPr>
          <w:rFonts w:ascii="Times New Roman" w:hAnsi="Times New Roman" w:eastAsia="Times New Roman" w:cs="Times New Roman"/>
          <w:spacing w:val="-1"/>
          <w:sz w:val="20"/>
          <w:szCs w:val="20"/>
        </w:rPr>
        <w:t>all</w:t>
      </w:r>
      <w:r>
        <w:rPr>
          <w:rFonts w:ascii="Times New Roman" w:hAnsi="Times New Roman" w:eastAsia="Times New Roman" w:cs="Times New Roman"/>
          <w:spacing w:val="18"/>
          <w:sz w:val="20"/>
          <w:szCs w:val="20"/>
        </w:rPr>
        <w:t xml:space="preserve"> </w:t>
      </w:r>
      <w:r>
        <w:rPr>
          <w:rFonts w:ascii="Times New Roman" w:hAnsi="Times New Roman" w:eastAsia="Times New Roman" w:cs="Times New Roman"/>
          <w:spacing w:val="-1"/>
          <w:sz w:val="20"/>
          <w:szCs w:val="20"/>
        </w:rPr>
        <w:t>over the</w:t>
      </w:r>
      <w:r>
        <w:rPr>
          <w:rFonts w:ascii="Times New Roman" w:hAnsi="Times New Roman" w:eastAsia="Times New Roman" w:cs="Times New Roman"/>
          <w:spacing w:val="12"/>
          <w:sz w:val="20"/>
          <w:szCs w:val="20"/>
        </w:rPr>
        <w:t xml:space="preserve"> </w:t>
      </w:r>
      <w:r>
        <w:rPr>
          <w:rFonts w:ascii="Times New Roman" w:hAnsi="Times New Roman" w:eastAsia="Times New Roman" w:cs="Times New Roman"/>
          <w:spacing w:val="-1"/>
          <w:sz w:val="20"/>
          <w:szCs w:val="20"/>
        </w:rPr>
        <w:t>world.Sharing</w:t>
      </w:r>
      <w:r>
        <w:rPr>
          <w:rFonts w:ascii="Times New Roman" w:hAnsi="Times New Roman" w:eastAsia="Times New Roman" w:cs="Times New Roman"/>
          <w:spacing w:val="12"/>
          <w:w w:val="101"/>
          <w:sz w:val="20"/>
          <w:szCs w:val="20"/>
        </w:rPr>
        <w:t xml:space="preserve"> </w:t>
      </w:r>
      <w:r>
        <w:rPr>
          <w:rFonts w:ascii="Times New Roman" w:hAnsi="Times New Roman" w:eastAsia="Times New Roman" w:cs="Times New Roman"/>
          <w:spacing w:val="-1"/>
          <w:sz w:val="20"/>
          <w:szCs w:val="20"/>
        </w:rPr>
        <w:t>needles</w:t>
      </w:r>
      <w:r>
        <w:rPr>
          <w:rFonts w:ascii="Times New Roman" w:hAnsi="Times New Roman" w:eastAsia="Times New Roman" w:cs="Times New Roman"/>
          <w:spacing w:val="19"/>
          <w:sz w:val="20"/>
          <w:szCs w:val="20"/>
        </w:rPr>
        <w:t xml:space="preserve"> </w:t>
      </w:r>
      <w:r>
        <w:rPr>
          <w:rFonts w:ascii="Times New Roman" w:hAnsi="Times New Roman" w:eastAsia="Times New Roman" w:cs="Times New Roman"/>
          <w:spacing w:val="-1"/>
          <w:sz w:val="20"/>
          <w:szCs w:val="20"/>
        </w:rPr>
        <w:t>for</w:t>
      </w:r>
      <w:r>
        <w:rPr>
          <w:rFonts w:ascii="Times New Roman" w:hAnsi="Times New Roman" w:eastAsia="Times New Roman" w:cs="Times New Roman"/>
          <w:spacing w:val="15"/>
          <w:w w:val="101"/>
          <w:sz w:val="20"/>
          <w:szCs w:val="20"/>
        </w:rPr>
        <w:t xml:space="preserve"> </w:t>
      </w:r>
      <w:r>
        <w:rPr>
          <w:rFonts w:ascii="Times New Roman" w:hAnsi="Times New Roman" w:eastAsia="Times New Roman" w:cs="Times New Roman"/>
          <w:spacing w:val="-1"/>
          <w:sz w:val="20"/>
          <w:szCs w:val="20"/>
        </w:rPr>
        <w:t>injectable</w:t>
      </w:r>
      <w:r>
        <w:rPr>
          <w:rFonts w:ascii="Times New Roman" w:hAnsi="Times New Roman" w:eastAsia="Times New Roman" w:cs="Times New Roman"/>
          <w:sz w:val="20"/>
          <w:szCs w:val="20"/>
        </w:rPr>
        <w:t xml:space="preserve"> drugs,unprotected  sex,unscreened  blood</w:t>
      </w:r>
      <w:r>
        <w:rPr>
          <w:rFonts w:ascii="Times New Roman" w:hAnsi="Times New Roman" w:eastAsia="Times New Roman" w:cs="Times New Roman"/>
          <w:spacing w:val="48"/>
          <w:sz w:val="20"/>
          <w:szCs w:val="20"/>
        </w:rPr>
        <w:t xml:space="preserve"> </w:t>
      </w:r>
      <w:r>
        <w:rPr>
          <w:rFonts w:ascii="Times New Roman" w:hAnsi="Times New Roman" w:eastAsia="Times New Roman" w:cs="Times New Roman"/>
          <w:sz w:val="20"/>
          <w:szCs w:val="20"/>
        </w:rPr>
        <w:t>transfusions,blood</w:t>
      </w:r>
      <w:r>
        <w:rPr>
          <w:rFonts w:ascii="Times New Roman" w:hAnsi="Times New Roman" w:eastAsia="Times New Roman" w:cs="Times New Roman"/>
          <w:spacing w:val="45"/>
          <w:sz w:val="20"/>
          <w:szCs w:val="20"/>
        </w:rPr>
        <w:t xml:space="preserve"> </w:t>
      </w:r>
      <w:r>
        <w:rPr>
          <w:rFonts w:ascii="Times New Roman" w:hAnsi="Times New Roman" w:eastAsia="Times New Roman" w:cs="Times New Roman"/>
          <w:sz w:val="20"/>
          <w:szCs w:val="20"/>
        </w:rPr>
        <w:t xml:space="preserve">products  </w:t>
      </w:r>
      <w:r>
        <w:rPr>
          <w:rFonts w:ascii="Times New Roman" w:hAnsi="Times New Roman" w:eastAsia="Times New Roman" w:cs="Times New Roman"/>
          <w:spacing w:val="-1"/>
          <w:sz w:val="20"/>
          <w:szCs w:val="20"/>
        </w:rPr>
        <w:t>from  high-risk  individuals,and  HIV-</w:t>
      </w:r>
      <w:r>
        <w:rPr>
          <w:rFonts w:ascii="Times New Roman" w:hAnsi="Times New Roman" w:eastAsia="Times New Roman" w:cs="Times New Roman"/>
          <w:sz w:val="20"/>
          <w:szCs w:val="20"/>
        </w:rPr>
        <w:t xml:space="preserve"> </w:t>
      </w:r>
      <w:r>
        <w:rPr>
          <w:rFonts w:ascii="Times New Roman" w:hAnsi="Times New Roman" w:eastAsia="Times New Roman" w:cs="Times New Roman"/>
          <w:spacing w:val="-1"/>
          <w:sz w:val="20"/>
          <w:szCs w:val="20"/>
        </w:rPr>
        <w:t>positive</w:t>
      </w:r>
      <w:r>
        <w:rPr>
          <w:rFonts w:ascii="Times New Roman" w:hAnsi="Times New Roman" w:eastAsia="Times New Roman" w:cs="Times New Roman"/>
          <w:spacing w:val="29"/>
          <w:sz w:val="20"/>
          <w:szCs w:val="20"/>
        </w:rPr>
        <w:t xml:space="preserve"> </w:t>
      </w:r>
      <w:r>
        <w:rPr>
          <w:rFonts w:ascii="Times New Roman" w:hAnsi="Times New Roman" w:eastAsia="Times New Roman" w:cs="Times New Roman"/>
          <w:spacing w:val="-1"/>
          <w:sz w:val="20"/>
          <w:szCs w:val="20"/>
        </w:rPr>
        <w:t>mothers</w:t>
      </w:r>
      <w:r>
        <w:rPr>
          <w:rFonts w:ascii="Times New Roman" w:hAnsi="Times New Roman" w:eastAsia="Times New Roman" w:cs="Times New Roman"/>
          <w:spacing w:val="30"/>
          <w:sz w:val="20"/>
          <w:szCs w:val="20"/>
        </w:rPr>
        <w:t xml:space="preserve"> </w:t>
      </w:r>
      <w:r>
        <w:rPr>
          <w:rFonts w:ascii="Times New Roman" w:hAnsi="Times New Roman" w:eastAsia="Times New Roman" w:cs="Times New Roman"/>
          <w:spacing w:val="-1"/>
          <w:sz w:val="20"/>
          <w:szCs w:val="20"/>
        </w:rPr>
        <w:t>can</w:t>
      </w:r>
      <w:r>
        <w:rPr>
          <w:rFonts w:ascii="Times New Roman" w:hAnsi="Times New Roman" w:eastAsia="Times New Roman" w:cs="Times New Roman"/>
          <w:spacing w:val="33"/>
          <w:sz w:val="20"/>
          <w:szCs w:val="20"/>
        </w:rPr>
        <w:t xml:space="preserve"> </w:t>
      </w:r>
      <w:r>
        <w:rPr>
          <w:rFonts w:ascii="Times New Roman" w:hAnsi="Times New Roman" w:eastAsia="Times New Roman" w:cs="Times New Roman"/>
          <w:spacing w:val="-1"/>
          <w:sz w:val="20"/>
          <w:szCs w:val="20"/>
        </w:rPr>
        <w:t>spread</w:t>
      </w:r>
      <w:r>
        <w:rPr>
          <w:rFonts w:ascii="Times New Roman" w:hAnsi="Times New Roman" w:eastAsia="Times New Roman" w:cs="Times New Roman"/>
          <w:spacing w:val="26"/>
          <w:w w:val="101"/>
          <w:sz w:val="20"/>
          <w:szCs w:val="20"/>
        </w:rPr>
        <w:t xml:space="preserve"> </w:t>
      </w:r>
      <w:r>
        <w:rPr>
          <w:rFonts w:ascii="Times New Roman" w:hAnsi="Times New Roman" w:eastAsia="Times New Roman" w:cs="Times New Roman"/>
          <w:spacing w:val="-1"/>
          <w:sz w:val="20"/>
          <w:szCs w:val="20"/>
        </w:rPr>
        <w:t>HIV.</w:t>
      </w:r>
    </w:p>
    <w:p w14:paraId="6625065A">
      <w:pPr>
        <w:spacing w:line="330" w:lineRule="auto"/>
        <w:rPr>
          <w:rFonts w:ascii="Arial"/>
          <w:sz w:val="21"/>
        </w:rPr>
      </w:pPr>
    </w:p>
    <w:p w14:paraId="5B9B5711">
      <w:pPr>
        <w:spacing w:before="65" w:line="344" w:lineRule="auto"/>
        <w:ind w:right="621" w:firstLine="420"/>
        <w:jc w:val="both"/>
        <w:rPr>
          <w:rFonts w:ascii="宋体" w:hAnsi="宋体" w:eastAsia="宋体" w:cs="宋体"/>
          <w:sz w:val="20"/>
          <w:szCs w:val="20"/>
        </w:rPr>
      </w:pPr>
      <w:r>
        <w:rPr>
          <w:rFonts w:ascii="宋体" w:hAnsi="宋体" w:eastAsia="宋体" w:cs="宋体"/>
          <w:spacing w:val="6"/>
          <w:sz w:val="20"/>
          <w:szCs w:val="20"/>
        </w:rPr>
        <w:t>性传播感染</w:t>
      </w:r>
      <w:r>
        <w:rPr>
          <w:rFonts w:ascii="Times New Roman" w:hAnsi="Times New Roman" w:eastAsia="Times New Roman" w:cs="Times New Roman"/>
          <w:spacing w:val="6"/>
          <w:sz w:val="20"/>
          <w:szCs w:val="20"/>
        </w:rPr>
        <w:t>(</w:t>
      </w:r>
      <w:r>
        <w:rPr>
          <w:rFonts w:ascii="Times New Roman" w:hAnsi="Times New Roman" w:eastAsia="Times New Roman" w:cs="Times New Roman"/>
          <w:sz w:val="20"/>
          <w:szCs w:val="20"/>
        </w:rPr>
        <w:t>sexually</w:t>
      </w:r>
      <w:r>
        <w:rPr>
          <w:rFonts w:ascii="Times New Roman" w:hAnsi="Times New Roman" w:eastAsia="Times New Roman" w:cs="Times New Roman"/>
          <w:spacing w:val="16"/>
          <w:sz w:val="20"/>
          <w:szCs w:val="20"/>
        </w:rPr>
        <w:t xml:space="preserve">  </w:t>
      </w:r>
      <w:r>
        <w:rPr>
          <w:rFonts w:ascii="Times New Roman" w:hAnsi="Times New Roman" w:eastAsia="Times New Roman" w:cs="Times New Roman"/>
          <w:sz w:val="20"/>
          <w:szCs w:val="20"/>
        </w:rPr>
        <w:t>transmitted</w:t>
      </w:r>
      <w:r>
        <w:rPr>
          <w:rFonts w:ascii="Times New Roman" w:hAnsi="Times New Roman" w:eastAsia="Times New Roman" w:cs="Times New Roman"/>
          <w:spacing w:val="16"/>
          <w:sz w:val="20"/>
          <w:szCs w:val="20"/>
        </w:rPr>
        <w:t xml:space="preserve">  </w:t>
      </w:r>
      <w:r>
        <w:rPr>
          <w:rFonts w:ascii="Times New Roman" w:hAnsi="Times New Roman" w:eastAsia="Times New Roman" w:cs="Times New Roman"/>
          <w:sz w:val="20"/>
          <w:szCs w:val="20"/>
        </w:rPr>
        <w:t>infections</w:t>
      </w:r>
      <w:r>
        <w:rPr>
          <w:rFonts w:ascii="Times New Roman" w:hAnsi="Times New Roman" w:eastAsia="Times New Roman" w:cs="Times New Roman"/>
          <w:spacing w:val="6"/>
          <w:sz w:val="20"/>
          <w:szCs w:val="20"/>
        </w:rPr>
        <w:t>,</w:t>
      </w:r>
      <w:r>
        <w:rPr>
          <w:rFonts w:ascii="Times New Roman" w:hAnsi="Times New Roman" w:eastAsia="Times New Roman" w:cs="Times New Roman"/>
          <w:sz w:val="20"/>
          <w:szCs w:val="20"/>
        </w:rPr>
        <w:t>STIs</w:t>
      </w:r>
      <w:r>
        <w:rPr>
          <w:rFonts w:ascii="Times New Roman" w:hAnsi="Times New Roman" w:eastAsia="Times New Roman" w:cs="Times New Roman"/>
          <w:spacing w:val="6"/>
          <w:sz w:val="20"/>
          <w:szCs w:val="20"/>
        </w:rPr>
        <w:t>)</w:t>
      </w:r>
      <w:r>
        <w:rPr>
          <w:rFonts w:ascii="宋体" w:hAnsi="宋体" w:eastAsia="宋体" w:cs="宋体"/>
          <w:spacing w:val="6"/>
          <w:sz w:val="20"/>
          <w:szCs w:val="20"/>
        </w:rPr>
        <w:t>是指主要通过人与人之间的性接触而传播的感</w:t>
      </w:r>
      <w:r>
        <w:rPr>
          <w:rFonts w:ascii="宋体" w:hAnsi="宋体" w:eastAsia="宋体" w:cs="宋体"/>
          <w:sz w:val="20"/>
          <w:szCs w:val="20"/>
        </w:rPr>
        <w:t xml:space="preserve"> </w:t>
      </w:r>
      <w:r>
        <w:rPr>
          <w:rFonts w:ascii="宋体" w:hAnsi="宋体" w:eastAsia="宋体" w:cs="宋体"/>
          <w:spacing w:val="6"/>
          <w:sz w:val="20"/>
          <w:szCs w:val="20"/>
        </w:rPr>
        <w:t>染。大多数</w:t>
      </w:r>
      <w:r>
        <w:rPr>
          <w:rFonts w:ascii="Times New Roman" w:hAnsi="Times New Roman" w:eastAsia="Times New Roman" w:cs="Times New Roman"/>
          <w:sz w:val="20"/>
          <w:szCs w:val="20"/>
        </w:rPr>
        <w:t>STIs</w:t>
      </w:r>
      <w:r>
        <w:rPr>
          <w:rFonts w:ascii="Times New Roman" w:hAnsi="Times New Roman" w:eastAsia="Times New Roman" w:cs="Times New Roman"/>
          <w:spacing w:val="6"/>
          <w:sz w:val="20"/>
          <w:szCs w:val="20"/>
        </w:rPr>
        <w:t xml:space="preserve"> </w:t>
      </w:r>
      <w:r>
        <w:rPr>
          <w:rFonts w:ascii="宋体" w:hAnsi="宋体" w:eastAsia="宋体" w:cs="宋体"/>
          <w:spacing w:val="6"/>
          <w:sz w:val="20"/>
          <w:szCs w:val="20"/>
        </w:rPr>
        <w:t>呈现无症状感染，有临床症状的</w:t>
      </w:r>
      <w:r>
        <w:rPr>
          <w:rFonts w:ascii="Times New Roman" w:hAnsi="Times New Roman" w:eastAsia="Times New Roman" w:cs="Times New Roman"/>
          <w:sz w:val="20"/>
          <w:szCs w:val="20"/>
        </w:rPr>
        <w:t>STIs</w:t>
      </w:r>
      <w:r>
        <w:rPr>
          <w:rFonts w:ascii="Times New Roman" w:hAnsi="Times New Roman" w:eastAsia="Times New Roman" w:cs="Times New Roman"/>
          <w:spacing w:val="-15"/>
          <w:sz w:val="20"/>
          <w:szCs w:val="20"/>
        </w:rPr>
        <w:t xml:space="preserve"> </w:t>
      </w:r>
      <w:r>
        <w:rPr>
          <w:rFonts w:ascii="宋体" w:hAnsi="宋体" w:eastAsia="宋体" w:cs="宋体"/>
          <w:spacing w:val="6"/>
          <w:sz w:val="20"/>
          <w:szCs w:val="20"/>
        </w:rPr>
        <w:t>称为性传播</w:t>
      </w:r>
      <w:r>
        <w:rPr>
          <w:rFonts w:ascii="宋体" w:hAnsi="宋体" w:eastAsia="宋体" w:cs="宋体"/>
          <w:spacing w:val="5"/>
          <w:sz w:val="20"/>
          <w:szCs w:val="20"/>
        </w:rPr>
        <w:t>疾病</w:t>
      </w:r>
      <w:r>
        <w:rPr>
          <w:rFonts w:ascii="Times New Roman" w:hAnsi="Times New Roman" w:eastAsia="Times New Roman" w:cs="Times New Roman"/>
          <w:spacing w:val="5"/>
          <w:sz w:val="20"/>
          <w:szCs w:val="20"/>
        </w:rPr>
        <w:t>(</w:t>
      </w:r>
      <w:r>
        <w:rPr>
          <w:rFonts w:ascii="Times New Roman" w:hAnsi="Times New Roman" w:eastAsia="Times New Roman" w:cs="Times New Roman"/>
          <w:sz w:val="20"/>
          <w:szCs w:val="20"/>
        </w:rPr>
        <w:t>sexually</w:t>
      </w:r>
      <w:r>
        <w:rPr>
          <w:rFonts w:ascii="Times New Roman" w:hAnsi="Times New Roman" w:eastAsia="Times New Roman" w:cs="Times New Roman"/>
          <w:spacing w:val="5"/>
          <w:sz w:val="20"/>
          <w:szCs w:val="20"/>
        </w:rPr>
        <w:t xml:space="preserve">  </w:t>
      </w:r>
      <w:r>
        <w:rPr>
          <w:rFonts w:ascii="Times New Roman" w:hAnsi="Times New Roman" w:eastAsia="Times New Roman" w:cs="Times New Roman"/>
          <w:sz w:val="20"/>
          <w:szCs w:val="20"/>
        </w:rPr>
        <w:t>transmitted</w:t>
      </w:r>
      <w:r>
        <w:rPr>
          <w:rFonts w:ascii="Times New Roman" w:hAnsi="Times New Roman" w:eastAsia="Times New Roman" w:cs="Times New Roman"/>
          <w:spacing w:val="5"/>
          <w:sz w:val="20"/>
          <w:szCs w:val="20"/>
        </w:rPr>
        <w:t xml:space="preserve">  </w:t>
      </w:r>
      <w:r>
        <w:rPr>
          <w:rFonts w:ascii="Times New Roman" w:hAnsi="Times New Roman" w:eastAsia="Times New Roman" w:cs="Times New Roman"/>
          <w:sz w:val="20"/>
          <w:szCs w:val="20"/>
        </w:rPr>
        <w:t>diseases</w:t>
      </w:r>
      <w:r>
        <w:rPr>
          <w:rFonts w:ascii="Times New Roman" w:hAnsi="Times New Roman" w:eastAsia="Times New Roman" w:cs="Times New Roman"/>
          <w:spacing w:val="5"/>
          <w:sz w:val="20"/>
          <w:szCs w:val="20"/>
        </w:rPr>
        <w:t>,</w:t>
      </w:r>
      <w:r>
        <w:rPr>
          <w:rFonts w:ascii="Times New Roman" w:hAnsi="Times New Roman" w:eastAsia="Times New Roman" w:cs="Times New Roman"/>
          <w:sz w:val="20"/>
          <w:szCs w:val="20"/>
        </w:rPr>
        <w:t xml:space="preserve">  STDs</w:t>
      </w:r>
      <w:r>
        <w:rPr>
          <w:rFonts w:ascii="Times New Roman" w:hAnsi="Times New Roman" w:eastAsia="Times New Roman" w:cs="Times New Roman"/>
          <w:spacing w:val="5"/>
          <w:sz w:val="20"/>
          <w:szCs w:val="20"/>
        </w:rPr>
        <w:t>)</w:t>
      </w:r>
      <w:r>
        <w:rPr>
          <w:rFonts w:ascii="Times New Roman" w:hAnsi="Times New Roman" w:eastAsia="Times New Roman" w:cs="Times New Roman"/>
          <w:spacing w:val="-16"/>
          <w:sz w:val="20"/>
          <w:szCs w:val="20"/>
        </w:rPr>
        <w:t xml:space="preserve"> </w:t>
      </w:r>
      <w:r>
        <w:rPr>
          <w:rFonts w:ascii="宋体" w:hAnsi="宋体" w:eastAsia="宋体" w:cs="宋体"/>
          <w:spacing w:val="5"/>
          <w:sz w:val="20"/>
          <w:szCs w:val="20"/>
        </w:rPr>
        <w:t>。</w:t>
      </w:r>
      <w:r>
        <w:rPr>
          <w:rFonts w:ascii="宋体" w:hAnsi="宋体" w:eastAsia="宋体" w:cs="宋体"/>
          <w:spacing w:val="-39"/>
          <w:sz w:val="20"/>
          <w:szCs w:val="20"/>
        </w:rPr>
        <w:t xml:space="preserve"> </w:t>
      </w:r>
      <w:r>
        <w:rPr>
          <w:rFonts w:ascii="宋体" w:hAnsi="宋体" w:eastAsia="宋体" w:cs="宋体"/>
          <w:spacing w:val="5"/>
          <w:sz w:val="20"/>
          <w:szCs w:val="20"/>
        </w:rPr>
        <w:t>获得性免疫缺陷综合征</w:t>
      </w:r>
      <w:r>
        <w:rPr>
          <w:rFonts w:ascii="Times New Roman" w:hAnsi="Times New Roman" w:eastAsia="Times New Roman" w:cs="Times New Roman"/>
          <w:spacing w:val="5"/>
          <w:sz w:val="20"/>
          <w:szCs w:val="20"/>
        </w:rPr>
        <w:t>(</w:t>
      </w:r>
      <w:r>
        <w:rPr>
          <w:rFonts w:ascii="Times New Roman" w:hAnsi="Times New Roman" w:eastAsia="Times New Roman" w:cs="Times New Roman"/>
          <w:sz w:val="20"/>
          <w:szCs w:val="20"/>
        </w:rPr>
        <w:t>acquired</w:t>
      </w:r>
      <w:r>
        <w:rPr>
          <w:rFonts w:ascii="Times New Roman" w:hAnsi="Times New Roman" w:eastAsia="Times New Roman" w:cs="Times New Roman"/>
          <w:spacing w:val="5"/>
          <w:sz w:val="20"/>
          <w:szCs w:val="20"/>
        </w:rPr>
        <w:t xml:space="preserve">   </w:t>
      </w:r>
      <w:r>
        <w:rPr>
          <w:rFonts w:ascii="Times New Roman" w:hAnsi="Times New Roman" w:eastAsia="Times New Roman" w:cs="Times New Roman"/>
          <w:sz w:val="20"/>
          <w:szCs w:val="20"/>
        </w:rPr>
        <w:t>immunodeficiency</w:t>
      </w:r>
      <w:r>
        <w:rPr>
          <w:rFonts w:ascii="Times New Roman" w:hAnsi="Times New Roman" w:eastAsia="Times New Roman" w:cs="Times New Roman"/>
          <w:spacing w:val="5"/>
          <w:sz w:val="20"/>
          <w:szCs w:val="20"/>
        </w:rPr>
        <w:t xml:space="preserve">   </w:t>
      </w:r>
      <w:r>
        <w:rPr>
          <w:rFonts w:ascii="Times New Roman" w:hAnsi="Times New Roman" w:eastAsia="Times New Roman" w:cs="Times New Roman"/>
          <w:sz w:val="20"/>
          <w:szCs w:val="20"/>
        </w:rPr>
        <w:t>syndrome</w:t>
      </w:r>
      <w:r>
        <w:rPr>
          <w:rFonts w:ascii="Times New Roman" w:hAnsi="Times New Roman" w:eastAsia="Times New Roman" w:cs="Times New Roman"/>
          <w:spacing w:val="5"/>
          <w:sz w:val="20"/>
          <w:szCs w:val="20"/>
        </w:rPr>
        <w:t>,</w:t>
      </w:r>
      <w:r>
        <w:rPr>
          <w:rFonts w:ascii="Times New Roman" w:hAnsi="Times New Roman" w:eastAsia="Times New Roman" w:cs="Times New Roman"/>
          <w:sz w:val="20"/>
          <w:szCs w:val="20"/>
        </w:rPr>
        <w:t>AIDS</w:t>
      </w:r>
      <w:r>
        <w:rPr>
          <w:rFonts w:ascii="Times New Roman" w:hAnsi="Times New Roman" w:eastAsia="Times New Roman" w:cs="Times New Roman"/>
          <w:spacing w:val="5"/>
          <w:sz w:val="20"/>
          <w:szCs w:val="20"/>
        </w:rPr>
        <w:t>;</w:t>
      </w:r>
      <w:r>
        <w:rPr>
          <w:rFonts w:ascii="宋体" w:hAnsi="宋体" w:eastAsia="宋体" w:cs="宋体"/>
          <w:spacing w:val="5"/>
          <w:sz w:val="20"/>
          <w:szCs w:val="20"/>
        </w:rPr>
        <w:t>简称艾滋病)是一种重</w:t>
      </w:r>
      <w:r>
        <w:rPr>
          <w:rFonts w:ascii="宋体" w:hAnsi="宋体" w:eastAsia="宋体" w:cs="宋体"/>
          <w:sz w:val="20"/>
          <w:szCs w:val="20"/>
        </w:rPr>
        <w:t xml:space="preserve"> </w:t>
      </w:r>
      <w:r>
        <w:rPr>
          <w:rFonts w:ascii="宋体" w:hAnsi="宋体" w:eastAsia="宋体" w:cs="宋体"/>
          <w:spacing w:val="2"/>
          <w:sz w:val="20"/>
          <w:szCs w:val="20"/>
        </w:rPr>
        <w:t>要 的</w:t>
      </w:r>
      <w:r>
        <w:rPr>
          <w:rFonts w:ascii="Times New Roman" w:hAnsi="Times New Roman" w:eastAsia="Times New Roman" w:cs="Times New Roman"/>
          <w:sz w:val="20"/>
          <w:szCs w:val="20"/>
        </w:rPr>
        <w:t>STDs</w:t>
      </w:r>
      <w:r>
        <w:rPr>
          <w:rFonts w:ascii="Times New Roman" w:hAnsi="Times New Roman" w:eastAsia="Times New Roman" w:cs="Times New Roman"/>
          <w:spacing w:val="2"/>
          <w:sz w:val="20"/>
          <w:szCs w:val="20"/>
        </w:rPr>
        <w:t>,</w:t>
      </w:r>
      <w:r>
        <w:rPr>
          <w:rFonts w:ascii="Times New Roman" w:hAnsi="Times New Roman" w:eastAsia="Times New Roman" w:cs="Times New Roman"/>
          <w:spacing w:val="14"/>
          <w:sz w:val="20"/>
          <w:szCs w:val="20"/>
        </w:rPr>
        <w:t xml:space="preserve">  </w:t>
      </w:r>
      <w:r>
        <w:rPr>
          <w:rFonts w:ascii="宋体" w:hAnsi="宋体" w:eastAsia="宋体" w:cs="宋体"/>
          <w:spacing w:val="2"/>
          <w:sz w:val="20"/>
          <w:szCs w:val="20"/>
        </w:rPr>
        <w:t>由人类免疫缺陷病毒</w:t>
      </w:r>
      <w:r>
        <w:rPr>
          <w:rFonts w:ascii="Times New Roman" w:hAnsi="Times New Roman" w:eastAsia="Times New Roman" w:cs="Times New Roman"/>
          <w:spacing w:val="2"/>
          <w:sz w:val="20"/>
          <w:szCs w:val="20"/>
        </w:rPr>
        <w:t>(</w:t>
      </w:r>
      <w:r>
        <w:rPr>
          <w:rFonts w:ascii="Times New Roman" w:hAnsi="Times New Roman" w:eastAsia="Times New Roman" w:cs="Times New Roman"/>
          <w:sz w:val="20"/>
          <w:szCs w:val="20"/>
        </w:rPr>
        <w:t>HIV</w:t>
      </w:r>
      <w:r>
        <w:rPr>
          <w:rFonts w:ascii="Times New Roman" w:hAnsi="Times New Roman" w:eastAsia="Times New Roman" w:cs="Times New Roman"/>
          <w:spacing w:val="2"/>
          <w:sz w:val="20"/>
          <w:szCs w:val="20"/>
        </w:rPr>
        <w:t xml:space="preserve">)  </w:t>
      </w:r>
      <w:r>
        <w:rPr>
          <w:rFonts w:ascii="宋体" w:hAnsi="宋体" w:eastAsia="宋体" w:cs="宋体"/>
          <w:spacing w:val="2"/>
          <w:sz w:val="20"/>
          <w:szCs w:val="20"/>
        </w:rPr>
        <w:t>引起，在全球广泛蔓延；不安全的性行为、注射</w:t>
      </w:r>
      <w:r>
        <w:rPr>
          <w:rFonts w:ascii="宋体" w:hAnsi="宋体" w:eastAsia="宋体" w:cs="宋体"/>
          <w:spacing w:val="1"/>
          <w:sz w:val="20"/>
          <w:szCs w:val="20"/>
        </w:rPr>
        <w:t>吸毒时共用</w:t>
      </w:r>
      <w:r>
        <w:rPr>
          <w:rFonts w:ascii="宋体" w:hAnsi="宋体" w:eastAsia="宋体" w:cs="宋体"/>
          <w:sz w:val="20"/>
          <w:szCs w:val="20"/>
        </w:rPr>
        <w:t xml:space="preserve"> </w:t>
      </w:r>
      <w:r>
        <w:rPr>
          <w:rFonts w:ascii="宋体" w:hAnsi="宋体" w:eastAsia="宋体" w:cs="宋体"/>
          <w:spacing w:val="5"/>
          <w:sz w:val="20"/>
          <w:szCs w:val="20"/>
        </w:rPr>
        <w:t>针具、输入受污染的血液或血液制品、母婴传</w:t>
      </w:r>
      <w:r>
        <w:rPr>
          <w:rFonts w:ascii="宋体" w:hAnsi="宋体" w:eastAsia="宋体" w:cs="宋体"/>
          <w:spacing w:val="4"/>
          <w:sz w:val="20"/>
          <w:szCs w:val="20"/>
        </w:rPr>
        <w:t>播是</w:t>
      </w:r>
      <w:r>
        <w:rPr>
          <w:rFonts w:ascii="Times New Roman" w:hAnsi="Times New Roman" w:eastAsia="Times New Roman" w:cs="Times New Roman"/>
          <w:sz w:val="20"/>
          <w:szCs w:val="20"/>
        </w:rPr>
        <w:t>AIDS</w:t>
      </w:r>
      <w:r>
        <w:rPr>
          <w:rFonts w:ascii="宋体" w:hAnsi="宋体" w:eastAsia="宋体" w:cs="宋体"/>
          <w:spacing w:val="4"/>
          <w:sz w:val="20"/>
          <w:szCs w:val="20"/>
        </w:rPr>
        <w:t>的主要传播途径。长期以来，</w:t>
      </w:r>
      <w:r>
        <w:rPr>
          <w:rFonts w:ascii="Times New Roman" w:hAnsi="Times New Roman" w:eastAsia="Times New Roman" w:cs="Times New Roman"/>
          <w:sz w:val="20"/>
          <w:szCs w:val="20"/>
        </w:rPr>
        <w:t>STDs</w:t>
      </w:r>
      <w:r>
        <w:rPr>
          <w:rFonts w:ascii="Times New Roman" w:hAnsi="Times New Roman" w:eastAsia="Times New Roman" w:cs="Times New Roman"/>
          <w:spacing w:val="4"/>
          <w:sz w:val="20"/>
          <w:szCs w:val="20"/>
        </w:rPr>
        <w:t xml:space="preserve"> </w:t>
      </w:r>
      <w:r>
        <w:rPr>
          <w:rFonts w:ascii="宋体" w:hAnsi="宋体" w:eastAsia="宋体" w:cs="宋体"/>
          <w:spacing w:val="4"/>
          <w:sz w:val="20"/>
          <w:szCs w:val="20"/>
        </w:rPr>
        <w:t>一</w:t>
      </w:r>
      <w:r>
        <w:rPr>
          <w:rFonts w:ascii="宋体" w:hAnsi="宋体" w:eastAsia="宋体" w:cs="宋体"/>
          <w:spacing w:val="-60"/>
          <w:sz w:val="20"/>
          <w:szCs w:val="20"/>
        </w:rPr>
        <w:t xml:space="preserve"> </w:t>
      </w:r>
      <w:r>
        <w:rPr>
          <w:rFonts w:ascii="宋体" w:hAnsi="宋体" w:eastAsia="宋体" w:cs="宋体"/>
          <w:spacing w:val="4"/>
          <w:sz w:val="20"/>
          <w:szCs w:val="20"/>
        </w:rPr>
        <w:t>直是</w:t>
      </w:r>
      <w:r>
        <w:rPr>
          <w:rFonts w:ascii="宋体" w:hAnsi="宋体" w:eastAsia="宋体" w:cs="宋体"/>
          <w:sz w:val="20"/>
          <w:szCs w:val="20"/>
        </w:rPr>
        <w:t xml:space="preserve"> </w:t>
      </w:r>
      <w:r>
        <w:rPr>
          <w:rFonts w:ascii="宋体" w:hAnsi="宋体" w:eastAsia="宋体" w:cs="宋体"/>
          <w:spacing w:val="4"/>
          <w:sz w:val="20"/>
          <w:szCs w:val="20"/>
        </w:rPr>
        <w:t>重要的公共卫生问题，其防制工作受到广泛重视。</w:t>
      </w:r>
    </w:p>
    <w:p w14:paraId="428DFC00">
      <w:pPr>
        <w:spacing w:line="296" w:lineRule="auto"/>
        <w:rPr>
          <w:rFonts w:ascii="Arial"/>
          <w:sz w:val="21"/>
        </w:rPr>
      </w:pPr>
    </w:p>
    <w:p w14:paraId="522178EC">
      <w:pPr>
        <w:pStyle w:val="2"/>
        <w:spacing w:before="88" w:line="221" w:lineRule="auto"/>
        <w:ind w:left="3423"/>
        <w:outlineLvl w:val="4"/>
        <w:rPr>
          <w:sz w:val="27"/>
          <w:szCs w:val="27"/>
        </w:rPr>
      </w:pPr>
      <w:bookmarkStart w:id="533" w:name="bookmark330"/>
      <w:bookmarkEnd w:id="533"/>
      <w:r>
        <w:rPr>
          <w:b/>
          <w:bCs/>
          <w:spacing w:val="5"/>
          <w:sz w:val="27"/>
          <w:szCs w:val="27"/>
        </w:rPr>
        <w:t>第一节</w:t>
      </w:r>
      <w:r>
        <w:rPr>
          <w:spacing w:val="5"/>
          <w:sz w:val="27"/>
          <w:szCs w:val="27"/>
        </w:rPr>
        <w:t xml:space="preserve">  </w:t>
      </w:r>
      <w:r>
        <w:rPr>
          <w:b/>
          <w:bCs/>
          <w:spacing w:val="5"/>
          <w:sz w:val="27"/>
          <w:szCs w:val="27"/>
        </w:rPr>
        <w:t>概</w:t>
      </w:r>
      <w:r>
        <w:rPr>
          <w:spacing w:val="19"/>
          <w:sz w:val="27"/>
          <w:szCs w:val="27"/>
        </w:rPr>
        <w:t xml:space="preserve">  </w:t>
      </w:r>
      <w:r>
        <w:rPr>
          <w:b/>
          <w:bCs/>
          <w:spacing w:val="5"/>
          <w:sz w:val="27"/>
          <w:szCs w:val="27"/>
        </w:rPr>
        <w:t>述</w:t>
      </w:r>
    </w:p>
    <w:p w14:paraId="40C0C546">
      <w:pPr>
        <w:spacing w:line="378" w:lineRule="auto"/>
        <w:rPr>
          <w:rFonts w:ascii="Arial"/>
          <w:sz w:val="21"/>
        </w:rPr>
      </w:pPr>
    </w:p>
    <w:p w14:paraId="67FDB19D">
      <w:pPr>
        <w:spacing w:before="66" w:line="342" w:lineRule="auto"/>
        <w:ind w:right="565" w:firstLine="420"/>
        <w:jc w:val="both"/>
        <w:rPr>
          <w:rFonts w:ascii="宋体" w:hAnsi="宋体" w:eastAsia="宋体" w:cs="宋体"/>
          <w:sz w:val="20"/>
          <w:szCs w:val="20"/>
        </w:rPr>
      </w:pPr>
      <w:r>
        <w:rPr>
          <w:rFonts w:ascii="宋体" w:hAnsi="宋体" w:eastAsia="宋体" w:cs="宋体"/>
          <w:spacing w:val="1"/>
          <w:sz w:val="20"/>
          <w:szCs w:val="20"/>
        </w:rPr>
        <w:t>性传播疾病是一组流行广泛、传播迅速的疾病。</w:t>
      </w:r>
      <w:r>
        <w:rPr>
          <w:rFonts w:ascii="宋体" w:hAnsi="宋体" w:eastAsia="宋体" w:cs="宋体"/>
          <w:spacing w:val="-29"/>
          <w:sz w:val="20"/>
          <w:szCs w:val="20"/>
        </w:rPr>
        <w:t xml:space="preserve"> </w:t>
      </w:r>
      <w:r>
        <w:rPr>
          <w:rFonts w:ascii="宋体" w:hAnsi="宋体" w:eastAsia="宋体" w:cs="宋体"/>
          <w:sz w:val="20"/>
          <w:szCs w:val="20"/>
        </w:rPr>
        <w:t>WHO</w:t>
      </w:r>
      <w:r>
        <w:rPr>
          <w:rFonts w:ascii="宋体" w:hAnsi="宋体" w:eastAsia="宋体" w:cs="宋体"/>
          <w:spacing w:val="1"/>
          <w:sz w:val="20"/>
          <w:szCs w:val="20"/>
        </w:rPr>
        <w:t xml:space="preserve">  对</w:t>
      </w:r>
      <w:r>
        <w:rPr>
          <w:rFonts w:ascii="宋体" w:hAnsi="宋体" w:eastAsia="宋体" w:cs="宋体"/>
          <w:spacing w:val="-43"/>
          <w:sz w:val="20"/>
          <w:szCs w:val="20"/>
        </w:rPr>
        <w:t xml:space="preserve"> </w:t>
      </w:r>
      <w:r>
        <w:rPr>
          <w:rFonts w:ascii="宋体" w:hAnsi="宋体" w:eastAsia="宋体" w:cs="宋体"/>
          <w:sz w:val="20"/>
          <w:szCs w:val="20"/>
        </w:rPr>
        <w:t>STDs</w:t>
      </w:r>
      <w:r>
        <w:rPr>
          <w:rFonts w:ascii="宋体" w:hAnsi="宋体" w:eastAsia="宋体" w:cs="宋体"/>
          <w:spacing w:val="1"/>
          <w:sz w:val="20"/>
          <w:szCs w:val="20"/>
        </w:rPr>
        <w:t xml:space="preserve"> 的定义为：以性行为接触或类似</w:t>
      </w:r>
      <w:r>
        <w:rPr>
          <w:rFonts w:ascii="宋体" w:hAnsi="宋体" w:eastAsia="宋体" w:cs="宋体"/>
          <w:sz w:val="20"/>
          <w:szCs w:val="20"/>
        </w:rPr>
        <w:t xml:space="preserve"> </w:t>
      </w:r>
      <w:r>
        <w:rPr>
          <w:rFonts w:ascii="宋体" w:hAnsi="宋体" w:eastAsia="宋体" w:cs="宋体"/>
          <w:spacing w:val="4"/>
          <w:sz w:val="20"/>
          <w:szCs w:val="20"/>
        </w:rPr>
        <w:t>性行为接触为主要传播途径的、可引起泌尿生殖器官及附属淋巴系统病变的一类疾病，也可导致全</w:t>
      </w:r>
      <w:r>
        <w:rPr>
          <w:rFonts w:ascii="宋体" w:hAnsi="宋体" w:eastAsia="宋体" w:cs="宋体"/>
          <w:spacing w:val="16"/>
          <w:sz w:val="20"/>
          <w:szCs w:val="20"/>
        </w:rPr>
        <w:t xml:space="preserve"> </w:t>
      </w:r>
      <w:r>
        <w:rPr>
          <w:rFonts w:ascii="宋体" w:hAnsi="宋体" w:eastAsia="宋体" w:cs="宋体"/>
          <w:spacing w:val="2"/>
          <w:sz w:val="20"/>
          <w:szCs w:val="20"/>
        </w:rPr>
        <w:t>身主要器官的病变。</w:t>
      </w:r>
      <w:r>
        <w:rPr>
          <w:rFonts w:ascii="宋体" w:hAnsi="宋体" w:eastAsia="宋体" w:cs="宋体"/>
          <w:spacing w:val="-31"/>
          <w:sz w:val="20"/>
          <w:szCs w:val="20"/>
        </w:rPr>
        <w:t xml:space="preserve"> </w:t>
      </w:r>
      <w:r>
        <w:rPr>
          <w:rFonts w:ascii="Times New Roman" w:hAnsi="Times New Roman" w:eastAsia="Times New Roman" w:cs="Times New Roman"/>
          <w:sz w:val="20"/>
          <w:szCs w:val="20"/>
        </w:rPr>
        <w:t>STDs</w:t>
      </w:r>
      <w:r>
        <w:rPr>
          <w:rFonts w:ascii="Times New Roman" w:hAnsi="Times New Roman" w:eastAsia="Times New Roman" w:cs="Times New Roman"/>
          <w:spacing w:val="2"/>
          <w:sz w:val="20"/>
          <w:szCs w:val="20"/>
        </w:rPr>
        <w:t xml:space="preserve"> </w:t>
      </w:r>
      <w:r>
        <w:rPr>
          <w:rFonts w:ascii="宋体" w:hAnsi="宋体" w:eastAsia="宋体" w:cs="宋体"/>
          <w:spacing w:val="2"/>
          <w:sz w:val="20"/>
          <w:szCs w:val="20"/>
        </w:rPr>
        <w:t>不仅会引起异常分泌物出现、生殖器溃疡等急性症状，还会引发盆腔炎、</w:t>
      </w:r>
      <w:r>
        <w:rPr>
          <w:rFonts w:ascii="宋体" w:hAnsi="宋体" w:eastAsia="宋体" w:cs="宋体"/>
          <w:sz w:val="20"/>
          <w:szCs w:val="20"/>
        </w:rPr>
        <w:t xml:space="preserve"> </w:t>
      </w:r>
      <w:r>
        <w:rPr>
          <w:rFonts w:ascii="宋体" w:hAnsi="宋体" w:eastAsia="宋体" w:cs="宋体"/>
          <w:spacing w:val="11"/>
          <w:sz w:val="20"/>
          <w:szCs w:val="20"/>
        </w:rPr>
        <w:t>附睾炎等并发症，对成人造成长期健康影响(如不孕、神经损害和宫颈癌),同时危及</w:t>
      </w:r>
      <w:r>
        <w:rPr>
          <w:rFonts w:ascii="宋体" w:hAnsi="宋体" w:eastAsia="宋体" w:cs="宋体"/>
          <w:spacing w:val="10"/>
          <w:sz w:val="20"/>
          <w:szCs w:val="20"/>
        </w:rPr>
        <w:t>胎儿和新生</w:t>
      </w:r>
      <w:r>
        <w:rPr>
          <w:rFonts w:ascii="宋体" w:hAnsi="宋体" w:eastAsia="宋体" w:cs="宋体"/>
          <w:sz w:val="20"/>
          <w:szCs w:val="20"/>
        </w:rPr>
        <w:t xml:space="preserve">  </w:t>
      </w:r>
      <w:r>
        <w:rPr>
          <w:rFonts w:ascii="宋体" w:hAnsi="宋体" w:eastAsia="宋体" w:cs="宋体"/>
          <w:spacing w:val="14"/>
          <w:sz w:val="20"/>
          <w:szCs w:val="20"/>
        </w:rPr>
        <w:t>儿(如造成死胎和先天性梅毒)。由此产生的社会</w:t>
      </w:r>
      <w:r>
        <w:rPr>
          <w:rFonts w:ascii="宋体" w:hAnsi="宋体" w:eastAsia="宋体" w:cs="宋体"/>
          <w:spacing w:val="13"/>
          <w:sz w:val="20"/>
          <w:szCs w:val="20"/>
        </w:rPr>
        <w:t>经济负担沉重，构成全球性的社会与公共卫生</w:t>
      </w:r>
      <w:r>
        <w:rPr>
          <w:rFonts w:ascii="宋体" w:hAnsi="宋体" w:eastAsia="宋体" w:cs="宋体"/>
          <w:sz w:val="20"/>
          <w:szCs w:val="20"/>
        </w:rPr>
        <w:t xml:space="preserve">  </w:t>
      </w:r>
      <w:r>
        <w:rPr>
          <w:rFonts w:ascii="宋体" w:hAnsi="宋体" w:eastAsia="宋体" w:cs="宋体"/>
          <w:spacing w:val="13"/>
          <w:sz w:val="20"/>
          <w:szCs w:val="20"/>
        </w:rPr>
        <w:t>挑战</w:t>
      </w:r>
      <w:r>
        <w:rPr>
          <w:rFonts w:ascii="宋体" w:hAnsi="宋体" w:eastAsia="宋体" w:cs="宋体"/>
          <w:spacing w:val="-51"/>
          <w:sz w:val="20"/>
          <w:szCs w:val="20"/>
        </w:rPr>
        <w:t xml:space="preserve"> </w:t>
      </w:r>
      <w:r>
        <w:rPr>
          <w:rFonts w:ascii="宋体" w:hAnsi="宋体" w:eastAsia="宋体" w:cs="宋体"/>
          <w:spacing w:val="13"/>
          <w:sz w:val="20"/>
          <w:szCs w:val="20"/>
        </w:rPr>
        <w:t>。</w:t>
      </w:r>
    </w:p>
    <w:p w14:paraId="33950CE7">
      <w:pPr>
        <w:spacing w:line="341" w:lineRule="auto"/>
        <w:ind w:right="565" w:firstLine="420"/>
        <w:jc w:val="both"/>
        <w:rPr>
          <w:rFonts w:ascii="宋体" w:hAnsi="宋体" w:eastAsia="宋体" w:cs="宋体"/>
          <w:sz w:val="20"/>
          <w:szCs w:val="20"/>
        </w:rPr>
      </w:pPr>
      <w:r>
        <w:rPr>
          <w:rFonts w:ascii="宋体" w:hAnsi="宋体" w:eastAsia="宋体" w:cs="宋体"/>
          <w:spacing w:val="3"/>
          <w:sz w:val="20"/>
          <w:szCs w:val="20"/>
        </w:rPr>
        <w:t>由于许多性传播疾病感染后没有明显的临床症状，容易造成治疗延误并产生严重的并发症，加</w:t>
      </w:r>
      <w:r>
        <w:rPr>
          <w:rFonts w:ascii="宋体" w:hAnsi="宋体" w:eastAsia="宋体" w:cs="宋体"/>
          <w:sz w:val="20"/>
          <w:szCs w:val="20"/>
        </w:rPr>
        <w:t xml:space="preserve">  </w:t>
      </w:r>
      <w:r>
        <w:rPr>
          <w:rFonts w:ascii="宋体" w:hAnsi="宋体" w:eastAsia="宋体" w:cs="宋体"/>
          <w:spacing w:val="4"/>
          <w:sz w:val="20"/>
          <w:szCs w:val="20"/>
        </w:rPr>
        <w:t>之无症状感染者还是一种容易被忽视的传染源，导致</w:t>
      </w:r>
      <w:r>
        <w:rPr>
          <w:rFonts w:ascii="宋体" w:hAnsi="宋体" w:eastAsia="宋体" w:cs="宋体"/>
          <w:sz w:val="20"/>
          <w:szCs w:val="20"/>
        </w:rPr>
        <w:t>STDs</w:t>
      </w:r>
      <w:r>
        <w:rPr>
          <w:rFonts w:ascii="宋体" w:hAnsi="宋体" w:eastAsia="宋体" w:cs="宋体"/>
          <w:spacing w:val="4"/>
          <w:sz w:val="20"/>
          <w:szCs w:val="20"/>
        </w:rPr>
        <w:t xml:space="preserve"> 更广泛的传播和流</w:t>
      </w:r>
      <w:r>
        <w:rPr>
          <w:rFonts w:ascii="宋体" w:hAnsi="宋体" w:eastAsia="宋体" w:cs="宋体"/>
          <w:spacing w:val="3"/>
          <w:sz w:val="20"/>
          <w:szCs w:val="20"/>
        </w:rPr>
        <w:t>行，对社会造成危害。</w:t>
      </w:r>
      <w:r>
        <w:rPr>
          <w:rFonts w:ascii="宋体" w:hAnsi="宋体" w:eastAsia="宋体" w:cs="宋体"/>
          <w:sz w:val="20"/>
          <w:szCs w:val="20"/>
        </w:rPr>
        <w:t xml:space="preserve"> 因</w:t>
      </w:r>
      <w:r>
        <w:rPr>
          <w:rFonts w:ascii="宋体" w:hAnsi="宋体" w:eastAsia="宋体" w:cs="宋体"/>
          <w:spacing w:val="-37"/>
          <w:sz w:val="20"/>
          <w:szCs w:val="20"/>
        </w:rPr>
        <w:t xml:space="preserve"> </w:t>
      </w:r>
      <w:r>
        <w:rPr>
          <w:rFonts w:ascii="宋体" w:hAnsi="宋体" w:eastAsia="宋体" w:cs="宋体"/>
          <w:sz w:val="20"/>
          <w:szCs w:val="20"/>
        </w:rPr>
        <w:t>此</w:t>
      </w:r>
      <w:r>
        <w:rPr>
          <w:rFonts w:ascii="宋体" w:hAnsi="宋体" w:eastAsia="宋体" w:cs="宋体"/>
          <w:spacing w:val="-46"/>
          <w:sz w:val="20"/>
          <w:szCs w:val="20"/>
        </w:rPr>
        <w:t xml:space="preserve"> </w:t>
      </w:r>
      <w:r>
        <w:rPr>
          <w:rFonts w:ascii="宋体" w:hAnsi="宋体" w:eastAsia="宋体" w:cs="宋体"/>
          <w:sz w:val="20"/>
          <w:szCs w:val="20"/>
        </w:rPr>
        <w:t>，</w:t>
      </w:r>
      <w:r>
        <w:rPr>
          <w:rFonts w:ascii="Times New Roman" w:hAnsi="Times New Roman" w:eastAsia="Times New Roman" w:cs="Times New Roman"/>
          <w:sz w:val="20"/>
          <w:szCs w:val="20"/>
        </w:rPr>
        <w:t>WHO</w:t>
      </w:r>
      <w:r>
        <w:rPr>
          <w:rFonts w:ascii="Times New Roman" w:hAnsi="Times New Roman" w:eastAsia="Times New Roman" w:cs="Times New Roman"/>
          <w:spacing w:val="15"/>
          <w:sz w:val="20"/>
          <w:szCs w:val="20"/>
        </w:rPr>
        <w:t xml:space="preserve"> </w:t>
      </w:r>
      <w:r>
        <w:rPr>
          <w:rFonts w:ascii="宋体" w:hAnsi="宋体" w:eastAsia="宋体" w:cs="宋体"/>
          <w:sz w:val="20"/>
          <w:szCs w:val="20"/>
        </w:rPr>
        <w:t>在2003年发布的《性传播感染管理准则》中推荐以性传播感染</w:t>
      </w:r>
      <w:r>
        <w:rPr>
          <w:rFonts w:ascii="Times New Roman" w:hAnsi="Times New Roman" w:eastAsia="Times New Roman" w:cs="Times New Roman"/>
          <w:sz w:val="20"/>
          <w:szCs w:val="20"/>
        </w:rPr>
        <w:t>(STIs)</w:t>
      </w:r>
      <w:r>
        <w:rPr>
          <w:rFonts w:ascii="Times New Roman" w:hAnsi="Times New Roman" w:eastAsia="Times New Roman" w:cs="Times New Roman"/>
          <w:spacing w:val="47"/>
          <w:w w:val="101"/>
          <w:sz w:val="20"/>
          <w:szCs w:val="20"/>
        </w:rPr>
        <w:t xml:space="preserve"> </w:t>
      </w:r>
      <w:r>
        <w:rPr>
          <w:rFonts w:ascii="宋体" w:hAnsi="宋体" w:eastAsia="宋体" w:cs="宋体"/>
          <w:sz w:val="20"/>
          <w:szCs w:val="20"/>
        </w:rPr>
        <w:t>代替</w:t>
      </w:r>
      <w:r>
        <w:rPr>
          <w:rFonts w:ascii="Times New Roman" w:hAnsi="Times New Roman" w:eastAsia="Times New Roman" w:cs="Times New Roman"/>
          <w:sz w:val="20"/>
          <w:szCs w:val="20"/>
        </w:rPr>
        <w:t>STDs</w:t>
      </w:r>
      <w:r>
        <w:rPr>
          <w:rFonts w:ascii="Times New Roman" w:hAnsi="Times New Roman" w:eastAsia="Times New Roman" w:cs="Times New Roman"/>
          <w:spacing w:val="-23"/>
          <w:sz w:val="20"/>
          <w:szCs w:val="20"/>
        </w:rPr>
        <w:t xml:space="preserve"> </w:t>
      </w:r>
      <w:r>
        <w:rPr>
          <w:rFonts w:ascii="宋体" w:hAnsi="宋体" w:eastAsia="宋体" w:cs="宋体"/>
          <w:sz w:val="20"/>
          <w:szCs w:val="20"/>
        </w:rPr>
        <w:t>。</w:t>
      </w:r>
      <w:r>
        <w:rPr>
          <w:rFonts w:ascii="Times New Roman" w:hAnsi="Times New Roman" w:eastAsia="Times New Roman" w:cs="Times New Roman"/>
          <w:sz w:val="20"/>
          <w:szCs w:val="20"/>
        </w:rPr>
        <w:t xml:space="preserve">STIs   </w:t>
      </w:r>
      <w:r>
        <w:rPr>
          <w:rFonts w:ascii="宋体" w:hAnsi="宋体" w:eastAsia="宋体" w:cs="宋体"/>
          <w:spacing w:val="4"/>
          <w:sz w:val="20"/>
          <w:szCs w:val="20"/>
        </w:rPr>
        <w:t>包括有临床症状的疾病和无症状感染。然而，由于无症状感染难以识别，有症状感染管理仍</w:t>
      </w:r>
      <w:r>
        <w:rPr>
          <w:rFonts w:ascii="宋体" w:hAnsi="宋体" w:eastAsia="宋体" w:cs="宋体"/>
          <w:spacing w:val="3"/>
          <w:sz w:val="20"/>
          <w:szCs w:val="20"/>
        </w:rPr>
        <w:t>然是最</w:t>
      </w:r>
      <w:r>
        <w:rPr>
          <w:rFonts w:ascii="宋体" w:hAnsi="宋体" w:eastAsia="宋体" w:cs="宋体"/>
          <w:sz w:val="20"/>
          <w:szCs w:val="20"/>
        </w:rPr>
        <w:t xml:space="preserve">  </w:t>
      </w:r>
      <w:r>
        <w:rPr>
          <w:rFonts w:ascii="宋体" w:hAnsi="宋体" w:eastAsia="宋体" w:cs="宋体"/>
          <w:spacing w:val="5"/>
          <w:sz w:val="20"/>
          <w:szCs w:val="20"/>
        </w:rPr>
        <w:t>经济有效的</w:t>
      </w:r>
      <w:r>
        <w:rPr>
          <w:rFonts w:ascii="Times New Roman" w:hAnsi="Times New Roman" w:eastAsia="Times New Roman" w:cs="Times New Roman"/>
          <w:sz w:val="20"/>
          <w:szCs w:val="20"/>
        </w:rPr>
        <w:t>STIs</w:t>
      </w:r>
      <w:r>
        <w:rPr>
          <w:rFonts w:ascii="Times New Roman" w:hAnsi="Times New Roman" w:eastAsia="Times New Roman" w:cs="Times New Roman"/>
          <w:spacing w:val="28"/>
          <w:w w:val="101"/>
          <w:sz w:val="20"/>
          <w:szCs w:val="20"/>
        </w:rPr>
        <w:t xml:space="preserve"> </w:t>
      </w:r>
      <w:r>
        <w:rPr>
          <w:rFonts w:ascii="宋体" w:hAnsi="宋体" w:eastAsia="宋体" w:cs="宋体"/>
          <w:spacing w:val="5"/>
          <w:sz w:val="20"/>
          <w:szCs w:val="20"/>
        </w:rPr>
        <w:t>基础管理模式；以病例报告、哨点监测、专题调查为依托的</w:t>
      </w:r>
      <w:r>
        <w:rPr>
          <w:rFonts w:ascii="Times New Roman" w:hAnsi="Times New Roman" w:eastAsia="Times New Roman" w:cs="Times New Roman"/>
          <w:sz w:val="20"/>
          <w:szCs w:val="20"/>
        </w:rPr>
        <w:t>STDs</w:t>
      </w:r>
      <w:r>
        <w:rPr>
          <w:rFonts w:ascii="Times New Roman" w:hAnsi="Times New Roman" w:eastAsia="Times New Roman" w:cs="Times New Roman"/>
          <w:spacing w:val="17"/>
          <w:sz w:val="20"/>
          <w:szCs w:val="20"/>
        </w:rPr>
        <w:t xml:space="preserve"> </w:t>
      </w:r>
      <w:r>
        <w:rPr>
          <w:rFonts w:ascii="宋体" w:hAnsi="宋体" w:eastAsia="宋体" w:cs="宋体"/>
          <w:spacing w:val="5"/>
          <w:sz w:val="20"/>
          <w:szCs w:val="20"/>
        </w:rPr>
        <w:t>病例发现是目前</w:t>
      </w:r>
      <w:r>
        <w:rPr>
          <w:rFonts w:ascii="宋体" w:hAnsi="宋体" w:eastAsia="宋体" w:cs="宋体"/>
          <w:sz w:val="20"/>
          <w:szCs w:val="20"/>
        </w:rPr>
        <w:t xml:space="preserve">  </w:t>
      </w:r>
      <w:r>
        <w:rPr>
          <w:rFonts w:ascii="宋体" w:hAnsi="宋体" w:eastAsia="宋体" w:cs="宋体"/>
          <w:spacing w:val="2"/>
          <w:sz w:val="20"/>
          <w:szCs w:val="20"/>
        </w:rPr>
        <w:t>估</w:t>
      </w:r>
      <w:r>
        <w:rPr>
          <w:rFonts w:ascii="宋体" w:hAnsi="宋体" w:eastAsia="宋体" w:cs="宋体"/>
          <w:spacing w:val="-36"/>
          <w:sz w:val="20"/>
          <w:szCs w:val="20"/>
        </w:rPr>
        <w:t xml:space="preserve"> </w:t>
      </w:r>
      <w:r>
        <w:rPr>
          <w:rFonts w:ascii="宋体" w:hAnsi="宋体" w:eastAsia="宋体" w:cs="宋体"/>
          <w:spacing w:val="2"/>
          <w:sz w:val="20"/>
          <w:szCs w:val="20"/>
        </w:rPr>
        <w:t>计</w:t>
      </w:r>
      <w:r>
        <w:rPr>
          <w:rFonts w:ascii="Times New Roman" w:hAnsi="Times New Roman" w:eastAsia="Times New Roman" w:cs="Times New Roman"/>
          <w:sz w:val="20"/>
          <w:szCs w:val="20"/>
        </w:rPr>
        <w:t>STIs</w:t>
      </w:r>
      <w:r>
        <w:rPr>
          <w:rFonts w:ascii="Times New Roman" w:hAnsi="Times New Roman" w:eastAsia="Times New Roman" w:cs="Times New Roman"/>
          <w:spacing w:val="2"/>
          <w:sz w:val="20"/>
          <w:szCs w:val="20"/>
        </w:rPr>
        <w:t xml:space="preserve"> </w:t>
      </w:r>
      <w:r>
        <w:rPr>
          <w:rFonts w:ascii="宋体" w:hAnsi="宋体" w:eastAsia="宋体" w:cs="宋体"/>
          <w:spacing w:val="2"/>
          <w:sz w:val="20"/>
          <w:szCs w:val="20"/>
        </w:rPr>
        <w:t>流行状态的主要资料来源，因此本章仍沿用</w:t>
      </w:r>
      <w:r>
        <w:rPr>
          <w:rFonts w:ascii="Times New Roman" w:hAnsi="Times New Roman" w:eastAsia="Times New Roman" w:cs="Times New Roman"/>
          <w:sz w:val="20"/>
          <w:szCs w:val="20"/>
        </w:rPr>
        <w:t>STDs</w:t>
      </w:r>
      <w:r>
        <w:rPr>
          <w:rFonts w:ascii="Times New Roman" w:hAnsi="Times New Roman" w:eastAsia="Times New Roman" w:cs="Times New Roman"/>
          <w:spacing w:val="2"/>
          <w:sz w:val="20"/>
          <w:szCs w:val="20"/>
        </w:rPr>
        <w:t xml:space="preserve"> </w:t>
      </w:r>
      <w:r>
        <w:rPr>
          <w:rFonts w:ascii="宋体" w:hAnsi="宋体" w:eastAsia="宋体" w:cs="宋体"/>
          <w:spacing w:val="1"/>
          <w:sz w:val="20"/>
          <w:szCs w:val="20"/>
        </w:rPr>
        <w:t>这一名称。</w:t>
      </w:r>
    </w:p>
    <w:p w14:paraId="751E4444">
      <w:pPr>
        <w:pStyle w:val="2"/>
        <w:spacing w:before="141" w:line="221" w:lineRule="auto"/>
        <w:ind w:left="423"/>
        <w:outlineLvl w:val="4"/>
        <w:rPr>
          <w:sz w:val="27"/>
          <w:szCs w:val="27"/>
        </w:rPr>
      </w:pPr>
      <w:bookmarkStart w:id="534" w:name="bookmark331"/>
      <w:bookmarkEnd w:id="534"/>
      <w:r>
        <w:rPr>
          <w:b/>
          <w:bCs/>
          <w:spacing w:val="-19"/>
          <w:sz w:val="27"/>
          <w:szCs w:val="27"/>
        </w:rPr>
        <w:t>一、病原学</w:t>
      </w:r>
    </w:p>
    <w:p w14:paraId="2D1FDB92">
      <w:pPr>
        <w:spacing w:before="280" w:line="219" w:lineRule="auto"/>
        <w:ind w:left="420"/>
        <w:rPr>
          <w:rFonts w:ascii="宋体" w:hAnsi="宋体" w:eastAsia="宋体" w:cs="宋体"/>
          <w:sz w:val="20"/>
          <w:szCs w:val="20"/>
        </w:rPr>
      </w:pPr>
      <w:r>
        <w:rPr>
          <w:rFonts w:ascii="宋体" w:hAnsi="宋体" w:eastAsia="宋体" w:cs="宋体"/>
          <w:spacing w:val="4"/>
          <w:sz w:val="20"/>
          <w:szCs w:val="20"/>
        </w:rPr>
        <w:t>目前较常见的</w:t>
      </w:r>
      <w:r>
        <w:rPr>
          <w:rFonts w:ascii="Times New Roman" w:hAnsi="Times New Roman" w:eastAsia="Times New Roman" w:cs="Times New Roman"/>
          <w:sz w:val="20"/>
          <w:szCs w:val="20"/>
        </w:rPr>
        <w:t>STDs</w:t>
      </w:r>
      <w:r>
        <w:rPr>
          <w:rFonts w:ascii="Times New Roman" w:hAnsi="Times New Roman" w:eastAsia="Times New Roman" w:cs="Times New Roman"/>
          <w:spacing w:val="3"/>
          <w:sz w:val="20"/>
          <w:szCs w:val="20"/>
        </w:rPr>
        <w:t xml:space="preserve"> </w:t>
      </w:r>
      <w:r>
        <w:rPr>
          <w:rFonts w:ascii="宋体" w:hAnsi="宋体" w:eastAsia="宋体" w:cs="宋体"/>
          <w:spacing w:val="4"/>
          <w:sz w:val="20"/>
          <w:szCs w:val="20"/>
        </w:rPr>
        <w:t>及其病原体如表21-1所示。</w:t>
      </w:r>
    </w:p>
    <w:p w14:paraId="76D0EA89">
      <w:pPr>
        <w:spacing w:line="219" w:lineRule="auto"/>
        <w:rPr>
          <w:rFonts w:ascii="宋体" w:hAnsi="宋体" w:eastAsia="宋体" w:cs="宋体"/>
          <w:sz w:val="20"/>
          <w:szCs w:val="20"/>
        </w:rPr>
        <w:sectPr>
          <w:footerReference r:id="rId346" w:type="default"/>
          <w:pgSz w:w="11900" w:h="16820"/>
          <w:pgMar w:top="400" w:right="954" w:bottom="829" w:left="1519" w:header="0" w:footer="649" w:gutter="0"/>
          <w:cols w:space="720" w:num="1"/>
        </w:sectPr>
      </w:pPr>
    </w:p>
    <w:p w14:paraId="320010CC">
      <w:pPr>
        <w:spacing w:line="355" w:lineRule="auto"/>
        <w:rPr>
          <w:rFonts w:ascii="Arial"/>
          <w:sz w:val="21"/>
        </w:rPr>
      </w:pPr>
    </w:p>
    <w:p w14:paraId="2A00E698">
      <w:pPr>
        <w:pStyle w:val="2"/>
        <w:spacing w:before="58" w:line="221" w:lineRule="auto"/>
        <w:ind w:left="659"/>
        <w:rPr>
          <w:sz w:val="18"/>
          <w:szCs w:val="18"/>
        </w:rPr>
      </w:pPr>
      <w:bookmarkStart w:id="535" w:name="bookmark591"/>
      <w:bookmarkEnd w:id="535"/>
      <w:r>
        <w:rPr>
          <w:spacing w:val="-8"/>
          <w:sz w:val="18"/>
          <w:szCs w:val="18"/>
        </w:rPr>
        <w:t>第二十一章 性传播疾病</w:t>
      </w:r>
    </w:p>
    <w:p w14:paraId="507E19B1">
      <w:pPr>
        <w:spacing w:line="281" w:lineRule="auto"/>
        <w:rPr>
          <w:rFonts w:ascii="Arial"/>
          <w:sz w:val="21"/>
        </w:rPr>
      </w:pPr>
    </w:p>
    <w:p w14:paraId="181A7D60">
      <w:pPr>
        <w:spacing w:line="282" w:lineRule="auto"/>
        <w:rPr>
          <w:rFonts w:ascii="Arial"/>
          <w:sz w:val="21"/>
        </w:rPr>
      </w:pPr>
    </w:p>
    <w:p w14:paraId="1468DF8E">
      <w:pPr>
        <w:spacing w:before="58" w:line="219" w:lineRule="auto"/>
        <w:ind w:left="3659"/>
        <w:rPr>
          <w:rFonts w:ascii="宋体" w:hAnsi="宋体" w:eastAsia="宋体" w:cs="宋体"/>
          <w:sz w:val="18"/>
          <w:szCs w:val="18"/>
        </w:rPr>
      </w:pPr>
      <w:r>
        <w:rPr>
          <w:rFonts w:ascii="宋体" w:hAnsi="宋体" w:eastAsia="宋体" w:cs="宋体"/>
          <w:spacing w:val="-1"/>
          <w:sz w:val="18"/>
          <w:szCs w:val="18"/>
        </w:rPr>
        <w:t>表21-1常见性传播疾病及其病原体</w:t>
      </w:r>
    </w:p>
    <w:p w14:paraId="52DDA7AC">
      <w:pPr>
        <w:spacing w:line="25" w:lineRule="exact"/>
      </w:pPr>
    </w:p>
    <w:tbl>
      <w:tblPr>
        <w:tblStyle w:val="5"/>
        <w:tblW w:w="8669" w:type="dxa"/>
        <w:tblInd w:w="689"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0" w:type="dxa"/>
          <w:left w:w="0" w:type="dxa"/>
          <w:bottom w:w="0" w:type="dxa"/>
          <w:right w:w="0" w:type="dxa"/>
        </w:tblCellMar>
      </w:tblPr>
      <w:tblGrid>
        <w:gridCol w:w="2930"/>
        <w:gridCol w:w="1490"/>
        <w:gridCol w:w="4249"/>
      </w:tblGrid>
      <w:tr w14:paraId="6862AD1D">
        <w:trPr>
          <w:trHeight w:val="390" w:hRule="atLeast"/>
        </w:trPr>
        <w:tc>
          <w:tcPr>
            <w:tcW w:w="2930" w:type="dxa"/>
            <w:tcBorders>
              <w:top w:val="single" w:color="000000" w:sz="4" w:space="0"/>
              <w:bottom w:val="single" w:color="000000" w:sz="4" w:space="0"/>
            </w:tcBorders>
            <w:shd w:val="clear" w:color="auto" w:fill="C2CDC7"/>
            <w:vAlign w:val="top"/>
          </w:tcPr>
          <w:p w14:paraId="690D5813">
            <w:pPr>
              <w:pStyle w:val="6"/>
              <w:spacing w:before="103" w:line="221" w:lineRule="auto"/>
              <w:ind w:left="260"/>
              <w:rPr>
                <w:sz w:val="18"/>
                <w:szCs w:val="18"/>
              </w:rPr>
            </w:pPr>
            <w:r>
              <w:rPr>
                <w:spacing w:val="-2"/>
                <w:sz w:val="18"/>
                <w:szCs w:val="18"/>
              </w:rPr>
              <w:t>病原体</w:t>
            </w:r>
          </w:p>
        </w:tc>
        <w:tc>
          <w:tcPr>
            <w:tcW w:w="1490" w:type="dxa"/>
            <w:tcBorders>
              <w:top w:val="single" w:color="000000" w:sz="4" w:space="0"/>
              <w:bottom w:val="single" w:color="000000" w:sz="4" w:space="0"/>
            </w:tcBorders>
            <w:shd w:val="clear" w:color="auto" w:fill="C4CCC4"/>
            <w:vAlign w:val="top"/>
          </w:tcPr>
          <w:p w14:paraId="36C84736">
            <w:pPr>
              <w:pStyle w:val="6"/>
              <w:spacing w:before="103" w:line="220" w:lineRule="auto"/>
              <w:ind w:left="90"/>
              <w:rPr>
                <w:sz w:val="18"/>
                <w:szCs w:val="18"/>
              </w:rPr>
            </w:pPr>
            <w:r>
              <w:rPr>
                <w:spacing w:val="2"/>
                <w:sz w:val="18"/>
                <w:szCs w:val="18"/>
              </w:rPr>
              <w:t>主要相关疾病</w:t>
            </w:r>
          </w:p>
        </w:tc>
        <w:tc>
          <w:tcPr>
            <w:tcW w:w="4249" w:type="dxa"/>
            <w:tcBorders>
              <w:top w:val="single" w:color="000000" w:sz="4" w:space="0"/>
              <w:bottom w:val="single" w:color="000000" w:sz="4" w:space="0"/>
            </w:tcBorders>
            <w:shd w:val="clear" w:color="auto" w:fill="CCD3C9"/>
            <w:vAlign w:val="top"/>
          </w:tcPr>
          <w:p w14:paraId="0D0E31D2">
            <w:pPr>
              <w:pStyle w:val="6"/>
              <w:spacing w:before="102" w:line="219" w:lineRule="auto"/>
              <w:ind w:left="1750"/>
              <w:rPr>
                <w:sz w:val="18"/>
                <w:szCs w:val="18"/>
              </w:rPr>
            </w:pPr>
            <w:r>
              <w:rPr>
                <w:spacing w:val="1"/>
                <w:sz w:val="18"/>
                <w:szCs w:val="18"/>
              </w:rPr>
              <w:t>临床表现</w:t>
            </w:r>
          </w:p>
        </w:tc>
      </w:tr>
      <w:tr w14:paraId="6C0EF689">
        <w:trPr>
          <w:trHeight w:val="1316" w:hRule="atLeast"/>
        </w:trPr>
        <w:tc>
          <w:tcPr>
            <w:tcW w:w="4420" w:type="dxa"/>
            <w:gridSpan w:val="2"/>
            <w:tcBorders>
              <w:top w:val="single" w:color="000000" w:sz="4" w:space="0"/>
            </w:tcBorders>
            <w:vAlign w:val="top"/>
          </w:tcPr>
          <w:p w14:paraId="0D1AB8AB">
            <w:pPr>
              <w:pStyle w:val="6"/>
              <w:spacing w:before="89" w:line="219" w:lineRule="auto"/>
              <w:ind w:left="262"/>
              <w:rPr>
                <w:sz w:val="18"/>
                <w:szCs w:val="18"/>
              </w:rPr>
            </w:pPr>
            <w:r>
              <w:rPr>
                <w:b/>
                <w:bCs/>
                <w:spacing w:val="-4"/>
                <w:sz w:val="18"/>
                <w:szCs w:val="18"/>
              </w:rPr>
              <w:t>细菌性感染</w:t>
            </w:r>
          </w:p>
          <w:p w14:paraId="64B73F36">
            <w:pPr>
              <w:pStyle w:val="6"/>
              <w:spacing w:before="137" w:line="218" w:lineRule="auto"/>
              <w:ind w:left="260"/>
              <w:rPr>
                <w:sz w:val="18"/>
                <w:szCs w:val="18"/>
              </w:rPr>
            </w:pPr>
            <w:r>
              <w:rPr>
                <w:spacing w:val="-2"/>
                <w:sz w:val="18"/>
                <w:szCs w:val="18"/>
              </w:rPr>
              <w:t>淋病奈瑟菌</w:t>
            </w:r>
          </w:p>
          <w:p w14:paraId="4136BC8E">
            <w:pPr>
              <w:pStyle w:val="6"/>
              <w:spacing w:before="97" w:line="177" w:lineRule="auto"/>
              <w:ind w:left="3020"/>
              <w:rPr>
                <w:sz w:val="18"/>
                <w:szCs w:val="18"/>
              </w:rPr>
            </w:pPr>
            <w:r>
              <w:rPr>
                <w:spacing w:val="6"/>
                <w:sz w:val="18"/>
                <w:szCs w:val="18"/>
              </w:rPr>
              <w:t>淋病</w:t>
            </w:r>
          </w:p>
          <w:p w14:paraId="2E8B00C9">
            <w:pPr>
              <w:pStyle w:val="6"/>
              <w:spacing w:line="206" w:lineRule="auto"/>
              <w:ind w:left="260"/>
              <w:rPr>
                <w:sz w:val="18"/>
                <w:szCs w:val="18"/>
              </w:rPr>
            </w:pPr>
            <w:r>
              <w:rPr>
                <w:spacing w:val="-1"/>
                <w:sz w:val="18"/>
                <w:szCs w:val="18"/>
              </w:rPr>
              <w:t>Neisseria gonorrhoeae</w:t>
            </w:r>
          </w:p>
        </w:tc>
        <w:tc>
          <w:tcPr>
            <w:tcW w:w="4249" w:type="dxa"/>
            <w:tcBorders>
              <w:top w:val="single" w:color="000000" w:sz="4" w:space="0"/>
            </w:tcBorders>
            <w:vAlign w:val="top"/>
          </w:tcPr>
          <w:p w14:paraId="0F9A120C">
            <w:pPr>
              <w:spacing w:line="379" w:lineRule="auto"/>
              <w:rPr>
                <w:rFonts w:ascii="Arial"/>
                <w:sz w:val="21"/>
              </w:rPr>
            </w:pPr>
          </w:p>
          <w:p w14:paraId="63B5185E">
            <w:pPr>
              <w:pStyle w:val="6"/>
              <w:spacing w:before="58" w:line="296" w:lineRule="auto"/>
              <w:ind w:left="120" w:hanging="80"/>
              <w:jc w:val="both"/>
              <w:rPr>
                <w:sz w:val="18"/>
                <w:szCs w:val="18"/>
              </w:rPr>
            </w:pPr>
            <w:r>
              <w:rPr>
                <w:spacing w:val="-1"/>
                <w:sz w:val="18"/>
                <w:szCs w:val="18"/>
              </w:rPr>
              <w:t>尿道炎、附睾炎、睾丸炎、不育；宫颈炎、子宫内膜</w:t>
            </w:r>
            <w:r>
              <w:rPr>
                <w:spacing w:val="7"/>
                <w:sz w:val="18"/>
                <w:szCs w:val="18"/>
              </w:rPr>
              <w:t xml:space="preserve">  </w:t>
            </w:r>
            <w:r>
              <w:rPr>
                <w:spacing w:val="-1"/>
                <w:sz w:val="18"/>
                <w:szCs w:val="18"/>
              </w:rPr>
              <w:t>炎、输卵管炎、盆腔炎症性疾病、不孕；直肠炎、咽</w:t>
            </w:r>
            <w:r>
              <w:rPr>
                <w:spacing w:val="10"/>
                <w:sz w:val="18"/>
                <w:szCs w:val="18"/>
              </w:rPr>
              <w:t xml:space="preserve"> </w:t>
            </w:r>
            <w:r>
              <w:rPr>
                <w:spacing w:val="-1"/>
                <w:sz w:val="18"/>
                <w:szCs w:val="18"/>
              </w:rPr>
              <w:t>炎；新生儿结膜炎、角膜瘢痕等</w:t>
            </w:r>
          </w:p>
        </w:tc>
      </w:tr>
      <w:tr w14:paraId="37F81319">
        <w:trPr>
          <w:trHeight w:val="3558" w:hRule="atLeast"/>
        </w:trPr>
        <w:tc>
          <w:tcPr>
            <w:tcW w:w="2930" w:type="dxa"/>
            <w:vAlign w:val="top"/>
          </w:tcPr>
          <w:p w14:paraId="170F80C1">
            <w:pPr>
              <w:pStyle w:val="6"/>
              <w:spacing w:before="97" w:line="221" w:lineRule="auto"/>
              <w:ind w:left="260"/>
              <w:rPr>
                <w:sz w:val="18"/>
                <w:szCs w:val="18"/>
              </w:rPr>
            </w:pPr>
            <w:r>
              <w:rPr>
                <w:spacing w:val="-2"/>
                <w:sz w:val="18"/>
                <w:szCs w:val="18"/>
              </w:rPr>
              <w:t>沙眼衣原体</w:t>
            </w:r>
          </w:p>
          <w:p w14:paraId="6DB949D8">
            <w:pPr>
              <w:pStyle w:val="6"/>
              <w:spacing w:before="249" w:line="215" w:lineRule="auto"/>
              <w:ind w:left="260"/>
              <w:rPr>
                <w:sz w:val="18"/>
                <w:szCs w:val="18"/>
              </w:rPr>
            </w:pPr>
            <w:r>
              <w:rPr>
                <w:spacing w:val="-1"/>
                <w:sz w:val="18"/>
                <w:szCs w:val="18"/>
              </w:rPr>
              <w:t>Chlamydia trachomatis</w:t>
            </w:r>
          </w:p>
          <w:p w14:paraId="3CA4A08D">
            <w:pPr>
              <w:pStyle w:val="6"/>
              <w:spacing w:before="275" w:line="221" w:lineRule="auto"/>
              <w:ind w:left="260"/>
              <w:rPr>
                <w:sz w:val="18"/>
                <w:szCs w:val="18"/>
              </w:rPr>
            </w:pPr>
            <w:r>
              <w:rPr>
                <w:spacing w:val="3"/>
                <w:sz w:val="18"/>
                <w:szCs w:val="18"/>
              </w:rPr>
              <w:t>沙眼衣原体(L1～L3)</w:t>
            </w:r>
          </w:p>
          <w:p w14:paraId="1011A5B3">
            <w:pPr>
              <w:pStyle w:val="6"/>
              <w:spacing w:before="108" w:line="288" w:lineRule="auto"/>
              <w:ind w:left="250" w:right="16"/>
              <w:rPr>
                <w:sz w:val="18"/>
                <w:szCs w:val="18"/>
              </w:rPr>
            </w:pPr>
            <w:r>
              <w:rPr>
                <w:spacing w:val="-1"/>
                <w:sz w:val="18"/>
                <w:szCs w:val="18"/>
              </w:rPr>
              <w:t>Chlamydia</w:t>
            </w:r>
            <w:r>
              <w:rPr>
                <w:spacing w:val="80"/>
                <w:sz w:val="18"/>
                <w:szCs w:val="18"/>
              </w:rPr>
              <w:t xml:space="preserve"> </w:t>
            </w:r>
            <w:r>
              <w:rPr>
                <w:spacing w:val="-1"/>
                <w:sz w:val="18"/>
                <w:szCs w:val="18"/>
              </w:rPr>
              <w:t>trachomatis(strains</w:t>
            </w:r>
            <w:r>
              <w:rPr>
                <w:sz w:val="18"/>
                <w:szCs w:val="18"/>
              </w:rPr>
              <w:t xml:space="preserve"> </w:t>
            </w:r>
            <w:r>
              <w:rPr>
                <w:spacing w:val="-1"/>
                <w:sz w:val="18"/>
                <w:szCs w:val="18"/>
              </w:rPr>
              <w:t>L1-L3)</w:t>
            </w:r>
          </w:p>
          <w:p w14:paraId="4F57A1F8">
            <w:pPr>
              <w:pStyle w:val="6"/>
              <w:spacing w:before="83" w:line="219" w:lineRule="auto"/>
              <w:ind w:left="260"/>
              <w:rPr>
                <w:sz w:val="18"/>
                <w:szCs w:val="18"/>
              </w:rPr>
            </w:pPr>
            <w:r>
              <w:rPr>
                <w:spacing w:val="-2"/>
                <w:sz w:val="18"/>
                <w:szCs w:val="18"/>
              </w:rPr>
              <w:t>梅毒螺旋体</w:t>
            </w:r>
          </w:p>
          <w:p w14:paraId="42F131FD">
            <w:pPr>
              <w:pStyle w:val="6"/>
              <w:spacing w:before="261" w:line="214" w:lineRule="auto"/>
              <w:ind w:left="260"/>
              <w:rPr>
                <w:sz w:val="18"/>
                <w:szCs w:val="18"/>
              </w:rPr>
            </w:pPr>
            <w:r>
              <w:rPr>
                <w:spacing w:val="-1"/>
                <w:sz w:val="18"/>
                <w:szCs w:val="18"/>
              </w:rPr>
              <w:t>Treponema pallidum</w:t>
            </w:r>
          </w:p>
          <w:p w14:paraId="0ED7D757">
            <w:pPr>
              <w:pStyle w:val="6"/>
              <w:spacing w:before="287" w:line="219" w:lineRule="auto"/>
              <w:ind w:left="260"/>
              <w:rPr>
                <w:sz w:val="18"/>
                <w:szCs w:val="18"/>
              </w:rPr>
            </w:pPr>
            <w:r>
              <w:rPr>
                <w:spacing w:val="-1"/>
                <w:sz w:val="18"/>
                <w:szCs w:val="18"/>
              </w:rPr>
              <w:t>杜克雷嗜血杆菌</w:t>
            </w:r>
          </w:p>
          <w:p w14:paraId="738B0B1F">
            <w:pPr>
              <w:pStyle w:val="6"/>
              <w:spacing w:before="111" w:line="214" w:lineRule="auto"/>
              <w:ind w:left="260"/>
              <w:rPr>
                <w:sz w:val="18"/>
                <w:szCs w:val="18"/>
              </w:rPr>
            </w:pPr>
            <w:r>
              <w:rPr>
                <w:spacing w:val="-1"/>
                <w:sz w:val="18"/>
                <w:szCs w:val="18"/>
              </w:rPr>
              <w:t>Haemophilus</w:t>
            </w:r>
            <w:r>
              <w:rPr>
                <w:spacing w:val="35"/>
                <w:w w:val="101"/>
                <w:sz w:val="18"/>
                <w:szCs w:val="18"/>
              </w:rPr>
              <w:t xml:space="preserve"> </w:t>
            </w:r>
            <w:r>
              <w:rPr>
                <w:spacing w:val="-1"/>
                <w:sz w:val="18"/>
                <w:szCs w:val="18"/>
              </w:rPr>
              <w:t>ducreyi</w:t>
            </w:r>
          </w:p>
        </w:tc>
        <w:tc>
          <w:tcPr>
            <w:tcW w:w="1490" w:type="dxa"/>
            <w:vAlign w:val="top"/>
          </w:tcPr>
          <w:p w14:paraId="11283653">
            <w:pPr>
              <w:pStyle w:val="6"/>
              <w:spacing w:before="96" w:line="220" w:lineRule="auto"/>
              <w:ind w:left="90"/>
              <w:rPr>
                <w:sz w:val="18"/>
                <w:szCs w:val="18"/>
              </w:rPr>
            </w:pPr>
            <w:r>
              <w:rPr>
                <w:spacing w:val="-2"/>
                <w:sz w:val="18"/>
                <w:szCs w:val="18"/>
              </w:rPr>
              <w:t>衣原体感染</w:t>
            </w:r>
          </w:p>
          <w:p w14:paraId="1D5A4FF0">
            <w:pPr>
              <w:spacing w:line="335" w:lineRule="auto"/>
              <w:rPr>
                <w:rFonts w:ascii="Arial"/>
                <w:sz w:val="21"/>
              </w:rPr>
            </w:pPr>
          </w:p>
          <w:p w14:paraId="4CA8C9D9">
            <w:pPr>
              <w:spacing w:line="335" w:lineRule="auto"/>
              <w:rPr>
                <w:rFonts w:ascii="Arial"/>
                <w:sz w:val="21"/>
              </w:rPr>
            </w:pPr>
          </w:p>
          <w:p w14:paraId="3643F1EB">
            <w:pPr>
              <w:pStyle w:val="6"/>
              <w:spacing w:before="59" w:line="498" w:lineRule="auto"/>
              <w:ind w:left="90" w:right="302"/>
              <w:rPr>
                <w:sz w:val="18"/>
                <w:szCs w:val="18"/>
              </w:rPr>
            </w:pPr>
            <w:r>
              <w:rPr>
                <w:spacing w:val="2"/>
                <w:sz w:val="18"/>
                <w:szCs w:val="18"/>
              </w:rPr>
              <w:t>性病性淋巴肉</w:t>
            </w:r>
            <w:r>
              <w:rPr>
                <w:spacing w:val="4"/>
                <w:sz w:val="18"/>
                <w:szCs w:val="18"/>
              </w:rPr>
              <w:t xml:space="preserve"> </w:t>
            </w:r>
            <w:r>
              <w:rPr>
                <w:spacing w:val="8"/>
                <w:sz w:val="18"/>
                <w:szCs w:val="18"/>
              </w:rPr>
              <w:t>芽肿</w:t>
            </w:r>
          </w:p>
          <w:p w14:paraId="28891A0E">
            <w:pPr>
              <w:pStyle w:val="6"/>
              <w:spacing w:line="219" w:lineRule="auto"/>
              <w:ind w:left="90"/>
              <w:rPr>
                <w:sz w:val="18"/>
                <w:szCs w:val="18"/>
              </w:rPr>
            </w:pPr>
            <w:r>
              <w:rPr>
                <w:spacing w:val="-2"/>
                <w:sz w:val="18"/>
                <w:szCs w:val="18"/>
              </w:rPr>
              <w:t>梅毒</w:t>
            </w:r>
          </w:p>
          <w:p w14:paraId="6AFDE255">
            <w:pPr>
              <w:spacing w:line="347" w:lineRule="auto"/>
              <w:rPr>
                <w:rFonts w:ascii="Arial"/>
                <w:sz w:val="21"/>
              </w:rPr>
            </w:pPr>
          </w:p>
          <w:p w14:paraId="1A7E2B59">
            <w:pPr>
              <w:spacing w:line="347" w:lineRule="auto"/>
              <w:rPr>
                <w:rFonts w:ascii="Arial"/>
                <w:sz w:val="21"/>
              </w:rPr>
            </w:pPr>
          </w:p>
          <w:p w14:paraId="514B0613">
            <w:pPr>
              <w:pStyle w:val="6"/>
              <w:spacing w:before="58" w:line="220" w:lineRule="auto"/>
              <w:ind w:left="90"/>
              <w:rPr>
                <w:sz w:val="18"/>
                <w:szCs w:val="18"/>
              </w:rPr>
            </w:pPr>
            <w:r>
              <w:rPr>
                <w:spacing w:val="-3"/>
                <w:sz w:val="18"/>
                <w:szCs w:val="18"/>
              </w:rPr>
              <w:t>软下疳</w:t>
            </w:r>
          </w:p>
        </w:tc>
        <w:tc>
          <w:tcPr>
            <w:tcW w:w="4249" w:type="dxa"/>
            <w:vAlign w:val="top"/>
          </w:tcPr>
          <w:p w14:paraId="4694C7A9">
            <w:pPr>
              <w:pStyle w:val="6"/>
              <w:spacing w:before="96" w:line="304" w:lineRule="auto"/>
              <w:ind w:left="130" w:right="13" w:hanging="90"/>
              <w:rPr>
                <w:sz w:val="18"/>
                <w:szCs w:val="18"/>
              </w:rPr>
            </w:pPr>
            <w:r>
              <w:rPr>
                <w:spacing w:val="-1"/>
                <w:sz w:val="18"/>
                <w:szCs w:val="18"/>
              </w:rPr>
              <w:t>尿道炎、附睾炎、睾丸炎、不育；宫颈炎、子宫内膜</w:t>
            </w:r>
            <w:r>
              <w:rPr>
                <w:spacing w:val="15"/>
                <w:sz w:val="18"/>
                <w:szCs w:val="18"/>
              </w:rPr>
              <w:t xml:space="preserve"> </w:t>
            </w:r>
            <w:r>
              <w:rPr>
                <w:spacing w:val="-2"/>
                <w:sz w:val="18"/>
                <w:szCs w:val="18"/>
              </w:rPr>
              <w:t>炎、输卵管炎、盆腔炎症性疾病、不孕；直肠炎、咽</w:t>
            </w:r>
            <w:r>
              <w:rPr>
                <w:spacing w:val="10"/>
                <w:sz w:val="18"/>
                <w:szCs w:val="18"/>
              </w:rPr>
              <w:t xml:space="preserve"> </w:t>
            </w:r>
            <w:r>
              <w:rPr>
                <w:spacing w:val="-1"/>
                <w:sz w:val="18"/>
                <w:szCs w:val="18"/>
              </w:rPr>
              <w:t>炎、莱特尔综合征；新生儿结膜炎等</w:t>
            </w:r>
          </w:p>
          <w:p w14:paraId="52081C63">
            <w:pPr>
              <w:spacing w:line="310" w:lineRule="auto"/>
              <w:rPr>
                <w:rFonts w:ascii="Arial"/>
                <w:sz w:val="21"/>
              </w:rPr>
            </w:pPr>
          </w:p>
          <w:p w14:paraId="50C3AB0C">
            <w:pPr>
              <w:pStyle w:val="6"/>
              <w:spacing w:before="59" w:line="219" w:lineRule="auto"/>
              <w:ind w:left="1030"/>
              <w:rPr>
                <w:sz w:val="18"/>
                <w:szCs w:val="18"/>
              </w:rPr>
            </w:pPr>
            <w:r>
              <w:rPr>
                <w:spacing w:val="-1"/>
                <w:sz w:val="18"/>
                <w:szCs w:val="18"/>
              </w:rPr>
              <w:t>溃疡；腹股沟肿胀；直肠炎</w:t>
            </w:r>
          </w:p>
          <w:p w14:paraId="62DC9608">
            <w:pPr>
              <w:spacing w:line="383" w:lineRule="auto"/>
              <w:rPr>
                <w:rFonts w:ascii="Arial"/>
                <w:sz w:val="21"/>
              </w:rPr>
            </w:pPr>
          </w:p>
          <w:p w14:paraId="38EA68B8">
            <w:pPr>
              <w:pStyle w:val="6"/>
              <w:spacing w:before="58" w:line="310" w:lineRule="auto"/>
              <w:ind w:left="130" w:right="165" w:firstLine="89"/>
              <w:rPr>
                <w:sz w:val="18"/>
                <w:szCs w:val="18"/>
              </w:rPr>
            </w:pPr>
            <w:r>
              <w:rPr>
                <w:spacing w:val="-1"/>
                <w:sz w:val="18"/>
                <w:szCs w:val="18"/>
              </w:rPr>
              <w:t>一期溃疡(硬下疳)伴局部淋巴结肿大、二期梅毒</w:t>
            </w:r>
            <w:r>
              <w:rPr>
                <w:spacing w:val="5"/>
                <w:sz w:val="18"/>
                <w:szCs w:val="18"/>
              </w:rPr>
              <w:t xml:space="preserve">  </w:t>
            </w:r>
            <w:r>
              <w:rPr>
                <w:spacing w:val="-1"/>
                <w:sz w:val="18"/>
                <w:szCs w:val="18"/>
              </w:rPr>
              <w:t>疹、扁平湿疣以及骨、心血管和神经系统损害；妊</w:t>
            </w:r>
            <w:r>
              <w:rPr>
                <w:spacing w:val="13"/>
                <w:sz w:val="18"/>
                <w:szCs w:val="18"/>
              </w:rPr>
              <w:t xml:space="preserve"> </w:t>
            </w:r>
            <w:r>
              <w:rPr>
                <w:spacing w:val="-1"/>
                <w:sz w:val="18"/>
                <w:szCs w:val="18"/>
              </w:rPr>
              <w:t>娠失败(流产、死胎)、早产；先天性梅毒</w:t>
            </w:r>
          </w:p>
          <w:p w14:paraId="5F13D670">
            <w:pPr>
              <w:pStyle w:val="6"/>
              <w:spacing w:before="215" w:line="219" w:lineRule="auto"/>
              <w:ind w:left="1300"/>
              <w:rPr>
                <w:sz w:val="18"/>
                <w:szCs w:val="18"/>
              </w:rPr>
            </w:pPr>
            <w:r>
              <w:rPr>
                <w:spacing w:val="-1"/>
                <w:sz w:val="18"/>
                <w:szCs w:val="18"/>
              </w:rPr>
              <w:t>疼痛性生殖器溃疡等</w:t>
            </w:r>
          </w:p>
        </w:tc>
      </w:tr>
      <w:tr w14:paraId="18E25A3E">
        <w:trPr>
          <w:trHeight w:val="630" w:hRule="atLeast"/>
        </w:trPr>
        <w:tc>
          <w:tcPr>
            <w:tcW w:w="2930" w:type="dxa"/>
            <w:vAlign w:val="top"/>
          </w:tcPr>
          <w:p w14:paraId="7FD0AB87">
            <w:pPr>
              <w:pStyle w:val="6"/>
              <w:spacing w:before="67" w:line="219" w:lineRule="auto"/>
              <w:ind w:left="260"/>
              <w:rPr>
                <w:sz w:val="18"/>
                <w:szCs w:val="18"/>
              </w:rPr>
            </w:pPr>
            <w:r>
              <w:rPr>
                <w:spacing w:val="-1"/>
                <w:sz w:val="18"/>
                <w:szCs w:val="18"/>
              </w:rPr>
              <w:t>克雷伯菌属(肉芽肿荚膜杆菌)</w:t>
            </w:r>
          </w:p>
          <w:p w14:paraId="47456C58">
            <w:pPr>
              <w:pStyle w:val="6"/>
              <w:spacing w:before="103" w:line="215" w:lineRule="auto"/>
              <w:ind w:left="260"/>
              <w:rPr>
                <w:sz w:val="18"/>
                <w:szCs w:val="18"/>
              </w:rPr>
            </w:pPr>
            <w:r>
              <w:rPr>
                <w:sz w:val="18"/>
                <w:szCs w:val="18"/>
              </w:rPr>
              <w:t>Klebsiella(Calymmatobac</w:t>
            </w:r>
            <w:r>
              <w:rPr>
                <w:spacing w:val="-1"/>
                <w:sz w:val="18"/>
                <w:szCs w:val="18"/>
              </w:rPr>
              <w:t>terium</w:t>
            </w:r>
          </w:p>
        </w:tc>
        <w:tc>
          <w:tcPr>
            <w:tcW w:w="1490" w:type="dxa"/>
            <w:vAlign w:val="top"/>
          </w:tcPr>
          <w:p w14:paraId="230D3FC2">
            <w:pPr>
              <w:pStyle w:val="6"/>
              <w:spacing w:before="68" w:line="219" w:lineRule="auto"/>
              <w:ind w:left="20"/>
              <w:rPr>
                <w:sz w:val="18"/>
                <w:szCs w:val="18"/>
              </w:rPr>
            </w:pPr>
            <w:r>
              <w:rPr>
                <w:spacing w:val="2"/>
                <w:sz w:val="18"/>
                <w:szCs w:val="18"/>
              </w:rPr>
              <w:t>腹股沟肉芽肿</w:t>
            </w:r>
          </w:p>
          <w:p w14:paraId="0858B9E0">
            <w:pPr>
              <w:pStyle w:val="6"/>
              <w:spacing w:before="105" w:line="219" w:lineRule="auto"/>
              <w:ind w:left="20"/>
              <w:rPr>
                <w:sz w:val="18"/>
                <w:szCs w:val="18"/>
              </w:rPr>
            </w:pPr>
            <w:r>
              <w:rPr>
                <w:spacing w:val="13"/>
                <w:sz w:val="18"/>
                <w:szCs w:val="18"/>
              </w:rPr>
              <w:t>(杜诺凡病)</w:t>
            </w:r>
          </w:p>
        </w:tc>
        <w:tc>
          <w:tcPr>
            <w:tcW w:w="4249" w:type="dxa"/>
            <w:vAlign w:val="top"/>
          </w:tcPr>
          <w:p w14:paraId="3902D57B">
            <w:pPr>
              <w:pStyle w:val="6"/>
              <w:spacing w:before="87" w:line="273" w:lineRule="auto"/>
              <w:ind w:left="120" w:right="355"/>
              <w:rPr>
                <w:sz w:val="18"/>
                <w:szCs w:val="18"/>
              </w:rPr>
            </w:pPr>
            <w:r>
              <w:rPr>
                <w:spacing w:val="-1"/>
                <w:sz w:val="18"/>
                <w:szCs w:val="18"/>
              </w:rPr>
              <w:t>腹股沟及肛门生殖器部位的结节性肿胀和溃疡性</w:t>
            </w:r>
            <w:r>
              <w:rPr>
                <w:spacing w:val="12"/>
                <w:sz w:val="18"/>
                <w:szCs w:val="18"/>
              </w:rPr>
              <w:t xml:space="preserve"> </w:t>
            </w:r>
            <w:r>
              <w:rPr>
                <w:spacing w:val="10"/>
                <w:sz w:val="18"/>
                <w:szCs w:val="18"/>
              </w:rPr>
              <w:t>损害</w:t>
            </w:r>
          </w:p>
        </w:tc>
      </w:tr>
      <w:tr w14:paraId="1E6643E7">
        <w:trPr>
          <w:trHeight w:val="242" w:hRule="atLeast"/>
        </w:trPr>
        <w:tc>
          <w:tcPr>
            <w:tcW w:w="2930" w:type="dxa"/>
            <w:vAlign w:val="top"/>
          </w:tcPr>
          <w:p w14:paraId="05D11FDC">
            <w:pPr>
              <w:pStyle w:val="6"/>
              <w:spacing w:before="62" w:line="174" w:lineRule="auto"/>
              <w:ind w:left="260"/>
              <w:rPr>
                <w:sz w:val="18"/>
                <w:szCs w:val="18"/>
              </w:rPr>
            </w:pPr>
            <w:r>
              <w:rPr>
                <w:spacing w:val="-1"/>
                <w:sz w:val="18"/>
                <w:szCs w:val="18"/>
              </w:rPr>
              <w:t>granulomatis)</w:t>
            </w:r>
          </w:p>
        </w:tc>
        <w:tc>
          <w:tcPr>
            <w:tcW w:w="1490" w:type="dxa"/>
            <w:vAlign w:val="top"/>
          </w:tcPr>
          <w:p w14:paraId="3EA3DF77">
            <w:pPr>
              <w:spacing w:line="232" w:lineRule="exact"/>
              <w:rPr>
                <w:rFonts w:ascii="Arial"/>
                <w:sz w:val="20"/>
              </w:rPr>
            </w:pPr>
          </w:p>
        </w:tc>
        <w:tc>
          <w:tcPr>
            <w:tcW w:w="4249" w:type="dxa"/>
            <w:vAlign w:val="top"/>
          </w:tcPr>
          <w:p w14:paraId="1DA10DBB">
            <w:pPr>
              <w:spacing w:line="232" w:lineRule="exact"/>
              <w:rPr>
                <w:rFonts w:ascii="Arial"/>
                <w:sz w:val="20"/>
              </w:rPr>
            </w:pPr>
          </w:p>
        </w:tc>
      </w:tr>
    </w:tbl>
    <w:p w14:paraId="783DFB2E">
      <w:pPr>
        <w:spacing w:before="156" w:line="158" w:lineRule="auto"/>
        <w:ind w:left="949"/>
        <w:rPr>
          <w:rFonts w:ascii="宋体" w:hAnsi="宋体" w:eastAsia="宋体" w:cs="宋体"/>
          <w:sz w:val="18"/>
          <w:szCs w:val="18"/>
        </w:rPr>
      </w:pPr>
      <w:r>
        <w:rPr>
          <w:rFonts w:ascii="宋体" w:hAnsi="宋体" w:eastAsia="宋体" w:cs="宋体"/>
          <w:spacing w:val="-2"/>
          <w:sz w:val="18"/>
          <w:szCs w:val="18"/>
        </w:rPr>
        <w:t>生殖支原体</w:t>
      </w:r>
      <w:r>
        <w:rPr>
          <w:rFonts w:ascii="宋体" w:hAnsi="宋体" w:eastAsia="宋体" w:cs="宋体"/>
          <w:spacing w:val="3"/>
          <w:sz w:val="18"/>
          <w:szCs w:val="18"/>
        </w:rPr>
        <w:t xml:space="preserve">                    </w:t>
      </w:r>
      <w:r>
        <w:rPr>
          <w:rFonts w:ascii="宋体" w:hAnsi="宋体" w:eastAsia="宋体" w:cs="宋体"/>
          <w:spacing w:val="-2"/>
          <w:position w:val="-1"/>
          <w:sz w:val="18"/>
          <w:szCs w:val="18"/>
        </w:rPr>
        <w:t>一</w:t>
      </w:r>
    </w:p>
    <w:p w14:paraId="4A94BB3E">
      <w:pPr>
        <w:spacing w:line="160" w:lineRule="auto"/>
        <w:ind w:left="5780"/>
        <w:rPr>
          <w:rFonts w:ascii="宋体" w:hAnsi="宋体" w:eastAsia="宋体" w:cs="宋体"/>
          <w:sz w:val="18"/>
          <w:szCs w:val="18"/>
        </w:rPr>
      </w:pPr>
      <w:r>
        <w:rPr>
          <w:rFonts w:ascii="宋体" w:hAnsi="宋体" w:eastAsia="宋体" w:cs="宋体"/>
          <w:spacing w:val="-1"/>
          <w:sz w:val="18"/>
          <w:szCs w:val="18"/>
        </w:rPr>
        <w:t>非淋球菌性尿道炎、细菌性阴道病等</w:t>
      </w:r>
    </w:p>
    <w:p w14:paraId="4E7F5C18">
      <w:pPr>
        <w:spacing w:line="206" w:lineRule="auto"/>
        <w:ind w:left="949"/>
        <w:rPr>
          <w:rFonts w:ascii="宋体" w:hAnsi="宋体" w:eastAsia="宋体" w:cs="宋体"/>
          <w:sz w:val="18"/>
          <w:szCs w:val="18"/>
        </w:rPr>
      </w:pPr>
      <w:r>
        <w:rPr>
          <w:rFonts w:ascii="宋体" w:hAnsi="宋体" w:eastAsia="宋体" w:cs="宋体"/>
          <w:spacing w:val="-1"/>
          <w:sz w:val="18"/>
          <w:szCs w:val="18"/>
        </w:rPr>
        <w:t>Mycoplasma genitalium</w:t>
      </w:r>
    </w:p>
    <w:p w14:paraId="463BC2E1">
      <w:pPr>
        <w:spacing w:before="158" w:line="226" w:lineRule="auto"/>
        <w:ind w:left="949"/>
        <w:rPr>
          <w:rFonts w:ascii="宋体" w:hAnsi="宋体" w:eastAsia="宋体" w:cs="宋体"/>
          <w:sz w:val="18"/>
          <w:szCs w:val="18"/>
        </w:rPr>
      </w:pPr>
      <w:r>
        <w:rPr>
          <w:rFonts w:ascii="宋体" w:hAnsi="宋体" w:eastAsia="宋体" w:cs="宋体"/>
          <w:spacing w:val="2"/>
          <w:position w:val="1"/>
          <w:sz w:val="18"/>
          <w:szCs w:val="18"/>
        </w:rPr>
        <w:t>解脲支原体</w:t>
      </w:r>
      <w:r>
        <w:rPr>
          <w:rFonts w:ascii="宋体" w:hAnsi="宋体" w:eastAsia="宋体" w:cs="宋体"/>
          <w:spacing w:val="1"/>
          <w:position w:val="1"/>
          <w:sz w:val="18"/>
          <w:szCs w:val="18"/>
        </w:rPr>
        <w:t xml:space="preserve">                    </w:t>
      </w:r>
      <w:r>
        <w:rPr>
          <w:rFonts w:ascii="宋体" w:hAnsi="宋体" w:eastAsia="宋体" w:cs="宋体"/>
          <w:spacing w:val="2"/>
          <w:position w:val="6"/>
          <w:sz w:val="4"/>
          <w:szCs w:val="4"/>
        </w:rPr>
        <w:t xml:space="preserve">一                                             </w:t>
      </w:r>
      <w:r>
        <w:rPr>
          <w:rFonts w:ascii="宋体" w:hAnsi="宋体" w:eastAsia="宋体" w:cs="宋体"/>
          <w:spacing w:val="1"/>
          <w:position w:val="6"/>
          <w:sz w:val="4"/>
          <w:szCs w:val="4"/>
        </w:rPr>
        <w:t xml:space="preserve">                           </w:t>
      </w:r>
      <w:r>
        <w:rPr>
          <w:rFonts w:ascii="宋体" w:hAnsi="宋体" w:eastAsia="宋体" w:cs="宋体"/>
          <w:spacing w:val="1"/>
          <w:sz w:val="18"/>
          <w:szCs w:val="18"/>
        </w:rPr>
        <w:t>非淋球菌性尿道炎、细菌性阴道病等</w:t>
      </w:r>
    </w:p>
    <w:p w14:paraId="3740D094">
      <w:pPr>
        <w:spacing w:before="39" w:line="239" w:lineRule="exact"/>
        <w:ind w:left="979"/>
        <w:rPr>
          <w:rFonts w:ascii="Times New Roman" w:hAnsi="Times New Roman" w:eastAsia="Times New Roman" w:cs="Times New Roman"/>
          <w:sz w:val="18"/>
          <w:szCs w:val="18"/>
        </w:rPr>
      </w:pPr>
      <w:r>
        <w:rPr>
          <w:rFonts w:ascii="Times New Roman" w:hAnsi="Times New Roman" w:eastAsia="Times New Roman" w:cs="Times New Roman"/>
          <w:i/>
          <w:iCs/>
          <w:spacing w:val="-4"/>
          <w:position w:val="3"/>
          <w:sz w:val="18"/>
          <w:szCs w:val="18"/>
        </w:rPr>
        <w:t>Ureaplasma urealyticum</w:t>
      </w:r>
    </w:p>
    <w:p w14:paraId="2A226897">
      <w:pPr>
        <w:spacing w:line="49" w:lineRule="exact"/>
      </w:pPr>
    </w:p>
    <w:tbl>
      <w:tblPr>
        <w:tblStyle w:val="5"/>
        <w:tblW w:w="8650" w:type="dxa"/>
        <w:tblInd w:w="699"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4449"/>
        <w:gridCol w:w="4201"/>
      </w:tblGrid>
      <w:tr w14:paraId="5B4FE341">
        <w:trPr>
          <w:trHeight w:val="1049" w:hRule="atLeast"/>
        </w:trPr>
        <w:tc>
          <w:tcPr>
            <w:tcW w:w="8650" w:type="dxa"/>
            <w:gridSpan w:val="2"/>
            <w:tcBorders>
              <w:bottom w:val="nil"/>
            </w:tcBorders>
            <w:vAlign w:val="top"/>
          </w:tcPr>
          <w:p w14:paraId="1A7343C0">
            <w:pPr>
              <w:pStyle w:val="6"/>
              <w:spacing w:before="92" w:line="219" w:lineRule="auto"/>
              <w:ind w:left="45"/>
              <w:rPr>
                <w:sz w:val="19"/>
                <w:szCs w:val="19"/>
              </w:rPr>
            </w:pPr>
            <w:r>
              <w:rPr>
                <w:spacing w:val="-2"/>
                <w:sz w:val="19"/>
                <w:szCs w:val="19"/>
              </w:rPr>
              <w:t>病毒性感染</w:t>
            </w:r>
          </w:p>
          <w:p w14:paraId="3ABAD989">
            <w:pPr>
              <w:pStyle w:val="6"/>
              <w:spacing w:before="144" w:line="230" w:lineRule="auto"/>
              <w:ind w:left="265"/>
              <w:rPr>
                <w:sz w:val="19"/>
                <w:szCs w:val="19"/>
              </w:rPr>
            </w:pPr>
            <w:r>
              <w:rPr>
                <w:sz w:val="19"/>
                <w:szCs w:val="19"/>
              </w:rPr>
              <w:t>人类免疫缺陷病毒</w:t>
            </w:r>
            <w:r>
              <w:rPr>
                <w:spacing w:val="6"/>
                <w:sz w:val="19"/>
                <w:szCs w:val="19"/>
              </w:rPr>
              <w:t xml:space="preserve">            </w:t>
            </w:r>
            <w:r>
              <w:rPr>
                <w:sz w:val="19"/>
                <w:szCs w:val="19"/>
              </w:rPr>
              <w:t>获得性免疫缺陷</w:t>
            </w:r>
            <w:r>
              <w:rPr>
                <w:spacing w:val="77"/>
                <w:sz w:val="19"/>
                <w:szCs w:val="19"/>
              </w:rPr>
              <w:t xml:space="preserve"> </w:t>
            </w:r>
            <w:r>
              <w:rPr>
                <w:sz w:val="19"/>
                <w:szCs w:val="19"/>
              </w:rPr>
              <w:t>艾滋病相关</w:t>
            </w:r>
            <w:r>
              <w:rPr>
                <w:spacing w:val="-1"/>
                <w:sz w:val="19"/>
                <w:szCs w:val="19"/>
              </w:rPr>
              <w:t>疾病表现</w:t>
            </w:r>
          </w:p>
          <w:p w14:paraId="0DCB256A">
            <w:pPr>
              <w:pStyle w:val="6"/>
              <w:spacing w:before="73" w:line="220" w:lineRule="auto"/>
              <w:ind w:left="265"/>
              <w:rPr>
                <w:sz w:val="19"/>
                <w:szCs w:val="19"/>
              </w:rPr>
            </w:pPr>
            <w:r>
              <w:rPr>
                <w:sz w:val="19"/>
                <w:szCs w:val="19"/>
              </w:rPr>
              <w:t>human</w:t>
            </w:r>
            <w:r>
              <w:rPr>
                <w:spacing w:val="2"/>
                <w:sz w:val="19"/>
                <w:szCs w:val="19"/>
              </w:rPr>
              <w:t xml:space="preserve"> </w:t>
            </w:r>
            <w:r>
              <w:rPr>
                <w:sz w:val="19"/>
                <w:szCs w:val="19"/>
              </w:rPr>
              <w:t>immunodeficiency</w:t>
            </w:r>
            <w:r>
              <w:rPr>
                <w:spacing w:val="2"/>
                <w:sz w:val="19"/>
                <w:szCs w:val="19"/>
              </w:rPr>
              <w:t xml:space="preserve"> </w:t>
            </w:r>
            <w:r>
              <w:rPr>
                <w:sz w:val="19"/>
                <w:szCs w:val="19"/>
              </w:rPr>
              <w:t>virus</w:t>
            </w:r>
            <w:r>
              <w:rPr>
                <w:spacing w:val="2"/>
                <w:sz w:val="19"/>
                <w:szCs w:val="19"/>
              </w:rPr>
              <w:t xml:space="preserve"> 综合征(艾滋病)</w:t>
            </w:r>
          </w:p>
        </w:tc>
      </w:tr>
      <w:tr w14:paraId="30DA288F">
        <w:trPr>
          <w:trHeight w:val="5231" w:hRule="atLeast"/>
        </w:trPr>
        <w:tc>
          <w:tcPr>
            <w:tcW w:w="4449" w:type="dxa"/>
            <w:tcBorders>
              <w:top w:val="nil"/>
              <w:right w:val="nil"/>
            </w:tcBorders>
            <w:vAlign w:val="top"/>
          </w:tcPr>
          <w:p w14:paraId="6EAC1569">
            <w:pPr>
              <w:pStyle w:val="6"/>
              <w:spacing w:before="83" w:line="279" w:lineRule="auto"/>
              <w:ind w:left="265" w:right="497"/>
              <w:rPr>
                <w:sz w:val="19"/>
                <w:szCs w:val="19"/>
              </w:rPr>
            </w:pPr>
            <w:r>
              <w:rPr>
                <w:position w:val="1"/>
                <w:sz w:val="19"/>
                <w:szCs w:val="19"/>
              </w:rPr>
              <w:t>单纯疱疹病毒2型</w:t>
            </w:r>
            <w:r>
              <w:rPr>
                <w:spacing w:val="5"/>
                <w:position w:val="1"/>
                <w:sz w:val="19"/>
                <w:szCs w:val="19"/>
              </w:rPr>
              <w:t xml:space="preserve">             </w:t>
            </w:r>
            <w:r>
              <w:rPr>
                <w:position w:val="-1"/>
                <w:sz w:val="19"/>
                <w:szCs w:val="19"/>
              </w:rPr>
              <w:t>生殖器疱疹</w:t>
            </w:r>
            <w:r>
              <w:rPr>
                <w:spacing w:val="5"/>
                <w:position w:val="-1"/>
                <w:sz w:val="19"/>
                <w:szCs w:val="19"/>
              </w:rPr>
              <w:t xml:space="preserve"> </w:t>
            </w:r>
            <w:r>
              <w:rPr>
                <w:spacing w:val="-1"/>
                <w:sz w:val="19"/>
                <w:szCs w:val="19"/>
              </w:rPr>
              <w:t>herpes</w:t>
            </w:r>
            <w:r>
              <w:rPr>
                <w:spacing w:val="21"/>
                <w:sz w:val="19"/>
                <w:szCs w:val="19"/>
              </w:rPr>
              <w:t xml:space="preserve"> </w:t>
            </w:r>
            <w:r>
              <w:rPr>
                <w:spacing w:val="-1"/>
                <w:sz w:val="19"/>
                <w:szCs w:val="19"/>
              </w:rPr>
              <w:t>simplex virus</w:t>
            </w:r>
            <w:r>
              <w:rPr>
                <w:spacing w:val="18"/>
                <w:sz w:val="19"/>
                <w:szCs w:val="19"/>
              </w:rPr>
              <w:t xml:space="preserve"> </w:t>
            </w:r>
            <w:r>
              <w:rPr>
                <w:spacing w:val="-2"/>
                <w:sz w:val="19"/>
                <w:szCs w:val="19"/>
              </w:rPr>
              <w:t>type</w:t>
            </w:r>
            <w:r>
              <w:rPr>
                <w:spacing w:val="15"/>
                <w:sz w:val="19"/>
                <w:szCs w:val="19"/>
              </w:rPr>
              <w:t xml:space="preserve"> </w:t>
            </w:r>
            <w:r>
              <w:rPr>
                <w:spacing w:val="-2"/>
                <w:sz w:val="19"/>
                <w:szCs w:val="19"/>
              </w:rPr>
              <w:t>2</w:t>
            </w:r>
          </w:p>
          <w:p w14:paraId="77C36565">
            <w:pPr>
              <w:pStyle w:val="6"/>
              <w:spacing w:before="76" w:line="219" w:lineRule="auto"/>
              <w:ind w:left="265"/>
              <w:rPr>
                <w:sz w:val="19"/>
                <w:szCs w:val="19"/>
              </w:rPr>
            </w:pPr>
            <w:r>
              <w:rPr>
                <w:spacing w:val="3"/>
                <w:sz w:val="19"/>
                <w:szCs w:val="19"/>
              </w:rPr>
              <w:t>单纯疱疹病毒1型(较少见)</w:t>
            </w:r>
          </w:p>
          <w:p w14:paraId="13FF417C">
            <w:pPr>
              <w:pStyle w:val="6"/>
              <w:spacing w:before="89" w:line="214" w:lineRule="auto"/>
              <w:ind w:left="265"/>
              <w:rPr>
                <w:sz w:val="19"/>
                <w:szCs w:val="19"/>
              </w:rPr>
            </w:pPr>
            <w:r>
              <w:rPr>
                <w:spacing w:val="-1"/>
                <w:sz w:val="19"/>
                <w:szCs w:val="19"/>
              </w:rPr>
              <w:t>herpes</w:t>
            </w:r>
            <w:r>
              <w:rPr>
                <w:spacing w:val="23"/>
                <w:sz w:val="19"/>
                <w:szCs w:val="19"/>
              </w:rPr>
              <w:t xml:space="preserve"> </w:t>
            </w:r>
            <w:r>
              <w:rPr>
                <w:spacing w:val="-1"/>
                <w:sz w:val="19"/>
                <w:szCs w:val="19"/>
              </w:rPr>
              <w:t>simplex virus</w:t>
            </w:r>
            <w:r>
              <w:rPr>
                <w:spacing w:val="20"/>
                <w:sz w:val="19"/>
                <w:szCs w:val="19"/>
              </w:rPr>
              <w:t xml:space="preserve"> </w:t>
            </w:r>
            <w:r>
              <w:rPr>
                <w:spacing w:val="-1"/>
                <w:sz w:val="19"/>
                <w:szCs w:val="19"/>
              </w:rPr>
              <w:t>ty</w:t>
            </w:r>
            <w:r>
              <w:rPr>
                <w:spacing w:val="-2"/>
                <w:sz w:val="19"/>
                <w:szCs w:val="19"/>
              </w:rPr>
              <w:t>pe</w:t>
            </w:r>
            <w:r>
              <w:rPr>
                <w:spacing w:val="28"/>
                <w:sz w:val="19"/>
                <w:szCs w:val="19"/>
              </w:rPr>
              <w:t xml:space="preserve"> </w:t>
            </w:r>
            <w:r>
              <w:rPr>
                <w:spacing w:val="-2"/>
                <w:sz w:val="19"/>
                <w:szCs w:val="19"/>
              </w:rPr>
              <w:t>1</w:t>
            </w:r>
          </w:p>
          <w:p w14:paraId="1C9D4016">
            <w:pPr>
              <w:pStyle w:val="6"/>
              <w:spacing w:before="124" w:line="233" w:lineRule="auto"/>
              <w:ind w:left="265"/>
              <w:rPr>
                <w:sz w:val="19"/>
                <w:szCs w:val="19"/>
              </w:rPr>
            </w:pPr>
            <w:r>
              <w:rPr>
                <w:spacing w:val="-1"/>
                <w:sz w:val="19"/>
                <w:szCs w:val="19"/>
              </w:rPr>
              <w:t xml:space="preserve">人乳头瘤病毒                 </w:t>
            </w:r>
            <w:r>
              <w:rPr>
                <w:spacing w:val="-1"/>
                <w:position w:val="-1"/>
                <w:sz w:val="19"/>
                <w:szCs w:val="19"/>
              </w:rPr>
              <w:t>生殖器疣</w:t>
            </w:r>
          </w:p>
          <w:p w14:paraId="25C4F250">
            <w:pPr>
              <w:pStyle w:val="6"/>
              <w:spacing w:before="65" w:line="214" w:lineRule="auto"/>
              <w:ind w:left="265"/>
              <w:rPr>
                <w:sz w:val="19"/>
                <w:szCs w:val="19"/>
              </w:rPr>
            </w:pPr>
            <w:r>
              <w:rPr>
                <w:spacing w:val="-1"/>
                <w:sz w:val="19"/>
                <w:szCs w:val="19"/>
              </w:rPr>
              <w:t>human papillomavirus</w:t>
            </w:r>
          </w:p>
          <w:p w14:paraId="362D7356">
            <w:pPr>
              <w:pStyle w:val="6"/>
              <w:spacing w:before="145" w:line="219" w:lineRule="auto"/>
              <w:ind w:left="265"/>
              <w:rPr>
                <w:sz w:val="19"/>
                <w:szCs w:val="19"/>
              </w:rPr>
            </w:pPr>
            <w:r>
              <w:rPr>
                <w:sz w:val="19"/>
                <w:szCs w:val="19"/>
              </w:rPr>
              <w:t>乙型肝炎病毒</w:t>
            </w:r>
            <w:r>
              <w:rPr>
                <w:spacing w:val="5"/>
                <w:sz w:val="19"/>
                <w:szCs w:val="19"/>
              </w:rPr>
              <w:t xml:space="preserve">                </w:t>
            </w:r>
            <w:r>
              <w:rPr>
                <w:sz w:val="19"/>
                <w:szCs w:val="19"/>
              </w:rPr>
              <w:t>病毒性肝炎</w:t>
            </w:r>
          </w:p>
          <w:p w14:paraId="024E9F62">
            <w:pPr>
              <w:pStyle w:val="6"/>
              <w:spacing w:before="69" w:line="214" w:lineRule="auto"/>
              <w:ind w:left="265"/>
              <w:rPr>
                <w:sz w:val="19"/>
                <w:szCs w:val="19"/>
              </w:rPr>
            </w:pPr>
            <w:r>
              <w:rPr>
                <w:spacing w:val="-1"/>
                <w:sz w:val="19"/>
                <w:szCs w:val="19"/>
              </w:rPr>
              <w:t>hepatitis</w:t>
            </w:r>
            <w:r>
              <w:rPr>
                <w:spacing w:val="15"/>
                <w:sz w:val="19"/>
                <w:szCs w:val="19"/>
              </w:rPr>
              <w:t xml:space="preserve"> </w:t>
            </w:r>
            <w:r>
              <w:rPr>
                <w:spacing w:val="-1"/>
                <w:sz w:val="19"/>
                <w:szCs w:val="19"/>
              </w:rPr>
              <w:t>B</w:t>
            </w:r>
            <w:r>
              <w:rPr>
                <w:spacing w:val="19"/>
                <w:sz w:val="19"/>
                <w:szCs w:val="19"/>
              </w:rPr>
              <w:t xml:space="preserve"> </w:t>
            </w:r>
            <w:r>
              <w:rPr>
                <w:spacing w:val="-1"/>
                <w:sz w:val="19"/>
                <w:szCs w:val="19"/>
              </w:rPr>
              <w:t>virus</w:t>
            </w:r>
          </w:p>
          <w:p w14:paraId="12FF373C">
            <w:pPr>
              <w:pStyle w:val="6"/>
              <w:spacing w:before="135" w:line="229" w:lineRule="auto"/>
              <w:ind w:left="265"/>
              <w:rPr>
                <w:sz w:val="19"/>
                <w:szCs w:val="19"/>
              </w:rPr>
            </w:pPr>
            <w:r>
              <w:rPr>
                <w:spacing w:val="1"/>
                <w:position w:val="1"/>
                <w:sz w:val="19"/>
                <w:szCs w:val="19"/>
              </w:rPr>
              <w:t>巨细胞病毒</w:t>
            </w:r>
            <w:r>
              <w:rPr>
                <w:spacing w:val="4"/>
                <w:position w:val="1"/>
                <w:sz w:val="19"/>
                <w:szCs w:val="19"/>
              </w:rPr>
              <w:t xml:space="preserve">                  </w:t>
            </w:r>
            <w:r>
              <w:rPr>
                <w:spacing w:val="1"/>
                <w:sz w:val="19"/>
                <w:szCs w:val="19"/>
              </w:rPr>
              <w:t>巨细胞病毒感染</w:t>
            </w:r>
          </w:p>
          <w:p w14:paraId="2526DA42">
            <w:pPr>
              <w:pStyle w:val="6"/>
              <w:spacing w:before="68" w:line="214" w:lineRule="auto"/>
              <w:ind w:left="265"/>
              <w:rPr>
                <w:sz w:val="19"/>
                <w:szCs w:val="19"/>
              </w:rPr>
            </w:pPr>
            <w:r>
              <w:rPr>
                <w:spacing w:val="-1"/>
                <w:sz w:val="19"/>
                <w:szCs w:val="19"/>
              </w:rPr>
              <w:t>cytomegalovirus</w:t>
            </w:r>
          </w:p>
          <w:p w14:paraId="5AAFB67C">
            <w:pPr>
              <w:pStyle w:val="6"/>
              <w:spacing w:before="135" w:line="219" w:lineRule="auto"/>
              <w:ind w:left="265"/>
              <w:rPr>
                <w:sz w:val="19"/>
                <w:szCs w:val="19"/>
              </w:rPr>
            </w:pPr>
            <w:r>
              <w:rPr>
                <w:sz w:val="19"/>
                <w:szCs w:val="19"/>
              </w:rPr>
              <w:t>传染性软疣病毒               传染性软疣</w:t>
            </w:r>
          </w:p>
          <w:p w14:paraId="60B3E931">
            <w:pPr>
              <w:pStyle w:val="6"/>
              <w:spacing w:before="89" w:line="214" w:lineRule="auto"/>
              <w:ind w:left="265"/>
              <w:rPr>
                <w:sz w:val="19"/>
                <w:szCs w:val="19"/>
              </w:rPr>
            </w:pPr>
            <w:r>
              <w:rPr>
                <w:sz w:val="19"/>
                <w:szCs w:val="19"/>
              </w:rPr>
              <w:t>molluscum</w:t>
            </w:r>
            <w:r>
              <w:rPr>
                <w:spacing w:val="22"/>
                <w:sz w:val="19"/>
                <w:szCs w:val="19"/>
              </w:rPr>
              <w:t xml:space="preserve"> </w:t>
            </w:r>
            <w:r>
              <w:rPr>
                <w:sz w:val="19"/>
                <w:szCs w:val="19"/>
              </w:rPr>
              <w:t>contagiosum vi</w:t>
            </w:r>
            <w:r>
              <w:rPr>
                <w:spacing w:val="-1"/>
                <w:sz w:val="19"/>
                <w:szCs w:val="19"/>
              </w:rPr>
              <w:t>rus</w:t>
            </w:r>
          </w:p>
          <w:p w14:paraId="69FC9ECC">
            <w:pPr>
              <w:pStyle w:val="6"/>
              <w:spacing w:before="147" w:line="279" w:lineRule="auto"/>
              <w:ind w:left="265" w:right="558"/>
              <w:rPr>
                <w:sz w:val="19"/>
                <w:szCs w:val="19"/>
              </w:rPr>
            </w:pPr>
            <w:r>
              <w:rPr>
                <w:sz w:val="19"/>
                <w:szCs w:val="19"/>
              </w:rPr>
              <w:t>卡波西肉瘤相关疱疹病毒(人类 卡波西肉瘤</w:t>
            </w:r>
            <w:r>
              <w:rPr>
                <w:spacing w:val="9"/>
                <w:sz w:val="19"/>
                <w:szCs w:val="19"/>
              </w:rPr>
              <w:t xml:space="preserve"> </w:t>
            </w:r>
            <w:r>
              <w:rPr>
                <w:spacing w:val="5"/>
                <w:sz w:val="19"/>
                <w:szCs w:val="19"/>
              </w:rPr>
              <w:t>疱疹病毒8型)</w:t>
            </w:r>
          </w:p>
          <w:p w14:paraId="331394FA">
            <w:pPr>
              <w:pStyle w:val="6"/>
              <w:spacing w:line="268" w:lineRule="auto"/>
              <w:ind w:left="255" w:right="1107" w:firstLine="9"/>
              <w:rPr>
                <w:sz w:val="19"/>
                <w:szCs w:val="19"/>
              </w:rPr>
            </w:pPr>
            <w:r>
              <w:rPr>
                <w:sz w:val="19"/>
                <w:szCs w:val="19"/>
              </w:rPr>
              <w:t>Kaposi sarcoma assoc</w:t>
            </w:r>
            <w:r>
              <w:rPr>
                <w:spacing w:val="-1"/>
                <w:sz w:val="19"/>
                <w:szCs w:val="19"/>
              </w:rPr>
              <w:t>iated</w:t>
            </w:r>
            <w:r>
              <w:rPr>
                <w:spacing w:val="5"/>
                <w:sz w:val="19"/>
                <w:szCs w:val="19"/>
              </w:rPr>
              <w:t xml:space="preserve"> </w:t>
            </w:r>
            <w:r>
              <w:rPr>
                <w:spacing w:val="-1"/>
                <w:sz w:val="19"/>
                <w:szCs w:val="19"/>
              </w:rPr>
              <w:t>herpes</w:t>
            </w:r>
            <w:r>
              <w:rPr>
                <w:sz w:val="19"/>
                <w:szCs w:val="19"/>
              </w:rPr>
              <w:t xml:space="preserve"> </w:t>
            </w:r>
            <w:r>
              <w:rPr>
                <w:spacing w:val="-1"/>
                <w:sz w:val="19"/>
                <w:szCs w:val="19"/>
              </w:rPr>
              <w:t>virus(human herpes</w:t>
            </w:r>
            <w:r>
              <w:rPr>
                <w:spacing w:val="25"/>
                <w:sz w:val="19"/>
                <w:szCs w:val="19"/>
              </w:rPr>
              <w:t xml:space="preserve"> </w:t>
            </w:r>
            <w:r>
              <w:rPr>
                <w:spacing w:val="-1"/>
                <w:sz w:val="19"/>
                <w:szCs w:val="19"/>
              </w:rPr>
              <w:t>virus</w:t>
            </w:r>
            <w:r>
              <w:rPr>
                <w:spacing w:val="24"/>
                <w:sz w:val="19"/>
                <w:szCs w:val="19"/>
              </w:rPr>
              <w:t xml:space="preserve"> </w:t>
            </w:r>
            <w:r>
              <w:rPr>
                <w:spacing w:val="-1"/>
                <w:sz w:val="19"/>
                <w:szCs w:val="19"/>
              </w:rPr>
              <w:t>type</w:t>
            </w:r>
            <w:r>
              <w:rPr>
                <w:spacing w:val="20"/>
                <w:sz w:val="19"/>
                <w:szCs w:val="19"/>
              </w:rPr>
              <w:t xml:space="preserve"> </w:t>
            </w:r>
            <w:r>
              <w:rPr>
                <w:spacing w:val="-1"/>
                <w:sz w:val="19"/>
                <w:szCs w:val="19"/>
              </w:rPr>
              <w:t>8)</w:t>
            </w:r>
          </w:p>
        </w:tc>
        <w:tc>
          <w:tcPr>
            <w:tcW w:w="4201" w:type="dxa"/>
            <w:tcBorders>
              <w:top w:val="nil"/>
              <w:left w:val="nil"/>
            </w:tcBorders>
            <w:vAlign w:val="top"/>
          </w:tcPr>
          <w:p w14:paraId="5A69D7CC">
            <w:pPr>
              <w:pStyle w:val="6"/>
              <w:spacing w:before="104" w:line="275" w:lineRule="auto"/>
              <w:ind w:left="91" w:right="18" w:firstLine="9"/>
              <w:rPr>
                <w:sz w:val="19"/>
                <w:szCs w:val="19"/>
              </w:rPr>
            </w:pPr>
            <w:r>
              <w:rPr>
                <w:spacing w:val="-1"/>
                <w:sz w:val="19"/>
                <w:szCs w:val="19"/>
              </w:rPr>
              <w:t>肛门生殖器水疱性损害和溃疡；新生儿疱疹(往往</w:t>
            </w:r>
            <w:r>
              <w:rPr>
                <w:spacing w:val="12"/>
                <w:sz w:val="19"/>
                <w:szCs w:val="19"/>
              </w:rPr>
              <w:t xml:space="preserve"> </w:t>
            </w:r>
            <w:r>
              <w:rPr>
                <w:spacing w:val="6"/>
                <w:sz w:val="19"/>
                <w:szCs w:val="19"/>
              </w:rPr>
              <w:t>是致死性的)</w:t>
            </w:r>
          </w:p>
          <w:p w14:paraId="2A933C39">
            <w:pPr>
              <w:spacing w:line="344" w:lineRule="auto"/>
              <w:rPr>
                <w:rFonts w:ascii="Arial"/>
                <w:sz w:val="21"/>
              </w:rPr>
            </w:pPr>
          </w:p>
          <w:p w14:paraId="564B6F6D">
            <w:pPr>
              <w:spacing w:line="344" w:lineRule="auto"/>
              <w:rPr>
                <w:rFonts w:ascii="Arial"/>
                <w:sz w:val="21"/>
              </w:rPr>
            </w:pPr>
          </w:p>
          <w:p w14:paraId="09C77CFB">
            <w:pPr>
              <w:pStyle w:val="6"/>
              <w:spacing w:before="62" w:line="283" w:lineRule="auto"/>
              <w:ind w:left="130" w:hanging="19"/>
              <w:rPr>
                <w:sz w:val="19"/>
                <w:szCs w:val="19"/>
              </w:rPr>
            </w:pPr>
            <w:r>
              <w:rPr>
                <w:spacing w:val="-5"/>
                <w:sz w:val="19"/>
                <w:szCs w:val="19"/>
              </w:rPr>
              <w:t>阴茎和肛门疣；外阴、肛门和宫颈疣，宫颈癌，外</w:t>
            </w:r>
            <w:r>
              <w:rPr>
                <w:spacing w:val="13"/>
                <w:sz w:val="19"/>
                <w:szCs w:val="19"/>
              </w:rPr>
              <w:t xml:space="preserve"> </w:t>
            </w:r>
            <w:r>
              <w:rPr>
                <w:sz w:val="19"/>
                <w:szCs w:val="19"/>
              </w:rPr>
              <w:t>阴癌；肛门癌；新生儿喉部乳头状瘤</w:t>
            </w:r>
          </w:p>
          <w:p w14:paraId="5C9A1F89">
            <w:pPr>
              <w:pStyle w:val="6"/>
              <w:spacing w:before="66" w:line="219" w:lineRule="auto"/>
              <w:ind w:left="121"/>
              <w:rPr>
                <w:sz w:val="19"/>
                <w:szCs w:val="19"/>
              </w:rPr>
            </w:pPr>
            <w:r>
              <w:rPr>
                <w:sz w:val="19"/>
                <w:szCs w:val="19"/>
              </w:rPr>
              <w:t>急慢性肝炎、肝硬化、肝癌等</w:t>
            </w:r>
          </w:p>
          <w:p w14:paraId="45647D69">
            <w:pPr>
              <w:spacing w:line="368" w:lineRule="auto"/>
              <w:rPr>
                <w:rFonts w:ascii="Arial"/>
                <w:sz w:val="21"/>
              </w:rPr>
            </w:pPr>
          </w:p>
          <w:p w14:paraId="7B8DB5A0">
            <w:pPr>
              <w:pStyle w:val="6"/>
              <w:spacing w:before="61" w:line="305" w:lineRule="auto"/>
              <w:ind w:left="120" w:right="113" w:hanging="19"/>
              <w:rPr>
                <w:sz w:val="19"/>
                <w:szCs w:val="19"/>
              </w:rPr>
            </w:pPr>
            <w:r>
              <w:rPr>
                <w:spacing w:val="-1"/>
                <w:sz w:val="19"/>
                <w:szCs w:val="19"/>
              </w:rPr>
              <w:t>亚临床或非特异性发热、弥漫性淋巴结肿大、肝</w:t>
            </w:r>
            <w:r>
              <w:rPr>
                <w:spacing w:val="11"/>
                <w:sz w:val="19"/>
                <w:szCs w:val="19"/>
              </w:rPr>
              <w:t xml:space="preserve"> </w:t>
            </w:r>
            <w:r>
              <w:rPr>
                <w:spacing w:val="-2"/>
                <w:sz w:val="19"/>
                <w:szCs w:val="19"/>
              </w:rPr>
              <w:t>病等</w:t>
            </w:r>
          </w:p>
          <w:p w14:paraId="2D01EF25">
            <w:pPr>
              <w:pStyle w:val="6"/>
              <w:spacing w:before="54" w:line="219" w:lineRule="auto"/>
              <w:ind w:left="111"/>
              <w:rPr>
                <w:sz w:val="19"/>
                <w:szCs w:val="19"/>
              </w:rPr>
            </w:pPr>
            <w:r>
              <w:rPr>
                <w:spacing w:val="-1"/>
                <w:sz w:val="19"/>
                <w:szCs w:val="19"/>
              </w:rPr>
              <w:t>生殖器或泛发的脐状坚硬的皮肤结节</w:t>
            </w:r>
          </w:p>
          <w:p w14:paraId="533C1C73">
            <w:pPr>
              <w:spacing w:line="380" w:lineRule="auto"/>
              <w:rPr>
                <w:rFonts w:ascii="Arial"/>
                <w:sz w:val="21"/>
              </w:rPr>
            </w:pPr>
          </w:p>
          <w:p w14:paraId="748A9D75">
            <w:pPr>
              <w:pStyle w:val="6"/>
              <w:spacing w:before="63" w:line="220" w:lineRule="auto"/>
              <w:ind w:left="121"/>
              <w:rPr>
                <w:sz w:val="19"/>
                <w:szCs w:val="19"/>
              </w:rPr>
            </w:pPr>
            <w:r>
              <w:rPr>
                <w:spacing w:val="-1"/>
                <w:sz w:val="19"/>
                <w:szCs w:val="19"/>
              </w:rPr>
              <w:t>在免疫抑制者中出现的侵蚀性肿瘤</w:t>
            </w:r>
          </w:p>
        </w:tc>
      </w:tr>
    </w:tbl>
    <w:p w14:paraId="3628641F">
      <w:pPr>
        <w:spacing w:line="239" w:lineRule="exact"/>
        <w:rPr>
          <w:rFonts w:ascii="Arial"/>
          <w:sz w:val="20"/>
        </w:rPr>
      </w:pPr>
    </w:p>
    <w:p w14:paraId="736FDE01">
      <w:pPr>
        <w:spacing w:line="239" w:lineRule="exact"/>
        <w:rPr>
          <w:rFonts w:ascii="Arial" w:hAnsi="Arial" w:eastAsia="Arial" w:cs="Arial"/>
          <w:sz w:val="20"/>
          <w:szCs w:val="20"/>
        </w:rPr>
        <w:sectPr>
          <w:footerReference r:id="rId347" w:type="default"/>
          <w:pgSz w:w="11900" w:h="16820"/>
          <w:pgMar w:top="400" w:right="1610" w:bottom="825" w:left="929" w:header="0" w:footer="663" w:gutter="0"/>
          <w:cols w:space="720" w:num="1"/>
        </w:sectPr>
      </w:pPr>
    </w:p>
    <w:p w14:paraId="7FBED32F">
      <w:pPr>
        <w:pStyle w:val="2"/>
        <w:spacing w:before="256" w:line="221" w:lineRule="auto"/>
        <w:ind w:left="6780"/>
        <w:rPr>
          <w:sz w:val="20"/>
          <w:szCs w:val="20"/>
        </w:rPr>
      </w:pPr>
      <w:bookmarkStart w:id="536" w:name="bookmark592"/>
      <w:bookmarkEnd w:id="536"/>
      <w:r>
        <w:rPr>
          <w:spacing w:val="-19"/>
          <w:w w:val="97"/>
          <w:sz w:val="20"/>
          <w:szCs w:val="20"/>
        </w:rPr>
        <w:t>第二十一章 性传播疾病</w:t>
      </w:r>
    </w:p>
    <w:p w14:paraId="64690AF8">
      <w:pPr>
        <w:spacing w:line="247" w:lineRule="auto"/>
        <w:rPr>
          <w:rFonts w:ascii="Arial"/>
          <w:sz w:val="21"/>
        </w:rPr>
      </w:pPr>
    </w:p>
    <w:p w14:paraId="0D470412">
      <w:pPr>
        <w:spacing w:line="247" w:lineRule="auto"/>
        <w:rPr>
          <w:rFonts w:ascii="Arial"/>
          <w:sz w:val="21"/>
        </w:rPr>
      </w:pPr>
    </w:p>
    <w:p w14:paraId="6EE2E988">
      <w:pPr>
        <w:spacing w:before="65" w:line="220" w:lineRule="auto"/>
        <w:ind w:left="7850"/>
        <w:rPr>
          <w:rFonts w:ascii="宋体" w:hAnsi="宋体" w:eastAsia="宋体" w:cs="宋体"/>
          <w:sz w:val="20"/>
          <w:szCs w:val="20"/>
        </w:rPr>
      </w:pPr>
      <w:r>
        <w:rPr>
          <w:rFonts w:ascii="宋体" w:hAnsi="宋体" w:eastAsia="宋体" w:cs="宋体"/>
          <w:spacing w:val="-3"/>
          <w:sz w:val="20"/>
          <w:szCs w:val="20"/>
        </w:rPr>
        <w:t>续表</w:t>
      </w:r>
    </w:p>
    <w:p w14:paraId="4268FA56">
      <w:pPr>
        <w:spacing w:line="47" w:lineRule="exact"/>
      </w:pPr>
    </w:p>
    <w:tbl>
      <w:tblPr>
        <w:tblStyle w:val="5"/>
        <w:tblW w:w="8580"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0" w:type="dxa"/>
          <w:left w:w="0" w:type="dxa"/>
          <w:bottom w:w="0" w:type="dxa"/>
          <w:right w:w="0" w:type="dxa"/>
        </w:tblCellMar>
      </w:tblPr>
      <w:tblGrid>
        <w:gridCol w:w="2520"/>
        <w:gridCol w:w="1800"/>
        <w:gridCol w:w="4260"/>
      </w:tblGrid>
      <w:tr w14:paraId="2A7F902E">
        <w:trPr>
          <w:trHeight w:val="374" w:hRule="atLeast"/>
        </w:trPr>
        <w:tc>
          <w:tcPr>
            <w:tcW w:w="2520" w:type="dxa"/>
            <w:tcBorders>
              <w:top w:val="single" w:color="000000" w:sz="4" w:space="0"/>
              <w:bottom w:val="single" w:color="000000" w:sz="4" w:space="0"/>
            </w:tcBorders>
            <w:shd w:val="clear" w:color="auto" w:fill="C2D7D7"/>
            <w:vAlign w:val="top"/>
          </w:tcPr>
          <w:p w14:paraId="58F772C7">
            <w:pPr>
              <w:pStyle w:val="6"/>
              <w:spacing w:before="103" w:line="221" w:lineRule="auto"/>
              <w:ind w:left="299"/>
              <w:rPr>
                <w:sz w:val="18"/>
                <w:szCs w:val="18"/>
              </w:rPr>
            </w:pPr>
            <w:r>
              <w:rPr>
                <w:spacing w:val="-2"/>
                <w:sz w:val="18"/>
                <w:szCs w:val="18"/>
              </w:rPr>
              <w:t>病原体</w:t>
            </w:r>
          </w:p>
        </w:tc>
        <w:tc>
          <w:tcPr>
            <w:tcW w:w="1800" w:type="dxa"/>
            <w:tcBorders>
              <w:top w:val="single" w:color="000000" w:sz="4" w:space="0"/>
              <w:bottom w:val="single" w:color="000000" w:sz="4" w:space="0"/>
            </w:tcBorders>
            <w:shd w:val="clear" w:color="auto" w:fill="B1BCB3"/>
            <w:vAlign w:val="top"/>
          </w:tcPr>
          <w:p w14:paraId="4FABF8F7">
            <w:pPr>
              <w:pStyle w:val="6"/>
              <w:spacing w:before="103" w:line="220" w:lineRule="auto"/>
              <w:ind w:left="530"/>
              <w:rPr>
                <w:sz w:val="18"/>
                <w:szCs w:val="18"/>
              </w:rPr>
            </w:pPr>
            <w:r>
              <w:rPr>
                <w:spacing w:val="2"/>
                <w:sz w:val="18"/>
                <w:szCs w:val="18"/>
              </w:rPr>
              <w:t>主要相关疾病</w:t>
            </w:r>
          </w:p>
        </w:tc>
        <w:tc>
          <w:tcPr>
            <w:tcW w:w="4260" w:type="dxa"/>
            <w:tcBorders>
              <w:top w:val="single" w:color="000000" w:sz="4" w:space="0"/>
              <w:bottom w:val="single" w:color="000000" w:sz="4" w:space="0"/>
            </w:tcBorders>
            <w:shd w:val="clear" w:color="auto" w:fill="BABFAC"/>
            <w:vAlign w:val="top"/>
          </w:tcPr>
          <w:p w14:paraId="4E73057C">
            <w:pPr>
              <w:pStyle w:val="6"/>
              <w:spacing w:before="102" w:line="219" w:lineRule="auto"/>
              <w:ind w:right="22"/>
              <w:jc w:val="right"/>
              <w:rPr>
                <w:sz w:val="18"/>
                <w:szCs w:val="18"/>
              </w:rPr>
            </w:pPr>
            <w:r>
              <w:rPr>
                <w:spacing w:val="1"/>
                <w:sz w:val="18"/>
                <w:szCs w:val="18"/>
              </w:rPr>
              <w:t>临床表现</w:t>
            </w:r>
          </w:p>
        </w:tc>
      </w:tr>
      <w:tr w14:paraId="1FF25DCC">
        <w:trPr>
          <w:trHeight w:val="380" w:hRule="atLeast"/>
        </w:trPr>
        <w:tc>
          <w:tcPr>
            <w:tcW w:w="2520" w:type="dxa"/>
            <w:tcBorders>
              <w:top w:val="single" w:color="000000" w:sz="4" w:space="0"/>
            </w:tcBorders>
            <w:vAlign w:val="top"/>
          </w:tcPr>
          <w:p w14:paraId="043FBDF1">
            <w:pPr>
              <w:pStyle w:val="6"/>
              <w:spacing w:before="108" w:line="219" w:lineRule="auto"/>
              <w:ind w:left="90"/>
              <w:rPr>
                <w:sz w:val="18"/>
                <w:szCs w:val="18"/>
              </w:rPr>
            </w:pPr>
            <w:r>
              <w:rPr>
                <w:spacing w:val="-2"/>
                <w:sz w:val="18"/>
                <w:szCs w:val="18"/>
              </w:rPr>
              <w:t>真菌感染</w:t>
            </w:r>
          </w:p>
        </w:tc>
        <w:tc>
          <w:tcPr>
            <w:tcW w:w="1800" w:type="dxa"/>
            <w:tcBorders>
              <w:top w:val="single" w:color="000000" w:sz="4" w:space="0"/>
            </w:tcBorders>
            <w:vAlign w:val="top"/>
          </w:tcPr>
          <w:p w14:paraId="1FFE7BE2">
            <w:pPr>
              <w:rPr>
                <w:rFonts w:ascii="Arial"/>
                <w:sz w:val="21"/>
              </w:rPr>
            </w:pPr>
          </w:p>
        </w:tc>
        <w:tc>
          <w:tcPr>
            <w:tcW w:w="4260" w:type="dxa"/>
            <w:tcBorders>
              <w:top w:val="single" w:color="000000" w:sz="4" w:space="0"/>
            </w:tcBorders>
            <w:vAlign w:val="top"/>
          </w:tcPr>
          <w:p w14:paraId="7BC2C0B0">
            <w:pPr>
              <w:rPr>
                <w:rFonts w:ascii="Arial"/>
                <w:sz w:val="21"/>
              </w:rPr>
            </w:pPr>
          </w:p>
        </w:tc>
      </w:tr>
      <w:tr w14:paraId="57F034E3">
        <w:trPr>
          <w:trHeight w:val="668" w:hRule="atLeast"/>
        </w:trPr>
        <w:tc>
          <w:tcPr>
            <w:tcW w:w="2520" w:type="dxa"/>
            <w:tcBorders>
              <w:bottom w:val="single" w:color="000000" w:sz="4" w:space="0"/>
            </w:tcBorders>
            <w:vAlign w:val="top"/>
          </w:tcPr>
          <w:p w14:paraId="47F3D0C8">
            <w:pPr>
              <w:pStyle w:val="6"/>
              <w:spacing w:before="98" w:line="219" w:lineRule="auto"/>
              <w:ind w:left="309"/>
              <w:rPr>
                <w:sz w:val="18"/>
                <w:szCs w:val="18"/>
              </w:rPr>
            </w:pPr>
            <w:r>
              <w:rPr>
                <w:spacing w:val="2"/>
                <w:sz w:val="18"/>
                <w:szCs w:val="18"/>
              </w:rPr>
              <w:t>白念珠菌</w:t>
            </w:r>
          </w:p>
          <w:p w14:paraId="29F98ED5">
            <w:pPr>
              <w:pStyle w:val="6"/>
              <w:spacing w:before="103"/>
              <w:ind w:left="309"/>
              <w:rPr>
                <w:sz w:val="18"/>
                <w:szCs w:val="18"/>
              </w:rPr>
            </w:pPr>
            <w:r>
              <w:rPr>
                <w:spacing w:val="-1"/>
                <w:sz w:val="18"/>
                <w:szCs w:val="18"/>
              </w:rPr>
              <w:t>Candida</w:t>
            </w:r>
            <w:r>
              <w:rPr>
                <w:spacing w:val="38"/>
                <w:sz w:val="18"/>
                <w:szCs w:val="18"/>
              </w:rPr>
              <w:t xml:space="preserve"> </w:t>
            </w:r>
            <w:r>
              <w:rPr>
                <w:spacing w:val="-1"/>
                <w:sz w:val="18"/>
                <w:szCs w:val="18"/>
              </w:rPr>
              <w:t>albicans</w:t>
            </w:r>
          </w:p>
        </w:tc>
        <w:tc>
          <w:tcPr>
            <w:tcW w:w="1800" w:type="dxa"/>
            <w:tcBorders>
              <w:bottom w:val="single" w:color="000000" w:sz="4" w:space="0"/>
            </w:tcBorders>
            <w:vAlign w:val="top"/>
          </w:tcPr>
          <w:p w14:paraId="642D8D0D">
            <w:pPr>
              <w:pStyle w:val="6"/>
              <w:spacing w:before="258" w:line="219" w:lineRule="auto"/>
              <w:ind w:left="890"/>
              <w:rPr>
                <w:sz w:val="18"/>
                <w:szCs w:val="18"/>
              </w:rPr>
            </w:pPr>
            <w:r>
              <w:rPr>
                <w:spacing w:val="-2"/>
                <w:sz w:val="18"/>
                <w:szCs w:val="18"/>
              </w:rPr>
              <w:t>念珠菌病</w:t>
            </w:r>
          </w:p>
        </w:tc>
        <w:tc>
          <w:tcPr>
            <w:tcW w:w="4260" w:type="dxa"/>
            <w:tcBorders>
              <w:bottom w:val="single" w:color="000000" w:sz="4" w:space="0"/>
            </w:tcBorders>
            <w:vAlign w:val="top"/>
          </w:tcPr>
          <w:p w14:paraId="15B3581C">
            <w:pPr>
              <w:pStyle w:val="6"/>
              <w:spacing w:before="258" w:line="219" w:lineRule="auto"/>
              <w:ind w:right="18"/>
              <w:jc w:val="right"/>
              <w:rPr>
                <w:sz w:val="18"/>
                <w:szCs w:val="18"/>
              </w:rPr>
            </w:pPr>
            <w:r>
              <w:rPr>
                <w:sz w:val="18"/>
                <w:szCs w:val="18"/>
              </w:rPr>
              <w:t>阴茎龟头浅部感染；外阴阴道炎</w:t>
            </w:r>
          </w:p>
        </w:tc>
      </w:tr>
      <w:tr w14:paraId="4D6BE776">
        <w:trPr>
          <w:trHeight w:val="344" w:hRule="atLeast"/>
        </w:trPr>
        <w:tc>
          <w:tcPr>
            <w:tcW w:w="8580" w:type="dxa"/>
            <w:gridSpan w:val="3"/>
            <w:tcBorders>
              <w:top w:val="single" w:color="000000" w:sz="4" w:space="0"/>
            </w:tcBorders>
            <w:shd w:val="clear" w:color="auto" w:fill="DCDCD7"/>
            <w:vAlign w:val="top"/>
          </w:tcPr>
          <w:p w14:paraId="10C0E222">
            <w:pPr>
              <w:pStyle w:val="6"/>
              <w:spacing w:before="101" w:line="221" w:lineRule="auto"/>
              <w:ind w:left="90"/>
              <w:rPr>
                <w:sz w:val="18"/>
                <w:szCs w:val="18"/>
              </w:rPr>
            </w:pPr>
            <w:r>
              <w:rPr>
                <w:spacing w:val="1"/>
                <w:sz w:val="18"/>
                <w:szCs w:val="18"/>
              </w:rPr>
              <w:t>寄生虫侵袭</w:t>
            </w:r>
          </w:p>
        </w:tc>
      </w:tr>
      <w:tr w14:paraId="27C98E7C">
        <w:trPr>
          <w:trHeight w:val="718" w:hRule="atLeast"/>
        </w:trPr>
        <w:tc>
          <w:tcPr>
            <w:tcW w:w="2520" w:type="dxa"/>
            <w:shd w:val="clear" w:color="auto" w:fill="E8F2FA"/>
            <w:vAlign w:val="top"/>
          </w:tcPr>
          <w:p w14:paraId="29D90340">
            <w:pPr>
              <w:pStyle w:val="6"/>
              <w:spacing w:before="147" w:line="220" w:lineRule="auto"/>
              <w:ind w:left="309"/>
              <w:rPr>
                <w:sz w:val="18"/>
                <w:szCs w:val="18"/>
              </w:rPr>
            </w:pPr>
            <w:r>
              <w:rPr>
                <w:spacing w:val="2"/>
                <w:sz w:val="18"/>
                <w:szCs w:val="18"/>
              </w:rPr>
              <w:t>阴道毛滴虫</w:t>
            </w:r>
          </w:p>
          <w:p w14:paraId="2EDA995A">
            <w:pPr>
              <w:pStyle w:val="6"/>
              <w:spacing w:before="58" w:line="214" w:lineRule="auto"/>
              <w:ind w:left="309"/>
              <w:rPr>
                <w:sz w:val="18"/>
                <w:szCs w:val="18"/>
              </w:rPr>
            </w:pPr>
            <w:r>
              <w:rPr>
                <w:spacing w:val="-1"/>
                <w:sz w:val="18"/>
                <w:szCs w:val="18"/>
              </w:rPr>
              <w:t>Trichomonas vaginalis</w:t>
            </w:r>
          </w:p>
        </w:tc>
        <w:tc>
          <w:tcPr>
            <w:tcW w:w="1800" w:type="dxa"/>
            <w:shd w:val="clear" w:color="auto" w:fill="D8DDDF"/>
            <w:vAlign w:val="top"/>
          </w:tcPr>
          <w:p w14:paraId="0FD6524B">
            <w:pPr>
              <w:pStyle w:val="6"/>
              <w:spacing w:before="287" w:line="221" w:lineRule="auto"/>
              <w:ind w:left="1069"/>
              <w:rPr>
                <w:sz w:val="18"/>
                <w:szCs w:val="18"/>
              </w:rPr>
            </w:pPr>
            <w:r>
              <w:rPr>
                <w:spacing w:val="4"/>
                <w:sz w:val="18"/>
                <w:szCs w:val="18"/>
              </w:rPr>
              <w:t>滴虫病</w:t>
            </w:r>
          </w:p>
        </w:tc>
        <w:tc>
          <w:tcPr>
            <w:tcW w:w="4260" w:type="dxa"/>
            <w:shd w:val="clear" w:color="auto" w:fill="DEDCD4"/>
            <w:vAlign w:val="top"/>
          </w:tcPr>
          <w:p w14:paraId="03946887">
            <w:pPr>
              <w:pStyle w:val="6"/>
              <w:spacing w:before="284" w:line="218" w:lineRule="auto"/>
              <w:ind w:left="270"/>
              <w:rPr>
                <w:sz w:val="18"/>
                <w:szCs w:val="18"/>
              </w:rPr>
            </w:pPr>
            <w:r>
              <w:rPr>
                <w:spacing w:val="-1"/>
                <w:sz w:val="18"/>
                <w:szCs w:val="18"/>
              </w:rPr>
              <w:t>非淋球菌性尿道炎；阴道病、早产，低出生体重儿</w:t>
            </w:r>
          </w:p>
        </w:tc>
      </w:tr>
      <w:tr w14:paraId="79DB1AC7">
        <w:trPr>
          <w:trHeight w:val="334" w:hRule="atLeast"/>
        </w:trPr>
        <w:tc>
          <w:tcPr>
            <w:tcW w:w="2520" w:type="dxa"/>
            <w:shd w:val="clear" w:color="auto" w:fill="E3EEF7"/>
            <w:vAlign w:val="top"/>
          </w:tcPr>
          <w:p w14:paraId="1E592B05">
            <w:pPr>
              <w:pStyle w:val="6"/>
              <w:spacing w:before="78" w:line="220" w:lineRule="auto"/>
              <w:ind w:left="299"/>
              <w:rPr>
                <w:sz w:val="18"/>
                <w:szCs w:val="18"/>
              </w:rPr>
            </w:pPr>
            <w:r>
              <w:rPr>
                <w:spacing w:val="4"/>
                <w:sz w:val="18"/>
                <w:szCs w:val="18"/>
              </w:rPr>
              <w:t>阴虱</w:t>
            </w:r>
          </w:p>
        </w:tc>
        <w:tc>
          <w:tcPr>
            <w:tcW w:w="1800" w:type="dxa"/>
            <w:shd w:val="clear" w:color="auto" w:fill="CCD1D3"/>
            <w:vAlign w:val="top"/>
          </w:tcPr>
          <w:p w14:paraId="3A7CDA74">
            <w:pPr>
              <w:pStyle w:val="6"/>
              <w:spacing w:before="78" w:line="220" w:lineRule="auto"/>
              <w:ind w:left="1069"/>
              <w:rPr>
                <w:sz w:val="18"/>
                <w:szCs w:val="18"/>
              </w:rPr>
            </w:pPr>
            <w:r>
              <w:rPr>
                <w:spacing w:val="4"/>
                <w:sz w:val="18"/>
                <w:szCs w:val="18"/>
              </w:rPr>
              <w:t>阴虱病</w:t>
            </w:r>
          </w:p>
        </w:tc>
        <w:tc>
          <w:tcPr>
            <w:tcW w:w="4260" w:type="dxa"/>
            <w:shd w:val="clear" w:color="auto" w:fill="DAD9D1"/>
            <w:vAlign w:val="top"/>
          </w:tcPr>
          <w:p w14:paraId="07CE2309">
            <w:pPr>
              <w:rPr>
                <w:rFonts w:ascii="Arial"/>
                <w:sz w:val="21"/>
              </w:rPr>
            </w:pPr>
          </w:p>
        </w:tc>
      </w:tr>
      <w:tr w14:paraId="0A9ADA43">
        <w:trPr>
          <w:trHeight w:val="319" w:hRule="atLeast"/>
        </w:trPr>
        <w:tc>
          <w:tcPr>
            <w:tcW w:w="2520" w:type="dxa"/>
            <w:shd w:val="clear" w:color="auto" w:fill="C9CED0"/>
            <w:vAlign w:val="top"/>
          </w:tcPr>
          <w:p w14:paraId="01501E4A">
            <w:pPr>
              <w:pStyle w:val="6"/>
              <w:spacing w:before="79" w:line="214" w:lineRule="auto"/>
              <w:ind w:left="299"/>
              <w:rPr>
                <w:sz w:val="18"/>
                <w:szCs w:val="18"/>
              </w:rPr>
            </w:pPr>
            <w:r>
              <w:rPr>
                <w:spacing w:val="-1"/>
                <w:sz w:val="18"/>
                <w:szCs w:val="18"/>
              </w:rPr>
              <w:t>Phthirus pubis</w:t>
            </w:r>
          </w:p>
        </w:tc>
        <w:tc>
          <w:tcPr>
            <w:tcW w:w="1800" w:type="dxa"/>
            <w:shd w:val="clear" w:color="auto" w:fill="D5D9DB"/>
            <w:vAlign w:val="top"/>
          </w:tcPr>
          <w:p w14:paraId="2A327497">
            <w:pPr>
              <w:rPr>
                <w:rFonts w:ascii="Arial"/>
                <w:sz w:val="21"/>
              </w:rPr>
            </w:pPr>
          </w:p>
        </w:tc>
        <w:tc>
          <w:tcPr>
            <w:tcW w:w="4260" w:type="dxa"/>
            <w:shd w:val="clear" w:color="auto" w:fill="DAD8D1"/>
            <w:vAlign w:val="top"/>
          </w:tcPr>
          <w:p w14:paraId="7A9B2825">
            <w:pPr>
              <w:rPr>
                <w:rFonts w:ascii="Arial"/>
                <w:sz w:val="21"/>
              </w:rPr>
            </w:pPr>
          </w:p>
        </w:tc>
      </w:tr>
      <w:tr w14:paraId="6F28B4E6">
        <w:trPr>
          <w:trHeight w:val="369" w:hRule="atLeast"/>
        </w:trPr>
        <w:tc>
          <w:tcPr>
            <w:tcW w:w="2520" w:type="dxa"/>
            <w:shd w:val="clear" w:color="auto" w:fill="D4D9DA"/>
            <w:vAlign w:val="top"/>
          </w:tcPr>
          <w:p w14:paraId="04FC2AAD">
            <w:pPr>
              <w:pStyle w:val="6"/>
              <w:spacing w:before="105" w:line="219" w:lineRule="auto"/>
              <w:ind w:left="299"/>
              <w:rPr>
                <w:sz w:val="18"/>
                <w:szCs w:val="18"/>
              </w:rPr>
            </w:pPr>
            <w:r>
              <w:rPr>
                <w:spacing w:val="-2"/>
                <w:sz w:val="18"/>
                <w:szCs w:val="18"/>
              </w:rPr>
              <w:t>疥螨</w:t>
            </w:r>
          </w:p>
        </w:tc>
        <w:tc>
          <w:tcPr>
            <w:tcW w:w="1800" w:type="dxa"/>
            <w:shd w:val="clear" w:color="auto" w:fill="D5DADC"/>
            <w:vAlign w:val="top"/>
          </w:tcPr>
          <w:p w14:paraId="53D4E882">
            <w:pPr>
              <w:pStyle w:val="6"/>
              <w:spacing w:before="107" w:line="221" w:lineRule="auto"/>
              <w:ind w:left="1250"/>
              <w:rPr>
                <w:sz w:val="18"/>
                <w:szCs w:val="18"/>
              </w:rPr>
            </w:pPr>
            <w:r>
              <w:rPr>
                <w:spacing w:val="-2"/>
                <w:sz w:val="18"/>
                <w:szCs w:val="18"/>
              </w:rPr>
              <w:t>疥疮</w:t>
            </w:r>
          </w:p>
        </w:tc>
        <w:tc>
          <w:tcPr>
            <w:tcW w:w="4260" w:type="dxa"/>
            <w:shd w:val="clear" w:color="auto" w:fill="DAD9D1"/>
            <w:vAlign w:val="top"/>
          </w:tcPr>
          <w:p w14:paraId="3D541970">
            <w:pPr>
              <w:rPr>
                <w:rFonts w:ascii="Arial"/>
                <w:sz w:val="21"/>
              </w:rPr>
            </w:pPr>
          </w:p>
        </w:tc>
      </w:tr>
      <w:tr w14:paraId="41CBC992">
        <w:trPr>
          <w:trHeight w:val="274" w:hRule="atLeast"/>
        </w:trPr>
        <w:tc>
          <w:tcPr>
            <w:tcW w:w="2520" w:type="dxa"/>
            <w:tcBorders>
              <w:bottom w:val="single" w:color="000000" w:sz="4" w:space="0"/>
            </w:tcBorders>
            <w:shd w:val="clear" w:color="auto" w:fill="D7D9DA"/>
            <w:vAlign w:val="top"/>
          </w:tcPr>
          <w:p w14:paraId="632072EA">
            <w:pPr>
              <w:pStyle w:val="6"/>
              <w:spacing w:before="51" w:line="214" w:lineRule="auto"/>
              <w:ind w:left="299"/>
              <w:rPr>
                <w:sz w:val="18"/>
                <w:szCs w:val="18"/>
              </w:rPr>
            </w:pPr>
            <w:r>
              <w:rPr>
                <w:spacing w:val="-2"/>
                <w:sz w:val="18"/>
                <w:szCs w:val="18"/>
              </w:rPr>
              <w:t>Sarcoptes</w:t>
            </w:r>
            <w:r>
              <w:rPr>
                <w:spacing w:val="50"/>
                <w:sz w:val="18"/>
                <w:szCs w:val="18"/>
              </w:rPr>
              <w:t xml:space="preserve"> </w:t>
            </w:r>
            <w:r>
              <w:rPr>
                <w:spacing w:val="-2"/>
                <w:sz w:val="18"/>
                <w:szCs w:val="18"/>
              </w:rPr>
              <w:t>scabiei</w:t>
            </w:r>
          </w:p>
        </w:tc>
        <w:tc>
          <w:tcPr>
            <w:tcW w:w="1800" w:type="dxa"/>
            <w:tcBorders>
              <w:bottom w:val="single" w:color="000000" w:sz="4" w:space="0"/>
            </w:tcBorders>
            <w:shd w:val="clear" w:color="auto" w:fill="D6D9D8"/>
            <w:vAlign w:val="top"/>
          </w:tcPr>
          <w:p w14:paraId="68ED82BC">
            <w:pPr>
              <w:rPr>
                <w:rFonts w:ascii="Arial"/>
                <w:sz w:val="21"/>
              </w:rPr>
            </w:pPr>
          </w:p>
        </w:tc>
        <w:tc>
          <w:tcPr>
            <w:tcW w:w="4260" w:type="dxa"/>
            <w:tcBorders>
              <w:bottom w:val="single" w:color="000000" w:sz="4" w:space="0"/>
            </w:tcBorders>
            <w:shd w:val="clear" w:color="auto" w:fill="D8D8D3"/>
            <w:vAlign w:val="top"/>
          </w:tcPr>
          <w:p w14:paraId="46E3D8ED">
            <w:pPr>
              <w:rPr>
                <w:rFonts w:ascii="Arial"/>
                <w:sz w:val="21"/>
              </w:rPr>
            </w:pPr>
          </w:p>
        </w:tc>
      </w:tr>
    </w:tbl>
    <w:p w14:paraId="777D8811">
      <w:pPr>
        <w:spacing w:before="70" w:line="216" w:lineRule="auto"/>
        <w:ind w:left="7200"/>
        <w:rPr>
          <w:rFonts w:ascii="宋体" w:hAnsi="宋体" w:eastAsia="宋体" w:cs="宋体"/>
          <w:sz w:val="16"/>
          <w:szCs w:val="16"/>
        </w:rPr>
      </w:pPr>
      <w:r>
        <w:rPr>
          <w:rFonts w:ascii="宋体" w:hAnsi="宋体" w:eastAsia="宋体" w:cs="宋体"/>
          <w:spacing w:val="3"/>
          <w:sz w:val="18"/>
          <w:szCs w:val="18"/>
        </w:rPr>
        <w:t>(改编自</w:t>
      </w:r>
      <w:r>
        <w:rPr>
          <w:rFonts w:ascii="宋体" w:hAnsi="宋体" w:eastAsia="宋体" w:cs="宋体"/>
          <w:sz w:val="18"/>
          <w:szCs w:val="18"/>
        </w:rPr>
        <w:t>WHO</w:t>
      </w:r>
      <w:r>
        <w:rPr>
          <w:rFonts w:ascii="宋体" w:hAnsi="宋体" w:eastAsia="宋体" w:cs="宋体"/>
          <w:spacing w:val="3"/>
          <w:sz w:val="18"/>
          <w:szCs w:val="18"/>
        </w:rPr>
        <w:t>,2007</w:t>
      </w:r>
      <w:r>
        <w:rPr>
          <w:rFonts w:ascii="宋体" w:hAnsi="宋体" w:eastAsia="宋体" w:cs="宋体"/>
          <w:spacing w:val="3"/>
          <w:sz w:val="16"/>
          <w:szCs w:val="16"/>
        </w:rPr>
        <w:t>)</w:t>
      </w:r>
    </w:p>
    <w:p w14:paraId="3B44CB88">
      <w:pPr>
        <w:spacing w:line="314" w:lineRule="auto"/>
        <w:rPr>
          <w:rFonts w:ascii="Arial"/>
          <w:sz w:val="21"/>
        </w:rPr>
      </w:pPr>
    </w:p>
    <w:p w14:paraId="5D81A869">
      <w:pPr>
        <w:spacing w:before="65" w:line="351" w:lineRule="auto"/>
        <w:ind w:right="575" w:firstLine="420"/>
        <w:jc w:val="both"/>
        <w:rPr>
          <w:rFonts w:ascii="宋体" w:hAnsi="宋体" w:eastAsia="宋体" w:cs="宋体"/>
          <w:sz w:val="20"/>
          <w:szCs w:val="20"/>
        </w:rPr>
      </w:pPr>
      <w:r>
        <w:rPr>
          <w:rFonts w:ascii="宋体" w:hAnsi="宋体" w:eastAsia="宋体" w:cs="宋体"/>
          <w:spacing w:val="-6"/>
          <w:sz w:val="20"/>
          <w:szCs w:val="20"/>
        </w:rPr>
        <w:t>目前证实有超过30种病原体可通过性接触传播，包括细菌、病毒、原虫、真菌、寄生虫</w:t>
      </w:r>
      <w:r>
        <w:rPr>
          <w:rFonts w:ascii="宋体" w:hAnsi="宋体" w:eastAsia="宋体" w:cs="宋体"/>
          <w:spacing w:val="-7"/>
          <w:sz w:val="20"/>
          <w:szCs w:val="20"/>
        </w:rPr>
        <w:t>。最常见</w:t>
      </w:r>
      <w:r>
        <w:rPr>
          <w:rFonts w:ascii="宋体" w:hAnsi="宋体" w:eastAsia="宋体" w:cs="宋体"/>
          <w:sz w:val="20"/>
          <w:szCs w:val="20"/>
        </w:rPr>
        <w:t xml:space="preserve">  </w:t>
      </w:r>
      <w:r>
        <w:rPr>
          <w:rFonts w:ascii="宋体" w:hAnsi="宋体" w:eastAsia="宋体" w:cs="宋体"/>
          <w:spacing w:val="-4"/>
          <w:sz w:val="20"/>
          <w:szCs w:val="20"/>
        </w:rPr>
        <w:t>的</w:t>
      </w:r>
      <w:r>
        <w:rPr>
          <w:rFonts w:ascii="宋体" w:hAnsi="宋体" w:eastAsia="宋体" w:cs="宋体"/>
          <w:spacing w:val="-45"/>
          <w:sz w:val="20"/>
          <w:szCs w:val="20"/>
        </w:rPr>
        <w:t xml:space="preserve"> </w:t>
      </w:r>
      <w:r>
        <w:rPr>
          <w:rFonts w:ascii="Times New Roman" w:hAnsi="Times New Roman" w:eastAsia="Times New Roman" w:cs="Times New Roman"/>
          <w:spacing w:val="-4"/>
          <w:sz w:val="20"/>
          <w:szCs w:val="20"/>
        </w:rPr>
        <w:t>STDs</w:t>
      </w:r>
      <w:r>
        <w:rPr>
          <w:rFonts w:ascii="Times New Roman" w:hAnsi="Times New Roman" w:eastAsia="Times New Roman" w:cs="Times New Roman"/>
          <w:spacing w:val="27"/>
          <w:sz w:val="20"/>
          <w:szCs w:val="20"/>
        </w:rPr>
        <w:t xml:space="preserve"> </w:t>
      </w:r>
      <w:r>
        <w:rPr>
          <w:rFonts w:ascii="宋体" w:hAnsi="宋体" w:eastAsia="宋体" w:cs="宋体"/>
          <w:spacing w:val="-4"/>
          <w:sz w:val="20"/>
          <w:szCs w:val="20"/>
        </w:rPr>
        <w:t>病原体有8种，它们是梅毒螺旋体、</w:t>
      </w:r>
      <w:r>
        <w:rPr>
          <w:rFonts w:ascii="宋体" w:hAnsi="宋体" w:eastAsia="宋体" w:cs="宋体"/>
          <w:spacing w:val="-5"/>
          <w:sz w:val="20"/>
          <w:szCs w:val="20"/>
        </w:rPr>
        <w:t>淋病奈瑟菌、沙眼衣原体、阴道毛滴虫、乙型肝炎病毒、</w:t>
      </w:r>
      <w:r>
        <w:rPr>
          <w:rFonts w:ascii="宋体" w:hAnsi="宋体" w:eastAsia="宋体" w:cs="宋体"/>
          <w:sz w:val="20"/>
          <w:szCs w:val="20"/>
        </w:rPr>
        <w:t xml:space="preserve"> </w:t>
      </w:r>
      <w:r>
        <w:rPr>
          <w:rFonts w:ascii="宋体" w:hAnsi="宋体" w:eastAsia="宋体" w:cs="宋体"/>
          <w:spacing w:val="-1"/>
          <w:sz w:val="20"/>
          <w:szCs w:val="20"/>
        </w:rPr>
        <w:t>单纯疱疹病毒、人类免疫缺陷病毒和人乳头瘤病毒。</w:t>
      </w:r>
    </w:p>
    <w:p w14:paraId="3472EECC">
      <w:pPr>
        <w:spacing w:line="342" w:lineRule="auto"/>
        <w:ind w:right="627" w:firstLine="420"/>
        <w:jc w:val="both"/>
        <w:rPr>
          <w:rFonts w:ascii="宋体" w:hAnsi="宋体" w:eastAsia="宋体" w:cs="宋体"/>
          <w:sz w:val="20"/>
          <w:szCs w:val="20"/>
        </w:rPr>
      </w:pPr>
      <w:r>
        <w:rPr>
          <w:rFonts w:ascii="宋体" w:hAnsi="宋体" w:eastAsia="宋体" w:cs="宋体"/>
          <w:spacing w:val="7"/>
          <w:sz w:val="20"/>
          <w:szCs w:val="20"/>
        </w:rPr>
        <w:t>我国2013年1月1日起正式实施的《性病防治管理办法》对</w:t>
      </w:r>
      <w:r>
        <w:rPr>
          <w:rFonts w:ascii="宋体" w:hAnsi="宋体" w:eastAsia="宋体" w:cs="宋体"/>
          <w:sz w:val="20"/>
          <w:szCs w:val="20"/>
        </w:rPr>
        <w:t>STDs</w:t>
      </w:r>
      <w:r>
        <w:rPr>
          <w:rFonts w:ascii="宋体" w:hAnsi="宋体" w:eastAsia="宋体" w:cs="宋体"/>
          <w:spacing w:val="7"/>
          <w:sz w:val="20"/>
          <w:szCs w:val="20"/>
        </w:rPr>
        <w:t xml:space="preserve"> 范</w:t>
      </w:r>
      <w:r>
        <w:rPr>
          <w:rFonts w:ascii="宋体" w:hAnsi="宋体" w:eastAsia="宋体" w:cs="宋体"/>
          <w:spacing w:val="6"/>
          <w:sz w:val="20"/>
          <w:szCs w:val="20"/>
        </w:rPr>
        <w:t>围做了调整，调整之后的</w:t>
      </w:r>
      <w:r>
        <w:rPr>
          <w:rFonts w:ascii="宋体" w:hAnsi="宋体" w:eastAsia="宋体" w:cs="宋体"/>
          <w:sz w:val="20"/>
          <w:szCs w:val="20"/>
        </w:rPr>
        <w:t xml:space="preserve"> </w:t>
      </w:r>
      <w:r>
        <w:rPr>
          <w:rFonts w:ascii="宋体" w:hAnsi="宋体" w:eastAsia="宋体" w:cs="宋体"/>
          <w:spacing w:val="-1"/>
          <w:sz w:val="20"/>
          <w:szCs w:val="20"/>
        </w:rPr>
        <w:t>STDs 包括《传染病防治法》规定的乙</w:t>
      </w:r>
      <w:r>
        <w:rPr>
          <w:rFonts w:ascii="宋体" w:hAnsi="宋体" w:eastAsia="宋体" w:cs="宋体"/>
          <w:spacing w:val="-2"/>
          <w:sz w:val="20"/>
          <w:szCs w:val="20"/>
        </w:rPr>
        <w:t>类传染病中的梅毒和淋病，我国重点防治的生殖道沙眼衣原体</w:t>
      </w:r>
      <w:r>
        <w:rPr>
          <w:rFonts w:ascii="宋体" w:hAnsi="宋体" w:eastAsia="宋体" w:cs="宋体"/>
          <w:sz w:val="20"/>
          <w:szCs w:val="20"/>
        </w:rPr>
        <w:t xml:space="preserve"> </w:t>
      </w:r>
      <w:r>
        <w:rPr>
          <w:rFonts w:ascii="宋体" w:hAnsi="宋体" w:eastAsia="宋体" w:cs="宋体"/>
          <w:spacing w:val="1"/>
          <w:sz w:val="20"/>
          <w:szCs w:val="20"/>
        </w:rPr>
        <w:t>感染、尖锐湿疣、生殖器疱疹，以及原卫生部根据疾病的</w:t>
      </w:r>
      <w:r>
        <w:rPr>
          <w:rFonts w:ascii="宋体" w:hAnsi="宋体" w:eastAsia="宋体" w:cs="宋体"/>
          <w:sz w:val="20"/>
          <w:szCs w:val="20"/>
        </w:rPr>
        <w:t xml:space="preserve">危害程度和流行情况等因素确定需要管理 </w:t>
      </w:r>
      <w:r>
        <w:rPr>
          <w:rFonts w:ascii="宋体" w:hAnsi="宋体" w:eastAsia="宋体" w:cs="宋体"/>
          <w:spacing w:val="1"/>
          <w:sz w:val="20"/>
          <w:szCs w:val="20"/>
        </w:rPr>
        <w:t>的其他性病等。</w:t>
      </w:r>
      <w:r>
        <w:rPr>
          <w:rFonts w:ascii="宋体" w:hAnsi="宋体" w:eastAsia="宋体" w:cs="宋体"/>
          <w:spacing w:val="-49"/>
          <w:sz w:val="20"/>
          <w:szCs w:val="20"/>
        </w:rPr>
        <w:t xml:space="preserve"> </w:t>
      </w:r>
      <w:r>
        <w:rPr>
          <w:rFonts w:ascii="Times New Roman" w:hAnsi="Times New Roman" w:eastAsia="Times New Roman" w:cs="Times New Roman"/>
          <w:sz w:val="20"/>
          <w:szCs w:val="20"/>
        </w:rPr>
        <w:t>HIV</w:t>
      </w:r>
      <w:r>
        <w:rPr>
          <w:rFonts w:ascii="Times New Roman" w:hAnsi="Times New Roman" w:eastAsia="Times New Roman" w:cs="Times New Roman"/>
          <w:spacing w:val="18"/>
          <w:sz w:val="20"/>
          <w:szCs w:val="20"/>
        </w:rPr>
        <w:t xml:space="preserve"> </w:t>
      </w:r>
      <w:r>
        <w:rPr>
          <w:rFonts w:ascii="宋体" w:hAnsi="宋体" w:eastAsia="宋体" w:cs="宋体"/>
          <w:spacing w:val="1"/>
          <w:sz w:val="20"/>
          <w:szCs w:val="20"/>
        </w:rPr>
        <w:t>感染在传播途径等方面与其他</w:t>
      </w:r>
      <w:r>
        <w:rPr>
          <w:rFonts w:ascii="Times New Roman" w:hAnsi="Times New Roman" w:eastAsia="Times New Roman" w:cs="Times New Roman"/>
          <w:sz w:val="20"/>
          <w:szCs w:val="20"/>
        </w:rPr>
        <w:t>STDs</w:t>
      </w:r>
      <w:r>
        <w:rPr>
          <w:rFonts w:ascii="Times New Roman" w:hAnsi="Times New Roman" w:eastAsia="Times New Roman" w:cs="Times New Roman"/>
          <w:spacing w:val="1"/>
          <w:sz w:val="20"/>
          <w:szCs w:val="20"/>
        </w:rPr>
        <w:t xml:space="preserve"> </w:t>
      </w:r>
      <w:r>
        <w:rPr>
          <w:rFonts w:ascii="宋体" w:hAnsi="宋体" w:eastAsia="宋体" w:cs="宋体"/>
          <w:spacing w:val="1"/>
          <w:sz w:val="20"/>
          <w:szCs w:val="20"/>
        </w:rPr>
        <w:t>相比具有特殊性，是重大传染性疾病，因</w:t>
      </w:r>
      <w:r>
        <w:rPr>
          <w:rFonts w:ascii="宋体" w:hAnsi="宋体" w:eastAsia="宋体" w:cs="宋体"/>
          <w:sz w:val="20"/>
          <w:szCs w:val="20"/>
        </w:rPr>
        <w:t xml:space="preserve"> 此我国对</w:t>
      </w:r>
      <w:r>
        <w:rPr>
          <w:rFonts w:ascii="Times New Roman" w:hAnsi="Times New Roman" w:eastAsia="Times New Roman" w:cs="Times New Roman"/>
          <w:sz w:val="20"/>
          <w:szCs w:val="20"/>
        </w:rPr>
        <w:t>AIDS</w:t>
      </w:r>
      <w:r>
        <w:rPr>
          <w:rFonts w:ascii="Times New Roman" w:hAnsi="Times New Roman" w:eastAsia="Times New Roman" w:cs="Times New Roman"/>
          <w:spacing w:val="-15"/>
          <w:sz w:val="20"/>
          <w:szCs w:val="20"/>
        </w:rPr>
        <w:t xml:space="preserve"> </w:t>
      </w:r>
      <w:r>
        <w:rPr>
          <w:rFonts w:ascii="宋体" w:hAnsi="宋体" w:eastAsia="宋体" w:cs="宋体"/>
          <w:sz w:val="20"/>
          <w:szCs w:val="20"/>
        </w:rPr>
        <w:t>开展专病监测，并建立了相对独立的防治体系，</w:t>
      </w:r>
      <w:r>
        <w:rPr>
          <w:rFonts w:ascii="Times New Roman" w:hAnsi="Times New Roman" w:eastAsia="Times New Roman" w:cs="Times New Roman"/>
          <w:sz w:val="20"/>
          <w:szCs w:val="20"/>
        </w:rPr>
        <w:t xml:space="preserve">AIDS </w:t>
      </w:r>
      <w:r>
        <w:rPr>
          <w:rFonts w:ascii="宋体" w:hAnsi="宋体" w:eastAsia="宋体" w:cs="宋体"/>
          <w:sz w:val="20"/>
          <w:szCs w:val="20"/>
        </w:rPr>
        <w:t>防治管</w:t>
      </w:r>
      <w:r>
        <w:rPr>
          <w:rFonts w:ascii="宋体" w:hAnsi="宋体" w:eastAsia="宋体" w:cs="宋体"/>
          <w:spacing w:val="-1"/>
          <w:sz w:val="20"/>
          <w:szCs w:val="20"/>
        </w:rPr>
        <w:t>理工作依照《艾滋病防</w:t>
      </w:r>
      <w:r>
        <w:rPr>
          <w:rFonts w:ascii="宋体" w:hAnsi="宋体" w:eastAsia="宋体" w:cs="宋体"/>
          <w:sz w:val="20"/>
          <w:szCs w:val="20"/>
        </w:rPr>
        <w:t xml:space="preserve"> 治条例》的有关规定执行。本章第四节将单独介绍</w:t>
      </w:r>
      <w:r>
        <w:rPr>
          <w:rFonts w:ascii="Times New Roman" w:hAnsi="Times New Roman" w:eastAsia="Times New Roman" w:cs="Times New Roman"/>
          <w:sz w:val="20"/>
          <w:szCs w:val="20"/>
        </w:rPr>
        <w:t>HIV</w:t>
      </w:r>
      <w:r>
        <w:rPr>
          <w:rFonts w:ascii="Times New Roman" w:hAnsi="Times New Roman" w:eastAsia="Times New Roman" w:cs="Times New Roman"/>
          <w:spacing w:val="-9"/>
          <w:sz w:val="20"/>
          <w:szCs w:val="20"/>
        </w:rPr>
        <w:t xml:space="preserve"> </w:t>
      </w:r>
      <w:r>
        <w:rPr>
          <w:rFonts w:ascii="宋体" w:hAnsi="宋体" w:eastAsia="宋体" w:cs="宋体"/>
          <w:sz w:val="20"/>
          <w:szCs w:val="20"/>
        </w:rPr>
        <w:t>感染/</w:t>
      </w:r>
      <w:r>
        <w:rPr>
          <w:rFonts w:ascii="Times New Roman" w:hAnsi="Times New Roman" w:eastAsia="Times New Roman" w:cs="Times New Roman"/>
          <w:sz w:val="20"/>
          <w:szCs w:val="20"/>
        </w:rPr>
        <w:t>AIDS</w:t>
      </w:r>
      <w:r>
        <w:rPr>
          <w:rFonts w:ascii="宋体" w:hAnsi="宋体" w:eastAsia="宋体" w:cs="宋体"/>
          <w:sz w:val="20"/>
          <w:szCs w:val="20"/>
        </w:rPr>
        <w:t>。</w:t>
      </w:r>
    </w:p>
    <w:p w14:paraId="34C8B5CD">
      <w:pPr>
        <w:pStyle w:val="2"/>
        <w:spacing w:before="164" w:line="221" w:lineRule="auto"/>
        <w:ind w:left="423"/>
        <w:outlineLvl w:val="4"/>
        <w:rPr>
          <w:sz w:val="24"/>
          <w:szCs w:val="24"/>
        </w:rPr>
      </w:pPr>
      <w:bookmarkStart w:id="537" w:name="bookmark332"/>
      <w:bookmarkEnd w:id="537"/>
      <w:r>
        <w:rPr>
          <w:b/>
          <w:bCs/>
          <w:spacing w:val="-4"/>
          <w:sz w:val="24"/>
          <w:szCs w:val="24"/>
        </w:rPr>
        <w:t>二</w:t>
      </w:r>
      <w:r>
        <w:rPr>
          <w:spacing w:val="-50"/>
          <w:sz w:val="24"/>
          <w:szCs w:val="24"/>
        </w:rPr>
        <w:t xml:space="preserve"> </w:t>
      </w:r>
      <w:r>
        <w:rPr>
          <w:b/>
          <w:bCs/>
          <w:spacing w:val="-4"/>
          <w:sz w:val="24"/>
          <w:szCs w:val="24"/>
        </w:rPr>
        <w:t>、流行概况</w:t>
      </w:r>
    </w:p>
    <w:p w14:paraId="6A0865E0">
      <w:pPr>
        <w:pStyle w:val="2"/>
        <w:spacing w:before="242" w:line="221" w:lineRule="auto"/>
        <w:ind w:left="423"/>
        <w:rPr>
          <w:sz w:val="24"/>
          <w:szCs w:val="24"/>
        </w:rPr>
      </w:pPr>
      <w:r>
        <w:rPr>
          <w:b/>
          <w:bCs/>
          <w:spacing w:val="-7"/>
          <w:sz w:val="24"/>
          <w:szCs w:val="24"/>
        </w:rPr>
        <w:t>(一)流行趋势</w:t>
      </w:r>
    </w:p>
    <w:p w14:paraId="59AB7963">
      <w:pPr>
        <w:spacing w:before="134" w:line="342" w:lineRule="auto"/>
        <w:ind w:right="624" w:firstLine="420"/>
        <w:jc w:val="both"/>
        <w:rPr>
          <w:rFonts w:ascii="宋体" w:hAnsi="宋体" w:eastAsia="宋体" w:cs="宋体"/>
          <w:sz w:val="20"/>
          <w:szCs w:val="20"/>
        </w:rPr>
      </w:pPr>
      <w:r>
        <w:rPr>
          <w:rFonts w:ascii="宋体" w:hAnsi="宋体" w:eastAsia="宋体" w:cs="宋体"/>
          <w:sz w:val="20"/>
          <w:szCs w:val="20"/>
        </w:rPr>
        <w:t>由于以病例报告为主的被动监测系统所得的数据漏报严重，加之 STDs 本身存在大量的无症状</w:t>
      </w:r>
      <w:r>
        <w:rPr>
          <w:rFonts w:ascii="宋体" w:hAnsi="宋体" w:eastAsia="宋体" w:cs="宋体"/>
          <w:spacing w:val="7"/>
          <w:sz w:val="20"/>
          <w:szCs w:val="20"/>
        </w:rPr>
        <w:t xml:space="preserve"> </w:t>
      </w:r>
      <w:r>
        <w:rPr>
          <w:rFonts w:ascii="宋体" w:hAnsi="宋体" w:eastAsia="宋体" w:cs="宋体"/>
          <w:spacing w:val="2"/>
          <w:sz w:val="20"/>
          <w:szCs w:val="20"/>
        </w:rPr>
        <w:t>感染，以及社会舆论压力对</w:t>
      </w:r>
      <w:r>
        <w:rPr>
          <w:rFonts w:ascii="Times New Roman" w:hAnsi="Times New Roman" w:eastAsia="Times New Roman" w:cs="Times New Roman"/>
          <w:sz w:val="20"/>
          <w:szCs w:val="20"/>
        </w:rPr>
        <w:t>STDs</w:t>
      </w:r>
      <w:r>
        <w:rPr>
          <w:rFonts w:ascii="Times New Roman" w:hAnsi="Times New Roman" w:eastAsia="Times New Roman" w:cs="Times New Roman"/>
          <w:spacing w:val="2"/>
          <w:sz w:val="20"/>
          <w:szCs w:val="20"/>
        </w:rPr>
        <w:t xml:space="preserve"> </w:t>
      </w:r>
      <w:r>
        <w:rPr>
          <w:rFonts w:ascii="宋体" w:hAnsi="宋体" w:eastAsia="宋体" w:cs="宋体"/>
          <w:spacing w:val="2"/>
          <w:sz w:val="20"/>
          <w:szCs w:val="20"/>
        </w:rPr>
        <w:t>患者所造成的心理畏惧，这些都使得</w:t>
      </w:r>
      <w:r>
        <w:rPr>
          <w:rFonts w:ascii="Times New Roman" w:hAnsi="Times New Roman" w:eastAsia="Times New Roman" w:cs="Times New Roman"/>
          <w:sz w:val="20"/>
          <w:szCs w:val="20"/>
        </w:rPr>
        <w:t>STDs</w:t>
      </w:r>
      <w:r>
        <w:rPr>
          <w:rFonts w:ascii="宋体" w:hAnsi="宋体" w:eastAsia="宋体" w:cs="宋体"/>
          <w:spacing w:val="2"/>
          <w:sz w:val="20"/>
          <w:szCs w:val="20"/>
        </w:rPr>
        <w:t>的</w:t>
      </w:r>
      <w:r>
        <w:rPr>
          <w:rFonts w:ascii="宋体" w:hAnsi="宋体" w:eastAsia="宋体" w:cs="宋体"/>
          <w:spacing w:val="1"/>
          <w:sz w:val="20"/>
          <w:szCs w:val="20"/>
        </w:rPr>
        <w:t>确切流行情况难以掌</w:t>
      </w:r>
      <w:r>
        <w:rPr>
          <w:rFonts w:ascii="宋体" w:hAnsi="宋体" w:eastAsia="宋体" w:cs="宋体"/>
          <w:sz w:val="20"/>
          <w:szCs w:val="20"/>
        </w:rPr>
        <w:t xml:space="preserve"> </w:t>
      </w:r>
      <w:r>
        <w:rPr>
          <w:rFonts w:ascii="宋体" w:hAnsi="宋体" w:eastAsia="宋体" w:cs="宋体"/>
          <w:spacing w:val="1"/>
          <w:sz w:val="20"/>
          <w:szCs w:val="20"/>
        </w:rPr>
        <w:t>握。但根据各国监测统计数据，仍然可以发现</w:t>
      </w:r>
      <w:r>
        <w:rPr>
          <w:rFonts w:ascii="宋体" w:hAnsi="宋体" w:eastAsia="宋体" w:cs="宋体"/>
          <w:sz w:val="20"/>
          <w:szCs w:val="20"/>
        </w:rPr>
        <w:t>STDs</w:t>
      </w:r>
      <w:r>
        <w:rPr>
          <w:rFonts w:ascii="宋体" w:hAnsi="宋体" w:eastAsia="宋体" w:cs="宋体"/>
          <w:spacing w:val="1"/>
          <w:sz w:val="20"/>
          <w:szCs w:val="20"/>
        </w:rPr>
        <w:t xml:space="preserve"> 在全球尤其是发展中国家流行态势严峻。</w:t>
      </w:r>
    </w:p>
    <w:p w14:paraId="20586AB1">
      <w:pPr>
        <w:spacing w:before="1" w:line="339" w:lineRule="auto"/>
        <w:ind w:right="535" w:firstLine="410"/>
        <w:jc w:val="both"/>
        <w:rPr>
          <w:rFonts w:ascii="宋体" w:hAnsi="宋体" w:eastAsia="宋体" w:cs="宋体"/>
          <w:sz w:val="20"/>
          <w:szCs w:val="20"/>
        </w:rPr>
      </w:pPr>
      <w:r>
        <w:rPr>
          <w:rFonts w:ascii="宋体" w:hAnsi="宋体" w:eastAsia="宋体" w:cs="宋体"/>
          <w:spacing w:val="1"/>
          <w:sz w:val="20"/>
          <w:szCs w:val="20"/>
        </w:rPr>
        <w:t>性病在新中国成立前流行猖獗，以梅毒和淋病为主。新</w:t>
      </w:r>
      <w:r>
        <w:rPr>
          <w:rFonts w:ascii="宋体" w:hAnsi="宋体" w:eastAsia="宋体" w:cs="宋体"/>
          <w:sz w:val="20"/>
          <w:szCs w:val="20"/>
        </w:rPr>
        <w:t xml:space="preserve">中国成立后，党和政府十分重视性病的  </w:t>
      </w:r>
      <w:r>
        <w:rPr>
          <w:rFonts w:ascii="宋体" w:hAnsi="宋体" w:eastAsia="宋体" w:cs="宋体"/>
          <w:spacing w:val="1"/>
          <w:sz w:val="20"/>
          <w:szCs w:val="20"/>
        </w:rPr>
        <w:t>防治工作，采取了一系列措施，性病发病率迅速下降，196</w:t>
      </w:r>
      <w:r>
        <w:rPr>
          <w:rFonts w:ascii="宋体" w:hAnsi="宋体" w:eastAsia="宋体" w:cs="宋体"/>
          <w:sz w:val="20"/>
          <w:szCs w:val="20"/>
        </w:rPr>
        <w:t xml:space="preserve">4年我国正式宣布基本消灭了性病。20世  </w:t>
      </w:r>
      <w:r>
        <w:rPr>
          <w:rFonts w:ascii="宋体" w:hAnsi="宋体" w:eastAsia="宋体" w:cs="宋体"/>
          <w:spacing w:val="3"/>
          <w:sz w:val="20"/>
          <w:szCs w:val="20"/>
        </w:rPr>
        <w:t>纪70年代末，</w:t>
      </w:r>
      <w:r>
        <w:rPr>
          <w:rFonts w:ascii="Times New Roman" w:hAnsi="Times New Roman" w:eastAsia="Times New Roman" w:cs="Times New Roman"/>
          <w:sz w:val="20"/>
          <w:szCs w:val="20"/>
        </w:rPr>
        <w:t>STDs</w:t>
      </w:r>
      <w:r>
        <w:rPr>
          <w:rFonts w:ascii="Times New Roman" w:hAnsi="Times New Roman" w:eastAsia="Times New Roman" w:cs="Times New Roman"/>
          <w:spacing w:val="-3"/>
          <w:sz w:val="20"/>
          <w:szCs w:val="20"/>
        </w:rPr>
        <w:t xml:space="preserve"> </w:t>
      </w:r>
      <w:r>
        <w:rPr>
          <w:rFonts w:ascii="宋体" w:hAnsi="宋体" w:eastAsia="宋体" w:cs="宋体"/>
          <w:spacing w:val="3"/>
          <w:sz w:val="20"/>
          <w:szCs w:val="20"/>
        </w:rPr>
        <w:t>在我国又死灰复燃。1977年再次报告新发性病病例，之后</w:t>
      </w:r>
      <w:r>
        <w:rPr>
          <w:rFonts w:ascii="Times New Roman" w:hAnsi="Times New Roman" w:eastAsia="Times New Roman" w:cs="Times New Roman"/>
          <w:sz w:val="20"/>
          <w:szCs w:val="20"/>
        </w:rPr>
        <w:t>STDs</w:t>
      </w:r>
      <w:r>
        <w:rPr>
          <w:rFonts w:ascii="Times New Roman" w:hAnsi="Times New Roman" w:eastAsia="Times New Roman" w:cs="Times New Roman"/>
          <w:spacing w:val="-13"/>
          <w:sz w:val="20"/>
          <w:szCs w:val="20"/>
        </w:rPr>
        <w:t xml:space="preserve"> </w:t>
      </w:r>
      <w:r>
        <w:rPr>
          <w:rFonts w:ascii="宋体" w:hAnsi="宋体" w:eastAsia="宋体" w:cs="宋体"/>
          <w:spacing w:val="3"/>
          <w:sz w:val="20"/>
          <w:szCs w:val="20"/>
        </w:rPr>
        <w:t>疫情连年上升，</w:t>
      </w:r>
      <w:r>
        <w:rPr>
          <w:rFonts w:ascii="宋体" w:hAnsi="宋体" w:eastAsia="宋体" w:cs="宋体"/>
          <w:sz w:val="20"/>
          <w:szCs w:val="20"/>
        </w:rPr>
        <w:t xml:space="preserve"> </w:t>
      </w:r>
      <w:r>
        <w:rPr>
          <w:rFonts w:ascii="宋体" w:hAnsi="宋体" w:eastAsia="宋体" w:cs="宋体"/>
          <w:spacing w:val="-5"/>
          <w:sz w:val="20"/>
          <w:szCs w:val="20"/>
        </w:rPr>
        <w:t>发病人数日益增多，流行地区不断扩大，疫情从沿海向内陆、城市向农村、社会向家庭蔓延。</w:t>
      </w:r>
    </w:p>
    <w:p w14:paraId="06EED6D9">
      <w:pPr>
        <w:spacing w:before="1" w:line="342" w:lineRule="auto"/>
        <w:ind w:right="627" w:firstLine="420"/>
        <w:jc w:val="both"/>
        <w:rPr>
          <w:rFonts w:ascii="宋体" w:hAnsi="宋体" w:eastAsia="宋体" w:cs="宋体"/>
          <w:sz w:val="20"/>
          <w:szCs w:val="20"/>
        </w:rPr>
      </w:pPr>
      <w:r>
        <w:rPr>
          <w:rFonts w:ascii="宋体" w:hAnsi="宋体" w:eastAsia="宋体" w:cs="宋体"/>
          <w:sz w:val="20"/>
          <w:szCs w:val="20"/>
        </w:rPr>
        <w:t>2005—2021年，我国梅毒报告病例数快速上升，淋病报告病例数呈下降</w:t>
      </w:r>
      <w:r>
        <w:rPr>
          <w:rFonts w:ascii="宋体" w:hAnsi="宋体" w:eastAsia="宋体" w:cs="宋体"/>
          <w:spacing w:val="-1"/>
          <w:sz w:val="20"/>
          <w:szCs w:val="20"/>
        </w:rPr>
        <w:t>趋势；2005年梅毒和淋</w:t>
      </w:r>
      <w:r>
        <w:rPr>
          <w:rFonts w:ascii="宋体" w:hAnsi="宋体" w:eastAsia="宋体" w:cs="宋体"/>
          <w:sz w:val="20"/>
          <w:szCs w:val="20"/>
        </w:rPr>
        <w:t xml:space="preserve"> </w:t>
      </w:r>
      <w:r>
        <w:rPr>
          <w:rFonts w:ascii="宋体" w:hAnsi="宋体" w:eastAsia="宋体" w:cs="宋体"/>
          <w:spacing w:val="2"/>
          <w:sz w:val="20"/>
          <w:szCs w:val="20"/>
        </w:rPr>
        <w:t>病的报告发病率分别为9.72/10万和</w:t>
      </w:r>
      <w:r>
        <w:rPr>
          <w:rFonts w:ascii="宋体" w:hAnsi="宋体" w:eastAsia="宋体" w:cs="宋体"/>
          <w:spacing w:val="1"/>
          <w:sz w:val="20"/>
          <w:szCs w:val="20"/>
        </w:rPr>
        <w:t>13.87/10万，2021年分别为34.05/10万和9.07/10万。</w:t>
      </w:r>
      <w:r>
        <w:rPr>
          <w:rFonts w:ascii="Times New Roman" w:hAnsi="Times New Roman" w:eastAsia="Times New Roman" w:cs="Times New Roman"/>
          <w:sz w:val="20"/>
          <w:szCs w:val="20"/>
        </w:rPr>
        <w:t>STDs</w:t>
      </w:r>
      <w:r>
        <w:rPr>
          <w:rFonts w:ascii="Times New Roman" w:hAnsi="Times New Roman" w:eastAsia="Times New Roman" w:cs="Times New Roman"/>
          <w:spacing w:val="1"/>
          <w:sz w:val="20"/>
          <w:szCs w:val="20"/>
        </w:rPr>
        <w:t xml:space="preserve"> </w:t>
      </w:r>
      <w:r>
        <w:rPr>
          <w:rFonts w:ascii="宋体" w:hAnsi="宋体" w:eastAsia="宋体" w:cs="宋体"/>
          <w:spacing w:val="1"/>
          <w:sz w:val="20"/>
          <w:szCs w:val="20"/>
        </w:rPr>
        <w:t>报</w:t>
      </w:r>
      <w:r>
        <w:rPr>
          <w:rFonts w:ascii="宋体" w:hAnsi="宋体" w:eastAsia="宋体" w:cs="宋体"/>
          <w:sz w:val="20"/>
          <w:szCs w:val="20"/>
        </w:rPr>
        <w:t xml:space="preserve"> </w:t>
      </w:r>
      <w:r>
        <w:rPr>
          <w:rFonts w:ascii="宋体" w:hAnsi="宋体" w:eastAsia="宋体" w:cs="宋体"/>
          <w:spacing w:val="2"/>
          <w:sz w:val="20"/>
          <w:szCs w:val="20"/>
        </w:rPr>
        <w:t>告病例数的变化可能受多方面因素的影响，</w:t>
      </w:r>
      <w:r>
        <w:rPr>
          <w:rFonts w:ascii="宋体" w:hAnsi="宋体" w:eastAsia="宋体" w:cs="宋体"/>
          <w:spacing w:val="-54"/>
          <w:sz w:val="20"/>
          <w:szCs w:val="20"/>
        </w:rPr>
        <w:t xml:space="preserve"> </w:t>
      </w:r>
      <w:r>
        <w:rPr>
          <w:rFonts w:ascii="宋体" w:hAnsi="宋体" w:eastAsia="宋体" w:cs="宋体"/>
          <w:spacing w:val="2"/>
          <w:sz w:val="20"/>
          <w:szCs w:val="20"/>
        </w:rPr>
        <w:t>一方面各地加强</w:t>
      </w:r>
      <w:r>
        <w:rPr>
          <w:rFonts w:ascii="宋体" w:hAnsi="宋体" w:eastAsia="宋体" w:cs="宋体"/>
          <w:sz w:val="20"/>
          <w:szCs w:val="20"/>
        </w:rPr>
        <w:t>STDs</w:t>
      </w:r>
      <w:r>
        <w:rPr>
          <w:rFonts w:ascii="宋体" w:hAnsi="宋体" w:eastAsia="宋体" w:cs="宋体"/>
          <w:spacing w:val="2"/>
          <w:sz w:val="20"/>
          <w:szCs w:val="20"/>
        </w:rPr>
        <w:t xml:space="preserve"> 的预防控制和干预工作可能有效</w:t>
      </w:r>
      <w:r>
        <w:rPr>
          <w:rFonts w:ascii="宋体" w:hAnsi="宋体" w:eastAsia="宋体" w:cs="宋体"/>
          <w:sz w:val="20"/>
          <w:szCs w:val="20"/>
        </w:rPr>
        <w:t xml:space="preserve"> </w:t>
      </w:r>
      <w:r>
        <w:rPr>
          <w:rFonts w:ascii="宋体" w:hAnsi="宋体" w:eastAsia="宋体" w:cs="宋体"/>
          <w:spacing w:val="3"/>
          <w:sz w:val="20"/>
          <w:szCs w:val="20"/>
        </w:rPr>
        <w:t>地减少了新发病例，另一方面部分地区</w:t>
      </w:r>
      <w:r>
        <w:rPr>
          <w:rFonts w:ascii="Times New Roman" w:hAnsi="Times New Roman" w:eastAsia="Times New Roman" w:cs="Times New Roman"/>
          <w:sz w:val="20"/>
          <w:szCs w:val="20"/>
        </w:rPr>
        <w:t>STDs</w:t>
      </w:r>
      <w:r>
        <w:rPr>
          <w:rFonts w:ascii="Times New Roman" w:hAnsi="Times New Roman" w:eastAsia="Times New Roman" w:cs="Times New Roman"/>
          <w:spacing w:val="3"/>
          <w:sz w:val="20"/>
          <w:szCs w:val="20"/>
        </w:rPr>
        <w:t xml:space="preserve"> </w:t>
      </w:r>
      <w:r>
        <w:rPr>
          <w:rFonts w:ascii="宋体" w:hAnsi="宋体" w:eastAsia="宋体" w:cs="宋体"/>
          <w:spacing w:val="3"/>
          <w:sz w:val="20"/>
          <w:szCs w:val="20"/>
        </w:rPr>
        <w:t>疫情漏报也可能影响报告病例数的准确性。此外</w:t>
      </w:r>
      <w:r>
        <w:rPr>
          <w:rFonts w:ascii="宋体" w:hAnsi="宋体" w:eastAsia="宋体" w:cs="宋体"/>
          <w:spacing w:val="2"/>
          <w:sz w:val="20"/>
          <w:szCs w:val="20"/>
        </w:rPr>
        <w:t>，疾</w:t>
      </w:r>
      <w:r>
        <w:rPr>
          <w:rFonts w:ascii="宋体" w:hAnsi="宋体" w:eastAsia="宋体" w:cs="宋体"/>
          <w:sz w:val="20"/>
          <w:szCs w:val="20"/>
        </w:rPr>
        <w:t xml:space="preserve"> </w:t>
      </w:r>
      <w:r>
        <w:rPr>
          <w:rFonts w:ascii="宋体" w:hAnsi="宋体" w:eastAsia="宋体" w:cs="宋体"/>
          <w:spacing w:val="4"/>
          <w:sz w:val="20"/>
          <w:szCs w:val="20"/>
        </w:rPr>
        <w:t>病诊断标准的变化、检测力度和诊断能力等因素也影响不同阶段</w:t>
      </w:r>
      <w:r>
        <w:rPr>
          <w:rFonts w:ascii="宋体" w:hAnsi="宋体" w:eastAsia="宋体" w:cs="宋体"/>
          <w:sz w:val="20"/>
          <w:szCs w:val="20"/>
        </w:rPr>
        <w:t>STDs</w:t>
      </w:r>
      <w:r>
        <w:rPr>
          <w:rFonts w:ascii="宋体" w:hAnsi="宋体" w:eastAsia="宋体" w:cs="宋体"/>
          <w:spacing w:val="4"/>
          <w:sz w:val="20"/>
          <w:szCs w:val="20"/>
        </w:rPr>
        <w:t xml:space="preserve"> 报告疫情的变化。</w:t>
      </w:r>
      <w:r>
        <w:rPr>
          <w:rFonts w:ascii="宋体" w:hAnsi="宋体" w:eastAsia="宋体" w:cs="宋体"/>
          <w:sz w:val="20"/>
          <w:szCs w:val="20"/>
        </w:rPr>
        <w:t>WHO</w:t>
      </w:r>
      <w:r>
        <w:rPr>
          <w:rFonts w:ascii="宋体" w:hAnsi="宋体" w:eastAsia="宋体" w:cs="宋体"/>
          <w:spacing w:val="4"/>
          <w:sz w:val="20"/>
          <w:szCs w:val="20"/>
        </w:rPr>
        <w:t xml:space="preserve">  估</w:t>
      </w:r>
      <w:r>
        <w:rPr>
          <w:rFonts w:ascii="宋体" w:hAnsi="宋体" w:eastAsia="宋体" w:cs="宋体"/>
          <w:spacing w:val="11"/>
          <w:sz w:val="20"/>
          <w:szCs w:val="20"/>
        </w:rPr>
        <w:t xml:space="preserve"> </w:t>
      </w:r>
      <w:r>
        <w:rPr>
          <w:rFonts w:ascii="宋体" w:hAnsi="宋体" w:eastAsia="宋体" w:cs="宋体"/>
          <w:spacing w:val="7"/>
          <w:sz w:val="20"/>
          <w:szCs w:val="20"/>
        </w:rPr>
        <w:t>计，由于存在严重的漏查和漏报，全球报告的</w:t>
      </w:r>
      <w:r>
        <w:rPr>
          <w:rFonts w:ascii="Times New Roman" w:hAnsi="Times New Roman" w:eastAsia="Times New Roman" w:cs="Times New Roman"/>
          <w:sz w:val="20"/>
          <w:szCs w:val="20"/>
        </w:rPr>
        <w:t>STDs</w:t>
      </w:r>
      <w:r>
        <w:rPr>
          <w:rFonts w:ascii="Times New Roman" w:hAnsi="Times New Roman" w:eastAsia="Times New Roman" w:cs="Times New Roman"/>
          <w:spacing w:val="7"/>
          <w:sz w:val="20"/>
          <w:szCs w:val="20"/>
        </w:rPr>
        <w:t xml:space="preserve"> </w:t>
      </w:r>
      <w:r>
        <w:rPr>
          <w:rFonts w:ascii="宋体" w:hAnsi="宋体" w:eastAsia="宋体" w:cs="宋体"/>
          <w:spacing w:val="7"/>
          <w:sz w:val="20"/>
          <w:szCs w:val="20"/>
        </w:rPr>
        <w:t>病例数仅为实际发病人数的20%～25%。我国</w:t>
      </w:r>
      <w:r>
        <w:rPr>
          <w:rFonts w:ascii="宋体" w:hAnsi="宋体" w:eastAsia="宋体" w:cs="宋体"/>
          <w:spacing w:val="12"/>
          <w:sz w:val="20"/>
          <w:szCs w:val="20"/>
        </w:rPr>
        <w:t xml:space="preserve"> </w:t>
      </w:r>
      <w:r>
        <w:rPr>
          <w:rFonts w:ascii="宋体" w:hAnsi="宋体" w:eastAsia="宋体" w:cs="宋体"/>
          <w:spacing w:val="-1"/>
          <w:sz w:val="20"/>
          <w:szCs w:val="20"/>
        </w:rPr>
        <w:t>STDs</w:t>
      </w:r>
      <w:r>
        <w:rPr>
          <w:rFonts w:ascii="宋体" w:hAnsi="宋体" w:eastAsia="宋体" w:cs="宋体"/>
          <w:spacing w:val="-19"/>
          <w:sz w:val="20"/>
          <w:szCs w:val="20"/>
        </w:rPr>
        <w:t xml:space="preserve"> </w:t>
      </w:r>
      <w:r>
        <w:rPr>
          <w:rFonts w:ascii="宋体" w:hAnsi="宋体" w:eastAsia="宋体" w:cs="宋体"/>
          <w:spacing w:val="-1"/>
          <w:sz w:val="20"/>
          <w:szCs w:val="20"/>
        </w:rPr>
        <w:t>的漏报情况可能更为严重，STDs 流行形势依然十分严峻。此外，一些新发STDs</w:t>
      </w:r>
      <w:r>
        <w:rPr>
          <w:rFonts w:ascii="宋体" w:hAnsi="宋体" w:eastAsia="宋体" w:cs="宋体"/>
          <w:spacing w:val="-21"/>
          <w:sz w:val="20"/>
          <w:szCs w:val="20"/>
        </w:rPr>
        <w:t xml:space="preserve"> </w:t>
      </w:r>
      <w:r>
        <w:rPr>
          <w:rFonts w:ascii="宋体" w:hAnsi="宋体" w:eastAsia="宋体" w:cs="宋体"/>
          <w:spacing w:val="-1"/>
          <w:sz w:val="20"/>
          <w:szCs w:val="20"/>
        </w:rPr>
        <w:t>如宋氏志贺菌</w:t>
      </w:r>
    </w:p>
    <w:p w14:paraId="0FD9D61E">
      <w:pPr>
        <w:spacing w:line="342" w:lineRule="auto"/>
        <w:rPr>
          <w:rFonts w:ascii="宋体" w:hAnsi="宋体" w:eastAsia="宋体" w:cs="宋体"/>
          <w:sz w:val="20"/>
          <w:szCs w:val="20"/>
        </w:rPr>
        <w:sectPr>
          <w:footerReference r:id="rId348" w:type="default"/>
          <w:pgSz w:w="11900" w:h="16820"/>
          <w:pgMar w:top="400" w:right="1034" w:bottom="849" w:left="1609" w:header="0" w:footer="669" w:gutter="0"/>
          <w:cols w:space="720" w:num="1"/>
        </w:sectPr>
      </w:pPr>
    </w:p>
    <w:p w14:paraId="7EA2F100">
      <w:pPr>
        <w:spacing w:line="266" w:lineRule="auto"/>
        <w:rPr>
          <w:rFonts w:ascii="Arial"/>
          <w:sz w:val="21"/>
        </w:rPr>
      </w:pPr>
    </w:p>
    <w:p w14:paraId="538B18C1">
      <w:pPr>
        <w:pStyle w:val="2"/>
        <w:spacing w:before="69" w:line="221" w:lineRule="auto"/>
        <w:ind w:left="689"/>
        <w:rPr>
          <w:sz w:val="21"/>
          <w:szCs w:val="21"/>
        </w:rPr>
      </w:pPr>
      <w:r>
        <w:rPr>
          <w:spacing w:val="-15"/>
          <w:w w:val="97"/>
          <w:sz w:val="21"/>
          <w:szCs w:val="21"/>
        </w:rPr>
        <w:t>第二十一章性传播疾病</w:t>
      </w:r>
    </w:p>
    <w:p w14:paraId="407E0769">
      <w:pPr>
        <w:spacing w:line="279" w:lineRule="auto"/>
        <w:rPr>
          <w:rFonts w:ascii="Arial"/>
          <w:sz w:val="21"/>
        </w:rPr>
      </w:pPr>
    </w:p>
    <w:p w14:paraId="65C5412F">
      <w:pPr>
        <w:spacing w:line="280" w:lineRule="auto"/>
        <w:rPr>
          <w:rFonts w:ascii="Arial"/>
          <w:sz w:val="21"/>
        </w:rPr>
      </w:pPr>
    </w:p>
    <w:p w14:paraId="0E6E898D">
      <w:pPr>
        <w:spacing w:before="68" w:line="302" w:lineRule="auto"/>
        <w:ind w:left="689" w:right="76"/>
        <w:rPr>
          <w:rFonts w:ascii="宋体" w:hAnsi="宋体" w:eastAsia="宋体" w:cs="宋体"/>
          <w:sz w:val="21"/>
          <w:szCs w:val="21"/>
        </w:rPr>
      </w:pPr>
      <w:r>
        <w:rPr>
          <w:rFonts w:ascii="宋体" w:hAnsi="宋体" w:eastAsia="宋体" w:cs="宋体"/>
          <w:spacing w:val="1"/>
          <w:sz w:val="21"/>
          <w:szCs w:val="21"/>
        </w:rPr>
        <w:t>感染、脑膜炎奈瑟菌感染、埃博拉病毒感染和寨卡病毒感染等</w:t>
      </w:r>
      <w:r>
        <w:rPr>
          <w:rFonts w:ascii="宋体" w:hAnsi="宋体" w:eastAsia="宋体" w:cs="宋体"/>
          <w:sz w:val="21"/>
          <w:szCs w:val="21"/>
        </w:rPr>
        <w:t>的出现和流行也为我国</w:t>
      </w:r>
      <w:r>
        <w:rPr>
          <w:rFonts w:ascii="Times New Roman" w:hAnsi="Times New Roman" w:eastAsia="Times New Roman" w:cs="Times New Roman"/>
          <w:sz w:val="21"/>
          <w:szCs w:val="21"/>
        </w:rPr>
        <w:t xml:space="preserve">STDs </w:t>
      </w:r>
      <w:r>
        <w:rPr>
          <w:rFonts w:ascii="宋体" w:hAnsi="宋体" w:eastAsia="宋体" w:cs="宋体"/>
          <w:sz w:val="21"/>
          <w:szCs w:val="21"/>
        </w:rPr>
        <w:t xml:space="preserve">的防控 </w:t>
      </w:r>
      <w:r>
        <w:rPr>
          <w:rFonts w:ascii="宋体" w:hAnsi="宋体" w:eastAsia="宋体" w:cs="宋体"/>
          <w:spacing w:val="2"/>
          <w:sz w:val="21"/>
          <w:szCs w:val="21"/>
        </w:rPr>
        <w:t>带来新的挑战。</w:t>
      </w:r>
    </w:p>
    <w:p w14:paraId="1BBD96BB">
      <w:pPr>
        <w:pStyle w:val="2"/>
        <w:spacing w:line="222" w:lineRule="auto"/>
        <w:ind w:left="1123"/>
        <w:rPr>
          <w:sz w:val="25"/>
          <w:szCs w:val="25"/>
        </w:rPr>
      </w:pPr>
      <w:bookmarkStart w:id="538" w:name="bookmark593"/>
      <w:bookmarkEnd w:id="538"/>
      <w:r>
        <w:rPr>
          <w:b/>
          <w:bCs/>
          <w:spacing w:val="-10"/>
          <w:sz w:val="25"/>
          <w:szCs w:val="25"/>
        </w:rPr>
        <w:t>(二)地区分布</w:t>
      </w:r>
    </w:p>
    <w:p w14:paraId="6B509E5D">
      <w:pPr>
        <w:spacing w:before="119" w:line="317" w:lineRule="auto"/>
        <w:ind w:left="689" w:right="56" w:firstLine="429"/>
        <w:jc w:val="both"/>
        <w:rPr>
          <w:rFonts w:ascii="宋体" w:hAnsi="宋体" w:eastAsia="宋体" w:cs="宋体"/>
          <w:sz w:val="21"/>
          <w:szCs w:val="21"/>
        </w:rPr>
      </w:pPr>
      <w:r>
        <w:rPr>
          <w:rFonts w:ascii="宋体" w:hAnsi="宋体" w:eastAsia="宋体" w:cs="宋体"/>
          <w:sz w:val="21"/>
          <w:szCs w:val="21"/>
        </w:rPr>
        <w:t>STDs</w:t>
      </w:r>
      <w:r>
        <w:rPr>
          <w:rFonts w:ascii="宋体" w:hAnsi="宋体" w:eastAsia="宋体" w:cs="宋体"/>
          <w:spacing w:val="1"/>
          <w:sz w:val="21"/>
          <w:szCs w:val="21"/>
        </w:rPr>
        <w:t xml:space="preserve"> 在世界不同地区分布差异较大，对发展中国家的</w:t>
      </w:r>
      <w:r>
        <w:rPr>
          <w:rFonts w:ascii="宋体" w:hAnsi="宋体" w:eastAsia="宋体" w:cs="宋体"/>
          <w:sz w:val="21"/>
          <w:szCs w:val="21"/>
        </w:rPr>
        <w:t xml:space="preserve">影响较发达国家更为明显，已居许多发 </w:t>
      </w:r>
      <w:r>
        <w:rPr>
          <w:rFonts w:ascii="宋体" w:hAnsi="宋体" w:eastAsia="宋体" w:cs="宋体"/>
          <w:spacing w:val="3"/>
          <w:sz w:val="21"/>
          <w:szCs w:val="21"/>
        </w:rPr>
        <w:t>展中国家成人就医原因的前5位。我国报告</w:t>
      </w:r>
      <w:r>
        <w:rPr>
          <w:rFonts w:ascii="宋体" w:hAnsi="宋体" w:eastAsia="宋体" w:cs="宋体"/>
          <w:sz w:val="21"/>
          <w:szCs w:val="21"/>
        </w:rPr>
        <w:t>STDs</w:t>
      </w:r>
      <w:r>
        <w:rPr>
          <w:rFonts w:ascii="宋体" w:hAnsi="宋体" w:eastAsia="宋体" w:cs="宋体"/>
          <w:spacing w:val="3"/>
          <w:sz w:val="21"/>
          <w:szCs w:val="21"/>
        </w:rPr>
        <w:t xml:space="preserve"> 的地区分布特点为：沿海省市高于内陆地区，经</w:t>
      </w:r>
      <w:r>
        <w:rPr>
          <w:rFonts w:ascii="宋体" w:hAnsi="宋体" w:eastAsia="宋体" w:cs="宋体"/>
          <w:spacing w:val="14"/>
          <w:sz w:val="21"/>
          <w:szCs w:val="21"/>
        </w:rPr>
        <w:t xml:space="preserve"> </w:t>
      </w:r>
      <w:r>
        <w:rPr>
          <w:rFonts w:ascii="宋体" w:hAnsi="宋体" w:eastAsia="宋体" w:cs="宋体"/>
          <w:spacing w:val="-2"/>
          <w:sz w:val="21"/>
          <w:szCs w:val="21"/>
        </w:rPr>
        <w:t>济发达地区高于经济落后地区，城市高于农村。由于大量人口在农村和城市间流动，我</w:t>
      </w:r>
      <w:r>
        <w:rPr>
          <w:rFonts w:ascii="宋体" w:hAnsi="宋体" w:eastAsia="宋体" w:cs="宋体"/>
          <w:spacing w:val="-3"/>
          <w:sz w:val="21"/>
          <w:szCs w:val="21"/>
        </w:rPr>
        <w:t>国农村主要</w:t>
      </w:r>
      <w:r>
        <w:rPr>
          <w:rFonts w:ascii="宋体" w:hAnsi="宋体" w:eastAsia="宋体" w:cs="宋体"/>
          <w:sz w:val="21"/>
          <w:szCs w:val="21"/>
        </w:rPr>
        <w:t xml:space="preserve"> </w:t>
      </w:r>
      <w:r>
        <w:rPr>
          <w:rFonts w:ascii="宋体" w:hAnsi="宋体" w:eastAsia="宋体" w:cs="宋体"/>
          <w:spacing w:val="-1"/>
          <w:sz w:val="21"/>
          <w:szCs w:val="21"/>
        </w:rPr>
        <w:t>STDs</w:t>
      </w:r>
      <w:r>
        <w:rPr>
          <w:rFonts w:ascii="宋体" w:hAnsi="宋体" w:eastAsia="宋体" w:cs="宋体"/>
          <w:spacing w:val="-22"/>
          <w:sz w:val="21"/>
          <w:szCs w:val="21"/>
        </w:rPr>
        <w:t xml:space="preserve"> </w:t>
      </w:r>
      <w:r>
        <w:rPr>
          <w:rFonts w:ascii="宋体" w:hAnsi="宋体" w:eastAsia="宋体" w:cs="宋体"/>
          <w:spacing w:val="-1"/>
          <w:sz w:val="21"/>
          <w:szCs w:val="21"/>
        </w:rPr>
        <w:t>的病例报告数也呈上升趋势。全国STDs</w:t>
      </w:r>
      <w:r>
        <w:rPr>
          <w:rFonts w:ascii="宋体" w:hAnsi="宋体" w:eastAsia="宋体" w:cs="宋体"/>
          <w:spacing w:val="-25"/>
          <w:sz w:val="21"/>
          <w:szCs w:val="21"/>
        </w:rPr>
        <w:t xml:space="preserve"> </w:t>
      </w:r>
      <w:r>
        <w:rPr>
          <w:rFonts w:ascii="宋体" w:hAnsi="宋体" w:eastAsia="宋体" w:cs="宋体"/>
          <w:spacing w:val="-1"/>
          <w:sz w:val="21"/>
          <w:szCs w:val="21"/>
        </w:rPr>
        <w:t>发病率较高的地区为珠江三角洲地区、长江三角洲地</w:t>
      </w:r>
      <w:r>
        <w:rPr>
          <w:rFonts w:ascii="宋体" w:hAnsi="宋体" w:eastAsia="宋体" w:cs="宋体"/>
          <w:sz w:val="21"/>
          <w:szCs w:val="21"/>
        </w:rPr>
        <w:t xml:space="preserve"> </w:t>
      </w:r>
      <w:r>
        <w:rPr>
          <w:rFonts w:ascii="宋体" w:hAnsi="宋体" w:eastAsia="宋体" w:cs="宋体"/>
          <w:spacing w:val="-1"/>
          <w:sz w:val="21"/>
          <w:szCs w:val="21"/>
        </w:rPr>
        <w:t>区、京津地区和东北三省。在考虑STDs 地区分布差异时，不能忽略各地区在STDs 发现</w:t>
      </w:r>
      <w:r>
        <w:rPr>
          <w:rFonts w:ascii="宋体" w:hAnsi="宋体" w:eastAsia="宋体" w:cs="宋体"/>
          <w:spacing w:val="-2"/>
          <w:sz w:val="21"/>
          <w:szCs w:val="21"/>
        </w:rPr>
        <w:t>、登记和报</w:t>
      </w:r>
      <w:r>
        <w:rPr>
          <w:rFonts w:ascii="宋体" w:hAnsi="宋体" w:eastAsia="宋体" w:cs="宋体"/>
          <w:sz w:val="21"/>
          <w:szCs w:val="21"/>
        </w:rPr>
        <w:t xml:space="preserve"> 告方面的系统完整性和监测能力的差别。在一定时间段内，登记报告系统相对完善地区的</w:t>
      </w:r>
      <w:r>
        <w:rPr>
          <w:rFonts w:ascii="Times New Roman" w:hAnsi="Times New Roman" w:eastAsia="Times New Roman" w:cs="Times New Roman"/>
          <w:sz w:val="21"/>
          <w:szCs w:val="21"/>
        </w:rPr>
        <w:t xml:space="preserve">STDs </w:t>
      </w:r>
      <w:r>
        <w:rPr>
          <w:rFonts w:ascii="宋体" w:hAnsi="宋体" w:eastAsia="宋体" w:cs="宋体"/>
          <w:sz w:val="21"/>
          <w:szCs w:val="21"/>
        </w:rPr>
        <w:t>报</w:t>
      </w:r>
      <w:r>
        <w:rPr>
          <w:rFonts w:ascii="宋体" w:hAnsi="宋体" w:eastAsia="宋体" w:cs="宋体"/>
          <w:spacing w:val="1"/>
          <w:sz w:val="21"/>
          <w:szCs w:val="21"/>
        </w:rPr>
        <w:t xml:space="preserve"> 告发病率会高于病例发现能力低的地区。我国内陆、边远地区</w:t>
      </w:r>
      <w:r>
        <w:rPr>
          <w:rFonts w:ascii="Times New Roman" w:hAnsi="Times New Roman" w:eastAsia="Times New Roman" w:cs="Times New Roman"/>
          <w:sz w:val="21"/>
          <w:szCs w:val="21"/>
        </w:rPr>
        <w:t>STDs</w:t>
      </w:r>
      <w:r>
        <w:rPr>
          <w:rFonts w:ascii="Times New Roman" w:hAnsi="Times New Roman" w:eastAsia="Times New Roman" w:cs="Times New Roman"/>
          <w:spacing w:val="-17"/>
          <w:sz w:val="21"/>
          <w:szCs w:val="21"/>
        </w:rPr>
        <w:t xml:space="preserve"> </w:t>
      </w:r>
      <w:r>
        <w:rPr>
          <w:rFonts w:ascii="宋体" w:hAnsi="宋体" w:eastAsia="宋体" w:cs="宋体"/>
          <w:spacing w:val="1"/>
          <w:sz w:val="21"/>
          <w:szCs w:val="21"/>
        </w:rPr>
        <w:t>报告率受监</w:t>
      </w:r>
      <w:r>
        <w:rPr>
          <w:rFonts w:ascii="宋体" w:hAnsi="宋体" w:eastAsia="宋体" w:cs="宋体"/>
          <w:sz w:val="21"/>
          <w:szCs w:val="21"/>
        </w:rPr>
        <w:t xml:space="preserve">测系统功能的影响 </w:t>
      </w:r>
      <w:r>
        <w:rPr>
          <w:rFonts w:ascii="宋体" w:hAnsi="宋体" w:eastAsia="宋体" w:cs="宋体"/>
          <w:spacing w:val="-5"/>
          <w:sz w:val="21"/>
          <w:szCs w:val="21"/>
        </w:rPr>
        <w:t>较大，如青海、西藏、内蒙古等地区</w:t>
      </w:r>
      <w:r>
        <w:rPr>
          <w:rFonts w:ascii="Times New Roman" w:hAnsi="Times New Roman" w:eastAsia="Times New Roman" w:cs="Times New Roman"/>
          <w:spacing w:val="-5"/>
          <w:sz w:val="21"/>
          <w:szCs w:val="21"/>
        </w:rPr>
        <w:t>STDs</w:t>
      </w:r>
      <w:r>
        <w:rPr>
          <w:rFonts w:ascii="宋体" w:hAnsi="宋体" w:eastAsia="宋体" w:cs="宋体"/>
          <w:spacing w:val="-5"/>
          <w:sz w:val="21"/>
          <w:szCs w:val="21"/>
        </w:rPr>
        <w:t>的实际流行情况</w:t>
      </w:r>
      <w:r>
        <w:rPr>
          <w:rFonts w:ascii="宋体" w:hAnsi="宋体" w:eastAsia="宋体" w:cs="宋体"/>
          <w:spacing w:val="-6"/>
          <w:sz w:val="21"/>
          <w:szCs w:val="21"/>
        </w:rPr>
        <w:t>仍很严重。</w:t>
      </w:r>
    </w:p>
    <w:p w14:paraId="1CB82BCC">
      <w:pPr>
        <w:pStyle w:val="2"/>
        <w:spacing w:before="44" w:line="221" w:lineRule="auto"/>
        <w:ind w:left="1119"/>
        <w:rPr>
          <w:sz w:val="21"/>
          <w:szCs w:val="21"/>
        </w:rPr>
      </w:pPr>
      <w:r>
        <w:rPr>
          <w:spacing w:val="27"/>
          <w:sz w:val="21"/>
          <w:szCs w:val="21"/>
        </w:rPr>
        <w:t>(三)人群分布</w:t>
      </w:r>
    </w:p>
    <w:p w14:paraId="28C622D2">
      <w:pPr>
        <w:pStyle w:val="2"/>
        <w:spacing w:before="91" w:line="272" w:lineRule="auto"/>
        <w:ind w:left="689" w:firstLine="429"/>
        <w:rPr>
          <w:rFonts w:ascii="宋体" w:hAnsi="宋体" w:eastAsia="宋体" w:cs="宋体"/>
          <w:sz w:val="21"/>
          <w:szCs w:val="21"/>
        </w:rPr>
      </w:pPr>
      <w:r>
        <w:rPr>
          <w:rFonts w:ascii="Times New Roman" w:hAnsi="Times New Roman" w:eastAsia="Times New Roman" w:cs="Times New Roman"/>
          <w:spacing w:val="2"/>
          <w:sz w:val="21"/>
          <w:szCs w:val="21"/>
        </w:rPr>
        <w:t>1.</w:t>
      </w:r>
      <w:r>
        <w:rPr>
          <w:rFonts w:ascii="Times New Roman" w:hAnsi="Times New Roman" w:eastAsia="Times New Roman" w:cs="Times New Roman"/>
          <w:spacing w:val="18"/>
          <w:w w:val="101"/>
          <w:sz w:val="21"/>
          <w:szCs w:val="21"/>
        </w:rPr>
        <w:t xml:space="preserve">  </w:t>
      </w:r>
      <w:r>
        <w:rPr>
          <w:spacing w:val="2"/>
          <w:sz w:val="21"/>
          <w:szCs w:val="21"/>
        </w:rPr>
        <w:t>年龄</w:t>
      </w:r>
      <w:r>
        <w:rPr>
          <w:spacing w:val="89"/>
          <w:sz w:val="21"/>
          <w:szCs w:val="21"/>
        </w:rPr>
        <w:t xml:space="preserve"> </w:t>
      </w:r>
      <w:r>
        <w:rPr>
          <w:rFonts w:ascii="Times New Roman" w:hAnsi="Times New Roman" w:eastAsia="Times New Roman" w:cs="Times New Roman"/>
          <w:sz w:val="21"/>
          <w:szCs w:val="21"/>
        </w:rPr>
        <w:t>STDs</w:t>
      </w:r>
      <w:r>
        <w:rPr>
          <w:rFonts w:ascii="Times New Roman" w:hAnsi="Times New Roman" w:eastAsia="Times New Roman" w:cs="Times New Roman"/>
          <w:spacing w:val="42"/>
          <w:sz w:val="21"/>
          <w:szCs w:val="21"/>
        </w:rPr>
        <w:t xml:space="preserve"> </w:t>
      </w:r>
      <w:r>
        <w:rPr>
          <w:rFonts w:ascii="宋体" w:hAnsi="宋体" w:eastAsia="宋体" w:cs="宋体"/>
          <w:spacing w:val="2"/>
          <w:sz w:val="21"/>
          <w:szCs w:val="21"/>
        </w:rPr>
        <w:t>好发于性活跃人群。我国</w:t>
      </w:r>
      <w:r>
        <w:rPr>
          <w:rFonts w:ascii="Times New Roman" w:hAnsi="Times New Roman" w:eastAsia="Times New Roman" w:cs="Times New Roman"/>
          <w:sz w:val="21"/>
          <w:szCs w:val="21"/>
        </w:rPr>
        <w:t>STDs</w:t>
      </w:r>
      <w:r>
        <w:rPr>
          <w:rFonts w:ascii="Times New Roman" w:hAnsi="Times New Roman" w:eastAsia="Times New Roman" w:cs="Times New Roman"/>
          <w:spacing w:val="2"/>
          <w:sz w:val="21"/>
          <w:szCs w:val="21"/>
        </w:rPr>
        <w:t xml:space="preserve"> </w:t>
      </w:r>
      <w:r>
        <w:rPr>
          <w:rFonts w:ascii="宋体" w:hAnsi="宋体" w:eastAsia="宋体" w:cs="宋体"/>
          <w:spacing w:val="2"/>
          <w:sz w:val="21"/>
          <w:szCs w:val="21"/>
        </w:rPr>
        <w:t>以20～39岁年龄组人群的发病率较高。此外，</w:t>
      </w:r>
      <w:r>
        <w:rPr>
          <w:rFonts w:ascii="宋体" w:hAnsi="宋体" w:eastAsia="宋体" w:cs="宋体"/>
          <w:sz w:val="21"/>
          <w:szCs w:val="21"/>
        </w:rPr>
        <w:t xml:space="preserve"> </w:t>
      </w:r>
      <w:r>
        <w:rPr>
          <w:rFonts w:ascii="宋体" w:hAnsi="宋体" w:eastAsia="宋体" w:cs="宋体"/>
          <w:spacing w:val="4"/>
          <w:sz w:val="21"/>
          <w:szCs w:val="21"/>
        </w:rPr>
        <w:t>20岁以下的年轻群体和65岁以上老年人也逐渐成为</w:t>
      </w:r>
      <w:r>
        <w:rPr>
          <w:rFonts w:ascii="宋体" w:hAnsi="宋体" w:eastAsia="宋体" w:cs="宋体"/>
          <w:sz w:val="21"/>
          <w:szCs w:val="21"/>
        </w:rPr>
        <w:t>STDs</w:t>
      </w:r>
      <w:r>
        <w:rPr>
          <w:rFonts w:ascii="宋体" w:hAnsi="宋体" w:eastAsia="宋体" w:cs="宋体"/>
          <w:spacing w:val="4"/>
          <w:sz w:val="21"/>
          <w:szCs w:val="21"/>
        </w:rPr>
        <w:t xml:space="preserve"> 的高发群体。</w:t>
      </w:r>
    </w:p>
    <w:p w14:paraId="12D35BE6">
      <w:pPr>
        <w:spacing w:before="131" w:line="290" w:lineRule="auto"/>
        <w:ind w:left="689" w:right="67" w:firstLine="429"/>
        <w:rPr>
          <w:rFonts w:ascii="宋体" w:hAnsi="宋体" w:eastAsia="宋体" w:cs="宋体"/>
          <w:sz w:val="21"/>
          <w:szCs w:val="21"/>
        </w:rPr>
      </w:pPr>
      <w:r>
        <w:rPr>
          <w:rFonts w:ascii="Times New Roman" w:hAnsi="Times New Roman" w:eastAsia="Times New Roman" w:cs="Times New Roman"/>
          <w:spacing w:val="1"/>
          <w:sz w:val="21"/>
          <w:szCs w:val="21"/>
        </w:rPr>
        <w:t>2.</w:t>
      </w:r>
      <w:r>
        <w:rPr>
          <w:rFonts w:ascii="Times New Roman" w:hAnsi="Times New Roman" w:eastAsia="Times New Roman" w:cs="Times New Roman"/>
          <w:spacing w:val="21"/>
          <w:sz w:val="21"/>
          <w:szCs w:val="21"/>
        </w:rPr>
        <w:t xml:space="preserve">  </w:t>
      </w:r>
      <w:r>
        <w:rPr>
          <w:rFonts w:ascii="宋体" w:hAnsi="宋体" w:eastAsia="宋体" w:cs="宋体"/>
          <w:spacing w:val="1"/>
          <w:sz w:val="21"/>
          <w:szCs w:val="21"/>
        </w:rPr>
        <w:t>性别</w:t>
      </w:r>
      <w:r>
        <w:rPr>
          <w:rFonts w:ascii="宋体" w:hAnsi="宋体" w:eastAsia="宋体" w:cs="宋体"/>
          <w:spacing w:val="97"/>
          <w:sz w:val="21"/>
          <w:szCs w:val="21"/>
        </w:rPr>
        <w:t xml:space="preserve"> </w:t>
      </w:r>
      <w:r>
        <w:rPr>
          <w:rFonts w:ascii="宋体" w:hAnsi="宋体" w:eastAsia="宋体" w:cs="宋体"/>
          <w:spacing w:val="1"/>
          <w:sz w:val="21"/>
          <w:szCs w:val="21"/>
        </w:rPr>
        <w:t>大多数</w:t>
      </w:r>
      <w:r>
        <w:rPr>
          <w:rFonts w:ascii="Times New Roman" w:hAnsi="Times New Roman" w:eastAsia="Times New Roman" w:cs="Times New Roman"/>
          <w:sz w:val="21"/>
          <w:szCs w:val="21"/>
        </w:rPr>
        <w:t>STDs</w:t>
      </w:r>
      <w:r>
        <w:rPr>
          <w:rFonts w:ascii="Times New Roman" w:hAnsi="Times New Roman" w:eastAsia="Times New Roman" w:cs="Times New Roman"/>
          <w:spacing w:val="1"/>
          <w:sz w:val="21"/>
          <w:szCs w:val="21"/>
        </w:rPr>
        <w:t xml:space="preserve"> </w:t>
      </w:r>
      <w:r>
        <w:rPr>
          <w:rFonts w:ascii="宋体" w:hAnsi="宋体" w:eastAsia="宋体" w:cs="宋体"/>
          <w:spacing w:val="1"/>
          <w:sz w:val="21"/>
          <w:szCs w:val="21"/>
        </w:rPr>
        <w:t>的发病率都是男性高于女性。全国监测资料显示，男性</w:t>
      </w:r>
      <w:r>
        <w:rPr>
          <w:rFonts w:ascii="Times New Roman" w:hAnsi="Times New Roman" w:eastAsia="Times New Roman" w:cs="Times New Roman"/>
          <w:sz w:val="21"/>
          <w:szCs w:val="21"/>
        </w:rPr>
        <w:t>STDs</w:t>
      </w:r>
      <w:r>
        <w:rPr>
          <w:rFonts w:ascii="Times New Roman" w:hAnsi="Times New Roman" w:eastAsia="Times New Roman" w:cs="Times New Roman"/>
          <w:spacing w:val="1"/>
          <w:sz w:val="21"/>
          <w:szCs w:val="21"/>
        </w:rPr>
        <w:t xml:space="preserve"> </w:t>
      </w:r>
      <w:r>
        <w:rPr>
          <w:rFonts w:ascii="宋体" w:hAnsi="宋体" w:eastAsia="宋体" w:cs="宋体"/>
          <w:spacing w:val="1"/>
          <w:sz w:val="21"/>
          <w:szCs w:val="21"/>
        </w:rPr>
        <w:t>报告数和</w:t>
      </w:r>
      <w:r>
        <w:rPr>
          <w:rFonts w:ascii="宋体" w:hAnsi="宋体" w:eastAsia="宋体" w:cs="宋体"/>
          <w:sz w:val="21"/>
          <w:szCs w:val="21"/>
        </w:rPr>
        <w:t xml:space="preserve"> </w:t>
      </w:r>
      <w:r>
        <w:rPr>
          <w:rFonts w:ascii="宋体" w:hAnsi="宋体" w:eastAsia="宋体" w:cs="宋体"/>
          <w:spacing w:val="-2"/>
          <w:sz w:val="21"/>
          <w:szCs w:val="21"/>
        </w:rPr>
        <w:t>发病率均高于女性，但女性报告病例数的增长幅度高于男性，性别比逐渐缩小。女性病例报告数的</w:t>
      </w:r>
      <w:r>
        <w:rPr>
          <w:rFonts w:ascii="宋体" w:hAnsi="宋体" w:eastAsia="宋体" w:cs="宋体"/>
          <w:spacing w:val="1"/>
          <w:sz w:val="21"/>
          <w:szCs w:val="21"/>
        </w:rPr>
        <w:t xml:space="preserve"> </w:t>
      </w:r>
      <w:r>
        <w:rPr>
          <w:rFonts w:ascii="宋体" w:hAnsi="宋体" w:eastAsia="宋体" w:cs="宋体"/>
          <w:spacing w:val="-1"/>
          <w:sz w:val="21"/>
          <w:szCs w:val="21"/>
        </w:rPr>
        <w:t>增长可能与女性主动就诊人数的增加、诊断水平的提高和女性实际发病数不断增加有关。</w:t>
      </w:r>
    </w:p>
    <w:p w14:paraId="3CCE89AF">
      <w:pPr>
        <w:spacing w:line="457" w:lineRule="auto"/>
        <w:rPr>
          <w:rFonts w:ascii="Arial"/>
          <w:sz w:val="21"/>
        </w:rPr>
      </w:pPr>
    </w:p>
    <w:p w14:paraId="28FCBD12">
      <w:pPr>
        <w:pStyle w:val="2"/>
        <w:spacing w:before="97" w:line="221" w:lineRule="auto"/>
        <w:ind w:left="3994"/>
        <w:outlineLvl w:val="4"/>
      </w:pPr>
      <w:bookmarkStart w:id="539" w:name="bookmark333"/>
      <w:bookmarkEnd w:id="539"/>
      <w:r>
        <w:rPr>
          <w:b/>
          <w:bCs/>
          <w:spacing w:val="-4"/>
        </w:rPr>
        <w:t>第二节</w:t>
      </w:r>
      <w:r>
        <w:rPr>
          <w:spacing w:val="136"/>
        </w:rPr>
        <w:t xml:space="preserve"> </w:t>
      </w:r>
      <w:r>
        <w:rPr>
          <w:b/>
          <w:bCs/>
          <w:spacing w:val="-4"/>
        </w:rPr>
        <w:t>流行过程</w:t>
      </w:r>
    </w:p>
    <w:p w14:paraId="6ED99FA1">
      <w:pPr>
        <w:spacing w:line="356" w:lineRule="auto"/>
        <w:rPr>
          <w:rFonts w:ascii="Arial"/>
          <w:sz w:val="21"/>
        </w:rPr>
      </w:pPr>
    </w:p>
    <w:p w14:paraId="5570DA41">
      <w:pPr>
        <w:pStyle w:val="2"/>
        <w:spacing w:before="82" w:line="221" w:lineRule="auto"/>
        <w:ind w:left="1123"/>
        <w:outlineLvl w:val="4"/>
        <w:rPr>
          <w:sz w:val="25"/>
          <w:szCs w:val="25"/>
        </w:rPr>
      </w:pPr>
      <w:bookmarkStart w:id="540" w:name="bookmark334"/>
      <w:bookmarkEnd w:id="540"/>
      <w:r>
        <w:rPr>
          <w:b/>
          <w:bCs/>
          <w:spacing w:val="-14"/>
          <w:sz w:val="25"/>
          <w:szCs w:val="25"/>
        </w:rPr>
        <w:t>一</w:t>
      </w:r>
      <w:r>
        <w:rPr>
          <w:spacing w:val="-58"/>
          <w:sz w:val="25"/>
          <w:szCs w:val="25"/>
        </w:rPr>
        <w:t xml:space="preserve"> </w:t>
      </w:r>
      <w:r>
        <w:rPr>
          <w:b/>
          <w:bCs/>
          <w:spacing w:val="-14"/>
          <w:sz w:val="25"/>
          <w:szCs w:val="25"/>
        </w:rPr>
        <w:t>、传染源</w:t>
      </w:r>
    </w:p>
    <w:p w14:paraId="2529361B">
      <w:pPr>
        <w:spacing w:before="275" w:line="322" w:lineRule="auto"/>
        <w:ind w:left="689" w:right="76" w:firstLine="429"/>
        <w:jc w:val="both"/>
        <w:rPr>
          <w:rFonts w:ascii="宋体" w:hAnsi="宋体" w:eastAsia="宋体" w:cs="宋体"/>
          <w:sz w:val="21"/>
          <w:szCs w:val="21"/>
        </w:rPr>
      </w:pPr>
      <w:r>
        <w:rPr>
          <w:rFonts w:ascii="宋体" w:hAnsi="宋体" w:eastAsia="宋体" w:cs="宋体"/>
          <w:spacing w:val="1"/>
          <w:sz w:val="21"/>
          <w:szCs w:val="21"/>
        </w:rPr>
        <w:t>无论有无症状，只要体内有</w:t>
      </w:r>
      <w:r>
        <w:rPr>
          <w:rFonts w:ascii="Times New Roman" w:hAnsi="Times New Roman" w:eastAsia="Times New Roman" w:cs="Times New Roman"/>
          <w:sz w:val="21"/>
          <w:szCs w:val="21"/>
        </w:rPr>
        <w:t>STDs</w:t>
      </w:r>
      <w:r>
        <w:rPr>
          <w:rFonts w:ascii="Times New Roman" w:hAnsi="Times New Roman" w:eastAsia="Times New Roman" w:cs="Times New Roman"/>
          <w:spacing w:val="-17"/>
          <w:sz w:val="21"/>
          <w:szCs w:val="21"/>
        </w:rPr>
        <w:t xml:space="preserve"> </w:t>
      </w:r>
      <w:r>
        <w:rPr>
          <w:rFonts w:ascii="宋体" w:hAnsi="宋体" w:eastAsia="宋体" w:cs="宋体"/>
          <w:spacing w:val="1"/>
          <w:sz w:val="21"/>
          <w:szCs w:val="21"/>
        </w:rPr>
        <w:t>病原体生长繁殖并能通过直接性接触或间接性接触</w:t>
      </w:r>
      <w:r>
        <w:rPr>
          <w:rFonts w:ascii="宋体" w:hAnsi="宋体" w:eastAsia="宋体" w:cs="宋体"/>
          <w:sz w:val="21"/>
          <w:szCs w:val="21"/>
        </w:rPr>
        <w:t xml:space="preserve">感染他人 </w:t>
      </w:r>
      <w:r>
        <w:rPr>
          <w:rFonts w:ascii="宋体" w:hAnsi="宋体" w:eastAsia="宋体" w:cs="宋体"/>
          <w:spacing w:val="3"/>
          <w:sz w:val="21"/>
          <w:szCs w:val="21"/>
        </w:rPr>
        <w:t>者都是</w:t>
      </w:r>
      <w:r>
        <w:rPr>
          <w:rFonts w:ascii="Times New Roman" w:hAnsi="Times New Roman" w:eastAsia="Times New Roman" w:cs="Times New Roman"/>
          <w:sz w:val="21"/>
          <w:szCs w:val="21"/>
        </w:rPr>
        <w:t>STDs</w:t>
      </w:r>
      <w:r>
        <w:rPr>
          <w:rFonts w:ascii="Times New Roman" w:hAnsi="Times New Roman" w:eastAsia="Times New Roman" w:cs="Times New Roman"/>
          <w:spacing w:val="3"/>
          <w:sz w:val="21"/>
          <w:szCs w:val="21"/>
        </w:rPr>
        <w:t xml:space="preserve"> </w:t>
      </w:r>
      <w:r>
        <w:rPr>
          <w:rFonts w:ascii="宋体" w:hAnsi="宋体" w:eastAsia="宋体" w:cs="宋体"/>
          <w:spacing w:val="3"/>
          <w:sz w:val="21"/>
          <w:szCs w:val="21"/>
        </w:rPr>
        <w:t>的传染源。社会因素和个体因素综合作用导致大量</w:t>
      </w:r>
      <w:r>
        <w:rPr>
          <w:rFonts w:ascii="Times New Roman" w:hAnsi="Times New Roman" w:eastAsia="Times New Roman" w:cs="Times New Roman"/>
          <w:sz w:val="21"/>
          <w:szCs w:val="21"/>
        </w:rPr>
        <w:t>STDs</w:t>
      </w:r>
      <w:r>
        <w:rPr>
          <w:rFonts w:ascii="Times New Roman" w:hAnsi="Times New Roman" w:eastAsia="Times New Roman" w:cs="Times New Roman"/>
          <w:spacing w:val="3"/>
          <w:sz w:val="21"/>
          <w:szCs w:val="21"/>
        </w:rPr>
        <w:t xml:space="preserve"> </w:t>
      </w:r>
      <w:r>
        <w:rPr>
          <w:rFonts w:ascii="宋体" w:hAnsi="宋体" w:eastAsia="宋体" w:cs="宋体"/>
          <w:spacing w:val="3"/>
          <w:sz w:val="21"/>
          <w:szCs w:val="21"/>
        </w:rPr>
        <w:t>感染</w:t>
      </w:r>
      <w:r>
        <w:rPr>
          <w:rFonts w:ascii="宋体" w:hAnsi="宋体" w:eastAsia="宋体" w:cs="宋体"/>
          <w:spacing w:val="2"/>
          <w:sz w:val="21"/>
          <w:szCs w:val="21"/>
        </w:rPr>
        <w:t>者不能被及时发现、诊</w:t>
      </w:r>
      <w:r>
        <w:rPr>
          <w:rFonts w:ascii="宋体" w:hAnsi="宋体" w:eastAsia="宋体" w:cs="宋体"/>
          <w:sz w:val="21"/>
          <w:szCs w:val="21"/>
        </w:rPr>
        <w:t xml:space="preserve"> </w:t>
      </w:r>
      <w:r>
        <w:rPr>
          <w:rFonts w:ascii="宋体" w:hAnsi="宋体" w:eastAsia="宋体" w:cs="宋体"/>
          <w:spacing w:val="-4"/>
          <w:sz w:val="21"/>
          <w:szCs w:val="21"/>
        </w:rPr>
        <w:t>断和治疗，成为传播STDs 的最重要的传染源。</w:t>
      </w:r>
    </w:p>
    <w:p w14:paraId="5DE81490">
      <w:pPr>
        <w:spacing w:before="1" w:line="218" w:lineRule="auto"/>
        <w:ind w:left="1119"/>
        <w:rPr>
          <w:rFonts w:ascii="宋体" w:hAnsi="宋体" w:eastAsia="宋体" w:cs="宋体"/>
          <w:sz w:val="21"/>
          <w:szCs w:val="21"/>
        </w:rPr>
      </w:pPr>
      <w:r>
        <w:rPr>
          <w:rFonts w:ascii="宋体" w:hAnsi="宋体" w:eastAsia="宋体" w:cs="宋体"/>
          <w:spacing w:val="-2"/>
          <w:sz w:val="21"/>
          <w:szCs w:val="21"/>
        </w:rPr>
        <w:t>STDs</w:t>
      </w:r>
      <w:r>
        <w:rPr>
          <w:rFonts w:ascii="宋体" w:hAnsi="宋体" w:eastAsia="宋体" w:cs="宋体"/>
          <w:spacing w:val="-28"/>
          <w:sz w:val="21"/>
          <w:szCs w:val="21"/>
        </w:rPr>
        <w:t xml:space="preserve"> </w:t>
      </w:r>
      <w:r>
        <w:rPr>
          <w:rFonts w:ascii="宋体" w:hAnsi="宋体" w:eastAsia="宋体" w:cs="宋体"/>
          <w:spacing w:val="-2"/>
          <w:sz w:val="21"/>
          <w:szCs w:val="21"/>
        </w:rPr>
        <w:t>的传染源和高危人群包括：</w:t>
      </w:r>
    </w:p>
    <w:p w14:paraId="2F187EC4">
      <w:pPr>
        <w:pStyle w:val="2"/>
        <w:spacing w:before="122" w:line="317" w:lineRule="auto"/>
        <w:ind w:left="689" w:right="90" w:firstLine="429"/>
        <w:jc w:val="both"/>
        <w:rPr>
          <w:rFonts w:ascii="宋体" w:hAnsi="宋体" w:eastAsia="宋体" w:cs="宋体"/>
          <w:sz w:val="21"/>
          <w:szCs w:val="21"/>
        </w:rPr>
      </w:pPr>
      <w:r>
        <w:rPr>
          <w:rFonts w:ascii="宋体" w:hAnsi="宋体" w:eastAsia="宋体" w:cs="宋体"/>
          <w:spacing w:val="10"/>
          <w:sz w:val="21"/>
          <w:szCs w:val="21"/>
        </w:rPr>
        <w:t xml:space="preserve">1. </w:t>
      </w:r>
      <w:r>
        <w:rPr>
          <w:spacing w:val="10"/>
          <w:sz w:val="21"/>
          <w:szCs w:val="21"/>
        </w:rPr>
        <w:t xml:space="preserve">多性伴者  </w:t>
      </w:r>
      <w:r>
        <w:rPr>
          <w:rFonts w:ascii="宋体" w:hAnsi="宋体" w:eastAsia="宋体" w:cs="宋体"/>
          <w:spacing w:val="10"/>
          <w:sz w:val="21"/>
          <w:szCs w:val="21"/>
        </w:rPr>
        <w:t>多性伴者是</w:t>
      </w:r>
      <w:r>
        <w:rPr>
          <w:rFonts w:ascii="宋体" w:hAnsi="宋体" w:eastAsia="宋体" w:cs="宋体"/>
          <w:sz w:val="21"/>
          <w:szCs w:val="21"/>
        </w:rPr>
        <w:t>STDs</w:t>
      </w:r>
      <w:r>
        <w:rPr>
          <w:rFonts w:ascii="宋体" w:hAnsi="宋体" w:eastAsia="宋体" w:cs="宋体"/>
          <w:spacing w:val="53"/>
          <w:sz w:val="21"/>
          <w:szCs w:val="21"/>
        </w:rPr>
        <w:t xml:space="preserve"> </w:t>
      </w:r>
      <w:r>
        <w:rPr>
          <w:rFonts w:ascii="宋体" w:hAnsi="宋体" w:eastAsia="宋体" w:cs="宋体"/>
          <w:spacing w:val="10"/>
          <w:sz w:val="21"/>
          <w:szCs w:val="21"/>
        </w:rPr>
        <w:t>的重要传染源。多性伴的</w:t>
      </w:r>
      <w:r>
        <w:rPr>
          <w:rFonts w:ascii="宋体" w:hAnsi="宋体" w:eastAsia="宋体" w:cs="宋体"/>
          <w:sz w:val="21"/>
          <w:szCs w:val="21"/>
        </w:rPr>
        <w:t>STDs</w:t>
      </w:r>
      <w:r>
        <w:rPr>
          <w:rFonts w:ascii="宋体" w:hAnsi="宋体" w:eastAsia="宋体" w:cs="宋体"/>
          <w:spacing w:val="10"/>
          <w:sz w:val="21"/>
          <w:szCs w:val="21"/>
        </w:rPr>
        <w:t xml:space="preserve"> 患者可通过性伴向普通人</w:t>
      </w:r>
      <w:r>
        <w:rPr>
          <w:rFonts w:ascii="宋体" w:hAnsi="宋体" w:eastAsia="宋体" w:cs="宋体"/>
          <w:sz w:val="21"/>
          <w:szCs w:val="21"/>
        </w:rPr>
        <w:t xml:space="preserve"> </w:t>
      </w:r>
      <w:r>
        <w:rPr>
          <w:rFonts w:ascii="宋体" w:hAnsi="宋体" w:eastAsia="宋体" w:cs="宋体"/>
          <w:spacing w:val="9"/>
          <w:sz w:val="21"/>
          <w:szCs w:val="21"/>
        </w:rPr>
        <w:t>群传播</w:t>
      </w:r>
      <w:r>
        <w:rPr>
          <w:rFonts w:ascii="Times New Roman" w:hAnsi="Times New Roman" w:eastAsia="Times New Roman" w:cs="Times New Roman"/>
          <w:sz w:val="21"/>
          <w:szCs w:val="21"/>
        </w:rPr>
        <w:t>STDs</w:t>
      </w:r>
      <w:r>
        <w:rPr>
          <w:rFonts w:ascii="Times New Roman" w:hAnsi="Times New Roman" w:eastAsia="Times New Roman" w:cs="Times New Roman"/>
          <w:spacing w:val="9"/>
          <w:sz w:val="21"/>
          <w:szCs w:val="21"/>
        </w:rPr>
        <w:t>,</w:t>
      </w:r>
      <w:r>
        <w:rPr>
          <w:rFonts w:ascii="Times New Roman" w:hAnsi="Times New Roman" w:eastAsia="Times New Roman" w:cs="Times New Roman"/>
          <w:spacing w:val="40"/>
          <w:w w:val="101"/>
          <w:sz w:val="21"/>
          <w:szCs w:val="21"/>
        </w:rPr>
        <w:t xml:space="preserve"> </w:t>
      </w:r>
      <w:r>
        <w:rPr>
          <w:rFonts w:ascii="宋体" w:hAnsi="宋体" w:eastAsia="宋体" w:cs="宋体"/>
          <w:spacing w:val="9"/>
          <w:sz w:val="21"/>
          <w:szCs w:val="21"/>
        </w:rPr>
        <w:t>影响传播速度的关键因素是短时间内与其发生不安全</w:t>
      </w:r>
      <w:r>
        <w:rPr>
          <w:rFonts w:ascii="宋体" w:hAnsi="宋体" w:eastAsia="宋体" w:cs="宋体"/>
          <w:spacing w:val="8"/>
          <w:sz w:val="21"/>
          <w:szCs w:val="21"/>
        </w:rPr>
        <w:t>性接触的人数和经常发生商</w:t>
      </w:r>
      <w:r>
        <w:rPr>
          <w:rFonts w:ascii="宋体" w:hAnsi="宋体" w:eastAsia="宋体" w:cs="宋体"/>
          <w:sz w:val="21"/>
          <w:szCs w:val="21"/>
        </w:rPr>
        <w:t xml:space="preserve"> </w:t>
      </w:r>
      <w:r>
        <w:rPr>
          <w:rFonts w:ascii="宋体" w:hAnsi="宋体" w:eastAsia="宋体" w:cs="宋体"/>
          <w:spacing w:val="11"/>
          <w:sz w:val="21"/>
          <w:szCs w:val="21"/>
        </w:rPr>
        <w:t>业性行为的人在社会中所占的比例。频繁发生不安全性行为是多性伴者传播</w:t>
      </w:r>
      <w:r>
        <w:rPr>
          <w:rFonts w:ascii="宋体" w:hAnsi="宋体" w:eastAsia="宋体" w:cs="宋体"/>
          <w:sz w:val="21"/>
          <w:szCs w:val="21"/>
        </w:rPr>
        <w:t>STDs</w:t>
      </w:r>
      <w:r>
        <w:rPr>
          <w:rFonts w:ascii="宋体" w:hAnsi="宋体" w:eastAsia="宋体" w:cs="宋体"/>
          <w:spacing w:val="11"/>
          <w:sz w:val="21"/>
          <w:szCs w:val="21"/>
        </w:rPr>
        <w:t xml:space="preserve"> 的重要危险</w:t>
      </w:r>
      <w:r>
        <w:rPr>
          <w:rFonts w:ascii="宋体" w:hAnsi="宋体" w:eastAsia="宋体" w:cs="宋体"/>
          <w:spacing w:val="4"/>
          <w:sz w:val="21"/>
          <w:szCs w:val="21"/>
        </w:rPr>
        <w:t xml:space="preserve"> </w:t>
      </w:r>
      <w:r>
        <w:rPr>
          <w:rFonts w:ascii="宋体" w:hAnsi="宋体" w:eastAsia="宋体" w:cs="宋体"/>
          <w:spacing w:val="5"/>
          <w:sz w:val="21"/>
          <w:szCs w:val="21"/>
        </w:rPr>
        <w:t>行为。</w:t>
      </w:r>
    </w:p>
    <w:p w14:paraId="0D4A0EC6">
      <w:pPr>
        <w:spacing w:before="14" w:line="323" w:lineRule="auto"/>
        <w:ind w:left="689" w:right="92" w:firstLine="429"/>
        <w:jc w:val="both"/>
        <w:rPr>
          <w:rFonts w:ascii="宋体" w:hAnsi="宋体" w:eastAsia="宋体" w:cs="宋体"/>
          <w:sz w:val="21"/>
          <w:szCs w:val="21"/>
        </w:rPr>
      </w:pPr>
      <w:r>
        <w:rPr>
          <w:rFonts w:ascii="宋体" w:hAnsi="宋体" w:eastAsia="宋体" w:cs="宋体"/>
          <w:spacing w:val="-2"/>
          <w:sz w:val="21"/>
          <w:szCs w:val="21"/>
        </w:rPr>
        <w:t>部分地区男男性行为者</w:t>
      </w:r>
      <w:r>
        <w:rPr>
          <w:rFonts w:ascii="Times New Roman" w:hAnsi="Times New Roman" w:eastAsia="Times New Roman" w:cs="Times New Roman"/>
          <w:spacing w:val="-2"/>
          <w:sz w:val="21"/>
          <w:szCs w:val="21"/>
        </w:rPr>
        <w:t>(men</w:t>
      </w:r>
      <w:r>
        <w:rPr>
          <w:rFonts w:ascii="Times New Roman" w:hAnsi="Times New Roman" w:eastAsia="Times New Roman" w:cs="Times New Roman"/>
          <w:spacing w:val="16"/>
          <w:w w:val="101"/>
          <w:sz w:val="21"/>
          <w:szCs w:val="21"/>
        </w:rPr>
        <w:t xml:space="preserve"> </w:t>
      </w:r>
      <w:r>
        <w:rPr>
          <w:rFonts w:ascii="Times New Roman" w:hAnsi="Times New Roman" w:eastAsia="Times New Roman" w:cs="Times New Roman"/>
          <w:spacing w:val="-2"/>
          <w:sz w:val="21"/>
          <w:szCs w:val="21"/>
        </w:rPr>
        <w:t>who</w:t>
      </w:r>
      <w:r>
        <w:rPr>
          <w:rFonts w:ascii="Times New Roman" w:hAnsi="Times New Roman" w:eastAsia="Times New Roman" w:cs="Times New Roman"/>
          <w:spacing w:val="15"/>
          <w:w w:val="101"/>
          <w:sz w:val="21"/>
          <w:szCs w:val="21"/>
        </w:rPr>
        <w:t xml:space="preserve"> </w:t>
      </w:r>
      <w:r>
        <w:rPr>
          <w:rFonts w:ascii="Times New Roman" w:hAnsi="Times New Roman" w:eastAsia="Times New Roman" w:cs="Times New Roman"/>
          <w:spacing w:val="-2"/>
          <w:sz w:val="21"/>
          <w:szCs w:val="21"/>
        </w:rPr>
        <w:t>have</w:t>
      </w:r>
      <w:r>
        <w:rPr>
          <w:rFonts w:ascii="Times New Roman" w:hAnsi="Times New Roman" w:eastAsia="Times New Roman" w:cs="Times New Roman"/>
          <w:spacing w:val="24"/>
          <w:sz w:val="21"/>
          <w:szCs w:val="21"/>
        </w:rPr>
        <w:t xml:space="preserve"> </w:t>
      </w:r>
      <w:r>
        <w:rPr>
          <w:rFonts w:ascii="Times New Roman" w:hAnsi="Times New Roman" w:eastAsia="Times New Roman" w:cs="Times New Roman"/>
          <w:spacing w:val="-2"/>
          <w:sz w:val="21"/>
          <w:szCs w:val="21"/>
        </w:rPr>
        <w:t>sex</w:t>
      </w:r>
      <w:r>
        <w:rPr>
          <w:rFonts w:ascii="Times New Roman" w:hAnsi="Times New Roman" w:eastAsia="Times New Roman" w:cs="Times New Roman"/>
          <w:spacing w:val="15"/>
          <w:sz w:val="21"/>
          <w:szCs w:val="21"/>
        </w:rPr>
        <w:t xml:space="preserve"> </w:t>
      </w:r>
      <w:r>
        <w:rPr>
          <w:rFonts w:ascii="Times New Roman" w:hAnsi="Times New Roman" w:eastAsia="Times New Roman" w:cs="Times New Roman"/>
          <w:spacing w:val="-2"/>
          <w:sz w:val="21"/>
          <w:szCs w:val="21"/>
        </w:rPr>
        <w:t>with</w:t>
      </w:r>
      <w:r>
        <w:rPr>
          <w:rFonts w:ascii="Times New Roman" w:hAnsi="Times New Roman" w:eastAsia="Times New Roman" w:cs="Times New Roman"/>
          <w:spacing w:val="15"/>
          <w:w w:val="101"/>
          <w:sz w:val="21"/>
          <w:szCs w:val="21"/>
        </w:rPr>
        <w:t xml:space="preserve"> </w:t>
      </w:r>
      <w:r>
        <w:rPr>
          <w:rFonts w:ascii="Times New Roman" w:hAnsi="Times New Roman" w:eastAsia="Times New Roman" w:cs="Times New Roman"/>
          <w:spacing w:val="-2"/>
          <w:sz w:val="21"/>
          <w:szCs w:val="21"/>
        </w:rPr>
        <w:t>men,MSM)</w:t>
      </w:r>
      <w:r>
        <w:rPr>
          <w:rFonts w:ascii="宋体" w:hAnsi="宋体" w:eastAsia="宋体" w:cs="宋体"/>
          <w:spacing w:val="-2"/>
          <w:sz w:val="21"/>
          <w:szCs w:val="21"/>
        </w:rPr>
        <w:t>的</w:t>
      </w:r>
      <w:r>
        <w:rPr>
          <w:rFonts w:ascii="宋体" w:hAnsi="宋体" w:eastAsia="宋体" w:cs="宋体"/>
          <w:spacing w:val="-60"/>
          <w:sz w:val="21"/>
          <w:szCs w:val="21"/>
        </w:rPr>
        <w:t xml:space="preserve"> </w:t>
      </w:r>
      <w:r>
        <w:rPr>
          <w:rFonts w:ascii="Times New Roman" w:hAnsi="Times New Roman" w:eastAsia="Times New Roman" w:cs="Times New Roman"/>
          <w:spacing w:val="-2"/>
          <w:sz w:val="21"/>
          <w:szCs w:val="21"/>
        </w:rPr>
        <w:t>STDs</w:t>
      </w:r>
      <w:r>
        <w:rPr>
          <w:rFonts w:ascii="Times New Roman" w:hAnsi="Times New Roman" w:eastAsia="Times New Roman" w:cs="Times New Roman"/>
          <w:spacing w:val="-17"/>
          <w:sz w:val="21"/>
          <w:szCs w:val="21"/>
        </w:rPr>
        <w:t xml:space="preserve"> </w:t>
      </w:r>
      <w:r>
        <w:rPr>
          <w:rFonts w:ascii="宋体" w:hAnsi="宋体" w:eastAsia="宋体" w:cs="宋体"/>
          <w:spacing w:val="-2"/>
          <w:sz w:val="21"/>
          <w:szCs w:val="21"/>
        </w:rPr>
        <w:t>感染率急剧上升，成为</w:t>
      </w:r>
      <w:r>
        <w:rPr>
          <w:rFonts w:ascii="Times New Roman" w:hAnsi="Times New Roman" w:eastAsia="Times New Roman" w:cs="Times New Roman"/>
          <w:spacing w:val="-2"/>
          <w:sz w:val="21"/>
          <w:szCs w:val="21"/>
        </w:rPr>
        <w:t>STDs</w:t>
      </w:r>
      <w:r>
        <w:rPr>
          <w:rFonts w:ascii="Times New Roman" w:hAnsi="Times New Roman" w:eastAsia="Times New Roman" w:cs="Times New Roman"/>
          <w:sz w:val="21"/>
          <w:szCs w:val="21"/>
        </w:rPr>
        <w:t xml:space="preserve"> </w:t>
      </w:r>
      <w:r>
        <w:rPr>
          <w:rFonts w:ascii="宋体" w:hAnsi="宋体" w:eastAsia="宋体" w:cs="宋体"/>
          <w:spacing w:val="-4"/>
          <w:sz w:val="21"/>
          <w:szCs w:val="21"/>
        </w:rPr>
        <w:t>重要的传染源。</w:t>
      </w:r>
      <w:r>
        <w:rPr>
          <w:rFonts w:ascii="Times New Roman" w:hAnsi="Times New Roman" w:eastAsia="Times New Roman" w:cs="Times New Roman"/>
          <w:spacing w:val="-4"/>
          <w:sz w:val="21"/>
          <w:szCs w:val="21"/>
        </w:rPr>
        <w:t xml:space="preserve">HIV </w:t>
      </w:r>
      <w:r>
        <w:rPr>
          <w:rFonts w:ascii="宋体" w:hAnsi="宋体" w:eastAsia="宋体" w:cs="宋体"/>
          <w:spacing w:val="-4"/>
          <w:sz w:val="21"/>
          <w:szCs w:val="21"/>
        </w:rPr>
        <w:t>感染、乙型肝炎、淋病、梅毒等多种</w:t>
      </w:r>
      <w:r>
        <w:rPr>
          <w:rFonts w:ascii="Times New Roman" w:hAnsi="Times New Roman" w:eastAsia="Times New Roman" w:cs="Times New Roman"/>
          <w:spacing w:val="-4"/>
          <w:sz w:val="21"/>
          <w:szCs w:val="21"/>
        </w:rPr>
        <w:t xml:space="preserve">STDs </w:t>
      </w:r>
      <w:r>
        <w:rPr>
          <w:rFonts w:ascii="宋体" w:hAnsi="宋体" w:eastAsia="宋体" w:cs="宋体"/>
          <w:spacing w:val="-4"/>
          <w:sz w:val="21"/>
          <w:szCs w:val="21"/>
        </w:rPr>
        <w:t>可通</w:t>
      </w:r>
      <w:r>
        <w:rPr>
          <w:rFonts w:ascii="宋体" w:hAnsi="宋体" w:eastAsia="宋体" w:cs="宋体"/>
          <w:spacing w:val="-5"/>
          <w:sz w:val="21"/>
          <w:szCs w:val="21"/>
        </w:rPr>
        <w:t>过男男性行为传播。多性伴的双</w:t>
      </w:r>
      <w:r>
        <w:rPr>
          <w:rFonts w:ascii="宋体" w:hAnsi="宋体" w:eastAsia="宋体" w:cs="宋体"/>
          <w:sz w:val="21"/>
          <w:szCs w:val="21"/>
        </w:rPr>
        <w:t xml:space="preserve"> </w:t>
      </w:r>
      <w:r>
        <w:rPr>
          <w:rFonts w:ascii="宋体" w:hAnsi="宋体" w:eastAsia="宋体" w:cs="宋体"/>
          <w:spacing w:val="3"/>
          <w:sz w:val="21"/>
          <w:szCs w:val="21"/>
        </w:rPr>
        <w:t>性性行为者也是</w:t>
      </w:r>
      <w:r>
        <w:rPr>
          <w:rFonts w:ascii="Times New Roman" w:hAnsi="Times New Roman" w:eastAsia="Times New Roman" w:cs="Times New Roman"/>
          <w:sz w:val="21"/>
          <w:szCs w:val="21"/>
        </w:rPr>
        <w:t>STDs</w:t>
      </w:r>
      <w:r>
        <w:rPr>
          <w:rFonts w:ascii="宋体" w:hAnsi="宋体" w:eastAsia="宋体" w:cs="宋体"/>
          <w:spacing w:val="3"/>
          <w:sz w:val="21"/>
          <w:szCs w:val="21"/>
        </w:rPr>
        <w:t>的高危人群。</w:t>
      </w:r>
    </w:p>
    <w:p w14:paraId="4798E9E9">
      <w:pPr>
        <w:pStyle w:val="2"/>
        <w:spacing w:before="1" w:line="268" w:lineRule="auto"/>
        <w:ind w:left="689" w:right="124" w:firstLine="429"/>
        <w:rPr>
          <w:rFonts w:ascii="宋体" w:hAnsi="宋体" w:eastAsia="宋体" w:cs="宋体"/>
          <w:sz w:val="21"/>
          <w:szCs w:val="21"/>
        </w:rPr>
      </w:pPr>
      <w:r>
        <w:rPr>
          <w:rFonts w:ascii="Times New Roman" w:hAnsi="Times New Roman" w:eastAsia="Times New Roman" w:cs="Times New Roman"/>
          <w:spacing w:val="5"/>
          <w:sz w:val="21"/>
          <w:szCs w:val="21"/>
        </w:rPr>
        <w:t>2.</w:t>
      </w:r>
      <w:r>
        <w:rPr>
          <w:rFonts w:ascii="Times New Roman" w:hAnsi="Times New Roman" w:eastAsia="Times New Roman" w:cs="Times New Roman"/>
          <w:spacing w:val="32"/>
          <w:w w:val="101"/>
          <w:sz w:val="21"/>
          <w:szCs w:val="21"/>
        </w:rPr>
        <w:t xml:space="preserve">  </w:t>
      </w:r>
      <w:r>
        <w:rPr>
          <w:spacing w:val="5"/>
          <w:sz w:val="21"/>
          <w:szCs w:val="21"/>
        </w:rPr>
        <w:t>特殊人群</w:t>
      </w:r>
      <w:r>
        <w:rPr>
          <w:spacing w:val="84"/>
          <w:sz w:val="21"/>
          <w:szCs w:val="21"/>
        </w:rPr>
        <w:t xml:space="preserve"> </w:t>
      </w:r>
      <w:r>
        <w:rPr>
          <w:rFonts w:ascii="Times New Roman" w:hAnsi="Times New Roman" w:eastAsia="Times New Roman" w:cs="Times New Roman"/>
          <w:sz w:val="21"/>
          <w:szCs w:val="21"/>
        </w:rPr>
        <w:t>STDs</w:t>
      </w:r>
      <w:r>
        <w:rPr>
          <w:rFonts w:ascii="Times New Roman" w:hAnsi="Times New Roman" w:eastAsia="Times New Roman" w:cs="Times New Roman"/>
          <w:spacing w:val="5"/>
          <w:sz w:val="21"/>
          <w:szCs w:val="21"/>
        </w:rPr>
        <w:t xml:space="preserve"> </w:t>
      </w:r>
      <w:r>
        <w:rPr>
          <w:rFonts w:ascii="宋体" w:hAnsi="宋体" w:eastAsia="宋体" w:cs="宋体"/>
          <w:spacing w:val="5"/>
          <w:sz w:val="21"/>
          <w:szCs w:val="21"/>
        </w:rPr>
        <w:t>患者的性伴与配偶是</w:t>
      </w:r>
      <w:r>
        <w:rPr>
          <w:rFonts w:ascii="Times New Roman" w:hAnsi="Times New Roman" w:eastAsia="Times New Roman" w:cs="Times New Roman"/>
          <w:sz w:val="21"/>
          <w:szCs w:val="21"/>
        </w:rPr>
        <w:t>STDs</w:t>
      </w:r>
      <w:r>
        <w:rPr>
          <w:rFonts w:ascii="Times New Roman" w:hAnsi="Times New Roman" w:eastAsia="Times New Roman" w:cs="Times New Roman"/>
          <w:spacing w:val="5"/>
          <w:sz w:val="21"/>
          <w:szCs w:val="21"/>
        </w:rPr>
        <w:t xml:space="preserve"> </w:t>
      </w:r>
      <w:r>
        <w:rPr>
          <w:rFonts w:ascii="宋体" w:hAnsi="宋体" w:eastAsia="宋体" w:cs="宋体"/>
          <w:spacing w:val="5"/>
          <w:sz w:val="21"/>
          <w:szCs w:val="21"/>
        </w:rPr>
        <w:t>的高危人群。静脉注射吸毒人群也是</w:t>
      </w:r>
      <w:r>
        <w:rPr>
          <w:rFonts w:ascii="Times New Roman" w:hAnsi="Times New Roman" w:eastAsia="Times New Roman" w:cs="Times New Roman"/>
          <w:sz w:val="21"/>
          <w:szCs w:val="21"/>
        </w:rPr>
        <w:t>HIV</w:t>
      </w:r>
      <w:r>
        <w:rPr>
          <w:rFonts w:ascii="Times New Roman" w:hAnsi="Times New Roman" w:eastAsia="Times New Roman" w:cs="Times New Roman"/>
          <w:spacing w:val="5"/>
          <w:sz w:val="21"/>
          <w:szCs w:val="21"/>
        </w:rPr>
        <w:t xml:space="preserve"> </w:t>
      </w:r>
      <w:r>
        <w:rPr>
          <w:rFonts w:ascii="宋体" w:hAnsi="宋体" w:eastAsia="宋体" w:cs="宋体"/>
          <w:spacing w:val="5"/>
          <w:sz w:val="21"/>
          <w:szCs w:val="21"/>
        </w:rPr>
        <w:t>感</w:t>
      </w:r>
      <w:r>
        <w:rPr>
          <w:rFonts w:ascii="宋体" w:hAnsi="宋体" w:eastAsia="宋体" w:cs="宋体"/>
          <w:sz w:val="21"/>
          <w:szCs w:val="21"/>
        </w:rPr>
        <w:t xml:space="preserve"> </w:t>
      </w:r>
      <w:r>
        <w:rPr>
          <w:rFonts w:ascii="宋体" w:hAnsi="宋体" w:eastAsia="宋体" w:cs="宋体"/>
          <w:spacing w:val="-3"/>
          <w:sz w:val="21"/>
          <w:szCs w:val="21"/>
        </w:rPr>
        <w:t>染/</w:t>
      </w:r>
      <w:r>
        <w:rPr>
          <w:rFonts w:ascii="Times New Roman" w:hAnsi="Times New Roman" w:eastAsia="Times New Roman" w:cs="Times New Roman"/>
          <w:spacing w:val="-3"/>
          <w:sz w:val="21"/>
          <w:szCs w:val="21"/>
        </w:rPr>
        <w:t>AIDS</w:t>
      </w:r>
      <w:r>
        <w:rPr>
          <w:rFonts w:ascii="宋体" w:hAnsi="宋体" w:eastAsia="宋体" w:cs="宋体"/>
          <w:spacing w:val="-3"/>
          <w:sz w:val="21"/>
          <w:szCs w:val="21"/>
        </w:rPr>
        <w:t>、梅毒及肝炎等</w:t>
      </w:r>
      <w:r>
        <w:rPr>
          <w:rFonts w:ascii="Times New Roman" w:hAnsi="Times New Roman" w:eastAsia="Times New Roman" w:cs="Times New Roman"/>
          <w:spacing w:val="-3"/>
          <w:sz w:val="21"/>
          <w:szCs w:val="21"/>
        </w:rPr>
        <w:t>STDs</w:t>
      </w:r>
      <w:r>
        <w:rPr>
          <w:rFonts w:ascii="宋体" w:hAnsi="宋体" w:eastAsia="宋体" w:cs="宋体"/>
          <w:spacing w:val="-3"/>
          <w:sz w:val="21"/>
          <w:szCs w:val="21"/>
        </w:rPr>
        <w:t>不可忽视的高危人群。</w:t>
      </w:r>
    </w:p>
    <w:p w14:paraId="2657DE78">
      <w:pPr>
        <w:pStyle w:val="2"/>
        <w:spacing w:before="109" w:line="300" w:lineRule="auto"/>
        <w:ind w:left="689" w:firstLine="429"/>
        <w:rPr>
          <w:rFonts w:ascii="宋体" w:hAnsi="宋体" w:eastAsia="宋体" w:cs="宋体"/>
          <w:sz w:val="21"/>
          <w:szCs w:val="21"/>
        </w:rPr>
      </w:pPr>
      <w:r>
        <w:rPr>
          <w:rFonts w:ascii="Times New Roman" w:hAnsi="Times New Roman" w:eastAsia="Times New Roman" w:cs="Times New Roman"/>
          <w:spacing w:val="-5"/>
          <w:sz w:val="21"/>
          <w:szCs w:val="21"/>
        </w:rPr>
        <w:t>3.</w:t>
      </w:r>
      <w:r>
        <w:rPr>
          <w:rFonts w:ascii="Times New Roman" w:hAnsi="Times New Roman" w:eastAsia="Times New Roman" w:cs="Times New Roman"/>
          <w:spacing w:val="16"/>
          <w:sz w:val="21"/>
          <w:szCs w:val="21"/>
        </w:rPr>
        <w:t xml:space="preserve">  </w:t>
      </w:r>
      <w:r>
        <w:rPr>
          <w:spacing w:val="-5"/>
          <w:sz w:val="21"/>
          <w:szCs w:val="21"/>
        </w:rPr>
        <w:t>其他</w:t>
      </w:r>
      <w:r>
        <w:rPr>
          <w:spacing w:val="96"/>
          <w:sz w:val="21"/>
          <w:szCs w:val="21"/>
        </w:rPr>
        <w:t xml:space="preserve"> </w:t>
      </w:r>
      <w:r>
        <w:rPr>
          <w:rFonts w:ascii="宋体" w:hAnsi="宋体" w:eastAsia="宋体" w:cs="宋体"/>
          <w:spacing w:val="-5"/>
          <w:sz w:val="21"/>
          <w:szCs w:val="21"/>
        </w:rPr>
        <w:t>有些</w:t>
      </w:r>
      <w:r>
        <w:rPr>
          <w:rFonts w:ascii="Times New Roman" w:hAnsi="Times New Roman" w:eastAsia="Times New Roman" w:cs="Times New Roman"/>
          <w:spacing w:val="-5"/>
          <w:sz w:val="21"/>
          <w:szCs w:val="21"/>
        </w:rPr>
        <w:t xml:space="preserve">STDs </w:t>
      </w:r>
      <w:r>
        <w:rPr>
          <w:rFonts w:ascii="宋体" w:hAnsi="宋体" w:eastAsia="宋体" w:cs="宋体"/>
          <w:spacing w:val="-5"/>
          <w:sz w:val="21"/>
          <w:szCs w:val="21"/>
        </w:rPr>
        <w:t>如</w:t>
      </w:r>
      <w:r>
        <w:rPr>
          <w:rFonts w:ascii="宋体" w:hAnsi="宋体" w:eastAsia="宋体" w:cs="宋体"/>
          <w:spacing w:val="-44"/>
          <w:sz w:val="21"/>
          <w:szCs w:val="21"/>
        </w:rPr>
        <w:t xml:space="preserve"> </w:t>
      </w:r>
      <w:r>
        <w:rPr>
          <w:rFonts w:ascii="Times New Roman" w:hAnsi="Times New Roman" w:eastAsia="Times New Roman" w:cs="Times New Roman"/>
          <w:spacing w:val="-5"/>
          <w:sz w:val="21"/>
          <w:szCs w:val="21"/>
        </w:rPr>
        <w:t>AIDS</w:t>
      </w:r>
      <w:r>
        <w:rPr>
          <w:rFonts w:ascii="宋体" w:hAnsi="宋体" w:eastAsia="宋体" w:cs="宋体"/>
          <w:spacing w:val="-5"/>
          <w:sz w:val="21"/>
          <w:szCs w:val="21"/>
        </w:rPr>
        <w:t>、乙型肝炎、丙型肝炎等可通过血液传播，感染者的血液中含有病</w:t>
      </w:r>
      <w:r>
        <w:rPr>
          <w:rFonts w:ascii="宋体" w:hAnsi="宋体" w:eastAsia="宋体" w:cs="宋体"/>
          <w:sz w:val="21"/>
          <w:szCs w:val="21"/>
        </w:rPr>
        <w:t xml:space="preserve">  </w:t>
      </w:r>
      <w:r>
        <w:rPr>
          <w:rFonts w:ascii="宋体" w:hAnsi="宋体" w:eastAsia="宋体" w:cs="宋体"/>
          <w:spacing w:val="9"/>
          <w:sz w:val="21"/>
          <w:szCs w:val="21"/>
        </w:rPr>
        <w:t>原体，输入这样的血液或血制品可使人发生相应的</w:t>
      </w:r>
      <w:r>
        <w:rPr>
          <w:rFonts w:ascii="Times New Roman" w:hAnsi="Times New Roman" w:eastAsia="Times New Roman" w:cs="Times New Roman"/>
          <w:sz w:val="21"/>
          <w:szCs w:val="21"/>
        </w:rPr>
        <w:t>STDs</w:t>
      </w:r>
      <w:r>
        <w:rPr>
          <w:rFonts w:ascii="Times New Roman" w:hAnsi="Times New Roman" w:eastAsia="Times New Roman" w:cs="Times New Roman"/>
          <w:spacing w:val="-23"/>
          <w:sz w:val="21"/>
          <w:szCs w:val="21"/>
        </w:rPr>
        <w:t xml:space="preserve"> </w:t>
      </w:r>
      <w:r>
        <w:rPr>
          <w:rFonts w:ascii="宋体" w:hAnsi="宋体" w:eastAsia="宋体" w:cs="宋体"/>
          <w:spacing w:val="9"/>
          <w:sz w:val="21"/>
          <w:szCs w:val="21"/>
        </w:rPr>
        <w:t>。多</w:t>
      </w:r>
      <w:r>
        <w:rPr>
          <w:rFonts w:ascii="宋体" w:hAnsi="宋体" w:eastAsia="宋体" w:cs="宋体"/>
          <w:spacing w:val="8"/>
          <w:sz w:val="21"/>
          <w:szCs w:val="21"/>
        </w:rPr>
        <w:t>次接受输血和血制品者风险更大。</w:t>
      </w:r>
      <w:r>
        <w:rPr>
          <w:rFonts w:ascii="宋体" w:hAnsi="宋体" w:eastAsia="宋体" w:cs="宋体"/>
          <w:sz w:val="21"/>
          <w:szCs w:val="21"/>
        </w:rPr>
        <w:t xml:space="preserve"> </w:t>
      </w:r>
      <w:r>
        <w:rPr>
          <w:rFonts w:ascii="宋体" w:hAnsi="宋体" w:eastAsia="宋体" w:cs="宋体"/>
          <w:spacing w:val="7"/>
          <w:sz w:val="21"/>
          <w:szCs w:val="21"/>
        </w:rPr>
        <w:t>由于涉及患者的隐私，关于</w:t>
      </w:r>
      <w:r>
        <w:rPr>
          <w:rFonts w:ascii="Times New Roman" w:hAnsi="Times New Roman" w:eastAsia="Times New Roman" w:cs="Times New Roman"/>
          <w:sz w:val="21"/>
          <w:szCs w:val="21"/>
        </w:rPr>
        <w:t>STDs</w:t>
      </w:r>
      <w:r>
        <w:rPr>
          <w:rFonts w:ascii="Times New Roman" w:hAnsi="Times New Roman" w:eastAsia="Times New Roman" w:cs="Times New Roman"/>
          <w:spacing w:val="22"/>
          <w:w w:val="101"/>
          <w:sz w:val="21"/>
          <w:szCs w:val="21"/>
        </w:rPr>
        <w:t xml:space="preserve"> </w:t>
      </w:r>
      <w:r>
        <w:rPr>
          <w:rFonts w:ascii="宋体" w:hAnsi="宋体" w:eastAsia="宋体" w:cs="宋体"/>
          <w:spacing w:val="7"/>
          <w:sz w:val="21"/>
          <w:szCs w:val="21"/>
        </w:rPr>
        <w:t>传染来源的调查往往较难开展</w:t>
      </w:r>
      <w:r>
        <w:rPr>
          <w:rFonts w:ascii="宋体" w:hAnsi="宋体" w:eastAsia="宋体" w:cs="宋体"/>
          <w:spacing w:val="6"/>
          <w:sz w:val="21"/>
          <w:szCs w:val="21"/>
        </w:rPr>
        <w:t>，大部分</w:t>
      </w:r>
      <w:r>
        <w:rPr>
          <w:rFonts w:ascii="Times New Roman" w:hAnsi="Times New Roman" w:eastAsia="Times New Roman" w:cs="Times New Roman"/>
          <w:sz w:val="21"/>
          <w:szCs w:val="21"/>
        </w:rPr>
        <w:t>STDs</w:t>
      </w:r>
      <w:r>
        <w:rPr>
          <w:rFonts w:ascii="Times New Roman" w:hAnsi="Times New Roman" w:eastAsia="Times New Roman" w:cs="Times New Roman"/>
          <w:spacing w:val="32"/>
          <w:w w:val="101"/>
          <w:sz w:val="21"/>
          <w:szCs w:val="21"/>
        </w:rPr>
        <w:t xml:space="preserve"> </w:t>
      </w:r>
      <w:r>
        <w:rPr>
          <w:rFonts w:ascii="宋体" w:hAnsi="宋体" w:eastAsia="宋体" w:cs="宋体"/>
          <w:spacing w:val="6"/>
          <w:sz w:val="21"/>
          <w:szCs w:val="21"/>
        </w:rPr>
        <w:t>患者的感染来源</w:t>
      </w:r>
      <w:r>
        <w:rPr>
          <w:rFonts w:ascii="宋体" w:hAnsi="宋体" w:eastAsia="宋体" w:cs="宋体"/>
          <w:sz w:val="21"/>
          <w:szCs w:val="21"/>
        </w:rPr>
        <w:t xml:space="preserve">  </w:t>
      </w:r>
      <w:r>
        <w:rPr>
          <w:rFonts w:ascii="宋体" w:hAnsi="宋体" w:eastAsia="宋体" w:cs="宋体"/>
          <w:spacing w:val="5"/>
          <w:sz w:val="21"/>
          <w:szCs w:val="21"/>
        </w:rPr>
        <w:t>不详。</w:t>
      </w:r>
    </w:p>
    <w:p w14:paraId="7459FBC3">
      <w:pPr>
        <w:spacing w:line="300" w:lineRule="auto"/>
        <w:rPr>
          <w:rFonts w:ascii="宋体" w:hAnsi="宋体" w:eastAsia="宋体" w:cs="宋体"/>
          <w:sz w:val="21"/>
          <w:szCs w:val="21"/>
        </w:rPr>
        <w:sectPr>
          <w:footerReference r:id="rId349" w:type="default"/>
          <w:pgSz w:w="11900" w:h="16820"/>
          <w:pgMar w:top="400" w:right="1394" w:bottom="836" w:left="780" w:header="0" w:footer="646" w:gutter="0"/>
          <w:cols w:space="720" w:num="1"/>
        </w:sectPr>
      </w:pPr>
    </w:p>
    <w:p w14:paraId="18AA0323">
      <w:pPr>
        <w:pStyle w:val="2"/>
        <w:spacing w:before="213" w:line="221" w:lineRule="auto"/>
        <w:ind w:left="6902"/>
        <w:rPr>
          <w:sz w:val="20"/>
          <w:szCs w:val="20"/>
        </w:rPr>
      </w:pPr>
      <w:bookmarkStart w:id="541" w:name="bookmark594"/>
      <w:bookmarkEnd w:id="541"/>
      <w:r>
        <w:rPr>
          <w:b/>
          <w:bCs/>
          <w:spacing w:val="-20"/>
          <w:w w:val="98"/>
          <w:sz w:val="20"/>
          <w:szCs w:val="20"/>
        </w:rPr>
        <w:t>第二十一章</w:t>
      </w:r>
      <w:r>
        <w:rPr>
          <w:spacing w:val="-20"/>
          <w:w w:val="98"/>
          <w:sz w:val="20"/>
          <w:szCs w:val="20"/>
        </w:rPr>
        <w:t xml:space="preserve"> </w:t>
      </w:r>
      <w:r>
        <w:rPr>
          <w:b/>
          <w:bCs/>
          <w:spacing w:val="-20"/>
          <w:w w:val="98"/>
          <w:sz w:val="20"/>
          <w:szCs w:val="20"/>
        </w:rPr>
        <w:t>性传播疾病</w:t>
      </w:r>
    </w:p>
    <w:p w14:paraId="7B2D8DC2">
      <w:pPr>
        <w:spacing w:line="243" w:lineRule="auto"/>
        <w:rPr>
          <w:rFonts w:ascii="Arial"/>
          <w:sz w:val="21"/>
        </w:rPr>
      </w:pPr>
    </w:p>
    <w:p w14:paraId="035DFA53">
      <w:pPr>
        <w:spacing w:line="243" w:lineRule="auto"/>
        <w:rPr>
          <w:rFonts w:ascii="Arial"/>
          <w:sz w:val="21"/>
        </w:rPr>
      </w:pPr>
    </w:p>
    <w:p w14:paraId="221BCD63">
      <w:pPr>
        <w:spacing w:line="243" w:lineRule="auto"/>
        <w:rPr>
          <w:rFonts w:ascii="Arial"/>
          <w:sz w:val="21"/>
        </w:rPr>
      </w:pPr>
    </w:p>
    <w:p w14:paraId="4768AF0E">
      <w:pPr>
        <w:pStyle w:val="2"/>
        <w:spacing w:before="78" w:line="222" w:lineRule="auto"/>
        <w:ind w:left="423"/>
        <w:outlineLvl w:val="4"/>
        <w:rPr>
          <w:sz w:val="24"/>
          <w:szCs w:val="24"/>
        </w:rPr>
      </w:pPr>
      <w:bookmarkStart w:id="542" w:name="bookmark335"/>
      <w:bookmarkEnd w:id="542"/>
      <w:r>
        <w:rPr>
          <w:b/>
          <w:bCs/>
          <w:spacing w:val="-4"/>
          <w:sz w:val="24"/>
          <w:szCs w:val="24"/>
        </w:rPr>
        <w:t>二</w:t>
      </w:r>
      <w:r>
        <w:rPr>
          <w:spacing w:val="-47"/>
          <w:sz w:val="24"/>
          <w:szCs w:val="24"/>
        </w:rPr>
        <w:t xml:space="preserve"> </w:t>
      </w:r>
      <w:r>
        <w:rPr>
          <w:b/>
          <w:bCs/>
          <w:spacing w:val="-4"/>
          <w:sz w:val="24"/>
          <w:szCs w:val="24"/>
        </w:rPr>
        <w:t>、传播途径</w:t>
      </w:r>
    </w:p>
    <w:p w14:paraId="6F3E70C0">
      <w:pPr>
        <w:pStyle w:val="2"/>
        <w:spacing w:before="273" w:line="222" w:lineRule="auto"/>
        <w:ind w:left="420"/>
        <w:rPr>
          <w:sz w:val="20"/>
          <w:szCs w:val="20"/>
        </w:rPr>
      </w:pPr>
      <w:r>
        <w:rPr>
          <w:spacing w:val="16"/>
          <w:sz w:val="20"/>
          <w:szCs w:val="20"/>
        </w:rPr>
        <w:t>(</w:t>
      </w:r>
      <w:r>
        <w:rPr>
          <w:spacing w:val="-47"/>
          <w:sz w:val="20"/>
          <w:szCs w:val="20"/>
        </w:rPr>
        <w:t xml:space="preserve"> </w:t>
      </w:r>
      <w:r>
        <w:rPr>
          <w:spacing w:val="16"/>
          <w:sz w:val="20"/>
          <w:szCs w:val="20"/>
        </w:rPr>
        <w:t>一</w:t>
      </w:r>
      <w:r>
        <w:rPr>
          <w:spacing w:val="-56"/>
          <w:sz w:val="20"/>
          <w:szCs w:val="20"/>
        </w:rPr>
        <w:t xml:space="preserve"> </w:t>
      </w:r>
      <w:r>
        <w:rPr>
          <w:spacing w:val="16"/>
          <w:sz w:val="20"/>
          <w:szCs w:val="20"/>
        </w:rPr>
        <w:t>)性行为传播</w:t>
      </w:r>
    </w:p>
    <w:p w14:paraId="7764879F">
      <w:pPr>
        <w:spacing w:before="118" w:line="344" w:lineRule="auto"/>
        <w:ind w:right="613" w:firstLine="400"/>
        <w:jc w:val="both"/>
        <w:rPr>
          <w:rFonts w:ascii="宋体" w:hAnsi="宋体" w:eastAsia="宋体" w:cs="宋体"/>
          <w:sz w:val="20"/>
          <w:szCs w:val="20"/>
        </w:rPr>
      </w:pPr>
      <w:r>
        <w:rPr>
          <w:rFonts w:ascii="宋体" w:hAnsi="宋体" w:eastAsia="宋体" w:cs="宋体"/>
          <w:spacing w:val="3"/>
          <w:sz w:val="20"/>
          <w:szCs w:val="20"/>
        </w:rPr>
        <w:t>性行为的直接接触(包括异性、同性),如阴道性交、肛交和口交，是</w:t>
      </w:r>
      <w:r>
        <w:rPr>
          <w:rFonts w:ascii="宋体" w:hAnsi="宋体" w:eastAsia="宋体" w:cs="宋体"/>
          <w:sz w:val="20"/>
          <w:szCs w:val="20"/>
        </w:rPr>
        <w:t>STDs</w:t>
      </w:r>
      <w:r>
        <w:rPr>
          <w:rFonts w:ascii="宋体" w:hAnsi="宋体" w:eastAsia="宋体" w:cs="宋体"/>
          <w:spacing w:val="3"/>
          <w:sz w:val="20"/>
          <w:szCs w:val="20"/>
        </w:rPr>
        <w:t xml:space="preserve"> 的主要传播途径。此</w:t>
      </w:r>
      <w:r>
        <w:rPr>
          <w:rFonts w:ascii="宋体" w:hAnsi="宋体" w:eastAsia="宋体" w:cs="宋体"/>
          <w:spacing w:val="13"/>
          <w:sz w:val="20"/>
          <w:szCs w:val="20"/>
        </w:rPr>
        <w:t xml:space="preserve"> </w:t>
      </w:r>
      <w:r>
        <w:rPr>
          <w:rFonts w:ascii="宋体" w:hAnsi="宋体" w:eastAsia="宋体" w:cs="宋体"/>
          <w:spacing w:val="4"/>
          <w:sz w:val="20"/>
          <w:szCs w:val="20"/>
        </w:rPr>
        <w:t>外，接吻、触摸等行为也可传播某些</w:t>
      </w:r>
      <w:r>
        <w:rPr>
          <w:rFonts w:ascii="宋体" w:hAnsi="宋体" w:eastAsia="宋体" w:cs="宋体"/>
          <w:sz w:val="20"/>
          <w:szCs w:val="20"/>
        </w:rPr>
        <w:t>STDs</w:t>
      </w:r>
      <w:r>
        <w:rPr>
          <w:rFonts w:ascii="宋体" w:hAnsi="宋体" w:eastAsia="宋体" w:cs="宋体"/>
          <w:spacing w:val="4"/>
          <w:sz w:val="20"/>
          <w:szCs w:val="20"/>
        </w:rPr>
        <w:t>,</w:t>
      </w:r>
      <w:r>
        <w:rPr>
          <w:rFonts w:ascii="宋体" w:hAnsi="宋体" w:eastAsia="宋体" w:cs="宋体"/>
          <w:spacing w:val="-27"/>
          <w:sz w:val="20"/>
          <w:szCs w:val="20"/>
        </w:rPr>
        <w:t xml:space="preserve"> </w:t>
      </w:r>
      <w:r>
        <w:rPr>
          <w:rFonts w:ascii="宋体" w:hAnsi="宋体" w:eastAsia="宋体" w:cs="宋体"/>
          <w:spacing w:val="4"/>
          <w:sz w:val="20"/>
          <w:szCs w:val="20"/>
        </w:rPr>
        <w:t>初发部位常在唇、舌或扁桃体。性行为中被感染的机会</w:t>
      </w:r>
      <w:r>
        <w:rPr>
          <w:rFonts w:ascii="宋体" w:hAnsi="宋体" w:eastAsia="宋体" w:cs="宋体"/>
          <w:sz w:val="20"/>
          <w:szCs w:val="20"/>
        </w:rPr>
        <w:t xml:space="preserve"> </w:t>
      </w:r>
      <w:r>
        <w:rPr>
          <w:rFonts w:ascii="宋体" w:hAnsi="宋体" w:eastAsia="宋体" w:cs="宋体"/>
          <w:spacing w:val="6"/>
          <w:sz w:val="20"/>
          <w:szCs w:val="20"/>
        </w:rPr>
        <w:t>可随着与已感染</w:t>
      </w:r>
      <w:r>
        <w:rPr>
          <w:rFonts w:ascii="Times New Roman" w:hAnsi="Times New Roman" w:eastAsia="Times New Roman" w:cs="Times New Roman"/>
          <w:sz w:val="20"/>
          <w:szCs w:val="20"/>
        </w:rPr>
        <w:t>STDs</w:t>
      </w:r>
      <w:r>
        <w:rPr>
          <w:rFonts w:ascii="宋体" w:hAnsi="宋体" w:eastAsia="宋体" w:cs="宋体"/>
          <w:spacing w:val="6"/>
          <w:sz w:val="20"/>
          <w:szCs w:val="20"/>
        </w:rPr>
        <w:t>者的无保护性行为频次的增加而增加。</w:t>
      </w:r>
    </w:p>
    <w:p w14:paraId="3FD3E340">
      <w:pPr>
        <w:pStyle w:val="2"/>
        <w:spacing w:before="33" w:line="222" w:lineRule="auto"/>
        <w:ind w:left="420"/>
        <w:rPr>
          <w:sz w:val="20"/>
          <w:szCs w:val="20"/>
        </w:rPr>
      </w:pPr>
      <w:r>
        <w:rPr>
          <w:spacing w:val="19"/>
          <w:sz w:val="20"/>
          <w:szCs w:val="20"/>
        </w:rPr>
        <w:t>(二)非性行为的直接接触传播</w:t>
      </w:r>
    </w:p>
    <w:p w14:paraId="2C68D665">
      <w:pPr>
        <w:spacing w:before="100" w:line="344" w:lineRule="auto"/>
        <w:ind w:right="614" w:firstLine="420"/>
        <w:rPr>
          <w:rFonts w:ascii="宋体" w:hAnsi="宋体" w:eastAsia="宋体" w:cs="宋体"/>
          <w:sz w:val="20"/>
          <w:szCs w:val="20"/>
        </w:rPr>
      </w:pPr>
      <w:r>
        <w:rPr>
          <w:rFonts w:ascii="宋体" w:hAnsi="宋体" w:eastAsia="宋体" w:cs="宋体"/>
          <w:spacing w:val="-2"/>
          <w:sz w:val="20"/>
          <w:szCs w:val="20"/>
        </w:rPr>
        <w:t>当皮肤有破损时，通过直接接触患者的病变部位或其含有病原体的分泌物，如血液、精液、生殖</w:t>
      </w:r>
      <w:r>
        <w:rPr>
          <w:rFonts w:ascii="宋体" w:hAnsi="宋体" w:eastAsia="宋体" w:cs="宋体"/>
          <w:sz w:val="20"/>
          <w:szCs w:val="20"/>
        </w:rPr>
        <w:t xml:space="preserve"> </w:t>
      </w:r>
      <w:r>
        <w:rPr>
          <w:rFonts w:ascii="宋体" w:hAnsi="宋体" w:eastAsia="宋体" w:cs="宋体"/>
          <w:spacing w:val="-3"/>
          <w:sz w:val="20"/>
          <w:szCs w:val="20"/>
        </w:rPr>
        <w:t>道分泌液等，也可导致感染。</w:t>
      </w:r>
    </w:p>
    <w:p w14:paraId="254DB697">
      <w:pPr>
        <w:pStyle w:val="2"/>
        <w:spacing w:before="23" w:line="221" w:lineRule="auto"/>
        <w:ind w:left="420"/>
        <w:rPr>
          <w:sz w:val="20"/>
          <w:szCs w:val="20"/>
        </w:rPr>
      </w:pPr>
      <w:r>
        <w:rPr>
          <w:spacing w:val="22"/>
          <w:sz w:val="20"/>
          <w:szCs w:val="20"/>
        </w:rPr>
        <w:t>(三)医源性传播和血源感染</w:t>
      </w:r>
    </w:p>
    <w:p w14:paraId="0E590DB1">
      <w:pPr>
        <w:spacing w:before="101" w:line="339" w:lineRule="auto"/>
        <w:ind w:right="589" w:firstLine="420"/>
        <w:jc w:val="both"/>
        <w:rPr>
          <w:rFonts w:ascii="宋体" w:hAnsi="宋体" w:eastAsia="宋体" w:cs="宋体"/>
          <w:sz w:val="20"/>
          <w:szCs w:val="20"/>
        </w:rPr>
      </w:pPr>
      <w:r>
        <w:rPr>
          <w:rFonts w:ascii="宋体" w:hAnsi="宋体" w:eastAsia="宋体" w:cs="宋体"/>
          <w:sz w:val="20"/>
          <w:szCs w:val="20"/>
        </w:rPr>
        <w:t>STDs</w:t>
      </w:r>
      <w:r>
        <w:rPr>
          <w:rFonts w:ascii="宋体" w:hAnsi="宋体" w:eastAsia="宋体" w:cs="宋体"/>
          <w:spacing w:val="6"/>
          <w:sz w:val="20"/>
          <w:szCs w:val="20"/>
        </w:rPr>
        <w:t xml:space="preserve"> 的医源性传播可由医疗操作过程中防护不严格或患者用过的器械、注射器等销毁不及时</w:t>
      </w:r>
      <w:r>
        <w:rPr>
          <w:rFonts w:ascii="宋体" w:hAnsi="宋体" w:eastAsia="宋体" w:cs="宋体"/>
          <w:spacing w:val="7"/>
          <w:sz w:val="20"/>
          <w:szCs w:val="20"/>
        </w:rPr>
        <w:t xml:space="preserve"> </w:t>
      </w:r>
      <w:r>
        <w:rPr>
          <w:rFonts w:ascii="宋体" w:hAnsi="宋体" w:eastAsia="宋体" w:cs="宋体"/>
          <w:spacing w:val="3"/>
          <w:sz w:val="20"/>
          <w:szCs w:val="20"/>
        </w:rPr>
        <w:t>或消毒不严格所致，也可因输血或使用血液制品而发生。除了医源性传播外，吸毒(共用针具)、非</w:t>
      </w:r>
      <w:r>
        <w:rPr>
          <w:rFonts w:ascii="宋体" w:hAnsi="宋体" w:eastAsia="宋体" w:cs="宋体"/>
          <w:spacing w:val="5"/>
          <w:sz w:val="20"/>
          <w:szCs w:val="20"/>
        </w:rPr>
        <w:t xml:space="preserve"> </w:t>
      </w:r>
      <w:r>
        <w:rPr>
          <w:rFonts w:ascii="宋体" w:hAnsi="宋体" w:eastAsia="宋体" w:cs="宋体"/>
          <w:spacing w:val="7"/>
          <w:sz w:val="20"/>
          <w:szCs w:val="20"/>
        </w:rPr>
        <w:t>正规途径采供血等血源感染也是</w:t>
      </w:r>
      <w:r>
        <w:rPr>
          <w:rFonts w:ascii="Times New Roman" w:hAnsi="Times New Roman" w:eastAsia="Times New Roman" w:cs="Times New Roman"/>
          <w:sz w:val="20"/>
          <w:szCs w:val="20"/>
        </w:rPr>
        <w:t>STDs</w:t>
      </w:r>
      <w:r>
        <w:rPr>
          <w:rFonts w:ascii="宋体" w:hAnsi="宋体" w:eastAsia="宋体" w:cs="宋体"/>
          <w:spacing w:val="7"/>
          <w:sz w:val="20"/>
          <w:szCs w:val="20"/>
        </w:rPr>
        <w:t>的重要传播途径。</w:t>
      </w:r>
    </w:p>
    <w:p w14:paraId="236124AD">
      <w:pPr>
        <w:pStyle w:val="2"/>
        <w:spacing w:before="1" w:line="221" w:lineRule="auto"/>
        <w:ind w:left="420"/>
        <w:rPr>
          <w:sz w:val="24"/>
          <w:szCs w:val="24"/>
        </w:rPr>
      </w:pPr>
      <w:r>
        <w:rPr>
          <w:spacing w:val="-4"/>
          <w:sz w:val="24"/>
          <w:szCs w:val="24"/>
        </w:rPr>
        <w:t>(四)母婴传播</w:t>
      </w:r>
    </w:p>
    <w:p w14:paraId="54BF0564">
      <w:pPr>
        <w:spacing w:before="110" w:line="334" w:lineRule="auto"/>
        <w:ind w:right="591" w:firstLine="420"/>
        <w:jc w:val="both"/>
        <w:rPr>
          <w:rFonts w:ascii="宋体" w:hAnsi="宋体" w:eastAsia="宋体" w:cs="宋体"/>
          <w:sz w:val="20"/>
          <w:szCs w:val="20"/>
        </w:rPr>
      </w:pPr>
      <w:r>
        <w:rPr>
          <w:rFonts w:ascii="宋体" w:hAnsi="宋体" w:eastAsia="宋体" w:cs="宋体"/>
          <w:spacing w:val="-1"/>
          <w:sz w:val="20"/>
          <w:szCs w:val="20"/>
        </w:rPr>
        <w:t>梅毒、</w:t>
      </w:r>
      <w:r>
        <w:rPr>
          <w:rFonts w:ascii="Times New Roman" w:hAnsi="Times New Roman" w:eastAsia="Times New Roman" w:cs="Times New Roman"/>
          <w:spacing w:val="-1"/>
          <w:sz w:val="20"/>
          <w:szCs w:val="20"/>
        </w:rPr>
        <w:t>AIDS</w:t>
      </w:r>
      <w:r>
        <w:rPr>
          <w:rFonts w:ascii="宋体" w:hAnsi="宋体" w:eastAsia="宋体" w:cs="宋体"/>
          <w:spacing w:val="-1"/>
          <w:sz w:val="20"/>
          <w:szCs w:val="20"/>
        </w:rPr>
        <w:t>、乙型肝炎等多种</w:t>
      </w:r>
      <w:r>
        <w:rPr>
          <w:rFonts w:ascii="Times New Roman" w:hAnsi="Times New Roman" w:eastAsia="Times New Roman" w:cs="Times New Roman"/>
          <w:spacing w:val="-1"/>
          <w:sz w:val="20"/>
          <w:szCs w:val="20"/>
        </w:rPr>
        <w:t xml:space="preserve">STDs </w:t>
      </w:r>
      <w:r>
        <w:rPr>
          <w:rFonts w:ascii="宋体" w:hAnsi="宋体" w:eastAsia="宋体" w:cs="宋体"/>
          <w:spacing w:val="-1"/>
          <w:sz w:val="20"/>
          <w:szCs w:val="20"/>
        </w:rPr>
        <w:t>的病原体可经胎盘、产道、哺乳等途径</w:t>
      </w:r>
      <w:r>
        <w:rPr>
          <w:rFonts w:ascii="宋体" w:hAnsi="宋体" w:eastAsia="宋体" w:cs="宋体"/>
          <w:spacing w:val="-2"/>
          <w:sz w:val="20"/>
          <w:szCs w:val="20"/>
        </w:rPr>
        <w:t>由母亲传给胎儿或新</w:t>
      </w:r>
      <w:r>
        <w:rPr>
          <w:rFonts w:ascii="宋体" w:hAnsi="宋体" w:eastAsia="宋体" w:cs="宋体"/>
          <w:sz w:val="20"/>
          <w:szCs w:val="20"/>
        </w:rPr>
        <w:t xml:space="preserve"> </w:t>
      </w:r>
      <w:r>
        <w:rPr>
          <w:rFonts w:ascii="宋体" w:hAnsi="宋体" w:eastAsia="宋体" w:cs="宋体"/>
          <w:spacing w:val="7"/>
          <w:sz w:val="20"/>
          <w:szCs w:val="20"/>
        </w:rPr>
        <w:t>生儿。据报道，全球90%以上婴儿和儿童的</w:t>
      </w:r>
      <w:r>
        <w:rPr>
          <w:rFonts w:ascii="Times New Roman" w:hAnsi="Times New Roman" w:eastAsia="Times New Roman" w:cs="Times New Roman"/>
          <w:sz w:val="20"/>
          <w:szCs w:val="20"/>
        </w:rPr>
        <w:t>HIV</w:t>
      </w:r>
      <w:r>
        <w:rPr>
          <w:rFonts w:ascii="Times New Roman" w:hAnsi="Times New Roman" w:eastAsia="Times New Roman" w:cs="Times New Roman"/>
          <w:spacing w:val="7"/>
          <w:sz w:val="20"/>
          <w:szCs w:val="20"/>
        </w:rPr>
        <w:t xml:space="preserve"> </w:t>
      </w:r>
      <w:r>
        <w:rPr>
          <w:rFonts w:ascii="宋体" w:hAnsi="宋体" w:eastAsia="宋体" w:cs="宋体"/>
          <w:spacing w:val="7"/>
          <w:sz w:val="20"/>
          <w:szCs w:val="20"/>
        </w:rPr>
        <w:t>感染是通过母婴传播的。</w:t>
      </w:r>
      <w:r>
        <w:rPr>
          <w:rFonts w:ascii="宋体" w:hAnsi="宋体" w:eastAsia="宋体" w:cs="宋体"/>
          <w:spacing w:val="-39"/>
          <w:sz w:val="20"/>
          <w:szCs w:val="20"/>
        </w:rPr>
        <w:t xml:space="preserve"> </w:t>
      </w:r>
      <w:r>
        <w:rPr>
          <w:rFonts w:ascii="Times New Roman" w:hAnsi="Times New Roman" w:eastAsia="Times New Roman" w:cs="Times New Roman"/>
          <w:sz w:val="20"/>
          <w:szCs w:val="20"/>
        </w:rPr>
        <w:t>STDs</w:t>
      </w:r>
      <w:r>
        <w:rPr>
          <w:rFonts w:ascii="Times New Roman" w:hAnsi="Times New Roman" w:eastAsia="Times New Roman" w:cs="Times New Roman"/>
          <w:spacing w:val="7"/>
          <w:sz w:val="20"/>
          <w:szCs w:val="20"/>
        </w:rPr>
        <w:t xml:space="preserve"> </w:t>
      </w:r>
      <w:r>
        <w:rPr>
          <w:rFonts w:ascii="宋体" w:hAnsi="宋体" w:eastAsia="宋体" w:cs="宋体"/>
          <w:spacing w:val="7"/>
          <w:sz w:val="20"/>
          <w:szCs w:val="20"/>
        </w:rPr>
        <w:t>的母婴传播严重威</w:t>
      </w:r>
      <w:r>
        <w:rPr>
          <w:rFonts w:ascii="宋体" w:hAnsi="宋体" w:eastAsia="宋体" w:cs="宋体"/>
          <w:sz w:val="20"/>
          <w:szCs w:val="20"/>
        </w:rPr>
        <w:t xml:space="preserve"> </w:t>
      </w:r>
      <w:r>
        <w:rPr>
          <w:rFonts w:ascii="宋体" w:hAnsi="宋体" w:eastAsia="宋体" w:cs="宋体"/>
          <w:spacing w:val="4"/>
          <w:sz w:val="20"/>
          <w:szCs w:val="20"/>
        </w:rPr>
        <w:t>胁母婴健康，影响</w:t>
      </w:r>
      <w:r>
        <w:rPr>
          <w:rFonts w:ascii="Times New Roman" w:hAnsi="Times New Roman" w:eastAsia="Times New Roman" w:cs="Times New Roman"/>
          <w:sz w:val="20"/>
          <w:szCs w:val="20"/>
        </w:rPr>
        <w:t>STDs</w:t>
      </w:r>
      <w:r>
        <w:rPr>
          <w:rFonts w:ascii="宋体" w:hAnsi="宋体" w:eastAsia="宋体" w:cs="宋体"/>
          <w:spacing w:val="4"/>
          <w:sz w:val="20"/>
          <w:szCs w:val="20"/>
        </w:rPr>
        <w:t>的预防和控制效果。</w:t>
      </w:r>
    </w:p>
    <w:p w14:paraId="4FE0284C">
      <w:pPr>
        <w:pStyle w:val="2"/>
        <w:spacing w:before="22" w:line="222" w:lineRule="auto"/>
        <w:ind w:left="422"/>
        <w:rPr>
          <w:sz w:val="20"/>
          <w:szCs w:val="20"/>
        </w:rPr>
      </w:pPr>
      <w:r>
        <w:rPr>
          <w:b/>
          <w:bCs/>
          <w:spacing w:val="20"/>
          <w:sz w:val="20"/>
          <w:szCs w:val="20"/>
        </w:rPr>
        <w:t>(五)日常生活接触传播</w:t>
      </w:r>
    </w:p>
    <w:p w14:paraId="069F417B">
      <w:pPr>
        <w:spacing w:before="113" w:line="345" w:lineRule="auto"/>
        <w:ind w:right="596" w:firstLine="420"/>
        <w:jc w:val="both"/>
        <w:rPr>
          <w:rFonts w:ascii="宋体" w:hAnsi="宋体" w:eastAsia="宋体" w:cs="宋体"/>
          <w:sz w:val="20"/>
          <w:szCs w:val="20"/>
        </w:rPr>
      </w:pPr>
      <w:r>
        <w:rPr>
          <w:rFonts w:ascii="宋体" w:hAnsi="宋体" w:eastAsia="宋体" w:cs="宋体"/>
          <w:spacing w:val="-1"/>
          <w:sz w:val="20"/>
          <w:szCs w:val="20"/>
        </w:rPr>
        <w:t>感染者的衣物、被褥、毛巾、浴盆、用具、便器等可被病原体污染，可能传</w:t>
      </w:r>
      <w:r>
        <w:rPr>
          <w:rFonts w:ascii="宋体" w:hAnsi="宋体" w:eastAsia="宋体" w:cs="宋体"/>
          <w:spacing w:val="-2"/>
          <w:sz w:val="20"/>
          <w:szCs w:val="20"/>
        </w:rPr>
        <w:t>播除</w:t>
      </w:r>
      <w:r>
        <w:rPr>
          <w:rFonts w:ascii="Times New Roman" w:hAnsi="Times New Roman" w:eastAsia="Times New Roman" w:cs="Times New Roman"/>
          <w:spacing w:val="-2"/>
          <w:sz w:val="20"/>
          <w:szCs w:val="20"/>
        </w:rPr>
        <w:t>HIV</w:t>
      </w:r>
      <w:r>
        <w:rPr>
          <w:rFonts w:ascii="Times New Roman" w:hAnsi="Times New Roman" w:eastAsia="Times New Roman" w:cs="Times New Roman"/>
          <w:spacing w:val="18"/>
          <w:w w:val="101"/>
          <w:sz w:val="20"/>
          <w:szCs w:val="20"/>
        </w:rPr>
        <w:t xml:space="preserve"> </w:t>
      </w:r>
      <w:r>
        <w:rPr>
          <w:rFonts w:ascii="宋体" w:hAnsi="宋体" w:eastAsia="宋体" w:cs="宋体"/>
          <w:spacing w:val="-2"/>
          <w:sz w:val="20"/>
          <w:szCs w:val="20"/>
        </w:rPr>
        <w:t>感染/</w:t>
      </w:r>
      <w:r>
        <w:rPr>
          <w:rFonts w:ascii="Times New Roman" w:hAnsi="Times New Roman" w:eastAsia="Times New Roman" w:cs="Times New Roman"/>
          <w:spacing w:val="-2"/>
          <w:sz w:val="20"/>
          <w:szCs w:val="20"/>
        </w:rPr>
        <w:t>AIDS</w:t>
      </w:r>
      <w:r>
        <w:rPr>
          <w:rFonts w:ascii="Times New Roman" w:hAnsi="Times New Roman" w:eastAsia="Times New Roman" w:cs="Times New Roman"/>
          <w:sz w:val="20"/>
          <w:szCs w:val="20"/>
        </w:rPr>
        <w:t xml:space="preserve"> </w:t>
      </w:r>
      <w:r>
        <w:rPr>
          <w:rFonts w:ascii="宋体" w:hAnsi="宋体" w:eastAsia="宋体" w:cs="宋体"/>
          <w:spacing w:val="10"/>
          <w:sz w:val="20"/>
          <w:szCs w:val="20"/>
        </w:rPr>
        <w:t>之外的其他多种</w:t>
      </w:r>
      <w:r>
        <w:rPr>
          <w:rFonts w:ascii="Times New Roman" w:hAnsi="Times New Roman" w:eastAsia="Times New Roman" w:cs="Times New Roman"/>
          <w:sz w:val="20"/>
          <w:szCs w:val="20"/>
        </w:rPr>
        <w:t>STDs</w:t>
      </w:r>
      <w:r>
        <w:rPr>
          <w:rFonts w:ascii="宋体" w:hAnsi="宋体" w:eastAsia="宋体" w:cs="宋体"/>
          <w:spacing w:val="10"/>
          <w:sz w:val="20"/>
          <w:szCs w:val="20"/>
        </w:rPr>
        <w:t>。我国近年儿童</w:t>
      </w:r>
      <w:r>
        <w:rPr>
          <w:rFonts w:ascii="Times New Roman" w:hAnsi="Times New Roman" w:eastAsia="Times New Roman" w:cs="Times New Roman"/>
          <w:sz w:val="20"/>
          <w:szCs w:val="20"/>
        </w:rPr>
        <w:t>STDs</w:t>
      </w:r>
      <w:r>
        <w:rPr>
          <w:rFonts w:ascii="Times New Roman" w:hAnsi="Times New Roman" w:eastAsia="Times New Roman" w:cs="Times New Roman"/>
          <w:spacing w:val="10"/>
          <w:sz w:val="20"/>
          <w:szCs w:val="20"/>
        </w:rPr>
        <w:t xml:space="preserve"> </w:t>
      </w:r>
      <w:r>
        <w:rPr>
          <w:rFonts w:ascii="宋体" w:hAnsi="宋体" w:eastAsia="宋体" w:cs="宋体"/>
          <w:spacing w:val="10"/>
          <w:sz w:val="20"/>
          <w:szCs w:val="20"/>
        </w:rPr>
        <w:t>发病率呈上升趋势，提示应注意日常接触传播</w:t>
      </w:r>
      <w:r>
        <w:rPr>
          <w:rFonts w:ascii="宋体" w:hAnsi="宋体" w:eastAsia="宋体" w:cs="宋体"/>
          <w:spacing w:val="9"/>
          <w:sz w:val="20"/>
          <w:szCs w:val="20"/>
        </w:rPr>
        <w:t>对儿童</w:t>
      </w:r>
      <w:r>
        <w:rPr>
          <w:rFonts w:ascii="宋体" w:hAnsi="宋体" w:eastAsia="宋体" w:cs="宋体"/>
          <w:sz w:val="20"/>
          <w:szCs w:val="20"/>
        </w:rPr>
        <w:t xml:space="preserve"> </w:t>
      </w:r>
      <w:r>
        <w:rPr>
          <w:rFonts w:ascii="Times New Roman" w:hAnsi="Times New Roman" w:eastAsia="Times New Roman" w:cs="Times New Roman"/>
          <w:sz w:val="20"/>
          <w:szCs w:val="20"/>
        </w:rPr>
        <w:t xml:space="preserve">STDs </w:t>
      </w:r>
      <w:r>
        <w:rPr>
          <w:rFonts w:ascii="宋体" w:hAnsi="宋体" w:eastAsia="宋体" w:cs="宋体"/>
          <w:sz w:val="20"/>
          <w:szCs w:val="20"/>
        </w:rPr>
        <w:t>的影响。</w:t>
      </w:r>
    </w:p>
    <w:p w14:paraId="2B51E972">
      <w:pPr>
        <w:pStyle w:val="2"/>
        <w:spacing w:before="185" w:line="221" w:lineRule="auto"/>
        <w:ind w:left="423"/>
        <w:outlineLvl w:val="4"/>
        <w:rPr>
          <w:sz w:val="24"/>
          <w:szCs w:val="24"/>
        </w:rPr>
      </w:pPr>
      <w:bookmarkStart w:id="543" w:name="bookmark336"/>
      <w:bookmarkEnd w:id="543"/>
      <w:r>
        <w:rPr>
          <w:b/>
          <w:bCs/>
          <w:spacing w:val="-6"/>
          <w:sz w:val="24"/>
          <w:szCs w:val="24"/>
        </w:rPr>
        <w:t>三</w:t>
      </w:r>
      <w:r>
        <w:rPr>
          <w:spacing w:val="-50"/>
          <w:sz w:val="24"/>
          <w:szCs w:val="24"/>
        </w:rPr>
        <w:t xml:space="preserve"> </w:t>
      </w:r>
      <w:r>
        <w:rPr>
          <w:b/>
          <w:bCs/>
          <w:spacing w:val="-6"/>
          <w:sz w:val="24"/>
          <w:szCs w:val="24"/>
        </w:rPr>
        <w:t>、人群易感性</w:t>
      </w:r>
    </w:p>
    <w:p w14:paraId="54642703">
      <w:pPr>
        <w:spacing w:before="277" w:line="341" w:lineRule="auto"/>
        <w:ind w:right="501" w:firstLine="420"/>
        <w:jc w:val="both"/>
        <w:rPr>
          <w:rFonts w:ascii="宋体" w:hAnsi="宋体" w:eastAsia="宋体" w:cs="宋体"/>
          <w:sz w:val="20"/>
          <w:szCs w:val="20"/>
        </w:rPr>
      </w:pPr>
      <w:r>
        <w:rPr>
          <w:rFonts w:ascii="宋体" w:hAnsi="宋体" w:eastAsia="宋体" w:cs="宋体"/>
          <w:spacing w:val="4"/>
          <w:sz w:val="20"/>
          <w:szCs w:val="20"/>
        </w:rPr>
        <w:t>人群对</w:t>
      </w:r>
      <w:r>
        <w:rPr>
          <w:rFonts w:ascii="Times New Roman" w:hAnsi="Times New Roman" w:eastAsia="Times New Roman" w:cs="Times New Roman"/>
          <w:sz w:val="20"/>
          <w:szCs w:val="20"/>
        </w:rPr>
        <w:t>STDs</w:t>
      </w:r>
      <w:r>
        <w:rPr>
          <w:rFonts w:ascii="宋体" w:hAnsi="宋体" w:eastAsia="宋体" w:cs="宋体"/>
          <w:spacing w:val="4"/>
          <w:sz w:val="20"/>
          <w:szCs w:val="20"/>
        </w:rPr>
        <w:t>普遍易感，几乎没有年龄、性别的差异。人群对大多数</w:t>
      </w:r>
      <w:r>
        <w:rPr>
          <w:rFonts w:ascii="Times New Roman" w:hAnsi="Times New Roman" w:eastAsia="Times New Roman" w:cs="Times New Roman"/>
          <w:sz w:val="20"/>
          <w:szCs w:val="20"/>
        </w:rPr>
        <w:t>STDs</w:t>
      </w:r>
      <w:r>
        <w:rPr>
          <w:rFonts w:ascii="Times New Roman" w:hAnsi="Times New Roman" w:eastAsia="Times New Roman" w:cs="Times New Roman"/>
          <w:spacing w:val="4"/>
          <w:sz w:val="20"/>
          <w:szCs w:val="20"/>
        </w:rPr>
        <w:t xml:space="preserve"> </w:t>
      </w:r>
      <w:r>
        <w:rPr>
          <w:rFonts w:ascii="宋体" w:hAnsi="宋体" w:eastAsia="宋体" w:cs="宋体"/>
          <w:spacing w:val="4"/>
          <w:sz w:val="20"/>
          <w:szCs w:val="20"/>
        </w:rPr>
        <w:t xml:space="preserve">的病原体无先天性免  </w:t>
      </w:r>
      <w:r>
        <w:rPr>
          <w:rFonts w:ascii="宋体" w:hAnsi="宋体" w:eastAsia="宋体" w:cs="宋体"/>
          <w:spacing w:val="2"/>
          <w:sz w:val="20"/>
          <w:szCs w:val="20"/>
        </w:rPr>
        <w:t>疫力，对一些病原体也无稳固的后天获得性免疫力，可以反复感染</w:t>
      </w:r>
      <w:r>
        <w:rPr>
          <w:rFonts w:ascii="Times New Roman" w:hAnsi="Times New Roman" w:eastAsia="Times New Roman" w:cs="Times New Roman"/>
          <w:sz w:val="20"/>
          <w:szCs w:val="20"/>
        </w:rPr>
        <w:t>STDs</w:t>
      </w:r>
      <w:r>
        <w:rPr>
          <w:rFonts w:ascii="Times New Roman" w:hAnsi="Times New Roman" w:eastAsia="Times New Roman" w:cs="Times New Roman"/>
          <w:spacing w:val="2"/>
          <w:sz w:val="20"/>
          <w:szCs w:val="20"/>
        </w:rPr>
        <w:t xml:space="preserve">, </w:t>
      </w:r>
      <w:r>
        <w:rPr>
          <w:rFonts w:ascii="宋体" w:hAnsi="宋体" w:eastAsia="宋体" w:cs="宋体"/>
          <w:spacing w:val="2"/>
          <w:sz w:val="20"/>
          <w:szCs w:val="20"/>
        </w:rPr>
        <w:t>也可迁延不愈、反复发作、</w:t>
      </w:r>
      <w:r>
        <w:rPr>
          <w:rFonts w:ascii="宋体" w:hAnsi="宋体" w:eastAsia="宋体" w:cs="宋体"/>
          <w:spacing w:val="7"/>
          <w:sz w:val="20"/>
          <w:szCs w:val="20"/>
        </w:rPr>
        <w:t xml:space="preserve"> </w:t>
      </w:r>
      <w:r>
        <w:rPr>
          <w:rFonts w:ascii="宋体" w:hAnsi="宋体" w:eastAsia="宋体" w:cs="宋体"/>
          <w:spacing w:val="6"/>
          <w:sz w:val="20"/>
          <w:szCs w:val="20"/>
        </w:rPr>
        <w:t>多重感染。感染其他种类的</w:t>
      </w:r>
      <w:r>
        <w:rPr>
          <w:rFonts w:ascii="Times New Roman" w:hAnsi="Times New Roman" w:eastAsia="Times New Roman" w:cs="Times New Roman"/>
          <w:sz w:val="20"/>
          <w:szCs w:val="20"/>
        </w:rPr>
        <w:t>STDs</w:t>
      </w:r>
      <w:r>
        <w:rPr>
          <w:rFonts w:ascii="Times New Roman" w:hAnsi="Times New Roman" w:eastAsia="Times New Roman" w:cs="Times New Roman"/>
          <w:spacing w:val="6"/>
          <w:sz w:val="20"/>
          <w:szCs w:val="20"/>
        </w:rPr>
        <w:t xml:space="preserve"> </w:t>
      </w:r>
      <w:r>
        <w:rPr>
          <w:rFonts w:ascii="宋体" w:hAnsi="宋体" w:eastAsia="宋体" w:cs="宋体"/>
          <w:spacing w:val="6"/>
          <w:sz w:val="20"/>
          <w:szCs w:val="20"/>
        </w:rPr>
        <w:t>可大大增加机体感染</w:t>
      </w:r>
      <w:r>
        <w:rPr>
          <w:rFonts w:ascii="Times New Roman" w:hAnsi="Times New Roman" w:eastAsia="Times New Roman" w:cs="Times New Roman"/>
          <w:sz w:val="20"/>
          <w:szCs w:val="20"/>
        </w:rPr>
        <w:t>HIV</w:t>
      </w:r>
      <w:r>
        <w:rPr>
          <w:rFonts w:ascii="Times New Roman" w:hAnsi="Times New Roman" w:eastAsia="Times New Roman" w:cs="Times New Roman"/>
          <w:spacing w:val="6"/>
          <w:sz w:val="20"/>
          <w:szCs w:val="20"/>
        </w:rPr>
        <w:t xml:space="preserve"> </w:t>
      </w:r>
      <w:r>
        <w:rPr>
          <w:rFonts w:ascii="宋体" w:hAnsi="宋体" w:eastAsia="宋体" w:cs="宋体"/>
          <w:spacing w:val="6"/>
          <w:sz w:val="20"/>
          <w:szCs w:val="20"/>
        </w:rPr>
        <w:t>的危险性。</w:t>
      </w:r>
    </w:p>
    <w:p w14:paraId="5F1B64CE">
      <w:pPr>
        <w:pStyle w:val="2"/>
        <w:spacing w:before="188" w:line="221" w:lineRule="auto"/>
        <w:ind w:left="423"/>
        <w:outlineLvl w:val="4"/>
        <w:rPr>
          <w:sz w:val="24"/>
          <w:szCs w:val="24"/>
        </w:rPr>
      </w:pPr>
      <w:bookmarkStart w:id="544" w:name="bookmark337"/>
      <w:bookmarkEnd w:id="544"/>
      <w:r>
        <w:rPr>
          <w:b/>
          <w:bCs/>
          <w:spacing w:val="-5"/>
          <w:sz w:val="24"/>
          <w:szCs w:val="24"/>
        </w:rPr>
        <w:t>四</w:t>
      </w:r>
      <w:r>
        <w:rPr>
          <w:spacing w:val="-34"/>
          <w:sz w:val="24"/>
          <w:szCs w:val="24"/>
        </w:rPr>
        <w:t xml:space="preserve"> </w:t>
      </w:r>
      <w:r>
        <w:rPr>
          <w:b/>
          <w:bCs/>
          <w:spacing w:val="-5"/>
          <w:sz w:val="24"/>
          <w:szCs w:val="24"/>
        </w:rPr>
        <w:t>、影响流行过程的因素</w:t>
      </w:r>
    </w:p>
    <w:p w14:paraId="1694BF0A">
      <w:pPr>
        <w:pStyle w:val="2"/>
        <w:spacing w:before="282" w:line="221" w:lineRule="auto"/>
        <w:ind w:left="422"/>
        <w:rPr>
          <w:sz w:val="20"/>
          <w:szCs w:val="20"/>
        </w:rPr>
      </w:pPr>
      <w:r>
        <w:rPr>
          <w:b/>
          <w:bCs/>
          <w:spacing w:val="14"/>
          <w:sz w:val="20"/>
          <w:szCs w:val="20"/>
        </w:rPr>
        <w:t>(</w:t>
      </w:r>
      <w:r>
        <w:rPr>
          <w:spacing w:val="-46"/>
          <w:sz w:val="20"/>
          <w:szCs w:val="20"/>
        </w:rPr>
        <w:t xml:space="preserve"> </w:t>
      </w:r>
      <w:r>
        <w:rPr>
          <w:b/>
          <w:bCs/>
          <w:spacing w:val="14"/>
          <w:sz w:val="20"/>
          <w:szCs w:val="20"/>
        </w:rPr>
        <w:t>一</w:t>
      </w:r>
      <w:r>
        <w:rPr>
          <w:spacing w:val="-56"/>
          <w:sz w:val="20"/>
          <w:szCs w:val="20"/>
        </w:rPr>
        <w:t xml:space="preserve"> </w:t>
      </w:r>
      <w:r>
        <w:rPr>
          <w:b/>
          <w:bCs/>
          <w:spacing w:val="14"/>
          <w:sz w:val="20"/>
          <w:szCs w:val="20"/>
        </w:rPr>
        <w:t>)生物学因素</w:t>
      </w:r>
    </w:p>
    <w:p w14:paraId="35353F97">
      <w:pPr>
        <w:spacing w:before="107" w:line="342" w:lineRule="auto"/>
        <w:ind w:right="611" w:firstLine="420"/>
        <w:jc w:val="both"/>
        <w:rPr>
          <w:rFonts w:ascii="宋体" w:hAnsi="宋体" w:eastAsia="宋体" w:cs="宋体"/>
          <w:sz w:val="20"/>
          <w:szCs w:val="20"/>
        </w:rPr>
      </w:pPr>
      <w:r>
        <w:rPr>
          <w:rFonts w:ascii="Times New Roman" w:hAnsi="Times New Roman" w:eastAsia="Times New Roman" w:cs="Times New Roman"/>
          <w:sz w:val="20"/>
          <w:szCs w:val="20"/>
        </w:rPr>
        <w:t>STDs</w:t>
      </w:r>
      <w:r>
        <w:rPr>
          <w:rFonts w:ascii="Times New Roman" w:hAnsi="Times New Roman" w:eastAsia="Times New Roman" w:cs="Times New Roman"/>
          <w:spacing w:val="3"/>
          <w:sz w:val="20"/>
          <w:szCs w:val="20"/>
        </w:rPr>
        <w:t xml:space="preserve"> </w:t>
      </w:r>
      <w:r>
        <w:rPr>
          <w:rFonts w:ascii="宋体" w:hAnsi="宋体" w:eastAsia="宋体" w:cs="宋体"/>
          <w:spacing w:val="3"/>
          <w:sz w:val="20"/>
          <w:szCs w:val="20"/>
        </w:rPr>
        <w:t>的病原体种类繁多，所导致的疾病表现也各异。首先，许多</w:t>
      </w:r>
      <w:r>
        <w:rPr>
          <w:rFonts w:ascii="Times New Roman" w:hAnsi="Times New Roman" w:eastAsia="Times New Roman" w:cs="Times New Roman"/>
          <w:sz w:val="20"/>
          <w:szCs w:val="20"/>
        </w:rPr>
        <w:t>STDs</w:t>
      </w:r>
      <w:r>
        <w:rPr>
          <w:rFonts w:ascii="Times New Roman" w:hAnsi="Times New Roman" w:eastAsia="Times New Roman" w:cs="Times New Roman"/>
          <w:spacing w:val="3"/>
          <w:sz w:val="20"/>
          <w:szCs w:val="20"/>
        </w:rPr>
        <w:t xml:space="preserve"> </w:t>
      </w:r>
      <w:r>
        <w:rPr>
          <w:rFonts w:ascii="宋体" w:hAnsi="宋体" w:eastAsia="宋体" w:cs="宋体"/>
          <w:spacing w:val="3"/>
          <w:sz w:val="20"/>
          <w:szCs w:val="20"/>
        </w:rPr>
        <w:t>存在</w:t>
      </w:r>
      <w:r>
        <w:rPr>
          <w:rFonts w:ascii="宋体" w:hAnsi="宋体" w:eastAsia="宋体" w:cs="宋体"/>
          <w:spacing w:val="2"/>
          <w:sz w:val="20"/>
          <w:szCs w:val="20"/>
        </w:rPr>
        <w:t>无症状感染或感染</w:t>
      </w:r>
      <w:r>
        <w:rPr>
          <w:rFonts w:ascii="宋体" w:hAnsi="宋体" w:eastAsia="宋体" w:cs="宋体"/>
          <w:sz w:val="20"/>
          <w:szCs w:val="20"/>
        </w:rPr>
        <w:t xml:space="preserve"> </w:t>
      </w:r>
      <w:r>
        <w:rPr>
          <w:rFonts w:ascii="宋体" w:hAnsi="宋体" w:eastAsia="宋体" w:cs="宋体"/>
          <w:spacing w:val="1"/>
          <w:sz w:val="20"/>
          <w:szCs w:val="20"/>
        </w:rPr>
        <w:t>后临床表现不典型，从而造成这部分人群的漏诊、漏治，增</w:t>
      </w:r>
      <w:r>
        <w:rPr>
          <w:rFonts w:ascii="宋体" w:hAnsi="宋体" w:eastAsia="宋体" w:cs="宋体"/>
          <w:sz w:val="20"/>
          <w:szCs w:val="20"/>
        </w:rPr>
        <w:t>大了流行的范围。其次，人群因对</w:t>
      </w:r>
      <w:r>
        <w:rPr>
          <w:rFonts w:ascii="Times New Roman" w:hAnsi="Times New Roman" w:eastAsia="Times New Roman" w:cs="Times New Roman"/>
          <w:sz w:val="20"/>
          <w:szCs w:val="20"/>
        </w:rPr>
        <w:t xml:space="preserve">STDs  </w:t>
      </w:r>
      <w:r>
        <w:rPr>
          <w:rFonts w:ascii="宋体" w:hAnsi="宋体" w:eastAsia="宋体" w:cs="宋体"/>
          <w:spacing w:val="3"/>
          <w:sz w:val="20"/>
          <w:szCs w:val="20"/>
        </w:rPr>
        <w:t>病原体缺乏特异性免疫力而普遍易感，可发生重复感染、反复发作、间歇性排菌甚至多重感染。最</w:t>
      </w:r>
      <w:r>
        <w:rPr>
          <w:rFonts w:ascii="宋体" w:hAnsi="宋体" w:eastAsia="宋体" w:cs="宋体"/>
          <w:spacing w:val="9"/>
          <w:sz w:val="20"/>
          <w:szCs w:val="20"/>
        </w:rPr>
        <w:t xml:space="preserve"> </w:t>
      </w:r>
      <w:r>
        <w:rPr>
          <w:rFonts w:ascii="宋体" w:hAnsi="宋体" w:eastAsia="宋体" w:cs="宋体"/>
          <w:spacing w:val="5"/>
          <w:sz w:val="20"/>
          <w:szCs w:val="20"/>
        </w:rPr>
        <w:t>后，至今尚无针对大多数</w:t>
      </w:r>
      <w:r>
        <w:rPr>
          <w:rFonts w:ascii="宋体" w:hAnsi="宋体" w:eastAsia="宋体" w:cs="宋体"/>
          <w:sz w:val="20"/>
          <w:szCs w:val="20"/>
        </w:rPr>
        <w:t>STDs</w:t>
      </w:r>
      <w:r>
        <w:rPr>
          <w:rFonts w:ascii="宋体" w:hAnsi="宋体" w:eastAsia="宋体" w:cs="宋体"/>
          <w:spacing w:val="5"/>
          <w:sz w:val="20"/>
          <w:szCs w:val="20"/>
        </w:rPr>
        <w:t xml:space="preserve"> 的有效的人工免疫方法，而化学预防如微生物杀灭剂等的使用又尚</w:t>
      </w:r>
      <w:r>
        <w:rPr>
          <w:rFonts w:ascii="宋体" w:hAnsi="宋体" w:eastAsia="宋体" w:cs="宋体"/>
          <w:sz w:val="20"/>
          <w:szCs w:val="20"/>
        </w:rPr>
        <w:t xml:space="preserve"> </w:t>
      </w:r>
      <w:r>
        <w:rPr>
          <w:rFonts w:ascii="宋体" w:hAnsi="宋体" w:eastAsia="宋体" w:cs="宋体"/>
          <w:spacing w:val="1"/>
          <w:sz w:val="20"/>
          <w:szCs w:val="20"/>
        </w:rPr>
        <w:t>未普及。这些都是造成</w:t>
      </w:r>
      <w:r>
        <w:rPr>
          <w:rFonts w:ascii="Times New Roman" w:hAnsi="Times New Roman" w:eastAsia="Times New Roman" w:cs="Times New Roman"/>
          <w:sz w:val="20"/>
          <w:szCs w:val="20"/>
        </w:rPr>
        <w:t>STDs</w:t>
      </w:r>
      <w:r>
        <w:rPr>
          <w:rFonts w:ascii="宋体" w:hAnsi="宋体" w:eastAsia="宋体" w:cs="宋体"/>
          <w:spacing w:val="1"/>
          <w:sz w:val="20"/>
          <w:szCs w:val="20"/>
        </w:rPr>
        <w:t>在全球绵延不断、发病率居高不下、流行严重的主要生物学基础。</w:t>
      </w:r>
    </w:p>
    <w:p w14:paraId="25FDC6A1">
      <w:pPr>
        <w:pStyle w:val="2"/>
        <w:spacing w:before="23" w:line="222" w:lineRule="auto"/>
        <w:ind w:left="422"/>
        <w:rPr>
          <w:sz w:val="20"/>
          <w:szCs w:val="20"/>
        </w:rPr>
      </w:pPr>
      <w:r>
        <w:rPr>
          <w:b/>
          <w:bCs/>
          <w:spacing w:val="27"/>
          <w:sz w:val="20"/>
          <w:szCs w:val="20"/>
        </w:rPr>
        <w:t>(二)社会因素</w:t>
      </w:r>
    </w:p>
    <w:p w14:paraId="53522EC1">
      <w:pPr>
        <w:spacing w:before="103" w:line="342" w:lineRule="auto"/>
        <w:ind w:right="561" w:firstLine="420"/>
        <w:jc w:val="both"/>
        <w:rPr>
          <w:rFonts w:ascii="宋体" w:hAnsi="宋体" w:eastAsia="宋体" w:cs="宋体"/>
          <w:sz w:val="20"/>
          <w:szCs w:val="20"/>
        </w:rPr>
      </w:pPr>
      <w:r>
        <w:rPr>
          <w:rFonts w:ascii="宋体" w:hAnsi="宋体" w:eastAsia="宋体" w:cs="宋体"/>
          <w:spacing w:val="3"/>
          <w:sz w:val="20"/>
          <w:szCs w:val="20"/>
        </w:rPr>
        <w:t>一方面，随着经济快速发展和城市化进程加速，人口流动性显著增</w:t>
      </w:r>
      <w:r>
        <w:rPr>
          <w:rFonts w:ascii="宋体" w:hAnsi="宋体" w:eastAsia="宋体" w:cs="宋体"/>
          <w:spacing w:val="2"/>
          <w:sz w:val="20"/>
          <w:szCs w:val="20"/>
        </w:rPr>
        <w:t>强，性活跃人群的高度集中</w:t>
      </w:r>
      <w:r>
        <w:rPr>
          <w:rFonts w:ascii="宋体" w:hAnsi="宋体" w:eastAsia="宋体" w:cs="宋体"/>
          <w:sz w:val="20"/>
          <w:szCs w:val="20"/>
        </w:rPr>
        <w:t xml:space="preserve"> </w:t>
      </w:r>
      <w:r>
        <w:rPr>
          <w:rFonts w:ascii="宋体" w:hAnsi="宋体" w:eastAsia="宋体" w:cs="宋体"/>
          <w:spacing w:val="6"/>
          <w:sz w:val="20"/>
          <w:szCs w:val="20"/>
        </w:rPr>
        <w:t>与频繁迁徙为</w:t>
      </w:r>
      <w:r>
        <w:rPr>
          <w:rFonts w:ascii="Times New Roman" w:hAnsi="Times New Roman" w:eastAsia="Times New Roman" w:cs="Times New Roman"/>
          <w:sz w:val="20"/>
          <w:szCs w:val="20"/>
        </w:rPr>
        <w:t>STDs</w:t>
      </w:r>
      <w:r>
        <w:rPr>
          <w:rFonts w:ascii="Times New Roman" w:hAnsi="Times New Roman" w:eastAsia="Times New Roman" w:cs="Times New Roman"/>
          <w:spacing w:val="37"/>
          <w:sz w:val="20"/>
          <w:szCs w:val="20"/>
        </w:rPr>
        <w:t xml:space="preserve"> </w:t>
      </w:r>
      <w:r>
        <w:rPr>
          <w:rFonts w:ascii="宋体" w:hAnsi="宋体" w:eastAsia="宋体" w:cs="宋体"/>
          <w:spacing w:val="6"/>
          <w:sz w:val="20"/>
          <w:szCs w:val="20"/>
        </w:rPr>
        <w:t>的传播、扩散提供了条件。另一方面，健康教育的不足也加剧了</w:t>
      </w:r>
      <w:r>
        <w:rPr>
          <w:rFonts w:ascii="Times New Roman" w:hAnsi="Times New Roman" w:eastAsia="Times New Roman" w:cs="Times New Roman"/>
          <w:sz w:val="20"/>
          <w:szCs w:val="20"/>
        </w:rPr>
        <w:t>STDs</w:t>
      </w:r>
      <w:r>
        <w:rPr>
          <w:rFonts w:ascii="Times New Roman" w:hAnsi="Times New Roman" w:eastAsia="Times New Roman" w:cs="Times New Roman"/>
          <w:spacing w:val="27"/>
          <w:sz w:val="20"/>
          <w:szCs w:val="20"/>
        </w:rPr>
        <w:t xml:space="preserve"> </w:t>
      </w:r>
      <w:r>
        <w:rPr>
          <w:rFonts w:ascii="宋体" w:hAnsi="宋体" w:eastAsia="宋体" w:cs="宋体"/>
          <w:spacing w:val="6"/>
          <w:sz w:val="20"/>
          <w:szCs w:val="20"/>
        </w:rPr>
        <w:t>的传播</w:t>
      </w:r>
      <w:r>
        <w:rPr>
          <w:rFonts w:ascii="宋体" w:hAnsi="宋体" w:eastAsia="宋体" w:cs="宋体"/>
          <w:sz w:val="20"/>
          <w:szCs w:val="20"/>
        </w:rPr>
        <w:t xml:space="preserve">  </w:t>
      </w:r>
      <w:r>
        <w:rPr>
          <w:rFonts w:ascii="宋体" w:hAnsi="宋体" w:eastAsia="宋体" w:cs="宋体"/>
          <w:spacing w:val="7"/>
          <w:sz w:val="20"/>
          <w:szCs w:val="20"/>
        </w:rPr>
        <w:t>风险。联合国艾滋病规划署2007年报告指出，全球至少有一半青少年从未在学校接受过任何关于</w:t>
      </w:r>
      <w:r>
        <w:rPr>
          <w:rFonts w:ascii="宋体" w:hAnsi="宋体" w:eastAsia="宋体" w:cs="宋体"/>
          <w:spacing w:val="12"/>
          <w:sz w:val="20"/>
          <w:szCs w:val="20"/>
        </w:rPr>
        <w:t xml:space="preserve"> </w:t>
      </w:r>
      <w:r>
        <w:rPr>
          <w:rFonts w:ascii="宋体" w:hAnsi="宋体" w:eastAsia="宋体" w:cs="宋体"/>
          <w:sz w:val="20"/>
          <w:szCs w:val="20"/>
        </w:rPr>
        <w:t>STDs</w:t>
      </w:r>
      <w:r>
        <w:rPr>
          <w:rFonts w:ascii="宋体" w:hAnsi="宋体" w:eastAsia="宋体" w:cs="宋体"/>
          <w:spacing w:val="5"/>
          <w:sz w:val="20"/>
          <w:szCs w:val="20"/>
        </w:rPr>
        <w:t xml:space="preserve"> 的教育。加强健康教育，特别是提升青少年的</w:t>
      </w:r>
      <w:r>
        <w:rPr>
          <w:rFonts w:ascii="宋体" w:hAnsi="宋体" w:eastAsia="宋体" w:cs="宋体"/>
          <w:sz w:val="20"/>
          <w:szCs w:val="20"/>
        </w:rPr>
        <w:t>STDs</w:t>
      </w:r>
      <w:r>
        <w:rPr>
          <w:rFonts w:ascii="宋体" w:hAnsi="宋体" w:eastAsia="宋体" w:cs="宋体"/>
          <w:spacing w:val="5"/>
          <w:sz w:val="20"/>
          <w:szCs w:val="20"/>
        </w:rPr>
        <w:t xml:space="preserve"> 防治知识，对阻</w:t>
      </w:r>
      <w:r>
        <w:rPr>
          <w:rFonts w:ascii="宋体" w:hAnsi="宋体" w:eastAsia="宋体" w:cs="宋体"/>
          <w:spacing w:val="4"/>
          <w:sz w:val="20"/>
          <w:szCs w:val="20"/>
        </w:rPr>
        <w:t>止疾病的传播至关重要。</w:t>
      </w:r>
    </w:p>
    <w:p w14:paraId="3552700A">
      <w:pPr>
        <w:spacing w:line="342" w:lineRule="auto"/>
        <w:rPr>
          <w:rFonts w:ascii="宋体" w:hAnsi="宋体" w:eastAsia="宋体" w:cs="宋体"/>
          <w:sz w:val="20"/>
          <w:szCs w:val="20"/>
        </w:rPr>
        <w:sectPr>
          <w:footerReference r:id="rId350" w:type="default"/>
          <w:pgSz w:w="11900" w:h="16820"/>
          <w:pgMar w:top="400" w:right="988" w:bottom="829" w:left="1559" w:header="0" w:footer="649" w:gutter="0"/>
          <w:cols w:space="720" w:num="1"/>
        </w:sectPr>
      </w:pPr>
    </w:p>
    <w:p w14:paraId="680ACCD5">
      <w:pPr>
        <w:pStyle w:val="2"/>
        <w:spacing w:before="306" w:line="221" w:lineRule="auto"/>
        <w:ind w:left="670"/>
        <w:rPr>
          <w:sz w:val="21"/>
          <w:szCs w:val="21"/>
        </w:rPr>
      </w:pPr>
      <w:bookmarkStart w:id="545" w:name="bookmark595"/>
      <w:bookmarkEnd w:id="545"/>
      <w:r>
        <w:rPr>
          <w:spacing w:val="-15"/>
          <w:w w:val="97"/>
          <w:sz w:val="21"/>
          <w:szCs w:val="21"/>
        </w:rPr>
        <w:t>第二十一章性传播疾病</w:t>
      </w:r>
    </w:p>
    <w:p w14:paraId="7E0A6412">
      <w:pPr>
        <w:spacing w:line="264" w:lineRule="auto"/>
        <w:rPr>
          <w:rFonts w:ascii="Arial"/>
          <w:sz w:val="21"/>
        </w:rPr>
      </w:pPr>
    </w:p>
    <w:p w14:paraId="68C90DEE">
      <w:pPr>
        <w:spacing w:line="265" w:lineRule="auto"/>
        <w:rPr>
          <w:rFonts w:ascii="Arial"/>
          <w:sz w:val="21"/>
        </w:rPr>
      </w:pPr>
    </w:p>
    <w:p w14:paraId="0EFED304">
      <w:pPr>
        <w:spacing w:before="69" w:line="317" w:lineRule="auto"/>
        <w:ind w:left="670" w:right="75"/>
        <w:jc w:val="both"/>
        <w:rPr>
          <w:rFonts w:ascii="宋体" w:hAnsi="宋体" w:eastAsia="宋体" w:cs="宋体"/>
          <w:sz w:val="21"/>
          <w:szCs w:val="21"/>
        </w:rPr>
      </w:pPr>
      <w:r>
        <w:rPr>
          <w:rFonts w:ascii="宋体" w:hAnsi="宋体" w:eastAsia="宋体" w:cs="宋体"/>
          <w:spacing w:val="-1"/>
          <w:sz w:val="21"/>
          <w:szCs w:val="21"/>
        </w:rPr>
        <w:t>在我国一些卫生资源分配不均衡的地区，</w:t>
      </w:r>
      <w:r>
        <w:rPr>
          <w:rFonts w:ascii="Times New Roman" w:hAnsi="Times New Roman" w:eastAsia="Times New Roman" w:cs="Times New Roman"/>
          <w:spacing w:val="-1"/>
          <w:sz w:val="21"/>
          <w:szCs w:val="21"/>
        </w:rPr>
        <w:t xml:space="preserve">STDs </w:t>
      </w:r>
      <w:r>
        <w:rPr>
          <w:rFonts w:ascii="宋体" w:hAnsi="宋体" w:eastAsia="宋体" w:cs="宋体"/>
          <w:spacing w:val="-1"/>
          <w:sz w:val="21"/>
          <w:szCs w:val="21"/>
        </w:rPr>
        <w:t>相关知识普及还有待加强。在这些地区，</w:t>
      </w:r>
      <w:r>
        <w:rPr>
          <w:rFonts w:ascii="Times New Roman" w:hAnsi="Times New Roman" w:eastAsia="Times New Roman" w:cs="Times New Roman"/>
          <w:spacing w:val="-1"/>
          <w:sz w:val="21"/>
          <w:szCs w:val="21"/>
        </w:rPr>
        <w:t>ST</w:t>
      </w:r>
      <w:r>
        <w:rPr>
          <w:rFonts w:ascii="Times New Roman" w:hAnsi="Times New Roman" w:eastAsia="Times New Roman" w:cs="Times New Roman"/>
          <w:spacing w:val="-2"/>
          <w:sz w:val="21"/>
          <w:szCs w:val="21"/>
        </w:rPr>
        <w:t xml:space="preserve">Ds </w:t>
      </w:r>
      <w:r>
        <w:rPr>
          <w:rFonts w:ascii="宋体" w:hAnsi="宋体" w:eastAsia="宋体" w:cs="宋体"/>
          <w:spacing w:val="-2"/>
          <w:sz w:val="21"/>
          <w:szCs w:val="21"/>
        </w:rPr>
        <w:t>相</w:t>
      </w:r>
      <w:r>
        <w:rPr>
          <w:rFonts w:ascii="宋体" w:hAnsi="宋体" w:eastAsia="宋体" w:cs="宋体"/>
          <w:spacing w:val="-36"/>
          <w:sz w:val="21"/>
          <w:szCs w:val="21"/>
        </w:rPr>
        <w:t xml:space="preserve"> </w:t>
      </w:r>
      <w:r>
        <w:rPr>
          <w:rFonts w:ascii="宋体" w:hAnsi="宋体" w:eastAsia="宋体" w:cs="宋体"/>
          <w:spacing w:val="-2"/>
          <w:sz w:val="21"/>
          <w:szCs w:val="21"/>
        </w:rPr>
        <w:t>关</w:t>
      </w:r>
      <w:r>
        <w:rPr>
          <w:rFonts w:ascii="宋体" w:hAnsi="宋体" w:eastAsia="宋体" w:cs="宋体"/>
          <w:sz w:val="21"/>
          <w:szCs w:val="21"/>
        </w:rPr>
        <w:t xml:space="preserve"> </w:t>
      </w:r>
      <w:r>
        <w:rPr>
          <w:rFonts w:ascii="宋体" w:hAnsi="宋体" w:eastAsia="宋体" w:cs="宋体"/>
          <w:spacing w:val="3"/>
          <w:sz w:val="21"/>
          <w:szCs w:val="21"/>
        </w:rPr>
        <w:t>知识的匮乏为经无保护的商业性行为传播</w:t>
      </w:r>
      <w:r>
        <w:rPr>
          <w:rFonts w:ascii="宋体" w:hAnsi="宋体" w:eastAsia="宋体" w:cs="宋体"/>
          <w:sz w:val="21"/>
          <w:szCs w:val="21"/>
        </w:rPr>
        <w:t>STDs</w:t>
      </w:r>
      <w:r>
        <w:rPr>
          <w:rFonts w:ascii="宋体" w:hAnsi="宋体" w:eastAsia="宋体" w:cs="宋体"/>
          <w:spacing w:val="3"/>
          <w:sz w:val="21"/>
          <w:szCs w:val="21"/>
        </w:rPr>
        <w:t xml:space="preserve"> 提供了条件，无保护的商业性行为甚至已成为部分</w:t>
      </w:r>
      <w:r>
        <w:rPr>
          <w:rFonts w:ascii="宋体" w:hAnsi="宋体" w:eastAsia="宋体" w:cs="宋体"/>
          <w:spacing w:val="10"/>
          <w:sz w:val="21"/>
          <w:szCs w:val="21"/>
        </w:rPr>
        <w:t xml:space="preserve"> </w:t>
      </w:r>
      <w:r>
        <w:rPr>
          <w:rFonts w:ascii="宋体" w:hAnsi="宋体" w:eastAsia="宋体" w:cs="宋体"/>
          <w:spacing w:val="3"/>
          <w:sz w:val="21"/>
          <w:szCs w:val="21"/>
        </w:rPr>
        <w:t>地区老年男性</w:t>
      </w:r>
      <w:r>
        <w:rPr>
          <w:rFonts w:ascii="Times New Roman" w:hAnsi="Times New Roman" w:eastAsia="Times New Roman" w:cs="Times New Roman"/>
          <w:sz w:val="21"/>
          <w:szCs w:val="21"/>
        </w:rPr>
        <w:t>STDs</w:t>
      </w:r>
      <w:r>
        <w:rPr>
          <w:rFonts w:ascii="Times New Roman" w:hAnsi="Times New Roman" w:eastAsia="Times New Roman" w:cs="Times New Roman"/>
          <w:spacing w:val="-9"/>
          <w:sz w:val="21"/>
          <w:szCs w:val="21"/>
        </w:rPr>
        <w:t xml:space="preserve"> </w:t>
      </w:r>
      <w:r>
        <w:rPr>
          <w:rFonts w:ascii="宋体" w:hAnsi="宋体" w:eastAsia="宋体" w:cs="宋体"/>
          <w:spacing w:val="3"/>
          <w:sz w:val="21"/>
          <w:szCs w:val="21"/>
        </w:rPr>
        <w:t>传播的重要途径。</w:t>
      </w:r>
    </w:p>
    <w:p w14:paraId="4281D6BC">
      <w:pPr>
        <w:spacing w:before="28" w:line="317" w:lineRule="auto"/>
        <w:ind w:left="670" w:right="63" w:firstLine="419"/>
        <w:jc w:val="both"/>
        <w:rPr>
          <w:rFonts w:ascii="宋体" w:hAnsi="宋体" w:eastAsia="宋体" w:cs="宋体"/>
          <w:sz w:val="21"/>
          <w:szCs w:val="21"/>
        </w:rPr>
      </w:pPr>
      <w:r>
        <w:rPr>
          <w:rFonts w:ascii="宋体" w:hAnsi="宋体" w:eastAsia="宋体" w:cs="宋体"/>
          <w:spacing w:val="-1"/>
          <w:sz w:val="21"/>
          <w:szCs w:val="21"/>
        </w:rPr>
        <w:t>此外，由于社会舆论和心理压力，许多STDs 患</w:t>
      </w:r>
      <w:r>
        <w:rPr>
          <w:rFonts w:ascii="宋体" w:hAnsi="宋体" w:eastAsia="宋体" w:cs="宋体"/>
          <w:spacing w:val="-2"/>
          <w:sz w:val="21"/>
          <w:szCs w:val="21"/>
        </w:rPr>
        <w:t>者不愿就医，或选择非正规渠道治疗，导致病情</w:t>
      </w:r>
      <w:r>
        <w:rPr>
          <w:rFonts w:ascii="宋体" w:hAnsi="宋体" w:eastAsia="宋体" w:cs="宋体"/>
          <w:sz w:val="21"/>
          <w:szCs w:val="21"/>
        </w:rPr>
        <w:t xml:space="preserve"> </w:t>
      </w:r>
      <w:r>
        <w:rPr>
          <w:rFonts w:ascii="宋体" w:hAnsi="宋体" w:eastAsia="宋体" w:cs="宋体"/>
          <w:spacing w:val="-4"/>
          <w:sz w:val="21"/>
          <w:szCs w:val="21"/>
        </w:rPr>
        <w:t>迁延不愈，增加了耐药性问题，进一步增加了疾病的扩散风险。同时，无论同性或异性性行为，</w:t>
      </w:r>
      <w:r>
        <w:rPr>
          <w:rFonts w:ascii="宋体" w:hAnsi="宋体" w:eastAsia="宋体" w:cs="宋体"/>
          <w:spacing w:val="-5"/>
          <w:sz w:val="21"/>
          <w:szCs w:val="21"/>
        </w:rPr>
        <w:t>短期</w:t>
      </w:r>
      <w:r>
        <w:rPr>
          <w:rFonts w:ascii="宋体" w:hAnsi="宋体" w:eastAsia="宋体" w:cs="宋体"/>
          <w:sz w:val="21"/>
          <w:szCs w:val="21"/>
        </w:rPr>
        <w:t xml:space="preserve"> </w:t>
      </w:r>
      <w:r>
        <w:rPr>
          <w:rFonts w:ascii="宋体" w:hAnsi="宋体" w:eastAsia="宋体" w:cs="宋体"/>
          <w:spacing w:val="7"/>
          <w:sz w:val="21"/>
          <w:szCs w:val="21"/>
        </w:rPr>
        <w:t>内与多个性伴发生性行为都会显著提高感染</w:t>
      </w:r>
      <w:r>
        <w:rPr>
          <w:rFonts w:ascii="宋体" w:hAnsi="宋体" w:eastAsia="宋体" w:cs="宋体"/>
          <w:sz w:val="21"/>
          <w:szCs w:val="21"/>
        </w:rPr>
        <w:t>STDs</w:t>
      </w:r>
      <w:r>
        <w:rPr>
          <w:rFonts w:ascii="宋体" w:hAnsi="宋体" w:eastAsia="宋体" w:cs="宋体"/>
          <w:spacing w:val="7"/>
          <w:sz w:val="21"/>
          <w:szCs w:val="21"/>
        </w:rPr>
        <w:t xml:space="preserve"> 的风险。而吸毒和</w:t>
      </w:r>
      <w:r>
        <w:rPr>
          <w:rFonts w:ascii="宋体" w:hAnsi="宋体" w:eastAsia="宋体" w:cs="宋体"/>
          <w:spacing w:val="6"/>
          <w:sz w:val="21"/>
          <w:szCs w:val="21"/>
        </w:rPr>
        <w:t>贩毒问题也是</w:t>
      </w:r>
      <w:r>
        <w:rPr>
          <w:rFonts w:ascii="宋体" w:hAnsi="宋体" w:eastAsia="宋体" w:cs="宋体"/>
          <w:sz w:val="21"/>
          <w:szCs w:val="21"/>
        </w:rPr>
        <w:t>STDs</w:t>
      </w:r>
      <w:r>
        <w:rPr>
          <w:rFonts w:ascii="宋体" w:hAnsi="宋体" w:eastAsia="宋体" w:cs="宋体"/>
          <w:spacing w:val="-16"/>
          <w:sz w:val="21"/>
          <w:szCs w:val="21"/>
        </w:rPr>
        <w:t xml:space="preserve"> </w:t>
      </w:r>
      <w:r>
        <w:rPr>
          <w:rFonts w:ascii="宋体" w:hAnsi="宋体" w:eastAsia="宋体" w:cs="宋体"/>
          <w:spacing w:val="6"/>
          <w:sz w:val="21"/>
          <w:szCs w:val="21"/>
        </w:rPr>
        <w:t>传播另一</w:t>
      </w:r>
      <w:r>
        <w:rPr>
          <w:rFonts w:ascii="宋体" w:hAnsi="宋体" w:eastAsia="宋体" w:cs="宋体"/>
          <w:sz w:val="21"/>
          <w:szCs w:val="21"/>
        </w:rPr>
        <w:t xml:space="preserve"> </w:t>
      </w:r>
      <w:r>
        <w:rPr>
          <w:rFonts w:ascii="宋体" w:hAnsi="宋体" w:eastAsia="宋体" w:cs="宋体"/>
          <w:spacing w:val="-2"/>
          <w:sz w:val="21"/>
          <w:szCs w:val="21"/>
        </w:rPr>
        <w:t>个不可忽视的社会因素。</w:t>
      </w:r>
    </w:p>
    <w:p w14:paraId="47787E94">
      <w:pPr>
        <w:spacing w:line="400" w:lineRule="auto"/>
        <w:rPr>
          <w:rFonts w:ascii="Arial"/>
          <w:sz w:val="21"/>
        </w:rPr>
      </w:pPr>
    </w:p>
    <w:p w14:paraId="79C31E40">
      <w:pPr>
        <w:pStyle w:val="2"/>
        <w:spacing w:before="101" w:line="221" w:lineRule="auto"/>
        <w:ind w:left="3564"/>
        <w:outlineLvl w:val="4"/>
        <w:rPr>
          <w:sz w:val="31"/>
          <w:szCs w:val="31"/>
        </w:rPr>
      </w:pPr>
      <w:bookmarkStart w:id="546" w:name="bookmark338"/>
      <w:bookmarkEnd w:id="546"/>
      <w:r>
        <w:rPr>
          <w:b/>
          <w:bCs/>
          <w:spacing w:val="-12"/>
          <w:sz w:val="31"/>
          <w:szCs w:val="31"/>
        </w:rPr>
        <w:t>第三节</w:t>
      </w:r>
      <w:r>
        <w:rPr>
          <w:spacing w:val="143"/>
          <w:sz w:val="31"/>
          <w:szCs w:val="31"/>
        </w:rPr>
        <w:t xml:space="preserve"> </w:t>
      </w:r>
      <w:r>
        <w:rPr>
          <w:b/>
          <w:bCs/>
          <w:spacing w:val="-12"/>
          <w:sz w:val="31"/>
          <w:szCs w:val="31"/>
        </w:rPr>
        <w:t>预防策略与措施</w:t>
      </w:r>
    </w:p>
    <w:p w14:paraId="35D16389">
      <w:pPr>
        <w:spacing w:line="351" w:lineRule="auto"/>
        <w:rPr>
          <w:rFonts w:ascii="Arial"/>
          <w:sz w:val="21"/>
        </w:rPr>
      </w:pPr>
    </w:p>
    <w:p w14:paraId="044AAC95">
      <w:pPr>
        <w:pStyle w:val="2"/>
        <w:spacing w:before="85" w:line="222" w:lineRule="auto"/>
        <w:ind w:left="1093"/>
        <w:outlineLvl w:val="4"/>
        <w:rPr>
          <w:sz w:val="26"/>
          <w:szCs w:val="26"/>
        </w:rPr>
      </w:pPr>
      <w:bookmarkStart w:id="547" w:name="bookmark339"/>
      <w:bookmarkEnd w:id="547"/>
      <w:r>
        <w:rPr>
          <w:b/>
          <w:bCs/>
          <w:spacing w:val="-10"/>
          <w:sz w:val="26"/>
          <w:szCs w:val="26"/>
        </w:rPr>
        <w:t>一、策略</w:t>
      </w:r>
    </w:p>
    <w:p w14:paraId="0B9A6F89">
      <w:pPr>
        <w:spacing w:before="219" w:line="326" w:lineRule="auto"/>
        <w:ind w:left="670" w:right="46" w:firstLine="419"/>
        <w:jc w:val="both"/>
        <w:rPr>
          <w:rFonts w:ascii="宋体" w:hAnsi="宋体" w:eastAsia="宋体" w:cs="宋体"/>
          <w:sz w:val="21"/>
          <w:szCs w:val="21"/>
        </w:rPr>
      </w:pPr>
      <w:r>
        <w:rPr>
          <w:rFonts w:ascii="Times New Roman" w:hAnsi="Times New Roman" w:eastAsia="Times New Roman" w:cs="Times New Roman"/>
          <w:sz w:val="21"/>
          <w:szCs w:val="21"/>
        </w:rPr>
        <w:t>STDs</w:t>
      </w:r>
      <w:r>
        <w:rPr>
          <w:rFonts w:ascii="宋体" w:hAnsi="宋体" w:eastAsia="宋体" w:cs="宋体"/>
          <w:sz w:val="21"/>
          <w:szCs w:val="21"/>
        </w:rPr>
        <w:t xml:space="preserve">是重要的公共卫生问题，从宏观、战略性、全局性的角度来讲还关乎人类整体发展。2022 </w:t>
      </w:r>
      <w:r>
        <w:rPr>
          <w:rFonts w:ascii="宋体" w:hAnsi="宋体" w:eastAsia="宋体" w:cs="宋体"/>
          <w:spacing w:val="11"/>
          <w:sz w:val="21"/>
          <w:szCs w:val="21"/>
        </w:rPr>
        <w:t>年第75届世界卫生大会发布了《</w:t>
      </w:r>
      <w:r>
        <w:rPr>
          <w:rFonts w:ascii="Times New Roman" w:hAnsi="Times New Roman" w:eastAsia="Times New Roman" w:cs="Times New Roman"/>
          <w:sz w:val="21"/>
          <w:szCs w:val="21"/>
        </w:rPr>
        <w:t>HIV</w:t>
      </w:r>
      <w:r>
        <w:rPr>
          <w:rFonts w:ascii="宋体" w:hAnsi="宋体" w:eastAsia="宋体" w:cs="宋体"/>
          <w:spacing w:val="11"/>
          <w:sz w:val="21"/>
          <w:szCs w:val="21"/>
        </w:rPr>
        <w:t>、病毒性肝炎和性传播感染2022—2030年全球卫生部门战</w:t>
      </w:r>
      <w:r>
        <w:rPr>
          <w:rFonts w:ascii="宋体" w:hAnsi="宋体" w:eastAsia="宋体" w:cs="宋体"/>
          <w:spacing w:val="14"/>
          <w:sz w:val="21"/>
          <w:szCs w:val="21"/>
        </w:rPr>
        <w:t xml:space="preserve"> </w:t>
      </w:r>
      <w:r>
        <w:rPr>
          <w:rFonts w:ascii="宋体" w:hAnsi="宋体" w:eastAsia="宋体" w:cs="宋体"/>
          <w:spacing w:val="-3"/>
          <w:sz w:val="21"/>
          <w:szCs w:val="21"/>
        </w:rPr>
        <w:t>略》。该战略基于《2016—2021年全球卫生部门</w:t>
      </w:r>
      <w:r>
        <w:rPr>
          <w:rFonts w:ascii="宋体" w:hAnsi="宋体" w:eastAsia="宋体" w:cs="宋体"/>
          <w:spacing w:val="-4"/>
          <w:sz w:val="21"/>
          <w:szCs w:val="21"/>
        </w:rPr>
        <w:t>性传播感染战略》取得的成就和吸取的经验教训，旨</w:t>
      </w:r>
      <w:r>
        <w:rPr>
          <w:rFonts w:ascii="宋体" w:hAnsi="宋体" w:eastAsia="宋体" w:cs="宋体"/>
          <w:sz w:val="21"/>
          <w:szCs w:val="21"/>
        </w:rPr>
        <w:t xml:space="preserve"> </w:t>
      </w:r>
      <w:r>
        <w:rPr>
          <w:rFonts w:ascii="宋体" w:hAnsi="宋体" w:eastAsia="宋体" w:cs="宋体"/>
          <w:spacing w:val="3"/>
          <w:sz w:val="21"/>
          <w:szCs w:val="21"/>
        </w:rPr>
        <w:t>在2030年前终结</w:t>
      </w:r>
      <w:r>
        <w:rPr>
          <w:rFonts w:ascii="Times New Roman" w:hAnsi="Times New Roman" w:eastAsia="Times New Roman" w:cs="Times New Roman"/>
          <w:sz w:val="21"/>
          <w:szCs w:val="21"/>
        </w:rPr>
        <w:t>AIDS</w:t>
      </w:r>
      <w:r>
        <w:rPr>
          <w:rFonts w:ascii="宋体" w:hAnsi="宋体" w:eastAsia="宋体" w:cs="宋体"/>
          <w:spacing w:val="3"/>
          <w:sz w:val="21"/>
          <w:szCs w:val="21"/>
        </w:rPr>
        <w:t>、乙型和丙型病毒性肝炎及</w:t>
      </w:r>
      <w:r>
        <w:rPr>
          <w:rFonts w:ascii="Times New Roman" w:hAnsi="Times New Roman" w:eastAsia="Times New Roman" w:cs="Times New Roman"/>
          <w:sz w:val="21"/>
          <w:szCs w:val="21"/>
        </w:rPr>
        <w:t>STIs</w:t>
      </w:r>
      <w:r>
        <w:rPr>
          <w:rFonts w:ascii="Times New Roman" w:hAnsi="Times New Roman" w:eastAsia="Times New Roman" w:cs="Times New Roman"/>
          <w:spacing w:val="24"/>
          <w:sz w:val="21"/>
          <w:szCs w:val="21"/>
        </w:rPr>
        <w:t xml:space="preserve"> </w:t>
      </w:r>
      <w:r>
        <w:rPr>
          <w:rFonts w:ascii="宋体" w:hAnsi="宋体" w:eastAsia="宋体" w:cs="宋体"/>
          <w:spacing w:val="3"/>
          <w:sz w:val="21"/>
          <w:szCs w:val="21"/>
        </w:rPr>
        <w:t>的流行，为全球、区域和国家层面的行动提</w:t>
      </w:r>
      <w:r>
        <w:rPr>
          <w:rFonts w:ascii="宋体" w:hAnsi="宋体" w:eastAsia="宋体" w:cs="宋体"/>
          <w:sz w:val="21"/>
          <w:szCs w:val="21"/>
        </w:rPr>
        <w:t xml:space="preserve"> </w:t>
      </w:r>
      <w:r>
        <w:rPr>
          <w:rFonts w:ascii="宋体" w:hAnsi="宋体" w:eastAsia="宋体" w:cs="宋体"/>
          <w:spacing w:val="-2"/>
          <w:sz w:val="21"/>
          <w:szCs w:val="21"/>
        </w:rPr>
        <w:t>供指导框架。其核心内容包括：</w:t>
      </w:r>
    </w:p>
    <w:p w14:paraId="5E162F00">
      <w:pPr>
        <w:pStyle w:val="2"/>
        <w:spacing w:before="14" w:line="279" w:lineRule="auto"/>
        <w:ind w:left="670" w:right="69" w:firstLine="419"/>
        <w:rPr>
          <w:rFonts w:ascii="宋体" w:hAnsi="宋体" w:eastAsia="宋体" w:cs="宋体"/>
          <w:sz w:val="21"/>
          <w:szCs w:val="21"/>
        </w:rPr>
      </w:pPr>
      <w:r>
        <w:rPr>
          <w:rFonts w:ascii="宋体" w:hAnsi="宋体" w:eastAsia="宋体" w:cs="宋体"/>
          <w:spacing w:val="-1"/>
          <w:sz w:val="21"/>
          <w:szCs w:val="21"/>
        </w:rPr>
        <w:t xml:space="preserve">1. </w:t>
      </w:r>
      <w:r>
        <w:rPr>
          <w:spacing w:val="-1"/>
          <w:sz w:val="21"/>
          <w:szCs w:val="21"/>
        </w:rPr>
        <w:t>提供高质量、循证、以人为本的服务</w:t>
      </w:r>
      <w:r>
        <w:rPr>
          <w:spacing w:val="76"/>
          <w:sz w:val="21"/>
          <w:szCs w:val="21"/>
        </w:rPr>
        <w:t xml:space="preserve"> </w:t>
      </w:r>
      <w:r>
        <w:rPr>
          <w:rFonts w:ascii="宋体" w:hAnsi="宋体" w:eastAsia="宋体" w:cs="宋体"/>
          <w:spacing w:val="-1"/>
          <w:sz w:val="21"/>
          <w:szCs w:val="21"/>
        </w:rPr>
        <w:t>利用科学研究和基本服务方面的创新，加速获取和利</w:t>
      </w:r>
      <w:r>
        <w:rPr>
          <w:rFonts w:ascii="宋体" w:hAnsi="宋体" w:eastAsia="宋体" w:cs="宋体"/>
          <w:sz w:val="21"/>
          <w:szCs w:val="21"/>
        </w:rPr>
        <w:t xml:space="preserve"> </w:t>
      </w:r>
      <w:r>
        <w:rPr>
          <w:rFonts w:ascii="宋体" w:hAnsi="宋体" w:eastAsia="宋体" w:cs="宋体"/>
          <w:spacing w:val="4"/>
          <w:sz w:val="21"/>
          <w:szCs w:val="21"/>
        </w:rPr>
        <w:t>用针对</w:t>
      </w:r>
      <w:r>
        <w:rPr>
          <w:rFonts w:ascii="Times New Roman" w:hAnsi="Times New Roman" w:eastAsia="Times New Roman" w:cs="Times New Roman"/>
          <w:sz w:val="21"/>
          <w:szCs w:val="21"/>
        </w:rPr>
        <w:t>HIV</w:t>
      </w:r>
      <w:r>
        <w:rPr>
          <w:rFonts w:ascii="Times New Roman" w:hAnsi="Times New Roman" w:eastAsia="Times New Roman" w:cs="Times New Roman"/>
          <w:spacing w:val="17"/>
          <w:w w:val="101"/>
          <w:sz w:val="21"/>
          <w:szCs w:val="21"/>
        </w:rPr>
        <w:t xml:space="preserve"> </w:t>
      </w:r>
      <w:r>
        <w:rPr>
          <w:rFonts w:ascii="宋体" w:hAnsi="宋体" w:eastAsia="宋体" w:cs="宋体"/>
          <w:spacing w:val="4"/>
          <w:sz w:val="21"/>
          <w:szCs w:val="21"/>
        </w:rPr>
        <w:t>感染、病毒性肝炎和</w:t>
      </w:r>
      <w:r>
        <w:rPr>
          <w:rFonts w:ascii="Times New Roman" w:hAnsi="Times New Roman" w:eastAsia="Times New Roman" w:cs="Times New Roman"/>
          <w:sz w:val="21"/>
          <w:szCs w:val="21"/>
        </w:rPr>
        <w:t>STIs</w:t>
      </w:r>
      <w:r>
        <w:rPr>
          <w:rFonts w:ascii="Times New Roman" w:hAnsi="Times New Roman" w:eastAsia="Times New Roman" w:cs="Times New Roman"/>
          <w:spacing w:val="34"/>
          <w:sz w:val="21"/>
          <w:szCs w:val="21"/>
        </w:rPr>
        <w:t xml:space="preserve"> </w:t>
      </w:r>
      <w:r>
        <w:rPr>
          <w:rFonts w:ascii="宋体" w:hAnsi="宋体" w:eastAsia="宋体" w:cs="宋体"/>
          <w:spacing w:val="4"/>
          <w:sz w:val="21"/>
          <w:szCs w:val="21"/>
        </w:rPr>
        <w:t>的一系列高质量基本服务和其他相关卫生服务，以满足各类</w:t>
      </w:r>
      <w:r>
        <w:rPr>
          <w:rFonts w:ascii="宋体" w:hAnsi="宋体" w:eastAsia="宋体" w:cs="宋体"/>
          <w:sz w:val="21"/>
          <w:szCs w:val="21"/>
        </w:rPr>
        <w:t xml:space="preserve"> </w:t>
      </w:r>
      <w:r>
        <w:rPr>
          <w:rFonts w:ascii="宋体" w:hAnsi="宋体" w:eastAsia="宋体" w:cs="宋体"/>
          <w:spacing w:val="2"/>
          <w:sz w:val="21"/>
          <w:szCs w:val="21"/>
        </w:rPr>
        <w:t>群体的需求。</w:t>
      </w:r>
    </w:p>
    <w:p w14:paraId="017D3D1B">
      <w:pPr>
        <w:pStyle w:val="2"/>
        <w:spacing w:before="129" w:line="265" w:lineRule="auto"/>
        <w:ind w:left="670" w:right="74" w:firstLine="419"/>
        <w:rPr>
          <w:rFonts w:ascii="宋体" w:hAnsi="宋体" w:eastAsia="宋体" w:cs="宋体"/>
          <w:sz w:val="21"/>
          <w:szCs w:val="21"/>
        </w:rPr>
      </w:pPr>
      <w:r>
        <w:rPr>
          <w:rFonts w:ascii="宋体" w:hAnsi="宋体" w:eastAsia="宋体" w:cs="宋体"/>
          <w:spacing w:val="9"/>
          <w:sz w:val="21"/>
          <w:szCs w:val="21"/>
        </w:rPr>
        <w:t>2. 优化协作关系</w:t>
      </w:r>
      <w:r>
        <w:rPr>
          <w:rFonts w:ascii="宋体" w:hAnsi="宋体" w:eastAsia="宋体" w:cs="宋体"/>
          <w:spacing w:val="89"/>
          <w:sz w:val="21"/>
          <w:szCs w:val="21"/>
        </w:rPr>
        <w:t xml:space="preserve"> </w:t>
      </w:r>
      <w:r>
        <w:rPr>
          <w:spacing w:val="9"/>
          <w:sz w:val="21"/>
          <w:szCs w:val="21"/>
        </w:rPr>
        <w:t>促</w:t>
      </w:r>
      <w:r>
        <w:rPr>
          <w:rFonts w:ascii="宋体" w:hAnsi="宋体" w:eastAsia="宋体" w:cs="宋体"/>
          <w:spacing w:val="9"/>
          <w:sz w:val="21"/>
          <w:szCs w:val="21"/>
        </w:rPr>
        <w:t>进卫生部门、社会公益组织、研究机构等的协调合作，以实现影响最</w:t>
      </w:r>
      <w:r>
        <w:rPr>
          <w:rFonts w:ascii="宋体" w:hAnsi="宋体" w:eastAsia="宋体" w:cs="宋体"/>
          <w:sz w:val="21"/>
          <w:szCs w:val="21"/>
        </w:rPr>
        <w:t xml:space="preserve"> </w:t>
      </w:r>
      <w:r>
        <w:rPr>
          <w:rFonts w:ascii="宋体" w:hAnsi="宋体" w:eastAsia="宋体" w:cs="宋体"/>
          <w:spacing w:val="1"/>
          <w:sz w:val="21"/>
          <w:szCs w:val="21"/>
        </w:rPr>
        <w:t>大化。</w:t>
      </w:r>
    </w:p>
    <w:p w14:paraId="00186664">
      <w:pPr>
        <w:pStyle w:val="2"/>
        <w:spacing w:before="117" w:line="276" w:lineRule="auto"/>
        <w:ind w:left="670" w:right="76" w:firstLine="419"/>
        <w:rPr>
          <w:rFonts w:ascii="宋体" w:hAnsi="宋体" w:eastAsia="宋体" w:cs="宋体"/>
          <w:sz w:val="21"/>
          <w:szCs w:val="21"/>
        </w:rPr>
      </w:pPr>
      <w:r>
        <w:rPr>
          <w:rFonts w:ascii="宋体" w:hAnsi="宋体" w:eastAsia="宋体" w:cs="宋体"/>
          <w:spacing w:val="3"/>
          <w:sz w:val="21"/>
          <w:szCs w:val="21"/>
        </w:rPr>
        <w:t xml:space="preserve">3. </w:t>
      </w:r>
      <w:r>
        <w:rPr>
          <w:spacing w:val="3"/>
          <w:sz w:val="21"/>
          <w:szCs w:val="21"/>
        </w:rPr>
        <w:t xml:space="preserve">数据驱动决策  </w:t>
      </w:r>
      <w:r>
        <w:rPr>
          <w:rFonts w:ascii="宋体" w:hAnsi="宋体" w:eastAsia="宋体" w:cs="宋体"/>
          <w:spacing w:val="3"/>
          <w:sz w:val="21"/>
          <w:szCs w:val="21"/>
        </w:rPr>
        <w:t>收集、分析和使用关键数据，并按性别、年龄和其他相关人口特征进行分</w:t>
      </w:r>
      <w:r>
        <w:rPr>
          <w:rFonts w:ascii="宋体" w:hAnsi="宋体" w:eastAsia="宋体" w:cs="宋体"/>
          <w:spacing w:val="4"/>
          <w:sz w:val="21"/>
          <w:szCs w:val="21"/>
        </w:rPr>
        <w:t xml:space="preserve"> </w:t>
      </w:r>
      <w:r>
        <w:rPr>
          <w:rFonts w:ascii="宋体" w:hAnsi="宋体" w:eastAsia="宋体" w:cs="宋体"/>
          <w:spacing w:val="-7"/>
          <w:sz w:val="21"/>
          <w:szCs w:val="21"/>
        </w:rPr>
        <w:t>类，以监测和评价进展情况，指导行动、创新和研发，并提高数据透明度，</w:t>
      </w:r>
      <w:r>
        <w:rPr>
          <w:rFonts w:ascii="宋体" w:hAnsi="宋体" w:eastAsia="宋体" w:cs="宋体"/>
          <w:spacing w:val="-8"/>
          <w:sz w:val="21"/>
          <w:szCs w:val="21"/>
        </w:rPr>
        <w:t>实行问责制。</w:t>
      </w:r>
    </w:p>
    <w:p w14:paraId="36F066B3">
      <w:pPr>
        <w:pStyle w:val="2"/>
        <w:spacing w:before="132" w:line="285" w:lineRule="auto"/>
        <w:ind w:left="670" w:right="72" w:firstLine="419"/>
        <w:rPr>
          <w:rFonts w:ascii="宋体" w:hAnsi="宋体" w:eastAsia="宋体" w:cs="宋体"/>
          <w:sz w:val="21"/>
          <w:szCs w:val="21"/>
        </w:rPr>
      </w:pPr>
      <w:r>
        <w:rPr>
          <w:rFonts w:ascii="宋体" w:hAnsi="宋体" w:eastAsia="宋体" w:cs="宋体"/>
          <w:spacing w:val="9"/>
          <w:sz w:val="21"/>
          <w:szCs w:val="21"/>
        </w:rPr>
        <w:t xml:space="preserve">4. </w:t>
      </w:r>
      <w:r>
        <w:rPr>
          <w:spacing w:val="9"/>
          <w:sz w:val="21"/>
          <w:szCs w:val="21"/>
        </w:rPr>
        <w:t>提升社区和社会组织参与度</w:t>
      </w:r>
      <w:r>
        <w:rPr>
          <w:spacing w:val="88"/>
          <w:sz w:val="21"/>
          <w:szCs w:val="21"/>
        </w:rPr>
        <w:t xml:space="preserve"> </w:t>
      </w:r>
      <w:r>
        <w:rPr>
          <w:rFonts w:ascii="宋体" w:hAnsi="宋体" w:eastAsia="宋体" w:cs="宋体"/>
          <w:spacing w:val="9"/>
          <w:sz w:val="21"/>
          <w:szCs w:val="21"/>
        </w:rPr>
        <w:t>鼓励社区和社会组织，尤其是关键和受影响人群的积极参</w:t>
      </w:r>
      <w:r>
        <w:rPr>
          <w:rFonts w:ascii="宋体" w:hAnsi="宋体" w:eastAsia="宋体" w:cs="宋体"/>
          <w:sz w:val="21"/>
          <w:szCs w:val="21"/>
        </w:rPr>
        <w:t xml:space="preserve"> </w:t>
      </w:r>
      <w:r>
        <w:rPr>
          <w:rFonts w:ascii="宋体" w:hAnsi="宋体" w:eastAsia="宋体" w:cs="宋体"/>
          <w:spacing w:val="1"/>
          <w:sz w:val="21"/>
          <w:szCs w:val="21"/>
        </w:rPr>
        <w:t>与，支持他们增强自身能力，在宣传、服务提供和决策过程中发挥关键</w:t>
      </w:r>
      <w:r>
        <w:rPr>
          <w:rFonts w:ascii="宋体" w:hAnsi="宋体" w:eastAsia="宋体" w:cs="宋体"/>
          <w:sz w:val="21"/>
          <w:szCs w:val="21"/>
        </w:rPr>
        <w:t xml:space="preserve">作用，确保服务切实符合需 </w:t>
      </w:r>
      <w:r>
        <w:rPr>
          <w:rFonts w:ascii="宋体" w:hAnsi="宋体" w:eastAsia="宋体" w:cs="宋体"/>
          <w:spacing w:val="-4"/>
          <w:sz w:val="21"/>
          <w:szCs w:val="21"/>
        </w:rPr>
        <w:t>求，同时有效应对污名化和歧视问题。</w:t>
      </w:r>
    </w:p>
    <w:p w14:paraId="4E542EA5">
      <w:pPr>
        <w:pStyle w:val="2"/>
        <w:spacing w:before="104" w:line="270" w:lineRule="auto"/>
        <w:ind w:left="670" w:right="76" w:firstLine="422"/>
        <w:rPr>
          <w:rFonts w:ascii="宋体" w:hAnsi="宋体" w:eastAsia="宋体" w:cs="宋体"/>
          <w:sz w:val="21"/>
          <w:szCs w:val="21"/>
        </w:rPr>
      </w:pPr>
      <w:r>
        <w:rPr>
          <w:rFonts w:ascii="宋体" w:hAnsi="宋体" w:eastAsia="宋体" w:cs="宋体"/>
          <w:b/>
          <w:bCs/>
          <w:spacing w:val="5"/>
          <w:sz w:val="21"/>
          <w:szCs w:val="21"/>
        </w:rPr>
        <w:t>5.</w:t>
      </w:r>
      <w:r>
        <w:rPr>
          <w:rFonts w:ascii="宋体" w:hAnsi="宋体" w:eastAsia="宋体" w:cs="宋体"/>
          <w:spacing w:val="5"/>
          <w:sz w:val="21"/>
          <w:szCs w:val="21"/>
        </w:rPr>
        <w:t xml:space="preserve"> </w:t>
      </w:r>
      <w:r>
        <w:rPr>
          <w:b/>
          <w:bCs/>
          <w:spacing w:val="5"/>
          <w:sz w:val="21"/>
          <w:szCs w:val="21"/>
        </w:rPr>
        <w:t>促进创新</w:t>
      </w:r>
      <w:r>
        <w:rPr>
          <w:spacing w:val="5"/>
          <w:sz w:val="21"/>
          <w:szCs w:val="21"/>
        </w:rPr>
        <w:t xml:space="preserve"> </w:t>
      </w:r>
      <w:r>
        <w:rPr>
          <w:rFonts w:ascii="宋体" w:hAnsi="宋体" w:eastAsia="宋体" w:cs="宋体"/>
          <w:spacing w:val="5"/>
          <w:sz w:val="21"/>
          <w:szCs w:val="21"/>
        </w:rPr>
        <w:t>多部门协作制定和实施国家、区域和全球研究与创新策略和措施，优先发展新</w:t>
      </w:r>
      <w:r>
        <w:rPr>
          <w:rFonts w:ascii="宋体" w:hAnsi="宋体" w:eastAsia="宋体" w:cs="宋体"/>
          <w:spacing w:val="11"/>
          <w:sz w:val="21"/>
          <w:szCs w:val="21"/>
        </w:rPr>
        <w:t xml:space="preserve"> </w:t>
      </w:r>
      <w:r>
        <w:rPr>
          <w:rFonts w:ascii="宋体" w:hAnsi="宋体" w:eastAsia="宋体" w:cs="宋体"/>
          <w:spacing w:val="-4"/>
          <w:sz w:val="21"/>
          <w:szCs w:val="21"/>
        </w:rPr>
        <w:t>技术，以在防治</w:t>
      </w:r>
      <w:r>
        <w:rPr>
          <w:rFonts w:ascii="Times New Roman" w:hAnsi="Times New Roman" w:eastAsia="Times New Roman" w:cs="Times New Roman"/>
          <w:spacing w:val="-4"/>
          <w:sz w:val="21"/>
          <w:szCs w:val="21"/>
        </w:rPr>
        <w:t>HIV</w:t>
      </w:r>
      <w:r>
        <w:rPr>
          <w:rFonts w:ascii="宋体" w:hAnsi="宋体" w:eastAsia="宋体" w:cs="宋体"/>
          <w:spacing w:val="-4"/>
          <w:sz w:val="21"/>
          <w:szCs w:val="21"/>
        </w:rPr>
        <w:t>、病毒性肝炎和</w:t>
      </w:r>
      <w:r>
        <w:rPr>
          <w:rFonts w:ascii="Times New Roman" w:hAnsi="Times New Roman" w:eastAsia="Times New Roman" w:cs="Times New Roman"/>
          <w:spacing w:val="-4"/>
          <w:sz w:val="21"/>
          <w:szCs w:val="21"/>
        </w:rPr>
        <w:t xml:space="preserve">STIs </w:t>
      </w:r>
      <w:r>
        <w:rPr>
          <w:rFonts w:ascii="宋体" w:hAnsi="宋体" w:eastAsia="宋体" w:cs="宋体"/>
          <w:spacing w:val="-4"/>
          <w:sz w:val="21"/>
          <w:szCs w:val="21"/>
        </w:rPr>
        <w:t>方面取得进展。</w:t>
      </w:r>
    </w:p>
    <w:p w14:paraId="0558E8C4">
      <w:pPr>
        <w:pStyle w:val="2"/>
        <w:spacing w:before="310" w:line="223" w:lineRule="auto"/>
        <w:ind w:left="1093"/>
        <w:outlineLvl w:val="4"/>
        <w:rPr>
          <w:sz w:val="26"/>
          <w:szCs w:val="26"/>
        </w:rPr>
      </w:pPr>
      <w:bookmarkStart w:id="548" w:name="bookmark340"/>
      <w:bookmarkEnd w:id="548"/>
      <w:r>
        <w:rPr>
          <w:b/>
          <w:bCs/>
          <w:spacing w:val="-10"/>
          <w:sz w:val="26"/>
          <w:szCs w:val="26"/>
        </w:rPr>
        <w:t>二、措施</w:t>
      </w:r>
    </w:p>
    <w:p w14:paraId="7088E2BE">
      <w:pPr>
        <w:spacing w:before="227" w:line="320" w:lineRule="auto"/>
        <w:ind w:left="670" w:right="100" w:firstLine="419"/>
        <w:rPr>
          <w:rFonts w:ascii="宋体" w:hAnsi="宋体" w:eastAsia="宋体" w:cs="宋体"/>
          <w:sz w:val="21"/>
          <w:szCs w:val="21"/>
        </w:rPr>
      </w:pPr>
      <w:r>
        <w:rPr>
          <w:rFonts w:ascii="宋体" w:hAnsi="宋体" w:eastAsia="宋体" w:cs="宋体"/>
          <w:spacing w:val="-3"/>
          <w:sz w:val="21"/>
          <w:szCs w:val="21"/>
        </w:rPr>
        <w:t>和其他传染病一样，</w:t>
      </w:r>
      <w:r>
        <w:rPr>
          <w:rFonts w:ascii="Times New Roman" w:hAnsi="Times New Roman" w:eastAsia="Times New Roman" w:cs="Times New Roman"/>
          <w:spacing w:val="-3"/>
          <w:sz w:val="21"/>
          <w:szCs w:val="21"/>
        </w:rPr>
        <w:t>STDs</w:t>
      </w:r>
      <w:r>
        <w:rPr>
          <w:rFonts w:ascii="Times New Roman" w:hAnsi="Times New Roman" w:eastAsia="Times New Roman" w:cs="Times New Roman"/>
          <w:spacing w:val="21"/>
          <w:w w:val="101"/>
          <w:sz w:val="21"/>
          <w:szCs w:val="21"/>
        </w:rPr>
        <w:t xml:space="preserve"> </w:t>
      </w:r>
      <w:r>
        <w:rPr>
          <w:rFonts w:ascii="宋体" w:hAnsi="宋体" w:eastAsia="宋体" w:cs="宋体"/>
          <w:spacing w:val="-3"/>
          <w:sz w:val="21"/>
          <w:szCs w:val="21"/>
        </w:rPr>
        <w:t>的预防控制包括针对传染源、传播途径、易感人群和影响因素的多种</w:t>
      </w:r>
      <w:r>
        <w:rPr>
          <w:rFonts w:ascii="宋体" w:hAnsi="宋体" w:eastAsia="宋体" w:cs="宋体"/>
          <w:sz w:val="21"/>
          <w:szCs w:val="21"/>
        </w:rPr>
        <w:t xml:space="preserve"> </w:t>
      </w:r>
      <w:r>
        <w:rPr>
          <w:rFonts w:ascii="宋体" w:hAnsi="宋体" w:eastAsia="宋体" w:cs="宋体"/>
          <w:spacing w:val="7"/>
          <w:sz w:val="21"/>
          <w:szCs w:val="21"/>
        </w:rPr>
        <w:t>措施以及</w:t>
      </w:r>
      <w:r>
        <w:rPr>
          <w:rFonts w:ascii="Times New Roman" w:hAnsi="Times New Roman" w:eastAsia="Times New Roman" w:cs="Times New Roman"/>
          <w:sz w:val="21"/>
          <w:szCs w:val="21"/>
        </w:rPr>
        <w:t>STDs</w:t>
      </w:r>
      <w:r>
        <w:rPr>
          <w:rFonts w:ascii="宋体" w:hAnsi="宋体" w:eastAsia="宋体" w:cs="宋体"/>
          <w:spacing w:val="7"/>
          <w:sz w:val="21"/>
          <w:szCs w:val="21"/>
        </w:rPr>
        <w:t>的监测。</w:t>
      </w:r>
    </w:p>
    <w:p w14:paraId="0CA19CA5">
      <w:pPr>
        <w:pStyle w:val="2"/>
        <w:spacing w:before="37" w:line="221" w:lineRule="auto"/>
        <w:ind w:left="1093"/>
        <w:rPr>
          <w:sz w:val="21"/>
          <w:szCs w:val="21"/>
        </w:rPr>
      </w:pPr>
      <w:r>
        <w:rPr>
          <w:b/>
          <w:bCs/>
          <w:spacing w:val="19"/>
          <w:sz w:val="21"/>
          <w:szCs w:val="21"/>
        </w:rPr>
        <w:t>(一)针对传染源的措施</w:t>
      </w:r>
    </w:p>
    <w:p w14:paraId="2CC1B6C6">
      <w:pPr>
        <w:pStyle w:val="2"/>
        <w:spacing w:before="83" w:line="269" w:lineRule="auto"/>
        <w:ind w:left="670" w:right="90" w:firstLine="419"/>
        <w:rPr>
          <w:rFonts w:ascii="宋体" w:hAnsi="宋体" w:eastAsia="宋体" w:cs="宋体"/>
          <w:sz w:val="21"/>
          <w:szCs w:val="21"/>
        </w:rPr>
      </w:pPr>
      <w:r>
        <w:rPr>
          <w:rFonts w:ascii="宋体" w:hAnsi="宋体" w:eastAsia="宋体" w:cs="宋体"/>
          <w:sz w:val="21"/>
          <w:szCs w:val="21"/>
        </w:rPr>
        <w:t xml:space="preserve">1. </w:t>
      </w:r>
      <w:r>
        <w:rPr>
          <w:sz w:val="21"/>
          <w:szCs w:val="21"/>
        </w:rPr>
        <w:t xml:space="preserve">积极治疗患者 </w:t>
      </w:r>
      <w:r>
        <w:rPr>
          <w:rFonts w:ascii="宋体" w:hAnsi="宋体" w:eastAsia="宋体" w:cs="宋体"/>
          <w:sz w:val="21"/>
          <w:szCs w:val="21"/>
        </w:rPr>
        <w:t>积极发现患者、管理患者、治疗患者，是管理传染源、减少携带状态的有效</w:t>
      </w:r>
      <w:r>
        <w:rPr>
          <w:rFonts w:ascii="宋体" w:hAnsi="宋体" w:eastAsia="宋体" w:cs="宋体"/>
          <w:spacing w:val="13"/>
          <w:sz w:val="21"/>
          <w:szCs w:val="21"/>
        </w:rPr>
        <w:t xml:space="preserve"> </w:t>
      </w:r>
      <w:r>
        <w:rPr>
          <w:rFonts w:ascii="宋体" w:hAnsi="宋体" w:eastAsia="宋体" w:cs="宋体"/>
          <w:spacing w:val="1"/>
          <w:sz w:val="21"/>
          <w:szCs w:val="21"/>
        </w:rPr>
        <w:t>措施。</w:t>
      </w:r>
    </w:p>
    <w:p w14:paraId="6AD9B8BB">
      <w:pPr>
        <w:spacing w:before="136" w:line="284" w:lineRule="auto"/>
        <w:ind w:left="670" w:firstLine="422"/>
        <w:rPr>
          <w:rFonts w:ascii="宋体" w:hAnsi="宋体" w:eastAsia="宋体" w:cs="宋体"/>
          <w:sz w:val="21"/>
          <w:szCs w:val="21"/>
        </w:rPr>
      </w:pPr>
      <w:r>
        <w:rPr>
          <w:rFonts w:ascii="宋体" w:hAnsi="宋体" w:eastAsia="宋体" w:cs="宋体"/>
          <w:b/>
          <w:bCs/>
          <w:spacing w:val="-1"/>
          <w:sz w:val="21"/>
          <w:szCs w:val="21"/>
        </w:rPr>
        <w:t>2.</w:t>
      </w:r>
      <w:r>
        <w:rPr>
          <w:rFonts w:ascii="宋体" w:hAnsi="宋体" w:eastAsia="宋体" w:cs="宋体"/>
          <w:spacing w:val="-1"/>
          <w:sz w:val="21"/>
          <w:szCs w:val="21"/>
        </w:rPr>
        <w:t xml:space="preserve"> </w:t>
      </w:r>
      <w:r>
        <w:rPr>
          <w:rFonts w:ascii="宋体" w:hAnsi="宋体" w:eastAsia="宋体" w:cs="宋体"/>
          <w:b/>
          <w:bCs/>
          <w:spacing w:val="-1"/>
          <w:sz w:val="21"/>
          <w:szCs w:val="21"/>
        </w:rPr>
        <w:t>规范化诊疗</w:t>
      </w:r>
      <w:r>
        <w:rPr>
          <w:rFonts w:ascii="宋体" w:hAnsi="宋体" w:eastAsia="宋体" w:cs="宋体"/>
          <w:spacing w:val="95"/>
          <w:sz w:val="21"/>
          <w:szCs w:val="21"/>
        </w:rPr>
        <w:t xml:space="preserve"> </w:t>
      </w:r>
      <w:r>
        <w:rPr>
          <w:rFonts w:ascii="宋体" w:hAnsi="宋体" w:eastAsia="宋体" w:cs="宋体"/>
          <w:spacing w:val="-1"/>
          <w:sz w:val="21"/>
          <w:szCs w:val="21"/>
        </w:rPr>
        <w:t>对</w:t>
      </w:r>
      <w:r>
        <w:rPr>
          <w:rFonts w:ascii="宋体" w:hAnsi="宋体" w:eastAsia="宋体" w:cs="宋体"/>
          <w:spacing w:val="-58"/>
          <w:sz w:val="21"/>
          <w:szCs w:val="21"/>
        </w:rPr>
        <w:t xml:space="preserve"> </w:t>
      </w:r>
      <w:r>
        <w:rPr>
          <w:rFonts w:ascii="宋体" w:hAnsi="宋体" w:eastAsia="宋体" w:cs="宋体"/>
          <w:spacing w:val="-1"/>
          <w:sz w:val="21"/>
          <w:szCs w:val="21"/>
        </w:rPr>
        <w:t>STDs 患者要给予规范的治疗，密切随访观察，掌握病情演变情况，提供医</w:t>
      </w:r>
      <w:r>
        <w:rPr>
          <w:rFonts w:ascii="宋体" w:hAnsi="宋体" w:eastAsia="宋体" w:cs="宋体"/>
          <w:sz w:val="21"/>
          <w:szCs w:val="21"/>
        </w:rPr>
        <w:t xml:space="preserve">  </w:t>
      </w:r>
      <w:r>
        <w:rPr>
          <w:rFonts w:ascii="宋体" w:hAnsi="宋体" w:eastAsia="宋体" w:cs="宋体"/>
          <w:spacing w:val="-1"/>
          <w:sz w:val="21"/>
          <w:szCs w:val="21"/>
        </w:rPr>
        <w:t>学、心理咨询，采取综合措施防止</w:t>
      </w:r>
      <w:r>
        <w:rPr>
          <w:rFonts w:ascii="Times New Roman" w:hAnsi="Times New Roman" w:eastAsia="Times New Roman" w:cs="Times New Roman"/>
          <w:spacing w:val="-1"/>
          <w:sz w:val="21"/>
          <w:szCs w:val="21"/>
        </w:rPr>
        <w:t>STDs</w:t>
      </w:r>
      <w:r>
        <w:rPr>
          <w:rFonts w:ascii="Times New Roman" w:hAnsi="Times New Roman" w:eastAsia="Times New Roman" w:cs="Times New Roman"/>
          <w:spacing w:val="-18"/>
          <w:sz w:val="21"/>
          <w:szCs w:val="21"/>
        </w:rPr>
        <w:t xml:space="preserve"> </w:t>
      </w:r>
      <w:r>
        <w:rPr>
          <w:rFonts w:ascii="宋体" w:hAnsi="宋体" w:eastAsia="宋体" w:cs="宋体"/>
          <w:spacing w:val="-1"/>
          <w:sz w:val="21"/>
          <w:szCs w:val="21"/>
        </w:rPr>
        <w:t>扩散。同时要</w:t>
      </w:r>
      <w:r>
        <w:rPr>
          <w:rFonts w:ascii="宋体" w:hAnsi="宋体" w:eastAsia="宋体" w:cs="宋体"/>
          <w:spacing w:val="-2"/>
          <w:sz w:val="21"/>
          <w:szCs w:val="21"/>
        </w:rPr>
        <w:t>建立良好的医患关系，鼓励患者采取积极的生</w:t>
      </w:r>
      <w:r>
        <w:rPr>
          <w:rFonts w:ascii="宋体" w:hAnsi="宋体" w:eastAsia="宋体" w:cs="宋体"/>
          <w:sz w:val="21"/>
          <w:szCs w:val="21"/>
        </w:rPr>
        <w:t xml:space="preserve"> </w:t>
      </w:r>
      <w:r>
        <w:rPr>
          <w:rFonts w:ascii="宋体" w:hAnsi="宋体" w:eastAsia="宋体" w:cs="宋体"/>
          <w:spacing w:val="1"/>
          <w:sz w:val="21"/>
          <w:szCs w:val="21"/>
        </w:rPr>
        <w:t>活态度。近年来，</w:t>
      </w:r>
      <w:r>
        <w:rPr>
          <w:rFonts w:ascii="Times New Roman" w:hAnsi="Times New Roman" w:eastAsia="Times New Roman" w:cs="Times New Roman"/>
          <w:sz w:val="21"/>
          <w:szCs w:val="21"/>
        </w:rPr>
        <w:t>STDs</w:t>
      </w:r>
      <w:r>
        <w:rPr>
          <w:rFonts w:ascii="宋体" w:hAnsi="宋体" w:eastAsia="宋体" w:cs="宋体"/>
          <w:spacing w:val="1"/>
          <w:sz w:val="21"/>
          <w:szCs w:val="21"/>
        </w:rPr>
        <w:t>(尤其是淋病)的抗微生物药物耐药性迅速增加，可用治疗方案减少。因此，</w:t>
      </w:r>
    </w:p>
    <w:p w14:paraId="64F54796">
      <w:pPr>
        <w:spacing w:line="284" w:lineRule="auto"/>
        <w:rPr>
          <w:rFonts w:ascii="宋体" w:hAnsi="宋体" w:eastAsia="宋体" w:cs="宋体"/>
          <w:sz w:val="21"/>
          <w:szCs w:val="21"/>
        </w:rPr>
        <w:sectPr>
          <w:footerReference r:id="rId351" w:type="default"/>
          <w:pgSz w:w="11900" w:h="16820"/>
          <w:pgMar w:top="400" w:right="1384" w:bottom="866" w:left="709" w:header="0" w:footer="677" w:gutter="0"/>
          <w:cols w:space="720" w:num="1"/>
        </w:sectPr>
      </w:pPr>
    </w:p>
    <w:p w14:paraId="3AF7FE8A">
      <w:pPr>
        <w:pStyle w:val="2"/>
        <w:spacing w:before="206" w:line="221" w:lineRule="auto"/>
        <w:ind w:left="6830"/>
        <w:rPr>
          <w:sz w:val="20"/>
          <w:szCs w:val="20"/>
        </w:rPr>
      </w:pPr>
      <w:bookmarkStart w:id="549" w:name="bookmark596"/>
      <w:bookmarkEnd w:id="549"/>
      <w:r>
        <w:rPr>
          <w:spacing w:val="-20"/>
          <w:w w:val="96"/>
          <w:sz w:val="20"/>
          <w:szCs w:val="20"/>
        </w:rPr>
        <w:t>第二十一章 性传播疾病</w:t>
      </w:r>
    </w:p>
    <w:p w14:paraId="58966130">
      <w:pPr>
        <w:spacing w:line="281" w:lineRule="auto"/>
        <w:rPr>
          <w:rFonts w:ascii="Arial"/>
          <w:sz w:val="21"/>
        </w:rPr>
      </w:pPr>
    </w:p>
    <w:p w14:paraId="04935637">
      <w:pPr>
        <w:spacing w:line="281" w:lineRule="auto"/>
        <w:rPr>
          <w:rFonts w:ascii="Arial"/>
          <w:sz w:val="21"/>
        </w:rPr>
      </w:pPr>
    </w:p>
    <w:p w14:paraId="1BB6CCB0">
      <w:pPr>
        <w:spacing w:before="65" w:line="219" w:lineRule="auto"/>
        <w:rPr>
          <w:rFonts w:ascii="宋体" w:hAnsi="宋体" w:eastAsia="宋体" w:cs="宋体"/>
          <w:sz w:val="20"/>
          <w:szCs w:val="20"/>
        </w:rPr>
      </w:pPr>
      <w:r>
        <w:rPr>
          <w:rFonts w:ascii="宋体" w:hAnsi="宋体" w:eastAsia="宋体" w:cs="宋体"/>
          <w:spacing w:val="2"/>
          <w:sz w:val="20"/>
          <w:szCs w:val="20"/>
        </w:rPr>
        <w:t>规范化的诊疗对于减少传染源尤为重要。</w:t>
      </w:r>
    </w:p>
    <w:p w14:paraId="193FE1DC">
      <w:pPr>
        <w:pStyle w:val="2"/>
        <w:spacing w:before="152" w:line="222" w:lineRule="auto"/>
        <w:ind w:left="420"/>
        <w:rPr>
          <w:sz w:val="20"/>
          <w:szCs w:val="20"/>
        </w:rPr>
      </w:pPr>
      <w:r>
        <w:rPr>
          <w:spacing w:val="22"/>
          <w:sz w:val="20"/>
          <w:szCs w:val="20"/>
        </w:rPr>
        <w:t>(二)针对传播途径的措施</w:t>
      </w:r>
    </w:p>
    <w:p w14:paraId="40DDE0E9">
      <w:pPr>
        <w:pStyle w:val="2"/>
        <w:spacing w:before="121" w:line="294" w:lineRule="auto"/>
        <w:ind w:right="653" w:firstLine="420"/>
        <w:rPr>
          <w:rFonts w:ascii="宋体" w:hAnsi="宋体" w:eastAsia="宋体" w:cs="宋体"/>
          <w:sz w:val="20"/>
          <w:szCs w:val="20"/>
        </w:rPr>
      </w:pPr>
      <w:r>
        <w:rPr>
          <w:rFonts w:ascii="宋体" w:hAnsi="宋体" w:eastAsia="宋体" w:cs="宋体"/>
          <w:spacing w:val="3"/>
          <w:sz w:val="20"/>
          <w:szCs w:val="20"/>
        </w:rPr>
        <w:t>1. 改变不安全性行为，预防和控制经性接触传播</w:t>
      </w:r>
      <w:r>
        <w:rPr>
          <w:sz w:val="20"/>
          <w:szCs w:val="20"/>
        </w:rPr>
        <w:t>STDs</w:t>
      </w:r>
      <w:r>
        <w:rPr>
          <w:spacing w:val="22"/>
          <w:sz w:val="20"/>
          <w:szCs w:val="20"/>
        </w:rPr>
        <w:t xml:space="preserve">   </w:t>
      </w:r>
      <w:r>
        <w:rPr>
          <w:rFonts w:ascii="宋体" w:hAnsi="宋体" w:eastAsia="宋体" w:cs="宋体"/>
          <w:spacing w:val="2"/>
          <w:sz w:val="20"/>
          <w:szCs w:val="20"/>
        </w:rPr>
        <w:t>通过健康教育和健康促进活动如同</w:t>
      </w:r>
      <w:r>
        <w:rPr>
          <w:rFonts w:ascii="宋体" w:hAnsi="宋体" w:eastAsia="宋体" w:cs="宋体"/>
          <w:spacing w:val="1"/>
          <w:sz w:val="20"/>
          <w:szCs w:val="20"/>
        </w:rPr>
        <w:t xml:space="preserve"> </w:t>
      </w:r>
      <w:r>
        <w:rPr>
          <w:rFonts w:ascii="宋体" w:hAnsi="宋体" w:eastAsia="宋体" w:cs="宋体"/>
          <w:spacing w:val="-4"/>
          <w:sz w:val="20"/>
          <w:szCs w:val="20"/>
        </w:rPr>
        <w:t>伴教育、流动宣传和电话咨询等，传播安全性行为知识，减少</w:t>
      </w:r>
      <w:r>
        <w:rPr>
          <w:rFonts w:ascii="宋体" w:hAnsi="宋体" w:eastAsia="宋体" w:cs="宋体"/>
          <w:spacing w:val="-5"/>
          <w:sz w:val="20"/>
          <w:szCs w:val="20"/>
        </w:rPr>
        <w:t>性伴数，促进安全套的使用，可以有效</w:t>
      </w:r>
      <w:r>
        <w:rPr>
          <w:rFonts w:ascii="宋体" w:hAnsi="宋体" w:eastAsia="宋体" w:cs="宋体"/>
          <w:sz w:val="20"/>
          <w:szCs w:val="20"/>
        </w:rPr>
        <w:t xml:space="preserve"> </w:t>
      </w:r>
      <w:r>
        <w:rPr>
          <w:rFonts w:ascii="宋体" w:hAnsi="宋体" w:eastAsia="宋体" w:cs="宋体"/>
          <w:spacing w:val="7"/>
          <w:sz w:val="20"/>
          <w:szCs w:val="20"/>
        </w:rPr>
        <w:t>控制</w:t>
      </w:r>
      <w:r>
        <w:rPr>
          <w:rFonts w:ascii="Times New Roman" w:hAnsi="Times New Roman" w:eastAsia="Times New Roman" w:cs="Times New Roman"/>
          <w:sz w:val="20"/>
          <w:szCs w:val="20"/>
        </w:rPr>
        <w:t>HIV</w:t>
      </w:r>
      <w:r>
        <w:rPr>
          <w:rFonts w:ascii="Times New Roman" w:hAnsi="Times New Roman" w:eastAsia="Times New Roman" w:cs="Times New Roman"/>
          <w:spacing w:val="29"/>
          <w:w w:val="101"/>
          <w:sz w:val="20"/>
          <w:szCs w:val="20"/>
        </w:rPr>
        <w:t xml:space="preserve"> </w:t>
      </w:r>
      <w:r>
        <w:rPr>
          <w:rFonts w:ascii="宋体" w:hAnsi="宋体" w:eastAsia="宋体" w:cs="宋体"/>
          <w:spacing w:val="7"/>
          <w:sz w:val="20"/>
          <w:szCs w:val="20"/>
        </w:rPr>
        <w:t>感染和其他</w:t>
      </w:r>
      <w:r>
        <w:rPr>
          <w:rFonts w:ascii="Times New Roman" w:hAnsi="Times New Roman" w:eastAsia="Times New Roman" w:cs="Times New Roman"/>
          <w:sz w:val="20"/>
          <w:szCs w:val="20"/>
        </w:rPr>
        <w:t>STDs</w:t>
      </w:r>
      <w:r>
        <w:rPr>
          <w:rFonts w:ascii="宋体" w:hAnsi="宋体" w:eastAsia="宋体" w:cs="宋体"/>
          <w:spacing w:val="7"/>
          <w:sz w:val="20"/>
          <w:szCs w:val="20"/>
        </w:rPr>
        <w:t>的传播和流行。</w:t>
      </w:r>
    </w:p>
    <w:p w14:paraId="34CA9F4D">
      <w:pPr>
        <w:pStyle w:val="2"/>
        <w:spacing w:before="153" w:line="301" w:lineRule="auto"/>
        <w:ind w:right="561" w:firstLine="420"/>
        <w:rPr>
          <w:rFonts w:ascii="宋体" w:hAnsi="宋体" w:eastAsia="宋体" w:cs="宋体"/>
          <w:sz w:val="20"/>
          <w:szCs w:val="20"/>
        </w:rPr>
      </w:pPr>
      <w:r>
        <w:rPr>
          <w:rFonts w:ascii="宋体" w:hAnsi="宋体" w:eastAsia="宋体" w:cs="宋体"/>
          <w:spacing w:val="3"/>
          <w:sz w:val="20"/>
          <w:szCs w:val="20"/>
        </w:rPr>
        <w:t xml:space="preserve">2. </w:t>
      </w:r>
      <w:r>
        <w:rPr>
          <w:spacing w:val="3"/>
          <w:sz w:val="20"/>
          <w:szCs w:val="20"/>
        </w:rPr>
        <w:t>切断医源性感染、经血液传播和日常生活接触传播</w:t>
      </w:r>
      <w:r>
        <w:rPr>
          <w:spacing w:val="74"/>
          <w:sz w:val="20"/>
          <w:szCs w:val="20"/>
        </w:rPr>
        <w:t xml:space="preserve"> </w:t>
      </w:r>
      <w:r>
        <w:rPr>
          <w:rFonts w:ascii="宋体" w:hAnsi="宋体" w:eastAsia="宋体" w:cs="宋体"/>
          <w:spacing w:val="3"/>
          <w:sz w:val="20"/>
          <w:szCs w:val="20"/>
        </w:rPr>
        <w:t>严格保证血液及</w:t>
      </w:r>
      <w:r>
        <w:rPr>
          <w:rFonts w:ascii="宋体" w:hAnsi="宋体" w:eastAsia="宋体" w:cs="宋体"/>
          <w:spacing w:val="2"/>
          <w:sz w:val="20"/>
          <w:szCs w:val="20"/>
        </w:rPr>
        <w:t>血制品安全；供血者</w:t>
      </w:r>
      <w:r>
        <w:rPr>
          <w:rFonts w:ascii="宋体" w:hAnsi="宋体" w:eastAsia="宋体" w:cs="宋体"/>
          <w:sz w:val="20"/>
          <w:szCs w:val="20"/>
        </w:rPr>
        <w:t xml:space="preserve">  </w:t>
      </w:r>
      <w:r>
        <w:rPr>
          <w:rFonts w:ascii="宋体" w:hAnsi="宋体" w:eastAsia="宋体" w:cs="宋体"/>
          <w:spacing w:val="2"/>
          <w:sz w:val="20"/>
          <w:szCs w:val="20"/>
        </w:rPr>
        <w:t>及血源需符合健康要求；采血、输血及血液、血制品储存均应进行严格检验。严格消毒医疗器械、</w:t>
      </w:r>
      <w:r>
        <w:rPr>
          <w:rFonts w:ascii="宋体" w:hAnsi="宋体" w:eastAsia="宋体" w:cs="宋体"/>
          <w:spacing w:val="13"/>
          <w:sz w:val="20"/>
          <w:szCs w:val="20"/>
        </w:rPr>
        <w:t xml:space="preserve"> </w:t>
      </w:r>
      <w:r>
        <w:rPr>
          <w:rFonts w:ascii="宋体" w:hAnsi="宋体" w:eastAsia="宋体" w:cs="宋体"/>
          <w:spacing w:val="-4"/>
          <w:sz w:val="20"/>
          <w:szCs w:val="20"/>
        </w:rPr>
        <w:t>防止医院内感染的发生。注意做好浴池、旅店、游泳池、理发店等公共场所的消毒工作。</w:t>
      </w:r>
    </w:p>
    <w:p w14:paraId="45A453BB">
      <w:pPr>
        <w:pStyle w:val="2"/>
        <w:spacing w:before="130" w:line="276" w:lineRule="auto"/>
        <w:ind w:right="651" w:firstLine="420"/>
        <w:rPr>
          <w:rFonts w:ascii="宋体" w:hAnsi="宋体" w:eastAsia="宋体" w:cs="宋体"/>
          <w:sz w:val="20"/>
          <w:szCs w:val="20"/>
        </w:rPr>
      </w:pPr>
      <w:r>
        <w:rPr>
          <w:rFonts w:ascii="Times New Roman" w:hAnsi="Times New Roman" w:eastAsia="Times New Roman" w:cs="Times New Roman"/>
          <w:spacing w:val="-1"/>
          <w:sz w:val="20"/>
          <w:szCs w:val="20"/>
        </w:rPr>
        <w:t xml:space="preserve">3.   </w:t>
      </w:r>
      <w:r>
        <w:rPr>
          <w:spacing w:val="-1"/>
          <w:sz w:val="20"/>
          <w:szCs w:val="20"/>
        </w:rPr>
        <w:t xml:space="preserve">防止母婴传播  </w:t>
      </w:r>
      <w:r>
        <w:rPr>
          <w:rFonts w:ascii="宋体" w:hAnsi="宋体" w:eastAsia="宋体" w:cs="宋体"/>
          <w:spacing w:val="-1"/>
          <w:sz w:val="20"/>
          <w:szCs w:val="20"/>
        </w:rPr>
        <w:t>梅毒、乙型肝炎、</w:t>
      </w:r>
      <w:r>
        <w:rPr>
          <w:rFonts w:ascii="Times New Roman" w:hAnsi="Times New Roman" w:eastAsia="Times New Roman" w:cs="Times New Roman"/>
          <w:spacing w:val="-1"/>
          <w:sz w:val="20"/>
          <w:szCs w:val="20"/>
        </w:rPr>
        <w:t>HIV</w:t>
      </w:r>
      <w:r>
        <w:rPr>
          <w:rFonts w:ascii="Times New Roman" w:hAnsi="Times New Roman" w:eastAsia="Times New Roman" w:cs="Times New Roman"/>
          <w:spacing w:val="30"/>
          <w:w w:val="101"/>
          <w:sz w:val="20"/>
          <w:szCs w:val="20"/>
        </w:rPr>
        <w:t xml:space="preserve"> </w:t>
      </w:r>
      <w:r>
        <w:rPr>
          <w:rFonts w:ascii="宋体" w:hAnsi="宋体" w:eastAsia="宋体" w:cs="宋体"/>
          <w:spacing w:val="-1"/>
          <w:sz w:val="20"/>
          <w:szCs w:val="20"/>
        </w:rPr>
        <w:t>阳性母亲在妊娠、分娩或哺乳期间可向胎儿/婴儿传</w:t>
      </w:r>
      <w:r>
        <w:rPr>
          <w:rFonts w:ascii="宋体" w:hAnsi="宋体" w:eastAsia="宋体" w:cs="宋体"/>
          <w:sz w:val="20"/>
          <w:szCs w:val="20"/>
        </w:rPr>
        <w:t xml:space="preserve"> </w:t>
      </w:r>
      <w:r>
        <w:rPr>
          <w:rFonts w:ascii="宋体" w:hAnsi="宋体" w:eastAsia="宋体" w:cs="宋体"/>
          <w:spacing w:val="2"/>
          <w:sz w:val="20"/>
          <w:szCs w:val="20"/>
        </w:rPr>
        <w:t>播病原体，目前强调规范化使用药物或疫苗来预防</w:t>
      </w:r>
      <w:r>
        <w:rPr>
          <w:rFonts w:ascii="Times New Roman" w:hAnsi="Times New Roman" w:eastAsia="Times New Roman" w:cs="Times New Roman"/>
          <w:sz w:val="20"/>
          <w:szCs w:val="20"/>
        </w:rPr>
        <w:t>STDs</w:t>
      </w:r>
      <w:r>
        <w:rPr>
          <w:rFonts w:ascii="宋体" w:hAnsi="宋体" w:eastAsia="宋体" w:cs="宋体"/>
          <w:spacing w:val="2"/>
          <w:sz w:val="20"/>
          <w:szCs w:val="20"/>
        </w:rPr>
        <w:t>的母婴传播。</w:t>
      </w:r>
    </w:p>
    <w:p w14:paraId="558F2244">
      <w:pPr>
        <w:pStyle w:val="2"/>
        <w:spacing w:before="134" w:line="221" w:lineRule="auto"/>
        <w:ind w:left="420"/>
        <w:rPr>
          <w:sz w:val="24"/>
          <w:szCs w:val="24"/>
        </w:rPr>
      </w:pPr>
      <w:r>
        <w:rPr>
          <w:spacing w:val="-11"/>
          <w:sz w:val="24"/>
          <w:szCs w:val="24"/>
        </w:rPr>
        <w:t>(三)针对易感人群的措施</w:t>
      </w:r>
    </w:p>
    <w:p w14:paraId="298875A1">
      <w:pPr>
        <w:spacing w:before="71" w:line="343" w:lineRule="auto"/>
        <w:ind w:right="651" w:firstLine="420"/>
        <w:jc w:val="both"/>
        <w:rPr>
          <w:rFonts w:ascii="宋体" w:hAnsi="宋体" w:eastAsia="宋体" w:cs="宋体"/>
          <w:sz w:val="20"/>
          <w:szCs w:val="20"/>
        </w:rPr>
      </w:pPr>
      <w:r>
        <w:rPr>
          <w:rFonts w:ascii="宋体" w:hAnsi="宋体" w:eastAsia="宋体" w:cs="宋体"/>
          <w:spacing w:val="6"/>
          <w:sz w:val="20"/>
          <w:szCs w:val="20"/>
        </w:rPr>
        <w:t>健康教育是控制</w:t>
      </w:r>
      <w:r>
        <w:rPr>
          <w:rFonts w:ascii="Times New Roman" w:hAnsi="Times New Roman" w:eastAsia="Times New Roman" w:cs="Times New Roman"/>
          <w:sz w:val="20"/>
          <w:szCs w:val="20"/>
        </w:rPr>
        <w:t>STDs</w:t>
      </w:r>
      <w:r>
        <w:rPr>
          <w:rFonts w:ascii="Times New Roman" w:hAnsi="Times New Roman" w:eastAsia="Times New Roman" w:cs="Times New Roman"/>
          <w:spacing w:val="6"/>
          <w:sz w:val="20"/>
          <w:szCs w:val="20"/>
        </w:rPr>
        <w:t xml:space="preserve"> </w:t>
      </w:r>
      <w:r>
        <w:rPr>
          <w:rFonts w:ascii="宋体" w:hAnsi="宋体" w:eastAsia="宋体" w:cs="宋体"/>
          <w:spacing w:val="6"/>
          <w:sz w:val="20"/>
          <w:szCs w:val="20"/>
        </w:rPr>
        <w:t>最经济有效的方法。持续正确使用安全套可以有效预防包</w:t>
      </w:r>
      <w:r>
        <w:rPr>
          <w:rFonts w:ascii="宋体" w:hAnsi="宋体" w:eastAsia="宋体" w:cs="宋体"/>
          <w:spacing w:val="5"/>
          <w:sz w:val="20"/>
          <w:szCs w:val="20"/>
        </w:rPr>
        <w:t>括</w:t>
      </w:r>
      <w:r>
        <w:rPr>
          <w:rFonts w:ascii="Times New Roman" w:hAnsi="Times New Roman" w:eastAsia="Times New Roman" w:cs="Times New Roman"/>
          <w:sz w:val="20"/>
          <w:szCs w:val="20"/>
        </w:rPr>
        <w:t>HIV</w:t>
      </w:r>
      <w:r>
        <w:rPr>
          <w:rFonts w:ascii="Times New Roman" w:hAnsi="Times New Roman" w:eastAsia="Times New Roman" w:cs="Times New Roman"/>
          <w:spacing w:val="5"/>
          <w:sz w:val="20"/>
          <w:szCs w:val="20"/>
        </w:rPr>
        <w:t xml:space="preserve"> </w:t>
      </w:r>
      <w:r>
        <w:rPr>
          <w:rFonts w:ascii="宋体" w:hAnsi="宋体" w:eastAsia="宋体" w:cs="宋体"/>
          <w:spacing w:val="5"/>
          <w:sz w:val="20"/>
          <w:szCs w:val="20"/>
        </w:rPr>
        <w:t>感</w:t>
      </w:r>
      <w:r>
        <w:rPr>
          <w:rFonts w:ascii="宋体" w:hAnsi="宋体" w:eastAsia="宋体" w:cs="宋体"/>
          <w:spacing w:val="-42"/>
          <w:sz w:val="20"/>
          <w:szCs w:val="20"/>
        </w:rPr>
        <w:t xml:space="preserve"> </w:t>
      </w:r>
      <w:r>
        <w:rPr>
          <w:rFonts w:ascii="宋体" w:hAnsi="宋体" w:eastAsia="宋体" w:cs="宋体"/>
          <w:spacing w:val="5"/>
          <w:sz w:val="20"/>
          <w:szCs w:val="20"/>
        </w:rPr>
        <w:t>染</w:t>
      </w:r>
      <w:r>
        <w:rPr>
          <w:rFonts w:ascii="宋体" w:hAnsi="宋体" w:eastAsia="宋体" w:cs="宋体"/>
          <w:sz w:val="20"/>
          <w:szCs w:val="20"/>
        </w:rPr>
        <w:t xml:space="preserve"> 在内的性传播感染。应着重对青少年开展早期性教育，普及性健康知识，提升</w:t>
      </w:r>
      <w:r>
        <w:rPr>
          <w:rFonts w:ascii="宋体" w:hAnsi="宋体" w:eastAsia="宋体" w:cs="宋体"/>
          <w:spacing w:val="-1"/>
          <w:sz w:val="20"/>
          <w:szCs w:val="20"/>
        </w:rPr>
        <w:t>公众的预防和自我保</w:t>
      </w:r>
      <w:r>
        <w:rPr>
          <w:rFonts w:ascii="宋体" w:hAnsi="宋体" w:eastAsia="宋体" w:cs="宋体"/>
          <w:sz w:val="20"/>
          <w:szCs w:val="20"/>
        </w:rPr>
        <w:t xml:space="preserve"> </w:t>
      </w:r>
      <w:r>
        <w:rPr>
          <w:rFonts w:ascii="宋体" w:hAnsi="宋体" w:eastAsia="宋体" w:cs="宋体"/>
          <w:spacing w:val="7"/>
          <w:sz w:val="20"/>
          <w:szCs w:val="20"/>
        </w:rPr>
        <w:t>护意识。乙肝疫苗和人乳头瘤病毒疫苗是在预防</w:t>
      </w:r>
      <w:r>
        <w:rPr>
          <w:rFonts w:ascii="Times New Roman" w:hAnsi="Times New Roman" w:eastAsia="Times New Roman" w:cs="Times New Roman"/>
          <w:sz w:val="20"/>
          <w:szCs w:val="20"/>
        </w:rPr>
        <w:t>STDs</w:t>
      </w:r>
      <w:r>
        <w:rPr>
          <w:rFonts w:ascii="Times New Roman" w:hAnsi="Times New Roman" w:eastAsia="Times New Roman" w:cs="Times New Roman"/>
          <w:spacing w:val="7"/>
          <w:sz w:val="20"/>
          <w:szCs w:val="20"/>
        </w:rPr>
        <w:t xml:space="preserve"> </w:t>
      </w:r>
      <w:r>
        <w:rPr>
          <w:rFonts w:ascii="宋体" w:hAnsi="宋体" w:eastAsia="宋体" w:cs="宋体"/>
          <w:spacing w:val="7"/>
          <w:sz w:val="20"/>
          <w:szCs w:val="20"/>
        </w:rPr>
        <w:t>方面取得的重大突破。到2023年底，已有</w:t>
      </w:r>
      <w:r>
        <w:rPr>
          <w:rFonts w:ascii="宋体" w:hAnsi="宋体" w:eastAsia="宋体" w:cs="宋体"/>
          <w:spacing w:val="9"/>
          <w:sz w:val="20"/>
          <w:szCs w:val="20"/>
        </w:rPr>
        <w:t xml:space="preserve"> </w:t>
      </w:r>
      <w:r>
        <w:rPr>
          <w:rFonts w:ascii="宋体" w:hAnsi="宋体" w:eastAsia="宋体" w:cs="宋体"/>
          <w:spacing w:val="1"/>
          <w:sz w:val="20"/>
          <w:szCs w:val="20"/>
        </w:rPr>
        <w:t>140个国家将人乳头瘤病毒疫苗纳人常规免疫规划，其中大多数是高收人和中等收入国家。</w:t>
      </w:r>
    </w:p>
    <w:p w14:paraId="13C4CBC2">
      <w:pPr>
        <w:pStyle w:val="2"/>
        <w:spacing w:before="9" w:line="224" w:lineRule="auto"/>
        <w:ind w:left="420"/>
        <w:rPr>
          <w:sz w:val="24"/>
          <w:szCs w:val="24"/>
        </w:rPr>
      </w:pPr>
      <w:r>
        <w:rPr>
          <w:spacing w:val="11"/>
          <w:sz w:val="24"/>
          <w:szCs w:val="24"/>
        </w:rPr>
        <w:t>(四)监测</w:t>
      </w:r>
    </w:p>
    <w:p w14:paraId="5AC42B91">
      <w:pPr>
        <w:spacing w:before="76" w:line="342" w:lineRule="auto"/>
        <w:ind w:right="634" w:firstLine="420"/>
        <w:jc w:val="both"/>
        <w:rPr>
          <w:rFonts w:ascii="宋体" w:hAnsi="宋体" w:eastAsia="宋体" w:cs="宋体"/>
          <w:sz w:val="20"/>
          <w:szCs w:val="20"/>
        </w:rPr>
      </w:pPr>
      <w:r>
        <w:rPr>
          <w:rFonts w:ascii="宋体" w:hAnsi="宋体" w:eastAsia="宋体" w:cs="宋体"/>
          <w:spacing w:val="-7"/>
          <w:sz w:val="20"/>
          <w:szCs w:val="20"/>
        </w:rPr>
        <w:t>我国已经建立了由“大疫情网”(全国范围内开展的梅毒和淋病病例报告)、“监测点”</w:t>
      </w:r>
      <w:r>
        <w:rPr>
          <w:rFonts w:ascii="宋体" w:hAnsi="宋体" w:eastAsia="宋体" w:cs="宋体"/>
          <w:spacing w:val="-8"/>
          <w:sz w:val="20"/>
          <w:szCs w:val="20"/>
        </w:rPr>
        <w:t>(全国百余</w:t>
      </w:r>
      <w:r>
        <w:rPr>
          <w:rFonts w:ascii="宋体" w:hAnsi="宋体" w:eastAsia="宋体" w:cs="宋体"/>
          <w:sz w:val="20"/>
          <w:szCs w:val="20"/>
        </w:rPr>
        <w:t xml:space="preserve"> </w:t>
      </w:r>
      <w:r>
        <w:rPr>
          <w:rFonts w:ascii="宋体" w:hAnsi="宋体" w:eastAsia="宋体" w:cs="宋体"/>
          <w:spacing w:val="-4"/>
          <w:sz w:val="20"/>
          <w:szCs w:val="20"/>
        </w:rPr>
        <w:t>个县区开展的梅毒、淋病、生殖道沙眼衣原体感染、尖锐湿疣和生</w:t>
      </w:r>
      <w:r>
        <w:rPr>
          <w:rFonts w:ascii="宋体" w:hAnsi="宋体" w:eastAsia="宋体" w:cs="宋体"/>
          <w:spacing w:val="-5"/>
          <w:sz w:val="20"/>
          <w:szCs w:val="20"/>
        </w:rPr>
        <w:t>殖器疱疹病例报告、性病危险行为</w:t>
      </w:r>
      <w:r>
        <w:rPr>
          <w:rFonts w:ascii="宋体" w:hAnsi="宋体" w:eastAsia="宋体" w:cs="宋体"/>
          <w:sz w:val="20"/>
          <w:szCs w:val="20"/>
        </w:rPr>
        <w:t xml:space="preserve"> </w:t>
      </w:r>
      <w:r>
        <w:rPr>
          <w:rFonts w:ascii="宋体" w:hAnsi="宋体" w:eastAsia="宋体" w:cs="宋体"/>
          <w:spacing w:val="3"/>
          <w:sz w:val="20"/>
          <w:szCs w:val="20"/>
        </w:rPr>
        <w:t>监测和患病率调查)和“监测哨点”(结合艾滋病哨点监测在重点人群中开展的梅毒感</w:t>
      </w:r>
      <w:r>
        <w:rPr>
          <w:rFonts w:ascii="宋体" w:hAnsi="宋体" w:eastAsia="宋体" w:cs="宋体"/>
          <w:spacing w:val="2"/>
          <w:sz w:val="20"/>
          <w:szCs w:val="20"/>
        </w:rPr>
        <w:t>染率监测)组</w:t>
      </w:r>
      <w:r>
        <w:rPr>
          <w:rFonts w:ascii="宋体" w:hAnsi="宋体" w:eastAsia="宋体" w:cs="宋体"/>
          <w:sz w:val="20"/>
          <w:szCs w:val="20"/>
        </w:rPr>
        <w:t xml:space="preserve"> </w:t>
      </w:r>
      <w:r>
        <w:rPr>
          <w:rFonts w:ascii="宋体" w:hAnsi="宋体" w:eastAsia="宋体" w:cs="宋体"/>
          <w:spacing w:val="-4"/>
          <w:sz w:val="20"/>
          <w:szCs w:val="20"/>
        </w:rPr>
        <w:t>成的性病综合监测系统，及时掌握性病的流行状况、流行趋势及</w:t>
      </w:r>
      <w:r>
        <w:rPr>
          <w:rFonts w:ascii="宋体" w:hAnsi="宋体" w:eastAsia="宋体" w:cs="宋体"/>
          <w:spacing w:val="-5"/>
          <w:sz w:val="20"/>
          <w:szCs w:val="20"/>
        </w:rPr>
        <w:t>相关因素等，为制定防治策略、评估</w:t>
      </w:r>
      <w:r>
        <w:rPr>
          <w:rFonts w:ascii="宋体" w:hAnsi="宋体" w:eastAsia="宋体" w:cs="宋体"/>
          <w:sz w:val="20"/>
          <w:szCs w:val="20"/>
        </w:rPr>
        <w:t xml:space="preserve"> </w:t>
      </w:r>
      <w:r>
        <w:rPr>
          <w:rFonts w:ascii="宋体" w:hAnsi="宋体" w:eastAsia="宋体" w:cs="宋体"/>
          <w:spacing w:val="8"/>
          <w:sz w:val="20"/>
          <w:szCs w:val="20"/>
        </w:rPr>
        <w:t>防治效果提供依据。</w:t>
      </w:r>
    </w:p>
    <w:p w14:paraId="6BE21294">
      <w:pPr>
        <w:spacing w:line="417" w:lineRule="auto"/>
        <w:rPr>
          <w:rFonts w:ascii="Arial"/>
          <w:sz w:val="21"/>
        </w:rPr>
      </w:pPr>
    </w:p>
    <w:p w14:paraId="0BD9C6FC">
      <w:pPr>
        <w:pStyle w:val="2"/>
        <w:spacing w:before="95" w:line="222" w:lineRule="auto"/>
        <w:ind w:left="3414"/>
        <w:outlineLvl w:val="4"/>
        <w:rPr>
          <w:sz w:val="29"/>
          <w:szCs w:val="29"/>
        </w:rPr>
      </w:pPr>
      <w:bookmarkStart w:id="550" w:name="bookmark341"/>
      <w:bookmarkEnd w:id="550"/>
      <w:r>
        <w:rPr>
          <w:b/>
          <w:bCs/>
          <w:spacing w:val="34"/>
          <w:sz w:val="29"/>
          <w:szCs w:val="29"/>
        </w:rPr>
        <w:t>第四节艾滋病</w:t>
      </w:r>
    </w:p>
    <w:p w14:paraId="6BB54FAF">
      <w:pPr>
        <w:spacing w:line="379" w:lineRule="auto"/>
        <w:rPr>
          <w:rFonts w:ascii="Arial"/>
          <w:sz w:val="21"/>
        </w:rPr>
      </w:pPr>
    </w:p>
    <w:p w14:paraId="336EECD2">
      <w:pPr>
        <w:pStyle w:val="2"/>
        <w:spacing w:before="78" w:line="221" w:lineRule="auto"/>
        <w:ind w:left="423"/>
        <w:outlineLvl w:val="4"/>
        <w:rPr>
          <w:sz w:val="24"/>
          <w:szCs w:val="24"/>
        </w:rPr>
      </w:pPr>
      <w:bookmarkStart w:id="551" w:name="bookmark342"/>
      <w:bookmarkEnd w:id="551"/>
      <w:r>
        <w:rPr>
          <w:b/>
          <w:bCs/>
          <w:spacing w:val="-10"/>
          <w:sz w:val="24"/>
          <w:szCs w:val="24"/>
        </w:rPr>
        <w:t>一</w:t>
      </w:r>
      <w:r>
        <w:rPr>
          <w:spacing w:val="-50"/>
          <w:sz w:val="24"/>
          <w:szCs w:val="24"/>
        </w:rPr>
        <w:t xml:space="preserve"> </w:t>
      </w:r>
      <w:r>
        <w:rPr>
          <w:b/>
          <w:bCs/>
          <w:spacing w:val="-10"/>
          <w:sz w:val="24"/>
          <w:szCs w:val="24"/>
        </w:rPr>
        <w:t>、概述</w:t>
      </w:r>
    </w:p>
    <w:p w14:paraId="5E7BFE2F">
      <w:pPr>
        <w:spacing w:before="247" w:line="345" w:lineRule="auto"/>
        <w:ind w:right="612" w:firstLine="420"/>
        <w:rPr>
          <w:rFonts w:ascii="宋体" w:hAnsi="宋体" w:eastAsia="宋体" w:cs="宋体"/>
          <w:sz w:val="20"/>
          <w:szCs w:val="20"/>
        </w:rPr>
      </w:pPr>
      <w:r>
        <w:rPr>
          <w:rFonts w:ascii="宋体" w:hAnsi="宋体" w:eastAsia="宋体" w:cs="宋体"/>
          <w:spacing w:val="5"/>
          <w:sz w:val="20"/>
          <w:szCs w:val="20"/>
        </w:rPr>
        <w:t>艾滋病是由</w:t>
      </w:r>
      <w:r>
        <w:rPr>
          <w:rFonts w:ascii="Times New Roman" w:hAnsi="Times New Roman" w:eastAsia="Times New Roman" w:cs="Times New Roman"/>
          <w:sz w:val="20"/>
          <w:szCs w:val="20"/>
        </w:rPr>
        <w:t>HIV</w:t>
      </w:r>
      <w:r>
        <w:rPr>
          <w:rFonts w:ascii="Times New Roman" w:hAnsi="Times New Roman" w:eastAsia="Times New Roman" w:cs="Times New Roman"/>
          <w:spacing w:val="5"/>
          <w:sz w:val="20"/>
          <w:szCs w:val="20"/>
        </w:rPr>
        <w:t xml:space="preserve"> </w:t>
      </w:r>
      <w:r>
        <w:rPr>
          <w:rFonts w:ascii="宋体" w:hAnsi="宋体" w:eastAsia="宋体" w:cs="宋体"/>
          <w:spacing w:val="5"/>
          <w:sz w:val="20"/>
          <w:szCs w:val="20"/>
        </w:rPr>
        <w:t>感染引起的以</w:t>
      </w:r>
      <w:r>
        <w:rPr>
          <w:rFonts w:ascii="Times New Roman" w:hAnsi="Times New Roman" w:eastAsia="Times New Roman" w:cs="Times New Roman"/>
          <w:spacing w:val="5"/>
          <w:sz w:val="20"/>
          <w:szCs w:val="20"/>
        </w:rPr>
        <w:t>T</w:t>
      </w:r>
      <w:r>
        <w:rPr>
          <w:rFonts w:ascii="Times New Roman" w:hAnsi="Times New Roman" w:eastAsia="Times New Roman" w:cs="Times New Roman"/>
          <w:spacing w:val="32"/>
          <w:sz w:val="20"/>
          <w:szCs w:val="20"/>
        </w:rPr>
        <w:t xml:space="preserve"> </w:t>
      </w:r>
      <w:r>
        <w:rPr>
          <w:rFonts w:ascii="宋体" w:hAnsi="宋体" w:eastAsia="宋体" w:cs="宋体"/>
          <w:spacing w:val="5"/>
          <w:sz w:val="20"/>
          <w:szCs w:val="20"/>
        </w:rPr>
        <w:t>细胞免疫功能缺陷为主的一种免疫缺陷病。</w:t>
      </w:r>
      <w:r>
        <w:rPr>
          <w:rFonts w:ascii="Times New Roman" w:hAnsi="Times New Roman" w:eastAsia="Times New Roman" w:cs="Times New Roman"/>
          <w:sz w:val="20"/>
          <w:szCs w:val="20"/>
        </w:rPr>
        <w:t>HIV</w:t>
      </w:r>
      <w:r>
        <w:rPr>
          <w:rFonts w:ascii="Times New Roman" w:hAnsi="Times New Roman" w:eastAsia="Times New Roman" w:cs="Times New Roman"/>
          <w:spacing w:val="28"/>
          <w:sz w:val="20"/>
          <w:szCs w:val="20"/>
        </w:rPr>
        <w:t xml:space="preserve"> </w:t>
      </w:r>
      <w:r>
        <w:rPr>
          <w:rFonts w:ascii="宋体" w:hAnsi="宋体" w:eastAsia="宋体" w:cs="宋体"/>
          <w:spacing w:val="5"/>
          <w:sz w:val="20"/>
          <w:szCs w:val="20"/>
        </w:rPr>
        <w:t>本身并不直</w:t>
      </w:r>
      <w:r>
        <w:rPr>
          <w:rFonts w:ascii="宋体" w:hAnsi="宋体" w:eastAsia="宋体" w:cs="宋体"/>
          <w:sz w:val="20"/>
          <w:szCs w:val="20"/>
        </w:rPr>
        <w:t xml:space="preserve"> </w:t>
      </w:r>
      <w:r>
        <w:rPr>
          <w:rFonts w:ascii="宋体" w:hAnsi="宋体" w:eastAsia="宋体" w:cs="宋体"/>
          <w:spacing w:val="1"/>
          <w:sz w:val="20"/>
          <w:szCs w:val="20"/>
        </w:rPr>
        <w:t>接致病，当受感染者的免疫系统被</w:t>
      </w:r>
      <w:r>
        <w:rPr>
          <w:rFonts w:ascii="Times New Roman" w:hAnsi="Times New Roman" w:eastAsia="Times New Roman" w:cs="Times New Roman"/>
          <w:sz w:val="20"/>
          <w:szCs w:val="20"/>
        </w:rPr>
        <w:t>HIV</w:t>
      </w:r>
      <w:r>
        <w:rPr>
          <w:rFonts w:ascii="宋体" w:hAnsi="宋体" w:eastAsia="宋体" w:cs="宋体"/>
          <w:spacing w:val="1"/>
          <w:sz w:val="20"/>
          <w:szCs w:val="20"/>
        </w:rPr>
        <w:t>破坏后，受感染者出现多种临床症状和疾病而死亡。</w:t>
      </w:r>
    </w:p>
    <w:p w14:paraId="2A5AB700">
      <w:pPr>
        <w:spacing w:before="1" w:line="329" w:lineRule="auto"/>
        <w:ind w:right="619" w:firstLine="420"/>
        <w:jc w:val="both"/>
        <w:rPr>
          <w:rFonts w:ascii="宋体" w:hAnsi="宋体" w:eastAsia="宋体" w:cs="宋体"/>
          <w:sz w:val="20"/>
          <w:szCs w:val="20"/>
        </w:rPr>
      </w:pPr>
      <w:r>
        <w:rPr>
          <w:rFonts w:ascii="宋体" w:hAnsi="宋体" w:eastAsia="宋体" w:cs="宋体"/>
          <w:spacing w:val="4"/>
          <w:sz w:val="20"/>
          <w:szCs w:val="20"/>
        </w:rPr>
        <w:t>1981年在美国</w:t>
      </w:r>
      <w:r>
        <w:rPr>
          <w:rFonts w:ascii="Times New Roman" w:hAnsi="Times New Roman" w:eastAsia="Times New Roman" w:cs="Times New Roman"/>
          <w:sz w:val="20"/>
          <w:szCs w:val="20"/>
        </w:rPr>
        <w:t>MSM</w:t>
      </w:r>
      <w:r>
        <w:rPr>
          <w:rFonts w:ascii="宋体" w:hAnsi="宋体" w:eastAsia="宋体" w:cs="宋体"/>
          <w:spacing w:val="4"/>
          <w:sz w:val="20"/>
          <w:szCs w:val="20"/>
        </w:rPr>
        <w:t>中发现首例</w:t>
      </w:r>
      <w:r>
        <w:rPr>
          <w:rFonts w:ascii="Times New Roman" w:hAnsi="Times New Roman" w:eastAsia="Times New Roman" w:cs="Times New Roman"/>
          <w:sz w:val="20"/>
          <w:szCs w:val="20"/>
        </w:rPr>
        <w:t>AIDS</w:t>
      </w:r>
      <w:r>
        <w:rPr>
          <w:rFonts w:ascii="宋体" w:hAnsi="宋体" w:eastAsia="宋体" w:cs="宋体"/>
          <w:spacing w:val="4"/>
          <w:sz w:val="20"/>
          <w:szCs w:val="20"/>
        </w:rPr>
        <w:t>患者。1983年，法国巴斯德研究所</w:t>
      </w:r>
      <w:r>
        <w:rPr>
          <w:rFonts w:ascii="宋体" w:hAnsi="宋体" w:eastAsia="宋体" w:cs="宋体"/>
          <w:spacing w:val="-2"/>
          <w:sz w:val="20"/>
          <w:szCs w:val="20"/>
        </w:rPr>
        <w:t xml:space="preserve"> </w:t>
      </w:r>
      <w:r>
        <w:rPr>
          <w:rFonts w:ascii="Times New Roman" w:hAnsi="Times New Roman" w:eastAsia="Times New Roman" w:cs="Times New Roman"/>
          <w:sz w:val="20"/>
          <w:szCs w:val="20"/>
        </w:rPr>
        <w:t>Montagnier</w:t>
      </w:r>
      <w:r>
        <w:rPr>
          <w:rFonts w:ascii="宋体" w:hAnsi="宋体" w:eastAsia="宋体" w:cs="宋体"/>
          <w:spacing w:val="4"/>
          <w:sz w:val="20"/>
          <w:szCs w:val="20"/>
        </w:rPr>
        <w:t>从</w:t>
      </w:r>
      <w:r>
        <w:rPr>
          <w:rFonts w:ascii="宋体" w:hAnsi="宋体" w:eastAsia="宋体" w:cs="宋体"/>
          <w:spacing w:val="-57"/>
          <w:sz w:val="20"/>
          <w:szCs w:val="20"/>
        </w:rPr>
        <w:t xml:space="preserve"> </w:t>
      </w:r>
      <w:r>
        <w:rPr>
          <w:rFonts w:ascii="宋体" w:hAnsi="宋体" w:eastAsia="宋体" w:cs="宋体"/>
          <w:spacing w:val="4"/>
          <w:sz w:val="20"/>
          <w:szCs w:val="20"/>
        </w:rPr>
        <w:t>一</w:t>
      </w:r>
      <w:r>
        <w:rPr>
          <w:rFonts w:ascii="Times New Roman" w:hAnsi="Times New Roman" w:eastAsia="Times New Roman" w:cs="Times New Roman"/>
          <w:sz w:val="20"/>
          <w:szCs w:val="20"/>
        </w:rPr>
        <w:t xml:space="preserve">MSM </w:t>
      </w:r>
      <w:r>
        <w:rPr>
          <w:rFonts w:ascii="宋体" w:hAnsi="宋体" w:eastAsia="宋体" w:cs="宋体"/>
          <w:spacing w:val="7"/>
          <w:sz w:val="20"/>
          <w:szCs w:val="20"/>
        </w:rPr>
        <w:t>体内分离到一株新的逆转录病毒，命名为淋巴结</w:t>
      </w:r>
      <w:r>
        <w:rPr>
          <w:rFonts w:ascii="宋体" w:hAnsi="宋体" w:eastAsia="宋体" w:cs="宋体"/>
          <w:spacing w:val="6"/>
          <w:sz w:val="20"/>
          <w:szCs w:val="20"/>
        </w:rPr>
        <w:t>病相关病毒</w:t>
      </w:r>
      <w:r>
        <w:rPr>
          <w:rFonts w:ascii="Times New Roman" w:hAnsi="Times New Roman" w:eastAsia="Times New Roman" w:cs="Times New Roman"/>
          <w:spacing w:val="6"/>
          <w:sz w:val="20"/>
          <w:szCs w:val="20"/>
        </w:rPr>
        <w:t>(</w:t>
      </w:r>
      <w:r>
        <w:rPr>
          <w:rFonts w:ascii="Times New Roman" w:hAnsi="Times New Roman" w:eastAsia="Times New Roman" w:cs="Times New Roman"/>
          <w:sz w:val="20"/>
          <w:szCs w:val="20"/>
        </w:rPr>
        <w:t>lymphadenopathy</w:t>
      </w:r>
      <w:r>
        <w:rPr>
          <w:rFonts w:ascii="Times New Roman" w:hAnsi="Times New Roman" w:eastAsia="Times New Roman" w:cs="Times New Roman"/>
          <w:spacing w:val="6"/>
          <w:sz w:val="20"/>
          <w:szCs w:val="20"/>
        </w:rPr>
        <w:t xml:space="preserve">    </w:t>
      </w:r>
      <w:r>
        <w:rPr>
          <w:rFonts w:ascii="Times New Roman" w:hAnsi="Times New Roman" w:eastAsia="Times New Roman" w:cs="Times New Roman"/>
          <w:sz w:val="20"/>
          <w:szCs w:val="20"/>
        </w:rPr>
        <w:t>associated</w:t>
      </w:r>
      <w:r>
        <w:rPr>
          <w:rFonts w:ascii="Times New Roman" w:hAnsi="Times New Roman" w:eastAsia="Times New Roman" w:cs="Times New Roman"/>
          <w:spacing w:val="6"/>
          <w:sz w:val="20"/>
          <w:szCs w:val="20"/>
        </w:rPr>
        <w:t xml:space="preserve">    </w:t>
      </w:r>
      <w:r>
        <w:rPr>
          <w:rFonts w:ascii="Times New Roman" w:hAnsi="Times New Roman" w:eastAsia="Times New Roman" w:cs="Times New Roman"/>
          <w:sz w:val="20"/>
          <w:szCs w:val="20"/>
        </w:rPr>
        <w:t>virus</w:t>
      </w:r>
      <w:r>
        <w:rPr>
          <w:rFonts w:ascii="Times New Roman" w:hAnsi="Times New Roman" w:eastAsia="Times New Roman" w:cs="Times New Roman"/>
          <w:spacing w:val="6"/>
          <w:sz w:val="20"/>
          <w:szCs w:val="20"/>
        </w:rPr>
        <w:t>,</w:t>
      </w:r>
      <w:r>
        <w:rPr>
          <w:rFonts w:ascii="Times New Roman" w:hAnsi="Times New Roman" w:eastAsia="Times New Roman" w:cs="Times New Roman"/>
          <w:sz w:val="20"/>
          <w:szCs w:val="20"/>
        </w:rPr>
        <w:t xml:space="preserve">  LAV)</w:t>
      </w:r>
      <w:r>
        <w:rPr>
          <w:rFonts w:ascii="Times New Roman" w:hAnsi="Times New Roman" w:eastAsia="Times New Roman" w:cs="Times New Roman"/>
          <w:spacing w:val="-23"/>
          <w:sz w:val="20"/>
          <w:szCs w:val="20"/>
        </w:rPr>
        <w:t xml:space="preserve"> </w:t>
      </w:r>
      <w:r>
        <w:rPr>
          <w:rFonts w:ascii="宋体" w:hAnsi="宋体" w:eastAsia="宋体" w:cs="宋体"/>
          <w:sz w:val="20"/>
          <w:szCs w:val="20"/>
        </w:rPr>
        <w:t>。</w:t>
      </w:r>
      <w:r>
        <w:rPr>
          <w:rFonts w:ascii="Times New Roman" w:hAnsi="Times New Roman" w:eastAsia="Times New Roman" w:cs="Times New Roman"/>
          <w:sz w:val="20"/>
          <w:szCs w:val="20"/>
        </w:rPr>
        <w:t xml:space="preserve">1984  </w:t>
      </w:r>
      <w:r>
        <w:rPr>
          <w:rFonts w:ascii="宋体" w:hAnsi="宋体" w:eastAsia="宋体" w:cs="宋体"/>
          <w:sz w:val="20"/>
          <w:szCs w:val="20"/>
        </w:rPr>
        <w:t>年，美国国立癌症研究</w:t>
      </w:r>
      <w:r>
        <w:rPr>
          <w:rFonts w:ascii="宋体" w:hAnsi="宋体" w:eastAsia="宋体" w:cs="宋体"/>
          <w:spacing w:val="-1"/>
          <w:sz w:val="20"/>
          <w:szCs w:val="20"/>
        </w:rPr>
        <w:t>所</w:t>
      </w:r>
      <w:r>
        <w:rPr>
          <w:rFonts w:ascii="Times New Roman" w:hAnsi="Times New Roman" w:eastAsia="Times New Roman" w:cs="Times New Roman"/>
          <w:spacing w:val="-1"/>
          <w:sz w:val="20"/>
          <w:szCs w:val="20"/>
        </w:rPr>
        <w:t xml:space="preserve">Gallo </w:t>
      </w:r>
      <w:r>
        <w:rPr>
          <w:rFonts w:ascii="宋体" w:hAnsi="宋体" w:eastAsia="宋体" w:cs="宋体"/>
          <w:spacing w:val="-1"/>
          <w:sz w:val="20"/>
          <w:szCs w:val="20"/>
        </w:rPr>
        <w:t>从</w:t>
      </w:r>
      <w:r>
        <w:rPr>
          <w:rFonts w:ascii="宋体" w:hAnsi="宋体" w:eastAsia="宋体" w:cs="宋体"/>
          <w:spacing w:val="-56"/>
          <w:sz w:val="20"/>
          <w:szCs w:val="20"/>
        </w:rPr>
        <w:t xml:space="preserve"> </w:t>
      </w:r>
      <w:r>
        <w:rPr>
          <w:rFonts w:ascii="宋体" w:hAnsi="宋体" w:eastAsia="宋体" w:cs="宋体"/>
          <w:spacing w:val="-1"/>
          <w:sz w:val="20"/>
          <w:szCs w:val="20"/>
        </w:rPr>
        <w:t>一</w:t>
      </w:r>
      <w:r>
        <w:rPr>
          <w:rFonts w:ascii="宋体" w:hAnsi="宋体" w:eastAsia="宋体" w:cs="宋体"/>
          <w:spacing w:val="-56"/>
          <w:sz w:val="20"/>
          <w:szCs w:val="20"/>
        </w:rPr>
        <w:t xml:space="preserve"> </w:t>
      </w:r>
      <w:r>
        <w:rPr>
          <w:rFonts w:ascii="宋体" w:hAnsi="宋体" w:eastAsia="宋体" w:cs="宋体"/>
          <w:spacing w:val="-1"/>
          <w:sz w:val="20"/>
          <w:szCs w:val="20"/>
        </w:rPr>
        <w:t>名</w:t>
      </w:r>
      <w:r>
        <w:rPr>
          <w:rFonts w:ascii="Times New Roman" w:hAnsi="Times New Roman" w:eastAsia="Times New Roman" w:cs="Times New Roman"/>
          <w:spacing w:val="-1"/>
          <w:sz w:val="20"/>
          <w:szCs w:val="20"/>
        </w:rPr>
        <w:t>AIDS</w:t>
      </w:r>
      <w:r>
        <w:rPr>
          <w:rFonts w:ascii="宋体" w:hAnsi="宋体" w:eastAsia="宋体" w:cs="宋体"/>
          <w:spacing w:val="-1"/>
          <w:sz w:val="20"/>
          <w:szCs w:val="20"/>
        </w:rPr>
        <w:t>患者的活体组织中分离到逆转录病毒，命</w:t>
      </w:r>
      <w:r>
        <w:rPr>
          <w:rFonts w:ascii="宋体" w:hAnsi="宋体" w:eastAsia="宋体" w:cs="宋体"/>
          <w:sz w:val="20"/>
          <w:szCs w:val="20"/>
        </w:rPr>
        <w:t xml:space="preserve"> </w:t>
      </w:r>
      <w:r>
        <w:rPr>
          <w:rFonts w:ascii="宋体" w:hAnsi="宋体" w:eastAsia="宋体" w:cs="宋体"/>
          <w:spacing w:val="5"/>
          <w:sz w:val="20"/>
          <w:szCs w:val="20"/>
        </w:rPr>
        <w:t>名为嗜人</w:t>
      </w:r>
      <w:r>
        <w:rPr>
          <w:rFonts w:ascii="Times New Roman" w:hAnsi="Times New Roman" w:eastAsia="Times New Roman" w:cs="Times New Roman"/>
          <w:spacing w:val="5"/>
          <w:sz w:val="20"/>
          <w:szCs w:val="20"/>
        </w:rPr>
        <w:t>T</w:t>
      </w:r>
      <w:r>
        <w:rPr>
          <w:rFonts w:ascii="Times New Roman" w:hAnsi="Times New Roman" w:eastAsia="Times New Roman" w:cs="Times New Roman"/>
          <w:spacing w:val="15"/>
          <w:sz w:val="20"/>
          <w:szCs w:val="20"/>
        </w:rPr>
        <w:t xml:space="preserve"> </w:t>
      </w:r>
      <w:r>
        <w:rPr>
          <w:rFonts w:ascii="宋体" w:hAnsi="宋体" w:eastAsia="宋体" w:cs="宋体"/>
          <w:spacing w:val="5"/>
          <w:sz w:val="20"/>
          <w:szCs w:val="20"/>
        </w:rPr>
        <w:t>淋巴细胞Ⅲ型病毒</w:t>
      </w:r>
      <w:r>
        <w:rPr>
          <w:rFonts w:ascii="Times New Roman" w:hAnsi="Times New Roman" w:eastAsia="Times New Roman" w:cs="Times New Roman"/>
          <w:spacing w:val="5"/>
          <w:sz w:val="20"/>
          <w:szCs w:val="20"/>
        </w:rPr>
        <w:t>(</w:t>
      </w:r>
      <w:r>
        <w:rPr>
          <w:rFonts w:ascii="Times New Roman" w:hAnsi="Times New Roman" w:eastAsia="Times New Roman" w:cs="Times New Roman"/>
          <w:sz w:val="20"/>
          <w:szCs w:val="20"/>
        </w:rPr>
        <w:t>human   T</w:t>
      </w:r>
      <w:r>
        <w:rPr>
          <w:rFonts w:ascii="Times New Roman" w:hAnsi="Times New Roman" w:eastAsia="Times New Roman" w:cs="Times New Roman"/>
          <w:spacing w:val="5"/>
          <w:sz w:val="20"/>
          <w:szCs w:val="20"/>
        </w:rPr>
        <w:t>-</w:t>
      </w:r>
      <w:r>
        <w:rPr>
          <w:rFonts w:ascii="Times New Roman" w:hAnsi="Times New Roman" w:eastAsia="Times New Roman" w:cs="Times New Roman"/>
          <w:sz w:val="20"/>
          <w:szCs w:val="20"/>
        </w:rPr>
        <w:t>celllymphotropic</w:t>
      </w:r>
      <w:r>
        <w:rPr>
          <w:rFonts w:ascii="Times New Roman" w:hAnsi="Times New Roman" w:eastAsia="Times New Roman" w:cs="Times New Roman"/>
          <w:spacing w:val="24"/>
          <w:sz w:val="20"/>
          <w:szCs w:val="20"/>
        </w:rPr>
        <w:t xml:space="preserve">  </w:t>
      </w:r>
      <w:r>
        <w:rPr>
          <w:rFonts w:ascii="Times New Roman" w:hAnsi="Times New Roman" w:eastAsia="Times New Roman" w:cs="Times New Roman"/>
          <w:sz w:val="20"/>
          <w:szCs w:val="20"/>
        </w:rPr>
        <w:t>virus</w:t>
      </w:r>
      <w:r>
        <w:rPr>
          <w:rFonts w:ascii="Times New Roman" w:hAnsi="Times New Roman" w:eastAsia="Times New Roman" w:cs="Times New Roman"/>
          <w:spacing w:val="23"/>
          <w:w w:val="101"/>
          <w:sz w:val="20"/>
          <w:szCs w:val="20"/>
        </w:rPr>
        <w:t xml:space="preserve">  </w:t>
      </w:r>
      <w:r>
        <w:rPr>
          <w:rFonts w:ascii="Times New Roman" w:hAnsi="Times New Roman" w:eastAsia="Times New Roman" w:cs="Times New Roman"/>
          <w:sz w:val="20"/>
          <w:szCs w:val="20"/>
        </w:rPr>
        <w:t>type</w:t>
      </w:r>
      <w:r>
        <w:rPr>
          <w:rFonts w:ascii="Times New Roman" w:hAnsi="Times New Roman" w:eastAsia="Times New Roman" w:cs="Times New Roman"/>
          <w:spacing w:val="5"/>
          <w:sz w:val="20"/>
          <w:szCs w:val="20"/>
        </w:rPr>
        <w:t xml:space="preserve">   3,</w:t>
      </w:r>
      <w:r>
        <w:rPr>
          <w:rFonts w:ascii="Times New Roman" w:hAnsi="Times New Roman" w:eastAsia="Times New Roman" w:cs="Times New Roman"/>
          <w:sz w:val="20"/>
          <w:szCs w:val="20"/>
        </w:rPr>
        <w:t>HTLV</w:t>
      </w:r>
      <w:r>
        <w:rPr>
          <w:rFonts w:ascii="Times New Roman" w:hAnsi="Times New Roman" w:eastAsia="Times New Roman" w:cs="Times New Roman"/>
          <w:spacing w:val="4"/>
          <w:sz w:val="20"/>
          <w:szCs w:val="20"/>
        </w:rPr>
        <w:t>-Ⅲ)</w:t>
      </w:r>
      <w:r>
        <w:rPr>
          <w:rFonts w:ascii="宋体" w:hAnsi="宋体" w:eastAsia="宋体" w:cs="宋体"/>
          <w:spacing w:val="4"/>
          <w:sz w:val="20"/>
          <w:szCs w:val="20"/>
        </w:rPr>
        <w:t>。同年美国加州</w:t>
      </w:r>
      <w:r>
        <w:rPr>
          <w:rFonts w:ascii="宋体" w:hAnsi="宋体" w:eastAsia="宋体" w:cs="宋体"/>
          <w:sz w:val="20"/>
          <w:szCs w:val="20"/>
        </w:rPr>
        <w:t xml:space="preserve"> </w:t>
      </w:r>
      <w:r>
        <w:rPr>
          <w:rFonts w:ascii="宋体" w:hAnsi="宋体" w:eastAsia="宋体" w:cs="宋体"/>
          <w:spacing w:val="4"/>
          <w:sz w:val="20"/>
          <w:szCs w:val="20"/>
        </w:rPr>
        <w:t>大学</w:t>
      </w:r>
      <w:r>
        <w:rPr>
          <w:rFonts w:ascii="Times New Roman" w:hAnsi="Times New Roman" w:eastAsia="Times New Roman" w:cs="Times New Roman"/>
          <w:sz w:val="20"/>
          <w:szCs w:val="20"/>
        </w:rPr>
        <w:t>Levy</w:t>
      </w:r>
      <w:r>
        <w:rPr>
          <w:rFonts w:ascii="Times New Roman" w:hAnsi="Times New Roman" w:eastAsia="Times New Roman" w:cs="Times New Roman"/>
          <w:spacing w:val="4"/>
          <w:sz w:val="20"/>
          <w:szCs w:val="20"/>
        </w:rPr>
        <w:t xml:space="preserve"> </w:t>
      </w:r>
      <w:r>
        <w:rPr>
          <w:rFonts w:ascii="宋体" w:hAnsi="宋体" w:eastAsia="宋体" w:cs="宋体"/>
          <w:spacing w:val="4"/>
          <w:sz w:val="20"/>
          <w:szCs w:val="20"/>
        </w:rPr>
        <w:t>等也宣告从患者的末梢血中分离到这种病毒，称之为</w:t>
      </w:r>
      <w:r>
        <w:rPr>
          <w:rFonts w:ascii="Times New Roman" w:hAnsi="Times New Roman" w:eastAsia="Times New Roman" w:cs="Times New Roman"/>
          <w:sz w:val="20"/>
          <w:szCs w:val="20"/>
        </w:rPr>
        <w:t>AIDS</w:t>
      </w:r>
      <w:r>
        <w:rPr>
          <w:rFonts w:ascii="宋体" w:hAnsi="宋体" w:eastAsia="宋体" w:cs="宋体"/>
          <w:spacing w:val="4"/>
          <w:sz w:val="20"/>
          <w:szCs w:val="20"/>
        </w:rPr>
        <w:t>相关病毒</w:t>
      </w:r>
      <w:r>
        <w:rPr>
          <w:rFonts w:ascii="Times New Roman" w:hAnsi="Times New Roman" w:eastAsia="Times New Roman" w:cs="Times New Roman"/>
          <w:spacing w:val="4"/>
          <w:sz w:val="20"/>
          <w:szCs w:val="20"/>
        </w:rPr>
        <w:t>(</w:t>
      </w:r>
      <w:r>
        <w:rPr>
          <w:rFonts w:ascii="Times New Roman" w:hAnsi="Times New Roman" w:eastAsia="Times New Roman" w:cs="Times New Roman"/>
          <w:sz w:val="20"/>
          <w:szCs w:val="20"/>
        </w:rPr>
        <w:t>AIDS</w:t>
      </w:r>
      <w:r>
        <w:rPr>
          <w:rFonts w:ascii="Times New Roman" w:hAnsi="Times New Roman" w:eastAsia="Times New Roman" w:cs="Times New Roman"/>
          <w:spacing w:val="4"/>
          <w:sz w:val="20"/>
          <w:szCs w:val="20"/>
        </w:rPr>
        <w:t xml:space="preserve">  </w:t>
      </w:r>
      <w:r>
        <w:rPr>
          <w:rFonts w:ascii="Times New Roman" w:hAnsi="Times New Roman" w:eastAsia="Times New Roman" w:cs="Times New Roman"/>
          <w:sz w:val="20"/>
          <w:szCs w:val="20"/>
        </w:rPr>
        <w:t>related</w:t>
      </w:r>
      <w:r>
        <w:rPr>
          <w:rFonts w:ascii="Times New Roman" w:hAnsi="Times New Roman" w:eastAsia="Times New Roman" w:cs="Times New Roman"/>
          <w:spacing w:val="4"/>
          <w:sz w:val="20"/>
          <w:szCs w:val="20"/>
        </w:rPr>
        <w:t xml:space="preserve">  </w:t>
      </w:r>
      <w:r>
        <w:rPr>
          <w:rFonts w:ascii="Times New Roman" w:hAnsi="Times New Roman" w:eastAsia="Times New Roman" w:cs="Times New Roman"/>
          <w:sz w:val="20"/>
          <w:szCs w:val="20"/>
        </w:rPr>
        <w:t>virus</w:t>
      </w:r>
      <w:r>
        <w:rPr>
          <w:rFonts w:ascii="Times New Roman" w:hAnsi="Times New Roman" w:eastAsia="Times New Roman" w:cs="Times New Roman"/>
          <w:spacing w:val="4"/>
          <w:sz w:val="20"/>
          <w:szCs w:val="20"/>
        </w:rPr>
        <w:t>,</w:t>
      </w:r>
      <w:r>
        <w:rPr>
          <w:rFonts w:ascii="Times New Roman" w:hAnsi="Times New Roman" w:eastAsia="Times New Roman" w:cs="Times New Roman"/>
          <w:spacing w:val="5"/>
          <w:sz w:val="20"/>
          <w:szCs w:val="20"/>
        </w:rPr>
        <w:t xml:space="preserve">  </w:t>
      </w:r>
      <w:r>
        <w:rPr>
          <w:rFonts w:ascii="Times New Roman" w:hAnsi="Times New Roman" w:eastAsia="Times New Roman" w:cs="Times New Roman"/>
          <w:sz w:val="20"/>
          <w:szCs w:val="20"/>
        </w:rPr>
        <w:t>ARV</w:t>
      </w:r>
      <w:r>
        <w:rPr>
          <w:rFonts w:ascii="Times New Roman" w:hAnsi="Times New Roman" w:eastAsia="Times New Roman" w:cs="Times New Roman"/>
          <w:spacing w:val="1"/>
          <w:sz w:val="20"/>
          <w:szCs w:val="20"/>
        </w:rPr>
        <w:t>)</w:t>
      </w:r>
      <w:r>
        <w:rPr>
          <w:rFonts w:ascii="Times New Roman" w:hAnsi="Times New Roman" w:eastAsia="Times New Roman" w:cs="Times New Roman"/>
          <w:spacing w:val="-6"/>
          <w:sz w:val="20"/>
          <w:szCs w:val="20"/>
        </w:rPr>
        <w:t xml:space="preserve"> </w:t>
      </w:r>
      <w:r>
        <w:rPr>
          <w:rFonts w:ascii="宋体" w:hAnsi="宋体" w:eastAsia="宋体" w:cs="宋体"/>
          <w:spacing w:val="1"/>
          <w:sz w:val="20"/>
          <w:szCs w:val="20"/>
        </w:rPr>
        <w:t>。</w:t>
      </w:r>
      <w:r>
        <w:rPr>
          <w:rFonts w:ascii="Times New Roman" w:hAnsi="Times New Roman" w:eastAsia="Times New Roman" w:cs="Times New Roman"/>
          <w:spacing w:val="1"/>
          <w:sz w:val="20"/>
          <w:szCs w:val="20"/>
        </w:rPr>
        <w:t>1986</w:t>
      </w:r>
      <w:r>
        <w:rPr>
          <w:rFonts w:ascii="Times New Roman" w:hAnsi="Times New Roman" w:eastAsia="Times New Roman" w:cs="Times New Roman"/>
          <w:spacing w:val="33"/>
          <w:w w:val="101"/>
          <w:sz w:val="20"/>
          <w:szCs w:val="20"/>
        </w:rPr>
        <w:t xml:space="preserve"> </w:t>
      </w:r>
      <w:r>
        <w:rPr>
          <w:rFonts w:ascii="宋体" w:hAnsi="宋体" w:eastAsia="宋体" w:cs="宋体"/>
          <w:spacing w:val="1"/>
          <w:sz w:val="20"/>
          <w:szCs w:val="20"/>
        </w:rPr>
        <w:t>年国际微生物学会联合会及国际病毒分类学委员会将这些病毒统一命名为</w:t>
      </w:r>
      <w:r>
        <w:rPr>
          <w:rFonts w:ascii="Times New Roman" w:hAnsi="Times New Roman" w:eastAsia="Times New Roman" w:cs="Times New Roman"/>
          <w:sz w:val="20"/>
          <w:szCs w:val="20"/>
        </w:rPr>
        <w:t>HIV</w:t>
      </w:r>
      <w:r>
        <w:rPr>
          <w:rFonts w:ascii="宋体" w:hAnsi="宋体" w:eastAsia="宋体" w:cs="宋体"/>
          <w:spacing w:val="1"/>
          <w:sz w:val="20"/>
          <w:szCs w:val="20"/>
        </w:rPr>
        <w:t>。</w:t>
      </w:r>
    </w:p>
    <w:p w14:paraId="79C77A19">
      <w:pPr>
        <w:pStyle w:val="2"/>
        <w:spacing w:before="98" w:line="221" w:lineRule="auto"/>
        <w:ind w:left="422"/>
        <w:rPr>
          <w:sz w:val="20"/>
          <w:szCs w:val="20"/>
        </w:rPr>
      </w:pPr>
      <w:r>
        <w:rPr>
          <w:b/>
          <w:bCs/>
          <w:spacing w:val="-15"/>
          <w:sz w:val="20"/>
          <w:szCs w:val="20"/>
        </w:rPr>
        <w:t>(</w:t>
      </w:r>
      <w:r>
        <w:rPr>
          <w:spacing w:val="-39"/>
          <w:sz w:val="20"/>
          <w:szCs w:val="20"/>
        </w:rPr>
        <w:t xml:space="preserve"> </w:t>
      </w:r>
      <w:r>
        <w:rPr>
          <w:b/>
          <w:bCs/>
          <w:spacing w:val="-15"/>
          <w:sz w:val="20"/>
          <w:szCs w:val="20"/>
        </w:rPr>
        <w:t>一</w:t>
      </w:r>
      <w:r>
        <w:rPr>
          <w:spacing w:val="-47"/>
          <w:sz w:val="20"/>
          <w:szCs w:val="20"/>
        </w:rPr>
        <w:t xml:space="preserve"> </w:t>
      </w:r>
      <w:r>
        <w:rPr>
          <w:b/>
          <w:bCs/>
          <w:spacing w:val="-15"/>
          <w:sz w:val="20"/>
          <w:szCs w:val="20"/>
        </w:rPr>
        <w:t>)</w:t>
      </w:r>
      <w:r>
        <w:rPr>
          <w:spacing w:val="-45"/>
          <w:sz w:val="20"/>
          <w:szCs w:val="20"/>
        </w:rPr>
        <w:t xml:space="preserve"> </w:t>
      </w:r>
      <w:r>
        <w:rPr>
          <w:b/>
          <w:bCs/>
          <w:spacing w:val="-15"/>
          <w:sz w:val="20"/>
          <w:szCs w:val="20"/>
        </w:rPr>
        <w:t>病</w:t>
      </w:r>
      <w:r>
        <w:rPr>
          <w:spacing w:val="-43"/>
          <w:sz w:val="20"/>
          <w:szCs w:val="20"/>
        </w:rPr>
        <w:t xml:space="preserve"> </w:t>
      </w:r>
      <w:r>
        <w:rPr>
          <w:b/>
          <w:bCs/>
          <w:spacing w:val="-15"/>
          <w:sz w:val="20"/>
          <w:szCs w:val="20"/>
        </w:rPr>
        <w:t>原</w:t>
      </w:r>
      <w:r>
        <w:rPr>
          <w:spacing w:val="-37"/>
          <w:sz w:val="20"/>
          <w:szCs w:val="20"/>
        </w:rPr>
        <w:t xml:space="preserve"> </w:t>
      </w:r>
      <w:r>
        <w:rPr>
          <w:b/>
          <w:bCs/>
          <w:spacing w:val="-15"/>
          <w:sz w:val="20"/>
          <w:szCs w:val="20"/>
        </w:rPr>
        <w:t>学</w:t>
      </w:r>
    </w:p>
    <w:p w14:paraId="2B7BF269">
      <w:pPr>
        <w:spacing w:before="113" w:line="332" w:lineRule="auto"/>
        <w:ind w:right="628" w:firstLine="420"/>
        <w:jc w:val="both"/>
        <w:rPr>
          <w:rFonts w:ascii="Times New Roman" w:hAnsi="Times New Roman" w:eastAsia="Times New Roman" w:cs="Times New Roman"/>
          <w:sz w:val="20"/>
          <w:szCs w:val="20"/>
        </w:rPr>
      </w:pPr>
      <w:r>
        <w:rPr>
          <w:rFonts w:ascii="Times New Roman" w:hAnsi="Times New Roman" w:eastAsia="Times New Roman" w:cs="Times New Roman"/>
          <w:sz w:val="20"/>
          <w:szCs w:val="20"/>
        </w:rPr>
        <w:t>HIV</w:t>
      </w:r>
      <w:r>
        <w:rPr>
          <w:rFonts w:ascii="Times New Roman" w:hAnsi="Times New Roman" w:eastAsia="Times New Roman" w:cs="Times New Roman"/>
          <w:spacing w:val="18"/>
          <w:sz w:val="20"/>
          <w:szCs w:val="20"/>
        </w:rPr>
        <w:t xml:space="preserve"> </w:t>
      </w:r>
      <w:r>
        <w:rPr>
          <w:rFonts w:ascii="宋体" w:hAnsi="宋体" w:eastAsia="宋体" w:cs="宋体"/>
          <w:spacing w:val="4"/>
          <w:sz w:val="20"/>
          <w:szCs w:val="20"/>
        </w:rPr>
        <w:t>是一种能在人的血液中生存并以</w:t>
      </w:r>
      <w:r>
        <w:rPr>
          <w:rFonts w:ascii="Times New Roman" w:hAnsi="Times New Roman" w:eastAsia="Times New Roman" w:cs="Times New Roman"/>
          <w:sz w:val="20"/>
          <w:szCs w:val="20"/>
        </w:rPr>
        <w:t>CD</w:t>
      </w:r>
      <w:r>
        <w:rPr>
          <w:rFonts w:ascii="Times New Roman" w:hAnsi="Times New Roman" w:eastAsia="Times New Roman" w:cs="Times New Roman"/>
          <w:spacing w:val="4"/>
          <w:sz w:val="20"/>
          <w:szCs w:val="20"/>
        </w:rPr>
        <w:t>4*T</w:t>
      </w:r>
      <w:r>
        <w:rPr>
          <w:rFonts w:ascii="Times New Roman" w:hAnsi="Times New Roman" w:eastAsia="Times New Roman" w:cs="Times New Roman"/>
          <w:spacing w:val="-13"/>
          <w:sz w:val="20"/>
          <w:szCs w:val="20"/>
        </w:rPr>
        <w:t xml:space="preserve"> </w:t>
      </w:r>
      <w:r>
        <w:rPr>
          <w:rFonts w:ascii="宋体" w:hAnsi="宋体" w:eastAsia="宋体" w:cs="宋体"/>
          <w:spacing w:val="4"/>
          <w:sz w:val="20"/>
          <w:szCs w:val="20"/>
        </w:rPr>
        <w:t>淋巴细胞为主要攻击目标的病毒；它</w:t>
      </w:r>
      <w:r>
        <w:rPr>
          <w:rFonts w:ascii="宋体" w:hAnsi="宋体" w:eastAsia="宋体" w:cs="宋体"/>
          <w:spacing w:val="3"/>
          <w:sz w:val="20"/>
          <w:szCs w:val="20"/>
        </w:rPr>
        <w:t>属于逆转录</w:t>
      </w:r>
      <w:r>
        <w:rPr>
          <w:rFonts w:ascii="宋体" w:hAnsi="宋体" w:eastAsia="宋体" w:cs="宋体"/>
          <w:sz w:val="20"/>
          <w:szCs w:val="20"/>
        </w:rPr>
        <w:t xml:space="preserve"> 病毒科、慢病毒属，是RNA</w:t>
      </w:r>
      <w:r>
        <w:rPr>
          <w:rFonts w:ascii="宋体" w:hAnsi="宋体" w:eastAsia="宋体" w:cs="宋体"/>
          <w:spacing w:val="56"/>
          <w:sz w:val="20"/>
          <w:szCs w:val="20"/>
        </w:rPr>
        <w:t xml:space="preserve"> </w:t>
      </w:r>
      <w:r>
        <w:rPr>
          <w:rFonts w:ascii="宋体" w:hAnsi="宋体" w:eastAsia="宋体" w:cs="宋体"/>
          <w:sz w:val="20"/>
          <w:szCs w:val="20"/>
        </w:rPr>
        <w:t>病毒。迄今为止，全</w:t>
      </w:r>
      <w:r>
        <w:rPr>
          <w:rFonts w:ascii="宋体" w:hAnsi="宋体" w:eastAsia="宋体" w:cs="宋体"/>
          <w:spacing w:val="-1"/>
          <w:sz w:val="20"/>
          <w:szCs w:val="20"/>
        </w:rPr>
        <w:t>球流行的HIV 根据血清学反应和病毒核酸序列测定</w:t>
      </w:r>
      <w:r>
        <w:rPr>
          <w:rFonts w:ascii="宋体" w:hAnsi="宋体" w:eastAsia="宋体" w:cs="宋体"/>
          <w:sz w:val="20"/>
          <w:szCs w:val="20"/>
        </w:rPr>
        <w:t xml:space="preserve"> </w:t>
      </w:r>
      <w:r>
        <w:rPr>
          <w:rFonts w:ascii="宋体" w:hAnsi="宋体" w:eastAsia="宋体" w:cs="宋体"/>
          <w:spacing w:val="7"/>
          <w:sz w:val="20"/>
          <w:szCs w:val="20"/>
        </w:rPr>
        <w:t>可分为</w:t>
      </w:r>
      <w:r>
        <w:rPr>
          <w:rFonts w:ascii="Times New Roman" w:hAnsi="Times New Roman" w:eastAsia="Times New Roman" w:cs="Times New Roman"/>
          <w:sz w:val="20"/>
          <w:szCs w:val="20"/>
        </w:rPr>
        <w:t>HIV</w:t>
      </w:r>
      <w:r>
        <w:rPr>
          <w:rFonts w:ascii="Times New Roman" w:hAnsi="Times New Roman" w:eastAsia="Times New Roman" w:cs="Times New Roman"/>
          <w:spacing w:val="7"/>
          <w:sz w:val="20"/>
          <w:szCs w:val="20"/>
        </w:rPr>
        <w:t xml:space="preserve">-1 </w:t>
      </w:r>
      <w:r>
        <w:rPr>
          <w:rFonts w:ascii="宋体" w:hAnsi="宋体" w:eastAsia="宋体" w:cs="宋体"/>
          <w:spacing w:val="7"/>
          <w:sz w:val="20"/>
          <w:szCs w:val="20"/>
        </w:rPr>
        <w:t>和</w:t>
      </w:r>
      <w:r>
        <w:rPr>
          <w:rFonts w:ascii="宋体" w:hAnsi="宋体" w:eastAsia="宋体" w:cs="宋体"/>
          <w:spacing w:val="-42"/>
          <w:sz w:val="20"/>
          <w:szCs w:val="20"/>
        </w:rPr>
        <w:t xml:space="preserve"> </w:t>
      </w:r>
      <w:r>
        <w:rPr>
          <w:rFonts w:ascii="Times New Roman" w:hAnsi="Times New Roman" w:eastAsia="Times New Roman" w:cs="Times New Roman"/>
          <w:sz w:val="20"/>
          <w:szCs w:val="20"/>
        </w:rPr>
        <w:t>HIV</w:t>
      </w:r>
      <w:r>
        <w:rPr>
          <w:rFonts w:ascii="Times New Roman" w:hAnsi="Times New Roman" w:eastAsia="Times New Roman" w:cs="Times New Roman"/>
          <w:spacing w:val="7"/>
          <w:sz w:val="20"/>
          <w:szCs w:val="20"/>
        </w:rPr>
        <w:t xml:space="preserve">-2 </w:t>
      </w:r>
      <w:r>
        <w:rPr>
          <w:rFonts w:ascii="宋体" w:hAnsi="宋体" w:eastAsia="宋体" w:cs="宋体"/>
          <w:spacing w:val="7"/>
          <w:sz w:val="20"/>
          <w:szCs w:val="20"/>
        </w:rPr>
        <w:t>两型。根据编码包膜蛋白的</w:t>
      </w:r>
      <w:r>
        <w:rPr>
          <w:rFonts w:ascii="Times New Roman" w:hAnsi="Times New Roman" w:eastAsia="Times New Roman" w:cs="Times New Roman"/>
          <w:sz w:val="20"/>
          <w:szCs w:val="20"/>
        </w:rPr>
        <w:t>env</w:t>
      </w:r>
      <w:r>
        <w:rPr>
          <w:rFonts w:ascii="Times New Roman" w:hAnsi="Times New Roman" w:eastAsia="Times New Roman" w:cs="Times New Roman"/>
          <w:spacing w:val="7"/>
          <w:sz w:val="20"/>
          <w:szCs w:val="20"/>
        </w:rPr>
        <w:t xml:space="preserve"> </w:t>
      </w:r>
      <w:r>
        <w:rPr>
          <w:rFonts w:ascii="宋体" w:hAnsi="宋体" w:eastAsia="宋体" w:cs="宋体"/>
          <w:spacing w:val="7"/>
          <w:sz w:val="20"/>
          <w:szCs w:val="20"/>
        </w:rPr>
        <w:t>基因和编码壳蛋白</w:t>
      </w:r>
      <w:r>
        <w:rPr>
          <w:rFonts w:ascii="宋体" w:hAnsi="宋体" w:eastAsia="宋体" w:cs="宋体"/>
          <w:spacing w:val="6"/>
          <w:sz w:val="20"/>
          <w:szCs w:val="20"/>
        </w:rPr>
        <w:t>的</w:t>
      </w:r>
      <w:r>
        <w:rPr>
          <w:rFonts w:ascii="Times New Roman" w:hAnsi="Times New Roman" w:eastAsia="Times New Roman" w:cs="Times New Roman"/>
          <w:sz w:val="20"/>
          <w:szCs w:val="20"/>
        </w:rPr>
        <w:t>gag</w:t>
      </w:r>
      <w:r>
        <w:rPr>
          <w:rFonts w:ascii="Times New Roman" w:hAnsi="Times New Roman" w:eastAsia="Times New Roman" w:cs="Times New Roman"/>
          <w:spacing w:val="6"/>
          <w:sz w:val="20"/>
          <w:szCs w:val="20"/>
        </w:rPr>
        <w:t xml:space="preserve">  </w:t>
      </w:r>
      <w:r>
        <w:rPr>
          <w:rFonts w:ascii="宋体" w:hAnsi="宋体" w:eastAsia="宋体" w:cs="宋体"/>
          <w:spacing w:val="6"/>
          <w:sz w:val="20"/>
          <w:szCs w:val="20"/>
        </w:rPr>
        <w:t>基因序列的同源</w:t>
      </w:r>
      <w:r>
        <w:rPr>
          <w:rFonts w:ascii="宋体" w:hAnsi="宋体" w:eastAsia="宋体" w:cs="宋体"/>
          <w:sz w:val="20"/>
          <w:szCs w:val="20"/>
        </w:rPr>
        <w:t xml:space="preserve"> </w:t>
      </w:r>
      <w:r>
        <w:rPr>
          <w:rFonts w:ascii="宋体" w:hAnsi="宋体" w:eastAsia="宋体" w:cs="宋体"/>
          <w:spacing w:val="1"/>
          <w:sz w:val="20"/>
          <w:szCs w:val="20"/>
        </w:rPr>
        <w:t>性，又可将</w:t>
      </w:r>
      <w:r>
        <w:rPr>
          <w:rFonts w:ascii="Times New Roman" w:hAnsi="Times New Roman" w:eastAsia="Times New Roman" w:cs="Times New Roman"/>
          <w:sz w:val="20"/>
          <w:szCs w:val="20"/>
        </w:rPr>
        <w:t>HIV</w:t>
      </w:r>
      <w:r>
        <w:rPr>
          <w:rFonts w:ascii="Times New Roman" w:hAnsi="Times New Roman" w:eastAsia="Times New Roman" w:cs="Times New Roman"/>
          <w:spacing w:val="1"/>
          <w:sz w:val="20"/>
          <w:szCs w:val="20"/>
        </w:rPr>
        <w:t xml:space="preserve">-1 </w:t>
      </w:r>
      <w:r>
        <w:rPr>
          <w:rFonts w:ascii="宋体" w:hAnsi="宋体" w:eastAsia="宋体" w:cs="宋体"/>
          <w:spacing w:val="1"/>
          <w:sz w:val="20"/>
          <w:szCs w:val="20"/>
        </w:rPr>
        <w:t>进一步分为</w:t>
      </w:r>
      <w:r>
        <w:rPr>
          <w:rFonts w:ascii="Times New Roman" w:hAnsi="Times New Roman" w:eastAsia="Times New Roman" w:cs="Times New Roman"/>
          <w:spacing w:val="1"/>
          <w:sz w:val="20"/>
          <w:szCs w:val="20"/>
        </w:rPr>
        <w:t>M</w:t>
      </w:r>
      <w:r>
        <w:rPr>
          <w:rFonts w:ascii="宋体" w:hAnsi="宋体" w:eastAsia="宋体" w:cs="宋体"/>
          <w:spacing w:val="1"/>
          <w:sz w:val="20"/>
          <w:szCs w:val="20"/>
        </w:rPr>
        <w:t>、</w:t>
      </w:r>
      <w:r>
        <w:rPr>
          <w:rFonts w:ascii="Times New Roman" w:hAnsi="Times New Roman" w:eastAsia="Times New Roman" w:cs="Times New Roman"/>
          <w:spacing w:val="1"/>
          <w:sz w:val="20"/>
          <w:szCs w:val="20"/>
        </w:rPr>
        <w:t>0</w:t>
      </w:r>
      <w:r>
        <w:rPr>
          <w:rFonts w:ascii="宋体" w:hAnsi="宋体" w:eastAsia="宋体" w:cs="宋体"/>
          <w:spacing w:val="1"/>
          <w:sz w:val="20"/>
          <w:szCs w:val="20"/>
        </w:rPr>
        <w:t>、</w:t>
      </w:r>
      <w:r>
        <w:rPr>
          <w:rFonts w:ascii="Times New Roman" w:hAnsi="Times New Roman" w:eastAsia="Times New Roman" w:cs="Times New Roman"/>
          <w:spacing w:val="1"/>
          <w:sz w:val="20"/>
          <w:szCs w:val="20"/>
        </w:rPr>
        <w:t>N</w:t>
      </w:r>
      <w:r>
        <w:rPr>
          <w:rFonts w:ascii="宋体" w:hAnsi="宋体" w:eastAsia="宋体" w:cs="宋体"/>
          <w:spacing w:val="1"/>
          <w:sz w:val="20"/>
          <w:szCs w:val="20"/>
        </w:rPr>
        <w:t>三组。</w:t>
      </w:r>
      <w:r>
        <w:rPr>
          <w:rFonts w:ascii="Times New Roman" w:hAnsi="Times New Roman" w:eastAsia="Times New Roman" w:cs="Times New Roman"/>
          <w:spacing w:val="1"/>
          <w:sz w:val="20"/>
          <w:szCs w:val="20"/>
        </w:rPr>
        <w:t>M</w:t>
      </w:r>
      <w:r>
        <w:rPr>
          <w:rFonts w:ascii="Times New Roman" w:hAnsi="Times New Roman" w:eastAsia="Times New Roman" w:cs="Times New Roman"/>
          <w:spacing w:val="-15"/>
          <w:sz w:val="20"/>
          <w:szCs w:val="20"/>
        </w:rPr>
        <w:t xml:space="preserve"> </w:t>
      </w:r>
      <w:r>
        <w:rPr>
          <w:rFonts w:ascii="宋体" w:hAnsi="宋体" w:eastAsia="宋体" w:cs="宋体"/>
          <w:spacing w:val="1"/>
          <w:sz w:val="20"/>
          <w:szCs w:val="20"/>
        </w:rPr>
        <w:t>组内又可分为</w:t>
      </w:r>
      <w:r>
        <w:rPr>
          <w:rFonts w:ascii="Times New Roman" w:hAnsi="Times New Roman" w:eastAsia="Times New Roman" w:cs="Times New Roman"/>
          <w:spacing w:val="1"/>
          <w:sz w:val="20"/>
          <w:szCs w:val="20"/>
        </w:rPr>
        <w:t>A</w:t>
      </w:r>
      <w:r>
        <w:rPr>
          <w:rFonts w:ascii="宋体" w:hAnsi="宋体" w:eastAsia="宋体" w:cs="宋体"/>
          <w:spacing w:val="1"/>
          <w:sz w:val="20"/>
          <w:szCs w:val="20"/>
        </w:rPr>
        <w:t>～</w:t>
      </w:r>
      <w:r>
        <w:rPr>
          <w:rFonts w:ascii="Times New Roman" w:hAnsi="Times New Roman" w:eastAsia="Times New Roman" w:cs="Times New Roman"/>
          <w:spacing w:val="1"/>
          <w:sz w:val="20"/>
          <w:szCs w:val="20"/>
        </w:rPr>
        <w:t>J10</w:t>
      </w:r>
      <w:r>
        <w:rPr>
          <w:rFonts w:ascii="Times New Roman" w:hAnsi="Times New Roman" w:eastAsia="Times New Roman" w:cs="Times New Roman"/>
          <w:spacing w:val="49"/>
          <w:w w:val="101"/>
          <w:sz w:val="20"/>
          <w:szCs w:val="20"/>
        </w:rPr>
        <w:t xml:space="preserve"> </w:t>
      </w:r>
      <w:r>
        <w:rPr>
          <w:rFonts w:ascii="宋体" w:hAnsi="宋体" w:eastAsia="宋体" w:cs="宋体"/>
          <w:spacing w:val="1"/>
          <w:sz w:val="20"/>
          <w:szCs w:val="20"/>
        </w:rPr>
        <w:t>个亚型。</w:t>
      </w:r>
      <w:r>
        <w:rPr>
          <w:rFonts w:ascii="Times New Roman" w:hAnsi="Times New Roman" w:eastAsia="Times New Roman" w:cs="Times New Roman"/>
          <w:sz w:val="20"/>
          <w:szCs w:val="20"/>
        </w:rPr>
        <w:t>HIV</w:t>
      </w:r>
      <w:r>
        <w:rPr>
          <w:rFonts w:ascii="Times New Roman" w:hAnsi="Times New Roman" w:eastAsia="Times New Roman" w:cs="Times New Roman"/>
          <w:spacing w:val="1"/>
          <w:sz w:val="20"/>
          <w:szCs w:val="20"/>
        </w:rPr>
        <w:t xml:space="preserve">-2 </w:t>
      </w:r>
      <w:r>
        <w:rPr>
          <w:rFonts w:ascii="宋体" w:hAnsi="宋体" w:eastAsia="宋体" w:cs="宋体"/>
          <w:spacing w:val="1"/>
          <w:sz w:val="20"/>
          <w:szCs w:val="20"/>
        </w:rPr>
        <w:t>至少有</w:t>
      </w:r>
      <w:r>
        <w:rPr>
          <w:rFonts w:ascii="Times New Roman" w:hAnsi="Times New Roman" w:eastAsia="Times New Roman" w:cs="Times New Roman"/>
          <w:spacing w:val="1"/>
          <w:sz w:val="20"/>
          <w:szCs w:val="20"/>
        </w:rPr>
        <w:t>A</w:t>
      </w:r>
      <w:r>
        <w:rPr>
          <w:rFonts w:ascii="宋体" w:hAnsi="宋体" w:eastAsia="宋体" w:cs="宋体"/>
          <w:spacing w:val="1"/>
          <w:sz w:val="20"/>
          <w:szCs w:val="20"/>
        </w:rPr>
        <w:t>～</w:t>
      </w:r>
      <w:r>
        <w:rPr>
          <w:rFonts w:ascii="Times New Roman" w:hAnsi="Times New Roman" w:eastAsia="Times New Roman" w:cs="Times New Roman"/>
          <w:spacing w:val="1"/>
          <w:sz w:val="20"/>
          <w:szCs w:val="20"/>
        </w:rPr>
        <w:t>F</w:t>
      </w:r>
    </w:p>
    <w:p w14:paraId="46E8C812">
      <w:pPr>
        <w:spacing w:line="332" w:lineRule="auto"/>
        <w:rPr>
          <w:rFonts w:ascii="Times New Roman" w:hAnsi="Times New Roman" w:eastAsia="Times New Roman" w:cs="Times New Roman"/>
          <w:sz w:val="20"/>
          <w:szCs w:val="20"/>
        </w:rPr>
        <w:sectPr>
          <w:footerReference r:id="rId352" w:type="default"/>
          <w:pgSz w:w="11900" w:h="16820"/>
          <w:pgMar w:top="400" w:right="1038" w:bottom="849" w:left="1599" w:header="0" w:footer="669" w:gutter="0"/>
          <w:cols w:space="720" w:num="1"/>
        </w:sectPr>
      </w:pPr>
    </w:p>
    <w:p w14:paraId="3CD04C57">
      <w:pPr>
        <w:pStyle w:val="2"/>
        <w:spacing w:before="266" w:line="221" w:lineRule="auto"/>
        <w:ind w:left="659"/>
        <w:rPr>
          <w:sz w:val="20"/>
          <w:szCs w:val="20"/>
        </w:rPr>
      </w:pPr>
      <w:bookmarkStart w:id="552" w:name="bookmark597"/>
      <w:bookmarkEnd w:id="552"/>
      <w:r>
        <w:rPr>
          <w:spacing w:val="-21"/>
          <w:w w:val="99"/>
          <w:sz w:val="20"/>
          <w:szCs w:val="20"/>
        </w:rPr>
        <w:t>第二十一章 性传播疾病</w:t>
      </w:r>
    </w:p>
    <w:p w14:paraId="16C02846">
      <w:pPr>
        <w:spacing w:line="262" w:lineRule="auto"/>
        <w:rPr>
          <w:rFonts w:ascii="Arial"/>
          <w:sz w:val="21"/>
        </w:rPr>
      </w:pPr>
    </w:p>
    <w:p w14:paraId="5BA161FF">
      <w:pPr>
        <w:spacing w:line="262" w:lineRule="auto"/>
        <w:rPr>
          <w:rFonts w:ascii="Arial"/>
          <w:sz w:val="21"/>
        </w:rPr>
      </w:pPr>
    </w:p>
    <w:p w14:paraId="54D5C0D7">
      <w:pPr>
        <w:spacing w:before="65" w:line="219" w:lineRule="auto"/>
        <w:ind w:left="659"/>
        <w:rPr>
          <w:rFonts w:ascii="宋体" w:hAnsi="宋体" w:eastAsia="宋体" w:cs="宋体"/>
          <w:sz w:val="20"/>
          <w:szCs w:val="20"/>
        </w:rPr>
      </w:pPr>
      <w:r>
        <w:rPr>
          <w:rFonts w:ascii="宋体" w:hAnsi="宋体" w:eastAsia="宋体" w:cs="宋体"/>
          <w:spacing w:val="15"/>
          <w:sz w:val="20"/>
          <w:szCs w:val="20"/>
        </w:rPr>
        <w:t>6个亚型。</w:t>
      </w:r>
    </w:p>
    <w:p w14:paraId="6CEAAC09">
      <w:pPr>
        <w:spacing w:before="128" w:line="341" w:lineRule="auto"/>
        <w:ind w:left="659" w:firstLine="419"/>
        <w:jc w:val="both"/>
        <w:rPr>
          <w:rFonts w:ascii="宋体" w:hAnsi="宋体" w:eastAsia="宋体" w:cs="宋体"/>
          <w:sz w:val="20"/>
          <w:szCs w:val="20"/>
        </w:rPr>
      </w:pPr>
      <w:r>
        <w:rPr>
          <w:rFonts w:ascii="宋体" w:hAnsi="宋体" w:eastAsia="宋体" w:cs="宋体"/>
          <w:sz w:val="20"/>
          <w:szCs w:val="20"/>
        </w:rPr>
        <w:t>HIV</w:t>
      </w:r>
      <w:r>
        <w:rPr>
          <w:rFonts w:ascii="宋体" w:hAnsi="宋体" w:eastAsia="宋体" w:cs="宋体"/>
          <w:spacing w:val="10"/>
          <w:sz w:val="20"/>
          <w:szCs w:val="20"/>
        </w:rPr>
        <w:t>-1</w:t>
      </w:r>
      <w:r>
        <w:rPr>
          <w:rFonts w:ascii="宋体" w:hAnsi="宋体" w:eastAsia="宋体" w:cs="宋体"/>
          <w:spacing w:val="-27"/>
          <w:sz w:val="20"/>
          <w:szCs w:val="20"/>
        </w:rPr>
        <w:t xml:space="preserve"> </w:t>
      </w:r>
      <w:r>
        <w:rPr>
          <w:rFonts w:ascii="宋体" w:hAnsi="宋体" w:eastAsia="宋体" w:cs="宋体"/>
          <w:spacing w:val="10"/>
          <w:sz w:val="20"/>
          <w:szCs w:val="20"/>
        </w:rPr>
        <w:t>和</w:t>
      </w:r>
      <w:r>
        <w:rPr>
          <w:rFonts w:ascii="宋体" w:hAnsi="宋体" w:eastAsia="宋体" w:cs="宋体"/>
          <w:spacing w:val="-32"/>
          <w:sz w:val="20"/>
          <w:szCs w:val="20"/>
        </w:rPr>
        <w:t xml:space="preserve"> </w:t>
      </w:r>
      <w:r>
        <w:rPr>
          <w:rFonts w:ascii="宋体" w:hAnsi="宋体" w:eastAsia="宋体" w:cs="宋体"/>
          <w:sz w:val="20"/>
          <w:szCs w:val="20"/>
        </w:rPr>
        <w:t>HIV</w:t>
      </w:r>
      <w:r>
        <w:rPr>
          <w:rFonts w:ascii="宋体" w:hAnsi="宋体" w:eastAsia="宋体" w:cs="宋体"/>
          <w:spacing w:val="10"/>
          <w:sz w:val="20"/>
          <w:szCs w:val="20"/>
        </w:rPr>
        <w:t>-2 都起源于非洲，但二者核苷酸序列同源性仅为45</w:t>
      </w:r>
      <w:r>
        <w:rPr>
          <w:rFonts w:ascii="宋体" w:hAnsi="宋体" w:eastAsia="宋体" w:cs="宋体"/>
          <w:spacing w:val="9"/>
          <w:sz w:val="20"/>
          <w:szCs w:val="20"/>
        </w:rPr>
        <w:t>%,它们在全球的分布和流行</w:t>
      </w:r>
      <w:r>
        <w:rPr>
          <w:rFonts w:ascii="宋体" w:hAnsi="宋体" w:eastAsia="宋体" w:cs="宋体"/>
          <w:sz w:val="20"/>
          <w:szCs w:val="20"/>
        </w:rPr>
        <w:t xml:space="preserve">  </w:t>
      </w:r>
      <w:r>
        <w:rPr>
          <w:rFonts w:ascii="宋体" w:hAnsi="宋体" w:eastAsia="宋体" w:cs="宋体"/>
          <w:spacing w:val="3"/>
          <w:sz w:val="20"/>
          <w:szCs w:val="20"/>
        </w:rPr>
        <w:t>特征也不相同，目前广泛流行于全球的是</w:t>
      </w:r>
      <w:r>
        <w:rPr>
          <w:rFonts w:ascii="宋体" w:hAnsi="宋体" w:eastAsia="宋体" w:cs="宋体"/>
          <w:sz w:val="20"/>
          <w:szCs w:val="20"/>
        </w:rPr>
        <w:t>HIV</w:t>
      </w:r>
      <w:r>
        <w:rPr>
          <w:rFonts w:ascii="宋体" w:hAnsi="宋体" w:eastAsia="宋体" w:cs="宋体"/>
          <w:spacing w:val="3"/>
          <w:sz w:val="20"/>
          <w:szCs w:val="20"/>
        </w:rPr>
        <w:t>-1</w:t>
      </w:r>
      <w:r>
        <w:rPr>
          <w:rFonts w:ascii="宋体" w:hAnsi="宋体" w:eastAsia="宋体" w:cs="宋体"/>
          <w:spacing w:val="-17"/>
          <w:sz w:val="20"/>
          <w:szCs w:val="20"/>
        </w:rPr>
        <w:t xml:space="preserve"> </w:t>
      </w:r>
      <w:r>
        <w:rPr>
          <w:rFonts w:ascii="宋体" w:hAnsi="宋体" w:eastAsia="宋体" w:cs="宋体"/>
          <w:spacing w:val="3"/>
          <w:sz w:val="20"/>
          <w:szCs w:val="20"/>
        </w:rPr>
        <w:t>的</w:t>
      </w:r>
      <w:r>
        <w:rPr>
          <w:rFonts w:ascii="宋体" w:hAnsi="宋体" w:eastAsia="宋体" w:cs="宋体"/>
          <w:spacing w:val="-46"/>
          <w:sz w:val="20"/>
          <w:szCs w:val="20"/>
        </w:rPr>
        <w:t xml:space="preserve"> </w:t>
      </w:r>
      <w:r>
        <w:rPr>
          <w:rFonts w:ascii="宋体" w:hAnsi="宋体" w:eastAsia="宋体" w:cs="宋体"/>
          <w:spacing w:val="3"/>
          <w:sz w:val="20"/>
          <w:szCs w:val="20"/>
        </w:rPr>
        <w:t>M 组病毒，0、N</w:t>
      </w:r>
      <w:r>
        <w:rPr>
          <w:rFonts w:ascii="宋体" w:hAnsi="宋体" w:eastAsia="宋体" w:cs="宋体"/>
          <w:spacing w:val="-18"/>
          <w:sz w:val="20"/>
          <w:szCs w:val="20"/>
        </w:rPr>
        <w:t xml:space="preserve"> </w:t>
      </w:r>
      <w:r>
        <w:rPr>
          <w:rFonts w:ascii="宋体" w:hAnsi="宋体" w:eastAsia="宋体" w:cs="宋体"/>
          <w:spacing w:val="3"/>
          <w:sz w:val="20"/>
          <w:szCs w:val="20"/>
        </w:rPr>
        <w:t>组只在非洲局部地区流行。</w:t>
      </w:r>
      <w:r>
        <w:rPr>
          <w:rFonts w:ascii="宋体" w:hAnsi="宋体" w:eastAsia="宋体" w:cs="宋体"/>
          <w:spacing w:val="2"/>
          <w:sz w:val="20"/>
          <w:szCs w:val="20"/>
        </w:rPr>
        <w:t>我国</w:t>
      </w:r>
      <w:r>
        <w:rPr>
          <w:rFonts w:ascii="宋体" w:hAnsi="宋体" w:eastAsia="宋体" w:cs="宋体"/>
          <w:sz w:val="20"/>
          <w:szCs w:val="20"/>
        </w:rPr>
        <w:t xml:space="preserve">  </w:t>
      </w:r>
      <w:r>
        <w:rPr>
          <w:rFonts w:ascii="宋体" w:hAnsi="宋体" w:eastAsia="宋体" w:cs="宋体"/>
          <w:spacing w:val="-5"/>
          <w:sz w:val="20"/>
          <w:szCs w:val="20"/>
        </w:rPr>
        <w:t>以</w:t>
      </w:r>
      <w:r>
        <w:rPr>
          <w:rFonts w:ascii="宋体" w:hAnsi="宋体" w:eastAsia="宋体" w:cs="宋体"/>
          <w:spacing w:val="-40"/>
          <w:sz w:val="20"/>
          <w:szCs w:val="20"/>
        </w:rPr>
        <w:t xml:space="preserve"> </w:t>
      </w:r>
      <w:r>
        <w:rPr>
          <w:rFonts w:ascii="Times New Roman" w:hAnsi="Times New Roman" w:eastAsia="Times New Roman" w:cs="Times New Roman"/>
          <w:spacing w:val="-5"/>
          <w:sz w:val="20"/>
          <w:szCs w:val="20"/>
        </w:rPr>
        <w:t>HIV-1</w:t>
      </w:r>
      <w:r>
        <w:rPr>
          <w:rFonts w:ascii="Times New Roman" w:hAnsi="Times New Roman" w:eastAsia="Times New Roman" w:cs="Times New Roman"/>
          <w:spacing w:val="12"/>
          <w:sz w:val="20"/>
          <w:szCs w:val="20"/>
        </w:rPr>
        <w:t xml:space="preserve"> </w:t>
      </w:r>
      <w:r>
        <w:rPr>
          <w:rFonts w:ascii="宋体" w:hAnsi="宋体" w:eastAsia="宋体" w:cs="宋体"/>
          <w:spacing w:val="-5"/>
          <w:sz w:val="20"/>
          <w:szCs w:val="20"/>
        </w:rPr>
        <w:t>型</w:t>
      </w:r>
      <w:r>
        <w:rPr>
          <w:rFonts w:ascii="宋体" w:hAnsi="宋体" w:eastAsia="宋体" w:cs="宋体"/>
          <w:spacing w:val="-26"/>
          <w:sz w:val="20"/>
          <w:szCs w:val="20"/>
        </w:rPr>
        <w:t xml:space="preserve"> </w:t>
      </w:r>
      <w:r>
        <w:rPr>
          <w:rFonts w:ascii="Times New Roman" w:hAnsi="Times New Roman" w:eastAsia="Times New Roman" w:cs="Times New Roman"/>
          <w:spacing w:val="-5"/>
          <w:sz w:val="20"/>
          <w:szCs w:val="20"/>
        </w:rPr>
        <w:t>M</w:t>
      </w:r>
      <w:r>
        <w:rPr>
          <w:rFonts w:ascii="宋体" w:hAnsi="宋体" w:eastAsia="宋体" w:cs="宋体"/>
          <w:spacing w:val="-5"/>
          <w:sz w:val="20"/>
          <w:szCs w:val="20"/>
        </w:rPr>
        <w:t>组中的</w:t>
      </w:r>
      <w:r>
        <w:rPr>
          <w:rFonts w:ascii="Times New Roman" w:hAnsi="Times New Roman" w:eastAsia="Times New Roman" w:cs="Times New Roman"/>
          <w:spacing w:val="-5"/>
          <w:sz w:val="20"/>
          <w:szCs w:val="20"/>
        </w:rPr>
        <w:t>B</w:t>
      </w:r>
      <w:r>
        <w:rPr>
          <w:rFonts w:ascii="宋体" w:hAnsi="宋体" w:eastAsia="宋体" w:cs="宋体"/>
          <w:spacing w:val="-5"/>
          <w:sz w:val="20"/>
          <w:szCs w:val="20"/>
        </w:rPr>
        <w:t>、</w:t>
      </w:r>
      <w:r>
        <w:rPr>
          <w:rFonts w:ascii="Times New Roman" w:hAnsi="Times New Roman" w:eastAsia="Times New Roman" w:cs="Times New Roman"/>
          <w:spacing w:val="-5"/>
          <w:sz w:val="20"/>
          <w:szCs w:val="20"/>
        </w:rPr>
        <w:t>B’</w:t>
      </w:r>
      <w:r>
        <w:rPr>
          <w:rFonts w:ascii="宋体" w:hAnsi="宋体" w:eastAsia="宋体" w:cs="宋体"/>
          <w:spacing w:val="-5"/>
          <w:sz w:val="20"/>
          <w:szCs w:val="20"/>
        </w:rPr>
        <w:t>、</w:t>
      </w:r>
      <w:r>
        <w:rPr>
          <w:rFonts w:ascii="Times New Roman" w:hAnsi="Times New Roman" w:eastAsia="Times New Roman" w:cs="Times New Roman"/>
          <w:spacing w:val="-5"/>
          <w:sz w:val="20"/>
          <w:szCs w:val="20"/>
        </w:rPr>
        <w:t>B/C</w:t>
      </w:r>
      <w:r>
        <w:rPr>
          <w:rFonts w:ascii="宋体" w:hAnsi="宋体" w:eastAsia="宋体" w:cs="宋体"/>
          <w:spacing w:val="-5"/>
          <w:sz w:val="20"/>
          <w:szCs w:val="20"/>
        </w:rPr>
        <w:t>、</w:t>
      </w:r>
      <w:r>
        <w:rPr>
          <w:rFonts w:ascii="Times New Roman" w:hAnsi="Times New Roman" w:eastAsia="Times New Roman" w:cs="Times New Roman"/>
          <w:spacing w:val="-5"/>
          <w:sz w:val="20"/>
          <w:szCs w:val="20"/>
        </w:rPr>
        <w:t>C</w:t>
      </w:r>
      <w:r>
        <w:rPr>
          <w:rFonts w:ascii="宋体" w:hAnsi="宋体" w:eastAsia="宋体" w:cs="宋体"/>
          <w:spacing w:val="-5"/>
          <w:sz w:val="20"/>
          <w:szCs w:val="20"/>
        </w:rPr>
        <w:t>、</w:t>
      </w:r>
      <w:r>
        <w:rPr>
          <w:rFonts w:ascii="Times New Roman" w:hAnsi="Times New Roman" w:eastAsia="Times New Roman" w:cs="Times New Roman"/>
          <w:spacing w:val="-5"/>
          <w:sz w:val="20"/>
          <w:szCs w:val="20"/>
        </w:rPr>
        <w:t>E</w:t>
      </w:r>
      <w:r>
        <w:rPr>
          <w:rFonts w:ascii="宋体" w:hAnsi="宋体" w:eastAsia="宋体" w:cs="宋体"/>
          <w:spacing w:val="-5"/>
          <w:sz w:val="20"/>
          <w:szCs w:val="20"/>
        </w:rPr>
        <w:t>和</w:t>
      </w:r>
      <w:r>
        <w:rPr>
          <w:rFonts w:ascii="宋体" w:hAnsi="宋体" w:eastAsia="宋体" w:cs="宋体"/>
          <w:spacing w:val="-42"/>
          <w:sz w:val="20"/>
          <w:szCs w:val="20"/>
        </w:rPr>
        <w:t xml:space="preserve"> </w:t>
      </w:r>
      <w:r>
        <w:rPr>
          <w:rFonts w:ascii="Times New Roman" w:hAnsi="Times New Roman" w:eastAsia="Times New Roman" w:cs="Times New Roman"/>
          <w:spacing w:val="-5"/>
          <w:sz w:val="20"/>
          <w:szCs w:val="20"/>
        </w:rPr>
        <w:t>CRF01_AE</w:t>
      </w:r>
      <w:r>
        <w:rPr>
          <w:rFonts w:ascii="Times New Roman" w:hAnsi="Times New Roman" w:eastAsia="Times New Roman" w:cs="Times New Roman"/>
          <w:spacing w:val="-29"/>
          <w:sz w:val="20"/>
          <w:szCs w:val="20"/>
        </w:rPr>
        <w:t xml:space="preserve"> </w:t>
      </w:r>
      <w:r>
        <w:rPr>
          <w:rFonts w:ascii="宋体" w:hAnsi="宋体" w:eastAsia="宋体" w:cs="宋体"/>
          <w:spacing w:val="-5"/>
          <w:sz w:val="20"/>
          <w:szCs w:val="20"/>
        </w:rPr>
        <w:t>、</w:t>
      </w:r>
      <w:r>
        <w:rPr>
          <w:rFonts w:ascii="Times New Roman" w:hAnsi="Times New Roman" w:eastAsia="Times New Roman" w:cs="Times New Roman"/>
          <w:spacing w:val="-5"/>
          <w:sz w:val="20"/>
          <w:szCs w:val="20"/>
        </w:rPr>
        <w:t>CRF07_BC</w:t>
      </w:r>
      <w:r>
        <w:rPr>
          <w:rFonts w:ascii="Times New Roman" w:hAnsi="Times New Roman" w:eastAsia="Times New Roman" w:cs="Times New Roman"/>
          <w:spacing w:val="-28"/>
          <w:sz w:val="20"/>
          <w:szCs w:val="20"/>
        </w:rPr>
        <w:t xml:space="preserve"> </w:t>
      </w:r>
      <w:r>
        <w:rPr>
          <w:rFonts w:ascii="宋体" w:hAnsi="宋体" w:eastAsia="宋体" w:cs="宋体"/>
          <w:spacing w:val="-5"/>
          <w:sz w:val="20"/>
          <w:szCs w:val="20"/>
        </w:rPr>
        <w:t>、</w:t>
      </w:r>
      <w:r>
        <w:rPr>
          <w:rFonts w:ascii="Times New Roman" w:hAnsi="Times New Roman" w:eastAsia="Times New Roman" w:cs="Times New Roman"/>
          <w:spacing w:val="-5"/>
          <w:sz w:val="20"/>
          <w:szCs w:val="20"/>
        </w:rPr>
        <w:t>CRF08_BC</w:t>
      </w:r>
      <w:r>
        <w:rPr>
          <w:rFonts w:ascii="宋体" w:hAnsi="宋体" w:eastAsia="宋体" w:cs="宋体"/>
          <w:spacing w:val="-5"/>
          <w:sz w:val="20"/>
          <w:szCs w:val="20"/>
        </w:rPr>
        <w:t>亚型流行为</w:t>
      </w:r>
      <w:r>
        <w:rPr>
          <w:rFonts w:ascii="宋体" w:hAnsi="宋体" w:eastAsia="宋体" w:cs="宋体"/>
          <w:spacing w:val="-6"/>
          <w:sz w:val="20"/>
          <w:szCs w:val="20"/>
        </w:rPr>
        <w:t>主，近年来</w:t>
      </w:r>
      <w:r>
        <w:rPr>
          <w:rFonts w:ascii="宋体" w:hAnsi="宋体" w:eastAsia="宋体" w:cs="宋体"/>
          <w:sz w:val="20"/>
          <w:szCs w:val="20"/>
        </w:rPr>
        <w:t xml:space="preserve">  </w:t>
      </w:r>
      <w:r>
        <w:rPr>
          <w:rFonts w:ascii="Times New Roman" w:hAnsi="Times New Roman" w:eastAsia="Times New Roman" w:cs="Times New Roman"/>
          <w:sz w:val="20"/>
          <w:szCs w:val="20"/>
        </w:rPr>
        <w:t>CRF</w:t>
      </w:r>
      <w:r>
        <w:rPr>
          <w:rFonts w:ascii="Times New Roman" w:hAnsi="Times New Roman" w:eastAsia="Times New Roman" w:cs="Times New Roman"/>
          <w:spacing w:val="4"/>
          <w:sz w:val="20"/>
          <w:szCs w:val="20"/>
        </w:rPr>
        <w:t>55_01B</w:t>
      </w:r>
      <w:r>
        <w:rPr>
          <w:rFonts w:ascii="Times New Roman" w:hAnsi="Times New Roman" w:eastAsia="Times New Roman" w:cs="Times New Roman"/>
          <w:spacing w:val="52"/>
          <w:sz w:val="20"/>
          <w:szCs w:val="20"/>
        </w:rPr>
        <w:t xml:space="preserve"> </w:t>
      </w:r>
      <w:r>
        <w:rPr>
          <w:rFonts w:ascii="宋体" w:hAnsi="宋体" w:eastAsia="宋体" w:cs="宋体"/>
          <w:spacing w:val="4"/>
          <w:sz w:val="20"/>
          <w:szCs w:val="20"/>
        </w:rPr>
        <w:t>亚型也呈扩大流行态势。</w:t>
      </w:r>
      <w:r>
        <w:rPr>
          <w:rFonts w:ascii="宋体" w:hAnsi="宋体" w:eastAsia="宋体" w:cs="宋体"/>
          <w:spacing w:val="-31"/>
          <w:sz w:val="20"/>
          <w:szCs w:val="20"/>
        </w:rPr>
        <w:t xml:space="preserve"> </w:t>
      </w:r>
      <w:r>
        <w:rPr>
          <w:rFonts w:ascii="Times New Roman" w:hAnsi="Times New Roman" w:eastAsia="Times New Roman" w:cs="Times New Roman"/>
          <w:sz w:val="20"/>
          <w:szCs w:val="20"/>
        </w:rPr>
        <w:t>HIV</w:t>
      </w:r>
      <w:r>
        <w:rPr>
          <w:rFonts w:ascii="Times New Roman" w:hAnsi="Times New Roman" w:eastAsia="Times New Roman" w:cs="Times New Roman"/>
          <w:spacing w:val="4"/>
          <w:sz w:val="20"/>
          <w:szCs w:val="20"/>
        </w:rPr>
        <w:t>-2</w:t>
      </w:r>
      <w:r>
        <w:rPr>
          <w:rFonts w:ascii="Times New Roman" w:hAnsi="Times New Roman" w:eastAsia="Times New Roman" w:cs="Times New Roman"/>
          <w:spacing w:val="22"/>
          <w:sz w:val="20"/>
          <w:szCs w:val="20"/>
        </w:rPr>
        <w:t xml:space="preserve"> </w:t>
      </w:r>
      <w:r>
        <w:rPr>
          <w:rFonts w:ascii="宋体" w:hAnsi="宋体" w:eastAsia="宋体" w:cs="宋体"/>
          <w:spacing w:val="4"/>
          <w:sz w:val="20"/>
          <w:szCs w:val="20"/>
        </w:rPr>
        <w:t>型过去仅在非洲局部地区流行，但目前在西欧、美国、</w:t>
      </w:r>
      <w:r>
        <w:rPr>
          <w:rFonts w:ascii="宋体" w:hAnsi="宋体" w:eastAsia="宋体" w:cs="宋体"/>
          <w:sz w:val="20"/>
          <w:szCs w:val="20"/>
        </w:rPr>
        <w:t xml:space="preserve"> </w:t>
      </w:r>
      <w:r>
        <w:rPr>
          <w:rFonts w:ascii="宋体" w:hAnsi="宋体" w:eastAsia="宋体" w:cs="宋体"/>
          <w:spacing w:val="6"/>
          <w:sz w:val="20"/>
          <w:szCs w:val="20"/>
        </w:rPr>
        <w:t>南美、印度及其他一些亚洲国家包括我国个别地区也被检测到。</w:t>
      </w:r>
      <w:r>
        <w:rPr>
          <w:rFonts w:ascii="宋体" w:hAnsi="宋体" w:eastAsia="宋体" w:cs="宋体"/>
          <w:spacing w:val="-40"/>
          <w:sz w:val="20"/>
          <w:szCs w:val="20"/>
        </w:rPr>
        <w:t xml:space="preserve"> </w:t>
      </w:r>
      <w:r>
        <w:rPr>
          <w:rFonts w:ascii="宋体" w:hAnsi="宋体" w:eastAsia="宋体" w:cs="宋体"/>
          <w:sz w:val="20"/>
          <w:szCs w:val="20"/>
        </w:rPr>
        <w:t>HIV</w:t>
      </w:r>
      <w:r>
        <w:rPr>
          <w:rFonts w:ascii="宋体" w:hAnsi="宋体" w:eastAsia="宋体" w:cs="宋体"/>
          <w:spacing w:val="44"/>
          <w:sz w:val="20"/>
          <w:szCs w:val="20"/>
        </w:rPr>
        <w:t xml:space="preserve"> </w:t>
      </w:r>
      <w:r>
        <w:rPr>
          <w:rFonts w:ascii="宋体" w:hAnsi="宋体" w:eastAsia="宋体" w:cs="宋体"/>
          <w:spacing w:val="6"/>
          <w:sz w:val="20"/>
          <w:szCs w:val="20"/>
        </w:rPr>
        <w:t>分型在研</w:t>
      </w:r>
      <w:r>
        <w:rPr>
          <w:rFonts w:ascii="宋体" w:hAnsi="宋体" w:eastAsia="宋体" w:cs="宋体"/>
          <w:spacing w:val="5"/>
          <w:sz w:val="20"/>
          <w:szCs w:val="20"/>
        </w:rPr>
        <w:t>究</w:t>
      </w:r>
      <w:r>
        <w:rPr>
          <w:rFonts w:ascii="宋体" w:hAnsi="宋体" w:eastAsia="宋体" w:cs="宋体"/>
          <w:sz w:val="20"/>
          <w:szCs w:val="20"/>
        </w:rPr>
        <w:t>AIDS</w:t>
      </w:r>
      <w:r>
        <w:rPr>
          <w:rFonts w:ascii="宋体" w:hAnsi="宋体" w:eastAsia="宋体" w:cs="宋体"/>
          <w:spacing w:val="31"/>
          <w:sz w:val="20"/>
          <w:szCs w:val="20"/>
        </w:rPr>
        <w:t xml:space="preserve"> </w:t>
      </w:r>
      <w:r>
        <w:rPr>
          <w:rFonts w:ascii="宋体" w:hAnsi="宋体" w:eastAsia="宋体" w:cs="宋体"/>
          <w:spacing w:val="5"/>
          <w:sz w:val="20"/>
          <w:szCs w:val="20"/>
        </w:rPr>
        <w:t>的流行、分</w:t>
      </w:r>
      <w:r>
        <w:rPr>
          <w:rFonts w:ascii="宋体" w:hAnsi="宋体" w:eastAsia="宋体" w:cs="宋体"/>
          <w:sz w:val="20"/>
          <w:szCs w:val="20"/>
        </w:rPr>
        <w:t xml:space="preserve">  </w:t>
      </w:r>
      <w:r>
        <w:rPr>
          <w:rFonts w:ascii="宋体" w:hAnsi="宋体" w:eastAsia="宋体" w:cs="宋体"/>
          <w:spacing w:val="-1"/>
          <w:sz w:val="20"/>
          <w:szCs w:val="20"/>
        </w:rPr>
        <w:t>布、诊断、临床治疗、药物筛选和疫苗研制等方</w:t>
      </w:r>
      <w:r>
        <w:rPr>
          <w:rFonts w:ascii="宋体" w:hAnsi="宋体" w:eastAsia="宋体" w:cs="宋体"/>
          <w:spacing w:val="-2"/>
          <w:sz w:val="20"/>
          <w:szCs w:val="20"/>
        </w:rPr>
        <w:t>面具有重要意义。</w:t>
      </w:r>
    </w:p>
    <w:p w14:paraId="0098F210">
      <w:pPr>
        <w:pStyle w:val="2"/>
        <w:spacing w:before="3" w:line="221" w:lineRule="auto"/>
        <w:ind w:left="1083"/>
        <w:rPr>
          <w:sz w:val="24"/>
          <w:szCs w:val="24"/>
        </w:rPr>
      </w:pPr>
      <w:r>
        <w:rPr>
          <w:b/>
          <w:bCs/>
          <w:spacing w:val="-9"/>
          <w:sz w:val="24"/>
          <w:szCs w:val="24"/>
        </w:rPr>
        <w:t>(二)疾病自然史</w:t>
      </w:r>
    </w:p>
    <w:p w14:paraId="6EA70DEA">
      <w:pPr>
        <w:spacing w:before="77" w:line="338" w:lineRule="auto"/>
        <w:ind w:left="659" w:right="84" w:firstLine="419"/>
        <w:jc w:val="both"/>
        <w:rPr>
          <w:rFonts w:ascii="宋体" w:hAnsi="宋体" w:eastAsia="宋体" w:cs="宋体"/>
          <w:sz w:val="20"/>
          <w:szCs w:val="20"/>
        </w:rPr>
      </w:pPr>
      <w:r>
        <w:rPr>
          <w:rFonts w:ascii="宋体" w:hAnsi="宋体" w:eastAsia="宋体" w:cs="宋体"/>
          <w:spacing w:val="5"/>
          <w:sz w:val="20"/>
          <w:szCs w:val="20"/>
        </w:rPr>
        <w:t>从初始感染</w:t>
      </w:r>
      <w:r>
        <w:rPr>
          <w:rFonts w:ascii="Times New Roman" w:hAnsi="Times New Roman" w:eastAsia="Times New Roman" w:cs="Times New Roman"/>
          <w:sz w:val="20"/>
          <w:szCs w:val="20"/>
        </w:rPr>
        <w:t>HIV</w:t>
      </w:r>
      <w:r>
        <w:rPr>
          <w:rFonts w:ascii="Times New Roman" w:hAnsi="Times New Roman" w:eastAsia="Times New Roman" w:cs="Times New Roman"/>
          <w:spacing w:val="18"/>
          <w:w w:val="101"/>
          <w:sz w:val="20"/>
          <w:szCs w:val="20"/>
        </w:rPr>
        <w:t xml:space="preserve"> </w:t>
      </w:r>
      <w:r>
        <w:rPr>
          <w:rFonts w:ascii="宋体" w:hAnsi="宋体" w:eastAsia="宋体" w:cs="宋体"/>
          <w:spacing w:val="5"/>
          <w:sz w:val="20"/>
          <w:szCs w:val="20"/>
        </w:rPr>
        <w:t>到终末期是一个较为漫长、复杂的过程，在病程的不同</w:t>
      </w:r>
      <w:r>
        <w:rPr>
          <w:rFonts w:ascii="宋体" w:hAnsi="宋体" w:eastAsia="宋体" w:cs="宋体"/>
          <w:spacing w:val="4"/>
          <w:sz w:val="20"/>
          <w:szCs w:val="20"/>
        </w:rPr>
        <w:t>阶段，与</w:t>
      </w:r>
      <w:r>
        <w:rPr>
          <w:rFonts w:ascii="Times New Roman" w:hAnsi="Times New Roman" w:eastAsia="Times New Roman" w:cs="Times New Roman"/>
          <w:sz w:val="20"/>
          <w:szCs w:val="20"/>
        </w:rPr>
        <w:t>HIV</w:t>
      </w:r>
      <w:r>
        <w:rPr>
          <w:rFonts w:ascii="Times New Roman" w:hAnsi="Times New Roman" w:eastAsia="Times New Roman" w:cs="Times New Roman"/>
          <w:spacing w:val="38"/>
          <w:sz w:val="20"/>
          <w:szCs w:val="20"/>
        </w:rPr>
        <w:t xml:space="preserve"> </w:t>
      </w:r>
      <w:r>
        <w:rPr>
          <w:rFonts w:ascii="宋体" w:hAnsi="宋体" w:eastAsia="宋体" w:cs="宋体"/>
          <w:spacing w:val="4"/>
          <w:sz w:val="20"/>
          <w:szCs w:val="20"/>
        </w:rPr>
        <w:t>相关的临</w:t>
      </w:r>
      <w:r>
        <w:rPr>
          <w:rFonts w:ascii="宋体" w:hAnsi="宋体" w:eastAsia="宋体" w:cs="宋体"/>
          <w:sz w:val="20"/>
          <w:szCs w:val="20"/>
        </w:rPr>
        <w:t xml:space="preserve"> </w:t>
      </w:r>
      <w:r>
        <w:rPr>
          <w:rFonts w:ascii="宋体" w:hAnsi="宋体" w:eastAsia="宋体" w:cs="宋体"/>
          <w:spacing w:val="6"/>
          <w:sz w:val="20"/>
          <w:szCs w:val="20"/>
        </w:rPr>
        <w:t>床表现也是多种多样的。根据感染后的临床</w:t>
      </w:r>
      <w:r>
        <w:rPr>
          <w:rFonts w:ascii="宋体" w:hAnsi="宋体" w:eastAsia="宋体" w:cs="宋体"/>
          <w:spacing w:val="5"/>
          <w:sz w:val="20"/>
          <w:szCs w:val="20"/>
        </w:rPr>
        <w:t>表现，</w:t>
      </w:r>
      <w:r>
        <w:rPr>
          <w:rFonts w:ascii="宋体" w:hAnsi="宋体" w:eastAsia="宋体" w:cs="宋体"/>
          <w:sz w:val="20"/>
          <w:szCs w:val="20"/>
        </w:rPr>
        <w:t>HIV</w:t>
      </w:r>
      <w:r>
        <w:rPr>
          <w:rFonts w:ascii="宋体" w:hAnsi="宋体" w:eastAsia="宋体" w:cs="宋体"/>
          <w:spacing w:val="33"/>
          <w:sz w:val="20"/>
          <w:szCs w:val="20"/>
        </w:rPr>
        <w:t xml:space="preserve"> </w:t>
      </w:r>
      <w:r>
        <w:rPr>
          <w:rFonts w:ascii="宋体" w:hAnsi="宋体" w:eastAsia="宋体" w:cs="宋体"/>
          <w:spacing w:val="5"/>
          <w:sz w:val="20"/>
          <w:szCs w:val="20"/>
        </w:rPr>
        <w:t>感染的全过程可分三个阶段，即急性期、无</w:t>
      </w:r>
      <w:r>
        <w:rPr>
          <w:rFonts w:ascii="宋体" w:hAnsi="宋体" w:eastAsia="宋体" w:cs="宋体"/>
          <w:sz w:val="20"/>
          <w:szCs w:val="20"/>
        </w:rPr>
        <w:t xml:space="preserve"> </w:t>
      </w:r>
      <w:r>
        <w:rPr>
          <w:rFonts w:ascii="宋体" w:hAnsi="宋体" w:eastAsia="宋体" w:cs="宋体"/>
          <w:spacing w:val="10"/>
          <w:sz w:val="20"/>
          <w:szCs w:val="20"/>
        </w:rPr>
        <w:t>症状感染期和</w:t>
      </w:r>
      <w:r>
        <w:rPr>
          <w:rFonts w:ascii="Times New Roman" w:hAnsi="Times New Roman" w:eastAsia="Times New Roman" w:cs="Times New Roman"/>
          <w:sz w:val="20"/>
          <w:szCs w:val="20"/>
        </w:rPr>
        <w:t>AIDS</w:t>
      </w:r>
      <w:r>
        <w:rPr>
          <w:rFonts w:ascii="宋体" w:hAnsi="宋体" w:eastAsia="宋体" w:cs="宋体"/>
          <w:spacing w:val="10"/>
          <w:sz w:val="20"/>
          <w:szCs w:val="20"/>
        </w:rPr>
        <w:t>期</w:t>
      </w:r>
      <w:r>
        <w:rPr>
          <w:rFonts w:ascii="宋体" w:hAnsi="宋体" w:eastAsia="宋体" w:cs="宋体"/>
          <w:spacing w:val="-39"/>
          <w:sz w:val="20"/>
          <w:szCs w:val="20"/>
        </w:rPr>
        <w:t xml:space="preserve"> </w:t>
      </w:r>
      <w:r>
        <w:rPr>
          <w:rFonts w:ascii="宋体" w:hAnsi="宋体" w:eastAsia="宋体" w:cs="宋体"/>
          <w:spacing w:val="10"/>
          <w:sz w:val="20"/>
          <w:szCs w:val="20"/>
        </w:rPr>
        <w:t>。</w:t>
      </w:r>
    </w:p>
    <w:p w14:paraId="30387F29">
      <w:pPr>
        <w:pStyle w:val="2"/>
        <w:spacing w:before="2" w:line="338" w:lineRule="auto"/>
        <w:ind w:left="659" w:firstLine="419"/>
        <w:jc w:val="both"/>
        <w:rPr>
          <w:rFonts w:ascii="宋体" w:hAnsi="宋体" w:eastAsia="宋体" w:cs="宋体"/>
          <w:sz w:val="20"/>
          <w:szCs w:val="20"/>
        </w:rPr>
      </w:pPr>
      <w:r>
        <w:rPr>
          <w:rFonts w:ascii="Times New Roman" w:hAnsi="Times New Roman" w:eastAsia="Times New Roman" w:cs="Times New Roman"/>
          <w:spacing w:val="15"/>
          <w:sz w:val="20"/>
          <w:szCs w:val="20"/>
        </w:rPr>
        <w:t xml:space="preserve">1.   </w:t>
      </w:r>
      <w:r>
        <w:rPr>
          <w:spacing w:val="15"/>
          <w:sz w:val="20"/>
          <w:szCs w:val="20"/>
        </w:rPr>
        <w:t>急性期</w:t>
      </w:r>
      <w:r>
        <w:rPr>
          <w:spacing w:val="101"/>
          <w:sz w:val="20"/>
          <w:szCs w:val="20"/>
        </w:rPr>
        <w:t xml:space="preserve"> </w:t>
      </w:r>
      <w:r>
        <w:rPr>
          <w:rFonts w:ascii="宋体" w:hAnsi="宋体" w:eastAsia="宋体" w:cs="宋体"/>
          <w:spacing w:val="15"/>
          <w:sz w:val="20"/>
          <w:szCs w:val="20"/>
        </w:rPr>
        <w:t>通常发生在</w:t>
      </w:r>
      <w:r>
        <w:rPr>
          <w:rFonts w:ascii="Times New Roman" w:hAnsi="Times New Roman" w:eastAsia="Times New Roman" w:cs="Times New Roman"/>
          <w:sz w:val="20"/>
          <w:szCs w:val="20"/>
        </w:rPr>
        <w:t>HIV</w:t>
      </w:r>
      <w:r>
        <w:rPr>
          <w:rFonts w:ascii="Times New Roman" w:hAnsi="Times New Roman" w:eastAsia="Times New Roman" w:cs="Times New Roman"/>
          <w:spacing w:val="28"/>
          <w:w w:val="101"/>
          <w:sz w:val="20"/>
          <w:szCs w:val="20"/>
        </w:rPr>
        <w:t xml:space="preserve"> </w:t>
      </w:r>
      <w:r>
        <w:rPr>
          <w:rFonts w:ascii="宋体" w:hAnsi="宋体" w:eastAsia="宋体" w:cs="宋体"/>
          <w:spacing w:val="15"/>
          <w:sz w:val="20"/>
          <w:szCs w:val="20"/>
        </w:rPr>
        <w:t>感染后的6个月内。部分感染者在急性期出现</w:t>
      </w:r>
      <w:r>
        <w:rPr>
          <w:rFonts w:ascii="Times New Roman" w:hAnsi="Times New Roman" w:eastAsia="Times New Roman" w:cs="Times New Roman"/>
          <w:sz w:val="20"/>
          <w:szCs w:val="20"/>
        </w:rPr>
        <w:t>HIV</w:t>
      </w:r>
      <w:r>
        <w:rPr>
          <w:rFonts w:ascii="Times New Roman" w:hAnsi="Times New Roman" w:eastAsia="Times New Roman" w:cs="Times New Roman"/>
          <w:spacing w:val="15"/>
          <w:sz w:val="20"/>
          <w:szCs w:val="20"/>
        </w:rPr>
        <w:t xml:space="preserve"> </w:t>
      </w:r>
      <w:r>
        <w:rPr>
          <w:rFonts w:ascii="宋体" w:hAnsi="宋体" w:eastAsia="宋体" w:cs="宋体"/>
          <w:spacing w:val="15"/>
          <w:sz w:val="20"/>
          <w:szCs w:val="20"/>
        </w:rPr>
        <w:t>病毒血症和</w:t>
      </w:r>
      <w:r>
        <w:rPr>
          <w:rFonts w:ascii="宋体" w:hAnsi="宋体" w:eastAsia="宋体" w:cs="宋体"/>
          <w:sz w:val="20"/>
          <w:szCs w:val="20"/>
        </w:rPr>
        <w:t xml:space="preserve">  </w:t>
      </w:r>
      <w:r>
        <w:rPr>
          <w:rFonts w:ascii="宋体" w:hAnsi="宋体" w:eastAsia="宋体" w:cs="宋体"/>
          <w:spacing w:val="8"/>
          <w:sz w:val="20"/>
          <w:szCs w:val="20"/>
        </w:rPr>
        <w:t>免疫系统急性损伤症状，以发热最为常见(见于80%的患</w:t>
      </w:r>
      <w:r>
        <w:rPr>
          <w:rFonts w:ascii="宋体" w:hAnsi="宋体" w:eastAsia="宋体" w:cs="宋体"/>
          <w:spacing w:val="7"/>
          <w:sz w:val="20"/>
          <w:szCs w:val="20"/>
        </w:rPr>
        <w:t>者),可伴有咽痛、腹泻、皮疹、关节疼痛、</w:t>
      </w:r>
      <w:r>
        <w:rPr>
          <w:rFonts w:ascii="宋体" w:hAnsi="宋体" w:eastAsia="宋体" w:cs="宋体"/>
          <w:sz w:val="20"/>
          <w:szCs w:val="20"/>
        </w:rPr>
        <w:t xml:space="preserve"> </w:t>
      </w:r>
      <w:r>
        <w:rPr>
          <w:rFonts w:ascii="宋体" w:hAnsi="宋体" w:eastAsia="宋体" w:cs="宋体"/>
          <w:spacing w:val="7"/>
          <w:sz w:val="20"/>
          <w:szCs w:val="20"/>
        </w:rPr>
        <w:t>淋巴结肿大及神经系统症状。大多数感染者症状轻微，持续1～3周后自行缓解。</w:t>
      </w:r>
    </w:p>
    <w:p w14:paraId="15A002D8">
      <w:pPr>
        <w:spacing w:line="338" w:lineRule="auto"/>
        <w:ind w:left="659" w:right="91" w:firstLine="419"/>
        <w:jc w:val="both"/>
        <w:rPr>
          <w:rFonts w:ascii="宋体" w:hAnsi="宋体" w:eastAsia="宋体" w:cs="宋体"/>
          <w:sz w:val="20"/>
          <w:szCs w:val="20"/>
        </w:rPr>
      </w:pPr>
      <w:r>
        <w:rPr>
          <w:rFonts w:ascii="宋体" w:hAnsi="宋体" w:eastAsia="宋体" w:cs="宋体"/>
          <w:spacing w:val="7"/>
          <w:sz w:val="20"/>
          <w:szCs w:val="20"/>
        </w:rPr>
        <w:t>此期血液中可检测到</w:t>
      </w:r>
      <w:r>
        <w:rPr>
          <w:rFonts w:ascii="Times New Roman" w:hAnsi="Times New Roman" w:eastAsia="Times New Roman" w:cs="Times New Roman"/>
          <w:sz w:val="20"/>
          <w:szCs w:val="20"/>
        </w:rPr>
        <w:t>HIV</w:t>
      </w:r>
      <w:r>
        <w:rPr>
          <w:rFonts w:ascii="Times New Roman" w:hAnsi="Times New Roman" w:eastAsia="Times New Roman" w:cs="Times New Roman"/>
          <w:spacing w:val="42"/>
          <w:sz w:val="20"/>
          <w:szCs w:val="20"/>
        </w:rPr>
        <w:t xml:space="preserve"> </w:t>
      </w:r>
      <w:r>
        <w:rPr>
          <w:rFonts w:ascii="Times New Roman" w:hAnsi="Times New Roman" w:eastAsia="Times New Roman" w:cs="Times New Roman"/>
          <w:sz w:val="20"/>
          <w:szCs w:val="20"/>
        </w:rPr>
        <w:t>RNA</w:t>
      </w:r>
      <w:r>
        <w:rPr>
          <w:rFonts w:ascii="宋体" w:hAnsi="宋体" w:eastAsia="宋体" w:cs="宋体"/>
          <w:spacing w:val="7"/>
          <w:sz w:val="20"/>
          <w:szCs w:val="20"/>
        </w:rPr>
        <w:t>和</w:t>
      </w:r>
      <w:r>
        <w:rPr>
          <w:rFonts w:ascii="宋体" w:hAnsi="宋体" w:eastAsia="宋体" w:cs="宋体"/>
          <w:spacing w:val="-32"/>
          <w:sz w:val="20"/>
          <w:szCs w:val="20"/>
        </w:rPr>
        <w:t xml:space="preserve"> </w:t>
      </w:r>
      <w:r>
        <w:rPr>
          <w:rFonts w:ascii="Times New Roman" w:hAnsi="Times New Roman" w:eastAsia="Times New Roman" w:cs="Times New Roman"/>
          <w:spacing w:val="7"/>
          <w:sz w:val="20"/>
          <w:szCs w:val="20"/>
        </w:rPr>
        <w:t>P24</w:t>
      </w:r>
      <w:r>
        <w:rPr>
          <w:rFonts w:ascii="Times New Roman" w:hAnsi="Times New Roman" w:eastAsia="Times New Roman" w:cs="Times New Roman"/>
          <w:spacing w:val="23"/>
          <w:sz w:val="20"/>
          <w:szCs w:val="20"/>
        </w:rPr>
        <w:t xml:space="preserve"> </w:t>
      </w:r>
      <w:r>
        <w:rPr>
          <w:rFonts w:ascii="宋体" w:hAnsi="宋体" w:eastAsia="宋体" w:cs="宋体"/>
          <w:spacing w:val="7"/>
          <w:sz w:val="20"/>
          <w:szCs w:val="20"/>
        </w:rPr>
        <w:t>抗</w:t>
      </w:r>
      <w:r>
        <w:rPr>
          <w:rFonts w:ascii="宋体" w:hAnsi="宋体" w:eastAsia="宋体" w:cs="宋体"/>
          <w:spacing w:val="-42"/>
          <w:sz w:val="20"/>
          <w:szCs w:val="20"/>
        </w:rPr>
        <w:t xml:space="preserve"> </w:t>
      </w:r>
      <w:r>
        <w:rPr>
          <w:rFonts w:ascii="宋体" w:hAnsi="宋体" w:eastAsia="宋体" w:cs="宋体"/>
          <w:spacing w:val="7"/>
          <w:sz w:val="20"/>
          <w:szCs w:val="20"/>
        </w:rPr>
        <w:t>原</w:t>
      </w:r>
      <w:r>
        <w:rPr>
          <w:rFonts w:ascii="宋体" w:hAnsi="宋体" w:eastAsia="宋体" w:cs="宋体"/>
          <w:spacing w:val="-53"/>
          <w:sz w:val="20"/>
          <w:szCs w:val="20"/>
        </w:rPr>
        <w:t xml:space="preserve"> </w:t>
      </w:r>
      <w:r>
        <w:rPr>
          <w:rFonts w:ascii="宋体" w:hAnsi="宋体" w:eastAsia="宋体" w:cs="宋体"/>
          <w:spacing w:val="7"/>
          <w:sz w:val="20"/>
          <w:szCs w:val="20"/>
        </w:rPr>
        <w:t>，</w:t>
      </w:r>
      <w:r>
        <w:rPr>
          <w:rFonts w:ascii="Times New Roman" w:hAnsi="Times New Roman" w:eastAsia="Times New Roman" w:cs="Times New Roman"/>
          <w:sz w:val="20"/>
          <w:szCs w:val="20"/>
        </w:rPr>
        <w:t>HIV</w:t>
      </w:r>
      <w:r>
        <w:rPr>
          <w:rFonts w:ascii="Times New Roman" w:hAnsi="Times New Roman" w:eastAsia="Times New Roman" w:cs="Times New Roman"/>
          <w:spacing w:val="7"/>
          <w:sz w:val="20"/>
          <w:szCs w:val="20"/>
        </w:rPr>
        <w:t xml:space="preserve"> </w:t>
      </w:r>
      <w:r>
        <w:rPr>
          <w:rFonts w:ascii="宋体" w:hAnsi="宋体" w:eastAsia="宋体" w:cs="宋体"/>
          <w:spacing w:val="7"/>
          <w:sz w:val="20"/>
          <w:szCs w:val="20"/>
        </w:rPr>
        <w:t>抗体在2～3</w:t>
      </w:r>
      <w:r>
        <w:rPr>
          <w:rFonts w:ascii="宋体" w:hAnsi="宋体" w:eastAsia="宋体" w:cs="宋体"/>
          <w:spacing w:val="6"/>
          <w:sz w:val="20"/>
          <w:szCs w:val="20"/>
        </w:rPr>
        <w:t>周内逐渐由阴转阳，伴随</w:t>
      </w:r>
      <w:r>
        <w:rPr>
          <w:rFonts w:ascii="Times New Roman" w:hAnsi="Times New Roman" w:eastAsia="Times New Roman" w:cs="Times New Roman"/>
          <w:sz w:val="20"/>
          <w:szCs w:val="20"/>
        </w:rPr>
        <w:t>CD</w:t>
      </w:r>
      <w:r>
        <w:rPr>
          <w:rFonts w:ascii="Times New Roman" w:hAnsi="Times New Roman" w:eastAsia="Times New Roman" w:cs="Times New Roman"/>
          <w:spacing w:val="6"/>
          <w:sz w:val="20"/>
          <w:szCs w:val="20"/>
        </w:rPr>
        <w:t>4T</w:t>
      </w:r>
      <w:r>
        <w:rPr>
          <w:rFonts w:ascii="Times New Roman" w:hAnsi="Times New Roman" w:eastAsia="Times New Roman" w:cs="Times New Roman"/>
          <w:sz w:val="20"/>
          <w:szCs w:val="20"/>
        </w:rPr>
        <w:t xml:space="preserve">  </w:t>
      </w:r>
      <w:r>
        <w:rPr>
          <w:rFonts w:ascii="宋体" w:hAnsi="宋体" w:eastAsia="宋体" w:cs="宋体"/>
          <w:spacing w:val="8"/>
          <w:sz w:val="20"/>
          <w:szCs w:val="20"/>
        </w:rPr>
        <w:t>淋巴细胞计数一过性减少、</w:t>
      </w:r>
      <w:r>
        <w:rPr>
          <w:rFonts w:ascii="Times New Roman" w:hAnsi="Times New Roman" w:eastAsia="Times New Roman" w:cs="Times New Roman"/>
          <w:sz w:val="20"/>
          <w:szCs w:val="20"/>
        </w:rPr>
        <w:t>CD</w:t>
      </w:r>
      <w:r>
        <w:rPr>
          <w:rFonts w:ascii="Times New Roman" w:hAnsi="Times New Roman" w:eastAsia="Times New Roman" w:cs="Times New Roman"/>
          <w:spacing w:val="8"/>
          <w:sz w:val="20"/>
          <w:szCs w:val="20"/>
        </w:rPr>
        <w:t>4+/</w:t>
      </w:r>
      <w:r>
        <w:rPr>
          <w:rFonts w:ascii="Times New Roman" w:hAnsi="Times New Roman" w:eastAsia="Times New Roman" w:cs="Times New Roman"/>
          <w:sz w:val="20"/>
          <w:szCs w:val="20"/>
        </w:rPr>
        <w:t>CD</w:t>
      </w:r>
      <w:r>
        <w:rPr>
          <w:rFonts w:ascii="Times New Roman" w:hAnsi="Times New Roman" w:eastAsia="Times New Roman" w:cs="Times New Roman"/>
          <w:spacing w:val="8"/>
          <w:sz w:val="20"/>
          <w:szCs w:val="20"/>
        </w:rPr>
        <w:t xml:space="preserve">8'T </w:t>
      </w:r>
      <w:r>
        <w:rPr>
          <w:rFonts w:ascii="宋体" w:hAnsi="宋体" w:eastAsia="宋体" w:cs="宋体"/>
          <w:spacing w:val="8"/>
          <w:sz w:val="20"/>
          <w:szCs w:val="20"/>
        </w:rPr>
        <w:t>淋巴</w:t>
      </w:r>
      <w:r>
        <w:rPr>
          <w:rFonts w:ascii="宋体" w:hAnsi="宋体" w:eastAsia="宋体" w:cs="宋体"/>
          <w:spacing w:val="7"/>
          <w:sz w:val="20"/>
          <w:szCs w:val="20"/>
        </w:rPr>
        <w:t>细胞比值倒置及</w:t>
      </w:r>
      <w:r>
        <w:rPr>
          <w:rFonts w:ascii="Times New Roman" w:hAnsi="Times New Roman" w:eastAsia="Times New Roman" w:cs="Times New Roman"/>
          <w:spacing w:val="7"/>
          <w:sz w:val="20"/>
          <w:szCs w:val="20"/>
        </w:rPr>
        <w:t>T</w:t>
      </w:r>
      <w:r>
        <w:rPr>
          <w:rFonts w:ascii="Times New Roman" w:hAnsi="Times New Roman" w:eastAsia="Times New Roman" w:cs="Times New Roman"/>
          <w:spacing w:val="24"/>
          <w:sz w:val="20"/>
          <w:szCs w:val="20"/>
        </w:rPr>
        <w:t xml:space="preserve"> </w:t>
      </w:r>
      <w:r>
        <w:rPr>
          <w:rFonts w:ascii="宋体" w:hAnsi="宋体" w:eastAsia="宋体" w:cs="宋体"/>
          <w:spacing w:val="7"/>
          <w:sz w:val="20"/>
          <w:szCs w:val="20"/>
        </w:rPr>
        <w:t>细胞异常免疫激活。部分感染者可</w:t>
      </w:r>
      <w:r>
        <w:rPr>
          <w:rFonts w:ascii="宋体" w:hAnsi="宋体" w:eastAsia="宋体" w:cs="宋体"/>
          <w:sz w:val="20"/>
          <w:szCs w:val="20"/>
        </w:rPr>
        <w:t xml:space="preserve"> </w:t>
      </w:r>
      <w:r>
        <w:rPr>
          <w:rFonts w:ascii="宋体" w:hAnsi="宋体" w:eastAsia="宋体" w:cs="宋体"/>
          <w:spacing w:val="1"/>
          <w:sz w:val="20"/>
          <w:szCs w:val="20"/>
        </w:rPr>
        <w:t>有轻度白细胞和血小板计数减少、肝功能异常。</w:t>
      </w:r>
    </w:p>
    <w:p w14:paraId="6A48AAA0">
      <w:pPr>
        <w:pStyle w:val="2"/>
        <w:spacing w:before="3" w:line="310" w:lineRule="auto"/>
        <w:ind w:left="659" w:firstLine="419"/>
        <w:rPr>
          <w:rFonts w:ascii="宋体" w:hAnsi="宋体" w:eastAsia="宋体" w:cs="宋体"/>
          <w:sz w:val="20"/>
          <w:szCs w:val="20"/>
        </w:rPr>
      </w:pPr>
      <w:r>
        <w:rPr>
          <w:rFonts w:ascii="宋体" w:hAnsi="宋体" w:eastAsia="宋体" w:cs="宋体"/>
          <w:spacing w:val="12"/>
          <w:sz w:val="20"/>
          <w:szCs w:val="20"/>
        </w:rPr>
        <w:t xml:space="preserve">2. </w:t>
      </w:r>
      <w:r>
        <w:rPr>
          <w:spacing w:val="12"/>
          <w:sz w:val="20"/>
          <w:szCs w:val="20"/>
        </w:rPr>
        <w:t xml:space="preserve">无症状感染期 </w:t>
      </w:r>
      <w:r>
        <w:rPr>
          <w:rFonts w:ascii="宋体" w:hAnsi="宋体" w:eastAsia="宋体" w:cs="宋体"/>
          <w:spacing w:val="12"/>
          <w:sz w:val="20"/>
          <w:szCs w:val="20"/>
        </w:rPr>
        <w:t>紧随急性期或无明显急性期症状直接进入。此期持续时间一般为4～8年，</w:t>
      </w:r>
      <w:r>
        <w:rPr>
          <w:rFonts w:ascii="宋体" w:hAnsi="宋体" w:eastAsia="宋体" w:cs="宋体"/>
          <w:spacing w:val="13"/>
          <w:sz w:val="20"/>
          <w:szCs w:val="20"/>
        </w:rPr>
        <w:t xml:space="preserve"> </w:t>
      </w:r>
      <w:r>
        <w:rPr>
          <w:rFonts w:ascii="宋体" w:hAnsi="宋体" w:eastAsia="宋体" w:cs="宋体"/>
          <w:spacing w:val="6"/>
          <w:sz w:val="20"/>
          <w:szCs w:val="20"/>
        </w:rPr>
        <w:t>受病毒数量和型别、感染途径、机体免疫状况、营养及生活习惯等</w:t>
      </w:r>
      <w:r>
        <w:rPr>
          <w:rFonts w:ascii="宋体" w:hAnsi="宋体" w:eastAsia="宋体" w:cs="宋体"/>
          <w:spacing w:val="5"/>
          <w:sz w:val="20"/>
          <w:szCs w:val="20"/>
        </w:rPr>
        <w:t>因素影响。此期</w:t>
      </w:r>
      <w:r>
        <w:rPr>
          <w:rFonts w:ascii="Times New Roman" w:hAnsi="Times New Roman" w:eastAsia="Times New Roman" w:cs="Times New Roman"/>
          <w:sz w:val="20"/>
          <w:szCs w:val="20"/>
        </w:rPr>
        <w:t>HIV</w:t>
      </w:r>
      <w:r>
        <w:rPr>
          <w:rFonts w:ascii="Times New Roman" w:hAnsi="Times New Roman" w:eastAsia="Times New Roman" w:cs="Times New Roman"/>
          <w:spacing w:val="38"/>
          <w:sz w:val="20"/>
          <w:szCs w:val="20"/>
        </w:rPr>
        <w:t xml:space="preserve"> </w:t>
      </w:r>
      <w:r>
        <w:rPr>
          <w:rFonts w:ascii="宋体" w:hAnsi="宋体" w:eastAsia="宋体" w:cs="宋体"/>
          <w:spacing w:val="5"/>
          <w:sz w:val="20"/>
          <w:szCs w:val="20"/>
        </w:rPr>
        <w:t>在感染者体</w:t>
      </w:r>
      <w:r>
        <w:rPr>
          <w:rFonts w:ascii="宋体" w:hAnsi="宋体" w:eastAsia="宋体" w:cs="宋体"/>
          <w:sz w:val="20"/>
          <w:szCs w:val="20"/>
        </w:rPr>
        <w:t xml:space="preserve"> </w:t>
      </w:r>
      <w:r>
        <w:rPr>
          <w:rFonts w:ascii="宋体" w:hAnsi="宋体" w:eastAsia="宋体" w:cs="宋体"/>
          <w:spacing w:val="3"/>
          <w:sz w:val="20"/>
          <w:szCs w:val="20"/>
        </w:rPr>
        <w:t>内不断复制，免疫系统逐渐受损，</w:t>
      </w:r>
      <w:r>
        <w:rPr>
          <w:rFonts w:ascii="Times New Roman" w:hAnsi="Times New Roman" w:eastAsia="Times New Roman" w:cs="Times New Roman"/>
          <w:sz w:val="20"/>
          <w:szCs w:val="20"/>
        </w:rPr>
        <w:t>CD</w:t>
      </w:r>
      <w:r>
        <w:rPr>
          <w:rFonts w:ascii="Times New Roman" w:hAnsi="Times New Roman" w:eastAsia="Times New Roman" w:cs="Times New Roman"/>
          <w:spacing w:val="3"/>
          <w:sz w:val="20"/>
          <w:szCs w:val="20"/>
        </w:rPr>
        <w:t>4T</w:t>
      </w:r>
      <w:r>
        <w:rPr>
          <w:rFonts w:ascii="Times New Roman" w:hAnsi="Times New Roman" w:eastAsia="Times New Roman" w:cs="Times New Roman"/>
          <w:spacing w:val="17"/>
          <w:sz w:val="20"/>
          <w:szCs w:val="20"/>
        </w:rPr>
        <w:t xml:space="preserve">  </w:t>
      </w:r>
      <w:r>
        <w:rPr>
          <w:rFonts w:ascii="宋体" w:hAnsi="宋体" w:eastAsia="宋体" w:cs="宋体"/>
          <w:spacing w:val="3"/>
          <w:sz w:val="20"/>
          <w:szCs w:val="20"/>
        </w:rPr>
        <w:t>淋巴细胞计数逐渐下降，</w:t>
      </w:r>
      <w:r>
        <w:rPr>
          <w:rFonts w:ascii="Times New Roman" w:hAnsi="Times New Roman" w:eastAsia="Times New Roman" w:cs="Times New Roman"/>
          <w:sz w:val="20"/>
          <w:szCs w:val="20"/>
        </w:rPr>
        <w:t>CD</w:t>
      </w:r>
      <w:r>
        <w:rPr>
          <w:rFonts w:ascii="Times New Roman" w:hAnsi="Times New Roman" w:eastAsia="Times New Roman" w:cs="Times New Roman"/>
          <w:spacing w:val="3"/>
          <w:sz w:val="20"/>
          <w:szCs w:val="20"/>
        </w:rPr>
        <w:t>4*/</w:t>
      </w:r>
      <w:r>
        <w:rPr>
          <w:rFonts w:ascii="Times New Roman" w:hAnsi="Times New Roman" w:eastAsia="Times New Roman" w:cs="Times New Roman"/>
          <w:sz w:val="20"/>
          <w:szCs w:val="20"/>
        </w:rPr>
        <w:t>CD</w:t>
      </w:r>
      <w:r>
        <w:rPr>
          <w:rFonts w:ascii="Times New Roman" w:hAnsi="Times New Roman" w:eastAsia="Times New Roman" w:cs="Times New Roman"/>
          <w:spacing w:val="3"/>
          <w:sz w:val="20"/>
          <w:szCs w:val="20"/>
        </w:rPr>
        <w:t>8T</w:t>
      </w:r>
      <w:r>
        <w:rPr>
          <w:rFonts w:ascii="Times New Roman" w:hAnsi="Times New Roman" w:eastAsia="Times New Roman" w:cs="Times New Roman"/>
          <w:spacing w:val="17"/>
          <w:w w:val="101"/>
          <w:sz w:val="20"/>
          <w:szCs w:val="20"/>
        </w:rPr>
        <w:t xml:space="preserve">  </w:t>
      </w:r>
      <w:r>
        <w:rPr>
          <w:rFonts w:ascii="宋体" w:hAnsi="宋体" w:eastAsia="宋体" w:cs="宋体"/>
          <w:spacing w:val="3"/>
          <w:sz w:val="20"/>
          <w:szCs w:val="20"/>
        </w:rPr>
        <w:t>淋巴细胞比值倒置，</w:t>
      </w:r>
      <w:r>
        <w:rPr>
          <w:rFonts w:ascii="宋体" w:hAnsi="宋体" w:eastAsia="宋体" w:cs="宋体"/>
          <w:sz w:val="20"/>
          <w:szCs w:val="20"/>
        </w:rPr>
        <w:t xml:space="preserve"> </w:t>
      </w:r>
      <w:r>
        <w:rPr>
          <w:rFonts w:ascii="宋体" w:hAnsi="宋体" w:eastAsia="宋体" w:cs="宋体"/>
          <w:spacing w:val="7"/>
          <w:sz w:val="20"/>
          <w:szCs w:val="20"/>
        </w:rPr>
        <w:t>可出现淋巴结肿大等表现。临床上需结合流行病学史以实现尽早检测和诊断。</w:t>
      </w:r>
    </w:p>
    <w:p w14:paraId="1D27EFB9">
      <w:pPr>
        <w:spacing w:before="123" w:line="290" w:lineRule="auto"/>
        <w:ind w:left="659" w:right="39" w:firstLine="419"/>
        <w:rPr>
          <w:rFonts w:ascii="宋体" w:hAnsi="宋体" w:eastAsia="宋体" w:cs="宋体"/>
          <w:sz w:val="20"/>
          <w:szCs w:val="20"/>
        </w:rPr>
      </w:pPr>
      <w:r>
        <w:rPr>
          <w:rFonts w:ascii="Times New Roman" w:hAnsi="Times New Roman" w:eastAsia="Times New Roman" w:cs="Times New Roman"/>
          <w:sz w:val="20"/>
          <w:szCs w:val="20"/>
        </w:rPr>
        <w:t xml:space="preserve">3.AIDS    </w:t>
      </w:r>
      <w:r>
        <w:rPr>
          <w:rFonts w:ascii="宋体" w:hAnsi="宋体" w:eastAsia="宋体" w:cs="宋体"/>
          <w:sz w:val="20"/>
          <w:szCs w:val="20"/>
        </w:rPr>
        <w:t>期 为 感 染</w:t>
      </w:r>
      <w:r>
        <w:rPr>
          <w:rFonts w:ascii="Times New Roman" w:hAnsi="Times New Roman" w:eastAsia="Times New Roman" w:cs="Times New Roman"/>
          <w:sz w:val="20"/>
          <w:szCs w:val="20"/>
        </w:rPr>
        <w:t>HIV</w:t>
      </w:r>
      <w:r>
        <w:rPr>
          <w:rFonts w:ascii="Times New Roman" w:hAnsi="Times New Roman" w:eastAsia="Times New Roman" w:cs="Times New Roman"/>
          <w:spacing w:val="-13"/>
          <w:sz w:val="20"/>
          <w:szCs w:val="20"/>
        </w:rPr>
        <w:t xml:space="preserve"> </w:t>
      </w:r>
      <w:r>
        <w:rPr>
          <w:rFonts w:ascii="宋体" w:hAnsi="宋体" w:eastAsia="宋体" w:cs="宋体"/>
          <w:spacing w:val="-1"/>
          <w:sz w:val="20"/>
          <w:szCs w:val="20"/>
        </w:rPr>
        <w:t>后的疾病终末阶段。患者</w:t>
      </w:r>
      <w:r>
        <w:rPr>
          <w:rFonts w:ascii="Times New Roman" w:hAnsi="Times New Roman" w:eastAsia="Times New Roman" w:cs="Times New Roman"/>
          <w:spacing w:val="-1"/>
          <w:sz w:val="20"/>
          <w:szCs w:val="20"/>
        </w:rPr>
        <w:t>CD4T</w:t>
      </w:r>
      <w:r>
        <w:rPr>
          <w:rFonts w:ascii="Times New Roman" w:hAnsi="Times New Roman" w:eastAsia="Times New Roman" w:cs="Times New Roman"/>
          <w:spacing w:val="48"/>
          <w:w w:val="101"/>
          <w:sz w:val="20"/>
          <w:szCs w:val="20"/>
        </w:rPr>
        <w:t xml:space="preserve"> </w:t>
      </w:r>
      <w:r>
        <w:rPr>
          <w:rFonts w:ascii="宋体" w:hAnsi="宋体" w:eastAsia="宋体" w:cs="宋体"/>
          <w:spacing w:val="-1"/>
          <w:sz w:val="20"/>
          <w:szCs w:val="20"/>
        </w:rPr>
        <w:t>淋巴细胞计数快速减少，多&lt;200/</w:t>
      </w:r>
      <w:r>
        <w:rPr>
          <w:rFonts w:ascii="宋体" w:hAnsi="宋体" w:eastAsia="宋体" w:cs="宋体"/>
          <w:spacing w:val="-39"/>
          <w:sz w:val="20"/>
          <w:szCs w:val="20"/>
        </w:rPr>
        <w:t xml:space="preserve"> </w:t>
      </w:r>
      <w:r>
        <w:rPr>
          <w:rFonts w:ascii="宋体" w:hAnsi="宋体" w:eastAsia="宋体" w:cs="宋体"/>
          <w:spacing w:val="-1"/>
          <w:sz w:val="20"/>
          <w:szCs w:val="20"/>
        </w:rPr>
        <w:t>μ</w:t>
      </w:r>
      <w:r>
        <w:rPr>
          <w:rFonts w:ascii="Times New Roman" w:hAnsi="Times New Roman" w:eastAsia="Times New Roman" w:cs="Times New Roman"/>
          <w:spacing w:val="-1"/>
          <w:sz w:val="20"/>
          <w:szCs w:val="20"/>
        </w:rPr>
        <w:t>l</w:t>
      </w:r>
      <w:r>
        <w:rPr>
          <w:rFonts w:ascii="宋体" w:hAnsi="宋体" w:eastAsia="宋体" w:cs="宋体"/>
          <w:spacing w:val="-1"/>
          <w:sz w:val="20"/>
          <w:szCs w:val="20"/>
        </w:rPr>
        <w:t>。</w:t>
      </w:r>
      <w:r>
        <w:rPr>
          <w:rFonts w:ascii="宋体" w:hAnsi="宋体" w:eastAsia="宋体" w:cs="宋体"/>
          <w:sz w:val="20"/>
          <w:szCs w:val="20"/>
        </w:rPr>
        <w:t xml:space="preserve"> </w:t>
      </w:r>
      <w:r>
        <w:rPr>
          <w:rFonts w:ascii="宋体" w:hAnsi="宋体" w:eastAsia="宋体" w:cs="宋体"/>
          <w:spacing w:val="6"/>
          <w:sz w:val="20"/>
          <w:szCs w:val="20"/>
        </w:rPr>
        <w:t>此期主要表现为</w:t>
      </w:r>
      <w:r>
        <w:rPr>
          <w:rFonts w:ascii="Times New Roman" w:hAnsi="Times New Roman" w:eastAsia="Times New Roman" w:cs="Times New Roman"/>
          <w:sz w:val="20"/>
          <w:szCs w:val="20"/>
        </w:rPr>
        <w:t>AIDS</w:t>
      </w:r>
      <w:r>
        <w:rPr>
          <w:rFonts w:ascii="宋体" w:hAnsi="宋体" w:eastAsia="宋体" w:cs="宋体"/>
          <w:spacing w:val="6"/>
          <w:sz w:val="20"/>
          <w:szCs w:val="20"/>
        </w:rPr>
        <w:t>相关症状、体征及多种机会性感染和肿瘤。</w:t>
      </w:r>
    </w:p>
    <w:p w14:paraId="4AB05FD2">
      <w:pPr>
        <w:pStyle w:val="2"/>
        <w:spacing w:before="117" w:line="224" w:lineRule="auto"/>
        <w:ind w:left="1079"/>
        <w:rPr>
          <w:sz w:val="24"/>
          <w:szCs w:val="24"/>
        </w:rPr>
      </w:pPr>
      <w:r>
        <w:rPr>
          <w:spacing w:val="5"/>
          <w:sz w:val="24"/>
          <w:szCs w:val="24"/>
        </w:rPr>
        <w:t>(三)危害</w:t>
      </w:r>
    </w:p>
    <w:p w14:paraId="38E61817">
      <w:pPr>
        <w:spacing w:before="83" w:line="329" w:lineRule="auto"/>
        <w:ind w:left="659" w:firstLine="419"/>
        <w:rPr>
          <w:rFonts w:ascii="宋体" w:hAnsi="宋体" w:eastAsia="宋体" w:cs="宋体"/>
          <w:sz w:val="20"/>
          <w:szCs w:val="20"/>
        </w:rPr>
      </w:pPr>
      <w:r>
        <w:rPr>
          <w:rFonts w:ascii="宋体" w:hAnsi="宋体" w:eastAsia="宋体" w:cs="宋体"/>
          <w:sz w:val="20"/>
          <w:szCs w:val="20"/>
        </w:rPr>
        <w:t>AIDS</w:t>
      </w:r>
      <w:r>
        <w:rPr>
          <w:rFonts w:ascii="宋体" w:hAnsi="宋体" w:eastAsia="宋体" w:cs="宋体"/>
          <w:spacing w:val="16"/>
          <w:sz w:val="20"/>
          <w:szCs w:val="20"/>
        </w:rPr>
        <w:t xml:space="preserve"> 是一种在全球肆虐的特殊</w:t>
      </w:r>
      <w:r>
        <w:rPr>
          <w:rFonts w:ascii="宋体" w:hAnsi="宋体" w:eastAsia="宋体" w:cs="宋体"/>
          <w:sz w:val="20"/>
          <w:szCs w:val="20"/>
        </w:rPr>
        <w:t>STDs</w:t>
      </w:r>
      <w:r>
        <w:rPr>
          <w:rFonts w:ascii="宋体" w:hAnsi="宋体" w:eastAsia="宋体" w:cs="宋体"/>
          <w:spacing w:val="16"/>
          <w:sz w:val="20"/>
          <w:szCs w:val="20"/>
        </w:rPr>
        <w:t>,</w:t>
      </w:r>
      <w:r>
        <w:rPr>
          <w:rFonts w:ascii="宋体" w:hAnsi="宋体" w:eastAsia="宋体" w:cs="宋体"/>
          <w:spacing w:val="53"/>
          <w:sz w:val="20"/>
          <w:szCs w:val="20"/>
        </w:rPr>
        <w:t xml:space="preserve"> </w:t>
      </w:r>
      <w:r>
        <w:rPr>
          <w:rFonts w:ascii="宋体" w:hAnsi="宋体" w:eastAsia="宋体" w:cs="宋体"/>
          <w:spacing w:val="16"/>
          <w:sz w:val="20"/>
          <w:szCs w:val="20"/>
        </w:rPr>
        <w:t>病死率高，至今仍是全球公共卫生领域的重大挑战。</w:t>
      </w:r>
      <w:r>
        <w:rPr>
          <w:rFonts w:ascii="宋体" w:hAnsi="宋体" w:eastAsia="宋体" w:cs="宋体"/>
          <w:sz w:val="20"/>
          <w:szCs w:val="20"/>
        </w:rPr>
        <w:t xml:space="preserve"> </w:t>
      </w:r>
      <w:r>
        <w:rPr>
          <w:rFonts w:ascii="Times New Roman" w:hAnsi="Times New Roman" w:eastAsia="Times New Roman" w:cs="Times New Roman"/>
          <w:sz w:val="20"/>
          <w:szCs w:val="20"/>
        </w:rPr>
        <w:t>AIDS</w:t>
      </w:r>
      <w:r>
        <w:rPr>
          <w:rFonts w:ascii="宋体" w:hAnsi="宋体" w:eastAsia="宋体" w:cs="宋体"/>
          <w:spacing w:val="6"/>
          <w:sz w:val="20"/>
          <w:szCs w:val="20"/>
        </w:rPr>
        <w:t>的危害主要表现在以下几个方面。</w:t>
      </w:r>
    </w:p>
    <w:p w14:paraId="0DC1CB0C">
      <w:pPr>
        <w:pStyle w:val="2"/>
        <w:spacing w:line="317" w:lineRule="auto"/>
        <w:ind w:left="659" w:firstLine="419"/>
        <w:rPr>
          <w:rFonts w:ascii="宋体" w:hAnsi="宋体" w:eastAsia="宋体" w:cs="宋体"/>
          <w:sz w:val="20"/>
          <w:szCs w:val="20"/>
        </w:rPr>
      </w:pPr>
      <w:r>
        <w:rPr>
          <w:rFonts w:ascii="Arial" w:hAnsi="Arial" w:eastAsia="Arial" w:cs="Arial"/>
          <w:spacing w:val="14"/>
          <w:sz w:val="20"/>
          <w:szCs w:val="20"/>
        </w:rPr>
        <w:t xml:space="preserve">1.  </w:t>
      </w:r>
      <w:r>
        <w:rPr>
          <w:spacing w:val="14"/>
          <w:sz w:val="20"/>
          <w:szCs w:val="20"/>
        </w:rPr>
        <w:t xml:space="preserve">影响人口质量和人口结构  </w:t>
      </w:r>
      <w:r>
        <w:rPr>
          <w:rFonts w:ascii="宋体" w:hAnsi="宋体" w:eastAsia="宋体" w:cs="宋体"/>
          <w:spacing w:val="14"/>
          <w:sz w:val="20"/>
          <w:szCs w:val="20"/>
        </w:rPr>
        <w:t>在</w:t>
      </w:r>
      <w:r>
        <w:rPr>
          <w:rFonts w:ascii="Arial" w:hAnsi="Arial" w:eastAsia="Arial" w:cs="Arial"/>
          <w:sz w:val="20"/>
          <w:szCs w:val="20"/>
        </w:rPr>
        <w:t>AIDS</w:t>
      </w:r>
      <w:r>
        <w:rPr>
          <w:rFonts w:ascii="Arial" w:hAnsi="Arial" w:eastAsia="Arial" w:cs="Arial"/>
          <w:spacing w:val="40"/>
          <w:w w:val="101"/>
          <w:sz w:val="20"/>
          <w:szCs w:val="20"/>
        </w:rPr>
        <w:t xml:space="preserve"> </w:t>
      </w:r>
      <w:r>
        <w:rPr>
          <w:rFonts w:ascii="宋体" w:hAnsi="宋体" w:eastAsia="宋体" w:cs="宋体"/>
          <w:spacing w:val="14"/>
          <w:sz w:val="20"/>
          <w:szCs w:val="20"/>
        </w:rPr>
        <w:t>疫情严峻的撒哈拉以南非洲，受</w:t>
      </w:r>
      <w:r>
        <w:rPr>
          <w:rFonts w:ascii="Arial" w:hAnsi="Arial" w:eastAsia="Arial" w:cs="Arial"/>
          <w:sz w:val="20"/>
          <w:szCs w:val="20"/>
        </w:rPr>
        <w:t>HIV</w:t>
      </w:r>
      <w:r>
        <w:rPr>
          <w:rFonts w:ascii="Arial" w:hAnsi="Arial" w:eastAsia="Arial" w:cs="Arial"/>
          <w:spacing w:val="10"/>
          <w:sz w:val="20"/>
          <w:szCs w:val="20"/>
        </w:rPr>
        <w:t xml:space="preserve">  </w:t>
      </w:r>
      <w:r>
        <w:rPr>
          <w:rFonts w:ascii="宋体" w:hAnsi="宋体" w:eastAsia="宋体" w:cs="宋体"/>
          <w:spacing w:val="14"/>
          <w:sz w:val="20"/>
          <w:szCs w:val="20"/>
        </w:rPr>
        <w:t>侵袭的主要是</w:t>
      </w:r>
      <w:r>
        <w:rPr>
          <w:rFonts w:ascii="宋体" w:hAnsi="宋体" w:eastAsia="宋体" w:cs="宋体"/>
          <w:sz w:val="20"/>
          <w:szCs w:val="20"/>
        </w:rPr>
        <w:t xml:space="preserve">  </w:t>
      </w:r>
      <w:r>
        <w:rPr>
          <w:rFonts w:ascii="宋体" w:hAnsi="宋体" w:eastAsia="宋体" w:cs="宋体"/>
          <w:spacing w:val="13"/>
          <w:sz w:val="20"/>
          <w:szCs w:val="20"/>
        </w:rPr>
        <w:t>20～49岁人群，该年龄段人群不但是物质</w:t>
      </w:r>
      <w:r>
        <w:rPr>
          <w:rFonts w:ascii="宋体" w:hAnsi="宋体" w:eastAsia="宋体" w:cs="宋体"/>
          <w:spacing w:val="12"/>
          <w:sz w:val="20"/>
          <w:szCs w:val="20"/>
        </w:rPr>
        <w:t>再生产的主力军，同时也是人口再生产的主要承担者，</w:t>
      </w:r>
      <w:r>
        <w:rPr>
          <w:rFonts w:ascii="宋体" w:hAnsi="宋体" w:eastAsia="宋体" w:cs="宋体"/>
          <w:sz w:val="20"/>
          <w:szCs w:val="20"/>
        </w:rPr>
        <w:t xml:space="preserve"> HIV</w:t>
      </w:r>
      <w:r>
        <w:rPr>
          <w:rFonts w:ascii="宋体" w:hAnsi="宋体" w:eastAsia="宋体" w:cs="宋体"/>
          <w:spacing w:val="51"/>
          <w:sz w:val="20"/>
          <w:szCs w:val="20"/>
        </w:rPr>
        <w:t xml:space="preserve"> </w:t>
      </w:r>
      <w:r>
        <w:rPr>
          <w:rFonts w:ascii="宋体" w:hAnsi="宋体" w:eastAsia="宋体" w:cs="宋体"/>
          <w:spacing w:val="5"/>
          <w:sz w:val="20"/>
          <w:szCs w:val="20"/>
        </w:rPr>
        <w:t>的流行会影响这些人的生育能力，改变人口金字塔，加速人口老龄化。过去几十年内，撒哈拉</w:t>
      </w:r>
      <w:r>
        <w:rPr>
          <w:rFonts w:ascii="宋体" w:hAnsi="宋体" w:eastAsia="宋体" w:cs="宋体"/>
          <w:sz w:val="20"/>
          <w:szCs w:val="20"/>
        </w:rPr>
        <w:t xml:space="preserve">  </w:t>
      </w:r>
      <w:r>
        <w:rPr>
          <w:rFonts w:ascii="宋体" w:hAnsi="宋体" w:eastAsia="宋体" w:cs="宋体"/>
          <w:spacing w:val="6"/>
          <w:sz w:val="20"/>
          <w:szCs w:val="20"/>
        </w:rPr>
        <w:t>以南非洲地区的平均预期寿命稳步增长，而</w:t>
      </w:r>
      <w:r>
        <w:rPr>
          <w:rFonts w:ascii="Times New Roman" w:hAnsi="Times New Roman" w:eastAsia="Times New Roman" w:cs="Times New Roman"/>
          <w:sz w:val="20"/>
          <w:szCs w:val="20"/>
        </w:rPr>
        <w:t>HIV</w:t>
      </w:r>
      <w:r>
        <w:rPr>
          <w:rFonts w:ascii="Times New Roman" w:hAnsi="Times New Roman" w:eastAsia="Times New Roman" w:cs="Times New Roman"/>
          <w:spacing w:val="28"/>
          <w:sz w:val="20"/>
          <w:szCs w:val="20"/>
        </w:rPr>
        <w:t xml:space="preserve"> </w:t>
      </w:r>
      <w:r>
        <w:rPr>
          <w:rFonts w:ascii="宋体" w:hAnsi="宋体" w:eastAsia="宋体" w:cs="宋体"/>
          <w:spacing w:val="6"/>
          <w:sz w:val="20"/>
          <w:szCs w:val="20"/>
        </w:rPr>
        <w:t>的流行将使其预期寿命增速放缓。因</w:t>
      </w:r>
      <w:r>
        <w:rPr>
          <w:rFonts w:ascii="宋体" w:hAnsi="宋体" w:eastAsia="宋体" w:cs="宋体"/>
          <w:spacing w:val="5"/>
          <w:sz w:val="20"/>
          <w:szCs w:val="20"/>
        </w:rPr>
        <w:t>此，</w:t>
      </w:r>
      <w:r>
        <w:rPr>
          <w:rFonts w:ascii="Times New Roman" w:hAnsi="Times New Roman" w:eastAsia="Times New Roman" w:cs="Times New Roman"/>
          <w:sz w:val="20"/>
          <w:szCs w:val="20"/>
        </w:rPr>
        <w:t>AIDS</w:t>
      </w:r>
      <w:r>
        <w:rPr>
          <w:rFonts w:ascii="Times New Roman" w:hAnsi="Times New Roman" w:eastAsia="Times New Roman" w:cs="Times New Roman"/>
          <w:spacing w:val="25"/>
          <w:sz w:val="20"/>
          <w:szCs w:val="20"/>
        </w:rPr>
        <w:t xml:space="preserve"> </w:t>
      </w:r>
      <w:r>
        <w:rPr>
          <w:rFonts w:ascii="宋体" w:hAnsi="宋体" w:eastAsia="宋体" w:cs="宋体"/>
          <w:spacing w:val="5"/>
          <w:sz w:val="20"/>
          <w:szCs w:val="20"/>
        </w:rPr>
        <w:t>流</w:t>
      </w:r>
      <w:r>
        <w:rPr>
          <w:rFonts w:ascii="宋体" w:hAnsi="宋体" w:eastAsia="宋体" w:cs="宋体"/>
          <w:sz w:val="20"/>
          <w:szCs w:val="20"/>
        </w:rPr>
        <w:t xml:space="preserve">  </w:t>
      </w:r>
      <w:r>
        <w:rPr>
          <w:rFonts w:ascii="宋体" w:hAnsi="宋体" w:eastAsia="宋体" w:cs="宋体"/>
          <w:spacing w:val="5"/>
          <w:sz w:val="20"/>
          <w:szCs w:val="20"/>
        </w:rPr>
        <w:t>行将深刻影响人口结构。</w:t>
      </w:r>
    </w:p>
    <w:p w14:paraId="07FA70EF">
      <w:pPr>
        <w:pStyle w:val="2"/>
        <w:spacing w:before="112" w:line="290" w:lineRule="auto"/>
        <w:ind w:left="659" w:right="88" w:firstLine="419"/>
        <w:rPr>
          <w:rFonts w:ascii="宋体" w:hAnsi="宋体" w:eastAsia="宋体" w:cs="宋体"/>
          <w:sz w:val="20"/>
          <w:szCs w:val="20"/>
        </w:rPr>
      </w:pPr>
      <w:r>
        <w:rPr>
          <w:rFonts w:ascii="宋体" w:hAnsi="宋体" w:eastAsia="宋体" w:cs="宋体"/>
          <w:spacing w:val="5"/>
          <w:sz w:val="20"/>
          <w:szCs w:val="20"/>
        </w:rPr>
        <w:t xml:space="preserve">2. </w:t>
      </w:r>
      <w:r>
        <w:rPr>
          <w:spacing w:val="5"/>
          <w:sz w:val="20"/>
          <w:szCs w:val="20"/>
        </w:rPr>
        <w:t>加剧贫穷和不平等</w:t>
      </w:r>
      <w:r>
        <w:rPr>
          <w:spacing w:val="99"/>
          <w:sz w:val="20"/>
          <w:szCs w:val="20"/>
        </w:rPr>
        <w:t xml:space="preserve"> </w:t>
      </w:r>
      <w:r>
        <w:rPr>
          <w:rFonts w:ascii="Times New Roman" w:hAnsi="Times New Roman" w:eastAsia="Times New Roman" w:cs="Times New Roman"/>
          <w:sz w:val="20"/>
          <w:szCs w:val="20"/>
        </w:rPr>
        <w:t>A</w:t>
      </w:r>
      <w:r>
        <w:rPr>
          <w:rFonts w:ascii="宋体" w:hAnsi="宋体" w:eastAsia="宋体" w:cs="宋体"/>
          <w:sz w:val="20"/>
          <w:szCs w:val="20"/>
        </w:rPr>
        <w:t>IDS</w:t>
      </w:r>
      <w:r>
        <w:rPr>
          <w:rFonts w:ascii="宋体" w:hAnsi="宋体" w:eastAsia="宋体" w:cs="宋体"/>
          <w:spacing w:val="-21"/>
          <w:sz w:val="20"/>
          <w:szCs w:val="20"/>
        </w:rPr>
        <w:t xml:space="preserve"> </w:t>
      </w:r>
      <w:r>
        <w:rPr>
          <w:rFonts w:ascii="宋体" w:hAnsi="宋体" w:eastAsia="宋体" w:cs="宋体"/>
          <w:spacing w:val="5"/>
          <w:sz w:val="20"/>
          <w:szCs w:val="20"/>
        </w:rPr>
        <w:t>的流行直接影响经济发展，据世界银行估计，</w:t>
      </w:r>
      <w:r>
        <w:rPr>
          <w:rFonts w:ascii="宋体" w:hAnsi="宋体" w:eastAsia="宋体" w:cs="宋体"/>
          <w:sz w:val="20"/>
          <w:szCs w:val="20"/>
        </w:rPr>
        <w:t>HIV</w:t>
      </w:r>
      <w:r>
        <w:rPr>
          <w:rFonts w:ascii="宋体" w:hAnsi="宋体" w:eastAsia="宋体" w:cs="宋体"/>
          <w:spacing w:val="33"/>
          <w:sz w:val="20"/>
          <w:szCs w:val="20"/>
        </w:rPr>
        <w:t xml:space="preserve"> </w:t>
      </w:r>
      <w:r>
        <w:rPr>
          <w:rFonts w:ascii="宋体" w:hAnsi="宋体" w:eastAsia="宋体" w:cs="宋体"/>
          <w:spacing w:val="5"/>
          <w:sz w:val="20"/>
          <w:szCs w:val="20"/>
        </w:rPr>
        <w:t>高感染率国家</w:t>
      </w:r>
      <w:r>
        <w:rPr>
          <w:rFonts w:ascii="宋体" w:hAnsi="宋体" w:eastAsia="宋体" w:cs="宋体"/>
          <w:sz w:val="20"/>
          <w:szCs w:val="20"/>
        </w:rPr>
        <w:t xml:space="preserve"> </w:t>
      </w:r>
      <w:r>
        <w:rPr>
          <w:rFonts w:ascii="宋体" w:hAnsi="宋体" w:eastAsia="宋体" w:cs="宋体"/>
          <w:spacing w:val="6"/>
          <w:sz w:val="20"/>
          <w:szCs w:val="20"/>
        </w:rPr>
        <w:t>人均收入每年因</w:t>
      </w:r>
      <w:r>
        <w:rPr>
          <w:rFonts w:ascii="Times New Roman" w:hAnsi="Times New Roman" w:eastAsia="Times New Roman" w:cs="Times New Roman"/>
          <w:sz w:val="20"/>
          <w:szCs w:val="20"/>
        </w:rPr>
        <w:t>HIV</w:t>
      </w:r>
      <w:r>
        <w:rPr>
          <w:rFonts w:ascii="Times New Roman" w:hAnsi="Times New Roman" w:eastAsia="Times New Roman" w:cs="Times New Roman"/>
          <w:spacing w:val="-12"/>
          <w:sz w:val="20"/>
          <w:szCs w:val="20"/>
        </w:rPr>
        <w:t xml:space="preserve"> </w:t>
      </w:r>
      <w:r>
        <w:rPr>
          <w:rFonts w:ascii="宋体" w:hAnsi="宋体" w:eastAsia="宋体" w:cs="宋体"/>
          <w:spacing w:val="6"/>
          <w:sz w:val="20"/>
          <w:szCs w:val="20"/>
        </w:rPr>
        <w:t>感染/</w:t>
      </w:r>
      <w:r>
        <w:rPr>
          <w:rFonts w:ascii="Times New Roman" w:hAnsi="Times New Roman" w:eastAsia="Times New Roman" w:cs="Times New Roman"/>
          <w:sz w:val="20"/>
          <w:szCs w:val="20"/>
        </w:rPr>
        <w:t>AIDS</w:t>
      </w:r>
      <w:r>
        <w:rPr>
          <w:rFonts w:ascii="宋体" w:hAnsi="宋体" w:eastAsia="宋体" w:cs="宋体"/>
          <w:spacing w:val="6"/>
          <w:sz w:val="20"/>
          <w:szCs w:val="20"/>
        </w:rPr>
        <w:t>减</w:t>
      </w:r>
      <w:r>
        <w:rPr>
          <w:rFonts w:ascii="宋体" w:hAnsi="宋体" w:eastAsia="宋体" w:cs="宋体"/>
          <w:spacing w:val="-42"/>
          <w:sz w:val="20"/>
          <w:szCs w:val="20"/>
        </w:rPr>
        <w:t xml:space="preserve"> </w:t>
      </w:r>
      <w:r>
        <w:rPr>
          <w:rFonts w:ascii="宋体" w:hAnsi="宋体" w:eastAsia="宋体" w:cs="宋体"/>
          <w:spacing w:val="6"/>
          <w:sz w:val="20"/>
          <w:szCs w:val="20"/>
        </w:rPr>
        <w:t>少</w:t>
      </w:r>
      <w:r>
        <w:rPr>
          <w:rFonts w:ascii="宋体" w:hAnsi="宋体" w:eastAsia="宋体" w:cs="宋体"/>
          <w:spacing w:val="-28"/>
          <w:sz w:val="20"/>
          <w:szCs w:val="20"/>
        </w:rPr>
        <w:t xml:space="preserve"> </w:t>
      </w:r>
      <w:r>
        <w:rPr>
          <w:rFonts w:ascii="宋体" w:hAnsi="宋体" w:eastAsia="宋体" w:cs="宋体"/>
          <w:spacing w:val="6"/>
          <w:sz w:val="20"/>
          <w:szCs w:val="20"/>
        </w:rPr>
        <w:t>1</w:t>
      </w:r>
      <w:r>
        <w:rPr>
          <w:rFonts w:ascii="宋体" w:hAnsi="宋体" w:eastAsia="宋体" w:cs="宋体"/>
          <w:spacing w:val="-49"/>
          <w:sz w:val="20"/>
          <w:szCs w:val="20"/>
        </w:rPr>
        <w:t xml:space="preserve"> </w:t>
      </w:r>
      <w:r>
        <w:rPr>
          <w:rFonts w:ascii="宋体" w:hAnsi="宋体" w:eastAsia="宋体" w:cs="宋体"/>
          <w:spacing w:val="6"/>
          <w:sz w:val="20"/>
          <w:szCs w:val="20"/>
        </w:rPr>
        <w:t>%</w:t>
      </w:r>
      <w:r>
        <w:rPr>
          <w:rFonts w:ascii="宋体" w:hAnsi="宋体" w:eastAsia="宋体" w:cs="宋体"/>
          <w:spacing w:val="-51"/>
          <w:sz w:val="20"/>
          <w:szCs w:val="20"/>
        </w:rPr>
        <w:t xml:space="preserve"> </w:t>
      </w:r>
      <w:r>
        <w:rPr>
          <w:rFonts w:ascii="宋体" w:hAnsi="宋体" w:eastAsia="宋体" w:cs="宋体"/>
          <w:spacing w:val="6"/>
          <w:sz w:val="20"/>
          <w:szCs w:val="20"/>
        </w:rPr>
        <w:t>。</w:t>
      </w:r>
      <w:r>
        <w:rPr>
          <w:rFonts w:ascii="Times New Roman" w:hAnsi="Times New Roman" w:eastAsia="Times New Roman" w:cs="Times New Roman"/>
          <w:sz w:val="20"/>
          <w:szCs w:val="20"/>
        </w:rPr>
        <w:t>AIDS</w:t>
      </w:r>
      <w:r>
        <w:rPr>
          <w:rFonts w:ascii="宋体" w:hAnsi="宋体" w:eastAsia="宋体" w:cs="宋体"/>
          <w:spacing w:val="6"/>
          <w:sz w:val="20"/>
          <w:szCs w:val="20"/>
        </w:rPr>
        <w:t>对贫困人群的影响远大于</w:t>
      </w:r>
      <w:r>
        <w:rPr>
          <w:rFonts w:ascii="宋体" w:hAnsi="宋体" w:eastAsia="宋体" w:cs="宋体"/>
          <w:spacing w:val="5"/>
          <w:sz w:val="20"/>
          <w:szCs w:val="20"/>
        </w:rPr>
        <w:t>对其他人群的影响。</w:t>
      </w:r>
    </w:p>
    <w:p w14:paraId="0728AC0E">
      <w:pPr>
        <w:pStyle w:val="2"/>
        <w:spacing w:before="133" w:line="295" w:lineRule="auto"/>
        <w:ind w:left="659" w:right="105" w:firstLine="419"/>
        <w:rPr>
          <w:rFonts w:ascii="宋体" w:hAnsi="宋体" w:eastAsia="宋体" w:cs="宋体"/>
          <w:sz w:val="20"/>
          <w:szCs w:val="20"/>
        </w:rPr>
      </w:pPr>
      <w:r>
        <w:rPr>
          <w:rFonts w:ascii="Times New Roman" w:hAnsi="Times New Roman" w:eastAsia="Times New Roman" w:cs="Times New Roman"/>
          <w:spacing w:val="11"/>
          <w:sz w:val="20"/>
          <w:szCs w:val="20"/>
        </w:rPr>
        <w:t>3.</w:t>
      </w:r>
      <w:r>
        <w:rPr>
          <w:rFonts w:ascii="Times New Roman" w:hAnsi="Times New Roman" w:eastAsia="Times New Roman" w:cs="Times New Roman"/>
          <w:spacing w:val="20"/>
          <w:w w:val="101"/>
          <w:sz w:val="20"/>
          <w:szCs w:val="20"/>
        </w:rPr>
        <w:t xml:space="preserve">  </w:t>
      </w:r>
      <w:r>
        <w:rPr>
          <w:rFonts w:ascii="宋体" w:hAnsi="宋体" w:eastAsia="宋体" w:cs="宋体"/>
          <w:spacing w:val="11"/>
          <w:sz w:val="20"/>
          <w:szCs w:val="20"/>
        </w:rPr>
        <w:t>危害家庭</w:t>
      </w:r>
      <w:r>
        <w:rPr>
          <w:rFonts w:ascii="宋体" w:hAnsi="宋体" w:eastAsia="宋体" w:cs="宋体"/>
          <w:spacing w:val="91"/>
          <w:sz w:val="20"/>
          <w:szCs w:val="20"/>
        </w:rPr>
        <w:t xml:space="preserve"> </w:t>
      </w:r>
      <w:r>
        <w:rPr>
          <w:sz w:val="20"/>
          <w:szCs w:val="20"/>
        </w:rPr>
        <w:t>AID</w:t>
      </w:r>
      <w:r>
        <w:rPr>
          <w:spacing w:val="-38"/>
          <w:sz w:val="20"/>
          <w:szCs w:val="20"/>
        </w:rPr>
        <w:t xml:space="preserve"> </w:t>
      </w:r>
      <w:r>
        <w:rPr>
          <w:rFonts w:ascii="Times New Roman" w:hAnsi="Times New Roman" w:eastAsia="Times New Roman" w:cs="Times New Roman"/>
          <w:sz w:val="20"/>
          <w:szCs w:val="20"/>
        </w:rPr>
        <w:t>S</w:t>
      </w:r>
      <w:r>
        <w:rPr>
          <w:rFonts w:ascii="Times New Roman" w:hAnsi="Times New Roman" w:eastAsia="Times New Roman" w:cs="Times New Roman"/>
          <w:spacing w:val="11"/>
          <w:sz w:val="20"/>
          <w:szCs w:val="20"/>
        </w:rPr>
        <w:t xml:space="preserve"> </w:t>
      </w:r>
      <w:r>
        <w:rPr>
          <w:rFonts w:ascii="宋体" w:hAnsi="宋体" w:eastAsia="宋体" w:cs="宋体"/>
          <w:spacing w:val="11"/>
          <w:sz w:val="20"/>
          <w:szCs w:val="20"/>
        </w:rPr>
        <w:t>使家庭中青壮年劳动力丧失生产能力，而高昂的医疗费用使家庭更趋穷</w:t>
      </w:r>
      <w:r>
        <w:rPr>
          <w:rFonts w:ascii="宋体" w:hAnsi="宋体" w:eastAsia="宋体" w:cs="宋体"/>
          <w:sz w:val="20"/>
          <w:szCs w:val="20"/>
        </w:rPr>
        <w:t xml:space="preserve"> </w:t>
      </w:r>
      <w:r>
        <w:rPr>
          <w:rFonts w:ascii="宋体" w:hAnsi="宋体" w:eastAsia="宋体" w:cs="宋体"/>
          <w:spacing w:val="8"/>
          <w:sz w:val="20"/>
          <w:szCs w:val="20"/>
        </w:rPr>
        <w:t>困。大量研究反映了受</w:t>
      </w:r>
      <w:r>
        <w:rPr>
          <w:rFonts w:ascii="Times New Roman" w:hAnsi="Times New Roman" w:eastAsia="Times New Roman" w:cs="Times New Roman"/>
          <w:sz w:val="20"/>
          <w:szCs w:val="20"/>
        </w:rPr>
        <w:t>AIDS</w:t>
      </w:r>
      <w:r>
        <w:rPr>
          <w:rFonts w:ascii="Times New Roman" w:hAnsi="Times New Roman" w:eastAsia="Times New Roman" w:cs="Times New Roman"/>
          <w:spacing w:val="-7"/>
          <w:sz w:val="20"/>
          <w:szCs w:val="20"/>
        </w:rPr>
        <w:t xml:space="preserve"> </w:t>
      </w:r>
      <w:r>
        <w:rPr>
          <w:rFonts w:ascii="宋体" w:hAnsi="宋体" w:eastAsia="宋体" w:cs="宋体"/>
          <w:spacing w:val="8"/>
          <w:sz w:val="20"/>
          <w:szCs w:val="20"/>
        </w:rPr>
        <w:t>危害最大的是妇女和儿童。社会歧视加重了家庭成员的心理负担，易</w:t>
      </w:r>
      <w:r>
        <w:rPr>
          <w:rFonts w:ascii="宋体" w:hAnsi="宋体" w:eastAsia="宋体" w:cs="宋体"/>
          <w:sz w:val="20"/>
          <w:szCs w:val="20"/>
        </w:rPr>
        <w:t xml:space="preserve"> </w:t>
      </w:r>
      <w:r>
        <w:rPr>
          <w:rFonts w:ascii="宋体" w:hAnsi="宋体" w:eastAsia="宋体" w:cs="宋体"/>
          <w:spacing w:val="5"/>
          <w:sz w:val="20"/>
          <w:szCs w:val="20"/>
        </w:rPr>
        <w:t>引发家庭不和甚至破裂。</w:t>
      </w:r>
    </w:p>
    <w:p w14:paraId="3F73BEA6">
      <w:pPr>
        <w:spacing w:before="140" w:line="276" w:lineRule="auto"/>
        <w:ind w:left="659" w:right="20" w:firstLine="419"/>
        <w:rPr>
          <w:rFonts w:ascii="宋体" w:hAnsi="宋体" w:eastAsia="宋体" w:cs="宋体"/>
          <w:sz w:val="20"/>
          <w:szCs w:val="20"/>
        </w:rPr>
      </w:pPr>
      <w:r>
        <w:rPr>
          <w:rFonts w:ascii="Times New Roman" w:hAnsi="Times New Roman" w:eastAsia="Times New Roman" w:cs="Times New Roman"/>
          <w:spacing w:val="6"/>
          <w:sz w:val="20"/>
          <w:szCs w:val="20"/>
        </w:rPr>
        <w:t>4.</w:t>
      </w:r>
      <w:r>
        <w:rPr>
          <w:rFonts w:ascii="Times New Roman" w:hAnsi="Times New Roman" w:eastAsia="Times New Roman" w:cs="Times New Roman"/>
          <w:spacing w:val="21"/>
          <w:sz w:val="20"/>
          <w:szCs w:val="20"/>
        </w:rPr>
        <w:t xml:space="preserve">  </w:t>
      </w:r>
      <w:r>
        <w:rPr>
          <w:rFonts w:ascii="宋体" w:hAnsi="宋体" w:eastAsia="宋体" w:cs="宋体"/>
          <w:spacing w:val="6"/>
          <w:sz w:val="20"/>
          <w:szCs w:val="20"/>
        </w:rPr>
        <w:t>偏</w:t>
      </w:r>
      <w:r>
        <w:rPr>
          <w:rFonts w:ascii="宋体" w:hAnsi="宋体" w:eastAsia="宋体" w:cs="宋体"/>
          <w:spacing w:val="-34"/>
          <w:sz w:val="20"/>
          <w:szCs w:val="20"/>
        </w:rPr>
        <w:t xml:space="preserve"> </w:t>
      </w:r>
      <w:r>
        <w:rPr>
          <w:rFonts w:ascii="宋体" w:hAnsi="宋体" w:eastAsia="宋体" w:cs="宋体"/>
          <w:spacing w:val="6"/>
          <w:sz w:val="20"/>
          <w:szCs w:val="20"/>
        </w:rPr>
        <w:t>见</w:t>
      </w:r>
      <w:r>
        <w:rPr>
          <w:rFonts w:ascii="宋体" w:hAnsi="宋体" w:eastAsia="宋体" w:cs="宋体"/>
          <w:spacing w:val="-36"/>
          <w:sz w:val="20"/>
          <w:szCs w:val="20"/>
        </w:rPr>
        <w:t xml:space="preserve"> </w:t>
      </w:r>
      <w:r>
        <w:rPr>
          <w:rFonts w:ascii="宋体" w:hAnsi="宋体" w:eastAsia="宋体" w:cs="宋体"/>
          <w:spacing w:val="6"/>
          <w:sz w:val="20"/>
          <w:szCs w:val="20"/>
        </w:rPr>
        <w:t>和</w:t>
      </w:r>
      <w:r>
        <w:rPr>
          <w:rFonts w:ascii="宋体" w:hAnsi="宋体" w:eastAsia="宋体" w:cs="宋体"/>
          <w:spacing w:val="-33"/>
          <w:sz w:val="20"/>
          <w:szCs w:val="20"/>
        </w:rPr>
        <w:t xml:space="preserve"> </w:t>
      </w:r>
      <w:r>
        <w:rPr>
          <w:rFonts w:ascii="宋体" w:hAnsi="宋体" w:eastAsia="宋体" w:cs="宋体"/>
          <w:spacing w:val="6"/>
          <w:sz w:val="20"/>
          <w:szCs w:val="20"/>
        </w:rPr>
        <w:t>歧</w:t>
      </w:r>
      <w:r>
        <w:rPr>
          <w:rFonts w:ascii="宋体" w:hAnsi="宋体" w:eastAsia="宋体" w:cs="宋体"/>
          <w:spacing w:val="-38"/>
          <w:sz w:val="20"/>
          <w:szCs w:val="20"/>
        </w:rPr>
        <w:t xml:space="preserve"> </w:t>
      </w:r>
      <w:r>
        <w:rPr>
          <w:rFonts w:ascii="宋体" w:hAnsi="宋体" w:eastAsia="宋体" w:cs="宋体"/>
          <w:spacing w:val="6"/>
          <w:sz w:val="20"/>
          <w:szCs w:val="20"/>
        </w:rPr>
        <w:t>视</w:t>
      </w:r>
      <w:r>
        <w:rPr>
          <w:rFonts w:ascii="宋体" w:hAnsi="宋体" w:eastAsia="宋体" w:cs="宋体"/>
          <w:spacing w:val="-37"/>
          <w:sz w:val="20"/>
          <w:szCs w:val="20"/>
        </w:rPr>
        <w:t xml:space="preserve"> </w:t>
      </w:r>
      <w:r>
        <w:rPr>
          <w:rFonts w:ascii="宋体" w:hAnsi="宋体" w:eastAsia="宋体" w:cs="宋体"/>
          <w:spacing w:val="6"/>
          <w:sz w:val="20"/>
          <w:szCs w:val="20"/>
        </w:rPr>
        <w:t>对</w:t>
      </w:r>
      <w:r>
        <w:rPr>
          <w:rFonts w:ascii="Times New Roman" w:hAnsi="Times New Roman" w:eastAsia="Times New Roman" w:cs="Times New Roman"/>
          <w:sz w:val="20"/>
          <w:szCs w:val="20"/>
        </w:rPr>
        <w:t>AIDS</w:t>
      </w:r>
      <w:r>
        <w:rPr>
          <w:rFonts w:ascii="宋体" w:hAnsi="宋体" w:eastAsia="宋体" w:cs="宋体"/>
          <w:spacing w:val="6"/>
          <w:sz w:val="20"/>
          <w:szCs w:val="20"/>
        </w:rPr>
        <w:t>患者的偏见和歧视阻碍了疾病的防控进程，尤其是针对妇女的歧视，</w:t>
      </w:r>
      <w:r>
        <w:rPr>
          <w:rFonts w:ascii="宋体" w:hAnsi="宋体" w:eastAsia="宋体" w:cs="宋体"/>
          <w:sz w:val="20"/>
          <w:szCs w:val="20"/>
        </w:rPr>
        <w:t xml:space="preserve"> </w:t>
      </w:r>
      <w:r>
        <w:rPr>
          <w:rFonts w:ascii="宋体" w:hAnsi="宋体" w:eastAsia="宋体" w:cs="宋体"/>
          <w:spacing w:val="4"/>
          <w:sz w:val="20"/>
          <w:szCs w:val="20"/>
        </w:rPr>
        <w:t>导致其不敢或不愿就医，因对</w:t>
      </w:r>
      <w:r>
        <w:rPr>
          <w:rFonts w:ascii="Times New Roman" w:hAnsi="Times New Roman" w:eastAsia="Times New Roman" w:cs="Times New Roman"/>
          <w:sz w:val="20"/>
          <w:szCs w:val="20"/>
        </w:rPr>
        <w:t>HIV</w:t>
      </w:r>
      <w:r>
        <w:rPr>
          <w:rFonts w:ascii="Times New Roman" w:hAnsi="Times New Roman" w:eastAsia="Times New Roman" w:cs="Times New Roman"/>
          <w:spacing w:val="4"/>
          <w:sz w:val="20"/>
          <w:szCs w:val="20"/>
        </w:rPr>
        <w:t xml:space="preserve"> </w:t>
      </w:r>
      <w:r>
        <w:rPr>
          <w:rFonts w:ascii="宋体" w:hAnsi="宋体" w:eastAsia="宋体" w:cs="宋体"/>
          <w:spacing w:val="4"/>
          <w:sz w:val="20"/>
          <w:szCs w:val="20"/>
        </w:rPr>
        <w:t>的恐惧而回避在医院分娩，</w:t>
      </w:r>
      <w:r>
        <w:rPr>
          <w:rFonts w:ascii="宋体" w:hAnsi="宋体" w:eastAsia="宋体" w:cs="宋体"/>
          <w:spacing w:val="3"/>
          <w:sz w:val="20"/>
          <w:szCs w:val="20"/>
        </w:rPr>
        <w:t>进而造成了更多孕产妇死亡。</w:t>
      </w:r>
    </w:p>
    <w:p w14:paraId="722EAE13">
      <w:pPr>
        <w:pStyle w:val="2"/>
        <w:spacing w:before="131" w:line="221" w:lineRule="auto"/>
        <w:ind w:left="1079"/>
        <w:rPr>
          <w:rFonts w:ascii="宋体" w:hAnsi="宋体" w:eastAsia="宋体" w:cs="宋体"/>
          <w:sz w:val="20"/>
          <w:szCs w:val="20"/>
        </w:rPr>
      </w:pPr>
      <w:r>
        <w:rPr>
          <w:rFonts w:ascii="Times New Roman" w:hAnsi="Times New Roman" w:eastAsia="Times New Roman" w:cs="Times New Roman"/>
          <w:spacing w:val="9"/>
          <w:sz w:val="20"/>
          <w:szCs w:val="20"/>
        </w:rPr>
        <w:t xml:space="preserve">5.   </w:t>
      </w:r>
      <w:r>
        <w:rPr>
          <w:spacing w:val="9"/>
          <w:sz w:val="20"/>
          <w:szCs w:val="20"/>
        </w:rPr>
        <w:t xml:space="preserve">卫生服务压力  </w:t>
      </w:r>
      <w:r>
        <w:rPr>
          <w:rFonts w:ascii="Times New Roman" w:hAnsi="Times New Roman" w:eastAsia="Times New Roman" w:cs="Times New Roman"/>
          <w:sz w:val="20"/>
          <w:szCs w:val="20"/>
        </w:rPr>
        <w:t>HIV</w:t>
      </w:r>
      <w:r>
        <w:rPr>
          <w:rFonts w:ascii="宋体" w:hAnsi="宋体" w:eastAsia="宋体" w:cs="宋体"/>
          <w:spacing w:val="9"/>
          <w:sz w:val="20"/>
          <w:szCs w:val="20"/>
        </w:rPr>
        <w:t>的流行加剧了发展中国家卫生资源的短缺，涉及诊断、治疗</w:t>
      </w:r>
      <w:r>
        <w:rPr>
          <w:rFonts w:ascii="宋体" w:hAnsi="宋体" w:eastAsia="宋体" w:cs="宋体"/>
          <w:spacing w:val="8"/>
          <w:sz w:val="20"/>
          <w:szCs w:val="20"/>
        </w:rPr>
        <w:t>、医院床</w:t>
      </w:r>
    </w:p>
    <w:p w14:paraId="2E65D425">
      <w:pPr>
        <w:spacing w:line="221" w:lineRule="auto"/>
        <w:rPr>
          <w:rFonts w:ascii="宋体" w:hAnsi="宋体" w:eastAsia="宋体" w:cs="宋体"/>
          <w:sz w:val="20"/>
          <w:szCs w:val="20"/>
        </w:rPr>
        <w:sectPr>
          <w:footerReference r:id="rId353" w:type="default"/>
          <w:pgSz w:w="11900" w:h="16820"/>
          <w:pgMar w:top="400" w:right="1459" w:bottom="929" w:left="830" w:header="0" w:footer="749" w:gutter="0"/>
          <w:cols w:space="720" w:num="1"/>
        </w:sectPr>
      </w:pPr>
    </w:p>
    <w:p w14:paraId="08DE5A74">
      <w:pPr>
        <w:pStyle w:val="2"/>
        <w:spacing w:before="206" w:line="221" w:lineRule="auto"/>
        <w:ind w:left="6980"/>
        <w:rPr>
          <w:sz w:val="21"/>
          <w:szCs w:val="21"/>
        </w:rPr>
      </w:pPr>
      <w:r>
        <w:rPr>
          <w:spacing w:val="-15"/>
          <w:w w:val="96"/>
          <w:sz w:val="21"/>
          <w:szCs w:val="21"/>
        </w:rPr>
        <w:t>第二十一章性传播疾病</w:t>
      </w:r>
    </w:p>
    <w:p w14:paraId="1F01E9F2">
      <w:pPr>
        <w:spacing w:line="269" w:lineRule="auto"/>
        <w:rPr>
          <w:rFonts w:ascii="Arial"/>
          <w:sz w:val="21"/>
        </w:rPr>
      </w:pPr>
    </w:p>
    <w:p w14:paraId="54923304">
      <w:pPr>
        <w:spacing w:line="270" w:lineRule="auto"/>
        <w:rPr>
          <w:rFonts w:ascii="Arial"/>
          <w:sz w:val="21"/>
        </w:rPr>
      </w:pPr>
    </w:p>
    <w:p w14:paraId="15D25053">
      <w:pPr>
        <w:spacing w:before="68" w:line="219" w:lineRule="auto"/>
        <w:rPr>
          <w:rFonts w:ascii="宋体" w:hAnsi="宋体" w:eastAsia="宋体" w:cs="宋体"/>
          <w:sz w:val="21"/>
          <w:szCs w:val="21"/>
        </w:rPr>
      </w:pPr>
      <w:r>
        <w:rPr>
          <w:rFonts w:ascii="宋体" w:hAnsi="宋体" w:eastAsia="宋体" w:cs="宋体"/>
          <w:spacing w:val="-9"/>
          <w:sz w:val="21"/>
          <w:szCs w:val="21"/>
        </w:rPr>
        <w:t>位、医务人员等诸多方面。</w:t>
      </w:r>
    </w:p>
    <w:p w14:paraId="558400EE">
      <w:pPr>
        <w:pStyle w:val="2"/>
        <w:spacing w:before="110" w:line="316" w:lineRule="auto"/>
        <w:ind w:right="639" w:firstLine="450"/>
        <w:rPr>
          <w:rFonts w:ascii="宋体" w:hAnsi="宋体" w:eastAsia="宋体" w:cs="宋体"/>
          <w:sz w:val="21"/>
          <w:szCs w:val="21"/>
        </w:rPr>
      </w:pPr>
      <w:r>
        <w:rPr>
          <w:rFonts w:ascii="宋体" w:hAnsi="宋体" w:eastAsia="宋体" w:cs="宋体"/>
          <w:spacing w:val="-2"/>
          <w:sz w:val="21"/>
          <w:szCs w:val="21"/>
        </w:rPr>
        <w:t xml:space="preserve">6. </w:t>
      </w:r>
      <w:r>
        <w:rPr>
          <w:spacing w:val="-2"/>
          <w:sz w:val="21"/>
          <w:szCs w:val="21"/>
        </w:rPr>
        <w:t>社会经济和政治影响</w:t>
      </w:r>
      <w:r>
        <w:rPr>
          <w:spacing w:val="99"/>
          <w:sz w:val="21"/>
          <w:szCs w:val="21"/>
        </w:rPr>
        <w:t xml:space="preserve"> </w:t>
      </w:r>
      <w:r>
        <w:rPr>
          <w:rFonts w:ascii="宋体" w:hAnsi="宋体" w:eastAsia="宋体" w:cs="宋体"/>
          <w:spacing w:val="-2"/>
          <w:sz w:val="21"/>
          <w:szCs w:val="21"/>
        </w:rPr>
        <w:t>防治HIV 感染/AIDS</w:t>
      </w:r>
      <w:r>
        <w:rPr>
          <w:rFonts w:ascii="宋体" w:hAnsi="宋体" w:eastAsia="宋体" w:cs="宋体"/>
          <w:spacing w:val="-23"/>
          <w:sz w:val="21"/>
          <w:szCs w:val="21"/>
        </w:rPr>
        <w:t xml:space="preserve"> </w:t>
      </w:r>
      <w:r>
        <w:rPr>
          <w:rFonts w:ascii="宋体" w:hAnsi="宋体" w:eastAsia="宋体" w:cs="宋体"/>
          <w:spacing w:val="-2"/>
          <w:sz w:val="21"/>
          <w:szCs w:val="21"/>
        </w:rPr>
        <w:t>的高昂费用加重了国家财政负担，同时也影响</w:t>
      </w:r>
      <w:r>
        <w:rPr>
          <w:rFonts w:ascii="宋体" w:hAnsi="宋体" w:eastAsia="宋体" w:cs="宋体"/>
          <w:sz w:val="21"/>
          <w:szCs w:val="21"/>
        </w:rPr>
        <w:t xml:space="preserve"> </w:t>
      </w:r>
      <w:r>
        <w:rPr>
          <w:rFonts w:ascii="宋体" w:hAnsi="宋体" w:eastAsia="宋体" w:cs="宋体"/>
          <w:spacing w:val="-10"/>
          <w:sz w:val="21"/>
          <w:szCs w:val="21"/>
        </w:rPr>
        <w:t>社会稳定，阻碍经济发展，削弱安全体系。</w:t>
      </w:r>
    </w:p>
    <w:p w14:paraId="17529868">
      <w:pPr>
        <w:pStyle w:val="2"/>
        <w:spacing w:before="207" w:line="221" w:lineRule="auto"/>
        <w:ind w:left="453"/>
        <w:outlineLvl w:val="4"/>
        <w:rPr>
          <w:sz w:val="25"/>
          <w:szCs w:val="25"/>
        </w:rPr>
      </w:pPr>
      <w:bookmarkStart w:id="553" w:name="bookmark343"/>
      <w:bookmarkEnd w:id="553"/>
      <w:r>
        <w:rPr>
          <w:b/>
          <w:bCs/>
          <w:spacing w:val="-9"/>
          <w:sz w:val="25"/>
          <w:szCs w:val="25"/>
        </w:rPr>
        <w:t>二</w:t>
      </w:r>
      <w:r>
        <w:rPr>
          <w:spacing w:val="-56"/>
          <w:sz w:val="25"/>
          <w:szCs w:val="25"/>
        </w:rPr>
        <w:t xml:space="preserve"> </w:t>
      </w:r>
      <w:r>
        <w:rPr>
          <w:b/>
          <w:bCs/>
          <w:spacing w:val="-9"/>
          <w:sz w:val="25"/>
          <w:szCs w:val="25"/>
        </w:rPr>
        <w:t>、流行概况</w:t>
      </w:r>
    </w:p>
    <w:p w14:paraId="23BFB55A">
      <w:pPr>
        <w:pStyle w:val="2"/>
        <w:spacing w:before="273" w:line="221" w:lineRule="auto"/>
        <w:ind w:left="450"/>
        <w:rPr>
          <w:sz w:val="21"/>
          <w:szCs w:val="21"/>
        </w:rPr>
      </w:pPr>
      <w:r>
        <w:rPr>
          <w:spacing w:val="17"/>
          <w:sz w:val="21"/>
          <w:szCs w:val="21"/>
        </w:rPr>
        <w:t>(</w:t>
      </w:r>
      <w:r>
        <w:rPr>
          <w:spacing w:val="-61"/>
          <w:sz w:val="21"/>
          <w:szCs w:val="21"/>
        </w:rPr>
        <w:t xml:space="preserve"> </w:t>
      </w:r>
      <w:r>
        <w:rPr>
          <w:spacing w:val="17"/>
          <w:sz w:val="21"/>
          <w:szCs w:val="21"/>
        </w:rPr>
        <w:t>一)全球流行概况</w:t>
      </w:r>
    </w:p>
    <w:p w14:paraId="67A7872F">
      <w:pPr>
        <w:pStyle w:val="2"/>
        <w:spacing w:before="98" w:line="291" w:lineRule="auto"/>
        <w:ind w:right="577" w:firstLine="450"/>
        <w:rPr>
          <w:rFonts w:ascii="宋体" w:hAnsi="宋体" w:eastAsia="宋体" w:cs="宋体"/>
          <w:sz w:val="21"/>
          <w:szCs w:val="21"/>
        </w:rPr>
      </w:pPr>
      <w:r>
        <w:rPr>
          <w:rFonts w:ascii="Times New Roman" w:hAnsi="Times New Roman" w:eastAsia="Times New Roman" w:cs="Times New Roman"/>
          <w:sz w:val="21"/>
          <w:szCs w:val="21"/>
        </w:rPr>
        <w:t xml:space="preserve">1.   </w:t>
      </w:r>
      <w:r>
        <w:rPr>
          <w:sz w:val="21"/>
          <w:szCs w:val="21"/>
        </w:rPr>
        <w:t xml:space="preserve">流行趋势  </w:t>
      </w:r>
      <w:r>
        <w:rPr>
          <w:rFonts w:ascii="Times New Roman" w:hAnsi="Times New Roman" w:eastAsia="Times New Roman" w:cs="Times New Roman"/>
          <w:sz w:val="21"/>
          <w:szCs w:val="21"/>
        </w:rPr>
        <w:t xml:space="preserve">HIV </w:t>
      </w:r>
      <w:r>
        <w:rPr>
          <w:rFonts w:ascii="宋体" w:hAnsi="宋体" w:eastAsia="宋体" w:cs="宋体"/>
          <w:sz w:val="21"/>
          <w:szCs w:val="21"/>
        </w:rPr>
        <w:t>感染/</w:t>
      </w:r>
      <w:r>
        <w:rPr>
          <w:rFonts w:ascii="Times New Roman" w:hAnsi="Times New Roman" w:eastAsia="Times New Roman" w:cs="Times New Roman"/>
          <w:sz w:val="21"/>
          <w:szCs w:val="21"/>
        </w:rPr>
        <w:t>AID</w:t>
      </w:r>
      <w:r>
        <w:rPr>
          <w:rFonts w:ascii="Times New Roman" w:hAnsi="Times New Roman" w:eastAsia="Times New Roman" w:cs="Times New Roman"/>
          <w:spacing w:val="-1"/>
          <w:sz w:val="21"/>
          <w:szCs w:val="21"/>
        </w:rPr>
        <w:t>S</w:t>
      </w:r>
      <w:r>
        <w:rPr>
          <w:rFonts w:ascii="宋体" w:hAnsi="宋体" w:eastAsia="宋体" w:cs="宋体"/>
          <w:spacing w:val="-1"/>
          <w:sz w:val="21"/>
          <w:szCs w:val="21"/>
        </w:rPr>
        <w:t>仍然是重大的全球公共卫生问题，在全球所有国家持续传播。</w:t>
      </w:r>
      <w:r>
        <w:rPr>
          <w:rFonts w:ascii="宋体" w:hAnsi="宋体" w:eastAsia="宋体" w:cs="宋体"/>
          <w:sz w:val="21"/>
          <w:szCs w:val="21"/>
        </w:rPr>
        <w:t xml:space="preserve"> </w:t>
      </w:r>
      <w:r>
        <w:rPr>
          <w:rFonts w:ascii="宋体" w:hAnsi="宋体" w:eastAsia="宋体" w:cs="宋体"/>
          <w:spacing w:val="1"/>
          <w:sz w:val="21"/>
          <w:szCs w:val="21"/>
        </w:rPr>
        <w:t>据联合国艾滋病规划署估计，截至2022年底，全球现存活</w:t>
      </w:r>
      <w:r>
        <w:rPr>
          <w:rFonts w:ascii="Times New Roman" w:hAnsi="Times New Roman" w:eastAsia="Times New Roman" w:cs="Times New Roman"/>
          <w:sz w:val="21"/>
          <w:szCs w:val="21"/>
        </w:rPr>
        <w:t>HIV</w:t>
      </w:r>
      <w:r>
        <w:rPr>
          <w:rFonts w:ascii="Times New Roman" w:hAnsi="Times New Roman" w:eastAsia="Times New Roman" w:cs="Times New Roman"/>
          <w:spacing w:val="1"/>
          <w:sz w:val="21"/>
          <w:szCs w:val="21"/>
        </w:rPr>
        <w:t xml:space="preserve"> </w:t>
      </w:r>
      <w:r>
        <w:rPr>
          <w:rFonts w:ascii="宋体" w:hAnsi="宋体" w:eastAsia="宋体" w:cs="宋体"/>
          <w:spacing w:val="1"/>
          <w:sz w:val="21"/>
          <w:szCs w:val="21"/>
        </w:rPr>
        <w:t>感染/</w:t>
      </w:r>
      <w:r>
        <w:rPr>
          <w:rFonts w:ascii="Times New Roman" w:hAnsi="Times New Roman" w:eastAsia="Times New Roman" w:cs="Times New Roman"/>
          <w:sz w:val="21"/>
          <w:szCs w:val="21"/>
        </w:rPr>
        <w:t>AIDS</w:t>
      </w:r>
      <w:r>
        <w:rPr>
          <w:rFonts w:ascii="宋体" w:hAnsi="宋体" w:eastAsia="宋体" w:cs="宋体"/>
          <w:spacing w:val="1"/>
          <w:sz w:val="21"/>
          <w:szCs w:val="21"/>
        </w:rPr>
        <w:t>患者3900</w:t>
      </w:r>
      <w:r>
        <w:rPr>
          <w:rFonts w:ascii="宋体" w:hAnsi="宋体" w:eastAsia="宋体" w:cs="宋体"/>
          <w:sz w:val="21"/>
          <w:szCs w:val="21"/>
        </w:rPr>
        <w:t xml:space="preserve">万例，当年新 </w:t>
      </w:r>
      <w:r>
        <w:rPr>
          <w:rFonts w:ascii="宋体" w:hAnsi="宋体" w:eastAsia="宋体" w:cs="宋体"/>
          <w:spacing w:val="11"/>
          <w:sz w:val="21"/>
          <w:szCs w:val="21"/>
        </w:rPr>
        <w:t>发</w:t>
      </w:r>
      <w:r>
        <w:rPr>
          <w:rFonts w:ascii="Times New Roman" w:hAnsi="Times New Roman" w:eastAsia="Times New Roman" w:cs="Times New Roman"/>
          <w:sz w:val="21"/>
          <w:szCs w:val="21"/>
        </w:rPr>
        <w:t>HIV</w:t>
      </w:r>
      <w:r>
        <w:rPr>
          <w:rFonts w:ascii="Times New Roman" w:hAnsi="Times New Roman" w:eastAsia="Times New Roman" w:cs="Times New Roman"/>
          <w:spacing w:val="11"/>
          <w:sz w:val="21"/>
          <w:szCs w:val="21"/>
        </w:rPr>
        <w:t xml:space="preserve"> </w:t>
      </w:r>
      <w:r>
        <w:rPr>
          <w:rFonts w:ascii="宋体" w:hAnsi="宋体" w:eastAsia="宋体" w:cs="宋体"/>
          <w:spacing w:val="11"/>
          <w:sz w:val="21"/>
          <w:szCs w:val="21"/>
        </w:rPr>
        <w:t>感染者130万例。</w:t>
      </w:r>
    </w:p>
    <w:p w14:paraId="3C816FF1">
      <w:pPr>
        <w:pStyle w:val="2"/>
        <w:spacing w:before="127" w:line="268" w:lineRule="auto"/>
        <w:ind w:right="646" w:firstLine="450"/>
        <w:rPr>
          <w:rFonts w:ascii="宋体" w:hAnsi="宋体" w:eastAsia="宋体" w:cs="宋体"/>
          <w:sz w:val="21"/>
          <w:szCs w:val="21"/>
        </w:rPr>
      </w:pPr>
      <w:r>
        <w:rPr>
          <w:rFonts w:ascii="宋体" w:hAnsi="宋体" w:eastAsia="宋体" w:cs="宋体"/>
          <w:spacing w:val="-2"/>
          <w:sz w:val="21"/>
          <w:szCs w:val="21"/>
        </w:rPr>
        <w:t xml:space="preserve">2. </w:t>
      </w:r>
      <w:r>
        <w:rPr>
          <w:spacing w:val="-2"/>
          <w:sz w:val="21"/>
          <w:szCs w:val="21"/>
        </w:rPr>
        <w:t>地区分布</w:t>
      </w:r>
      <w:r>
        <w:rPr>
          <w:spacing w:val="64"/>
          <w:sz w:val="21"/>
          <w:szCs w:val="21"/>
        </w:rPr>
        <w:t xml:space="preserve"> </w:t>
      </w:r>
      <w:r>
        <w:rPr>
          <w:rFonts w:ascii="宋体" w:hAnsi="宋体" w:eastAsia="宋体" w:cs="宋体"/>
          <w:spacing w:val="-2"/>
          <w:sz w:val="21"/>
          <w:szCs w:val="21"/>
        </w:rPr>
        <w:t>复杂多样的社会结构及经济动态导致HIV 感染在地理上的分布不均。联合国艾</w:t>
      </w:r>
      <w:r>
        <w:rPr>
          <w:rFonts w:ascii="宋体" w:hAnsi="宋体" w:eastAsia="宋体" w:cs="宋体"/>
          <w:sz w:val="21"/>
          <w:szCs w:val="21"/>
        </w:rPr>
        <w:t xml:space="preserve"> </w:t>
      </w:r>
      <w:r>
        <w:rPr>
          <w:rFonts w:ascii="宋体" w:hAnsi="宋体" w:eastAsia="宋体" w:cs="宋体"/>
          <w:spacing w:val="-4"/>
          <w:sz w:val="21"/>
          <w:szCs w:val="21"/>
        </w:rPr>
        <w:t>滋病规划署数据表明，非洲地区依然是</w:t>
      </w:r>
      <w:r>
        <w:rPr>
          <w:rFonts w:ascii="Times New Roman" w:hAnsi="Times New Roman" w:eastAsia="Times New Roman" w:cs="Times New Roman"/>
          <w:spacing w:val="-4"/>
          <w:sz w:val="21"/>
          <w:szCs w:val="21"/>
        </w:rPr>
        <w:t>HIV</w:t>
      </w:r>
      <w:r>
        <w:rPr>
          <w:rFonts w:ascii="宋体" w:hAnsi="宋体" w:eastAsia="宋体" w:cs="宋体"/>
          <w:spacing w:val="-4"/>
          <w:sz w:val="21"/>
          <w:szCs w:val="21"/>
        </w:rPr>
        <w:t>感染者最多的地区，其次是</w:t>
      </w:r>
      <w:r>
        <w:rPr>
          <w:rFonts w:ascii="宋体" w:hAnsi="宋体" w:eastAsia="宋体" w:cs="宋体"/>
          <w:spacing w:val="-5"/>
          <w:sz w:val="21"/>
          <w:szCs w:val="21"/>
        </w:rPr>
        <w:t>亚太地区。</w:t>
      </w:r>
    </w:p>
    <w:p w14:paraId="5465DE00">
      <w:pPr>
        <w:pStyle w:val="2"/>
        <w:spacing w:before="130" w:line="268" w:lineRule="auto"/>
        <w:ind w:right="551" w:firstLine="450"/>
        <w:rPr>
          <w:rFonts w:ascii="宋体" w:hAnsi="宋体" w:eastAsia="宋体" w:cs="宋体"/>
          <w:sz w:val="21"/>
          <w:szCs w:val="21"/>
        </w:rPr>
      </w:pPr>
      <w:r>
        <w:rPr>
          <w:rFonts w:ascii="宋体" w:hAnsi="宋体" w:eastAsia="宋体" w:cs="宋体"/>
          <w:spacing w:val="-2"/>
          <w:sz w:val="21"/>
          <w:szCs w:val="21"/>
        </w:rPr>
        <w:t xml:space="preserve">3. </w:t>
      </w:r>
      <w:r>
        <w:rPr>
          <w:spacing w:val="-2"/>
          <w:sz w:val="21"/>
          <w:szCs w:val="21"/>
        </w:rPr>
        <w:t>人群分布</w:t>
      </w:r>
      <w:r>
        <w:rPr>
          <w:spacing w:val="72"/>
          <w:sz w:val="21"/>
          <w:szCs w:val="21"/>
        </w:rPr>
        <w:t xml:space="preserve"> </w:t>
      </w:r>
      <w:r>
        <w:rPr>
          <w:rFonts w:ascii="宋体" w:hAnsi="宋体" w:eastAsia="宋体" w:cs="宋体"/>
          <w:spacing w:val="-2"/>
          <w:sz w:val="21"/>
          <w:szCs w:val="21"/>
        </w:rPr>
        <w:t>2023年全球新报告的HIV 感染病例中，女性占44%。在发</w:t>
      </w:r>
      <w:r>
        <w:rPr>
          <w:rFonts w:ascii="宋体" w:hAnsi="宋体" w:eastAsia="宋体" w:cs="宋体"/>
          <w:spacing w:val="-3"/>
          <w:sz w:val="21"/>
          <w:szCs w:val="21"/>
        </w:rPr>
        <w:t>展中国家，性别歧视、</w:t>
      </w:r>
      <w:r>
        <w:rPr>
          <w:rFonts w:ascii="宋体" w:hAnsi="宋体" w:eastAsia="宋体" w:cs="宋体"/>
          <w:sz w:val="21"/>
          <w:szCs w:val="21"/>
        </w:rPr>
        <w:t xml:space="preserve"> </w:t>
      </w:r>
      <w:r>
        <w:rPr>
          <w:rFonts w:ascii="宋体" w:hAnsi="宋体" w:eastAsia="宋体" w:cs="宋体"/>
          <w:spacing w:val="-7"/>
          <w:sz w:val="21"/>
          <w:szCs w:val="21"/>
        </w:rPr>
        <w:t>受教育程度低及生殖健康知识缺乏、贫困、暴力等因素，增加了少女和年轻女性的HIV 感染风险。</w:t>
      </w:r>
    </w:p>
    <w:p w14:paraId="1C316295">
      <w:pPr>
        <w:pStyle w:val="2"/>
        <w:spacing w:before="108" w:line="221" w:lineRule="auto"/>
        <w:ind w:left="453"/>
        <w:rPr>
          <w:sz w:val="25"/>
          <w:szCs w:val="25"/>
        </w:rPr>
      </w:pPr>
      <w:r>
        <w:rPr>
          <w:b/>
          <w:bCs/>
          <w:spacing w:val="-13"/>
          <w:sz w:val="25"/>
          <w:szCs w:val="25"/>
        </w:rPr>
        <w:t>(二)我国流行概况</w:t>
      </w:r>
    </w:p>
    <w:p w14:paraId="4144298D">
      <w:pPr>
        <w:pStyle w:val="2"/>
        <w:spacing w:before="94" w:line="299" w:lineRule="auto"/>
        <w:ind w:right="635" w:firstLine="450"/>
        <w:rPr>
          <w:rFonts w:ascii="宋体" w:hAnsi="宋体" w:eastAsia="宋体" w:cs="宋体"/>
          <w:sz w:val="21"/>
          <w:szCs w:val="21"/>
        </w:rPr>
      </w:pPr>
      <w:r>
        <w:rPr>
          <w:rFonts w:ascii="宋体" w:hAnsi="宋体" w:eastAsia="宋体" w:cs="宋体"/>
          <w:spacing w:val="4"/>
          <w:sz w:val="21"/>
          <w:szCs w:val="21"/>
        </w:rPr>
        <w:t xml:space="preserve">1. </w:t>
      </w:r>
      <w:r>
        <w:rPr>
          <w:spacing w:val="4"/>
          <w:sz w:val="21"/>
          <w:szCs w:val="21"/>
        </w:rPr>
        <w:t xml:space="preserve">流行趋势 </w:t>
      </w:r>
      <w:r>
        <w:rPr>
          <w:rFonts w:ascii="宋体" w:hAnsi="宋体" w:eastAsia="宋体" w:cs="宋体"/>
          <w:spacing w:val="4"/>
          <w:sz w:val="21"/>
          <w:szCs w:val="21"/>
        </w:rPr>
        <w:t>血清流行病学证明</w:t>
      </w:r>
      <w:r>
        <w:rPr>
          <w:rFonts w:ascii="宋体" w:hAnsi="宋体" w:eastAsia="宋体" w:cs="宋体"/>
          <w:sz w:val="21"/>
          <w:szCs w:val="21"/>
        </w:rPr>
        <w:t>HIV</w:t>
      </w:r>
      <w:r>
        <w:rPr>
          <w:rFonts w:ascii="宋体" w:hAnsi="宋体" w:eastAsia="宋体" w:cs="宋体"/>
          <w:spacing w:val="4"/>
          <w:sz w:val="21"/>
          <w:szCs w:val="21"/>
        </w:rPr>
        <w:t xml:space="preserve"> 于1982年传人我国，1989年发现</w:t>
      </w:r>
      <w:r>
        <w:rPr>
          <w:rFonts w:ascii="宋体" w:hAnsi="宋体" w:eastAsia="宋体" w:cs="宋体"/>
          <w:sz w:val="21"/>
          <w:szCs w:val="21"/>
        </w:rPr>
        <w:t>HIV</w:t>
      </w:r>
      <w:r>
        <w:rPr>
          <w:rFonts w:ascii="宋体" w:hAnsi="宋体" w:eastAsia="宋体" w:cs="宋体"/>
          <w:spacing w:val="4"/>
          <w:sz w:val="21"/>
          <w:szCs w:val="21"/>
        </w:rPr>
        <w:t xml:space="preserve"> 在吸毒人群中流</w:t>
      </w:r>
      <w:r>
        <w:rPr>
          <w:rFonts w:ascii="宋体" w:hAnsi="宋体" w:eastAsia="宋体" w:cs="宋体"/>
          <w:spacing w:val="9"/>
          <w:sz w:val="21"/>
          <w:szCs w:val="21"/>
        </w:rPr>
        <w:t xml:space="preserve"> </w:t>
      </w:r>
      <w:r>
        <w:rPr>
          <w:rFonts w:ascii="宋体" w:hAnsi="宋体" w:eastAsia="宋体" w:cs="宋体"/>
          <w:spacing w:val="-1"/>
          <w:sz w:val="21"/>
          <w:szCs w:val="21"/>
        </w:rPr>
        <w:t>行，此后</w:t>
      </w:r>
      <w:r>
        <w:rPr>
          <w:rFonts w:ascii="Times New Roman" w:hAnsi="Times New Roman" w:eastAsia="Times New Roman" w:cs="Times New Roman"/>
          <w:spacing w:val="-1"/>
          <w:sz w:val="21"/>
          <w:szCs w:val="21"/>
        </w:rPr>
        <w:t>HIV</w:t>
      </w:r>
      <w:r>
        <w:rPr>
          <w:rFonts w:ascii="Times New Roman" w:hAnsi="Times New Roman" w:eastAsia="Times New Roman" w:cs="Times New Roman"/>
          <w:spacing w:val="34"/>
          <w:sz w:val="21"/>
          <w:szCs w:val="21"/>
        </w:rPr>
        <w:t xml:space="preserve"> </w:t>
      </w:r>
      <w:r>
        <w:rPr>
          <w:rFonts w:ascii="宋体" w:hAnsi="宋体" w:eastAsia="宋体" w:cs="宋体"/>
          <w:spacing w:val="-1"/>
          <w:sz w:val="21"/>
          <w:szCs w:val="21"/>
        </w:rPr>
        <w:t>感染/</w:t>
      </w:r>
      <w:r>
        <w:rPr>
          <w:rFonts w:ascii="Times New Roman" w:hAnsi="Times New Roman" w:eastAsia="Times New Roman" w:cs="Times New Roman"/>
          <w:spacing w:val="-1"/>
          <w:sz w:val="21"/>
          <w:szCs w:val="21"/>
        </w:rPr>
        <w:t>AIDS</w:t>
      </w:r>
      <w:r>
        <w:rPr>
          <w:rFonts w:ascii="Times New Roman" w:hAnsi="Times New Roman" w:eastAsia="Times New Roman" w:cs="Times New Roman"/>
          <w:spacing w:val="-11"/>
          <w:sz w:val="21"/>
          <w:szCs w:val="21"/>
        </w:rPr>
        <w:t xml:space="preserve"> </w:t>
      </w:r>
      <w:r>
        <w:rPr>
          <w:rFonts w:ascii="宋体" w:hAnsi="宋体" w:eastAsia="宋体" w:cs="宋体"/>
          <w:spacing w:val="-1"/>
          <w:sz w:val="21"/>
          <w:szCs w:val="21"/>
        </w:rPr>
        <w:t>在我国的传播呈快速增长趋势。报告的现存活感染者和患者数量仍在增</w:t>
      </w:r>
      <w:r>
        <w:rPr>
          <w:rFonts w:ascii="宋体" w:hAnsi="宋体" w:eastAsia="宋体" w:cs="宋体"/>
          <w:sz w:val="21"/>
          <w:szCs w:val="21"/>
        </w:rPr>
        <w:t xml:space="preserve"> </w:t>
      </w:r>
      <w:r>
        <w:rPr>
          <w:rFonts w:ascii="宋体" w:hAnsi="宋体" w:eastAsia="宋体" w:cs="宋体"/>
          <w:spacing w:val="1"/>
          <w:sz w:val="21"/>
          <w:szCs w:val="21"/>
        </w:rPr>
        <w:t>加。异性性行为和同性性行为传播的</w:t>
      </w:r>
      <w:r>
        <w:rPr>
          <w:rFonts w:ascii="宋体" w:hAnsi="宋体" w:eastAsia="宋体" w:cs="宋体"/>
          <w:sz w:val="21"/>
          <w:szCs w:val="21"/>
        </w:rPr>
        <w:t>HIV</w:t>
      </w:r>
      <w:r>
        <w:rPr>
          <w:rFonts w:ascii="宋体" w:hAnsi="宋体" w:eastAsia="宋体" w:cs="宋体"/>
          <w:spacing w:val="1"/>
          <w:sz w:val="21"/>
          <w:szCs w:val="21"/>
        </w:rPr>
        <w:t xml:space="preserve"> 感染占</w:t>
      </w:r>
      <w:r>
        <w:rPr>
          <w:rFonts w:ascii="宋体" w:hAnsi="宋体" w:eastAsia="宋体" w:cs="宋体"/>
          <w:sz w:val="21"/>
          <w:szCs w:val="21"/>
        </w:rPr>
        <w:t xml:space="preserve">比逐步上升，而经吸毒传播的HIV 感染占比逐步 </w:t>
      </w:r>
      <w:r>
        <w:rPr>
          <w:rFonts w:ascii="宋体" w:hAnsi="宋体" w:eastAsia="宋体" w:cs="宋体"/>
          <w:spacing w:val="8"/>
          <w:sz w:val="21"/>
          <w:szCs w:val="21"/>
        </w:rPr>
        <w:t>下降。</w:t>
      </w:r>
    </w:p>
    <w:p w14:paraId="1B892715">
      <w:pPr>
        <w:spacing w:before="121" w:line="304" w:lineRule="auto"/>
        <w:ind w:right="637" w:firstLine="450"/>
        <w:rPr>
          <w:rFonts w:ascii="宋体" w:hAnsi="宋体" w:eastAsia="宋体" w:cs="宋体"/>
          <w:sz w:val="21"/>
          <w:szCs w:val="21"/>
        </w:rPr>
      </w:pPr>
      <w:r>
        <w:rPr>
          <w:rFonts w:ascii="宋体" w:hAnsi="宋体" w:eastAsia="宋体" w:cs="宋体"/>
          <w:spacing w:val="2"/>
          <w:sz w:val="21"/>
          <w:szCs w:val="21"/>
        </w:rPr>
        <w:t>2. 地区分布2005—2017年间，我国</w:t>
      </w:r>
      <w:r>
        <w:rPr>
          <w:rFonts w:ascii="宋体" w:hAnsi="宋体" w:eastAsia="宋体" w:cs="宋体"/>
          <w:sz w:val="21"/>
          <w:szCs w:val="21"/>
        </w:rPr>
        <w:t>HIV</w:t>
      </w:r>
      <w:r>
        <w:rPr>
          <w:rFonts w:ascii="宋体" w:hAnsi="宋体" w:eastAsia="宋体" w:cs="宋体"/>
          <w:spacing w:val="2"/>
          <w:sz w:val="21"/>
          <w:szCs w:val="21"/>
        </w:rPr>
        <w:t xml:space="preserve"> 新报告感染数总体呈上升趋势，地域分布呈西高东</w:t>
      </w:r>
      <w:r>
        <w:rPr>
          <w:rFonts w:ascii="宋体" w:hAnsi="宋体" w:eastAsia="宋体" w:cs="宋体"/>
          <w:spacing w:val="4"/>
          <w:sz w:val="21"/>
          <w:szCs w:val="21"/>
        </w:rPr>
        <w:t xml:space="preserve"> </w:t>
      </w:r>
      <w:r>
        <w:rPr>
          <w:rFonts w:ascii="宋体" w:hAnsi="宋体" w:eastAsia="宋体" w:cs="宋体"/>
          <w:spacing w:val="-5"/>
          <w:sz w:val="21"/>
          <w:szCs w:val="21"/>
        </w:rPr>
        <w:t>低、南高北低态势，部分地区呈现高低波动，高发区域主要分布在西南地区和新疆，且疫情有由南</w:t>
      </w:r>
      <w:r>
        <w:rPr>
          <w:rFonts w:ascii="宋体" w:hAnsi="宋体" w:eastAsia="宋体" w:cs="宋体"/>
          <w:spacing w:val="14"/>
          <w:sz w:val="21"/>
          <w:szCs w:val="21"/>
        </w:rPr>
        <w:t xml:space="preserve"> </w:t>
      </w:r>
      <w:r>
        <w:rPr>
          <w:rFonts w:ascii="宋体" w:hAnsi="宋体" w:eastAsia="宋体" w:cs="宋体"/>
          <w:spacing w:val="-4"/>
          <w:sz w:val="21"/>
          <w:szCs w:val="21"/>
        </w:rPr>
        <w:t>向北、自西向东扩散的趋势。2022年HIV 感染疫情评估结果显示，云南和新疆等省份近年来的HIV</w:t>
      </w:r>
      <w:r>
        <w:rPr>
          <w:rFonts w:ascii="宋体" w:hAnsi="宋体" w:eastAsia="宋体" w:cs="宋体"/>
          <w:spacing w:val="8"/>
          <w:sz w:val="21"/>
          <w:szCs w:val="21"/>
        </w:rPr>
        <w:t xml:space="preserve">  </w:t>
      </w:r>
      <w:r>
        <w:rPr>
          <w:rFonts w:ascii="宋体" w:hAnsi="宋体" w:eastAsia="宋体" w:cs="宋体"/>
          <w:spacing w:val="-5"/>
          <w:sz w:val="21"/>
          <w:szCs w:val="21"/>
        </w:rPr>
        <w:t>报告感染数稳中有降，传播风险有所遏制，但西南地区部分省份和华南地区部分省份仍存在较高传</w:t>
      </w:r>
      <w:r>
        <w:rPr>
          <w:rFonts w:ascii="宋体" w:hAnsi="宋体" w:eastAsia="宋体" w:cs="宋体"/>
          <w:spacing w:val="14"/>
          <w:sz w:val="21"/>
          <w:szCs w:val="21"/>
        </w:rPr>
        <w:t xml:space="preserve"> </w:t>
      </w:r>
      <w:r>
        <w:rPr>
          <w:rFonts w:ascii="宋体" w:hAnsi="宋体" w:eastAsia="宋体" w:cs="宋体"/>
          <w:spacing w:val="11"/>
          <w:sz w:val="21"/>
          <w:szCs w:val="21"/>
        </w:rPr>
        <w:t>播风险。</w:t>
      </w:r>
    </w:p>
    <w:p w14:paraId="1B8ABBE6">
      <w:pPr>
        <w:pStyle w:val="2"/>
        <w:spacing w:before="109" w:line="273" w:lineRule="auto"/>
        <w:ind w:right="665" w:firstLine="450"/>
        <w:rPr>
          <w:rFonts w:ascii="宋体" w:hAnsi="宋体" w:eastAsia="宋体" w:cs="宋体"/>
          <w:sz w:val="21"/>
          <w:szCs w:val="21"/>
        </w:rPr>
      </w:pPr>
      <w:r>
        <w:rPr>
          <w:rFonts w:ascii="宋体" w:hAnsi="宋体" w:eastAsia="宋体" w:cs="宋体"/>
          <w:spacing w:val="-3"/>
          <w:sz w:val="21"/>
          <w:szCs w:val="21"/>
        </w:rPr>
        <w:t xml:space="preserve">3. </w:t>
      </w:r>
      <w:r>
        <w:rPr>
          <w:spacing w:val="-3"/>
          <w:sz w:val="21"/>
          <w:szCs w:val="21"/>
        </w:rPr>
        <w:t>人群分布</w:t>
      </w:r>
      <w:r>
        <w:rPr>
          <w:spacing w:val="63"/>
          <w:sz w:val="21"/>
          <w:szCs w:val="21"/>
        </w:rPr>
        <w:t xml:space="preserve"> </w:t>
      </w:r>
      <w:r>
        <w:rPr>
          <w:rFonts w:ascii="宋体" w:hAnsi="宋体" w:eastAsia="宋体" w:cs="宋体"/>
          <w:spacing w:val="-3"/>
          <w:sz w:val="21"/>
          <w:szCs w:val="21"/>
        </w:rPr>
        <w:t>国家哨点监测结果显示，H</w:t>
      </w:r>
      <w:r>
        <w:rPr>
          <w:rFonts w:ascii="宋体" w:hAnsi="宋体" w:eastAsia="宋体" w:cs="宋体"/>
          <w:spacing w:val="-4"/>
          <w:sz w:val="21"/>
          <w:szCs w:val="21"/>
        </w:rPr>
        <w:t>IV 感染率在一般人群中较低；而在MSM</w:t>
      </w:r>
      <w:r>
        <w:rPr>
          <w:rFonts w:ascii="宋体" w:hAnsi="宋体" w:eastAsia="宋体" w:cs="宋体"/>
          <w:spacing w:val="61"/>
          <w:sz w:val="21"/>
          <w:szCs w:val="21"/>
        </w:rPr>
        <w:t xml:space="preserve"> </w:t>
      </w:r>
      <w:r>
        <w:rPr>
          <w:rFonts w:ascii="宋体" w:hAnsi="宋体" w:eastAsia="宋体" w:cs="宋体"/>
          <w:spacing w:val="-4"/>
          <w:sz w:val="21"/>
          <w:szCs w:val="21"/>
        </w:rPr>
        <w:t>中的HIV 感</w:t>
      </w:r>
      <w:r>
        <w:rPr>
          <w:rFonts w:ascii="宋体" w:hAnsi="宋体" w:eastAsia="宋体" w:cs="宋体"/>
          <w:sz w:val="21"/>
          <w:szCs w:val="21"/>
        </w:rPr>
        <w:t xml:space="preserve"> </w:t>
      </w:r>
      <w:r>
        <w:rPr>
          <w:rFonts w:ascii="宋体" w:hAnsi="宋体" w:eastAsia="宋体" w:cs="宋体"/>
          <w:spacing w:val="1"/>
          <w:sz w:val="21"/>
          <w:szCs w:val="21"/>
        </w:rPr>
        <w:t>染风险显著高于其他群体，部分地区50岁以上的</w:t>
      </w:r>
      <w:r>
        <w:rPr>
          <w:rFonts w:ascii="宋体" w:hAnsi="宋体" w:eastAsia="宋体" w:cs="宋体"/>
          <w:sz w:val="21"/>
          <w:szCs w:val="21"/>
        </w:rPr>
        <w:t>MSM</w:t>
      </w:r>
      <w:r>
        <w:rPr>
          <w:rFonts w:ascii="宋体" w:hAnsi="宋体" w:eastAsia="宋体" w:cs="宋体"/>
          <w:spacing w:val="68"/>
          <w:sz w:val="21"/>
          <w:szCs w:val="21"/>
        </w:rPr>
        <w:t xml:space="preserve"> </w:t>
      </w:r>
      <w:r>
        <w:rPr>
          <w:rFonts w:ascii="宋体" w:hAnsi="宋体" w:eastAsia="宋体" w:cs="宋体"/>
          <w:spacing w:val="1"/>
          <w:sz w:val="21"/>
          <w:szCs w:val="21"/>
        </w:rPr>
        <w:t>中</w:t>
      </w:r>
      <w:r>
        <w:rPr>
          <w:rFonts w:ascii="宋体" w:hAnsi="宋体" w:eastAsia="宋体" w:cs="宋体"/>
          <w:spacing w:val="-57"/>
          <w:sz w:val="21"/>
          <w:szCs w:val="21"/>
        </w:rPr>
        <w:t xml:space="preserve"> </w:t>
      </w:r>
      <w:r>
        <w:rPr>
          <w:rFonts w:ascii="宋体" w:hAnsi="宋体" w:eastAsia="宋体" w:cs="宋体"/>
          <w:sz w:val="21"/>
          <w:szCs w:val="21"/>
        </w:rPr>
        <w:t>HIV</w:t>
      </w:r>
      <w:r>
        <w:rPr>
          <w:rFonts w:ascii="宋体" w:hAnsi="宋体" w:eastAsia="宋体" w:cs="宋体"/>
          <w:spacing w:val="-27"/>
          <w:sz w:val="21"/>
          <w:szCs w:val="21"/>
        </w:rPr>
        <w:t xml:space="preserve"> </w:t>
      </w:r>
      <w:r>
        <w:rPr>
          <w:rFonts w:ascii="宋体" w:hAnsi="宋体" w:eastAsia="宋体" w:cs="宋体"/>
          <w:spacing w:val="1"/>
          <w:sz w:val="21"/>
          <w:szCs w:val="21"/>
        </w:rPr>
        <w:t>感染率高达19.3%。</w:t>
      </w:r>
    </w:p>
    <w:p w14:paraId="111A0950">
      <w:pPr>
        <w:pStyle w:val="2"/>
        <w:spacing w:before="296" w:line="221" w:lineRule="auto"/>
        <w:ind w:left="453"/>
        <w:outlineLvl w:val="4"/>
        <w:rPr>
          <w:sz w:val="25"/>
          <w:szCs w:val="25"/>
        </w:rPr>
      </w:pPr>
      <w:bookmarkStart w:id="554" w:name="bookmark344"/>
      <w:bookmarkEnd w:id="554"/>
      <w:r>
        <w:rPr>
          <w:b/>
          <w:bCs/>
          <w:spacing w:val="-6"/>
          <w:sz w:val="25"/>
          <w:szCs w:val="25"/>
        </w:rPr>
        <w:t>三</w:t>
      </w:r>
      <w:r>
        <w:rPr>
          <w:spacing w:val="-32"/>
          <w:sz w:val="25"/>
          <w:szCs w:val="25"/>
        </w:rPr>
        <w:t xml:space="preserve"> </w:t>
      </w:r>
      <w:r>
        <w:rPr>
          <w:b/>
          <w:bCs/>
          <w:spacing w:val="-6"/>
          <w:sz w:val="25"/>
          <w:szCs w:val="25"/>
        </w:rPr>
        <w:t>、预防策略与措施</w:t>
      </w:r>
    </w:p>
    <w:p w14:paraId="76340D7F">
      <w:pPr>
        <w:spacing w:before="269" w:line="317" w:lineRule="auto"/>
        <w:ind w:right="627" w:firstLine="450"/>
        <w:jc w:val="both"/>
        <w:rPr>
          <w:rFonts w:ascii="宋体" w:hAnsi="宋体" w:eastAsia="宋体" w:cs="宋体"/>
          <w:sz w:val="21"/>
          <w:szCs w:val="21"/>
        </w:rPr>
      </w:pPr>
      <w:r>
        <w:rPr>
          <w:rFonts w:ascii="宋体" w:hAnsi="宋体" w:eastAsia="宋体" w:cs="宋体"/>
          <w:spacing w:val="10"/>
          <w:sz w:val="21"/>
          <w:szCs w:val="21"/>
        </w:rPr>
        <w:t>联合国于2021年6月8日发表了“到2030年终结</w:t>
      </w:r>
      <w:r>
        <w:rPr>
          <w:rFonts w:ascii="宋体" w:hAnsi="宋体" w:eastAsia="宋体" w:cs="宋体"/>
          <w:sz w:val="21"/>
          <w:szCs w:val="21"/>
        </w:rPr>
        <w:t>AIDS</w:t>
      </w:r>
      <w:r>
        <w:rPr>
          <w:rFonts w:ascii="宋体" w:hAnsi="宋体" w:eastAsia="宋体" w:cs="宋体"/>
          <w:spacing w:val="10"/>
          <w:sz w:val="21"/>
          <w:szCs w:val="21"/>
        </w:rPr>
        <w:t xml:space="preserve"> 流行的政治宣言”,承诺实现</w:t>
      </w:r>
      <w:r>
        <w:rPr>
          <w:rFonts w:ascii="宋体" w:hAnsi="宋体" w:eastAsia="宋体" w:cs="宋体"/>
          <w:spacing w:val="9"/>
          <w:sz w:val="21"/>
          <w:szCs w:val="21"/>
        </w:rPr>
        <w:t>“三个</w:t>
      </w:r>
      <w:r>
        <w:rPr>
          <w:rFonts w:ascii="宋体" w:hAnsi="宋体" w:eastAsia="宋体" w:cs="宋体"/>
          <w:sz w:val="21"/>
          <w:szCs w:val="21"/>
        </w:rPr>
        <w:t xml:space="preserve"> </w:t>
      </w:r>
      <w:r>
        <w:rPr>
          <w:rFonts w:ascii="宋体" w:hAnsi="宋体" w:eastAsia="宋体" w:cs="宋体"/>
          <w:spacing w:val="3"/>
          <w:sz w:val="21"/>
          <w:szCs w:val="21"/>
        </w:rPr>
        <w:t>95%”目标，即95%的</w:t>
      </w:r>
      <w:r>
        <w:rPr>
          <w:rFonts w:ascii="Times New Roman" w:hAnsi="Times New Roman" w:eastAsia="Times New Roman" w:cs="Times New Roman"/>
          <w:sz w:val="21"/>
          <w:szCs w:val="21"/>
        </w:rPr>
        <w:t>HIV</w:t>
      </w:r>
      <w:r>
        <w:rPr>
          <w:rFonts w:ascii="Times New Roman" w:hAnsi="Times New Roman" w:eastAsia="Times New Roman" w:cs="Times New Roman"/>
          <w:spacing w:val="3"/>
          <w:sz w:val="21"/>
          <w:szCs w:val="21"/>
        </w:rPr>
        <w:t xml:space="preserve"> </w:t>
      </w:r>
      <w:r>
        <w:rPr>
          <w:rFonts w:ascii="宋体" w:hAnsi="宋体" w:eastAsia="宋体" w:cs="宋体"/>
          <w:spacing w:val="3"/>
          <w:sz w:val="21"/>
          <w:szCs w:val="21"/>
        </w:rPr>
        <w:t>感染者确诊，95%的确诊者获得抗病毒治疗</w:t>
      </w:r>
      <w:r>
        <w:rPr>
          <w:rFonts w:ascii="Times New Roman" w:hAnsi="Times New Roman" w:eastAsia="Times New Roman" w:cs="Times New Roman"/>
          <w:spacing w:val="3"/>
          <w:sz w:val="21"/>
          <w:szCs w:val="21"/>
        </w:rPr>
        <w:t>(</w:t>
      </w:r>
      <w:r>
        <w:rPr>
          <w:rFonts w:ascii="Times New Roman" w:hAnsi="Times New Roman" w:eastAsia="Times New Roman" w:cs="Times New Roman"/>
          <w:sz w:val="21"/>
          <w:szCs w:val="21"/>
        </w:rPr>
        <w:t>antiretroviral</w:t>
      </w:r>
      <w:r>
        <w:rPr>
          <w:rFonts w:ascii="Times New Roman" w:hAnsi="Times New Roman" w:eastAsia="Times New Roman" w:cs="Times New Roman"/>
          <w:spacing w:val="3"/>
          <w:sz w:val="21"/>
          <w:szCs w:val="21"/>
        </w:rPr>
        <w:t xml:space="preserve">  </w:t>
      </w:r>
      <w:r>
        <w:rPr>
          <w:rFonts w:ascii="Times New Roman" w:hAnsi="Times New Roman" w:eastAsia="Times New Roman" w:cs="Times New Roman"/>
          <w:sz w:val="21"/>
          <w:szCs w:val="21"/>
        </w:rPr>
        <w:t>therapy</w:t>
      </w:r>
      <w:r>
        <w:rPr>
          <w:rFonts w:ascii="Times New Roman" w:hAnsi="Times New Roman" w:eastAsia="Times New Roman" w:cs="Times New Roman"/>
          <w:spacing w:val="3"/>
          <w:sz w:val="21"/>
          <w:szCs w:val="21"/>
        </w:rPr>
        <w:t>,</w:t>
      </w:r>
      <w:r>
        <w:rPr>
          <w:rFonts w:ascii="Times New Roman" w:hAnsi="Times New Roman" w:eastAsia="Times New Roman" w:cs="Times New Roman"/>
          <w:sz w:val="21"/>
          <w:szCs w:val="21"/>
        </w:rPr>
        <w:t>ART</w:t>
      </w:r>
      <w:r>
        <w:rPr>
          <w:rFonts w:ascii="Times New Roman" w:hAnsi="Times New Roman" w:eastAsia="Times New Roman" w:cs="Times New Roman"/>
          <w:spacing w:val="3"/>
          <w:sz w:val="21"/>
          <w:szCs w:val="21"/>
        </w:rPr>
        <w:t>),</w:t>
      </w:r>
      <w:r>
        <w:rPr>
          <w:rFonts w:ascii="Times New Roman" w:hAnsi="Times New Roman" w:eastAsia="Times New Roman" w:cs="Times New Roman"/>
          <w:spacing w:val="16"/>
          <w:sz w:val="21"/>
          <w:szCs w:val="21"/>
        </w:rPr>
        <w:t xml:space="preserve"> </w:t>
      </w:r>
      <w:r>
        <w:rPr>
          <w:rFonts w:ascii="宋体" w:hAnsi="宋体" w:eastAsia="宋体" w:cs="宋体"/>
          <w:spacing w:val="5"/>
          <w:sz w:val="21"/>
          <w:szCs w:val="21"/>
        </w:rPr>
        <w:t>以及95%的接受治疗者体内病毒得到抑制，最终实现到2030年终结</w:t>
      </w:r>
      <w:r>
        <w:rPr>
          <w:rFonts w:ascii="Times New Roman" w:hAnsi="Times New Roman" w:eastAsia="Times New Roman" w:cs="Times New Roman"/>
          <w:sz w:val="21"/>
          <w:szCs w:val="21"/>
        </w:rPr>
        <w:t>AIDS</w:t>
      </w:r>
      <w:r>
        <w:rPr>
          <w:rFonts w:ascii="宋体" w:hAnsi="宋体" w:eastAsia="宋体" w:cs="宋体"/>
          <w:spacing w:val="5"/>
          <w:sz w:val="21"/>
          <w:szCs w:val="21"/>
        </w:rPr>
        <w:t>流行的目标。截至2023</w:t>
      </w:r>
      <w:r>
        <w:rPr>
          <w:rFonts w:ascii="宋体" w:hAnsi="宋体" w:eastAsia="宋体" w:cs="宋体"/>
          <w:spacing w:val="17"/>
          <w:sz w:val="21"/>
          <w:szCs w:val="21"/>
        </w:rPr>
        <w:t xml:space="preserve"> </w:t>
      </w:r>
      <w:r>
        <w:rPr>
          <w:rFonts w:ascii="宋体" w:hAnsi="宋体" w:eastAsia="宋体" w:cs="宋体"/>
          <w:spacing w:val="1"/>
          <w:sz w:val="21"/>
          <w:szCs w:val="21"/>
        </w:rPr>
        <w:t>年底，有超过3070万名</w:t>
      </w:r>
      <w:r>
        <w:rPr>
          <w:rFonts w:ascii="宋体" w:hAnsi="宋体" w:eastAsia="宋体" w:cs="宋体"/>
          <w:sz w:val="21"/>
          <w:szCs w:val="21"/>
        </w:rPr>
        <w:t>HIV</w:t>
      </w:r>
      <w:r>
        <w:rPr>
          <w:rFonts w:ascii="宋体" w:hAnsi="宋体" w:eastAsia="宋体" w:cs="宋体"/>
          <w:spacing w:val="1"/>
          <w:sz w:val="21"/>
          <w:szCs w:val="21"/>
        </w:rPr>
        <w:t xml:space="preserve"> 感染者接受抗</w:t>
      </w:r>
      <w:r>
        <w:rPr>
          <w:rFonts w:ascii="宋体" w:hAnsi="宋体" w:eastAsia="宋体" w:cs="宋体"/>
          <w:sz w:val="21"/>
          <w:szCs w:val="21"/>
        </w:rPr>
        <w:t xml:space="preserve">逆转录病毒治疗，新发HIV 感染和死亡率下降，很多国 </w:t>
      </w:r>
      <w:r>
        <w:rPr>
          <w:rFonts w:ascii="宋体" w:hAnsi="宋体" w:eastAsia="宋体" w:cs="宋体"/>
          <w:spacing w:val="-4"/>
          <w:sz w:val="21"/>
          <w:szCs w:val="21"/>
        </w:rPr>
        <w:t>家在消除母婴传播方面取得明显效果，</w:t>
      </w:r>
      <w:r>
        <w:rPr>
          <w:rFonts w:ascii="Times New Roman" w:hAnsi="Times New Roman" w:eastAsia="Times New Roman" w:cs="Times New Roman"/>
          <w:spacing w:val="-4"/>
          <w:sz w:val="21"/>
          <w:szCs w:val="21"/>
        </w:rPr>
        <w:t>HIV</w:t>
      </w:r>
      <w:r>
        <w:rPr>
          <w:rFonts w:ascii="Times New Roman" w:hAnsi="Times New Roman" w:eastAsia="Times New Roman" w:cs="Times New Roman"/>
          <w:spacing w:val="-23"/>
          <w:sz w:val="21"/>
          <w:szCs w:val="21"/>
        </w:rPr>
        <w:t xml:space="preserve"> </w:t>
      </w:r>
      <w:r>
        <w:rPr>
          <w:rFonts w:ascii="宋体" w:hAnsi="宋体" w:eastAsia="宋体" w:cs="宋体"/>
          <w:spacing w:val="-4"/>
          <w:sz w:val="21"/>
          <w:szCs w:val="21"/>
        </w:rPr>
        <w:t>应对措施已嵌入更广泛的卫生政策和发展计划。</w:t>
      </w:r>
    </w:p>
    <w:p w14:paraId="34A71848">
      <w:pPr>
        <w:pStyle w:val="2"/>
        <w:spacing w:before="58" w:line="221" w:lineRule="auto"/>
        <w:ind w:left="453"/>
        <w:rPr>
          <w:sz w:val="21"/>
          <w:szCs w:val="21"/>
        </w:rPr>
      </w:pPr>
      <w:r>
        <w:rPr>
          <w:b/>
          <w:bCs/>
          <w:spacing w:val="18"/>
          <w:sz w:val="21"/>
          <w:szCs w:val="21"/>
        </w:rPr>
        <w:t>(</w:t>
      </w:r>
      <w:r>
        <w:rPr>
          <w:spacing w:val="-57"/>
          <w:sz w:val="21"/>
          <w:szCs w:val="21"/>
        </w:rPr>
        <w:t xml:space="preserve"> </w:t>
      </w:r>
      <w:r>
        <w:rPr>
          <w:b/>
          <w:bCs/>
          <w:spacing w:val="18"/>
          <w:sz w:val="21"/>
          <w:szCs w:val="21"/>
        </w:rPr>
        <w:t>一)针对传染源</w:t>
      </w:r>
    </w:p>
    <w:p w14:paraId="1AA0B964">
      <w:pPr>
        <w:spacing w:before="86" w:line="315" w:lineRule="auto"/>
        <w:ind w:right="646" w:firstLine="450"/>
        <w:jc w:val="both"/>
        <w:rPr>
          <w:rFonts w:ascii="宋体" w:hAnsi="宋体" w:eastAsia="宋体" w:cs="宋体"/>
          <w:sz w:val="21"/>
          <w:szCs w:val="21"/>
        </w:rPr>
      </w:pPr>
      <w:r>
        <w:rPr>
          <w:rFonts w:ascii="Times New Roman" w:hAnsi="Times New Roman" w:eastAsia="Times New Roman" w:cs="Times New Roman"/>
          <w:spacing w:val="-1"/>
          <w:sz w:val="21"/>
          <w:szCs w:val="21"/>
        </w:rPr>
        <w:t xml:space="preserve">HIV </w:t>
      </w:r>
      <w:r>
        <w:rPr>
          <w:rFonts w:ascii="宋体" w:hAnsi="宋体" w:eastAsia="宋体" w:cs="宋体"/>
          <w:spacing w:val="-1"/>
          <w:sz w:val="21"/>
          <w:szCs w:val="21"/>
        </w:rPr>
        <w:t>感染/</w:t>
      </w:r>
      <w:r>
        <w:rPr>
          <w:rFonts w:ascii="Times New Roman" w:hAnsi="Times New Roman" w:eastAsia="Times New Roman" w:cs="Times New Roman"/>
          <w:spacing w:val="-1"/>
          <w:sz w:val="21"/>
          <w:szCs w:val="21"/>
        </w:rPr>
        <w:t>AIDS</w:t>
      </w:r>
      <w:r>
        <w:rPr>
          <w:rFonts w:ascii="Times New Roman" w:hAnsi="Times New Roman" w:eastAsia="Times New Roman" w:cs="Times New Roman"/>
          <w:spacing w:val="-11"/>
          <w:sz w:val="21"/>
          <w:szCs w:val="21"/>
        </w:rPr>
        <w:t xml:space="preserve"> </w:t>
      </w:r>
      <w:r>
        <w:rPr>
          <w:rFonts w:ascii="宋体" w:hAnsi="宋体" w:eastAsia="宋体" w:cs="宋体"/>
          <w:spacing w:val="-1"/>
          <w:sz w:val="21"/>
          <w:szCs w:val="21"/>
        </w:rPr>
        <w:t>防治的关键策略是及时检测和治疗。我国近年来采取了多种措施扩大</w:t>
      </w:r>
      <w:r>
        <w:rPr>
          <w:rFonts w:ascii="Times New Roman" w:hAnsi="Times New Roman" w:eastAsia="Times New Roman" w:cs="Times New Roman"/>
          <w:spacing w:val="-1"/>
          <w:sz w:val="21"/>
          <w:szCs w:val="21"/>
        </w:rPr>
        <w:t>HIV</w:t>
      </w:r>
      <w:r>
        <w:rPr>
          <w:rFonts w:ascii="Times New Roman" w:hAnsi="Times New Roman" w:eastAsia="Times New Roman" w:cs="Times New Roman"/>
          <w:spacing w:val="-2"/>
          <w:sz w:val="21"/>
          <w:szCs w:val="21"/>
        </w:rPr>
        <w:t xml:space="preserve"> </w:t>
      </w:r>
      <w:r>
        <w:rPr>
          <w:rFonts w:ascii="宋体" w:hAnsi="宋体" w:eastAsia="宋体" w:cs="宋体"/>
          <w:spacing w:val="-2"/>
          <w:sz w:val="21"/>
          <w:szCs w:val="21"/>
        </w:rPr>
        <w:t>检</w:t>
      </w:r>
      <w:r>
        <w:rPr>
          <w:rFonts w:ascii="宋体" w:hAnsi="宋体" w:eastAsia="宋体" w:cs="宋体"/>
          <w:sz w:val="21"/>
          <w:szCs w:val="21"/>
        </w:rPr>
        <w:t xml:space="preserve"> </w:t>
      </w:r>
      <w:r>
        <w:rPr>
          <w:rFonts w:ascii="宋体" w:hAnsi="宋体" w:eastAsia="宋体" w:cs="宋体"/>
          <w:spacing w:val="-12"/>
          <w:sz w:val="21"/>
          <w:szCs w:val="21"/>
        </w:rPr>
        <w:t>测，包括提供免费的自愿咨询和检测(voluntary counseling and testing,VCT</w:t>
      </w:r>
      <w:r>
        <w:rPr>
          <w:rFonts w:ascii="宋体" w:hAnsi="宋体" w:eastAsia="宋体" w:cs="宋体"/>
          <w:spacing w:val="-13"/>
          <w:sz w:val="21"/>
          <w:szCs w:val="21"/>
        </w:rPr>
        <w:t>)、医务人员主动提供HIV</w:t>
      </w:r>
      <w:r>
        <w:rPr>
          <w:rFonts w:ascii="宋体" w:hAnsi="宋体" w:eastAsia="宋体" w:cs="宋体"/>
          <w:sz w:val="21"/>
          <w:szCs w:val="21"/>
        </w:rPr>
        <w:t xml:space="preserve"> </w:t>
      </w:r>
      <w:r>
        <w:rPr>
          <w:rFonts w:ascii="宋体" w:hAnsi="宋体" w:eastAsia="宋体" w:cs="宋体"/>
          <w:spacing w:val="-2"/>
          <w:sz w:val="21"/>
          <w:szCs w:val="21"/>
        </w:rPr>
        <w:t>检测咨询</w:t>
      </w:r>
      <w:r>
        <w:rPr>
          <w:rFonts w:ascii="Times New Roman" w:hAnsi="Times New Roman" w:eastAsia="Times New Roman" w:cs="Times New Roman"/>
          <w:spacing w:val="-2"/>
          <w:sz w:val="21"/>
          <w:szCs w:val="21"/>
        </w:rPr>
        <w:t>(provider-initiated</w:t>
      </w:r>
      <w:r>
        <w:rPr>
          <w:rFonts w:ascii="Times New Roman" w:hAnsi="Times New Roman" w:eastAsia="Times New Roman" w:cs="Times New Roman"/>
          <w:spacing w:val="24"/>
          <w:w w:val="101"/>
          <w:sz w:val="21"/>
          <w:szCs w:val="21"/>
        </w:rPr>
        <w:t xml:space="preserve"> </w:t>
      </w:r>
      <w:r>
        <w:rPr>
          <w:rFonts w:ascii="Times New Roman" w:hAnsi="Times New Roman" w:eastAsia="Times New Roman" w:cs="Times New Roman"/>
          <w:spacing w:val="-2"/>
          <w:sz w:val="21"/>
          <w:szCs w:val="21"/>
        </w:rPr>
        <w:t>HIV</w:t>
      </w:r>
      <w:r>
        <w:rPr>
          <w:rFonts w:ascii="Times New Roman" w:hAnsi="Times New Roman" w:eastAsia="Times New Roman" w:cs="Times New Roman"/>
          <w:spacing w:val="23"/>
          <w:sz w:val="21"/>
          <w:szCs w:val="21"/>
        </w:rPr>
        <w:t xml:space="preserve"> </w:t>
      </w:r>
      <w:r>
        <w:rPr>
          <w:rFonts w:ascii="Times New Roman" w:hAnsi="Times New Roman" w:eastAsia="Times New Roman" w:cs="Times New Roman"/>
          <w:spacing w:val="-2"/>
          <w:sz w:val="21"/>
          <w:szCs w:val="21"/>
        </w:rPr>
        <w:t>testing</w:t>
      </w:r>
      <w:r>
        <w:rPr>
          <w:rFonts w:ascii="Times New Roman" w:hAnsi="Times New Roman" w:eastAsia="Times New Roman" w:cs="Times New Roman"/>
          <w:spacing w:val="29"/>
          <w:sz w:val="21"/>
          <w:szCs w:val="21"/>
        </w:rPr>
        <w:t xml:space="preserve"> </w:t>
      </w:r>
      <w:r>
        <w:rPr>
          <w:rFonts w:ascii="Times New Roman" w:hAnsi="Times New Roman" w:eastAsia="Times New Roman" w:cs="Times New Roman"/>
          <w:spacing w:val="-2"/>
          <w:sz w:val="21"/>
          <w:szCs w:val="21"/>
        </w:rPr>
        <w:t>and</w:t>
      </w:r>
      <w:r>
        <w:rPr>
          <w:rFonts w:ascii="Times New Roman" w:hAnsi="Times New Roman" w:eastAsia="Times New Roman" w:cs="Times New Roman"/>
          <w:spacing w:val="28"/>
          <w:sz w:val="21"/>
          <w:szCs w:val="21"/>
        </w:rPr>
        <w:t xml:space="preserve"> </w:t>
      </w:r>
      <w:r>
        <w:rPr>
          <w:rFonts w:ascii="Times New Roman" w:hAnsi="Times New Roman" w:eastAsia="Times New Roman" w:cs="Times New Roman"/>
          <w:spacing w:val="-2"/>
          <w:sz w:val="21"/>
          <w:szCs w:val="21"/>
        </w:rPr>
        <w:t>counseling,P</w:t>
      </w:r>
      <w:r>
        <w:rPr>
          <w:rFonts w:ascii="Times New Roman" w:hAnsi="Times New Roman" w:eastAsia="Times New Roman" w:cs="Times New Roman"/>
          <w:spacing w:val="-3"/>
          <w:sz w:val="21"/>
          <w:szCs w:val="21"/>
        </w:rPr>
        <w:t>ITC)</w:t>
      </w:r>
      <w:r>
        <w:rPr>
          <w:rFonts w:ascii="宋体" w:hAnsi="宋体" w:eastAsia="宋体" w:cs="宋体"/>
          <w:spacing w:val="-3"/>
          <w:sz w:val="21"/>
          <w:szCs w:val="21"/>
        </w:rPr>
        <w:t>、公安和司法部门对被监管人员实施全</w:t>
      </w:r>
      <w:r>
        <w:rPr>
          <w:rFonts w:ascii="宋体" w:hAnsi="宋体" w:eastAsia="宋体" w:cs="宋体"/>
          <w:sz w:val="21"/>
          <w:szCs w:val="21"/>
        </w:rPr>
        <w:t xml:space="preserve"> </w:t>
      </w:r>
      <w:r>
        <w:rPr>
          <w:rFonts w:ascii="宋体" w:hAnsi="宋体" w:eastAsia="宋体" w:cs="宋体"/>
          <w:spacing w:val="-4"/>
          <w:sz w:val="21"/>
          <w:szCs w:val="21"/>
        </w:rPr>
        <w:t>员检测等。然而，</w:t>
      </w:r>
      <w:r>
        <w:rPr>
          <w:rFonts w:ascii="Times New Roman" w:hAnsi="Times New Roman" w:eastAsia="Times New Roman" w:cs="Times New Roman"/>
          <w:spacing w:val="-4"/>
          <w:sz w:val="21"/>
          <w:szCs w:val="21"/>
        </w:rPr>
        <w:t>HIV</w:t>
      </w:r>
      <w:r>
        <w:rPr>
          <w:rFonts w:ascii="Times New Roman" w:hAnsi="Times New Roman" w:eastAsia="Times New Roman" w:cs="Times New Roman"/>
          <w:spacing w:val="-13"/>
          <w:sz w:val="21"/>
          <w:szCs w:val="21"/>
        </w:rPr>
        <w:t xml:space="preserve"> </w:t>
      </w:r>
      <w:r>
        <w:rPr>
          <w:rFonts w:ascii="宋体" w:hAnsi="宋体" w:eastAsia="宋体" w:cs="宋体"/>
          <w:spacing w:val="-4"/>
          <w:sz w:val="21"/>
          <w:szCs w:val="21"/>
        </w:rPr>
        <w:t>感染晚发现比例并未显著下降，</w:t>
      </w:r>
      <w:r>
        <w:rPr>
          <w:rFonts w:ascii="宋体" w:hAnsi="宋体" w:eastAsia="宋体" w:cs="宋体"/>
          <w:spacing w:val="-5"/>
          <w:sz w:val="21"/>
          <w:szCs w:val="21"/>
        </w:rPr>
        <w:t>未被诊断和治疗的感染者仍对我国公共卫生</w:t>
      </w:r>
      <w:r>
        <w:rPr>
          <w:rFonts w:ascii="宋体" w:hAnsi="宋体" w:eastAsia="宋体" w:cs="宋体"/>
          <w:sz w:val="21"/>
          <w:szCs w:val="21"/>
        </w:rPr>
        <w:t xml:space="preserve"> </w:t>
      </w:r>
      <w:r>
        <w:rPr>
          <w:rFonts w:ascii="宋体" w:hAnsi="宋体" w:eastAsia="宋体" w:cs="宋体"/>
          <w:spacing w:val="1"/>
          <w:sz w:val="21"/>
          <w:szCs w:val="21"/>
        </w:rPr>
        <w:t>构成重大挑战。</w:t>
      </w:r>
      <w:r>
        <w:rPr>
          <w:rFonts w:ascii="Times New Roman" w:hAnsi="Times New Roman" w:eastAsia="Times New Roman" w:cs="Times New Roman"/>
          <w:sz w:val="21"/>
          <w:szCs w:val="21"/>
        </w:rPr>
        <w:t>HIV</w:t>
      </w:r>
      <w:r>
        <w:rPr>
          <w:rFonts w:ascii="宋体" w:hAnsi="宋体" w:eastAsia="宋体" w:cs="宋体"/>
          <w:spacing w:val="1"/>
          <w:sz w:val="21"/>
          <w:szCs w:val="21"/>
        </w:rPr>
        <w:t>自我检测(自检)是提高</w:t>
      </w:r>
      <w:r>
        <w:rPr>
          <w:rFonts w:ascii="Times New Roman" w:hAnsi="Times New Roman" w:eastAsia="Times New Roman" w:cs="Times New Roman"/>
          <w:sz w:val="21"/>
          <w:szCs w:val="21"/>
        </w:rPr>
        <w:t>HIV</w:t>
      </w:r>
      <w:r>
        <w:rPr>
          <w:rFonts w:ascii="Times New Roman" w:hAnsi="Times New Roman" w:eastAsia="Times New Roman" w:cs="Times New Roman"/>
          <w:spacing w:val="1"/>
          <w:sz w:val="21"/>
          <w:szCs w:val="21"/>
        </w:rPr>
        <w:t xml:space="preserve"> </w:t>
      </w:r>
      <w:r>
        <w:rPr>
          <w:rFonts w:ascii="宋体" w:hAnsi="宋体" w:eastAsia="宋体" w:cs="宋体"/>
          <w:spacing w:val="1"/>
          <w:sz w:val="21"/>
          <w:szCs w:val="21"/>
        </w:rPr>
        <w:t>检测率的关键措施之一，是非医学专业的个人或</w:t>
      </w:r>
      <w:r>
        <w:rPr>
          <w:rFonts w:ascii="宋体" w:hAnsi="宋体" w:eastAsia="宋体" w:cs="宋体"/>
          <w:sz w:val="21"/>
          <w:szCs w:val="21"/>
        </w:rPr>
        <w:t xml:space="preserve"> </w:t>
      </w:r>
      <w:r>
        <w:rPr>
          <w:rFonts w:ascii="宋体" w:hAnsi="宋体" w:eastAsia="宋体" w:cs="宋体"/>
          <w:spacing w:val="-2"/>
          <w:sz w:val="21"/>
          <w:szCs w:val="21"/>
        </w:rPr>
        <w:t>团体在私密环境中，单独或与其他人一起采集样本(口腔黏膜渗</w:t>
      </w:r>
      <w:r>
        <w:rPr>
          <w:rFonts w:ascii="宋体" w:hAnsi="宋体" w:eastAsia="宋体" w:cs="宋体"/>
          <w:spacing w:val="-3"/>
          <w:sz w:val="21"/>
          <w:szCs w:val="21"/>
        </w:rPr>
        <w:t>出液或血液),进行</w:t>
      </w:r>
      <w:r>
        <w:rPr>
          <w:rFonts w:ascii="Times New Roman" w:hAnsi="Times New Roman" w:eastAsia="Times New Roman" w:cs="Times New Roman"/>
          <w:spacing w:val="-3"/>
          <w:sz w:val="21"/>
          <w:szCs w:val="21"/>
        </w:rPr>
        <w:t>HIV</w:t>
      </w:r>
      <w:r>
        <w:rPr>
          <w:rFonts w:ascii="Times New Roman" w:hAnsi="Times New Roman" w:eastAsia="Times New Roman" w:cs="Times New Roman"/>
          <w:spacing w:val="-12"/>
          <w:sz w:val="21"/>
          <w:szCs w:val="21"/>
        </w:rPr>
        <w:t xml:space="preserve"> </w:t>
      </w:r>
      <w:r>
        <w:rPr>
          <w:rFonts w:ascii="宋体" w:hAnsi="宋体" w:eastAsia="宋体" w:cs="宋体"/>
          <w:spacing w:val="-3"/>
          <w:sz w:val="21"/>
          <w:szCs w:val="21"/>
        </w:rPr>
        <w:t>检测并读取</w:t>
      </w:r>
    </w:p>
    <w:p w14:paraId="572DAA5A">
      <w:pPr>
        <w:spacing w:line="315" w:lineRule="auto"/>
        <w:rPr>
          <w:rFonts w:ascii="宋体" w:hAnsi="宋体" w:eastAsia="宋体" w:cs="宋体"/>
          <w:sz w:val="21"/>
          <w:szCs w:val="21"/>
        </w:rPr>
        <w:sectPr>
          <w:footerReference r:id="rId354" w:type="default"/>
          <w:pgSz w:w="11900" w:h="16820"/>
          <w:pgMar w:top="400" w:right="923" w:bottom="896" w:left="1499" w:header="0" w:footer="707" w:gutter="0"/>
          <w:cols w:space="720" w:num="1"/>
        </w:sectPr>
      </w:pPr>
    </w:p>
    <w:p w14:paraId="404892A0">
      <w:pPr>
        <w:pStyle w:val="2"/>
        <w:spacing w:before="306" w:line="221" w:lineRule="auto"/>
        <w:ind w:left="659"/>
        <w:rPr>
          <w:sz w:val="20"/>
          <w:szCs w:val="20"/>
        </w:rPr>
      </w:pPr>
      <w:bookmarkStart w:id="555" w:name="bookmark598"/>
      <w:bookmarkEnd w:id="555"/>
      <w:r>
        <w:rPr>
          <w:spacing w:val="-20"/>
          <w:w w:val="98"/>
          <w:sz w:val="20"/>
          <w:szCs w:val="20"/>
        </w:rPr>
        <w:t>第二十一章 性传播疾病</w:t>
      </w:r>
    </w:p>
    <w:p w14:paraId="5FE39282">
      <w:pPr>
        <w:spacing w:line="277" w:lineRule="auto"/>
        <w:rPr>
          <w:rFonts w:ascii="Arial"/>
          <w:sz w:val="21"/>
        </w:rPr>
      </w:pPr>
    </w:p>
    <w:p w14:paraId="7E097539">
      <w:pPr>
        <w:spacing w:line="277" w:lineRule="auto"/>
        <w:rPr>
          <w:rFonts w:ascii="Arial"/>
          <w:sz w:val="21"/>
        </w:rPr>
      </w:pPr>
    </w:p>
    <w:p w14:paraId="5B0156FA">
      <w:pPr>
        <w:spacing w:before="65" w:line="219" w:lineRule="auto"/>
        <w:ind w:left="659"/>
        <w:rPr>
          <w:rFonts w:ascii="宋体" w:hAnsi="宋体" w:eastAsia="宋体" w:cs="宋体"/>
          <w:sz w:val="20"/>
          <w:szCs w:val="20"/>
        </w:rPr>
      </w:pPr>
      <w:r>
        <w:rPr>
          <w:rFonts w:ascii="宋体" w:hAnsi="宋体" w:eastAsia="宋体" w:cs="宋体"/>
          <w:spacing w:val="5"/>
          <w:sz w:val="20"/>
          <w:szCs w:val="20"/>
        </w:rPr>
        <w:t>结果的一种方便快捷的检测方式。</w:t>
      </w:r>
      <w:r>
        <w:rPr>
          <w:rFonts w:ascii="宋体" w:hAnsi="宋体" w:eastAsia="宋体" w:cs="宋体"/>
          <w:spacing w:val="-33"/>
          <w:sz w:val="20"/>
          <w:szCs w:val="20"/>
        </w:rPr>
        <w:t xml:space="preserve"> </w:t>
      </w:r>
      <w:r>
        <w:rPr>
          <w:rFonts w:ascii="Times New Roman" w:hAnsi="Times New Roman" w:eastAsia="Times New Roman" w:cs="Times New Roman"/>
          <w:sz w:val="20"/>
          <w:szCs w:val="20"/>
        </w:rPr>
        <w:t>WHO</w:t>
      </w:r>
      <w:r>
        <w:rPr>
          <w:rFonts w:ascii="Times New Roman" w:hAnsi="Times New Roman" w:eastAsia="Times New Roman" w:cs="Times New Roman"/>
          <w:spacing w:val="5"/>
          <w:sz w:val="20"/>
          <w:szCs w:val="20"/>
        </w:rPr>
        <w:t xml:space="preserve"> </w:t>
      </w:r>
      <w:r>
        <w:rPr>
          <w:rFonts w:ascii="宋体" w:hAnsi="宋体" w:eastAsia="宋体" w:cs="宋体"/>
          <w:spacing w:val="5"/>
          <w:sz w:val="20"/>
          <w:szCs w:val="20"/>
        </w:rPr>
        <w:t>鼓励在</w:t>
      </w:r>
      <w:r>
        <w:rPr>
          <w:rFonts w:ascii="Times New Roman" w:hAnsi="Times New Roman" w:eastAsia="Times New Roman" w:cs="Times New Roman"/>
          <w:sz w:val="20"/>
          <w:szCs w:val="20"/>
        </w:rPr>
        <w:t>HIV</w:t>
      </w:r>
      <w:r>
        <w:rPr>
          <w:rFonts w:ascii="Times New Roman" w:hAnsi="Times New Roman" w:eastAsia="Times New Roman" w:cs="Times New Roman"/>
          <w:spacing w:val="-12"/>
          <w:sz w:val="20"/>
          <w:szCs w:val="20"/>
        </w:rPr>
        <w:t xml:space="preserve"> </w:t>
      </w:r>
      <w:r>
        <w:rPr>
          <w:rFonts w:ascii="宋体" w:hAnsi="宋体" w:eastAsia="宋体" w:cs="宋体"/>
          <w:spacing w:val="5"/>
          <w:sz w:val="20"/>
          <w:szCs w:val="20"/>
        </w:rPr>
        <w:t>检测服务中实施</w:t>
      </w:r>
      <w:r>
        <w:rPr>
          <w:rFonts w:ascii="Times New Roman" w:hAnsi="Times New Roman" w:eastAsia="Times New Roman" w:cs="Times New Roman"/>
          <w:sz w:val="20"/>
          <w:szCs w:val="20"/>
        </w:rPr>
        <w:t>HIV</w:t>
      </w:r>
      <w:r>
        <w:rPr>
          <w:rFonts w:ascii="宋体" w:hAnsi="宋体" w:eastAsia="宋体" w:cs="宋体"/>
          <w:spacing w:val="5"/>
          <w:sz w:val="20"/>
          <w:szCs w:val="20"/>
        </w:rPr>
        <w:t>自检。</w:t>
      </w:r>
    </w:p>
    <w:p w14:paraId="0623D4D4">
      <w:pPr>
        <w:spacing w:before="112" w:line="331" w:lineRule="auto"/>
        <w:ind w:left="659" w:right="2" w:firstLine="420"/>
        <w:rPr>
          <w:rFonts w:ascii="宋体" w:hAnsi="宋体" w:eastAsia="宋体" w:cs="宋体"/>
          <w:sz w:val="20"/>
          <w:szCs w:val="20"/>
        </w:rPr>
      </w:pPr>
      <w:r>
        <w:rPr>
          <w:rFonts w:ascii="宋体" w:hAnsi="宋体" w:eastAsia="宋体" w:cs="宋体"/>
          <w:spacing w:val="7"/>
          <w:sz w:val="20"/>
          <w:szCs w:val="20"/>
        </w:rPr>
        <w:t>尽管目前尚无治愈方法，但自2003年我国开展免费抗病毒治疗以来，抗逆转录病毒药物显著</w:t>
      </w:r>
      <w:r>
        <w:rPr>
          <w:rFonts w:ascii="宋体" w:hAnsi="宋体" w:eastAsia="宋体" w:cs="宋体"/>
          <w:spacing w:val="17"/>
          <w:sz w:val="20"/>
          <w:szCs w:val="20"/>
        </w:rPr>
        <w:t xml:space="preserve"> </w:t>
      </w:r>
      <w:r>
        <w:rPr>
          <w:rFonts w:ascii="宋体" w:hAnsi="宋体" w:eastAsia="宋体" w:cs="宋体"/>
          <w:spacing w:val="3"/>
          <w:sz w:val="20"/>
          <w:szCs w:val="20"/>
        </w:rPr>
        <w:t>延长了</w:t>
      </w:r>
      <w:r>
        <w:rPr>
          <w:rFonts w:ascii="Times New Roman" w:hAnsi="Times New Roman" w:eastAsia="Times New Roman" w:cs="Times New Roman"/>
          <w:sz w:val="20"/>
          <w:szCs w:val="20"/>
        </w:rPr>
        <w:t>HIV</w:t>
      </w:r>
      <w:r>
        <w:rPr>
          <w:rFonts w:ascii="Times New Roman" w:hAnsi="Times New Roman" w:eastAsia="Times New Roman" w:cs="Times New Roman"/>
          <w:spacing w:val="3"/>
          <w:sz w:val="20"/>
          <w:szCs w:val="20"/>
        </w:rPr>
        <w:t xml:space="preserve"> </w:t>
      </w:r>
      <w:r>
        <w:rPr>
          <w:rFonts w:ascii="宋体" w:hAnsi="宋体" w:eastAsia="宋体" w:cs="宋体"/>
          <w:spacing w:val="3"/>
          <w:sz w:val="20"/>
          <w:szCs w:val="20"/>
        </w:rPr>
        <w:t>感染者寿命，提高了其生活质量，降低了病毒载量和传播风险。高效抗逆转录</w:t>
      </w:r>
      <w:r>
        <w:rPr>
          <w:rFonts w:ascii="宋体" w:hAnsi="宋体" w:eastAsia="宋体" w:cs="宋体"/>
          <w:spacing w:val="2"/>
          <w:sz w:val="20"/>
          <w:szCs w:val="20"/>
        </w:rPr>
        <w:t>病毒治疗</w:t>
      </w:r>
      <w:r>
        <w:rPr>
          <w:rFonts w:ascii="宋体" w:hAnsi="宋体" w:eastAsia="宋体" w:cs="宋体"/>
          <w:sz w:val="20"/>
          <w:szCs w:val="20"/>
        </w:rPr>
        <w:t xml:space="preserve"> </w:t>
      </w:r>
      <w:r>
        <w:rPr>
          <w:rFonts w:ascii="Times New Roman" w:hAnsi="Times New Roman" w:eastAsia="Times New Roman" w:cs="Times New Roman"/>
          <w:spacing w:val="2"/>
          <w:sz w:val="20"/>
          <w:szCs w:val="20"/>
        </w:rPr>
        <w:t>(</w:t>
      </w:r>
      <w:r>
        <w:rPr>
          <w:rFonts w:ascii="Times New Roman" w:hAnsi="Times New Roman" w:eastAsia="Times New Roman" w:cs="Times New Roman"/>
          <w:sz w:val="20"/>
          <w:szCs w:val="20"/>
        </w:rPr>
        <w:t>highly</w:t>
      </w:r>
      <w:r>
        <w:rPr>
          <w:rFonts w:ascii="Times New Roman" w:hAnsi="Times New Roman" w:eastAsia="Times New Roman" w:cs="Times New Roman"/>
          <w:spacing w:val="2"/>
          <w:sz w:val="20"/>
          <w:szCs w:val="20"/>
        </w:rPr>
        <w:t xml:space="preserve">  </w:t>
      </w:r>
      <w:r>
        <w:rPr>
          <w:rFonts w:ascii="Times New Roman" w:hAnsi="Times New Roman" w:eastAsia="Times New Roman" w:cs="Times New Roman"/>
          <w:sz w:val="20"/>
          <w:szCs w:val="20"/>
        </w:rPr>
        <w:t>active</w:t>
      </w:r>
      <w:r>
        <w:rPr>
          <w:rFonts w:ascii="Times New Roman" w:hAnsi="Times New Roman" w:eastAsia="Times New Roman" w:cs="Times New Roman"/>
          <w:spacing w:val="2"/>
          <w:sz w:val="20"/>
          <w:szCs w:val="20"/>
        </w:rPr>
        <w:t xml:space="preserve">  </w:t>
      </w:r>
      <w:r>
        <w:rPr>
          <w:rFonts w:ascii="Times New Roman" w:hAnsi="Times New Roman" w:eastAsia="Times New Roman" w:cs="Times New Roman"/>
          <w:sz w:val="20"/>
          <w:szCs w:val="20"/>
        </w:rPr>
        <w:t>antiretroviral</w:t>
      </w:r>
      <w:r>
        <w:rPr>
          <w:rFonts w:ascii="Times New Roman" w:hAnsi="Times New Roman" w:eastAsia="Times New Roman" w:cs="Times New Roman"/>
          <w:spacing w:val="2"/>
          <w:sz w:val="20"/>
          <w:szCs w:val="20"/>
        </w:rPr>
        <w:t xml:space="preserve">  </w:t>
      </w:r>
      <w:r>
        <w:rPr>
          <w:rFonts w:ascii="Times New Roman" w:hAnsi="Times New Roman" w:eastAsia="Times New Roman" w:cs="Times New Roman"/>
          <w:sz w:val="20"/>
          <w:szCs w:val="20"/>
        </w:rPr>
        <w:t>therapy</w:t>
      </w:r>
      <w:r>
        <w:rPr>
          <w:rFonts w:ascii="Times New Roman" w:hAnsi="Times New Roman" w:eastAsia="Times New Roman" w:cs="Times New Roman"/>
          <w:spacing w:val="2"/>
          <w:sz w:val="20"/>
          <w:szCs w:val="20"/>
        </w:rPr>
        <w:t>,</w:t>
      </w:r>
      <w:r>
        <w:rPr>
          <w:rFonts w:ascii="Times New Roman" w:hAnsi="Times New Roman" w:eastAsia="Times New Roman" w:cs="Times New Roman"/>
          <w:sz w:val="20"/>
          <w:szCs w:val="20"/>
        </w:rPr>
        <w:t>HAART</w:t>
      </w:r>
      <w:r>
        <w:rPr>
          <w:rFonts w:ascii="Times New Roman" w:hAnsi="Times New Roman" w:eastAsia="Times New Roman" w:cs="Times New Roman"/>
          <w:spacing w:val="2"/>
          <w:sz w:val="20"/>
          <w:szCs w:val="20"/>
        </w:rPr>
        <w:t>)</w:t>
      </w:r>
      <w:r>
        <w:rPr>
          <w:rFonts w:ascii="宋体" w:hAnsi="宋体" w:eastAsia="宋体" w:cs="宋体"/>
          <w:spacing w:val="2"/>
          <w:sz w:val="20"/>
          <w:szCs w:val="20"/>
        </w:rPr>
        <w:t>是最有效的控制方法，可将</w:t>
      </w:r>
      <w:r>
        <w:rPr>
          <w:rFonts w:ascii="Times New Roman" w:hAnsi="Times New Roman" w:eastAsia="Times New Roman" w:cs="Times New Roman"/>
          <w:sz w:val="20"/>
          <w:szCs w:val="20"/>
        </w:rPr>
        <w:t>AIDS</w:t>
      </w:r>
      <w:r>
        <w:rPr>
          <w:rFonts w:ascii="Times New Roman" w:hAnsi="Times New Roman" w:eastAsia="Times New Roman" w:cs="Times New Roman"/>
          <w:spacing w:val="-15"/>
          <w:sz w:val="20"/>
          <w:szCs w:val="20"/>
        </w:rPr>
        <w:t xml:space="preserve"> </w:t>
      </w:r>
      <w:r>
        <w:rPr>
          <w:rFonts w:ascii="宋体" w:hAnsi="宋体" w:eastAsia="宋体" w:cs="宋体"/>
          <w:spacing w:val="2"/>
          <w:sz w:val="20"/>
          <w:szCs w:val="20"/>
        </w:rPr>
        <w:t>从不可治愈的疾病转变</w:t>
      </w:r>
      <w:r>
        <w:rPr>
          <w:rFonts w:ascii="宋体" w:hAnsi="宋体" w:eastAsia="宋体" w:cs="宋体"/>
          <w:sz w:val="20"/>
          <w:szCs w:val="20"/>
        </w:rPr>
        <w:t xml:space="preserve"> </w:t>
      </w:r>
      <w:r>
        <w:rPr>
          <w:rFonts w:ascii="宋体" w:hAnsi="宋体" w:eastAsia="宋体" w:cs="宋体"/>
          <w:spacing w:val="5"/>
          <w:sz w:val="20"/>
          <w:szCs w:val="20"/>
        </w:rPr>
        <w:t>为可控的慢性传染病。然而，随着患者生存期延长，非</w:t>
      </w:r>
      <w:r>
        <w:rPr>
          <w:rFonts w:ascii="宋体" w:hAnsi="宋体" w:eastAsia="宋体" w:cs="宋体"/>
          <w:sz w:val="20"/>
          <w:szCs w:val="20"/>
        </w:rPr>
        <w:t>HIV</w:t>
      </w:r>
      <w:r>
        <w:rPr>
          <w:rFonts w:ascii="宋体" w:hAnsi="宋体" w:eastAsia="宋体" w:cs="宋体"/>
          <w:spacing w:val="5"/>
          <w:sz w:val="20"/>
          <w:szCs w:val="20"/>
        </w:rPr>
        <w:t xml:space="preserve"> 相关疾病和老龄化</w:t>
      </w:r>
      <w:r>
        <w:rPr>
          <w:rFonts w:ascii="宋体" w:hAnsi="宋体" w:eastAsia="宋体" w:cs="宋体"/>
          <w:spacing w:val="4"/>
          <w:sz w:val="20"/>
          <w:szCs w:val="20"/>
        </w:rPr>
        <w:t>问题成为后</w:t>
      </w:r>
      <w:r>
        <w:rPr>
          <w:rFonts w:ascii="宋体" w:hAnsi="宋体" w:eastAsia="宋体" w:cs="宋体"/>
          <w:sz w:val="20"/>
          <w:szCs w:val="20"/>
        </w:rPr>
        <w:t>HAART</w:t>
      </w:r>
    </w:p>
    <w:p w14:paraId="303B8E9E">
      <w:pPr>
        <w:spacing w:before="6" w:line="219" w:lineRule="auto"/>
        <w:ind w:left="659"/>
        <w:rPr>
          <w:rFonts w:ascii="宋体" w:hAnsi="宋体" w:eastAsia="宋体" w:cs="宋体"/>
          <w:sz w:val="20"/>
          <w:szCs w:val="20"/>
        </w:rPr>
      </w:pPr>
      <w:r>
        <w:rPr>
          <w:rFonts w:ascii="宋体" w:hAnsi="宋体" w:eastAsia="宋体" w:cs="宋体"/>
          <w:spacing w:val="5"/>
          <w:sz w:val="20"/>
          <w:szCs w:val="20"/>
        </w:rPr>
        <w:t>时代的挑战。</w:t>
      </w:r>
    </w:p>
    <w:p w14:paraId="6788F510">
      <w:pPr>
        <w:pStyle w:val="2"/>
        <w:spacing w:before="178" w:line="222" w:lineRule="auto"/>
        <w:ind w:left="1082"/>
        <w:rPr>
          <w:sz w:val="20"/>
          <w:szCs w:val="20"/>
        </w:rPr>
      </w:pPr>
      <w:r>
        <w:rPr>
          <w:b/>
          <w:bCs/>
          <w:spacing w:val="23"/>
          <w:sz w:val="20"/>
          <w:szCs w:val="20"/>
        </w:rPr>
        <w:t>(二)针对传播途径</w:t>
      </w:r>
    </w:p>
    <w:p w14:paraId="285BE33C">
      <w:pPr>
        <w:spacing w:before="120" w:line="333" w:lineRule="auto"/>
        <w:ind w:left="659" w:right="10" w:firstLine="420"/>
        <w:jc w:val="both"/>
        <w:rPr>
          <w:rFonts w:ascii="宋体" w:hAnsi="宋体" w:eastAsia="宋体" w:cs="宋体"/>
          <w:sz w:val="20"/>
          <w:szCs w:val="20"/>
        </w:rPr>
      </w:pPr>
      <w:r>
        <w:rPr>
          <w:rFonts w:ascii="宋体" w:hAnsi="宋体" w:eastAsia="宋体" w:cs="宋体"/>
          <w:spacing w:val="3"/>
          <w:sz w:val="20"/>
          <w:szCs w:val="20"/>
        </w:rPr>
        <w:t>通过健康教育和健康促进活动，传播安全性行为知识，促进安全套的使用，可以有效控制</w:t>
      </w:r>
      <w:r>
        <w:rPr>
          <w:rFonts w:ascii="Times New Roman" w:hAnsi="Times New Roman" w:eastAsia="Times New Roman" w:cs="Times New Roman"/>
          <w:sz w:val="20"/>
          <w:szCs w:val="20"/>
        </w:rPr>
        <w:t>HIV</w:t>
      </w:r>
      <w:r>
        <w:rPr>
          <w:rFonts w:ascii="Times New Roman" w:hAnsi="Times New Roman" w:eastAsia="Times New Roman" w:cs="Times New Roman"/>
          <w:spacing w:val="4"/>
          <w:sz w:val="20"/>
          <w:szCs w:val="20"/>
        </w:rPr>
        <w:t xml:space="preserve">  </w:t>
      </w:r>
      <w:r>
        <w:rPr>
          <w:rFonts w:ascii="宋体" w:hAnsi="宋体" w:eastAsia="宋体" w:cs="宋体"/>
          <w:spacing w:val="3"/>
          <w:sz w:val="20"/>
          <w:szCs w:val="20"/>
        </w:rPr>
        <w:t>传播。结合惩治贩毒、强制戒毒和教育措施，减少吸毒人数；采用美沙酮替代(减少静脉注射)和清</w:t>
      </w:r>
      <w:r>
        <w:rPr>
          <w:rFonts w:ascii="宋体" w:hAnsi="宋体" w:eastAsia="宋体" w:cs="宋体"/>
          <w:spacing w:val="17"/>
          <w:sz w:val="20"/>
          <w:szCs w:val="20"/>
        </w:rPr>
        <w:t xml:space="preserve"> </w:t>
      </w:r>
      <w:r>
        <w:rPr>
          <w:rFonts w:ascii="宋体" w:hAnsi="宋体" w:eastAsia="宋体" w:cs="宋体"/>
          <w:spacing w:val="6"/>
          <w:sz w:val="20"/>
          <w:szCs w:val="20"/>
        </w:rPr>
        <w:t>洁针具交换(减少共用针具),降低吸毒危害，控制</w:t>
      </w:r>
      <w:r>
        <w:rPr>
          <w:rFonts w:ascii="宋体" w:hAnsi="宋体" w:eastAsia="宋体" w:cs="宋体"/>
          <w:sz w:val="20"/>
          <w:szCs w:val="20"/>
        </w:rPr>
        <w:t>HIV</w:t>
      </w:r>
      <w:r>
        <w:rPr>
          <w:rFonts w:ascii="宋体" w:hAnsi="宋体" w:eastAsia="宋体" w:cs="宋体"/>
          <w:spacing w:val="6"/>
          <w:sz w:val="20"/>
          <w:szCs w:val="20"/>
        </w:rPr>
        <w:t xml:space="preserve"> 经静脉吸毒传播。针对母婴传播，可持续向</w:t>
      </w:r>
      <w:r>
        <w:rPr>
          <w:rFonts w:ascii="宋体" w:hAnsi="宋体" w:eastAsia="宋体" w:cs="宋体"/>
          <w:spacing w:val="2"/>
          <w:sz w:val="20"/>
          <w:szCs w:val="20"/>
        </w:rPr>
        <w:t xml:space="preserve"> </w:t>
      </w:r>
      <w:r>
        <w:rPr>
          <w:rFonts w:ascii="Times New Roman" w:hAnsi="Times New Roman" w:eastAsia="Times New Roman" w:cs="Times New Roman"/>
          <w:sz w:val="20"/>
          <w:szCs w:val="20"/>
        </w:rPr>
        <w:t>HIV</w:t>
      </w:r>
      <w:r>
        <w:rPr>
          <w:rFonts w:ascii="Times New Roman" w:hAnsi="Times New Roman" w:eastAsia="Times New Roman" w:cs="Times New Roman"/>
          <w:spacing w:val="3"/>
          <w:sz w:val="20"/>
          <w:szCs w:val="20"/>
        </w:rPr>
        <w:t xml:space="preserve"> </w:t>
      </w:r>
      <w:r>
        <w:rPr>
          <w:rFonts w:ascii="宋体" w:hAnsi="宋体" w:eastAsia="宋体" w:cs="宋体"/>
          <w:spacing w:val="3"/>
          <w:sz w:val="20"/>
          <w:szCs w:val="20"/>
        </w:rPr>
        <w:t>感染的孕产妇和婴儿提供抗逆转录病毒药物；对</w:t>
      </w:r>
      <w:r>
        <w:rPr>
          <w:rFonts w:ascii="Times New Roman" w:hAnsi="Times New Roman" w:eastAsia="Times New Roman" w:cs="Times New Roman"/>
          <w:sz w:val="20"/>
          <w:szCs w:val="20"/>
        </w:rPr>
        <w:t>HIV</w:t>
      </w:r>
      <w:r>
        <w:rPr>
          <w:rFonts w:ascii="Times New Roman" w:hAnsi="Times New Roman" w:eastAsia="Times New Roman" w:cs="Times New Roman"/>
          <w:spacing w:val="18"/>
          <w:w w:val="101"/>
          <w:sz w:val="20"/>
          <w:szCs w:val="20"/>
        </w:rPr>
        <w:t xml:space="preserve"> </w:t>
      </w:r>
      <w:r>
        <w:rPr>
          <w:rFonts w:ascii="宋体" w:hAnsi="宋体" w:eastAsia="宋体" w:cs="宋体"/>
          <w:spacing w:val="3"/>
          <w:sz w:val="20"/>
          <w:szCs w:val="20"/>
        </w:rPr>
        <w:t>感染产妇所分娩婴儿采取非母乳喂养</w:t>
      </w:r>
      <w:r>
        <w:rPr>
          <w:rFonts w:ascii="宋体" w:hAnsi="宋体" w:eastAsia="宋体" w:cs="宋体"/>
          <w:spacing w:val="2"/>
          <w:sz w:val="20"/>
          <w:szCs w:val="20"/>
        </w:rPr>
        <w:t>，并</w:t>
      </w:r>
      <w:r>
        <w:rPr>
          <w:rFonts w:ascii="宋体" w:hAnsi="宋体" w:eastAsia="宋体" w:cs="宋体"/>
          <w:sz w:val="20"/>
          <w:szCs w:val="20"/>
        </w:rPr>
        <w:t xml:space="preserve"> </w:t>
      </w:r>
      <w:r>
        <w:rPr>
          <w:rFonts w:ascii="宋体" w:hAnsi="宋体" w:eastAsia="宋体" w:cs="宋体"/>
          <w:spacing w:val="-1"/>
          <w:sz w:val="20"/>
          <w:szCs w:val="20"/>
        </w:rPr>
        <w:t>在幼儿一岁半时进行检测，评估阻断效果。</w:t>
      </w:r>
    </w:p>
    <w:p w14:paraId="2B542EDE">
      <w:pPr>
        <w:pStyle w:val="2"/>
        <w:spacing w:before="24" w:line="221" w:lineRule="auto"/>
        <w:ind w:left="1082"/>
        <w:rPr>
          <w:sz w:val="20"/>
          <w:szCs w:val="20"/>
        </w:rPr>
      </w:pPr>
      <w:r>
        <w:rPr>
          <w:b/>
          <w:bCs/>
          <w:spacing w:val="23"/>
          <w:sz w:val="20"/>
          <w:szCs w:val="20"/>
        </w:rPr>
        <w:t>(三)针对易感人群</w:t>
      </w:r>
    </w:p>
    <w:p w14:paraId="2D7A2C82">
      <w:pPr>
        <w:spacing w:before="125" w:line="333" w:lineRule="auto"/>
        <w:ind w:left="659" w:firstLine="420"/>
        <w:jc w:val="both"/>
        <w:rPr>
          <w:rFonts w:ascii="宋体" w:hAnsi="宋体" w:eastAsia="宋体" w:cs="宋体"/>
          <w:sz w:val="20"/>
          <w:szCs w:val="20"/>
        </w:rPr>
      </w:pPr>
      <w:r>
        <w:rPr>
          <w:rFonts w:ascii="宋体" w:hAnsi="宋体" w:eastAsia="宋体" w:cs="宋体"/>
          <w:spacing w:val="7"/>
          <w:sz w:val="20"/>
          <w:szCs w:val="20"/>
        </w:rPr>
        <w:t>加强宣传教育，尤其重视在青少年中开展</w:t>
      </w:r>
      <w:r>
        <w:rPr>
          <w:rFonts w:ascii="宋体" w:hAnsi="宋体" w:eastAsia="宋体" w:cs="宋体"/>
          <w:sz w:val="20"/>
          <w:szCs w:val="20"/>
        </w:rPr>
        <w:t>HIV</w:t>
      </w:r>
      <w:r>
        <w:rPr>
          <w:rFonts w:ascii="宋体" w:hAnsi="宋体" w:eastAsia="宋体" w:cs="宋体"/>
          <w:spacing w:val="37"/>
          <w:sz w:val="20"/>
          <w:szCs w:val="20"/>
        </w:rPr>
        <w:t xml:space="preserve"> </w:t>
      </w:r>
      <w:r>
        <w:rPr>
          <w:rFonts w:ascii="宋体" w:hAnsi="宋体" w:eastAsia="宋体" w:cs="宋体"/>
          <w:spacing w:val="7"/>
          <w:sz w:val="20"/>
          <w:szCs w:val="20"/>
        </w:rPr>
        <w:t>健康教育，强化学校的</w:t>
      </w:r>
      <w:r>
        <w:rPr>
          <w:rFonts w:ascii="宋体" w:hAnsi="宋体" w:eastAsia="宋体" w:cs="宋体"/>
          <w:sz w:val="20"/>
          <w:szCs w:val="20"/>
        </w:rPr>
        <w:t>HIV</w:t>
      </w:r>
      <w:r>
        <w:rPr>
          <w:rFonts w:ascii="宋体" w:hAnsi="宋体" w:eastAsia="宋体" w:cs="宋体"/>
          <w:spacing w:val="43"/>
          <w:sz w:val="20"/>
          <w:szCs w:val="20"/>
        </w:rPr>
        <w:t xml:space="preserve"> </w:t>
      </w:r>
      <w:r>
        <w:rPr>
          <w:rFonts w:ascii="宋体" w:hAnsi="宋体" w:eastAsia="宋体" w:cs="宋体"/>
          <w:spacing w:val="7"/>
          <w:sz w:val="20"/>
          <w:szCs w:val="20"/>
        </w:rPr>
        <w:t>感染/</w:t>
      </w:r>
      <w:r>
        <w:rPr>
          <w:rFonts w:ascii="宋体" w:hAnsi="宋体" w:eastAsia="宋体" w:cs="宋体"/>
          <w:sz w:val="20"/>
          <w:szCs w:val="20"/>
        </w:rPr>
        <w:t>AIDS</w:t>
      </w:r>
      <w:r>
        <w:rPr>
          <w:rFonts w:ascii="宋体" w:hAnsi="宋体" w:eastAsia="宋体" w:cs="宋体"/>
          <w:spacing w:val="32"/>
          <w:sz w:val="20"/>
          <w:szCs w:val="20"/>
        </w:rPr>
        <w:t xml:space="preserve"> </w:t>
      </w:r>
      <w:r>
        <w:rPr>
          <w:rFonts w:ascii="宋体" w:hAnsi="宋体" w:eastAsia="宋体" w:cs="宋体"/>
          <w:spacing w:val="7"/>
          <w:sz w:val="20"/>
          <w:szCs w:val="20"/>
        </w:rPr>
        <w:t>防控工</w:t>
      </w:r>
      <w:r>
        <w:rPr>
          <w:rFonts w:ascii="宋体" w:hAnsi="宋体" w:eastAsia="宋体" w:cs="宋体"/>
          <w:sz w:val="20"/>
          <w:szCs w:val="20"/>
        </w:rPr>
        <w:t xml:space="preserve"> </w:t>
      </w:r>
      <w:r>
        <w:rPr>
          <w:rFonts w:ascii="宋体" w:hAnsi="宋体" w:eastAsia="宋体" w:cs="宋体"/>
          <w:spacing w:val="4"/>
          <w:sz w:val="20"/>
          <w:szCs w:val="20"/>
        </w:rPr>
        <w:t>作。近年来，高等院校等学校面临</w:t>
      </w:r>
      <w:r>
        <w:rPr>
          <w:rFonts w:ascii="Times New Roman" w:hAnsi="Times New Roman" w:eastAsia="Times New Roman" w:cs="Times New Roman"/>
          <w:sz w:val="20"/>
          <w:szCs w:val="20"/>
        </w:rPr>
        <w:t>HIV</w:t>
      </w:r>
      <w:r>
        <w:rPr>
          <w:rFonts w:ascii="Times New Roman" w:hAnsi="Times New Roman" w:eastAsia="Times New Roman" w:cs="Times New Roman"/>
          <w:spacing w:val="4"/>
          <w:sz w:val="20"/>
          <w:szCs w:val="20"/>
        </w:rPr>
        <w:t xml:space="preserve"> </w:t>
      </w:r>
      <w:r>
        <w:rPr>
          <w:rFonts w:ascii="宋体" w:hAnsi="宋体" w:eastAsia="宋体" w:cs="宋体"/>
          <w:spacing w:val="4"/>
          <w:sz w:val="20"/>
          <w:szCs w:val="20"/>
        </w:rPr>
        <w:t>感染/</w:t>
      </w:r>
      <w:r>
        <w:rPr>
          <w:rFonts w:ascii="Times New Roman" w:hAnsi="Times New Roman" w:eastAsia="Times New Roman" w:cs="Times New Roman"/>
          <w:sz w:val="20"/>
          <w:szCs w:val="20"/>
        </w:rPr>
        <w:t>AIDS</w:t>
      </w:r>
      <w:r>
        <w:rPr>
          <w:rFonts w:ascii="宋体" w:hAnsi="宋体" w:eastAsia="宋体" w:cs="宋体"/>
          <w:spacing w:val="4"/>
          <w:sz w:val="20"/>
          <w:szCs w:val="20"/>
        </w:rPr>
        <w:t>防控的新挑战，一些地区学生</w:t>
      </w:r>
      <w:r>
        <w:rPr>
          <w:rFonts w:ascii="Times New Roman" w:hAnsi="Times New Roman" w:eastAsia="Times New Roman" w:cs="Times New Roman"/>
          <w:sz w:val="20"/>
          <w:szCs w:val="20"/>
        </w:rPr>
        <w:t>HIV</w:t>
      </w:r>
      <w:r>
        <w:rPr>
          <w:rFonts w:ascii="Times New Roman" w:hAnsi="Times New Roman" w:eastAsia="Times New Roman" w:cs="Times New Roman"/>
          <w:spacing w:val="19"/>
          <w:w w:val="101"/>
          <w:sz w:val="20"/>
          <w:szCs w:val="20"/>
        </w:rPr>
        <w:t xml:space="preserve"> </w:t>
      </w:r>
      <w:r>
        <w:rPr>
          <w:rFonts w:ascii="宋体" w:hAnsi="宋体" w:eastAsia="宋体" w:cs="宋体"/>
          <w:spacing w:val="4"/>
          <w:sz w:val="20"/>
          <w:szCs w:val="20"/>
        </w:rPr>
        <w:t>感染疫情上升</w:t>
      </w:r>
      <w:r>
        <w:rPr>
          <w:rFonts w:ascii="宋体" w:hAnsi="宋体" w:eastAsia="宋体" w:cs="宋体"/>
          <w:sz w:val="20"/>
          <w:szCs w:val="20"/>
        </w:rPr>
        <w:t xml:space="preserve"> </w:t>
      </w:r>
      <w:r>
        <w:rPr>
          <w:rFonts w:ascii="宋体" w:hAnsi="宋体" w:eastAsia="宋体" w:cs="宋体"/>
          <w:spacing w:val="3"/>
          <w:sz w:val="20"/>
          <w:szCs w:val="20"/>
        </w:rPr>
        <w:t>较快，传播途径以男男性行为传播为主。因此，学校需要进一步扩大预防</w:t>
      </w:r>
      <w:r>
        <w:rPr>
          <w:rFonts w:ascii="Times New Roman" w:hAnsi="Times New Roman" w:eastAsia="Times New Roman" w:cs="Times New Roman"/>
          <w:sz w:val="20"/>
          <w:szCs w:val="20"/>
        </w:rPr>
        <w:t>HIV</w:t>
      </w:r>
      <w:r>
        <w:rPr>
          <w:rFonts w:ascii="Times New Roman" w:hAnsi="Times New Roman" w:eastAsia="Times New Roman" w:cs="Times New Roman"/>
          <w:spacing w:val="25"/>
          <w:w w:val="101"/>
          <w:sz w:val="20"/>
          <w:szCs w:val="20"/>
        </w:rPr>
        <w:t xml:space="preserve"> </w:t>
      </w:r>
      <w:r>
        <w:rPr>
          <w:rFonts w:ascii="宋体" w:hAnsi="宋体" w:eastAsia="宋体" w:cs="宋体"/>
          <w:spacing w:val="3"/>
          <w:sz w:val="20"/>
          <w:szCs w:val="20"/>
        </w:rPr>
        <w:t>感染/</w:t>
      </w:r>
      <w:r>
        <w:rPr>
          <w:rFonts w:ascii="Times New Roman" w:hAnsi="Times New Roman" w:eastAsia="Times New Roman" w:cs="Times New Roman"/>
          <w:sz w:val="20"/>
          <w:szCs w:val="20"/>
        </w:rPr>
        <w:t>AIDS</w:t>
      </w:r>
      <w:r>
        <w:rPr>
          <w:rFonts w:ascii="Times New Roman" w:hAnsi="Times New Roman" w:eastAsia="Times New Roman" w:cs="Times New Roman"/>
          <w:spacing w:val="-15"/>
          <w:sz w:val="20"/>
          <w:szCs w:val="20"/>
        </w:rPr>
        <w:t xml:space="preserve"> </w:t>
      </w:r>
      <w:r>
        <w:rPr>
          <w:rFonts w:ascii="宋体" w:hAnsi="宋体" w:eastAsia="宋体" w:cs="宋体"/>
          <w:spacing w:val="3"/>
          <w:sz w:val="20"/>
          <w:szCs w:val="20"/>
        </w:rPr>
        <w:t>教育的覆</w:t>
      </w:r>
      <w:r>
        <w:rPr>
          <w:rFonts w:ascii="宋体" w:hAnsi="宋体" w:eastAsia="宋体" w:cs="宋体"/>
          <w:sz w:val="20"/>
          <w:szCs w:val="20"/>
        </w:rPr>
        <w:t xml:space="preserve"> </w:t>
      </w:r>
      <w:r>
        <w:rPr>
          <w:rFonts w:ascii="宋体" w:hAnsi="宋体" w:eastAsia="宋体" w:cs="宋体"/>
          <w:spacing w:val="-1"/>
          <w:sz w:val="20"/>
          <w:szCs w:val="20"/>
        </w:rPr>
        <w:t>盖面，注重效果和针对性，加强自愿咨询检测宣传和行为干预服务，切实保障学生身体健康。</w:t>
      </w:r>
    </w:p>
    <w:p w14:paraId="0A1BFABC">
      <w:pPr>
        <w:spacing w:before="7" w:line="332" w:lineRule="auto"/>
        <w:ind w:left="659" w:right="21" w:firstLine="420"/>
        <w:jc w:val="both"/>
        <w:rPr>
          <w:rFonts w:ascii="宋体" w:hAnsi="宋体" w:eastAsia="宋体" w:cs="宋体"/>
          <w:sz w:val="20"/>
          <w:szCs w:val="20"/>
        </w:rPr>
      </w:pPr>
      <w:r>
        <w:rPr>
          <w:rFonts w:ascii="宋体" w:hAnsi="宋体" w:eastAsia="宋体" w:cs="宋体"/>
          <w:sz w:val="20"/>
          <w:szCs w:val="20"/>
        </w:rPr>
        <w:t>此外，自愿性男性包皮环切术、HIV 暴露前与暴露后药物预防都是有效的预防措施。</w:t>
      </w:r>
      <w:r>
        <w:rPr>
          <w:rFonts w:ascii="宋体" w:hAnsi="宋体" w:eastAsia="宋体" w:cs="宋体"/>
          <w:spacing w:val="-30"/>
          <w:sz w:val="20"/>
          <w:szCs w:val="20"/>
        </w:rPr>
        <w:t xml:space="preserve"> </w:t>
      </w:r>
      <w:r>
        <w:rPr>
          <w:rFonts w:ascii="宋体" w:hAnsi="宋体" w:eastAsia="宋体" w:cs="宋体"/>
          <w:sz w:val="20"/>
          <w:szCs w:val="20"/>
        </w:rPr>
        <w:t xml:space="preserve">HIV </w:t>
      </w:r>
      <w:r>
        <w:rPr>
          <w:rFonts w:ascii="宋体" w:hAnsi="宋体" w:eastAsia="宋体" w:cs="宋体"/>
          <w:spacing w:val="-1"/>
          <w:sz w:val="20"/>
          <w:szCs w:val="20"/>
        </w:rPr>
        <w:t>暴</w:t>
      </w:r>
      <w:r>
        <w:rPr>
          <w:rFonts w:ascii="宋体" w:hAnsi="宋体" w:eastAsia="宋体" w:cs="宋体"/>
          <w:spacing w:val="-40"/>
          <w:sz w:val="20"/>
          <w:szCs w:val="20"/>
        </w:rPr>
        <w:t xml:space="preserve"> </w:t>
      </w:r>
      <w:r>
        <w:rPr>
          <w:rFonts w:ascii="宋体" w:hAnsi="宋体" w:eastAsia="宋体" w:cs="宋体"/>
          <w:spacing w:val="-1"/>
          <w:sz w:val="20"/>
          <w:szCs w:val="20"/>
        </w:rPr>
        <w:t>露</w:t>
      </w:r>
      <w:r>
        <w:rPr>
          <w:rFonts w:ascii="宋体" w:hAnsi="宋体" w:eastAsia="宋体" w:cs="宋体"/>
          <w:sz w:val="20"/>
          <w:szCs w:val="20"/>
        </w:rPr>
        <w:t xml:space="preserve"> </w:t>
      </w:r>
      <w:r>
        <w:rPr>
          <w:rFonts w:ascii="宋体" w:hAnsi="宋体" w:eastAsia="宋体" w:cs="宋体"/>
          <w:spacing w:val="1"/>
          <w:sz w:val="20"/>
          <w:szCs w:val="20"/>
        </w:rPr>
        <w:t>前预防</w:t>
      </w:r>
      <w:r>
        <w:rPr>
          <w:rFonts w:ascii="Times New Roman" w:hAnsi="Times New Roman" w:eastAsia="Times New Roman" w:cs="Times New Roman"/>
          <w:spacing w:val="1"/>
          <w:sz w:val="20"/>
          <w:szCs w:val="20"/>
        </w:rPr>
        <w:t>(</w:t>
      </w:r>
      <w:r>
        <w:rPr>
          <w:rFonts w:ascii="Times New Roman" w:hAnsi="Times New Roman" w:eastAsia="Times New Roman" w:cs="Times New Roman"/>
          <w:sz w:val="20"/>
          <w:szCs w:val="20"/>
        </w:rPr>
        <w:t>pre</w:t>
      </w:r>
      <w:r>
        <w:rPr>
          <w:rFonts w:ascii="Times New Roman" w:hAnsi="Times New Roman" w:eastAsia="Times New Roman" w:cs="Times New Roman"/>
          <w:spacing w:val="1"/>
          <w:sz w:val="20"/>
          <w:szCs w:val="20"/>
        </w:rPr>
        <w:t>-</w:t>
      </w:r>
      <w:r>
        <w:rPr>
          <w:rFonts w:ascii="Times New Roman" w:hAnsi="Times New Roman" w:eastAsia="Times New Roman" w:cs="Times New Roman"/>
          <w:sz w:val="20"/>
          <w:szCs w:val="20"/>
        </w:rPr>
        <w:t>exposure</w:t>
      </w:r>
      <w:r>
        <w:rPr>
          <w:rFonts w:ascii="Times New Roman" w:hAnsi="Times New Roman" w:eastAsia="Times New Roman" w:cs="Times New Roman"/>
          <w:spacing w:val="1"/>
          <w:sz w:val="20"/>
          <w:szCs w:val="20"/>
        </w:rPr>
        <w:t xml:space="preserve">    </w:t>
      </w:r>
      <w:r>
        <w:rPr>
          <w:rFonts w:ascii="Times New Roman" w:hAnsi="Times New Roman" w:eastAsia="Times New Roman" w:cs="Times New Roman"/>
          <w:sz w:val="20"/>
          <w:szCs w:val="20"/>
        </w:rPr>
        <w:t>prophylaxis</w:t>
      </w:r>
      <w:r>
        <w:rPr>
          <w:rFonts w:ascii="Times New Roman" w:hAnsi="Times New Roman" w:eastAsia="Times New Roman" w:cs="Times New Roman"/>
          <w:spacing w:val="1"/>
          <w:sz w:val="20"/>
          <w:szCs w:val="20"/>
        </w:rPr>
        <w:t>,</w:t>
      </w:r>
      <w:r>
        <w:rPr>
          <w:rFonts w:ascii="Times New Roman" w:hAnsi="Times New Roman" w:eastAsia="Times New Roman" w:cs="Times New Roman"/>
          <w:sz w:val="20"/>
          <w:szCs w:val="20"/>
        </w:rPr>
        <w:t>PrEP</w:t>
      </w:r>
      <w:r>
        <w:rPr>
          <w:rFonts w:ascii="Times New Roman" w:hAnsi="Times New Roman" w:eastAsia="Times New Roman" w:cs="Times New Roman"/>
          <w:spacing w:val="1"/>
          <w:sz w:val="20"/>
          <w:szCs w:val="20"/>
        </w:rPr>
        <w:t>)</w:t>
      </w:r>
      <w:r>
        <w:rPr>
          <w:rFonts w:ascii="宋体" w:hAnsi="宋体" w:eastAsia="宋体" w:cs="宋体"/>
          <w:spacing w:val="1"/>
          <w:sz w:val="20"/>
          <w:szCs w:val="20"/>
        </w:rPr>
        <w:t>是</w:t>
      </w:r>
      <w:r>
        <w:rPr>
          <w:rFonts w:ascii="宋体" w:hAnsi="宋体" w:eastAsia="宋体" w:cs="宋体"/>
          <w:spacing w:val="-38"/>
          <w:sz w:val="20"/>
          <w:szCs w:val="20"/>
        </w:rPr>
        <w:t xml:space="preserve"> </w:t>
      </w:r>
      <w:r>
        <w:rPr>
          <w:rFonts w:ascii="Times New Roman" w:hAnsi="Times New Roman" w:eastAsia="Times New Roman" w:cs="Times New Roman"/>
          <w:sz w:val="20"/>
          <w:szCs w:val="20"/>
        </w:rPr>
        <w:t>HIV</w:t>
      </w:r>
      <w:r>
        <w:rPr>
          <w:rFonts w:ascii="Times New Roman" w:hAnsi="Times New Roman" w:eastAsia="Times New Roman" w:cs="Times New Roman"/>
          <w:spacing w:val="1"/>
          <w:sz w:val="20"/>
          <w:szCs w:val="20"/>
        </w:rPr>
        <w:t xml:space="preserve"> </w:t>
      </w:r>
      <w:r>
        <w:rPr>
          <w:rFonts w:ascii="宋体" w:hAnsi="宋体" w:eastAsia="宋体" w:cs="宋体"/>
          <w:spacing w:val="1"/>
          <w:sz w:val="20"/>
          <w:szCs w:val="20"/>
        </w:rPr>
        <w:t>综合预防方案的关键组成部分。</w:t>
      </w:r>
      <w:r>
        <w:rPr>
          <w:rFonts w:ascii="宋体" w:hAnsi="宋体" w:eastAsia="宋体" w:cs="宋体"/>
          <w:spacing w:val="-50"/>
          <w:sz w:val="20"/>
          <w:szCs w:val="20"/>
        </w:rPr>
        <w:t xml:space="preserve"> </w:t>
      </w:r>
      <w:r>
        <w:rPr>
          <w:rFonts w:ascii="Times New Roman" w:hAnsi="Times New Roman" w:eastAsia="Times New Roman" w:cs="Times New Roman"/>
          <w:sz w:val="20"/>
          <w:szCs w:val="20"/>
        </w:rPr>
        <w:t>PrEP</w:t>
      </w:r>
      <w:r>
        <w:rPr>
          <w:rFonts w:ascii="Times New Roman" w:hAnsi="Times New Roman" w:eastAsia="Times New Roman" w:cs="Times New Roman"/>
          <w:spacing w:val="32"/>
          <w:w w:val="101"/>
          <w:sz w:val="20"/>
          <w:szCs w:val="20"/>
        </w:rPr>
        <w:t xml:space="preserve"> </w:t>
      </w:r>
      <w:r>
        <w:rPr>
          <w:rFonts w:ascii="宋体" w:hAnsi="宋体" w:eastAsia="宋体" w:cs="宋体"/>
          <w:spacing w:val="1"/>
          <w:sz w:val="20"/>
          <w:szCs w:val="20"/>
        </w:rPr>
        <w:t>是</w:t>
      </w:r>
      <w:r>
        <w:rPr>
          <w:rFonts w:ascii="宋体" w:hAnsi="宋体" w:eastAsia="宋体" w:cs="宋体"/>
          <w:spacing w:val="-36"/>
          <w:sz w:val="20"/>
          <w:szCs w:val="20"/>
        </w:rPr>
        <w:t xml:space="preserve"> </w:t>
      </w:r>
      <w:r>
        <w:rPr>
          <w:rFonts w:ascii="宋体" w:hAnsi="宋体" w:eastAsia="宋体" w:cs="宋体"/>
          <w:spacing w:val="1"/>
          <w:sz w:val="20"/>
          <w:szCs w:val="20"/>
        </w:rPr>
        <w:t>指</w:t>
      </w:r>
      <w:r>
        <w:rPr>
          <w:rFonts w:ascii="Times New Roman" w:hAnsi="Times New Roman" w:eastAsia="Times New Roman" w:cs="Times New Roman"/>
          <w:sz w:val="20"/>
          <w:szCs w:val="20"/>
        </w:rPr>
        <w:t>HIV</w:t>
      </w:r>
      <w:r>
        <w:rPr>
          <w:rFonts w:ascii="Times New Roman" w:hAnsi="Times New Roman" w:eastAsia="Times New Roman" w:cs="Times New Roman"/>
          <w:spacing w:val="1"/>
          <w:sz w:val="20"/>
          <w:szCs w:val="20"/>
        </w:rPr>
        <w:t xml:space="preserve">  </w:t>
      </w:r>
      <w:r>
        <w:rPr>
          <w:rFonts w:ascii="宋体" w:hAnsi="宋体" w:eastAsia="宋体" w:cs="宋体"/>
          <w:spacing w:val="1"/>
          <w:sz w:val="20"/>
          <w:szCs w:val="20"/>
        </w:rPr>
        <w:t>阴性</w:t>
      </w:r>
      <w:r>
        <w:rPr>
          <w:rFonts w:ascii="宋体" w:hAnsi="宋体" w:eastAsia="宋体" w:cs="宋体"/>
          <w:sz w:val="20"/>
          <w:szCs w:val="20"/>
        </w:rPr>
        <w:t xml:space="preserve"> </w:t>
      </w:r>
      <w:r>
        <w:rPr>
          <w:rFonts w:ascii="宋体" w:hAnsi="宋体" w:eastAsia="宋体" w:cs="宋体"/>
          <w:spacing w:val="5"/>
          <w:sz w:val="20"/>
          <w:szCs w:val="20"/>
        </w:rPr>
        <w:t>人群通过使用抗逆转录病毒药物来预防</w:t>
      </w:r>
      <w:r>
        <w:rPr>
          <w:rFonts w:ascii="Times New Roman" w:hAnsi="Times New Roman" w:eastAsia="Times New Roman" w:cs="Times New Roman"/>
          <w:sz w:val="20"/>
          <w:szCs w:val="20"/>
        </w:rPr>
        <w:t>HIV</w:t>
      </w:r>
      <w:r>
        <w:rPr>
          <w:rFonts w:ascii="Times New Roman" w:hAnsi="Times New Roman" w:eastAsia="Times New Roman" w:cs="Times New Roman"/>
          <w:spacing w:val="5"/>
          <w:sz w:val="20"/>
          <w:szCs w:val="20"/>
        </w:rPr>
        <w:t xml:space="preserve"> </w:t>
      </w:r>
      <w:r>
        <w:rPr>
          <w:rFonts w:ascii="宋体" w:hAnsi="宋体" w:eastAsia="宋体" w:cs="宋体"/>
          <w:spacing w:val="5"/>
          <w:sz w:val="20"/>
          <w:szCs w:val="20"/>
        </w:rPr>
        <w:t>感染的生</w:t>
      </w:r>
      <w:r>
        <w:rPr>
          <w:rFonts w:ascii="宋体" w:hAnsi="宋体" w:eastAsia="宋体" w:cs="宋体"/>
          <w:spacing w:val="4"/>
          <w:sz w:val="20"/>
          <w:szCs w:val="20"/>
        </w:rPr>
        <w:t>物学预防方法。</w:t>
      </w:r>
      <w:r>
        <w:rPr>
          <w:rFonts w:ascii="宋体" w:hAnsi="宋体" w:eastAsia="宋体" w:cs="宋体"/>
          <w:spacing w:val="-40"/>
          <w:sz w:val="20"/>
          <w:szCs w:val="20"/>
        </w:rPr>
        <w:t xml:space="preserve"> </w:t>
      </w:r>
      <w:r>
        <w:rPr>
          <w:rFonts w:ascii="Times New Roman" w:hAnsi="Times New Roman" w:eastAsia="Times New Roman" w:cs="Times New Roman"/>
          <w:sz w:val="20"/>
          <w:szCs w:val="20"/>
        </w:rPr>
        <w:t>PrEP</w:t>
      </w:r>
      <w:r>
        <w:rPr>
          <w:rFonts w:ascii="Times New Roman" w:hAnsi="Times New Roman" w:eastAsia="Times New Roman" w:cs="Times New Roman"/>
          <w:spacing w:val="43"/>
          <w:sz w:val="20"/>
          <w:szCs w:val="20"/>
        </w:rPr>
        <w:t xml:space="preserve"> </w:t>
      </w:r>
      <w:r>
        <w:rPr>
          <w:rFonts w:ascii="宋体" w:hAnsi="宋体" w:eastAsia="宋体" w:cs="宋体"/>
          <w:spacing w:val="4"/>
          <w:sz w:val="20"/>
          <w:szCs w:val="20"/>
        </w:rPr>
        <w:t>已经被证明可以降低高</w:t>
      </w:r>
      <w:r>
        <w:rPr>
          <w:rFonts w:ascii="宋体" w:hAnsi="宋体" w:eastAsia="宋体" w:cs="宋体"/>
          <w:sz w:val="20"/>
          <w:szCs w:val="20"/>
        </w:rPr>
        <w:t xml:space="preserve"> </w:t>
      </w:r>
      <w:r>
        <w:rPr>
          <w:rFonts w:ascii="宋体" w:hAnsi="宋体" w:eastAsia="宋体" w:cs="宋体"/>
          <w:spacing w:val="3"/>
          <w:sz w:val="20"/>
          <w:szCs w:val="20"/>
        </w:rPr>
        <w:t>危人群感染</w:t>
      </w:r>
      <w:r>
        <w:rPr>
          <w:rFonts w:ascii="Times New Roman" w:hAnsi="Times New Roman" w:eastAsia="Times New Roman" w:cs="Times New Roman"/>
          <w:sz w:val="20"/>
          <w:szCs w:val="20"/>
        </w:rPr>
        <w:t>HIV</w:t>
      </w:r>
      <w:r>
        <w:rPr>
          <w:rFonts w:ascii="Times New Roman" w:hAnsi="Times New Roman" w:eastAsia="Times New Roman" w:cs="Times New Roman"/>
          <w:spacing w:val="18"/>
          <w:sz w:val="20"/>
          <w:szCs w:val="20"/>
        </w:rPr>
        <w:t xml:space="preserve"> </w:t>
      </w:r>
      <w:r>
        <w:rPr>
          <w:rFonts w:ascii="宋体" w:hAnsi="宋体" w:eastAsia="宋体" w:cs="宋体"/>
          <w:spacing w:val="3"/>
          <w:sz w:val="20"/>
          <w:szCs w:val="20"/>
        </w:rPr>
        <w:t>的风险。2020年，我国发布</w:t>
      </w:r>
      <w:r>
        <w:rPr>
          <w:rFonts w:ascii="宋体" w:hAnsi="宋体" w:eastAsia="宋体" w:cs="宋体"/>
          <w:spacing w:val="2"/>
          <w:sz w:val="20"/>
          <w:szCs w:val="20"/>
        </w:rPr>
        <w:t>了《中国</w:t>
      </w:r>
      <w:r>
        <w:rPr>
          <w:rFonts w:ascii="Times New Roman" w:hAnsi="Times New Roman" w:eastAsia="Times New Roman" w:cs="Times New Roman"/>
          <w:sz w:val="20"/>
          <w:szCs w:val="20"/>
        </w:rPr>
        <w:t>HIV</w:t>
      </w:r>
      <w:r>
        <w:rPr>
          <w:rFonts w:ascii="Times New Roman" w:hAnsi="Times New Roman" w:eastAsia="Times New Roman" w:cs="Times New Roman"/>
          <w:spacing w:val="18"/>
          <w:sz w:val="20"/>
          <w:szCs w:val="20"/>
        </w:rPr>
        <w:t xml:space="preserve"> </w:t>
      </w:r>
      <w:r>
        <w:rPr>
          <w:rFonts w:ascii="宋体" w:hAnsi="宋体" w:eastAsia="宋体" w:cs="宋体"/>
          <w:spacing w:val="2"/>
          <w:sz w:val="20"/>
          <w:szCs w:val="20"/>
        </w:rPr>
        <w:t>暴露前预防用药专家共识》。随着新型药</w:t>
      </w:r>
      <w:r>
        <w:rPr>
          <w:rFonts w:ascii="宋体" w:hAnsi="宋体" w:eastAsia="宋体" w:cs="宋体"/>
          <w:sz w:val="20"/>
          <w:szCs w:val="20"/>
        </w:rPr>
        <w:t xml:space="preserve"> </w:t>
      </w:r>
      <w:r>
        <w:rPr>
          <w:rFonts w:ascii="宋体" w:hAnsi="宋体" w:eastAsia="宋体" w:cs="宋体"/>
          <w:spacing w:val="8"/>
          <w:sz w:val="20"/>
          <w:szCs w:val="20"/>
        </w:rPr>
        <w:t>物的获批及相关数据的更新，2023年中国性病艾滋病防治协会艾滋病药物预防与阻断专</w:t>
      </w:r>
      <w:r>
        <w:rPr>
          <w:rFonts w:ascii="宋体" w:hAnsi="宋体" w:eastAsia="宋体" w:cs="宋体"/>
          <w:spacing w:val="7"/>
          <w:sz w:val="20"/>
          <w:szCs w:val="20"/>
        </w:rPr>
        <w:t>业委员会</w:t>
      </w:r>
      <w:r>
        <w:rPr>
          <w:rFonts w:ascii="宋体" w:hAnsi="宋体" w:eastAsia="宋体" w:cs="宋体"/>
          <w:sz w:val="20"/>
          <w:szCs w:val="20"/>
        </w:rPr>
        <w:t xml:space="preserve"> </w:t>
      </w:r>
      <w:r>
        <w:rPr>
          <w:rFonts w:ascii="宋体" w:hAnsi="宋体" w:eastAsia="宋体" w:cs="宋体"/>
          <w:spacing w:val="6"/>
          <w:sz w:val="20"/>
          <w:szCs w:val="20"/>
        </w:rPr>
        <w:t>对第1版共识进行了修订更新，该共识为</w:t>
      </w:r>
      <w:r>
        <w:rPr>
          <w:rFonts w:ascii="Times New Roman" w:hAnsi="Times New Roman" w:eastAsia="Times New Roman" w:cs="Times New Roman"/>
          <w:sz w:val="20"/>
          <w:szCs w:val="20"/>
        </w:rPr>
        <w:t>PrEP</w:t>
      </w:r>
      <w:r>
        <w:rPr>
          <w:rFonts w:ascii="Times New Roman" w:hAnsi="Times New Roman" w:eastAsia="Times New Roman" w:cs="Times New Roman"/>
          <w:spacing w:val="6"/>
          <w:sz w:val="20"/>
          <w:szCs w:val="20"/>
        </w:rPr>
        <w:t xml:space="preserve"> </w:t>
      </w:r>
      <w:r>
        <w:rPr>
          <w:rFonts w:ascii="宋体" w:hAnsi="宋体" w:eastAsia="宋体" w:cs="宋体"/>
          <w:spacing w:val="6"/>
          <w:sz w:val="20"/>
          <w:szCs w:val="20"/>
        </w:rPr>
        <w:t>的实施提供了规范化的指导意见。</w:t>
      </w:r>
    </w:p>
    <w:p w14:paraId="5A6BE889">
      <w:pPr>
        <w:spacing w:before="50" w:line="333" w:lineRule="auto"/>
        <w:ind w:left="659" w:right="14" w:firstLine="420"/>
        <w:jc w:val="both"/>
        <w:rPr>
          <w:rFonts w:ascii="宋体" w:hAnsi="宋体" w:eastAsia="宋体" w:cs="宋体"/>
          <w:sz w:val="20"/>
          <w:szCs w:val="20"/>
        </w:rPr>
      </w:pPr>
      <w:r>
        <w:rPr>
          <w:rFonts w:ascii="宋体" w:hAnsi="宋体" w:eastAsia="宋体" w:cs="宋体"/>
          <w:spacing w:val="6"/>
          <w:sz w:val="20"/>
          <w:szCs w:val="20"/>
        </w:rPr>
        <w:t>针</w:t>
      </w:r>
      <w:r>
        <w:rPr>
          <w:rFonts w:ascii="宋体" w:hAnsi="宋体" w:eastAsia="宋体" w:cs="宋体"/>
          <w:spacing w:val="-20"/>
          <w:sz w:val="20"/>
          <w:szCs w:val="20"/>
        </w:rPr>
        <w:t xml:space="preserve"> </w:t>
      </w:r>
      <w:r>
        <w:rPr>
          <w:rFonts w:ascii="宋体" w:hAnsi="宋体" w:eastAsia="宋体" w:cs="宋体"/>
          <w:spacing w:val="6"/>
          <w:sz w:val="20"/>
          <w:szCs w:val="20"/>
        </w:rPr>
        <w:t>对</w:t>
      </w:r>
      <w:r>
        <w:rPr>
          <w:rFonts w:ascii="Times New Roman" w:hAnsi="Times New Roman" w:eastAsia="Times New Roman" w:cs="Times New Roman"/>
          <w:sz w:val="20"/>
          <w:szCs w:val="20"/>
        </w:rPr>
        <w:t>HIV</w:t>
      </w:r>
      <w:r>
        <w:rPr>
          <w:rFonts w:ascii="Times New Roman" w:hAnsi="Times New Roman" w:eastAsia="Times New Roman" w:cs="Times New Roman"/>
          <w:spacing w:val="6"/>
          <w:sz w:val="20"/>
          <w:szCs w:val="20"/>
        </w:rPr>
        <w:t xml:space="preserve"> </w:t>
      </w:r>
      <w:r>
        <w:rPr>
          <w:rFonts w:ascii="宋体" w:hAnsi="宋体" w:eastAsia="宋体" w:cs="宋体"/>
          <w:spacing w:val="6"/>
          <w:sz w:val="20"/>
          <w:szCs w:val="20"/>
        </w:rPr>
        <w:t>暴露后传播的生物医学干预措施同样是</w:t>
      </w:r>
      <w:r>
        <w:rPr>
          <w:rFonts w:ascii="Times New Roman" w:hAnsi="Times New Roman" w:eastAsia="Times New Roman" w:cs="Times New Roman"/>
          <w:sz w:val="20"/>
          <w:szCs w:val="20"/>
        </w:rPr>
        <w:t>HIV</w:t>
      </w:r>
      <w:r>
        <w:rPr>
          <w:rFonts w:ascii="Times New Roman" w:hAnsi="Times New Roman" w:eastAsia="Times New Roman" w:cs="Times New Roman"/>
          <w:spacing w:val="6"/>
          <w:sz w:val="20"/>
          <w:szCs w:val="20"/>
        </w:rPr>
        <w:t xml:space="preserve"> </w:t>
      </w:r>
      <w:r>
        <w:rPr>
          <w:rFonts w:ascii="宋体" w:hAnsi="宋体" w:eastAsia="宋体" w:cs="宋体"/>
          <w:spacing w:val="6"/>
          <w:sz w:val="20"/>
          <w:szCs w:val="20"/>
        </w:rPr>
        <w:t>感染/</w:t>
      </w:r>
      <w:r>
        <w:rPr>
          <w:rFonts w:ascii="Times New Roman" w:hAnsi="Times New Roman" w:eastAsia="Times New Roman" w:cs="Times New Roman"/>
          <w:sz w:val="20"/>
          <w:szCs w:val="20"/>
        </w:rPr>
        <w:t>AIDS</w:t>
      </w:r>
      <w:r>
        <w:rPr>
          <w:rFonts w:ascii="Times New Roman" w:hAnsi="Times New Roman" w:eastAsia="Times New Roman" w:cs="Times New Roman"/>
          <w:spacing w:val="6"/>
          <w:sz w:val="20"/>
          <w:szCs w:val="20"/>
        </w:rPr>
        <w:t xml:space="preserve"> </w:t>
      </w:r>
      <w:r>
        <w:rPr>
          <w:rFonts w:ascii="宋体" w:hAnsi="宋体" w:eastAsia="宋体" w:cs="宋体"/>
          <w:spacing w:val="6"/>
          <w:sz w:val="20"/>
          <w:szCs w:val="20"/>
        </w:rPr>
        <w:t>综合干预策略的重要组成部</w:t>
      </w:r>
      <w:r>
        <w:rPr>
          <w:rFonts w:ascii="宋体" w:hAnsi="宋体" w:eastAsia="宋体" w:cs="宋体"/>
          <w:sz w:val="20"/>
          <w:szCs w:val="20"/>
        </w:rPr>
        <w:t xml:space="preserve"> </w:t>
      </w:r>
      <w:r>
        <w:rPr>
          <w:rFonts w:ascii="宋体" w:hAnsi="宋体" w:eastAsia="宋体" w:cs="宋体"/>
          <w:spacing w:val="1"/>
          <w:sz w:val="20"/>
          <w:szCs w:val="20"/>
        </w:rPr>
        <w:t>分 。</w:t>
      </w:r>
      <w:r>
        <w:rPr>
          <w:rFonts w:ascii="Times New Roman" w:hAnsi="Times New Roman" w:eastAsia="Times New Roman" w:cs="Times New Roman"/>
          <w:sz w:val="20"/>
          <w:szCs w:val="20"/>
        </w:rPr>
        <w:t>HIV</w:t>
      </w:r>
      <w:r>
        <w:rPr>
          <w:rFonts w:ascii="Times New Roman" w:hAnsi="Times New Roman" w:eastAsia="Times New Roman" w:cs="Times New Roman"/>
          <w:spacing w:val="19"/>
          <w:sz w:val="20"/>
          <w:szCs w:val="20"/>
        </w:rPr>
        <w:t xml:space="preserve"> </w:t>
      </w:r>
      <w:r>
        <w:rPr>
          <w:rFonts w:ascii="宋体" w:hAnsi="宋体" w:eastAsia="宋体" w:cs="宋体"/>
          <w:spacing w:val="1"/>
          <w:sz w:val="20"/>
          <w:szCs w:val="20"/>
        </w:rPr>
        <w:t>暴露后预防</w:t>
      </w:r>
      <w:r>
        <w:rPr>
          <w:rFonts w:ascii="Times New Roman" w:hAnsi="Times New Roman" w:eastAsia="Times New Roman" w:cs="Times New Roman"/>
          <w:spacing w:val="1"/>
          <w:sz w:val="20"/>
          <w:szCs w:val="20"/>
        </w:rPr>
        <w:t>(</w:t>
      </w:r>
      <w:r>
        <w:rPr>
          <w:rFonts w:ascii="Times New Roman" w:hAnsi="Times New Roman" w:eastAsia="Times New Roman" w:cs="Times New Roman"/>
          <w:sz w:val="20"/>
          <w:szCs w:val="20"/>
        </w:rPr>
        <w:t>post</w:t>
      </w:r>
      <w:r>
        <w:rPr>
          <w:rFonts w:ascii="Times New Roman" w:hAnsi="Times New Roman" w:eastAsia="Times New Roman" w:cs="Times New Roman"/>
          <w:spacing w:val="1"/>
          <w:sz w:val="20"/>
          <w:szCs w:val="20"/>
        </w:rPr>
        <w:t>-</w:t>
      </w:r>
      <w:r>
        <w:rPr>
          <w:rFonts w:ascii="Times New Roman" w:hAnsi="Times New Roman" w:eastAsia="Times New Roman" w:cs="Times New Roman"/>
          <w:sz w:val="20"/>
          <w:szCs w:val="20"/>
        </w:rPr>
        <w:t>exposure</w:t>
      </w:r>
      <w:r>
        <w:rPr>
          <w:rFonts w:ascii="Times New Roman" w:hAnsi="Times New Roman" w:eastAsia="Times New Roman" w:cs="Times New Roman"/>
          <w:spacing w:val="14"/>
          <w:sz w:val="20"/>
          <w:szCs w:val="20"/>
        </w:rPr>
        <w:t xml:space="preserve">   </w:t>
      </w:r>
      <w:r>
        <w:rPr>
          <w:rFonts w:ascii="Times New Roman" w:hAnsi="Times New Roman" w:eastAsia="Times New Roman" w:cs="Times New Roman"/>
          <w:sz w:val="20"/>
          <w:szCs w:val="20"/>
        </w:rPr>
        <w:t>prophylaxis</w:t>
      </w:r>
      <w:r>
        <w:rPr>
          <w:rFonts w:ascii="Times New Roman" w:hAnsi="Times New Roman" w:eastAsia="Times New Roman" w:cs="Times New Roman"/>
          <w:spacing w:val="1"/>
          <w:sz w:val="20"/>
          <w:szCs w:val="20"/>
        </w:rPr>
        <w:t>,</w:t>
      </w:r>
      <w:r>
        <w:rPr>
          <w:rFonts w:ascii="Times New Roman" w:hAnsi="Times New Roman" w:eastAsia="Times New Roman" w:cs="Times New Roman"/>
          <w:sz w:val="20"/>
          <w:szCs w:val="20"/>
        </w:rPr>
        <w:t>PEP</w:t>
      </w:r>
      <w:r>
        <w:rPr>
          <w:rFonts w:ascii="Times New Roman" w:hAnsi="Times New Roman" w:eastAsia="Times New Roman" w:cs="Times New Roman"/>
          <w:spacing w:val="1"/>
          <w:sz w:val="20"/>
          <w:szCs w:val="20"/>
        </w:rPr>
        <w:t>)</w:t>
      </w:r>
      <w:r>
        <w:rPr>
          <w:rFonts w:ascii="宋体" w:hAnsi="宋体" w:eastAsia="宋体" w:cs="宋体"/>
          <w:spacing w:val="1"/>
          <w:sz w:val="20"/>
          <w:szCs w:val="20"/>
        </w:rPr>
        <w:t>是指尚未感染</w:t>
      </w:r>
      <w:r>
        <w:rPr>
          <w:rFonts w:ascii="Times New Roman" w:hAnsi="Times New Roman" w:eastAsia="Times New Roman" w:cs="Times New Roman"/>
          <w:sz w:val="20"/>
          <w:szCs w:val="20"/>
        </w:rPr>
        <w:t>HIV</w:t>
      </w:r>
      <w:r>
        <w:rPr>
          <w:rFonts w:ascii="Times New Roman" w:hAnsi="Times New Roman" w:eastAsia="Times New Roman" w:cs="Times New Roman"/>
          <w:spacing w:val="1"/>
          <w:sz w:val="20"/>
          <w:szCs w:val="20"/>
        </w:rPr>
        <w:t xml:space="preserve"> </w:t>
      </w:r>
      <w:r>
        <w:rPr>
          <w:rFonts w:ascii="宋体" w:hAnsi="宋体" w:eastAsia="宋体" w:cs="宋体"/>
          <w:spacing w:val="1"/>
          <w:sz w:val="20"/>
          <w:szCs w:val="20"/>
        </w:rPr>
        <w:t xml:space="preserve">的人员，在暴露于高感染风 </w:t>
      </w:r>
      <w:r>
        <w:rPr>
          <w:rFonts w:ascii="宋体" w:hAnsi="宋体" w:eastAsia="宋体" w:cs="宋体"/>
          <w:spacing w:val="8"/>
          <w:sz w:val="20"/>
          <w:szCs w:val="20"/>
        </w:rPr>
        <w:t>险后，如与</w:t>
      </w:r>
      <w:r>
        <w:rPr>
          <w:rFonts w:ascii="Times New Roman" w:hAnsi="Times New Roman" w:eastAsia="Times New Roman" w:cs="Times New Roman"/>
          <w:sz w:val="20"/>
          <w:szCs w:val="20"/>
        </w:rPr>
        <w:t>HIV</w:t>
      </w:r>
      <w:r>
        <w:rPr>
          <w:rFonts w:ascii="Times New Roman" w:hAnsi="Times New Roman" w:eastAsia="Times New Roman" w:cs="Times New Roman"/>
          <w:spacing w:val="18"/>
          <w:sz w:val="20"/>
          <w:szCs w:val="20"/>
        </w:rPr>
        <w:t xml:space="preserve"> </w:t>
      </w:r>
      <w:r>
        <w:rPr>
          <w:rFonts w:ascii="宋体" w:hAnsi="宋体" w:eastAsia="宋体" w:cs="宋体"/>
          <w:spacing w:val="8"/>
          <w:sz w:val="20"/>
          <w:szCs w:val="20"/>
        </w:rPr>
        <w:t>感染者或感染状态不明者发生体液交换行为，及早(不</w:t>
      </w:r>
      <w:r>
        <w:rPr>
          <w:rFonts w:ascii="宋体" w:hAnsi="宋体" w:eastAsia="宋体" w:cs="宋体"/>
          <w:spacing w:val="7"/>
          <w:sz w:val="20"/>
          <w:szCs w:val="20"/>
        </w:rPr>
        <w:t>超过72小时)服用特定的抗</w:t>
      </w:r>
      <w:r>
        <w:rPr>
          <w:rFonts w:ascii="宋体" w:hAnsi="宋体" w:eastAsia="宋体" w:cs="宋体"/>
          <w:sz w:val="20"/>
          <w:szCs w:val="20"/>
        </w:rPr>
        <w:t xml:space="preserve"> </w:t>
      </w:r>
      <w:r>
        <w:rPr>
          <w:rFonts w:ascii="宋体" w:hAnsi="宋体" w:eastAsia="宋体" w:cs="宋体"/>
          <w:spacing w:val="3"/>
          <w:sz w:val="20"/>
          <w:szCs w:val="20"/>
        </w:rPr>
        <w:t>病毒药物，降低</w:t>
      </w:r>
      <w:r>
        <w:rPr>
          <w:rFonts w:ascii="Times New Roman" w:hAnsi="Times New Roman" w:eastAsia="Times New Roman" w:cs="Times New Roman"/>
          <w:sz w:val="20"/>
          <w:szCs w:val="20"/>
        </w:rPr>
        <w:t>HIV</w:t>
      </w:r>
      <w:r>
        <w:rPr>
          <w:rFonts w:ascii="Times New Roman" w:hAnsi="Times New Roman" w:eastAsia="Times New Roman" w:cs="Times New Roman"/>
          <w:spacing w:val="3"/>
          <w:sz w:val="20"/>
          <w:szCs w:val="20"/>
        </w:rPr>
        <w:t xml:space="preserve"> </w:t>
      </w:r>
      <w:r>
        <w:rPr>
          <w:rFonts w:ascii="宋体" w:hAnsi="宋体" w:eastAsia="宋体" w:cs="宋体"/>
          <w:spacing w:val="3"/>
          <w:sz w:val="20"/>
          <w:szCs w:val="20"/>
        </w:rPr>
        <w:t>感染风险的方法。由于伦理学等原因，国际上尚缺乏有关</w:t>
      </w:r>
      <w:r>
        <w:rPr>
          <w:rFonts w:ascii="Times New Roman" w:hAnsi="Times New Roman" w:eastAsia="Times New Roman" w:cs="Times New Roman"/>
          <w:sz w:val="20"/>
          <w:szCs w:val="20"/>
        </w:rPr>
        <w:t>PEP</w:t>
      </w:r>
      <w:r>
        <w:rPr>
          <w:rFonts w:ascii="Times New Roman" w:hAnsi="Times New Roman" w:eastAsia="Times New Roman" w:cs="Times New Roman"/>
          <w:spacing w:val="35"/>
          <w:sz w:val="20"/>
          <w:szCs w:val="20"/>
        </w:rPr>
        <w:t xml:space="preserve"> </w:t>
      </w:r>
      <w:r>
        <w:rPr>
          <w:rFonts w:ascii="宋体" w:hAnsi="宋体" w:eastAsia="宋体" w:cs="宋体"/>
          <w:spacing w:val="3"/>
          <w:sz w:val="20"/>
          <w:szCs w:val="20"/>
        </w:rPr>
        <w:t>效果的随机对照</w:t>
      </w:r>
      <w:r>
        <w:rPr>
          <w:rFonts w:ascii="宋体" w:hAnsi="宋体" w:eastAsia="宋体" w:cs="宋体"/>
          <w:sz w:val="20"/>
          <w:szCs w:val="20"/>
        </w:rPr>
        <w:t xml:space="preserve"> </w:t>
      </w:r>
      <w:r>
        <w:rPr>
          <w:rFonts w:ascii="宋体" w:hAnsi="宋体" w:eastAsia="宋体" w:cs="宋体"/>
          <w:spacing w:val="4"/>
          <w:sz w:val="20"/>
          <w:szCs w:val="20"/>
        </w:rPr>
        <w:t>研究，但澳大利亚、英国、美国等已开展多项观察性研究，证</w:t>
      </w:r>
      <w:r>
        <w:rPr>
          <w:rFonts w:ascii="宋体" w:hAnsi="宋体" w:eastAsia="宋体" w:cs="宋体"/>
          <w:spacing w:val="3"/>
          <w:sz w:val="20"/>
          <w:szCs w:val="20"/>
        </w:rPr>
        <w:t>实</w:t>
      </w:r>
      <w:r>
        <w:rPr>
          <w:rFonts w:ascii="宋体" w:hAnsi="宋体" w:eastAsia="宋体" w:cs="宋体"/>
          <w:sz w:val="20"/>
          <w:szCs w:val="20"/>
        </w:rPr>
        <w:t>PEP</w:t>
      </w:r>
      <w:r>
        <w:rPr>
          <w:rFonts w:ascii="宋体" w:hAnsi="宋体" w:eastAsia="宋体" w:cs="宋体"/>
          <w:spacing w:val="3"/>
          <w:sz w:val="20"/>
          <w:szCs w:val="20"/>
        </w:rPr>
        <w:t xml:space="preserve"> 具有良好的预防效果。暴露后</w:t>
      </w:r>
      <w:r>
        <w:rPr>
          <w:rFonts w:ascii="宋体" w:hAnsi="宋体" w:eastAsia="宋体" w:cs="宋体"/>
          <w:sz w:val="20"/>
          <w:szCs w:val="20"/>
        </w:rPr>
        <w:t xml:space="preserve"> </w:t>
      </w:r>
      <w:r>
        <w:rPr>
          <w:rFonts w:ascii="宋体" w:hAnsi="宋体" w:eastAsia="宋体" w:cs="宋体"/>
          <w:spacing w:val="4"/>
          <w:sz w:val="20"/>
          <w:szCs w:val="20"/>
        </w:rPr>
        <w:t>预防为处于</w:t>
      </w:r>
      <w:r>
        <w:rPr>
          <w:rFonts w:ascii="Times New Roman" w:hAnsi="Times New Roman" w:eastAsia="Times New Roman" w:cs="Times New Roman"/>
          <w:sz w:val="20"/>
          <w:szCs w:val="20"/>
        </w:rPr>
        <w:t>HIV</w:t>
      </w:r>
      <w:r>
        <w:rPr>
          <w:rFonts w:ascii="Times New Roman" w:hAnsi="Times New Roman" w:eastAsia="Times New Roman" w:cs="Times New Roman"/>
          <w:spacing w:val="-12"/>
          <w:sz w:val="20"/>
          <w:szCs w:val="20"/>
        </w:rPr>
        <w:t xml:space="preserve"> </w:t>
      </w:r>
      <w:r>
        <w:rPr>
          <w:rFonts w:ascii="宋体" w:hAnsi="宋体" w:eastAsia="宋体" w:cs="宋体"/>
          <w:spacing w:val="4"/>
          <w:sz w:val="20"/>
          <w:szCs w:val="20"/>
        </w:rPr>
        <w:t>高暴露风险的人群提供了紧急阻断的机会，有助于减</w:t>
      </w:r>
      <w:r>
        <w:rPr>
          <w:rFonts w:ascii="宋体" w:hAnsi="宋体" w:eastAsia="宋体" w:cs="宋体"/>
          <w:spacing w:val="3"/>
          <w:sz w:val="20"/>
          <w:szCs w:val="20"/>
        </w:rPr>
        <w:t>少</w:t>
      </w:r>
      <w:r>
        <w:rPr>
          <w:rFonts w:ascii="Times New Roman" w:hAnsi="Times New Roman" w:eastAsia="Times New Roman" w:cs="Times New Roman"/>
          <w:sz w:val="20"/>
          <w:szCs w:val="20"/>
        </w:rPr>
        <w:t>HIV</w:t>
      </w:r>
      <w:r>
        <w:rPr>
          <w:rFonts w:ascii="Times New Roman" w:hAnsi="Times New Roman" w:eastAsia="Times New Roman" w:cs="Times New Roman"/>
          <w:spacing w:val="3"/>
          <w:sz w:val="20"/>
          <w:szCs w:val="20"/>
        </w:rPr>
        <w:t xml:space="preserve"> </w:t>
      </w:r>
      <w:r>
        <w:rPr>
          <w:rFonts w:ascii="宋体" w:hAnsi="宋体" w:eastAsia="宋体" w:cs="宋体"/>
          <w:spacing w:val="3"/>
          <w:sz w:val="20"/>
          <w:szCs w:val="20"/>
        </w:rPr>
        <w:t>感染和传播，目前已经</w:t>
      </w:r>
      <w:r>
        <w:rPr>
          <w:rFonts w:ascii="宋体" w:hAnsi="宋体" w:eastAsia="宋体" w:cs="宋体"/>
          <w:sz w:val="20"/>
          <w:szCs w:val="20"/>
        </w:rPr>
        <w:t xml:space="preserve"> </w:t>
      </w:r>
      <w:r>
        <w:rPr>
          <w:rFonts w:ascii="宋体" w:hAnsi="宋体" w:eastAsia="宋体" w:cs="宋体"/>
          <w:spacing w:val="5"/>
          <w:sz w:val="20"/>
          <w:szCs w:val="20"/>
        </w:rPr>
        <w:t>在全球广泛推广应用。</w:t>
      </w:r>
    </w:p>
    <w:p w14:paraId="5DB26E81">
      <w:pPr>
        <w:pStyle w:val="2"/>
        <w:spacing w:before="43" w:line="222" w:lineRule="auto"/>
        <w:ind w:left="1082"/>
        <w:rPr>
          <w:sz w:val="20"/>
          <w:szCs w:val="20"/>
        </w:rPr>
      </w:pPr>
      <w:r>
        <w:rPr>
          <w:b/>
          <w:bCs/>
          <w:spacing w:val="27"/>
          <w:sz w:val="20"/>
          <w:szCs w:val="20"/>
        </w:rPr>
        <w:t>(四)监测工作</w:t>
      </w:r>
    </w:p>
    <w:p w14:paraId="3D9C6617">
      <w:pPr>
        <w:spacing w:before="123" w:line="332" w:lineRule="auto"/>
        <w:ind w:left="659" w:right="21" w:firstLine="420"/>
        <w:rPr>
          <w:rFonts w:ascii="宋体" w:hAnsi="宋体" w:eastAsia="宋体" w:cs="宋体"/>
          <w:sz w:val="20"/>
          <w:szCs w:val="20"/>
        </w:rPr>
      </w:pPr>
      <w:r>
        <w:rPr>
          <w:rFonts w:ascii="宋体" w:hAnsi="宋体" w:eastAsia="宋体" w:cs="宋体"/>
          <w:spacing w:val="6"/>
          <w:sz w:val="20"/>
          <w:szCs w:val="20"/>
        </w:rPr>
        <w:t>我国的</w:t>
      </w:r>
      <w:r>
        <w:rPr>
          <w:rFonts w:ascii="Times New Roman" w:hAnsi="Times New Roman" w:eastAsia="Times New Roman" w:cs="Times New Roman"/>
          <w:sz w:val="20"/>
          <w:szCs w:val="20"/>
        </w:rPr>
        <w:t>AIDS</w:t>
      </w:r>
      <w:r>
        <w:rPr>
          <w:rFonts w:ascii="Times New Roman" w:hAnsi="Times New Roman" w:eastAsia="Times New Roman" w:cs="Times New Roman"/>
          <w:spacing w:val="6"/>
          <w:sz w:val="20"/>
          <w:szCs w:val="20"/>
        </w:rPr>
        <w:t xml:space="preserve"> </w:t>
      </w:r>
      <w:r>
        <w:rPr>
          <w:rFonts w:ascii="宋体" w:hAnsi="宋体" w:eastAsia="宋体" w:cs="宋体"/>
          <w:spacing w:val="6"/>
          <w:sz w:val="20"/>
          <w:szCs w:val="20"/>
        </w:rPr>
        <w:t>监测系统主要包括</w:t>
      </w:r>
      <w:r>
        <w:rPr>
          <w:rFonts w:ascii="Times New Roman" w:hAnsi="Times New Roman" w:eastAsia="Times New Roman" w:cs="Times New Roman"/>
          <w:sz w:val="20"/>
          <w:szCs w:val="20"/>
        </w:rPr>
        <w:t>HIV</w:t>
      </w:r>
      <w:r>
        <w:rPr>
          <w:rFonts w:ascii="Times New Roman" w:hAnsi="Times New Roman" w:eastAsia="Times New Roman" w:cs="Times New Roman"/>
          <w:spacing w:val="6"/>
          <w:sz w:val="20"/>
          <w:szCs w:val="20"/>
        </w:rPr>
        <w:t xml:space="preserve"> </w:t>
      </w:r>
      <w:r>
        <w:rPr>
          <w:rFonts w:ascii="宋体" w:hAnsi="宋体" w:eastAsia="宋体" w:cs="宋体"/>
          <w:spacing w:val="6"/>
          <w:sz w:val="20"/>
          <w:szCs w:val="20"/>
        </w:rPr>
        <w:t>感染/</w:t>
      </w:r>
      <w:r>
        <w:rPr>
          <w:rFonts w:ascii="Times New Roman" w:hAnsi="Times New Roman" w:eastAsia="Times New Roman" w:cs="Times New Roman"/>
          <w:sz w:val="20"/>
          <w:szCs w:val="20"/>
        </w:rPr>
        <w:t>AIDS</w:t>
      </w:r>
      <w:r>
        <w:rPr>
          <w:rFonts w:ascii="宋体" w:hAnsi="宋体" w:eastAsia="宋体" w:cs="宋体"/>
          <w:spacing w:val="6"/>
          <w:sz w:val="20"/>
          <w:szCs w:val="20"/>
        </w:rPr>
        <w:t>病例报告系统、</w:t>
      </w:r>
      <w:r>
        <w:rPr>
          <w:rFonts w:ascii="Times New Roman" w:hAnsi="Times New Roman" w:eastAsia="Times New Roman" w:cs="Times New Roman"/>
          <w:sz w:val="20"/>
          <w:szCs w:val="20"/>
        </w:rPr>
        <w:t>HIV</w:t>
      </w:r>
      <w:r>
        <w:rPr>
          <w:rFonts w:ascii="Times New Roman" w:hAnsi="Times New Roman" w:eastAsia="Times New Roman" w:cs="Times New Roman"/>
          <w:spacing w:val="19"/>
          <w:sz w:val="20"/>
          <w:szCs w:val="20"/>
        </w:rPr>
        <w:t xml:space="preserve"> </w:t>
      </w:r>
      <w:r>
        <w:rPr>
          <w:rFonts w:ascii="宋体" w:hAnsi="宋体" w:eastAsia="宋体" w:cs="宋体"/>
          <w:spacing w:val="6"/>
          <w:sz w:val="20"/>
          <w:szCs w:val="20"/>
        </w:rPr>
        <w:t>感染/</w:t>
      </w:r>
      <w:r>
        <w:rPr>
          <w:rFonts w:ascii="Times New Roman" w:hAnsi="Times New Roman" w:eastAsia="Times New Roman" w:cs="Times New Roman"/>
          <w:sz w:val="20"/>
          <w:szCs w:val="20"/>
        </w:rPr>
        <w:t>AIDS</w:t>
      </w:r>
      <w:r>
        <w:rPr>
          <w:rFonts w:ascii="Times New Roman" w:hAnsi="Times New Roman" w:eastAsia="Times New Roman" w:cs="Times New Roman"/>
          <w:spacing w:val="6"/>
          <w:sz w:val="20"/>
          <w:szCs w:val="20"/>
        </w:rPr>
        <w:t xml:space="preserve"> </w:t>
      </w:r>
      <w:r>
        <w:rPr>
          <w:rFonts w:ascii="宋体" w:hAnsi="宋体" w:eastAsia="宋体" w:cs="宋体"/>
          <w:spacing w:val="6"/>
          <w:sz w:val="20"/>
          <w:szCs w:val="20"/>
        </w:rPr>
        <w:t>哨点监测系统</w:t>
      </w:r>
      <w:r>
        <w:rPr>
          <w:rFonts w:ascii="宋体" w:hAnsi="宋体" w:eastAsia="宋体" w:cs="宋体"/>
          <w:sz w:val="20"/>
          <w:szCs w:val="20"/>
        </w:rPr>
        <w:t xml:space="preserve"> </w:t>
      </w:r>
      <w:r>
        <w:rPr>
          <w:rFonts w:ascii="宋体" w:hAnsi="宋体" w:eastAsia="宋体" w:cs="宋体"/>
          <w:spacing w:val="5"/>
          <w:sz w:val="20"/>
          <w:szCs w:val="20"/>
        </w:rPr>
        <w:t>(含行为学监测)和耐药监测系统。</w:t>
      </w:r>
    </w:p>
    <w:p w14:paraId="56F26DD4">
      <w:pPr>
        <w:spacing w:before="3" w:line="342" w:lineRule="auto"/>
        <w:ind w:left="659" w:right="20" w:firstLine="420"/>
        <w:jc w:val="both"/>
        <w:rPr>
          <w:rFonts w:ascii="宋体" w:hAnsi="宋体" w:eastAsia="宋体" w:cs="宋体"/>
          <w:sz w:val="20"/>
          <w:szCs w:val="20"/>
        </w:rPr>
      </w:pPr>
      <w:r>
        <w:rPr>
          <w:rFonts w:ascii="Times New Roman" w:hAnsi="Times New Roman" w:eastAsia="Times New Roman" w:cs="Times New Roman"/>
          <w:sz w:val="20"/>
          <w:szCs w:val="20"/>
        </w:rPr>
        <w:t>HIV</w:t>
      </w:r>
      <w:r>
        <w:rPr>
          <w:rFonts w:ascii="Times New Roman" w:hAnsi="Times New Roman" w:eastAsia="Times New Roman" w:cs="Times New Roman"/>
          <w:spacing w:val="8"/>
          <w:sz w:val="20"/>
          <w:szCs w:val="20"/>
        </w:rPr>
        <w:t xml:space="preserve"> </w:t>
      </w:r>
      <w:r>
        <w:rPr>
          <w:rFonts w:ascii="宋体" w:hAnsi="宋体" w:eastAsia="宋体" w:cs="宋体"/>
          <w:spacing w:val="8"/>
          <w:sz w:val="20"/>
          <w:szCs w:val="20"/>
        </w:rPr>
        <w:t>感染/</w:t>
      </w:r>
      <w:r>
        <w:rPr>
          <w:rFonts w:ascii="Times New Roman" w:hAnsi="Times New Roman" w:eastAsia="Times New Roman" w:cs="Times New Roman"/>
          <w:sz w:val="20"/>
          <w:szCs w:val="20"/>
        </w:rPr>
        <w:t>AIDS</w:t>
      </w:r>
      <w:r>
        <w:rPr>
          <w:rFonts w:ascii="Times New Roman" w:hAnsi="Times New Roman" w:eastAsia="Times New Roman" w:cs="Times New Roman"/>
          <w:spacing w:val="-15"/>
          <w:sz w:val="20"/>
          <w:szCs w:val="20"/>
        </w:rPr>
        <w:t xml:space="preserve"> </w:t>
      </w:r>
      <w:r>
        <w:rPr>
          <w:rFonts w:ascii="宋体" w:hAnsi="宋体" w:eastAsia="宋体" w:cs="宋体"/>
          <w:spacing w:val="8"/>
          <w:sz w:val="20"/>
          <w:szCs w:val="20"/>
        </w:rPr>
        <w:t>病例报告系统是用于监测、管理和分析</w:t>
      </w:r>
      <w:r>
        <w:rPr>
          <w:rFonts w:ascii="Times New Roman" w:hAnsi="Times New Roman" w:eastAsia="Times New Roman" w:cs="Times New Roman"/>
          <w:sz w:val="20"/>
          <w:szCs w:val="20"/>
        </w:rPr>
        <w:t>HIV</w:t>
      </w:r>
      <w:r>
        <w:rPr>
          <w:rFonts w:ascii="Times New Roman" w:hAnsi="Times New Roman" w:eastAsia="Times New Roman" w:cs="Times New Roman"/>
          <w:spacing w:val="28"/>
          <w:sz w:val="20"/>
          <w:szCs w:val="20"/>
        </w:rPr>
        <w:t xml:space="preserve"> </w:t>
      </w:r>
      <w:r>
        <w:rPr>
          <w:rFonts w:ascii="宋体" w:hAnsi="宋体" w:eastAsia="宋体" w:cs="宋体"/>
          <w:spacing w:val="8"/>
          <w:sz w:val="20"/>
          <w:szCs w:val="20"/>
        </w:rPr>
        <w:t>感染</w:t>
      </w:r>
      <w:r>
        <w:rPr>
          <w:rFonts w:ascii="宋体" w:hAnsi="宋体" w:eastAsia="宋体" w:cs="宋体"/>
          <w:spacing w:val="7"/>
          <w:sz w:val="20"/>
          <w:szCs w:val="20"/>
        </w:rPr>
        <w:t>/</w:t>
      </w:r>
      <w:r>
        <w:rPr>
          <w:rFonts w:ascii="Times New Roman" w:hAnsi="Times New Roman" w:eastAsia="Times New Roman" w:cs="Times New Roman"/>
          <w:sz w:val="20"/>
          <w:szCs w:val="20"/>
        </w:rPr>
        <w:t>AIDS</w:t>
      </w:r>
      <w:r>
        <w:rPr>
          <w:rFonts w:ascii="Times New Roman" w:hAnsi="Times New Roman" w:eastAsia="Times New Roman" w:cs="Times New Roman"/>
          <w:spacing w:val="15"/>
          <w:sz w:val="20"/>
          <w:szCs w:val="20"/>
        </w:rPr>
        <w:t xml:space="preserve"> </w:t>
      </w:r>
      <w:r>
        <w:rPr>
          <w:rFonts w:ascii="宋体" w:hAnsi="宋体" w:eastAsia="宋体" w:cs="宋体"/>
          <w:spacing w:val="7"/>
          <w:sz w:val="20"/>
          <w:szCs w:val="20"/>
        </w:rPr>
        <w:t>流行病学数据的关键</w:t>
      </w:r>
      <w:r>
        <w:rPr>
          <w:rFonts w:ascii="宋体" w:hAnsi="宋体" w:eastAsia="宋体" w:cs="宋体"/>
          <w:sz w:val="20"/>
          <w:szCs w:val="20"/>
        </w:rPr>
        <w:t xml:space="preserve"> </w:t>
      </w:r>
      <w:r>
        <w:rPr>
          <w:rFonts w:ascii="宋体" w:hAnsi="宋体" w:eastAsia="宋体" w:cs="宋体"/>
          <w:spacing w:val="4"/>
          <w:sz w:val="20"/>
          <w:szCs w:val="20"/>
        </w:rPr>
        <w:t>工具。该系统通过规范病例登记、数据收集与管理，实现对</w:t>
      </w:r>
      <w:r>
        <w:rPr>
          <w:rFonts w:ascii="Times New Roman" w:hAnsi="Times New Roman" w:eastAsia="Times New Roman" w:cs="Times New Roman"/>
          <w:sz w:val="20"/>
          <w:szCs w:val="20"/>
        </w:rPr>
        <w:t>HIV</w:t>
      </w:r>
      <w:r>
        <w:rPr>
          <w:rFonts w:ascii="Times New Roman" w:hAnsi="Times New Roman" w:eastAsia="Times New Roman" w:cs="Times New Roman"/>
          <w:spacing w:val="4"/>
          <w:sz w:val="20"/>
          <w:szCs w:val="20"/>
        </w:rPr>
        <w:t xml:space="preserve"> </w:t>
      </w:r>
      <w:r>
        <w:rPr>
          <w:rFonts w:ascii="宋体" w:hAnsi="宋体" w:eastAsia="宋体" w:cs="宋体"/>
          <w:spacing w:val="4"/>
          <w:sz w:val="20"/>
          <w:szCs w:val="20"/>
        </w:rPr>
        <w:t>感染/</w:t>
      </w:r>
      <w:r>
        <w:rPr>
          <w:rFonts w:ascii="Times New Roman" w:hAnsi="Times New Roman" w:eastAsia="Times New Roman" w:cs="Times New Roman"/>
          <w:sz w:val="20"/>
          <w:szCs w:val="20"/>
        </w:rPr>
        <w:t>AIDS</w:t>
      </w:r>
      <w:r>
        <w:rPr>
          <w:rFonts w:ascii="宋体" w:hAnsi="宋体" w:eastAsia="宋体" w:cs="宋体"/>
          <w:spacing w:val="4"/>
          <w:sz w:val="20"/>
          <w:szCs w:val="20"/>
        </w:rPr>
        <w:t>疫情的实时监测和动态</w:t>
      </w:r>
      <w:r>
        <w:rPr>
          <w:rFonts w:ascii="宋体" w:hAnsi="宋体" w:eastAsia="宋体" w:cs="宋体"/>
          <w:spacing w:val="17"/>
          <w:sz w:val="20"/>
          <w:szCs w:val="20"/>
        </w:rPr>
        <w:t xml:space="preserve"> </w:t>
      </w:r>
      <w:r>
        <w:rPr>
          <w:rFonts w:ascii="宋体" w:hAnsi="宋体" w:eastAsia="宋体" w:cs="宋体"/>
          <w:spacing w:val="3"/>
          <w:sz w:val="20"/>
          <w:szCs w:val="20"/>
        </w:rPr>
        <w:t>评估。系统整合了病例基本信息、传播途径、随访治疗情况等多维度数据，支持对疫情发展趋势的</w:t>
      </w:r>
      <w:r>
        <w:rPr>
          <w:rFonts w:ascii="宋体" w:hAnsi="宋体" w:eastAsia="宋体" w:cs="宋体"/>
          <w:spacing w:val="5"/>
          <w:sz w:val="20"/>
          <w:szCs w:val="20"/>
        </w:rPr>
        <w:t xml:space="preserve"> </w:t>
      </w:r>
      <w:r>
        <w:rPr>
          <w:rFonts w:ascii="宋体" w:hAnsi="宋体" w:eastAsia="宋体" w:cs="宋体"/>
          <w:spacing w:val="4"/>
          <w:sz w:val="20"/>
          <w:szCs w:val="20"/>
        </w:rPr>
        <w:t>精确分析，为流行病学研究、政策制定及公共</w:t>
      </w:r>
      <w:r>
        <w:rPr>
          <w:rFonts w:ascii="宋体" w:hAnsi="宋体" w:eastAsia="宋体" w:cs="宋体"/>
          <w:spacing w:val="3"/>
          <w:sz w:val="20"/>
          <w:szCs w:val="20"/>
        </w:rPr>
        <w:t>卫生干预提供了科学依据。同时，系统具备多部门协</w:t>
      </w:r>
      <w:r>
        <w:rPr>
          <w:rFonts w:ascii="宋体" w:hAnsi="宋体" w:eastAsia="宋体" w:cs="宋体"/>
          <w:sz w:val="20"/>
          <w:szCs w:val="20"/>
        </w:rPr>
        <w:t xml:space="preserve"> </w:t>
      </w:r>
      <w:r>
        <w:rPr>
          <w:rFonts w:ascii="宋体" w:hAnsi="宋体" w:eastAsia="宋体" w:cs="宋体"/>
          <w:spacing w:val="5"/>
          <w:sz w:val="20"/>
          <w:szCs w:val="20"/>
        </w:rPr>
        <w:t>同功能和严格的数据安全措施，确保信息共享的有效性与隐私保护的合规性，从而提升</w:t>
      </w:r>
      <w:r>
        <w:rPr>
          <w:rFonts w:ascii="宋体" w:hAnsi="宋体" w:eastAsia="宋体" w:cs="宋体"/>
          <w:sz w:val="20"/>
          <w:szCs w:val="20"/>
        </w:rPr>
        <w:t>HIV</w:t>
      </w:r>
      <w:r>
        <w:rPr>
          <w:rFonts w:ascii="宋体" w:hAnsi="宋体" w:eastAsia="宋体" w:cs="宋体"/>
          <w:spacing w:val="34"/>
          <w:sz w:val="20"/>
          <w:szCs w:val="20"/>
        </w:rPr>
        <w:t xml:space="preserve"> </w:t>
      </w:r>
      <w:r>
        <w:rPr>
          <w:rFonts w:ascii="宋体" w:hAnsi="宋体" w:eastAsia="宋体" w:cs="宋体"/>
          <w:spacing w:val="5"/>
          <w:sz w:val="20"/>
          <w:szCs w:val="20"/>
        </w:rPr>
        <w:t>感染1</w:t>
      </w:r>
      <w:r>
        <w:rPr>
          <w:rFonts w:ascii="宋体" w:hAnsi="宋体" w:eastAsia="宋体" w:cs="宋体"/>
          <w:sz w:val="20"/>
          <w:szCs w:val="20"/>
        </w:rPr>
        <w:t xml:space="preserve"> </w:t>
      </w:r>
      <w:r>
        <w:rPr>
          <w:rFonts w:ascii="Times New Roman" w:hAnsi="Times New Roman" w:eastAsia="Times New Roman" w:cs="Times New Roman"/>
          <w:sz w:val="20"/>
          <w:szCs w:val="20"/>
        </w:rPr>
        <w:t>AIDS</w:t>
      </w:r>
      <w:r>
        <w:rPr>
          <w:rFonts w:ascii="宋体" w:hAnsi="宋体" w:eastAsia="宋体" w:cs="宋体"/>
          <w:spacing w:val="2"/>
          <w:sz w:val="20"/>
          <w:szCs w:val="20"/>
        </w:rPr>
        <w:t>防控的综合效率与数据管理水平。</w:t>
      </w:r>
    </w:p>
    <w:p w14:paraId="3FF53F9F">
      <w:pPr>
        <w:spacing w:line="342" w:lineRule="auto"/>
        <w:rPr>
          <w:rFonts w:ascii="宋体" w:hAnsi="宋体" w:eastAsia="宋体" w:cs="宋体"/>
          <w:sz w:val="20"/>
          <w:szCs w:val="20"/>
        </w:rPr>
        <w:sectPr>
          <w:footerReference r:id="rId355" w:type="default"/>
          <w:pgSz w:w="11900" w:h="16820"/>
          <w:pgMar w:top="400" w:right="1578" w:bottom="889" w:left="890" w:header="0" w:footer="709" w:gutter="0"/>
          <w:cols w:space="720" w:num="1"/>
        </w:sectPr>
      </w:pPr>
    </w:p>
    <w:p w14:paraId="29CCBAE4">
      <w:pPr>
        <w:spacing w:line="306" w:lineRule="auto"/>
        <w:rPr>
          <w:rFonts w:ascii="Arial"/>
          <w:sz w:val="21"/>
        </w:rPr>
      </w:pPr>
    </w:p>
    <w:p w14:paraId="33A3A563">
      <w:pPr>
        <w:pStyle w:val="2"/>
        <w:spacing w:before="65" w:line="221" w:lineRule="auto"/>
        <w:ind w:left="6882"/>
        <w:rPr>
          <w:sz w:val="20"/>
          <w:szCs w:val="20"/>
        </w:rPr>
      </w:pPr>
      <w:bookmarkStart w:id="556" w:name="bookmark599"/>
      <w:bookmarkEnd w:id="556"/>
      <w:r>
        <w:rPr>
          <w:b/>
          <w:bCs/>
          <w:spacing w:val="-15"/>
          <w:sz w:val="20"/>
          <w:szCs w:val="20"/>
        </w:rPr>
        <w:t>第二十一章性传播疾病</w:t>
      </w:r>
    </w:p>
    <w:p w14:paraId="3BF608EB">
      <w:pPr>
        <w:spacing w:line="283" w:lineRule="auto"/>
        <w:rPr>
          <w:rFonts w:ascii="Arial"/>
          <w:sz w:val="21"/>
        </w:rPr>
      </w:pPr>
    </w:p>
    <w:p w14:paraId="5F69D98A">
      <w:pPr>
        <w:spacing w:line="284" w:lineRule="auto"/>
        <w:rPr>
          <w:rFonts w:ascii="Arial"/>
          <w:sz w:val="21"/>
        </w:rPr>
      </w:pPr>
    </w:p>
    <w:p w14:paraId="77BFE6B0">
      <w:pPr>
        <w:spacing w:before="65" w:line="323" w:lineRule="auto"/>
        <w:ind w:right="610" w:firstLine="410"/>
        <w:jc w:val="both"/>
        <w:rPr>
          <w:rFonts w:ascii="宋体" w:hAnsi="宋体" w:eastAsia="宋体" w:cs="宋体"/>
          <w:sz w:val="20"/>
          <w:szCs w:val="20"/>
        </w:rPr>
      </w:pPr>
      <w:r>
        <w:rPr>
          <w:rFonts w:ascii="Times New Roman" w:hAnsi="Times New Roman" w:eastAsia="Times New Roman" w:cs="Times New Roman"/>
          <w:sz w:val="20"/>
          <w:szCs w:val="20"/>
        </w:rPr>
        <w:t>HIV</w:t>
      </w:r>
      <w:r>
        <w:rPr>
          <w:rFonts w:ascii="Times New Roman" w:hAnsi="Times New Roman" w:eastAsia="Times New Roman" w:cs="Times New Roman"/>
          <w:spacing w:val="4"/>
          <w:sz w:val="20"/>
          <w:szCs w:val="20"/>
        </w:rPr>
        <w:t xml:space="preserve"> </w:t>
      </w:r>
      <w:r>
        <w:rPr>
          <w:rFonts w:ascii="宋体" w:hAnsi="宋体" w:eastAsia="宋体" w:cs="宋体"/>
          <w:spacing w:val="4"/>
          <w:sz w:val="20"/>
          <w:szCs w:val="20"/>
        </w:rPr>
        <w:t>感染/</w:t>
      </w:r>
      <w:r>
        <w:rPr>
          <w:rFonts w:ascii="Times New Roman" w:hAnsi="Times New Roman" w:eastAsia="Times New Roman" w:cs="Times New Roman"/>
          <w:sz w:val="20"/>
          <w:szCs w:val="20"/>
        </w:rPr>
        <w:t>AIDS</w:t>
      </w:r>
      <w:r>
        <w:rPr>
          <w:rFonts w:ascii="宋体" w:hAnsi="宋体" w:eastAsia="宋体" w:cs="宋体"/>
          <w:spacing w:val="4"/>
          <w:sz w:val="20"/>
          <w:szCs w:val="20"/>
        </w:rPr>
        <w:t>哨点监测是指在固定地点，固定时间内连续收集特定人群中</w:t>
      </w:r>
      <w:r>
        <w:rPr>
          <w:rFonts w:ascii="Times New Roman" w:hAnsi="Times New Roman" w:eastAsia="Times New Roman" w:cs="Times New Roman"/>
          <w:sz w:val="20"/>
          <w:szCs w:val="20"/>
        </w:rPr>
        <w:t>HIV</w:t>
      </w:r>
      <w:r>
        <w:rPr>
          <w:rFonts w:ascii="Times New Roman" w:hAnsi="Times New Roman" w:eastAsia="Times New Roman" w:cs="Times New Roman"/>
          <w:spacing w:val="4"/>
          <w:sz w:val="20"/>
          <w:szCs w:val="20"/>
        </w:rPr>
        <w:t xml:space="preserve"> </w:t>
      </w:r>
      <w:r>
        <w:rPr>
          <w:rFonts w:ascii="宋体" w:hAnsi="宋体" w:eastAsia="宋体" w:cs="宋体"/>
          <w:spacing w:val="4"/>
          <w:sz w:val="20"/>
          <w:szCs w:val="20"/>
        </w:rPr>
        <w:t>感染流行状况</w:t>
      </w:r>
      <w:r>
        <w:rPr>
          <w:rFonts w:ascii="宋体" w:hAnsi="宋体" w:eastAsia="宋体" w:cs="宋体"/>
          <w:spacing w:val="11"/>
          <w:sz w:val="20"/>
          <w:szCs w:val="20"/>
        </w:rPr>
        <w:t xml:space="preserve"> </w:t>
      </w:r>
      <w:r>
        <w:rPr>
          <w:rFonts w:ascii="宋体" w:hAnsi="宋体" w:eastAsia="宋体" w:cs="宋体"/>
          <w:spacing w:val="5"/>
          <w:sz w:val="20"/>
          <w:szCs w:val="20"/>
        </w:rPr>
        <w:t>及相关信息，以获得该地区人群</w:t>
      </w:r>
      <w:r>
        <w:rPr>
          <w:rFonts w:ascii="Times New Roman" w:hAnsi="Times New Roman" w:eastAsia="Times New Roman" w:cs="Times New Roman"/>
          <w:sz w:val="20"/>
          <w:szCs w:val="20"/>
        </w:rPr>
        <w:t>HIV</w:t>
      </w:r>
      <w:r>
        <w:rPr>
          <w:rFonts w:ascii="Times New Roman" w:hAnsi="Times New Roman" w:eastAsia="Times New Roman" w:cs="Times New Roman"/>
          <w:spacing w:val="5"/>
          <w:sz w:val="20"/>
          <w:szCs w:val="20"/>
        </w:rPr>
        <w:t xml:space="preserve"> </w:t>
      </w:r>
      <w:r>
        <w:rPr>
          <w:rFonts w:ascii="宋体" w:hAnsi="宋体" w:eastAsia="宋体" w:cs="宋体"/>
          <w:spacing w:val="5"/>
          <w:sz w:val="20"/>
          <w:szCs w:val="20"/>
        </w:rPr>
        <w:t>感染/</w:t>
      </w:r>
      <w:r>
        <w:rPr>
          <w:rFonts w:ascii="Times New Roman" w:hAnsi="Times New Roman" w:eastAsia="Times New Roman" w:cs="Times New Roman"/>
          <w:sz w:val="20"/>
          <w:szCs w:val="20"/>
        </w:rPr>
        <w:t>AIDS</w:t>
      </w:r>
      <w:r>
        <w:rPr>
          <w:rFonts w:ascii="宋体" w:hAnsi="宋体" w:eastAsia="宋体" w:cs="宋体"/>
          <w:spacing w:val="5"/>
          <w:sz w:val="20"/>
          <w:szCs w:val="20"/>
        </w:rPr>
        <w:t>流行趋势，为</w:t>
      </w:r>
      <w:r>
        <w:rPr>
          <w:rFonts w:ascii="Times New Roman" w:hAnsi="Times New Roman" w:eastAsia="Times New Roman" w:cs="Times New Roman"/>
          <w:sz w:val="20"/>
          <w:szCs w:val="20"/>
        </w:rPr>
        <w:t>HIV</w:t>
      </w:r>
      <w:r>
        <w:rPr>
          <w:rFonts w:ascii="Times New Roman" w:hAnsi="Times New Roman" w:eastAsia="Times New Roman" w:cs="Times New Roman"/>
          <w:spacing w:val="26"/>
          <w:sz w:val="20"/>
          <w:szCs w:val="20"/>
        </w:rPr>
        <w:t xml:space="preserve"> </w:t>
      </w:r>
      <w:r>
        <w:rPr>
          <w:rFonts w:ascii="宋体" w:hAnsi="宋体" w:eastAsia="宋体" w:cs="宋体"/>
          <w:spacing w:val="5"/>
          <w:sz w:val="20"/>
          <w:szCs w:val="20"/>
        </w:rPr>
        <w:t>感染/</w:t>
      </w:r>
      <w:r>
        <w:rPr>
          <w:rFonts w:ascii="Times New Roman" w:hAnsi="Times New Roman" w:eastAsia="Times New Roman" w:cs="Times New Roman"/>
          <w:sz w:val="20"/>
          <w:szCs w:val="20"/>
        </w:rPr>
        <w:t>AIDS</w:t>
      </w:r>
      <w:r>
        <w:rPr>
          <w:rFonts w:ascii="宋体" w:hAnsi="宋体" w:eastAsia="宋体" w:cs="宋体"/>
          <w:spacing w:val="5"/>
          <w:sz w:val="20"/>
          <w:szCs w:val="20"/>
        </w:rPr>
        <w:t>预防与控制及其效果</w:t>
      </w:r>
      <w:r>
        <w:rPr>
          <w:rFonts w:ascii="宋体" w:hAnsi="宋体" w:eastAsia="宋体" w:cs="宋体"/>
          <w:sz w:val="20"/>
          <w:szCs w:val="20"/>
        </w:rPr>
        <w:t xml:space="preserve"> </w:t>
      </w:r>
      <w:r>
        <w:rPr>
          <w:rFonts w:ascii="宋体" w:hAnsi="宋体" w:eastAsia="宋体" w:cs="宋体"/>
          <w:spacing w:val="-1"/>
          <w:sz w:val="20"/>
          <w:szCs w:val="20"/>
        </w:rPr>
        <w:t>评估等提供依据的一种快速、简便、经济的流</w:t>
      </w:r>
      <w:r>
        <w:rPr>
          <w:rFonts w:ascii="宋体" w:hAnsi="宋体" w:eastAsia="宋体" w:cs="宋体"/>
          <w:spacing w:val="-2"/>
          <w:sz w:val="20"/>
          <w:szCs w:val="20"/>
        </w:rPr>
        <w:t>行病学监测方法。</w:t>
      </w:r>
    </w:p>
    <w:p w14:paraId="3CC3D272">
      <w:pPr>
        <w:spacing w:before="18" w:line="333" w:lineRule="auto"/>
        <w:ind w:right="611" w:firstLine="430"/>
        <w:jc w:val="both"/>
        <w:rPr>
          <w:rFonts w:ascii="宋体" w:hAnsi="宋体" w:eastAsia="宋体" w:cs="宋体"/>
          <w:sz w:val="20"/>
          <w:szCs w:val="20"/>
        </w:rPr>
      </w:pPr>
      <w:r>
        <w:rPr>
          <w:rFonts w:ascii="Times New Roman" w:hAnsi="Times New Roman" w:eastAsia="Times New Roman" w:cs="Times New Roman"/>
          <w:sz w:val="20"/>
          <w:szCs w:val="20"/>
        </w:rPr>
        <w:t>HIV</w:t>
      </w:r>
      <w:r>
        <w:rPr>
          <w:rFonts w:ascii="Times New Roman" w:hAnsi="Times New Roman" w:eastAsia="Times New Roman" w:cs="Times New Roman"/>
          <w:spacing w:val="7"/>
          <w:sz w:val="20"/>
          <w:szCs w:val="20"/>
        </w:rPr>
        <w:t xml:space="preserve"> </w:t>
      </w:r>
      <w:r>
        <w:rPr>
          <w:rFonts w:ascii="宋体" w:hAnsi="宋体" w:eastAsia="宋体" w:cs="宋体"/>
          <w:spacing w:val="7"/>
          <w:sz w:val="20"/>
          <w:szCs w:val="20"/>
        </w:rPr>
        <w:t>耐药监测系统是用于跟踪和分析</w:t>
      </w:r>
      <w:r>
        <w:rPr>
          <w:rFonts w:ascii="Times New Roman" w:hAnsi="Times New Roman" w:eastAsia="Times New Roman" w:cs="Times New Roman"/>
          <w:sz w:val="20"/>
          <w:szCs w:val="20"/>
        </w:rPr>
        <w:t>HIV</w:t>
      </w:r>
      <w:r>
        <w:rPr>
          <w:rFonts w:ascii="Times New Roman" w:hAnsi="Times New Roman" w:eastAsia="Times New Roman" w:cs="Times New Roman"/>
          <w:spacing w:val="7"/>
          <w:sz w:val="20"/>
          <w:szCs w:val="20"/>
        </w:rPr>
        <w:t xml:space="preserve"> </w:t>
      </w:r>
      <w:r>
        <w:rPr>
          <w:rFonts w:ascii="宋体" w:hAnsi="宋体" w:eastAsia="宋体" w:cs="宋体"/>
          <w:spacing w:val="7"/>
          <w:sz w:val="20"/>
          <w:szCs w:val="20"/>
        </w:rPr>
        <w:t>病毒耐药性变化的公共卫生工具。</w:t>
      </w:r>
      <w:r>
        <w:rPr>
          <w:rFonts w:ascii="宋体" w:hAnsi="宋体" w:eastAsia="宋体" w:cs="宋体"/>
          <w:spacing w:val="6"/>
          <w:sz w:val="20"/>
          <w:szCs w:val="20"/>
        </w:rPr>
        <w:t>通过收集</w:t>
      </w:r>
      <w:r>
        <w:rPr>
          <w:rFonts w:ascii="Times New Roman" w:hAnsi="Times New Roman" w:eastAsia="Times New Roman" w:cs="Times New Roman"/>
          <w:sz w:val="20"/>
          <w:szCs w:val="20"/>
        </w:rPr>
        <w:t>HIV</w:t>
      </w:r>
      <w:r>
        <w:rPr>
          <w:rFonts w:ascii="Times New Roman" w:hAnsi="Times New Roman" w:eastAsia="Times New Roman" w:cs="Times New Roman"/>
          <w:spacing w:val="6"/>
          <w:sz w:val="20"/>
          <w:szCs w:val="20"/>
        </w:rPr>
        <w:t xml:space="preserve"> </w:t>
      </w:r>
      <w:r>
        <w:rPr>
          <w:rFonts w:ascii="宋体" w:hAnsi="宋体" w:eastAsia="宋体" w:cs="宋体"/>
          <w:spacing w:val="6"/>
          <w:sz w:val="20"/>
          <w:szCs w:val="20"/>
        </w:rPr>
        <w:t>感</w:t>
      </w:r>
      <w:r>
        <w:rPr>
          <w:rFonts w:ascii="宋体" w:hAnsi="宋体" w:eastAsia="宋体" w:cs="宋体"/>
          <w:sz w:val="20"/>
          <w:szCs w:val="20"/>
        </w:rPr>
        <w:t xml:space="preserve"> </w:t>
      </w:r>
      <w:r>
        <w:rPr>
          <w:rFonts w:ascii="宋体" w:hAnsi="宋体" w:eastAsia="宋体" w:cs="宋体"/>
          <w:spacing w:val="3"/>
          <w:sz w:val="20"/>
          <w:szCs w:val="20"/>
        </w:rPr>
        <w:t>染者/</w:t>
      </w:r>
      <w:r>
        <w:rPr>
          <w:rFonts w:ascii="Times New Roman" w:hAnsi="Times New Roman" w:eastAsia="Times New Roman" w:cs="Times New Roman"/>
          <w:sz w:val="20"/>
          <w:szCs w:val="20"/>
        </w:rPr>
        <w:t>AIDS</w:t>
      </w:r>
      <w:r>
        <w:rPr>
          <w:rFonts w:ascii="Times New Roman" w:hAnsi="Times New Roman" w:eastAsia="Times New Roman" w:cs="Times New Roman"/>
          <w:spacing w:val="3"/>
          <w:sz w:val="20"/>
          <w:szCs w:val="20"/>
        </w:rPr>
        <w:t xml:space="preserve"> </w:t>
      </w:r>
      <w:r>
        <w:rPr>
          <w:rFonts w:ascii="宋体" w:hAnsi="宋体" w:eastAsia="宋体" w:cs="宋体"/>
          <w:spacing w:val="3"/>
          <w:sz w:val="20"/>
          <w:szCs w:val="20"/>
        </w:rPr>
        <w:t>患者的基因型检测结果和抗病毒治疗信息，系统能够监测耐药株发生、发展和传播流行</w:t>
      </w:r>
      <w:r>
        <w:rPr>
          <w:rFonts w:ascii="宋体" w:hAnsi="宋体" w:eastAsia="宋体" w:cs="宋体"/>
          <w:spacing w:val="6"/>
          <w:sz w:val="20"/>
          <w:szCs w:val="20"/>
        </w:rPr>
        <w:t xml:space="preserve"> </w:t>
      </w:r>
      <w:r>
        <w:rPr>
          <w:rFonts w:ascii="宋体" w:hAnsi="宋体" w:eastAsia="宋体" w:cs="宋体"/>
          <w:spacing w:val="3"/>
          <w:sz w:val="20"/>
          <w:szCs w:val="20"/>
        </w:rPr>
        <w:t>趋势，帮助评估当前治疗方案的有效性。该系统能够识别</w:t>
      </w:r>
      <w:r>
        <w:rPr>
          <w:rFonts w:ascii="宋体" w:hAnsi="宋体" w:eastAsia="宋体" w:cs="宋体"/>
          <w:spacing w:val="2"/>
          <w:sz w:val="20"/>
          <w:szCs w:val="20"/>
        </w:rPr>
        <w:t>耐药风险较高的群体，并为公共卫生部门</w:t>
      </w:r>
      <w:r>
        <w:rPr>
          <w:rFonts w:ascii="宋体" w:hAnsi="宋体" w:eastAsia="宋体" w:cs="宋体"/>
          <w:sz w:val="20"/>
          <w:szCs w:val="20"/>
        </w:rPr>
        <w:t xml:space="preserve"> </w:t>
      </w:r>
      <w:r>
        <w:rPr>
          <w:rFonts w:ascii="宋体" w:hAnsi="宋体" w:eastAsia="宋体" w:cs="宋体"/>
          <w:spacing w:val="3"/>
          <w:sz w:val="20"/>
          <w:szCs w:val="20"/>
        </w:rPr>
        <w:t>提供精准的干预治疗建议。此外，系统还支</w:t>
      </w:r>
      <w:r>
        <w:rPr>
          <w:rFonts w:ascii="宋体" w:hAnsi="宋体" w:eastAsia="宋体" w:cs="宋体"/>
          <w:spacing w:val="2"/>
          <w:sz w:val="20"/>
          <w:szCs w:val="20"/>
        </w:rPr>
        <w:t>持对传播性耐药情况的追踪，为优化抗病毒治疗策略和</w:t>
      </w:r>
      <w:r>
        <w:rPr>
          <w:rFonts w:ascii="宋体" w:hAnsi="宋体" w:eastAsia="宋体" w:cs="宋体"/>
          <w:sz w:val="20"/>
          <w:szCs w:val="20"/>
        </w:rPr>
        <w:t xml:space="preserve"> </w:t>
      </w:r>
      <w:r>
        <w:rPr>
          <w:rFonts w:ascii="宋体" w:hAnsi="宋体" w:eastAsia="宋体" w:cs="宋体"/>
          <w:spacing w:val="7"/>
          <w:sz w:val="20"/>
          <w:szCs w:val="20"/>
        </w:rPr>
        <w:t>提高治疗效果提供科学依据。</w:t>
      </w:r>
    </w:p>
    <w:p w14:paraId="2C5243A9">
      <w:pPr>
        <w:pStyle w:val="2"/>
        <w:spacing w:before="44" w:line="222" w:lineRule="auto"/>
        <w:ind w:left="7912"/>
        <w:rPr>
          <w:sz w:val="20"/>
          <w:szCs w:val="20"/>
        </w:rPr>
      </w:pPr>
      <w:r>
        <w:rPr>
          <w:b/>
          <w:bCs/>
          <w:spacing w:val="16"/>
          <w:sz w:val="20"/>
          <w:szCs w:val="20"/>
        </w:rPr>
        <w:t>(戴江红)</w:t>
      </w:r>
    </w:p>
    <w:p w14:paraId="12DC7405">
      <w:pPr>
        <w:rPr>
          <w:rFonts w:ascii="Arial"/>
          <w:sz w:val="21"/>
        </w:rPr>
      </w:pPr>
    </w:p>
    <w:p w14:paraId="630FB010">
      <w:pPr>
        <w:spacing w:line="241" w:lineRule="auto"/>
        <w:rPr>
          <w:rFonts w:ascii="Arial"/>
          <w:sz w:val="21"/>
        </w:rPr>
      </w:pPr>
    </w:p>
    <w:p w14:paraId="31BEDBAF">
      <w:pPr>
        <w:spacing w:line="241" w:lineRule="auto"/>
        <w:rPr>
          <w:rFonts w:ascii="Arial"/>
          <w:sz w:val="21"/>
        </w:rPr>
      </w:pPr>
    </w:p>
    <w:p w14:paraId="59B1BCFC">
      <w:pPr>
        <w:pStyle w:val="2"/>
        <w:spacing w:before="84" w:line="222" w:lineRule="auto"/>
        <w:ind w:left="483"/>
        <w:rPr>
          <w:sz w:val="26"/>
          <w:szCs w:val="26"/>
        </w:rPr>
      </w:pPr>
      <w:r>
        <w:rPr>
          <w:b/>
          <w:bCs/>
          <w:spacing w:val="-5"/>
          <w:sz w:val="26"/>
          <w:szCs w:val="26"/>
        </w:rPr>
        <w:t>思考题</w:t>
      </w:r>
    </w:p>
    <w:p w14:paraId="574FD609">
      <w:pPr>
        <w:spacing w:before="118" w:line="219" w:lineRule="auto"/>
        <w:ind w:left="1260"/>
        <w:rPr>
          <w:rFonts w:ascii="宋体" w:hAnsi="宋体" w:eastAsia="宋体" w:cs="宋体"/>
          <w:sz w:val="20"/>
          <w:szCs w:val="20"/>
        </w:rPr>
      </w:pPr>
      <w:r>
        <w:rPr>
          <w:rFonts w:ascii="宋体" w:hAnsi="宋体" w:eastAsia="宋体" w:cs="宋体"/>
          <w:spacing w:val="1"/>
          <w:sz w:val="20"/>
          <w:szCs w:val="20"/>
        </w:rPr>
        <w:t>1.</w:t>
      </w:r>
      <w:r>
        <w:rPr>
          <w:rFonts w:ascii="宋体" w:hAnsi="宋体" w:eastAsia="宋体" w:cs="宋体"/>
          <w:spacing w:val="-48"/>
          <w:sz w:val="20"/>
          <w:szCs w:val="20"/>
        </w:rPr>
        <w:t xml:space="preserve"> </w:t>
      </w:r>
      <w:r>
        <w:rPr>
          <w:rFonts w:ascii="宋体" w:hAnsi="宋体" w:eastAsia="宋体" w:cs="宋体"/>
          <w:spacing w:val="1"/>
          <w:sz w:val="20"/>
          <w:szCs w:val="20"/>
        </w:rPr>
        <w:t>控制性传播疾病的流行，未来面临的机遇与挑战是什么?</w:t>
      </w:r>
    </w:p>
    <w:p w14:paraId="51619796">
      <w:pPr>
        <w:spacing w:before="182" w:line="219" w:lineRule="auto"/>
        <w:ind w:left="1260"/>
        <w:rPr>
          <w:rFonts w:ascii="宋体" w:hAnsi="宋体" w:eastAsia="宋体" w:cs="宋体"/>
          <w:sz w:val="20"/>
          <w:szCs w:val="20"/>
        </w:rPr>
      </w:pPr>
      <w:r>
        <w:rPr>
          <w:rFonts w:ascii="宋体" w:hAnsi="宋体" w:eastAsia="宋体" w:cs="宋体"/>
          <w:spacing w:val="6"/>
          <w:sz w:val="20"/>
          <w:szCs w:val="20"/>
        </w:rPr>
        <w:t>2.</w:t>
      </w:r>
      <w:r>
        <w:rPr>
          <w:rFonts w:ascii="宋体" w:hAnsi="宋体" w:eastAsia="宋体" w:cs="宋体"/>
          <w:spacing w:val="-30"/>
          <w:sz w:val="20"/>
          <w:szCs w:val="20"/>
        </w:rPr>
        <w:t xml:space="preserve"> </w:t>
      </w:r>
      <w:r>
        <w:rPr>
          <w:rFonts w:ascii="宋体" w:hAnsi="宋体" w:eastAsia="宋体" w:cs="宋体"/>
          <w:spacing w:val="6"/>
          <w:sz w:val="20"/>
          <w:szCs w:val="20"/>
        </w:rPr>
        <w:t>需要采取何种策略和措施才能实现全球预防控制</w:t>
      </w:r>
      <w:r>
        <w:rPr>
          <w:rFonts w:ascii="宋体" w:hAnsi="宋体" w:eastAsia="宋体" w:cs="宋体"/>
          <w:sz w:val="20"/>
          <w:szCs w:val="20"/>
        </w:rPr>
        <w:t>AIDS</w:t>
      </w:r>
      <w:r>
        <w:rPr>
          <w:rFonts w:ascii="宋体" w:hAnsi="宋体" w:eastAsia="宋体" w:cs="宋体"/>
          <w:spacing w:val="41"/>
          <w:sz w:val="20"/>
          <w:szCs w:val="20"/>
        </w:rPr>
        <w:t xml:space="preserve"> </w:t>
      </w:r>
      <w:r>
        <w:rPr>
          <w:rFonts w:ascii="宋体" w:hAnsi="宋体" w:eastAsia="宋体" w:cs="宋体"/>
          <w:spacing w:val="6"/>
          <w:sz w:val="20"/>
          <w:szCs w:val="20"/>
        </w:rPr>
        <w:t>战略目标?</w:t>
      </w:r>
    </w:p>
    <w:p w14:paraId="61B00E57">
      <w:pPr>
        <w:spacing w:before="93" w:line="219" w:lineRule="auto"/>
        <w:ind w:left="1260"/>
        <w:rPr>
          <w:rFonts w:ascii="宋体" w:hAnsi="宋体" w:eastAsia="宋体" w:cs="宋体"/>
          <w:sz w:val="20"/>
          <w:szCs w:val="20"/>
        </w:rPr>
      </w:pPr>
      <w:r>
        <w:rPr>
          <w:rFonts w:ascii="宋体" w:hAnsi="宋体" w:eastAsia="宋体" w:cs="宋体"/>
          <w:spacing w:val="6"/>
          <w:sz w:val="20"/>
          <w:szCs w:val="20"/>
        </w:rPr>
        <w:t>3.</w:t>
      </w:r>
      <w:r>
        <w:rPr>
          <w:rFonts w:ascii="宋体" w:hAnsi="宋体" w:eastAsia="宋体" w:cs="宋体"/>
          <w:spacing w:val="-52"/>
          <w:sz w:val="20"/>
          <w:szCs w:val="20"/>
        </w:rPr>
        <w:t xml:space="preserve"> </w:t>
      </w:r>
      <w:r>
        <w:rPr>
          <w:rFonts w:ascii="宋体" w:hAnsi="宋体" w:eastAsia="宋体" w:cs="宋体"/>
          <w:spacing w:val="6"/>
          <w:sz w:val="20"/>
          <w:szCs w:val="20"/>
        </w:rPr>
        <w:t>为什么说抗逆转录病毒药物在预防</w:t>
      </w:r>
      <w:r>
        <w:rPr>
          <w:rFonts w:ascii="宋体" w:hAnsi="宋体" w:eastAsia="宋体" w:cs="宋体"/>
          <w:sz w:val="20"/>
          <w:szCs w:val="20"/>
        </w:rPr>
        <w:t>HIV</w:t>
      </w:r>
      <w:r>
        <w:rPr>
          <w:rFonts w:ascii="宋体" w:hAnsi="宋体" w:eastAsia="宋体" w:cs="宋体"/>
          <w:spacing w:val="43"/>
          <w:sz w:val="20"/>
          <w:szCs w:val="20"/>
        </w:rPr>
        <w:t xml:space="preserve"> </w:t>
      </w:r>
      <w:r>
        <w:rPr>
          <w:rFonts w:ascii="宋体" w:hAnsi="宋体" w:eastAsia="宋体" w:cs="宋体"/>
          <w:spacing w:val="6"/>
          <w:sz w:val="20"/>
          <w:szCs w:val="20"/>
        </w:rPr>
        <w:t>传播方面具有巨大潜力?</w:t>
      </w:r>
    </w:p>
    <w:p w14:paraId="7D75D8C8">
      <w:pPr>
        <w:spacing w:line="219" w:lineRule="auto"/>
        <w:rPr>
          <w:rFonts w:ascii="宋体" w:hAnsi="宋体" w:eastAsia="宋体" w:cs="宋体"/>
          <w:sz w:val="20"/>
          <w:szCs w:val="20"/>
        </w:rPr>
        <w:sectPr>
          <w:footerReference r:id="rId356" w:type="default"/>
          <w:pgSz w:w="11900" w:h="16820"/>
          <w:pgMar w:top="400" w:right="968" w:bottom="889" w:left="1569" w:header="0" w:footer="709" w:gutter="0"/>
          <w:cols w:space="720" w:num="1"/>
        </w:sectPr>
      </w:pPr>
    </w:p>
    <w:p w14:paraId="2976EDBF">
      <w:pPr>
        <w:spacing w:line="266" w:lineRule="auto"/>
        <w:rPr>
          <w:rFonts w:ascii="Arial"/>
          <w:sz w:val="21"/>
        </w:rPr>
      </w:pPr>
    </w:p>
    <w:p w14:paraId="176E5713">
      <w:pPr>
        <w:spacing w:line="266" w:lineRule="auto"/>
        <w:rPr>
          <w:rFonts w:ascii="Arial"/>
          <w:sz w:val="21"/>
        </w:rPr>
      </w:pPr>
    </w:p>
    <w:p w14:paraId="1EED2768">
      <w:pPr>
        <w:spacing w:line="266" w:lineRule="auto"/>
        <w:rPr>
          <w:rFonts w:ascii="Arial"/>
          <w:sz w:val="21"/>
        </w:rPr>
      </w:pPr>
    </w:p>
    <w:p w14:paraId="411B9397">
      <w:pPr>
        <w:spacing w:line="267" w:lineRule="auto"/>
        <w:rPr>
          <w:rFonts w:ascii="Arial"/>
          <w:sz w:val="21"/>
        </w:rPr>
      </w:pPr>
      <w:r>
        <w:drawing>
          <wp:anchor distT="0" distB="0" distL="0" distR="0" simplePos="0" relativeHeight="251987968" behindDoc="0" locked="0" layoutInCell="1" allowOverlap="1">
            <wp:simplePos x="0" y="0"/>
            <wp:positionH relativeFrom="column">
              <wp:posOffset>412115</wp:posOffset>
            </wp:positionH>
            <wp:positionV relativeFrom="paragraph">
              <wp:posOffset>219710</wp:posOffset>
            </wp:positionV>
            <wp:extent cx="565150" cy="609600"/>
            <wp:effectExtent l="0" t="0" r="0" b="0"/>
            <wp:wrapNone/>
            <wp:docPr id="808" name="IM 808"/>
            <wp:cNvGraphicFramePr/>
            <a:graphic xmlns:a="http://schemas.openxmlformats.org/drawingml/2006/main">
              <a:graphicData uri="http://schemas.openxmlformats.org/drawingml/2006/picture">
                <pic:pic xmlns:pic="http://schemas.openxmlformats.org/drawingml/2006/picture">
                  <pic:nvPicPr>
                    <pic:cNvPr id="808" name="IM 808"/>
                    <pic:cNvPicPr/>
                  </pic:nvPicPr>
                  <pic:blipFill>
                    <a:blip r:embed="rId694"/>
                    <a:stretch>
                      <a:fillRect/>
                    </a:stretch>
                  </pic:blipFill>
                  <pic:spPr>
                    <a:xfrm>
                      <a:off x="0" y="0"/>
                      <a:ext cx="565150" cy="609654"/>
                    </a:xfrm>
                    <a:prstGeom prst="rect">
                      <a:avLst/>
                    </a:prstGeom>
                  </pic:spPr>
                </pic:pic>
              </a:graphicData>
            </a:graphic>
          </wp:anchor>
        </w:drawing>
      </w:r>
    </w:p>
    <w:p w14:paraId="5C10E4A1">
      <w:pPr>
        <w:pStyle w:val="2"/>
        <w:spacing w:before="94" w:line="222" w:lineRule="auto"/>
        <w:ind w:left="4384"/>
        <w:outlineLvl w:val="0"/>
        <w:rPr>
          <w:sz w:val="29"/>
          <w:szCs w:val="29"/>
        </w:rPr>
      </w:pPr>
      <w:bookmarkStart w:id="557" w:name="bookmark345"/>
      <w:bookmarkEnd w:id="557"/>
      <w:r>
        <w:rPr>
          <w:b/>
          <w:bCs/>
          <w:spacing w:val="-5"/>
          <w:sz w:val="29"/>
          <w:szCs w:val="29"/>
        </w:rPr>
        <w:t>第二十二章</w:t>
      </w:r>
    </w:p>
    <w:p w14:paraId="4C39C9F1">
      <w:pPr>
        <w:pStyle w:val="2"/>
        <w:spacing w:before="104" w:line="222" w:lineRule="auto"/>
        <w:ind w:left="4006"/>
        <w:outlineLvl w:val="0"/>
        <w:rPr>
          <w:sz w:val="44"/>
          <w:szCs w:val="44"/>
        </w:rPr>
      </w:pPr>
      <w:bookmarkStart w:id="558" w:name="bookmark600"/>
      <w:bookmarkEnd w:id="558"/>
      <w:bookmarkStart w:id="559" w:name="bookmark345"/>
      <w:bookmarkEnd w:id="559"/>
      <w:r>
        <w:rPr>
          <w:b/>
          <w:bCs/>
          <w:sz w:val="44"/>
          <w:szCs w:val="44"/>
        </w:rPr>
        <w:t>感染性腹泻</w:t>
      </w:r>
    </w:p>
    <w:p w14:paraId="5EDEED55">
      <w:pPr>
        <w:spacing w:before="112" w:line="459" w:lineRule="exact"/>
        <w:ind w:firstLine="209"/>
      </w:pPr>
      <w:r>
        <w:rPr>
          <w:position w:val="-9"/>
        </w:rPr>
        <w:drawing>
          <wp:inline distT="0" distB="0" distL="0" distR="0">
            <wp:extent cx="304800" cy="291465"/>
            <wp:effectExtent l="0" t="0" r="0" b="0"/>
            <wp:docPr id="810" name="IM 810"/>
            <wp:cNvGraphicFramePr/>
            <a:graphic xmlns:a="http://schemas.openxmlformats.org/drawingml/2006/main">
              <a:graphicData uri="http://schemas.openxmlformats.org/drawingml/2006/picture">
                <pic:pic xmlns:pic="http://schemas.openxmlformats.org/drawingml/2006/picture">
                  <pic:nvPicPr>
                    <pic:cNvPr id="810" name="IM 810"/>
                    <pic:cNvPicPr/>
                  </pic:nvPicPr>
                  <pic:blipFill>
                    <a:blip r:embed="rId695"/>
                    <a:stretch>
                      <a:fillRect/>
                    </a:stretch>
                  </pic:blipFill>
                  <pic:spPr>
                    <a:xfrm>
                      <a:off x="0" y="0"/>
                      <a:ext cx="304829" cy="292010"/>
                    </a:xfrm>
                    <a:prstGeom prst="rect">
                      <a:avLst/>
                    </a:prstGeom>
                  </pic:spPr>
                </pic:pic>
              </a:graphicData>
            </a:graphic>
          </wp:inline>
        </w:drawing>
      </w:r>
    </w:p>
    <w:p w14:paraId="2AF48C8A">
      <w:pPr>
        <w:spacing w:before="299" w:line="198" w:lineRule="auto"/>
        <w:ind w:left="3019"/>
        <w:rPr>
          <w:rFonts w:ascii="Arial" w:hAnsi="Arial" w:eastAsia="Arial" w:cs="Arial"/>
          <w:sz w:val="29"/>
          <w:szCs w:val="29"/>
        </w:rPr>
      </w:pPr>
      <w:r>
        <w:rPr>
          <w:rFonts w:ascii="Arial" w:hAnsi="Arial" w:eastAsia="Arial" w:cs="Arial"/>
          <w:b/>
          <w:bCs/>
          <w:spacing w:val="-8"/>
          <w:sz w:val="29"/>
          <w:szCs w:val="29"/>
        </w:rPr>
        <w:t>Chapter 22</w:t>
      </w:r>
      <w:r>
        <w:rPr>
          <w:rFonts w:ascii="Arial" w:hAnsi="Arial" w:eastAsia="Arial" w:cs="Arial"/>
          <w:b/>
          <w:bCs/>
          <w:spacing w:val="18"/>
          <w:sz w:val="29"/>
          <w:szCs w:val="29"/>
        </w:rPr>
        <w:t xml:space="preserve">   </w:t>
      </w:r>
      <w:r>
        <w:rPr>
          <w:rFonts w:ascii="Arial" w:hAnsi="Arial" w:eastAsia="Arial" w:cs="Arial"/>
          <w:b/>
          <w:bCs/>
          <w:spacing w:val="-8"/>
          <w:sz w:val="29"/>
          <w:szCs w:val="29"/>
        </w:rPr>
        <w:t>Infectious</w:t>
      </w:r>
      <w:r>
        <w:rPr>
          <w:rFonts w:ascii="Arial" w:hAnsi="Arial" w:eastAsia="Arial" w:cs="Arial"/>
          <w:b/>
          <w:bCs/>
          <w:spacing w:val="-9"/>
          <w:sz w:val="29"/>
          <w:szCs w:val="29"/>
        </w:rPr>
        <w:t xml:space="preserve"> Diarrhea</w:t>
      </w:r>
    </w:p>
    <w:p w14:paraId="30DB5FF8">
      <w:pPr>
        <w:spacing w:line="406" w:lineRule="auto"/>
        <w:rPr>
          <w:rFonts w:ascii="Arial"/>
          <w:sz w:val="21"/>
        </w:rPr>
      </w:pPr>
    </w:p>
    <w:p w14:paraId="6E3F37C0">
      <w:pPr>
        <w:spacing w:before="58" w:line="372" w:lineRule="auto"/>
        <w:ind w:left="659" w:right="90" w:firstLine="409"/>
        <w:jc w:val="both"/>
        <w:rPr>
          <w:rFonts w:ascii="Times New Roman" w:hAnsi="Times New Roman" w:eastAsia="Times New Roman" w:cs="Times New Roman"/>
          <w:sz w:val="20"/>
          <w:szCs w:val="20"/>
        </w:rPr>
      </w:pPr>
      <w:r>
        <w:rPr>
          <w:rFonts w:ascii="Times New Roman" w:hAnsi="Times New Roman" w:eastAsia="Times New Roman" w:cs="Times New Roman"/>
          <w:sz w:val="20"/>
          <w:szCs w:val="20"/>
        </w:rPr>
        <w:t>Infectious</w:t>
      </w:r>
      <w:r>
        <w:rPr>
          <w:rFonts w:ascii="Times New Roman" w:hAnsi="Times New Roman" w:eastAsia="Times New Roman" w:cs="Times New Roman"/>
          <w:spacing w:val="21"/>
          <w:w w:val="101"/>
          <w:sz w:val="20"/>
          <w:szCs w:val="20"/>
        </w:rPr>
        <w:t xml:space="preserve"> </w:t>
      </w:r>
      <w:r>
        <w:rPr>
          <w:rFonts w:ascii="Times New Roman" w:hAnsi="Times New Roman" w:eastAsia="Times New Roman" w:cs="Times New Roman"/>
          <w:sz w:val="20"/>
          <w:szCs w:val="20"/>
        </w:rPr>
        <w:t>diarrhea</w:t>
      </w:r>
      <w:r>
        <w:rPr>
          <w:rFonts w:ascii="Times New Roman" w:hAnsi="Times New Roman" w:eastAsia="Times New Roman" w:cs="Times New Roman"/>
          <w:spacing w:val="21"/>
          <w:sz w:val="20"/>
          <w:szCs w:val="20"/>
        </w:rPr>
        <w:t xml:space="preserve"> </w:t>
      </w:r>
      <w:r>
        <w:rPr>
          <w:rFonts w:ascii="Times New Roman" w:hAnsi="Times New Roman" w:eastAsia="Times New Roman" w:cs="Times New Roman"/>
          <w:sz w:val="20"/>
          <w:szCs w:val="20"/>
        </w:rPr>
        <w:t>is</w:t>
      </w:r>
      <w:r>
        <w:rPr>
          <w:rFonts w:ascii="Times New Roman" w:hAnsi="Times New Roman" w:eastAsia="Times New Roman" w:cs="Times New Roman"/>
          <w:spacing w:val="22"/>
          <w:w w:val="101"/>
          <w:sz w:val="20"/>
          <w:szCs w:val="20"/>
        </w:rPr>
        <w:t xml:space="preserve"> </w:t>
      </w:r>
      <w:r>
        <w:rPr>
          <w:rFonts w:ascii="Times New Roman" w:hAnsi="Times New Roman" w:eastAsia="Times New Roman" w:cs="Times New Roman"/>
          <w:sz w:val="20"/>
          <w:szCs w:val="20"/>
        </w:rPr>
        <w:t>a</w:t>
      </w:r>
      <w:r>
        <w:rPr>
          <w:rFonts w:ascii="Times New Roman" w:hAnsi="Times New Roman" w:eastAsia="Times New Roman" w:cs="Times New Roman"/>
          <w:spacing w:val="21"/>
          <w:sz w:val="20"/>
          <w:szCs w:val="20"/>
        </w:rPr>
        <w:t xml:space="preserve"> </w:t>
      </w:r>
      <w:r>
        <w:rPr>
          <w:rFonts w:ascii="Times New Roman" w:hAnsi="Times New Roman" w:eastAsia="Times New Roman" w:cs="Times New Roman"/>
          <w:sz w:val="20"/>
          <w:szCs w:val="20"/>
        </w:rPr>
        <w:t>group</w:t>
      </w:r>
      <w:r>
        <w:rPr>
          <w:rFonts w:ascii="Times New Roman" w:hAnsi="Times New Roman" w:eastAsia="Times New Roman" w:cs="Times New Roman"/>
          <w:spacing w:val="22"/>
          <w:sz w:val="20"/>
          <w:szCs w:val="20"/>
        </w:rPr>
        <w:t xml:space="preserve"> </w:t>
      </w:r>
      <w:r>
        <w:rPr>
          <w:rFonts w:ascii="Times New Roman" w:hAnsi="Times New Roman" w:eastAsia="Times New Roman" w:cs="Times New Roman"/>
          <w:sz w:val="20"/>
          <w:szCs w:val="20"/>
        </w:rPr>
        <w:t>of human</w:t>
      </w:r>
      <w:r>
        <w:rPr>
          <w:rFonts w:ascii="Times New Roman" w:hAnsi="Times New Roman" w:eastAsia="Times New Roman" w:cs="Times New Roman"/>
          <w:spacing w:val="21"/>
          <w:w w:val="101"/>
          <w:sz w:val="20"/>
          <w:szCs w:val="20"/>
        </w:rPr>
        <w:t xml:space="preserve"> </w:t>
      </w:r>
      <w:r>
        <w:rPr>
          <w:rFonts w:ascii="Times New Roman" w:hAnsi="Times New Roman" w:eastAsia="Times New Roman" w:cs="Times New Roman"/>
          <w:sz w:val="20"/>
          <w:szCs w:val="20"/>
        </w:rPr>
        <w:t>diseases</w:t>
      </w:r>
      <w:r>
        <w:rPr>
          <w:rFonts w:ascii="Times New Roman" w:hAnsi="Times New Roman" w:eastAsia="Times New Roman" w:cs="Times New Roman"/>
          <w:spacing w:val="22"/>
          <w:sz w:val="20"/>
          <w:szCs w:val="20"/>
        </w:rPr>
        <w:t xml:space="preserve"> </w:t>
      </w:r>
      <w:r>
        <w:rPr>
          <w:rFonts w:ascii="Times New Roman" w:hAnsi="Times New Roman" w:eastAsia="Times New Roman" w:cs="Times New Roman"/>
          <w:sz w:val="20"/>
          <w:szCs w:val="20"/>
        </w:rPr>
        <w:t>caused</w:t>
      </w:r>
      <w:r>
        <w:rPr>
          <w:rFonts w:ascii="Times New Roman" w:hAnsi="Times New Roman" w:eastAsia="Times New Roman" w:cs="Times New Roman"/>
          <w:spacing w:val="14"/>
          <w:w w:val="101"/>
          <w:sz w:val="20"/>
          <w:szCs w:val="20"/>
        </w:rPr>
        <w:t xml:space="preserve"> </w:t>
      </w:r>
      <w:r>
        <w:rPr>
          <w:rFonts w:ascii="Times New Roman" w:hAnsi="Times New Roman" w:eastAsia="Times New Roman" w:cs="Times New Roman"/>
          <w:sz w:val="20"/>
          <w:szCs w:val="20"/>
        </w:rPr>
        <w:t>by</w:t>
      </w:r>
      <w:r>
        <w:rPr>
          <w:rFonts w:ascii="Times New Roman" w:hAnsi="Times New Roman" w:eastAsia="Times New Roman" w:cs="Times New Roman"/>
          <w:spacing w:val="17"/>
          <w:w w:val="101"/>
          <w:sz w:val="20"/>
          <w:szCs w:val="20"/>
        </w:rPr>
        <w:t xml:space="preserve"> </w:t>
      </w:r>
      <w:r>
        <w:rPr>
          <w:rFonts w:ascii="Times New Roman" w:hAnsi="Times New Roman" w:eastAsia="Times New Roman" w:cs="Times New Roman"/>
          <w:sz w:val="20"/>
          <w:szCs w:val="20"/>
        </w:rPr>
        <w:t>the</w:t>
      </w:r>
      <w:r>
        <w:rPr>
          <w:rFonts w:ascii="Times New Roman" w:hAnsi="Times New Roman" w:eastAsia="Times New Roman" w:cs="Times New Roman"/>
          <w:spacing w:val="14"/>
          <w:w w:val="101"/>
          <w:sz w:val="20"/>
          <w:szCs w:val="20"/>
        </w:rPr>
        <w:t xml:space="preserve"> </w:t>
      </w:r>
      <w:r>
        <w:rPr>
          <w:rFonts w:ascii="Times New Roman" w:hAnsi="Times New Roman" w:eastAsia="Times New Roman" w:cs="Times New Roman"/>
          <w:sz w:val="20"/>
          <w:szCs w:val="20"/>
        </w:rPr>
        <w:t>path</w:t>
      </w:r>
      <w:r>
        <w:rPr>
          <w:rFonts w:ascii="Times New Roman" w:hAnsi="Times New Roman" w:eastAsia="Times New Roman" w:cs="Times New Roman"/>
          <w:spacing w:val="-1"/>
          <w:sz w:val="20"/>
          <w:szCs w:val="20"/>
        </w:rPr>
        <w:t>ogens</w:t>
      </w:r>
      <w:r>
        <w:rPr>
          <w:rFonts w:ascii="Times New Roman" w:hAnsi="Times New Roman" w:eastAsia="Times New Roman" w:cs="Times New Roman"/>
          <w:spacing w:val="22"/>
          <w:sz w:val="20"/>
          <w:szCs w:val="20"/>
        </w:rPr>
        <w:t xml:space="preserve"> </w:t>
      </w:r>
      <w:r>
        <w:rPr>
          <w:rFonts w:ascii="Times New Roman" w:hAnsi="Times New Roman" w:eastAsia="Times New Roman" w:cs="Times New Roman"/>
          <w:spacing w:val="-1"/>
          <w:sz w:val="20"/>
          <w:szCs w:val="20"/>
        </w:rPr>
        <w:t>of bacterial,viral,and</w:t>
      </w:r>
      <w:r>
        <w:rPr>
          <w:rFonts w:ascii="Times New Roman" w:hAnsi="Times New Roman" w:eastAsia="Times New Roman" w:cs="Times New Roman"/>
          <w:spacing w:val="14"/>
          <w:sz w:val="20"/>
          <w:szCs w:val="20"/>
        </w:rPr>
        <w:t xml:space="preserve"> </w:t>
      </w:r>
      <w:r>
        <w:rPr>
          <w:rFonts w:ascii="Times New Roman" w:hAnsi="Times New Roman" w:eastAsia="Times New Roman" w:cs="Times New Roman"/>
          <w:spacing w:val="-1"/>
          <w:sz w:val="20"/>
          <w:szCs w:val="20"/>
        </w:rPr>
        <w:t>parasitic</w:t>
      </w:r>
      <w:r>
        <w:rPr>
          <w:rFonts w:ascii="Times New Roman" w:hAnsi="Times New Roman" w:eastAsia="Times New Roman" w:cs="Times New Roman"/>
          <w:sz w:val="20"/>
          <w:szCs w:val="20"/>
        </w:rPr>
        <w:t xml:space="preserve"> organisms,with diarrhea as the typical clinical manifestation.Infectious dia</w:t>
      </w:r>
      <w:r>
        <w:rPr>
          <w:rFonts w:ascii="Times New Roman" w:hAnsi="Times New Roman" w:eastAsia="Times New Roman" w:cs="Times New Roman"/>
          <w:spacing w:val="-1"/>
          <w:sz w:val="20"/>
          <w:szCs w:val="20"/>
        </w:rPr>
        <w:t>rrhea is</w:t>
      </w:r>
      <w:r>
        <w:rPr>
          <w:rFonts w:ascii="Times New Roman" w:hAnsi="Times New Roman" w:eastAsia="Times New Roman" w:cs="Times New Roman"/>
          <w:spacing w:val="10"/>
          <w:sz w:val="20"/>
          <w:szCs w:val="20"/>
        </w:rPr>
        <w:t xml:space="preserve"> </w:t>
      </w:r>
      <w:r>
        <w:rPr>
          <w:rFonts w:ascii="Times New Roman" w:hAnsi="Times New Roman" w:eastAsia="Times New Roman" w:cs="Times New Roman"/>
          <w:spacing w:val="-1"/>
          <w:sz w:val="20"/>
          <w:szCs w:val="20"/>
        </w:rPr>
        <w:t>spread through</w:t>
      </w:r>
      <w:r>
        <w:rPr>
          <w:rFonts w:ascii="Times New Roman" w:hAnsi="Times New Roman" w:eastAsia="Times New Roman" w:cs="Times New Roman"/>
          <w:spacing w:val="7"/>
          <w:sz w:val="20"/>
          <w:szCs w:val="20"/>
        </w:rPr>
        <w:t xml:space="preserve"> </w:t>
      </w:r>
      <w:r>
        <w:rPr>
          <w:rFonts w:ascii="Times New Roman" w:hAnsi="Times New Roman" w:eastAsia="Times New Roman" w:cs="Times New Roman"/>
          <w:spacing w:val="-1"/>
          <w:sz w:val="20"/>
          <w:szCs w:val="20"/>
        </w:rPr>
        <w:t>contaminated</w:t>
      </w:r>
      <w:r>
        <w:rPr>
          <w:rFonts w:ascii="Times New Roman" w:hAnsi="Times New Roman" w:eastAsia="Times New Roman" w:cs="Times New Roman"/>
          <w:sz w:val="20"/>
          <w:szCs w:val="20"/>
        </w:rPr>
        <w:t xml:space="preserve"> </w:t>
      </w:r>
      <w:r>
        <w:rPr>
          <w:rFonts w:ascii="Times New Roman" w:hAnsi="Times New Roman" w:eastAsia="Times New Roman" w:cs="Times New Roman"/>
          <w:spacing w:val="-1"/>
          <w:sz w:val="20"/>
          <w:szCs w:val="20"/>
        </w:rPr>
        <w:t>food or drinking water,or from person-to-person due to poor hygiene.Food is the major cause</w:t>
      </w:r>
      <w:r>
        <w:rPr>
          <w:rFonts w:ascii="Times New Roman" w:hAnsi="Times New Roman" w:eastAsia="Times New Roman" w:cs="Times New Roman"/>
          <w:spacing w:val="6"/>
          <w:sz w:val="20"/>
          <w:szCs w:val="20"/>
        </w:rPr>
        <w:t xml:space="preserve"> </w:t>
      </w:r>
      <w:r>
        <w:rPr>
          <w:rFonts w:ascii="Times New Roman" w:hAnsi="Times New Roman" w:eastAsia="Times New Roman" w:cs="Times New Roman"/>
          <w:spacing w:val="-1"/>
          <w:sz w:val="20"/>
          <w:szCs w:val="20"/>
        </w:rPr>
        <w:t>o</w:t>
      </w:r>
      <w:r>
        <w:rPr>
          <w:rFonts w:ascii="Times New Roman" w:hAnsi="Times New Roman" w:eastAsia="Times New Roman" w:cs="Times New Roman"/>
          <w:spacing w:val="-2"/>
          <w:sz w:val="20"/>
          <w:szCs w:val="20"/>
        </w:rPr>
        <w:t>f</w:t>
      </w:r>
      <w:r>
        <w:rPr>
          <w:rFonts w:ascii="Times New Roman" w:hAnsi="Times New Roman" w:eastAsia="Times New Roman" w:cs="Times New Roman"/>
          <w:spacing w:val="-14"/>
          <w:sz w:val="20"/>
          <w:szCs w:val="20"/>
        </w:rPr>
        <w:t xml:space="preserve"> </w:t>
      </w:r>
      <w:r>
        <w:rPr>
          <w:rFonts w:ascii="Times New Roman" w:hAnsi="Times New Roman" w:eastAsia="Times New Roman" w:cs="Times New Roman"/>
          <w:spacing w:val="-2"/>
          <w:sz w:val="20"/>
          <w:szCs w:val="20"/>
        </w:rPr>
        <w:t>diarrhea when</w:t>
      </w:r>
      <w:r>
        <w:rPr>
          <w:rFonts w:ascii="Times New Roman" w:hAnsi="Times New Roman" w:eastAsia="Times New Roman" w:cs="Times New Roman"/>
          <w:spacing w:val="5"/>
          <w:sz w:val="20"/>
          <w:szCs w:val="20"/>
        </w:rPr>
        <w:t xml:space="preserve"> </w:t>
      </w:r>
      <w:r>
        <w:rPr>
          <w:rFonts w:ascii="Times New Roman" w:hAnsi="Times New Roman" w:eastAsia="Times New Roman" w:cs="Times New Roman"/>
          <w:spacing w:val="-2"/>
          <w:sz w:val="20"/>
          <w:szCs w:val="20"/>
        </w:rPr>
        <w:t>it</w:t>
      </w:r>
      <w:r>
        <w:rPr>
          <w:rFonts w:ascii="Times New Roman" w:hAnsi="Times New Roman" w:eastAsia="Times New Roman" w:cs="Times New Roman"/>
          <w:sz w:val="20"/>
          <w:szCs w:val="20"/>
        </w:rPr>
        <w:t xml:space="preserve"> </w:t>
      </w:r>
      <w:r>
        <w:rPr>
          <w:rFonts w:ascii="Times New Roman" w:hAnsi="Times New Roman" w:eastAsia="Times New Roman" w:cs="Times New Roman"/>
          <w:spacing w:val="-1"/>
          <w:sz w:val="20"/>
          <w:szCs w:val="20"/>
        </w:rPr>
        <w:t>is</w:t>
      </w:r>
      <w:r>
        <w:rPr>
          <w:rFonts w:ascii="Times New Roman" w:hAnsi="Times New Roman" w:eastAsia="Times New Roman" w:cs="Times New Roman"/>
          <w:spacing w:val="28"/>
          <w:sz w:val="20"/>
          <w:szCs w:val="20"/>
        </w:rPr>
        <w:t xml:space="preserve"> </w:t>
      </w:r>
      <w:r>
        <w:rPr>
          <w:rFonts w:ascii="Times New Roman" w:hAnsi="Times New Roman" w:eastAsia="Times New Roman" w:cs="Times New Roman"/>
          <w:spacing w:val="-1"/>
          <w:sz w:val="20"/>
          <w:szCs w:val="20"/>
        </w:rPr>
        <w:t>prepared</w:t>
      </w:r>
      <w:r>
        <w:rPr>
          <w:rFonts w:ascii="Times New Roman" w:hAnsi="Times New Roman" w:eastAsia="Times New Roman" w:cs="Times New Roman"/>
          <w:spacing w:val="19"/>
          <w:sz w:val="20"/>
          <w:szCs w:val="20"/>
        </w:rPr>
        <w:t xml:space="preserve"> </w:t>
      </w:r>
      <w:r>
        <w:rPr>
          <w:rFonts w:ascii="Times New Roman" w:hAnsi="Times New Roman" w:eastAsia="Times New Roman" w:cs="Times New Roman"/>
          <w:spacing w:val="-1"/>
          <w:sz w:val="20"/>
          <w:szCs w:val="20"/>
        </w:rPr>
        <w:t>or</w:t>
      </w:r>
      <w:r>
        <w:rPr>
          <w:rFonts w:ascii="Times New Roman" w:hAnsi="Times New Roman" w:eastAsia="Times New Roman" w:cs="Times New Roman"/>
          <w:spacing w:val="21"/>
          <w:sz w:val="20"/>
          <w:szCs w:val="20"/>
        </w:rPr>
        <w:t xml:space="preserve"> </w:t>
      </w:r>
      <w:r>
        <w:rPr>
          <w:rFonts w:ascii="Times New Roman" w:hAnsi="Times New Roman" w:eastAsia="Times New Roman" w:cs="Times New Roman"/>
          <w:spacing w:val="-1"/>
          <w:sz w:val="20"/>
          <w:szCs w:val="20"/>
        </w:rPr>
        <w:t>stored</w:t>
      </w:r>
      <w:r>
        <w:rPr>
          <w:rFonts w:ascii="Times New Roman" w:hAnsi="Times New Roman" w:eastAsia="Times New Roman" w:cs="Times New Roman"/>
          <w:spacing w:val="18"/>
          <w:sz w:val="20"/>
          <w:szCs w:val="20"/>
        </w:rPr>
        <w:t xml:space="preserve"> </w:t>
      </w:r>
      <w:r>
        <w:rPr>
          <w:rFonts w:ascii="Times New Roman" w:hAnsi="Times New Roman" w:eastAsia="Times New Roman" w:cs="Times New Roman"/>
          <w:spacing w:val="-1"/>
          <w:sz w:val="20"/>
          <w:szCs w:val="20"/>
        </w:rPr>
        <w:t>in</w:t>
      </w:r>
      <w:r>
        <w:rPr>
          <w:rFonts w:ascii="Times New Roman" w:hAnsi="Times New Roman" w:eastAsia="Times New Roman" w:cs="Times New Roman"/>
          <w:spacing w:val="12"/>
          <w:w w:val="101"/>
          <w:sz w:val="20"/>
          <w:szCs w:val="20"/>
        </w:rPr>
        <w:t xml:space="preserve"> </w:t>
      </w:r>
      <w:r>
        <w:rPr>
          <w:rFonts w:ascii="Times New Roman" w:hAnsi="Times New Roman" w:eastAsia="Times New Roman" w:cs="Times New Roman"/>
          <w:spacing w:val="-1"/>
          <w:sz w:val="20"/>
          <w:szCs w:val="20"/>
        </w:rPr>
        <w:t>unhygienic</w:t>
      </w:r>
      <w:r>
        <w:rPr>
          <w:rFonts w:ascii="Times New Roman" w:hAnsi="Times New Roman" w:eastAsia="Times New Roman" w:cs="Times New Roman"/>
          <w:spacing w:val="19"/>
          <w:sz w:val="20"/>
          <w:szCs w:val="20"/>
        </w:rPr>
        <w:t xml:space="preserve"> </w:t>
      </w:r>
      <w:r>
        <w:rPr>
          <w:rFonts w:ascii="Times New Roman" w:hAnsi="Times New Roman" w:eastAsia="Times New Roman" w:cs="Times New Roman"/>
          <w:spacing w:val="-1"/>
          <w:sz w:val="20"/>
          <w:szCs w:val="20"/>
        </w:rPr>
        <w:t>conditions.Water</w:t>
      </w:r>
      <w:r>
        <w:rPr>
          <w:rFonts w:ascii="Times New Roman" w:hAnsi="Times New Roman" w:eastAsia="Times New Roman" w:cs="Times New Roman"/>
          <w:spacing w:val="18"/>
          <w:w w:val="101"/>
          <w:sz w:val="20"/>
          <w:szCs w:val="20"/>
        </w:rPr>
        <w:t xml:space="preserve"> </w:t>
      </w:r>
      <w:r>
        <w:rPr>
          <w:rFonts w:ascii="Times New Roman" w:hAnsi="Times New Roman" w:eastAsia="Times New Roman" w:cs="Times New Roman"/>
          <w:spacing w:val="-1"/>
          <w:sz w:val="20"/>
          <w:szCs w:val="20"/>
        </w:rPr>
        <w:t>can</w:t>
      </w:r>
      <w:r>
        <w:rPr>
          <w:rFonts w:ascii="Times New Roman" w:hAnsi="Times New Roman" w:eastAsia="Times New Roman" w:cs="Times New Roman"/>
          <w:spacing w:val="19"/>
          <w:sz w:val="20"/>
          <w:szCs w:val="20"/>
        </w:rPr>
        <w:t xml:space="preserve"> </w:t>
      </w:r>
      <w:r>
        <w:rPr>
          <w:rFonts w:ascii="Times New Roman" w:hAnsi="Times New Roman" w:eastAsia="Times New Roman" w:cs="Times New Roman"/>
          <w:spacing w:val="-1"/>
          <w:sz w:val="20"/>
          <w:szCs w:val="20"/>
        </w:rPr>
        <w:t>contaminate</w:t>
      </w:r>
      <w:r>
        <w:rPr>
          <w:rFonts w:ascii="Times New Roman" w:hAnsi="Times New Roman" w:eastAsia="Times New Roman" w:cs="Times New Roman"/>
          <w:spacing w:val="20"/>
          <w:w w:val="101"/>
          <w:sz w:val="20"/>
          <w:szCs w:val="20"/>
        </w:rPr>
        <w:t xml:space="preserve"> </w:t>
      </w:r>
      <w:r>
        <w:rPr>
          <w:rFonts w:ascii="Times New Roman" w:hAnsi="Times New Roman" w:eastAsia="Times New Roman" w:cs="Times New Roman"/>
          <w:spacing w:val="-1"/>
          <w:sz w:val="20"/>
          <w:szCs w:val="20"/>
        </w:rPr>
        <w:t>food</w:t>
      </w:r>
      <w:r>
        <w:rPr>
          <w:rFonts w:ascii="Times New Roman" w:hAnsi="Times New Roman" w:eastAsia="Times New Roman" w:cs="Times New Roman"/>
          <w:spacing w:val="18"/>
          <w:w w:val="101"/>
          <w:sz w:val="20"/>
          <w:szCs w:val="20"/>
        </w:rPr>
        <w:t xml:space="preserve"> </w:t>
      </w:r>
      <w:r>
        <w:rPr>
          <w:rFonts w:ascii="Times New Roman" w:hAnsi="Times New Roman" w:eastAsia="Times New Roman" w:cs="Times New Roman"/>
          <w:spacing w:val="-1"/>
          <w:sz w:val="20"/>
          <w:szCs w:val="20"/>
        </w:rPr>
        <w:t>during</w:t>
      </w:r>
      <w:r>
        <w:rPr>
          <w:rFonts w:ascii="Times New Roman" w:hAnsi="Times New Roman" w:eastAsia="Times New Roman" w:cs="Times New Roman"/>
          <w:spacing w:val="18"/>
          <w:sz w:val="20"/>
          <w:szCs w:val="20"/>
        </w:rPr>
        <w:t xml:space="preserve"> </w:t>
      </w:r>
      <w:r>
        <w:rPr>
          <w:rFonts w:ascii="Times New Roman" w:hAnsi="Times New Roman" w:eastAsia="Times New Roman" w:cs="Times New Roman"/>
          <w:spacing w:val="-1"/>
          <w:sz w:val="20"/>
          <w:szCs w:val="20"/>
        </w:rPr>
        <w:t>irigation.Globally,there</w:t>
      </w:r>
      <w:r>
        <w:rPr>
          <w:rFonts w:ascii="Times New Roman" w:hAnsi="Times New Roman" w:eastAsia="Times New Roman" w:cs="Times New Roman"/>
          <w:spacing w:val="20"/>
          <w:sz w:val="20"/>
          <w:szCs w:val="20"/>
        </w:rPr>
        <w:t xml:space="preserve"> </w:t>
      </w:r>
      <w:r>
        <w:rPr>
          <w:rFonts w:ascii="Times New Roman" w:hAnsi="Times New Roman" w:eastAsia="Times New Roman" w:cs="Times New Roman"/>
          <w:spacing w:val="-1"/>
          <w:sz w:val="20"/>
          <w:szCs w:val="20"/>
        </w:rPr>
        <w:t>are</w:t>
      </w:r>
      <w:r>
        <w:rPr>
          <w:rFonts w:ascii="Times New Roman" w:hAnsi="Times New Roman" w:eastAsia="Times New Roman" w:cs="Times New Roman"/>
          <w:sz w:val="20"/>
          <w:szCs w:val="20"/>
        </w:rPr>
        <w:t xml:space="preserve"> </w:t>
      </w:r>
      <w:r>
        <w:rPr>
          <w:rFonts w:ascii="Times New Roman" w:hAnsi="Times New Roman" w:eastAsia="Times New Roman" w:cs="Times New Roman"/>
          <w:spacing w:val="-2"/>
          <w:sz w:val="20"/>
          <w:szCs w:val="20"/>
        </w:rPr>
        <w:t>nearly</w:t>
      </w:r>
      <w:r>
        <w:rPr>
          <w:rFonts w:ascii="Times New Roman" w:hAnsi="Times New Roman" w:eastAsia="Times New Roman" w:cs="Times New Roman"/>
          <w:spacing w:val="21"/>
          <w:w w:val="101"/>
          <w:sz w:val="20"/>
          <w:szCs w:val="20"/>
        </w:rPr>
        <w:t xml:space="preserve"> </w:t>
      </w:r>
      <w:r>
        <w:rPr>
          <w:rFonts w:ascii="Times New Roman" w:hAnsi="Times New Roman" w:eastAsia="Times New Roman" w:cs="Times New Roman"/>
          <w:spacing w:val="-2"/>
          <w:sz w:val="20"/>
          <w:szCs w:val="20"/>
        </w:rPr>
        <w:t xml:space="preserve">1.7 billion cases </w:t>
      </w:r>
      <w:r>
        <w:rPr>
          <w:rFonts w:ascii="Times New Roman" w:hAnsi="Times New Roman" w:eastAsia="Times New Roman" w:cs="Times New Roman"/>
          <w:spacing w:val="-3"/>
          <w:sz w:val="20"/>
          <w:szCs w:val="20"/>
        </w:rPr>
        <w:t>of</w:t>
      </w:r>
      <w:r>
        <w:rPr>
          <w:rFonts w:ascii="Times New Roman" w:hAnsi="Times New Roman" w:eastAsia="Times New Roman" w:cs="Times New Roman"/>
          <w:spacing w:val="-16"/>
          <w:sz w:val="20"/>
          <w:szCs w:val="20"/>
        </w:rPr>
        <w:t xml:space="preserve"> </w:t>
      </w:r>
      <w:r>
        <w:rPr>
          <w:rFonts w:ascii="Times New Roman" w:hAnsi="Times New Roman" w:eastAsia="Times New Roman" w:cs="Times New Roman"/>
          <w:spacing w:val="-3"/>
          <w:sz w:val="20"/>
          <w:szCs w:val="20"/>
        </w:rPr>
        <w:t>infectious diarrhea every year.Infectious diarrhea is the</w:t>
      </w:r>
      <w:r>
        <w:rPr>
          <w:rFonts w:ascii="Times New Roman" w:hAnsi="Times New Roman" w:eastAsia="Times New Roman" w:cs="Times New Roman"/>
          <w:spacing w:val="8"/>
          <w:sz w:val="20"/>
          <w:szCs w:val="20"/>
        </w:rPr>
        <w:t xml:space="preserve"> </w:t>
      </w:r>
      <w:r>
        <w:rPr>
          <w:rFonts w:ascii="Times New Roman" w:hAnsi="Times New Roman" w:eastAsia="Times New Roman" w:cs="Times New Roman"/>
          <w:spacing w:val="-3"/>
          <w:sz w:val="20"/>
          <w:szCs w:val="20"/>
        </w:rPr>
        <w:t>second</w:t>
      </w:r>
      <w:r>
        <w:rPr>
          <w:rFonts w:ascii="Times New Roman" w:hAnsi="Times New Roman" w:eastAsia="Times New Roman" w:cs="Times New Roman"/>
          <w:spacing w:val="4"/>
          <w:sz w:val="20"/>
          <w:szCs w:val="20"/>
        </w:rPr>
        <w:t xml:space="preserve"> </w:t>
      </w:r>
      <w:r>
        <w:rPr>
          <w:rFonts w:ascii="Times New Roman" w:hAnsi="Times New Roman" w:eastAsia="Times New Roman" w:cs="Times New Roman"/>
          <w:spacing w:val="-3"/>
          <w:sz w:val="20"/>
          <w:szCs w:val="20"/>
        </w:rPr>
        <w:t>leading</w:t>
      </w:r>
      <w:r>
        <w:rPr>
          <w:rFonts w:ascii="Times New Roman" w:hAnsi="Times New Roman" w:eastAsia="Times New Roman" w:cs="Times New Roman"/>
          <w:spacing w:val="5"/>
          <w:sz w:val="20"/>
          <w:szCs w:val="20"/>
        </w:rPr>
        <w:t xml:space="preserve"> </w:t>
      </w:r>
      <w:r>
        <w:rPr>
          <w:rFonts w:ascii="Times New Roman" w:hAnsi="Times New Roman" w:eastAsia="Times New Roman" w:cs="Times New Roman"/>
          <w:spacing w:val="-3"/>
          <w:sz w:val="20"/>
          <w:szCs w:val="20"/>
        </w:rPr>
        <w:t>cause</w:t>
      </w:r>
      <w:r>
        <w:rPr>
          <w:rFonts w:ascii="Times New Roman" w:hAnsi="Times New Roman" w:eastAsia="Times New Roman" w:cs="Times New Roman"/>
          <w:spacing w:val="5"/>
          <w:sz w:val="20"/>
          <w:szCs w:val="20"/>
        </w:rPr>
        <w:t xml:space="preserve"> </w:t>
      </w:r>
      <w:r>
        <w:rPr>
          <w:rFonts w:ascii="Times New Roman" w:hAnsi="Times New Roman" w:eastAsia="Times New Roman" w:cs="Times New Roman"/>
          <w:spacing w:val="-3"/>
          <w:sz w:val="20"/>
          <w:szCs w:val="20"/>
        </w:rPr>
        <w:t>of</w:t>
      </w:r>
      <w:r>
        <w:rPr>
          <w:rFonts w:ascii="Times New Roman" w:hAnsi="Times New Roman" w:eastAsia="Times New Roman" w:cs="Times New Roman"/>
          <w:spacing w:val="-15"/>
          <w:sz w:val="20"/>
          <w:szCs w:val="20"/>
        </w:rPr>
        <w:t xml:space="preserve"> </w:t>
      </w:r>
      <w:r>
        <w:rPr>
          <w:rFonts w:ascii="Times New Roman" w:hAnsi="Times New Roman" w:eastAsia="Times New Roman" w:cs="Times New Roman"/>
          <w:spacing w:val="-3"/>
          <w:sz w:val="20"/>
          <w:szCs w:val="20"/>
        </w:rPr>
        <w:t>death</w:t>
      </w:r>
      <w:r>
        <w:rPr>
          <w:rFonts w:ascii="Times New Roman" w:hAnsi="Times New Roman" w:eastAsia="Times New Roman" w:cs="Times New Roman"/>
          <w:spacing w:val="4"/>
          <w:sz w:val="20"/>
          <w:szCs w:val="20"/>
        </w:rPr>
        <w:t xml:space="preserve"> </w:t>
      </w:r>
      <w:r>
        <w:rPr>
          <w:rFonts w:ascii="Times New Roman" w:hAnsi="Times New Roman" w:eastAsia="Times New Roman" w:cs="Times New Roman"/>
          <w:spacing w:val="-3"/>
          <w:sz w:val="20"/>
          <w:szCs w:val="20"/>
        </w:rPr>
        <w:t>in</w:t>
      </w:r>
      <w:r>
        <w:rPr>
          <w:rFonts w:ascii="Times New Roman" w:hAnsi="Times New Roman" w:eastAsia="Times New Roman" w:cs="Times New Roman"/>
          <w:sz w:val="20"/>
          <w:szCs w:val="20"/>
        </w:rPr>
        <w:t xml:space="preserve"> </w:t>
      </w:r>
      <w:r>
        <w:rPr>
          <w:rFonts w:ascii="Times New Roman" w:hAnsi="Times New Roman" w:eastAsia="Times New Roman" w:cs="Times New Roman"/>
          <w:spacing w:val="-1"/>
          <w:sz w:val="20"/>
          <w:szCs w:val="20"/>
        </w:rPr>
        <w:t>children under five years old,but it is both preventable and treatable.Key measures to prevent infectious</w:t>
      </w:r>
      <w:r>
        <w:rPr>
          <w:rFonts w:ascii="Times New Roman" w:hAnsi="Times New Roman" w:eastAsia="Times New Roman" w:cs="Times New Roman"/>
          <w:spacing w:val="21"/>
          <w:sz w:val="20"/>
          <w:szCs w:val="20"/>
        </w:rPr>
        <w:t xml:space="preserve"> </w:t>
      </w:r>
      <w:r>
        <w:rPr>
          <w:rFonts w:ascii="Times New Roman" w:hAnsi="Times New Roman" w:eastAsia="Times New Roman" w:cs="Times New Roman"/>
          <w:spacing w:val="-1"/>
          <w:sz w:val="20"/>
          <w:szCs w:val="20"/>
        </w:rPr>
        <w:t>diarrhea</w:t>
      </w:r>
      <w:r>
        <w:rPr>
          <w:rFonts w:ascii="Times New Roman" w:hAnsi="Times New Roman" w:eastAsia="Times New Roman" w:cs="Times New Roman"/>
          <w:sz w:val="20"/>
          <w:szCs w:val="20"/>
        </w:rPr>
        <w:t xml:space="preserve"> </w:t>
      </w:r>
      <w:r>
        <w:rPr>
          <w:rFonts w:ascii="Times New Roman" w:hAnsi="Times New Roman" w:eastAsia="Times New Roman" w:cs="Times New Roman"/>
          <w:spacing w:val="-1"/>
          <w:sz w:val="20"/>
          <w:szCs w:val="20"/>
        </w:rPr>
        <w:t>include access to safe drinking water,use of</w:t>
      </w:r>
      <w:r>
        <w:rPr>
          <w:rFonts w:ascii="Times New Roman" w:hAnsi="Times New Roman" w:eastAsia="Times New Roman" w:cs="Times New Roman"/>
          <w:spacing w:val="-15"/>
          <w:sz w:val="20"/>
          <w:szCs w:val="20"/>
        </w:rPr>
        <w:t xml:space="preserve"> </w:t>
      </w:r>
      <w:r>
        <w:rPr>
          <w:rFonts w:ascii="Times New Roman" w:hAnsi="Times New Roman" w:eastAsia="Times New Roman" w:cs="Times New Roman"/>
          <w:spacing w:val="-1"/>
          <w:sz w:val="20"/>
          <w:szCs w:val="20"/>
        </w:rPr>
        <w:t>improved sanitation,hand washing with</w:t>
      </w:r>
      <w:r>
        <w:rPr>
          <w:rFonts w:ascii="Times New Roman" w:hAnsi="Times New Roman" w:eastAsia="Times New Roman" w:cs="Times New Roman"/>
          <w:spacing w:val="9"/>
          <w:sz w:val="20"/>
          <w:szCs w:val="20"/>
        </w:rPr>
        <w:t xml:space="preserve"> </w:t>
      </w:r>
      <w:r>
        <w:rPr>
          <w:rFonts w:ascii="Times New Roman" w:hAnsi="Times New Roman" w:eastAsia="Times New Roman" w:cs="Times New Roman"/>
          <w:spacing w:val="-1"/>
          <w:sz w:val="20"/>
          <w:szCs w:val="20"/>
        </w:rPr>
        <w:t>soap,excl</w:t>
      </w:r>
      <w:r>
        <w:rPr>
          <w:rFonts w:ascii="Times New Roman" w:hAnsi="Times New Roman" w:eastAsia="Times New Roman" w:cs="Times New Roman"/>
          <w:spacing w:val="-2"/>
          <w:sz w:val="20"/>
          <w:szCs w:val="20"/>
        </w:rPr>
        <w:t>usive breastfeeding</w:t>
      </w:r>
      <w:r>
        <w:rPr>
          <w:rFonts w:ascii="Times New Roman" w:hAnsi="Times New Roman" w:eastAsia="Times New Roman" w:cs="Times New Roman"/>
          <w:sz w:val="20"/>
          <w:szCs w:val="20"/>
        </w:rPr>
        <w:t xml:space="preserve"> </w:t>
      </w:r>
      <w:r>
        <w:rPr>
          <w:rFonts w:ascii="Times New Roman" w:hAnsi="Times New Roman" w:eastAsia="Times New Roman" w:cs="Times New Roman"/>
          <w:spacing w:val="-1"/>
          <w:sz w:val="20"/>
          <w:szCs w:val="20"/>
        </w:rPr>
        <w:t>for the first six months of</w:t>
      </w:r>
      <w:r>
        <w:rPr>
          <w:rFonts w:ascii="Times New Roman" w:hAnsi="Times New Roman" w:eastAsia="Times New Roman" w:cs="Times New Roman"/>
          <w:spacing w:val="1"/>
          <w:sz w:val="20"/>
          <w:szCs w:val="20"/>
        </w:rPr>
        <w:t xml:space="preserve"> </w:t>
      </w:r>
      <w:r>
        <w:rPr>
          <w:rFonts w:ascii="Times New Roman" w:hAnsi="Times New Roman" w:eastAsia="Times New Roman" w:cs="Times New Roman"/>
          <w:spacing w:val="-1"/>
          <w:sz w:val="20"/>
          <w:szCs w:val="20"/>
        </w:rPr>
        <w:t>life,good personal and food hygiene,health</w:t>
      </w:r>
      <w:r>
        <w:rPr>
          <w:rFonts w:ascii="Times New Roman" w:hAnsi="Times New Roman" w:eastAsia="Times New Roman" w:cs="Times New Roman"/>
          <w:spacing w:val="7"/>
          <w:sz w:val="20"/>
          <w:szCs w:val="20"/>
        </w:rPr>
        <w:t xml:space="preserve"> </w:t>
      </w:r>
      <w:r>
        <w:rPr>
          <w:rFonts w:ascii="Times New Roman" w:hAnsi="Times New Roman" w:eastAsia="Times New Roman" w:cs="Times New Roman"/>
          <w:spacing w:val="-1"/>
          <w:sz w:val="20"/>
          <w:szCs w:val="20"/>
        </w:rPr>
        <w:t>education</w:t>
      </w:r>
      <w:r>
        <w:rPr>
          <w:rFonts w:ascii="Times New Roman" w:hAnsi="Times New Roman" w:eastAsia="Times New Roman" w:cs="Times New Roman"/>
          <w:spacing w:val="7"/>
          <w:sz w:val="20"/>
          <w:szCs w:val="20"/>
        </w:rPr>
        <w:t xml:space="preserve"> </w:t>
      </w:r>
      <w:r>
        <w:rPr>
          <w:rFonts w:ascii="Times New Roman" w:hAnsi="Times New Roman" w:eastAsia="Times New Roman" w:cs="Times New Roman"/>
          <w:spacing w:val="-1"/>
          <w:sz w:val="20"/>
          <w:szCs w:val="20"/>
        </w:rPr>
        <w:t>about how</w:t>
      </w:r>
      <w:r>
        <w:rPr>
          <w:rFonts w:ascii="Times New Roman" w:hAnsi="Times New Roman" w:eastAsia="Times New Roman" w:cs="Times New Roman"/>
          <w:spacing w:val="6"/>
          <w:sz w:val="20"/>
          <w:szCs w:val="20"/>
        </w:rPr>
        <w:t xml:space="preserve"> </w:t>
      </w:r>
      <w:r>
        <w:rPr>
          <w:rFonts w:ascii="Times New Roman" w:hAnsi="Times New Roman" w:eastAsia="Times New Roman" w:cs="Times New Roman"/>
          <w:spacing w:val="-1"/>
          <w:sz w:val="20"/>
          <w:szCs w:val="20"/>
        </w:rPr>
        <w:t>infections</w:t>
      </w:r>
      <w:r>
        <w:rPr>
          <w:rFonts w:ascii="Times New Roman" w:hAnsi="Times New Roman" w:eastAsia="Times New Roman" w:cs="Times New Roman"/>
          <w:spacing w:val="9"/>
          <w:sz w:val="20"/>
          <w:szCs w:val="20"/>
        </w:rPr>
        <w:t xml:space="preserve"> </w:t>
      </w:r>
      <w:r>
        <w:rPr>
          <w:rFonts w:ascii="Times New Roman" w:hAnsi="Times New Roman" w:eastAsia="Times New Roman" w:cs="Times New Roman"/>
          <w:spacing w:val="-1"/>
          <w:sz w:val="20"/>
          <w:szCs w:val="20"/>
        </w:rPr>
        <w:t>spread,and</w:t>
      </w:r>
      <w:r>
        <w:rPr>
          <w:rFonts w:ascii="Times New Roman" w:hAnsi="Times New Roman" w:eastAsia="Times New Roman" w:cs="Times New Roman"/>
          <w:sz w:val="20"/>
          <w:szCs w:val="20"/>
        </w:rPr>
        <w:t xml:space="preserve"> rotavirus</w:t>
      </w:r>
      <w:r>
        <w:rPr>
          <w:rFonts w:ascii="Times New Roman" w:hAnsi="Times New Roman" w:eastAsia="Times New Roman" w:cs="Times New Roman"/>
          <w:spacing w:val="20"/>
          <w:w w:val="101"/>
          <w:sz w:val="20"/>
          <w:szCs w:val="20"/>
        </w:rPr>
        <w:t xml:space="preserve"> </w:t>
      </w:r>
      <w:r>
        <w:rPr>
          <w:rFonts w:ascii="Times New Roman" w:hAnsi="Times New Roman" w:eastAsia="Times New Roman" w:cs="Times New Roman"/>
          <w:sz w:val="20"/>
          <w:szCs w:val="20"/>
        </w:rPr>
        <w:t>vaccination.Death</w:t>
      </w:r>
      <w:r>
        <w:rPr>
          <w:rFonts w:ascii="Times New Roman" w:hAnsi="Times New Roman" w:eastAsia="Times New Roman" w:cs="Times New Roman"/>
          <w:spacing w:val="25"/>
          <w:w w:val="101"/>
          <w:sz w:val="20"/>
          <w:szCs w:val="20"/>
        </w:rPr>
        <w:t xml:space="preserve"> </w:t>
      </w:r>
      <w:r>
        <w:rPr>
          <w:rFonts w:ascii="Times New Roman" w:hAnsi="Times New Roman" w:eastAsia="Times New Roman" w:cs="Times New Roman"/>
          <w:sz w:val="20"/>
          <w:szCs w:val="20"/>
        </w:rPr>
        <w:t>could</w:t>
      </w:r>
      <w:r>
        <w:rPr>
          <w:rFonts w:ascii="Times New Roman" w:hAnsi="Times New Roman" w:eastAsia="Times New Roman" w:cs="Times New Roman"/>
          <w:spacing w:val="18"/>
          <w:sz w:val="20"/>
          <w:szCs w:val="20"/>
        </w:rPr>
        <w:t xml:space="preserve"> </w:t>
      </w:r>
      <w:r>
        <w:rPr>
          <w:rFonts w:ascii="Times New Roman" w:hAnsi="Times New Roman" w:eastAsia="Times New Roman" w:cs="Times New Roman"/>
          <w:sz w:val="20"/>
          <w:szCs w:val="20"/>
        </w:rPr>
        <w:t>be</w:t>
      </w:r>
      <w:r>
        <w:rPr>
          <w:rFonts w:ascii="Times New Roman" w:hAnsi="Times New Roman" w:eastAsia="Times New Roman" w:cs="Times New Roman"/>
          <w:spacing w:val="26"/>
          <w:sz w:val="20"/>
          <w:szCs w:val="20"/>
        </w:rPr>
        <w:t xml:space="preserve"> </w:t>
      </w:r>
      <w:r>
        <w:rPr>
          <w:rFonts w:ascii="Times New Roman" w:hAnsi="Times New Roman" w:eastAsia="Times New Roman" w:cs="Times New Roman"/>
          <w:sz w:val="20"/>
          <w:szCs w:val="20"/>
        </w:rPr>
        <w:t>avoided</w:t>
      </w:r>
      <w:r>
        <w:rPr>
          <w:rFonts w:ascii="Times New Roman" w:hAnsi="Times New Roman" w:eastAsia="Times New Roman" w:cs="Times New Roman"/>
          <w:spacing w:val="20"/>
          <w:sz w:val="20"/>
          <w:szCs w:val="20"/>
        </w:rPr>
        <w:t xml:space="preserve"> </w:t>
      </w:r>
      <w:r>
        <w:rPr>
          <w:rFonts w:ascii="Times New Roman" w:hAnsi="Times New Roman" w:eastAsia="Times New Roman" w:cs="Times New Roman"/>
          <w:sz w:val="20"/>
          <w:szCs w:val="20"/>
        </w:rPr>
        <w:t>through</w:t>
      </w:r>
      <w:r>
        <w:rPr>
          <w:rFonts w:ascii="Times New Roman" w:hAnsi="Times New Roman" w:eastAsia="Times New Roman" w:cs="Times New Roman"/>
          <w:spacing w:val="21"/>
          <w:sz w:val="20"/>
          <w:szCs w:val="20"/>
        </w:rPr>
        <w:t xml:space="preserve"> </w:t>
      </w:r>
      <w:r>
        <w:rPr>
          <w:rFonts w:ascii="Times New Roman" w:hAnsi="Times New Roman" w:eastAsia="Times New Roman" w:cs="Times New Roman"/>
          <w:spacing w:val="-1"/>
          <w:sz w:val="20"/>
          <w:szCs w:val="20"/>
        </w:rPr>
        <w:t>the</w:t>
      </w:r>
      <w:r>
        <w:rPr>
          <w:rFonts w:ascii="Times New Roman" w:hAnsi="Times New Roman" w:eastAsia="Times New Roman" w:cs="Times New Roman"/>
          <w:spacing w:val="18"/>
          <w:w w:val="101"/>
          <w:sz w:val="20"/>
          <w:szCs w:val="20"/>
        </w:rPr>
        <w:t xml:space="preserve"> </w:t>
      </w:r>
      <w:r>
        <w:rPr>
          <w:rFonts w:ascii="Times New Roman" w:hAnsi="Times New Roman" w:eastAsia="Times New Roman" w:cs="Times New Roman"/>
          <w:spacing w:val="-1"/>
          <w:sz w:val="20"/>
          <w:szCs w:val="20"/>
        </w:rPr>
        <w:t>use</w:t>
      </w:r>
      <w:r>
        <w:rPr>
          <w:rFonts w:ascii="Times New Roman" w:hAnsi="Times New Roman" w:eastAsia="Times New Roman" w:cs="Times New Roman"/>
          <w:spacing w:val="25"/>
          <w:w w:val="101"/>
          <w:sz w:val="20"/>
          <w:szCs w:val="20"/>
        </w:rPr>
        <w:t xml:space="preserve"> </w:t>
      </w:r>
      <w:r>
        <w:rPr>
          <w:rFonts w:ascii="Times New Roman" w:hAnsi="Times New Roman" w:eastAsia="Times New Roman" w:cs="Times New Roman"/>
          <w:spacing w:val="-1"/>
          <w:sz w:val="20"/>
          <w:szCs w:val="20"/>
        </w:rPr>
        <w:t>of an</w:t>
      </w:r>
      <w:r>
        <w:rPr>
          <w:rFonts w:ascii="Times New Roman" w:hAnsi="Times New Roman" w:eastAsia="Times New Roman" w:cs="Times New Roman"/>
          <w:spacing w:val="25"/>
          <w:w w:val="101"/>
          <w:sz w:val="20"/>
          <w:szCs w:val="20"/>
        </w:rPr>
        <w:t xml:space="preserve"> </w:t>
      </w:r>
      <w:r>
        <w:rPr>
          <w:rFonts w:ascii="Times New Roman" w:hAnsi="Times New Roman" w:eastAsia="Times New Roman" w:cs="Times New Roman"/>
          <w:spacing w:val="-1"/>
          <w:sz w:val="20"/>
          <w:szCs w:val="20"/>
        </w:rPr>
        <w:t>oral</w:t>
      </w:r>
      <w:r>
        <w:rPr>
          <w:rFonts w:ascii="Times New Roman" w:hAnsi="Times New Roman" w:eastAsia="Times New Roman" w:cs="Times New Roman"/>
          <w:spacing w:val="20"/>
          <w:sz w:val="20"/>
          <w:szCs w:val="20"/>
        </w:rPr>
        <w:t xml:space="preserve"> </w:t>
      </w:r>
      <w:r>
        <w:rPr>
          <w:rFonts w:ascii="Times New Roman" w:hAnsi="Times New Roman" w:eastAsia="Times New Roman" w:cs="Times New Roman"/>
          <w:spacing w:val="-1"/>
          <w:sz w:val="20"/>
          <w:szCs w:val="20"/>
        </w:rPr>
        <w:t>rehydration</w:t>
      </w:r>
      <w:r>
        <w:rPr>
          <w:rFonts w:ascii="Times New Roman" w:hAnsi="Times New Roman" w:eastAsia="Times New Roman" w:cs="Times New Roman"/>
          <w:spacing w:val="28"/>
          <w:w w:val="101"/>
          <w:sz w:val="20"/>
          <w:szCs w:val="20"/>
        </w:rPr>
        <w:t xml:space="preserve"> </w:t>
      </w:r>
      <w:r>
        <w:rPr>
          <w:rFonts w:ascii="Times New Roman" w:hAnsi="Times New Roman" w:eastAsia="Times New Roman" w:cs="Times New Roman"/>
          <w:spacing w:val="-1"/>
          <w:sz w:val="20"/>
          <w:szCs w:val="20"/>
        </w:rPr>
        <w:t>salt(ORS)solution</w:t>
      </w:r>
      <w:r>
        <w:rPr>
          <w:rFonts w:ascii="Times New Roman" w:hAnsi="Times New Roman" w:eastAsia="Times New Roman" w:cs="Times New Roman"/>
          <w:spacing w:val="25"/>
          <w:w w:val="101"/>
          <w:sz w:val="20"/>
          <w:szCs w:val="20"/>
        </w:rPr>
        <w:t xml:space="preserve"> </w:t>
      </w:r>
      <w:r>
        <w:rPr>
          <w:rFonts w:ascii="Times New Roman" w:hAnsi="Times New Roman" w:eastAsia="Times New Roman" w:cs="Times New Roman"/>
          <w:spacing w:val="-1"/>
          <w:sz w:val="20"/>
          <w:szCs w:val="20"/>
        </w:rPr>
        <w:t>or</w:t>
      </w:r>
      <w:r>
        <w:rPr>
          <w:rFonts w:ascii="Times New Roman" w:hAnsi="Times New Roman" w:eastAsia="Times New Roman" w:cs="Times New Roman"/>
          <w:spacing w:val="24"/>
          <w:w w:val="101"/>
          <w:sz w:val="20"/>
          <w:szCs w:val="20"/>
        </w:rPr>
        <w:t xml:space="preserve"> </w:t>
      </w:r>
      <w:r>
        <w:rPr>
          <w:rFonts w:ascii="Times New Roman" w:hAnsi="Times New Roman" w:eastAsia="Times New Roman" w:cs="Times New Roman"/>
          <w:spacing w:val="-1"/>
          <w:sz w:val="20"/>
          <w:szCs w:val="20"/>
        </w:rPr>
        <w:t>an</w:t>
      </w:r>
      <w:r>
        <w:rPr>
          <w:rFonts w:ascii="Times New Roman" w:hAnsi="Times New Roman" w:eastAsia="Times New Roman" w:cs="Times New Roman"/>
          <w:sz w:val="20"/>
          <w:szCs w:val="20"/>
        </w:rPr>
        <w:t xml:space="preserve"> intravenous</w:t>
      </w:r>
      <w:r>
        <w:rPr>
          <w:rFonts w:ascii="Times New Roman" w:hAnsi="Times New Roman" w:eastAsia="Times New Roman" w:cs="Times New Roman"/>
          <w:spacing w:val="14"/>
          <w:sz w:val="20"/>
          <w:szCs w:val="20"/>
        </w:rPr>
        <w:t xml:space="preserve"> </w:t>
      </w:r>
      <w:r>
        <w:rPr>
          <w:rFonts w:ascii="Times New Roman" w:hAnsi="Times New Roman" w:eastAsia="Times New Roman" w:cs="Times New Roman"/>
          <w:sz w:val="20"/>
          <w:szCs w:val="20"/>
        </w:rPr>
        <w:t>drip;otherwise,severe</w:t>
      </w:r>
      <w:r>
        <w:rPr>
          <w:rFonts w:ascii="Times New Roman" w:hAnsi="Times New Roman" w:eastAsia="Times New Roman" w:cs="Times New Roman"/>
          <w:spacing w:val="13"/>
          <w:w w:val="101"/>
          <w:sz w:val="20"/>
          <w:szCs w:val="20"/>
        </w:rPr>
        <w:t xml:space="preserve"> </w:t>
      </w:r>
      <w:r>
        <w:rPr>
          <w:rFonts w:ascii="Times New Roman" w:hAnsi="Times New Roman" w:eastAsia="Times New Roman" w:cs="Times New Roman"/>
          <w:sz w:val="20"/>
          <w:szCs w:val="20"/>
        </w:rPr>
        <w:t>dehydration</w:t>
      </w:r>
      <w:r>
        <w:rPr>
          <w:rFonts w:ascii="Times New Roman" w:hAnsi="Times New Roman" w:eastAsia="Times New Roman" w:cs="Times New Roman"/>
          <w:spacing w:val="14"/>
          <w:sz w:val="20"/>
          <w:szCs w:val="20"/>
        </w:rPr>
        <w:t xml:space="preserve"> </w:t>
      </w:r>
      <w:r>
        <w:rPr>
          <w:rFonts w:ascii="Times New Roman" w:hAnsi="Times New Roman" w:eastAsia="Times New Roman" w:cs="Times New Roman"/>
          <w:sz w:val="20"/>
          <w:szCs w:val="20"/>
        </w:rPr>
        <w:t>could</w:t>
      </w:r>
      <w:r>
        <w:rPr>
          <w:rFonts w:ascii="Times New Roman" w:hAnsi="Times New Roman" w:eastAsia="Times New Roman" w:cs="Times New Roman"/>
          <w:spacing w:val="13"/>
          <w:w w:val="101"/>
          <w:sz w:val="20"/>
          <w:szCs w:val="20"/>
        </w:rPr>
        <w:t xml:space="preserve"> </w:t>
      </w:r>
      <w:r>
        <w:rPr>
          <w:rFonts w:ascii="Times New Roman" w:hAnsi="Times New Roman" w:eastAsia="Times New Roman" w:cs="Times New Roman"/>
          <w:sz w:val="20"/>
          <w:szCs w:val="20"/>
        </w:rPr>
        <w:t>occur if</w:t>
      </w:r>
      <w:r>
        <w:rPr>
          <w:rFonts w:ascii="Times New Roman" w:hAnsi="Times New Roman" w:eastAsia="Times New Roman" w:cs="Times New Roman"/>
          <w:spacing w:val="-14"/>
          <w:sz w:val="20"/>
          <w:szCs w:val="20"/>
        </w:rPr>
        <w:t xml:space="preserve"> </w:t>
      </w:r>
      <w:r>
        <w:rPr>
          <w:rFonts w:ascii="Times New Roman" w:hAnsi="Times New Roman" w:eastAsia="Times New Roman" w:cs="Times New Roman"/>
          <w:sz w:val="20"/>
          <w:szCs w:val="20"/>
        </w:rPr>
        <w:t>body</w:t>
      </w:r>
      <w:r>
        <w:rPr>
          <w:rFonts w:ascii="Times New Roman" w:hAnsi="Times New Roman" w:eastAsia="Times New Roman" w:cs="Times New Roman"/>
          <w:spacing w:val="15"/>
          <w:sz w:val="20"/>
          <w:szCs w:val="20"/>
        </w:rPr>
        <w:t xml:space="preserve"> </w:t>
      </w:r>
      <w:r>
        <w:rPr>
          <w:rFonts w:ascii="Times New Roman" w:hAnsi="Times New Roman" w:eastAsia="Times New Roman" w:cs="Times New Roman"/>
          <w:sz w:val="20"/>
          <w:szCs w:val="20"/>
        </w:rPr>
        <w:t>fluids</w:t>
      </w:r>
      <w:r>
        <w:rPr>
          <w:rFonts w:ascii="Times New Roman" w:hAnsi="Times New Roman" w:eastAsia="Times New Roman" w:cs="Times New Roman"/>
          <w:spacing w:val="14"/>
          <w:w w:val="101"/>
          <w:sz w:val="20"/>
          <w:szCs w:val="20"/>
        </w:rPr>
        <w:t xml:space="preserve"> </w:t>
      </w:r>
      <w:r>
        <w:rPr>
          <w:rFonts w:ascii="Times New Roman" w:hAnsi="Times New Roman" w:eastAsia="Times New Roman" w:cs="Times New Roman"/>
          <w:sz w:val="20"/>
          <w:szCs w:val="20"/>
        </w:rPr>
        <w:t>and</w:t>
      </w:r>
      <w:r>
        <w:rPr>
          <w:rFonts w:ascii="Times New Roman" w:hAnsi="Times New Roman" w:eastAsia="Times New Roman" w:cs="Times New Roman"/>
          <w:spacing w:val="14"/>
          <w:sz w:val="20"/>
          <w:szCs w:val="20"/>
        </w:rPr>
        <w:t xml:space="preserve"> </w:t>
      </w:r>
      <w:r>
        <w:rPr>
          <w:rFonts w:ascii="Times New Roman" w:hAnsi="Times New Roman" w:eastAsia="Times New Roman" w:cs="Times New Roman"/>
          <w:sz w:val="20"/>
          <w:szCs w:val="20"/>
        </w:rPr>
        <w:t>elec</w:t>
      </w:r>
      <w:r>
        <w:rPr>
          <w:rFonts w:ascii="Times New Roman" w:hAnsi="Times New Roman" w:eastAsia="Times New Roman" w:cs="Times New Roman"/>
          <w:spacing w:val="-1"/>
          <w:sz w:val="20"/>
          <w:szCs w:val="20"/>
        </w:rPr>
        <w:t>trolytes</w:t>
      </w:r>
      <w:r>
        <w:rPr>
          <w:rFonts w:ascii="Times New Roman" w:hAnsi="Times New Roman" w:eastAsia="Times New Roman" w:cs="Times New Roman"/>
          <w:spacing w:val="14"/>
          <w:sz w:val="20"/>
          <w:szCs w:val="20"/>
        </w:rPr>
        <w:t xml:space="preserve"> </w:t>
      </w:r>
      <w:r>
        <w:rPr>
          <w:rFonts w:ascii="Times New Roman" w:hAnsi="Times New Roman" w:eastAsia="Times New Roman" w:cs="Times New Roman"/>
          <w:spacing w:val="-1"/>
          <w:sz w:val="20"/>
          <w:szCs w:val="20"/>
        </w:rPr>
        <w:t>are not replenished.</w:t>
      </w:r>
    </w:p>
    <w:p w14:paraId="0D5DDF87">
      <w:pPr>
        <w:spacing w:line="322" w:lineRule="auto"/>
        <w:rPr>
          <w:rFonts w:ascii="Arial"/>
          <w:sz w:val="21"/>
        </w:rPr>
      </w:pPr>
    </w:p>
    <w:p w14:paraId="220FF94A">
      <w:pPr>
        <w:spacing w:before="65" w:line="342" w:lineRule="auto"/>
        <w:ind w:left="659" w:right="84" w:firstLine="409"/>
        <w:jc w:val="both"/>
        <w:rPr>
          <w:rFonts w:ascii="宋体" w:hAnsi="宋体" w:eastAsia="宋体" w:cs="宋体"/>
          <w:sz w:val="20"/>
          <w:szCs w:val="20"/>
        </w:rPr>
      </w:pPr>
      <w:r>
        <w:rPr>
          <w:rFonts w:ascii="宋体" w:hAnsi="宋体" w:eastAsia="宋体" w:cs="宋体"/>
          <w:spacing w:val="9"/>
          <w:sz w:val="20"/>
          <w:szCs w:val="20"/>
        </w:rPr>
        <w:t>感染性腹泻</w:t>
      </w:r>
      <w:r>
        <w:rPr>
          <w:rFonts w:ascii="Times New Roman" w:hAnsi="Times New Roman" w:eastAsia="Times New Roman" w:cs="Times New Roman"/>
          <w:spacing w:val="9"/>
          <w:sz w:val="20"/>
          <w:szCs w:val="20"/>
        </w:rPr>
        <w:t>(</w:t>
      </w:r>
      <w:r>
        <w:rPr>
          <w:rFonts w:ascii="Times New Roman" w:hAnsi="Times New Roman" w:eastAsia="Times New Roman" w:cs="Times New Roman"/>
          <w:sz w:val="20"/>
          <w:szCs w:val="20"/>
        </w:rPr>
        <w:t>infectious</w:t>
      </w:r>
      <w:r>
        <w:rPr>
          <w:rFonts w:ascii="Times New Roman" w:hAnsi="Times New Roman" w:eastAsia="Times New Roman" w:cs="Times New Roman"/>
          <w:spacing w:val="9"/>
          <w:sz w:val="20"/>
          <w:szCs w:val="20"/>
        </w:rPr>
        <w:t xml:space="preserve">    </w:t>
      </w:r>
      <w:r>
        <w:rPr>
          <w:rFonts w:ascii="Times New Roman" w:hAnsi="Times New Roman" w:eastAsia="Times New Roman" w:cs="Times New Roman"/>
          <w:sz w:val="20"/>
          <w:szCs w:val="20"/>
        </w:rPr>
        <w:t>diarrhea</w:t>
      </w:r>
      <w:r>
        <w:rPr>
          <w:rFonts w:ascii="Times New Roman" w:hAnsi="Times New Roman" w:eastAsia="Times New Roman" w:cs="Times New Roman"/>
          <w:spacing w:val="9"/>
          <w:sz w:val="20"/>
          <w:szCs w:val="20"/>
        </w:rPr>
        <w:t>)</w:t>
      </w:r>
      <w:r>
        <w:rPr>
          <w:rFonts w:ascii="宋体" w:hAnsi="宋体" w:eastAsia="宋体" w:cs="宋体"/>
          <w:spacing w:val="9"/>
          <w:sz w:val="20"/>
          <w:szCs w:val="20"/>
        </w:rPr>
        <w:t>是指由病原微生物及其产物</w:t>
      </w:r>
      <w:r>
        <w:rPr>
          <w:rFonts w:ascii="宋体" w:hAnsi="宋体" w:eastAsia="宋体" w:cs="宋体"/>
          <w:spacing w:val="8"/>
          <w:sz w:val="20"/>
          <w:szCs w:val="20"/>
        </w:rPr>
        <w:t>或寄生虫引起的、以腹泻为主要临</w:t>
      </w:r>
      <w:r>
        <w:rPr>
          <w:rFonts w:ascii="宋体" w:hAnsi="宋体" w:eastAsia="宋体" w:cs="宋体"/>
          <w:sz w:val="20"/>
          <w:szCs w:val="20"/>
        </w:rPr>
        <w:t xml:space="preserve"> </w:t>
      </w:r>
      <w:r>
        <w:rPr>
          <w:rFonts w:ascii="宋体" w:hAnsi="宋体" w:eastAsia="宋体" w:cs="宋体"/>
          <w:spacing w:val="12"/>
          <w:sz w:val="20"/>
          <w:szCs w:val="20"/>
        </w:rPr>
        <w:t>床特征的一组肠道传染病；腹泻是指每日排便3次或3次以上，且排便量和粪</w:t>
      </w:r>
      <w:r>
        <w:rPr>
          <w:rFonts w:ascii="宋体" w:hAnsi="宋体" w:eastAsia="宋体" w:cs="宋体"/>
          <w:spacing w:val="11"/>
          <w:sz w:val="20"/>
          <w:szCs w:val="20"/>
        </w:rPr>
        <w:t>便性状异常，出现稀</w:t>
      </w:r>
      <w:r>
        <w:rPr>
          <w:rFonts w:ascii="宋体" w:hAnsi="宋体" w:eastAsia="宋体" w:cs="宋体"/>
          <w:sz w:val="20"/>
          <w:szCs w:val="20"/>
        </w:rPr>
        <w:t xml:space="preserve"> </w:t>
      </w:r>
      <w:r>
        <w:rPr>
          <w:rFonts w:ascii="宋体" w:hAnsi="宋体" w:eastAsia="宋体" w:cs="宋体"/>
          <w:spacing w:val="3"/>
          <w:sz w:val="20"/>
          <w:szCs w:val="20"/>
        </w:rPr>
        <w:t>便、水样便、黏液便、脓血便或血便等。根据基</w:t>
      </w:r>
      <w:r>
        <w:rPr>
          <w:rFonts w:ascii="宋体" w:hAnsi="宋体" w:eastAsia="宋体" w:cs="宋体"/>
          <w:spacing w:val="2"/>
          <w:sz w:val="20"/>
          <w:szCs w:val="20"/>
        </w:rPr>
        <w:t>层卫生机构的实际情况和治疗的需要，将腹泻划分为</w:t>
      </w:r>
      <w:r>
        <w:rPr>
          <w:rFonts w:ascii="宋体" w:hAnsi="宋体" w:eastAsia="宋体" w:cs="宋体"/>
          <w:sz w:val="20"/>
          <w:szCs w:val="20"/>
        </w:rPr>
        <w:t xml:space="preserve"> </w:t>
      </w:r>
      <w:r>
        <w:rPr>
          <w:rFonts w:ascii="宋体" w:hAnsi="宋体" w:eastAsia="宋体" w:cs="宋体"/>
          <w:spacing w:val="9"/>
          <w:sz w:val="20"/>
          <w:szCs w:val="20"/>
        </w:rPr>
        <w:t>三类：凡急性起病，病程在2周以内者，称为急性腹泻；超过2周但未超过2个月时，称为迁延性腹</w:t>
      </w:r>
      <w:r>
        <w:rPr>
          <w:rFonts w:ascii="宋体" w:hAnsi="宋体" w:eastAsia="宋体" w:cs="宋体"/>
          <w:spacing w:val="11"/>
          <w:sz w:val="20"/>
          <w:szCs w:val="20"/>
        </w:rPr>
        <w:t xml:space="preserve"> </w:t>
      </w:r>
      <w:r>
        <w:rPr>
          <w:rFonts w:ascii="宋体" w:hAnsi="宋体" w:eastAsia="宋体" w:cs="宋体"/>
          <w:spacing w:val="2"/>
          <w:sz w:val="20"/>
          <w:szCs w:val="20"/>
        </w:rPr>
        <w:t>泻；反复发作，持续时间2个月以上，甚至迁延数月或数年时，称为慢性腹</w:t>
      </w:r>
      <w:r>
        <w:rPr>
          <w:rFonts w:ascii="宋体" w:hAnsi="宋体" w:eastAsia="宋体" w:cs="宋体"/>
          <w:spacing w:val="1"/>
          <w:sz w:val="20"/>
          <w:szCs w:val="20"/>
        </w:rPr>
        <w:t>泻。</w:t>
      </w:r>
    </w:p>
    <w:p w14:paraId="5BE27F9A">
      <w:pPr>
        <w:spacing w:before="8" w:line="332" w:lineRule="auto"/>
        <w:ind w:left="659" w:firstLine="409"/>
        <w:jc w:val="both"/>
        <w:rPr>
          <w:rFonts w:ascii="宋体" w:hAnsi="宋体" w:eastAsia="宋体" w:cs="宋体"/>
          <w:sz w:val="20"/>
          <w:szCs w:val="20"/>
        </w:rPr>
      </w:pPr>
      <w:r>
        <w:rPr>
          <w:rFonts w:ascii="宋体" w:hAnsi="宋体" w:eastAsia="宋体" w:cs="宋体"/>
          <w:spacing w:val="12"/>
          <w:sz w:val="20"/>
          <w:szCs w:val="20"/>
        </w:rPr>
        <w:t>感染性腹泻在世界范围内流行广泛，尤其在发展中国家，是当今全球性重要公共卫生问题之</w:t>
      </w:r>
      <w:r>
        <w:rPr>
          <w:rFonts w:ascii="宋体" w:hAnsi="宋体" w:eastAsia="宋体" w:cs="宋体"/>
          <w:spacing w:val="8"/>
          <w:sz w:val="20"/>
          <w:szCs w:val="20"/>
        </w:rPr>
        <w:t xml:space="preserve">  </w:t>
      </w:r>
      <w:r>
        <w:rPr>
          <w:rFonts w:ascii="宋体" w:hAnsi="宋体" w:eastAsia="宋体" w:cs="宋体"/>
          <w:spacing w:val="12"/>
          <w:sz w:val="20"/>
          <w:szCs w:val="20"/>
        </w:rPr>
        <w:t>一，受到</w:t>
      </w:r>
      <w:r>
        <w:rPr>
          <w:rFonts w:ascii="Times New Roman" w:hAnsi="Times New Roman" w:eastAsia="Times New Roman" w:cs="Times New Roman"/>
          <w:sz w:val="20"/>
          <w:szCs w:val="20"/>
        </w:rPr>
        <w:t>WHO</w:t>
      </w:r>
      <w:r>
        <w:rPr>
          <w:rFonts w:ascii="Times New Roman" w:hAnsi="Times New Roman" w:eastAsia="Times New Roman" w:cs="Times New Roman"/>
          <w:spacing w:val="12"/>
          <w:sz w:val="20"/>
          <w:szCs w:val="20"/>
        </w:rPr>
        <w:t xml:space="preserve"> </w:t>
      </w:r>
      <w:r>
        <w:rPr>
          <w:rFonts w:ascii="宋体" w:hAnsi="宋体" w:eastAsia="宋体" w:cs="宋体"/>
          <w:spacing w:val="12"/>
          <w:sz w:val="20"/>
          <w:szCs w:val="20"/>
        </w:rPr>
        <w:t>和各国政府的高度重视。感染性腹</w:t>
      </w:r>
      <w:r>
        <w:rPr>
          <w:rFonts w:ascii="宋体" w:hAnsi="宋体" w:eastAsia="宋体" w:cs="宋体"/>
          <w:spacing w:val="11"/>
          <w:sz w:val="20"/>
          <w:szCs w:val="20"/>
        </w:rPr>
        <w:t>泻的危害主要表现在全人群易感、波及范围广、</w:t>
      </w:r>
      <w:r>
        <w:rPr>
          <w:rFonts w:ascii="宋体" w:hAnsi="宋体" w:eastAsia="宋体" w:cs="宋体"/>
          <w:sz w:val="20"/>
          <w:szCs w:val="20"/>
        </w:rPr>
        <w:t xml:space="preserve"> </w:t>
      </w:r>
      <w:r>
        <w:rPr>
          <w:rFonts w:ascii="宋体" w:hAnsi="宋体" w:eastAsia="宋体" w:cs="宋体"/>
          <w:spacing w:val="7"/>
          <w:sz w:val="20"/>
          <w:szCs w:val="20"/>
        </w:rPr>
        <w:t>发病率高、治疗不及时或不合理可致死亡。我国感染性腹泻发病率较高，据估计，我国居民感染性</w:t>
      </w:r>
      <w:r>
        <w:rPr>
          <w:rFonts w:ascii="宋体" w:hAnsi="宋体" w:eastAsia="宋体" w:cs="宋体"/>
          <w:spacing w:val="3"/>
          <w:sz w:val="20"/>
          <w:szCs w:val="20"/>
        </w:rPr>
        <w:t xml:space="preserve">  </w:t>
      </w:r>
      <w:r>
        <w:rPr>
          <w:rFonts w:ascii="宋体" w:hAnsi="宋体" w:eastAsia="宋体" w:cs="宋体"/>
          <w:spacing w:val="13"/>
          <w:sz w:val="20"/>
          <w:szCs w:val="20"/>
        </w:rPr>
        <w:t>腹泻年发病率为0.7次/人，5岁以下儿童年发病率为1.9次/人，对人们的健康和生命造成巨大危</w:t>
      </w:r>
      <w:r>
        <w:rPr>
          <w:rFonts w:ascii="宋体" w:hAnsi="宋体" w:eastAsia="宋体" w:cs="宋体"/>
          <w:spacing w:val="5"/>
          <w:sz w:val="20"/>
          <w:szCs w:val="20"/>
        </w:rPr>
        <w:t xml:space="preserve">  </w:t>
      </w:r>
      <w:r>
        <w:rPr>
          <w:rFonts w:ascii="宋体" w:hAnsi="宋体" w:eastAsia="宋体" w:cs="宋体"/>
          <w:spacing w:val="7"/>
          <w:sz w:val="20"/>
          <w:szCs w:val="20"/>
        </w:rPr>
        <w:t>害。感染性腹泻对社会和经济也产生很大影响。例如，霍乱是国际检疫传染病之一，也是《传</w:t>
      </w:r>
      <w:r>
        <w:rPr>
          <w:rFonts w:ascii="宋体" w:hAnsi="宋体" w:eastAsia="宋体" w:cs="宋体"/>
          <w:spacing w:val="6"/>
          <w:sz w:val="20"/>
          <w:szCs w:val="20"/>
        </w:rPr>
        <w:t>染病</w:t>
      </w:r>
      <w:r>
        <w:rPr>
          <w:rFonts w:ascii="宋体" w:hAnsi="宋体" w:eastAsia="宋体" w:cs="宋体"/>
          <w:sz w:val="20"/>
          <w:szCs w:val="20"/>
        </w:rPr>
        <w:t xml:space="preserve">  </w:t>
      </w:r>
      <w:r>
        <w:rPr>
          <w:rFonts w:ascii="宋体" w:hAnsi="宋体" w:eastAsia="宋体" w:cs="宋体"/>
          <w:spacing w:val="2"/>
          <w:sz w:val="20"/>
          <w:szCs w:val="20"/>
        </w:rPr>
        <w:t>防治法》规定管理的甲类传染病，一旦发生霍乱流行，除对病人进行及时治疗和隔离外，还须对易感</w:t>
      </w:r>
      <w:r>
        <w:rPr>
          <w:rFonts w:ascii="宋体" w:hAnsi="宋体" w:eastAsia="宋体" w:cs="宋体"/>
          <w:sz w:val="20"/>
          <w:szCs w:val="20"/>
        </w:rPr>
        <w:t xml:space="preserve">  </w:t>
      </w:r>
      <w:r>
        <w:rPr>
          <w:rFonts w:ascii="宋体" w:hAnsi="宋体" w:eastAsia="宋体" w:cs="宋体"/>
          <w:spacing w:val="2"/>
          <w:sz w:val="20"/>
          <w:szCs w:val="20"/>
        </w:rPr>
        <w:t>人群和疫区采取一系列卫生和检疫措施，对当地的社会、经济</w:t>
      </w:r>
      <w:r>
        <w:rPr>
          <w:rFonts w:ascii="宋体" w:hAnsi="宋体" w:eastAsia="宋体" w:cs="宋体"/>
          <w:spacing w:val="1"/>
          <w:sz w:val="20"/>
          <w:szCs w:val="20"/>
        </w:rPr>
        <w:t>、交通、旅游、贸易，以及人们的生产</w:t>
      </w:r>
      <w:r>
        <w:rPr>
          <w:rFonts w:ascii="宋体" w:hAnsi="宋体" w:eastAsia="宋体" w:cs="宋体"/>
          <w:sz w:val="20"/>
          <w:szCs w:val="20"/>
        </w:rPr>
        <w:t xml:space="preserve">  </w:t>
      </w:r>
      <w:r>
        <w:rPr>
          <w:rFonts w:ascii="宋体" w:hAnsi="宋体" w:eastAsia="宋体" w:cs="宋体"/>
          <w:spacing w:val="11"/>
          <w:sz w:val="20"/>
          <w:szCs w:val="20"/>
        </w:rPr>
        <w:t>和生活都将产生不利的影响。感染性腹泻的病原体复杂多样，近年来腹泻病原体的耐药性产生和</w:t>
      </w:r>
      <w:r>
        <w:rPr>
          <w:rFonts w:ascii="宋体" w:hAnsi="宋体" w:eastAsia="宋体" w:cs="宋体"/>
          <w:spacing w:val="6"/>
          <w:sz w:val="20"/>
          <w:szCs w:val="20"/>
        </w:rPr>
        <w:t xml:space="preserve">  </w:t>
      </w:r>
      <w:r>
        <w:rPr>
          <w:rFonts w:ascii="宋体" w:hAnsi="宋体" w:eastAsia="宋体" w:cs="宋体"/>
          <w:spacing w:val="8"/>
          <w:sz w:val="20"/>
          <w:szCs w:val="20"/>
        </w:rPr>
        <w:t>传递，为感染性腹泻的预防控制和治疗带来巨大挑战。因此，</w:t>
      </w:r>
      <w:r>
        <w:rPr>
          <w:rFonts w:ascii="宋体" w:hAnsi="宋体" w:eastAsia="宋体" w:cs="宋体"/>
          <w:sz w:val="20"/>
          <w:szCs w:val="20"/>
        </w:rPr>
        <w:t>WHO</w:t>
      </w:r>
      <w:r>
        <w:rPr>
          <w:rFonts w:ascii="宋体" w:hAnsi="宋体" w:eastAsia="宋体" w:cs="宋体"/>
          <w:spacing w:val="30"/>
          <w:sz w:val="20"/>
          <w:szCs w:val="20"/>
        </w:rPr>
        <w:t xml:space="preserve">  </w:t>
      </w:r>
      <w:r>
        <w:rPr>
          <w:rFonts w:ascii="宋体" w:hAnsi="宋体" w:eastAsia="宋体" w:cs="宋体"/>
          <w:spacing w:val="8"/>
          <w:sz w:val="20"/>
          <w:szCs w:val="20"/>
        </w:rPr>
        <w:t>将感</w:t>
      </w:r>
      <w:r>
        <w:rPr>
          <w:rFonts w:ascii="宋体" w:hAnsi="宋体" w:eastAsia="宋体" w:cs="宋体"/>
          <w:spacing w:val="7"/>
          <w:sz w:val="20"/>
          <w:szCs w:val="20"/>
        </w:rPr>
        <w:t>染性腹泻作为全球重大公</w:t>
      </w:r>
      <w:r>
        <w:rPr>
          <w:rFonts w:ascii="宋体" w:hAnsi="宋体" w:eastAsia="宋体" w:cs="宋体"/>
          <w:sz w:val="20"/>
          <w:szCs w:val="20"/>
        </w:rPr>
        <w:t xml:space="preserve">  </w:t>
      </w:r>
      <w:r>
        <w:rPr>
          <w:rFonts w:ascii="宋体" w:hAnsi="宋体" w:eastAsia="宋体" w:cs="宋体"/>
          <w:spacing w:val="3"/>
          <w:sz w:val="20"/>
          <w:szCs w:val="20"/>
        </w:rPr>
        <w:t>共卫生问题之一，我国也将其列人重大疾病预防控制规划。</w:t>
      </w:r>
    </w:p>
    <w:p w14:paraId="7749A04C">
      <w:pPr>
        <w:spacing w:line="455" w:lineRule="auto"/>
        <w:rPr>
          <w:rFonts w:ascii="Arial"/>
          <w:sz w:val="21"/>
        </w:rPr>
      </w:pPr>
    </w:p>
    <w:p w14:paraId="09763F97">
      <w:pPr>
        <w:pStyle w:val="2"/>
        <w:spacing w:before="95" w:line="221" w:lineRule="auto"/>
        <w:ind w:left="4054"/>
        <w:outlineLvl w:val="4"/>
        <w:rPr>
          <w:sz w:val="29"/>
          <w:szCs w:val="29"/>
        </w:rPr>
      </w:pPr>
      <w:bookmarkStart w:id="560" w:name="bookmark346"/>
      <w:bookmarkEnd w:id="560"/>
      <w:r>
        <w:rPr>
          <w:b/>
          <w:bCs/>
          <w:spacing w:val="9"/>
          <w:sz w:val="29"/>
          <w:szCs w:val="29"/>
        </w:rPr>
        <w:t>第一节</w:t>
      </w:r>
      <w:r>
        <w:rPr>
          <w:spacing w:val="135"/>
          <w:sz w:val="29"/>
          <w:szCs w:val="29"/>
        </w:rPr>
        <w:t xml:space="preserve"> </w:t>
      </w:r>
      <w:r>
        <w:rPr>
          <w:b/>
          <w:bCs/>
          <w:spacing w:val="9"/>
          <w:sz w:val="29"/>
          <w:szCs w:val="29"/>
        </w:rPr>
        <w:t>病原学</w:t>
      </w:r>
    </w:p>
    <w:p w14:paraId="7DF086C4">
      <w:pPr>
        <w:spacing w:line="378" w:lineRule="auto"/>
        <w:rPr>
          <w:rFonts w:ascii="Arial"/>
          <w:sz w:val="21"/>
        </w:rPr>
      </w:pPr>
    </w:p>
    <w:p w14:paraId="7EA50A0E">
      <w:pPr>
        <w:pStyle w:val="2"/>
        <w:spacing w:before="82" w:line="221" w:lineRule="auto"/>
        <w:ind w:left="1073"/>
        <w:outlineLvl w:val="4"/>
        <w:rPr>
          <w:sz w:val="25"/>
          <w:szCs w:val="25"/>
        </w:rPr>
      </w:pPr>
      <w:bookmarkStart w:id="561" w:name="bookmark347"/>
      <w:bookmarkEnd w:id="561"/>
      <w:r>
        <w:rPr>
          <w:b/>
          <w:bCs/>
          <w:spacing w:val="-15"/>
          <w:sz w:val="25"/>
          <w:szCs w:val="25"/>
        </w:rPr>
        <w:t>一</w:t>
      </w:r>
      <w:r>
        <w:rPr>
          <w:spacing w:val="-53"/>
          <w:sz w:val="25"/>
          <w:szCs w:val="25"/>
        </w:rPr>
        <w:t xml:space="preserve"> </w:t>
      </w:r>
      <w:r>
        <w:rPr>
          <w:b/>
          <w:bCs/>
          <w:spacing w:val="-15"/>
          <w:sz w:val="25"/>
          <w:szCs w:val="25"/>
        </w:rPr>
        <w:t>、病原体的种类</w:t>
      </w:r>
    </w:p>
    <w:p w14:paraId="68266701">
      <w:pPr>
        <w:spacing w:before="274" w:line="219" w:lineRule="auto"/>
        <w:ind w:left="1069"/>
        <w:rPr>
          <w:rFonts w:ascii="宋体" w:hAnsi="宋体" w:eastAsia="宋体" w:cs="宋体"/>
          <w:sz w:val="20"/>
          <w:szCs w:val="20"/>
        </w:rPr>
      </w:pPr>
      <w:r>
        <w:rPr>
          <w:rFonts w:ascii="宋体" w:hAnsi="宋体" w:eastAsia="宋体" w:cs="宋体"/>
          <w:spacing w:val="6"/>
          <w:sz w:val="20"/>
          <w:szCs w:val="20"/>
        </w:rPr>
        <w:t>感染性腹泻的病原体主要有三大类：细菌、病毒、寄生虫。细菌是最早被确认的感染性腹泻病</w:t>
      </w:r>
    </w:p>
    <w:p w14:paraId="16EDC082">
      <w:pPr>
        <w:spacing w:line="219" w:lineRule="auto"/>
        <w:rPr>
          <w:rFonts w:ascii="宋体" w:hAnsi="宋体" w:eastAsia="宋体" w:cs="宋体"/>
          <w:sz w:val="20"/>
          <w:szCs w:val="20"/>
        </w:rPr>
        <w:sectPr>
          <w:footerReference r:id="rId357" w:type="default"/>
          <w:pgSz w:w="11900" w:h="16820"/>
          <w:pgMar w:top="400" w:right="1419" w:bottom="879" w:left="820" w:header="0" w:footer="699" w:gutter="0"/>
          <w:cols w:space="720" w:num="1"/>
        </w:sectPr>
      </w:pPr>
    </w:p>
    <w:p w14:paraId="305DC785">
      <w:pPr>
        <w:pStyle w:val="2"/>
        <w:spacing w:before="266" w:line="222" w:lineRule="auto"/>
        <w:ind w:left="6989"/>
        <w:rPr>
          <w:sz w:val="19"/>
          <w:szCs w:val="19"/>
        </w:rPr>
      </w:pPr>
      <w:bookmarkStart w:id="562" w:name="bookmark601"/>
      <w:bookmarkEnd w:id="562"/>
      <w:r>
        <w:rPr>
          <w:spacing w:val="-8"/>
          <w:sz w:val="19"/>
          <w:szCs w:val="19"/>
        </w:rPr>
        <w:t>第二十二章感染性腹泻</w:t>
      </w:r>
    </w:p>
    <w:p w14:paraId="726625F3">
      <w:pPr>
        <w:spacing w:line="477" w:lineRule="auto"/>
        <w:rPr>
          <w:rFonts w:ascii="Arial"/>
          <w:sz w:val="21"/>
        </w:rPr>
      </w:pPr>
    </w:p>
    <w:p w14:paraId="4A55D044">
      <w:pPr>
        <w:spacing w:before="61" w:line="370" w:lineRule="auto"/>
        <w:ind w:right="552"/>
        <w:jc w:val="both"/>
        <w:rPr>
          <w:rFonts w:ascii="宋体" w:hAnsi="宋体" w:eastAsia="宋体" w:cs="宋体"/>
          <w:sz w:val="19"/>
          <w:szCs w:val="19"/>
        </w:rPr>
      </w:pPr>
      <w:r>
        <w:rPr>
          <w:rFonts w:ascii="宋体" w:hAnsi="宋体" w:eastAsia="宋体" w:cs="宋体"/>
          <w:spacing w:val="10"/>
          <w:sz w:val="19"/>
          <w:szCs w:val="19"/>
        </w:rPr>
        <w:t>原体，如霍乱弧菌、痢疾杆菌等；细菌也是感染性腹泻病原体中最大的一个家族，而且最为常见。20</w:t>
      </w:r>
      <w:r>
        <w:rPr>
          <w:rFonts w:ascii="宋体" w:hAnsi="宋体" w:eastAsia="宋体" w:cs="宋体"/>
          <w:spacing w:val="9"/>
          <w:sz w:val="19"/>
          <w:szCs w:val="19"/>
        </w:rPr>
        <w:t xml:space="preserve">  </w:t>
      </w:r>
      <w:r>
        <w:rPr>
          <w:rFonts w:ascii="宋体" w:hAnsi="宋体" w:eastAsia="宋体" w:cs="宋体"/>
          <w:spacing w:val="16"/>
          <w:sz w:val="19"/>
          <w:szCs w:val="19"/>
        </w:rPr>
        <w:t>世纪70年代，随着电镜和免疫电镜技术的发展，</w:t>
      </w:r>
      <w:r>
        <w:rPr>
          <w:rFonts w:ascii="宋体" w:hAnsi="宋体" w:eastAsia="宋体" w:cs="宋体"/>
          <w:spacing w:val="15"/>
          <w:sz w:val="19"/>
          <w:szCs w:val="19"/>
        </w:rPr>
        <w:t>人类致泻性病毒逐渐被发现和引起重视，如轮状病</w:t>
      </w:r>
      <w:r>
        <w:rPr>
          <w:rFonts w:ascii="宋体" w:hAnsi="宋体" w:eastAsia="宋体" w:cs="宋体"/>
          <w:sz w:val="19"/>
          <w:szCs w:val="19"/>
        </w:rPr>
        <w:t xml:space="preserve">  </w:t>
      </w:r>
      <w:r>
        <w:rPr>
          <w:rFonts w:ascii="宋体" w:hAnsi="宋体" w:eastAsia="宋体" w:cs="宋体"/>
          <w:spacing w:val="13"/>
          <w:sz w:val="19"/>
          <w:szCs w:val="19"/>
        </w:rPr>
        <w:t>毒、肠腺病毒等。引起感染性腹泻的人体寄生虫主要是原虫，如溶组织内阿米巴、蓝氏贾第鞭毛虫、</w:t>
      </w:r>
      <w:r>
        <w:rPr>
          <w:rFonts w:ascii="宋体" w:hAnsi="宋体" w:eastAsia="宋体" w:cs="宋体"/>
          <w:spacing w:val="1"/>
          <w:sz w:val="19"/>
          <w:szCs w:val="19"/>
        </w:rPr>
        <w:t xml:space="preserve"> </w:t>
      </w:r>
      <w:r>
        <w:rPr>
          <w:rFonts w:ascii="宋体" w:hAnsi="宋体" w:eastAsia="宋体" w:cs="宋体"/>
          <w:spacing w:val="17"/>
          <w:sz w:val="19"/>
          <w:szCs w:val="19"/>
        </w:rPr>
        <w:t>隐孢子虫等，约有几十种。感染性腹泻病原体种类</w:t>
      </w:r>
      <w:r>
        <w:rPr>
          <w:rFonts w:ascii="宋体" w:hAnsi="宋体" w:eastAsia="宋体" w:cs="宋体"/>
          <w:spacing w:val="16"/>
          <w:sz w:val="19"/>
          <w:szCs w:val="19"/>
        </w:rPr>
        <w:t>繁多，广泛存在于环境中，所引起的人类腹泻也</w:t>
      </w:r>
      <w:r>
        <w:rPr>
          <w:rFonts w:ascii="宋体" w:hAnsi="宋体" w:eastAsia="宋体" w:cs="宋体"/>
          <w:sz w:val="19"/>
          <w:szCs w:val="19"/>
        </w:rPr>
        <w:t xml:space="preserve"> </w:t>
      </w:r>
      <w:r>
        <w:rPr>
          <w:rFonts w:ascii="宋体" w:hAnsi="宋体" w:eastAsia="宋体" w:cs="宋体"/>
          <w:spacing w:val="16"/>
          <w:sz w:val="19"/>
          <w:szCs w:val="19"/>
        </w:rPr>
        <w:t>多种多样，主要的病原体及其引起的疾病见表22-1。在一些特殊状态下，例</w:t>
      </w:r>
      <w:r>
        <w:rPr>
          <w:rFonts w:ascii="宋体" w:hAnsi="宋体" w:eastAsia="宋体" w:cs="宋体"/>
          <w:spacing w:val="15"/>
          <w:sz w:val="19"/>
          <w:szCs w:val="19"/>
        </w:rPr>
        <w:t>如免疫缺陷时，人体也</w:t>
      </w:r>
      <w:r>
        <w:rPr>
          <w:rFonts w:ascii="宋体" w:hAnsi="宋体" w:eastAsia="宋体" w:cs="宋体"/>
          <w:sz w:val="19"/>
          <w:szCs w:val="19"/>
        </w:rPr>
        <w:t xml:space="preserve"> </w:t>
      </w:r>
      <w:r>
        <w:rPr>
          <w:rFonts w:ascii="宋体" w:hAnsi="宋体" w:eastAsia="宋体" w:cs="宋体"/>
          <w:spacing w:val="21"/>
          <w:sz w:val="19"/>
          <w:szCs w:val="19"/>
        </w:rPr>
        <w:t>可以感染某些真菌并发生腹泻。</w:t>
      </w:r>
    </w:p>
    <w:p w14:paraId="120FF972">
      <w:pPr>
        <w:pStyle w:val="2"/>
        <w:spacing w:before="114" w:line="222" w:lineRule="auto"/>
        <w:ind w:left="3069"/>
        <w:rPr>
          <w:sz w:val="19"/>
          <w:szCs w:val="19"/>
        </w:rPr>
      </w:pPr>
      <w:r>
        <w:rPr>
          <w:spacing w:val="4"/>
          <w:sz w:val="19"/>
          <w:szCs w:val="19"/>
        </w:rPr>
        <w:t>表22-</w:t>
      </w:r>
      <w:r>
        <w:rPr>
          <w:spacing w:val="-46"/>
          <w:sz w:val="19"/>
          <w:szCs w:val="19"/>
        </w:rPr>
        <w:t xml:space="preserve"> </w:t>
      </w:r>
      <w:r>
        <w:rPr>
          <w:spacing w:val="4"/>
          <w:sz w:val="19"/>
          <w:szCs w:val="19"/>
        </w:rPr>
        <w:t>1</w:t>
      </w:r>
      <w:r>
        <w:rPr>
          <w:spacing w:val="76"/>
          <w:sz w:val="19"/>
          <w:szCs w:val="19"/>
        </w:rPr>
        <w:t xml:space="preserve"> </w:t>
      </w:r>
      <w:r>
        <w:rPr>
          <w:spacing w:val="4"/>
          <w:sz w:val="19"/>
          <w:szCs w:val="19"/>
        </w:rPr>
        <w:t>感染性腹泻的主要病原体</w:t>
      </w:r>
    </w:p>
    <w:p w14:paraId="7013671D">
      <w:pPr>
        <w:spacing w:line="35" w:lineRule="exact"/>
      </w:pPr>
    </w:p>
    <w:tbl>
      <w:tblPr>
        <w:tblStyle w:val="5"/>
        <w:tblW w:w="8929"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0" w:type="dxa"/>
          <w:left w:w="0" w:type="dxa"/>
          <w:bottom w:w="0" w:type="dxa"/>
          <w:right w:w="0" w:type="dxa"/>
        </w:tblCellMar>
      </w:tblPr>
      <w:tblGrid>
        <w:gridCol w:w="2028"/>
        <w:gridCol w:w="3886"/>
        <w:gridCol w:w="3015"/>
      </w:tblGrid>
      <w:tr w14:paraId="2116F49A">
        <w:trPr>
          <w:trHeight w:val="409" w:hRule="atLeast"/>
        </w:trPr>
        <w:tc>
          <w:tcPr>
            <w:tcW w:w="2028" w:type="dxa"/>
            <w:vAlign w:val="top"/>
          </w:tcPr>
          <w:p w14:paraId="29F6ECE4">
            <w:pPr>
              <w:spacing w:before="123" w:line="221" w:lineRule="auto"/>
              <w:ind w:left="242"/>
              <w:rPr>
                <w:rFonts w:ascii="黑体" w:hAnsi="黑体" w:eastAsia="黑体" w:cs="黑体"/>
                <w:sz w:val="19"/>
                <w:szCs w:val="19"/>
              </w:rPr>
            </w:pPr>
            <w:r>
              <w:drawing>
                <wp:anchor distT="0" distB="0" distL="0" distR="0" simplePos="0" relativeHeight="251988992" behindDoc="1" locked="0" layoutInCell="1" allowOverlap="1">
                  <wp:simplePos x="0" y="0"/>
                  <wp:positionH relativeFrom="column">
                    <wp:posOffset>12065</wp:posOffset>
                  </wp:positionH>
                  <wp:positionV relativeFrom="paragraph">
                    <wp:posOffset>0</wp:posOffset>
                  </wp:positionV>
                  <wp:extent cx="5657850" cy="260350"/>
                  <wp:effectExtent l="0" t="0" r="0" b="0"/>
                  <wp:wrapNone/>
                  <wp:docPr id="812" name="IM 812"/>
                  <wp:cNvGraphicFramePr/>
                  <a:graphic xmlns:a="http://schemas.openxmlformats.org/drawingml/2006/main">
                    <a:graphicData uri="http://schemas.openxmlformats.org/drawingml/2006/picture">
                      <pic:pic xmlns:pic="http://schemas.openxmlformats.org/drawingml/2006/picture">
                        <pic:nvPicPr>
                          <pic:cNvPr id="812" name="IM 812"/>
                          <pic:cNvPicPr/>
                        </pic:nvPicPr>
                        <pic:blipFill>
                          <a:blip r:embed="rId696"/>
                          <a:stretch>
                            <a:fillRect/>
                          </a:stretch>
                        </pic:blipFill>
                        <pic:spPr>
                          <a:xfrm>
                            <a:off x="0" y="0"/>
                            <a:ext cx="5657853" cy="260288"/>
                          </a:xfrm>
                          <a:prstGeom prst="rect">
                            <a:avLst/>
                          </a:prstGeom>
                        </pic:spPr>
                      </pic:pic>
                    </a:graphicData>
                  </a:graphic>
                </wp:anchor>
              </w:drawing>
            </w:r>
            <w:r>
              <w:rPr>
                <w:rFonts w:ascii="黑体" w:hAnsi="黑体" w:eastAsia="黑体" w:cs="黑体"/>
                <w:b/>
                <w:bCs/>
                <w:spacing w:val="-6"/>
                <w:sz w:val="19"/>
                <w:szCs w:val="19"/>
              </w:rPr>
              <w:t>种</w:t>
            </w:r>
            <w:r>
              <w:rPr>
                <w:rFonts w:ascii="黑体" w:hAnsi="黑体" w:eastAsia="黑体" w:cs="黑体"/>
                <w:spacing w:val="-29"/>
                <w:sz w:val="19"/>
                <w:szCs w:val="19"/>
              </w:rPr>
              <w:t xml:space="preserve"> </w:t>
            </w:r>
            <w:r>
              <w:rPr>
                <w:rFonts w:ascii="黑体" w:hAnsi="黑体" w:eastAsia="黑体" w:cs="黑体"/>
                <w:b/>
                <w:bCs/>
                <w:spacing w:val="-6"/>
                <w:sz w:val="19"/>
                <w:szCs w:val="19"/>
              </w:rPr>
              <w:t>类</w:t>
            </w:r>
          </w:p>
        </w:tc>
        <w:tc>
          <w:tcPr>
            <w:tcW w:w="3886" w:type="dxa"/>
            <w:vAlign w:val="top"/>
          </w:tcPr>
          <w:p w14:paraId="379BBCDC">
            <w:pPr>
              <w:spacing w:before="117" w:line="222" w:lineRule="auto"/>
              <w:ind w:left="1371"/>
              <w:rPr>
                <w:rFonts w:ascii="黑体" w:hAnsi="黑体" w:eastAsia="黑体" w:cs="黑体"/>
                <w:sz w:val="19"/>
                <w:szCs w:val="19"/>
              </w:rPr>
            </w:pPr>
            <w:r>
              <w:rPr>
                <w:rFonts w:ascii="黑体" w:hAnsi="黑体" w:eastAsia="黑体" w:cs="黑体"/>
                <w:spacing w:val="5"/>
                <w:sz w:val="19"/>
                <w:szCs w:val="19"/>
              </w:rPr>
              <w:t>主要病原体</w:t>
            </w:r>
          </w:p>
        </w:tc>
        <w:tc>
          <w:tcPr>
            <w:tcW w:w="3015" w:type="dxa"/>
            <w:vAlign w:val="top"/>
          </w:tcPr>
          <w:p w14:paraId="3CE9C0D0">
            <w:pPr>
              <w:spacing w:before="126" w:line="221" w:lineRule="auto"/>
              <w:ind w:left="1545"/>
              <w:rPr>
                <w:rFonts w:ascii="黑体" w:hAnsi="黑体" w:eastAsia="黑体" w:cs="黑体"/>
                <w:sz w:val="19"/>
                <w:szCs w:val="19"/>
              </w:rPr>
            </w:pPr>
            <w:r>
              <w:rPr>
                <w:rFonts w:ascii="黑体" w:hAnsi="黑体" w:eastAsia="黑体" w:cs="黑体"/>
                <w:spacing w:val="-2"/>
                <w:sz w:val="19"/>
                <w:szCs w:val="19"/>
              </w:rPr>
              <w:t>所致疾病</w:t>
            </w:r>
          </w:p>
        </w:tc>
      </w:tr>
      <w:tr w14:paraId="102FAC9E">
        <w:trPr>
          <w:trHeight w:val="1410" w:hRule="atLeast"/>
        </w:trPr>
        <w:tc>
          <w:tcPr>
            <w:tcW w:w="8929" w:type="dxa"/>
            <w:gridSpan w:val="3"/>
            <w:vAlign w:val="top"/>
          </w:tcPr>
          <w:p w14:paraId="17C42E21">
            <w:pPr>
              <w:spacing w:before="76" w:line="236" w:lineRule="auto"/>
              <w:ind w:left="212"/>
              <w:rPr>
                <w:rFonts w:ascii="黑体" w:hAnsi="黑体" w:eastAsia="黑体" w:cs="黑体"/>
                <w:sz w:val="19"/>
                <w:szCs w:val="19"/>
              </w:rPr>
            </w:pPr>
            <w:r>
              <w:rPr>
                <w:rFonts w:ascii="黑体" w:hAnsi="黑体" w:eastAsia="黑体" w:cs="黑体"/>
                <w:b/>
                <w:bCs/>
                <w:spacing w:val="8"/>
                <w:position w:val="-1"/>
                <w:sz w:val="19"/>
                <w:szCs w:val="19"/>
              </w:rPr>
              <w:t>细菌</w:t>
            </w:r>
            <w:r>
              <w:rPr>
                <w:rFonts w:ascii="黑体" w:hAnsi="黑体" w:eastAsia="黑体" w:cs="黑体"/>
                <w:spacing w:val="10"/>
                <w:position w:val="-1"/>
                <w:sz w:val="19"/>
                <w:szCs w:val="19"/>
              </w:rPr>
              <w:t xml:space="preserve">     </w:t>
            </w:r>
            <w:r>
              <w:rPr>
                <w:rFonts w:ascii="黑体" w:hAnsi="黑体" w:eastAsia="黑体" w:cs="黑体"/>
                <w:b/>
                <w:bCs/>
                <w:spacing w:val="8"/>
                <w:sz w:val="19"/>
                <w:szCs w:val="19"/>
              </w:rPr>
              <w:t>弧菌属</w:t>
            </w:r>
          </w:p>
          <w:p w14:paraId="085C785D">
            <w:pPr>
              <w:pStyle w:val="6"/>
              <w:spacing w:before="130" w:line="228" w:lineRule="auto"/>
              <w:ind w:left="1309"/>
              <w:rPr>
                <w:sz w:val="19"/>
                <w:szCs w:val="19"/>
              </w:rPr>
            </w:pPr>
            <w:r>
              <w:rPr>
                <w:rFonts w:ascii="Times New Roman" w:hAnsi="Times New Roman" w:eastAsia="Times New Roman" w:cs="Times New Roman"/>
                <w:spacing w:val="1"/>
                <w:sz w:val="19"/>
                <w:szCs w:val="19"/>
              </w:rPr>
              <w:t>O₁</w:t>
            </w:r>
            <w:r>
              <w:rPr>
                <w:spacing w:val="1"/>
                <w:sz w:val="19"/>
                <w:szCs w:val="19"/>
              </w:rPr>
              <w:t>群和</w:t>
            </w:r>
            <w:r>
              <w:rPr>
                <w:rFonts w:ascii="Times New Roman" w:hAnsi="Times New Roman" w:eastAsia="Times New Roman" w:cs="Times New Roman"/>
                <w:spacing w:val="1"/>
                <w:sz w:val="19"/>
                <w:szCs w:val="19"/>
              </w:rPr>
              <w:t>O139</w:t>
            </w:r>
            <w:r>
              <w:rPr>
                <w:spacing w:val="1"/>
                <w:sz w:val="19"/>
                <w:szCs w:val="19"/>
              </w:rPr>
              <w:t xml:space="preserve">群霍乱弧菌                                   </w:t>
            </w:r>
            <w:r>
              <w:rPr>
                <w:sz w:val="19"/>
                <w:szCs w:val="19"/>
              </w:rPr>
              <w:t xml:space="preserve">  </w:t>
            </w:r>
            <w:r>
              <w:rPr>
                <w:position w:val="1"/>
                <w:sz w:val="19"/>
                <w:szCs w:val="19"/>
              </w:rPr>
              <w:t>霍乱</w:t>
            </w:r>
          </w:p>
          <w:p w14:paraId="3C5CE5E7">
            <w:pPr>
              <w:pStyle w:val="6"/>
              <w:spacing w:before="153" w:line="254" w:lineRule="auto"/>
              <w:ind w:left="1309" w:right="1177"/>
              <w:rPr>
                <w:sz w:val="19"/>
                <w:szCs w:val="19"/>
              </w:rPr>
            </w:pPr>
            <w:r>
              <w:rPr>
                <w:spacing w:val="9"/>
                <w:sz w:val="19"/>
                <w:szCs w:val="19"/>
              </w:rPr>
              <w:t>其他致泻性弧菌(如非O</w:t>
            </w:r>
            <w:r>
              <w:rPr>
                <w:rFonts w:ascii="Calibri" w:hAnsi="Calibri" w:eastAsia="Calibri" w:cs="Calibri"/>
                <w:spacing w:val="9"/>
                <w:sz w:val="19"/>
                <w:szCs w:val="19"/>
              </w:rPr>
              <w:t xml:space="preserve">₁  </w:t>
            </w:r>
            <w:r>
              <w:rPr>
                <w:spacing w:val="9"/>
                <w:sz w:val="19"/>
                <w:szCs w:val="19"/>
              </w:rPr>
              <w:t>和非013群霍乱弧菌、副</w:t>
            </w:r>
            <w:r>
              <w:rPr>
                <w:spacing w:val="8"/>
                <w:sz w:val="19"/>
                <w:szCs w:val="19"/>
              </w:rPr>
              <w:t>溶血性弧菌、弧菌性肠炎</w:t>
            </w:r>
            <w:r>
              <w:rPr>
                <w:sz w:val="19"/>
                <w:szCs w:val="19"/>
              </w:rPr>
              <w:t xml:space="preserve"> </w:t>
            </w:r>
            <w:r>
              <w:rPr>
                <w:spacing w:val="-5"/>
                <w:sz w:val="19"/>
                <w:szCs w:val="19"/>
              </w:rPr>
              <w:t>拟态弧菌、河弧菌、霍利斯弧菌、弗尼斯弧菌等)</w:t>
            </w:r>
          </w:p>
        </w:tc>
      </w:tr>
      <w:tr w14:paraId="2E42C486">
        <w:trPr>
          <w:trHeight w:val="8055" w:hRule="atLeast"/>
        </w:trPr>
        <w:tc>
          <w:tcPr>
            <w:tcW w:w="5914" w:type="dxa"/>
            <w:gridSpan w:val="2"/>
            <w:vAlign w:val="top"/>
          </w:tcPr>
          <w:p w14:paraId="5D6324AE">
            <w:pPr>
              <w:spacing w:before="106" w:line="222" w:lineRule="auto"/>
              <w:ind w:left="1142"/>
              <w:rPr>
                <w:rFonts w:ascii="黑体" w:hAnsi="黑体" w:eastAsia="黑体" w:cs="黑体"/>
                <w:sz w:val="19"/>
                <w:szCs w:val="19"/>
              </w:rPr>
            </w:pPr>
            <w:r>
              <w:rPr>
                <w:rFonts w:ascii="黑体" w:hAnsi="黑体" w:eastAsia="黑体" w:cs="黑体"/>
                <w:b/>
                <w:bCs/>
                <w:spacing w:val="3"/>
                <w:sz w:val="19"/>
                <w:szCs w:val="19"/>
              </w:rPr>
              <w:t>志贺菌属</w:t>
            </w:r>
          </w:p>
          <w:p w14:paraId="19F67689">
            <w:pPr>
              <w:pStyle w:val="6"/>
              <w:spacing w:before="144" w:line="219" w:lineRule="auto"/>
              <w:ind w:left="1309"/>
              <w:rPr>
                <w:sz w:val="19"/>
                <w:szCs w:val="19"/>
              </w:rPr>
            </w:pPr>
            <w:r>
              <w:rPr>
                <w:spacing w:val="-7"/>
                <w:sz w:val="19"/>
                <w:szCs w:val="19"/>
              </w:rPr>
              <w:t>痢疾志贺菌、福氏志贺菌、鲍氏志贺菌、宋氏志贺菌</w:t>
            </w:r>
          </w:p>
          <w:p w14:paraId="107701F6">
            <w:pPr>
              <w:spacing w:before="170" w:line="222" w:lineRule="auto"/>
              <w:ind w:left="1142"/>
              <w:rPr>
                <w:rFonts w:ascii="黑体" w:hAnsi="黑体" w:eastAsia="黑体" w:cs="黑体"/>
                <w:sz w:val="19"/>
                <w:szCs w:val="19"/>
              </w:rPr>
            </w:pPr>
            <w:r>
              <w:rPr>
                <w:rFonts w:ascii="黑体" w:hAnsi="黑体" w:eastAsia="黑体" w:cs="黑体"/>
                <w:b/>
                <w:bCs/>
                <w:spacing w:val="3"/>
                <w:sz w:val="19"/>
                <w:szCs w:val="19"/>
              </w:rPr>
              <w:t>沙门菌属</w:t>
            </w:r>
          </w:p>
          <w:p w14:paraId="0CE0AB5D">
            <w:pPr>
              <w:pStyle w:val="6"/>
              <w:spacing w:before="155" w:line="219" w:lineRule="auto"/>
              <w:ind w:left="1309"/>
              <w:rPr>
                <w:sz w:val="19"/>
                <w:szCs w:val="19"/>
              </w:rPr>
            </w:pPr>
            <w:r>
              <w:rPr>
                <w:spacing w:val="-4"/>
                <w:sz w:val="19"/>
                <w:szCs w:val="19"/>
              </w:rPr>
              <w:t>鼠伤寒沙门菌、肠炎沙门菌、猪霍乱沙门菌等</w:t>
            </w:r>
          </w:p>
          <w:p w14:paraId="34BFA8AD">
            <w:pPr>
              <w:spacing w:before="160" w:line="222" w:lineRule="auto"/>
              <w:ind w:left="1142"/>
              <w:rPr>
                <w:rFonts w:ascii="黑体" w:hAnsi="黑体" w:eastAsia="黑体" w:cs="黑体"/>
                <w:sz w:val="19"/>
                <w:szCs w:val="19"/>
              </w:rPr>
            </w:pPr>
            <w:r>
              <w:rPr>
                <w:rFonts w:ascii="黑体" w:hAnsi="黑体" w:eastAsia="黑体" w:cs="黑体"/>
                <w:b/>
                <w:bCs/>
                <w:spacing w:val="3"/>
                <w:sz w:val="19"/>
                <w:szCs w:val="19"/>
              </w:rPr>
              <w:t>埃希菌属</w:t>
            </w:r>
          </w:p>
          <w:p w14:paraId="2FD5D21D">
            <w:pPr>
              <w:pStyle w:val="6"/>
              <w:spacing w:before="124" w:line="212" w:lineRule="auto"/>
              <w:ind w:left="1309"/>
              <w:rPr>
                <w:rFonts w:ascii="Times New Roman" w:hAnsi="Times New Roman" w:eastAsia="Times New Roman" w:cs="Times New Roman"/>
                <w:sz w:val="19"/>
                <w:szCs w:val="19"/>
              </w:rPr>
            </w:pPr>
            <w:r>
              <w:rPr>
                <w:spacing w:val="2"/>
                <w:sz w:val="19"/>
                <w:szCs w:val="19"/>
              </w:rPr>
              <w:t>肠产毒性大肠埃希菌</w:t>
            </w:r>
            <w:r>
              <w:rPr>
                <w:rFonts w:ascii="Times New Roman" w:hAnsi="Times New Roman" w:eastAsia="Times New Roman" w:cs="Times New Roman"/>
                <w:spacing w:val="2"/>
                <w:sz w:val="19"/>
                <w:szCs w:val="19"/>
              </w:rPr>
              <w:t>(</w:t>
            </w:r>
            <w:r>
              <w:rPr>
                <w:rFonts w:ascii="Times New Roman" w:hAnsi="Times New Roman" w:eastAsia="Times New Roman" w:cs="Times New Roman"/>
                <w:sz w:val="19"/>
                <w:szCs w:val="19"/>
              </w:rPr>
              <w:t>ETEC</w:t>
            </w:r>
            <w:r>
              <w:rPr>
                <w:rFonts w:ascii="Times New Roman" w:hAnsi="Times New Roman" w:eastAsia="Times New Roman" w:cs="Times New Roman"/>
                <w:spacing w:val="2"/>
                <w:sz w:val="19"/>
                <w:szCs w:val="19"/>
              </w:rPr>
              <w:t>)</w:t>
            </w:r>
          </w:p>
          <w:p w14:paraId="69990D55">
            <w:pPr>
              <w:pStyle w:val="6"/>
              <w:spacing w:before="172" w:line="212" w:lineRule="auto"/>
              <w:ind w:left="1309"/>
              <w:rPr>
                <w:rFonts w:ascii="Times New Roman" w:hAnsi="Times New Roman" w:eastAsia="Times New Roman" w:cs="Times New Roman"/>
                <w:sz w:val="19"/>
                <w:szCs w:val="19"/>
              </w:rPr>
            </w:pPr>
            <w:r>
              <w:rPr>
                <w:spacing w:val="2"/>
                <w:sz w:val="19"/>
                <w:szCs w:val="19"/>
              </w:rPr>
              <w:t>肠侵袭性大肠埃希菌</w:t>
            </w:r>
            <w:r>
              <w:rPr>
                <w:rFonts w:ascii="Times New Roman" w:hAnsi="Times New Roman" w:eastAsia="Times New Roman" w:cs="Times New Roman"/>
                <w:spacing w:val="2"/>
                <w:sz w:val="19"/>
                <w:szCs w:val="19"/>
              </w:rPr>
              <w:t>(</w:t>
            </w:r>
            <w:r>
              <w:rPr>
                <w:rFonts w:ascii="Times New Roman" w:hAnsi="Times New Roman" w:eastAsia="Times New Roman" w:cs="Times New Roman"/>
                <w:sz w:val="19"/>
                <w:szCs w:val="19"/>
              </w:rPr>
              <w:t>EIEC</w:t>
            </w:r>
            <w:r>
              <w:rPr>
                <w:rFonts w:ascii="Times New Roman" w:hAnsi="Times New Roman" w:eastAsia="Times New Roman" w:cs="Times New Roman"/>
                <w:spacing w:val="2"/>
                <w:sz w:val="19"/>
                <w:szCs w:val="19"/>
              </w:rPr>
              <w:t>)</w:t>
            </w:r>
          </w:p>
          <w:p w14:paraId="053708DB">
            <w:pPr>
              <w:pStyle w:val="6"/>
              <w:spacing w:before="171" w:line="212" w:lineRule="auto"/>
              <w:ind w:left="1309"/>
              <w:rPr>
                <w:rFonts w:ascii="Times New Roman" w:hAnsi="Times New Roman" w:eastAsia="Times New Roman" w:cs="Times New Roman"/>
                <w:sz w:val="19"/>
                <w:szCs w:val="19"/>
              </w:rPr>
            </w:pPr>
            <w:r>
              <w:rPr>
                <w:spacing w:val="3"/>
                <w:sz w:val="19"/>
                <w:szCs w:val="19"/>
              </w:rPr>
              <w:t>肠致病性大肠埃希菌</w:t>
            </w:r>
            <w:r>
              <w:rPr>
                <w:rFonts w:ascii="Times New Roman" w:hAnsi="Times New Roman" w:eastAsia="Times New Roman" w:cs="Times New Roman"/>
                <w:spacing w:val="3"/>
                <w:sz w:val="19"/>
                <w:szCs w:val="19"/>
              </w:rPr>
              <w:t>(</w:t>
            </w:r>
            <w:r>
              <w:rPr>
                <w:rFonts w:ascii="Times New Roman" w:hAnsi="Times New Roman" w:eastAsia="Times New Roman" w:cs="Times New Roman"/>
                <w:sz w:val="19"/>
                <w:szCs w:val="19"/>
              </w:rPr>
              <w:t>EPEC</w:t>
            </w:r>
            <w:r>
              <w:rPr>
                <w:rFonts w:ascii="Times New Roman" w:hAnsi="Times New Roman" w:eastAsia="Times New Roman" w:cs="Times New Roman"/>
                <w:spacing w:val="3"/>
                <w:sz w:val="19"/>
                <w:szCs w:val="19"/>
              </w:rPr>
              <w:t>)</w:t>
            </w:r>
          </w:p>
          <w:p w14:paraId="1CD251FE">
            <w:pPr>
              <w:pStyle w:val="6"/>
              <w:spacing w:before="172" w:line="212" w:lineRule="auto"/>
              <w:ind w:left="1309"/>
              <w:rPr>
                <w:rFonts w:ascii="Times New Roman" w:hAnsi="Times New Roman" w:eastAsia="Times New Roman" w:cs="Times New Roman"/>
                <w:sz w:val="19"/>
                <w:szCs w:val="19"/>
              </w:rPr>
            </w:pPr>
            <w:r>
              <w:rPr>
                <w:spacing w:val="3"/>
                <w:sz w:val="19"/>
                <w:szCs w:val="19"/>
              </w:rPr>
              <w:t>肠出血性大肠埃希菌</w:t>
            </w:r>
            <w:r>
              <w:rPr>
                <w:rFonts w:ascii="Times New Roman" w:hAnsi="Times New Roman" w:eastAsia="Times New Roman" w:cs="Times New Roman"/>
                <w:spacing w:val="3"/>
                <w:sz w:val="19"/>
                <w:szCs w:val="19"/>
              </w:rPr>
              <w:t>(</w:t>
            </w:r>
            <w:r>
              <w:rPr>
                <w:rFonts w:ascii="Times New Roman" w:hAnsi="Times New Roman" w:eastAsia="Times New Roman" w:cs="Times New Roman"/>
                <w:sz w:val="19"/>
                <w:szCs w:val="19"/>
              </w:rPr>
              <w:t>EHEC</w:t>
            </w:r>
            <w:r>
              <w:rPr>
                <w:rFonts w:ascii="Times New Roman" w:hAnsi="Times New Roman" w:eastAsia="Times New Roman" w:cs="Times New Roman"/>
                <w:spacing w:val="3"/>
                <w:sz w:val="19"/>
                <w:szCs w:val="19"/>
              </w:rPr>
              <w:t>)</w:t>
            </w:r>
          </w:p>
          <w:p w14:paraId="1D2B3EFC">
            <w:pPr>
              <w:pStyle w:val="6"/>
              <w:spacing w:before="172" w:line="212" w:lineRule="auto"/>
              <w:ind w:left="1309"/>
              <w:rPr>
                <w:rFonts w:ascii="Times New Roman" w:hAnsi="Times New Roman" w:eastAsia="Times New Roman" w:cs="Times New Roman"/>
                <w:sz w:val="19"/>
                <w:szCs w:val="19"/>
              </w:rPr>
            </w:pPr>
            <w:r>
              <w:rPr>
                <w:spacing w:val="3"/>
                <w:sz w:val="19"/>
                <w:szCs w:val="19"/>
              </w:rPr>
              <w:t>肠集聚性大肠埃希菌</w:t>
            </w:r>
            <w:r>
              <w:rPr>
                <w:rFonts w:ascii="Times New Roman" w:hAnsi="Times New Roman" w:eastAsia="Times New Roman" w:cs="Times New Roman"/>
                <w:spacing w:val="3"/>
                <w:sz w:val="19"/>
                <w:szCs w:val="19"/>
              </w:rPr>
              <w:t>(</w:t>
            </w:r>
            <w:r>
              <w:rPr>
                <w:rFonts w:ascii="Times New Roman" w:hAnsi="Times New Roman" w:eastAsia="Times New Roman" w:cs="Times New Roman"/>
                <w:sz w:val="19"/>
                <w:szCs w:val="19"/>
              </w:rPr>
              <w:t>EAEC</w:t>
            </w:r>
            <w:r>
              <w:rPr>
                <w:rFonts w:ascii="Times New Roman" w:hAnsi="Times New Roman" w:eastAsia="Times New Roman" w:cs="Times New Roman"/>
                <w:spacing w:val="3"/>
                <w:sz w:val="19"/>
                <w:szCs w:val="19"/>
              </w:rPr>
              <w:t>)</w:t>
            </w:r>
          </w:p>
          <w:p w14:paraId="4C2B0367">
            <w:pPr>
              <w:spacing w:before="190" w:line="222" w:lineRule="auto"/>
              <w:ind w:left="1142"/>
              <w:rPr>
                <w:rFonts w:ascii="黑体" w:hAnsi="黑体" w:eastAsia="黑体" w:cs="黑体"/>
                <w:sz w:val="19"/>
                <w:szCs w:val="19"/>
              </w:rPr>
            </w:pPr>
            <w:r>
              <w:rPr>
                <w:rFonts w:ascii="黑体" w:hAnsi="黑体" w:eastAsia="黑体" w:cs="黑体"/>
                <w:b/>
                <w:bCs/>
                <w:spacing w:val="3"/>
                <w:sz w:val="19"/>
                <w:szCs w:val="19"/>
              </w:rPr>
              <w:t>弯曲菌属</w:t>
            </w:r>
          </w:p>
          <w:p w14:paraId="14EC6B37">
            <w:pPr>
              <w:pStyle w:val="6"/>
              <w:spacing w:before="155" w:line="219" w:lineRule="auto"/>
              <w:ind w:left="1309"/>
              <w:rPr>
                <w:sz w:val="19"/>
                <w:szCs w:val="19"/>
              </w:rPr>
            </w:pPr>
            <w:r>
              <w:rPr>
                <w:spacing w:val="-2"/>
                <w:sz w:val="19"/>
                <w:szCs w:val="19"/>
              </w:rPr>
              <w:t>空肠弯曲菌、结肠弯曲菌等</w:t>
            </w:r>
          </w:p>
          <w:p w14:paraId="366FCD7B">
            <w:pPr>
              <w:pStyle w:val="6"/>
              <w:spacing w:before="162" w:line="219" w:lineRule="auto"/>
              <w:ind w:left="1142"/>
              <w:rPr>
                <w:sz w:val="19"/>
                <w:szCs w:val="19"/>
              </w:rPr>
            </w:pPr>
            <w:r>
              <w:rPr>
                <w:b/>
                <w:bCs/>
                <w:spacing w:val="4"/>
                <w:sz w:val="19"/>
                <w:szCs w:val="19"/>
              </w:rPr>
              <w:t>葡萄球菌属</w:t>
            </w:r>
          </w:p>
          <w:p w14:paraId="492D5B7F">
            <w:pPr>
              <w:pStyle w:val="6"/>
              <w:spacing w:before="157" w:line="219" w:lineRule="auto"/>
              <w:ind w:left="1309"/>
              <w:rPr>
                <w:sz w:val="19"/>
                <w:szCs w:val="19"/>
              </w:rPr>
            </w:pPr>
            <w:r>
              <w:rPr>
                <w:spacing w:val="6"/>
                <w:sz w:val="19"/>
                <w:szCs w:val="19"/>
              </w:rPr>
              <w:t>金黄色葡萄球菌等</w:t>
            </w:r>
          </w:p>
          <w:p w14:paraId="21C9D3F3">
            <w:pPr>
              <w:pStyle w:val="6"/>
              <w:spacing w:before="151" w:line="219" w:lineRule="auto"/>
              <w:ind w:left="1142"/>
              <w:rPr>
                <w:sz w:val="19"/>
                <w:szCs w:val="19"/>
              </w:rPr>
            </w:pPr>
            <w:r>
              <w:rPr>
                <w:b/>
                <w:bCs/>
                <w:spacing w:val="4"/>
                <w:sz w:val="19"/>
                <w:szCs w:val="19"/>
              </w:rPr>
              <w:t>厌氧梭菌属</w:t>
            </w:r>
          </w:p>
          <w:p w14:paraId="7F471273">
            <w:pPr>
              <w:pStyle w:val="6"/>
              <w:spacing w:before="158" w:line="219" w:lineRule="auto"/>
              <w:ind w:left="1309"/>
              <w:rPr>
                <w:sz w:val="19"/>
                <w:szCs w:val="19"/>
              </w:rPr>
            </w:pPr>
            <w:r>
              <w:rPr>
                <w:spacing w:val="-1"/>
                <w:sz w:val="19"/>
                <w:szCs w:val="19"/>
              </w:rPr>
              <w:t>产气荚膜梭菌、艰难梭菌等</w:t>
            </w:r>
          </w:p>
          <w:p w14:paraId="24FCC356">
            <w:pPr>
              <w:spacing w:before="161" w:line="222" w:lineRule="auto"/>
              <w:ind w:left="1142"/>
              <w:rPr>
                <w:rFonts w:ascii="黑体" w:hAnsi="黑体" w:eastAsia="黑体" w:cs="黑体"/>
                <w:sz w:val="19"/>
                <w:szCs w:val="19"/>
              </w:rPr>
            </w:pPr>
            <w:r>
              <w:rPr>
                <w:rFonts w:ascii="黑体" w:hAnsi="黑体" w:eastAsia="黑体" w:cs="黑体"/>
                <w:b/>
                <w:bCs/>
                <w:spacing w:val="4"/>
                <w:sz w:val="19"/>
                <w:szCs w:val="19"/>
              </w:rPr>
              <w:t>耶尔森菌属</w:t>
            </w:r>
          </w:p>
          <w:p w14:paraId="5079A14B">
            <w:pPr>
              <w:pStyle w:val="6"/>
              <w:spacing w:before="155" w:line="219" w:lineRule="auto"/>
              <w:ind w:left="1309"/>
              <w:rPr>
                <w:sz w:val="19"/>
                <w:szCs w:val="19"/>
              </w:rPr>
            </w:pPr>
            <w:r>
              <w:rPr>
                <w:spacing w:val="5"/>
                <w:sz w:val="19"/>
                <w:szCs w:val="19"/>
              </w:rPr>
              <w:t>小肠结肠炎耶尔森菌等</w:t>
            </w:r>
          </w:p>
          <w:p w14:paraId="6767B679">
            <w:pPr>
              <w:spacing w:before="152" w:line="222" w:lineRule="auto"/>
              <w:ind w:left="1142"/>
              <w:rPr>
                <w:rFonts w:ascii="黑体" w:hAnsi="黑体" w:eastAsia="黑体" w:cs="黑体"/>
                <w:sz w:val="19"/>
                <w:szCs w:val="19"/>
              </w:rPr>
            </w:pPr>
            <w:r>
              <w:rPr>
                <w:rFonts w:ascii="黑体" w:hAnsi="黑体" w:eastAsia="黑体" w:cs="黑体"/>
                <w:b/>
                <w:bCs/>
                <w:spacing w:val="4"/>
                <w:sz w:val="19"/>
                <w:szCs w:val="19"/>
              </w:rPr>
              <w:t>芽胞杆菌属</w:t>
            </w:r>
          </w:p>
          <w:p w14:paraId="42399440">
            <w:pPr>
              <w:pStyle w:val="6"/>
              <w:spacing w:before="155" w:line="219" w:lineRule="auto"/>
              <w:ind w:left="1309"/>
              <w:rPr>
                <w:sz w:val="19"/>
                <w:szCs w:val="19"/>
              </w:rPr>
            </w:pPr>
            <w:r>
              <w:rPr>
                <w:spacing w:val="5"/>
                <w:sz w:val="19"/>
                <w:szCs w:val="19"/>
              </w:rPr>
              <w:t>蜡样芽胞杆菌等</w:t>
            </w:r>
          </w:p>
          <w:p w14:paraId="6761F58D">
            <w:pPr>
              <w:spacing w:before="151" w:line="222" w:lineRule="auto"/>
              <w:ind w:left="1142"/>
              <w:rPr>
                <w:rFonts w:ascii="黑体" w:hAnsi="黑体" w:eastAsia="黑体" w:cs="黑体"/>
                <w:sz w:val="19"/>
                <w:szCs w:val="19"/>
              </w:rPr>
            </w:pPr>
            <w:r>
              <w:rPr>
                <w:rFonts w:ascii="黑体" w:hAnsi="黑体" w:eastAsia="黑体" w:cs="黑体"/>
                <w:b/>
                <w:bCs/>
                <w:spacing w:val="3"/>
                <w:sz w:val="19"/>
                <w:szCs w:val="19"/>
              </w:rPr>
              <w:t>其他菌属</w:t>
            </w:r>
          </w:p>
        </w:tc>
        <w:tc>
          <w:tcPr>
            <w:tcW w:w="3015" w:type="dxa"/>
            <w:vAlign w:val="top"/>
          </w:tcPr>
          <w:p w14:paraId="24FC773F">
            <w:pPr>
              <w:spacing w:line="424" w:lineRule="auto"/>
              <w:rPr>
                <w:rFonts w:ascii="Arial"/>
                <w:sz w:val="21"/>
              </w:rPr>
            </w:pPr>
          </w:p>
          <w:p w14:paraId="7C498ADC">
            <w:pPr>
              <w:pStyle w:val="6"/>
              <w:spacing w:before="62" w:line="219" w:lineRule="auto"/>
              <w:ind w:left="886"/>
              <w:rPr>
                <w:sz w:val="19"/>
                <w:szCs w:val="19"/>
              </w:rPr>
            </w:pPr>
            <w:r>
              <w:rPr>
                <w:spacing w:val="-2"/>
                <w:sz w:val="19"/>
                <w:szCs w:val="19"/>
              </w:rPr>
              <w:t>细菌性痢疾</w:t>
            </w:r>
          </w:p>
          <w:p w14:paraId="095E0550">
            <w:pPr>
              <w:spacing w:line="244" w:lineRule="auto"/>
              <w:rPr>
                <w:rFonts w:ascii="Arial"/>
                <w:sz w:val="21"/>
              </w:rPr>
            </w:pPr>
          </w:p>
          <w:p w14:paraId="5101AA0E">
            <w:pPr>
              <w:spacing w:line="245" w:lineRule="auto"/>
              <w:rPr>
                <w:rFonts w:ascii="Arial"/>
                <w:sz w:val="21"/>
              </w:rPr>
            </w:pPr>
          </w:p>
          <w:p w14:paraId="5191030E">
            <w:pPr>
              <w:pStyle w:val="6"/>
              <w:spacing w:before="62" w:line="219" w:lineRule="auto"/>
              <w:ind w:left="886"/>
              <w:rPr>
                <w:sz w:val="19"/>
                <w:szCs w:val="19"/>
              </w:rPr>
            </w:pPr>
            <w:r>
              <w:rPr>
                <w:spacing w:val="-2"/>
                <w:sz w:val="19"/>
                <w:szCs w:val="19"/>
              </w:rPr>
              <w:t>沙门菌肠炎</w:t>
            </w:r>
          </w:p>
          <w:p w14:paraId="6DCBC63E">
            <w:pPr>
              <w:spacing w:line="245" w:lineRule="auto"/>
              <w:rPr>
                <w:rFonts w:ascii="Arial"/>
                <w:sz w:val="21"/>
              </w:rPr>
            </w:pPr>
          </w:p>
          <w:p w14:paraId="03753BE6">
            <w:pPr>
              <w:spacing w:line="245" w:lineRule="auto"/>
              <w:rPr>
                <w:rFonts w:ascii="Arial"/>
                <w:sz w:val="21"/>
              </w:rPr>
            </w:pPr>
          </w:p>
          <w:p w14:paraId="5E8F9E77">
            <w:pPr>
              <w:pStyle w:val="6"/>
              <w:spacing w:before="61" w:line="369" w:lineRule="auto"/>
              <w:ind w:left="886" w:right="155"/>
              <w:rPr>
                <w:sz w:val="19"/>
                <w:szCs w:val="19"/>
              </w:rPr>
            </w:pPr>
            <w:r>
              <w:rPr>
                <w:spacing w:val="-11"/>
                <w:sz w:val="19"/>
                <w:szCs w:val="19"/>
              </w:rPr>
              <w:t>旅行者腹泻、婴幼儿腹泻</w:t>
            </w:r>
            <w:r>
              <w:rPr>
                <w:spacing w:val="3"/>
                <w:sz w:val="19"/>
                <w:szCs w:val="19"/>
              </w:rPr>
              <w:t xml:space="preserve"> </w:t>
            </w:r>
            <w:r>
              <w:rPr>
                <w:spacing w:val="-1"/>
                <w:sz w:val="19"/>
                <w:szCs w:val="19"/>
              </w:rPr>
              <w:t>痢疾样腹泻</w:t>
            </w:r>
          </w:p>
          <w:p w14:paraId="0851E81D">
            <w:pPr>
              <w:pStyle w:val="6"/>
              <w:spacing w:line="219" w:lineRule="auto"/>
              <w:ind w:left="886"/>
              <w:rPr>
                <w:sz w:val="19"/>
                <w:szCs w:val="19"/>
              </w:rPr>
            </w:pPr>
            <w:r>
              <w:rPr>
                <w:spacing w:val="-2"/>
                <w:sz w:val="19"/>
                <w:szCs w:val="19"/>
              </w:rPr>
              <w:t>婴儿腹泻</w:t>
            </w:r>
          </w:p>
          <w:p w14:paraId="5C1A19DD">
            <w:pPr>
              <w:pStyle w:val="6"/>
              <w:spacing w:before="155" w:line="220" w:lineRule="auto"/>
              <w:ind w:left="886"/>
              <w:rPr>
                <w:sz w:val="19"/>
                <w:szCs w:val="19"/>
              </w:rPr>
            </w:pPr>
            <w:r>
              <w:rPr>
                <w:spacing w:val="-4"/>
                <w:sz w:val="19"/>
                <w:szCs w:val="19"/>
              </w:rPr>
              <w:t>出血性肠炎</w:t>
            </w:r>
          </w:p>
          <w:p w14:paraId="1C733D6B">
            <w:pPr>
              <w:pStyle w:val="6"/>
              <w:spacing w:before="150" w:line="219" w:lineRule="auto"/>
              <w:ind w:left="888"/>
              <w:rPr>
                <w:sz w:val="19"/>
                <w:szCs w:val="19"/>
              </w:rPr>
            </w:pPr>
            <w:r>
              <w:rPr>
                <w:b/>
                <w:bCs/>
                <w:spacing w:val="-5"/>
                <w:sz w:val="19"/>
                <w:szCs w:val="19"/>
              </w:rPr>
              <w:t>儿童腹泻</w:t>
            </w:r>
          </w:p>
          <w:p w14:paraId="06C14229">
            <w:pPr>
              <w:spacing w:line="254" w:lineRule="auto"/>
              <w:rPr>
                <w:rFonts w:ascii="Arial"/>
                <w:sz w:val="21"/>
              </w:rPr>
            </w:pPr>
          </w:p>
          <w:p w14:paraId="399565F8">
            <w:pPr>
              <w:spacing w:line="255" w:lineRule="auto"/>
              <w:rPr>
                <w:rFonts w:ascii="Arial"/>
                <w:sz w:val="21"/>
              </w:rPr>
            </w:pPr>
          </w:p>
          <w:p w14:paraId="051FF037">
            <w:pPr>
              <w:pStyle w:val="6"/>
              <w:spacing w:before="62" w:line="219" w:lineRule="auto"/>
              <w:ind w:left="888"/>
              <w:rPr>
                <w:sz w:val="19"/>
                <w:szCs w:val="19"/>
              </w:rPr>
            </w:pPr>
            <w:r>
              <w:rPr>
                <w:b/>
                <w:bCs/>
                <w:spacing w:val="-4"/>
                <w:sz w:val="19"/>
                <w:szCs w:val="19"/>
              </w:rPr>
              <w:t>弯曲菌肠炎</w:t>
            </w:r>
          </w:p>
          <w:p w14:paraId="4BEC208E">
            <w:pPr>
              <w:spacing w:line="478" w:lineRule="auto"/>
              <w:rPr>
                <w:rFonts w:ascii="Arial"/>
                <w:sz w:val="21"/>
              </w:rPr>
            </w:pPr>
          </w:p>
          <w:p w14:paraId="31E42B0B">
            <w:pPr>
              <w:pStyle w:val="6"/>
              <w:spacing w:before="63" w:line="219" w:lineRule="auto"/>
              <w:ind w:left="888"/>
              <w:rPr>
                <w:sz w:val="19"/>
                <w:szCs w:val="19"/>
              </w:rPr>
            </w:pPr>
            <w:r>
              <w:rPr>
                <w:b/>
                <w:bCs/>
                <w:spacing w:val="-15"/>
                <w:sz w:val="19"/>
                <w:szCs w:val="19"/>
              </w:rPr>
              <w:t>急性胃肠炎、假膜性肠炎</w:t>
            </w:r>
          </w:p>
          <w:p w14:paraId="5BEE19A0">
            <w:pPr>
              <w:spacing w:line="470" w:lineRule="auto"/>
              <w:rPr>
                <w:rFonts w:ascii="Arial"/>
                <w:sz w:val="21"/>
              </w:rPr>
            </w:pPr>
          </w:p>
          <w:p w14:paraId="312964A9">
            <w:pPr>
              <w:pStyle w:val="6"/>
              <w:spacing w:before="62" w:line="219" w:lineRule="auto"/>
              <w:ind w:left="888"/>
              <w:rPr>
                <w:sz w:val="19"/>
                <w:szCs w:val="19"/>
              </w:rPr>
            </w:pPr>
            <w:r>
              <w:rPr>
                <w:b/>
                <w:bCs/>
                <w:spacing w:val="-15"/>
                <w:sz w:val="19"/>
                <w:szCs w:val="19"/>
              </w:rPr>
              <w:t>腹泻、假膜性肠炎等</w:t>
            </w:r>
          </w:p>
          <w:p w14:paraId="4D6F87A4">
            <w:pPr>
              <w:spacing w:line="471" w:lineRule="auto"/>
              <w:rPr>
                <w:rFonts w:ascii="Arial"/>
                <w:sz w:val="21"/>
              </w:rPr>
            </w:pPr>
          </w:p>
          <w:p w14:paraId="0F5ADAAA">
            <w:pPr>
              <w:pStyle w:val="6"/>
              <w:spacing w:before="62" w:line="220" w:lineRule="auto"/>
              <w:ind w:left="888"/>
              <w:rPr>
                <w:sz w:val="19"/>
                <w:szCs w:val="19"/>
              </w:rPr>
            </w:pPr>
            <w:r>
              <w:rPr>
                <w:b/>
                <w:bCs/>
                <w:spacing w:val="-5"/>
                <w:sz w:val="19"/>
                <w:szCs w:val="19"/>
              </w:rPr>
              <w:t>小肠结肠炎</w:t>
            </w:r>
          </w:p>
          <w:p w14:paraId="56BF31AC">
            <w:pPr>
              <w:spacing w:line="450" w:lineRule="auto"/>
              <w:rPr>
                <w:rFonts w:ascii="Arial"/>
                <w:sz w:val="21"/>
              </w:rPr>
            </w:pPr>
          </w:p>
          <w:p w14:paraId="5486BC8B">
            <w:pPr>
              <w:pStyle w:val="6"/>
              <w:spacing w:before="62" w:line="219" w:lineRule="auto"/>
              <w:ind w:left="886"/>
              <w:rPr>
                <w:sz w:val="19"/>
                <w:szCs w:val="19"/>
              </w:rPr>
            </w:pPr>
            <w:r>
              <w:rPr>
                <w:spacing w:val="-3"/>
                <w:sz w:val="19"/>
                <w:szCs w:val="19"/>
              </w:rPr>
              <w:t>急性胃肠炎</w:t>
            </w:r>
          </w:p>
        </w:tc>
      </w:tr>
      <w:tr w14:paraId="1A383C75">
        <w:trPr>
          <w:trHeight w:val="1694" w:hRule="atLeast"/>
        </w:trPr>
        <w:tc>
          <w:tcPr>
            <w:tcW w:w="8929" w:type="dxa"/>
            <w:gridSpan w:val="3"/>
            <w:tcBorders>
              <w:bottom w:val="single" w:color="000000" w:sz="4" w:space="0"/>
            </w:tcBorders>
            <w:vAlign w:val="top"/>
          </w:tcPr>
          <w:p w14:paraId="7642AC35">
            <w:pPr>
              <w:pStyle w:val="6"/>
              <w:spacing w:before="93" w:line="229" w:lineRule="auto"/>
              <w:ind w:left="1309"/>
              <w:rPr>
                <w:sz w:val="19"/>
                <w:szCs w:val="19"/>
              </w:rPr>
            </w:pPr>
            <w:r>
              <w:rPr>
                <w:spacing w:val="-3"/>
                <w:sz w:val="19"/>
                <w:szCs w:val="19"/>
              </w:rPr>
              <w:t>变形杆菌、亲水气单胞菌、类志贺毗邻单胞菌等</w:t>
            </w:r>
            <w:r>
              <w:rPr>
                <w:spacing w:val="3"/>
                <w:sz w:val="19"/>
                <w:szCs w:val="19"/>
              </w:rPr>
              <w:t xml:space="preserve">                </w:t>
            </w:r>
            <w:r>
              <w:rPr>
                <w:spacing w:val="-3"/>
                <w:position w:val="1"/>
                <w:sz w:val="19"/>
                <w:szCs w:val="19"/>
              </w:rPr>
              <w:t>感染性腹泻</w:t>
            </w:r>
          </w:p>
          <w:p w14:paraId="34B030EC">
            <w:pPr>
              <w:pStyle w:val="6"/>
              <w:spacing w:before="141" w:line="221" w:lineRule="auto"/>
              <w:ind w:left="242"/>
              <w:rPr>
                <w:sz w:val="19"/>
                <w:szCs w:val="19"/>
              </w:rPr>
            </w:pPr>
            <w:r>
              <w:rPr>
                <w:b/>
                <w:bCs/>
                <w:spacing w:val="1"/>
                <w:sz w:val="19"/>
                <w:szCs w:val="19"/>
              </w:rPr>
              <w:t>病毒</w:t>
            </w:r>
            <w:r>
              <w:rPr>
                <w:spacing w:val="1"/>
                <w:sz w:val="19"/>
                <w:szCs w:val="19"/>
              </w:rPr>
              <w:t xml:space="preserve">     轮状病毒、杯状病毒(诺如病毒和札幌病毒)、星状</w:t>
            </w:r>
            <w:r>
              <w:rPr>
                <w:sz w:val="19"/>
                <w:szCs w:val="19"/>
              </w:rPr>
              <w:t>病毒、肠腺病毒、急性胃肠炎</w:t>
            </w:r>
          </w:p>
          <w:p w14:paraId="720D2E44">
            <w:pPr>
              <w:pStyle w:val="6"/>
              <w:spacing w:before="55" w:line="219" w:lineRule="auto"/>
              <w:ind w:left="1140"/>
              <w:rPr>
                <w:sz w:val="19"/>
                <w:szCs w:val="19"/>
              </w:rPr>
            </w:pPr>
            <w:r>
              <w:rPr>
                <w:spacing w:val="5"/>
                <w:sz w:val="19"/>
                <w:szCs w:val="19"/>
              </w:rPr>
              <w:t>冠状病毒等</w:t>
            </w:r>
          </w:p>
          <w:p w14:paraId="7E3695A8">
            <w:pPr>
              <w:pStyle w:val="6"/>
              <w:spacing w:before="124" w:line="229" w:lineRule="auto"/>
              <w:ind w:left="240"/>
              <w:rPr>
                <w:sz w:val="19"/>
                <w:szCs w:val="19"/>
              </w:rPr>
            </w:pPr>
            <w:r>
              <w:rPr>
                <w:spacing w:val="2"/>
                <w:sz w:val="19"/>
                <w:szCs w:val="19"/>
              </w:rPr>
              <w:t xml:space="preserve">寄生虫   溶组织内阿米巴原虫          </w:t>
            </w:r>
            <w:r>
              <w:rPr>
                <w:spacing w:val="1"/>
                <w:sz w:val="19"/>
                <w:szCs w:val="19"/>
              </w:rPr>
              <w:t xml:space="preserve">                               </w:t>
            </w:r>
            <w:r>
              <w:rPr>
                <w:spacing w:val="1"/>
                <w:position w:val="1"/>
                <w:sz w:val="19"/>
                <w:szCs w:val="19"/>
              </w:rPr>
              <w:t>阿米巴痢疾</w:t>
            </w:r>
          </w:p>
          <w:p w14:paraId="496816D7">
            <w:pPr>
              <w:pStyle w:val="6"/>
              <w:spacing w:before="124" w:line="168" w:lineRule="auto"/>
              <w:ind w:left="440"/>
            </w:pPr>
            <w:r>
              <w:rPr>
                <w:spacing w:val="-8"/>
                <w:sz w:val="22"/>
                <w:szCs w:val="22"/>
              </w:rPr>
              <w:t xml:space="preserve">隐孢子虫、蓝氏贾第鞭毛虫、类圆线虫、结肠小袋纤毛虫等       </w:t>
            </w:r>
            <w:r>
              <w:rPr>
                <w:spacing w:val="-8"/>
                <w:position w:val="1"/>
              </w:rPr>
              <w:t>感 染 性 腹 泻</w:t>
            </w:r>
          </w:p>
        </w:tc>
      </w:tr>
    </w:tbl>
    <w:p w14:paraId="542A95B7">
      <w:pPr>
        <w:rPr>
          <w:rFonts w:ascii="Arial"/>
          <w:sz w:val="21"/>
        </w:rPr>
      </w:pPr>
    </w:p>
    <w:p w14:paraId="576B58EA">
      <w:pPr>
        <w:rPr>
          <w:rFonts w:ascii="Arial" w:hAnsi="Arial" w:eastAsia="Arial" w:cs="Arial"/>
          <w:sz w:val="21"/>
          <w:szCs w:val="21"/>
        </w:rPr>
        <w:sectPr>
          <w:headerReference r:id="rId358" w:type="default"/>
          <w:footerReference r:id="rId359" w:type="default"/>
          <w:pgSz w:w="11900" w:h="16820"/>
          <w:pgMar w:top="400" w:right="962" w:bottom="822" w:left="1450" w:header="0" w:footer="651" w:gutter="0"/>
          <w:cols w:space="720" w:num="1"/>
        </w:sectPr>
      </w:pPr>
    </w:p>
    <w:p w14:paraId="036A3358">
      <w:pPr>
        <w:spacing w:line="250" w:lineRule="auto"/>
        <w:rPr>
          <w:rFonts w:ascii="Arial"/>
          <w:sz w:val="21"/>
        </w:rPr>
      </w:pPr>
    </w:p>
    <w:p w14:paraId="0600F675">
      <w:pPr>
        <w:pStyle w:val="2"/>
        <w:spacing w:before="65" w:line="222" w:lineRule="auto"/>
        <w:ind w:left="689"/>
        <w:rPr>
          <w:sz w:val="20"/>
          <w:szCs w:val="20"/>
        </w:rPr>
      </w:pPr>
      <w:r>
        <w:rPr>
          <w:spacing w:val="-19"/>
          <w:sz w:val="20"/>
          <w:szCs w:val="20"/>
        </w:rPr>
        <w:t>第二十二章 感染性腹泻</w:t>
      </w:r>
    </w:p>
    <w:p w14:paraId="6AA89BFC">
      <w:pPr>
        <w:spacing w:line="296" w:lineRule="auto"/>
        <w:rPr>
          <w:rFonts w:ascii="Arial"/>
          <w:sz w:val="21"/>
        </w:rPr>
      </w:pPr>
    </w:p>
    <w:p w14:paraId="0AFC72CA">
      <w:pPr>
        <w:spacing w:line="296" w:lineRule="auto"/>
        <w:rPr>
          <w:rFonts w:ascii="Arial"/>
          <w:sz w:val="21"/>
        </w:rPr>
      </w:pPr>
    </w:p>
    <w:p w14:paraId="26732C4C">
      <w:pPr>
        <w:spacing w:before="65" w:line="297" w:lineRule="auto"/>
        <w:ind w:left="689" w:right="51" w:firstLine="429"/>
        <w:rPr>
          <w:rFonts w:ascii="宋体" w:hAnsi="宋体" w:eastAsia="宋体" w:cs="宋体"/>
          <w:sz w:val="20"/>
          <w:szCs w:val="20"/>
        </w:rPr>
      </w:pPr>
      <w:r>
        <w:rPr>
          <w:rFonts w:ascii="宋体" w:hAnsi="宋体" w:eastAsia="宋体" w:cs="宋体"/>
          <w:spacing w:val="7"/>
          <w:sz w:val="20"/>
          <w:szCs w:val="20"/>
        </w:rPr>
        <w:t>虽然自然环境和生产、生活方式不同的地区引起感染性腹泻的主要病原体有所不同，但在发展</w:t>
      </w:r>
      <w:r>
        <w:rPr>
          <w:rFonts w:ascii="宋体" w:hAnsi="宋体" w:eastAsia="宋体" w:cs="宋体"/>
          <w:spacing w:val="2"/>
          <w:sz w:val="20"/>
          <w:szCs w:val="20"/>
        </w:rPr>
        <w:t xml:space="preserve"> 中国家，大肠埃希菌及轮状病毒是最常见的病原体。</w:t>
      </w:r>
    </w:p>
    <w:p w14:paraId="53239040">
      <w:pPr>
        <w:pStyle w:val="2"/>
        <w:spacing w:before="224" w:line="222" w:lineRule="auto"/>
        <w:ind w:left="1123"/>
        <w:outlineLvl w:val="4"/>
        <w:rPr>
          <w:sz w:val="24"/>
          <w:szCs w:val="24"/>
        </w:rPr>
      </w:pPr>
      <w:bookmarkStart w:id="563" w:name="bookmark348"/>
      <w:bookmarkEnd w:id="563"/>
      <w:bookmarkStart w:id="564" w:name="bookmark602"/>
      <w:bookmarkEnd w:id="564"/>
      <w:r>
        <w:rPr>
          <w:b/>
          <w:bCs/>
          <w:spacing w:val="-1"/>
          <w:sz w:val="24"/>
          <w:szCs w:val="24"/>
        </w:rPr>
        <w:t>二</w:t>
      </w:r>
      <w:r>
        <w:rPr>
          <w:spacing w:val="-51"/>
          <w:sz w:val="24"/>
          <w:szCs w:val="24"/>
        </w:rPr>
        <w:t xml:space="preserve"> </w:t>
      </w:r>
      <w:r>
        <w:rPr>
          <w:b/>
          <w:bCs/>
          <w:spacing w:val="-1"/>
          <w:sz w:val="24"/>
          <w:szCs w:val="24"/>
        </w:rPr>
        <w:t>、主要病原体</w:t>
      </w:r>
    </w:p>
    <w:p w14:paraId="5B652880">
      <w:pPr>
        <w:pStyle w:val="2"/>
        <w:spacing w:before="258" w:line="224" w:lineRule="auto"/>
        <w:ind w:left="1119"/>
        <w:rPr>
          <w:sz w:val="24"/>
          <w:szCs w:val="24"/>
        </w:rPr>
      </w:pPr>
      <w:r>
        <w:rPr>
          <w:spacing w:val="-4"/>
          <w:sz w:val="24"/>
          <w:szCs w:val="24"/>
        </w:rPr>
        <w:t>(一)霍乱弧菌</w:t>
      </w:r>
    </w:p>
    <w:p w14:paraId="1120DA2A">
      <w:pPr>
        <w:spacing w:before="95" w:line="334" w:lineRule="auto"/>
        <w:ind w:left="689" w:right="40" w:firstLine="429"/>
        <w:jc w:val="both"/>
        <w:rPr>
          <w:rFonts w:ascii="宋体" w:hAnsi="宋体" w:eastAsia="宋体" w:cs="宋体"/>
          <w:sz w:val="20"/>
          <w:szCs w:val="20"/>
        </w:rPr>
      </w:pPr>
      <w:r>
        <w:rPr>
          <w:rFonts w:ascii="宋体" w:hAnsi="宋体" w:eastAsia="宋体" w:cs="宋体"/>
          <w:spacing w:val="9"/>
          <w:sz w:val="20"/>
          <w:szCs w:val="20"/>
        </w:rPr>
        <w:t>霍乱弧菌</w:t>
      </w:r>
      <w:r>
        <w:rPr>
          <w:rFonts w:ascii="Times New Roman" w:hAnsi="Times New Roman" w:eastAsia="Times New Roman" w:cs="Times New Roman"/>
          <w:spacing w:val="9"/>
          <w:sz w:val="20"/>
          <w:szCs w:val="20"/>
        </w:rPr>
        <w:t>(</w:t>
      </w:r>
      <w:r>
        <w:rPr>
          <w:rFonts w:ascii="Times New Roman" w:hAnsi="Times New Roman" w:eastAsia="Times New Roman" w:cs="Times New Roman"/>
          <w:sz w:val="20"/>
          <w:szCs w:val="20"/>
        </w:rPr>
        <w:t>Vibrio</w:t>
      </w:r>
      <w:r>
        <w:rPr>
          <w:rFonts w:ascii="Times New Roman" w:hAnsi="Times New Roman" w:eastAsia="Times New Roman" w:cs="Times New Roman"/>
          <w:spacing w:val="21"/>
          <w:sz w:val="20"/>
          <w:szCs w:val="20"/>
        </w:rPr>
        <w:t xml:space="preserve">  </w:t>
      </w:r>
      <w:r>
        <w:rPr>
          <w:rFonts w:ascii="Times New Roman" w:hAnsi="Times New Roman" w:eastAsia="Times New Roman" w:cs="Times New Roman"/>
          <w:sz w:val="20"/>
          <w:szCs w:val="20"/>
        </w:rPr>
        <w:t>cholerae</w:t>
      </w:r>
      <w:r>
        <w:rPr>
          <w:rFonts w:ascii="Times New Roman" w:hAnsi="Times New Roman" w:eastAsia="Times New Roman" w:cs="Times New Roman"/>
          <w:spacing w:val="9"/>
          <w:sz w:val="20"/>
          <w:szCs w:val="20"/>
        </w:rPr>
        <w:t>)</w:t>
      </w:r>
      <w:r>
        <w:rPr>
          <w:rFonts w:ascii="宋体" w:hAnsi="宋体" w:eastAsia="宋体" w:cs="宋体"/>
          <w:spacing w:val="9"/>
          <w:sz w:val="20"/>
          <w:szCs w:val="20"/>
        </w:rPr>
        <w:t>是弧菌属中的一个种，应用血清学方法可分为200多</w:t>
      </w:r>
      <w:r>
        <w:rPr>
          <w:rFonts w:ascii="宋体" w:hAnsi="宋体" w:eastAsia="宋体" w:cs="宋体"/>
          <w:spacing w:val="8"/>
          <w:sz w:val="20"/>
          <w:szCs w:val="20"/>
        </w:rPr>
        <w:t>个血清群，其中</w:t>
      </w:r>
      <w:r>
        <w:rPr>
          <w:rFonts w:ascii="宋体" w:hAnsi="宋体" w:eastAsia="宋体" w:cs="宋体"/>
          <w:sz w:val="20"/>
          <w:szCs w:val="20"/>
        </w:rPr>
        <w:t xml:space="preserve"> </w:t>
      </w:r>
      <w:r>
        <w:rPr>
          <w:rFonts w:ascii="Times New Roman" w:hAnsi="Times New Roman" w:eastAsia="Times New Roman" w:cs="Times New Roman"/>
          <w:spacing w:val="6"/>
          <w:sz w:val="20"/>
          <w:szCs w:val="20"/>
        </w:rPr>
        <w:t>O₁</w:t>
      </w:r>
      <w:r>
        <w:rPr>
          <w:rFonts w:ascii="Times New Roman" w:hAnsi="Times New Roman" w:eastAsia="Times New Roman" w:cs="Times New Roman"/>
          <w:spacing w:val="-7"/>
          <w:sz w:val="20"/>
          <w:szCs w:val="20"/>
        </w:rPr>
        <w:t xml:space="preserve"> </w:t>
      </w:r>
      <w:r>
        <w:rPr>
          <w:rFonts w:ascii="宋体" w:hAnsi="宋体" w:eastAsia="宋体" w:cs="宋体"/>
          <w:spacing w:val="6"/>
          <w:sz w:val="20"/>
          <w:szCs w:val="20"/>
        </w:rPr>
        <w:t>群</w:t>
      </w:r>
      <w:r>
        <w:rPr>
          <w:rFonts w:ascii="宋体" w:hAnsi="宋体" w:eastAsia="宋体" w:cs="宋体"/>
          <w:spacing w:val="-27"/>
          <w:sz w:val="20"/>
          <w:szCs w:val="20"/>
        </w:rPr>
        <w:t xml:space="preserve"> </w:t>
      </w:r>
      <w:r>
        <w:rPr>
          <w:rFonts w:ascii="宋体" w:hAnsi="宋体" w:eastAsia="宋体" w:cs="宋体"/>
          <w:spacing w:val="6"/>
          <w:sz w:val="20"/>
          <w:szCs w:val="20"/>
        </w:rPr>
        <w:t>和</w:t>
      </w:r>
      <w:r>
        <w:rPr>
          <w:rFonts w:ascii="Times New Roman" w:hAnsi="Times New Roman" w:eastAsia="Times New Roman" w:cs="Times New Roman"/>
          <w:spacing w:val="6"/>
          <w:sz w:val="20"/>
          <w:szCs w:val="20"/>
        </w:rPr>
        <w:t>O139</w:t>
      </w:r>
      <w:r>
        <w:rPr>
          <w:rFonts w:ascii="宋体" w:hAnsi="宋体" w:eastAsia="宋体" w:cs="宋体"/>
          <w:spacing w:val="6"/>
          <w:sz w:val="20"/>
          <w:szCs w:val="20"/>
        </w:rPr>
        <w:t>群霍乱弧菌是霍乱的病原菌，其</w:t>
      </w:r>
      <w:r>
        <w:rPr>
          <w:rFonts w:ascii="宋体" w:hAnsi="宋体" w:eastAsia="宋体" w:cs="宋体"/>
          <w:spacing w:val="5"/>
          <w:sz w:val="20"/>
          <w:szCs w:val="20"/>
        </w:rPr>
        <w:t>他群统称为非01/非01</w:t>
      </w:r>
      <w:r>
        <w:rPr>
          <w:rFonts w:ascii="Calibri" w:hAnsi="Calibri" w:eastAsia="Calibri" w:cs="Calibri"/>
          <w:spacing w:val="5"/>
          <w:sz w:val="20"/>
          <w:szCs w:val="20"/>
        </w:rPr>
        <w:t>₃</w:t>
      </w:r>
      <w:r>
        <w:rPr>
          <w:rFonts w:ascii="宋体" w:hAnsi="宋体" w:eastAsia="宋体" w:cs="宋体"/>
          <w:spacing w:val="5"/>
          <w:sz w:val="20"/>
          <w:szCs w:val="20"/>
        </w:rPr>
        <w:t>9群霍乱弧菌，为一般感染性腹</w:t>
      </w:r>
      <w:r>
        <w:rPr>
          <w:rFonts w:ascii="宋体" w:hAnsi="宋体" w:eastAsia="宋体" w:cs="宋体"/>
          <w:sz w:val="20"/>
          <w:szCs w:val="20"/>
        </w:rPr>
        <w:t xml:space="preserve"> </w:t>
      </w:r>
      <w:r>
        <w:rPr>
          <w:rFonts w:ascii="宋体" w:hAnsi="宋体" w:eastAsia="宋体" w:cs="宋体"/>
          <w:spacing w:val="3"/>
          <w:sz w:val="20"/>
          <w:szCs w:val="20"/>
        </w:rPr>
        <w:t>泻的病原菌。其中，携带霍乱毒素(</w:t>
      </w:r>
      <w:r>
        <w:rPr>
          <w:rFonts w:ascii="宋体" w:hAnsi="宋体" w:eastAsia="宋体" w:cs="宋体"/>
          <w:sz w:val="20"/>
          <w:szCs w:val="20"/>
        </w:rPr>
        <w:t>cholera</w:t>
      </w:r>
      <w:r>
        <w:rPr>
          <w:rFonts w:ascii="宋体" w:hAnsi="宋体" w:eastAsia="宋体" w:cs="宋体"/>
          <w:spacing w:val="3"/>
          <w:sz w:val="20"/>
          <w:szCs w:val="20"/>
        </w:rPr>
        <w:t xml:space="preserve"> </w:t>
      </w:r>
      <w:r>
        <w:rPr>
          <w:rFonts w:ascii="宋体" w:hAnsi="宋体" w:eastAsia="宋体" w:cs="宋体"/>
          <w:sz w:val="20"/>
          <w:szCs w:val="20"/>
        </w:rPr>
        <w:t>toxin</w:t>
      </w:r>
      <w:r>
        <w:rPr>
          <w:rFonts w:ascii="宋体" w:hAnsi="宋体" w:eastAsia="宋体" w:cs="宋体"/>
          <w:spacing w:val="3"/>
          <w:sz w:val="20"/>
          <w:szCs w:val="20"/>
        </w:rPr>
        <w:t>,</w:t>
      </w:r>
      <w:r>
        <w:rPr>
          <w:rFonts w:ascii="宋体" w:hAnsi="宋体" w:eastAsia="宋体" w:cs="宋体"/>
          <w:sz w:val="20"/>
          <w:szCs w:val="20"/>
        </w:rPr>
        <w:t>CT</w:t>
      </w:r>
      <w:r>
        <w:rPr>
          <w:rFonts w:ascii="宋体" w:hAnsi="宋体" w:eastAsia="宋体" w:cs="宋体"/>
          <w:spacing w:val="3"/>
          <w:sz w:val="20"/>
          <w:szCs w:val="20"/>
        </w:rPr>
        <w:t xml:space="preserve">)基因、能够产生霍乱毒素的菌株，能引起大范 </w:t>
      </w:r>
      <w:r>
        <w:rPr>
          <w:rFonts w:ascii="宋体" w:hAnsi="宋体" w:eastAsia="宋体" w:cs="宋体"/>
          <w:spacing w:val="8"/>
          <w:sz w:val="20"/>
          <w:szCs w:val="20"/>
        </w:rPr>
        <w:t>围的流行。霍乱弧菌中同时存在大量的无</w:t>
      </w:r>
      <w:r>
        <w:rPr>
          <w:rFonts w:ascii="Times New Roman" w:hAnsi="Times New Roman" w:eastAsia="Times New Roman" w:cs="Times New Roman"/>
          <w:sz w:val="20"/>
          <w:szCs w:val="20"/>
        </w:rPr>
        <w:t>CT</w:t>
      </w:r>
      <w:r>
        <w:rPr>
          <w:rFonts w:ascii="Times New Roman" w:hAnsi="Times New Roman" w:eastAsia="Times New Roman" w:cs="Times New Roman"/>
          <w:spacing w:val="8"/>
          <w:sz w:val="20"/>
          <w:szCs w:val="20"/>
        </w:rPr>
        <w:t xml:space="preserve"> </w:t>
      </w:r>
      <w:r>
        <w:rPr>
          <w:rFonts w:ascii="宋体" w:hAnsi="宋体" w:eastAsia="宋体" w:cs="宋体"/>
          <w:spacing w:val="8"/>
          <w:sz w:val="20"/>
          <w:szCs w:val="20"/>
        </w:rPr>
        <w:t>基因的非</w:t>
      </w:r>
      <w:r>
        <w:rPr>
          <w:rFonts w:ascii="宋体" w:hAnsi="宋体" w:eastAsia="宋体" w:cs="宋体"/>
          <w:spacing w:val="7"/>
          <w:sz w:val="20"/>
          <w:szCs w:val="20"/>
        </w:rPr>
        <w:t>产毒株，</w:t>
      </w:r>
      <w:r>
        <w:rPr>
          <w:rFonts w:ascii="宋体" w:hAnsi="宋体" w:eastAsia="宋体" w:cs="宋体"/>
          <w:spacing w:val="-26"/>
          <w:sz w:val="20"/>
          <w:szCs w:val="20"/>
        </w:rPr>
        <w:t xml:space="preserve"> </w:t>
      </w:r>
      <w:r>
        <w:rPr>
          <w:rFonts w:ascii="宋体" w:hAnsi="宋体" w:eastAsia="宋体" w:cs="宋体"/>
          <w:spacing w:val="7"/>
          <w:sz w:val="20"/>
          <w:szCs w:val="20"/>
        </w:rPr>
        <w:t>一般不引起腹泻，但某些菌株偶可</w:t>
      </w:r>
      <w:r>
        <w:rPr>
          <w:rFonts w:ascii="宋体" w:hAnsi="宋体" w:eastAsia="宋体" w:cs="宋体"/>
          <w:sz w:val="20"/>
          <w:szCs w:val="20"/>
        </w:rPr>
        <w:t xml:space="preserve"> </w:t>
      </w:r>
      <w:r>
        <w:rPr>
          <w:rFonts w:ascii="宋体" w:hAnsi="宋体" w:eastAsia="宋体" w:cs="宋体"/>
          <w:spacing w:val="7"/>
          <w:sz w:val="20"/>
          <w:szCs w:val="20"/>
        </w:rPr>
        <w:t>引发感染，极少数情况下可能引起局部暴发。01群霍乱弧菌根据生物学特性，可以分为古典生物型</w:t>
      </w:r>
      <w:r>
        <w:rPr>
          <w:rFonts w:ascii="宋体" w:hAnsi="宋体" w:eastAsia="宋体" w:cs="宋体"/>
          <w:spacing w:val="14"/>
          <w:sz w:val="20"/>
          <w:szCs w:val="20"/>
        </w:rPr>
        <w:t xml:space="preserve"> </w:t>
      </w:r>
      <w:r>
        <w:rPr>
          <w:rFonts w:ascii="Times New Roman" w:hAnsi="Times New Roman" w:eastAsia="Times New Roman" w:cs="Times New Roman"/>
          <w:spacing w:val="4"/>
          <w:sz w:val="20"/>
          <w:szCs w:val="20"/>
        </w:rPr>
        <w:t>(</w:t>
      </w:r>
      <w:r>
        <w:rPr>
          <w:rFonts w:ascii="Times New Roman" w:hAnsi="Times New Roman" w:eastAsia="Times New Roman" w:cs="Times New Roman"/>
          <w:sz w:val="20"/>
          <w:szCs w:val="20"/>
        </w:rPr>
        <w:t>classical</w:t>
      </w:r>
      <w:r>
        <w:rPr>
          <w:rFonts w:ascii="Times New Roman" w:hAnsi="Times New Roman" w:eastAsia="Times New Roman" w:cs="Times New Roman"/>
          <w:spacing w:val="37"/>
          <w:w w:val="101"/>
          <w:sz w:val="20"/>
          <w:szCs w:val="20"/>
        </w:rPr>
        <w:t xml:space="preserve"> </w:t>
      </w:r>
      <w:r>
        <w:rPr>
          <w:rFonts w:ascii="Times New Roman" w:hAnsi="Times New Roman" w:eastAsia="Times New Roman" w:cs="Times New Roman"/>
          <w:sz w:val="20"/>
          <w:szCs w:val="20"/>
        </w:rPr>
        <w:t>biotype</w:t>
      </w:r>
      <w:r>
        <w:rPr>
          <w:rFonts w:ascii="Times New Roman" w:hAnsi="Times New Roman" w:eastAsia="Times New Roman" w:cs="Times New Roman"/>
          <w:spacing w:val="4"/>
          <w:sz w:val="20"/>
          <w:szCs w:val="20"/>
        </w:rPr>
        <w:t>)</w:t>
      </w:r>
      <w:r>
        <w:rPr>
          <w:rFonts w:ascii="宋体" w:hAnsi="宋体" w:eastAsia="宋体" w:cs="宋体"/>
          <w:spacing w:val="4"/>
          <w:sz w:val="20"/>
          <w:szCs w:val="20"/>
        </w:rPr>
        <w:t>和埃尔托生物型</w:t>
      </w:r>
      <w:r>
        <w:rPr>
          <w:rFonts w:ascii="Times New Roman" w:hAnsi="Times New Roman" w:eastAsia="Times New Roman" w:cs="Times New Roman"/>
          <w:spacing w:val="4"/>
          <w:sz w:val="20"/>
          <w:szCs w:val="20"/>
        </w:rPr>
        <w:t>(</w:t>
      </w:r>
      <w:r>
        <w:rPr>
          <w:rFonts w:ascii="Times New Roman" w:hAnsi="Times New Roman" w:eastAsia="Times New Roman" w:cs="Times New Roman"/>
          <w:sz w:val="20"/>
          <w:szCs w:val="20"/>
        </w:rPr>
        <w:t>EI</w:t>
      </w:r>
      <w:r>
        <w:rPr>
          <w:rFonts w:ascii="Times New Roman" w:hAnsi="Times New Roman" w:eastAsia="Times New Roman" w:cs="Times New Roman"/>
          <w:spacing w:val="18"/>
          <w:w w:val="101"/>
          <w:sz w:val="20"/>
          <w:szCs w:val="20"/>
        </w:rPr>
        <w:t xml:space="preserve"> </w:t>
      </w:r>
      <w:r>
        <w:rPr>
          <w:rFonts w:ascii="Times New Roman" w:hAnsi="Times New Roman" w:eastAsia="Times New Roman" w:cs="Times New Roman"/>
          <w:sz w:val="20"/>
          <w:szCs w:val="20"/>
        </w:rPr>
        <w:t>Tor</w:t>
      </w:r>
      <w:r>
        <w:rPr>
          <w:rFonts w:ascii="Times New Roman" w:hAnsi="Times New Roman" w:eastAsia="Times New Roman" w:cs="Times New Roman"/>
          <w:spacing w:val="4"/>
          <w:sz w:val="20"/>
          <w:szCs w:val="20"/>
        </w:rPr>
        <w:t xml:space="preserve"> </w:t>
      </w:r>
      <w:r>
        <w:rPr>
          <w:rFonts w:ascii="Times New Roman" w:hAnsi="Times New Roman" w:eastAsia="Times New Roman" w:cs="Times New Roman"/>
          <w:sz w:val="20"/>
          <w:szCs w:val="20"/>
        </w:rPr>
        <w:t>biotype</w:t>
      </w:r>
      <w:r>
        <w:rPr>
          <w:rFonts w:ascii="Times New Roman" w:hAnsi="Times New Roman" w:eastAsia="Times New Roman" w:cs="Times New Roman"/>
          <w:spacing w:val="4"/>
          <w:sz w:val="20"/>
          <w:szCs w:val="20"/>
        </w:rPr>
        <w:t>);</w:t>
      </w:r>
      <w:r>
        <w:rPr>
          <w:rFonts w:ascii="宋体" w:hAnsi="宋体" w:eastAsia="宋体" w:cs="宋体"/>
          <w:spacing w:val="4"/>
          <w:sz w:val="20"/>
          <w:szCs w:val="20"/>
        </w:rPr>
        <w:t>两种生物型均可分为稻叶型</w:t>
      </w:r>
      <w:r>
        <w:rPr>
          <w:rFonts w:ascii="Times New Roman" w:hAnsi="Times New Roman" w:eastAsia="Times New Roman" w:cs="Times New Roman"/>
          <w:spacing w:val="4"/>
          <w:sz w:val="20"/>
          <w:szCs w:val="20"/>
        </w:rPr>
        <w:t>(</w:t>
      </w:r>
      <w:r>
        <w:rPr>
          <w:rFonts w:ascii="Times New Roman" w:hAnsi="Times New Roman" w:eastAsia="Times New Roman" w:cs="Times New Roman"/>
          <w:sz w:val="20"/>
          <w:szCs w:val="20"/>
        </w:rPr>
        <w:t>Inaba</w:t>
      </w:r>
      <w:r>
        <w:rPr>
          <w:rFonts w:ascii="Times New Roman" w:hAnsi="Times New Roman" w:eastAsia="Times New Roman" w:cs="Times New Roman"/>
          <w:spacing w:val="4"/>
          <w:sz w:val="20"/>
          <w:szCs w:val="20"/>
        </w:rPr>
        <w:t>)</w:t>
      </w:r>
      <w:r>
        <w:rPr>
          <w:rFonts w:ascii="宋体" w:hAnsi="宋体" w:eastAsia="宋体" w:cs="宋体"/>
          <w:spacing w:val="4"/>
          <w:sz w:val="20"/>
          <w:szCs w:val="20"/>
        </w:rPr>
        <w:t>、小川型</w:t>
      </w:r>
      <w:r>
        <w:rPr>
          <w:rFonts w:ascii="Times New Roman" w:hAnsi="Times New Roman" w:eastAsia="Times New Roman" w:cs="Times New Roman"/>
          <w:spacing w:val="3"/>
          <w:sz w:val="20"/>
          <w:szCs w:val="20"/>
        </w:rPr>
        <w:t>(</w:t>
      </w:r>
      <w:r>
        <w:rPr>
          <w:rFonts w:ascii="Times New Roman" w:hAnsi="Times New Roman" w:eastAsia="Times New Roman" w:cs="Times New Roman"/>
          <w:sz w:val="20"/>
          <w:szCs w:val="20"/>
        </w:rPr>
        <w:t>Ogawa</w:t>
      </w:r>
      <w:r>
        <w:rPr>
          <w:rFonts w:ascii="Times New Roman" w:hAnsi="Times New Roman" w:eastAsia="Times New Roman" w:cs="Times New Roman"/>
          <w:spacing w:val="3"/>
          <w:sz w:val="20"/>
          <w:szCs w:val="20"/>
        </w:rPr>
        <w:t>)</w:t>
      </w:r>
      <w:r>
        <w:rPr>
          <w:rFonts w:ascii="Times New Roman" w:hAnsi="Times New Roman" w:eastAsia="Times New Roman" w:cs="Times New Roman"/>
          <w:sz w:val="20"/>
          <w:szCs w:val="20"/>
        </w:rPr>
        <w:t xml:space="preserve">  </w:t>
      </w:r>
      <w:r>
        <w:rPr>
          <w:rFonts w:ascii="宋体" w:hAnsi="宋体" w:eastAsia="宋体" w:cs="宋体"/>
          <w:spacing w:val="9"/>
          <w:sz w:val="20"/>
          <w:szCs w:val="20"/>
        </w:rPr>
        <w:t>和彦岛型</w:t>
      </w:r>
      <w:r>
        <w:rPr>
          <w:rFonts w:ascii="Times New Roman" w:hAnsi="Times New Roman" w:eastAsia="Times New Roman" w:cs="Times New Roman"/>
          <w:spacing w:val="9"/>
          <w:sz w:val="20"/>
          <w:szCs w:val="20"/>
        </w:rPr>
        <w:t>(</w:t>
      </w:r>
      <w:r>
        <w:rPr>
          <w:rFonts w:ascii="Times New Roman" w:hAnsi="Times New Roman" w:eastAsia="Times New Roman" w:cs="Times New Roman"/>
          <w:sz w:val="20"/>
          <w:szCs w:val="20"/>
        </w:rPr>
        <w:t>Hikojima</w:t>
      </w:r>
      <w:r>
        <w:rPr>
          <w:rFonts w:ascii="Times New Roman" w:hAnsi="Times New Roman" w:eastAsia="Times New Roman" w:cs="Times New Roman"/>
          <w:spacing w:val="9"/>
          <w:sz w:val="20"/>
          <w:szCs w:val="20"/>
        </w:rPr>
        <w:t>)</w:t>
      </w:r>
      <w:r>
        <w:rPr>
          <w:rFonts w:ascii="Times New Roman" w:hAnsi="Times New Roman" w:eastAsia="Times New Roman" w:cs="Times New Roman"/>
          <w:spacing w:val="41"/>
          <w:sz w:val="20"/>
          <w:szCs w:val="20"/>
        </w:rPr>
        <w:t xml:space="preserve"> </w:t>
      </w:r>
      <w:r>
        <w:rPr>
          <w:rFonts w:ascii="宋体" w:hAnsi="宋体" w:eastAsia="宋体" w:cs="宋体"/>
          <w:spacing w:val="9"/>
          <w:sz w:val="20"/>
          <w:szCs w:val="20"/>
        </w:rPr>
        <w:t>三个血清型。我国研究建立的噬菌体-生物分型方法可以将</w:t>
      </w:r>
      <w:r>
        <w:rPr>
          <w:rFonts w:ascii="Times New Roman" w:hAnsi="Times New Roman" w:eastAsia="Times New Roman" w:cs="Times New Roman"/>
          <w:spacing w:val="8"/>
          <w:sz w:val="20"/>
          <w:szCs w:val="20"/>
        </w:rPr>
        <w:t xml:space="preserve">O₁ </w:t>
      </w:r>
      <w:r>
        <w:rPr>
          <w:rFonts w:ascii="宋体" w:hAnsi="宋体" w:eastAsia="宋体" w:cs="宋体"/>
          <w:spacing w:val="8"/>
          <w:sz w:val="20"/>
          <w:szCs w:val="20"/>
        </w:rPr>
        <w:t>群埃尔托生物型</w:t>
      </w:r>
      <w:r>
        <w:rPr>
          <w:rFonts w:ascii="宋体" w:hAnsi="宋体" w:eastAsia="宋体" w:cs="宋体"/>
          <w:sz w:val="20"/>
          <w:szCs w:val="20"/>
        </w:rPr>
        <w:t xml:space="preserve"> </w:t>
      </w:r>
      <w:r>
        <w:rPr>
          <w:rFonts w:ascii="宋体" w:hAnsi="宋体" w:eastAsia="宋体" w:cs="宋体"/>
          <w:spacing w:val="11"/>
          <w:sz w:val="20"/>
          <w:szCs w:val="20"/>
        </w:rPr>
        <w:t>霍乱弧菌区分为32个噬菌体型和12个</w:t>
      </w:r>
      <w:r>
        <w:rPr>
          <w:rFonts w:ascii="Times New Roman" w:hAnsi="Times New Roman" w:eastAsia="Times New Roman" w:cs="Times New Roman"/>
          <w:spacing w:val="11"/>
          <w:sz w:val="20"/>
          <w:szCs w:val="20"/>
        </w:rPr>
        <w:t>(a</w:t>
      </w:r>
      <w:r>
        <w:rPr>
          <w:rFonts w:ascii="宋体" w:hAnsi="宋体" w:eastAsia="宋体" w:cs="宋体"/>
          <w:spacing w:val="11"/>
          <w:sz w:val="20"/>
          <w:szCs w:val="20"/>
        </w:rPr>
        <w:t>～</w:t>
      </w:r>
      <w:r>
        <w:rPr>
          <w:rFonts w:ascii="Times New Roman" w:hAnsi="Times New Roman" w:eastAsia="Times New Roman" w:cs="Times New Roman"/>
          <w:spacing w:val="11"/>
          <w:sz w:val="20"/>
          <w:szCs w:val="20"/>
        </w:rPr>
        <w:t xml:space="preserve">1) </w:t>
      </w:r>
      <w:r>
        <w:rPr>
          <w:rFonts w:ascii="宋体" w:hAnsi="宋体" w:eastAsia="宋体" w:cs="宋体"/>
          <w:spacing w:val="11"/>
          <w:sz w:val="20"/>
          <w:szCs w:val="20"/>
        </w:rPr>
        <w:t>生物型。其中1～6噬菌体型且为</w:t>
      </w:r>
      <w:r>
        <w:rPr>
          <w:rFonts w:ascii="Times New Roman" w:hAnsi="Times New Roman" w:eastAsia="Times New Roman" w:cs="Times New Roman"/>
          <w:spacing w:val="11"/>
          <w:sz w:val="20"/>
          <w:szCs w:val="20"/>
        </w:rPr>
        <w:t>a</w:t>
      </w:r>
      <w:r>
        <w:rPr>
          <w:rFonts w:ascii="宋体" w:hAnsi="宋体" w:eastAsia="宋体" w:cs="宋体"/>
          <w:spacing w:val="11"/>
          <w:sz w:val="20"/>
          <w:szCs w:val="20"/>
        </w:rPr>
        <w:t>～</w:t>
      </w:r>
      <w:r>
        <w:rPr>
          <w:rFonts w:ascii="Times New Roman" w:hAnsi="Times New Roman" w:eastAsia="Times New Roman" w:cs="Times New Roman"/>
          <w:spacing w:val="11"/>
          <w:sz w:val="20"/>
          <w:szCs w:val="20"/>
        </w:rPr>
        <w:t>f</w:t>
      </w:r>
      <w:r>
        <w:rPr>
          <w:rFonts w:ascii="Times New Roman" w:hAnsi="Times New Roman" w:eastAsia="Times New Roman" w:cs="Times New Roman"/>
          <w:spacing w:val="2"/>
          <w:sz w:val="20"/>
          <w:szCs w:val="20"/>
        </w:rPr>
        <w:t xml:space="preserve"> </w:t>
      </w:r>
      <w:r>
        <w:rPr>
          <w:rFonts w:ascii="宋体" w:hAnsi="宋体" w:eastAsia="宋体" w:cs="宋体"/>
          <w:spacing w:val="11"/>
          <w:sz w:val="20"/>
          <w:szCs w:val="20"/>
        </w:rPr>
        <w:t>生物型的菌株称</w:t>
      </w:r>
      <w:r>
        <w:rPr>
          <w:rFonts w:ascii="宋体" w:hAnsi="宋体" w:eastAsia="宋体" w:cs="宋体"/>
          <w:sz w:val="20"/>
          <w:szCs w:val="20"/>
        </w:rPr>
        <w:t xml:space="preserve"> </w:t>
      </w:r>
      <w:r>
        <w:rPr>
          <w:rFonts w:ascii="宋体" w:hAnsi="宋体" w:eastAsia="宋体" w:cs="宋体"/>
          <w:spacing w:val="3"/>
          <w:sz w:val="20"/>
          <w:szCs w:val="20"/>
        </w:rPr>
        <w:t>为流行株，具有引起霍乱流行或大流行的能力，其他称为非流行株</w:t>
      </w:r>
      <w:r>
        <w:rPr>
          <w:rFonts w:ascii="宋体" w:hAnsi="宋体" w:eastAsia="宋体" w:cs="宋体"/>
          <w:spacing w:val="2"/>
          <w:sz w:val="20"/>
          <w:szCs w:val="20"/>
        </w:rPr>
        <w:t>。流行株按霍乱病原菌对待，非流</w:t>
      </w:r>
      <w:r>
        <w:rPr>
          <w:rFonts w:ascii="宋体" w:hAnsi="宋体" w:eastAsia="宋体" w:cs="宋体"/>
          <w:sz w:val="20"/>
          <w:szCs w:val="20"/>
        </w:rPr>
        <w:t xml:space="preserve"> </w:t>
      </w:r>
      <w:r>
        <w:rPr>
          <w:rFonts w:ascii="宋体" w:hAnsi="宋体" w:eastAsia="宋体" w:cs="宋体"/>
          <w:spacing w:val="7"/>
          <w:sz w:val="20"/>
          <w:szCs w:val="20"/>
        </w:rPr>
        <w:t>行株按一般感染性腹泻病原菌对待。现在发现，流行株和非流行株在基因组上差异较大，且流行株</w:t>
      </w:r>
      <w:r>
        <w:rPr>
          <w:rFonts w:ascii="宋体" w:hAnsi="宋体" w:eastAsia="宋体" w:cs="宋体"/>
          <w:spacing w:val="16"/>
          <w:sz w:val="20"/>
          <w:szCs w:val="20"/>
        </w:rPr>
        <w:t xml:space="preserve"> </w:t>
      </w:r>
      <w:r>
        <w:rPr>
          <w:rFonts w:ascii="宋体" w:hAnsi="宋体" w:eastAsia="宋体" w:cs="宋体"/>
          <w:spacing w:val="7"/>
          <w:sz w:val="20"/>
          <w:szCs w:val="20"/>
        </w:rPr>
        <w:t>几乎均为产毒株，非流行株几乎均为非产毒株。1992年10月在印度东南部又发现了一个</w:t>
      </w:r>
      <w:r>
        <w:rPr>
          <w:rFonts w:ascii="宋体" w:hAnsi="宋体" w:eastAsia="宋体" w:cs="宋体"/>
          <w:spacing w:val="6"/>
          <w:sz w:val="20"/>
          <w:szCs w:val="20"/>
        </w:rPr>
        <w:t>引起霍乱流</w:t>
      </w:r>
      <w:r>
        <w:rPr>
          <w:rFonts w:ascii="宋体" w:hAnsi="宋体" w:eastAsia="宋体" w:cs="宋体"/>
          <w:sz w:val="20"/>
          <w:szCs w:val="20"/>
        </w:rPr>
        <w:t xml:space="preserve"> </w:t>
      </w:r>
      <w:r>
        <w:rPr>
          <w:rFonts w:ascii="宋体" w:hAnsi="宋体" w:eastAsia="宋体" w:cs="宋体"/>
          <w:spacing w:val="4"/>
          <w:sz w:val="20"/>
          <w:szCs w:val="20"/>
        </w:rPr>
        <w:t>行的新血清群菌株</w:t>
      </w:r>
      <w:r>
        <w:rPr>
          <w:rFonts w:ascii="Times New Roman" w:hAnsi="Times New Roman" w:eastAsia="Times New Roman" w:cs="Times New Roman"/>
          <w:spacing w:val="4"/>
          <w:sz w:val="20"/>
          <w:szCs w:val="20"/>
        </w:rPr>
        <w:t>(O139</w:t>
      </w:r>
      <w:r>
        <w:rPr>
          <w:rFonts w:ascii="宋体" w:hAnsi="宋体" w:eastAsia="宋体" w:cs="宋体"/>
          <w:spacing w:val="4"/>
          <w:sz w:val="20"/>
          <w:szCs w:val="20"/>
        </w:rPr>
        <w:t>群),它引起的霍乱在临床表现及传播方式上与典型霍乱完全相同，但不能被</w:t>
      </w:r>
      <w:r>
        <w:rPr>
          <w:rFonts w:ascii="宋体" w:hAnsi="宋体" w:eastAsia="宋体" w:cs="宋体"/>
          <w:spacing w:val="18"/>
          <w:sz w:val="20"/>
          <w:szCs w:val="20"/>
        </w:rPr>
        <w:t xml:space="preserve"> </w:t>
      </w:r>
      <w:r>
        <w:rPr>
          <w:rFonts w:ascii="Times New Roman" w:hAnsi="Times New Roman" w:eastAsia="Times New Roman" w:cs="Times New Roman"/>
          <w:spacing w:val="3"/>
          <w:sz w:val="20"/>
          <w:szCs w:val="20"/>
        </w:rPr>
        <w:t>O₁</w:t>
      </w:r>
      <w:r>
        <w:rPr>
          <w:rFonts w:ascii="宋体" w:hAnsi="宋体" w:eastAsia="宋体" w:cs="宋体"/>
          <w:spacing w:val="3"/>
          <w:sz w:val="20"/>
          <w:szCs w:val="20"/>
        </w:rPr>
        <w:t>群霍乱弧菌诊断血清所凝集，也不与当时已有的</w:t>
      </w:r>
      <w:r>
        <w:rPr>
          <w:rFonts w:ascii="Times New Roman" w:hAnsi="Times New Roman" w:eastAsia="Times New Roman" w:cs="Times New Roman"/>
          <w:spacing w:val="3"/>
          <w:sz w:val="20"/>
          <w:szCs w:val="20"/>
        </w:rPr>
        <w:t>O₂</w:t>
      </w:r>
      <w:r>
        <w:rPr>
          <w:rFonts w:ascii="宋体" w:hAnsi="宋体" w:eastAsia="宋体" w:cs="宋体"/>
          <w:spacing w:val="3"/>
          <w:sz w:val="20"/>
          <w:szCs w:val="20"/>
        </w:rPr>
        <w:t>~</w:t>
      </w:r>
      <w:r>
        <w:rPr>
          <w:rFonts w:ascii="Times New Roman" w:hAnsi="Times New Roman" w:eastAsia="Times New Roman" w:cs="Times New Roman"/>
          <w:spacing w:val="3"/>
          <w:sz w:val="20"/>
          <w:szCs w:val="20"/>
        </w:rPr>
        <w:t>01₃8</w:t>
      </w:r>
      <w:r>
        <w:rPr>
          <w:rFonts w:ascii="宋体" w:hAnsi="宋体" w:eastAsia="宋体" w:cs="宋体"/>
          <w:spacing w:val="3"/>
          <w:sz w:val="20"/>
          <w:szCs w:val="20"/>
        </w:rPr>
        <w:t>群霍乱弧菌菌体0抗血清发生凝集，是一种</w:t>
      </w:r>
      <w:r>
        <w:rPr>
          <w:rFonts w:ascii="宋体" w:hAnsi="宋体" w:eastAsia="宋体" w:cs="宋体"/>
          <w:spacing w:val="7"/>
          <w:sz w:val="20"/>
          <w:szCs w:val="20"/>
        </w:rPr>
        <w:t xml:space="preserve"> </w:t>
      </w:r>
      <w:r>
        <w:rPr>
          <w:rFonts w:ascii="宋体" w:hAnsi="宋体" w:eastAsia="宋体" w:cs="宋体"/>
          <w:spacing w:val="2"/>
          <w:sz w:val="20"/>
          <w:szCs w:val="20"/>
        </w:rPr>
        <w:t>新的霍乱弧菌血清群，因而命名为01</w:t>
      </w:r>
      <w:r>
        <w:rPr>
          <w:rFonts w:ascii="Calibri" w:hAnsi="Calibri" w:eastAsia="Calibri" w:cs="Calibri"/>
          <w:spacing w:val="2"/>
          <w:sz w:val="20"/>
          <w:szCs w:val="20"/>
        </w:rPr>
        <w:t>₃</w:t>
      </w:r>
      <w:r>
        <w:rPr>
          <w:rFonts w:ascii="宋体" w:hAnsi="宋体" w:eastAsia="宋体" w:cs="宋体"/>
          <w:spacing w:val="2"/>
          <w:sz w:val="20"/>
          <w:szCs w:val="20"/>
        </w:rPr>
        <w:t>9群霍乱弧菌。0139群霍乱弧菌中也具有产毒株和非产毒株。</w:t>
      </w:r>
    </w:p>
    <w:p w14:paraId="0E5477A7">
      <w:pPr>
        <w:spacing w:before="50" w:line="339" w:lineRule="auto"/>
        <w:ind w:left="689" w:firstLine="429"/>
        <w:jc w:val="both"/>
        <w:rPr>
          <w:rFonts w:ascii="宋体" w:hAnsi="宋体" w:eastAsia="宋体" w:cs="宋体"/>
          <w:sz w:val="20"/>
          <w:szCs w:val="20"/>
        </w:rPr>
      </w:pPr>
      <w:r>
        <w:rPr>
          <w:rFonts w:ascii="宋体" w:hAnsi="宋体" w:eastAsia="宋体" w:cs="宋体"/>
          <w:spacing w:val="5"/>
          <w:sz w:val="20"/>
          <w:szCs w:val="20"/>
        </w:rPr>
        <w:t>霍乱弧菌的形态呈弧形或逗点状，</w:t>
      </w:r>
      <w:r>
        <w:rPr>
          <w:rFonts w:ascii="Times New Roman" w:hAnsi="Times New Roman" w:eastAsia="Times New Roman" w:cs="Times New Roman"/>
          <w:sz w:val="20"/>
          <w:szCs w:val="20"/>
        </w:rPr>
        <w:t>Robert</w:t>
      </w:r>
      <w:r>
        <w:rPr>
          <w:rFonts w:ascii="Times New Roman" w:hAnsi="Times New Roman" w:eastAsia="Times New Roman" w:cs="Times New Roman"/>
          <w:spacing w:val="5"/>
          <w:sz w:val="20"/>
          <w:szCs w:val="20"/>
        </w:rPr>
        <w:t xml:space="preserve">   </w:t>
      </w:r>
      <w:r>
        <w:rPr>
          <w:rFonts w:ascii="Times New Roman" w:hAnsi="Times New Roman" w:eastAsia="Times New Roman" w:cs="Times New Roman"/>
          <w:sz w:val="20"/>
          <w:szCs w:val="20"/>
        </w:rPr>
        <w:t>Koch</w:t>
      </w:r>
      <w:r>
        <w:rPr>
          <w:rFonts w:ascii="Times New Roman" w:hAnsi="Times New Roman" w:eastAsia="Times New Roman" w:cs="Times New Roman"/>
          <w:spacing w:val="5"/>
          <w:sz w:val="20"/>
          <w:szCs w:val="20"/>
        </w:rPr>
        <w:t>(1884</w:t>
      </w:r>
      <w:r>
        <w:rPr>
          <w:rFonts w:ascii="宋体" w:hAnsi="宋体" w:eastAsia="宋体" w:cs="宋体"/>
          <w:spacing w:val="4"/>
          <w:sz w:val="20"/>
          <w:szCs w:val="20"/>
        </w:rPr>
        <w:t>年)首次分离到霍乱弧菌后称其为“逗点弧</w:t>
      </w:r>
      <w:r>
        <w:rPr>
          <w:rFonts w:ascii="宋体" w:hAnsi="宋体" w:eastAsia="宋体" w:cs="宋体"/>
          <w:sz w:val="20"/>
          <w:szCs w:val="20"/>
        </w:rPr>
        <w:t xml:space="preserve"> </w:t>
      </w:r>
      <w:r>
        <w:rPr>
          <w:rFonts w:ascii="宋体" w:hAnsi="宋体" w:eastAsia="宋体" w:cs="宋体"/>
          <w:spacing w:val="4"/>
          <w:sz w:val="20"/>
          <w:szCs w:val="20"/>
        </w:rPr>
        <w:t>菌”。霍乱弧菌呈革兰氏染色阴性，培养要求不高，属兼性厌氧菌，</w:t>
      </w:r>
      <w:r>
        <w:rPr>
          <w:rFonts w:ascii="宋体" w:hAnsi="宋体" w:eastAsia="宋体" w:cs="宋体"/>
          <w:spacing w:val="3"/>
          <w:sz w:val="20"/>
          <w:szCs w:val="20"/>
        </w:rPr>
        <w:t>繁殖的温度范围较广(16～44℃,</w:t>
      </w:r>
      <w:r>
        <w:rPr>
          <w:rFonts w:ascii="宋体" w:hAnsi="宋体" w:eastAsia="宋体" w:cs="宋体"/>
          <w:sz w:val="20"/>
          <w:szCs w:val="20"/>
        </w:rPr>
        <w:t xml:space="preserve"> </w:t>
      </w:r>
      <w:r>
        <w:rPr>
          <w:rFonts w:ascii="宋体" w:hAnsi="宋体" w:eastAsia="宋体" w:cs="宋体"/>
          <w:spacing w:val="11"/>
          <w:sz w:val="20"/>
          <w:szCs w:val="20"/>
        </w:rPr>
        <w:t>最适温度为37℃),在</w:t>
      </w:r>
      <w:r>
        <w:rPr>
          <w:rFonts w:ascii="Times New Roman" w:hAnsi="Times New Roman" w:eastAsia="Times New Roman" w:cs="Times New Roman"/>
          <w:sz w:val="20"/>
          <w:szCs w:val="20"/>
        </w:rPr>
        <w:t>pH</w:t>
      </w:r>
      <w:r>
        <w:rPr>
          <w:rFonts w:ascii="Times New Roman" w:hAnsi="Times New Roman" w:eastAsia="Times New Roman" w:cs="Times New Roman"/>
          <w:spacing w:val="11"/>
          <w:sz w:val="20"/>
          <w:szCs w:val="20"/>
        </w:rPr>
        <w:t xml:space="preserve"> </w:t>
      </w:r>
      <w:r>
        <w:rPr>
          <w:rFonts w:ascii="宋体" w:hAnsi="宋体" w:eastAsia="宋体" w:cs="宋体"/>
          <w:spacing w:val="11"/>
          <w:sz w:val="20"/>
          <w:szCs w:val="20"/>
        </w:rPr>
        <w:t>为6.0～9.2环</w:t>
      </w:r>
      <w:r>
        <w:rPr>
          <w:rFonts w:ascii="宋体" w:hAnsi="宋体" w:eastAsia="宋体" w:cs="宋体"/>
          <w:spacing w:val="10"/>
          <w:sz w:val="20"/>
          <w:szCs w:val="20"/>
        </w:rPr>
        <w:t>境条件下均可繁殖，适宜</w:t>
      </w:r>
      <w:r>
        <w:rPr>
          <w:rFonts w:ascii="Times New Roman" w:hAnsi="Times New Roman" w:eastAsia="Times New Roman" w:cs="Times New Roman"/>
          <w:sz w:val="20"/>
          <w:szCs w:val="20"/>
        </w:rPr>
        <w:t>pH</w:t>
      </w:r>
      <w:r>
        <w:rPr>
          <w:rFonts w:ascii="Times New Roman" w:hAnsi="Times New Roman" w:eastAsia="Times New Roman" w:cs="Times New Roman"/>
          <w:spacing w:val="25"/>
          <w:w w:val="101"/>
          <w:sz w:val="20"/>
          <w:szCs w:val="20"/>
        </w:rPr>
        <w:t xml:space="preserve"> </w:t>
      </w:r>
      <w:r>
        <w:rPr>
          <w:rFonts w:ascii="宋体" w:hAnsi="宋体" w:eastAsia="宋体" w:cs="宋体"/>
          <w:spacing w:val="10"/>
          <w:sz w:val="20"/>
          <w:szCs w:val="20"/>
        </w:rPr>
        <w:t>为7.2～7.4。由于在高</w:t>
      </w:r>
      <w:r>
        <w:rPr>
          <w:rFonts w:ascii="Times New Roman" w:hAnsi="Times New Roman" w:eastAsia="Times New Roman" w:cs="Times New Roman"/>
          <w:sz w:val="20"/>
          <w:szCs w:val="20"/>
        </w:rPr>
        <w:t>pH</w:t>
      </w:r>
      <w:r>
        <w:rPr>
          <w:rFonts w:ascii="宋体" w:hAnsi="宋体" w:eastAsia="宋体" w:cs="宋体"/>
          <w:spacing w:val="10"/>
          <w:sz w:val="20"/>
          <w:szCs w:val="20"/>
        </w:rPr>
        <w:t>(</w:t>
      </w:r>
      <w:r>
        <w:rPr>
          <w:rFonts w:ascii="宋体" w:hAnsi="宋体" w:eastAsia="宋体" w:cs="宋体"/>
          <w:spacing w:val="-14"/>
          <w:sz w:val="20"/>
          <w:szCs w:val="20"/>
        </w:rPr>
        <w:t xml:space="preserve"> </w:t>
      </w:r>
      <w:r>
        <w:rPr>
          <w:rFonts w:ascii="宋体" w:hAnsi="宋体" w:eastAsia="宋体" w:cs="宋体"/>
          <w:spacing w:val="10"/>
          <w:sz w:val="20"/>
          <w:szCs w:val="20"/>
        </w:rPr>
        <w:t>碱</w:t>
      </w:r>
      <w:r>
        <w:rPr>
          <w:rFonts w:ascii="宋体" w:hAnsi="宋体" w:eastAsia="宋体" w:cs="宋体"/>
          <w:sz w:val="20"/>
          <w:szCs w:val="20"/>
        </w:rPr>
        <w:t xml:space="preserve"> </w:t>
      </w:r>
      <w:r>
        <w:rPr>
          <w:rFonts w:ascii="宋体" w:hAnsi="宋体" w:eastAsia="宋体" w:cs="宋体"/>
          <w:spacing w:val="5"/>
          <w:sz w:val="20"/>
          <w:szCs w:val="20"/>
        </w:rPr>
        <w:t>性)条件下其他细菌不易生长，而霍乱弧菌生长较好，所以常用碱性蛋白胨水(</w:t>
      </w:r>
      <w:r>
        <w:rPr>
          <w:rFonts w:ascii="宋体" w:hAnsi="宋体" w:eastAsia="宋体" w:cs="宋体"/>
          <w:sz w:val="20"/>
          <w:szCs w:val="20"/>
        </w:rPr>
        <w:t>pH</w:t>
      </w:r>
      <w:r>
        <w:rPr>
          <w:rFonts w:ascii="宋体" w:hAnsi="宋体" w:eastAsia="宋体" w:cs="宋体"/>
          <w:spacing w:val="3"/>
          <w:sz w:val="20"/>
          <w:szCs w:val="20"/>
        </w:rPr>
        <w:t xml:space="preserve">  </w:t>
      </w:r>
      <w:r>
        <w:rPr>
          <w:rFonts w:ascii="宋体" w:hAnsi="宋体" w:eastAsia="宋体" w:cs="宋体"/>
          <w:spacing w:val="5"/>
          <w:sz w:val="20"/>
          <w:szCs w:val="20"/>
        </w:rPr>
        <w:t>8.4～8.6)作为分</w:t>
      </w:r>
      <w:r>
        <w:rPr>
          <w:rFonts w:ascii="宋体" w:hAnsi="宋体" w:eastAsia="宋体" w:cs="宋体"/>
          <w:spacing w:val="1"/>
          <w:sz w:val="20"/>
          <w:szCs w:val="20"/>
        </w:rPr>
        <w:t xml:space="preserve"> </w:t>
      </w:r>
      <w:r>
        <w:rPr>
          <w:rFonts w:ascii="宋体" w:hAnsi="宋体" w:eastAsia="宋体" w:cs="宋体"/>
          <w:spacing w:val="8"/>
          <w:sz w:val="20"/>
          <w:szCs w:val="20"/>
        </w:rPr>
        <w:t>离霍乱弧菌前的增菌培养基。霍乱病原菌的主要致病因子是霍乱</w:t>
      </w:r>
      <w:r>
        <w:rPr>
          <w:rFonts w:ascii="宋体" w:hAnsi="宋体" w:eastAsia="宋体" w:cs="宋体"/>
          <w:spacing w:val="7"/>
          <w:sz w:val="20"/>
          <w:szCs w:val="20"/>
        </w:rPr>
        <w:t>毒素，此外，菌毛、鞭毛和其他因</w:t>
      </w:r>
      <w:r>
        <w:rPr>
          <w:rFonts w:ascii="宋体" w:hAnsi="宋体" w:eastAsia="宋体" w:cs="宋体"/>
          <w:sz w:val="20"/>
          <w:szCs w:val="20"/>
        </w:rPr>
        <w:t xml:space="preserve"> </w:t>
      </w:r>
      <w:r>
        <w:rPr>
          <w:rFonts w:ascii="宋体" w:hAnsi="宋体" w:eastAsia="宋体" w:cs="宋体"/>
          <w:spacing w:val="7"/>
          <w:sz w:val="20"/>
          <w:szCs w:val="20"/>
        </w:rPr>
        <w:t>子也起一定作用。</w:t>
      </w:r>
    </w:p>
    <w:p w14:paraId="4FAC3C62">
      <w:pPr>
        <w:pStyle w:val="2"/>
        <w:spacing w:line="222" w:lineRule="auto"/>
        <w:ind w:left="1119"/>
        <w:rPr>
          <w:sz w:val="24"/>
          <w:szCs w:val="24"/>
        </w:rPr>
      </w:pPr>
      <w:r>
        <w:rPr>
          <w:spacing w:val="2"/>
          <w:sz w:val="24"/>
          <w:szCs w:val="24"/>
        </w:rPr>
        <w:t>(二)志贺菌</w:t>
      </w:r>
    </w:p>
    <w:p w14:paraId="5F08C7F2">
      <w:pPr>
        <w:spacing w:before="103" w:line="335" w:lineRule="auto"/>
        <w:ind w:left="689" w:right="31" w:firstLine="429"/>
        <w:jc w:val="both"/>
        <w:rPr>
          <w:rFonts w:ascii="宋体" w:hAnsi="宋体" w:eastAsia="宋体" w:cs="宋体"/>
          <w:sz w:val="20"/>
          <w:szCs w:val="20"/>
        </w:rPr>
      </w:pPr>
      <w:r>
        <w:rPr>
          <w:rFonts w:ascii="宋体" w:hAnsi="宋体" w:eastAsia="宋体" w:cs="宋体"/>
          <w:spacing w:val="11"/>
          <w:sz w:val="20"/>
          <w:szCs w:val="20"/>
        </w:rPr>
        <w:t>志贺菌属</w:t>
      </w:r>
      <w:r>
        <w:rPr>
          <w:rFonts w:ascii="Times New Roman" w:hAnsi="Times New Roman" w:eastAsia="Times New Roman" w:cs="Times New Roman"/>
          <w:spacing w:val="11"/>
          <w:sz w:val="20"/>
          <w:szCs w:val="20"/>
        </w:rPr>
        <w:t>(</w:t>
      </w:r>
      <w:r>
        <w:rPr>
          <w:rFonts w:ascii="Times New Roman" w:hAnsi="Times New Roman" w:eastAsia="Times New Roman" w:cs="Times New Roman"/>
          <w:sz w:val="20"/>
          <w:szCs w:val="20"/>
        </w:rPr>
        <w:t>Shigellae</w:t>
      </w:r>
      <w:r>
        <w:rPr>
          <w:rFonts w:ascii="Times New Roman" w:hAnsi="Times New Roman" w:eastAsia="Times New Roman" w:cs="Times New Roman"/>
          <w:spacing w:val="11"/>
          <w:sz w:val="20"/>
          <w:szCs w:val="20"/>
        </w:rPr>
        <w:t>)</w:t>
      </w:r>
      <w:r>
        <w:rPr>
          <w:rFonts w:ascii="Times New Roman" w:hAnsi="Times New Roman" w:eastAsia="Times New Roman" w:cs="Times New Roman"/>
          <w:spacing w:val="16"/>
          <w:sz w:val="20"/>
          <w:szCs w:val="20"/>
        </w:rPr>
        <w:t xml:space="preserve">  </w:t>
      </w:r>
      <w:r>
        <w:rPr>
          <w:rFonts w:ascii="宋体" w:hAnsi="宋体" w:eastAsia="宋体" w:cs="宋体"/>
          <w:spacing w:val="11"/>
          <w:sz w:val="20"/>
          <w:szCs w:val="20"/>
        </w:rPr>
        <w:t>细菌(简称志贺菌)也称痢疾杆菌</w:t>
      </w:r>
      <w:r>
        <w:rPr>
          <w:rFonts w:ascii="Times New Roman" w:hAnsi="Times New Roman" w:eastAsia="Times New Roman" w:cs="Times New Roman"/>
          <w:spacing w:val="11"/>
          <w:sz w:val="20"/>
          <w:szCs w:val="20"/>
        </w:rPr>
        <w:t>(</w:t>
      </w:r>
      <w:r>
        <w:rPr>
          <w:rFonts w:ascii="Times New Roman" w:hAnsi="Times New Roman" w:eastAsia="Times New Roman" w:cs="Times New Roman"/>
          <w:sz w:val="20"/>
          <w:szCs w:val="20"/>
        </w:rPr>
        <w:t>dysentery</w:t>
      </w:r>
      <w:r>
        <w:rPr>
          <w:rFonts w:ascii="Times New Roman" w:hAnsi="Times New Roman" w:eastAsia="Times New Roman" w:cs="Times New Roman"/>
          <w:spacing w:val="11"/>
          <w:sz w:val="20"/>
          <w:szCs w:val="20"/>
        </w:rPr>
        <w:t xml:space="preserve">     </w:t>
      </w:r>
      <w:r>
        <w:rPr>
          <w:rFonts w:ascii="Times New Roman" w:hAnsi="Times New Roman" w:eastAsia="Times New Roman" w:cs="Times New Roman"/>
          <w:spacing w:val="10"/>
          <w:sz w:val="20"/>
          <w:szCs w:val="20"/>
        </w:rPr>
        <w:t xml:space="preserve"> </w:t>
      </w:r>
      <w:r>
        <w:rPr>
          <w:rFonts w:ascii="Times New Roman" w:hAnsi="Times New Roman" w:eastAsia="Times New Roman" w:cs="Times New Roman"/>
          <w:sz w:val="20"/>
          <w:szCs w:val="20"/>
        </w:rPr>
        <w:t>bacteria</w:t>
      </w:r>
      <w:r>
        <w:rPr>
          <w:rFonts w:ascii="Times New Roman" w:hAnsi="Times New Roman" w:eastAsia="Times New Roman" w:cs="Times New Roman"/>
          <w:spacing w:val="10"/>
          <w:sz w:val="20"/>
          <w:szCs w:val="20"/>
        </w:rPr>
        <w:t>),</w:t>
      </w:r>
      <w:r>
        <w:rPr>
          <w:rFonts w:ascii="宋体" w:hAnsi="宋体" w:eastAsia="宋体" w:cs="宋体"/>
          <w:spacing w:val="10"/>
          <w:sz w:val="20"/>
          <w:szCs w:val="20"/>
        </w:rPr>
        <w:t>是感染性腹泻最常</w:t>
      </w:r>
      <w:r>
        <w:rPr>
          <w:rFonts w:ascii="宋体" w:hAnsi="宋体" w:eastAsia="宋体" w:cs="宋体"/>
          <w:sz w:val="20"/>
          <w:szCs w:val="20"/>
        </w:rPr>
        <w:t xml:space="preserve"> </w:t>
      </w:r>
      <w:r>
        <w:rPr>
          <w:rFonts w:ascii="宋体" w:hAnsi="宋体" w:eastAsia="宋体" w:cs="宋体"/>
          <w:spacing w:val="3"/>
          <w:sz w:val="20"/>
          <w:szCs w:val="20"/>
        </w:rPr>
        <w:t>见的病原体之一，所引起的疾病称为细菌性痢疾</w:t>
      </w:r>
      <w:r>
        <w:rPr>
          <w:rFonts w:ascii="宋体" w:hAnsi="宋体" w:eastAsia="宋体" w:cs="宋体"/>
          <w:spacing w:val="2"/>
          <w:sz w:val="20"/>
          <w:szCs w:val="20"/>
        </w:rPr>
        <w:t>。志贺菌为无芽胞、无荚膜、无鞭毛、有菌毛的革兰</w:t>
      </w:r>
      <w:r>
        <w:rPr>
          <w:rFonts w:ascii="宋体" w:hAnsi="宋体" w:eastAsia="宋体" w:cs="宋体"/>
          <w:sz w:val="20"/>
          <w:szCs w:val="20"/>
        </w:rPr>
        <w:t xml:space="preserve"> </w:t>
      </w:r>
      <w:r>
        <w:rPr>
          <w:rFonts w:ascii="宋体" w:hAnsi="宋体" w:eastAsia="宋体" w:cs="宋体"/>
          <w:spacing w:val="12"/>
          <w:sz w:val="20"/>
          <w:szCs w:val="20"/>
        </w:rPr>
        <w:t>氏阴性菌，有0和</w:t>
      </w:r>
      <w:r>
        <w:rPr>
          <w:rFonts w:ascii="Times New Roman" w:hAnsi="Times New Roman" w:eastAsia="Times New Roman" w:cs="Times New Roman"/>
          <w:spacing w:val="12"/>
          <w:sz w:val="20"/>
          <w:szCs w:val="20"/>
        </w:rPr>
        <w:t xml:space="preserve">K </w:t>
      </w:r>
      <w:r>
        <w:rPr>
          <w:rFonts w:ascii="宋体" w:hAnsi="宋体" w:eastAsia="宋体" w:cs="宋体"/>
          <w:spacing w:val="12"/>
          <w:sz w:val="20"/>
          <w:szCs w:val="20"/>
        </w:rPr>
        <w:t>两种抗原，其中0抗原是分类的依据，分为群特异性抗原和型</w:t>
      </w:r>
      <w:r>
        <w:rPr>
          <w:rFonts w:ascii="宋体" w:hAnsi="宋体" w:eastAsia="宋体" w:cs="宋体"/>
          <w:spacing w:val="11"/>
          <w:sz w:val="20"/>
          <w:szCs w:val="20"/>
        </w:rPr>
        <w:t>特异性抗原，借</w:t>
      </w:r>
      <w:r>
        <w:rPr>
          <w:rFonts w:ascii="宋体" w:hAnsi="宋体" w:eastAsia="宋体" w:cs="宋体"/>
          <w:sz w:val="20"/>
          <w:szCs w:val="20"/>
        </w:rPr>
        <w:t xml:space="preserve"> </w:t>
      </w:r>
      <w:r>
        <w:rPr>
          <w:rFonts w:ascii="宋体" w:hAnsi="宋体" w:eastAsia="宋体" w:cs="宋体"/>
          <w:spacing w:val="7"/>
          <w:sz w:val="20"/>
          <w:szCs w:val="20"/>
        </w:rPr>
        <w:t>此可将志贺菌分为4个群47个血清型。志贺菌分为：</w:t>
      </w:r>
      <w:r>
        <w:rPr>
          <w:rFonts w:ascii="Times New Roman" w:hAnsi="Times New Roman" w:eastAsia="Times New Roman" w:cs="Times New Roman"/>
          <w:spacing w:val="7"/>
          <w:sz w:val="20"/>
          <w:szCs w:val="20"/>
        </w:rPr>
        <w:t xml:space="preserve">A </w:t>
      </w:r>
      <w:r>
        <w:rPr>
          <w:rFonts w:ascii="宋体" w:hAnsi="宋体" w:eastAsia="宋体" w:cs="宋体"/>
          <w:spacing w:val="7"/>
          <w:sz w:val="20"/>
          <w:szCs w:val="20"/>
        </w:rPr>
        <w:t>群，痢疾志贺菌</w:t>
      </w:r>
      <w:r>
        <w:rPr>
          <w:rFonts w:ascii="Times New Roman" w:hAnsi="Times New Roman" w:eastAsia="Times New Roman" w:cs="Times New Roman"/>
          <w:spacing w:val="7"/>
          <w:sz w:val="20"/>
          <w:szCs w:val="20"/>
        </w:rPr>
        <w:t>(S.</w:t>
      </w:r>
      <w:r>
        <w:rPr>
          <w:rFonts w:ascii="Times New Roman" w:hAnsi="Times New Roman" w:eastAsia="Times New Roman" w:cs="Times New Roman"/>
          <w:sz w:val="20"/>
          <w:szCs w:val="20"/>
        </w:rPr>
        <w:t>dysenteriae</w:t>
      </w:r>
      <w:r>
        <w:rPr>
          <w:rFonts w:ascii="Times New Roman" w:hAnsi="Times New Roman" w:eastAsia="Times New Roman" w:cs="Times New Roman"/>
          <w:spacing w:val="7"/>
          <w:sz w:val="20"/>
          <w:szCs w:val="20"/>
        </w:rPr>
        <w:t xml:space="preserve">),    </w:t>
      </w:r>
      <w:r>
        <w:rPr>
          <w:rFonts w:ascii="宋体" w:hAnsi="宋体" w:eastAsia="宋体" w:cs="宋体"/>
          <w:spacing w:val="7"/>
          <w:sz w:val="20"/>
          <w:szCs w:val="20"/>
        </w:rPr>
        <w:t>含</w:t>
      </w:r>
      <w:r>
        <w:rPr>
          <w:rFonts w:ascii="宋体" w:hAnsi="宋体" w:eastAsia="宋体" w:cs="宋体"/>
          <w:spacing w:val="-29"/>
          <w:sz w:val="20"/>
          <w:szCs w:val="20"/>
        </w:rPr>
        <w:t xml:space="preserve"> </w:t>
      </w:r>
      <w:r>
        <w:rPr>
          <w:rFonts w:ascii="宋体" w:hAnsi="宋体" w:eastAsia="宋体" w:cs="宋体"/>
          <w:spacing w:val="7"/>
          <w:sz w:val="20"/>
          <w:szCs w:val="20"/>
        </w:rPr>
        <w:t>1</w:t>
      </w:r>
      <w:r>
        <w:rPr>
          <w:rFonts w:ascii="宋体" w:hAnsi="宋体" w:eastAsia="宋体" w:cs="宋体"/>
          <w:spacing w:val="-43"/>
          <w:sz w:val="20"/>
          <w:szCs w:val="20"/>
        </w:rPr>
        <w:t xml:space="preserve"> </w:t>
      </w:r>
      <w:r>
        <w:rPr>
          <w:rFonts w:ascii="宋体" w:hAnsi="宋体" w:eastAsia="宋体" w:cs="宋体"/>
          <w:spacing w:val="7"/>
          <w:sz w:val="20"/>
          <w:szCs w:val="20"/>
        </w:rPr>
        <w:t>2</w:t>
      </w:r>
      <w:r>
        <w:rPr>
          <w:rFonts w:ascii="宋体" w:hAnsi="宋体" w:eastAsia="宋体" w:cs="宋体"/>
          <w:spacing w:val="-45"/>
          <w:sz w:val="20"/>
          <w:szCs w:val="20"/>
        </w:rPr>
        <w:t xml:space="preserve"> </w:t>
      </w:r>
      <w:r>
        <w:rPr>
          <w:rFonts w:ascii="宋体" w:hAnsi="宋体" w:eastAsia="宋体" w:cs="宋体"/>
          <w:spacing w:val="7"/>
          <w:sz w:val="20"/>
          <w:szCs w:val="20"/>
        </w:rPr>
        <w:t>个</w:t>
      </w:r>
      <w:r>
        <w:rPr>
          <w:rFonts w:ascii="宋体" w:hAnsi="宋体" w:eastAsia="宋体" w:cs="宋体"/>
          <w:spacing w:val="-44"/>
          <w:sz w:val="20"/>
          <w:szCs w:val="20"/>
        </w:rPr>
        <w:t xml:space="preserve"> </w:t>
      </w:r>
      <w:r>
        <w:rPr>
          <w:rFonts w:ascii="宋体" w:hAnsi="宋体" w:eastAsia="宋体" w:cs="宋体"/>
          <w:spacing w:val="7"/>
          <w:sz w:val="20"/>
          <w:szCs w:val="20"/>
        </w:rPr>
        <w:t>血</w:t>
      </w:r>
      <w:r>
        <w:rPr>
          <w:rFonts w:ascii="宋体" w:hAnsi="宋体" w:eastAsia="宋体" w:cs="宋体"/>
          <w:sz w:val="20"/>
          <w:szCs w:val="20"/>
        </w:rPr>
        <w:t xml:space="preserve"> </w:t>
      </w:r>
      <w:r>
        <w:rPr>
          <w:rFonts w:ascii="宋体" w:hAnsi="宋体" w:eastAsia="宋体" w:cs="宋体"/>
          <w:spacing w:val="4"/>
          <w:sz w:val="20"/>
          <w:szCs w:val="20"/>
        </w:rPr>
        <w:t>清型；</w:t>
      </w:r>
      <w:r>
        <w:rPr>
          <w:rFonts w:ascii="Times New Roman" w:hAnsi="Times New Roman" w:eastAsia="Times New Roman" w:cs="Times New Roman"/>
          <w:spacing w:val="4"/>
          <w:sz w:val="20"/>
          <w:szCs w:val="20"/>
        </w:rPr>
        <w:t xml:space="preserve">B </w:t>
      </w:r>
      <w:r>
        <w:rPr>
          <w:rFonts w:ascii="宋体" w:hAnsi="宋体" w:eastAsia="宋体" w:cs="宋体"/>
          <w:spacing w:val="4"/>
          <w:sz w:val="20"/>
          <w:szCs w:val="20"/>
        </w:rPr>
        <w:t>群，福氏志贺菌</w:t>
      </w:r>
      <w:r>
        <w:rPr>
          <w:rFonts w:ascii="Times New Roman" w:hAnsi="Times New Roman" w:eastAsia="Times New Roman" w:cs="Times New Roman"/>
          <w:spacing w:val="4"/>
          <w:sz w:val="20"/>
          <w:szCs w:val="20"/>
        </w:rPr>
        <w:t>(S.</w:t>
      </w:r>
      <w:r>
        <w:rPr>
          <w:rFonts w:ascii="Times New Roman" w:hAnsi="Times New Roman" w:eastAsia="Times New Roman" w:cs="Times New Roman"/>
          <w:sz w:val="20"/>
          <w:szCs w:val="20"/>
        </w:rPr>
        <w:t>flexneri</w:t>
      </w:r>
      <w:r>
        <w:rPr>
          <w:rFonts w:ascii="Times New Roman" w:hAnsi="Times New Roman" w:eastAsia="Times New Roman" w:cs="Times New Roman"/>
          <w:spacing w:val="4"/>
          <w:sz w:val="20"/>
          <w:szCs w:val="20"/>
        </w:rPr>
        <w:t xml:space="preserve">),    </w:t>
      </w:r>
      <w:r>
        <w:rPr>
          <w:rFonts w:ascii="宋体" w:hAnsi="宋体" w:eastAsia="宋体" w:cs="宋体"/>
          <w:spacing w:val="4"/>
          <w:sz w:val="20"/>
          <w:szCs w:val="20"/>
        </w:rPr>
        <w:t>有16个血</w:t>
      </w:r>
      <w:r>
        <w:rPr>
          <w:rFonts w:ascii="宋体" w:hAnsi="宋体" w:eastAsia="宋体" w:cs="宋体"/>
          <w:spacing w:val="3"/>
          <w:sz w:val="20"/>
          <w:szCs w:val="20"/>
        </w:rPr>
        <w:t>清型(亚型);</w:t>
      </w:r>
      <w:r>
        <w:rPr>
          <w:rFonts w:ascii="Times New Roman" w:hAnsi="Times New Roman" w:eastAsia="Times New Roman" w:cs="Times New Roman"/>
          <w:spacing w:val="3"/>
          <w:sz w:val="20"/>
          <w:szCs w:val="20"/>
        </w:rPr>
        <w:t>C</w:t>
      </w:r>
      <w:r>
        <w:rPr>
          <w:rFonts w:ascii="Times New Roman" w:hAnsi="Times New Roman" w:eastAsia="Times New Roman" w:cs="Times New Roman"/>
          <w:spacing w:val="24"/>
          <w:w w:val="101"/>
          <w:sz w:val="20"/>
          <w:szCs w:val="20"/>
        </w:rPr>
        <w:t xml:space="preserve"> </w:t>
      </w:r>
      <w:r>
        <w:rPr>
          <w:rFonts w:ascii="宋体" w:hAnsi="宋体" w:eastAsia="宋体" w:cs="宋体"/>
          <w:spacing w:val="3"/>
          <w:sz w:val="20"/>
          <w:szCs w:val="20"/>
        </w:rPr>
        <w:t>群，鲍氏志贺菌</w:t>
      </w:r>
      <w:r>
        <w:rPr>
          <w:rFonts w:ascii="Times New Roman" w:hAnsi="Times New Roman" w:eastAsia="Times New Roman" w:cs="Times New Roman"/>
          <w:spacing w:val="3"/>
          <w:sz w:val="20"/>
          <w:szCs w:val="20"/>
        </w:rPr>
        <w:t>(S.</w:t>
      </w:r>
      <w:r>
        <w:rPr>
          <w:rFonts w:ascii="Times New Roman" w:hAnsi="Times New Roman" w:eastAsia="Times New Roman" w:cs="Times New Roman"/>
          <w:sz w:val="20"/>
          <w:szCs w:val="20"/>
        </w:rPr>
        <w:t>boydii</w:t>
      </w:r>
      <w:r>
        <w:rPr>
          <w:rFonts w:ascii="Times New Roman" w:hAnsi="Times New Roman" w:eastAsia="Times New Roman" w:cs="Times New Roman"/>
          <w:spacing w:val="3"/>
          <w:sz w:val="20"/>
          <w:szCs w:val="20"/>
        </w:rPr>
        <w:t xml:space="preserve">),    </w:t>
      </w:r>
      <w:r>
        <w:rPr>
          <w:rFonts w:ascii="宋体" w:hAnsi="宋体" w:eastAsia="宋体" w:cs="宋体"/>
          <w:spacing w:val="3"/>
          <w:sz w:val="20"/>
          <w:szCs w:val="20"/>
        </w:rPr>
        <w:t>有</w:t>
      </w:r>
      <w:r>
        <w:rPr>
          <w:rFonts w:ascii="宋体" w:hAnsi="宋体" w:eastAsia="宋体" w:cs="宋体"/>
          <w:spacing w:val="-19"/>
          <w:sz w:val="20"/>
          <w:szCs w:val="20"/>
        </w:rPr>
        <w:t xml:space="preserve"> </w:t>
      </w:r>
      <w:r>
        <w:rPr>
          <w:rFonts w:ascii="宋体" w:hAnsi="宋体" w:eastAsia="宋体" w:cs="宋体"/>
          <w:spacing w:val="3"/>
          <w:sz w:val="20"/>
          <w:szCs w:val="20"/>
        </w:rPr>
        <w:t>1</w:t>
      </w:r>
      <w:r>
        <w:rPr>
          <w:rFonts w:ascii="宋体" w:hAnsi="宋体" w:eastAsia="宋体" w:cs="宋体"/>
          <w:spacing w:val="-32"/>
          <w:sz w:val="20"/>
          <w:szCs w:val="20"/>
        </w:rPr>
        <w:t xml:space="preserve"> </w:t>
      </w:r>
      <w:r>
        <w:rPr>
          <w:rFonts w:ascii="宋体" w:hAnsi="宋体" w:eastAsia="宋体" w:cs="宋体"/>
          <w:spacing w:val="3"/>
          <w:sz w:val="20"/>
          <w:szCs w:val="20"/>
        </w:rPr>
        <w:t>8</w:t>
      </w:r>
      <w:r>
        <w:rPr>
          <w:rFonts w:ascii="宋体" w:hAnsi="宋体" w:eastAsia="宋体" w:cs="宋体"/>
          <w:spacing w:val="-33"/>
          <w:sz w:val="20"/>
          <w:szCs w:val="20"/>
        </w:rPr>
        <w:t xml:space="preserve"> </w:t>
      </w:r>
      <w:r>
        <w:rPr>
          <w:rFonts w:ascii="宋体" w:hAnsi="宋体" w:eastAsia="宋体" w:cs="宋体"/>
          <w:spacing w:val="3"/>
          <w:sz w:val="20"/>
          <w:szCs w:val="20"/>
        </w:rPr>
        <w:t>个</w:t>
      </w:r>
      <w:r>
        <w:rPr>
          <w:rFonts w:ascii="宋体" w:hAnsi="宋体" w:eastAsia="宋体" w:cs="宋体"/>
          <w:sz w:val="20"/>
          <w:szCs w:val="20"/>
        </w:rPr>
        <w:t xml:space="preserve"> </w:t>
      </w:r>
      <w:r>
        <w:rPr>
          <w:rFonts w:ascii="宋体" w:hAnsi="宋体" w:eastAsia="宋体" w:cs="宋体"/>
          <w:spacing w:val="8"/>
          <w:sz w:val="20"/>
          <w:szCs w:val="20"/>
        </w:rPr>
        <w:t>血清型；</w:t>
      </w:r>
      <w:r>
        <w:rPr>
          <w:rFonts w:ascii="Times New Roman" w:hAnsi="Times New Roman" w:eastAsia="Times New Roman" w:cs="Times New Roman"/>
          <w:spacing w:val="8"/>
          <w:sz w:val="20"/>
          <w:szCs w:val="20"/>
        </w:rPr>
        <w:t xml:space="preserve">D </w:t>
      </w:r>
      <w:r>
        <w:rPr>
          <w:rFonts w:ascii="宋体" w:hAnsi="宋体" w:eastAsia="宋体" w:cs="宋体"/>
          <w:spacing w:val="8"/>
          <w:sz w:val="20"/>
          <w:szCs w:val="20"/>
        </w:rPr>
        <w:t>群，宋氏志贺菌</w:t>
      </w:r>
      <w:r>
        <w:rPr>
          <w:rFonts w:ascii="Times New Roman" w:hAnsi="Times New Roman" w:eastAsia="Times New Roman" w:cs="Times New Roman"/>
          <w:spacing w:val="8"/>
          <w:sz w:val="20"/>
          <w:szCs w:val="20"/>
        </w:rPr>
        <w:t>(S.</w:t>
      </w:r>
      <w:r>
        <w:rPr>
          <w:rFonts w:ascii="Times New Roman" w:hAnsi="Times New Roman" w:eastAsia="Times New Roman" w:cs="Times New Roman"/>
          <w:sz w:val="20"/>
          <w:szCs w:val="20"/>
        </w:rPr>
        <w:t>sonnei</w:t>
      </w:r>
      <w:r>
        <w:rPr>
          <w:rFonts w:ascii="Times New Roman" w:hAnsi="Times New Roman" w:eastAsia="Times New Roman" w:cs="Times New Roman"/>
          <w:spacing w:val="8"/>
          <w:sz w:val="20"/>
          <w:szCs w:val="20"/>
        </w:rPr>
        <w:t xml:space="preserve">),    </w:t>
      </w:r>
      <w:r>
        <w:rPr>
          <w:rFonts w:ascii="宋体" w:hAnsi="宋体" w:eastAsia="宋体" w:cs="宋体"/>
          <w:spacing w:val="8"/>
          <w:sz w:val="20"/>
          <w:szCs w:val="20"/>
        </w:rPr>
        <w:t>有1个血清型</w:t>
      </w:r>
      <w:r>
        <w:rPr>
          <w:rFonts w:ascii="宋体" w:hAnsi="宋体" w:eastAsia="宋体" w:cs="宋体"/>
          <w:spacing w:val="7"/>
          <w:sz w:val="20"/>
          <w:szCs w:val="20"/>
        </w:rPr>
        <w:t>。志贺菌的主要致病因子是侵袭力、内毒素和</w:t>
      </w:r>
      <w:r>
        <w:rPr>
          <w:rFonts w:ascii="宋体" w:hAnsi="宋体" w:eastAsia="宋体" w:cs="宋体"/>
          <w:sz w:val="20"/>
          <w:szCs w:val="20"/>
        </w:rPr>
        <w:t xml:space="preserve"> </w:t>
      </w:r>
      <w:r>
        <w:rPr>
          <w:rFonts w:ascii="宋体" w:hAnsi="宋体" w:eastAsia="宋体" w:cs="宋体"/>
          <w:spacing w:val="6"/>
          <w:sz w:val="20"/>
          <w:szCs w:val="20"/>
        </w:rPr>
        <w:t>外毒素。感染志贺菌后对同型细菌具有一定免疫力，但免疫期较短。</w:t>
      </w:r>
    </w:p>
    <w:p w14:paraId="3AD97CF0">
      <w:pPr>
        <w:pStyle w:val="2"/>
        <w:spacing w:before="12" w:line="222" w:lineRule="auto"/>
        <w:ind w:left="1122"/>
        <w:rPr>
          <w:sz w:val="20"/>
          <w:szCs w:val="20"/>
        </w:rPr>
      </w:pPr>
      <w:r>
        <w:rPr>
          <w:b/>
          <w:bCs/>
          <w:spacing w:val="-18"/>
          <w:sz w:val="20"/>
          <w:szCs w:val="20"/>
        </w:rPr>
        <w:t>(</w:t>
      </w:r>
      <w:r>
        <w:rPr>
          <w:spacing w:val="-34"/>
          <w:sz w:val="20"/>
          <w:szCs w:val="20"/>
        </w:rPr>
        <w:t xml:space="preserve"> </w:t>
      </w:r>
      <w:r>
        <w:rPr>
          <w:b/>
          <w:bCs/>
          <w:spacing w:val="-18"/>
          <w:sz w:val="20"/>
          <w:szCs w:val="20"/>
        </w:rPr>
        <w:t>三</w:t>
      </w:r>
      <w:r>
        <w:rPr>
          <w:spacing w:val="-46"/>
          <w:sz w:val="20"/>
          <w:szCs w:val="20"/>
        </w:rPr>
        <w:t xml:space="preserve"> </w:t>
      </w:r>
      <w:r>
        <w:rPr>
          <w:b/>
          <w:bCs/>
          <w:spacing w:val="-18"/>
          <w:sz w:val="20"/>
          <w:szCs w:val="20"/>
        </w:rPr>
        <w:t>)</w:t>
      </w:r>
      <w:r>
        <w:rPr>
          <w:spacing w:val="-40"/>
          <w:sz w:val="20"/>
          <w:szCs w:val="20"/>
        </w:rPr>
        <w:t xml:space="preserve"> </w:t>
      </w:r>
      <w:r>
        <w:rPr>
          <w:b/>
          <w:bCs/>
          <w:spacing w:val="-18"/>
          <w:sz w:val="20"/>
          <w:szCs w:val="20"/>
        </w:rPr>
        <w:t>沙</w:t>
      </w:r>
      <w:r>
        <w:rPr>
          <w:spacing w:val="-32"/>
          <w:sz w:val="20"/>
          <w:szCs w:val="20"/>
        </w:rPr>
        <w:t xml:space="preserve"> </w:t>
      </w:r>
      <w:r>
        <w:rPr>
          <w:b/>
          <w:bCs/>
          <w:spacing w:val="-18"/>
          <w:sz w:val="20"/>
          <w:szCs w:val="20"/>
        </w:rPr>
        <w:t>门</w:t>
      </w:r>
      <w:r>
        <w:rPr>
          <w:spacing w:val="-39"/>
          <w:sz w:val="20"/>
          <w:szCs w:val="20"/>
        </w:rPr>
        <w:t xml:space="preserve"> </w:t>
      </w:r>
      <w:r>
        <w:rPr>
          <w:b/>
          <w:bCs/>
          <w:spacing w:val="-18"/>
          <w:sz w:val="20"/>
          <w:szCs w:val="20"/>
        </w:rPr>
        <w:t>菌</w:t>
      </w:r>
    </w:p>
    <w:p w14:paraId="23850DB1">
      <w:pPr>
        <w:spacing w:before="142" w:line="332" w:lineRule="auto"/>
        <w:ind w:left="689" w:right="29" w:firstLine="429"/>
        <w:jc w:val="both"/>
        <w:rPr>
          <w:rFonts w:ascii="宋体" w:hAnsi="宋体" w:eastAsia="宋体" w:cs="宋体"/>
          <w:sz w:val="20"/>
          <w:szCs w:val="20"/>
        </w:rPr>
      </w:pPr>
      <w:r>
        <w:rPr>
          <w:rFonts w:ascii="宋体" w:hAnsi="宋体" w:eastAsia="宋体" w:cs="宋体"/>
          <w:spacing w:val="13"/>
          <w:sz w:val="20"/>
          <w:szCs w:val="20"/>
        </w:rPr>
        <w:t>沙门菌属</w:t>
      </w:r>
      <w:r>
        <w:rPr>
          <w:rFonts w:ascii="Times New Roman" w:hAnsi="Times New Roman" w:eastAsia="Times New Roman" w:cs="Times New Roman"/>
          <w:spacing w:val="13"/>
          <w:sz w:val="20"/>
          <w:szCs w:val="20"/>
        </w:rPr>
        <w:t>(</w:t>
      </w:r>
      <w:r>
        <w:rPr>
          <w:rFonts w:ascii="Times New Roman" w:hAnsi="Times New Roman" w:eastAsia="Times New Roman" w:cs="Times New Roman"/>
          <w:sz w:val="20"/>
          <w:szCs w:val="20"/>
        </w:rPr>
        <w:t>Salmonella</w:t>
      </w:r>
      <w:r>
        <w:rPr>
          <w:rFonts w:ascii="Times New Roman" w:hAnsi="Times New Roman" w:eastAsia="Times New Roman" w:cs="Times New Roman"/>
          <w:spacing w:val="13"/>
          <w:sz w:val="20"/>
          <w:szCs w:val="20"/>
        </w:rPr>
        <w:t xml:space="preserve">)   </w:t>
      </w:r>
      <w:r>
        <w:rPr>
          <w:rFonts w:ascii="宋体" w:hAnsi="宋体" w:eastAsia="宋体" w:cs="宋体"/>
          <w:spacing w:val="13"/>
          <w:sz w:val="20"/>
          <w:szCs w:val="20"/>
        </w:rPr>
        <w:t>细菌(简称沙门菌)是一大群寄生于人类和动物肠道中、生化反应和抗</w:t>
      </w:r>
      <w:r>
        <w:rPr>
          <w:rFonts w:ascii="宋体" w:hAnsi="宋体" w:eastAsia="宋体" w:cs="宋体"/>
          <w:spacing w:val="3"/>
          <w:sz w:val="20"/>
          <w:szCs w:val="20"/>
        </w:rPr>
        <w:t xml:space="preserve"> </w:t>
      </w:r>
      <w:r>
        <w:rPr>
          <w:rFonts w:ascii="宋体" w:hAnsi="宋体" w:eastAsia="宋体" w:cs="宋体"/>
          <w:spacing w:val="14"/>
          <w:sz w:val="20"/>
          <w:szCs w:val="20"/>
        </w:rPr>
        <w:t>原构造相似的革兰氏阴性杆菌，具有诊断意义的抗原有0、</w:t>
      </w:r>
      <w:r>
        <w:rPr>
          <w:rFonts w:ascii="Times New Roman" w:hAnsi="Times New Roman" w:eastAsia="Times New Roman" w:cs="Times New Roman"/>
          <w:spacing w:val="14"/>
          <w:sz w:val="20"/>
          <w:szCs w:val="20"/>
        </w:rPr>
        <w:t>H</w:t>
      </w:r>
      <w:r>
        <w:rPr>
          <w:rFonts w:ascii="Times New Roman" w:hAnsi="Times New Roman" w:eastAsia="Times New Roman" w:cs="Times New Roman"/>
          <w:spacing w:val="-28"/>
          <w:sz w:val="20"/>
          <w:szCs w:val="20"/>
        </w:rPr>
        <w:t xml:space="preserve"> </w:t>
      </w:r>
      <w:r>
        <w:rPr>
          <w:rFonts w:ascii="宋体" w:hAnsi="宋体" w:eastAsia="宋体" w:cs="宋体"/>
          <w:spacing w:val="14"/>
          <w:sz w:val="20"/>
          <w:szCs w:val="20"/>
        </w:rPr>
        <w:t>、</w:t>
      </w:r>
      <w:r>
        <w:rPr>
          <w:rFonts w:ascii="Times New Roman" w:hAnsi="Times New Roman" w:eastAsia="Times New Roman" w:cs="Times New Roman"/>
          <w:spacing w:val="14"/>
          <w:sz w:val="20"/>
          <w:szCs w:val="20"/>
        </w:rPr>
        <w:t>K</w:t>
      </w:r>
      <w:r>
        <w:rPr>
          <w:rFonts w:ascii="宋体" w:hAnsi="宋体" w:eastAsia="宋体" w:cs="宋体"/>
          <w:spacing w:val="14"/>
          <w:sz w:val="20"/>
          <w:szCs w:val="20"/>
        </w:rPr>
        <w:t>三类，其中至少有67种0抗</w:t>
      </w:r>
      <w:r>
        <w:rPr>
          <w:rFonts w:ascii="宋体" w:hAnsi="宋体" w:eastAsia="宋体" w:cs="宋体"/>
          <w:spacing w:val="13"/>
          <w:sz w:val="20"/>
          <w:szCs w:val="20"/>
        </w:rPr>
        <w:t>原和</w:t>
      </w:r>
      <w:r>
        <w:rPr>
          <w:rFonts w:ascii="宋体" w:hAnsi="宋体" w:eastAsia="宋体" w:cs="宋体"/>
          <w:sz w:val="20"/>
          <w:szCs w:val="20"/>
        </w:rPr>
        <w:t xml:space="preserve"> </w:t>
      </w:r>
      <w:r>
        <w:rPr>
          <w:rFonts w:ascii="宋体" w:hAnsi="宋体" w:eastAsia="宋体" w:cs="宋体"/>
          <w:spacing w:val="15"/>
          <w:sz w:val="20"/>
          <w:szCs w:val="20"/>
        </w:rPr>
        <w:t>2000个以上的血清型，但目前从病人中分离的沙门菌</w:t>
      </w:r>
      <w:r>
        <w:rPr>
          <w:rFonts w:ascii="宋体" w:hAnsi="宋体" w:eastAsia="宋体" w:cs="宋体"/>
          <w:spacing w:val="14"/>
          <w:sz w:val="20"/>
          <w:szCs w:val="20"/>
        </w:rPr>
        <w:t>血清型仅为其中的少数。0抗原为耐热性菌</w:t>
      </w:r>
      <w:r>
        <w:rPr>
          <w:rFonts w:ascii="宋体" w:hAnsi="宋体" w:eastAsia="宋体" w:cs="宋体"/>
          <w:sz w:val="20"/>
          <w:szCs w:val="20"/>
        </w:rPr>
        <w:t xml:space="preserve"> </w:t>
      </w:r>
      <w:r>
        <w:rPr>
          <w:rFonts w:ascii="宋体" w:hAnsi="宋体" w:eastAsia="宋体" w:cs="宋体"/>
          <w:spacing w:val="5"/>
          <w:sz w:val="20"/>
          <w:szCs w:val="20"/>
        </w:rPr>
        <w:t>体抗原，由多糖-磷脂复合物组成；</w:t>
      </w:r>
      <w:r>
        <w:rPr>
          <w:rFonts w:ascii="Times New Roman" w:hAnsi="Times New Roman" w:eastAsia="Times New Roman" w:cs="Times New Roman"/>
          <w:spacing w:val="5"/>
          <w:sz w:val="20"/>
          <w:szCs w:val="20"/>
        </w:rPr>
        <w:t>H</w:t>
      </w:r>
      <w:r>
        <w:rPr>
          <w:rFonts w:ascii="Times New Roman" w:hAnsi="Times New Roman" w:eastAsia="Times New Roman" w:cs="Times New Roman"/>
          <w:spacing w:val="19"/>
          <w:sz w:val="20"/>
          <w:szCs w:val="20"/>
        </w:rPr>
        <w:t xml:space="preserve"> </w:t>
      </w:r>
      <w:r>
        <w:rPr>
          <w:rFonts w:ascii="宋体" w:hAnsi="宋体" w:eastAsia="宋体" w:cs="宋体"/>
          <w:spacing w:val="5"/>
          <w:sz w:val="20"/>
          <w:szCs w:val="20"/>
        </w:rPr>
        <w:t>抗原为不耐热抗原，系鞭毛中</w:t>
      </w:r>
      <w:r>
        <w:rPr>
          <w:rFonts w:ascii="宋体" w:hAnsi="宋体" w:eastAsia="宋体" w:cs="宋体"/>
          <w:spacing w:val="4"/>
          <w:sz w:val="20"/>
          <w:szCs w:val="20"/>
        </w:rPr>
        <w:t>的蛋白质；</w:t>
      </w:r>
      <w:r>
        <w:rPr>
          <w:rFonts w:ascii="Times New Roman" w:hAnsi="Times New Roman" w:eastAsia="Times New Roman" w:cs="Times New Roman"/>
          <w:spacing w:val="4"/>
          <w:sz w:val="20"/>
          <w:szCs w:val="20"/>
        </w:rPr>
        <w:t xml:space="preserve">K </w:t>
      </w:r>
      <w:r>
        <w:rPr>
          <w:rFonts w:ascii="宋体" w:hAnsi="宋体" w:eastAsia="宋体" w:cs="宋体"/>
          <w:spacing w:val="4"/>
          <w:sz w:val="20"/>
          <w:szCs w:val="20"/>
        </w:rPr>
        <w:t>抗原为存在于荚膜</w:t>
      </w:r>
      <w:r>
        <w:rPr>
          <w:rFonts w:ascii="宋体" w:hAnsi="宋体" w:eastAsia="宋体" w:cs="宋体"/>
          <w:sz w:val="20"/>
          <w:szCs w:val="20"/>
        </w:rPr>
        <w:t xml:space="preserve"> </w:t>
      </w:r>
      <w:r>
        <w:rPr>
          <w:rFonts w:ascii="宋体" w:hAnsi="宋体" w:eastAsia="宋体" w:cs="宋体"/>
          <w:spacing w:val="9"/>
          <w:sz w:val="20"/>
          <w:szCs w:val="20"/>
        </w:rPr>
        <w:t>和被膜中的多糖抗原，可分为</w:t>
      </w:r>
      <w:r>
        <w:rPr>
          <w:rFonts w:ascii="Times New Roman" w:hAnsi="Times New Roman" w:eastAsia="Times New Roman" w:cs="Times New Roman"/>
          <w:sz w:val="20"/>
          <w:szCs w:val="20"/>
        </w:rPr>
        <w:t>Vi</w:t>
      </w:r>
      <w:r>
        <w:rPr>
          <w:rFonts w:ascii="Times New Roman" w:hAnsi="Times New Roman" w:eastAsia="Times New Roman" w:cs="Times New Roman"/>
          <w:spacing w:val="9"/>
          <w:sz w:val="20"/>
          <w:szCs w:val="20"/>
        </w:rPr>
        <w:t xml:space="preserve"> </w:t>
      </w:r>
      <w:r>
        <w:rPr>
          <w:rFonts w:ascii="宋体" w:hAnsi="宋体" w:eastAsia="宋体" w:cs="宋体"/>
          <w:spacing w:val="9"/>
          <w:sz w:val="20"/>
          <w:szCs w:val="20"/>
        </w:rPr>
        <w:t>抗原和</w:t>
      </w:r>
      <w:r>
        <w:rPr>
          <w:rFonts w:ascii="Times New Roman" w:hAnsi="Times New Roman" w:eastAsia="Times New Roman" w:cs="Times New Roman"/>
          <w:spacing w:val="9"/>
          <w:sz w:val="20"/>
          <w:szCs w:val="20"/>
        </w:rPr>
        <w:t xml:space="preserve">M </w:t>
      </w:r>
      <w:r>
        <w:rPr>
          <w:rFonts w:ascii="宋体" w:hAnsi="宋体" w:eastAsia="宋体" w:cs="宋体"/>
          <w:spacing w:val="9"/>
          <w:sz w:val="20"/>
          <w:szCs w:val="20"/>
        </w:rPr>
        <w:t>抗</w:t>
      </w:r>
      <w:r>
        <w:rPr>
          <w:rFonts w:ascii="宋体" w:hAnsi="宋体" w:eastAsia="宋体" w:cs="宋体"/>
          <w:spacing w:val="8"/>
          <w:sz w:val="20"/>
          <w:szCs w:val="20"/>
        </w:rPr>
        <w:t>原。在沙门菌中，除伤寒沙门菌</w:t>
      </w:r>
      <w:r>
        <w:rPr>
          <w:rFonts w:ascii="Times New Roman" w:hAnsi="Times New Roman" w:eastAsia="Times New Roman" w:cs="Times New Roman"/>
          <w:spacing w:val="8"/>
          <w:sz w:val="20"/>
          <w:szCs w:val="20"/>
        </w:rPr>
        <w:t>(S.</w:t>
      </w:r>
      <w:r>
        <w:rPr>
          <w:rFonts w:ascii="Times New Roman" w:hAnsi="Times New Roman" w:eastAsia="Times New Roman" w:cs="Times New Roman"/>
          <w:sz w:val="20"/>
          <w:szCs w:val="20"/>
        </w:rPr>
        <w:t>typhi</w:t>
      </w:r>
      <w:r>
        <w:rPr>
          <w:rFonts w:ascii="Times New Roman" w:hAnsi="Times New Roman" w:eastAsia="Times New Roman" w:cs="Times New Roman"/>
          <w:spacing w:val="8"/>
          <w:sz w:val="20"/>
          <w:szCs w:val="20"/>
        </w:rPr>
        <w:t xml:space="preserve">)   </w:t>
      </w:r>
      <w:r>
        <w:rPr>
          <w:rFonts w:ascii="宋体" w:hAnsi="宋体" w:eastAsia="宋体" w:cs="宋体"/>
          <w:spacing w:val="8"/>
          <w:sz w:val="20"/>
          <w:szCs w:val="20"/>
        </w:rPr>
        <w:t>和副伤寒沙</w:t>
      </w:r>
    </w:p>
    <w:p w14:paraId="49BD6BE9">
      <w:pPr>
        <w:spacing w:line="332" w:lineRule="auto"/>
        <w:rPr>
          <w:rFonts w:ascii="宋体" w:hAnsi="宋体" w:eastAsia="宋体" w:cs="宋体"/>
          <w:sz w:val="20"/>
          <w:szCs w:val="20"/>
        </w:rPr>
        <w:sectPr>
          <w:headerReference r:id="rId360" w:type="default"/>
          <w:footerReference r:id="rId361" w:type="default"/>
          <w:pgSz w:w="11900" w:h="16820"/>
          <w:pgMar w:top="400" w:right="1467" w:bottom="859" w:left="770" w:header="0" w:footer="679" w:gutter="0"/>
          <w:cols w:space="720" w:num="1"/>
        </w:sectPr>
      </w:pPr>
    </w:p>
    <w:p w14:paraId="75C835DE">
      <w:pPr>
        <w:pStyle w:val="2"/>
        <w:spacing w:before="216" w:line="222" w:lineRule="auto"/>
        <w:ind w:left="6930"/>
        <w:rPr>
          <w:sz w:val="20"/>
          <w:szCs w:val="20"/>
        </w:rPr>
      </w:pPr>
      <w:r>
        <w:rPr>
          <w:spacing w:val="-21"/>
          <w:w w:val="98"/>
          <w:sz w:val="20"/>
          <w:szCs w:val="20"/>
        </w:rPr>
        <w:t>第二十二章 感染性腹泻</w:t>
      </w:r>
    </w:p>
    <w:p w14:paraId="337F671D">
      <w:pPr>
        <w:spacing w:line="265" w:lineRule="auto"/>
        <w:rPr>
          <w:rFonts w:ascii="Arial"/>
          <w:sz w:val="21"/>
        </w:rPr>
      </w:pPr>
    </w:p>
    <w:p w14:paraId="5E712328">
      <w:pPr>
        <w:spacing w:line="265" w:lineRule="auto"/>
        <w:rPr>
          <w:rFonts w:ascii="Arial"/>
          <w:sz w:val="21"/>
        </w:rPr>
      </w:pPr>
    </w:p>
    <w:p w14:paraId="4DABBF29">
      <w:pPr>
        <w:spacing w:before="65" w:line="332" w:lineRule="auto"/>
        <w:ind w:right="673"/>
        <w:jc w:val="both"/>
        <w:rPr>
          <w:rFonts w:ascii="宋体" w:hAnsi="宋体" w:eastAsia="宋体" w:cs="宋体"/>
          <w:sz w:val="20"/>
          <w:szCs w:val="20"/>
        </w:rPr>
      </w:pPr>
      <w:r>
        <w:rPr>
          <w:rFonts w:ascii="宋体" w:hAnsi="宋体" w:eastAsia="宋体" w:cs="宋体"/>
          <w:spacing w:val="5"/>
          <w:sz w:val="20"/>
          <w:szCs w:val="20"/>
        </w:rPr>
        <w:t>门</w:t>
      </w:r>
      <w:r>
        <w:rPr>
          <w:rFonts w:ascii="宋体" w:hAnsi="宋体" w:eastAsia="宋体" w:cs="宋体"/>
          <w:spacing w:val="-16"/>
          <w:sz w:val="20"/>
          <w:szCs w:val="20"/>
        </w:rPr>
        <w:t xml:space="preserve"> </w:t>
      </w:r>
      <w:r>
        <w:rPr>
          <w:rFonts w:ascii="宋体" w:hAnsi="宋体" w:eastAsia="宋体" w:cs="宋体"/>
          <w:spacing w:val="5"/>
          <w:sz w:val="20"/>
          <w:szCs w:val="20"/>
        </w:rPr>
        <w:t>菌</w:t>
      </w:r>
      <w:r>
        <w:rPr>
          <w:rFonts w:ascii="Times New Roman" w:hAnsi="Times New Roman" w:eastAsia="Times New Roman" w:cs="Times New Roman"/>
          <w:spacing w:val="5"/>
          <w:sz w:val="20"/>
          <w:szCs w:val="20"/>
        </w:rPr>
        <w:t>(S.</w:t>
      </w:r>
      <w:r>
        <w:rPr>
          <w:rFonts w:ascii="Times New Roman" w:hAnsi="Times New Roman" w:eastAsia="Times New Roman" w:cs="Times New Roman"/>
          <w:sz w:val="20"/>
          <w:szCs w:val="20"/>
        </w:rPr>
        <w:t>paratyphi</w:t>
      </w:r>
      <w:r>
        <w:rPr>
          <w:rFonts w:ascii="Times New Roman" w:hAnsi="Times New Roman" w:eastAsia="Times New Roman" w:cs="Times New Roman"/>
          <w:spacing w:val="5"/>
          <w:sz w:val="20"/>
          <w:szCs w:val="20"/>
        </w:rPr>
        <w:t xml:space="preserve">)     </w:t>
      </w:r>
      <w:r>
        <w:rPr>
          <w:rFonts w:ascii="宋体" w:hAnsi="宋体" w:eastAsia="宋体" w:cs="宋体"/>
          <w:spacing w:val="5"/>
          <w:sz w:val="20"/>
          <w:szCs w:val="20"/>
        </w:rPr>
        <w:t>分别引起伤寒和副伤寒(全身系统性疾病),引起腹泻的比例较低外，其</w:t>
      </w:r>
      <w:r>
        <w:rPr>
          <w:rFonts w:ascii="宋体" w:hAnsi="宋体" w:eastAsia="宋体" w:cs="宋体"/>
          <w:spacing w:val="4"/>
          <w:sz w:val="20"/>
          <w:szCs w:val="20"/>
        </w:rPr>
        <w:t>他沙门</w:t>
      </w:r>
      <w:r>
        <w:rPr>
          <w:rFonts w:ascii="宋体" w:hAnsi="宋体" w:eastAsia="宋体" w:cs="宋体"/>
          <w:sz w:val="20"/>
          <w:szCs w:val="20"/>
        </w:rPr>
        <w:t xml:space="preserve"> </w:t>
      </w:r>
      <w:r>
        <w:rPr>
          <w:rFonts w:ascii="宋体" w:hAnsi="宋体" w:eastAsia="宋体" w:cs="宋体"/>
          <w:spacing w:val="10"/>
          <w:sz w:val="20"/>
          <w:szCs w:val="20"/>
        </w:rPr>
        <w:t>菌常会引起感染性腹泻，其中鼠伤寒沙门菌(S.</w:t>
      </w:r>
      <w:r>
        <w:rPr>
          <w:rFonts w:ascii="宋体" w:hAnsi="宋体" w:eastAsia="宋体" w:cs="宋体"/>
          <w:sz w:val="20"/>
          <w:szCs w:val="20"/>
        </w:rPr>
        <w:t>typhimurium</w:t>
      </w:r>
      <w:r>
        <w:rPr>
          <w:rFonts w:ascii="宋体" w:hAnsi="宋体" w:eastAsia="宋体" w:cs="宋体"/>
          <w:spacing w:val="10"/>
          <w:sz w:val="20"/>
          <w:szCs w:val="20"/>
        </w:rPr>
        <w:t>)</w:t>
      </w:r>
      <w:r>
        <w:rPr>
          <w:rFonts w:ascii="宋体" w:hAnsi="宋体" w:eastAsia="宋体" w:cs="宋体"/>
          <w:spacing w:val="-57"/>
          <w:sz w:val="20"/>
          <w:szCs w:val="20"/>
        </w:rPr>
        <w:t xml:space="preserve"> </w:t>
      </w:r>
      <w:r>
        <w:rPr>
          <w:rFonts w:ascii="宋体" w:hAnsi="宋体" w:eastAsia="宋体" w:cs="宋体"/>
          <w:spacing w:val="9"/>
          <w:sz w:val="20"/>
          <w:szCs w:val="20"/>
        </w:rPr>
        <w:t>最常见。我国目前已发现至少37个</w:t>
      </w:r>
      <w:r>
        <w:rPr>
          <w:rFonts w:ascii="宋体" w:hAnsi="宋体" w:eastAsia="宋体" w:cs="宋体"/>
          <w:sz w:val="20"/>
          <w:szCs w:val="20"/>
        </w:rPr>
        <w:t xml:space="preserve"> </w:t>
      </w:r>
      <w:r>
        <w:rPr>
          <w:rFonts w:ascii="宋体" w:hAnsi="宋体" w:eastAsia="宋体" w:cs="宋体"/>
          <w:spacing w:val="11"/>
          <w:sz w:val="20"/>
          <w:szCs w:val="20"/>
        </w:rPr>
        <w:t>0群、285个血清型的沙门菌。</w:t>
      </w:r>
    </w:p>
    <w:p w14:paraId="0074BF17">
      <w:pPr>
        <w:pStyle w:val="2"/>
        <w:spacing w:line="221" w:lineRule="auto"/>
        <w:ind w:left="453"/>
        <w:rPr>
          <w:sz w:val="24"/>
          <w:szCs w:val="24"/>
        </w:rPr>
      </w:pPr>
      <w:bookmarkStart w:id="565" w:name="bookmark603"/>
      <w:bookmarkEnd w:id="565"/>
      <w:r>
        <w:rPr>
          <w:b/>
          <w:bCs/>
          <w:spacing w:val="8"/>
          <w:sz w:val="24"/>
          <w:szCs w:val="24"/>
        </w:rPr>
        <w:t>(四)埃希菌</w:t>
      </w:r>
    </w:p>
    <w:p w14:paraId="310438CA">
      <w:pPr>
        <w:spacing w:before="109" w:line="342" w:lineRule="auto"/>
        <w:ind w:right="652" w:firstLine="450"/>
        <w:jc w:val="both"/>
        <w:rPr>
          <w:rFonts w:ascii="宋体" w:hAnsi="宋体" w:eastAsia="宋体" w:cs="宋体"/>
          <w:sz w:val="20"/>
          <w:szCs w:val="20"/>
        </w:rPr>
      </w:pPr>
      <w:r>
        <w:rPr>
          <w:rFonts w:ascii="宋体" w:hAnsi="宋体" w:eastAsia="宋体" w:cs="宋体"/>
          <w:spacing w:val="10"/>
          <w:sz w:val="20"/>
          <w:szCs w:val="20"/>
        </w:rPr>
        <w:t>埃希菌属</w:t>
      </w:r>
      <w:r>
        <w:rPr>
          <w:rFonts w:ascii="Times New Roman" w:hAnsi="Times New Roman" w:eastAsia="Times New Roman" w:cs="Times New Roman"/>
          <w:spacing w:val="10"/>
          <w:sz w:val="20"/>
          <w:szCs w:val="20"/>
        </w:rPr>
        <w:t>(</w:t>
      </w:r>
      <w:r>
        <w:rPr>
          <w:rFonts w:ascii="Times New Roman" w:hAnsi="Times New Roman" w:eastAsia="Times New Roman" w:cs="Times New Roman"/>
          <w:sz w:val="20"/>
          <w:szCs w:val="20"/>
        </w:rPr>
        <w:t>Escherichia</w:t>
      </w:r>
      <w:r>
        <w:rPr>
          <w:rFonts w:ascii="Times New Roman" w:hAnsi="Times New Roman" w:eastAsia="Times New Roman" w:cs="Times New Roman"/>
          <w:spacing w:val="10"/>
          <w:sz w:val="20"/>
          <w:szCs w:val="20"/>
        </w:rPr>
        <w:t xml:space="preserve">)    </w:t>
      </w:r>
      <w:r>
        <w:rPr>
          <w:rFonts w:ascii="宋体" w:hAnsi="宋体" w:eastAsia="宋体" w:cs="宋体"/>
          <w:spacing w:val="10"/>
          <w:sz w:val="20"/>
          <w:szCs w:val="20"/>
        </w:rPr>
        <w:t>包括7个种，其中大肠埃希菌</w:t>
      </w:r>
      <w:r>
        <w:rPr>
          <w:rFonts w:ascii="Times New Roman" w:hAnsi="Times New Roman" w:eastAsia="Times New Roman" w:cs="Times New Roman"/>
          <w:spacing w:val="10"/>
          <w:sz w:val="20"/>
          <w:szCs w:val="20"/>
        </w:rPr>
        <w:t>(E.</w:t>
      </w:r>
      <w:r>
        <w:rPr>
          <w:rFonts w:ascii="Times New Roman" w:hAnsi="Times New Roman" w:eastAsia="Times New Roman" w:cs="Times New Roman"/>
          <w:sz w:val="20"/>
          <w:szCs w:val="20"/>
        </w:rPr>
        <w:t>coli</w:t>
      </w:r>
      <w:r>
        <w:rPr>
          <w:rFonts w:ascii="Times New Roman" w:hAnsi="Times New Roman" w:eastAsia="Times New Roman" w:cs="Times New Roman"/>
          <w:spacing w:val="10"/>
          <w:sz w:val="20"/>
          <w:szCs w:val="20"/>
        </w:rPr>
        <w:t xml:space="preserve">)    </w:t>
      </w:r>
      <w:r>
        <w:rPr>
          <w:rFonts w:ascii="宋体" w:hAnsi="宋体" w:eastAsia="宋体" w:cs="宋体"/>
          <w:spacing w:val="10"/>
          <w:sz w:val="20"/>
          <w:szCs w:val="20"/>
        </w:rPr>
        <w:t>作为埃希菌属的模式种</w:t>
      </w:r>
      <w:r>
        <w:rPr>
          <w:rFonts w:ascii="Times New Roman" w:hAnsi="Times New Roman" w:eastAsia="Times New Roman" w:cs="Times New Roman"/>
          <w:spacing w:val="10"/>
          <w:sz w:val="20"/>
          <w:szCs w:val="20"/>
        </w:rPr>
        <w:t>(</w:t>
      </w:r>
      <w:r>
        <w:rPr>
          <w:rFonts w:ascii="Times New Roman" w:hAnsi="Times New Roman" w:eastAsia="Times New Roman" w:cs="Times New Roman"/>
          <w:sz w:val="20"/>
          <w:szCs w:val="20"/>
        </w:rPr>
        <w:t>type</w:t>
      </w:r>
      <w:r>
        <w:rPr>
          <w:rFonts w:ascii="Times New Roman" w:hAnsi="Times New Roman" w:eastAsia="Times New Roman" w:cs="Times New Roman"/>
          <w:spacing w:val="4"/>
          <w:sz w:val="20"/>
          <w:szCs w:val="20"/>
        </w:rPr>
        <w:t xml:space="preserve">  </w:t>
      </w:r>
      <w:r>
        <w:rPr>
          <w:rFonts w:ascii="Times New Roman" w:hAnsi="Times New Roman" w:eastAsia="Times New Roman" w:cs="Times New Roman"/>
          <w:sz w:val="20"/>
          <w:szCs w:val="20"/>
        </w:rPr>
        <w:t>species</w:t>
      </w:r>
      <w:r>
        <w:rPr>
          <w:rFonts w:ascii="Times New Roman" w:hAnsi="Times New Roman" w:eastAsia="Times New Roman" w:cs="Times New Roman"/>
          <w:spacing w:val="3"/>
          <w:sz w:val="20"/>
          <w:szCs w:val="20"/>
        </w:rPr>
        <w:t xml:space="preserve">)   </w:t>
      </w:r>
      <w:r>
        <w:rPr>
          <w:rFonts w:ascii="宋体" w:hAnsi="宋体" w:eastAsia="宋体" w:cs="宋体"/>
          <w:spacing w:val="3"/>
          <w:sz w:val="20"/>
          <w:szCs w:val="20"/>
        </w:rPr>
        <w:t>最为重要。大肠埃希菌一般不致病，是人类和动物肠道中的正常菌群，其在婴儿出生后数</w:t>
      </w:r>
      <w:r>
        <w:rPr>
          <w:rFonts w:ascii="宋体" w:hAnsi="宋体" w:eastAsia="宋体" w:cs="宋体"/>
          <w:spacing w:val="14"/>
          <w:sz w:val="20"/>
          <w:szCs w:val="20"/>
        </w:rPr>
        <w:t xml:space="preserve"> </w:t>
      </w:r>
      <w:r>
        <w:rPr>
          <w:rFonts w:ascii="宋体" w:hAnsi="宋体" w:eastAsia="宋体" w:cs="宋体"/>
          <w:spacing w:val="6"/>
          <w:sz w:val="20"/>
          <w:szCs w:val="20"/>
        </w:rPr>
        <w:t>小时即进人肠道，并终身相伴，每克大肠内容物中约含10</w:t>
      </w:r>
      <w:r>
        <w:rPr>
          <w:rFonts w:ascii="Calibri" w:hAnsi="Calibri" w:eastAsia="Calibri" w:cs="Calibri"/>
          <w:spacing w:val="6"/>
          <w:sz w:val="20"/>
          <w:szCs w:val="20"/>
        </w:rPr>
        <w:t>⁶</w:t>
      </w:r>
      <w:r>
        <w:rPr>
          <w:rFonts w:ascii="宋体" w:hAnsi="宋体" w:eastAsia="宋体" w:cs="宋体"/>
          <w:spacing w:val="6"/>
          <w:sz w:val="20"/>
          <w:szCs w:val="20"/>
        </w:rPr>
        <w:t>个大肠埃希菌细</w:t>
      </w:r>
      <w:r>
        <w:rPr>
          <w:rFonts w:ascii="宋体" w:hAnsi="宋体" w:eastAsia="宋体" w:cs="宋体"/>
          <w:spacing w:val="5"/>
          <w:sz w:val="20"/>
          <w:szCs w:val="20"/>
        </w:rPr>
        <w:t>胞。大肠埃希菌主要有</w:t>
      </w:r>
      <w:r>
        <w:rPr>
          <w:rFonts w:ascii="宋体" w:hAnsi="宋体" w:eastAsia="宋体" w:cs="宋体"/>
          <w:sz w:val="20"/>
          <w:szCs w:val="20"/>
        </w:rPr>
        <w:t xml:space="preserve"> </w:t>
      </w:r>
      <w:r>
        <w:rPr>
          <w:rFonts w:ascii="宋体" w:hAnsi="宋体" w:eastAsia="宋体" w:cs="宋体"/>
          <w:spacing w:val="7"/>
          <w:sz w:val="20"/>
          <w:szCs w:val="20"/>
        </w:rPr>
        <w:t>菌体抗原</w:t>
      </w:r>
      <w:r>
        <w:rPr>
          <w:rFonts w:ascii="Times New Roman" w:hAnsi="Times New Roman" w:eastAsia="Times New Roman" w:cs="Times New Roman"/>
          <w:spacing w:val="7"/>
          <w:sz w:val="20"/>
          <w:szCs w:val="20"/>
        </w:rPr>
        <w:t>(O)</w:t>
      </w:r>
      <w:r>
        <w:rPr>
          <w:rFonts w:ascii="Times New Roman" w:hAnsi="Times New Roman" w:eastAsia="Times New Roman" w:cs="Times New Roman"/>
          <w:spacing w:val="-28"/>
          <w:sz w:val="20"/>
          <w:szCs w:val="20"/>
        </w:rPr>
        <w:t xml:space="preserve"> </w:t>
      </w:r>
      <w:r>
        <w:rPr>
          <w:rFonts w:ascii="宋体" w:hAnsi="宋体" w:eastAsia="宋体" w:cs="宋体"/>
          <w:spacing w:val="7"/>
          <w:sz w:val="20"/>
          <w:szCs w:val="20"/>
        </w:rPr>
        <w:t>、鞭毛抗原</w:t>
      </w:r>
      <w:r>
        <w:rPr>
          <w:rFonts w:ascii="Times New Roman" w:hAnsi="Times New Roman" w:eastAsia="Times New Roman" w:cs="Times New Roman"/>
          <w:spacing w:val="7"/>
          <w:sz w:val="20"/>
          <w:szCs w:val="20"/>
        </w:rPr>
        <w:t>(H)</w:t>
      </w:r>
      <w:r>
        <w:rPr>
          <w:rFonts w:ascii="Times New Roman" w:hAnsi="Times New Roman" w:eastAsia="Times New Roman" w:cs="Times New Roman"/>
          <w:spacing w:val="30"/>
          <w:w w:val="101"/>
          <w:sz w:val="20"/>
          <w:szCs w:val="20"/>
        </w:rPr>
        <w:t xml:space="preserve"> </w:t>
      </w:r>
      <w:r>
        <w:rPr>
          <w:rFonts w:ascii="宋体" w:hAnsi="宋体" w:eastAsia="宋体" w:cs="宋体"/>
          <w:spacing w:val="7"/>
          <w:sz w:val="20"/>
          <w:szCs w:val="20"/>
        </w:rPr>
        <w:t>和荚膜抗原</w:t>
      </w:r>
      <w:r>
        <w:rPr>
          <w:rFonts w:ascii="Times New Roman" w:hAnsi="Times New Roman" w:eastAsia="Times New Roman" w:cs="Times New Roman"/>
          <w:spacing w:val="7"/>
          <w:sz w:val="20"/>
          <w:szCs w:val="20"/>
        </w:rPr>
        <w:t>(K)</w:t>
      </w:r>
      <w:r>
        <w:rPr>
          <w:rFonts w:ascii="Times New Roman" w:hAnsi="Times New Roman" w:eastAsia="Times New Roman" w:cs="Times New Roman"/>
          <w:spacing w:val="30"/>
          <w:w w:val="101"/>
          <w:sz w:val="20"/>
          <w:szCs w:val="20"/>
        </w:rPr>
        <w:t xml:space="preserve"> </w:t>
      </w:r>
      <w:r>
        <w:rPr>
          <w:rFonts w:ascii="宋体" w:hAnsi="宋体" w:eastAsia="宋体" w:cs="宋体"/>
          <w:spacing w:val="7"/>
          <w:sz w:val="20"/>
          <w:szCs w:val="20"/>
        </w:rPr>
        <w:t>三种血清分型抗原，其</w:t>
      </w:r>
      <w:r>
        <w:rPr>
          <w:rFonts w:ascii="宋体" w:hAnsi="宋体" w:eastAsia="宋体" w:cs="宋体"/>
          <w:spacing w:val="6"/>
          <w:sz w:val="20"/>
          <w:szCs w:val="20"/>
        </w:rPr>
        <w:t>中0抗原超过170种，</w:t>
      </w:r>
      <w:r>
        <w:rPr>
          <w:rFonts w:ascii="Times New Roman" w:hAnsi="Times New Roman" w:eastAsia="Times New Roman" w:cs="Times New Roman"/>
          <w:spacing w:val="6"/>
          <w:sz w:val="20"/>
          <w:szCs w:val="20"/>
        </w:rPr>
        <w:t xml:space="preserve">H </w:t>
      </w:r>
      <w:r>
        <w:rPr>
          <w:rFonts w:ascii="宋体" w:hAnsi="宋体" w:eastAsia="宋体" w:cs="宋体"/>
          <w:spacing w:val="6"/>
          <w:sz w:val="20"/>
          <w:szCs w:val="20"/>
        </w:rPr>
        <w:t>抗原超</w:t>
      </w:r>
      <w:r>
        <w:rPr>
          <w:rFonts w:ascii="宋体" w:hAnsi="宋体" w:eastAsia="宋体" w:cs="宋体"/>
          <w:sz w:val="20"/>
          <w:szCs w:val="20"/>
        </w:rPr>
        <w:t xml:space="preserve"> </w:t>
      </w:r>
      <w:r>
        <w:rPr>
          <w:rFonts w:ascii="宋体" w:hAnsi="宋体" w:eastAsia="宋体" w:cs="宋体"/>
          <w:spacing w:val="7"/>
          <w:sz w:val="20"/>
          <w:szCs w:val="20"/>
        </w:rPr>
        <w:t>过</w:t>
      </w:r>
      <w:r>
        <w:rPr>
          <w:rFonts w:ascii="宋体" w:hAnsi="宋体" w:eastAsia="宋体" w:cs="宋体"/>
          <w:spacing w:val="-10"/>
          <w:sz w:val="20"/>
          <w:szCs w:val="20"/>
        </w:rPr>
        <w:t xml:space="preserve"> </w:t>
      </w:r>
      <w:r>
        <w:rPr>
          <w:rFonts w:ascii="宋体" w:hAnsi="宋体" w:eastAsia="宋体" w:cs="宋体"/>
          <w:spacing w:val="7"/>
          <w:sz w:val="20"/>
          <w:szCs w:val="20"/>
        </w:rPr>
        <w:t>5</w:t>
      </w:r>
      <w:r>
        <w:rPr>
          <w:rFonts w:ascii="宋体" w:hAnsi="宋体" w:eastAsia="宋体" w:cs="宋体"/>
          <w:spacing w:val="-22"/>
          <w:sz w:val="20"/>
          <w:szCs w:val="20"/>
        </w:rPr>
        <w:t xml:space="preserve"> </w:t>
      </w:r>
      <w:r>
        <w:rPr>
          <w:rFonts w:ascii="宋体" w:hAnsi="宋体" w:eastAsia="宋体" w:cs="宋体"/>
          <w:spacing w:val="7"/>
          <w:sz w:val="20"/>
          <w:szCs w:val="20"/>
        </w:rPr>
        <w:t>6</w:t>
      </w:r>
      <w:r>
        <w:rPr>
          <w:rFonts w:ascii="宋体" w:hAnsi="宋体" w:eastAsia="宋体" w:cs="宋体"/>
          <w:spacing w:val="-24"/>
          <w:sz w:val="20"/>
          <w:szCs w:val="20"/>
        </w:rPr>
        <w:t xml:space="preserve"> </w:t>
      </w:r>
      <w:r>
        <w:rPr>
          <w:rFonts w:ascii="宋体" w:hAnsi="宋体" w:eastAsia="宋体" w:cs="宋体"/>
          <w:spacing w:val="7"/>
          <w:sz w:val="20"/>
          <w:szCs w:val="20"/>
        </w:rPr>
        <w:t>种</w:t>
      </w:r>
      <w:r>
        <w:rPr>
          <w:rFonts w:ascii="宋体" w:hAnsi="宋体" w:eastAsia="宋体" w:cs="宋体"/>
          <w:spacing w:val="-32"/>
          <w:sz w:val="20"/>
          <w:szCs w:val="20"/>
        </w:rPr>
        <w:t xml:space="preserve"> </w:t>
      </w:r>
      <w:r>
        <w:rPr>
          <w:rFonts w:ascii="宋体" w:hAnsi="宋体" w:eastAsia="宋体" w:cs="宋体"/>
          <w:spacing w:val="7"/>
          <w:sz w:val="20"/>
          <w:szCs w:val="20"/>
        </w:rPr>
        <w:t>，</w:t>
      </w:r>
      <w:r>
        <w:rPr>
          <w:rFonts w:ascii="Times New Roman" w:hAnsi="Times New Roman" w:eastAsia="Times New Roman" w:cs="Times New Roman"/>
          <w:spacing w:val="7"/>
          <w:sz w:val="20"/>
          <w:szCs w:val="20"/>
        </w:rPr>
        <w:t xml:space="preserve">K </w:t>
      </w:r>
      <w:r>
        <w:rPr>
          <w:rFonts w:ascii="宋体" w:hAnsi="宋体" w:eastAsia="宋体" w:cs="宋体"/>
          <w:spacing w:val="7"/>
          <w:sz w:val="20"/>
          <w:szCs w:val="20"/>
        </w:rPr>
        <w:t>抗原超过100种。大肠埃希菌的血清分型是按0:</w:t>
      </w:r>
      <w:r>
        <w:rPr>
          <w:rFonts w:ascii="Times New Roman" w:hAnsi="Times New Roman" w:eastAsia="Times New Roman" w:cs="Times New Roman"/>
          <w:spacing w:val="7"/>
          <w:sz w:val="20"/>
          <w:szCs w:val="20"/>
        </w:rPr>
        <w:t>K:H</w:t>
      </w:r>
      <w:r>
        <w:rPr>
          <w:rFonts w:ascii="Times New Roman" w:hAnsi="Times New Roman" w:eastAsia="Times New Roman" w:cs="Times New Roman"/>
          <w:spacing w:val="16"/>
          <w:w w:val="101"/>
          <w:sz w:val="20"/>
          <w:szCs w:val="20"/>
        </w:rPr>
        <w:t xml:space="preserve">   </w:t>
      </w:r>
      <w:r>
        <w:rPr>
          <w:rFonts w:ascii="宋体" w:hAnsi="宋体" w:eastAsia="宋体" w:cs="宋体"/>
          <w:spacing w:val="7"/>
          <w:sz w:val="20"/>
          <w:szCs w:val="20"/>
        </w:rPr>
        <w:t>形式排列，如0</w:t>
      </w:r>
      <w:r>
        <w:rPr>
          <w:rFonts w:ascii="Times New Roman" w:hAnsi="Times New Roman" w:eastAsia="Times New Roman" w:cs="Times New Roman"/>
          <w:spacing w:val="7"/>
          <w:sz w:val="20"/>
          <w:szCs w:val="20"/>
        </w:rPr>
        <w:t>m:K₅:H₂</w:t>
      </w:r>
      <w:r>
        <w:rPr>
          <w:rFonts w:ascii="宋体" w:hAnsi="宋体" w:eastAsia="宋体" w:cs="宋体"/>
          <w:spacing w:val="7"/>
          <w:sz w:val="20"/>
          <w:szCs w:val="20"/>
        </w:rPr>
        <w:t>。</w:t>
      </w:r>
    </w:p>
    <w:p w14:paraId="4EB9BDCC">
      <w:pPr>
        <w:spacing w:before="8" w:line="341" w:lineRule="auto"/>
        <w:ind w:right="630"/>
        <w:jc w:val="both"/>
        <w:rPr>
          <w:rFonts w:ascii="宋体" w:hAnsi="宋体" w:eastAsia="宋体" w:cs="宋体"/>
          <w:sz w:val="20"/>
          <w:szCs w:val="20"/>
        </w:rPr>
      </w:pPr>
      <w:r>
        <w:rPr>
          <w:rFonts w:ascii="宋体" w:hAnsi="宋体" w:eastAsia="宋体" w:cs="宋体"/>
          <w:spacing w:val="8"/>
          <w:sz w:val="20"/>
          <w:szCs w:val="20"/>
        </w:rPr>
        <w:t>常见的致泻大肠埃希菌有：①肠产毒性大肠埃希菌</w:t>
      </w:r>
      <w:r>
        <w:rPr>
          <w:rFonts w:ascii="Times New Roman" w:hAnsi="Times New Roman" w:eastAsia="Times New Roman" w:cs="Times New Roman"/>
          <w:spacing w:val="8"/>
          <w:sz w:val="20"/>
          <w:szCs w:val="20"/>
        </w:rPr>
        <w:t>(</w:t>
      </w:r>
      <w:r>
        <w:rPr>
          <w:rFonts w:ascii="Times New Roman" w:hAnsi="Times New Roman" w:eastAsia="Times New Roman" w:cs="Times New Roman"/>
          <w:sz w:val="20"/>
          <w:szCs w:val="20"/>
        </w:rPr>
        <w:t>enterotoxigenic</w:t>
      </w:r>
      <w:r>
        <w:rPr>
          <w:rFonts w:ascii="Times New Roman" w:hAnsi="Times New Roman" w:eastAsia="Times New Roman" w:cs="Times New Roman"/>
          <w:spacing w:val="7"/>
          <w:sz w:val="20"/>
          <w:szCs w:val="20"/>
        </w:rPr>
        <w:t xml:space="preserve">        </w:t>
      </w:r>
      <w:r>
        <w:rPr>
          <w:rFonts w:ascii="Times New Roman" w:hAnsi="Times New Roman" w:eastAsia="Times New Roman" w:cs="Times New Roman"/>
          <w:sz w:val="20"/>
          <w:szCs w:val="20"/>
        </w:rPr>
        <w:t>E</w:t>
      </w:r>
      <w:r>
        <w:rPr>
          <w:rFonts w:ascii="Times New Roman" w:hAnsi="Times New Roman" w:eastAsia="Times New Roman" w:cs="Times New Roman"/>
          <w:spacing w:val="7"/>
          <w:sz w:val="20"/>
          <w:szCs w:val="20"/>
        </w:rPr>
        <w:t>.</w:t>
      </w:r>
      <w:r>
        <w:rPr>
          <w:rFonts w:ascii="Times New Roman" w:hAnsi="Times New Roman" w:eastAsia="Times New Roman" w:cs="Times New Roman"/>
          <w:sz w:val="20"/>
          <w:szCs w:val="20"/>
        </w:rPr>
        <w:t>coli</w:t>
      </w:r>
      <w:r>
        <w:rPr>
          <w:rFonts w:ascii="Times New Roman" w:hAnsi="Times New Roman" w:eastAsia="Times New Roman" w:cs="Times New Roman"/>
          <w:spacing w:val="7"/>
          <w:sz w:val="20"/>
          <w:szCs w:val="20"/>
        </w:rPr>
        <w:t>,</w:t>
      </w:r>
      <w:r>
        <w:rPr>
          <w:rFonts w:ascii="Times New Roman" w:hAnsi="Times New Roman" w:eastAsia="Times New Roman" w:cs="Times New Roman"/>
          <w:sz w:val="20"/>
          <w:szCs w:val="20"/>
        </w:rPr>
        <w:t>ETEC</w:t>
      </w:r>
      <w:r>
        <w:rPr>
          <w:rFonts w:ascii="Times New Roman" w:hAnsi="Times New Roman" w:eastAsia="Times New Roman" w:cs="Times New Roman"/>
          <w:spacing w:val="7"/>
          <w:sz w:val="20"/>
          <w:szCs w:val="20"/>
        </w:rPr>
        <w:t>),</w:t>
      </w:r>
      <w:r>
        <w:rPr>
          <w:rFonts w:ascii="宋体" w:hAnsi="宋体" w:eastAsia="宋体" w:cs="宋体"/>
          <w:spacing w:val="7"/>
          <w:sz w:val="20"/>
          <w:szCs w:val="20"/>
        </w:rPr>
        <w:t>能分泌耐热肠</w:t>
      </w:r>
      <w:r>
        <w:rPr>
          <w:rFonts w:ascii="宋体" w:hAnsi="宋体" w:eastAsia="宋体" w:cs="宋体"/>
          <w:sz w:val="20"/>
          <w:szCs w:val="20"/>
        </w:rPr>
        <w:t xml:space="preserve"> 毒 素</w:t>
      </w:r>
      <w:r>
        <w:rPr>
          <w:rFonts w:ascii="Times New Roman" w:hAnsi="Times New Roman" w:eastAsia="Times New Roman" w:cs="Times New Roman"/>
          <w:sz w:val="20"/>
          <w:szCs w:val="20"/>
        </w:rPr>
        <w:t>(stable       toxin,ST)</w:t>
      </w:r>
      <w:r>
        <w:rPr>
          <w:rFonts w:ascii="宋体" w:hAnsi="宋体" w:eastAsia="宋体" w:cs="宋体"/>
          <w:sz w:val="20"/>
          <w:szCs w:val="20"/>
        </w:rPr>
        <w:t>、不耐热肠毒素</w:t>
      </w:r>
      <w:r>
        <w:rPr>
          <w:rFonts w:ascii="Times New Roman" w:hAnsi="Times New Roman" w:eastAsia="Times New Roman" w:cs="Times New Roman"/>
          <w:sz w:val="20"/>
          <w:szCs w:val="20"/>
        </w:rPr>
        <w:t>(labile      toxin,LT),</w:t>
      </w:r>
      <w:r>
        <w:rPr>
          <w:rFonts w:ascii="宋体" w:hAnsi="宋体" w:eastAsia="宋体" w:cs="宋体"/>
          <w:spacing w:val="-1"/>
          <w:sz w:val="20"/>
          <w:szCs w:val="20"/>
        </w:rPr>
        <w:t>具有与致病相关的菌毛，是婴幼儿和旅行</w:t>
      </w:r>
      <w:r>
        <w:rPr>
          <w:rFonts w:ascii="宋体" w:hAnsi="宋体" w:eastAsia="宋体" w:cs="宋体"/>
          <w:sz w:val="20"/>
          <w:szCs w:val="20"/>
        </w:rPr>
        <w:t xml:space="preserve"> </w:t>
      </w:r>
      <w:r>
        <w:rPr>
          <w:rFonts w:ascii="宋体" w:hAnsi="宋体" w:eastAsia="宋体" w:cs="宋体"/>
          <w:spacing w:val="5"/>
          <w:sz w:val="20"/>
          <w:szCs w:val="20"/>
        </w:rPr>
        <w:t>者腹泻的重要病原菌，可产生霍乱样腹泻。②肠侵袭性大肠埃希菌</w:t>
      </w:r>
      <w:r>
        <w:rPr>
          <w:rFonts w:ascii="Times New Roman" w:hAnsi="Times New Roman" w:eastAsia="Times New Roman" w:cs="Times New Roman"/>
          <w:spacing w:val="5"/>
          <w:sz w:val="20"/>
          <w:szCs w:val="20"/>
        </w:rPr>
        <w:t>(</w:t>
      </w:r>
      <w:r>
        <w:rPr>
          <w:rFonts w:ascii="Times New Roman" w:hAnsi="Times New Roman" w:eastAsia="Times New Roman" w:cs="Times New Roman"/>
          <w:sz w:val="20"/>
          <w:szCs w:val="20"/>
        </w:rPr>
        <w:t>enteroinvasive</w:t>
      </w:r>
      <w:r>
        <w:rPr>
          <w:rFonts w:ascii="Times New Roman" w:hAnsi="Times New Roman" w:eastAsia="Times New Roman" w:cs="Times New Roman"/>
          <w:spacing w:val="5"/>
          <w:sz w:val="20"/>
          <w:szCs w:val="20"/>
        </w:rPr>
        <w:t xml:space="preserve">        </w:t>
      </w:r>
      <w:r>
        <w:rPr>
          <w:rFonts w:ascii="Times New Roman" w:hAnsi="Times New Roman" w:eastAsia="Times New Roman" w:cs="Times New Roman"/>
          <w:sz w:val="20"/>
          <w:szCs w:val="20"/>
        </w:rPr>
        <w:t>E</w:t>
      </w:r>
      <w:r>
        <w:rPr>
          <w:rFonts w:ascii="Times New Roman" w:hAnsi="Times New Roman" w:eastAsia="Times New Roman" w:cs="Times New Roman"/>
          <w:spacing w:val="5"/>
          <w:sz w:val="20"/>
          <w:szCs w:val="20"/>
        </w:rPr>
        <w:t>.</w:t>
      </w:r>
      <w:r>
        <w:rPr>
          <w:rFonts w:ascii="Times New Roman" w:hAnsi="Times New Roman" w:eastAsia="Times New Roman" w:cs="Times New Roman"/>
          <w:sz w:val="20"/>
          <w:szCs w:val="20"/>
        </w:rPr>
        <w:t>coli</w:t>
      </w:r>
      <w:r>
        <w:rPr>
          <w:rFonts w:ascii="Times New Roman" w:hAnsi="Times New Roman" w:eastAsia="Times New Roman" w:cs="Times New Roman"/>
          <w:spacing w:val="5"/>
          <w:sz w:val="20"/>
          <w:szCs w:val="20"/>
        </w:rPr>
        <w:t>,</w:t>
      </w:r>
      <w:r>
        <w:rPr>
          <w:rFonts w:ascii="Times New Roman" w:hAnsi="Times New Roman" w:eastAsia="Times New Roman" w:cs="Times New Roman"/>
          <w:sz w:val="20"/>
          <w:szCs w:val="20"/>
        </w:rPr>
        <w:t>EIEC</w:t>
      </w:r>
      <w:r>
        <w:rPr>
          <w:rFonts w:ascii="Times New Roman" w:hAnsi="Times New Roman" w:eastAsia="Times New Roman" w:cs="Times New Roman"/>
          <w:spacing w:val="5"/>
          <w:sz w:val="20"/>
          <w:szCs w:val="20"/>
        </w:rPr>
        <w:t>),</w:t>
      </w:r>
      <w:r>
        <w:rPr>
          <w:rFonts w:ascii="Times New Roman" w:hAnsi="Times New Roman" w:eastAsia="Times New Roman" w:cs="Times New Roman"/>
          <w:spacing w:val="13"/>
          <w:sz w:val="20"/>
          <w:szCs w:val="20"/>
        </w:rPr>
        <w:t xml:space="preserve"> </w:t>
      </w:r>
      <w:r>
        <w:rPr>
          <w:rFonts w:ascii="宋体" w:hAnsi="宋体" w:eastAsia="宋体" w:cs="宋体"/>
          <w:spacing w:val="13"/>
          <w:sz w:val="20"/>
          <w:szCs w:val="20"/>
        </w:rPr>
        <w:t>较少见，在毒力和致病机制上与志贺菌一致，可致细菌性痢疾样腹泻。③肠致病性大肠埃希菌</w:t>
      </w:r>
      <w:r>
        <w:rPr>
          <w:rFonts w:ascii="宋体" w:hAnsi="宋体" w:eastAsia="宋体" w:cs="宋体"/>
          <w:spacing w:val="8"/>
          <w:sz w:val="20"/>
          <w:szCs w:val="20"/>
        </w:rPr>
        <w:t xml:space="preserve"> </w:t>
      </w:r>
      <w:r>
        <w:rPr>
          <w:rFonts w:ascii="Times New Roman" w:hAnsi="Times New Roman" w:eastAsia="Times New Roman" w:cs="Times New Roman"/>
          <w:sz w:val="20"/>
          <w:szCs w:val="20"/>
        </w:rPr>
        <w:t xml:space="preserve">(enteropathogenic  </w:t>
      </w:r>
      <w:r>
        <w:rPr>
          <w:rFonts w:ascii="Times New Roman" w:hAnsi="Times New Roman" w:eastAsia="Times New Roman" w:cs="Times New Roman"/>
          <w:spacing w:val="-1"/>
          <w:sz w:val="20"/>
          <w:szCs w:val="20"/>
        </w:rPr>
        <w:t xml:space="preserve">      E.coli,EPEC),</w:t>
      </w:r>
      <w:r>
        <w:rPr>
          <w:rFonts w:ascii="宋体" w:hAnsi="宋体" w:eastAsia="宋体" w:cs="宋体"/>
          <w:spacing w:val="-1"/>
          <w:sz w:val="20"/>
          <w:szCs w:val="20"/>
        </w:rPr>
        <w:t>具有质粒编码的成束菌毛</w:t>
      </w:r>
      <w:r>
        <w:rPr>
          <w:rFonts w:ascii="Times New Roman" w:hAnsi="Times New Roman" w:eastAsia="Times New Roman" w:cs="Times New Roman"/>
          <w:spacing w:val="-1"/>
          <w:sz w:val="20"/>
          <w:szCs w:val="20"/>
        </w:rPr>
        <w:t>(bundle-forming     pilus,BFP)</w:t>
      </w:r>
      <w:r>
        <w:rPr>
          <w:rFonts w:ascii="宋体" w:hAnsi="宋体" w:eastAsia="宋体" w:cs="宋体"/>
          <w:spacing w:val="-1"/>
          <w:sz w:val="20"/>
          <w:szCs w:val="20"/>
        </w:rPr>
        <w:t>、噬菌体编码</w:t>
      </w:r>
      <w:r>
        <w:rPr>
          <w:rFonts w:ascii="宋体" w:hAnsi="宋体" w:eastAsia="宋体" w:cs="宋体"/>
          <w:sz w:val="20"/>
          <w:szCs w:val="20"/>
        </w:rPr>
        <w:t xml:space="preserve"> </w:t>
      </w:r>
      <w:r>
        <w:rPr>
          <w:rFonts w:ascii="宋体" w:hAnsi="宋体" w:eastAsia="宋体" w:cs="宋体"/>
          <w:spacing w:val="7"/>
          <w:sz w:val="20"/>
          <w:szCs w:val="20"/>
        </w:rPr>
        <w:t>的志贺样毒素</w:t>
      </w:r>
      <w:r>
        <w:rPr>
          <w:rFonts w:ascii="Times New Roman" w:hAnsi="Times New Roman" w:eastAsia="Times New Roman" w:cs="Times New Roman"/>
          <w:spacing w:val="7"/>
          <w:sz w:val="20"/>
          <w:szCs w:val="20"/>
        </w:rPr>
        <w:t>(</w:t>
      </w:r>
      <w:r>
        <w:rPr>
          <w:rFonts w:ascii="Times New Roman" w:hAnsi="Times New Roman" w:eastAsia="Times New Roman" w:cs="Times New Roman"/>
          <w:sz w:val="20"/>
          <w:szCs w:val="20"/>
        </w:rPr>
        <w:t>shiga</w:t>
      </w:r>
      <w:r>
        <w:rPr>
          <w:rFonts w:ascii="Times New Roman" w:hAnsi="Times New Roman" w:eastAsia="Times New Roman" w:cs="Times New Roman"/>
          <w:spacing w:val="7"/>
          <w:sz w:val="20"/>
          <w:szCs w:val="20"/>
        </w:rPr>
        <w:t>-</w:t>
      </w:r>
      <w:r>
        <w:rPr>
          <w:rFonts w:ascii="Times New Roman" w:hAnsi="Times New Roman" w:eastAsia="Times New Roman" w:cs="Times New Roman"/>
          <w:sz w:val="20"/>
          <w:szCs w:val="20"/>
        </w:rPr>
        <w:t>like</w:t>
      </w:r>
      <w:r>
        <w:rPr>
          <w:rFonts w:ascii="Times New Roman" w:hAnsi="Times New Roman" w:eastAsia="Times New Roman" w:cs="Times New Roman"/>
          <w:spacing w:val="7"/>
          <w:sz w:val="20"/>
          <w:szCs w:val="20"/>
        </w:rPr>
        <w:t xml:space="preserve">    </w:t>
      </w:r>
      <w:r>
        <w:rPr>
          <w:rFonts w:ascii="Times New Roman" w:hAnsi="Times New Roman" w:eastAsia="Times New Roman" w:cs="Times New Roman"/>
          <w:sz w:val="20"/>
          <w:szCs w:val="20"/>
        </w:rPr>
        <w:t>toxin</w:t>
      </w:r>
      <w:r>
        <w:rPr>
          <w:rFonts w:ascii="Times New Roman" w:hAnsi="Times New Roman" w:eastAsia="Times New Roman" w:cs="Times New Roman"/>
          <w:spacing w:val="7"/>
          <w:sz w:val="20"/>
          <w:szCs w:val="20"/>
        </w:rPr>
        <w:t>,</w:t>
      </w:r>
      <w:r>
        <w:rPr>
          <w:rFonts w:ascii="Times New Roman" w:hAnsi="Times New Roman" w:eastAsia="Times New Roman" w:cs="Times New Roman"/>
          <w:sz w:val="20"/>
          <w:szCs w:val="20"/>
        </w:rPr>
        <w:t>SLT</w:t>
      </w:r>
      <w:r>
        <w:rPr>
          <w:rFonts w:ascii="Times New Roman" w:hAnsi="Times New Roman" w:eastAsia="Times New Roman" w:cs="Times New Roman"/>
          <w:spacing w:val="7"/>
          <w:sz w:val="20"/>
          <w:szCs w:val="20"/>
        </w:rPr>
        <w:t>)</w:t>
      </w:r>
      <w:r>
        <w:rPr>
          <w:rFonts w:ascii="宋体" w:hAnsi="宋体" w:eastAsia="宋体" w:cs="宋体"/>
          <w:spacing w:val="7"/>
          <w:sz w:val="20"/>
          <w:szCs w:val="20"/>
        </w:rPr>
        <w:t>和染色体编码的</w:t>
      </w:r>
      <w:r>
        <w:rPr>
          <w:rFonts w:ascii="Times New Roman" w:hAnsi="Times New Roman" w:eastAsia="Times New Roman" w:cs="Times New Roman"/>
          <w:sz w:val="20"/>
          <w:szCs w:val="20"/>
        </w:rPr>
        <w:t>eae</w:t>
      </w:r>
      <w:r>
        <w:rPr>
          <w:rFonts w:ascii="Times New Roman" w:hAnsi="Times New Roman" w:eastAsia="Times New Roman" w:cs="Times New Roman"/>
          <w:spacing w:val="22"/>
          <w:sz w:val="20"/>
          <w:szCs w:val="20"/>
        </w:rPr>
        <w:t xml:space="preserve"> </w:t>
      </w:r>
      <w:r>
        <w:rPr>
          <w:rFonts w:ascii="宋体" w:hAnsi="宋体" w:eastAsia="宋体" w:cs="宋体"/>
          <w:spacing w:val="7"/>
          <w:sz w:val="20"/>
          <w:szCs w:val="20"/>
        </w:rPr>
        <w:t>基因，具有与肠侵</w:t>
      </w:r>
      <w:r>
        <w:rPr>
          <w:rFonts w:ascii="宋体" w:hAnsi="宋体" w:eastAsia="宋体" w:cs="宋体"/>
          <w:spacing w:val="6"/>
          <w:sz w:val="20"/>
          <w:szCs w:val="20"/>
        </w:rPr>
        <w:t>袭性大肠埃希菌机制不</w:t>
      </w:r>
      <w:r>
        <w:rPr>
          <w:rFonts w:ascii="宋体" w:hAnsi="宋体" w:eastAsia="宋体" w:cs="宋体"/>
          <w:sz w:val="20"/>
          <w:szCs w:val="20"/>
        </w:rPr>
        <w:t xml:space="preserve"> </w:t>
      </w:r>
      <w:r>
        <w:rPr>
          <w:rFonts w:ascii="宋体" w:hAnsi="宋体" w:eastAsia="宋体" w:cs="宋体"/>
          <w:spacing w:val="4"/>
          <w:sz w:val="20"/>
          <w:szCs w:val="20"/>
        </w:rPr>
        <w:t>同的侵袭上皮细胞的能力。④肠出血性大肠埃希菌(</w:t>
      </w:r>
      <w:r>
        <w:rPr>
          <w:rFonts w:ascii="宋体" w:hAnsi="宋体" w:eastAsia="宋体" w:cs="宋体"/>
          <w:sz w:val="20"/>
          <w:szCs w:val="20"/>
        </w:rPr>
        <w:t>enterohemorrhagic</w:t>
      </w:r>
      <w:r>
        <w:rPr>
          <w:rFonts w:ascii="宋体" w:hAnsi="宋体" w:eastAsia="宋体" w:cs="宋体"/>
          <w:spacing w:val="4"/>
          <w:sz w:val="20"/>
          <w:szCs w:val="20"/>
        </w:rPr>
        <w:t xml:space="preserve"> </w:t>
      </w:r>
      <w:r>
        <w:rPr>
          <w:rFonts w:ascii="宋体" w:hAnsi="宋体" w:eastAsia="宋体" w:cs="宋体"/>
          <w:sz w:val="20"/>
          <w:szCs w:val="20"/>
        </w:rPr>
        <w:t>E</w:t>
      </w:r>
      <w:r>
        <w:rPr>
          <w:rFonts w:ascii="宋体" w:hAnsi="宋体" w:eastAsia="宋体" w:cs="宋体"/>
          <w:spacing w:val="4"/>
          <w:sz w:val="20"/>
          <w:szCs w:val="20"/>
        </w:rPr>
        <w:t>.</w:t>
      </w:r>
      <w:r>
        <w:rPr>
          <w:rFonts w:ascii="宋体" w:hAnsi="宋体" w:eastAsia="宋体" w:cs="宋体"/>
          <w:sz w:val="20"/>
          <w:szCs w:val="20"/>
        </w:rPr>
        <w:t>coli</w:t>
      </w:r>
      <w:r>
        <w:rPr>
          <w:rFonts w:ascii="宋体" w:hAnsi="宋体" w:eastAsia="宋体" w:cs="宋体"/>
          <w:spacing w:val="4"/>
          <w:sz w:val="20"/>
          <w:szCs w:val="20"/>
        </w:rPr>
        <w:t>,</w:t>
      </w:r>
      <w:r>
        <w:rPr>
          <w:rFonts w:ascii="宋体" w:hAnsi="宋体" w:eastAsia="宋体" w:cs="宋体"/>
          <w:sz w:val="20"/>
          <w:szCs w:val="20"/>
        </w:rPr>
        <w:t>EHEC</w:t>
      </w:r>
      <w:r>
        <w:rPr>
          <w:rFonts w:ascii="宋体" w:hAnsi="宋体" w:eastAsia="宋体" w:cs="宋体"/>
          <w:spacing w:val="4"/>
          <w:sz w:val="20"/>
          <w:szCs w:val="20"/>
        </w:rPr>
        <w:t>),能引起人出</w:t>
      </w:r>
      <w:r>
        <w:rPr>
          <w:rFonts w:ascii="宋体" w:hAnsi="宋体" w:eastAsia="宋体" w:cs="宋体"/>
          <w:spacing w:val="1"/>
          <w:sz w:val="20"/>
          <w:szCs w:val="20"/>
        </w:rPr>
        <w:t xml:space="preserve"> </w:t>
      </w:r>
      <w:r>
        <w:rPr>
          <w:rFonts w:ascii="宋体" w:hAnsi="宋体" w:eastAsia="宋体" w:cs="宋体"/>
          <w:spacing w:val="4"/>
          <w:sz w:val="20"/>
          <w:szCs w:val="20"/>
        </w:rPr>
        <w:t>血性结肠炎、溶血性尿毒症综合征等，以大肠埃希菌</w:t>
      </w:r>
      <w:r>
        <w:rPr>
          <w:rFonts w:ascii="Times New Roman" w:hAnsi="Times New Roman" w:eastAsia="Times New Roman" w:cs="Times New Roman"/>
          <w:sz w:val="20"/>
          <w:szCs w:val="20"/>
        </w:rPr>
        <w:t>Os</w:t>
      </w:r>
      <w:r>
        <w:rPr>
          <w:rFonts w:ascii="Times New Roman" w:hAnsi="Times New Roman" w:eastAsia="Times New Roman" w:cs="Times New Roman"/>
          <w:spacing w:val="4"/>
          <w:sz w:val="20"/>
          <w:szCs w:val="20"/>
        </w:rPr>
        <w:t xml:space="preserve">₇:H₇    </w:t>
      </w:r>
      <w:r>
        <w:rPr>
          <w:rFonts w:ascii="宋体" w:hAnsi="宋体" w:eastAsia="宋体" w:cs="宋体"/>
          <w:spacing w:val="4"/>
          <w:sz w:val="20"/>
          <w:szCs w:val="20"/>
        </w:rPr>
        <w:t>血清型菌株为主。⑤肠集聚性大肠埃</w:t>
      </w:r>
      <w:r>
        <w:rPr>
          <w:rFonts w:ascii="宋体" w:hAnsi="宋体" w:eastAsia="宋体" w:cs="宋体"/>
          <w:spacing w:val="8"/>
          <w:sz w:val="20"/>
          <w:szCs w:val="20"/>
        </w:rPr>
        <w:t xml:space="preserve"> </w:t>
      </w:r>
      <w:r>
        <w:rPr>
          <w:rFonts w:ascii="宋体" w:hAnsi="宋体" w:eastAsia="宋体" w:cs="宋体"/>
          <w:spacing w:val="-2"/>
          <w:sz w:val="20"/>
          <w:szCs w:val="20"/>
        </w:rPr>
        <w:t>希 菌</w:t>
      </w:r>
      <w:r>
        <w:rPr>
          <w:rFonts w:ascii="Times New Roman" w:hAnsi="Times New Roman" w:eastAsia="Times New Roman" w:cs="Times New Roman"/>
          <w:spacing w:val="-2"/>
          <w:sz w:val="20"/>
          <w:szCs w:val="20"/>
        </w:rPr>
        <w:t>(enteroaggregative   E.coli,EAEC),</w:t>
      </w:r>
      <w:r>
        <w:rPr>
          <w:rFonts w:ascii="宋体" w:hAnsi="宋体" w:eastAsia="宋体" w:cs="宋体"/>
          <w:spacing w:val="-2"/>
          <w:sz w:val="20"/>
          <w:szCs w:val="20"/>
        </w:rPr>
        <w:t>可</w:t>
      </w:r>
      <w:r>
        <w:rPr>
          <w:rFonts w:ascii="宋体" w:hAnsi="宋体" w:eastAsia="宋体" w:cs="宋体"/>
          <w:spacing w:val="-3"/>
          <w:sz w:val="20"/>
          <w:szCs w:val="20"/>
        </w:rPr>
        <w:t>在黏附于肠黏膜时呈聚合状，释放耐热、不耐热肠毒素和</w:t>
      </w:r>
      <w:r>
        <w:rPr>
          <w:rFonts w:ascii="Times New Roman" w:hAnsi="Times New Roman" w:eastAsia="Times New Roman" w:cs="Times New Roman"/>
          <w:spacing w:val="-3"/>
          <w:sz w:val="20"/>
          <w:szCs w:val="20"/>
        </w:rPr>
        <w:t>Vero</w:t>
      </w:r>
      <w:r>
        <w:rPr>
          <w:rFonts w:ascii="Times New Roman" w:hAnsi="Times New Roman" w:eastAsia="Times New Roman" w:cs="Times New Roman"/>
          <w:sz w:val="20"/>
          <w:szCs w:val="20"/>
        </w:rPr>
        <w:t xml:space="preserve"> </w:t>
      </w:r>
      <w:r>
        <w:rPr>
          <w:rFonts w:ascii="宋体" w:hAnsi="宋体" w:eastAsia="宋体" w:cs="宋体"/>
          <w:spacing w:val="4"/>
          <w:sz w:val="20"/>
          <w:szCs w:val="20"/>
        </w:rPr>
        <w:t>毒素，是儿童持续性腹泻的重要病原。近年来还不断有其他大肠埃</w:t>
      </w:r>
      <w:r>
        <w:rPr>
          <w:rFonts w:ascii="宋体" w:hAnsi="宋体" w:eastAsia="宋体" w:cs="宋体"/>
          <w:spacing w:val="3"/>
          <w:sz w:val="20"/>
          <w:szCs w:val="20"/>
        </w:rPr>
        <w:t>希菌可以引起肠道感染的报道。</w:t>
      </w:r>
    </w:p>
    <w:p w14:paraId="396C5B05">
      <w:pPr>
        <w:pStyle w:val="2"/>
        <w:spacing w:line="223" w:lineRule="auto"/>
        <w:ind w:left="453"/>
        <w:rPr>
          <w:sz w:val="24"/>
          <w:szCs w:val="24"/>
        </w:rPr>
      </w:pPr>
      <w:r>
        <w:rPr>
          <w:b/>
          <w:bCs/>
          <w:sz w:val="24"/>
          <w:szCs w:val="24"/>
        </w:rPr>
        <w:t>(五)弯曲菌</w:t>
      </w:r>
    </w:p>
    <w:p w14:paraId="5F6BC678">
      <w:pPr>
        <w:spacing w:before="119" w:line="336" w:lineRule="auto"/>
        <w:ind w:right="627" w:firstLine="450"/>
        <w:jc w:val="both"/>
        <w:rPr>
          <w:rFonts w:ascii="宋体" w:hAnsi="宋体" w:eastAsia="宋体" w:cs="宋体"/>
          <w:sz w:val="20"/>
          <w:szCs w:val="20"/>
        </w:rPr>
      </w:pPr>
      <w:r>
        <w:rPr>
          <w:rFonts w:ascii="宋体" w:hAnsi="宋体" w:eastAsia="宋体" w:cs="宋体"/>
          <w:spacing w:val="3"/>
          <w:sz w:val="20"/>
          <w:szCs w:val="20"/>
        </w:rPr>
        <w:t>弯曲菌属</w:t>
      </w:r>
      <w:r>
        <w:rPr>
          <w:rFonts w:ascii="Times New Roman" w:hAnsi="Times New Roman" w:eastAsia="Times New Roman" w:cs="Times New Roman"/>
          <w:spacing w:val="3"/>
          <w:sz w:val="20"/>
          <w:szCs w:val="20"/>
        </w:rPr>
        <w:t>(</w:t>
      </w:r>
      <w:r>
        <w:rPr>
          <w:rFonts w:ascii="Times New Roman" w:hAnsi="Times New Roman" w:eastAsia="Times New Roman" w:cs="Times New Roman"/>
          <w:sz w:val="20"/>
          <w:szCs w:val="20"/>
        </w:rPr>
        <w:t>Campylobacter</w:t>
      </w:r>
      <w:r>
        <w:rPr>
          <w:rFonts w:ascii="Times New Roman" w:hAnsi="Times New Roman" w:eastAsia="Times New Roman" w:cs="Times New Roman"/>
          <w:spacing w:val="3"/>
          <w:sz w:val="20"/>
          <w:szCs w:val="20"/>
        </w:rPr>
        <w:t>)</w:t>
      </w:r>
      <w:r>
        <w:rPr>
          <w:rFonts w:ascii="Times New Roman" w:hAnsi="Times New Roman" w:eastAsia="Times New Roman" w:cs="Times New Roman"/>
          <w:spacing w:val="14"/>
          <w:w w:val="101"/>
          <w:sz w:val="20"/>
          <w:szCs w:val="20"/>
        </w:rPr>
        <w:t xml:space="preserve"> </w:t>
      </w:r>
      <w:r>
        <w:rPr>
          <w:rFonts w:ascii="宋体" w:hAnsi="宋体" w:eastAsia="宋体" w:cs="宋体"/>
          <w:spacing w:val="3"/>
          <w:sz w:val="20"/>
          <w:szCs w:val="20"/>
        </w:rPr>
        <w:t>是一类呈逗点状或</w:t>
      </w:r>
      <w:r>
        <w:rPr>
          <w:rFonts w:ascii="Times New Roman" w:hAnsi="Times New Roman" w:eastAsia="Times New Roman" w:cs="Times New Roman"/>
          <w:spacing w:val="3"/>
          <w:sz w:val="20"/>
          <w:szCs w:val="20"/>
        </w:rPr>
        <w:t xml:space="preserve">S </w:t>
      </w:r>
      <w:r>
        <w:rPr>
          <w:rFonts w:ascii="宋体" w:hAnsi="宋体" w:eastAsia="宋体" w:cs="宋体"/>
          <w:spacing w:val="3"/>
          <w:sz w:val="20"/>
          <w:szCs w:val="20"/>
        </w:rPr>
        <w:t>形的革兰氏阴性菌，广泛分布于</w:t>
      </w:r>
      <w:r>
        <w:rPr>
          <w:rFonts w:ascii="宋体" w:hAnsi="宋体" w:eastAsia="宋体" w:cs="宋体"/>
          <w:spacing w:val="2"/>
          <w:sz w:val="20"/>
          <w:szCs w:val="20"/>
        </w:rPr>
        <w:t>动物界，1977年</w:t>
      </w:r>
      <w:r>
        <w:rPr>
          <w:rFonts w:ascii="宋体" w:hAnsi="宋体" w:eastAsia="宋体" w:cs="宋体"/>
          <w:sz w:val="20"/>
          <w:szCs w:val="20"/>
        </w:rPr>
        <w:t xml:space="preserve"> </w:t>
      </w:r>
      <w:r>
        <w:rPr>
          <w:rFonts w:ascii="宋体" w:hAnsi="宋体" w:eastAsia="宋体" w:cs="宋体"/>
          <w:spacing w:val="4"/>
          <w:sz w:val="20"/>
          <w:szCs w:val="20"/>
        </w:rPr>
        <w:t>被证实能引起人类感染性腹泻，主要包括空肠弯曲菌(C.</w:t>
      </w:r>
      <w:r>
        <w:rPr>
          <w:rFonts w:ascii="宋体" w:hAnsi="宋体" w:eastAsia="宋体" w:cs="宋体"/>
          <w:sz w:val="20"/>
          <w:szCs w:val="20"/>
        </w:rPr>
        <w:t>jejuni</w:t>
      </w:r>
      <w:r>
        <w:rPr>
          <w:rFonts w:ascii="宋体" w:hAnsi="宋体" w:eastAsia="宋体" w:cs="宋体"/>
          <w:spacing w:val="3"/>
          <w:sz w:val="20"/>
          <w:szCs w:val="20"/>
        </w:rPr>
        <w:t>)和结肠弯曲菌(C.</w:t>
      </w:r>
      <w:r>
        <w:rPr>
          <w:rFonts w:ascii="宋体" w:hAnsi="宋体" w:eastAsia="宋体" w:cs="宋体"/>
          <w:sz w:val="20"/>
          <w:szCs w:val="20"/>
        </w:rPr>
        <w:t>coli</w:t>
      </w:r>
      <w:r>
        <w:rPr>
          <w:rFonts w:ascii="宋体" w:hAnsi="宋体" w:eastAsia="宋体" w:cs="宋体"/>
          <w:spacing w:val="3"/>
          <w:sz w:val="20"/>
          <w:szCs w:val="20"/>
        </w:rPr>
        <w:t>)。空肠弯曲</w:t>
      </w:r>
      <w:r>
        <w:rPr>
          <w:rFonts w:ascii="宋体" w:hAnsi="宋体" w:eastAsia="宋体" w:cs="宋体"/>
          <w:sz w:val="20"/>
          <w:szCs w:val="20"/>
        </w:rPr>
        <w:t xml:space="preserve"> </w:t>
      </w:r>
      <w:r>
        <w:rPr>
          <w:rFonts w:ascii="宋体" w:hAnsi="宋体" w:eastAsia="宋体" w:cs="宋体"/>
          <w:spacing w:val="9"/>
          <w:sz w:val="20"/>
          <w:szCs w:val="20"/>
        </w:rPr>
        <w:t>菌可以产生一种与大肠埃希菌不耐热肠毒素和霍乱弧菌霍乱毒</w:t>
      </w:r>
      <w:r>
        <w:rPr>
          <w:rFonts w:ascii="宋体" w:hAnsi="宋体" w:eastAsia="宋体" w:cs="宋体"/>
          <w:spacing w:val="8"/>
          <w:sz w:val="20"/>
          <w:szCs w:val="20"/>
        </w:rPr>
        <w:t>素相类似的不耐热肠毒素，主要引</w:t>
      </w:r>
      <w:r>
        <w:rPr>
          <w:rFonts w:ascii="宋体" w:hAnsi="宋体" w:eastAsia="宋体" w:cs="宋体"/>
          <w:sz w:val="20"/>
          <w:szCs w:val="20"/>
        </w:rPr>
        <w:t xml:space="preserve"> </w:t>
      </w:r>
      <w:r>
        <w:rPr>
          <w:rFonts w:ascii="宋体" w:hAnsi="宋体" w:eastAsia="宋体" w:cs="宋体"/>
          <w:spacing w:val="3"/>
          <w:sz w:val="20"/>
          <w:szCs w:val="20"/>
        </w:rPr>
        <w:t>起婴幼儿急性肠炎，可造成暴发、流行或集体食物中毒。其在国内许多地区的感染率仅次于志贺菌</w:t>
      </w:r>
      <w:r>
        <w:rPr>
          <w:rFonts w:ascii="宋体" w:hAnsi="宋体" w:eastAsia="宋体" w:cs="宋体"/>
          <w:spacing w:val="12"/>
          <w:sz w:val="20"/>
          <w:szCs w:val="20"/>
        </w:rPr>
        <w:t xml:space="preserve"> </w:t>
      </w:r>
      <w:r>
        <w:rPr>
          <w:rFonts w:ascii="宋体" w:hAnsi="宋体" w:eastAsia="宋体" w:cs="宋体"/>
          <w:spacing w:val="11"/>
          <w:sz w:val="20"/>
          <w:szCs w:val="20"/>
        </w:rPr>
        <w:t>和致泻性大肠埃希菌。</w:t>
      </w:r>
    </w:p>
    <w:p w14:paraId="2C48EC27">
      <w:pPr>
        <w:pStyle w:val="2"/>
        <w:spacing w:line="222" w:lineRule="auto"/>
        <w:ind w:left="453"/>
        <w:rPr>
          <w:sz w:val="24"/>
          <w:szCs w:val="24"/>
        </w:rPr>
      </w:pPr>
      <w:r>
        <w:rPr>
          <w:b/>
          <w:bCs/>
          <w:spacing w:val="-5"/>
          <w:sz w:val="24"/>
          <w:szCs w:val="24"/>
        </w:rPr>
        <w:t>(六)轮状病毒</w:t>
      </w:r>
    </w:p>
    <w:p w14:paraId="6E91E3D7">
      <w:pPr>
        <w:spacing w:before="112" w:line="334" w:lineRule="auto"/>
        <w:ind w:right="651" w:firstLine="450"/>
        <w:jc w:val="both"/>
        <w:rPr>
          <w:rFonts w:ascii="宋体" w:hAnsi="宋体" w:eastAsia="宋体" w:cs="宋体"/>
          <w:sz w:val="20"/>
          <w:szCs w:val="20"/>
        </w:rPr>
      </w:pPr>
      <w:r>
        <w:rPr>
          <w:rFonts w:ascii="宋体" w:hAnsi="宋体" w:eastAsia="宋体" w:cs="宋体"/>
          <w:spacing w:val="8"/>
          <w:sz w:val="20"/>
          <w:szCs w:val="20"/>
        </w:rPr>
        <w:t>人类轮状病毒</w:t>
      </w:r>
      <w:r>
        <w:rPr>
          <w:rFonts w:ascii="Times New Roman" w:hAnsi="Times New Roman" w:eastAsia="Times New Roman" w:cs="Times New Roman"/>
          <w:spacing w:val="8"/>
          <w:sz w:val="20"/>
          <w:szCs w:val="20"/>
        </w:rPr>
        <w:t>(</w:t>
      </w:r>
      <w:r>
        <w:rPr>
          <w:rFonts w:ascii="Times New Roman" w:hAnsi="Times New Roman" w:eastAsia="Times New Roman" w:cs="Times New Roman"/>
          <w:sz w:val="20"/>
          <w:szCs w:val="20"/>
        </w:rPr>
        <w:t>human</w:t>
      </w:r>
      <w:r>
        <w:rPr>
          <w:rFonts w:ascii="Times New Roman" w:hAnsi="Times New Roman" w:eastAsia="Times New Roman" w:cs="Times New Roman"/>
          <w:spacing w:val="8"/>
          <w:sz w:val="20"/>
          <w:szCs w:val="20"/>
        </w:rPr>
        <w:t xml:space="preserve">      </w:t>
      </w:r>
      <w:r>
        <w:rPr>
          <w:rFonts w:ascii="Times New Roman" w:hAnsi="Times New Roman" w:eastAsia="Times New Roman" w:cs="Times New Roman"/>
          <w:sz w:val="20"/>
          <w:szCs w:val="20"/>
        </w:rPr>
        <w:t>rotavirus</w:t>
      </w:r>
      <w:r>
        <w:rPr>
          <w:rFonts w:ascii="Times New Roman" w:hAnsi="Times New Roman" w:eastAsia="Times New Roman" w:cs="Times New Roman"/>
          <w:spacing w:val="8"/>
          <w:sz w:val="20"/>
          <w:szCs w:val="20"/>
        </w:rPr>
        <w:t>,</w:t>
      </w:r>
      <w:r>
        <w:rPr>
          <w:rFonts w:ascii="Times New Roman" w:hAnsi="Times New Roman" w:eastAsia="Times New Roman" w:cs="Times New Roman"/>
          <w:sz w:val="20"/>
          <w:szCs w:val="20"/>
        </w:rPr>
        <w:t>HRV</w:t>
      </w:r>
      <w:r>
        <w:rPr>
          <w:rFonts w:ascii="Times New Roman" w:hAnsi="Times New Roman" w:eastAsia="Times New Roman" w:cs="Times New Roman"/>
          <w:spacing w:val="8"/>
          <w:sz w:val="20"/>
          <w:szCs w:val="20"/>
        </w:rPr>
        <w:t>)</w:t>
      </w:r>
      <w:r>
        <w:rPr>
          <w:rFonts w:ascii="宋体" w:hAnsi="宋体" w:eastAsia="宋体" w:cs="宋体"/>
          <w:spacing w:val="8"/>
          <w:sz w:val="20"/>
          <w:szCs w:val="20"/>
        </w:rPr>
        <w:t>为呼肠孤病毒科一个属，1973年被发现。目前已知轮</w:t>
      </w:r>
      <w:r>
        <w:rPr>
          <w:rFonts w:ascii="宋体" w:hAnsi="宋体" w:eastAsia="宋体" w:cs="宋体"/>
          <w:spacing w:val="6"/>
          <w:sz w:val="20"/>
          <w:szCs w:val="20"/>
        </w:rPr>
        <w:t xml:space="preserve"> </w:t>
      </w:r>
      <w:r>
        <w:rPr>
          <w:rFonts w:ascii="宋体" w:hAnsi="宋体" w:eastAsia="宋体" w:cs="宋体"/>
          <w:spacing w:val="7"/>
          <w:sz w:val="20"/>
          <w:szCs w:val="20"/>
        </w:rPr>
        <w:t>状病毒可分为7个组</w:t>
      </w:r>
      <w:r>
        <w:rPr>
          <w:rFonts w:ascii="Times New Roman" w:hAnsi="Times New Roman" w:eastAsia="Times New Roman" w:cs="Times New Roman"/>
          <w:spacing w:val="7"/>
          <w:sz w:val="20"/>
          <w:szCs w:val="20"/>
        </w:rPr>
        <w:t>(A</w:t>
      </w:r>
      <w:r>
        <w:rPr>
          <w:rFonts w:ascii="宋体" w:hAnsi="宋体" w:eastAsia="宋体" w:cs="宋体"/>
          <w:spacing w:val="7"/>
          <w:sz w:val="20"/>
          <w:szCs w:val="20"/>
        </w:rPr>
        <w:t>～</w:t>
      </w:r>
      <w:r>
        <w:rPr>
          <w:rFonts w:ascii="Times New Roman" w:hAnsi="Times New Roman" w:eastAsia="Times New Roman" w:cs="Times New Roman"/>
          <w:spacing w:val="7"/>
          <w:sz w:val="20"/>
          <w:szCs w:val="20"/>
        </w:rPr>
        <w:t>G),</w:t>
      </w:r>
      <w:r>
        <w:rPr>
          <w:rFonts w:ascii="Times New Roman" w:hAnsi="Times New Roman" w:eastAsia="Times New Roman" w:cs="Times New Roman"/>
          <w:spacing w:val="27"/>
          <w:w w:val="101"/>
          <w:sz w:val="20"/>
          <w:szCs w:val="20"/>
        </w:rPr>
        <w:t xml:space="preserve">  </w:t>
      </w:r>
      <w:r>
        <w:rPr>
          <w:rFonts w:ascii="宋体" w:hAnsi="宋体" w:eastAsia="宋体" w:cs="宋体"/>
          <w:spacing w:val="7"/>
          <w:sz w:val="20"/>
          <w:szCs w:val="20"/>
        </w:rPr>
        <w:t>其 中</w:t>
      </w:r>
      <w:r>
        <w:rPr>
          <w:rFonts w:ascii="Times New Roman" w:hAnsi="Times New Roman" w:eastAsia="Times New Roman" w:cs="Times New Roman"/>
          <w:spacing w:val="7"/>
          <w:sz w:val="20"/>
          <w:szCs w:val="20"/>
        </w:rPr>
        <w:t>A</w:t>
      </w:r>
      <w:r>
        <w:rPr>
          <w:rFonts w:ascii="宋体" w:hAnsi="宋体" w:eastAsia="宋体" w:cs="宋体"/>
          <w:spacing w:val="7"/>
          <w:sz w:val="20"/>
          <w:szCs w:val="20"/>
        </w:rPr>
        <w:t>～</w:t>
      </w:r>
      <w:r>
        <w:rPr>
          <w:rFonts w:ascii="Times New Roman" w:hAnsi="Times New Roman" w:eastAsia="Times New Roman" w:cs="Times New Roman"/>
          <w:spacing w:val="7"/>
          <w:sz w:val="20"/>
          <w:szCs w:val="20"/>
        </w:rPr>
        <w:t xml:space="preserve">C </w:t>
      </w:r>
      <w:r>
        <w:rPr>
          <w:rFonts w:ascii="宋体" w:hAnsi="宋体" w:eastAsia="宋体" w:cs="宋体"/>
          <w:spacing w:val="7"/>
          <w:sz w:val="20"/>
          <w:szCs w:val="20"/>
        </w:rPr>
        <w:t>组轮状病毒能引起人类和动物腹泻。</w:t>
      </w:r>
      <w:r>
        <w:rPr>
          <w:rFonts w:ascii="宋体" w:hAnsi="宋体" w:eastAsia="宋体" w:cs="宋体"/>
          <w:spacing w:val="-40"/>
          <w:sz w:val="20"/>
          <w:szCs w:val="20"/>
        </w:rPr>
        <w:t xml:space="preserve"> </w:t>
      </w:r>
      <w:r>
        <w:rPr>
          <w:rFonts w:ascii="Times New Roman" w:hAnsi="Times New Roman" w:eastAsia="Times New Roman" w:cs="Times New Roman"/>
          <w:spacing w:val="7"/>
          <w:sz w:val="20"/>
          <w:szCs w:val="20"/>
        </w:rPr>
        <w:t xml:space="preserve">A </w:t>
      </w:r>
      <w:r>
        <w:rPr>
          <w:rFonts w:ascii="宋体" w:hAnsi="宋体" w:eastAsia="宋体" w:cs="宋体"/>
          <w:spacing w:val="7"/>
          <w:sz w:val="20"/>
          <w:szCs w:val="20"/>
        </w:rPr>
        <w:t>组轮状病毒最为</w:t>
      </w:r>
      <w:r>
        <w:rPr>
          <w:rFonts w:ascii="宋体" w:hAnsi="宋体" w:eastAsia="宋体" w:cs="宋体"/>
          <w:sz w:val="20"/>
          <w:szCs w:val="20"/>
        </w:rPr>
        <w:t xml:space="preserve"> </w:t>
      </w:r>
      <w:r>
        <w:rPr>
          <w:rFonts w:ascii="宋体" w:hAnsi="宋体" w:eastAsia="宋体" w:cs="宋体"/>
          <w:spacing w:val="3"/>
          <w:sz w:val="20"/>
          <w:szCs w:val="20"/>
        </w:rPr>
        <w:t>常见，是引起婴幼儿急性胃肠炎的主要病原体，也称婴儿腹泻轮状病毒，在发</w:t>
      </w:r>
      <w:r>
        <w:rPr>
          <w:rFonts w:ascii="宋体" w:hAnsi="宋体" w:eastAsia="宋体" w:cs="宋体"/>
          <w:spacing w:val="2"/>
          <w:sz w:val="20"/>
          <w:szCs w:val="20"/>
        </w:rPr>
        <w:t>展中国家是导致婴幼</w:t>
      </w:r>
      <w:r>
        <w:rPr>
          <w:rFonts w:ascii="宋体" w:hAnsi="宋体" w:eastAsia="宋体" w:cs="宋体"/>
          <w:sz w:val="20"/>
          <w:szCs w:val="20"/>
        </w:rPr>
        <w:t xml:space="preserve"> </w:t>
      </w:r>
      <w:r>
        <w:rPr>
          <w:rFonts w:ascii="宋体" w:hAnsi="宋体" w:eastAsia="宋体" w:cs="宋体"/>
          <w:spacing w:val="8"/>
          <w:sz w:val="20"/>
          <w:szCs w:val="20"/>
        </w:rPr>
        <w:t>儿死亡的主要死因之一。据</w:t>
      </w:r>
      <w:r>
        <w:rPr>
          <w:rFonts w:ascii="宋体" w:hAnsi="宋体" w:eastAsia="宋体" w:cs="宋体"/>
          <w:sz w:val="20"/>
          <w:szCs w:val="20"/>
        </w:rPr>
        <w:t>WHO</w:t>
      </w:r>
      <w:r>
        <w:rPr>
          <w:rFonts w:ascii="宋体" w:hAnsi="宋体" w:eastAsia="宋体" w:cs="宋体"/>
          <w:spacing w:val="8"/>
          <w:sz w:val="20"/>
          <w:szCs w:val="20"/>
        </w:rPr>
        <w:t xml:space="preserve">  估计，全世界每年有1.3亿婴幼</w:t>
      </w:r>
      <w:r>
        <w:rPr>
          <w:rFonts w:ascii="宋体" w:hAnsi="宋体" w:eastAsia="宋体" w:cs="宋体"/>
          <w:spacing w:val="7"/>
          <w:sz w:val="20"/>
          <w:szCs w:val="20"/>
        </w:rPr>
        <w:t>儿患轮状病毒腹泻，造成87万人</w:t>
      </w:r>
      <w:r>
        <w:rPr>
          <w:rFonts w:ascii="宋体" w:hAnsi="宋体" w:eastAsia="宋体" w:cs="宋体"/>
          <w:sz w:val="20"/>
          <w:szCs w:val="20"/>
        </w:rPr>
        <w:t xml:space="preserve"> </w:t>
      </w:r>
      <w:r>
        <w:rPr>
          <w:rFonts w:ascii="宋体" w:hAnsi="宋体" w:eastAsia="宋体" w:cs="宋体"/>
          <w:spacing w:val="3"/>
          <w:sz w:val="20"/>
          <w:szCs w:val="20"/>
        </w:rPr>
        <w:t>死</w:t>
      </w:r>
      <w:r>
        <w:rPr>
          <w:rFonts w:ascii="宋体" w:hAnsi="宋体" w:eastAsia="宋体" w:cs="宋体"/>
          <w:spacing w:val="-25"/>
          <w:sz w:val="20"/>
          <w:szCs w:val="20"/>
        </w:rPr>
        <w:t xml:space="preserve"> </w:t>
      </w:r>
      <w:r>
        <w:rPr>
          <w:rFonts w:ascii="宋体" w:hAnsi="宋体" w:eastAsia="宋体" w:cs="宋体"/>
          <w:spacing w:val="3"/>
          <w:sz w:val="20"/>
          <w:szCs w:val="20"/>
        </w:rPr>
        <w:t>亡</w:t>
      </w:r>
      <w:r>
        <w:rPr>
          <w:rFonts w:ascii="宋体" w:hAnsi="宋体" w:eastAsia="宋体" w:cs="宋体"/>
          <w:spacing w:val="-41"/>
          <w:sz w:val="20"/>
          <w:szCs w:val="20"/>
        </w:rPr>
        <w:t xml:space="preserve"> </w:t>
      </w:r>
      <w:r>
        <w:rPr>
          <w:rFonts w:ascii="宋体" w:hAnsi="宋体" w:eastAsia="宋体" w:cs="宋体"/>
          <w:spacing w:val="3"/>
          <w:sz w:val="20"/>
          <w:szCs w:val="20"/>
        </w:rPr>
        <w:t>。</w:t>
      </w:r>
      <w:r>
        <w:rPr>
          <w:rFonts w:ascii="Times New Roman" w:hAnsi="Times New Roman" w:eastAsia="Times New Roman" w:cs="Times New Roman"/>
          <w:spacing w:val="3"/>
          <w:sz w:val="20"/>
          <w:szCs w:val="20"/>
        </w:rPr>
        <w:t>B</w:t>
      </w:r>
      <w:r>
        <w:rPr>
          <w:rFonts w:ascii="Times New Roman" w:hAnsi="Times New Roman" w:eastAsia="Times New Roman" w:cs="Times New Roman"/>
          <w:spacing w:val="20"/>
          <w:sz w:val="20"/>
          <w:szCs w:val="20"/>
        </w:rPr>
        <w:t xml:space="preserve"> </w:t>
      </w:r>
      <w:r>
        <w:rPr>
          <w:rFonts w:ascii="宋体" w:hAnsi="宋体" w:eastAsia="宋体" w:cs="宋体"/>
          <w:spacing w:val="3"/>
          <w:sz w:val="20"/>
          <w:szCs w:val="20"/>
        </w:rPr>
        <w:t>组轮状病毒在我国成人腹泻暴发或流行中被发现，因此也称成人轮状病毒</w:t>
      </w:r>
      <w:r>
        <w:rPr>
          <w:rFonts w:ascii="Times New Roman" w:hAnsi="Times New Roman" w:eastAsia="Times New Roman" w:cs="Times New Roman"/>
          <w:spacing w:val="3"/>
          <w:sz w:val="20"/>
          <w:szCs w:val="20"/>
        </w:rPr>
        <w:t>(</w:t>
      </w:r>
      <w:r>
        <w:rPr>
          <w:rFonts w:ascii="Times New Roman" w:hAnsi="Times New Roman" w:eastAsia="Times New Roman" w:cs="Times New Roman"/>
          <w:sz w:val="20"/>
          <w:szCs w:val="20"/>
        </w:rPr>
        <w:t>adult</w:t>
      </w:r>
      <w:r>
        <w:rPr>
          <w:rFonts w:ascii="Times New Roman" w:hAnsi="Times New Roman" w:eastAsia="Times New Roman" w:cs="Times New Roman"/>
          <w:spacing w:val="3"/>
          <w:sz w:val="20"/>
          <w:szCs w:val="20"/>
        </w:rPr>
        <w:t xml:space="preserve">   </w:t>
      </w:r>
      <w:r>
        <w:rPr>
          <w:rFonts w:ascii="Times New Roman" w:hAnsi="Times New Roman" w:eastAsia="Times New Roman" w:cs="Times New Roman"/>
          <w:sz w:val="20"/>
          <w:szCs w:val="20"/>
        </w:rPr>
        <w:t xml:space="preserve">diarrhea </w:t>
      </w:r>
      <w:r>
        <w:rPr>
          <w:rFonts w:ascii="宋体" w:hAnsi="宋体" w:eastAsia="宋体" w:cs="宋体"/>
          <w:sz w:val="20"/>
          <w:szCs w:val="20"/>
        </w:rPr>
        <w:t>rotavirus</w:t>
      </w:r>
      <w:r>
        <w:rPr>
          <w:rFonts w:ascii="宋体" w:hAnsi="宋体" w:eastAsia="宋体" w:cs="宋体"/>
          <w:spacing w:val="3"/>
          <w:sz w:val="20"/>
          <w:szCs w:val="20"/>
        </w:rPr>
        <w:t>,</w:t>
      </w:r>
      <w:r>
        <w:rPr>
          <w:rFonts w:ascii="宋体" w:hAnsi="宋体" w:eastAsia="宋体" w:cs="宋体"/>
          <w:sz w:val="20"/>
          <w:szCs w:val="20"/>
        </w:rPr>
        <w:t>ADRV</w:t>
      </w:r>
      <w:r>
        <w:rPr>
          <w:rFonts w:ascii="宋体" w:hAnsi="宋体" w:eastAsia="宋体" w:cs="宋体"/>
          <w:spacing w:val="3"/>
          <w:sz w:val="20"/>
          <w:szCs w:val="20"/>
        </w:rPr>
        <w:t>)。C</w:t>
      </w:r>
      <w:r>
        <w:rPr>
          <w:rFonts w:ascii="宋体" w:hAnsi="宋体" w:eastAsia="宋体" w:cs="宋体"/>
          <w:spacing w:val="-22"/>
          <w:sz w:val="20"/>
          <w:szCs w:val="20"/>
        </w:rPr>
        <w:t xml:space="preserve"> </w:t>
      </w:r>
      <w:r>
        <w:rPr>
          <w:rFonts w:ascii="宋体" w:hAnsi="宋体" w:eastAsia="宋体" w:cs="宋体"/>
          <w:spacing w:val="3"/>
          <w:sz w:val="20"/>
          <w:szCs w:val="20"/>
        </w:rPr>
        <w:t>组引起的腹泻仅有个别报道。</w:t>
      </w:r>
    </w:p>
    <w:p w14:paraId="4B903970">
      <w:pPr>
        <w:pStyle w:val="2"/>
        <w:spacing w:before="39" w:line="222" w:lineRule="auto"/>
        <w:ind w:left="453"/>
        <w:rPr>
          <w:sz w:val="24"/>
          <w:szCs w:val="24"/>
        </w:rPr>
      </w:pPr>
      <w:r>
        <w:rPr>
          <w:b/>
          <w:bCs/>
          <w:spacing w:val="-10"/>
          <w:sz w:val="24"/>
          <w:szCs w:val="24"/>
        </w:rPr>
        <w:t>(七)诺如病毒</w:t>
      </w:r>
    </w:p>
    <w:p w14:paraId="64F5AAA0">
      <w:pPr>
        <w:spacing w:before="87" w:line="337" w:lineRule="auto"/>
        <w:ind w:right="562" w:firstLine="450"/>
        <w:rPr>
          <w:rFonts w:ascii="宋体" w:hAnsi="宋体" w:eastAsia="宋体" w:cs="宋体"/>
          <w:sz w:val="20"/>
          <w:szCs w:val="20"/>
        </w:rPr>
      </w:pPr>
      <w:r>
        <w:rPr>
          <w:rFonts w:ascii="宋体" w:hAnsi="宋体" w:eastAsia="宋体" w:cs="宋体"/>
          <w:spacing w:val="7"/>
          <w:sz w:val="20"/>
          <w:szCs w:val="20"/>
        </w:rPr>
        <w:t>诺如病毒</w:t>
      </w:r>
      <w:r>
        <w:rPr>
          <w:rFonts w:ascii="Times New Roman" w:hAnsi="Times New Roman" w:eastAsia="Times New Roman" w:cs="Times New Roman"/>
          <w:spacing w:val="7"/>
          <w:sz w:val="20"/>
          <w:szCs w:val="20"/>
        </w:rPr>
        <w:t>(</w:t>
      </w:r>
      <w:r>
        <w:rPr>
          <w:rFonts w:ascii="Times New Roman" w:hAnsi="Times New Roman" w:eastAsia="Times New Roman" w:cs="Times New Roman"/>
          <w:sz w:val="20"/>
          <w:szCs w:val="20"/>
        </w:rPr>
        <w:t>norovirus</w:t>
      </w:r>
      <w:r>
        <w:rPr>
          <w:rFonts w:ascii="Times New Roman" w:hAnsi="Times New Roman" w:eastAsia="Times New Roman" w:cs="Times New Roman"/>
          <w:spacing w:val="7"/>
          <w:sz w:val="20"/>
          <w:szCs w:val="20"/>
        </w:rPr>
        <w:t>,</w:t>
      </w:r>
      <w:r>
        <w:rPr>
          <w:rFonts w:ascii="Times New Roman" w:hAnsi="Times New Roman" w:eastAsia="Times New Roman" w:cs="Times New Roman"/>
          <w:sz w:val="20"/>
          <w:szCs w:val="20"/>
        </w:rPr>
        <w:t>NV</w:t>
      </w:r>
      <w:r>
        <w:rPr>
          <w:rFonts w:ascii="Times New Roman" w:hAnsi="Times New Roman" w:eastAsia="Times New Roman" w:cs="Times New Roman"/>
          <w:spacing w:val="7"/>
          <w:sz w:val="20"/>
          <w:szCs w:val="20"/>
        </w:rPr>
        <w:t xml:space="preserve">)     </w:t>
      </w:r>
      <w:r>
        <w:rPr>
          <w:rFonts w:ascii="宋体" w:hAnsi="宋体" w:eastAsia="宋体" w:cs="宋体"/>
          <w:spacing w:val="7"/>
          <w:sz w:val="20"/>
          <w:szCs w:val="20"/>
        </w:rPr>
        <w:t>又称诺沃克病毒</w:t>
      </w:r>
      <w:r>
        <w:rPr>
          <w:rFonts w:ascii="Times New Roman" w:hAnsi="Times New Roman" w:eastAsia="Times New Roman" w:cs="Times New Roman"/>
          <w:spacing w:val="7"/>
          <w:sz w:val="20"/>
          <w:szCs w:val="20"/>
        </w:rPr>
        <w:t>(</w:t>
      </w:r>
      <w:r>
        <w:rPr>
          <w:rFonts w:ascii="Times New Roman" w:hAnsi="Times New Roman" w:eastAsia="Times New Roman" w:cs="Times New Roman"/>
          <w:sz w:val="20"/>
          <w:szCs w:val="20"/>
        </w:rPr>
        <w:t>Norwalk</w:t>
      </w:r>
      <w:r>
        <w:rPr>
          <w:rFonts w:ascii="Times New Roman" w:hAnsi="Times New Roman" w:eastAsia="Times New Roman" w:cs="Times New Roman"/>
          <w:spacing w:val="7"/>
          <w:sz w:val="20"/>
          <w:szCs w:val="20"/>
        </w:rPr>
        <w:t xml:space="preserve">        </w:t>
      </w:r>
      <w:r>
        <w:rPr>
          <w:rFonts w:ascii="Times New Roman" w:hAnsi="Times New Roman" w:eastAsia="Times New Roman" w:cs="Times New Roman"/>
          <w:sz w:val="20"/>
          <w:szCs w:val="20"/>
        </w:rPr>
        <w:t>virus</w:t>
      </w:r>
      <w:r>
        <w:rPr>
          <w:rFonts w:ascii="Times New Roman" w:hAnsi="Times New Roman" w:eastAsia="Times New Roman" w:cs="Times New Roman"/>
          <w:spacing w:val="7"/>
          <w:sz w:val="20"/>
          <w:szCs w:val="20"/>
        </w:rPr>
        <w:t>,</w:t>
      </w:r>
      <w:r>
        <w:rPr>
          <w:rFonts w:ascii="Times New Roman" w:hAnsi="Times New Roman" w:eastAsia="Times New Roman" w:cs="Times New Roman"/>
          <w:sz w:val="20"/>
          <w:szCs w:val="20"/>
        </w:rPr>
        <w:t>NV</w:t>
      </w:r>
      <w:r>
        <w:rPr>
          <w:rFonts w:ascii="Times New Roman" w:hAnsi="Times New Roman" w:eastAsia="Times New Roman" w:cs="Times New Roman"/>
          <w:spacing w:val="7"/>
          <w:sz w:val="20"/>
          <w:szCs w:val="20"/>
        </w:rPr>
        <w:t>),</w:t>
      </w:r>
      <w:r>
        <w:rPr>
          <w:rFonts w:ascii="宋体" w:hAnsi="宋体" w:eastAsia="宋体" w:cs="宋体"/>
          <w:spacing w:val="7"/>
          <w:sz w:val="20"/>
          <w:szCs w:val="20"/>
        </w:rPr>
        <w:t>是人类杯状病毒科</w:t>
      </w:r>
      <w:r>
        <w:rPr>
          <w:rFonts w:ascii="Times New Roman" w:hAnsi="Times New Roman" w:eastAsia="Times New Roman" w:cs="Times New Roman"/>
          <w:spacing w:val="7"/>
          <w:sz w:val="20"/>
          <w:szCs w:val="20"/>
        </w:rPr>
        <w:t>(</w:t>
      </w:r>
      <w:r>
        <w:rPr>
          <w:rFonts w:ascii="Times New Roman" w:hAnsi="Times New Roman" w:eastAsia="Times New Roman" w:cs="Times New Roman"/>
          <w:sz w:val="20"/>
          <w:szCs w:val="20"/>
        </w:rPr>
        <w:t xml:space="preserve">human    </w:t>
      </w:r>
      <w:r>
        <w:rPr>
          <w:rFonts w:ascii="宋体" w:hAnsi="宋体" w:eastAsia="宋体" w:cs="宋体"/>
          <w:sz w:val="20"/>
          <w:szCs w:val="20"/>
        </w:rPr>
        <w:t>Calicivirus</w:t>
      </w:r>
      <w:r>
        <w:rPr>
          <w:rFonts w:ascii="宋体" w:hAnsi="宋体" w:eastAsia="宋体" w:cs="宋体"/>
          <w:spacing w:val="3"/>
          <w:sz w:val="20"/>
          <w:szCs w:val="20"/>
        </w:rPr>
        <w:t>,</w:t>
      </w:r>
      <w:r>
        <w:rPr>
          <w:rFonts w:ascii="宋体" w:hAnsi="宋体" w:eastAsia="宋体" w:cs="宋体"/>
          <w:sz w:val="20"/>
          <w:szCs w:val="20"/>
        </w:rPr>
        <w:t>HuCV</w:t>
      </w:r>
      <w:r>
        <w:rPr>
          <w:rFonts w:ascii="宋体" w:hAnsi="宋体" w:eastAsia="宋体" w:cs="宋体"/>
          <w:spacing w:val="3"/>
          <w:sz w:val="20"/>
          <w:szCs w:val="20"/>
        </w:rPr>
        <w:t>)中诺如病毒属的原型代表株。它是一组形态相似、抗原性略有不同的病毒颗粒。</w:t>
      </w:r>
      <w:r>
        <w:rPr>
          <w:rFonts w:ascii="宋体" w:hAnsi="宋体" w:eastAsia="宋体" w:cs="宋体"/>
          <w:spacing w:val="17"/>
          <w:sz w:val="20"/>
          <w:szCs w:val="20"/>
        </w:rPr>
        <w:t xml:space="preserve"> </w:t>
      </w:r>
      <w:r>
        <w:rPr>
          <w:rFonts w:ascii="宋体" w:hAnsi="宋体" w:eastAsia="宋体" w:cs="宋体"/>
          <w:spacing w:val="8"/>
          <w:sz w:val="20"/>
          <w:szCs w:val="20"/>
        </w:rPr>
        <w:t>诺如病毒最早是从1968年在美国诺沃克</w:t>
      </w:r>
      <w:r>
        <w:rPr>
          <w:rFonts w:ascii="宋体" w:hAnsi="宋体" w:eastAsia="宋体" w:cs="宋体"/>
          <w:spacing w:val="7"/>
          <w:sz w:val="20"/>
          <w:szCs w:val="20"/>
        </w:rPr>
        <w:t>市暴发的一次急性腹泻的病人粪便中分离出的病原。2002</w:t>
      </w:r>
      <w:r>
        <w:rPr>
          <w:rFonts w:ascii="宋体" w:hAnsi="宋体" w:eastAsia="宋体" w:cs="宋体"/>
          <w:sz w:val="20"/>
          <w:szCs w:val="20"/>
        </w:rPr>
        <w:t xml:space="preserve">  </w:t>
      </w:r>
      <w:r>
        <w:rPr>
          <w:rFonts w:ascii="宋体" w:hAnsi="宋体" w:eastAsia="宋体" w:cs="宋体"/>
          <w:spacing w:val="6"/>
          <w:sz w:val="20"/>
          <w:szCs w:val="20"/>
        </w:rPr>
        <w:t>年8月第八届国际病毒命名委员会批准其名称为诺</w:t>
      </w:r>
      <w:r>
        <w:rPr>
          <w:rFonts w:ascii="宋体" w:hAnsi="宋体" w:eastAsia="宋体" w:cs="宋体"/>
          <w:spacing w:val="5"/>
          <w:sz w:val="20"/>
          <w:szCs w:val="20"/>
        </w:rPr>
        <w:t>如病毒，它与在日本发现的札幌病毒合称为人类</w:t>
      </w:r>
      <w:r>
        <w:rPr>
          <w:rFonts w:ascii="宋体" w:hAnsi="宋体" w:eastAsia="宋体" w:cs="宋体"/>
          <w:sz w:val="20"/>
          <w:szCs w:val="20"/>
        </w:rPr>
        <w:t xml:space="preserve">  </w:t>
      </w:r>
      <w:r>
        <w:rPr>
          <w:rFonts w:ascii="宋体" w:hAnsi="宋体" w:eastAsia="宋体" w:cs="宋体"/>
          <w:spacing w:val="4"/>
          <w:sz w:val="20"/>
          <w:szCs w:val="20"/>
        </w:rPr>
        <w:t>杯状病毒。诺如病毒感染性腹泻在全世界范围内均有流行，全年均</w:t>
      </w:r>
      <w:r>
        <w:rPr>
          <w:rFonts w:ascii="宋体" w:hAnsi="宋体" w:eastAsia="宋体" w:cs="宋体"/>
          <w:spacing w:val="3"/>
          <w:sz w:val="20"/>
          <w:szCs w:val="20"/>
        </w:rPr>
        <w:t>可发生感染，感染对象主要是成</w:t>
      </w:r>
      <w:r>
        <w:rPr>
          <w:rFonts w:ascii="宋体" w:hAnsi="宋体" w:eastAsia="宋体" w:cs="宋体"/>
          <w:sz w:val="20"/>
          <w:szCs w:val="20"/>
        </w:rPr>
        <w:t xml:space="preserve"> </w:t>
      </w:r>
      <w:r>
        <w:rPr>
          <w:rFonts w:ascii="宋体" w:hAnsi="宋体" w:eastAsia="宋体" w:cs="宋体"/>
          <w:spacing w:val="8"/>
          <w:sz w:val="20"/>
          <w:szCs w:val="20"/>
        </w:rPr>
        <w:t>人和学龄儿童，寒冷季节呈现高发。美国每年所有的非细菌性腹</w:t>
      </w:r>
      <w:r>
        <w:rPr>
          <w:rFonts w:ascii="宋体" w:hAnsi="宋体" w:eastAsia="宋体" w:cs="宋体"/>
          <w:spacing w:val="7"/>
          <w:sz w:val="20"/>
          <w:szCs w:val="20"/>
        </w:rPr>
        <w:t>泻暴发中，60%～90%是由诺如病</w:t>
      </w:r>
    </w:p>
    <w:p w14:paraId="5F091692">
      <w:pPr>
        <w:spacing w:line="337" w:lineRule="auto"/>
        <w:rPr>
          <w:rFonts w:ascii="宋体" w:hAnsi="宋体" w:eastAsia="宋体" w:cs="宋体"/>
          <w:sz w:val="20"/>
          <w:szCs w:val="20"/>
        </w:rPr>
        <w:sectPr>
          <w:footerReference r:id="rId362" w:type="default"/>
          <w:pgSz w:w="11900" w:h="16820"/>
          <w:pgMar w:top="400" w:right="938" w:bottom="809" w:left="1569" w:header="0" w:footer="629" w:gutter="0"/>
          <w:cols w:space="720" w:num="1"/>
        </w:sectPr>
      </w:pPr>
    </w:p>
    <w:p w14:paraId="4305DB7F">
      <w:pPr>
        <w:pStyle w:val="2"/>
        <w:spacing w:before="286" w:line="222" w:lineRule="auto"/>
        <w:ind w:left="669"/>
        <w:rPr>
          <w:sz w:val="20"/>
          <w:szCs w:val="20"/>
        </w:rPr>
      </w:pPr>
      <w:r>
        <w:rPr>
          <w:spacing w:val="-11"/>
          <w:sz w:val="20"/>
          <w:szCs w:val="20"/>
        </w:rPr>
        <w:t>第二十二章感染性腹泻</w:t>
      </w:r>
    </w:p>
    <w:p w14:paraId="1FFCDB4C">
      <w:pPr>
        <w:spacing w:line="271" w:lineRule="auto"/>
        <w:rPr>
          <w:rFonts w:ascii="Arial"/>
          <w:sz w:val="21"/>
        </w:rPr>
      </w:pPr>
    </w:p>
    <w:p w14:paraId="5729D282">
      <w:pPr>
        <w:spacing w:line="272" w:lineRule="auto"/>
        <w:rPr>
          <w:rFonts w:ascii="Arial"/>
          <w:sz w:val="21"/>
        </w:rPr>
      </w:pPr>
    </w:p>
    <w:p w14:paraId="6838BA53">
      <w:pPr>
        <w:spacing w:before="65" w:line="342" w:lineRule="auto"/>
        <w:ind w:left="669" w:right="11"/>
        <w:jc w:val="both"/>
        <w:rPr>
          <w:rFonts w:ascii="宋体" w:hAnsi="宋体" w:eastAsia="宋体" w:cs="宋体"/>
          <w:sz w:val="20"/>
          <w:szCs w:val="20"/>
        </w:rPr>
      </w:pPr>
      <w:r>
        <w:rPr>
          <w:rFonts w:ascii="宋体" w:hAnsi="宋体" w:eastAsia="宋体" w:cs="宋体"/>
          <w:spacing w:val="7"/>
          <w:sz w:val="20"/>
          <w:szCs w:val="20"/>
        </w:rPr>
        <w:t>毒引起的。荷兰、英国、日本、澳大利亚等发达国家也都有类似结果。1995年，中国报道了首例诺</w:t>
      </w:r>
      <w:r>
        <w:rPr>
          <w:rFonts w:ascii="宋体" w:hAnsi="宋体" w:eastAsia="宋体" w:cs="宋体"/>
          <w:spacing w:val="2"/>
          <w:sz w:val="20"/>
          <w:szCs w:val="20"/>
        </w:rPr>
        <w:t xml:space="preserve"> </w:t>
      </w:r>
      <w:r>
        <w:rPr>
          <w:rFonts w:ascii="宋体" w:hAnsi="宋体" w:eastAsia="宋体" w:cs="宋体"/>
          <w:spacing w:val="12"/>
          <w:sz w:val="20"/>
          <w:szCs w:val="20"/>
        </w:rPr>
        <w:t>如病毒感染，之后全国各地先后发生多起诺如病毒感染性腹泻暴发疫情。20</w:t>
      </w:r>
      <w:r>
        <w:rPr>
          <w:rFonts w:ascii="宋体" w:hAnsi="宋体" w:eastAsia="宋体" w:cs="宋体"/>
          <w:spacing w:val="11"/>
          <w:sz w:val="20"/>
          <w:szCs w:val="20"/>
        </w:rPr>
        <w:t>22年我国突发公共卫</w:t>
      </w:r>
      <w:r>
        <w:rPr>
          <w:rFonts w:ascii="宋体" w:hAnsi="宋体" w:eastAsia="宋体" w:cs="宋体"/>
          <w:sz w:val="20"/>
          <w:szCs w:val="20"/>
        </w:rPr>
        <w:t xml:space="preserve"> </w:t>
      </w:r>
      <w:r>
        <w:rPr>
          <w:rFonts w:ascii="宋体" w:hAnsi="宋体" w:eastAsia="宋体" w:cs="宋体"/>
          <w:spacing w:val="16"/>
          <w:sz w:val="20"/>
          <w:szCs w:val="20"/>
        </w:rPr>
        <w:t>生事件报告系统共报告407起诺如病毒暴发</w:t>
      </w:r>
      <w:r>
        <w:rPr>
          <w:rFonts w:ascii="宋体" w:hAnsi="宋体" w:eastAsia="宋体" w:cs="宋体"/>
          <w:spacing w:val="15"/>
          <w:sz w:val="20"/>
          <w:szCs w:val="20"/>
        </w:rPr>
        <w:t>疫情，比2021年诺如病毒暴发疫情数(352起)有所增</w:t>
      </w:r>
      <w:r>
        <w:rPr>
          <w:rFonts w:ascii="宋体" w:hAnsi="宋体" w:eastAsia="宋体" w:cs="宋体"/>
          <w:sz w:val="20"/>
          <w:szCs w:val="20"/>
        </w:rPr>
        <w:t xml:space="preserve"> </w:t>
      </w:r>
      <w:r>
        <w:rPr>
          <w:rFonts w:ascii="宋体" w:hAnsi="宋体" w:eastAsia="宋体" w:cs="宋体"/>
          <w:spacing w:val="14"/>
          <w:sz w:val="20"/>
          <w:szCs w:val="20"/>
        </w:rPr>
        <w:t>加，主要集中在2022年9—11月。我</w:t>
      </w:r>
      <w:r>
        <w:rPr>
          <w:rFonts w:ascii="宋体" w:hAnsi="宋体" w:eastAsia="宋体" w:cs="宋体"/>
          <w:spacing w:val="13"/>
          <w:sz w:val="20"/>
          <w:szCs w:val="20"/>
        </w:rPr>
        <w:t>国90%的病毒性感染性腹泻暴发是诺如病毒引起的。</w:t>
      </w:r>
    </w:p>
    <w:p w14:paraId="62B49F80">
      <w:pPr>
        <w:spacing w:line="354" w:lineRule="auto"/>
        <w:rPr>
          <w:rFonts w:ascii="Arial"/>
          <w:sz w:val="21"/>
        </w:rPr>
      </w:pPr>
    </w:p>
    <w:p w14:paraId="03098D85">
      <w:pPr>
        <w:pStyle w:val="2"/>
        <w:spacing w:before="97" w:line="221" w:lineRule="auto"/>
        <w:ind w:left="3954"/>
        <w:outlineLvl w:val="4"/>
      </w:pPr>
      <w:bookmarkStart w:id="566" w:name="bookmark604"/>
      <w:bookmarkEnd w:id="566"/>
      <w:bookmarkStart w:id="567" w:name="bookmark349"/>
      <w:bookmarkEnd w:id="567"/>
      <w:r>
        <w:rPr>
          <w:b/>
          <w:bCs/>
          <w:spacing w:val="27"/>
        </w:rPr>
        <w:t>第二节流行过程</w:t>
      </w:r>
    </w:p>
    <w:p w14:paraId="61AD6C8C">
      <w:pPr>
        <w:spacing w:line="366" w:lineRule="auto"/>
        <w:rPr>
          <w:rFonts w:ascii="Arial"/>
          <w:sz w:val="21"/>
        </w:rPr>
      </w:pPr>
    </w:p>
    <w:p w14:paraId="38188C23">
      <w:pPr>
        <w:pStyle w:val="2"/>
        <w:spacing w:before="82" w:line="221" w:lineRule="auto"/>
        <w:ind w:left="1093"/>
        <w:outlineLvl w:val="4"/>
        <w:rPr>
          <w:sz w:val="25"/>
          <w:szCs w:val="25"/>
        </w:rPr>
      </w:pPr>
      <w:bookmarkStart w:id="568" w:name="bookmark350"/>
      <w:bookmarkEnd w:id="568"/>
      <w:r>
        <w:rPr>
          <w:b/>
          <w:bCs/>
          <w:spacing w:val="-12"/>
          <w:sz w:val="25"/>
          <w:szCs w:val="25"/>
        </w:rPr>
        <w:t>一</w:t>
      </w:r>
      <w:r>
        <w:rPr>
          <w:spacing w:val="-68"/>
          <w:sz w:val="25"/>
          <w:szCs w:val="25"/>
        </w:rPr>
        <w:t xml:space="preserve"> </w:t>
      </w:r>
      <w:r>
        <w:rPr>
          <w:b/>
          <w:bCs/>
          <w:spacing w:val="-12"/>
          <w:sz w:val="25"/>
          <w:szCs w:val="25"/>
        </w:rPr>
        <w:t>、传染源</w:t>
      </w:r>
    </w:p>
    <w:p w14:paraId="7DD11764">
      <w:pPr>
        <w:pStyle w:val="2"/>
        <w:spacing w:before="226" w:line="222" w:lineRule="auto"/>
        <w:ind w:left="1089"/>
        <w:rPr>
          <w:sz w:val="25"/>
          <w:szCs w:val="25"/>
        </w:rPr>
      </w:pPr>
      <w:r>
        <w:rPr>
          <w:spacing w:val="-2"/>
          <w:sz w:val="25"/>
          <w:szCs w:val="25"/>
        </w:rPr>
        <w:t>(一)病人</w:t>
      </w:r>
    </w:p>
    <w:p w14:paraId="0491D0C8">
      <w:pPr>
        <w:spacing w:before="96" w:line="327" w:lineRule="auto"/>
        <w:ind w:left="669" w:firstLine="419"/>
        <w:jc w:val="both"/>
        <w:rPr>
          <w:rFonts w:ascii="宋体" w:hAnsi="宋体" w:eastAsia="宋体" w:cs="宋体"/>
          <w:sz w:val="20"/>
          <w:szCs w:val="20"/>
        </w:rPr>
      </w:pPr>
      <w:r>
        <w:rPr>
          <w:rFonts w:ascii="宋体" w:hAnsi="宋体" w:eastAsia="宋体" w:cs="宋体"/>
          <w:spacing w:val="13"/>
          <w:sz w:val="20"/>
          <w:szCs w:val="20"/>
        </w:rPr>
        <w:t>腹泻病人和亚临床病人是感染性腹泻的重要传染源。病人的排泄物含有大量病原体</w:t>
      </w:r>
      <w:r>
        <w:rPr>
          <w:rFonts w:ascii="宋体" w:hAnsi="宋体" w:eastAsia="宋体" w:cs="宋体"/>
          <w:spacing w:val="12"/>
          <w:sz w:val="20"/>
          <w:szCs w:val="20"/>
        </w:rPr>
        <w:t>，且排放</w:t>
      </w:r>
      <w:r>
        <w:rPr>
          <w:rFonts w:ascii="宋体" w:hAnsi="宋体" w:eastAsia="宋体" w:cs="宋体"/>
          <w:sz w:val="20"/>
          <w:szCs w:val="20"/>
        </w:rPr>
        <w:t xml:space="preserve"> </w:t>
      </w:r>
      <w:r>
        <w:rPr>
          <w:rFonts w:ascii="宋体" w:hAnsi="宋体" w:eastAsia="宋体" w:cs="宋体"/>
          <w:spacing w:val="7"/>
          <w:sz w:val="20"/>
          <w:szCs w:val="20"/>
        </w:rPr>
        <w:t>量较大、次数频繁、污染范围广。病人作为传染源的意义还与病期、个人卫生习惯、职业等因素有</w:t>
      </w:r>
      <w:r>
        <w:rPr>
          <w:rFonts w:ascii="宋体" w:hAnsi="宋体" w:eastAsia="宋体" w:cs="宋体"/>
          <w:spacing w:val="17"/>
          <w:sz w:val="20"/>
          <w:szCs w:val="20"/>
        </w:rPr>
        <w:t xml:space="preserve"> </w:t>
      </w:r>
      <w:r>
        <w:rPr>
          <w:rFonts w:ascii="宋体" w:hAnsi="宋体" w:eastAsia="宋体" w:cs="宋体"/>
          <w:spacing w:val="5"/>
          <w:sz w:val="20"/>
          <w:szCs w:val="20"/>
        </w:rPr>
        <w:t>关。因此，注意病人的隔离、治疗和卫生处理在感染性腹泻防制中具有重要意</w:t>
      </w:r>
      <w:r>
        <w:rPr>
          <w:rFonts w:ascii="宋体" w:hAnsi="宋体" w:eastAsia="宋体" w:cs="宋体"/>
          <w:spacing w:val="4"/>
          <w:sz w:val="20"/>
          <w:szCs w:val="20"/>
        </w:rPr>
        <w:t>义。</w:t>
      </w:r>
    </w:p>
    <w:p w14:paraId="6C686DF2">
      <w:pPr>
        <w:pStyle w:val="2"/>
        <w:spacing w:before="1" w:line="222" w:lineRule="auto"/>
        <w:ind w:left="1089"/>
        <w:rPr>
          <w:sz w:val="25"/>
          <w:szCs w:val="25"/>
        </w:rPr>
      </w:pPr>
      <w:r>
        <w:rPr>
          <w:spacing w:val="-11"/>
          <w:sz w:val="25"/>
          <w:szCs w:val="25"/>
        </w:rPr>
        <w:t>(二)病原携带者</w:t>
      </w:r>
    </w:p>
    <w:p w14:paraId="7BA271D2">
      <w:pPr>
        <w:spacing w:before="126" w:line="334" w:lineRule="auto"/>
        <w:ind w:left="669" w:right="11" w:firstLine="419"/>
        <w:jc w:val="both"/>
        <w:rPr>
          <w:rFonts w:ascii="宋体" w:hAnsi="宋体" w:eastAsia="宋体" w:cs="宋体"/>
          <w:sz w:val="20"/>
          <w:szCs w:val="20"/>
        </w:rPr>
      </w:pPr>
      <w:r>
        <w:rPr>
          <w:rFonts w:ascii="宋体" w:hAnsi="宋体" w:eastAsia="宋体" w:cs="宋体"/>
          <w:spacing w:val="7"/>
          <w:sz w:val="20"/>
          <w:szCs w:val="20"/>
        </w:rPr>
        <w:t>常见的有潜伏期携带者、恢复期携带者、慢性携带者和健康携带者。其中，痢疾等病人因治疗</w:t>
      </w:r>
      <w:r>
        <w:rPr>
          <w:rFonts w:ascii="宋体" w:hAnsi="宋体" w:eastAsia="宋体" w:cs="宋体"/>
          <w:spacing w:val="10"/>
          <w:sz w:val="20"/>
          <w:szCs w:val="20"/>
        </w:rPr>
        <w:t xml:space="preserve"> </w:t>
      </w:r>
      <w:r>
        <w:rPr>
          <w:rFonts w:ascii="宋体" w:hAnsi="宋体" w:eastAsia="宋体" w:cs="宋体"/>
          <w:spacing w:val="8"/>
          <w:sz w:val="20"/>
          <w:szCs w:val="20"/>
        </w:rPr>
        <w:t>不彻底容易发展为慢性病原携带者。虽然病原携带者排</w:t>
      </w:r>
      <w:r>
        <w:rPr>
          <w:rFonts w:ascii="宋体" w:hAnsi="宋体" w:eastAsia="宋体" w:cs="宋体"/>
          <w:spacing w:val="7"/>
          <w:sz w:val="20"/>
          <w:szCs w:val="20"/>
        </w:rPr>
        <w:t>出病原体的量较少、频率较低，但由于病原</w:t>
      </w:r>
      <w:r>
        <w:rPr>
          <w:rFonts w:ascii="宋体" w:hAnsi="宋体" w:eastAsia="宋体" w:cs="宋体"/>
          <w:sz w:val="20"/>
          <w:szCs w:val="20"/>
        </w:rPr>
        <w:t xml:space="preserve"> </w:t>
      </w:r>
      <w:r>
        <w:rPr>
          <w:rFonts w:ascii="宋体" w:hAnsi="宋体" w:eastAsia="宋体" w:cs="宋体"/>
          <w:spacing w:val="7"/>
          <w:sz w:val="20"/>
          <w:szCs w:val="20"/>
        </w:rPr>
        <w:t>携带者的活动未受任何限制，慢性携带者可长期(数月甚至多年)带菌、排菌，因此，其作为传染源</w:t>
      </w:r>
      <w:r>
        <w:rPr>
          <w:rFonts w:ascii="宋体" w:hAnsi="宋体" w:eastAsia="宋体" w:cs="宋体"/>
          <w:spacing w:val="10"/>
          <w:sz w:val="20"/>
          <w:szCs w:val="20"/>
        </w:rPr>
        <w:t xml:space="preserve"> </w:t>
      </w:r>
      <w:r>
        <w:rPr>
          <w:rFonts w:ascii="宋体" w:hAnsi="宋体" w:eastAsia="宋体" w:cs="宋体"/>
          <w:spacing w:val="5"/>
          <w:sz w:val="20"/>
          <w:szCs w:val="20"/>
        </w:rPr>
        <w:t>的流行病学意义不容忽视。</w:t>
      </w:r>
    </w:p>
    <w:p w14:paraId="4DFAE6DB">
      <w:pPr>
        <w:pStyle w:val="2"/>
        <w:spacing w:before="30" w:line="222" w:lineRule="auto"/>
        <w:ind w:left="1092"/>
        <w:rPr>
          <w:sz w:val="20"/>
          <w:szCs w:val="20"/>
        </w:rPr>
      </w:pPr>
      <w:r>
        <w:rPr>
          <w:b/>
          <w:bCs/>
          <w:spacing w:val="23"/>
          <w:sz w:val="20"/>
          <w:szCs w:val="20"/>
        </w:rPr>
        <w:t>(三)受感染的动物</w:t>
      </w:r>
    </w:p>
    <w:p w14:paraId="0C288BDB">
      <w:pPr>
        <w:spacing w:before="123" w:line="344" w:lineRule="auto"/>
        <w:ind w:left="669" w:right="18" w:firstLine="419"/>
        <w:rPr>
          <w:rFonts w:ascii="宋体" w:hAnsi="宋体" w:eastAsia="宋体" w:cs="宋体"/>
          <w:sz w:val="20"/>
          <w:szCs w:val="20"/>
        </w:rPr>
      </w:pPr>
      <w:r>
        <w:rPr>
          <w:rFonts w:ascii="宋体" w:hAnsi="宋体" w:eastAsia="宋体" w:cs="宋体"/>
          <w:spacing w:val="10"/>
          <w:sz w:val="20"/>
          <w:szCs w:val="20"/>
        </w:rPr>
        <w:t>动物传染源包括患病和/或受感染的动物(</w:t>
      </w:r>
      <w:r>
        <w:rPr>
          <w:rFonts w:ascii="宋体" w:hAnsi="宋体" w:eastAsia="宋体" w:cs="宋体"/>
          <w:spacing w:val="9"/>
          <w:sz w:val="20"/>
          <w:szCs w:val="20"/>
        </w:rPr>
        <w:t>包括家畜、家禽及一些野生动物)。常见的动物传染</w:t>
      </w:r>
      <w:r>
        <w:rPr>
          <w:rFonts w:ascii="宋体" w:hAnsi="宋体" w:eastAsia="宋体" w:cs="宋体"/>
          <w:sz w:val="20"/>
          <w:szCs w:val="20"/>
        </w:rPr>
        <w:t xml:space="preserve"> </w:t>
      </w:r>
      <w:r>
        <w:rPr>
          <w:rFonts w:ascii="宋体" w:hAnsi="宋体" w:eastAsia="宋体" w:cs="宋体"/>
          <w:spacing w:val="5"/>
          <w:sz w:val="20"/>
          <w:szCs w:val="20"/>
        </w:rPr>
        <w:t>源的感染性腹泻有弯曲菌肠炎、沙门菌肠炎、耶尔森菌肠炎及</w:t>
      </w:r>
      <w:r>
        <w:rPr>
          <w:rFonts w:ascii="宋体" w:hAnsi="宋体" w:eastAsia="宋体" w:cs="宋体"/>
          <w:spacing w:val="4"/>
          <w:sz w:val="20"/>
          <w:szCs w:val="20"/>
        </w:rPr>
        <w:t>某些细菌性食物中毒等。</w:t>
      </w:r>
    </w:p>
    <w:p w14:paraId="61A5A16A">
      <w:pPr>
        <w:pStyle w:val="2"/>
        <w:spacing w:before="152" w:line="222" w:lineRule="auto"/>
        <w:ind w:left="1093"/>
        <w:outlineLvl w:val="4"/>
        <w:rPr>
          <w:sz w:val="25"/>
          <w:szCs w:val="25"/>
        </w:rPr>
      </w:pPr>
      <w:bookmarkStart w:id="569" w:name="bookmark351"/>
      <w:bookmarkEnd w:id="569"/>
      <w:r>
        <w:rPr>
          <w:b/>
          <w:bCs/>
          <w:spacing w:val="-2"/>
          <w:sz w:val="25"/>
          <w:szCs w:val="25"/>
        </w:rPr>
        <w:t>二、传播途径</w:t>
      </w:r>
    </w:p>
    <w:p w14:paraId="7E0DE645">
      <w:pPr>
        <w:spacing w:before="271" w:line="334" w:lineRule="auto"/>
        <w:ind w:left="669" w:right="17" w:firstLine="419"/>
        <w:rPr>
          <w:rFonts w:ascii="宋体" w:hAnsi="宋体" w:eastAsia="宋体" w:cs="宋体"/>
          <w:sz w:val="20"/>
          <w:szCs w:val="20"/>
        </w:rPr>
      </w:pPr>
      <w:r>
        <w:rPr>
          <w:rFonts w:ascii="宋体" w:hAnsi="宋体" w:eastAsia="宋体" w:cs="宋体"/>
          <w:spacing w:val="10"/>
          <w:sz w:val="20"/>
          <w:szCs w:val="20"/>
        </w:rPr>
        <w:t>感染性腹泻主要是通过粪-口方式传播。由于传播因素的复杂性，传</w:t>
      </w:r>
      <w:r>
        <w:rPr>
          <w:rFonts w:ascii="宋体" w:hAnsi="宋体" w:eastAsia="宋体" w:cs="宋体"/>
          <w:spacing w:val="9"/>
          <w:sz w:val="20"/>
          <w:szCs w:val="20"/>
        </w:rPr>
        <w:t>播途径呈现多样化。主要</w:t>
      </w:r>
      <w:r>
        <w:rPr>
          <w:rFonts w:ascii="宋体" w:hAnsi="宋体" w:eastAsia="宋体" w:cs="宋体"/>
          <w:sz w:val="20"/>
          <w:szCs w:val="20"/>
        </w:rPr>
        <w:t xml:space="preserve"> </w:t>
      </w:r>
      <w:r>
        <w:rPr>
          <w:rFonts w:ascii="宋体" w:hAnsi="宋体" w:eastAsia="宋体" w:cs="宋体"/>
          <w:spacing w:val="1"/>
          <w:sz w:val="20"/>
          <w:szCs w:val="20"/>
        </w:rPr>
        <w:t>传播途径包括经水、食物、间接接触及苍蝇等，且单一或交错地进行。</w:t>
      </w:r>
    </w:p>
    <w:p w14:paraId="02D5D8BF">
      <w:pPr>
        <w:pStyle w:val="2"/>
        <w:spacing w:before="13" w:line="222" w:lineRule="auto"/>
        <w:ind w:left="1092"/>
        <w:rPr>
          <w:sz w:val="20"/>
          <w:szCs w:val="20"/>
        </w:rPr>
      </w:pPr>
      <w:r>
        <w:rPr>
          <w:b/>
          <w:bCs/>
          <w:spacing w:val="12"/>
          <w:sz w:val="20"/>
          <w:szCs w:val="20"/>
        </w:rPr>
        <w:t>(</w:t>
      </w:r>
      <w:r>
        <w:rPr>
          <w:spacing w:val="-45"/>
          <w:sz w:val="20"/>
          <w:szCs w:val="20"/>
        </w:rPr>
        <w:t xml:space="preserve"> </w:t>
      </w:r>
      <w:r>
        <w:rPr>
          <w:b/>
          <w:bCs/>
          <w:spacing w:val="12"/>
          <w:sz w:val="20"/>
          <w:szCs w:val="20"/>
        </w:rPr>
        <w:t>一</w:t>
      </w:r>
      <w:r>
        <w:rPr>
          <w:spacing w:val="-55"/>
          <w:sz w:val="20"/>
          <w:szCs w:val="20"/>
        </w:rPr>
        <w:t xml:space="preserve"> </w:t>
      </w:r>
      <w:r>
        <w:rPr>
          <w:b/>
          <w:bCs/>
          <w:spacing w:val="12"/>
          <w:sz w:val="20"/>
          <w:szCs w:val="20"/>
        </w:rPr>
        <w:t>)经水传播</w:t>
      </w:r>
    </w:p>
    <w:p w14:paraId="1738AD9C">
      <w:pPr>
        <w:spacing w:before="120" w:line="340" w:lineRule="auto"/>
        <w:ind w:left="669" w:right="19" w:firstLine="419"/>
        <w:jc w:val="both"/>
        <w:rPr>
          <w:rFonts w:ascii="宋体" w:hAnsi="宋体" w:eastAsia="宋体" w:cs="宋体"/>
          <w:sz w:val="20"/>
          <w:szCs w:val="20"/>
        </w:rPr>
      </w:pPr>
      <w:r>
        <w:rPr>
          <w:rFonts w:ascii="宋体" w:hAnsi="宋体" w:eastAsia="宋体" w:cs="宋体"/>
          <w:spacing w:val="7"/>
          <w:sz w:val="20"/>
          <w:szCs w:val="20"/>
        </w:rPr>
        <w:t>水在感染性腹泻病原体传播方面十分重要，主要是由于：①水体极易受到传染源污染，如生活</w:t>
      </w:r>
      <w:r>
        <w:rPr>
          <w:rFonts w:ascii="宋体" w:hAnsi="宋体" w:eastAsia="宋体" w:cs="宋体"/>
          <w:spacing w:val="9"/>
          <w:sz w:val="20"/>
          <w:szCs w:val="20"/>
        </w:rPr>
        <w:t xml:space="preserve"> </w:t>
      </w:r>
      <w:r>
        <w:rPr>
          <w:rFonts w:ascii="宋体" w:hAnsi="宋体" w:eastAsia="宋体" w:cs="宋体"/>
          <w:spacing w:val="7"/>
          <w:sz w:val="20"/>
          <w:szCs w:val="20"/>
        </w:rPr>
        <w:t>污水、市场和养殖场污水直接排放，洗涤病人衣物，倾倒吐泻物等；②一些腹泻病原体在水体中存</w:t>
      </w:r>
      <w:r>
        <w:rPr>
          <w:rFonts w:ascii="宋体" w:hAnsi="宋体" w:eastAsia="宋体" w:cs="宋体"/>
          <w:spacing w:val="16"/>
          <w:sz w:val="20"/>
          <w:szCs w:val="20"/>
        </w:rPr>
        <w:t xml:space="preserve"> </w:t>
      </w:r>
      <w:r>
        <w:rPr>
          <w:rFonts w:ascii="宋体" w:hAnsi="宋体" w:eastAsia="宋体" w:cs="宋体"/>
          <w:spacing w:val="3"/>
          <w:sz w:val="20"/>
          <w:szCs w:val="20"/>
        </w:rPr>
        <w:t>活的时间较长，一次污染可以使水体在较长时间内具有感染力；</w:t>
      </w:r>
      <w:r>
        <w:rPr>
          <w:rFonts w:ascii="宋体" w:hAnsi="宋体" w:eastAsia="宋体" w:cs="宋体"/>
          <w:spacing w:val="2"/>
          <w:sz w:val="20"/>
          <w:szCs w:val="20"/>
        </w:rPr>
        <w:t>③污染的水体很容易使水冲洗的生冷</w:t>
      </w:r>
      <w:r>
        <w:rPr>
          <w:rFonts w:ascii="宋体" w:hAnsi="宋体" w:eastAsia="宋体" w:cs="宋体"/>
          <w:sz w:val="20"/>
          <w:szCs w:val="20"/>
        </w:rPr>
        <w:t xml:space="preserve"> </w:t>
      </w:r>
      <w:r>
        <w:rPr>
          <w:rFonts w:ascii="宋体" w:hAnsi="宋体" w:eastAsia="宋体" w:cs="宋体"/>
          <w:spacing w:val="-3"/>
          <w:sz w:val="20"/>
          <w:szCs w:val="20"/>
        </w:rPr>
        <w:t>食品受到污染，如瓜果、海产品、蔬菜等；④一般在流行地区和流行季节</w:t>
      </w:r>
      <w:r>
        <w:rPr>
          <w:rFonts w:ascii="宋体" w:hAnsi="宋体" w:eastAsia="宋体" w:cs="宋体"/>
          <w:spacing w:val="-4"/>
          <w:sz w:val="20"/>
          <w:szCs w:val="20"/>
        </w:rPr>
        <w:t>，人们多有饮食生冷的习惯。</w:t>
      </w:r>
    </w:p>
    <w:p w14:paraId="6585D64F">
      <w:pPr>
        <w:spacing w:before="2" w:line="333" w:lineRule="auto"/>
        <w:ind w:left="669" w:right="16" w:firstLine="419"/>
        <w:jc w:val="both"/>
        <w:rPr>
          <w:rFonts w:ascii="宋体" w:hAnsi="宋体" w:eastAsia="宋体" w:cs="宋体"/>
          <w:sz w:val="20"/>
          <w:szCs w:val="20"/>
        </w:rPr>
      </w:pPr>
      <w:r>
        <w:rPr>
          <w:rFonts w:ascii="宋体" w:hAnsi="宋体" w:eastAsia="宋体" w:cs="宋体"/>
          <w:spacing w:val="12"/>
          <w:sz w:val="20"/>
          <w:szCs w:val="20"/>
        </w:rPr>
        <w:t>经水传播很容易造成感染性腹泻的暴发或大范围流行，如1991年霍乱侵人南美</w:t>
      </w:r>
      <w:r>
        <w:rPr>
          <w:rFonts w:ascii="宋体" w:hAnsi="宋体" w:eastAsia="宋体" w:cs="宋体"/>
          <w:spacing w:val="11"/>
          <w:sz w:val="20"/>
          <w:szCs w:val="20"/>
        </w:rPr>
        <w:t>洲，由于水体</w:t>
      </w:r>
      <w:r>
        <w:rPr>
          <w:rFonts w:ascii="宋体" w:hAnsi="宋体" w:eastAsia="宋体" w:cs="宋体"/>
          <w:sz w:val="20"/>
          <w:szCs w:val="20"/>
        </w:rPr>
        <w:t xml:space="preserve"> </w:t>
      </w:r>
      <w:r>
        <w:rPr>
          <w:rFonts w:ascii="宋体" w:hAnsi="宋体" w:eastAsia="宋体" w:cs="宋体"/>
          <w:spacing w:val="14"/>
          <w:sz w:val="20"/>
          <w:szCs w:val="20"/>
        </w:rPr>
        <w:t>受到广泛污染，流行的前4个月仅在2200万人口的秘鲁就发生数十万病例。再如我国广西某地一</w:t>
      </w:r>
      <w:r>
        <w:rPr>
          <w:rFonts w:ascii="宋体" w:hAnsi="宋体" w:eastAsia="宋体" w:cs="宋体"/>
          <w:spacing w:val="4"/>
          <w:sz w:val="20"/>
          <w:szCs w:val="20"/>
        </w:rPr>
        <w:t xml:space="preserve"> </w:t>
      </w:r>
      <w:r>
        <w:rPr>
          <w:rFonts w:ascii="宋体" w:hAnsi="宋体" w:eastAsia="宋体" w:cs="宋体"/>
          <w:spacing w:val="3"/>
          <w:sz w:val="20"/>
          <w:szCs w:val="20"/>
        </w:rPr>
        <w:t>个小镇由于大雨后水源被污染，发生成人轮状病毒腹泻暴发，</w:t>
      </w:r>
      <w:r>
        <w:rPr>
          <w:rFonts w:ascii="宋体" w:hAnsi="宋体" w:eastAsia="宋体" w:cs="宋体"/>
          <w:spacing w:val="63"/>
          <w:sz w:val="20"/>
          <w:szCs w:val="20"/>
        </w:rPr>
        <w:t xml:space="preserve"> </w:t>
      </w:r>
      <w:r>
        <w:rPr>
          <w:rFonts w:ascii="宋体" w:hAnsi="宋体" w:eastAsia="宋体" w:cs="宋体"/>
          <w:spacing w:val="3"/>
          <w:sz w:val="20"/>
          <w:szCs w:val="20"/>
        </w:rPr>
        <w:t>一个多月发病5183例。因此，加强水</w:t>
      </w:r>
      <w:r>
        <w:rPr>
          <w:rFonts w:ascii="宋体" w:hAnsi="宋体" w:eastAsia="宋体" w:cs="宋体"/>
          <w:sz w:val="20"/>
          <w:szCs w:val="20"/>
        </w:rPr>
        <w:t xml:space="preserve"> </w:t>
      </w:r>
      <w:r>
        <w:rPr>
          <w:rFonts w:ascii="宋体" w:hAnsi="宋体" w:eastAsia="宋体" w:cs="宋体"/>
          <w:spacing w:val="4"/>
          <w:sz w:val="20"/>
          <w:szCs w:val="20"/>
        </w:rPr>
        <w:t>源管理、搞好饮水卫生是控制感染性腹泻的重要措施。</w:t>
      </w:r>
    </w:p>
    <w:p w14:paraId="6C699758">
      <w:pPr>
        <w:pStyle w:val="2"/>
        <w:spacing w:before="12" w:line="222" w:lineRule="auto"/>
        <w:ind w:left="1092"/>
        <w:rPr>
          <w:sz w:val="20"/>
          <w:szCs w:val="20"/>
        </w:rPr>
      </w:pPr>
      <w:r>
        <w:rPr>
          <w:b/>
          <w:bCs/>
          <w:spacing w:val="25"/>
          <w:sz w:val="20"/>
          <w:szCs w:val="20"/>
        </w:rPr>
        <w:t>(二)经食物传播</w:t>
      </w:r>
    </w:p>
    <w:p w14:paraId="3CA954C9">
      <w:pPr>
        <w:spacing w:before="133" w:line="333" w:lineRule="auto"/>
        <w:ind w:left="669" w:right="17" w:firstLine="419"/>
        <w:jc w:val="both"/>
        <w:rPr>
          <w:rFonts w:ascii="宋体" w:hAnsi="宋体" w:eastAsia="宋体" w:cs="宋体"/>
          <w:sz w:val="20"/>
          <w:szCs w:val="20"/>
        </w:rPr>
      </w:pPr>
      <w:r>
        <w:rPr>
          <w:rFonts w:ascii="宋体" w:hAnsi="宋体" w:eastAsia="宋体" w:cs="宋体"/>
          <w:spacing w:val="12"/>
          <w:sz w:val="20"/>
          <w:szCs w:val="20"/>
        </w:rPr>
        <w:t>经污染的食物传播是感染性腹泻的重要传播途径。经食物传播引起的感染性腹泻暴发，常见</w:t>
      </w:r>
      <w:r>
        <w:rPr>
          <w:rFonts w:ascii="宋体" w:hAnsi="宋体" w:eastAsia="宋体" w:cs="宋体"/>
          <w:spacing w:val="18"/>
          <w:sz w:val="20"/>
          <w:szCs w:val="20"/>
        </w:rPr>
        <w:t xml:space="preserve"> </w:t>
      </w:r>
      <w:r>
        <w:rPr>
          <w:rFonts w:ascii="宋体" w:hAnsi="宋体" w:eastAsia="宋体" w:cs="宋体"/>
          <w:spacing w:val="5"/>
          <w:sz w:val="20"/>
          <w:szCs w:val="20"/>
        </w:rPr>
        <w:t>的有沙门菌肠炎、痢疾等。据报道，美国由食物</w:t>
      </w:r>
      <w:r>
        <w:rPr>
          <w:rFonts w:ascii="宋体" w:hAnsi="宋体" w:eastAsia="宋体" w:cs="宋体"/>
          <w:spacing w:val="4"/>
          <w:sz w:val="20"/>
          <w:szCs w:val="20"/>
        </w:rPr>
        <w:t>传播引起的暴发中，66%是由细菌所致；近年来，沙</w:t>
      </w:r>
      <w:r>
        <w:rPr>
          <w:rFonts w:ascii="宋体" w:hAnsi="宋体" w:eastAsia="宋体" w:cs="宋体"/>
          <w:sz w:val="20"/>
          <w:szCs w:val="20"/>
        </w:rPr>
        <w:t xml:space="preserve"> </w:t>
      </w:r>
      <w:r>
        <w:rPr>
          <w:rFonts w:ascii="宋体" w:hAnsi="宋体" w:eastAsia="宋体" w:cs="宋体"/>
          <w:spacing w:val="12"/>
          <w:sz w:val="20"/>
          <w:szCs w:val="20"/>
        </w:rPr>
        <w:t>门菌引起的食物性感染性腹泻暴发有增加的趋势。我国关于经食物传播引起的感染性腹</w:t>
      </w:r>
      <w:r>
        <w:rPr>
          <w:rFonts w:ascii="宋体" w:hAnsi="宋体" w:eastAsia="宋体" w:cs="宋体"/>
          <w:spacing w:val="11"/>
          <w:sz w:val="20"/>
          <w:szCs w:val="20"/>
        </w:rPr>
        <w:t>泻暴发时</w:t>
      </w:r>
      <w:r>
        <w:rPr>
          <w:rFonts w:ascii="宋体" w:hAnsi="宋体" w:eastAsia="宋体" w:cs="宋体"/>
          <w:sz w:val="20"/>
          <w:szCs w:val="20"/>
        </w:rPr>
        <w:t xml:space="preserve"> </w:t>
      </w:r>
      <w:r>
        <w:rPr>
          <w:rFonts w:ascii="宋体" w:hAnsi="宋体" w:eastAsia="宋体" w:cs="宋体"/>
          <w:spacing w:val="2"/>
          <w:sz w:val="20"/>
          <w:szCs w:val="20"/>
        </w:rPr>
        <w:t>有报道，如食用污染的冷饮引起细菌性痢疾、沙门菌肠炎等暴发。</w:t>
      </w:r>
    </w:p>
    <w:p w14:paraId="1EA95763">
      <w:pPr>
        <w:spacing w:line="333" w:lineRule="auto"/>
        <w:rPr>
          <w:rFonts w:ascii="宋体" w:hAnsi="宋体" w:eastAsia="宋体" w:cs="宋体"/>
          <w:sz w:val="20"/>
          <w:szCs w:val="20"/>
        </w:rPr>
        <w:sectPr>
          <w:footerReference r:id="rId363" w:type="default"/>
          <w:pgSz w:w="11900" w:h="16820"/>
          <w:pgMar w:top="400" w:right="1512" w:bottom="879" w:left="780" w:header="0" w:footer="699" w:gutter="0"/>
          <w:cols w:space="720" w:num="1"/>
        </w:sectPr>
      </w:pPr>
    </w:p>
    <w:p w14:paraId="35A7D2E8">
      <w:pPr>
        <w:pStyle w:val="2"/>
        <w:spacing w:before="176" w:line="222" w:lineRule="auto"/>
        <w:ind w:left="6900"/>
        <w:rPr>
          <w:sz w:val="20"/>
          <w:szCs w:val="20"/>
        </w:rPr>
      </w:pPr>
      <w:r>
        <w:rPr>
          <w:spacing w:val="-21"/>
          <w:w w:val="97"/>
          <w:sz w:val="20"/>
          <w:szCs w:val="20"/>
        </w:rPr>
        <w:t>第二十二章 感染性腹泻</w:t>
      </w:r>
    </w:p>
    <w:p w14:paraId="669EBDD6">
      <w:pPr>
        <w:spacing w:line="263" w:lineRule="auto"/>
        <w:rPr>
          <w:rFonts w:ascii="Arial"/>
          <w:sz w:val="21"/>
        </w:rPr>
      </w:pPr>
    </w:p>
    <w:p w14:paraId="4A90F110">
      <w:pPr>
        <w:spacing w:line="263" w:lineRule="auto"/>
        <w:rPr>
          <w:rFonts w:ascii="Arial"/>
          <w:sz w:val="21"/>
        </w:rPr>
      </w:pPr>
    </w:p>
    <w:p w14:paraId="17A53810">
      <w:pPr>
        <w:pStyle w:val="2"/>
        <w:spacing w:before="78" w:line="222" w:lineRule="auto"/>
        <w:ind w:left="453"/>
        <w:rPr>
          <w:sz w:val="24"/>
          <w:szCs w:val="24"/>
        </w:rPr>
      </w:pPr>
      <w:bookmarkStart w:id="570" w:name="bookmark605"/>
      <w:bookmarkEnd w:id="570"/>
      <w:r>
        <w:rPr>
          <w:b/>
          <w:bCs/>
          <w:spacing w:val="-12"/>
          <w:sz w:val="24"/>
          <w:szCs w:val="24"/>
        </w:rPr>
        <w:t>(三)经间接接触传播</w:t>
      </w:r>
    </w:p>
    <w:p w14:paraId="0EC47F79">
      <w:pPr>
        <w:spacing w:before="123" w:line="334" w:lineRule="auto"/>
        <w:ind w:right="633" w:firstLine="450"/>
        <w:jc w:val="both"/>
        <w:rPr>
          <w:rFonts w:ascii="宋体" w:hAnsi="宋体" w:eastAsia="宋体" w:cs="宋体"/>
          <w:sz w:val="20"/>
          <w:szCs w:val="20"/>
        </w:rPr>
      </w:pPr>
      <w:r>
        <w:rPr>
          <w:rFonts w:ascii="宋体" w:hAnsi="宋体" w:eastAsia="宋体" w:cs="宋体"/>
          <w:spacing w:val="1"/>
          <w:sz w:val="20"/>
          <w:szCs w:val="20"/>
        </w:rPr>
        <w:t>经间接接触传播通常引起感染性腹泻散发，被污染的手是传播的重要因素。尤其是卫生状况较</w:t>
      </w:r>
      <w:r>
        <w:rPr>
          <w:rFonts w:ascii="宋体" w:hAnsi="宋体" w:eastAsia="宋体" w:cs="宋体"/>
          <w:spacing w:val="16"/>
          <w:sz w:val="20"/>
          <w:szCs w:val="20"/>
        </w:rPr>
        <w:t xml:space="preserve"> </w:t>
      </w:r>
      <w:r>
        <w:rPr>
          <w:rFonts w:ascii="宋体" w:hAnsi="宋体" w:eastAsia="宋体" w:cs="宋体"/>
          <w:spacing w:val="2"/>
          <w:sz w:val="20"/>
          <w:szCs w:val="20"/>
        </w:rPr>
        <w:t>差的儿童。在人口密度大、卫生设施简陋、卫生制度不健全的地区或集体单位，感染性腹泻的发病</w:t>
      </w:r>
      <w:r>
        <w:rPr>
          <w:rFonts w:ascii="宋体" w:hAnsi="宋体" w:eastAsia="宋体" w:cs="宋体"/>
          <w:spacing w:val="6"/>
          <w:sz w:val="20"/>
          <w:szCs w:val="20"/>
        </w:rPr>
        <w:t xml:space="preserve"> </w:t>
      </w:r>
      <w:r>
        <w:rPr>
          <w:rFonts w:ascii="宋体" w:hAnsi="宋体" w:eastAsia="宋体" w:cs="宋体"/>
          <w:spacing w:val="15"/>
          <w:sz w:val="20"/>
          <w:szCs w:val="20"/>
        </w:rPr>
        <w:t>率较高。</w:t>
      </w:r>
    </w:p>
    <w:p w14:paraId="1152CBF8">
      <w:pPr>
        <w:pStyle w:val="2"/>
        <w:spacing w:before="2" w:line="222" w:lineRule="auto"/>
        <w:ind w:left="453"/>
        <w:rPr>
          <w:sz w:val="24"/>
          <w:szCs w:val="24"/>
        </w:rPr>
      </w:pPr>
      <w:r>
        <w:rPr>
          <w:b/>
          <w:bCs/>
          <w:spacing w:val="-12"/>
          <w:sz w:val="24"/>
          <w:szCs w:val="24"/>
        </w:rPr>
        <w:t>(四)经媒介生物传播</w:t>
      </w:r>
    </w:p>
    <w:p w14:paraId="37D4B72B">
      <w:pPr>
        <w:spacing w:before="124" w:line="343" w:lineRule="auto"/>
        <w:ind w:right="653" w:firstLine="450"/>
        <w:rPr>
          <w:rFonts w:ascii="宋体" w:hAnsi="宋体" w:eastAsia="宋体" w:cs="宋体"/>
          <w:sz w:val="20"/>
          <w:szCs w:val="20"/>
        </w:rPr>
      </w:pPr>
      <w:r>
        <w:rPr>
          <w:rFonts w:ascii="宋体" w:hAnsi="宋体" w:eastAsia="宋体" w:cs="宋体"/>
          <w:spacing w:val="6"/>
          <w:sz w:val="20"/>
          <w:szCs w:val="20"/>
        </w:rPr>
        <w:t>由于苍蝇的习性，在流行季节可造成食物或食具的污染而引起感染性腹泻发生。由苍</w:t>
      </w:r>
      <w:r>
        <w:rPr>
          <w:rFonts w:ascii="宋体" w:hAnsi="宋体" w:eastAsia="宋体" w:cs="宋体"/>
          <w:spacing w:val="5"/>
          <w:sz w:val="20"/>
          <w:szCs w:val="20"/>
        </w:rPr>
        <w:t>蝇传播</w:t>
      </w:r>
      <w:r>
        <w:rPr>
          <w:rFonts w:ascii="宋体" w:hAnsi="宋体" w:eastAsia="宋体" w:cs="宋体"/>
          <w:sz w:val="20"/>
          <w:szCs w:val="20"/>
        </w:rPr>
        <w:t xml:space="preserve"> </w:t>
      </w:r>
      <w:r>
        <w:rPr>
          <w:rFonts w:ascii="宋体" w:hAnsi="宋体" w:eastAsia="宋体" w:cs="宋体"/>
          <w:spacing w:val="2"/>
          <w:sz w:val="20"/>
          <w:szCs w:val="20"/>
        </w:rPr>
        <w:t>的感染性腹泻一般也呈散发。此外，蟑螂等也可引起感染性腹泻传播。</w:t>
      </w:r>
    </w:p>
    <w:p w14:paraId="36C7B4C7">
      <w:pPr>
        <w:pStyle w:val="2"/>
        <w:spacing w:before="183" w:line="221" w:lineRule="auto"/>
        <w:ind w:left="453"/>
        <w:outlineLvl w:val="4"/>
        <w:rPr>
          <w:sz w:val="24"/>
          <w:szCs w:val="24"/>
        </w:rPr>
      </w:pPr>
      <w:bookmarkStart w:id="571" w:name="bookmark352"/>
      <w:bookmarkEnd w:id="571"/>
      <w:r>
        <w:rPr>
          <w:b/>
          <w:bCs/>
          <w:spacing w:val="-1"/>
          <w:sz w:val="24"/>
          <w:szCs w:val="24"/>
        </w:rPr>
        <w:t>三</w:t>
      </w:r>
      <w:r>
        <w:rPr>
          <w:spacing w:val="-35"/>
          <w:sz w:val="24"/>
          <w:szCs w:val="24"/>
        </w:rPr>
        <w:t xml:space="preserve"> </w:t>
      </w:r>
      <w:r>
        <w:rPr>
          <w:b/>
          <w:bCs/>
          <w:spacing w:val="-1"/>
          <w:sz w:val="24"/>
          <w:szCs w:val="24"/>
        </w:rPr>
        <w:t>、人群易感性</w:t>
      </w:r>
    </w:p>
    <w:p w14:paraId="4636D938">
      <w:pPr>
        <w:spacing w:before="265" w:line="343" w:lineRule="auto"/>
        <w:ind w:right="613" w:firstLine="450"/>
        <w:jc w:val="both"/>
        <w:rPr>
          <w:rFonts w:ascii="宋体" w:hAnsi="宋体" w:eastAsia="宋体" w:cs="宋体"/>
          <w:sz w:val="20"/>
          <w:szCs w:val="20"/>
        </w:rPr>
      </w:pPr>
      <w:r>
        <w:rPr>
          <w:rFonts w:ascii="宋体" w:hAnsi="宋体" w:eastAsia="宋体" w:cs="宋体"/>
          <w:spacing w:val="1"/>
          <w:sz w:val="20"/>
          <w:szCs w:val="20"/>
        </w:rPr>
        <w:t>人群对感染性腹泻病原体普遍易感，感染后可获得一定程度的特异性免疫力；但对于不同的病</w:t>
      </w:r>
      <w:r>
        <w:rPr>
          <w:rFonts w:ascii="宋体" w:hAnsi="宋体" w:eastAsia="宋体" w:cs="宋体"/>
          <w:spacing w:val="2"/>
          <w:sz w:val="20"/>
          <w:szCs w:val="20"/>
        </w:rPr>
        <w:t xml:space="preserve"> </w:t>
      </w:r>
      <w:r>
        <w:rPr>
          <w:rFonts w:ascii="宋体" w:hAnsi="宋体" w:eastAsia="宋体" w:cs="宋体"/>
          <w:spacing w:val="-2"/>
          <w:sz w:val="20"/>
          <w:szCs w:val="20"/>
        </w:rPr>
        <w:t>原体，人体获得的免疫力的持续时间不同，一般较短，几个月到数年。另外，病原体毒</w:t>
      </w:r>
      <w:r>
        <w:rPr>
          <w:rFonts w:ascii="宋体" w:hAnsi="宋体" w:eastAsia="宋体" w:cs="宋体"/>
          <w:spacing w:val="-3"/>
          <w:sz w:val="20"/>
          <w:szCs w:val="20"/>
        </w:rPr>
        <w:t>力、菌量、机</w:t>
      </w:r>
      <w:r>
        <w:rPr>
          <w:rFonts w:ascii="宋体" w:hAnsi="宋体" w:eastAsia="宋体" w:cs="宋体"/>
          <w:sz w:val="20"/>
          <w:szCs w:val="20"/>
        </w:rPr>
        <w:t xml:space="preserve"> </w:t>
      </w:r>
      <w:r>
        <w:rPr>
          <w:rFonts w:ascii="宋体" w:hAnsi="宋体" w:eastAsia="宋体" w:cs="宋体"/>
          <w:spacing w:val="3"/>
          <w:sz w:val="20"/>
          <w:szCs w:val="20"/>
        </w:rPr>
        <w:t>体状态等与发病易感性有一定关系，如感染古典型霍乱弧菌后一般表现为显性重型病例，而埃</w:t>
      </w:r>
      <w:r>
        <w:rPr>
          <w:rFonts w:ascii="宋体" w:hAnsi="宋体" w:eastAsia="宋体" w:cs="宋体"/>
          <w:spacing w:val="2"/>
          <w:sz w:val="20"/>
          <w:szCs w:val="20"/>
        </w:rPr>
        <w:t>尔托</w:t>
      </w:r>
      <w:r>
        <w:rPr>
          <w:rFonts w:ascii="宋体" w:hAnsi="宋体" w:eastAsia="宋体" w:cs="宋体"/>
          <w:sz w:val="20"/>
          <w:szCs w:val="20"/>
        </w:rPr>
        <w:t xml:space="preserve"> </w:t>
      </w:r>
      <w:r>
        <w:rPr>
          <w:rFonts w:ascii="宋体" w:hAnsi="宋体" w:eastAsia="宋体" w:cs="宋体"/>
          <w:spacing w:val="7"/>
          <w:sz w:val="20"/>
          <w:szCs w:val="20"/>
        </w:rPr>
        <w:t>生物型霍乱弧菌感染则多为隐性感染和轻型病例。</w:t>
      </w:r>
    </w:p>
    <w:p w14:paraId="634BF4D2">
      <w:pPr>
        <w:spacing w:before="24" w:line="343" w:lineRule="auto"/>
        <w:ind w:right="561" w:firstLine="450"/>
        <w:jc w:val="both"/>
        <w:rPr>
          <w:rFonts w:ascii="宋体" w:hAnsi="宋体" w:eastAsia="宋体" w:cs="宋体"/>
          <w:sz w:val="20"/>
          <w:szCs w:val="20"/>
        </w:rPr>
      </w:pPr>
      <w:r>
        <w:rPr>
          <w:rFonts w:ascii="宋体" w:hAnsi="宋体" w:eastAsia="宋体" w:cs="宋体"/>
          <w:spacing w:val="1"/>
          <w:sz w:val="20"/>
          <w:szCs w:val="20"/>
        </w:rPr>
        <w:t>对于某种特定的感染性腹泻地方性疫区而言，人群的易感水平随年龄的增长而有所下降，这可</w:t>
      </w:r>
      <w:r>
        <w:rPr>
          <w:rFonts w:ascii="宋体" w:hAnsi="宋体" w:eastAsia="宋体" w:cs="宋体"/>
          <w:spacing w:val="16"/>
          <w:sz w:val="20"/>
          <w:szCs w:val="20"/>
        </w:rPr>
        <w:t xml:space="preserve"> </w:t>
      </w:r>
      <w:r>
        <w:rPr>
          <w:rFonts w:ascii="宋体" w:hAnsi="宋体" w:eastAsia="宋体" w:cs="宋体"/>
          <w:spacing w:val="4"/>
          <w:sz w:val="20"/>
          <w:szCs w:val="20"/>
        </w:rPr>
        <w:t>能是感染性腹泻地方性疫区婴幼儿感染性腹泻高发的原因之一。新病原体的流行可以证明这一点，</w:t>
      </w:r>
      <w:r>
        <w:rPr>
          <w:rFonts w:ascii="宋体" w:hAnsi="宋体" w:eastAsia="宋体" w:cs="宋体"/>
          <w:spacing w:val="7"/>
          <w:sz w:val="20"/>
          <w:szCs w:val="20"/>
        </w:rPr>
        <w:t xml:space="preserve"> 如1992年印度和孟加拉国发生新型霍乱弧菌——0139群霍乱弧菌引起</w:t>
      </w:r>
      <w:r>
        <w:rPr>
          <w:rFonts w:ascii="宋体" w:hAnsi="宋体" w:eastAsia="宋体" w:cs="宋体"/>
          <w:spacing w:val="6"/>
          <w:sz w:val="20"/>
          <w:szCs w:val="20"/>
        </w:rPr>
        <w:t>的霍乱流行，最初发病率在</w:t>
      </w:r>
      <w:r>
        <w:rPr>
          <w:rFonts w:ascii="宋体" w:hAnsi="宋体" w:eastAsia="宋体" w:cs="宋体"/>
          <w:sz w:val="20"/>
          <w:szCs w:val="20"/>
        </w:rPr>
        <w:t xml:space="preserve"> </w:t>
      </w:r>
      <w:r>
        <w:rPr>
          <w:rFonts w:ascii="宋体" w:hAnsi="宋体" w:eastAsia="宋体" w:cs="宋体"/>
          <w:spacing w:val="3"/>
          <w:sz w:val="20"/>
          <w:szCs w:val="20"/>
        </w:rPr>
        <w:t>各年龄段之间没有明显差异，而既往已流行多年的埃尔托生物型霍乱则是在</w:t>
      </w:r>
      <w:r>
        <w:rPr>
          <w:rFonts w:ascii="宋体" w:hAnsi="宋体" w:eastAsia="宋体" w:cs="宋体"/>
          <w:spacing w:val="2"/>
          <w:sz w:val="20"/>
          <w:szCs w:val="20"/>
        </w:rPr>
        <w:t>儿童中的发病率较高。</w:t>
      </w:r>
    </w:p>
    <w:p w14:paraId="57900C6C">
      <w:pPr>
        <w:pStyle w:val="2"/>
        <w:spacing w:before="181" w:line="221" w:lineRule="auto"/>
        <w:ind w:left="453"/>
        <w:outlineLvl w:val="4"/>
        <w:rPr>
          <w:sz w:val="24"/>
          <w:szCs w:val="24"/>
        </w:rPr>
      </w:pPr>
      <w:bookmarkStart w:id="572" w:name="bookmark353"/>
      <w:bookmarkEnd w:id="572"/>
      <w:r>
        <w:rPr>
          <w:b/>
          <w:bCs/>
          <w:spacing w:val="-3"/>
          <w:sz w:val="24"/>
          <w:szCs w:val="24"/>
        </w:rPr>
        <w:t>四</w:t>
      </w:r>
      <w:r>
        <w:rPr>
          <w:spacing w:val="-28"/>
          <w:sz w:val="24"/>
          <w:szCs w:val="24"/>
        </w:rPr>
        <w:t xml:space="preserve"> </w:t>
      </w:r>
      <w:r>
        <w:rPr>
          <w:b/>
          <w:bCs/>
          <w:spacing w:val="-3"/>
          <w:sz w:val="24"/>
          <w:szCs w:val="24"/>
        </w:rPr>
        <w:t>、流行影响因素</w:t>
      </w:r>
    </w:p>
    <w:p w14:paraId="1F4C7341">
      <w:pPr>
        <w:pStyle w:val="2"/>
        <w:spacing w:before="256" w:line="301" w:lineRule="auto"/>
        <w:ind w:right="561" w:firstLine="450"/>
        <w:rPr>
          <w:rFonts w:ascii="宋体" w:hAnsi="宋体" w:eastAsia="宋体" w:cs="宋体"/>
          <w:sz w:val="20"/>
          <w:szCs w:val="20"/>
        </w:rPr>
      </w:pPr>
      <w:r>
        <w:rPr>
          <w:rFonts w:ascii="宋体" w:hAnsi="宋体" w:eastAsia="宋体" w:cs="宋体"/>
          <w:spacing w:val="6"/>
          <w:sz w:val="20"/>
          <w:szCs w:val="20"/>
        </w:rPr>
        <w:t>1.</w:t>
      </w:r>
      <w:r>
        <w:rPr>
          <w:rFonts w:ascii="宋体" w:hAnsi="宋体" w:eastAsia="宋体" w:cs="宋体"/>
          <w:spacing w:val="52"/>
          <w:sz w:val="20"/>
          <w:szCs w:val="20"/>
        </w:rPr>
        <w:t xml:space="preserve"> </w:t>
      </w:r>
      <w:r>
        <w:rPr>
          <w:spacing w:val="6"/>
          <w:sz w:val="20"/>
          <w:szCs w:val="20"/>
        </w:rPr>
        <w:t>自然因素</w:t>
      </w:r>
      <w:r>
        <w:rPr>
          <w:spacing w:val="46"/>
          <w:sz w:val="20"/>
          <w:szCs w:val="20"/>
        </w:rPr>
        <w:t xml:space="preserve"> </w:t>
      </w:r>
      <w:r>
        <w:rPr>
          <w:rFonts w:ascii="宋体" w:hAnsi="宋体" w:eastAsia="宋体" w:cs="宋体"/>
          <w:spacing w:val="6"/>
          <w:sz w:val="20"/>
          <w:szCs w:val="20"/>
        </w:rPr>
        <w:t>感染性腹泻的流行受自然因素的影响，如气温较高利于</w:t>
      </w:r>
      <w:r>
        <w:rPr>
          <w:rFonts w:ascii="宋体" w:hAnsi="宋体" w:eastAsia="宋体" w:cs="宋体"/>
          <w:spacing w:val="5"/>
          <w:sz w:val="20"/>
          <w:szCs w:val="20"/>
        </w:rPr>
        <w:t>病原体的存活和繁殖，</w:t>
      </w:r>
      <w:r>
        <w:rPr>
          <w:rFonts w:ascii="宋体" w:hAnsi="宋体" w:eastAsia="宋体" w:cs="宋体"/>
          <w:sz w:val="20"/>
          <w:szCs w:val="20"/>
        </w:rPr>
        <w:t xml:space="preserve"> </w:t>
      </w:r>
      <w:r>
        <w:rPr>
          <w:rFonts w:ascii="宋体" w:hAnsi="宋体" w:eastAsia="宋体" w:cs="宋体"/>
          <w:spacing w:val="2"/>
          <w:sz w:val="20"/>
          <w:szCs w:val="20"/>
        </w:rPr>
        <w:t>使感染性腹泻容易发生，并容易造成流行，尤其是经食物传播的感染性腹泻，更与气温的高低密切</w:t>
      </w:r>
      <w:r>
        <w:rPr>
          <w:rFonts w:ascii="宋体" w:hAnsi="宋体" w:eastAsia="宋体" w:cs="宋体"/>
          <w:spacing w:val="3"/>
          <w:sz w:val="20"/>
          <w:szCs w:val="20"/>
        </w:rPr>
        <w:t xml:space="preserve">  </w:t>
      </w:r>
      <w:r>
        <w:rPr>
          <w:rFonts w:ascii="宋体" w:hAnsi="宋体" w:eastAsia="宋体" w:cs="宋体"/>
          <w:spacing w:val="1"/>
          <w:sz w:val="20"/>
          <w:szCs w:val="20"/>
        </w:rPr>
        <w:t>相关。再如，降雨容易导致水源污染，造成较大范围的感染性腹泻流行。</w:t>
      </w:r>
    </w:p>
    <w:p w14:paraId="3719F822">
      <w:pPr>
        <w:pStyle w:val="2"/>
        <w:spacing w:before="132" w:line="311" w:lineRule="auto"/>
        <w:ind w:right="561" w:firstLine="450"/>
        <w:rPr>
          <w:rFonts w:ascii="宋体" w:hAnsi="宋体" w:eastAsia="宋体" w:cs="宋体"/>
          <w:sz w:val="20"/>
          <w:szCs w:val="20"/>
        </w:rPr>
      </w:pPr>
      <w:r>
        <w:rPr>
          <w:rFonts w:ascii="宋体" w:hAnsi="宋体" w:eastAsia="宋体" w:cs="宋体"/>
          <w:spacing w:val="5"/>
          <w:sz w:val="20"/>
          <w:szCs w:val="20"/>
        </w:rPr>
        <w:t xml:space="preserve">2. </w:t>
      </w:r>
      <w:r>
        <w:rPr>
          <w:spacing w:val="5"/>
          <w:sz w:val="20"/>
          <w:szCs w:val="20"/>
        </w:rPr>
        <w:t>社会因素</w:t>
      </w:r>
      <w:r>
        <w:rPr>
          <w:spacing w:val="46"/>
          <w:sz w:val="20"/>
          <w:szCs w:val="20"/>
        </w:rPr>
        <w:t xml:space="preserve"> </w:t>
      </w:r>
      <w:r>
        <w:rPr>
          <w:rFonts w:ascii="宋体" w:hAnsi="宋体" w:eastAsia="宋体" w:cs="宋体"/>
          <w:spacing w:val="5"/>
          <w:sz w:val="20"/>
          <w:szCs w:val="20"/>
        </w:rPr>
        <w:t>社会因素对感染性腹泻流行的影响非常大。我国</w:t>
      </w:r>
      <w:r>
        <w:rPr>
          <w:rFonts w:ascii="宋体" w:hAnsi="宋体" w:eastAsia="宋体" w:cs="宋体"/>
          <w:spacing w:val="4"/>
          <w:sz w:val="20"/>
          <w:szCs w:val="20"/>
        </w:rPr>
        <w:t>部分地区的感染性腹泻监测表</w:t>
      </w:r>
      <w:r>
        <w:rPr>
          <w:rFonts w:ascii="宋体" w:hAnsi="宋体" w:eastAsia="宋体" w:cs="宋体"/>
          <w:sz w:val="20"/>
          <w:szCs w:val="20"/>
        </w:rPr>
        <w:t xml:space="preserve">  明，饮生水、食用未加热的隔餐饭菜、饮用水被粪</w:t>
      </w:r>
      <w:r>
        <w:rPr>
          <w:rFonts w:ascii="宋体" w:hAnsi="宋体" w:eastAsia="宋体" w:cs="宋体"/>
          <w:spacing w:val="-1"/>
          <w:sz w:val="20"/>
          <w:szCs w:val="20"/>
        </w:rPr>
        <w:t>便污染和食品卫生差是影响发病强度的主要因素；</w:t>
      </w:r>
      <w:r>
        <w:rPr>
          <w:rFonts w:ascii="宋体" w:hAnsi="宋体" w:eastAsia="宋体" w:cs="宋体"/>
          <w:sz w:val="20"/>
          <w:szCs w:val="20"/>
        </w:rPr>
        <w:t xml:space="preserve"> </w:t>
      </w:r>
      <w:r>
        <w:rPr>
          <w:rFonts w:ascii="宋体" w:hAnsi="宋体" w:eastAsia="宋体" w:cs="宋体"/>
          <w:spacing w:val="-2"/>
          <w:sz w:val="20"/>
          <w:szCs w:val="20"/>
        </w:rPr>
        <w:t>其他影响因素包括家庭卫生、文化程度、经济收入、</w:t>
      </w:r>
      <w:r>
        <w:rPr>
          <w:rFonts w:ascii="宋体" w:hAnsi="宋体" w:eastAsia="宋体" w:cs="宋体"/>
          <w:spacing w:val="-3"/>
          <w:sz w:val="20"/>
          <w:szCs w:val="20"/>
        </w:rPr>
        <w:t>母亲个人卫生(饭前便后是否洗手)、儿童个人卫</w:t>
      </w:r>
      <w:r>
        <w:rPr>
          <w:rFonts w:ascii="宋体" w:hAnsi="宋体" w:eastAsia="宋体" w:cs="宋体"/>
          <w:sz w:val="20"/>
          <w:szCs w:val="20"/>
        </w:rPr>
        <w:t xml:space="preserve">  </w:t>
      </w:r>
      <w:r>
        <w:rPr>
          <w:rFonts w:ascii="宋体" w:hAnsi="宋体" w:eastAsia="宋体" w:cs="宋体"/>
          <w:spacing w:val="1"/>
          <w:sz w:val="20"/>
          <w:szCs w:val="20"/>
        </w:rPr>
        <w:t>生、人工和混合喂养等，这些都对感染性腹泻的发生和流行具有一定影响。</w:t>
      </w:r>
    </w:p>
    <w:p w14:paraId="4CE67020">
      <w:pPr>
        <w:pStyle w:val="2"/>
        <w:spacing w:before="141" w:line="221" w:lineRule="auto"/>
        <w:ind w:left="450"/>
        <w:rPr>
          <w:rFonts w:ascii="宋体" w:hAnsi="宋体" w:eastAsia="宋体" w:cs="宋体"/>
          <w:sz w:val="20"/>
          <w:szCs w:val="20"/>
        </w:rPr>
      </w:pPr>
      <w:r>
        <w:rPr>
          <w:rFonts w:ascii="宋体" w:hAnsi="宋体" w:eastAsia="宋体" w:cs="宋体"/>
          <w:spacing w:val="8"/>
          <w:sz w:val="20"/>
          <w:szCs w:val="20"/>
        </w:rPr>
        <w:t>3.</w:t>
      </w:r>
      <w:r>
        <w:rPr>
          <w:rFonts w:ascii="宋体" w:hAnsi="宋体" w:eastAsia="宋体" w:cs="宋体"/>
          <w:spacing w:val="53"/>
          <w:sz w:val="20"/>
          <w:szCs w:val="20"/>
        </w:rPr>
        <w:t xml:space="preserve"> </w:t>
      </w:r>
      <w:r>
        <w:rPr>
          <w:spacing w:val="8"/>
          <w:sz w:val="20"/>
          <w:szCs w:val="20"/>
        </w:rPr>
        <w:t>病原体特征</w:t>
      </w:r>
      <w:r>
        <w:rPr>
          <w:spacing w:val="91"/>
          <w:sz w:val="20"/>
          <w:szCs w:val="20"/>
        </w:rPr>
        <w:t xml:space="preserve"> </w:t>
      </w:r>
      <w:r>
        <w:rPr>
          <w:rFonts w:ascii="宋体" w:hAnsi="宋体" w:eastAsia="宋体" w:cs="宋体"/>
          <w:spacing w:val="8"/>
          <w:sz w:val="20"/>
          <w:szCs w:val="20"/>
        </w:rPr>
        <w:t>近年来，人们逐渐认识到病原体特征是影响感染性腹泻流行的重要因素之</w:t>
      </w:r>
    </w:p>
    <w:p w14:paraId="7F9E7E72">
      <w:pPr>
        <w:spacing w:before="141" w:line="333" w:lineRule="auto"/>
        <w:ind w:right="561"/>
        <w:jc w:val="both"/>
        <w:rPr>
          <w:rFonts w:ascii="宋体" w:hAnsi="宋体" w:eastAsia="宋体" w:cs="宋体"/>
          <w:sz w:val="20"/>
          <w:szCs w:val="20"/>
        </w:rPr>
      </w:pPr>
      <w:r>
        <w:rPr>
          <w:rFonts w:ascii="宋体" w:hAnsi="宋体" w:eastAsia="宋体" w:cs="宋体"/>
          <w:spacing w:val="2"/>
          <w:sz w:val="20"/>
          <w:szCs w:val="20"/>
        </w:rPr>
        <w:t>一，如霍乱、细菌性痢疾、沙门菌肠炎等常常表现为暴发或流行，而其他细菌性</w:t>
      </w:r>
      <w:r>
        <w:rPr>
          <w:rFonts w:ascii="宋体" w:hAnsi="宋体" w:eastAsia="宋体" w:cs="宋体"/>
          <w:spacing w:val="1"/>
          <w:sz w:val="20"/>
          <w:szCs w:val="20"/>
        </w:rPr>
        <w:t>肠炎或寄生虫肠炎</w:t>
      </w:r>
      <w:r>
        <w:rPr>
          <w:rFonts w:ascii="宋体" w:hAnsi="宋体" w:eastAsia="宋体" w:cs="宋体"/>
          <w:sz w:val="20"/>
          <w:szCs w:val="20"/>
        </w:rPr>
        <w:t xml:space="preserve">  </w:t>
      </w:r>
      <w:r>
        <w:rPr>
          <w:rFonts w:ascii="宋体" w:hAnsi="宋体" w:eastAsia="宋体" w:cs="宋体"/>
          <w:spacing w:val="1"/>
          <w:sz w:val="20"/>
          <w:szCs w:val="20"/>
        </w:rPr>
        <w:t>常表现为散发或局部流行。再者，新病原体的出现，如</w:t>
      </w:r>
      <w:r>
        <w:rPr>
          <w:rFonts w:ascii="Times New Roman" w:hAnsi="Times New Roman" w:eastAsia="Times New Roman" w:cs="Times New Roman"/>
          <w:spacing w:val="1"/>
          <w:sz w:val="20"/>
          <w:szCs w:val="20"/>
        </w:rPr>
        <w:t xml:space="preserve">O₁s₇:H,   </w:t>
      </w:r>
      <w:r>
        <w:rPr>
          <w:rFonts w:ascii="宋体" w:hAnsi="宋体" w:eastAsia="宋体" w:cs="宋体"/>
          <w:spacing w:val="1"/>
          <w:sz w:val="20"/>
          <w:szCs w:val="20"/>
        </w:rPr>
        <w:t>大肠埃希菌、0104:</w:t>
      </w:r>
      <w:r>
        <w:rPr>
          <w:rFonts w:ascii="Times New Roman" w:hAnsi="Times New Roman" w:eastAsia="Times New Roman" w:cs="Times New Roman"/>
          <w:spacing w:val="1"/>
          <w:sz w:val="20"/>
          <w:szCs w:val="20"/>
        </w:rPr>
        <w:t>H₄</w:t>
      </w:r>
      <w:r>
        <w:rPr>
          <w:rFonts w:ascii="Times New Roman" w:hAnsi="Times New Roman" w:eastAsia="Times New Roman" w:cs="Times New Roman"/>
          <w:spacing w:val="29"/>
          <w:sz w:val="20"/>
          <w:szCs w:val="20"/>
        </w:rPr>
        <w:t xml:space="preserve"> </w:t>
      </w:r>
      <w:r>
        <w:rPr>
          <w:rFonts w:ascii="宋体" w:hAnsi="宋体" w:eastAsia="宋体" w:cs="宋体"/>
          <w:spacing w:val="1"/>
          <w:sz w:val="20"/>
          <w:szCs w:val="20"/>
        </w:rPr>
        <w:t>大肠埃希菌、</w:t>
      </w:r>
      <w:r>
        <w:rPr>
          <w:rFonts w:ascii="宋体" w:hAnsi="宋体" w:eastAsia="宋体" w:cs="宋体"/>
          <w:sz w:val="20"/>
          <w:szCs w:val="20"/>
        </w:rPr>
        <w:t xml:space="preserve"> </w:t>
      </w:r>
      <w:r>
        <w:rPr>
          <w:rFonts w:ascii="Times New Roman" w:hAnsi="Times New Roman" w:eastAsia="Times New Roman" w:cs="Times New Roman"/>
          <w:spacing w:val="-3"/>
          <w:sz w:val="20"/>
          <w:szCs w:val="20"/>
        </w:rPr>
        <w:t>O139</w:t>
      </w:r>
      <w:r>
        <w:rPr>
          <w:rFonts w:ascii="宋体" w:hAnsi="宋体" w:eastAsia="宋体" w:cs="宋体"/>
          <w:spacing w:val="-3"/>
          <w:sz w:val="20"/>
          <w:szCs w:val="20"/>
        </w:rPr>
        <w:t>霍乱弧菌、轮状病毒等。而且受环境的变化、人类活动空间的加大、</w:t>
      </w:r>
      <w:r>
        <w:rPr>
          <w:rFonts w:ascii="宋体" w:hAnsi="宋体" w:eastAsia="宋体" w:cs="宋体"/>
          <w:spacing w:val="-4"/>
          <w:sz w:val="20"/>
          <w:szCs w:val="20"/>
        </w:rPr>
        <w:t>物质流动的加快、抗生素的</w:t>
      </w:r>
      <w:r>
        <w:rPr>
          <w:rFonts w:ascii="宋体" w:hAnsi="宋体" w:eastAsia="宋体" w:cs="宋体"/>
          <w:sz w:val="20"/>
          <w:szCs w:val="20"/>
        </w:rPr>
        <w:t xml:space="preserve">  </w:t>
      </w:r>
      <w:r>
        <w:rPr>
          <w:rFonts w:ascii="宋体" w:hAnsi="宋体" w:eastAsia="宋体" w:cs="宋体"/>
          <w:spacing w:val="2"/>
          <w:sz w:val="20"/>
          <w:szCs w:val="20"/>
        </w:rPr>
        <w:t>大量使用等因素的影响，病原体变异也对感染性腹泻的流行具有一定影响，如病原体抗原变异、耐</w:t>
      </w:r>
      <w:r>
        <w:rPr>
          <w:rFonts w:ascii="宋体" w:hAnsi="宋体" w:eastAsia="宋体" w:cs="宋体"/>
          <w:sz w:val="20"/>
          <w:szCs w:val="20"/>
        </w:rPr>
        <w:t xml:space="preserve">  </w:t>
      </w:r>
      <w:r>
        <w:rPr>
          <w:rFonts w:ascii="宋体" w:hAnsi="宋体" w:eastAsia="宋体" w:cs="宋体"/>
          <w:spacing w:val="1"/>
          <w:sz w:val="20"/>
          <w:szCs w:val="20"/>
        </w:rPr>
        <w:t>药性增加、毒力改变等。</w:t>
      </w:r>
    </w:p>
    <w:p w14:paraId="1359743C">
      <w:pPr>
        <w:spacing w:line="398" w:lineRule="auto"/>
        <w:rPr>
          <w:rFonts w:ascii="Arial"/>
          <w:sz w:val="21"/>
        </w:rPr>
      </w:pPr>
    </w:p>
    <w:p w14:paraId="58EC4C6F">
      <w:pPr>
        <w:pStyle w:val="2"/>
        <w:spacing w:before="94" w:line="221" w:lineRule="auto"/>
        <w:ind w:left="3314"/>
        <w:outlineLvl w:val="4"/>
        <w:rPr>
          <w:sz w:val="29"/>
          <w:szCs w:val="29"/>
        </w:rPr>
      </w:pPr>
      <w:bookmarkStart w:id="573" w:name="bookmark354"/>
      <w:bookmarkEnd w:id="573"/>
      <w:r>
        <w:rPr>
          <w:b/>
          <w:bCs/>
          <w:spacing w:val="27"/>
          <w:sz w:val="29"/>
          <w:szCs w:val="29"/>
        </w:rPr>
        <w:t>第三节流行特征</w:t>
      </w:r>
    </w:p>
    <w:p w14:paraId="258B04DA">
      <w:pPr>
        <w:spacing w:line="373" w:lineRule="auto"/>
        <w:rPr>
          <w:rFonts w:ascii="Arial"/>
          <w:sz w:val="21"/>
        </w:rPr>
      </w:pPr>
    </w:p>
    <w:p w14:paraId="341CF150">
      <w:pPr>
        <w:pStyle w:val="2"/>
        <w:spacing w:before="79" w:line="222" w:lineRule="auto"/>
        <w:ind w:left="453"/>
        <w:outlineLvl w:val="4"/>
        <w:rPr>
          <w:sz w:val="24"/>
          <w:szCs w:val="24"/>
        </w:rPr>
      </w:pPr>
      <w:bookmarkStart w:id="574" w:name="bookmark355"/>
      <w:bookmarkEnd w:id="574"/>
      <w:r>
        <w:rPr>
          <w:b/>
          <w:bCs/>
          <w:spacing w:val="-7"/>
          <w:sz w:val="24"/>
          <w:szCs w:val="24"/>
        </w:rPr>
        <w:t>一</w:t>
      </w:r>
      <w:r>
        <w:rPr>
          <w:spacing w:val="-37"/>
          <w:sz w:val="24"/>
          <w:szCs w:val="24"/>
        </w:rPr>
        <w:t xml:space="preserve"> </w:t>
      </w:r>
      <w:r>
        <w:rPr>
          <w:b/>
          <w:bCs/>
          <w:spacing w:val="-7"/>
          <w:sz w:val="24"/>
          <w:szCs w:val="24"/>
        </w:rPr>
        <w:t>、地区分布</w:t>
      </w:r>
    </w:p>
    <w:p w14:paraId="1DE1CC8D">
      <w:pPr>
        <w:spacing w:before="251" w:line="354" w:lineRule="auto"/>
        <w:ind w:right="630" w:firstLine="450"/>
        <w:rPr>
          <w:rFonts w:ascii="宋体" w:hAnsi="宋体" w:eastAsia="宋体" w:cs="宋体"/>
          <w:sz w:val="20"/>
          <w:szCs w:val="20"/>
        </w:rPr>
      </w:pPr>
      <w:r>
        <w:rPr>
          <w:rFonts w:ascii="宋体" w:hAnsi="宋体" w:eastAsia="宋体" w:cs="宋体"/>
          <w:spacing w:val="6"/>
          <w:sz w:val="20"/>
          <w:szCs w:val="20"/>
        </w:rPr>
        <w:t>感染性腹泻在全世界分布广泛，全球每年约有17亿例腹泻病例发生，发展中国家比发达国家</w:t>
      </w:r>
      <w:r>
        <w:rPr>
          <w:rFonts w:ascii="宋体" w:hAnsi="宋体" w:eastAsia="宋体" w:cs="宋体"/>
          <w:spacing w:val="14"/>
          <w:sz w:val="20"/>
          <w:szCs w:val="20"/>
        </w:rPr>
        <w:t xml:space="preserve"> </w:t>
      </w:r>
      <w:r>
        <w:rPr>
          <w:rFonts w:ascii="宋体" w:hAnsi="宋体" w:eastAsia="宋体" w:cs="宋体"/>
          <w:spacing w:val="2"/>
          <w:sz w:val="20"/>
          <w:szCs w:val="20"/>
        </w:rPr>
        <w:t>流行更为严重。在发达国家，儿童感染性腹泻平均每人每年1～2次；在发展中国家，儿童平均每人</w:t>
      </w:r>
    </w:p>
    <w:p w14:paraId="7D67CC37">
      <w:pPr>
        <w:spacing w:line="354" w:lineRule="auto"/>
        <w:rPr>
          <w:rFonts w:ascii="宋体" w:hAnsi="宋体" w:eastAsia="宋体" w:cs="宋体"/>
          <w:sz w:val="20"/>
          <w:szCs w:val="20"/>
        </w:rPr>
        <w:sectPr>
          <w:footerReference r:id="rId364" w:type="default"/>
          <w:pgSz w:w="11900" w:h="16820"/>
          <w:pgMar w:top="400" w:right="968" w:bottom="839" w:left="1589" w:header="0" w:footer="659" w:gutter="0"/>
          <w:cols w:space="720" w:num="1"/>
        </w:sectPr>
      </w:pPr>
    </w:p>
    <w:p w14:paraId="69339714">
      <w:pPr>
        <w:spacing w:line="297" w:lineRule="auto"/>
        <w:rPr>
          <w:rFonts w:ascii="Arial"/>
          <w:sz w:val="21"/>
        </w:rPr>
      </w:pPr>
    </w:p>
    <w:p w14:paraId="5F33BDF3">
      <w:pPr>
        <w:pStyle w:val="2"/>
        <w:spacing w:before="65" w:line="222" w:lineRule="auto"/>
        <w:ind w:left="702"/>
        <w:rPr>
          <w:sz w:val="20"/>
          <w:szCs w:val="20"/>
        </w:rPr>
      </w:pPr>
      <w:r>
        <w:rPr>
          <w:b/>
          <w:bCs/>
          <w:spacing w:val="-13"/>
          <w:sz w:val="20"/>
          <w:szCs w:val="20"/>
        </w:rPr>
        <w:t>第二十二章感染性腹泻</w:t>
      </w:r>
    </w:p>
    <w:p w14:paraId="5D374F3C">
      <w:pPr>
        <w:spacing w:line="282" w:lineRule="auto"/>
        <w:rPr>
          <w:rFonts w:ascii="Arial"/>
          <w:sz w:val="21"/>
        </w:rPr>
      </w:pPr>
    </w:p>
    <w:p w14:paraId="342955BD">
      <w:pPr>
        <w:spacing w:line="282" w:lineRule="auto"/>
        <w:rPr>
          <w:rFonts w:ascii="Arial"/>
          <w:sz w:val="21"/>
        </w:rPr>
      </w:pPr>
    </w:p>
    <w:p w14:paraId="6E483FD3">
      <w:pPr>
        <w:spacing w:before="65" w:line="333" w:lineRule="auto"/>
        <w:ind w:left="699" w:right="92"/>
        <w:jc w:val="both"/>
        <w:rPr>
          <w:rFonts w:ascii="宋体" w:hAnsi="宋体" w:eastAsia="宋体" w:cs="宋体"/>
          <w:sz w:val="20"/>
          <w:szCs w:val="20"/>
        </w:rPr>
      </w:pPr>
      <w:r>
        <w:rPr>
          <w:rFonts w:ascii="宋体" w:hAnsi="宋体" w:eastAsia="宋体" w:cs="宋体"/>
          <w:spacing w:val="12"/>
          <w:sz w:val="20"/>
          <w:szCs w:val="20"/>
        </w:rPr>
        <w:t>每年6～7次。发展中国家常为水型和食物型暴发或流行，而发达国家以食物</w:t>
      </w:r>
      <w:r>
        <w:rPr>
          <w:rFonts w:ascii="宋体" w:hAnsi="宋体" w:eastAsia="宋体" w:cs="宋体"/>
          <w:spacing w:val="11"/>
          <w:sz w:val="20"/>
          <w:szCs w:val="20"/>
        </w:rPr>
        <w:t>型暴发和旅游者散发</w:t>
      </w:r>
      <w:r>
        <w:rPr>
          <w:rFonts w:ascii="宋体" w:hAnsi="宋体" w:eastAsia="宋体" w:cs="宋体"/>
          <w:sz w:val="20"/>
          <w:szCs w:val="20"/>
        </w:rPr>
        <w:t xml:space="preserve"> </w:t>
      </w:r>
      <w:r>
        <w:rPr>
          <w:rFonts w:ascii="宋体" w:hAnsi="宋体" w:eastAsia="宋体" w:cs="宋体"/>
          <w:spacing w:val="7"/>
          <w:sz w:val="20"/>
          <w:szCs w:val="20"/>
        </w:rPr>
        <w:t>多见。我国非常重视感染性腹泻的研究和防治工作，取得了历史性成就，如新中国成立后不久即消</w:t>
      </w:r>
      <w:r>
        <w:rPr>
          <w:rFonts w:ascii="宋体" w:hAnsi="宋体" w:eastAsia="宋体" w:cs="宋体"/>
          <w:spacing w:val="17"/>
          <w:sz w:val="20"/>
          <w:szCs w:val="20"/>
        </w:rPr>
        <w:t xml:space="preserve"> </w:t>
      </w:r>
      <w:r>
        <w:rPr>
          <w:rFonts w:ascii="宋体" w:hAnsi="宋体" w:eastAsia="宋体" w:cs="宋体"/>
          <w:spacing w:val="12"/>
          <w:sz w:val="20"/>
          <w:szCs w:val="20"/>
        </w:rPr>
        <w:t>除了曾经给中国人民带来巨大灾难的古典生物型霍乱的流行，还成功地控制了痢疾等重要感染性</w:t>
      </w:r>
      <w:r>
        <w:rPr>
          <w:rFonts w:ascii="宋体" w:hAnsi="宋体" w:eastAsia="宋体" w:cs="宋体"/>
          <w:spacing w:val="2"/>
          <w:sz w:val="20"/>
          <w:szCs w:val="20"/>
        </w:rPr>
        <w:t xml:space="preserve"> </w:t>
      </w:r>
      <w:r>
        <w:rPr>
          <w:rFonts w:ascii="宋体" w:hAnsi="宋体" w:eastAsia="宋体" w:cs="宋体"/>
          <w:spacing w:val="7"/>
          <w:sz w:val="20"/>
          <w:szCs w:val="20"/>
        </w:rPr>
        <w:t>腹泻的大流行。但由于社会经济、文化、卫生习惯和医疗水平等方面的原因，感染性腹泻在我国的</w:t>
      </w:r>
      <w:r>
        <w:rPr>
          <w:rFonts w:ascii="宋体" w:hAnsi="宋体" w:eastAsia="宋体" w:cs="宋体"/>
          <w:spacing w:val="13"/>
          <w:sz w:val="20"/>
          <w:szCs w:val="20"/>
        </w:rPr>
        <w:t xml:space="preserve"> 危害迄今依然比较严重。2022年我国共报告感染性腹泻995618例(包括霍乱、细菌性和阿米巴性</w:t>
      </w:r>
      <w:r>
        <w:rPr>
          <w:rFonts w:ascii="宋体" w:hAnsi="宋体" w:eastAsia="宋体" w:cs="宋体"/>
          <w:spacing w:val="15"/>
          <w:sz w:val="20"/>
          <w:szCs w:val="20"/>
        </w:rPr>
        <w:t xml:space="preserve"> </w:t>
      </w:r>
      <w:r>
        <w:rPr>
          <w:rFonts w:ascii="宋体" w:hAnsi="宋体" w:eastAsia="宋体" w:cs="宋体"/>
          <w:spacing w:val="10"/>
          <w:sz w:val="20"/>
          <w:szCs w:val="20"/>
        </w:rPr>
        <w:t>痢疾、其他感染性腹泻)。近年我国每年报告</w:t>
      </w:r>
      <w:r>
        <w:rPr>
          <w:rFonts w:ascii="宋体" w:hAnsi="宋体" w:eastAsia="宋体" w:cs="宋体"/>
          <w:spacing w:val="9"/>
          <w:sz w:val="20"/>
          <w:szCs w:val="20"/>
        </w:rPr>
        <w:t>的感染性腹泻发病人数位居法定报告传染病发病人数</w:t>
      </w:r>
      <w:r>
        <w:rPr>
          <w:rFonts w:ascii="宋体" w:hAnsi="宋体" w:eastAsia="宋体" w:cs="宋体"/>
          <w:sz w:val="20"/>
          <w:szCs w:val="20"/>
        </w:rPr>
        <w:t xml:space="preserve"> </w:t>
      </w:r>
      <w:r>
        <w:rPr>
          <w:rFonts w:ascii="宋体" w:hAnsi="宋体" w:eastAsia="宋体" w:cs="宋体"/>
          <w:spacing w:val="8"/>
          <w:sz w:val="20"/>
          <w:szCs w:val="20"/>
        </w:rPr>
        <w:t>的第三或第四位。</w:t>
      </w:r>
    </w:p>
    <w:p w14:paraId="71E195D2">
      <w:pPr>
        <w:pStyle w:val="2"/>
        <w:spacing w:before="234" w:line="222" w:lineRule="auto"/>
        <w:ind w:left="1143"/>
        <w:outlineLvl w:val="4"/>
        <w:rPr>
          <w:sz w:val="25"/>
          <w:szCs w:val="25"/>
        </w:rPr>
      </w:pPr>
      <w:bookmarkStart w:id="575" w:name="bookmark356"/>
      <w:bookmarkEnd w:id="575"/>
      <w:r>
        <w:rPr>
          <w:b/>
          <w:bCs/>
          <w:sz w:val="25"/>
          <w:szCs w:val="25"/>
        </w:rPr>
        <w:t>二、时间分布</w:t>
      </w:r>
    </w:p>
    <w:p w14:paraId="1E949074">
      <w:pPr>
        <w:spacing w:before="259" w:line="334" w:lineRule="auto"/>
        <w:ind w:left="699" w:firstLine="439"/>
        <w:jc w:val="both"/>
        <w:rPr>
          <w:rFonts w:ascii="宋体" w:hAnsi="宋体" w:eastAsia="宋体" w:cs="宋体"/>
          <w:sz w:val="20"/>
          <w:szCs w:val="20"/>
        </w:rPr>
      </w:pPr>
      <w:r>
        <w:rPr>
          <w:rFonts w:ascii="宋体" w:hAnsi="宋体" w:eastAsia="宋体" w:cs="宋体"/>
          <w:spacing w:val="9"/>
          <w:sz w:val="20"/>
          <w:szCs w:val="20"/>
        </w:rPr>
        <w:t>感染性腹泻全年都可发生，但具有明显的季节高峰。细菌性腹泻的发病高峰一般在夏秋季节，</w:t>
      </w:r>
      <w:r>
        <w:rPr>
          <w:rFonts w:ascii="宋体" w:hAnsi="宋体" w:eastAsia="宋体" w:cs="宋体"/>
          <w:spacing w:val="10"/>
          <w:sz w:val="20"/>
          <w:szCs w:val="20"/>
        </w:rPr>
        <w:t xml:space="preserve"> </w:t>
      </w:r>
      <w:r>
        <w:rPr>
          <w:rFonts w:ascii="宋体" w:hAnsi="宋体" w:eastAsia="宋体" w:cs="宋体"/>
          <w:spacing w:val="5"/>
          <w:sz w:val="20"/>
          <w:szCs w:val="20"/>
        </w:rPr>
        <w:t>如霍乱、细菌性痢疾、沙门菌肠炎等；而轮状病毒</w:t>
      </w:r>
      <w:r>
        <w:rPr>
          <w:rFonts w:ascii="宋体" w:hAnsi="宋体" w:eastAsia="宋体" w:cs="宋体"/>
          <w:spacing w:val="4"/>
          <w:sz w:val="20"/>
          <w:szCs w:val="20"/>
        </w:rPr>
        <w:t>腹泻主要发生在寒冷季节，以秋冬季节发病较多。</w:t>
      </w:r>
      <w:r>
        <w:rPr>
          <w:rFonts w:ascii="宋体" w:hAnsi="宋体" w:eastAsia="宋体" w:cs="宋体"/>
          <w:sz w:val="20"/>
          <w:szCs w:val="20"/>
        </w:rPr>
        <w:t xml:space="preserve"> </w:t>
      </w:r>
      <w:r>
        <w:rPr>
          <w:rFonts w:ascii="宋体" w:hAnsi="宋体" w:eastAsia="宋体" w:cs="宋体"/>
          <w:spacing w:val="7"/>
          <w:sz w:val="20"/>
          <w:szCs w:val="20"/>
        </w:rPr>
        <w:t>但发病高峰季节也常随地区和病原体的不同而有一定变化。</w:t>
      </w:r>
    </w:p>
    <w:p w14:paraId="714AAED5">
      <w:pPr>
        <w:pStyle w:val="2"/>
        <w:spacing w:before="181" w:line="221" w:lineRule="auto"/>
        <w:ind w:left="1143"/>
        <w:outlineLvl w:val="4"/>
        <w:rPr>
          <w:sz w:val="25"/>
          <w:szCs w:val="25"/>
        </w:rPr>
      </w:pPr>
      <w:bookmarkStart w:id="576" w:name="bookmark357"/>
      <w:bookmarkEnd w:id="576"/>
      <w:r>
        <w:rPr>
          <w:b/>
          <w:bCs/>
          <w:sz w:val="25"/>
          <w:szCs w:val="25"/>
        </w:rPr>
        <w:t>三、人群分布</w:t>
      </w:r>
    </w:p>
    <w:p w14:paraId="18CA75E7">
      <w:pPr>
        <w:spacing w:before="255" w:line="333" w:lineRule="auto"/>
        <w:ind w:left="699" w:right="20" w:firstLine="429"/>
        <w:jc w:val="both"/>
        <w:rPr>
          <w:rFonts w:ascii="宋体" w:hAnsi="宋体" w:eastAsia="宋体" w:cs="宋体"/>
          <w:sz w:val="20"/>
          <w:szCs w:val="20"/>
        </w:rPr>
      </w:pPr>
      <w:r>
        <w:rPr>
          <w:rFonts w:ascii="宋体" w:hAnsi="宋体" w:eastAsia="宋体" w:cs="宋体"/>
          <w:spacing w:val="8"/>
          <w:sz w:val="20"/>
          <w:szCs w:val="20"/>
        </w:rPr>
        <w:t>感染性腹泻以婴幼儿和青壮年发病率较高，随着年龄的增长，发病率有所</w:t>
      </w:r>
      <w:r>
        <w:rPr>
          <w:rFonts w:ascii="宋体" w:hAnsi="宋体" w:eastAsia="宋体" w:cs="宋体"/>
          <w:spacing w:val="7"/>
          <w:sz w:val="20"/>
          <w:szCs w:val="20"/>
        </w:rPr>
        <w:t>下降。腹泻病原体不</w:t>
      </w:r>
      <w:r>
        <w:rPr>
          <w:rFonts w:ascii="宋体" w:hAnsi="宋体" w:eastAsia="宋体" w:cs="宋体"/>
          <w:sz w:val="20"/>
          <w:szCs w:val="20"/>
        </w:rPr>
        <w:t xml:space="preserve"> </w:t>
      </w:r>
      <w:r>
        <w:rPr>
          <w:rFonts w:ascii="宋体" w:hAnsi="宋体" w:eastAsia="宋体" w:cs="宋体"/>
          <w:spacing w:val="9"/>
          <w:sz w:val="20"/>
          <w:szCs w:val="20"/>
        </w:rPr>
        <w:t>同，其高发年龄也有明显差异。2024年</w:t>
      </w:r>
      <w:r>
        <w:rPr>
          <w:rFonts w:ascii="宋体" w:hAnsi="宋体" w:eastAsia="宋体" w:cs="宋体"/>
          <w:sz w:val="20"/>
          <w:szCs w:val="20"/>
        </w:rPr>
        <w:t>WHO</w:t>
      </w:r>
      <w:r>
        <w:rPr>
          <w:rFonts w:ascii="宋体" w:hAnsi="宋体" w:eastAsia="宋体" w:cs="宋体"/>
          <w:spacing w:val="9"/>
          <w:sz w:val="20"/>
          <w:szCs w:val="20"/>
        </w:rPr>
        <w:t xml:space="preserve">  估计，5岁以下儿童每年约44万人死于腹泻，腹</w:t>
      </w:r>
      <w:r>
        <w:rPr>
          <w:rFonts w:ascii="宋体" w:hAnsi="宋体" w:eastAsia="宋体" w:cs="宋体"/>
          <w:spacing w:val="8"/>
          <w:sz w:val="20"/>
          <w:szCs w:val="20"/>
        </w:rPr>
        <w:t>泻是5</w:t>
      </w:r>
      <w:r>
        <w:rPr>
          <w:rFonts w:ascii="宋体" w:hAnsi="宋体" w:eastAsia="宋体" w:cs="宋体"/>
          <w:sz w:val="20"/>
          <w:szCs w:val="20"/>
        </w:rPr>
        <w:t xml:space="preserve">  </w:t>
      </w:r>
      <w:r>
        <w:rPr>
          <w:rFonts w:ascii="宋体" w:hAnsi="宋体" w:eastAsia="宋体" w:cs="宋体"/>
          <w:spacing w:val="9"/>
          <w:sz w:val="20"/>
          <w:szCs w:val="20"/>
        </w:rPr>
        <w:t>岁以下儿童的主要死因。对于新病原体引起的感染性腹泻，则各年龄组发病差异不大。不同经济、</w:t>
      </w:r>
      <w:r>
        <w:rPr>
          <w:rFonts w:ascii="宋体" w:hAnsi="宋体" w:eastAsia="宋体" w:cs="宋体"/>
          <w:spacing w:val="11"/>
          <w:sz w:val="20"/>
          <w:szCs w:val="20"/>
        </w:rPr>
        <w:t xml:space="preserve"> </w:t>
      </w:r>
      <w:r>
        <w:rPr>
          <w:rFonts w:ascii="宋体" w:hAnsi="宋体" w:eastAsia="宋体" w:cs="宋体"/>
          <w:spacing w:val="2"/>
          <w:sz w:val="20"/>
          <w:szCs w:val="20"/>
        </w:rPr>
        <w:t>文化、卫生状况、职业背景的人群之间感染性腹泻的发病率有明显的差异，原因可能与感染机会、机</w:t>
      </w:r>
      <w:r>
        <w:rPr>
          <w:rFonts w:ascii="宋体" w:hAnsi="宋体" w:eastAsia="宋体" w:cs="宋体"/>
          <w:spacing w:val="9"/>
          <w:sz w:val="20"/>
          <w:szCs w:val="20"/>
        </w:rPr>
        <w:t xml:space="preserve">  </w:t>
      </w:r>
      <w:r>
        <w:rPr>
          <w:rFonts w:ascii="宋体" w:hAnsi="宋体" w:eastAsia="宋体" w:cs="宋体"/>
          <w:spacing w:val="6"/>
          <w:sz w:val="20"/>
          <w:szCs w:val="20"/>
        </w:rPr>
        <w:t>体免疫状态、行为特点、卫生条件等因素有关。近年来旅游者中的感染性腹</w:t>
      </w:r>
      <w:r>
        <w:rPr>
          <w:rFonts w:ascii="宋体" w:hAnsi="宋体" w:eastAsia="宋体" w:cs="宋体"/>
          <w:spacing w:val="5"/>
          <w:sz w:val="20"/>
          <w:szCs w:val="20"/>
        </w:rPr>
        <w:t>泻也越来越受到重视。</w:t>
      </w:r>
    </w:p>
    <w:p w14:paraId="1DF8E743">
      <w:pPr>
        <w:pStyle w:val="2"/>
        <w:spacing w:before="202" w:line="221" w:lineRule="auto"/>
        <w:ind w:left="1143"/>
        <w:outlineLvl w:val="4"/>
        <w:rPr>
          <w:sz w:val="25"/>
          <w:szCs w:val="25"/>
        </w:rPr>
      </w:pPr>
      <w:bookmarkStart w:id="577" w:name="bookmark358"/>
      <w:bookmarkEnd w:id="577"/>
      <w:r>
        <w:rPr>
          <w:b/>
          <w:bCs/>
          <w:spacing w:val="-15"/>
          <w:sz w:val="25"/>
          <w:szCs w:val="25"/>
        </w:rPr>
        <w:t>四</w:t>
      </w:r>
      <w:r>
        <w:rPr>
          <w:spacing w:val="-58"/>
          <w:sz w:val="25"/>
          <w:szCs w:val="25"/>
        </w:rPr>
        <w:t xml:space="preserve"> </w:t>
      </w:r>
      <w:r>
        <w:rPr>
          <w:b/>
          <w:bCs/>
          <w:spacing w:val="-15"/>
          <w:sz w:val="25"/>
          <w:szCs w:val="25"/>
        </w:rPr>
        <w:t>、流行强度</w:t>
      </w:r>
    </w:p>
    <w:p w14:paraId="6C67CD6C">
      <w:pPr>
        <w:spacing w:before="264" w:line="333" w:lineRule="auto"/>
        <w:ind w:left="699" w:right="19" w:firstLine="439"/>
        <w:jc w:val="both"/>
        <w:rPr>
          <w:rFonts w:ascii="宋体" w:hAnsi="宋体" w:eastAsia="宋体" w:cs="宋体"/>
          <w:sz w:val="20"/>
          <w:szCs w:val="20"/>
        </w:rPr>
      </w:pPr>
      <w:r>
        <w:rPr>
          <w:rFonts w:ascii="宋体" w:hAnsi="宋体" w:eastAsia="宋体" w:cs="宋体"/>
          <w:spacing w:val="4"/>
          <w:sz w:val="20"/>
          <w:szCs w:val="20"/>
        </w:rPr>
        <w:t>感染性腹泻可以呈现为散发、暴发或流行，甚至大流行。</w:t>
      </w:r>
      <w:r>
        <w:rPr>
          <w:rFonts w:ascii="宋体" w:hAnsi="宋体" w:eastAsia="宋体" w:cs="宋体"/>
          <w:spacing w:val="47"/>
          <w:sz w:val="20"/>
          <w:szCs w:val="20"/>
        </w:rPr>
        <w:t xml:space="preserve"> </w:t>
      </w:r>
      <w:r>
        <w:rPr>
          <w:rFonts w:ascii="宋体" w:hAnsi="宋体" w:eastAsia="宋体" w:cs="宋体"/>
          <w:spacing w:val="4"/>
          <w:sz w:val="20"/>
          <w:szCs w:val="20"/>
        </w:rPr>
        <w:t>一</w:t>
      </w:r>
      <w:r>
        <w:rPr>
          <w:rFonts w:ascii="宋体" w:hAnsi="宋体" w:eastAsia="宋体" w:cs="宋体"/>
          <w:spacing w:val="3"/>
          <w:sz w:val="20"/>
          <w:szCs w:val="20"/>
        </w:rPr>
        <w:t>般经水和食物传播的感染性腹泻以</w:t>
      </w:r>
      <w:r>
        <w:rPr>
          <w:rFonts w:ascii="宋体" w:hAnsi="宋体" w:eastAsia="宋体" w:cs="宋体"/>
          <w:sz w:val="20"/>
          <w:szCs w:val="20"/>
        </w:rPr>
        <w:t xml:space="preserve"> </w:t>
      </w:r>
      <w:r>
        <w:rPr>
          <w:rFonts w:ascii="宋体" w:hAnsi="宋体" w:eastAsia="宋体" w:cs="宋体"/>
          <w:spacing w:val="3"/>
          <w:sz w:val="20"/>
          <w:szCs w:val="20"/>
        </w:rPr>
        <w:t>暴发和流行为主，尤其是霍乱、痢疾、沙门菌感</w:t>
      </w:r>
      <w:r>
        <w:rPr>
          <w:rFonts w:ascii="宋体" w:hAnsi="宋体" w:eastAsia="宋体" w:cs="宋体"/>
          <w:spacing w:val="2"/>
          <w:sz w:val="20"/>
          <w:szCs w:val="20"/>
        </w:rPr>
        <w:t>染、致泻性弧菌感染、致泻性大肠埃希菌感染等。在</w:t>
      </w:r>
      <w:r>
        <w:rPr>
          <w:rFonts w:ascii="宋体" w:hAnsi="宋体" w:eastAsia="宋体" w:cs="宋体"/>
          <w:sz w:val="20"/>
          <w:szCs w:val="20"/>
        </w:rPr>
        <w:t xml:space="preserve">  </w:t>
      </w:r>
      <w:r>
        <w:rPr>
          <w:rFonts w:ascii="宋体" w:hAnsi="宋体" w:eastAsia="宋体" w:cs="宋体"/>
          <w:spacing w:val="14"/>
          <w:sz w:val="20"/>
          <w:szCs w:val="20"/>
        </w:rPr>
        <w:t>感染性腹泻流行季节和流行地区可以表现为暴发或流行，而在非流行季节和地区常表现为散发。</w:t>
      </w:r>
      <w:r>
        <w:rPr>
          <w:rFonts w:ascii="宋体" w:hAnsi="宋体" w:eastAsia="宋体" w:cs="宋体"/>
          <w:spacing w:val="11"/>
          <w:sz w:val="20"/>
          <w:szCs w:val="20"/>
        </w:rPr>
        <w:t xml:space="preserve"> </w:t>
      </w:r>
      <w:r>
        <w:rPr>
          <w:rFonts w:ascii="宋体" w:hAnsi="宋体" w:eastAsia="宋体" w:cs="宋体"/>
          <w:spacing w:val="5"/>
          <w:sz w:val="20"/>
          <w:szCs w:val="20"/>
        </w:rPr>
        <w:t>卫生状况较差、人口密度较高的地区和人群容易发生暴发和流行。</w:t>
      </w:r>
    </w:p>
    <w:p w14:paraId="18425A33">
      <w:pPr>
        <w:spacing w:line="374" w:lineRule="auto"/>
        <w:rPr>
          <w:rFonts w:ascii="Arial"/>
          <w:sz w:val="21"/>
        </w:rPr>
      </w:pPr>
    </w:p>
    <w:p w14:paraId="766CDF13">
      <w:pPr>
        <w:pStyle w:val="2"/>
        <w:spacing w:before="98" w:line="221" w:lineRule="auto"/>
        <w:ind w:left="3554"/>
        <w:outlineLvl w:val="1"/>
      </w:pPr>
      <w:bookmarkStart w:id="578" w:name="bookmark360"/>
      <w:bookmarkEnd w:id="578"/>
      <w:r>
        <w:rPr>
          <w:b/>
          <w:bCs/>
          <w:spacing w:val="-6"/>
        </w:rPr>
        <w:t>第四节</w:t>
      </w:r>
      <w:r>
        <w:rPr>
          <w:spacing w:val="113"/>
        </w:rPr>
        <w:t xml:space="preserve"> </w:t>
      </w:r>
      <w:r>
        <w:rPr>
          <w:b/>
          <w:bCs/>
          <w:spacing w:val="-6"/>
        </w:rPr>
        <w:t>预防策略与措施</w:t>
      </w:r>
    </w:p>
    <w:p w14:paraId="68F9AAB1">
      <w:pPr>
        <w:spacing w:line="337" w:lineRule="auto"/>
        <w:rPr>
          <w:rFonts w:ascii="Arial"/>
          <w:sz w:val="21"/>
        </w:rPr>
      </w:pPr>
    </w:p>
    <w:p w14:paraId="25E70D1B">
      <w:pPr>
        <w:pStyle w:val="2"/>
        <w:spacing w:before="82" w:line="222" w:lineRule="auto"/>
        <w:ind w:left="1143"/>
        <w:outlineLvl w:val="4"/>
        <w:rPr>
          <w:sz w:val="25"/>
          <w:szCs w:val="25"/>
        </w:rPr>
      </w:pPr>
      <w:bookmarkStart w:id="579" w:name="bookmark361"/>
      <w:bookmarkEnd w:id="579"/>
      <w:r>
        <w:rPr>
          <w:b/>
          <w:bCs/>
          <w:spacing w:val="-16"/>
          <w:sz w:val="25"/>
          <w:szCs w:val="25"/>
        </w:rPr>
        <w:t>一</w:t>
      </w:r>
      <w:r>
        <w:rPr>
          <w:spacing w:val="-68"/>
          <w:sz w:val="25"/>
          <w:szCs w:val="25"/>
        </w:rPr>
        <w:t xml:space="preserve"> </w:t>
      </w:r>
      <w:r>
        <w:rPr>
          <w:b/>
          <w:bCs/>
          <w:spacing w:val="-16"/>
          <w:sz w:val="25"/>
          <w:szCs w:val="25"/>
        </w:rPr>
        <w:t>、策略</w:t>
      </w:r>
    </w:p>
    <w:p w14:paraId="66DDEEE6">
      <w:pPr>
        <w:spacing w:before="228" w:line="335" w:lineRule="auto"/>
        <w:ind w:left="699" w:right="90" w:firstLine="439"/>
        <w:rPr>
          <w:rFonts w:ascii="宋体" w:hAnsi="宋体" w:eastAsia="宋体" w:cs="宋体"/>
          <w:sz w:val="20"/>
          <w:szCs w:val="20"/>
        </w:rPr>
      </w:pPr>
      <w:r>
        <w:rPr>
          <w:rFonts w:ascii="宋体" w:hAnsi="宋体" w:eastAsia="宋体" w:cs="宋体"/>
          <w:spacing w:val="11"/>
          <w:sz w:val="20"/>
          <w:szCs w:val="20"/>
        </w:rPr>
        <w:t>1978年</w:t>
      </w:r>
      <w:r>
        <w:rPr>
          <w:rFonts w:ascii="Times New Roman" w:hAnsi="Times New Roman" w:eastAsia="Times New Roman" w:cs="Times New Roman"/>
          <w:sz w:val="20"/>
          <w:szCs w:val="20"/>
        </w:rPr>
        <w:t>WHO</w:t>
      </w:r>
      <w:r>
        <w:rPr>
          <w:rFonts w:ascii="Times New Roman" w:hAnsi="Times New Roman" w:eastAsia="Times New Roman" w:cs="Times New Roman"/>
          <w:spacing w:val="11"/>
          <w:sz w:val="20"/>
          <w:szCs w:val="20"/>
        </w:rPr>
        <w:t xml:space="preserve"> </w:t>
      </w:r>
      <w:r>
        <w:rPr>
          <w:rFonts w:ascii="宋体" w:hAnsi="宋体" w:eastAsia="宋体" w:cs="宋体"/>
          <w:spacing w:val="11"/>
          <w:sz w:val="20"/>
          <w:szCs w:val="20"/>
        </w:rPr>
        <w:t>制定并在全球开始实施腹泻病控制</w:t>
      </w:r>
      <w:r>
        <w:rPr>
          <w:rFonts w:ascii="Times New Roman" w:hAnsi="Times New Roman" w:eastAsia="Times New Roman" w:cs="Times New Roman"/>
          <w:spacing w:val="11"/>
          <w:sz w:val="20"/>
          <w:szCs w:val="20"/>
        </w:rPr>
        <w:t>(</w:t>
      </w:r>
      <w:r>
        <w:rPr>
          <w:rFonts w:ascii="Times New Roman" w:hAnsi="Times New Roman" w:eastAsia="Times New Roman" w:cs="Times New Roman"/>
          <w:sz w:val="20"/>
          <w:szCs w:val="20"/>
        </w:rPr>
        <w:t>control</w:t>
      </w:r>
      <w:r>
        <w:rPr>
          <w:rFonts w:ascii="Times New Roman" w:hAnsi="Times New Roman" w:eastAsia="Times New Roman" w:cs="Times New Roman"/>
          <w:spacing w:val="11"/>
          <w:sz w:val="20"/>
          <w:szCs w:val="20"/>
        </w:rPr>
        <w:t xml:space="preserve">   </w:t>
      </w:r>
      <w:r>
        <w:rPr>
          <w:rFonts w:ascii="Times New Roman" w:hAnsi="Times New Roman" w:eastAsia="Times New Roman" w:cs="Times New Roman"/>
          <w:sz w:val="20"/>
          <w:szCs w:val="20"/>
        </w:rPr>
        <w:t>of</w:t>
      </w:r>
      <w:r>
        <w:rPr>
          <w:rFonts w:ascii="Times New Roman" w:hAnsi="Times New Roman" w:eastAsia="Times New Roman" w:cs="Times New Roman"/>
          <w:spacing w:val="11"/>
          <w:sz w:val="20"/>
          <w:szCs w:val="20"/>
        </w:rPr>
        <w:t xml:space="preserve">   </w:t>
      </w:r>
      <w:r>
        <w:rPr>
          <w:rFonts w:ascii="Times New Roman" w:hAnsi="Times New Roman" w:eastAsia="Times New Roman" w:cs="Times New Roman"/>
          <w:sz w:val="20"/>
          <w:szCs w:val="20"/>
        </w:rPr>
        <w:t>diarrheal</w:t>
      </w:r>
      <w:r>
        <w:rPr>
          <w:rFonts w:ascii="Times New Roman" w:hAnsi="Times New Roman" w:eastAsia="Times New Roman" w:cs="Times New Roman"/>
          <w:spacing w:val="11"/>
          <w:sz w:val="20"/>
          <w:szCs w:val="20"/>
        </w:rPr>
        <w:t xml:space="preserve">   </w:t>
      </w:r>
      <w:r>
        <w:rPr>
          <w:rFonts w:ascii="Times New Roman" w:hAnsi="Times New Roman" w:eastAsia="Times New Roman" w:cs="Times New Roman"/>
          <w:sz w:val="20"/>
          <w:szCs w:val="20"/>
        </w:rPr>
        <w:t>diseases</w:t>
      </w:r>
      <w:r>
        <w:rPr>
          <w:rFonts w:ascii="Times New Roman" w:hAnsi="Times New Roman" w:eastAsia="Times New Roman" w:cs="Times New Roman"/>
          <w:spacing w:val="11"/>
          <w:sz w:val="20"/>
          <w:szCs w:val="20"/>
        </w:rPr>
        <w:t>,</w:t>
      </w:r>
      <w:r>
        <w:rPr>
          <w:rFonts w:ascii="Times New Roman" w:hAnsi="Times New Roman" w:eastAsia="Times New Roman" w:cs="Times New Roman"/>
          <w:sz w:val="20"/>
          <w:szCs w:val="20"/>
        </w:rPr>
        <w:t>CDD</w:t>
      </w:r>
      <w:r>
        <w:rPr>
          <w:rFonts w:ascii="Times New Roman" w:hAnsi="Times New Roman" w:eastAsia="Times New Roman" w:cs="Times New Roman"/>
          <w:spacing w:val="11"/>
          <w:sz w:val="20"/>
          <w:szCs w:val="20"/>
        </w:rPr>
        <w:t>)</w:t>
      </w:r>
      <w:r>
        <w:rPr>
          <w:rFonts w:ascii="宋体" w:hAnsi="宋体" w:eastAsia="宋体" w:cs="宋体"/>
          <w:spacing w:val="11"/>
          <w:sz w:val="20"/>
          <w:szCs w:val="20"/>
        </w:rPr>
        <w:t>规划。该</w:t>
      </w:r>
      <w:r>
        <w:rPr>
          <w:rFonts w:ascii="宋体" w:hAnsi="宋体" w:eastAsia="宋体" w:cs="宋体"/>
          <w:sz w:val="20"/>
          <w:szCs w:val="20"/>
        </w:rPr>
        <w:t xml:space="preserve"> </w:t>
      </w:r>
      <w:r>
        <w:rPr>
          <w:rFonts w:ascii="宋体" w:hAnsi="宋体" w:eastAsia="宋体" w:cs="宋体"/>
          <w:spacing w:val="16"/>
          <w:sz w:val="20"/>
          <w:szCs w:val="20"/>
        </w:rPr>
        <w:t>规划的核心是要求世界各国有计划地落实：①感染性腹泻家庭治疗三原则；以口服补液盐</w:t>
      </w:r>
      <w:r>
        <w:rPr>
          <w:rFonts w:ascii="Times New Roman" w:hAnsi="Times New Roman" w:eastAsia="Times New Roman" w:cs="Times New Roman"/>
          <w:spacing w:val="16"/>
          <w:sz w:val="20"/>
          <w:szCs w:val="20"/>
        </w:rPr>
        <w:t>(</w:t>
      </w:r>
      <w:r>
        <w:rPr>
          <w:rFonts w:ascii="Times New Roman" w:hAnsi="Times New Roman" w:eastAsia="Times New Roman" w:cs="Times New Roman"/>
          <w:sz w:val="20"/>
          <w:szCs w:val="20"/>
        </w:rPr>
        <w:t>oral</w:t>
      </w:r>
      <w:r>
        <w:rPr>
          <w:rFonts w:ascii="Times New Roman" w:hAnsi="Times New Roman" w:eastAsia="Times New Roman" w:cs="Times New Roman"/>
          <w:spacing w:val="3"/>
          <w:sz w:val="20"/>
          <w:szCs w:val="20"/>
        </w:rPr>
        <w:t xml:space="preserve">   </w:t>
      </w:r>
      <w:r>
        <w:rPr>
          <w:rFonts w:ascii="Times New Roman" w:hAnsi="Times New Roman" w:eastAsia="Times New Roman" w:cs="Times New Roman"/>
          <w:sz w:val="20"/>
          <w:szCs w:val="20"/>
        </w:rPr>
        <w:t>rehydration</w:t>
      </w:r>
      <w:r>
        <w:rPr>
          <w:rFonts w:ascii="Times New Roman" w:hAnsi="Times New Roman" w:eastAsia="Times New Roman" w:cs="Times New Roman"/>
          <w:spacing w:val="8"/>
          <w:sz w:val="20"/>
          <w:szCs w:val="20"/>
        </w:rPr>
        <w:t xml:space="preserve">     </w:t>
      </w:r>
      <w:r>
        <w:rPr>
          <w:rFonts w:ascii="Times New Roman" w:hAnsi="Times New Roman" w:eastAsia="Times New Roman" w:cs="Times New Roman"/>
          <w:sz w:val="20"/>
          <w:szCs w:val="20"/>
        </w:rPr>
        <w:t>salt</w:t>
      </w:r>
      <w:r>
        <w:rPr>
          <w:rFonts w:ascii="Times New Roman" w:hAnsi="Times New Roman" w:eastAsia="Times New Roman" w:cs="Times New Roman"/>
          <w:spacing w:val="8"/>
          <w:sz w:val="20"/>
          <w:szCs w:val="20"/>
        </w:rPr>
        <w:t>,</w:t>
      </w:r>
      <w:r>
        <w:rPr>
          <w:rFonts w:ascii="Times New Roman" w:hAnsi="Times New Roman" w:eastAsia="Times New Roman" w:cs="Times New Roman"/>
          <w:sz w:val="20"/>
          <w:szCs w:val="20"/>
        </w:rPr>
        <w:t>ORS</w:t>
      </w:r>
      <w:r>
        <w:rPr>
          <w:rFonts w:ascii="Times New Roman" w:hAnsi="Times New Roman" w:eastAsia="Times New Roman" w:cs="Times New Roman"/>
          <w:spacing w:val="8"/>
          <w:sz w:val="20"/>
          <w:szCs w:val="20"/>
        </w:rPr>
        <w:t>)</w:t>
      </w:r>
      <w:r>
        <w:rPr>
          <w:rFonts w:ascii="宋体" w:hAnsi="宋体" w:eastAsia="宋体" w:cs="宋体"/>
          <w:spacing w:val="8"/>
          <w:sz w:val="20"/>
          <w:szCs w:val="20"/>
        </w:rPr>
        <w:t>为核心的口服补液疗法</w:t>
      </w:r>
      <w:r>
        <w:rPr>
          <w:rFonts w:ascii="Times New Roman" w:hAnsi="Times New Roman" w:eastAsia="Times New Roman" w:cs="Times New Roman"/>
          <w:spacing w:val="8"/>
          <w:sz w:val="20"/>
          <w:szCs w:val="20"/>
        </w:rPr>
        <w:t>(</w:t>
      </w:r>
      <w:r>
        <w:rPr>
          <w:rFonts w:ascii="Times New Roman" w:hAnsi="Times New Roman" w:eastAsia="Times New Roman" w:cs="Times New Roman"/>
          <w:sz w:val="20"/>
          <w:szCs w:val="20"/>
        </w:rPr>
        <w:t>oral</w:t>
      </w:r>
      <w:r>
        <w:rPr>
          <w:rFonts w:ascii="Times New Roman" w:hAnsi="Times New Roman" w:eastAsia="Times New Roman" w:cs="Times New Roman"/>
          <w:spacing w:val="8"/>
          <w:sz w:val="20"/>
          <w:szCs w:val="20"/>
        </w:rPr>
        <w:t xml:space="preserve">    </w:t>
      </w:r>
      <w:r>
        <w:rPr>
          <w:rFonts w:ascii="Times New Roman" w:hAnsi="Times New Roman" w:eastAsia="Times New Roman" w:cs="Times New Roman"/>
          <w:sz w:val="20"/>
          <w:szCs w:val="20"/>
        </w:rPr>
        <w:t>rehydration</w:t>
      </w:r>
      <w:r>
        <w:rPr>
          <w:rFonts w:ascii="Times New Roman" w:hAnsi="Times New Roman" w:eastAsia="Times New Roman" w:cs="Times New Roman"/>
          <w:spacing w:val="8"/>
          <w:sz w:val="20"/>
          <w:szCs w:val="20"/>
        </w:rPr>
        <w:t xml:space="preserve">    </w:t>
      </w:r>
      <w:r>
        <w:rPr>
          <w:rFonts w:ascii="Times New Roman" w:hAnsi="Times New Roman" w:eastAsia="Times New Roman" w:cs="Times New Roman"/>
          <w:sz w:val="20"/>
          <w:szCs w:val="20"/>
        </w:rPr>
        <w:t>therapy</w:t>
      </w:r>
      <w:r>
        <w:rPr>
          <w:rFonts w:ascii="Times New Roman" w:hAnsi="Times New Roman" w:eastAsia="Times New Roman" w:cs="Times New Roman"/>
          <w:spacing w:val="8"/>
          <w:sz w:val="20"/>
          <w:szCs w:val="20"/>
        </w:rPr>
        <w:t>,</w:t>
      </w:r>
      <w:r>
        <w:rPr>
          <w:rFonts w:ascii="Times New Roman" w:hAnsi="Times New Roman" w:eastAsia="Times New Roman" w:cs="Times New Roman"/>
          <w:sz w:val="20"/>
          <w:szCs w:val="20"/>
        </w:rPr>
        <w:t>ORT</w:t>
      </w:r>
      <w:r>
        <w:rPr>
          <w:rFonts w:ascii="Times New Roman" w:hAnsi="Times New Roman" w:eastAsia="Times New Roman" w:cs="Times New Roman"/>
          <w:spacing w:val="8"/>
          <w:sz w:val="20"/>
          <w:szCs w:val="20"/>
        </w:rPr>
        <w:t>)</w:t>
      </w:r>
      <w:r>
        <w:rPr>
          <w:rFonts w:ascii="宋体" w:hAnsi="宋体" w:eastAsia="宋体" w:cs="宋体"/>
          <w:spacing w:val="8"/>
          <w:sz w:val="20"/>
          <w:szCs w:val="20"/>
        </w:rPr>
        <w:t>治疗和</w:t>
      </w:r>
      <w:r>
        <w:rPr>
          <w:rFonts w:ascii="Times New Roman" w:hAnsi="Times New Roman" w:eastAsia="Times New Roman" w:cs="Times New Roman"/>
          <w:sz w:val="20"/>
          <w:szCs w:val="20"/>
        </w:rPr>
        <w:t>ORS</w:t>
      </w:r>
      <w:r>
        <w:rPr>
          <w:rFonts w:ascii="Times New Roman" w:hAnsi="Times New Roman" w:eastAsia="Times New Roman" w:cs="Times New Roman"/>
          <w:spacing w:val="8"/>
          <w:sz w:val="20"/>
          <w:szCs w:val="20"/>
        </w:rPr>
        <w:t xml:space="preserve"> </w:t>
      </w:r>
      <w:r>
        <w:rPr>
          <w:rFonts w:ascii="宋体" w:hAnsi="宋体" w:eastAsia="宋体" w:cs="宋体"/>
          <w:spacing w:val="8"/>
          <w:sz w:val="20"/>
          <w:szCs w:val="20"/>
        </w:rPr>
        <w:t>生产及供</w:t>
      </w:r>
      <w:r>
        <w:rPr>
          <w:rFonts w:ascii="宋体" w:hAnsi="宋体" w:eastAsia="宋体" w:cs="宋体"/>
          <w:spacing w:val="7"/>
          <w:sz w:val="20"/>
          <w:szCs w:val="20"/>
        </w:rPr>
        <w:t xml:space="preserve"> 应，以降低感染性腹泻死亡率；②通过普及7项预防措施(如母乳喂养、合理添加辅食、喝开水及使</w:t>
      </w:r>
      <w:r>
        <w:rPr>
          <w:rFonts w:ascii="宋体" w:hAnsi="宋体" w:eastAsia="宋体" w:cs="宋体"/>
          <w:spacing w:val="1"/>
          <w:sz w:val="20"/>
          <w:szCs w:val="20"/>
        </w:rPr>
        <w:t xml:space="preserve"> </w:t>
      </w:r>
      <w:r>
        <w:rPr>
          <w:rFonts w:ascii="宋体" w:hAnsi="宋体" w:eastAsia="宋体" w:cs="宋体"/>
          <w:spacing w:val="7"/>
          <w:sz w:val="20"/>
          <w:szCs w:val="20"/>
        </w:rPr>
        <w:t>用清洁水、洗手、使用厕所和正确处理粪便等)以降低感染性腹泻发病率。目前</w:t>
      </w:r>
      <w:r>
        <w:rPr>
          <w:rFonts w:ascii="Times New Roman" w:hAnsi="Times New Roman" w:eastAsia="Times New Roman" w:cs="Times New Roman"/>
          <w:sz w:val="20"/>
          <w:szCs w:val="20"/>
        </w:rPr>
        <w:t>WHO</w:t>
      </w:r>
      <w:r>
        <w:rPr>
          <w:rFonts w:ascii="Times New Roman" w:hAnsi="Times New Roman" w:eastAsia="Times New Roman" w:cs="Times New Roman"/>
          <w:spacing w:val="-7"/>
          <w:sz w:val="20"/>
          <w:szCs w:val="20"/>
        </w:rPr>
        <w:t xml:space="preserve"> </w:t>
      </w:r>
      <w:r>
        <w:rPr>
          <w:rFonts w:ascii="宋体" w:hAnsi="宋体" w:eastAsia="宋体" w:cs="宋体"/>
          <w:spacing w:val="7"/>
          <w:sz w:val="20"/>
          <w:szCs w:val="20"/>
        </w:rPr>
        <w:t>倡导的关键预</w:t>
      </w:r>
      <w:r>
        <w:rPr>
          <w:rFonts w:ascii="宋体" w:hAnsi="宋体" w:eastAsia="宋体" w:cs="宋体"/>
          <w:sz w:val="20"/>
          <w:szCs w:val="20"/>
        </w:rPr>
        <w:t xml:space="preserve"> </w:t>
      </w:r>
      <w:r>
        <w:rPr>
          <w:rFonts w:ascii="宋体" w:hAnsi="宋体" w:eastAsia="宋体" w:cs="宋体"/>
          <w:spacing w:val="7"/>
          <w:sz w:val="20"/>
          <w:szCs w:val="20"/>
        </w:rPr>
        <w:t>防策略包括7个方面：获得安全饮用水，使用经过改良的卫生设施，用肥皂洗手，出生后前6个月纯</w:t>
      </w:r>
      <w:r>
        <w:rPr>
          <w:rFonts w:ascii="宋体" w:hAnsi="宋体" w:eastAsia="宋体" w:cs="宋体"/>
          <w:sz w:val="20"/>
          <w:szCs w:val="20"/>
        </w:rPr>
        <w:t xml:space="preserve"> </w:t>
      </w:r>
      <w:r>
        <w:rPr>
          <w:rFonts w:ascii="宋体" w:hAnsi="宋体" w:eastAsia="宋体" w:cs="宋体"/>
          <w:spacing w:val="4"/>
          <w:sz w:val="20"/>
          <w:szCs w:val="20"/>
        </w:rPr>
        <w:t>母乳喂养，良好的个人卫生习惯及食品卫生，有关感染如何传播的健康教育，接种轮状病</w:t>
      </w:r>
      <w:r>
        <w:rPr>
          <w:rFonts w:ascii="宋体" w:hAnsi="宋体" w:eastAsia="宋体" w:cs="宋体"/>
          <w:spacing w:val="3"/>
          <w:sz w:val="20"/>
          <w:szCs w:val="20"/>
        </w:rPr>
        <w:t>毒疫苗。</w:t>
      </w:r>
    </w:p>
    <w:p w14:paraId="7566A56E">
      <w:pPr>
        <w:spacing w:before="39" w:line="346" w:lineRule="auto"/>
        <w:ind w:left="699" w:right="40" w:firstLine="439"/>
        <w:rPr>
          <w:rFonts w:ascii="宋体" w:hAnsi="宋体" w:eastAsia="宋体" w:cs="宋体"/>
          <w:sz w:val="20"/>
          <w:szCs w:val="20"/>
        </w:rPr>
      </w:pPr>
      <w:r>
        <w:rPr>
          <w:rFonts w:ascii="宋体" w:hAnsi="宋体" w:eastAsia="宋体" w:cs="宋体"/>
          <w:spacing w:val="10"/>
          <w:sz w:val="20"/>
          <w:szCs w:val="20"/>
        </w:rPr>
        <w:t>2017年，</w:t>
      </w:r>
      <w:r>
        <w:rPr>
          <w:rFonts w:ascii="Times New Roman" w:hAnsi="Times New Roman" w:eastAsia="Times New Roman" w:cs="Times New Roman"/>
          <w:sz w:val="20"/>
          <w:szCs w:val="20"/>
        </w:rPr>
        <w:t>WHO</w:t>
      </w:r>
      <w:r>
        <w:rPr>
          <w:rFonts w:ascii="Times New Roman" w:hAnsi="Times New Roman" w:eastAsia="Times New Roman" w:cs="Times New Roman"/>
          <w:spacing w:val="10"/>
          <w:sz w:val="20"/>
          <w:szCs w:val="20"/>
        </w:rPr>
        <w:t xml:space="preserve"> </w:t>
      </w:r>
      <w:r>
        <w:rPr>
          <w:rFonts w:ascii="宋体" w:hAnsi="宋体" w:eastAsia="宋体" w:cs="宋体"/>
          <w:spacing w:val="10"/>
          <w:sz w:val="20"/>
          <w:szCs w:val="20"/>
        </w:rPr>
        <w:t>发布了《消除霍乱：到2030年的全球路线图》,要求将霍乱死亡减少90%;并继</w:t>
      </w:r>
      <w:r>
        <w:rPr>
          <w:rFonts w:ascii="宋体" w:hAnsi="宋体" w:eastAsia="宋体" w:cs="宋体"/>
          <w:spacing w:val="11"/>
          <w:sz w:val="20"/>
          <w:szCs w:val="20"/>
        </w:rPr>
        <w:t xml:space="preserve"> </w:t>
      </w:r>
      <w:r>
        <w:rPr>
          <w:rFonts w:ascii="宋体" w:hAnsi="宋体" w:eastAsia="宋体" w:cs="宋体"/>
          <w:spacing w:val="9"/>
          <w:sz w:val="20"/>
          <w:szCs w:val="20"/>
        </w:rPr>
        <w:t>续通过以下方式对各国提供支持：加强公共卫生监测、病例管理和预防措施，提</w:t>
      </w:r>
      <w:r>
        <w:rPr>
          <w:rFonts w:ascii="宋体" w:hAnsi="宋体" w:eastAsia="宋体" w:cs="宋体"/>
          <w:spacing w:val="8"/>
          <w:sz w:val="20"/>
          <w:szCs w:val="20"/>
        </w:rPr>
        <w:t>供基本医疗用品，</w:t>
      </w:r>
    </w:p>
    <w:p w14:paraId="78AE20CF">
      <w:pPr>
        <w:spacing w:line="346" w:lineRule="auto"/>
        <w:rPr>
          <w:rFonts w:ascii="宋体" w:hAnsi="宋体" w:eastAsia="宋体" w:cs="宋体"/>
          <w:sz w:val="20"/>
          <w:szCs w:val="20"/>
        </w:rPr>
        <w:sectPr>
          <w:footerReference r:id="rId365" w:type="default"/>
          <w:pgSz w:w="11900" w:h="16820"/>
          <w:pgMar w:top="400" w:right="1419" w:bottom="869" w:left="760" w:header="0" w:footer="689" w:gutter="0"/>
          <w:cols w:space="720" w:num="1"/>
        </w:sectPr>
      </w:pPr>
    </w:p>
    <w:p w14:paraId="181C4D87">
      <w:pPr>
        <w:pStyle w:val="2"/>
        <w:spacing w:before="204" w:line="222" w:lineRule="auto"/>
        <w:ind w:left="6762"/>
        <w:rPr>
          <w:sz w:val="20"/>
          <w:szCs w:val="20"/>
        </w:rPr>
      </w:pPr>
      <w:r>
        <w:rPr>
          <w:b/>
          <w:bCs/>
          <w:spacing w:val="-21"/>
          <w:w w:val="96"/>
          <w:sz w:val="20"/>
          <w:szCs w:val="20"/>
        </w:rPr>
        <w:t>第二十二章</w:t>
      </w:r>
      <w:r>
        <w:rPr>
          <w:spacing w:val="-21"/>
          <w:w w:val="96"/>
          <w:sz w:val="20"/>
          <w:szCs w:val="20"/>
        </w:rPr>
        <w:t xml:space="preserve"> </w:t>
      </w:r>
      <w:r>
        <w:rPr>
          <w:b/>
          <w:bCs/>
          <w:spacing w:val="-21"/>
          <w:w w:val="96"/>
          <w:sz w:val="20"/>
          <w:szCs w:val="20"/>
        </w:rPr>
        <w:t>感染性腹泻</w:t>
      </w:r>
    </w:p>
    <w:p w14:paraId="564125EC">
      <w:pPr>
        <w:spacing w:line="292" w:lineRule="auto"/>
        <w:rPr>
          <w:rFonts w:ascii="Arial"/>
          <w:sz w:val="21"/>
        </w:rPr>
      </w:pPr>
    </w:p>
    <w:p w14:paraId="140AEDDF">
      <w:pPr>
        <w:spacing w:line="293" w:lineRule="auto"/>
        <w:rPr>
          <w:rFonts w:ascii="Arial"/>
          <w:sz w:val="21"/>
        </w:rPr>
      </w:pPr>
    </w:p>
    <w:p w14:paraId="05BA92CB">
      <w:pPr>
        <w:spacing w:before="65" w:line="219" w:lineRule="auto"/>
        <w:rPr>
          <w:rFonts w:ascii="宋体" w:hAnsi="宋体" w:eastAsia="宋体" w:cs="宋体"/>
          <w:sz w:val="20"/>
          <w:szCs w:val="20"/>
        </w:rPr>
      </w:pPr>
      <w:r>
        <w:rPr>
          <w:rFonts w:ascii="宋体" w:hAnsi="宋体" w:eastAsia="宋体" w:cs="宋体"/>
          <w:spacing w:val="-3"/>
          <w:sz w:val="20"/>
          <w:szCs w:val="20"/>
        </w:rPr>
        <w:t>协同合作伙伴实地部署，以及支持风险沟通和社区参与。</w:t>
      </w:r>
    </w:p>
    <w:p w14:paraId="75D07202">
      <w:pPr>
        <w:pStyle w:val="2"/>
        <w:spacing w:before="291" w:line="223" w:lineRule="auto"/>
        <w:ind w:left="433"/>
        <w:outlineLvl w:val="4"/>
        <w:rPr>
          <w:sz w:val="23"/>
          <w:szCs w:val="23"/>
        </w:rPr>
      </w:pPr>
      <w:bookmarkStart w:id="580" w:name="bookmark362"/>
      <w:bookmarkEnd w:id="580"/>
      <w:r>
        <w:rPr>
          <w:b/>
          <w:bCs/>
          <w:spacing w:val="-20"/>
          <w:sz w:val="23"/>
          <w:szCs w:val="23"/>
        </w:rPr>
        <w:t>二</w:t>
      </w:r>
      <w:r>
        <w:rPr>
          <w:spacing w:val="-33"/>
          <w:sz w:val="23"/>
          <w:szCs w:val="23"/>
        </w:rPr>
        <w:t xml:space="preserve"> </w:t>
      </w:r>
      <w:r>
        <w:rPr>
          <w:b/>
          <w:bCs/>
          <w:spacing w:val="-20"/>
          <w:sz w:val="23"/>
          <w:szCs w:val="23"/>
        </w:rPr>
        <w:t>、措</w:t>
      </w:r>
      <w:r>
        <w:rPr>
          <w:spacing w:val="-37"/>
          <w:sz w:val="23"/>
          <w:szCs w:val="23"/>
        </w:rPr>
        <w:t xml:space="preserve"> </w:t>
      </w:r>
      <w:r>
        <w:rPr>
          <w:b/>
          <w:bCs/>
          <w:spacing w:val="-20"/>
          <w:sz w:val="23"/>
          <w:szCs w:val="23"/>
        </w:rPr>
        <w:t>施</w:t>
      </w:r>
    </w:p>
    <w:p w14:paraId="63E1C3C9">
      <w:pPr>
        <w:spacing w:before="242" w:line="345" w:lineRule="auto"/>
        <w:ind w:right="639" w:firstLine="429"/>
        <w:rPr>
          <w:rFonts w:ascii="宋体" w:hAnsi="宋体" w:eastAsia="宋体" w:cs="宋体"/>
          <w:sz w:val="20"/>
          <w:szCs w:val="20"/>
        </w:rPr>
      </w:pPr>
      <w:r>
        <w:rPr>
          <w:rFonts w:ascii="宋体" w:hAnsi="宋体" w:eastAsia="宋体" w:cs="宋体"/>
          <w:spacing w:val="-1"/>
          <w:sz w:val="20"/>
          <w:szCs w:val="20"/>
        </w:rPr>
        <w:t>我国主要采取以切断传播途径为主导的综合性措施，</w:t>
      </w:r>
      <w:r>
        <w:rPr>
          <w:rFonts w:ascii="宋体" w:hAnsi="宋体" w:eastAsia="宋体" w:cs="宋体"/>
          <w:spacing w:val="-2"/>
          <w:sz w:val="20"/>
          <w:szCs w:val="20"/>
        </w:rPr>
        <w:t>同时加强群体预防和个体预防相结合、医</w:t>
      </w:r>
      <w:r>
        <w:rPr>
          <w:rFonts w:ascii="宋体" w:hAnsi="宋体" w:eastAsia="宋体" w:cs="宋体"/>
          <w:sz w:val="20"/>
          <w:szCs w:val="20"/>
        </w:rPr>
        <w:t xml:space="preserve"> </w:t>
      </w:r>
      <w:r>
        <w:rPr>
          <w:rFonts w:ascii="宋体" w:hAnsi="宋体" w:eastAsia="宋体" w:cs="宋体"/>
          <w:spacing w:val="1"/>
          <w:sz w:val="20"/>
          <w:szCs w:val="20"/>
        </w:rPr>
        <w:t>学预防和社会预防相结合的策略。</w:t>
      </w:r>
    </w:p>
    <w:p w14:paraId="70235553">
      <w:pPr>
        <w:pStyle w:val="2"/>
        <w:spacing w:before="1" w:line="220" w:lineRule="auto"/>
        <w:ind w:left="433"/>
        <w:rPr>
          <w:sz w:val="23"/>
          <w:szCs w:val="23"/>
        </w:rPr>
      </w:pPr>
      <w:r>
        <w:rPr>
          <w:b/>
          <w:bCs/>
          <w:spacing w:val="-8"/>
          <w:sz w:val="23"/>
          <w:szCs w:val="23"/>
        </w:rPr>
        <w:t>(一)对传染源的措施</w:t>
      </w:r>
    </w:p>
    <w:p w14:paraId="2AFEB5FB">
      <w:pPr>
        <w:spacing w:before="107" w:line="219" w:lineRule="auto"/>
        <w:ind w:left="429"/>
        <w:rPr>
          <w:rFonts w:ascii="宋体" w:hAnsi="宋体" w:eastAsia="宋体" w:cs="宋体"/>
          <w:sz w:val="20"/>
          <w:szCs w:val="20"/>
        </w:rPr>
      </w:pPr>
      <w:r>
        <w:rPr>
          <w:rFonts w:ascii="宋体" w:hAnsi="宋体" w:eastAsia="宋体" w:cs="宋体"/>
          <w:spacing w:val="-1"/>
          <w:sz w:val="20"/>
          <w:szCs w:val="20"/>
        </w:rPr>
        <w:t>传染源的早期发现与管理是感染性腹泻防制的重点之一</w:t>
      </w:r>
      <w:r>
        <w:rPr>
          <w:rFonts w:ascii="宋体" w:hAnsi="宋体" w:eastAsia="宋体" w:cs="宋体"/>
          <w:spacing w:val="-2"/>
          <w:sz w:val="20"/>
          <w:szCs w:val="20"/>
        </w:rPr>
        <w:t>，为此要开展以下几项工作：</w:t>
      </w:r>
    </w:p>
    <w:p w14:paraId="0A2FACE4">
      <w:pPr>
        <w:pStyle w:val="2"/>
        <w:spacing w:before="118" w:line="318" w:lineRule="auto"/>
        <w:ind w:right="572" w:firstLine="432"/>
        <w:rPr>
          <w:rFonts w:ascii="宋体" w:hAnsi="宋体" w:eastAsia="宋体" w:cs="宋体"/>
          <w:sz w:val="20"/>
          <w:szCs w:val="20"/>
        </w:rPr>
      </w:pPr>
      <w:r>
        <w:rPr>
          <w:rFonts w:ascii="宋体" w:hAnsi="宋体" w:eastAsia="宋体" w:cs="宋体"/>
          <w:b/>
          <w:bCs/>
          <w:spacing w:val="3"/>
          <w:sz w:val="20"/>
          <w:szCs w:val="20"/>
        </w:rPr>
        <w:t>1.</w:t>
      </w:r>
      <w:r>
        <w:rPr>
          <w:rFonts w:ascii="宋体" w:hAnsi="宋体" w:eastAsia="宋体" w:cs="宋体"/>
          <w:spacing w:val="3"/>
          <w:sz w:val="20"/>
          <w:szCs w:val="20"/>
        </w:rPr>
        <w:t xml:space="preserve"> </w:t>
      </w:r>
      <w:r>
        <w:rPr>
          <w:b/>
          <w:bCs/>
          <w:spacing w:val="3"/>
          <w:sz w:val="20"/>
          <w:szCs w:val="20"/>
        </w:rPr>
        <w:t>设立防治门诊</w:t>
      </w:r>
      <w:r>
        <w:rPr>
          <w:spacing w:val="66"/>
          <w:sz w:val="20"/>
          <w:szCs w:val="20"/>
        </w:rPr>
        <w:t xml:space="preserve"> </w:t>
      </w:r>
      <w:r>
        <w:rPr>
          <w:rFonts w:ascii="宋体" w:hAnsi="宋体" w:eastAsia="宋体" w:cs="宋体"/>
          <w:spacing w:val="3"/>
          <w:sz w:val="20"/>
          <w:szCs w:val="20"/>
        </w:rPr>
        <w:t>各级医院和乡卫生院应在感染性腹泻流行季节(或常年)设立腹泻病</w:t>
      </w:r>
      <w:r>
        <w:rPr>
          <w:rFonts w:ascii="宋体" w:hAnsi="宋体" w:eastAsia="宋体" w:cs="宋体"/>
          <w:spacing w:val="2"/>
          <w:sz w:val="20"/>
          <w:szCs w:val="20"/>
        </w:rPr>
        <w:t>门诊。</w:t>
      </w:r>
      <w:r>
        <w:rPr>
          <w:rFonts w:ascii="宋体" w:hAnsi="宋体" w:eastAsia="宋体" w:cs="宋体"/>
          <w:sz w:val="20"/>
          <w:szCs w:val="20"/>
        </w:rPr>
        <w:t xml:space="preserve"> </w:t>
      </w:r>
      <w:r>
        <w:rPr>
          <w:rFonts w:ascii="宋体" w:hAnsi="宋体" w:eastAsia="宋体" w:cs="宋体"/>
          <w:spacing w:val="-2"/>
          <w:sz w:val="20"/>
          <w:szCs w:val="20"/>
        </w:rPr>
        <w:t>由于感染性腹泻的病原体种类繁多、发病形式各异，应用现代分子生物学技术研制新的实验室诊断</w:t>
      </w:r>
      <w:r>
        <w:rPr>
          <w:rFonts w:ascii="宋体" w:hAnsi="宋体" w:eastAsia="宋体" w:cs="宋体"/>
          <w:spacing w:val="6"/>
          <w:sz w:val="20"/>
          <w:szCs w:val="20"/>
        </w:rPr>
        <w:t xml:space="preserve">  </w:t>
      </w:r>
      <w:r>
        <w:rPr>
          <w:rFonts w:ascii="宋体" w:hAnsi="宋体" w:eastAsia="宋体" w:cs="宋体"/>
          <w:spacing w:val="-1"/>
          <w:sz w:val="20"/>
          <w:szCs w:val="20"/>
        </w:rPr>
        <w:t>方法是实现感染性腹泻快速、准确诊断的关键，尤其是对于新发现的病原体要迅速形成方便、快速</w:t>
      </w:r>
      <w:r>
        <w:rPr>
          <w:rFonts w:ascii="宋体" w:hAnsi="宋体" w:eastAsia="宋体" w:cs="宋体"/>
          <w:spacing w:val="9"/>
          <w:sz w:val="20"/>
          <w:szCs w:val="20"/>
        </w:rPr>
        <w:t xml:space="preserve"> </w:t>
      </w:r>
      <w:r>
        <w:rPr>
          <w:rFonts w:ascii="宋体" w:hAnsi="宋体" w:eastAsia="宋体" w:cs="宋体"/>
          <w:spacing w:val="-1"/>
          <w:sz w:val="20"/>
          <w:szCs w:val="20"/>
        </w:rPr>
        <w:t>的诊断方法并予以普及。核酸检测技术、快速简便的检测方法等的研发和应用，提高了腹泻病例的</w:t>
      </w:r>
      <w:r>
        <w:rPr>
          <w:rFonts w:ascii="宋体" w:hAnsi="宋体" w:eastAsia="宋体" w:cs="宋体"/>
          <w:spacing w:val="17"/>
          <w:sz w:val="20"/>
          <w:szCs w:val="20"/>
        </w:rPr>
        <w:t xml:space="preserve"> </w:t>
      </w:r>
      <w:r>
        <w:rPr>
          <w:rFonts w:ascii="宋体" w:hAnsi="宋体" w:eastAsia="宋体" w:cs="宋体"/>
          <w:spacing w:val="-1"/>
          <w:sz w:val="20"/>
          <w:szCs w:val="20"/>
        </w:rPr>
        <w:t>病原学诊断率，并且多病原体同时筛查的诊断方法正在普及。</w:t>
      </w:r>
    </w:p>
    <w:p w14:paraId="109B9212">
      <w:pPr>
        <w:pStyle w:val="2"/>
        <w:spacing w:before="147" w:line="306" w:lineRule="auto"/>
        <w:ind w:right="551" w:firstLine="432"/>
        <w:rPr>
          <w:rFonts w:ascii="宋体" w:hAnsi="宋体" w:eastAsia="宋体" w:cs="宋体"/>
          <w:sz w:val="20"/>
          <w:szCs w:val="20"/>
        </w:rPr>
      </w:pPr>
      <w:r>
        <w:rPr>
          <w:rFonts w:ascii="宋体" w:hAnsi="宋体" w:eastAsia="宋体" w:cs="宋体"/>
          <w:b/>
          <w:bCs/>
          <w:spacing w:val="-1"/>
          <w:sz w:val="20"/>
          <w:szCs w:val="20"/>
        </w:rPr>
        <w:t>2.</w:t>
      </w:r>
      <w:r>
        <w:rPr>
          <w:rFonts w:ascii="宋体" w:hAnsi="宋体" w:eastAsia="宋体" w:cs="宋体"/>
          <w:spacing w:val="-1"/>
          <w:sz w:val="20"/>
          <w:szCs w:val="20"/>
        </w:rPr>
        <w:t xml:space="preserve"> </w:t>
      </w:r>
      <w:r>
        <w:rPr>
          <w:b/>
          <w:bCs/>
          <w:spacing w:val="-1"/>
          <w:sz w:val="20"/>
          <w:szCs w:val="20"/>
        </w:rPr>
        <w:t>完善监测报告体系</w:t>
      </w:r>
      <w:r>
        <w:rPr>
          <w:spacing w:val="47"/>
          <w:sz w:val="20"/>
          <w:szCs w:val="20"/>
        </w:rPr>
        <w:t xml:space="preserve"> </w:t>
      </w:r>
      <w:r>
        <w:rPr>
          <w:rFonts w:ascii="宋体" w:hAnsi="宋体" w:eastAsia="宋体" w:cs="宋体"/>
          <w:spacing w:val="-1"/>
          <w:sz w:val="20"/>
          <w:szCs w:val="20"/>
        </w:rPr>
        <w:t>我国《传染病防治法》将不同病原引起的感染性腹泻分别列为甲、乙、</w:t>
      </w:r>
      <w:r>
        <w:rPr>
          <w:rFonts w:ascii="宋体" w:hAnsi="宋体" w:eastAsia="宋体" w:cs="宋体"/>
          <w:sz w:val="20"/>
          <w:szCs w:val="20"/>
        </w:rPr>
        <w:t xml:space="preserve"> 丙三类进行分级管理，执行基于临床的感染性腹泻报告制度，以便及</w:t>
      </w:r>
      <w:r>
        <w:rPr>
          <w:rFonts w:ascii="宋体" w:hAnsi="宋体" w:eastAsia="宋体" w:cs="宋体"/>
          <w:spacing w:val="-1"/>
          <w:sz w:val="20"/>
          <w:szCs w:val="20"/>
        </w:rPr>
        <w:t>时发现病例异常增多或疾病暴</w:t>
      </w:r>
      <w:r>
        <w:rPr>
          <w:rFonts w:ascii="宋体" w:hAnsi="宋体" w:eastAsia="宋体" w:cs="宋体"/>
          <w:sz w:val="20"/>
          <w:szCs w:val="20"/>
        </w:rPr>
        <w:t xml:space="preserve"> 发。同时，在流行季节前或流行时，应加强对相关食品(尤其是水产品)</w:t>
      </w:r>
      <w:r>
        <w:rPr>
          <w:rFonts w:ascii="宋体" w:hAnsi="宋体" w:eastAsia="宋体" w:cs="宋体"/>
          <w:spacing w:val="-1"/>
          <w:sz w:val="20"/>
          <w:szCs w:val="20"/>
        </w:rPr>
        <w:t>和生活相关水体等的病原体</w:t>
      </w:r>
      <w:r>
        <w:rPr>
          <w:rFonts w:ascii="宋体" w:hAnsi="宋体" w:eastAsia="宋体" w:cs="宋体"/>
          <w:sz w:val="20"/>
          <w:szCs w:val="20"/>
        </w:rPr>
        <w:t xml:space="preserve"> </w:t>
      </w:r>
      <w:r>
        <w:rPr>
          <w:rFonts w:ascii="宋体" w:hAnsi="宋体" w:eastAsia="宋体" w:cs="宋体"/>
          <w:spacing w:val="13"/>
          <w:sz w:val="20"/>
          <w:szCs w:val="20"/>
        </w:rPr>
        <w:t>监测。</w:t>
      </w:r>
    </w:p>
    <w:p w14:paraId="76D2A46D">
      <w:pPr>
        <w:pStyle w:val="2"/>
        <w:spacing w:before="156" w:line="312" w:lineRule="auto"/>
        <w:ind w:right="626" w:firstLine="432"/>
        <w:rPr>
          <w:rFonts w:ascii="宋体" w:hAnsi="宋体" w:eastAsia="宋体" w:cs="宋体"/>
          <w:sz w:val="20"/>
          <w:szCs w:val="20"/>
        </w:rPr>
      </w:pPr>
      <w:r>
        <w:rPr>
          <w:rFonts w:ascii="宋体" w:hAnsi="宋体" w:eastAsia="宋体" w:cs="宋体"/>
          <w:b/>
          <w:bCs/>
          <w:spacing w:val="2"/>
          <w:sz w:val="20"/>
          <w:szCs w:val="20"/>
        </w:rPr>
        <w:t>3.</w:t>
      </w:r>
      <w:r>
        <w:rPr>
          <w:rFonts w:ascii="宋体" w:hAnsi="宋体" w:eastAsia="宋体" w:cs="宋体"/>
          <w:spacing w:val="2"/>
          <w:sz w:val="20"/>
          <w:szCs w:val="20"/>
        </w:rPr>
        <w:t xml:space="preserve"> </w:t>
      </w:r>
      <w:r>
        <w:rPr>
          <w:b/>
          <w:bCs/>
          <w:spacing w:val="2"/>
          <w:sz w:val="20"/>
          <w:szCs w:val="20"/>
        </w:rPr>
        <w:t>开展疫情处置</w:t>
      </w:r>
      <w:r>
        <w:rPr>
          <w:spacing w:val="61"/>
          <w:sz w:val="20"/>
          <w:szCs w:val="20"/>
        </w:rPr>
        <w:t xml:space="preserve"> </w:t>
      </w:r>
      <w:r>
        <w:rPr>
          <w:rFonts w:ascii="宋体" w:hAnsi="宋体" w:eastAsia="宋体" w:cs="宋体"/>
          <w:spacing w:val="2"/>
          <w:sz w:val="20"/>
          <w:szCs w:val="20"/>
        </w:rPr>
        <w:t>疾控系统需迅速调查处置暴发疫情或新病</w:t>
      </w:r>
      <w:r>
        <w:rPr>
          <w:rFonts w:ascii="宋体" w:hAnsi="宋体" w:eastAsia="宋体" w:cs="宋体"/>
          <w:spacing w:val="1"/>
          <w:sz w:val="20"/>
          <w:szCs w:val="20"/>
        </w:rPr>
        <w:t>原引发的感染，食品安全部门负</w:t>
      </w:r>
      <w:r>
        <w:rPr>
          <w:rFonts w:ascii="宋体" w:hAnsi="宋体" w:eastAsia="宋体" w:cs="宋体"/>
          <w:sz w:val="20"/>
          <w:szCs w:val="20"/>
        </w:rPr>
        <w:t xml:space="preserve"> 责食品安全监督调查，医疗机构开展病例的隔离救治。同时，</w:t>
      </w:r>
      <w:r>
        <w:rPr>
          <w:rFonts w:ascii="宋体" w:hAnsi="宋体" w:eastAsia="宋体" w:cs="宋体"/>
          <w:spacing w:val="-1"/>
          <w:sz w:val="20"/>
          <w:szCs w:val="20"/>
        </w:rPr>
        <w:t>卫生行政部门应向社会通报疫情，动</w:t>
      </w:r>
      <w:r>
        <w:rPr>
          <w:rFonts w:ascii="宋体" w:hAnsi="宋体" w:eastAsia="宋体" w:cs="宋体"/>
          <w:sz w:val="20"/>
          <w:szCs w:val="20"/>
        </w:rPr>
        <w:t xml:space="preserve"> </w:t>
      </w:r>
      <w:r>
        <w:rPr>
          <w:rFonts w:ascii="宋体" w:hAnsi="宋体" w:eastAsia="宋体" w:cs="宋体"/>
          <w:spacing w:val="-10"/>
          <w:sz w:val="20"/>
          <w:szCs w:val="20"/>
        </w:rPr>
        <w:t>员社会力量参与防控。对感染者采取“五早一就”策略，即早发现、早诊断、早报告、早隔离、早治疗</w:t>
      </w:r>
      <w:r>
        <w:rPr>
          <w:rFonts w:ascii="宋体" w:hAnsi="宋体" w:eastAsia="宋体" w:cs="宋体"/>
          <w:spacing w:val="17"/>
          <w:sz w:val="20"/>
          <w:szCs w:val="20"/>
        </w:rPr>
        <w:t xml:space="preserve"> </w:t>
      </w:r>
      <w:r>
        <w:rPr>
          <w:rFonts w:ascii="宋体" w:hAnsi="宋体" w:eastAsia="宋体" w:cs="宋体"/>
          <w:spacing w:val="7"/>
          <w:sz w:val="20"/>
          <w:szCs w:val="20"/>
        </w:rPr>
        <w:t>和就地卫生处理。</w:t>
      </w:r>
    </w:p>
    <w:p w14:paraId="40C918E3">
      <w:pPr>
        <w:pStyle w:val="2"/>
        <w:spacing w:before="118" w:line="222" w:lineRule="auto"/>
        <w:ind w:left="433"/>
        <w:rPr>
          <w:sz w:val="23"/>
          <w:szCs w:val="23"/>
        </w:rPr>
      </w:pPr>
      <w:r>
        <w:rPr>
          <w:b/>
          <w:bCs/>
          <w:spacing w:val="-3"/>
          <w:sz w:val="23"/>
          <w:szCs w:val="23"/>
        </w:rPr>
        <w:t>(二)切断传播途径</w:t>
      </w:r>
    </w:p>
    <w:p w14:paraId="6CB589A8">
      <w:pPr>
        <w:spacing w:before="105" w:line="219" w:lineRule="auto"/>
        <w:ind w:left="429"/>
        <w:rPr>
          <w:rFonts w:ascii="宋体" w:hAnsi="宋体" w:eastAsia="宋体" w:cs="宋体"/>
          <w:sz w:val="20"/>
          <w:szCs w:val="20"/>
        </w:rPr>
      </w:pPr>
      <w:r>
        <w:rPr>
          <w:rFonts w:ascii="宋体" w:hAnsi="宋体" w:eastAsia="宋体" w:cs="宋体"/>
          <w:spacing w:val="1"/>
          <w:sz w:val="20"/>
          <w:szCs w:val="20"/>
        </w:rPr>
        <w:t>主要采取以下三项措施：</w:t>
      </w:r>
    </w:p>
    <w:p w14:paraId="3E935B59">
      <w:pPr>
        <w:pStyle w:val="2"/>
        <w:spacing w:before="131" w:line="279" w:lineRule="auto"/>
        <w:ind w:right="623" w:firstLine="432"/>
        <w:rPr>
          <w:rFonts w:ascii="宋体" w:hAnsi="宋体" w:eastAsia="宋体" w:cs="宋体"/>
          <w:sz w:val="20"/>
          <w:szCs w:val="20"/>
        </w:rPr>
      </w:pPr>
      <w:r>
        <w:rPr>
          <w:b/>
          <w:bCs/>
          <w:spacing w:val="-4"/>
          <w:sz w:val="20"/>
          <w:szCs w:val="20"/>
        </w:rPr>
        <w:t>1.</w:t>
      </w:r>
      <w:r>
        <w:rPr>
          <w:spacing w:val="-59"/>
          <w:sz w:val="20"/>
          <w:szCs w:val="20"/>
        </w:rPr>
        <w:t xml:space="preserve"> </w:t>
      </w:r>
      <w:r>
        <w:rPr>
          <w:b/>
          <w:bCs/>
          <w:spacing w:val="-4"/>
          <w:sz w:val="20"/>
          <w:szCs w:val="20"/>
        </w:rPr>
        <w:t>“三管一灭</w:t>
      </w:r>
      <w:r>
        <w:rPr>
          <w:rFonts w:ascii="宋体" w:hAnsi="宋体" w:eastAsia="宋体" w:cs="宋体"/>
          <w:b/>
          <w:bCs/>
          <w:spacing w:val="-4"/>
          <w:sz w:val="20"/>
          <w:szCs w:val="20"/>
        </w:rPr>
        <w:t>”</w:t>
      </w:r>
      <w:r>
        <w:rPr>
          <w:rFonts w:ascii="宋体" w:hAnsi="宋体" w:eastAsia="宋体" w:cs="宋体"/>
          <w:spacing w:val="-36"/>
          <w:sz w:val="20"/>
          <w:szCs w:val="20"/>
        </w:rPr>
        <w:t xml:space="preserve"> </w:t>
      </w:r>
      <w:r>
        <w:rPr>
          <w:rFonts w:ascii="宋体" w:hAnsi="宋体" w:eastAsia="宋体" w:cs="宋体"/>
          <w:spacing w:val="-4"/>
          <w:sz w:val="20"/>
          <w:szCs w:val="20"/>
        </w:rPr>
        <w:t>管理水源、粪便、饮食和消灭苍蝇是我国多年提倡的感染性腹泻预防措施，尤</w:t>
      </w:r>
      <w:r>
        <w:rPr>
          <w:rFonts w:ascii="宋体" w:hAnsi="宋体" w:eastAsia="宋体" w:cs="宋体"/>
          <w:sz w:val="20"/>
          <w:szCs w:val="20"/>
        </w:rPr>
        <w:t xml:space="preserve"> </w:t>
      </w:r>
      <w:r>
        <w:rPr>
          <w:rFonts w:ascii="宋体" w:hAnsi="宋体" w:eastAsia="宋体" w:cs="宋体"/>
          <w:spacing w:val="-5"/>
          <w:sz w:val="20"/>
          <w:szCs w:val="20"/>
        </w:rPr>
        <w:t>其是实施“改水改厕”,实践证明是有效的，可大大降低感染性腹泻的发病率。</w:t>
      </w:r>
    </w:p>
    <w:p w14:paraId="3F0F0DDC">
      <w:pPr>
        <w:pStyle w:val="2"/>
        <w:spacing w:before="126" w:line="222" w:lineRule="auto"/>
        <w:ind w:left="432"/>
        <w:rPr>
          <w:rFonts w:ascii="宋体" w:hAnsi="宋体" w:eastAsia="宋体" w:cs="宋体"/>
          <w:sz w:val="20"/>
          <w:szCs w:val="20"/>
        </w:rPr>
      </w:pPr>
      <w:r>
        <w:rPr>
          <w:rFonts w:ascii="宋体" w:hAnsi="宋体" w:eastAsia="宋体" w:cs="宋体"/>
          <w:b/>
          <w:bCs/>
          <w:spacing w:val="1"/>
          <w:sz w:val="20"/>
          <w:szCs w:val="20"/>
        </w:rPr>
        <w:t>2.</w:t>
      </w:r>
      <w:r>
        <w:rPr>
          <w:rFonts w:ascii="宋体" w:hAnsi="宋体" w:eastAsia="宋体" w:cs="宋体"/>
          <w:spacing w:val="1"/>
          <w:sz w:val="20"/>
          <w:szCs w:val="20"/>
        </w:rPr>
        <w:t xml:space="preserve"> </w:t>
      </w:r>
      <w:r>
        <w:rPr>
          <w:b/>
          <w:bCs/>
          <w:spacing w:val="1"/>
          <w:sz w:val="20"/>
          <w:szCs w:val="20"/>
        </w:rPr>
        <w:t>个人卫生</w:t>
      </w:r>
      <w:r>
        <w:rPr>
          <w:spacing w:val="67"/>
          <w:sz w:val="20"/>
          <w:szCs w:val="20"/>
        </w:rPr>
        <w:t xml:space="preserve"> </w:t>
      </w:r>
      <w:r>
        <w:rPr>
          <w:rFonts w:ascii="宋体" w:hAnsi="宋体" w:eastAsia="宋体" w:cs="宋体"/>
          <w:spacing w:val="1"/>
          <w:sz w:val="20"/>
          <w:szCs w:val="20"/>
        </w:rPr>
        <w:t>主要是对饭前便后用肥皂洗手的宣传和个</w:t>
      </w:r>
      <w:r>
        <w:rPr>
          <w:rFonts w:ascii="宋体" w:hAnsi="宋体" w:eastAsia="宋体" w:cs="宋体"/>
          <w:sz w:val="20"/>
          <w:szCs w:val="20"/>
        </w:rPr>
        <w:t>人</w:t>
      </w:r>
      <w:r>
        <w:rPr>
          <w:rFonts w:ascii="宋体" w:hAnsi="宋体" w:eastAsia="宋体" w:cs="宋体"/>
          <w:sz w:val="20"/>
          <w:szCs w:val="20"/>
          <w:u w:val="single" w:color="auto"/>
        </w:rPr>
        <w:t>卫生意</w:t>
      </w:r>
      <w:r>
        <w:rPr>
          <w:rFonts w:ascii="宋体" w:hAnsi="宋体" w:eastAsia="宋体" w:cs="宋体"/>
          <w:sz w:val="20"/>
          <w:szCs w:val="20"/>
        </w:rPr>
        <w:t>识的提高。</w:t>
      </w:r>
    </w:p>
    <w:p w14:paraId="47975BEF">
      <w:pPr>
        <w:pStyle w:val="2"/>
        <w:spacing w:before="148" w:line="273" w:lineRule="auto"/>
        <w:ind w:right="623" w:firstLine="432"/>
        <w:rPr>
          <w:rFonts w:ascii="宋体" w:hAnsi="宋体" w:eastAsia="宋体" w:cs="宋体"/>
          <w:sz w:val="20"/>
          <w:szCs w:val="20"/>
        </w:rPr>
      </w:pPr>
      <w:r>
        <w:rPr>
          <w:rFonts w:ascii="宋体" w:hAnsi="宋体" w:eastAsia="宋体" w:cs="宋体"/>
          <w:b/>
          <w:bCs/>
          <w:spacing w:val="2"/>
          <w:sz w:val="20"/>
          <w:szCs w:val="20"/>
        </w:rPr>
        <w:t>3.</w:t>
      </w:r>
      <w:r>
        <w:rPr>
          <w:rFonts w:ascii="宋体" w:hAnsi="宋体" w:eastAsia="宋体" w:cs="宋体"/>
          <w:spacing w:val="2"/>
          <w:sz w:val="20"/>
          <w:szCs w:val="20"/>
        </w:rPr>
        <w:t xml:space="preserve"> </w:t>
      </w:r>
      <w:r>
        <w:rPr>
          <w:b/>
          <w:bCs/>
          <w:spacing w:val="2"/>
          <w:sz w:val="20"/>
          <w:szCs w:val="20"/>
        </w:rPr>
        <w:t>改善饮食卫生</w:t>
      </w:r>
      <w:r>
        <w:rPr>
          <w:spacing w:val="76"/>
          <w:sz w:val="20"/>
          <w:szCs w:val="20"/>
        </w:rPr>
        <w:t xml:space="preserve"> </w:t>
      </w:r>
      <w:r>
        <w:rPr>
          <w:rFonts w:ascii="宋体" w:hAnsi="宋体" w:eastAsia="宋体" w:cs="宋体"/>
          <w:spacing w:val="2"/>
          <w:sz w:val="20"/>
          <w:szCs w:val="20"/>
        </w:rPr>
        <w:t>主要是提倡喝安全饮用水</w:t>
      </w:r>
      <w:r>
        <w:rPr>
          <w:rFonts w:ascii="宋体" w:hAnsi="宋体" w:eastAsia="宋体" w:cs="宋体"/>
          <w:spacing w:val="1"/>
          <w:sz w:val="20"/>
          <w:szCs w:val="20"/>
        </w:rPr>
        <w:t>和使用清洁水，提高婴儿母乳喂养率。同时强化</w:t>
      </w:r>
      <w:r>
        <w:rPr>
          <w:rFonts w:ascii="宋体" w:hAnsi="宋体" w:eastAsia="宋体" w:cs="宋体"/>
          <w:sz w:val="20"/>
          <w:szCs w:val="20"/>
        </w:rPr>
        <w:t xml:space="preserve"> </w:t>
      </w:r>
      <w:r>
        <w:rPr>
          <w:rFonts w:ascii="宋体" w:hAnsi="宋体" w:eastAsia="宋体" w:cs="宋体"/>
          <w:spacing w:val="4"/>
          <w:sz w:val="20"/>
          <w:szCs w:val="20"/>
        </w:rPr>
        <w:t>食品加工行业和餐饮行业的食品安全管理和保障。</w:t>
      </w:r>
    </w:p>
    <w:p w14:paraId="6CBB7F7C">
      <w:pPr>
        <w:pStyle w:val="2"/>
        <w:spacing w:before="109" w:line="221" w:lineRule="auto"/>
        <w:ind w:left="433"/>
        <w:rPr>
          <w:sz w:val="23"/>
          <w:szCs w:val="23"/>
        </w:rPr>
      </w:pPr>
      <w:r>
        <w:rPr>
          <w:b/>
          <w:bCs/>
          <w:spacing w:val="-5"/>
          <w:sz w:val="23"/>
          <w:szCs w:val="23"/>
        </w:rPr>
        <w:t>(三)保护易感人群</w:t>
      </w:r>
    </w:p>
    <w:p w14:paraId="552DDAD6">
      <w:pPr>
        <w:pStyle w:val="2"/>
        <w:spacing w:before="115" w:line="301" w:lineRule="auto"/>
        <w:ind w:right="643" w:firstLine="429"/>
        <w:rPr>
          <w:rFonts w:ascii="宋体" w:hAnsi="宋体" w:eastAsia="宋体" w:cs="宋体"/>
          <w:sz w:val="20"/>
          <w:szCs w:val="20"/>
        </w:rPr>
      </w:pPr>
      <w:r>
        <w:rPr>
          <w:rFonts w:ascii="Times New Roman" w:hAnsi="Times New Roman" w:eastAsia="Times New Roman" w:cs="Times New Roman"/>
          <w:b/>
          <w:bCs/>
          <w:spacing w:val="7"/>
          <w:sz w:val="20"/>
          <w:szCs w:val="20"/>
        </w:rPr>
        <w:t>1.</w:t>
      </w:r>
      <w:r>
        <w:rPr>
          <w:rFonts w:ascii="Times New Roman" w:hAnsi="Times New Roman" w:eastAsia="Times New Roman" w:cs="Times New Roman"/>
          <w:b/>
          <w:bCs/>
          <w:spacing w:val="23"/>
          <w:sz w:val="20"/>
          <w:szCs w:val="20"/>
        </w:rPr>
        <w:t xml:space="preserve">  </w:t>
      </w:r>
      <w:r>
        <w:rPr>
          <w:b/>
          <w:bCs/>
          <w:spacing w:val="7"/>
          <w:sz w:val="20"/>
          <w:szCs w:val="20"/>
        </w:rPr>
        <w:t>疫苗预防</w:t>
      </w:r>
      <w:r>
        <w:rPr>
          <w:spacing w:val="7"/>
          <w:sz w:val="20"/>
          <w:szCs w:val="20"/>
        </w:rPr>
        <w:t xml:space="preserve"> </w:t>
      </w:r>
      <w:r>
        <w:rPr>
          <w:rFonts w:ascii="宋体" w:hAnsi="宋体" w:eastAsia="宋体" w:cs="宋体"/>
          <w:spacing w:val="7"/>
          <w:sz w:val="20"/>
          <w:szCs w:val="20"/>
        </w:rPr>
        <w:t>疫苗预防是保护易感人群的有效手段。目前</w:t>
      </w:r>
      <w:r>
        <w:rPr>
          <w:rFonts w:ascii="Times New Roman" w:hAnsi="Times New Roman" w:eastAsia="Times New Roman" w:cs="Times New Roman"/>
          <w:sz w:val="20"/>
          <w:szCs w:val="20"/>
        </w:rPr>
        <w:t>WHO</w:t>
      </w:r>
      <w:r>
        <w:rPr>
          <w:rFonts w:ascii="宋体" w:hAnsi="宋体" w:eastAsia="宋体" w:cs="宋体"/>
          <w:spacing w:val="6"/>
          <w:sz w:val="20"/>
          <w:szCs w:val="20"/>
        </w:rPr>
        <w:t>推荐使用的腹泻病疫苗包括</w:t>
      </w:r>
      <w:r>
        <w:rPr>
          <w:rFonts w:ascii="宋体" w:hAnsi="宋体" w:eastAsia="宋体" w:cs="宋体"/>
          <w:sz w:val="20"/>
          <w:szCs w:val="20"/>
        </w:rPr>
        <w:t xml:space="preserve"> </w:t>
      </w:r>
      <w:r>
        <w:rPr>
          <w:rFonts w:ascii="宋体" w:hAnsi="宋体" w:eastAsia="宋体" w:cs="宋体"/>
          <w:spacing w:val="1"/>
          <w:sz w:val="20"/>
          <w:szCs w:val="20"/>
        </w:rPr>
        <w:t>轮状病毒疫苗、新型口服重组</w:t>
      </w:r>
      <w:r>
        <w:rPr>
          <w:rFonts w:ascii="Times New Roman" w:hAnsi="Times New Roman" w:eastAsia="Times New Roman" w:cs="Times New Roman"/>
          <w:spacing w:val="1"/>
          <w:sz w:val="20"/>
          <w:szCs w:val="20"/>
        </w:rPr>
        <w:t xml:space="preserve">B </w:t>
      </w:r>
      <w:r>
        <w:rPr>
          <w:rFonts w:ascii="宋体" w:hAnsi="宋体" w:eastAsia="宋体" w:cs="宋体"/>
          <w:spacing w:val="1"/>
          <w:sz w:val="20"/>
          <w:szCs w:val="20"/>
        </w:rPr>
        <w:t>亚单位/灭活菌体霍乱疫苗</w:t>
      </w:r>
      <w:r>
        <w:rPr>
          <w:rFonts w:ascii="Times New Roman" w:hAnsi="Times New Roman" w:eastAsia="Times New Roman" w:cs="Times New Roman"/>
          <w:spacing w:val="1"/>
          <w:sz w:val="20"/>
          <w:szCs w:val="20"/>
        </w:rPr>
        <w:t>(</w:t>
      </w:r>
      <w:r>
        <w:rPr>
          <w:rFonts w:ascii="Times New Roman" w:hAnsi="Times New Roman" w:eastAsia="Times New Roman" w:cs="Times New Roman"/>
          <w:sz w:val="20"/>
          <w:szCs w:val="20"/>
        </w:rPr>
        <w:t>rBS</w:t>
      </w:r>
      <w:r>
        <w:rPr>
          <w:rFonts w:ascii="Times New Roman" w:hAnsi="Times New Roman" w:eastAsia="Times New Roman" w:cs="Times New Roman"/>
          <w:spacing w:val="1"/>
          <w:sz w:val="20"/>
          <w:szCs w:val="20"/>
        </w:rPr>
        <w:t>/</w:t>
      </w:r>
      <w:r>
        <w:rPr>
          <w:rFonts w:ascii="Times New Roman" w:hAnsi="Times New Roman" w:eastAsia="Times New Roman" w:cs="Times New Roman"/>
          <w:sz w:val="20"/>
          <w:szCs w:val="20"/>
        </w:rPr>
        <w:t>WC</w:t>
      </w:r>
      <w:r>
        <w:rPr>
          <w:rFonts w:ascii="Times New Roman" w:hAnsi="Times New Roman" w:eastAsia="Times New Roman" w:cs="Times New Roman"/>
          <w:spacing w:val="1"/>
          <w:sz w:val="20"/>
          <w:szCs w:val="20"/>
        </w:rPr>
        <w:t>)</w:t>
      </w:r>
      <w:r>
        <w:rPr>
          <w:rFonts w:ascii="宋体" w:hAnsi="宋体" w:eastAsia="宋体" w:cs="宋体"/>
          <w:spacing w:val="1"/>
          <w:sz w:val="20"/>
          <w:szCs w:val="20"/>
        </w:rPr>
        <w:t>、伤寒疫苗等。对于感染性腹</w:t>
      </w:r>
      <w:r>
        <w:rPr>
          <w:rFonts w:ascii="宋体" w:hAnsi="宋体" w:eastAsia="宋体" w:cs="宋体"/>
          <w:spacing w:val="18"/>
          <w:sz w:val="20"/>
          <w:szCs w:val="20"/>
        </w:rPr>
        <w:t xml:space="preserve"> </w:t>
      </w:r>
      <w:r>
        <w:rPr>
          <w:rFonts w:ascii="宋体" w:hAnsi="宋体" w:eastAsia="宋体" w:cs="宋体"/>
          <w:spacing w:val="-6"/>
          <w:sz w:val="20"/>
          <w:szCs w:val="20"/>
        </w:rPr>
        <w:t>泻，研制高效、多价疫苗是当务之急。</w:t>
      </w:r>
    </w:p>
    <w:p w14:paraId="742BA155">
      <w:pPr>
        <w:pStyle w:val="2"/>
        <w:spacing w:before="121" w:line="296" w:lineRule="auto"/>
        <w:ind w:right="621" w:firstLine="432"/>
        <w:rPr>
          <w:rFonts w:ascii="宋体" w:hAnsi="宋体" w:eastAsia="宋体" w:cs="宋体"/>
          <w:sz w:val="20"/>
          <w:szCs w:val="20"/>
        </w:rPr>
      </w:pPr>
      <w:r>
        <w:rPr>
          <w:rFonts w:ascii="宋体" w:hAnsi="宋体" w:eastAsia="宋体" w:cs="宋体"/>
          <w:b/>
          <w:bCs/>
          <w:spacing w:val="3"/>
          <w:sz w:val="20"/>
          <w:szCs w:val="20"/>
        </w:rPr>
        <w:t>2.</w:t>
      </w:r>
      <w:r>
        <w:rPr>
          <w:rFonts w:ascii="宋体" w:hAnsi="宋体" w:eastAsia="宋体" w:cs="宋体"/>
          <w:spacing w:val="3"/>
          <w:sz w:val="20"/>
          <w:szCs w:val="20"/>
        </w:rPr>
        <w:t xml:space="preserve"> </w:t>
      </w:r>
      <w:r>
        <w:rPr>
          <w:b/>
          <w:bCs/>
          <w:spacing w:val="3"/>
          <w:sz w:val="20"/>
          <w:szCs w:val="20"/>
        </w:rPr>
        <w:t>药物预防</w:t>
      </w:r>
      <w:r>
        <w:rPr>
          <w:spacing w:val="3"/>
          <w:sz w:val="20"/>
          <w:szCs w:val="20"/>
        </w:rPr>
        <w:t xml:space="preserve"> </w:t>
      </w:r>
      <w:r>
        <w:rPr>
          <w:rFonts w:ascii="宋体" w:hAnsi="宋体" w:eastAsia="宋体" w:cs="宋体"/>
          <w:spacing w:val="3"/>
          <w:sz w:val="20"/>
          <w:szCs w:val="20"/>
        </w:rPr>
        <w:t>原则上不提倡使用药物预防，但在流行特别严重的地区或突发紧急情况下的某</w:t>
      </w:r>
      <w:r>
        <w:rPr>
          <w:rFonts w:ascii="宋体" w:hAnsi="宋体" w:eastAsia="宋体" w:cs="宋体"/>
          <w:spacing w:val="17"/>
          <w:sz w:val="20"/>
          <w:szCs w:val="20"/>
        </w:rPr>
        <w:t xml:space="preserve"> </w:t>
      </w:r>
      <w:r>
        <w:rPr>
          <w:rFonts w:ascii="宋体" w:hAnsi="宋体" w:eastAsia="宋体" w:cs="宋体"/>
          <w:spacing w:val="-1"/>
          <w:sz w:val="20"/>
          <w:szCs w:val="20"/>
        </w:rPr>
        <w:t>些特殊人群中，为控制流行态势，可考虑对病例密切接触者或某些职业人员等小范围内采取预防性</w:t>
      </w:r>
      <w:r>
        <w:rPr>
          <w:rFonts w:ascii="宋体" w:hAnsi="宋体" w:eastAsia="宋体" w:cs="宋体"/>
          <w:spacing w:val="9"/>
          <w:sz w:val="20"/>
          <w:szCs w:val="20"/>
        </w:rPr>
        <w:t xml:space="preserve"> </w:t>
      </w:r>
      <w:r>
        <w:rPr>
          <w:rFonts w:ascii="宋体" w:hAnsi="宋体" w:eastAsia="宋体" w:cs="宋体"/>
          <w:spacing w:val="3"/>
          <w:sz w:val="20"/>
          <w:szCs w:val="20"/>
        </w:rPr>
        <w:t>服用抗生素的措施。</w:t>
      </w:r>
    </w:p>
    <w:p w14:paraId="1CCFD2F1">
      <w:pPr>
        <w:pStyle w:val="2"/>
        <w:spacing w:before="168" w:line="221" w:lineRule="auto"/>
        <w:ind w:left="432"/>
        <w:rPr>
          <w:sz w:val="20"/>
          <w:szCs w:val="20"/>
        </w:rPr>
      </w:pPr>
      <w:r>
        <w:rPr>
          <w:b/>
          <w:bCs/>
          <w:spacing w:val="21"/>
          <w:sz w:val="20"/>
          <w:szCs w:val="20"/>
        </w:rPr>
        <w:t>(四)其他防制措施</w:t>
      </w:r>
    </w:p>
    <w:p w14:paraId="476C25F1">
      <w:pPr>
        <w:spacing w:before="94" w:line="342" w:lineRule="auto"/>
        <w:ind w:right="551" w:firstLine="429"/>
        <w:jc w:val="both"/>
        <w:rPr>
          <w:rFonts w:ascii="宋体" w:hAnsi="宋体" w:eastAsia="宋体" w:cs="宋体"/>
          <w:sz w:val="20"/>
          <w:szCs w:val="20"/>
        </w:rPr>
      </w:pPr>
      <w:r>
        <w:rPr>
          <w:rFonts w:ascii="宋体" w:hAnsi="宋体" w:eastAsia="宋体" w:cs="宋体"/>
          <w:spacing w:val="-4"/>
          <w:sz w:val="20"/>
          <w:szCs w:val="20"/>
        </w:rPr>
        <w:t>开展广泛的卫生宣传教育，建立科学、规范、高效、实用的健康教育体系，普及卫生防</w:t>
      </w:r>
      <w:r>
        <w:rPr>
          <w:rFonts w:ascii="宋体" w:hAnsi="宋体" w:eastAsia="宋体" w:cs="宋体"/>
          <w:spacing w:val="-5"/>
          <w:sz w:val="20"/>
          <w:szCs w:val="20"/>
        </w:rPr>
        <w:t>病知识，</w:t>
      </w:r>
      <w:r>
        <w:rPr>
          <w:rFonts w:ascii="宋体" w:hAnsi="宋体" w:eastAsia="宋体" w:cs="宋体"/>
          <w:sz w:val="20"/>
          <w:szCs w:val="20"/>
        </w:rPr>
        <w:t xml:space="preserve"> </w:t>
      </w:r>
      <w:r>
        <w:rPr>
          <w:rFonts w:ascii="宋体" w:hAnsi="宋体" w:eastAsia="宋体" w:cs="宋体"/>
          <w:spacing w:val="4"/>
          <w:sz w:val="20"/>
          <w:szCs w:val="20"/>
        </w:rPr>
        <w:t>动员全社会参与和提高个体自我保护能力也是感染性腹泻防制的重要措施。同时切实做好环境卫</w:t>
      </w:r>
      <w:r>
        <w:rPr>
          <w:rFonts w:ascii="宋体" w:hAnsi="宋体" w:eastAsia="宋体" w:cs="宋体"/>
          <w:sz w:val="20"/>
          <w:szCs w:val="20"/>
        </w:rPr>
        <w:t xml:space="preserve">  生整治和饮食卫生的管理，落实感染性腹泻防制规划。以霍乱为例，近20</w:t>
      </w:r>
      <w:r>
        <w:rPr>
          <w:rFonts w:ascii="宋体" w:hAnsi="宋体" w:eastAsia="宋体" w:cs="宋体"/>
          <w:spacing w:val="-1"/>
          <w:sz w:val="20"/>
          <w:szCs w:val="20"/>
        </w:rPr>
        <w:t>年来亚洲、非洲等的发展</w:t>
      </w:r>
      <w:r>
        <w:rPr>
          <w:rFonts w:ascii="宋体" w:hAnsi="宋体" w:eastAsia="宋体" w:cs="宋体"/>
          <w:sz w:val="20"/>
          <w:szCs w:val="20"/>
        </w:rPr>
        <w:t xml:space="preserve"> </w:t>
      </w:r>
      <w:r>
        <w:rPr>
          <w:rFonts w:ascii="宋体" w:hAnsi="宋体" w:eastAsia="宋体" w:cs="宋体"/>
          <w:spacing w:val="-5"/>
          <w:sz w:val="20"/>
          <w:szCs w:val="20"/>
        </w:rPr>
        <w:t>中国家每年都报告数万、数十万例病例，但欧洲、</w:t>
      </w:r>
      <w:r>
        <w:rPr>
          <w:rFonts w:ascii="宋体" w:hAnsi="宋体" w:eastAsia="宋体" w:cs="宋体"/>
          <w:spacing w:val="-6"/>
          <w:sz w:val="20"/>
          <w:szCs w:val="20"/>
        </w:rPr>
        <w:t>北美等发达国家每年仅有几例、几十例，最多上百</w:t>
      </w:r>
    </w:p>
    <w:p w14:paraId="02F939F0">
      <w:pPr>
        <w:spacing w:line="342" w:lineRule="auto"/>
        <w:rPr>
          <w:rFonts w:ascii="宋体" w:hAnsi="宋体" w:eastAsia="宋体" w:cs="宋体"/>
          <w:sz w:val="20"/>
          <w:szCs w:val="20"/>
        </w:rPr>
        <w:sectPr>
          <w:footerReference r:id="rId366" w:type="default"/>
          <w:pgSz w:w="11900" w:h="16820"/>
          <w:pgMar w:top="400" w:right="1048" w:bottom="889" w:left="1640" w:header="0" w:footer="709" w:gutter="0"/>
          <w:cols w:space="720" w:num="1"/>
        </w:sectPr>
      </w:pPr>
    </w:p>
    <w:p w14:paraId="40D52181">
      <w:pPr>
        <w:spacing w:line="297" w:lineRule="auto"/>
        <w:rPr>
          <w:rFonts w:ascii="Arial"/>
          <w:sz w:val="21"/>
        </w:rPr>
      </w:pPr>
    </w:p>
    <w:p w14:paraId="14AE413A">
      <w:pPr>
        <w:pStyle w:val="2"/>
        <w:spacing w:before="68" w:line="222" w:lineRule="auto"/>
        <w:ind w:left="700"/>
        <w:rPr>
          <w:sz w:val="21"/>
          <w:szCs w:val="21"/>
        </w:rPr>
      </w:pPr>
      <w:r>
        <w:rPr>
          <w:spacing w:val="-22"/>
          <w:w w:val="98"/>
          <w:sz w:val="21"/>
          <w:szCs w:val="21"/>
        </w:rPr>
        <w:t>第二十二章 感染性腹泻</w:t>
      </w:r>
    </w:p>
    <w:p w14:paraId="55E7B735">
      <w:pPr>
        <w:spacing w:line="262" w:lineRule="auto"/>
        <w:rPr>
          <w:rFonts w:ascii="Arial"/>
          <w:sz w:val="21"/>
        </w:rPr>
      </w:pPr>
    </w:p>
    <w:p w14:paraId="5AC8588F">
      <w:pPr>
        <w:spacing w:line="263" w:lineRule="auto"/>
        <w:rPr>
          <w:rFonts w:ascii="Arial"/>
          <w:sz w:val="21"/>
        </w:rPr>
      </w:pPr>
    </w:p>
    <w:p w14:paraId="6FFEC20D">
      <w:pPr>
        <w:spacing w:before="68" w:line="320" w:lineRule="auto"/>
        <w:ind w:left="700" w:right="53"/>
        <w:rPr>
          <w:rFonts w:ascii="宋体" w:hAnsi="宋体" w:eastAsia="宋体" w:cs="宋体"/>
          <w:sz w:val="21"/>
          <w:szCs w:val="21"/>
        </w:rPr>
      </w:pPr>
      <w:r>
        <w:rPr>
          <w:rFonts w:ascii="宋体" w:hAnsi="宋体" w:eastAsia="宋体" w:cs="宋体"/>
          <w:spacing w:val="-1"/>
          <w:sz w:val="21"/>
          <w:szCs w:val="21"/>
        </w:rPr>
        <w:t>例，我国也因为社会经济的发展以及防控措施的持续加强，近些年报告数明显下降，每年数十例。</w:t>
      </w:r>
      <w:r>
        <w:rPr>
          <w:rFonts w:ascii="宋体" w:hAnsi="宋体" w:eastAsia="宋体" w:cs="宋体"/>
          <w:spacing w:val="3"/>
          <w:sz w:val="21"/>
          <w:szCs w:val="21"/>
        </w:rPr>
        <w:t xml:space="preserve"> </w:t>
      </w:r>
      <w:r>
        <w:rPr>
          <w:rFonts w:ascii="宋体" w:hAnsi="宋体" w:eastAsia="宋体" w:cs="宋体"/>
          <w:spacing w:val="-6"/>
          <w:sz w:val="21"/>
          <w:szCs w:val="21"/>
        </w:rPr>
        <w:t>因此，感染性腹泻是可以防制的，卫生条件改</w:t>
      </w:r>
      <w:r>
        <w:rPr>
          <w:rFonts w:ascii="宋体" w:hAnsi="宋体" w:eastAsia="宋体" w:cs="宋体"/>
          <w:spacing w:val="-7"/>
          <w:sz w:val="21"/>
          <w:szCs w:val="21"/>
        </w:rPr>
        <w:t>善是基础，增强大众保健意识和能力是关键。</w:t>
      </w:r>
    </w:p>
    <w:p w14:paraId="5D8AF2F5">
      <w:pPr>
        <w:spacing w:line="252" w:lineRule="auto"/>
        <w:rPr>
          <w:rFonts w:ascii="Arial"/>
          <w:sz w:val="21"/>
        </w:rPr>
      </w:pPr>
    </w:p>
    <w:p w14:paraId="7DB1781A">
      <w:pPr>
        <w:pStyle w:val="2"/>
        <w:spacing w:before="97" w:line="222" w:lineRule="auto"/>
        <w:ind w:left="3584"/>
        <w:outlineLvl w:val="1"/>
      </w:pPr>
      <w:bookmarkStart w:id="581" w:name="bookmark363"/>
      <w:bookmarkEnd w:id="581"/>
      <w:r>
        <w:rPr>
          <w:b/>
          <w:bCs/>
          <w:spacing w:val="-11"/>
        </w:rPr>
        <w:t>第五节</w:t>
      </w:r>
      <w:r>
        <w:rPr>
          <w:spacing w:val="133"/>
        </w:rPr>
        <w:t xml:space="preserve"> </w:t>
      </w:r>
      <w:r>
        <w:rPr>
          <w:b/>
          <w:bCs/>
          <w:spacing w:val="-11"/>
        </w:rPr>
        <w:t>主要感染性腹泻</w:t>
      </w:r>
    </w:p>
    <w:p w14:paraId="7C496486">
      <w:pPr>
        <w:spacing w:line="290" w:lineRule="auto"/>
        <w:rPr>
          <w:rFonts w:ascii="Arial"/>
          <w:sz w:val="21"/>
        </w:rPr>
      </w:pPr>
    </w:p>
    <w:p w14:paraId="1F4C7FF7">
      <w:pPr>
        <w:spacing w:before="68" w:line="345" w:lineRule="auto"/>
        <w:ind w:left="700" w:right="94" w:firstLine="399"/>
        <w:rPr>
          <w:rFonts w:ascii="宋体" w:hAnsi="宋体" w:eastAsia="宋体" w:cs="宋体"/>
          <w:sz w:val="21"/>
          <w:szCs w:val="21"/>
        </w:rPr>
      </w:pPr>
      <w:r>
        <w:rPr>
          <w:rFonts w:ascii="宋体" w:hAnsi="宋体" w:eastAsia="宋体" w:cs="宋体"/>
          <w:spacing w:val="-6"/>
          <w:sz w:val="21"/>
          <w:szCs w:val="21"/>
        </w:rPr>
        <w:t>我国《传染病防治法》规定霍乱为甲类传染病，痢疾</w:t>
      </w:r>
      <w:r>
        <w:rPr>
          <w:rFonts w:ascii="宋体" w:hAnsi="宋体" w:eastAsia="宋体" w:cs="宋体"/>
          <w:spacing w:val="-7"/>
          <w:sz w:val="21"/>
          <w:szCs w:val="21"/>
        </w:rPr>
        <w:t>为乙类传染病，其他感染性腹泻列为丙类传</w:t>
      </w:r>
      <w:r>
        <w:rPr>
          <w:rFonts w:ascii="宋体" w:hAnsi="宋体" w:eastAsia="宋体" w:cs="宋体"/>
          <w:sz w:val="21"/>
          <w:szCs w:val="21"/>
        </w:rPr>
        <w:t xml:space="preserve"> </w:t>
      </w:r>
      <w:r>
        <w:rPr>
          <w:rFonts w:ascii="宋体" w:hAnsi="宋体" w:eastAsia="宋体" w:cs="宋体"/>
          <w:spacing w:val="-5"/>
          <w:sz w:val="21"/>
          <w:szCs w:val="21"/>
        </w:rPr>
        <w:t>染病，下面分别进行简要论述。</w:t>
      </w:r>
    </w:p>
    <w:p w14:paraId="48D82EF4">
      <w:pPr>
        <w:pStyle w:val="2"/>
        <w:spacing w:before="149" w:line="225" w:lineRule="auto"/>
        <w:ind w:left="1103"/>
        <w:outlineLvl w:val="4"/>
        <w:rPr>
          <w:sz w:val="25"/>
          <w:szCs w:val="25"/>
        </w:rPr>
      </w:pPr>
      <w:bookmarkStart w:id="582" w:name="bookmark364"/>
      <w:bookmarkEnd w:id="582"/>
      <w:r>
        <w:rPr>
          <w:b/>
          <w:bCs/>
          <w:spacing w:val="-14"/>
          <w:sz w:val="25"/>
          <w:szCs w:val="25"/>
        </w:rPr>
        <w:t>一</w:t>
      </w:r>
      <w:r>
        <w:rPr>
          <w:spacing w:val="-59"/>
          <w:sz w:val="25"/>
          <w:szCs w:val="25"/>
        </w:rPr>
        <w:t xml:space="preserve"> </w:t>
      </w:r>
      <w:r>
        <w:rPr>
          <w:b/>
          <w:bCs/>
          <w:spacing w:val="-14"/>
          <w:sz w:val="25"/>
          <w:szCs w:val="25"/>
        </w:rPr>
        <w:t>、霍乱</w:t>
      </w:r>
    </w:p>
    <w:p w14:paraId="003C329D">
      <w:pPr>
        <w:pStyle w:val="2"/>
        <w:spacing w:before="219" w:line="221" w:lineRule="auto"/>
        <w:ind w:left="1103"/>
        <w:rPr>
          <w:sz w:val="25"/>
          <w:szCs w:val="25"/>
        </w:rPr>
      </w:pPr>
      <w:r>
        <w:rPr>
          <w:b/>
          <w:bCs/>
          <w:spacing w:val="-11"/>
          <w:sz w:val="25"/>
          <w:szCs w:val="25"/>
        </w:rPr>
        <w:t>(一)流行概况</w:t>
      </w:r>
    </w:p>
    <w:p w14:paraId="665DA3AB">
      <w:pPr>
        <w:spacing w:before="59" w:line="319" w:lineRule="auto"/>
        <w:ind w:left="700" w:firstLine="399"/>
        <w:jc w:val="both"/>
        <w:rPr>
          <w:rFonts w:ascii="宋体" w:hAnsi="宋体" w:eastAsia="宋体" w:cs="宋体"/>
          <w:sz w:val="21"/>
          <w:szCs w:val="21"/>
        </w:rPr>
      </w:pPr>
      <w:r>
        <w:rPr>
          <w:rFonts w:ascii="宋体" w:hAnsi="宋体" w:eastAsia="宋体" w:cs="宋体"/>
          <w:sz w:val="21"/>
          <w:szCs w:val="21"/>
        </w:rPr>
        <w:t>霍乱</w:t>
      </w:r>
      <w:r>
        <w:rPr>
          <w:rFonts w:ascii="Times New Roman" w:hAnsi="Times New Roman" w:eastAsia="Times New Roman" w:cs="Times New Roman"/>
          <w:sz w:val="21"/>
          <w:szCs w:val="21"/>
        </w:rPr>
        <w:t>(cholera)</w:t>
      </w:r>
      <w:r>
        <w:rPr>
          <w:rFonts w:ascii="Times New Roman" w:hAnsi="Times New Roman" w:eastAsia="Times New Roman" w:cs="Times New Roman"/>
          <w:spacing w:val="43"/>
          <w:w w:val="101"/>
          <w:sz w:val="21"/>
          <w:szCs w:val="21"/>
        </w:rPr>
        <w:t xml:space="preserve"> </w:t>
      </w:r>
      <w:r>
        <w:rPr>
          <w:rFonts w:ascii="宋体" w:hAnsi="宋体" w:eastAsia="宋体" w:cs="宋体"/>
          <w:sz w:val="21"/>
          <w:szCs w:val="21"/>
        </w:rPr>
        <w:t>是由霍乱弧菌</w:t>
      </w:r>
      <w:r>
        <w:rPr>
          <w:rFonts w:ascii="Times New Roman" w:hAnsi="Times New Roman" w:eastAsia="Times New Roman" w:cs="Times New Roman"/>
          <w:sz w:val="21"/>
          <w:szCs w:val="21"/>
        </w:rPr>
        <w:t xml:space="preserve">(O₁ </w:t>
      </w:r>
      <w:r>
        <w:rPr>
          <w:rFonts w:ascii="宋体" w:hAnsi="宋体" w:eastAsia="宋体" w:cs="宋体"/>
          <w:sz w:val="21"/>
          <w:szCs w:val="21"/>
        </w:rPr>
        <w:t xml:space="preserve">群和0139群)引起的急性肠道传染病，主要临床表现是腹泻(水  </w:t>
      </w:r>
      <w:r>
        <w:rPr>
          <w:rFonts w:ascii="宋体" w:hAnsi="宋体" w:eastAsia="宋体" w:cs="宋体"/>
          <w:spacing w:val="-4"/>
          <w:sz w:val="21"/>
          <w:szCs w:val="21"/>
        </w:rPr>
        <w:t>样便)、呕吐，如不及时治疗，病人可死于低血容量性休克、代谢性酸中毒及肾衰竭</w:t>
      </w:r>
      <w:r>
        <w:rPr>
          <w:rFonts w:ascii="宋体" w:hAnsi="宋体" w:eastAsia="宋体" w:cs="宋体"/>
          <w:spacing w:val="-5"/>
          <w:sz w:val="21"/>
          <w:szCs w:val="21"/>
        </w:rPr>
        <w:t>等。霍乱至今已</w:t>
      </w:r>
      <w:r>
        <w:rPr>
          <w:rFonts w:ascii="宋体" w:hAnsi="宋体" w:eastAsia="宋体" w:cs="宋体"/>
          <w:sz w:val="21"/>
          <w:szCs w:val="21"/>
        </w:rPr>
        <w:t xml:space="preserve">  </w:t>
      </w:r>
      <w:r>
        <w:rPr>
          <w:rFonts w:ascii="宋体" w:hAnsi="宋体" w:eastAsia="宋体" w:cs="宋体"/>
          <w:spacing w:val="8"/>
          <w:sz w:val="21"/>
          <w:szCs w:val="21"/>
        </w:rPr>
        <w:t>发生7次世界大流行，已通过病原学明确第6次大流行是由01群古典生物型霍乱弧菌产毒株引起</w:t>
      </w:r>
      <w:r>
        <w:rPr>
          <w:rFonts w:ascii="宋体" w:hAnsi="宋体" w:eastAsia="宋体" w:cs="宋体"/>
          <w:spacing w:val="13"/>
          <w:sz w:val="21"/>
          <w:szCs w:val="21"/>
        </w:rPr>
        <w:t xml:space="preserve"> </w:t>
      </w:r>
      <w:r>
        <w:rPr>
          <w:rFonts w:ascii="宋体" w:hAnsi="宋体" w:eastAsia="宋体" w:cs="宋体"/>
          <w:spacing w:val="6"/>
          <w:sz w:val="21"/>
          <w:szCs w:val="21"/>
        </w:rPr>
        <w:t>的。1961年开始，由01群埃尔托生物型霍乱</w:t>
      </w:r>
      <w:r>
        <w:rPr>
          <w:rFonts w:ascii="宋体" w:hAnsi="宋体" w:eastAsia="宋体" w:cs="宋体"/>
          <w:spacing w:val="5"/>
          <w:sz w:val="21"/>
          <w:szCs w:val="21"/>
        </w:rPr>
        <w:t>弧菌引起霍乱第7次世界大流行，50年来已波及世界</w:t>
      </w:r>
      <w:r>
        <w:rPr>
          <w:rFonts w:ascii="宋体" w:hAnsi="宋体" w:eastAsia="宋体" w:cs="宋体"/>
          <w:sz w:val="21"/>
          <w:szCs w:val="21"/>
        </w:rPr>
        <w:t xml:space="preserve"> </w:t>
      </w:r>
      <w:r>
        <w:rPr>
          <w:rFonts w:ascii="宋体" w:hAnsi="宋体" w:eastAsia="宋体" w:cs="宋体"/>
          <w:spacing w:val="-2"/>
          <w:sz w:val="21"/>
          <w:szCs w:val="21"/>
        </w:rPr>
        <w:t>五大洲的150个国家和地区，以亚洲、非洲、拉丁美洲流行较为严重，至今仍未停息。1990年以后，</w:t>
      </w:r>
      <w:r>
        <w:rPr>
          <w:rFonts w:ascii="宋体" w:hAnsi="宋体" w:eastAsia="宋体" w:cs="宋体"/>
          <w:spacing w:val="2"/>
          <w:sz w:val="21"/>
          <w:szCs w:val="21"/>
        </w:rPr>
        <w:t xml:space="preserve"> </w:t>
      </w:r>
      <w:r>
        <w:rPr>
          <w:rFonts w:ascii="宋体" w:hAnsi="宋体" w:eastAsia="宋体" w:cs="宋体"/>
          <w:spacing w:val="8"/>
          <w:sz w:val="21"/>
          <w:szCs w:val="21"/>
        </w:rPr>
        <w:t xml:space="preserve">霍乱流行出现了许多新的问题。首先是1991年拉丁美洲发生了20世纪首次霍乱大流行，不到一 </w:t>
      </w:r>
      <w:r>
        <w:rPr>
          <w:rFonts w:ascii="宋体" w:hAnsi="宋体" w:eastAsia="宋体" w:cs="宋体"/>
          <w:spacing w:val="3"/>
          <w:sz w:val="21"/>
          <w:szCs w:val="21"/>
        </w:rPr>
        <w:t>年时间报告病例数就接近40万；其次是多年来人们一直认为只有01群霍乱弧菌可以引起霍乱，将</w:t>
      </w:r>
      <w:r>
        <w:rPr>
          <w:rFonts w:ascii="宋体" w:hAnsi="宋体" w:eastAsia="宋体" w:cs="宋体"/>
          <w:spacing w:val="17"/>
          <w:sz w:val="21"/>
          <w:szCs w:val="21"/>
        </w:rPr>
        <w:t xml:space="preserve"> </w:t>
      </w:r>
      <w:r>
        <w:rPr>
          <w:rFonts w:ascii="宋体" w:hAnsi="宋体" w:eastAsia="宋体" w:cs="宋体"/>
          <w:spacing w:val="2"/>
          <w:sz w:val="21"/>
          <w:szCs w:val="21"/>
        </w:rPr>
        <w:t>其他非O</w:t>
      </w:r>
      <w:r>
        <w:rPr>
          <w:rFonts w:ascii="Calibri" w:hAnsi="Calibri" w:eastAsia="Calibri" w:cs="Calibri"/>
          <w:spacing w:val="2"/>
          <w:sz w:val="21"/>
          <w:szCs w:val="21"/>
        </w:rPr>
        <w:t xml:space="preserve">₁  </w:t>
      </w:r>
      <w:r>
        <w:rPr>
          <w:rFonts w:ascii="宋体" w:hAnsi="宋体" w:eastAsia="宋体" w:cs="宋体"/>
          <w:spacing w:val="2"/>
          <w:sz w:val="21"/>
          <w:szCs w:val="21"/>
        </w:rPr>
        <w:t>群霍乱弧菌仅作为一般腹泻病原菌对待，但1992年从印度和孟加拉国开始的由新型霍乱</w:t>
      </w:r>
      <w:r>
        <w:rPr>
          <w:rFonts w:ascii="宋体" w:hAnsi="宋体" w:eastAsia="宋体" w:cs="宋体"/>
          <w:spacing w:val="14"/>
          <w:sz w:val="21"/>
          <w:szCs w:val="21"/>
        </w:rPr>
        <w:t xml:space="preserve"> </w:t>
      </w:r>
      <w:r>
        <w:rPr>
          <w:rFonts w:ascii="宋体" w:hAnsi="宋体" w:eastAsia="宋体" w:cs="宋体"/>
          <w:spacing w:val="3"/>
          <w:sz w:val="21"/>
          <w:szCs w:val="21"/>
        </w:rPr>
        <w:t xml:space="preserve">弧菌——0139群霍乱弧菌引起的典型霍乱流行来势凶猛，仅1992年底到1993年前几个月即造成数 </w:t>
      </w:r>
      <w:r>
        <w:rPr>
          <w:rFonts w:ascii="宋体" w:hAnsi="宋体" w:eastAsia="宋体" w:cs="宋体"/>
          <w:spacing w:val="6"/>
          <w:sz w:val="21"/>
          <w:szCs w:val="21"/>
        </w:rPr>
        <w:t>十万人发病、数千人死亡，而且有扩大蔓延趋势。2</w:t>
      </w:r>
      <w:r>
        <w:rPr>
          <w:rFonts w:ascii="宋体" w:hAnsi="宋体" w:eastAsia="宋体" w:cs="宋体"/>
          <w:spacing w:val="5"/>
          <w:sz w:val="21"/>
          <w:szCs w:val="21"/>
        </w:rPr>
        <w:t>023年，45个国家向</w:t>
      </w:r>
      <w:r>
        <w:rPr>
          <w:rFonts w:ascii="宋体" w:hAnsi="宋体" w:eastAsia="宋体" w:cs="宋体"/>
          <w:sz w:val="21"/>
          <w:szCs w:val="21"/>
        </w:rPr>
        <w:t>WHO</w:t>
      </w:r>
      <w:r>
        <w:rPr>
          <w:rFonts w:ascii="宋体" w:hAnsi="宋体" w:eastAsia="宋体" w:cs="宋体"/>
          <w:spacing w:val="5"/>
          <w:sz w:val="21"/>
          <w:szCs w:val="21"/>
        </w:rPr>
        <w:t xml:space="preserve">  报告了535321例霍</w:t>
      </w:r>
      <w:r>
        <w:rPr>
          <w:rFonts w:ascii="宋体" w:hAnsi="宋体" w:eastAsia="宋体" w:cs="宋体"/>
          <w:sz w:val="21"/>
          <w:szCs w:val="21"/>
        </w:rPr>
        <w:t xml:space="preserve"> </w:t>
      </w:r>
      <w:r>
        <w:rPr>
          <w:rFonts w:ascii="宋体" w:hAnsi="宋体" w:eastAsia="宋体" w:cs="宋体"/>
          <w:spacing w:val="8"/>
          <w:sz w:val="21"/>
          <w:szCs w:val="21"/>
        </w:rPr>
        <w:t>乱病例和4007例死亡病例。与2022年相比</w:t>
      </w:r>
      <w:r>
        <w:rPr>
          <w:rFonts w:ascii="宋体" w:hAnsi="宋体" w:eastAsia="宋体" w:cs="宋体"/>
          <w:spacing w:val="7"/>
          <w:sz w:val="21"/>
          <w:szCs w:val="21"/>
        </w:rPr>
        <w:t>，2023年报告的霍乱病例数增加了13%,死亡人数增加</w:t>
      </w:r>
      <w:r>
        <w:rPr>
          <w:rFonts w:ascii="宋体" w:hAnsi="宋体" w:eastAsia="宋体" w:cs="宋体"/>
          <w:sz w:val="21"/>
          <w:szCs w:val="21"/>
        </w:rPr>
        <w:t xml:space="preserve"> </w:t>
      </w:r>
      <w:r>
        <w:rPr>
          <w:rFonts w:ascii="宋体" w:hAnsi="宋体" w:eastAsia="宋体" w:cs="宋体"/>
          <w:spacing w:val="17"/>
          <w:sz w:val="21"/>
          <w:szCs w:val="21"/>
        </w:rPr>
        <w:t>了71%。</w:t>
      </w:r>
    </w:p>
    <w:p w14:paraId="72D7F036">
      <w:pPr>
        <w:spacing w:before="58" w:line="327" w:lineRule="auto"/>
        <w:ind w:left="700" w:right="46" w:firstLine="399"/>
        <w:jc w:val="both"/>
        <w:rPr>
          <w:rFonts w:ascii="宋体" w:hAnsi="宋体" w:eastAsia="宋体" w:cs="宋体"/>
          <w:sz w:val="21"/>
          <w:szCs w:val="21"/>
        </w:rPr>
      </w:pPr>
      <w:r>
        <w:rPr>
          <w:rFonts w:ascii="宋体" w:hAnsi="宋体" w:eastAsia="宋体" w:cs="宋体"/>
          <w:spacing w:val="4"/>
          <w:sz w:val="21"/>
          <w:szCs w:val="21"/>
        </w:rPr>
        <w:t>从1820年第一次霍乱世界大流行以来的每次世界大流行，我国都会受到波及</w:t>
      </w:r>
      <w:r>
        <w:rPr>
          <w:rFonts w:ascii="宋体" w:hAnsi="宋体" w:eastAsia="宋体" w:cs="宋体"/>
          <w:spacing w:val="3"/>
          <w:sz w:val="21"/>
          <w:szCs w:val="21"/>
        </w:rPr>
        <w:t>。1961年以来我</w:t>
      </w:r>
      <w:r>
        <w:rPr>
          <w:rFonts w:ascii="宋体" w:hAnsi="宋体" w:eastAsia="宋体" w:cs="宋体"/>
          <w:sz w:val="21"/>
          <w:szCs w:val="21"/>
        </w:rPr>
        <w:t xml:space="preserve"> </w:t>
      </w:r>
      <w:r>
        <w:rPr>
          <w:rFonts w:ascii="宋体" w:hAnsi="宋体" w:eastAsia="宋体" w:cs="宋体"/>
          <w:spacing w:val="2"/>
          <w:sz w:val="21"/>
          <w:szCs w:val="21"/>
        </w:rPr>
        <w:t>国霍乱疫情时有发生，1993年首次发生了</w:t>
      </w:r>
      <w:r>
        <w:rPr>
          <w:rFonts w:ascii="Times New Roman" w:hAnsi="Times New Roman" w:eastAsia="Times New Roman" w:cs="Times New Roman"/>
          <w:spacing w:val="2"/>
          <w:sz w:val="21"/>
          <w:szCs w:val="21"/>
        </w:rPr>
        <w:t>O139</w:t>
      </w:r>
      <w:r>
        <w:rPr>
          <w:rFonts w:ascii="宋体" w:hAnsi="宋体" w:eastAsia="宋体" w:cs="宋体"/>
          <w:spacing w:val="2"/>
          <w:sz w:val="21"/>
          <w:szCs w:val="21"/>
        </w:rPr>
        <w:t>霍乱的局部暴发，2000年之后我国霍乱发病数总体</w:t>
      </w:r>
      <w:r>
        <w:rPr>
          <w:rFonts w:ascii="宋体" w:hAnsi="宋体" w:eastAsia="宋体" w:cs="宋体"/>
          <w:spacing w:val="5"/>
          <w:sz w:val="21"/>
          <w:szCs w:val="21"/>
        </w:rPr>
        <w:t xml:space="preserve"> </w:t>
      </w:r>
      <w:r>
        <w:rPr>
          <w:rFonts w:ascii="宋体" w:hAnsi="宋体" w:eastAsia="宋体" w:cs="宋体"/>
          <w:spacing w:val="4"/>
          <w:sz w:val="21"/>
          <w:szCs w:val="21"/>
        </w:rPr>
        <w:t>呈下降趋势，2014年以来年度报告发病数均不超过50例，20</w:t>
      </w:r>
      <w:r>
        <w:rPr>
          <w:rFonts w:ascii="宋体" w:hAnsi="宋体" w:eastAsia="宋体" w:cs="宋体"/>
          <w:spacing w:val="3"/>
          <w:sz w:val="21"/>
          <w:szCs w:val="21"/>
        </w:rPr>
        <w:t>22年仍维持在低发病水平(31例)。总</w:t>
      </w:r>
      <w:r>
        <w:rPr>
          <w:rFonts w:ascii="宋体" w:hAnsi="宋体" w:eastAsia="宋体" w:cs="宋体"/>
          <w:sz w:val="21"/>
          <w:szCs w:val="21"/>
        </w:rPr>
        <w:t xml:space="preserve"> </w:t>
      </w:r>
      <w:r>
        <w:rPr>
          <w:rFonts w:ascii="宋体" w:hAnsi="宋体" w:eastAsia="宋体" w:cs="宋体"/>
          <w:spacing w:val="-6"/>
          <w:sz w:val="21"/>
          <w:szCs w:val="21"/>
        </w:rPr>
        <w:t>体而言，目前我国霍乱处于低发期，但时有聚集性感染事件，对霍乱防制必须认真对待。</w:t>
      </w:r>
    </w:p>
    <w:p w14:paraId="178398FB">
      <w:pPr>
        <w:pStyle w:val="2"/>
        <w:spacing w:before="11" w:line="221" w:lineRule="auto"/>
        <w:ind w:left="1103"/>
        <w:rPr>
          <w:sz w:val="21"/>
          <w:szCs w:val="21"/>
        </w:rPr>
      </w:pPr>
      <w:r>
        <w:rPr>
          <w:b/>
          <w:bCs/>
          <w:spacing w:val="18"/>
          <w:sz w:val="21"/>
          <w:szCs w:val="21"/>
        </w:rPr>
        <w:t>(二)诊断标准</w:t>
      </w:r>
    </w:p>
    <w:p w14:paraId="1EEF8219">
      <w:pPr>
        <w:pStyle w:val="2"/>
        <w:spacing w:before="78" w:line="322" w:lineRule="auto"/>
        <w:ind w:left="700" w:right="74" w:firstLine="402"/>
        <w:rPr>
          <w:rFonts w:ascii="宋体" w:hAnsi="宋体" w:eastAsia="宋体" w:cs="宋体"/>
          <w:sz w:val="21"/>
          <w:szCs w:val="21"/>
        </w:rPr>
      </w:pPr>
      <w:r>
        <w:rPr>
          <w:rFonts w:ascii="宋体" w:hAnsi="宋体" w:eastAsia="宋体" w:cs="宋体"/>
          <w:b/>
          <w:bCs/>
          <w:spacing w:val="1"/>
          <w:sz w:val="21"/>
          <w:szCs w:val="21"/>
        </w:rPr>
        <w:t>1.</w:t>
      </w:r>
      <w:r>
        <w:rPr>
          <w:rFonts w:ascii="宋体" w:hAnsi="宋体" w:eastAsia="宋体" w:cs="宋体"/>
          <w:spacing w:val="-22"/>
          <w:sz w:val="21"/>
          <w:szCs w:val="21"/>
        </w:rPr>
        <w:t xml:space="preserve"> </w:t>
      </w:r>
      <w:r>
        <w:rPr>
          <w:b/>
          <w:bCs/>
          <w:spacing w:val="1"/>
          <w:sz w:val="21"/>
          <w:szCs w:val="21"/>
        </w:rPr>
        <w:t>诊断要点</w:t>
      </w:r>
      <w:r>
        <w:rPr>
          <w:spacing w:val="68"/>
          <w:sz w:val="21"/>
          <w:szCs w:val="21"/>
        </w:rPr>
        <w:t xml:space="preserve"> </w:t>
      </w:r>
      <w:r>
        <w:rPr>
          <w:rFonts w:ascii="宋体" w:hAnsi="宋体" w:eastAsia="宋体" w:cs="宋体"/>
          <w:spacing w:val="1"/>
          <w:sz w:val="21"/>
          <w:szCs w:val="21"/>
        </w:rPr>
        <w:t>霍乱的最短潜伏期为3～6小时，最长为</w:t>
      </w:r>
      <w:r>
        <w:rPr>
          <w:rFonts w:ascii="宋体" w:hAnsi="宋体" w:eastAsia="宋体" w:cs="宋体"/>
          <w:sz w:val="21"/>
          <w:szCs w:val="21"/>
        </w:rPr>
        <w:t>5～7天，</w:t>
      </w:r>
      <w:r>
        <w:rPr>
          <w:rFonts w:ascii="宋体" w:hAnsi="宋体" w:eastAsia="宋体" w:cs="宋体"/>
          <w:spacing w:val="-22"/>
          <w:sz w:val="21"/>
          <w:szCs w:val="21"/>
        </w:rPr>
        <w:t xml:space="preserve"> </w:t>
      </w:r>
      <w:r>
        <w:rPr>
          <w:rFonts w:ascii="宋体" w:hAnsi="宋体" w:eastAsia="宋体" w:cs="宋体"/>
          <w:sz w:val="21"/>
          <w:szCs w:val="21"/>
        </w:rPr>
        <w:t>一般为12～72小时，国际检疫 规定的最长潜伏期为5天。霍乱诊断依据如下：</w:t>
      </w:r>
    </w:p>
    <w:p w14:paraId="7F62298B">
      <w:pPr>
        <w:spacing w:before="1" w:line="290" w:lineRule="auto"/>
        <w:ind w:left="700" w:right="65" w:firstLine="399"/>
        <w:rPr>
          <w:rFonts w:ascii="宋体" w:hAnsi="宋体" w:eastAsia="宋体" w:cs="宋体"/>
          <w:sz w:val="21"/>
          <w:szCs w:val="21"/>
        </w:rPr>
      </w:pPr>
      <w:r>
        <w:rPr>
          <w:rFonts w:ascii="宋体" w:hAnsi="宋体" w:eastAsia="宋体" w:cs="宋体"/>
          <w:spacing w:val="7"/>
          <w:sz w:val="21"/>
          <w:szCs w:val="21"/>
        </w:rPr>
        <w:t>(1)流行病学：①生活在霍乱流行区，或5天</w:t>
      </w:r>
      <w:r>
        <w:rPr>
          <w:rFonts w:ascii="宋体" w:hAnsi="宋体" w:eastAsia="宋体" w:cs="宋体"/>
          <w:spacing w:val="6"/>
          <w:sz w:val="21"/>
          <w:szCs w:val="21"/>
        </w:rPr>
        <w:t>内到过霍乱流行区，或发病前5天内有饮用生水</w:t>
      </w:r>
      <w:r>
        <w:rPr>
          <w:rFonts w:ascii="宋体" w:hAnsi="宋体" w:eastAsia="宋体" w:cs="宋体"/>
          <w:sz w:val="21"/>
          <w:szCs w:val="21"/>
        </w:rPr>
        <w:t xml:space="preserve"> </w:t>
      </w:r>
      <w:r>
        <w:rPr>
          <w:rFonts w:ascii="宋体" w:hAnsi="宋体" w:eastAsia="宋体" w:cs="宋体"/>
          <w:spacing w:val="4"/>
          <w:sz w:val="21"/>
          <w:szCs w:val="21"/>
        </w:rPr>
        <w:t>或进食海(水)产品或其他不洁食物和饮料等饮食史。②与霍乱</w:t>
      </w:r>
      <w:r>
        <w:rPr>
          <w:rFonts w:ascii="宋体" w:hAnsi="宋体" w:eastAsia="宋体" w:cs="宋体"/>
          <w:spacing w:val="3"/>
          <w:sz w:val="21"/>
          <w:szCs w:val="21"/>
        </w:rPr>
        <w:t>病人或带菌者有密切接触史或共同</w:t>
      </w:r>
      <w:r>
        <w:rPr>
          <w:rFonts w:ascii="宋体" w:hAnsi="宋体" w:eastAsia="宋体" w:cs="宋体"/>
          <w:sz w:val="21"/>
          <w:szCs w:val="21"/>
        </w:rPr>
        <w:t xml:space="preserve"> </w:t>
      </w:r>
      <w:r>
        <w:rPr>
          <w:rFonts w:ascii="宋体" w:hAnsi="宋体" w:eastAsia="宋体" w:cs="宋体"/>
          <w:spacing w:val="-3"/>
          <w:sz w:val="21"/>
          <w:szCs w:val="21"/>
        </w:rPr>
        <w:t>暴露史。</w:t>
      </w:r>
    </w:p>
    <w:p w14:paraId="110C2E11">
      <w:pPr>
        <w:spacing w:before="121" w:line="297" w:lineRule="auto"/>
        <w:ind w:left="700" w:right="67" w:firstLine="399"/>
        <w:rPr>
          <w:rFonts w:ascii="宋体" w:hAnsi="宋体" w:eastAsia="宋体" w:cs="宋体"/>
          <w:sz w:val="21"/>
          <w:szCs w:val="21"/>
        </w:rPr>
      </w:pPr>
      <w:r>
        <w:rPr>
          <w:rFonts w:ascii="宋体" w:hAnsi="宋体" w:eastAsia="宋体" w:cs="宋体"/>
          <w:spacing w:val="-3"/>
          <w:sz w:val="21"/>
          <w:szCs w:val="21"/>
        </w:rPr>
        <w:t>(2)临床表现：①轻型病例：无腹痛、腹泻，可伴有呕吐，常无发热和里</w:t>
      </w:r>
      <w:r>
        <w:rPr>
          <w:rFonts w:ascii="宋体" w:hAnsi="宋体" w:eastAsia="宋体" w:cs="宋体"/>
          <w:spacing w:val="-4"/>
          <w:sz w:val="21"/>
          <w:szCs w:val="21"/>
        </w:rPr>
        <w:t>急后重表现。少数病例</w:t>
      </w:r>
      <w:r>
        <w:rPr>
          <w:rFonts w:ascii="宋体" w:hAnsi="宋体" w:eastAsia="宋体" w:cs="宋体"/>
          <w:sz w:val="21"/>
          <w:szCs w:val="21"/>
        </w:rPr>
        <w:t xml:space="preserve"> </w:t>
      </w:r>
      <w:r>
        <w:rPr>
          <w:rFonts w:ascii="宋体" w:hAnsi="宋体" w:eastAsia="宋体" w:cs="宋体"/>
          <w:spacing w:val="-1"/>
          <w:sz w:val="21"/>
          <w:szCs w:val="21"/>
        </w:rPr>
        <w:t>可出现低热(多见于儿童)、腹部隐痛或饱胀感，个别病</w:t>
      </w:r>
      <w:r>
        <w:rPr>
          <w:rFonts w:ascii="宋体" w:hAnsi="宋体" w:eastAsia="宋体" w:cs="宋体"/>
          <w:spacing w:val="-2"/>
          <w:sz w:val="21"/>
          <w:szCs w:val="21"/>
        </w:rPr>
        <w:t>例有阵发性绞痛。②中、重型病例：腹泻次</w:t>
      </w:r>
      <w:r>
        <w:rPr>
          <w:rFonts w:ascii="宋体" w:hAnsi="宋体" w:eastAsia="宋体" w:cs="宋体"/>
          <w:sz w:val="21"/>
          <w:szCs w:val="21"/>
        </w:rPr>
        <w:t xml:space="preserve"> </w:t>
      </w:r>
      <w:r>
        <w:rPr>
          <w:rFonts w:ascii="宋体" w:hAnsi="宋体" w:eastAsia="宋体" w:cs="宋体"/>
          <w:spacing w:val="-6"/>
          <w:sz w:val="21"/>
          <w:szCs w:val="21"/>
        </w:rPr>
        <w:t>数频繁或剧烈，粪便性状为水样便，伴有呕吐，迅速出现脱水或严重脱水、循</w:t>
      </w:r>
      <w:r>
        <w:rPr>
          <w:rFonts w:ascii="宋体" w:hAnsi="宋体" w:eastAsia="宋体" w:cs="宋体"/>
          <w:spacing w:val="-7"/>
          <w:sz w:val="21"/>
          <w:szCs w:val="21"/>
        </w:rPr>
        <w:t>环衰竭等休克表现及肌</w:t>
      </w:r>
      <w:r>
        <w:rPr>
          <w:rFonts w:ascii="宋体" w:hAnsi="宋体" w:eastAsia="宋体" w:cs="宋体"/>
          <w:sz w:val="21"/>
          <w:szCs w:val="21"/>
        </w:rPr>
        <w:t xml:space="preserve"> </w:t>
      </w:r>
      <w:r>
        <w:rPr>
          <w:rFonts w:ascii="宋体" w:hAnsi="宋体" w:eastAsia="宋体" w:cs="宋体"/>
          <w:spacing w:val="1"/>
          <w:sz w:val="21"/>
          <w:szCs w:val="21"/>
        </w:rPr>
        <w:t>肉痉挛(特别是腓肠肌)。③中毒型病例：为一较罕见型(干性霍乱),在霍乱流行期出现，表现</w:t>
      </w:r>
      <w:r>
        <w:rPr>
          <w:rFonts w:ascii="宋体" w:hAnsi="宋体" w:eastAsia="宋体" w:cs="宋体"/>
          <w:sz w:val="21"/>
          <w:szCs w:val="21"/>
        </w:rPr>
        <w:t xml:space="preserve">为无 </w:t>
      </w:r>
      <w:r>
        <w:rPr>
          <w:rFonts w:ascii="宋体" w:hAnsi="宋体" w:eastAsia="宋体" w:cs="宋体"/>
          <w:spacing w:val="-6"/>
          <w:sz w:val="21"/>
          <w:szCs w:val="21"/>
        </w:rPr>
        <w:t>泻吐或泻吐较轻、无脱水或仅有轻度脱水，但有严重中毒性循环衰竭。</w:t>
      </w:r>
    </w:p>
    <w:p w14:paraId="4390DF33">
      <w:pPr>
        <w:spacing w:before="159" w:line="280" w:lineRule="auto"/>
        <w:ind w:left="700" w:right="73" w:firstLine="399"/>
        <w:rPr>
          <w:rFonts w:ascii="宋体" w:hAnsi="宋体" w:eastAsia="宋体" w:cs="宋体"/>
          <w:sz w:val="21"/>
          <w:szCs w:val="21"/>
        </w:rPr>
      </w:pPr>
      <w:r>
        <w:rPr>
          <w:rFonts w:ascii="宋体" w:hAnsi="宋体" w:eastAsia="宋体" w:cs="宋体"/>
          <w:spacing w:val="5"/>
          <w:sz w:val="21"/>
          <w:szCs w:val="21"/>
        </w:rPr>
        <w:t>(3)实验室检测：①粪便、呕吐物或肛拭子细菌培养分离到0</w:t>
      </w:r>
      <w:r>
        <w:rPr>
          <w:rFonts w:ascii="Calibri" w:hAnsi="Calibri" w:eastAsia="Calibri" w:cs="Calibri"/>
          <w:spacing w:val="5"/>
          <w:sz w:val="21"/>
          <w:szCs w:val="21"/>
        </w:rPr>
        <w:t>₁</w:t>
      </w:r>
      <w:r>
        <w:rPr>
          <w:rFonts w:ascii="宋体" w:hAnsi="宋体" w:eastAsia="宋体" w:cs="宋体"/>
          <w:spacing w:val="5"/>
          <w:sz w:val="21"/>
          <w:szCs w:val="21"/>
        </w:rPr>
        <w:t>群和/或</w:t>
      </w:r>
      <w:r>
        <w:rPr>
          <w:rFonts w:ascii="Times New Roman" w:hAnsi="Times New Roman" w:eastAsia="Times New Roman" w:cs="Times New Roman"/>
          <w:spacing w:val="5"/>
          <w:sz w:val="21"/>
          <w:szCs w:val="21"/>
        </w:rPr>
        <w:t xml:space="preserve">O19 </w:t>
      </w:r>
      <w:r>
        <w:rPr>
          <w:rFonts w:ascii="宋体" w:hAnsi="宋体" w:eastAsia="宋体" w:cs="宋体"/>
          <w:spacing w:val="5"/>
          <w:sz w:val="21"/>
          <w:szCs w:val="21"/>
        </w:rPr>
        <w:t>群霍乱弧菌。②在</w:t>
      </w:r>
      <w:r>
        <w:rPr>
          <w:rFonts w:ascii="宋体" w:hAnsi="宋体" w:eastAsia="宋体" w:cs="宋体"/>
          <w:spacing w:val="4"/>
          <w:sz w:val="21"/>
          <w:szCs w:val="21"/>
        </w:rPr>
        <w:t xml:space="preserve"> </w:t>
      </w:r>
      <w:r>
        <w:rPr>
          <w:rFonts w:ascii="宋体" w:hAnsi="宋体" w:eastAsia="宋体" w:cs="宋体"/>
          <w:sz w:val="21"/>
          <w:szCs w:val="21"/>
        </w:rPr>
        <w:t>腹泻病人日常生活用品或家居环境中检出O</w:t>
      </w:r>
      <w:r>
        <w:rPr>
          <w:rFonts w:ascii="Calibri" w:hAnsi="Calibri" w:eastAsia="Calibri" w:cs="Calibri"/>
          <w:sz w:val="21"/>
          <w:szCs w:val="21"/>
        </w:rPr>
        <w:t xml:space="preserve">₁  </w:t>
      </w:r>
      <w:r>
        <w:rPr>
          <w:rFonts w:ascii="宋体" w:hAnsi="宋体" w:eastAsia="宋体" w:cs="宋体"/>
          <w:sz w:val="21"/>
          <w:szCs w:val="21"/>
        </w:rPr>
        <w:t>群和/或O1</w:t>
      </w:r>
      <w:r>
        <w:rPr>
          <w:rFonts w:ascii="Calibri" w:hAnsi="Calibri" w:eastAsia="Calibri" w:cs="Calibri"/>
          <w:sz w:val="21"/>
          <w:szCs w:val="21"/>
        </w:rPr>
        <w:t>₃</w:t>
      </w:r>
      <w:r>
        <w:rPr>
          <w:rFonts w:ascii="宋体" w:hAnsi="宋体" w:eastAsia="宋体" w:cs="宋体"/>
          <w:sz w:val="21"/>
          <w:szCs w:val="21"/>
        </w:rPr>
        <w:t>9群霍乱弧菌。③粪便、呕吐物或肛拭子标</w:t>
      </w:r>
    </w:p>
    <w:p w14:paraId="5B0B4315">
      <w:pPr>
        <w:spacing w:line="280" w:lineRule="auto"/>
        <w:rPr>
          <w:rFonts w:ascii="宋体" w:hAnsi="宋体" w:eastAsia="宋体" w:cs="宋体"/>
          <w:sz w:val="21"/>
          <w:szCs w:val="21"/>
        </w:rPr>
        <w:sectPr>
          <w:footerReference r:id="rId367" w:type="default"/>
          <w:pgSz w:w="11900" w:h="16820"/>
          <w:pgMar w:top="400" w:right="1435" w:bottom="856" w:left="719" w:header="0" w:footer="667" w:gutter="0"/>
          <w:cols w:space="720" w:num="1"/>
        </w:sectPr>
      </w:pPr>
    </w:p>
    <w:p w14:paraId="3035B127">
      <w:pPr>
        <w:pStyle w:val="2"/>
        <w:spacing w:before="76" w:line="222" w:lineRule="auto"/>
        <w:ind w:left="6824"/>
        <w:rPr>
          <w:sz w:val="19"/>
          <w:szCs w:val="19"/>
        </w:rPr>
      </w:pPr>
      <w:r>
        <w:rPr>
          <w:spacing w:val="-21"/>
          <w:sz w:val="19"/>
          <w:szCs w:val="19"/>
        </w:rPr>
        <w:t>第二十二章 感染性腹泻</w:t>
      </w:r>
    </w:p>
    <w:p w14:paraId="738397D6">
      <w:pPr>
        <w:spacing w:line="277" w:lineRule="auto"/>
        <w:rPr>
          <w:rFonts w:ascii="Arial"/>
          <w:sz w:val="21"/>
        </w:rPr>
      </w:pPr>
    </w:p>
    <w:p w14:paraId="1EBFBD77">
      <w:pPr>
        <w:spacing w:line="278" w:lineRule="auto"/>
        <w:rPr>
          <w:rFonts w:ascii="Arial"/>
          <w:sz w:val="21"/>
        </w:rPr>
      </w:pPr>
    </w:p>
    <w:p w14:paraId="6EFDF866">
      <w:pPr>
        <w:spacing w:before="62" w:line="217" w:lineRule="auto"/>
        <w:ind w:left="94"/>
        <w:rPr>
          <w:rFonts w:ascii="宋体" w:hAnsi="宋体" w:eastAsia="宋体" w:cs="宋体"/>
          <w:sz w:val="19"/>
          <w:szCs w:val="19"/>
        </w:rPr>
      </w:pPr>
      <w:r>
        <w:rPr>
          <w:rFonts w:ascii="宋体" w:hAnsi="宋体" w:eastAsia="宋体" w:cs="宋体"/>
          <w:spacing w:val="8"/>
          <w:sz w:val="19"/>
          <w:szCs w:val="19"/>
        </w:rPr>
        <w:t>本霍乱毒素基因</w:t>
      </w:r>
      <w:r>
        <w:rPr>
          <w:rFonts w:ascii="Times New Roman" w:hAnsi="Times New Roman" w:eastAsia="Times New Roman" w:cs="Times New Roman"/>
          <w:sz w:val="19"/>
          <w:szCs w:val="19"/>
        </w:rPr>
        <w:t>PCR</w:t>
      </w:r>
      <w:r>
        <w:rPr>
          <w:rFonts w:ascii="Times New Roman" w:hAnsi="Times New Roman" w:eastAsia="Times New Roman" w:cs="Times New Roman"/>
          <w:spacing w:val="8"/>
          <w:sz w:val="19"/>
          <w:szCs w:val="19"/>
        </w:rPr>
        <w:t xml:space="preserve"> </w:t>
      </w:r>
      <w:r>
        <w:rPr>
          <w:rFonts w:ascii="宋体" w:hAnsi="宋体" w:eastAsia="宋体" w:cs="宋体"/>
          <w:spacing w:val="8"/>
          <w:sz w:val="19"/>
          <w:szCs w:val="19"/>
        </w:rPr>
        <w:t>检测阳性。④粪便、呕吐物或肛拭子标本霍乱快速辅助检测试验阳性。</w:t>
      </w:r>
    </w:p>
    <w:p w14:paraId="1FDB68A3">
      <w:pPr>
        <w:pStyle w:val="2"/>
        <w:spacing w:before="127" w:line="221" w:lineRule="auto"/>
        <w:ind w:left="494"/>
        <w:rPr>
          <w:rFonts w:ascii="宋体" w:hAnsi="宋体" w:eastAsia="宋体" w:cs="宋体"/>
          <w:sz w:val="19"/>
          <w:szCs w:val="19"/>
        </w:rPr>
      </w:pPr>
      <w:r>
        <w:rPr>
          <w:rFonts w:ascii="宋体" w:hAnsi="宋体" w:eastAsia="宋体" w:cs="宋体"/>
          <w:spacing w:val="7"/>
          <w:sz w:val="19"/>
          <w:szCs w:val="19"/>
        </w:rPr>
        <w:t xml:space="preserve">2. </w:t>
      </w:r>
      <w:r>
        <w:rPr>
          <w:spacing w:val="7"/>
          <w:sz w:val="19"/>
          <w:szCs w:val="19"/>
        </w:rPr>
        <w:t>诊断标准</w:t>
      </w:r>
      <w:r>
        <w:rPr>
          <w:spacing w:val="82"/>
          <w:sz w:val="19"/>
          <w:szCs w:val="19"/>
        </w:rPr>
        <w:t xml:space="preserve"> </w:t>
      </w:r>
      <w:r>
        <w:rPr>
          <w:rFonts w:ascii="宋体" w:hAnsi="宋体" w:eastAsia="宋体" w:cs="宋体"/>
          <w:spacing w:val="7"/>
          <w:sz w:val="19"/>
          <w:szCs w:val="19"/>
        </w:rPr>
        <w:t>依据病人的流行病学、临床表现及实验室检测结果进行综合判断。</w:t>
      </w:r>
    </w:p>
    <w:p w14:paraId="24877358">
      <w:pPr>
        <w:spacing w:before="152" w:line="217" w:lineRule="auto"/>
        <w:ind w:left="494"/>
        <w:rPr>
          <w:rFonts w:ascii="宋体" w:hAnsi="宋体" w:eastAsia="宋体" w:cs="宋体"/>
          <w:sz w:val="19"/>
          <w:szCs w:val="19"/>
        </w:rPr>
      </w:pPr>
      <w:r>
        <w:rPr>
          <w:rFonts w:ascii="宋体" w:hAnsi="宋体" w:eastAsia="宋体" w:cs="宋体"/>
          <w:spacing w:val="1"/>
          <w:sz w:val="19"/>
          <w:szCs w:val="19"/>
        </w:rPr>
        <w:t>(1)带菌者：无霍乱临床表现，但符合实验室检测“①”。</w:t>
      </w:r>
    </w:p>
    <w:p w14:paraId="7638BA9C">
      <w:pPr>
        <w:spacing w:before="145" w:line="312" w:lineRule="auto"/>
        <w:ind w:right="601" w:firstLine="494"/>
        <w:rPr>
          <w:rFonts w:ascii="宋体" w:hAnsi="宋体" w:eastAsia="宋体" w:cs="宋体"/>
          <w:sz w:val="19"/>
          <w:szCs w:val="19"/>
        </w:rPr>
      </w:pPr>
      <w:r>
        <w:rPr>
          <w:rFonts w:ascii="宋体" w:hAnsi="宋体" w:eastAsia="宋体" w:cs="宋体"/>
          <w:spacing w:val="1"/>
          <w:sz w:val="19"/>
          <w:szCs w:val="19"/>
        </w:rPr>
        <w:t>(2)疑似病例：流行病学“②”加临床表现“①”</w:t>
      </w:r>
      <w:r>
        <w:rPr>
          <w:rFonts w:ascii="宋体" w:hAnsi="宋体" w:eastAsia="宋体" w:cs="宋体"/>
          <w:sz w:val="19"/>
          <w:szCs w:val="19"/>
        </w:rPr>
        <w:t xml:space="preserve">,或临床表现“①”加实验室检测“③”,或临床 </w:t>
      </w:r>
      <w:r>
        <w:rPr>
          <w:rFonts w:ascii="宋体" w:hAnsi="宋体" w:eastAsia="宋体" w:cs="宋体"/>
          <w:spacing w:val="-3"/>
          <w:sz w:val="19"/>
          <w:szCs w:val="19"/>
        </w:rPr>
        <w:t>表现“①”加实验室检测“④”,或临床表现“③”加实验室检测“③”,或临床表现“③”加实验室检测</w:t>
      </w:r>
      <w:r>
        <w:rPr>
          <w:rFonts w:ascii="宋体" w:hAnsi="宋体" w:eastAsia="宋体" w:cs="宋体"/>
          <w:sz w:val="19"/>
          <w:szCs w:val="19"/>
        </w:rPr>
        <w:t xml:space="preserve"> </w:t>
      </w:r>
      <w:r>
        <w:rPr>
          <w:rFonts w:ascii="宋体" w:hAnsi="宋体" w:eastAsia="宋体" w:cs="宋体"/>
          <w:spacing w:val="-8"/>
          <w:sz w:val="19"/>
          <w:szCs w:val="19"/>
        </w:rPr>
        <w:t>“④”,或临床表现“②”。</w:t>
      </w:r>
    </w:p>
    <w:p w14:paraId="71BFE696">
      <w:pPr>
        <w:spacing w:before="158" w:line="288" w:lineRule="auto"/>
        <w:ind w:left="94" w:right="629" w:firstLine="399"/>
        <w:rPr>
          <w:rFonts w:ascii="宋体" w:hAnsi="宋体" w:eastAsia="宋体" w:cs="宋体"/>
          <w:sz w:val="19"/>
          <w:szCs w:val="19"/>
        </w:rPr>
      </w:pPr>
      <w:r>
        <w:rPr>
          <w:rFonts w:ascii="宋体" w:hAnsi="宋体" w:eastAsia="宋体" w:cs="宋体"/>
          <w:spacing w:val="4"/>
          <w:sz w:val="19"/>
          <w:szCs w:val="19"/>
        </w:rPr>
        <w:t>(3)临床诊断病例：具有临床表现“①~③”中的任何一项，且具备实验室检测“②”;或在一起</w:t>
      </w:r>
      <w:r>
        <w:rPr>
          <w:rFonts w:ascii="宋体" w:hAnsi="宋体" w:eastAsia="宋体" w:cs="宋体"/>
          <w:spacing w:val="16"/>
          <w:sz w:val="19"/>
          <w:szCs w:val="19"/>
        </w:rPr>
        <w:t xml:space="preserve"> </w:t>
      </w:r>
      <w:r>
        <w:rPr>
          <w:rFonts w:ascii="宋体" w:hAnsi="宋体" w:eastAsia="宋体" w:cs="宋体"/>
          <w:spacing w:val="7"/>
          <w:sz w:val="19"/>
          <w:szCs w:val="19"/>
        </w:rPr>
        <w:t>确认的霍乱暴发疫情中，暴露人群中具备临床</w:t>
      </w:r>
      <w:r>
        <w:rPr>
          <w:rFonts w:ascii="宋体" w:hAnsi="宋体" w:eastAsia="宋体" w:cs="宋体"/>
          <w:spacing w:val="6"/>
          <w:sz w:val="19"/>
          <w:szCs w:val="19"/>
        </w:rPr>
        <w:t>表现“①~③”中的任何一项。</w:t>
      </w:r>
    </w:p>
    <w:p w14:paraId="7B92550E">
      <w:pPr>
        <w:spacing w:before="167" w:line="290" w:lineRule="auto"/>
        <w:ind w:left="94" w:right="609" w:firstLine="399"/>
        <w:rPr>
          <w:rFonts w:ascii="宋体" w:hAnsi="宋体" w:eastAsia="宋体" w:cs="宋体"/>
          <w:sz w:val="19"/>
          <w:szCs w:val="19"/>
        </w:rPr>
      </w:pPr>
      <w:r>
        <w:rPr>
          <w:rFonts w:ascii="宋体" w:hAnsi="宋体" w:eastAsia="宋体" w:cs="宋体"/>
          <w:spacing w:val="5"/>
          <w:sz w:val="19"/>
          <w:szCs w:val="19"/>
        </w:rPr>
        <w:t>(4)确诊病例：具备临床表现“①~③”中的任何一项，且具备实验室检测中</w:t>
      </w:r>
      <w:r>
        <w:rPr>
          <w:rFonts w:ascii="宋体" w:hAnsi="宋体" w:eastAsia="宋体" w:cs="宋体"/>
          <w:spacing w:val="4"/>
          <w:sz w:val="19"/>
          <w:szCs w:val="19"/>
        </w:rPr>
        <w:t>的“①”;或在疫源</w:t>
      </w:r>
      <w:r>
        <w:rPr>
          <w:rFonts w:ascii="宋体" w:hAnsi="宋体" w:eastAsia="宋体" w:cs="宋体"/>
          <w:sz w:val="19"/>
          <w:szCs w:val="19"/>
        </w:rPr>
        <w:t xml:space="preserve"> </w:t>
      </w:r>
      <w:r>
        <w:rPr>
          <w:rFonts w:ascii="宋体" w:hAnsi="宋体" w:eastAsia="宋体" w:cs="宋体"/>
          <w:spacing w:val="10"/>
          <w:sz w:val="19"/>
          <w:szCs w:val="19"/>
        </w:rPr>
        <w:t>检索中，粪便培养检出01群和/或</w:t>
      </w:r>
      <w:r>
        <w:rPr>
          <w:rFonts w:ascii="Times New Roman" w:hAnsi="Times New Roman" w:eastAsia="Times New Roman" w:cs="Times New Roman"/>
          <w:spacing w:val="10"/>
          <w:sz w:val="19"/>
          <w:szCs w:val="19"/>
        </w:rPr>
        <w:t>O13</w:t>
      </w:r>
      <w:r>
        <w:rPr>
          <w:rFonts w:ascii="Times New Roman" w:hAnsi="Times New Roman" w:eastAsia="Times New Roman" w:cs="Times New Roman"/>
          <w:spacing w:val="9"/>
          <w:sz w:val="19"/>
          <w:szCs w:val="19"/>
        </w:rPr>
        <w:t>9</w:t>
      </w:r>
      <w:r>
        <w:rPr>
          <w:rFonts w:ascii="宋体" w:hAnsi="宋体" w:eastAsia="宋体" w:cs="宋体"/>
          <w:spacing w:val="9"/>
          <w:sz w:val="19"/>
          <w:szCs w:val="19"/>
        </w:rPr>
        <w:t>群霍乱弧菌前后各5天内有腹泻症状者。</w:t>
      </w:r>
    </w:p>
    <w:p w14:paraId="2A535ACA">
      <w:pPr>
        <w:pStyle w:val="2"/>
        <w:spacing w:before="91" w:line="221" w:lineRule="auto"/>
        <w:ind w:left="568"/>
        <w:rPr>
          <w:sz w:val="24"/>
          <w:szCs w:val="24"/>
        </w:rPr>
      </w:pPr>
      <w:r>
        <w:rPr>
          <w:b/>
          <w:bCs/>
          <w:spacing w:val="-10"/>
          <w:sz w:val="24"/>
          <w:szCs w:val="24"/>
        </w:rPr>
        <w:t>(三)防制要点</w:t>
      </w:r>
    </w:p>
    <w:p w14:paraId="5649B2A4">
      <w:pPr>
        <w:spacing w:before="124" w:line="296" w:lineRule="auto"/>
        <w:ind w:left="94" w:right="648" w:firstLine="399"/>
        <w:rPr>
          <w:rFonts w:ascii="宋体" w:hAnsi="宋体" w:eastAsia="宋体" w:cs="宋体"/>
          <w:sz w:val="19"/>
          <w:szCs w:val="19"/>
        </w:rPr>
      </w:pPr>
      <w:r>
        <w:rPr>
          <w:rFonts w:ascii="宋体" w:hAnsi="宋体" w:eastAsia="宋体" w:cs="宋体"/>
          <w:spacing w:val="7"/>
          <w:sz w:val="19"/>
          <w:szCs w:val="19"/>
        </w:rPr>
        <w:t>1.</w:t>
      </w:r>
      <w:r>
        <w:rPr>
          <w:rFonts w:ascii="宋体" w:hAnsi="宋体" w:eastAsia="宋体" w:cs="宋体"/>
          <w:spacing w:val="-23"/>
          <w:sz w:val="19"/>
          <w:szCs w:val="19"/>
        </w:rPr>
        <w:t xml:space="preserve"> </w:t>
      </w:r>
      <w:r>
        <w:rPr>
          <w:rFonts w:ascii="宋体" w:hAnsi="宋体" w:eastAsia="宋体" w:cs="宋体"/>
          <w:spacing w:val="7"/>
          <w:sz w:val="19"/>
          <w:szCs w:val="19"/>
        </w:rPr>
        <w:t>对病人(包括亚临床病人和带菌者)采取“五早一就”,对首例病人</w:t>
      </w:r>
      <w:r>
        <w:rPr>
          <w:rFonts w:ascii="宋体" w:hAnsi="宋体" w:eastAsia="宋体" w:cs="宋体"/>
          <w:spacing w:val="6"/>
          <w:sz w:val="19"/>
          <w:szCs w:val="19"/>
        </w:rPr>
        <w:t>要诊断准确，并进行认真</w:t>
      </w:r>
      <w:r>
        <w:rPr>
          <w:rFonts w:ascii="宋体" w:hAnsi="宋体" w:eastAsia="宋体" w:cs="宋体"/>
          <w:sz w:val="19"/>
          <w:szCs w:val="19"/>
        </w:rPr>
        <w:t xml:space="preserve"> </w:t>
      </w:r>
      <w:r>
        <w:rPr>
          <w:rFonts w:ascii="宋体" w:hAnsi="宋体" w:eastAsia="宋体" w:cs="宋体"/>
          <w:spacing w:val="15"/>
          <w:sz w:val="19"/>
          <w:szCs w:val="19"/>
        </w:rPr>
        <w:t>的流行病学调查。</w:t>
      </w:r>
    </w:p>
    <w:p w14:paraId="7FFF932B">
      <w:pPr>
        <w:spacing w:before="139" w:line="291" w:lineRule="auto"/>
        <w:ind w:left="94" w:right="609" w:firstLine="399"/>
        <w:rPr>
          <w:rFonts w:ascii="宋体" w:hAnsi="宋体" w:eastAsia="宋体" w:cs="宋体"/>
          <w:sz w:val="19"/>
          <w:szCs w:val="19"/>
        </w:rPr>
      </w:pPr>
      <w:r>
        <w:rPr>
          <w:rFonts w:ascii="宋体" w:hAnsi="宋体" w:eastAsia="宋体" w:cs="宋体"/>
          <w:spacing w:val="3"/>
          <w:sz w:val="19"/>
          <w:szCs w:val="19"/>
        </w:rPr>
        <w:t>2.</w:t>
      </w:r>
      <w:r>
        <w:rPr>
          <w:rFonts w:ascii="宋体" w:hAnsi="宋体" w:eastAsia="宋体" w:cs="宋体"/>
          <w:spacing w:val="-12"/>
          <w:sz w:val="19"/>
          <w:szCs w:val="19"/>
        </w:rPr>
        <w:t xml:space="preserve"> </w:t>
      </w:r>
      <w:r>
        <w:rPr>
          <w:rFonts w:ascii="宋体" w:hAnsi="宋体" w:eastAsia="宋体" w:cs="宋体"/>
          <w:spacing w:val="3"/>
          <w:sz w:val="19"/>
          <w:szCs w:val="19"/>
        </w:rPr>
        <w:t>环境做到“三管一灭”,尤其应做好水源的管理和消毒，这是预防霍乱的重要措施；提高个体</w:t>
      </w:r>
      <w:r>
        <w:rPr>
          <w:rFonts w:ascii="宋体" w:hAnsi="宋体" w:eastAsia="宋体" w:cs="宋体"/>
          <w:sz w:val="19"/>
          <w:szCs w:val="19"/>
        </w:rPr>
        <w:t xml:space="preserve"> </w:t>
      </w:r>
      <w:r>
        <w:rPr>
          <w:rFonts w:ascii="宋体" w:hAnsi="宋体" w:eastAsia="宋体" w:cs="宋体"/>
          <w:spacing w:val="8"/>
          <w:sz w:val="19"/>
          <w:szCs w:val="19"/>
        </w:rPr>
        <w:t>卫生水平和防护能力(饭前便后洗手、不饮生水等)。</w:t>
      </w:r>
    </w:p>
    <w:p w14:paraId="67283E92">
      <w:pPr>
        <w:spacing w:before="146" w:line="298" w:lineRule="auto"/>
        <w:ind w:left="94" w:right="522" w:firstLine="399"/>
        <w:rPr>
          <w:rFonts w:ascii="宋体" w:hAnsi="宋体" w:eastAsia="宋体" w:cs="宋体"/>
          <w:sz w:val="19"/>
          <w:szCs w:val="19"/>
        </w:rPr>
      </w:pPr>
      <w:r>
        <w:rPr>
          <w:rFonts w:ascii="宋体" w:hAnsi="宋体" w:eastAsia="宋体" w:cs="宋体"/>
          <w:spacing w:val="-5"/>
          <w:sz w:val="19"/>
          <w:szCs w:val="19"/>
        </w:rPr>
        <w:t>3.</w:t>
      </w:r>
      <w:r>
        <w:rPr>
          <w:rFonts w:ascii="宋体" w:hAnsi="宋体" w:eastAsia="宋体" w:cs="宋体"/>
          <w:spacing w:val="-24"/>
          <w:sz w:val="19"/>
          <w:szCs w:val="19"/>
        </w:rPr>
        <w:t xml:space="preserve"> </w:t>
      </w:r>
      <w:r>
        <w:rPr>
          <w:rFonts w:ascii="宋体" w:hAnsi="宋体" w:eastAsia="宋体" w:cs="宋体"/>
          <w:spacing w:val="-5"/>
          <w:sz w:val="19"/>
          <w:szCs w:val="19"/>
        </w:rPr>
        <w:t>对疫点的处理要坚持“早、小、严、实”的原</w:t>
      </w:r>
      <w:r>
        <w:rPr>
          <w:rFonts w:ascii="宋体" w:hAnsi="宋体" w:eastAsia="宋体" w:cs="宋体"/>
          <w:spacing w:val="-6"/>
          <w:sz w:val="19"/>
          <w:szCs w:val="19"/>
        </w:rPr>
        <w:t>则，即时间要早，范围要小，措施要严，落在实处。</w:t>
      </w:r>
      <w:r>
        <w:rPr>
          <w:rFonts w:ascii="宋体" w:hAnsi="宋体" w:eastAsia="宋体" w:cs="宋体"/>
          <w:sz w:val="19"/>
          <w:szCs w:val="19"/>
        </w:rPr>
        <w:t xml:space="preserve"> </w:t>
      </w:r>
      <w:r>
        <w:rPr>
          <w:rFonts w:ascii="宋体" w:hAnsi="宋体" w:eastAsia="宋体" w:cs="宋体"/>
          <w:spacing w:val="7"/>
          <w:sz w:val="19"/>
          <w:szCs w:val="19"/>
        </w:rPr>
        <w:t>如果疫区面积较大、流行形势严峻，可以依照有关法律法规</w:t>
      </w:r>
      <w:r>
        <w:rPr>
          <w:rFonts w:ascii="宋体" w:hAnsi="宋体" w:eastAsia="宋体" w:cs="宋体"/>
          <w:spacing w:val="6"/>
          <w:sz w:val="19"/>
          <w:szCs w:val="19"/>
        </w:rPr>
        <w:t>采取应急措施。</w:t>
      </w:r>
    </w:p>
    <w:p w14:paraId="77055F34">
      <w:pPr>
        <w:spacing w:before="134" w:line="294" w:lineRule="auto"/>
        <w:ind w:left="94" w:right="610" w:firstLine="399"/>
        <w:rPr>
          <w:rFonts w:ascii="宋体" w:hAnsi="宋体" w:eastAsia="宋体" w:cs="宋体"/>
          <w:sz w:val="19"/>
          <w:szCs w:val="19"/>
        </w:rPr>
      </w:pPr>
      <w:r>
        <w:rPr>
          <w:rFonts w:ascii="Times New Roman" w:hAnsi="Times New Roman" w:eastAsia="Times New Roman" w:cs="Times New Roman"/>
          <w:spacing w:val="10"/>
          <w:sz w:val="19"/>
          <w:szCs w:val="19"/>
        </w:rPr>
        <w:t xml:space="preserve">4.  </w:t>
      </w:r>
      <w:r>
        <w:rPr>
          <w:rFonts w:ascii="宋体" w:hAnsi="宋体" w:eastAsia="宋体" w:cs="宋体"/>
          <w:spacing w:val="10"/>
          <w:sz w:val="19"/>
          <w:szCs w:val="19"/>
        </w:rPr>
        <w:t>对轻、中度脱水病人可使用</w:t>
      </w:r>
      <w:r>
        <w:rPr>
          <w:rFonts w:ascii="Times New Roman" w:hAnsi="Times New Roman" w:eastAsia="Times New Roman" w:cs="Times New Roman"/>
          <w:sz w:val="19"/>
          <w:szCs w:val="19"/>
        </w:rPr>
        <w:t>ORS</w:t>
      </w:r>
      <w:r>
        <w:rPr>
          <w:rFonts w:ascii="Times New Roman" w:hAnsi="Times New Roman" w:eastAsia="Times New Roman" w:cs="Times New Roman"/>
          <w:spacing w:val="10"/>
          <w:sz w:val="19"/>
          <w:szCs w:val="19"/>
        </w:rPr>
        <w:t xml:space="preserve"> </w:t>
      </w:r>
      <w:r>
        <w:rPr>
          <w:rFonts w:ascii="宋体" w:hAnsi="宋体" w:eastAsia="宋体" w:cs="宋体"/>
          <w:spacing w:val="10"/>
          <w:sz w:val="19"/>
          <w:szCs w:val="19"/>
        </w:rPr>
        <w:t>治疗，对重度脱水病人需静脉补液</w:t>
      </w:r>
      <w:r>
        <w:rPr>
          <w:rFonts w:ascii="宋体" w:hAnsi="宋体" w:eastAsia="宋体" w:cs="宋体"/>
          <w:spacing w:val="9"/>
          <w:sz w:val="19"/>
          <w:szCs w:val="19"/>
        </w:rPr>
        <w:t>。重症病人在治疗过程</w:t>
      </w:r>
      <w:r>
        <w:rPr>
          <w:rFonts w:ascii="宋体" w:hAnsi="宋体" w:eastAsia="宋体" w:cs="宋体"/>
          <w:sz w:val="19"/>
          <w:szCs w:val="19"/>
        </w:rPr>
        <w:t xml:space="preserve"> </w:t>
      </w:r>
      <w:r>
        <w:rPr>
          <w:rFonts w:ascii="宋体" w:hAnsi="宋体" w:eastAsia="宋体" w:cs="宋体"/>
          <w:spacing w:val="3"/>
          <w:sz w:val="19"/>
          <w:szCs w:val="19"/>
        </w:rPr>
        <w:t>中，可加用敏感的抗生素，以减少腹泻量、缩短腹泻持续时间，并降低病后带菌率。鼓励继续进食。</w:t>
      </w:r>
    </w:p>
    <w:p w14:paraId="706432BE">
      <w:pPr>
        <w:pStyle w:val="2"/>
        <w:spacing w:before="313" w:line="221" w:lineRule="auto"/>
        <w:ind w:left="568"/>
        <w:outlineLvl w:val="4"/>
        <w:rPr>
          <w:sz w:val="24"/>
          <w:szCs w:val="24"/>
        </w:rPr>
      </w:pPr>
      <w:bookmarkStart w:id="583" w:name="bookmark365"/>
      <w:bookmarkEnd w:id="583"/>
      <w:r>
        <w:rPr>
          <w:b/>
          <w:bCs/>
          <w:spacing w:val="-7"/>
          <w:sz w:val="24"/>
          <w:szCs w:val="24"/>
        </w:rPr>
        <w:t>二</w:t>
      </w:r>
      <w:r>
        <w:rPr>
          <w:spacing w:val="-32"/>
          <w:sz w:val="24"/>
          <w:szCs w:val="24"/>
        </w:rPr>
        <w:t xml:space="preserve"> </w:t>
      </w:r>
      <w:r>
        <w:rPr>
          <w:b/>
          <w:bCs/>
          <w:spacing w:val="-7"/>
          <w:sz w:val="24"/>
          <w:szCs w:val="24"/>
        </w:rPr>
        <w:t>、细菌性和阿米巴性痢疾</w:t>
      </w:r>
    </w:p>
    <w:p w14:paraId="4535017F">
      <w:pPr>
        <w:pStyle w:val="2"/>
        <w:spacing w:before="242" w:line="221" w:lineRule="auto"/>
        <w:ind w:left="568"/>
        <w:rPr>
          <w:sz w:val="24"/>
          <w:szCs w:val="24"/>
        </w:rPr>
      </w:pPr>
      <w:r>
        <w:rPr>
          <w:b/>
          <w:bCs/>
          <w:spacing w:val="-11"/>
          <w:sz w:val="24"/>
          <w:szCs w:val="24"/>
        </w:rPr>
        <w:t>(一)流行概况</w:t>
      </w:r>
    </w:p>
    <w:p w14:paraId="4407CBDF">
      <w:pPr>
        <w:spacing w:before="107" w:line="362" w:lineRule="auto"/>
        <w:ind w:left="94" w:right="576" w:firstLine="399"/>
        <w:jc w:val="both"/>
        <w:rPr>
          <w:rFonts w:ascii="宋体" w:hAnsi="宋体" w:eastAsia="宋体" w:cs="宋体"/>
          <w:sz w:val="19"/>
          <w:szCs w:val="19"/>
        </w:rPr>
      </w:pPr>
      <w:r>
        <w:rPr>
          <w:rFonts w:ascii="宋体" w:hAnsi="宋体" w:eastAsia="宋体" w:cs="宋体"/>
          <w:spacing w:val="5"/>
          <w:sz w:val="19"/>
          <w:szCs w:val="19"/>
        </w:rPr>
        <w:t>痢</w:t>
      </w:r>
      <w:r>
        <w:rPr>
          <w:rFonts w:ascii="宋体" w:hAnsi="宋体" w:eastAsia="宋体" w:cs="宋体"/>
          <w:spacing w:val="-14"/>
          <w:sz w:val="19"/>
          <w:szCs w:val="19"/>
        </w:rPr>
        <w:t xml:space="preserve"> </w:t>
      </w:r>
      <w:r>
        <w:rPr>
          <w:rFonts w:ascii="宋体" w:hAnsi="宋体" w:eastAsia="宋体" w:cs="宋体"/>
          <w:spacing w:val="5"/>
          <w:sz w:val="19"/>
          <w:szCs w:val="19"/>
        </w:rPr>
        <w:t>疾</w:t>
      </w:r>
      <w:r>
        <w:rPr>
          <w:rFonts w:ascii="Times New Roman" w:hAnsi="Times New Roman" w:eastAsia="Times New Roman" w:cs="Times New Roman"/>
          <w:spacing w:val="5"/>
          <w:sz w:val="19"/>
          <w:szCs w:val="19"/>
        </w:rPr>
        <w:t>(</w:t>
      </w:r>
      <w:r>
        <w:rPr>
          <w:rFonts w:ascii="Times New Roman" w:hAnsi="Times New Roman" w:eastAsia="Times New Roman" w:cs="Times New Roman"/>
          <w:sz w:val="19"/>
          <w:szCs w:val="19"/>
        </w:rPr>
        <w:t>dysentery</w:t>
      </w:r>
      <w:r>
        <w:rPr>
          <w:rFonts w:ascii="Times New Roman" w:hAnsi="Times New Roman" w:eastAsia="Times New Roman" w:cs="Times New Roman"/>
          <w:spacing w:val="5"/>
          <w:sz w:val="19"/>
          <w:szCs w:val="19"/>
        </w:rPr>
        <w:t xml:space="preserve">)   </w:t>
      </w:r>
      <w:r>
        <w:rPr>
          <w:rFonts w:ascii="宋体" w:hAnsi="宋体" w:eastAsia="宋体" w:cs="宋体"/>
          <w:spacing w:val="5"/>
          <w:sz w:val="19"/>
          <w:szCs w:val="19"/>
        </w:rPr>
        <w:t>是由志贺菌和溶组织内阿米巴引起的肠道传染病，其主要临床</w:t>
      </w:r>
      <w:r>
        <w:rPr>
          <w:rFonts w:ascii="宋体" w:hAnsi="宋体" w:eastAsia="宋体" w:cs="宋体"/>
          <w:spacing w:val="4"/>
          <w:sz w:val="19"/>
          <w:szCs w:val="19"/>
        </w:rPr>
        <w:t>表现是发热、腹</w:t>
      </w:r>
      <w:r>
        <w:rPr>
          <w:rFonts w:ascii="宋体" w:hAnsi="宋体" w:eastAsia="宋体" w:cs="宋体"/>
          <w:sz w:val="19"/>
          <w:szCs w:val="19"/>
        </w:rPr>
        <w:t xml:space="preserve"> </w:t>
      </w:r>
      <w:r>
        <w:rPr>
          <w:rFonts w:ascii="宋体" w:hAnsi="宋体" w:eastAsia="宋体" w:cs="宋体"/>
          <w:spacing w:val="8"/>
          <w:sz w:val="19"/>
          <w:szCs w:val="19"/>
        </w:rPr>
        <w:t>痛、里急后重和黏液脓血便。痢疾在世界范围内引起的发病率和死亡率居感染性腹泻的首位，其中</w:t>
      </w:r>
      <w:r>
        <w:rPr>
          <w:rFonts w:ascii="宋体" w:hAnsi="宋体" w:eastAsia="宋体" w:cs="宋体"/>
          <w:spacing w:val="15"/>
          <w:sz w:val="19"/>
          <w:szCs w:val="19"/>
        </w:rPr>
        <w:t xml:space="preserve"> </w:t>
      </w:r>
      <w:r>
        <w:rPr>
          <w:rFonts w:ascii="宋体" w:hAnsi="宋体" w:eastAsia="宋体" w:cs="宋体"/>
          <w:spacing w:val="7"/>
          <w:sz w:val="19"/>
          <w:szCs w:val="19"/>
        </w:rPr>
        <w:t>主要是细菌性痢疾。发展中国家发病率较高，如阿根廷为990.6</w:t>
      </w:r>
      <w:r>
        <w:rPr>
          <w:rFonts w:ascii="宋体" w:hAnsi="宋体" w:eastAsia="宋体" w:cs="宋体"/>
          <w:spacing w:val="6"/>
          <w:sz w:val="19"/>
          <w:szCs w:val="19"/>
        </w:rPr>
        <w:t>/10万，印度为972/10万；发达国家</w:t>
      </w:r>
      <w:r>
        <w:rPr>
          <w:rFonts w:ascii="宋体" w:hAnsi="宋体" w:eastAsia="宋体" w:cs="宋体"/>
          <w:sz w:val="19"/>
          <w:szCs w:val="19"/>
        </w:rPr>
        <w:t xml:space="preserve"> </w:t>
      </w:r>
      <w:r>
        <w:rPr>
          <w:rFonts w:ascii="宋体" w:hAnsi="宋体" w:eastAsia="宋体" w:cs="宋体"/>
          <w:spacing w:val="5"/>
          <w:sz w:val="19"/>
          <w:szCs w:val="19"/>
        </w:rPr>
        <w:t>相对较低，如美国为6/10万～12/10万，德国为2.7</w:t>
      </w:r>
      <w:r>
        <w:rPr>
          <w:rFonts w:ascii="宋体" w:hAnsi="宋体" w:eastAsia="宋体" w:cs="宋体"/>
          <w:spacing w:val="4"/>
          <w:sz w:val="19"/>
          <w:szCs w:val="19"/>
        </w:rPr>
        <w:t>/10万，法国为0.3/10万。2010年以来我国的痢疾</w:t>
      </w:r>
      <w:r>
        <w:rPr>
          <w:rFonts w:ascii="宋体" w:hAnsi="宋体" w:eastAsia="宋体" w:cs="宋体"/>
          <w:sz w:val="19"/>
          <w:szCs w:val="19"/>
        </w:rPr>
        <w:t xml:space="preserve"> </w:t>
      </w:r>
      <w:r>
        <w:rPr>
          <w:rFonts w:ascii="宋体" w:hAnsi="宋体" w:eastAsia="宋体" w:cs="宋体"/>
          <w:spacing w:val="13"/>
          <w:sz w:val="19"/>
          <w:szCs w:val="19"/>
        </w:rPr>
        <w:t>发病率呈逐年降低趋势。2022年全国报告发病率为2.52/10万。细菌性痢疾的发病率一般位居我</w:t>
      </w:r>
      <w:r>
        <w:rPr>
          <w:rFonts w:ascii="宋体" w:hAnsi="宋体" w:eastAsia="宋体" w:cs="宋体"/>
          <w:sz w:val="19"/>
          <w:szCs w:val="19"/>
        </w:rPr>
        <w:t xml:space="preserve"> </w:t>
      </w:r>
      <w:r>
        <w:rPr>
          <w:rFonts w:ascii="宋体" w:hAnsi="宋体" w:eastAsia="宋体" w:cs="宋体"/>
          <w:spacing w:val="8"/>
          <w:sz w:val="19"/>
          <w:szCs w:val="19"/>
        </w:rPr>
        <w:t>国乙类传染病的第三位。细菌性痢疾高发的原因可能是：痢</w:t>
      </w:r>
      <w:r>
        <w:rPr>
          <w:rFonts w:ascii="宋体" w:hAnsi="宋体" w:eastAsia="宋体" w:cs="宋体"/>
          <w:spacing w:val="7"/>
          <w:sz w:val="19"/>
          <w:szCs w:val="19"/>
        </w:rPr>
        <w:t>疾感染后免疫力不持久、型间无交叉免</w:t>
      </w:r>
      <w:r>
        <w:rPr>
          <w:rFonts w:ascii="宋体" w:hAnsi="宋体" w:eastAsia="宋体" w:cs="宋体"/>
          <w:sz w:val="19"/>
          <w:szCs w:val="19"/>
        </w:rPr>
        <w:t xml:space="preserve"> </w:t>
      </w:r>
      <w:r>
        <w:rPr>
          <w:rFonts w:ascii="宋体" w:hAnsi="宋体" w:eastAsia="宋体" w:cs="宋体"/>
          <w:spacing w:val="4"/>
          <w:sz w:val="19"/>
          <w:szCs w:val="19"/>
        </w:rPr>
        <w:t>疫；菌型多，菌株易变迁，菌株耐药性增加；卫生状况不良等。细菌性痢疾在</w:t>
      </w:r>
      <w:r>
        <w:rPr>
          <w:rFonts w:ascii="宋体" w:hAnsi="宋体" w:eastAsia="宋体" w:cs="宋体"/>
          <w:spacing w:val="3"/>
          <w:sz w:val="19"/>
          <w:szCs w:val="19"/>
        </w:rPr>
        <w:t>不同国家和地区、不同</w:t>
      </w:r>
      <w:r>
        <w:rPr>
          <w:rFonts w:ascii="宋体" w:hAnsi="宋体" w:eastAsia="宋体" w:cs="宋体"/>
          <w:sz w:val="19"/>
          <w:szCs w:val="19"/>
        </w:rPr>
        <w:t xml:space="preserve"> </w:t>
      </w:r>
      <w:r>
        <w:rPr>
          <w:rFonts w:ascii="宋体" w:hAnsi="宋体" w:eastAsia="宋体" w:cs="宋体"/>
          <w:spacing w:val="7"/>
          <w:sz w:val="19"/>
          <w:szCs w:val="19"/>
        </w:rPr>
        <w:t>人群中的菌群分布差别很大，如美国等发达国家以</w:t>
      </w:r>
      <w:r>
        <w:rPr>
          <w:rFonts w:ascii="Times New Roman" w:hAnsi="Times New Roman" w:eastAsia="Times New Roman" w:cs="Times New Roman"/>
          <w:spacing w:val="7"/>
          <w:sz w:val="19"/>
          <w:szCs w:val="19"/>
        </w:rPr>
        <w:t>D</w:t>
      </w:r>
      <w:r>
        <w:rPr>
          <w:rFonts w:ascii="Times New Roman" w:hAnsi="Times New Roman" w:eastAsia="Times New Roman" w:cs="Times New Roman"/>
          <w:spacing w:val="24"/>
          <w:w w:val="101"/>
          <w:sz w:val="19"/>
          <w:szCs w:val="19"/>
        </w:rPr>
        <w:t xml:space="preserve"> </w:t>
      </w:r>
      <w:r>
        <w:rPr>
          <w:rFonts w:ascii="宋体" w:hAnsi="宋体" w:eastAsia="宋体" w:cs="宋体"/>
          <w:spacing w:val="7"/>
          <w:sz w:val="19"/>
          <w:szCs w:val="19"/>
        </w:rPr>
        <w:t>群志贺菌为主，我国仍以</w:t>
      </w:r>
      <w:r>
        <w:rPr>
          <w:rFonts w:ascii="Times New Roman" w:hAnsi="Times New Roman" w:eastAsia="Times New Roman" w:cs="Times New Roman"/>
          <w:spacing w:val="7"/>
          <w:sz w:val="19"/>
          <w:szCs w:val="19"/>
        </w:rPr>
        <w:t xml:space="preserve">B </w:t>
      </w:r>
      <w:r>
        <w:rPr>
          <w:rFonts w:ascii="宋体" w:hAnsi="宋体" w:eastAsia="宋体" w:cs="宋体"/>
          <w:spacing w:val="7"/>
          <w:sz w:val="19"/>
          <w:szCs w:val="19"/>
        </w:rPr>
        <w:t>群志贺菌为主，部</w:t>
      </w:r>
      <w:r>
        <w:rPr>
          <w:rFonts w:ascii="宋体" w:hAnsi="宋体" w:eastAsia="宋体" w:cs="宋体"/>
          <w:sz w:val="19"/>
          <w:szCs w:val="19"/>
        </w:rPr>
        <w:t xml:space="preserve"> </w:t>
      </w:r>
      <w:r>
        <w:rPr>
          <w:rFonts w:ascii="宋体" w:hAnsi="宋体" w:eastAsia="宋体" w:cs="宋体"/>
          <w:spacing w:val="8"/>
          <w:sz w:val="19"/>
          <w:szCs w:val="19"/>
        </w:rPr>
        <w:t>分地区</w:t>
      </w:r>
      <w:r>
        <w:rPr>
          <w:rFonts w:ascii="Times New Roman" w:hAnsi="Times New Roman" w:eastAsia="Times New Roman" w:cs="Times New Roman"/>
          <w:spacing w:val="8"/>
          <w:sz w:val="19"/>
          <w:szCs w:val="19"/>
        </w:rPr>
        <w:t xml:space="preserve">D </w:t>
      </w:r>
      <w:r>
        <w:rPr>
          <w:rFonts w:ascii="宋体" w:hAnsi="宋体" w:eastAsia="宋体" w:cs="宋体"/>
          <w:spacing w:val="8"/>
          <w:sz w:val="19"/>
          <w:szCs w:val="19"/>
        </w:rPr>
        <w:t>群志贺菌占较大比例，但有</w:t>
      </w:r>
      <w:r>
        <w:rPr>
          <w:rFonts w:ascii="Times New Roman" w:hAnsi="Times New Roman" w:eastAsia="Times New Roman" w:cs="Times New Roman"/>
          <w:spacing w:val="8"/>
          <w:sz w:val="19"/>
          <w:szCs w:val="19"/>
        </w:rPr>
        <w:t xml:space="preserve">A </w:t>
      </w:r>
      <w:r>
        <w:rPr>
          <w:rFonts w:ascii="宋体" w:hAnsi="宋体" w:eastAsia="宋体" w:cs="宋体"/>
          <w:spacing w:val="8"/>
          <w:sz w:val="19"/>
          <w:szCs w:val="19"/>
        </w:rPr>
        <w:t>群占比升高的趋势。志贺菌耐</w:t>
      </w:r>
      <w:r>
        <w:rPr>
          <w:rFonts w:ascii="宋体" w:hAnsi="宋体" w:eastAsia="宋体" w:cs="宋体"/>
          <w:spacing w:val="7"/>
          <w:sz w:val="19"/>
          <w:szCs w:val="19"/>
        </w:rPr>
        <w:t>药性问题目前较为突出，对多</w:t>
      </w:r>
      <w:r>
        <w:rPr>
          <w:rFonts w:ascii="宋体" w:hAnsi="宋体" w:eastAsia="宋体" w:cs="宋体"/>
          <w:sz w:val="19"/>
          <w:szCs w:val="19"/>
        </w:rPr>
        <w:t xml:space="preserve"> </w:t>
      </w:r>
      <w:r>
        <w:rPr>
          <w:rFonts w:ascii="宋体" w:hAnsi="宋体" w:eastAsia="宋体" w:cs="宋体"/>
          <w:spacing w:val="8"/>
          <w:sz w:val="19"/>
          <w:szCs w:val="19"/>
        </w:rPr>
        <w:t>种抗生素同时耐药的志贺菌的分离比例逐年升高，已成为临床治疗和疾病防制的重要课题。</w:t>
      </w:r>
    </w:p>
    <w:p w14:paraId="771AF623">
      <w:pPr>
        <w:pStyle w:val="2"/>
        <w:spacing w:before="20" w:line="221" w:lineRule="auto"/>
        <w:ind w:left="497"/>
        <w:rPr>
          <w:sz w:val="19"/>
          <w:szCs w:val="19"/>
        </w:rPr>
      </w:pPr>
      <w:r>
        <w:rPr>
          <w:b/>
          <w:bCs/>
          <w:spacing w:val="-14"/>
          <w:sz w:val="19"/>
          <w:szCs w:val="19"/>
        </w:rPr>
        <w:t>(</w:t>
      </w:r>
      <w:r>
        <w:rPr>
          <w:spacing w:val="-39"/>
          <w:sz w:val="19"/>
          <w:szCs w:val="19"/>
        </w:rPr>
        <w:t xml:space="preserve"> </w:t>
      </w:r>
      <w:r>
        <w:rPr>
          <w:b/>
          <w:bCs/>
          <w:spacing w:val="-14"/>
          <w:sz w:val="19"/>
          <w:szCs w:val="19"/>
        </w:rPr>
        <w:t>二</w:t>
      </w:r>
      <w:r>
        <w:rPr>
          <w:spacing w:val="-45"/>
          <w:sz w:val="19"/>
          <w:szCs w:val="19"/>
        </w:rPr>
        <w:t xml:space="preserve"> </w:t>
      </w:r>
      <w:r>
        <w:rPr>
          <w:b/>
          <w:bCs/>
          <w:spacing w:val="-14"/>
          <w:sz w:val="19"/>
          <w:szCs w:val="19"/>
        </w:rPr>
        <w:t>)</w:t>
      </w:r>
      <w:r>
        <w:rPr>
          <w:spacing w:val="-41"/>
          <w:sz w:val="19"/>
          <w:szCs w:val="19"/>
        </w:rPr>
        <w:t xml:space="preserve"> </w:t>
      </w:r>
      <w:r>
        <w:rPr>
          <w:b/>
          <w:bCs/>
          <w:spacing w:val="-14"/>
          <w:sz w:val="19"/>
          <w:szCs w:val="19"/>
        </w:rPr>
        <w:t>诊</w:t>
      </w:r>
      <w:r>
        <w:rPr>
          <w:spacing w:val="-34"/>
          <w:sz w:val="19"/>
          <w:szCs w:val="19"/>
        </w:rPr>
        <w:t xml:space="preserve"> </w:t>
      </w:r>
      <w:r>
        <w:rPr>
          <w:b/>
          <w:bCs/>
          <w:spacing w:val="-14"/>
          <w:sz w:val="19"/>
          <w:szCs w:val="19"/>
        </w:rPr>
        <w:t>断</w:t>
      </w:r>
      <w:r>
        <w:rPr>
          <w:spacing w:val="-45"/>
          <w:sz w:val="19"/>
          <w:szCs w:val="19"/>
        </w:rPr>
        <w:t xml:space="preserve"> </w:t>
      </w:r>
      <w:r>
        <w:rPr>
          <w:b/>
          <w:bCs/>
          <w:spacing w:val="-14"/>
          <w:sz w:val="19"/>
          <w:szCs w:val="19"/>
        </w:rPr>
        <w:t>标</w:t>
      </w:r>
      <w:r>
        <w:rPr>
          <w:spacing w:val="-40"/>
          <w:sz w:val="19"/>
          <w:szCs w:val="19"/>
        </w:rPr>
        <w:t xml:space="preserve"> </w:t>
      </w:r>
      <w:r>
        <w:rPr>
          <w:b/>
          <w:bCs/>
          <w:spacing w:val="-14"/>
          <w:sz w:val="19"/>
          <w:szCs w:val="19"/>
        </w:rPr>
        <w:t>准</w:t>
      </w:r>
    </w:p>
    <w:p w14:paraId="6282A715">
      <w:pPr>
        <w:pStyle w:val="2"/>
        <w:spacing w:before="135" w:line="360" w:lineRule="auto"/>
        <w:ind w:left="94" w:right="608" w:firstLine="399"/>
        <w:rPr>
          <w:rFonts w:ascii="宋体" w:hAnsi="宋体" w:eastAsia="宋体" w:cs="宋体"/>
          <w:sz w:val="19"/>
          <w:szCs w:val="19"/>
        </w:rPr>
      </w:pPr>
      <w:r>
        <w:rPr>
          <w:rFonts w:ascii="宋体" w:hAnsi="宋体" w:eastAsia="宋体" w:cs="宋体"/>
          <w:spacing w:val="10"/>
          <w:sz w:val="19"/>
          <w:szCs w:val="19"/>
        </w:rPr>
        <w:t xml:space="preserve">1. </w:t>
      </w:r>
      <w:r>
        <w:rPr>
          <w:spacing w:val="10"/>
          <w:sz w:val="19"/>
          <w:szCs w:val="19"/>
        </w:rPr>
        <w:t>细菌性痢疾</w:t>
      </w:r>
      <w:r>
        <w:rPr>
          <w:spacing w:val="77"/>
          <w:sz w:val="19"/>
          <w:szCs w:val="19"/>
        </w:rPr>
        <w:t xml:space="preserve"> </w:t>
      </w:r>
      <w:r>
        <w:rPr>
          <w:rFonts w:ascii="宋体" w:hAnsi="宋体" w:eastAsia="宋体" w:cs="宋体"/>
          <w:spacing w:val="10"/>
          <w:sz w:val="19"/>
          <w:szCs w:val="19"/>
        </w:rPr>
        <w:t>潜伏期一般是1～3天，病例可分为疑似病例和确诊病例，在诊断方法上可分</w:t>
      </w:r>
      <w:r>
        <w:rPr>
          <w:rFonts w:ascii="宋体" w:hAnsi="宋体" w:eastAsia="宋体" w:cs="宋体"/>
          <w:sz w:val="19"/>
          <w:szCs w:val="19"/>
        </w:rPr>
        <w:t xml:space="preserve"> </w:t>
      </w:r>
      <w:r>
        <w:rPr>
          <w:rFonts w:ascii="宋体" w:hAnsi="宋体" w:eastAsia="宋体" w:cs="宋体"/>
          <w:spacing w:val="11"/>
          <w:sz w:val="19"/>
          <w:szCs w:val="19"/>
        </w:rPr>
        <w:t>为临床诊断和实验室确诊。</w:t>
      </w:r>
    </w:p>
    <w:p w14:paraId="636E1FA4">
      <w:pPr>
        <w:spacing w:before="1" w:line="289" w:lineRule="auto"/>
        <w:ind w:left="94" w:right="569" w:firstLine="399"/>
        <w:rPr>
          <w:rFonts w:ascii="宋体" w:hAnsi="宋体" w:eastAsia="宋体" w:cs="宋体"/>
          <w:sz w:val="19"/>
          <w:szCs w:val="19"/>
        </w:rPr>
      </w:pPr>
      <w:r>
        <w:rPr>
          <w:rFonts w:ascii="宋体" w:hAnsi="宋体" w:eastAsia="宋体" w:cs="宋体"/>
          <w:spacing w:val="6"/>
          <w:sz w:val="19"/>
          <w:szCs w:val="19"/>
        </w:rPr>
        <w:t>(1)疑似病例：腹泻，有脓血便、黏液便、水样便或稀便，或伴有里急后重症状</w:t>
      </w:r>
      <w:r>
        <w:rPr>
          <w:rFonts w:ascii="宋体" w:hAnsi="宋体" w:eastAsia="宋体" w:cs="宋体"/>
          <w:spacing w:val="5"/>
          <w:sz w:val="19"/>
          <w:szCs w:val="19"/>
        </w:rPr>
        <w:t>，尚未确定其他</w:t>
      </w:r>
      <w:r>
        <w:rPr>
          <w:rFonts w:ascii="宋体" w:hAnsi="宋体" w:eastAsia="宋体" w:cs="宋体"/>
          <w:sz w:val="19"/>
          <w:szCs w:val="19"/>
        </w:rPr>
        <w:t xml:space="preserve"> </w:t>
      </w:r>
      <w:r>
        <w:rPr>
          <w:rFonts w:ascii="宋体" w:hAnsi="宋体" w:eastAsia="宋体" w:cs="宋体"/>
          <w:spacing w:val="11"/>
          <w:sz w:val="19"/>
          <w:szCs w:val="19"/>
        </w:rPr>
        <w:t>原因引起的腹泻者。</w:t>
      </w:r>
    </w:p>
    <w:p w14:paraId="2ACADFE2">
      <w:pPr>
        <w:spacing w:before="144" w:line="282" w:lineRule="auto"/>
        <w:ind w:left="94" w:right="564" w:firstLine="399"/>
        <w:rPr>
          <w:rFonts w:ascii="宋体" w:hAnsi="宋体" w:eastAsia="宋体" w:cs="宋体"/>
          <w:sz w:val="19"/>
          <w:szCs w:val="19"/>
        </w:rPr>
      </w:pPr>
      <w:r>
        <w:rPr>
          <w:rFonts w:ascii="宋体" w:hAnsi="宋体" w:eastAsia="宋体" w:cs="宋体"/>
          <w:spacing w:val="8"/>
          <w:sz w:val="19"/>
          <w:szCs w:val="19"/>
        </w:rPr>
        <w:t>(2)临床诊断病例：病人有不洁饮食和/或与菌痢病人接触史，有菌痢的临床表现，且粪便常规</w:t>
      </w:r>
      <w:r>
        <w:rPr>
          <w:rFonts w:ascii="宋体" w:hAnsi="宋体" w:eastAsia="宋体" w:cs="宋体"/>
          <w:spacing w:val="3"/>
          <w:sz w:val="19"/>
          <w:szCs w:val="19"/>
        </w:rPr>
        <w:t xml:space="preserve"> </w:t>
      </w:r>
      <w:r>
        <w:rPr>
          <w:rFonts w:ascii="宋体" w:hAnsi="宋体" w:eastAsia="宋体" w:cs="宋体"/>
          <w:spacing w:val="9"/>
          <w:sz w:val="19"/>
          <w:szCs w:val="19"/>
        </w:rPr>
        <w:t>检查白细胞或脓细胞≥15/</w:t>
      </w:r>
      <w:r>
        <w:rPr>
          <w:rFonts w:ascii="Times New Roman" w:hAnsi="Times New Roman" w:eastAsia="Times New Roman" w:cs="Times New Roman"/>
          <w:sz w:val="19"/>
          <w:szCs w:val="19"/>
        </w:rPr>
        <w:t>HPF</w:t>
      </w:r>
      <w:r>
        <w:rPr>
          <w:rFonts w:ascii="Times New Roman" w:hAnsi="Times New Roman" w:eastAsia="Times New Roman" w:cs="Times New Roman"/>
          <w:spacing w:val="45"/>
          <w:sz w:val="19"/>
          <w:szCs w:val="19"/>
        </w:rPr>
        <w:t xml:space="preserve"> </w:t>
      </w:r>
      <w:r>
        <w:rPr>
          <w:rFonts w:ascii="宋体" w:hAnsi="宋体" w:eastAsia="宋体" w:cs="宋体"/>
          <w:spacing w:val="9"/>
          <w:sz w:val="19"/>
          <w:szCs w:val="19"/>
        </w:rPr>
        <w:t>(高倍镜视野，400倍),可见红细胞和吞噬细胞，并排除其他原因引</w:t>
      </w:r>
    </w:p>
    <w:p w14:paraId="60305EE7">
      <w:pPr>
        <w:spacing w:line="282" w:lineRule="auto"/>
        <w:rPr>
          <w:rFonts w:ascii="宋体" w:hAnsi="宋体" w:eastAsia="宋体" w:cs="宋体"/>
          <w:sz w:val="19"/>
          <w:szCs w:val="19"/>
        </w:rPr>
        <w:sectPr>
          <w:footerReference r:id="rId368" w:type="default"/>
          <w:pgSz w:w="11900" w:h="16820"/>
          <w:pgMar w:top="400" w:right="1132" w:bottom="962" w:left="1565" w:header="0" w:footer="791" w:gutter="0"/>
          <w:cols w:space="720" w:num="1"/>
        </w:sectPr>
      </w:pPr>
    </w:p>
    <w:p w14:paraId="2D977330">
      <w:pPr>
        <w:pStyle w:val="2"/>
        <w:spacing w:before="304" w:line="222" w:lineRule="auto"/>
        <w:ind w:left="692"/>
        <w:rPr>
          <w:sz w:val="20"/>
          <w:szCs w:val="20"/>
        </w:rPr>
      </w:pPr>
      <w:r>
        <w:rPr>
          <w:b/>
          <w:bCs/>
          <w:spacing w:val="-13"/>
          <w:sz w:val="20"/>
          <w:szCs w:val="20"/>
        </w:rPr>
        <w:t>第二十二章感染性腹泻</w:t>
      </w:r>
    </w:p>
    <w:p w14:paraId="251106A3">
      <w:pPr>
        <w:spacing w:line="272" w:lineRule="auto"/>
        <w:rPr>
          <w:rFonts w:ascii="Arial"/>
          <w:sz w:val="21"/>
        </w:rPr>
      </w:pPr>
    </w:p>
    <w:p w14:paraId="076401C6">
      <w:pPr>
        <w:spacing w:line="273" w:lineRule="auto"/>
        <w:rPr>
          <w:rFonts w:ascii="Arial"/>
          <w:sz w:val="21"/>
        </w:rPr>
      </w:pPr>
    </w:p>
    <w:p w14:paraId="5D9A77F1">
      <w:pPr>
        <w:spacing w:before="65" w:line="219" w:lineRule="auto"/>
        <w:ind w:left="690"/>
        <w:rPr>
          <w:rFonts w:ascii="宋体" w:hAnsi="宋体" w:eastAsia="宋体" w:cs="宋体"/>
          <w:sz w:val="20"/>
          <w:szCs w:val="20"/>
        </w:rPr>
      </w:pPr>
      <w:r>
        <w:rPr>
          <w:rFonts w:ascii="宋体" w:hAnsi="宋体" w:eastAsia="宋体" w:cs="宋体"/>
          <w:spacing w:val="10"/>
          <w:sz w:val="20"/>
          <w:szCs w:val="20"/>
        </w:rPr>
        <w:t>起的腹泻。</w:t>
      </w:r>
    </w:p>
    <w:p w14:paraId="0BF17078">
      <w:pPr>
        <w:spacing w:before="132" w:line="219" w:lineRule="auto"/>
        <w:ind w:left="1110"/>
        <w:rPr>
          <w:rFonts w:ascii="宋体" w:hAnsi="宋体" w:eastAsia="宋体" w:cs="宋体"/>
          <w:sz w:val="20"/>
          <w:szCs w:val="20"/>
        </w:rPr>
      </w:pPr>
      <w:r>
        <w:rPr>
          <w:rFonts w:ascii="宋体" w:hAnsi="宋体" w:eastAsia="宋体" w:cs="宋体"/>
          <w:spacing w:val="6"/>
          <w:sz w:val="20"/>
          <w:szCs w:val="20"/>
        </w:rPr>
        <w:t>(3)确诊病例：临床诊断病例，且粪便培养志贺菌阳性。</w:t>
      </w:r>
    </w:p>
    <w:p w14:paraId="6D1F480C">
      <w:pPr>
        <w:pStyle w:val="2"/>
        <w:spacing w:before="110" w:line="221" w:lineRule="auto"/>
        <w:ind w:left="1110"/>
        <w:rPr>
          <w:sz w:val="20"/>
          <w:szCs w:val="20"/>
        </w:rPr>
      </w:pPr>
      <w:r>
        <w:rPr>
          <w:rFonts w:ascii="宋体" w:hAnsi="宋体" w:eastAsia="宋体" w:cs="宋体"/>
          <w:spacing w:val="8"/>
          <w:sz w:val="20"/>
          <w:szCs w:val="20"/>
        </w:rPr>
        <w:t xml:space="preserve">2. </w:t>
      </w:r>
      <w:r>
        <w:rPr>
          <w:spacing w:val="8"/>
          <w:sz w:val="20"/>
          <w:szCs w:val="20"/>
        </w:rPr>
        <w:t>阿米巴痢疾</w:t>
      </w:r>
    </w:p>
    <w:p w14:paraId="313CFDC6">
      <w:pPr>
        <w:spacing w:before="142" w:line="219" w:lineRule="auto"/>
        <w:ind w:left="1110"/>
        <w:rPr>
          <w:rFonts w:ascii="宋体" w:hAnsi="宋体" w:eastAsia="宋体" w:cs="宋体"/>
          <w:sz w:val="20"/>
          <w:szCs w:val="20"/>
        </w:rPr>
      </w:pPr>
      <w:r>
        <w:rPr>
          <w:rFonts w:ascii="宋体" w:hAnsi="宋体" w:eastAsia="宋体" w:cs="宋体"/>
          <w:spacing w:val="4"/>
          <w:sz w:val="20"/>
          <w:szCs w:val="20"/>
        </w:rPr>
        <w:t>(1)疑似病例：起病稍缓，腹泻，大便带血或黏液便、腥臭，难以确定其他原因引起的</w:t>
      </w:r>
      <w:r>
        <w:rPr>
          <w:rFonts w:ascii="宋体" w:hAnsi="宋体" w:eastAsia="宋体" w:cs="宋体"/>
          <w:spacing w:val="3"/>
          <w:sz w:val="20"/>
          <w:szCs w:val="20"/>
        </w:rPr>
        <w:t>腹泻者。</w:t>
      </w:r>
    </w:p>
    <w:p w14:paraId="38CCA61D">
      <w:pPr>
        <w:spacing w:before="122" w:line="294" w:lineRule="auto"/>
        <w:ind w:left="690" w:right="50" w:firstLine="419"/>
        <w:rPr>
          <w:rFonts w:ascii="宋体" w:hAnsi="宋体" w:eastAsia="宋体" w:cs="宋体"/>
          <w:sz w:val="20"/>
          <w:szCs w:val="20"/>
        </w:rPr>
      </w:pPr>
      <w:r>
        <w:rPr>
          <w:rFonts w:ascii="宋体" w:hAnsi="宋体" w:eastAsia="宋体" w:cs="宋体"/>
          <w:spacing w:val="12"/>
          <w:sz w:val="20"/>
          <w:szCs w:val="20"/>
        </w:rPr>
        <w:t>(2)临床诊断病例：有进食不洁食物史，有阿米巴痢疾的</w:t>
      </w:r>
      <w:r>
        <w:rPr>
          <w:rFonts w:ascii="宋体" w:hAnsi="宋体" w:eastAsia="宋体" w:cs="宋体"/>
          <w:spacing w:val="11"/>
          <w:sz w:val="20"/>
          <w:szCs w:val="20"/>
        </w:rPr>
        <w:t>临床表现，粪便涂片检查可见大量红</w:t>
      </w:r>
      <w:r>
        <w:rPr>
          <w:rFonts w:ascii="宋体" w:hAnsi="宋体" w:eastAsia="宋体" w:cs="宋体"/>
          <w:sz w:val="20"/>
          <w:szCs w:val="20"/>
        </w:rPr>
        <w:t xml:space="preserve"> </w:t>
      </w:r>
      <w:r>
        <w:rPr>
          <w:rFonts w:ascii="宋体" w:hAnsi="宋体" w:eastAsia="宋体" w:cs="宋体"/>
          <w:spacing w:val="1"/>
          <w:sz w:val="20"/>
          <w:szCs w:val="20"/>
        </w:rPr>
        <w:t>细胞、少量白细胞、夏科-莱登结晶；或抗阿米巴治疗有效。</w:t>
      </w:r>
    </w:p>
    <w:p w14:paraId="068EE5AC">
      <w:pPr>
        <w:spacing w:before="123" w:line="276" w:lineRule="auto"/>
        <w:ind w:left="690" w:right="51" w:firstLine="419"/>
        <w:rPr>
          <w:rFonts w:ascii="宋体" w:hAnsi="宋体" w:eastAsia="宋体" w:cs="宋体"/>
          <w:sz w:val="20"/>
          <w:szCs w:val="20"/>
        </w:rPr>
      </w:pPr>
      <w:r>
        <w:rPr>
          <w:rFonts w:ascii="宋体" w:hAnsi="宋体" w:eastAsia="宋体" w:cs="宋体"/>
          <w:spacing w:val="12"/>
          <w:sz w:val="20"/>
          <w:szCs w:val="20"/>
        </w:rPr>
        <w:t>(3)确诊病例：有进食不洁食物史、阿米巴痢疾的临床</w:t>
      </w:r>
      <w:r>
        <w:rPr>
          <w:rFonts w:ascii="宋体" w:hAnsi="宋体" w:eastAsia="宋体" w:cs="宋体"/>
          <w:spacing w:val="11"/>
          <w:sz w:val="20"/>
          <w:szCs w:val="20"/>
        </w:rPr>
        <w:t>表现，粪便涂片检查可见溶组织内阿米</w:t>
      </w:r>
      <w:r>
        <w:rPr>
          <w:rFonts w:ascii="宋体" w:hAnsi="宋体" w:eastAsia="宋体" w:cs="宋体"/>
          <w:sz w:val="20"/>
          <w:szCs w:val="20"/>
        </w:rPr>
        <w:t xml:space="preserve"> </w:t>
      </w:r>
      <w:r>
        <w:rPr>
          <w:rFonts w:ascii="宋体" w:hAnsi="宋体" w:eastAsia="宋体" w:cs="宋体"/>
          <w:spacing w:val="7"/>
          <w:sz w:val="20"/>
          <w:szCs w:val="20"/>
        </w:rPr>
        <w:t>巴滋养体和/或包囊。</w:t>
      </w:r>
    </w:p>
    <w:p w14:paraId="08C80761">
      <w:pPr>
        <w:pStyle w:val="2"/>
        <w:spacing w:before="99" w:line="221" w:lineRule="auto"/>
        <w:ind w:left="1113"/>
        <w:rPr>
          <w:sz w:val="24"/>
          <w:szCs w:val="24"/>
        </w:rPr>
      </w:pPr>
      <w:r>
        <w:rPr>
          <w:b/>
          <w:bCs/>
          <w:spacing w:val="-2"/>
          <w:sz w:val="24"/>
          <w:szCs w:val="24"/>
        </w:rPr>
        <w:t>(三)防制要点</w:t>
      </w:r>
    </w:p>
    <w:p w14:paraId="7130BC06">
      <w:pPr>
        <w:spacing w:before="112" w:line="335" w:lineRule="auto"/>
        <w:ind w:left="690" w:right="51" w:firstLine="419"/>
        <w:jc w:val="both"/>
        <w:rPr>
          <w:rFonts w:ascii="宋体" w:hAnsi="宋体" w:eastAsia="宋体" w:cs="宋体"/>
          <w:sz w:val="20"/>
          <w:szCs w:val="20"/>
        </w:rPr>
      </w:pPr>
      <w:r>
        <w:rPr>
          <w:rFonts w:ascii="宋体" w:hAnsi="宋体" w:eastAsia="宋体" w:cs="宋体"/>
          <w:spacing w:val="4"/>
          <w:sz w:val="20"/>
          <w:szCs w:val="20"/>
        </w:rPr>
        <w:t>对病人采取“五早一就”,隔离期限视粪检志贺菌结果而定。对传播途径落实“三管一灭”,尤其</w:t>
      </w:r>
      <w:r>
        <w:rPr>
          <w:rFonts w:ascii="宋体" w:hAnsi="宋体" w:eastAsia="宋体" w:cs="宋体"/>
          <w:spacing w:val="15"/>
          <w:sz w:val="20"/>
          <w:szCs w:val="20"/>
        </w:rPr>
        <w:t xml:space="preserve"> </w:t>
      </w:r>
      <w:r>
        <w:rPr>
          <w:rFonts w:ascii="宋体" w:hAnsi="宋体" w:eastAsia="宋体" w:cs="宋体"/>
          <w:spacing w:val="7"/>
          <w:sz w:val="20"/>
          <w:szCs w:val="20"/>
        </w:rPr>
        <w:t>要注重饮食管理和监督、检测。提高个体卫生防护水平(特别是饭前便后洗手，不喝生水，不吃</w:t>
      </w:r>
      <w:r>
        <w:rPr>
          <w:rFonts w:ascii="宋体" w:hAnsi="宋体" w:eastAsia="宋体" w:cs="宋体"/>
          <w:spacing w:val="6"/>
          <w:sz w:val="20"/>
          <w:szCs w:val="20"/>
        </w:rPr>
        <w:t>生冷</w:t>
      </w:r>
      <w:r>
        <w:rPr>
          <w:rFonts w:ascii="宋体" w:hAnsi="宋体" w:eastAsia="宋体" w:cs="宋体"/>
          <w:sz w:val="20"/>
          <w:szCs w:val="20"/>
        </w:rPr>
        <w:t xml:space="preserve"> </w:t>
      </w:r>
      <w:r>
        <w:rPr>
          <w:rFonts w:ascii="宋体" w:hAnsi="宋体" w:eastAsia="宋体" w:cs="宋体"/>
          <w:spacing w:val="4"/>
          <w:sz w:val="20"/>
          <w:szCs w:val="20"/>
        </w:rPr>
        <w:t>和腐败食物等)。阿米巴痢疾有动物宿主如猪、犬、猴</w:t>
      </w:r>
      <w:r>
        <w:rPr>
          <w:rFonts w:ascii="宋体" w:hAnsi="宋体" w:eastAsia="宋体" w:cs="宋体"/>
          <w:spacing w:val="3"/>
          <w:sz w:val="20"/>
          <w:szCs w:val="20"/>
        </w:rPr>
        <w:t>等，对人也有一定的传播作用。</w:t>
      </w:r>
    </w:p>
    <w:p w14:paraId="3B1B31E9">
      <w:pPr>
        <w:pStyle w:val="2"/>
        <w:spacing w:before="192" w:line="222" w:lineRule="auto"/>
        <w:ind w:left="1113"/>
        <w:outlineLvl w:val="4"/>
        <w:rPr>
          <w:sz w:val="24"/>
          <w:szCs w:val="24"/>
        </w:rPr>
      </w:pPr>
      <w:bookmarkStart w:id="584" w:name="bookmark366"/>
      <w:bookmarkEnd w:id="584"/>
      <w:r>
        <w:rPr>
          <w:b/>
          <w:bCs/>
          <w:spacing w:val="1"/>
          <w:sz w:val="24"/>
          <w:szCs w:val="24"/>
        </w:rPr>
        <w:t>三</w:t>
      </w:r>
      <w:r>
        <w:rPr>
          <w:spacing w:val="-45"/>
          <w:sz w:val="24"/>
          <w:szCs w:val="24"/>
        </w:rPr>
        <w:t xml:space="preserve"> </w:t>
      </w:r>
      <w:r>
        <w:rPr>
          <w:b/>
          <w:bCs/>
          <w:spacing w:val="1"/>
          <w:sz w:val="24"/>
          <w:szCs w:val="24"/>
        </w:rPr>
        <w:t>、其他感染性腹泻</w:t>
      </w:r>
    </w:p>
    <w:p w14:paraId="1BA50048">
      <w:pPr>
        <w:pStyle w:val="2"/>
        <w:spacing w:before="231" w:line="221" w:lineRule="auto"/>
        <w:ind w:left="1113"/>
        <w:rPr>
          <w:sz w:val="24"/>
          <w:szCs w:val="24"/>
        </w:rPr>
      </w:pPr>
      <w:r>
        <w:rPr>
          <w:b/>
          <w:bCs/>
          <w:spacing w:val="-3"/>
          <w:sz w:val="24"/>
          <w:szCs w:val="24"/>
        </w:rPr>
        <w:t>(一)流行概况</w:t>
      </w:r>
    </w:p>
    <w:p w14:paraId="5C7D3B8D">
      <w:pPr>
        <w:spacing w:before="103" w:line="337" w:lineRule="auto"/>
        <w:ind w:left="690" w:right="47" w:firstLine="419"/>
        <w:jc w:val="both"/>
        <w:rPr>
          <w:rFonts w:ascii="宋体" w:hAnsi="宋体" w:eastAsia="宋体" w:cs="宋体"/>
          <w:sz w:val="20"/>
          <w:szCs w:val="20"/>
        </w:rPr>
      </w:pPr>
      <w:r>
        <w:rPr>
          <w:rFonts w:ascii="宋体" w:hAnsi="宋体" w:eastAsia="宋体" w:cs="宋体"/>
          <w:spacing w:val="2"/>
          <w:sz w:val="20"/>
          <w:szCs w:val="20"/>
        </w:rPr>
        <w:t>根据《传染病防治法》(2025年修订)和《感染性腹泻诊断标准》(</w:t>
      </w:r>
      <w:r>
        <w:rPr>
          <w:rFonts w:ascii="宋体" w:hAnsi="宋体" w:eastAsia="宋体" w:cs="宋体"/>
          <w:sz w:val="20"/>
          <w:szCs w:val="20"/>
        </w:rPr>
        <w:t>WS</w:t>
      </w:r>
      <w:r>
        <w:rPr>
          <w:rFonts w:ascii="宋体" w:hAnsi="宋体" w:eastAsia="宋体" w:cs="宋体"/>
          <w:spacing w:val="30"/>
          <w:sz w:val="20"/>
          <w:szCs w:val="20"/>
        </w:rPr>
        <w:t xml:space="preserve">   </w:t>
      </w:r>
      <w:r>
        <w:rPr>
          <w:rFonts w:ascii="宋体" w:hAnsi="宋体" w:eastAsia="宋体" w:cs="宋体"/>
          <w:spacing w:val="2"/>
          <w:sz w:val="20"/>
          <w:szCs w:val="20"/>
        </w:rPr>
        <w:t xml:space="preserve">271—2007)的规定，其他 </w:t>
      </w:r>
      <w:r>
        <w:rPr>
          <w:rFonts w:ascii="宋体" w:hAnsi="宋体" w:eastAsia="宋体" w:cs="宋体"/>
          <w:spacing w:val="10"/>
          <w:sz w:val="20"/>
          <w:szCs w:val="20"/>
        </w:rPr>
        <w:t>感染性腹泻是指除霍乱、痢疾、伤寒、副伤寒以外</w:t>
      </w:r>
      <w:r>
        <w:rPr>
          <w:rFonts w:ascii="宋体" w:hAnsi="宋体" w:eastAsia="宋体" w:cs="宋体"/>
          <w:spacing w:val="9"/>
          <w:sz w:val="20"/>
          <w:szCs w:val="20"/>
        </w:rPr>
        <w:t>的感染性腹泻，为我国丙类传染病，如沙门菌肠</w:t>
      </w:r>
      <w:r>
        <w:rPr>
          <w:rFonts w:ascii="宋体" w:hAnsi="宋体" w:eastAsia="宋体" w:cs="宋体"/>
          <w:sz w:val="20"/>
          <w:szCs w:val="20"/>
        </w:rPr>
        <w:t xml:space="preserve"> </w:t>
      </w:r>
      <w:r>
        <w:rPr>
          <w:rFonts w:ascii="宋体" w:hAnsi="宋体" w:eastAsia="宋体" w:cs="宋体"/>
          <w:spacing w:val="5"/>
          <w:sz w:val="20"/>
          <w:szCs w:val="20"/>
        </w:rPr>
        <w:t>炎、大肠埃希菌肠炎、弧菌肠炎、空肠弯曲菌肠炎、小肠结肠耶尔森菌肠炎、轮</w:t>
      </w:r>
      <w:r>
        <w:rPr>
          <w:rFonts w:ascii="宋体" w:hAnsi="宋体" w:eastAsia="宋体" w:cs="宋体"/>
          <w:spacing w:val="4"/>
          <w:sz w:val="20"/>
          <w:szCs w:val="20"/>
        </w:rPr>
        <w:t>状病毒肠炎、蓝氏贾</w:t>
      </w:r>
      <w:r>
        <w:rPr>
          <w:rFonts w:ascii="宋体" w:hAnsi="宋体" w:eastAsia="宋体" w:cs="宋体"/>
          <w:sz w:val="20"/>
          <w:szCs w:val="20"/>
        </w:rPr>
        <w:t xml:space="preserve"> </w:t>
      </w:r>
      <w:r>
        <w:rPr>
          <w:rFonts w:ascii="宋体" w:hAnsi="宋体" w:eastAsia="宋体" w:cs="宋体"/>
          <w:spacing w:val="10"/>
          <w:sz w:val="20"/>
          <w:szCs w:val="20"/>
        </w:rPr>
        <w:t>第鞭毛虫肠炎等。此类疾病虽在病原学、流行病</w:t>
      </w:r>
      <w:r>
        <w:rPr>
          <w:rFonts w:ascii="宋体" w:hAnsi="宋体" w:eastAsia="宋体" w:cs="宋体"/>
          <w:spacing w:val="9"/>
          <w:sz w:val="20"/>
          <w:szCs w:val="20"/>
        </w:rPr>
        <w:t>学、发病机制等方面各有不同的特点，但主要临床</w:t>
      </w:r>
      <w:r>
        <w:rPr>
          <w:rFonts w:ascii="宋体" w:hAnsi="宋体" w:eastAsia="宋体" w:cs="宋体"/>
          <w:sz w:val="20"/>
          <w:szCs w:val="20"/>
        </w:rPr>
        <w:t xml:space="preserve"> </w:t>
      </w:r>
      <w:r>
        <w:rPr>
          <w:rFonts w:ascii="宋体" w:hAnsi="宋体" w:eastAsia="宋体" w:cs="宋体"/>
          <w:spacing w:val="4"/>
          <w:sz w:val="20"/>
          <w:szCs w:val="20"/>
        </w:rPr>
        <w:t>表现均可为腹痛、腹泻，并可伴有发热、恶心、呕吐等，其处理原则也基本相似。其腹泻类型可分为</w:t>
      </w:r>
      <w:r>
        <w:rPr>
          <w:rFonts w:ascii="宋体" w:hAnsi="宋体" w:eastAsia="宋体" w:cs="宋体"/>
          <w:spacing w:val="12"/>
          <w:sz w:val="20"/>
          <w:szCs w:val="20"/>
        </w:rPr>
        <w:t xml:space="preserve"> </w:t>
      </w:r>
      <w:r>
        <w:rPr>
          <w:rFonts w:ascii="宋体" w:hAnsi="宋体" w:eastAsia="宋体" w:cs="宋体"/>
          <w:spacing w:val="7"/>
          <w:sz w:val="20"/>
          <w:szCs w:val="20"/>
        </w:rPr>
        <w:t>炎症型腹泻和分泌型腹泻。</w:t>
      </w:r>
    </w:p>
    <w:p w14:paraId="22A4A105">
      <w:pPr>
        <w:spacing w:before="2" w:line="341" w:lineRule="auto"/>
        <w:ind w:left="690" w:right="47" w:firstLine="419"/>
        <w:jc w:val="both"/>
        <w:rPr>
          <w:rFonts w:ascii="宋体" w:hAnsi="宋体" w:eastAsia="宋体" w:cs="宋体"/>
          <w:sz w:val="20"/>
          <w:szCs w:val="20"/>
        </w:rPr>
      </w:pPr>
      <w:r>
        <w:rPr>
          <w:rFonts w:ascii="宋体" w:hAnsi="宋体" w:eastAsia="宋体" w:cs="宋体"/>
          <w:spacing w:val="9"/>
          <w:sz w:val="20"/>
          <w:szCs w:val="20"/>
        </w:rPr>
        <w:t>炎症型腹泻</w:t>
      </w:r>
      <w:r>
        <w:rPr>
          <w:rFonts w:ascii="Times New Roman" w:hAnsi="Times New Roman" w:eastAsia="Times New Roman" w:cs="Times New Roman"/>
          <w:spacing w:val="9"/>
          <w:sz w:val="20"/>
          <w:szCs w:val="20"/>
        </w:rPr>
        <w:t>(</w:t>
      </w:r>
      <w:r>
        <w:rPr>
          <w:rFonts w:ascii="Times New Roman" w:hAnsi="Times New Roman" w:eastAsia="Times New Roman" w:cs="Times New Roman"/>
          <w:sz w:val="20"/>
          <w:szCs w:val="20"/>
        </w:rPr>
        <w:t>inflammatory</w:t>
      </w:r>
      <w:r>
        <w:rPr>
          <w:rFonts w:ascii="Times New Roman" w:hAnsi="Times New Roman" w:eastAsia="Times New Roman" w:cs="Times New Roman"/>
          <w:spacing w:val="16"/>
          <w:sz w:val="20"/>
          <w:szCs w:val="20"/>
        </w:rPr>
        <w:t xml:space="preserve">   </w:t>
      </w:r>
      <w:r>
        <w:rPr>
          <w:rFonts w:ascii="Times New Roman" w:hAnsi="Times New Roman" w:eastAsia="Times New Roman" w:cs="Times New Roman"/>
          <w:sz w:val="20"/>
          <w:szCs w:val="20"/>
        </w:rPr>
        <w:t>diarrhea</w:t>
      </w:r>
      <w:r>
        <w:rPr>
          <w:rFonts w:ascii="Times New Roman" w:hAnsi="Times New Roman" w:eastAsia="Times New Roman" w:cs="Times New Roman"/>
          <w:spacing w:val="9"/>
          <w:sz w:val="20"/>
          <w:szCs w:val="20"/>
        </w:rPr>
        <w:t>)</w:t>
      </w:r>
      <w:r>
        <w:rPr>
          <w:rFonts w:ascii="宋体" w:hAnsi="宋体" w:eastAsia="宋体" w:cs="宋体"/>
          <w:spacing w:val="9"/>
          <w:sz w:val="20"/>
          <w:szCs w:val="20"/>
        </w:rPr>
        <w:t>指病原体侵袭肠上皮细胞，引起炎症而导致腹泻。通</w:t>
      </w:r>
      <w:r>
        <w:rPr>
          <w:rFonts w:ascii="宋体" w:hAnsi="宋体" w:eastAsia="宋体" w:cs="宋体"/>
          <w:spacing w:val="8"/>
          <w:sz w:val="20"/>
          <w:szCs w:val="20"/>
        </w:rPr>
        <w:t>常伴有</w:t>
      </w:r>
      <w:r>
        <w:rPr>
          <w:rFonts w:ascii="宋体" w:hAnsi="宋体" w:eastAsia="宋体" w:cs="宋体"/>
          <w:sz w:val="20"/>
          <w:szCs w:val="20"/>
        </w:rPr>
        <w:t xml:space="preserve"> </w:t>
      </w:r>
      <w:r>
        <w:rPr>
          <w:rFonts w:ascii="宋体" w:hAnsi="宋体" w:eastAsia="宋体" w:cs="宋体"/>
          <w:spacing w:val="5"/>
          <w:sz w:val="20"/>
          <w:szCs w:val="20"/>
        </w:rPr>
        <w:t>发热，粪便多为黏液或脓血便，镜检有较多的红细胞和白细胞，如肠侵袭性大肠</w:t>
      </w:r>
      <w:r>
        <w:rPr>
          <w:rFonts w:ascii="宋体" w:hAnsi="宋体" w:eastAsia="宋体" w:cs="宋体"/>
          <w:spacing w:val="4"/>
          <w:sz w:val="20"/>
          <w:szCs w:val="20"/>
        </w:rPr>
        <w:t>埃希菌肠炎、弯曲菌</w:t>
      </w:r>
      <w:r>
        <w:rPr>
          <w:rFonts w:ascii="宋体" w:hAnsi="宋体" w:eastAsia="宋体" w:cs="宋体"/>
          <w:sz w:val="20"/>
          <w:szCs w:val="20"/>
        </w:rPr>
        <w:t xml:space="preserve"> </w:t>
      </w:r>
      <w:r>
        <w:rPr>
          <w:rFonts w:ascii="宋体" w:hAnsi="宋体" w:eastAsia="宋体" w:cs="宋体"/>
          <w:spacing w:val="12"/>
          <w:sz w:val="20"/>
          <w:szCs w:val="20"/>
        </w:rPr>
        <w:t>肠炎等。</w:t>
      </w:r>
    </w:p>
    <w:p w14:paraId="730042E0">
      <w:pPr>
        <w:spacing w:before="2" w:line="348" w:lineRule="auto"/>
        <w:ind w:left="690" w:right="49" w:firstLine="419"/>
        <w:jc w:val="both"/>
        <w:rPr>
          <w:rFonts w:ascii="宋体" w:hAnsi="宋体" w:eastAsia="宋体" w:cs="宋体"/>
          <w:sz w:val="20"/>
          <w:szCs w:val="20"/>
        </w:rPr>
      </w:pPr>
      <w:r>
        <w:rPr>
          <w:rFonts w:ascii="宋体" w:hAnsi="宋体" w:eastAsia="宋体" w:cs="宋体"/>
          <w:spacing w:val="9"/>
          <w:sz w:val="20"/>
          <w:szCs w:val="20"/>
        </w:rPr>
        <w:t>分泌型腹泻</w:t>
      </w:r>
      <w:r>
        <w:rPr>
          <w:rFonts w:ascii="Times New Roman" w:hAnsi="Times New Roman" w:eastAsia="Times New Roman" w:cs="Times New Roman"/>
          <w:spacing w:val="9"/>
          <w:sz w:val="20"/>
          <w:szCs w:val="20"/>
        </w:rPr>
        <w:t>(</w:t>
      </w:r>
      <w:r>
        <w:rPr>
          <w:rFonts w:ascii="Times New Roman" w:hAnsi="Times New Roman" w:eastAsia="Times New Roman" w:cs="Times New Roman"/>
          <w:sz w:val="20"/>
          <w:szCs w:val="20"/>
        </w:rPr>
        <w:t>secretory</w:t>
      </w:r>
      <w:r>
        <w:rPr>
          <w:rFonts w:ascii="Times New Roman" w:hAnsi="Times New Roman" w:eastAsia="Times New Roman" w:cs="Times New Roman"/>
          <w:spacing w:val="9"/>
          <w:sz w:val="20"/>
          <w:szCs w:val="20"/>
        </w:rPr>
        <w:t xml:space="preserve">    </w:t>
      </w:r>
      <w:r>
        <w:rPr>
          <w:rFonts w:ascii="Times New Roman" w:hAnsi="Times New Roman" w:eastAsia="Times New Roman" w:cs="Times New Roman"/>
          <w:sz w:val="20"/>
          <w:szCs w:val="20"/>
        </w:rPr>
        <w:t>diarrhea</w:t>
      </w:r>
      <w:r>
        <w:rPr>
          <w:rFonts w:ascii="Times New Roman" w:hAnsi="Times New Roman" w:eastAsia="Times New Roman" w:cs="Times New Roman"/>
          <w:spacing w:val="9"/>
          <w:sz w:val="20"/>
          <w:szCs w:val="20"/>
        </w:rPr>
        <w:t>)</w:t>
      </w:r>
      <w:r>
        <w:rPr>
          <w:rFonts w:ascii="宋体" w:hAnsi="宋体" w:eastAsia="宋体" w:cs="宋体"/>
          <w:spacing w:val="9"/>
          <w:sz w:val="20"/>
          <w:szCs w:val="20"/>
        </w:rPr>
        <w:t>指病原体刺激肠上皮细胞，引起肠液分泌增多和/或吸收障碍而</w:t>
      </w:r>
      <w:r>
        <w:rPr>
          <w:rFonts w:ascii="宋体" w:hAnsi="宋体" w:eastAsia="宋体" w:cs="宋体"/>
          <w:spacing w:val="17"/>
          <w:sz w:val="20"/>
          <w:szCs w:val="20"/>
        </w:rPr>
        <w:t xml:space="preserve"> </w:t>
      </w:r>
      <w:r>
        <w:rPr>
          <w:rFonts w:ascii="宋体" w:hAnsi="宋体" w:eastAsia="宋体" w:cs="宋体"/>
          <w:spacing w:val="9"/>
          <w:sz w:val="20"/>
          <w:szCs w:val="20"/>
        </w:rPr>
        <w:t>导致的腹泻。病人多不伴有发热，粪便多为稀水便。镜检红细胞和白细胞不多，如肠产毒性大肠埃</w:t>
      </w:r>
      <w:r>
        <w:rPr>
          <w:rFonts w:ascii="宋体" w:hAnsi="宋体" w:eastAsia="宋体" w:cs="宋体"/>
          <w:spacing w:val="1"/>
          <w:sz w:val="20"/>
          <w:szCs w:val="20"/>
        </w:rPr>
        <w:t xml:space="preserve"> 希菌肠炎、轮状病毒肠炎等。</w:t>
      </w:r>
    </w:p>
    <w:p w14:paraId="63F56480">
      <w:pPr>
        <w:spacing w:before="1" w:line="333" w:lineRule="auto"/>
        <w:ind w:left="690" w:firstLine="419"/>
        <w:jc w:val="both"/>
        <w:rPr>
          <w:rFonts w:ascii="宋体" w:hAnsi="宋体" w:eastAsia="宋体" w:cs="宋体"/>
          <w:sz w:val="20"/>
          <w:szCs w:val="20"/>
        </w:rPr>
      </w:pPr>
      <w:r>
        <w:rPr>
          <w:rFonts w:ascii="宋体" w:hAnsi="宋体" w:eastAsia="宋体" w:cs="宋体"/>
          <w:spacing w:val="18"/>
          <w:sz w:val="20"/>
          <w:szCs w:val="20"/>
        </w:rPr>
        <w:t>近年来，由病毒和寄生虫引起的感染性腹泻有发病上升的趋势。例如，2004年11月至2005</w:t>
      </w:r>
      <w:r>
        <w:rPr>
          <w:rFonts w:ascii="宋体" w:hAnsi="宋体" w:eastAsia="宋体" w:cs="宋体"/>
          <w:sz w:val="20"/>
          <w:szCs w:val="20"/>
        </w:rPr>
        <w:t xml:space="preserve"> </w:t>
      </w:r>
      <w:r>
        <w:rPr>
          <w:rFonts w:ascii="宋体" w:hAnsi="宋体" w:eastAsia="宋体" w:cs="宋体"/>
          <w:spacing w:val="17"/>
          <w:sz w:val="20"/>
          <w:szCs w:val="20"/>
        </w:rPr>
        <w:t>年1月日本报告236起集体感染性胃肠炎疫情，发</w:t>
      </w:r>
      <w:r>
        <w:rPr>
          <w:rFonts w:ascii="宋体" w:hAnsi="宋体" w:eastAsia="宋体" w:cs="宋体"/>
          <w:spacing w:val="16"/>
          <w:sz w:val="20"/>
          <w:szCs w:val="20"/>
        </w:rPr>
        <w:t>病7821人，其中诺如病毒感染5371人，死亡12</w:t>
      </w:r>
      <w:r>
        <w:rPr>
          <w:rFonts w:ascii="宋体" w:hAnsi="宋体" w:eastAsia="宋体" w:cs="宋体"/>
          <w:sz w:val="20"/>
          <w:szCs w:val="20"/>
        </w:rPr>
        <w:t xml:space="preserve"> </w:t>
      </w:r>
      <w:r>
        <w:rPr>
          <w:rFonts w:ascii="宋体" w:hAnsi="宋体" w:eastAsia="宋体" w:cs="宋体"/>
          <w:spacing w:val="18"/>
          <w:sz w:val="20"/>
          <w:szCs w:val="20"/>
        </w:rPr>
        <w:t>人。我国2006年11月至2007年初发生多起诺如</w:t>
      </w:r>
      <w:r>
        <w:rPr>
          <w:rFonts w:ascii="宋体" w:hAnsi="宋体" w:eastAsia="宋体" w:cs="宋体"/>
          <w:spacing w:val="17"/>
          <w:sz w:val="20"/>
          <w:szCs w:val="20"/>
        </w:rPr>
        <w:t>病毒感染引起的腹泻暴发，较大的暴发有上百人</w:t>
      </w:r>
      <w:r>
        <w:rPr>
          <w:rFonts w:ascii="宋体" w:hAnsi="宋体" w:eastAsia="宋体" w:cs="宋体"/>
          <w:sz w:val="20"/>
          <w:szCs w:val="20"/>
        </w:rPr>
        <w:t xml:space="preserve"> </w:t>
      </w:r>
      <w:r>
        <w:rPr>
          <w:rFonts w:ascii="宋体" w:hAnsi="宋体" w:eastAsia="宋体" w:cs="宋体"/>
          <w:spacing w:val="11"/>
          <w:sz w:val="20"/>
          <w:szCs w:val="20"/>
        </w:rPr>
        <w:t>发病。美国2005年一个水上乐园引起感染性腹泻暴发，</w:t>
      </w:r>
      <w:r>
        <w:rPr>
          <w:rFonts w:ascii="宋体" w:hAnsi="宋体" w:eastAsia="宋体" w:cs="宋体"/>
          <w:spacing w:val="71"/>
          <w:sz w:val="20"/>
          <w:szCs w:val="20"/>
        </w:rPr>
        <w:t xml:space="preserve"> </w:t>
      </w:r>
      <w:r>
        <w:rPr>
          <w:rFonts w:ascii="宋体" w:hAnsi="宋体" w:eastAsia="宋体" w:cs="宋体"/>
          <w:spacing w:val="11"/>
          <w:sz w:val="20"/>
          <w:szCs w:val="20"/>
        </w:rPr>
        <w:t>一</w:t>
      </w:r>
      <w:r>
        <w:rPr>
          <w:rFonts w:ascii="宋体" w:hAnsi="宋体" w:eastAsia="宋体" w:cs="宋体"/>
          <w:spacing w:val="10"/>
          <w:sz w:val="20"/>
          <w:szCs w:val="20"/>
        </w:rPr>
        <w:t>周内发病2000余人，游乐场被迫关闭，</w:t>
      </w:r>
      <w:r>
        <w:rPr>
          <w:rFonts w:ascii="宋体" w:hAnsi="宋体" w:eastAsia="宋体" w:cs="宋体"/>
          <w:sz w:val="20"/>
          <w:szCs w:val="20"/>
        </w:rPr>
        <w:t xml:space="preserve"> </w:t>
      </w:r>
      <w:r>
        <w:rPr>
          <w:rFonts w:ascii="宋体" w:hAnsi="宋体" w:eastAsia="宋体" w:cs="宋体"/>
          <w:spacing w:val="8"/>
          <w:sz w:val="20"/>
          <w:szCs w:val="20"/>
        </w:rPr>
        <w:t>病原检测结果显示可能为隐孢子虫感染。</w:t>
      </w:r>
    </w:p>
    <w:p w14:paraId="1F7B4FFC">
      <w:pPr>
        <w:pStyle w:val="2"/>
        <w:spacing w:before="11" w:line="221" w:lineRule="auto"/>
        <w:ind w:left="1112"/>
        <w:rPr>
          <w:sz w:val="20"/>
          <w:szCs w:val="20"/>
        </w:rPr>
      </w:pPr>
      <w:r>
        <w:rPr>
          <w:b/>
          <w:bCs/>
          <w:spacing w:val="30"/>
          <w:sz w:val="20"/>
          <w:szCs w:val="20"/>
        </w:rPr>
        <w:t>(二)诊断标准</w:t>
      </w:r>
    </w:p>
    <w:p w14:paraId="6676C4E4">
      <w:pPr>
        <w:pStyle w:val="2"/>
        <w:spacing w:before="116" w:line="280" w:lineRule="auto"/>
        <w:ind w:left="690" w:right="73" w:firstLine="422"/>
        <w:rPr>
          <w:rFonts w:ascii="宋体" w:hAnsi="宋体" w:eastAsia="宋体" w:cs="宋体"/>
          <w:sz w:val="20"/>
          <w:szCs w:val="20"/>
        </w:rPr>
      </w:pPr>
      <w:r>
        <w:rPr>
          <w:rFonts w:ascii="宋体" w:hAnsi="宋体" w:eastAsia="宋体" w:cs="宋体"/>
          <w:b/>
          <w:bCs/>
          <w:spacing w:val="12"/>
          <w:sz w:val="20"/>
          <w:szCs w:val="20"/>
        </w:rPr>
        <w:t>1.</w:t>
      </w:r>
      <w:r>
        <w:rPr>
          <w:rFonts w:ascii="宋体" w:hAnsi="宋体" w:eastAsia="宋体" w:cs="宋体"/>
          <w:spacing w:val="12"/>
          <w:sz w:val="20"/>
          <w:szCs w:val="20"/>
        </w:rPr>
        <w:t xml:space="preserve"> </w:t>
      </w:r>
      <w:r>
        <w:rPr>
          <w:b/>
          <w:bCs/>
          <w:spacing w:val="12"/>
          <w:sz w:val="20"/>
          <w:szCs w:val="20"/>
        </w:rPr>
        <w:t>诊断原则</w:t>
      </w:r>
      <w:r>
        <w:rPr>
          <w:spacing w:val="58"/>
          <w:sz w:val="20"/>
          <w:szCs w:val="20"/>
        </w:rPr>
        <w:t xml:space="preserve"> </w:t>
      </w:r>
      <w:r>
        <w:rPr>
          <w:spacing w:val="12"/>
          <w:sz w:val="20"/>
          <w:szCs w:val="20"/>
        </w:rPr>
        <w:t>由于引起腹泻的病因复杂，本组疾病的诊断必须依据流行病学资料、临床表现</w:t>
      </w:r>
      <w:r>
        <w:rPr>
          <w:sz w:val="20"/>
          <w:szCs w:val="20"/>
        </w:rPr>
        <w:t xml:space="preserve"> </w:t>
      </w:r>
      <w:r>
        <w:rPr>
          <w:rFonts w:ascii="宋体" w:hAnsi="宋体" w:eastAsia="宋体" w:cs="宋体"/>
          <w:spacing w:val="7"/>
          <w:sz w:val="20"/>
          <w:szCs w:val="20"/>
        </w:rPr>
        <w:t>和实验室检查进行综合判断。</w:t>
      </w:r>
    </w:p>
    <w:p w14:paraId="1AA48B44">
      <w:pPr>
        <w:pStyle w:val="2"/>
        <w:spacing w:before="118" w:line="221" w:lineRule="auto"/>
        <w:ind w:left="1112"/>
        <w:rPr>
          <w:sz w:val="20"/>
          <w:szCs w:val="20"/>
        </w:rPr>
      </w:pPr>
      <w:r>
        <w:rPr>
          <w:rFonts w:ascii="宋体" w:hAnsi="宋体" w:eastAsia="宋体" w:cs="宋体"/>
          <w:b/>
          <w:bCs/>
          <w:spacing w:val="5"/>
          <w:sz w:val="20"/>
          <w:szCs w:val="20"/>
        </w:rPr>
        <w:t>2.</w:t>
      </w:r>
      <w:r>
        <w:rPr>
          <w:rFonts w:ascii="宋体" w:hAnsi="宋体" w:eastAsia="宋体" w:cs="宋体"/>
          <w:spacing w:val="-10"/>
          <w:sz w:val="20"/>
          <w:szCs w:val="20"/>
        </w:rPr>
        <w:t xml:space="preserve"> </w:t>
      </w:r>
      <w:r>
        <w:rPr>
          <w:b/>
          <w:bCs/>
          <w:spacing w:val="5"/>
          <w:sz w:val="20"/>
          <w:szCs w:val="20"/>
        </w:rPr>
        <w:t>诊断依据</w:t>
      </w:r>
    </w:p>
    <w:p w14:paraId="70626281">
      <w:pPr>
        <w:spacing w:before="154" w:line="334" w:lineRule="auto"/>
        <w:ind w:left="690" w:right="44" w:firstLine="419"/>
        <w:jc w:val="both"/>
        <w:rPr>
          <w:rFonts w:ascii="宋体" w:hAnsi="宋体" w:eastAsia="宋体" w:cs="宋体"/>
          <w:sz w:val="20"/>
          <w:szCs w:val="20"/>
        </w:rPr>
      </w:pPr>
      <w:r>
        <w:rPr>
          <w:rFonts w:ascii="宋体" w:hAnsi="宋体" w:eastAsia="宋体" w:cs="宋体"/>
          <w:spacing w:val="14"/>
          <w:sz w:val="20"/>
          <w:szCs w:val="20"/>
        </w:rPr>
        <w:t>(1)流行病学资料：本组疾病一年四季均可发生，夏秋季多见。有不洁饮食(</w:t>
      </w:r>
      <w:r>
        <w:rPr>
          <w:rFonts w:ascii="宋体" w:hAnsi="宋体" w:eastAsia="宋体" w:cs="宋体"/>
          <w:spacing w:val="13"/>
          <w:sz w:val="20"/>
          <w:szCs w:val="20"/>
        </w:rPr>
        <w:t>水)史和/或腹泻</w:t>
      </w:r>
      <w:r>
        <w:rPr>
          <w:rFonts w:ascii="宋体" w:hAnsi="宋体" w:eastAsia="宋体" w:cs="宋体"/>
          <w:sz w:val="20"/>
          <w:szCs w:val="20"/>
        </w:rPr>
        <w:t xml:space="preserve"> </w:t>
      </w:r>
      <w:r>
        <w:rPr>
          <w:rFonts w:ascii="宋体" w:hAnsi="宋体" w:eastAsia="宋体" w:cs="宋体"/>
          <w:spacing w:val="4"/>
          <w:sz w:val="20"/>
          <w:szCs w:val="20"/>
        </w:rPr>
        <w:t>病人、腹泻动物、带菌动物接触史，或有不发达地区旅游史。如为食物源性，则常为集体发病及有共</w:t>
      </w:r>
      <w:r>
        <w:rPr>
          <w:rFonts w:ascii="宋体" w:hAnsi="宋体" w:eastAsia="宋体" w:cs="宋体"/>
          <w:spacing w:val="11"/>
          <w:sz w:val="20"/>
          <w:szCs w:val="20"/>
        </w:rPr>
        <w:t xml:space="preserve"> </w:t>
      </w:r>
      <w:r>
        <w:rPr>
          <w:rFonts w:ascii="宋体" w:hAnsi="宋体" w:eastAsia="宋体" w:cs="宋体"/>
          <w:spacing w:val="8"/>
          <w:sz w:val="20"/>
          <w:szCs w:val="20"/>
        </w:rPr>
        <w:t>进可疑食物史。某些沙门菌(如鼠伤寒沙门菌等)、致泻性大肠埃希菌、</w:t>
      </w:r>
      <w:r>
        <w:rPr>
          <w:rFonts w:ascii="Times New Roman" w:hAnsi="Times New Roman" w:eastAsia="Times New Roman" w:cs="Times New Roman"/>
          <w:spacing w:val="8"/>
          <w:sz w:val="20"/>
          <w:szCs w:val="20"/>
        </w:rPr>
        <w:t xml:space="preserve">A </w:t>
      </w:r>
      <w:r>
        <w:rPr>
          <w:rFonts w:ascii="宋体" w:hAnsi="宋体" w:eastAsia="宋体" w:cs="宋体"/>
          <w:spacing w:val="8"/>
          <w:sz w:val="20"/>
          <w:szCs w:val="20"/>
        </w:rPr>
        <w:t>组轮状病毒和柯萨奇病毒</w:t>
      </w:r>
    </w:p>
    <w:p w14:paraId="23FE0828">
      <w:pPr>
        <w:spacing w:line="334" w:lineRule="auto"/>
        <w:rPr>
          <w:rFonts w:ascii="宋体" w:hAnsi="宋体" w:eastAsia="宋体" w:cs="宋体"/>
          <w:sz w:val="20"/>
          <w:szCs w:val="20"/>
        </w:rPr>
        <w:sectPr>
          <w:footerReference r:id="rId369" w:type="default"/>
          <w:pgSz w:w="11900" w:h="16820"/>
          <w:pgMar w:top="400" w:right="1420" w:bottom="869" w:left="729" w:header="0" w:footer="689" w:gutter="0"/>
          <w:cols w:space="720" w:num="1"/>
        </w:sectPr>
      </w:pPr>
    </w:p>
    <w:p w14:paraId="7B12532A">
      <w:pPr>
        <w:pStyle w:val="2"/>
        <w:spacing w:before="205" w:line="222" w:lineRule="auto"/>
        <w:ind w:left="6959"/>
        <w:rPr>
          <w:sz w:val="17"/>
          <w:szCs w:val="17"/>
        </w:rPr>
      </w:pPr>
      <w:r>
        <w:rPr>
          <w:spacing w:val="2"/>
          <w:sz w:val="17"/>
          <w:szCs w:val="17"/>
        </w:rPr>
        <w:t>第二十二章</w:t>
      </w:r>
      <w:r>
        <w:rPr>
          <w:spacing w:val="24"/>
          <w:sz w:val="17"/>
          <w:szCs w:val="17"/>
        </w:rPr>
        <w:t xml:space="preserve"> </w:t>
      </w:r>
      <w:r>
        <w:rPr>
          <w:spacing w:val="2"/>
          <w:sz w:val="17"/>
          <w:szCs w:val="17"/>
        </w:rPr>
        <w:t>感染性腹泻</w:t>
      </w:r>
    </w:p>
    <w:p w14:paraId="3DB63E00">
      <w:pPr>
        <w:spacing w:line="284" w:lineRule="auto"/>
        <w:rPr>
          <w:rFonts w:ascii="Arial"/>
          <w:sz w:val="21"/>
        </w:rPr>
      </w:pPr>
    </w:p>
    <w:p w14:paraId="5EB3B13C">
      <w:pPr>
        <w:spacing w:line="284" w:lineRule="auto"/>
        <w:rPr>
          <w:rFonts w:ascii="Arial"/>
          <w:sz w:val="21"/>
        </w:rPr>
      </w:pPr>
    </w:p>
    <w:p w14:paraId="51AD78ED">
      <w:pPr>
        <w:spacing w:before="65" w:line="219" w:lineRule="auto"/>
        <w:rPr>
          <w:rFonts w:ascii="宋体" w:hAnsi="宋体" w:eastAsia="宋体" w:cs="宋体"/>
          <w:sz w:val="20"/>
          <w:szCs w:val="20"/>
        </w:rPr>
      </w:pPr>
      <w:r>
        <w:rPr>
          <w:rFonts w:ascii="宋体" w:hAnsi="宋体" w:eastAsia="宋体" w:cs="宋体"/>
          <w:spacing w:val="7"/>
          <w:sz w:val="20"/>
          <w:szCs w:val="20"/>
        </w:rPr>
        <w:t>等感染在医院婴儿室可引起暴发。</w:t>
      </w:r>
    </w:p>
    <w:p w14:paraId="1535CD8D">
      <w:pPr>
        <w:spacing w:before="161" w:line="294" w:lineRule="auto"/>
        <w:ind w:right="454" w:firstLine="389"/>
        <w:rPr>
          <w:rFonts w:ascii="宋体" w:hAnsi="宋体" w:eastAsia="宋体" w:cs="宋体"/>
          <w:sz w:val="20"/>
          <w:szCs w:val="20"/>
        </w:rPr>
      </w:pPr>
      <w:r>
        <w:rPr>
          <w:rFonts w:ascii="宋体" w:hAnsi="宋体" w:eastAsia="宋体" w:cs="宋体"/>
          <w:spacing w:val="2"/>
          <w:sz w:val="20"/>
          <w:szCs w:val="20"/>
        </w:rPr>
        <w:t>(2)临床表现：①腹泻，大便每日≥3次，粪便的性状异常，可</w:t>
      </w:r>
      <w:r>
        <w:rPr>
          <w:rFonts w:ascii="宋体" w:hAnsi="宋体" w:eastAsia="宋体" w:cs="宋体"/>
          <w:spacing w:val="1"/>
          <w:sz w:val="20"/>
          <w:szCs w:val="20"/>
        </w:rPr>
        <w:t>为稀便、水样便，也可为黏液便、</w:t>
      </w:r>
      <w:r>
        <w:rPr>
          <w:rFonts w:ascii="宋体" w:hAnsi="宋体" w:eastAsia="宋体" w:cs="宋体"/>
          <w:sz w:val="20"/>
          <w:szCs w:val="20"/>
        </w:rPr>
        <w:t xml:space="preserve"> 脓便及血便，可伴有恶心、呕吐、食欲缺乏、发热、腹痛及全身不适等；病情严</w:t>
      </w:r>
      <w:r>
        <w:rPr>
          <w:rFonts w:ascii="宋体" w:hAnsi="宋体" w:eastAsia="宋体" w:cs="宋体"/>
          <w:spacing w:val="-1"/>
          <w:sz w:val="20"/>
          <w:szCs w:val="20"/>
        </w:rPr>
        <w:t>重者因大量丢失水分</w:t>
      </w:r>
      <w:r>
        <w:rPr>
          <w:rFonts w:ascii="宋体" w:hAnsi="宋体" w:eastAsia="宋体" w:cs="宋体"/>
          <w:sz w:val="20"/>
          <w:szCs w:val="20"/>
        </w:rPr>
        <w:t xml:space="preserve"> </w:t>
      </w:r>
      <w:r>
        <w:rPr>
          <w:rFonts w:ascii="宋体" w:hAnsi="宋体" w:eastAsia="宋体" w:cs="宋体"/>
          <w:spacing w:val="-5"/>
          <w:sz w:val="20"/>
          <w:szCs w:val="20"/>
        </w:rPr>
        <w:t>而出现脱水、电解质紊乱，甚至休克。②已除外霍乱、痢疾、伤寒、副伤寒。</w:t>
      </w:r>
    </w:p>
    <w:p w14:paraId="280AF906">
      <w:pPr>
        <w:spacing w:before="156" w:line="318" w:lineRule="auto"/>
        <w:ind w:right="508" w:firstLine="419"/>
        <w:rPr>
          <w:rFonts w:ascii="宋体" w:hAnsi="宋体" w:eastAsia="宋体" w:cs="宋体"/>
          <w:sz w:val="20"/>
          <w:szCs w:val="20"/>
        </w:rPr>
      </w:pPr>
      <w:r>
        <w:rPr>
          <w:rFonts w:ascii="宋体" w:hAnsi="宋体" w:eastAsia="宋体" w:cs="宋体"/>
          <w:spacing w:val="2"/>
          <w:sz w:val="20"/>
          <w:szCs w:val="20"/>
        </w:rPr>
        <w:t xml:space="preserve">(3)实验室检查：①粪便常规检查可为稀便、水样便、黏液便、血便或脓血便，镜检可有多量红 </w:t>
      </w:r>
      <w:r>
        <w:rPr>
          <w:rFonts w:ascii="宋体" w:hAnsi="宋体" w:eastAsia="宋体" w:cs="宋体"/>
          <w:sz w:val="20"/>
          <w:szCs w:val="20"/>
        </w:rPr>
        <w:t>细胞、白细胞，也可有少量或无细胞。②粪便病原学检查可检出霍乱、痢疾、</w:t>
      </w:r>
      <w:r>
        <w:rPr>
          <w:rFonts w:ascii="宋体" w:hAnsi="宋体" w:eastAsia="宋体" w:cs="宋体"/>
          <w:spacing w:val="-1"/>
          <w:sz w:val="20"/>
          <w:szCs w:val="20"/>
        </w:rPr>
        <w:t>伤寒、副伤寒以外的病</w:t>
      </w:r>
      <w:r>
        <w:rPr>
          <w:rFonts w:ascii="宋体" w:hAnsi="宋体" w:eastAsia="宋体" w:cs="宋体"/>
          <w:sz w:val="20"/>
          <w:szCs w:val="20"/>
        </w:rPr>
        <w:t xml:space="preserve"> 原生物，如致泻性大肠埃希菌、沙门菌、轮状病毒或蓝氏贾第鞭毛虫</w:t>
      </w:r>
      <w:r>
        <w:rPr>
          <w:rFonts w:ascii="宋体" w:hAnsi="宋体" w:eastAsia="宋体" w:cs="宋体"/>
          <w:spacing w:val="-1"/>
          <w:sz w:val="20"/>
          <w:szCs w:val="20"/>
        </w:rPr>
        <w:t>等；或检出特异性抗原、核酸或</w:t>
      </w:r>
      <w:r>
        <w:rPr>
          <w:rFonts w:ascii="宋体" w:hAnsi="宋体" w:eastAsia="宋体" w:cs="宋体"/>
          <w:sz w:val="20"/>
          <w:szCs w:val="20"/>
        </w:rPr>
        <w:t xml:space="preserve"> </w:t>
      </w:r>
      <w:r>
        <w:rPr>
          <w:rFonts w:ascii="宋体" w:hAnsi="宋体" w:eastAsia="宋体" w:cs="宋体"/>
          <w:spacing w:val="10"/>
          <w:sz w:val="20"/>
          <w:szCs w:val="20"/>
        </w:rPr>
        <w:t>从血清中检出特异性抗体。</w:t>
      </w:r>
    </w:p>
    <w:p w14:paraId="17EB3205">
      <w:pPr>
        <w:spacing w:before="142" w:line="219" w:lineRule="auto"/>
        <w:ind w:left="500"/>
        <w:rPr>
          <w:rFonts w:ascii="宋体" w:hAnsi="宋体" w:eastAsia="宋体" w:cs="宋体"/>
          <w:sz w:val="20"/>
          <w:szCs w:val="20"/>
        </w:rPr>
      </w:pPr>
      <w:r>
        <w:rPr>
          <w:rFonts w:ascii="宋体" w:hAnsi="宋体" w:eastAsia="宋体" w:cs="宋体"/>
          <w:spacing w:val="9"/>
          <w:sz w:val="20"/>
          <w:szCs w:val="20"/>
        </w:rPr>
        <w:t>3.</w:t>
      </w:r>
      <w:r>
        <w:rPr>
          <w:rFonts w:ascii="宋体" w:hAnsi="宋体" w:eastAsia="宋体" w:cs="宋体"/>
          <w:spacing w:val="-46"/>
          <w:sz w:val="20"/>
          <w:szCs w:val="20"/>
        </w:rPr>
        <w:t xml:space="preserve"> </w:t>
      </w:r>
      <w:r>
        <w:rPr>
          <w:rFonts w:ascii="宋体" w:hAnsi="宋体" w:eastAsia="宋体" w:cs="宋体"/>
          <w:spacing w:val="9"/>
          <w:sz w:val="20"/>
          <w:szCs w:val="20"/>
        </w:rPr>
        <w:t>诊断标准</w:t>
      </w:r>
    </w:p>
    <w:p w14:paraId="1D6D50D0">
      <w:pPr>
        <w:spacing w:before="162" w:line="287" w:lineRule="auto"/>
        <w:ind w:right="528" w:firstLine="419"/>
        <w:rPr>
          <w:rFonts w:ascii="宋体" w:hAnsi="宋体" w:eastAsia="宋体" w:cs="宋体"/>
          <w:sz w:val="20"/>
          <w:szCs w:val="20"/>
        </w:rPr>
      </w:pPr>
      <w:r>
        <w:rPr>
          <w:rFonts w:ascii="宋体" w:hAnsi="宋体" w:eastAsia="宋体" w:cs="宋体"/>
          <w:spacing w:val="4"/>
          <w:sz w:val="20"/>
          <w:szCs w:val="20"/>
        </w:rPr>
        <w:t>(1)临床诊断病例：具备腹泻的临床表现，实验室检查粪便有性状改变(常为黏液便、</w:t>
      </w:r>
      <w:r>
        <w:rPr>
          <w:rFonts w:ascii="宋体" w:hAnsi="宋体" w:eastAsia="宋体" w:cs="宋体"/>
          <w:spacing w:val="3"/>
          <w:sz w:val="20"/>
          <w:szCs w:val="20"/>
        </w:rPr>
        <w:t>脓血便或</w:t>
      </w:r>
      <w:r>
        <w:rPr>
          <w:rFonts w:ascii="宋体" w:hAnsi="宋体" w:eastAsia="宋体" w:cs="宋体"/>
          <w:sz w:val="20"/>
          <w:szCs w:val="20"/>
        </w:rPr>
        <w:t xml:space="preserve"> </w:t>
      </w:r>
      <w:r>
        <w:rPr>
          <w:rFonts w:ascii="宋体" w:hAnsi="宋体" w:eastAsia="宋体" w:cs="宋体"/>
          <w:spacing w:val="-2"/>
          <w:sz w:val="20"/>
          <w:szCs w:val="20"/>
        </w:rPr>
        <w:t>血便、稀便、水样便),镜检可有红细胞、白细胞；且有流行病学资料作参考。</w:t>
      </w:r>
    </w:p>
    <w:p w14:paraId="4E6CE4E5">
      <w:pPr>
        <w:spacing w:before="169" w:line="219" w:lineRule="auto"/>
        <w:ind w:left="419"/>
        <w:rPr>
          <w:rFonts w:ascii="宋体" w:hAnsi="宋体" w:eastAsia="宋体" w:cs="宋体"/>
          <w:sz w:val="20"/>
          <w:szCs w:val="20"/>
        </w:rPr>
      </w:pPr>
      <w:r>
        <w:rPr>
          <w:rFonts w:ascii="宋体" w:hAnsi="宋体" w:eastAsia="宋体" w:cs="宋体"/>
          <w:spacing w:val="6"/>
          <w:sz w:val="20"/>
          <w:szCs w:val="20"/>
        </w:rPr>
        <w:t>(2)确诊病例：符合临床诊断和病原学检查阳性。</w:t>
      </w:r>
    </w:p>
    <w:p w14:paraId="1138FEEA">
      <w:pPr>
        <w:pStyle w:val="2"/>
        <w:spacing w:before="79" w:line="221" w:lineRule="auto"/>
        <w:ind w:left="423"/>
        <w:rPr>
          <w:sz w:val="25"/>
          <w:szCs w:val="25"/>
        </w:rPr>
      </w:pPr>
      <w:r>
        <w:rPr>
          <w:b/>
          <w:bCs/>
          <w:spacing w:val="-10"/>
          <w:sz w:val="25"/>
          <w:szCs w:val="25"/>
        </w:rPr>
        <w:t>(三)防制要点</w:t>
      </w:r>
    </w:p>
    <w:p w14:paraId="3612CB43">
      <w:pPr>
        <w:spacing w:before="124" w:line="346" w:lineRule="auto"/>
        <w:ind w:right="529" w:firstLine="419"/>
        <w:rPr>
          <w:rFonts w:ascii="宋体" w:hAnsi="宋体" w:eastAsia="宋体" w:cs="宋体"/>
          <w:sz w:val="20"/>
          <w:szCs w:val="20"/>
        </w:rPr>
      </w:pPr>
      <w:r>
        <w:rPr>
          <w:rFonts w:ascii="宋体" w:hAnsi="宋体" w:eastAsia="宋体" w:cs="宋体"/>
          <w:spacing w:val="9"/>
          <w:sz w:val="20"/>
          <w:szCs w:val="20"/>
        </w:rPr>
        <w:t>在预防方面应采取以切断传播途径为主导的综合措施，同时加强传染源管理。在疫情控制方</w:t>
      </w:r>
      <w:r>
        <w:rPr>
          <w:rFonts w:ascii="宋体" w:hAnsi="宋体" w:eastAsia="宋体" w:cs="宋体"/>
          <w:spacing w:val="7"/>
          <w:sz w:val="20"/>
          <w:szCs w:val="20"/>
        </w:rPr>
        <w:t xml:space="preserve"> </w:t>
      </w:r>
      <w:r>
        <w:rPr>
          <w:rFonts w:ascii="宋体" w:hAnsi="宋体" w:eastAsia="宋体" w:cs="宋体"/>
          <w:spacing w:val="2"/>
          <w:sz w:val="20"/>
          <w:szCs w:val="20"/>
        </w:rPr>
        <w:t>面主要是立即隔离治疗病人，尽快查明病原和传染来源，采取迅速阻断疫情发展的措施。</w:t>
      </w:r>
    </w:p>
    <w:p w14:paraId="70D68FD0">
      <w:pPr>
        <w:pStyle w:val="2"/>
        <w:spacing w:before="1" w:line="221" w:lineRule="auto"/>
        <w:ind w:left="7960"/>
        <w:rPr>
          <w:sz w:val="20"/>
          <w:szCs w:val="20"/>
        </w:rPr>
      </w:pPr>
      <w:r>
        <w:rPr>
          <w:spacing w:val="21"/>
          <w:sz w:val="20"/>
          <w:szCs w:val="20"/>
        </w:rPr>
        <w:t>(杨海燕)</w:t>
      </w:r>
    </w:p>
    <w:p w14:paraId="4DA50D98">
      <w:pPr>
        <w:spacing w:line="290" w:lineRule="auto"/>
        <w:rPr>
          <w:rFonts w:ascii="Arial"/>
          <w:sz w:val="21"/>
        </w:rPr>
      </w:pPr>
    </w:p>
    <w:p w14:paraId="34DA2393">
      <w:pPr>
        <w:spacing w:line="450" w:lineRule="exact"/>
        <w:ind w:firstLine="2739"/>
      </w:pPr>
      <w:r>
        <w:drawing>
          <wp:anchor distT="0" distB="0" distL="0" distR="0" simplePos="0" relativeHeight="251990016" behindDoc="0" locked="0" layoutInCell="1" allowOverlap="1">
            <wp:simplePos x="0" y="0"/>
            <wp:positionH relativeFrom="column">
              <wp:posOffset>158750</wp:posOffset>
            </wp:positionH>
            <wp:positionV relativeFrom="paragraph">
              <wp:posOffset>152400</wp:posOffset>
            </wp:positionV>
            <wp:extent cx="1390650" cy="6350"/>
            <wp:effectExtent l="0" t="0" r="0" b="0"/>
            <wp:wrapNone/>
            <wp:docPr id="814" name="IM 814"/>
            <wp:cNvGraphicFramePr/>
            <a:graphic xmlns:a="http://schemas.openxmlformats.org/drawingml/2006/main">
              <a:graphicData uri="http://schemas.openxmlformats.org/drawingml/2006/picture">
                <pic:pic xmlns:pic="http://schemas.openxmlformats.org/drawingml/2006/picture">
                  <pic:nvPicPr>
                    <pic:cNvPr id="814" name="IM 814"/>
                    <pic:cNvPicPr/>
                  </pic:nvPicPr>
                  <pic:blipFill>
                    <a:blip r:embed="rId697"/>
                    <a:stretch>
                      <a:fillRect/>
                    </a:stretch>
                  </pic:blipFill>
                  <pic:spPr>
                    <a:xfrm>
                      <a:off x="0" y="0"/>
                      <a:ext cx="1390622" cy="6408"/>
                    </a:xfrm>
                    <a:prstGeom prst="rect">
                      <a:avLst/>
                    </a:prstGeom>
                  </pic:spPr>
                </pic:pic>
              </a:graphicData>
            </a:graphic>
          </wp:anchor>
        </w:drawing>
      </w:r>
      <w:r>
        <w:rPr>
          <w:position w:val="-9"/>
        </w:rPr>
        <w:drawing>
          <wp:inline distT="0" distB="0" distL="0" distR="0">
            <wp:extent cx="4006215" cy="285750"/>
            <wp:effectExtent l="0" t="0" r="0" b="0"/>
            <wp:docPr id="816" name="IM 816"/>
            <wp:cNvGraphicFramePr/>
            <a:graphic xmlns:a="http://schemas.openxmlformats.org/drawingml/2006/main">
              <a:graphicData uri="http://schemas.openxmlformats.org/drawingml/2006/picture">
                <pic:pic xmlns:pic="http://schemas.openxmlformats.org/drawingml/2006/picture">
                  <pic:nvPicPr>
                    <pic:cNvPr id="816" name="IM 816"/>
                    <pic:cNvPicPr/>
                  </pic:nvPicPr>
                  <pic:blipFill>
                    <a:blip r:embed="rId698"/>
                    <a:stretch>
                      <a:fillRect/>
                    </a:stretch>
                  </pic:blipFill>
                  <pic:spPr>
                    <a:xfrm>
                      <a:off x="0" y="0"/>
                      <a:ext cx="4006834" cy="285815"/>
                    </a:xfrm>
                    <a:prstGeom prst="rect">
                      <a:avLst/>
                    </a:prstGeom>
                  </pic:spPr>
                </pic:pic>
              </a:graphicData>
            </a:graphic>
          </wp:inline>
        </w:drawing>
      </w:r>
    </w:p>
    <w:p w14:paraId="28D63D1C">
      <w:pPr>
        <w:pStyle w:val="2"/>
        <w:spacing w:before="147" w:line="222" w:lineRule="auto"/>
        <w:ind w:left="423"/>
        <w:rPr>
          <w:sz w:val="25"/>
          <w:szCs w:val="25"/>
        </w:rPr>
      </w:pPr>
      <w:r>
        <w:drawing>
          <wp:anchor distT="0" distB="0" distL="0" distR="0" simplePos="0" relativeHeight="251991040" behindDoc="0" locked="0" layoutInCell="1" allowOverlap="1">
            <wp:simplePos x="0" y="0"/>
            <wp:positionH relativeFrom="column">
              <wp:posOffset>24765</wp:posOffset>
            </wp:positionH>
            <wp:positionV relativeFrom="paragraph">
              <wp:posOffset>190500</wp:posOffset>
            </wp:positionV>
            <wp:extent cx="6350" cy="1352550"/>
            <wp:effectExtent l="0" t="0" r="0" b="0"/>
            <wp:wrapNone/>
            <wp:docPr id="818" name="IM 818"/>
            <wp:cNvGraphicFramePr/>
            <a:graphic xmlns:a="http://schemas.openxmlformats.org/drawingml/2006/main">
              <a:graphicData uri="http://schemas.openxmlformats.org/drawingml/2006/picture">
                <pic:pic xmlns:pic="http://schemas.openxmlformats.org/drawingml/2006/picture">
                  <pic:nvPicPr>
                    <pic:cNvPr id="818" name="IM 818"/>
                    <pic:cNvPicPr/>
                  </pic:nvPicPr>
                  <pic:blipFill>
                    <a:blip r:embed="rId699"/>
                    <a:stretch>
                      <a:fillRect/>
                    </a:stretch>
                  </pic:blipFill>
                  <pic:spPr>
                    <a:xfrm>
                      <a:off x="0" y="0"/>
                      <a:ext cx="6350" cy="1352603"/>
                    </a:xfrm>
                    <a:prstGeom prst="rect">
                      <a:avLst/>
                    </a:prstGeom>
                  </pic:spPr>
                </pic:pic>
              </a:graphicData>
            </a:graphic>
          </wp:anchor>
        </w:drawing>
      </w:r>
      <w:r>
        <w:rPr>
          <w:b/>
          <w:bCs/>
          <w:spacing w:val="5"/>
          <w:sz w:val="25"/>
          <w:szCs w:val="25"/>
        </w:rPr>
        <w:t>思考题</w:t>
      </w:r>
    </w:p>
    <w:p w14:paraId="51E9AF66">
      <w:pPr>
        <w:spacing w:before="121" w:line="219" w:lineRule="auto"/>
        <w:ind w:left="1279"/>
        <w:rPr>
          <w:rFonts w:ascii="宋体" w:hAnsi="宋体" w:eastAsia="宋体" w:cs="宋体"/>
          <w:sz w:val="20"/>
          <w:szCs w:val="20"/>
        </w:rPr>
      </w:pPr>
      <w:r>
        <w:rPr>
          <w:rFonts w:ascii="宋体" w:hAnsi="宋体" w:eastAsia="宋体" w:cs="宋体"/>
          <w:spacing w:val="2"/>
          <w:sz w:val="20"/>
          <w:szCs w:val="20"/>
        </w:rPr>
        <w:t>1.</w:t>
      </w:r>
      <w:r>
        <w:rPr>
          <w:rFonts w:ascii="宋体" w:hAnsi="宋体" w:eastAsia="宋体" w:cs="宋体"/>
          <w:spacing w:val="-25"/>
          <w:sz w:val="20"/>
          <w:szCs w:val="20"/>
        </w:rPr>
        <w:t xml:space="preserve"> </w:t>
      </w:r>
      <w:r>
        <w:rPr>
          <w:rFonts w:ascii="宋体" w:hAnsi="宋体" w:eastAsia="宋体" w:cs="宋体"/>
          <w:spacing w:val="2"/>
          <w:sz w:val="20"/>
          <w:szCs w:val="20"/>
        </w:rPr>
        <w:t>感染性腹泻在发达国家和发展中国家的流行情况有何不同，为什么?</w:t>
      </w:r>
    </w:p>
    <w:p w14:paraId="4DE95630">
      <w:pPr>
        <w:spacing w:before="143" w:line="219" w:lineRule="auto"/>
        <w:ind w:left="1279"/>
        <w:rPr>
          <w:rFonts w:ascii="宋体" w:hAnsi="宋体" w:eastAsia="宋体" w:cs="宋体"/>
          <w:sz w:val="20"/>
          <w:szCs w:val="20"/>
        </w:rPr>
      </w:pPr>
      <w:r>
        <w:rPr>
          <w:rFonts w:ascii="宋体" w:hAnsi="宋体" w:eastAsia="宋体" w:cs="宋体"/>
          <w:spacing w:val="4"/>
          <w:sz w:val="20"/>
          <w:szCs w:val="20"/>
        </w:rPr>
        <w:t>2.</w:t>
      </w:r>
      <w:r>
        <w:rPr>
          <w:rFonts w:ascii="宋体" w:hAnsi="宋体" w:eastAsia="宋体" w:cs="宋体"/>
          <w:spacing w:val="-21"/>
          <w:sz w:val="20"/>
          <w:szCs w:val="20"/>
        </w:rPr>
        <w:t xml:space="preserve"> </w:t>
      </w:r>
      <w:r>
        <w:rPr>
          <w:rFonts w:ascii="宋体" w:hAnsi="宋体" w:eastAsia="宋体" w:cs="宋体"/>
          <w:spacing w:val="4"/>
          <w:sz w:val="20"/>
          <w:szCs w:val="20"/>
        </w:rPr>
        <w:t>全球感染性腹泻流行的新趋势是怎样的?</w:t>
      </w:r>
    </w:p>
    <w:p w14:paraId="12EA6F78">
      <w:pPr>
        <w:spacing w:before="131" w:line="219" w:lineRule="auto"/>
        <w:ind w:left="1279"/>
        <w:rPr>
          <w:rFonts w:ascii="宋体" w:hAnsi="宋体" w:eastAsia="宋体" w:cs="宋体"/>
          <w:sz w:val="20"/>
          <w:szCs w:val="20"/>
        </w:rPr>
      </w:pPr>
      <w:r>
        <w:rPr>
          <w:rFonts w:ascii="宋体" w:hAnsi="宋体" w:eastAsia="宋体" w:cs="宋体"/>
          <w:spacing w:val="2"/>
          <w:sz w:val="20"/>
          <w:szCs w:val="20"/>
        </w:rPr>
        <w:t>3.</w:t>
      </w:r>
      <w:r>
        <w:rPr>
          <w:rFonts w:ascii="宋体" w:hAnsi="宋体" w:eastAsia="宋体" w:cs="宋体"/>
          <w:spacing w:val="-49"/>
          <w:sz w:val="20"/>
          <w:szCs w:val="20"/>
        </w:rPr>
        <w:t xml:space="preserve"> </w:t>
      </w:r>
      <w:r>
        <w:rPr>
          <w:rFonts w:ascii="宋体" w:hAnsi="宋体" w:eastAsia="宋体" w:cs="宋体"/>
          <w:spacing w:val="2"/>
          <w:sz w:val="20"/>
          <w:szCs w:val="20"/>
        </w:rPr>
        <w:t>根据经济、社会和环境情况，如何制定不同地区的感染性腹泻预防</w:t>
      </w:r>
      <w:r>
        <w:rPr>
          <w:rFonts w:ascii="宋体" w:hAnsi="宋体" w:eastAsia="宋体" w:cs="宋体"/>
          <w:spacing w:val="1"/>
          <w:sz w:val="20"/>
          <w:szCs w:val="20"/>
        </w:rPr>
        <w:t>控制策略?</w:t>
      </w:r>
    </w:p>
    <w:p w14:paraId="7C6D5378">
      <w:pPr>
        <w:spacing w:before="133" w:line="219" w:lineRule="auto"/>
        <w:ind w:left="1279"/>
        <w:rPr>
          <w:rFonts w:ascii="宋体" w:hAnsi="宋体" w:eastAsia="宋体" w:cs="宋体"/>
          <w:sz w:val="20"/>
          <w:szCs w:val="20"/>
        </w:rPr>
      </w:pPr>
      <w:r>
        <w:rPr>
          <w:rFonts w:ascii="宋体" w:hAnsi="宋体" w:eastAsia="宋体" w:cs="宋体"/>
          <w:spacing w:val="4"/>
          <w:sz w:val="20"/>
          <w:szCs w:val="20"/>
        </w:rPr>
        <w:t>4.</w:t>
      </w:r>
      <w:r>
        <w:rPr>
          <w:rFonts w:ascii="宋体" w:hAnsi="宋体" w:eastAsia="宋体" w:cs="宋体"/>
          <w:spacing w:val="-21"/>
          <w:sz w:val="20"/>
          <w:szCs w:val="20"/>
        </w:rPr>
        <w:t xml:space="preserve"> </w:t>
      </w:r>
      <w:r>
        <w:rPr>
          <w:rFonts w:ascii="宋体" w:hAnsi="宋体" w:eastAsia="宋体" w:cs="宋体"/>
          <w:spacing w:val="4"/>
          <w:sz w:val="20"/>
          <w:szCs w:val="20"/>
        </w:rPr>
        <w:t>感染性腹泻预防控制的基本手段有哪些?</w:t>
      </w:r>
    </w:p>
    <w:p w14:paraId="3CAC92C7">
      <w:pPr>
        <w:spacing w:before="144" w:line="219" w:lineRule="auto"/>
        <w:ind w:left="1279"/>
        <w:rPr>
          <w:rFonts w:ascii="宋体" w:hAnsi="宋体" w:eastAsia="宋体" w:cs="宋体"/>
          <w:sz w:val="20"/>
          <w:szCs w:val="20"/>
        </w:rPr>
      </w:pPr>
      <w:r>
        <w:rPr>
          <w:rFonts w:ascii="宋体" w:hAnsi="宋体" w:eastAsia="宋体" w:cs="宋体"/>
          <w:spacing w:val="4"/>
          <w:sz w:val="20"/>
          <w:szCs w:val="20"/>
        </w:rPr>
        <w:t>5.</w:t>
      </w:r>
      <w:r>
        <w:rPr>
          <w:rFonts w:ascii="宋体" w:hAnsi="宋体" w:eastAsia="宋体" w:cs="宋体"/>
          <w:spacing w:val="-33"/>
          <w:sz w:val="20"/>
          <w:szCs w:val="20"/>
        </w:rPr>
        <w:t xml:space="preserve"> </w:t>
      </w:r>
      <w:r>
        <w:rPr>
          <w:rFonts w:ascii="宋体" w:hAnsi="宋体" w:eastAsia="宋体" w:cs="宋体"/>
          <w:spacing w:val="4"/>
          <w:sz w:val="20"/>
          <w:szCs w:val="20"/>
        </w:rPr>
        <w:t>目前用于感染性腹泻的疫苗有哪些?</w:t>
      </w:r>
    </w:p>
    <w:p w14:paraId="0EF9F7ED">
      <w:pPr>
        <w:spacing w:line="219" w:lineRule="auto"/>
        <w:rPr>
          <w:rFonts w:ascii="宋体" w:hAnsi="宋体" w:eastAsia="宋体" w:cs="宋体"/>
          <w:sz w:val="20"/>
          <w:szCs w:val="20"/>
        </w:rPr>
        <w:sectPr>
          <w:footerReference r:id="rId370" w:type="default"/>
          <w:pgSz w:w="11900" w:h="16820"/>
          <w:pgMar w:top="400" w:right="1071" w:bottom="808" w:left="1509" w:header="0" w:footer="655" w:gutter="0"/>
          <w:cols w:space="720" w:num="1"/>
        </w:sectPr>
      </w:pPr>
    </w:p>
    <w:p w14:paraId="0B67A753">
      <w:pPr>
        <w:spacing w:line="263" w:lineRule="auto"/>
        <w:rPr>
          <w:rFonts w:ascii="Arial"/>
          <w:sz w:val="21"/>
        </w:rPr>
      </w:pPr>
    </w:p>
    <w:p w14:paraId="375E18BE">
      <w:pPr>
        <w:spacing w:line="264" w:lineRule="auto"/>
        <w:rPr>
          <w:rFonts w:ascii="Arial"/>
          <w:sz w:val="21"/>
        </w:rPr>
      </w:pPr>
    </w:p>
    <w:p w14:paraId="4EE099D4">
      <w:pPr>
        <w:spacing w:line="264" w:lineRule="auto"/>
        <w:rPr>
          <w:rFonts w:ascii="Arial"/>
          <w:sz w:val="21"/>
        </w:rPr>
      </w:pPr>
    </w:p>
    <w:p w14:paraId="0FF65CCE">
      <w:pPr>
        <w:spacing w:line="264" w:lineRule="auto"/>
        <w:rPr>
          <w:rFonts w:ascii="Arial"/>
          <w:sz w:val="21"/>
        </w:rPr>
      </w:pPr>
      <w:r>
        <w:drawing>
          <wp:anchor distT="0" distB="0" distL="0" distR="0" simplePos="0" relativeHeight="251992064" behindDoc="0" locked="0" layoutInCell="1" allowOverlap="1">
            <wp:simplePos x="0" y="0"/>
            <wp:positionH relativeFrom="column">
              <wp:posOffset>443865</wp:posOffset>
            </wp:positionH>
            <wp:positionV relativeFrom="paragraph">
              <wp:posOffset>205105</wp:posOffset>
            </wp:positionV>
            <wp:extent cx="584200" cy="609600"/>
            <wp:effectExtent l="0" t="0" r="0" b="0"/>
            <wp:wrapNone/>
            <wp:docPr id="820" name="IM 820"/>
            <wp:cNvGraphicFramePr/>
            <a:graphic xmlns:a="http://schemas.openxmlformats.org/drawingml/2006/main">
              <a:graphicData uri="http://schemas.openxmlformats.org/drawingml/2006/picture">
                <pic:pic xmlns:pic="http://schemas.openxmlformats.org/drawingml/2006/picture">
                  <pic:nvPicPr>
                    <pic:cNvPr id="820" name="IM 820"/>
                    <pic:cNvPicPr/>
                  </pic:nvPicPr>
                  <pic:blipFill>
                    <a:blip r:embed="rId700"/>
                    <a:stretch>
                      <a:fillRect/>
                    </a:stretch>
                  </pic:blipFill>
                  <pic:spPr>
                    <a:xfrm>
                      <a:off x="0" y="0"/>
                      <a:ext cx="584193" cy="609548"/>
                    </a:xfrm>
                    <a:prstGeom prst="rect">
                      <a:avLst/>
                    </a:prstGeom>
                  </pic:spPr>
                </pic:pic>
              </a:graphicData>
            </a:graphic>
          </wp:anchor>
        </w:drawing>
      </w:r>
    </w:p>
    <w:p w14:paraId="6FD05626">
      <w:pPr>
        <w:pStyle w:val="2"/>
        <w:spacing w:before="94" w:line="222" w:lineRule="auto"/>
        <w:ind w:left="4494"/>
        <w:outlineLvl w:val="0"/>
        <w:rPr>
          <w:sz w:val="29"/>
          <w:szCs w:val="29"/>
        </w:rPr>
      </w:pPr>
      <w:bookmarkStart w:id="585" w:name="bookmark367"/>
      <w:bookmarkEnd w:id="585"/>
      <w:r>
        <w:rPr>
          <w:b/>
          <w:bCs/>
          <w:spacing w:val="3"/>
          <w:sz w:val="29"/>
          <w:szCs w:val="29"/>
        </w:rPr>
        <w:t>第二十三章</w:t>
      </w:r>
    </w:p>
    <w:p w14:paraId="73220C1B">
      <w:pPr>
        <w:pStyle w:val="2"/>
        <w:spacing w:before="73" w:line="221" w:lineRule="auto"/>
        <w:ind w:left="4096"/>
        <w:outlineLvl w:val="0"/>
        <w:rPr>
          <w:sz w:val="45"/>
          <w:szCs w:val="45"/>
        </w:rPr>
      </w:pPr>
      <w:bookmarkStart w:id="586" w:name="bookmark367"/>
      <w:bookmarkEnd w:id="586"/>
      <w:r>
        <w:rPr>
          <w:b/>
          <w:bCs/>
          <w:spacing w:val="-4"/>
          <w:sz w:val="45"/>
          <w:szCs w:val="45"/>
        </w:rPr>
        <w:t>流行性感冒</w:t>
      </w:r>
    </w:p>
    <w:p w14:paraId="6F73E169">
      <w:pPr>
        <w:spacing w:before="123" w:line="440" w:lineRule="exact"/>
        <w:ind w:firstLine="239"/>
      </w:pPr>
      <w:r>
        <w:rPr>
          <w:position w:val="-8"/>
        </w:rPr>
        <w:drawing>
          <wp:inline distT="0" distB="0" distL="0" distR="0">
            <wp:extent cx="330200" cy="279400"/>
            <wp:effectExtent l="0" t="0" r="0" b="0"/>
            <wp:docPr id="822" name="IM 822"/>
            <wp:cNvGraphicFramePr/>
            <a:graphic xmlns:a="http://schemas.openxmlformats.org/drawingml/2006/main">
              <a:graphicData uri="http://schemas.openxmlformats.org/drawingml/2006/picture">
                <pic:pic xmlns:pic="http://schemas.openxmlformats.org/drawingml/2006/picture">
                  <pic:nvPicPr>
                    <pic:cNvPr id="822" name="IM 822"/>
                    <pic:cNvPicPr/>
                  </pic:nvPicPr>
                  <pic:blipFill>
                    <a:blip r:embed="rId701"/>
                    <a:stretch>
                      <a:fillRect/>
                    </a:stretch>
                  </pic:blipFill>
                  <pic:spPr>
                    <a:xfrm>
                      <a:off x="0" y="0"/>
                      <a:ext cx="330219" cy="279406"/>
                    </a:xfrm>
                    <a:prstGeom prst="rect">
                      <a:avLst/>
                    </a:prstGeom>
                  </pic:spPr>
                </pic:pic>
              </a:graphicData>
            </a:graphic>
          </wp:inline>
        </w:drawing>
      </w:r>
    </w:p>
    <w:p w14:paraId="343F3018">
      <w:pPr>
        <w:spacing w:before="319" w:line="198" w:lineRule="auto"/>
        <w:ind w:left="3739"/>
        <w:rPr>
          <w:rFonts w:ascii="Arial" w:hAnsi="Arial" w:eastAsia="Arial" w:cs="Arial"/>
          <w:sz w:val="29"/>
          <w:szCs w:val="29"/>
        </w:rPr>
      </w:pPr>
      <w:r>
        <w:rPr>
          <w:rFonts w:ascii="Arial" w:hAnsi="Arial" w:eastAsia="Arial" w:cs="Arial"/>
          <w:b/>
          <w:bCs/>
          <w:spacing w:val="-6"/>
          <w:sz w:val="29"/>
          <w:szCs w:val="29"/>
        </w:rPr>
        <w:t>Chapter 23</w:t>
      </w:r>
      <w:r>
        <w:rPr>
          <w:rFonts w:ascii="Arial" w:hAnsi="Arial" w:eastAsia="Arial" w:cs="Arial"/>
          <w:b/>
          <w:bCs/>
          <w:spacing w:val="21"/>
          <w:sz w:val="29"/>
          <w:szCs w:val="29"/>
        </w:rPr>
        <w:t xml:space="preserve">   </w:t>
      </w:r>
      <w:r>
        <w:rPr>
          <w:rFonts w:ascii="Arial" w:hAnsi="Arial" w:eastAsia="Arial" w:cs="Arial"/>
          <w:b/>
          <w:bCs/>
          <w:spacing w:val="-6"/>
          <w:sz w:val="29"/>
          <w:szCs w:val="29"/>
        </w:rPr>
        <w:t>Influenza</w:t>
      </w:r>
    </w:p>
    <w:p w14:paraId="70FB76A0">
      <w:pPr>
        <w:spacing w:line="407" w:lineRule="auto"/>
        <w:rPr>
          <w:rFonts w:ascii="Arial"/>
          <w:sz w:val="21"/>
        </w:rPr>
      </w:pPr>
    </w:p>
    <w:p w14:paraId="2073A0B9">
      <w:pPr>
        <w:spacing w:before="57" w:line="373" w:lineRule="auto"/>
        <w:ind w:left="689" w:right="22" w:firstLine="419"/>
        <w:jc w:val="both"/>
        <w:rPr>
          <w:rFonts w:ascii="Times New Roman" w:hAnsi="Times New Roman" w:eastAsia="Times New Roman" w:cs="Times New Roman"/>
          <w:sz w:val="20"/>
          <w:szCs w:val="20"/>
        </w:rPr>
      </w:pPr>
      <w:r>
        <w:rPr>
          <w:rFonts w:ascii="Times New Roman" w:hAnsi="Times New Roman" w:eastAsia="Times New Roman" w:cs="Times New Roman"/>
          <w:sz w:val="20"/>
          <w:szCs w:val="20"/>
        </w:rPr>
        <w:t>Influenza   is   an   acute   respiratory   communicable   disease</w:t>
      </w:r>
      <w:r>
        <w:rPr>
          <w:rFonts w:ascii="Times New Roman" w:hAnsi="Times New Roman" w:eastAsia="Times New Roman" w:cs="Times New Roman"/>
          <w:spacing w:val="2"/>
          <w:sz w:val="20"/>
          <w:szCs w:val="20"/>
        </w:rPr>
        <w:t xml:space="preserve">   </w:t>
      </w:r>
      <w:r>
        <w:rPr>
          <w:rFonts w:ascii="Times New Roman" w:hAnsi="Times New Roman" w:eastAsia="Times New Roman" w:cs="Times New Roman"/>
          <w:sz w:val="20"/>
          <w:szCs w:val="20"/>
        </w:rPr>
        <w:t>caused   by</w:t>
      </w:r>
      <w:r>
        <w:rPr>
          <w:rFonts w:ascii="Times New Roman" w:hAnsi="Times New Roman" w:eastAsia="Times New Roman" w:cs="Times New Roman"/>
          <w:spacing w:val="2"/>
          <w:sz w:val="20"/>
          <w:szCs w:val="20"/>
        </w:rPr>
        <w:t xml:space="preserve">   </w:t>
      </w:r>
      <w:r>
        <w:rPr>
          <w:rFonts w:ascii="Times New Roman" w:hAnsi="Times New Roman" w:eastAsia="Times New Roman" w:cs="Times New Roman"/>
          <w:sz w:val="20"/>
          <w:szCs w:val="20"/>
        </w:rPr>
        <w:t>infl</w:t>
      </w:r>
      <w:r>
        <w:rPr>
          <w:rFonts w:ascii="Times New Roman" w:hAnsi="Times New Roman" w:eastAsia="Times New Roman" w:cs="Times New Roman"/>
          <w:spacing w:val="-1"/>
          <w:sz w:val="20"/>
          <w:szCs w:val="20"/>
        </w:rPr>
        <w:t>uenza   viruses.Typically,</w:t>
      </w:r>
      <w:r>
        <w:rPr>
          <w:rFonts w:ascii="Times New Roman" w:hAnsi="Times New Roman" w:eastAsia="Times New Roman" w:cs="Times New Roman"/>
          <w:spacing w:val="1"/>
          <w:sz w:val="20"/>
          <w:szCs w:val="20"/>
        </w:rPr>
        <w:t xml:space="preserve"> </w:t>
      </w:r>
      <w:r>
        <w:rPr>
          <w:rFonts w:ascii="Times New Roman" w:hAnsi="Times New Roman" w:eastAsia="Times New Roman" w:cs="Times New Roman"/>
          <w:sz w:val="20"/>
          <w:szCs w:val="20"/>
        </w:rPr>
        <w:t>influenza  is  transmitted  through  the</w:t>
      </w:r>
      <w:r>
        <w:rPr>
          <w:rFonts w:ascii="Times New Roman" w:hAnsi="Times New Roman" w:eastAsia="Times New Roman" w:cs="Times New Roman"/>
          <w:spacing w:val="6"/>
          <w:sz w:val="20"/>
          <w:szCs w:val="20"/>
        </w:rPr>
        <w:t xml:space="preserve">  </w:t>
      </w:r>
      <w:r>
        <w:rPr>
          <w:rFonts w:ascii="Times New Roman" w:hAnsi="Times New Roman" w:eastAsia="Times New Roman" w:cs="Times New Roman"/>
          <w:sz w:val="20"/>
          <w:szCs w:val="20"/>
        </w:rPr>
        <w:t>air  by</w:t>
      </w:r>
      <w:r>
        <w:rPr>
          <w:rFonts w:ascii="Times New Roman" w:hAnsi="Times New Roman" w:eastAsia="Times New Roman" w:cs="Times New Roman"/>
          <w:spacing w:val="7"/>
          <w:sz w:val="20"/>
          <w:szCs w:val="20"/>
        </w:rPr>
        <w:t xml:space="preserve">  </w:t>
      </w:r>
      <w:r>
        <w:rPr>
          <w:rFonts w:ascii="Times New Roman" w:hAnsi="Times New Roman" w:eastAsia="Times New Roman" w:cs="Times New Roman"/>
          <w:sz w:val="20"/>
          <w:szCs w:val="20"/>
        </w:rPr>
        <w:t>coughs</w:t>
      </w:r>
      <w:r>
        <w:rPr>
          <w:rFonts w:ascii="Times New Roman" w:hAnsi="Times New Roman" w:eastAsia="Times New Roman" w:cs="Times New Roman"/>
          <w:spacing w:val="6"/>
          <w:sz w:val="20"/>
          <w:szCs w:val="20"/>
        </w:rPr>
        <w:t xml:space="preserve">  </w:t>
      </w:r>
      <w:r>
        <w:rPr>
          <w:rFonts w:ascii="Times New Roman" w:hAnsi="Times New Roman" w:eastAsia="Times New Roman" w:cs="Times New Roman"/>
          <w:sz w:val="20"/>
          <w:szCs w:val="20"/>
        </w:rPr>
        <w:t>or</w:t>
      </w:r>
      <w:r>
        <w:rPr>
          <w:rFonts w:ascii="Times New Roman" w:hAnsi="Times New Roman" w:eastAsia="Times New Roman" w:cs="Times New Roman"/>
          <w:spacing w:val="8"/>
          <w:sz w:val="20"/>
          <w:szCs w:val="20"/>
        </w:rPr>
        <w:t xml:space="preserve">  </w:t>
      </w:r>
      <w:r>
        <w:rPr>
          <w:rFonts w:ascii="Times New Roman" w:hAnsi="Times New Roman" w:eastAsia="Times New Roman" w:cs="Times New Roman"/>
          <w:sz w:val="20"/>
          <w:szCs w:val="20"/>
        </w:rPr>
        <w:t>sneezes,creating</w:t>
      </w:r>
      <w:r>
        <w:rPr>
          <w:rFonts w:ascii="Times New Roman" w:hAnsi="Times New Roman" w:eastAsia="Times New Roman" w:cs="Times New Roman"/>
          <w:spacing w:val="6"/>
          <w:sz w:val="20"/>
          <w:szCs w:val="20"/>
        </w:rPr>
        <w:t xml:space="preserve">  </w:t>
      </w:r>
      <w:r>
        <w:rPr>
          <w:rFonts w:ascii="Times New Roman" w:hAnsi="Times New Roman" w:eastAsia="Times New Roman" w:cs="Times New Roman"/>
          <w:spacing w:val="-1"/>
          <w:sz w:val="20"/>
          <w:szCs w:val="20"/>
        </w:rPr>
        <w:t>aerosols</w:t>
      </w:r>
      <w:r>
        <w:rPr>
          <w:rFonts w:ascii="Times New Roman" w:hAnsi="Times New Roman" w:eastAsia="Times New Roman" w:cs="Times New Roman"/>
          <w:spacing w:val="7"/>
          <w:sz w:val="20"/>
          <w:szCs w:val="20"/>
        </w:rPr>
        <w:t xml:space="preserve">  </w:t>
      </w:r>
      <w:r>
        <w:rPr>
          <w:rFonts w:ascii="Times New Roman" w:hAnsi="Times New Roman" w:eastAsia="Times New Roman" w:cs="Times New Roman"/>
          <w:spacing w:val="-1"/>
          <w:sz w:val="20"/>
          <w:szCs w:val="20"/>
        </w:rPr>
        <w:t>containing</w:t>
      </w:r>
      <w:r>
        <w:rPr>
          <w:rFonts w:ascii="Times New Roman" w:hAnsi="Times New Roman" w:eastAsia="Times New Roman" w:cs="Times New Roman"/>
          <w:spacing w:val="4"/>
          <w:sz w:val="20"/>
          <w:szCs w:val="20"/>
        </w:rPr>
        <w:t xml:space="preserve">  </w:t>
      </w:r>
      <w:r>
        <w:rPr>
          <w:rFonts w:ascii="Times New Roman" w:hAnsi="Times New Roman" w:eastAsia="Times New Roman" w:cs="Times New Roman"/>
          <w:spacing w:val="-1"/>
          <w:sz w:val="20"/>
          <w:szCs w:val="20"/>
        </w:rPr>
        <w:t>the</w:t>
      </w:r>
      <w:r>
        <w:rPr>
          <w:rFonts w:ascii="Times New Roman" w:hAnsi="Times New Roman" w:eastAsia="Times New Roman" w:cs="Times New Roman"/>
          <w:spacing w:val="4"/>
          <w:sz w:val="20"/>
          <w:szCs w:val="20"/>
        </w:rPr>
        <w:t xml:space="preserve">  </w:t>
      </w:r>
      <w:r>
        <w:rPr>
          <w:rFonts w:ascii="Times New Roman" w:hAnsi="Times New Roman" w:eastAsia="Times New Roman" w:cs="Times New Roman"/>
          <w:spacing w:val="-1"/>
          <w:sz w:val="20"/>
          <w:szCs w:val="20"/>
        </w:rPr>
        <w:t>virus.The</w:t>
      </w:r>
      <w:r>
        <w:rPr>
          <w:rFonts w:ascii="Times New Roman" w:hAnsi="Times New Roman" w:eastAsia="Times New Roman" w:cs="Times New Roman"/>
          <w:sz w:val="20"/>
          <w:szCs w:val="20"/>
        </w:rPr>
        <w:t xml:space="preserve"> </w:t>
      </w:r>
      <w:r>
        <w:rPr>
          <w:rFonts w:ascii="Times New Roman" w:hAnsi="Times New Roman" w:eastAsia="Times New Roman" w:cs="Times New Roman"/>
          <w:spacing w:val="-1"/>
          <w:sz w:val="20"/>
          <w:szCs w:val="20"/>
        </w:rPr>
        <w:t>average</w:t>
      </w:r>
      <w:r>
        <w:rPr>
          <w:rFonts w:ascii="Times New Roman" w:hAnsi="Times New Roman" w:eastAsia="Times New Roman" w:cs="Times New Roman"/>
          <w:spacing w:val="21"/>
          <w:sz w:val="20"/>
          <w:szCs w:val="20"/>
        </w:rPr>
        <w:t xml:space="preserve"> </w:t>
      </w:r>
      <w:r>
        <w:rPr>
          <w:rFonts w:ascii="Times New Roman" w:hAnsi="Times New Roman" w:eastAsia="Times New Roman" w:cs="Times New Roman"/>
          <w:spacing w:val="-1"/>
          <w:sz w:val="20"/>
          <w:szCs w:val="20"/>
        </w:rPr>
        <w:t>incubation</w:t>
      </w:r>
      <w:r>
        <w:rPr>
          <w:rFonts w:ascii="Times New Roman" w:hAnsi="Times New Roman" w:eastAsia="Times New Roman" w:cs="Times New Roman"/>
          <w:spacing w:val="14"/>
          <w:w w:val="101"/>
          <w:sz w:val="20"/>
          <w:szCs w:val="20"/>
        </w:rPr>
        <w:t xml:space="preserve"> </w:t>
      </w:r>
      <w:r>
        <w:rPr>
          <w:rFonts w:ascii="Times New Roman" w:hAnsi="Times New Roman" w:eastAsia="Times New Roman" w:cs="Times New Roman"/>
          <w:spacing w:val="-1"/>
          <w:sz w:val="20"/>
          <w:szCs w:val="20"/>
        </w:rPr>
        <w:t>period</w:t>
      </w:r>
      <w:r>
        <w:rPr>
          <w:rFonts w:ascii="Times New Roman" w:hAnsi="Times New Roman" w:eastAsia="Times New Roman" w:cs="Times New Roman"/>
          <w:spacing w:val="21"/>
          <w:sz w:val="20"/>
          <w:szCs w:val="20"/>
        </w:rPr>
        <w:t xml:space="preserve"> </w:t>
      </w:r>
      <w:r>
        <w:rPr>
          <w:rFonts w:ascii="Times New Roman" w:hAnsi="Times New Roman" w:eastAsia="Times New Roman" w:cs="Times New Roman"/>
          <w:spacing w:val="-1"/>
          <w:sz w:val="20"/>
          <w:szCs w:val="20"/>
        </w:rPr>
        <w:t>of influenza</w:t>
      </w:r>
      <w:r>
        <w:rPr>
          <w:rFonts w:ascii="Times New Roman" w:hAnsi="Times New Roman" w:eastAsia="Times New Roman" w:cs="Times New Roman"/>
          <w:spacing w:val="16"/>
          <w:sz w:val="20"/>
          <w:szCs w:val="20"/>
        </w:rPr>
        <w:t xml:space="preserve"> </w:t>
      </w:r>
      <w:r>
        <w:rPr>
          <w:rFonts w:ascii="Times New Roman" w:hAnsi="Times New Roman" w:eastAsia="Times New Roman" w:cs="Times New Roman"/>
          <w:spacing w:val="-1"/>
          <w:sz w:val="20"/>
          <w:szCs w:val="20"/>
        </w:rPr>
        <w:t>ranges</w:t>
      </w:r>
      <w:r>
        <w:rPr>
          <w:rFonts w:ascii="Times New Roman" w:hAnsi="Times New Roman" w:eastAsia="Times New Roman" w:cs="Times New Roman"/>
          <w:spacing w:val="23"/>
          <w:sz w:val="20"/>
          <w:szCs w:val="20"/>
        </w:rPr>
        <w:t xml:space="preserve"> </w:t>
      </w:r>
      <w:r>
        <w:rPr>
          <w:rFonts w:ascii="Times New Roman" w:hAnsi="Times New Roman" w:eastAsia="Times New Roman" w:cs="Times New Roman"/>
          <w:spacing w:val="-1"/>
          <w:sz w:val="20"/>
          <w:szCs w:val="20"/>
        </w:rPr>
        <w:t>from</w:t>
      </w:r>
      <w:r>
        <w:rPr>
          <w:rFonts w:ascii="Times New Roman" w:hAnsi="Times New Roman" w:eastAsia="Times New Roman" w:cs="Times New Roman"/>
          <w:spacing w:val="38"/>
          <w:sz w:val="20"/>
          <w:szCs w:val="20"/>
        </w:rPr>
        <w:t xml:space="preserve"> </w:t>
      </w:r>
      <w:r>
        <w:rPr>
          <w:rFonts w:ascii="Times New Roman" w:hAnsi="Times New Roman" w:eastAsia="Times New Roman" w:cs="Times New Roman"/>
          <w:spacing w:val="-1"/>
          <w:sz w:val="20"/>
          <w:szCs w:val="20"/>
        </w:rPr>
        <w:t>1</w:t>
      </w:r>
      <w:r>
        <w:rPr>
          <w:rFonts w:ascii="Times New Roman" w:hAnsi="Times New Roman" w:eastAsia="Times New Roman" w:cs="Times New Roman"/>
          <w:spacing w:val="17"/>
          <w:sz w:val="20"/>
          <w:szCs w:val="20"/>
        </w:rPr>
        <w:t xml:space="preserve"> </w:t>
      </w:r>
      <w:r>
        <w:rPr>
          <w:rFonts w:ascii="Times New Roman" w:hAnsi="Times New Roman" w:eastAsia="Times New Roman" w:cs="Times New Roman"/>
          <w:spacing w:val="-1"/>
          <w:sz w:val="20"/>
          <w:szCs w:val="20"/>
        </w:rPr>
        <w:t>to</w:t>
      </w:r>
      <w:r>
        <w:rPr>
          <w:rFonts w:ascii="Times New Roman" w:hAnsi="Times New Roman" w:eastAsia="Times New Roman" w:cs="Times New Roman"/>
          <w:spacing w:val="23"/>
          <w:sz w:val="20"/>
          <w:szCs w:val="20"/>
        </w:rPr>
        <w:t xml:space="preserve"> </w:t>
      </w:r>
      <w:r>
        <w:rPr>
          <w:rFonts w:ascii="Times New Roman" w:hAnsi="Times New Roman" w:eastAsia="Times New Roman" w:cs="Times New Roman"/>
          <w:spacing w:val="-1"/>
          <w:sz w:val="20"/>
          <w:szCs w:val="20"/>
        </w:rPr>
        <w:t>3</w:t>
      </w:r>
      <w:r>
        <w:rPr>
          <w:rFonts w:ascii="Times New Roman" w:hAnsi="Times New Roman" w:eastAsia="Times New Roman" w:cs="Times New Roman"/>
          <w:spacing w:val="21"/>
          <w:w w:val="101"/>
          <w:sz w:val="20"/>
          <w:szCs w:val="20"/>
        </w:rPr>
        <w:t xml:space="preserve"> </w:t>
      </w:r>
      <w:r>
        <w:rPr>
          <w:rFonts w:ascii="Times New Roman" w:hAnsi="Times New Roman" w:eastAsia="Times New Roman" w:cs="Times New Roman"/>
          <w:spacing w:val="-1"/>
          <w:sz w:val="20"/>
          <w:szCs w:val="20"/>
        </w:rPr>
        <w:t>days.The</w:t>
      </w:r>
      <w:r>
        <w:rPr>
          <w:rFonts w:ascii="Times New Roman" w:hAnsi="Times New Roman" w:eastAsia="Times New Roman" w:cs="Times New Roman"/>
          <w:spacing w:val="21"/>
          <w:w w:val="101"/>
          <w:sz w:val="20"/>
          <w:szCs w:val="20"/>
        </w:rPr>
        <w:t xml:space="preserve"> </w:t>
      </w:r>
      <w:r>
        <w:rPr>
          <w:rFonts w:ascii="Times New Roman" w:hAnsi="Times New Roman" w:eastAsia="Times New Roman" w:cs="Times New Roman"/>
          <w:spacing w:val="-1"/>
          <w:sz w:val="20"/>
          <w:szCs w:val="20"/>
        </w:rPr>
        <w:t>communicable</w:t>
      </w:r>
      <w:r>
        <w:rPr>
          <w:rFonts w:ascii="Times New Roman" w:hAnsi="Times New Roman" w:eastAsia="Times New Roman" w:cs="Times New Roman"/>
          <w:spacing w:val="14"/>
          <w:w w:val="101"/>
          <w:sz w:val="20"/>
          <w:szCs w:val="20"/>
        </w:rPr>
        <w:t xml:space="preserve"> </w:t>
      </w:r>
      <w:r>
        <w:rPr>
          <w:rFonts w:ascii="Times New Roman" w:hAnsi="Times New Roman" w:eastAsia="Times New Roman" w:cs="Times New Roman"/>
          <w:spacing w:val="-1"/>
          <w:sz w:val="20"/>
          <w:szCs w:val="20"/>
        </w:rPr>
        <w:t>pe</w:t>
      </w:r>
      <w:r>
        <w:rPr>
          <w:rFonts w:ascii="Times New Roman" w:hAnsi="Times New Roman" w:eastAsia="Times New Roman" w:cs="Times New Roman"/>
          <w:spacing w:val="-2"/>
          <w:sz w:val="20"/>
          <w:szCs w:val="20"/>
        </w:rPr>
        <w:t>riod</w:t>
      </w:r>
      <w:r>
        <w:rPr>
          <w:rFonts w:ascii="Times New Roman" w:hAnsi="Times New Roman" w:eastAsia="Times New Roman" w:cs="Times New Roman"/>
          <w:spacing w:val="20"/>
          <w:w w:val="101"/>
          <w:sz w:val="20"/>
          <w:szCs w:val="20"/>
        </w:rPr>
        <w:t xml:space="preserve"> </w:t>
      </w:r>
      <w:r>
        <w:rPr>
          <w:rFonts w:ascii="Times New Roman" w:hAnsi="Times New Roman" w:eastAsia="Times New Roman" w:cs="Times New Roman"/>
          <w:spacing w:val="-2"/>
          <w:sz w:val="20"/>
          <w:szCs w:val="20"/>
        </w:rPr>
        <w:t>is</w:t>
      </w:r>
      <w:r>
        <w:rPr>
          <w:rFonts w:ascii="Times New Roman" w:hAnsi="Times New Roman" w:eastAsia="Times New Roman" w:cs="Times New Roman"/>
          <w:spacing w:val="22"/>
          <w:w w:val="101"/>
          <w:sz w:val="20"/>
          <w:szCs w:val="20"/>
        </w:rPr>
        <w:t xml:space="preserve"> </w:t>
      </w:r>
      <w:r>
        <w:rPr>
          <w:rFonts w:ascii="Times New Roman" w:hAnsi="Times New Roman" w:eastAsia="Times New Roman" w:cs="Times New Roman"/>
          <w:spacing w:val="-2"/>
          <w:sz w:val="20"/>
          <w:szCs w:val="20"/>
        </w:rPr>
        <w:t>from</w:t>
      </w:r>
      <w:r>
        <w:rPr>
          <w:rFonts w:ascii="Times New Roman" w:hAnsi="Times New Roman" w:eastAsia="Times New Roman" w:cs="Times New Roman"/>
          <w:spacing w:val="38"/>
          <w:w w:val="101"/>
          <w:sz w:val="20"/>
          <w:szCs w:val="20"/>
        </w:rPr>
        <w:t xml:space="preserve"> </w:t>
      </w:r>
      <w:r>
        <w:rPr>
          <w:rFonts w:ascii="Times New Roman" w:hAnsi="Times New Roman" w:eastAsia="Times New Roman" w:cs="Times New Roman"/>
          <w:spacing w:val="-2"/>
          <w:sz w:val="20"/>
          <w:szCs w:val="20"/>
        </w:rPr>
        <w:t>1</w:t>
      </w:r>
      <w:r>
        <w:rPr>
          <w:rFonts w:ascii="Times New Roman" w:hAnsi="Times New Roman" w:eastAsia="Times New Roman" w:cs="Times New Roman"/>
          <w:spacing w:val="21"/>
          <w:w w:val="101"/>
          <w:sz w:val="20"/>
          <w:szCs w:val="20"/>
        </w:rPr>
        <w:t xml:space="preserve"> </w:t>
      </w:r>
      <w:r>
        <w:rPr>
          <w:rFonts w:ascii="Times New Roman" w:hAnsi="Times New Roman" w:eastAsia="Times New Roman" w:cs="Times New Roman"/>
          <w:spacing w:val="-2"/>
          <w:sz w:val="20"/>
          <w:szCs w:val="20"/>
        </w:rPr>
        <w:t>day</w:t>
      </w:r>
      <w:r>
        <w:rPr>
          <w:rFonts w:ascii="Times New Roman" w:hAnsi="Times New Roman" w:eastAsia="Times New Roman" w:cs="Times New Roman"/>
          <w:spacing w:val="14"/>
          <w:w w:val="101"/>
          <w:sz w:val="20"/>
          <w:szCs w:val="20"/>
        </w:rPr>
        <w:t xml:space="preserve"> </w:t>
      </w:r>
      <w:r>
        <w:rPr>
          <w:rFonts w:ascii="Times New Roman" w:hAnsi="Times New Roman" w:eastAsia="Times New Roman" w:cs="Times New Roman"/>
          <w:spacing w:val="-2"/>
          <w:sz w:val="20"/>
          <w:szCs w:val="20"/>
        </w:rPr>
        <w:t>prior</w:t>
      </w:r>
      <w:r>
        <w:rPr>
          <w:rFonts w:ascii="Times New Roman" w:hAnsi="Times New Roman" w:eastAsia="Times New Roman" w:cs="Times New Roman"/>
          <w:sz w:val="20"/>
          <w:szCs w:val="20"/>
        </w:rPr>
        <w:t xml:space="preserve"> to</w:t>
      </w:r>
      <w:r>
        <w:rPr>
          <w:rFonts w:ascii="Times New Roman" w:hAnsi="Times New Roman" w:eastAsia="Times New Roman" w:cs="Times New Roman"/>
          <w:spacing w:val="19"/>
          <w:w w:val="101"/>
          <w:sz w:val="20"/>
          <w:szCs w:val="20"/>
        </w:rPr>
        <w:t xml:space="preserve"> </w:t>
      </w:r>
      <w:r>
        <w:rPr>
          <w:rFonts w:ascii="Times New Roman" w:hAnsi="Times New Roman" w:eastAsia="Times New Roman" w:cs="Times New Roman"/>
          <w:sz w:val="20"/>
          <w:szCs w:val="20"/>
        </w:rPr>
        <w:t>the</w:t>
      </w:r>
      <w:r>
        <w:rPr>
          <w:rFonts w:ascii="Times New Roman" w:hAnsi="Times New Roman" w:eastAsia="Times New Roman" w:cs="Times New Roman"/>
          <w:spacing w:val="24"/>
          <w:w w:val="101"/>
          <w:sz w:val="20"/>
          <w:szCs w:val="20"/>
        </w:rPr>
        <w:t xml:space="preserve"> </w:t>
      </w:r>
      <w:r>
        <w:rPr>
          <w:rFonts w:ascii="Times New Roman" w:hAnsi="Times New Roman" w:eastAsia="Times New Roman" w:cs="Times New Roman"/>
          <w:sz w:val="20"/>
          <w:szCs w:val="20"/>
        </w:rPr>
        <w:t>onset</w:t>
      </w:r>
      <w:r>
        <w:rPr>
          <w:rFonts w:ascii="Times New Roman" w:hAnsi="Times New Roman" w:eastAsia="Times New Roman" w:cs="Times New Roman"/>
          <w:spacing w:val="24"/>
          <w:sz w:val="20"/>
          <w:szCs w:val="20"/>
        </w:rPr>
        <w:t xml:space="preserve"> </w:t>
      </w:r>
      <w:r>
        <w:rPr>
          <w:rFonts w:ascii="Times New Roman" w:hAnsi="Times New Roman" w:eastAsia="Times New Roman" w:cs="Times New Roman"/>
          <w:sz w:val="20"/>
          <w:szCs w:val="20"/>
        </w:rPr>
        <w:t>of symptoms</w:t>
      </w:r>
      <w:r>
        <w:rPr>
          <w:rFonts w:ascii="Times New Roman" w:hAnsi="Times New Roman" w:eastAsia="Times New Roman" w:cs="Times New Roman"/>
          <w:spacing w:val="19"/>
          <w:w w:val="101"/>
          <w:sz w:val="20"/>
          <w:szCs w:val="20"/>
        </w:rPr>
        <w:t xml:space="preserve"> </w:t>
      </w:r>
      <w:r>
        <w:rPr>
          <w:rFonts w:ascii="Times New Roman" w:hAnsi="Times New Roman" w:eastAsia="Times New Roman" w:cs="Times New Roman"/>
          <w:sz w:val="20"/>
          <w:szCs w:val="20"/>
        </w:rPr>
        <w:t>to</w:t>
      </w:r>
      <w:r>
        <w:rPr>
          <w:rFonts w:ascii="Times New Roman" w:hAnsi="Times New Roman" w:eastAsia="Times New Roman" w:cs="Times New Roman"/>
          <w:spacing w:val="27"/>
          <w:sz w:val="20"/>
          <w:szCs w:val="20"/>
        </w:rPr>
        <w:t xml:space="preserve"> </w:t>
      </w:r>
      <w:r>
        <w:rPr>
          <w:rFonts w:ascii="Times New Roman" w:hAnsi="Times New Roman" w:eastAsia="Times New Roman" w:cs="Times New Roman"/>
          <w:sz w:val="20"/>
          <w:szCs w:val="20"/>
        </w:rPr>
        <w:t>5-7</w:t>
      </w:r>
      <w:r>
        <w:rPr>
          <w:rFonts w:ascii="Times New Roman" w:hAnsi="Times New Roman" w:eastAsia="Times New Roman" w:cs="Times New Roman"/>
          <w:spacing w:val="24"/>
          <w:sz w:val="20"/>
          <w:szCs w:val="20"/>
        </w:rPr>
        <w:t xml:space="preserve"> </w:t>
      </w:r>
      <w:r>
        <w:rPr>
          <w:rFonts w:ascii="Times New Roman" w:hAnsi="Times New Roman" w:eastAsia="Times New Roman" w:cs="Times New Roman"/>
          <w:sz w:val="20"/>
          <w:szCs w:val="20"/>
        </w:rPr>
        <w:t>days</w:t>
      </w:r>
      <w:r>
        <w:rPr>
          <w:rFonts w:ascii="Times New Roman" w:hAnsi="Times New Roman" w:eastAsia="Times New Roman" w:cs="Times New Roman"/>
          <w:spacing w:val="25"/>
          <w:sz w:val="20"/>
          <w:szCs w:val="20"/>
        </w:rPr>
        <w:t xml:space="preserve"> </w:t>
      </w:r>
      <w:r>
        <w:rPr>
          <w:rFonts w:ascii="Times New Roman" w:hAnsi="Times New Roman" w:eastAsia="Times New Roman" w:cs="Times New Roman"/>
          <w:sz w:val="20"/>
          <w:szCs w:val="20"/>
        </w:rPr>
        <w:t>af</w:t>
      </w:r>
      <w:r>
        <w:rPr>
          <w:rFonts w:ascii="Times New Roman" w:hAnsi="Times New Roman" w:eastAsia="Times New Roman" w:cs="Times New Roman"/>
          <w:spacing w:val="-1"/>
          <w:sz w:val="20"/>
          <w:szCs w:val="20"/>
        </w:rPr>
        <w:t>ter</w:t>
      </w:r>
      <w:r>
        <w:rPr>
          <w:rFonts w:ascii="Times New Roman" w:hAnsi="Times New Roman" w:eastAsia="Times New Roman" w:cs="Times New Roman"/>
          <w:spacing w:val="18"/>
          <w:w w:val="101"/>
          <w:sz w:val="20"/>
          <w:szCs w:val="20"/>
        </w:rPr>
        <w:t xml:space="preserve"> </w:t>
      </w:r>
      <w:r>
        <w:rPr>
          <w:rFonts w:ascii="Times New Roman" w:hAnsi="Times New Roman" w:eastAsia="Times New Roman" w:cs="Times New Roman"/>
          <w:spacing w:val="-1"/>
          <w:sz w:val="20"/>
          <w:szCs w:val="20"/>
        </w:rPr>
        <w:t>the</w:t>
      </w:r>
      <w:r>
        <w:rPr>
          <w:rFonts w:ascii="Times New Roman" w:hAnsi="Times New Roman" w:eastAsia="Times New Roman" w:cs="Times New Roman"/>
          <w:spacing w:val="23"/>
          <w:sz w:val="20"/>
          <w:szCs w:val="20"/>
        </w:rPr>
        <w:t xml:space="preserve"> </w:t>
      </w:r>
      <w:r>
        <w:rPr>
          <w:rFonts w:ascii="Times New Roman" w:hAnsi="Times New Roman" w:eastAsia="Times New Roman" w:cs="Times New Roman"/>
          <w:spacing w:val="-1"/>
          <w:sz w:val="20"/>
          <w:szCs w:val="20"/>
        </w:rPr>
        <w:t>illness</w:t>
      </w:r>
      <w:r>
        <w:rPr>
          <w:rFonts w:ascii="Times New Roman" w:hAnsi="Times New Roman" w:eastAsia="Times New Roman" w:cs="Times New Roman"/>
          <w:spacing w:val="24"/>
          <w:w w:val="101"/>
          <w:sz w:val="20"/>
          <w:szCs w:val="20"/>
        </w:rPr>
        <w:t xml:space="preserve"> </w:t>
      </w:r>
      <w:r>
        <w:rPr>
          <w:rFonts w:ascii="Times New Roman" w:hAnsi="Times New Roman" w:eastAsia="Times New Roman" w:cs="Times New Roman"/>
          <w:spacing w:val="-1"/>
          <w:sz w:val="20"/>
          <w:szCs w:val="20"/>
        </w:rPr>
        <w:t>onset.Influenza</w:t>
      </w:r>
      <w:r>
        <w:rPr>
          <w:rFonts w:ascii="Times New Roman" w:hAnsi="Times New Roman" w:eastAsia="Times New Roman" w:cs="Times New Roman"/>
          <w:spacing w:val="24"/>
          <w:w w:val="101"/>
          <w:sz w:val="20"/>
          <w:szCs w:val="20"/>
        </w:rPr>
        <w:t xml:space="preserve"> </w:t>
      </w:r>
      <w:r>
        <w:rPr>
          <w:rFonts w:ascii="Times New Roman" w:hAnsi="Times New Roman" w:eastAsia="Times New Roman" w:cs="Times New Roman"/>
          <w:spacing w:val="-1"/>
          <w:sz w:val="20"/>
          <w:szCs w:val="20"/>
        </w:rPr>
        <w:t>appears</w:t>
      </w:r>
      <w:r>
        <w:rPr>
          <w:rFonts w:ascii="Times New Roman" w:hAnsi="Times New Roman" w:eastAsia="Times New Roman" w:cs="Times New Roman"/>
          <w:spacing w:val="25"/>
          <w:sz w:val="20"/>
          <w:szCs w:val="20"/>
        </w:rPr>
        <w:t xml:space="preserve"> </w:t>
      </w:r>
      <w:r>
        <w:rPr>
          <w:rFonts w:ascii="Times New Roman" w:hAnsi="Times New Roman" w:eastAsia="Times New Roman" w:cs="Times New Roman"/>
          <w:spacing w:val="-1"/>
          <w:sz w:val="20"/>
          <w:szCs w:val="20"/>
        </w:rPr>
        <w:t>at</w:t>
      </w:r>
      <w:r>
        <w:rPr>
          <w:rFonts w:ascii="Times New Roman" w:hAnsi="Times New Roman" w:eastAsia="Times New Roman" w:cs="Times New Roman"/>
          <w:spacing w:val="24"/>
          <w:sz w:val="20"/>
          <w:szCs w:val="20"/>
        </w:rPr>
        <w:t xml:space="preserve"> </w:t>
      </w:r>
      <w:r>
        <w:rPr>
          <w:rFonts w:ascii="Times New Roman" w:hAnsi="Times New Roman" w:eastAsia="Times New Roman" w:cs="Times New Roman"/>
          <w:spacing w:val="-1"/>
          <w:sz w:val="20"/>
          <w:szCs w:val="20"/>
        </w:rPr>
        <w:t>any</w:t>
      </w:r>
      <w:r>
        <w:rPr>
          <w:rFonts w:ascii="Times New Roman" w:hAnsi="Times New Roman" w:eastAsia="Times New Roman" w:cs="Times New Roman"/>
          <w:spacing w:val="20"/>
          <w:sz w:val="20"/>
          <w:szCs w:val="20"/>
        </w:rPr>
        <w:t xml:space="preserve"> </w:t>
      </w:r>
      <w:r>
        <w:rPr>
          <w:rFonts w:ascii="Times New Roman" w:hAnsi="Times New Roman" w:eastAsia="Times New Roman" w:cs="Times New Roman"/>
          <w:spacing w:val="-1"/>
          <w:sz w:val="20"/>
          <w:szCs w:val="20"/>
        </w:rPr>
        <w:t>time</w:t>
      </w:r>
      <w:r>
        <w:rPr>
          <w:rFonts w:ascii="Times New Roman" w:hAnsi="Times New Roman" w:eastAsia="Times New Roman" w:cs="Times New Roman"/>
          <w:spacing w:val="24"/>
          <w:sz w:val="20"/>
          <w:szCs w:val="20"/>
        </w:rPr>
        <w:t xml:space="preserve"> </w:t>
      </w:r>
      <w:r>
        <w:rPr>
          <w:rFonts w:ascii="Times New Roman" w:hAnsi="Times New Roman" w:eastAsia="Times New Roman" w:cs="Times New Roman"/>
          <w:spacing w:val="-1"/>
          <w:sz w:val="20"/>
          <w:szCs w:val="20"/>
        </w:rPr>
        <w:t>of the</w:t>
      </w:r>
      <w:r>
        <w:rPr>
          <w:rFonts w:ascii="Times New Roman" w:hAnsi="Times New Roman" w:eastAsia="Times New Roman" w:cs="Times New Roman"/>
          <w:spacing w:val="19"/>
          <w:sz w:val="20"/>
          <w:szCs w:val="20"/>
        </w:rPr>
        <w:t xml:space="preserve"> </w:t>
      </w:r>
      <w:r>
        <w:rPr>
          <w:rFonts w:ascii="Times New Roman" w:hAnsi="Times New Roman" w:eastAsia="Times New Roman" w:cs="Times New Roman"/>
          <w:spacing w:val="-1"/>
          <w:sz w:val="20"/>
          <w:szCs w:val="20"/>
        </w:rPr>
        <w:t>year</w:t>
      </w:r>
      <w:r>
        <w:rPr>
          <w:rFonts w:ascii="Times New Roman" w:hAnsi="Times New Roman" w:eastAsia="Times New Roman" w:cs="Times New Roman"/>
          <w:spacing w:val="16"/>
          <w:sz w:val="20"/>
          <w:szCs w:val="20"/>
        </w:rPr>
        <w:t xml:space="preserve"> </w:t>
      </w:r>
      <w:r>
        <w:rPr>
          <w:rFonts w:ascii="Times New Roman" w:hAnsi="Times New Roman" w:eastAsia="Times New Roman" w:cs="Times New Roman"/>
          <w:spacing w:val="-1"/>
          <w:sz w:val="20"/>
          <w:szCs w:val="20"/>
        </w:rPr>
        <w:t>but</w:t>
      </w:r>
      <w:r>
        <w:rPr>
          <w:rFonts w:ascii="Times New Roman" w:hAnsi="Times New Roman" w:eastAsia="Times New Roman" w:cs="Times New Roman"/>
          <w:spacing w:val="18"/>
          <w:w w:val="101"/>
          <w:sz w:val="20"/>
          <w:szCs w:val="20"/>
        </w:rPr>
        <w:t xml:space="preserve"> </w:t>
      </w:r>
      <w:r>
        <w:rPr>
          <w:rFonts w:ascii="Times New Roman" w:hAnsi="Times New Roman" w:eastAsia="Times New Roman" w:cs="Times New Roman"/>
          <w:spacing w:val="-1"/>
          <w:sz w:val="20"/>
          <w:szCs w:val="20"/>
        </w:rPr>
        <w:t>has</w:t>
      </w:r>
      <w:r>
        <w:rPr>
          <w:rFonts w:ascii="Times New Roman" w:hAnsi="Times New Roman" w:eastAsia="Times New Roman" w:cs="Times New Roman"/>
          <w:sz w:val="20"/>
          <w:szCs w:val="20"/>
        </w:rPr>
        <w:t xml:space="preserve"> seasonal  variation  when  outbreaks  and</w:t>
      </w:r>
      <w:r>
        <w:rPr>
          <w:rFonts w:ascii="Times New Roman" w:hAnsi="Times New Roman" w:eastAsia="Times New Roman" w:cs="Times New Roman"/>
          <w:spacing w:val="6"/>
          <w:sz w:val="20"/>
          <w:szCs w:val="20"/>
        </w:rPr>
        <w:t xml:space="preserve">  </w:t>
      </w:r>
      <w:r>
        <w:rPr>
          <w:rFonts w:ascii="Times New Roman" w:hAnsi="Times New Roman" w:eastAsia="Times New Roman" w:cs="Times New Roman"/>
          <w:sz w:val="20"/>
          <w:szCs w:val="20"/>
        </w:rPr>
        <w:t>epidemics</w:t>
      </w:r>
      <w:r>
        <w:rPr>
          <w:rFonts w:ascii="Times New Roman" w:hAnsi="Times New Roman" w:eastAsia="Times New Roman" w:cs="Times New Roman"/>
          <w:spacing w:val="6"/>
          <w:sz w:val="20"/>
          <w:szCs w:val="20"/>
        </w:rPr>
        <w:t xml:space="preserve">  </w:t>
      </w:r>
      <w:r>
        <w:rPr>
          <w:rFonts w:ascii="Times New Roman" w:hAnsi="Times New Roman" w:eastAsia="Times New Roman" w:cs="Times New Roman"/>
          <w:sz w:val="20"/>
          <w:szCs w:val="20"/>
        </w:rPr>
        <w:t>occur.Three</w:t>
      </w:r>
      <w:r>
        <w:rPr>
          <w:rFonts w:ascii="Times New Roman" w:hAnsi="Times New Roman" w:eastAsia="Times New Roman" w:cs="Times New Roman"/>
          <w:spacing w:val="6"/>
          <w:sz w:val="20"/>
          <w:szCs w:val="20"/>
        </w:rPr>
        <w:t xml:space="preserve">  </w:t>
      </w:r>
      <w:r>
        <w:rPr>
          <w:rFonts w:ascii="Times New Roman" w:hAnsi="Times New Roman" w:eastAsia="Times New Roman" w:cs="Times New Roman"/>
          <w:sz w:val="20"/>
          <w:szCs w:val="20"/>
        </w:rPr>
        <w:t>influen</w:t>
      </w:r>
      <w:r>
        <w:rPr>
          <w:rFonts w:ascii="Times New Roman" w:hAnsi="Times New Roman" w:eastAsia="Times New Roman" w:cs="Times New Roman"/>
          <w:spacing w:val="-1"/>
          <w:sz w:val="20"/>
          <w:szCs w:val="20"/>
        </w:rPr>
        <w:t>za  pandemics</w:t>
      </w:r>
      <w:r>
        <w:rPr>
          <w:rFonts w:ascii="Times New Roman" w:hAnsi="Times New Roman" w:eastAsia="Times New Roman" w:cs="Times New Roman"/>
          <w:spacing w:val="6"/>
          <w:sz w:val="20"/>
          <w:szCs w:val="20"/>
        </w:rPr>
        <w:t xml:space="preserve">  </w:t>
      </w:r>
      <w:r>
        <w:rPr>
          <w:rFonts w:ascii="Times New Roman" w:hAnsi="Times New Roman" w:eastAsia="Times New Roman" w:cs="Times New Roman"/>
          <w:spacing w:val="-1"/>
          <w:sz w:val="20"/>
          <w:szCs w:val="20"/>
        </w:rPr>
        <w:t>occurred</w:t>
      </w:r>
      <w:r>
        <w:rPr>
          <w:rFonts w:ascii="Times New Roman" w:hAnsi="Times New Roman" w:eastAsia="Times New Roman" w:cs="Times New Roman"/>
          <w:spacing w:val="5"/>
          <w:sz w:val="20"/>
          <w:szCs w:val="20"/>
        </w:rPr>
        <w:t xml:space="preserve">  </w:t>
      </w:r>
      <w:r>
        <w:rPr>
          <w:rFonts w:ascii="Times New Roman" w:hAnsi="Times New Roman" w:eastAsia="Times New Roman" w:cs="Times New Roman"/>
          <w:spacing w:val="-1"/>
          <w:sz w:val="20"/>
          <w:szCs w:val="20"/>
        </w:rPr>
        <w:t>in</w:t>
      </w:r>
      <w:r>
        <w:rPr>
          <w:rFonts w:ascii="Times New Roman" w:hAnsi="Times New Roman" w:eastAsia="Times New Roman" w:cs="Times New Roman"/>
          <w:spacing w:val="4"/>
          <w:sz w:val="20"/>
          <w:szCs w:val="20"/>
        </w:rPr>
        <w:t xml:space="preserve">  </w:t>
      </w:r>
      <w:r>
        <w:rPr>
          <w:rFonts w:ascii="Times New Roman" w:hAnsi="Times New Roman" w:eastAsia="Times New Roman" w:cs="Times New Roman"/>
          <w:spacing w:val="-1"/>
          <w:sz w:val="20"/>
          <w:szCs w:val="20"/>
        </w:rPr>
        <w:t>the</w:t>
      </w:r>
      <w:r>
        <w:rPr>
          <w:rFonts w:ascii="Times New Roman" w:hAnsi="Times New Roman" w:eastAsia="Times New Roman" w:cs="Times New Roman"/>
          <w:spacing w:val="5"/>
          <w:sz w:val="20"/>
          <w:szCs w:val="20"/>
        </w:rPr>
        <w:t xml:space="preserve">  </w:t>
      </w:r>
      <w:r>
        <w:rPr>
          <w:rFonts w:ascii="Times New Roman" w:hAnsi="Times New Roman" w:eastAsia="Times New Roman" w:cs="Times New Roman"/>
          <w:spacing w:val="-1"/>
          <w:sz w:val="20"/>
          <w:szCs w:val="20"/>
        </w:rPr>
        <w:t>20th</w:t>
      </w:r>
      <w:r>
        <w:rPr>
          <w:rFonts w:ascii="Times New Roman" w:hAnsi="Times New Roman" w:eastAsia="Times New Roman" w:cs="Times New Roman"/>
          <w:sz w:val="20"/>
          <w:szCs w:val="20"/>
        </w:rPr>
        <w:t xml:space="preserve"> century</w:t>
      </w:r>
      <w:r>
        <w:rPr>
          <w:rFonts w:ascii="Times New Roman" w:hAnsi="Times New Roman" w:eastAsia="Times New Roman" w:cs="Times New Roman"/>
          <w:spacing w:val="5"/>
          <w:sz w:val="20"/>
          <w:szCs w:val="20"/>
        </w:rPr>
        <w:t xml:space="preserve"> </w:t>
      </w:r>
      <w:r>
        <w:rPr>
          <w:rFonts w:ascii="Times New Roman" w:hAnsi="Times New Roman" w:eastAsia="Times New Roman" w:cs="Times New Roman"/>
          <w:sz w:val="20"/>
          <w:szCs w:val="20"/>
        </w:rPr>
        <w:t>and</w:t>
      </w:r>
      <w:r>
        <w:rPr>
          <w:rFonts w:ascii="Times New Roman" w:hAnsi="Times New Roman" w:eastAsia="Times New Roman" w:cs="Times New Roman"/>
          <w:spacing w:val="5"/>
          <w:sz w:val="20"/>
          <w:szCs w:val="20"/>
        </w:rPr>
        <w:t xml:space="preserve"> </w:t>
      </w:r>
      <w:r>
        <w:rPr>
          <w:rFonts w:ascii="Times New Roman" w:hAnsi="Times New Roman" w:eastAsia="Times New Roman" w:cs="Times New Roman"/>
          <w:sz w:val="20"/>
          <w:szCs w:val="20"/>
        </w:rPr>
        <w:t>killed</w:t>
      </w:r>
      <w:r>
        <w:rPr>
          <w:rFonts w:ascii="Times New Roman" w:hAnsi="Times New Roman" w:eastAsia="Times New Roman" w:cs="Times New Roman"/>
          <w:spacing w:val="5"/>
          <w:sz w:val="20"/>
          <w:szCs w:val="20"/>
        </w:rPr>
        <w:t xml:space="preserve"> </w:t>
      </w:r>
      <w:r>
        <w:rPr>
          <w:rFonts w:ascii="Times New Roman" w:hAnsi="Times New Roman" w:eastAsia="Times New Roman" w:cs="Times New Roman"/>
          <w:sz w:val="20"/>
          <w:szCs w:val="20"/>
        </w:rPr>
        <w:t>tens</w:t>
      </w:r>
      <w:r>
        <w:rPr>
          <w:rFonts w:ascii="Times New Roman" w:hAnsi="Times New Roman" w:eastAsia="Times New Roman" w:cs="Times New Roman"/>
          <w:spacing w:val="5"/>
          <w:sz w:val="20"/>
          <w:szCs w:val="20"/>
        </w:rPr>
        <w:t xml:space="preserve"> </w:t>
      </w:r>
      <w:r>
        <w:rPr>
          <w:rFonts w:ascii="Times New Roman" w:hAnsi="Times New Roman" w:eastAsia="Times New Roman" w:cs="Times New Roman"/>
          <w:sz w:val="20"/>
          <w:szCs w:val="20"/>
        </w:rPr>
        <w:t>of</w:t>
      </w:r>
      <w:r>
        <w:rPr>
          <w:rFonts w:ascii="Times New Roman" w:hAnsi="Times New Roman" w:eastAsia="Times New Roman" w:cs="Times New Roman"/>
          <w:spacing w:val="-11"/>
          <w:sz w:val="20"/>
          <w:szCs w:val="20"/>
        </w:rPr>
        <w:t xml:space="preserve"> </w:t>
      </w:r>
      <w:r>
        <w:rPr>
          <w:rFonts w:ascii="Times New Roman" w:hAnsi="Times New Roman" w:eastAsia="Times New Roman" w:cs="Times New Roman"/>
          <w:sz w:val="20"/>
          <w:szCs w:val="20"/>
        </w:rPr>
        <w:t>millions</w:t>
      </w:r>
      <w:r>
        <w:rPr>
          <w:rFonts w:ascii="Times New Roman" w:hAnsi="Times New Roman" w:eastAsia="Times New Roman" w:cs="Times New Roman"/>
          <w:spacing w:val="5"/>
          <w:sz w:val="20"/>
          <w:szCs w:val="20"/>
        </w:rPr>
        <w:t xml:space="preserve"> </w:t>
      </w:r>
      <w:r>
        <w:rPr>
          <w:rFonts w:ascii="Times New Roman" w:hAnsi="Times New Roman" w:eastAsia="Times New Roman" w:cs="Times New Roman"/>
          <w:sz w:val="20"/>
          <w:szCs w:val="20"/>
        </w:rPr>
        <w:t>of</w:t>
      </w:r>
      <w:r>
        <w:rPr>
          <w:rFonts w:ascii="Times New Roman" w:hAnsi="Times New Roman" w:eastAsia="Times New Roman" w:cs="Times New Roman"/>
          <w:spacing w:val="-15"/>
          <w:sz w:val="20"/>
          <w:szCs w:val="20"/>
        </w:rPr>
        <w:t xml:space="preserve"> </w:t>
      </w:r>
      <w:r>
        <w:rPr>
          <w:rFonts w:ascii="Times New Roman" w:hAnsi="Times New Roman" w:eastAsia="Times New Roman" w:cs="Times New Roman"/>
          <w:sz w:val="20"/>
          <w:szCs w:val="20"/>
        </w:rPr>
        <w:t>people</w:t>
      </w:r>
      <w:r>
        <w:rPr>
          <w:rFonts w:ascii="Times New Roman" w:hAnsi="Times New Roman" w:eastAsia="Times New Roman" w:cs="Times New Roman"/>
          <w:spacing w:val="5"/>
          <w:sz w:val="20"/>
          <w:szCs w:val="20"/>
        </w:rPr>
        <w:t>,</w:t>
      </w:r>
      <w:r>
        <w:rPr>
          <w:rFonts w:ascii="Times New Roman" w:hAnsi="Times New Roman" w:eastAsia="Times New Roman" w:cs="Times New Roman"/>
          <w:sz w:val="20"/>
          <w:szCs w:val="20"/>
        </w:rPr>
        <w:t>with</w:t>
      </w:r>
      <w:r>
        <w:rPr>
          <w:rFonts w:ascii="Times New Roman" w:hAnsi="Times New Roman" w:eastAsia="Times New Roman" w:cs="Times New Roman"/>
          <w:spacing w:val="12"/>
          <w:w w:val="101"/>
          <w:sz w:val="20"/>
          <w:szCs w:val="20"/>
        </w:rPr>
        <w:t xml:space="preserve"> </w:t>
      </w:r>
      <w:r>
        <w:rPr>
          <w:rFonts w:ascii="Times New Roman" w:hAnsi="Times New Roman" w:eastAsia="Times New Roman" w:cs="Times New Roman"/>
          <w:sz w:val="20"/>
          <w:szCs w:val="20"/>
        </w:rPr>
        <w:t>each</w:t>
      </w:r>
      <w:r>
        <w:rPr>
          <w:rFonts w:ascii="Times New Roman" w:hAnsi="Times New Roman" w:eastAsia="Times New Roman" w:cs="Times New Roman"/>
          <w:spacing w:val="12"/>
          <w:sz w:val="20"/>
          <w:szCs w:val="20"/>
        </w:rPr>
        <w:t xml:space="preserve"> </w:t>
      </w:r>
      <w:r>
        <w:rPr>
          <w:rFonts w:ascii="Times New Roman" w:hAnsi="Times New Roman" w:eastAsia="Times New Roman" w:cs="Times New Roman"/>
          <w:sz w:val="20"/>
          <w:szCs w:val="20"/>
        </w:rPr>
        <w:t>of</w:t>
      </w:r>
      <w:r>
        <w:rPr>
          <w:rFonts w:ascii="Times New Roman" w:hAnsi="Times New Roman" w:eastAsia="Times New Roman" w:cs="Times New Roman"/>
          <w:spacing w:val="-13"/>
          <w:sz w:val="20"/>
          <w:szCs w:val="20"/>
        </w:rPr>
        <w:t xml:space="preserve"> </w:t>
      </w:r>
      <w:r>
        <w:rPr>
          <w:rFonts w:ascii="Times New Roman" w:hAnsi="Times New Roman" w:eastAsia="Times New Roman" w:cs="Times New Roman"/>
          <w:sz w:val="20"/>
          <w:szCs w:val="20"/>
        </w:rPr>
        <w:t>these</w:t>
      </w:r>
      <w:r>
        <w:rPr>
          <w:rFonts w:ascii="Times New Roman" w:hAnsi="Times New Roman" w:eastAsia="Times New Roman" w:cs="Times New Roman"/>
          <w:spacing w:val="4"/>
          <w:sz w:val="20"/>
          <w:szCs w:val="20"/>
        </w:rPr>
        <w:t xml:space="preserve"> </w:t>
      </w:r>
      <w:r>
        <w:rPr>
          <w:rFonts w:ascii="Times New Roman" w:hAnsi="Times New Roman" w:eastAsia="Times New Roman" w:cs="Times New Roman"/>
          <w:sz w:val="20"/>
          <w:szCs w:val="20"/>
        </w:rPr>
        <w:t>pandemics</w:t>
      </w:r>
      <w:r>
        <w:rPr>
          <w:rFonts w:ascii="Times New Roman" w:hAnsi="Times New Roman" w:eastAsia="Times New Roman" w:cs="Times New Roman"/>
          <w:spacing w:val="6"/>
          <w:sz w:val="20"/>
          <w:szCs w:val="20"/>
        </w:rPr>
        <w:t xml:space="preserve"> </w:t>
      </w:r>
      <w:r>
        <w:rPr>
          <w:rFonts w:ascii="Times New Roman" w:hAnsi="Times New Roman" w:eastAsia="Times New Roman" w:cs="Times New Roman"/>
          <w:sz w:val="20"/>
          <w:szCs w:val="20"/>
        </w:rPr>
        <w:t>being</w:t>
      </w:r>
      <w:r>
        <w:rPr>
          <w:rFonts w:ascii="Times New Roman" w:hAnsi="Times New Roman" w:eastAsia="Times New Roman" w:cs="Times New Roman"/>
          <w:spacing w:val="12"/>
          <w:sz w:val="20"/>
          <w:szCs w:val="20"/>
        </w:rPr>
        <w:t xml:space="preserve"> </w:t>
      </w:r>
      <w:r>
        <w:rPr>
          <w:rFonts w:ascii="Times New Roman" w:hAnsi="Times New Roman" w:eastAsia="Times New Roman" w:cs="Times New Roman"/>
          <w:sz w:val="20"/>
          <w:szCs w:val="20"/>
        </w:rPr>
        <w:t>caused</w:t>
      </w:r>
      <w:r>
        <w:rPr>
          <w:rFonts w:ascii="Times New Roman" w:hAnsi="Times New Roman" w:eastAsia="Times New Roman" w:cs="Times New Roman"/>
          <w:spacing w:val="4"/>
          <w:sz w:val="20"/>
          <w:szCs w:val="20"/>
        </w:rPr>
        <w:t xml:space="preserve"> </w:t>
      </w:r>
      <w:r>
        <w:rPr>
          <w:rFonts w:ascii="Times New Roman" w:hAnsi="Times New Roman" w:eastAsia="Times New Roman" w:cs="Times New Roman"/>
          <w:sz w:val="20"/>
          <w:szCs w:val="20"/>
        </w:rPr>
        <w:t>by</w:t>
      </w:r>
      <w:r>
        <w:rPr>
          <w:rFonts w:ascii="Times New Roman" w:hAnsi="Times New Roman" w:eastAsia="Times New Roman" w:cs="Times New Roman"/>
          <w:spacing w:val="8"/>
          <w:sz w:val="20"/>
          <w:szCs w:val="20"/>
        </w:rPr>
        <w:t xml:space="preserve"> </w:t>
      </w:r>
      <w:r>
        <w:rPr>
          <w:rFonts w:ascii="Times New Roman" w:hAnsi="Times New Roman" w:eastAsia="Times New Roman" w:cs="Times New Roman"/>
          <w:sz w:val="20"/>
          <w:szCs w:val="20"/>
        </w:rPr>
        <w:t>the</w:t>
      </w:r>
      <w:r>
        <w:rPr>
          <w:rFonts w:ascii="Times New Roman" w:hAnsi="Times New Roman" w:eastAsia="Times New Roman" w:cs="Times New Roman"/>
          <w:spacing w:val="12"/>
          <w:sz w:val="20"/>
          <w:szCs w:val="20"/>
        </w:rPr>
        <w:t xml:space="preserve"> </w:t>
      </w:r>
      <w:r>
        <w:rPr>
          <w:rFonts w:ascii="Times New Roman" w:hAnsi="Times New Roman" w:eastAsia="Times New Roman" w:cs="Times New Roman"/>
          <w:sz w:val="20"/>
          <w:szCs w:val="20"/>
        </w:rPr>
        <w:t>appearance</w:t>
      </w:r>
      <w:r>
        <w:rPr>
          <w:rFonts w:ascii="Times New Roman" w:hAnsi="Times New Roman" w:eastAsia="Times New Roman" w:cs="Times New Roman"/>
          <w:spacing w:val="12"/>
          <w:w w:val="101"/>
          <w:sz w:val="20"/>
          <w:szCs w:val="20"/>
        </w:rPr>
        <w:t xml:space="preserve"> </w:t>
      </w:r>
      <w:r>
        <w:rPr>
          <w:rFonts w:ascii="Times New Roman" w:hAnsi="Times New Roman" w:eastAsia="Times New Roman" w:cs="Times New Roman"/>
          <w:sz w:val="20"/>
          <w:szCs w:val="20"/>
        </w:rPr>
        <w:t>of</w:t>
      </w:r>
      <w:r>
        <w:rPr>
          <w:rFonts w:ascii="Times New Roman" w:hAnsi="Times New Roman" w:eastAsia="Times New Roman" w:cs="Times New Roman"/>
          <w:spacing w:val="5"/>
          <w:sz w:val="20"/>
          <w:szCs w:val="20"/>
        </w:rPr>
        <w:t xml:space="preserve"> </w:t>
      </w:r>
      <w:r>
        <w:rPr>
          <w:rFonts w:ascii="Times New Roman" w:hAnsi="Times New Roman" w:eastAsia="Times New Roman" w:cs="Times New Roman"/>
          <w:sz w:val="20"/>
          <w:szCs w:val="20"/>
        </w:rPr>
        <w:t>a new</w:t>
      </w:r>
      <w:r>
        <w:rPr>
          <w:rFonts w:ascii="Times New Roman" w:hAnsi="Times New Roman" w:eastAsia="Times New Roman" w:cs="Times New Roman"/>
          <w:spacing w:val="18"/>
          <w:sz w:val="20"/>
          <w:szCs w:val="20"/>
        </w:rPr>
        <w:t xml:space="preserve"> </w:t>
      </w:r>
      <w:r>
        <w:rPr>
          <w:rFonts w:ascii="Times New Roman" w:hAnsi="Times New Roman" w:eastAsia="Times New Roman" w:cs="Times New Roman"/>
          <w:sz w:val="20"/>
          <w:szCs w:val="20"/>
        </w:rPr>
        <w:t>strain</w:t>
      </w:r>
      <w:r>
        <w:rPr>
          <w:rFonts w:ascii="Times New Roman" w:hAnsi="Times New Roman" w:eastAsia="Times New Roman" w:cs="Times New Roman"/>
          <w:spacing w:val="14"/>
          <w:w w:val="101"/>
          <w:sz w:val="20"/>
          <w:szCs w:val="20"/>
        </w:rPr>
        <w:t xml:space="preserve"> </w:t>
      </w:r>
      <w:r>
        <w:rPr>
          <w:rFonts w:ascii="Times New Roman" w:hAnsi="Times New Roman" w:eastAsia="Times New Roman" w:cs="Times New Roman"/>
          <w:sz w:val="20"/>
          <w:szCs w:val="20"/>
        </w:rPr>
        <w:t>of</w:t>
      </w:r>
      <w:r>
        <w:rPr>
          <w:rFonts w:ascii="Times New Roman" w:hAnsi="Times New Roman" w:eastAsia="Times New Roman" w:cs="Times New Roman"/>
          <w:spacing w:val="-11"/>
          <w:sz w:val="20"/>
          <w:szCs w:val="20"/>
        </w:rPr>
        <w:t xml:space="preserve"> </w:t>
      </w:r>
      <w:r>
        <w:rPr>
          <w:rFonts w:ascii="Times New Roman" w:hAnsi="Times New Roman" w:eastAsia="Times New Roman" w:cs="Times New Roman"/>
          <w:sz w:val="20"/>
          <w:szCs w:val="20"/>
        </w:rPr>
        <w:t>the virus</w:t>
      </w:r>
      <w:r>
        <w:rPr>
          <w:rFonts w:ascii="Times New Roman" w:hAnsi="Times New Roman" w:eastAsia="Times New Roman" w:cs="Times New Roman"/>
          <w:spacing w:val="13"/>
          <w:w w:val="101"/>
          <w:sz w:val="20"/>
          <w:szCs w:val="20"/>
        </w:rPr>
        <w:t xml:space="preserve"> </w:t>
      </w:r>
      <w:r>
        <w:rPr>
          <w:rFonts w:ascii="Times New Roman" w:hAnsi="Times New Roman" w:eastAsia="Times New Roman" w:cs="Times New Roman"/>
          <w:sz w:val="20"/>
          <w:szCs w:val="20"/>
        </w:rPr>
        <w:t>in humans.Often,these new</w:t>
      </w:r>
      <w:r>
        <w:rPr>
          <w:rFonts w:ascii="Times New Roman" w:hAnsi="Times New Roman" w:eastAsia="Times New Roman" w:cs="Times New Roman"/>
          <w:spacing w:val="17"/>
          <w:w w:val="101"/>
          <w:sz w:val="20"/>
          <w:szCs w:val="20"/>
        </w:rPr>
        <w:t xml:space="preserve"> </w:t>
      </w:r>
      <w:r>
        <w:rPr>
          <w:rFonts w:ascii="Times New Roman" w:hAnsi="Times New Roman" w:eastAsia="Times New Roman" w:cs="Times New Roman"/>
          <w:sz w:val="20"/>
          <w:szCs w:val="20"/>
        </w:rPr>
        <w:t>strains</w:t>
      </w:r>
      <w:r>
        <w:rPr>
          <w:rFonts w:ascii="Times New Roman" w:hAnsi="Times New Roman" w:eastAsia="Times New Roman" w:cs="Times New Roman"/>
          <w:spacing w:val="14"/>
          <w:w w:val="101"/>
          <w:sz w:val="20"/>
          <w:szCs w:val="20"/>
        </w:rPr>
        <w:t xml:space="preserve"> </w:t>
      </w:r>
      <w:r>
        <w:rPr>
          <w:rFonts w:ascii="Times New Roman" w:hAnsi="Times New Roman" w:eastAsia="Times New Roman" w:cs="Times New Roman"/>
          <w:sz w:val="20"/>
          <w:szCs w:val="20"/>
        </w:rPr>
        <w:t>appear when</w:t>
      </w:r>
      <w:r>
        <w:rPr>
          <w:rFonts w:ascii="Times New Roman" w:hAnsi="Times New Roman" w:eastAsia="Times New Roman" w:cs="Times New Roman"/>
          <w:spacing w:val="15"/>
          <w:sz w:val="20"/>
          <w:szCs w:val="20"/>
        </w:rPr>
        <w:t xml:space="preserve"> </w:t>
      </w:r>
      <w:r>
        <w:rPr>
          <w:rFonts w:ascii="Times New Roman" w:hAnsi="Times New Roman" w:eastAsia="Times New Roman" w:cs="Times New Roman"/>
          <w:sz w:val="20"/>
          <w:szCs w:val="20"/>
        </w:rPr>
        <w:t>an</w:t>
      </w:r>
      <w:r>
        <w:rPr>
          <w:rFonts w:ascii="Times New Roman" w:hAnsi="Times New Roman" w:eastAsia="Times New Roman" w:cs="Times New Roman"/>
          <w:spacing w:val="15"/>
          <w:sz w:val="20"/>
          <w:szCs w:val="20"/>
        </w:rPr>
        <w:t xml:space="preserve"> </w:t>
      </w:r>
      <w:r>
        <w:rPr>
          <w:rFonts w:ascii="Times New Roman" w:hAnsi="Times New Roman" w:eastAsia="Times New Roman" w:cs="Times New Roman"/>
          <w:sz w:val="20"/>
          <w:szCs w:val="20"/>
        </w:rPr>
        <w:t>exis</w:t>
      </w:r>
      <w:r>
        <w:rPr>
          <w:rFonts w:ascii="Times New Roman" w:hAnsi="Times New Roman" w:eastAsia="Times New Roman" w:cs="Times New Roman"/>
          <w:spacing w:val="-1"/>
          <w:sz w:val="20"/>
          <w:szCs w:val="20"/>
        </w:rPr>
        <w:t>ting</w:t>
      </w:r>
      <w:r>
        <w:rPr>
          <w:rFonts w:ascii="Times New Roman" w:hAnsi="Times New Roman" w:eastAsia="Times New Roman" w:cs="Times New Roman"/>
          <w:spacing w:val="15"/>
          <w:sz w:val="20"/>
          <w:szCs w:val="20"/>
        </w:rPr>
        <w:t xml:space="preserve"> </w:t>
      </w:r>
      <w:r>
        <w:rPr>
          <w:rFonts w:ascii="Times New Roman" w:hAnsi="Times New Roman" w:eastAsia="Times New Roman" w:cs="Times New Roman"/>
          <w:spacing w:val="-1"/>
          <w:sz w:val="20"/>
          <w:szCs w:val="20"/>
        </w:rPr>
        <w:t>flu virus</w:t>
      </w:r>
      <w:r>
        <w:rPr>
          <w:rFonts w:ascii="Times New Roman" w:hAnsi="Times New Roman" w:eastAsia="Times New Roman" w:cs="Times New Roman"/>
          <w:spacing w:val="17"/>
          <w:w w:val="101"/>
          <w:sz w:val="20"/>
          <w:szCs w:val="20"/>
        </w:rPr>
        <w:t xml:space="preserve"> </w:t>
      </w:r>
      <w:r>
        <w:rPr>
          <w:rFonts w:ascii="Times New Roman" w:hAnsi="Times New Roman" w:eastAsia="Times New Roman" w:cs="Times New Roman"/>
          <w:spacing w:val="-1"/>
          <w:sz w:val="20"/>
          <w:szCs w:val="20"/>
        </w:rPr>
        <w:t>spreads</w:t>
      </w:r>
      <w:r>
        <w:rPr>
          <w:rFonts w:ascii="Times New Roman" w:hAnsi="Times New Roman" w:eastAsia="Times New Roman" w:cs="Times New Roman"/>
          <w:spacing w:val="9"/>
          <w:sz w:val="20"/>
          <w:szCs w:val="20"/>
        </w:rPr>
        <w:t xml:space="preserve"> </w:t>
      </w:r>
      <w:r>
        <w:rPr>
          <w:rFonts w:ascii="Times New Roman" w:hAnsi="Times New Roman" w:eastAsia="Times New Roman" w:cs="Times New Roman"/>
          <w:spacing w:val="-1"/>
          <w:sz w:val="20"/>
          <w:szCs w:val="20"/>
        </w:rPr>
        <w:t>to</w:t>
      </w:r>
      <w:r>
        <w:rPr>
          <w:rFonts w:ascii="Times New Roman" w:hAnsi="Times New Roman" w:eastAsia="Times New Roman" w:cs="Times New Roman"/>
          <w:spacing w:val="9"/>
          <w:sz w:val="20"/>
          <w:szCs w:val="20"/>
        </w:rPr>
        <w:t xml:space="preserve"> </w:t>
      </w:r>
      <w:r>
        <w:rPr>
          <w:rFonts w:ascii="Times New Roman" w:hAnsi="Times New Roman" w:eastAsia="Times New Roman" w:cs="Times New Roman"/>
          <w:spacing w:val="-1"/>
          <w:sz w:val="20"/>
          <w:szCs w:val="20"/>
        </w:rPr>
        <w:t>humans</w:t>
      </w:r>
      <w:r>
        <w:rPr>
          <w:rFonts w:ascii="Times New Roman" w:hAnsi="Times New Roman" w:eastAsia="Times New Roman" w:cs="Times New Roman"/>
          <w:sz w:val="20"/>
          <w:szCs w:val="20"/>
        </w:rPr>
        <w:t xml:space="preserve"> from other animal species or when an exist</w:t>
      </w:r>
      <w:r>
        <w:rPr>
          <w:rFonts w:ascii="Times New Roman" w:hAnsi="Times New Roman" w:eastAsia="Times New Roman" w:cs="Times New Roman"/>
          <w:spacing w:val="-1"/>
          <w:sz w:val="20"/>
          <w:szCs w:val="20"/>
        </w:rPr>
        <w:t>ing</w:t>
      </w:r>
      <w:r>
        <w:rPr>
          <w:rFonts w:ascii="Times New Roman" w:hAnsi="Times New Roman" w:eastAsia="Times New Roman" w:cs="Times New Roman"/>
          <w:spacing w:val="1"/>
          <w:sz w:val="20"/>
          <w:szCs w:val="20"/>
        </w:rPr>
        <w:t xml:space="preserve"> </w:t>
      </w:r>
      <w:r>
        <w:rPr>
          <w:rFonts w:ascii="Times New Roman" w:hAnsi="Times New Roman" w:eastAsia="Times New Roman" w:cs="Times New Roman"/>
          <w:spacing w:val="-1"/>
          <w:sz w:val="20"/>
          <w:szCs w:val="20"/>
        </w:rPr>
        <w:t>human</w:t>
      </w:r>
      <w:r>
        <w:rPr>
          <w:rFonts w:ascii="Times New Roman" w:hAnsi="Times New Roman" w:eastAsia="Times New Roman" w:cs="Times New Roman"/>
          <w:spacing w:val="10"/>
          <w:sz w:val="20"/>
          <w:szCs w:val="20"/>
        </w:rPr>
        <w:t xml:space="preserve"> </w:t>
      </w:r>
      <w:r>
        <w:rPr>
          <w:rFonts w:ascii="Times New Roman" w:hAnsi="Times New Roman" w:eastAsia="Times New Roman" w:cs="Times New Roman"/>
          <w:spacing w:val="-1"/>
          <w:sz w:val="20"/>
          <w:szCs w:val="20"/>
        </w:rPr>
        <w:t>strain picks</w:t>
      </w:r>
      <w:r>
        <w:rPr>
          <w:rFonts w:ascii="Times New Roman" w:hAnsi="Times New Roman" w:eastAsia="Times New Roman" w:cs="Times New Roman"/>
          <w:sz w:val="20"/>
          <w:szCs w:val="20"/>
        </w:rPr>
        <w:t xml:space="preserve"> </w:t>
      </w:r>
      <w:r>
        <w:rPr>
          <w:rFonts w:ascii="Times New Roman" w:hAnsi="Times New Roman" w:eastAsia="Times New Roman" w:cs="Times New Roman"/>
          <w:spacing w:val="-1"/>
          <w:sz w:val="20"/>
          <w:szCs w:val="20"/>
        </w:rPr>
        <w:t>up</w:t>
      </w:r>
      <w:r>
        <w:rPr>
          <w:rFonts w:ascii="Times New Roman" w:hAnsi="Times New Roman" w:eastAsia="Times New Roman" w:cs="Times New Roman"/>
          <w:spacing w:val="1"/>
          <w:sz w:val="20"/>
          <w:szCs w:val="20"/>
        </w:rPr>
        <w:t xml:space="preserve"> </w:t>
      </w:r>
      <w:r>
        <w:rPr>
          <w:rFonts w:ascii="Times New Roman" w:hAnsi="Times New Roman" w:eastAsia="Times New Roman" w:cs="Times New Roman"/>
          <w:spacing w:val="-1"/>
          <w:sz w:val="20"/>
          <w:szCs w:val="20"/>
        </w:rPr>
        <w:t>new</w:t>
      </w:r>
      <w:r>
        <w:rPr>
          <w:rFonts w:ascii="Times New Roman" w:hAnsi="Times New Roman" w:eastAsia="Times New Roman" w:cs="Times New Roman"/>
          <w:spacing w:val="6"/>
          <w:sz w:val="20"/>
          <w:szCs w:val="20"/>
        </w:rPr>
        <w:t xml:space="preserve"> </w:t>
      </w:r>
      <w:r>
        <w:rPr>
          <w:rFonts w:ascii="Times New Roman" w:hAnsi="Times New Roman" w:eastAsia="Times New Roman" w:cs="Times New Roman"/>
          <w:spacing w:val="-1"/>
          <w:sz w:val="20"/>
          <w:szCs w:val="20"/>
        </w:rPr>
        <w:t>genes</w:t>
      </w:r>
      <w:r>
        <w:rPr>
          <w:rFonts w:ascii="Times New Roman" w:hAnsi="Times New Roman" w:eastAsia="Times New Roman" w:cs="Times New Roman"/>
          <w:spacing w:val="8"/>
          <w:sz w:val="20"/>
          <w:szCs w:val="20"/>
        </w:rPr>
        <w:t xml:space="preserve"> </w:t>
      </w:r>
      <w:r>
        <w:rPr>
          <w:rFonts w:ascii="Times New Roman" w:hAnsi="Times New Roman" w:eastAsia="Times New Roman" w:cs="Times New Roman"/>
          <w:spacing w:val="-1"/>
          <w:sz w:val="20"/>
          <w:szCs w:val="20"/>
        </w:rPr>
        <w:t>from</w:t>
      </w:r>
      <w:r>
        <w:rPr>
          <w:rFonts w:ascii="Times New Roman" w:hAnsi="Times New Roman" w:eastAsia="Times New Roman" w:cs="Times New Roman"/>
          <w:spacing w:val="7"/>
          <w:sz w:val="20"/>
          <w:szCs w:val="20"/>
        </w:rPr>
        <w:t xml:space="preserve"> </w:t>
      </w:r>
      <w:r>
        <w:rPr>
          <w:rFonts w:ascii="Times New Roman" w:hAnsi="Times New Roman" w:eastAsia="Times New Roman" w:cs="Times New Roman"/>
          <w:spacing w:val="-1"/>
          <w:sz w:val="20"/>
          <w:szCs w:val="20"/>
        </w:rPr>
        <w:t>a</w:t>
      </w:r>
      <w:r>
        <w:rPr>
          <w:rFonts w:ascii="Times New Roman" w:hAnsi="Times New Roman" w:eastAsia="Times New Roman" w:cs="Times New Roman"/>
          <w:spacing w:val="2"/>
          <w:sz w:val="20"/>
          <w:szCs w:val="20"/>
        </w:rPr>
        <w:t xml:space="preserve"> </w:t>
      </w:r>
      <w:r>
        <w:rPr>
          <w:rFonts w:ascii="Times New Roman" w:hAnsi="Times New Roman" w:eastAsia="Times New Roman" w:cs="Times New Roman"/>
          <w:spacing w:val="-1"/>
          <w:sz w:val="20"/>
          <w:szCs w:val="20"/>
        </w:rPr>
        <w:t>virus</w:t>
      </w:r>
      <w:r>
        <w:rPr>
          <w:rFonts w:ascii="Times New Roman" w:hAnsi="Times New Roman" w:eastAsia="Times New Roman" w:cs="Times New Roman"/>
          <w:spacing w:val="2"/>
          <w:sz w:val="20"/>
          <w:szCs w:val="20"/>
        </w:rPr>
        <w:t xml:space="preserve"> </w:t>
      </w:r>
      <w:r>
        <w:rPr>
          <w:rFonts w:ascii="Times New Roman" w:hAnsi="Times New Roman" w:eastAsia="Times New Roman" w:cs="Times New Roman"/>
          <w:spacing w:val="-1"/>
          <w:sz w:val="20"/>
          <w:szCs w:val="20"/>
        </w:rPr>
        <w:t>that usually</w:t>
      </w:r>
      <w:r>
        <w:rPr>
          <w:rFonts w:ascii="Times New Roman" w:hAnsi="Times New Roman" w:eastAsia="Times New Roman" w:cs="Times New Roman"/>
          <w:spacing w:val="5"/>
          <w:sz w:val="20"/>
          <w:szCs w:val="20"/>
        </w:rPr>
        <w:t xml:space="preserve"> </w:t>
      </w:r>
      <w:r>
        <w:rPr>
          <w:rFonts w:ascii="Times New Roman" w:hAnsi="Times New Roman" w:eastAsia="Times New Roman" w:cs="Times New Roman"/>
          <w:spacing w:val="-1"/>
          <w:sz w:val="20"/>
          <w:szCs w:val="20"/>
        </w:rPr>
        <w:t>infects</w:t>
      </w:r>
      <w:r>
        <w:rPr>
          <w:rFonts w:ascii="Times New Roman" w:hAnsi="Times New Roman" w:eastAsia="Times New Roman" w:cs="Times New Roman"/>
          <w:sz w:val="20"/>
          <w:szCs w:val="20"/>
        </w:rPr>
        <w:t xml:space="preserve"> birds or pigs.For prevention,the effective method is the influenza vaccine,which</w:t>
      </w:r>
      <w:r>
        <w:rPr>
          <w:rFonts w:ascii="Times New Roman" w:hAnsi="Times New Roman" w:eastAsia="Times New Roman" w:cs="Times New Roman"/>
          <w:spacing w:val="9"/>
          <w:sz w:val="20"/>
          <w:szCs w:val="20"/>
        </w:rPr>
        <w:t xml:space="preserve"> </w:t>
      </w:r>
      <w:r>
        <w:rPr>
          <w:rFonts w:ascii="Times New Roman" w:hAnsi="Times New Roman" w:eastAsia="Times New Roman" w:cs="Times New Roman"/>
          <w:sz w:val="20"/>
          <w:szCs w:val="20"/>
        </w:rPr>
        <w:t>can be used</w:t>
      </w:r>
      <w:r>
        <w:rPr>
          <w:rFonts w:ascii="Times New Roman" w:hAnsi="Times New Roman" w:eastAsia="Times New Roman" w:cs="Times New Roman"/>
          <w:spacing w:val="6"/>
          <w:sz w:val="20"/>
          <w:szCs w:val="20"/>
        </w:rPr>
        <w:t xml:space="preserve"> </w:t>
      </w:r>
      <w:r>
        <w:rPr>
          <w:rFonts w:ascii="Times New Roman" w:hAnsi="Times New Roman" w:eastAsia="Times New Roman" w:cs="Times New Roman"/>
          <w:sz w:val="20"/>
          <w:szCs w:val="20"/>
        </w:rPr>
        <w:t>in high-r</w:t>
      </w:r>
      <w:r>
        <w:rPr>
          <w:rFonts w:ascii="Times New Roman" w:hAnsi="Times New Roman" w:eastAsia="Times New Roman" w:cs="Times New Roman"/>
          <w:spacing w:val="-1"/>
          <w:sz w:val="20"/>
          <w:szCs w:val="20"/>
        </w:rPr>
        <w:t>isk</w:t>
      </w:r>
      <w:r>
        <w:rPr>
          <w:rFonts w:ascii="Times New Roman" w:hAnsi="Times New Roman" w:eastAsia="Times New Roman" w:cs="Times New Roman"/>
          <w:spacing w:val="6"/>
          <w:sz w:val="20"/>
          <w:szCs w:val="20"/>
        </w:rPr>
        <w:t xml:space="preserve"> </w:t>
      </w:r>
      <w:r>
        <w:rPr>
          <w:rFonts w:ascii="Times New Roman" w:hAnsi="Times New Roman" w:eastAsia="Times New Roman" w:cs="Times New Roman"/>
          <w:spacing w:val="-1"/>
          <w:sz w:val="20"/>
          <w:szCs w:val="20"/>
        </w:rPr>
        <w:t>groups</w:t>
      </w:r>
      <w:r>
        <w:rPr>
          <w:rFonts w:ascii="Times New Roman" w:hAnsi="Times New Roman" w:eastAsia="Times New Roman" w:cs="Times New Roman"/>
          <w:sz w:val="20"/>
          <w:szCs w:val="20"/>
        </w:rPr>
        <w:t xml:space="preserve"> one</w:t>
      </w:r>
      <w:r>
        <w:rPr>
          <w:rFonts w:ascii="Times New Roman" w:hAnsi="Times New Roman" w:eastAsia="Times New Roman" w:cs="Times New Roman"/>
          <w:spacing w:val="19"/>
          <w:w w:val="101"/>
          <w:sz w:val="20"/>
          <w:szCs w:val="20"/>
        </w:rPr>
        <w:t xml:space="preserve"> </w:t>
      </w:r>
      <w:r>
        <w:rPr>
          <w:rFonts w:ascii="Times New Roman" w:hAnsi="Times New Roman" w:eastAsia="Times New Roman" w:cs="Times New Roman"/>
          <w:sz w:val="20"/>
          <w:szCs w:val="20"/>
        </w:rPr>
        <w:t>or</w:t>
      </w:r>
      <w:r>
        <w:rPr>
          <w:rFonts w:ascii="Times New Roman" w:hAnsi="Times New Roman" w:eastAsia="Times New Roman" w:cs="Times New Roman"/>
          <w:spacing w:val="13"/>
          <w:sz w:val="20"/>
          <w:szCs w:val="20"/>
        </w:rPr>
        <w:t xml:space="preserve"> </w:t>
      </w:r>
      <w:r>
        <w:rPr>
          <w:rFonts w:ascii="Times New Roman" w:hAnsi="Times New Roman" w:eastAsia="Times New Roman" w:cs="Times New Roman"/>
          <w:sz w:val="20"/>
          <w:szCs w:val="20"/>
        </w:rPr>
        <w:t>two</w:t>
      </w:r>
      <w:r>
        <w:rPr>
          <w:rFonts w:ascii="Times New Roman" w:hAnsi="Times New Roman" w:eastAsia="Times New Roman" w:cs="Times New Roman"/>
          <w:spacing w:val="14"/>
          <w:sz w:val="20"/>
          <w:szCs w:val="20"/>
        </w:rPr>
        <w:t xml:space="preserve"> </w:t>
      </w:r>
      <w:r>
        <w:rPr>
          <w:rFonts w:ascii="Times New Roman" w:hAnsi="Times New Roman" w:eastAsia="Times New Roman" w:cs="Times New Roman"/>
          <w:sz w:val="20"/>
          <w:szCs w:val="20"/>
        </w:rPr>
        <w:t>months</w:t>
      </w:r>
      <w:r>
        <w:rPr>
          <w:rFonts w:ascii="Times New Roman" w:hAnsi="Times New Roman" w:eastAsia="Times New Roman" w:cs="Times New Roman"/>
          <w:spacing w:val="12"/>
          <w:sz w:val="20"/>
          <w:szCs w:val="20"/>
        </w:rPr>
        <w:t xml:space="preserve"> </w:t>
      </w:r>
      <w:r>
        <w:rPr>
          <w:rFonts w:ascii="Times New Roman" w:hAnsi="Times New Roman" w:eastAsia="Times New Roman" w:cs="Times New Roman"/>
          <w:sz w:val="20"/>
          <w:szCs w:val="20"/>
        </w:rPr>
        <w:t>before</w:t>
      </w:r>
      <w:r>
        <w:rPr>
          <w:rFonts w:ascii="Times New Roman" w:hAnsi="Times New Roman" w:eastAsia="Times New Roman" w:cs="Times New Roman"/>
          <w:spacing w:val="14"/>
          <w:w w:val="101"/>
          <w:sz w:val="20"/>
          <w:szCs w:val="20"/>
        </w:rPr>
        <w:t xml:space="preserve"> </w:t>
      </w:r>
      <w:r>
        <w:rPr>
          <w:rFonts w:ascii="Times New Roman" w:hAnsi="Times New Roman" w:eastAsia="Times New Roman" w:cs="Times New Roman"/>
          <w:sz w:val="20"/>
          <w:szCs w:val="20"/>
        </w:rPr>
        <w:t>the</w:t>
      </w:r>
      <w:r>
        <w:rPr>
          <w:rFonts w:ascii="Times New Roman" w:hAnsi="Times New Roman" w:eastAsia="Times New Roman" w:cs="Times New Roman"/>
          <w:spacing w:val="13"/>
          <w:w w:val="101"/>
          <w:sz w:val="20"/>
          <w:szCs w:val="20"/>
        </w:rPr>
        <w:t xml:space="preserve"> </w:t>
      </w:r>
      <w:r>
        <w:rPr>
          <w:rFonts w:ascii="Times New Roman" w:hAnsi="Times New Roman" w:eastAsia="Times New Roman" w:cs="Times New Roman"/>
          <w:sz w:val="20"/>
          <w:szCs w:val="20"/>
        </w:rPr>
        <w:t>regular</w:t>
      </w:r>
      <w:r>
        <w:rPr>
          <w:rFonts w:ascii="Times New Roman" w:hAnsi="Times New Roman" w:eastAsia="Times New Roman" w:cs="Times New Roman"/>
          <w:spacing w:val="18"/>
          <w:w w:val="101"/>
          <w:sz w:val="20"/>
          <w:szCs w:val="20"/>
        </w:rPr>
        <w:t xml:space="preserve"> </w:t>
      </w:r>
      <w:r>
        <w:rPr>
          <w:rFonts w:ascii="Times New Roman" w:hAnsi="Times New Roman" w:eastAsia="Times New Roman" w:cs="Times New Roman"/>
          <w:spacing w:val="-1"/>
          <w:sz w:val="20"/>
          <w:szCs w:val="20"/>
        </w:rPr>
        <w:t>epidemic</w:t>
      </w:r>
      <w:r>
        <w:rPr>
          <w:rFonts w:ascii="Times New Roman" w:hAnsi="Times New Roman" w:eastAsia="Times New Roman" w:cs="Times New Roman"/>
          <w:spacing w:val="22"/>
          <w:w w:val="101"/>
          <w:sz w:val="20"/>
          <w:szCs w:val="20"/>
        </w:rPr>
        <w:t xml:space="preserve"> </w:t>
      </w:r>
      <w:r>
        <w:rPr>
          <w:rFonts w:ascii="Times New Roman" w:hAnsi="Times New Roman" w:eastAsia="Times New Roman" w:cs="Times New Roman"/>
          <w:spacing w:val="-1"/>
          <w:sz w:val="20"/>
          <w:szCs w:val="20"/>
        </w:rPr>
        <w:t>season.The</w:t>
      </w:r>
      <w:r>
        <w:rPr>
          <w:rFonts w:ascii="Times New Roman" w:hAnsi="Times New Roman" w:eastAsia="Times New Roman" w:cs="Times New Roman"/>
          <w:spacing w:val="19"/>
          <w:sz w:val="20"/>
          <w:szCs w:val="20"/>
        </w:rPr>
        <w:t xml:space="preserve"> </w:t>
      </w:r>
      <w:r>
        <w:rPr>
          <w:rFonts w:ascii="Times New Roman" w:hAnsi="Times New Roman" w:eastAsia="Times New Roman" w:cs="Times New Roman"/>
          <w:spacing w:val="-1"/>
          <w:sz w:val="20"/>
          <w:szCs w:val="20"/>
        </w:rPr>
        <w:t>objective</w:t>
      </w:r>
      <w:r>
        <w:rPr>
          <w:rFonts w:ascii="Times New Roman" w:hAnsi="Times New Roman" w:eastAsia="Times New Roman" w:cs="Times New Roman"/>
          <w:spacing w:val="19"/>
          <w:sz w:val="20"/>
          <w:szCs w:val="20"/>
        </w:rPr>
        <w:t xml:space="preserve"> </w:t>
      </w:r>
      <w:r>
        <w:rPr>
          <w:rFonts w:ascii="Times New Roman" w:hAnsi="Times New Roman" w:eastAsia="Times New Roman" w:cs="Times New Roman"/>
          <w:spacing w:val="-1"/>
          <w:sz w:val="20"/>
          <w:szCs w:val="20"/>
        </w:rPr>
        <w:t>of treatment</w:t>
      </w:r>
      <w:r>
        <w:rPr>
          <w:rFonts w:ascii="Times New Roman" w:hAnsi="Times New Roman" w:eastAsia="Times New Roman" w:cs="Times New Roman"/>
          <w:spacing w:val="18"/>
          <w:sz w:val="20"/>
          <w:szCs w:val="20"/>
        </w:rPr>
        <w:t xml:space="preserve"> </w:t>
      </w:r>
      <w:r>
        <w:rPr>
          <w:rFonts w:ascii="Times New Roman" w:hAnsi="Times New Roman" w:eastAsia="Times New Roman" w:cs="Times New Roman"/>
          <w:spacing w:val="-1"/>
          <w:sz w:val="20"/>
          <w:szCs w:val="20"/>
        </w:rPr>
        <w:t>is</w:t>
      </w:r>
      <w:r>
        <w:rPr>
          <w:rFonts w:ascii="Times New Roman" w:hAnsi="Times New Roman" w:eastAsia="Times New Roman" w:cs="Times New Roman"/>
          <w:spacing w:val="14"/>
          <w:sz w:val="20"/>
          <w:szCs w:val="20"/>
        </w:rPr>
        <w:t xml:space="preserve"> </w:t>
      </w:r>
      <w:r>
        <w:rPr>
          <w:rFonts w:ascii="Times New Roman" w:hAnsi="Times New Roman" w:eastAsia="Times New Roman" w:cs="Times New Roman"/>
          <w:spacing w:val="-1"/>
          <w:sz w:val="20"/>
          <w:szCs w:val="20"/>
        </w:rPr>
        <w:t>mainly</w:t>
      </w:r>
      <w:r>
        <w:rPr>
          <w:rFonts w:ascii="Times New Roman" w:hAnsi="Times New Roman" w:eastAsia="Times New Roman" w:cs="Times New Roman"/>
          <w:spacing w:val="14"/>
          <w:w w:val="101"/>
          <w:sz w:val="20"/>
          <w:szCs w:val="20"/>
        </w:rPr>
        <w:t xml:space="preserve"> </w:t>
      </w:r>
      <w:r>
        <w:rPr>
          <w:rFonts w:ascii="Times New Roman" w:hAnsi="Times New Roman" w:eastAsia="Times New Roman" w:cs="Times New Roman"/>
          <w:spacing w:val="-1"/>
          <w:sz w:val="20"/>
          <w:szCs w:val="20"/>
        </w:rPr>
        <w:t>to</w:t>
      </w:r>
      <w:r>
        <w:rPr>
          <w:rFonts w:ascii="Times New Roman" w:hAnsi="Times New Roman" w:eastAsia="Times New Roman" w:cs="Times New Roman"/>
          <w:spacing w:val="13"/>
          <w:w w:val="101"/>
          <w:sz w:val="20"/>
          <w:szCs w:val="20"/>
        </w:rPr>
        <w:t xml:space="preserve"> </w:t>
      </w:r>
      <w:r>
        <w:rPr>
          <w:rFonts w:ascii="Times New Roman" w:hAnsi="Times New Roman" w:eastAsia="Times New Roman" w:cs="Times New Roman"/>
          <w:spacing w:val="-1"/>
          <w:sz w:val="20"/>
          <w:szCs w:val="20"/>
        </w:rPr>
        <w:t>reduce</w:t>
      </w:r>
      <w:r>
        <w:rPr>
          <w:rFonts w:ascii="Times New Roman" w:hAnsi="Times New Roman" w:eastAsia="Times New Roman" w:cs="Times New Roman"/>
          <w:spacing w:val="20"/>
          <w:sz w:val="20"/>
          <w:szCs w:val="20"/>
        </w:rPr>
        <w:t xml:space="preserve"> </w:t>
      </w:r>
      <w:r>
        <w:rPr>
          <w:rFonts w:ascii="Times New Roman" w:hAnsi="Times New Roman" w:eastAsia="Times New Roman" w:cs="Times New Roman"/>
          <w:spacing w:val="-1"/>
          <w:sz w:val="20"/>
          <w:szCs w:val="20"/>
        </w:rPr>
        <w:t>fatality.</w:t>
      </w:r>
    </w:p>
    <w:p w14:paraId="249DF438">
      <w:pPr>
        <w:spacing w:line="281" w:lineRule="auto"/>
        <w:rPr>
          <w:rFonts w:ascii="Arial"/>
          <w:sz w:val="21"/>
        </w:rPr>
      </w:pPr>
    </w:p>
    <w:p w14:paraId="6B63A526">
      <w:pPr>
        <w:spacing w:before="65" w:line="338" w:lineRule="auto"/>
        <w:ind w:left="689" w:right="19" w:firstLine="419"/>
        <w:jc w:val="both"/>
        <w:rPr>
          <w:rFonts w:ascii="宋体" w:hAnsi="宋体" w:eastAsia="宋体" w:cs="宋体"/>
          <w:sz w:val="20"/>
          <w:szCs w:val="20"/>
        </w:rPr>
      </w:pPr>
      <w:r>
        <w:rPr>
          <w:rFonts w:ascii="宋体" w:hAnsi="宋体" w:eastAsia="宋体" w:cs="宋体"/>
          <w:spacing w:val="11"/>
          <w:sz w:val="20"/>
          <w:szCs w:val="20"/>
        </w:rPr>
        <w:t>流行性感冒</w:t>
      </w:r>
      <w:r>
        <w:rPr>
          <w:rFonts w:ascii="Times New Roman" w:hAnsi="Times New Roman" w:eastAsia="Times New Roman" w:cs="Times New Roman"/>
          <w:spacing w:val="11"/>
          <w:sz w:val="20"/>
          <w:szCs w:val="20"/>
        </w:rPr>
        <w:t>(</w:t>
      </w:r>
      <w:r>
        <w:rPr>
          <w:rFonts w:ascii="Times New Roman" w:hAnsi="Times New Roman" w:eastAsia="Times New Roman" w:cs="Times New Roman"/>
          <w:sz w:val="20"/>
          <w:szCs w:val="20"/>
        </w:rPr>
        <w:t>influenza</w:t>
      </w:r>
      <w:r>
        <w:rPr>
          <w:rFonts w:ascii="Times New Roman" w:hAnsi="Times New Roman" w:eastAsia="Times New Roman" w:cs="Times New Roman"/>
          <w:spacing w:val="11"/>
          <w:sz w:val="20"/>
          <w:szCs w:val="20"/>
        </w:rPr>
        <w:t xml:space="preserve">,   </w:t>
      </w:r>
      <w:r>
        <w:rPr>
          <w:rFonts w:ascii="宋体" w:hAnsi="宋体" w:eastAsia="宋体" w:cs="宋体"/>
          <w:spacing w:val="11"/>
          <w:sz w:val="20"/>
          <w:szCs w:val="20"/>
        </w:rPr>
        <w:t>以下简称流感)是一种由流感病毒引起的</w:t>
      </w:r>
      <w:r>
        <w:rPr>
          <w:rFonts w:ascii="宋体" w:hAnsi="宋体" w:eastAsia="宋体" w:cs="宋体"/>
          <w:spacing w:val="10"/>
          <w:sz w:val="20"/>
          <w:szCs w:val="20"/>
        </w:rPr>
        <w:t>常见急性呼吸道传染病，主要</w:t>
      </w:r>
      <w:r>
        <w:rPr>
          <w:rFonts w:ascii="宋体" w:hAnsi="宋体" w:eastAsia="宋体" w:cs="宋体"/>
          <w:sz w:val="20"/>
          <w:szCs w:val="20"/>
        </w:rPr>
        <w:t xml:space="preserve"> </w:t>
      </w:r>
      <w:r>
        <w:rPr>
          <w:rFonts w:ascii="宋体" w:hAnsi="宋体" w:eastAsia="宋体" w:cs="宋体"/>
          <w:spacing w:val="9"/>
          <w:sz w:val="20"/>
          <w:szCs w:val="20"/>
        </w:rPr>
        <w:t>通过飞沫传播，也可通过人与人之间的接触或与被污</w:t>
      </w:r>
      <w:r>
        <w:rPr>
          <w:rFonts w:ascii="宋体" w:hAnsi="宋体" w:eastAsia="宋体" w:cs="宋体"/>
          <w:spacing w:val="8"/>
          <w:sz w:val="20"/>
          <w:szCs w:val="20"/>
        </w:rPr>
        <w:t>染物品的接触传播。潜伏期较短，全年均可发</w:t>
      </w:r>
      <w:r>
        <w:rPr>
          <w:rFonts w:ascii="宋体" w:hAnsi="宋体" w:eastAsia="宋体" w:cs="宋体"/>
          <w:sz w:val="20"/>
          <w:szCs w:val="20"/>
        </w:rPr>
        <w:t xml:space="preserve"> </w:t>
      </w:r>
      <w:r>
        <w:rPr>
          <w:rFonts w:ascii="宋体" w:hAnsi="宋体" w:eastAsia="宋体" w:cs="宋体"/>
          <w:spacing w:val="9"/>
          <w:sz w:val="20"/>
          <w:szCs w:val="20"/>
        </w:rPr>
        <w:t>病，但暴发或流行具有一定的季节性，温带地区一般</w:t>
      </w:r>
      <w:r>
        <w:rPr>
          <w:rFonts w:ascii="宋体" w:hAnsi="宋体" w:eastAsia="宋体" w:cs="宋体"/>
          <w:spacing w:val="8"/>
          <w:sz w:val="20"/>
          <w:szCs w:val="20"/>
        </w:rPr>
        <w:t>在冬春季为流行高峰，热带和亚热带地区常年</w:t>
      </w:r>
      <w:r>
        <w:rPr>
          <w:rFonts w:ascii="宋体" w:hAnsi="宋体" w:eastAsia="宋体" w:cs="宋体"/>
          <w:sz w:val="20"/>
          <w:szCs w:val="20"/>
        </w:rPr>
        <w:t xml:space="preserve"> </w:t>
      </w:r>
      <w:r>
        <w:rPr>
          <w:rFonts w:ascii="宋体" w:hAnsi="宋体" w:eastAsia="宋体" w:cs="宋体"/>
          <w:spacing w:val="-1"/>
          <w:sz w:val="20"/>
          <w:szCs w:val="20"/>
        </w:rPr>
        <w:t>均可流行。临床上发病较急，表现为发热或寒战、咳嗽、咽痛、流涕或鼻塞、肌痛或全身痛、头痛、乏</w:t>
      </w:r>
      <w:r>
        <w:rPr>
          <w:rFonts w:ascii="宋体" w:hAnsi="宋体" w:eastAsia="宋体" w:cs="宋体"/>
          <w:spacing w:val="13"/>
          <w:sz w:val="20"/>
          <w:szCs w:val="20"/>
        </w:rPr>
        <w:t xml:space="preserve"> </w:t>
      </w:r>
      <w:r>
        <w:rPr>
          <w:rFonts w:ascii="宋体" w:hAnsi="宋体" w:eastAsia="宋体" w:cs="宋体"/>
          <w:spacing w:val="7"/>
          <w:sz w:val="20"/>
          <w:szCs w:val="20"/>
        </w:rPr>
        <w:t>力等，部分病人(更常见于儿童)可出现呕吐和腹泻。</w:t>
      </w:r>
    </w:p>
    <w:p w14:paraId="3166EC03">
      <w:pPr>
        <w:spacing w:before="22" w:line="333" w:lineRule="auto"/>
        <w:ind w:left="689" w:firstLine="419"/>
        <w:jc w:val="both"/>
        <w:rPr>
          <w:rFonts w:ascii="宋体" w:hAnsi="宋体" w:eastAsia="宋体" w:cs="宋体"/>
          <w:sz w:val="20"/>
          <w:szCs w:val="20"/>
        </w:rPr>
      </w:pPr>
      <w:r>
        <w:rPr>
          <w:rFonts w:ascii="宋体" w:hAnsi="宋体" w:eastAsia="宋体" w:cs="宋体"/>
          <w:spacing w:val="5"/>
          <w:sz w:val="20"/>
          <w:szCs w:val="20"/>
        </w:rPr>
        <w:t>20世纪发生过3次流感大流行，分别是在1918年、1957年和1968年。1918年的流感大流行造成全</w:t>
      </w:r>
      <w:r>
        <w:rPr>
          <w:rFonts w:ascii="宋体" w:hAnsi="宋体" w:eastAsia="宋体" w:cs="宋体"/>
          <w:spacing w:val="13"/>
          <w:sz w:val="20"/>
          <w:szCs w:val="20"/>
        </w:rPr>
        <w:t xml:space="preserve"> </w:t>
      </w:r>
      <w:r>
        <w:rPr>
          <w:rFonts w:ascii="宋体" w:hAnsi="宋体" w:eastAsia="宋体" w:cs="宋体"/>
          <w:spacing w:val="7"/>
          <w:sz w:val="20"/>
          <w:szCs w:val="20"/>
        </w:rPr>
        <w:t>球大约4000万～5000万人死亡，这次罕见的大流行被认为是人类历史上最致命的事件之一。1957年</w:t>
      </w:r>
      <w:r>
        <w:rPr>
          <w:rFonts w:ascii="宋体" w:hAnsi="宋体" w:eastAsia="宋体" w:cs="宋体"/>
          <w:spacing w:val="15"/>
          <w:sz w:val="20"/>
          <w:szCs w:val="20"/>
        </w:rPr>
        <w:t xml:space="preserve"> </w:t>
      </w:r>
      <w:r>
        <w:rPr>
          <w:rFonts w:ascii="宋体" w:hAnsi="宋体" w:eastAsia="宋体" w:cs="宋体"/>
          <w:spacing w:val="9"/>
          <w:sz w:val="20"/>
          <w:szCs w:val="20"/>
        </w:rPr>
        <w:t>和1968年流感大流行的死亡估计数分别为200万和100万。最近的一次是2009年的甲型H1N1 流感大</w:t>
      </w:r>
      <w:r>
        <w:rPr>
          <w:rFonts w:ascii="宋体" w:hAnsi="宋体" w:eastAsia="宋体" w:cs="宋体"/>
          <w:sz w:val="20"/>
          <w:szCs w:val="20"/>
        </w:rPr>
        <w:t xml:space="preserve"> </w:t>
      </w:r>
      <w:r>
        <w:rPr>
          <w:rFonts w:ascii="宋体" w:hAnsi="宋体" w:eastAsia="宋体" w:cs="宋体"/>
          <w:spacing w:val="2"/>
          <w:sz w:val="20"/>
          <w:szCs w:val="20"/>
        </w:rPr>
        <w:t>流行，是一次较为温和的流感大流行，全球报告实验</w:t>
      </w:r>
      <w:r>
        <w:rPr>
          <w:rFonts w:ascii="宋体" w:hAnsi="宋体" w:eastAsia="宋体" w:cs="宋体"/>
          <w:spacing w:val="1"/>
          <w:sz w:val="20"/>
          <w:szCs w:val="20"/>
        </w:rPr>
        <w:t>室确诊死亡病例超过1.8万人。某些动物流感病毒</w:t>
      </w:r>
      <w:r>
        <w:rPr>
          <w:rFonts w:ascii="宋体" w:hAnsi="宋体" w:eastAsia="宋体" w:cs="宋体"/>
          <w:sz w:val="20"/>
          <w:szCs w:val="20"/>
        </w:rPr>
        <w:t xml:space="preserve"> </w:t>
      </w:r>
      <w:r>
        <w:rPr>
          <w:rFonts w:ascii="宋体" w:hAnsi="宋体" w:eastAsia="宋体" w:cs="宋体"/>
          <w:spacing w:val="-1"/>
          <w:sz w:val="20"/>
          <w:szCs w:val="20"/>
        </w:rPr>
        <w:t>偶尔跨越种属屏障引起人类感染，对公共卫生安全造成威胁，流感病毒的跨物种传播正日益引起关注。</w:t>
      </w:r>
    </w:p>
    <w:p w14:paraId="11EC48EB">
      <w:pPr>
        <w:spacing w:before="38" w:line="336" w:lineRule="auto"/>
        <w:ind w:left="689" w:right="19" w:firstLine="419"/>
        <w:jc w:val="both"/>
        <w:rPr>
          <w:rFonts w:ascii="宋体" w:hAnsi="宋体" w:eastAsia="宋体" w:cs="宋体"/>
          <w:sz w:val="20"/>
          <w:szCs w:val="20"/>
        </w:rPr>
      </w:pPr>
      <w:r>
        <w:rPr>
          <w:rFonts w:ascii="宋体" w:hAnsi="宋体" w:eastAsia="宋体" w:cs="宋体"/>
          <w:spacing w:val="14"/>
          <w:sz w:val="20"/>
          <w:szCs w:val="20"/>
        </w:rPr>
        <w:t>流感的每年季节性流行和不定期的世界范围内大流行在全球造成</w:t>
      </w:r>
      <w:r>
        <w:rPr>
          <w:rFonts w:ascii="宋体" w:hAnsi="宋体" w:eastAsia="宋体" w:cs="宋体"/>
          <w:spacing w:val="13"/>
          <w:sz w:val="20"/>
          <w:szCs w:val="20"/>
        </w:rPr>
        <w:t>了严重的疾病负担。流感是</w:t>
      </w:r>
      <w:r>
        <w:rPr>
          <w:rFonts w:ascii="宋体" w:hAnsi="宋体" w:eastAsia="宋体" w:cs="宋体"/>
          <w:sz w:val="20"/>
          <w:szCs w:val="20"/>
        </w:rPr>
        <w:t xml:space="preserve"> </w:t>
      </w:r>
      <w:r>
        <w:rPr>
          <w:rFonts w:ascii="宋体" w:hAnsi="宋体" w:eastAsia="宋体" w:cs="宋体"/>
          <w:spacing w:val="9"/>
          <w:sz w:val="20"/>
          <w:szCs w:val="20"/>
        </w:rPr>
        <w:t>第一个实行全球监测的传染病，中国是全球流感监测的</w:t>
      </w:r>
      <w:r>
        <w:rPr>
          <w:rFonts w:ascii="宋体" w:hAnsi="宋体" w:eastAsia="宋体" w:cs="宋体"/>
          <w:spacing w:val="8"/>
          <w:sz w:val="20"/>
          <w:szCs w:val="20"/>
        </w:rPr>
        <w:t>重要哨点，目前以国家流感中心为核心的全</w:t>
      </w:r>
      <w:r>
        <w:rPr>
          <w:rFonts w:ascii="宋体" w:hAnsi="宋体" w:eastAsia="宋体" w:cs="宋体"/>
          <w:sz w:val="20"/>
          <w:szCs w:val="20"/>
        </w:rPr>
        <w:t xml:space="preserve"> </w:t>
      </w:r>
      <w:r>
        <w:rPr>
          <w:rFonts w:ascii="宋体" w:hAnsi="宋体" w:eastAsia="宋体" w:cs="宋体"/>
          <w:spacing w:val="4"/>
          <w:sz w:val="20"/>
          <w:szCs w:val="20"/>
        </w:rPr>
        <w:t>国流感监测网络规模显著扩大，监测内容不断完善，监测范围不断扩大，监测质量</w:t>
      </w:r>
      <w:r>
        <w:rPr>
          <w:rFonts w:ascii="宋体" w:hAnsi="宋体" w:eastAsia="宋体" w:cs="宋体"/>
          <w:spacing w:val="3"/>
          <w:sz w:val="20"/>
          <w:szCs w:val="20"/>
        </w:rPr>
        <w:t>迅速提升，为流感</w:t>
      </w:r>
      <w:r>
        <w:rPr>
          <w:rFonts w:ascii="宋体" w:hAnsi="宋体" w:eastAsia="宋体" w:cs="宋体"/>
          <w:sz w:val="20"/>
          <w:szCs w:val="20"/>
        </w:rPr>
        <w:t xml:space="preserve"> </w:t>
      </w:r>
      <w:r>
        <w:rPr>
          <w:rFonts w:ascii="宋体" w:hAnsi="宋体" w:eastAsia="宋体" w:cs="宋体"/>
          <w:spacing w:val="6"/>
          <w:sz w:val="20"/>
          <w:szCs w:val="20"/>
        </w:rPr>
        <w:t>监测提供了可靠的数据保障。</w:t>
      </w:r>
    </w:p>
    <w:p w14:paraId="14825943">
      <w:pPr>
        <w:spacing w:line="384" w:lineRule="auto"/>
        <w:rPr>
          <w:rFonts w:ascii="Arial"/>
          <w:sz w:val="21"/>
        </w:rPr>
      </w:pPr>
    </w:p>
    <w:p w14:paraId="3B9AB4C3">
      <w:pPr>
        <w:pStyle w:val="2"/>
        <w:spacing w:before="94" w:line="221" w:lineRule="auto"/>
        <w:ind w:left="4144"/>
        <w:outlineLvl w:val="1"/>
        <w:rPr>
          <w:sz w:val="29"/>
          <w:szCs w:val="29"/>
        </w:rPr>
      </w:pPr>
      <w:bookmarkStart w:id="587" w:name="bookmark368"/>
      <w:bookmarkEnd w:id="587"/>
      <w:r>
        <w:rPr>
          <w:b/>
          <w:bCs/>
          <w:spacing w:val="5"/>
          <w:sz w:val="29"/>
          <w:szCs w:val="29"/>
        </w:rPr>
        <w:t>第一节</w:t>
      </w:r>
      <w:r>
        <w:rPr>
          <w:spacing w:val="128"/>
          <w:sz w:val="29"/>
          <w:szCs w:val="29"/>
        </w:rPr>
        <w:t xml:space="preserve"> </w:t>
      </w:r>
      <w:r>
        <w:rPr>
          <w:b/>
          <w:bCs/>
          <w:spacing w:val="5"/>
          <w:sz w:val="29"/>
          <w:szCs w:val="29"/>
        </w:rPr>
        <w:t>病原学</w:t>
      </w:r>
    </w:p>
    <w:p w14:paraId="6E1A8E38">
      <w:pPr>
        <w:spacing w:line="443" w:lineRule="auto"/>
        <w:rPr>
          <w:rFonts w:ascii="Arial"/>
          <w:sz w:val="21"/>
        </w:rPr>
      </w:pPr>
    </w:p>
    <w:p w14:paraId="7F4B0F07">
      <w:pPr>
        <w:pStyle w:val="2"/>
        <w:spacing w:before="66" w:line="221" w:lineRule="auto"/>
        <w:ind w:left="1112"/>
        <w:outlineLvl w:val="4"/>
        <w:rPr>
          <w:sz w:val="20"/>
          <w:szCs w:val="20"/>
        </w:rPr>
      </w:pPr>
      <w:bookmarkStart w:id="588" w:name="bookmark369"/>
      <w:bookmarkEnd w:id="588"/>
      <w:r>
        <w:rPr>
          <w:b/>
          <w:bCs/>
          <w:spacing w:val="-15"/>
          <w:sz w:val="20"/>
          <w:szCs w:val="20"/>
        </w:rPr>
        <w:t>一</w:t>
      </w:r>
      <w:r>
        <w:rPr>
          <w:spacing w:val="30"/>
          <w:sz w:val="20"/>
          <w:szCs w:val="20"/>
        </w:rPr>
        <w:t xml:space="preserve"> </w:t>
      </w:r>
      <w:r>
        <w:rPr>
          <w:b/>
          <w:bCs/>
          <w:spacing w:val="-15"/>
          <w:sz w:val="20"/>
          <w:szCs w:val="20"/>
        </w:rPr>
        <w:t>、流</w:t>
      </w:r>
      <w:r>
        <w:rPr>
          <w:spacing w:val="-29"/>
          <w:sz w:val="20"/>
          <w:szCs w:val="20"/>
        </w:rPr>
        <w:t xml:space="preserve"> </w:t>
      </w:r>
      <w:r>
        <w:rPr>
          <w:b/>
          <w:bCs/>
          <w:spacing w:val="-15"/>
          <w:sz w:val="20"/>
          <w:szCs w:val="20"/>
        </w:rPr>
        <w:t>感</w:t>
      </w:r>
      <w:r>
        <w:rPr>
          <w:spacing w:val="-33"/>
          <w:sz w:val="20"/>
          <w:szCs w:val="20"/>
        </w:rPr>
        <w:t xml:space="preserve"> </w:t>
      </w:r>
      <w:r>
        <w:rPr>
          <w:b/>
          <w:bCs/>
          <w:spacing w:val="-15"/>
          <w:sz w:val="20"/>
          <w:szCs w:val="20"/>
        </w:rPr>
        <w:t>病</w:t>
      </w:r>
      <w:r>
        <w:rPr>
          <w:spacing w:val="-27"/>
          <w:sz w:val="20"/>
          <w:szCs w:val="20"/>
        </w:rPr>
        <w:t xml:space="preserve"> </w:t>
      </w:r>
      <w:r>
        <w:rPr>
          <w:b/>
          <w:bCs/>
          <w:spacing w:val="-15"/>
          <w:sz w:val="20"/>
          <w:szCs w:val="20"/>
        </w:rPr>
        <w:t>毒</w:t>
      </w:r>
      <w:r>
        <w:rPr>
          <w:spacing w:val="-15"/>
          <w:sz w:val="20"/>
          <w:szCs w:val="20"/>
        </w:rPr>
        <w:t xml:space="preserve"> </w:t>
      </w:r>
      <w:r>
        <w:rPr>
          <w:b/>
          <w:bCs/>
          <w:spacing w:val="-15"/>
          <w:sz w:val="20"/>
          <w:szCs w:val="20"/>
        </w:rPr>
        <w:t>的</w:t>
      </w:r>
      <w:r>
        <w:rPr>
          <w:spacing w:val="-31"/>
          <w:sz w:val="20"/>
          <w:szCs w:val="20"/>
        </w:rPr>
        <w:t xml:space="preserve"> </w:t>
      </w:r>
      <w:r>
        <w:rPr>
          <w:b/>
          <w:bCs/>
          <w:spacing w:val="-15"/>
          <w:sz w:val="20"/>
          <w:szCs w:val="20"/>
        </w:rPr>
        <w:t>结</w:t>
      </w:r>
      <w:r>
        <w:rPr>
          <w:spacing w:val="-33"/>
          <w:sz w:val="20"/>
          <w:szCs w:val="20"/>
        </w:rPr>
        <w:t xml:space="preserve"> </w:t>
      </w:r>
      <w:r>
        <w:rPr>
          <w:b/>
          <w:bCs/>
          <w:spacing w:val="-15"/>
          <w:sz w:val="20"/>
          <w:szCs w:val="20"/>
        </w:rPr>
        <w:t>构</w:t>
      </w:r>
      <w:r>
        <w:rPr>
          <w:spacing w:val="-29"/>
          <w:sz w:val="20"/>
          <w:szCs w:val="20"/>
        </w:rPr>
        <w:t xml:space="preserve"> </w:t>
      </w:r>
      <w:r>
        <w:rPr>
          <w:b/>
          <w:bCs/>
          <w:spacing w:val="-15"/>
          <w:sz w:val="20"/>
          <w:szCs w:val="20"/>
        </w:rPr>
        <w:t>和</w:t>
      </w:r>
      <w:r>
        <w:rPr>
          <w:spacing w:val="-26"/>
          <w:sz w:val="20"/>
          <w:szCs w:val="20"/>
        </w:rPr>
        <w:t xml:space="preserve"> </w:t>
      </w:r>
      <w:r>
        <w:rPr>
          <w:b/>
          <w:bCs/>
          <w:spacing w:val="-15"/>
          <w:sz w:val="20"/>
          <w:szCs w:val="20"/>
        </w:rPr>
        <w:t>分</w:t>
      </w:r>
      <w:r>
        <w:rPr>
          <w:spacing w:val="-24"/>
          <w:sz w:val="20"/>
          <w:szCs w:val="20"/>
        </w:rPr>
        <w:t xml:space="preserve"> </w:t>
      </w:r>
      <w:r>
        <w:rPr>
          <w:b/>
          <w:bCs/>
          <w:spacing w:val="-15"/>
          <w:sz w:val="20"/>
          <w:szCs w:val="20"/>
        </w:rPr>
        <w:t>类</w:t>
      </w:r>
    </w:p>
    <w:p w14:paraId="167AD8B7">
      <w:pPr>
        <w:pStyle w:val="2"/>
        <w:spacing w:before="270" w:line="221" w:lineRule="auto"/>
        <w:ind w:left="1112"/>
        <w:rPr>
          <w:sz w:val="20"/>
          <w:szCs w:val="20"/>
        </w:rPr>
      </w:pPr>
      <w:r>
        <w:rPr>
          <w:b/>
          <w:bCs/>
          <w:spacing w:val="21"/>
          <w:sz w:val="20"/>
          <w:szCs w:val="20"/>
        </w:rPr>
        <w:t>(</w:t>
      </w:r>
      <w:r>
        <w:rPr>
          <w:spacing w:val="-53"/>
          <w:sz w:val="20"/>
          <w:szCs w:val="20"/>
        </w:rPr>
        <w:t xml:space="preserve"> </w:t>
      </w:r>
      <w:r>
        <w:rPr>
          <w:b/>
          <w:bCs/>
          <w:spacing w:val="21"/>
          <w:sz w:val="20"/>
          <w:szCs w:val="20"/>
        </w:rPr>
        <w:t>一)流感病毒的基本结构</w:t>
      </w:r>
    </w:p>
    <w:p w14:paraId="30F9418D">
      <w:pPr>
        <w:spacing w:before="123" w:line="212" w:lineRule="auto"/>
        <w:ind w:left="1109"/>
        <w:rPr>
          <w:rFonts w:ascii="宋体" w:hAnsi="宋体" w:eastAsia="宋体" w:cs="宋体"/>
          <w:sz w:val="20"/>
          <w:szCs w:val="20"/>
        </w:rPr>
      </w:pPr>
      <w:r>
        <w:rPr>
          <w:rFonts w:ascii="宋体" w:hAnsi="宋体" w:eastAsia="宋体" w:cs="宋体"/>
          <w:spacing w:val="8"/>
          <w:sz w:val="20"/>
          <w:szCs w:val="20"/>
        </w:rPr>
        <w:t>流感病毒在分类上属正黏病毒科</w:t>
      </w:r>
      <w:r>
        <w:rPr>
          <w:rFonts w:ascii="Times New Roman" w:hAnsi="Times New Roman" w:eastAsia="Times New Roman" w:cs="Times New Roman"/>
          <w:spacing w:val="8"/>
          <w:sz w:val="20"/>
          <w:szCs w:val="20"/>
        </w:rPr>
        <w:t>(</w:t>
      </w:r>
      <w:r>
        <w:rPr>
          <w:rFonts w:ascii="Times New Roman" w:hAnsi="Times New Roman" w:eastAsia="Times New Roman" w:cs="Times New Roman"/>
          <w:sz w:val="20"/>
          <w:szCs w:val="20"/>
        </w:rPr>
        <w:t>Orthomyxoviridae</w:t>
      </w:r>
      <w:r>
        <w:rPr>
          <w:rFonts w:ascii="Times New Roman" w:hAnsi="Times New Roman" w:eastAsia="Times New Roman" w:cs="Times New Roman"/>
          <w:spacing w:val="8"/>
          <w:sz w:val="20"/>
          <w:szCs w:val="20"/>
        </w:rPr>
        <w:t xml:space="preserve">), </w:t>
      </w:r>
      <w:r>
        <w:rPr>
          <w:rFonts w:ascii="宋体" w:hAnsi="宋体" w:eastAsia="宋体" w:cs="宋体"/>
          <w:spacing w:val="8"/>
          <w:sz w:val="20"/>
          <w:szCs w:val="20"/>
        </w:rPr>
        <w:t>是多形性有包膜病毒，多为球形，直径80~</w:t>
      </w:r>
    </w:p>
    <w:p w14:paraId="37372490">
      <w:pPr>
        <w:spacing w:line="212" w:lineRule="auto"/>
        <w:rPr>
          <w:rFonts w:ascii="宋体" w:hAnsi="宋体" w:eastAsia="宋体" w:cs="宋体"/>
          <w:sz w:val="20"/>
          <w:szCs w:val="20"/>
        </w:rPr>
        <w:sectPr>
          <w:footerReference r:id="rId371" w:type="default"/>
          <w:pgSz w:w="11900" w:h="16820"/>
          <w:pgMar w:top="400" w:right="1470" w:bottom="939" w:left="750" w:header="0" w:footer="759" w:gutter="0"/>
          <w:cols w:space="720" w:num="1"/>
        </w:sectPr>
      </w:pPr>
    </w:p>
    <w:p w14:paraId="44E70D42">
      <w:pPr>
        <w:spacing w:line="269" w:lineRule="auto"/>
        <w:rPr>
          <w:rFonts w:ascii="Arial"/>
          <w:sz w:val="21"/>
        </w:rPr>
      </w:pPr>
    </w:p>
    <w:p w14:paraId="7482A5A2">
      <w:pPr>
        <w:pStyle w:val="2"/>
        <w:spacing w:before="65" w:line="221" w:lineRule="auto"/>
        <w:ind w:left="6679"/>
        <w:rPr>
          <w:sz w:val="20"/>
          <w:szCs w:val="20"/>
        </w:rPr>
      </w:pPr>
      <w:r>
        <w:rPr>
          <w:spacing w:val="-18"/>
          <w:w w:val="98"/>
          <w:sz w:val="20"/>
          <w:szCs w:val="20"/>
        </w:rPr>
        <w:t>第二十三章流行性感冒</w:t>
      </w:r>
    </w:p>
    <w:p w14:paraId="438D2D08">
      <w:pPr>
        <w:spacing w:line="269" w:lineRule="auto"/>
        <w:rPr>
          <w:rFonts w:ascii="Arial"/>
          <w:sz w:val="21"/>
        </w:rPr>
      </w:pPr>
    </w:p>
    <w:p w14:paraId="4CE8B36F">
      <w:pPr>
        <w:spacing w:line="269" w:lineRule="auto"/>
        <w:rPr>
          <w:rFonts w:ascii="Arial"/>
          <w:sz w:val="21"/>
        </w:rPr>
      </w:pPr>
    </w:p>
    <w:p w14:paraId="200B4692">
      <w:pPr>
        <w:spacing w:before="65" w:line="335" w:lineRule="auto"/>
        <w:ind w:right="610"/>
        <w:jc w:val="both"/>
        <w:rPr>
          <w:rFonts w:ascii="宋体" w:hAnsi="宋体" w:eastAsia="宋体" w:cs="宋体"/>
          <w:sz w:val="20"/>
          <w:szCs w:val="20"/>
        </w:rPr>
      </w:pPr>
      <w:r>
        <w:rPr>
          <w:rFonts w:ascii="Times New Roman" w:hAnsi="Times New Roman" w:eastAsia="Times New Roman" w:cs="Times New Roman"/>
          <w:spacing w:val="-5"/>
          <w:sz w:val="20"/>
          <w:szCs w:val="20"/>
        </w:rPr>
        <w:t>120nm</w:t>
      </w:r>
      <w:r>
        <w:rPr>
          <w:rFonts w:ascii="宋体" w:hAnsi="宋体" w:eastAsia="宋体" w:cs="宋体"/>
          <w:spacing w:val="-5"/>
          <w:sz w:val="20"/>
          <w:szCs w:val="20"/>
        </w:rPr>
        <w:t>。其病毒颗粒结构由外至内分为三层，最外层有两种表面抗原，即血凝素</w:t>
      </w:r>
      <w:r>
        <w:rPr>
          <w:rFonts w:ascii="Times New Roman" w:hAnsi="Times New Roman" w:eastAsia="Times New Roman" w:cs="Times New Roman"/>
          <w:spacing w:val="-5"/>
          <w:sz w:val="20"/>
          <w:szCs w:val="20"/>
        </w:rPr>
        <w:t>(hemagglutinin,HA)</w:t>
      </w:r>
      <w:r>
        <w:rPr>
          <w:rFonts w:ascii="Times New Roman" w:hAnsi="Times New Roman" w:eastAsia="Times New Roman" w:cs="Times New Roman"/>
          <w:spacing w:val="4"/>
          <w:sz w:val="20"/>
          <w:szCs w:val="20"/>
        </w:rPr>
        <w:t xml:space="preserve">    </w:t>
      </w:r>
      <w:r>
        <w:rPr>
          <w:rFonts w:ascii="宋体" w:hAnsi="宋体" w:eastAsia="宋体" w:cs="宋体"/>
          <w:spacing w:val="-1"/>
          <w:sz w:val="20"/>
          <w:szCs w:val="20"/>
        </w:rPr>
        <w:t>抗原和神经氨酸酶</w:t>
      </w:r>
      <w:r>
        <w:rPr>
          <w:rFonts w:ascii="Times New Roman" w:hAnsi="Times New Roman" w:eastAsia="Times New Roman" w:cs="Times New Roman"/>
          <w:spacing w:val="-1"/>
          <w:sz w:val="20"/>
          <w:szCs w:val="20"/>
        </w:rPr>
        <w:t>(neuraminidase,NA)</w:t>
      </w:r>
      <w:r>
        <w:rPr>
          <w:rFonts w:ascii="Times New Roman" w:hAnsi="Times New Roman" w:eastAsia="Times New Roman" w:cs="Times New Roman"/>
          <w:spacing w:val="41"/>
          <w:w w:val="101"/>
          <w:sz w:val="20"/>
          <w:szCs w:val="20"/>
        </w:rPr>
        <w:t xml:space="preserve"> </w:t>
      </w:r>
      <w:r>
        <w:rPr>
          <w:rFonts w:ascii="宋体" w:hAnsi="宋体" w:eastAsia="宋体" w:cs="宋体"/>
          <w:spacing w:val="-1"/>
          <w:sz w:val="20"/>
          <w:szCs w:val="20"/>
        </w:rPr>
        <w:t>抗原。</w:t>
      </w:r>
      <w:r>
        <w:rPr>
          <w:rFonts w:ascii="Times New Roman" w:hAnsi="Times New Roman" w:eastAsia="Times New Roman" w:cs="Times New Roman"/>
          <w:spacing w:val="-1"/>
          <w:sz w:val="20"/>
          <w:szCs w:val="20"/>
        </w:rPr>
        <w:t>HA</w:t>
      </w:r>
      <w:r>
        <w:rPr>
          <w:rFonts w:ascii="Times New Roman" w:hAnsi="Times New Roman" w:eastAsia="Times New Roman" w:cs="Times New Roman"/>
          <w:spacing w:val="14"/>
          <w:w w:val="101"/>
          <w:sz w:val="20"/>
          <w:szCs w:val="20"/>
        </w:rPr>
        <w:t xml:space="preserve"> </w:t>
      </w:r>
      <w:r>
        <w:rPr>
          <w:rFonts w:ascii="宋体" w:hAnsi="宋体" w:eastAsia="宋体" w:cs="宋体"/>
          <w:spacing w:val="-1"/>
          <w:sz w:val="20"/>
          <w:szCs w:val="20"/>
        </w:rPr>
        <w:t>能使病毒颗粒吸附于敏感细胞</w:t>
      </w:r>
      <w:r>
        <w:rPr>
          <w:rFonts w:ascii="宋体" w:hAnsi="宋体" w:eastAsia="宋体" w:cs="宋体"/>
          <w:spacing w:val="-2"/>
          <w:sz w:val="20"/>
          <w:szCs w:val="20"/>
        </w:rPr>
        <w:t>的表面受体从而造</w:t>
      </w:r>
      <w:r>
        <w:rPr>
          <w:rFonts w:ascii="宋体" w:hAnsi="宋体" w:eastAsia="宋体" w:cs="宋体"/>
          <w:sz w:val="20"/>
          <w:szCs w:val="20"/>
        </w:rPr>
        <w:t xml:space="preserve"> </w:t>
      </w:r>
      <w:r>
        <w:rPr>
          <w:rFonts w:ascii="宋体" w:hAnsi="宋体" w:eastAsia="宋体" w:cs="宋体"/>
          <w:spacing w:val="-7"/>
          <w:sz w:val="20"/>
          <w:szCs w:val="20"/>
        </w:rPr>
        <w:t>成感染；NA</w:t>
      </w:r>
      <w:r>
        <w:rPr>
          <w:rFonts w:ascii="宋体" w:hAnsi="宋体" w:eastAsia="宋体" w:cs="宋体"/>
          <w:spacing w:val="34"/>
          <w:sz w:val="20"/>
          <w:szCs w:val="20"/>
        </w:rPr>
        <w:t xml:space="preserve"> </w:t>
      </w:r>
      <w:r>
        <w:rPr>
          <w:rFonts w:ascii="宋体" w:hAnsi="宋体" w:eastAsia="宋体" w:cs="宋体"/>
          <w:spacing w:val="-7"/>
          <w:sz w:val="20"/>
          <w:szCs w:val="20"/>
        </w:rPr>
        <w:t>则能去除细胞膜表面糖蛋白末端的唾液酸，使病毒颗粒从感染细胞表面释放下来，导致</w:t>
      </w:r>
      <w:r>
        <w:rPr>
          <w:rFonts w:ascii="宋体" w:hAnsi="宋体" w:eastAsia="宋体" w:cs="宋体"/>
          <w:sz w:val="20"/>
          <w:szCs w:val="20"/>
        </w:rPr>
        <w:t xml:space="preserve"> 病毒感染扩散。</w:t>
      </w:r>
      <w:r>
        <w:rPr>
          <w:rFonts w:ascii="Times New Roman" w:hAnsi="Times New Roman" w:eastAsia="Times New Roman" w:cs="Times New Roman"/>
          <w:sz w:val="20"/>
          <w:szCs w:val="20"/>
        </w:rPr>
        <w:t xml:space="preserve">HA </w:t>
      </w:r>
      <w:r>
        <w:rPr>
          <w:rFonts w:ascii="宋体" w:hAnsi="宋体" w:eastAsia="宋体" w:cs="宋体"/>
          <w:sz w:val="20"/>
          <w:szCs w:val="20"/>
        </w:rPr>
        <w:t>和</w:t>
      </w:r>
      <w:r>
        <w:rPr>
          <w:rFonts w:ascii="Times New Roman" w:hAnsi="Times New Roman" w:eastAsia="Times New Roman" w:cs="Times New Roman"/>
          <w:sz w:val="20"/>
          <w:szCs w:val="20"/>
        </w:rPr>
        <w:t>NA</w:t>
      </w:r>
      <w:r>
        <w:rPr>
          <w:rFonts w:ascii="Times New Roman" w:hAnsi="Times New Roman" w:eastAsia="Times New Roman" w:cs="Times New Roman"/>
          <w:spacing w:val="-11"/>
          <w:sz w:val="20"/>
          <w:szCs w:val="20"/>
        </w:rPr>
        <w:t xml:space="preserve"> </w:t>
      </w:r>
      <w:r>
        <w:rPr>
          <w:rFonts w:ascii="宋体" w:hAnsi="宋体" w:eastAsia="宋体" w:cs="宋体"/>
          <w:sz w:val="20"/>
          <w:szCs w:val="20"/>
        </w:rPr>
        <w:t>均通过跨膜区与中间层的类脂膜相连。中间层为类脂膜</w:t>
      </w:r>
      <w:r>
        <w:rPr>
          <w:rFonts w:ascii="宋体" w:hAnsi="宋体" w:eastAsia="宋体" w:cs="宋体"/>
          <w:spacing w:val="-1"/>
          <w:sz w:val="20"/>
          <w:szCs w:val="20"/>
        </w:rPr>
        <w:t>与内层基质蛋白</w:t>
      </w:r>
      <w:r>
        <w:rPr>
          <w:rFonts w:ascii="宋体" w:hAnsi="宋体" w:eastAsia="宋体" w:cs="宋体"/>
          <w:sz w:val="20"/>
          <w:szCs w:val="20"/>
        </w:rPr>
        <w:t xml:space="preserve"> </w:t>
      </w:r>
      <w:r>
        <w:rPr>
          <w:rFonts w:ascii="Times New Roman" w:hAnsi="Times New Roman" w:eastAsia="Times New Roman" w:cs="Times New Roman"/>
          <w:spacing w:val="-3"/>
          <w:sz w:val="20"/>
          <w:szCs w:val="20"/>
        </w:rPr>
        <w:t>1(matrix  protein   1,M1)</w:t>
      </w:r>
      <w:r>
        <w:rPr>
          <w:rFonts w:ascii="宋体" w:hAnsi="宋体" w:eastAsia="宋体" w:cs="宋体"/>
          <w:spacing w:val="-3"/>
          <w:sz w:val="20"/>
          <w:szCs w:val="20"/>
        </w:rPr>
        <w:t>共同形成的球形蛋白壳，具有维持病毒外形及保护核衣壳的作用。最内层为</w:t>
      </w:r>
      <w:r>
        <w:rPr>
          <w:rFonts w:ascii="宋体" w:hAnsi="宋体" w:eastAsia="宋体" w:cs="宋体"/>
          <w:spacing w:val="3"/>
          <w:sz w:val="20"/>
          <w:szCs w:val="20"/>
        </w:rPr>
        <w:t xml:space="preserve"> </w:t>
      </w:r>
      <w:r>
        <w:rPr>
          <w:rFonts w:ascii="宋体" w:hAnsi="宋体" w:eastAsia="宋体" w:cs="宋体"/>
          <w:spacing w:val="1"/>
          <w:sz w:val="20"/>
          <w:szCs w:val="20"/>
        </w:rPr>
        <w:t>核衣壳，由病毒基因组与核蛋白(</w:t>
      </w:r>
      <w:r>
        <w:rPr>
          <w:rFonts w:ascii="宋体" w:hAnsi="宋体" w:eastAsia="宋体" w:cs="宋体"/>
          <w:sz w:val="20"/>
          <w:szCs w:val="20"/>
        </w:rPr>
        <w:t>nucleoprotein</w:t>
      </w:r>
      <w:r>
        <w:rPr>
          <w:rFonts w:ascii="宋体" w:hAnsi="宋体" w:eastAsia="宋体" w:cs="宋体"/>
          <w:spacing w:val="1"/>
          <w:sz w:val="20"/>
          <w:szCs w:val="20"/>
        </w:rPr>
        <w:t>,</w:t>
      </w:r>
      <w:r>
        <w:rPr>
          <w:rFonts w:ascii="宋体" w:hAnsi="宋体" w:eastAsia="宋体" w:cs="宋体"/>
          <w:sz w:val="20"/>
          <w:szCs w:val="20"/>
        </w:rPr>
        <w:t>NP</w:t>
      </w:r>
      <w:r>
        <w:rPr>
          <w:rFonts w:ascii="宋体" w:hAnsi="宋体" w:eastAsia="宋体" w:cs="宋体"/>
          <w:spacing w:val="1"/>
          <w:sz w:val="20"/>
          <w:szCs w:val="20"/>
        </w:rPr>
        <w:t>)组成。病毒基因组由分子量不等的7个或8个</w:t>
      </w:r>
      <w:r>
        <w:rPr>
          <w:rFonts w:ascii="宋体" w:hAnsi="宋体" w:eastAsia="宋体" w:cs="宋体"/>
          <w:spacing w:val="10"/>
          <w:sz w:val="20"/>
          <w:szCs w:val="20"/>
        </w:rPr>
        <w:t xml:space="preserve"> </w:t>
      </w:r>
      <w:r>
        <w:rPr>
          <w:rFonts w:ascii="宋体" w:hAnsi="宋体" w:eastAsia="宋体" w:cs="宋体"/>
          <w:spacing w:val="1"/>
          <w:sz w:val="20"/>
          <w:szCs w:val="20"/>
        </w:rPr>
        <w:t>节段的单股负链</w:t>
      </w:r>
      <w:r>
        <w:rPr>
          <w:rFonts w:ascii="宋体" w:hAnsi="宋体" w:eastAsia="宋体" w:cs="宋体"/>
          <w:sz w:val="20"/>
          <w:szCs w:val="20"/>
        </w:rPr>
        <w:t>RNA</w:t>
      </w:r>
      <w:r>
        <w:rPr>
          <w:rFonts w:ascii="宋体" w:hAnsi="宋体" w:eastAsia="宋体" w:cs="宋体"/>
          <w:spacing w:val="66"/>
          <w:sz w:val="20"/>
          <w:szCs w:val="20"/>
        </w:rPr>
        <w:t xml:space="preserve"> </w:t>
      </w:r>
      <w:r>
        <w:rPr>
          <w:rFonts w:ascii="宋体" w:hAnsi="宋体" w:eastAsia="宋体" w:cs="宋体"/>
          <w:spacing w:val="1"/>
          <w:sz w:val="20"/>
          <w:szCs w:val="20"/>
        </w:rPr>
        <w:t>组成，每个节段编码1～2种蛋白。8个</w:t>
      </w:r>
      <w:r>
        <w:rPr>
          <w:rFonts w:ascii="宋体" w:hAnsi="宋体" w:eastAsia="宋体" w:cs="宋体"/>
          <w:sz w:val="20"/>
          <w:szCs w:val="20"/>
        </w:rPr>
        <w:t>节段单链RNA</w:t>
      </w:r>
      <w:r>
        <w:rPr>
          <w:rFonts w:ascii="宋体" w:hAnsi="宋体" w:eastAsia="宋体" w:cs="宋体"/>
          <w:spacing w:val="57"/>
          <w:sz w:val="20"/>
          <w:szCs w:val="20"/>
        </w:rPr>
        <w:t xml:space="preserve"> </w:t>
      </w:r>
      <w:r>
        <w:rPr>
          <w:rFonts w:ascii="宋体" w:hAnsi="宋体" w:eastAsia="宋体" w:cs="宋体"/>
          <w:sz w:val="20"/>
          <w:szCs w:val="20"/>
        </w:rPr>
        <w:t xml:space="preserve">的特定组成，以及流感 </w:t>
      </w:r>
      <w:r>
        <w:rPr>
          <w:rFonts w:ascii="宋体" w:hAnsi="宋体" w:eastAsia="宋体" w:cs="宋体"/>
          <w:spacing w:val="-3"/>
          <w:sz w:val="20"/>
          <w:szCs w:val="20"/>
        </w:rPr>
        <w:t>病毒</w:t>
      </w:r>
      <w:r>
        <w:rPr>
          <w:rFonts w:ascii="Times New Roman" w:hAnsi="Times New Roman" w:eastAsia="Times New Roman" w:cs="Times New Roman"/>
          <w:spacing w:val="-3"/>
          <w:sz w:val="20"/>
          <w:szCs w:val="20"/>
        </w:rPr>
        <w:t xml:space="preserve">RNA </w:t>
      </w:r>
      <w:r>
        <w:rPr>
          <w:rFonts w:ascii="宋体" w:hAnsi="宋体" w:eastAsia="宋体" w:cs="宋体"/>
          <w:spacing w:val="-3"/>
          <w:sz w:val="20"/>
          <w:szCs w:val="20"/>
        </w:rPr>
        <w:t>在复制过程中不具有校正功能，决定了其易于发生变异，</w:t>
      </w:r>
      <w:r>
        <w:rPr>
          <w:rFonts w:ascii="Times New Roman" w:hAnsi="Times New Roman" w:eastAsia="Times New Roman" w:cs="Times New Roman"/>
          <w:spacing w:val="-3"/>
          <w:sz w:val="20"/>
          <w:szCs w:val="20"/>
        </w:rPr>
        <w:t xml:space="preserve">HA </w:t>
      </w:r>
      <w:r>
        <w:rPr>
          <w:rFonts w:ascii="宋体" w:hAnsi="宋体" w:eastAsia="宋体" w:cs="宋体"/>
          <w:spacing w:val="-3"/>
          <w:sz w:val="20"/>
          <w:szCs w:val="20"/>
        </w:rPr>
        <w:t>和</w:t>
      </w:r>
      <w:r>
        <w:rPr>
          <w:rFonts w:ascii="宋体" w:hAnsi="宋体" w:eastAsia="宋体" w:cs="宋体"/>
          <w:spacing w:val="-51"/>
          <w:sz w:val="20"/>
          <w:szCs w:val="20"/>
        </w:rPr>
        <w:t xml:space="preserve"> </w:t>
      </w:r>
      <w:r>
        <w:rPr>
          <w:rFonts w:ascii="Times New Roman" w:hAnsi="Times New Roman" w:eastAsia="Times New Roman" w:cs="Times New Roman"/>
          <w:spacing w:val="-3"/>
          <w:sz w:val="20"/>
          <w:szCs w:val="20"/>
        </w:rPr>
        <w:t>NA</w:t>
      </w:r>
      <w:r>
        <w:rPr>
          <w:rFonts w:ascii="Times New Roman" w:hAnsi="Times New Roman" w:eastAsia="Times New Roman" w:cs="Times New Roman"/>
          <w:spacing w:val="-11"/>
          <w:sz w:val="20"/>
          <w:szCs w:val="20"/>
        </w:rPr>
        <w:t xml:space="preserve"> </w:t>
      </w:r>
      <w:r>
        <w:rPr>
          <w:rFonts w:ascii="宋体" w:hAnsi="宋体" w:eastAsia="宋体" w:cs="宋体"/>
          <w:spacing w:val="-3"/>
          <w:sz w:val="20"/>
          <w:szCs w:val="20"/>
        </w:rPr>
        <w:t>均易发生变异；</w:t>
      </w:r>
      <w:r>
        <w:rPr>
          <w:rFonts w:ascii="宋体" w:hAnsi="宋体" w:eastAsia="宋体" w:cs="宋体"/>
          <w:spacing w:val="-4"/>
          <w:sz w:val="20"/>
          <w:szCs w:val="20"/>
        </w:rPr>
        <w:t>并且</w:t>
      </w:r>
      <w:r>
        <w:rPr>
          <w:rFonts w:ascii="宋体" w:hAnsi="宋体" w:eastAsia="宋体" w:cs="宋体"/>
          <w:sz w:val="20"/>
          <w:szCs w:val="20"/>
        </w:rPr>
        <w:t xml:space="preserve"> 不同毒株之间也易于发生基因重配。NP 和M</w:t>
      </w:r>
      <w:r>
        <w:rPr>
          <w:rFonts w:ascii="宋体" w:hAnsi="宋体" w:eastAsia="宋体" w:cs="宋体"/>
          <w:spacing w:val="-1"/>
          <w:sz w:val="20"/>
          <w:szCs w:val="20"/>
        </w:rPr>
        <w:t>1 是决定流感病毒型别的主要型特异性抗原。</w:t>
      </w:r>
    </w:p>
    <w:p w14:paraId="2CA98D9B">
      <w:pPr>
        <w:pStyle w:val="2"/>
        <w:spacing w:before="64" w:line="221" w:lineRule="auto"/>
        <w:ind w:left="412"/>
        <w:rPr>
          <w:sz w:val="20"/>
          <w:szCs w:val="20"/>
        </w:rPr>
      </w:pPr>
      <w:r>
        <w:rPr>
          <w:b/>
          <w:bCs/>
          <w:spacing w:val="17"/>
          <w:sz w:val="20"/>
          <w:szCs w:val="20"/>
        </w:rPr>
        <w:t>(二)流感病毒的分类</w:t>
      </w:r>
    </w:p>
    <w:p w14:paraId="7301C849">
      <w:pPr>
        <w:spacing w:before="60" w:line="340" w:lineRule="auto"/>
        <w:ind w:right="597" w:firstLine="409"/>
        <w:jc w:val="both"/>
        <w:rPr>
          <w:rFonts w:ascii="宋体" w:hAnsi="宋体" w:eastAsia="宋体" w:cs="宋体"/>
          <w:sz w:val="20"/>
          <w:szCs w:val="20"/>
        </w:rPr>
      </w:pPr>
      <w:r>
        <w:rPr>
          <w:rFonts w:ascii="宋体" w:hAnsi="宋体" w:eastAsia="宋体" w:cs="宋体"/>
          <w:spacing w:val="-2"/>
          <w:sz w:val="20"/>
          <w:szCs w:val="20"/>
        </w:rPr>
        <w:t>根据流感病毒</w:t>
      </w:r>
      <w:r>
        <w:rPr>
          <w:rFonts w:ascii="Times New Roman" w:hAnsi="Times New Roman" w:eastAsia="Times New Roman" w:cs="Times New Roman"/>
          <w:spacing w:val="-2"/>
          <w:sz w:val="20"/>
          <w:szCs w:val="20"/>
        </w:rPr>
        <w:t xml:space="preserve">NP </w:t>
      </w:r>
      <w:r>
        <w:rPr>
          <w:rFonts w:ascii="宋体" w:hAnsi="宋体" w:eastAsia="宋体" w:cs="宋体"/>
          <w:spacing w:val="-2"/>
          <w:sz w:val="20"/>
          <w:szCs w:val="20"/>
        </w:rPr>
        <w:t>和</w:t>
      </w:r>
      <w:r>
        <w:rPr>
          <w:rFonts w:ascii="宋体" w:hAnsi="宋体" w:eastAsia="宋体" w:cs="宋体"/>
          <w:spacing w:val="-41"/>
          <w:sz w:val="20"/>
          <w:szCs w:val="20"/>
        </w:rPr>
        <w:t xml:space="preserve"> </w:t>
      </w:r>
      <w:r>
        <w:rPr>
          <w:rFonts w:ascii="Times New Roman" w:hAnsi="Times New Roman" w:eastAsia="Times New Roman" w:cs="Times New Roman"/>
          <w:spacing w:val="-2"/>
          <w:sz w:val="20"/>
          <w:szCs w:val="20"/>
        </w:rPr>
        <w:t>M1</w:t>
      </w:r>
      <w:r>
        <w:rPr>
          <w:rFonts w:ascii="Times New Roman" w:hAnsi="Times New Roman" w:eastAsia="Times New Roman" w:cs="Times New Roman"/>
          <w:spacing w:val="-14"/>
          <w:sz w:val="20"/>
          <w:szCs w:val="20"/>
        </w:rPr>
        <w:t xml:space="preserve"> </w:t>
      </w:r>
      <w:r>
        <w:rPr>
          <w:rFonts w:ascii="宋体" w:hAnsi="宋体" w:eastAsia="宋体" w:cs="宋体"/>
          <w:spacing w:val="-2"/>
          <w:sz w:val="20"/>
          <w:szCs w:val="20"/>
        </w:rPr>
        <w:t>抗原特异性及其基因特性的不同，分为甲</w:t>
      </w:r>
      <w:r>
        <w:rPr>
          <w:rFonts w:ascii="Times New Roman" w:hAnsi="Times New Roman" w:eastAsia="Times New Roman" w:cs="Times New Roman"/>
          <w:spacing w:val="-2"/>
          <w:sz w:val="20"/>
          <w:szCs w:val="20"/>
        </w:rPr>
        <w:t>(A)</w:t>
      </w:r>
      <w:r>
        <w:rPr>
          <w:rFonts w:ascii="Times New Roman" w:hAnsi="Times New Roman" w:eastAsia="Times New Roman" w:cs="Times New Roman"/>
          <w:spacing w:val="-29"/>
          <w:sz w:val="20"/>
          <w:szCs w:val="20"/>
        </w:rPr>
        <w:t xml:space="preserve"> </w:t>
      </w:r>
      <w:r>
        <w:rPr>
          <w:rFonts w:ascii="宋体" w:hAnsi="宋体" w:eastAsia="宋体" w:cs="宋体"/>
          <w:spacing w:val="-2"/>
          <w:sz w:val="20"/>
          <w:szCs w:val="20"/>
        </w:rPr>
        <w:t>、乙</w:t>
      </w:r>
      <w:r>
        <w:rPr>
          <w:rFonts w:ascii="Times New Roman" w:hAnsi="Times New Roman" w:eastAsia="Times New Roman" w:cs="Times New Roman"/>
          <w:spacing w:val="-2"/>
          <w:sz w:val="20"/>
          <w:szCs w:val="20"/>
        </w:rPr>
        <w:t>(B)</w:t>
      </w:r>
      <w:r>
        <w:rPr>
          <w:rFonts w:ascii="宋体" w:hAnsi="宋体" w:eastAsia="宋体" w:cs="宋体"/>
          <w:spacing w:val="-2"/>
          <w:sz w:val="20"/>
          <w:szCs w:val="20"/>
        </w:rPr>
        <w:t>、丙</w:t>
      </w:r>
      <w:r>
        <w:rPr>
          <w:rFonts w:ascii="宋体" w:hAnsi="宋体" w:eastAsia="宋体" w:cs="宋体"/>
          <w:spacing w:val="-58"/>
          <w:sz w:val="20"/>
          <w:szCs w:val="20"/>
        </w:rPr>
        <w:t xml:space="preserve"> </w:t>
      </w:r>
      <w:r>
        <w:rPr>
          <w:rFonts w:ascii="Times New Roman" w:hAnsi="Times New Roman" w:eastAsia="Times New Roman" w:cs="Times New Roman"/>
          <w:spacing w:val="-2"/>
          <w:sz w:val="20"/>
          <w:szCs w:val="20"/>
        </w:rPr>
        <w:t>(C)</w:t>
      </w:r>
      <w:r>
        <w:rPr>
          <w:rFonts w:ascii="Times New Roman" w:hAnsi="Times New Roman" w:eastAsia="Times New Roman" w:cs="Times New Roman"/>
          <w:spacing w:val="-28"/>
          <w:sz w:val="20"/>
          <w:szCs w:val="20"/>
        </w:rPr>
        <w:t xml:space="preserve"> </w:t>
      </w:r>
      <w:r>
        <w:rPr>
          <w:rFonts w:ascii="宋体" w:hAnsi="宋体" w:eastAsia="宋体" w:cs="宋体"/>
          <w:spacing w:val="-2"/>
          <w:sz w:val="20"/>
          <w:szCs w:val="20"/>
        </w:rPr>
        <w:t>、</w:t>
      </w:r>
      <w:r>
        <w:rPr>
          <w:rFonts w:ascii="宋体" w:hAnsi="宋体" w:eastAsia="宋体" w:cs="宋体"/>
          <w:spacing w:val="-58"/>
          <w:sz w:val="20"/>
          <w:szCs w:val="20"/>
        </w:rPr>
        <w:t xml:space="preserve"> </w:t>
      </w:r>
      <w:r>
        <w:rPr>
          <w:rFonts w:ascii="宋体" w:hAnsi="宋体" w:eastAsia="宋体" w:cs="宋体"/>
          <w:spacing w:val="-2"/>
          <w:sz w:val="20"/>
          <w:szCs w:val="20"/>
        </w:rPr>
        <w:t>丁</w:t>
      </w:r>
      <w:r>
        <w:rPr>
          <w:rFonts w:ascii="Times New Roman" w:hAnsi="Times New Roman" w:eastAsia="Times New Roman" w:cs="Times New Roman"/>
          <w:spacing w:val="-2"/>
          <w:sz w:val="20"/>
          <w:szCs w:val="20"/>
        </w:rPr>
        <w:t>(D)</w:t>
      </w:r>
      <w:r>
        <w:rPr>
          <w:rFonts w:ascii="Times New Roman" w:hAnsi="Times New Roman" w:eastAsia="Times New Roman" w:cs="Times New Roman"/>
          <w:sz w:val="20"/>
          <w:szCs w:val="20"/>
        </w:rPr>
        <w:t xml:space="preserve">  </w:t>
      </w:r>
      <w:r>
        <w:rPr>
          <w:rFonts w:ascii="宋体" w:hAnsi="宋体" w:eastAsia="宋体" w:cs="宋体"/>
          <w:spacing w:val="4"/>
          <w:sz w:val="20"/>
          <w:szCs w:val="20"/>
        </w:rPr>
        <w:t>四型。甲型和乙型流感病毒有8个</w:t>
      </w:r>
      <w:r>
        <w:rPr>
          <w:rFonts w:ascii="Times New Roman" w:hAnsi="Times New Roman" w:eastAsia="Times New Roman" w:cs="Times New Roman"/>
          <w:sz w:val="20"/>
          <w:szCs w:val="20"/>
        </w:rPr>
        <w:t>RNA</w:t>
      </w:r>
      <w:r>
        <w:rPr>
          <w:rFonts w:ascii="Times New Roman" w:hAnsi="Times New Roman" w:eastAsia="Times New Roman" w:cs="Times New Roman"/>
          <w:spacing w:val="-18"/>
          <w:sz w:val="20"/>
          <w:szCs w:val="20"/>
        </w:rPr>
        <w:t xml:space="preserve"> </w:t>
      </w:r>
      <w:r>
        <w:rPr>
          <w:rFonts w:ascii="宋体" w:hAnsi="宋体" w:eastAsia="宋体" w:cs="宋体"/>
          <w:spacing w:val="4"/>
          <w:sz w:val="20"/>
          <w:szCs w:val="20"/>
        </w:rPr>
        <w:t>节段，丙</w:t>
      </w:r>
      <w:r>
        <w:rPr>
          <w:rFonts w:ascii="宋体" w:hAnsi="宋体" w:eastAsia="宋体" w:cs="宋体"/>
          <w:spacing w:val="3"/>
          <w:sz w:val="20"/>
          <w:szCs w:val="20"/>
        </w:rPr>
        <w:t>型和丁型流感病毒有7个</w:t>
      </w:r>
      <w:r>
        <w:rPr>
          <w:rFonts w:ascii="Times New Roman" w:hAnsi="Times New Roman" w:eastAsia="Times New Roman" w:cs="Times New Roman"/>
          <w:sz w:val="20"/>
          <w:szCs w:val="20"/>
        </w:rPr>
        <w:t>RNA</w:t>
      </w:r>
      <w:r>
        <w:rPr>
          <w:rFonts w:ascii="Times New Roman" w:hAnsi="Times New Roman" w:eastAsia="Times New Roman" w:cs="Times New Roman"/>
          <w:spacing w:val="-19"/>
          <w:sz w:val="20"/>
          <w:szCs w:val="20"/>
        </w:rPr>
        <w:t xml:space="preserve"> </w:t>
      </w:r>
      <w:r>
        <w:rPr>
          <w:rFonts w:ascii="宋体" w:hAnsi="宋体" w:eastAsia="宋体" w:cs="宋体"/>
          <w:spacing w:val="3"/>
          <w:sz w:val="20"/>
          <w:szCs w:val="20"/>
        </w:rPr>
        <w:t>节段。甲型流感病</w:t>
      </w:r>
      <w:r>
        <w:rPr>
          <w:rFonts w:ascii="宋体" w:hAnsi="宋体" w:eastAsia="宋体" w:cs="宋体"/>
          <w:sz w:val="20"/>
          <w:szCs w:val="20"/>
        </w:rPr>
        <w:t xml:space="preserve"> </w:t>
      </w:r>
      <w:r>
        <w:rPr>
          <w:rFonts w:ascii="宋体" w:hAnsi="宋体" w:eastAsia="宋体" w:cs="宋体"/>
          <w:spacing w:val="-3"/>
          <w:sz w:val="20"/>
          <w:szCs w:val="20"/>
        </w:rPr>
        <w:t>毒的抗原变异性最强，可引起季节性流行和世界性大流行；乙型流感病毒的抗原变异性较弱，可引</w:t>
      </w:r>
      <w:r>
        <w:rPr>
          <w:rFonts w:ascii="宋体" w:hAnsi="宋体" w:eastAsia="宋体" w:cs="宋体"/>
          <w:spacing w:val="1"/>
          <w:sz w:val="20"/>
          <w:szCs w:val="20"/>
        </w:rPr>
        <w:t xml:space="preserve"> </w:t>
      </w:r>
      <w:r>
        <w:rPr>
          <w:rFonts w:ascii="宋体" w:hAnsi="宋体" w:eastAsia="宋体" w:cs="宋体"/>
          <w:spacing w:val="-3"/>
          <w:sz w:val="20"/>
          <w:szCs w:val="20"/>
        </w:rPr>
        <w:t>起中、小型流行或局部暴发；丙型流感病毒的抗</w:t>
      </w:r>
      <w:r>
        <w:rPr>
          <w:rFonts w:ascii="宋体" w:hAnsi="宋体" w:eastAsia="宋体" w:cs="宋体"/>
          <w:spacing w:val="-4"/>
          <w:sz w:val="20"/>
          <w:szCs w:val="20"/>
        </w:rPr>
        <w:t>原性比较稳定，多引起婴幼儿和成人散发病例；丁</w:t>
      </w:r>
      <w:r>
        <w:rPr>
          <w:rFonts w:ascii="宋体" w:hAnsi="宋体" w:eastAsia="宋体" w:cs="宋体"/>
          <w:sz w:val="20"/>
          <w:szCs w:val="20"/>
        </w:rPr>
        <w:t xml:space="preserve"> </w:t>
      </w:r>
      <w:r>
        <w:rPr>
          <w:rFonts w:ascii="宋体" w:hAnsi="宋体" w:eastAsia="宋体" w:cs="宋体"/>
          <w:spacing w:val="-7"/>
          <w:sz w:val="20"/>
          <w:szCs w:val="20"/>
        </w:rPr>
        <w:t>型流感病毒主要感染猪、牛等，尚未发现感染人。</w:t>
      </w:r>
    </w:p>
    <w:p w14:paraId="019D7A42">
      <w:pPr>
        <w:spacing w:before="2" w:line="335" w:lineRule="auto"/>
        <w:ind w:right="614" w:firstLine="409"/>
        <w:rPr>
          <w:rFonts w:ascii="宋体" w:hAnsi="宋体" w:eastAsia="宋体" w:cs="宋体"/>
          <w:sz w:val="20"/>
          <w:szCs w:val="20"/>
        </w:rPr>
      </w:pPr>
      <w:r>
        <w:rPr>
          <w:rFonts w:ascii="宋体" w:hAnsi="宋体" w:eastAsia="宋体" w:cs="宋体"/>
          <w:spacing w:val="-1"/>
          <w:sz w:val="20"/>
          <w:szCs w:val="20"/>
        </w:rPr>
        <w:t>根据甲型流感病毒</w:t>
      </w:r>
      <w:r>
        <w:rPr>
          <w:rFonts w:ascii="Times New Roman" w:hAnsi="Times New Roman" w:eastAsia="Times New Roman" w:cs="Times New Roman"/>
          <w:spacing w:val="-1"/>
          <w:sz w:val="20"/>
          <w:szCs w:val="20"/>
        </w:rPr>
        <w:t xml:space="preserve">HA </w:t>
      </w:r>
      <w:r>
        <w:rPr>
          <w:rFonts w:ascii="宋体" w:hAnsi="宋体" w:eastAsia="宋体" w:cs="宋体"/>
          <w:spacing w:val="-1"/>
          <w:sz w:val="20"/>
          <w:szCs w:val="20"/>
        </w:rPr>
        <w:t>和</w:t>
      </w:r>
      <w:r>
        <w:rPr>
          <w:rFonts w:ascii="宋体" w:hAnsi="宋体" w:eastAsia="宋体" w:cs="宋体"/>
          <w:spacing w:val="-51"/>
          <w:sz w:val="20"/>
          <w:szCs w:val="20"/>
        </w:rPr>
        <w:t xml:space="preserve"> </w:t>
      </w:r>
      <w:r>
        <w:rPr>
          <w:rFonts w:ascii="Times New Roman" w:hAnsi="Times New Roman" w:eastAsia="Times New Roman" w:cs="Times New Roman"/>
          <w:spacing w:val="-1"/>
          <w:sz w:val="20"/>
          <w:szCs w:val="20"/>
        </w:rPr>
        <w:t>NA</w:t>
      </w:r>
      <w:r>
        <w:rPr>
          <w:rFonts w:ascii="宋体" w:hAnsi="宋体" w:eastAsia="宋体" w:cs="宋体"/>
          <w:spacing w:val="-1"/>
          <w:sz w:val="20"/>
          <w:szCs w:val="20"/>
        </w:rPr>
        <w:t>抗原性不同，可将其分为若干亚型，</w:t>
      </w:r>
      <w:r>
        <w:rPr>
          <w:rFonts w:ascii="Times New Roman" w:hAnsi="Times New Roman" w:eastAsia="Times New Roman" w:cs="Times New Roman"/>
          <w:spacing w:val="-1"/>
          <w:sz w:val="20"/>
          <w:szCs w:val="20"/>
        </w:rPr>
        <w:t>HA</w:t>
      </w:r>
      <w:r>
        <w:rPr>
          <w:rFonts w:ascii="Times New Roman" w:hAnsi="Times New Roman" w:eastAsia="Times New Roman" w:cs="Times New Roman"/>
          <w:spacing w:val="-15"/>
          <w:sz w:val="20"/>
          <w:szCs w:val="20"/>
        </w:rPr>
        <w:t xml:space="preserve"> </w:t>
      </w:r>
      <w:r>
        <w:rPr>
          <w:rFonts w:ascii="宋体" w:hAnsi="宋体" w:eastAsia="宋体" w:cs="宋体"/>
          <w:spacing w:val="-1"/>
          <w:sz w:val="20"/>
          <w:szCs w:val="20"/>
        </w:rPr>
        <w:t>有1</w:t>
      </w:r>
      <w:r>
        <w:rPr>
          <w:rFonts w:ascii="宋体" w:hAnsi="宋体" w:eastAsia="宋体" w:cs="宋体"/>
          <w:spacing w:val="-2"/>
          <w:sz w:val="20"/>
          <w:szCs w:val="20"/>
        </w:rPr>
        <w:t>8个亚型</w:t>
      </w:r>
      <w:r>
        <w:rPr>
          <w:rFonts w:ascii="Times New Roman" w:hAnsi="Times New Roman" w:eastAsia="Times New Roman" w:cs="Times New Roman"/>
          <w:spacing w:val="-2"/>
          <w:sz w:val="20"/>
          <w:szCs w:val="20"/>
        </w:rPr>
        <w:t>(H1</w:t>
      </w:r>
      <w:r>
        <w:rPr>
          <w:rFonts w:ascii="宋体" w:hAnsi="宋体" w:eastAsia="宋体" w:cs="宋体"/>
          <w:spacing w:val="-2"/>
          <w:sz w:val="20"/>
          <w:szCs w:val="20"/>
        </w:rPr>
        <w:t>～</w:t>
      </w:r>
      <w:r>
        <w:rPr>
          <w:rFonts w:ascii="Times New Roman" w:hAnsi="Times New Roman" w:eastAsia="Times New Roman" w:cs="Times New Roman"/>
          <w:spacing w:val="-2"/>
          <w:sz w:val="20"/>
          <w:szCs w:val="20"/>
        </w:rPr>
        <w:t>H18),</w:t>
      </w:r>
      <w:r>
        <w:rPr>
          <w:rFonts w:ascii="Times New Roman" w:hAnsi="Times New Roman" w:eastAsia="Times New Roman" w:cs="Times New Roman"/>
          <w:sz w:val="20"/>
          <w:szCs w:val="20"/>
        </w:rPr>
        <w:t xml:space="preserve">    NA</w:t>
      </w:r>
      <w:r>
        <w:rPr>
          <w:rFonts w:ascii="Times New Roman" w:hAnsi="Times New Roman" w:eastAsia="Times New Roman" w:cs="Times New Roman"/>
          <w:spacing w:val="-18"/>
          <w:sz w:val="20"/>
          <w:szCs w:val="20"/>
        </w:rPr>
        <w:t xml:space="preserve"> </w:t>
      </w:r>
      <w:r>
        <w:rPr>
          <w:rFonts w:ascii="宋体" w:hAnsi="宋体" w:eastAsia="宋体" w:cs="宋体"/>
          <w:sz w:val="20"/>
          <w:szCs w:val="20"/>
        </w:rPr>
        <w:t>有11个亚型</w:t>
      </w:r>
      <w:r>
        <w:rPr>
          <w:rFonts w:ascii="Times New Roman" w:hAnsi="Times New Roman" w:eastAsia="Times New Roman" w:cs="Times New Roman"/>
          <w:sz w:val="20"/>
          <w:szCs w:val="20"/>
        </w:rPr>
        <w:t>(N1</w:t>
      </w:r>
      <w:r>
        <w:rPr>
          <w:rFonts w:ascii="宋体" w:hAnsi="宋体" w:eastAsia="宋体" w:cs="宋体"/>
          <w:sz w:val="20"/>
          <w:szCs w:val="20"/>
        </w:rPr>
        <w:t>～</w:t>
      </w:r>
      <w:r>
        <w:rPr>
          <w:rFonts w:ascii="Times New Roman" w:hAnsi="Times New Roman" w:eastAsia="Times New Roman" w:cs="Times New Roman"/>
          <w:sz w:val="20"/>
          <w:szCs w:val="20"/>
        </w:rPr>
        <w:t>N11)</w:t>
      </w:r>
      <w:r>
        <w:rPr>
          <w:rFonts w:ascii="Times New Roman" w:hAnsi="Times New Roman" w:eastAsia="Times New Roman" w:cs="Times New Roman"/>
          <w:spacing w:val="-23"/>
          <w:sz w:val="20"/>
          <w:szCs w:val="20"/>
        </w:rPr>
        <w:t xml:space="preserve"> </w:t>
      </w:r>
      <w:r>
        <w:rPr>
          <w:rFonts w:ascii="宋体" w:hAnsi="宋体" w:eastAsia="宋体" w:cs="宋体"/>
          <w:sz w:val="20"/>
          <w:szCs w:val="20"/>
        </w:rPr>
        <w:t>。</w:t>
      </w:r>
      <w:r>
        <w:rPr>
          <w:rFonts w:ascii="Times New Roman" w:hAnsi="Times New Roman" w:eastAsia="Times New Roman" w:cs="Times New Roman"/>
          <w:sz w:val="20"/>
          <w:szCs w:val="20"/>
        </w:rPr>
        <w:t xml:space="preserve">1980 </w:t>
      </w:r>
      <w:r>
        <w:rPr>
          <w:rFonts w:ascii="宋体" w:hAnsi="宋体" w:eastAsia="宋体" w:cs="宋体"/>
          <w:sz w:val="20"/>
          <w:szCs w:val="20"/>
        </w:rPr>
        <w:t>年</w:t>
      </w:r>
      <w:r>
        <w:rPr>
          <w:rFonts w:ascii="宋体" w:hAnsi="宋体" w:eastAsia="宋体" w:cs="宋体"/>
          <w:spacing w:val="-41"/>
          <w:sz w:val="20"/>
          <w:szCs w:val="20"/>
        </w:rPr>
        <w:t xml:space="preserve"> </w:t>
      </w:r>
      <w:r>
        <w:rPr>
          <w:rFonts w:ascii="Times New Roman" w:hAnsi="Times New Roman" w:eastAsia="Times New Roman" w:cs="Times New Roman"/>
          <w:sz w:val="20"/>
          <w:szCs w:val="20"/>
        </w:rPr>
        <w:t>WHO</w:t>
      </w:r>
      <w:r>
        <w:rPr>
          <w:rFonts w:ascii="宋体" w:hAnsi="宋体" w:eastAsia="宋体" w:cs="宋体"/>
          <w:sz w:val="20"/>
          <w:szCs w:val="20"/>
        </w:rPr>
        <w:t xml:space="preserve">规范了流感分类与命名方法，甲型流感病毒的命名规则 </w:t>
      </w:r>
      <w:r>
        <w:rPr>
          <w:rFonts w:ascii="宋体" w:hAnsi="宋体" w:eastAsia="宋体" w:cs="宋体"/>
          <w:spacing w:val="-2"/>
          <w:sz w:val="20"/>
          <w:szCs w:val="20"/>
        </w:rPr>
        <w:t>如下：型别/宿主/分离地点/毒株编号1分离</w:t>
      </w:r>
      <w:r>
        <w:rPr>
          <w:rFonts w:ascii="宋体" w:hAnsi="宋体" w:eastAsia="宋体" w:cs="宋体"/>
          <w:spacing w:val="-3"/>
          <w:sz w:val="20"/>
          <w:szCs w:val="20"/>
        </w:rPr>
        <w:t>年代(HA</w:t>
      </w:r>
      <w:r>
        <w:rPr>
          <w:rFonts w:ascii="宋体" w:hAnsi="宋体" w:eastAsia="宋体" w:cs="宋体"/>
          <w:spacing w:val="83"/>
          <w:sz w:val="20"/>
          <w:szCs w:val="20"/>
        </w:rPr>
        <w:t xml:space="preserve"> </w:t>
      </w:r>
      <w:r>
        <w:rPr>
          <w:rFonts w:ascii="宋体" w:hAnsi="宋体" w:eastAsia="宋体" w:cs="宋体"/>
          <w:spacing w:val="-3"/>
          <w:sz w:val="20"/>
          <w:szCs w:val="20"/>
        </w:rPr>
        <w:t>和</w:t>
      </w:r>
      <w:r>
        <w:rPr>
          <w:rFonts w:ascii="宋体" w:hAnsi="宋体" w:eastAsia="宋体" w:cs="宋体"/>
          <w:spacing w:val="-51"/>
          <w:sz w:val="20"/>
          <w:szCs w:val="20"/>
        </w:rPr>
        <w:t xml:space="preserve"> </w:t>
      </w:r>
      <w:r>
        <w:rPr>
          <w:rFonts w:ascii="宋体" w:hAnsi="宋体" w:eastAsia="宋体" w:cs="宋体"/>
          <w:spacing w:val="-3"/>
          <w:sz w:val="20"/>
          <w:szCs w:val="20"/>
        </w:rPr>
        <w:t>NA</w:t>
      </w:r>
      <w:r>
        <w:rPr>
          <w:rFonts w:ascii="宋体" w:hAnsi="宋体" w:eastAsia="宋体" w:cs="宋体"/>
          <w:spacing w:val="31"/>
          <w:sz w:val="20"/>
          <w:szCs w:val="20"/>
        </w:rPr>
        <w:t xml:space="preserve"> </w:t>
      </w:r>
      <w:r>
        <w:rPr>
          <w:rFonts w:ascii="宋体" w:hAnsi="宋体" w:eastAsia="宋体" w:cs="宋体"/>
          <w:spacing w:val="-3"/>
          <w:sz w:val="20"/>
          <w:szCs w:val="20"/>
        </w:rPr>
        <w:t>亚型)。宿主若为人则省略不写，其他</w:t>
      </w:r>
      <w:r>
        <w:rPr>
          <w:rFonts w:ascii="宋体" w:hAnsi="宋体" w:eastAsia="宋体" w:cs="宋体"/>
          <w:sz w:val="20"/>
          <w:szCs w:val="20"/>
        </w:rPr>
        <w:t xml:space="preserve"> </w:t>
      </w:r>
      <w:r>
        <w:rPr>
          <w:rFonts w:ascii="宋体" w:hAnsi="宋体" w:eastAsia="宋体" w:cs="宋体"/>
          <w:spacing w:val="2"/>
          <w:sz w:val="20"/>
          <w:szCs w:val="20"/>
        </w:rPr>
        <w:t>宿主必须注明。如马甲型流感病毒的全称为</w:t>
      </w:r>
      <w:r>
        <w:rPr>
          <w:rFonts w:ascii="Times New Roman" w:hAnsi="Times New Roman" w:eastAsia="Times New Roman" w:cs="Times New Roman"/>
          <w:sz w:val="20"/>
          <w:szCs w:val="20"/>
        </w:rPr>
        <w:t>Alequine</w:t>
      </w:r>
      <w:r>
        <w:rPr>
          <w:rFonts w:ascii="Times New Roman" w:hAnsi="Times New Roman" w:eastAsia="Times New Roman" w:cs="Times New Roman"/>
          <w:spacing w:val="2"/>
          <w:sz w:val="20"/>
          <w:szCs w:val="20"/>
        </w:rPr>
        <w:t>/</w:t>
      </w:r>
      <w:r>
        <w:rPr>
          <w:rFonts w:ascii="Times New Roman" w:hAnsi="Times New Roman" w:eastAsia="Times New Roman" w:cs="Times New Roman"/>
          <w:sz w:val="20"/>
          <w:szCs w:val="20"/>
        </w:rPr>
        <w:t>Miami</w:t>
      </w:r>
      <w:r>
        <w:rPr>
          <w:rFonts w:ascii="Times New Roman" w:hAnsi="Times New Roman" w:eastAsia="Times New Roman" w:cs="Times New Roman"/>
          <w:spacing w:val="2"/>
          <w:sz w:val="20"/>
          <w:szCs w:val="20"/>
        </w:rPr>
        <w:t xml:space="preserve">/1/63(H3N8),1997   </w:t>
      </w:r>
      <w:r>
        <w:rPr>
          <w:rFonts w:ascii="宋体" w:hAnsi="宋体" w:eastAsia="宋体" w:cs="宋体"/>
          <w:spacing w:val="2"/>
          <w:sz w:val="20"/>
          <w:szCs w:val="20"/>
        </w:rPr>
        <w:t>年我国香港分离的</w:t>
      </w:r>
      <w:r>
        <w:rPr>
          <w:rFonts w:ascii="宋体" w:hAnsi="宋体" w:eastAsia="宋体" w:cs="宋体"/>
          <w:spacing w:val="5"/>
          <w:sz w:val="20"/>
          <w:szCs w:val="20"/>
        </w:rPr>
        <w:t xml:space="preserve"> </w:t>
      </w:r>
      <w:r>
        <w:rPr>
          <w:rFonts w:ascii="宋体" w:hAnsi="宋体" w:eastAsia="宋体" w:cs="宋体"/>
          <w:spacing w:val="-2"/>
          <w:sz w:val="20"/>
          <w:szCs w:val="20"/>
        </w:rPr>
        <w:t>人感染禽流感毒株命名为A/Hong Kong/156/97(H5N1)。乙型、丙型和</w:t>
      </w:r>
      <w:r>
        <w:rPr>
          <w:rFonts w:ascii="宋体" w:hAnsi="宋体" w:eastAsia="宋体" w:cs="宋体"/>
          <w:spacing w:val="-3"/>
          <w:sz w:val="20"/>
          <w:szCs w:val="20"/>
        </w:rPr>
        <w:t>丁型流感病毒由于没有HA</w:t>
      </w:r>
      <w:r>
        <w:rPr>
          <w:rFonts w:ascii="宋体" w:hAnsi="宋体" w:eastAsia="宋体" w:cs="宋体"/>
          <w:spacing w:val="33"/>
          <w:sz w:val="20"/>
          <w:szCs w:val="20"/>
        </w:rPr>
        <w:t xml:space="preserve"> </w:t>
      </w:r>
      <w:r>
        <w:rPr>
          <w:rFonts w:ascii="宋体" w:hAnsi="宋体" w:eastAsia="宋体" w:cs="宋体"/>
          <w:spacing w:val="-3"/>
          <w:sz w:val="20"/>
          <w:szCs w:val="20"/>
        </w:rPr>
        <w:t>和</w:t>
      </w:r>
      <w:r>
        <w:rPr>
          <w:rFonts w:ascii="宋体" w:hAnsi="宋体" w:eastAsia="宋体" w:cs="宋体"/>
          <w:sz w:val="20"/>
          <w:szCs w:val="20"/>
        </w:rPr>
        <w:t xml:space="preserve"> </w:t>
      </w:r>
      <w:r>
        <w:rPr>
          <w:rFonts w:ascii="Times New Roman" w:hAnsi="Times New Roman" w:eastAsia="Times New Roman" w:cs="Times New Roman"/>
          <w:spacing w:val="-11"/>
          <w:sz w:val="20"/>
          <w:szCs w:val="20"/>
        </w:rPr>
        <w:t>NA</w:t>
      </w:r>
      <w:r>
        <w:rPr>
          <w:rFonts w:ascii="宋体" w:hAnsi="宋体" w:eastAsia="宋体" w:cs="宋体"/>
          <w:spacing w:val="-11"/>
          <w:sz w:val="20"/>
          <w:szCs w:val="20"/>
        </w:rPr>
        <w:t>亚型划分，故在“分离年代”后无须注明亚型。</w:t>
      </w:r>
    </w:p>
    <w:p w14:paraId="0CA9876B">
      <w:pPr>
        <w:pStyle w:val="2"/>
        <w:spacing w:before="229" w:line="221" w:lineRule="auto"/>
        <w:ind w:left="413"/>
        <w:outlineLvl w:val="4"/>
        <w:rPr>
          <w:sz w:val="23"/>
          <w:szCs w:val="23"/>
        </w:rPr>
      </w:pPr>
      <w:bookmarkStart w:id="589" w:name="bookmark370"/>
      <w:bookmarkEnd w:id="589"/>
      <w:r>
        <w:rPr>
          <w:b/>
          <w:bCs/>
          <w:spacing w:val="3"/>
          <w:sz w:val="23"/>
          <w:szCs w:val="23"/>
        </w:rPr>
        <w:t>二</w:t>
      </w:r>
      <w:r>
        <w:rPr>
          <w:spacing w:val="-62"/>
          <w:sz w:val="23"/>
          <w:szCs w:val="23"/>
        </w:rPr>
        <w:t xml:space="preserve"> </w:t>
      </w:r>
      <w:r>
        <w:rPr>
          <w:b/>
          <w:bCs/>
          <w:spacing w:val="3"/>
          <w:sz w:val="23"/>
          <w:szCs w:val="23"/>
        </w:rPr>
        <w:t>、抗原变异</w:t>
      </w:r>
    </w:p>
    <w:p w14:paraId="7AF82EAD">
      <w:pPr>
        <w:spacing w:before="240" w:line="340" w:lineRule="auto"/>
        <w:ind w:right="531" w:firstLine="409"/>
        <w:jc w:val="both"/>
        <w:rPr>
          <w:rFonts w:ascii="宋体" w:hAnsi="宋体" w:eastAsia="宋体" w:cs="宋体"/>
          <w:sz w:val="20"/>
          <w:szCs w:val="20"/>
        </w:rPr>
      </w:pPr>
      <w:r>
        <w:rPr>
          <w:rFonts w:ascii="宋体" w:hAnsi="宋体" w:eastAsia="宋体" w:cs="宋体"/>
          <w:sz w:val="20"/>
          <w:szCs w:val="20"/>
        </w:rPr>
        <w:t>流感病毒可引起季节性流行和流感大流行，主要是其</w:t>
      </w:r>
      <w:r>
        <w:rPr>
          <w:rFonts w:ascii="Times New Roman" w:hAnsi="Times New Roman" w:eastAsia="Times New Roman" w:cs="Times New Roman"/>
          <w:sz w:val="20"/>
          <w:szCs w:val="20"/>
        </w:rPr>
        <w:t xml:space="preserve">HA </w:t>
      </w:r>
      <w:r>
        <w:rPr>
          <w:rFonts w:ascii="宋体" w:hAnsi="宋体" w:eastAsia="宋体" w:cs="宋体"/>
          <w:sz w:val="20"/>
          <w:szCs w:val="20"/>
        </w:rPr>
        <w:t>和</w:t>
      </w:r>
      <w:r>
        <w:rPr>
          <w:rFonts w:ascii="宋体" w:hAnsi="宋体" w:eastAsia="宋体" w:cs="宋体"/>
          <w:spacing w:val="-49"/>
          <w:sz w:val="20"/>
          <w:szCs w:val="20"/>
        </w:rPr>
        <w:t xml:space="preserve"> </w:t>
      </w:r>
      <w:r>
        <w:rPr>
          <w:rFonts w:ascii="Times New Roman" w:hAnsi="Times New Roman" w:eastAsia="Times New Roman" w:cs="Times New Roman"/>
          <w:sz w:val="20"/>
          <w:szCs w:val="20"/>
        </w:rPr>
        <w:t xml:space="preserve">NA </w:t>
      </w:r>
      <w:r>
        <w:rPr>
          <w:rFonts w:ascii="宋体" w:hAnsi="宋体" w:eastAsia="宋体" w:cs="宋体"/>
          <w:sz w:val="20"/>
          <w:szCs w:val="20"/>
        </w:rPr>
        <w:t xml:space="preserve">的抗原性容易发生变异所致， </w:t>
      </w:r>
      <w:r>
        <w:rPr>
          <w:rFonts w:ascii="宋体" w:hAnsi="宋体" w:eastAsia="宋体" w:cs="宋体"/>
          <w:spacing w:val="2"/>
          <w:sz w:val="20"/>
          <w:szCs w:val="20"/>
        </w:rPr>
        <w:t>其中甲型流感病毒的抗原变异最容易发生，它同流感大流行密切</w:t>
      </w:r>
      <w:r>
        <w:rPr>
          <w:rFonts w:ascii="宋体" w:hAnsi="宋体" w:eastAsia="宋体" w:cs="宋体"/>
          <w:spacing w:val="1"/>
          <w:sz w:val="20"/>
          <w:szCs w:val="20"/>
        </w:rPr>
        <w:t>相关。乙型病毒的抗原变异速度</w:t>
      </w:r>
      <w:r>
        <w:rPr>
          <w:rFonts w:ascii="宋体" w:hAnsi="宋体" w:eastAsia="宋体" w:cs="宋体"/>
          <w:sz w:val="20"/>
          <w:szCs w:val="20"/>
        </w:rPr>
        <w:t xml:space="preserve"> </w:t>
      </w:r>
      <w:r>
        <w:rPr>
          <w:rFonts w:ascii="宋体" w:hAnsi="宋体" w:eastAsia="宋体" w:cs="宋体"/>
          <w:spacing w:val="-3"/>
          <w:sz w:val="20"/>
          <w:szCs w:val="20"/>
        </w:rPr>
        <w:t>较甲型慢，丙型病毒抗原相对稳定。流感病毒抗原变异幅度的大小直接影响流行规模。</w:t>
      </w:r>
    </w:p>
    <w:p w14:paraId="25DC6CA5">
      <w:pPr>
        <w:pStyle w:val="2"/>
        <w:spacing w:before="1" w:line="220" w:lineRule="auto"/>
        <w:ind w:left="413"/>
        <w:rPr>
          <w:sz w:val="23"/>
          <w:szCs w:val="23"/>
        </w:rPr>
      </w:pPr>
      <w:r>
        <w:rPr>
          <w:b/>
          <w:bCs/>
          <w:spacing w:val="-5"/>
          <w:sz w:val="23"/>
          <w:szCs w:val="23"/>
        </w:rPr>
        <w:t>(一)变异种类</w:t>
      </w:r>
    </w:p>
    <w:p w14:paraId="5B5A67AA">
      <w:pPr>
        <w:pStyle w:val="2"/>
        <w:spacing w:before="87" w:line="286" w:lineRule="auto"/>
        <w:ind w:right="531" w:firstLine="409"/>
        <w:rPr>
          <w:rFonts w:ascii="宋体" w:hAnsi="宋体" w:eastAsia="宋体" w:cs="宋体"/>
          <w:sz w:val="20"/>
          <w:szCs w:val="20"/>
        </w:rPr>
      </w:pPr>
      <w:r>
        <w:rPr>
          <w:rFonts w:ascii="Times New Roman" w:hAnsi="Times New Roman" w:eastAsia="Times New Roman" w:cs="Times New Roman"/>
          <w:b/>
          <w:bCs/>
          <w:spacing w:val="-1"/>
          <w:sz w:val="20"/>
          <w:szCs w:val="20"/>
        </w:rPr>
        <w:t>1.</w:t>
      </w:r>
      <w:r>
        <w:rPr>
          <w:rFonts w:ascii="Times New Roman" w:hAnsi="Times New Roman" w:eastAsia="Times New Roman" w:cs="Times New Roman"/>
          <w:b/>
          <w:bCs/>
          <w:spacing w:val="18"/>
          <w:sz w:val="20"/>
          <w:szCs w:val="20"/>
        </w:rPr>
        <w:t xml:space="preserve">  </w:t>
      </w:r>
      <w:r>
        <w:rPr>
          <w:rFonts w:ascii="宋体" w:hAnsi="宋体" w:eastAsia="宋体" w:cs="宋体"/>
          <w:b/>
          <w:bCs/>
          <w:spacing w:val="-1"/>
          <w:sz w:val="20"/>
          <w:szCs w:val="20"/>
        </w:rPr>
        <w:t>抗原漂移</w:t>
      </w:r>
      <w:r>
        <w:rPr>
          <w:rFonts w:ascii="宋体" w:hAnsi="宋体" w:eastAsia="宋体" w:cs="宋体"/>
          <w:spacing w:val="26"/>
          <w:sz w:val="20"/>
          <w:szCs w:val="20"/>
        </w:rPr>
        <w:t xml:space="preserve"> </w:t>
      </w:r>
      <w:r>
        <w:rPr>
          <w:spacing w:val="-1"/>
          <w:sz w:val="20"/>
          <w:szCs w:val="20"/>
        </w:rPr>
        <w:t>抗原漂移</w:t>
      </w:r>
      <w:r>
        <w:rPr>
          <w:rFonts w:ascii="Times New Roman" w:hAnsi="Times New Roman" w:eastAsia="Times New Roman" w:cs="Times New Roman"/>
          <w:spacing w:val="-1"/>
          <w:sz w:val="20"/>
          <w:szCs w:val="20"/>
        </w:rPr>
        <w:t>(antigenic  drift)</w:t>
      </w:r>
      <w:r>
        <w:rPr>
          <w:rFonts w:ascii="宋体" w:hAnsi="宋体" w:eastAsia="宋体" w:cs="宋体"/>
          <w:spacing w:val="-1"/>
          <w:sz w:val="20"/>
          <w:szCs w:val="20"/>
        </w:rPr>
        <w:t>是指流感病</w:t>
      </w:r>
      <w:r>
        <w:rPr>
          <w:rFonts w:ascii="宋体" w:hAnsi="宋体" w:eastAsia="宋体" w:cs="宋体"/>
          <w:spacing w:val="-2"/>
          <w:sz w:val="20"/>
          <w:szCs w:val="20"/>
        </w:rPr>
        <w:t>毒亚型内部经常发生的小幅度的变异，属于</w:t>
      </w:r>
      <w:r>
        <w:rPr>
          <w:rFonts w:ascii="宋体" w:hAnsi="宋体" w:eastAsia="宋体" w:cs="宋体"/>
          <w:sz w:val="20"/>
          <w:szCs w:val="20"/>
        </w:rPr>
        <w:t xml:space="preserve"> </w:t>
      </w:r>
      <w:r>
        <w:rPr>
          <w:rFonts w:ascii="宋体" w:hAnsi="宋体" w:eastAsia="宋体" w:cs="宋体"/>
          <w:spacing w:val="-5"/>
          <w:sz w:val="20"/>
          <w:szCs w:val="20"/>
        </w:rPr>
        <w:t>量变。这种漂移是不定向的，</w:t>
      </w:r>
      <w:r>
        <w:rPr>
          <w:rFonts w:ascii="Times New Roman" w:hAnsi="Times New Roman" w:eastAsia="Times New Roman" w:cs="Times New Roman"/>
          <w:spacing w:val="-5"/>
          <w:sz w:val="20"/>
          <w:szCs w:val="20"/>
        </w:rPr>
        <w:t>HA</w:t>
      </w:r>
      <w:r>
        <w:rPr>
          <w:rFonts w:ascii="宋体" w:hAnsi="宋体" w:eastAsia="宋体" w:cs="宋体"/>
          <w:spacing w:val="-5"/>
          <w:sz w:val="20"/>
          <w:szCs w:val="20"/>
        </w:rPr>
        <w:t>和</w:t>
      </w:r>
      <w:r>
        <w:rPr>
          <w:rFonts w:ascii="Times New Roman" w:hAnsi="Times New Roman" w:eastAsia="Times New Roman" w:cs="Times New Roman"/>
          <w:spacing w:val="-5"/>
          <w:sz w:val="20"/>
          <w:szCs w:val="20"/>
        </w:rPr>
        <w:t>NA</w:t>
      </w:r>
      <w:r>
        <w:rPr>
          <w:rFonts w:ascii="宋体" w:hAnsi="宋体" w:eastAsia="宋体" w:cs="宋体"/>
          <w:spacing w:val="-5"/>
          <w:sz w:val="20"/>
          <w:szCs w:val="20"/>
        </w:rPr>
        <w:t>的抗原漂移独立进行，漂移的</w:t>
      </w:r>
      <w:r>
        <w:rPr>
          <w:rFonts w:ascii="宋体" w:hAnsi="宋体" w:eastAsia="宋体" w:cs="宋体"/>
          <w:spacing w:val="-6"/>
          <w:sz w:val="20"/>
          <w:szCs w:val="20"/>
        </w:rPr>
        <w:t>结果常引起流感的季节性流行。</w:t>
      </w:r>
    </w:p>
    <w:p w14:paraId="511F9AED">
      <w:pPr>
        <w:pStyle w:val="2"/>
        <w:spacing w:before="110" w:line="308" w:lineRule="auto"/>
        <w:ind w:right="601" w:firstLine="409"/>
        <w:rPr>
          <w:rFonts w:ascii="宋体" w:hAnsi="宋体" w:eastAsia="宋体" w:cs="宋体"/>
          <w:sz w:val="20"/>
          <w:szCs w:val="20"/>
        </w:rPr>
      </w:pPr>
      <w:r>
        <w:rPr>
          <w:rFonts w:ascii="Times New Roman" w:hAnsi="Times New Roman" w:eastAsia="Times New Roman" w:cs="Times New Roman"/>
          <w:b/>
          <w:bCs/>
          <w:spacing w:val="-3"/>
          <w:sz w:val="20"/>
          <w:szCs w:val="20"/>
        </w:rPr>
        <w:t>2.</w:t>
      </w:r>
      <w:r>
        <w:rPr>
          <w:rFonts w:ascii="Times New Roman" w:hAnsi="Times New Roman" w:eastAsia="Times New Roman" w:cs="Times New Roman"/>
          <w:b/>
          <w:bCs/>
          <w:spacing w:val="23"/>
          <w:sz w:val="20"/>
          <w:szCs w:val="20"/>
        </w:rPr>
        <w:t xml:space="preserve">  </w:t>
      </w:r>
      <w:r>
        <w:rPr>
          <w:b/>
          <w:bCs/>
          <w:spacing w:val="-3"/>
          <w:sz w:val="20"/>
          <w:szCs w:val="20"/>
        </w:rPr>
        <w:t>抗原转换</w:t>
      </w:r>
      <w:r>
        <w:rPr>
          <w:spacing w:val="37"/>
          <w:sz w:val="20"/>
          <w:szCs w:val="20"/>
        </w:rPr>
        <w:t xml:space="preserve"> </w:t>
      </w:r>
      <w:r>
        <w:rPr>
          <w:rFonts w:ascii="宋体" w:hAnsi="宋体" w:eastAsia="宋体" w:cs="宋体"/>
          <w:spacing w:val="-3"/>
          <w:sz w:val="20"/>
          <w:szCs w:val="20"/>
        </w:rPr>
        <w:t>抗原转换</w:t>
      </w:r>
      <w:r>
        <w:rPr>
          <w:rFonts w:ascii="Times New Roman" w:hAnsi="Times New Roman" w:eastAsia="Times New Roman" w:cs="Times New Roman"/>
          <w:spacing w:val="-3"/>
          <w:sz w:val="20"/>
          <w:szCs w:val="20"/>
        </w:rPr>
        <w:t>(antigenic</w:t>
      </w:r>
      <w:r>
        <w:rPr>
          <w:rFonts w:ascii="Times New Roman" w:hAnsi="Times New Roman" w:eastAsia="Times New Roman" w:cs="Times New Roman"/>
          <w:spacing w:val="23"/>
          <w:sz w:val="20"/>
          <w:szCs w:val="20"/>
        </w:rPr>
        <w:t xml:space="preserve">  </w:t>
      </w:r>
      <w:r>
        <w:rPr>
          <w:rFonts w:ascii="Times New Roman" w:hAnsi="Times New Roman" w:eastAsia="Times New Roman" w:cs="Times New Roman"/>
          <w:spacing w:val="-3"/>
          <w:sz w:val="20"/>
          <w:szCs w:val="20"/>
        </w:rPr>
        <w:t>shift)</w:t>
      </w:r>
      <w:r>
        <w:rPr>
          <w:rFonts w:ascii="宋体" w:hAnsi="宋体" w:eastAsia="宋体" w:cs="宋体"/>
          <w:spacing w:val="-3"/>
          <w:sz w:val="20"/>
          <w:szCs w:val="20"/>
        </w:rPr>
        <w:t>是指流感病毒抗原变异幅度大，形成新的亚型，即新毒</w:t>
      </w:r>
      <w:r>
        <w:rPr>
          <w:rFonts w:ascii="宋体" w:hAnsi="宋体" w:eastAsia="宋体" w:cs="宋体"/>
          <w:sz w:val="20"/>
          <w:szCs w:val="20"/>
        </w:rPr>
        <w:t xml:space="preserve"> </w:t>
      </w:r>
      <w:r>
        <w:rPr>
          <w:rFonts w:ascii="宋体" w:hAnsi="宋体" w:eastAsia="宋体" w:cs="宋体"/>
          <w:spacing w:val="2"/>
          <w:sz w:val="20"/>
          <w:szCs w:val="20"/>
        </w:rPr>
        <w:t>株 的</w:t>
      </w:r>
      <w:r>
        <w:rPr>
          <w:rFonts w:ascii="宋体" w:hAnsi="宋体" w:eastAsia="宋体" w:cs="宋体"/>
          <w:sz w:val="20"/>
          <w:szCs w:val="20"/>
        </w:rPr>
        <w:t>HA</w:t>
      </w:r>
      <w:r>
        <w:rPr>
          <w:rFonts w:ascii="宋体" w:hAnsi="宋体" w:eastAsia="宋体" w:cs="宋体"/>
          <w:spacing w:val="46"/>
          <w:sz w:val="20"/>
          <w:szCs w:val="20"/>
        </w:rPr>
        <w:t xml:space="preserve"> </w:t>
      </w:r>
      <w:r>
        <w:rPr>
          <w:rFonts w:ascii="宋体" w:hAnsi="宋体" w:eastAsia="宋体" w:cs="宋体"/>
          <w:spacing w:val="2"/>
          <w:sz w:val="20"/>
          <w:szCs w:val="20"/>
        </w:rPr>
        <w:t>和/或</w:t>
      </w:r>
      <w:r>
        <w:rPr>
          <w:rFonts w:ascii="宋体" w:hAnsi="宋体" w:eastAsia="宋体" w:cs="宋体"/>
          <w:sz w:val="20"/>
          <w:szCs w:val="20"/>
        </w:rPr>
        <w:t>NA</w:t>
      </w:r>
      <w:r>
        <w:rPr>
          <w:rFonts w:ascii="宋体" w:hAnsi="宋体" w:eastAsia="宋体" w:cs="宋体"/>
          <w:spacing w:val="32"/>
          <w:sz w:val="20"/>
          <w:szCs w:val="20"/>
        </w:rPr>
        <w:t xml:space="preserve"> </w:t>
      </w:r>
      <w:r>
        <w:rPr>
          <w:rFonts w:ascii="宋体" w:hAnsi="宋体" w:eastAsia="宋体" w:cs="宋体"/>
          <w:spacing w:val="2"/>
          <w:sz w:val="20"/>
          <w:szCs w:val="20"/>
        </w:rPr>
        <w:t>与前次流行株不同，属于质变。如H1N1 转换成H2N2, 转换的结果常引起流感</w:t>
      </w:r>
      <w:r>
        <w:rPr>
          <w:rFonts w:ascii="宋体" w:hAnsi="宋体" w:eastAsia="宋体" w:cs="宋体"/>
          <w:sz w:val="20"/>
          <w:szCs w:val="20"/>
        </w:rPr>
        <w:t xml:space="preserve"> </w:t>
      </w:r>
      <w:r>
        <w:rPr>
          <w:rFonts w:ascii="宋体" w:hAnsi="宋体" w:eastAsia="宋体" w:cs="宋体"/>
          <w:spacing w:val="7"/>
          <w:sz w:val="20"/>
          <w:szCs w:val="20"/>
        </w:rPr>
        <w:t>大流行。</w:t>
      </w:r>
    </w:p>
    <w:p w14:paraId="381450F7">
      <w:pPr>
        <w:pStyle w:val="2"/>
        <w:spacing w:before="137" w:line="222" w:lineRule="auto"/>
        <w:ind w:left="412"/>
        <w:rPr>
          <w:sz w:val="20"/>
          <w:szCs w:val="20"/>
        </w:rPr>
      </w:pPr>
      <w:r>
        <w:rPr>
          <w:b/>
          <w:bCs/>
          <w:spacing w:val="22"/>
          <w:sz w:val="20"/>
          <w:szCs w:val="20"/>
        </w:rPr>
        <w:t>(二)变异机制</w:t>
      </w:r>
    </w:p>
    <w:p w14:paraId="19C595F2">
      <w:pPr>
        <w:spacing w:before="94" w:line="308" w:lineRule="auto"/>
        <w:ind w:right="616" w:firstLine="409"/>
        <w:rPr>
          <w:rFonts w:ascii="宋体" w:hAnsi="宋体" w:eastAsia="宋体" w:cs="宋体"/>
          <w:sz w:val="20"/>
          <w:szCs w:val="20"/>
        </w:rPr>
      </w:pPr>
      <w:r>
        <w:rPr>
          <w:rFonts w:ascii="宋体" w:hAnsi="宋体" w:eastAsia="宋体" w:cs="宋体"/>
          <w:spacing w:val="1"/>
          <w:sz w:val="20"/>
          <w:szCs w:val="20"/>
        </w:rPr>
        <w:t>目前认为抗原漂移的主要原因是病毒抗原基因突变，导致流感的季节性流行。而抗原转换的</w:t>
      </w:r>
      <w:r>
        <w:rPr>
          <w:rFonts w:ascii="宋体" w:hAnsi="宋体" w:eastAsia="宋体" w:cs="宋体"/>
          <w:spacing w:val="4"/>
          <w:sz w:val="20"/>
          <w:szCs w:val="20"/>
        </w:rPr>
        <w:t xml:space="preserve"> </w:t>
      </w:r>
      <w:r>
        <w:rPr>
          <w:rFonts w:ascii="宋体" w:hAnsi="宋体" w:eastAsia="宋体" w:cs="宋体"/>
          <w:spacing w:val="-5"/>
          <w:sz w:val="20"/>
          <w:szCs w:val="20"/>
        </w:rPr>
        <w:t>机制主要是不同病毒表面抗原发生基因重配，形成新的亚型，从而导致流感大流行。</w:t>
      </w:r>
    </w:p>
    <w:p w14:paraId="1B0C4BD9">
      <w:pPr>
        <w:pStyle w:val="2"/>
        <w:spacing w:before="1" w:line="281" w:lineRule="auto"/>
        <w:ind w:right="623" w:firstLine="409"/>
        <w:rPr>
          <w:rFonts w:ascii="宋体" w:hAnsi="宋体" w:eastAsia="宋体" w:cs="宋体"/>
          <w:sz w:val="20"/>
          <w:szCs w:val="20"/>
        </w:rPr>
      </w:pPr>
      <w:r>
        <w:rPr>
          <w:rFonts w:ascii="Times New Roman" w:hAnsi="Times New Roman" w:eastAsia="Times New Roman" w:cs="Times New Roman"/>
          <w:b/>
          <w:bCs/>
          <w:spacing w:val="5"/>
          <w:sz w:val="20"/>
          <w:szCs w:val="20"/>
        </w:rPr>
        <w:t xml:space="preserve">1.   </w:t>
      </w:r>
      <w:r>
        <w:rPr>
          <w:rFonts w:ascii="宋体" w:hAnsi="宋体" w:eastAsia="宋体" w:cs="宋体"/>
          <w:b/>
          <w:bCs/>
          <w:spacing w:val="5"/>
          <w:sz w:val="20"/>
          <w:szCs w:val="20"/>
        </w:rPr>
        <w:t>基因突变(</w:t>
      </w:r>
      <w:r>
        <w:rPr>
          <w:rFonts w:ascii="宋体" w:hAnsi="宋体" w:eastAsia="宋体" w:cs="宋体"/>
          <w:spacing w:val="-49"/>
          <w:sz w:val="20"/>
          <w:szCs w:val="20"/>
        </w:rPr>
        <w:t xml:space="preserve"> </w:t>
      </w:r>
      <w:r>
        <w:rPr>
          <w:sz w:val="20"/>
          <w:szCs w:val="20"/>
        </w:rPr>
        <w:t>g</w:t>
      </w:r>
      <w:r>
        <w:rPr>
          <w:rFonts w:ascii="Times New Roman" w:hAnsi="Times New Roman" w:eastAsia="Times New Roman" w:cs="Times New Roman"/>
          <w:sz w:val="20"/>
          <w:szCs w:val="20"/>
        </w:rPr>
        <w:t>ene</w:t>
      </w:r>
      <w:r>
        <w:rPr>
          <w:rFonts w:ascii="Times New Roman" w:hAnsi="Times New Roman" w:eastAsia="Times New Roman" w:cs="Times New Roman"/>
          <w:spacing w:val="5"/>
          <w:sz w:val="20"/>
          <w:szCs w:val="20"/>
        </w:rPr>
        <w:t xml:space="preserve">     </w:t>
      </w:r>
      <w:r>
        <w:rPr>
          <w:rFonts w:ascii="Times New Roman" w:hAnsi="Times New Roman" w:eastAsia="Times New Roman" w:cs="Times New Roman"/>
          <w:sz w:val="20"/>
          <w:szCs w:val="20"/>
        </w:rPr>
        <w:t>mutation</w:t>
      </w:r>
      <w:r>
        <w:rPr>
          <w:rFonts w:ascii="Times New Roman" w:hAnsi="Times New Roman" w:eastAsia="Times New Roman" w:cs="Times New Roman"/>
          <w:spacing w:val="5"/>
          <w:sz w:val="20"/>
          <w:szCs w:val="20"/>
        </w:rPr>
        <w:t xml:space="preserve">)   </w:t>
      </w:r>
      <w:r>
        <w:rPr>
          <w:rFonts w:ascii="宋体" w:hAnsi="宋体" w:eastAsia="宋体" w:cs="宋体"/>
          <w:spacing w:val="5"/>
          <w:sz w:val="20"/>
          <w:szCs w:val="20"/>
        </w:rPr>
        <w:t>流感病毒在其传播过程中自然发生的突变，称为自然突变</w:t>
      </w:r>
      <w:r>
        <w:rPr>
          <w:rFonts w:ascii="宋体" w:hAnsi="宋体" w:eastAsia="宋体" w:cs="宋体"/>
          <w:sz w:val="20"/>
          <w:szCs w:val="20"/>
        </w:rPr>
        <w:t xml:space="preserve"> </w:t>
      </w:r>
      <w:r>
        <w:rPr>
          <w:rFonts w:ascii="Times New Roman" w:hAnsi="Times New Roman" w:eastAsia="Times New Roman" w:cs="Times New Roman"/>
          <w:spacing w:val="-1"/>
          <w:sz w:val="20"/>
          <w:szCs w:val="20"/>
        </w:rPr>
        <w:t>(natural  mutation)</w:t>
      </w:r>
      <w:r>
        <w:rPr>
          <w:rFonts w:ascii="宋体" w:hAnsi="宋体" w:eastAsia="宋体" w:cs="宋体"/>
          <w:spacing w:val="-1"/>
          <w:sz w:val="20"/>
          <w:szCs w:val="20"/>
        </w:rPr>
        <w:t>。</w:t>
      </w:r>
    </w:p>
    <w:p w14:paraId="15F7FBDD">
      <w:pPr>
        <w:spacing w:before="120" w:line="300" w:lineRule="auto"/>
        <w:ind w:right="610" w:firstLine="412"/>
        <w:rPr>
          <w:rFonts w:ascii="宋体" w:hAnsi="宋体" w:eastAsia="宋体" w:cs="宋体"/>
          <w:sz w:val="20"/>
          <w:szCs w:val="20"/>
        </w:rPr>
      </w:pPr>
      <w:r>
        <w:rPr>
          <w:rFonts w:ascii="宋体" w:hAnsi="宋体" w:eastAsia="宋体" w:cs="宋体"/>
          <w:b/>
          <w:bCs/>
          <w:spacing w:val="-1"/>
          <w:sz w:val="20"/>
          <w:szCs w:val="20"/>
        </w:rPr>
        <w:t>2.</w:t>
      </w:r>
      <w:r>
        <w:rPr>
          <w:rFonts w:ascii="宋体" w:hAnsi="宋体" w:eastAsia="宋体" w:cs="宋体"/>
          <w:spacing w:val="-1"/>
          <w:sz w:val="20"/>
          <w:szCs w:val="20"/>
        </w:rPr>
        <w:t xml:space="preserve"> </w:t>
      </w:r>
      <w:r>
        <w:rPr>
          <w:rFonts w:ascii="宋体" w:hAnsi="宋体" w:eastAsia="宋体" w:cs="宋体"/>
          <w:b/>
          <w:bCs/>
          <w:spacing w:val="-1"/>
          <w:sz w:val="20"/>
          <w:szCs w:val="20"/>
        </w:rPr>
        <w:t>基因重配(</w:t>
      </w:r>
      <w:r>
        <w:rPr>
          <w:rFonts w:ascii="宋体" w:hAnsi="宋体" w:eastAsia="宋体" w:cs="宋体"/>
          <w:spacing w:val="-48"/>
          <w:sz w:val="20"/>
          <w:szCs w:val="20"/>
        </w:rPr>
        <w:t xml:space="preserve"> </w:t>
      </w:r>
      <w:r>
        <w:rPr>
          <w:rFonts w:ascii="Times New Roman" w:hAnsi="Times New Roman" w:eastAsia="Times New Roman" w:cs="Times New Roman"/>
          <w:spacing w:val="-1"/>
          <w:sz w:val="20"/>
          <w:szCs w:val="20"/>
        </w:rPr>
        <w:t>gene  re</w:t>
      </w:r>
      <w:r>
        <w:rPr>
          <w:rFonts w:ascii="宋体" w:hAnsi="宋体" w:eastAsia="宋体" w:cs="宋体"/>
          <w:spacing w:val="-1"/>
          <w:sz w:val="20"/>
          <w:szCs w:val="20"/>
        </w:rPr>
        <w:t>assortment) 两种不同亚型的人流感病毒之间或人流感病毒与动物流感</w:t>
      </w:r>
      <w:r>
        <w:rPr>
          <w:rFonts w:ascii="宋体" w:hAnsi="宋体" w:eastAsia="宋体" w:cs="宋体"/>
          <w:sz w:val="20"/>
          <w:szCs w:val="20"/>
        </w:rPr>
        <w:t xml:space="preserve"> </w:t>
      </w:r>
      <w:r>
        <w:rPr>
          <w:rFonts w:ascii="宋体" w:hAnsi="宋体" w:eastAsia="宋体" w:cs="宋体"/>
          <w:spacing w:val="7"/>
          <w:sz w:val="20"/>
          <w:szCs w:val="20"/>
        </w:rPr>
        <w:t>病毒之间基因片段的重配。如20世纪3次流感大流行的病毒基因(1918年</w:t>
      </w:r>
      <w:r>
        <w:rPr>
          <w:rFonts w:ascii="宋体" w:hAnsi="宋体" w:eastAsia="宋体" w:cs="宋体"/>
          <w:spacing w:val="6"/>
          <w:sz w:val="20"/>
          <w:szCs w:val="20"/>
        </w:rPr>
        <w:t>H1N1、1957</w:t>
      </w:r>
      <w:r>
        <w:rPr>
          <w:rFonts w:ascii="宋体" w:hAnsi="宋体" w:eastAsia="宋体" w:cs="宋体"/>
          <w:spacing w:val="-37"/>
          <w:sz w:val="20"/>
          <w:szCs w:val="20"/>
        </w:rPr>
        <w:t xml:space="preserve"> </w:t>
      </w:r>
      <w:r>
        <w:rPr>
          <w:rFonts w:ascii="宋体" w:hAnsi="宋体" w:eastAsia="宋体" w:cs="宋体"/>
          <w:spacing w:val="6"/>
          <w:sz w:val="20"/>
          <w:szCs w:val="20"/>
        </w:rPr>
        <w:t>年</w:t>
      </w:r>
      <w:r>
        <w:rPr>
          <w:rFonts w:ascii="宋体" w:hAnsi="宋体" w:eastAsia="宋体" w:cs="宋体"/>
          <w:spacing w:val="-51"/>
          <w:sz w:val="20"/>
          <w:szCs w:val="20"/>
        </w:rPr>
        <w:t xml:space="preserve"> </w:t>
      </w:r>
      <w:r>
        <w:rPr>
          <w:rFonts w:ascii="宋体" w:hAnsi="宋体" w:eastAsia="宋体" w:cs="宋体"/>
          <w:spacing w:val="6"/>
          <w:sz w:val="20"/>
          <w:szCs w:val="20"/>
        </w:rPr>
        <w:t>H2N2、</w:t>
      </w:r>
    </w:p>
    <w:p w14:paraId="240FEE1D">
      <w:pPr>
        <w:spacing w:line="300" w:lineRule="auto"/>
        <w:rPr>
          <w:rFonts w:ascii="宋体" w:hAnsi="宋体" w:eastAsia="宋体" w:cs="宋体"/>
          <w:sz w:val="20"/>
          <w:szCs w:val="20"/>
        </w:rPr>
        <w:sectPr>
          <w:footerReference r:id="rId372" w:type="default"/>
          <w:pgSz w:w="11900" w:h="16820"/>
          <w:pgMar w:top="400" w:right="1118" w:bottom="949" w:left="1710" w:header="0" w:footer="769" w:gutter="0"/>
          <w:cols w:space="720" w:num="1"/>
        </w:sectPr>
      </w:pPr>
    </w:p>
    <w:p w14:paraId="6AAD79A4">
      <w:pPr>
        <w:spacing w:line="309" w:lineRule="auto"/>
        <w:rPr>
          <w:rFonts w:ascii="Arial"/>
          <w:sz w:val="21"/>
        </w:rPr>
      </w:pPr>
    </w:p>
    <w:p w14:paraId="6AB25783">
      <w:pPr>
        <w:pStyle w:val="2"/>
        <w:spacing w:before="65" w:line="221" w:lineRule="auto"/>
        <w:ind w:left="690"/>
        <w:rPr>
          <w:sz w:val="20"/>
          <w:szCs w:val="20"/>
        </w:rPr>
      </w:pPr>
      <w:r>
        <w:rPr>
          <w:spacing w:val="-7"/>
          <w:sz w:val="20"/>
          <w:szCs w:val="20"/>
        </w:rPr>
        <w:t>第二十三章流行性感冒</w:t>
      </w:r>
    </w:p>
    <w:p w14:paraId="398ED3B6">
      <w:pPr>
        <w:spacing w:line="270" w:lineRule="auto"/>
        <w:rPr>
          <w:rFonts w:ascii="Arial"/>
          <w:sz w:val="21"/>
        </w:rPr>
      </w:pPr>
    </w:p>
    <w:p w14:paraId="6D1BC154">
      <w:pPr>
        <w:spacing w:line="271" w:lineRule="auto"/>
        <w:rPr>
          <w:rFonts w:ascii="Arial"/>
          <w:sz w:val="21"/>
        </w:rPr>
      </w:pPr>
    </w:p>
    <w:p w14:paraId="3A8B29C8">
      <w:pPr>
        <w:spacing w:before="65" w:line="212" w:lineRule="auto"/>
        <w:ind w:left="690"/>
        <w:rPr>
          <w:rFonts w:ascii="宋体" w:hAnsi="宋体" w:eastAsia="宋体" w:cs="宋体"/>
          <w:sz w:val="20"/>
          <w:szCs w:val="20"/>
        </w:rPr>
      </w:pPr>
      <w:r>
        <w:rPr>
          <w:rFonts w:ascii="宋体" w:hAnsi="宋体" w:eastAsia="宋体" w:cs="宋体"/>
          <w:spacing w:val="13"/>
          <w:sz w:val="20"/>
          <w:szCs w:val="20"/>
        </w:rPr>
        <w:t>1968年</w:t>
      </w:r>
      <w:r>
        <w:rPr>
          <w:rFonts w:ascii="Times New Roman" w:hAnsi="Times New Roman" w:eastAsia="Times New Roman" w:cs="Times New Roman"/>
          <w:spacing w:val="13"/>
          <w:sz w:val="20"/>
          <w:szCs w:val="20"/>
        </w:rPr>
        <w:t>H3N2)</w:t>
      </w:r>
      <w:r>
        <w:rPr>
          <w:rFonts w:ascii="Times New Roman" w:hAnsi="Times New Roman" w:eastAsia="Times New Roman" w:cs="Times New Roman"/>
          <w:spacing w:val="65"/>
          <w:sz w:val="20"/>
          <w:szCs w:val="20"/>
        </w:rPr>
        <w:t xml:space="preserve"> </w:t>
      </w:r>
      <w:r>
        <w:rPr>
          <w:rFonts w:ascii="宋体" w:hAnsi="宋体" w:eastAsia="宋体" w:cs="宋体"/>
          <w:spacing w:val="13"/>
          <w:sz w:val="20"/>
          <w:szCs w:val="20"/>
        </w:rPr>
        <w:t>均完全或部分来源于非人类的宿主。</w:t>
      </w:r>
    </w:p>
    <w:p w14:paraId="416CB28D">
      <w:pPr>
        <w:spacing w:line="247" w:lineRule="auto"/>
        <w:rPr>
          <w:rFonts w:ascii="Arial"/>
          <w:sz w:val="21"/>
        </w:rPr>
      </w:pPr>
    </w:p>
    <w:p w14:paraId="6393F0A9">
      <w:pPr>
        <w:pStyle w:val="2"/>
        <w:spacing w:before="81" w:line="222" w:lineRule="auto"/>
        <w:ind w:left="1123"/>
        <w:outlineLvl w:val="4"/>
        <w:rPr>
          <w:sz w:val="25"/>
          <w:szCs w:val="25"/>
        </w:rPr>
      </w:pPr>
      <w:bookmarkStart w:id="590" w:name="bookmark371"/>
      <w:bookmarkEnd w:id="590"/>
      <w:r>
        <w:rPr>
          <w:b/>
          <w:bCs/>
          <w:spacing w:val="-5"/>
          <w:sz w:val="25"/>
          <w:szCs w:val="25"/>
        </w:rPr>
        <w:t>三</w:t>
      </w:r>
      <w:r>
        <w:rPr>
          <w:spacing w:val="-59"/>
          <w:sz w:val="25"/>
          <w:szCs w:val="25"/>
        </w:rPr>
        <w:t xml:space="preserve"> </w:t>
      </w:r>
      <w:r>
        <w:rPr>
          <w:b/>
          <w:bCs/>
          <w:spacing w:val="-5"/>
          <w:sz w:val="25"/>
          <w:szCs w:val="25"/>
        </w:rPr>
        <w:t>、致病力</w:t>
      </w:r>
    </w:p>
    <w:p w14:paraId="67DFFDDD">
      <w:pPr>
        <w:pStyle w:val="2"/>
        <w:spacing w:before="228" w:line="221" w:lineRule="auto"/>
        <w:ind w:left="1123"/>
        <w:rPr>
          <w:sz w:val="25"/>
          <w:szCs w:val="25"/>
        </w:rPr>
      </w:pPr>
      <w:r>
        <w:rPr>
          <w:b/>
          <w:bCs/>
          <w:spacing w:val="-2"/>
          <w:sz w:val="25"/>
          <w:szCs w:val="25"/>
        </w:rPr>
        <w:t>(一)抵抗力</w:t>
      </w:r>
    </w:p>
    <w:p w14:paraId="1ABC6751">
      <w:pPr>
        <w:spacing w:before="105" w:line="334" w:lineRule="auto"/>
        <w:ind w:left="690" w:firstLine="429"/>
        <w:jc w:val="both"/>
        <w:rPr>
          <w:rFonts w:ascii="宋体" w:hAnsi="宋体" w:eastAsia="宋体" w:cs="宋体"/>
          <w:sz w:val="20"/>
          <w:szCs w:val="20"/>
        </w:rPr>
      </w:pPr>
      <w:r>
        <w:rPr>
          <w:rFonts w:ascii="宋体" w:hAnsi="宋体" w:eastAsia="宋体" w:cs="宋体"/>
          <w:spacing w:val="14"/>
          <w:sz w:val="20"/>
          <w:szCs w:val="20"/>
        </w:rPr>
        <w:t>流感病毒对热敏感，通常56℃</w:t>
      </w:r>
      <w:r>
        <w:rPr>
          <w:rFonts w:ascii="宋体" w:hAnsi="宋体" w:eastAsia="宋体" w:cs="宋体"/>
          <w:spacing w:val="44"/>
          <w:sz w:val="20"/>
          <w:szCs w:val="20"/>
        </w:rPr>
        <w:t xml:space="preserve"> </w:t>
      </w:r>
      <w:r>
        <w:rPr>
          <w:rFonts w:ascii="宋体" w:hAnsi="宋体" w:eastAsia="宋体" w:cs="宋体"/>
          <w:spacing w:val="14"/>
          <w:sz w:val="20"/>
          <w:szCs w:val="20"/>
        </w:rPr>
        <w:t>30分钟、100℃1分钟即可将其灭活；在0～4℃下可</w:t>
      </w:r>
      <w:r>
        <w:rPr>
          <w:rFonts w:ascii="宋体" w:hAnsi="宋体" w:eastAsia="宋体" w:cs="宋体"/>
          <w:spacing w:val="13"/>
          <w:sz w:val="20"/>
          <w:szCs w:val="20"/>
        </w:rPr>
        <w:t>存活数周，</w:t>
      </w:r>
      <w:r>
        <w:rPr>
          <w:rFonts w:ascii="宋体" w:hAnsi="宋体" w:eastAsia="宋体" w:cs="宋体"/>
          <w:sz w:val="20"/>
          <w:szCs w:val="20"/>
        </w:rPr>
        <w:t xml:space="preserve"> </w:t>
      </w:r>
      <w:r>
        <w:rPr>
          <w:rFonts w:ascii="宋体" w:hAnsi="宋体" w:eastAsia="宋体" w:cs="宋体"/>
          <w:spacing w:val="16"/>
          <w:sz w:val="20"/>
          <w:szCs w:val="20"/>
        </w:rPr>
        <w:t>在-70℃下可存活数年，冷冻干燥后可长期保存。干燥、日光、紫外线及通风等都不利于其存活。</w:t>
      </w:r>
      <w:r>
        <w:rPr>
          <w:rFonts w:ascii="宋体" w:hAnsi="宋体" w:eastAsia="宋体" w:cs="宋体"/>
          <w:spacing w:val="14"/>
          <w:sz w:val="20"/>
          <w:szCs w:val="20"/>
        </w:rPr>
        <w:t xml:space="preserve"> </w:t>
      </w:r>
      <w:r>
        <w:rPr>
          <w:rFonts w:ascii="宋体" w:hAnsi="宋体" w:eastAsia="宋体" w:cs="宋体"/>
          <w:spacing w:val="8"/>
          <w:sz w:val="20"/>
          <w:szCs w:val="20"/>
        </w:rPr>
        <w:t>对乙醚、乙醇、甲醛、丙酮、氯仿等均敏感。不耐酸，最适</w:t>
      </w:r>
      <w:r>
        <w:rPr>
          <w:rFonts w:ascii="Times New Roman" w:hAnsi="Times New Roman" w:eastAsia="Times New Roman" w:cs="Times New Roman"/>
          <w:sz w:val="20"/>
          <w:szCs w:val="20"/>
        </w:rPr>
        <w:t>pH</w:t>
      </w:r>
      <w:r>
        <w:rPr>
          <w:rFonts w:ascii="Times New Roman" w:hAnsi="Times New Roman" w:eastAsia="Times New Roman" w:cs="Times New Roman"/>
          <w:spacing w:val="25"/>
          <w:w w:val="101"/>
          <w:sz w:val="20"/>
          <w:szCs w:val="20"/>
        </w:rPr>
        <w:t xml:space="preserve"> </w:t>
      </w:r>
      <w:r>
        <w:rPr>
          <w:rFonts w:ascii="宋体" w:hAnsi="宋体" w:eastAsia="宋体" w:cs="宋体"/>
          <w:spacing w:val="8"/>
          <w:sz w:val="20"/>
          <w:szCs w:val="20"/>
        </w:rPr>
        <w:t>为7.0～8.0,在</w:t>
      </w:r>
      <w:r>
        <w:rPr>
          <w:rFonts w:ascii="Times New Roman" w:hAnsi="Times New Roman" w:eastAsia="Times New Roman" w:cs="Times New Roman"/>
          <w:sz w:val="20"/>
          <w:szCs w:val="20"/>
        </w:rPr>
        <w:t>pH</w:t>
      </w:r>
      <w:r>
        <w:rPr>
          <w:rFonts w:ascii="Times New Roman" w:hAnsi="Times New Roman" w:eastAsia="Times New Roman" w:cs="Times New Roman"/>
          <w:spacing w:val="35"/>
          <w:w w:val="101"/>
          <w:sz w:val="20"/>
          <w:szCs w:val="20"/>
        </w:rPr>
        <w:t xml:space="preserve"> </w:t>
      </w:r>
      <w:r>
        <w:rPr>
          <w:rFonts w:ascii="宋体" w:hAnsi="宋体" w:eastAsia="宋体" w:cs="宋体"/>
          <w:spacing w:val="8"/>
          <w:sz w:val="20"/>
          <w:szCs w:val="20"/>
        </w:rPr>
        <w:t>为5</w:t>
      </w:r>
      <w:r>
        <w:rPr>
          <w:rFonts w:ascii="宋体" w:hAnsi="宋体" w:eastAsia="宋体" w:cs="宋体"/>
          <w:spacing w:val="7"/>
          <w:sz w:val="20"/>
          <w:szCs w:val="20"/>
        </w:rPr>
        <w:t>.0以下或9.0以</w:t>
      </w:r>
      <w:r>
        <w:rPr>
          <w:rFonts w:ascii="宋体" w:hAnsi="宋体" w:eastAsia="宋体" w:cs="宋体"/>
          <w:sz w:val="20"/>
          <w:szCs w:val="20"/>
        </w:rPr>
        <w:t xml:space="preserve">  </w:t>
      </w:r>
      <w:r>
        <w:rPr>
          <w:rFonts w:ascii="宋体" w:hAnsi="宋体" w:eastAsia="宋体" w:cs="宋体"/>
          <w:spacing w:val="14"/>
          <w:sz w:val="20"/>
          <w:szCs w:val="20"/>
        </w:rPr>
        <w:t>上病毒感染力很快被破坏。抗生素对流感病毒无效。</w:t>
      </w:r>
    </w:p>
    <w:p w14:paraId="0866C81D">
      <w:pPr>
        <w:pStyle w:val="2"/>
        <w:spacing w:line="222" w:lineRule="auto"/>
        <w:ind w:left="1123"/>
        <w:rPr>
          <w:sz w:val="25"/>
          <w:szCs w:val="25"/>
        </w:rPr>
      </w:pPr>
      <w:r>
        <w:rPr>
          <w:b/>
          <w:bCs/>
          <w:spacing w:val="-3"/>
          <w:sz w:val="25"/>
          <w:szCs w:val="25"/>
        </w:rPr>
        <w:t>(二)致病性</w:t>
      </w:r>
    </w:p>
    <w:p w14:paraId="7C4CA82F">
      <w:pPr>
        <w:spacing w:before="79" w:line="343" w:lineRule="auto"/>
        <w:ind w:left="690" w:right="110" w:firstLine="429"/>
        <w:jc w:val="both"/>
        <w:rPr>
          <w:rFonts w:ascii="宋体" w:hAnsi="宋体" w:eastAsia="宋体" w:cs="宋体"/>
          <w:sz w:val="20"/>
          <w:szCs w:val="20"/>
        </w:rPr>
      </w:pPr>
      <w:r>
        <w:rPr>
          <w:rFonts w:ascii="宋体" w:hAnsi="宋体" w:eastAsia="宋体" w:cs="宋体"/>
          <w:spacing w:val="2"/>
          <w:sz w:val="20"/>
          <w:szCs w:val="20"/>
        </w:rPr>
        <w:t>甲型流感病毒不仅可以感染人类，还可感染多种动物，特别是禽类以及猪、马、</w:t>
      </w:r>
      <w:r>
        <w:rPr>
          <w:rFonts w:ascii="宋体" w:hAnsi="宋体" w:eastAsia="宋体" w:cs="宋体"/>
          <w:spacing w:val="1"/>
          <w:sz w:val="20"/>
          <w:szCs w:val="20"/>
        </w:rPr>
        <w:t>牛、犬、海豹、水</w:t>
      </w:r>
      <w:r>
        <w:rPr>
          <w:rFonts w:ascii="宋体" w:hAnsi="宋体" w:eastAsia="宋体" w:cs="宋体"/>
          <w:sz w:val="20"/>
          <w:szCs w:val="20"/>
        </w:rPr>
        <w:t xml:space="preserve"> </w:t>
      </w:r>
      <w:r>
        <w:rPr>
          <w:rFonts w:ascii="宋体" w:hAnsi="宋体" w:eastAsia="宋体" w:cs="宋体"/>
          <w:spacing w:val="7"/>
          <w:sz w:val="20"/>
          <w:szCs w:val="20"/>
        </w:rPr>
        <w:t>貂和鲸等。人感染后常出现发热、呼吸道感染等症状，可并发肺炎和心肌炎等。婴幼儿、老年人、慢</w:t>
      </w:r>
      <w:r>
        <w:rPr>
          <w:rFonts w:ascii="宋体" w:hAnsi="宋体" w:eastAsia="宋体" w:cs="宋体"/>
          <w:sz w:val="20"/>
          <w:szCs w:val="20"/>
        </w:rPr>
        <w:t xml:space="preserve"> </w:t>
      </w:r>
      <w:r>
        <w:rPr>
          <w:rFonts w:ascii="宋体" w:hAnsi="宋体" w:eastAsia="宋体" w:cs="宋体"/>
          <w:spacing w:val="12"/>
          <w:sz w:val="20"/>
          <w:szCs w:val="20"/>
        </w:rPr>
        <w:t>性病患者、孕妇等感染后较易发展为重症，甚至导致死亡，孕妇还易发生流产。</w:t>
      </w:r>
      <w:r>
        <w:rPr>
          <w:rFonts w:ascii="宋体" w:hAnsi="宋体" w:eastAsia="宋体" w:cs="宋体"/>
          <w:spacing w:val="11"/>
          <w:sz w:val="20"/>
          <w:szCs w:val="20"/>
        </w:rPr>
        <w:t>乙型流感病毒主要</w:t>
      </w:r>
      <w:r>
        <w:rPr>
          <w:rFonts w:ascii="宋体" w:hAnsi="宋体" w:eastAsia="宋体" w:cs="宋体"/>
          <w:sz w:val="20"/>
          <w:szCs w:val="20"/>
        </w:rPr>
        <w:t xml:space="preserve"> </w:t>
      </w:r>
      <w:r>
        <w:rPr>
          <w:rFonts w:ascii="宋体" w:hAnsi="宋体" w:eastAsia="宋体" w:cs="宋体"/>
          <w:spacing w:val="6"/>
          <w:sz w:val="20"/>
          <w:szCs w:val="20"/>
        </w:rPr>
        <w:t>感染人，丙型流感病毒可感染人和猪，但致病性较弱，丁型流感病毒主要感</w:t>
      </w:r>
      <w:r>
        <w:rPr>
          <w:rFonts w:ascii="宋体" w:hAnsi="宋体" w:eastAsia="宋体" w:cs="宋体"/>
          <w:spacing w:val="5"/>
          <w:sz w:val="20"/>
          <w:szCs w:val="20"/>
        </w:rPr>
        <w:t>染猪、牛等。</w:t>
      </w:r>
    </w:p>
    <w:p w14:paraId="23C3BD7B">
      <w:pPr>
        <w:pStyle w:val="2"/>
        <w:spacing w:before="173" w:line="222" w:lineRule="auto"/>
        <w:ind w:left="1123"/>
        <w:outlineLvl w:val="4"/>
        <w:rPr>
          <w:sz w:val="25"/>
          <w:szCs w:val="25"/>
        </w:rPr>
      </w:pPr>
      <w:bookmarkStart w:id="591" w:name="bookmark372"/>
      <w:bookmarkEnd w:id="591"/>
      <w:r>
        <w:rPr>
          <w:b/>
          <w:bCs/>
          <w:spacing w:val="-11"/>
          <w:sz w:val="25"/>
          <w:szCs w:val="25"/>
        </w:rPr>
        <w:t>四</w:t>
      </w:r>
      <w:r>
        <w:rPr>
          <w:spacing w:val="-49"/>
          <w:sz w:val="25"/>
          <w:szCs w:val="25"/>
        </w:rPr>
        <w:t xml:space="preserve"> </w:t>
      </w:r>
      <w:r>
        <w:rPr>
          <w:b/>
          <w:bCs/>
          <w:spacing w:val="-11"/>
          <w:sz w:val="25"/>
          <w:szCs w:val="25"/>
        </w:rPr>
        <w:t>、免疫力</w:t>
      </w:r>
    </w:p>
    <w:p w14:paraId="42557D41">
      <w:pPr>
        <w:pStyle w:val="2"/>
        <w:spacing w:before="219" w:line="222" w:lineRule="auto"/>
        <w:ind w:left="1123"/>
        <w:rPr>
          <w:sz w:val="25"/>
          <w:szCs w:val="25"/>
        </w:rPr>
      </w:pPr>
      <w:r>
        <w:rPr>
          <w:b/>
          <w:bCs/>
          <w:spacing w:val="-11"/>
          <w:sz w:val="25"/>
          <w:szCs w:val="25"/>
        </w:rPr>
        <w:t>(一)体液免疫</w:t>
      </w:r>
    </w:p>
    <w:p w14:paraId="69E96EA1">
      <w:pPr>
        <w:spacing w:before="102" w:line="333" w:lineRule="auto"/>
        <w:ind w:left="690" w:right="39" w:firstLine="429"/>
        <w:jc w:val="both"/>
        <w:rPr>
          <w:rFonts w:ascii="宋体" w:hAnsi="宋体" w:eastAsia="宋体" w:cs="宋体"/>
          <w:sz w:val="20"/>
          <w:szCs w:val="20"/>
        </w:rPr>
      </w:pPr>
      <w:r>
        <w:rPr>
          <w:rFonts w:ascii="宋体" w:hAnsi="宋体" w:eastAsia="宋体" w:cs="宋体"/>
          <w:spacing w:val="15"/>
          <w:sz w:val="20"/>
          <w:szCs w:val="20"/>
        </w:rPr>
        <w:t>人感染流感病毒后可产生3种抗体：血凝素抗体、神经</w:t>
      </w:r>
      <w:r>
        <w:rPr>
          <w:rFonts w:ascii="宋体" w:hAnsi="宋体" w:eastAsia="宋体" w:cs="宋体"/>
          <w:spacing w:val="14"/>
          <w:sz w:val="20"/>
          <w:szCs w:val="20"/>
        </w:rPr>
        <w:t>氨酸酶抗体和核蛋白抗体。其中血凝素</w:t>
      </w:r>
      <w:r>
        <w:rPr>
          <w:rFonts w:ascii="宋体" w:hAnsi="宋体" w:eastAsia="宋体" w:cs="宋体"/>
          <w:sz w:val="20"/>
          <w:szCs w:val="20"/>
        </w:rPr>
        <w:t xml:space="preserve"> </w:t>
      </w:r>
      <w:r>
        <w:rPr>
          <w:rFonts w:ascii="宋体" w:hAnsi="宋体" w:eastAsia="宋体" w:cs="宋体"/>
          <w:spacing w:val="12"/>
          <w:sz w:val="20"/>
          <w:szCs w:val="20"/>
        </w:rPr>
        <w:t>抗体是主要的保护性抗体，它能结合并覆盖病毒的受体结合位点，从而使流感</w:t>
      </w:r>
      <w:r>
        <w:rPr>
          <w:rFonts w:ascii="宋体" w:hAnsi="宋体" w:eastAsia="宋体" w:cs="宋体"/>
          <w:spacing w:val="11"/>
          <w:sz w:val="20"/>
          <w:szCs w:val="20"/>
        </w:rPr>
        <w:t>病毒降低或失去进入</w:t>
      </w:r>
      <w:r>
        <w:rPr>
          <w:rFonts w:ascii="宋体" w:hAnsi="宋体" w:eastAsia="宋体" w:cs="宋体"/>
          <w:sz w:val="20"/>
          <w:szCs w:val="20"/>
        </w:rPr>
        <w:t xml:space="preserve"> </w:t>
      </w:r>
      <w:r>
        <w:rPr>
          <w:rFonts w:ascii="宋体" w:hAnsi="宋体" w:eastAsia="宋体" w:cs="宋体"/>
          <w:spacing w:val="16"/>
          <w:sz w:val="20"/>
          <w:szCs w:val="20"/>
        </w:rPr>
        <w:t>细胞的能力，因此能中和病毒。人感染病毒后4～7天在呼吸道分泌物和血清中即可检出血凝素抗</w:t>
      </w:r>
      <w:r>
        <w:rPr>
          <w:rFonts w:ascii="宋体" w:hAnsi="宋体" w:eastAsia="宋体" w:cs="宋体"/>
          <w:spacing w:val="18"/>
          <w:sz w:val="20"/>
          <w:szCs w:val="20"/>
        </w:rPr>
        <w:t xml:space="preserve"> </w:t>
      </w:r>
      <w:r>
        <w:rPr>
          <w:rFonts w:ascii="宋体" w:hAnsi="宋体" w:eastAsia="宋体" w:cs="宋体"/>
          <w:spacing w:val="15"/>
          <w:sz w:val="20"/>
          <w:szCs w:val="20"/>
        </w:rPr>
        <w:t>体，若无再次抗原刺激，抗体维持时间很短。若经同一亚型的不同变</w:t>
      </w:r>
      <w:r>
        <w:rPr>
          <w:rFonts w:ascii="宋体" w:hAnsi="宋体" w:eastAsia="宋体" w:cs="宋体"/>
          <w:spacing w:val="14"/>
          <w:sz w:val="20"/>
          <w:szCs w:val="20"/>
        </w:rPr>
        <w:t>异株反复多次感染(隐性或显</w:t>
      </w:r>
      <w:r>
        <w:rPr>
          <w:rFonts w:ascii="宋体" w:hAnsi="宋体" w:eastAsia="宋体" w:cs="宋体"/>
          <w:sz w:val="20"/>
          <w:szCs w:val="20"/>
        </w:rPr>
        <w:t xml:space="preserve"> </w:t>
      </w:r>
      <w:r>
        <w:rPr>
          <w:rFonts w:ascii="宋体" w:hAnsi="宋体" w:eastAsia="宋体" w:cs="宋体"/>
          <w:spacing w:val="12"/>
          <w:sz w:val="20"/>
          <w:szCs w:val="20"/>
        </w:rPr>
        <w:t>性感染),则抗体滴度逐步升高并可维持多年。血</w:t>
      </w:r>
      <w:r>
        <w:rPr>
          <w:rFonts w:ascii="宋体" w:hAnsi="宋体" w:eastAsia="宋体" w:cs="宋体"/>
          <w:spacing w:val="11"/>
          <w:sz w:val="20"/>
          <w:szCs w:val="20"/>
        </w:rPr>
        <w:t>凝素抗体具有株特异性，随着抗原漂移，其保护性</w:t>
      </w:r>
      <w:r>
        <w:rPr>
          <w:rFonts w:ascii="宋体" w:hAnsi="宋体" w:eastAsia="宋体" w:cs="宋体"/>
          <w:sz w:val="20"/>
          <w:szCs w:val="20"/>
        </w:rPr>
        <w:t xml:space="preserve"> </w:t>
      </w:r>
      <w:r>
        <w:rPr>
          <w:rFonts w:ascii="宋体" w:hAnsi="宋体" w:eastAsia="宋体" w:cs="宋体"/>
          <w:spacing w:val="14"/>
          <w:sz w:val="20"/>
          <w:szCs w:val="20"/>
        </w:rPr>
        <w:t>减弱。神经氨酸酶抗体不能中和病毒感染，但</w:t>
      </w:r>
      <w:r>
        <w:rPr>
          <w:rFonts w:ascii="宋体" w:hAnsi="宋体" w:eastAsia="宋体" w:cs="宋体"/>
          <w:spacing w:val="13"/>
          <w:sz w:val="20"/>
          <w:szCs w:val="20"/>
        </w:rPr>
        <w:t>能抑制病毒从感染细胞表面释放、再感染其他细胞，</w:t>
      </w:r>
      <w:r>
        <w:rPr>
          <w:rFonts w:ascii="宋体" w:hAnsi="宋体" w:eastAsia="宋体" w:cs="宋体"/>
          <w:sz w:val="20"/>
          <w:szCs w:val="20"/>
        </w:rPr>
        <w:t xml:space="preserve"> </w:t>
      </w:r>
      <w:r>
        <w:rPr>
          <w:rFonts w:ascii="宋体" w:hAnsi="宋体" w:eastAsia="宋体" w:cs="宋体"/>
          <w:spacing w:val="11"/>
          <w:sz w:val="20"/>
          <w:szCs w:val="20"/>
        </w:rPr>
        <w:t>减少病毒的增殖和扩散。核蛋白抗体为型特异性抗体，没有保护作用。</w:t>
      </w:r>
    </w:p>
    <w:p w14:paraId="0AC242FB">
      <w:pPr>
        <w:pStyle w:val="2"/>
        <w:spacing w:before="12" w:line="222" w:lineRule="auto"/>
        <w:ind w:left="1123"/>
        <w:rPr>
          <w:sz w:val="25"/>
          <w:szCs w:val="25"/>
        </w:rPr>
      </w:pPr>
      <w:r>
        <w:rPr>
          <w:b/>
          <w:bCs/>
          <w:spacing w:val="-5"/>
          <w:sz w:val="25"/>
          <w:szCs w:val="25"/>
        </w:rPr>
        <w:t>(二)细胞免疫</w:t>
      </w:r>
    </w:p>
    <w:p w14:paraId="5D3622CA">
      <w:pPr>
        <w:spacing w:before="91" w:line="329" w:lineRule="auto"/>
        <w:ind w:left="690" w:right="90" w:firstLine="429"/>
        <w:jc w:val="both"/>
        <w:rPr>
          <w:rFonts w:ascii="宋体" w:hAnsi="宋体" w:eastAsia="宋体" w:cs="宋体"/>
          <w:sz w:val="20"/>
          <w:szCs w:val="20"/>
        </w:rPr>
      </w:pPr>
      <w:r>
        <w:rPr>
          <w:rFonts w:ascii="宋体" w:hAnsi="宋体" w:eastAsia="宋体" w:cs="宋体"/>
          <w:spacing w:val="13"/>
          <w:sz w:val="20"/>
          <w:szCs w:val="20"/>
        </w:rPr>
        <w:t>感染流感病毒后2～3周，外周血出现细胞毒性T</w:t>
      </w:r>
      <w:r>
        <w:rPr>
          <w:rFonts w:ascii="宋体" w:hAnsi="宋体" w:eastAsia="宋体" w:cs="宋体"/>
          <w:spacing w:val="-13"/>
          <w:sz w:val="20"/>
          <w:szCs w:val="20"/>
        </w:rPr>
        <w:t xml:space="preserve"> </w:t>
      </w:r>
      <w:r>
        <w:rPr>
          <w:rFonts w:ascii="宋体" w:hAnsi="宋体" w:eastAsia="宋体" w:cs="宋体"/>
          <w:spacing w:val="13"/>
          <w:sz w:val="20"/>
          <w:szCs w:val="20"/>
        </w:rPr>
        <w:t>细</w:t>
      </w:r>
      <w:r>
        <w:rPr>
          <w:rFonts w:ascii="宋体" w:hAnsi="宋体" w:eastAsia="宋体" w:cs="宋体"/>
          <w:spacing w:val="-35"/>
          <w:sz w:val="20"/>
          <w:szCs w:val="20"/>
        </w:rPr>
        <w:t xml:space="preserve"> </w:t>
      </w:r>
      <w:r>
        <w:rPr>
          <w:rFonts w:ascii="宋体" w:hAnsi="宋体" w:eastAsia="宋体" w:cs="宋体"/>
          <w:spacing w:val="13"/>
          <w:sz w:val="20"/>
          <w:szCs w:val="20"/>
        </w:rPr>
        <w:t>胞(</w:t>
      </w:r>
      <w:r>
        <w:rPr>
          <w:rFonts w:ascii="宋体" w:hAnsi="宋体" w:eastAsia="宋体" w:cs="宋体"/>
          <w:sz w:val="20"/>
          <w:szCs w:val="20"/>
        </w:rPr>
        <w:t>CTL</w:t>
      </w:r>
      <w:r>
        <w:rPr>
          <w:rFonts w:ascii="宋体" w:hAnsi="宋体" w:eastAsia="宋体" w:cs="宋体"/>
          <w:spacing w:val="13"/>
          <w:sz w:val="20"/>
          <w:szCs w:val="20"/>
        </w:rPr>
        <w:t>) 介导的细胞毒作用，在6个月后恢</w:t>
      </w:r>
      <w:r>
        <w:rPr>
          <w:rFonts w:ascii="宋体" w:hAnsi="宋体" w:eastAsia="宋体" w:cs="宋体"/>
          <w:sz w:val="20"/>
          <w:szCs w:val="20"/>
        </w:rPr>
        <w:t xml:space="preserve"> </w:t>
      </w:r>
      <w:r>
        <w:rPr>
          <w:rFonts w:ascii="宋体" w:hAnsi="宋体" w:eastAsia="宋体" w:cs="宋体"/>
          <w:spacing w:val="10"/>
          <w:sz w:val="20"/>
          <w:szCs w:val="20"/>
        </w:rPr>
        <w:t>复正常，该细胞能识别</w:t>
      </w:r>
      <w:r>
        <w:rPr>
          <w:rFonts w:ascii="Times New Roman" w:hAnsi="Times New Roman" w:eastAsia="Times New Roman" w:cs="Times New Roman"/>
          <w:sz w:val="20"/>
          <w:szCs w:val="20"/>
        </w:rPr>
        <w:t>HA</w:t>
      </w:r>
      <w:r>
        <w:rPr>
          <w:rFonts w:ascii="Times New Roman" w:hAnsi="Times New Roman" w:eastAsia="Times New Roman" w:cs="Times New Roman"/>
          <w:spacing w:val="-23"/>
          <w:sz w:val="20"/>
          <w:szCs w:val="20"/>
        </w:rPr>
        <w:t xml:space="preserve"> </w:t>
      </w:r>
      <w:r>
        <w:rPr>
          <w:rFonts w:ascii="宋体" w:hAnsi="宋体" w:eastAsia="宋体" w:cs="宋体"/>
          <w:spacing w:val="10"/>
          <w:sz w:val="20"/>
          <w:szCs w:val="20"/>
        </w:rPr>
        <w:t>、</w:t>
      </w:r>
      <w:r>
        <w:rPr>
          <w:rFonts w:ascii="Times New Roman" w:hAnsi="Times New Roman" w:eastAsia="Times New Roman" w:cs="Times New Roman"/>
          <w:sz w:val="20"/>
          <w:szCs w:val="20"/>
        </w:rPr>
        <w:t>NA</w:t>
      </w:r>
      <w:r>
        <w:rPr>
          <w:rFonts w:ascii="宋体" w:hAnsi="宋体" w:eastAsia="宋体" w:cs="宋体"/>
          <w:spacing w:val="10"/>
          <w:sz w:val="20"/>
          <w:szCs w:val="20"/>
        </w:rPr>
        <w:t>和</w:t>
      </w:r>
      <w:r>
        <w:rPr>
          <w:rFonts w:ascii="Times New Roman" w:hAnsi="Times New Roman" w:eastAsia="Times New Roman" w:cs="Times New Roman"/>
          <w:sz w:val="20"/>
          <w:szCs w:val="20"/>
        </w:rPr>
        <w:t>NP</w:t>
      </w:r>
      <w:r>
        <w:rPr>
          <w:rFonts w:ascii="Times New Roman" w:hAnsi="Times New Roman" w:eastAsia="Times New Roman" w:cs="Times New Roman"/>
          <w:spacing w:val="10"/>
          <w:sz w:val="20"/>
          <w:szCs w:val="20"/>
        </w:rPr>
        <w:t xml:space="preserve"> </w:t>
      </w:r>
      <w:r>
        <w:rPr>
          <w:rFonts w:ascii="宋体" w:hAnsi="宋体" w:eastAsia="宋体" w:cs="宋体"/>
          <w:spacing w:val="10"/>
          <w:sz w:val="20"/>
          <w:szCs w:val="20"/>
        </w:rPr>
        <w:t>抗原。另外，辅助</w:t>
      </w:r>
      <w:r>
        <w:rPr>
          <w:rFonts w:ascii="Times New Roman" w:hAnsi="Times New Roman" w:eastAsia="Times New Roman" w:cs="Times New Roman"/>
          <w:spacing w:val="10"/>
          <w:sz w:val="20"/>
          <w:szCs w:val="20"/>
        </w:rPr>
        <w:t>T</w:t>
      </w:r>
      <w:r>
        <w:rPr>
          <w:rFonts w:ascii="Times New Roman" w:hAnsi="Times New Roman" w:eastAsia="Times New Roman" w:cs="Times New Roman"/>
          <w:spacing w:val="24"/>
          <w:sz w:val="20"/>
          <w:szCs w:val="20"/>
        </w:rPr>
        <w:t xml:space="preserve"> </w:t>
      </w:r>
      <w:r>
        <w:rPr>
          <w:rFonts w:ascii="宋体" w:hAnsi="宋体" w:eastAsia="宋体" w:cs="宋体"/>
          <w:spacing w:val="10"/>
          <w:sz w:val="20"/>
          <w:szCs w:val="20"/>
        </w:rPr>
        <w:t>细胞受病毒抗原的诱导，产生亚型特异性</w:t>
      </w:r>
      <w:r>
        <w:rPr>
          <w:rFonts w:ascii="宋体" w:hAnsi="宋体" w:eastAsia="宋体" w:cs="宋体"/>
          <w:sz w:val="20"/>
          <w:szCs w:val="20"/>
        </w:rPr>
        <w:t xml:space="preserve"> </w:t>
      </w:r>
      <w:r>
        <w:rPr>
          <w:rFonts w:ascii="宋体" w:hAnsi="宋体" w:eastAsia="宋体" w:cs="宋体"/>
          <w:spacing w:val="11"/>
          <w:sz w:val="20"/>
          <w:szCs w:val="20"/>
        </w:rPr>
        <w:t>和型特异性的细胞群，对抗体的产生及</w:t>
      </w:r>
      <w:r>
        <w:rPr>
          <w:rFonts w:ascii="Times New Roman" w:hAnsi="Times New Roman" w:eastAsia="Times New Roman" w:cs="Times New Roman"/>
          <w:sz w:val="20"/>
          <w:szCs w:val="20"/>
        </w:rPr>
        <w:t>CTL</w:t>
      </w:r>
      <w:r>
        <w:rPr>
          <w:rFonts w:ascii="Times New Roman" w:hAnsi="Times New Roman" w:eastAsia="Times New Roman" w:cs="Times New Roman"/>
          <w:spacing w:val="11"/>
          <w:sz w:val="20"/>
          <w:szCs w:val="20"/>
        </w:rPr>
        <w:t xml:space="preserve"> </w:t>
      </w:r>
      <w:r>
        <w:rPr>
          <w:rFonts w:ascii="宋体" w:hAnsi="宋体" w:eastAsia="宋体" w:cs="宋体"/>
          <w:spacing w:val="11"/>
          <w:sz w:val="20"/>
          <w:szCs w:val="20"/>
        </w:rPr>
        <w:t>介导的</w:t>
      </w:r>
      <w:r>
        <w:rPr>
          <w:rFonts w:ascii="宋体" w:hAnsi="宋体" w:eastAsia="宋体" w:cs="宋体"/>
          <w:spacing w:val="10"/>
          <w:sz w:val="20"/>
          <w:szCs w:val="20"/>
        </w:rPr>
        <w:t>免疫应答都有重要作用。</w:t>
      </w:r>
    </w:p>
    <w:p w14:paraId="65506E8B">
      <w:pPr>
        <w:pStyle w:val="2"/>
        <w:spacing w:line="221" w:lineRule="auto"/>
        <w:ind w:left="1123"/>
        <w:rPr>
          <w:sz w:val="25"/>
          <w:szCs w:val="25"/>
        </w:rPr>
      </w:pPr>
      <w:r>
        <w:rPr>
          <w:b/>
          <w:bCs/>
          <w:spacing w:val="-5"/>
          <w:sz w:val="25"/>
          <w:szCs w:val="25"/>
        </w:rPr>
        <w:t>(三)局部免疫</w:t>
      </w:r>
    </w:p>
    <w:p w14:paraId="1DE86481">
      <w:pPr>
        <w:spacing w:before="97" w:line="340" w:lineRule="auto"/>
        <w:ind w:left="690" w:right="39" w:firstLine="429"/>
        <w:rPr>
          <w:rFonts w:ascii="宋体" w:hAnsi="宋体" w:eastAsia="宋体" w:cs="宋体"/>
          <w:sz w:val="20"/>
          <w:szCs w:val="20"/>
        </w:rPr>
      </w:pPr>
      <w:r>
        <w:rPr>
          <w:rFonts w:ascii="宋体" w:hAnsi="宋体" w:eastAsia="宋体" w:cs="宋体"/>
          <w:spacing w:val="15"/>
          <w:sz w:val="20"/>
          <w:szCs w:val="20"/>
        </w:rPr>
        <w:t>流感病人在发病后4～7天，呼吸道分泌物中出现特异性分泌型免疫球蛋白</w:t>
      </w:r>
      <w:r>
        <w:rPr>
          <w:rFonts w:ascii="宋体" w:hAnsi="宋体" w:eastAsia="宋体" w:cs="宋体"/>
          <w:spacing w:val="14"/>
          <w:sz w:val="20"/>
          <w:szCs w:val="20"/>
        </w:rPr>
        <w:t>A(</w:t>
      </w:r>
      <w:r>
        <w:rPr>
          <w:rFonts w:ascii="宋体" w:hAnsi="宋体" w:eastAsia="宋体" w:cs="宋体"/>
          <w:sz w:val="20"/>
          <w:szCs w:val="20"/>
        </w:rPr>
        <w:t>IgA</w:t>
      </w:r>
      <w:r>
        <w:rPr>
          <w:rFonts w:ascii="宋体" w:hAnsi="宋体" w:eastAsia="宋体" w:cs="宋体"/>
          <w:spacing w:val="14"/>
          <w:sz w:val="20"/>
          <w:szCs w:val="20"/>
        </w:rPr>
        <w:t>)</w:t>
      </w:r>
      <w:r>
        <w:rPr>
          <w:rFonts w:ascii="宋体" w:hAnsi="宋体" w:eastAsia="宋体" w:cs="宋体"/>
          <w:spacing w:val="42"/>
          <w:sz w:val="20"/>
          <w:szCs w:val="20"/>
        </w:rPr>
        <w:t xml:space="preserve"> </w:t>
      </w:r>
      <w:r>
        <w:rPr>
          <w:rFonts w:ascii="宋体" w:hAnsi="宋体" w:eastAsia="宋体" w:cs="宋体"/>
          <w:spacing w:val="14"/>
          <w:sz w:val="20"/>
          <w:szCs w:val="20"/>
        </w:rPr>
        <w:t>中和抗体，</w:t>
      </w:r>
      <w:r>
        <w:rPr>
          <w:rFonts w:ascii="宋体" w:hAnsi="宋体" w:eastAsia="宋体" w:cs="宋体"/>
          <w:sz w:val="20"/>
          <w:szCs w:val="20"/>
        </w:rPr>
        <w:t xml:space="preserve"> </w:t>
      </w:r>
      <w:r>
        <w:rPr>
          <w:rFonts w:ascii="宋体" w:hAnsi="宋体" w:eastAsia="宋体" w:cs="宋体"/>
          <w:spacing w:val="11"/>
          <w:sz w:val="20"/>
          <w:szCs w:val="20"/>
        </w:rPr>
        <w:t>2周后达高峰，持续大约3个月，其主要作用是在局部形成第一道防线，对预防流感有重要意义。</w:t>
      </w:r>
    </w:p>
    <w:p w14:paraId="5DAC355D">
      <w:pPr>
        <w:spacing w:line="367" w:lineRule="auto"/>
        <w:rPr>
          <w:rFonts w:ascii="Arial"/>
          <w:sz w:val="21"/>
        </w:rPr>
      </w:pPr>
    </w:p>
    <w:p w14:paraId="156AC146">
      <w:pPr>
        <w:pStyle w:val="2"/>
        <w:spacing w:before="97" w:line="221" w:lineRule="auto"/>
        <w:ind w:left="4054"/>
        <w:outlineLvl w:val="1"/>
      </w:pPr>
      <w:bookmarkStart w:id="592" w:name="bookmark373"/>
      <w:bookmarkEnd w:id="592"/>
      <w:r>
        <w:rPr>
          <w:b/>
          <w:bCs/>
          <w:spacing w:val="-7"/>
        </w:rPr>
        <w:t>第二节</w:t>
      </w:r>
      <w:r>
        <w:rPr>
          <w:spacing w:val="144"/>
        </w:rPr>
        <w:t xml:space="preserve"> </w:t>
      </w:r>
      <w:r>
        <w:rPr>
          <w:b/>
          <w:bCs/>
          <w:spacing w:val="-7"/>
        </w:rPr>
        <w:t>流行过程</w:t>
      </w:r>
    </w:p>
    <w:p w14:paraId="3AE5606C">
      <w:pPr>
        <w:spacing w:line="356" w:lineRule="auto"/>
        <w:rPr>
          <w:rFonts w:ascii="Arial"/>
          <w:sz w:val="21"/>
        </w:rPr>
      </w:pPr>
    </w:p>
    <w:p w14:paraId="3A328D6A">
      <w:pPr>
        <w:pStyle w:val="2"/>
        <w:spacing w:before="82" w:line="221" w:lineRule="auto"/>
        <w:ind w:left="1123"/>
        <w:outlineLvl w:val="4"/>
        <w:rPr>
          <w:sz w:val="25"/>
          <w:szCs w:val="25"/>
        </w:rPr>
      </w:pPr>
      <w:bookmarkStart w:id="593" w:name="bookmark374"/>
      <w:bookmarkEnd w:id="593"/>
      <w:r>
        <w:rPr>
          <w:b/>
          <w:bCs/>
          <w:spacing w:val="-8"/>
          <w:sz w:val="25"/>
          <w:szCs w:val="25"/>
        </w:rPr>
        <w:t>一</w:t>
      </w:r>
      <w:r>
        <w:rPr>
          <w:spacing w:val="-58"/>
          <w:sz w:val="25"/>
          <w:szCs w:val="25"/>
        </w:rPr>
        <w:t xml:space="preserve"> </w:t>
      </w:r>
      <w:r>
        <w:rPr>
          <w:b/>
          <w:bCs/>
          <w:spacing w:val="-8"/>
          <w:sz w:val="25"/>
          <w:szCs w:val="25"/>
        </w:rPr>
        <w:t>、传染源</w:t>
      </w:r>
    </w:p>
    <w:p w14:paraId="61D2BC22">
      <w:pPr>
        <w:pStyle w:val="2"/>
        <w:spacing w:before="223" w:line="222" w:lineRule="auto"/>
        <w:ind w:left="1123"/>
        <w:rPr>
          <w:sz w:val="25"/>
          <w:szCs w:val="25"/>
        </w:rPr>
      </w:pPr>
      <w:r>
        <w:rPr>
          <w:b/>
          <w:bCs/>
          <w:spacing w:val="-14"/>
          <w:sz w:val="25"/>
          <w:szCs w:val="25"/>
        </w:rPr>
        <w:t>(一)病人和隐性感染者</w:t>
      </w:r>
    </w:p>
    <w:p w14:paraId="002EA8D9">
      <w:pPr>
        <w:spacing w:before="102" w:line="333" w:lineRule="auto"/>
        <w:ind w:left="690" w:right="110" w:firstLine="429"/>
        <w:jc w:val="both"/>
        <w:rPr>
          <w:rFonts w:ascii="宋体" w:hAnsi="宋体" w:eastAsia="宋体" w:cs="宋体"/>
          <w:sz w:val="20"/>
          <w:szCs w:val="20"/>
        </w:rPr>
      </w:pPr>
      <w:r>
        <w:rPr>
          <w:rFonts w:ascii="宋体" w:hAnsi="宋体" w:eastAsia="宋体" w:cs="宋体"/>
          <w:spacing w:val="19"/>
          <w:sz w:val="20"/>
          <w:szCs w:val="20"/>
        </w:rPr>
        <w:t>流感病人是主要的传染源。多数既往健康的成人感染流感病毒后，出现</w:t>
      </w:r>
      <w:r>
        <w:rPr>
          <w:rFonts w:ascii="宋体" w:hAnsi="宋体" w:eastAsia="宋体" w:cs="宋体"/>
          <w:spacing w:val="18"/>
          <w:sz w:val="20"/>
          <w:szCs w:val="20"/>
        </w:rPr>
        <w:t>症状前1天至病后5~</w:t>
      </w:r>
      <w:r>
        <w:rPr>
          <w:rFonts w:ascii="宋体" w:hAnsi="宋体" w:eastAsia="宋体" w:cs="宋体"/>
          <w:sz w:val="20"/>
          <w:szCs w:val="20"/>
        </w:rPr>
        <w:t xml:space="preserve"> </w:t>
      </w:r>
      <w:r>
        <w:rPr>
          <w:rFonts w:ascii="宋体" w:hAnsi="宋体" w:eastAsia="宋体" w:cs="宋体"/>
          <w:spacing w:val="14"/>
          <w:sz w:val="20"/>
          <w:szCs w:val="20"/>
        </w:rPr>
        <w:t>7天可排出流感病毒，具有传染性。但少数病人尤其是婴幼儿和免疫力低下人群，传染期可维持更</w:t>
      </w:r>
      <w:r>
        <w:rPr>
          <w:rFonts w:ascii="宋体" w:hAnsi="宋体" w:eastAsia="宋体" w:cs="宋体"/>
          <w:spacing w:val="5"/>
          <w:sz w:val="20"/>
          <w:szCs w:val="20"/>
        </w:rPr>
        <w:t xml:space="preserve"> </w:t>
      </w:r>
      <w:r>
        <w:rPr>
          <w:rFonts w:ascii="宋体" w:hAnsi="宋体" w:eastAsia="宋体" w:cs="宋体"/>
          <w:spacing w:val="12"/>
          <w:sz w:val="20"/>
          <w:szCs w:val="20"/>
        </w:rPr>
        <w:t>长时间。轻症病人和隐性感染者作为传染源的作</w:t>
      </w:r>
      <w:r>
        <w:rPr>
          <w:rFonts w:ascii="宋体" w:hAnsi="宋体" w:eastAsia="宋体" w:cs="宋体"/>
          <w:spacing w:val="11"/>
          <w:sz w:val="20"/>
          <w:szCs w:val="20"/>
        </w:rPr>
        <w:t>用也不容忽视。</w:t>
      </w:r>
    </w:p>
    <w:p w14:paraId="5B8D75D1">
      <w:pPr>
        <w:spacing w:line="333" w:lineRule="auto"/>
        <w:rPr>
          <w:rFonts w:ascii="宋体" w:hAnsi="宋体" w:eastAsia="宋体" w:cs="宋体"/>
          <w:sz w:val="20"/>
          <w:szCs w:val="20"/>
        </w:rPr>
        <w:sectPr>
          <w:footerReference r:id="rId373" w:type="default"/>
          <w:pgSz w:w="11900" w:h="16820"/>
          <w:pgMar w:top="400" w:right="1320" w:bottom="809" w:left="669" w:header="0" w:footer="629" w:gutter="0"/>
          <w:cols w:space="720" w:num="1"/>
        </w:sectPr>
      </w:pPr>
    </w:p>
    <w:p w14:paraId="0F036A95">
      <w:pPr>
        <w:spacing w:line="266" w:lineRule="auto"/>
        <w:rPr>
          <w:rFonts w:ascii="Arial"/>
          <w:sz w:val="21"/>
        </w:rPr>
      </w:pPr>
    </w:p>
    <w:p w14:paraId="4EED0825">
      <w:pPr>
        <w:pStyle w:val="2"/>
        <w:spacing w:before="65" w:line="221" w:lineRule="auto"/>
        <w:ind w:left="6742"/>
        <w:rPr>
          <w:sz w:val="20"/>
          <w:szCs w:val="20"/>
        </w:rPr>
      </w:pPr>
      <w:r>
        <w:rPr>
          <w:b/>
          <w:bCs/>
          <w:spacing w:val="-18"/>
          <w:w w:val="98"/>
          <w:sz w:val="20"/>
          <w:szCs w:val="20"/>
        </w:rPr>
        <w:t>第二十三章流行性感冒</w:t>
      </w:r>
    </w:p>
    <w:p w14:paraId="1C94F389">
      <w:pPr>
        <w:spacing w:line="274" w:lineRule="auto"/>
        <w:rPr>
          <w:rFonts w:ascii="Arial"/>
          <w:sz w:val="21"/>
        </w:rPr>
      </w:pPr>
    </w:p>
    <w:p w14:paraId="0719C091">
      <w:pPr>
        <w:spacing w:line="275" w:lineRule="auto"/>
        <w:rPr>
          <w:rFonts w:ascii="Arial"/>
          <w:sz w:val="21"/>
        </w:rPr>
      </w:pPr>
    </w:p>
    <w:p w14:paraId="6C49FE2D">
      <w:pPr>
        <w:pStyle w:val="2"/>
        <w:spacing w:before="78" w:line="221" w:lineRule="auto"/>
        <w:ind w:left="403"/>
        <w:rPr>
          <w:sz w:val="24"/>
          <w:szCs w:val="24"/>
        </w:rPr>
      </w:pPr>
      <w:r>
        <w:rPr>
          <w:b/>
          <w:bCs/>
          <w:spacing w:val="-11"/>
          <w:sz w:val="24"/>
          <w:szCs w:val="24"/>
        </w:rPr>
        <w:t>(二)动物传染源</w:t>
      </w:r>
    </w:p>
    <w:p w14:paraId="6106D02C">
      <w:pPr>
        <w:spacing w:before="93" w:line="334" w:lineRule="auto"/>
        <w:ind w:right="635" w:firstLine="399"/>
        <w:jc w:val="both"/>
        <w:rPr>
          <w:rFonts w:ascii="宋体" w:hAnsi="宋体" w:eastAsia="宋体" w:cs="宋体"/>
          <w:sz w:val="20"/>
          <w:szCs w:val="20"/>
        </w:rPr>
      </w:pPr>
      <w:r>
        <w:rPr>
          <w:rFonts w:ascii="宋体" w:hAnsi="宋体" w:eastAsia="宋体" w:cs="宋体"/>
          <w:spacing w:val="3"/>
          <w:sz w:val="20"/>
          <w:szCs w:val="20"/>
        </w:rPr>
        <w:t>某些动物流感病毒偶尔跨越种属屏障引起人类感染，主要是猪流感病毒和禽流感病毒；人与</w:t>
      </w:r>
      <w:r>
        <w:rPr>
          <w:rFonts w:ascii="宋体" w:hAnsi="宋体" w:eastAsia="宋体" w:cs="宋体"/>
          <w:spacing w:val="5"/>
          <w:sz w:val="20"/>
          <w:szCs w:val="20"/>
        </w:rPr>
        <w:t xml:space="preserve"> </w:t>
      </w:r>
      <w:r>
        <w:rPr>
          <w:rFonts w:ascii="宋体" w:hAnsi="宋体" w:eastAsia="宋体" w:cs="宋体"/>
          <w:spacing w:val="4"/>
          <w:sz w:val="20"/>
          <w:szCs w:val="20"/>
        </w:rPr>
        <w:t>动物的直接或者间接接触是其主要的感染来源。如1997年我国香港人禽流感</w:t>
      </w:r>
      <w:r>
        <w:rPr>
          <w:rFonts w:ascii="Times New Roman" w:hAnsi="Times New Roman" w:eastAsia="Times New Roman" w:cs="Times New Roman"/>
          <w:spacing w:val="4"/>
          <w:sz w:val="20"/>
          <w:szCs w:val="20"/>
        </w:rPr>
        <w:t xml:space="preserve">H5N1 </w:t>
      </w:r>
      <w:r>
        <w:rPr>
          <w:rFonts w:ascii="宋体" w:hAnsi="宋体" w:eastAsia="宋体" w:cs="宋体"/>
          <w:spacing w:val="4"/>
          <w:sz w:val="20"/>
          <w:szCs w:val="20"/>
        </w:rPr>
        <w:t>疫情被证实与</w:t>
      </w:r>
      <w:r>
        <w:rPr>
          <w:rFonts w:ascii="宋体" w:hAnsi="宋体" w:eastAsia="宋体" w:cs="宋体"/>
          <w:spacing w:val="2"/>
          <w:sz w:val="20"/>
          <w:szCs w:val="20"/>
        </w:rPr>
        <w:t xml:space="preserve"> </w:t>
      </w:r>
      <w:r>
        <w:rPr>
          <w:rFonts w:ascii="宋体" w:hAnsi="宋体" w:eastAsia="宋体" w:cs="宋体"/>
          <w:spacing w:val="4"/>
          <w:sz w:val="20"/>
          <w:szCs w:val="20"/>
        </w:rPr>
        <w:t>当地同期禽间高致病性禽流感H5N1</w:t>
      </w:r>
      <w:r>
        <w:rPr>
          <w:rFonts w:ascii="宋体" w:hAnsi="宋体" w:eastAsia="宋体" w:cs="宋体"/>
          <w:spacing w:val="46"/>
          <w:sz w:val="20"/>
          <w:szCs w:val="20"/>
        </w:rPr>
        <w:t xml:space="preserve"> </w:t>
      </w:r>
      <w:r>
        <w:rPr>
          <w:rFonts w:ascii="宋体" w:hAnsi="宋体" w:eastAsia="宋体" w:cs="宋体"/>
          <w:spacing w:val="4"/>
          <w:sz w:val="20"/>
          <w:szCs w:val="20"/>
        </w:rPr>
        <w:t>疫情暴发有关，接触病死禽和访问活禽市场是多数人禽流感</w:t>
      </w:r>
      <w:r>
        <w:rPr>
          <w:rFonts w:ascii="宋体" w:hAnsi="宋体" w:eastAsia="宋体" w:cs="宋体"/>
          <w:sz w:val="20"/>
          <w:szCs w:val="20"/>
        </w:rPr>
        <w:t xml:space="preserve"> </w:t>
      </w:r>
      <w:r>
        <w:rPr>
          <w:rFonts w:ascii="Times New Roman" w:hAnsi="Times New Roman" w:eastAsia="Times New Roman" w:cs="Times New Roman"/>
          <w:spacing w:val="4"/>
          <w:sz w:val="20"/>
          <w:szCs w:val="20"/>
        </w:rPr>
        <w:t>H5N1</w:t>
      </w:r>
      <w:r>
        <w:rPr>
          <w:rFonts w:ascii="宋体" w:hAnsi="宋体" w:eastAsia="宋体" w:cs="宋体"/>
          <w:spacing w:val="4"/>
          <w:sz w:val="20"/>
          <w:szCs w:val="20"/>
        </w:rPr>
        <w:t>病例的感染来源。</w:t>
      </w:r>
    </w:p>
    <w:p w14:paraId="5A943884">
      <w:pPr>
        <w:pStyle w:val="2"/>
        <w:spacing w:before="222" w:line="222" w:lineRule="auto"/>
        <w:ind w:left="403"/>
        <w:outlineLvl w:val="4"/>
        <w:rPr>
          <w:sz w:val="24"/>
          <w:szCs w:val="24"/>
        </w:rPr>
      </w:pPr>
      <w:bookmarkStart w:id="594" w:name="bookmark375"/>
      <w:bookmarkEnd w:id="594"/>
      <w:r>
        <w:rPr>
          <w:b/>
          <w:bCs/>
          <w:spacing w:val="-7"/>
          <w:sz w:val="24"/>
          <w:szCs w:val="24"/>
        </w:rPr>
        <w:t>二</w:t>
      </w:r>
      <w:r>
        <w:rPr>
          <w:spacing w:val="-59"/>
          <w:sz w:val="24"/>
          <w:szCs w:val="24"/>
        </w:rPr>
        <w:t xml:space="preserve"> </w:t>
      </w:r>
      <w:r>
        <w:rPr>
          <w:b/>
          <w:bCs/>
          <w:spacing w:val="-7"/>
          <w:sz w:val="24"/>
          <w:szCs w:val="24"/>
        </w:rPr>
        <w:t>、传播途径</w:t>
      </w:r>
    </w:p>
    <w:p w14:paraId="2D1F9293">
      <w:pPr>
        <w:spacing w:before="264" w:line="334" w:lineRule="auto"/>
        <w:ind w:right="551" w:firstLine="399"/>
        <w:jc w:val="both"/>
        <w:rPr>
          <w:rFonts w:ascii="宋体" w:hAnsi="宋体" w:eastAsia="宋体" w:cs="宋体"/>
          <w:sz w:val="20"/>
          <w:szCs w:val="20"/>
        </w:rPr>
      </w:pPr>
      <w:r>
        <w:rPr>
          <w:rFonts w:ascii="宋体" w:hAnsi="宋体" w:eastAsia="宋体" w:cs="宋体"/>
          <w:spacing w:val="-5"/>
          <w:sz w:val="20"/>
          <w:szCs w:val="20"/>
        </w:rPr>
        <w:t>主要经飞沫传播，流感病毒由传染源通过咳嗽、喷嚏、谈话排出的呼吸道分泌物散布于空气中，</w:t>
      </w:r>
      <w:r>
        <w:rPr>
          <w:rFonts w:ascii="宋体" w:hAnsi="宋体" w:eastAsia="宋体" w:cs="宋体"/>
          <w:spacing w:val="18"/>
          <w:sz w:val="20"/>
          <w:szCs w:val="20"/>
        </w:rPr>
        <w:t xml:space="preserve"> </w:t>
      </w:r>
      <w:r>
        <w:rPr>
          <w:rFonts w:ascii="宋体" w:hAnsi="宋体" w:eastAsia="宋体" w:cs="宋体"/>
          <w:spacing w:val="-2"/>
          <w:sz w:val="20"/>
          <w:szCs w:val="20"/>
        </w:rPr>
        <w:t>飞沫可落至周围人群的口腔、鼻腔或眼部而引起感染，其传染性可保持30分钟；也可通过接触被污</w:t>
      </w:r>
      <w:r>
        <w:rPr>
          <w:rFonts w:ascii="宋体" w:hAnsi="宋体" w:eastAsia="宋体" w:cs="宋体"/>
          <w:spacing w:val="3"/>
          <w:sz w:val="20"/>
          <w:szCs w:val="20"/>
        </w:rPr>
        <w:t xml:space="preserve">  </w:t>
      </w:r>
      <w:r>
        <w:rPr>
          <w:rFonts w:ascii="宋体" w:hAnsi="宋体" w:eastAsia="宋体" w:cs="宋体"/>
          <w:spacing w:val="-2"/>
          <w:sz w:val="20"/>
          <w:szCs w:val="20"/>
        </w:rPr>
        <w:t>染的物品后触摸口腔、鼻腔或眼而引起感染。</w:t>
      </w:r>
    </w:p>
    <w:p w14:paraId="5E39DBB6">
      <w:pPr>
        <w:pStyle w:val="2"/>
        <w:spacing w:before="202" w:line="221" w:lineRule="auto"/>
        <w:ind w:left="403"/>
        <w:outlineLvl w:val="4"/>
        <w:rPr>
          <w:sz w:val="24"/>
          <w:szCs w:val="24"/>
        </w:rPr>
      </w:pPr>
      <w:bookmarkStart w:id="595" w:name="bookmark376"/>
      <w:bookmarkEnd w:id="595"/>
      <w:r>
        <w:rPr>
          <w:b/>
          <w:bCs/>
          <w:spacing w:val="-5"/>
          <w:sz w:val="24"/>
          <w:szCs w:val="24"/>
        </w:rPr>
        <w:t>三</w:t>
      </w:r>
      <w:r>
        <w:rPr>
          <w:spacing w:val="-57"/>
          <w:sz w:val="24"/>
          <w:szCs w:val="24"/>
        </w:rPr>
        <w:t xml:space="preserve"> </w:t>
      </w:r>
      <w:r>
        <w:rPr>
          <w:b/>
          <w:bCs/>
          <w:spacing w:val="-5"/>
          <w:sz w:val="24"/>
          <w:szCs w:val="24"/>
        </w:rPr>
        <w:t>、人群易感性</w:t>
      </w:r>
    </w:p>
    <w:p w14:paraId="3A4BF391">
      <w:pPr>
        <w:spacing w:before="268" w:line="333" w:lineRule="auto"/>
        <w:ind w:right="618" w:firstLine="399"/>
        <w:jc w:val="both"/>
        <w:rPr>
          <w:rFonts w:ascii="宋体" w:hAnsi="宋体" w:eastAsia="宋体" w:cs="宋体"/>
          <w:sz w:val="20"/>
          <w:szCs w:val="20"/>
        </w:rPr>
      </w:pPr>
      <w:r>
        <w:rPr>
          <w:rFonts w:ascii="宋体" w:hAnsi="宋体" w:eastAsia="宋体" w:cs="宋体"/>
          <w:spacing w:val="-1"/>
          <w:sz w:val="20"/>
          <w:szCs w:val="20"/>
        </w:rPr>
        <w:t>人对流感病毒普遍易感，男女之间易感性没有差别。各</w:t>
      </w:r>
      <w:r>
        <w:rPr>
          <w:rFonts w:ascii="宋体" w:hAnsi="宋体" w:eastAsia="宋体" w:cs="宋体"/>
          <w:spacing w:val="-2"/>
          <w:sz w:val="20"/>
          <w:szCs w:val="20"/>
        </w:rPr>
        <w:t>型流感病毒之间无交叉免疫，不同亚型</w:t>
      </w:r>
      <w:r>
        <w:rPr>
          <w:rFonts w:ascii="宋体" w:hAnsi="宋体" w:eastAsia="宋体" w:cs="宋体"/>
          <w:sz w:val="20"/>
          <w:szCs w:val="20"/>
        </w:rPr>
        <w:t xml:space="preserve"> </w:t>
      </w:r>
      <w:r>
        <w:rPr>
          <w:rFonts w:ascii="宋体" w:hAnsi="宋体" w:eastAsia="宋体" w:cs="宋体"/>
          <w:spacing w:val="-2"/>
          <w:sz w:val="20"/>
          <w:szCs w:val="20"/>
        </w:rPr>
        <w:t>间仅有部分交叉免疫。新生儿因免疫功能尚未健全，加之母体通过胎盘传给新生儿的抗体较少，因</w:t>
      </w:r>
      <w:r>
        <w:rPr>
          <w:rFonts w:ascii="宋体" w:hAnsi="宋体" w:eastAsia="宋体" w:cs="宋体"/>
          <w:spacing w:val="15"/>
          <w:sz w:val="20"/>
          <w:szCs w:val="20"/>
        </w:rPr>
        <w:t xml:space="preserve"> </w:t>
      </w:r>
      <w:r>
        <w:rPr>
          <w:rFonts w:ascii="宋体" w:hAnsi="宋体" w:eastAsia="宋体" w:cs="宋体"/>
          <w:spacing w:val="-2"/>
          <w:sz w:val="20"/>
          <w:szCs w:val="20"/>
        </w:rPr>
        <w:t>此新生儿的易感性高，感染后症状重，病死率高。老年人由于经历过各种亚型病毒的多次攻击，可</w:t>
      </w:r>
      <w:r>
        <w:rPr>
          <w:rFonts w:ascii="宋体" w:hAnsi="宋体" w:eastAsia="宋体" w:cs="宋体"/>
          <w:spacing w:val="3"/>
          <w:sz w:val="20"/>
          <w:szCs w:val="20"/>
        </w:rPr>
        <w:t xml:space="preserve"> </w:t>
      </w:r>
      <w:r>
        <w:rPr>
          <w:rFonts w:ascii="宋体" w:hAnsi="宋体" w:eastAsia="宋体" w:cs="宋体"/>
          <w:spacing w:val="-3"/>
          <w:sz w:val="20"/>
          <w:szCs w:val="20"/>
        </w:rPr>
        <w:t>能存在不同亚型间部分交叉免疫，但患有慢性病的老年人感染后往往病情</w:t>
      </w:r>
      <w:r>
        <w:rPr>
          <w:rFonts w:ascii="宋体" w:hAnsi="宋体" w:eastAsia="宋体" w:cs="宋体"/>
          <w:spacing w:val="-4"/>
          <w:sz w:val="20"/>
          <w:szCs w:val="20"/>
        </w:rPr>
        <w:t>较重，甚至死亡。</w:t>
      </w:r>
    </w:p>
    <w:p w14:paraId="262A7B60">
      <w:pPr>
        <w:pStyle w:val="2"/>
        <w:spacing w:before="211" w:line="221" w:lineRule="auto"/>
        <w:ind w:left="403"/>
        <w:outlineLvl w:val="4"/>
        <w:rPr>
          <w:sz w:val="24"/>
          <w:szCs w:val="24"/>
        </w:rPr>
      </w:pPr>
      <w:bookmarkStart w:id="596" w:name="bookmark377"/>
      <w:bookmarkEnd w:id="596"/>
      <w:r>
        <w:rPr>
          <w:b/>
          <w:bCs/>
          <w:spacing w:val="-7"/>
          <w:sz w:val="24"/>
          <w:szCs w:val="24"/>
        </w:rPr>
        <w:t>四</w:t>
      </w:r>
      <w:r>
        <w:rPr>
          <w:spacing w:val="-42"/>
          <w:sz w:val="24"/>
          <w:szCs w:val="24"/>
        </w:rPr>
        <w:t xml:space="preserve"> </w:t>
      </w:r>
      <w:r>
        <w:rPr>
          <w:b/>
          <w:bCs/>
          <w:spacing w:val="-7"/>
          <w:sz w:val="24"/>
          <w:szCs w:val="24"/>
        </w:rPr>
        <w:t>、影响流行过程的因素</w:t>
      </w:r>
    </w:p>
    <w:p w14:paraId="1720CCBA">
      <w:pPr>
        <w:pStyle w:val="2"/>
        <w:spacing w:before="234" w:line="222" w:lineRule="auto"/>
        <w:ind w:left="403"/>
        <w:rPr>
          <w:sz w:val="24"/>
          <w:szCs w:val="24"/>
        </w:rPr>
      </w:pPr>
      <w:r>
        <w:rPr>
          <w:b/>
          <w:bCs/>
          <w:spacing w:val="-11"/>
          <w:sz w:val="24"/>
          <w:szCs w:val="24"/>
        </w:rPr>
        <w:t>(一)自然因素</w:t>
      </w:r>
    </w:p>
    <w:p w14:paraId="596B5B81">
      <w:pPr>
        <w:pStyle w:val="2"/>
        <w:spacing w:before="91" w:line="286" w:lineRule="auto"/>
        <w:ind w:right="658" w:firstLine="402"/>
        <w:rPr>
          <w:rFonts w:ascii="宋体" w:hAnsi="宋体" w:eastAsia="宋体" w:cs="宋体"/>
          <w:sz w:val="20"/>
          <w:szCs w:val="20"/>
        </w:rPr>
      </w:pPr>
      <w:r>
        <w:rPr>
          <w:rFonts w:ascii="宋体" w:hAnsi="宋体" w:eastAsia="宋体" w:cs="宋体"/>
          <w:b/>
          <w:bCs/>
          <w:sz w:val="20"/>
          <w:szCs w:val="20"/>
        </w:rPr>
        <w:t>1.</w:t>
      </w:r>
      <w:r>
        <w:rPr>
          <w:rFonts w:ascii="宋体" w:hAnsi="宋体" w:eastAsia="宋体" w:cs="宋体"/>
          <w:sz w:val="20"/>
          <w:szCs w:val="20"/>
        </w:rPr>
        <w:t xml:space="preserve"> </w:t>
      </w:r>
      <w:r>
        <w:rPr>
          <w:b/>
          <w:bCs/>
          <w:sz w:val="20"/>
          <w:szCs w:val="20"/>
        </w:rPr>
        <w:t>温度和湿度</w:t>
      </w:r>
      <w:r>
        <w:rPr>
          <w:sz w:val="20"/>
          <w:szCs w:val="20"/>
        </w:rPr>
        <w:t xml:space="preserve">  </w:t>
      </w:r>
      <w:r>
        <w:rPr>
          <w:rFonts w:ascii="宋体" w:hAnsi="宋体" w:eastAsia="宋体" w:cs="宋体"/>
          <w:sz w:val="20"/>
          <w:szCs w:val="20"/>
        </w:rPr>
        <w:t>在低温高湿的条件下排入外界的病毒存</w:t>
      </w:r>
      <w:r>
        <w:rPr>
          <w:rFonts w:ascii="宋体" w:hAnsi="宋体" w:eastAsia="宋体" w:cs="宋体"/>
          <w:spacing w:val="-1"/>
          <w:sz w:val="20"/>
          <w:szCs w:val="20"/>
        </w:rPr>
        <w:t>活时间延长，人感染流感病毒的机会</w:t>
      </w:r>
      <w:r>
        <w:rPr>
          <w:rFonts w:ascii="宋体" w:hAnsi="宋体" w:eastAsia="宋体" w:cs="宋体"/>
          <w:sz w:val="20"/>
          <w:szCs w:val="20"/>
        </w:rPr>
        <w:t xml:space="preserve"> </w:t>
      </w:r>
      <w:r>
        <w:rPr>
          <w:rFonts w:ascii="宋体" w:hAnsi="宋体" w:eastAsia="宋体" w:cs="宋体"/>
          <w:spacing w:val="-5"/>
          <w:sz w:val="20"/>
          <w:szCs w:val="20"/>
        </w:rPr>
        <w:t>增加；同时，寒冷刺激会引起人的上呼吸道黏膜的抵抗力下降，因而有利于流感的流行。</w:t>
      </w:r>
    </w:p>
    <w:p w14:paraId="4E2886FE">
      <w:pPr>
        <w:pStyle w:val="2"/>
        <w:spacing w:before="119" w:line="283" w:lineRule="auto"/>
        <w:ind w:right="624" w:firstLine="402"/>
        <w:rPr>
          <w:rFonts w:ascii="宋体" w:hAnsi="宋体" w:eastAsia="宋体" w:cs="宋体"/>
          <w:sz w:val="20"/>
          <w:szCs w:val="20"/>
        </w:rPr>
      </w:pPr>
      <w:r>
        <w:rPr>
          <w:rFonts w:ascii="宋体" w:hAnsi="宋体" w:eastAsia="宋体" w:cs="宋体"/>
          <w:b/>
          <w:bCs/>
          <w:spacing w:val="-4"/>
          <w:sz w:val="20"/>
          <w:szCs w:val="20"/>
        </w:rPr>
        <w:t>2.</w:t>
      </w:r>
      <w:r>
        <w:rPr>
          <w:rFonts w:ascii="宋体" w:hAnsi="宋体" w:eastAsia="宋体" w:cs="宋体"/>
          <w:spacing w:val="-4"/>
          <w:sz w:val="20"/>
          <w:szCs w:val="20"/>
        </w:rPr>
        <w:t xml:space="preserve"> </w:t>
      </w:r>
      <w:r>
        <w:rPr>
          <w:b/>
          <w:bCs/>
          <w:spacing w:val="-4"/>
          <w:sz w:val="20"/>
          <w:szCs w:val="20"/>
        </w:rPr>
        <w:t>自然灾害</w:t>
      </w:r>
      <w:r>
        <w:rPr>
          <w:spacing w:val="-4"/>
          <w:sz w:val="20"/>
          <w:szCs w:val="20"/>
        </w:rPr>
        <w:t xml:space="preserve">  </w:t>
      </w:r>
      <w:r>
        <w:rPr>
          <w:rFonts w:ascii="宋体" w:hAnsi="宋体" w:eastAsia="宋体" w:cs="宋体"/>
          <w:spacing w:val="-4"/>
          <w:sz w:val="20"/>
          <w:szCs w:val="20"/>
        </w:rPr>
        <w:t>在洪灾、地震等自然灾害发生时，灾民的生活条件恶化，抵抗力下降，也</w:t>
      </w:r>
      <w:r>
        <w:rPr>
          <w:rFonts w:ascii="宋体" w:hAnsi="宋体" w:eastAsia="宋体" w:cs="宋体"/>
          <w:spacing w:val="-5"/>
          <w:sz w:val="20"/>
          <w:szCs w:val="20"/>
        </w:rPr>
        <w:t>易导致</w:t>
      </w:r>
      <w:r>
        <w:rPr>
          <w:rFonts w:ascii="宋体" w:hAnsi="宋体" w:eastAsia="宋体" w:cs="宋体"/>
          <w:sz w:val="20"/>
          <w:szCs w:val="20"/>
        </w:rPr>
        <w:t xml:space="preserve"> </w:t>
      </w:r>
      <w:r>
        <w:rPr>
          <w:rFonts w:ascii="宋体" w:hAnsi="宋体" w:eastAsia="宋体" w:cs="宋体"/>
          <w:spacing w:val="3"/>
          <w:sz w:val="20"/>
          <w:szCs w:val="20"/>
        </w:rPr>
        <w:t>流感的流行。</w:t>
      </w:r>
    </w:p>
    <w:p w14:paraId="02A48CC9">
      <w:pPr>
        <w:pStyle w:val="2"/>
        <w:spacing w:before="127" w:line="222" w:lineRule="auto"/>
        <w:ind w:left="402"/>
        <w:rPr>
          <w:rFonts w:ascii="宋体" w:hAnsi="宋体" w:eastAsia="宋体" w:cs="宋体"/>
          <w:sz w:val="20"/>
          <w:szCs w:val="20"/>
        </w:rPr>
      </w:pPr>
      <w:r>
        <w:rPr>
          <w:rFonts w:ascii="宋体" w:hAnsi="宋体" w:eastAsia="宋体" w:cs="宋体"/>
          <w:b/>
          <w:bCs/>
          <w:spacing w:val="-2"/>
          <w:sz w:val="20"/>
          <w:szCs w:val="20"/>
        </w:rPr>
        <w:t>3.</w:t>
      </w:r>
      <w:r>
        <w:rPr>
          <w:rFonts w:ascii="宋体" w:hAnsi="宋体" w:eastAsia="宋体" w:cs="宋体"/>
          <w:spacing w:val="-2"/>
          <w:sz w:val="20"/>
          <w:szCs w:val="20"/>
        </w:rPr>
        <w:t xml:space="preserve"> </w:t>
      </w:r>
      <w:r>
        <w:rPr>
          <w:b/>
          <w:bCs/>
          <w:spacing w:val="-2"/>
          <w:sz w:val="20"/>
          <w:szCs w:val="20"/>
        </w:rPr>
        <w:t>动物性因素</w:t>
      </w:r>
      <w:r>
        <w:rPr>
          <w:spacing w:val="79"/>
          <w:sz w:val="20"/>
          <w:szCs w:val="20"/>
        </w:rPr>
        <w:t xml:space="preserve"> </w:t>
      </w:r>
      <w:r>
        <w:rPr>
          <w:rFonts w:ascii="宋体" w:hAnsi="宋体" w:eastAsia="宋体" w:cs="宋体"/>
          <w:spacing w:val="-2"/>
          <w:sz w:val="20"/>
          <w:szCs w:val="20"/>
        </w:rPr>
        <w:t>野鸟、候鸟的迁徙增加了禽流感疫情传</w:t>
      </w:r>
      <w:r>
        <w:rPr>
          <w:rFonts w:ascii="宋体" w:hAnsi="宋体" w:eastAsia="宋体" w:cs="宋体"/>
          <w:spacing w:val="-3"/>
          <w:sz w:val="20"/>
          <w:szCs w:val="20"/>
        </w:rPr>
        <w:t>人的风险。</w:t>
      </w:r>
    </w:p>
    <w:p w14:paraId="0EA5E19F">
      <w:pPr>
        <w:pStyle w:val="2"/>
        <w:spacing w:before="102" w:line="222" w:lineRule="auto"/>
        <w:ind w:left="403"/>
        <w:rPr>
          <w:sz w:val="24"/>
          <w:szCs w:val="24"/>
        </w:rPr>
      </w:pPr>
      <w:r>
        <w:rPr>
          <w:b/>
          <w:bCs/>
          <w:spacing w:val="-10"/>
          <w:sz w:val="24"/>
          <w:szCs w:val="24"/>
        </w:rPr>
        <w:t>(二)社会因素</w:t>
      </w:r>
    </w:p>
    <w:p w14:paraId="7E5A95E0">
      <w:pPr>
        <w:spacing w:before="93" w:line="333" w:lineRule="auto"/>
        <w:ind w:right="623" w:firstLine="399"/>
        <w:jc w:val="both"/>
        <w:rPr>
          <w:rFonts w:ascii="宋体" w:hAnsi="宋体" w:eastAsia="宋体" w:cs="宋体"/>
          <w:sz w:val="20"/>
          <w:szCs w:val="20"/>
        </w:rPr>
      </w:pPr>
      <w:r>
        <w:rPr>
          <w:rFonts w:ascii="宋体" w:hAnsi="宋体" w:eastAsia="宋体" w:cs="宋体"/>
          <w:spacing w:val="-1"/>
          <w:sz w:val="20"/>
          <w:szCs w:val="20"/>
        </w:rPr>
        <w:t>人口密度与居住环境等社会因素影响流感的</w:t>
      </w:r>
      <w:r>
        <w:rPr>
          <w:rFonts w:ascii="宋体" w:hAnsi="宋体" w:eastAsia="宋体" w:cs="宋体"/>
          <w:spacing w:val="-2"/>
          <w:sz w:val="20"/>
          <w:szCs w:val="20"/>
        </w:rPr>
        <w:t>流行特征。人口密度大、居住拥挤，增加了人与人</w:t>
      </w:r>
      <w:r>
        <w:rPr>
          <w:rFonts w:ascii="宋体" w:hAnsi="宋体" w:eastAsia="宋体" w:cs="宋体"/>
          <w:sz w:val="20"/>
          <w:szCs w:val="20"/>
        </w:rPr>
        <w:t xml:space="preserve"> </w:t>
      </w:r>
      <w:r>
        <w:rPr>
          <w:rFonts w:ascii="宋体" w:hAnsi="宋体" w:eastAsia="宋体" w:cs="宋体"/>
          <w:spacing w:val="-1"/>
          <w:sz w:val="20"/>
          <w:szCs w:val="20"/>
        </w:rPr>
        <w:t>之间接触的机会，使流感的传播易于实现。我国大多</w:t>
      </w:r>
      <w:r>
        <w:rPr>
          <w:rFonts w:ascii="宋体" w:hAnsi="宋体" w:eastAsia="宋体" w:cs="宋体"/>
          <w:spacing w:val="-2"/>
          <w:sz w:val="20"/>
          <w:szCs w:val="20"/>
        </w:rPr>
        <w:t>数流感暴发发生于学校；当病毒抗原转换，新</w:t>
      </w:r>
      <w:r>
        <w:rPr>
          <w:rFonts w:ascii="宋体" w:hAnsi="宋体" w:eastAsia="宋体" w:cs="宋体"/>
          <w:sz w:val="20"/>
          <w:szCs w:val="20"/>
        </w:rPr>
        <w:t xml:space="preserve"> </w:t>
      </w:r>
      <w:r>
        <w:rPr>
          <w:rFonts w:ascii="宋体" w:hAnsi="宋体" w:eastAsia="宋体" w:cs="宋体"/>
          <w:spacing w:val="-2"/>
          <w:sz w:val="20"/>
          <w:szCs w:val="20"/>
        </w:rPr>
        <w:t>的亚型出现时，大流行的第一波往往也发生在城市。此外，人口流动、国际贸易和旅游业的发展也</w:t>
      </w:r>
      <w:r>
        <w:rPr>
          <w:rFonts w:ascii="宋体" w:hAnsi="宋体" w:eastAsia="宋体" w:cs="宋体"/>
          <w:spacing w:val="6"/>
          <w:sz w:val="20"/>
          <w:szCs w:val="20"/>
        </w:rPr>
        <w:t xml:space="preserve"> </w:t>
      </w:r>
      <w:r>
        <w:rPr>
          <w:rFonts w:ascii="宋体" w:hAnsi="宋体" w:eastAsia="宋体" w:cs="宋体"/>
          <w:spacing w:val="2"/>
          <w:sz w:val="20"/>
          <w:szCs w:val="20"/>
        </w:rPr>
        <w:t>使流感病毒在全球范围传播成为可能。</w:t>
      </w:r>
    </w:p>
    <w:p w14:paraId="04C0F73A">
      <w:pPr>
        <w:spacing w:line="407" w:lineRule="auto"/>
        <w:rPr>
          <w:rFonts w:ascii="Arial"/>
          <w:sz w:val="21"/>
        </w:rPr>
      </w:pPr>
    </w:p>
    <w:p w14:paraId="257D541F">
      <w:pPr>
        <w:pStyle w:val="2"/>
        <w:spacing w:before="95" w:line="221" w:lineRule="auto"/>
        <w:ind w:left="3193"/>
        <w:outlineLvl w:val="1"/>
        <w:rPr>
          <w:sz w:val="29"/>
          <w:szCs w:val="29"/>
        </w:rPr>
      </w:pPr>
      <w:bookmarkStart w:id="597" w:name="bookmark378"/>
      <w:bookmarkEnd w:id="597"/>
      <w:r>
        <w:rPr>
          <w:b/>
          <w:bCs/>
          <w:spacing w:val="-12"/>
          <w:sz w:val="29"/>
          <w:szCs w:val="29"/>
        </w:rPr>
        <w:t>第三节</w:t>
      </w:r>
      <w:r>
        <w:rPr>
          <w:spacing w:val="115"/>
          <w:sz w:val="29"/>
          <w:szCs w:val="29"/>
        </w:rPr>
        <w:t xml:space="preserve"> </w:t>
      </w:r>
      <w:r>
        <w:rPr>
          <w:b/>
          <w:bCs/>
          <w:spacing w:val="-12"/>
          <w:sz w:val="29"/>
          <w:szCs w:val="29"/>
        </w:rPr>
        <w:t>流行特征</w:t>
      </w:r>
    </w:p>
    <w:p w14:paraId="2D493589">
      <w:pPr>
        <w:spacing w:line="371" w:lineRule="auto"/>
        <w:rPr>
          <w:rFonts w:ascii="Arial"/>
          <w:sz w:val="21"/>
        </w:rPr>
      </w:pPr>
    </w:p>
    <w:p w14:paraId="3683EB9D">
      <w:pPr>
        <w:pStyle w:val="2"/>
        <w:spacing w:before="79" w:line="221" w:lineRule="auto"/>
        <w:ind w:left="403"/>
        <w:outlineLvl w:val="4"/>
        <w:rPr>
          <w:sz w:val="24"/>
          <w:szCs w:val="24"/>
        </w:rPr>
      </w:pPr>
      <w:bookmarkStart w:id="598" w:name="bookmark379"/>
      <w:bookmarkEnd w:id="598"/>
      <w:r>
        <w:rPr>
          <w:b/>
          <w:bCs/>
          <w:spacing w:val="-7"/>
          <w:sz w:val="24"/>
          <w:szCs w:val="24"/>
        </w:rPr>
        <w:t>一</w:t>
      </w:r>
      <w:r>
        <w:rPr>
          <w:spacing w:val="-31"/>
          <w:sz w:val="24"/>
          <w:szCs w:val="24"/>
        </w:rPr>
        <w:t xml:space="preserve"> </w:t>
      </w:r>
      <w:r>
        <w:rPr>
          <w:b/>
          <w:bCs/>
          <w:spacing w:val="-7"/>
          <w:sz w:val="24"/>
          <w:szCs w:val="24"/>
        </w:rPr>
        <w:t>、流行概况</w:t>
      </w:r>
    </w:p>
    <w:p w14:paraId="22D6848F">
      <w:pPr>
        <w:pStyle w:val="2"/>
        <w:spacing w:before="262" w:line="221" w:lineRule="auto"/>
        <w:ind w:left="402"/>
        <w:rPr>
          <w:sz w:val="20"/>
          <w:szCs w:val="20"/>
        </w:rPr>
      </w:pPr>
      <w:r>
        <w:rPr>
          <w:b/>
          <w:bCs/>
          <w:spacing w:val="17"/>
          <w:sz w:val="20"/>
          <w:szCs w:val="20"/>
        </w:rPr>
        <w:t>(</w:t>
      </w:r>
      <w:r>
        <w:rPr>
          <w:spacing w:val="-51"/>
          <w:sz w:val="20"/>
          <w:szCs w:val="20"/>
        </w:rPr>
        <w:t xml:space="preserve"> </w:t>
      </w:r>
      <w:r>
        <w:rPr>
          <w:b/>
          <w:bCs/>
          <w:spacing w:val="17"/>
          <w:sz w:val="20"/>
          <w:szCs w:val="20"/>
        </w:rPr>
        <w:t>一)全球流行概况</w:t>
      </w:r>
    </w:p>
    <w:p w14:paraId="5C24C1AD">
      <w:pPr>
        <w:spacing w:before="112" w:line="334" w:lineRule="auto"/>
        <w:ind w:right="623" w:firstLine="399"/>
        <w:jc w:val="both"/>
        <w:rPr>
          <w:rFonts w:ascii="Times New Roman" w:hAnsi="Times New Roman" w:eastAsia="Times New Roman" w:cs="Times New Roman"/>
          <w:sz w:val="20"/>
          <w:szCs w:val="20"/>
        </w:rPr>
      </w:pPr>
      <w:r>
        <w:rPr>
          <w:rFonts w:ascii="宋体" w:hAnsi="宋体" w:eastAsia="宋体" w:cs="宋体"/>
          <w:spacing w:val="6"/>
          <w:sz w:val="20"/>
          <w:szCs w:val="20"/>
        </w:rPr>
        <w:t>流感的流行史在公元前412年古希腊就有记载，目前流感每</w:t>
      </w:r>
      <w:r>
        <w:rPr>
          <w:rFonts w:ascii="宋体" w:hAnsi="宋体" w:eastAsia="宋体" w:cs="宋体"/>
          <w:spacing w:val="5"/>
          <w:sz w:val="20"/>
          <w:szCs w:val="20"/>
        </w:rPr>
        <w:t>年会导致全球约10亿人感染、发</w:t>
      </w:r>
      <w:r>
        <w:rPr>
          <w:rFonts w:ascii="宋体" w:hAnsi="宋体" w:eastAsia="宋体" w:cs="宋体"/>
          <w:sz w:val="20"/>
          <w:szCs w:val="20"/>
        </w:rPr>
        <w:t xml:space="preserve"> </w:t>
      </w:r>
      <w:r>
        <w:rPr>
          <w:rFonts w:ascii="宋体" w:hAnsi="宋体" w:eastAsia="宋体" w:cs="宋体"/>
          <w:spacing w:val="-1"/>
          <w:sz w:val="20"/>
          <w:szCs w:val="20"/>
        </w:rPr>
        <w:t>病。当一种新的流感病毒出现时，由于人群普遍缺乏</w:t>
      </w:r>
      <w:r>
        <w:rPr>
          <w:rFonts w:ascii="宋体" w:hAnsi="宋体" w:eastAsia="宋体" w:cs="宋体"/>
          <w:spacing w:val="-2"/>
          <w:sz w:val="20"/>
          <w:szCs w:val="20"/>
        </w:rPr>
        <w:t>免疫力，就可能会导致周期性流感大流行的发</w:t>
      </w:r>
      <w:r>
        <w:rPr>
          <w:rFonts w:ascii="宋体" w:hAnsi="宋体" w:eastAsia="宋体" w:cs="宋体"/>
          <w:sz w:val="20"/>
          <w:szCs w:val="20"/>
        </w:rPr>
        <w:t xml:space="preserve"> </w:t>
      </w:r>
      <w:r>
        <w:rPr>
          <w:rFonts w:ascii="宋体" w:hAnsi="宋体" w:eastAsia="宋体" w:cs="宋体"/>
          <w:spacing w:val="9"/>
          <w:sz w:val="20"/>
          <w:szCs w:val="20"/>
        </w:rPr>
        <w:t>生。最早的世界性大流行发生于1580年；20世纪发生了1918年、195</w:t>
      </w:r>
      <w:r>
        <w:rPr>
          <w:rFonts w:ascii="宋体" w:hAnsi="宋体" w:eastAsia="宋体" w:cs="宋体"/>
          <w:spacing w:val="8"/>
          <w:sz w:val="20"/>
          <w:szCs w:val="20"/>
        </w:rPr>
        <w:t>7年和1968年共3次世界性</w:t>
      </w:r>
      <w:r>
        <w:rPr>
          <w:rFonts w:ascii="宋体" w:hAnsi="宋体" w:eastAsia="宋体" w:cs="宋体"/>
          <w:sz w:val="20"/>
          <w:szCs w:val="20"/>
        </w:rPr>
        <w:t xml:space="preserve"> </w:t>
      </w:r>
      <w:r>
        <w:rPr>
          <w:rFonts w:ascii="宋体" w:hAnsi="宋体" w:eastAsia="宋体" w:cs="宋体"/>
          <w:spacing w:val="4"/>
          <w:sz w:val="20"/>
          <w:szCs w:val="20"/>
        </w:rPr>
        <w:t>大流行；进人21世纪后，2009年发生了甲型</w:t>
      </w:r>
      <w:r>
        <w:rPr>
          <w:rFonts w:ascii="Times New Roman" w:hAnsi="Times New Roman" w:eastAsia="Times New Roman" w:cs="Times New Roman"/>
          <w:spacing w:val="4"/>
          <w:sz w:val="20"/>
          <w:szCs w:val="20"/>
        </w:rPr>
        <w:t>H1N1</w:t>
      </w:r>
      <w:r>
        <w:rPr>
          <w:rFonts w:ascii="Times New Roman" w:hAnsi="Times New Roman" w:eastAsia="Times New Roman" w:cs="Times New Roman"/>
          <w:spacing w:val="26"/>
          <w:w w:val="101"/>
          <w:sz w:val="20"/>
          <w:szCs w:val="20"/>
        </w:rPr>
        <w:t xml:space="preserve"> </w:t>
      </w:r>
      <w:r>
        <w:rPr>
          <w:rFonts w:ascii="宋体" w:hAnsi="宋体" w:eastAsia="宋体" w:cs="宋体"/>
          <w:spacing w:val="4"/>
          <w:sz w:val="20"/>
          <w:szCs w:val="20"/>
        </w:rPr>
        <w:t>流感大流行。1957年的大流行毒株的</w:t>
      </w:r>
      <w:r>
        <w:rPr>
          <w:rFonts w:ascii="Times New Roman" w:hAnsi="Times New Roman" w:eastAsia="Times New Roman" w:cs="Times New Roman"/>
          <w:sz w:val="20"/>
          <w:szCs w:val="20"/>
        </w:rPr>
        <w:t>HA</w:t>
      </w:r>
      <w:r>
        <w:rPr>
          <w:rFonts w:ascii="宋体" w:hAnsi="宋体" w:eastAsia="宋体" w:cs="宋体"/>
          <w:spacing w:val="4"/>
          <w:sz w:val="20"/>
          <w:szCs w:val="20"/>
        </w:rPr>
        <w:t>、</w:t>
      </w:r>
      <w:r>
        <w:rPr>
          <w:rFonts w:ascii="Times New Roman" w:hAnsi="Times New Roman" w:eastAsia="Times New Roman" w:cs="Times New Roman"/>
          <w:sz w:val="20"/>
          <w:szCs w:val="20"/>
        </w:rPr>
        <w:t>NA</w:t>
      </w:r>
    </w:p>
    <w:p w14:paraId="39C41FC3">
      <w:pPr>
        <w:spacing w:line="334" w:lineRule="auto"/>
        <w:rPr>
          <w:rFonts w:ascii="Times New Roman" w:hAnsi="Times New Roman" w:eastAsia="Times New Roman" w:cs="Times New Roman"/>
          <w:sz w:val="20"/>
          <w:szCs w:val="20"/>
        </w:rPr>
        <w:sectPr>
          <w:footerReference r:id="rId374" w:type="default"/>
          <w:pgSz w:w="11900" w:h="16820"/>
          <w:pgMar w:top="400" w:right="1058" w:bottom="839" w:left="1680" w:header="0" w:footer="659" w:gutter="0"/>
          <w:cols w:space="720" w:num="1"/>
        </w:sectPr>
      </w:pPr>
    </w:p>
    <w:p w14:paraId="3BA34774">
      <w:pPr>
        <w:pStyle w:val="2"/>
        <w:spacing w:before="293" w:line="221" w:lineRule="auto"/>
        <w:ind w:left="682"/>
        <w:rPr>
          <w:sz w:val="20"/>
          <w:szCs w:val="20"/>
        </w:rPr>
      </w:pPr>
      <w:r>
        <w:rPr>
          <w:b/>
          <w:bCs/>
          <w:spacing w:val="-14"/>
          <w:sz w:val="20"/>
          <w:szCs w:val="20"/>
        </w:rPr>
        <w:t>第二十三章流行性感冒</w:t>
      </w:r>
    </w:p>
    <w:p w14:paraId="4A95213F">
      <w:pPr>
        <w:spacing w:line="278" w:lineRule="auto"/>
        <w:rPr>
          <w:rFonts w:ascii="Arial"/>
          <w:sz w:val="21"/>
        </w:rPr>
      </w:pPr>
    </w:p>
    <w:p w14:paraId="021457AF">
      <w:pPr>
        <w:spacing w:line="279" w:lineRule="auto"/>
        <w:rPr>
          <w:rFonts w:ascii="Arial"/>
          <w:sz w:val="21"/>
        </w:rPr>
      </w:pPr>
    </w:p>
    <w:p w14:paraId="5EFC0933">
      <w:pPr>
        <w:spacing w:before="65" w:line="331" w:lineRule="auto"/>
        <w:ind w:left="680" w:right="39"/>
        <w:jc w:val="both"/>
        <w:rPr>
          <w:rFonts w:ascii="宋体" w:hAnsi="宋体" w:eastAsia="宋体" w:cs="宋体"/>
          <w:sz w:val="20"/>
          <w:szCs w:val="20"/>
        </w:rPr>
      </w:pPr>
      <w:r>
        <w:rPr>
          <w:rFonts w:ascii="宋体" w:hAnsi="宋体" w:eastAsia="宋体" w:cs="宋体"/>
          <w:spacing w:val="7"/>
          <w:sz w:val="20"/>
          <w:szCs w:val="20"/>
        </w:rPr>
        <w:t>以</w:t>
      </w:r>
      <w:r>
        <w:rPr>
          <w:rFonts w:ascii="宋体" w:hAnsi="宋体" w:eastAsia="宋体" w:cs="宋体"/>
          <w:spacing w:val="-32"/>
          <w:sz w:val="20"/>
          <w:szCs w:val="20"/>
        </w:rPr>
        <w:t xml:space="preserve"> </w:t>
      </w:r>
      <w:r>
        <w:rPr>
          <w:rFonts w:ascii="宋体" w:hAnsi="宋体" w:eastAsia="宋体" w:cs="宋体"/>
          <w:spacing w:val="7"/>
          <w:sz w:val="20"/>
          <w:szCs w:val="20"/>
        </w:rPr>
        <w:t>及</w:t>
      </w:r>
      <w:r>
        <w:rPr>
          <w:rFonts w:ascii="Times New Roman" w:hAnsi="Times New Roman" w:eastAsia="Times New Roman" w:cs="Times New Roman"/>
          <w:sz w:val="20"/>
          <w:szCs w:val="20"/>
        </w:rPr>
        <w:t>PB</w:t>
      </w:r>
      <w:r>
        <w:rPr>
          <w:rFonts w:ascii="Times New Roman" w:hAnsi="Times New Roman" w:eastAsia="Times New Roman" w:cs="Times New Roman"/>
          <w:spacing w:val="7"/>
          <w:sz w:val="20"/>
          <w:szCs w:val="20"/>
        </w:rPr>
        <w:t>1</w:t>
      </w:r>
      <w:r>
        <w:rPr>
          <w:rFonts w:ascii="Times New Roman" w:hAnsi="Times New Roman" w:eastAsia="Times New Roman" w:cs="Times New Roman"/>
          <w:spacing w:val="19"/>
          <w:w w:val="101"/>
          <w:sz w:val="20"/>
          <w:szCs w:val="20"/>
        </w:rPr>
        <w:t xml:space="preserve"> </w:t>
      </w:r>
      <w:r>
        <w:rPr>
          <w:rFonts w:ascii="宋体" w:hAnsi="宋体" w:eastAsia="宋体" w:cs="宋体"/>
          <w:spacing w:val="7"/>
          <w:sz w:val="20"/>
          <w:szCs w:val="20"/>
        </w:rPr>
        <w:t>基因来自禽流感病毒，1968年的大流行毒</w:t>
      </w:r>
      <w:r>
        <w:rPr>
          <w:rFonts w:ascii="宋体" w:hAnsi="宋体" w:eastAsia="宋体" w:cs="宋体"/>
          <w:spacing w:val="6"/>
          <w:sz w:val="20"/>
          <w:szCs w:val="20"/>
        </w:rPr>
        <w:t>株的</w:t>
      </w:r>
      <w:r>
        <w:rPr>
          <w:rFonts w:ascii="Times New Roman" w:hAnsi="Times New Roman" w:eastAsia="Times New Roman" w:cs="Times New Roman"/>
          <w:sz w:val="20"/>
          <w:szCs w:val="20"/>
        </w:rPr>
        <w:t>NA</w:t>
      </w:r>
      <w:r>
        <w:rPr>
          <w:rFonts w:ascii="Times New Roman" w:hAnsi="Times New Roman" w:eastAsia="Times New Roman" w:cs="Times New Roman"/>
          <w:spacing w:val="6"/>
          <w:sz w:val="20"/>
          <w:szCs w:val="20"/>
        </w:rPr>
        <w:t xml:space="preserve"> </w:t>
      </w:r>
      <w:r>
        <w:rPr>
          <w:rFonts w:ascii="宋体" w:hAnsi="宋体" w:eastAsia="宋体" w:cs="宋体"/>
          <w:spacing w:val="6"/>
          <w:sz w:val="20"/>
          <w:szCs w:val="20"/>
        </w:rPr>
        <w:t>以</w:t>
      </w:r>
      <w:r>
        <w:rPr>
          <w:rFonts w:ascii="宋体" w:hAnsi="宋体" w:eastAsia="宋体" w:cs="宋体"/>
          <w:spacing w:val="-22"/>
          <w:sz w:val="20"/>
          <w:szCs w:val="20"/>
        </w:rPr>
        <w:t xml:space="preserve"> </w:t>
      </w:r>
      <w:r>
        <w:rPr>
          <w:rFonts w:ascii="宋体" w:hAnsi="宋体" w:eastAsia="宋体" w:cs="宋体"/>
          <w:spacing w:val="6"/>
          <w:sz w:val="20"/>
          <w:szCs w:val="20"/>
        </w:rPr>
        <w:t>及</w:t>
      </w:r>
      <w:r>
        <w:rPr>
          <w:rFonts w:ascii="Times New Roman" w:hAnsi="Times New Roman" w:eastAsia="Times New Roman" w:cs="Times New Roman"/>
          <w:sz w:val="20"/>
          <w:szCs w:val="20"/>
        </w:rPr>
        <w:t>PB</w:t>
      </w:r>
      <w:r>
        <w:rPr>
          <w:rFonts w:ascii="Times New Roman" w:hAnsi="Times New Roman" w:eastAsia="Times New Roman" w:cs="Times New Roman"/>
          <w:spacing w:val="6"/>
          <w:sz w:val="20"/>
          <w:szCs w:val="20"/>
        </w:rPr>
        <w:t>1</w:t>
      </w:r>
      <w:r>
        <w:rPr>
          <w:rFonts w:ascii="Times New Roman" w:hAnsi="Times New Roman" w:eastAsia="Times New Roman" w:cs="Times New Roman"/>
          <w:spacing w:val="19"/>
          <w:sz w:val="20"/>
          <w:szCs w:val="20"/>
        </w:rPr>
        <w:t xml:space="preserve"> </w:t>
      </w:r>
      <w:r>
        <w:rPr>
          <w:rFonts w:ascii="宋体" w:hAnsi="宋体" w:eastAsia="宋体" w:cs="宋体"/>
          <w:spacing w:val="6"/>
          <w:sz w:val="20"/>
          <w:szCs w:val="20"/>
        </w:rPr>
        <w:t>基因也来自禽流感病毒，2009</w:t>
      </w:r>
      <w:r>
        <w:rPr>
          <w:rFonts w:ascii="宋体" w:hAnsi="宋体" w:eastAsia="宋体" w:cs="宋体"/>
          <w:sz w:val="20"/>
          <w:szCs w:val="20"/>
        </w:rPr>
        <w:t xml:space="preserve"> </w:t>
      </w:r>
      <w:r>
        <w:rPr>
          <w:rFonts w:ascii="宋体" w:hAnsi="宋体" w:eastAsia="宋体" w:cs="宋体"/>
          <w:spacing w:val="11"/>
          <w:sz w:val="20"/>
          <w:szCs w:val="20"/>
        </w:rPr>
        <w:t>年的大流行毒株是人、禽和猪流感病毒三源重配而来。流感大流行给全球人类健康带来巨</w:t>
      </w:r>
      <w:r>
        <w:rPr>
          <w:rFonts w:ascii="宋体" w:hAnsi="宋体" w:eastAsia="宋体" w:cs="宋体"/>
          <w:spacing w:val="10"/>
          <w:sz w:val="20"/>
          <w:szCs w:val="20"/>
        </w:rPr>
        <w:t>大威胁，</w:t>
      </w:r>
      <w:r>
        <w:rPr>
          <w:rFonts w:ascii="宋体" w:hAnsi="宋体" w:eastAsia="宋体" w:cs="宋体"/>
          <w:sz w:val="20"/>
          <w:szCs w:val="20"/>
        </w:rPr>
        <w:t xml:space="preserve"> </w:t>
      </w:r>
      <w:r>
        <w:rPr>
          <w:rFonts w:ascii="宋体" w:hAnsi="宋体" w:eastAsia="宋体" w:cs="宋体"/>
          <w:spacing w:val="10"/>
          <w:sz w:val="20"/>
          <w:szCs w:val="20"/>
        </w:rPr>
        <w:t>造成了严重的社会恐慌。</w:t>
      </w:r>
    </w:p>
    <w:p w14:paraId="300C6B17">
      <w:pPr>
        <w:pStyle w:val="2"/>
        <w:spacing w:before="1" w:line="220" w:lineRule="auto"/>
        <w:ind w:left="1103"/>
        <w:rPr>
          <w:sz w:val="24"/>
          <w:szCs w:val="24"/>
        </w:rPr>
      </w:pPr>
      <w:r>
        <w:rPr>
          <w:b/>
          <w:bCs/>
          <w:spacing w:val="-6"/>
          <w:sz w:val="24"/>
          <w:szCs w:val="24"/>
        </w:rPr>
        <w:t>(二)我国流行概况</w:t>
      </w:r>
    </w:p>
    <w:p w14:paraId="48039F00">
      <w:pPr>
        <w:spacing w:before="116" w:line="337" w:lineRule="auto"/>
        <w:ind w:left="680" w:right="88" w:firstLine="419"/>
        <w:rPr>
          <w:rFonts w:ascii="宋体" w:hAnsi="宋体" w:eastAsia="宋体" w:cs="宋体"/>
          <w:sz w:val="20"/>
          <w:szCs w:val="20"/>
        </w:rPr>
      </w:pPr>
      <w:r>
        <w:rPr>
          <w:rFonts w:ascii="宋体" w:hAnsi="宋体" w:eastAsia="宋体" w:cs="宋体"/>
          <w:spacing w:val="2"/>
          <w:sz w:val="20"/>
          <w:szCs w:val="20"/>
        </w:rPr>
        <w:t>1953—1999年，我国发生大、中、小规模的</w:t>
      </w:r>
      <w:r>
        <w:rPr>
          <w:rFonts w:ascii="Times New Roman" w:hAnsi="Times New Roman" w:eastAsia="Times New Roman" w:cs="Times New Roman"/>
          <w:spacing w:val="2"/>
          <w:sz w:val="20"/>
          <w:szCs w:val="20"/>
        </w:rPr>
        <w:t>H1N1</w:t>
      </w:r>
      <w:r>
        <w:rPr>
          <w:rFonts w:ascii="Times New Roman" w:hAnsi="Times New Roman" w:eastAsia="Times New Roman" w:cs="Times New Roman"/>
          <w:spacing w:val="-29"/>
          <w:sz w:val="20"/>
          <w:szCs w:val="20"/>
        </w:rPr>
        <w:t xml:space="preserve"> </w:t>
      </w:r>
      <w:r>
        <w:rPr>
          <w:rFonts w:ascii="宋体" w:hAnsi="宋体" w:eastAsia="宋体" w:cs="宋体"/>
          <w:spacing w:val="2"/>
          <w:sz w:val="20"/>
          <w:szCs w:val="20"/>
        </w:rPr>
        <w:t>、</w:t>
      </w:r>
      <w:r>
        <w:rPr>
          <w:rFonts w:ascii="Times New Roman" w:hAnsi="Times New Roman" w:eastAsia="Times New Roman" w:cs="Times New Roman"/>
          <w:spacing w:val="2"/>
          <w:sz w:val="20"/>
          <w:szCs w:val="20"/>
        </w:rPr>
        <w:t>H2N2</w:t>
      </w:r>
      <w:r>
        <w:rPr>
          <w:rFonts w:ascii="Times New Roman" w:hAnsi="Times New Roman" w:eastAsia="Times New Roman" w:cs="Times New Roman"/>
          <w:spacing w:val="-28"/>
          <w:sz w:val="20"/>
          <w:szCs w:val="20"/>
        </w:rPr>
        <w:t xml:space="preserve"> </w:t>
      </w:r>
      <w:r>
        <w:rPr>
          <w:rFonts w:ascii="宋体" w:hAnsi="宋体" w:eastAsia="宋体" w:cs="宋体"/>
          <w:spacing w:val="2"/>
          <w:sz w:val="20"/>
          <w:szCs w:val="20"/>
        </w:rPr>
        <w:t>、</w:t>
      </w:r>
      <w:r>
        <w:rPr>
          <w:rFonts w:ascii="Times New Roman" w:hAnsi="Times New Roman" w:eastAsia="Times New Roman" w:cs="Times New Roman"/>
          <w:spacing w:val="2"/>
          <w:sz w:val="20"/>
          <w:szCs w:val="20"/>
        </w:rPr>
        <w:t>H3N2</w:t>
      </w:r>
      <w:r>
        <w:rPr>
          <w:rFonts w:ascii="宋体" w:hAnsi="宋体" w:eastAsia="宋体" w:cs="宋体"/>
          <w:spacing w:val="1"/>
          <w:sz w:val="20"/>
          <w:szCs w:val="20"/>
        </w:rPr>
        <w:t>等亚型的流感流行十余次，2009</w:t>
      </w:r>
      <w:r>
        <w:rPr>
          <w:rFonts w:ascii="宋体" w:hAnsi="宋体" w:eastAsia="宋体" w:cs="宋体"/>
          <w:sz w:val="20"/>
          <w:szCs w:val="20"/>
        </w:rPr>
        <w:t xml:space="preserve"> </w:t>
      </w:r>
      <w:r>
        <w:rPr>
          <w:rFonts w:ascii="宋体" w:hAnsi="宋体" w:eastAsia="宋体" w:cs="宋体"/>
          <w:spacing w:val="9"/>
          <w:sz w:val="20"/>
          <w:szCs w:val="20"/>
        </w:rPr>
        <w:t>年后又出现了甲型</w:t>
      </w:r>
      <w:r>
        <w:rPr>
          <w:rFonts w:ascii="Times New Roman" w:hAnsi="Times New Roman" w:eastAsia="Times New Roman" w:cs="Times New Roman"/>
          <w:spacing w:val="9"/>
          <w:sz w:val="20"/>
          <w:szCs w:val="20"/>
        </w:rPr>
        <w:t xml:space="preserve">H1N1 </w:t>
      </w:r>
      <w:r>
        <w:rPr>
          <w:rFonts w:ascii="宋体" w:hAnsi="宋体" w:eastAsia="宋体" w:cs="宋体"/>
          <w:spacing w:val="9"/>
          <w:sz w:val="20"/>
          <w:szCs w:val="20"/>
        </w:rPr>
        <w:t>流感流行。综合我国流感流</w:t>
      </w:r>
      <w:r>
        <w:rPr>
          <w:rFonts w:ascii="宋体" w:hAnsi="宋体" w:eastAsia="宋体" w:cs="宋体"/>
          <w:spacing w:val="8"/>
          <w:sz w:val="20"/>
          <w:szCs w:val="20"/>
        </w:rPr>
        <w:t>行情况，具有以下几个特点：</w:t>
      </w:r>
    </w:p>
    <w:p w14:paraId="419FB34A">
      <w:pPr>
        <w:spacing w:line="219" w:lineRule="auto"/>
        <w:ind w:left="1100"/>
        <w:rPr>
          <w:rFonts w:ascii="宋体" w:hAnsi="宋体" w:eastAsia="宋体" w:cs="宋体"/>
          <w:sz w:val="20"/>
          <w:szCs w:val="20"/>
        </w:rPr>
      </w:pPr>
      <w:r>
        <w:rPr>
          <w:rFonts w:ascii="宋体" w:hAnsi="宋体" w:eastAsia="宋体" w:cs="宋体"/>
          <w:spacing w:val="10"/>
          <w:sz w:val="20"/>
          <w:szCs w:val="20"/>
        </w:rPr>
        <w:t>1.</w:t>
      </w:r>
      <w:r>
        <w:rPr>
          <w:rFonts w:ascii="宋体" w:hAnsi="宋体" w:eastAsia="宋体" w:cs="宋体"/>
          <w:spacing w:val="-32"/>
          <w:sz w:val="20"/>
          <w:szCs w:val="20"/>
        </w:rPr>
        <w:t xml:space="preserve"> </w:t>
      </w:r>
      <w:r>
        <w:rPr>
          <w:rFonts w:ascii="宋体" w:hAnsi="宋体" w:eastAsia="宋体" w:cs="宋体"/>
          <w:spacing w:val="10"/>
          <w:sz w:val="20"/>
          <w:szCs w:val="20"/>
        </w:rPr>
        <w:t>流感流行发生与否主要取决于病毒变异程度和人群的相应免疫状态。</w:t>
      </w:r>
    </w:p>
    <w:p w14:paraId="48EB724F">
      <w:pPr>
        <w:spacing w:before="152" w:line="219" w:lineRule="auto"/>
        <w:ind w:left="1100"/>
        <w:rPr>
          <w:rFonts w:ascii="宋体" w:hAnsi="宋体" w:eastAsia="宋体" w:cs="宋体"/>
          <w:sz w:val="20"/>
          <w:szCs w:val="20"/>
        </w:rPr>
      </w:pPr>
      <w:r>
        <w:rPr>
          <w:rFonts w:ascii="宋体" w:hAnsi="宋体" w:eastAsia="宋体" w:cs="宋体"/>
          <w:spacing w:val="4"/>
          <w:sz w:val="20"/>
          <w:szCs w:val="20"/>
        </w:rPr>
        <w:t>2.</w:t>
      </w:r>
      <w:r>
        <w:rPr>
          <w:rFonts w:ascii="宋体" w:hAnsi="宋体" w:eastAsia="宋体" w:cs="宋体"/>
          <w:spacing w:val="-39"/>
          <w:sz w:val="20"/>
          <w:szCs w:val="20"/>
        </w:rPr>
        <w:t xml:space="preserve"> </w:t>
      </w:r>
      <w:r>
        <w:rPr>
          <w:rFonts w:ascii="宋体" w:hAnsi="宋体" w:eastAsia="宋体" w:cs="宋体"/>
          <w:spacing w:val="4"/>
          <w:sz w:val="20"/>
          <w:szCs w:val="20"/>
        </w:rPr>
        <w:t>新亚型出现后，人群普遍易感，波及范围广，但各年龄组发病</w:t>
      </w:r>
      <w:r>
        <w:rPr>
          <w:rFonts w:ascii="宋体" w:hAnsi="宋体" w:eastAsia="宋体" w:cs="宋体"/>
          <w:spacing w:val="3"/>
          <w:sz w:val="20"/>
          <w:szCs w:val="20"/>
        </w:rPr>
        <w:t>率不同。</w:t>
      </w:r>
    </w:p>
    <w:p w14:paraId="3CC9DF78">
      <w:pPr>
        <w:spacing w:before="112" w:line="290" w:lineRule="auto"/>
        <w:ind w:left="680" w:right="91" w:firstLine="419"/>
        <w:rPr>
          <w:rFonts w:ascii="宋体" w:hAnsi="宋体" w:eastAsia="宋体" w:cs="宋体"/>
          <w:sz w:val="20"/>
          <w:szCs w:val="20"/>
        </w:rPr>
      </w:pPr>
      <w:r>
        <w:rPr>
          <w:rFonts w:ascii="宋体" w:hAnsi="宋体" w:eastAsia="宋体" w:cs="宋体"/>
          <w:spacing w:val="8"/>
          <w:sz w:val="20"/>
          <w:szCs w:val="20"/>
        </w:rPr>
        <w:t>3.</w:t>
      </w:r>
      <w:r>
        <w:rPr>
          <w:rFonts w:ascii="宋体" w:hAnsi="宋体" w:eastAsia="宋体" w:cs="宋体"/>
          <w:spacing w:val="-18"/>
          <w:sz w:val="20"/>
          <w:szCs w:val="20"/>
        </w:rPr>
        <w:t xml:space="preserve"> </w:t>
      </w:r>
      <w:r>
        <w:rPr>
          <w:rFonts w:ascii="宋体" w:hAnsi="宋体" w:eastAsia="宋体" w:cs="宋体"/>
          <w:spacing w:val="8"/>
          <w:sz w:val="20"/>
          <w:szCs w:val="20"/>
        </w:rPr>
        <w:t>我国甲型流感的年度周期性随纬度增加而增</w:t>
      </w:r>
      <w:r>
        <w:rPr>
          <w:rFonts w:ascii="宋体" w:hAnsi="宋体" w:eastAsia="宋体" w:cs="宋体"/>
          <w:spacing w:val="7"/>
          <w:sz w:val="20"/>
          <w:szCs w:val="20"/>
        </w:rPr>
        <w:t>强，呈多样化的空间模式和季节性特征；乙型流</w:t>
      </w:r>
      <w:r>
        <w:rPr>
          <w:rFonts w:ascii="宋体" w:hAnsi="宋体" w:eastAsia="宋体" w:cs="宋体"/>
          <w:sz w:val="20"/>
          <w:szCs w:val="20"/>
        </w:rPr>
        <w:t xml:space="preserve"> </w:t>
      </w:r>
      <w:r>
        <w:rPr>
          <w:rFonts w:ascii="宋体" w:hAnsi="宋体" w:eastAsia="宋体" w:cs="宋体"/>
          <w:spacing w:val="11"/>
          <w:sz w:val="20"/>
          <w:szCs w:val="20"/>
        </w:rPr>
        <w:t>感在我国大部分地区则呈单一的冬季高发趋势。</w:t>
      </w:r>
    </w:p>
    <w:p w14:paraId="58B3977C">
      <w:pPr>
        <w:pStyle w:val="2"/>
        <w:spacing w:before="288" w:line="221" w:lineRule="auto"/>
        <w:ind w:left="1103"/>
        <w:outlineLvl w:val="4"/>
        <w:rPr>
          <w:sz w:val="24"/>
          <w:szCs w:val="24"/>
        </w:rPr>
      </w:pPr>
      <w:bookmarkStart w:id="599" w:name="bookmark380"/>
      <w:bookmarkEnd w:id="599"/>
      <w:r>
        <w:rPr>
          <w:b/>
          <w:bCs/>
          <w:spacing w:val="-3"/>
          <w:sz w:val="24"/>
          <w:szCs w:val="24"/>
        </w:rPr>
        <w:t>二</w:t>
      </w:r>
      <w:r>
        <w:rPr>
          <w:spacing w:val="-41"/>
          <w:sz w:val="24"/>
          <w:szCs w:val="24"/>
        </w:rPr>
        <w:t xml:space="preserve"> </w:t>
      </w:r>
      <w:r>
        <w:rPr>
          <w:b/>
          <w:bCs/>
          <w:spacing w:val="-3"/>
          <w:sz w:val="24"/>
          <w:szCs w:val="24"/>
        </w:rPr>
        <w:t>、流行分布</w:t>
      </w:r>
    </w:p>
    <w:p w14:paraId="2727CDD3">
      <w:pPr>
        <w:pStyle w:val="2"/>
        <w:spacing w:before="245" w:line="222" w:lineRule="auto"/>
        <w:ind w:left="1103"/>
        <w:rPr>
          <w:sz w:val="24"/>
          <w:szCs w:val="24"/>
        </w:rPr>
      </w:pPr>
      <w:r>
        <w:rPr>
          <w:b/>
          <w:bCs/>
          <w:spacing w:val="-2"/>
          <w:sz w:val="24"/>
          <w:szCs w:val="24"/>
        </w:rPr>
        <w:t>(一)时间分布</w:t>
      </w:r>
    </w:p>
    <w:p w14:paraId="26D21EDA">
      <w:pPr>
        <w:pStyle w:val="2"/>
        <w:spacing w:before="111" w:line="307" w:lineRule="auto"/>
        <w:ind w:left="680" w:right="19" w:firstLine="419"/>
        <w:rPr>
          <w:rFonts w:ascii="宋体" w:hAnsi="宋体" w:eastAsia="宋体" w:cs="宋体"/>
          <w:sz w:val="20"/>
          <w:szCs w:val="20"/>
        </w:rPr>
      </w:pPr>
      <w:r>
        <w:rPr>
          <w:rFonts w:ascii="宋体" w:hAnsi="宋体" w:eastAsia="宋体" w:cs="宋体"/>
          <w:spacing w:val="12"/>
          <w:sz w:val="20"/>
          <w:szCs w:val="20"/>
        </w:rPr>
        <w:t xml:space="preserve">1. </w:t>
      </w:r>
      <w:r>
        <w:rPr>
          <w:spacing w:val="12"/>
          <w:sz w:val="20"/>
          <w:szCs w:val="20"/>
        </w:rPr>
        <w:t>季节性</w:t>
      </w:r>
      <w:r>
        <w:rPr>
          <w:spacing w:val="92"/>
          <w:sz w:val="20"/>
          <w:szCs w:val="20"/>
        </w:rPr>
        <w:t xml:space="preserve"> </w:t>
      </w:r>
      <w:r>
        <w:rPr>
          <w:rFonts w:ascii="宋体" w:hAnsi="宋体" w:eastAsia="宋体" w:cs="宋体"/>
          <w:spacing w:val="12"/>
          <w:sz w:val="20"/>
          <w:szCs w:val="20"/>
        </w:rPr>
        <w:t>不同纬度地区，流感的季节性流行特征不同。在温带地区，流感大多呈现明显的</w:t>
      </w:r>
      <w:r>
        <w:rPr>
          <w:rFonts w:ascii="宋体" w:hAnsi="宋体" w:eastAsia="宋体" w:cs="宋体"/>
          <w:sz w:val="20"/>
          <w:szCs w:val="20"/>
        </w:rPr>
        <w:t xml:space="preserve">  </w:t>
      </w:r>
      <w:r>
        <w:rPr>
          <w:rFonts w:ascii="宋体" w:hAnsi="宋体" w:eastAsia="宋体" w:cs="宋体"/>
          <w:spacing w:val="7"/>
          <w:sz w:val="20"/>
          <w:szCs w:val="20"/>
        </w:rPr>
        <w:t>冬春季流行高峰；而在热带或亚热带地区，流感流行的季</w:t>
      </w:r>
      <w:r>
        <w:rPr>
          <w:rFonts w:ascii="宋体" w:hAnsi="宋体" w:eastAsia="宋体" w:cs="宋体"/>
          <w:spacing w:val="6"/>
          <w:sz w:val="20"/>
          <w:szCs w:val="20"/>
        </w:rPr>
        <w:t>节性并不明显，全年均有流感病毒的循环，</w:t>
      </w:r>
      <w:r>
        <w:rPr>
          <w:rFonts w:ascii="宋体" w:hAnsi="宋体" w:eastAsia="宋体" w:cs="宋体"/>
          <w:sz w:val="20"/>
          <w:szCs w:val="20"/>
        </w:rPr>
        <w:t xml:space="preserve"> </w:t>
      </w:r>
      <w:r>
        <w:rPr>
          <w:rFonts w:ascii="宋体" w:hAnsi="宋体" w:eastAsia="宋体" w:cs="宋体"/>
          <w:spacing w:val="9"/>
          <w:sz w:val="20"/>
          <w:szCs w:val="20"/>
        </w:rPr>
        <w:t>一年内通常会在秋冬季和夏季出现两次流行高峰。流感大流行期间，高峰期可发生改变。</w:t>
      </w:r>
    </w:p>
    <w:p w14:paraId="430A3839">
      <w:pPr>
        <w:pStyle w:val="2"/>
        <w:spacing w:before="114" w:line="290" w:lineRule="auto"/>
        <w:ind w:left="680" w:right="88" w:firstLine="419"/>
        <w:rPr>
          <w:rFonts w:ascii="宋体" w:hAnsi="宋体" w:eastAsia="宋体" w:cs="宋体"/>
          <w:sz w:val="20"/>
          <w:szCs w:val="20"/>
        </w:rPr>
      </w:pPr>
      <w:r>
        <w:rPr>
          <w:rFonts w:ascii="宋体" w:hAnsi="宋体" w:eastAsia="宋体" w:cs="宋体"/>
          <w:spacing w:val="13"/>
          <w:sz w:val="20"/>
          <w:szCs w:val="20"/>
        </w:rPr>
        <w:t xml:space="preserve">2. </w:t>
      </w:r>
      <w:r>
        <w:rPr>
          <w:spacing w:val="13"/>
          <w:sz w:val="20"/>
          <w:szCs w:val="20"/>
        </w:rPr>
        <w:t>周期性</w:t>
      </w:r>
      <w:r>
        <w:rPr>
          <w:spacing w:val="89"/>
          <w:sz w:val="20"/>
          <w:szCs w:val="20"/>
        </w:rPr>
        <w:t xml:space="preserve"> </w:t>
      </w:r>
      <w:r>
        <w:rPr>
          <w:rFonts w:ascii="宋体" w:hAnsi="宋体" w:eastAsia="宋体" w:cs="宋体"/>
          <w:spacing w:val="13"/>
          <w:sz w:val="20"/>
          <w:szCs w:val="20"/>
        </w:rPr>
        <w:t>由于甲型和乙型流感病毒抗原</w:t>
      </w:r>
      <w:r>
        <w:rPr>
          <w:rFonts w:ascii="宋体" w:hAnsi="宋体" w:eastAsia="宋体" w:cs="宋体"/>
          <w:spacing w:val="12"/>
          <w:sz w:val="20"/>
          <w:szCs w:val="20"/>
        </w:rPr>
        <w:t>变异和人类对流感免疫的不持久，流感流行呈现一</w:t>
      </w:r>
      <w:r>
        <w:rPr>
          <w:rFonts w:ascii="宋体" w:hAnsi="宋体" w:eastAsia="宋体" w:cs="宋体"/>
          <w:sz w:val="20"/>
          <w:szCs w:val="20"/>
        </w:rPr>
        <w:t xml:space="preserve"> </w:t>
      </w:r>
      <w:r>
        <w:rPr>
          <w:rFonts w:ascii="宋体" w:hAnsi="宋体" w:eastAsia="宋体" w:cs="宋体"/>
          <w:spacing w:val="7"/>
          <w:sz w:val="20"/>
          <w:szCs w:val="20"/>
        </w:rPr>
        <w:t>定的周期性，这种周期性流行与病毒变异及人群免疫水平有关，丙型流感周期性不明显。</w:t>
      </w:r>
    </w:p>
    <w:p w14:paraId="00ECECDB">
      <w:pPr>
        <w:spacing w:before="132" w:line="219" w:lineRule="auto"/>
        <w:ind w:left="1100"/>
        <w:rPr>
          <w:rFonts w:ascii="宋体" w:hAnsi="宋体" w:eastAsia="宋体" w:cs="宋体"/>
          <w:sz w:val="20"/>
          <w:szCs w:val="20"/>
        </w:rPr>
      </w:pPr>
      <w:r>
        <w:rPr>
          <w:rFonts w:ascii="宋体" w:hAnsi="宋体" w:eastAsia="宋体" w:cs="宋体"/>
          <w:spacing w:val="13"/>
          <w:sz w:val="20"/>
          <w:szCs w:val="20"/>
        </w:rPr>
        <w:t>3. 长期变异流感的长期变异主要表现在流感病毒的抗原转换，其结果常导致世界性大流行。</w:t>
      </w:r>
    </w:p>
    <w:p w14:paraId="23028454">
      <w:pPr>
        <w:pStyle w:val="2"/>
        <w:spacing w:before="89" w:line="221" w:lineRule="auto"/>
        <w:ind w:left="1103"/>
        <w:rPr>
          <w:sz w:val="24"/>
          <w:szCs w:val="24"/>
        </w:rPr>
      </w:pPr>
      <w:r>
        <w:rPr>
          <w:b/>
          <w:bCs/>
          <w:spacing w:val="-2"/>
          <w:sz w:val="24"/>
          <w:szCs w:val="24"/>
        </w:rPr>
        <w:t>(二)人群分布</w:t>
      </w:r>
    </w:p>
    <w:p w14:paraId="016D63B3">
      <w:pPr>
        <w:spacing w:before="115" w:line="326" w:lineRule="auto"/>
        <w:ind w:left="680" w:firstLine="419"/>
        <w:jc w:val="both"/>
        <w:rPr>
          <w:rFonts w:ascii="宋体" w:hAnsi="宋体" w:eastAsia="宋体" w:cs="宋体"/>
          <w:sz w:val="20"/>
          <w:szCs w:val="20"/>
        </w:rPr>
      </w:pPr>
      <w:r>
        <w:rPr>
          <w:rFonts w:ascii="宋体" w:hAnsi="宋体" w:eastAsia="宋体" w:cs="宋体"/>
          <w:spacing w:val="15"/>
          <w:sz w:val="20"/>
          <w:szCs w:val="20"/>
        </w:rPr>
        <w:t>流感的人群分布特征主要受人群免疫力水平及接触机会这两个因素的</w:t>
      </w:r>
      <w:r>
        <w:rPr>
          <w:rFonts w:ascii="宋体" w:hAnsi="宋体" w:eastAsia="宋体" w:cs="宋体"/>
          <w:spacing w:val="14"/>
          <w:sz w:val="20"/>
          <w:szCs w:val="20"/>
        </w:rPr>
        <w:t>影响，流感发病率在男</w:t>
      </w:r>
      <w:r>
        <w:rPr>
          <w:rFonts w:ascii="宋体" w:hAnsi="宋体" w:eastAsia="宋体" w:cs="宋体"/>
          <w:sz w:val="20"/>
          <w:szCs w:val="20"/>
        </w:rPr>
        <w:t xml:space="preserve">  </w:t>
      </w:r>
      <w:r>
        <w:rPr>
          <w:rFonts w:ascii="宋体" w:hAnsi="宋体" w:eastAsia="宋体" w:cs="宋体"/>
          <w:spacing w:val="7"/>
          <w:sz w:val="20"/>
          <w:szCs w:val="20"/>
        </w:rPr>
        <w:t>女之间没有差异。各年龄组人群均可发病，其中儿童感染率最高，但老年人、婴幼儿、慢性病患者、</w:t>
      </w:r>
      <w:r>
        <w:rPr>
          <w:rFonts w:ascii="宋体" w:hAnsi="宋体" w:eastAsia="宋体" w:cs="宋体"/>
          <w:sz w:val="20"/>
          <w:szCs w:val="20"/>
        </w:rPr>
        <w:t xml:space="preserve"> </w:t>
      </w:r>
      <w:r>
        <w:rPr>
          <w:rFonts w:ascii="宋体" w:hAnsi="宋体" w:eastAsia="宋体" w:cs="宋体"/>
          <w:spacing w:val="8"/>
          <w:sz w:val="20"/>
          <w:szCs w:val="20"/>
        </w:rPr>
        <w:t>孕妇等高危人群的流感并发症发生率、住院</w:t>
      </w:r>
      <w:r>
        <w:rPr>
          <w:rFonts w:ascii="宋体" w:hAnsi="宋体" w:eastAsia="宋体" w:cs="宋体"/>
          <w:spacing w:val="7"/>
          <w:sz w:val="20"/>
          <w:szCs w:val="20"/>
        </w:rPr>
        <w:t>率和病死率最高。</w:t>
      </w:r>
    </w:p>
    <w:p w14:paraId="1D9C8D3B">
      <w:pPr>
        <w:pStyle w:val="2"/>
        <w:spacing w:line="222" w:lineRule="auto"/>
        <w:ind w:left="1103"/>
        <w:rPr>
          <w:sz w:val="24"/>
          <w:szCs w:val="24"/>
        </w:rPr>
      </w:pPr>
      <w:r>
        <w:rPr>
          <w:b/>
          <w:bCs/>
          <w:spacing w:val="-2"/>
          <w:sz w:val="24"/>
          <w:szCs w:val="24"/>
        </w:rPr>
        <w:t>(三)地区分布</w:t>
      </w:r>
    </w:p>
    <w:p w14:paraId="17C06A82">
      <w:pPr>
        <w:spacing w:before="124" w:line="333" w:lineRule="auto"/>
        <w:ind w:left="680" w:right="85" w:firstLine="419"/>
        <w:jc w:val="both"/>
        <w:rPr>
          <w:rFonts w:ascii="宋体" w:hAnsi="宋体" w:eastAsia="宋体" w:cs="宋体"/>
          <w:sz w:val="20"/>
          <w:szCs w:val="20"/>
        </w:rPr>
      </w:pPr>
      <w:r>
        <w:rPr>
          <w:rFonts w:ascii="宋体" w:hAnsi="宋体" w:eastAsia="宋体" w:cs="宋体"/>
          <w:spacing w:val="15"/>
          <w:sz w:val="20"/>
          <w:szCs w:val="20"/>
        </w:rPr>
        <w:t>流感在世界各地均可发生，但各地之间的发病率可存在较大差异。这种地区分布的差异与病</w:t>
      </w:r>
      <w:r>
        <w:rPr>
          <w:rFonts w:ascii="宋体" w:hAnsi="宋体" w:eastAsia="宋体" w:cs="宋体"/>
          <w:spacing w:val="2"/>
          <w:sz w:val="20"/>
          <w:szCs w:val="20"/>
        </w:rPr>
        <w:t xml:space="preserve"> 毒抗原的变异、人群密集程度、交往频度、传染源数量、人群免疫状</w:t>
      </w:r>
      <w:r>
        <w:rPr>
          <w:rFonts w:ascii="宋体" w:hAnsi="宋体" w:eastAsia="宋体" w:cs="宋体"/>
          <w:spacing w:val="1"/>
          <w:sz w:val="20"/>
          <w:szCs w:val="20"/>
        </w:rPr>
        <w:t>况及防控措施等有关。</w:t>
      </w:r>
      <w:r>
        <w:rPr>
          <w:rFonts w:ascii="宋体" w:hAnsi="宋体" w:eastAsia="宋体" w:cs="宋体"/>
          <w:spacing w:val="46"/>
          <w:sz w:val="20"/>
          <w:szCs w:val="20"/>
        </w:rPr>
        <w:t xml:space="preserve"> </w:t>
      </w:r>
      <w:r>
        <w:rPr>
          <w:rFonts w:ascii="宋体" w:hAnsi="宋体" w:eastAsia="宋体" w:cs="宋体"/>
          <w:spacing w:val="1"/>
          <w:sz w:val="20"/>
          <w:szCs w:val="20"/>
        </w:rPr>
        <w:t>一般是先</w:t>
      </w:r>
      <w:r>
        <w:rPr>
          <w:rFonts w:ascii="宋体" w:hAnsi="宋体" w:eastAsia="宋体" w:cs="宋体"/>
          <w:sz w:val="20"/>
          <w:szCs w:val="20"/>
        </w:rPr>
        <w:t xml:space="preserve"> </w:t>
      </w:r>
      <w:r>
        <w:rPr>
          <w:rFonts w:ascii="宋体" w:hAnsi="宋体" w:eastAsia="宋体" w:cs="宋体"/>
          <w:spacing w:val="2"/>
          <w:sz w:val="20"/>
          <w:szCs w:val="20"/>
        </w:rPr>
        <w:t>城市后农村，先平原后山区，沿交通线路发展。</w:t>
      </w:r>
    </w:p>
    <w:p w14:paraId="4158CC86">
      <w:pPr>
        <w:pStyle w:val="2"/>
        <w:spacing w:before="23" w:line="222" w:lineRule="auto"/>
        <w:ind w:left="1102"/>
        <w:rPr>
          <w:sz w:val="20"/>
          <w:szCs w:val="20"/>
        </w:rPr>
      </w:pPr>
      <w:r>
        <w:rPr>
          <w:b/>
          <w:bCs/>
          <w:spacing w:val="30"/>
          <w:sz w:val="20"/>
          <w:szCs w:val="20"/>
        </w:rPr>
        <w:t>(四)超额死亡率</w:t>
      </w:r>
    </w:p>
    <w:p w14:paraId="3FAA5909">
      <w:pPr>
        <w:spacing w:before="114" w:line="333" w:lineRule="auto"/>
        <w:ind w:left="680" w:right="89" w:firstLine="419"/>
        <w:jc w:val="both"/>
        <w:rPr>
          <w:rFonts w:ascii="宋体" w:hAnsi="宋体" w:eastAsia="宋体" w:cs="宋体"/>
          <w:sz w:val="20"/>
          <w:szCs w:val="20"/>
        </w:rPr>
      </w:pPr>
      <w:r>
        <w:rPr>
          <w:rFonts w:ascii="宋体" w:hAnsi="宋体" w:eastAsia="宋体" w:cs="宋体"/>
          <w:spacing w:val="15"/>
          <w:sz w:val="20"/>
          <w:szCs w:val="20"/>
        </w:rPr>
        <w:t>流感的超额死亡率即流感流行高峰期的观察死亡率与非流行期死亡率基线之差。研究</w:t>
      </w:r>
      <w:r>
        <w:rPr>
          <w:rFonts w:ascii="宋体" w:hAnsi="宋体" w:eastAsia="宋体" w:cs="宋体"/>
          <w:spacing w:val="14"/>
          <w:sz w:val="20"/>
          <w:szCs w:val="20"/>
        </w:rPr>
        <w:t>中多采</w:t>
      </w:r>
      <w:r>
        <w:rPr>
          <w:rFonts w:ascii="宋体" w:hAnsi="宋体" w:eastAsia="宋体" w:cs="宋体"/>
          <w:sz w:val="20"/>
          <w:szCs w:val="20"/>
        </w:rPr>
        <w:t xml:space="preserve"> </w:t>
      </w:r>
      <w:r>
        <w:rPr>
          <w:rFonts w:ascii="宋体" w:hAnsi="宋体" w:eastAsia="宋体" w:cs="宋体"/>
          <w:spacing w:val="10"/>
          <w:sz w:val="20"/>
          <w:szCs w:val="20"/>
        </w:rPr>
        <w:t>用数学模型的方法建立死亡率基线，比较流行期死亡率与非流行期死</w:t>
      </w:r>
      <w:r>
        <w:rPr>
          <w:rFonts w:ascii="宋体" w:hAnsi="宋体" w:eastAsia="宋体" w:cs="宋体"/>
          <w:spacing w:val="9"/>
          <w:sz w:val="20"/>
          <w:szCs w:val="20"/>
        </w:rPr>
        <w:t>亡率基线之差，以流感的超额</w:t>
      </w:r>
      <w:r>
        <w:rPr>
          <w:rFonts w:ascii="宋体" w:hAnsi="宋体" w:eastAsia="宋体" w:cs="宋体"/>
          <w:sz w:val="20"/>
          <w:szCs w:val="20"/>
        </w:rPr>
        <w:t xml:space="preserve"> </w:t>
      </w:r>
      <w:r>
        <w:rPr>
          <w:rFonts w:ascii="宋体" w:hAnsi="宋体" w:eastAsia="宋体" w:cs="宋体"/>
          <w:spacing w:val="15"/>
          <w:sz w:val="20"/>
          <w:szCs w:val="20"/>
        </w:rPr>
        <w:t>死亡率来估计其流行所导致的疾病负担。大流行期间，流感的诊断通常</w:t>
      </w:r>
      <w:r>
        <w:rPr>
          <w:rFonts w:ascii="宋体" w:hAnsi="宋体" w:eastAsia="宋体" w:cs="宋体"/>
          <w:spacing w:val="14"/>
          <w:sz w:val="20"/>
          <w:szCs w:val="20"/>
        </w:rPr>
        <w:t>是基于临床表现的临床诊</w:t>
      </w:r>
      <w:r>
        <w:rPr>
          <w:rFonts w:ascii="宋体" w:hAnsi="宋体" w:eastAsia="宋体" w:cs="宋体"/>
          <w:sz w:val="20"/>
          <w:szCs w:val="20"/>
        </w:rPr>
        <w:t xml:space="preserve"> </w:t>
      </w:r>
      <w:r>
        <w:rPr>
          <w:rFonts w:ascii="宋体" w:hAnsi="宋体" w:eastAsia="宋体" w:cs="宋体"/>
          <w:spacing w:val="15"/>
          <w:sz w:val="20"/>
          <w:szCs w:val="20"/>
        </w:rPr>
        <w:t>断而不是实验室确诊，因此难以直接计算其疾病负担。研究流感超额</w:t>
      </w:r>
      <w:r>
        <w:rPr>
          <w:rFonts w:ascii="宋体" w:hAnsi="宋体" w:eastAsia="宋体" w:cs="宋体"/>
          <w:spacing w:val="14"/>
          <w:sz w:val="20"/>
          <w:szCs w:val="20"/>
        </w:rPr>
        <w:t>死亡率有助于了解流感流行</w:t>
      </w:r>
      <w:r>
        <w:rPr>
          <w:rFonts w:ascii="宋体" w:hAnsi="宋体" w:eastAsia="宋体" w:cs="宋体"/>
          <w:sz w:val="20"/>
          <w:szCs w:val="20"/>
        </w:rPr>
        <w:t xml:space="preserve"> </w:t>
      </w:r>
      <w:r>
        <w:rPr>
          <w:rFonts w:ascii="宋体" w:hAnsi="宋体" w:eastAsia="宋体" w:cs="宋体"/>
          <w:spacing w:val="8"/>
          <w:sz w:val="20"/>
          <w:szCs w:val="20"/>
        </w:rPr>
        <w:t>的严重程度、时间变化规律及其在不同人群</w:t>
      </w:r>
      <w:r>
        <w:rPr>
          <w:rFonts w:ascii="宋体" w:hAnsi="宋体" w:eastAsia="宋体" w:cs="宋体"/>
          <w:spacing w:val="7"/>
          <w:sz w:val="20"/>
          <w:szCs w:val="20"/>
        </w:rPr>
        <w:t>和地区的流行特征，从而指导流感疫苗的应用。</w:t>
      </w:r>
    </w:p>
    <w:p w14:paraId="427465EC">
      <w:pPr>
        <w:spacing w:line="263" w:lineRule="auto"/>
        <w:rPr>
          <w:rFonts w:ascii="Arial"/>
          <w:sz w:val="21"/>
        </w:rPr>
      </w:pPr>
    </w:p>
    <w:p w14:paraId="4545D019">
      <w:pPr>
        <w:pStyle w:val="2"/>
        <w:spacing w:before="98" w:line="221" w:lineRule="auto"/>
        <w:ind w:left="3564"/>
        <w:outlineLvl w:val="1"/>
      </w:pPr>
      <w:bookmarkStart w:id="600" w:name="bookmark381"/>
      <w:bookmarkEnd w:id="600"/>
      <w:r>
        <w:rPr>
          <w:b/>
          <w:bCs/>
          <w:spacing w:val="-3"/>
        </w:rPr>
        <w:t>第四节</w:t>
      </w:r>
      <w:r>
        <w:rPr>
          <w:spacing w:val="-3"/>
        </w:rPr>
        <w:t xml:space="preserve">  </w:t>
      </w:r>
      <w:r>
        <w:rPr>
          <w:b/>
          <w:bCs/>
          <w:spacing w:val="-3"/>
        </w:rPr>
        <w:t>预防策略与措施</w:t>
      </w:r>
    </w:p>
    <w:p w14:paraId="262699E8">
      <w:pPr>
        <w:spacing w:line="338" w:lineRule="auto"/>
        <w:rPr>
          <w:rFonts w:ascii="Arial"/>
          <w:sz w:val="21"/>
        </w:rPr>
      </w:pPr>
    </w:p>
    <w:p w14:paraId="0719C169">
      <w:pPr>
        <w:spacing w:before="66" w:line="324" w:lineRule="auto"/>
        <w:ind w:left="680" w:right="70" w:firstLine="419"/>
        <w:jc w:val="both"/>
        <w:rPr>
          <w:rFonts w:ascii="宋体" w:hAnsi="宋体" w:eastAsia="宋体" w:cs="宋体"/>
          <w:sz w:val="20"/>
          <w:szCs w:val="20"/>
        </w:rPr>
      </w:pPr>
      <w:r>
        <w:rPr>
          <w:rFonts w:ascii="宋体" w:hAnsi="宋体" w:eastAsia="宋体" w:cs="宋体"/>
          <w:spacing w:val="6"/>
          <w:sz w:val="20"/>
          <w:szCs w:val="20"/>
        </w:rPr>
        <w:t>流感是一个全球公共卫生问题，目前尚缺乏有效控制流行的方法，</w:t>
      </w:r>
      <w:r>
        <w:rPr>
          <w:rFonts w:ascii="宋体" w:hAnsi="宋体" w:eastAsia="宋体" w:cs="宋体"/>
          <w:spacing w:val="71"/>
          <w:sz w:val="20"/>
          <w:szCs w:val="20"/>
        </w:rPr>
        <w:t xml:space="preserve"> </w:t>
      </w:r>
      <w:r>
        <w:rPr>
          <w:rFonts w:ascii="宋体" w:hAnsi="宋体" w:eastAsia="宋体" w:cs="宋体"/>
          <w:spacing w:val="6"/>
          <w:sz w:val="20"/>
          <w:szCs w:val="20"/>
        </w:rPr>
        <w:t>一旦出现新的亚型，各国都</w:t>
      </w:r>
      <w:r>
        <w:rPr>
          <w:rFonts w:ascii="宋体" w:hAnsi="宋体" w:eastAsia="宋体" w:cs="宋体"/>
          <w:sz w:val="20"/>
          <w:szCs w:val="20"/>
        </w:rPr>
        <w:t xml:space="preserve"> </w:t>
      </w:r>
      <w:r>
        <w:rPr>
          <w:rFonts w:ascii="宋体" w:hAnsi="宋体" w:eastAsia="宋体" w:cs="宋体"/>
          <w:spacing w:val="10"/>
          <w:sz w:val="20"/>
          <w:szCs w:val="20"/>
        </w:rPr>
        <w:t>难幸免。</w:t>
      </w:r>
      <w:r>
        <w:rPr>
          <w:rFonts w:ascii="宋体" w:hAnsi="宋体" w:eastAsia="宋体" w:cs="宋体"/>
          <w:spacing w:val="-19"/>
          <w:sz w:val="20"/>
          <w:szCs w:val="20"/>
        </w:rPr>
        <w:t xml:space="preserve"> </w:t>
      </w:r>
      <w:r>
        <w:rPr>
          <w:rFonts w:ascii="Times New Roman" w:hAnsi="Times New Roman" w:eastAsia="Times New Roman" w:cs="Times New Roman"/>
          <w:sz w:val="20"/>
          <w:szCs w:val="20"/>
        </w:rPr>
        <w:t>WHO</w:t>
      </w:r>
      <w:r>
        <w:rPr>
          <w:rFonts w:ascii="Times New Roman" w:hAnsi="Times New Roman" w:eastAsia="Times New Roman" w:cs="Times New Roman"/>
          <w:spacing w:val="10"/>
          <w:sz w:val="20"/>
          <w:szCs w:val="20"/>
        </w:rPr>
        <w:t xml:space="preserve"> </w:t>
      </w:r>
      <w:r>
        <w:rPr>
          <w:rFonts w:ascii="宋体" w:hAnsi="宋体" w:eastAsia="宋体" w:cs="宋体"/>
          <w:spacing w:val="10"/>
          <w:sz w:val="20"/>
          <w:szCs w:val="20"/>
        </w:rPr>
        <w:t>积极引导各国完善流感大流行的准备和应对，主要措施包括以下几个方面，重点为</w:t>
      </w:r>
      <w:r>
        <w:rPr>
          <w:rFonts w:ascii="宋体" w:hAnsi="宋体" w:eastAsia="宋体" w:cs="宋体"/>
          <w:sz w:val="20"/>
          <w:szCs w:val="20"/>
        </w:rPr>
        <w:t xml:space="preserve"> </w:t>
      </w:r>
      <w:r>
        <w:rPr>
          <w:rFonts w:ascii="宋体" w:hAnsi="宋体" w:eastAsia="宋体" w:cs="宋体"/>
          <w:spacing w:val="7"/>
          <w:sz w:val="20"/>
          <w:szCs w:val="20"/>
        </w:rPr>
        <w:t>疫情监测和疫苗的使用。</w:t>
      </w:r>
    </w:p>
    <w:p w14:paraId="62E075DB">
      <w:pPr>
        <w:spacing w:line="324" w:lineRule="auto"/>
        <w:rPr>
          <w:rFonts w:ascii="宋体" w:hAnsi="宋体" w:eastAsia="宋体" w:cs="宋体"/>
          <w:sz w:val="20"/>
          <w:szCs w:val="20"/>
        </w:rPr>
        <w:sectPr>
          <w:footerReference r:id="rId375" w:type="default"/>
          <w:pgSz w:w="11900" w:h="16820"/>
          <w:pgMar w:top="400" w:right="1370" w:bottom="869" w:left="739" w:header="0" w:footer="689" w:gutter="0"/>
          <w:cols w:space="720" w:num="1"/>
        </w:sectPr>
      </w:pPr>
    </w:p>
    <w:p w14:paraId="3B2CCEFC">
      <w:pPr>
        <w:pStyle w:val="2"/>
        <w:spacing w:before="213" w:line="221" w:lineRule="auto"/>
        <w:ind w:left="6712"/>
        <w:rPr>
          <w:sz w:val="20"/>
          <w:szCs w:val="20"/>
        </w:rPr>
      </w:pPr>
      <w:r>
        <w:rPr>
          <w:b/>
          <w:bCs/>
          <w:spacing w:val="-23"/>
          <w:w w:val="96"/>
          <w:sz w:val="20"/>
          <w:szCs w:val="20"/>
        </w:rPr>
        <w:t>第二十三章</w:t>
      </w:r>
      <w:r>
        <w:rPr>
          <w:spacing w:val="-23"/>
          <w:w w:val="96"/>
          <w:sz w:val="20"/>
          <w:szCs w:val="20"/>
        </w:rPr>
        <w:t xml:space="preserve"> </w:t>
      </w:r>
      <w:r>
        <w:rPr>
          <w:b/>
          <w:bCs/>
          <w:spacing w:val="-23"/>
          <w:w w:val="96"/>
          <w:sz w:val="20"/>
          <w:szCs w:val="20"/>
        </w:rPr>
        <w:t>流行性感冒</w:t>
      </w:r>
    </w:p>
    <w:p w14:paraId="65E37010">
      <w:pPr>
        <w:spacing w:line="242" w:lineRule="auto"/>
        <w:rPr>
          <w:rFonts w:ascii="Arial"/>
          <w:sz w:val="21"/>
        </w:rPr>
      </w:pPr>
    </w:p>
    <w:p w14:paraId="75BE8844">
      <w:pPr>
        <w:spacing w:line="243" w:lineRule="auto"/>
        <w:rPr>
          <w:rFonts w:ascii="Arial"/>
          <w:sz w:val="21"/>
        </w:rPr>
      </w:pPr>
    </w:p>
    <w:p w14:paraId="37F17A1B">
      <w:pPr>
        <w:spacing w:line="243" w:lineRule="auto"/>
        <w:rPr>
          <w:rFonts w:ascii="Arial"/>
          <w:sz w:val="21"/>
        </w:rPr>
      </w:pPr>
    </w:p>
    <w:p w14:paraId="45F1C9C0">
      <w:pPr>
        <w:pStyle w:val="2"/>
        <w:spacing w:before="78" w:line="221" w:lineRule="auto"/>
        <w:ind w:left="403"/>
        <w:outlineLvl w:val="4"/>
        <w:rPr>
          <w:sz w:val="24"/>
          <w:szCs w:val="24"/>
        </w:rPr>
      </w:pPr>
      <w:bookmarkStart w:id="601" w:name="bookmark382"/>
      <w:bookmarkEnd w:id="601"/>
      <w:r>
        <w:rPr>
          <w:b/>
          <w:bCs/>
          <w:spacing w:val="-9"/>
          <w:sz w:val="24"/>
          <w:szCs w:val="24"/>
        </w:rPr>
        <w:t>一</w:t>
      </w:r>
      <w:r>
        <w:rPr>
          <w:spacing w:val="-41"/>
          <w:sz w:val="24"/>
          <w:szCs w:val="24"/>
        </w:rPr>
        <w:t xml:space="preserve"> </w:t>
      </w:r>
      <w:r>
        <w:rPr>
          <w:b/>
          <w:bCs/>
          <w:spacing w:val="-9"/>
          <w:sz w:val="24"/>
          <w:szCs w:val="24"/>
        </w:rPr>
        <w:t>、全球应对流感大流行的准备</w:t>
      </w:r>
    </w:p>
    <w:p w14:paraId="0B082492">
      <w:pPr>
        <w:spacing w:before="277" w:line="342" w:lineRule="auto"/>
        <w:ind w:right="628" w:firstLine="399"/>
        <w:jc w:val="both"/>
        <w:rPr>
          <w:rFonts w:ascii="宋体" w:hAnsi="宋体" w:eastAsia="宋体" w:cs="宋体"/>
          <w:sz w:val="20"/>
          <w:szCs w:val="20"/>
        </w:rPr>
      </w:pPr>
      <w:r>
        <w:rPr>
          <w:rFonts w:ascii="宋体" w:hAnsi="宋体" w:eastAsia="宋体" w:cs="宋体"/>
          <w:spacing w:val="1"/>
          <w:sz w:val="20"/>
          <w:szCs w:val="20"/>
        </w:rPr>
        <w:t xml:space="preserve">流感大流行是不可预知但又是反复出现的事件，可对人类健康和全球经济造成严重影响。历 </w:t>
      </w:r>
      <w:r>
        <w:rPr>
          <w:rFonts w:ascii="宋体" w:hAnsi="宋体" w:eastAsia="宋体" w:cs="宋体"/>
          <w:spacing w:val="-4"/>
          <w:sz w:val="20"/>
          <w:szCs w:val="20"/>
        </w:rPr>
        <w:t>次流感大流行的特征显示，一旦大流行相关毒株在一个地区出现，会迅速造成国家和洲际间的广泛</w:t>
      </w:r>
      <w:r>
        <w:rPr>
          <w:rFonts w:ascii="宋体" w:hAnsi="宋体" w:eastAsia="宋体" w:cs="宋体"/>
          <w:spacing w:val="10"/>
          <w:sz w:val="20"/>
          <w:szCs w:val="20"/>
        </w:rPr>
        <w:t xml:space="preserve"> </w:t>
      </w:r>
      <w:r>
        <w:rPr>
          <w:rFonts w:ascii="宋体" w:hAnsi="宋体" w:eastAsia="宋体" w:cs="宋体"/>
          <w:spacing w:val="-4"/>
          <w:sz w:val="20"/>
          <w:szCs w:val="20"/>
        </w:rPr>
        <w:t>传播。大流行的蔓延速度之快可能使得特定的疫情防控措施无的放矢，进而导致基础设施、服务提</w:t>
      </w:r>
      <w:r>
        <w:rPr>
          <w:rFonts w:ascii="宋体" w:hAnsi="宋体" w:eastAsia="宋体" w:cs="宋体"/>
          <w:spacing w:val="9"/>
          <w:sz w:val="20"/>
          <w:szCs w:val="20"/>
        </w:rPr>
        <w:t xml:space="preserve"> </w:t>
      </w:r>
      <w:r>
        <w:rPr>
          <w:rFonts w:ascii="宋体" w:hAnsi="宋体" w:eastAsia="宋体" w:cs="宋体"/>
          <w:spacing w:val="-6"/>
          <w:sz w:val="20"/>
          <w:szCs w:val="20"/>
        </w:rPr>
        <w:t>供、商业以及政府等所有部门瘫痪。因此在大流行之前，各国均应做好充分准备。</w:t>
      </w:r>
    </w:p>
    <w:p w14:paraId="7297A945">
      <w:pPr>
        <w:spacing w:before="7" w:line="333" w:lineRule="auto"/>
        <w:ind w:right="613" w:firstLine="399"/>
        <w:jc w:val="both"/>
        <w:rPr>
          <w:rFonts w:ascii="宋体" w:hAnsi="宋体" w:eastAsia="宋体" w:cs="宋体"/>
          <w:sz w:val="20"/>
          <w:szCs w:val="20"/>
        </w:rPr>
      </w:pPr>
      <w:r>
        <w:rPr>
          <w:rFonts w:ascii="宋体" w:hAnsi="宋体" w:eastAsia="宋体" w:cs="宋体"/>
          <w:spacing w:val="-4"/>
          <w:sz w:val="20"/>
          <w:szCs w:val="20"/>
        </w:rPr>
        <w:t>为积极应对流感大流行，</w:t>
      </w:r>
      <w:r>
        <w:rPr>
          <w:rFonts w:ascii="Times New Roman" w:hAnsi="Times New Roman" w:eastAsia="Times New Roman" w:cs="Times New Roman"/>
          <w:spacing w:val="-4"/>
          <w:sz w:val="20"/>
          <w:szCs w:val="20"/>
        </w:rPr>
        <w:t>WHO</w:t>
      </w:r>
      <w:r>
        <w:rPr>
          <w:rFonts w:ascii="Times New Roman" w:hAnsi="Times New Roman" w:eastAsia="Times New Roman" w:cs="Times New Roman"/>
          <w:spacing w:val="-15"/>
          <w:sz w:val="20"/>
          <w:szCs w:val="20"/>
        </w:rPr>
        <w:t xml:space="preserve"> </w:t>
      </w:r>
      <w:r>
        <w:rPr>
          <w:rFonts w:ascii="宋体" w:hAnsi="宋体" w:eastAsia="宋体" w:cs="宋体"/>
          <w:spacing w:val="-4"/>
          <w:sz w:val="20"/>
          <w:szCs w:val="20"/>
        </w:rPr>
        <w:t>于1999年首次发布了《流感大流行准备和应对计划》,希望通过</w:t>
      </w:r>
      <w:r>
        <w:rPr>
          <w:rFonts w:ascii="宋体" w:hAnsi="宋体" w:eastAsia="宋体" w:cs="宋体"/>
          <w:sz w:val="20"/>
          <w:szCs w:val="20"/>
        </w:rPr>
        <w:t xml:space="preserve"> </w:t>
      </w:r>
      <w:r>
        <w:rPr>
          <w:rFonts w:ascii="宋体" w:hAnsi="宋体" w:eastAsia="宋体" w:cs="宋体"/>
          <w:spacing w:val="-4"/>
          <w:sz w:val="20"/>
          <w:szCs w:val="20"/>
        </w:rPr>
        <w:t>引导各国事先制订流感大流行准备计划，从而有效地应对突如其来的流感疫情，减少流感对人类造</w:t>
      </w:r>
      <w:r>
        <w:rPr>
          <w:rFonts w:ascii="宋体" w:hAnsi="宋体" w:eastAsia="宋体" w:cs="宋体"/>
          <w:spacing w:val="8"/>
          <w:sz w:val="20"/>
          <w:szCs w:val="20"/>
        </w:rPr>
        <w:t xml:space="preserve"> </w:t>
      </w:r>
      <w:r>
        <w:rPr>
          <w:rFonts w:ascii="宋体" w:hAnsi="宋体" w:eastAsia="宋体" w:cs="宋体"/>
          <w:spacing w:val="1"/>
          <w:sz w:val="20"/>
          <w:szCs w:val="20"/>
        </w:rPr>
        <w:t>成的损失。随后又分别修改发布了《</w:t>
      </w:r>
      <w:r>
        <w:rPr>
          <w:rFonts w:ascii="Times New Roman" w:hAnsi="Times New Roman" w:eastAsia="Times New Roman" w:cs="Times New Roman"/>
          <w:sz w:val="20"/>
          <w:szCs w:val="20"/>
        </w:rPr>
        <w:t>WHO</w:t>
      </w:r>
      <w:r>
        <w:rPr>
          <w:rFonts w:ascii="宋体" w:hAnsi="宋体" w:eastAsia="宋体" w:cs="宋体"/>
          <w:spacing w:val="1"/>
          <w:sz w:val="20"/>
          <w:szCs w:val="20"/>
        </w:rPr>
        <w:t>全球流感准备计划——大流行前期和大流行期</w:t>
      </w:r>
      <w:r>
        <w:rPr>
          <w:rFonts w:ascii="Times New Roman" w:hAnsi="Times New Roman" w:eastAsia="Times New Roman" w:cs="Times New Roman"/>
          <w:sz w:val="20"/>
          <w:szCs w:val="20"/>
        </w:rPr>
        <w:t>WHO</w:t>
      </w:r>
      <w:r>
        <w:rPr>
          <w:rFonts w:ascii="宋体" w:hAnsi="宋体" w:eastAsia="宋体" w:cs="宋体"/>
          <w:spacing w:val="1"/>
          <w:sz w:val="20"/>
          <w:szCs w:val="20"/>
        </w:rPr>
        <w:t>的</w:t>
      </w:r>
      <w:r>
        <w:rPr>
          <w:rFonts w:ascii="宋体" w:hAnsi="宋体" w:eastAsia="宋体" w:cs="宋体"/>
          <w:spacing w:val="2"/>
          <w:sz w:val="20"/>
          <w:szCs w:val="20"/>
        </w:rPr>
        <w:t xml:space="preserve"> </w:t>
      </w:r>
      <w:r>
        <w:rPr>
          <w:rFonts w:ascii="宋体" w:hAnsi="宋体" w:eastAsia="宋体" w:cs="宋体"/>
          <w:spacing w:val="-1"/>
          <w:sz w:val="20"/>
          <w:szCs w:val="20"/>
        </w:rPr>
        <w:t>角色和国家措施的建议》《全社会参与的流感大流行准备——</w:t>
      </w:r>
      <w:r>
        <w:rPr>
          <w:rFonts w:ascii="Times New Roman" w:hAnsi="Times New Roman" w:eastAsia="Times New Roman" w:cs="Times New Roman"/>
          <w:spacing w:val="-1"/>
          <w:sz w:val="20"/>
          <w:szCs w:val="20"/>
        </w:rPr>
        <w:t>WHO</w:t>
      </w:r>
      <w:r>
        <w:rPr>
          <w:rFonts w:ascii="宋体" w:hAnsi="宋体" w:eastAsia="宋体" w:cs="宋体"/>
          <w:spacing w:val="-1"/>
          <w:sz w:val="20"/>
          <w:szCs w:val="20"/>
        </w:rPr>
        <w:t>对非卫生部门流感大流行准备</w:t>
      </w:r>
      <w:r>
        <w:rPr>
          <w:rFonts w:ascii="宋体" w:hAnsi="宋体" w:eastAsia="宋体" w:cs="宋体"/>
          <w:spacing w:val="3"/>
          <w:sz w:val="20"/>
          <w:szCs w:val="20"/>
        </w:rPr>
        <w:t xml:space="preserve"> </w:t>
      </w:r>
      <w:r>
        <w:rPr>
          <w:rFonts w:ascii="宋体" w:hAnsi="宋体" w:eastAsia="宋体" w:cs="宋体"/>
          <w:spacing w:val="-4"/>
          <w:sz w:val="20"/>
          <w:szCs w:val="20"/>
        </w:rPr>
        <w:t>和应对指南》等一系列的流感大流行应对和准备指导文件，详细阐述了流感大流行阶段划分、在不</w:t>
      </w:r>
      <w:r>
        <w:rPr>
          <w:rFonts w:ascii="宋体" w:hAnsi="宋体" w:eastAsia="宋体" w:cs="宋体"/>
          <w:spacing w:val="11"/>
          <w:sz w:val="20"/>
          <w:szCs w:val="20"/>
        </w:rPr>
        <w:t xml:space="preserve"> </w:t>
      </w:r>
      <w:r>
        <w:rPr>
          <w:rFonts w:ascii="宋体" w:hAnsi="宋体" w:eastAsia="宋体" w:cs="宋体"/>
          <w:spacing w:val="3"/>
          <w:sz w:val="20"/>
          <w:szCs w:val="20"/>
        </w:rPr>
        <w:t>同阶段</w:t>
      </w:r>
      <w:r>
        <w:rPr>
          <w:rFonts w:ascii="Times New Roman" w:hAnsi="Times New Roman" w:eastAsia="Times New Roman" w:cs="Times New Roman"/>
          <w:sz w:val="20"/>
          <w:szCs w:val="20"/>
        </w:rPr>
        <w:t>WHO</w:t>
      </w:r>
      <w:r>
        <w:rPr>
          <w:rFonts w:ascii="Times New Roman" w:hAnsi="Times New Roman" w:eastAsia="Times New Roman" w:cs="Times New Roman"/>
          <w:spacing w:val="3"/>
          <w:sz w:val="20"/>
          <w:szCs w:val="20"/>
        </w:rPr>
        <w:t xml:space="preserve"> </w:t>
      </w:r>
      <w:r>
        <w:rPr>
          <w:rFonts w:ascii="宋体" w:hAnsi="宋体" w:eastAsia="宋体" w:cs="宋体"/>
          <w:spacing w:val="3"/>
          <w:sz w:val="20"/>
          <w:szCs w:val="20"/>
        </w:rPr>
        <w:t>拟采取的行动和建议各国考虑采纳的行动以及全社会参与</w:t>
      </w:r>
      <w:r>
        <w:rPr>
          <w:rFonts w:ascii="宋体" w:hAnsi="宋体" w:eastAsia="宋体" w:cs="宋体"/>
          <w:spacing w:val="2"/>
          <w:sz w:val="20"/>
          <w:szCs w:val="20"/>
        </w:rPr>
        <w:t>方法的原理和应用等。现</w:t>
      </w:r>
      <w:r>
        <w:rPr>
          <w:rFonts w:ascii="宋体" w:hAnsi="宋体" w:eastAsia="宋体" w:cs="宋体"/>
          <w:sz w:val="20"/>
          <w:szCs w:val="20"/>
        </w:rPr>
        <w:t xml:space="preserve"> </w:t>
      </w:r>
      <w:r>
        <w:rPr>
          <w:rFonts w:ascii="宋体" w:hAnsi="宋体" w:eastAsia="宋体" w:cs="宋体"/>
          <w:spacing w:val="1"/>
          <w:sz w:val="20"/>
          <w:szCs w:val="20"/>
        </w:rPr>
        <w:t>在较多的国家已有流感大流行应对计划，我国也于2005年制定了《卫生部应对流感大流行准备计</w:t>
      </w:r>
      <w:r>
        <w:rPr>
          <w:rFonts w:ascii="宋体" w:hAnsi="宋体" w:eastAsia="宋体" w:cs="宋体"/>
          <w:spacing w:val="13"/>
          <w:sz w:val="20"/>
          <w:szCs w:val="20"/>
        </w:rPr>
        <w:t xml:space="preserve"> </w:t>
      </w:r>
      <w:r>
        <w:rPr>
          <w:rFonts w:ascii="宋体" w:hAnsi="宋体" w:eastAsia="宋体" w:cs="宋体"/>
          <w:spacing w:val="-10"/>
          <w:sz w:val="20"/>
          <w:szCs w:val="20"/>
        </w:rPr>
        <w:t>划与应急预案》。</w:t>
      </w:r>
    </w:p>
    <w:p w14:paraId="11A31F1E">
      <w:pPr>
        <w:spacing w:before="90" w:line="333" w:lineRule="auto"/>
        <w:ind w:right="521" w:firstLine="399"/>
        <w:jc w:val="both"/>
        <w:rPr>
          <w:rFonts w:ascii="宋体" w:hAnsi="宋体" w:eastAsia="宋体" w:cs="宋体"/>
          <w:sz w:val="20"/>
          <w:szCs w:val="20"/>
        </w:rPr>
      </w:pPr>
      <w:r>
        <w:rPr>
          <w:rFonts w:ascii="宋体" w:hAnsi="宋体" w:eastAsia="宋体" w:cs="宋体"/>
          <w:spacing w:val="2"/>
          <w:sz w:val="20"/>
          <w:szCs w:val="20"/>
        </w:rPr>
        <w:t>全球甲型</w:t>
      </w:r>
      <w:r>
        <w:rPr>
          <w:rFonts w:ascii="Times New Roman" w:hAnsi="Times New Roman" w:eastAsia="Times New Roman" w:cs="Times New Roman"/>
          <w:spacing w:val="2"/>
          <w:sz w:val="20"/>
          <w:szCs w:val="20"/>
        </w:rPr>
        <w:t>H1N1</w:t>
      </w:r>
      <w:r>
        <w:rPr>
          <w:rFonts w:ascii="宋体" w:hAnsi="宋体" w:eastAsia="宋体" w:cs="宋体"/>
          <w:spacing w:val="2"/>
          <w:sz w:val="20"/>
          <w:szCs w:val="20"/>
        </w:rPr>
        <w:t>流感进人流感大流行后期时，</w:t>
      </w:r>
      <w:r>
        <w:rPr>
          <w:rFonts w:ascii="Times New Roman" w:hAnsi="Times New Roman" w:eastAsia="Times New Roman" w:cs="Times New Roman"/>
          <w:sz w:val="20"/>
          <w:szCs w:val="20"/>
        </w:rPr>
        <w:t>WHO</w:t>
      </w:r>
      <w:r>
        <w:rPr>
          <w:rFonts w:ascii="宋体" w:hAnsi="宋体" w:eastAsia="宋体" w:cs="宋体"/>
          <w:spacing w:val="2"/>
          <w:sz w:val="20"/>
          <w:szCs w:val="20"/>
        </w:rPr>
        <w:t>于2011年通过了关于大流行性流感的防范</w:t>
      </w:r>
      <w:r>
        <w:rPr>
          <w:rFonts w:ascii="宋体" w:hAnsi="宋体" w:eastAsia="宋体" w:cs="宋体"/>
          <w:spacing w:val="6"/>
          <w:sz w:val="20"/>
          <w:szCs w:val="20"/>
        </w:rPr>
        <w:t xml:space="preserve">  </w:t>
      </w:r>
      <w:r>
        <w:rPr>
          <w:rFonts w:ascii="宋体" w:hAnsi="宋体" w:eastAsia="宋体" w:cs="宋体"/>
          <w:spacing w:val="-1"/>
          <w:sz w:val="20"/>
          <w:szCs w:val="20"/>
        </w:rPr>
        <w:t>框架，其中涵盖的14个要点包括：</w:t>
      </w:r>
      <w:r>
        <w:rPr>
          <w:rFonts w:ascii="Times New Roman" w:hAnsi="Times New Roman" w:eastAsia="Times New Roman" w:cs="Times New Roman"/>
          <w:spacing w:val="-1"/>
          <w:sz w:val="20"/>
          <w:szCs w:val="20"/>
        </w:rPr>
        <w:t>WHO</w:t>
      </w:r>
      <w:r>
        <w:rPr>
          <w:rFonts w:ascii="Times New Roman" w:hAnsi="Times New Roman" w:eastAsia="Times New Roman" w:cs="Times New Roman"/>
          <w:spacing w:val="-15"/>
          <w:sz w:val="20"/>
          <w:szCs w:val="20"/>
        </w:rPr>
        <w:t xml:space="preserve"> </w:t>
      </w:r>
      <w:r>
        <w:rPr>
          <w:rFonts w:ascii="宋体" w:hAnsi="宋体" w:eastAsia="宋体" w:cs="宋体"/>
          <w:spacing w:val="-1"/>
          <w:sz w:val="20"/>
          <w:szCs w:val="20"/>
        </w:rPr>
        <w:t>协调大流行性流感的防范和应</w:t>
      </w:r>
      <w:r>
        <w:rPr>
          <w:rFonts w:ascii="宋体" w:hAnsi="宋体" w:eastAsia="宋体" w:cs="宋体"/>
          <w:spacing w:val="-2"/>
          <w:sz w:val="20"/>
          <w:szCs w:val="20"/>
        </w:rPr>
        <w:t>对；大流行风险评估和风险</w:t>
      </w:r>
      <w:r>
        <w:rPr>
          <w:rFonts w:ascii="宋体" w:hAnsi="宋体" w:eastAsia="宋体" w:cs="宋体"/>
          <w:sz w:val="20"/>
          <w:szCs w:val="20"/>
        </w:rPr>
        <w:t xml:space="preserve">  </w:t>
      </w:r>
      <w:r>
        <w:rPr>
          <w:rFonts w:ascii="宋体" w:hAnsi="宋体" w:eastAsia="宋体" w:cs="宋体"/>
          <w:spacing w:val="-3"/>
          <w:sz w:val="20"/>
          <w:szCs w:val="20"/>
        </w:rPr>
        <w:t>应对；提供大流行性流感防范候选疫苗株病毒；提供诊断试剂和检测包；提供确定疫苗效力的参考</w:t>
      </w:r>
      <w:r>
        <w:rPr>
          <w:rFonts w:ascii="宋体" w:hAnsi="宋体" w:eastAsia="宋体" w:cs="宋体"/>
          <w:spacing w:val="5"/>
          <w:sz w:val="20"/>
          <w:szCs w:val="20"/>
        </w:rPr>
        <w:t xml:space="preserve"> </w:t>
      </w:r>
      <w:r>
        <w:rPr>
          <w:rFonts w:ascii="宋体" w:hAnsi="宋体" w:eastAsia="宋体" w:cs="宋体"/>
          <w:spacing w:val="-6"/>
          <w:sz w:val="20"/>
          <w:szCs w:val="20"/>
        </w:rPr>
        <w:t>试剂；实验室和流感监测能力建设；管制能力建设；抗病毒药物储备；大流行性流感防范疫苗储备；</w:t>
      </w:r>
      <w:r>
        <w:rPr>
          <w:rFonts w:ascii="宋体" w:hAnsi="宋体" w:eastAsia="宋体" w:cs="宋体"/>
          <w:spacing w:val="12"/>
          <w:sz w:val="20"/>
          <w:szCs w:val="20"/>
        </w:rPr>
        <w:t xml:space="preserve"> </w:t>
      </w:r>
      <w:r>
        <w:rPr>
          <w:rFonts w:ascii="宋体" w:hAnsi="宋体" w:eastAsia="宋体" w:cs="宋体"/>
          <w:spacing w:val="-3"/>
          <w:sz w:val="20"/>
          <w:szCs w:val="20"/>
        </w:rPr>
        <w:t>在大流行间期提供疫苗供发展中国家使用；提供大流行性流感疫苗；对流</w:t>
      </w:r>
      <w:r>
        <w:rPr>
          <w:rFonts w:ascii="宋体" w:hAnsi="宋体" w:eastAsia="宋体" w:cs="宋体"/>
          <w:spacing w:val="-4"/>
          <w:sz w:val="20"/>
          <w:szCs w:val="20"/>
        </w:rPr>
        <w:t>感疫苗和抗病毒药物分层</w:t>
      </w:r>
      <w:r>
        <w:rPr>
          <w:rFonts w:ascii="宋体" w:hAnsi="宋体" w:eastAsia="宋体" w:cs="宋体"/>
          <w:sz w:val="20"/>
          <w:szCs w:val="20"/>
        </w:rPr>
        <w:t xml:space="preserve">  </w:t>
      </w:r>
      <w:r>
        <w:rPr>
          <w:rFonts w:ascii="宋体" w:hAnsi="宋体" w:eastAsia="宋体" w:cs="宋体"/>
          <w:spacing w:val="-6"/>
          <w:sz w:val="20"/>
          <w:szCs w:val="20"/>
        </w:rPr>
        <w:t>定价；技术转让；可持续和创新性筹资机制。</w:t>
      </w:r>
    </w:p>
    <w:p w14:paraId="36F3EE1B">
      <w:pPr>
        <w:pStyle w:val="2"/>
        <w:spacing w:before="216" w:line="222" w:lineRule="auto"/>
        <w:ind w:left="403"/>
        <w:outlineLvl w:val="4"/>
        <w:rPr>
          <w:sz w:val="24"/>
          <w:szCs w:val="24"/>
        </w:rPr>
      </w:pPr>
      <w:bookmarkStart w:id="602" w:name="bookmark383"/>
      <w:bookmarkEnd w:id="602"/>
      <w:r>
        <w:rPr>
          <w:b/>
          <w:bCs/>
          <w:spacing w:val="-9"/>
          <w:sz w:val="24"/>
          <w:szCs w:val="24"/>
        </w:rPr>
        <w:t>二</w:t>
      </w:r>
      <w:r>
        <w:rPr>
          <w:spacing w:val="-41"/>
          <w:sz w:val="24"/>
          <w:szCs w:val="24"/>
        </w:rPr>
        <w:t xml:space="preserve"> </w:t>
      </w:r>
      <w:r>
        <w:rPr>
          <w:b/>
          <w:bCs/>
          <w:spacing w:val="-9"/>
          <w:sz w:val="24"/>
          <w:szCs w:val="24"/>
        </w:rPr>
        <w:t>、疫情监测</w:t>
      </w:r>
    </w:p>
    <w:p w14:paraId="42AEC070">
      <w:pPr>
        <w:spacing w:before="253" w:line="335" w:lineRule="auto"/>
        <w:ind w:right="608" w:firstLine="399"/>
        <w:jc w:val="both"/>
        <w:rPr>
          <w:rFonts w:ascii="宋体" w:hAnsi="宋体" w:eastAsia="宋体" w:cs="宋体"/>
          <w:sz w:val="20"/>
          <w:szCs w:val="20"/>
        </w:rPr>
      </w:pPr>
      <w:r>
        <w:rPr>
          <w:rFonts w:ascii="宋体" w:hAnsi="宋体" w:eastAsia="宋体" w:cs="宋体"/>
          <w:spacing w:val="-3"/>
          <w:sz w:val="20"/>
          <w:szCs w:val="20"/>
        </w:rPr>
        <w:t>流感监测的目的是：①掌握疫情动态、流行规律</w:t>
      </w:r>
      <w:r>
        <w:rPr>
          <w:rFonts w:ascii="宋体" w:hAnsi="宋体" w:eastAsia="宋体" w:cs="宋体"/>
          <w:spacing w:val="-4"/>
          <w:sz w:val="20"/>
          <w:szCs w:val="20"/>
        </w:rPr>
        <w:t>，及早发现疫情；②掌握流感病毒的分布和变</w:t>
      </w:r>
      <w:r>
        <w:rPr>
          <w:rFonts w:ascii="宋体" w:hAnsi="宋体" w:eastAsia="宋体" w:cs="宋体"/>
          <w:sz w:val="20"/>
          <w:szCs w:val="20"/>
        </w:rPr>
        <w:t xml:space="preserve"> </w:t>
      </w:r>
      <w:r>
        <w:rPr>
          <w:rFonts w:ascii="宋体" w:hAnsi="宋体" w:eastAsia="宋体" w:cs="宋体"/>
          <w:spacing w:val="-3"/>
          <w:sz w:val="20"/>
          <w:szCs w:val="20"/>
        </w:rPr>
        <w:t>异情况；③掌握人群免疫水平变化情况；④评价疫苗效果；⑤为流感流行趋</w:t>
      </w:r>
      <w:r>
        <w:rPr>
          <w:rFonts w:ascii="宋体" w:hAnsi="宋体" w:eastAsia="宋体" w:cs="宋体"/>
          <w:spacing w:val="-4"/>
          <w:sz w:val="20"/>
          <w:szCs w:val="20"/>
        </w:rPr>
        <w:t>势的预测、预警和制定</w:t>
      </w:r>
      <w:r>
        <w:rPr>
          <w:rFonts w:ascii="宋体" w:hAnsi="宋体" w:eastAsia="宋体" w:cs="宋体"/>
          <w:sz w:val="20"/>
          <w:szCs w:val="20"/>
        </w:rPr>
        <w:t xml:space="preserve"> </w:t>
      </w:r>
      <w:r>
        <w:rPr>
          <w:rFonts w:ascii="宋体" w:hAnsi="宋体" w:eastAsia="宋体" w:cs="宋体"/>
          <w:spacing w:val="-3"/>
          <w:sz w:val="20"/>
          <w:szCs w:val="20"/>
        </w:rPr>
        <w:t>防制措施提供科学依据；⑥不断筛选新的疫苗代表株。</w:t>
      </w:r>
    </w:p>
    <w:p w14:paraId="26A93D6A">
      <w:pPr>
        <w:spacing w:before="7" w:line="343" w:lineRule="auto"/>
        <w:ind w:right="598" w:firstLine="399"/>
        <w:jc w:val="both"/>
        <w:rPr>
          <w:rFonts w:ascii="宋体" w:hAnsi="宋体" w:eastAsia="宋体" w:cs="宋体"/>
          <w:sz w:val="20"/>
          <w:szCs w:val="20"/>
        </w:rPr>
      </w:pPr>
      <w:r>
        <w:rPr>
          <w:rFonts w:ascii="Times New Roman" w:hAnsi="Times New Roman" w:eastAsia="Times New Roman" w:cs="Times New Roman"/>
          <w:sz w:val="20"/>
          <w:szCs w:val="20"/>
        </w:rPr>
        <w:t>WHO</w:t>
      </w:r>
      <w:r>
        <w:rPr>
          <w:rFonts w:ascii="Times New Roman" w:hAnsi="Times New Roman" w:eastAsia="Times New Roman" w:cs="Times New Roman"/>
          <w:spacing w:val="10"/>
          <w:sz w:val="20"/>
          <w:szCs w:val="20"/>
        </w:rPr>
        <w:t xml:space="preserve"> </w:t>
      </w:r>
      <w:r>
        <w:rPr>
          <w:rFonts w:ascii="宋体" w:hAnsi="宋体" w:eastAsia="宋体" w:cs="宋体"/>
          <w:spacing w:val="10"/>
          <w:sz w:val="20"/>
          <w:szCs w:val="20"/>
        </w:rPr>
        <w:t>于1952年成立了全球流感监测网络</w:t>
      </w:r>
      <w:r>
        <w:rPr>
          <w:rFonts w:ascii="Times New Roman" w:hAnsi="Times New Roman" w:eastAsia="Times New Roman" w:cs="Times New Roman"/>
          <w:spacing w:val="10"/>
          <w:sz w:val="20"/>
          <w:szCs w:val="20"/>
        </w:rPr>
        <w:t>(</w:t>
      </w:r>
      <w:r>
        <w:rPr>
          <w:rFonts w:ascii="Times New Roman" w:hAnsi="Times New Roman" w:eastAsia="Times New Roman" w:cs="Times New Roman"/>
          <w:sz w:val="20"/>
          <w:szCs w:val="20"/>
        </w:rPr>
        <w:t>GISN</w:t>
      </w:r>
      <w:r>
        <w:rPr>
          <w:rFonts w:ascii="Times New Roman" w:hAnsi="Times New Roman" w:eastAsia="Times New Roman" w:cs="Times New Roman"/>
          <w:spacing w:val="10"/>
          <w:sz w:val="20"/>
          <w:szCs w:val="20"/>
        </w:rPr>
        <w:t>),</w:t>
      </w:r>
      <w:r>
        <w:rPr>
          <w:rFonts w:ascii="Times New Roman" w:hAnsi="Times New Roman" w:eastAsia="Times New Roman" w:cs="Times New Roman"/>
          <w:spacing w:val="49"/>
          <w:sz w:val="20"/>
          <w:szCs w:val="20"/>
        </w:rPr>
        <w:t xml:space="preserve"> </w:t>
      </w:r>
      <w:r>
        <w:rPr>
          <w:rFonts w:ascii="宋体" w:hAnsi="宋体" w:eastAsia="宋体" w:cs="宋体"/>
          <w:spacing w:val="9"/>
          <w:sz w:val="20"/>
          <w:szCs w:val="20"/>
        </w:rPr>
        <w:t>后于2011年更名为全球流感监测和应对</w:t>
      </w:r>
      <w:r>
        <w:rPr>
          <w:rFonts w:ascii="宋体" w:hAnsi="宋体" w:eastAsia="宋体" w:cs="宋体"/>
          <w:sz w:val="20"/>
          <w:szCs w:val="20"/>
        </w:rPr>
        <w:t xml:space="preserve"> </w:t>
      </w:r>
      <w:r>
        <w:rPr>
          <w:rFonts w:ascii="宋体" w:hAnsi="宋体" w:eastAsia="宋体" w:cs="宋体"/>
          <w:spacing w:val="2"/>
          <w:sz w:val="20"/>
          <w:szCs w:val="20"/>
        </w:rPr>
        <w:t>系</w:t>
      </w:r>
      <w:r>
        <w:rPr>
          <w:rFonts w:ascii="宋体" w:hAnsi="宋体" w:eastAsia="宋体" w:cs="宋体"/>
          <w:spacing w:val="-26"/>
          <w:sz w:val="20"/>
          <w:szCs w:val="20"/>
        </w:rPr>
        <w:t xml:space="preserve"> </w:t>
      </w:r>
      <w:r>
        <w:rPr>
          <w:rFonts w:ascii="宋体" w:hAnsi="宋体" w:eastAsia="宋体" w:cs="宋体"/>
          <w:spacing w:val="2"/>
          <w:sz w:val="20"/>
          <w:szCs w:val="20"/>
        </w:rPr>
        <w:t>统</w:t>
      </w:r>
      <w:r>
        <w:rPr>
          <w:rFonts w:ascii="Times New Roman" w:hAnsi="Times New Roman" w:eastAsia="Times New Roman" w:cs="Times New Roman"/>
          <w:spacing w:val="2"/>
          <w:sz w:val="20"/>
          <w:szCs w:val="20"/>
        </w:rPr>
        <w:t>(</w:t>
      </w:r>
      <w:r>
        <w:rPr>
          <w:rFonts w:ascii="Times New Roman" w:hAnsi="Times New Roman" w:eastAsia="Times New Roman" w:cs="Times New Roman"/>
          <w:sz w:val="20"/>
          <w:szCs w:val="20"/>
        </w:rPr>
        <w:t>GISRS</w:t>
      </w:r>
      <w:r>
        <w:rPr>
          <w:rFonts w:ascii="Times New Roman" w:hAnsi="Times New Roman" w:eastAsia="Times New Roman" w:cs="Times New Roman"/>
          <w:spacing w:val="2"/>
          <w:sz w:val="20"/>
          <w:szCs w:val="20"/>
        </w:rPr>
        <w:t>),</w:t>
      </w:r>
      <w:r>
        <w:rPr>
          <w:rFonts w:ascii="Times New Roman" w:hAnsi="Times New Roman" w:eastAsia="Times New Roman" w:cs="Times New Roman"/>
          <w:spacing w:val="24"/>
          <w:w w:val="101"/>
          <w:sz w:val="20"/>
          <w:szCs w:val="20"/>
        </w:rPr>
        <w:t xml:space="preserve">  </w:t>
      </w:r>
      <w:r>
        <w:rPr>
          <w:rFonts w:ascii="宋体" w:hAnsi="宋体" w:eastAsia="宋体" w:cs="宋体"/>
          <w:spacing w:val="2"/>
          <w:sz w:val="20"/>
          <w:szCs w:val="20"/>
        </w:rPr>
        <w:t>负责全年流感监测，评估大流行性流感的风险并协助采取防范措施。截至2024年</w:t>
      </w:r>
      <w:r>
        <w:rPr>
          <w:rFonts w:ascii="宋体" w:hAnsi="宋体" w:eastAsia="宋体" w:cs="宋体"/>
          <w:sz w:val="20"/>
          <w:szCs w:val="20"/>
        </w:rPr>
        <w:t xml:space="preserve"> </w:t>
      </w:r>
      <w:r>
        <w:rPr>
          <w:rFonts w:ascii="宋体" w:hAnsi="宋体" w:eastAsia="宋体" w:cs="宋体"/>
          <w:spacing w:val="6"/>
          <w:sz w:val="20"/>
          <w:szCs w:val="20"/>
        </w:rPr>
        <w:t>7月，该系统包括来自129个</w:t>
      </w:r>
      <w:r>
        <w:rPr>
          <w:rFonts w:ascii="宋体" w:hAnsi="宋体" w:eastAsia="宋体" w:cs="宋体"/>
          <w:sz w:val="20"/>
          <w:szCs w:val="20"/>
        </w:rPr>
        <w:t>WHO</w:t>
      </w:r>
      <w:r>
        <w:rPr>
          <w:rFonts w:ascii="宋体" w:hAnsi="宋体" w:eastAsia="宋体" w:cs="宋体"/>
          <w:spacing w:val="9"/>
          <w:sz w:val="20"/>
          <w:szCs w:val="20"/>
        </w:rPr>
        <w:t xml:space="preserve">  </w:t>
      </w:r>
      <w:r>
        <w:rPr>
          <w:rFonts w:ascii="宋体" w:hAnsi="宋体" w:eastAsia="宋体" w:cs="宋体"/>
          <w:spacing w:val="6"/>
          <w:sz w:val="20"/>
          <w:szCs w:val="20"/>
        </w:rPr>
        <w:t>成员国的152个国家流感中心，7个</w:t>
      </w:r>
      <w:r>
        <w:rPr>
          <w:rFonts w:ascii="宋体" w:hAnsi="宋体" w:eastAsia="宋体" w:cs="宋体"/>
          <w:sz w:val="20"/>
          <w:szCs w:val="20"/>
        </w:rPr>
        <w:t>WHO</w:t>
      </w:r>
      <w:r>
        <w:rPr>
          <w:rFonts w:ascii="宋体" w:hAnsi="宋体" w:eastAsia="宋体" w:cs="宋体"/>
          <w:spacing w:val="92"/>
          <w:sz w:val="20"/>
          <w:szCs w:val="20"/>
        </w:rPr>
        <w:t xml:space="preserve"> </w:t>
      </w:r>
      <w:r>
        <w:rPr>
          <w:rFonts w:ascii="宋体" w:hAnsi="宋体" w:eastAsia="宋体" w:cs="宋体"/>
          <w:spacing w:val="6"/>
          <w:sz w:val="20"/>
          <w:szCs w:val="20"/>
        </w:rPr>
        <w:t>流感研究和参比合作</w:t>
      </w:r>
      <w:r>
        <w:rPr>
          <w:rFonts w:ascii="宋体" w:hAnsi="宋体" w:eastAsia="宋体" w:cs="宋体"/>
          <w:sz w:val="20"/>
          <w:szCs w:val="20"/>
        </w:rPr>
        <w:t xml:space="preserve"> </w:t>
      </w:r>
      <w:r>
        <w:rPr>
          <w:rFonts w:ascii="宋体" w:hAnsi="宋体" w:eastAsia="宋体" w:cs="宋体"/>
          <w:spacing w:val="1"/>
          <w:sz w:val="20"/>
          <w:szCs w:val="20"/>
        </w:rPr>
        <w:t>中</w:t>
      </w:r>
      <w:r>
        <w:rPr>
          <w:rFonts w:ascii="宋体" w:hAnsi="宋体" w:eastAsia="宋体" w:cs="宋体"/>
          <w:spacing w:val="-19"/>
          <w:sz w:val="20"/>
          <w:szCs w:val="20"/>
        </w:rPr>
        <w:t xml:space="preserve"> </w:t>
      </w:r>
      <w:r>
        <w:rPr>
          <w:rFonts w:ascii="宋体" w:hAnsi="宋体" w:eastAsia="宋体" w:cs="宋体"/>
          <w:spacing w:val="1"/>
          <w:sz w:val="20"/>
          <w:szCs w:val="20"/>
        </w:rPr>
        <w:t>心</w:t>
      </w:r>
      <w:r>
        <w:rPr>
          <w:rFonts w:ascii="Times New Roman" w:hAnsi="Times New Roman" w:eastAsia="Times New Roman" w:cs="Times New Roman"/>
          <w:spacing w:val="1"/>
          <w:sz w:val="20"/>
          <w:szCs w:val="20"/>
        </w:rPr>
        <w:t>(</w:t>
      </w:r>
      <w:r>
        <w:rPr>
          <w:rFonts w:ascii="Times New Roman" w:hAnsi="Times New Roman" w:eastAsia="Times New Roman" w:cs="Times New Roman"/>
          <w:sz w:val="20"/>
          <w:szCs w:val="20"/>
        </w:rPr>
        <w:t>WHO</w:t>
      </w:r>
      <w:r>
        <w:rPr>
          <w:rFonts w:ascii="Times New Roman" w:hAnsi="Times New Roman" w:eastAsia="Times New Roman" w:cs="Times New Roman"/>
          <w:spacing w:val="1"/>
          <w:sz w:val="20"/>
          <w:szCs w:val="20"/>
        </w:rPr>
        <w:t xml:space="preserve">    </w:t>
      </w:r>
      <w:r>
        <w:rPr>
          <w:rFonts w:ascii="Times New Roman" w:hAnsi="Times New Roman" w:eastAsia="Times New Roman" w:cs="Times New Roman"/>
          <w:sz w:val="20"/>
          <w:szCs w:val="20"/>
        </w:rPr>
        <w:t>CC</w:t>
      </w:r>
      <w:r>
        <w:rPr>
          <w:rFonts w:ascii="Times New Roman" w:hAnsi="Times New Roman" w:eastAsia="Times New Roman" w:cs="Times New Roman"/>
          <w:spacing w:val="1"/>
          <w:sz w:val="20"/>
          <w:szCs w:val="20"/>
        </w:rPr>
        <w:t>),12</w:t>
      </w:r>
      <w:r>
        <w:rPr>
          <w:rFonts w:ascii="宋体" w:hAnsi="宋体" w:eastAsia="宋体" w:cs="宋体"/>
          <w:spacing w:val="1"/>
          <w:sz w:val="20"/>
          <w:szCs w:val="20"/>
        </w:rPr>
        <w:t>个</w:t>
      </w:r>
      <w:r>
        <w:rPr>
          <w:rFonts w:ascii="宋体" w:hAnsi="宋体" w:eastAsia="宋体" w:cs="宋体"/>
          <w:spacing w:val="-42"/>
          <w:sz w:val="20"/>
          <w:szCs w:val="20"/>
        </w:rPr>
        <w:t xml:space="preserve"> </w:t>
      </w:r>
      <w:r>
        <w:rPr>
          <w:rFonts w:ascii="Times New Roman" w:hAnsi="Times New Roman" w:eastAsia="Times New Roman" w:cs="Times New Roman"/>
          <w:sz w:val="20"/>
          <w:szCs w:val="20"/>
        </w:rPr>
        <w:t>WHO</w:t>
      </w:r>
      <w:r>
        <w:rPr>
          <w:rFonts w:ascii="Times New Roman" w:hAnsi="Times New Roman" w:eastAsia="Times New Roman" w:cs="Times New Roman"/>
          <w:spacing w:val="1"/>
          <w:sz w:val="20"/>
          <w:szCs w:val="20"/>
        </w:rPr>
        <w:t xml:space="preserve"> </w:t>
      </w:r>
      <w:r>
        <w:rPr>
          <w:rFonts w:ascii="Times New Roman" w:hAnsi="Times New Roman" w:eastAsia="Times New Roman" w:cs="Times New Roman"/>
          <w:sz w:val="20"/>
          <w:szCs w:val="20"/>
        </w:rPr>
        <w:t>H</w:t>
      </w:r>
      <w:r>
        <w:rPr>
          <w:rFonts w:ascii="Times New Roman" w:hAnsi="Times New Roman" w:eastAsia="Times New Roman" w:cs="Times New Roman"/>
          <w:spacing w:val="1"/>
          <w:sz w:val="20"/>
          <w:szCs w:val="20"/>
        </w:rPr>
        <w:t>5</w:t>
      </w:r>
      <w:r>
        <w:rPr>
          <w:rFonts w:ascii="宋体" w:hAnsi="宋体" w:eastAsia="宋体" w:cs="宋体"/>
          <w:spacing w:val="1"/>
          <w:sz w:val="20"/>
          <w:szCs w:val="20"/>
        </w:rPr>
        <w:t>参考实验室，以及4个</w:t>
      </w:r>
      <w:r>
        <w:rPr>
          <w:rFonts w:ascii="Times New Roman" w:hAnsi="Times New Roman" w:eastAsia="Times New Roman" w:cs="Times New Roman"/>
          <w:sz w:val="20"/>
          <w:szCs w:val="20"/>
        </w:rPr>
        <w:t>WHO</w:t>
      </w:r>
      <w:r>
        <w:rPr>
          <w:rFonts w:ascii="宋体" w:hAnsi="宋体" w:eastAsia="宋体" w:cs="宋体"/>
          <w:spacing w:val="1"/>
          <w:sz w:val="20"/>
          <w:szCs w:val="20"/>
        </w:rPr>
        <w:t>基本监管中心实验室。1957年我国成</w:t>
      </w:r>
      <w:r>
        <w:rPr>
          <w:rFonts w:ascii="宋体" w:hAnsi="宋体" w:eastAsia="宋体" w:cs="宋体"/>
          <w:sz w:val="20"/>
          <w:szCs w:val="20"/>
        </w:rPr>
        <w:t xml:space="preserve"> </w:t>
      </w:r>
      <w:r>
        <w:rPr>
          <w:rFonts w:ascii="宋体" w:hAnsi="宋体" w:eastAsia="宋体" w:cs="宋体"/>
          <w:spacing w:val="5"/>
          <w:sz w:val="20"/>
          <w:szCs w:val="20"/>
        </w:rPr>
        <w:t>立了国家流感中心</w:t>
      </w:r>
      <w:r>
        <w:rPr>
          <w:rFonts w:ascii="Times New Roman" w:hAnsi="Times New Roman" w:eastAsia="Times New Roman" w:cs="Times New Roman"/>
          <w:spacing w:val="5"/>
          <w:sz w:val="20"/>
          <w:szCs w:val="20"/>
        </w:rPr>
        <w:t>(</w:t>
      </w:r>
      <w:r>
        <w:rPr>
          <w:rFonts w:ascii="Times New Roman" w:hAnsi="Times New Roman" w:eastAsia="Times New Roman" w:cs="Times New Roman"/>
          <w:sz w:val="20"/>
          <w:szCs w:val="20"/>
        </w:rPr>
        <w:t>CNIC</w:t>
      </w:r>
      <w:r>
        <w:rPr>
          <w:rFonts w:ascii="Times New Roman" w:hAnsi="Times New Roman" w:eastAsia="Times New Roman" w:cs="Times New Roman"/>
          <w:spacing w:val="5"/>
          <w:sz w:val="20"/>
          <w:szCs w:val="20"/>
        </w:rPr>
        <w:t xml:space="preserve">),  </w:t>
      </w:r>
      <w:r>
        <w:rPr>
          <w:rFonts w:ascii="宋体" w:hAnsi="宋体" w:eastAsia="宋体" w:cs="宋体"/>
          <w:spacing w:val="5"/>
          <w:sz w:val="20"/>
          <w:szCs w:val="20"/>
        </w:rPr>
        <w:t>开始在全国范围内开展流感监测和防制指导工作。1981年</w:t>
      </w:r>
      <w:r>
        <w:rPr>
          <w:rFonts w:ascii="Times New Roman" w:hAnsi="Times New Roman" w:eastAsia="Times New Roman" w:cs="Times New Roman"/>
          <w:sz w:val="20"/>
          <w:szCs w:val="20"/>
        </w:rPr>
        <w:t>CNIC</w:t>
      </w:r>
      <w:r>
        <w:rPr>
          <w:rFonts w:ascii="宋体" w:hAnsi="宋体" w:eastAsia="宋体" w:cs="宋体"/>
          <w:spacing w:val="5"/>
          <w:sz w:val="20"/>
          <w:szCs w:val="20"/>
        </w:rPr>
        <w:t>加入</w:t>
      </w:r>
      <w:r>
        <w:rPr>
          <w:rFonts w:ascii="宋体" w:hAnsi="宋体" w:eastAsia="宋体" w:cs="宋体"/>
          <w:spacing w:val="8"/>
          <w:sz w:val="20"/>
          <w:szCs w:val="20"/>
        </w:rPr>
        <w:t xml:space="preserve"> </w:t>
      </w:r>
      <w:r>
        <w:rPr>
          <w:rFonts w:ascii="Times New Roman" w:hAnsi="Times New Roman" w:eastAsia="Times New Roman" w:cs="Times New Roman"/>
          <w:sz w:val="20"/>
          <w:szCs w:val="20"/>
        </w:rPr>
        <w:t>WHO</w:t>
      </w:r>
      <w:r>
        <w:rPr>
          <w:rFonts w:ascii="宋体" w:hAnsi="宋体" w:eastAsia="宋体" w:cs="宋体"/>
          <w:sz w:val="20"/>
          <w:szCs w:val="20"/>
        </w:rPr>
        <w:t>全球流感监测网络，2011年成为</w:t>
      </w:r>
      <w:r>
        <w:rPr>
          <w:rFonts w:ascii="Times New Roman" w:hAnsi="Times New Roman" w:eastAsia="Times New Roman" w:cs="Times New Roman"/>
          <w:sz w:val="20"/>
          <w:szCs w:val="20"/>
        </w:rPr>
        <w:t>WHO</w:t>
      </w:r>
      <w:r>
        <w:rPr>
          <w:rFonts w:ascii="宋体" w:hAnsi="宋体" w:eastAsia="宋体" w:cs="宋体"/>
          <w:sz w:val="20"/>
          <w:szCs w:val="20"/>
        </w:rPr>
        <w:t>任命的全球第5家、也是发展中国家首家流感研究和参</w:t>
      </w:r>
      <w:r>
        <w:rPr>
          <w:rFonts w:ascii="宋体" w:hAnsi="宋体" w:eastAsia="宋体" w:cs="宋体"/>
          <w:spacing w:val="16"/>
          <w:sz w:val="20"/>
          <w:szCs w:val="20"/>
        </w:rPr>
        <w:t xml:space="preserve"> </w:t>
      </w:r>
      <w:r>
        <w:rPr>
          <w:rFonts w:ascii="宋体" w:hAnsi="宋体" w:eastAsia="宋体" w:cs="宋体"/>
          <w:spacing w:val="1"/>
          <w:sz w:val="20"/>
          <w:szCs w:val="20"/>
        </w:rPr>
        <w:t>比合作中心。</w:t>
      </w:r>
    </w:p>
    <w:p w14:paraId="322579C8">
      <w:pPr>
        <w:pStyle w:val="2"/>
        <w:spacing w:before="12" w:line="222" w:lineRule="auto"/>
        <w:ind w:left="402"/>
        <w:rPr>
          <w:sz w:val="20"/>
          <w:szCs w:val="20"/>
        </w:rPr>
      </w:pPr>
      <w:r>
        <w:rPr>
          <w:b/>
          <w:bCs/>
          <w:spacing w:val="11"/>
          <w:sz w:val="20"/>
          <w:szCs w:val="20"/>
        </w:rPr>
        <w:t>(</w:t>
      </w:r>
      <w:r>
        <w:rPr>
          <w:spacing w:val="-51"/>
          <w:sz w:val="20"/>
          <w:szCs w:val="20"/>
        </w:rPr>
        <w:t xml:space="preserve"> </w:t>
      </w:r>
      <w:r>
        <w:rPr>
          <w:b/>
          <w:bCs/>
          <w:spacing w:val="11"/>
          <w:sz w:val="20"/>
          <w:szCs w:val="20"/>
        </w:rPr>
        <w:t>一</w:t>
      </w:r>
      <w:r>
        <w:rPr>
          <w:spacing w:val="-58"/>
          <w:sz w:val="20"/>
          <w:szCs w:val="20"/>
        </w:rPr>
        <w:t xml:space="preserve"> </w:t>
      </w:r>
      <w:r>
        <w:rPr>
          <w:b/>
          <w:bCs/>
          <w:spacing w:val="11"/>
          <w:sz w:val="20"/>
          <w:szCs w:val="20"/>
        </w:rPr>
        <w:t>)监测内容</w:t>
      </w:r>
    </w:p>
    <w:p w14:paraId="03ED27F7">
      <w:pPr>
        <w:pStyle w:val="2"/>
        <w:spacing w:before="117" w:line="318" w:lineRule="auto"/>
        <w:ind w:right="594" w:firstLine="402"/>
        <w:rPr>
          <w:rFonts w:ascii="宋体" w:hAnsi="宋体" w:eastAsia="宋体" w:cs="宋体"/>
          <w:sz w:val="20"/>
          <w:szCs w:val="20"/>
        </w:rPr>
      </w:pPr>
      <w:r>
        <w:rPr>
          <w:rFonts w:ascii="宋体" w:hAnsi="宋体" w:eastAsia="宋体" w:cs="宋体"/>
          <w:b/>
          <w:bCs/>
          <w:spacing w:val="-1"/>
          <w:sz w:val="20"/>
          <w:szCs w:val="20"/>
        </w:rPr>
        <w:t>1.</w:t>
      </w:r>
      <w:r>
        <w:rPr>
          <w:rFonts w:ascii="宋体" w:hAnsi="宋体" w:eastAsia="宋体" w:cs="宋体"/>
          <w:spacing w:val="-1"/>
          <w:sz w:val="20"/>
          <w:szCs w:val="20"/>
        </w:rPr>
        <w:t xml:space="preserve"> </w:t>
      </w:r>
      <w:r>
        <w:rPr>
          <w:b/>
          <w:bCs/>
          <w:spacing w:val="-1"/>
          <w:sz w:val="20"/>
          <w:szCs w:val="20"/>
        </w:rPr>
        <w:t>流行病学监测</w:t>
      </w:r>
      <w:r>
        <w:rPr>
          <w:spacing w:val="97"/>
          <w:sz w:val="20"/>
          <w:szCs w:val="20"/>
        </w:rPr>
        <w:t xml:space="preserve"> </w:t>
      </w:r>
      <w:r>
        <w:rPr>
          <w:rFonts w:ascii="宋体" w:hAnsi="宋体" w:eastAsia="宋体" w:cs="宋体"/>
          <w:spacing w:val="-1"/>
          <w:sz w:val="20"/>
          <w:szCs w:val="20"/>
        </w:rPr>
        <w:t>包括门急诊流感样病例哨点监测和流感暴</w:t>
      </w:r>
      <w:r>
        <w:rPr>
          <w:rFonts w:ascii="宋体" w:hAnsi="宋体" w:eastAsia="宋体" w:cs="宋体"/>
          <w:spacing w:val="-2"/>
          <w:sz w:val="20"/>
          <w:szCs w:val="20"/>
        </w:rPr>
        <w:t>发疫情监测。前者主要通过长期</w:t>
      </w:r>
      <w:r>
        <w:rPr>
          <w:rFonts w:ascii="宋体" w:hAnsi="宋体" w:eastAsia="宋体" w:cs="宋体"/>
          <w:sz w:val="20"/>
          <w:szCs w:val="20"/>
        </w:rPr>
        <w:t xml:space="preserve"> </w:t>
      </w:r>
      <w:r>
        <w:rPr>
          <w:rFonts w:ascii="宋体" w:hAnsi="宋体" w:eastAsia="宋体" w:cs="宋体"/>
          <w:spacing w:val="-3"/>
          <w:sz w:val="20"/>
          <w:szCs w:val="20"/>
        </w:rPr>
        <w:t>连续地监测门诊、急诊就诊的流感样病例数及占哨点医院就诊总人</w:t>
      </w:r>
      <w:r>
        <w:rPr>
          <w:rFonts w:ascii="宋体" w:hAnsi="宋体" w:eastAsia="宋体" w:cs="宋体"/>
          <w:spacing w:val="-4"/>
          <w:sz w:val="20"/>
          <w:szCs w:val="20"/>
        </w:rPr>
        <w:t>数百分比的动态变化，并综合流</w:t>
      </w:r>
      <w:r>
        <w:rPr>
          <w:rFonts w:ascii="宋体" w:hAnsi="宋体" w:eastAsia="宋体" w:cs="宋体"/>
          <w:sz w:val="20"/>
          <w:szCs w:val="20"/>
        </w:rPr>
        <w:t xml:space="preserve"> </w:t>
      </w:r>
      <w:r>
        <w:rPr>
          <w:rFonts w:ascii="宋体" w:hAnsi="宋体" w:eastAsia="宋体" w:cs="宋体"/>
          <w:spacing w:val="2"/>
          <w:sz w:val="20"/>
          <w:szCs w:val="20"/>
        </w:rPr>
        <w:t>感病毒实验室检测和分离情况，分析判断流感活动状况和流行趋势。后者是指</w:t>
      </w:r>
      <w:r>
        <w:rPr>
          <w:rFonts w:ascii="宋体" w:hAnsi="宋体" w:eastAsia="宋体" w:cs="宋体"/>
          <w:spacing w:val="1"/>
          <w:sz w:val="20"/>
          <w:szCs w:val="20"/>
        </w:rPr>
        <w:t>对一个地区或单位</w:t>
      </w:r>
      <w:r>
        <w:rPr>
          <w:rFonts w:ascii="宋体" w:hAnsi="宋体" w:eastAsia="宋体" w:cs="宋体"/>
          <w:sz w:val="20"/>
          <w:szCs w:val="20"/>
        </w:rPr>
        <w:t xml:space="preserve"> </w:t>
      </w:r>
      <w:r>
        <w:rPr>
          <w:rFonts w:ascii="宋体" w:hAnsi="宋体" w:eastAsia="宋体" w:cs="宋体"/>
          <w:spacing w:val="1"/>
          <w:sz w:val="20"/>
          <w:szCs w:val="20"/>
        </w:rPr>
        <w:t>短时间出现异常增多的流感样病例，应将其作为疑似流感暴发疫情报告并进行流行病学调查和采</w:t>
      </w:r>
      <w:r>
        <w:rPr>
          <w:rFonts w:ascii="宋体" w:hAnsi="宋体" w:eastAsia="宋体" w:cs="宋体"/>
          <w:spacing w:val="15"/>
          <w:sz w:val="20"/>
          <w:szCs w:val="20"/>
        </w:rPr>
        <w:t xml:space="preserve"> </w:t>
      </w:r>
      <w:r>
        <w:rPr>
          <w:rFonts w:ascii="宋体" w:hAnsi="宋体" w:eastAsia="宋体" w:cs="宋体"/>
          <w:spacing w:val="-6"/>
          <w:sz w:val="20"/>
          <w:szCs w:val="20"/>
        </w:rPr>
        <w:t>样、检测。</w:t>
      </w:r>
    </w:p>
    <w:p w14:paraId="664B358A">
      <w:pPr>
        <w:pStyle w:val="2"/>
        <w:spacing w:before="118" w:line="221" w:lineRule="auto"/>
        <w:ind w:left="402"/>
        <w:rPr>
          <w:rFonts w:ascii="宋体" w:hAnsi="宋体" w:eastAsia="宋体" w:cs="宋体"/>
          <w:sz w:val="20"/>
          <w:szCs w:val="20"/>
        </w:rPr>
      </w:pPr>
      <w:r>
        <w:rPr>
          <w:rFonts w:ascii="宋体" w:hAnsi="宋体" w:eastAsia="宋体" w:cs="宋体"/>
          <w:b/>
          <w:bCs/>
          <w:spacing w:val="-6"/>
          <w:sz w:val="20"/>
          <w:szCs w:val="20"/>
        </w:rPr>
        <w:t>2.</w:t>
      </w:r>
      <w:r>
        <w:rPr>
          <w:rFonts w:ascii="宋体" w:hAnsi="宋体" w:eastAsia="宋体" w:cs="宋体"/>
          <w:spacing w:val="-6"/>
          <w:sz w:val="20"/>
          <w:szCs w:val="20"/>
        </w:rPr>
        <w:t xml:space="preserve"> </w:t>
      </w:r>
      <w:r>
        <w:rPr>
          <w:b/>
          <w:bCs/>
          <w:spacing w:val="-6"/>
          <w:sz w:val="20"/>
          <w:szCs w:val="20"/>
        </w:rPr>
        <w:t>病原学监测</w:t>
      </w:r>
      <w:r>
        <w:rPr>
          <w:spacing w:val="-6"/>
          <w:sz w:val="20"/>
          <w:szCs w:val="20"/>
        </w:rPr>
        <w:t xml:space="preserve">  </w:t>
      </w:r>
      <w:r>
        <w:rPr>
          <w:rFonts w:ascii="宋体" w:hAnsi="宋体" w:eastAsia="宋体" w:cs="宋体"/>
          <w:spacing w:val="-6"/>
          <w:sz w:val="20"/>
          <w:szCs w:val="20"/>
        </w:rPr>
        <w:t>目前病原学监测除病毒培养、分离、鉴定等常规方法外，以病毒核酸检测和基</w:t>
      </w:r>
    </w:p>
    <w:p w14:paraId="5897A215">
      <w:pPr>
        <w:spacing w:line="221" w:lineRule="auto"/>
        <w:rPr>
          <w:rFonts w:ascii="宋体" w:hAnsi="宋体" w:eastAsia="宋体" w:cs="宋体"/>
          <w:sz w:val="20"/>
          <w:szCs w:val="20"/>
        </w:rPr>
        <w:sectPr>
          <w:footerReference r:id="rId376" w:type="default"/>
          <w:pgSz w:w="11900" w:h="16820"/>
          <w:pgMar w:top="400" w:right="1118" w:bottom="869" w:left="1710" w:header="0" w:footer="689" w:gutter="0"/>
          <w:cols w:space="720" w:num="1"/>
        </w:sectPr>
      </w:pPr>
    </w:p>
    <w:p w14:paraId="2A5129F1">
      <w:pPr>
        <w:spacing w:line="263" w:lineRule="auto"/>
        <w:rPr>
          <w:rFonts w:ascii="Arial"/>
          <w:sz w:val="21"/>
        </w:rPr>
      </w:pPr>
    </w:p>
    <w:p w14:paraId="72494F00">
      <w:pPr>
        <w:pStyle w:val="2"/>
        <w:spacing w:before="69" w:line="221" w:lineRule="auto"/>
        <w:ind w:left="682"/>
        <w:rPr>
          <w:sz w:val="21"/>
          <w:szCs w:val="21"/>
        </w:rPr>
      </w:pPr>
      <w:r>
        <w:rPr>
          <w:b/>
          <w:bCs/>
          <w:spacing w:val="-21"/>
          <w:sz w:val="21"/>
          <w:szCs w:val="21"/>
        </w:rPr>
        <w:t>第二十三章流行性感冒</w:t>
      </w:r>
    </w:p>
    <w:p w14:paraId="35A8984F">
      <w:pPr>
        <w:spacing w:line="271" w:lineRule="auto"/>
        <w:rPr>
          <w:rFonts w:ascii="Arial"/>
          <w:sz w:val="21"/>
        </w:rPr>
      </w:pPr>
    </w:p>
    <w:p w14:paraId="202F763F">
      <w:pPr>
        <w:spacing w:line="271" w:lineRule="auto"/>
        <w:rPr>
          <w:rFonts w:ascii="Arial"/>
          <w:sz w:val="21"/>
        </w:rPr>
      </w:pPr>
    </w:p>
    <w:p w14:paraId="7811F00A">
      <w:pPr>
        <w:spacing w:before="68" w:line="306" w:lineRule="auto"/>
        <w:ind w:left="680" w:right="116"/>
        <w:rPr>
          <w:rFonts w:ascii="宋体" w:hAnsi="宋体" w:eastAsia="宋体" w:cs="宋体"/>
          <w:sz w:val="21"/>
          <w:szCs w:val="21"/>
        </w:rPr>
      </w:pPr>
      <w:r>
        <w:rPr>
          <w:rFonts w:ascii="宋体" w:hAnsi="宋体" w:eastAsia="宋体" w:cs="宋体"/>
          <w:spacing w:val="4"/>
          <w:sz w:val="21"/>
          <w:szCs w:val="21"/>
        </w:rPr>
        <w:t>因测序为主的分子生物学方法对监测流感病毒的变</w:t>
      </w:r>
      <w:r>
        <w:rPr>
          <w:rFonts w:ascii="宋体" w:hAnsi="宋体" w:eastAsia="宋体" w:cs="宋体"/>
          <w:spacing w:val="3"/>
          <w:sz w:val="21"/>
          <w:szCs w:val="21"/>
        </w:rPr>
        <w:t>异及其起源分析有着重要作用。发现新型毒株</w:t>
      </w:r>
      <w:r>
        <w:rPr>
          <w:rFonts w:ascii="宋体" w:hAnsi="宋体" w:eastAsia="宋体" w:cs="宋体"/>
          <w:sz w:val="21"/>
          <w:szCs w:val="21"/>
        </w:rPr>
        <w:t xml:space="preserve"> </w:t>
      </w:r>
      <w:r>
        <w:rPr>
          <w:rFonts w:ascii="宋体" w:hAnsi="宋体" w:eastAsia="宋体" w:cs="宋体"/>
          <w:spacing w:val="-1"/>
          <w:sz w:val="21"/>
          <w:szCs w:val="21"/>
        </w:rPr>
        <w:t>或异常毒株时，还应收集病人和密切接触者</w:t>
      </w:r>
      <w:r>
        <w:rPr>
          <w:rFonts w:ascii="宋体" w:hAnsi="宋体" w:eastAsia="宋体" w:cs="宋体"/>
          <w:spacing w:val="-2"/>
          <w:sz w:val="21"/>
          <w:szCs w:val="21"/>
        </w:rPr>
        <w:t>的血清进行血清学检测。</w:t>
      </w:r>
    </w:p>
    <w:p w14:paraId="44D39BD1">
      <w:pPr>
        <w:pStyle w:val="2"/>
        <w:spacing w:line="221" w:lineRule="auto"/>
        <w:ind w:left="1113"/>
        <w:rPr>
          <w:sz w:val="24"/>
          <w:szCs w:val="24"/>
        </w:rPr>
      </w:pPr>
      <w:r>
        <w:rPr>
          <w:b/>
          <w:bCs/>
          <w:spacing w:val="-6"/>
          <w:sz w:val="24"/>
          <w:szCs w:val="24"/>
        </w:rPr>
        <w:t>(二)监测的注意事项</w:t>
      </w:r>
    </w:p>
    <w:p w14:paraId="5B586C88">
      <w:pPr>
        <w:pStyle w:val="2"/>
        <w:spacing w:before="100" w:line="286" w:lineRule="auto"/>
        <w:ind w:left="680" w:right="93" w:firstLine="432"/>
        <w:rPr>
          <w:rFonts w:ascii="宋体" w:hAnsi="宋体" w:eastAsia="宋体" w:cs="宋体"/>
          <w:sz w:val="21"/>
          <w:szCs w:val="21"/>
        </w:rPr>
      </w:pPr>
      <w:r>
        <w:rPr>
          <w:rFonts w:ascii="宋体" w:hAnsi="宋体" w:eastAsia="宋体" w:cs="宋体"/>
          <w:b/>
          <w:bCs/>
          <w:spacing w:val="-4"/>
          <w:sz w:val="21"/>
          <w:szCs w:val="21"/>
        </w:rPr>
        <w:t>1.</w:t>
      </w:r>
      <w:r>
        <w:rPr>
          <w:rFonts w:ascii="宋体" w:hAnsi="宋体" w:eastAsia="宋体" w:cs="宋体"/>
          <w:spacing w:val="-4"/>
          <w:sz w:val="21"/>
          <w:szCs w:val="21"/>
        </w:rPr>
        <w:t xml:space="preserve"> </w:t>
      </w:r>
      <w:r>
        <w:rPr>
          <w:b/>
          <w:bCs/>
          <w:spacing w:val="-4"/>
          <w:sz w:val="21"/>
          <w:szCs w:val="21"/>
        </w:rPr>
        <w:t>注意研究样本</w:t>
      </w:r>
      <w:r>
        <w:rPr>
          <w:spacing w:val="97"/>
          <w:sz w:val="21"/>
          <w:szCs w:val="21"/>
        </w:rPr>
        <w:t xml:space="preserve"> </w:t>
      </w:r>
      <w:r>
        <w:rPr>
          <w:rFonts w:ascii="宋体" w:hAnsi="宋体" w:eastAsia="宋体" w:cs="宋体"/>
          <w:spacing w:val="-4"/>
          <w:sz w:val="21"/>
          <w:szCs w:val="21"/>
        </w:rPr>
        <w:t>由于流感在不同时间和地区并非均匀发生，其流</w:t>
      </w:r>
      <w:r>
        <w:rPr>
          <w:rFonts w:ascii="宋体" w:hAnsi="宋体" w:eastAsia="宋体" w:cs="宋体"/>
          <w:spacing w:val="-5"/>
          <w:sz w:val="21"/>
          <w:szCs w:val="21"/>
        </w:rPr>
        <w:t>行强度差异较大，因此，当</w:t>
      </w:r>
      <w:r>
        <w:rPr>
          <w:rFonts w:ascii="宋体" w:hAnsi="宋体" w:eastAsia="宋体" w:cs="宋体"/>
          <w:sz w:val="21"/>
          <w:szCs w:val="21"/>
        </w:rPr>
        <w:t xml:space="preserve"> </w:t>
      </w:r>
      <w:r>
        <w:rPr>
          <w:rFonts w:ascii="宋体" w:hAnsi="宋体" w:eastAsia="宋体" w:cs="宋体"/>
          <w:spacing w:val="-1"/>
          <w:sz w:val="21"/>
          <w:szCs w:val="21"/>
        </w:rPr>
        <w:t>对从不同地区不同研究样本得来的资料进行综合分析时应特别注意，差异较大时应分别描述，研究</w:t>
      </w:r>
      <w:r>
        <w:rPr>
          <w:rFonts w:ascii="宋体" w:hAnsi="宋体" w:eastAsia="宋体" w:cs="宋体"/>
          <w:spacing w:val="3"/>
          <w:sz w:val="21"/>
          <w:szCs w:val="21"/>
        </w:rPr>
        <w:t xml:space="preserve"> </w:t>
      </w:r>
      <w:r>
        <w:rPr>
          <w:rFonts w:ascii="宋体" w:hAnsi="宋体" w:eastAsia="宋体" w:cs="宋体"/>
          <w:sz w:val="21"/>
          <w:szCs w:val="21"/>
        </w:rPr>
        <w:t>单位宜小不宜大。</w:t>
      </w:r>
    </w:p>
    <w:p w14:paraId="2BA4E44E">
      <w:pPr>
        <w:pStyle w:val="2"/>
        <w:spacing w:before="126" w:line="299" w:lineRule="auto"/>
        <w:ind w:left="680" w:right="79" w:firstLine="432"/>
        <w:rPr>
          <w:rFonts w:ascii="宋体" w:hAnsi="宋体" w:eastAsia="宋体" w:cs="宋体"/>
          <w:sz w:val="21"/>
          <w:szCs w:val="21"/>
        </w:rPr>
      </w:pPr>
      <w:r>
        <w:rPr>
          <w:rFonts w:ascii="宋体" w:hAnsi="宋体" w:eastAsia="宋体" w:cs="宋体"/>
          <w:b/>
          <w:bCs/>
          <w:spacing w:val="2"/>
          <w:sz w:val="21"/>
          <w:szCs w:val="21"/>
        </w:rPr>
        <w:t>2.</w:t>
      </w:r>
      <w:r>
        <w:rPr>
          <w:rFonts w:ascii="宋体" w:hAnsi="宋体" w:eastAsia="宋体" w:cs="宋体"/>
          <w:spacing w:val="2"/>
          <w:sz w:val="21"/>
          <w:szCs w:val="21"/>
        </w:rPr>
        <w:t xml:space="preserve"> </w:t>
      </w:r>
      <w:r>
        <w:rPr>
          <w:b/>
          <w:bCs/>
          <w:spacing w:val="2"/>
          <w:sz w:val="21"/>
          <w:szCs w:val="21"/>
        </w:rPr>
        <w:t>临床病例的确诊</w:t>
      </w:r>
      <w:r>
        <w:rPr>
          <w:spacing w:val="69"/>
          <w:sz w:val="21"/>
          <w:szCs w:val="21"/>
        </w:rPr>
        <w:t xml:space="preserve"> </w:t>
      </w:r>
      <w:r>
        <w:rPr>
          <w:rFonts w:ascii="宋体" w:hAnsi="宋体" w:eastAsia="宋体" w:cs="宋体"/>
          <w:spacing w:val="2"/>
          <w:sz w:val="21"/>
          <w:szCs w:val="21"/>
        </w:rPr>
        <w:t>流感监测主要是针对流感样病例进行</w:t>
      </w:r>
      <w:r>
        <w:rPr>
          <w:rFonts w:ascii="宋体" w:hAnsi="宋体" w:eastAsia="宋体" w:cs="宋体"/>
          <w:spacing w:val="1"/>
          <w:sz w:val="21"/>
          <w:szCs w:val="21"/>
        </w:rPr>
        <w:t>的监测，在此基础上进一步进行实</w:t>
      </w:r>
      <w:r>
        <w:rPr>
          <w:rFonts w:ascii="宋体" w:hAnsi="宋体" w:eastAsia="宋体" w:cs="宋体"/>
          <w:sz w:val="21"/>
          <w:szCs w:val="21"/>
        </w:rPr>
        <w:t xml:space="preserve"> </w:t>
      </w:r>
      <w:r>
        <w:rPr>
          <w:rFonts w:ascii="宋体" w:hAnsi="宋体" w:eastAsia="宋体" w:cs="宋体"/>
          <w:spacing w:val="4"/>
          <w:sz w:val="21"/>
          <w:szCs w:val="21"/>
        </w:rPr>
        <w:t>验室的病毒分离分型监测。在流感研究中，首先需确认所发现的急性呼吸道疾病是否由流感病毒</w:t>
      </w:r>
      <w:r>
        <w:rPr>
          <w:rFonts w:ascii="宋体" w:hAnsi="宋体" w:eastAsia="宋体" w:cs="宋体"/>
          <w:spacing w:val="2"/>
          <w:sz w:val="21"/>
          <w:szCs w:val="21"/>
        </w:rPr>
        <w:t xml:space="preserve"> </w:t>
      </w:r>
      <w:r>
        <w:rPr>
          <w:rFonts w:ascii="宋体" w:hAnsi="宋体" w:eastAsia="宋体" w:cs="宋体"/>
          <w:spacing w:val="-1"/>
          <w:sz w:val="21"/>
          <w:szCs w:val="21"/>
        </w:rPr>
        <w:t>引起。由于流感与普通感冒在临床上难以区分，因此，对流感的监测以及对流感流行的判定均须注</w:t>
      </w:r>
      <w:r>
        <w:rPr>
          <w:rFonts w:ascii="宋体" w:hAnsi="宋体" w:eastAsia="宋体" w:cs="宋体"/>
          <w:spacing w:val="18"/>
          <w:sz w:val="21"/>
          <w:szCs w:val="21"/>
        </w:rPr>
        <w:t xml:space="preserve"> </w:t>
      </w:r>
      <w:r>
        <w:rPr>
          <w:rFonts w:ascii="宋体" w:hAnsi="宋体" w:eastAsia="宋体" w:cs="宋体"/>
          <w:sz w:val="21"/>
          <w:szCs w:val="21"/>
        </w:rPr>
        <w:t>意要有明确的病原学检测依据。</w:t>
      </w:r>
    </w:p>
    <w:p w14:paraId="56E2D965">
      <w:pPr>
        <w:pStyle w:val="2"/>
        <w:spacing w:before="318" w:line="221" w:lineRule="auto"/>
        <w:ind w:left="1113"/>
        <w:outlineLvl w:val="4"/>
        <w:rPr>
          <w:sz w:val="24"/>
          <w:szCs w:val="24"/>
        </w:rPr>
      </w:pPr>
      <w:bookmarkStart w:id="603" w:name="bookmark384"/>
      <w:bookmarkEnd w:id="603"/>
      <w:r>
        <w:rPr>
          <w:b/>
          <w:bCs/>
          <w:spacing w:val="2"/>
          <w:sz w:val="24"/>
          <w:szCs w:val="24"/>
        </w:rPr>
        <w:t>三</w:t>
      </w:r>
      <w:r>
        <w:rPr>
          <w:spacing w:val="-40"/>
          <w:sz w:val="24"/>
          <w:szCs w:val="24"/>
        </w:rPr>
        <w:t xml:space="preserve"> </w:t>
      </w:r>
      <w:r>
        <w:rPr>
          <w:b/>
          <w:bCs/>
          <w:spacing w:val="2"/>
          <w:sz w:val="24"/>
          <w:szCs w:val="24"/>
        </w:rPr>
        <w:t>、流感疫苗接种</w:t>
      </w:r>
    </w:p>
    <w:p w14:paraId="783B024D">
      <w:pPr>
        <w:spacing w:before="245" w:line="322" w:lineRule="auto"/>
        <w:ind w:left="680" w:right="93" w:firstLine="429"/>
        <w:jc w:val="both"/>
        <w:rPr>
          <w:rFonts w:ascii="宋体" w:hAnsi="宋体" w:eastAsia="宋体" w:cs="宋体"/>
          <w:sz w:val="21"/>
          <w:szCs w:val="21"/>
        </w:rPr>
      </w:pPr>
      <w:r>
        <w:rPr>
          <w:rFonts w:ascii="宋体" w:hAnsi="宋体" w:eastAsia="宋体" w:cs="宋体"/>
          <w:spacing w:val="4"/>
          <w:sz w:val="21"/>
          <w:szCs w:val="21"/>
        </w:rPr>
        <w:t>流感疫苗接种是降低流感季节性流行和流感大流行疾病负担所必需的公共卫生干预措施</w:t>
      </w:r>
      <w:r>
        <w:rPr>
          <w:rFonts w:ascii="宋体" w:hAnsi="宋体" w:eastAsia="宋体" w:cs="宋体"/>
          <w:spacing w:val="3"/>
          <w:sz w:val="21"/>
          <w:szCs w:val="21"/>
        </w:rPr>
        <w:t>。每</w:t>
      </w:r>
      <w:r>
        <w:rPr>
          <w:rFonts w:ascii="宋体" w:hAnsi="宋体" w:eastAsia="宋体" w:cs="宋体"/>
          <w:sz w:val="21"/>
          <w:szCs w:val="21"/>
        </w:rPr>
        <w:t xml:space="preserve"> </w:t>
      </w:r>
      <w:r>
        <w:rPr>
          <w:rFonts w:ascii="宋体" w:hAnsi="宋体" w:eastAsia="宋体" w:cs="宋体"/>
          <w:spacing w:val="4"/>
          <w:sz w:val="21"/>
          <w:szCs w:val="21"/>
        </w:rPr>
        <w:t>年在流感流行季节之前对易发生并发症的高危人群进行免疫接种是减少流感危害，即预防流感及</w:t>
      </w:r>
      <w:r>
        <w:rPr>
          <w:rFonts w:ascii="宋体" w:hAnsi="宋体" w:eastAsia="宋体" w:cs="宋体"/>
          <w:spacing w:val="2"/>
          <w:sz w:val="21"/>
          <w:szCs w:val="21"/>
        </w:rPr>
        <w:t xml:space="preserve"> </w:t>
      </w:r>
      <w:r>
        <w:rPr>
          <w:rFonts w:ascii="宋体" w:hAnsi="宋体" w:eastAsia="宋体" w:cs="宋体"/>
          <w:spacing w:val="-1"/>
          <w:sz w:val="21"/>
          <w:szCs w:val="21"/>
        </w:rPr>
        <w:t>其严重并发症、减轻流感疾病负担的最有效方法。而由于病毒不断变异，特别是大流行期间往往难</w:t>
      </w:r>
      <w:r>
        <w:rPr>
          <w:rFonts w:ascii="宋体" w:hAnsi="宋体" w:eastAsia="宋体" w:cs="宋体"/>
          <w:sz w:val="21"/>
          <w:szCs w:val="21"/>
        </w:rPr>
        <w:t xml:space="preserve"> </w:t>
      </w:r>
      <w:r>
        <w:rPr>
          <w:rFonts w:ascii="宋体" w:hAnsi="宋体" w:eastAsia="宋体" w:cs="宋体"/>
          <w:spacing w:val="2"/>
          <w:sz w:val="21"/>
          <w:szCs w:val="21"/>
        </w:rPr>
        <w:t>以及时获得流行毒株疫苗，2006年</w:t>
      </w:r>
      <w:r>
        <w:rPr>
          <w:rFonts w:ascii="Times New Roman" w:hAnsi="Times New Roman" w:eastAsia="Times New Roman" w:cs="Times New Roman"/>
          <w:sz w:val="21"/>
          <w:szCs w:val="21"/>
        </w:rPr>
        <w:t>WHO</w:t>
      </w:r>
      <w:r>
        <w:rPr>
          <w:rFonts w:ascii="宋体" w:hAnsi="宋体" w:eastAsia="宋体" w:cs="宋体"/>
          <w:spacing w:val="2"/>
          <w:sz w:val="21"/>
          <w:szCs w:val="21"/>
        </w:rPr>
        <w:t>与流感疫苗及免疫接种领域主要利益攸关方代表合作通过</w:t>
      </w:r>
      <w:r>
        <w:rPr>
          <w:rFonts w:ascii="宋体" w:hAnsi="宋体" w:eastAsia="宋体" w:cs="宋体"/>
          <w:spacing w:val="1"/>
          <w:sz w:val="21"/>
          <w:szCs w:val="21"/>
        </w:rPr>
        <w:t xml:space="preserve"> </w:t>
      </w:r>
      <w:r>
        <w:rPr>
          <w:rFonts w:ascii="宋体" w:hAnsi="宋体" w:eastAsia="宋体" w:cs="宋体"/>
          <w:spacing w:val="-1"/>
          <w:sz w:val="21"/>
          <w:szCs w:val="21"/>
        </w:rPr>
        <w:t>了全球流感疫苗行动计划，旨在缓解季节性流感疫苗和</w:t>
      </w:r>
      <w:r>
        <w:rPr>
          <w:rFonts w:ascii="宋体" w:hAnsi="宋体" w:eastAsia="宋体" w:cs="宋体"/>
          <w:spacing w:val="-2"/>
          <w:sz w:val="21"/>
          <w:szCs w:val="21"/>
        </w:rPr>
        <w:t>大流行时期疫苗的临时短缺情况，以加强全</w:t>
      </w:r>
      <w:r>
        <w:rPr>
          <w:rFonts w:ascii="宋体" w:hAnsi="宋体" w:eastAsia="宋体" w:cs="宋体"/>
          <w:sz w:val="21"/>
          <w:szCs w:val="21"/>
        </w:rPr>
        <w:t xml:space="preserve"> </w:t>
      </w:r>
      <w:r>
        <w:rPr>
          <w:rFonts w:ascii="宋体" w:hAnsi="宋体" w:eastAsia="宋体" w:cs="宋体"/>
          <w:spacing w:val="-1"/>
          <w:sz w:val="21"/>
          <w:szCs w:val="21"/>
        </w:rPr>
        <w:t>球大流行的防范和应对。</w:t>
      </w:r>
    </w:p>
    <w:p w14:paraId="281374EA">
      <w:pPr>
        <w:pStyle w:val="2"/>
        <w:spacing w:before="1" w:line="220" w:lineRule="auto"/>
        <w:ind w:left="1113"/>
        <w:rPr>
          <w:sz w:val="24"/>
          <w:szCs w:val="24"/>
        </w:rPr>
      </w:pPr>
      <w:r>
        <w:rPr>
          <w:b/>
          <w:bCs/>
          <w:spacing w:val="-1"/>
          <w:sz w:val="24"/>
          <w:szCs w:val="24"/>
        </w:rPr>
        <w:t>(一)疫苗种类</w:t>
      </w:r>
    </w:p>
    <w:p w14:paraId="723DF3AF">
      <w:pPr>
        <w:spacing w:before="96" w:line="323" w:lineRule="auto"/>
        <w:ind w:left="680" w:firstLine="429"/>
        <w:jc w:val="both"/>
        <w:rPr>
          <w:rFonts w:ascii="宋体" w:hAnsi="宋体" w:eastAsia="宋体" w:cs="宋体"/>
          <w:sz w:val="21"/>
          <w:szCs w:val="21"/>
        </w:rPr>
      </w:pPr>
      <w:r>
        <w:rPr>
          <w:rFonts w:ascii="宋体" w:hAnsi="宋体" w:eastAsia="宋体" w:cs="宋体"/>
          <w:spacing w:val="6"/>
          <w:sz w:val="21"/>
          <w:szCs w:val="21"/>
        </w:rPr>
        <w:t>全球已上市的流感疫苗分为流感病毒灭活疫苗、流感病毒减毒活疫苗和流感病毒重组疫苗。</w:t>
      </w:r>
      <w:r>
        <w:rPr>
          <w:rFonts w:ascii="宋体" w:hAnsi="宋体" w:eastAsia="宋体" w:cs="宋体"/>
          <w:spacing w:val="14"/>
          <w:sz w:val="21"/>
          <w:szCs w:val="21"/>
        </w:rPr>
        <w:t xml:space="preserve"> </w:t>
      </w:r>
      <w:r>
        <w:rPr>
          <w:rFonts w:ascii="宋体" w:hAnsi="宋体" w:eastAsia="宋体" w:cs="宋体"/>
          <w:spacing w:val="-1"/>
          <w:sz w:val="21"/>
          <w:szCs w:val="21"/>
        </w:rPr>
        <w:t>按照疫苗所含组分，分为三价和四价流感疫苗；根据生产工艺，又可分为基于鸡胚培养、基于细胞</w:t>
      </w:r>
      <w:r>
        <w:rPr>
          <w:rFonts w:ascii="宋体" w:hAnsi="宋体" w:eastAsia="宋体" w:cs="宋体"/>
          <w:sz w:val="21"/>
          <w:szCs w:val="21"/>
        </w:rPr>
        <w:t xml:space="preserve">  </w:t>
      </w:r>
      <w:r>
        <w:rPr>
          <w:rFonts w:ascii="宋体" w:hAnsi="宋体" w:eastAsia="宋体" w:cs="宋体"/>
          <w:spacing w:val="1"/>
          <w:sz w:val="21"/>
          <w:szCs w:val="21"/>
        </w:rPr>
        <w:t>培养和重组流感疫苗。我国现已批准上市的流感疫苗有三价灭活流感</w:t>
      </w:r>
      <w:r>
        <w:rPr>
          <w:rFonts w:ascii="宋体" w:hAnsi="宋体" w:eastAsia="宋体" w:cs="宋体"/>
          <w:sz w:val="21"/>
          <w:szCs w:val="21"/>
        </w:rPr>
        <w:t>疫苗</w:t>
      </w:r>
      <w:r>
        <w:rPr>
          <w:rFonts w:ascii="Times New Roman" w:hAnsi="Times New Roman" w:eastAsia="Times New Roman" w:cs="Times New Roman"/>
          <w:sz w:val="21"/>
          <w:szCs w:val="21"/>
        </w:rPr>
        <w:t>(IIV3)</w:t>
      </w:r>
      <w:r>
        <w:rPr>
          <w:rFonts w:ascii="Times New Roman" w:hAnsi="Times New Roman" w:eastAsia="Times New Roman" w:cs="Times New Roman"/>
          <w:spacing w:val="-30"/>
          <w:sz w:val="21"/>
          <w:szCs w:val="21"/>
        </w:rPr>
        <w:t xml:space="preserve"> </w:t>
      </w:r>
      <w:r>
        <w:rPr>
          <w:rFonts w:ascii="宋体" w:hAnsi="宋体" w:eastAsia="宋体" w:cs="宋体"/>
          <w:sz w:val="21"/>
          <w:szCs w:val="21"/>
        </w:rPr>
        <w:t xml:space="preserve">、四价灭活流感疫  </w:t>
      </w:r>
      <w:r>
        <w:rPr>
          <w:rFonts w:ascii="宋体" w:hAnsi="宋体" w:eastAsia="宋体" w:cs="宋体"/>
          <w:spacing w:val="-2"/>
          <w:sz w:val="21"/>
          <w:szCs w:val="21"/>
        </w:rPr>
        <w:t>苗(IIV4)和三价减毒活流感疫苗(LAIV3),</w:t>
      </w:r>
      <w:r>
        <w:rPr>
          <w:rFonts w:ascii="宋体" w:hAnsi="宋体" w:eastAsia="宋体" w:cs="宋体"/>
          <w:spacing w:val="-17"/>
          <w:sz w:val="21"/>
          <w:szCs w:val="21"/>
        </w:rPr>
        <w:t xml:space="preserve"> </w:t>
      </w:r>
      <w:r>
        <w:rPr>
          <w:rFonts w:ascii="宋体" w:hAnsi="宋体" w:eastAsia="宋体" w:cs="宋体"/>
          <w:spacing w:val="-2"/>
          <w:sz w:val="21"/>
          <w:szCs w:val="21"/>
        </w:rPr>
        <w:t>其 中IIV3和</w:t>
      </w:r>
      <w:r>
        <w:rPr>
          <w:rFonts w:ascii="宋体" w:hAnsi="宋体" w:eastAsia="宋体" w:cs="宋体"/>
          <w:spacing w:val="-56"/>
          <w:sz w:val="21"/>
          <w:szCs w:val="21"/>
        </w:rPr>
        <w:t xml:space="preserve"> </w:t>
      </w:r>
      <w:r>
        <w:rPr>
          <w:rFonts w:ascii="宋体" w:hAnsi="宋体" w:eastAsia="宋体" w:cs="宋体"/>
          <w:spacing w:val="-2"/>
          <w:sz w:val="21"/>
          <w:szCs w:val="21"/>
        </w:rPr>
        <w:t>IIV4包括裂解疫苗和亚单位疫苗，LAIV3 为</w:t>
      </w:r>
      <w:r>
        <w:rPr>
          <w:rFonts w:ascii="宋体" w:hAnsi="宋体" w:eastAsia="宋体" w:cs="宋体"/>
          <w:sz w:val="21"/>
          <w:szCs w:val="21"/>
        </w:rPr>
        <w:t xml:space="preserve">  </w:t>
      </w:r>
      <w:r>
        <w:rPr>
          <w:rFonts w:ascii="宋体" w:hAnsi="宋体" w:eastAsia="宋体" w:cs="宋体"/>
          <w:spacing w:val="-3"/>
          <w:sz w:val="21"/>
          <w:szCs w:val="21"/>
        </w:rPr>
        <w:t>减毒疫苗。流感疫苗在我国属于非免疫规划类疫苗，居民自愿接种。</w:t>
      </w:r>
    </w:p>
    <w:p w14:paraId="50F16B25">
      <w:pPr>
        <w:pStyle w:val="2"/>
        <w:spacing w:before="1" w:line="221" w:lineRule="auto"/>
        <w:ind w:left="1113"/>
        <w:rPr>
          <w:sz w:val="21"/>
          <w:szCs w:val="21"/>
        </w:rPr>
      </w:pPr>
      <w:r>
        <w:rPr>
          <w:b/>
          <w:bCs/>
          <w:spacing w:val="25"/>
          <w:sz w:val="21"/>
          <w:szCs w:val="21"/>
        </w:rPr>
        <w:t>(二)疫苗使用</w:t>
      </w:r>
    </w:p>
    <w:p w14:paraId="5BA89D9C">
      <w:pPr>
        <w:spacing w:before="120" w:line="317" w:lineRule="auto"/>
        <w:ind w:left="680" w:right="71" w:firstLine="429"/>
        <w:jc w:val="both"/>
        <w:rPr>
          <w:rFonts w:ascii="宋体" w:hAnsi="宋体" w:eastAsia="宋体" w:cs="宋体"/>
          <w:sz w:val="21"/>
          <w:szCs w:val="21"/>
        </w:rPr>
      </w:pPr>
      <w:r>
        <w:rPr>
          <w:rFonts w:ascii="宋体" w:hAnsi="宋体" w:eastAsia="宋体" w:cs="宋体"/>
          <w:spacing w:val="-1"/>
          <w:sz w:val="21"/>
          <w:szCs w:val="21"/>
        </w:rPr>
        <w:t>流感疫苗能对与疫苗株抗原相似毒株引起的感染、发病起到有效保护作用，是减少流感</w:t>
      </w:r>
      <w:r>
        <w:rPr>
          <w:rFonts w:ascii="宋体" w:hAnsi="宋体" w:eastAsia="宋体" w:cs="宋体"/>
          <w:spacing w:val="-2"/>
          <w:sz w:val="21"/>
          <w:szCs w:val="21"/>
        </w:rPr>
        <w:t>病患和</w:t>
      </w:r>
      <w:r>
        <w:rPr>
          <w:rFonts w:ascii="宋体" w:hAnsi="宋体" w:eastAsia="宋体" w:cs="宋体"/>
          <w:sz w:val="21"/>
          <w:szCs w:val="21"/>
        </w:rPr>
        <w:t xml:space="preserve"> </w:t>
      </w:r>
      <w:r>
        <w:rPr>
          <w:rFonts w:ascii="宋体" w:hAnsi="宋体" w:eastAsia="宋体" w:cs="宋体"/>
          <w:spacing w:val="4"/>
          <w:sz w:val="21"/>
          <w:szCs w:val="21"/>
        </w:rPr>
        <w:t>死亡的最重要措施之一。由于每年流行的毒株都有变异，所以疫苗的成分</w:t>
      </w:r>
      <w:r>
        <w:rPr>
          <w:rFonts w:ascii="宋体" w:hAnsi="宋体" w:eastAsia="宋体" w:cs="宋体"/>
          <w:spacing w:val="3"/>
          <w:sz w:val="21"/>
          <w:szCs w:val="21"/>
        </w:rPr>
        <w:t>也要随之改变从而与流</w:t>
      </w:r>
      <w:r>
        <w:rPr>
          <w:rFonts w:ascii="宋体" w:hAnsi="宋体" w:eastAsia="宋体" w:cs="宋体"/>
          <w:sz w:val="21"/>
          <w:szCs w:val="21"/>
        </w:rPr>
        <w:t xml:space="preserve"> </w:t>
      </w:r>
      <w:r>
        <w:rPr>
          <w:rFonts w:ascii="宋体" w:hAnsi="宋体" w:eastAsia="宋体" w:cs="宋体"/>
          <w:spacing w:val="4"/>
          <w:sz w:val="21"/>
          <w:szCs w:val="21"/>
        </w:rPr>
        <w:t>行株匹配，才能更有效地提高疫苗保护效果。全球流感监测和应对系统在整个年度时刻监测着流</w:t>
      </w:r>
      <w:r>
        <w:rPr>
          <w:rFonts w:ascii="宋体" w:hAnsi="宋体" w:eastAsia="宋体" w:cs="宋体"/>
          <w:sz w:val="21"/>
          <w:szCs w:val="21"/>
        </w:rPr>
        <w:t xml:space="preserve"> </w:t>
      </w:r>
      <w:r>
        <w:rPr>
          <w:rFonts w:ascii="宋体" w:hAnsi="宋体" w:eastAsia="宋体" w:cs="宋体"/>
          <w:spacing w:val="2"/>
          <w:sz w:val="21"/>
          <w:szCs w:val="21"/>
        </w:rPr>
        <w:t>感的流行趋势，持续收集流感病毒的抗原和基因组等生物学信息。根据监测的结果，</w:t>
      </w:r>
      <w:r>
        <w:rPr>
          <w:rFonts w:ascii="宋体" w:hAnsi="宋体" w:eastAsia="宋体" w:cs="宋体"/>
          <w:sz w:val="21"/>
          <w:szCs w:val="21"/>
        </w:rPr>
        <w:t>WHO</w:t>
      </w:r>
      <w:r>
        <w:rPr>
          <w:rFonts w:ascii="宋体" w:hAnsi="宋体" w:eastAsia="宋体" w:cs="宋体"/>
          <w:spacing w:val="2"/>
          <w:sz w:val="21"/>
          <w:szCs w:val="21"/>
        </w:rPr>
        <w:t xml:space="preserve">  将会预</w:t>
      </w:r>
      <w:r>
        <w:rPr>
          <w:rFonts w:ascii="宋体" w:hAnsi="宋体" w:eastAsia="宋体" w:cs="宋体"/>
          <w:sz w:val="21"/>
          <w:szCs w:val="21"/>
        </w:rPr>
        <w:t xml:space="preserve"> </w:t>
      </w:r>
      <w:r>
        <w:rPr>
          <w:rFonts w:ascii="宋体" w:hAnsi="宋体" w:eastAsia="宋体" w:cs="宋体"/>
          <w:spacing w:val="4"/>
          <w:sz w:val="21"/>
          <w:szCs w:val="21"/>
        </w:rPr>
        <w:t>测下一年冬季最有可能暴发流行的流感病毒株并告知疫苗生产商，后者随即开始着手准备生产相</w:t>
      </w:r>
      <w:r>
        <w:rPr>
          <w:rFonts w:ascii="宋体" w:hAnsi="宋体" w:eastAsia="宋体" w:cs="宋体"/>
          <w:spacing w:val="8"/>
          <w:sz w:val="21"/>
          <w:szCs w:val="21"/>
        </w:rPr>
        <w:t xml:space="preserve"> </w:t>
      </w:r>
      <w:r>
        <w:rPr>
          <w:rFonts w:ascii="宋体" w:hAnsi="宋体" w:eastAsia="宋体" w:cs="宋体"/>
          <w:spacing w:val="6"/>
          <w:sz w:val="21"/>
          <w:szCs w:val="21"/>
        </w:rPr>
        <w:t>应的流感疫苗。</w:t>
      </w:r>
      <w:r>
        <w:rPr>
          <w:rFonts w:ascii="Times New Roman" w:hAnsi="Times New Roman" w:eastAsia="Times New Roman" w:cs="Times New Roman"/>
          <w:sz w:val="21"/>
          <w:szCs w:val="21"/>
        </w:rPr>
        <w:t>WHO</w:t>
      </w:r>
      <w:r>
        <w:rPr>
          <w:rFonts w:ascii="Times New Roman" w:hAnsi="Times New Roman" w:eastAsia="Times New Roman" w:cs="Times New Roman"/>
          <w:spacing w:val="6"/>
          <w:sz w:val="21"/>
          <w:szCs w:val="21"/>
        </w:rPr>
        <w:t xml:space="preserve"> </w:t>
      </w:r>
      <w:r>
        <w:rPr>
          <w:rFonts w:ascii="宋体" w:hAnsi="宋体" w:eastAsia="宋体" w:cs="宋体"/>
          <w:spacing w:val="6"/>
          <w:sz w:val="21"/>
          <w:szCs w:val="21"/>
        </w:rPr>
        <w:t>于每年2月和9月召开技术会议，分别预测北半球和南半球冬季的流感流行</w:t>
      </w:r>
      <w:r>
        <w:rPr>
          <w:rFonts w:ascii="宋体" w:hAnsi="宋体" w:eastAsia="宋体" w:cs="宋体"/>
          <w:sz w:val="21"/>
          <w:szCs w:val="21"/>
        </w:rPr>
        <w:t xml:space="preserve"> </w:t>
      </w:r>
      <w:r>
        <w:rPr>
          <w:rFonts w:ascii="宋体" w:hAnsi="宋体" w:eastAsia="宋体" w:cs="宋体"/>
          <w:spacing w:val="4"/>
          <w:sz w:val="21"/>
          <w:szCs w:val="21"/>
        </w:rPr>
        <w:t>株并将其作为疫苗生产用毒株。在流感流行高峰前1～2个月接种流感疫苗能更有效发挥疫苗的保</w:t>
      </w:r>
      <w:r>
        <w:rPr>
          <w:rFonts w:ascii="宋体" w:hAnsi="宋体" w:eastAsia="宋体" w:cs="宋体"/>
          <w:spacing w:val="14"/>
          <w:sz w:val="21"/>
          <w:szCs w:val="21"/>
        </w:rPr>
        <w:t xml:space="preserve"> </w:t>
      </w:r>
      <w:r>
        <w:rPr>
          <w:rFonts w:ascii="宋体" w:hAnsi="宋体" w:eastAsia="宋体" w:cs="宋体"/>
          <w:spacing w:val="-6"/>
          <w:sz w:val="21"/>
          <w:szCs w:val="21"/>
        </w:rPr>
        <w:t>护作用。疫苗株与流行株之间的抗原性差异、抗原成分、疫苗接种率的高低、流行</w:t>
      </w:r>
      <w:r>
        <w:rPr>
          <w:rFonts w:ascii="宋体" w:hAnsi="宋体" w:eastAsia="宋体" w:cs="宋体"/>
          <w:spacing w:val="-7"/>
          <w:sz w:val="21"/>
          <w:szCs w:val="21"/>
        </w:rPr>
        <w:t>强度的大小、疫苗</w:t>
      </w:r>
      <w:r>
        <w:rPr>
          <w:rFonts w:ascii="宋体" w:hAnsi="宋体" w:eastAsia="宋体" w:cs="宋体"/>
          <w:sz w:val="21"/>
          <w:szCs w:val="21"/>
        </w:rPr>
        <w:t xml:space="preserve"> </w:t>
      </w:r>
      <w:r>
        <w:rPr>
          <w:rFonts w:ascii="宋体" w:hAnsi="宋体" w:eastAsia="宋体" w:cs="宋体"/>
          <w:spacing w:val="3"/>
          <w:sz w:val="21"/>
          <w:szCs w:val="21"/>
        </w:rPr>
        <w:t>接种与流行的间隔时间等都是影响疫苗接种效果的主要因素。</w:t>
      </w:r>
      <w:r>
        <w:rPr>
          <w:rFonts w:ascii="宋体" w:hAnsi="宋体" w:eastAsia="宋体" w:cs="宋体"/>
          <w:spacing w:val="47"/>
          <w:sz w:val="21"/>
          <w:szCs w:val="21"/>
        </w:rPr>
        <w:t xml:space="preserve"> </w:t>
      </w:r>
      <w:r>
        <w:rPr>
          <w:rFonts w:ascii="宋体" w:hAnsi="宋体" w:eastAsia="宋体" w:cs="宋体"/>
          <w:spacing w:val="3"/>
          <w:sz w:val="21"/>
          <w:szCs w:val="21"/>
        </w:rPr>
        <w:t>一般情况下各国会参考</w:t>
      </w:r>
      <w:r>
        <w:rPr>
          <w:rFonts w:ascii="宋体" w:hAnsi="宋体" w:eastAsia="宋体" w:cs="宋体"/>
          <w:sz w:val="21"/>
          <w:szCs w:val="21"/>
        </w:rPr>
        <w:t>WHO</w:t>
      </w:r>
      <w:r>
        <w:rPr>
          <w:rFonts w:ascii="宋体" w:hAnsi="宋体" w:eastAsia="宋体" w:cs="宋体"/>
          <w:spacing w:val="3"/>
          <w:sz w:val="21"/>
          <w:szCs w:val="21"/>
        </w:rPr>
        <w:t xml:space="preserve">  </w:t>
      </w:r>
      <w:r>
        <w:rPr>
          <w:rFonts w:ascii="宋体" w:hAnsi="宋体" w:eastAsia="宋体" w:cs="宋体"/>
          <w:spacing w:val="2"/>
          <w:sz w:val="21"/>
          <w:szCs w:val="21"/>
        </w:rPr>
        <w:t>对全</w:t>
      </w:r>
      <w:r>
        <w:rPr>
          <w:rFonts w:ascii="宋体" w:hAnsi="宋体" w:eastAsia="宋体" w:cs="宋体"/>
          <w:sz w:val="21"/>
          <w:szCs w:val="21"/>
        </w:rPr>
        <w:t xml:space="preserve"> </w:t>
      </w:r>
      <w:r>
        <w:rPr>
          <w:rFonts w:ascii="宋体" w:hAnsi="宋体" w:eastAsia="宋体" w:cs="宋体"/>
          <w:spacing w:val="5"/>
          <w:sz w:val="21"/>
          <w:szCs w:val="21"/>
        </w:rPr>
        <w:t>球流感疫情趋势估计及疫苗代表毒株的推荐意见，制定</w:t>
      </w:r>
      <w:r>
        <w:rPr>
          <w:rFonts w:ascii="宋体" w:hAnsi="宋体" w:eastAsia="宋体" w:cs="宋体"/>
          <w:spacing w:val="4"/>
          <w:sz w:val="21"/>
          <w:szCs w:val="21"/>
        </w:rPr>
        <w:t>当年本国的流感疫苗预防接种技术指导意</w:t>
      </w:r>
      <w:r>
        <w:rPr>
          <w:rFonts w:ascii="宋体" w:hAnsi="宋体" w:eastAsia="宋体" w:cs="宋体"/>
          <w:sz w:val="21"/>
          <w:szCs w:val="21"/>
        </w:rPr>
        <w:t xml:space="preserve"> </w:t>
      </w:r>
      <w:r>
        <w:rPr>
          <w:rFonts w:ascii="宋体" w:hAnsi="宋体" w:eastAsia="宋体" w:cs="宋体"/>
          <w:spacing w:val="-5"/>
          <w:sz w:val="21"/>
          <w:szCs w:val="21"/>
        </w:rPr>
        <w:t>见，对疫苗类型、抗原组分及适用年龄组、建议优先接种人群以及禁忌证等进行说明和限定。</w:t>
      </w:r>
    </w:p>
    <w:p w14:paraId="6FCAD739">
      <w:pPr>
        <w:pStyle w:val="2"/>
        <w:spacing w:before="241" w:line="221" w:lineRule="auto"/>
        <w:ind w:left="1113"/>
        <w:outlineLvl w:val="4"/>
        <w:rPr>
          <w:sz w:val="24"/>
          <w:szCs w:val="24"/>
        </w:rPr>
      </w:pPr>
      <w:bookmarkStart w:id="604" w:name="bookmark385"/>
      <w:bookmarkEnd w:id="604"/>
      <w:r>
        <w:rPr>
          <w:b/>
          <w:bCs/>
          <w:spacing w:val="-2"/>
          <w:sz w:val="24"/>
          <w:szCs w:val="24"/>
        </w:rPr>
        <w:t>四</w:t>
      </w:r>
      <w:r>
        <w:rPr>
          <w:spacing w:val="-49"/>
          <w:sz w:val="24"/>
          <w:szCs w:val="24"/>
        </w:rPr>
        <w:t xml:space="preserve"> </w:t>
      </w:r>
      <w:r>
        <w:rPr>
          <w:b/>
          <w:bCs/>
          <w:spacing w:val="-2"/>
          <w:sz w:val="24"/>
          <w:szCs w:val="24"/>
        </w:rPr>
        <w:t>、药物预防</w:t>
      </w:r>
    </w:p>
    <w:p w14:paraId="47393A32">
      <w:pPr>
        <w:spacing w:before="275" w:line="219" w:lineRule="auto"/>
        <w:ind w:left="1110"/>
        <w:rPr>
          <w:rFonts w:ascii="宋体" w:hAnsi="宋体" w:eastAsia="宋体" w:cs="宋体"/>
          <w:sz w:val="21"/>
          <w:szCs w:val="21"/>
        </w:rPr>
      </w:pPr>
      <w:r>
        <w:rPr>
          <w:rFonts w:ascii="宋体" w:hAnsi="宋体" w:eastAsia="宋体" w:cs="宋体"/>
          <w:spacing w:val="1"/>
          <w:sz w:val="21"/>
          <w:szCs w:val="21"/>
        </w:rPr>
        <w:t>临床上用于抗流感病毒的药物主要有三类：一类是烷胺类药物，即M2 离子通道阻滞剂，包括</w:t>
      </w:r>
    </w:p>
    <w:p w14:paraId="1D516D3F">
      <w:pPr>
        <w:spacing w:line="219" w:lineRule="auto"/>
        <w:rPr>
          <w:rFonts w:ascii="宋体" w:hAnsi="宋体" w:eastAsia="宋体" w:cs="宋体"/>
          <w:sz w:val="21"/>
          <w:szCs w:val="21"/>
        </w:rPr>
        <w:sectPr>
          <w:footerReference r:id="rId377" w:type="default"/>
          <w:pgSz w:w="11900" w:h="16820"/>
          <w:pgMar w:top="400" w:right="1394" w:bottom="846" w:left="739" w:header="0" w:footer="657" w:gutter="0"/>
          <w:cols w:space="720" w:num="1"/>
        </w:sectPr>
      </w:pPr>
    </w:p>
    <w:p w14:paraId="504CEAA8">
      <w:pPr>
        <w:spacing w:line="249" w:lineRule="auto"/>
        <w:rPr>
          <w:rFonts w:ascii="Arial"/>
          <w:sz w:val="21"/>
        </w:rPr>
      </w:pPr>
    </w:p>
    <w:p w14:paraId="30243166">
      <w:pPr>
        <w:pStyle w:val="2"/>
        <w:spacing w:before="65" w:line="221" w:lineRule="auto"/>
        <w:ind w:left="6749"/>
        <w:rPr>
          <w:sz w:val="20"/>
          <w:szCs w:val="20"/>
        </w:rPr>
      </w:pPr>
      <w:r>
        <w:rPr>
          <w:spacing w:val="-23"/>
          <w:w w:val="98"/>
          <w:sz w:val="20"/>
          <w:szCs w:val="20"/>
        </w:rPr>
        <w:t>第二十三章 流行性感冒</w:t>
      </w:r>
    </w:p>
    <w:p w14:paraId="5E2214D5">
      <w:pPr>
        <w:spacing w:line="248" w:lineRule="auto"/>
        <w:rPr>
          <w:rFonts w:ascii="Arial"/>
          <w:sz w:val="21"/>
        </w:rPr>
      </w:pPr>
    </w:p>
    <w:p w14:paraId="5F2DA9DE">
      <w:pPr>
        <w:spacing w:line="249" w:lineRule="auto"/>
        <w:rPr>
          <w:rFonts w:ascii="Arial"/>
          <w:sz w:val="21"/>
        </w:rPr>
      </w:pPr>
    </w:p>
    <w:p w14:paraId="217B7DB4">
      <w:pPr>
        <w:spacing w:before="65" w:line="341" w:lineRule="auto"/>
        <w:ind w:right="551"/>
        <w:jc w:val="both"/>
        <w:rPr>
          <w:rFonts w:ascii="宋体" w:hAnsi="宋体" w:eastAsia="宋体" w:cs="宋体"/>
          <w:sz w:val="20"/>
          <w:szCs w:val="20"/>
        </w:rPr>
      </w:pPr>
      <w:r>
        <w:rPr>
          <w:rFonts w:ascii="宋体" w:hAnsi="宋体" w:eastAsia="宋体" w:cs="宋体"/>
          <w:spacing w:val="3"/>
          <w:sz w:val="20"/>
          <w:szCs w:val="20"/>
        </w:rPr>
        <w:t>金刚烷胺和金刚乙胺。该类药物仅作用于甲型流感病毒，对乙型流感病毒无效</w:t>
      </w:r>
      <w:r>
        <w:rPr>
          <w:rFonts w:ascii="宋体" w:hAnsi="宋体" w:eastAsia="宋体" w:cs="宋体"/>
          <w:spacing w:val="2"/>
          <w:sz w:val="20"/>
          <w:szCs w:val="20"/>
        </w:rPr>
        <w:t>。从目前全球流感</w:t>
      </w:r>
      <w:r>
        <w:rPr>
          <w:rFonts w:ascii="宋体" w:hAnsi="宋体" w:eastAsia="宋体" w:cs="宋体"/>
          <w:sz w:val="20"/>
          <w:szCs w:val="20"/>
        </w:rPr>
        <w:t xml:space="preserve">  </w:t>
      </w:r>
      <w:r>
        <w:rPr>
          <w:rFonts w:ascii="宋体" w:hAnsi="宋体" w:eastAsia="宋体" w:cs="宋体"/>
          <w:spacing w:val="-2"/>
          <w:sz w:val="20"/>
          <w:szCs w:val="20"/>
        </w:rPr>
        <w:t>的监测情况看，甲型流感病毒对烷胺类药物已存在普遍耐药</w:t>
      </w:r>
      <w:r>
        <w:rPr>
          <w:rFonts w:ascii="宋体" w:hAnsi="宋体" w:eastAsia="宋体" w:cs="宋体"/>
          <w:spacing w:val="-3"/>
          <w:sz w:val="20"/>
          <w:szCs w:val="20"/>
        </w:rPr>
        <w:t>，因此建议不再使用烷胺类阻滞剂治疗</w:t>
      </w:r>
      <w:r>
        <w:rPr>
          <w:rFonts w:ascii="宋体" w:hAnsi="宋体" w:eastAsia="宋体" w:cs="宋体"/>
          <w:sz w:val="20"/>
          <w:szCs w:val="20"/>
        </w:rPr>
        <w:t xml:space="preserve">  </w:t>
      </w:r>
      <w:r>
        <w:rPr>
          <w:rFonts w:ascii="宋体" w:hAnsi="宋体" w:eastAsia="宋体" w:cs="宋体"/>
          <w:spacing w:val="1"/>
          <w:sz w:val="20"/>
          <w:szCs w:val="20"/>
        </w:rPr>
        <w:t>和预防流感。第二类是</w:t>
      </w:r>
      <w:r>
        <w:rPr>
          <w:rFonts w:ascii="Times New Roman" w:hAnsi="Times New Roman" w:eastAsia="Times New Roman" w:cs="Times New Roman"/>
          <w:sz w:val="20"/>
          <w:szCs w:val="20"/>
        </w:rPr>
        <w:t>NA</w:t>
      </w:r>
      <w:r>
        <w:rPr>
          <w:rFonts w:ascii="宋体" w:hAnsi="宋体" w:eastAsia="宋体" w:cs="宋体"/>
          <w:spacing w:val="1"/>
          <w:sz w:val="20"/>
          <w:szCs w:val="20"/>
        </w:rPr>
        <w:t>抑制剂，该药物可选择性地抑制神经氨酸酶活</w:t>
      </w:r>
      <w:r>
        <w:rPr>
          <w:rFonts w:ascii="宋体" w:hAnsi="宋体" w:eastAsia="宋体" w:cs="宋体"/>
          <w:sz w:val="20"/>
          <w:szCs w:val="20"/>
        </w:rPr>
        <w:t xml:space="preserve">性，阻止子代病毒颗粒在  </w:t>
      </w:r>
      <w:r>
        <w:rPr>
          <w:rFonts w:ascii="宋体" w:hAnsi="宋体" w:eastAsia="宋体" w:cs="宋体"/>
          <w:spacing w:val="3"/>
          <w:sz w:val="20"/>
          <w:szCs w:val="20"/>
        </w:rPr>
        <w:t>宿主细胞的复制和释放，从而有效地预防流感和缓解症状。目前应用于临床的神经</w:t>
      </w:r>
      <w:r>
        <w:rPr>
          <w:rFonts w:ascii="宋体" w:hAnsi="宋体" w:eastAsia="宋体" w:cs="宋体"/>
          <w:spacing w:val="2"/>
          <w:sz w:val="20"/>
          <w:szCs w:val="20"/>
        </w:rPr>
        <w:t>氨酸酶抑制剂</w:t>
      </w:r>
      <w:r>
        <w:rPr>
          <w:rFonts w:ascii="宋体" w:hAnsi="宋体" w:eastAsia="宋体" w:cs="宋体"/>
          <w:sz w:val="20"/>
          <w:szCs w:val="20"/>
        </w:rPr>
        <w:t xml:space="preserve">  主要包括短效的奥司他韦</w:t>
      </w:r>
      <w:r>
        <w:rPr>
          <w:rFonts w:ascii="Times New Roman" w:hAnsi="Times New Roman" w:eastAsia="Times New Roman" w:cs="Times New Roman"/>
          <w:sz w:val="20"/>
          <w:szCs w:val="20"/>
        </w:rPr>
        <w:t>(oseltamivir)</w:t>
      </w:r>
      <w:r>
        <w:rPr>
          <w:rFonts w:ascii="宋体" w:hAnsi="宋体" w:eastAsia="宋体" w:cs="宋体"/>
          <w:sz w:val="20"/>
          <w:szCs w:val="20"/>
        </w:rPr>
        <w:t>、扎那米韦</w:t>
      </w:r>
      <w:r>
        <w:rPr>
          <w:rFonts w:ascii="Times New Roman" w:hAnsi="Times New Roman" w:eastAsia="Times New Roman" w:cs="Times New Roman"/>
          <w:sz w:val="20"/>
          <w:szCs w:val="20"/>
        </w:rPr>
        <w:t>(zanamivir)</w:t>
      </w:r>
      <w:r>
        <w:rPr>
          <w:rFonts w:ascii="宋体" w:hAnsi="宋体" w:eastAsia="宋体" w:cs="宋体"/>
          <w:sz w:val="20"/>
          <w:szCs w:val="20"/>
        </w:rPr>
        <w:t>、帕拉米韦</w:t>
      </w:r>
      <w:r>
        <w:rPr>
          <w:rFonts w:ascii="Times New Roman" w:hAnsi="Times New Roman" w:eastAsia="Times New Roman" w:cs="Times New Roman"/>
          <w:sz w:val="20"/>
          <w:szCs w:val="20"/>
        </w:rPr>
        <w:t>(pera</w:t>
      </w:r>
      <w:r>
        <w:rPr>
          <w:rFonts w:ascii="Times New Roman" w:hAnsi="Times New Roman" w:eastAsia="Times New Roman" w:cs="Times New Roman"/>
          <w:spacing w:val="-1"/>
          <w:sz w:val="20"/>
          <w:szCs w:val="20"/>
        </w:rPr>
        <w:t>mivir)</w:t>
      </w:r>
      <w:r>
        <w:rPr>
          <w:rFonts w:ascii="Times New Roman" w:hAnsi="Times New Roman" w:eastAsia="Times New Roman" w:cs="Times New Roman"/>
          <w:spacing w:val="-12"/>
          <w:sz w:val="20"/>
          <w:szCs w:val="20"/>
        </w:rPr>
        <w:t xml:space="preserve"> </w:t>
      </w:r>
      <w:r>
        <w:rPr>
          <w:rFonts w:ascii="宋体" w:hAnsi="宋体" w:eastAsia="宋体" w:cs="宋体"/>
          <w:spacing w:val="-1"/>
          <w:sz w:val="20"/>
          <w:szCs w:val="20"/>
        </w:rPr>
        <w:t>及长效的拉尼那</w:t>
      </w:r>
      <w:r>
        <w:rPr>
          <w:rFonts w:ascii="宋体" w:hAnsi="宋体" w:eastAsia="宋体" w:cs="宋体"/>
          <w:sz w:val="20"/>
          <w:szCs w:val="20"/>
        </w:rPr>
        <w:t xml:space="preserve">  </w:t>
      </w:r>
      <w:r>
        <w:rPr>
          <w:rFonts w:ascii="宋体" w:hAnsi="宋体" w:eastAsia="宋体" w:cs="宋体"/>
          <w:spacing w:val="1"/>
          <w:sz w:val="20"/>
          <w:szCs w:val="20"/>
        </w:rPr>
        <w:t>米</w:t>
      </w:r>
      <w:r>
        <w:rPr>
          <w:rFonts w:ascii="宋体" w:hAnsi="宋体" w:eastAsia="宋体" w:cs="宋体"/>
          <w:spacing w:val="-23"/>
          <w:sz w:val="20"/>
          <w:szCs w:val="20"/>
        </w:rPr>
        <w:t xml:space="preserve"> </w:t>
      </w:r>
      <w:r>
        <w:rPr>
          <w:rFonts w:ascii="宋体" w:hAnsi="宋体" w:eastAsia="宋体" w:cs="宋体"/>
          <w:spacing w:val="1"/>
          <w:sz w:val="20"/>
          <w:szCs w:val="20"/>
        </w:rPr>
        <w:t>韦</w:t>
      </w:r>
      <w:r>
        <w:rPr>
          <w:rFonts w:ascii="Times New Roman" w:hAnsi="Times New Roman" w:eastAsia="Times New Roman" w:cs="Times New Roman"/>
          <w:spacing w:val="1"/>
          <w:sz w:val="20"/>
          <w:szCs w:val="20"/>
        </w:rPr>
        <w:t>(</w:t>
      </w:r>
      <w:r>
        <w:rPr>
          <w:rFonts w:ascii="Times New Roman" w:hAnsi="Times New Roman" w:eastAsia="Times New Roman" w:cs="Times New Roman"/>
          <w:sz w:val="20"/>
          <w:szCs w:val="20"/>
        </w:rPr>
        <w:t>laninamivir</w:t>
      </w:r>
      <w:r>
        <w:rPr>
          <w:rFonts w:ascii="Times New Roman" w:hAnsi="Times New Roman" w:eastAsia="Times New Roman" w:cs="Times New Roman"/>
          <w:spacing w:val="1"/>
          <w:sz w:val="20"/>
          <w:szCs w:val="20"/>
        </w:rPr>
        <w:t xml:space="preserve">),    </w:t>
      </w:r>
      <w:r>
        <w:rPr>
          <w:rFonts w:ascii="宋体" w:hAnsi="宋体" w:eastAsia="宋体" w:cs="宋体"/>
          <w:spacing w:val="1"/>
          <w:sz w:val="20"/>
          <w:szCs w:val="20"/>
        </w:rPr>
        <w:t>其中帕拉米韦和拉尼那米韦主要在日本</w:t>
      </w:r>
      <w:r>
        <w:rPr>
          <w:rFonts w:ascii="宋体" w:hAnsi="宋体" w:eastAsia="宋体" w:cs="宋体"/>
          <w:sz w:val="20"/>
          <w:szCs w:val="20"/>
        </w:rPr>
        <w:t xml:space="preserve">应用。另外一类药物是内切酶抑制剂， </w:t>
      </w:r>
      <w:r>
        <w:rPr>
          <w:rFonts w:ascii="宋体" w:hAnsi="宋体" w:eastAsia="宋体" w:cs="宋体"/>
          <w:spacing w:val="2"/>
          <w:sz w:val="20"/>
          <w:szCs w:val="20"/>
        </w:rPr>
        <w:t>其作用机制与神经氨酸酶抑制剂不同。内切酶抑制剂会干扰病毒</w:t>
      </w:r>
      <w:r>
        <w:rPr>
          <w:rFonts w:ascii="宋体" w:hAnsi="宋体" w:eastAsia="宋体" w:cs="宋体"/>
          <w:sz w:val="20"/>
          <w:szCs w:val="20"/>
        </w:rPr>
        <w:t>RNA</w:t>
      </w:r>
      <w:r>
        <w:rPr>
          <w:rFonts w:ascii="宋体" w:hAnsi="宋体" w:eastAsia="宋体" w:cs="宋体"/>
          <w:spacing w:val="46"/>
          <w:sz w:val="20"/>
          <w:szCs w:val="20"/>
        </w:rPr>
        <w:t xml:space="preserve"> </w:t>
      </w:r>
      <w:r>
        <w:rPr>
          <w:rFonts w:ascii="宋体" w:hAnsi="宋体" w:eastAsia="宋体" w:cs="宋体"/>
          <w:spacing w:val="2"/>
          <w:sz w:val="20"/>
          <w:szCs w:val="20"/>
        </w:rPr>
        <w:t>转录并阻</w:t>
      </w:r>
      <w:r>
        <w:rPr>
          <w:rFonts w:ascii="宋体" w:hAnsi="宋体" w:eastAsia="宋体" w:cs="宋体"/>
          <w:spacing w:val="1"/>
          <w:sz w:val="20"/>
          <w:szCs w:val="20"/>
        </w:rPr>
        <w:t>止甲型和乙型流感</w:t>
      </w:r>
      <w:r>
        <w:rPr>
          <w:rFonts w:ascii="宋体" w:hAnsi="宋体" w:eastAsia="宋体" w:cs="宋体"/>
          <w:sz w:val="20"/>
          <w:szCs w:val="20"/>
        </w:rPr>
        <w:t xml:space="preserve">  </w:t>
      </w:r>
      <w:r>
        <w:rPr>
          <w:rFonts w:ascii="宋体" w:hAnsi="宋体" w:eastAsia="宋体" w:cs="宋体"/>
          <w:spacing w:val="-4"/>
          <w:sz w:val="20"/>
          <w:szCs w:val="20"/>
        </w:rPr>
        <w:t>病毒的复制。目前只有一种获批的帽依赖性核酸内切酶抑制剂玛巴洛沙韦(baloxavir marboxil),该</w:t>
      </w:r>
      <w:r>
        <w:rPr>
          <w:rFonts w:ascii="宋体" w:hAnsi="宋体" w:eastAsia="宋体" w:cs="宋体"/>
          <w:spacing w:val="2"/>
          <w:sz w:val="20"/>
          <w:szCs w:val="20"/>
        </w:rPr>
        <w:t xml:space="preserve">  </w:t>
      </w:r>
      <w:r>
        <w:rPr>
          <w:rFonts w:ascii="宋体" w:hAnsi="宋体" w:eastAsia="宋体" w:cs="宋体"/>
          <w:sz w:val="20"/>
          <w:szCs w:val="20"/>
        </w:rPr>
        <w:t>类药物对于甲型和乙型流感病毒均有效。实际应用中应根据流感病毒的耐药性监测结果具体选择。</w:t>
      </w:r>
      <w:r>
        <w:rPr>
          <w:rFonts w:ascii="宋体" w:hAnsi="宋体" w:eastAsia="宋体" w:cs="宋体"/>
          <w:spacing w:val="9"/>
          <w:sz w:val="20"/>
          <w:szCs w:val="20"/>
        </w:rPr>
        <w:t xml:space="preserve"> </w:t>
      </w:r>
      <w:r>
        <w:rPr>
          <w:rFonts w:ascii="宋体" w:hAnsi="宋体" w:eastAsia="宋体" w:cs="宋体"/>
          <w:spacing w:val="-3"/>
          <w:sz w:val="20"/>
          <w:szCs w:val="20"/>
        </w:rPr>
        <w:t>流感的预防药物仍有待研究，在目前条件下，不宜滥用。</w:t>
      </w:r>
    </w:p>
    <w:p w14:paraId="440A1D4D">
      <w:pPr>
        <w:spacing w:line="274" w:lineRule="auto"/>
        <w:rPr>
          <w:rFonts w:ascii="Arial"/>
          <w:sz w:val="21"/>
        </w:rPr>
      </w:pPr>
    </w:p>
    <w:p w14:paraId="29525443">
      <w:pPr>
        <w:pStyle w:val="2"/>
        <w:spacing w:before="94" w:line="221" w:lineRule="auto"/>
        <w:ind w:left="2433"/>
        <w:outlineLvl w:val="1"/>
        <w:rPr>
          <w:sz w:val="29"/>
          <w:szCs w:val="29"/>
        </w:rPr>
      </w:pPr>
      <w:bookmarkStart w:id="605" w:name="bookmark386"/>
      <w:bookmarkEnd w:id="605"/>
      <w:r>
        <w:rPr>
          <w:b/>
          <w:bCs/>
          <w:spacing w:val="-13"/>
          <w:sz w:val="29"/>
          <w:szCs w:val="29"/>
        </w:rPr>
        <w:t>第五节</w:t>
      </w:r>
      <w:r>
        <w:rPr>
          <w:spacing w:val="117"/>
          <w:sz w:val="29"/>
          <w:szCs w:val="29"/>
        </w:rPr>
        <w:t xml:space="preserve"> </w:t>
      </w:r>
      <w:r>
        <w:rPr>
          <w:b/>
          <w:bCs/>
          <w:spacing w:val="-13"/>
          <w:sz w:val="29"/>
          <w:szCs w:val="29"/>
        </w:rPr>
        <w:t>人感染高致病性禽流感</w:t>
      </w:r>
    </w:p>
    <w:p w14:paraId="4BBD6075">
      <w:pPr>
        <w:spacing w:line="303" w:lineRule="auto"/>
        <w:rPr>
          <w:rFonts w:ascii="Arial"/>
          <w:sz w:val="21"/>
        </w:rPr>
      </w:pPr>
    </w:p>
    <w:p w14:paraId="3875B9AB">
      <w:pPr>
        <w:spacing w:before="65" w:line="342" w:lineRule="auto"/>
        <w:ind w:right="607" w:firstLine="449"/>
        <w:jc w:val="both"/>
        <w:rPr>
          <w:rFonts w:ascii="宋体" w:hAnsi="宋体" w:eastAsia="宋体" w:cs="宋体"/>
          <w:sz w:val="20"/>
          <w:szCs w:val="20"/>
        </w:rPr>
      </w:pPr>
      <w:r>
        <w:rPr>
          <w:rFonts w:ascii="宋体" w:hAnsi="宋体" w:eastAsia="宋体" w:cs="宋体"/>
          <w:spacing w:val="-4"/>
          <w:sz w:val="20"/>
          <w:szCs w:val="20"/>
        </w:rPr>
        <w:t>禽流感</w:t>
      </w:r>
      <w:r>
        <w:rPr>
          <w:rFonts w:ascii="Times New Roman" w:hAnsi="Times New Roman" w:eastAsia="Times New Roman" w:cs="Times New Roman"/>
          <w:spacing w:val="-4"/>
          <w:sz w:val="20"/>
          <w:szCs w:val="20"/>
        </w:rPr>
        <w:t>(avian    influenza)</w:t>
      </w:r>
      <w:r>
        <w:rPr>
          <w:rFonts w:ascii="宋体" w:hAnsi="宋体" w:eastAsia="宋体" w:cs="宋体"/>
          <w:spacing w:val="-4"/>
          <w:sz w:val="20"/>
          <w:szCs w:val="20"/>
        </w:rPr>
        <w:t>是禽流行性感冒病毒感染的简称，主要发生在鸡、鸭、鹅、鸽等禽类动</w:t>
      </w:r>
      <w:r>
        <w:rPr>
          <w:rFonts w:ascii="宋体" w:hAnsi="宋体" w:eastAsia="宋体" w:cs="宋体"/>
          <w:spacing w:val="8"/>
          <w:sz w:val="20"/>
          <w:szCs w:val="20"/>
        </w:rPr>
        <w:t xml:space="preserve"> </w:t>
      </w:r>
      <w:r>
        <w:rPr>
          <w:rFonts w:ascii="宋体" w:hAnsi="宋体" w:eastAsia="宋体" w:cs="宋体"/>
          <w:spacing w:val="3"/>
          <w:sz w:val="20"/>
          <w:szCs w:val="20"/>
        </w:rPr>
        <w:t>物中，是由甲型流感病毒引起的禽类呼吸道感染的传染病。禽流感病毒可分为高致病性和</w:t>
      </w:r>
      <w:r>
        <w:rPr>
          <w:rFonts w:ascii="宋体" w:hAnsi="宋体" w:eastAsia="宋体" w:cs="宋体"/>
          <w:spacing w:val="2"/>
          <w:sz w:val="20"/>
          <w:szCs w:val="20"/>
        </w:rPr>
        <w:t>低致病</w:t>
      </w:r>
      <w:r>
        <w:rPr>
          <w:rFonts w:ascii="宋体" w:hAnsi="宋体" w:eastAsia="宋体" w:cs="宋体"/>
          <w:sz w:val="20"/>
          <w:szCs w:val="20"/>
        </w:rPr>
        <w:t xml:space="preserve"> </w:t>
      </w:r>
      <w:r>
        <w:rPr>
          <w:rFonts w:ascii="宋体" w:hAnsi="宋体" w:eastAsia="宋体" w:cs="宋体"/>
          <w:spacing w:val="3"/>
          <w:sz w:val="20"/>
          <w:szCs w:val="20"/>
        </w:rPr>
        <w:t>性两大类，其中高致病性禽流感是由</w:t>
      </w:r>
      <w:r>
        <w:rPr>
          <w:rFonts w:ascii="Times New Roman" w:hAnsi="Times New Roman" w:eastAsia="Times New Roman" w:cs="Times New Roman"/>
          <w:spacing w:val="3"/>
          <w:sz w:val="20"/>
          <w:szCs w:val="20"/>
        </w:rPr>
        <w:t>H5</w:t>
      </w:r>
      <w:r>
        <w:rPr>
          <w:rFonts w:ascii="宋体" w:hAnsi="宋体" w:eastAsia="宋体" w:cs="宋体"/>
          <w:spacing w:val="3"/>
          <w:sz w:val="20"/>
          <w:szCs w:val="20"/>
        </w:rPr>
        <w:t>和</w:t>
      </w:r>
      <w:r>
        <w:rPr>
          <w:rFonts w:ascii="宋体" w:hAnsi="宋体" w:eastAsia="宋体" w:cs="宋体"/>
          <w:spacing w:val="-32"/>
          <w:sz w:val="20"/>
          <w:szCs w:val="20"/>
        </w:rPr>
        <w:t xml:space="preserve"> </w:t>
      </w:r>
      <w:r>
        <w:rPr>
          <w:rFonts w:ascii="Times New Roman" w:hAnsi="Times New Roman" w:eastAsia="Times New Roman" w:cs="Times New Roman"/>
          <w:spacing w:val="3"/>
          <w:sz w:val="20"/>
          <w:szCs w:val="20"/>
        </w:rPr>
        <w:t xml:space="preserve">H7 </w:t>
      </w:r>
      <w:r>
        <w:rPr>
          <w:rFonts w:ascii="宋体" w:hAnsi="宋体" w:eastAsia="宋体" w:cs="宋体"/>
          <w:spacing w:val="3"/>
          <w:sz w:val="20"/>
          <w:szCs w:val="20"/>
        </w:rPr>
        <w:t>亚型某些毒株引起的疾病。高致病性禽流感因其在</w:t>
      </w:r>
      <w:r>
        <w:rPr>
          <w:rFonts w:ascii="宋体" w:hAnsi="宋体" w:eastAsia="宋体" w:cs="宋体"/>
          <w:sz w:val="20"/>
          <w:szCs w:val="20"/>
        </w:rPr>
        <w:t xml:space="preserve"> </w:t>
      </w:r>
      <w:r>
        <w:rPr>
          <w:rFonts w:ascii="宋体" w:hAnsi="宋体" w:eastAsia="宋体" w:cs="宋体"/>
          <w:spacing w:val="-1"/>
          <w:sz w:val="20"/>
          <w:szCs w:val="20"/>
        </w:rPr>
        <w:t>禽类中传播快、危害大、病死率高，被世界动物卫生组织列为</w:t>
      </w:r>
      <w:r>
        <w:rPr>
          <w:rFonts w:ascii="Arial" w:hAnsi="Arial" w:eastAsia="Arial" w:cs="Arial"/>
          <w:spacing w:val="-1"/>
          <w:sz w:val="20"/>
          <w:szCs w:val="20"/>
        </w:rPr>
        <w:t xml:space="preserve">A </w:t>
      </w:r>
      <w:r>
        <w:rPr>
          <w:rFonts w:ascii="宋体" w:hAnsi="宋体" w:eastAsia="宋体" w:cs="宋体"/>
          <w:spacing w:val="-1"/>
          <w:sz w:val="20"/>
          <w:szCs w:val="20"/>
        </w:rPr>
        <w:t>类动物疫病，我国将其列为一类动</w:t>
      </w:r>
      <w:r>
        <w:rPr>
          <w:rFonts w:ascii="宋体" w:hAnsi="宋体" w:eastAsia="宋体" w:cs="宋体"/>
          <w:spacing w:val="7"/>
          <w:sz w:val="20"/>
          <w:szCs w:val="20"/>
        </w:rPr>
        <w:t xml:space="preserve"> </w:t>
      </w:r>
      <w:r>
        <w:rPr>
          <w:rFonts w:ascii="宋体" w:hAnsi="宋体" w:eastAsia="宋体" w:cs="宋体"/>
          <w:spacing w:val="4"/>
          <w:sz w:val="20"/>
          <w:szCs w:val="20"/>
        </w:rPr>
        <w:t>物疫病。高致病性禽流感病毒已突破种属屏障，引</w:t>
      </w:r>
      <w:r>
        <w:rPr>
          <w:rFonts w:ascii="宋体" w:hAnsi="宋体" w:eastAsia="宋体" w:cs="宋体"/>
          <w:spacing w:val="3"/>
          <w:sz w:val="20"/>
          <w:szCs w:val="20"/>
        </w:rPr>
        <w:t>起少数人类感染，称为人感染高致病性禽流感</w:t>
      </w:r>
      <w:r>
        <w:rPr>
          <w:rFonts w:ascii="宋体" w:hAnsi="宋体" w:eastAsia="宋体" w:cs="宋体"/>
          <w:sz w:val="20"/>
          <w:szCs w:val="20"/>
        </w:rPr>
        <w:t xml:space="preserve"> </w:t>
      </w:r>
      <w:r>
        <w:rPr>
          <w:rFonts w:ascii="Times New Roman" w:hAnsi="Times New Roman" w:eastAsia="Times New Roman" w:cs="Times New Roman"/>
          <w:spacing w:val="-3"/>
          <w:sz w:val="20"/>
          <w:szCs w:val="20"/>
        </w:rPr>
        <w:t>(human</w:t>
      </w:r>
      <w:r>
        <w:rPr>
          <w:rFonts w:ascii="Times New Roman" w:hAnsi="Times New Roman" w:eastAsia="Times New Roman" w:cs="Times New Roman"/>
          <w:spacing w:val="39"/>
          <w:w w:val="101"/>
          <w:sz w:val="20"/>
          <w:szCs w:val="20"/>
        </w:rPr>
        <w:t xml:space="preserve"> </w:t>
      </w:r>
      <w:r>
        <w:rPr>
          <w:rFonts w:ascii="Times New Roman" w:hAnsi="Times New Roman" w:eastAsia="Times New Roman" w:cs="Times New Roman"/>
          <w:spacing w:val="-3"/>
          <w:sz w:val="20"/>
          <w:szCs w:val="20"/>
        </w:rPr>
        <w:t>highly</w:t>
      </w:r>
      <w:r>
        <w:rPr>
          <w:rFonts w:ascii="Times New Roman" w:hAnsi="Times New Roman" w:eastAsia="Times New Roman" w:cs="Times New Roman"/>
          <w:spacing w:val="29"/>
          <w:sz w:val="20"/>
          <w:szCs w:val="20"/>
        </w:rPr>
        <w:t xml:space="preserve"> </w:t>
      </w:r>
      <w:r>
        <w:rPr>
          <w:rFonts w:ascii="Times New Roman" w:hAnsi="Times New Roman" w:eastAsia="Times New Roman" w:cs="Times New Roman"/>
          <w:spacing w:val="-3"/>
          <w:sz w:val="20"/>
          <w:szCs w:val="20"/>
        </w:rPr>
        <w:t>pathogenic</w:t>
      </w:r>
      <w:r>
        <w:rPr>
          <w:rFonts w:ascii="Times New Roman" w:hAnsi="Times New Roman" w:eastAsia="Times New Roman" w:cs="Times New Roman"/>
          <w:spacing w:val="37"/>
          <w:sz w:val="20"/>
          <w:szCs w:val="20"/>
        </w:rPr>
        <w:t xml:space="preserve"> </w:t>
      </w:r>
      <w:r>
        <w:rPr>
          <w:rFonts w:ascii="Times New Roman" w:hAnsi="Times New Roman" w:eastAsia="Times New Roman" w:cs="Times New Roman"/>
          <w:spacing w:val="-3"/>
          <w:sz w:val="20"/>
          <w:szCs w:val="20"/>
        </w:rPr>
        <w:t>avian</w:t>
      </w:r>
      <w:r>
        <w:rPr>
          <w:rFonts w:ascii="Times New Roman" w:hAnsi="Times New Roman" w:eastAsia="Times New Roman" w:cs="Times New Roman"/>
          <w:spacing w:val="35"/>
          <w:sz w:val="20"/>
          <w:szCs w:val="20"/>
        </w:rPr>
        <w:t xml:space="preserve"> </w:t>
      </w:r>
      <w:r>
        <w:rPr>
          <w:rFonts w:ascii="Times New Roman" w:hAnsi="Times New Roman" w:eastAsia="Times New Roman" w:cs="Times New Roman"/>
          <w:spacing w:val="-3"/>
          <w:sz w:val="20"/>
          <w:szCs w:val="20"/>
        </w:rPr>
        <w:t>influenza),</w:t>
      </w:r>
      <w:r>
        <w:rPr>
          <w:rFonts w:ascii="宋体" w:hAnsi="宋体" w:eastAsia="宋体" w:cs="宋体"/>
          <w:spacing w:val="-3"/>
          <w:sz w:val="20"/>
          <w:szCs w:val="20"/>
        </w:rPr>
        <w:t>简称“人禽流感”</w:t>
      </w:r>
      <w:r>
        <w:rPr>
          <w:rFonts w:ascii="Times New Roman" w:hAnsi="Times New Roman" w:eastAsia="Times New Roman" w:cs="Times New Roman"/>
          <w:spacing w:val="-3"/>
          <w:sz w:val="20"/>
          <w:szCs w:val="20"/>
        </w:rPr>
        <w:t>(human avian influenza)</w:t>
      </w:r>
      <w:r>
        <w:rPr>
          <w:rFonts w:ascii="宋体" w:hAnsi="宋体" w:eastAsia="宋体" w:cs="宋体"/>
          <w:spacing w:val="-3"/>
          <w:sz w:val="20"/>
          <w:szCs w:val="20"/>
        </w:rPr>
        <w:t>。</w:t>
      </w:r>
    </w:p>
    <w:p w14:paraId="0C2E7FBC">
      <w:pPr>
        <w:pStyle w:val="2"/>
        <w:spacing w:before="208" w:line="221" w:lineRule="auto"/>
        <w:ind w:left="453"/>
        <w:outlineLvl w:val="4"/>
        <w:rPr>
          <w:sz w:val="25"/>
          <w:szCs w:val="25"/>
        </w:rPr>
      </w:pPr>
      <w:bookmarkStart w:id="606" w:name="bookmark387"/>
      <w:bookmarkEnd w:id="606"/>
      <w:r>
        <w:rPr>
          <w:b/>
          <w:bCs/>
          <w:spacing w:val="-14"/>
          <w:sz w:val="25"/>
          <w:szCs w:val="25"/>
        </w:rPr>
        <w:t>一</w:t>
      </w:r>
      <w:r>
        <w:rPr>
          <w:spacing w:val="-56"/>
          <w:sz w:val="25"/>
          <w:szCs w:val="25"/>
        </w:rPr>
        <w:t xml:space="preserve"> </w:t>
      </w:r>
      <w:r>
        <w:rPr>
          <w:b/>
          <w:bCs/>
          <w:spacing w:val="-14"/>
          <w:sz w:val="25"/>
          <w:szCs w:val="25"/>
        </w:rPr>
        <w:t>、流行概况</w:t>
      </w:r>
    </w:p>
    <w:p w14:paraId="2877C4D6">
      <w:pPr>
        <w:spacing w:before="255" w:line="341" w:lineRule="auto"/>
        <w:ind w:right="641" w:firstLine="449"/>
        <w:jc w:val="both"/>
        <w:rPr>
          <w:rFonts w:ascii="宋体" w:hAnsi="宋体" w:eastAsia="宋体" w:cs="宋体"/>
          <w:sz w:val="20"/>
          <w:szCs w:val="20"/>
        </w:rPr>
      </w:pPr>
      <w:r>
        <w:rPr>
          <w:rFonts w:ascii="宋体" w:hAnsi="宋体" w:eastAsia="宋体" w:cs="宋体"/>
          <w:spacing w:val="-1"/>
          <w:sz w:val="20"/>
          <w:szCs w:val="20"/>
        </w:rPr>
        <w:t>1997年，在中国香港3个农场发生家禽H5N1 流感，并导致18人感染发病、6人死亡，首次证实</w:t>
      </w:r>
      <w:r>
        <w:rPr>
          <w:rFonts w:ascii="宋体" w:hAnsi="宋体" w:eastAsia="宋体" w:cs="宋体"/>
          <w:spacing w:val="15"/>
          <w:sz w:val="20"/>
          <w:szCs w:val="20"/>
        </w:rPr>
        <w:t xml:space="preserve"> </w:t>
      </w:r>
      <w:r>
        <w:rPr>
          <w:rFonts w:ascii="宋体" w:hAnsi="宋体" w:eastAsia="宋体" w:cs="宋体"/>
          <w:spacing w:val="2"/>
          <w:sz w:val="20"/>
          <w:szCs w:val="20"/>
        </w:rPr>
        <w:t>高致病性禽流感可以危及人类生命。2003年2月，H5N1</w:t>
      </w:r>
      <w:r>
        <w:rPr>
          <w:rFonts w:ascii="宋体" w:hAnsi="宋体" w:eastAsia="宋体" w:cs="宋体"/>
          <w:spacing w:val="33"/>
          <w:sz w:val="20"/>
          <w:szCs w:val="20"/>
        </w:rPr>
        <w:t xml:space="preserve"> </w:t>
      </w:r>
      <w:r>
        <w:rPr>
          <w:rFonts w:ascii="宋体" w:hAnsi="宋体" w:eastAsia="宋体" w:cs="宋体"/>
          <w:spacing w:val="2"/>
          <w:sz w:val="20"/>
          <w:szCs w:val="20"/>
        </w:rPr>
        <w:t>病毒开始在部分东南亚</w:t>
      </w:r>
      <w:r>
        <w:rPr>
          <w:rFonts w:ascii="宋体" w:hAnsi="宋体" w:eastAsia="宋体" w:cs="宋体"/>
          <w:spacing w:val="1"/>
          <w:sz w:val="20"/>
          <w:szCs w:val="20"/>
        </w:rPr>
        <w:t>国家禽类中广泛循</w:t>
      </w:r>
      <w:r>
        <w:rPr>
          <w:rFonts w:ascii="宋体" w:hAnsi="宋体" w:eastAsia="宋体" w:cs="宋体"/>
          <w:sz w:val="20"/>
          <w:szCs w:val="20"/>
        </w:rPr>
        <w:t xml:space="preserve"> </w:t>
      </w:r>
      <w:r>
        <w:rPr>
          <w:rFonts w:ascii="宋体" w:hAnsi="宋体" w:eastAsia="宋体" w:cs="宋体"/>
          <w:spacing w:val="5"/>
          <w:sz w:val="20"/>
          <w:szCs w:val="20"/>
        </w:rPr>
        <w:t>环，数月内迅速波及8个国家。</w:t>
      </w:r>
    </w:p>
    <w:p w14:paraId="2CE8E5A6">
      <w:pPr>
        <w:spacing w:before="1" w:line="333" w:lineRule="auto"/>
        <w:ind w:right="613" w:firstLine="449"/>
        <w:jc w:val="both"/>
        <w:rPr>
          <w:rFonts w:ascii="宋体" w:hAnsi="宋体" w:eastAsia="宋体" w:cs="宋体"/>
          <w:sz w:val="20"/>
          <w:szCs w:val="20"/>
        </w:rPr>
      </w:pPr>
      <w:r>
        <w:rPr>
          <w:rFonts w:ascii="宋体" w:hAnsi="宋体" w:eastAsia="宋体" w:cs="宋体"/>
          <w:spacing w:val="12"/>
          <w:sz w:val="20"/>
          <w:szCs w:val="20"/>
        </w:rPr>
        <w:t>自2003年1月至2024年9月27日，报告给</w:t>
      </w:r>
      <w:r>
        <w:rPr>
          <w:rFonts w:ascii="宋体" w:hAnsi="宋体" w:eastAsia="宋体" w:cs="宋体"/>
          <w:sz w:val="20"/>
          <w:szCs w:val="20"/>
        </w:rPr>
        <w:t>WHO</w:t>
      </w:r>
      <w:r>
        <w:rPr>
          <w:rFonts w:ascii="宋体" w:hAnsi="宋体" w:eastAsia="宋体" w:cs="宋体"/>
          <w:spacing w:val="9"/>
          <w:sz w:val="20"/>
          <w:szCs w:val="20"/>
        </w:rPr>
        <w:t xml:space="preserve">  </w:t>
      </w:r>
      <w:r>
        <w:rPr>
          <w:rFonts w:ascii="宋体" w:hAnsi="宋体" w:eastAsia="宋体" w:cs="宋体"/>
          <w:spacing w:val="12"/>
          <w:sz w:val="20"/>
          <w:szCs w:val="20"/>
        </w:rPr>
        <w:t>的人感染H5N1 禽流感病例为904例，死亡</w:t>
      </w:r>
      <w:r>
        <w:rPr>
          <w:rFonts w:ascii="宋体" w:hAnsi="宋体" w:eastAsia="宋体" w:cs="宋体"/>
          <w:spacing w:val="1"/>
          <w:sz w:val="20"/>
          <w:szCs w:val="20"/>
        </w:rPr>
        <w:t xml:space="preserve"> </w:t>
      </w:r>
      <w:r>
        <w:rPr>
          <w:rFonts w:ascii="宋体" w:hAnsi="宋体" w:eastAsia="宋体" w:cs="宋体"/>
          <w:spacing w:val="-12"/>
          <w:sz w:val="20"/>
          <w:szCs w:val="20"/>
        </w:rPr>
        <w:t>464例。已有中国、越南、泰国、柬埔寨、印度、印度尼西亚、尼泊尔、阿塞拜疆、吉布提、埃及、土耳</w:t>
      </w:r>
      <w:r>
        <w:rPr>
          <w:rFonts w:ascii="宋体" w:hAnsi="宋体" w:eastAsia="宋体" w:cs="宋体"/>
          <w:spacing w:val="10"/>
          <w:sz w:val="20"/>
          <w:szCs w:val="20"/>
        </w:rPr>
        <w:t xml:space="preserve"> </w:t>
      </w:r>
      <w:r>
        <w:rPr>
          <w:rFonts w:ascii="宋体" w:hAnsi="宋体" w:eastAsia="宋体" w:cs="宋体"/>
          <w:spacing w:val="-18"/>
          <w:sz w:val="20"/>
          <w:szCs w:val="20"/>
        </w:rPr>
        <w:t>其、伊拉克、老挝、缅甸、尼日利亚、巴基</w:t>
      </w:r>
      <w:r>
        <w:rPr>
          <w:rFonts w:ascii="宋体" w:hAnsi="宋体" w:eastAsia="宋体" w:cs="宋体"/>
          <w:spacing w:val="-19"/>
          <w:sz w:val="20"/>
          <w:szCs w:val="20"/>
        </w:rPr>
        <w:t>斯坦、孟加拉国、英国、西班牙、美国、加拿大、澳大利亚、智</w:t>
      </w:r>
      <w:r>
        <w:rPr>
          <w:rFonts w:ascii="宋体" w:hAnsi="宋体" w:eastAsia="宋体" w:cs="宋体"/>
          <w:sz w:val="20"/>
          <w:szCs w:val="20"/>
        </w:rPr>
        <w:t xml:space="preserve"> </w:t>
      </w:r>
      <w:r>
        <w:rPr>
          <w:rFonts w:ascii="宋体" w:hAnsi="宋体" w:eastAsia="宋体" w:cs="宋体"/>
          <w:spacing w:val="4"/>
          <w:sz w:val="20"/>
          <w:szCs w:val="20"/>
        </w:rPr>
        <w:t>利和厄瓜多尔等24个国家报告了人感染</w:t>
      </w:r>
      <w:r>
        <w:rPr>
          <w:rFonts w:ascii="Times New Roman" w:hAnsi="Times New Roman" w:eastAsia="Times New Roman" w:cs="Times New Roman"/>
          <w:spacing w:val="4"/>
          <w:sz w:val="20"/>
          <w:szCs w:val="20"/>
        </w:rPr>
        <w:t xml:space="preserve">H5N1 </w:t>
      </w:r>
      <w:r>
        <w:rPr>
          <w:rFonts w:ascii="宋体" w:hAnsi="宋体" w:eastAsia="宋体" w:cs="宋体"/>
          <w:spacing w:val="4"/>
          <w:sz w:val="20"/>
          <w:szCs w:val="20"/>
        </w:rPr>
        <w:t>禽流感病例。原卫生部追溯诊断的结果证明，中国</w:t>
      </w:r>
      <w:r>
        <w:rPr>
          <w:rFonts w:ascii="宋体" w:hAnsi="宋体" w:eastAsia="宋体" w:cs="宋体"/>
          <w:spacing w:val="10"/>
          <w:sz w:val="20"/>
          <w:szCs w:val="20"/>
        </w:rPr>
        <w:t xml:space="preserve"> </w:t>
      </w:r>
      <w:r>
        <w:rPr>
          <w:rFonts w:ascii="宋体" w:hAnsi="宋体" w:eastAsia="宋体" w:cs="宋体"/>
          <w:spacing w:val="9"/>
          <w:sz w:val="20"/>
          <w:szCs w:val="20"/>
        </w:rPr>
        <w:t>内地目前已知最早的经实验室确诊的人禽流感病例发生在2003年。截至2024年9月27日，中国</w:t>
      </w:r>
      <w:r>
        <w:rPr>
          <w:rFonts w:ascii="宋体" w:hAnsi="宋体" w:eastAsia="宋体" w:cs="宋体"/>
          <w:spacing w:val="15"/>
          <w:sz w:val="20"/>
          <w:szCs w:val="20"/>
        </w:rPr>
        <w:t xml:space="preserve"> </w:t>
      </w:r>
      <w:r>
        <w:rPr>
          <w:rFonts w:ascii="宋体" w:hAnsi="宋体" w:eastAsia="宋体" w:cs="宋体"/>
          <w:spacing w:val="9"/>
          <w:sz w:val="20"/>
          <w:szCs w:val="20"/>
        </w:rPr>
        <w:t>确诊人感染</w:t>
      </w:r>
      <w:r>
        <w:rPr>
          <w:rFonts w:ascii="Times New Roman" w:hAnsi="Times New Roman" w:eastAsia="Times New Roman" w:cs="Times New Roman"/>
          <w:spacing w:val="9"/>
          <w:sz w:val="20"/>
          <w:szCs w:val="20"/>
        </w:rPr>
        <w:t>H5N1</w:t>
      </w:r>
      <w:r>
        <w:rPr>
          <w:rFonts w:ascii="宋体" w:hAnsi="宋体" w:eastAsia="宋体" w:cs="宋体"/>
          <w:spacing w:val="9"/>
          <w:sz w:val="20"/>
          <w:szCs w:val="20"/>
        </w:rPr>
        <w:t>禽流感病例达56例，其中死亡3</w:t>
      </w:r>
      <w:r>
        <w:rPr>
          <w:rFonts w:ascii="宋体" w:hAnsi="宋体" w:eastAsia="宋体" w:cs="宋体"/>
          <w:spacing w:val="8"/>
          <w:sz w:val="20"/>
          <w:szCs w:val="20"/>
        </w:rPr>
        <w:t>2例。</w:t>
      </w:r>
    </w:p>
    <w:p w14:paraId="56A29C06">
      <w:pPr>
        <w:spacing w:before="24" w:line="333" w:lineRule="auto"/>
        <w:ind w:right="551" w:firstLine="449"/>
        <w:jc w:val="both"/>
        <w:rPr>
          <w:rFonts w:ascii="宋体" w:hAnsi="宋体" w:eastAsia="宋体" w:cs="宋体"/>
          <w:sz w:val="20"/>
          <w:szCs w:val="20"/>
        </w:rPr>
      </w:pPr>
      <w:r>
        <w:rPr>
          <w:rFonts w:ascii="宋体" w:hAnsi="宋体" w:eastAsia="宋体" w:cs="宋体"/>
          <w:spacing w:val="10"/>
          <w:sz w:val="20"/>
          <w:szCs w:val="20"/>
        </w:rPr>
        <w:t>2013年3月31日，我国报告了世界上首例人感染H7N9</w:t>
      </w:r>
      <w:r>
        <w:rPr>
          <w:rFonts w:ascii="宋体" w:hAnsi="宋体" w:eastAsia="宋体" w:cs="宋体"/>
          <w:spacing w:val="90"/>
          <w:sz w:val="20"/>
          <w:szCs w:val="20"/>
        </w:rPr>
        <w:t xml:space="preserve"> </w:t>
      </w:r>
      <w:r>
        <w:rPr>
          <w:rFonts w:ascii="宋体" w:hAnsi="宋体" w:eastAsia="宋体" w:cs="宋体"/>
          <w:spacing w:val="10"/>
          <w:sz w:val="20"/>
          <w:szCs w:val="20"/>
        </w:rPr>
        <w:t>禽流感病毒病例，该事件也标志着</w:t>
      </w:r>
      <w:r>
        <w:rPr>
          <w:rFonts w:ascii="宋体" w:hAnsi="宋体" w:eastAsia="宋体" w:cs="宋体"/>
          <w:sz w:val="20"/>
          <w:szCs w:val="20"/>
        </w:rPr>
        <w:t xml:space="preserve"> </w:t>
      </w:r>
      <w:r>
        <w:rPr>
          <w:rFonts w:ascii="Times New Roman" w:hAnsi="Times New Roman" w:eastAsia="Times New Roman" w:cs="Times New Roman"/>
          <w:spacing w:val="2"/>
          <w:sz w:val="20"/>
          <w:szCs w:val="20"/>
        </w:rPr>
        <w:t>H7N9</w:t>
      </w:r>
      <w:r>
        <w:rPr>
          <w:rFonts w:ascii="Times New Roman" w:hAnsi="Times New Roman" w:eastAsia="Times New Roman" w:cs="Times New Roman"/>
          <w:spacing w:val="26"/>
          <w:w w:val="101"/>
          <w:sz w:val="20"/>
          <w:szCs w:val="20"/>
        </w:rPr>
        <w:t xml:space="preserve"> </w:t>
      </w:r>
      <w:r>
        <w:rPr>
          <w:rFonts w:ascii="宋体" w:hAnsi="宋体" w:eastAsia="宋体" w:cs="宋体"/>
          <w:spacing w:val="2"/>
          <w:sz w:val="20"/>
          <w:szCs w:val="20"/>
        </w:rPr>
        <w:t>亚型第一次在人类、家禽或其他动物中发现。随后我国持续出现人感染</w:t>
      </w:r>
      <w:r>
        <w:rPr>
          <w:rFonts w:ascii="Times New Roman" w:hAnsi="Times New Roman" w:eastAsia="Times New Roman" w:cs="Times New Roman"/>
          <w:spacing w:val="2"/>
          <w:sz w:val="20"/>
          <w:szCs w:val="20"/>
        </w:rPr>
        <w:t>H7N9</w:t>
      </w:r>
      <w:r>
        <w:rPr>
          <w:rFonts w:ascii="Times New Roman" w:hAnsi="Times New Roman" w:eastAsia="Times New Roman" w:cs="Times New Roman"/>
          <w:spacing w:val="14"/>
          <w:w w:val="101"/>
          <w:sz w:val="20"/>
          <w:szCs w:val="20"/>
        </w:rPr>
        <w:t xml:space="preserve"> </w:t>
      </w:r>
      <w:r>
        <w:rPr>
          <w:rFonts w:ascii="宋体" w:hAnsi="宋体" w:eastAsia="宋体" w:cs="宋体"/>
          <w:spacing w:val="2"/>
          <w:sz w:val="20"/>
          <w:szCs w:val="20"/>
        </w:rPr>
        <w:t>禽流感病例，</w:t>
      </w:r>
      <w:r>
        <w:rPr>
          <w:rFonts w:ascii="宋体" w:hAnsi="宋体" w:eastAsia="宋体" w:cs="宋体"/>
          <w:sz w:val="20"/>
          <w:szCs w:val="20"/>
        </w:rPr>
        <w:t xml:space="preserve"> </w:t>
      </w:r>
      <w:r>
        <w:rPr>
          <w:rFonts w:ascii="宋体" w:hAnsi="宋体" w:eastAsia="宋体" w:cs="宋体"/>
          <w:spacing w:val="10"/>
          <w:sz w:val="20"/>
          <w:szCs w:val="20"/>
        </w:rPr>
        <w:t>截至2018年9月5日，全国已累计报告人感染</w:t>
      </w:r>
      <w:r>
        <w:rPr>
          <w:rFonts w:ascii="Times New Roman" w:hAnsi="Times New Roman" w:eastAsia="Times New Roman" w:cs="Times New Roman"/>
          <w:spacing w:val="10"/>
          <w:sz w:val="20"/>
          <w:szCs w:val="20"/>
        </w:rPr>
        <w:t xml:space="preserve">H7N9 </w:t>
      </w:r>
      <w:r>
        <w:rPr>
          <w:rFonts w:ascii="宋体" w:hAnsi="宋体" w:eastAsia="宋体" w:cs="宋体"/>
          <w:spacing w:val="10"/>
          <w:sz w:val="20"/>
          <w:szCs w:val="20"/>
        </w:rPr>
        <w:t>禽流感1567例，死亡615例。此外，人感染</w:t>
      </w:r>
      <w:r>
        <w:rPr>
          <w:rFonts w:ascii="宋体" w:hAnsi="宋体" w:eastAsia="宋体" w:cs="宋体"/>
          <w:spacing w:val="18"/>
          <w:sz w:val="20"/>
          <w:szCs w:val="20"/>
        </w:rPr>
        <w:t xml:space="preserve"> </w:t>
      </w:r>
      <w:r>
        <w:rPr>
          <w:rFonts w:ascii="宋体" w:hAnsi="宋体" w:eastAsia="宋体" w:cs="宋体"/>
          <w:spacing w:val="4"/>
          <w:sz w:val="20"/>
          <w:szCs w:val="20"/>
        </w:rPr>
        <w:t>H5N6 禽流感等确诊病例也有报告。</w:t>
      </w:r>
    </w:p>
    <w:p w14:paraId="323D3E48">
      <w:pPr>
        <w:pStyle w:val="2"/>
        <w:spacing w:before="214" w:line="221" w:lineRule="auto"/>
        <w:ind w:left="452"/>
        <w:outlineLvl w:val="4"/>
        <w:rPr>
          <w:sz w:val="20"/>
          <w:szCs w:val="20"/>
        </w:rPr>
      </w:pPr>
      <w:bookmarkStart w:id="607" w:name="bookmark388"/>
      <w:bookmarkEnd w:id="607"/>
      <w:r>
        <w:rPr>
          <w:b/>
          <w:bCs/>
          <w:spacing w:val="-13"/>
          <w:sz w:val="20"/>
          <w:szCs w:val="20"/>
        </w:rPr>
        <w:t>二</w:t>
      </w:r>
      <w:r>
        <w:rPr>
          <w:spacing w:val="-13"/>
          <w:sz w:val="20"/>
          <w:szCs w:val="20"/>
        </w:rPr>
        <w:t xml:space="preserve"> </w:t>
      </w:r>
      <w:r>
        <w:rPr>
          <w:b/>
          <w:bCs/>
          <w:spacing w:val="-13"/>
          <w:sz w:val="20"/>
          <w:szCs w:val="20"/>
        </w:rPr>
        <w:t>、流</w:t>
      </w:r>
      <w:r>
        <w:rPr>
          <w:spacing w:val="-13"/>
          <w:sz w:val="20"/>
          <w:szCs w:val="20"/>
        </w:rPr>
        <w:t xml:space="preserve"> </w:t>
      </w:r>
      <w:r>
        <w:rPr>
          <w:b/>
          <w:bCs/>
          <w:spacing w:val="-13"/>
          <w:sz w:val="20"/>
          <w:szCs w:val="20"/>
        </w:rPr>
        <w:t>行</w:t>
      </w:r>
      <w:r>
        <w:rPr>
          <w:spacing w:val="-19"/>
          <w:sz w:val="20"/>
          <w:szCs w:val="20"/>
        </w:rPr>
        <w:t xml:space="preserve"> </w:t>
      </w:r>
      <w:r>
        <w:rPr>
          <w:b/>
          <w:bCs/>
          <w:spacing w:val="-13"/>
          <w:sz w:val="20"/>
          <w:szCs w:val="20"/>
        </w:rPr>
        <w:t>过</w:t>
      </w:r>
      <w:r>
        <w:rPr>
          <w:spacing w:val="-23"/>
          <w:sz w:val="20"/>
          <w:szCs w:val="20"/>
        </w:rPr>
        <w:t xml:space="preserve"> </w:t>
      </w:r>
      <w:r>
        <w:rPr>
          <w:b/>
          <w:bCs/>
          <w:spacing w:val="-13"/>
          <w:sz w:val="20"/>
          <w:szCs w:val="20"/>
        </w:rPr>
        <w:t>程</w:t>
      </w:r>
    </w:p>
    <w:p w14:paraId="23681771">
      <w:pPr>
        <w:pStyle w:val="2"/>
        <w:spacing w:before="263" w:line="343" w:lineRule="auto"/>
        <w:ind w:right="614" w:firstLine="449"/>
        <w:jc w:val="both"/>
        <w:rPr>
          <w:rFonts w:ascii="宋体" w:hAnsi="宋体" w:eastAsia="宋体" w:cs="宋体"/>
          <w:sz w:val="20"/>
          <w:szCs w:val="20"/>
        </w:rPr>
      </w:pPr>
      <w:r>
        <w:rPr>
          <w:rFonts w:ascii="宋体" w:hAnsi="宋体" w:eastAsia="宋体" w:cs="宋体"/>
          <w:spacing w:val="-1"/>
          <w:sz w:val="20"/>
          <w:szCs w:val="20"/>
        </w:rPr>
        <w:t xml:space="preserve">1. </w:t>
      </w:r>
      <w:r>
        <w:rPr>
          <w:spacing w:val="-1"/>
          <w:sz w:val="20"/>
          <w:szCs w:val="20"/>
        </w:rPr>
        <w:t xml:space="preserve">传染源 </w:t>
      </w:r>
      <w:r>
        <w:rPr>
          <w:rFonts w:ascii="宋体" w:hAnsi="宋体" w:eastAsia="宋体" w:cs="宋体"/>
          <w:spacing w:val="-1"/>
          <w:sz w:val="20"/>
          <w:szCs w:val="20"/>
        </w:rPr>
        <w:t>人禽流感的传染源多为患禽流感或携带禽流</w:t>
      </w:r>
      <w:r>
        <w:rPr>
          <w:rFonts w:ascii="宋体" w:hAnsi="宋体" w:eastAsia="宋体" w:cs="宋体"/>
          <w:spacing w:val="-2"/>
          <w:sz w:val="20"/>
          <w:szCs w:val="20"/>
        </w:rPr>
        <w:t>感病毒的鸡、鸭、鹅等家禽。H5N1</w:t>
      </w:r>
      <w:r>
        <w:rPr>
          <w:rFonts w:ascii="宋体" w:hAnsi="宋体" w:eastAsia="宋体" w:cs="宋体"/>
          <w:spacing w:val="44"/>
          <w:sz w:val="20"/>
          <w:szCs w:val="20"/>
        </w:rPr>
        <w:t xml:space="preserve"> </w:t>
      </w:r>
      <w:r>
        <w:rPr>
          <w:rFonts w:ascii="宋体" w:hAnsi="宋体" w:eastAsia="宋体" w:cs="宋体"/>
          <w:spacing w:val="-2"/>
          <w:sz w:val="20"/>
          <w:szCs w:val="20"/>
        </w:rPr>
        <w:t>病</w:t>
      </w:r>
      <w:r>
        <w:rPr>
          <w:rFonts w:ascii="宋体" w:hAnsi="宋体" w:eastAsia="宋体" w:cs="宋体"/>
          <w:sz w:val="20"/>
          <w:szCs w:val="20"/>
        </w:rPr>
        <w:t xml:space="preserve"> </w:t>
      </w:r>
      <w:r>
        <w:rPr>
          <w:rFonts w:ascii="宋体" w:hAnsi="宋体" w:eastAsia="宋体" w:cs="宋体"/>
          <w:spacing w:val="-5"/>
          <w:sz w:val="20"/>
          <w:szCs w:val="20"/>
        </w:rPr>
        <w:t>毒不断进化，其宿主范围也相应不断扩大，可感染虎、家猫等哺乳动物，2024年美国报道</w:t>
      </w:r>
      <w:r>
        <w:rPr>
          <w:rFonts w:ascii="Times New Roman" w:hAnsi="Times New Roman" w:eastAsia="Times New Roman" w:cs="Times New Roman"/>
          <w:spacing w:val="-5"/>
          <w:sz w:val="20"/>
          <w:szCs w:val="20"/>
        </w:rPr>
        <w:t xml:space="preserve">H5N1 </w:t>
      </w:r>
      <w:r>
        <w:rPr>
          <w:rFonts w:ascii="宋体" w:hAnsi="宋体" w:eastAsia="宋体" w:cs="宋体"/>
          <w:spacing w:val="-5"/>
          <w:sz w:val="20"/>
          <w:szCs w:val="20"/>
        </w:rPr>
        <w:t>禽流</w:t>
      </w:r>
      <w:r>
        <w:rPr>
          <w:rFonts w:ascii="宋体" w:hAnsi="宋体" w:eastAsia="宋体" w:cs="宋体"/>
          <w:sz w:val="20"/>
          <w:szCs w:val="20"/>
        </w:rPr>
        <w:t xml:space="preserve"> </w:t>
      </w:r>
      <w:r>
        <w:rPr>
          <w:rFonts w:ascii="宋体" w:hAnsi="宋体" w:eastAsia="宋体" w:cs="宋体"/>
          <w:spacing w:val="-1"/>
          <w:sz w:val="20"/>
          <w:szCs w:val="20"/>
        </w:rPr>
        <w:t>感病毒感染奶牛，并通过与奶牛的接触导致人的感染。水禽可排出病毒但</w:t>
      </w:r>
      <w:r>
        <w:rPr>
          <w:rFonts w:ascii="宋体" w:hAnsi="宋体" w:eastAsia="宋体" w:cs="宋体"/>
          <w:spacing w:val="-2"/>
          <w:sz w:val="20"/>
          <w:szCs w:val="20"/>
        </w:rPr>
        <w:t>表现为隐性感染，在维持</w:t>
      </w:r>
    </w:p>
    <w:p w14:paraId="60EB5218">
      <w:pPr>
        <w:spacing w:line="343" w:lineRule="auto"/>
        <w:rPr>
          <w:rFonts w:ascii="宋体" w:hAnsi="宋体" w:eastAsia="宋体" w:cs="宋体"/>
          <w:sz w:val="20"/>
          <w:szCs w:val="20"/>
        </w:rPr>
        <w:sectPr>
          <w:footerReference r:id="rId378" w:type="default"/>
          <w:pgSz w:w="11900" w:h="16820"/>
          <w:pgMar w:top="400" w:right="1058" w:bottom="929" w:left="1680" w:header="0" w:footer="749" w:gutter="0"/>
          <w:cols w:space="720" w:num="1"/>
        </w:sectPr>
      </w:pPr>
    </w:p>
    <w:p w14:paraId="43C34CF8">
      <w:pPr>
        <w:spacing w:line="276" w:lineRule="auto"/>
        <w:rPr>
          <w:rFonts w:ascii="Arial"/>
          <w:sz w:val="21"/>
        </w:rPr>
      </w:pPr>
    </w:p>
    <w:p w14:paraId="1211195E">
      <w:pPr>
        <w:pStyle w:val="2"/>
        <w:spacing w:before="69" w:line="221" w:lineRule="auto"/>
        <w:ind w:left="700"/>
        <w:rPr>
          <w:sz w:val="21"/>
          <w:szCs w:val="21"/>
        </w:rPr>
      </w:pPr>
      <w:r>
        <w:rPr>
          <w:spacing w:val="-20"/>
          <w:sz w:val="21"/>
          <w:szCs w:val="21"/>
        </w:rPr>
        <w:t>第二十三章流行性感冒</w:t>
      </w:r>
    </w:p>
    <w:p w14:paraId="27B441C7">
      <w:pPr>
        <w:spacing w:line="263" w:lineRule="auto"/>
        <w:rPr>
          <w:rFonts w:ascii="Arial"/>
          <w:sz w:val="21"/>
        </w:rPr>
      </w:pPr>
    </w:p>
    <w:p w14:paraId="02DE26CC">
      <w:pPr>
        <w:spacing w:line="264" w:lineRule="auto"/>
        <w:rPr>
          <w:rFonts w:ascii="Arial"/>
          <w:sz w:val="21"/>
        </w:rPr>
      </w:pPr>
    </w:p>
    <w:p w14:paraId="6BC88248">
      <w:pPr>
        <w:spacing w:before="69" w:line="219" w:lineRule="auto"/>
        <w:ind w:left="700"/>
        <w:rPr>
          <w:rFonts w:ascii="宋体" w:hAnsi="宋体" w:eastAsia="宋体" w:cs="宋体"/>
          <w:sz w:val="21"/>
          <w:szCs w:val="21"/>
        </w:rPr>
      </w:pPr>
      <w:r>
        <w:rPr>
          <w:rFonts w:ascii="宋体" w:hAnsi="宋体" w:eastAsia="宋体" w:cs="宋体"/>
          <w:spacing w:val="2"/>
          <w:sz w:val="21"/>
          <w:szCs w:val="21"/>
        </w:rPr>
        <w:t>传播方面的作用不容忽视。目前仅出现有限的人际传播。</w:t>
      </w:r>
    </w:p>
    <w:p w14:paraId="10BDE9CE">
      <w:pPr>
        <w:pStyle w:val="2"/>
        <w:spacing w:before="131" w:line="268" w:lineRule="auto"/>
        <w:ind w:left="700" w:right="259" w:firstLine="399"/>
        <w:rPr>
          <w:rFonts w:ascii="宋体" w:hAnsi="宋体" w:eastAsia="宋体" w:cs="宋体"/>
          <w:sz w:val="21"/>
          <w:szCs w:val="21"/>
        </w:rPr>
      </w:pPr>
      <w:r>
        <w:rPr>
          <w:rFonts w:ascii="宋体" w:hAnsi="宋体" w:eastAsia="宋体" w:cs="宋体"/>
          <w:spacing w:val="5"/>
          <w:sz w:val="21"/>
          <w:szCs w:val="21"/>
        </w:rPr>
        <w:t xml:space="preserve">2. </w:t>
      </w:r>
      <w:r>
        <w:rPr>
          <w:spacing w:val="5"/>
          <w:sz w:val="21"/>
          <w:szCs w:val="21"/>
        </w:rPr>
        <w:t xml:space="preserve">传播途径 </w:t>
      </w:r>
      <w:r>
        <w:rPr>
          <w:rFonts w:ascii="宋体" w:hAnsi="宋体" w:eastAsia="宋体" w:cs="宋体"/>
          <w:spacing w:val="5"/>
          <w:sz w:val="21"/>
          <w:szCs w:val="21"/>
        </w:rPr>
        <w:t>禽流感病毒主要通过密切接触</w:t>
      </w:r>
      <w:r>
        <w:rPr>
          <w:rFonts w:ascii="宋体" w:hAnsi="宋体" w:eastAsia="宋体" w:cs="宋体"/>
          <w:spacing w:val="4"/>
          <w:sz w:val="21"/>
          <w:szCs w:val="21"/>
        </w:rPr>
        <w:t>受感染禽类、人禽流感病人及其分泌物、排泄物</w:t>
      </w:r>
      <w:r>
        <w:rPr>
          <w:rFonts w:ascii="宋体" w:hAnsi="宋体" w:eastAsia="宋体" w:cs="宋体"/>
          <w:sz w:val="21"/>
          <w:szCs w:val="21"/>
        </w:rPr>
        <w:t xml:space="preserve"> </w:t>
      </w:r>
      <w:r>
        <w:rPr>
          <w:rFonts w:ascii="宋体" w:hAnsi="宋体" w:eastAsia="宋体" w:cs="宋体"/>
          <w:spacing w:val="-3"/>
          <w:sz w:val="21"/>
          <w:szCs w:val="21"/>
        </w:rPr>
        <w:t>等，以及直接接触病毒毒株而感染。</w:t>
      </w:r>
    </w:p>
    <w:p w14:paraId="50B55CD1">
      <w:pPr>
        <w:pStyle w:val="2"/>
        <w:spacing w:before="118" w:line="221" w:lineRule="auto"/>
        <w:ind w:left="1100"/>
        <w:rPr>
          <w:rFonts w:ascii="宋体" w:hAnsi="宋体" w:eastAsia="宋体" w:cs="宋体"/>
          <w:sz w:val="21"/>
          <w:szCs w:val="21"/>
        </w:rPr>
      </w:pPr>
      <w:r>
        <w:rPr>
          <w:rFonts w:ascii="宋体" w:hAnsi="宋体" w:eastAsia="宋体" w:cs="宋体"/>
          <w:spacing w:val="3"/>
          <w:sz w:val="21"/>
          <w:szCs w:val="21"/>
        </w:rPr>
        <w:t>3.</w:t>
      </w:r>
      <w:r>
        <w:rPr>
          <w:rFonts w:ascii="宋体" w:hAnsi="宋体" w:eastAsia="宋体" w:cs="宋体"/>
          <w:spacing w:val="-10"/>
          <w:sz w:val="21"/>
          <w:szCs w:val="21"/>
        </w:rPr>
        <w:t xml:space="preserve"> </w:t>
      </w:r>
      <w:r>
        <w:rPr>
          <w:spacing w:val="3"/>
          <w:sz w:val="21"/>
          <w:szCs w:val="21"/>
        </w:rPr>
        <w:t>易感人群</w:t>
      </w:r>
      <w:r>
        <w:rPr>
          <w:spacing w:val="85"/>
          <w:sz w:val="21"/>
          <w:szCs w:val="21"/>
        </w:rPr>
        <w:t xml:space="preserve"> </w:t>
      </w:r>
      <w:r>
        <w:rPr>
          <w:rFonts w:ascii="宋体" w:hAnsi="宋体" w:eastAsia="宋体" w:cs="宋体"/>
          <w:spacing w:val="3"/>
          <w:sz w:val="21"/>
          <w:szCs w:val="21"/>
        </w:rPr>
        <w:t>一般认为任何年龄人群均具有易感性。</w:t>
      </w:r>
    </w:p>
    <w:p w14:paraId="03AA20AD">
      <w:pPr>
        <w:pStyle w:val="2"/>
        <w:spacing w:before="286" w:line="221" w:lineRule="auto"/>
        <w:ind w:left="1103"/>
        <w:outlineLvl w:val="4"/>
        <w:rPr>
          <w:sz w:val="26"/>
          <w:szCs w:val="26"/>
        </w:rPr>
      </w:pPr>
      <w:bookmarkStart w:id="608" w:name="bookmark389"/>
      <w:bookmarkEnd w:id="608"/>
      <w:r>
        <w:rPr>
          <w:b/>
          <w:bCs/>
          <w:spacing w:val="-12"/>
          <w:sz w:val="26"/>
          <w:szCs w:val="26"/>
        </w:rPr>
        <w:t>三</w:t>
      </w:r>
      <w:r>
        <w:rPr>
          <w:spacing w:val="-63"/>
          <w:sz w:val="26"/>
          <w:szCs w:val="26"/>
        </w:rPr>
        <w:t xml:space="preserve"> </w:t>
      </w:r>
      <w:r>
        <w:rPr>
          <w:b/>
          <w:bCs/>
          <w:spacing w:val="-12"/>
          <w:sz w:val="26"/>
          <w:szCs w:val="26"/>
        </w:rPr>
        <w:t>、预防策略与措施</w:t>
      </w:r>
    </w:p>
    <w:p w14:paraId="6DB43DF0">
      <w:pPr>
        <w:spacing w:before="261" w:line="219" w:lineRule="auto"/>
        <w:ind w:left="1100"/>
        <w:rPr>
          <w:rFonts w:ascii="宋体" w:hAnsi="宋体" w:eastAsia="宋体" w:cs="宋体"/>
          <w:sz w:val="21"/>
          <w:szCs w:val="21"/>
        </w:rPr>
      </w:pPr>
      <w:r>
        <w:rPr>
          <w:rFonts w:ascii="宋体" w:hAnsi="宋体" w:eastAsia="宋体" w:cs="宋体"/>
          <w:spacing w:val="5"/>
          <w:sz w:val="21"/>
          <w:szCs w:val="21"/>
        </w:rPr>
        <w:t>1.</w:t>
      </w:r>
      <w:r>
        <w:rPr>
          <w:rFonts w:ascii="宋体" w:hAnsi="宋体" w:eastAsia="宋体" w:cs="宋体"/>
          <w:spacing w:val="-12"/>
          <w:sz w:val="21"/>
          <w:szCs w:val="21"/>
        </w:rPr>
        <w:t xml:space="preserve"> </w:t>
      </w:r>
      <w:r>
        <w:rPr>
          <w:rFonts w:ascii="宋体" w:hAnsi="宋体" w:eastAsia="宋体" w:cs="宋体"/>
          <w:spacing w:val="5"/>
          <w:sz w:val="21"/>
          <w:szCs w:val="21"/>
        </w:rPr>
        <w:t>控制传染源</w:t>
      </w:r>
    </w:p>
    <w:p w14:paraId="09E27F13">
      <w:pPr>
        <w:spacing w:before="102" w:line="304" w:lineRule="auto"/>
        <w:ind w:left="700" w:right="164" w:firstLine="389"/>
        <w:rPr>
          <w:rFonts w:ascii="宋体" w:hAnsi="宋体" w:eastAsia="宋体" w:cs="宋体"/>
          <w:sz w:val="21"/>
          <w:szCs w:val="21"/>
        </w:rPr>
      </w:pPr>
      <w:r>
        <w:rPr>
          <w:rFonts w:ascii="宋体" w:hAnsi="宋体" w:eastAsia="宋体" w:cs="宋体"/>
          <w:spacing w:val="3"/>
          <w:sz w:val="21"/>
          <w:szCs w:val="21"/>
        </w:rPr>
        <w:t>(1)加强禽类疾病的监测；</w:t>
      </w:r>
      <w:r>
        <w:rPr>
          <w:rFonts w:ascii="宋体" w:hAnsi="宋体" w:eastAsia="宋体" w:cs="宋体"/>
          <w:spacing w:val="-42"/>
          <w:sz w:val="21"/>
          <w:szCs w:val="21"/>
        </w:rPr>
        <w:t xml:space="preserve"> </w:t>
      </w:r>
      <w:r>
        <w:rPr>
          <w:rFonts w:ascii="宋体" w:hAnsi="宋体" w:eastAsia="宋体" w:cs="宋体"/>
          <w:spacing w:val="3"/>
          <w:sz w:val="21"/>
          <w:szCs w:val="21"/>
        </w:rPr>
        <w:t>一旦发现禽流感疫情，农业农村部门应立即按有关规定进行处理。</w:t>
      </w:r>
      <w:r>
        <w:rPr>
          <w:rFonts w:ascii="宋体" w:hAnsi="宋体" w:eastAsia="宋体" w:cs="宋体"/>
          <w:sz w:val="21"/>
          <w:szCs w:val="21"/>
        </w:rPr>
        <w:t xml:space="preserve"> </w:t>
      </w:r>
      <w:r>
        <w:rPr>
          <w:rFonts w:ascii="宋体" w:hAnsi="宋体" w:eastAsia="宋体" w:cs="宋体"/>
          <w:spacing w:val="-5"/>
          <w:sz w:val="21"/>
          <w:szCs w:val="21"/>
        </w:rPr>
        <w:t>严格执行封锁、隔离、消毒，以及对所有病死禽、被扑杀禽及其禽类产品按有关规定进行无</w:t>
      </w:r>
      <w:r>
        <w:rPr>
          <w:rFonts w:ascii="宋体" w:hAnsi="宋体" w:eastAsia="宋体" w:cs="宋体"/>
          <w:spacing w:val="-6"/>
          <w:sz w:val="21"/>
          <w:szCs w:val="21"/>
        </w:rPr>
        <w:t>害化处理</w:t>
      </w:r>
      <w:r>
        <w:rPr>
          <w:rFonts w:ascii="宋体" w:hAnsi="宋体" w:eastAsia="宋体" w:cs="宋体"/>
          <w:sz w:val="21"/>
          <w:szCs w:val="21"/>
        </w:rPr>
        <w:t xml:space="preserve"> </w:t>
      </w:r>
      <w:r>
        <w:rPr>
          <w:rFonts w:ascii="宋体" w:hAnsi="宋体" w:eastAsia="宋体" w:cs="宋体"/>
          <w:spacing w:val="5"/>
          <w:sz w:val="21"/>
          <w:szCs w:val="21"/>
        </w:rPr>
        <w:t>等综合防制措施。养殖和处理疫情的所有相关人员做好防护工作。同时应加强</w:t>
      </w:r>
      <w:r>
        <w:rPr>
          <w:rFonts w:ascii="宋体" w:hAnsi="宋体" w:eastAsia="宋体" w:cs="宋体"/>
          <w:spacing w:val="4"/>
          <w:sz w:val="21"/>
          <w:szCs w:val="21"/>
        </w:rPr>
        <w:t>对禽类的控制，尽</w:t>
      </w:r>
      <w:r>
        <w:rPr>
          <w:rFonts w:ascii="宋体" w:hAnsi="宋体" w:eastAsia="宋体" w:cs="宋体"/>
          <w:sz w:val="21"/>
          <w:szCs w:val="21"/>
        </w:rPr>
        <w:t xml:space="preserve"> 量减少和避免野禽与家禽、饲料和水源的接触，防止野禽进入禽场、禽舍和</w:t>
      </w:r>
      <w:r>
        <w:rPr>
          <w:rFonts w:ascii="宋体" w:hAnsi="宋体" w:eastAsia="宋体" w:cs="宋体"/>
          <w:spacing w:val="-1"/>
          <w:sz w:val="21"/>
          <w:szCs w:val="21"/>
        </w:rPr>
        <w:t>饲料贮存间内；避免家</w:t>
      </w:r>
      <w:r>
        <w:rPr>
          <w:rFonts w:ascii="宋体" w:hAnsi="宋体" w:eastAsia="宋体" w:cs="宋体"/>
          <w:sz w:val="21"/>
          <w:szCs w:val="21"/>
        </w:rPr>
        <w:t xml:space="preserve"> </w:t>
      </w:r>
      <w:r>
        <w:rPr>
          <w:rFonts w:ascii="宋体" w:hAnsi="宋体" w:eastAsia="宋体" w:cs="宋体"/>
          <w:spacing w:val="-8"/>
          <w:sz w:val="21"/>
          <w:szCs w:val="21"/>
        </w:rPr>
        <w:t>禽散养、混养等。</w:t>
      </w:r>
    </w:p>
    <w:p w14:paraId="4B577841">
      <w:pPr>
        <w:spacing w:before="130" w:line="219" w:lineRule="auto"/>
        <w:ind w:left="1100"/>
        <w:rPr>
          <w:rFonts w:ascii="宋体" w:hAnsi="宋体" w:eastAsia="宋体" w:cs="宋体"/>
          <w:sz w:val="21"/>
          <w:szCs w:val="21"/>
        </w:rPr>
      </w:pPr>
      <w:r>
        <w:rPr>
          <w:rFonts w:ascii="宋体" w:hAnsi="宋体" w:eastAsia="宋体" w:cs="宋体"/>
          <w:spacing w:val="1"/>
          <w:sz w:val="21"/>
          <w:szCs w:val="21"/>
        </w:rPr>
        <w:t>(2)医疗机构发现人禽流感病例时，应当根据病情采取必要的治疗和控制传播措施。</w:t>
      </w:r>
    </w:p>
    <w:p w14:paraId="6355631A">
      <w:pPr>
        <w:spacing w:before="130" w:line="273" w:lineRule="auto"/>
        <w:ind w:left="700" w:right="260" w:firstLine="399"/>
        <w:rPr>
          <w:rFonts w:ascii="宋体" w:hAnsi="宋体" w:eastAsia="宋体" w:cs="宋体"/>
          <w:sz w:val="21"/>
          <w:szCs w:val="21"/>
        </w:rPr>
      </w:pPr>
      <w:r>
        <w:rPr>
          <w:rFonts w:ascii="宋体" w:hAnsi="宋体" w:eastAsia="宋体" w:cs="宋体"/>
          <w:spacing w:val="2"/>
          <w:sz w:val="21"/>
          <w:szCs w:val="21"/>
        </w:rPr>
        <w:t>(3)加强检测标本和实验室禽流感病毒毒株的管理，严格执行操作规范，防止医院感染和实验</w:t>
      </w:r>
      <w:r>
        <w:rPr>
          <w:rFonts w:ascii="宋体" w:hAnsi="宋体" w:eastAsia="宋体" w:cs="宋体"/>
          <w:sz w:val="21"/>
          <w:szCs w:val="21"/>
        </w:rPr>
        <w:t xml:space="preserve"> </w:t>
      </w:r>
      <w:r>
        <w:rPr>
          <w:rFonts w:ascii="宋体" w:hAnsi="宋体" w:eastAsia="宋体" w:cs="宋体"/>
          <w:spacing w:val="2"/>
          <w:sz w:val="21"/>
          <w:szCs w:val="21"/>
        </w:rPr>
        <w:t>室感染及扩散。</w:t>
      </w:r>
    </w:p>
    <w:p w14:paraId="08C196FC">
      <w:pPr>
        <w:pStyle w:val="2"/>
        <w:spacing w:before="101" w:line="290" w:lineRule="auto"/>
        <w:ind w:left="700" w:right="261" w:firstLine="399"/>
        <w:rPr>
          <w:rFonts w:ascii="宋体" w:hAnsi="宋体" w:eastAsia="宋体" w:cs="宋体"/>
          <w:sz w:val="21"/>
          <w:szCs w:val="21"/>
        </w:rPr>
      </w:pPr>
      <w:r>
        <w:rPr>
          <w:rFonts w:ascii="宋体" w:hAnsi="宋体" w:eastAsia="宋体" w:cs="宋体"/>
          <w:spacing w:val="-3"/>
          <w:sz w:val="21"/>
          <w:szCs w:val="21"/>
        </w:rPr>
        <w:t xml:space="preserve">2. </w:t>
      </w:r>
      <w:r>
        <w:rPr>
          <w:spacing w:val="-3"/>
          <w:sz w:val="21"/>
          <w:szCs w:val="21"/>
        </w:rPr>
        <w:t xml:space="preserve">阻断传播途径  </w:t>
      </w:r>
      <w:r>
        <w:rPr>
          <w:rFonts w:ascii="宋体" w:hAnsi="宋体" w:eastAsia="宋体" w:cs="宋体"/>
          <w:spacing w:val="-3"/>
          <w:sz w:val="21"/>
          <w:szCs w:val="21"/>
        </w:rPr>
        <w:t>对禽类养殖场、市售禽类摊档、屠宰场进行</w:t>
      </w:r>
      <w:r>
        <w:rPr>
          <w:rFonts w:ascii="宋体" w:hAnsi="宋体" w:eastAsia="宋体" w:cs="宋体"/>
          <w:spacing w:val="-4"/>
          <w:sz w:val="21"/>
          <w:szCs w:val="21"/>
        </w:rPr>
        <w:t>彻底消毒，对死禽及禽类废弃物</w:t>
      </w:r>
      <w:r>
        <w:rPr>
          <w:rFonts w:ascii="宋体" w:hAnsi="宋体" w:eastAsia="宋体" w:cs="宋体"/>
          <w:sz w:val="21"/>
          <w:szCs w:val="21"/>
        </w:rPr>
        <w:t xml:space="preserve"> </w:t>
      </w:r>
      <w:r>
        <w:rPr>
          <w:rFonts w:ascii="宋体" w:hAnsi="宋体" w:eastAsia="宋体" w:cs="宋体"/>
          <w:spacing w:val="-1"/>
          <w:sz w:val="21"/>
          <w:szCs w:val="21"/>
        </w:rPr>
        <w:t>应销毁或深埋。针对可能的人际传播途径，应对病人所在场所进行彻底消毒，以及避免和病人在无</w:t>
      </w:r>
      <w:r>
        <w:rPr>
          <w:rFonts w:ascii="宋体" w:hAnsi="宋体" w:eastAsia="宋体" w:cs="宋体"/>
          <w:sz w:val="21"/>
          <w:szCs w:val="21"/>
        </w:rPr>
        <w:t xml:space="preserve"> 保护状态下密切接触。</w:t>
      </w:r>
    </w:p>
    <w:p w14:paraId="089DC7AE">
      <w:pPr>
        <w:pStyle w:val="2"/>
        <w:spacing w:before="129" w:line="222" w:lineRule="auto"/>
        <w:ind w:left="1100"/>
        <w:rPr>
          <w:rFonts w:ascii="宋体" w:hAnsi="宋体" w:eastAsia="宋体" w:cs="宋体"/>
          <w:sz w:val="21"/>
          <w:szCs w:val="21"/>
        </w:rPr>
      </w:pPr>
      <w:r>
        <w:rPr>
          <w:rFonts w:ascii="宋体" w:hAnsi="宋体" w:eastAsia="宋体" w:cs="宋体"/>
          <w:sz w:val="21"/>
          <w:szCs w:val="21"/>
        </w:rPr>
        <w:t>3.</w:t>
      </w:r>
      <w:r>
        <w:rPr>
          <w:rFonts w:ascii="宋体" w:hAnsi="宋体" w:eastAsia="宋体" w:cs="宋体"/>
          <w:spacing w:val="-23"/>
          <w:sz w:val="21"/>
          <w:szCs w:val="21"/>
        </w:rPr>
        <w:t xml:space="preserve"> </w:t>
      </w:r>
      <w:r>
        <w:rPr>
          <w:sz w:val="21"/>
          <w:szCs w:val="21"/>
        </w:rPr>
        <w:t>保护易感者</w:t>
      </w:r>
      <w:r>
        <w:rPr>
          <w:spacing w:val="73"/>
          <w:sz w:val="21"/>
          <w:szCs w:val="21"/>
        </w:rPr>
        <w:t xml:space="preserve"> </w:t>
      </w:r>
      <w:r>
        <w:rPr>
          <w:rFonts w:ascii="宋体" w:hAnsi="宋体" w:eastAsia="宋体" w:cs="宋体"/>
          <w:sz w:val="21"/>
          <w:szCs w:val="21"/>
        </w:rPr>
        <w:t>针对易感者的预防措施主要是免疫预防(疫苗接种)、药</w:t>
      </w:r>
      <w:r>
        <w:rPr>
          <w:rFonts w:ascii="宋体" w:hAnsi="宋体" w:eastAsia="宋体" w:cs="宋体"/>
          <w:spacing w:val="-1"/>
          <w:sz w:val="21"/>
          <w:szCs w:val="21"/>
        </w:rPr>
        <w:t>物预防和个人防护。</w:t>
      </w:r>
    </w:p>
    <w:p w14:paraId="71DBB7B4">
      <w:pPr>
        <w:spacing w:before="99" w:line="273" w:lineRule="auto"/>
        <w:ind w:left="700" w:right="241" w:firstLine="399"/>
        <w:rPr>
          <w:rFonts w:ascii="宋体" w:hAnsi="宋体" w:eastAsia="宋体" w:cs="宋体"/>
          <w:sz w:val="21"/>
          <w:szCs w:val="21"/>
        </w:rPr>
      </w:pPr>
      <w:r>
        <w:rPr>
          <w:rFonts w:ascii="宋体" w:hAnsi="宋体" w:eastAsia="宋体" w:cs="宋体"/>
          <w:spacing w:val="5"/>
          <w:sz w:val="21"/>
          <w:szCs w:val="21"/>
        </w:rPr>
        <w:t>(1)疫苗接种：目前尚无可用于人的商品化甲型流感(H5) 疫苗</w:t>
      </w:r>
      <w:r>
        <w:rPr>
          <w:rFonts w:ascii="宋体" w:hAnsi="宋体" w:eastAsia="宋体" w:cs="宋体"/>
          <w:spacing w:val="4"/>
          <w:sz w:val="21"/>
          <w:szCs w:val="21"/>
        </w:rPr>
        <w:t>。减毒活疫苗、冷适应性鼻内</w:t>
      </w:r>
      <w:r>
        <w:rPr>
          <w:rFonts w:ascii="宋体" w:hAnsi="宋体" w:eastAsia="宋体" w:cs="宋体"/>
          <w:sz w:val="21"/>
          <w:szCs w:val="21"/>
        </w:rPr>
        <w:t xml:space="preserve"> </w:t>
      </w:r>
      <w:r>
        <w:rPr>
          <w:rFonts w:ascii="宋体" w:hAnsi="宋体" w:eastAsia="宋体" w:cs="宋体"/>
          <w:spacing w:val="2"/>
          <w:sz w:val="21"/>
          <w:szCs w:val="21"/>
        </w:rPr>
        <w:t>疫苗亦正在开发中。</w:t>
      </w:r>
    </w:p>
    <w:p w14:paraId="78390B33">
      <w:pPr>
        <w:spacing w:before="119" w:line="272" w:lineRule="auto"/>
        <w:ind w:left="700" w:right="258" w:firstLine="399"/>
        <w:rPr>
          <w:rFonts w:ascii="宋体" w:hAnsi="宋体" w:eastAsia="宋体" w:cs="宋体"/>
          <w:sz w:val="21"/>
          <w:szCs w:val="21"/>
        </w:rPr>
      </w:pPr>
      <w:r>
        <w:rPr>
          <w:rFonts w:ascii="宋体" w:hAnsi="宋体" w:eastAsia="宋体" w:cs="宋体"/>
          <w:spacing w:val="2"/>
          <w:sz w:val="21"/>
          <w:szCs w:val="21"/>
        </w:rPr>
        <w:t>(2)药物预防：对于病死禽的密切接触者和人禽流感病例的密切接触者，可以使用抗病毒预防</w:t>
      </w:r>
      <w:r>
        <w:rPr>
          <w:rFonts w:ascii="宋体" w:hAnsi="宋体" w:eastAsia="宋体" w:cs="宋体"/>
          <w:spacing w:val="1"/>
          <w:sz w:val="21"/>
          <w:szCs w:val="21"/>
        </w:rPr>
        <w:t xml:space="preserve"> </w:t>
      </w:r>
      <w:r>
        <w:rPr>
          <w:rFonts w:ascii="宋体" w:hAnsi="宋体" w:eastAsia="宋体" w:cs="宋体"/>
          <w:spacing w:val="-1"/>
          <w:sz w:val="21"/>
          <w:szCs w:val="21"/>
        </w:rPr>
        <w:t>药物进行预防性治疗。同时应保证抗病毒药物储备，以便治疗疑似病例和</w:t>
      </w:r>
      <w:r>
        <w:rPr>
          <w:rFonts w:ascii="宋体" w:hAnsi="宋体" w:eastAsia="宋体" w:cs="宋体"/>
          <w:spacing w:val="-2"/>
          <w:sz w:val="21"/>
          <w:szCs w:val="21"/>
        </w:rPr>
        <w:t>确诊病例。</w:t>
      </w:r>
    </w:p>
    <w:p w14:paraId="079647C1">
      <w:pPr>
        <w:spacing w:before="131" w:line="284" w:lineRule="auto"/>
        <w:ind w:left="700" w:right="261" w:firstLine="399"/>
        <w:rPr>
          <w:rFonts w:ascii="宋体" w:hAnsi="宋体" w:eastAsia="宋体" w:cs="宋体"/>
          <w:sz w:val="21"/>
          <w:szCs w:val="21"/>
        </w:rPr>
      </w:pPr>
      <w:r>
        <w:rPr>
          <w:rFonts w:ascii="宋体" w:hAnsi="宋体" w:eastAsia="宋体" w:cs="宋体"/>
          <w:spacing w:val="2"/>
          <w:sz w:val="21"/>
          <w:szCs w:val="21"/>
        </w:rPr>
        <w:t>(3)个人防护：应全面避免直接接触家禽以及有家禽的农场或活物市场，避免接触受到家</w:t>
      </w:r>
      <w:r>
        <w:rPr>
          <w:rFonts w:ascii="宋体" w:hAnsi="宋体" w:eastAsia="宋体" w:cs="宋体"/>
          <w:spacing w:val="1"/>
          <w:sz w:val="21"/>
          <w:szCs w:val="21"/>
        </w:rPr>
        <w:t>禽粪</w:t>
      </w:r>
      <w:r>
        <w:rPr>
          <w:rFonts w:ascii="宋体" w:hAnsi="宋体" w:eastAsia="宋体" w:cs="宋体"/>
          <w:sz w:val="21"/>
          <w:szCs w:val="21"/>
        </w:rPr>
        <w:t xml:space="preserve"> </w:t>
      </w:r>
      <w:r>
        <w:rPr>
          <w:rFonts w:ascii="宋体" w:hAnsi="宋体" w:eastAsia="宋体" w:cs="宋体"/>
          <w:spacing w:val="-1"/>
          <w:sz w:val="21"/>
          <w:szCs w:val="21"/>
        </w:rPr>
        <w:t>便或分泌物污染的物品。不要进食未煮熟的鸡蛋或家禽</w:t>
      </w:r>
      <w:r>
        <w:rPr>
          <w:rFonts w:ascii="宋体" w:hAnsi="宋体" w:eastAsia="宋体" w:cs="宋体"/>
          <w:spacing w:val="-2"/>
          <w:sz w:val="21"/>
          <w:szCs w:val="21"/>
        </w:rPr>
        <w:t>产品，保持良好的卫生习惯，以减少暴露风</w:t>
      </w:r>
      <w:r>
        <w:rPr>
          <w:rFonts w:ascii="宋体" w:hAnsi="宋体" w:eastAsia="宋体" w:cs="宋体"/>
          <w:sz w:val="21"/>
          <w:szCs w:val="21"/>
        </w:rPr>
        <w:t xml:space="preserve"> </w:t>
      </w:r>
      <w:r>
        <w:rPr>
          <w:rFonts w:ascii="宋体" w:hAnsi="宋体" w:eastAsia="宋体" w:cs="宋体"/>
          <w:spacing w:val="-3"/>
          <w:sz w:val="21"/>
          <w:szCs w:val="21"/>
        </w:rPr>
        <w:t>险。面临职业性接触风险者，应使用个人防</w:t>
      </w:r>
      <w:r>
        <w:rPr>
          <w:rFonts w:ascii="宋体" w:hAnsi="宋体" w:eastAsia="宋体" w:cs="宋体"/>
          <w:spacing w:val="-4"/>
          <w:sz w:val="21"/>
          <w:szCs w:val="21"/>
        </w:rPr>
        <w:t>护装备。</w:t>
      </w:r>
    </w:p>
    <w:p w14:paraId="1209C833">
      <w:pPr>
        <w:pStyle w:val="2"/>
        <w:spacing w:before="138" w:line="222" w:lineRule="auto"/>
        <w:ind w:left="8953"/>
        <w:rPr>
          <w:sz w:val="21"/>
          <w:szCs w:val="21"/>
        </w:rPr>
      </w:pPr>
      <w:r>
        <w:rPr>
          <w:b/>
          <w:bCs/>
          <w:spacing w:val="-15"/>
          <w:w w:val="96"/>
          <w:sz w:val="21"/>
          <w:szCs w:val="21"/>
        </w:rPr>
        <w:t>(</w:t>
      </w:r>
      <w:r>
        <w:rPr>
          <w:spacing w:val="-10"/>
          <w:sz w:val="21"/>
          <w:szCs w:val="21"/>
        </w:rPr>
        <w:t xml:space="preserve"> </w:t>
      </w:r>
      <w:r>
        <w:rPr>
          <w:b/>
          <w:bCs/>
          <w:spacing w:val="-15"/>
          <w:w w:val="96"/>
          <w:sz w:val="21"/>
          <w:szCs w:val="21"/>
        </w:rPr>
        <w:t>关</w:t>
      </w:r>
      <w:r>
        <w:rPr>
          <w:spacing w:val="-25"/>
          <w:sz w:val="21"/>
          <w:szCs w:val="21"/>
        </w:rPr>
        <w:t xml:space="preserve"> </w:t>
      </w:r>
      <w:r>
        <w:rPr>
          <w:b/>
          <w:bCs/>
          <w:spacing w:val="-15"/>
          <w:w w:val="96"/>
          <w:sz w:val="21"/>
          <w:szCs w:val="21"/>
        </w:rPr>
        <w:t>鹏</w:t>
      </w:r>
      <w:r>
        <w:rPr>
          <w:spacing w:val="-26"/>
          <w:sz w:val="21"/>
          <w:szCs w:val="21"/>
        </w:rPr>
        <w:t xml:space="preserve"> </w:t>
      </w:r>
      <w:r>
        <w:rPr>
          <w:b/>
          <w:bCs/>
          <w:spacing w:val="-15"/>
          <w:w w:val="96"/>
          <w:sz w:val="21"/>
          <w:szCs w:val="21"/>
        </w:rPr>
        <w:t>)</w:t>
      </w:r>
    </w:p>
    <w:p w14:paraId="04BDFC1C">
      <w:pPr>
        <w:spacing w:line="290" w:lineRule="auto"/>
        <w:rPr>
          <w:rFonts w:ascii="Arial"/>
          <w:sz w:val="21"/>
        </w:rPr>
      </w:pPr>
    </w:p>
    <w:p w14:paraId="1E934BE4">
      <w:pPr>
        <w:spacing w:line="450" w:lineRule="exact"/>
        <w:ind w:firstLine="9440"/>
      </w:pPr>
      <w:r>
        <w:rPr>
          <w:position w:val="-8"/>
        </w:rPr>
        <w:drawing>
          <wp:inline distT="0" distB="0" distL="0" distR="0">
            <wp:extent cx="323850" cy="285115"/>
            <wp:effectExtent l="0" t="0" r="0" b="0"/>
            <wp:docPr id="824" name="IM 824"/>
            <wp:cNvGraphicFramePr/>
            <a:graphic xmlns:a="http://schemas.openxmlformats.org/drawingml/2006/main">
              <a:graphicData uri="http://schemas.openxmlformats.org/drawingml/2006/picture">
                <pic:pic xmlns:pic="http://schemas.openxmlformats.org/drawingml/2006/picture">
                  <pic:nvPicPr>
                    <pic:cNvPr id="824" name="IM 824"/>
                    <pic:cNvPicPr/>
                  </pic:nvPicPr>
                  <pic:blipFill>
                    <a:blip r:embed="rId702"/>
                    <a:stretch>
                      <a:fillRect/>
                    </a:stretch>
                  </pic:blipFill>
                  <pic:spPr>
                    <a:xfrm>
                      <a:off x="0" y="0"/>
                      <a:ext cx="323870" cy="285708"/>
                    </a:xfrm>
                    <a:prstGeom prst="rect">
                      <a:avLst/>
                    </a:prstGeom>
                  </pic:spPr>
                </pic:pic>
              </a:graphicData>
            </a:graphic>
          </wp:inline>
        </w:drawing>
      </w:r>
    </w:p>
    <w:p w14:paraId="644513D6">
      <w:pPr>
        <w:pStyle w:val="2"/>
        <w:spacing w:before="77" w:line="222" w:lineRule="auto"/>
        <w:ind w:left="1203"/>
        <w:rPr>
          <w:sz w:val="26"/>
          <w:szCs w:val="26"/>
        </w:rPr>
      </w:pPr>
      <w:r>
        <w:rPr>
          <w:b/>
          <w:bCs/>
          <w:spacing w:val="-5"/>
          <w:sz w:val="26"/>
          <w:szCs w:val="26"/>
        </w:rPr>
        <w:t>思考题</w:t>
      </w:r>
    </w:p>
    <w:p w14:paraId="3ACFC39D">
      <w:pPr>
        <w:spacing w:before="88" w:line="219" w:lineRule="auto"/>
        <w:ind w:left="1980"/>
        <w:rPr>
          <w:rFonts w:ascii="宋体" w:hAnsi="宋体" w:eastAsia="宋体" w:cs="宋体"/>
          <w:sz w:val="21"/>
          <w:szCs w:val="21"/>
        </w:rPr>
      </w:pPr>
      <w:r>
        <w:rPr>
          <w:rFonts w:ascii="宋体" w:hAnsi="宋体" w:eastAsia="宋体" w:cs="宋体"/>
          <w:spacing w:val="-2"/>
          <w:sz w:val="21"/>
          <w:szCs w:val="21"/>
        </w:rPr>
        <w:t>1.</w:t>
      </w:r>
      <w:r>
        <w:rPr>
          <w:rFonts w:ascii="宋体" w:hAnsi="宋体" w:eastAsia="宋体" w:cs="宋体"/>
          <w:spacing w:val="-38"/>
          <w:sz w:val="21"/>
          <w:szCs w:val="21"/>
        </w:rPr>
        <w:t xml:space="preserve"> </w:t>
      </w:r>
      <w:r>
        <w:rPr>
          <w:rFonts w:ascii="宋体" w:hAnsi="宋体" w:eastAsia="宋体" w:cs="宋体"/>
          <w:spacing w:val="-2"/>
          <w:sz w:val="21"/>
          <w:szCs w:val="21"/>
        </w:rPr>
        <w:t>如何理解全社会参与在流感大流行防控中的重要性?</w:t>
      </w:r>
    </w:p>
    <w:p w14:paraId="71A666E4">
      <w:pPr>
        <w:spacing w:before="112" w:line="219" w:lineRule="auto"/>
        <w:ind w:left="1980"/>
        <w:rPr>
          <w:rFonts w:ascii="宋体" w:hAnsi="宋体" w:eastAsia="宋体" w:cs="宋体"/>
          <w:sz w:val="21"/>
          <w:szCs w:val="21"/>
        </w:rPr>
      </w:pPr>
      <w:r>
        <w:rPr>
          <w:rFonts w:ascii="宋体" w:hAnsi="宋体" w:eastAsia="宋体" w:cs="宋体"/>
          <w:sz w:val="21"/>
          <w:szCs w:val="21"/>
        </w:rPr>
        <w:t>2.谈一谈流感疫苗的正确使用对流感大流行控制的作用。</w:t>
      </w:r>
    </w:p>
    <w:p w14:paraId="4CE3053D">
      <w:pPr>
        <w:spacing w:before="131" w:line="219" w:lineRule="auto"/>
        <w:ind w:left="1980"/>
        <w:rPr>
          <w:rFonts w:ascii="宋体" w:hAnsi="宋体" w:eastAsia="宋体" w:cs="宋体"/>
          <w:sz w:val="21"/>
          <w:szCs w:val="21"/>
        </w:rPr>
      </w:pPr>
      <w:r>
        <w:rPr>
          <w:rFonts w:ascii="Times New Roman" w:hAnsi="Times New Roman" w:eastAsia="Times New Roman" w:cs="Times New Roman"/>
          <w:spacing w:val="3"/>
          <w:sz w:val="21"/>
          <w:szCs w:val="21"/>
        </w:rPr>
        <w:t xml:space="preserve">3.  </w:t>
      </w:r>
      <w:r>
        <w:rPr>
          <w:rFonts w:ascii="宋体" w:hAnsi="宋体" w:eastAsia="宋体" w:cs="宋体"/>
          <w:spacing w:val="3"/>
          <w:sz w:val="21"/>
          <w:szCs w:val="21"/>
        </w:rPr>
        <w:t>结合2009年</w:t>
      </w:r>
      <w:r>
        <w:rPr>
          <w:rFonts w:ascii="Times New Roman" w:hAnsi="Times New Roman" w:eastAsia="Times New Roman" w:cs="Times New Roman"/>
          <w:spacing w:val="3"/>
          <w:sz w:val="21"/>
          <w:szCs w:val="21"/>
        </w:rPr>
        <w:t>H1N1</w:t>
      </w:r>
      <w:r>
        <w:rPr>
          <w:rFonts w:ascii="Times New Roman" w:hAnsi="Times New Roman" w:eastAsia="Times New Roman" w:cs="Times New Roman"/>
          <w:spacing w:val="28"/>
          <w:sz w:val="21"/>
          <w:szCs w:val="21"/>
        </w:rPr>
        <w:t xml:space="preserve"> </w:t>
      </w:r>
      <w:r>
        <w:rPr>
          <w:rFonts w:ascii="宋体" w:hAnsi="宋体" w:eastAsia="宋体" w:cs="宋体"/>
          <w:spacing w:val="3"/>
          <w:sz w:val="21"/>
          <w:szCs w:val="21"/>
        </w:rPr>
        <w:t>流感在中国的流行概况，谈一谈你对</w:t>
      </w:r>
      <w:r>
        <w:rPr>
          <w:rFonts w:ascii="宋体" w:hAnsi="宋体" w:eastAsia="宋体" w:cs="宋体"/>
          <w:spacing w:val="2"/>
          <w:sz w:val="21"/>
          <w:szCs w:val="21"/>
        </w:rPr>
        <w:t>流感大流行防控的认识。</w:t>
      </w:r>
    </w:p>
    <w:p w14:paraId="601BA20F">
      <w:pPr>
        <w:spacing w:line="219" w:lineRule="auto"/>
        <w:rPr>
          <w:rFonts w:ascii="宋体" w:hAnsi="宋体" w:eastAsia="宋体" w:cs="宋体"/>
          <w:sz w:val="21"/>
          <w:szCs w:val="21"/>
        </w:rPr>
        <w:sectPr>
          <w:footerReference r:id="rId379" w:type="default"/>
          <w:pgSz w:w="11900" w:h="16820"/>
          <w:pgMar w:top="400" w:right="1229" w:bottom="826" w:left="719" w:header="0" w:footer="637" w:gutter="0"/>
          <w:cols w:space="720" w:num="1"/>
        </w:sectPr>
      </w:pPr>
    </w:p>
    <w:p w14:paraId="59A4E9A8">
      <w:pPr>
        <w:spacing w:line="312" w:lineRule="auto"/>
        <w:rPr>
          <w:rFonts w:ascii="Arial"/>
          <w:sz w:val="21"/>
        </w:rPr>
      </w:pPr>
    </w:p>
    <w:p w14:paraId="732C2A89">
      <w:pPr>
        <w:spacing w:line="313" w:lineRule="auto"/>
        <w:rPr>
          <w:rFonts w:ascii="Arial"/>
          <w:sz w:val="21"/>
        </w:rPr>
      </w:pPr>
    </w:p>
    <w:p w14:paraId="2F534A85">
      <w:pPr>
        <w:spacing w:line="313" w:lineRule="auto"/>
        <w:rPr>
          <w:rFonts w:ascii="Arial"/>
          <w:sz w:val="21"/>
        </w:rPr>
      </w:pPr>
    </w:p>
    <w:p w14:paraId="735EE28F">
      <w:pPr>
        <w:pStyle w:val="2"/>
        <w:spacing w:before="91" w:line="249" w:lineRule="auto"/>
        <w:ind w:left="3736" w:right="4210" w:hanging="52"/>
        <w:outlineLvl w:val="0"/>
        <w:rPr>
          <w:sz w:val="43"/>
          <w:szCs w:val="43"/>
        </w:rPr>
      </w:pPr>
      <w:r>
        <w:drawing>
          <wp:anchor distT="0" distB="0" distL="0" distR="0" simplePos="0" relativeHeight="251993088" behindDoc="0" locked="0" layoutInCell="1" allowOverlap="1">
            <wp:simplePos x="0" y="0"/>
            <wp:positionH relativeFrom="column">
              <wp:posOffset>4978400</wp:posOffset>
            </wp:positionH>
            <wp:positionV relativeFrom="paragraph">
              <wp:posOffset>59690</wp:posOffset>
            </wp:positionV>
            <wp:extent cx="520700" cy="584200"/>
            <wp:effectExtent l="0" t="0" r="0" b="0"/>
            <wp:wrapNone/>
            <wp:docPr id="826" name="IM 826"/>
            <wp:cNvGraphicFramePr/>
            <a:graphic xmlns:a="http://schemas.openxmlformats.org/drawingml/2006/main">
              <a:graphicData uri="http://schemas.openxmlformats.org/drawingml/2006/picture">
                <pic:pic xmlns:pic="http://schemas.openxmlformats.org/drawingml/2006/picture">
                  <pic:nvPicPr>
                    <pic:cNvPr id="826" name="IM 826"/>
                    <pic:cNvPicPr/>
                  </pic:nvPicPr>
                  <pic:blipFill>
                    <a:blip r:embed="rId703"/>
                    <a:stretch>
                      <a:fillRect/>
                    </a:stretch>
                  </pic:blipFill>
                  <pic:spPr>
                    <a:xfrm>
                      <a:off x="0" y="0"/>
                      <a:ext cx="520642" cy="584234"/>
                    </a:xfrm>
                    <a:prstGeom prst="rect">
                      <a:avLst/>
                    </a:prstGeom>
                  </pic:spPr>
                </pic:pic>
              </a:graphicData>
            </a:graphic>
          </wp:anchor>
        </w:drawing>
      </w:r>
      <w:bookmarkStart w:id="609" w:name="bookmark390"/>
      <w:bookmarkEnd w:id="609"/>
      <w:r>
        <w:rPr>
          <w:b/>
          <w:bCs/>
          <w:spacing w:val="-1"/>
          <w:sz w:val="28"/>
          <w:szCs w:val="28"/>
        </w:rPr>
        <w:t>第二十四章</w:t>
      </w:r>
      <w:r>
        <w:rPr>
          <w:spacing w:val="2"/>
          <w:sz w:val="28"/>
          <w:szCs w:val="28"/>
        </w:rPr>
        <w:t xml:space="preserve"> </w:t>
      </w:r>
      <w:bookmarkStart w:id="610" w:name="bookmark390"/>
      <w:bookmarkEnd w:id="610"/>
      <w:r>
        <w:rPr>
          <w:b/>
          <w:bCs/>
          <w:spacing w:val="2"/>
          <w:sz w:val="43"/>
          <w:szCs w:val="43"/>
        </w:rPr>
        <w:t>地方病</w:t>
      </w:r>
    </w:p>
    <w:p w14:paraId="3BCC84C7">
      <w:pPr>
        <w:spacing w:line="283" w:lineRule="auto"/>
        <w:rPr>
          <w:rFonts w:ascii="Arial"/>
          <w:sz w:val="21"/>
        </w:rPr>
      </w:pPr>
    </w:p>
    <w:p w14:paraId="0CFFF7C0">
      <w:pPr>
        <w:spacing w:line="283" w:lineRule="auto"/>
        <w:rPr>
          <w:rFonts w:ascii="Arial"/>
          <w:sz w:val="21"/>
        </w:rPr>
      </w:pPr>
    </w:p>
    <w:p w14:paraId="4B74BE76">
      <w:pPr>
        <w:spacing w:line="284" w:lineRule="auto"/>
        <w:rPr>
          <w:rFonts w:ascii="Arial"/>
          <w:sz w:val="21"/>
        </w:rPr>
      </w:pPr>
    </w:p>
    <w:p w14:paraId="61960FAE">
      <w:pPr>
        <w:spacing w:before="80" w:line="198" w:lineRule="auto"/>
        <w:ind w:left="2380"/>
        <w:rPr>
          <w:rFonts w:ascii="Arial" w:hAnsi="Arial" w:eastAsia="Arial" w:cs="Arial"/>
          <w:sz w:val="28"/>
          <w:szCs w:val="28"/>
        </w:rPr>
      </w:pPr>
      <w:r>
        <w:rPr>
          <w:rFonts w:ascii="Arial" w:hAnsi="Arial" w:eastAsia="Arial" w:cs="Arial"/>
          <w:b/>
          <w:bCs/>
          <w:spacing w:val="-3"/>
          <w:sz w:val="28"/>
          <w:szCs w:val="28"/>
        </w:rPr>
        <w:t>Chapter</w:t>
      </w:r>
      <w:r>
        <w:rPr>
          <w:rFonts w:ascii="Arial" w:hAnsi="Arial" w:eastAsia="Arial" w:cs="Arial"/>
          <w:b/>
          <w:bCs/>
          <w:spacing w:val="39"/>
          <w:sz w:val="28"/>
          <w:szCs w:val="28"/>
        </w:rPr>
        <w:t xml:space="preserve"> </w:t>
      </w:r>
      <w:r>
        <w:rPr>
          <w:rFonts w:ascii="Arial" w:hAnsi="Arial" w:eastAsia="Arial" w:cs="Arial"/>
          <w:b/>
          <w:bCs/>
          <w:spacing w:val="-3"/>
          <w:sz w:val="28"/>
          <w:szCs w:val="28"/>
        </w:rPr>
        <w:t>24</w:t>
      </w:r>
      <w:r>
        <w:rPr>
          <w:rFonts w:ascii="Arial" w:hAnsi="Arial" w:eastAsia="Arial" w:cs="Arial"/>
          <w:b/>
          <w:bCs/>
          <w:spacing w:val="42"/>
          <w:sz w:val="28"/>
          <w:szCs w:val="28"/>
        </w:rPr>
        <w:t xml:space="preserve"> </w:t>
      </w:r>
      <w:r>
        <w:rPr>
          <w:rFonts w:ascii="Arial" w:hAnsi="Arial" w:eastAsia="Arial" w:cs="Arial"/>
          <w:b/>
          <w:bCs/>
          <w:spacing w:val="-3"/>
          <w:sz w:val="28"/>
          <w:szCs w:val="28"/>
        </w:rPr>
        <w:t>Endemic</w:t>
      </w:r>
      <w:r>
        <w:rPr>
          <w:rFonts w:ascii="Arial" w:hAnsi="Arial" w:eastAsia="Arial" w:cs="Arial"/>
          <w:b/>
          <w:bCs/>
          <w:spacing w:val="42"/>
          <w:sz w:val="28"/>
          <w:szCs w:val="28"/>
        </w:rPr>
        <w:t xml:space="preserve"> </w:t>
      </w:r>
      <w:r>
        <w:rPr>
          <w:rFonts w:ascii="Arial" w:hAnsi="Arial" w:eastAsia="Arial" w:cs="Arial"/>
          <w:b/>
          <w:bCs/>
          <w:spacing w:val="-3"/>
          <w:sz w:val="28"/>
          <w:szCs w:val="28"/>
        </w:rPr>
        <w:t>Diseases</w:t>
      </w:r>
    </w:p>
    <w:p w14:paraId="12BD214D">
      <w:pPr>
        <w:spacing w:line="424" w:lineRule="auto"/>
        <w:rPr>
          <w:rFonts w:ascii="Arial"/>
          <w:sz w:val="21"/>
        </w:rPr>
      </w:pPr>
    </w:p>
    <w:p w14:paraId="14D012F4">
      <w:pPr>
        <w:spacing w:before="55" w:line="379" w:lineRule="auto"/>
        <w:ind w:right="594" w:firstLine="420"/>
        <w:jc w:val="both"/>
        <w:rPr>
          <w:rFonts w:ascii="Times New Roman" w:hAnsi="Times New Roman" w:eastAsia="Times New Roman" w:cs="Times New Roman"/>
          <w:sz w:val="19"/>
          <w:szCs w:val="19"/>
        </w:rPr>
      </w:pPr>
      <w:r>
        <w:rPr>
          <w:rFonts w:ascii="Times New Roman" w:hAnsi="Times New Roman" w:eastAsia="Times New Roman" w:cs="Times New Roman"/>
          <w:sz w:val="19"/>
          <w:szCs w:val="19"/>
        </w:rPr>
        <w:t>Endemic</w:t>
      </w:r>
      <w:r>
        <w:rPr>
          <w:rFonts w:ascii="Times New Roman" w:hAnsi="Times New Roman" w:eastAsia="Times New Roman" w:cs="Times New Roman"/>
          <w:spacing w:val="30"/>
          <w:w w:val="101"/>
          <w:sz w:val="19"/>
          <w:szCs w:val="19"/>
        </w:rPr>
        <w:t xml:space="preserve"> </w:t>
      </w:r>
      <w:r>
        <w:rPr>
          <w:rFonts w:ascii="Times New Roman" w:hAnsi="Times New Roman" w:eastAsia="Times New Roman" w:cs="Times New Roman"/>
          <w:sz w:val="19"/>
          <w:szCs w:val="19"/>
        </w:rPr>
        <w:t>diseases</w:t>
      </w:r>
      <w:r>
        <w:rPr>
          <w:rFonts w:ascii="Times New Roman" w:hAnsi="Times New Roman" w:eastAsia="Times New Roman" w:cs="Times New Roman"/>
          <w:spacing w:val="30"/>
          <w:w w:val="101"/>
          <w:sz w:val="19"/>
          <w:szCs w:val="19"/>
        </w:rPr>
        <w:t xml:space="preserve"> </w:t>
      </w:r>
      <w:r>
        <w:rPr>
          <w:rFonts w:ascii="Times New Roman" w:hAnsi="Times New Roman" w:eastAsia="Times New Roman" w:cs="Times New Roman"/>
          <w:sz w:val="19"/>
          <w:szCs w:val="19"/>
        </w:rPr>
        <w:t>are</w:t>
      </w:r>
      <w:r>
        <w:rPr>
          <w:rFonts w:ascii="Times New Roman" w:hAnsi="Times New Roman" w:eastAsia="Times New Roman" w:cs="Times New Roman"/>
          <w:spacing w:val="30"/>
          <w:w w:val="101"/>
          <w:sz w:val="19"/>
          <w:szCs w:val="19"/>
        </w:rPr>
        <w:t xml:space="preserve"> </w:t>
      </w:r>
      <w:r>
        <w:rPr>
          <w:rFonts w:ascii="Times New Roman" w:hAnsi="Times New Roman" w:eastAsia="Times New Roman" w:cs="Times New Roman"/>
          <w:sz w:val="19"/>
          <w:szCs w:val="19"/>
        </w:rPr>
        <w:t>a</w:t>
      </w:r>
      <w:r>
        <w:rPr>
          <w:rFonts w:ascii="Times New Roman" w:hAnsi="Times New Roman" w:eastAsia="Times New Roman" w:cs="Times New Roman"/>
          <w:spacing w:val="30"/>
          <w:sz w:val="19"/>
          <w:szCs w:val="19"/>
        </w:rPr>
        <w:t xml:space="preserve"> </w:t>
      </w:r>
      <w:r>
        <w:rPr>
          <w:rFonts w:ascii="Times New Roman" w:hAnsi="Times New Roman" w:eastAsia="Times New Roman" w:cs="Times New Roman"/>
          <w:sz w:val="19"/>
          <w:szCs w:val="19"/>
        </w:rPr>
        <w:t>class</w:t>
      </w:r>
      <w:r>
        <w:rPr>
          <w:rFonts w:ascii="Times New Roman" w:hAnsi="Times New Roman" w:eastAsia="Times New Roman" w:cs="Times New Roman"/>
          <w:spacing w:val="30"/>
          <w:sz w:val="19"/>
          <w:szCs w:val="19"/>
        </w:rPr>
        <w:t xml:space="preserve"> </w:t>
      </w:r>
      <w:r>
        <w:rPr>
          <w:rFonts w:ascii="Times New Roman" w:hAnsi="Times New Roman" w:eastAsia="Times New Roman" w:cs="Times New Roman"/>
          <w:sz w:val="19"/>
          <w:szCs w:val="19"/>
        </w:rPr>
        <w:t>of disea</w:t>
      </w:r>
      <w:r>
        <w:rPr>
          <w:rFonts w:ascii="Times New Roman" w:hAnsi="Times New Roman" w:eastAsia="Times New Roman" w:cs="Times New Roman"/>
          <w:spacing w:val="-1"/>
          <w:sz w:val="19"/>
          <w:szCs w:val="19"/>
        </w:rPr>
        <w:t>ses</w:t>
      </w:r>
      <w:r>
        <w:rPr>
          <w:rFonts w:ascii="Times New Roman" w:hAnsi="Times New Roman" w:eastAsia="Times New Roman" w:cs="Times New Roman"/>
          <w:spacing w:val="25"/>
          <w:w w:val="101"/>
          <w:sz w:val="19"/>
          <w:szCs w:val="19"/>
        </w:rPr>
        <w:t xml:space="preserve"> </w:t>
      </w:r>
      <w:r>
        <w:rPr>
          <w:rFonts w:ascii="Times New Roman" w:hAnsi="Times New Roman" w:eastAsia="Times New Roman" w:cs="Times New Roman"/>
          <w:spacing w:val="-1"/>
          <w:sz w:val="19"/>
          <w:szCs w:val="19"/>
        </w:rPr>
        <w:t>that</w:t>
      </w:r>
      <w:r>
        <w:rPr>
          <w:rFonts w:ascii="Times New Roman" w:hAnsi="Times New Roman" w:eastAsia="Times New Roman" w:cs="Times New Roman"/>
          <w:spacing w:val="30"/>
          <w:sz w:val="19"/>
          <w:szCs w:val="19"/>
        </w:rPr>
        <w:t xml:space="preserve"> </w:t>
      </w:r>
      <w:r>
        <w:rPr>
          <w:rFonts w:ascii="Times New Roman" w:hAnsi="Times New Roman" w:eastAsia="Times New Roman" w:cs="Times New Roman"/>
          <w:spacing w:val="-1"/>
          <w:sz w:val="19"/>
          <w:szCs w:val="19"/>
        </w:rPr>
        <w:t>are</w:t>
      </w:r>
      <w:r>
        <w:rPr>
          <w:rFonts w:ascii="Times New Roman" w:hAnsi="Times New Roman" w:eastAsia="Times New Roman" w:cs="Times New Roman"/>
          <w:spacing w:val="30"/>
          <w:sz w:val="19"/>
          <w:szCs w:val="19"/>
        </w:rPr>
        <w:t xml:space="preserve"> </w:t>
      </w:r>
      <w:r>
        <w:rPr>
          <w:rFonts w:ascii="Times New Roman" w:hAnsi="Times New Roman" w:eastAsia="Times New Roman" w:cs="Times New Roman"/>
          <w:spacing w:val="-1"/>
          <w:sz w:val="19"/>
          <w:szCs w:val="19"/>
        </w:rPr>
        <w:t>constantly</w:t>
      </w:r>
      <w:r>
        <w:rPr>
          <w:rFonts w:ascii="Times New Roman" w:hAnsi="Times New Roman" w:eastAsia="Times New Roman" w:cs="Times New Roman"/>
          <w:spacing w:val="23"/>
          <w:w w:val="101"/>
          <w:sz w:val="19"/>
          <w:szCs w:val="19"/>
        </w:rPr>
        <w:t xml:space="preserve"> </w:t>
      </w:r>
      <w:r>
        <w:rPr>
          <w:rFonts w:ascii="Times New Roman" w:hAnsi="Times New Roman" w:eastAsia="Times New Roman" w:cs="Times New Roman"/>
          <w:spacing w:val="-1"/>
          <w:sz w:val="19"/>
          <w:szCs w:val="19"/>
        </w:rPr>
        <w:t>present</w:t>
      </w:r>
      <w:r>
        <w:rPr>
          <w:rFonts w:ascii="Times New Roman" w:hAnsi="Times New Roman" w:eastAsia="Times New Roman" w:cs="Times New Roman"/>
          <w:spacing w:val="28"/>
          <w:w w:val="101"/>
          <w:sz w:val="19"/>
          <w:szCs w:val="19"/>
        </w:rPr>
        <w:t xml:space="preserve"> </w:t>
      </w:r>
      <w:r>
        <w:rPr>
          <w:rFonts w:ascii="Times New Roman" w:hAnsi="Times New Roman" w:eastAsia="Times New Roman" w:cs="Times New Roman"/>
          <w:spacing w:val="-1"/>
          <w:sz w:val="19"/>
          <w:szCs w:val="19"/>
        </w:rPr>
        <w:t>in</w:t>
      </w:r>
      <w:r>
        <w:rPr>
          <w:rFonts w:ascii="Times New Roman" w:hAnsi="Times New Roman" w:eastAsia="Times New Roman" w:cs="Times New Roman"/>
          <w:spacing w:val="23"/>
          <w:sz w:val="19"/>
          <w:szCs w:val="19"/>
        </w:rPr>
        <w:t xml:space="preserve"> </w:t>
      </w:r>
      <w:r>
        <w:rPr>
          <w:rFonts w:ascii="Times New Roman" w:hAnsi="Times New Roman" w:eastAsia="Times New Roman" w:cs="Times New Roman"/>
          <w:spacing w:val="-1"/>
          <w:sz w:val="19"/>
          <w:szCs w:val="19"/>
        </w:rPr>
        <w:t>people</w:t>
      </w:r>
      <w:r>
        <w:rPr>
          <w:rFonts w:ascii="Times New Roman" w:hAnsi="Times New Roman" w:eastAsia="Times New Roman" w:cs="Times New Roman"/>
          <w:spacing w:val="29"/>
          <w:w w:val="101"/>
          <w:sz w:val="19"/>
          <w:szCs w:val="19"/>
        </w:rPr>
        <w:t xml:space="preserve"> </w:t>
      </w:r>
      <w:r>
        <w:rPr>
          <w:rFonts w:ascii="Times New Roman" w:hAnsi="Times New Roman" w:eastAsia="Times New Roman" w:cs="Times New Roman"/>
          <w:spacing w:val="-1"/>
          <w:sz w:val="19"/>
          <w:szCs w:val="19"/>
        </w:rPr>
        <w:t>living</w:t>
      </w:r>
      <w:r>
        <w:rPr>
          <w:rFonts w:ascii="Times New Roman" w:hAnsi="Times New Roman" w:eastAsia="Times New Roman" w:cs="Times New Roman"/>
          <w:spacing w:val="29"/>
          <w:sz w:val="19"/>
          <w:szCs w:val="19"/>
        </w:rPr>
        <w:t xml:space="preserve"> </w:t>
      </w:r>
      <w:r>
        <w:rPr>
          <w:rFonts w:ascii="Times New Roman" w:hAnsi="Times New Roman" w:eastAsia="Times New Roman" w:cs="Times New Roman"/>
          <w:spacing w:val="-1"/>
          <w:sz w:val="19"/>
          <w:szCs w:val="19"/>
        </w:rPr>
        <w:t>in</w:t>
      </w:r>
      <w:r>
        <w:rPr>
          <w:rFonts w:ascii="Times New Roman" w:hAnsi="Times New Roman" w:eastAsia="Times New Roman" w:cs="Times New Roman"/>
          <w:spacing w:val="30"/>
          <w:w w:val="101"/>
          <w:sz w:val="19"/>
          <w:szCs w:val="19"/>
        </w:rPr>
        <w:t xml:space="preserve"> </w:t>
      </w:r>
      <w:r>
        <w:rPr>
          <w:rFonts w:ascii="Times New Roman" w:hAnsi="Times New Roman" w:eastAsia="Times New Roman" w:cs="Times New Roman"/>
          <w:spacing w:val="-1"/>
          <w:sz w:val="19"/>
          <w:szCs w:val="19"/>
        </w:rPr>
        <w:t>a</w:t>
      </w:r>
      <w:r>
        <w:rPr>
          <w:rFonts w:ascii="Times New Roman" w:hAnsi="Times New Roman" w:eastAsia="Times New Roman" w:cs="Times New Roman"/>
          <w:spacing w:val="23"/>
          <w:sz w:val="19"/>
          <w:szCs w:val="19"/>
        </w:rPr>
        <w:t xml:space="preserve"> </w:t>
      </w:r>
      <w:r>
        <w:rPr>
          <w:rFonts w:ascii="Times New Roman" w:hAnsi="Times New Roman" w:eastAsia="Times New Roman" w:cs="Times New Roman"/>
          <w:spacing w:val="-1"/>
          <w:sz w:val="19"/>
          <w:szCs w:val="19"/>
        </w:rPr>
        <w:t>particular</w:t>
      </w:r>
      <w:r>
        <w:rPr>
          <w:rFonts w:ascii="Times New Roman" w:hAnsi="Times New Roman" w:eastAsia="Times New Roman" w:cs="Times New Roman"/>
          <w:spacing w:val="22"/>
          <w:w w:val="101"/>
          <w:sz w:val="19"/>
          <w:szCs w:val="19"/>
        </w:rPr>
        <w:t xml:space="preserve"> </w:t>
      </w:r>
      <w:r>
        <w:rPr>
          <w:rFonts w:ascii="Times New Roman" w:hAnsi="Times New Roman" w:eastAsia="Times New Roman" w:cs="Times New Roman"/>
          <w:spacing w:val="-1"/>
          <w:sz w:val="19"/>
          <w:szCs w:val="19"/>
        </w:rPr>
        <w:t>place</w:t>
      </w:r>
      <w:r>
        <w:rPr>
          <w:rFonts w:ascii="Times New Roman" w:hAnsi="Times New Roman" w:eastAsia="Times New Roman" w:cs="Times New Roman"/>
          <w:sz w:val="19"/>
          <w:szCs w:val="19"/>
        </w:rPr>
        <w:t xml:space="preserve">  without imported</w:t>
      </w:r>
      <w:r>
        <w:rPr>
          <w:rFonts w:ascii="Times New Roman" w:hAnsi="Times New Roman" w:eastAsia="Times New Roman" w:cs="Times New Roman"/>
          <w:spacing w:val="12"/>
          <w:sz w:val="19"/>
          <w:szCs w:val="19"/>
        </w:rPr>
        <w:t xml:space="preserve"> </w:t>
      </w:r>
      <w:r>
        <w:rPr>
          <w:rFonts w:ascii="Times New Roman" w:hAnsi="Times New Roman" w:eastAsia="Times New Roman" w:cs="Times New Roman"/>
          <w:sz w:val="19"/>
          <w:szCs w:val="19"/>
        </w:rPr>
        <w:t>cases</w:t>
      </w:r>
      <w:r>
        <w:rPr>
          <w:rFonts w:ascii="Times New Roman" w:hAnsi="Times New Roman" w:eastAsia="Times New Roman" w:cs="Times New Roman"/>
          <w:spacing w:val="13"/>
          <w:w w:val="101"/>
          <w:sz w:val="19"/>
          <w:szCs w:val="19"/>
        </w:rPr>
        <w:t xml:space="preserve"> </w:t>
      </w:r>
      <w:r>
        <w:rPr>
          <w:rFonts w:ascii="Times New Roman" w:hAnsi="Times New Roman" w:eastAsia="Times New Roman" w:cs="Times New Roman"/>
          <w:sz w:val="19"/>
          <w:szCs w:val="19"/>
        </w:rPr>
        <w:t>from</w:t>
      </w:r>
      <w:r>
        <w:rPr>
          <w:rFonts w:ascii="Times New Roman" w:hAnsi="Times New Roman" w:eastAsia="Times New Roman" w:cs="Times New Roman"/>
          <w:spacing w:val="13"/>
          <w:sz w:val="19"/>
          <w:szCs w:val="19"/>
        </w:rPr>
        <w:t xml:space="preserve"> </w:t>
      </w:r>
      <w:r>
        <w:rPr>
          <w:rFonts w:ascii="Times New Roman" w:hAnsi="Times New Roman" w:eastAsia="Times New Roman" w:cs="Times New Roman"/>
          <w:sz w:val="19"/>
          <w:szCs w:val="19"/>
        </w:rPr>
        <w:t>external</w:t>
      </w:r>
      <w:r>
        <w:rPr>
          <w:rFonts w:ascii="Times New Roman" w:hAnsi="Times New Roman" w:eastAsia="Times New Roman" w:cs="Times New Roman"/>
          <w:spacing w:val="15"/>
          <w:w w:val="101"/>
          <w:sz w:val="19"/>
          <w:szCs w:val="19"/>
        </w:rPr>
        <w:t xml:space="preserve"> </w:t>
      </w:r>
      <w:r>
        <w:rPr>
          <w:rFonts w:ascii="Times New Roman" w:hAnsi="Times New Roman" w:eastAsia="Times New Roman" w:cs="Times New Roman"/>
          <w:sz w:val="19"/>
          <w:szCs w:val="19"/>
        </w:rPr>
        <w:t>sources.Epidemio</w:t>
      </w:r>
      <w:r>
        <w:rPr>
          <w:rFonts w:ascii="Times New Roman" w:hAnsi="Times New Roman" w:eastAsia="Times New Roman" w:cs="Times New Roman"/>
          <w:spacing w:val="-1"/>
          <w:sz w:val="19"/>
          <w:szCs w:val="19"/>
        </w:rPr>
        <w:t>logy</w:t>
      </w:r>
      <w:r>
        <w:rPr>
          <w:rFonts w:ascii="Times New Roman" w:hAnsi="Times New Roman" w:eastAsia="Times New Roman" w:cs="Times New Roman"/>
          <w:spacing w:val="12"/>
          <w:w w:val="101"/>
          <w:sz w:val="19"/>
          <w:szCs w:val="19"/>
        </w:rPr>
        <w:t xml:space="preserve"> </w:t>
      </w:r>
      <w:r>
        <w:rPr>
          <w:rFonts w:ascii="Times New Roman" w:hAnsi="Times New Roman" w:eastAsia="Times New Roman" w:cs="Times New Roman"/>
          <w:spacing w:val="-1"/>
          <w:sz w:val="19"/>
          <w:szCs w:val="19"/>
        </w:rPr>
        <w:t>of endemic</w:t>
      </w:r>
      <w:r>
        <w:rPr>
          <w:rFonts w:ascii="Times New Roman" w:hAnsi="Times New Roman" w:eastAsia="Times New Roman" w:cs="Times New Roman"/>
          <w:spacing w:val="12"/>
          <w:sz w:val="19"/>
          <w:szCs w:val="19"/>
        </w:rPr>
        <w:t xml:space="preserve"> </w:t>
      </w:r>
      <w:r>
        <w:rPr>
          <w:rFonts w:ascii="Times New Roman" w:hAnsi="Times New Roman" w:eastAsia="Times New Roman" w:cs="Times New Roman"/>
          <w:spacing w:val="-1"/>
          <w:sz w:val="19"/>
          <w:szCs w:val="19"/>
        </w:rPr>
        <w:t>diseases</w:t>
      </w:r>
      <w:r>
        <w:rPr>
          <w:rFonts w:ascii="Times New Roman" w:hAnsi="Times New Roman" w:eastAsia="Times New Roman" w:cs="Times New Roman"/>
          <w:spacing w:val="11"/>
          <w:w w:val="101"/>
          <w:sz w:val="19"/>
          <w:szCs w:val="19"/>
        </w:rPr>
        <w:t xml:space="preserve"> </w:t>
      </w:r>
      <w:r>
        <w:rPr>
          <w:rFonts w:ascii="Times New Roman" w:hAnsi="Times New Roman" w:eastAsia="Times New Roman" w:cs="Times New Roman"/>
          <w:spacing w:val="-1"/>
          <w:sz w:val="19"/>
          <w:szCs w:val="19"/>
        </w:rPr>
        <w:t>investigates the</w:t>
      </w:r>
      <w:r>
        <w:rPr>
          <w:rFonts w:ascii="Times New Roman" w:hAnsi="Times New Roman" w:eastAsia="Times New Roman" w:cs="Times New Roman"/>
          <w:spacing w:val="12"/>
          <w:w w:val="101"/>
          <w:sz w:val="19"/>
          <w:szCs w:val="19"/>
        </w:rPr>
        <w:t xml:space="preserve"> </w:t>
      </w:r>
      <w:r>
        <w:rPr>
          <w:rFonts w:ascii="Times New Roman" w:hAnsi="Times New Roman" w:eastAsia="Times New Roman" w:cs="Times New Roman"/>
          <w:spacing w:val="-1"/>
          <w:sz w:val="19"/>
          <w:szCs w:val="19"/>
        </w:rPr>
        <w:t>distribution</w:t>
      </w:r>
      <w:r>
        <w:rPr>
          <w:rFonts w:ascii="Times New Roman" w:hAnsi="Times New Roman" w:eastAsia="Times New Roman" w:cs="Times New Roman"/>
          <w:spacing w:val="13"/>
          <w:sz w:val="19"/>
          <w:szCs w:val="19"/>
        </w:rPr>
        <w:t xml:space="preserve"> </w:t>
      </w:r>
      <w:r>
        <w:rPr>
          <w:rFonts w:ascii="Times New Roman" w:hAnsi="Times New Roman" w:eastAsia="Times New Roman" w:cs="Times New Roman"/>
          <w:spacing w:val="-1"/>
          <w:sz w:val="19"/>
          <w:szCs w:val="19"/>
        </w:rPr>
        <w:t>and</w:t>
      </w:r>
      <w:r>
        <w:rPr>
          <w:rFonts w:ascii="Times New Roman" w:hAnsi="Times New Roman" w:eastAsia="Times New Roman" w:cs="Times New Roman"/>
          <w:sz w:val="19"/>
          <w:szCs w:val="19"/>
        </w:rPr>
        <w:t xml:space="preserve">  </w:t>
      </w:r>
      <w:r>
        <w:rPr>
          <w:rFonts w:ascii="Times New Roman" w:hAnsi="Times New Roman" w:eastAsia="Times New Roman" w:cs="Times New Roman"/>
          <w:spacing w:val="-2"/>
          <w:sz w:val="19"/>
          <w:szCs w:val="19"/>
        </w:rPr>
        <w:t>causes of</w:t>
      </w:r>
      <w:r>
        <w:rPr>
          <w:rFonts w:ascii="Times New Roman" w:hAnsi="Times New Roman" w:eastAsia="Times New Roman" w:cs="Times New Roman"/>
          <w:spacing w:val="-14"/>
          <w:sz w:val="19"/>
          <w:szCs w:val="19"/>
        </w:rPr>
        <w:t xml:space="preserve"> </w:t>
      </w:r>
      <w:r>
        <w:rPr>
          <w:rFonts w:ascii="Times New Roman" w:hAnsi="Times New Roman" w:eastAsia="Times New Roman" w:cs="Times New Roman"/>
          <w:spacing w:val="-2"/>
          <w:sz w:val="19"/>
          <w:szCs w:val="19"/>
        </w:rPr>
        <w:t>endemic diseases,formulates the strategy and measures to</w:t>
      </w:r>
      <w:r>
        <w:rPr>
          <w:rFonts w:ascii="Times New Roman" w:hAnsi="Times New Roman" w:eastAsia="Times New Roman" w:cs="Times New Roman"/>
          <w:spacing w:val="-3"/>
          <w:sz w:val="19"/>
          <w:szCs w:val="19"/>
        </w:rPr>
        <w:t xml:space="preserve"> prevent and</w:t>
      </w:r>
      <w:r>
        <w:rPr>
          <w:rFonts w:ascii="Times New Roman" w:hAnsi="Times New Roman" w:eastAsia="Times New Roman" w:cs="Times New Roman"/>
          <w:spacing w:val="5"/>
          <w:sz w:val="19"/>
          <w:szCs w:val="19"/>
        </w:rPr>
        <w:t xml:space="preserve"> </w:t>
      </w:r>
      <w:r>
        <w:rPr>
          <w:rFonts w:ascii="Times New Roman" w:hAnsi="Times New Roman" w:eastAsia="Times New Roman" w:cs="Times New Roman"/>
          <w:spacing w:val="-3"/>
          <w:sz w:val="19"/>
          <w:szCs w:val="19"/>
        </w:rPr>
        <w:t>control the</w:t>
      </w:r>
      <w:r>
        <w:rPr>
          <w:rFonts w:ascii="Times New Roman" w:hAnsi="Times New Roman" w:eastAsia="Times New Roman" w:cs="Times New Roman"/>
          <w:spacing w:val="5"/>
          <w:sz w:val="19"/>
          <w:szCs w:val="19"/>
        </w:rPr>
        <w:t xml:space="preserve"> </w:t>
      </w:r>
      <w:r>
        <w:rPr>
          <w:rFonts w:ascii="Times New Roman" w:hAnsi="Times New Roman" w:eastAsia="Times New Roman" w:cs="Times New Roman"/>
          <w:spacing w:val="-3"/>
          <w:sz w:val="19"/>
          <w:szCs w:val="19"/>
        </w:rPr>
        <w:t>diseases,and</w:t>
      </w:r>
      <w:r>
        <w:rPr>
          <w:rFonts w:ascii="Times New Roman" w:hAnsi="Times New Roman" w:eastAsia="Times New Roman" w:cs="Times New Roman"/>
          <w:spacing w:val="5"/>
          <w:sz w:val="19"/>
          <w:szCs w:val="19"/>
        </w:rPr>
        <w:t xml:space="preserve"> </w:t>
      </w:r>
      <w:r>
        <w:rPr>
          <w:rFonts w:ascii="Times New Roman" w:hAnsi="Times New Roman" w:eastAsia="Times New Roman" w:cs="Times New Roman"/>
          <w:spacing w:val="-3"/>
          <w:sz w:val="19"/>
          <w:szCs w:val="19"/>
        </w:rPr>
        <w:t>evaluates</w:t>
      </w:r>
      <w:r>
        <w:rPr>
          <w:rFonts w:ascii="Times New Roman" w:hAnsi="Times New Roman" w:eastAsia="Times New Roman" w:cs="Times New Roman"/>
          <w:sz w:val="19"/>
          <w:szCs w:val="19"/>
        </w:rPr>
        <w:t xml:space="preserve"> </w:t>
      </w:r>
      <w:r>
        <w:rPr>
          <w:rFonts w:ascii="Times New Roman" w:hAnsi="Times New Roman" w:eastAsia="Times New Roman" w:cs="Times New Roman"/>
          <w:spacing w:val="-3"/>
          <w:sz w:val="19"/>
          <w:szCs w:val="19"/>
        </w:rPr>
        <w:t>the</w:t>
      </w:r>
      <w:r>
        <w:rPr>
          <w:rFonts w:ascii="Times New Roman" w:hAnsi="Times New Roman" w:eastAsia="Times New Roman" w:cs="Times New Roman"/>
          <w:sz w:val="19"/>
          <w:szCs w:val="19"/>
        </w:rPr>
        <w:t xml:space="preserve">  </w:t>
      </w:r>
      <w:r>
        <w:rPr>
          <w:rFonts w:ascii="Times New Roman" w:hAnsi="Times New Roman" w:eastAsia="Times New Roman" w:cs="Times New Roman"/>
          <w:spacing w:val="-2"/>
          <w:sz w:val="19"/>
          <w:szCs w:val="19"/>
        </w:rPr>
        <w:t>effectiveness of</w:t>
      </w:r>
      <w:r>
        <w:rPr>
          <w:rFonts w:ascii="Times New Roman" w:hAnsi="Times New Roman" w:eastAsia="Times New Roman" w:cs="Times New Roman"/>
          <w:spacing w:val="-15"/>
          <w:sz w:val="19"/>
          <w:szCs w:val="19"/>
        </w:rPr>
        <w:t xml:space="preserve"> </w:t>
      </w:r>
      <w:r>
        <w:rPr>
          <w:rFonts w:ascii="Times New Roman" w:hAnsi="Times New Roman" w:eastAsia="Times New Roman" w:cs="Times New Roman"/>
          <w:spacing w:val="-2"/>
          <w:sz w:val="19"/>
          <w:szCs w:val="19"/>
        </w:rPr>
        <w:t>interventions.The current situation in C</w:t>
      </w:r>
      <w:r>
        <w:rPr>
          <w:rFonts w:ascii="Times New Roman" w:hAnsi="Times New Roman" w:eastAsia="Times New Roman" w:cs="Times New Roman"/>
          <w:spacing w:val="-3"/>
          <w:sz w:val="19"/>
          <w:szCs w:val="19"/>
        </w:rPr>
        <w:t>hina is</w:t>
      </w:r>
      <w:r>
        <w:rPr>
          <w:rFonts w:ascii="Times New Roman" w:hAnsi="Times New Roman" w:eastAsia="Times New Roman" w:cs="Times New Roman"/>
          <w:spacing w:val="5"/>
          <w:sz w:val="19"/>
          <w:szCs w:val="19"/>
        </w:rPr>
        <w:t xml:space="preserve"> </w:t>
      </w:r>
      <w:r>
        <w:rPr>
          <w:rFonts w:ascii="Times New Roman" w:hAnsi="Times New Roman" w:eastAsia="Times New Roman" w:cs="Times New Roman"/>
          <w:spacing w:val="-3"/>
          <w:sz w:val="19"/>
          <w:szCs w:val="19"/>
        </w:rPr>
        <w:t>characterized by the presence</w:t>
      </w:r>
      <w:r>
        <w:rPr>
          <w:rFonts w:ascii="Times New Roman" w:hAnsi="Times New Roman" w:eastAsia="Times New Roman" w:cs="Times New Roman"/>
          <w:spacing w:val="5"/>
          <w:sz w:val="19"/>
          <w:szCs w:val="19"/>
        </w:rPr>
        <w:t xml:space="preserve"> </w:t>
      </w:r>
      <w:r>
        <w:rPr>
          <w:rFonts w:ascii="Times New Roman" w:hAnsi="Times New Roman" w:eastAsia="Times New Roman" w:cs="Times New Roman"/>
          <w:spacing w:val="-3"/>
          <w:sz w:val="19"/>
          <w:szCs w:val="19"/>
        </w:rPr>
        <w:t>offive prevalent</w:t>
      </w:r>
      <w:r>
        <w:rPr>
          <w:rFonts w:ascii="Times New Roman" w:hAnsi="Times New Roman" w:eastAsia="Times New Roman" w:cs="Times New Roman"/>
          <w:spacing w:val="5"/>
          <w:sz w:val="19"/>
          <w:szCs w:val="19"/>
        </w:rPr>
        <w:t xml:space="preserve"> </w:t>
      </w:r>
      <w:r>
        <w:rPr>
          <w:rFonts w:ascii="Times New Roman" w:hAnsi="Times New Roman" w:eastAsia="Times New Roman" w:cs="Times New Roman"/>
          <w:spacing w:val="-3"/>
          <w:sz w:val="19"/>
          <w:szCs w:val="19"/>
        </w:rPr>
        <w:t>endemic</w:t>
      </w:r>
      <w:r>
        <w:rPr>
          <w:rFonts w:ascii="Times New Roman" w:hAnsi="Times New Roman" w:eastAsia="Times New Roman" w:cs="Times New Roman"/>
          <w:sz w:val="19"/>
          <w:szCs w:val="19"/>
        </w:rPr>
        <w:t xml:space="preserve"> diseases.This chapter focuses on the earth chemistry-related endemic</w:t>
      </w:r>
      <w:r>
        <w:rPr>
          <w:rFonts w:ascii="Times New Roman" w:hAnsi="Times New Roman" w:eastAsia="Times New Roman" w:cs="Times New Roman"/>
          <w:spacing w:val="6"/>
          <w:sz w:val="19"/>
          <w:szCs w:val="19"/>
        </w:rPr>
        <w:t xml:space="preserve"> </w:t>
      </w:r>
      <w:r>
        <w:rPr>
          <w:rFonts w:ascii="Times New Roman" w:hAnsi="Times New Roman" w:eastAsia="Times New Roman" w:cs="Times New Roman"/>
          <w:sz w:val="19"/>
          <w:szCs w:val="19"/>
        </w:rPr>
        <w:t>diseas</w:t>
      </w:r>
      <w:r>
        <w:rPr>
          <w:rFonts w:ascii="Times New Roman" w:hAnsi="Times New Roman" w:eastAsia="Times New Roman" w:cs="Times New Roman"/>
          <w:spacing w:val="-1"/>
          <w:sz w:val="19"/>
          <w:szCs w:val="19"/>
        </w:rPr>
        <w:t>es,providing</w:t>
      </w:r>
      <w:r>
        <w:rPr>
          <w:rFonts w:ascii="Times New Roman" w:hAnsi="Times New Roman" w:eastAsia="Times New Roman" w:cs="Times New Roman"/>
          <w:spacing w:val="6"/>
          <w:sz w:val="19"/>
          <w:szCs w:val="19"/>
        </w:rPr>
        <w:t xml:space="preserve"> </w:t>
      </w:r>
      <w:r>
        <w:rPr>
          <w:rFonts w:ascii="Times New Roman" w:hAnsi="Times New Roman" w:eastAsia="Times New Roman" w:cs="Times New Roman"/>
          <w:spacing w:val="-1"/>
          <w:sz w:val="19"/>
          <w:szCs w:val="19"/>
        </w:rPr>
        <w:t>detailed</w:t>
      </w:r>
      <w:r>
        <w:rPr>
          <w:rFonts w:ascii="Times New Roman" w:hAnsi="Times New Roman" w:eastAsia="Times New Roman" w:cs="Times New Roman"/>
          <w:spacing w:val="5"/>
          <w:sz w:val="19"/>
          <w:szCs w:val="19"/>
        </w:rPr>
        <w:t xml:space="preserve"> </w:t>
      </w:r>
      <w:r>
        <w:rPr>
          <w:rFonts w:ascii="Times New Roman" w:hAnsi="Times New Roman" w:eastAsia="Times New Roman" w:cs="Times New Roman"/>
          <w:spacing w:val="-1"/>
          <w:sz w:val="19"/>
          <w:szCs w:val="19"/>
        </w:rPr>
        <w:t>insights</w:t>
      </w:r>
      <w:r>
        <w:rPr>
          <w:rFonts w:ascii="Times New Roman" w:hAnsi="Times New Roman" w:eastAsia="Times New Roman" w:cs="Times New Roman"/>
          <w:spacing w:val="6"/>
          <w:sz w:val="19"/>
          <w:szCs w:val="19"/>
        </w:rPr>
        <w:t xml:space="preserve"> </w:t>
      </w:r>
      <w:r>
        <w:rPr>
          <w:rFonts w:ascii="Times New Roman" w:hAnsi="Times New Roman" w:eastAsia="Times New Roman" w:cs="Times New Roman"/>
          <w:spacing w:val="-1"/>
          <w:sz w:val="19"/>
          <w:szCs w:val="19"/>
        </w:rPr>
        <w:t>into their</w:t>
      </w:r>
      <w:r>
        <w:rPr>
          <w:rFonts w:ascii="Times New Roman" w:hAnsi="Times New Roman" w:eastAsia="Times New Roman" w:cs="Times New Roman"/>
          <w:sz w:val="19"/>
          <w:szCs w:val="19"/>
        </w:rPr>
        <w:t xml:space="preserve"> distribution across China and emphasizing prevention a</w:t>
      </w:r>
      <w:r>
        <w:rPr>
          <w:rFonts w:ascii="Times New Roman" w:hAnsi="Times New Roman" w:eastAsia="Times New Roman" w:cs="Times New Roman"/>
          <w:spacing w:val="-1"/>
          <w:sz w:val="19"/>
          <w:szCs w:val="19"/>
        </w:rPr>
        <w:t>nd control measures</w:t>
      </w:r>
      <w:r>
        <w:rPr>
          <w:rFonts w:ascii="Times New Roman" w:hAnsi="Times New Roman" w:eastAsia="Times New Roman" w:cs="Times New Roman"/>
          <w:spacing w:val="10"/>
          <w:sz w:val="19"/>
          <w:szCs w:val="19"/>
        </w:rPr>
        <w:t xml:space="preserve"> </w:t>
      </w:r>
      <w:r>
        <w:rPr>
          <w:rFonts w:ascii="Times New Roman" w:hAnsi="Times New Roman" w:eastAsia="Times New Roman" w:cs="Times New Roman"/>
          <w:spacing w:val="-1"/>
          <w:sz w:val="19"/>
          <w:szCs w:val="19"/>
        </w:rPr>
        <w:t>such</w:t>
      </w:r>
      <w:r>
        <w:rPr>
          <w:rFonts w:ascii="Times New Roman" w:hAnsi="Times New Roman" w:eastAsia="Times New Roman" w:cs="Times New Roman"/>
          <w:spacing w:val="6"/>
          <w:sz w:val="19"/>
          <w:szCs w:val="19"/>
        </w:rPr>
        <w:t xml:space="preserve"> </w:t>
      </w:r>
      <w:r>
        <w:rPr>
          <w:rFonts w:ascii="Times New Roman" w:hAnsi="Times New Roman" w:eastAsia="Times New Roman" w:cs="Times New Roman"/>
          <w:spacing w:val="-1"/>
          <w:sz w:val="19"/>
          <w:szCs w:val="19"/>
        </w:rPr>
        <w:t>as</w:t>
      </w:r>
      <w:r>
        <w:rPr>
          <w:rFonts w:ascii="Times New Roman" w:hAnsi="Times New Roman" w:eastAsia="Times New Roman" w:cs="Times New Roman"/>
          <w:spacing w:val="10"/>
          <w:sz w:val="19"/>
          <w:szCs w:val="19"/>
        </w:rPr>
        <w:t xml:space="preserve"> </w:t>
      </w:r>
      <w:r>
        <w:rPr>
          <w:rFonts w:ascii="Times New Roman" w:hAnsi="Times New Roman" w:eastAsia="Times New Roman" w:cs="Times New Roman"/>
          <w:spacing w:val="-1"/>
          <w:sz w:val="19"/>
          <w:szCs w:val="19"/>
        </w:rPr>
        <w:t>surveillance</w:t>
      </w:r>
      <w:r>
        <w:rPr>
          <w:rFonts w:ascii="Times New Roman" w:hAnsi="Times New Roman" w:eastAsia="Times New Roman" w:cs="Times New Roman"/>
          <w:spacing w:val="7"/>
          <w:sz w:val="19"/>
          <w:szCs w:val="19"/>
        </w:rPr>
        <w:t xml:space="preserve"> </w:t>
      </w:r>
      <w:r>
        <w:rPr>
          <w:rFonts w:ascii="Times New Roman" w:hAnsi="Times New Roman" w:eastAsia="Times New Roman" w:cs="Times New Roman"/>
          <w:spacing w:val="-1"/>
          <w:sz w:val="19"/>
          <w:szCs w:val="19"/>
        </w:rPr>
        <w:t>and</w:t>
      </w:r>
      <w:r>
        <w:rPr>
          <w:rFonts w:ascii="Times New Roman" w:hAnsi="Times New Roman" w:eastAsia="Times New Roman" w:cs="Times New Roman"/>
          <w:spacing w:val="5"/>
          <w:sz w:val="19"/>
          <w:szCs w:val="19"/>
        </w:rPr>
        <w:t xml:space="preserve"> </w:t>
      </w:r>
      <w:r>
        <w:rPr>
          <w:rFonts w:ascii="Times New Roman" w:hAnsi="Times New Roman" w:eastAsia="Times New Roman" w:cs="Times New Roman"/>
          <w:spacing w:val="-1"/>
          <w:sz w:val="19"/>
          <w:szCs w:val="19"/>
        </w:rPr>
        <w:t>intervention.</w:t>
      </w:r>
    </w:p>
    <w:p w14:paraId="4A51DFC9">
      <w:pPr>
        <w:spacing w:line="326" w:lineRule="auto"/>
        <w:rPr>
          <w:rFonts w:ascii="Arial"/>
          <w:sz w:val="21"/>
        </w:rPr>
      </w:pPr>
    </w:p>
    <w:p w14:paraId="4B4B88A5">
      <w:pPr>
        <w:spacing w:before="62" w:line="368" w:lineRule="auto"/>
        <w:ind w:right="571" w:firstLine="420"/>
        <w:jc w:val="both"/>
        <w:rPr>
          <w:rFonts w:ascii="宋体" w:hAnsi="宋体" w:eastAsia="宋体" w:cs="宋体"/>
          <w:sz w:val="19"/>
          <w:szCs w:val="19"/>
        </w:rPr>
      </w:pPr>
      <w:r>
        <w:rPr>
          <w:rFonts w:ascii="宋体" w:hAnsi="宋体" w:eastAsia="宋体" w:cs="宋体"/>
          <w:spacing w:val="5"/>
          <w:sz w:val="19"/>
          <w:szCs w:val="19"/>
        </w:rPr>
        <w:t>地</w:t>
      </w:r>
      <w:r>
        <w:rPr>
          <w:rFonts w:ascii="宋体" w:hAnsi="宋体" w:eastAsia="宋体" w:cs="宋体"/>
          <w:spacing w:val="-41"/>
          <w:sz w:val="19"/>
          <w:szCs w:val="19"/>
        </w:rPr>
        <w:t xml:space="preserve"> </w:t>
      </w:r>
      <w:r>
        <w:rPr>
          <w:rFonts w:ascii="宋体" w:hAnsi="宋体" w:eastAsia="宋体" w:cs="宋体"/>
          <w:spacing w:val="5"/>
          <w:sz w:val="19"/>
          <w:szCs w:val="19"/>
        </w:rPr>
        <w:t>方</w:t>
      </w:r>
      <w:r>
        <w:rPr>
          <w:rFonts w:ascii="宋体" w:hAnsi="宋体" w:eastAsia="宋体" w:cs="宋体"/>
          <w:spacing w:val="-43"/>
          <w:sz w:val="19"/>
          <w:szCs w:val="19"/>
        </w:rPr>
        <w:t xml:space="preserve"> </w:t>
      </w:r>
      <w:r>
        <w:rPr>
          <w:rFonts w:ascii="宋体" w:hAnsi="宋体" w:eastAsia="宋体" w:cs="宋体"/>
          <w:spacing w:val="5"/>
          <w:sz w:val="19"/>
          <w:szCs w:val="19"/>
        </w:rPr>
        <w:t>病</w:t>
      </w:r>
      <w:r>
        <w:rPr>
          <w:rFonts w:ascii="Times New Roman" w:hAnsi="Times New Roman" w:eastAsia="Times New Roman" w:cs="Times New Roman"/>
          <w:spacing w:val="5"/>
          <w:sz w:val="19"/>
          <w:szCs w:val="19"/>
        </w:rPr>
        <w:t>(</w:t>
      </w:r>
      <w:r>
        <w:rPr>
          <w:rFonts w:ascii="Times New Roman" w:hAnsi="Times New Roman" w:eastAsia="Times New Roman" w:cs="Times New Roman"/>
          <w:sz w:val="19"/>
          <w:szCs w:val="19"/>
        </w:rPr>
        <w:t>endemic</w:t>
      </w:r>
      <w:r>
        <w:rPr>
          <w:rFonts w:ascii="Times New Roman" w:hAnsi="Times New Roman" w:eastAsia="Times New Roman" w:cs="Times New Roman"/>
          <w:spacing w:val="5"/>
          <w:sz w:val="19"/>
          <w:szCs w:val="19"/>
        </w:rPr>
        <w:t xml:space="preserve">    </w:t>
      </w:r>
      <w:r>
        <w:rPr>
          <w:rFonts w:ascii="Times New Roman" w:hAnsi="Times New Roman" w:eastAsia="Times New Roman" w:cs="Times New Roman"/>
          <w:sz w:val="19"/>
          <w:szCs w:val="19"/>
        </w:rPr>
        <w:t>disease</w:t>
      </w:r>
      <w:r>
        <w:rPr>
          <w:rFonts w:ascii="Times New Roman" w:hAnsi="Times New Roman" w:eastAsia="Times New Roman" w:cs="Times New Roman"/>
          <w:spacing w:val="5"/>
          <w:sz w:val="19"/>
          <w:szCs w:val="19"/>
        </w:rPr>
        <w:t>)</w:t>
      </w:r>
      <w:r>
        <w:rPr>
          <w:rFonts w:ascii="宋体" w:hAnsi="宋体" w:eastAsia="宋体" w:cs="宋体"/>
          <w:spacing w:val="5"/>
          <w:sz w:val="19"/>
          <w:szCs w:val="19"/>
        </w:rPr>
        <w:t>是呈地方性分布的一类疾病，全球分布广，以经济欠发达的国家和地区</w:t>
      </w:r>
      <w:r>
        <w:rPr>
          <w:rFonts w:ascii="宋体" w:hAnsi="宋体" w:eastAsia="宋体" w:cs="宋体"/>
          <w:sz w:val="19"/>
          <w:szCs w:val="19"/>
        </w:rPr>
        <w:t xml:space="preserve"> </w:t>
      </w:r>
      <w:r>
        <w:rPr>
          <w:rFonts w:ascii="宋体" w:hAnsi="宋体" w:eastAsia="宋体" w:cs="宋体"/>
          <w:spacing w:val="12"/>
          <w:sz w:val="19"/>
          <w:szCs w:val="19"/>
        </w:rPr>
        <w:t xml:space="preserve">较为严重。我国曾是地方病流行较为严重的国家。地方病流行病学主要研究地方病的分布及其病因 </w:t>
      </w:r>
      <w:r>
        <w:rPr>
          <w:rFonts w:ascii="宋体" w:hAnsi="宋体" w:eastAsia="宋体" w:cs="宋体"/>
          <w:spacing w:val="9"/>
          <w:sz w:val="19"/>
          <w:szCs w:val="19"/>
        </w:rPr>
        <w:t>和影响因素，并针对其制定有效的防制策略和措施</w:t>
      </w:r>
      <w:r>
        <w:rPr>
          <w:rFonts w:ascii="宋体" w:hAnsi="宋体" w:eastAsia="宋体" w:cs="宋体"/>
          <w:spacing w:val="8"/>
          <w:sz w:val="19"/>
          <w:szCs w:val="19"/>
        </w:rPr>
        <w:t>。最终目的是控制乃至消除地方病的发生和流行。</w:t>
      </w:r>
    </w:p>
    <w:p w14:paraId="2CAB67D1">
      <w:pPr>
        <w:spacing w:line="249" w:lineRule="auto"/>
        <w:rPr>
          <w:rFonts w:ascii="Arial"/>
          <w:sz w:val="21"/>
        </w:rPr>
      </w:pPr>
    </w:p>
    <w:p w14:paraId="3001D237">
      <w:pPr>
        <w:pStyle w:val="2"/>
        <w:spacing w:before="91" w:line="221" w:lineRule="auto"/>
        <w:ind w:left="3374"/>
        <w:outlineLvl w:val="1"/>
        <w:rPr>
          <w:sz w:val="28"/>
          <w:szCs w:val="28"/>
        </w:rPr>
      </w:pPr>
      <w:bookmarkStart w:id="611" w:name="bookmark391"/>
      <w:bookmarkEnd w:id="611"/>
      <w:r>
        <w:rPr>
          <w:b/>
          <w:bCs/>
          <w:spacing w:val="-1"/>
          <w:sz w:val="28"/>
          <w:szCs w:val="28"/>
        </w:rPr>
        <w:t>第一节</w:t>
      </w:r>
      <w:r>
        <w:rPr>
          <w:sz w:val="28"/>
          <w:szCs w:val="28"/>
        </w:rPr>
        <w:t xml:space="preserve">  </w:t>
      </w:r>
      <w:r>
        <w:rPr>
          <w:b/>
          <w:bCs/>
          <w:spacing w:val="-1"/>
          <w:sz w:val="28"/>
          <w:szCs w:val="28"/>
        </w:rPr>
        <w:t>概</w:t>
      </w:r>
      <w:r>
        <w:rPr>
          <w:spacing w:val="19"/>
          <w:sz w:val="28"/>
          <w:szCs w:val="28"/>
        </w:rPr>
        <w:t xml:space="preserve">  </w:t>
      </w:r>
      <w:r>
        <w:rPr>
          <w:b/>
          <w:bCs/>
          <w:spacing w:val="-1"/>
          <w:sz w:val="28"/>
          <w:szCs w:val="28"/>
        </w:rPr>
        <w:t>述</w:t>
      </w:r>
    </w:p>
    <w:p w14:paraId="6147DBC5">
      <w:pPr>
        <w:spacing w:line="342" w:lineRule="auto"/>
        <w:rPr>
          <w:rFonts w:ascii="Arial"/>
          <w:sz w:val="21"/>
        </w:rPr>
      </w:pPr>
    </w:p>
    <w:p w14:paraId="308F2B6D">
      <w:pPr>
        <w:spacing w:before="62" w:line="351" w:lineRule="auto"/>
        <w:ind w:right="619" w:firstLine="420"/>
        <w:jc w:val="both"/>
        <w:rPr>
          <w:rFonts w:ascii="宋体" w:hAnsi="宋体" w:eastAsia="宋体" w:cs="宋体"/>
          <w:sz w:val="19"/>
          <w:szCs w:val="19"/>
        </w:rPr>
      </w:pPr>
      <w:r>
        <w:rPr>
          <w:rFonts w:ascii="宋体" w:hAnsi="宋体" w:eastAsia="宋体" w:cs="宋体"/>
          <w:spacing w:val="8"/>
          <w:sz w:val="19"/>
          <w:szCs w:val="19"/>
        </w:rPr>
        <w:t>地方病的概念国际上有多种，如：地方病是指局限在某些地方</w:t>
      </w:r>
      <w:r>
        <w:rPr>
          <w:rFonts w:ascii="宋体" w:hAnsi="宋体" w:eastAsia="宋体" w:cs="宋体"/>
          <w:spacing w:val="7"/>
          <w:sz w:val="19"/>
          <w:szCs w:val="19"/>
        </w:rPr>
        <w:t>发生的疾病；</w:t>
      </w:r>
      <w:r>
        <w:rPr>
          <w:rFonts w:ascii="宋体" w:hAnsi="宋体" w:eastAsia="宋体" w:cs="宋体"/>
          <w:spacing w:val="67"/>
          <w:sz w:val="19"/>
          <w:szCs w:val="19"/>
        </w:rPr>
        <w:t xml:space="preserve"> </w:t>
      </w:r>
      <w:r>
        <w:rPr>
          <w:rFonts w:ascii="宋体" w:hAnsi="宋体" w:eastAsia="宋体" w:cs="宋体"/>
          <w:spacing w:val="7"/>
          <w:sz w:val="19"/>
          <w:szCs w:val="19"/>
        </w:rPr>
        <w:t>一种疾病在某一地</w:t>
      </w:r>
      <w:r>
        <w:rPr>
          <w:rFonts w:ascii="宋体" w:hAnsi="宋体" w:eastAsia="宋体" w:cs="宋体"/>
          <w:sz w:val="19"/>
          <w:szCs w:val="19"/>
        </w:rPr>
        <w:t xml:space="preserve"> </w:t>
      </w:r>
      <w:r>
        <w:rPr>
          <w:rFonts w:ascii="宋体" w:hAnsi="宋体" w:eastAsia="宋体" w:cs="宋体"/>
          <w:spacing w:val="12"/>
          <w:sz w:val="19"/>
          <w:szCs w:val="19"/>
        </w:rPr>
        <w:t>区经常发生而不需自外地输入新病例，称为地方病；在</w:t>
      </w:r>
      <w:r>
        <w:rPr>
          <w:rFonts w:ascii="宋体" w:hAnsi="宋体" w:eastAsia="宋体" w:cs="宋体"/>
          <w:spacing w:val="11"/>
          <w:sz w:val="19"/>
          <w:szCs w:val="19"/>
        </w:rPr>
        <w:t>某一个特定地区或人群恒定或不断发生的疾</w:t>
      </w:r>
      <w:r>
        <w:rPr>
          <w:rFonts w:ascii="宋体" w:hAnsi="宋体" w:eastAsia="宋体" w:cs="宋体"/>
          <w:sz w:val="19"/>
          <w:szCs w:val="19"/>
        </w:rPr>
        <w:t xml:space="preserve"> </w:t>
      </w:r>
      <w:r>
        <w:rPr>
          <w:rFonts w:ascii="宋体" w:hAnsi="宋体" w:eastAsia="宋体" w:cs="宋体"/>
          <w:spacing w:val="12"/>
          <w:sz w:val="19"/>
          <w:szCs w:val="19"/>
        </w:rPr>
        <w:t>病或传染性疾病等。目前，适合我国的地方病定义是</w:t>
      </w:r>
      <w:r>
        <w:rPr>
          <w:rFonts w:ascii="宋体" w:hAnsi="宋体" w:eastAsia="宋体" w:cs="宋体"/>
          <w:spacing w:val="11"/>
          <w:sz w:val="19"/>
          <w:szCs w:val="19"/>
        </w:rPr>
        <w:t>：由于自然因素或社会因素的影响，在某一地</w:t>
      </w:r>
      <w:r>
        <w:rPr>
          <w:rFonts w:ascii="宋体" w:hAnsi="宋体" w:eastAsia="宋体" w:cs="宋体"/>
          <w:sz w:val="19"/>
          <w:szCs w:val="19"/>
        </w:rPr>
        <w:t xml:space="preserve"> </w:t>
      </w:r>
      <w:r>
        <w:rPr>
          <w:rFonts w:ascii="宋体" w:hAnsi="宋体" w:eastAsia="宋体" w:cs="宋体"/>
          <w:spacing w:val="8"/>
          <w:sz w:val="19"/>
          <w:szCs w:val="19"/>
        </w:rPr>
        <w:t>区的人群中发生，不需自外地输人，并呈地方性流行特点的疾病。</w:t>
      </w:r>
    </w:p>
    <w:p w14:paraId="6C04CCA3">
      <w:pPr>
        <w:pStyle w:val="2"/>
        <w:spacing w:before="163" w:line="221" w:lineRule="auto"/>
        <w:ind w:left="423"/>
        <w:outlineLvl w:val="4"/>
        <w:rPr>
          <w:sz w:val="25"/>
          <w:szCs w:val="25"/>
        </w:rPr>
      </w:pPr>
      <w:bookmarkStart w:id="612" w:name="bookmark392"/>
      <w:bookmarkEnd w:id="612"/>
      <w:r>
        <w:rPr>
          <w:b/>
          <w:bCs/>
          <w:spacing w:val="-10"/>
          <w:sz w:val="25"/>
          <w:szCs w:val="25"/>
        </w:rPr>
        <w:t>一</w:t>
      </w:r>
      <w:r>
        <w:rPr>
          <w:spacing w:val="-60"/>
          <w:sz w:val="25"/>
          <w:szCs w:val="25"/>
        </w:rPr>
        <w:t xml:space="preserve"> </w:t>
      </w:r>
      <w:r>
        <w:rPr>
          <w:b/>
          <w:bCs/>
          <w:spacing w:val="-10"/>
          <w:sz w:val="25"/>
          <w:szCs w:val="25"/>
        </w:rPr>
        <w:t>、地方病的判断依据及分类</w:t>
      </w:r>
    </w:p>
    <w:p w14:paraId="4DC9BBE6">
      <w:pPr>
        <w:spacing w:before="253" w:line="219" w:lineRule="auto"/>
        <w:ind w:left="420"/>
        <w:rPr>
          <w:rFonts w:ascii="宋体" w:hAnsi="宋体" w:eastAsia="宋体" w:cs="宋体"/>
          <w:sz w:val="19"/>
          <w:szCs w:val="19"/>
        </w:rPr>
      </w:pPr>
      <w:r>
        <w:rPr>
          <w:rFonts w:ascii="宋体" w:hAnsi="宋体" w:eastAsia="宋体" w:cs="宋体"/>
          <w:spacing w:val="8"/>
          <w:sz w:val="19"/>
          <w:szCs w:val="19"/>
        </w:rPr>
        <w:t>判断一种疾病是否属于地方病的依据请参见第二章第三节。根据病因，地方病可分为如下四</w:t>
      </w:r>
      <w:r>
        <w:rPr>
          <w:rFonts w:ascii="宋体" w:hAnsi="宋体" w:eastAsia="宋体" w:cs="宋体"/>
          <w:spacing w:val="7"/>
          <w:sz w:val="19"/>
          <w:szCs w:val="19"/>
        </w:rPr>
        <w:t>类：</w:t>
      </w:r>
    </w:p>
    <w:p w14:paraId="5A0B2A82">
      <w:pPr>
        <w:pStyle w:val="2"/>
        <w:spacing w:before="135" w:line="280" w:lineRule="auto"/>
        <w:ind w:right="626" w:firstLine="420"/>
        <w:rPr>
          <w:rFonts w:ascii="宋体" w:hAnsi="宋体" w:eastAsia="宋体" w:cs="宋体"/>
          <w:sz w:val="19"/>
          <w:szCs w:val="19"/>
        </w:rPr>
      </w:pPr>
      <w:r>
        <w:rPr>
          <w:rFonts w:ascii="宋体" w:hAnsi="宋体" w:eastAsia="宋体" w:cs="宋体"/>
          <w:spacing w:val="10"/>
          <w:sz w:val="19"/>
          <w:szCs w:val="19"/>
        </w:rPr>
        <w:t xml:space="preserve">1. </w:t>
      </w:r>
      <w:r>
        <w:rPr>
          <w:spacing w:val="10"/>
          <w:sz w:val="19"/>
          <w:szCs w:val="19"/>
        </w:rPr>
        <w:t>地球化学性地方病</w:t>
      </w:r>
      <w:r>
        <w:rPr>
          <w:spacing w:val="65"/>
          <w:sz w:val="19"/>
          <w:szCs w:val="19"/>
        </w:rPr>
        <w:t xml:space="preserve"> </w:t>
      </w:r>
      <w:r>
        <w:rPr>
          <w:rFonts w:ascii="宋体" w:hAnsi="宋体" w:eastAsia="宋体" w:cs="宋体"/>
          <w:spacing w:val="10"/>
          <w:sz w:val="19"/>
          <w:szCs w:val="19"/>
        </w:rPr>
        <w:t>是地壳化学结构、水文地质、火山</w:t>
      </w:r>
      <w:r>
        <w:rPr>
          <w:rFonts w:ascii="宋体" w:hAnsi="宋体" w:eastAsia="宋体" w:cs="宋体"/>
          <w:spacing w:val="9"/>
          <w:sz w:val="19"/>
          <w:szCs w:val="19"/>
        </w:rPr>
        <w:t>爆发等原因使土壤、地表或地下水中</w:t>
      </w:r>
      <w:r>
        <w:rPr>
          <w:rFonts w:ascii="宋体" w:hAnsi="宋体" w:eastAsia="宋体" w:cs="宋体"/>
          <w:sz w:val="19"/>
          <w:szCs w:val="19"/>
        </w:rPr>
        <w:t xml:space="preserve"> </w:t>
      </w:r>
      <w:r>
        <w:rPr>
          <w:rFonts w:ascii="宋体" w:hAnsi="宋体" w:eastAsia="宋体" w:cs="宋体"/>
          <w:spacing w:val="9"/>
          <w:sz w:val="19"/>
          <w:szCs w:val="19"/>
        </w:rPr>
        <w:t>某些元素缺乏或过多引起的疾病，如碘缺乏病、饮水型地方性氟中毒等。</w:t>
      </w:r>
    </w:p>
    <w:p w14:paraId="0DDBDCA5">
      <w:pPr>
        <w:pStyle w:val="2"/>
        <w:spacing w:before="132" w:line="300" w:lineRule="auto"/>
        <w:ind w:right="617" w:firstLine="420"/>
        <w:rPr>
          <w:rFonts w:ascii="宋体" w:hAnsi="宋体" w:eastAsia="宋体" w:cs="宋体"/>
          <w:sz w:val="19"/>
          <w:szCs w:val="19"/>
        </w:rPr>
      </w:pPr>
      <w:r>
        <w:rPr>
          <w:rFonts w:ascii="宋体" w:hAnsi="宋体" w:eastAsia="宋体" w:cs="宋体"/>
          <w:spacing w:val="14"/>
          <w:sz w:val="19"/>
          <w:szCs w:val="19"/>
        </w:rPr>
        <w:t>2.</w:t>
      </w:r>
      <w:r>
        <w:rPr>
          <w:rFonts w:ascii="宋体" w:hAnsi="宋体" w:eastAsia="宋体" w:cs="宋体"/>
          <w:spacing w:val="44"/>
          <w:sz w:val="19"/>
          <w:szCs w:val="19"/>
        </w:rPr>
        <w:t xml:space="preserve"> </w:t>
      </w:r>
      <w:r>
        <w:rPr>
          <w:spacing w:val="14"/>
          <w:sz w:val="19"/>
          <w:szCs w:val="19"/>
        </w:rPr>
        <w:t>自然疫源性地方病</w:t>
      </w:r>
      <w:r>
        <w:rPr>
          <w:spacing w:val="75"/>
          <w:sz w:val="19"/>
          <w:szCs w:val="19"/>
        </w:rPr>
        <w:t xml:space="preserve"> </w:t>
      </w:r>
      <w:r>
        <w:rPr>
          <w:rFonts w:ascii="宋体" w:hAnsi="宋体" w:eastAsia="宋体" w:cs="宋体"/>
          <w:spacing w:val="14"/>
          <w:sz w:val="19"/>
          <w:szCs w:val="19"/>
        </w:rPr>
        <w:t>是指某些地区的自然界存在某疾病病原体或</w:t>
      </w:r>
      <w:r>
        <w:rPr>
          <w:rFonts w:ascii="宋体" w:hAnsi="宋体" w:eastAsia="宋体" w:cs="宋体"/>
          <w:spacing w:val="13"/>
          <w:sz w:val="19"/>
          <w:szCs w:val="19"/>
        </w:rPr>
        <w:t>病原体储存宿主，在自然</w:t>
      </w:r>
      <w:r>
        <w:rPr>
          <w:rFonts w:ascii="宋体" w:hAnsi="宋体" w:eastAsia="宋体" w:cs="宋体"/>
          <w:sz w:val="19"/>
          <w:szCs w:val="19"/>
        </w:rPr>
        <w:t xml:space="preserve"> </w:t>
      </w:r>
      <w:r>
        <w:rPr>
          <w:rFonts w:ascii="宋体" w:hAnsi="宋体" w:eastAsia="宋体" w:cs="宋体"/>
          <w:spacing w:val="12"/>
          <w:sz w:val="19"/>
          <w:szCs w:val="19"/>
        </w:rPr>
        <w:t>条件下该病在野生动物或禽畜间流行，人们因生产、生活与患病动物或携带病原体的媒介昆虫等接</w:t>
      </w:r>
      <w:r>
        <w:rPr>
          <w:rFonts w:ascii="宋体" w:hAnsi="宋体" w:eastAsia="宋体" w:cs="宋体"/>
          <w:sz w:val="19"/>
          <w:szCs w:val="19"/>
        </w:rPr>
        <w:t xml:space="preserve"> </w:t>
      </w:r>
      <w:r>
        <w:rPr>
          <w:rFonts w:ascii="宋体" w:hAnsi="宋体" w:eastAsia="宋体" w:cs="宋体"/>
          <w:spacing w:val="4"/>
          <w:sz w:val="19"/>
          <w:szCs w:val="19"/>
        </w:rPr>
        <w:t>触而感染发病，如血吸虫病、鼠疫、布鲁氏菌病等。</w:t>
      </w:r>
    </w:p>
    <w:p w14:paraId="0478450E">
      <w:pPr>
        <w:pStyle w:val="2"/>
        <w:spacing w:before="152" w:line="272" w:lineRule="auto"/>
        <w:ind w:right="590" w:firstLine="422"/>
        <w:rPr>
          <w:rFonts w:ascii="宋体" w:hAnsi="宋体" w:eastAsia="宋体" w:cs="宋体"/>
          <w:sz w:val="19"/>
          <w:szCs w:val="19"/>
        </w:rPr>
      </w:pPr>
      <w:r>
        <w:rPr>
          <w:rFonts w:ascii="宋体" w:hAnsi="宋体" w:eastAsia="宋体" w:cs="宋体"/>
          <w:b/>
          <w:bCs/>
          <w:spacing w:val="14"/>
          <w:sz w:val="19"/>
          <w:szCs w:val="19"/>
        </w:rPr>
        <w:t>3.</w:t>
      </w:r>
      <w:r>
        <w:rPr>
          <w:rFonts w:ascii="宋体" w:hAnsi="宋体" w:eastAsia="宋体" w:cs="宋体"/>
          <w:spacing w:val="14"/>
          <w:sz w:val="19"/>
          <w:szCs w:val="19"/>
        </w:rPr>
        <w:t xml:space="preserve"> </w:t>
      </w:r>
      <w:r>
        <w:rPr>
          <w:b/>
          <w:bCs/>
          <w:spacing w:val="14"/>
          <w:sz w:val="19"/>
          <w:szCs w:val="19"/>
        </w:rPr>
        <w:t>与特定生产生活方式有关的地方病</w:t>
      </w:r>
      <w:r>
        <w:rPr>
          <w:spacing w:val="87"/>
          <w:sz w:val="19"/>
          <w:szCs w:val="19"/>
        </w:rPr>
        <w:t xml:space="preserve"> </w:t>
      </w:r>
      <w:r>
        <w:rPr>
          <w:rFonts w:ascii="宋体" w:hAnsi="宋体" w:eastAsia="宋体" w:cs="宋体"/>
          <w:spacing w:val="14"/>
          <w:sz w:val="19"/>
          <w:szCs w:val="19"/>
        </w:rPr>
        <w:t>是某地区居民特有的由不健康生产方式和生活</w:t>
      </w:r>
      <w:r>
        <w:rPr>
          <w:rFonts w:ascii="宋体" w:hAnsi="宋体" w:eastAsia="宋体" w:cs="宋体"/>
          <w:spacing w:val="13"/>
          <w:sz w:val="19"/>
          <w:szCs w:val="19"/>
        </w:rPr>
        <w:t>习惯所</w:t>
      </w:r>
      <w:r>
        <w:rPr>
          <w:rFonts w:ascii="宋体" w:hAnsi="宋体" w:eastAsia="宋体" w:cs="宋体"/>
          <w:sz w:val="19"/>
          <w:szCs w:val="19"/>
        </w:rPr>
        <w:t xml:space="preserve"> </w:t>
      </w:r>
      <w:r>
        <w:rPr>
          <w:rFonts w:ascii="宋体" w:hAnsi="宋体" w:eastAsia="宋体" w:cs="宋体"/>
          <w:spacing w:val="7"/>
          <w:sz w:val="19"/>
          <w:szCs w:val="19"/>
        </w:rPr>
        <w:t>致的疾病，如燃煤污染型地方性氟中毒、砷中毒等。</w:t>
      </w:r>
    </w:p>
    <w:p w14:paraId="61C51F51">
      <w:pPr>
        <w:pStyle w:val="2"/>
        <w:spacing w:before="133" w:line="221" w:lineRule="auto"/>
        <w:ind w:left="420"/>
        <w:rPr>
          <w:rFonts w:ascii="宋体" w:hAnsi="宋体" w:eastAsia="宋体" w:cs="宋体"/>
          <w:sz w:val="19"/>
          <w:szCs w:val="19"/>
        </w:rPr>
      </w:pPr>
      <w:r>
        <w:rPr>
          <w:rFonts w:ascii="宋体" w:hAnsi="宋体" w:eastAsia="宋体" w:cs="宋体"/>
          <w:spacing w:val="8"/>
          <w:sz w:val="19"/>
          <w:szCs w:val="19"/>
        </w:rPr>
        <w:t xml:space="preserve">4. </w:t>
      </w:r>
      <w:r>
        <w:rPr>
          <w:spacing w:val="8"/>
          <w:sz w:val="19"/>
          <w:szCs w:val="19"/>
        </w:rPr>
        <w:t>病因未明地方病</w:t>
      </w:r>
      <w:r>
        <w:rPr>
          <w:spacing w:val="64"/>
          <w:sz w:val="19"/>
          <w:szCs w:val="19"/>
        </w:rPr>
        <w:t xml:space="preserve"> </w:t>
      </w:r>
      <w:r>
        <w:rPr>
          <w:rFonts w:ascii="宋体" w:hAnsi="宋体" w:eastAsia="宋体" w:cs="宋体"/>
          <w:spacing w:val="8"/>
          <w:sz w:val="19"/>
          <w:szCs w:val="19"/>
        </w:rPr>
        <w:t>如克山病、大骨节病、趴</w:t>
      </w:r>
      <w:r>
        <w:rPr>
          <w:rFonts w:ascii="宋体" w:hAnsi="宋体" w:eastAsia="宋体" w:cs="宋体"/>
          <w:spacing w:val="7"/>
          <w:sz w:val="19"/>
          <w:szCs w:val="19"/>
        </w:rPr>
        <w:t>子病。</w:t>
      </w:r>
    </w:p>
    <w:p w14:paraId="65683E4F">
      <w:pPr>
        <w:pStyle w:val="2"/>
        <w:spacing w:before="290" w:line="221" w:lineRule="auto"/>
        <w:ind w:left="423"/>
        <w:outlineLvl w:val="4"/>
        <w:rPr>
          <w:sz w:val="25"/>
          <w:szCs w:val="25"/>
        </w:rPr>
      </w:pPr>
      <w:bookmarkStart w:id="613" w:name="bookmark393"/>
      <w:bookmarkEnd w:id="613"/>
      <w:r>
        <w:rPr>
          <w:b/>
          <w:bCs/>
          <w:spacing w:val="-8"/>
          <w:sz w:val="25"/>
          <w:szCs w:val="25"/>
        </w:rPr>
        <w:t>二、我国几种主要的地方病</w:t>
      </w:r>
    </w:p>
    <w:p w14:paraId="114E650C">
      <w:pPr>
        <w:spacing w:before="235" w:line="331" w:lineRule="auto"/>
        <w:ind w:right="590" w:firstLine="420"/>
        <w:jc w:val="both"/>
        <w:rPr>
          <w:rFonts w:ascii="宋体" w:hAnsi="宋体" w:eastAsia="宋体" w:cs="宋体"/>
          <w:sz w:val="19"/>
          <w:szCs w:val="19"/>
        </w:rPr>
      </w:pPr>
      <w:r>
        <w:rPr>
          <w:rFonts w:ascii="宋体" w:hAnsi="宋体" w:eastAsia="宋体" w:cs="宋体"/>
          <w:spacing w:val="15"/>
          <w:sz w:val="19"/>
          <w:szCs w:val="19"/>
        </w:rPr>
        <w:t>针对地方病对我国居民健康的危害程度，国家曾纳人重点防</w:t>
      </w:r>
      <w:r>
        <w:rPr>
          <w:rFonts w:ascii="宋体" w:hAnsi="宋体" w:eastAsia="宋体" w:cs="宋体"/>
          <w:spacing w:val="14"/>
          <w:sz w:val="19"/>
          <w:szCs w:val="19"/>
        </w:rPr>
        <w:t>治管理的地方病有8种，分别是碘</w:t>
      </w:r>
      <w:r>
        <w:rPr>
          <w:rFonts w:ascii="宋体" w:hAnsi="宋体" w:eastAsia="宋体" w:cs="宋体"/>
          <w:sz w:val="19"/>
          <w:szCs w:val="19"/>
        </w:rPr>
        <w:t xml:space="preserve"> </w:t>
      </w:r>
      <w:r>
        <w:rPr>
          <w:rFonts w:ascii="宋体" w:hAnsi="宋体" w:eastAsia="宋体" w:cs="宋体"/>
          <w:spacing w:val="7"/>
          <w:sz w:val="19"/>
          <w:szCs w:val="19"/>
        </w:rPr>
        <w:t>缺乏病、地方性氟中毒、地方性砷中毒、大骨节病、克山病、血吸虫病、鼠疫</w:t>
      </w:r>
      <w:r>
        <w:rPr>
          <w:rFonts w:ascii="宋体" w:hAnsi="宋体" w:eastAsia="宋体" w:cs="宋体"/>
          <w:spacing w:val="6"/>
          <w:sz w:val="19"/>
          <w:szCs w:val="19"/>
        </w:rPr>
        <w:t>和布鲁氏菌病。自1998</w:t>
      </w:r>
      <w:r>
        <w:rPr>
          <w:rFonts w:ascii="宋体" w:hAnsi="宋体" w:eastAsia="宋体" w:cs="宋体"/>
          <w:sz w:val="19"/>
          <w:szCs w:val="19"/>
        </w:rPr>
        <w:t xml:space="preserve"> </w:t>
      </w:r>
      <w:r>
        <w:rPr>
          <w:rFonts w:ascii="宋体" w:hAnsi="宋体" w:eastAsia="宋体" w:cs="宋体"/>
          <w:spacing w:val="9"/>
          <w:sz w:val="19"/>
          <w:szCs w:val="19"/>
        </w:rPr>
        <w:t>年起，血吸虫病、鼠疫和布鲁氏菌病已不再属于重点地方病防治管理范围(表24-1)。</w:t>
      </w:r>
    </w:p>
    <w:p w14:paraId="3E784FB2">
      <w:pPr>
        <w:spacing w:line="331" w:lineRule="auto"/>
        <w:rPr>
          <w:rFonts w:ascii="宋体" w:hAnsi="宋体" w:eastAsia="宋体" w:cs="宋体"/>
          <w:sz w:val="19"/>
          <w:szCs w:val="19"/>
        </w:rPr>
        <w:sectPr>
          <w:footerReference r:id="rId380" w:type="default"/>
          <w:pgSz w:w="11900" w:h="16820"/>
          <w:pgMar w:top="400" w:right="1032" w:bottom="872" w:left="1559" w:header="0" w:footer="701" w:gutter="0"/>
          <w:cols w:space="720" w:num="1"/>
        </w:sectPr>
      </w:pPr>
    </w:p>
    <w:p w14:paraId="4AC0B5E4">
      <w:pPr>
        <w:spacing w:line="256" w:lineRule="auto"/>
        <w:rPr>
          <w:rFonts w:ascii="Arial"/>
          <w:sz w:val="21"/>
        </w:rPr>
      </w:pPr>
    </w:p>
    <w:p w14:paraId="789F524B">
      <w:pPr>
        <w:spacing w:line="256" w:lineRule="auto"/>
        <w:rPr>
          <w:rFonts w:ascii="Arial"/>
          <w:sz w:val="21"/>
        </w:rPr>
      </w:pPr>
    </w:p>
    <w:p w14:paraId="0839353C">
      <w:pPr>
        <w:spacing w:line="256" w:lineRule="auto"/>
        <w:rPr>
          <w:rFonts w:ascii="Arial"/>
          <w:sz w:val="21"/>
        </w:rPr>
      </w:pPr>
    </w:p>
    <w:p w14:paraId="790CF0FD">
      <w:pPr>
        <w:spacing w:line="256" w:lineRule="auto"/>
        <w:rPr>
          <w:rFonts w:ascii="Arial"/>
          <w:sz w:val="21"/>
        </w:rPr>
      </w:pPr>
      <w:r>
        <mc:AlternateContent>
          <mc:Choice Requires="wps">
            <w:drawing>
              <wp:anchor distT="0" distB="0" distL="0" distR="0" simplePos="0" relativeHeight="251996160" behindDoc="0" locked="0" layoutInCell="1" allowOverlap="1">
                <wp:simplePos x="0" y="0"/>
                <wp:positionH relativeFrom="column">
                  <wp:posOffset>-41910</wp:posOffset>
                </wp:positionH>
                <wp:positionV relativeFrom="paragraph">
                  <wp:posOffset>6985</wp:posOffset>
                </wp:positionV>
                <wp:extent cx="217805" cy="238760"/>
                <wp:effectExtent l="0" t="0" r="0" b="0"/>
                <wp:wrapNone/>
                <wp:docPr id="828" name="TextBox 828"/>
                <wp:cNvGraphicFramePr/>
                <a:graphic xmlns:a="http://schemas.openxmlformats.org/drawingml/2006/main">
                  <a:graphicData uri="http://schemas.microsoft.com/office/word/2010/wordprocessingShape">
                    <wps:wsp>
                      <wps:cNvSpPr txBox="1"/>
                      <wps:spPr>
                        <a:xfrm rot="5400000">
                          <a:off x="-42170" y="7209"/>
                          <a:ext cx="217804" cy="238759"/>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3DFE038E">
                            <w:pPr>
                              <w:spacing w:before="82"/>
                              <w:ind w:left="20"/>
                              <w:rPr>
                                <w:rFonts w:ascii="宋体" w:hAnsi="宋体" w:eastAsia="宋体" w:cs="宋体"/>
                                <w:sz w:val="21"/>
                                <w:szCs w:val="21"/>
                              </w:rPr>
                            </w:pPr>
                            <w:r>
                              <w:rPr>
                                <w:rFonts w:ascii="宋体" w:hAnsi="宋体" w:eastAsia="宋体" w:cs="宋体"/>
                                <w:spacing w:val="-3"/>
                                <w:sz w:val="21"/>
                                <w:szCs w:val="21"/>
                              </w:rPr>
                              <w:t>330</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828" o:spid="_x0000_s1026" o:spt="202" type="#_x0000_t202" style="position:absolute;left:0pt;margin-left:-3.3pt;margin-top:0.55pt;height:18.8pt;width:17.15pt;rotation:5898240f;z-index:251996160;mso-width-relative:page;mso-height-relative:page;" filled="f" stroked="f" coordsize="21600,21600" o:gfxdata="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">
                <v:fill on="f" focussize="0,0"/>
                <v:stroke on="f" weight="0pt" miterlimit="0" joinstyle="miter"/>
                <v:imagedata o:title=""/>
                <o:lock v:ext="edit" aspectratio="f"/>
                <v:textbox inset="0mm,0mm,0mm,0mm">
                  <w:txbxContent>
                    <w:p w14:paraId="3DFE038E">
                      <w:pPr>
                        <w:spacing w:before="82"/>
                        <w:ind w:left="20"/>
                        <w:rPr>
                          <w:rFonts w:ascii="宋体" w:hAnsi="宋体" w:eastAsia="宋体" w:cs="宋体"/>
                          <w:sz w:val="21"/>
                          <w:szCs w:val="21"/>
                        </w:rPr>
                      </w:pPr>
                      <w:r>
                        <w:rPr>
                          <w:rFonts w:ascii="宋体" w:hAnsi="宋体" w:eastAsia="宋体" w:cs="宋体"/>
                          <w:spacing w:val="-3"/>
                          <w:sz w:val="21"/>
                          <w:szCs w:val="21"/>
                        </w:rPr>
                        <w:t>330</w:t>
                      </w:r>
                    </w:p>
                  </w:txbxContent>
                </v:textbox>
              </v:shape>
            </w:pict>
          </mc:Fallback>
        </mc:AlternateContent>
      </w:r>
    </w:p>
    <w:p w14:paraId="7D762B41">
      <w:pPr>
        <w:spacing w:line="256" w:lineRule="auto"/>
        <w:rPr>
          <w:rFonts w:ascii="Arial"/>
          <w:sz w:val="21"/>
        </w:rPr>
      </w:pPr>
    </w:p>
    <w:p w14:paraId="2E8DDC45">
      <w:pPr>
        <w:spacing w:line="256" w:lineRule="auto"/>
        <w:rPr>
          <w:rFonts w:ascii="Arial"/>
          <w:sz w:val="21"/>
        </w:rPr>
      </w:pPr>
    </w:p>
    <w:p w14:paraId="3917940E">
      <w:pPr>
        <w:spacing w:line="257" w:lineRule="auto"/>
        <w:rPr>
          <w:rFonts w:ascii="Arial"/>
          <w:sz w:val="21"/>
        </w:rPr>
      </w:pPr>
      <w:r>
        <mc:AlternateContent>
          <mc:Choice Requires="wps">
            <w:drawing>
              <wp:anchor distT="0" distB="0" distL="0" distR="0" simplePos="0" relativeHeight="251995136" behindDoc="0" locked="0" layoutInCell="1" allowOverlap="1">
                <wp:simplePos x="0" y="0"/>
                <wp:positionH relativeFrom="column">
                  <wp:posOffset>9237345</wp:posOffset>
                </wp:positionH>
                <wp:positionV relativeFrom="paragraph">
                  <wp:posOffset>424815</wp:posOffset>
                </wp:positionV>
                <wp:extent cx="991870" cy="173355"/>
                <wp:effectExtent l="0" t="0" r="0" b="0"/>
                <wp:wrapNone/>
                <wp:docPr id="830" name="TextBox 830"/>
                <wp:cNvGraphicFramePr/>
                <a:graphic xmlns:a="http://schemas.openxmlformats.org/drawingml/2006/main">
                  <a:graphicData uri="http://schemas.microsoft.com/office/word/2010/wordprocessingShape">
                    <wps:wsp>
                      <wps:cNvSpPr txBox="1"/>
                      <wps:spPr>
                        <a:xfrm rot="5400000">
                          <a:off x="9237542" y="425137"/>
                          <a:ext cx="991869" cy="173354"/>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5868070A">
                            <w:pPr>
                              <w:spacing w:before="51" w:line="219" w:lineRule="auto"/>
                              <w:ind w:left="20"/>
                              <w:rPr>
                                <w:rFonts w:ascii="宋体" w:hAnsi="宋体" w:eastAsia="宋体" w:cs="宋体"/>
                                <w:sz w:val="17"/>
                                <w:szCs w:val="17"/>
                              </w:rPr>
                            </w:pPr>
                            <w:r>
                              <w:rPr>
                                <w:rFonts w:ascii="宋体" w:hAnsi="宋体" w:eastAsia="宋体" w:cs="宋体"/>
                                <w:spacing w:val="20"/>
                                <w:sz w:val="17"/>
                                <w:szCs w:val="17"/>
                              </w:rPr>
                              <w:t>第二十四章地方病</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830" o:spid="_x0000_s1026" o:spt="202" type="#_x0000_t202" style="position:absolute;left:0pt;margin-left:727.35pt;margin-top:33.45pt;height:13.65pt;width:78.1pt;rotation:5898240f;z-index:251995136;mso-width-relative:page;mso-height-relative:page;" filled="f" stroked="f" coordsize="21600,21600" o:gfxdata="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BGIU9X2QAAAAsBAAAP&#10;AAAAAAAAAAEAIAAAACIAAABkcnMvZG93bnJldi54bWxQSwECFAAUAAAACACHTuJAbNTS2FACAACj&#10;BAAADgAAAAAAAAABACAAAAAoAQAAZHJzL2Uyb0RvYy54bWxQSwUGAAAAAAYABgBZAQAA6gUAAAAA&#10;">
                <v:fill on="f" focussize="0,0"/>
                <v:stroke on="f" weight="0pt" miterlimit="0" joinstyle="miter"/>
                <v:imagedata o:title=""/>
                <o:lock v:ext="edit" aspectratio="f"/>
                <v:textbox inset="0mm,0mm,0mm,0mm">
                  <w:txbxContent>
                    <w:p w14:paraId="5868070A">
                      <w:pPr>
                        <w:spacing w:before="51" w:line="219" w:lineRule="auto"/>
                        <w:ind w:left="20"/>
                        <w:rPr>
                          <w:rFonts w:ascii="宋体" w:hAnsi="宋体" w:eastAsia="宋体" w:cs="宋体"/>
                          <w:sz w:val="17"/>
                          <w:szCs w:val="17"/>
                        </w:rPr>
                      </w:pPr>
                      <w:r>
                        <w:rPr>
                          <w:rFonts w:ascii="宋体" w:hAnsi="宋体" w:eastAsia="宋体" w:cs="宋体"/>
                          <w:spacing w:val="20"/>
                          <w:sz w:val="17"/>
                          <w:szCs w:val="17"/>
                        </w:rPr>
                        <w:t>第二十四章地方病</w:t>
                      </w:r>
                    </w:p>
                  </w:txbxContent>
                </v:textbox>
              </v:shape>
            </w:pict>
          </mc:Fallback>
        </mc:AlternateContent>
      </w:r>
    </w:p>
    <w:p w14:paraId="689346C5">
      <w:pPr>
        <w:spacing w:line="257" w:lineRule="auto"/>
        <w:rPr>
          <w:rFonts w:ascii="Arial"/>
          <w:sz w:val="21"/>
        </w:rPr>
      </w:pPr>
    </w:p>
    <w:p w14:paraId="1EC1DB27">
      <w:pPr>
        <w:spacing w:before="65" w:line="219" w:lineRule="auto"/>
        <w:ind w:left="439"/>
        <w:rPr>
          <w:rFonts w:ascii="宋体" w:hAnsi="宋体" w:eastAsia="宋体" w:cs="宋体"/>
          <w:sz w:val="20"/>
          <w:szCs w:val="20"/>
        </w:rPr>
      </w:pPr>
      <w:r>
        <w:rPr>
          <w:rFonts w:ascii="宋体" w:hAnsi="宋体" w:eastAsia="宋体" w:cs="宋体"/>
          <w:spacing w:val="-1"/>
          <w:sz w:val="20"/>
          <w:szCs w:val="20"/>
        </w:rPr>
        <w:t>表24-1全国5种主要地方病病区范围及病例数</w:t>
      </w:r>
    </w:p>
    <w:p w14:paraId="34A741F6">
      <w:pPr>
        <w:spacing w:line="19" w:lineRule="exact"/>
      </w:pPr>
    </w:p>
    <w:tbl>
      <w:tblPr>
        <w:tblStyle w:val="5"/>
        <w:tblW w:w="14249" w:type="dxa"/>
        <w:tblInd w:w="419"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0" w:type="dxa"/>
          <w:left w:w="0" w:type="dxa"/>
          <w:bottom w:w="0" w:type="dxa"/>
          <w:right w:w="0" w:type="dxa"/>
        </w:tblCellMar>
      </w:tblPr>
      <w:tblGrid>
        <w:gridCol w:w="1420"/>
        <w:gridCol w:w="920"/>
        <w:gridCol w:w="1720"/>
        <w:gridCol w:w="1940"/>
        <w:gridCol w:w="730"/>
        <w:gridCol w:w="1424"/>
        <w:gridCol w:w="1846"/>
        <w:gridCol w:w="790"/>
        <w:gridCol w:w="1750"/>
        <w:gridCol w:w="1709"/>
      </w:tblGrid>
      <w:tr w14:paraId="2980454F">
        <w:trPr>
          <w:trHeight w:val="354" w:hRule="atLeast"/>
        </w:trPr>
        <w:tc>
          <w:tcPr>
            <w:tcW w:w="1420" w:type="dxa"/>
            <w:vMerge w:val="restart"/>
            <w:tcBorders>
              <w:top w:val="single" w:color="000000" w:sz="4" w:space="0"/>
              <w:bottom w:val="nil"/>
            </w:tcBorders>
            <w:shd w:val="clear" w:color="auto" w:fill="BFC6C4"/>
            <w:vAlign w:val="top"/>
          </w:tcPr>
          <w:p w14:paraId="0B63A099">
            <w:pPr>
              <w:spacing w:line="337" w:lineRule="auto"/>
              <w:rPr>
                <w:rFonts w:ascii="Arial"/>
                <w:sz w:val="21"/>
              </w:rPr>
            </w:pPr>
          </w:p>
          <w:p w14:paraId="6A4B510E">
            <w:pPr>
              <w:pStyle w:val="6"/>
              <w:spacing w:before="65" w:line="221" w:lineRule="auto"/>
              <w:ind w:left="20"/>
            </w:pPr>
            <w:r>
              <w:rPr>
                <w:spacing w:val="12"/>
              </w:rPr>
              <w:t>病名</w:t>
            </w:r>
          </w:p>
        </w:tc>
        <w:tc>
          <w:tcPr>
            <w:tcW w:w="4580" w:type="dxa"/>
            <w:gridSpan w:val="3"/>
            <w:tcBorders>
              <w:top w:val="single" w:color="000000" w:sz="4" w:space="0"/>
              <w:bottom w:val="single" w:color="000000" w:sz="4" w:space="0"/>
            </w:tcBorders>
            <w:shd w:val="clear" w:color="auto" w:fill="C6C9CA"/>
            <w:vAlign w:val="top"/>
          </w:tcPr>
          <w:p w14:paraId="3EAAC14F">
            <w:pPr>
              <w:pStyle w:val="6"/>
              <w:spacing w:before="83" w:line="219" w:lineRule="auto"/>
              <w:ind w:left="1890"/>
            </w:pPr>
            <w:r>
              <w:rPr>
                <w:spacing w:val="1"/>
              </w:rPr>
              <w:t>1994年度</w:t>
            </w:r>
          </w:p>
        </w:tc>
        <w:tc>
          <w:tcPr>
            <w:tcW w:w="4000" w:type="dxa"/>
            <w:gridSpan w:val="3"/>
            <w:tcBorders>
              <w:top w:val="single" w:color="000000" w:sz="4" w:space="0"/>
              <w:bottom w:val="single" w:color="000000" w:sz="4" w:space="0"/>
            </w:tcBorders>
            <w:shd w:val="clear" w:color="auto" w:fill="CED0D1"/>
            <w:vAlign w:val="top"/>
          </w:tcPr>
          <w:p w14:paraId="15CB0838">
            <w:pPr>
              <w:pStyle w:val="6"/>
              <w:spacing w:before="83" w:line="219" w:lineRule="auto"/>
              <w:ind w:left="1599"/>
            </w:pPr>
            <w:r>
              <w:rPr>
                <w:spacing w:val="1"/>
              </w:rPr>
              <w:t>2014年度</w:t>
            </w:r>
          </w:p>
        </w:tc>
        <w:tc>
          <w:tcPr>
            <w:tcW w:w="4249" w:type="dxa"/>
            <w:gridSpan w:val="3"/>
            <w:tcBorders>
              <w:top w:val="single" w:color="000000" w:sz="4" w:space="0"/>
              <w:bottom w:val="single" w:color="000000" w:sz="4" w:space="0"/>
            </w:tcBorders>
            <w:shd w:val="clear" w:color="auto" w:fill="CDD2D0"/>
            <w:vAlign w:val="top"/>
          </w:tcPr>
          <w:p w14:paraId="0A687C01">
            <w:pPr>
              <w:pStyle w:val="6"/>
              <w:spacing w:before="83" w:line="219" w:lineRule="auto"/>
              <w:ind w:left="1720"/>
            </w:pPr>
            <w:r>
              <w:rPr>
                <w:spacing w:val="1"/>
              </w:rPr>
              <w:t>2021年度</w:t>
            </w:r>
          </w:p>
        </w:tc>
      </w:tr>
      <w:tr w14:paraId="3B78FFEE">
        <w:trPr>
          <w:trHeight w:val="639" w:hRule="atLeast"/>
        </w:trPr>
        <w:tc>
          <w:tcPr>
            <w:tcW w:w="1420" w:type="dxa"/>
            <w:vMerge w:val="continue"/>
            <w:tcBorders>
              <w:top w:val="nil"/>
              <w:bottom w:val="single" w:color="000000" w:sz="4" w:space="0"/>
            </w:tcBorders>
            <w:vAlign w:val="top"/>
          </w:tcPr>
          <w:p w14:paraId="41FE9D6D">
            <w:pPr>
              <w:rPr>
                <w:rFonts w:ascii="Arial"/>
                <w:sz w:val="21"/>
              </w:rPr>
            </w:pPr>
          </w:p>
        </w:tc>
        <w:tc>
          <w:tcPr>
            <w:tcW w:w="920" w:type="dxa"/>
            <w:tcBorders>
              <w:top w:val="single" w:color="000000" w:sz="4" w:space="0"/>
              <w:bottom w:val="single" w:color="000000" w:sz="4" w:space="0"/>
            </w:tcBorders>
            <w:shd w:val="clear" w:color="auto" w:fill="C6C8CA"/>
            <w:vAlign w:val="top"/>
          </w:tcPr>
          <w:p w14:paraId="4B6FFBC5">
            <w:pPr>
              <w:pStyle w:val="6"/>
              <w:spacing w:before="89" w:line="220" w:lineRule="auto"/>
              <w:ind w:left="359"/>
            </w:pPr>
            <w:r>
              <w:rPr>
                <w:spacing w:val="-3"/>
              </w:rPr>
              <w:t>流行</w:t>
            </w:r>
          </w:p>
          <w:p w14:paraId="1907021B">
            <w:pPr>
              <w:pStyle w:val="6"/>
              <w:spacing w:before="31" w:line="219" w:lineRule="auto"/>
              <w:ind w:left="359"/>
            </w:pPr>
            <w:r>
              <w:rPr>
                <w:spacing w:val="-3"/>
              </w:rPr>
              <w:t>县数</w:t>
            </w:r>
          </w:p>
        </w:tc>
        <w:tc>
          <w:tcPr>
            <w:tcW w:w="1720" w:type="dxa"/>
            <w:tcBorders>
              <w:top w:val="single" w:color="000000" w:sz="4" w:space="0"/>
              <w:bottom w:val="single" w:color="000000" w:sz="4" w:space="0"/>
            </w:tcBorders>
            <w:shd w:val="clear" w:color="auto" w:fill="C7C8CA"/>
            <w:vAlign w:val="top"/>
          </w:tcPr>
          <w:p w14:paraId="10DD7454">
            <w:pPr>
              <w:pStyle w:val="6"/>
              <w:spacing w:before="79" w:line="243" w:lineRule="auto"/>
              <w:ind w:left="668" w:right="181" w:hanging="419"/>
            </w:pPr>
            <w:r>
              <w:rPr>
                <w:spacing w:val="-2"/>
              </w:rPr>
              <w:t>受威胁人口数/</w:t>
            </w:r>
            <w:r>
              <w:rPr>
                <w:spacing w:val="1"/>
              </w:rPr>
              <w:t xml:space="preserve"> </w:t>
            </w:r>
            <w:r>
              <w:rPr>
                <w:spacing w:val="4"/>
              </w:rPr>
              <w:t>万人</w:t>
            </w:r>
          </w:p>
        </w:tc>
        <w:tc>
          <w:tcPr>
            <w:tcW w:w="1940" w:type="dxa"/>
            <w:tcBorders>
              <w:top w:val="single" w:color="000000" w:sz="4" w:space="0"/>
              <w:bottom w:val="single" w:color="000000" w:sz="4" w:space="0"/>
            </w:tcBorders>
            <w:shd w:val="clear" w:color="auto" w:fill="CBCCCD"/>
            <w:vAlign w:val="top"/>
          </w:tcPr>
          <w:p w14:paraId="779235EE">
            <w:pPr>
              <w:pStyle w:val="6"/>
              <w:spacing w:before="219" w:line="219" w:lineRule="auto"/>
              <w:ind w:left="119"/>
            </w:pPr>
            <w:r>
              <w:rPr>
                <w:spacing w:val="-2"/>
              </w:rPr>
              <w:t>现患病例数/人</w:t>
            </w:r>
          </w:p>
        </w:tc>
        <w:tc>
          <w:tcPr>
            <w:tcW w:w="730" w:type="dxa"/>
            <w:tcBorders>
              <w:top w:val="single" w:color="000000" w:sz="4" w:space="0"/>
              <w:bottom w:val="single" w:color="000000" w:sz="4" w:space="0"/>
            </w:tcBorders>
            <w:shd w:val="clear" w:color="auto" w:fill="C7C8CB"/>
            <w:vAlign w:val="top"/>
          </w:tcPr>
          <w:p w14:paraId="4DBCC68F">
            <w:pPr>
              <w:pStyle w:val="6"/>
              <w:spacing w:before="89" w:line="220" w:lineRule="auto"/>
              <w:ind w:left="159"/>
            </w:pPr>
            <w:r>
              <w:rPr>
                <w:spacing w:val="-3"/>
              </w:rPr>
              <w:t>流行</w:t>
            </w:r>
          </w:p>
          <w:p w14:paraId="2574E8F4">
            <w:pPr>
              <w:pStyle w:val="6"/>
              <w:spacing w:before="31" w:line="219" w:lineRule="auto"/>
              <w:ind w:left="159"/>
            </w:pPr>
            <w:r>
              <w:rPr>
                <w:spacing w:val="-3"/>
              </w:rPr>
              <w:t>县数</w:t>
            </w:r>
          </w:p>
        </w:tc>
        <w:tc>
          <w:tcPr>
            <w:tcW w:w="1424" w:type="dxa"/>
            <w:tcBorders>
              <w:top w:val="single" w:color="000000" w:sz="4" w:space="0"/>
              <w:bottom w:val="single" w:color="000000" w:sz="4" w:space="0"/>
            </w:tcBorders>
            <w:shd w:val="clear" w:color="auto" w:fill="CCCCCC"/>
            <w:vAlign w:val="top"/>
          </w:tcPr>
          <w:p w14:paraId="4B2385C3">
            <w:pPr>
              <w:pStyle w:val="6"/>
              <w:spacing w:before="78" w:line="254" w:lineRule="auto"/>
              <w:ind w:left="539" w:right="35" w:hanging="440"/>
            </w:pPr>
            <w:r>
              <w:rPr>
                <w:spacing w:val="-2"/>
              </w:rPr>
              <w:t>受威胁人口数/</w:t>
            </w:r>
            <w:r>
              <w:rPr>
                <w:spacing w:val="1"/>
              </w:rPr>
              <w:t xml:space="preserve"> </w:t>
            </w:r>
            <w:r>
              <w:rPr>
                <w:spacing w:val="4"/>
              </w:rPr>
              <w:t>万人</w:t>
            </w:r>
          </w:p>
        </w:tc>
        <w:tc>
          <w:tcPr>
            <w:tcW w:w="1846" w:type="dxa"/>
            <w:tcBorders>
              <w:top w:val="single" w:color="000000" w:sz="4" w:space="0"/>
              <w:bottom w:val="single" w:color="000000" w:sz="4" w:space="0"/>
            </w:tcBorders>
            <w:shd w:val="clear" w:color="auto" w:fill="CCCCCC"/>
            <w:vAlign w:val="top"/>
          </w:tcPr>
          <w:p w14:paraId="1F2589FD">
            <w:pPr>
              <w:pStyle w:val="6"/>
              <w:spacing w:before="219" w:line="219" w:lineRule="auto"/>
              <w:ind w:left="35"/>
            </w:pPr>
            <w:r>
              <w:rPr>
                <w:spacing w:val="-2"/>
              </w:rPr>
              <w:t>现患病例数/人</w:t>
            </w:r>
          </w:p>
        </w:tc>
        <w:tc>
          <w:tcPr>
            <w:tcW w:w="790" w:type="dxa"/>
            <w:tcBorders>
              <w:top w:val="single" w:color="000000" w:sz="4" w:space="0"/>
              <w:bottom w:val="single" w:color="000000" w:sz="4" w:space="0"/>
            </w:tcBorders>
            <w:shd w:val="clear" w:color="auto" w:fill="CFD0D0"/>
            <w:vAlign w:val="top"/>
          </w:tcPr>
          <w:p w14:paraId="2BD8AA08">
            <w:pPr>
              <w:pStyle w:val="6"/>
              <w:spacing w:before="79" w:line="220" w:lineRule="auto"/>
              <w:ind w:left="199"/>
            </w:pPr>
            <w:r>
              <w:rPr>
                <w:spacing w:val="-3"/>
              </w:rPr>
              <w:t>流行</w:t>
            </w:r>
          </w:p>
          <w:p w14:paraId="512B314B">
            <w:pPr>
              <w:pStyle w:val="6"/>
              <w:spacing w:before="41" w:line="219" w:lineRule="auto"/>
              <w:ind w:left="199"/>
            </w:pPr>
            <w:r>
              <w:rPr>
                <w:spacing w:val="-3"/>
              </w:rPr>
              <w:t>县数</w:t>
            </w:r>
          </w:p>
        </w:tc>
        <w:tc>
          <w:tcPr>
            <w:tcW w:w="1750" w:type="dxa"/>
            <w:tcBorders>
              <w:top w:val="single" w:color="000000" w:sz="4" w:space="0"/>
              <w:bottom w:val="single" w:color="000000" w:sz="4" w:space="0"/>
            </w:tcBorders>
            <w:shd w:val="clear" w:color="auto" w:fill="CFD1D0"/>
            <w:vAlign w:val="top"/>
          </w:tcPr>
          <w:p w14:paraId="532D3DA7">
            <w:pPr>
              <w:pStyle w:val="6"/>
              <w:spacing w:before="78" w:line="254" w:lineRule="auto"/>
              <w:ind w:left="698" w:right="191" w:hanging="429"/>
            </w:pPr>
            <w:r>
              <w:rPr>
                <w:spacing w:val="-2"/>
              </w:rPr>
              <w:t>受威胁人口数/</w:t>
            </w:r>
            <w:r>
              <w:rPr>
                <w:spacing w:val="1"/>
              </w:rPr>
              <w:t xml:space="preserve"> </w:t>
            </w:r>
            <w:r>
              <w:rPr>
                <w:spacing w:val="4"/>
              </w:rPr>
              <w:t>万人</w:t>
            </w:r>
          </w:p>
        </w:tc>
        <w:tc>
          <w:tcPr>
            <w:tcW w:w="1709" w:type="dxa"/>
            <w:tcBorders>
              <w:top w:val="single" w:color="000000" w:sz="4" w:space="0"/>
              <w:bottom w:val="single" w:color="000000" w:sz="4" w:space="0"/>
            </w:tcBorders>
            <w:shd w:val="clear" w:color="auto" w:fill="CBD2CF"/>
            <w:vAlign w:val="top"/>
          </w:tcPr>
          <w:p w14:paraId="221D349F">
            <w:pPr>
              <w:pStyle w:val="6"/>
              <w:spacing w:before="219" w:line="219" w:lineRule="auto"/>
              <w:ind w:left="99"/>
            </w:pPr>
            <w:r>
              <w:rPr>
                <w:spacing w:val="-2"/>
              </w:rPr>
              <w:t>现患病例数/人</w:t>
            </w:r>
          </w:p>
        </w:tc>
      </w:tr>
      <w:tr w14:paraId="24DC8D76">
        <w:trPr>
          <w:trHeight w:val="1358" w:hRule="atLeast"/>
        </w:trPr>
        <w:tc>
          <w:tcPr>
            <w:tcW w:w="1420" w:type="dxa"/>
            <w:tcBorders>
              <w:top w:val="single" w:color="000000" w:sz="4" w:space="0"/>
              <w:bottom w:val="single" w:color="000000" w:sz="4" w:space="0"/>
            </w:tcBorders>
            <w:vAlign w:val="top"/>
          </w:tcPr>
          <w:p w14:paraId="33DEB178">
            <w:pPr>
              <w:spacing w:line="256" w:lineRule="auto"/>
              <w:rPr>
                <w:rFonts w:ascii="Arial"/>
                <w:sz w:val="21"/>
              </w:rPr>
            </w:pPr>
          </w:p>
          <w:p w14:paraId="7498A390">
            <w:pPr>
              <w:spacing w:line="256" w:lineRule="auto"/>
              <w:rPr>
                <w:rFonts w:ascii="Arial"/>
                <w:sz w:val="21"/>
              </w:rPr>
            </w:pPr>
          </w:p>
          <w:p w14:paraId="29927B94">
            <w:pPr>
              <w:pStyle w:val="6"/>
              <w:spacing w:before="65" w:line="220" w:lineRule="auto"/>
              <w:ind w:left="20"/>
            </w:pPr>
            <w:r>
              <w:rPr>
                <w:spacing w:val="3"/>
              </w:rPr>
              <w:t>碘缺乏病</w:t>
            </w:r>
          </w:p>
        </w:tc>
        <w:tc>
          <w:tcPr>
            <w:tcW w:w="920" w:type="dxa"/>
            <w:tcBorders>
              <w:top w:val="single" w:color="000000" w:sz="4" w:space="0"/>
              <w:bottom w:val="single" w:color="000000" w:sz="4" w:space="0"/>
            </w:tcBorders>
            <w:vAlign w:val="top"/>
          </w:tcPr>
          <w:p w14:paraId="77C0BEE1">
            <w:pPr>
              <w:spacing w:line="265" w:lineRule="auto"/>
              <w:rPr>
                <w:rFonts w:ascii="Arial"/>
                <w:sz w:val="21"/>
              </w:rPr>
            </w:pPr>
          </w:p>
          <w:p w14:paraId="12B2EAF3">
            <w:pPr>
              <w:spacing w:line="266" w:lineRule="auto"/>
              <w:rPr>
                <w:rFonts w:ascii="Arial"/>
                <w:sz w:val="21"/>
              </w:rPr>
            </w:pPr>
          </w:p>
          <w:p w14:paraId="5928A621">
            <w:pPr>
              <w:pStyle w:val="6"/>
              <w:spacing w:before="65"/>
              <w:ind w:left="259"/>
            </w:pPr>
            <w:r>
              <w:rPr>
                <w:spacing w:val="-2"/>
              </w:rPr>
              <w:t>2046</w:t>
            </w:r>
          </w:p>
        </w:tc>
        <w:tc>
          <w:tcPr>
            <w:tcW w:w="1720" w:type="dxa"/>
            <w:tcBorders>
              <w:top w:val="single" w:color="000000" w:sz="4" w:space="0"/>
              <w:bottom w:val="single" w:color="000000" w:sz="4" w:space="0"/>
            </w:tcBorders>
            <w:vAlign w:val="top"/>
          </w:tcPr>
          <w:p w14:paraId="6C5BD2A3">
            <w:pPr>
              <w:pStyle w:val="6"/>
              <w:spacing w:before="121" w:line="287" w:lineRule="auto"/>
              <w:ind w:left="179" w:right="222"/>
            </w:pPr>
            <w:r>
              <w:rPr>
                <w:spacing w:val="1"/>
              </w:rPr>
              <w:t>83627.19(病区</w:t>
            </w:r>
            <w:r>
              <w:rPr>
                <w:spacing w:val="5"/>
              </w:rPr>
              <w:t xml:space="preserve"> </w:t>
            </w:r>
            <w:r>
              <w:rPr>
                <w:spacing w:val="10"/>
              </w:rPr>
              <w:t>县人口数)</w:t>
            </w:r>
          </w:p>
        </w:tc>
        <w:tc>
          <w:tcPr>
            <w:tcW w:w="1940" w:type="dxa"/>
            <w:tcBorders>
              <w:top w:val="single" w:color="000000" w:sz="4" w:space="0"/>
              <w:bottom w:val="single" w:color="000000" w:sz="4" w:space="0"/>
            </w:tcBorders>
            <w:vAlign w:val="top"/>
          </w:tcPr>
          <w:p w14:paraId="6D75D2CD">
            <w:pPr>
              <w:pStyle w:val="6"/>
              <w:spacing w:before="122" w:line="285" w:lineRule="auto"/>
              <w:ind w:left="59" w:right="332"/>
            </w:pPr>
            <w:r>
              <w:rPr>
                <w:spacing w:val="3"/>
              </w:rPr>
              <w:t>15922578(地方性</w:t>
            </w:r>
            <w:r>
              <w:rPr>
                <w:spacing w:val="10"/>
              </w:rPr>
              <w:t xml:space="preserve"> </w:t>
            </w:r>
            <w:r>
              <w:rPr>
                <w:spacing w:val="20"/>
              </w:rPr>
              <w:t>甲状腺肿)</w:t>
            </w:r>
          </w:p>
          <w:p w14:paraId="4881FE05">
            <w:pPr>
              <w:pStyle w:val="6"/>
              <w:spacing w:before="2" w:line="271" w:lineRule="auto"/>
              <w:ind w:left="59" w:right="328"/>
            </w:pPr>
            <w:r>
              <w:rPr>
                <w:spacing w:val="4"/>
              </w:rPr>
              <w:t>185439(地方性克</w:t>
            </w:r>
            <w:r>
              <w:rPr>
                <w:spacing w:val="6"/>
              </w:rPr>
              <w:t xml:space="preserve"> </w:t>
            </w:r>
            <w:r>
              <w:rPr>
                <w:spacing w:val="-6"/>
              </w:rPr>
              <w:t>汀</w:t>
            </w:r>
            <w:r>
              <w:rPr>
                <w:spacing w:val="-36"/>
              </w:rPr>
              <w:t xml:space="preserve"> </w:t>
            </w:r>
            <w:r>
              <w:rPr>
                <w:spacing w:val="-6"/>
              </w:rPr>
              <w:t>病</w:t>
            </w:r>
            <w:r>
              <w:rPr>
                <w:spacing w:val="-34"/>
              </w:rPr>
              <w:t xml:space="preserve"> </w:t>
            </w:r>
            <w:r>
              <w:rPr>
                <w:spacing w:val="-6"/>
              </w:rPr>
              <w:t>)</w:t>
            </w:r>
          </w:p>
        </w:tc>
        <w:tc>
          <w:tcPr>
            <w:tcW w:w="730" w:type="dxa"/>
            <w:tcBorders>
              <w:top w:val="single" w:color="000000" w:sz="4" w:space="0"/>
              <w:bottom w:val="single" w:color="000000" w:sz="4" w:space="0"/>
            </w:tcBorders>
            <w:vAlign w:val="top"/>
          </w:tcPr>
          <w:p w14:paraId="033461A1">
            <w:pPr>
              <w:spacing w:line="265" w:lineRule="auto"/>
              <w:rPr>
                <w:rFonts w:ascii="Arial"/>
                <w:sz w:val="21"/>
              </w:rPr>
            </w:pPr>
          </w:p>
          <w:p w14:paraId="6CE6FC85">
            <w:pPr>
              <w:spacing w:line="266" w:lineRule="auto"/>
              <w:rPr>
                <w:rFonts w:ascii="Arial"/>
                <w:sz w:val="21"/>
              </w:rPr>
            </w:pPr>
          </w:p>
          <w:p w14:paraId="03C44FC1">
            <w:pPr>
              <w:pStyle w:val="6"/>
              <w:spacing w:before="65"/>
              <w:ind w:left="220"/>
            </w:pPr>
            <w:r>
              <w:rPr>
                <w:spacing w:val="-2"/>
              </w:rPr>
              <w:t>2795</w:t>
            </w:r>
          </w:p>
        </w:tc>
        <w:tc>
          <w:tcPr>
            <w:tcW w:w="1424" w:type="dxa"/>
            <w:tcBorders>
              <w:top w:val="single" w:color="000000" w:sz="4" w:space="0"/>
              <w:bottom w:val="single" w:color="000000" w:sz="4" w:space="0"/>
            </w:tcBorders>
            <w:vAlign w:val="top"/>
          </w:tcPr>
          <w:p w14:paraId="16221925">
            <w:pPr>
              <w:pStyle w:val="6"/>
              <w:spacing w:before="164" w:line="248" w:lineRule="auto"/>
              <w:ind w:left="169" w:right="110"/>
            </w:pPr>
            <w:r>
              <w:rPr>
                <w:spacing w:val="1"/>
              </w:rPr>
              <w:t>131964.5(工</w:t>
            </w:r>
            <w:r>
              <w:t xml:space="preserve"> </w:t>
            </w:r>
            <w:r>
              <w:rPr>
                <w:spacing w:val="7"/>
              </w:rPr>
              <w:t>作县人口数)</w:t>
            </w:r>
          </w:p>
        </w:tc>
        <w:tc>
          <w:tcPr>
            <w:tcW w:w="1846" w:type="dxa"/>
            <w:tcBorders>
              <w:top w:val="single" w:color="000000" w:sz="4" w:space="0"/>
              <w:bottom w:val="single" w:color="000000" w:sz="4" w:space="0"/>
            </w:tcBorders>
            <w:vAlign w:val="top"/>
          </w:tcPr>
          <w:p w14:paraId="631B87F7">
            <w:pPr>
              <w:pStyle w:val="6"/>
              <w:spacing w:before="151" w:line="259" w:lineRule="auto"/>
              <w:ind w:left="76" w:right="376"/>
            </w:pPr>
            <w:r>
              <w:rPr>
                <w:spacing w:val="-1"/>
              </w:rPr>
              <w:t>4576131(地方性</w:t>
            </w:r>
            <w:r>
              <w:rPr>
                <w:spacing w:val="2"/>
              </w:rPr>
              <w:t xml:space="preserve"> </w:t>
            </w:r>
            <w:r>
              <w:rPr>
                <w:spacing w:val="14"/>
              </w:rPr>
              <w:t>甲状腺肿)</w:t>
            </w:r>
          </w:p>
          <w:p w14:paraId="69F8A3BB">
            <w:pPr>
              <w:pStyle w:val="6"/>
              <w:spacing w:before="26" w:line="263" w:lineRule="auto"/>
              <w:ind w:left="76" w:right="258"/>
            </w:pPr>
            <w:r>
              <w:rPr>
                <w:spacing w:val="11"/>
              </w:rPr>
              <w:t>89705(地方性克</w:t>
            </w:r>
            <w:r>
              <w:t xml:space="preserve"> </w:t>
            </w:r>
            <w:r>
              <w:rPr>
                <w:spacing w:val="24"/>
              </w:rPr>
              <w:t>汀病)</w:t>
            </w:r>
          </w:p>
        </w:tc>
        <w:tc>
          <w:tcPr>
            <w:tcW w:w="790" w:type="dxa"/>
            <w:tcBorders>
              <w:top w:val="single" w:color="000000" w:sz="4" w:space="0"/>
              <w:bottom w:val="single" w:color="000000" w:sz="4" w:space="0"/>
            </w:tcBorders>
            <w:vAlign w:val="top"/>
          </w:tcPr>
          <w:p w14:paraId="4D8AE153">
            <w:pPr>
              <w:spacing w:line="265" w:lineRule="auto"/>
              <w:rPr>
                <w:rFonts w:ascii="Arial"/>
                <w:sz w:val="21"/>
              </w:rPr>
            </w:pPr>
          </w:p>
          <w:p w14:paraId="27A3A523">
            <w:pPr>
              <w:spacing w:line="266" w:lineRule="auto"/>
              <w:rPr>
                <w:rFonts w:ascii="Arial"/>
                <w:sz w:val="21"/>
              </w:rPr>
            </w:pPr>
          </w:p>
          <w:p w14:paraId="0A018090">
            <w:pPr>
              <w:pStyle w:val="6"/>
              <w:spacing w:before="65"/>
              <w:ind w:left="130"/>
            </w:pPr>
            <w:r>
              <w:rPr>
                <w:spacing w:val="-2"/>
              </w:rPr>
              <w:t>2818</w:t>
            </w:r>
          </w:p>
        </w:tc>
        <w:tc>
          <w:tcPr>
            <w:tcW w:w="1750" w:type="dxa"/>
            <w:tcBorders>
              <w:top w:val="single" w:color="000000" w:sz="4" w:space="0"/>
              <w:bottom w:val="single" w:color="000000" w:sz="4" w:space="0"/>
            </w:tcBorders>
            <w:vAlign w:val="top"/>
          </w:tcPr>
          <w:p w14:paraId="2BACA4B7">
            <w:pPr>
              <w:pStyle w:val="6"/>
              <w:spacing w:before="121" w:line="287" w:lineRule="auto"/>
              <w:ind w:left="149" w:right="80"/>
            </w:pPr>
            <w:r>
              <w:rPr>
                <w:spacing w:val="1"/>
              </w:rPr>
              <w:t>136997.8(工作县</w:t>
            </w:r>
            <w:r>
              <w:rPr>
                <w:spacing w:val="6"/>
              </w:rPr>
              <w:t xml:space="preserve"> </w:t>
            </w:r>
            <w:r>
              <w:rPr>
                <w:spacing w:val="10"/>
              </w:rPr>
              <w:t>人口数)</w:t>
            </w:r>
          </w:p>
        </w:tc>
        <w:tc>
          <w:tcPr>
            <w:tcW w:w="1709" w:type="dxa"/>
            <w:tcBorders>
              <w:top w:val="single" w:color="000000" w:sz="4" w:space="0"/>
              <w:bottom w:val="single" w:color="000000" w:sz="4" w:space="0"/>
            </w:tcBorders>
            <w:vAlign w:val="top"/>
          </w:tcPr>
          <w:p w14:paraId="1AEEA416">
            <w:pPr>
              <w:pStyle w:val="6"/>
              <w:spacing w:before="122" w:line="285" w:lineRule="auto"/>
              <w:ind w:left="80" w:right="184"/>
            </w:pPr>
            <w:r>
              <w:rPr>
                <w:spacing w:val="4"/>
              </w:rPr>
              <w:t>33019(地方性甲</w:t>
            </w:r>
            <w:r>
              <w:rPr>
                <w:spacing w:val="3"/>
              </w:rPr>
              <w:t xml:space="preserve"> </w:t>
            </w:r>
            <w:r>
              <w:rPr>
                <w:spacing w:val="10"/>
              </w:rPr>
              <w:t>状腺肿)</w:t>
            </w:r>
          </w:p>
          <w:p w14:paraId="28DA5DB7">
            <w:pPr>
              <w:pStyle w:val="6"/>
              <w:spacing w:before="1" w:line="262" w:lineRule="auto"/>
              <w:ind w:left="80" w:right="197"/>
            </w:pPr>
            <w:r>
              <w:rPr>
                <w:spacing w:val="3"/>
              </w:rPr>
              <w:t>12763(地方性克</w:t>
            </w:r>
            <w:r>
              <w:t xml:space="preserve"> </w:t>
            </w:r>
            <w:r>
              <w:rPr>
                <w:spacing w:val="21"/>
              </w:rPr>
              <w:t>汀病)</w:t>
            </w:r>
          </w:p>
        </w:tc>
      </w:tr>
      <w:tr w14:paraId="37E7F612">
        <w:trPr>
          <w:trHeight w:val="399" w:hRule="atLeast"/>
        </w:trPr>
        <w:tc>
          <w:tcPr>
            <w:tcW w:w="14249" w:type="dxa"/>
            <w:gridSpan w:val="10"/>
            <w:tcBorders>
              <w:top w:val="single" w:color="000000" w:sz="4" w:space="0"/>
            </w:tcBorders>
            <w:vAlign w:val="top"/>
          </w:tcPr>
          <w:p w14:paraId="3580300B">
            <w:pPr>
              <w:pStyle w:val="6"/>
              <w:spacing w:before="102" w:line="219" w:lineRule="auto"/>
              <w:ind w:left="20"/>
            </w:pPr>
            <w:r>
              <w:drawing>
                <wp:anchor distT="0" distB="0" distL="0" distR="0" simplePos="0" relativeHeight="251994112" behindDoc="1" locked="0" layoutInCell="1" allowOverlap="1">
                  <wp:simplePos x="0" y="0"/>
                  <wp:positionH relativeFrom="column">
                    <wp:posOffset>0</wp:posOffset>
                  </wp:positionH>
                  <wp:positionV relativeFrom="paragraph">
                    <wp:posOffset>-3175</wp:posOffset>
                  </wp:positionV>
                  <wp:extent cx="9048750" cy="260350"/>
                  <wp:effectExtent l="0" t="0" r="0" b="0"/>
                  <wp:wrapNone/>
                  <wp:docPr id="832" name="IM 832"/>
                  <wp:cNvGraphicFramePr/>
                  <a:graphic xmlns:a="http://schemas.openxmlformats.org/drawingml/2006/main">
                    <a:graphicData uri="http://schemas.openxmlformats.org/drawingml/2006/picture">
                      <pic:pic xmlns:pic="http://schemas.openxmlformats.org/drawingml/2006/picture">
                        <pic:nvPicPr>
                          <pic:cNvPr id="832" name="IM 832"/>
                          <pic:cNvPicPr/>
                        </pic:nvPicPr>
                        <pic:blipFill>
                          <a:blip r:embed="rId704"/>
                          <a:stretch>
                            <a:fillRect/>
                          </a:stretch>
                        </pic:blipFill>
                        <pic:spPr>
                          <a:xfrm>
                            <a:off x="0" y="0"/>
                            <a:ext cx="9048688" cy="260396"/>
                          </a:xfrm>
                          <a:prstGeom prst="rect">
                            <a:avLst/>
                          </a:prstGeom>
                        </pic:spPr>
                      </pic:pic>
                    </a:graphicData>
                  </a:graphic>
                </wp:anchor>
              </w:drawing>
            </w:r>
            <w:r>
              <w:rPr>
                <w:spacing w:val="-2"/>
              </w:rPr>
              <w:t>地方性氟中毒</w:t>
            </w:r>
          </w:p>
        </w:tc>
      </w:tr>
      <w:tr w14:paraId="06E9B5FD">
        <w:trPr>
          <w:trHeight w:val="839" w:hRule="atLeast"/>
        </w:trPr>
        <w:tc>
          <w:tcPr>
            <w:tcW w:w="1420" w:type="dxa"/>
            <w:shd w:val="clear" w:color="auto" w:fill="E9E8E9"/>
            <w:vAlign w:val="top"/>
          </w:tcPr>
          <w:p w14:paraId="57E82F05">
            <w:pPr>
              <w:spacing w:line="266" w:lineRule="auto"/>
              <w:rPr>
                <w:rFonts w:ascii="Arial"/>
                <w:sz w:val="21"/>
              </w:rPr>
            </w:pPr>
          </w:p>
          <w:p w14:paraId="29934FC2">
            <w:pPr>
              <w:pStyle w:val="6"/>
              <w:spacing w:before="65" w:line="219" w:lineRule="auto"/>
              <w:ind w:left="20"/>
            </w:pPr>
            <w:r>
              <w:rPr>
                <w:spacing w:val="4"/>
              </w:rPr>
              <w:t>饮水型</w:t>
            </w:r>
          </w:p>
        </w:tc>
        <w:tc>
          <w:tcPr>
            <w:tcW w:w="920" w:type="dxa"/>
            <w:shd w:val="clear" w:color="auto" w:fill="E9E7E9"/>
            <w:vAlign w:val="top"/>
          </w:tcPr>
          <w:p w14:paraId="59B42D1D">
            <w:pPr>
              <w:spacing w:line="286" w:lineRule="auto"/>
              <w:rPr>
                <w:rFonts w:ascii="Arial"/>
                <w:sz w:val="21"/>
              </w:rPr>
            </w:pPr>
          </w:p>
          <w:p w14:paraId="561A0E8B">
            <w:pPr>
              <w:pStyle w:val="6"/>
              <w:spacing w:before="65"/>
              <w:ind w:left="259"/>
            </w:pPr>
            <w:r>
              <w:rPr>
                <w:spacing w:val="-5"/>
              </w:rPr>
              <w:t>1086</w:t>
            </w:r>
          </w:p>
        </w:tc>
        <w:tc>
          <w:tcPr>
            <w:tcW w:w="1720" w:type="dxa"/>
            <w:shd w:val="clear" w:color="auto" w:fill="EAE8E9"/>
            <w:vAlign w:val="top"/>
          </w:tcPr>
          <w:p w14:paraId="1B293457">
            <w:pPr>
              <w:spacing w:line="286" w:lineRule="auto"/>
              <w:rPr>
                <w:rFonts w:ascii="Arial"/>
                <w:sz w:val="21"/>
              </w:rPr>
            </w:pPr>
          </w:p>
          <w:p w14:paraId="4CDCF1D6">
            <w:pPr>
              <w:pStyle w:val="6"/>
              <w:spacing w:before="65" w:line="239" w:lineRule="auto"/>
              <w:ind w:left="209"/>
            </w:pPr>
            <w:r>
              <w:rPr>
                <w:spacing w:val="-2"/>
              </w:rPr>
              <w:t>7630.43</w:t>
            </w:r>
          </w:p>
        </w:tc>
        <w:tc>
          <w:tcPr>
            <w:tcW w:w="1940" w:type="dxa"/>
            <w:shd w:val="clear" w:color="auto" w:fill="E5E4E5"/>
            <w:vAlign w:val="top"/>
          </w:tcPr>
          <w:p w14:paraId="49D1E094">
            <w:pPr>
              <w:pStyle w:val="6"/>
              <w:spacing w:before="232" w:line="261" w:lineRule="auto"/>
              <w:ind w:left="119" w:right="230"/>
            </w:pPr>
            <w:r>
              <w:rPr>
                <w:spacing w:val="-1"/>
              </w:rPr>
              <w:t>27167165(氟斑牙)</w:t>
            </w:r>
            <w:r>
              <w:rPr>
                <w:spacing w:val="1"/>
              </w:rPr>
              <w:t xml:space="preserve"> </w:t>
            </w:r>
            <w:r>
              <w:rPr>
                <w:spacing w:val="3"/>
              </w:rPr>
              <w:t>1247057(氟骨症)</w:t>
            </w:r>
          </w:p>
        </w:tc>
        <w:tc>
          <w:tcPr>
            <w:tcW w:w="730" w:type="dxa"/>
            <w:shd w:val="clear" w:color="auto" w:fill="EAE8E9"/>
            <w:vAlign w:val="top"/>
          </w:tcPr>
          <w:p w14:paraId="4E254419">
            <w:pPr>
              <w:spacing w:line="286" w:lineRule="auto"/>
              <w:rPr>
                <w:rFonts w:ascii="Arial"/>
                <w:sz w:val="21"/>
              </w:rPr>
            </w:pPr>
          </w:p>
          <w:p w14:paraId="14657606">
            <w:pPr>
              <w:pStyle w:val="6"/>
              <w:spacing w:before="65"/>
              <w:ind w:left="142"/>
            </w:pPr>
            <w:r>
              <w:rPr>
                <w:spacing w:val="-5"/>
              </w:rPr>
              <w:t>1055</w:t>
            </w:r>
          </w:p>
        </w:tc>
        <w:tc>
          <w:tcPr>
            <w:tcW w:w="1424" w:type="dxa"/>
            <w:shd w:val="clear" w:color="auto" w:fill="EDEBEC"/>
            <w:vAlign w:val="top"/>
          </w:tcPr>
          <w:p w14:paraId="1D6CB623">
            <w:pPr>
              <w:spacing w:line="286" w:lineRule="auto"/>
              <w:rPr>
                <w:rFonts w:ascii="Arial"/>
                <w:sz w:val="21"/>
              </w:rPr>
            </w:pPr>
          </w:p>
          <w:p w14:paraId="3D6105AE">
            <w:pPr>
              <w:pStyle w:val="6"/>
              <w:spacing w:before="65" w:line="239" w:lineRule="auto"/>
              <w:ind w:left="259"/>
            </w:pPr>
            <w:r>
              <w:rPr>
                <w:spacing w:val="-2"/>
              </w:rPr>
              <w:t>6188.7</w:t>
            </w:r>
          </w:p>
        </w:tc>
        <w:tc>
          <w:tcPr>
            <w:tcW w:w="1846" w:type="dxa"/>
            <w:shd w:val="clear" w:color="auto" w:fill="EDEBEC"/>
            <w:vAlign w:val="top"/>
          </w:tcPr>
          <w:p w14:paraId="00909FEF">
            <w:pPr>
              <w:pStyle w:val="6"/>
              <w:spacing w:before="203" w:line="288" w:lineRule="auto"/>
              <w:ind w:left="125" w:right="76"/>
            </w:pPr>
            <w:r>
              <w:rPr>
                <w:spacing w:val="3"/>
              </w:rPr>
              <w:t xml:space="preserve">18160901(氟斑牙) </w:t>
            </w:r>
            <w:r>
              <w:rPr>
                <w:spacing w:val="11"/>
              </w:rPr>
              <w:t>1272720(氟骨症)</w:t>
            </w:r>
          </w:p>
        </w:tc>
        <w:tc>
          <w:tcPr>
            <w:tcW w:w="790" w:type="dxa"/>
            <w:shd w:val="clear" w:color="auto" w:fill="EDECED"/>
            <w:vAlign w:val="top"/>
          </w:tcPr>
          <w:p w14:paraId="65852234">
            <w:pPr>
              <w:spacing w:line="286" w:lineRule="auto"/>
              <w:rPr>
                <w:rFonts w:ascii="Arial"/>
                <w:sz w:val="21"/>
              </w:rPr>
            </w:pPr>
          </w:p>
          <w:p w14:paraId="5445BC7D">
            <w:pPr>
              <w:pStyle w:val="6"/>
              <w:spacing w:before="65"/>
              <w:ind w:left="20"/>
            </w:pPr>
            <w:r>
              <w:rPr>
                <w:spacing w:val="-5"/>
              </w:rPr>
              <w:t>1042</w:t>
            </w:r>
          </w:p>
        </w:tc>
        <w:tc>
          <w:tcPr>
            <w:tcW w:w="1750" w:type="dxa"/>
            <w:vAlign w:val="top"/>
          </w:tcPr>
          <w:p w14:paraId="785258EA">
            <w:pPr>
              <w:spacing w:line="286" w:lineRule="auto"/>
              <w:rPr>
                <w:rFonts w:ascii="Arial"/>
                <w:sz w:val="21"/>
              </w:rPr>
            </w:pPr>
          </w:p>
          <w:p w14:paraId="1F9E1E95">
            <w:pPr>
              <w:pStyle w:val="6"/>
              <w:spacing w:before="65" w:line="239" w:lineRule="auto"/>
              <w:ind w:left="189"/>
            </w:pPr>
            <w:r>
              <w:rPr>
                <w:spacing w:val="-2"/>
              </w:rPr>
              <w:t>6592.5</w:t>
            </w:r>
          </w:p>
        </w:tc>
        <w:tc>
          <w:tcPr>
            <w:tcW w:w="1709" w:type="dxa"/>
            <w:shd w:val="clear" w:color="auto" w:fill="E8E8E7"/>
            <w:vAlign w:val="top"/>
          </w:tcPr>
          <w:p w14:paraId="51865C15">
            <w:pPr>
              <w:pStyle w:val="6"/>
              <w:spacing w:before="203" w:line="288" w:lineRule="auto"/>
              <w:ind w:left="130" w:right="135"/>
            </w:pPr>
            <w:r>
              <w:rPr>
                <w:spacing w:val="3"/>
              </w:rPr>
              <w:t>234608(氟斑牙)</w:t>
            </w:r>
            <w:r>
              <w:rPr>
                <w:spacing w:val="9"/>
              </w:rPr>
              <w:t xml:space="preserve"> </w:t>
            </w:r>
            <w:r>
              <w:rPr>
                <w:spacing w:val="14"/>
              </w:rPr>
              <w:t>57966(氟骨症)</w:t>
            </w:r>
          </w:p>
        </w:tc>
      </w:tr>
      <w:tr w14:paraId="4381AA28">
        <w:trPr>
          <w:trHeight w:val="789" w:hRule="atLeast"/>
        </w:trPr>
        <w:tc>
          <w:tcPr>
            <w:tcW w:w="1420" w:type="dxa"/>
            <w:tcBorders>
              <w:bottom w:val="single" w:color="000000" w:sz="4" w:space="0"/>
            </w:tcBorders>
            <w:shd w:val="clear" w:color="auto" w:fill="E1E0E1"/>
            <w:vAlign w:val="top"/>
          </w:tcPr>
          <w:p w14:paraId="52EA4CA3">
            <w:pPr>
              <w:pStyle w:val="6"/>
              <w:spacing w:before="304" w:line="220" w:lineRule="auto"/>
              <w:ind w:left="20"/>
            </w:pPr>
            <w:r>
              <w:rPr>
                <w:spacing w:val="2"/>
              </w:rPr>
              <w:t>燃煤污染型</w:t>
            </w:r>
          </w:p>
        </w:tc>
        <w:tc>
          <w:tcPr>
            <w:tcW w:w="920" w:type="dxa"/>
            <w:tcBorders>
              <w:bottom w:val="single" w:color="000000" w:sz="4" w:space="0"/>
            </w:tcBorders>
            <w:shd w:val="clear" w:color="auto" w:fill="E4E2E3"/>
            <w:vAlign w:val="top"/>
          </w:tcPr>
          <w:p w14:paraId="25186AE3">
            <w:pPr>
              <w:spacing w:line="257" w:lineRule="auto"/>
              <w:rPr>
                <w:rFonts w:ascii="Arial"/>
                <w:sz w:val="21"/>
              </w:rPr>
            </w:pPr>
          </w:p>
          <w:p w14:paraId="316ACC2A">
            <w:pPr>
              <w:pStyle w:val="6"/>
              <w:spacing w:before="65"/>
              <w:ind w:left="309"/>
            </w:pPr>
            <w:r>
              <w:rPr>
                <w:spacing w:val="-3"/>
              </w:rPr>
              <w:t>201</w:t>
            </w:r>
          </w:p>
        </w:tc>
        <w:tc>
          <w:tcPr>
            <w:tcW w:w="1720" w:type="dxa"/>
            <w:tcBorders>
              <w:bottom w:val="single" w:color="000000" w:sz="4" w:space="0"/>
            </w:tcBorders>
            <w:shd w:val="clear" w:color="auto" w:fill="E2E0E1"/>
            <w:vAlign w:val="top"/>
          </w:tcPr>
          <w:p w14:paraId="7422AACD">
            <w:pPr>
              <w:spacing w:line="257" w:lineRule="auto"/>
              <w:rPr>
                <w:rFonts w:ascii="Arial"/>
                <w:sz w:val="21"/>
              </w:rPr>
            </w:pPr>
          </w:p>
          <w:p w14:paraId="4BAE37DE">
            <w:pPr>
              <w:pStyle w:val="6"/>
              <w:spacing w:before="65" w:line="239" w:lineRule="auto"/>
              <w:ind w:left="209"/>
            </w:pPr>
            <w:r>
              <w:rPr>
                <w:spacing w:val="-2"/>
              </w:rPr>
              <w:t>3161.48</w:t>
            </w:r>
          </w:p>
        </w:tc>
        <w:tc>
          <w:tcPr>
            <w:tcW w:w="1940" w:type="dxa"/>
            <w:tcBorders>
              <w:bottom w:val="single" w:color="000000" w:sz="4" w:space="0"/>
            </w:tcBorders>
            <w:shd w:val="clear" w:color="auto" w:fill="E5E3E2"/>
            <w:vAlign w:val="top"/>
          </w:tcPr>
          <w:p w14:paraId="52957144">
            <w:pPr>
              <w:pStyle w:val="6"/>
              <w:spacing w:before="194" w:line="251" w:lineRule="auto"/>
              <w:ind w:left="130" w:right="136"/>
            </w:pPr>
            <w:r>
              <w:rPr>
                <w:spacing w:val="5"/>
              </w:rPr>
              <w:t>18169946(氟斑牙)</w:t>
            </w:r>
            <w:r>
              <w:rPr>
                <w:spacing w:val="7"/>
              </w:rPr>
              <w:t xml:space="preserve"> </w:t>
            </w:r>
            <w:r>
              <w:rPr>
                <w:spacing w:val="3"/>
              </w:rPr>
              <w:t>1460879(氟骨症)</w:t>
            </w:r>
          </w:p>
        </w:tc>
        <w:tc>
          <w:tcPr>
            <w:tcW w:w="730" w:type="dxa"/>
            <w:tcBorders>
              <w:bottom w:val="single" w:color="000000" w:sz="4" w:space="0"/>
            </w:tcBorders>
            <w:shd w:val="clear" w:color="auto" w:fill="E5E4E3"/>
            <w:vAlign w:val="top"/>
          </w:tcPr>
          <w:p w14:paraId="06EE8C3C">
            <w:pPr>
              <w:spacing w:line="257" w:lineRule="auto"/>
              <w:rPr>
                <w:rFonts w:ascii="Arial"/>
                <w:sz w:val="21"/>
              </w:rPr>
            </w:pPr>
          </w:p>
          <w:p w14:paraId="4D6C7742">
            <w:pPr>
              <w:pStyle w:val="6"/>
              <w:spacing w:before="65"/>
              <w:ind w:left="220"/>
            </w:pPr>
            <w:r>
              <w:rPr>
                <w:spacing w:val="-6"/>
              </w:rPr>
              <w:t>173</w:t>
            </w:r>
          </w:p>
        </w:tc>
        <w:tc>
          <w:tcPr>
            <w:tcW w:w="1424" w:type="dxa"/>
            <w:tcBorders>
              <w:bottom w:val="single" w:color="000000" w:sz="4" w:space="0"/>
            </w:tcBorders>
            <w:shd w:val="clear" w:color="auto" w:fill="E9E8E8"/>
            <w:vAlign w:val="top"/>
          </w:tcPr>
          <w:p w14:paraId="15B172C7">
            <w:pPr>
              <w:spacing w:line="257" w:lineRule="auto"/>
              <w:rPr>
                <w:rFonts w:ascii="Arial"/>
                <w:sz w:val="21"/>
              </w:rPr>
            </w:pPr>
          </w:p>
          <w:p w14:paraId="032113D0">
            <w:pPr>
              <w:pStyle w:val="6"/>
              <w:spacing w:before="65" w:line="239" w:lineRule="auto"/>
              <w:ind w:left="361"/>
            </w:pPr>
            <w:r>
              <w:rPr>
                <w:spacing w:val="-2"/>
              </w:rPr>
              <w:t>3265.0</w:t>
            </w:r>
          </w:p>
        </w:tc>
        <w:tc>
          <w:tcPr>
            <w:tcW w:w="1846" w:type="dxa"/>
            <w:tcBorders>
              <w:bottom w:val="single" w:color="000000" w:sz="4" w:space="0"/>
            </w:tcBorders>
            <w:shd w:val="clear" w:color="auto" w:fill="E9E8E8"/>
            <w:vAlign w:val="top"/>
          </w:tcPr>
          <w:p w14:paraId="3D539156">
            <w:pPr>
              <w:pStyle w:val="6"/>
              <w:spacing w:before="154" w:line="288" w:lineRule="auto"/>
              <w:ind w:left="135" w:right="66"/>
            </w:pPr>
            <w:r>
              <w:rPr>
                <w:spacing w:val="3"/>
              </w:rPr>
              <w:t xml:space="preserve">14537187(氟斑牙) </w:t>
            </w:r>
            <w:r>
              <w:rPr>
                <w:spacing w:val="11"/>
              </w:rPr>
              <w:t>1881942(氟骨症)</w:t>
            </w:r>
          </w:p>
        </w:tc>
        <w:tc>
          <w:tcPr>
            <w:tcW w:w="790" w:type="dxa"/>
            <w:tcBorders>
              <w:bottom w:val="single" w:color="000000" w:sz="4" w:space="0"/>
            </w:tcBorders>
            <w:shd w:val="clear" w:color="auto" w:fill="ECECEA"/>
            <w:vAlign w:val="top"/>
          </w:tcPr>
          <w:p w14:paraId="7D25654E">
            <w:pPr>
              <w:spacing w:line="257" w:lineRule="auto"/>
              <w:rPr>
                <w:rFonts w:ascii="Arial"/>
                <w:sz w:val="21"/>
              </w:rPr>
            </w:pPr>
          </w:p>
          <w:p w14:paraId="17DEBD2D">
            <w:pPr>
              <w:pStyle w:val="6"/>
              <w:spacing w:before="65"/>
              <w:ind w:left="20"/>
            </w:pPr>
            <w:r>
              <w:rPr>
                <w:spacing w:val="-6"/>
              </w:rPr>
              <w:t>171</w:t>
            </w:r>
          </w:p>
        </w:tc>
        <w:tc>
          <w:tcPr>
            <w:tcW w:w="1750" w:type="dxa"/>
            <w:tcBorders>
              <w:bottom w:val="single" w:color="000000" w:sz="4" w:space="0"/>
            </w:tcBorders>
            <w:shd w:val="clear" w:color="auto" w:fill="ECECEA"/>
            <w:vAlign w:val="top"/>
          </w:tcPr>
          <w:p w14:paraId="08AE49AB">
            <w:pPr>
              <w:spacing w:line="257" w:lineRule="auto"/>
              <w:rPr>
                <w:rFonts w:ascii="Arial"/>
                <w:sz w:val="21"/>
              </w:rPr>
            </w:pPr>
          </w:p>
          <w:p w14:paraId="7933CBCF">
            <w:pPr>
              <w:pStyle w:val="6"/>
              <w:spacing w:before="65" w:line="239" w:lineRule="auto"/>
              <w:ind w:left="189"/>
            </w:pPr>
            <w:r>
              <w:rPr>
                <w:spacing w:val="-2"/>
              </w:rPr>
              <w:t>3341.3</w:t>
            </w:r>
          </w:p>
        </w:tc>
        <w:tc>
          <w:tcPr>
            <w:tcW w:w="1709" w:type="dxa"/>
            <w:tcBorders>
              <w:bottom w:val="single" w:color="000000" w:sz="4" w:space="0"/>
            </w:tcBorders>
            <w:shd w:val="clear" w:color="auto" w:fill="E4E4E0"/>
            <w:vAlign w:val="top"/>
          </w:tcPr>
          <w:p w14:paraId="252B20BD">
            <w:pPr>
              <w:pStyle w:val="6"/>
              <w:spacing w:before="154" w:line="288" w:lineRule="auto"/>
              <w:ind w:left="129" w:right="135"/>
            </w:pPr>
            <w:r>
              <w:rPr>
                <w:spacing w:val="14"/>
              </w:rPr>
              <w:t>43064(氟斑牙)</w:t>
            </w:r>
            <w:r>
              <w:rPr>
                <w:spacing w:val="2"/>
              </w:rPr>
              <w:t xml:space="preserve"> </w:t>
            </w:r>
            <w:r>
              <w:rPr>
                <w:spacing w:val="3"/>
              </w:rPr>
              <w:t>153965(氟骨症)</w:t>
            </w:r>
          </w:p>
        </w:tc>
      </w:tr>
      <w:tr w14:paraId="09B678B2">
        <w:trPr>
          <w:trHeight w:val="501" w:hRule="atLeast"/>
        </w:trPr>
        <w:tc>
          <w:tcPr>
            <w:tcW w:w="1420" w:type="dxa"/>
            <w:tcBorders>
              <w:top w:val="single" w:color="000000" w:sz="4" w:space="0"/>
            </w:tcBorders>
            <w:vAlign w:val="top"/>
          </w:tcPr>
          <w:p w14:paraId="793C35D5">
            <w:pPr>
              <w:pStyle w:val="6"/>
              <w:spacing w:before="155" w:line="219" w:lineRule="auto"/>
              <w:ind w:left="20"/>
            </w:pPr>
            <w:r>
              <w:rPr>
                <w:spacing w:val="-2"/>
              </w:rPr>
              <w:t>地方性砷中毒</w:t>
            </w:r>
          </w:p>
        </w:tc>
        <w:tc>
          <w:tcPr>
            <w:tcW w:w="920" w:type="dxa"/>
            <w:tcBorders>
              <w:top w:val="single" w:color="000000" w:sz="4" w:space="0"/>
            </w:tcBorders>
            <w:vAlign w:val="top"/>
          </w:tcPr>
          <w:p w14:paraId="0B8561C6">
            <w:pPr>
              <w:rPr>
                <w:rFonts w:ascii="Arial"/>
                <w:sz w:val="21"/>
              </w:rPr>
            </w:pPr>
          </w:p>
        </w:tc>
        <w:tc>
          <w:tcPr>
            <w:tcW w:w="1720" w:type="dxa"/>
            <w:tcBorders>
              <w:top w:val="single" w:color="000000" w:sz="4" w:space="0"/>
            </w:tcBorders>
            <w:vAlign w:val="top"/>
          </w:tcPr>
          <w:p w14:paraId="261D71A4">
            <w:pPr>
              <w:rPr>
                <w:rFonts w:ascii="Arial"/>
                <w:sz w:val="21"/>
              </w:rPr>
            </w:pPr>
          </w:p>
        </w:tc>
        <w:tc>
          <w:tcPr>
            <w:tcW w:w="1940" w:type="dxa"/>
            <w:tcBorders>
              <w:top w:val="single" w:color="000000" w:sz="4" w:space="0"/>
            </w:tcBorders>
            <w:vAlign w:val="top"/>
          </w:tcPr>
          <w:p w14:paraId="03BA1BCF">
            <w:pPr>
              <w:rPr>
                <w:rFonts w:ascii="Arial"/>
                <w:sz w:val="21"/>
              </w:rPr>
            </w:pPr>
          </w:p>
        </w:tc>
        <w:tc>
          <w:tcPr>
            <w:tcW w:w="730" w:type="dxa"/>
            <w:tcBorders>
              <w:top w:val="single" w:color="000000" w:sz="4" w:space="0"/>
            </w:tcBorders>
            <w:vAlign w:val="top"/>
          </w:tcPr>
          <w:p w14:paraId="0C044753">
            <w:pPr>
              <w:rPr>
                <w:rFonts w:ascii="Arial"/>
                <w:sz w:val="21"/>
              </w:rPr>
            </w:pPr>
          </w:p>
        </w:tc>
        <w:tc>
          <w:tcPr>
            <w:tcW w:w="3270" w:type="dxa"/>
            <w:gridSpan w:val="2"/>
            <w:tcBorders>
              <w:top w:val="single" w:color="000000" w:sz="4" w:space="0"/>
            </w:tcBorders>
            <w:vAlign w:val="top"/>
          </w:tcPr>
          <w:p w14:paraId="633A5FE2">
            <w:pPr>
              <w:rPr>
                <w:rFonts w:ascii="Arial"/>
                <w:sz w:val="21"/>
              </w:rPr>
            </w:pPr>
          </w:p>
        </w:tc>
        <w:tc>
          <w:tcPr>
            <w:tcW w:w="790" w:type="dxa"/>
            <w:tcBorders>
              <w:top w:val="single" w:color="000000" w:sz="4" w:space="0"/>
            </w:tcBorders>
            <w:vAlign w:val="top"/>
          </w:tcPr>
          <w:p w14:paraId="4A564D1F">
            <w:pPr>
              <w:rPr>
                <w:rFonts w:ascii="Arial"/>
                <w:sz w:val="21"/>
              </w:rPr>
            </w:pPr>
          </w:p>
        </w:tc>
        <w:tc>
          <w:tcPr>
            <w:tcW w:w="1750" w:type="dxa"/>
            <w:tcBorders>
              <w:top w:val="single" w:color="000000" w:sz="4" w:space="0"/>
            </w:tcBorders>
            <w:vAlign w:val="top"/>
          </w:tcPr>
          <w:p w14:paraId="4EB6E65E">
            <w:pPr>
              <w:rPr>
                <w:rFonts w:ascii="Arial"/>
                <w:sz w:val="21"/>
              </w:rPr>
            </w:pPr>
          </w:p>
        </w:tc>
        <w:tc>
          <w:tcPr>
            <w:tcW w:w="1709" w:type="dxa"/>
            <w:tcBorders>
              <w:top w:val="single" w:color="000000" w:sz="4" w:space="0"/>
            </w:tcBorders>
            <w:vAlign w:val="top"/>
          </w:tcPr>
          <w:p w14:paraId="05FD64E1">
            <w:pPr>
              <w:rPr>
                <w:rFonts w:ascii="Arial"/>
                <w:sz w:val="21"/>
              </w:rPr>
            </w:pPr>
          </w:p>
        </w:tc>
      </w:tr>
      <w:tr w14:paraId="0E4318E9">
        <w:trPr>
          <w:trHeight w:val="499" w:hRule="atLeast"/>
        </w:trPr>
        <w:tc>
          <w:tcPr>
            <w:tcW w:w="1420" w:type="dxa"/>
            <w:vAlign w:val="top"/>
          </w:tcPr>
          <w:p w14:paraId="2264D8AA">
            <w:pPr>
              <w:pStyle w:val="6"/>
              <w:spacing w:before="164" w:line="219" w:lineRule="auto"/>
              <w:ind w:left="20"/>
            </w:pPr>
            <w:r>
              <w:rPr>
                <w:spacing w:val="4"/>
              </w:rPr>
              <w:t>饮水型</w:t>
            </w:r>
          </w:p>
        </w:tc>
        <w:tc>
          <w:tcPr>
            <w:tcW w:w="920" w:type="dxa"/>
            <w:vAlign w:val="top"/>
          </w:tcPr>
          <w:p w14:paraId="1755DFEF">
            <w:pPr>
              <w:pStyle w:val="6"/>
              <w:spacing w:before="184" w:line="241" w:lineRule="auto"/>
              <w:ind w:left="359"/>
            </w:pPr>
            <w:r>
              <w:rPr>
                <w:spacing w:val="-6"/>
              </w:rPr>
              <w:t>11</w:t>
            </w:r>
          </w:p>
        </w:tc>
        <w:tc>
          <w:tcPr>
            <w:tcW w:w="1720" w:type="dxa"/>
            <w:vAlign w:val="top"/>
          </w:tcPr>
          <w:p w14:paraId="5F6F396D">
            <w:pPr>
              <w:pStyle w:val="6"/>
              <w:spacing w:before="184" w:line="239" w:lineRule="auto"/>
              <w:ind w:left="209"/>
            </w:pPr>
            <w:r>
              <w:rPr>
                <w:spacing w:val="-4"/>
              </w:rPr>
              <w:t>15.70</w:t>
            </w:r>
          </w:p>
        </w:tc>
        <w:tc>
          <w:tcPr>
            <w:tcW w:w="1940" w:type="dxa"/>
            <w:vAlign w:val="top"/>
          </w:tcPr>
          <w:p w14:paraId="57F0CA6A">
            <w:pPr>
              <w:pStyle w:val="6"/>
              <w:spacing w:before="183"/>
              <w:ind w:left="119"/>
            </w:pPr>
            <w:r>
              <w:rPr>
                <w:spacing w:val="-3"/>
              </w:rPr>
              <w:t>3461</w:t>
            </w:r>
          </w:p>
        </w:tc>
        <w:tc>
          <w:tcPr>
            <w:tcW w:w="730" w:type="dxa"/>
            <w:vAlign w:val="top"/>
          </w:tcPr>
          <w:p w14:paraId="232D058A">
            <w:pPr>
              <w:pStyle w:val="6"/>
              <w:spacing w:before="183"/>
              <w:ind w:left="420"/>
            </w:pPr>
            <w:r>
              <w:rPr>
                <w:spacing w:val="-2"/>
              </w:rPr>
              <w:t>47</w:t>
            </w:r>
          </w:p>
        </w:tc>
        <w:tc>
          <w:tcPr>
            <w:tcW w:w="3270" w:type="dxa"/>
            <w:gridSpan w:val="2"/>
            <w:vAlign w:val="top"/>
          </w:tcPr>
          <w:p w14:paraId="0D84CDFE">
            <w:pPr>
              <w:pStyle w:val="6"/>
              <w:spacing w:before="184" w:line="239" w:lineRule="auto"/>
              <w:ind w:left="149"/>
            </w:pPr>
            <w:r>
              <w:rPr>
                <w:spacing w:val="-3"/>
              </w:rPr>
              <w:t>45.9</w:t>
            </w:r>
            <w:r>
              <w:rPr>
                <w:spacing w:val="2"/>
              </w:rPr>
              <w:t xml:space="preserve">         </w:t>
            </w:r>
            <w:r>
              <w:rPr>
                <w:spacing w:val="-3"/>
              </w:rPr>
              <w:t>15155</w:t>
            </w:r>
          </w:p>
        </w:tc>
        <w:tc>
          <w:tcPr>
            <w:tcW w:w="790" w:type="dxa"/>
            <w:vAlign w:val="top"/>
          </w:tcPr>
          <w:p w14:paraId="4D5057C6">
            <w:pPr>
              <w:pStyle w:val="6"/>
              <w:spacing w:before="183"/>
              <w:ind w:left="20"/>
            </w:pPr>
            <w:r>
              <w:rPr>
                <w:spacing w:val="-6"/>
              </w:rPr>
              <w:t>120</w:t>
            </w:r>
          </w:p>
        </w:tc>
        <w:tc>
          <w:tcPr>
            <w:tcW w:w="1750" w:type="dxa"/>
            <w:vAlign w:val="top"/>
          </w:tcPr>
          <w:p w14:paraId="3E6B25EC">
            <w:pPr>
              <w:pStyle w:val="6"/>
              <w:spacing w:before="184" w:line="239" w:lineRule="auto"/>
              <w:ind w:left="189"/>
            </w:pPr>
            <w:r>
              <w:rPr>
                <w:spacing w:val="-4"/>
              </w:rPr>
              <w:t>156.8</w:t>
            </w:r>
          </w:p>
        </w:tc>
        <w:tc>
          <w:tcPr>
            <w:tcW w:w="1709" w:type="dxa"/>
            <w:vAlign w:val="top"/>
          </w:tcPr>
          <w:p w14:paraId="2BF2A1F8">
            <w:pPr>
              <w:pStyle w:val="6"/>
              <w:spacing w:before="183"/>
              <w:ind w:left="99"/>
            </w:pPr>
            <w:r>
              <w:rPr>
                <w:spacing w:val="-2"/>
              </w:rPr>
              <w:t>4361</w:t>
            </w:r>
          </w:p>
        </w:tc>
      </w:tr>
      <w:tr w14:paraId="04DF0565">
        <w:trPr>
          <w:trHeight w:val="483" w:hRule="atLeast"/>
        </w:trPr>
        <w:tc>
          <w:tcPr>
            <w:tcW w:w="1420" w:type="dxa"/>
            <w:vAlign w:val="top"/>
          </w:tcPr>
          <w:p w14:paraId="75021BD2">
            <w:pPr>
              <w:pStyle w:val="6"/>
              <w:spacing w:before="155" w:line="220" w:lineRule="auto"/>
              <w:ind w:left="20"/>
            </w:pPr>
            <w:r>
              <w:rPr>
                <w:spacing w:val="2"/>
              </w:rPr>
              <w:t>燃煤污染型</w:t>
            </w:r>
          </w:p>
        </w:tc>
        <w:tc>
          <w:tcPr>
            <w:tcW w:w="920" w:type="dxa"/>
            <w:vAlign w:val="top"/>
          </w:tcPr>
          <w:p w14:paraId="18BB7351">
            <w:pPr>
              <w:pStyle w:val="6"/>
              <w:spacing w:before="175" w:line="241" w:lineRule="auto"/>
              <w:ind w:left="410"/>
            </w:pPr>
            <w:r>
              <w:t>4</w:t>
            </w:r>
          </w:p>
        </w:tc>
        <w:tc>
          <w:tcPr>
            <w:tcW w:w="1720" w:type="dxa"/>
            <w:vAlign w:val="top"/>
          </w:tcPr>
          <w:p w14:paraId="6AE19633">
            <w:pPr>
              <w:pStyle w:val="6"/>
              <w:spacing w:before="175" w:line="239" w:lineRule="auto"/>
              <w:ind w:left="209"/>
            </w:pPr>
            <w:r>
              <w:rPr>
                <w:spacing w:val="-3"/>
              </w:rPr>
              <w:t>3.31</w:t>
            </w:r>
          </w:p>
        </w:tc>
        <w:tc>
          <w:tcPr>
            <w:tcW w:w="1940" w:type="dxa"/>
            <w:vAlign w:val="top"/>
          </w:tcPr>
          <w:p w14:paraId="40D0EA02">
            <w:pPr>
              <w:pStyle w:val="6"/>
              <w:spacing w:before="174"/>
              <w:ind w:left="119"/>
            </w:pPr>
            <w:r>
              <w:rPr>
                <w:spacing w:val="-2"/>
              </w:rPr>
              <w:t>2240</w:t>
            </w:r>
          </w:p>
        </w:tc>
        <w:tc>
          <w:tcPr>
            <w:tcW w:w="730" w:type="dxa"/>
            <w:vAlign w:val="top"/>
          </w:tcPr>
          <w:p w14:paraId="6D55DC0D">
            <w:pPr>
              <w:pStyle w:val="6"/>
              <w:spacing w:before="175" w:line="241" w:lineRule="auto"/>
              <w:ind w:left="420"/>
            </w:pPr>
            <w:r>
              <w:rPr>
                <w:spacing w:val="-6"/>
              </w:rPr>
              <w:t>12</w:t>
            </w:r>
          </w:p>
        </w:tc>
        <w:tc>
          <w:tcPr>
            <w:tcW w:w="3270" w:type="dxa"/>
            <w:gridSpan w:val="2"/>
            <w:vAlign w:val="top"/>
          </w:tcPr>
          <w:p w14:paraId="274F0620">
            <w:pPr>
              <w:pStyle w:val="6"/>
              <w:spacing w:before="174"/>
              <w:ind w:left="149"/>
            </w:pPr>
            <w:r>
              <w:rPr>
                <w:spacing w:val="-4"/>
              </w:rPr>
              <w:t>89</w:t>
            </w:r>
            <w:r>
              <w:rPr>
                <w:spacing w:val="1"/>
              </w:rPr>
              <w:t xml:space="preserve">           </w:t>
            </w:r>
            <w:r>
              <w:rPr>
                <w:spacing w:val="-4"/>
              </w:rPr>
              <w:t>18628</w:t>
            </w:r>
          </w:p>
        </w:tc>
        <w:tc>
          <w:tcPr>
            <w:tcW w:w="790" w:type="dxa"/>
            <w:vAlign w:val="top"/>
          </w:tcPr>
          <w:p w14:paraId="7A9FB5DF">
            <w:pPr>
              <w:pStyle w:val="6"/>
              <w:spacing w:before="175" w:line="241" w:lineRule="auto"/>
              <w:ind w:left="20"/>
            </w:pPr>
            <w:r>
              <w:rPr>
                <w:spacing w:val="-6"/>
              </w:rPr>
              <w:t>12</w:t>
            </w:r>
          </w:p>
        </w:tc>
        <w:tc>
          <w:tcPr>
            <w:tcW w:w="1750" w:type="dxa"/>
            <w:vAlign w:val="top"/>
          </w:tcPr>
          <w:p w14:paraId="7CD3A696">
            <w:pPr>
              <w:pStyle w:val="6"/>
              <w:spacing w:before="175" w:line="239" w:lineRule="auto"/>
              <w:ind w:left="189"/>
            </w:pPr>
            <w:r>
              <w:rPr>
                <w:spacing w:val="-2"/>
              </w:rPr>
              <w:t>216.1</w:t>
            </w:r>
          </w:p>
        </w:tc>
        <w:tc>
          <w:tcPr>
            <w:tcW w:w="1709" w:type="dxa"/>
            <w:vAlign w:val="top"/>
          </w:tcPr>
          <w:p w14:paraId="428F567B">
            <w:pPr>
              <w:pStyle w:val="6"/>
              <w:spacing w:before="174"/>
              <w:ind w:left="99"/>
            </w:pPr>
            <w:r>
              <w:rPr>
                <w:spacing w:val="-3"/>
              </w:rPr>
              <w:t>3586</w:t>
            </w:r>
          </w:p>
        </w:tc>
      </w:tr>
      <w:tr w14:paraId="15D96830">
        <w:trPr>
          <w:trHeight w:val="480" w:hRule="atLeast"/>
        </w:trPr>
        <w:tc>
          <w:tcPr>
            <w:tcW w:w="1420" w:type="dxa"/>
            <w:vAlign w:val="top"/>
          </w:tcPr>
          <w:p w14:paraId="224EE06B">
            <w:pPr>
              <w:pStyle w:val="6"/>
              <w:spacing w:before="152" w:line="219" w:lineRule="auto"/>
              <w:ind w:left="20"/>
            </w:pPr>
            <w:r>
              <w:rPr>
                <w:spacing w:val="4"/>
              </w:rPr>
              <w:t>克山病</w:t>
            </w:r>
          </w:p>
        </w:tc>
        <w:tc>
          <w:tcPr>
            <w:tcW w:w="920" w:type="dxa"/>
            <w:vAlign w:val="top"/>
          </w:tcPr>
          <w:p w14:paraId="1AC5E87C">
            <w:pPr>
              <w:pStyle w:val="6"/>
              <w:spacing w:before="171"/>
              <w:ind w:left="309"/>
            </w:pPr>
            <w:r>
              <w:rPr>
                <w:spacing w:val="-3"/>
              </w:rPr>
              <w:t>327</w:t>
            </w:r>
          </w:p>
        </w:tc>
        <w:tc>
          <w:tcPr>
            <w:tcW w:w="1720" w:type="dxa"/>
            <w:vAlign w:val="top"/>
          </w:tcPr>
          <w:p w14:paraId="700FEE50">
            <w:pPr>
              <w:pStyle w:val="6"/>
              <w:spacing w:before="171" w:line="239" w:lineRule="auto"/>
              <w:ind w:left="209"/>
            </w:pPr>
            <w:r>
              <w:rPr>
                <w:spacing w:val="-2"/>
              </w:rPr>
              <w:t>5463.13</w:t>
            </w:r>
          </w:p>
        </w:tc>
        <w:tc>
          <w:tcPr>
            <w:tcW w:w="1940" w:type="dxa"/>
            <w:vAlign w:val="top"/>
          </w:tcPr>
          <w:p w14:paraId="0F966439">
            <w:pPr>
              <w:pStyle w:val="6"/>
              <w:spacing w:before="171"/>
              <w:ind w:left="119"/>
            </w:pPr>
            <w:r>
              <w:rPr>
                <w:spacing w:val="-2"/>
              </w:rPr>
              <w:t>52822</w:t>
            </w:r>
          </w:p>
        </w:tc>
        <w:tc>
          <w:tcPr>
            <w:tcW w:w="730" w:type="dxa"/>
            <w:vAlign w:val="top"/>
          </w:tcPr>
          <w:p w14:paraId="091C0A46">
            <w:pPr>
              <w:pStyle w:val="6"/>
              <w:spacing w:before="171"/>
              <w:ind w:left="319"/>
            </w:pPr>
            <w:r>
              <w:rPr>
                <w:spacing w:val="-3"/>
              </w:rPr>
              <w:t>327</w:t>
            </w:r>
          </w:p>
        </w:tc>
        <w:tc>
          <w:tcPr>
            <w:tcW w:w="3270" w:type="dxa"/>
            <w:gridSpan w:val="2"/>
            <w:vAlign w:val="top"/>
          </w:tcPr>
          <w:p w14:paraId="173D4D22">
            <w:pPr>
              <w:pStyle w:val="6"/>
              <w:spacing w:before="171" w:line="239" w:lineRule="auto"/>
              <w:ind w:left="149"/>
            </w:pPr>
            <w:r>
              <w:rPr>
                <w:spacing w:val="-2"/>
              </w:rPr>
              <w:t>6189.2</w:t>
            </w:r>
            <w:r>
              <w:rPr>
                <w:spacing w:val="3"/>
              </w:rPr>
              <w:t xml:space="preserve">       </w:t>
            </w:r>
            <w:r>
              <w:rPr>
                <w:spacing w:val="-2"/>
              </w:rPr>
              <w:t>37970</w:t>
            </w:r>
          </w:p>
        </w:tc>
        <w:tc>
          <w:tcPr>
            <w:tcW w:w="790" w:type="dxa"/>
            <w:vAlign w:val="top"/>
          </w:tcPr>
          <w:p w14:paraId="0B22B67F">
            <w:pPr>
              <w:pStyle w:val="6"/>
              <w:spacing w:before="171"/>
              <w:ind w:left="20"/>
            </w:pPr>
            <w:r>
              <w:rPr>
                <w:spacing w:val="-3"/>
              </w:rPr>
              <w:t>330</w:t>
            </w:r>
          </w:p>
        </w:tc>
        <w:tc>
          <w:tcPr>
            <w:tcW w:w="1750" w:type="dxa"/>
            <w:vAlign w:val="top"/>
          </w:tcPr>
          <w:p w14:paraId="3399A5B4">
            <w:pPr>
              <w:pStyle w:val="6"/>
              <w:spacing w:before="171" w:line="239" w:lineRule="auto"/>
              <w:ind w:left="189"/>
            </w:pPr>
            <w:r>
              <w:rPr>
                <w:spacing w:val="-2"/>
              </w:rPr>
              <w:t>5616.1</w:t>
            </w:r>
          </w:p>
        </w:tc>
        <w:tc>
          <w:tcPr>
            <w:tcW w:w="1709" w:type="dxa"/>
            <w:vAlign w:val="top"/>
          </w:tcPr>
          <w:p w14:paraId="4EEF305C">
            <w:pPr>
              <w:pStyle w:val="6"/>
              <w:spacing w:before="171"/>
              <w:ind w:left="99"/>
            </w:pPr>
            <w:r>
              <w:rPr>
                <w:spacing w:val="-2"/>
              </w:rPr>
              <w:t>4091</w:t>
            </w:r>
          </w:p>
        </w:tc>
      </w:tr>
      <w:tr w14:paraId="2DD5B502">
        <w:trPr>
          <w:trHeight w:val="468" w:hRule="atLeast"/>
        </w:trPr>
        <w:tc>
          <w:tcPr>
            <w:tcW w:w="1420" w:type="dxa"/>
            <w:tcBorders>
              <w:bottom w:val="single" w:color="000000" w:sz="4" w:space="0"/>
            </w:tcBorders>
            <w:vAlign w:val="top"/>
          </w:tcPr>
          <w:p w14:paraId="4E375F76">
            <w:pPr>
              <w:pStyle w:val="6"/>
              <w:spacing w:before="152" w:line="219" w:lineRule="auto"/>
              <w:ind w:left="20"/>
            </w:pPr>
            <w:r>
              <w:rPr>
                <w:spacing w:val="3"/>
              </w:rPr>
              <w:t>大骨节病</w:t>
            </w:r>
          </w:p>
        </w:tc>
        <w:tc>
          <w:tcPr>
            <w:tcW w:w="920" w:type="dxa"/>
            <w:tcBorders>
              <w:bottom w:val="single" w:color="000000" w:sz="4" w:space="0"/>
            </w:tcBorders>
            <w:vAlign w:val="top"/>
          </w:tcPr>
          <w:p w14:paraId="1D876E4C">
            <w:pPr>
              <w:pStyle w:val="6"/>
              <w:spacing w:before="171"/>
              <w:ind w:left="309"/>
            </w:pPr>
            <w:r>
              <w:rPr>
                <w:spacing w:val="-3"/>
              </w:rPr>
              <w:t>334</w:t>
            </w:r>
          </w:p>
        </w:tc>
        <w:tc>
          <w:tcPr>
            <w:tcW w:w="1720" w:type="dxa"/>
            <w:tcBorders>
              <w:bottom w:val="single" w:color="000000" w:sz="4" w:space="0"/>
            </w:tcBorders>
            <w:vAlign w:val="top"/>
          </w:tcPr>
          <w:p w14:paraId="4E5B4BEA">
            <w:pPr>
              <w:pStyle w:val="6"/>
              <w:spacing w:before="172" w:line="239" w:lineRule="auto"/>
              <w:ind w:left="209"/>
            </w:pPr>
            <w:r>
              <w:rPr>
                <w:spacing w:val="-2"/>
              </w:rPr>
              <w:t>3705.12</w:t>
            </w:r>
          </w:p>
        </w:tc>
        <w:tc>
          <w:tcPr>
            <w:tcW w:w="1940" w:type="dxa"/>
            <w:tcBorders>
              <w:bottom w:val="single" w:color="000000" w:sz="4" w:space="0"/>
            </w:tcBorders>
            <w:vAlign w:val="top"/>
          </w:tcPr>
          <w:p w14:paraId="1B622827">
            <w:pPr>
              <w:pStyle w:val="6"/>
              <w:spacing w:before="171"/>
              <w:ind w:left="119"/>
            </w:pPr>
            <w:r>
              <w:rPr>
                <w:spacing w:val="-3"/>
              </w:rPr>
              <w:t>1051235</w:t>
            </w:r>
          </w:p>
        </w:tc>
        <w:tc>
          <w:tcPr>
            <w:tcW w:w="730" w:type="dxa"/>
            <w:tcBorders>
              <w:bottom w:val="single" w:color="000000" w:sz="4" w:space="0"/>
            </w:tcBorders>
            <w:vAlign w:val="top"/>
          </w:tcPr>
          <w:p w14:paraId="177ADA5F">
            <w:pPr>
              <w:pStyle w:val="6"/>
              <w:spacing w:before="171"/>
              <w:ind w:left="319"/>
            </w:pPr>
            <w:r>
              <w:rPr>
                <w:spacing w:val="-3"/>
              </w:rPr>
              <w:t>378</w:t>
            </w:r>
          </w:p>
        </w:tc>
        <w:tc>
          <w:tcPr>
            <w:tcW w:w="3270" w:type="dxa"/>
            <w:gridSpan w:val="2"/>
            <w:tcBorders>
              <w:bottom w:val="single" w:color="000000" w:sz="4" w:space="0"/>
            </w:tcBorders>
            <w:vAlign w:val="top"/>
          </w:tcPr>
          <w:p w14:paraId="7B797EF6">
            <w:pPr>
              <w:pStyle w:val="6"/>
              <w:spacing w:before="172" w:line="239" w:lineRule="auto"/>
              <w:ind w:left="149"/>
            </w:pPr>
            <w:r>
              <w:rPr>
                <w:spacing w:val="-2"/>
              </w:rPr>
              <w:t>3771.5</w:t>
            </w:r>
            <w:r>
              <w:rPr>
                <w:spacing w:val="3"/>
              </w:rPr>
              <w:t xml:space="preserve">       </w:t>
            </w:r>
            <w:r>
              <w:rPr>
                <w:spacing w:val="-2"/>
              </w:rPr>
              <w:t>611187</w:t>
            </w:r>
          </w:p>
        </w:tc>
        <w:tc>
          <w:tcPr>
            <w:tcW w:w="790" w:type="dxa"/>
            <w:tcBorders>
              <w:bottom w:val="single" w:color="000000" w:sz="4" w:space="0"/>
            </w:tcBorders>
            <w:vAlign w:val="top"/>
          </w:tcPr>
          <w:p w14:paraId="62FE60ED">
            <w:pPr>
              <w:pStyle w:val="6"/>
              <w:spacing w:before="171"/>
              <w:ind w:left="20"/>
            </w:pPr>
            <w:r>
              <w:rPr>
                <w:spacing w:val="-3"/>
              </w:rPr>
              <w:t>379</w:t>
            </w:r>
          </w:p>
        </w:tc>
        <w:tc>
          <w:tcPr>
            <w:tcW w:w="1750" w:type="dxa"/>
            <w:tcBorders>
              <w:bottom w:val="single" w:color="000000" w:sz="4" w:space="0"/>
            </w:tcBorders>
            <w:vAlign w:val="top"/>
          </w:tcPr>
          <w:p w14:paraId="632E69DD">
            <w:pPr>
              <w:pStyle w:val="6"/>
              <w:spacing w:before="172" w:line="239" w:lineRule="auto"/>
              <w:ind w:left="189"/>
            </w:pPr>
            <w:r>
              <w:rPr>
                <w:spacing w:val="-2"/>
              </w:rPr>
              <w:t>3250.8</w:t>
            </w:r>
          </w:p>
        </w:tc>
        <w:tc>
          <w:tcPr>
            <w:tcW w:w="1709" w:type="dxa"/>
            <w:tcBorders>
              <w:bottom w:val="single" w:color="000000" w:sz="4" w:space="0"/>
            </w:tcBorders>
            <w:vAlign w:val="top"/>
          </w:tcPr>
          <w:p w14:paraId="60983D5B">
            <w:pPr>
              <w:pStyle w:val="6"/>
              <w:spacing w:before="171"/>
              <w:ind w:left="99"/>
            </w:pPr>
            <w:r>
              <w:rPr>
                <w:spacing w:val="-4"/>
              </w:rPr>
              <w:t>171212</w:t>
            </w:r>
          </w:p>
        </w:tc>
      </w:tr>
    </w:tbl>
    <w:p w14:paraId="20F331E1">
      <w:pPr>
        <w:spacing w:before="63" w:line="279" w:lineRule="auto"/>
        <w:ind w:left="399" w:right="747" w:firstLine="40"/>
        <w:rPr>
          <w:rFonts w:ascii="宋体" w:hAnsi="宋体" w:eastAsia="宋体" w:cs="宋体"/>
          <w:sz w:val="17"/>
          <w:szCs w:val="17"/>
        </w:rPr>
      </w:pPr>
      <w:r>
        <w:rPr>
          <w:rFonts w:ascii="宋体" w:hAnsi="宋体" w:eastAsia="宋体" w:cs="宋体"/>
          <w:spacing w:val="-21"/>
          <w:w w:val="98"/>
          <w:sz w:val="20"/>
          <w:szCs w:val="20"/>
        </w:rPr>
        <w:t>注：°数据来源于1995年度全国地方病防治工作年报表(卫生部地方病防治司)、《2015中国卫生统计年鉴》(国家卫生</w:t>
      </w:r>
      <w:r>
        <w:rPr>
          <w:rFonts w:ascii="宋体" w:hAnsi="宋体" w:eastAsia="宋体" w:cs="宋体"/>
          <w:spacing w:val="-22"/>
          <w:w w:val="98"/>
          <w:sz w:val="20"/>
          <w:szCs w:val="20"/>
        </w:rPr>
        <w:t>和计划生育委员会)和《2022中国卫生健康统计年鉴》(只公布Ⅱ度地方</w:t>
      </w:r>
      <w:r>
        <w:rPr>
          <w:rFonts w:ascii="宋体" w:hAnsi="宋体" w:eastAsia="宋体" w:cs="宋体"/>
          <w:sz w:val="20"/>
          <w:szCs w:val="20"/>
        </w:rPr>
        <w:t xml:space="preserve"> </w:t>
      </w:r>
      <w:r>
        <w:rPr>
          <w:rFonts w:ascii="宋体" w:hAnsi="宋体" w:eastAsia="宋体" w:cs="宋体"/>
          <w:spacing w:val="1"/>
          <w:sz w:val="17"/>
          <w:szCs w:val="17"/>
        </w:rPr>
        <w:t>性甲状腺肿数据，国家卫生健康委员会)。</w:t>
      </w:r>
    </w:p>
    <w:p w14:paraId="03644272">
      <w:pPr>
        <w:spacing w:line="220" w:lineRule="auto"/>
        <w:ind w:left="859"/>
        <w:rPr>
          <w:rFonts w:ascii="宋体" w:hAnsi="宋体" w:eastAsia="宋体" w:cs="宋体"/>
          <w:sz w:val="17"/>
          <w:szCs w:val="17"/>
        </w:rPr>
      </w:pPr>
      <w:r>
        <w:rPr>
          <w:rFonts w:ascii="宋体" w:hAnsi="宋体" w:eastAsia="宋体" w:cs="宋体"/>
          <w:sz w:val="17"/>
          <w:szCs w:val="17"/>
        </w:rPr>
        <w:t>由于碘缺乏病监测范围广，因此用工作县。</w:t>
      </w:r>
    </w:p>
    <w:p w14:paraId="66E6CC11">
      <w:pPr>
        <w:spacing w:line="220" w:lineRule="auto"/>
        <w:rPr>
          <w:rFonts w:ascii="宋体" w:hAnsi="宋体" w:eastAsia="宋体" w:cs="宋体"/>
          <w:sz w:val="17"/>
          <w:szCs w:val="17"/>
        </w:rPr>
        <w:sectPr>
          <w:footerReference r:id="rId381" w:type="default"/>
          <w:pgSz w:w="16820" w:h="11900"/>
          <w:pgMar w:top="400" w:right="506" w:bottom="400" w:left="900" w:header="0" w:footer="0" w:gutter="0"/>
          <w:cols w:space="720" w:num="1"/>
        </w:sectPr>
      </w:pPr>
    </w:p>
    <w:p w14:paraId="7F5F47D4">
      <w:pPr>
        <w:spacing w:line="279" w:lineRule="auto"/>
        <w:rPr>
          <w:rFonts w:ascii="Arial"/>
          <w:sz w:val="21"/>
        </w:rPr>
      </w:pPr>
    </w:p>
    <w:p w14:paraId="1C9BB44B">
      <w:pPr>
        <w:pStyle w:val="2"/>
        <w:spacing w:before="65" w:line="221" w:lineRule="auto"/>
        <w:ind w:left="7019"/>
        <w:rPr>
          <w:sz w:val="20"/>
          <w:szCs w:val="20"/>
        </w:rPr>
      </w:pPr>
      <w:r>
        <w:rPr>
          <w:spacing w:val="-20"/>
          <w:sz w:val="20"/>
          <w:szCs w:val="20"/>
        </w:rPr>
        <w:t>第二十四章 地方病</w:t>
      </w:r>
    </w:p>
    <w:p w14:paraId="49A73543">
      <w:pPr>
        <w:spacing w:line="283" w:lineRule="auto"/>
        <w:rPr>
          <w:rFonts w:ascii="Arial"/>
          <w:sz w:val="21"/>
        </w:rPr>
      </w:pPr>
    </w:p>
    <w:p w14:paraId="6571F472">
      <w:pPr>
        <w:spacing w:line="283" w:lineRule="auto"/>
        <w:rPr>
          <w:rFonts w:ascii="Arial"/>
          <w:sz w:val="21"/>
        </w:rPr>
      </w:pPr>
    </w:p>
    <w:p w14:paraId="5CDB9BB3">
      <w:pPr>
        <w:spacing w:line="283" w:lineRule="auto"/>
        <w:rPr>
          <w:rFonts w:ascii="Arial"/>
          <w:sz w:val="21"/>
        </w:rPr>
      </w:pPr>
    </w:p>
    <w:p w14:paraId="40545D95">
      <w:pPr>
        <w:pStyle w:val="2"/>
        <w:spacing w:before="95" w:line="221" w:lineRule="auto"/>
        <w:ind w:left="3173"/>
        <w:outlineLvl w:val="1"/>
        <w:rPr>
          <w:sz w:val="29"/>
          <w:szCs w:val="29"/>
        </w:rPr>
      </w:pPr>
      <w:bookmarkStart w:id="614" w:name="bookmark394"/>
      <w:bookmarkEnd w:id="614"/>
      <w:r>
        <w:rPr>
          <w:b/>
          <w:bCs/>
          <w:spacing w:val="-10"/>
          <w:sz w:val="29"/>
          <w:szCs w:val="29"/>
        </w:rPr>
        <w:t>第二节</w:t>
      </w:r>
      <w:r>
        <w:rPr>
          <w:spacing w:val="126"/>
          <w:sz w:val="29"/>
          <w:szCs w:val="29"/>
        </w:rPr>
        <w:t xml:space="preserve"> </w:t>
      </w:r>
      <w:r>
        <w:rPr>
          <w:b/>
          <w:bCs/>
          <w:spacing w:val="-10"/>
          <w:sz w:val="29"/>
          <w:szCs w:val="29"/>
        </w:rPr>
        <w:t>碘缺乏病</w:t>
      </w:r>
    </w:p>
    <w:p w14:paraId="78047412">
      <w:pPr>
        <w:spacing w:line="325" w:lineRule="auto"/>
        <w:rPr>
          <w:rFonts w:ascii="Arial"/>
          <w:sz w:val="21"/>
        </w:rPr>
      </w:pPr>
    </w:p>
    <w:p w14:paraId="6D0E0F9C">
      <w:pPr>
        <w:spacing w:before="65" w:line="341" w:lineRule="auto"/>
        <w:ind w:right="634" w:firstLine="409"/>
        <w:jc w:val="both"/>
        <w:rPr>
          <w:rFonts w:ascii="宋体" w:hAnsi="宋体" w:eastAsia="宋体" w:cs="宋体"/>
          <w:sz w:val="20"/>
          <w:szCs w:val="20"/>
        </w:rPr>
      </w:pPr>
      <w:r>
        <w:rPr>
          <w:rFonts w:ascii="宋体" w:hAnsi="宋体" w:eastAsia="宋体" w:cs="宋体"/>
          <w:spacing w:val="-2"/>
          <w:sz w:val="20"/>
          <w:szCs w:val="20"/>
        </w:rPr>
        <w:t>碘是人体必需的一种微量元素，当机体摄人不足时，会出现一系列的障碍。早期，人们对碘缺</w:t>
      </w:r>
      <w:r>
        <w:rPr>
          <w:rFonts w:ascii="宋体" w:hAnsi="宋体" w:eastAsia="宋体" w:cs="宋体"/>
          <w:spacing w:val="8"/>
          <w:sz w:val="20"/>
          <w:szCs w:val="20"/>
        </w:rPr>
        <w:t xml:space="preserve"> </w:t>
      </w:r>
      <w:r>
        <w:rPr>
          <w:rFonts w:ascii="宋体" w:hAnsi="宋体" w:eastAsia="宋体" w:cs="宋体"/>
          <w:spacing w:val="3"/>
          <w:sz w:val="20"/>
          <w:szCs w:val="20"/>
        </w:rPr>
        <w:t>乏造成影响的认识基本限于地方性甲状腺肿和</w:t>
      </w:r>
      <w:r>
        <w:rPr>
          <w:rFonts w:ascii="宋体" w:hAnsi="宋体" w:eastAsia="宋体" w:cs="宋体"/>
          <w:spacing w:val="2"/>
          <w:sz w:val="20"/>
          <w:szCs w:val="20"/>
        </w:rPr>
        <w:t>地方性克汀病。1983年，</w:t>
      </w:r>
      <w:r>
        <w:rPr>
          <w:rFonts w:ascii="Times New Roman" w:hAnsi="Times New Roman" w:eastAsia="Times New Roman" w:cs="Times New Roman"/>
          <w:sz w:val="20"/>
          <w:szCs w:val="20"/>
        </w:rPr>
        <w:t>Basil</w:t>
      </w:r>
      <w:r>
        <w:rPr>
          <w:rFonts w:ascii="Times New Roman" w:hAnsi="Times New Roman" w:eastAsia="Times New Roman" w:cs="Times New Roman"/>
          <w:spacing w:val="2"/>
          <w:sz w:val="20"/>
          <w:szCs w:val="20"/>
        </w:rPr>
        <w:t xml:space="preserve">  </w:t>
      </w:r>
      <w:r>
        <w:rPr>
          <w:rFonts w:ascii="Times New Roman" w:hAnsi="Times New Roman" w:eastAsia="Times New Roman" w:cs="Times New Roman"/>
          <w:sz w:val="20"/>
          <w:szCs w:val="20"/>
        </w:rPr>
        <w:t>Hetzel</w:t>
      </w:r>
      <w:r>
        <w:rPr>
          <w:rFonts w:ascii="宋体" w:hAnsi="宋体" w:eastAsia="宋体" w:cs="宋体"/>
          <w:spacing w:val="2"/>
          <w:sz w:val="20"/>
          <w:szCs w:val="20"/>
        </w:rPr>
        <w:t>教授提出了碘</w:t>
      </w:r>
      <w:r>
        <w:rPr>
          <w:rFonts w:ascii="宋体" w:hAnsi="宋体" w:eastAsia="宋体" w:cs="宋体"/>
          <w:sz w:val="20"/>
          <w:szCs w:val="20"/>
        </w:rPr>
        <w:t xml:space="preserve"> </w:t>
      </w:r>
      <w:r>
        <w:rPr>
          <w:rFonts w:ascii="宋体" w:hAnsi="宋体" w:eastAsia="宋体" w:cs="宋体"/>
          <w:spacing w:val="2"/>
          <w:sz w:val="20"/>
          <w:szCs w:val="20"/>
        </w:rPr>
        <w:t>缺乏病</w:t>
      </w:r>
      <w:r>
        <w:rPr>
          <w:rFonts w:ascii="Times New Roman" w:hAnsi="Times New Roman" w:eastAsia="Times New Roman" w:cs="Times New Roman"/>
          <w:spacing w:val="2"/>
          <w:sz w:val="20"/>
          <w:szCs w:val="20"/>
        </w:rPr>
        <w:t>(</w:t>
      </w:r>
      <w:r>
        <w:rPr>
          <w:rFonts w:ascii="Times New Roman" w:hAnsi="Times New Roman" w:eastAsia="Times New Roman" w:cs="Times New Roman"/>
          <w:sz w:val="20"/>
          <w:szCs w:val="20"/>
        </w:rPr>
        <w:t>iodine</w:t>
      </w:r>
      <w:r>
        <w:rPr>
          <w:rFonts w:ascii="Times New Roman" w:hAnsi="Times New Roman" w:eastAsia="Times New Roman" w:cs="Times New Roman"/>
          <w:spacing w:val="2"/>
          <w:sz w:val="20"/>
          <w:szCs w:val="20"/>
        </w:rPr>
        <w:t xml:space="preserve">   </w:t>
      </w:r>
      <w:r>
        <w:rPr>
          <w:rFonts w:ascii="Times New Roman" w:hAnsi="Times New Roman" w:eastAsia="Times New Roman" w:cs="Times New Roman"/>
          <w:sz w:val="20"/>
          <w:szCs w:val="20"/>
        </w:rPr>
        <w:t>deficiency</w:t>
      </w:r>
      <w:r>
        <w:rPr>
          <w:rFonts w:ascii="Times New Roman" w:hAnsi="Times New Roman" w:eastAsia="Times New Roman" w:cs="Times New Roman"/>
          <w:spacing w:val="2"/>
          <w:sz w:val="20"/>
          <w:szCs w:val="20"/>
        </w:rPr>
        <w:t xml:space="preserve">   </w:t>
      </w:r>
      <w:r>
        <w:rPr>
          <w:rFonts w:ascii="Times New Roman" w:hAnsi="Times New Roman" w:eastAsia="Times New Roman" w:cs="Times New Roman"/>
          <w:sz w:val="20"/>
          <w:szCs w:val="20"/>
        </w:rPr>
        <w:t>disorder</w:t>
      </w:r>
      <w:r>
        <w:rPr>
          <w:rFonts w:ascii="Times New Roman" w:hAnsi="Times New Roman" w:eastAsia="Times New Roman" w:cs="Times New Roman"/>
          <w:spacing w:val="2"/>
          <w:sz w:val="20"/>
          <w:szCs w:val="20"/>
        </w:rPr>
        <w:t>,</w:t>
      </w:r>
      <w:r>
        <w:rPr>
          <w:rFonts w:ascii="Times New Roman" w:hAnsi="Times New Roman" w:eastAsia="Times New Roman" w:cs="Times New Roman"/>
          <w:sz w:val="20"/>
          <w:szCs w:val="20"/>
        </w:rPr>
        <w:t>IDD</w:t>
      </w:r>
      <w:r>
        <w:rPr>
          <w:rFonts w:ascii="Times New Roman" w:hAnsi="Times New Roman" w:eastAsia="Times New Roman" w:cs="Times New Roman"/>
          <w:spacing w:val="2"/>
          <w:sz w:val="20"/>
          <w:szCs w:val="20"/>
        </w:rPr>
        <w:t>)</w:t>
      </w:r>
      <w:r>
        <w:rPr>
          <w:rFonts w:ascii="宋体" w:hAnsi="宋体" w:eastAsia="宋体" w:cs="宋体"/>
          <w:spacing w:val="2"/>
          <w:sz w:val="20"/>
          <w:szCs w:val="20"/>
        </w:rPr>
        <w:t>的概念，被广泛接受并使用。目前将</w:t>
      </w:r>
      <w:r>
        <w:rPr>
          <w:rFonts w:ascii="Times New Roman" w:hAnsi="Times New Roman" w:eastAsia="Times New Roman" w:cs="Times New Roman"/>
          <w:sz w:val="20"/>
          <w:szCs w:val="20"/>
        </w:rPr>
        <w:t>IDD</w:t>
      </w:r>
      <w:r>
        <w:rPr>
          <w:rFonts w:ascii="Times New Roman" w:hAnsi="Times New Roman" w:eastAsia="Times New Roman" w:cs="Times New Roman"/>
          <w:spacing w:val="2"/>
          <w:sz w:val="20"/>
          <w:szCs w:val="20"/>
        </w:rPr>
        <w:t xml:space="preserve"> </w:t>
      </w:r>
      <w:r>
        <w:rPr>
          <w:rFonts w:ascii="宋体" w:hAnsi="宋体" w:eastAsia="宋体" w:cs="宋体"/>
          <w:spacing w:val="2"/>
          <w:sz w:val="20"/>
          <w:szCs w:val="20"/>
        </w:rPr>
        <w:t>定义为由自然环</w:t>
      </w:r>
      <w:r>
        <w:rPr>
          <w:rFonts w:ascii="宋体" w:hAnsi="宋体" w:eastAsia="宋体" w:cs="宋体"/>
          <w:spacing w:val="14"/>
          <w:sz w:val="20"/>
          <w:szCs w:val="20"/>
        </w:rPr>
        <w:t xml:space="preserve"> </w:t>
      </w:r>
      <w:r>
        <w:rPr>
          <w:rFonts w:ascii="宋体" w:hAnsi="宋体" w:eastAsia="宋体" w:cs="宋体"/>
          <w:spacing w:val="-2"/>
          <w:sz w:val="20"/>
          <w:szCs w:val="20"/>
        </w:rPr>
        <w:t>境碘缺乏造成机体碘营养不良所表现的一组疾病和危害的总称，包括地方性甲状腺肿、地方性克汀</w:t>
      </w:r>
      <w:r>
        <w:rPr>
          <w:rFonts w:ascii="宋体" w:hAnsi="宋体" w:eastAsia="宋体" w:cs="宋体"/>
          <w:spacing w:val="4"/>
          <w:sz w:val="20"/>
          <w:szCs w:val="20"/>
        </w:rPr>
        <w:t xml:space="preserve"> </w:t>
      </w:r>
      <w:r>
        <w:rPr>
          <w:rFonts w:ascii="宋体" w:hAnsi="宋体" w:eastAsia="宋体" w:cs="宋体"/>
          <w:spacing w:val="-6"/>
          <w:sz w:val="20"/>
          <w:szCs w:val="20"/>
        </w:rPr>
        <w:t>病、地方性亚临床克汀病以及碘缺乏导致的流产、早产、死产、先天性畸形等。地方性甲状腺肿是碘</w:t>
      </w:r>
      <w:r>
        <w:rPr>
          <w:rFonts w:ascii="宋体" w:hAnsi="宋体" w:eastAsia="宋体" w:cs="宋体"/>
          <w:sz w:val="20"/>
          <w:szCs w:val="20"/>
        </w:rPr>
        <w:t xml:space="preserve"> </w:t>
      </w:r>
      <w:r>
        <w:rPr>
          <w:rFonts w:ascii="宋体" w:hAnsi="宋体" w:eastAsia="宋体" w:cs="宋体"/>
          <w:spacing w:val="-2"/>
          <w:sz w:val="20"/>
          <w:szCs w:val="20"/>
        </w:rPr>
        <w:t>缺乏病最明显的表现形式，而地方性克汀病是碘缺乏病最严重的表现</w:t>
      </w:r>
      <w:r>
        <w:rPr>
          <w:rFonts w:ascii="宋体" w:hAnsi="宋体" w:eastAsia="宋体" w:cs="宋体"/>
          <w:spacing w:val="-3"/>
          <w:sz w:val="20"/>
          <w:szCs w:val="20"/>
        </w:rPr>
        <w:t>形式。</w:t>
      </w:r>
    </w:p>
    <w:p w14:paraId="4ABC21C6">
      <w:pPr>
        <w:spacing w:before="1" w:line="336" w:lineRule="auto"/>
        <w:ind w:right="561" w:firstLine="409"/>
        <w:jc w:val="both"/>
        <w:rPr>
          <w:rFonts w:ascii="宋体" w:hAnsi="宋体" w:eastAsia="宋体" w:cs="宋体"/>
          <w:sz w:val="20"/>
          <w:szCs w:val="20"/>
        </w:rPr>
      </w:pPr>
      <w:r>
        <w:rPr>
          <w:rFonts w:ascii="宋体" w:hAnsi="宋体" w:eastAsia="宋体" w:cs="宋体"/>
          <w:spacing w:val="7"/>
          <w:sz w:val="20"/>
          <w:szCs w:val="20"/>
        </w:rPr>
        <w:t>甲状腺贮存的碘量约为5～10</w:t>
      </w:r>
      <w:r>
        <w:rPr>
          <w:rFonts w:ascii="宋体" w:hAnsi="宋体" w:eastAsia="宋体" w:cs="宋体"/>
          <w:sz w:val="20"/>
          <w:szCs w:val="20"/>
        </w:rPr>
        <w:t>mg</w:t>
      </w:r>
      <w:r>
        <w:rPr>
          <w:rFonts w:ascii="宋体" w:hAnsi="宋体" w:eastAsia="宋体" w:cs="宋体"/>
          <w:spacing w:val="7"/>
          <w:sz w:val="20"/>
          <w:szCs w:val="20"/>
        </w:rPr>
        <w:t>,</w:t>
      </w:r>
      <w:r>
        <w:rPr>
          <w:rFonts w:ascii="宋体" w:hAnsi="宋体" w:eastAsia="宋体" w:cs="宋体"/>
          <w:spacing w:val="-58"/>
          <w:sz w:val="20"/>
          <w:szCs w:val="20"/>
        </w:rPr>
        <w:t xml:space="preserve"> </w:t>
      </w:r>
      <w:r>
        <w:rPr>
          <w:rFonts w:ascii="宋体" w:hAnsi="宋体" w:eastAsia="宋体" w:cs="宋体"/>
          <w:spacing w:val="7"/>
          <w:sz w:val="20"/>
          <w:szCs w:val="20"/>
        </w:rPr>
        <w:t>仅可供2～3</w:t>
      </w:r>
      <w:r>
        <w:rPr>
          <w:rFonts w:ascii="宋体" w:hAnsi="宋体" w:eastAsia="宋体" w:cs="宋体"/>
          <w:spacing w:val="6"/>
          <w:sz w:val="20"/>
          <w:szCs w:val="20"/>
        </w:rPr>
        <w:t>个月内合成甲状腺激素之用。而人体只有这一</w:t>
      </w:r>
      <w:r>
        <w:rPr>
          <w:rFonts w:ascii="宋体" w:hAnsi="宋体" w:eastAsia="宋体" w:cs="宋体"/>
          <w:sz w:val="20"/>
          <w:szCs w:val="20"/>
        </w:rPr>
        <w:t xml:space="preserve">  </w:t>
      </w:r>
      <w:r>
        <w:rPr>
          <w:rFonts w:ascii="宋体" w:hAnsi="宋体" w:eastAsia="宋体" w:cs="宋体"/>
          <w:spacing w:val="-4"/>
          <w:sz w:val="20"/>
          <w:szCs w:val="20"/>
        </w:rPr>
        <w:t>个贮存碘的器官，短期内摄人大量的碘，既不会被利用，也不会</w:t>
      </w:r>
      <w:r>
        <w:rPr>
          <w:rFonts w:ascii="宋体" w:hAnsi="宋体" w:eastAsia="宋体" w:cs="宋体"/>
          <w:spacing w:val="-5"/>
          <w:sz w:val="20"/>
          <w:szCs w:val="20"/>
        </w:rPr>
        <w:t>被过量贮存，只能由尿排出。因此，</w:t>
      </w:r>
      <w:r>
        <w:rPr>
          <w:rFonts w:ascii="宋体" w:hAnsi="宋体" w:eastAsia="宋体" w:cs="宋体"/>
          <w:sz w:val="20"/>
          <w:szCs w:val="20"/>
        </w:rPr>
        <w:t xml:space="preserve"> </w:t>
      </w:r>
      <w:r>
        <w:rPr>
          <w:rFonts w:ascii="宋体" w:hAnsi="宋体" w:eastAsia="宋体" w:cs="宋体"/>
          <w:spacing w:val="-3"/>
          <w:sz w:val="20"/>
          <w:szCs w:val="20"/>
        </w:rPr>
        <w:t>在缺碘的地区需长期持续补充碘，终止补碘半年后，</w:t>
      </w:r>
      <w:r>
        <w:rPr>
          <w:rFonts w:ascii="Times New Roman" w:hAnsi="Times New Roman" w:eastAsia="Times New Roman" w:cs="Times New Roman"/>
          <w:spacing w:val="-3"/>
          <w:sz w:val="20"/>
          <w:szCs w:val="20"/>
        </w:rPr>
        <w:t>ID</w:t>
      </w:r>
      <w:r>
        <w:rPr>
          <w:rFonts w:ascii="Times New Roman" w:hAnsi="Times New Roman" w:eastAsia="Times New Roman" w:cs="Times New Roman"/>
          <w:spacing w:val="-4"/>
          <w:sz w:val="20"/>
          <w:szCs w:val="20"/>
        </w:rPr>
        <w:t>D</w:t>
      </w:r>
      <w:r>
        <w:rPr>
          <w:rFonts w:ascii="宋体" w:hAnsi="宋体" w:eastAsia="宋体" w:cs="宋体"/>
          <w:spacing w:val="-4"/>
          <w:sz w:val="20"/>
          <w:szCs w:val="20"/>
        </w:rPr>
        <w:t>即可再度流行。</w:t>
      </w:r>
    </w:p>
    <w:p w14:paraId="645550AE">
      <w:pPr>
        <w:pStyle w:val="2"/>
        <w:spacing w:before="199" w:line="221" w:lineRule="auto"/>
        <w:ind w:left="493"/>
        <w:outlineLvl w:val="4"/>
        <w:rPr>
          <w:sz w:val="24"/>
          <w:szCs w:val="24"/>
        </w:rPr>
      </w:pPr>
      <w:bookmarkStart w:id="615" w:name="bookmark395"/>
      <w:bookmarkEnd w:id="615"/>
      <w:r>
        <w:rPr>
          <w:b/>
          <w:bCs/>
          <w:spacing w:val="-9"/>
          <w:sz w:val="24"/>
          <w:szCs w:val="24"/>
        </w:rPr>
        <w:t>一</w:t>
      </w:r>
      <w:r>
        <w:rPr>
          <w:spacing w:val="-48"/>
          <w:sz w:val="24"/>
          <w:szCs w:val="24"/>
        </w:rPr>
        <w:t xml:space="preserve"> </w:t>
      </w:r>
      <w:r>
        <w:rPr>
          <w:b/>
          <w:bCs/>
          <w:spacing w:val="-9"/>
          <w:sz w:val="24"/>
          <w:szCs w:val="24"/>
        </w:rPr>
        <w:t>、病因学</w:t>
      </w:r>
    </w:p>
    <w:p w14:paraId="1A13AA0E">
      <w:pPr>
        <w:pStyle w:val="2"/>
        <w:spacing w:before="255" w:line="222" w:lineRule="auto"/>
        <w:ind w:left="413"/>
        <w:rPr>
          <w:sz w:val="24"/>
          <w:szCs w:val="24"/>
        </w:rPr>
      </w:pPr>
      <w:r>
        <w:rPr>
          <w:b/>
          <w:bCs/>
          <w:spacing w:val="-16"/>
          <w:sz w:val="24"/>
          <w:szCs w:val="24"/>
        </w:rPr>
        <w:t>(</w:t>
      </w:r>
      <w:r>
        <w:rPr>
          <w:spacing w:val="-59"/>
          <w:sz w:val="24"/>
          <w:szCs w:val="24"/>
        </w:rPr>
        <w:t xml:space="preserve"> </w:t>
      </w:r>
      <w:r>
        <w:rPr>
          <w:b/>
          <w:bCs/>
          <w:spacing w:val="-16"/>
          <w:sz w:val="24"/>
          <w:szCs w:val="24"/>
        </w:rPr>
        <w:t>一</w:t>
      </w:r>
      <w:r>
        <w:rPr>
          <w:spacing w:val="-67"/>
          <w:sz w:val="24"/>
          <w:szCs w:val="24"/>
        </w:rPr>
        <w:t xml:space="preserve"> </w:t>
      </w:r>
      <w:r>
        <w:rPr>
          <w:b/>
          <w:bCs/>
          <w:spacing w:val="-16"/>
          <w:sz w:val="24"/>
          <w:szCs w:val="24"/>
        </w:rPr>
        <w:t>)</w:t>
      </w:r>
      <w:r>
        <w:rPr>
          <w:rFonts w:ascii="宋体" w:hAnsi="宋体" w:eastAsia="宋体" w:cs="宋体"/>
          <w:b/>
          <w:bCs/>
          <w:spacing w:val="-16"/>
          <w:sz w:val="24"/>
          <w:szCs w:val="24"/>
        </w:rPr>
        <w:t>IDD</w:t>
      </w:r>
      <w:r>
        <w:rPr>
          <w:rFonts w:ascii="宋体" w:hAnsi="宋体" w:eastAsia="宋体" w:cs="宋体"/>
          <w:spacing w:val="-37"/>
          <w:sz w:val="24"/>
          <w:szCs w:val="24"/>
        </w:rPr>
        <w:t xml:space="preserve"> </w:t>
      </w:r>
      <w:r>
        <w:rPr>
          <w:b/>
          <w:bCs/>
          <w:spacing w:val="-16"/>
          <w:sz w:val="24"/>
          <w:szCs w:val="24"/>
        </w:rPr>
        <w:t>的病因</w:t>
      </w:r>
    </w:p>
    <w:p w14:paraId="0D17F3C9">
      <w:pPr>
        <w:spacing w:before="83" w:line="219" w:lineRule="auto"/>
        <w:ind w:left="409"/>
        <w:rPr>
          <w:rFonts w:ascii="宋体" w:hAnsi="宋体" w:eastAsia="宋体" w:cs="宋体"/>
          <w:sz w:val="20"/>
          <w:szCs w:val="20"/>
        </w:rPr>
      </w:pPr>
      <w:r>
        <w:rPr>
          <w:rFonts w:ascii="宋体" w:hAnsi="宋体" w:eastAsia="宋体" w:cs="宋体"/>
          <w:spacing w:val="-2"/>
          <w:sz w:val="20"/>
          <w:szCs w:val="20"/>
        </w:rPr>
        <w:t>已经明确为碘缺乏。碘主要来自食物和水。当外环境中缺碘时，人体摄人量不足导致缺碘。</w:t>
      </w:r>
    </w:p>
    <w:p w14:paraId="5B0B01B4">
      <w:pPr>
        <w:pStyle w:val="2"/>
        <w:spacing w:before="148" w:line="221" w:lineRule="auto"/>
        <w:ind w:left="412"/>
        <w:rPr>
          <w:sz w:val="20"/>
          <w:szCs w:val="20"/>
        </w:rPr>
      </w:pPr>
      <w:r>
        <w:rPr>
          <w:b/>
          <w:bCs/>
          <w:spacing w:val="18"/>
          <w:sz w:val="20"/>
          <w:szCs w:val="20"/>
        </w:rPr>
        <w:t>(二)碘营养状况的评估方法</w:t>
      </w:r>
    </w:p>
    <w:p w14:paraId="3373C781">
      <w:pPr>
        <w:spacing w:before="114" w:line="342" w:lineRule="auto"/>
        <w:ind w:right="617" w:firstLine="409"/>
        <w:jc w:val="both"/>
        <w:rPr>
          <w:rFonts w:ascii="宋体" w:hAnsi="宋体" w:eastAsia="宋体" w:cs="宋体"/>
          <w:sz w:val="20"/>
          <w:szCs w:val="20"/>
        </w:rPr>
      </w:pPr>
      <w:r>
        <w:rPr>
          <w:rFonts w:ascii="宋体" w:hAnsi="宋体" w:eastAsia="宋体" w:cs="宋体"/>
          <w:spacing w:val="-2"/>
          <w:sz w:val="20"/>
          <w:szCs w:val="20"/>
        </w:rPr>
        <w:t>评估人群碘营养状况的指标包括尿碘浓度、血清甲状腺球蛋白水平、血清促甲状腺激素水平和</w:t>
      </w:r>
      <w:r>
        <w:rPr>
          <w:rFonts w:ascii="宋体" w:hAnsi="宋体" w:eastAsia="宋体" w:cs="宋体"/>
          <w:spacing w:val="17"/>
          <w:sz w:val="20"/>
          <w:szCs w:val="20"/>
        </w:rPr>
        <w:t xml:space="preserve"> </w:t>
      </w:r>
      <w:r>
        <w:rPr>
          <w:rFonts w:ascii="宋体" w:hAnsi="宋体" w:eastAsia="宋体" w:cs="宋体"/>
          <w:spacing w:val="3"/>
          <w:sz w:val="20"/>
          <w:szCs w:val="20"/>
        </w:rPr>
        <w:t>甲状腺容积。尿碘浓度是反映近期(数天)饮食碘摄人量的敏感指标，血清甲状腺球蛋白可反映数</w:t>
      </w:r>
      <w:r>
        <w:rPr>
          <w:rFonts w:ascii="宋体" w:hAnsi="宋体" w:eastAsia="宋体" w:cs="宋体"/>
          <w:spacing w:val="8"/>
          <w:sz w:val="20"/>
          <w:szCs w:val="20"/>
        </w:rPr>
        <w:t xml:space="preserve"> </w:t>
      </w:r>
      <w:r>
        <w:rPr>
          <w:rFonts w:ascii="宋体" w:hAnsi="宋体" w:eastAsia="宋体" w:cs="宋体"/>
          <w:spacing w:val="-1"/>
          <w:sz w:val="20"/>
          <w:szCs w:val="20"/>
        </w:rPr>
        <w:t>周至数月的碘摄入情况，甲状腺容积则反映长期碘营养状况。然而，碘营养状况评估方法</w:t>
      </w:r>
      <w:r>
        <w:rPr>
          <w:rFonts w:ascii="宋体" w:hAnsi="宋体" w:eastAsia="宋体" w:cs="宋体"/>
          <w:spacing w:val="-2"/>
          <w:sz w:val="20"/>
          <w:szCs w:val="20"/>
        </w:rPr>
        <w:t>并非适用</w:t>
      </w:r>
      <w:r>
        <w:rPr>
          <w:rFonts w:ascii="宋体" w:hAnsi="宋体" w:eastAsia="宋体" w:cs="宋体"/>
          <w:sz w:val="20"/>
          <w:szCs w:val="20"/>
        </w:rPr>
        <w:t xml:space="preserve"> </w:t>
      </w:r>
      <w:r>
        <w:rPr>
          <w:rFonts w:ascii="宋体" w:hAnsi="宋体" w:eastAsia="宋体" w:cs="宋体"/>
          <w:spacing w:val="-2"/>
          <w:sz w:val="20"/>
          <w:szCs w:val="20"/>
        </w:rPr>
        <w:t>于所有亚组人群，评估时需根据不同人群的特征选择合适的方法。</w:t>
      </w:r>
    </w:p>
    <w:p w14:paraId="47A87408">
      <w:pPr>
        <w:pStyle w:val="2"/>
        <w:spacing w:before="15" w:line="221" w:lineRule="auto"/>
        <w:ind w:left="412"/>
        <w:rPr>
          <w:sz w:val="20"/>
          <w:szCs w:val="20"/>
        </w:rPr>
      </w:pPr>
      <w:r>
        <w:rPr>
          <w:b/>
          <w:bCs/>
          <w:spacing w:val="19"/>
          <w:sz w:val="20"/>
          <w:szCs w:val="20"/>
        </w:rPr>
        <w:t>(三)碘缺乏病的影响因素</w:t>
      </w:r>
    </w:p>
    <w:p w14:paraId="78417241">
      <w:pPr>
        <w:spacing w:before="105" w:line="219" w:lineRule="auto"/>
        <w:ind w:left="409"/>
        <w:rPr>
          <w:rFonts w:ascii="宋体" w:hAnsi="宋体" w:eastAsia="宋体" w:cs="宋体"/>
          <w:sz w:val="20"/>
          <w:szCs w:val="20"/>
        </w:rPr>
      </w:pPr>
      <w:r>
        <w:rPr>
          <w:rFonts w:ascii="宋体" w:hAnsi="宋体" w:eastAsia="宋体" w:cs="宋体"/>
          <w:sz w:val="20"/>
          <w:szCs w:val="20"/>
        </w:rPr>
        <w:t>多种因素对</w:t>
      </w:r>
      <w:r>
        <w:rPr>
          <w:rFonts w:ascii="Times New Roman" w:hAnsi="Times New Roman" w:eastAsia="Times New Roman" w:cs="Times New Roman"/>
          <w:sz w:val="20"/>
          <w:szCs w:val="20"/>
        </w:rPr>
        <w:t>IDD</w:t>
      </w:r>
      <w:r>
        <w:rPr>
          <w:rFonts w:ascii="宋体" w:hAnsi="宋体" w:eastAsia="宋体" w:cs="宋体"/>
          <w:sz w:val="20"/>
          <w:szCs w:val="20"/>
        </w:rPr>
        <w:t>的发生、发展有影响。</w:t>
      </w:r>
    </w:p>
    <w:p w14:paraId="5B04A7EA">
      <w:pPr>
        <w:pStyle w:val="2"/>
        <w:spacing w:before="141" w:line="310" w:lineRule="auto"/>
        <w:ind w:right="596" w:firstLine="412"/>
        <w:rPr>
          <w:rFonts w:ascii="宋体" w:hAnsi="宋体" w:eastAsia="宋体" w:cs="宋体"/>
          <w:sz w:val="20"/>
          <w:szCs w:val="20"/>
        </w:rPr>
      </w:pPr>
      <w:r>
        <w:rPr>
          <w:rFonts w:ascii="宋体" w:hAnsi="宋体" w:eastAsia="宋体" w:cs="宋体"/>
          <w:b/>
          <w:bCs/>
          <w:spacing w:val="1"/>
          <w:sz w:val="20"/>
          <w:szCs w:val="20"/>
        </w:rPr>
        <w:t>1.</w:t>
      </w:r>
      <w:r>
        <w:rPr>
          <w:rFonts w:ascii="宋体" w:hAnsi="宋体" w:eastAsia="宋体" w:cs="宋体"/>
          <w:spacing w:val="1"/>
          <w:sz w:val="20"/>
          <w:szCs w:val="20"/>
        </w:rPr>
        <w:t xml:space="preserve"> </w:t>
      </w:r>
      <w:r>
        <w:rPr>
          <w:b/>
          <w:bCs/>
          <w:spacing w:val="1"/>
          <w:sz w:val="20"/>
          <w:szCs w:val="20"/>
        </w:rPr>
        <w:t>致甲状腺肿物质</w:t>
      </w:r>
      <w:r>
        <w:rPr>
          <w:spacing w:val="63"/>
          <w:sz w:val="20"/>
          <w:szCs w:val="20"/>
        </w:rPr>
        <w:t xml:space="preserve"> </w:t>
      </w:r>
      <w:r>
        <w:rPr>
          <w:rFonts w:ascii="宋体" w:hAnsi="宋体" w:eastAsia="宋体" w:cs="宋体"/>
          <w:spacing w:val="1"/>
          <w:sz w:val="20"/>
          <w:szCs w:val="20"/>
        </w:rPr>
        <w:t>指能作用于甲状腺，阻断甲状腺激素的合成或者增加肾脏对碘化物的排</w:t>
      </w:r>
      <w:r>
        <w:rPr>
          <w:rFonts w:ascii="宋体" w:hAnsi="宋体" w:eastAsia="宋体" w:cs="宋体"/>
          <w:sz w:val="20"/>
          <w:szCs w:val="20"/>
        </w:rPr>
        <w:t xml:space="preserve"> </w:t>
      </w:r>
      <w:r>
        <w:rPr>
          <w:rFonts w:ascii="宋体" w:hAnsi="宋体" w:eastAsia="宋体" w:cs="宋体"/>
          <w:spacing w:val="-1"/>
          <w:sz w:val="20"/>
          <w:szCs w:val="20"/>
        </w:rPr>
        <w:t>出而引起甲状腺肿的物质。通常，摄入致甲状腺肿物质的剂量远不能达到诱发甲状腺肿的水平，只</w:t>
      </w:r>
      <w:r>
        <w:rPr>
          <w:rFonts w:ascii="宋体" w:hAnsi="宋体" w:eastAsia="宋体" w:cs="宋体"/>
          <w:spacing w:val="16"/>
          <w:sz w:val="20"/>
          <w:szCs w:val="20"/>
        </w:rPr>
        <w:t xml:space="preserve"> </w:t>
      </w:r>
      <w:r>
        <w:rPr>
          <w:rFonts w:ascii="宋体" w:hAnsi="宋体" w:eastAsia="宋体" w:cs="宋体"/>
          <w:spacing w:val="-1"/>
          <w:sz w:val="20"/>
          <w:szCs w:val="20"/>
        </w:rPr>
        <w:t>有在碘相对缺乏的情况下，其作用才发挥出来。致</w:t>
      </w:r>
      <w:r>
        <w:rPr>
          <w:rFonts w:ascii="宋体" w:hAnsi="宋体" w:eastAsia="宋体" w:cs="宋体"/>
          <w:spacing w:val="-2"/>
          <w:sz w:val="20"/>
          <w:szCs w:val="20"/>
        </w:rPr>
        <w:t>甲状腺肿物质通常来自食物、饮水和药物三个方</w:t>
      </w:r>
      <w:r>
        <w:rPr>
          <w:rFonts w:ascii="宋体" w:hAnsi="宋体" w:eastAsia="宋体" w:cs="宋体"/>
          <w:sz w:val="20"/>
          <w:szCs w:val="20"/>
        </w:rPr>
        <w:t xml:space="preserve"> </w:t>
      </w:r>
      <w:r>
        <w:rPr>
          <w:rFonts w:ascii="宋体" w:hAnsi="宋体" w:eastAsia="宋体" w:cs="宋体"/>
          <w:spacing w:val="-6"/>
          <w:sz w:val="20"/>
          <w:szCs w:val="20"/>
        </w:rPr>
        <w:t>面。食物如胡萝卜、甘蓝、大豆粉、洋葱、大蒜等。饮水主要是水中的含硫有机物、污染水的微生物</w:t>
      </w:r>
      <w:r>
        <w:rPr>
          <w:rFonts w:ascii="宋体" w:hAnsi="宋体" w:eastAsia="宋体" w:cs="宋体"/>
          <w:spacing w:val="2"/>
          <w:sz w:val="20"/>
          <w:szCs w:val="20"/>
        </w:rPr>
        <w:t xml:space="preserve"> </w:t>
      </w:r>
      <w:r>
        <w:rPr>
          <w:rFonts w:ascii="宋体" w:hAnsi="宋体" w:eastAsia="宋体" w:cs="宋体"/>
          <w:spacing w:val="-10"/>
          <w:sz w:val="20"/>
          <w:szCs w:val="20"/>
        </w:rPr>
        <w:t>和水中的化学元素如钙、氟、锂等。药物有硫脲化合物、甲巯咪唑、过硫酸盐、氨鲁米特、钴等。</w:t>
      </w:r>
    </w:p>
    <w:p w14:paraId="7C73BB71">
      <w:pPr>
        <w:pStyle w:val="2"/>
        <w:spacing w:before="148" w:line="283" w:lineRule="auto"/>
        <w:ind w:right="631" w:firstLine="409"/>
        <w:rPr>
          <w:rFonts w:ascii="宋体" w:hAnsi="宋体" w:eastAsia="宋体" w:cs="宋体"/>
          <w:sz w:val="20"/>
          <w:szCs w:val="20"/>
        </w:rPr>
      </w:pPr>
      <w:r>
        <w:rPr>
          <w:rFonts w:ascii="Times New Roman" w:hAnsi="Times New Roman" w:eastAsia="Times New Roman" w:cs="Times New Roman"/>
          <w:b/>
          <w:bCs/>
          <w:spacing w:val="-10"/>
          <w:sz w:val="20"/>
          <w:szCs w:val="20"/>
        </w:rPr>
        <w:t>2.</w:t>
      </w:r>
      <w:r>
        <w:rPr>
          <w:rFonts w:ascii="Times New Roman" w:hAnsi="Times New Roman" w:eastAsia="Times New Roman" w:cs="Times New Roman"/>
          <w:b/>
          <w:bCs/>
          <w:spacing w:val="18"/>
          <w:w w:val="101"/>
          <w:sz w:val="20"/>
          <w:szCs w:val="20"/>
        </w:rPr>
        <w:t xml:space="preserve">  </w:t>
      </w:r>
      <w:r>
        <w:rPr>
          <w:b/>
          <w:bCs/>
          <w:spacing w:val="-10"/>
          <w:sz w:val="20"/>
          <w:szCs w:val="20"/>
        </w:rPr>
        <w:t>营养因素</w:t>
      </w:r>
      <w:r>
        <w:rPr>
          <w:spacing w:val="59"/>
          <w:sz w:val="20"/>
          <w:szCs w:val="20"/>
        </w:rPr>
        <w:t xml:space="preserve"> </w:t>
      </w:r>
      <w:r>
        <w:rPr>
          <w:rFonts w:ascii="宋体" w:hAnsi="宋体" w:eastAsia="宋体" w:cs="宋体"/>
          <w:spacing w:val="-10"/>
          <w:sz w:val="20"/>
          <w:szCs w:val="20"/>
        </w:rPr>
        <w:t>主要包括蛋白质，维生素</w:t>
      </w:r>
      <w:r>
        <w:rPr>
          <w:rFonts w:ascii="Times New Roman" w:hAnsi="Times New Roman" w:eastAsia="Times New Roman" w:cs="Times New Roman"/>
          <w:spacing w:val="-10"/>
          <w:sz w:val="20"/>
          <w:szCs w:val="20"/>
        </w:rPr>
        <w:t>A</w:t>
      </w:r>
      <w:r>
        <w:rPr>
          <w:rFonts w:ascii="宋体" w:hAnsi="宋体" w:eastAsia="宋体" w:cs="宋体"/>
          <w:spacing w:val="-10"/>
          <w:sz w:val="20"/>
          <w:szCs w:val="20"/>
        </w:rPr>
        <w:t>、</w:t>
      </w:r>
      <w:r>
        <w:rPr>
          <w:rFonts w:ascii="Times New Roman" w:hAnsi="Times New Roman" w:eastAsia="Times New Roman" w:cs="Times New Roman"/>
          <w:spacing w:val="-10"/>
          <w:sz w:val="20"/>
          <w:szCs w:val="20"/>
        </w:rPr>
        <w:t>C</w:t>
      </w:r>
      <w:r>
        <w:rPr>
          <w:rFonts w:ascii="宋体" w:hAnsi="宋体" w:eastAsia="宋体" w:cs="宋体"/>
          <w:spacing w:val="-10"/>
          <w:sz w:val="20"/>
          <w:szCs w:val="20"/>
        </w:rPr>
        <w:t>、</w:t>
      </w:r>
      <w:r>
        <w:rPr>
          <w:rFonts w:ascii="Times New Roman" w:hAnsi="Times New Roman" w:eastAsia="Times New Roman" w:cs="Times New Roman"/>
          <w:spacing w:val="-10"/>
          <w:sz w:val="20"/>
          <w:szCs w:val="20"/>
        </w:rPr>
        <w:t>B₁</w:t>
      </w:r>
      <w:r>
        <w:rPr>
          <w:rFonts w:ascii="宋体" w:hAnsi="宋体" w:eastAsia="宋体" w:cs="宋体"/>
          <w:spacing w:val="-10"/>
          <w:sz w:val="20"/>
          <w:szCs w:val="20"/>
        </w:rPr>
        <w:t>、</w:t>
      </w:r>
      <w:r>
        <w:rPr>
          <w:rFonts w:ascii="Times New Roman" w:hAnsi="Times New Roman" w:eastAsia="Times New Roman" w:cs="Times New Roman"/>
          <w:spacing w:val="-10"/>
          <w:sz w:val="20"/>
          <w:szCs w:val="20"/>
        </w:rPr>
        <w:t>B₂</w:t>
      </w:r>
      <w:r>
        <w:rPr>
          <w:rFonts w:ascii="宋体" w:hAnsi="宋体" w:eastAsia="宋体" w:cs="宋体"/>
          <w:spacing w:val="-10"/>
          <w:sz w:val="20"/>
          <w:szCs w:val="20"/>
        </w:rPr>
        <w:t>、</w:t>
      </w:r>
      <w:r>
        <w:rPr>
          <w:rFonts w:ascii="Times New Roman" w:hAnsi="Times New Roman" w:eastAsia="Times New Roman" w:cs="Times New Roman"/>
          <w:spacing w:val="-10"/>
          <w:sz w:val="20"/>
          <w:szCs w:val="20"/>
        </w:rPr>
        <w:t>B₁₂</w:t>
      </w:r>
      <w:r>
        <w:rPr>
          <w:rFonts w:ascii="Times New Roman" w:hAnsi="Times New Roman" w:eastAsia="Times New Roman" w:cs="Times New Roman"/>
          <w:spacing w:val="-23"/>
          <w:sz w:val="20"/>
          <w:szCs w:val="20"/>
        </w:rPr>
        <w:t xml:space="preserve"> </w:t>
      </w:r>
      <w:r>
        <w:rPr>
          <w:rFonts w:ascii="宋体" w:hAnsi="宋体" w:eastAsia="宋体" w:cs="宋体"/>
          <w:spacing w:val="-10"/>
          <w:sz w:val="20"/>
          <w:szCs w:val="20"/>
        </w:rPr>
        <w:t>和微量元素锌、硒等，这些营养物质不</w:t>
      </w:r>
      <w:r>
        <w:rPr>
          <w:rFonts w:ascii="宋体" w:hAnsi="宋体" w:eastAsia="宋体" w:cs="宋体"/>
          <w:sz w:val="20"/>
          <w:szCs w:val="20"/>
        </w:rPr>
        <w:t xml:space="preserve"> </w:t>
      </w:r>
      <w:r>
        <w:rPr>
          <w:rFonts w:ascii="宋体" w:hAnsi="宋体" w:eastAsia="宋体" w:cs="宋体"/>
          <w:spacing w:val="1"/>
          <w:sz w:val="20"/>
          <w:szCs w:val="20"/>
        </w:rPr>
        <w:t>足时，可加重</w:t>
      </w:r>
      <w:r>
        <w:rPr>
          <w:rFonts w:ascii="Times New Roman" w:hAnsi="Times New Roman" w:eastAsia="Times New Roman" w:cs="Times New Roman"/>
          <w:sz w:val="20"/>
          <w:szCs w:val="20"/>
        </w:rPr>
        <w:t>IDD</w:t>
      </w:r>
      <w:r>
        <w:rPr>
          <w:rFonts w:ascii="宋体" w:hAnsi="宋体" w:eastAsia="宋体" w:cs="宋体"/>
          <w:spacing w:val="1"/>
          <w:sz w:val="20"/>
          <w:szCs w:val="20"/>
        </w:rPr>
        <w:t>的流行。</w:t>
      </w:r>
    </w:p>
    <w:p w14:paraId="456A37CF">
      <w:pPr>
        <w:spacing w:before="139" w:line="219" w:lineRule="auto"/>
        <w:ind w:left="412"/>
        <w:rPr>
          <w:rFonts w:ascii="宋体" w:hAnsi="宋体" w:eastAsia="宋体" w:cs="宋体"/>
          <w:sz w:val="20"/>
          <w:szCs w:val="20"/>
        </w:rPr>
      </w:pPr>
      <w:r>
        <w:rPr>
          <w:rFonts w:ascii="宋体" w:hAnsi="宋体" w:eastAsia="宋体" w:cs="宋体"/>
          <w:b/>
          <w:bCs/>
          <w:spacing w:val="-16"/>
          <w:sz w:val="20"/>
          <w:szCs w:val="20"/>
        </w:rPr>
        <w:t>3.</w:t>
      </w:r>
      <w:r>
        <w:rPr>
          <w:rFonts w:ascii="宋体" w:hAnsi="宋体" w:eastAsia="宋体" w:cs="宋体"/>
          <w:spacing w:val="-16"/>
          <w:sz w:val="20"/>
          <w:szCs w:val="20"/>
        </w:rPr>
        <w:t xml:space="preserve"> </w:t>
      </w:r>
      <w:r>
        <w:rPr>
          <w:rFonts w:ascii="宋体" w:hAnsi="宋体" w:eastAsia="宋体" w:cs="宋体"/>
          <w:b/>
          <w:bCs/>
          <w:spacing w:val="-16"/>
          <w:sz w:val="20"/>
          <w:szCs w:val="20"/>
        </w:rPr>
        <w:t>环境污染物</w:t>
      </w:r>
      <w:r>
        <w:rPr>
          <w:rFonts w:ascii="宋体" w:hAnsi="宋体" w:eastAsia="宋体" w:cs="宋体"/>
          <w:spacing w:val="82"/>
          <w:sz w:val="20"/>
          <w:szCs w:val="20"/>
        </w:rPr>
        <w:t xml:space="preserve"> </w:t>
      </w:r>
      <w:r>
        <w:rPr>
          <w:rFonts w:ascii="宋体" w:hAnsi="宋体" w:eastAsia="宋体" w:cs="宋体"/>
          <w:spacing w:val="-16"/>
          <w:sz w:val="20"/>
          <w:szCs w:val="20"/>
        </w:rPr>
        <w:t>铅、汞、铀、铬、锰、氟、铁、铜、镁、锌等都能影响甲状腺的形态和功能。</w:t>
      </w:r>
    </w:p>
    <w:p w14:paraId="02782937">
      <w:pPr>
        <w:pStyle w:val="2"/>
        <w:spacing w:before="111" w:line="286" w:lineRule="auto"/>
        <w:ind w:right="612" w:firstLine="412"/>
        <w:rPr>
          <w:rFonts w:ascii="宋体" w:hAnsi="宋体" w:eastAsia="宋体" w:cs="宋体"/>
          <w:sz w:val="20"/>
          <w:szCs w:val="20"/>
        </w:rPr>
      </w:pPr>
      <w:r>
        <w:rPr>
          <w:rFonts w:ascii="宋体" w:hAnsi="宋体" w:eastAsia="宋体" w:cs="宋体"/>
          <w:b/>
          <w:bCs/>
          <w:spacing w:val="2"/>
          <w:sz w:val="20"/>
          <w:szCs w:val="20"/>
        </w:rPr>
        <w:t>4.</w:t>
      </w:r>
      <w:r>
        <w:rPr>
          <w:rFonts w:ascii="宋体" w:hAnsi="宋体" w:eastAsia="宋体" w:cs="宋体"/>
          <w:spacing w:val="2"/>
          <w:sz w:val="20"/>
          <w:szCs w:val="20"/>
        </w:rPr>
        <w:t xml:space="preserve"> </w:t>
      </w:r>
      <w:r>
        <w:rPr>
          <w:b/>
          <w:bCs/>
          <w:spacing w:val="2"/>
          <w:sz w:val="20"/>
          <w:szCs w:val="20"/>
        </w:rPr>
        <w:t>遗传因素</w:t>
      </w:r>
      <w:r>
        <w:rPr>
          <w:spacing w:val="59"/>
          <w:sz w:val="20"/>
          <w:szCs w:val="20"/>
        </w:rPr>
        <w:t xml:space="preserve"> </w:t>
      </w:r>
      <w:r>
        <w:rPr>
          <w:rFonts w:ascii="宋体" w:hAnsi="宋体" w:eastAsia="宋体" w:cs="宋体"/>
          <w:spacing w:val="2"/>
          <w:sz w:val="20"/>
          <w:szCs w:val="20"/>
        </w:rPr>
        <w:t>多基因遗传可能对地方性克汀病的发生起一定作用，在流行</w:t>
      </w:r>
      <w:r>
        <w:rPr>
          <w:rFonts w:ascii="宋体" w:hAnsi="宋体" w:eastAsia="宋体" w:cs="宋体"/>
          <w:spacing w:val="1"/>
          <w:sz w:val="20"/>
          <w:szCs w:val="20"/>
        </w:rPr>
        <w:t>区内，地方性克汀</w:t>
      </w:r>
      <w:r>
        <w:rPr>
          <w:rFonts w:ascii="宋体" w:hAnsi="宋体" w:eastAsia="宋体" w:cs="宋体"/>
          <w:sz w:val="20"/>
          <w:szCs w:val="20"/>
        </w:rPr>
        <w:t xml:space="preserve"> </w:t>
      </w:r>
      <w:r>
        <w:rPr>
          <w:rFonts w:ascii="宋体" w:hAnsi="宋体" w:eastAsia="宋体" w:cs="宋体"/>
          <w:spacing w:val="-2"/>
          <w:sz w:val="20"/>
          <w:szCs w:val="20"/>
        </w:rPr>
        <w:t>病经常出现家庭聚集现象。但遗传因素与致甲状腺肿</w:t>
      </w:r>
      <w:r>
        <w:rPr>
          <w:rFonts w:ascii="宋体" w:hAnsi="宋体" w:eastAsia="宋体" w:cs="宋体"/>
          <w:spacing w:val="-3"/>
          <w:sz w:val="20"/>
          <w:szCs w:val="20"/>
        </w:rPr>
        <w:t>物质、营养因素一样，只起辅助作用。</w:t>
      </w:r>
    </w:p>
    <w:p w14:paraId="40AC3720">
      <w:pPr>
        <w:rPr>
          <w:rFonts w:ascii="Arial"/>
          <w:sz w:val="21"/>
        </w:rPr>
      </w:pPr>
    </w:p>
    <w:p w14:paraId="736B4EC6">
      <w:pPr>
        <w:pStyle w:val="2"/>
        <w:spacing w:before="79" w:line="221" w:lineRule="auto"/>
        <w:ind w:left="413"/>
        <w:outlineLvl w:val="4"/>
        <w:rPr>
          <w:sz w:val="24"/>
          <w:szCs w:val="24"/>
        </w:rPr>
      </w:pPr>
      <w:bookmarkStart w:id="616" w:name="bookmark396"/>
      <w:bookmarkEnd w:id="616"/>
      <w:r>
        <w:rPr>
          <w:b/>
          <w:bCs/>
          <w:spacing w:val="-9"/>
          <w:sz w:val="24"/>
          <w:szCs w:val="24"/>
        </w:rPr>
        <w:t>二</w:t>
      </w:r>
      <w:r>
        <w:rPr>
          <w:spacing w:val="-49"/>
          <w:sz w:val="24"/>
          <w:szCs w:val="24"/>
        </w:rPr>
        <w:t xml:space="preserve"> </w:t>
      </w:r>
      <w:r>
        <w:rPr>
          <w:b/>
          <w:bCs/>
          <w:spacing w:val="-9"/>
          <w:sz w:val="24"/>
          <w:szCs w:val="24"/>
        </w:rPr>
        <w:t>、流行特征</w:t>
      </w:r>
    </w:p>
    <w:p w14:paraId="579E63EE">
      <w:pPr>
        <w:pStyle w:val="2"/>
        <w:spacing w:before="274" w:line="222" w:lineRule="auto"/>
        <w:ind w:left="412"/>
        <w:rPr>
          <w:sz w:val="20"/>
          <w:szCs w:val="20"/>
        </w:rPr>
      </w:pPr>
      <w:r>
        <w:rPr>
          <w:b/>
          <w:bCs/>
          <w:spacing w:val="10"/>
          <w:sz w:val="20"/>
          <w:szCs w:val="20"/>
        </w:rPr>
        <w:t>(</w:t>
      </w:r>
      <w:r>
        <w:rPr>
          <w:spacing w:val="-52"/>
          <w:sz w:val="20"/>
          <w:szCs w:val="20"/>
        </w:rPr>
        <w:t xml:space="preserve"> </w:t>
      </w:r>
      <w:r>
        <w:rPr>
          <w:b/>
          <w:bCs/>
          <w:spacing w:val="10"/>
          <w:sz w:val="20"/>
          <w:szCs w:val="20"/>
        </w:rPr>
        <w:t>一</w:t>
      </w:r>
      <w:r>
        <w:rPr>
          <w:spacing w:val="-58"/>
          <w:sz w:val="20"/>
          <w:szCs w:val="20"/>
        </w:rPr>
        <w:t xml:space="preserve"> </w:t>
      </w:r>
      <w:r>
        <w:rPr>
          <w:b/>
          <w:bCs/>
          <w:spacing w:val="10"/>
          <w:sz w:val="20"/>
          <w:szCs w:val="20"/>
        </w:rPr>
        <w:t>)地区分布</w:t>
      </w:r>
    </w:p>
    <w:p w14:paraId="458140D3">
      <w:pPr>
        <w:spacing w:before="90" w:line="343" w:lineRule="auto"/>
        <w:ind w:right="582" w:firstLine="409"/>
        <w:jc w:val="both"/>
        <w:rPr>
          <w:rFonts w:ascii="宋体" w:hAnsi="宋体" w:eastAsia="宋体" w:cs="宋体"/>
          <w:sz w:val="20"/>
          <w:szCs w:val="20"/>
        </w:rPr>
      </w:pPr>
      <w:r>
        <w:rPr>
          <w:rFonts w:ascii="Times New Roman" w:hAnsi="Times New Roman" w:eastAsia="Times New Roman" w:cs="Times New Roman"/>
          <w:sz w:val="20"/>
          <w:szCs w:val="20"/>
        </w:rPr>
        <w:t>IDD</w:t>
      </w:r>
      <w:r>
        <w:rPr>
          <w:rFonts w:ascii="Times New Roman" w:hAnsi="Times New Roman" w:eastAsia="Times New Roman" w:cs="Times New Roman"/>
          <w:spacing w:val="-10"/>
          <w:sz w:val="20"/>
          <w:szCs w:val="20"/>
        </w:rPr>
        <w:t xml:space="preserve"> </w:t>
      </w:r>
      <w:r>
        <w:rPr>
          <w:rFonts w:ascii="宋体" w:hAnsi="宋体" w:eastAsia="宋体" w:cs="宋体"/>
          <w:sz w:val="20"/>
          <w:szCs w:val="20"/>
        </w:rPr>
        <w:t>是世界上分布最广、受威胁人口最多的一种地方</w:t>
      </w:r>
      <w:r>
        <w:rPr>
          <w:rFonts w:ascii="宋体" w:hAnsi="宋体" w:eastAsia="宋体" w:cs="宋体"/>
          <w:spacing w:val="-1"/>
          <w:sz w:val="20"/>
          <w:szCs w:val="20"/>
        </w:rPr>
        <w:t>病，其分布与环境中碘含量密切相关。碘</w:t>
      </w:r>
      <w:r>
        <w:rPr>
          <w:rFonts w:ascii="宋体" w:hAnsi="宋体" w:eastAsia="宋体" w:cs="宋体"/>
          <w:sz w:val="20"/>
          <w:szCs w:val="20"/>
        </w:rPr>
        <w:t xml:space="preserve"> </w:t>
      </w:r>
      <w:r>
        <w:rPr>
          <w:rFonts w:ascii="宋体" w:hAnsi="宋体" w:eastAsia="宋体" w:cs="宋体"/>
          <w:spacing w:val="4"/>
          <w:sz w:val="20"/>
          <w:szCs w:val="20"/>
        </w:rPr>
        <w:t>化物天然存在于土壤和海水中。在许多地区，表层土壤中的碘已经耗尽。</w:t>
      </w:r>
      <w:r>
        <w:rPr>
          <w:rFonts w:ascii="宋体" w:hAnsi="宋体" w:eastAsia="宋体" w:cs="宋体"/>
          <w:spacing w:val="3"/>
          <w:sz w:val="20"/>
          <w:szCs w:val="20"/>
        </w:rPr>
        <w:t>海水中的碘在挥发到大</w:t>
      </w:r>
      <w:r>
        <w:rPr>
          <w:rFonts w:ascii="宋体" w:hAnsi="宋体" w:eastAsia="宋体" w:cs="宋体"/>
          <w:sz w:val="20"/>
          <w:szCs w:val="20"/>
        </w:rPr>
        <w:t xml:space="preserve"> </w:t>
      </w:r>
      <w:r>
        <w:rPr>
          <w:rFonts w:ascii="宋体" w:hAnsi="宋体" w:eastAsia="宋体" w:cs="宋体"/>
          <w:spacing w:val="-6"/>
          <w:sz w:val="20"/>
          <w:szCs w:val="20"/>
        </w:rPr>
        <w:t>气中后又会回到土壤中，然而，在非沿海地区，这种循环是不完全的，因此植物性食物和饮用水中的</w:t>
      </w:r>
    </w:p>
    <w:p w14:paraId="7B525561">
      <w:pPr>
        <w:spacing w:line="343" w:lineRule="auto"/>
        <w:rPr>
          <w:rFonts w:ascii="宋体" w:hAnsi="宋体" w:eastAsia="宋体" w:cs="宋体"/>
          <w:sz w:val="20"/>
          <w:szCs w:val="20"/>
        </w:rPr>
        <w:sectPr>
          <w:footerReference r:id="rId382" w:type="default"/>
          <w:pgSz w:w="11900" w:h="16820"/>
          <w:pgMar w:top="400" w:right="1068" w:bottom="859" w:left="1660" w:header="0" w:footer="679" w:gutter="0"/>
          <w:cols w:space="720" w:num="1"/>
        </w:sectPr>
      </w:pPr>
    </w:p>
    <w:p w14:paraId="4DB13B8F">
      <w:pPr>
        <w:spacing w:line="346" w:lineRule="auto"/>
        <w:rPr>
          <w:rFonts w:ascii="Arial"/>
          <w:sz w:val="21"/>
        </w:rPr>
      </w:pPr>
    </w:p>
    <w:p w14:paraId="5D45AA77">
      <w:pPr>
        <w:pStyle w:val="2"/>
        <w:spacing w:before="65" w:line="221" w:lineRule="auto"/>
        <w:ind w:left="692"/>
        <w:rPr>
          <w:sz w:val="20"/>
          <w:szCs w:val="20"/>
        </w:rPr>
      </w:pPr>
      <w:r>
        <w:rPr>
          <w:b/>
          <w:bCs/>
          <w:spacing w:val="-20"/>
          <w:sz w:val="20"/>
          <w:szCs w:val="20"/>
        </w:rPr>
        <w:t>第二十四章</w:t>
      </w:r>
      <w:r>
        <w:rPr>
          <w:spacing w:val="-20"/>
          <w:sz w:val="20"/>
          <w:szCs w:val="20"/>
        </w:rPr>
        <w:t xml:space="preserve"> </w:t>
      </w:r>
      <w:r>
        <w:rPr>
          <w:b/>
          <w:bCs/>
          <w:spacing w:val="-20"/>
          <w:sz w:val="20"/>
          <w:szCs w:val="20"/>
        </w:rPr>
        <w:t>地方病</w:t>
      </w:r>
    </w:p>
    <w:p w14:paraId="39BA67C0">
      <w:pPr>
        <w:spacing w:line="273" w:lineRule="auto"/>
        <w:rPr>
          <w:rFonts w:ascii="Arial"/>
          <w:sz w:val="21"/>
        </w:rPr>
      </w:pPr>
    </w:p>
    <w:p w14:paraId="5355524B">
      <w:pPr>
        <w:spacing w:line="273" w:lineRule="auto"/>
        <w:rPr>
          <w:rFonts w:ascii="Arial"/>
          <w:sz w:val="21"/>
        </w:rPr>
      </w:pPr>
    </w:p>
    <w:p w14:paraId="32CF2EF2">
      <w:pPr>
        <w:spacing w:before="65" w:line="329" w:lineRule="auto"/>
        <w:ind w:left="689" w:right="88"/>
        <w:jc w:val="both"/>
        <w:rPr>
          <w:rFonts w:ascii="宋体" w:hAnsi="宋体" w:eastAsia="宋体" w:cs="宋体"/>
          <w:sz w:val="20"/>
          <w:szCs w:val="20"/>
        </w:rPr>
      </w:pPr>
      <w:r>
        <w:rPr>
          <w:rFonts w:ascii="宋体" w:hAnsi="宋体" w:eastAsia="宋体" w:cs="宋体"/>
          <w:spacing w:val="5"/>
          <w:sz w:val="20"/>
          <w:szCs w:val="20"/>
        </w:rPr>
        <w:t>碘都被耗尽。从历史上看，内陆地区(中亚和非洲、中欧和东欧、美国中部)、山区(阿尔</w:t>
      </w:r>
      <w:r>
        <w:rPr>
          <w:rFonts w:ascii="宋体" w:hAnsi="宋体" w:eastAsia="宋体" w:cs="宋体"/>
          <w:spacing w:val="4"/>
          <w:sz w:val="20"/>
          <w:szCs w:val="20"/>
        </w:rPr>
        <w:t>卑斯山、安</w:t>
      </w:r>
      <w:r>
        <w:rPr>
          <w:rFonts w:ascii="宋体" w:hAnsi="宋体" w:eastAsia="宋体" w:cs="宋体"/>
          <w:sz w:val="20"/>
          <w:szCs w:val="20"/>
        </w:rPr>
        <w:t xml:space="preserve"> </w:t>
      </w:r>
      <w:r>
        <w:rPr>
          <w:rFonts w:ascii="宋体" w:hAnsi="宋体" w:eastAsia="宋体" w:cs="宋体"/>
          <w:spacing w:val="9"/>
          <w:sz w:val="20"/>
          <w:szCs w:val="20"/>
        </w:rPr>
        <w:t>第斯山脉、阿特拉斯山脉、喜马拉雅山)和洪水频繁地区(东南亚)的人群中都曾有过</w:t>
      </w:r>
      <w:r>
        <w:rPr>
          <w:rFonts w:ascii="Times New Roman" w:hAnsi="Times New Roman" w:eastAsia="Times New Roman" w:cs="Times New Roman"/>
          <w:sz w:val="20"/>
          <w:szCs w:val="20"/>
        </w:rPr>
        <w:t>IDD</w:t>
      </w:r>
      <w:r>
        <w:rPr>
          <w:rFonts w:ascii="Times New Roman" w:hAnsi="Times New Roman" w:eastAsia="Times New Roman" w:cs="Times New Roman"/>
          <w:spacing w:val="34"/>
          <w:w w:val="101"/>
          <w:sz w:val="20"/>
          <w:szCs w:val="20"/>
        </w:rPr>
        <w:t xml:space="preserve"> </w:t>
      </w:r>
      <w:r>
        <w:rPr>
          <w:rFonts w:ascii="宋体" w:hAnsi="宋体" w:eastAsia="宋体" w:cs="宋体"/>
          <w:spacing w:val="9"/>
          <w:sz w:val="20"/>
          <w:szCs w:val="20"/>
        </w:rPr>
        <w:t>流行。截</w:t>
      </w:r>
      <w:r>
        <w:rPr>
          <w:rFonts w:ascii="宋体" w:hAnsi="宋体" w:eastAsia="宋体" w:cs="宋体"/>
          <w:sz w:val="20"/>
          <w:szCs w:val="20"/>
        </w:rPr>
        <w:t xml:space="preserve"> </w:t>
      </w:r>
      <w:r>
        <w:rPr>
          <w:rFonts w:ascii="宋体" w:hAnsi="宋体" w:eastAsia="宋体" w:cs="宋体"/>
          <w:spacing w:val="10"/>
          <w:sz w:val="20"/>
          <w:szCs w:val="20"/>
        </w:rPr>
        <w:t>至2019年，全球碘摄入不足的国家有23个。</w:t>
      </w:r>
    </w:p>
    <w:p w14:paraId="00A07C30">
      <w:pPr>
        <w:spacing w:line="336" w:lineRule="auto"/>
        <w:ind w:left="689" w:right="20" w:firstLine="399"/>
        <w:rPr>
          <w:rFonts w:ascii="宋体" w:hAnsi="宋体" w:eastAsia="宋体" w:cs="宋体"/>
          <w:sz w:val="20"/>
          <w:szCs w:val="20"/>
        </w:rPr>
      </w:pPr>
      <w:r>
        <w:rPr>
          <w:rFonts w:ascii="宋体" w:hAnsi="宋体" w:eastAsia="宋体" w:cs="宋体"/>
          <w:spacing w:val="13"/>
          <w:sz w:val="20"/>
          <w:szCs w:val="20"/>
        </w:rPr>
        <w:t>我国曾是世界上</w:t>
      </w:r>
      <w:r>
        <w:rPr>
          <w:rFonts w:ascii="Times New Roman" w:hAnsi="Times New Roman" w:eastAsia="Times New Roman" w:cs="Times New Roman"/>
          <w:sz w:val="20"/>
          <w:szCs w:val="20"/>
        </w:rPr>
        <w:t>IDD</w:t>
      </w:r>
      <w:r>
        <w:rPr>
          <w:rFonts w:ascii="Times New Roman" w:hAnsi="Times New Roman" w:eastAsia="Times New Roman" w:cs="Times New Roman"/>
          <w:spacing w:val="20"/>
          <w:sz w:val="20"/>
          <w:szCs w:val="20"/>
        </w:rPr>
        <w:t xml:space="preserve"> </w:t>
      </w:r>
      <w:r>
        <w:rPr>
          <w:rFonts w:ascii="宋体" w:hAnsi="宋体" w:eastAsia="宋体" w:cs="宋体"/>
          <w:spacing w:val="13"/>
          <w:sz w:val="20"/>
          <w:szCs w:val="20"/>
        </w:rPr>
        <w:t>分布广泛、病情严重的国家之一</w:t>
      </w:r>
      <w:r>
        <w:rPr>
          <w:rFonts w:ascii="宋体" w:hAnsi="宋体" w:eastAsia="宋体" w:cs="宋体"/>
          <w:spacing w:val="-58"/>
          <w:sz w:val="20"/>
          <w:szCs w:val="20"/>
        </w:rPr>
        <w:t xml:space="preserve"> </w:t>
      </w:r>
      <w:r>
        <w:rPr>
          <w:rFonts w:ascii="宋体" w:hAnsi="宋体" w:eastAsia="宋体" w:cs="宋体"/>
          <w:spacing w:val="13"/>
          <w:sz w:val="20"/>
          <w:szCs w:val="20"/>
        </w:rPr>
        <w:t>。据1990年统</w:t>
      </w:r>
      <w:r>
        <w:rPr>
          <w:rFonts w:ascii="宋体" w:hAnsi="宋体" w:eastAsia="宋体" w:cs="宋体"/>
          <w:spacing w:val="12"/>
          <w:sz w:val="20"/>
          <w:szCs w:val="20"/>
        </w:rPr>
        <w:t>计，我国大陆的30个省、</w:t>
      </w:r>
      <w:r>
        <w:rPr>
          <w:rFonts w:ascii="宋体" w:hAnsi="宋体" w:eastAsia="宋体" w:cs="宋体"/>
          <w:sz w:val="20"/>
          <w:szCs w:val="20"/>
        </w:rPr>
        <w:t xml:space="preserve"> </w:t>
      </w:r>
      <w:r>
        <w:rPr>
          <w:rFonts w:ascii="宋体" w:hAnsi="宋体" w:eastAsia="宋体" w:cs="宋体"/>
          <w:spacing w:val="5"/>
          <w:sz w:val="20"/>
          <w:szCs w:val="20"/>
        </w:rPr>
        <w:t>自治区和直辖市都有</w:t>
      </w:r>
      <w:r>
        <w:rPr>
          <w:rFonts w:ascii="Times New Roman" w:hAnsi="Times New Roman" w:eastAsia="Times New Roman" w:cs="Times New Roman"/>
          <w:sz w:val="20"/>
          <w:szCs w:val="20"/>
        </w:rPr>
        <w:t>IDD</w:t>
      </w:r>
      <w:r>
        <w:rPr>
          <w:rFonts w:ascii="Times New Roman" w:hAnsi="Times New Roman" w:eastAsia="Times New Roman" w:cs="Times New Roman"/>
          <w:spacing w:val="5"/>
          <w:sz w:val="20"/>
          <w:szCs w:val="20"/>
        </w:rPr>
        <w:t xml:space="preserve"> </w:t>
      </w:r>
      <w:r>
        <w:rPr>
          <w:rFonts w:ascii="宋体" w:hAnsi="宋体" w:eastAsia="宋体" w:cs="宋体"/>
          <w:spacing w:val="5"/>
          <w:sz w:val="20"/>
          <w:szCs w:val="20"/>
        </w:rPr>
        <w:t>的流行，仅上海市除外。且发病内陆地区多于沿海地区，乡村多于城市。</w:t>
      </w:r>
    </w:p>
    <w:p w14:paraId="20FD1EB7">
      <w:pPr>
        <w:pStyle w:val="2"/>
        <w:spacing w:line="222" w:lineRule="auto"/>
        <w:ind w:left="1093"/>
        <w:rPr>
          <w:sz w:val="24"/>
          <w:szCs w:val="24"/>
        </w:rPr>
      </w:pPr>
      <w:r>
        <w:rPr>
          <w:b/>
          <w:bCs/>
          <w:spacing w:val="-3"/>
          <w:sz w:val="24"/>
          <w:szCs w:val="24"/>
        </w:rPr>
        <w:t>(二)时间分布</w:t>
      </w:r>
    </w:p>
    <w:p w14:paraId="7715DC26">
      <w:pPr>
        <w:spacing w:before="101" w:line="333" w:lineRule="auto"/>
        <w:ind w:left="689" w:firstLine="399"/>
        <w:jc w:val="both"/>
        <w:rPr>
          <w:rFonts w:ascii="宋体" w:hAnsi="宋体" w:eastAsia="宋体" w:cs="宋体"/>
          <w:sz w:val="20"/>
          <w:szCs w:val="20"/>
        </w:rPr>
      </w:pPr>
      <w:r>
        <w:rPr>
          <w:rFonts w:ascii="宋体" w:hAnsi="宋体" w:eastAsia="宋体" w:cs="宋体"/>
          <w:spacing w:val="7"/>
          <w:sz w:val="20"/>
          <w:szCs w:val="20"/>
        </w:rPr>
        <w:t>新中国成立初期，全国地方性甲状腺肿患者人数达20</w:t>
      </w:r>
      <w:r>
        <w:rPr>
          <w:rFonts w:ascii="宋体" w:hAnsi="宋体" w:eastAsia="宋体" w:cs="宋体"/>
          <w:spacing w:val="6"/>
          <w:sz w:val="20"/>
          <w:szCs w:val="20"/>
        </w:rPr>
        <w:t>00万人；1959—1983年，地方性甲状腺肿</w:t>
      </w:r>
      <w:r>
        <w:rPr>
          <w:rFonts w:ascii="宋体" w:hAnsi="宋体" w:eastAsia="宋体" w:cs="宋体"/>
          <w:sz w:val="20"/>
          <w:szCs w:val="20"/>
        </w:rPr>
        <w:t xml:space="preserve">  </w:t>
      </w:r>
      <w:r>
        <w:rPr>
          <w:rFonts w:ascii="宋体" w:hAnsi="宋体" w:eastAsia="宋体" w:cs="宋体"/>
          <w:spacing w:val="10"/>
          <w:sz w:val="20"/>
          <w:szCs w:val="20"/>
        </w:rPr>
        <w:t>患病率为8.3%～12.9%,1983年地方性克汀病患病率为0.66%;经过在病区实行食盐加碘、投服碘油</w:t>
      </w:r>
      <w:r>
        <w:rPr>
          <w:rFonts w:ascii="宋体" w:hAnsi="宋体" w:eastAsia="宋体" w:cs="宋体"/>
          <w:spacing w:val="9"/>
          <w:sz w:val="20"/>
          <w:szCs w:val="20"/>
        </w:rPr>
        <w:t xml:space="preserve"> </w:t>
      </w:r>
      <w:r>
        <w:rPr>
          <w:rFonts w:ascii="宋体" w:hAnsi="宋体" w:eastAsia="宋体" w:cs="宋体"/>
          <w:spacing w:val="-1"/>
          <w:sz w:val="20"/>
          <w:szCs w:val="20"/>
        </w:rPr>
        <w:t>等综合防制措施，到1988年，地方性甲状腺肿的患病率约为2%,除新疆、西藏</w:t>
      </w:r>
      <w:r>
        <w:rPr>
          <w:rFonts w:ascii="宋体" w:hAnsi="宋体" w:eastAsia="宋体" w:cs="宋体"/>
          <w:spacing w:val="-2"/>
          <w:sz w:val="20"/>
          <w:szCs w:val="20"/>
        </w:rPr>
        <w:t>外，其他省(自治区、直辖</w:t>
      </w:r>
      <w:r>
        <w:rPr>
          <w:rFonts w:ascii="宋体" w:hAnsi="宋体" w:eastAsia="宋体" w:cs="宋体"/>
          <w:sz w:val="20"/>
          <w:szCs w:val="20"/>
        </w:rPr>
        <w:t xml:space="preserve"> </w:t>
      </w:r>
      <w:r>
        <w:rPr>
          <w:rFonts w:ascii="宋体" w:hAnsi="宋体" w:eastAsia="宋体" w:cs="宋体"/>
          <w:spacing w:val="-1"/>
          <w:sz w:val="20"/>
          <w:szCs w:val="20"/>
        </w:rPr>
        <w:t>市)的碘缺乏病已得到控制；1994年我国开始实行《食盐加碘</w:t>
      </w:r>
      <w:r>
        <w:rPr>
          <w:rFonts w:ascii="宋体" w:hAnsi="宋体" w:eastAsia="宋体" w:cs="宋体"/>
          <w:spacing w:val="-2"/>
          <w:sz w:val="20"/>
          <w:szCs w:val="20"/>
        </w:rPr>
        <w:t>消除碘缺乏危害管理条例》,至1995年全国</w:t>
      </w:r>
      <w:r>
        <w:rPr>
          <w:rFonts w:ascii="宋体" w:hAnsi="宋体" w:eastAsia="宋体" w:cs="宋体"/>
          <w:sz w:val="20"/>
          <w:szCs w:val="20"/>
        </w:rPr>
        <w:t xml:space="preserve"> </w:t>
      </w:r>
      <w:r>
        <w:rPr>
          <w:rFonts w:ascii="宋体" w:hAnsi="宋体" w:eastAsia="宋体" w:cs="宋体"/>
          <w:spacing w:val="3"/>
          <w:sz w:val="20"/>
          <w:szCs w:val="20"/>
        </w:rPr>
        <w:t>基本普及了加碘盐，并于1995年开始了所有省份的碘缺乏病监测工作，从2016年起逐</w:t>
      </w:r>
      <w:r>
        <w:rPr>
          <w:rFonts w:ascii="宋体" w:hAnsi="宋体" w:eastAsia="宋体" w:cs="宋体"/>
          <w:spacing w:val="2"/>
          <w:sz w:val="20"/>
          <w:szCs w:val="20"/>
        </w:rPr>
        <w:t>步实现了县级监</w:t>
      </w:r>
      <w:r>
        <w:rPr>
          <w:rFonts w:ascii="宋体" w:hAnsi="宋体" w:eastAsia="宋体" w:cs="宋体"/>
          <w:sz w:val="20"/>
          <w:szCs w:val="20"/>
        </w:rPr>
        <w:t xml:space="preserve"> </w:t>
      </w:r>
      <w:r>
        <w:rPr>
          <w:rFonts w:ascii="宋体" w:hAnsi="宋体" w:eastAsia="宋体" w:cs="宋体"/>
          <w:spacing w:val="3"/>
          <w:sz w:val="20"/>
          <w:szCs w:val="20"/>
        </w:rPr>
        <w:t>测全覆盖。监测结果显示：8～10岁儿童甲状腺肿大率逐年下降，从1995年的20.4%、1997年的10.9%,</w:t>
      </w:r>
      <w:r>
        <w:rPr>
          <w:rFonts w:ascii="宋体" w:hAnsi="宋体" w:eastAsia="宋体" w:cs="宋体"/>
          <w:spacing w:val="5"/>
          <w:sz w:val="20"/>
          <w:szCs w:val="20"/>
        </w:rPr>
        <w:t xml:space="preserve"> </w:t>
      </w:r>
      <w:r>
        <w:rPr>
          <w:rFonts w:ascii="宋体" w:hAnsi="宋体" w:eastAsia="宋体" w:cs="宋体"/>
          <w:spacing w:val="10"/>
          <w:sz w:val="20"/>
          <w:szCs w:val="20"/>
        </w:rPr>
        <w:t>到2005年的4.0%,达到了“儿童甲状腺肿患病率低于5.0%”</w:t>
      </w:r>
      <w:r>
        <w:rPr>
          <w:rFonts w:ascii="宋体" w:hAnsi="宋体" w:eastAsia="宋体" w:cs="宋体"/>
          <w:spacing w:val="9"/>
          <w:sz w:val="20"/>
          <w:szCs w:val="20"/>
        </w:rPr>
        <w:t>的消除标准，到2019年已下降至1.5%。</w:t>
      </w:r>
      <w:r>
        <w:rPr>
          <w:rFonts w:ascii="宋体" w:hAnsi="宋体" w:eastAsia="宋体" w:cs="宋体"/>
          <w:sz w:val="20"/>
          <w:szCs w:val="20"/>
        </w:rPr>
        <w:t xml:space="preserve"> </w:t>
      </w:r>
      <w:r>
        <w:rPr>
          <w:rFonts w:ascii="宋体" w:hAnsi="宋体" w:eastAsia="宋体" w:cs="宋体"/>
          <w:spacing w:val="8"/>
          <w:sz w:val="20"/>
          <w:szCs w:val="20"/>
        </w:rPr>
        <w:t>2010年后没有发现新发地方性克汀病。截至2020年，全国95%以上区县达到了碘缺乏病消除标准。</w:t>
      </w:r>
    </w:p>
    <w:p w14:paraId="69EAEF2E">
      <w:pPr>
        <w:pStyle w:val="2"/>
        <w:spacing w:before="2" w:line="221" w:lineRule="auto"/>
        <w:ind w:left="1093"/>
        <w:rPr>
          <w:sz w:val="24"/>
          <w:szCs w:val="24"/>
        </w:rPr>
      </w:pPr>
      <w:r>
        <w:rPr>
          <w:b/>
          <w:bCs/>
          <w:spacing w:val="-3"/>
          <w:sz w:val="24"/>
          <w:szCs w:val="24"/>
        </w:rPr>
        <w:t>(三)人群分布</w:t>
      </w:r>
    </w:p>
    <w:p w14:paraId="31839D5C">
      <w:pPr>
        <w:spacing w:before="97" w:line="333" w:lineRule="auto"/>
        <w:ind w:left="689" w:right="81" w:firstLine="399"/>
        <w:jc w:val="both"/>
        <w:rPr>
          <w:rFonts w:ascii="宋体" w:hAnsi="宋体" w:eastAsia="宋体" w:cs="宋体"/>
          <w:sz w:val="20"/>
          <w:szCs w:val="20"/>
        </w:rPr>
      </w:pPr>
      <w:r>
        <w:rPr>
          <w:rFonts w:ascii="Times New Roman" w:hAnsi="Times New Roman" w:eastAsia="Times New Roman" w:cs="Times New Roman"/>
          <w:sz w:val="20"/>
          <w:szCs w:val="20"/>
        </w:rPr>
        <w:t>IDD</w:t>
      </w:r>
      <w:r>
        <w:rPr>
          <w:rFonts w:ascii="Times New Roman" w:hAnsi="Times New Roman" w:eastAsia="Times New Roman" w:cs="Times New Roman"/>
          <w:spacing w:val="8"/>
          <w:sz w:val="20"/>
          <w:szCs w:val="20"/>
        </w:rPr>
        <w:t xml:space="preserve"> </w:t>
      </w:r>
      <w:r>
        <w:rPr>
          <w:rFonts w:ascii="宋体" w:hAnsi="宋体" w:eastAsia="宋体" w:cs="宋体"/>
          <w:spacing w:val="8"/>
          <w:sz w:val="20"/>
          <w:szCs w:val="20"/>
        </w:rPr>
        <w:t>的高危人群是0～2岁婴幼儿、儿童、孕妇及哺乳</w:t>
      </w:r>
      <w:r>
        <w:rPr>
          <w:rFonts w:ascii="宋体" w:hAnsi="宋体" w:eastAsia="宋体" w:cs="宋体"/>
          <w:spacing w:val="7"/>
          <w:sz w:val="20"/>
          <w:szCs w:val="20"/>
        </w:rPr>
        <w:t>期妇女。胎儿、新生儿及婴儿期严重的碘</w:t>
      </w:r>
      <w:r>
        <w:rPr>
          <w:rFonts w:ascii="宋体" w:hAnsi="宋体" w:eastAsia="宋体" w:cs="宋体"/>
          <w:sz w:val="20"/>
          <w:szCs w:val="20"/>
        </w:rPr>
        <w:t xml:space="preserve"> </w:t>
      </w:r>
      <w:r>
        <w:rPr>
          <w:rFonts w:ascii="宋体" w:hAnsi="宋体" w:eastAsia="宋体" w:cs="宋体"/>
          <w:spacing w:val="12"/>
          <w:sz w:val="20"/>
          <w:szCs w:val="20"/>
        </w:rPr>
        <w:t xml:space="preserve">缺乏可导致地方性克汀病。地方性克汀病患者分布不均，且呈现家族多发性和村寨聚集性。任何 </w:t>
      </w:r>
      <w:r>
        <w:rPr>
          <w:rFonts w:ascii="宋体" w:hAnsi="宋体" w:eastAsia="宋体" w:cs="宋体"/>
          <w:spacing w:val="8"/>
          <w:sz w:val="20"/>
          <w:szCs w:val="20"/>
        </w:rPr>
        <w:t>年龄均可能发生地方性甲状腺肿，但一般在青春期开始发病</w:t>
      </w:r>
      <w:r>
        <w:rPr>
          <w:rFonts w:ascii="宋体" w:hAnsi="宋体" w:eastAsia="宋体" w:cs="宋体"/>
          <w:spacing w:val="7"/>
          <w:sz w:val="20"/>
          <w:szCs w:val="20"/>
        </w:rPr>
        <w:t>，随着年龄的增长患病率增加，中年以</w:t>
      </w:r>
      <w:r>
        <w:rPr>
          <w:rFonts w:ascii="宋体" w:hAnsi="宋体" w:eastAsia="宋体" w:cs="宋体"/>
          <w:sz w:val="20"/>
          <w:szCs w:val="20"/>
        </w:rPr>
        <w:t xml:space="preserve"> </w:t>
      </w:r>
      <w:r>
        <w:rPr>
          <w:rFonts w:ascii="宋体" w:hAnsi="宋体" w:eastAsia="宋体" w:cs="宋体"/>
          <w:spacing w:val="12"/>
          <w:sz w:val="20"/>
          <w:szCs w:val="20"/>
        </w:rPr>
        <w:t>后下降。重病区发病年龄提前。10岁之前地方性甲状腺肿发病无性别差别，从青春期开始呈女性</w:t>
      </w:r>
      <w:r>
        <w:rPr>
          <w:rFonts w:ascii="宋体" w:hAnsi="宋体" w:eastAsia="宋体" w:cs="宋体"/>
          <w:spacing w:val="1"/>
          <w:sz w:val="20"/>
          <w:szCs w:val="20"/>
        </w:rPr>
        <w:t xml:space="preserve"> </w:t>
      </w:r>
      <w:r>
        <w:rPr>
          <w:rFonts w:ascii="宋体" w:hAnsi="宋体" w:eastAsia="宋体" w:cs="宋体"/>
          <w:spacing w:val="7"/>
          <w:sz w:val="20"/>
          <w:szCs w:val="20"/>
        </w:rPr>
        <w:t>多于男性。病情越严重的地区，地方性甲状腺肿的男女患病</w:t>
      </w:r>
      <w:r>
        <w:rPr>
          <w:rFonts w:ascii="宋体" w:hAnsi="宋体" w:eastAsia="宋体" w:cs="宋体"/>
          <w:spacing w:val="6"/>
          <w:sz w:val="20"/>
          <w:szCs w:val="20"/>
        </w:rPr>
        <w:t>率差别越小。</w:t>
      </w:r>
    </w:p>
    <w:p w14:paraId="7898E9B5">
      <w:pPr>
        <w:pStyle w:val="2"/>
        <w:spacing w:before="212" w:line="221" w:lineRule="auto"/>
        <w:ind w:left="1093"/>
        <w:outlineLvl w:val="4"/>
        <w:rPr>
          <w:sz w:val="24"/>
          <w:szCs w:val="24"/>
        </w:rPr>
      </w:pPr>
      <w:bookmarkStart w:id="617" w:name="bookmark397"/>
      <w:bookmarkEnd w:id="617"/>
      <w:r>
        <w:rPr>
          <w:b/>
          <w:bCs/>
          <w:spacing w:val="-1"/>
          <w:sz w:val="24"/>
          <w:szCs w:val="24"/>
        </w:rPr>
        <w:t>三</w:t>
      </w:r>
      <w:r>
        <w:rPr>
          <w:spacing w:val="-58"/>
          <w:sz w:val="24"/>
          <w:szCs w:val="24"/>
        </w:rPr>
        <w:t xml:space="preserve"> </w:t>
      </w:r>
      <w:r>
        <w:rPr>
          <w:b/>
          <w:bCs/>
          <w:spacing w:val="-1"/>
          <w:sz w:val="24"/>
          <w:szCs w:val="24"/>
        </w:rPr>
        <w:t>、疾病防制</w:t>
      </w:r>
    </w:p>
    <w:p w14:paraId="0A45C4F6">
      <w:pPr>
        <w:pStyle w:val="2"/>
        <w:spacing w:before="256" w:line="224" w:lineRule="auto"/>
        <w:ind w:left="1093"/>
        <w:rPr>
          <w:sz w:val="24"/>
          <w:szCs w:val="24"/>
        </w:rPr>
      </w:pPr>
      <w:r>
        <w:rPr>
          <w:b/>
          <w:bCs/>
          <w:spacing w:val="7"/>
          <w:sz w:val="24"/>
          <w:szCs w:val="24"/>
        </w:rPr>
        <w:t>(一)监测</w:t>
      </w:r>
    </w:p>
    <w:p w14:paraId="0DAC4CD8">
      <w:pPr>
        <w:spacing w:before="79" w:line="346" w:lineRule="auto"/>
        <w:ind w:left="689" w:right="90" w:firstLine="399"/>
        <w:rPr>
          <w:rFonts w:ascii="宋体" w:hAnsi="宋体" w:eastAsia="宋体" w:cs="宋体"/>
          <w:sz w:val="20"/>
          <w:szCs w:val="20"/>
        </w:rPr>
      </w:pPr>
      <w:r>
        <w:rPr>
          <w:rFonts w:ascii="宋体" w:hAnsi="宋体" w:eastAsia="宋体" w:cs="宋体"/>
          <w:spacing w:val="8"/>
          <w:sz w:val="20"/>
          <w:szCs w:val="20"/>
        </w:rPr>
        <w:t>为及时了解人群的碘营养状况，积极推进因地制宜、分类指导和科学补</w:t>
      </w:r>
      <w:r>
        <w:rPr>
          <w:rFonts w:ascii="宋体" w:hAnsi="宋体" w:eastAsia="宋体" w:cs="宋体"/>
          <w:spacing w:val="7"/>
          <w:sz w:val="20"/>
          <w:szCs w:val="20"/>
        </w:rPr>
        <w:t>碘的防控策略，国家卫</w:t>
      </w:r>
      <w:r>
        <w:rPr>
          <w:rFonts w:ascii="宋体" w:hAnsi="宋体" w:eastAsia="宋体" w:cs="宋体"/>
          <w:sz w:val="20"/>
          <w:szCs w:val="20"/>
        </w:rPr>
        <w:t xml:space="preserve"> </w:t>
      </w:r>
      <w:r>
        <w:rPr>
          <w:rFonts w:ascii="宋体" w:hAnsi="宋体" w:eastAsia="宋体" w:cs="宋体"/>
          <w:spacing w:val="9"/>
          <w:sz w:val="20"/>
          <w:szCs w:val="20"/>
        </w:rPr>
        <w:t>生和计划生育委员会根据需要颁布并更新了全国碘缺乏病监测方案。</w:t>
      </w:r>
    </w:p>
    <w:p w14:paraId="489A11D8">
      <w:pPr>
        <w:pStyle w:val="2"/>
        <w:spacing w:before="1" w:line="275" w:lineRule="auto"/>
        <w:ind w:left="689" w:right="49" w:firstLine="399"/>
        <w:rPr>
          <w:rFonts w:ascii="宋体" w:hAnsi="宋体" w:eastAsia="宋体" w:cs="宋体"/>
          <w:sz w:val="20"/>
          <w:szCs w:val="20"/>
        </w:rPr>
      </w:pPr>
      <w:r>
        <w:rPr>
          <w:rFonts w:ascii="宋体" w:hAnsi="宋体" w:eastAsia="宋体" w:cs="宋体"/>
          <w:spacing w:val="2"/>
          <w:sz w:val="20"/>
          <w:szCs w:val="20"/>
        </w:rPr>
        <w:t>1.</w:t>
      </w:r>
      <w:r>
        <w:rPr>
          <w:rFonts w:ascii="宋体" w:hAnsi="宋体" w:eastAsia="宋体" w:cs="宋体"/>
          <w:spacing w:val="32"/>
          <w:sz w:val="20"/>
          <w:szCs w:val="20"/>
        </w:rPr>
        <w:t xml:space="preserve"> </w:t>
      </w:r>
      <w:r>
        <w:rPr>
          <w:spacing w:val="2"/>
          <w:sz w:val="20"/>
          <w:szCs w:val="20"/>
        </w:rPr>
        <w:t>目</w:t>
      </w:r>
      <w:r>
        <w:rPr>
          <w:spacing w:val="-21"/>
          <w:sz w:val="20"/>
          <w:szCs w:val="20"/>
        </w:rPr>
        <w:t xml:space="preserve"> </w:t>
      </w:r>
      <w:r>
        <w:rPr>
          <w:spacing w:val="2"/>
          <w:sz w:val="20"/>
          <w:szCs w:val="20"/>
        </w:rPr>
        <w:t xml:space="preserve">的  </w:t>
      </w:r>
      <w:r>
        <w:rPr>
          <w:rFonts w:ascii="宋体" w:hAnsi="宋体" w:eastAsia="宋体" w:cs="宋体"/>
          <w:spacing w:val="2"/>
          <w:sz w:val="20"/>
          <w:szCs w:val="20"/>
        </w:rPr>
        <w:t>以县级区划为单位观察重点人群尿碘、盐碘水平以及甲状腺肿大率等情况，及时掌握</w:t>
      </w:r>
      <w:r>
        <w:rPr>
          <w:rFonts w:ascii="宋体" w:hAnsi="宋体" w:eastAsia="宋体" w:cs="宋体"/>
          <w:sz w:val="20"/>
          <w:szCs w:val="20"/>
        </w:rPr>
        <w:t xml:space="preserve"> </w:t>
      </w:r>
      <w:r>
        <w:rPr>
          <w:rFonts w:ascii="宋体" w:hAnsi="宋体" w:eastAsia="宋体" w:cs="宋体"/>
          <w:spacing w:val="4"/>
          <w:sz w:val="20"/>
          <w:szCs w:val="20"/>
        </w:rPr>
        <w:t>县级人群碘营养状况及病情的消长趋势，为适时采取针对性防</w:t>
      </w:r>
      <w:r>
        <w:rPr>
          <w:rFonts w:ascii="宋体" w:hAnsi="宋体" w:eastAsia="宋体" w:cs="宋体"/>
          <w:spacing w:val="3"/>
          <w:sz w:val="20"/>
          <w:szCs w:val="20"/>
        </w:rPr>
        <w:t>制措施和科学调整干预策略提供依据。</w:t>
      </w:r>
    </w:p>
    <w:p w14:paraId="0D68CF0F">
      <w:pPr>
        <w:pStyle w:val="2"/>
        <w:spacing w:before="122" w:line="221" w:lineRule="auto"/>
        <w:ind w:left="1089"/>
        <w:rPr>
          <w:rFonts w:ascii="宋体" w:hAnsi="宋体" w:eastAsia="宋体" w:cs="宋体"/>
          <w:sz w:val="20"/>
          <w:szCs w:val="20"/>
        </w:rPr>
      </w:pPr>
      <w:r>
        <w:rPr>
          <w:rFonts w:ascii="宋体" w:hAnsi="宋体" w:eastAsia="宋体" w:cs="宋体"/>
          <w:spacing w:val="8"/>
          <w:sz w:val="20"/>
          <w:szCs w:val="20"/>
        </w:rPr>
        <w:t xml:space="preserve">2. </w:t>
      </w:r>
      <w:r>
        <w:rPr>
          <w:spacing w:val="8"/>
          <w:sz w:val="20"/>
          <w:szCs w:val="20"/>
        </w:rPr>
        <w:t>监测人群</w:t>
      </w:r>
      <w:r>
        <w:rPr>
          <w:spacing w:val="95"/>
          <w:sz w:val="20"/>
          <w:szCs w:val="20"/>
        </w:rPr>
        <w:t xml:space="preserve"> </w:t>
      </w:r>
      <w:r>
        <w:rPr>
          <w:rFonts w:ascii="宋体" w:hAnsi="宋体" w:eastAsia="宋体" w:cs="宋体"/>
          <w:spacing w:val="8"/>
          <w:sz w:val="20"/>
          <w:szCs w:val="20"/>
        </w:rPr>
        <w:t>在监测点居住半年以上常住人口中的8～10岁儿童、孕妇和新生儿。</w:t>
      </w:r>
    </w:p>
    <w:p w14:paraId="4EFF2E6C">
      <w:pPr>
        <w:pStyle w:val="2"/>
        <w:spacing w:before="122" w:line="311" w:lineRule="auto"/>
        <w:ind w:left="689" w:right="70" w:firstLine="399"/>
        <w:rPr>
          <w:rFonts w:ascii="宋体" w:hAnsi="宋体" w:eastAsia="宋体" w:cs="宋体"/>
          <w:sz w:val="20"/>
          <w:szCs w:val="20"/>
        </w:rPr>
      </w:pPr>
      <w:r>
        <w:rPr>
          <w:rFonts w:ascii="宋体" w:hAnsi="宋体" w:eastAsia="宋体" w:cs="宋体"/>
          <w:spacing w:val="7"/>
          <w:sz w:val="20"/>
          <w:szCs w:val="20"/>
        </w:rPr>
        <w:t xml:space="preserve">3. </w:t>
      </w:r>
      <w:r>
        <w:rPr>
          <w:spacing w:val="7"/>
          <w:sz w:val="20"/>
          <w:szCs w:val="20"/>
        </w:rPr>
        <w:t xml:space="preserve">抽样方法  </w:t>
      </w:r>
      <w:r>
        <w:rPr>
          <w:rFonts w:ascii="宋体" w:hAnsi="宋体" w:eastAsia="宋体" w:cs="宋体"/>
          <w:spacing w:val="7"/>
          <w:sz w:val="20"/>
          <w:szCs w:val="20"/>
        </w:rPr>
        <w:t>每个监测县按东、西、南、北、中划分为5个抽样片区，在每个片区各随机抽取</w:t>
      </w:r>
      <w:r>
        <w:rPr>
          <w:rFonts w:ascii="宋体" w:hAnsi="宋体" w:eastAsia="宋体" w:cs="宋体"/>
          <w:spacing w:val="10"/>
          <w:sz w:val="20"/>
          <w:szCs w:val="20"/>
        </w:rPr>
        <w:t xml:space="preserve"> </w:t>
      </w:r>
      <w:r>
        <w:rPr>
          <w:rFonts w:ascii="宋体" w:hAnsi="宋体" w:eastAsia="宋体" w:cs="宋体"/>
          <w:spacing w:val="18"/>
          <w:sz w:val="20"/>
          <w:szCs w:val="20"/>
        </w:rPr>
        <w:t>1个乡镇/街道(至少包括1个街道),每个乡镇/街道各抽取1所小学，每所小学抽</w:t>
      </w:r>
      <w:r>
        <w:rPr>
          <w:rFonts w:ascii="宋体" w:hAnsi="宋体" w:eastAsia="宋体" w:cs="宋体"/>
          <w:spacing w:val="17"/>
          <w:sz w:val="20"/>
          <w:szCs w:val="20"/>
        </w:rPr>
        <w:t>取8～10岁非寄</w:t>
      </w:r>
      <w:r>
        <w:rPr>
          <w:rFonts w:ascii="宋体" w:hAnsi="宋体" w:eastAsia="宋体" w:cs="宋体"/>
          <w:sz w:val="20"/>
          <w:szCs w:val="20"/>
        </w:rPr>
        <w:t xml:space="preserve"> </w:t>
      </w:r>
      <w:r>
        <w:rPr>
          <w:rFonts w:ascii="宋体" w:hAnsi="宋体" w:eastAsia="宋体" w:cs="宋体"/>
          <w:spacing w:val="19"/>
          <w:sz w:val="20"/>
          <w:szCs w:val="20"/>
        </w:rPr>
        <w:t>宿学生40人(不足40人时可在邻近的学校补齐)。每个监测县在所抽取的5个乡中，每个乡抽取</w:t>
      </w:r>
      <w:r>
        <w:rPr>
          <w:rFonts w:ascii="宋体" w:hAnsi="宋体" w:eastAsia="宋体" w:cs="宋体"/>
          <w:spacing w:val="2"/>
          <w:sz w:val="20"/>
          <w:szCs w:val="20"/>
        </w:rPr>
        <w:t xml:space="preserve"> </w:t>
      </w:r>
      <w:r>
        <w:rPr>
          <w:rFonts w:ascii="宋体" w:hAnsi="宋体" w:eastAsia="宋体" w:cs="宋体"/>
          <w:spacing w:val="10"/>
          <w:sz w:val="20"/>
          <w:szCs w:val="20"/>
        </w:rPr>
        <w:t>20名孕妇(人数不足时可在邻近乡镇补齐)。</w:t>
      </w:r>
    </w:p>
    <w:p w14:paraId="08AD2213">
      <w:pPr>
        <w:spacing w:before="130" w:line="219" w:lineRule="auto"/>
        <w:ind w:left="1092"/>
        <w:rPr>
          <w:rFonts w:ascii="宋体" w:hAnsi="宋体" w:eastAsia="宋体" w:cs="宋体"/>
          <w:sz w:val="20"/>
          <w:szCs w:val="20"/>
        </w:rPr>
      </w:pPr>
      <w:r>
        <w:rPr>
          <w:rFonts w:ascii="宋体" w:hAnsi="宋体" w:eastAsia="宋体" w:cs="宋体"/>
          <w:b/>
          <w:bCs/>
          <w:spacing w:val="5"/>
          <w:sz w:val="20"/>
          <w:szCs w:val="20"/>
        </w:rPr>
        <w:t>4.</w:t>
      </w:r>
      <w:r>
        <w:rPr>
          <w:rFonts w:ascii="宋体" w:hAnsi="宋体" w:eastAsia="宋体" w:cs="宋体"/>
          <w:spacing w:val="-10"/>
          <w:sz w:val="20"/>
          <w:szCs w:val="20"/>
        </w:rPr>
        <w:t xml:space="preserve"> </w:t>
      </w:r>
      <w:r>
        <w:rPr>
          <w:rFonts w:ascii="宋体" w:hAnsi="宋体" w:eastAsia="宋体" w:cs="宋体"/>
          <w:b/>
          <w:bCs/>
          <w:spacing w:val="5"/>
          <w:sz w:val="20"/>
          <w:szCs w:val="20"/>
        </w:rPr>
        <w:t>监测内容</w:t>
      </w:r>
    </w:p>
    <w:p w14:paraId="3DA511FE">
      <w:pPr>
        <w:spacing w:before="134" w:line="219" w:lineRule="auto"/>
        <w:ind w:left="1089"/>
        <w:rPr>
          <w:rFonts w:ascii="宋体" w:hAnsi="宋体" w:eastAsia="宋体" w:cs="宋体"/>
          <w:sz w:val="20"/>
          <w:szCs w:val="20"/>
        </w:rPr>
      </w:pPr>
      <w:r>
        <w:rPr>
          <w:rFonts w:ascii="宋体" w:hAnsi="宋体" w:eastAsia="宋体" w:cs="宋体"/>
          <w:spacing w:val="4"/>
          <w:sz w:val="20"/>
          <w:szCs w:val="20"/>
        </w:rPr>
        <w:t>(1)基本情况：监测县、乡的人口特征，上一年度经济收入情况等信息。</w:t>
      </w:r>
    </w:p>
    <w:p w14:paraId="59929E06">
      <w:pPr>
        <w:spacing w:before="101" w:line="312" w:lineRule="auto"/>
        <w:ind w:left="689" w:right="81" w:firstLine="399"/>
        <w:rPr>
          <w:rFonts w:ascii="Times New Roman" w:hAnsi="Times New Roman" w:eastAsia="Times New Roman" w:cs="Times New Roman"/>
          <w:sz w:val="20"/>
          <w:szCs w:val="20"/>
        </w:rPr>
      </w:pPr>
      <w:r>
        <w:rPr>
          <w:rFonts w:ascii="宋体" w:hAnsi="宋体" w:eastAsia="宋体" w:cs="宋体"/>
          <w:spacing w:val="7"/>
          <w:sz w:val="20"/>
          <w:szCs w:val="20"/>
        </w:rPr>
        <w:t>(2)必测项目：①8～10岁儿童尿碘、盐碘含量，对抽到的学生的尿样和学生家中食用盐样中的</w:t>
      </w:r>
      <w:r>
        <w:rPr>
          <w:rFonts w:ascii="宋体" w:hAnsi="宋体" w:eastAsia="宋体" w:cs="宋体"/>
          <w:spacing w:val="16"/>
          <w:sz w:val="20"/>
          <w:szCs w:val="20"/>
        </w:rPr>
        <w:t xml:space="preserve"> </w:t>
      </w:r>
      <w:r>
        <w:rPr>
          <w:rFonts w:ascii="宋体" w:hAnsi="宋体" w:eastAsia="宋体" w:cs="宋体"/>
          <w:spacing w:val="12"/>
          <w:sz w:val="20"/>
          <w:szCs w:val="20"/>
        </w:rPr>
        <w:t>碘含量进行检测；②8～10岁儿童甲状腺肿大情况，对抽到</w:t>
      </w:r>
      <w:r>
        <w:rPr>
          <w:rFonts w:ascii="宋体" w:hAnsi="宋体" w:eastAsia="宋体" w:cs="宋体"/>
          <w:spacing w:val="11"/>
          <w:sz w:val="20"/>
          <w:szCs w:val="20"/>
        </w:rPr>
        <w:t>的8～10岁儿童采用</w:t>
      </w:r>
      <w:r>
        <w:rPr>
          <w:rFonts w:ascii="Times New Roman" w:hAnsi="Times New Roman" w:eastAsia="Times New Roman" w:cs="Times New Roman"/>
          <w:spacing w:val="11"/>
          <w:sz w:val="20"/>
          <w:szCs w:val="20"/>
        </w:rPr>
        <w:t xml:space="preserve">B </w:t>
      </w:r>
      <w:r>
        <w:rPr>
          <w:rFonts w:ascii="宋体" w:hAnsi="宋体" w:eastAsia="宋体" w:cs="宋体"/>
          <w:spacing w:val="11"/>
          <w:sz w:val="20"/>
          <w:szCs w:val="20"/>
        </w:rPr>
        <w:t>超法测量甲状腺</w:t>
      </w:r>
      <w:r>
        <w:rPr>
          <w:rFonts w:ascii="宋体" w:hAnsi="宋体" w:eastAsia="宋体" w:cs="宋体"/>
          <w:sz w:val="20"/>
          <w:szCs w:val="20"/>
        </w:rPr>
        <w:t xml:space="preserve"> </w:t>
      </w:r>
      <w:r>
        <w:rPr>
          <w:rFonts w:ascii="宋体" w:hAnsi="宋体" w:eastAsia="宋体" w:cs="宋体"/>
          <w:spacing w:val="7"/>
          <w:sz w:val="20"/>
          <w:szCs w:val="20"/>
        </w:rPr>
        <w:t>容积，计算甲状腺肿大率；③孕妇尿碘、盐碘含量及孕妇补碘情况，对抽到的孕妇尿样及其家中食</w:t>
      </w:r>
      <w:r>
        <w:rPr>
          <w:rFonts w:ascii="宋体" w:hAnsi="宋体" w:eastAsia="宋体" w:cs="宋体"/>
          <w:spacing w:val="17"/>
          <w:sz w:val="20"/>
          <w:szCs w:val="20"/>
        </w:rPr>
        <w:t xml:space="preserve"> </w:t>
      </w:r>
      <w:r>
        <w:rPr>
          <w:rFonts w:ascii="宋体" w:hAnsi="宋体" w:eastAsia="宋体" w:cs="宋体"/>
          <w:spacing w:val="8"/>
          <w:sz w:val="20"/>
          <w:szCs w:val="20"/>
        </w:rPr>
        <w:t>用盐碘含量进行检测，同时通过问卷调查了解孕妇补碘情况</w:t>
      </w:r>
      <w:r>
        <w:rPr>
          <w:rFonts w:ascii="宋体" w:hAnsi="宋体" w:eastAsia="宋体" w:cs="宋体"/>
          <w:spacing w:val="7"/>
          <w:sz w:val="20"/>
          <w:szCs w:val="20"/>
        </w:rPr>
        <w:t>；④地方性克汀病搜索，搜索条件是以</w:t>
      </w:r>
      <w:r>
        <w:rPr>
          <w:rFonts w:ascii="宋体" w:hAnsi="宋体" w:eastAsia="宋体" w:cs="宋体"/>
          <w:sz w:val="20"/>
          <w:szCs w:val="20"/>
        </w:rPr>
        <w:t xml:space="preserve"> </w:t>
      </w:r>
      <w:r>
        <w:rPr>
          <w:rFonts w:ascii="宋体" w:hAnsi="宋体" w:eastAsia="宋体" w:cs="宋体"/>
          <w:spacing w:val="9"/>
          <w:sz w:val="20"/>
          <w:szCs w:val="20"/>
        </w:rPr>
        <w:t>县级为单位，历史上曾有地方性克汀病流行，本年度孕妇或8～10岁儿童尿碘中位数低于100μ</w:t>
      </w:r>
      <w:r>
        <w:rPr>
          <w:rFonts w:ascii="Times New Roman" w:hAnsi="Times New Roman" w:eastAsia="Times New Roman" w:cs="Times New Roman"/>
          <w:spacing w:val="9"/>
          <w:sz w:val="20"/>
          <w:szCs w:val="20"/>
        </w:rPr>
        <w:t>g/L</w:t>
      </w:r>
    </w:p>
    <w:p w14:paraId="19F12FAB">
      <w:pPr>
        <w:spacing w:line="312" w:lineRule="auto"/>
        <w:rPr>
          <w:rFonts w:ascii="Times New Roman" w:hAnsi="Times New Roman" w:eastAsia="Times New Roman" w:cs="Times New Roman"/>
          <w:sz w:val="20"/>
          <w:szCs w:val="20"/>
        </w:rPr>
        <w:sectPr>
          <w:footerReference r:id="rId383" w:type="default"/>
          <w:pgSz w:w="11900" w:h="16820"/>
          <w:pgMar w:top="400" w:right="1449" w:bottom="829" w:left="750" w:header="0" w:footer="649" w:gutter="0"/>
          <w:cols w:space="720" w:num="1"/>
        </w:sectPr>
      </w:pPr>
    </w:p>
    <w:p w14:paraId="78EC6CE9">
      <w:pPr>
        <w:pStyle w:val="2"/>
        <w:spacing w:before="196" w:line="221" w:lineRule="auto"/>
        <w:ind w:left="7110"/>
        <w:rPr>
          <w:sz w:val="20"/>
          <w:szCs w:val="20"/>
        </w:rPr>
      </w:pPr>
      <w:r>
        <w:rPr>
          <w:spacing w:val="-10"/>
          <w:sz w:val="20"/>
          <w:szCs w:val="20"/>
        </w:rPr>
        <w:t>第二十四章地方病</w:t>
      </w:r>
    </w:p>
    <w:p w14:paraId="63313566">
      <w:pPr>
        <w:spacing w:line="275" w:lineRule="auto"/>
        <w:rPr>
          <w:rFonts w:ascii="Arial"/>
          <w:sz w:val="21"/>
        </w:rPr>
      </w:pPr>
    </w:p>
    <w:p w14:paraId="0FF336CE">
      <w:pPr>
        <w:spacing w:line="276" w:lineRule="auto"/>
        <w:rPr>
          <w:rFonts w:ascii="Arial"/>
          <w:sz w:val="21"/>
        </w:rPr>
      </w:pPr>
    </w:p>
    <w:p w14:paraId="3B1D216A">
      <w:pPr>
        <w:spacing w:before="65" w:line="346" w:lineRule="auto"/>
        <w:ind w:right="611"/>
        <w:jc w:val="both"/>
        <w:rPr>
          <w:rFonts w:ascii="宋体" w:hAnsi="宋体" w:eastAsia="宋体" w:cs="宋体"/>
          <w:sz w:val="20"/>
          <w:szCs w:val="20"/>
        </w:rPr>
      </w:pPr>
      <w:r>
        <w:rPr>
          <w:rFonts w:ascii="宋体" w:hAnsi="宋体" w:eastAsia="宋体" w:cs="宋体"/>
          <w:spacing w:val="2"/>
          <w:sz w:val="20"/>
          <w:szCs w:val="20"/>
        </w:rPr>
        <w:t>即可启动。孕妇或8～10岁儿童尿碘中位数在100μ.</w:t>
      </w:r>
      <w:r>
        <w:rPr>
          <w:rFonts w:ascii="Times New Roman" w:hAnsi="Times New Roman" w:eastAsia="Times New Roman" w:cs="Times New Roman"/>
          <w:spacing w:val="2"/>
          <w:sz w:val="20"/>
          <w:szCs w:val="20"/>
        </w:rPr>
        <w:t>g/L</w:t>
      </w:r>
      <w:r>
        <w:rPr>
          <w:rFonts w:ascii="宋体" w:hAnsi="宋体" w:eastAsia="宋体" w:cs="宋体"/>
          <w:spacing w:val="2"/>
          <w:sz w:val="20"/>
          <w:szCs w:val="20"/>
        </w:rPr>
        <w:t>以上后，</w:t>
      </w:r>
      <w:r>
        <w:rPr>
          <w:rFonts w:ascii="宋体" w:hAnsi="宋体" w:eastAsia="宋体" w:cs="宋体"/>
          <w:spacing w:val="1"/>
          <w:sz w:val="20"/>
          <w:szCs w:val="20"/>
        </w:rPr>
        <w:t>终止高危地区地方性克汀病搜索。</w:t>
      </w:r>
      <w:r>
        <w:rPr>
          <w:rFonts w:ascii="宋体" w:hAnsi="宋体" w:eastAsia="宋体" w:cs="宋体"/>
          <w:sz w:val="20"/>
          <w:szCs w:val="20"/>
        </w:rPr>
        <w:t xml:space="preserve"> </w:t>
      </w:r>
      <w:r>
        <w:rPr>
          <w:rFonts w:ascii="宋体" w:hAnsi="宋体" w:eastAsia="宋体" w:cs="宋体"/>
          <w:spacing w:val="-4"/>
          <w:sz w:val="20"/>
          <w:szCs w:val="20"/>
        </w:rPr>
        <w:t>在搜索县查阅县级医院、乡(镇、街道办事处)卫生院的门诊日志、住院病历，搜索疑似病例；在搜索</w:t>
      </w:r>
      <w:r>
        <w:rPr>
          <w:rFonts w:ascii="宋体" w:hAnsi="宋体" w:eastAsia="宋体" w:cs="宋体"/>
          <w:spacing w:val="2"/>
          <w:sz w:val="20"/>
          <w:szCs w:val="20"/>
        </w:rPr>
        <w:t xml:space="preserve"> </w:t>
      </w:r>
      <w:r>
        <w:rPr>
          <w:rFonts w:ascii="宋体" w:hAnsi="宋体" w:eastAsia="宋体" w:cs="宋体"/>
          <w:sz w:val="20"/>
          <w:szCs w:val="20"/>
        </w:rPr>
        <w:t>乡(镇、街道办事处)、村(居委会)开展疑似病例线索调查。</w:t>
      </w:r>
      <w:r>
        <w:rPr>
          <w:rFonts w:ascii="宋体" w:hAnsi="宋体" w:eastAsia="宋体" w:cs="宋体"/>
          <w:spacing w:val="-1"/>
          <w:sz w:val="20"/>
          <w:szCs w:val="20"/>
        </w:rPr>
        <w:t>由各省(自治区、直辖市)专家诊断组进</w:t>
      </w:r>
      <w:r>
        <w:rPr>
          <w:rFonts w:ascii="宋体" w:hAnsi="宋体" w:eastAsia="宋体" w:cs="宋体"/>
          <w:sz w:val="20"/>
          <w:szCs w:val="20"/>
        </w:rPr>
        <w:t xml:space="preserve"> 行病例确诊后，将本地区开展搜索的范围和发现的线索以及疑似、确诊地方性克汀病患者数及有关</w:t>
      </w:r>
      <w:r>
        <w:rPr>
          <w:rFonts w:ascii="宋体" w:hAnsi="宋体" w:eastAsia="宋体" w:cs="宋体"/>
          <w:spacing w:val="18"/>
          <w:sz w:val="20"/>
          <w:szCs w:val="20"/>
        </w:rPr>
        <w:t xml:space="preserve"> </w:t>
      </w:r>
      <w:r>
        <w:rPr>
          <w:rFonts w:ascii="宋体" w:hAnsi="宋体" w:eastAsia="宋体" w:cs="宋体"/>
          <w:spacing w:val="3"/>
          <w:sz w:val="20"/>
          <w:szCs w:val="20"/>
        </w:rPr>
        <w:t>情况录人数据库。如该县(市、区、旗)次年还是高危地区县，则不实施地</w:t>
      </w:r>
      <w:r>
        <w:rPr>
          <w:rFonts w:ascii="宋体" w:hAnsi="宋体" w:eastAsia="宋体" w:cs="宋体"/>
          <w:spacing w:val="2"/>
          <w:sz w:val="20"/>
          <w:szCs w:val="20"/>
        </w:rPr>
        <w:t>方性克汀病搜索，如第3</w:t>
      </w:r>
      <w:r>
        <w:rPr>
          <w:rFonts w:ascii="宋体" w:hAnsi="宋体" w:eastAsia="宋体" w:cs="宋体"/>
          <w:sz w:val="20"/>
          <w:szCs w:val="20"/>
        </w:rPr>
        <w:t xml:space="preserve"> </w:t>
      </w:r>
      <w:r>
        <w:rPr>
          <w:rFonts w:ascii="宋体" w:hAnsi="宋体" w:eastAsia="宋体" w:cs="宋体"/>
          <w:spacing w:val="1"/>
          <w:sz w:val="20"/>
          <w:szCs w:val="20"/>
        </w:rPr>
        <w:t>年仍是高危地区县，则需再次开展地方性克汀病搜索工作。</w:t>
      </w:r>
    </w:p>
    <w:p w14:paraId="4ED979DA">
      <w:pPr>
        <w:spacing w:before="33" w:line="303" w:lineRule="auto"/>
        <w:ind w:right="561" w:firstLine="400"/>
        <w:rPr>
          <w:rFonts w:ascii="宋体" w:hAnsi="宋体" w:eastAsia="宋体" w:cs="宋体"/>
          <w:sz w:val="20"/>
          <w:szCs w:val="20"/>
        </w:rPr>
      </w:pPr>
      <w:r>
        <w:rPr>
          <w:rFonts w:ascii="宋体" w:hAnsi="宋体" w:eastAsia="宋体" w:cs="宋体"/>
          <w:spacing w:val="5"/>
          <w:sz w:val="20"/>
          <w:szCs w:val="20"/>
        </w:rPr>
        <w:t>(3)选择项目：收集新生儿甲状腺功能减退(简称甲减)病例的促甲状腺激素(</w:t>
      </w:r>
      <w:r>
        <w:rPr>
          <w:rFonts w:ascii="宋体" w:hAnsi="宋体" w:eastAsia="宋体" w:cs="宋体"/>
          <w:sz w:val="20"/>
          <w:szCs w:val="20"/>
        </w:rPr>
        <w:t>TSH</w:t>
      </w:r>
      <w:r>
        <w:rPr>
          <w:rFonts w:ascii="宋体" w:hAnsi="宋体" w:eastAsia="宋体" w:cs="宋体"/>
          <w:spacing w:val="4"/>
          <w:sz w:val="20"/>
          <w:szCs w:val="20"/>
        </w:rPr>
        <w:t>) 筛查结果；</w:t>
      </w:r>
      <w:r>
        <w:rPr>
          <w:rFonts w:ascii="宋体" w:hAnsi="宋体" w:eastAsia="宋体" w:cs="宋体"/>
          <w:sz w:val="20"/>
          <w:szCs w:val="20"/>
        </w:rPr>
        <w:t xml:space="preserve"> </w:t>
      </w:r>
      <w:r>
        <w:rPr>
          <w:rFonts w:ascii="宋体" w:hAnsi="宋体" w:eastAsia="宋体" w:cs="宋体"/>
          <w:spacing w:val="1"/>
          <w:sz w:val="20"/>
          <w:szCs w:val="20"/>
        </w:rPr>
        <w:t>收集甲减筛查复检的新生儿的甲状腺功能和抗体检测结果；收集孕</w:t>
      </w:r>
      <w:r>
        <w:rPr>
          <w:rFonts w:ascii="宋体" w:hAnsi="宋体" w:eastAsia="宋体" w:cs="宋体"/>
          <w:sz w:val="20"/>
          <w:szCs w:val="20"/>
        </w:rPr>
        <w:t>妇甲状腺功能和抗体检测结果。</w:t>
      </w:r>
    </w:p>
    <w:p w14:paraId="5DB25DC8">
      <w:pPr>
        <w:pStyle w:val="2"/>
        <w:spacing w:before="1" w:line="220" w:lineRule="auto"/>
        <w:ind w:left="433"/>
        <w:rPr>
          <w:sz w:val="24"/>
          <w:szCs w:val="24"/>
        </w:rPr>
      </w:pPr>
      <w:r>
        <w:rPr>
          <w:b/>
          <w:bCs/>
          <w:spacing w:val="6"/>
          <w:sz w:val="24"/>
          <w:szCs w:val="24"/>
        </w:rPr>
        <w:t>(二)预防</w:t>
      </w:r>
    </w:p>
    <w:p w14:paraId="37E284FF">
      <w:pPr>
        <w:pStyle w:val="2"/>
        <w:spacing w:before="131" w:line="305" w:lineRule="auto"/>
        <w:ind w:right="621" w:firstLine="432"/>
        <w:rPr>
          <w:rFonts w:ascii="宋体" w:hAnsi="宋体" w:eastAsia="宋体" w:cs="宋体"/>
          <w:sz w:val="20"/>
          <w:szCs w:val="20"/>
        </w:rPr>
      </w:pPr>
      <w:r>
        <w:rPr>
          <w:rFonts w:ascii="宋体" w:hAnsi="宋体" w:eastAsia="宋体" w:cs="宋体"/>
          <w:b/>
          <w:bCs/>
          <w:spacing w:val="3"/>
          <w:sz w:val="20"/>
          <w:szCs w:val="20"/>
        </w:rPr>
        <w:t>1.</w:t>
      </w:r>
      <w:r>
        <w:rPr>
          <w:rFonts w:ascii="宋体" w:hAnsi="宋体" w:eastAsia="宋体" w:cs="宋体"/>
          <w:spacing w:val="3"/>
          <w:sz w:val="20"/>
          <w:szCs w:val="20"/>
        </w:rPr>
        <w:t xml:space="preserve"> </w:t>
      </w:r>
      <w:r>
        <w:rPr>
          <w:b/>
          <w:bCs/>
          <w:spacing w:val="3"/>
          <w:sz w:val="20"/>
          <w:szCs w:val="20"/>
        </w:rPr>
        <w:t>碘盐</w:t>
      </w:r>
      <w:r>
        <w:rPr>
          <w:spacing w:val="76"/>
          <w:sz w:val="20"/>
          <w:szCs w:val="20"/>
        </w:rPr>
        <w:t xml:space="preserve"> </w:t>
      </w:r>
      <w:r>
        <w:rPr>
          <w:rFonts w:ascii="宋体" w:hAnsi="宋体" w:eastAsia="宋体" w:cs="宋体"/>
          <w:spacing w:val="3"/>
          <w:sz w:val="20"/>
          <w:szCs w:val="20"/>
        </w:rPr>
        <w:t>向缺碘人群提供碘补充剂的最实用和最具成本效益的方法是使用加碘盐。碘盐</w:t>
      </w:r>
      <w:r>
        <w:rPr>
          <w:rFonts w:ascii="宋体" w:hAnsi="宋体" w:eastAsia="宋体" w:cs="宋体"/>
          <w:spacing w:val="2"/>
          <w:sz w:val="20"/>
          <w:szCs w:val="20"/>
        </w:rPr>
        <w:t>的含</w:t>
      </w:r>
      <w:r>
        <w:rPr>
          <w:rFonts w:ascii="宋体" w:hAnsi="宋体" w:eastAsia="宋体" w:cs="宋体"/>
          <w:sz w:val="20"/>
          <w:szCs w:val="20"/>
        </w:rPr>
        <w:t xml:space="preserve"> </w:t>
      </w:r>
      <w:r>
        <w:rPr>
          <w:rFonts w:ascii="宋体" w:hAnsi="宋体" w:eastAsia="宋体" w:cs="宋体"/>
          <w:spacing w:val="1"/>
          <w:sz w:val="20"/>
          <w:szCs w:val="20"/>
        </w:rPr>
        <w:t>碘量应根据每人每天碘需要量、病区缺碘程度、每人每天食盐摄入量以及当地致甲状腺肿物质危害</w:t>
      </w:r>
      <w:r>
        <w:rPr>
          <w:rFonts w:ascii="宋体" w:hAnsi="宋体" w:eastAsia="宋体" w:cs="宋体"/>
          <w:sz w:val="20"/>
          <w:szCs w:val="20"/>
        </w:rPr>
        <w:t xml:space="preserve"> </w:t>
      </w:r>
      <w:r>
        <w:rPr>
          <w:rFonts w:ascii="宋体" w:hAnsi="宋体" w:eastAsia="宋体" w:cs="宋体"/>
          <w:spacing w:val="5"/>
          <w:sz w:val="20"/>
          <w:szCs w:val="20"/>
        </w:rPr>
        <w:t>程度等因素而定。 一般认为每人每天摄入100～200μ</w:t>
      </w:r>
      <w:r>
        <w:rPr>
          <w:rFonts w:ascii="Times New Roman" w:hAnsi="Times New Roman" w:eastAsia="Times New Roman" w:cs="Times New Roman"/>
          <w:spacing w:val="5"/>
          <w:sz w:val="20"/>
          <w:szCs w:val="20"/>
        </w:rPr>
        <w:t>g</w:t>
      </w:r>
      <w:r>
        <w:rPr>
          <w:rFonts w:ascii="Times New Roman" w:hAnsi="Times New Roman" w:eastAsia="Times New Roman" w:cs="Times New Roman"/>
          <w:spacing w:val="-24"/>
          <w:sz w:val="20"/>
          <w:szCs w:val="20"/>
        </w:rPr>
        <w:t xml:space="preserve"> </w:t>
      </w:r>
      <w:r>
        <w:rPr>
          <w:rFonts w:ascii="宋体" w:hAnsi="宋体" w:eastAsia="宋体" w:cs="宋体"/>
          <w:spacing w:val="5"/>
          <w:sz w:val="20"/>
          <w:szCs w:val="20"/>
        </w:rPr>
        <w:t>碘即可</w:t>
      </w:r>
      <w:r>
        <w:rPr>
          <w:rFonts w:ascii="宋体" w:hAnsi="宋体" w:eastAsia="宋体" w:cs="宋体"/>
          <w:spacing w:val="4"/>
          <w:sz w:val="20"/>
          <w:szCs w:val="20"/>
        </w:rPr>
        <w:t>预防地方性甲状腺肿的发生。2011</w:t>
      </w:r>
      <w:r>
        <w:rPr>
          <w:rFonts w:ascii="宋体" w:hAnsi="宋体" w:eastAsia="宋体" w:cs="宋体"/>
          <w:sz w:val="20"/>
          <w:szCs w:val="20"/>
        </w:rPr>
        <w:t xml:space="preserve"> </w:t>
      </w:r>
      <w:r>
        <w:rPr>
          <w:rFonts w:ascii="宋体" w:hAnsi="宋体" w:eastAsia="宋体" w:cs="宋体"/>
          <w:spacing w:val="6"/>
          <w:sz w:val="20"/>
          <w:szCs w:val="20"/>
        </w:rPr>
        <w:t>年卫生部颁布的食用盐中碘含量的平均水平(以碘离子计)为</w:t>
      </w:r>
      <w:r>
        <w:rPr>
          <w:rFonts w:ascii="宋体" w:hAnsi="宋体" w:eastAsia="宋体" w:cs="宋体"/>
          <w:spacing w:val="5"/>
          <w:sz w:val="20"/>
          <w:szCs w:val="20"/>
        </w:rPr>
        <w:t>20～30</w:t>
      </w:r>
      <w:r>
        <w:rPr>
          <w:rFonts w:ascii="Times New Roman" w:hAnsi="Times New Roman" w:eastAsia="Times New Roman" w:cs="Times New Roman"/>
          <w:sz w:val="20"/>
          <w:szCs w:val="20"/>
        </w:rPr>
        <w:t>mg</w:t>
      </w:r>
      <w:r>
        <w:rPr>
          <w:rFonts w:ascii="Times New Roman" w:hAnsi="Times New Roman" w:eastAsia="Times New Roman" w:cs="Times New Roman"/>
          <w:spacing w:val="5"/>
          <w:sz w:val="20"/>
          <w:szCs w:val="20"/>
        </w:rPr>
        <w:t>/</w:t>
      </w:r>
      <w:r>
        <w:rPr>
          <w:rFonts w:ascii="Times New Roman" w:hAnsi="Times New Roman" w:eastAsia="Times New Roman" w:cs="Times New Roman"/>
          <w:sz w:val="20"/>
          <w:szCs w:val="20"/>
        </w:rPr>
        <w:t>kg</w:t>
      </w:r>
      <w:r>
        <w:rPr>
          <w:rFonts w:ascii="宋体" w:hAnsi="宋体" w:eastAsia="宋体" w:cs="宋体"/>
          <w:spacing w:val="5"/>
          <w:sz w:val="20"/>
          <w:szCs w:val="20"/>
        </w:rPr>
        <w:t>。</w:t>
      </w:r>
    </w:p>
    <w:p w14:paraId="3A2D6C78">
      <w:pPr>
        <w:pStyle w:val="2"/>
        <w:spacing w:before="139" w:line="308" w:lineRule="auto"/>
        <w:ind w:right="633" w:firstLine="432"/>
        <w:rPr>
          <w:rFonts w:ascii="宋体" w:hAnsi="宋体" w:eastAsia="宋体" w:cs="宋体"/>
          <w:sz w:val="20"/>
          <w:szCs w:val="20"/>
        </w:rPr>
      </w:pPr>
      <w:r>
        <w:rPr>
          <w:rFonts w:ascii="宋体" w:hAnsi="宋体" w:eastAsia="宋体" w:cs="宋体"/>
          <w:b/>
          <w:bCs/>
          <w:spacing w:val="3"/>
          <w:sz w:val="20"/>
          <w:szCs w:val="20"/>
        </w:rPr>
        <w:t>2.</w:t>
      </w:r>
      <w:r>
        <w:rPr>
          <w:rFonts w:ascii="宋体" w:hAnsi="宋体" w:eastAsia="宋体" w:cs="宋体"/>
          <w:spacing w:val="3"/>
          <w:sz w:val="20"/>
          <w:szCs w:val="20"/>
        </w:rPr>
        <w:t xml:space="preserve"> </w:t>
      </w:r>
      <w:r>
        <w:rPr>
          <w:b/>
          <w:bCs/>
          <w:spacing w:val="3"/>
          <w:sz w:val="20"/>
          <w:szCs w:val="20"/>
        </w:rPr>
        <w:t>碘油</w:t>
      </w:r>
      <w:r>
        <w:rPr>
          <w:spacing w:val="85"/>
          <w:sz w:val="20"/>
          <w:szCs w:val="20"/>
        </w:rPr>
        <w:t xml:space="preserve"> </w:t>
      </w:r>
      <w:r>
        <w:rPr>
          <w:rFonts w:ascii="宋体" w:hAnsi="宋体" w:eastAsia="宋体" w:cs="宋体"/>
          <w:spacing w:val="3"/>
          <w:sz w:val="20"/>
          <w:szCs w:val="20"/>
        </w:rPr>
        <w:t>碘油是用植物油与碘化氢加成反应而制得的有机碘化物</w:t>
      </w:r>
      <w:r>
        <w:rPr>
          <w:rFonts w:ascii="宋体" w:hAnsi="宋体" w:eastAsia="宋体" w:cs="宋体"/>
          <w:spacing w:val="2"/>
          <w:sz w:val="20"/>
          <w:szCs w:val="20"/>
        </w:rPr>
        <w:t>，也称碘化油。通常用于难</w:t>
      </w:r>
      <w:r>
        <w:rPr>
          <w:rFonts w:ascii="宋体" w:hAnsi="宋体" w:eastAsia="宋体" w:cs="宋体"/>
          <w:sz w:val="20"/>
          <w:szCs w:val="20"/>
        </w:rPr>
        <w:t xml:space="preserve"> </w:t>
      </w:r>
      <w:r>
        <w:rPr>
          <w:rFonts w:ascii="宋体" w:hAnsi="宋体" w:eastAsia="宋体" w:cs="宋体"/>
          <w:spacing w:val="-4"/>
          <w:sz w:val="20"/>
          <w:szCs w:val="20"/>
        </w:rPr>
        <w:t>以推广碘盐的边远地区，作为碘盐干预的辅助措施，应用的对象主要是育龄妇女、孕妇</w:t>
      </w:r>
      <w:r>
        <w:rPr>
          <w:rFonts w:ascii="宋体" w:hAnsi="宋体" w:eastAsia="宋体" w:cs="宋体"/>
          <w:spacing w:val="-5"/>
          <w:sz w:val="20"/>
          <w:szCs w:val="20"/>
        </w:rPr>
        <w:t>、哺乳期妇女</w:t>
      </w:r>
      <w:r>
        <w:rPr>
          <w:rFonts w:ascii="宋体" w:hAnsi="宋体" w:eastAsia="宋体" w:cs="宋体"/>
          <w:sz w:val="20"/>
          <w:szCs w:val="20"/>
        </w:rPr>
        <w:t xml:space="preserve"> </w:t>
      </w:r>
      <w:r>
        <w:rPr>
          <w:rFonts w:ascii="宋体" w:hAnsi="宋体" w:eastAsia="宋体" w:cs="宋体"/>
          <w:spacing w:val="11"/>
          <w:sz w:val="20"/>
          <w:szCs w:val="20"/>
        </w:rPr>
        <w:t>及0～2岁婴幼儿等特殊人群。</w:t>
      </w:r>
    </w:p>
    <w:p w14:paraId="022AFB12">
      <w:pPr>
        <w:pStyle w:val="2"/>
        <w:spacing w:before="153" w:line="222" w:lineRule="auto"/>
        <w:ind w:left="430"/>
        <w:rPr>
          <w:rFonts w:ascii="宋体" w:hAnsi="宋体" w:eastAsia="宋体" w:cs="宋体"/>
          <w:sz w:val="20"/>
          <w:szCs w:val="20"/>
        </w:rPr>
      </w:pPr>
      <w:r>
        <w:rPr>
          <w:rFonts w:ascii="宋体" w:hAnsi="宋体" w:eastAsia="宋体" w:cs="宋体"/>
          <w:spacing w:val="-3"/>
          <w:sz w:val="20"/>
          <w:szCs w:val="20"/>
        </w:rPr>
        <w:t xml:space="preserve">3. </w:t>
      </w:r>
      <w:r>
        <w:rPr>
          <w:spacing w:val="-3"/>
          <w:sz w:val="20"/>
          <w:szCs w:val="20"/>
        </w:rPr>
        <w:t>其他措施</w:t>
      </w:r>
      <w:r>
        <w:rPr>
          <w:spacing w:val="65"/>
          <w:sz w:val="20"/>
          <w:szCs w:val="20"/>
        </w:rPr>
        <w:t xml:space="preserve"> </w:t>
      </w:r>
      <w:r>
        <w:rPr>
          <w:spacing w:val="-3"/>
          <w:sz w:val="20"/>
          <w:szCs w:val="20"/>
        </w:rPr>
        <w:t>包</w:t>
      </w:r>
      <w:r>
        <w:rPr>
          <w:rFonts w:ascii="宋体" w:hAnsi="宋体" w:eastAsia="宋体" w:cs="宋体"/>
          <w:spacing w:val="-3"/>
          <w:sz w:val="20"/>
          <w:szCs w:val="20"/>
        </w:rPr>
        <w:t>括碘化饮用水、碘化食品和调味品等，提倡合理营养，改善饮食结构等。</w:t>
      </w:r>
    </w:p>
    <w:p w14:paraId="3691C01A">
      <w:pPr>
        <w:pStyle w:val="2"/>
        <w:spacing w:before="95" w:line="221" w:lineRule="auto"/>
        <w:ind w:left="433"/>
        <w:rPr>
          <w:sz w:val="24"/>
          <w:szCs w:val="24"/>
        </w:rPr>
      </w:pPr>
      <w:r>
        <w:rPr>
          <w:b/>
          <w:bCs/>
          <w:spacing w:val="-11"/>
          <w:sz w:val="24"/>
          <w:szCs w:val="24"/>
        </w:rPr>
        <w:t>(三)碘预防的副作用</w:t>
      </w:r>
    </w:p>
    <w:p w14:paraId="30CE59C8">
      <w:pPr>
        <w:spacing w:before="113" w:line="332" w:lineRule="auto"/>
        <w:ind w:right="542" w:firstLine="430"/>
        <w:jc w:val="both"/>
        <w:rPr>
          <w:rFonts w:ascii="宋体" w:hAnsi="宋体" w:eastAsia="宋体" w:cs="宋体"/>
          <w:sz w:val="20"/>
          <w:szCs w:val="20"/>
        </w:rPr>
      </w:pPr>
      <w:r>
        <w:rPr>
          <w:rFonts w:ascii="宋体" w:hAnsi="宋体" w:eastAsia="宋体" w:cs="宋体"/>
          <w:spacing w:val="13"/>
          <w:sz w:val="20"/>
          <w:szCs w:val="20"/>
        </w:rPr>
        <w:t>碘摄入量与甲状腺疾病呈现</w:t>
      </w:r>
      <w:r>
        <w:rPr>
          <w:rFonts w:ascii="Times New Roman" w:hAnsi="Times New Roman" w:eastAsia="Times New Roman" w:cs="Times New Roman"/>
          <w:spacing w:val="13"/>
          <w:sz w:val="20"/>
          <w:szCs w:val="20"/>
        </w:rPr>
        <w:t xml:space="preserve">U </w:t>
      </w:r>
      <w:r>
        <w:rPr>
          <w:rFonts w:ascii="宋体" w:hAnsi="宋体" w:eastAsia="宋体" w:cs="宋体"/>
          <w:spacing w:val="13"/>
          <w:sz w:val="20"/>
          <w:szCs w:val="20"/>
        </w:rPr>
        <w:t>字形的关系，即碘摄人</w:t>
      </w:r>
      <w:r>
        <w:rPr>
          <w:rFonts w:ascii="宋体" w:hAnsi="宋体" w:eastAsia="宋体" w:cs="宋体"/>
          <w:spacing w:val="12"/>
          <w:sz w:val="20"/>
          <w:szCs w:val="20"/>
        </w:rPr>
        <w:t>量过低或过高都会导致甲状腺疾病。</w:t>
      </w:r>
      <w:r>
        <w:rPr>
          <w:rFonts w:ascii="宋体" w:hAnsi="宋体" w:eastAsia="宋体" w:cs="宋体"/>
          <w:sz w:val="20"/>
          <w:szCs w:val="20"/>
        </w:rPr>
        <w:t xml:space="preserve"> </w:t>
      </w:r>
      <w:r>
        <w:rPr>
          <w:rFonts w:ascii="宋体" w:hAnsi="宋体" w:eastAsia="宋体" w:cs="宋体"/>
          <w:spacing w:val="2"/>
          <w:sz w:val="20"/>
          <w:szCs w:val="20"/>
        </w:rPr>
        <w:t>2001年，</w:t>
      </w:r>
      <w:r>
        <w:rPr>
          <w:rFonts w:ascii="Times New Roman" w:hAnsi="Times New Roman" w:eastAsia="Times New Roman" w:cs="Times New Roman"/>
          <w:sz w:val="20"/>
          <w:szCs w:val="20"/>
        </w:rPr>
        <w:t>WHO</w:t>
      </w:r>
      <w:r>
        <w:rPr>
          <w:rFonts w:ascii="Times New Roman" w:hAnsi="Times New Roman" w:eastAsia="Times New Roman" w:cs="Times New Roman"/>
          <w:spacing w:val="2"/>
          <w:sz w:val="20"/>
          <w:szCs w:val="20"/>
        </w:rPr>
        <w:t xml:space="preserve"> </w:t>
      </w:r>
      <w:r>
        <w:rPr>
          <w:rFonts w:ascii="宋体" w:hAnsi="宋体" w:eastAsia="宋体" w:cs="宋体"/>
          <w:spacing w:val="2"/>
          <w:sz w:val="20"/>
          <w:szCs w:val="20"/>
        </w:rPr>
        <w:t>提出依据学龄儿童尿碘评价碘营养状态的流行病学标准。根据这个标准，首次提出</w:t>
      </w:r>
      <w:r>
        <w:rPr>
          <w:rFonts w:ascii="宋体" w:hAnsi="宋体" w:eastAsia="宋体" w:cs="宋体"/>
          <w:sz w:val="20"/>
          <w:szCs w:val="20"/>
        </w:rPr>
        <w:t xml:space="preserve">  </w:t>
      </w:r>
      <w:r>
        <w:rPr>
          <w:rFonts w:ascii="宋体" w:hAnsi="宋体" w:eastAsia="宋体" w:cs="宋体"/>
          <w:spacing w:val="3"/>
          <w:sz w:val="20"/>
          <w:szCs w:val="20"/>
        </w:rPr>
        <w:t>人类适量碘摄人、超足量碘摄人和过量碘摄人的定义和剂量范围：尿碘中位数100～199μ</w:t>
      </w:r>
      <w:r>
        <w:rPr>
          <w:rFonts w:ascii="Times New Roman" w:hAnsi="Times New Roman" w:eastAsia="Times New Roman" w:cs="Times New Roman"/>
          <w:spacing w:val="3"/>
          <w:sz w:val="20"/>
          <w:szCs w:val="20"/>
        </w:rPr>
        <w:t>g/L</w:t>
      </w:r>
      <w:r>
        <w:rPr>
          <w:rFonts w:ascii="宋体" w:hAnsi="宋体" w:eastAsia="宋体" w:cs="宋体"/>
          <w:spacing w:val="2"/>
          <w:sz w:val="20"/>
          <w:szCs w:val="20"/>
        </w:rPr>
        <w:t>为适</w:t>
      </w:r>
      <w:r>
        <w:rPr>
          <w:rFonts w:ascii="宋体" w:hAnsi="宋体" w:eastAsia="宋体" w:cs="宋体"/>
          <w:sz w:val="20"/>
          <w:szCs w:val="20"/>
        </w:rPr>
        <w:t xml:space="preserve">  量碘摄入；200～299μ</w:t>
      </w:r>
      <w:r>
        <w:rPr>
          <w:rFonts w:ascii="Times New Roman" w:hAnsi="Times New Roman" w:eastAsia="Times New Roman" w:cs="Times New Roman"/>
          <w:sz w:val="20"/>
          <w:szCs w:val="20"/>
        </w:rPr>
        <w:t>g/L</w:t>
      </w:r>
      <w:r>
        <w:rPr>
          <w:rFonts w:ascii="宋体" w:hAnsi="宋体" w:eastAsia="宋体" w:cs="宋体"/>
          <w:sz w:val="20"/>
          <w:szCs w:val="20"/>
        </w:rPr>
        <w:t>为超足量碘摄入；≥300μ</w:t>
      </w:r>
      <w:r>
        <w:rPr>
          <w:rFonts w:ascii="Times New Roman" w:hAnsi="Times New Roman" w:eastAsia="Times New Roman" w:cs="Times New Roman"/>
          <w:sz w:val="20"/>
          <w:szCs w:val="20"/>
        </w:rPr>
        <w:t>g/L</w:t>
      </w:r>
      <w:r>
        <w:rPr>
          <w:rFonts w:ascii="宋体" w:hAnsi="宋体" w:eastAsia="宋体" w:cs="宋体"/>
          <w:sz w:val="20"/>
          <w:szCs w:val="20"/>
        </w:rPr>
        <w:t>为过量</w:t>
      </w:r>
      <w:r>
        <w:rPr>
          <w:rFonts w:ascii="宋体" w:hAnsi="宋体" w:eastAsia="宋体" w:cs="宋体"/>
          <w:spacing w:val="-1"/>
          <w:sz w:val="20"/>
          <w:szCs w:val="20"/>
        </w:rPr>
        <w:t>碘摄入。2018年联合国儿童基金会将</w:t>
      </w:r>
      <w:r>
        <w:rPr>
          <w:rFonts w:ascii="宋体" w:hAnsi="宋体" w:eastAsia="宋体" w:cs="宋体"/>
          <w:sz w:val="20"/>
          <w:szCs w:val="20"/>
        </w:rPr>
        <w:t xml:space="preserve">  </w:t>
      </w:r>
      <w:r>
        <w:rPr>
          <w:rFonts w:ascii="宋体" w:hAnsi="宋体" w:eastAsia="宋体" w:cs="宋体"/>
          <w:spacing w:val="5"/>
          <w:sz w:val="20"/>
          <w:szCs w:val="20"/>
        </w:rPr>
        <w:t>儿童碘适量的尿碘中位数扩大至100～299</w:t>
      </w:r>
      <w:r>
        <w:rPr>
          <w:rFonts w:ascii="宋体" w:hAnsi="宋体" w:eastAsia="宋体" w:cs="宋体"/>
          <w:spacing w:val="4"/>
          <w:sz w:val="20"/>
          <w:szCs w:val="20"/>
        </w:rPr>
        <w:t>μg/L。碘预防的副作用主要表现为甲状腺功能亢进症、</w:t>
      </w:r>
      <w:r>
        <w:rPr>
          <w:rFonts w:ascii="宋体" w:hAnsi="宋体" w:eastAsia="宋体" w:cs="宋体"/>
          <w:sz w:val="20"/>
          <w:szCs w:val="20"/>
        </w:rPr>
        <w:t xml:space="preserve"> </w:t>
      </w:r>
      <w:r>
        <w:rPr>
          <w:rFonts w:ascii="宋体" w:hAnsi="宋体" w:eastAsia="宋体" w:cs="宋体"/>
          <w:spacing w:val="-2"/>
          <w:sz w:val="20"/>
          <w:szCs w:val="20"/>
        </w:rPr>
        <w:t>碘致甲状腺肿、自身免疫性甲状腺疾病、碘中</w:t>
      </w:r>
      <w:r>
        <w:rPr>
          <w:rFonts w:ascii="宋体" w:hAnsi="宋体" w:eastAsia="宋体" w:cs="宋体"/>
          <w:spacing w:val="-3"/>
          <w:sz w:val="20"/>
          <w:szCs w:val="20"/>
        </w:rPr>
        <w:t>毒、碘油丸油脂酸败中毒等。</w:t>
      </w:r>
    </w:p>
    <w:p w14:paraId="1660C993">
      <w:pPr>
        <w:spacing w:line="445" w:lineRule="auto"/>
        <w:rPr>
          <w:rFonts w:ascii="Arial"/>
          <w:sz w:val="21"/>
        </w:rPr>
      </w:pPr>
    </w:p>
    <w:p w14:paraId="6C4BBE9A">
      <w:pPr>
        <w:pStyle w:val="2"/>
        <w:spacing w:before="95" w:line="221" w:lineRule="auto"/>
        <w:ind w:left="2554"/>
        <w:outlineLvl w:val="1"/>
        <w:rPr>
          <w:sz w:val="29"/>
          <w:szCs w:val="29"/>
        </w:rPr>
      </w:pPr>
      <w:bookmarkStart w:id="618" w:name="bookmark398"/>
      <w:bookmarkEnd w:id="618"/>
      <w:r>
        <w:rPr>
          <w:b/>
          <w:bCs/>
          <w:spacing w:val="-8"/>
          <w:sz w:val="29"/>
          <w:szCs w:val="29"/>
        </w:rPr>
        <w:t>第三节</w:t>
      </w:r>
      <w:r>
        <w:rPr>
          <w:spacing w:val="126"/>
          <w:sz w:val="29"/>
          <w:szCs w:val="29"/>
        </w:rPr>
        <w:t xml:space="preserve"> </w:t>
      </w:r>
      <w:r>
        <w:rPr>
          <w:b/>
          <w:bCs/>
          <w:spacing w:val="-8"/>
          <w:sz w:val="29"/>
          <w:szCs w:val="29"/>
        </w:rPr>
        <w:t>其他几种主要地方病</w:t>
      </w:r>
    </w:p>
    <w:p w14:paraId="6A617979">
      <w:pPr>
        <w:spacing w:line="391" w:lineRule="auto"/>
        <w:rPr>
          <w:rFonts w:ascii="Arial"/>
          <w:sz w:val="21"/>
        </w:rPr>
      </w:pPr>
    </w:p>
    <w:p w14:paraId="5A9A4198">
      <w:pPr>
        <w:pStyle w:val="2"/>
        <w:spacing w:before="79" w:line="221" w:lineRule="auto"/>
        <w:ind w:left="433"/>
        <w:outlineLvl w:val="4"/>
        <w:rPr>
          <w:sz w:val="24"/>
          <w:szCs w:val="24"/>
        </w:rPr>
      </w:pPr>
      <w:bookmarkStart w:id="619" w:name="bookmark399"/>
      <w:bookmarkEnd w:id="619"/>
      <w:r>
        <w:rPr>
          <w:b/>
          <w:bCs/>
          <w:spacing w:val="-6"/>
          <w:sz w:val="24"/>
          <w:szCs w:val="24"/>
        </w:rPr>
        <w:t>一</w:t>
      </w:r>
      <w:r>
        <w:rPr>
          <w:spacing w:val="-48"/>
          <w:sz w:val="24"/>
          <w:szCs w:val="24"/>
        </w:rPr>
        <w:t xml:space="preserve"> </w:t>
      </w:r>
      <w:r>
        <w:rPr>
          <w:b/>
          <w:bCs/>
          <w:spacing w:val="-6"/>
          <w:sz w:val="24"/>
          <w:szCs w:val="24"/>
        </w:rPr>
        <w:t>、地方性氟中毒</w:t>
      </w:r>
    </w:p>
    <w:p w14:paraId="261AA8E4">
      <w:pPr>
        <w:spacing w:before="254" w:line="340" w:lineRule="auto"/>
        <w:ind w:right="613" w:firstLine="430"/>
        <w:jc w:val="both"/>
        <w:rPr>
          <w:rFonts w:ascii="宋体" w:hAnsi="宋体" w:eastAsia="宋体" w:cs="宋体"/>
          <w:sz w:val="20"/>
          <w:szCs w:val="20"/>
        </w:rPr>
      </w:pPr>
      <w:r>
        <w:rPr>
          <w:rFonts w:ascii="宋体" w:hAnsi="宋体" w:eastAsia="宋体" w:cs="宋体"/>
          <w:spacing w:val="-2"/>
          <w:sz w:val="20"/>
          <w:szCs w:val="20"/>
        </w:rPr>
        <w:t>地方性氟中毒</w:t>
      </w:r>
      <w:r>
        <w:rPr>
          <w:rFonts w:ascii="Times New Roman" w:hAnsi="Times New Roman" w:eastAsia="Times New Roman" w:cs="Times New Roman"/>
          <w:spacing w:val="-2"/>
          <w:sz w:val="20"/>
          <w:szCs w:val="20"/>
        </w:rPr>
        <w:t>(endemic    fluorosis)</w:t>
      </w:r>
      <w:r>
        <w:rPr>
          <w:rFonts w:ascii="宋体" w:hAnsi="宋体" w:eastAsia="宋体" w:cs="宋体"/>
          <w:spacing w:val="-2"/>
          <w:sz w:val="20"/>
          <w:szCs w:val="20"/>
        </w:rPr>
        <w:t>简称地氟病，是在特定自然环境中，人体通过饮水、空气、食</w:t>
      </w:r>
      <w:r>
        <w:rPr>
          <w:rFonts w:ascii="宋体" w:hAnsi="宋体" w:eastAsia="宋体" w:cs="宋体"/>
          <w:spacing w:val="7"/>
          <w:sz w:val="20"/>
          <w:szCs w:val="20"/>
        </w:rPr>
        <w:t xml:space="preserve"> </w:t>
      </w:r>
      <w:r>
        <w:rPr>
          <w:rFonts w:ascii="宋体" w:hAnsi="宋体" w:eastAsia="宋体" w:cs="宋体"/>
          <w:spacing w:val="4"/>
          <w:sz w:val="20"/>
          <w:szCs w:val="20"/>
        </w:rPr>
        <w:t>物、茶等介质摄人过量氟而导致的全身慢性中毒病变。主要临床表现为氟斑牙</w:t>
      </w:r>
      <w:r>
        <w:rPr>
          <w:rFonts w:ascii="Times New Roman" w:hAnsi="Times New Roman" w:eastAsia="Times New Roman" w:cs="Times New Roman"/>
          <w:spacing w:val="4"/>
          <w:sz w:val="20"/>
          <w:szCs w:val="20"/>
        </w:rPr>
        <w:t>(</w:t>
      </w:r>
      <w:r>
        <w:rPr>
          <w:rFonts w:ascii="Times New Roman" w:hAnsi="Times New Roman" w:eastAsia="Times New Roman" w:cs="Times New Roman"/>
          <w:sz w:val="20"/>
          <w:szCs w:val="20"/>
        </w:rPr>
        <w:t>dental</w:t>
      </w:r>
      <w:r>
        <w:rPr>
          <w:rFonts w:ascii="Times New Roman" w:hAnsi="Times New Roman" w:eastAsia="Times New Roman" w:cs="Times New Roman"/>
          <w:spacing w:val="4"/>
          <w:sz w:val="20"/>
          <w:szCs w:val="20"/>
        </w:rPr>
        <w:t xml:space="preserve">   </w:t>
      </w:r>
      <w:r>
        <w:rPr>
          <w:rFonts w:ascii="Times New Roman" w:hAnsi="Times New Roman" w:eastAsia="Times New Roman" w:cs="Times New Roman"/>
          <w:sz w:val="20"/>
          <w:szCs w:val="20"/>
        </w:rPr>
        <w:t>fluorosis</w:t>
      </w:r>
      <w:r>
        <w:rPr>
          <w:rFonts w:ascii="Times New Roman" w:hAnsi="Times New Roman" w:eastAsia="Times New Roman" w:cs="Times New Roman"/>
          <w:spacing w:val="3"/>
          <w:sz w:val="20"/>
          <w:szCs w:val="20"/>
        </w:rPr>
        <w:t>)</w:t>
      </w:r>
      <w:r>
        <w:rPr>
          <w:rFonts w:ascii="宋体" w:hAnsi="宋体" w:eastAsia="宋体" w:cs="宋体"/>
          <w:spacing w:val="3"/>
          <w:sz w:val="20"/>
          <w:szCs w:val="20"/>
        </w:rPr>
        <w:t>和</w:t>
      </w:r>
      <w:r>
        <w:rPr>
          <w:rFonts w:ascii="宋体" w:hAnsi="宋体" w:eastAsia="宋体" w:cs="宋体"/>
          <w:sz w:val="20"/>
          <w:szCs w:val="20"/>
        </w:rPr>
        <w:t xml:space="preserve"> 氟骨症</w:t>
      </w:r>
      <w:r>
        <w:rPr>
          <w:rFonts w:ascii="Times New Roman" w:hAnsi="Times New Roman" w:eastAsia="Times New Roman" w:cs="Times New Roman"/>
          <w:sz w:val="20"/>
          <w:szCs w:val="20"/>
        </w:rPr>
        <w:t>(skeletal    fluorosis)</w:t>
      </w:r>
      <w:r>
        <w:rPr>
          <w:rFonts w:ascii="宋体" w:hAnsi="宋体" w:eastAsia="宋体" w:cs="宋体"/>
          <w:sz w:val="20"/>
          <w:szCs w:val="20"/>
        </w:rPr>
        <w:t>。根据氟的来源不同，分为饮水型、燃煤污染型和饮茶型。饮水型是因地</w:t>
      </w:r>
      <w:r>
        <w:rPr>
          <w:rFonts w:ascii="宋体" w:hAnsi="宋体" w:eastAsia="宋体" w:cs="宋体"/>
          <w:spacing w:val="7"/>
          <w:sz w:val="20"/>
          <w:szCs w:val="20"/>
        </w:rPr>
        <w:t xml:space="preserve"> </w:t>
      </w:r>
      <w:r>
        <w:rPr>
          <w:rFonts w:ascii="宋体" w:hAnsi="宋体" w:eastAsia="宋体" w:cs="宋体"/>
          <w:spacing w:val="1"/>
          <w:sz w:val="20"/>
          <w:szCs w:val="20"/>
        </w:rPr>
        <w:t>下水、地表水含氟量过高，饮用后人体摄入过高的氟化物引起的。燃煤污染型系由病区居民在室内</w:t>
      </w:r>
      <w:r>
        <w:rPr>
          <w:rFonts w:ascii="宋体" w:hAnsi="宋体" w:eastAsia="宋体" w:cs="宋体"/>
          <w:spacing w:val="13"/>
          <w:sz w:val="20"/>
          <w:szCs w:val="20"/>
        </w:rPr>
        <w:t xml:space="preserve"> </w:t>
      </w:r>
      <w:r>
        <w:rPr>
          <w:rFonts w:ascii="宋体" w:hAnsi="宋体" w:eastAsia="宋体" w:cs="宋体"/>
          <w:spacing w:val="1"/>
          <w:sz w:val="20"/>
          <w:szCs w:val="20"/>
        </w:rPr>
        <w:t>长期使用无烟道的土炉灶燃烧高氟煤，释放大量氟化物使空气、食物被污染而摄入过</w:t>
      </w:r>
      <w:r>
        <w:rPr>
          <w:rFonts w:ascii="宋体" w:hAnsi="宋体" w:eastAsia="宋体" w:cs="宋体"/>
          <w:sz w:val="20"/>
          <w:szCs w:val="20"/>
        </w:rPr>
        <w:t xml:space="preserve">量氟导致的慢 </w:t>
      </w:r>
      <w:r>
        <w:rPr>
          <w:rFonts w:ascii="宋体" w:hAnsi="宋体" w:eastAsia="宋体" w:cs="宋体"/>
          <w:spacing w:val="6"/>
          <w:sz w:val="20"/>
          <w:szCs w:val="20"/>
        </w:rPr>
        <w:t>性氟中毒。饮茶型是由于长期大量饮用砖茶水或砖茶饮料，导致体内摄人过量氟而引起的慢性氟</w:t>
      </w:r>
      <w:r>
        <w:rPr>
          <w:rFonts w:ascii="宋体" w:hAnsi="宋体" w:eastAsia="宋体" w:cs="宋体"/>
          <w:spacing w:val="5"/>
          <w:sz w:val="20"/>
          <w:szCs w:val="20"/>
        </w:rPr>
        <w:t xml:space="preserve"> </w:t>
      </w:r>
      <w:r>
        <w:rPr>
          <w:rFonts w:ascii="宋体" w:hAnsi="宋体" w:eastAsia="宋体" w:cs="宋体"/>
          <w:spacing w:val="-3"/>
          <w:sz w:val="20"/>
          <w:szCs w:val="20"/>
        </w:rPr>
        <w:t>中毒，因为茶叶有很强的富集氟的能力，砖茶通常是由老茶叶发酵压制而成的，含氟量极高。</w:t>
      </w:r>
    </w:p>
    <w:p w14:paraId="506266F2">
      <w:pPr>
        <w:pStyle w:val="2"/>
        <w:spacing w:before="1" w:line="220" w:lineRule="auto"/>
        <w:ind w:left="433"/>
        <w:rPr>
          <w:sz w:val="24"/>
          <w:szCs w:val="24"/>
        </w:rPr>
      </w:pPr>
      <w:r>
        <w:rPr>
          <w:b/>
          <w:bCs/>
          <w:spacing w:val="-15"/>
          <w:sz w:val="24"/>
          <w:szCs w:val="24"/>
        </w:rPr>
        <w:t>(一)主要流行特征</w:t>
      </w:r>
    </w:p>
    <w:p w14:paraId="0813A600">
      <w:pPr>
        <w:spacing w:before="107" w:line="352" w:lineRule="auto"/>
        <w:ind w:right="612" w:firstLine="430"/>
        <w:rPr>
          <w:rFonts w:ascii="宋体" w:hAnsi="宋体" w:eastAsia="宋体" w:cs="宋体"/>
          <w:sz w:val="20"/>
          <w:szCs w:val="20"/>
        </w:rPr>
      </w:pPr>
      <w:r>
        <w:rPr>
          <w:rFonts w:ascii="宋体" w:hAnsi="宋体" w:eastAsia="宋体" w:cs="宋体"/>
          <w:spacing w:val="6"/>
          <w:sz w:val="20"/>
          <w:szCs w:val="20"/>
        </w:rPr>
        <w:t>饮水型氟中毒遍及五大洲50多个国家，其中印度和</w:t>
      </w:r>
      <w:r>
        <w:rPr>
          <w:rFonts w:ascii="宋体" w:hAnsi="宋体" w:eastAsia="宋体" w:cs="宋体"/>
          <w:spacing w:val="5"/>
          <w:sz w:val="20"/>
          <w:szCs w:val="20"/>
        </w:rPr>
        <w:t>中国流行最为严重。我国除上海市和海南</w:t>
      </w:r>
      <w:r>
        <w:rPr>
          <w:rFonts w:ascii="宋体" w:hAnsi="宋体" w:eastAsia="宋体" w:cs="宋体"/>
          <w:sz w:val="20"/>
          <w:szCs w:val="20"/>
        </w:rPr>
        <w:t xml:space="preserve"> </w:t>
      </w:r>
      <w:r>
        <w:rPr>
          <w:rFonts w:ascii="宋体" w:hAnsi="宋体" w:eastAsia="宋体" w:cs="宋体"/>
          <w:spacing w:val="1"/>
          <w:sz w:val="20"/>
          <w:szCs w:val="20"/>
        </w:rPr>
        <w:t>省外，其他各省(自治区、直辖市)均有病区分布。目前燃煤污染型氟中毒的重病区主要集中在我国</w:t>
      </w:r>
    </w:p>
    <w:p w14:paraId="540E943F">
      <w:pPr>
        <w:spacing w:line="352" w:lineRule="auto"/>
        <w:rPr>
          <w:rFonts w:ascii="宋体" w:hAnsi="宋体" w:eastAsia="宋体" w:cs="宋体"/>
          <w:sz w:val="20"/>
          <w:szCs w:val="20"/>
        </w:rPr>
        <w:sectPr>
          <w:footerReference r:id="rId384" w:type="default"/>
          <w:pgSz w:w="11900" w:h="16820"/>
          <w:pgMar w:top="400" w:right="1018" w:bottom="829" w:left="1609" w:header="0" w:footer="649" w:gutter="0"/>
          <w:cols w:space="720" w:num="1"/>
        </w:sectPr>
      </w:pPr>
    </w:p>
    <w:p w14:paraId="35EFCECF">
      <w:pPr>
        <w:spacing w:line="257" w:lineRule="auto"/>
        <w:rPr>
          <w:rFonts w:ascii="Arial"/>
          <w:sz w:val="21"/>
        </w:rPr>
      </w:pPr>
    </w:p>
    <w:p w14:paraId="45B4550A">
      <w:pPr>
        <w:pStyle w:val="2"/>
        <w:spacing w:before="65" w:line="221" w:lineRule="auto"/>
        <w:ind w:left="662"/>
        <w:rPr>
          <w:sz w:val="20"/>
          <w:szCs w:val="20"/>
        </w:rPr>
      </w:pPr>
      <w:r>
        <w:rPr>
          <w:b/>
          <w:bCs/>
          <w:spacing w:val="-11"/>
          <w:sz w:val="20"/>
          <w:szCs w:val="20"/>
        </w:rPr>
        <w:t>第二十四章地方病</w:t>
      </w:r>
    </w:p>
    <w:p w14:paraId="26CAC977">
      <w:pPr>
        <w:spacing w:line="273" w:lineRule="auto"/>
        <w:rPr>
          <w:rFonts w:ascii="Arial"/>
          <w:sz w:val="21"/>
        </w:rPr>
      </w:pPr>
    </w:p>
    <w:p w14:paraId="13006F9B">
      <w:pPr>
        <w:spacing w:line="273" w:lineRule="auto"/>
        <w:rPr>
          <w:rFonts w:ascii="Arial"/>
          <w:sz w:val="21"/>
        </w:rPr>
      </w:pPr>
    </w:p>
    <w:p w14:paraId="5F265C22">
      <w:pPr>
        <w:spacing w:before="65" w:line="346" w:lineRule="auto"/>
        <w:ind w:left="659" w:right="91"/>
        <w:rPr>
          <w:rFonts w:ascii="宋体" w:hAnsi="宋体" w:eastAsia="宋体" w:cs="宋体"/>
          <w:sz w:val="20"/>
          <w:szCs w:val="20"/>
        </w:rPr>
      </w:pPr>
      <w:r>
        <w:rPr>
          <w:rFonts w:ascii="宋体" w:hAnsi="宋体" w:eastAsia="宋体" w:cs="宋体"/>
          <w:spacing w:val="4"/>
          <w:sz w:val="20"/>
          <w:szCs w:val="20"/>
        </w:rPr>
        <w:t>的云南、贵州、四川3省交界的山区和重庆东部、湘西、</w:t>
      </w:r>
      <w:r>
        <w:rPr>
          <w:rFonts w:ascii="宋体" w:hAnsi="宋体" w:eastAsia="宋体" w:cs="宋体"/>
          <w:spacing w:val="3"/>
          <w:sz w:val="20"/>
          <w:szCs w:val="20"/>
        </w:rPr>
        <w:t>鄂西的山区。饮茶型氟中毒分布在有饮砖茶</w:t>
      </w:r>
      <w:r>
        <w:rPr>
          <w:rFonts w:ascii="宋体" w:hAnsi="宋体" w:eastAsia="宋体" w:cs="宋体"/>
          <w:sz w:val="20"/>
          <w:szCs w:val="20"/>
        </w:rPr>
        <w:t xml:space="preserve"> </w:t>
      </w:r>
      <w:r>
        <w:rPr>
          <w:rFonts w:ascii="宋体" w:hAnsi="宋体" w:eastAsia="宋体" w:cs="宋体"/>
          <w:spacing w:val="-7"/>
          <w:sz w:val="20"/>
          <w:szCs w:val="20"/>
        </w:rPr>
        <w:t>习惯的少数民族居住的地区，包括四川、西藏、青海、甘肃、新</w:t>
      </w:r>
      <w:r>
        <w:rPr>
          <w:rFonts w:ascii="宋体" w:hAnsi="宋体" w:eastAsia="宋体" w:cs="宋体"/>
          <w:spacing w:val="-8"/>
          <w:sz w:val="20"/>
          <w:szCs w:val="20"/>
        </w:rPr>
        <w:t>疆、内蒙古、宁夏等地。</w:t>
      </w:r>
    </w:p>
    <w:p w14:paraId="57724FA5">
      <w:pPr>
        <w:spacing w:before="5" w:line="338" w:lineRule="auto"/>
        <w:ind w:left="659" w:right="89" w:firstLine="399"/>
        <w:jc w:val="both"/>
        <w:rPr>
          <w:rFonts w:ascii="宋体" w:hAnsi="宋体" w:eastAsia="宋体" w:cs="宋体"/>
          <w:sz w:val="20"/>
          <w:szCs w:val="20"/>
        </w:rPr>
      </w:pPr>
      <w:r>
        <w:rPr>
          <w:rFonts w:ascii="宋体" w:hAnsi="宋体" w:eastAsia="宋体" w:cs="宋体"/>
          <w:spacing w:val="6"/>
          <w:sz w:val="20"/>
          <w:szCs w:val="20"/>
        </w:rPr>
        <w:t>该病由于主要影响骨骼，而且需长时间作用，因此其发生与季节、年份无明显相关性。婴幼儿</w:t>
      </w:r>
      <w:r>
        <w:rPr>
          <w:rFonts w:ascii="宋体" w:hAnsi="宋体" w:eastAsia="宋体" w:cs="宋体"/>
          <w:spacing w:val="11"/>
          <w:sz w:val="20"/>
          <w:szCs w:val="20"/>
        </w:rPr>
        <w:t xml:space="preserve"> 发生的氟斑牙较轻，主要表现为白垩样改变。恒牙氟斑牙发生</w:t>
      </w:r>
      <w:r>
        <w:rPr>
          <w:rFonts w:ascii="宋体" w:hAnsi="宋体" w:eastAsia="宋体" w:cs="宋体"/>
          <w:spacing w:val="10"/>
          <w:sz w:val="20"/>
          <w:szCs w:val="20"/>
        </w:rPr>
        <w:t>在7～8岁以前一直生活在高氟环境</w:t>
      </w:r>
      <w:r>
        <w:rPr>
          <w:rFonts w:ascii="宋体" w:hAnsi="宋体" w:eastAsia="宋体" w:cs="宋体"/>
          <w:sz w:val="20"/>
          <w:szCs w:val="20"/>
        </w:rPr>
        <w:t xml:space="preserve"> </w:t>
      </w:r>
      <w:r>
        <w:rPr>
          <w:rFonts w:ascii="宋体" w:hAnsi="宋体" w:eastAsia="宋体" w:cs="宋体"/>
          <w:spacing w:val="10"/>
          <w:sz w:val="20"/>
          <w:szCs w:val="20"/>
        </w:rPr>
        <w:t>的儿童。氟斑牙的发生无明显的性别、种族差异。氟骨症主要发生在</w:t>
      </w:r>
      <w:r>
        <w:rPr>
          <w:rFonts w:ascii="宋体" w:hAnsi="宋体" w:eastAsia="宋体" w:cs="宋体"/>
          <w:spacing w:val="9"/>
          <w:sz w:val="20"/>
          <w:szCs w:val="20"/>
        </w:rPr>
        <w:t>成年，16岁以后特别是30岁</w:t>
      </w:r>
      <w:r>
        <w:rPr>
          <w:rFonts w:ascii="宋体" w:hAnsi="宋体" w:eastAsia="宋体" w:cs="宋体"/>
          <w:sz w:val="20"/>
          <w:szCs w:val="20"/>
        </w:rPr>
        <w:t xml:space="preserve"> </w:t>
      </w:r>
      <w:r>
        <w:rPr>
          <w:rFonts w:ascii="宋体" w:hAnsi="宋体" w:eastAsia="宋体" w:cs="宋体"/>
          <w:spacing w:val="6"/>
          <w:sz w:val="20"/>
          <w:szCs w:val="20"/>
        </w:rPr>
        <w:t>以后明显增加。通常男女无明显差别，但一些地区女性多于男性，特别是重症患者多为女性，可能</w:t>
      </w:r>
      <w:r>
        <w:rPr>
          <w:rFonts w:ascii="宋体" w:hAnsi="宋体" w:eastAsia="宋体" w:cs="宋体"/>
          <w:spacing w:val="1"/>
          <w:sz w:val="20"/>
          <w:szCs w:val="20"/>
        </w:rPr>
        <w:t xml:space="preserve"> </w:t>
      </w:r>
      <w:r>
        <w:rPr>
          <w:rFonts w:ascii="宋体" w:hAnsi="宋体" w:eastAsia="宋体" w:cs="宋体"/>
          <w:spacing w:val="3"/>
          <w:sz w:val="20"/>
          <w:szCs w:val="20"/>
        </w:rPr>
        <w:t>与生育、哺乳有关。在四川饮茶型氟中毒病区男性多于女性，与男性饮茶量较大有关。</w:t>
      </w:r>
    </w:p>
    <w:p w14:paraId="15A8AAE9">
      <w:pPr>
        <w:pStyle w:val="2"/>
        <w:spacing w:line="220" w:lineRule="auto"/>
        <w:ind w:left="1062"/>
        <w:rPr>
          <w:sz w:val="20"/>
          <w:szCs w:val="20"/>
        </w:rPr>
      </w:pPr>
      <w:r>
        <w:rPr>
          <w:b/>
          <w:bCs/>
          <w:spacing w:val="-18"/>
          <w:sz w:val="20"/>
          <w:szCs w:val="20"/>
        </w:rPr>
        <w:t>(</w:t>
      </w:r>
      <w:r>
        <w:rPr>
          <w:spacing w:val="-30"/>
          <w:sz w:val="20"/>
          <w:szCs w:val="20"/>
        </w:rPr>
        <w:t xml:space="preserve"> </w:t>
      </w:r>
      <w:r>
        <w:rPr>
          <w:b/>
          <w:bCs/>
          <w:spacing w:val="-18"/>
          <w:sz w:val="20"/>
          <w:szCs w:val="20"/>
        </w:rPr>
        <w:t>二</w:t>
      </w:r>
      <w:r>
        <w:rPr>
          <w:spacing w:val="-37"/>
          <w:sz w:val="20"/>
          <w:szCs w:val="20"/>
        </w:rPr>
        <w:t xml:space="preserve"> </w:t>
      </w:r>
      <w:r>
        <w:rPr>
          <w:b/>
          <w:bCs/>
          <w:spacing w:val="-18"/>
          <w:sz w:val="20"/>
          <w:szCs w:val="20"/>
        </w:rPr>
        <w:t>)</w:t>
      </w:r>
      <w:r>
        <w:rPr>
          <w:spacing w:val="-23"/>
          <w:sz w:val="20"/>
          <w:szCs w:val="20"/>
        </w:rPr>
        <w:t xml:space="preserve"> </w:t>
      </w:r>
      <w:r>
        <w:rPr>
          <w:b/>
          <w:bCs/>
          <w:spacing w:val="-18"/>
          <w:sz w:val="20"/>
          <w:szCs w:val="20"/>
        </w:rPr>
        <w:t>防</w:t>
      </w:r>
      <w:r>
        <w:rPr>
          <w:spacing w:val="-34"/>
          <w:sz w:val="20"/>
          <w:szCs w:val="20"/>
        </w:rPr>
        <w:t xml:space="preserve"> </w:t>
      </w:r>
      <w:r>
        <w:rPr>
          <w:b/>
          <w:bCs/>
          <w:spacing w:val="-18"/>
          <w:sz w:val="20"/>
          <w:szCs w:val="20"/>
        </w:rPr>
        <w:t>制</w:t>
      </w:r>
    </w:p>
    <w:p w14:paraId="37DDD0A6">
      <w:pPr>
        <w:spacing w:before="134" w:line="330" w:lineRule="auto"/>
        <w:ind w:left="659" w:right="49" w:firstLine="399"/>
        <w:jc w:val="both"/>
        <w:rPr>
          <w:rFonts w:ascii="宋体" w:hAnsi="宋体" w:eastAsia="宋体" w:cs="宋体"/>
          <w:sz w:val="20"/>
          <w:szCs w:val="20"/>
        </w:rPr>
      </w:pPr>
      <w:r>
        <w:rPr>
          <w:rFonts w:ascii="宋体" w:hAnsi="宋体" w:eastAsia="宋体" w:cs="宋体"/>
          <w:spacing w:val="7"/>
          <w:sz w:val="20"/>
          <w:szCs w:val="20"/>
        </w:rPr>
        <w:t>饮水型氟中毒防制，需采取改换低氟水源或利用理化方法除氟等措施；燃煤型氟中毒的防制，</w:t>
      </w:r>
      <w:r>
        <w:rPr>
          <w:rFonts w:ascii="宋体" w:hAnsi="宋体" w:eastAsia="宋体" w:cs="宋体"/>
          <w:spacing w:val="12"/>
          <w:sz w:val="20"/>
          <w:szCs w:val="20"/>
        </w:rPr>
        <w:t xml:space="preserve"> </w:t>
      </w:r>
      <w:r>
        <w:rPr>
          <w:rFonts w:ascii="宋体" w:hAnsi="宋体" w:eastAsia="宋体" w:cs="宋体"/>
          <w:spacing w:val="7"/>
          <w:sz w:val="20"/>
          <w:szCs w:val="20"/>
        </w:rPr>
        <w:t>需改炉改灶，改变主要食物干燥方式等；饮</w:t>
      </w:r>
      <w:r>
        <w:rPr>
          <w:rFonts w:ascii="宋体" w:hAnsi="宋体" w:eastAsia="宋体" w:cs="宋体"/>
          <w:spacing w:val="6"/>
          <w:sz w:val="20"/>
          <w:szCs w:val="20"/>
        </w:rPr>
        <w:t>茶型氟中毒防制的根本措施是饮用低氟砖茶，在砖茶氟</w:t>
      </w:r>
      <w:r>
        <w:rPr>
          <w:rFonts w:ascii="宋体" w:hAnsi="宋体" w:eastAsia="宋体" w:cs="宋体"/>
          <w:sz w:val="20"/>
          <w:szCs w:val="20"/>
        </w:rPr>
        <w:t xml:space="preserve"> </w:t>
      </w:r>
      <w:r>
        <w:rPr>
          <w:rFonts w:ascii="宋体" w:hAnsi="宋体" w:eastAsia="宋体" w:cs="宋体"/>
          <w:spacing w:val="3"/>
          <w:sz w:val="20"/>
          <w:szCs w:val="20"/>
        </w:rPr>
        <w:t>含量达不到卫生标准时，应采取综合防制措施。</w:t>
      </w:r>
    </w:p>
    <w:p w14:paraId="3B127BF7">
      <w:pPr>
        <w:pStyle w:val="2"/>
        <w:spacing w:line="223" w:lineRule="auto"/>
        <w:ind w:left="1059"/>
        <w:rPr>
          <w:sz w:val="20"/>
          <w:szCs w:val="20"/>
        </w:rPr>
      </w:pPr>
      <w:r>
        <w:rPr>
          <w:rFonts w:ascii="宋体" w:hAnsi="宋体" w:eastAsia="宋体" w:cs="宋体"/>
          <w:spacing w:val="3"/>
          <w:sz w:val="20"/>
          <w:szCs w:val="20"/>
        </w:rPr>
        <w:t>1.</w:t>
      </w:r>
      <w:r>
        <w:rPr>
          <w:rFonts w:ascii="宋体" w:hAnsi="宋体" w:eastAsia="宋体" w:cs="宋体"/>
          <w:spacing w:val="12"/>
          <w:sz w:val="20"/>
          <w:szCs w:val="20"/>
        </w:rPr>
        <w:t xml:space="preserve"> </w:t>
      </w:r>
      <w:r>
        <w:rPr>
          <w:spacing w:val="3"/>
          <w:sz w:val="20"/>
          <w:szCs w:val="20"/>
        </w:rPr>
        <w:t>监测</w:t>
      </w:r>
    </w:p>
    <w:p w14:paraId="3C6DBAEB">
      <w:pPr>
        <w:spacing w:before="135" w:line="301" w:lineRule="auto"/>
        <w:ind w:left="659" w:right="89" w:firstLine="399"/>
        <w:rPr>
          <w:rFonts w:ascii="宋体" w:hAnsi="宋体" w:eastAsia="宋体" w:cs="宋体"/>
          <w:sz w:val="20"/>
          <w:szCs w:val="20"/>
        </w:rPr>
      </w:pPr>
      <w:r>
        <w:rPr>
          <w:rFonts w:ascii="宋体" w:hAnsi="宋体" w:eastAsia="宋体" w:cs="宋体"/>
          <w:spacing w:val="9"/>
          <w:sz w:val="20"/>
          <w:szCs w:val="20"/>
        </w:rPr>
        <w:t>(1)病因及影响因素监测：对饮水型氟中毒可进行</w:t>
      </w:r>
      <w:r>
        <w:rPr>
          <w:rFonts w:ascii="宋体" w:hAnsi="宋体" w:eastAsia="宋体" w:cs="宋体"/>
          <w:spacing w:val="8"/>
          <w:sz w:val="20"/>
          <w:szCs w:val="20"/>
        </w:rPr>
        <w:t>生活饮用水氟含量监测；燃煤型氟中毒主要</w:t>
      </w:r>
      <w:r>
        <w:rPr>
          <w:rFonts w:ascii="宋体" w:hAnsi="宋体" w:eastAsia="宋体" w:cs="宋体"/>
          <w:sz w:val="20"/>
          <w:szCs w:val="20"/>
        </w:rPr>
        <w:t xml:space="preserve"> </w:t>
      </w:r>
      <w:r>
        <w:rPr>
          <w:rFonts w:ascii="宋体" w:hAnsi="宋体" w:eastAsia="宋体" w:cs="宋体"/>
          <w:spacing w:val="6"/>
          <w:sz w:val="20"/>
          <w:szCs w:val="20"/>
        </w:rPr>
        <w:t>监测炉灶使用及相关生活行为情况，包括改良炉灶合格率和正确使用率，以及与食用燃煤熏</w:t>
      </w:r>
      <w:r>
        <w:rPr>
          <w:rFonts w:ascii="宋体" w:hAnsi="宋体" w:eastAsia="宋体" w:cs="宋体"/>
          <w:spacing w:val="5"/>
          <w:sz w:val="20"/>
          <w:szCs w:val="20"/>
        </w:rPr>
        <w:t>烤干燥</w:t>
      </w:r>
      <w:r>
        <w:rPr>
          <w:rFonts w:ascii="宋体" w:hAnsi="宋体" w:eastAsia="宋体" w:cs="宋体"/>
          <w:sz w:val="20"/>
          <w:szCs w:val="20"/>
        </w:rPr>
        <w:t xml:space="preserve"> </w:t>
      </w:r>
      <w:r>
        <w:rPr>
          <w:rFonts w:ascii="宋体" w:hAnsi="宋体" w:eastAsia="宋体" w:cs="宋体"/>
          <w:spacing w:val="6"/>
          <w:sz w:val="20"/>
          <w:szCs w:val="20"/>
        </w:rPr>
        <w:t>过的玉米和辣椒相关的健康生活行为正确率；对饮茶型可监测砖茶饮用情况和饮用水氟含量。</w:t>
      </w:r>
    </w:p>
    <w:p w14:paraId="26A962BA">
      <w:pPr>
        <w:spacing w:before="121" w:line="286" w:lineRule="auto"/>
        <w:ind w:left="659" w:right="89" w:firstLine="399"/>
        <w:rPr>
          <w:rFonts w:ascii="宋体" w:hAnsi="宋体" w:eastAsia="宋体" w:cs="宋体"/>
          <w:sz w:val="20"/>
          <w:szCs w:val="20"/>
        </w:rPr>
      </w:pPr>
      <w:r>
        <w:rPr>
          <w:rFonts w:ascii="宋体" w:hAnsi="宋体" w:eastAsia="宋体" w:cs="宋体"/>
          <w:spacing w:val="10"/>
          <w:sz w:val="20"/>
          <w:szCs w:val="20"/>
        </w:rPr>
        <w:t>(2)病情监测：①监测氟斑牙病情[8～12岁儿童氟斑牙患病(检出)率]及尿氟监测；②氟骨症</w:t>
      </w:r>
      <w:r>
        <w:rPr>
          <w:rFonts w:ascii="宋体" w:hAnsi="宋体" w:eastAsia="宋体" w:cs="宋体"/>
          <w:spacing w:val="9"/>
          <w:sz w:val="20"/>
          <w:szCs w:val="20"/>
        </w:rPr>
        <w:t xml:space="preserve"> </w:t>
      </w:r>
      <w:r>
        <w:rPr>
          <w:rFonts w:ascii="宋体" w:hAnsi="宋体" w:eastAsia="宋体" w:cs="宋体"/>
          <w:spacing w:val="11"/>
          <w:sz w:val="20"/>
          <w:szCs w:val="20"/>
        </w:rPr>
        <w:t>病情[成人临床氟骨症与X</w:t>
      </w:r>
      <w:r>
        <w:rPr>
          <w:rFonts w:ascii="宋体" w:hAnsi="宋体" w:eastAsia="宋体" w:cs="宋体"/>
          <w:spacing w:val="-15"/>
          <w:sz w:val="20"/>
          <w:szCs w:val="20"/>
        </w:rPr>
        <w:t xml:space="preserve"> </w:t>
      </w:r>
      <w:r>
        <w:rPr>
          <w:rFonts w:ascii="宋体" w:hAnsi="宋体" w:eastAsia="宋体" w:cs="宋体"/>
          <w:spacing w:val="11"/>
          <w:sz w:val="20"/>
          <w:szCs w:val="20"/>
        </w:rPr>
        <w:t>线氟骨症患病(检出)率</w:t>
      </w:r>
      <w:r>
        <w:rPr>
          <w:rFonts w:ascii="宋体" w:hAnsi="宋体" w:eastAsia="宋体" w:cs="宋体"/>
          <w:spacing w:val="10"/>
          <w:sz w:val="20"/>
          <w:szCs w:val="20"/>
        </w:rPr>
        <w:t>]及尿氟监测(人群尿氟水平)。</w:t>
      </w:r>
    </w:p>
    <w:p w14:paraId="6745B353">
      <w:pPr>
        <w:pStyle w:val="2"/>
        <w:spacing w:before="91" w:line="221" w:lineRule="auto"/>
        <w:ind w:left="1059"/>
        <w:rPr>
          <w:sz w:val="20"/>
          <w:szCs w:val="20"/>
        </w:rPr>
      </w:pPr>
      <w:r>
        <w:rPr>
          <w:rFonts w:ascii="宋体" w:hAnsi="宋体" w:eastAsia="宋体" w:cs="宋体"/>
          <w:spacing w:val="-6"/>
          <w:sz w:val="20"/>
          <w:szCs w:val="20"/>
        </w:rPr>
        <w:t>2.</w:t>
      </w:r>
      <w:r>
        <w:rPr>
          <w:rFonts w:ascii="宋体" w:hAnsi="宋体" w:eastAsia="宋体" w:cs="宋体"/>
          <w:spacing w:val="-18"/>
          <w:sz w:val="20"/>
          <w:szCs w:val="20"/>
        </w:rPr>
        <w:t xml:space="preserve"> </w:t>
      </w:r>
      <w:r>
        <w:rPr>
          <w:spacing w:val="-6"/>
          <w:sz w:val="20"/>
          <w:szCs w:val="20"/>
        </w:rPr>
        <w:t>预</w:t>
      </w:r>
      <w:r>
        <w:rPr>
          <w:spacing w:val="-21"/>
          <w:sz w:val="20"/>
          <w:szCs w:val="20"/>
        </w:rPr>
        <w:t xml:space="preserve"> </w:t>
      </w:r>
      <w:r>
        <w:rPr>
          <w:spacing w:val="-6"/>
          <w:sz w:val="20"/>
          <w:szCs w:val="20"/>
        </w:rPr>
        <w:t>防</w:t>
      </w:r>
    </w:p>
    <w:p w14:paraId="33A5D6F6">
      <w:pPr>
        <w:spacing w:before="141" w:line="301" w:lineRule="auto"/>
        <w:ind w:left="659" w:right="69" w:firstLine="399"/>
        <w:rPr>
          <w:rFonts w:ascii="宋体" w:hAnsi="宋体" w:eastAsia="宋体" w:cs="宋体"/>
          <w:sz w:val="20"/>
          <w:szCs w:val="20"/>
        </w:rPr>
      </w:pPr>
      <w:r>
        <w:rPr>
          <w:rFonts w:ascii="宋体" w:hAnsi="宋体" w:eastAsia="宋体" w:cs="宋体"/>
          <w:spacing w:val="9"/>
          <w:sz w:val="20"/>
          <w:szCs w:val="20"/>
        </w:rPr>
        <w:t>(1)饮水型氟中毒的预防：降低饮用水氟含量，使之符合饮用水卫生标准是根本、有效的预防</w:t>
      </w:r>
      <w:r>
        <w:rPr>
          <w:rFonts w:ascii="宋体" w:hAnsi="宋体" w:eastAsia="宋体" w:cs="宋体"/>
          <w:spacing w:val="1"/>
          <w:sz w:val="20"/>
          <w:szCs w:val="20"/>
        </w:rPr>
        <w:t xml:space="preserve"> </w:t>
      </w:r>
      <w:r>
        <w:rPr>
          <w:rFonts w:ascii="宋体" w:hAnsi="宋体" w:eastAsia="宋体" w:cs="宋体"/>
          <w:spacing w:val="6"/>
          <w:sz w:val="20"/>
          <w:szCs w:val="20"/>
        </w:rPr>
        <w:t>措施。其一是改换水源，改用低氟水源，包括深层地下水、低氟地面水或天然降水；其二是饮用水</w:t>
      </w:r>
      <w:r>
        <w:rPr>
          <w:rFonts w:ascii="宋体" w:hAnsi="宋体" w:eastAsia="宋体" w:cs="宋体"/>
          <w:sz w:val="20"/>
          <w:szCs w:val="20"/>
        </w:rPr>
        <w:t xml:space="preserve"> 除氟，在一些无低氟水源的病区，应开展饮用水除氟。</w:t>
      </w:r>
    </w:p>
    <w:p w14:paraId="77C762F0">
      <w:pPr>
        <w:spacing w:before="113" w:line="289" w:lineRule="auto"/>
        <w:ind w:left="659" w:firstLine="399"/>
        <w:rPr>
          <w:rFonts w:ascii="宋体" w:hAnsi="宋体" w:eastAsia="宋体" w:cs="宋体"/>
          <w:sz w:val="20"/>
          <w:szCs w:val="20"/>
        </w:rPr>
      </w:pPr>
      <w:r>
        <w:rPr>
          <w:rFonts w:ascii="宋体" w:hAnsi="宋体" w:eastAsia="宋体" w:cs="宋体"/>
          <w:spacing w:val="9"/>
          <w:sz w:val="20"/>
          <w:szCs w:val="20"/>
        </w:rPr>
        <w:t>(2)燃煤污染型氟中毒的预防：该型氟中毒预防的总原则是坚持以改良炉灶、改善住宅建筑条</w:t>
      </w:r>
      <w:r>
        <w:rPr>
          <w:rFonts w:ascii="宋体" w:hAnsi="宋体" w:eastAsia="宋体" w:cs="宋体"/>
          <w:sz w:val="20"/>
          <w:szCs w:val="20"/>
        </w:rPr>
        <w:t xml:space="preserve"> </w:t>
      </w:r>
      <w:r>
        <w:rPr>
          <w:rFonts w:ascii="宋体" w:hAnsi="宋体" w:eastAsia="宋体" w:cs="宋体"/>
          <w:spacing w:val="3"/>
          <w:sz w:val="20"/>
          <w:szCs w:val="20"/>
        </w:rPr>
        <w:t>件为主要措施，以降低空气和食物氟污染；同时开展健康教育干预，减少总摄氟量等综合防制措施。</w:t>
      </w:r>
    </w:p>
    <w:p w14:paraId="4FE8F4B4">
      <w:pPr>
        <w:spacing w:before="102" w:line="300" w:lineRule="auto"/>
        <w:ind w:left="659" w:firstLine="399"/>
        <w:rPr>
          <w:rFonts w:ascii="宋体" w:hAnsi="宋体" w:eastAsia="宋体" w:cs="宋体"/>
          <w:sz w:val="20"/>
          <w:szCs w:val="20"/>
        </w:rPr>
      </w:pPr>
      <w:r>
        <w:rPr>
          <w:rFonts w:ascii="宋体" w:hAnsi="宋体" w:eastAsia="宋体" w:cs="宋体"/>
          <w:spacing w:val="6"/>
          <w:sz w:val="20"/>
          <w:szCs w:val="20"/>
        </w:rPr>
        <w:t>(3)饮茶型氟中毒的预防：①研制、生产、销售含氟量符合国家标准的低氟</w:t>
      </w:r>
      <w:r>
        <w:rPr>
          <w:rFonts w:ascii="宋体" w:hAnsi="宋体" w:eastAsia="宋体" w:cs="宋体"/>
          <w:spacing w:val="5"/>
          <w:sz w:val="20"/>
          <w:szCs w:val="20"/>
        </w:rPr>
        <w:t>砖茶；②茶叶降氟，</w:t>
      </w:r>
      <w:r>
        <w:rPr>
          <w:rFonts w:ascii="宋体" w:hAnsi="宋体" w:eastAsia="宋体" w:cs="宋体"/>
          <w:sz w:val="20"/>
          <w:szCs w:val="20"/>
        </w:rPr>
        <w:t xml:space="preserve"> </w:t>
      </w:r>
      <w:r>
        <w:rPr>
          <w:rFonts w:ascii="宋体" w:hAnsi="宋体" w:eastAsia="宋体" w:cs="宋体"/>
          <w:spacing w:val="10"/>
          <w:sz w:val="20"/>
          <w:szCs w:val="20"/>
        </w:rPr>
        <w:t>主要采用物理方法降氟，茶叶颗粒越小越有利于茶氟的浸出，第一泡中茶氟浸出率高达65%以上，</w:t>
      </w:r>
      <w:r>
        <w:rPr>
          <w:rFonts w:ascii="宋体" w:hAnsi="宋体" w:eastAsia="宋体" w:cs="宋体"/>
          <w:spacing w:val="8"/>
          <w:sz w:val="20"/>
          <w:szCs w:val="20"/>
        </w:rPr>
        <w:t xml:space="preserve"> </w:t>
      </w:r>
      <w:r>
        <w:rPr>
          <w:rFonts w:ascii="宋体" w:hAnsi="宋体" w:eastAsia="宋体" w:cs="宋体"/>
          <w:spacing w:val="-1"/>
          <w:sz w:val="20"/>
          <w:szCs w:val="20"/>
        </w:rPr>
        <w:t>因此，可将砖茶捣碎，用热水洗茶一次再熬煮；③开展健康教育，改变饮茶习惯。</w:t>
      </w:r>
    </w:p>
    <w:p w14:paraId="5AA80B69">
      <w:pPr>
        <w:pStyle w:val="2"/>
        <w:spacing w:before="293" w:line="221" w:lineRule="auto"/>
        <w:ind w:left="1063"/>
        <w:outlineLvl w:val="4"/>
        <w:rPr>
          <w:sz w:val="25"/>
          <w:szCs w:val="25"/>
        </w:rPr>
      </w:pPr>
      <w:bookmarkStart w:id="620" w:name="bookmark400"/>
      <w:bookmarkEnd w:id="620"/>
      <w:r>
        <w:rPr>
          <w:b/>
          <w:bCs/>
          <w:spacing w:val="-4"/>
          <w:sz w:val="25"/>
          <w:szCs w:val="25"/>
        </w:rPr>
        <w:t>二、地方性砷中毒</w:t>
      </w:r>
    </w:p>
    <w:p w14:paraId="3584B64F">
      <w:pPr>
        <w:spacing w:before="262" w:line="341" w:lineRule="auto"/>
        <w:ind w:left="659" w:firstLine="399"/>
        <w:jc w:val="both"/>
        <w:rPr>
          <w:rFonts w:ascii="宋体" w:hAnsi="宋体" w:eastAsia="宋体" w:cs="宋体"/>
          <w:sz w:val="20"/>
          <w:szCs w:val="20"/>
        </w:rPr>
      </w:pPr>
      <w:r>
        <w:rPr>
          <w:rFonts w:ascii="宋体" w:hAnsi="宋体" w:eastAsia="宋体" w:cs="宋体"/>
          <w:spacing w:val="5"/>
          <w:sz w:val="20"/>
          <w:szCs w:val="20"/>
        </w:rPr>
        <w:t>地方性砷中毒</w:t>
      </w:r>
      <w:r>
        <w:rPr>
          <w:rFonts w:ascii="Times New Roman" w:hAnsi="Times New Roman" w:eastAsia="Times New Roman" w:cs="Times New Roman"/>
          <w:spacing w:val="5"/>
          <w:sz w:val="20"/>
          <w:szCs w:val="20"/>
        </w:rPr>
        <w:t>(</w:t>
      </w:r>
      <w:r>
        <w:rPr>
          <w:rFonts w:ascii="Times New Roman" w:hAnsi="Times New Roman" w:eastAsia="Times New Roman" w:cs="Times New Roman"/>
          <w:sz w:val="20"/>
          <w:szCs w:val="20"/>
        </w:rPr>
        <w:t>endemic</w:t>
      </w:r>
      <w:r>
        <w:rPr>
          <w:rFonts w:ascii="Times New Roman" w:hAnsi="Times New Roman" w:eastAsia="Times New Roman" w:cs="Times New Roman"/>
          <w:spacing w:val="5"/>
          <w:sz w:val="20"/>
          <w:szCs w:val="20"/>
        </w:rPr>
        <w:t xml:space="preserve">     </w:t>
      </w:r>
      <w:r>
        <w:rPr>
          <w:rFonts w:ascii="Times New Roman" w:hAnsi="Times New Roman" w:eastAsia="Times New Roman" w:cs="Times New Roman"/>
          <w:sz w:val="20"/>
          <w:szCs w:val="20"/>
        </w:rPr>
        <w:t>arsenicosis</w:t>
      </w:r>
      <w:r>
        <w:rPr>
          <w:rFonts w:ascii="Times New Roman" w:hAnsi="Times New Roman" w:eastAsia="Times New Roman" w:cs="Times New Roman"/>
          <w:spacing w:val="5"/>
          <w:sz w:val="20"/>
          <w:szCs w:val="20"/>
        </w:rPr>
        <w:t>)</w:t>
      </w:r>
      <w:r>
        <w:rPr>
          <w:rFonts w:ascii="宋体" w:hAnsi="宋体" w:eastAsia="宋体" w:cs="宋体"/>
          <w:spacing w:val="5"/>
          <w:sz w:val="20"/>
          <w:szCs w:val="20"/>
        </w:rPr>
        <w:t>简称地砷病，是居住在特定地理条件下的居民，通过饮水、</w:t>
      </w:r>
      <w:r>
        <w:rPr>
          <w:rFonts w:ascii="宋体" w:hAnsi="宋体" w:eastAsia="宋体" w:cs="宋体"/>
          <w:spacing w:val="16"/>
          <w:sz w:val="20"/>
          <w:szCs w:val="20"/>
        </w:rPr>
        <w:t xml:space="preserve"> </w:t>
      </w:r>
      <w:r>
        <w:rPr>
          <w:rFonts w:ascii="宋体" w:hAnsi="宋体" w:eastAsia="宋体" w:cs="宋体"/>
          <w:spacing w:val="4"/>
          <w:sz w:val="20"/>
          <w:szCs w:val="20"/>
        </w:rPr>
        <w:t>空气、食物等介质摄入过量的无机砷化合物，引起以皮肤色素脱失</w:t>
      </w:r>
      <w:r>
        <w:rPr>
          <w:rFonts w:ascii="宋体" w:hAnsi="宋体" w:eastAsia="宋体" w:cs="宋体"/>
          <w:spacing w:val="3"/>
          <w:sz w:val="20"/>
          <w:szCs w:val="20"/>
        </w:rPr>
        <w:t>和/或过度沉着、掌跖角化甚至癌</w:t>
      </w:r>
      <w:r>
        <w:rPr>
          <w:rFonts w:ascii="宋体" w:hAnsi="宋体" w:eastAsia="宋体" w:cs="宋体"/>
          <w:sz w:val="20"/>
          <w:szCs w:val="20"/>
        </w:rPr>
        <w:t xml:space="preserve">  </w:t>
      </w:r>
      <w:r>
        <w:rPr>
          <w:rFonts w:ascii="宋体" w:hAnsi="宋体" w:eastAsia="宋体" w:cs="宋体"/>
          <w:spacing w:val="8"/>
          <w:sz w:val="20"/>
          <w:szCs w:val="20"/>
        </w:rPr>
        <w:t>变为特征的全身性慢性中毒。</w:t>
      </w:r>
    </w:p>
    <w:p w14:paraId="22E749EC">
      <w:pPr>
        <w:pStyle w:val="2"/>
        <w:spacing w:before="1" w:line="220" w:lineRule="auto"/>
        <w:ind w:left="1062"/>
        <w:rPr>
          <w:sz w:val="20"/>
          <w:szCs w:val="20"/>
        </w:rPr>
      </w:pPr>
      <w:r>
        <w:rPr>
          <w:b/>
          <w:bCs/>
          <w:spacing w:val="16"/>
          <w:sz w:val="20"/>
          <w:szCs w:val="20"/>
        </w:rPr>
        <w:t>(</w:t>
      </w:r>
      <w:r>
        <w:rPr>
          <w:spacing w:val="-45"/>
          <w:sz w:val="20"/>
          <w:szCs w:val="20"/>
        </w:rPr>
        <w:t xml:space="preserve"> </w:t>
      </w:r>
      <w:r>
        <w:rPr>
          <w:b/>
          <w:bCs/>
          <w:spacing w:val="16"/>
          <w:sz w:val="20"/>
          <w:szCs w:val="20"/>
        </w:rPr>
        <w:t>一</w:t>
      </w:r>
      <w:r>
        <w:rPr>
          <w:spacing w:val="-56"/>
          <w:sz w:val="20"/>
          <w:szCs w:val="20"/>
        </w:rPr>
        <w:t xml:space="preserve"> </w:t>
      </w:r>
      <w:r>
        <w:rPr>
          <w:b/>
          <w:bCs/>
          <w:spacing w:val="16"/>
          <w:sz w:val="20"/>
          <w:szCs w:val="20"/>
        </w:rPr>
        <w:t>)主要流行特征</w:t>
      </w:r>
    </w:p>
    <w:p w14:paraId="43DAA0DF">
      <w:pPr>
        <w:spacing w:before="136" w:line="333" w:lineRule="auto"/>
        <w:ind w:left="659" w:firstLine="399"/>
        <w:jc w:val="both"/>
        <w:rPr>
          <w:rFonts w:ascii="宋体" w:hAnsi="宋体" w:eastAsia="宋体" w:cs="宋体"/>
          <w:sz w:val="20"/>
          <w:szCs w:val="20"/>
        </w:rPr>
      </w:pPr>
      <w:r>
        <w:rPr>
          <w:rFonts w:ascii="宋体" w:hAnsi="宋体" w:eastAsia="宋体" w:cs="宋体"/>
          <w:spacing w:val="14"/>
          <w:sz w:val="20"/>
          <w:szCs w:val="20"/>
        </w:rPr>
        <w:t>全球许多国家都有地砷病的流行，主要分布在美洲和亚洲</w:t>
      </w:r>
      <w:r>
        <w:rPr>
          <w:rFonts w:ascii="宋体" w:hAnsi="宋体" w:eastAsia="宋体" w:cs="宋体"/>
          <w:spacing w:val="13"/>
          <w:sz w:val="20"/>
          <w:szCs w:val="20"/>
        </w:rPr>
        <w:t>。我国新疆等15个省(自治区、直</w:t>
      </w:r>
      <w:r>
        <w:rPr>
          <w:rFonts w:ascii="宋体" w:hAnsi="宋体" w:eastAsia="宋体" w:cs="宋体"/>
          <w:sz w:val="20"/>
          <w:szCs w:val="20"/>
        </w:rPr>
        <w:t xml:space="preserve">  </w:t>
      </w:r>
      <w:r>
        <w:rPr>
          <w:rFonts w:ascii="宋体" w:hAnsi="宋体" w:eastAsia="宋体" w:cs="宋体"/>
          <w:spacing w:val="8"/>
          <w:sz w:val="20"/>
          <w:szCs w:val="20"/>
        </w:rPr>
        <w:t>辖市)有地砷病病区或高砷区的存在。其中贵州为燃煤污染型病区，主要是由敞灶燃烧高砷煤引起</w:t>
      </w:r>
      <w:r>
        <w:rPr>
          <w:rFonts w:ascii="宋体" w:hAnsi="宋体" w:eastAsia="宋体" w:cs="宋体"/>
          <w:spacing w:val="6"/>
          <w:sz w:val="20"/>
          <w:szCs w:val="20"/>
        </w:rPr>
        <w:t xml:space="preserve">  </w:t>
      </w:r>
      <w:r>
        <w:rPr>
          <w:rFonts w:ascii="宋体" w:hAnsi="宋体" w:eastAsia="宋体" w:cs="宋体"/>
          <w:spacing w:val="3"/>
          <w:sz w:val="20"/>
          <w:szCs w:val="20"/>
        </w:rPr>
        <w:t>的。陕西既有燃煤污染型病区，又有饮水型病区。其余为饮水型病区或高砷区，呈条带状、块片状、</w:t>
      </w:r>
      <w:r>
        <w:rPr>
          <w:rFonts w:ascii="宋体" w:hAnsi="宋体" w:eastAsia="宋体" w:cs="宋体"/>
          <w:spacing w:val="16"/>
          <w:sz w:val="20"/>
          <w:szCs w:val="20"/>
        </w:rPr>
        <w:t xml:space="preserve"> </w:t>
      </w:r>
      <w:r>
        <w:rPr>
          <w:rFonts w:ascii="宋体" w:hAnsi="宋体" w:eastAsia="宋体" w:cs="宋体"/>
          <w:spacing w:val="6"/>
          <w:sz w:val="20"/>
          <w:szCs w:val="20"/>
        </w:rPr>
        <w:t>灶状和点状分布。该病通常没有多发季节和多发年，但由于冬季燃煤较多且居民在室内时间长，因</w:t>
      </w:r>
      <w:r>
        <w:rPr>
          <w:rFonts w:ascii="宋体" w:hAnsi="宋体" w:eastAsia="宋体" w:cs="宋体"/>
          <w:spacing w:val="11"/>
          <w:sz w:val="20"/>
          <w:szCs w:val="20"/>
        </w:rPr>
        <w:t xml:space="preserve"> </w:t>
      </w:r>
      <w:r>
        <w:rPr>
          <w:rFonts w:ascii="宋体" w:hAnsi="宋体" w:eastAsia="宋体" w:cs="宋体"/>
          <w:spacing w:val="6"/>
          <w:sz w:val="20"/>
          <w:szCs w:val="20"/>
        </w:rPr>
        <w:t>此燃煤污染型砷中毒在冬季多发。</w:t>
      </w:r>
    </w:p>
    <w:p w14:paraId="16B0DACE">
      <w:pPr>
        <w:spacing w:before="24" w:line="343" w:lineRule="auto"/>
        <w:ind w:left="659" w:right="91" w:firstLine="399"/>
        <w:rPr>
          <w:rFonts w:ascii="宋体" w:hAnsi="宋体" w:eastAsia="宋体" w:cs="宋体"/>
          <w:sz w:val="20"/>
          <w:szCs w:val="20"/>
        </w:rPr>
      </w:pPr>
      <w:r>
        <w:rPr>
          <w:rFonts w:ascii="宋体" w:hAnsi="宋体" w:eastAsia="宋体" w:cs="宋体"/>
          <w:spacing w:val="9"/>
          <w:sz w:val="20"/>
          <w:szCs w:val="20"/>
        </w:rPr>
        <w:t>任何年龄摄入过多的砷均可患病。调查显示，饮水型病区砷中毒患</w:t>
      </w:r>
      <w:r>
        <w:rPr>
          <w:rFonts w:ascii="宋体" w:hAnsi="宋体" w:eastAsia="宋体" w:cs="宋体"/>
          <w:spacing w:val="8"/>
          <w:sz w:val="20"/>
          <w:szCs w:val="20"/>
        </w:rPr>
        <w:t>者最小年龄为3岁，最大年</w:t>
      </w:r>
      <w:r>
        <w:rPr>
          <w:rFonts w:ascii="宋体" w:hAnsi="宋体" w:eastAsia="宋体" w:cs="宋体"/>
          <w:sz w:val="20"/>
          <w:szCs w:val="20"/>
        </w:rPr>
        <w:t xml:space="preserve"> </w:t>
      </w:r>
      <w:r>
        <w:rPr>
          <w:rFonts w:ascii="宋体" w:hAnsi="宋体" w:eastAsia="宋体" w:cs="宋体"/>
          <w:spacing w:val="6"/>
          <w:sz w:val="20"/>
          <w:szCs w:val="20"/>
        </w:rPr>
        <w:t>龄为88岁。由于砷中毒潜伏期相对长，随着年龄的增长，机体内砷的蓄积量和累</w:t>
      </w:r>
      <w:r>
        <w:rPr>
          <w:rFonts w:ascii="宋体" w:hAnsi="宋体" w:eastAsia="宋体" w:cs="宋体"/>
          <w:spacing w:val="5"/>
          <w:sz w:val="20"/>
          <w:szCs w:val="20"/>
        </w:rPr>
        <w:t>积性损害增加，所</w:t>
      </w:r>
    </w:p>
    <w:p w14:paraId="474236B6">
      <w:pPr>
        <w:spacing w:line="343" w:lineRule="auto"/>
        <w:rPr>
          <w:rFonts w:ascii="宋体" w:hAnsi="宋体" w:eastAsia="宋体" w:cs="宋体"/>
          <w:sz w:val="20"/>
          <w:szCs w:val="20"/>
        </w:rPr>
        <w:sectPr>
          <w:footerReference r:id="rId385" w:type="default"/>
          <w:pgSz w:w="11900" w:h="16820"/>
          <w:pgMar w:top="400" w:right="1469" w:bottom="879" w:left="820" w:header="0" w:footer="699" w:gutter="0"/>
          <w:cols w:space="720" w:num="1"/>
        </w:sectPr>
      </w:pPr>
    </w:p>
    <w:p w14:paraId="5ECA4C4C">
      <w:pPr>
        <w:pStyle w:val="2"/>
        <w:spacing w:before="296" w:line="221" w:lineRule="auto"/>
        <w:ind w:left="7059"/>
        <w:rPr>
          <w:sz w:val="20"/>
          <w:szCs w:val="20"/>
        </w:rPr>
      </w:pPr>
      <w:r>
        <w:rPr>
          <w:spacing w:val="-22"/>
          <w:sz w:val="20"/>
          <w:szCs w:val="20"/>
        </w:rPr>
        <w:t>第二十四章 地方病</w:t>
      </w:r>
    </w:p>
    <w:p w14:paraId="7FEA8E10">
      <w:pPr>
        <w:spacing w:line="267" w:lineRule="auto"/>
        <w:rPr>
          <w:rFonts w:ascii="Arial"/>
          <w:sz w:val="21"/>
        </w:rPr>
      </w:pPr>
    </w:p>
    <w:p w14:paraId="2AEC4F63">
      <w:pPr>
        <w:spacing w:line="267" w:lineRule="auto"/>
        <w:rPr>
          <w:rFonts w:ascii="Arial"/>
          <w:sz w:val="21"/>
        </w:rPr>
      </w:pPr>
    </w:p>
    <w:p w14:paraId="140AA716">
      <w:pPr>
        <w:spacing w:before="65" w:line="312" w:lineRule="auto"/>
        <w:ind w:right="668"/>
        <w:rPr>
          <w:rFonts w:ascii="宋体" w:hAnsi="宋体" w:eastAsia="宋体" w:cs="宋体"/>
          <w:sz w:val="20"/>
          <w:szCs w:val="20"/>
        </w:rPr>
      </w:pPr>
      <w:r>
        <w:rPr>
          <w:rFonts w:ascii="宋体" w:hAnsi="宋体" w:eastAsia="宋体" w:cs="宋体"/>
          <w:spacing w:val="-2"/>
          <w:sz w:val="20"/>
          <w:szCs w:val="20"/>
        </w:rPr>
        <w:t>以该病的检出率随着年龄的增加而上升。多数为男性患病高于女性；无民族和职业差异，但呈明显</w:t>
      </w:r>
      <w:r>
        <w:rPr>
          <w:rFonts w:ascii="宋体" w:hAnsi="宋体" w:eastAsia="宋体" w:cs="宋体"/>
          <w:spacing w:val="8"/>
          <w:sz w:val="20"/>
          <w:szCs w:val="20"/>
        </w:rPr>
        <w:t xml:space="preserve"> </w:t>
      </w:r>
      <w:r>
        <w:rPr>
          <w:rFonts w:ascii="宋体" w:hAnsi="宋体" w:eastAsia="宋体" w:cs="宋体"/>
          <w:spacing w:val="-1"/>
          <w:sz w:val="20"/>
          <w:szCs w:val="20"/>
        </w:rPr>
        <w:t>的家庭聚集性。</w:t>
      </w:r>
    </w:p>
    <w:p w14:paraId="4FE2C015">
      <w:pPr>
        <w:pStyle w:val="2"/>
        <w:spacing w:before="1" w:line="220" w:lineRule="auto"/>
        <w:ind w:left="393"/>
        <w:rPr>
          <w:sz w:val="24"/>
          <w:szCs w:val="24"/>
        </w:rPr>
      </w:pPr>
      <w:r>
        <w:rPr>
          <w:b/>
          <w:bCs/>
          <w:spacing w:val="-2"/>
          <w:sz w:val="24"/>
          <w:szCs w:val="24"/>
        </w:rPr>
        <w:t>(二)防制</w:t>
      </w:r>
    </w:p>
    <w:p w14:paraId="0F1C6FC5">
      <w:pPr>
        <w:spacing w:before="127" w:line="342" w:lineRule="auto"/>
        <w:ind w:right="640" w:firstLine="389"/>
        <w:jc w:val="both"/>
        <w:rPr>
          <w:rFonts w:ascii="宋体" w:hAnsi="宋体" w:eastAsia="宋体" w:cs="宋体"/>
          <w:sz w:val="20"/>
          <w:szCs w:val="20"/>
        </w:rPr>
      </w:pPr>
      <w:r>
        <w:rPr>
          <w:rFonts w:ascii="宋体" w:hAnsi="宋体" w:eastAsia="宋体" w:cs="宋体"/>
          <w:spacing w:val="-1"/>
          <w:sz w:val="20"/>
          <w:szCs w:val="20"/>
        </w:rPr>
        <w:t>地方性砷中毒预防的核心内容与饮水型和燃煤污染型氟中毒类似，不同的是相关的诊断</w:t>
      </w:r>
      <w:r>
        <w:rPr>
          <w:rFonts w:ascii="宋体" w:hAnsi="宋体" w:eastAsia="宋体" w:cs="宋体"/>
          <w:spacing w:val="-2"/>
          <w:sz w:val="20"/>
          <w:szCs w:val="20"/>
        </w:rPr>
        <w:t>、病区</w:t>
      </w:r>
      <w:r>
        <w:rPr>
          <w:rFonts w:ascii="宋体" w:hAnsi="宋体" w:eastAsia="宋体" w:cs="宋体"/>
          <w:sz w:val="20"/>
          <w:szCs w:val="20"/>
        </w:rPr>
        <w:t xml:space="preserve"> </w:t>
      </w:r>
      <w:r>
        <w:rPr>
          <w:rFonts w:ascii="宋体" w:hAnsi="宋体" w:eastAsia="宋体" w:cs="宋体"/>
          <w:spacing w:val="-1"/>
          <w:sz w:val="20"/>
          <w:szCs w:val="20"/>
        </w:rPr>
        <w:t>确定与划分标准、去砷的具体方法及监测高砷煤矿的管理等。此处不再赘述，具体</w:t>
      </w:r>
      <w:r>
        <w:rPr>
          <w:rFonts w:ascii="宋体" w:hAnsi="宋体" w:eastAsia="宋体" w:cs="宋体"/>
          <w:spacing w:val="-2"/>
          <w:sz w:val="20"/>
          <w:szCs w:val="20"/>
        </w:rPr>
        <w:t>参见地方性砷中</w:t>
      </w:r>
      <w:r>
        <w:rPr>
          <w:rFonts w:ascii="宋体" w:hAnsi="宋体" w:eastAsia="宋体" w:cs="宋体"/>
          <w:sz w:val="20"/>
          <w:szCs w:val="20"/>
        </w:rPr>
        <w:t xml:space="preserve"> </w:t>
      </w:r>
      <w:r>
        <w:rPr>
          <w:rFonts w:ascii="宋体" w:hAnsi="宋体" w:eastAsia="宋体" w:cs="宋体"/>
          <w:spacing w:val="-1"/>
          <w:sz w:val="20"/>
          <w:szCs w:val="20"/>
        </w:rPr>
        <w:t>毒监测方案及相关地方病学书籍。</w:t>
      </w:r>
    </w:p>
    <w:p w14:paraId="089CC1DF">
      <w:pPr>
        <w:pStyle w:val="2"/>
        <w:spacing w:before="125" w:line="222" w:lineRule="auto"/>
        <w:ind w:left="393"/>
        <w:outlineLvl w:val="4"/>
        <w:rPr>
          <w:sz w:val="24"/>
          <w:szCs w:val="24"/>
        </w:rPr>
      </w:pPr>
      <w:bookmarkStart w:id="621" w:name="bookmark401"/>
      <w:bookmarkEnd w:id="621"/>
      <w:r>
        <w:rPr>
          <w:b/>
          <w:bCs/>
          <w:spacing w:val="-12"/>
          <w:sz w:val="24"/>
          <w:szCs w:val="24"/>
        </w:rPr>
        <w:t>三</w:t>
      </w:r>
      <w:r>
        <w:rPr>
          <w:spacing w:val="-48"/>
          <w:sz w:val="24"/>
          <w:szCs w:val="24"/>
        </w:rPr>
        <w:t xml:space="preserve"> </w:t>
      </w:r>
      <w:r>
        <w:rPr>
          <w:b/>
          <w:bCs/>
          <w:spacing w:val="-12"/>
          <w:sz w:val="24"/>
          <w:szCs w:val="24"/>
        </w:rPr>
        <w:t>、克山病</w:t>
      </w:r>
    </w:p>
    <w:p w14:paraId="5CA7DC13">
      <w:pPr>
        <w:spacing w:before="287" w:line="337" w:lineRule="auto"/>
        <w:ind w:right="627" w:firstLine="389"/>
        <w:jc w:val="both"/>
        <w:rPr>
          <w:rFonts w:ascii="宋体" w:hAnsi="宋体" w:eastAsia="宋体" w:cs="宋体"/>
          <w:sz w:val="20"/>
          <w:szCs w:val="20"/>
        </w:rPr>
      </w:pPr>
      <w:r>
        <w:rPr>
          <w:rFonts w:ascii="宋体" w:hAnsi="宋体" w:eastAsia="宋体" w:cs="宋体"/>
          <w:spacing w:val="2"/>
          <w:sz w:val="20"/>
          <w:szCs w:val="20"/>
        </w:rPr>
        <w:t>克山病</w:t>
      </w:r>
      <w:r>
        <w:rPr>
          <w:rFonts w:ascii="Times New Roman" w:hAnsi="Times New Roman" w:eastAsia="Times New Roman" w:cs="Times New Roman"/>
          <w:spacing w:val="2"/>
          <w:sz w:val="20"/>
          <w:szCs w:val="20"/>
        </w:rPr>
        <w:t>(</w:t>
      </w:r>
      <w:r>
        <w:rPr>
          <w:rFonts w:ascii="Times New Roman" w:hAnsi="Times New Roman" w:eastAsia="Times New Roman" w:cs="Times New Roman"/>
          <w:sz w:val="20"/>
          <w:szCs w:val="20"/>
        </w:rPr>
        <w:t>Keshan</w:t>
      </w:r>
      <w:r>
        <w:rPr>
          <w:rFonts w:ascii="Times New Roman" w:hAnsi="Times New Roman" w:eastAsia="Times New Roman" w:cs="Times New Roman"/>
          <w:spacing w:val="2"/>
          <w:sz w:val="20"/>
          <w:szCs w:val="20"/>
        </w:rPr>
        <w:t xml:space="preserve">   </w:t>
      </w:r>
      <w:r>
        <w:rPr>
          <w:rFonts w:ascii="Times New Roman" w:hAnsi="Times New Roman" w:eastAsia="Times New Roman" w:cs="Times New Roman"/>
          <w:sz w:val="20"/>
          <w:szCs w:val="20"/>
        </w:rPr>
        <w:t>disease</w:t>
      </w:r>
      <w:r>
        <w:rPr>
          <w:rFonts w:ascii="Times New Roman" w:hAnsi="Times New Roman" w:eastAsia="Times New Roman" w:cs="Times New Roman"/>
          <w:spacing w:val="2"/>
          <w:sz w:val="20"/>
          <w:szCs w:val="20"/>
        </w:rPr>
        <w:t>)</w:t>
      </w:r>
      <w:r>
        <w:rPr>
          <w:rFonts w:ascii="宋体" w:hAnsi="宋体" w:eastAsia="宋体" w:cs="宋体"/>
          <w:spacing w:val="2"/>
          <w:sz w:val="20"/>
          <w:szCs w:val="20"/>
        </w:rPr>
        <w:t>是一种原因尚未清楚的地方性心肌病。基本病理改变是心肌实质细胞</w:t>
      </w:r>
      <w:r>
        <w:rPr>
          <w:rFonts w:ascii="宋体" w:hAnsi="宋体" w:eastAsia="宋体" w:cs="宋体"/>
          <w:spacing w:val="10"/>
          <w:sz w:val="20"/>
          <w:szCs w:val="20"/>
        </w:rPr>
        <w:t xml:space="preserve"> </w:t>
      </w:r>
      <w:r>
        <w:rPr>
          <w:rFonts w:ascii="宋体" w:hAnsi="宋体" w:eastAsia="宋体" w:cs="宋体"/>
          <w:spacing w:val="-6"/>
          <w:sz w:val="20"/>
          <w:szCs w:val="20"/>
        </w:rPr>
        <w:t>的变性、坏死和继发性纤维化，心脏呈肌源性扩张，心腔扩大，室壁趋向变薄。主要临床表现为心功</w:t>
      </w:r>
      <w:r>
        <w:rPr>
          <w:rFonts w:ascii="宋体" w:hAnsi="宋体" w:eastAsia="宋体" w:cs="宋体"/>
          <w:spacing w:val="5"/>
          <w:sz w:val="20"/>
          <w:szCs w:val="20"/>
        </w:rPr>
        <w:t xml:space="preserve"> </w:t>
      </w:r>
      <w:r>
        <w:rPr>
          <w:rFonts w:ascii="宋体" w:hAnsi="宋体" w:eastAsia="宋体" w:cs="宋体"/>
          <w:spacing w:val="3"/>
          <w:sz w:val="20"/>
          <w:szCs w:val="20"/>
        </w:rPr>
        <w:t>能不全和心律失常。本病于1935年首先在黑龙江省克山县被报道，因此而得名。根据心功能状态</w:t>
      </w:r>
      <w:r>
        <w:rPr>
          <w:rFonts w:ascii="宋体" w:hAnsi="宋体" w:eastAsia="宋体" w:cs="宋体"/>
          <w:spacing w:val="7"/>
          <w:sz w:val="20"/>
          <w:szCs w:val="20"/>
        </w:rPr>
        <w:t xml:space="preserve"> </w:t>
      </w:r>
      <w:r>
        <w:rPr>
          <w:rFonts w:ascii="宋体" w:hAnsi="宋体" w:eastAsia="宋体" w:cs="宋体"/>
          <w:spacing w:val="-5"/>
          <w:sz w:val="20"/>
          <w:szCs w:val="20"/>
        </w:rPr>
        <w:t>和发病过程，克山病分为急型、亚急型、慢型和潜在</w:t>
      </w:r>
      <w:r>
        <w:rPr>
          <w:rFonts w:ascii="宋体" w:hAnsi="宋体" w:eastAsia="宋体" w:cs="宋体"/>
          <w:spacing w:val="-6"/>
          <w:sz w:val="20"/>
          <w:szCs w:val="20"/>
        </w:rPr>
        <w:t>型四种。目前病因尚不清楚，一方面是地球化学</w:t>
      </w:r>
      <w:r>
        <w:rPr>
          <w:rFonts w:ascii="宋体" w:hAnsi="宋体" w:eastAsia="宋体" w:cs="宋体"/>
          <w:sz w:val="20"/>
          <w:szCs w:val="20"/>
        </w:rPr>
        <w:t xml:space="preserve"> </w:t>
      </w:r>
      <w:r>
        <w:rPr>
          <w:rFonts w:ascii="宋体" w:hAnsi="宋体" w:eastAsia="宋体" w:cs="宋体"/>
          <w:spacing w:val="-1"/>
          <w:sz w:val="20"/>
          <w:szCs w:val="20"/>
        </w:rPr>
        <w:t>说，认为是微量元素(硒)、氨基酸、维生素缺乏或失衡等引起的早期心肌损伤；另一方面是生物病</w:t>
      </w:r>
      <w:r>
        <w:rPr>
          <w:rFonts w:ascii="宋体" w:hAnsi="宋体" w:eastAsia="宋体" w:cs="宋体"/>
          <w:spacing w:val="6"/>
          <w:sz w:val="20"/>
          <w:szCs w:val="20"/>
        </w:rPr>
        <w:t xml:space="preserve"> </w:t>
      </w:r>
      <w:r>
        <w:rPr>
          <w:rFonts w:ascii="宋体" w:hAnsi="宋体" w:eastAsia="宋体" w:cs="宋体"/>
          <w:spacing w:val="-3"/>
          <w:sz w:val="20"/>
          <w:szCs w:val="20"/>
        </w:rPr>
        <w:t>因学说，包括自然疫源性虫媒学说、肠道病毒传染学说和真菌毒</w:t>
      </w:r>
      <w:r>
        <w:rPr>
          <w:rFonts w:ascii="宋体" w:hAnsi="宋体" w:eastAsia="宋体" w:cs="宋体"/>
          <w:spacing w:val="-4"/>
          <w:sz w:val="20"/>
          <w:szCs w:val="20"/>
        </w:rPr>
        <w:t>素中毒学说。</w:t>
      </w:r>
    </w:p>
    <w:p w14:paraId="61AE0E24">
      <w:pPr>
        <w:pStyle w:val="2"/>
        <w:spacing w:before="21" w:line="221" w:lineRule="auto"/>
        <w:ind w:left="392"/>
        <w:rPr>
          <w:sz w:val="20"/>
          <w:szCs w:val="20"/>
        </w:rPr>
      </w:pPr>
      <w:r>
        <w:rPr>
          <w:b/>
          <w:bCs/>
          <w:spacing w:val="17"/>
          <w:sz w:val="20"/>
          <w:szCs w:val="20"/>
        </w:rPr>
        <w:t>(</w:t>
      </w:r>
      <w:r>
        <w:rPr>
          <w:spacing w:val="-50"/>
          <w:sz w:val="20"/>
          <w:szCs w:val="20"/>
        </w:rPr>
        <w:t xml:space="preserve"> </w:t>
      </w:r>
      <w:r>
        <w:rPr>
          <w:b/>
          <w:bCs/>
          <w:spacing w:val="17"/>
          <w:sz w:val="20"/>
          <w:szCs w:val="20"/>
        </w:rPr>
        <w:t>一)主要流行特征</w:t>
      </w:r>
    </w:p>
    <w:p w14:paraId="00A0E6F0">
      <w:pPr>
        <w:spacing w:before="134" w:line="300" w:lineRule="auto"/>
        <w:ind w:right="634" w:firstLine="389"/>
        <w:rPr>
          <w:rFonts w:ascii="宋体" w:hAnsi="宋体" w:eastAsia="宋体" w:cs="宋体"/>
          <w:sz w:val="20"/>
          <w:szCs w:val="20"/>
        </w:rPr>
      </w:pPr>
      <w:r>
        <w:rPr>
          <w:rFonts w:ascii="宋体" w:hAnsi="宋体" w:eastAsia="宋体" w:cs="宋体"/>
          <w:spacing w:val="4"/>
          <w:sz w:val="20"/>
          <w:szCs w:val="20"/>
        </w:rPr>
        <w:t>1. 地区分布 我国病区从东北至西南形成一条</w:t>
      </w:r>
      <w:r>
        <w:rPr>
          <w:rFonts w:ascii="宋体" w:hAnsi="宋体" w:eastAsia="宋体" w:cs="宋体"/>
          <w:spacing w:val="3"/>
          <w:sz w:val="20"/>
          <w:szCs w:val="20"/>
        </w:rPr>
        <w:t>较宽阔的地带。病区多为大山脉两侧半山区或</w:t>
      </w:r>
      <w:r>
        <w:rPr>
          <w:rFonts w:ascii="宋体" w:hAnsi="宋体" w:eastAsia="宋体" w:cs="宋体"/>
          <w:sz w:val="20"/>
          <w:szCs w:val="20"/>
        </w:rPr>
        <w:t xml:space="preserve"> </w:t>
      </w:r>
      <w:r>
        <w:rPr>
          <w:rFonts w:ascii="宋体" w:hAnsi="宋体" w:eastAsia="宋体" w:cs="宋体"/>
          <w:spacing w:val="-1"/>
          <w:sz w:val="20"/>
          <w:szCs w:val="20"/>
        </w:rPr>
        <w:t>丘陵地带。地貌多为侵蚀区，地表水土流失严重，致使硒等元素贫乏。日本和朝鲜北部山区也有过</w:t>
      </w:r>
      <w:r>
        <w:rPr>
          <w:rFonts w:ascii="宋体" w:hAnsi="宋体" w:eastAsia="宋体" w:cs="宋体"/>
          <w:sz w:val="20"/>
          <w:szCs w:val="20"/>
        </w:rPr>
        <w:t xml:space="preserve"> </w:t>
      </w:r>
      <w:r>
        <w:rPr>
          <w:rFonts w:ascii="宋体" w:hAnsi="宋体" w:eastAsia="宋体" w:cs="宋体"/>
          <w:spacing w:val="4"/>
          <w:sz w:val="20"/>
          <w:szCs w:val="20"/>
        </w:rPr>
        <w:t>类似本病的报告。</w:t>
      </w:r>
    </w:p>
    <w:p w14:paraId="766D79C0">
      <w:pPr>
        <w:pStyle w:val="2"/>
        <w:spacing w:before="116" w:line="222" w:lineRule="auto"/>
        <w:ind w:left="389"/>
        <w:rPr>
          <w:rFonts w:ascii="宋体" w:hAnsi="宋体" w:eastAsia="宋体" w:cs="宋体"/>
          <w:sz w:val="20"/>
          <w:szCs w:val="20"/>
        </w:rPr>
      </w:pPr>
      <w:r>
        <w:rPr>
          <w:rFonts w:ascii="宋体" w:hAnsi="宋体" w:eastAsia="宋体" w:cs="宋体"/>
          <w:spacing w:val="4"/>
          <w:sz w:val="20"/>
          <w:szCs w:val="20"/>
        </w:rPr>
        <w:t xml:space="preserve">2. </w:t>
      </w:r>
      <w:r>
        <w:rPr>
          <w:spacing w:val="4"/>
          <w:sz w:val="20"/>
          <w:szCs w:val="20"/>
        </w:rPr>
        <w:t>时间分布</w:t>
      </w:r>
      <w:r>
        <w:rPr>
          <w:spacing w:val="82"/>
          <w:sz w:val="20"/>
          <w:szCs w:val="20"/>
        </w:rPr>
        <w:t xml:space="preserve"> </w:t>
      </w:r>
      <w:r>
        <w:rPr>
          <w:rFonts w:ascii="宋体" w:hAnsi="宋体" w:eastAsia="宋体" w:cs="宋体"/>
          <w:spacing w:val="4"/>
          <w:sz w:val="20"/>
          <w:szCs w:val="20"/>
        </w:rPr>
        <w:t>呈年度多发和季节性特点。</w:t>
      </w:r>
    </w:p>
    <w:p w14:paraId="6BD250E7">
      <w:pPr>
        <w:spacing w:before="138" w:line="295" w:lineRule="auto"/>
        <w:ind w:right="562" w:firstLine="389"/>
        <w:rPr>
          <w:rFonts w:ascii="宋体" w:hAnsi="宋体" w:eastAsia="宋体" w:cs="宋体"/>
          <w:sz w:val="20"/>
          <w:szCs w:val="20"/>
        </w:rPr>
      </w:pPr>
      <w:r>
        <w:rPr>
          <w:rFonts w:ascii="宋体" w:hAnsi="宋体" w:eastAsia="宋体" w:cs="宋体"/>
          <w:spacing w:val="8"/>
          <w:sz w:val="20"/>
          <w:szCs w:val="20"/>
        </w:rPr>
        <w:t>(1)年度多发：急型、亚急型克山病发病波动大，有高发年(可呈暴发)、平发年和低发年。</w:t>
      </w:r>
      <w:r>
        <w:rPr>
          <w:rFonts w:ascii="宋体" w:hAnsi="宋体" w:eastAsia="宋体" w:cs="宋体"/>
          <w:spacing w:val="2"/>
          <w:sz w:val="20"/>
          <w:szCs w:val="20"/>
        </w:rPr>
        <w:t xml:space="preserve"> </w:t>
      </w:r>
      <w:r>
        <w:rPr>
          <w:rFonts w:ascii="宋体" w:hAnsi="宋体" w:eastAsia="宋体" w:cs="宋体"/>
          <w:spacing w:val="5"/>
          <w:sz w:val="20"/>
          <w:szCs w:val="20"/>
        </w:rPr>
        <w:t>1959—1990年间，我国北方出现过3次急型、亚急型克山病高发。自20世纪90年代以来，</w:t>
      </w:r>
      <w:r>
        <w:rPr>
          <w:rFonts w:ascii="宋体" w:hAnsi="宋体" w:eastAsia="宋体" w:cs="宋体"/>
          <w:spacing w:val="4"/>
          <w:sz w:val="20"/>
          <w:szCs w:val="20"/>
        </w:rPr>
        <w:t>全国监</w:t>
      </w:r>
      <w:r>
        <w:rPr>
          <w:rFonts w:ascii="宋体" w:hAnsi="宋体" w:eastAsia="宋体" w:cs="宋体"/>
          <w:sz w:val="20"/>
          <w:szCs w:val="20"/>
        </w:rPr>
        <w:t xml:space="preserve">  </w:t>
      </w:r>
      <w:r>
        <w:rPr>
          <w:rFonts w:ascii="宋体" w:hAnsi="宋体" w:eastAsia="宋体" w:cs="宋体"/>
          <w:spacing w:val="-1"/>
          <w:sz w:val="20"/>
          <w:szCs w:val="20"/>
        </w:rPr>
        <w:t>测点每年仅检出少数亚急型患者，且绝大部分发生在四川和云南。</w:t>
      </w:r>
    </w:p>
    <w:p w14:paraId="1D11F80B">
      <w:pPr>
        <w:spacing w:before="143" w:line="304" w:lineRule="auto"/>
        <w:ind w:right="631" w:firstLine="389"/>
        <w:rPr>
          <w:rFonts w:ascii="宋体" w:hAnsi="宋体" w:eastAsia="宋体" w:cs="宋体"/>
          <w:sz w:val="20"/>
          <w:szCs w:val="20"/>
        </w:rPr>
      </w:pPr>
      <w:r>
        <w:rPr>
          <w:rFonts w:ascii="宋体" w:hAnsi="宋体" w:eastAsia="宋体" w:cs="宋体"/>
          <w:spacing w:val="8"/>
          <w:sz w:val="20"/>
          <w:szCs w:val="20"/>
        </w:rPr>
        <w:t>(2)季节性发病：北方严寒地区急型克山病多发生在冬季，从10月至次年2月，尤其集中在</w:t>
      </w:r>
      <w:r>
        <w:rPr>
          <w:rFonts w:ascii="宋体" w:hAnsi="宋体" w:eastAsia="宋体" w:cs="宋体"/>
          <w:spacing w:val="13"/>
          <w:sz w:val="20"/>
          <w:szCs w:val="20"/>
        </w:rPr>
        <w:t xml:space="preserve"> </w:t>
      </w:r>
      <w:r>
        <w:rPr>
          <w:rFonts w:ascii="宋体" w:hAnsi="宋体" w:eastAsia="宋体" w:cs="宋体"/>
          <w:spacing w:val="-14"/>
          <w:sz w:val="20"/>
          <w:szCs w:val="20"/>
        </w:rPr>
        <w:t>12月至次年1月，称为“冬季型”,病区流传着“头场雪、三九天、过小年”为克山病发病的“三关”的说</w:t>
      </w:r>
      <w:r>
        <w:rPr>
          <w:rFonts w:ascii="宋体" w:hAnsi="宋体" w:eastAsia="宋体" w:cs="宋体"/>
          <w:spacing w:val="8"/>
          <w:sz w:val="20"/>
          <w:szCs w:val="20"/>
        </w:rPr>
        <w:t xml:space="preserve"> </w:t>
      </w:r>
      <w:r>
        <w:rPr>
          <w:rFonts w:ascii="宋体" w:hAnsi="宋体" w:eastAsia="宋体" w:cs="宋体"/>
          <w:spacing w:val="-5"/>
          <w:sz w:val="20"/>
          <w:szCs w:val="20"/>
        </w:rPr>
        <w:t>法。西南地区则在炎热的夏季多发，集中在6</w:t>
      </w:r>
      <w:r>
        <w:rPr>
          <w:rFonts w:ascii="宋体" w:hAnsi="宋体" w:eastAsia="宋体" w:cs="宋体"/>
          <w:spacing w:val="-6"/>
          <w:sz w:val="20"/>
          <w:szCs w:val="20"/>
        </w:rPr>
        <w:t>—9月，7—8月为发病高峰，称“夏季型”。介于东北与</w:t>
      </w:r>
      <w:r>
        <w:rPr>
          <w:rFonts w:ascii="宋体" w:hAnsi="宋体" w:eastAsia="宋体" w:cs="宋体"/>
          <w:sz w:val="20"/>
          <w:szCs w:val="20"/>
        </w:rPr>
        <w:t xml:space="preserve"> </w:t>
      </w:r>
      <w:r>
        <w:rPr>
          <w:rFonts w:ascii="宋体" w:hAnsi="宋体" w:eastAsia="宋体" w:cs="宋体"/>
          <w:spacing w:val="-9"/>
          <w:sz w:val="20"/>
          <w:szCs w:val="20"/>
        </w:rPr>
        <w:t>西南地区之间的陕西、山西、山东等地为12月至次年4月、5月高发，以2—4月为</w:t>
      </w:r>
      <w:r>
        <w:rPr>
          <w:rFonts w:ascii="宋体" w:hAnsi="宋体" w:eastAsia="宋体" w:cs="宋体"/>
          <w:spacing w:val="-10"/>
          <w:sz w:val="20"/>
          <w:szCs w:val="20"/>
        </w:rPr>
        <w:t>高峰，称“冬春型”。</w:t>
      </w:r>
    </w:p>
    <w:p w14:paraId="2EDF4472">
      <w:pPr>
        <w:pStyle w:val="2"/>
        <w:spacing w:before="120" w:line="332" w:lineRule="auto"/>
        <w:ind w:right="633" w:firstLine="389"/>
        <w:jc w:val="both"/>
        <w:rPr>
          <w:rFonts w:ascii="宋体" w:hAnsi="宋体" w:eastAsia="宋体" w:cs="宋体"/>
          <w:sz w:val="20"/>
          <w:szCs w:val="20"/>
        </w:rPr>
      </w:pPr>
      <w:r>
        <w:rPr>
          <w:rFonts w:ascii="宋体" w:hAnsi="宋体" w:eastAsia="宋体" w:cs="宋体"/>
          <w:spacing w:val="2"/>
          <w:sz w:val="20"/>
          <w:szCs w:val="20"/>
        </w:rPr>
        <w:t xml:space="preserve">3. </w:t>
      </w:r>
      <w:r>
        <w:rPr>
          <w:spacing w:val="2"/>
          <w:sz w:val="20"/>
          <w:szCs w:val="20"/>
        </w:rPr>
        <w:t>人群分布</w:t>
      </w:r>
      <w:r>
        <w:rPr>
          <w:spacing w:val="88"/>
          <w:sz w:val="20"/>
          <w:szCs w:val="20"/>
        </w:rPr>
        <w:t xml:space="preserve"> </w:t>
      </w:r>
      <w:r>
        <w:rPr>
          <w:rFonts w:ascii="宋体" w:hAnsi="宋体" w:eastAsia="宋体" w:cs="宋体"/>
          <w:spacing w:val="2"/>
          <w:sz w:val="20"/>
          <w:szCs w:val="20"/>
        </w:rPr>
        <w:t>育龄妇女和儿童为高发人群。我国东北、西</w:t>
      </w:r>
      <w:r>
        <w:rPr>
          <w:rFonts w:ascii="宋体" w:hAnsi="宋体" w:eastAsia="宋体" w:cs="宋体"/>
          <w:spacing w:val="1"/>
          <w:sz w:val="20"/>
          <w:szCs w:val="20"/>
        </w:rPr>
        <w:t>北重病区急型克山病多见于育龄妇</w:t>
      </w:r>
      <w:r>
        <w:rPr>
          <w:rFonts w:ascii="宋体" w:hAnsi="宋体" w:eastAsia="宋体" w:cs="宋体"/>
          <w:sz w:val="20"/>
          <w:szCs w:val="20"/>
        </w:rPr>
        <w:t xml:space="preserve"> </w:t>
      </w:r>
      <w:r>
        <w:rPr>
          <w:rFonts w:ascii="宋体" w:hAnsi="宋体" w:eastAsia="宋体" w:cs="宋体"/>
          <w:spacing w:val="4"/>
          <w:sz w:val="20"/>
          <w:szCs w:val="20"/>
        </w:rPr>
        <w:t>女，西南地区的亚急型克山病几乎全部发生于儿童，尤以2～</w:t>
      </w:r>
      <w:r>
        <w:rPr>
          <w:rFonts w:ascii="宋体" w:hAnsi="宋体" w:eastAsia="宋体" w:cs="宋体"/>
          <w:spacing w:val="3"/>
          <w:sz w:val="20"/>
          <w:szCs w:val="20"/>
        </w:rPr>
        <w:t>7岁儿童为主。北方急型克山病育龄</w:t>
      </w:r>
      <w:r>
        <w:rPr>
          <w:rFonts w:ascii="宋体" w:hAnsi="宋体" w:eastAsia="宋体" w:cs="宋体"/>
          <w:sz w:val="20"/>
          <w:szCs w:val="20"/>
        </w:rPr>
        <w:t xml:space="preserve"> </w:t>
      </w:r>
      <w:r>
        <w:rPr>
          <w:rFonts w:ascii="宋体" w:hAnsi="宋体" w:eastAsia="宋体" w:cs="宋体"/>
          <w:spacing w:val="4"/>
          <w:sz w:val="20"/>
          <w:szCs w:val="20"/>
        </w:rPr>
        <w:t>妇女的发病人数比同龄男性多1～2倍以上，甚至可达4</w:t>
      </w:r>
      <w:r>
        <w:rPr>
          <w:rFonts w:ascii="宋体" w:hAnsi="宋体" w:eastAsia="宋体" w:cs="宋体"/>
          <w:spacing w:val="3"/>
          <w:sz w:val="20"/>
          <w:szCs w:val="20"/>
        </w:rPr>
        <w:t>～7倍。有家庭多发现象，尤其是生活条件</w:t>
      </w:r>
      <w:r>
        <w:rPr>
          <w:rFonts w:ascii="宋体" w:hAnsi="宋体" w:eastAsia="宋体" w:cs="宋体"/>
          <w:sz w:val="20"/>
          <w:szCs w:val="20"/>
        </w:rPr>
        <w:t xml:space="preserve"> </w:t>
      </w:r>
      <w:r>
        <w:rPr>
          <w:rFonts w:ascii="宋体" w:hAnsi="宋体" w:eastAsia="宋体" w:cs="宋体"/>
          <w:spacing w:val="-15"/>
          <w:sz w:val="20"/>
          <w:szCs w:val="20"/>
        </w:rPr>
        <w:t>差、多子女、贫困及“外来户”家庭。</w:t>
      </w:r>
    </w:p>
    <w:p w14:paraId="4AC190C5">
      <w:pPr>
        <w:pStyle w:val="2"/>
        <w:spacing w:before="1" w:line="220" w:lineRule="auto"/>
        <w:ind w:left="393"/>
        <w:rPr>
          <w:sz w:val="24"/>
          <w:szCs w:val="24"/>
        </w:rPr>
      </w:pPr>
      <w:r>
        <w:rPr>
          <w:b/>
          <w:bCs/>
          <w:spacing w:val="4"/>
          <w:sz w:val="24"/>
          <w:szCs w:val="24"/>
        </w:rPr>
        <w:t>(二)防制</w:t>
      </w:r>
    </w:p>
    <w:p w14:paraId="307873D7">
      <w:pPr>
        <w:pStyle w:val="2"/>
        <w:spacing w:before="105" w:line="310" w:lineRule="auto"/>
        <w:ind w:right="607" w:firstLine="389"/>
        <w:rPr>
          <w:rFonts w:ascii="宋体" w:hAnsi="宋体" w:eastAsia="宋体" w:cs="宋体"/>
          <w:sz w:val="20"/>
          <w:szCs w:val="20"/>
        </w:rPr>
      </w:pPr>
      <w:r>
        <w:rPr>
          <w:rFonts w:ascii="宋体" w:hAnsi="宋体" w:eastAsia="宋体" w:cs="宋体"/>
          <w:spacing w:val="-1"/>
          <w:sz w:val="20"/>
          <w:szCs w:val="20"/>
        </w:rPr>
        <w:t xml:space="preserve">1. </w:t>
      </w:r>
      <w:r>
        <w:rPr>
          <w:spacing w:val="-1"/>
          <w:sz w:val="20"/>
          <w:szCs w:val="20"/>
        </w:rPr>
        <w:t xml:space="preserve">监测 </w:t>
      </w:r>
      <w:r>
        <w:rPr>
          <w:rFonts w:ascii="宋体" w:hAnsi="宋体" w:eastAsia="宋体" w:cs="宋体"/>
          <w:spacing w:val="-1"/>
          <w:sz w:val="20"/>
          <w:szCs w:val="20"/>
        </w:rPr>
        <w:t>运用哨点监测，每年一次收集、汇总、分析、评价克山病的病情和动态变化趋势，以</w:t>
      </w:r>
      <w:r>
        <w:rPr>
          <w:rFonts w:ascii="宋体" w:hAnsi="宋体" w:eastAsia="宋体" w:cs="宋体"/>
          <w:sz w:val="20"/>
          <w:szCs w:val="20"/>
        </w:rPr>
        <w:t xml:space="preserve"> </w:t>
      </w:r>
      <w:r>
        <w:rPr>
          <w:rFonts w:ascii="宋体" w:hAnsi="宋体" w:eastAsia="宋体" w:cs="宋体"/>
          <w:spacing w:val="-5"/>
          <w:sz w:val="20"/>
          <w:szCs w:val="20"/>
        </w:rPr>
        <w:t>及发病相关因素的资料。从2009年开始，以“病例搜索”结合“重点调查”的思路，探索适用于克山</w:t>
      </w:r>
      <w:r>
        <w:rPr>
          <w:rFonts w:ascii="宋体" w:hAnsi="宋体" w:eastAsia="宋体" w:cs="宋体"/>
          <w:spacing w:val="4"/>
          <w:sz w:val="20"/>
          <w:szCs w:val="20"/>
        </w:rPr>
        <w:t xml:space="preserve"> </w:t>
      </w:r>
      <w:r>
        <w:rPr>
          <w:rFonts w:ascii="宋体" w:hAnsi="宋体" w:eastAsia="宋体" w:cs="宋体"/>
          <w:spacing w:val="-1"/>
          <w:sz w:val="20"/>
          <w:szCs w:val="20"/>
        </w:rPr>
        <w:t>病监测的经济高效方法。监测主要内容有：克山病患病情况、克山病发病情况、现有病例的病情转</w:t>
      </w:r>
      <w:r>
        <w:rPr>
          <w:rFonts w:ascii="宋体" w:hAnsi="宋体" w:eastAsia="宋体" w:cs="宋体"/>
          <w:sz w:val="20"/>
          <w:szCs w:val="20"/>
        </w:rPr>
        <w:t xml:space="preserve"> 归；克山病发病相关因素的变化；监测点人群及环境硒水平。2</w:t>
      </w:r>
      <w:r>
        <w:rPr>
          <w:rFonts w:ascii="宋体" w:hAnsi="宋体" w:eastAsia="宋体" w:cs="宋体"/>
          <w:spacing w:val="-1"/>
          <w:sz w:val="20"/>
          <w:szCs w:val="20"/>
        </w:rPr>
        <w:t>019年，在“地方病防治专项三年攻</w:t>
      </w:r>
      <w:r>
        <w:rPr>
          <w:rFonts w:ascii="宋体" w:hAnsi="宋体" w:eastAsia="宋体" w:cs="宋体"/>
          <w:sz w:val="20"/>
          <w:szCs w:val="20"/>
        </w:rPr>
        <w:t xml:space="preserve"> </w:t>
      </w:r>
      <w:r>
        <w:rPr>
          <w:rFonts w:ascii="宋体" w:hAnsi="宋体" w:eastAsia="宋体" w:cs="宋体"/>
          <w:spacing w:val="-4"/>
          <w:sz w:val="20"/>
          <w:szCs w:val="20"/>
        </w:rPr>
        <w:t>坚行动”的支持下，实现了克山病乡级病区全覆盖的</w:t>
      </w:r>
      <w:r>
        <w:rPr>
          <w:rFonts w:ascii="宋体" w:hAnsi="宋体" w:eastAsia="宋体" w:cs="宋体"/>
          <w:spacing w:val="-5"/>
          <w:sz w:val="20"/>
          <w:szCs w:val="20"/>
        </w:rPr>
        <w:t>监测。</w:t>
      </w:r>
    </w:p>
    <w:p w14:paraId="13C25EA9">
      <w:pPr>
        <w:spacing w:before="143" w:line="220" w:lineRule="auto"/>
        <w:ind w:left="389"/>
        <w:rPr>
          <w:rFonts w:ascii="宋体" w:hAnsi="宋体" w:eastAsia="宋体" w:cs="宋体"/>
          <w:sz w:val="20"/>
          <w:szCs w:val="20"/>
        </w:rPr>
      </w:pPr>
      <w:r>
        <w:rPr>
          <w:rFonts w:ascii="宋体" w:hAnsi="宋体" w:eastAsia="宋体" w:cs="宋体"/>
          <w:spacing w:val="5"/>
          <w:sz w:val="20"/>
          <w:szCs w:val="20"/>
        </w:rPr>
        <w:t>2.</w:t>
      </w:r>
      <w:r>
        <w:rPr>
          <w:rFonts w:ascii="宋体" w:hAnsi="宋体" w:eastAsia="宋体" w:cs="宋体"/>
          <w:spacing w:val="-10"/>
          <w:sz w:val="20"/>
          <w:szCs w:val="20"/>
        </w:rPr>
        <w:t xml:space="preserve"> </w:t>
      </w:r>
      <w:r>
        <w:rPr>
          <w:rFonts w:ascii="宋体" w:hAnsi="宋体" w:eastAsia="宋体" w:cs="宋体"/>
          <w:spacing w:val="5"/>
          <w:sz w:val="20"/>
          <w:szCs w:val="20"/>
        </w:rPr>
        <w:t>预防</w:t>
      </w:r>
    </w:p>
    <w:p w14:paraId="4B3A48E6">
      <w:pPr>
        <w:spacing w:before="122" w:line="220" w:lineRule="auto"/>
        <w:ind w:left="389"/>
        <w:rPr>
          <w:rFonts w:ascii="宋体" w:hAnsi="宋体" w:eastAsia="宋体" w:cs="宋体"/>
          <w:sz w:val="20"/>
          <w:szCs w:val="20"/>
        </w:rPr>
      </w:pPr>
      <w:r>
        <w:rPr>
          <w:rFonts w:ascii="宋体" w:hAnsi="宋体" w:eastAsia="宋体" w:cs="宋体"/>
          <w:spacing w:val="20"/>
          <w:sz w:val="20"/>
          <w:szCs w:val="20"/>
        </w:rPr>
        <w:t>(1)硒预防</w:t>
      </w:r>
    </w:p>
    <w:p w14:paraId="7BB37710">
      <w:pPr>
        <w:spacing w:before="118" w:line="212" w:lineRule="auto"/>
        <w:ind w:left="389"/>
        <w:rPr>
          <w:rFonts w:ascii="宋体" w:hAnsi="宋体" w:eastAsia="宋体" w:cs="宋体"/>
          <w:sz w:val="20"/>
          <w:szCs w:val="20"/>
        </w:rPr>
      </w:pPr>
      <w:r>
        <w:rPr>
          <w:rFonts w:ascii="宋体" w:hAnsi="宋体" w:eastAsia="宋体" w:cs="宋体"/>
          <w:spacing w:val="7"/>
          <w:sz w:val="20"/>
          <w:szCs w:val="20"/>
        </w:rPr>
        <w:t>1)硒片：亚硒酸钠片每片含硒1</w:t>
      </w:r>
      <w:r>
        <w:rPr>
          <w:rFonts w:ascii="Times New Roman" w:hAnsi="Times New Roman" w:eastAsia="Times New Roman" w:cs="Times New Roman"/>
          <w:sz w:val="20"/>
          <w:szCs w:val="20"/>
        </w:rPr>
        <w:t>mg</w:t>
      </w:r>
      <w:r>
        <w:rPr>
          <w:rFonts w:ascii="Times New Roman" w:hAnsi="Times New Roman" w:eastAsia="Times New Roman" w:cs="Times New Roman"/>
          <w:spacing w:val="7"/>
          <w:sz w:val="20"/>
          <w:szCs w:val="20"/>
        </w:rPr>
        <w:t>,</w:t>
      </w:r>
      <w:r>
        <w:rPr>
          <w:rFonts w:ascii="宋体" w:hAnsi="宋体" w:eastAsia="宋体" w:cs="宋体"/>
          <w:spacing w:val="7"/>
          <w:sz w:val="20"/>
          <w:szCs w:val="20"/>
        </w:rPr>
        <w:t>口服剂量5岁以下0.5</w:t>
      </w:r>
      <w:r>
        <w:rPr>
          <w:rFonts w:ascii="Times New Roman" w:hAnsi="Times New Roman" w:eastAsia="Times New Roman" w:cs="Times New Roman"/>
          <w:sz w:val="20"/>
          <w:szCs w:val="20"/>
        </w:rPr>
        <w:t>mg</w:t>
      </w:r>
      <w:r>
        <w:rPr>
          <w:rFonts w:ascii="Times New Roman" w:hAnsi="Times New Roman" w:eastAsia="Times New Roman" w:cs="Times New Roman"/>
          <w:spacing w:val="7"/>
          <w:sz w:val="20"/>
          <w:szCs w:val="20"/>
        </w:rPr>
        <w:t>/</w:t>
      </w:r>
      <w:r>
        <w:rPr>
          <w:rFonts w:ascii="宋体" w:hAnsi="宋体" w:eastAsia="宋体" w:cs="宋体"/>
          <w:spacing w:val="7"/>
          <w:sz w:val="20"/>
          <w:szCs w:val="20"/>
        </w:rPr>
        <w:t>次，5～10岁1.0</w:t>
      </w:r>
      <w:r>
        <w:rPr>
          <w:rFonts w:ascii="Times New Roman" w:hAnsi="Times New Roman" w:eastAsia="Times New Roman" w:cs="Times New Roman"/>
          <w:sz w:val="20"/>
          <w:szCs w:val="20"/>
        </w:rPr>
        <w:t>mg</w:t>
      </w:r>
      <w:r>
        <w:rPr>
          <w:rFonts w:ascii="Times New Roman" w:hAnsi="Times New Roman" w:eastAsia="Times New Roman" w:cs="Times New Roman"/>
          <w:spacing w:val="7"/>
          <w:sz w:val="20"/>
          <w:szCs w:val="20"/>
        </w:rPr>
        <w:t>/</w:t>
      </w:r>
      <w:r>
        <w:rPr>
          <w:rFonts w:ascii="宋体" w:hAnsi="宋体" w:eastAsia="宋体" w:cs="宋体"/>
          <w:spacing w:val="7"/>
          <w:sz w:val="20"/>
          <w:szCs w:val="20"/>
        </w:rPr>
        <w:t>次，10岁以</w:t>
      </w:r>
    </w:p>
    <w:p w14:paraId="4B5E8524">
      <w:pPr>
        <w:spacing w:line="212" w:lineRule="auto"/>
        <w:rPr>
          <w:rFonts w:ascii="宋体" w:hAnsi="宋体" w:eastAsia="宋体" w:cs="宋体"/>
          <w:sz w:val="20"/>
          <w:szCs w:val="20"/>
        </w:rPr>
        <w:sectPr>
          <w:footerReference r:id="rId386" w:type="default"/>
          <w:pgSz w:w="11900" w:h="16820"/>
          <w:pgMar w:top="400" w:right="1058" w:bottom="959" w:left="1650" w:header="0" w:footer="779" w:gutter="0"/>
          <w:cols w:space="720" w:num="1"/>
        </w:sectPr>
      </w:pPr>
    </w:p>
    <w:p w14:paraId="1C18AC9B">
      <w:pPr>
        <w:spacing w:line="269" w:lineRule="auto"/>
        <w:rPr>
          <w:rFonts w:ascii="Arial"/>
          <w:sz w:val="21"/>
        </w:rPr>
      </w:pPr>
    </w:p>
    <w:p w14:paraId="0F1158D8">
      <w:pPr>
        <w:pStyle w:val="2"/>
        <w:spacing w:before="65" w:line="221" w:lineRule="auto"/>
        <w:ind w:left="679"/>
        <w:rPr>
          <w:sz w:val="20"/>
          <w:szCs w:val="20"/>
        </w:rPr>
      </w:pPr>
      <w:r>
        <w:rPr>
          <w:spacing w:val="-8"/>
          <w:sz w:val="20"/>
          <w:szCs w:val="20"/>
        </w:rPr>
        <w:t>第二十四章地方病</w:t>
      </w:r>
    </w:p>
    <w:p w14:paraId="715725CF">
      <w:pPr>
        <w:spacing w:line="270" w:lineRule="auto"/>
        <w:rPr>
          <w:rFonts w:ascii="Arial"/>
          <w:sz w:val="21"/>
        </w:rPr>
      </w:pPr>
    </w:p>
    <w:p w14:paraId="0567D29C">
      <w:pPr>
        <w:spacing w:line="271" w:lineRule="auto"/>
        <w:rPr>
          <w:rFonts w:ascii="Arial"/>
          <w:sz w:val="21"/>
        </w:rPr>
      </w:pPr>
    </w:p>
    <w:p w14:paraId="35EDFE2A">
      <w:pPr>
        <w:spacing w:before="65" w:line="212" w:lineRule="auto"/>
        <w:ind w:left="679"/>
        <w:rPr>
          <w:rFonts w:ascii="宋体" w:hAnsi="宋体" w:eastAsia="宋体" w:cs="宋体"/>
          <w:sz w:val="20"/>
          <w:szCs w:val="20"/>
        </w:rPr>
      </w:pPr>
      <w:r>
        <w:rPr>
          <w:rFonts w:ascii="宋体" w:hAnsi="宋体" w:eastAsia="宋体" w:cs="宋体"/>
          <w:spacing w:val="9"/>
          <w:sz w:val="20"/>
          <w:szCs w:val="20"/>
        </w:rPr>
        <w:t>上2.0</w:t>
      </w:r>
      <w:r>
        <w:rPr>
          <w:rFonts w:ascii="Times New Roman" w:hAnsi="Times New Roman" w:eastAsia="Times New Roman" w:cs="Times New Roman"/>
          <w:sz w:val="20"/>
          <w:szCs w:val="20"/>
        </w:rPr>
        <w:t>mg</w:t>
      </w:r>
      <w:r>
        <w:rPr>
          <w:rFonts w:ascii="Times New Roman" w:hAnsi="Times New Roman" w:eastAsia="Times New Roman" w:cs="Times New Roman"/>
          <w:spacing w:val="9"/>
          <w:sz w:val="20"/>
          <w:szCs w:val="20"/>
        </w:rPr>
        <w:t>/</w:t>
      </w:r>
      <w:r>
        <w:rPr>
          <w:rFonts w:ascii="宋体" w:hAnsi="宋体" w:eastAsia="宋体" w:cs="宋体"/>
          <w:spacing w:val="9"/>
          <w:sz w:val="20"/>
          <w:szCs w:val="20"/>
        </w:rPr>
        <w:t>次，每周1次。从克山病高发季节前1～2个月开始服药，至高发季节过后停止服药。</w:t>
      </w:r>
    </w:p>
    <w:p w14:paraId="489600F4">
      <w:pPr>
        <w:spacing w:before="101" w:line="316" w:lineRule="auto"/>
        <w:ind w:left="679" w:right="225" w:firstLine="419"/>
        <w:rPr>
          <w:rFonts w:ascii="宋体" w:hAnsi="宋体" w:eastAsia="宋体" w:cs="宋体"/>
          <w:sz w:val="20"/>
          <w:szCs w:val="20"/>
        </w:rPr>
      </w:pPr>
      <w:r>
        <w:rPr>
          <w:rFonts w:ascii="宋体" w:hAnsi="宋体" w:eastAsia="宋体" w:cs="宋体"/>
          <w:spacing w:val="14"/>
          <w:sz w:val="20"/>
          <w:szCs w:val="20"/>
        </w:rPr>
        <w:t>2)硒盐：每吨食盐加15</w:t>
      </w:r>
      <w:r>
        <w:rPr>
          <w:rFonts w:ascii="Times New Roman" w:hAnsi="Times New Roman" w:eastAsia="Times New Roman" w:cs="Times New Roman"/>
          <w:spacing w:val="14"/>
          <w:sz w:val="20"/>
          <w:szCs w:val="20"/>
        </w:rPr>
        <w:t xml:space="preserve">g </w:t>
      </w:r>
      <w:r>
        <w:rPr>
          <w:rFonts w:ascii="宋体" w:hAnsi="宋体" w:eastAsia="宋体" w:cs="宋体"/>
          <w:spacing w:val="14"/>
          <w:sz w:val="20"/>
          <w:szCs w:val="20"/>
        </w:rPr>
        <w:t>亚硒酸钠制成</w:t>
      </w:r>
      <w:r>
        <w:rPr>
          <w:rFonts w:ascii="宋体" w:hAnsi="宋体" w:eastAsia="宋体" w:cs="宋体"/>
          <w:spacing w:val="13"/>
          <w:sz w:val="20"/>
          <w:szCs w:val="20"/>
        </w:rPr>
        <w:t>，作为食用盐供病区居民常年食用。在</w:t>
      </w:r>
      <w:r>
        <w:rPr>
          <w:rFonts w:ascii="Times New Roman" w:hAnsi="Times New Roman" w:eastAsia="Times New Roman" w:cs="Times New Roman"/>
          <w:sz w:val="20"/>
          <w:szCs w:val="20"/>
        </w:rPr>
        <w:t>GB</w:t>
      </w:r>
      <w:r>
        <w:rPr>
          <w:rFonts w:ascii="Times New Roman" w:hAnsi="Times New Roman" w:eastAsia="Times New Roman" w:cs="Times New Roman"/>
          <w:spacing w:val="13"/>
          <w:sz w:val="20"/>
          <w:szCs w:val="20"/>
        </w:rPr>
        <w:t xml:space="preserve">    14880—</w:t>
      </w:r>
      <w:r>
        <w:rPr>
          <w:rFonts w:ascii="Times New Roman" w:hAnsi="Times New Roman" w:eastAsia="Times New Roman" w:cs="Times New Roman"/>
          <w:sz w:val="20"/>
          <w:szCs w:val="20"/>
        </w:rPr>
        <w:t xml:space="preserve"> </w:t>
      </w:r>
      <w:r>
        <w:rPr>
          <w:rFonts w:ascii="宋体" w:hAnsi="宋体" w:eastAsia="宋体" w:cs="宋体"/>
          <w:spacing w:val="9"/>
          <w:sz w:val="20"/>
          <w:szCs w:val="20"/>
        </w:rPr>
        <w:t>2012《食品安全国家标准</w:t>
      </w:r>
      <w:r>
        <w:rPr>
          <w:rFonts w:ascii="宋体" w:hAnsi="宋体" w:eastAsia="宋体" w:cs="宋体"/>
          <w:sz w:val="20"/>
          <w:szCs w:val="20"/>
        </w:rPr>
        <w:t xml:space="preserve">  </w:t>
      </w:r>
      <w:r>
        <w:rPr>
          <w:rFonts w:ascii="宋体" w:hAnsi="宋体" w:eastAsia="宋体" w:cs="宋体"/>
          <w:spacing w:val="9"/>
          <w:sz w:val="20"/>
          <w:szCs w:val="20"/>
        </w:rPr>
        <w:t>食品营养强化剂使用标准》中提出“我</w:t>
      </w:r>
      <w:r>
        <w:rPr>
          <w:rFonts w:ascii="宋体" w:hAnsi="宋体" w:eastAsia="宋体" w:cs="宋体"/>
          <w:spacing w:val="8"/>
          <w:sz w:val="20"/>
          <w:szCs w:val="20"/>
        </w:rPr>
        <w:t>国居民膳食指南中提倡减少食用</w:t>
      </w:r>
      <w:r>
        <w:rPr>
          <w:rFonts w:ascii="宋体" w:hAnsi="宋体" w:eastAsia="宋体" w:cs="宋体"/>
          <w:spacing w:val="1"/>
          <w:sz w:val="20"/>
          <w:szCs w:val="20"/>
        </w:rPr>
        <w:t xml:space="preserve"> </w:t>
      </w:r>
      <w:r>
        <w:rPr>
          <w:rFonts w:ascii="宋体" w:hAnsi="宋体" w:eastAsia="宋体" w:cs="宋体"/>
          <w:spacing w:val="8"/>
          <w:sz w:val="20"/>
          <w:szCs w:val="20"/>
        </w:rPr>
        <w:t>的食品不宜作为强化的载体”这一基本原则，不允许在食盐中强化其他营养成分，因此使用硒盐预</w:t>
      </w:r>
      <w:r>
        <w:rPr>
          <w:rFonts w:ascii="宋体" w:hAnsi="宋体" w:eastAsia="宋体" w:cs="宋体"/>
          <w:spacing w:val="3"/>
          <w:sz w:val="20"/>
          <w:szCs w:val="20"/>
        </w:rPr>
        <w:t xml:space="preserve"> </w:t>
      </w:r>
      <w:r>
        <w:rPr>
          <w:rFonts w:ascii="宋体" w:hAnsi="宋体" w:eastAsia="宋体" w:cs="宋体"/>
          <w:spacing w:val="8"/>
          <w:sz w:val="20"/>
          <w:szCs w:val="20"/>
        </w:rPr>
        <w:t>防克山病这种手段已经不再使用。</w:t>
      </w:r>
    </w:p>
    <w:p w14:paraId="2A719E79">
      <w:pPr>
        <w:spacing w:before="127" w:line="292" w:lineRule="auto"/>
        <w:ind w:left="679" w:right="222" w:firstLine="419"/>
        <w:rPr>
          <w:rFonts w:ascii="宋体" w:hAnsi="宋体" w:eastAsia="宋体" w:cs="宋体"/>
          <w:sz w:val="20"/>
          <w:szCs w:val="20"/>
        </w:rPr>
      </w:pPr>
      <w:r>
        <w:rPr>
          <w:rFonts w:ascii="宋体" w:hAnsi="宋体" w:eastAsia="宋体" w:cs="宋体"/>
          <w:spacing w:val="10"/>
          <w:sz w:val="20"/>
          <w:szCs w:val="20"/>
        </w:rPr>
        <w:t>3)硒粮：在主要粮食作物的抽穗期，按每亩</w:t>
      </w:r>
      <w:r>
        <w:rPr>
          <w:rFonts w:ascii="宋体" w:hAnsi="宋体" w:eastAsia="宋体" w:cs="宋体"/>
          <w:spacing w:val="9"/>
          <w:sz w:val="20"/>
          <w:szCs w:val="20"/>
        </w:rPr>
        <w:t>0.6～1.0g</w:t>
      </w:r>
      <w:r>
        <w:rPr>
          <w:rFonts w:ascii="宋体" w:hAnsi="宋体" w:eastAsia="宋体" w:cs="宋体"/>
          <w:spacing w:val="-59"/>
          <w:sz w:val="20"/>
          <w:szCs w:val="20"/>
        </w:rPr>
        <w:t xml:space="preserve"> </w:t>
      </w:r>
      <w:r>
        <w:rPr>
          <w:rFonts w:ascii="宋体" w:hAnsi="宋体" w:eastAsia="宋体" w:cs="宋体"/>
          <w:spacing w:val="9"/>
          <w:sz w:val="20"/>
          <w:szCs w:val="20"/>
        </w:rPr>
        <w:t>亚硒酸钠喷施亚硒酸钠水溶液，提高粮</w:t>
      </w:r>
      <w:r>
        <w:rPr>
          <w:rFonts w:ascii="宋体" w:hAnsi="宋体" w:eastAsia="宋体" w:cs="宋体"/>
          <w:sz w:val="20"/>
          <w:szCs w:val="20"/>
        </w:rPr>
        <w:t xml:space="preserve"> </w:t>
      </w:r>
      <w:r>
        <w:rPr>
          <w:rFonts w:ascii="宋体" w:hAnsi="宋体" w:eastAsia="宋体" w:cs="宋体"/>
          <w:spacing w:val="11"/>
          <w:sz w:val="20"/>
          <w:szCs w:val="20"/>
        </w:rPr>
        <w:t>食的硒含量。</w:t>
      </w:r>
    </w:p>
    <w:p w14:paraId="5CC90B14">
      <w:pPr>
        <w:spacing w:before="122" w:line="219" w:lineRule="auto"/>
        <w:ind w:left="1099"/>
        <w:rPr>
          <w:rFonts w:ascii="宋体" w:hAnsi="宋体" w:eastAsia="宋体" w:cs="宋体"/>
          <w:sz w:val="20"/>
          <w:szCs w:val="20"/>
        </w:rPr>
      </w:pPr>
      <w:r>
        <w:rPr>
          <w:rFonts w:ascii="宋体" w:hAnsi="宋体" w:eastAsia="宋体" w:cs="宋体"/>
          <w:spacing w:val="9"/>
          <w:sz w:val="20"/>
          <w:szCs w:val="20"/>
        </w:rPr>
        <w:t>4)高硒食品：天然食品中以海产类食物含硒量最高，陆生动物次之。家畜肾脏含硒量较高。</w:t>
      </w:r>
    </w:p>
    <w:p w14:paraId="687795C6">
      <w:pPr>
        <w:spacing w:before="123" w:line="220" w:lineRule="auto"/>
        <w:ind w:left="1099"/>
        <w:rPr>
          <w:rFonts w:ascii="宋体" w:hAnsi="宋体" w:eastAsia="宋体" w:cs="宋体"/>
          <w:sz w:val="20"/>
          <w:szCs w:val="20"/>
        </w:rPr>
      </w:pPr>
      <w:r>
        <w:rPr>
          <w:rFonts w:ascii="宋体" w:hAnsi="宋体" w:eastAsia="宋体" w:cs="宋体"/>
          <w:spacing w:val="22"/>
          <w:sz w:val="20"/>
          <w:szCs w:val="20"/>
        </w:rPr>
        <w:t>(2)膳食预防</w:t>
      </w:r>
    </w:p>
    <w:p w14:paraId="290A152A">
      <w:pPr>
        <w:spacing w:before="154" w:line="214" w:lineRule="auto"/>
        <w:ind w:left="1099"/>
        <w:rPr>
          <w:rFonts w:ascii="宋体" w:hAnsi="宋体" w:eastAsia="宋体" w:cs="宋体"/>
          <w:sz w:val="20"/>
          <w:szCs w:val="20"/>
        </w:rPr>
      </w:pPr>
      <w:r>
        <w:rPr>
          <w:rFonts w:ascii="宋体" w:hAnsi="宋体" w:eastAsia="宋体" w:cs="宋体"/>
          <w:spacing w:val="12"/>
          <w:sz w:val="20"/>
          <w:szCs w:val="20"/>
        </w:rPr>
        <w:t>1)大豆及其制品：将大豆粉按10%比例混入玉米粉中，或者每人每日摄人一块275g</w:t>
      </w:r>
      <w:r>
        <w:rPr>
          <w:rFonts w:ascii="宋体" w:hAnsi="宋体" w:eastAsia="宋体" w:cs="宋体"/>
          <w:spacing w:val="-57"/>
          <w:sz w:val="20"/>
          <w:szCs w:val="20"/>
        </w:rPr>
        <w:t xml:space="preserve"> </w:t>
      </w:r>
      <w:r>
        <w:rPr>
          <w:rFonts w:ascii="宋体" w:hAnsi="宋体" w:eastAsia="宋体" w:cs="宋体"/>
          <w:spacing w:val="12"/>
          <w:sz w:val="20"/>
          <w:szCs w:val="20"/>
        </w:rPr>
        <w:t>豆腐。</w:t>
      </w:r>
    </w:p>
    <w:p w14:paraId="06CF2875">
      <w:pPr>
        <w:spacing w:before="115" w:line="219" w:lineRule="auto"/>
        <w:ind w:left="1099"/>
        <w:rPr>
          <w:rFonts w:ascii="宋体" w:hAnsi="宋体" w:eastAsia="宋体" w:cs="宋体"/>
          <w:sz w:val="20"/>
          <w:szCs w:val="20"/>
        </w:rPr>
      </w:pPr>
      <w:r>
        <w:rPr>
          <w:rFonts w:ascii="宋体" w:hAnsi="宋体" w:eastAsia="宋体" w:cs="宋体"/>
          <w:spacing w:val="7"/>
          <w:sz w:val="20"/>
          <w:szCs w:val="20"/>
        </w:rPr>
        <w:t>2)平衡膳食：力求合理膳食，特别是改善婴儿喂养。</w:t>
      </w:r>
    </w:p>
    <w:p w14:paraId="505CA40E">
      <w:pPr>
        <w:spacing w:before="131" w:line="342" w:lineRule="auto"/>
        <w:ind w:left="679" w:right="218" w:firstLine="419"/>
        <w:jc w:val="both"/>
        <w:rPr>
          <w:rFonts w:ascii="宋体" w:hAnsi="宋体" w:eastAsia="宋体" w:cs="宋体"/>
          <w:sz w:val="20"/>
          <w:szCs w:val="20"/>
        </w:rPr>
      </w:pPr>
      <w:r>
        <w:rPr>
          <w:rFonts w:ascii="宋体" w:hAnsi="宋体" w:eastAsia="宋体" w:cs="宋体"/>
          <w:spacing w:val="2"/>
          <w:sz w:val="20"/>
          <w:szCs w:val="20"/>
        </w:rPr>
        <w:t>(3)综合性预防：主要包括：①保护水源，保证水质，不</w:t>
      </w:r>
      <w:r>
        <w:rPr>
          <w:rFonts w:ascii="宋体" w:hAnsi="宋体" w:eastAsia="宋体" w:cs="宋体"/>
          <w:spacing w:val="1"/>
          <w:sz w:val="20"/>
          <w:szCs w:val="20"/>
        </w:rPr>
        <w:t>喝生水；②改善居住条件，做到防寒、防</w:t>
      </w:r>
      <w:r>
        <w:rPr>
          <w:rFonts w:ascii="宋体" w:hAnsi="宋体" w:eastAsia="宋体" w:cs="宋体"/>
          <w:sz w:val="20"/>
          <w:szCs w:val="20"/>
        </w:rPr>
        <w:t xml:space="preserve"> 烟、防潮、防暑；③搞好室内外卫生，修好畜圈、厕所，管好粪便，并与常年积</w:t>
      </w:r>
      <w:r>
        <w:rPr>
          <w:rFonts w:ascii="宋体" w:hAnsi="宋体" w:eastAsia="宋体" w:cs="宋体"/>
          <w:spacing w:val="-1"/>
          <w:sz w:val="20"/>
          <w:szCs w:val="20"/>
        </w:rPr>
        <w:t>肥结合起来；④注意保</w:t>
      </w:r>
      <w:r>
        <w:rPr>
          <w:rFonts w:ascii="宋体" w:hAnsi="宋体" w:eastAsia="宋体" w:cs="宋体"/>
          <w:sz w:val="20"/>
          <w:szCs w:val="20"/>
        </w:rPr>
        <w:t xml:space="preserve"> </w:t>
      </w:r>
      <w:r>
        <w:rPr>
          <w:rFonts w:ascii="宋体" w:hAnsi="宋体" w:eastAsia="宋体" w:cs="宋体"/>
          <w:spacing w:val="-1"/>
          <w:sz w:val="20"/>
          <w:szCs w:val="20"/>
        </w:rPr>
        <w:t>管粮食以防发霉、污染；⑤消除发病诱因，控制感染，防止过度疲劳、精神刺激、暴饮暴食。</w:t>
      </w:r>
    </w:p>
    <w:p w14:paraId="7C7C7E8A">
      <w:pPr>
        <w:pStyle w:val="2"/>
        <w:spacing w:before="149" w:line="222" w:lineRule="auto"/>
        <w:ind w:left="1153"/>
        <w:outlineLvl w:val="4"/>
        <w:rPr>
          <w:sz w:val="25"/>
          <w:szCs w:val="25"/>
        </w:rPr>
      </w:pPr>
      <w:bookmarkStart w:id="622" w:name="bookmark402"/>
      <w:bookmarkEnd w:id="622"/>
      <w:r>
        <w:rPr>
          <w:b/>
          <w:bCs/>
          <w:spacing w:val="-11"/>
          <w:sz w:val="25"/>
          <w:szCs w:val="25"/>
        </w:rPr>
        <w:t>四</w:t>
      </w:r>
      <w:r>
        <w:rPr>
          <w:spacing w:val="-59"/>
          <w:sz w:val="25"/>
          <w:szCs w:val="25"/>
        </w:rPr>
        <w:t xml:space="preserve"> </w:t>
      </w:r>
      <w:r>
        <w:rPr>
          <w:b/>
          <w:bCs/>
          <w:spacing w:val="-11"/>
          <w:sz w:val="25"/>
          <w:szCs w:val="25"/>
        </w:rPr>
        <w:t>、大骨节病</w:t>
      </w:r>
    </w:p>
    <w:p w14:paraId="5DD13C56">
      <w:pPr>
        <w:spacing w:before="251" w:line="335" w:lineRule="auto"/>
        <w:ind w:left="679" w:right="155" w:firstLine="419"/>
        <w:rPr>
          <w:rFonts w:ascii="宋体" w:hAnsi="宋体" w:eastAsia="宋体" w:cs="宋体"/>
          <w:sz w:val="20"/>
          <w:szCs w:val="20"/>
        </w:rPr>
      </w:pPr>
      <w:r>
        <w:rPr>
          <w:rFonts w:ascii="宋体" w:hAnsi="宋体" w:eastAsia="宋体" w:cs="宋体"/>
          <w:spacing w:val="7"/>
          <w:sz w:val="20"/>
          <w:szCs w:val="20"/>
        </w:rPr>
        <w:t>大骨节病</w:t>
      </w:r>
      <w:r>
        <w:rPr>
          <w:rFonts w:ascii="Times New Roman" w:hAnsi="Times New Roman" w:eastAsia="Times New Roman" w:cs="Times New Roman"/>
          <w:spacing w:val="7"/>
          <w:sz w:val="20"/>
          <w:szCs w:val="20"/>
        </w:rPr>
        <w:t>(</w:t>
      </w:r>
      <w:r>
        <w:rPr>
          <w:rFonts w:ascii="Times New Roman" w:hAnsi="Times New Roman" w:eastAsia="Times New Roman" w:cs="Times New Roman"/>
          <w:sz w:val="20"/>
          <w:szCs w:val="20"/>
        </w:rPr>
        <w:t>Kashin</w:t>
      </w:r>
      <w:r>
        <w:rPr>
          <w:rFonts w:ascii="Times New Roman" w:hAnsi="Times New Roman" w:eastAsia="Times New Roman" w:cs="Times New Roman"/>
          <w:spacing w:val="7"/>
          <w:sz w:val="20"/>
          <w:szCs w:val="20"/>
        </w:rPr>
        <w:t>-</w:t>
      </w:r>
      <w:r>
        <w:rPr>
          <w:rFonts w:ascii="Times New Roman" w:hAnsi="Times New Roman" w:eastAsia="Times New Roman" w:cs="Times New Roman"/>
          <w:sz w:val="20"/>
          <w:szCs w:val="20"/>
        </w:rPr>
        <w:t>Beck</w:t>
      </w:r>
      <w:r>
        <w:rPr>
          <w:rFonts w:ascii="Times New Roman" w:hAnsi="Times New Roman" w:eastAsia="Times New Roman" w:cs="Times New Roman"/>
          <w:spacing w:val="7"/>
          <w:sz w:val="20"/>
          <w:szCs w:val="20"/>
        </w:rPr>
        <w:t xml:space="preserve">   </w:t>
      </w:r>
      <w:r>
        <w:rPr>
          <w:rFonts w:ascii="Times New Roman" w:hAnsi="Times New Roman" w:eastAsia="Times New Roman" w:cs="Times New Roman"/>
          <w:sz w:val="20"/>
          <w:szCs w:val="20"/>
        </w:rPr>
        <w:t>disease</w:t>
      </w:r>
      <w:r>
        <w:rPr>
          <w:rFonts w:ascii="Times New Roman" w:hAnsi="Times New Roman" w:eastAsia="Times New Roman" w:cs="Times New Roman"/>
          <w:spacing w:val="7"/>
          <w:sz w:val="20"/>
          <w:szCs w:val="20"/>
        </w:rPr>
        <w:t>)</w:t>
      </w:r>
      <w:r>
        <w:rPr>
          <w:rFonts w:ascii="宋体" w:hAnsi="宋体" w:eastAsia="宋体" w:cs="宋体"/>
          <w:spacing w:val="7"/>
          <w:sz w:val="20"/>
          <w:szCs w:val="20"/>
        </w:rPr>
        <w:t>是一种儿童和少年发生的地方性、变形性骨关节病。其</w:t>
      </w:r>
      <w:r>
        <w:rPr>
          <w:rFonts w:ascii="宋体" w:hAnsi="宋体" w:eastAsia="宋体" w:cs="宋体"/>
          <w:spacing w:val="6"/>
          <w:sz w:val="20"/>
          <w:szCs w:val="20"/>
        </w:rPr>
        <w:t>原发病变</w:t>
      </w:r>
      <w:r>
        <w:rPr>
          <w:rFonts w:ascii="宋体" w:hAnsi="宋体" w:eastAsia="宋体" w:cs="宋体"/>
          <w:sz w:val="20"/>
          <w:szCs w:val="20"/>
        </w:rPr>
        <w:t xml:space="preserve"> </w:t>
      </w:r>
      <w:r>
        <w:rPr>
          <w:rFonts w:ascii="宋体" w:hAnsi="宋体" w:eastAsia="宋体" w:cs="宋体"/>
          <w:spacing w:val="8"/>
          <w:sz w:val="20"/>
          <w:szCs w:val="20"/>
        </w:rPr>
        <w:t>主要是骺软骨和关节软骨的多发对称性变性、坏死及继发性退行性骨关节病。临床表现为四肢关节</w:t>
      </w:r>
      <w:r>
        <w:rPr>
          <w:rFonts w:ascii="宋体" w:hAnsi="宋体" w:eastAsia="宋体" w:cs="宋体"/>
          <w:spacing w:val="2"/>
          <w:sz w:val="20"/>
          <w:szCs w:val="20"/>
        </w:rPr>
        <w:t xml:space="preserve">  </w:t>
      </w:r>
      <w:r>
        <w:rPr>
          <w:rFonts w:ascii="宋体" w:hAnsi="宋体" w:eastAsia="宋体" w:cs="宋体"/>
          <w:spacing w:val="1"/>
          <w:sz w:val="20"/>
          <w:szCs w:val="20"/>
        </w:rPr>
        <w:t>疼痛、增粗、变形、活动受限、肌肉萎缩，重者出现短指(趾)、短肢甚至矮小畸形。该病最初(1849年)</w:t>
      </w:r>
      <w:r>
        <w:rPr>
          <w:rFonts w:ascii="宋体" w:hAnsi="宋体" w:eastAsia="宋体" w:cs="宋体"/>
          <w:spacing w:val="4"/>
          <w:sz w:val="20"/>
          <w:szCs w:val="20"/>
        </w:rPr>
        <w:t xml:space="preserve"> </w:t>
      </w:r>
      <w:r>
        <w:rPr>
          <w:rFonts w:ascii="宋体" w:hAnsi="宋体" w:eastAsia="宋体" w:cs="宋体"/>
          <w:spacing w:val="3"/>
          <w:sz w:val="20"/>
          <w:szCs w:val="20"/>
        </w:rPr>
        <w:t>由俄国的界标师尤林斯基报道，其后，俄国</w:t>
      </w:r>
      <w:r>
        <w:rPr>
          <w:rFonts w:ascii="宋体" w:hAnsi="宋体" w:eastAsia="宋体" w:cs="宋体"/>
          <w:spacing w:val="2"/>
          <w:sz w:val="20"/>
          <w:szCs w:val="20"/>
        </w:rPr>
        <w:t>军医卡辛(</w:t>
      </w:r>
      <w:r>
        <w:rPr>
          <w:rFonts w:ascii="宋体" w:hAnsi="宋体" w:eastAsia="宋体" w:cs="宋体"/>
          <w:sz w:val="20"/>
          <w:szCs w:val="20"/>
        </w:rPr>
        <w:t>Kashin</w:t>
      </w:r>
      <w:r>
        <w:rPr>
          <w:rFonts w:ascii="宋体" w:hAnsi="宋体" w:eastAsia="宋体" w:cs="宋体"/>
          <w:spacing w:val="2"/>
          <w:sz w:val="20"/>
          <w:szCs w:val="20"/>
        </w:rPr>
        <w:t>)与贝克(</w:t>
      </w:r>
      <w:r>
        <w:rPr>
          <w:rFonts w:ascii="宋体" w:hAnsi="宋体" w:eastAsia="宋体" w:cs="宋体"/>
          <w:sz w:val="20"/>
          <w:szCs w:val="20"/>
        </w:rPr>
        <w:t>Beck</w:t>
      </w:r>
      <w:r>
        <w:rPr>
          <w:rFonts w:ascii="宋体" w:hAnsi="宋体" w:eastAsia="宋体" w:cs="宋体"/>
          <w:spacing w:val="2"/>
          <w:sz w:val="20"/>
          <w:szCs w:val="20"/>
        </w:rPr>
        <w:t>)</w:t>
      </w:r>
      <w:r>
        <w:rPr>
          <w:rFonts w:ascii="宋体" w:hAnsi="宋体" w:eastAsia="宋体" w:cs="宋体"/>
          <w:spacing w:val="-27"/>
          <w:sz w:val="20"/>
          <w:szCs w:val="20"/>
        </w:rPr>
        <w:t xml:space="preserve"> </w:t>
      </w:r>
      <w:r>
        <w:rPr>
          <w:rFonts w:ascii="宋体" w:hAnsi="宋体" w:eastAsia="宋体" w:cs="宋体"/>
          <w:spacing w:val="2"/>
          <w:sz w:val="20"/>
          <w:szCs w:val="20"/>
        </w:rPr>
        <w:t>夫妇在病区进行了详细的</w:t>
      </w:r>
      <w:r>
        <w:rPr>
          <w:rFonts w:ascii="宋体" w:hAnsi="宋体" w:eastAsia="宋体" w:cs="宋体"/>
          <w:sz w:val="20"/>
          <w:szCs w:val="20"/>
        </w:rPr>
        <w:t xml:space="preserve"> </w:t>
      </w:r>
      <w:r>
        <w:rPr>
          <w:rFonts w:ascii="宋体" w:hAnsi="宋体" w:eastAsia="宋体" w:cs="宋体"/>
          <w:spacing w:val="11"/>
          <w:sz w:val="20"/>
          <w:szCs w:val="20"/>
        </w:rPr>
        <w:t>调查研究，从1906年起</w:t>
      </w:r>
      <w:r>
        <w:rPr>
          <w:rFonts w:ascii="Times New Roman" w:hAnsi="Times New Roman" w:eastAsia="Times New Roman" w:cs="Times New Roman"/>
          <w:sz w:val="20"/>
          <w:szCs w:val="20"/>
        </w:rPr>
        <w:t>Kashin</w:t>
      </w:r>
      <w:r>
        <w:rPr>
          <w:rFonts w:ascii="Times New Roman" w:hAnsi="Times New Roman" w:eastAsia="Times New Roman" w:cs="Times New Roman"/>
          <w:spacing w:val="11"/>
          <w:sz w:val="20"/>
          <w:szCs w:val="20"/>
        </w:rPr>
        <w:t>-</w:t>
      </w:r>
      <w:r>
        <w:rPr>
          <w:rFonts w:ascii="Times New Roman" w:hAnsi="Times New Roman" w:eastAsia="Times New Roman" w:cs="Times New Roman"/>
          <w:sz w:val="20"/>
          <w:szCs w:val="20"/>
        </w:rPr>
        <w:t>Beck</w:t>
      </w:r>
      <w:r>
        <w:rPr>
          <w:rFonts w:ascii="Times New Roman" w:hAnsi="Times New Roman" w:eastAsia="Times New Roman" w:cs="Times New Roman"/>
          <w:spacing w:val="11"/>
          <w:sz w:val="20"/>
          <w:szCs w:val="20"/>
        </w:rPr>
        <w:t xml:space="preserve">  </w:t>
      </w:r>
      <w:r>
        <w:rPr>
          <w:rFonts w:ascii="Times New Roman" w:hAnsi="Times New Roman" w:eastAsia="Times New Roman" w:cs="Times New Roman"/>
          <w:sz w:val="20"/>
          <w:szCs w:val="20"/>
        </w:rPr>
        <w:t>disease</w:t>
      </w:r>
      <w:r>
        <w:rPr>
          <w:rFonts w:ascii="宋体" w:hAnsi="宋体" w:eastAsia="宋体" w:cs="宋体"/>
          <w:spacing w:val="11"/>
          <w:sz w:val="20"/>
          <w:szCs w:val="20"/>
        </w:rPr>
        <w:t>成为大骨节病的国际通用英文名称。其病因尚不十分清</w:t>
      </w:r>
      <w:r>
        <w:rPr>
          <w:rFonts w:ascii="宋体" w:hAnsi="宋体" w:eastAsia="宋体" w:cs="宋体"/>
          <w:spacing w:val="9"/>
          <w:sz w:val="20"/>
          <w:szCs w:val="20"/>
        </w:rPr>
        <w:t xml:space="preserve">  楚，集中在粮食真菌毒素中毒学说、饮用水有机物中毒学说和地球化学学说三个方面。该病曾一度</w:t>
      </w:r>
      <w:r>
        <w:rPr>
          <w:rFonts w:ascii="宋体" w:hAnsi="宋体" w:eastAsia="宋体" w:cs="宋体"/>
          <w:spacing w:val="3"/>
          <w:sz w:val="20"/>
          <w:szCs w:val="20"/>
        </w:rPr>
        <w:t xml:space="preserve"> </w:t>
      </w:r>
      <w:r>
        <w:rPr>
          <w:rFonts w:ascii="宋体" w:hAnsi="宋体" w:eastAsia="宋体" w:cs="宋体"/>
          <w:spacing w:val="4"/>
          <w:sz w:val="20"/>
          <w:szCs w:val="20"/>
        </w:rPr>
        <w:t>严重影响我国病区居民健康水平和生活质量，经过多年落实换粮、补硒、异地育人、集中办学和搬迁</w:t>
      </w:r>
      <w:r>
        <w:rPr>
          <w:rFonts w:ascii="宋体" w:hAnsi="宋体" w:eastAsia="宋体" w:cs="宋体"/>
          <w:spacing w:val="10"/>
          <w:sz w:val="20"/>
          <w:szCs w:val="20"/>
        </w:rPr>
        <w:t xml:space="preserve"> </w:t>
      </w:r>
      <w:r>
        <w:rPr>
          <w:rFonts w:ascii="宋体" w:hAnsi="宋体" w:eastAsia="宋体" w:cs="宋体"/>
          <w:spacing w:val="8"/>
          <w:sz w:val="20"/>
          <w:szCs w:val="20"/>
        </w:rPr>
        <w:t>等综合防制措施，2015年监测结果显示，全国总体病情已基本达到控制水平，部分病区疾病已经消</w:t>
      </w:r>
      <w:r>
        <w:rPr>
          <w:rFonts w:ascii="宋体" w:hAnsi="宋体" w:eastAsia="宋体" w:cs="宋体"/>
          <w:spacing w:val="18"/>
          <w:sz w:val="20"/>
          <w:szCs w:val="20"/>
        </w:rPr>
        <w:t xml:space="preserve"> </w:t>
      </w:r>
      <w:r>
        <w:rPr>
          <w:rFonts w:ascii="宋体" w:hAnsi="宋体" w:eastAsia="宋体" w:cs="宋体"/>
          <w:spacing w:val="7"/>
          <w:sz w:val="20"/>
          <w:szCs w:val="20"/>
        </w:rPr>
        <w:t>除。2019—2020年全国无新发儿童病例检出，说明全国病情达到消除标准，但仍需监测和预防。</w:t>
      </w:r>
    </w:p>
    <w:p w14:paraId="112D02EF">
      <w:pPr>
        <w:spacing w:before="52" w:line="339" w:lineRule="auto"/>
        <w:ind w:left="679" w:right="215" w:firstLine="419"/>
        <w:jc w:val="both"/>
        <w:rPr>
          <w:rFonts w:ascii="宋体" w:hAnsi="宋体" w:eastAsia="宋体" w:cs="宋体"/>
          <w:sz w:val="20"/>
          <w:szCs w:val="20"/>
        </w:rPr>
      </w:pPr>
      <w:r>
        <w:rPr>
          <w:rFonts w:ascii="宋体" w:hAnsi="宋体" w:eastAsia="宋体" w:cs="宋体"/>
          <w:spacing w:val="13"/>
          <w:sz w:val="20"/>
          <w:szCs w:val="20"/>
        </w:rPr>
        <w:t>2000—2018年，大骨节病监测采用动态监测方式。每次监</w:t>
      </w:r>
      <w:r>
        <w:rPr>
          <w:rFonts w:ascii="宋体" w:hAnsi="宋体" w:eastAsia="宋体" w:cs="宋体"/>
          <w:spacing w:val="12"/>
          <w:sz w:val="20"/>
          <w:szCs w:val="20"/>
        </w:rPr>
        <w:t>测随机抽取一定比例的病区村用以</w:t>
      </w:r>
      <w:r>
        <w:rPr>
          <w:rFonts w:ascii="宋体" w:hAnsi="宋体" w:eastAsia="宋体" w:cs="宋体"/>
          <w:sz w:val="20"/>
          <w:szCs w:val="20"/>
        </w:rPr>
        <w:t xml:space="preserve"> </w:t>
      </w:r>
      <w:r>
        <w:rPr>
          <w:rFonts w:ascii="宋体" w:hAnsi="宋体" w:eastAsia="宋体" w:cs="宋体"/>
          <w:spacing w:val="9"/>
          <w:sz w:val="20"/>
          <w:szCs w:val="20"/>
        </w:rPr>
        <w:t>估计全国病情；2019年起，实现病区村全覆</w:t>
      </w:r>
      <w:r>
        <w:rPr>
          <w:rFonts w:ascii="宋体" w:hAnsi="宋体" w:eastAsia="宋体" w:cs="宋体"/>
          <w:spacing w:val="8"/>
          <w:sz w:val="20"/>
          <w:szCs w:val="20"/>
        </w:rPr>
        <w:t>盖监测，监测内容主要包括：①儿童</w:t>
      </w:r>
      <w:r>
        <w:rPr>
          <w:rFonts w:ascii="Times New Roman" w:hAnsi="Times New Roman" w:eastAsia="Times New Roman" w:cs="Times New Roman"/>
          <w:spacing w:val="8"/>
          <w:sz w:val="20"/>
          <w:szCs w:val="20"/>
        </w:rPr>
        <w:t>X</w:t>
      </w:r>
      <w:r>
        <w:rPr>
          <w:rFonts w:ascii="Times New Roman" w:hAnsi="Times New Roman" w:eastAsia="Times New Roman" w:cs="Times New Roman"/>
          <w:spacing w:val="17"/>
          <w:w w:val="101"/>
          <w:sz w:val="20"/>
          <w:szCs w:val="20"/>
        </w:rPr>
        <w:t xml:space="preserve"> </w:t>
      </w:r>
      <w:r>
        <w:rPr>
          <w:rFonts w:ascii="宋体" w:hAnsi="宋体" w:eastAsia="宋体" w:cs="宋体"/>
          <w:spacing w:val="8"/>
          <w:sz w:val="20"/>
          <w:szCs w:val="20"/>
        </w:rPr>
        <w:t>线和临床病情动</w:t>
      </w:r>
      <w:r>
        <w:rPr>
          <w:rFonts w:ascii="宋体" w:hAnsi="宋体" w:eastAsia="宋体" w:cs="宋体"/>
          <w:sz w:val="20"/>
          <w:szCs w:val="20"/>
        </w:rPr>
        <w:t xml:space="preserve"> </w:t>
      </w:r>
      <w:r>
        <w:rPr>
          <w:rFonts w:ascii="宋体" w:hAnsi="宋体" w:eastAsia="宋体" w:cs="宋体"/>
          <w:spacing w:val="3"/>
          <w:sz w:val="20"/>
          <w:szCs w:val="20"/>
        </w:rPr>
        <w:t>态；②防制措施落实情况。</w:t>
      </w:r>
    </w:p>
    <w:p w14:paraId="09321EF5">
      <w:pPr>
        <w:spacing w:line="219" w:lineRule="auto"/>
        <w:ind w:left="8909"/>
        <w:rPr>
          <w:rFonts w:ascii="宋体" w:hAnsi="宋体" w:eastAsia="宋体" w:cs="宋体"/>
          <w:sz w:val="20"/>
          <w:szCs w:val="20"/>
        </w:rPr>
      </w:pPr>
      <w:r>
        <w:rPr>
          <w:rFonts w:ascii="宋体" w:hAnsi="宋体" w:eastAsia="宋体" w:cs="宋体"/>
          <w:spacing w:val="-14"/>
          <w:sz w:val="20"/>
          <w:szCs w:val="20"/>
        </w:rPr>
        <w:t>( 王 帆 )</w:t>
      </w:r>
    </w:p>
    <w:p w14:paraId="7925B6E1">
      <w:pPr>
        <w:spacing w:line="262" w:lineRule="auto"/>
        <w:rPr>
          <w:rFonts w:ascii="Arial"/>
          <w:sz w:val="21"/>
        </w:rPr>
      </w:pPr>
    </w:p>
    <w:p w14:paraId="703C9286">
      <w:pPr>
        <w:spacing w:before="1" w:line="460" w:lineRule="exact"/>
        <w:ind w:firstLine="9369"/>
      </w:pPr>
      <w:r>
        <w:drawing>
          <wp:anchor distT="0" distB="0" distL="0" distR="0" simplePos="0" relativeHeight="251997184" behindDoc="0" locked="0" layoutInCell="1" allowOverlap="1">
            <wp:simplePos x="0" y="0"/>
            <wp:positionH relativeFrom="column">
              <wp:posOffset>450215</wp:posOffset>
            </wp:positionH>
            <wp:positionV relativeFrom="paragraph">
              <wp:posOffset>171450</wp:posOffset>
            </wp:positionV>
            <wp:extent cx="6350" cy="1016000"/>
            <wp:effectExtent l="0" t="0" r="0" b="0"/>
            <wp:wrapNone/>
            <wp:docPr id="834" name="IM 834"/>
            <wp:cNvGraphicFramePr/>
            <a:graphic xmlns:a="http://schemas.openxmlformats.org/drawingml/2006/main">
              <a:graphicData uri="http://schemas.openxmlformats.org/drawingml/2006/picture">
                <pic:pic xmlns:pic="http://schemas.openxmlformats.org/drawingml/2006/picture">
                  <pic:nvPicPr>
                    <pic:cNvPr id="834" name="IM 834"/>
                    <pic:cNvPicPr/>
                  </pic:nvPicPr>
                  <pic:blipFill>
                    <a:blip r:embed="rId705"/>
                    <a:stretch>
                      <a:fillRect/>
                    </a:stretch>
                  </pic:blipFill>
                  <pic:spPr>
                    <a:xfrm>
                      <a:off x="0" y="0"/>
                      <a:ext cx="6350" cy="1015947"/>
                    </a:xfrm>
                    <a:prstGeom prst="rect">
                      <a:avLst/>
                    </a:prstGeom>
                  </pic:spPr>
                </pic:pic>
              </a:graphicData>
            </a:graphic>
          </wp:anchor>
        </w:drawing>
      </w:r>
      <w:r>
        <w:rPr>
          <w:position w:val="-9"/>
        </w:rPr>
        <w:drawing>
          <wp:inline distT="0" distB="0" distL="0" distR="0">
            <wp:extent cx="330200" cy="292100"/>
            <wp:effectExtent l="0" t="0" r="0" b="0"/>
            <wp:docPr id="836" name="IM 836"/>
            <wp:cNvGraphicFramePr/>
            <a:graphic xmlns:a="http://schemas.openxmlformats.org/drawingml/2006/main">
              <a:graphicData uri="http://schemas.openxmlformats.org/drawingml/2006/picture">
                <pic:pic xmlns:pic="http://schemas.openxmlformats.org/drawingml/2006/picture">
                  <pic:nvPicPr>
                    <pic:cNvPr id="836" name="IM 836"/>
                    <pic:cNvPicPr/>
                  </pic:nvPicPr>
                  <pic:blipFill>
                    <a:blip r:embed="rId706"/>
                    <a:stretch>
                      <a:fillRect/>
                    </a:stretch>
                  </pic:blipFill>
                  <pic:spPr>
                    <a:xfrm>
                      <a:off x="0" y="0"/>
                      <a:ext cx="330218" cy="292117"/>
                    </a:xfrm>
                    <a:prstGeom prst="rect">
                      <a:avLst/>
                    </a:prstGeom>
                  </pic:spPr>
                </pic:pic>
              </a:graphicData>
            </a:graphic>
          </wp:inline>
        </w:drawing>
      </w:r>
    </w:p>
    <w:p w14:paraId="56628465">
      <w:pPr>
        <w:pStyle w:val="2"/>
        <w:spacing w:before="107" w:line="222" w:lineRule="auto"/>
        <w:ind w:left="1163"/>
        <w:rPr>
          <w:sz w:val="25"/>
          <w:szCs w:val="25"/>
        </w:rPr>
      </w:pPr>
      <w:r>
        <w:rPr>
          <w:b/>
          <w:bCs/>
          <w:spacing w:val="2"/>
          <w:sz w:val="25"/>
          <w:szCs w:val="25"/>
        </w:rPr>
        <w:t>思考题</w:t>
      </w:r>
    </w:p>
    <w:p w14:paraId="00F3B65A">
      <w:pPr>
        <w:spacing w:before="99" w:line="219" w:lineRule="auto"/>
        <w:ind w:left="1979"/>
        <w:rPr>
          <w:rFonts w:ascii="宋体" w:hAnsi="宋体" w:eastAsia="宋体" w:cs="宋体"/>
          <w:sz w:val="20"/>
          <w:szCs w:val="20"/>
        </w:rPr>
      </w:pPr>
      <w:r>
        <w:rPr>
          <w:rFonts w:ascii="宋体" w:hAnsi="宋体" w:eastAsia="宋体" w:cs="宋体"/>
          <w:spacing w:val="4"/>
          <w:sz w:val="20"/>
          <w:szCs w:val="20"/>
        </w:rPr>
        <w:t>1.</w:t>
      </w:r>
      <w:r>
        <w:rPr>
          <w:rFonts w:ascii="宋体" w:hAnsi="宋体" w:eastAsia="宋体" w:cs="宋体"/>
          <w:spacing w:val="-37"/>
          <w:sz w:val="20"/>
          <w:szCs w:val="20"/>
        </w:rPr>
        <w:t xml:space="preserve"> </w:t>
      </w:r>
      <w:r>
        <w:rPr>
          <w:rFonts w:ascii="宋体" w:hAnsi="宋体" w:eastAsia="宋体" w:cs="宋体"/>
          <w:spacing w:val="4"/>
          <w:sz w:val="20"/>
          <w:szCs w:val="20"/>
        </w:rPr>
        <w:t>简述地方病的定义及分类。</w:t>
      </w:r>
    </w:p>
    <w:p w14:paraId="41174C26">
      <w:pPr>
        <w:spacing w:before="133" w:line="219" w:lineRule="auto"/>
        <w:ind w:left="1939"/>
        <w:rPr>
          <w:rFonts w:ascii="宋体" w:hAnsi="宋体" w:eastAsia="宋体" w:cs="宋体"/>
          <w:sz w:val="20"/>
          <w:szCs w:val="20"/>
        </w:rPr>
      </w:pPr>
      <w:r>
        <w:rPr>
          <w:rFonts w:ascii="宋体" w:hAnsi="宋体" w:eastAsia="宋体" w:cs="宋体"/>
          <w:spacing w:val="7"/>
          <w:sz w:val="20"/>
          <w:szCs w:val="20"/>
        </w:rPr>
        <w:t>2.</w:t>
      </w:r>
      <w:r>
        <w:rPr>
          <w:rFonts w:ascii="宋体" w:hAnsi="宋体" w:eastAsia="宋体" w:cs="宋体"/>
          <w:spacing w:val="-29"/>
          <w:sz w:val="20"/>
          <w:szCs w:val="20"/>
        </w:rPr>
        <w:t xml:space="preserve"> </w:t>
      </w:r>
      <w:r>
        <w:rPr>
          <w:rFonts w:ascii="宋体" w:hAnsi="宋体" w:eastAsia="宋体" w:cs="宋体"/>
          <w:spacing w:val="7"/>
          <w:sz w:val="20"/>
          <w:szCs w:val="20"/>
        </w:rPr>
        <w:t>地方病的判断依据有哪些?</w:t>
      </w:r>
    </w:p>
    <w:p w14:paraId="0DB7B4B6">
      <w:pPr>
        <w:spacing w:before="134" w:line="219" w:lineRule="auto"/>
        <w:ind w:left="1939"/>
        <w:rPr>
          <w:rFonts w:ascii="宋体" w:hAnsi="宋体" w:eastAsia="宋体" w:cs="宋体"/>
          <w:sz w:val="20"/>
          <w:szCs w:val="20"/>
        </w:rPr>
      </w:pPr>
      <w:r>
        <w:rPr>
          <w:rFonts w:ascii="宋体" w:hAnsi="宋体" w:eastAsia="宋体" w:cs="宋体"/>
          <w:spacing w:val="8"/>
          <w:sz w:val="20"/>
          <w:szCs w:val="20"/>
        </w:rPr>
        <w:t>3.</w:t>
      </w:r>
      <w:r>
        <w:rPr>
          <w:rFonts w:ascii="宋体" w:hAnsi="宋体" w:eastAsia="宋体" w:cs="宋体"/>
          <w:spacing w:val="-37"/>
          <w:sz w:val="20"/>
          <w:szCs w:val="20"/>
        </w:rPr>
        <w:t xml:space="preserve"> </w:t>
      </w:r>
      <w:r>
        <w:rPr>
          <w:rFonts w:ascii="宋体" w:hAnsi="宋体" w:eastAsia="宋体" w:cs="宋体"/>
          <w:spacing w:val="8"/>
          <w:sz w:val="20"/>
          <w:szCs w:val="20"/>
        </w:rPr>
        <w:t>为什么在碘缺乏地区要长期补碘?</w:t>
      </w:r>
    </w:p>
    <w:p w14:paraId="54E8C0ED">
      <w:pPr>
        <w:spacing w:before="123" w:line="219" w:lineRule="auto"/>
        <w:ind w:left="1939"/>
        <w:rPr>
          <w:rFonts w:ascii="宋体" w:hAnsi="宋体" w:eastAsia="宋体" w:cs="宋体"/>
          <w:sz w:val="20"/>
          <w:szCs w:val="20"/>
        </w:rPr>
      </w:pPr>
      <w:r>
        <w:rPr>
          <w:rFonts w:ascii="宋体" w:hAnsi="宋体" w:eastAsia="宋体" w:cs="宋体"/>
          <w:spacing w:val="7"/>
          <w:sz w:val="20"/>
          <w:szCs w:val="20"/>
        </w:rPr>
        <w:t>4.</w:t>
      </w:r>
      <w:r>
        <w:rPr>
          <w:rFonts w:ascii="宋体" w:hAnsi="宋体" w:eastAsia="宋体" w:cs="宋体"/>
          <w:spacing w:val="-42"/>
          <w:sz w:val="20"/>
          <w:szCs w:val="20"/>
        </w:rPr>
        <w:t xml:space="preserve"> </w:t>
      </w:r>
      <w:r>
        <w:rPr>
          <w:rFonts w:ascii="宋体" w:hAnsi="宋体" w:eastAsia="宋体" w:cs="宋体"/>
          <w:spacing w:val="7"/>
          <w:sz w:val="20"/>
          <w:szCs w:val="20"/>
        </w:rPr>
        <w:t>如何监测地方性氟中毒?</w:t>
      </w:r>
    </w:p>
    <w:p w14:paraId="48162AF0">
      <w:pPr>
        <w:spacing w:before="133" w:line="219" w:lineRule="auto"/>
        <w:ind w:left="1939"/>
        <w:rPr>
          <w:rFonts w:ascii="宋体" w:hAnsi="宋体" w:eastAsia="宋体" w:cs="宋体"/>
          <w:sz w:val="20"/>
          <w:szCs w:val="20"/>
        </w:rPr>
      </w:pPr>
      <w:r>
        <w:rPr>
          <w:rFonts w:ascii="宋体" w:hAnsi="宋体" w:eastAsia="宋体" w:cs="宋体"/>
          <w:spacing w:val="8"/>
          <w:sz w:val="20"/>
          <w:szCs w:val="20"/>
        </w:rPr>
        <w:t>5.</w:t>
      </w:r>
      <w:r>
        <w:rPr>
          <w:rFonts w:ascii="宋体" w:hAnsi="宋体" w:eastAsia="宋体" w:cs="宋体"/>
          <w:spacing w:val="-49"/>
          <w:sz w:val="20"/>
          <w:szCs w:val="20"/>
        </w:rPr>
        <w:t xml:space="preserve"> </w:t>
      </w:r>
      <w:r>
        <w:rPr>
          <w:rFonts w:ascii="宋体" w:hAnsi="宋体" w:eastAsia="宋体" w:cs="宋体"/>
          <w:spacing w:val="8"/>
          <w:sz w:val="20"/>
          <w:szCs w:val="20"/>
        </w:rPr>
        <w:t>克山病的一级预防措施有哪些?</w:t>
      </w:r>
    </w:p>
    <w:p w14:paraId="3630FB29">
      <w:pPr>
        <w:spacing w:line="219" w:lineRule="auto"/>
        <w:rPr>
          <w:rFonts w:ascii="宋体" w:hAnsi="宋体" w:eastAsia="宋体" w:cs="宋体"/>
          <w:sz w:val="20"/>
          <w:szCs w:val="20"/>
        </w:rPr>
        <w:sectPr>
          <w:footerReference r:id="rId387" w:type="default"/>
          <w:pgSz w:w="11900" w:h="16820"/>
          <w:pgMar w:top="400" w:right="1259" w:bottom="859" w:left="750" w:header="0" w:footer="679" w:gutter="0"/>
          <w:cols w:space="720" w:num="1"/>
        </w:sectPr>
      </w:pPr>
    </w:p>
    <w:p w14:paraId="1B481355">
      <w:pPr>
        <w:spacing w:line="258" w:lineRule="auto"/>
        <w:rPr>
          <w:rFonts w:ascii="Arial"/>
          <w:sz w:val="21"/>
        </w:rPr>
      </w:pPr>
    </w:p>
    <w:p w14:paraId="5BC9311E">
      <w:pPr>
        <w:spacing w:line="259" w:lineRule="auto"/>
        <w:rPr>
          <w:rFonts w:ascii="Arial"/>
          <w:sz w:val="21"/>
        </w:rPr>
      </w:pPr>
    </w:p>
    <w:p w14:paraId="57DF4584">
      <w:pPr>
        <w:spacing w:line="259" w:lineRule="auto"/>
        <w:rPr>
          <w:rFonts w:ascii="Arial"/>
          <w:sz w:val="21"/>
        </w:rPr>
      </w:pPr>
    </w:p>
    <w:p w14:paraId="74132853">
      <w:pPr>
        <w:spacing w:line="259" w:lineRule="auto"/>
        <w:rPr>
          <w:rFonts w:ascii="Arial"/>
          <w:sz w:val="21"/>
        </w:rPr>
      </w:pPr>
    </w:p>
    <w:p w14:paraId="7C27B0A4">
      <w:pPr>
        <w:pStyle w:val="2"/>
        <w:spacing w:before="140" w:line="222" w:lineRule="auto"/>
        <w:ind w:left="3956"/>
        <w:outlineLvl w:val="0"/>
        <w:rPr>
          <w:sz w:val="43"/>
          <w:szCs w:val="43"/>
        </w:rPr>
      </w:pPr>
      <w:bookmarkStart w:id="623" w:name="bookmark403"/>
      <w:bookmarkEnd w:id="623"/>
      <w:r>
        <w:rPr>
          <w:b/>
          <w:bCs/>
          <w:spacing w:val="-3"/>
          <w:sz w:val="43"/>
          <w:szCs w:val="43"/>
        </w:rPr>
        <w:t>推荐阅读</w:t>
      </w:r>
    </w:p>
    <w:p w14:paraId="02B959AA">
      <w:pPr>
        <w:spacing w:line="258" w:lineRule="auto"/>
        <w:rPr>
          <w:rFonts w:ascii="Arial"/>
          <w:sz w:val="21"/>
        </w:rPr>
      </w:pPr>
    </w:p>
    <w:p w14:paraId="6A0524A5">
      <w:pPr>
        <w:spacing w:line="258" w:lineRule="auto"/>
        <w:rPr>
          <w:rFonts w:ascii="Arial"/>
          <w:sz w:val="21"/>
        </w:rPr>
      </w:pPr>
    </w:p>
    <w:p w14:paraId="0A33E6DC">
      <w:pPr>
        <w:spacing w:line="258" w:lineRule="auto"/>
        <w:rPr>
          <w:rFonts w:ascii="Arial"/>
          <w:sz w:val="21"/>
        </w:rPr>
      </w:pPr>
    </w:p>
    <w:p w14:paraId="1BE1C603">
      <w:pPr>
        <w:spacing w:line="258" w:lineRule="auto"/>
        <w:rPr>
          <w:rFonts w:ascii="Arial"/>
          <w:sz w:val="21"/>
        </w:rPr>
      </w:pPr>
    </w:p>
    <w:p w14:paraId="314D36D4">
      <w:pPr>
        <w:spacing w:line="259" w:lineRule="auto"/>
        <w:rPr>
          <w:rFonts w:ascii="Arial"/>
          <w:sz w:val="21"/>
        </w:rPr>
      </w:pPr>
    </w:p>
    <w:p w14:paraId="781FDB5B">
      <w:pPr>
        <w:spacing w:line="259" w:lineRule="auto"/>
        <w:rPr>
          <w:rFonts w:ascii="Arial"/>
          <w:sz w:val="21"/>
        </w:rPr>
      </w:pPr>
    </w:p>
    <w:p w14:paraId="57C6E897">
      <w:pPr>
        <w:spacing w:before="59" w:line="219" w:lineRule="auto"/>
        <w:ind w:left="89"/>
        <w:rPr>
          <w:rFonts w:ascii="宋体" w:hAnsi="宋体" w:eastAsia="宋体" w:cs="宋体"/>
          <w:sz w:val="18"/>
          <w:szCs w:val="18"/>
        </w:rPr>
      </w:pPr>
      <w:r>
        <w:rPr>
          <w:rFonts w:ascii="宋体" w:hAnsi="宋体" w:eastAsia="宋体" w:cs="宋体"/>
          <w:spacing w:val="3"/>
          <w:sz w:val="18"/>
          <w:szCs w:val="18"/>
        </w:rPr>
        <w:t>[1]李立明，王建华.流行病学：第一卷.3版.北京：人</w:t>
      </w:r>
      <w:r>
        <w:rPr>
          <w:rFonts w:ascii="宋体" w:hAnsi="宋体" w:eastAsia="宋体" w:cs="宋体"/>
          <w:spacing w:val="3"/>
          <w:sz w:val="18"/>
          <w:szCs w:val="18"/>
          <w:u w:val="single" w:color="auto"/>
        </w:rPr>
        <w:t>民卫生</w:t>
      </w:r>
      <w:r>
        <w:rPr>
          <w:rFonts w:ascii="宋体" w:hAnsi="宋体" w:eastAsia="宋体" w:cs="宋体"/>
          <w:spacing w:val="3"/>
          <w:sz w:val="18"/>
          <w:szCs w:val="18"/>
        </w:rPr>
        <w:t>出版社，2015.</w:t>
      </w:r>
    </w:p>
    <w:p w14:paraId="62EB3BED">
      <w:pPr>
        <w:spacing w:before="156" w:line="219" w:lineRule="auto"/>
        <w:ind w:left="89"/>
        <w:rPr>
          <w:rFonts w:ascii="宋体" w:hAnsi="宋体" w:eastAsia="宋体" w:cs="宋体"/>
          <w:sz w:val="18"/>
          <w:szCs w:val="18"/>
        </w:rPr>
      </w:pPr>
      <w:r>
        <w:rPr>
          <w:rFonts w:ascii="宋体" w:hAnsi="宋体" w:eastAsia="宋体" w:cs="宋体"/>
          <w:spacing w:val="8"/>
          <w:sz w:val="18"/>
          <w:szCs w:val="18"/>
        </w:rPr>
        <w:t>[2]谭红专.现代流行病学.3版.北京：人民卫生出版社</w:t>
      </w:r>
      <w:r>
        <w:rPr>
          <w:rFonts w:ascii="宋体" w:hAnsi="宋体" w:eastAsia="宋体" w:cs="宋体"/>
          <w:spacing w:val="7"/>
          <w:sz w:val="18"/>
          <w:szCs w:val="18"/>
        </w:rPr>
        <w:t>，2019.</w:t>
      </w:r>
    </w:p>
    <w:p w14:paraId="667FB463">
      <w:pPr>
        <w:spacing w:before="156" w:line="219" w:lineRule="auto"/>
        <w:rPr>
          <w:rFonts w:ascii="宋体" w:hAnsi="宋体" w:eastAsia="宋体" w:cs="宋体"/>
          <w:sz w:val="18"/>
          <w:szCs w:val="18"/>
        </w:rPr>
      </w:pPr>
      <w:r>
        <w:rPr>
          <w:rFonts w:ascii="宋体" w:hAnsi="宋体" w:eastAsia="宋体" w:cs="宋体"/>
          <w:spacing w:val="-4"/>
          <w:sz w:val="18"/>
          <w:szCs w:val="18"/>
        </w:rPr>
        <w:t>「3]   沈洪兵.肿瘤分子流行病学，北京：人民</w:t>
      </w:r>
      <w:r>
        <w:rPr>
          <w:rFonts w:ascii="宋体" w:hAnsi="宋体" w:eastAsia="宋体" w:cs="宋体"/>
          <w:spacing w:val="-4"/>
          <w:sz w:val="18"/>
          <w:szCs w:val="18"/>
          <w:u w:val="single" w:color="auto"/>
        </w:rPr>
        <w:t>卫生</w:t>
      </w:r>
      <w:r>
        <w:rPr>
          <w:rFonts w:ascii="宋体" w:hAnsi="宋体" w:eastAsia="宋体" w:cs="宋体"/>
          <w:spacing w:val="-4"/>
          <w:sz w:val="18"/>
          <w:szCs w:val="18"/>
        </w:rPr>
        <w:t>出版社，201</w:t>
      </w:r>
      <w:r>
        <w:rPr>
          <w:rFonts w:ascii="宋体" w:hAnsi="宋体" w:eastAsia="宋体" w:cs="宋体"/>
          <w:spacing w:val="-5"/>
          <w:sz w:val="18"/>
          <w:szCs w:val="18"/>
        </w:rPr>
        <w:t>4.</w:t>
      </w:r>
    </w:p>
    <w:p w14:paraId="6CC91E06">
      <w:pPr>
        <w:spacing w:before="156" w:line="219" w:lineRule="auto"/>
        <w:ind w:left="89"/>
        <w:rPr>
          <w:rFonts w:ascii="宋体" w:hAnsi="宋体" w:eastAsia="宋体" w:cs="宋体"/>
          <w:sz w:val="18"/>
          <w:szCs w:val="18"/>
        </w:rPr>
      </w:pPr>
      <w:r>
        <w:rPr>
          <w:rFonts w:ascii="宋体" w:hAnsi="宋体" w:eastAsia="宋体" w:cs="宋体"/>
          <w:spacing w:val="6"/>
          <w:sz w:val="18"/>
          <w:szCs w:val="18"/>
        </w:rPr>
        <w:t>[4]詹思延</w:t>
      </w:r>
      <w:r>
        <w:rPr>
          <w:rFonts w:ascii="宋体" w:hAnsi="宋体" w:eastAsia="宋体" w:cs="宋体"/>
          <w:spacing w:val="-39"/>
          <w:sz w:val="18"/>
          <w:szCs w:val="18"/>
        </w:rPr>
        <w:t xml:space="preserve"> </w:t>
      </w:r>
      <w:r>
        <w:rPr>
          <w:rFonts w:ascii="宋体" w:hAnsi="宋体" w:eastAsia="宋体" w:cs="宋体"/>
          <w:spacing w:val="6"/>
          <w:sz w:val="18"/>
          <w:szCs w:val="18"/>
        </w:rPr>
        <w:t>.</w:t>
      </w:r>
      <w:r>
        <w:rPr>
          <w:rFonts w:ascii="宋体" w:hAnsi="宋体" w:eastAsia="宋体" w:cs="宋体"/>
          <w:spacing w:val="-49"/>
          <w:sz w:val="18"/>
          <w:szCs w:val="18"/>
        </w:rPr>
        <w:t xml:space="preserve"> </w:t>
      </w:r>
      <w:r>
        <w:rPr>
          <w:rFonts w:ascii="宋体" w:hAnsi="宋体" w:eastAsia="宋体" w:cs="宋体"/>
          <w:spacing w:val="6"/>
          <w:sz w:val="18"/>
          <w:szCs w:val="18"/>
        </w:rPr>
        <w:t>系统综述与</w:t>
      </w:r>
      <w:r>
        <w:rPr>
          <w:rFonts w:ascii="Times New Roman" w:hAnsi="Times New Roman" w:eastAsia="Times New Roman" w:cs="Times New Roman"/>
          <w:sz w:val="18"/>
          <w:szCs w:val="18"/>
        </w:rPr>
        <w:t>Meta</w:t>
      </w:r>
      <w:r>
        <w:rPr>
          <w:rFonts w:ascii="宋体" w:hAnsi="宋体" w:eastAsia="宋体" w:cs="宋体"/>
          <w:spacing w:val="6"/>
          <w:sz w:val="18"/>
          <w:szCs w:val="18"/>
        </w:rPr>
        <w:t>分析.北京：人</w:t>
      </w:r>
      <w:r>
        <w:rPr>
          <w:rFonts w:ascii="宋体" w:hAnsi="宋体" w:eastAsia="宋体" w:cs="宋体"/>
          <w:spacing w:val="6"/>
          <w:sz w:val="18"/>
          <w:szCs w:val="18"/>
          <w:u w:val="single" w:color="auto"/>
        </w:rPr>
        <w:t>民卫生出</w:t>
      </w:r>
      <w:r>
        <w:rPr>
          <w:rFonts w:ascii="宋体" w:hAnsi="宋体" w:eastAsia="宋体" w:cs="宋体"/>
          <w:spacing w:val="6"/>
          <w:sz w:val="18"/>
          <w:szCs w:val="18"/>
        </w:rPr>
        <w:t>版社，2019.</w:t>
      </w:r>
    </w:p>
    <w:p w14:paraId="08151A60">
      <w:pPr>
        <w:spacing w:before="116" w:line="219" w:lineRule="auto"/>
        <w:ind w:left="89"/>
        <w:rPr>
          <w:rFonts w:ascii="宋体" w:hAnsi="宋体" w:eastAsia="宋体" w:cs="宋体"/>
          <w:sz w:val="18"/>
          <w:szCs w:val="18"/>
        </w:rPr>
      </w:pPr>
      <w:r>
        <w:rPr>
          <w:rFonts w:ascii="宋体" w:hAnsi="宋体" w:eastAsia="宋体" w:cs="宋体"/>
          <w:sz w:val="18"/>
          <w:szCs w:val="18"/>
        </w:rPr>
        <w:t>[5]施特劳斯，理查森，格拉齐乌，等.循证医学实践和教学.詹思延，译.北京：北京大学医学出版社，20</w:t>
      </w:r>
      <w:r>
        <w:rPr>
          <w:rFonts w:ascii="宋体" w:hAnsi="宋体" w:eastAsia="宋体" w:cs="宋体"/>
          <w:spacing w:val="-1"/>
          <w:sz w:val="18"/>
          <w:szCs w:val="18"/>
        </w:rPr>
        <w:t>06.</w:t>
      </w:r>
    </w:p>
    <w:p w14:paraId="5A46EA6F">
      <w:pPr>
        <w:spacing w:before="166" w:line="219" w:lineRule="auto"/>
        <w:ind w:left="89"/>
        <w:rPr>
          <w:rFonts w:ascii="宋体" w:hAnsi="宋体" w:eastAsia="宋体" w:cs="宋体"/>
          <w:sz w:val="18"/>
          <w:szCs w:val="18"/>
        </w:rPr>
      </w:pPr>
      <w:r>
        <w:rPr>
          <w:rFonts w:ascii="宋体" w:hAnsi="宋体" w:eastAsia="宋体" w:cs="宋体"/>
          <w:spacing w:val="-1"/>
          <w:sz w:val="18"/>
          <w:szCs w:val="18"/>
        </w:rPr>
        <w:t>[6]</w:t>
      </w:r>
      <w:r>
        <w:rPr>
          <w:rFonts w:ascii="宋体" w:hAnsi="宋体" w:eastAsia="宋体" w:cs="宋体"/>
          <w:spacing w:val="37"/>
          <w:sz w:val="18"/>
          <w:szCs w:val="18"/>
        </w:rPr>
        <w:t xml:space="preserve">  </w:t>
      </w:r>
      <w:r>
        <w:rPr>
          <w:rFonts w:ascii="宋体" w:hAnsi="宋体" w:eastAsia="宋体" w:cs="宋体"/>
          <w:spacing w:val="-1"/>
          <w:sz w:val="18"/>
          <w:szCs w:val="18"/>
        </w:rPr>
        <w:t>王力红，朱士俊.医院感染学.2版.北京：人民</w:t>
      </w:r>
      <w:r>
        <w:rPr>
          <w:rFonts w:ascii="宋体" w:hAnsi="宋体" w:eastAsia="宋体" w:cs="宋体"/>
          <w:spacing w:val="-1"/>
          <w:sz w:val="18"/>
          <w:szCs w:val="18"/>
          <w:u w:val="single" w:color="auto"/>
        </w:rPr>
        <w:t>卫生</w:t>
      </w:r>
      <w:r>
        <w:rPr>
          <w:rFonts w:ascii="宋体" w:hAnsi="宋体" w:eastAsia="宋体" w:cs="宋体"/>
          <w:spacing w:val="-1"/>
          <w:sz w:val="18"/>
          <w:szCs w:val="18"/>
        </w:rPr>
        <w:t>出版社，2024.</w:t>
      </w:r>
    </w:p>
    <w:p w14:paraId="3F45C34B">
      <w:pPr>
        <w:spacing w:before="167" w:line="219" w:lineRule="auto"/>
        <w:ind w:left="89"/>
        <w:rPr>
          <w:rFonts w:ascii="宋体" w:hAnsi="宋体" w:eastAsia="宋体" w:cs="宋体"/>
          <w:sz w:val="18"/>
          <w:szCs w:val="18"/>
        </w:rPr>
      </w:pPr>
      <w:r>
        <w:rPr>
          <w:rFonts w:ascii="宋体" w:hAnsi="宋体" w:eastAsia="宋体" w:cs="宋体"/>
          <w:spacing w:val="8"/>
          <w:sz w:val="18"/>
          <w:szCs w:val="18"/>
        </w:rPr>
        <w:t>[7]汪诚信.有害生物治理.北京：化学工业出版社，2005.</w:t>
      </w:r>
    </w:p>
    <w:p w14:paraId="29EA0E4A">
      <w:pPr>
        <w:spacing w:before="136" w:line="219" w:lineRule="auto"/>
        <w:ind w:left="89"/>
        <w:rPr>
          <w:rFonts w:ascii="宋体" w:hAnsi="宋体" w:eastAsia="宋体" w:cs="宋体"/>
          <w:sz w:val="18"/>
          <w:szCs w:val="18"/>
        </w:rPr>
      </w:pPr>
      <w:r>
        <w:rPr>
          <w:rFonts w:ascii="宋体" w:hAnsi="宋体" w:eastAsia="宋体" w:cs="宋体"/>
          <w:spacing w:val="3"/>
          <w:sz w:val="18"/>
          <w:szCs w:val="18"/>
        </w:rPr>
        <w:t>[8]张流波，徐燕.现代消毒学进展：第二卷.北京：人民卫生出版社，2017.</w:t>
      </w:r>
    </w:p>
    <w:p w14:paraId="370A10B4">
      <w:pPr>
        <w:spacing w:before="176" w:line="219" w:lineRule="auto"/>
        <w:ind w:left="89"/>
        <w:rPr>
          <w:rFonts w:ascii="宋体" w:hAnsi="宋体" w:eastAsia="宋体" w:cs="宋体"/>
          <w:sz w:val="18"/>
          <w:szCs w:val="18"/>
        </w:rPr>
      </w:pPr>
      <w:r>
        <w:rPr>
          <w:rFonts w:ascii="宋体" w:hAnsi="宋体" w:eastAsia="宋体" w:cs="宋体"/>
          <w:spacing w:val="7"/>
          <w:sz w:val="18"/>
          <w:szCs w:val="18"/>
        </w:rPr>
        <w:t>[9]孙殿军.地方病学.2版，北京：人民</w:t>
      </w:r>
      <w:r>
        <w:rPr>
          <w:rFonts w:ascii="宋体" w:hAnsi="宋体" w:eastAsia="宋体" w:cs="宋体"/>
          <w:spacing w:val="7"/>
          <w:sz w:val="18"/>
          <w:szCs w:val="18"/>
          <w:u w:val="single" w:color="auto"/>
        </w:rPr>
        <w:t>卫生</w:t>
      </w:r>
      <w:r>
        <w:rPr>
          <w:rFonts w:ascii="宋体" w:hAnsi="宋体" w:eastAsia="宋体" w:cs="宋体"/>
          <w:spacing w:val="7"/>
          <w:sz w:val="18"/>
          <w:szCs w:val="18"/>
        </w:rPr>
        <w:t>出版社，2023.</w:t>
      </w:r>
    </w:p>
    <w:p w14:paraId="018CDF4C">
      <w:pPr>
        <w:spacing w:before="174" w:line="192" w:lineRule="auto"/>
        <w:ind w:left="90"/>
        <w:rPr>
          <w:rFonts w:ascii="Times New Roman" w:hAnsi="Times New Roman" w:eastAsia="Times New Roman" w:cs="Times New Roman"/>
          <w:sz w:val="18"/>
          <w:szCs w:val="18"/>
        </w:rPr>
      </w:pPr>
      <w:r>
        <w:rPr>
          <w:rFonts w:ascii="Times New Roman" w:hAnsi="Times New Roman" w:eastAsia="Times New Roman" w:cs="Times New Roman"/>
          <w:sz w:val="18"/>
          <w:szCs w:val="18"/>
        </w:rPr>
        <w:t>[10]CELENTANO     DD,SZKLOM,FARAGY.Gordis     epidemiology.7th     ed.Amsterdam:Elsevier,2024.</w:t>
      </w:r>
    </w:p>
    <w:p w14:paraId="6D8685CF">
      <w:pPr>
        <w:spacing w:before="213" w:line="251" w:lineRule="auto"/>
        <w:ind w:left="579" w:right="19" w:hanging="490"/>
        <w:rPr>
          <w:rFonts w:ascii="Times New Roman" w:hAnsi="Times New Roman" w:eastAsia="Times New Roman" w:cs="Times New Roman"/>
          <w:sz w:val="16"/>
          <w:szCs w:val="16"/>
        </w:rPr>
      </w:pPr>
      <w:r>
        <w:rPr>
          <w:rFonts w:ascii="Times New Roman" w:hAnsi="Times New Roman" w:eastAsia="Times New Roman" w:cs="Times New Roman"/>
          <w:sz w:val="16"/>
          <w:szCs w:val="16"/>
        </w:rPr>
        <w:t xml:space="preserve">[11]ROTHMANKJ,HUYBRECHTS         KF,MURRAY          EJ.Epidemiology:an          introduction.3rd          ed.Oxford:Oxford         </w:t>
      </w:r>
      <w:r>
        <w:rPr>
          <w:rFonts w:ascii="Times New Roman" w:hAnsi="Times New Roman" w:eastAsia="Times New Roman" w:cs="Times New Roman"/>
          <w:spacing w:val="-1"/>
          <w:sz w:val="16"/>
          <w:szCs w:val="16"/>
        </w:rPr>
        <w:t>University</w:t>
      </w:r>
      <w:r>
        <w:rPr>
          <w:rFonts w:ascii="Times New Roman" w:hAnsi="Times New Roman" w:eastAsia="Times New Roman" w:cs="Times New Roman"/>
          <w:sz w:val="16"/>
          <w:szCs w:val="16"/>
        </w:rPr>
        <w:t xml:space="preserve"> Press</w:t>
      </w:r>
      <w:r>
        <w:rPr>
          <w:rFonts w:ascii="Times New Roman" w:hAnsi="Times New Roman" w:eastAsia="Times New Roman" w:cs="Times New Roman"/>
          <w:spacing w:val="1"/>
          <w:sz w:val="16"/>
          <w:szCs w:val="16"/>
        </w:rPr>
        <w:t>,2024.</w:t>
      </w:r>
    </w:p>
    <w:p w14:paraId="72C815DF">
      <w:pPr>
        <w:spacing w:before="187" w:line="237" w:lineRule="auto"/>
        <w:ind w:left="579" w:right="19" w:hanging="490"/>
        <w:rPr>
          <w:rFonts w:ascii="Times New Roman" w:hAnsi="Times New Roman" w:eastAsia="Times New Roman" w:cs="Times New Roman"/>
          <w:sz w:val="17"/>
          <w:szCs w:val="17"/>
        </w:rPr>
      </w:pPr>
      <w:r>
        <w:rPr>
          <w:rFonts w:ascii="Times New Roman" w:hAnsi="Times New Roman" w:eastAsia="Times New Roman" w:cs="Times New Roman"/>
          <w:sz w:val="17"/>
          <w:szCs w:val="17"/>
        </w:rPr>
        <w:t>[12]LASH      TL,VANDERWEELE      TJ,HANEUSE       S,et      al.Modern      epid</w:t>
      </w:r>
      <w:r>
        <w:rPr>
          <w:rFonts w:ascii="Times New Roman" w:hAnsi="Times New Roman" w:eastAsia="Times New Roman" w:cs="Times New Roman"/>
          <w:spacing w:val="-1"/>
          <w:sz w:val="17"/>
          <w:szCs w:val="17"/>
        </w:rPr>
        <w:t>emiology.4th       ed.Philadelphia:Wolters      Kluwer</w:t>
      </w:r>
      <w:r>
        <w:rPr>
          <w:rFonts w:ascii="Times New Roman" w:hAnsi="Times New Roman" w:eastAsia="Times New Roman" w:cs="Times New Roman"/>
          <w:sz w:val="17"/>
          <w:szCs w:val="17"/>
        </w:rPr>
        <w:t xml:space="preserve"> (LWW),2021.</w:t>
      </w:r>
    </w:p>
    <w:p w14:paraId="525129C3">
      <w:pPr>
        <w:spacing w:before="214" w:line="192" w:lineRule="auto"/>
        <w:ind w:left="90"/>
        <w:rPr>
          <w:rFonts w:ascii="Times New Roman" w:hAnsi="Times New Roman" w:eastAsia="Times New Roman" w:cs="Times New Roman"/>
          <w:sz w:val="18"/>
          <w:szCs w:val="18"/>
        </w:rPr>
      </w:pPr>
      <w:r>
        <w:rPr>
          <w:rFonts w:ascii="Times New Roman" w:hAnsi="Times New Roman" w:eastAsia="Times New Roman" w:cs="Times New Roman"/>
          <w:sz w:val="18"/>
          <w:szCs w:val="18"/>
        </w:rPr>
        <w:t>[13]AHRENS     W,PIGEOTI.Handbook     ofepidemiology.2nd      ed.Berlin</w:t>
      </w:r>
      <w:r>
        <w:rPr>
          <w:rFonts w:ascii="Times New Roman" w:hAnsi="Times New Roman" w:eastAsia="Times New Roman" w:cs="Times New Roman"/>
          <w:spacing w:val="-1"/>
          <w:sz w:val="18"/>
          <w:szCs w:val="18"/>
        </w:rPr>
        <w:t>:Springer,2014.</w:t>
      </w:r>
    </w:p>
    <w:p w14:paraId="1F0962B4">
      <w:pPr>
        <w:spacing w:before="204" w:line="192" w:lineRule="auto"/>
        <w:ind w:left="90"/>
        <w:rPr>
          <w:rFonts w:ascii="Times New Roman" w:hAnsi="Times New Roman" w:eastAsia="Times New Roman" w:cs="Times New Roman"/>
          <w:sz w:val="18"/>
          <w:szCs w:val="18"/>
        </w:rPr>
      </w:pPr>
      <w:r>
        <w:rPr>
          <w:rFonts w:ascii="Times New Roman" w:hAnsi="Times New Roman" w:eastAsia="Times New Roman" w:cs="Times New Roman"/>
          <w:sz w:val="18"/>
          <w:szCs w:val="18"/>
        </w:rPr>
        <w:t>[14]DETELSR,KARIMQA,BAUMF,et</w:t>
      </w:r>
      <w:r>
        <w:rPr>
          <w:rFonts w:ascii="Times New Roman" w:hAnsi="Times New Roman" w:eastAsia="Times New Roman" w:cs="Times New Roman"/>
          <w:spacing w:val="18"/>
          <w:w w:val="101"/>
          <w:sz w:val="18"/>
          <w:szCs w:val="18"/>
        </w:rPr>
        <w:t xml:space="preserve">  </w:t>
      </w:r>
      <w:r>
        <w:rPr>
          <w:rFonts w:ascii="Times New Roman" w:hAnsi="Times New Roman" w:eastAsia="Times New Roman" w:cs="Times New Roman"/>
          <w:sz w:val="18"/>
          <w:szCs w:val="18"/>
        </w:rPr>
        <w:t>al.Oxford</w:t>
      </w:r>
      <w:r>
        <w:rPr>
          <w:rFonts w:ascii="Times New Roman" w:hAnsi="Times New Roman" w:eastAsia="Times New Roman" w:cs="Times New Roman"/>
          <w:spacing w:val="16"/>
          <w:w w:val="102"/>
          <w:sz w:val="18"/>
          <w:szCs w:val="18"/>
        </w:rPr>
        <w:t xml:space="preserve">  </w:t>
      </w:r>
      <w:r>
        <w:rPr>
          <w:rFonts w:ascii="Times New Roman" w:hAnsi="Times New Roman" w:eastAsia="Times New Roman" w:cs="Times New Roman"/>
          <w:sz w:val="18"/>
          <w:szCs w:val="18"/>
        </w:rPr>
        <w:t>textbook</w:t>
      </w:r>
      <w:r>
        <w:rPr>
          <w:rFonts w:ascii="Times New Roman" w:hAnsi="Times New Roman" w:eastAsia="Times New Roman" w:cs="Times New Roman"/>
          <w:spacing w:val="18"/>
          <w:sz w:val="18"/>
          <w:szCs w:val="18"/>
        </w:rPr>
        <w:t xml:space="preserve">  </w:t>
      </w:r>
      <w:r>
        <w:rPr>
          <w:rFonts w:ascii="Times New Roman" w:hAnsi="Times New Roman" w:eastAsia="Times New Roman" w:cs="Times New Roman"/>
          <w:sz w:val="18"/>
          <w:szCs w:val="18"/>
        </w:rPr>
        <w:t>of  global   public</w:t>
      </w:r>
      <w:r>
        <w:rPr>
          <w:rFonts w:ascii="Times New Roman" w:hAnsi="Times New Roman" w:eastAsia="Times New Roman" w:cs="Times New Roman"/>
          <w:spacing w:val="16"/>
          <w:w w:val="101"/>
          <w:sz w:val="18"/>
          <w:szCs w:val="18"/>
        </w:rPr>
        <w:t xml:space="preserve">  </w:t>
      </w:r>
      <w:r>
        <w:rPr>
          <w:rFonts w:ascii="Times New Roman" w:hAnsi="Times New Roman" w:eastAsia="Times New Roman" w:cs="Times New Roman"/>
          <w:sz w:val="18"/>
          <w:szCs w:val="18"/>
        </w:rPr>
        <w:t>health.7th</w:t>
      </w:r>
      <w:r>
        <w:rPr>
          <w:rFonts w:ascii="Times New Roman" w:hAnsi="Times New Roman" w:eastAsia="Times New Roman" w:cs="Times New Roman"/>
          <w:spacing w:val="19"/>
          <w:w w:val="101"/>
          <w:sz w:val="18"/>
          <w:szCs w:val="18"/>
        </w:rPr>
        <w:t xml:space="preserve">  </w:t>
      </w:r>
      <w:r>
        <w:rPr>
          <w:rFonts w:ascii="Times New Roman" w:hAnsi="Times New Roman" w:eastAsia="Times New Roman" w:cs="Times New Roman"/>
          <w:sz w:val="18"/>
          <w:szCs w:val="18"/>
        </w:rPr>
        <w:t>ed.Oxford</w:t>
      </w:r>
      <w:r>
        <w:rPr>
          <w:rFonts w:ascii="Times New Roman" w:hAnsi="Times New Roman" w:eastAsia="Times New Roman" w:cs="Times New Roman"/>
          <w:spacing w:val="-1"/>
          <w:sz w:val="18"/>
          <w:szCs w:val="18"/>
        </w:rPr>
        <w:t>:OUP</w:t>
      </w:r>
      <w:r>
        <w:rPr>
          <w:rFonts w:ascii="Times New Roman" w:hAnsi="Times New Roman" w:eastAsia="Times New Roman" w:cs="Times New Roman"/>
          <w:spacing w:val="19"/>
          <w:sz w:val="18"/>
          <w:szCs w:val="18"/>
        </w:rPr>
        <w:t xml:space="preserve">  </w:t>
      </w:r>
      <w:r>
        <w:rPr>
          <w:rFonts w:ascii="Times New Roman" w:hAnsi="Times New Roman" w:eastAsia="Times New Roman" w:cs="Times New Roman"/>
          <w:spacing w:val="-1"/>
          <w:sz w:val="18"/>
          <w:szCs w:val="18"/>
        </w:rPr>
        <w:t>Oxford,2021.</w:t>
      </w:r>
    </w:p>
    <w:p w14:paraId="3274C8B4">
      <w:pPr>
        <w:spacing w:before="135" w:line="270" w:lineRule="auto"/>
        <w:ind w:left="580" w:right="15" w:hanging="490"/>
        <w:rPr>
          <w:rFonts w:ascii="Times New Roman" w:hAnsi="Times New Roman" w:eastAsia="Times New Roman" w:cs="Times New Roman"/>
          <w:sz w:val="18"/>
          <w:szCs w:val="18"/>
        </w:rPr>
      </w:pPr>
      <w:r>
        <w:rPr>
          <w:rFonts w:ascii="Times New Roman" w:hAnsi="Times New Roman" w:eastAsia="Times New Roman" w:cs="Times New Roman"/>
          <w:sz w:val="18"/>
          <w:szCs w:val="18"/>
        </w:rPr>
        <w:t>[15]World  Health  Organization.Screening  programmes;a  short  guide.Increase</w:t>
      </w:r>
      <w:r>
        <w:rPr>
          <w:rFonts w:ascii="Times New Roman" w:hAnsi="Times New Roman" w:eastAsia="Times New Roman" w:cs="Times New Roman"/>
          <w:spacing w:val="4"/>
          <w:sz w:val="18"/>
          <w:szCs w:val="18"/>
        </w:rPr>
        <w:t xml:space="preserve">  </w:t>
      </w:r>
      <w:r>
        <w:rPr>
          <w:rFonts w:ascii="Times New Roman" w:hAnsi="Times New Roman" w:eastAsia="Times New Roman" w:cs="Times New Roman"/>
          <w:sz w:val="18"/>
          <w:szCs w:val="18"/>
        </w:rPr>
        <w:t>effectiveness,maximize</w:t>
      </w:r>
      <w:r>
        <w:rPr>
          <w:rFonts w:ascii="Times New Roman" w:hAnsi="Times New Roman" w:eastAsia="Times New Roman" w:cs="Times New Roman"/>
          <w:spacing w:val="-1"/>
          <w:sz w:val="18"/>
          <w:szCs w:val="18"/>
        </w:rPr>
        <w:t xml:space="preserve">  benefits</w:t>
      </w:r>
      <w:r>
        <w:rPr>
          <w:rFonts w:ascii="Times New Roman" w:hAnsi="Times New Roman" w:eastAsia="Times New Roman" w:cs="Times New Roman"/>
          <w:spacing w:val="5"/>
          <w:sz w:val="18"/>
          <w:szCs w:val="18"/>
        </w:rPr>
        <w:t xml:space="preserve">  </w:t>
      </w:r>
      <w:r>
        <w:rPr>
          <w:rFonts w:ascii="Times New Roman" w:hAnsi="Times New Roman" w:eastAsia="Times New Roman" w:cs="Times New Roman"/>
          <w:spacing w:val="-1"/>
          <w:sz w:val="18"/>
          <w:szCs w:val="18"/>
        </w:rPr>
        <w:t>and</w:t>
      </w:r>
      <w:r>
        <w:rPr>
          <w:rFonts w:ascii="Times New Roman" w:hAnsi="Times New Roman" w:eastAsia="Times New Roman" w:cs="Times New Roman"/>
          <w:spacing w:val="2"/>
          <w:sz w:val="18"/>
          <w:szCs w:val="18"/>
        </w:rPr>
        <w:t xml:space="preserve">  </w:t>
      </w:r>
      <w:r>
        <w:rPr>
          <w:rFonts w:ascii="Times New Roman" w:hAnsi="Times New Roman" w:eastAsia="Times New Roman" w:cs="Times New Roman"/>
          <w:spacing w:val="-1"/>
          <w:sz w:val="18"/>
          <w:szCs w:val="18"/>
        </w:rPr>
        <w:t>minimize</w:t>
      </w:r>
      <w:r>
        <w:rPr>
          <w:rFonts w:ascii="Times New Roman" w:hAnsi="Times New Roman" w:eastAsia="Times New Roman" w:cs="Times New Roman"/>
          <w:spacing w:val="1"/>
          <w:sz w:val="18"/>
          <w:szCs w:val="18"/>
        </w:rPr>
        <w:t xml:space="preserve"> </w:t>
      </w:r>
      <w:r>
        <w:rPr>
          <w:rFonts w:ascii="Times New Roman" w:hAnsi="Times New Roman" w:eastAsia="Times New Roman" w:cs="Times New Roman"/>
          <w:sz w:val="18"/>
          <w:szCs w:val="18"/>
        </w:rPr>
        <w:t>harm.(2020-2-6)[2024-11-23].</w:t>
      </w:r>
      <w:r>
        <w:fldChar w:fldCharType="begin"/>
      </w:r>
      <w:r>
        <w:instrText xml:space="preserve"> HYPERLINK "https://www.who.int/europe/publicationslilitem/9789289054782." </w:instrText>
      </w:r>
      <w:r>
        <w:fldChar w:fldCharType="separate"/>
      </w:r>
      <w:r>
        <w:rPr>
          <w:rFonts w:ascii="Times New Roman" w:hAnsi="Times New Roman" w:eastAsia="Times New Roman" w:cs="Times New Roman"/>
          <w:sz w:val="18"/>
          <w:szCs w:val="18"/>
        </w:rPr>
        <w:t>https://www.who.int/europe/publicationslilitem/9789289</w:t>
      </w:r>
      <w:r>
        <w:rPr>
          <w:rFonts w:ascii="Times New Roman" w:hAnsi="Times New Roman" w:eastAsia="Times New Roman" w:cs="Times New Roman"/>
          <w:spacing w:val="-1"/>
          <w:sz w:val="18"/>
          <w:szCs w:val="18"/>
        </w:rPr>
        <w:t>054782.</w:t>
      </w:r>
      <w:r>
        <w:rPr>
          <w:rFonts w:ascii="Times New Roman" w:hAnsi="Times New Roman" w:eastAsia="Times New Roman" w:cs="Times New Roman"/>
          <w:spacing w:val="-1"/>
          <w:sz w:val="18"/>
          <w:szCs w:val="18"/>
        </w:rPr>
        <w:fldChar w:fldCharType="end"/>
      </w:r>
    </w:p>
    <w:p w14:paraId="2CD6828F">
      <w:pPr>
        <w:spacing w:before="204" w:line="241" w:lineRule="auto"/>
        <w:ind w:left="580" w:hanging="490"/>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w:t>
      </w:r>
      <w:r>
        <w:rPr>
          <w:rFonts w:ascii="Times New Roman" w:hAnsi="Times New Roman" w:eastAsia="Times New Roman" w:cs="Times New Roman"/>
          <w:sz w:val="18"/>
          <w:szCs w:val="18"/>
        </w:rPr>
        <w:t>16]NELSON</w:t>
      </w:r>
      <w:r>
        <w:rPr>
          <w:rFonts w:ascii="Times New Roman" w:hAnsi="Times New Roman" w:eastAsia="Times New Roman" w:cs="Times New Roman"/>
          <w:spacing w:val="20"/>
          <w:sz w:val="18"/>
          <w:szCs w:val="18"/>
        </w:rPr>
        <w:t xml:space="preserve">  </w:t>
      </w:r>
      <w:r>
        <w:rPr>
          <w:rFonts w:ascii="Times New Roman" w:hAnsi="Times New Roman" w:eastAsia="Times New Roman" w:cs="Times New Roman"/>
          <w:sz w:val="18"/>
          <w:szCs w:val="18"/>
        </w:rPr>
        <w:t>K</w:t>
      </w:r>
      <w:r>
        <w:rPr>
          <w:rFonts w:ascii="Times New Roman" w:hAnsi="Times New Roman" w:eastAsia="Times New Roman" w:cs="Times New Roman"/>
          <w:spacing w:val="19"/>
          <w:w w:val="101"/>
          <w:sz w:val="18"/>
          <w:szCs w:val="18"/>
        </w:rPr>
        <w:t xml:space="preserve">  </w:t>
      </w:r>
      <w:r>
        <w:rPr>
          <w:rFonts w:ascii="Times New Roman" w:hAnsi="Times New Roman" w:eastAsia="Times New Roman" w:cs="Times New Roman"/>
          <w:sz w:val="18"/>
          <w:szCs w:val="18"/>
        </w:rPr>
        <w:t>E,WILLIAMS</w:t>
      </w:r>
      <w:r>
        <w:rPr>
          <w:rFonts w:ascii="Times New Roman" w:hAnsi="Times New Roman" w:eastAsia="Times New Roman" w:cs="Times New Roman"/>
          <w:spacing w:val="22"/>
          <w:sz w:val="18"/>
          <w:szCs w:val="18"/>
        </w:rPr>
        <w:t xml:space="preserve">  </w:t>
      </w:r>
      <w:r>
        <w:rPr>
          <w:rFonts w:ascii="Times New Roman" w:hAnsi="Times New Roman" w:eastAsia="Times New Roman" w:cs="Times New Roman"/>
          <w:sz w:val="18"/>
          <w:szCs w:val="18"/>
        </w:rPr>
        <w:t>C.Infectious</w:t>
      </w:r>
      <w:r>
        <w:rPr>
          <w:rFonts w:ascii="Times New Roman" w:hAnsi="Times New Roman" w:eastAsia="Times New Roman" w:cs="Times New Roman"/>
          <w:spacing w:val="21"/>
          <w:w w:val="101"/>
          <w:sz w:val="18"/>
          <w:szCs w:val="18"/>
        </w:rPr>
        <w:t xml:space="preserve">  </w:t>
      </w:r>
      <w:r>
        <w:rPr>
          <w:rFonts w:ascii="Times New Roman" w:hAnsi="Times New Roman" w:eastAsia="Times New Roman" w:cs="Times New Roman"/>
          <w:sz w:val="18"/>
          <w:szCs w:val="18"/>
        </w:rPr>
        <w:t>di</w:t>
      </w:r>
      <w:r>
        <w:rPr>
          <w:rFonts w:ascii="Times New Roman" w:hAnsi="Times New Roman" w:eastAsia="Times New Roman" w:cs="Times New Roman"/>
          <w:spacing w:val="-1"/>
          <w:sz w:val="18"/>
          <w:szCs w:val="18"/>
        </w:rPr>
        <w:t>sease</w:t>
      </w:r>
      <w:r>
        <w:rPr>
          <w:rFonts w:ascii="Times New Roman" w:hAnsi="Times New Roman" w:eastAsia="Times New Roman" w:cs="Times New Roman"/>
          <w:spacing w:val="22"/>
          <w:sz w:val="18"/>
          <w:szCs w:val="18"/>
        </w:rPr>
        <w:t xml:space="preserve">  </w:t>
      </w:r>
      <w:r>
        <w:rPr>
          <w:rFonts w:ascii="Times New Roman" w:hAnsi="Times New Roman" w:eastAsia="Times New Roman" w:cs="Times New Roman"/>
          <w:spacing w:val="-1"/>
          <w:sz w:val="18"/>
          <w:szCs w:val="18"/>
        </w:rPr>
        <w:t>epidemiology:theory</w:t>
      </w:r>
      <w:r>
        <w:rPr>
          <w:rFonts w:ascii="Times New Roman" w:hAnsi="Times New Roman" w:eastAsia="Times New Roman" w:cs="Times New Roman"/>
          <w:spacing w:val="21"/>
          <w:w w:val="101"/>
          <w:sz w:val="18"/>
          <w:szCs w:val="18"/>
        </w:rPr>
        <w:t xml:space="preserve">  </w:t>
      </w:r>
      <w:r>
        <w:rPr>
          <w:rFonts w:ascii="Times New Roman" w:hAnsi="Times New Roman" w:eastAsia="Times New Roman" w:cs="Times New Roman"/>
          <w:spacing w:val="-1"/>
          <w:sz w:val="18"/>
          <w:szCs w:val="18"/>
        </w:rPr>
        <w:t>and</w:t>
      </w:r>
      <w:r>
        <w:rPr>
          <w:rFonts w:ascii="Times New Roman" w:hAnsi="Times New Roman" w:eastAsia="Times New Roman" w:cs="Times New Roman"/>
          <w:spacing w:val="18"/>
          <w:w w:val="101"/>
          <w:sz w:val="18"/>
          <w:szCs w:val="18"/>
        </w:rPr>
        <w:t xml:space="preserve">  </w:t>
      </w:r>
      <w:r>
        <w:rPr>
          <w:rFonts w:ascii="Times New Roman" w:hAnsi="Times New Roman" w:eastAsia="Times New Roman" w:cs="Times New Roman"/>
          <w:spacing w:val="-1"/>
          <w:sz w:val="18"/>
          <w:szCs w:val="18"/>
        </w:rPr>
        <w:t>practice.3rd</w:t>
      </w:r>
      <w:r>
        <w:rPr>
          <w:rFonts w:ascii="Times New Roman" w:hAnsi="Times New Roman" w:eastAsia="Times New Roman" w:cs="Times New Roman"/>
          <w:spacing w:val="21"/>
          <w:w w:val="101"/>
          <w:sz w:val="18"/>
          <w:szCs w:val="18"/>
        </w:rPr>
        <w:t xml:space="preserve">  </w:t>
      </w:r>
      <w:r>
        <w:rPr>
          <w:rFonts w:ascii="Times New Roman" w:hAnsi="Times New Roman" w:eastAsia="Times New Roman" w:cs="Times New Roman"/>
          <w:spacing w:val="-1"/>
          <w:sz w:val="18"/>
          <w:szCs w:val="18"/>
        </w:rPr>
        <w:t>ed.Burlington:Jones</w:t>
      </w:r>
      <w:r>
        <w:rPr>
          <w:rFonts w:ascii="Times New Roman" w:hAnsi="Times New Roman" w:eastAsia="Times New Roman" w:cs="Times New Roman"/>
          <w:spacing w:val="22"/>
          <w:sz w:val="18"/>
          <w:szCs w:val="18"/>
        </w:rPr>
        <w:t xml:space="preserve">  </w:t>
      </w:r>
      <w:r>
        <w:rPr>
          <w:rFonts w:ascii="Times New Roman" w:hAnsi="Times New Roman" w:eastAsia="Times New Roman" w:cs="Times New Roman"/>
          <w:spacing w:val="-1"/>
          <w:sz w:val="18"/>
          <w:szCs w:val="18"/>
        </w:rPr>
        <w:t>&amp;Bartle</w:t>
      </w:r>
      <w:r>
        <w:rPr>
          <w:rFonts w:ascii="Times New Roman" w:hAnsi="Times New Roman" w:eastAsia="Times New Roman" w:cs="Times New Roman"/>
          <w:sz w:val="18"/>
          <w:szCs w:val="18"/>
        </w:rPr>
        <w:t>t Learning</w:t>
      </w:r>
      <w:r>
        <w:rPr>
          <w:rFonts w:ascii="Times New Roman" w:hAnsi="Times New Roman" w:eastAsia="Times New Roman" w:cs="Times New Roman"/>
          <w:spacing w:val="1"/>
          <w:sz w:val="18"/>
          <w:szCs w:val="18"/>
        </w:rPr>
        <w:t>,2020.</w:t>
      </w:r>
    </w:p>
    <w:p w14:paraId="500FD963">
      <w:pPr>
        <w:spacing w:before="163" w:line="267" w:lineRule="auto"/>
        <w:ind w:left="579" w:right="11" w:hanging="490"/>
        <w:rPr>
          <w:rFonts w:ascii="Times New Roman" w:hAnsi="Times New Roman" w:eastAsia="Times New Roman" w:cs="Times New Roman"/>
          <w:sz w:val="16"/>
          <w:szCs w:val="16"/>
        </w:rPr>
      </w:pPr>
      <w:r>
        <w:rPr>
          <w:rFonts w:ascii="Times New Roman" w:hAnsi="Times New Roman" w:eastAsia="Times New Roman" w:cs="Times New Roman"/>
          <w:sz w:val="16"/>
          <w:szCs w:val="16"/>
        </w:rPr>
        <w:t xml:space="preserve">[17]HEYMANN    D     L.Control     of     communicable     diseases     manual.21st     ed.Washington:American  </w:t>
      </w:r>
      <w:r>
        <w:rPr>
          <w:rFonts w:ascii="Times New Roman" w:hAnsi="Times New Roman" w:eastAsia="Times New Roman" w:cs="Times New Roman"/>
          <w:spacing w:val="-1"/>
          <w:sz w:val="16"/>
          <w:szCs w:val="16"/>
        </w:rPr>
        <w:t xml:space="preserve">   Public     Health     Association,</w:t>
      </w:r>
      <w:r>
        <w:rPr>
          <w:rFonts w:ascii="Times New Roman" w:hAnsi="Times New Roman" w:eastAsia="Times New Roman" w:cs="Times New Roman"/>
          <w:sz w:val="16"/>
          <w:szCs w:val="16"/>
        </w:rPr>
        <w:t xml:space="preserve"> </w:t>
      </w:r>
      <w:r>
        <w:rPr>
          <w:rFonts w:ascii="Times New Roman" w:hAnsi="Times New Roman" w:eastAsia="Times New Roman" w:cs="Times New Roman"/>
          <w:spacing w:val="-1"/>
          <w:sz w:val="16"/>
          <w:szCs w:val="16"/>
        </w:rPr>
        <w:t>2022.</w:t>
      </w:r>
    </w:p>
    <w:p w14:paraId="3B20145F">
      <w:pPr>
        <w:spacing w:before="175" w:line="192" w:lineRule="auto"/>
        <w:ind w:left="90"/>
        <w:rPr>
          <w:rFonts w:ascii="Times New Roman" w:hAnsi="Times New Roman" w:eastAsia="Times New Roman" w:cs="Times New Roman"/>
          <w:sz w:val="18"/>
          <w:szCs w:val="18"/>
        </w:rPr>
      </w:pPr>
      <w:r>
        <w:rPr>
          <w:rFonts w:ascii="Times New Roman" w:hAnsi="Times New Roman" w:eastAsia="Times New Roman" w:cs="Times New Roman"/>
          <w:sz w:val="18"/>
          <w:szCs w:val="18"/>
        </w:rPr>
        <w:t>[18]ORENSTEIN    WA,OFFITPA,EDWARDS    KM,et     al.Plotkin's    vaccines.8th     ed.Amsterdam:Elsevie</w:t>
      </w:r>
      <w:r>
        <w:rPr>
          <w:rFonts w:ascii="Times New Roman" w:hAnsi="Times New Roman" w:eastAsia="Times New Roman" w:cs="Times New Roman"/>
          <w:spacing w:val="-1"/>
          <w:sz w:val="18"/>
          <w:szCs w:val="18"/>
        </w:rPr>
        <w:t>r,2023.</w:t>
      </w:r>
    </w:p>
    <w:p w14:paraId="7A2F2337">
      <w:pPr>
        <w:spacing w:before="152" w:line="281" w:lineRule="auto"/>
        <w:ind w:left="580" w:right="7" w:hanging="490"/>
        <w:rPr>
          <w:rFonts w:ascii="Times New Roman" w:hAnsi="Times New Roman" w:eastAsia="Times New Roman" w:cs="Times New Roman"/>
          <w:sz w:val="18"/>
          <w:szCs w:val="18"/>
        </w:rPr>
      </w:pPr>
      <w:r>
        <w:rPr>
          <w:rFonts w:ascii="Times New Roman" w:hAnsi="Times New Roman" w:eastAsia="Times New Roman" w:cs="Times New Roman"/>
          <w:sz w:val="18"/>
          <w:szCs w:val="18"/>
        </w:rPr>
        <w:t>[19]NOLAN    M    B,WEGNER    MV,REMINGTON     PL.Chronic    disease     epidemiology,prev</w:t>
      </w:r>
      <w:r>
        <w:rPr>
          <w:rFonts w:ascii="Times New Roman" w:hAnsi="Times New Roman" w:eastAsia="Times New Roman" w:cs="Times New Roman"/>
          <w:spacing w:val="-1"/>
          <w:sz w:val="18"/>
          <w:szCs w:val="18"/>
        </w:rPr>
        <w:t>ention,and    control.5th    ed.</w:t>
      </w:r>
      <w:r>
        <w:rPr>
          <w:rFonts w:ascii="Times New Roman" w:hAnsi="Times New Roman" w:eastAsia="Times New Roman" w:cs="Times New Roman"/>
          <w:sz w:val="18"/>
          <w:szCs w:val="18"/>
        </w:rPr>
        <w:t xml:space="preserve"> Washington;American</w:t>
      </w:r>
      <w:r>
        <w:rPr>
          <w:rFonts w:ascii="Times New Roman" w:hAnsi="Times New Roman" w:eastAsia="Times New Roman" w:cs="Times New Roman"/>
          <w:spacing w:val="44"/>
          <w:w w:val="101"/>
          <w:sz w:val="18"/>
          <w:szCs w:val="18"/>
        </w:rPr>
        <w:t xml:space="preserve"> </w:t>
      </w:r>
      <w:r>
        <w:rPr>
          <w:rFonts w:ascii="Times New Roman" w:hAnsi="Times New Roman" w:eastAsia="Times New Roman" w:cs="Times New Roman"/>
          <w:sz w:val="18"/>
          <w:szCs w:val="18"/>
        </w:rPr>
        <w:t>Public</w:t>
      </w:r>
      <w:r>
        <w:rPr>
          <w:rFonts w:ascii="Times New Roman" w:hAnsi="Times New Roman" w:eastAsia="Times New Roman" w:cs="Times New Roman"/>
          <w:spacing w:val="44"/>
          <w:w w:val="102"/>
          <w:sz w:val="18"/>
          <w:szCs w:val="18"/>
        </w:rPr>
        <w:t xml:space="preserve"> </w:t>
      </w:r>
      <w:r>
        <w:rPr>
          <w:rFonts w:ascii="Times New Roman" w:hAnsi="Times New Roman" w:eastAsia="Times New Roman" w:cs="Times New Roman"/>
          <w:sz w:val="18"/>
          <w:szCs w:val="18"/>
        </w:rPr>
        <w:t>Health</w:t>
      </w:r>
      <w:r>
        <w:rPr>
          <w:rFonts w:ascii="Times New Roman" w:hAnsi="Times New Roman" w:eastAsia="Times New Roman" w:cs="Times New Roman"/>
          <w:spacing w:val="43"/>
          <w:sz w:val="18"/>
          <w:szCs w:val="18"/>
        </w:rPr>
        <w:t xml:space="preserve"> </w:t>
      </w:r>
      <w:r>
        <w:rPr>
          <w:rFonts w:ascii="Times New Roman" w:hAnsi="Times New Roman" w:eastAsia="Times New Roman" w:cs="Times New Roman"/>
          <w:sz w:val="18"/>
          <w:szCs w:val="18"/>
        </w:rPr>
        <w:t>Association,202</w:t>
      </w:r>
      <w:r>
        <w:rPr>
          <w:rFonts w:ascii="Times New Roman" w:hAnsi="Times New Roman" w:eastAsia="Times New Roman" w:cs="Times New Roman"/>
          <w:spacing w:val="-1"/>
          <w:sz w:val="18"/>
          <w:szCs w:val="18"/>
        </w:rPr>
        <w:t>3.</w:t>
      </w:r>
    </w:p>
    <w:p w14:paraId="45DE69CA">
      <w:pPr>
        <w:spacing w:before="202" w:line="277" w:lineRule="auto"/>
        <w:ind w:left="579" w:right="12" w:hanging="490"/>
        <w:rPr>
          <w:rFonts w:ascii="Times New Roman" w:hAnsi="Times New Roman" w:eastAsia="Times New Roman" w:cs="Times New Roman"/>
          <w:sz w:val="15"/>
          <w:szCs w:val="15"/>
        </w:rPr>
      </w:pPr>
      <w:r>
        <w:rPr>
          <w:rFonts w:ascii="Times New Roman" w:hAnsi="Times New Roman" w:eastAsia="Times New Roman" w:cs="Times New Roman"/>
          <w:sz w:val="15"/>
          <w:szCs w:val="15"/>
        </w:rPr>
        <w:t>[20]GOMEZ-VERJANJC,RIVERO-SEGURAN         A.Principles          of          genetics         and          molecular          epidemiology.Amsterda</w:t>
      </w:r>
      <w:r>
        <w:rPr>
          <w:rFonts w:ascii="Times New Roman" w:hAnsi="Times New Roman" w:eastAsia="Times New Roman" w:cs="Times New Roman"/>
          <w:spacing w:val="-1"/>
          <w:sz w:val="15"/>
          <w:szCs w:val="15"/>
        </w:rPr>
        <w:t>m:Elsevier,</w:t>
      </w:r>
      <w:r>
        <w:rPr>
          <w:rFonts w:ascii="Times New Roman" w:hAnsi="Times New Roman" w:eastAsia="Times New Roman" w:cs="Times New Roman"/>
          <w:sz w:val="15"/>
          <w:szCs w:val="15"/>
        </w:rPr>
        <w:t xml:space="preserve"> </w:t>
      </w:r>
      <w:r>
        <w:rPr>
          <w:rFonts w:ascii="Times New Roman" w:hAnsi="Times New Roman" w:eastAsia="Times New Roman" w:cs="Times New Roman"/>
          <w:spacing w:val="-1"/>
          <w:sz w:val="15"/>
          <w:szCs w:val="15"/>
        </w:rPr>
        <w:t>2022.</w:t>
      </w:r>
    </w:p>
    <w:p w14:paraId="19D3416B">
      <w:pPr>
        <w:spacing w:line="277" w:lineRule="auto"/>
        <w:rPr>
          <w:rFonts w:ascii="Times New Roman" w:hAnsi="Times New Roman" w:eastAsia="Times New Roman" w:cs="Times New Roman"/>
          <w:sz w:val="15"/>
          <w:szCs w:val="15"/>
        </w:rPr>
        <w:sectPr>
          <w:footerReference r:id="rId388" w:type="default"/>
          <w:pgSz w:w="11900" w:h="16820"/>
          <w:pgMar w:top="400" w:right="1249" w:bottom="905" w:left="1149" w:header="0" w:footer="743" w:gutter="0"/>
          <w:cols w:space="720" w:num="1"/>
        </w:sectPr>
      </w:pPr>
    </w:p>
    <w:p w14:paraId="3319517B">
      <w:pPr>
        <w:spacing w:line="264" w:lineRule="auto"/>
        <w:rPr>
          <w:rFonts w:ascii="Arial"/>
          <w:sz w:val="21"/>
        </w:rPr>
      </w:pPr>
    </w:p>
    <w:p w14:paraId="35BD90F6">
      <w:pPr>
        <w:spacing w:line="265" w:lineRule="auto"/>
        <w:rPr>
          <w:rFonts w:ascii="Arial"/>
          <w:sz w:val="21"/>
        </w:rPr>
      </w:pPr>
    </w:p>
    <w:p w14:paraId="6A09BD76">
      <w:pPr>
        <w:spacing w:line="265" w:lineRule="auto"/>
        <w:rPr>
          <w:rFonts w:ascii="Arial"/>
          <w:sz w:val="21"/>
        </w:rPr>
      </w:pPr>
    </w:p>
    <w:p w14:paraId="10C5BA59">
      <w:pPr>
        <w:spacing w:line="265" w:lineRule="auto"/>
        <w:rPr>
          <w:rFonts w:ascii="Arial"/>
          <w:sz w:val="21"/>
        </w:rPr>
      </w:pPr>
    </w:p>
    <w:p w14:paraId="36471C8B">
      <w:pPr>
        <w:spacing w:line="265" w:lineRule="auto"/>
        <w:rPr>
          <w:rFonts w:ascii="Arial"/>
          <w:sz w:val="21"/>
        </w:rPr>
      </w:pPr>
    </w:p>
    <w:p w14:paraId="38E0F51A">
      <w:pPr>
        <w:spacing w:line="265" w:lineRule="auto"/>
        <w:rPr>
          <w:rFonts w:ascii="Arial"/>
          <w:sz w:val="21"/>
        </w:rPr>
      </w:pPr>
    </w:p>
    <w:p w14:paraId="27D4005F">
      <w:pPr>
        <w:pStyle w:val="2"/>
        <w:spacing w:before="139" w:line="222" w:lineRule="auto"/>
        <w:ind w:left="2866"/>
        <w:outlineLvl w:val="0"/>
        <w:rPr>
          <w:sz w:val="43"/>
          <w:szCs w:val="43"/>
        </w:rPr>
      </w:pPr>
      <w:bookmarkStart w:id="624" w:name="bookmark404"/>
      <w:bookmarkEnd w:id="624"/>
      <w:r>
        <w:rPr>
          <w:b/>
          <w:bCs/>
          <w:spacing w:val="6"/>
          <w:sz w:val="43"/>
          <w:szCs w:val="43"/>
        </w:rPr>
        <w:t>中英文名词对照索引</w:t>
      </w:r>
    </w:p>
    <w:p w14:paraId="5A7C07E2">
      <w:pPr>
        <w:spacing w:before="104" w:line="470" w:lineRule="exact"/>
      </w:pPr>
      <w:r>
        <w:rPr>
          <w:position w:val="-9"/>
        </w:rPr>
        <w:drawing>
          <wp:inline distT="0" distB="0" distL="0" distR="0">
            <wp:extent cx="361950" cy="297815"/>
            <wp:effectExtent l="0" t="0" r="0" b="0"/>
            <wp:docPr id="838" name="IM 838"/>
            <wp:cNvGraphicFramePr/>
            <a:graphic xmlns:a="http://schemas.openxmlformats.org/drawingml/2006/main">
              <a:graphicData uri="http://schemas.openxmlformats.org/drawingml/2006/picture">
                <pic:pic xmlns:pic="http://schemas.openxmlformats.org/drawingml/2006/picture">
                  <pic:nvPicPr>
                    <pic:cNvPr id="838" name="IM 838"/>
                    <pic:cNvPicPr/>
                  </pic:nvPicPr>
                  <pic:blipFill>
                    <a:blip r:embed="rId707"/>
                    <a:stretch>
                      <a:fillRect/>
                    </a:stretch>
                  </pic:blipFill>
                  <pic:spPr>
                    <a:xfrm>
                      <a:off x="0" y="0"/>
                      <a:ext cx="361956" cy="298418"/>
                    </a:xfrm>
                    <a:prstGeom prst="rect">
                      <a:avLst/>
                    </a:prstGeom>
                  </pic:spPr>
                </pic:pic>
              </a:graphicData>
            </a:graphic>
          </wp:inline>
        </w:drawing>
      </w:r>
    </w:p>
    <w:p w14:paraId="49CD31DD">
      <w:pPr>
        <w:spacing w:before="75"/>
      </w:pPr>
    </w:p>
    <w:p w14:paraId="406A2D86">
      <w:pPr>
        <w:spacing w:before="74"/>
      </w:pPr>
    </w:p>
    <w:p w14:paraId="0E9B0C82">
      <w:pPr>
        <w:spacing w:before="74"/>
      </w:pPr>
    </w:p>
    <w:p w14:paraId="328080B5">
      <w:pPr>
        <w:sectPr>
          <w:footerReference r:id="rId389" w:type="default"/>
          <w:pgSz w:w="11900" w:h="16820"/>
          <w:pgMar w:top="400" w:right="1343" w:bottom="825" w:left="1249" w:header="0" w:footer="663" w:gutter="0"/>
          <w:cols w:equalWidth="0" w:num="1">
            <w:col w:w="9307"/>
          </w:cols>
        </w:sectPr>
      </w:pPr>
    </w:p>
    <w:p w14:paraId="3FB822B9">
      <w:pPr>
        <w:spacing w:before="38" w:line="388" w:lineRule="auto"/>
        <w:ind w:left="39" w:right="2042"/>
        <w:rPr>
          <w:rFonts w:ascii="Times New Roman" w:hAnsi="Times New Roman" w:eastAsia="Times New Roman" w:cs="Times New Roman"/>
          <w:sz w:val="34"/>
          <w:szCs w:val="34"/>
        </w:rPr>
      </w:pPr>
      <w:r>
        <w:rPr>
          <w:rFonts w:ascii="Times New Roman" w:hAnsi="Times New Roman" w:eastAsia="Times New Roman" w:cs="Times New Roman"/>
          <w:sz w:val="18"/>
          <w:szCs w:val="18"/>
        </w:rPr>
        <w:t>Meta</w:t>
      </w:r>
      <w:r>
        <w:rPr>
          <w:rFonts w:ascii="KaiTi" w:hAnsi="KaiTi" w:eastAsia="KaiTi" w:cs="KaiTi"/>
          <w:spacing w:val="1"/>
          <w:sz w:val="18"/>
          <w:szCs w:val="18"/>
        </w:rPr>
        <w:t>分析</w:t>
      </w:r>
      <w:r>
        <w:rPr>
          <w:rFonts w:ascii="KaiTi" w:hAnsi="KaiTi" w:eastAsia="KaiTi" w:cs="KaiTi"/>
          <w:spacing w:val="89"/>
          <w:sz w:val="18"/>
          <w:szCs w:val="18"/>
        </w:rPr>
        <w:t xml:space="preserve"> </w:t>
      </w:r>
      <w:r>
        <w:rPr>
          <w:rFonts w:ascii="Times New Roman" w:hAnsi="Times New Roman" w:eastAsia="Times New Roman" w:cs="Times New Roman"/>
          <w:sz w:val="18"/>
          <w:szCs w:val="18"/>
        </w:rPr>
        <w:t>meta</w:t>
      </w:r>
      <w:r>
        <w:rPr>
          <w:rFonts w:ascii="Times New Roman" w:hAnsi="Times New Roman" w:eastAsia="Times New Roman" w:cs="Times New Roman"/>
          <w:spacing w:val="1"/>
          <w:sz w:val="18"/>
          <w:szCs w:val="18"/>
        </w:rPr>
        <w:t>-</w:t>
      </w:r>
      <w:r>
        <w:rPr>
          <w:rFonts w:ascii="Times New Roman" w:hAnsi="Times New Roman" w:eastAsia="Times New Roman" w:cs="Times New Roman"/>
          <w:sz w:val="18"/>
          <w:szCs w:val="18"/>
        </w:rPr>
        <w:t>analysis</w:t>
      </w:r>
      <w:r>
        <w:rPr>
          <w:rFonts w:ascii="Times New Roman" w:hAnsi="Times New Roman" w:eastAsia="Times New Roman" w:cs="Times New Roman"/>
          <w:spacing w:val="1"/>
          <w:sz w:val="18"/>
          <w:szCs w:val="18"/>
        </w:rPr>
        <w:t xml:space="preserve">       134,246</w:t>
      </w:r>
      <w:r>
        <w:rPr>
          <w:rFonts w:ascii="Times New Roman" w:hAnsi="Times New Roman" w:eastAsia="Times New Roman" w:cs="Times New Roman"/>
          <w:sz w:val="18"/>
          <w:szCs w:val="18"/>
        </w:rPr>
        <w:t xml:space="preserve"> </w:t>
      </w:r>
      <w:r>
        <w:rPr>
          <w:rFonts w:ascii="Times New Roman" w:hAnsi="Times New Roman" w:eastAsia="Times New Roman" w:cs="Times New Roman"/>
          <w:sz w:val="34"/>
          <w:szCs w:val="34"/>
        </w:rPr>
        <w:t>A</w:t>
      </w:r>
    </w:p>
    <w:p w14:paraId="345027D1">
      <w:pPr>
        <w:spacing w:before="1" w:line="328" w:lineRule="auto"/>
        <w:ind w:left="39" w:right="352"/>
        <w:rPr>
          <w:rFonts w:ascii="Times New Roman" w:hAnsi="Times New Roman" w:eastAsia="Times New Roman" w:cs="Times New Roman"/>
          <w:sz w:val="18"/>
          <w:szCs w:val="18"/>
        </w:rPr>
      </w:pPr>
      <w:r>
        <w:rPr>
          <w:rFonts w:ascii="宋体" w:hAnsi="宋体" w:eastAsia="宋体" w:cs="宋体"/>
          <w:sz w:val="18"/>
          <w:szCs w:val="18"/>
        </w:rPr>
        <w:t>艾滋病</w:t>
      </w:r>
      <w:r>
        <w:rPr>
          <w:rFonts w:ascii="宋体" w:hAnsi="宋体" w:eastAsia="宋体" w:cs="宋体"/>
          <w:spacing w:val="68"/>
          <w:sz w:val="18"/>
          <w:szCs w:val="18"/>
        </w:rPr>
        <w:t xml:space="preserve"> </w:t>
      </w:r>
      <w:r>
        <w:rPr>
          <w:rFonts w:ascii="Times New Roman" w:hAnsi="Times New Roman" w:eastAsia="Times New Roman" w:cs="Times New Roman"/>
          <w:sz w:val="18"/>
          <w:szCs w:val="18"/>
        </w:rPr>
        <w:t>acquired</w:t>
      </w:r>
      <w:r>
        <w:rPr>
          <w:rFonts w:ascii="Times New Roman" w:hAnsi="Times New Roman" w:eastAsia="Times New Roman" w:cs="Times New Roman"/>
          <w:spacing w:val="21"/>
          <w:sz w:val="18"/>
          <w:szCs w:val="18"/>
        </w:rPr>
        <w:t xml:space="preserve">  </w:t>
      </w:r>
      <w:r>
        <w:rPr>
          <w:rFonts w:ascii="Times New Roman" w:hAnsi="Times New Roman" w:eastAsia="Times New Roman" w:cs="Times New Roman"/>
          <w:sz w:val="18"/>
          <w:szCs w:val="18"/>
        </w:rPr>
        <w:t>immunodeficiency   syndrome,AID</w:t>
      </w:r>
      <w:r>
        <w:rPr>
          <w:rFonts w:ascii="Times New Roman" w:hAnsi="Times New Roman" w:eastAsia="Times New Roman" w:cs="Times New Roman"/>
          <w:spacing w:val="-1"/>
          <w:sz w:val="18"/>
          <w:szCs w:val="18"/>
        </w:rPr>
        <w:t>S</w:t>
      </w:r>
      <w:r>
        <w:rPr>
          <w:rFonts w:ascii="Times New Roman" w:hAnsi="Times New Roman" w:eastAsia="Times New Roman" w:cs="Times New Roman"/>
          <w:spacing w:val="20"/>
          <w:w w:val="101"/>
          <w:sz w:val="18"/>
          <w:szCs w:val="18"/>
        </w:rPr>
        <w:t xml:space="preserve">  </w:t>
      </w:r>
      <w:r>
        <w:rPr>
          <w:rFonts w:ascii="Times New Roman" w:hAnsi="Times New Roman" w:eastAsia="Times New Roman" w:cs="Times New Roman"/>
          <w:spacing w:val="-1"/>
          <w:sz w:val="18"/>
          <w:szCs w:val="18"/>
        </w:rPr>
        <w:t>297</w:t>
      </w:r>
      <w:r>
        <w:rPr>
          <w:rFonts w:ascii="Times New Roman" w:hAnsi="Times New Roman" w:eastAsia="Times New Roman" w:cs="Times New Roman"/>
          <w:sz w:val="18"/>
          <w:szCs w:val="18"/>
        </w:rPr>
        <w:t xml:space="preserve"> </w:t>
      </w:r>
      <w:r>
        <w:rPr>
          <w:rFonts w:ascii="宋体" w:hAnsi="宋体" w:eastAsia="宋体" w:cs="宋体"/>
          <w:spacing w:val="2"/>
          <w:sz w:val="18"/>
          <w:szCs w:val="18"/>
        </w:rPr>
        <w:t>安全性分析集</w:t>
      </w:r>
      <w:r>
        <w:rPr>
          <w:rFonts w:ascii="宋体" w:hAnsi="宋体" w:eastAsia="宋体" w:cs="宋体"/>
          <w:spacing w:val="63"/>
          <w:sz w:val="18"/>
          <w:szCs w:val="18"/>
        </w:rPr>
        <w:t xml:space="preserve"> </w:t>
      </w:r>
      <w:r>
        <w:rPr>
          <w:rFonts w:ascii="Times New Roman" w:hAnsi="Times New Roman" w:eastAsia="Times New Roman" w:cs="Times New Roman"/>
          <w:sz w:val="18"/>
          <w:szCs w:val="18"/>
        </w:rPr>
        <w:t>safety</w:t>
      </w:r>
      <w:r>
        <w:rPr>
          <w:rFonts w:ascii="Times New Roman" w:hAnsi="Times New Roman" w:eastAsia="Times New Roman" w:cs="Times New Roman"/>
          <w:spacing w:val="2"/>
          <w:sz w:val="18"/>
          <w:szCs w:val="18"/>
        </w:rPr>
        <w:t xml:space="preserve">   </w:t>
      </w:r>
      <w:r>
        <w:rPr>
          <w:rFonts w:ascii="Times New Roman" w:hAnsi="Times New Roman" w:eastAsia="Times New Roman" w:cs="Times New Roman"/>
          <w:sz w:val="18"/>
          <w:szCs w:val="18"/>
        </w:rPr>
        <w:t>analysis</w:t>
      </w:r>
      <w:r>
        <w:rPr>
          <w:rFonts w:ascii="Times New Roman" w:hAnsi="Times New Roman" w:eastAsia="Times New Roman" w:cs="Times New Roman"/>
          <w:spacing w:val="2"/>
          <w:sz w:val="18"/>
          <w:szCs w:val="18"/>
        </w:rPr>
        <w:t xml:space="preserve">   </w:t>
      </w:r>
      <w:r>
        <w:rPr>
          <w:rFonts w:ascii="Times New Roman" w:hAnsi="Times New Roman" w:eastAsia="Times New Roman" w:cs="Times New Roman"/>
          <w:sz w:val="18"/>
          <w:szCs w:val="18"/>
        </w:rPr>
        <w:t>set</w:t>
      </w:r>
      <w:r>
        <w:rPr>
          <w:rFonts w:ascii="Times New Roman" w:hAnsi="Times New Roman" w:eastAsia="Times New Roman" w:cs="Times New Roman"/>
          <w:spacing w:val="2"/>
          <w:sz w:val="18"/>
          <w:szCs w:val="18"/>
        </w:rPr>
        <w:t>,</w:t>
      </w:r>
      <w:r>
        <w:rPr>
          <w:rFonts w:ascii="Times New Roman" w:hAnsi="Times New Roman" w:eastAsia="Times New Roman" w:cs="Times New Roman"/>
          <w:sz w:val="18"/>
          <w:szCs w:val="18"/>
        </w:rPr>
        <w:t>SAS</w:t>
      </w:r>
      <w:r>
        <w:rPr>
          <w:rFonts w:ascii="Times New Roman" w:hAnsi="Times New Roman" w:eastAsia="Times New Roman" w:cs="Times New Roman"/>
          <w:spacing w:val="2"/>
          <w:sz w:val="18"/>
          <w:szCs w:val="18"/>
        </w:rPr>
        <w:t xml:space="preserve">   96</w:t>
      </w:r>
    </w:p>
    <w:p w14:paraId="5635EA63">
      <w:pPr>
        <w:spacing w:before="19" w:line="212" w:lineRule="auto"/>
        <w:ind w:left="39"/>
        <w:rPr>
          <w:rFonts w:ascii="Times New Roman" w:hAnsi="Times New Roman" w:eastAsia="Times New Roman" w:cs="Times New Roman"/>
          <w:sz w:val="18"/>
          <w:szCs w:val="18"/>
        </w:rPr>
      </w:pPr>
      <w:r>
        <w:rPr>
          <w:rFonts w:ascii="宋体" w:hAnsi="宋体" w:eastAsia="宋体" w:cs="宋体"/>
          <w:spacing w:val="1"/>
          <w:sz w:val="18"/>
          <w:szCs w:val="18"/>
        </w:rPr>
        <w:t>安全性评价</w:t>
      </w:r>
      <w:r>
        <w:rPr>
          <w:rFonts w:ascii="宋体" w:hAnsi="宋体" w:eastAsia="宋体" w:cs="宋体"/>
          <w:spacing w:val="88"/>
          <w:sz w:val="18"/>
          <w:szCs w:val="18"/>
        </w:rPr>
        <w:t xml:space="preserve"> </w:t>
      </w:r>
      <w:r>
        <w:rPr>
          <w:rFonts w:ascii="Times New Roman" w:hAnsi="Times New Roman" w:eastAsia="Times New Roman" w:cs="Times New Roman"/>
          <w:sz w:val="18"/>
          <w:szCs w:val="18"/>
        </w:rPr>
        <w:t>safety</w:t>
      </w:r>
      <w:r>
        <w:rPr>
          <w:rFonts w:ascii="Times New Roman" w:hAnsi="Times New Roman" w:eastAsia="Times New Roman" w:cs="Times New Roman"/>
          <w:spacing w:val="1"/>
          <w:sz w:val="18"/>
          <w:szCs w:val="18"/>
        </w:rPr>
        <w:t xml:space="preserve">   </w:t>
      </w:r>
      <w:r>
        <w:rPr>
          <w:rFonts w:ascii="Times New Roman" w:hAnsi="Times New Roman" w:eastAsia="Times New Roman" w:cs="Times New Roman"/>
          <w:sz w:val="18"/>
          <w:szCs w:val="18"/>
        </w:rPr>
        <w:t>assessment</w:t>
      </w:r>
      <w:r>
        <w:rPr>
          <w:rFonts w:ascii="Times New Roman" w:hAnsi="Times New Roman" w:eastAsia="Times New Roman" w:cs="Times New Roman"/>
          <w:spacing w:val="1"/>
          <w:sz w:val="18"/>
          <w:szCs w:val="18"/>
        </w:rPr>
        <w:t xml:space="preserve">    115</w:t>
      </w:r>
    </w:p>
    <w:p w14:paraId="0DD0C5A9">
      <w:pPr>
        <w:spacing w:before="124" w:line="212" w:lineRule="auto"/>
        <w:ind w:left="39"/>
        <w:rPr>
          <w:rFonts w:ascii="Times New Roman" w:hAnsi="Times New Roman" w:eastAsia="Times New Roman" w:cs="Times New Roman"/>
          <w:sz w:val="18"/>
          <w:szCs w:val="18"/>
        </w:rPr>
      </w:pPr>
      <w:r>
        <w:rPr>
          <w:rFonts w:ascii="宋体" w:hAnsi="宋体" w:eastAsia="宋体" w:cs="宋体"/>
          <w:spacing w:val="3"/>
          <w:sz w:val="18"/>
          <w:szCs w:val="18"/>
        </w:rPr>
        <w:t>安慰剂</w:t>
      </w:r>
      <w:r>
        <w:rPr>
          <w:rFonts w:ascii="宋体" w:hAnsi="宋体" w:eastAsia="宋体" w:cs="宋体"/>
          <w:spacing w:val="70"/>
          <w:sz w:val="18"/>
          <w:szCs w:val="18"/>
        </w:rPr>
        <w:t xml:space="preserve"> </w:t>
      </w:r>
      <w:r>
        <w:rPr>
          <w:rFonts w:ascii="Times New Roman" w:hAnsi="Times New Roman" w:eastAsia="Times New Roman" w:cs="Times New Roman"/>
          <w:sz w:val="18"/>
          <w:szCs w:val="18"/>
        </w:rPr>
        <w:t>placebo</w:t>
      </w:r>
      <w:r>
        <w:rPr>
          <w:rFonts w:ascii="Times New Roman" w:hAnsi="Times New Roman" w:eastAsia="Times New Roman" w:cs="Times New Roman"/>
          <w:spacing w:val="4"/>
          <w:sz w:val="18"/>
          <w:szCs w:val="18"/>
        </w:rPr>
        <w:t xml:space="preserve">     </w:t>
      </w:r>
      <w:r>
        <w:rPr>
          <w:rFonts w:ascii="Times New Roman" w:hAnsi="Times New Roman" w:eastAsia="Times New Roman" w:cs="Times New Roman"/>
          <w:spacing w:val="3"/>
          <w:sz w:val="18"/>
          <w:szCs w:val="18"/>
        </w:rPr>
        <w:t>91</w:t>
      </w:r>
    </w:p>
    <w:p w14:paraId="747BC207">
      <w:pPr>
        <w:spacing w:before="123" w:line="212" w:lineRule="auto"/>
        <w:ind w:left="39"/>
        <w:rPr>
          <w:rFonts w:ascii="Times New Roman" w:hAnsi="Times New Roman" w:eastAsia="Times New Roman" w:cs="Times New Roman"/>
          <w:sz w:val="18"/>
          <w:szCs w:val="18"/>
        </w:rPr>
      </w:pPr>
      <w:r>
        <w:rPr>
          <w:rFonts w:ascii="宋体" w:hAnsi="宋体" w:eastAsia="宋体" w:cs="宋体"/>
          <w:spacing w:val="4"/>
          <w:sz w:val="18"/>
          <w:szCs w:val="18"/>
        </w:rPr>
        <w:t>安慰剂效应</w:t>
      </w:r>
      <w:r>
        <w:rPr>
          <w:rFonts w:ascii="宋体" w:hAnsi="宋体" w:eastAsia="宋体" w:cs="宋体"/>
          <w:spacing w:val="66"/>
          <w:sz w:val="18"/>
          <w:szCs w:val="18"/>
        </w:rPr>
        <w:t xml:space="preserve"> </w:t>
      </w:r>
      <w:r>
        <w:rPr>
          <w:rFonts w:ascii="Times New Roman" w:hAnsi="Times New Roman" w:eastAsia="Times New Roman" w:cs="Times New Roman"/>
          <w:sz w:val="18"/>
          <w:szCs w:val="18"/>
        </w:rPr>
        <w:t>placebo</w:t>
      </w:r>
      <w:r>
        <w:rPr>
          <w:rFonts w:ascii="Times New Roman" w:hAnsi="Times New Roman" w:eastAsia="Times New Roman" w:cs="Times New Roman"/>
          <w:spacing w:val="4"/>
          <w:sz w:val="18"/>
          <w:szCs w:val="18"/>
        </w:rPr>
        <w:t xml:space="preserve">   </w:t>
      </w:r>
      <w:r>
        <w:rPr>
          <w:rFonts w:ascii="Times New Roman" w:hAnsi="Times New Roman" w:eastAsia="Times New Roman" w:cs="Times New Roman"/>
          <w:sz w:val="18"/>
          <w:szCs w:val="18"/>
        </w:rPr>
        <w:t>effect</w:t>
      </w:r>
      <w:r>
        <w:rPr>
          <w:rFonts w:ascii="Times New Roman" w:hAnsi="Times New Roman" w:eastAsia="Times New Roman" w:cs="Times New Roman"/>
          <w:spacing w:val="6"/>
          <w:sz w:val="18"/>
          <w:szCs w:val="18"/>
        </w:rPr>
        <w:t xml:space="preserve">   </w:t>
      </w:r>
      <w:r>
        <w:rPr>
          <w:rFonts w:ascii="Times New Roman" w:hAnsi="Times New Roman" w:eastAsia="Times New Roman" w:cs="Times New Roman"/>
          <w:spacing w:val="4"/>
          <w:sz w:val="18"/>
          <w:szCs w:val="18"/>
        </w:rPr>
        <w:t>91</w:t>
      </w:r>
    </w:p>
    <w:p w14:paraId="762100C4">
      <w:pPr>
        <w:spacing w:line="260" w:lineRule="auto"/>
        <w:rPr>
          <w:rFonts w:ascii="Arial"/>
          <w:sz w:val="21"/>
        </w:rPr>
      </w:pPr>
    </w:p>
    <w:p w14:paraId="16830852">
      <w:pPr>
        <w:spacing w:before="84" w:line="196" w:lineRule="auto"/>
        <w:ind w:left="39"/>
        <w:rPr>
          <w:rFonts w:ascii="Arial" w:hAnsi="Arial" w:eastAsia="Arial" w:cs="Arial"/>
          <w:sz w:val="29"/>
          <w:szCs w:val="29"/>
        </w:rPr>
      </w:pPr>
      <w:r>
        <w:rPr>
          <w:rFonts w:ascii="Arial" w:hAnsi="Arial" w:eastAsia="Arial" w:cs="Arial"/>
          <w:sz w:val="29"/>
          <w:szCs w:val="29"/>
        </w:rPr>
        <w:t>B</w:t>
      </w:r>
    </w:p>
    <w:sdt>
      <w:sdtPr>
        <w:rPr>
          <w:rFonts w:ascii="宋体" w:hAnsi="宋体" w:eastAsia="宋体" w:cs="宋体"/>
          <w:sz w:val="18"/>
          <w:szCs w:val="18"/>
        </w:rPr>
        <w:id w:val="37216281"/>
        <w:docPartObj>
          <w:docPartGallery w:val="Table of Contents"/>
          <w:docPartUnique/>
        </w:docPartObj>
      </w:sdtPr>
      <w:sdtEndPr>
        <w:rPr>
          <w:rFonts w:ascii="Times New Roman" w:hAnsi="Times New Roman" w:eastAsia="Times New Roman" w:cs="Times New Roman"/>
          <w:sz w:val="18"/>
          <w:szCs w:val="18"/>
        </w:rPr>
      </w:sdtEndPr>
      <w:sdtContent>
        <w:p w14:paraId="7413D2E5">
          <w:pPr>
            <w:spacing w:before="235" w:line="212" w:lineRule="auto"/>
            <w:ind w:left="39"/>
            <w:rPr>
              <w:rFonts w:ascii="Times New Roman" w:hAnsi="Times New Roman" w:eastAsia="Times New Roman" w:cs="Times New Roman"/>
              <w:sz w:val="18"/>
              <w:szCs w:val="18"/>
            </w:rPr>
          </w:pPr>
          <w:r>
            <w:rPr>
              <w:rFonts w:ascii="宋体" w:hAnsi="宋体" w:eastAsia="宋体" w:cs="宋体"/>
              <w:spacing w:val="4"/>
              <w:sz w:val="18"/>
              <w:szCs w:val="18"/>
            </w:rPr>
            <w:t>保护率</w:t>
          </w:r>
          <w:r>
            <w:rPr>
              <w:rFonts w:ascii="宋体" w:hAnsi="宋体" w:eastAsia="宋体" w:cs="宋体"/>
              <w:spacing w:val="59"/>
              <w:sz w:val="18"/>
              <w:szCs w:val="18"/>
            </w:rPr>
            <w:t xml:space="preserve"> </w:t>
          </w:r>
          <w:r>
            <w:rPr>
              <w:rFonts w:ascii="Times New Roman" w:hAnsi="Times New Roman" w:eastAsia="Times New Roman" w:cs="Times New Roman"/>
              <w:sz w:val="18"/>
              <w:szCs w:val="18"/>
            </w:rPr>
            <w:t>protective</w:t>
          </w:r>
          <w:r>
            <w:rPr>
              <w:rFonts w:ascii="Times New Roman" w:hAnsi="Times New Roman" w:eastAsia="Times New Roman" w:cs="Times New Roman"/>
              <w:spacing w:val="4"/>
              <w:sz w:val="18"/>
              <w:szCs w:val="18"/>
            </w:rPr>
            <w:t xml:space="preserve">    </w:t>
          </w:r>
          <w:r>
            <w:rPr>
              <w:rFonts w:ascii="Times New Roman" w:hAnsi="Times New Roman" w:eastAsia="Times New Roman" w:cs="Times New Roman"/>
              <w:sz w:val="18"/>
              <w:szCs w:val="18"/>
            </w:rPr>
            <w:t>rate</w:t>
          </w:r>
          <w:r>
            <w:rPr>
              <w:rFonts w:ascii="Times New Roman" w:hAnsi="Times New Roman" w:eastAsia="Times New Roman" w:cs="Times New Roman"/>
              <w:spacing w:val="4"/>
              <w:sz w:val="18"/>
              <w:szCs w:val="18"/>
            </w:rPr>
            <w:t>,</w:t>
          </w:r>
          <w:r>
            <w:rPr>
              <w:rFonts w:ascii="Times New Roman" w:hAnsi="Times New Roman" w:eastAsia="Times New Roman" w:cs="Times New Roman"/>
              <w:sz w:val="18"/>
              <w:szCs w:val="18"/>
            </w:rPr>
            <w:t>PR</w:t>
          </w:r>
          <w:r>
            <w:rPr>
              <w:rFonts w:ascii="Times New Roman" w:hAnsi="Times New Roman" w:eastAsia="Times New Roman" w:cs="Times New Roman"/>
              <w:spacing w:val="4"/>
              <w:sz w:val="18"/>
              <w:szCs w:val="18"/>
            </w:rPr>
            <w:t xml:space="preserve">    </w:t>
          </w:r>
          <w:r>
            <w:fldChar w:fldCharType="begin"/>
          </w:r>
          <w:r>
            <w:instrText xml:space="preserve"> HYPERLINK \l "bookmark606" </w:instrText>
          </w:r>
          <w:r>
            <w:fldChar w:fldCharType="separate"/>
          </w:r>
          <w:r>
            <w:rPr>
              <w:rFonts w:ascii="Times New Roman" w:hAnsi="Times New Roman" w:eastAsia="Times New Roman" w:cs="Times New Roman"/>
              <w:spacing w:val="4"/>
              <w:sz w:val="18"/>
              <w:szCs w:val="18"/>
            </w:rPr>
            <w:t>96</w:t>
          </w:r>
          <w:r>
            <w:rPr>
              <w:rFonts w:ascii="Times New Roman" w:hAnsi="Times New Roman" w:eastAsia="Times New Roman" w:cs="Times New Roman"/>
              <w:spacing w:val="4"/>
              <w:sz w:val="18"/>
              <w:szCs w:val="18"/>
            </w:rPr>
            <w:fldChar w:fldCharType="end"/>
          </w:r>
        </w:p>
        <w:p w14:paraId="1FBB6B6E">
          <w:pPr>
            <w:spacing w:before="133" w:line="219" w:lineRule="auto"/>
            <w:ind w:left="39"/>
            <w:rPr>
              <w:rFonts w:ascii="Times New Roman" w:hAnsi="Times New Roman" w:eastAsia="Times New Roman" w:cs="Times New Roman"/>
              <w:sz w:val="18"/>
              <w:szCs w:val="18"/>
            </w:rPr>
          </w:pPr>
          <w:r>
            <w:rPr>
              <w:rFonts w:ascii="宋体" w:hAnsi="宋体" w:eastAsia="宋体" w:cs="宋体"/>
              <w:spacing w:val="2"/>
              <w:sz w:val="18"/>
              <w:szCs w:val="18"/>
            </w:rPr>
            <w:t>暴发</w:t>
          </w:r>
          <w:r>
            <w:rPr>
              <w:rFonts w:ascii="宋体" w:hAnsi="宋体" w:eastAsia="宋体" w:cs="宋体"/>
              <w:spacing w:val="74"/>
              <w:w w:val="101"/>
              <w:sz w:val="18"/>
              <w:szCs w:val="18"/>
            </w:rPr>
            <w:t xml:space="preserve"> </w:t>
          </w:r>
          <w:r>
            <w:rPr>
              <w:rFonts w:ascii="Times New Roman" w:hAnsi="Times New Roman" w:eastAsia="Times New Roman" w:cs="Times New Roman"/>
              <w:sz w:val="18"/>
              <w:szCs w:val="18"/>
            </w:rPr>
            <w:t>outbreak</w:t>
          </w:r>
          <w:r>
            <w:rPr>
              <w:rFonts w:ascii="Times New Roman" w:hAnsi="Times New Roman" w:eastAsia="Times New Roman" w:cs="Times New Roman"/>
              <w:spacing w:val="5"/>
              <w:sz w:val="18"/>
              <w:szCs w:val="18"/>
            </w:rPr>
            <w:t xml:space="preserve">     </w:t>
          </w:r>
          <w:r>
            <w:fldChar w:fldCharType="begin"/>
          </w:r>
          <w:r>
            <w:instrText xml:space="preserve"> HYPERLINK \l "bookmark607" </w:instrText>
          </w:r>
          <w:r>
            <w:fldChar w:fldCharType="separate"/>
          </w:r>
          <w:r>
            <w:rPr>
              <w:rFonts w:ascii="Times New Roman" w:hAnsi="Times New Roman" w:eastAsia="Times New Roman" w:cs="Times New Roman"/>
              <w:spacing w:val="2"/>
              <w:sz w:val="18"/>
              <w:szCs w:val="18"/>
            </w:rPr>
            <w:t>17</w:t>
          </w:r>
          <w:r>
            <w:rPr>
              <w:rFonts w:ascii="Times New Roman" w:hAnsi="Times New Roman" w:eastAsia="Times New Roman" w:cs="Times New Roman"/>
              <w:spacing w:val="2"/>
              <w:sz w:val="18"/>
              <w:szCs w:val="18"/>
            </w:rPr>
            <w:fldChar w:fldCharType="end"/>
          </w:r>
        </w:p>
        <w:p w14:paraId="2D993ECD">
          <w:pPr>
            <w:spacing w:before="107" w:line="212" w:lineRule="auto"/>
            <w:ind w:left="39"/>
            <w:rPr>
              <w:rFonts w:ascii="Times New Roman" w:hAnsi="Times New Roman" w:eastAsia="Times New Roman" w:cs="Times New Roman"/>
              <w:sz w:val="18"/>
              <w:szCs w:val="18"/>
            </w:rPr>
          </w:pPr>
          <w:r>
            <w:rPr>
              <w:rFonts w:ascii="宋体" w:hAnsi="宋体" w:eastAsia="宋体" w:cs="宋体"/>
              <w:spacing w:val="5"/>
              <w:sz w:val="18"/>
              <w:szCs w:val="18"/>
            </w:rPr>
            <w:t>暴露</w:t>
          </w:r>
          <w:r>
            <w:rPr>
              <w:rFonts w:ascii="宋体" w:hAnsi="宋体" w:eastAsia="宋体" w:cs="宋体"/>
              <w:spacing w:val="71"/>
              <w:sz w:val="18"/>
              <w:szCs w:val="18"/>
            </w:rPr>
            <w:t xml:space="preserve"> </w:t>
          </w:r>
          <w:r>
            <w:rPr>
              <w:rFonts w:ascii="Times New Roman" w:hAnsi="Times New Roman" w:eastAsia="Times New Roman" w:cs="Times New Roman"/>
              <w:sz w:val="18"/>
              <w:szCs w:val="18"/>
            </w:rPr>
            <w:t>exposure</w:t>
          </w:r>
          <w:r>
            <w:rPr>
              <w:rFonts w:ascii="Times New Roman" w:hAnsi="Times New Roman" w:eastAsia="Times New Roman" w:cs="Times New Roman"/>
              <w:spacing w:val="9"/>
              <w:sz w:val="18"/>
              <w:szCs w:val="18"/>
            </w:rPr>
            <w:t xml:space="preserve">    </w:t>
          </w:r>
          <w:r>
            <w:fldChar w:fldCharType="begin"/>
          </w:r>
          <w:r>
            <w:instrText xml:space="preserve"> HYPERLINK \l "bookmark608" </w:instrText>
          </w:r>
          <w:r>
            <w:fldChar w:fldCharType="separate"/>
          </w:r>
          <w:r>
            <w:rPr>
              <w:rFonts w:ascii="Times New Roman" w:hAnsi="Times New Roman" w:eastAsia="Times New Roman" w:cs="Times New Roman"/>
              <w:spacing w:val="5"/>
              <w:sz w:val="18"/>
              <w:szCs w:val="18"/>
            </w:rPr>
            <w:t>47</w:t>
          </w:r>
          <w:r>
            <w:rPr>
              <w:rFonts w:ascii="Times New Roman" w:hAnsi="Times New Roman" w:eastAsia="Times New Roman" w:cs="Times New Roman"/>
              <w:spacing w:val="5"/>
              <w:sz w:val="18"/>
              <w:szCs w:val="18"/>
            </w:rPr>
            <w:fldChar w:fldCharType="end"/>
          </w:r>
        </w:p>
      </w:sdtContent>
    </w:sdt>
    <w:p w14:paraId="5D825C71">
      <w:pPr>
        <w:spacing w:before="143" w:line="212" w:lineRule="auto"/>
        <w:ind w:left="39"/>
        <w:rPr>
          <w:rFonts w:ascii="Times New Roman" w:hAnsi="Times New Roman" w:eastAsia="Times New Roman" w:cs="Times New Roman"/>
          <w:sz w:val="18"/>
          <w:szCs w:val="18"/>
        </w:rPr>
      </w:pPr>
      <w:r>
        <w:rPr>
          <w:rFonts w:ascii="宋体" w:hAnsi="宋体" w:eastAsia="宋体" w:cs="宋体"/>
          <w:spacing w:val="5"/>
          <w:sz w:val="18"/>
          <w:szCs w:val="18"/>
        </w:rPr>
        <w:t>暴露生物标志</w:t>
      </w:r>
      <w:r>
        <w:rPr>
          <w:rFonts w:ascii="宋体" w:hAnsi="宋体" w:eastAsia="宋体" w:cs="宋体"/>
          <w:spacing w:val="62"/>
          <w:sz w:val="18"/>
          <w:szCs w:val="18"/>
        </w:rPr>
        <w:t xml:space="preserve"> </w:t>
      </w:r>
      <w:r>
        <w:rPr>
          <w:rFonts w:ascii="Times New Roman" w:hAnsi="Times New Roman" w:eastAsia="Times New Roman" w:cs="Times New Roman"/>
          <w:sz w:val="18"/>
          <w:szCs w:val="18"/>
        </w:rPr>
        <w:t>exposure</w:t>
      </w:r>
      <w:r>
        <w:rPr>
          <w:rFonts w:ascii="Times New Roman" w:hAnsi="Times New Roman" w:eastAsia="Times New Roman" w:cs="Times New Roman"/>
          <w:spacing w:val="5"/>
          <w:sz w:val="18"/>
          <w:szCs w:val="18"/>
        </w:rPr>
        <w:t xml:space="preserve">   </w:t>
      </w:r>
      <w:r>
        <w:rPr>
          <w:rFonts w:ascii="Times New Roman" w:hAnsi="Times New Roman" w:eastAsia="Times New Roman" w:cs="Times New Roman"/>
          <w:sz w:val="18"/>
          <w:szCs w:val="18"/>
        </w:rPr>
        <w:t>biomarker</w:t>
      </w:r>
      <w:r>
        <w:rPr>
          <w:rFonts w:ascii="Times New Roman" w:hAnsi="Times New Roman" w:eastAsia="Times New Roman" w:cs="Times New Roman"/>
          <w:spacing w:val="5"/>
          <w:sz w:val="18"/>
          <w:szCs w:val="18"/>
        </w:rPr>
        <w:t xml:space="preserve">   236</w:t>
      </w:r>
    </w:p>
    <w:p w14:paraId="27C06517">
      <w:pPr>
        <w:spacing w:before="134" w:line="212" w:lineRule="auto"/>
        <w:ind w:left="39"/>
        <w:rPr>
          <w:rFonts w:ascii="Times New Roman" w:hAnsi="Times New Roman" w:eastAsia="Times New Roman" w:cs="Times New Roman"/>
          <w:sz w:val="18"/>
          <w:szCs w:val="18"/>
        </w:rPr>
      </w:pPr>
      <w:r>
        <w:rPr>
          <w:rFonts w:ascii="宋体" w:hAnsi="宋体" w:eastAsia="宋体" w:cs="宋体"/>
          <w:spacing w:val="2"/>
          <w:sz w:val="18"/>
          <w:szCs w:val="18"/>
        </w:rPr>
        <w:t>被动监测</w:t>
      </w:r>
      <w:r>
        <w:rPr>
          <w:rFonts w:ascii="宋体" w:hAnsi="宋体" w:eastAsia="宋体" w:cs="宋体"/>
          <w:spacing w:val="60"/>
          <w:sz w:val="18"/>
          <w:szCs w:val="18"/>
        </w:rPr>
        <w:t xml:space="preserve"> </w:t>
      </w:r>
      <w:r>
        <w:rPr>
          <w:rFonts w:ascii="Times New Roman" w:hAnsi="Times New Roman" w:eastAsia="Times New Roman" w:cs="Times New Roman"/>
          <w:sz w:val="18"/>
          <w:szCs w:val="18"/>
        </w:rPr>
        <w:t>passive</w:t>
      </w:r>
      <w:r>
        <w:rPr>
          <w:rFonts w:ascii="Times New Roman" w:hAnsi="Times New Roman" w:eastAsia="Times New Roman" w:cs="Times New Roman"/>
          <w:spacing w:val="11"/>
          <w:sz w:val="18"/>
          <w:szCs w:val="18"/>
        </w:rPr>
        <w:t xml:space="preserve">   </w:t>
      </w:r>
      <w:r>
        <w:rPr>
          <w:rFonts w:ascii="Times New Roman" w:hAnsi="Times New Roman" w:eastAsia="Times New Roman" w:cs="Times New Roman"/>
          <w:sz w:val="18"/>
          <w:szCs w:val="18"/>
        </w:rPr>
        <w:t xml:space="preserve">surveillance    </w:t>
      </w:r>
      <w:r>
        <w:rPr>
          <w:rFonts w:ascii="Times New Roman" w:hAnsi="Times New Roman" w:eastAsia="Times New Roman" w:cs="Times New Roman"/>
          <w:spacing w:val="2"/>
          <w:sz w:val="18"/>
          <w:szCs w:val="18"/>
        </w:rPr>
        <w:t>146</w:t>
      </w:r>
    </w:p>
    <w:p w14:paraId="4BEFFE12">
      <w:pPr>
        <w:spacing w:before="113" w:line="212" w:lineRule="auto"/>
        <w:ind w:left="39"/>
        <w:rPr>
          <w:rFonts w:ascii="Times New Roman" w:hAnsi="Times New Roman" w:eastAsia="Times New Roman" w:cs="Times New Roman"/>
          <w:sz w:val="18"/>
          <w:szCs w:val="18"/>
        </w:rPr>
      </w:pPr>
      <w:r>
        <w:rPr>
          <w:rFonts w:ascii="宋体" w:hAnsi="宋体" w:eastAsia="宋体" w:cs="宋体"/>
          <w:spacing w:val="1"/>
          <w:sz w:val="18"/>
          <w:szCs w:val="18"/>
        </w:rPr>
        <w:t>被动免疫</w:t>
      </w:r>
      <w:r>
        <w:rPr>
          <w:rFonts w:ascii="宋体" w:hAnsi="宋体" w:eastAsia="宋体" w:cs="宋体"/>
          <w:spacing w:val="67"/>
          <w:sz w:val="18"/>
          <w:szCs w:val="18"/>
        </w:rPr>
        <w:t xml:space="preserve"> </w:t>
      </w:r>
      <w:r>
        <w:rPr>
          <w:rFonts w:ascii="Times New Roman" w:hAnsi="Times New Roman" w:eastAsia="Times New Roman" w:cs="Times New Roman"/>
          <w:sz w:val="18"/>
          <w:szCs w:val="18"/>
        </w:rPr>
        <w:t>passive</w:t>
      </w:r>
      <w:r>
        <w:rPr>
          <w:rFonts w:ascii="Times New Roman" w:hAnsi="Times New Roman" w:eastAsia="Times New Roman" w:cs="Times New Roman"/>
          <w:spacing w:val="1"/>
          <w:sz w:val="18"/>
          <w:szCs w:val="18"/>
        </w:rPr>
        <w:t xml:space="preserve">   </w:t>
      </w:r>
      <w:r>
        <w:rPr>
          <w:rFonts w:ascii="Times New Roman" w:hAnsi="Times New Roman" w:eastAsia="Times New Roman" w:cs="Times New Roman"/>
          <w:sz w:val="18"/>
          <w:szCs w:val="18"/>
        </w:rPr>
        <w:t>immunization</w:t>
      </w:r>
      <w:r>
        <w:rPr>
          <w:rFonts w:ascii="Times New Roman" w:hAnsi="Times New Roman" w:eastAsia="Times New Roman" w:cs="Times New Roman"/>
          <w:spacing w:val="1"/>
          <w:sz w:val="18"/>
          <w:szCs w:val="18"/>
        </w:rPr>
        <w:t xml:space="preserve">    168</w:t>
      </w:r>
    </w:p>
    <w:sdt>
      <w:sdtPr>
        <w:rPr>
          <w:rFonts w:ascii="宋体" w:hAnsi="宋体" w:eastAsia="宋体" w:cs="宋体"/>
          <w:sz w:val="18"/>
          <w:szCs w:val="18"/>
        </w:rPr>
        <w:id w:val="576293490"/>
        <w:docPartObj>
          <w:docPartGallery w:val="Table of Contents"/>
          <w:docPartUnique/>
        </w:docPartObj>
      </w:sdtPr>
      <w:sdtEndPr>
        <w:rPr>
          <w:rFonts w:ascii="Times New Roman" w:hAnsi="Times New Roman" w:eastAsia="Times New Roman" w:cs="Times New Roman"/>
          <w:sz w:val="18"/>
          <w:szCs w:val="18"/>
        </w:rPr>
      </w:sdtEndPr>
      <w:sdtContent>
        <w:p w14:paraId="46030942">
          <w:pPr>
            <w:spacing w:before="132" w:line="212" w:lineRule="auto"/>
            <w:ind w:left="39"/>
            <w:rPr>
              <w:rFonts w:ascii="Times New Roman" w:hAnsi="Times New Roman" w:eastAsia="Times New Roman" w:cs="Times New Roman"/>
              <w:sz w:val="18"/>
              <w:szCs w:val="18"/>
            </w:rPr>
          </w:pPr>
          <w:r>
            <w:rPr>
              <w:rFonts w:ascii="宋体" w:hAnsi="宋体" w:eastAsia="宋体" w:cs="宋体"/>
              <w:spacing w:val="2"/>
              <w:sz w:val="18"/>
              <w:szCs w:val="18"/>
            </w:rPr>
            <w:t>比值比</w:t>
          </w:r>
          <w:r>
            <w:rPr>
              <w:rFonts w:ascii="宋体" w:hAnsi="宋体" w:eastAsia="宋体" w:cs="宋体"/>
              <w:spacing w:val="69"/>
              <w:sz w:val="18"/>
              <w:szCs w:val="18"/>
            </w:rPr>
            <w:t xml:space="preserve"> </w:t>
          </w:r>
          <w:r>
            <w:rPr>
              <w:rFonts w:ascii="Times New Roman" w:hAnsi="Times New Roman" w:eastAsia="Times New Roman" w:cs="Times New Roman"/>
              <w:sz w:val="18"/>
              <w:szCs w:val="18"/>
            </w:rPr>
            <w:t>odds</w:t>
          </w:r>
          <w:r>
            <w:rPr>
              <w:rFonts w:ascii="Times New Roman" w:hAnsi="Times New Roman" w:eastAsia="Times New Roman" w:cs="Times New Roman"/>
              <w:spacing w:val="2"/>
              <w:sz w:val="18"/>
              <w:szCs w:val="18"/>
            </w:rPr>
            <w:t xml:space="preserve">    </w:t>
          </w:r>
          <w:r>
            <w:rPr>
              <w:rFonts w:ascii="Times New Roman" w:hAnsi="Times New Roman" w:eastAsia="Times New Roman" w:cs="Times New Roman"/>
              <w:sz w:val="18"/>
              <w:szCs w:val="18"/>
            </w:rPr>
            <w:t>ratio</w:t>
          </w:r>
          <w:r>
            <w:rPr>
              <w:rFonts w:ascii="Times New Roman" w:hAnsi="Times New Roman" w:eastAsia="Times New Roman" w:cs="Times New Roman"/>
              <w:spacing w:val="2"/>
              <w:sz w:val="18"/>
              <w:szCs w:val="18"/>
            </w:rPr>
            <w:t>,</w:t>
          </w:r>
          <w:r>
            <w:rPr>
              <w:rFonts w:ascii="Times New Roman" w:hAnsi="Times New Roman" w:eastAsia="Times New Roman" w:cs="Times New Roman"/>
              <w:sz w:val="18"/>
              <w:szCs w:val="18"/>
            </w:rPr>
            <w:t>OR</w:t>
          </w:r>
          <w:r>
            <w:rPr>
              <w:rFonts w:ascii="Times New Roman" w:hAnsi="Times New Roman" w:eastAsia="Times New Roman" w:cs="Times New Roman"/>
              <w:spacing w:val="3"/>
              <w:sz w:val="18"/>
              <w:szCs w:val="18"/>
            </w:rPr>
            <w:t xml:space="preserve">    </w:t>
          </w:r>
          <w:r>
            <w:fldChar w:fldCharType="begin"/>
          </w:r>
          <w:r>
            <w:instrText xml:space="preserve"> HYPERLINK \l "bookmark609" </w:instrText>
          </w:r>
          <w:r>
            <w:fldChar w:fldCharType="separate"/>
          </w:r>
          <w:r>
            <w:rPr>
              <w:rFonts w:ascii="Times New Roman" w:hAnsi="Times New Roman" w:eastAsia="Times New Roman" w:cs="Times New Roman"/>
              <w:spacing w:val="2"/>
              <w:sz w:val="18"/>
              <w:szCs w:val="18"/>
            </w:rPr>
            <w:t>66</w:t>
          </w:r>
          <w:r>
            <w:rPr>
              <w:rFonts w:ascii="Times New Roman" w:hAnsi="Times New Roman" w:eastAsia="Times New Roman" w:cs="Times New Roman"/>
              <w:spacing w:val="2"/>
              <w:sz w:val="18"/>
              <w:szCs w:val="18"/>
            </w:rPr>
            <w:fldChar w:fldCharType="end"/>
          </w:r>
        </w:p>
        <w:p w14:paraId="4A08D7AA">
          <w:pPr>
            <w:spacing w:before="145" w:line="219" w:lineRule="auto"/>
            <w:ind w:left="39"/>
            <w:rPr>
              <w:rFonts w:ascii="Times New Roman" w:hAnsi="Times New Roman" w:eastAsia="Times New Roman" w:cs="Times New Roman"/>
              <w:sz w:val="18"/>
              <w:szCs w:val="18"/>
            </w:rPr>
          </w:pPr>
          <w:r>
            <w:rPr>
              <w:rFonts w:ascii="宋体" w:hAnsi="宋体" w:eastAsia="宋体" w:cs="宋体"/>
              <w:spacing w:val="4"/>
              <w:sz w:val="18"/>
              <w:szCs w:val="18"/>
            </w:rPr>
            <w:t>比值或比数</w:t>
          </w:r>
          <w:r>
            <w:rPr>
              <w:rFonts w:ascii="宋体" w:hAnsi="宋体" w:eastAsia="宋体" w:cs="宋体"/>
              <w:spacing w:val="62"/>
              <w:sz w:val="18"/>
              <w:szCs w:val="18"/>
            </w:rPr>
            <w:t xml:space="preserve"> </w:t>
          </w:r>
          <w:r>
            <w:rPr>
              <w:rFonts w:ascii="Times New Roman" w:hAnsi="Times New Roman" w:eastAsia="Times New Roman" w:cs="Times New Roman"/>
              <w:sz w:val="18"/>
              <w:szCs w:val="18"/>
            </w:rPr>
            <w:t>odds</w:t>
          </w:r>
          <w:r>
            <w:rPr>
              <w:rFonts w:ascii="Times New Roman" w:hAnsi="Times New Roman" w:eastAsia="Times New Roman" w:cs="Times New Roman"/>
              <w:spacing w:val="7"/>
              <w:sz w:val="18"/>
              <w:szCs w:val="18"/>
            </w:rPr>
            <w:t xml:space="preserve">     </w:t>
          </w:r>
          <w:r>
            <w:fldChar w:fldCharType="begin"/>
          </w:r>
          <w:r>
            <w:instrText xml:space="preserve"> HYPERLINK \l "bookmark610" </w:instrText>
          </w:r>
          <w:r>
            <w:fldChar w:fldCharType="separate"/>
          </w:r>
          <w:r>
            <w:rPr>
              <w:rFonts w:ascii="Times New Roman" w:hAnsi="Times New Roman" w:eastAsia="Times New Roman" w:cs="Times New Roman"/>
              <w:spacing w:val="4"/>
              <w:sz w:val="18"/>
              <w:szCs w:val="18"/>
            </w:rPr>
            <w:t>71</w:t>
          </w:r>
          <w:r>
            <w:rPr>
              <w:rFonts w:ascii="Times New Roman" w:hAnsi="Times New Roman" w:eastAsia="Times New Roman" w:cs="Times New Roman"/>
              <w:spacing w:val="4"/>
              <w:sz w:val="18"/>
              <w:szCs w:val="18"/>
            </w:rPr>
            <w:fldChar w:fldCharType="end"/>
          </w:r>
        </w:p>
        <w:p w14:paraId="078A8F57">
          <w:pPr>
            <w:spacing w:before="106" w:line="212" w:lineRule="auto"/>
            <w:ind w:left="39"/>
            <w:rPr>
              <w:rFonts w:ascii="Times New Roman" w:hAnsi="Times New Roman" w:eastAsia="Times New Roman" w:cs="Times New Roman"/>
              <w:sz w:val="18"/>
              <w:szCs w:val="18"/>
            </w:rPr>
          </w:pPr>
          <w:r>
            <w:rPr>
              <w:rFonts w:ascii="宋体" w:hAnsi="宋体" w:eastAsia="宋体" w:cs="宋体"/>
              <w:spacing w:val="3"/>
              <w:sz w:val="18"/>
              <w:szCs w:val="18"/>
            </w:rPr>
            <w:t>必要病因</w:t>
          </w:r>
          <w:r>
            <w:rPr>
              <w:rFonts w:ascii="宋体" w:hAnsi="宋体" w:eastAsia="宋体" w:cs="宋体"/>
              <w:spacing w:val="65"/>
              <w:sz w:val="18"/>
              <w:szCs w:val="18"/>
            </w:rPr>
            <w:t xml:space="preserve"> </w:t>
          </w:r>
          <w:r>
            <w:rPr>
              <w:rFonts w:ascii="Times New Roman" w:hAnsi="Times New Roman" w:eastAsia="Times New Roman" w:cs="Times New Roman"/>
              <w:sz w:val="18"/>
              <w:szCs w:val="18"/>
            </w:rPr>
            <w:t>necessary</w:t>
          </w:r>
          <w:r>
            <w:rPr>
              <w:rFonts w:ascii="Times New Roman" w:hAnsi="Times New Roman" w:eastAsia="Times New Roman" w:cs="Times New Roman"/>
              <w:spacing w:val="10"/>
              <w:sz w:val="18"/>
              <w:szCs w:val="18"/>
            </w:rPr>
            <w:t xml:space="preserve">   </w:t>
          </w:r>
          <w:r>
            <w:rPr>
              <w:rFonts w:ascii="Times New Roman" w:hAnsi="Times New Roman" w:eastAsia="Times New Roman" w:cs="Times New Roman"/>
              <w:sz w:val="18"/>
              <w:szCs w:val="18"/>
            </w:rPr>
            <w:t xml:space="preserve">cause    </w:t>
          </w:r>
          <w:r>
            <w:fldChar w:fldCharType="begin"/>
          </w:r>
          <w:r>
            <w:instrText xml:space="preserve"> HYPERLINK \l "bookmark611" </w:instrText>
          </w:r>
          <w:r>
            <w:fldChar w:fldCharType="separate"/>
          </w:r>
          <w:r>
            <w:rPr>
              <w:rFonts w:ascii="Times New Roman" w:hAnsi="Times New Roman" w:eastAsia="Times New Roman" w:cs="Times New Roman"/>
              <w:spacing w:val="3"/>
              <w:sz w:val="18"/>
              <w:szCs w:val="18"/>
            </w:rPr>
            <w:t>126</w:t>
          </w:r>
          <w:r>
            <w:rPr>
              <w:rFonts w:ascii="Times New Roman" w:hAnsi="Times New Roman" w:eastAsia="Times New Roman" w:cs="Times New Roman"/>
              <w:spacing w:val="3"/>
              <w:sz w:val="18"/>
              <w:szCs w:val="18"/>
            </w:rPr>
            <w:fldChar w:fldCharType="end"/>
          </w:r>
        </w:p>
      </w:sdtContent>
    </w:sdt>
    <w:p w14:paraId="3EC83DAE">
      <w:pPr>
        <w:spacing w:before="159" w:line="214" w:lineRule="auto"/>
        <w:ind w:left="39"/>
        <w:rPr>
          <w:rFonts w:ascii="宋体" w:hAnsi="宋体" w:eastAsia="宋体" w:cs="宋体"/>
          <w:sz w:val="18"/>
          <w:szCs w:val="18"/>
        </w:rPr>
      </w:pPr>
      <w:r>
        <w:rPr>
          <w:rFonts w:ascii="宋体" w:hAnsi="宋体" w:eastAsia="宋体" w:cs="宋体"/>
          <w:spacing w:val="-13"/>
          <w:sz w:val="18"/>
          <w:szCs w:val="18"/>
        </w:rPr>
        <w:t>标化比例死亡比  standardized proportional mortality ratio,</w:t>
      </w:r>
    </w:p>
    <w:p w14:paraId="5EE64BC1">
      <w:pPr>
        <w:spacing w:before="143" w:line="188" w:lineRule="auto"/>
        <w:ind w:left="240"/>
        <w:rPr>
          <w:rFonts w:ascii="Times New Roman" w:hAnsi="Times New Roman" w:eastAsia="Times New Roman" w:cs="Times New Roman"/>
          <w:sz w:val="18"/>
          <w:szCs w:val="18"/>
        </w:rPr>
      </w:pPr>
      <w:r>
        <w:rPr>
          <w:rFonts w:ascii="Times New Roman" w:hAnsi="Times New Roman" w:eastAsia="Times New Roman" w:cs="Times New Roman"/>
          <w:spacing w:val="-3"/>
          <w:sz w:val="18"/>
          <w:szCs w:val="18"/>
        </w:rPr>
        <w:t>SPMR</w:t>
      </w:r>
      <w:r>
        <w:rPr>
          <w:rFonts w:ascii="Times New Roman" w:hAnsi="Times New Roman" w:eastAsia="Times New Roman" w:cs="Times New Roman"/>
          <w:spacing w:val="6"/>
          <w:sz w:val="18"/>
          <w:szCs w:val="18"/>
        </w:rPr>
        <w:t xml:space="preserve">     </w:t>
      </w:r>
      <w:r>
        <w:rPr>
          <w:rFonts w:ascii="Times New Roman" w:hAnsi="Times New Roman" w:eastAsia="Times New Roman" w:cs="Times New Roman"/>
          <w:spacing w:val="-3"/>
          <w:sz w:val="18"/>
          <w:szCs w:val="18"/>
        </w:rPr>
        <w:t>56</w:t>
      </w:r>
    </w:p>
    <w:p w14:paraId="21D736B5">
      <w:pPr>
        <w:spacing w:before="130" w:line="212" w:lineRule="auto"/>
        <w:ind w:left="39"/>
        <w:rPr>
          <w:rFonts w:ascii="Times New Roman" w:hAnsi="Times New Roman" w:eastAsia="Times New Roman" w:cs="Times New Roman"/>
          <w:sz w:val="18"/>
          <w:szCs w:val="18"/>
        </w:rPr>
      </w:pPr>
      <w:r>
        <w:rPr>
          <w:rFonts w:ascii="宋体" w:hAnsi="宋体" w:eastAsia="宋体" w:cs="宋体"/>
          <w:spacing w:val="9"/>
          <w:sz w:val="18"/>
          <w:szCs w:val="18"/>
        </w:rPr>
        <w:t>标化发病(死亡)比</w:t>
      </w:r>
      <w:r>
        <w:rPr>
          <w:rFonts w:ascii="宋体" w:hAnsi="宋体" w:eastAsia="宋体" w:cs="宋体"/>
          <w:spacing w:val="86"/>
          <w:sz w:val="18"/>
          <w:szCs w:val="18"/>
        </w:rPr>
        <w:t xml:space="preserve"> </w:t>
      </w:r>
      <w:r>
        <w:rPr>
          <w:rFonts w:ascii="Times New Roman" w:hAnsi="Times New Roman" w:eastAsia="Times New Roman" w:cs="Times New Roman"/>
          <w:sz w:val="18"/>
          <w:szCs w:val="18"/>
        </w:rPr>
        <w:t>standardized</w:t>
      </w:r>
      <w:r>
        <w:rPr>
          <w:rFonts w:ascii="Times New Roman" w:hAnsi="Times New Roman" w:eastAsia="Times New Roman" w:cs="Times New Roman"/>
          <w:spacing w:val="14"/>
          <w:w w:val="101"/>
          <w:sz w:val="18"/>
          <w:szCs w:val="18"/>
        </w:rPr>
        <w:t xml:space="preserve"> </w:t>
      </w:r>
      <w:r>
        <w:rPr>
          <w:rFonts w:ascii="Times New Roman" w:hAnsi="Times New Roman" w:eastAsia="Times New Roman" w:cs="Times New Roman"/>
          <w:sz w:val="18"/>
          <w:szCs w:val="18"/>
        </w:rPr>
        <w:t>morbidity</w:t>
      </w:r>
      <w:r>
        <w:rPr>
          <w:rFonts w:ascii="Times New Roman" w:hAnsi="Times New Roman" w:eastAsia="Times New Roman" w:cs="Times New Roman"/>
          <w:spacing w:val="9"/>
          <w:sz w:val="18"/>
          <w:szCs w:val="18"/>
        </w:rPr>
        <w:t>/</w:t>
      </w:r>
      <w:r>
        <w:rPr>
          <w:rFonts w:ascii="Times New Roman" w:hAnsi="Times New Roman" w:eastAsia="Times New Roman" w:cs="Times New Roman"/>
          <w:sz w:val="18"/>
          <w:szCs w:val="18"/>
        </w:rPr>
        <w:t>mortality</w:t>
      </w:r>
      <w:r>
        <w:rPr>
          <w:rFonts w:ascii="Times New Roman" w:hAnsi="Times New Roman" w:eastAsia="Times New Roman" w:cs="Times New Roman"/>
          <w:spacing w:val="14"/>
          <w:w w:val="101"/>
          <w:sz w:val="18"/>
          <w:szCs w:val="18"/>
        </w:rPr>
        <w:t xml:space="preserve"> </w:t>
      </w:r>
      <w:r>
        <w:rPr>
          <w:rFonts w:ascii="Times New Roman" w:hAnsi="Times New Roman" w:eastAsia="Times New Roman" w:cs="Times New Roman"/>
          <w:sz w:val="18"/>
          <w:szCs w:val="18"/>
        </w:rPr>
        <w:t>ratio</w:t>
      </w:r>
      <w:r>
        <w:rPr>
          <w:rFonts w:ascii="Times New Roman" w:hAnsi="Times New Roman" w:eastAsia="Times New Roman" w:cs="Times New Roman"/>
          <w:spacing w:val="9"/>
          <w:sz w:val="18"/>
          <w:szCs w:val="18"/>
        </w:rPr>
        <w:t>,</w:t>
      </w:r>
    </w:p>
    <w:sdt>
      <w:sdtPr>
        <w:rPr>
          <w:rFonts w:ascii="Times New Roman" w:hAnsi="Times New Roman" w:eastAsia="Times New Roman" w:cs="Times New Roman"/>
          <w:sz w:val="18"/>
          <w:szCs w:val="18"/>
        </w:rPr>
        <w:id w:val="613438460"/>
        <w:docPartObj>
          <w:docPartGallery w:val="Table of Contents"/>
          <w:docPartUnique/>
        </w:docPartObj>
      </w:sdtPr>
      <w:sdtEndPr>
        <w:rPr>
          <w:rFonts w:ascii="Times New Roman" w:hAnsi="Times New Roman" w:eastAsia="Times New Roman" w:cs="Times New Roman"/>
          <w:sz w:val="18"/>
          <w:szCs w:val="18"/>
        </w:rPr>
      </w:sdtEndPr>
      <w:sdtContent>
        <w:p w14:paraId="318B6B49">
          <w:pPr>
            <w:spacing w:before="171" w:line="188" w:lineRule="auto"/>
            <w:ind w:left="260"/>
            <w:rPr>
              <w:rFonts w:ascii="Times New Roman" w:hAnsi="Times New Roman" w:eastAsia="Times New Roman" w:cs="Times New Roman"/>
              <w:sz w:val="18"/>
              <w:szCs w:val="18"/>
            </w:rPr>
          </w:pPr>
          <w:r>
            <w:rPr>
              <w:rFonts w:ascii="Times New Roman" w:hAnsi="Times New Roman" w:eastAsia="Times New Roman" w:cs="Times New Roman"/>
              <w:spacing w:val="-2"/>
              <w:sz w:val="18"/>
              <w:szCs w:val="18"/>
            </w:rPr>
            <w:t xml:space="preserve">SMR     </w:t>
          </w:r>
          <w:r>
            <w:fldChar w:fldCharType="begin"/>
          </w:r>
          <w:r>
            <w:instrText xml:space="preserve"> HYPERLINK \l "bookmark612" </w:instrText>
          </w:r>
          <w:r>
            <w:fldChar w:fldCharType="separate"/>
          </w:r>
          <w:r>
            <w:rPr>
              <w:rFonts w:ascii="Times New Roman" w:hAnsi="Times New Roman" w:eastAsia="Times New Roman" w:cs="Times New Roman"/>
              <w:spacing w:val="-2"/>
              <w:sz w:val="18"/>
              <w:szCs w:val="18"/>
            </w:rPr>
            <w:t>56</w:t>
          </w:r>
          <w:r>
            <w:rPr>
              <w:rFonts w:ascii="Times New Roman" w:hAnsi="Times New Roman" w:eastAsia="Times New Roman" w:cs="Times New Roman"/>
              <w:spacing w:val="-2"/>
              <w:sz w:val="18"/>
              <w:szCs w:val="18"/>
            </w:rPr>
            <w:fldChar w:fldCharType="end"/>
          </w:r>
        </w:p>
        <w:p w14:paraId="21BB6EC1">
          <w:pPr>
            <w:spacing w:before="131" w:line="212" w:lineRule="auto"/>
            <w:ind w:left="39"/>
            <w:rPr>
              <w:rFonts w:ascii="Times New Roman" w:hAnsi="Times New Roman" w:eastAsia="Times New Roman" w:cs="Times New Roman"/>
              <w:sz w:val="18"/>
              <w:szCs w:val="18"/>
            </w:rPr>
          </w:pPr>
          <w:r>
            <w:rPr>
              <w:rFonts w:ascii="宋体" w:hAnsi="宋体" w:eastAsia="宋体" w:cs="宋体"/>
              <w:spacing w:val="4"/>
              <w:sz w:val="18"/>
              <w:szCs w:val="18"/>
            </w:rPr>
            <w:t>丙型肝炎病毒</w:t>
          </w:r>
          <w:r>
            <w:rPr>
              <w:rFonts w:ascii="宋体" w:hAnsi="宋体" w:eastAsia="宋体" w:cs="宋体"/>
              <w:spacing w:val="3"/>
              <w:sz w:val="18"/>
              <w:szCs w:val="18"/>
            </w:rPr>
            <w:t xml:space="preserve">  </w:t>
          </w:r>
          <w:r>
            <w:rPr>
              <w:rFonts w:ascii="Times New Roman" w:hAnsi="Times New Roman" w:eastAsia="Times New Roman" w:cs="Times New Roman"/>
              <w:sz w:val="18"/>
              <w:szCs w:val="18"/>
            </w:rPr>
            <w:t>hepatitis</w:t>
          </w:r>
          <w:r>
            <w:rPr>
              <w:rFonts w:ascii="Times New Roman" w:hAnsi="Times New Roman" w:eastAsia="Times New Roman" w:cs="Times New Roman"/>
              <w:spacing w:val="21"/>
              <w:w w:val="101"/>
              <w:sz w:val="18"/>
              <w:szCs w:val="18"/>
            </w:rPr>
            <w:t xml:space="preserve">  </w:t>
          </w:r>
          <w:r>
            <w:rPr>
              <w:rFonts w:ascii="Times New Roman" w:hAnsi="Times New Roman" w:eastAsia="Times New Roman" w:cs="Times New Roman"/>
              <w:sz w:val="18"/>
              <w:szCs w:val="18"/>
            </w:rPr>
            <w:t>C</w:t>
          </w:r>
          <w:r>
            <w:rPr>
              <w:rFonts w:ascii="Times New Roman" w:hAnsi="Times New Roman" w:eastAsia="Times New Roman" w:cs="Times New Roman"/>
              <w:spacing w:val="19"/>
              <w:sz w:val="18"/>
              <w:szCs w:val="18"/>
            </w:rPr>
            <w:t xml:space="preserve">  </w:t>
          </w:r>
          <w:r>
            <w:rPr>
              <w:rFonts w:ascii="Times New Roman" w:hAnsi="Times New Roman" w:eastAsia="Times New Roman" w:cs="Times New Roman"/>
              <w:sz w:val="18"/>
              <w:szCs w:val="18"/>
            </w:rPr>
            <w:t>virus</w:t>
          </w:r>
          <w:r>
            <w:rPr>
              <w:rFonts w:ascii="Times New Roman" w:hAnsi="Times New Roman" w:eastAsia="Times New Roman" w:cs="Times New Roman"/>
              <w:spacing w:val="4"/>
              <w:sz w:val="18"/>
              <w:szCs w:val="18"/>
            </w:rPr>
            <w:t>,</w:t>
          </w:r>
          <w:r>
            <w:rPr>
              <w:rFonts w:ascii="Times New Roman" w:hAnsi="Times New Roman" w:eastAsia="Times New Roman" w:cs="Times New Roman"/>
              <w:sz w:val="18"/>
              <w:szCs w:val="18"/>
            </w:rPr>
            <w:t>HCV</w:t>
          </w:r>
          <w:r>
            <w:rPr>
              <w:rFonts w:ascii="Times New Roman" w:hAnsi="Times New Roman" w:eastAsia="Times New Roman" w:cs="Times New Roman"/>
              <w:spacing w:val="20"/>
              <w:sz w:val="18"/>
              <w:szCs w:val="18"/>
            </w:rPr>
            <w:t xml:space="preserve">  </w:t>
          </w:r>
          <w:r>
            <w:fldChar w:fldCharType="begin"/>
          </w:r>
          <w:r>
            <w:instrText xml:space="preserve"> HYPERLINK \l "bookmark613" </w:instrText>
          </w:r>
          <w:r>
            <w:fldChar w:fldCharType="separate"/>
          </w:r>
          <w:r>
            <w:rPr>
              <w:rFonts w:ascii="Times New Roman" w:hAnsi="Times New Roman" w:eastAsia="Times New Roman" w:cs="Times New Roman"/>
              <w:spacing w:val="4"/>
              <w:sz w:val="18"/>
              <w:szCs w:val="18"/>
            </w:rPr>
            <w:t>265</w:t>
          </w:r>
          <w:r>
            <w:rPr>
              <w:rFonts w:ascii="Times New Roman" w:hAnsi="Times New Roman" w:eastAsia="Times New Roman" w:cs="Times New Roman"/>
              <w:spacing w:val="4"/>
              <w:sz w:val="18"/>
              <w:szCs w:val="18"/>
            </w:rPr>
            <w:fldChar w:fldCharType="end"/>
          </w:r>
        </w:p>
        <w:p w14:paraId="26DAB16C">
          <w:pPr>
            <w:spacing w:before="123" w:line="212" w:lineRule="auto"/>
            <w:ind w:left="39"/>
            <w:rPr>
              <w:rFonts w:ascii="Times New Roman" w:hAnsi="Times New Roman" w:eastAsia="Times New Roman" w:cs="Times New Roman"/>
              <w:sz w:val="18"/>
              <w:szCs w:val="18"/>
            </w:rPr>
          </w:pPr>
          <w:r>
            <w:rPr>
              <w:rFonts w:ascii="宋体" w:hAnsi="宋体" w:eastAsia="宋体" w:cs="宋体"/>
              <w:spacing w:val="3"/>
              <w:sz w:val="18"/>
              <w:szCs w:val="18"/>
            </w:rPr>
            <w:t>并联试验</w:t>
          </w:r>
          <w:r>
            <w:rPr>
              <w:rFonts w:ascii="宋体" w:hAnsi="宋体" w:eastAsia="宋体" w:cs="宋体"/>
              <w:spacing w:val="72"/>
              <w:sz w:val="18"/>
              <w:szCs w:val="18"/>
            </w:rPr>
            <w:t xml:space="preserve"> </w:t>
          </w:r>
          <w:r>
            <w:rPr>
              <w:rFonts w:ascii="Times New Roman" w:hAnsi="Times New Roman" w:eastAsia="Times New Roman" w:cs="Times New Roman"/>
              <w:sz w:val="18"/>
              <w:szCs w:val="18"/>
            </w:rPr>
            <w:t>parallel</w:t>
          </w:r>
          <w:r>
            <w:rPr>
              <w:rFonts w:ascii="Times New Roman" w:hAnsi="Times New Roman" w:eastAsia="Times New Roman" w:cs="Times New Roman"/>
              <w:spacing w:val="7"/>
              <w:sz w:val="18"/>
              <w:szCs w:val="18"/>
            </w:rPr>
            <w:t xml:space="preserve">   </w:t>
          </w:r>
          <w:r>
            <w:rPr>
              <w:rFonts w:ascii="Times New Roman" w:hAnsi="Times New Roman" w:eastAsia="Times New Roman" w:cs="Times New Roman"/>
              <w:sz w:val="18"/>
              <w:szCs w:val="18"/>
            </w:rPr>
            <w:t>test</w:t>
          </w:r>
          <w:r>
            <w:rPr>
              <w:rFonts w:ascii="Times New Roman" w:hAnsi="Times New Roman" w:eastAsia="Times New Roman" w:cs="Times New Roman"/>
              <w:spacing w:val="13"/>
              <w:sz w:val="18"/>
              <w:szCs w:val="18"/>
            </w:rPr>
            <w:t xml:space="preserve">   </w:t>
          </w:r>
          <w:r>
            <w:fldChar w:fldCharType="begin"/>
          </w:r>
          <w:r>
            <w:instrText xml:space="preserve"> HYPERLINK \l "bookmark614" </w:instrText>
          </w:r>
          <w:r>
            <w:fldChar w:fldCharType="separate"/>
          </w:r>
          <w:r>
            <w:rPr>
              <w:rFonts w:ascii="Times New Roman" w:hAnsi="Times New Roman" w:eastAsia="Times New Roman" w:cs="Times New Roman"/>
              <w:spacing w:val="3"/>
              <w:sz w:val="18"/>
              <w:szCs w:val="18"/>
            </w:rPr>
            <w:t>112</w:t>
          </w:r>
          <w:r>
            <w:rPr>
              <w:rFonts w:ascii="Times New Roman" w:hAnsi="Times New Roman" w:eastAsia="Times New Roman" w:cs="Times New Roman"/>
              <w:spacing w:val="3"/>
              <w:sz w:val="18"/>
              <w:szCs w:val="18"/>
            </w:rPr>
            <w:fldChar w:fldCharType="end"/>
          </w:r>
        </w:p>
        <w:p w14:paraId="65950DB9">
          <w:pPr>
            <w:spacing w:before="123" w:line="212" w:lineRule="auto"/>
            <w:ind w:left="39"/>
            <w:rPr>
              <w:rFonts w:ascii="Times New Roman" w:hAnsi="Times New Roman" w:eastAsia="Times New Roman" w:cs="Times New Roman"/>
              <w:sz w:val="18"/>
              <w:szCs w:val="18"/>
            </w:rPr>
          </w:pPr>
          <w:r>
            <w:rPr>
              <w:rFonts w:ascii="宋体" w:hAnsi="宋体" w:eastAsia="宋体" w:cs="宋体"/>
              <w:spacing w:val="2"/>
              <w:sz w:val="18"/>
              <w:szCs w:val="18"/>
            </w:rPr>
            <w:t>病程偏倚</w:t>
          </w:r>
          <w:r>
            <w:rPr>
              <w:rFonts w:ascii="宋体" w:hAnsi="宋体" w:eastAsia="宋体" w:cs="宋体"/>
              <w:spacing w:val="74"/>
              <w:w w:val="101"/>
              <w:sz w:val="18"/>
              <w:szCs w:val="18"/>
            </w:rPr>
            <w:t xml:space="preserve"> </w:t>
          </w:r>
          <w:r>
            <w:rPr>
              <w:rFonts w:ascii="Times New Roman" w:hAnsi="Times New Roman" w:eastAsia="Times New Roman" w:cs="Times New Roman"/>
              <w:sz w:val="18"/>
              <w:szCs w:val="18"/>
            </w:rPr>
            <w:t>length</w:t>
          </w:r>
          <w:r>
            <w:rPr>
              <w:rFonts w:ascii="Times New Roman" w:hAnsi="Times New Roman" w:eastAsia="Times New Roman" w:cs="Times New Roman"/>
              <w:spacing w:val="7"/>
              <w:sz w:val="18"/>
              <w:szCs w:val="18"/>
            </w:rPr>
            <w:t xml:space="preserve">   </w:t>
          </w:r>
          <w:r>
            <w:rPr>
              <w:rFonts w:ascii="Times New Roman" w:hAnsi="Times New Roman" w:eastAsia="Times New Roman" w:cs="Times New Roman"/>
              <w:sz w:val="18"/>
              <w:szCs w:val="18"/>
            </w:rPr>
            <w:t>bias</w:t>
          </w:r>
          <w:r>
            <w:rPr>
              <w:rFonts w:ascii="Times New Roman" w:hAnsi="Times New Roman" w:eastAsia="Times New Roman" w:cs="Times New Roman"/>
              <w:spacing w:val="14"/>
              <w:sz w:val="18"/>
              <w:szCs w:val="18"/>
            </w:rPr>
            <w:t xml:space="preserve">   </w:t>
          </w:r>
          <w:r>
            <w:fldChar w:fldCharType="begin"/>
          </w:r>
          <w:r>
            <w:instrText xml:space="preserve"> HYPERLINK \l "bookmark615" </w:instrText>
          </w:r>
          <w:r>
            <w:fldChar w:fldCharType="separate"/>
          </w:r>
          <w:r>
            <w:rPr>
              <w:rFonts w:ascii="Times New Roman" w:hAnsi="Times New Roman" w:eastAsia="Times New Roman" w:cs="Times New Roman"/>
              <w:spacing w:val="2"/>
              <w:sz w:val="18"/>
              <w:szCs w:val="18"/>
            </w:rPr>
            <w:t>114</w:t>
          </w:r>
          <w:r>
            <w:rPr>
              <w:rFonts w:ascii="Times New Roman" w:hAnsi="Times New Roman" w:eastAsia="Times New Roman" w:cs="Times New Roman"/>
              <w:spacing w:val="2"/>
              <w:sz w:val="18"/>
              <w:szCs w:val="18"/>
            </w:rPr>
            <w:fldChar w:fldCharType="end"/>
          </w:r>
        </w:p>
        <w:p w14:paraId="0F2384BD">
          <w:pPr>
            <w:spacing w:before="124" w:line="212" w:lineRule="auto"/>
            <w:ind w:left="39"/>
            <w:rPr>
              <w:rFonts w:ascii="Times New Roman" w:hAnsi="Times New Roman" w:eastAsia="Times New Roman" w:cs="Times New Roman"/>
              <w:sz w:val="18"/>
              <w:szCs w:val="18"/>
            </w:rPr>
          </w:pPr>
          <w:r>
            <w:rPr>
              <w:rFonts w:ascii="宋体" w:hAnsi="宋体" w:eastAsia="宋体" w:cs="宋体"/>
              <w:spacing w:val="3"/>
              <w:sz w:val="18"/>
              <w:szCs w:val="18"/>
            </w:rPr>
            <w:t xml:space="preserve">病毒性肝炎  </w:t>
          </w:r>
          <w:r>
            <w:rPr>
              <w:rFonts w:ascii="Times New Roman" w:hAnsi="Times New Roman" w:eastAsia="Times New Roman" w:cs="Times New Roman"/>
              <w:sz w:val="18"/>
              <w:szCs w:val="18"/>
            </w:rPr>
            <w:t>viral</w:t>
          </w:r>
          <w:r>
            <w:rPr>
              <w:rFonts w:ascii="Times New Roman" w:hAnsi="Times New Roman" w:eastAsia="Times New Roman" w:cs="Times New Roman"/>
              <w:spacing w:val="3"/>
              <w:sz w:val="18"/>
              <w:szCs w:val="18"/>
            </w:rPr>
            <w:t xml:space="preserve">   </w:t>
          </w:r>
          <w:r>
            <w:rPr>
              <w:rFonts w:ascii="Times New Roman" w:hAnsi="Times New Roman" w:eastAsia="Times New Roman" w:cs="Times New Roman"/>
              <w:sz w:val="18"/>
              <w:szCs w:val="18"/>
            </w:rPr>
            <w:t>hepatitis</w:t>
          </w:r>
          <w:r>
            <w:rPr>
              <w:rFonts w:ascii="Times New Roman" w:hAnsi="Times New Roman" w:eastAsia="Times New Roman" w:cs="Times New Roman"/>
              <w:spacing w:val="3"/>
              <w:sz w:val="18"/>
              <w:szCs w:val="18"/>
            </w:rPr>
            <w:t xml:space="preserve">   </w:t>
          </w:r>
          <w:r>
            <w:fldChar w:fldCharType="begin"/>
          </w:r>
          <w:r>
            <w:instrText xml:space="preserve"> HYPERLINK \l "bookmark616" </w:instrText>
          </w:r>
          <w:r>
            <w:fldChar w:fldCharType="separate"/>
          </w:r>
          <w:r>
            <w:rPr>
              <w:rFonts w:ascii="Times New Roman" w:hAnsi="Times New Roman" w:eastAsia="Times New Roman" w:cs="Times New Roman"/>
              <w:spacing w:val="3"/>
              <w:sz w:val="18"/>
              <w:szCs w:val="18"/>
            </w:rPr>
            <w:t>265</w:t>
          </w:r>
          <w:r>
            <w:rPr>
              <w:rFonts w:ascii="Times New Roman" w:hAnsi="Times New Roman" w:eastAsia="Times New Roman" w:cs="Times New Roman"/>
              <w:spacing w:val="3"/>
              <w:sz w:val="18"/>
              <w:szCs w:val="18"/>
            </w:rPr>
            <w:fldChar w:fldCharType="end"/>
          </w:r>
        </w:p>
      </w:sdtContent>
    </w:sdt>
    <w:p w14:paraId="06503EAE">
      <w:pPr>
        <w:spacing w:before="123" w:line="212" w:lineRule="auto"/>
        <w:ind w:left="39"/>
        <w:rPr>
          <w:rFonts w:ascii="Times New Roman" w:hAnsi="Times New Roman" w:eastAsia="Times New Roman" w:cs="Times New Roman"/>
          <w:sz w:val="18"/>
          <w:szCs w:val="18"/>
        </w:rPr>
      </w:pPr>
      <w:r>
        <w:rPr>
          <w:rFonts w:ascii="宋体" w:hAnsi="宋体" w:eastAsia="宋体" w:cs="宋体"/>
          <w:spacing w:val="5"/>
          <w:sz w:val="18"/>
          <w:szCs w:val="18"/>
        </w:rPr>
        <w:t>病例报告</w:t>
      </w:r>
      <w:r>
        <w:rPr>
          <w:rFonts w:ascii="宋体" w:hAnsi="宋体" w:eastAsia="宋体" w:cs="宋体"/>
          <w:spacing w:val="67"/>
          <w:sz w:val="18"/>
          <w:szCs w:val="18"/>
        </w:rPr>
        <w:t xml:space="preserve"> </w:t>
      </w:r>
      <w:r>
        <w:rPr>
          <w:rFonts w:ascii="Times New Roman" w:hAnsi="Times New Roman" w:eastAsia="Times New Roman" w:cs="Times New Roman"/>
          <w:sz w:val="18"/>
          <w:szCs w:val="18"/>
        </w:rPr>
        <w:t>case</w:t>
      </w:r>
      <w:r>
        <w:rPr>
          <w:rFonts w:ascii="Times New Roman" w:hAnsi="Times New Roman" w:eastAsia="Times New Roman" w:cs="Times New Roman"/>
          <w:spacing w:val="7"/>
          <w:sz w:val="18"/>
          <w:szCs w:val="18"/>
        </w:rPr>
        <w:t xml:space="preserve">   </w:t>
      </w:r>
      <w:r>
        <w:rPr>
          <w:rFonts w:ascii="Times New Roman" w:hAnsi="Times New Roman" w:eastAsia="Times New Roman" w:cs="Times New Roman"/>
          <w:sz w:val="18"/>
          <w:szCs w:val="18"/>
        </w:rPr>
        <w:t>report</w:t>
      </w:r>
      <w:r>
        <w:rPr>
          <w:rFonts w:ascii="Times New Roman" w:hAnsi="Times New Roman" w:eastAsia="Times New Roman" w:cs="Times New Roman"/>
          <w:spacing w:val="9"/>
          <w:sz w:val="18"/>
          <w:szCs w:val="18"/>
        </w:rPr>
        <w:t xml:space="preserve">   </w:t>
      </w:r>
      <w:r>
        <w:rPr>
          <w:rFonts w:ascii="Times New Roman" w:hAnsi="Times New Roman" w:eastAsia="Times New Roman" w:cs="Times New Roman"/>
          <w:spacing w:val="5"/>
          <w:sz w:val="18"/>
          <w:szCs w:val="18"/>
        </w:rPr>
        <w:t>31</w:t>
      </w:r>
    </w:p>
    <w:p w14:paraId="301D7410">
      <w:pPr>
        <w:spacing w:before="123" w:line="212" w:lineRule="auto"/>
        <w:ind w:left="39"/>
        <w:rPr>
          <w:rFonts w:ascii="Times New Roman" w:hAnsi="Times New Roman" w:eastAsia="Times New Roman" w:cs="Times New Roman"/>
          <w:sz w:val="18"/>
          <w:szCs w:val="18"/>
        </w:rPr>
      </w:pPr>
      <w:r>
        <w:rPr>
          <w:rFonts w:ascii="宋体" w:hAnsi="宋体" w:eastAsia="宋体" w:cs="宋体"/>
          <w:spacing w:val="4"/>
          <w:sz w:val="18"/>
          <w:szCs w:val="18"/>
        </w:rPr>
        <w:t>病例对照研究</w:t>
      </w:r>
      <w:r>
        <w:rPr>
          <w:rFonts w:ascii="宋体" w:hAnsi="宋体" w:eastAsia="宋体" w:cs="宋体"/>
          <w:spacing w:val="77"/>
          <w:sz w:val="18"/>
          <w:szCs w:val="18"/>
        </w:rPr>
        <w:t xml:space="preserve"> </w:t>
      </w:r>
      <w:r>
        <w:rPr>
          <w:rFonts w:ascii="Times New Roman" w:hAnsi="Times New Roman" w:eastAsia="Times New Roman" w:cs="Times New Roman"/>
          <w:sz w:val="18"/>
          <w:szCs w:val="18"/>
        </w:rPr>
        <w:t>case</w:t>
      </w:r>
      <w:r>
        <w:rPr>
          <w:rFonts w:ascii="Times New Roman" w:hAnsi="Times New Roman" w:eastAsia="Times New Roman" w:cs="Times New Roman"/>
          <w:spacing w:val="4"/>
          <w:sz w:val="18"/>
          <w:szCs w:val="18"/>
        </w:rPr>
        <w:t>-</w:t>
      </w:r>
      <w:r>
        <w:rPr>
          <w:rFonts w:ascii="Times New Roman" w:hAnsi="Times New Roman" w:eastAsia="Times New Roman" w:cs="Times New Roman"/>
          <w:sz w:val="18"/>
          <w:szCs w:val="18"/>
        </w:rPr>
        <w:t>control</w:t>
      </w:r>
      <w:r>
        <w:rPr>
          <w:rFonts w:ascii="Times New Roman" w:hAnsi="Times New Roman" w:eastAsia="Times New Roman" w:cs="Times New Roman"/>
          <w:spacing w:val="4"/>
          <w:sz w:val="18"/>
          <w:szCs w:val="18"/>
        </w:rPr>
        <w:t xml:space="preserve">   </w:t>
      </w:r>
      <w:r>
        <w:rPr>
          <w:rFonts w:ascii="Times New Roman" w:hAnsi="Times New Roman" w:eastAsia="Times New Roman" w:cs="Times New Roman"/>
          <w:sz w:val="18"/>
          <w:szCs w:val="18"/>
        </w:rPr>
        <w:t>study</w:t>
      </w:r>
      <w:r>
        <w:rPr>
          <w:rFonts w:ascii="Times New Roman" w:hAnsi="Times New Roman" w:eastAsia="Times New Roman" w:cs="Times New Roman"/>
          <w:spacing w:val="5"/>
          <w:sz w:val="18"/>
          <w:szCs w:val="18"/>
        </w:rPr>
        <w:t xml:space="preserve">   </w:t>
      </w:r>
      <w:r>
        <w:rPr>
          <w:rFonts w:ascii="Times New Roman" w:hAnsi="Times New Roman" w:eastAsia="Times New Roman" w:cs="Times New Roman"/>
          <w:spacing w:val="4"/>
          <w:sz w:val="18"/>
          <w:szCs w:val="18"/>
        </w:rPr>
        <w:t>62</w:t>
      </w:r>
    </w:p>
    <w:sdt>
      <w:sdtPr>
        <w:rPr>
          <w:rFonts w:ascii="宋体" w:hAnsi="宋体" w:eastAsia="宋体" w:cs="宋体"/>
          <w:sz w:val="18"/>
          <w:szCs w:val="18"/>
        </w:rPr>
        <w:id w:val="138691620"/>
        <w:docPartObj>
          <w:docPartGallery w:val="Table of Contents"/>
          <w:docPartUnique/>
        </w:docPartObj>
      </w:sdtPr>
      <w:sdtEndPr>
        <w:rPr>
          <w:rFonts w:ascii="Times New Roman" w:hAnsi="Times New Roman" w:eastAsia="Times New Roman" w:cs="Times New Roman"/>
          <w:sz w:val="18"/>
          <w:szCs w:val="18"/>
        </w:rPr>
      </w:sdtEndPr>
      <w:sdtContent>
        <w:p w14:paraId="2C00C826">
          <w:pPr>
            <w:spacing w:before="140" w:line="215" w:lineRule="auto"/>
            <w:ind w:left="39"/>
            <w:rPr>
              <w:rFonts w:ascii="宋体" w:hAnsi="宋体" w:eastAsia="宋体" w:cs="宋体"/>
              <w:sz w:val="18"/>
              <w:szCs w:val="18"/>
            </w:rPr>
          </w:pPr>
          <w:r>
            <w:rPr>
              <w:rFonts w:ascii="宋体" w:hAnsi="宋体" w:eastAsia="宋体" w:cs="宋体"/>
              <w:spacing w:val="-7"/>
              <w:sz w:val="18"/>
              <w:szCs w:val="18"/>
            </w:rPr>
            <w:t>病例系列分析</w:t>
          </w:r>
          <w:r>
            <w:rPr>
              <w:rFonts w:ascii="宋体" w:hAnsi="宋体" w:eastAsia="宋体" w:cs="宋体"/>
              <w:spacing w:val="83"/>
              <w:sz w:val="18"/>
              <w:szCs w:val="18"/>
            </w:rPr>
            <w:t xml:space="preserve"> </w:t>
          </w:r>
          <w:r>
            <w:rPr>
              <w:rFonts w:ascii="宋体" w:hAnsi="宋体" w:eastAsia="宋体" w:cs="宋体"/>
              <w:spacing w:val="-7"/>
              <w:sz w:val="18"/>
              <w:szCs w:val="18"/>
            </w:rPr>
            <w:t xml:space="preserve">case series analysis </w:t>
          </w:r>
          <w:r>
            <w:fldChar w:fldCharType="begin"/>
          </w:r>
          <w:r>
            <w:instrText xml:space="preserve"> HYPERLINK \l "bookmark617" </w:instrText>
          </w:r>
          <w:r>
            <w:fldChar w:fldCharType="separate"/>
          </w:r>
          <w:r>
            <w:rPr>
              <w:rFonts w:ascii="宋体" w:hAnsi="宋体" w:eastAsia="宋体" w:cs="宋体"/>
              <w:spacing w:val="-7"/>
              <w:sz w:val="18"/>
              <w:szCs w:val="18"/>
            </w:rPr>
            <w:t>31</w:t>
          </w:r>
          <w:r>
            <w:rPr>
              <w:rFonts w:ascii="宋体" w:hAnsi="宋体" w:eastAsia="宋体" w:cs="宋体"/>
              <w:spacing w:val="-7"/>
              <w:sz w:val="18"/>
              <w:szCs w:val="18"/>
            </w:rPr>
            <w:fldChar w:fldCharType="end"/>
          </w:r>
        </w:p>
        <w:p w14:paraId="50279583">
          <w:pPr>
            <w:spacing w:before="123" w:line="219" w:lineRule="auto"/>
            <w:ind w:left="39"/>
            <w:rPr>
              <w:rFonts w:ascii="Times New Roman" w:hAnsi="Times New Roman" w:eastAsia="Times New Roman" w:cs="Times New Roman"/>
              <w:sz w:val="18"/>
              <w:szCs w:val="18"/>
            </w:rPr>
          </w:pPr>
          <w:r>
            <w:rPr>
              <w:rFonts w:ascii="宋体" w:hAnsi="宋体" w:eastAsia="宋体" w:cs="宋体"/>
              <w:spacing w:val="2"/>
              <w:sz w:val="18"/>
              <w:szCs w:val="18"/>
            </w:rPr>
            <w:t>病媒生物</w:t>
          </w:r>
          <w:r>
            <w:rPr>
              <w:rFonts w:ascii="宋体" w:hAnsi="宋体" w:eastAsia="宋体" w:cs="宋体"/>
              <w:spacing w:val="89"/>
              <w:sz w:val="18"/>
              <w:szCs w:val="18"/>
            </w:rPr>
            <w:t xml:space="preserve"> </w:t>
          </w:r>
          <w:r>
            <w:rPr>
              <w:rFonts w:ascii="Times New Roman" w:hAnsi="Times New Roman" w:eastAsia="Times New Roman" w:cs="Times New Roman"/>
              <w:sz w:val="18"/>
              <w:szCs w:val="18"/>
            </w:rPr>
            <w:t>vector</w:t>
          </w:r>
          <w:r>
            <w:rPr>
              <w:rFonts w:ascii="Times New Roman" w:hAnsi="Times New Roman" w:eastAsia="Times New Roman" w:cs="Times New Roman"/>
              <w:spacing w:val="2"/>
              <w:sz w:val="18"/>
              <w:szCs w:val="18"/>
            </w:rPr>
            <w:t xml:space="preserve">     </w:t>
          </w:r>
          <w:r>
            <w:fldChar w:fldCharType="begin"/>
          </w:r>
          <w:r>
            <w:instrText xml:space="preserve"> HYPERLINK \l "bookmark618" </w:instrText>
          </w:r>
          <w:r>
            <w:fldChar w:fldCharType="separate"/>
          </w:r>
          <w:r>
            <w:rPr>
              <w:rFonts w:ascii="Times New Roman" w:hAnsi="Times New Roman" w:eastAsia="Times New Roman" w:cs="Times New Roman"/>
              <w:spacing w:val="2"/>
              <w:sz w:val="18"/>
              <w:szCs w:val="18"/>
            </w:rPr>
            <w:t>181</w:t>
          </w:r>
          <w:r>
            <w:rPr>
              <w:rFonts w:ascii="Times New Roman" w:hAnsi="Times New Roman" w:eastAsia="Times New Roman" w:cs="Times New Roman"/>
              <w:spacing w:val="2"/>
              <w:sz w:val="18"/>
              <w:szCs w:val="18"/>
            </w:rPr>
            <w:fldChar w:fldCharType="end"/>
          </w:r>
        </w:p>
      </w:sdtContent>
    </w:sdt>
    <w:p w14:paraId="1CCA72E9">
      <w:pPr>
        <w:spacing w:before="97" w:line="212" w:lineRule="auto"/>
        <w:ind w:left="39"/>
        <w:rPr>
          <w:rFonts w:ascii="Times New Roman" w:hAnsi="Times New Roman" w:eastAsia="Times New Roman" w:cs="Times New Roman"/>
          <w:sz w:val="18"/>
          <w:szCs w:val="18"/>
        </w:rPr>
      </w:pPr>
      <w:r>
        <w:rPr>
          <w:rFonts w:ascii="宋体" w:hAnsi="宋体" w:eastAsia="宋体" w:cs="宋体"/>
          <w:spacing w:val="4"/>
          <w:sz w:val="18"/>
          <w:szCs w:val="18"/>
        </w:rPr>
        <w:t>病死率</w:t>
      </w:r>
      <w:r>
        <w:rPr>
          <w:rFonts w:ascii="宋体" w:hAnsi="宋体" w:eastAsia="宋体" w:cs="宋体"/>
          <w:spacing w:val="52"/>
          <w:sz w:val="18"/>
          <w:szCs w:val="18"/>
        </w:rPr>
        <w:t xml:space="preserve"> </w:t>
      </w:r>
      <w:r>
        <w:rPr>
          <w:rFonts w:ascii="Times New Roman" w:hAnsi="Times New Roman" w:eastAsia="Times New Roman" w:cs="Times New Roman"/>
          <w:sz w:val="18"/>
          <w:szCs w:val="18"/>
        </w:rPr>
        <w:t>case</w:t>
      </w:r>
      <w:r>
        <w:rPr>
          <w:rFonts w:ascii="Times New Roman" w:hAnsi="Times New Roman" w:eastAsia="Times New Roman" w:cs="Times New Roman"/>
          <w:spacing w:val="14"/>
          <w:w w:val="101"/>
          <w:sz w:val="18"/>
          <w:szCs w:val="18"/>
        </w:rPr>
        <w:t xml:space="preserve">  </w:t>
      </w:r>
      <w:r>
        <w:rPr>
          <w:rFonts w:ascii="Times New Roman" w:hAnsi="Times New Roman" w:eastAsia="Times New Roman" w:cs="Times New Roman"/>
          <w:sz w:val="18"/>
          <w:szCs w:val="18"/>
        </w:rPr>
        <w:t>fatality</w:t>
      </w:r>
      <w:r>
        <w:rPr>
          <w:rFonts w:ascii="Times New Roman" w:hAnsi="Times New Roman" w:eastAsia="Times New Roman" w:cs="Times New Roman"/>
          <w:spacing w:val="11"/>
          <w:w w:val="101"/>
          <w:sz w:val="18"/>
          <w:szCs w:val="18"/>
        </w:rPr>
        <w:t xml:space="preserve">  </w:t>
      </w:r>
      <w:r>
        <w:rPr>
          <w:rFonts w:ascii="Times New Roman" w:hAnsi="Times New Roman" w:eastAsia="Times New Roman" w:cs="Times New Roman"/>
          <w:sz w:val="18"/>
          <w:szCs w:val="18"/>
        </w:rPr>
        <w:t>rate</w:t>
      </w:r>
      <w:r>
        <w:rPr>
          <w:rFonts w:ascii="Times New Roman" w:hAnsi="Times New Roman" w:eastAsia="Times New Roman" w:cs="Times New Roman"/>
          <w:spacing w:val="21"/>
          <w:sz w:val="18"/>
          <w:szCs w:val="18"/>
        </w:rPr>
        <w:t xml:space="preserve">  </w:t>
      </w:r>
      <w:r>
        <w:rPr>
          <w:rFonts w:ascii="Times New Roman" w:hAnsi="Times New Roman" w:eastAsia="Times New Roman" w:cs="Times New Roman"/>
          <w:spacing w:val="4"/>
          <w:sz w:val="18"/>
          <w:szCs w:val="18"/>
        </w:rPr>
        <w:t>14</w:t>
      </w:r>
    </w:p>
    <w:p w14:paraId="1D8F7919">
      <w:pPr>
        <w:spacing w:before="145" w:line="221" w:lineRule="auto"/>
        <w:ind w:left="39"/>
        <w:rPr>
          <w:rFonts w:ascii="Times New Roman" w:hAnsi="Times New Roman" w:eastAsia="Times New Roman" w:cs="Times New Roman"/>
          <w:sz w:val="18"/>
          <w:szCs w:val="18"/>
        </w:rPr>
      </w:pPr>
      <w:r>
        <w:rPr>
          <w:rFonts w:ascii="宋体" w:hAnsi="宋体" w:eastAsia="宋体" w:cs="宋体"/>
          <w:spacing w:val="-2"/>
          <w:sz w:val="18"/>
          <w:szCs w:val="18"/>
        </w:rPr>
        <w:t>病</w:t>
      </w:r>
      <w:r>
        <w:rPr>
          <w:rFonts w:ascii="宋体" w:hAnsi="宋体" w:eastAsia="宋体" w:cs="宋体"/>
          <w:spacing w:val="-23"/>
          <w:sz w:val="18"/>
          <w:szCs w:val="18"/>
        </w:rPr>
        <w:t xml:space="preserve"> </w:t>
      </w:r>
      <w:r>
        <w:rPr>
          <w:rFonts w:ascii="宋体" w:hAnsi="宋体" w:eastAsia="宋体" w:cs="宋体"/>
          <w:spacing w:val="-2"/>
          <w:sz w:val="18"/>
          <w:szCs w:val="18"/>
        </w:rPr>
        <w:t>因</w:t>
      </w:r>
      <w:r>
        <w:rPr>
          <w:rFonts w:ascii="宋体" w:hAnsi="宋体" w:eastAsia="宋体" w:cs="宋体"/>
          <w:spacing w:val="71"/>
          <w:sz w:val="18"/>
          <w:szCs w:val="18"/>
        </w:rPr>
        <w:t xml:space="preserve"> </w:t>
      </w:r>
      <w:r>
        <w:rPr>
          <w:rFonts w:ascii="Times New Roman" w:hAnsi="Times New Roman" w:eastAsia="Times New Roman" w:cs="Times New Roman"/>
          <w:spacing w:val="-2"/>
          <w:sz w:val="18"/>
          <w:szCs w:val="18"/>
        </w:rPr>
        <w:t>cause</w:t>
      </w:r>
      <w:r>
        <w:rPr>
          <w:rFonts w:ascii="Times New Roman" w:hAnsi="Times New Roman" w:eastAsia="Times New Roman" w:cs="Times New Roman"/>
          <w:spacing w:val="11"/>
          <w:sz w:val="18"/>
          <w:szCs w:val="18"/>
        </w:rPr>
        <w:t xml:space="preserve">  </w:t>
      </w:r>
      <w:r>
        <w:rPr>
          <w:rFonts w:ascii="Times New Roman" w:hAnsi="Times New Roman" w:eastAsia="Times New Roman" w:cs="Times New Roman"/>
          <w:spacing w:val="-2"/>
          <w:sz w:val="18"/>
          <w:szCs w:val="18"/>
        </w:rPr>
        <w:t>of  disease</w:t>
      </w:r>
      <w:r>
        <w:rPr>
          <w:rFonts w:ascii="Times New Roman" w:hAnsi="Times New Roman" w:eastAsia="Times New Roman" w:cs="Times New Roman"/>
          <w:spacing w:val="18"/>
          <w:sz w:val="18"/>
          <w:szCs w:val="18"/>
        </w:rPr>
        <w:t xml:space="preserve">  </w:t>
      </w:r>
      <w:r>
        <w:rPr>
          <w:rFonts w:ascii="Times New Roman" w:hAnsi="Times New Roman" w:eastAsia="Times New Roman" w:cs="Times New Roman"/>
          <w:spacing w:val="-2"/>
          <w:sz w:val="18"/>
          <w:szCs w:val="18"/>
        </w:rPr>
        <w:t>117</w:t>
      </w:r>
    </w:p>
    <w:p w14:paraId="528DD1D3">
      <w:pPr>
        <w:spacing w:before="93" w:line="212" w:lineRule="auto"/>
        <w:ind w:left="39"/>
        <w:rPr>
          <w:rFonts w:ascii="Times New Roman" w:hAnsi="Times New Roman" w:eastAsia="Times New Roman" w:cs="Times New Roman"/>
          <w:sz w:val="18"/>
          <w:szCs w:val="18"/>
        </w:rPr>
      </w:pPr>
      <w:r>
        <w:rPr>
          <w:rFonts w:ascii="宋体" w:hAnsi="宋体" w:eastAsia="宋体" w:cs="宋体"/>
          <w:spacing w:val="6"/>
          <w:sz w:val="18"/>
          <w:szCs w:val="18"/>
        </w:rPr>
        <w:t>病因分值</w:t>
      </w:r>
      <w:r>
        <w:rPr>
          <w:rFonts w:ascii="宋体" w:hAnsi="宋体" w:eastAsia="宋体" w:cs="宋体"/>
          <w:spacing w:val="63"/>
          <w:sz w:val="18"/>
          <w:szCs w:val="18"/>
        </w:rPr>
        <w:t xml:space="preserve"> </w:t>
      </w:r>
      <w:r>
        <w:rPr>
          <w:rFonts w:ascii="Times New Roman" w:hAnsi="Times New Roman" w:eastAsia="Times New Roman" w:cs="Times New Roman"/>
          <w:sz w:val="18"/>
          <w:szCs w:val="18"/>
        </w:rPr>
        <w:t>etiologic</w:t>
      </w:r>
      <w:r>
        <w:rPr>
          <w:rFonts w:ascii="Times New Roman" w:hAnsi="Times New Roman" w:eastAsia="Times New Roman" w:cs="Times New Roman"/>
          <w:spacing w:val="6"/>
          <w:sz w:val="18"/>
          <w:szCs w:val="18"/>
        </w:rPr>
        <w:t xml:space="preserve">   </w:t>
      </w:r>
      <w:r>
        <w:rPr>
          <w:rFonts w:ascii="Times New Roman" w:hAnsi="Times New Roman" w:eastAsia="Times New Roman" w:cs="Times New Roman"/>
          <w:sz w:val="18"/>
          <w:szCs w:val="18"/>
        </w:rPr>
        <w:t>fraction</w:t>
      </w:r>
      <w:r>
        <w:rPr>
          <w:rFonts w:ascii="Times New Roman" w:hAnsi="Times New Roman" w:eastAsia="Times New Roman" w:cs="Times New Roman"/>
          <w:spacing w:val="6"/>
          <w:sz w:val="18"/>
          <w:szCs w:val="18"/>
        </w:rPr>
        <w:t>,</w:t>
      </w:r>
      <w:r>
        <w:rPr>
          <w:rFonts w:ascii="Times New Roman" w:hAnsi="Times New Roman" w:eastAsia="Times New Roman" w:cs="Times New Roman"/>
          <w:sz w:val="18"/>
          <w:szCs w:val="18"/>
        </w:rPr>
        <w:t>EF</w:t>
      </w:r>
      <w:r>
        <w:rPr>
          <w:rFonts w:ascii="Times New Roman" w:hAnsi="Times New Roman" w:eastAsia="Times New Roman" w:cs="Times New Roman"/>
          <w:spacing w:val="8"/>
          <w:sz w:val="18"/>
          <w:szCs w:val="18"/>
        </w:rPr>
        <w:t xml:space="preserve">   </w:t>
      </w:r>
      <w:r>
        <w:rPr>
          <w:rFonts w:ascii="Times New Roman" w:hAnsi="Times New Roman" w:eastAsia="Times New Roman" w:cs="Times New Roman"/>
          <w:spacing w:val="6"/>
          <w:sz w:val="18"/>
          <w:szCs w:val="18"/>
        </w:rPr>
        <w:t>58</w:t>
      </w:r>
    </w:p>
    <w:p w14:paraId="3FD55D67">
      <w:pPr>
        <w:spacing w:before="145" w:line="184" w:lineRule="auto"/>
        <w:ind w:left="39"/>
        <w:rPr>
          <w:rFonts w:ascii="Times New Roman" w:hAnsi="Times New Roman" w:eastAsia="Times New Roman" w:cs="Times New Roman"/>
          <w:sz w:val="18"/>
          <w:szCs w:val="18"/>
        </w:rPr>
      </w:pPr>
      <w:r>
        <w:rPr>
          <w:rFonts w:ascii="宋体" w:hAnsi="宋体" w:eastAsia="宋体" w:cs="宋体"/>
          <w:spacing w:val="2"/>
          <w:sz w:val="18"/>
          <w:szCs w:val="18"/>
        </w:rPr>
        <w:t>病因链</w:t>
      </w:r>
      <w:r>
        <w:rPr>
          <w:rFonts w:ascii="宋体" w:hAnsi="宋体" w:eastAsia="宋体" w:cs="宋体"/>
          <w:spacing w:val="83"/>
          <w:sz w:val="18"/>
          <w:szCs w:val="18"/>
        </w:rPr>
        <w:t xml:space="preserve"> </w:t>
      </w:r>
      <w:r>
        <w:rPr>
          <w:rFonts w:ascii="Times New Roman" w:hAnsi="Times New Roman" w:eastAsia="Times New Roman" w:cs="Times New Roman"/>
          <w:sz w:val="18"/>
          <w:szCs w:val="18"/>
        </w:rPr>
        <w:t>chain</w:t>
      </w:r>
      <w:r>
        <w:rPr>
          <w:rFonts w:ascii="Times New Roman" w:hAnsi="Times New Roman" w:eastAsia="Times New Roman" w:cs="Times New Roman"/>
          <w:spacing w:val="2"/>
          <w:sz w:val="18"/>
          <w:szCs w:val="18"/>
        </w:rPr>
        <w:t xml:space="preserve">  </w:t>
      </w:r>
      <w:r>
        <w:rPr>
          <w:rFonts w:ascii="Times New Roman" w:hAnsi="Times New Roman" w:eastAsia="Times New Roman" w:cs="Times New Roman"/>
          <w:sz w:val="18"/>
          <w:szCs w:val="18"/>
        </w:rPr>
        <w:t>of</w:t>
      </w:r>
      <w:r>
        <w:rPr>
          <w:rFonts w:ascii="Times New Roman" w:hAnsi="Times New Roman" w:eastAsia="Times New Roman" w:cs="Times New Roman"/>
          <w:spacing w:val="2"/>
          <w:sz w:val="18"/>
          <w:szCs w:val="18"/>
        </w:rPr>
        <w:t xml:space="preserve">  </w:t>
      </w:r>
      <w:r>
        <w:rPr>
          <w:rFonts w:ascii="Times New Roman" w:hAnsi="Times New Roman" w:eastAsia="Times New Roman" w:cs="Times New Roman"/>
          <w:sz w:val="18"/>
          <w:szCs w:val="18"/>
        </w:rPr>
        <w:t>causation</w:t>
      </w:r>
      <w:r>
        <w:rPr>
          <w:rFonts w:ascii="Times New Roman" w:hAnsi="Times New Roman" w:eastAsia="Times New Roman" w:cs="Times New Roman"/>
          <w:spacing w:val="2"/>
          <w:sz w:val="18"/>
          <w:szCs w:val="18"/>
        </w:rPr>
        <w:t xml:space="preserve">   122</w:t>
      </w:r>
    </w:p>
    <w:p w14:paraId="4CD603AF">
      <w:pPr>
        <w:spacing w:line="14" w:lineRule="auto"/>
        <w:rPr>
          <w:rFonts w:ascii="Arial"/>
          <w:sz w:val="2"/>
        </w:rPr>
      </w:pPr>
      <w:r>
        <w:rPr>
          <w:rFonts w:ascii="Arial" w:hAnsi="Arial" w:eastAsia="Arial" w:cs="Arial"/>
          <w:sz w:val="2"/>
          <w:szCs w:val="2"/>
        </w:rPr>
        <w:br w:type="column"/>
      </w:r>
    </w:p>
    <w:sdt>
      <w:sdtPr>
        <w:rPr>
          <w:rFonts w:ascii="宋体" w:hAnsi="宋体" w:eastAsia="宋体" w:cs="宋体"/>
          <w:sz w:val="18"/>
          <w:szCs w:val="18"/>
        </w:rPr>
        <w:id w:val="408773854"/>
        <w:docPartObj>
          <w:docPartGallery w:val="Table of Contents"/>
          <w:docPartUnique/>
        </w:docPartObj>
      </w:sdtPr>
      <w:sdtEndPr>
        <w:rPr>
          <w:rFonts w:ascii="Times New Roman" w:hAnsi="Times New Roman" w:eastAsia="Times New Roman" w:cs="Times New Roman"/>
          <w:sz w:val="18"/>
          <w:szCs w:val="18"/>
        </w:rPr>
      </w:sdtEndPr>
      <w:sdtContent>
        <w:p w14:paraId="2A39DAD5">
          <w:pPr>
            <w:spacing w:before="48" w:line="219" w:lineRule="auto"/>
            <w:rPr>
              <w:rFonts w:ascii="Times New Roman" w:hAnsi="Times New Roman" w:eastAsia="Times New Roman" w:cs="Times New Roman"/>
              <w:sz w:val="18"/>
              <w:szCs w:val="18"/>
            </w:rPr>
          </w:pPr>
          <w:r>
            <w:rPr>
              <w:rFonts w:ascii="宋体" w:hAnsi="宋体" w:eastAsia="宋体" w:cs="宋体"/>
              <w:spacing w:val="1"/>
              <w:sz w:val="18"/>
              <w:szCs w:val="18"/>
            </w:rPr>
            <w:t>病因模型</w:t>
          </w:r>
          <w:r>
            <w:rPr>
              <w:rFonts w:ascii="宋体" w:hAnsi="宋体" w:eastAsia="宋体" w:cs="宋体"/>
              <w:spacing w:val="64"/>
              <w:sz w:val="18"/>
              <w:szCs w:val="18"/>
            </w:rPr>
            <w:t xml:space="preserve"> </w:t>
          </w:r>
          <w:r>
            <w:rPr>
              <w:rFonts w:ascii="Times New Roman" w:hAnsi="Times New Roman" w:eastAsia="Times New Roman" w:cs="Times New Roman"/>
              <w:sz w:val="18"/>
              <w:szCs w:val="18"/>
            </w:rPr>
            <w:t>causal</w:t>
          </w:r>
          <w:r>
            <w:rPr>
              <w:rFonts w:ascii="Times New Roman" w:hAnsi="Times New Roman" w:eastAsia="Times New Roman" w:cs="Times New Roman"/>
              <w:spacing w:val="1"/>
              <w:sz w:val="18"/>
              <w:szCs w:val="18"/>
            </w:rPr>
            <w:t xml:space="preserve">   </w:t>
          </w:r>
          <w:r>
            <w:rPr>
              <w:rFonts w:ascii="Times New Roman" w:hAnsi="Times New Roman" w:eastAsia="Times New Roman" w:cs="Times New Roman"/>
              <w:sz w:val="18"/>
              <w:szCs w:val="18"/>
            </w:rPr>
            <w:t>model</w:t>
          </w:r>
          <w:r>
            <w:rPr>
              <w:rFonts w:ascii="Times New Roman" w:hAnsi="Times New Roman" w:eastAsia="Times New Roman" w:cs="Times New Roman"/>
              <w:spacing w:val="9"/>
              <w:sz w:val="18"/>
              <w:szCs w:val="18"/>
            </w:rPr>
            <w:t xml:space="preserve">   </w:t>
          </w:r>
          <w:r>
            <w:fldChar w:fldCharType="begin"/>
          </w:r>
          <w:r>
            <w:instrText xml:space="preserve"> HYPERLINK \l "bookmark619" </w:instrText>
          </w:r>
          <w:r>
            <w:fldChar w:fldCharType="separate"/>
          </w:r>
          <w:r>
            <w:rPr>
              <w:rFonts w:ascii="Times New Roman" w:hAnsi="Times New Roman" w:eastAsia="Times New Roman" w:cs="Times New Roman"/>
              <w:spacing w:val="1"/>
              <w:sz w:val="18"/>
              <w:szCs w:val="18"/>
            </w:rPr>
            <w:t>120</w:t>
          </w:r>
          <w:r>
            <w:rPr>
              <w:rFonts w:ascii="Times New Roman" w:hAnsi="Times New Roman" w:eastAsia="Times New Roman" w:cs="Times New Roman"/>
              <w:spacing w:val="1"/>
              <w:sz w:val="18"/>
              <w:szCs w:val="18"/>
            </w:rPr>
            <w:fldChar w:fldCharType="end"/>
          </w:r>
        </w:p>
        <w:p w14:paraId="23FDDC2E">
          <w:pPr>
            <w:spacing w:before="117" w:line="221" w:lineRule="auto"/>
            <w:rPr>
              <w:rFonts w:ascii="Times New Roman" w:hAnsi="Times New Roman" w:eastAsia="Times New Roman" w:cs="Times New Roman"/>
              <w:sz w:val="18"/>
              <w:szCs w:val="18"/>
            </w:rPr>
          </w:pPr>
          <w:r>
            <w:rPr>
              <w:rFonts w:ascii="宋体" w:hAnsi="宋体" w:eastAsia="宋体" w:cs="宋体"/>
              <w:spacing w:val="1"/>
              <w:sz w:val="18"/>
              <w:szCs w:val="18"/>
            </w:rPr>
            <w:t>病因网</w:t>
          </w:r>
          <w:r>
            <w:rPr>
              <w:rFonts w:ascii="宋体" w:hAnsi="宋体" w:eastAsia="宋体" w:cs="宋体"/>
              <w:spacing w:val="74"/>
              <w:sz w:val="18"/>
              <w:szCs w:val="18"/>
            </w:rPr>
            <w:t xml:space="preserve"> </w:t>
          </w:r>
          <w:r>
            <w:rPr>
              <w:rFonts w:ascii="Times New Roman" w:hAnsi="Times New Roman" w:eastAsia="Times New Roman" w:cs="Times New Roman"/>
              <w:sz w:val="18"/>
              <w:szCs w:val="18"/>
            </w:rPr>
            <w:t>web</w:t>
          </w:r>
          <w:r>
            <w:rPr>
              <w:rFonts w:ascii="Times New Roman" w:hAnsi="Times New Roman" w:eastAsia="Times New Roman" w:cs="Times New Roman"/>
              <w:spacing w:val="1"/>
              <w:sz w:val="18"/>
              <w:szCs w:val="18"/>
            </w:rPr>
            <w:t xml:space="preserve">  </w:t>
          </w:r>
          <w:r>
            <w:rPr>
              <w:rFonts w:ascii="Times New Roman" w:hAnsi="Times New Roman" w:eastAsia="Times New Roman" w:cs="Times New Roman"/>
              <w:sz w:val="18"/>
              <w:szCs w:val="18"/>
            </w:rPr>
            <w:t>of</w:t>
          </w:r>
          <w:r>
            <w:rPr>
              <w:rFonts w:ascii="Times New Roman" w:hAnsi="Times New Roman" w:eastAsia="Times New Roman" w:cs="Times New Roman"/>
              <w:spacing w:val="1"/>
              <w:sz w:val="18"/>
              <w:szCs w:val="18"/>
            </w:rPr>
            <w:t xml:space="preserve">  </w:t>
          </w:r>
          <w:r>
            <w:rPr>
              <w:rFonts w:ascii="Times New Roman" w:hAnsi="Times New Roman" w:eastAsia="Times New Roman" w:cs="Times New Roman"/>
              <w:sz w:val="18"/>
              <w:szCs w:val="18"/>
            </w:rPr>
            <w:t>causation</w:t>
          </w:r>
          <w:r>
            <w:rPr>
              <w:rFonts w:ascii="Times New Roman" w:hAnsi="Times New Roman" w:eastAsia="Times New Roman" w:cs="Times New Roman"/>
              <w:spacing w:val="13"/>
              <w:w w:val="101"/>
              <w:sz w:val="18"/>
              <w:szCs w:val="18"/>
            </w:rPr>
            <w:t xml:space="preserve">  </w:t>
          </w:r>
          <w:r>
            <w:fldChar w:fldCharType="begin"/>
          </w:r>
          <w:r>
            <w:instrText xml:space="preserve"> HYPERLINK \l "bookmark620" </w:instrText>
          </w:r>
          <w:r>
            <w:fldChar w:fldCharType="separate"/>
          </w:r>
          <w:r>
            <w:rPr>
              <w:rFonts w:ascii="Times New Roman" w:hAnsi="Times New Roman" w:eastAsia="Times New Roman" w:cs="Times New Roman"/>
              <w:spacing w:val="1"/>
              <w:sz w:val="18"/>
              <w:szCs w:val="18"/>
            </w:rPr>
            <w:t>123</w:t>
          </w:r>
          <w:r>
            <w:rPr>
              <w:rFonts w:ascii="Times New Roman" w:hAnsi="Times New Roman" w:eastAsia="Times New Roman" w:cs="Times New Roman"/>
              <w:spacing w:val="1"/>
              <w:sz w:val="18"/>
              <w:szCs w:val="18"/>
            </w:rPr>
            <w:fldChar w:fldCharType="end"/>
          </w:r>
        </w:p>
        <w:p w14:paraId="571F044B">
          <w:pPr>
            <w:spacing w:before="93" w:line="212" w:lineRule="auto"/>
            <w:rPr>
              <w:rFonts w:ascii="Times New Roman" w:hAnsi="Times New Roman" w:eastAsia="Times New Roman" w:cs="Times New Roman"/>
              <w:sz w:val="18"/>
              <w:szCs w:val="18"/>
            </w:rPr>
          </w:pPr>
          <w:r>
            <w:rPr>
              <w:rFonts w:ascii="宋体" w:hAnsi="宋体" w:eastAsia="宋体" w:cs="宋体"/>
              <w:spacing w:val="3"/>
              <w:sz w:val="18"/>
              <w:szCs w:val="18"/>
            </w:rPr>
            <w:t>病原体</w:t>
          </w:r>
          <w:r>
            <w:rPr>
              <w:rFonts w:ascii="宋体" w:hAnsi="宋体" w:eastAsia="宋体" w:cs="宋体"/>
              <w:spacing w:val="56"/>
              <w:sz w:val="18"/>
              <w:szCs w:val="18"/>
            </w:rPr>
            <w:t xml:space="preserve"> </w:t>
          </w:r>
          <w:r>
            <w:rPr>
              <w:rFonts w:ascii="Times New Roman" w:hAnsi="Times New Roman" w:eastAsia="Times New Roman" w:cs="Times New Roman"/>
              <w:sz w:val="18"/>
              <w:szCs w:val="18"/>
            </w:rPr>
            <w:t>pathogen</w:t>
          </w:r>
          <w:r>
            <w:rPr>
              <w:rFonts w:ascii="Times New Roman" w:hAnsi="Times New Roman" w:eastAsia="Times New Roman" w:cs="Times New Roman"/>
              <w:spacing w:val="4"/>
              <w:sz w:val="18"/>
              <w:szCs w:val="18"/>
            </w:rPr>
            <w:t xml:space="preserve">     </w:t>
          </w:r>
          <w:r>
            <w:fldChar w:fldCharType="begin"/>
          </w:r>
          <w:r>
            <w:instrText xml:space="preserve"> HYPERLINK \l "bookmark621" </w:instrText>
          </w:r>
          <w:r>
            <w:fldChar w:fldCharType="separate"/>
          </w:r>
          <w:r>
            <w:rPr>
              <w:rFonts w:ascii="Times New Roman" w:hAnsi="Times New Roman" w:eastAsia="Times New Roman" w:cs="Times New Roman"/>
              <w:spacing w:val="3"/>
              <w:sz w:val="18"/>
              <w:szCs w:val="18"/>
            </w:rPr>
            <w:t>156</w:t>
          </w:r>
          <w:r>
            <w:rPr>
              <w:rFonts w:ascii="Times New Roman" w:hAnsi="Times New Roman" w:eastAsia="Times New Roman" w:cs="Times New Roman"/>
              <w:spacing w:val="3"/>
              <w:sz w:val="18"/>
              <w:szCs w:val="18"/>
            </w:rPr>
            <w:fldChar w:fldCharType="end"/>
          </w:r>
        </w:p>
        <w:p w14:paraId="29D265A6">
          <w:pPr>
            <w:spacing w:before="144" w:line="219" w:lineRule="auto"/>
            <w:rPr>
              <w:rFonts w:ascii="Times New Roman" w:hAnsi="Times New Roman" w:eastAsia="Times New Roman" w:cs="Times New Roman"/>
              <w:sz w:val="18"/>
              <w:szCs w:val="18"/>
            </w:rPr>
          </w:pPr>
          <w:r>
            <w:rPr>
              <w:rFonts w:ascii="宋体" w:hAnsi="宋体" w:eastAsia="宋体" w:cs="宋体"/>
              <w:spacing w:val="1"/>
              <w:sz w:val="18"/>
              <w:szCs w:val="18"/>
            </w:rPr>
            <w:t>病原携带者</w:t>
          </w:r>
          <w:r>
            <w:rPr>
              <w:rFonts w:ascii="宋体" w:hAnsi="宋体" w:eastAsia="宋体" w:cs="宋体"/>
              <w:spacing w:val="61"/>
              <w:sz w:val="18"/>
              <w:szCs w:val="18"/>
            </w:rPr>
            <w:t xml:space="preserve"> </w:t>
          </w:r>
          <w:r>
            <w:rPr>
              <w:rFonts w:ascii="Times New Roman" w:hAnsi="Times New Roman" w:eastAsia="Times New Roman" w:cs="Times New Roman"/>
              <w:sz w:val="18"/>
              <w:szCs w:val="18"/>
            </w:rPr>
            <w:t>carrier</w:t>
          </w:r>
          <w:r>
            <w:rPr>
              <w:rFonts w:ascii="Times New Roman" w:hAnsi="Times New Roman" w:eastAsia="Times New Roman" w:cs="Times New Roman"/>
              <w:spacing w:val="8"/>
              <w:sz w:val="18"/>
              <w:szCs w:val="18"/>
            </w:rPr>
            <w:t xml:space="preserve">     </w:t>
          </w:r>
          <w:r>
            <w:fldChar w:fldCharType="begin"/>
          </w:r>
          <w:r>
            <w:instrText xml:space="preserve"> HYPERLINK \l "bookmark622" </w:instrText>
          </w:r>
          <w:r>
            <w:fldChar w:fldCharType="separate"/>
          </w:r>
          <w:r>
            <w:rPr>
              <w:rFonts w:ascii="Times New Roman" w:hAnsi="Times New Roman" w:eastAsia="Times New Roman" w:cs="Times New Roman"/>
              <w:spacing w:val="1"/>
              <w:sz w:val="18"/>
              <w:szCs w:val="18"/>
            </w:rPr>
            <w:t>159</w:t>
          </w:r>
          <w:r>
            <w:rPr>
              <w:rFonts w:ascii="Times New Roman" w:hAnsi="Times New Roman" w:eastAsia="Times New Roman" w:cs="Times New Roman"/>
              <w:spacing w:val="1"/>
              <w:sz w:val="18"/>
              <w:szCs w:val="18"/>
            </w:rPr>
            <w:fldChar w:fldCharType="end"/>
          </w:r>
        </w:p>
      </w:sdtContent>
    </w:sdt>
    <w:p w14:paraId="46BE6273">
      <w:pPr>
        <w:spacing w:before="115" w:line="219" w:lineRule="auto"/>
        <w:rPr>
          <w:rFonts w:ascii="Times New Roman" w:hAnsi="Times New Roman" w:eastAsia="Times New Roman" w:cs="Times New Roman"/>
          <w:sz w:val="18"/>
          <w:szCs w:val="18"/>
        </w:rPr>
      </w:pPr>
      <w:r>
        <w:rPr>
          <w:rFonts w:ascii="宋体" w:hAnsi="宋体" w:eastAsia="宋体" w:cs="宋体"/>
          <w:spacing w:val="3"/>
          <w:sz w:val="18"/>
          <w:szCs w:val="18"/>
        </w:rPr>
        <w:t>伯克森偏倚</w:t>
      </w:r>
      <w:r>
        <w:rPr>
          <w:rFonts w:ascii="宋体" w:hAnsi="宋体" w:eastAsia="宋体" w:cs="宋体"/>
          <w:spacing w:val="78"/>
          <w:sz w:val="18"/>
          <w:szCs w:val="18"/>
        </w:rPr>
        <w:t xml:space="preserve"> </w:t>
      </w:r>
      <w:r>
        <w:rPr>
          <w:rFonts w:ascii="Times New Roman" w:hAnsi="Times New Roman" w:eastAsia="Times New Roman" w:cs="Times New Roman"/>
          <w:sz w:val="18"/>
          <w:szCs w:val="18"/>
        </w:rPr>
        <w:t>Berkson</w:t>
      </w:r>
      <w:r>
        <w:rPr>
          <w:rFonts w:ascii="Times New Roman" w:hAnsi="Times New Roman" w:eastAsia="Times New Roman" w:cs="Times New Roman"/>
          <w:spacing w:val="3"/>
          <w:sz w:val="18"/>
          <w:szCs w:val="18"/>
        </w:rPr>
        <w:t>'</w:t>
      </w:r>
      <w:r>
        <w:rPr>
          <w:rFonts w:ascii="Times New Roman" w:hAnsi="Times New Roman" w:eastAsia="Times New Roman" w:cs="Times New Roman"/>
          <w:sz w:val="18"/>
          <w:szCs w:val="18"/>
        </w:rPr>
        <w:t>s</w:t>
      </w:r>
      <w:r>
        <w:rPr>
          <w:rFonts w:ascii="Times New Roman" w:hAnsi="Times New Roman" w:eastAsia="Times New Roman" w:cs="Times New Roman"/>
          <w:spacing w:val="3"/>
          <w:sz w:val="18"/>
          <w:szCs w:val="18"/>
        </w:rPr>
        <w:t xml:space="preserve">   </w:t>
      </w:r>
      <w:r>
        <w:rPr>
          <w:rFonts w:ascii="Times New Roman" w:hAnsi="Times New Roman" w:eastAsia="Times New Roman" w:cs="Times New Roman"/>
          <w:sz w:val="18"/>
          <w:szCs w:val="18"/>
        </w:rPr>
        <w:t>bias</w:t>
      </w:r>
      <w:r>
        <w:rPr>
          <w:rFonts w:ascii="Times New Roman" w:hAnsi="Times New Roman" w:eastAsia="Times New Roman" w:cs="Times New Roman"/>
          <w:spacing w:val="8"/>
          <w:sz w:val="18"/>
          <w:szCs w:val="18"/>
        </w:rPr>
        <w:t xml:space="preserve">   </w:t>
      </w:r>
      <w:r>
        <w:rPr>
          <w:rFonts w:ascii="Times New Roman" w:hAnsi="Times New Roman" w:eastAsia="Times New Roman" w:cs="Times New Roman"/>
          <w:spacing w:val="3"/>
          <w:sz w:val="18"/>
          <w:szCs w:val="18"/>
        </w:rPr>
        <w:t>79</w:t>
      </w:r>
    </w:p>
    <w:sdt>
      <w:sdtPr>
        <w:rPr>
          <w:rFonts w:ascii="宋体" w:hAnsi="宋体" w:eastAsia="宋体" w:cs="宋体"/>
          <w:sz w:val="18"/>
          <w:szCs w:val="18"/>
        </w:rPr>
        <w:id w:val="461977425"/>
        <w:docPartObj>
          <w:docPartGallery w:val="Table of Contents"/>
          <w:docPartUnique/>
        </w:docPartObj>
      </w:sdtPr>
      <w:sdtEndPr>
        <w:rPr>
          <w:rFonts w:ascii="Times New Roman" w:hAnsi="Times New Roman" w:eastAsia="Times New Roman" w:cs="Times New Roman"/>
          <w:sz w:val="18"/>
          <w:szCs w:val="18"/>
        </w:rPr>
      </w:sdtEndPr>
      <w:sdtContent>
        <w:p w14:paraId="05977408">
          <w:pPr>
            <w:spacing w:before="97" w:line="212" w:lineRule="auto"/>
            <w:rPr>
              <w:rFonts w:ascii="Times New Roman" w:hAnsi="Times New Roman" w:eastAsia="Times New Roman" w:cs="Times New Roman"/>
              <w:sz w:val="18"/>
              <w:szCs w:val="18"/>
            </w:rPr>
          </w:pPr>
          <w:r>
            <w:rPr>
              <w:rFonts w:ascii="宋体" w:hAnsi="宋体" w:eastAsia="宋体" w:cs="宋体"/>
              <w:spacing w:val="5"/>
              <w:sz w:val="18"/>
              <w:szCs w:val="18"/>
            </w:rPr>
            <w:t>不合格</w:t>
          </w:r>
          <w:r>
            <w:rPr>
              <w:rFonts w:ascii="宋体" w:hAnsi="宋体" w:eastAsia="宋体" w:cs="宋体"/>
              <w:spacing w:val="73"/>
              <w:sz w:val="18"/>
              <w:szCs w:val="18"/>
            </w:rPr>
            <w:t xml:space="preserve"> </w:t>
          </w:r>
          <w:r>
            <w:rPr>
              <w:rFonts w:ascii="Times New Roman" w:hAnsi="Times New Roman" w:eastAsia="Times New Roman" w:cs="Times New Roman"/>
              <w:sz w:val="18"/>
              <w:szCs w:val="18"/>
            </w:rPr>
            <w:t>ineligibility</w:t>
          </w:r>
          <w:r>
            <w:rPr>
              <w:rFonts w:ascii="Times New Roman" w:hAnsi="Times New Roman" w:eastAsia="Times New Roman" w:cs="Times New Roman"/>
              <w:spacing w:val="5"/>
              <w:sz w:val="18"/>
              <w:szCs w:val="18"/>
            </w:rPr>
            <w:t xml:space="preserve">    </w:t>
          </w:r>
          <w:r>
            <w:fldChar w:fldCharType="begin"/>
          </w:r>
          <w:r>
            <w:instrText xml:space="preserve"> HYPERLINK \l "bookmark623" </w:instrText>
          </w:r>
          <w:r>
            <w:fldChar w:fldCharType="separate"/>
          </w:r>
          <w:r>
            <w:rPr>
              <w:rFonts w:ascii="Times New Roman" w:hAnsi="Times New Roman" w:eastAsia="Times New Roman" w:cs="Times New Roman"/>
              <w:spacing w:val="5"/>
              <w:sz w:val="18"/>
              <w:szCs w:val="18"/>
            </w:rPr>
            <w:t>94</w:t>
          </w:r>
          <w:r>
            <w:rPr>
              <w:rFonts w:ascii="Times New Roman" w:hAnsi="Times New Roman" w:eastAsia="Times New Roman" w:cs="Times New Roman"/>
              <w:spacing w:val="5"/>
              <w:sz w:val="18"/>
              <w:szCs w:val="18"/>
            </w:rPr>
            <w:fldChar w:fldCharType="end"/>
          </w:r>
        </w:p>
        <w:p w14:paraId="73CC7458">
          <w:pPr>
            <w:spacing w:before="172" w:line="212" w:lineRule="auto"/>
            <w:rPr>
              <w:rFonts w:ascii="Times New Roman" w:hAnsi="Times New Roman" w:eastAsia="Times New Roman" w:cs="Times New Roman"/>
              <w:sz w:val="18"/>
              <w:szCs w:val="18"/>
            </w:rPr>
          </w:pPr>
          <w:r>
            <w:rPr>
              <w:rFonts w:ascii="宋体" w:hAnsi="宋体" w:eastAsia="宋体" w:cs="宋体"/>
              <w:spacing w:val="1"/>
              <w:sz w:val="18"/>
              <w:szCs w:val="18"/>
            </w:rPr>
            <w:t>不良反应</w:t>
          </w:r>
          <w:r>
            <w:rPr>
              <w:rFonts w:ascii="宋体" w:hAnsi="宋体" w:eastAsia="宋体" w:cs="宋体"/>
              <w:spacing w:val="64"/>
              <w:sz w:val="18"/>
              <w:szCs w:val="18"/>
            </w:rPr>
            <w:t xml:space="preserve"> </w:t>
          </w:r>
          <w:r>
            <w:rPr>
              <w:rFonts w:ascii="Times New Roman" w:hAnsi="Times New Roman" w:eastAsia="Times New Roman" w:cs="Times New Roman"/>
              <w:sz w:val="18"/>
              <w:szCs w:val="18"/>
            </w:rPr>
            <w:t>adverse</w:t>
          </w:r>
          <w:r>
            <w:rPr>
              <w:rFonts w:ascii="Times New Roman" w:hAnsi="Times New Roman" w:eastAsia="Times New Roman" w:cs="Times New Roman"/>
              <w:spacing w:val="1"/>
              <w:sz w:val="18"/>
              <w:szCs w:val="18"/>
            </w:rPr>
            <w:t xml:space="preserve">    </w:t>
          </w:r>
          <w:r>
            <w:rPr>
              <w:rFonts w:ascii="Times New Roman" w:hAnsi="Times New Roman" w:eastAsia="Times New Roman" w:cs="Times New Roman"/>
              <w:sz w:val="18"/>
              <w:szCs w:val="18"/>
            </w:rPr>
            <w:t>reaction</w:t>
          </w:r>
          <w:r>
            <w:rPr>
              <w:rFonts w:ascii="Times New Roman" w:hAnsi="Times New Roman" w:eastAsia="Times New Roman" w:cs="Times New Roman"/>
              <w:spacing w:val="1"/>
              <w:sz w:val="18"/>
              <w:szCs w:val="18"/>
            </w:rPr>
            <w:t>,</w:t>
          </w:r>
          <w:r>
            <w:rPr>
              <w:rFonts w:ascii="Times New Roman" w:hAnsi="Times New Roman" w:eastAsia="Times New Roman" w:cs="Times New Roman"/>
              <w:sz w:val="18"/>
              <w:szCs w:val="18"/>
            </w:rPr>
            <w:t>AR</w:t>
          </w:r>
          <w:r>
            <w:rPr>
              <w:rFonts w:ascii="Times New Roman" w:hAnsi="Times New Roman" w:eastAsia="Times New Roman" w:cs="Times New Roman"/>
              <w:spacing w:val="6"/>
              <w:sz w:val="18"/>
              <w:szCs w:val="18"/>
            </w:rPr>
            <w:t xml:space="preserve">    </w:t>
          </w:r>
          <w:r>
            <w:fldChar w:fldCharType="begin"/>
          </w:r>
          <w:r>
            <w:instrText xml:space="preserve"> HYPERLINK \l "bookmark624" </w:instrText>
          </w:r>
          <w:r>
            <w:fldChar w:fldCharType="separate"/>
          </w:r>
          <w:r>
            <w:rPr>
              <w:rFonts w:ascii="Times New Roman" w:hAnsi="Times New Roman" w:eastAsia="Times New Roman" w:cs="Times New Roman"/>
              <w:spacing w:val="1"/>
              <w:sz w:val="18"/>
              <w:szCs w:val="18"/>
            </w:rPr>
            <w:t>171</w:t>
          </w:r>
          <w:r>
            <w:rPr>
              <w:rFonts w:ascii="Times New Roman" w:hAnsi="Times New Roman" w:eastAsia="Times New Roman" w:cs="Times New Roman"/>
              <w:spacing w:val="1"/>
              <w:sz w:val="18"/>
              <w:szCs w:val="18"/>
            </w:rPr>
            <w:fldChar w:fldCharType="end"/>
          </w:r>
        </w:p>
        <w:p w14:paraId="4F59C4AF">
          <w:pPr>
            <w:spacing w:before="123" w:line="212" w:lineRule="auto"/>
            <w:rPr>
              <w:rFonts w:ascii="Times New Roman" w:hAnsi="Times New Roman" w:eastAsia="Times New Roman" w:cs="Times New Roman"/>
              <w:sz w:val="18"/>
              <w:szCs w:val="18"/>
            </w:rPr>
          </w:pPr>
          <w:r>
            <w:rPr>
              <w:rFonts w:ascii="宋体" w:hAnsi="宋体" w:eastAsia="宋体" w:cs="宋体"/>
              <w:spacing w:val="1"/>
              <w:sz w:val="18"/>
              <w:szCs w:val="18"/>
            </w:rPr>
            <w:t>不良事件</w:t>
          </w:r>
          <w:r>
            <w:rPr>
              <w:rFonts w:ascii="宋体" w:hAnsi="宋体" w:eastAsia="宋体" w:cs="宋体"/>
              <w:spacing w:val="82"/>
              <w:sz w:val="18"/>
              <w:szCs w:val="18"/>
            </w:rPr>
            <w:t xml:space="preserve"> </w:t>
          </w:r>
          <w:r>
            <w:rPr>
              <w:rFonts w:ascii="Times New Roman" w:hAnsi="Times New Roman" w:eastAsia="Times New Roman" w:cs="Times New Roman"/>
              <w:sz w:val="18"/>
              <w:szCs w:val="18"/>
            </w:rPr>
            <w:t>adverse</w:t>
          </w:r>
          <w:r>
            <w:rPr>
              <w:rFonts w:ascii="Times New Roman" w:hAnsi="Times New Roman" w:eastAsia="Times New Roman" w:cs="Times New Roman"/>
              <w:spacing w:val="14"/>
              <w:w w:val="101"/>
              <w:sz w:val="18"/>
              <w:szCs w:val="18"/>
            </w:rPr>
            <w:t xml:space="preserve">   </w:t>
          </w:r>
          <w:r>
            <w:rPr>
              <w:rFonts w:ascii="Times New Roman" w:hAnsi="Times New Roman" w:eastAsia="Times New Roman" w:cs="Times New Roman"/>
              <w:sz w:val="18"/>
              <w:szCs w:val="18"/>
            </w:rPr>
            <w:t>event</w:t>
          </w:r>
          <w:r>
            <w:rPr>
              <w:rFonts w:ascii="Times New Roman" w:hAnsi="Times New Roman" w:eastAsia="Times New Roman" w:cs="Times New Roman"/>
              <w:spacing w:val="1"/>
              <w:sz w:val="18"/>
              <w:szCs w:val="18"/>
            </w:rPr>
            <w:t>,</w:t>
          </w:r>
          <w:r>
            <w:rPr>
              <w:rFonts w:ascii="Times New Roman" w:hAnsi="Times New Roman" w:eastAsia="Times New Roman" w:cs="Times New Roman"/>
              <w:sz w:val="18"/>
              <w:szCs w:val="18"/>
            </w:rPr>
            <w:t>AE</w:t>
          </w:r>
          <w:r>
            <w:rPr>
              <w:rFonts w:ascii="Times New Roman" w:hAnsi="Times New Roman" w:eastAsia="Times New Roman" w:cs="Times New Roman"/>
              <w:spacing w:val="1"/>
              <w:sz w:val="18"/>
              <w:szCs w:val="18"/>
            </w:rPr>
            <w:t xml:space="preserve">    </w:t>
          </w:r>
          <w:r>
            <w:fldChar w:fldCharType="begin"/>
          </w:r>
          <w:r>
            <w:instrText xml:space="preserve"> HYPERLINK \l "bookmark625" </w:instrText>
          </w:r>
          <w:r>
            <w:fldChar w:fldCharType="separate"/>
          </w:r>
          <w:r>
            <w:rPr>
              <w:rFonts w:ascii="Times New Roman" w:hAnsi="Times New Roman" w:eastAsia="Times New Roman" w:cs="Times New Roman"/>
              <w:spacing w:val="1"/>
              <w:sz w:val="18"/>
              <w:szCs w:val="18"/>
            </w:rPr>
            <w:t>171</w:t>
          </w:r>
          <w:r>
            <w:rPr>
              <w:rFonts w:ascii="Times New Roman" w:hAnsi="Times New Roman" w:eastAsia="Times New Roman" w:cs="Times New Roman"/>
              <w:spacing w:val="1"/>
              <w:sz w:val="18"/>
              <w:szCs w:val="18"/>
            </w:rPr>
            <w:fldChar w:fldCharType="end"/>
          </w:r>
        </w:p>
        <w:p w14:paraId="5AD54908">
          <w:pPr>
            <w:spacing w:before="131" w:line="214" w:lineRule="auto"/>
            <w:rPr>
              <w:rFonts w:ascii="宋体" w:hAnsi="宋体" w:eastAsia="宋体" w:cs="宋体"/>
              <w:sz w:val="18"/>
              <w:szCs w:val="18"/>
            </w:rPr>
          </w:pPr>
          <w:r>
            <w:rPr>
              <w:rFonts w:ascii="宋体" w:hAnsi="宋体" w:eastAsia="宋体" w:cs="宋体"/>
              <w:sz w:val="18"/>
              <w:szCs w:val="18"/>
            </w:rPr>
            <w:t>不能预知的结局</w:t>
          </w:r>
          <w:r>
            <w:rPr>
              <w:rFonts w:ascii="宋体" w:hAnsi="宋体" w:eastAsia="宋体" w:cs="宋体"/>
              <w:spacing w:val="74"/>
              <w:sz w:val="18"/>
              <w:szCs w:val="18"/>
            </w:rPr>
            <w:t xml:space="preserve"> </w:t>
          </w:r>
          <w:r>
            <w:rPr>
              <w:rFonts w:ascii="宋体" w:hAnsi="宋体" w:eastAsia="宋体" w:cs="宋体"/>
              <w:sz w:val="18"/>
              <w:szCs w:val="18"/>
            </w:rPr>
            <w:t>unpredictable</w:t>
          </w:r>
          <w:r>
            <w:rPr>
              <w:rFonts w:ascii="宋体" w:hAnsi="宋体" w:eastAsia="宋体" w:cs="宋体"/>
              <w:spacing w:val="-1"/>
              <w:sz w:val="18"/>
              <w:szCs w:val="18"/>
            </w:rPr>
            <w:t xml:space="preserve"> outcome </w:t>
          </w:r>
          <w:r>
            <w:fldChar w:fldCharType="begin"/>
          </w:r>
          <w:r>
            <w:instrText xml:space="preserve"> HYPERLINK \l "bookmark626" </w:instrText>
          </w:r>
          <w:r>
            <w:fldChar w:fldCharType="separate"/>
          </w:r>
          <w:r>
            <w:rPr>
              <w:rFonts w:ascii="宋体" w:hAnsi="宋体" w:eastAsia="宋体" w:cs="宋体"/>
              <w:spacing w:val="-1"/>
              <w:sz w:val="18"/>
              <w:szCs w:val="18"/>
            </w:rPr>
            <w:t>90</w:t>
          </w:r>
          <w:r>
            <w:rPr>
              <w:rFonts w:ascii="宋体" w:hAnsi="宋体" w:eastAsia="宋体" w:cs="宋体"/>
              <w:spacing w:val="-1"/>
              <w:sz w:val="18"/>
              <w:szCs w:val="18"/>
            </w:rPr>
            <w:fldChar w:fldCharType="end"/>
          </w:r>
        </w:p>
        <w:p w14:paraId="56FA1FA1">
          <w:pPr>
            <w:spacing w:before="105" w:line="212" w:lineRule="auto"/>
            <w:rPr>
              <w:rFonts w:ascii="Times New Roman" w:hAnsi="Times New Roman" w:eastAsia="Times New Roman" w:cs="Times New Roman"/>
              <w:sz w:val="18"/>
              <w:szCs w:val="18"/>
            </w:rPr>
          </w:pPr>
          <w:r>
            <w:rPr>
              <w:rFonts w:ascii="宋体" w:hAnsi="宋体" w:eastAsia="宋体" w:cs="宋体"/>
              <w:spacing w:val="6"/>
              <w:sz w:val="18"/>
              <w:szCs w:val="18"/>
            </w:rPr>
            <w:t>不依从</w:t>
          </w:r>
          <w:r>
            <w:rPr>
              <w:rFonts w:ascii="宋体" w:hAnsi="宋体" w:eastAsia="宋体" w:cs="宋体"/>
              <w:spacing w:val="53"/>
              <w:sz w:val="18"/>
              <w:szCs w:val="18"/>
            </w:rPr>
            <w:t xml:space="preserve"> </w:t>
          </w:r>
          <w:r>
            <w:rPr>
              <w:rFonts w:ascii="Times New Roman" w:hAnsi="Times New Roman" w:eastAsia="Times New Roman" w:cs="Times New Roman"/>
              <w:sz w:val="18"/>
              <w:szCs w:val="18"/>
            </w:rPr>
            <w:t>noncompliance</w:t>
          </w:r>
          <w:r>
            <w:rPr>
              <w:rFonts w:ascii="Times New Roman" w:hAnsi="Times New Roman" w:eastAsia="Times New Roman" w:cs="Times New Roman"/>
              <w:spacing w:val="9"/>
              <w:sz w:val="18"/>
              <w:szCs w:val="18"/>
            </w:rPr>
            <w:t xml:space="preserve">    </w:t>
          </w:r>
          <w:r>
            <w:fldChar w:fldCharType="begin"/>
          </w:r>
          <w:r>
            <w:instrText xml:space="preserve"> HYPERLINK \l "bookmark627" </w:instrText>
          </w:r>
          <w:r>
            <w:fldChar w:fldCharType="separate"/>
          </w:r>
          <w:r>
            <w:rPr>
              <w:rFonts w:ascii="Times New Roman" w:hAnsi="Times New Roman" w:eastAsia="Times New Roman" w:cs="Times New Roman"/>
              <w:spacing w:val="6"/>
              <w:sz w:val="18"/>
              <w:szCs w:val="18"/>
            </w:rPr>
            <w:t>94</w:t>
          </w:r>
          <w:r>
            <w:rPr>
              <w:rFonts w:ascii="Times New Roman" w:hAnsi="Times New Roman" w:eastAsia="Times New Roman" w:cs="Times New Roman"/>
              <w:spacing w:val="6"/>
              <w:sz w:val="18"/>
              <w:szCs w:val="18"/>
            </w:rPr>
            <w:fldChar w:fldCharType="end"/>
          </w:r>
        </w:p>
      </w:sdtContent>
    </w:sdt>
    <w:p w14:paraId="6932DEAC">
      <w:pPr>
        <w:spacing w:line="263" w:lineRule="auto"/>
        <w:rPr>
          <w:rFonts w:ascii="Arial"/>
          <w:sz w:val="21"/>
        </w:rPr>
      </w:pPr>
    </w:p>
    <w:p w14:paraId="4C01A231">
      <w:pPr>
        <w:spacing w:before="85" w:line="198" w:lineRule="auto"/>
        <w:rPr>
          <w:rFonts w:ascii="Arial" w:hAnsi="Arial" w:eastAsia="Arial" w:cs="Arial"/>
          <w:sz w:val="29"/>
          <w:szCs w:val="29"/>
        </w:rPr>
      </w:pPr>
      <w:r>
        <w:rPr>
          <w:rFonts w:ascii="Arial" w:hAnsi="Arial" w:eastAsia="Arial" w:cs="Arial"/>
          <w:sz w:val="29"/>
          <w:szCs w:val="29"/>
        </w:rPr>
        <w:t>C</w:t>
      </w:r>
    </w:p>
    <w:p w14:paraId="498E37F2">
      <w:pPr>
        <w:spacing w:before="219" w:line="219" w:lineRule="auto"/>
        <w:rPr>
          <w:rFonts w:ascii="Times New Roman" w:hAnsi="Times New Roman" w:eastAsia="Times New Roman" w:cs="Times New Roman"/>
          <w:sz w:val="18"/>
          <w:szCs w:val="18"/>
        </w:rPr>
      </w:pPr>
      <w:r>
        <w:rPr>
          <w:rFonts w:ascii="宋体" w:hAnsi="宋体" w:eastAsia="宋体" w:cs="宋体"/>
          <w:spacing w:val="4"/>
          <w:sz w:val="18"/>
          <w:szCs w:val="18"/>
        </w:rPr>
        <w:t>长期趋势</w:t>
      </w:r>
      <w:r>
        <w:rPr>
          <w:rFonts w:ascii="宋体" w:hAnsi="宋体" w:eastAsia="宋体" w:cs="宋体"/>
          <w:spacing w:val="66"/>
          <w:sz w:val="18"/>
          <w:szCs w:val="18"/>
        </w:rPr>
        <w:t xml:space="preserve"> </w:t>
      </w:r>
      <w:r>
        <w:rPr>
          <w:rFonts w:ascii="Times New Roman" w:hAnsi="Times New Roman" w:eastAsia="Times New Roman" w:cs="Times New Roman"/>
          <w:sz w:val="18"/>
          <w:szCs w:val="18"/>
        </w:rPr>
        <w:t>secular</w:t>
      </w:r>
      <w:r>
        <w:rPr>
          <w:rFonts w:ascii="Times New Roman" w:hAnsi="Times New Roman" w:eastAsia="Times New Roman" w:cs="Times New Roman"/>
          <w:spacing w:val="4"/>
          <w:sz w:val="18"/>
          <w:szCs w:val="18"/>
        </w:rPr>
        <w:t xml:space="preserve">   </w:t>
      </w:r>
      <w:r>
        <w:rPr>
          <w:rFonts w:ascii="Times New Roman" w:hAnsi="Times New Roman" w:eastAsia="Times New Roman" w:cs="Times New Roman"/>
          <w:sz w:val="18"/>
          <w:szCs w:val="18"/>
        </w:rPr>
        <w:t>trend</w:t>
      </w:r>
      <w:r>
        <w:rPr>
          <w:rFonts w:ascii="Times New Roman" w:hAnsi="Times New Roman" w:eastAsia="Times New Roman" w:cs="Times New Roman"/>
          <w:spacing w:val="5"/>
          <w:sz w:val="18"/>
          <w:szCs w:val="18"/>
        </w:rPr>
        <w:t xml:space="preserve">   </w:t>
      </w:r>
      <w:r>
        <w:rPr>
          <w:rFonts w:ascii="Times New Roman" w:hAnsi="Times New Roman" w:eastAsia="Times New Roman" w:cs="Times New Roman"/>
          <w:spacing w:val="4"/>
          <w:sz w:val="18"/>
          <w:szCs w:val="18"/>
        </w:rPr>
        <w:t>26</w:t>
      </w:r>
    </w:p>
    <w:p w14:paraId="72B733C0">
      <w:pPr>
        <w:spacing w:before="117" w:line="341" w:lineRule="auto"/>
        <w:ind w:right="588"/>
        <w:rPr>
          <w:rFonts w:ascii="宋体" w:hAnsi="宋体" w:eastAsia="宋体" w:cs="宋体"/>
          <w:sz w:val="18"/>
          <w:szCs w:val="18"/>
        </w:rPr>
      </w:pPr>
      <w:r>
        <w:rPr>
          <w:rFonts w:ascii="宋体" w:hAnsi="宋体" w:eastAsia="宋体" w:cs="宋体"/>
          <w:sz w:val="18"/>
          <w:szCs w:val="18"/>
        </w:rPr>
        <w:t>常规监测报告</w:t>
      </w:r>
      <w:r>
        <w:rPr>
          <w:rFonts w:ascii="宋体" w:hAnsi="宋体" w:eastAsia="宋体" w:cs="宋体"/>
          <w:spacing w:val="75"/>
          <w:sz w:val="18"/>
          <w:szCs w:val="18"/>
        </w:rPr>
        <w:t xml:space="preserve"> </w:t>
      </w:r>
      <w:r>
        <w:rPr>
          <w:rFonts w:ascii="Times New Roman" w:hAnsi="Times New Roman" w:eastAsia="Times New Roman" w:cs="Times New Roman"/>
          <w:sz w:val="18"/>
          <w:szCs w:val="18"/>
        </w:rPr>
        <w:t>routine</w:t>
      </w:r>
      <w:r>
        <w:rPr>
          <w:rFonts w:ascii="Times New Roman" w:hAnsi="Times New Roman" w:eastAsia="Times New Roman" w:cs="Times New Roman"/>
          <w:spacing w:val="21"/>
          <w:sz w:val="18"/>
          <w:szCs w:val="18"/>
        </w:rPr>
        <w:t xml:space="preserve">  </w:t>
      </w:r>
      <w:r>
        <w:rPr>
          <w:rFonts w:ascii="Times New Roman" w:hAnsi="Times New Roman" w:eastAsia="Times New Roman" w:cs="Times New Roman"/>
          <w:sz w:val="18"/>
          <w:szCs w:val="18"/>
        </w:rPr>
        <w:t>surveillance</w:t>
      </w:r>
      <w:r>
        <w:rPr>
          <w:rFonts w:ascii="Times New Roman" w:hAnsi="Times New Roman" w:eastAsia="Times New Roman" w:cs="Times New Roman"/>
          <w:spacing w:val="17"/>
          <w:w w:val="101"/>
          <w:sz w:val="18"/>
          <w:szCs w:val="18"/>
        </w:rPr>
        <w:t xml:space="preserve">  </w:t>
      </w:r>
      <w:r>
        <w:rPr>
          <w:rFonts w:ascii="Times New Roman" w:hAnsi="Times New Roman" w:eastAsia="Times New Roman" w:cs="Times New Roman"/>
          <w:sz w:val="18"/>
          <w:szCs w:val="18"/>
        </w:rPr>
        <w:t xml:space="preserve">report   147 </w:t>
      </w:r>
      <w:r>
        <w:rPr>
          <w:rFonts w:ascii="宋体" w:hAnsi="宋体" w:eastAsia="宋体" w:cs="宋体"/>
          <w:spacing w:val="-2"/>
          <w:sz w:val="18"/>
          <w:szCs w:val="18"/>
        </w:rPr>
        <w:t>超额危险度</w:t>
      </w:r>
      <w:r>
        <w:rPr>
          <w:rFonts w:ascii="宋体" w:hAnsi="宋体" w:eastAsia="宋体" w:cs="宋体"/>
          <w:spacing w:val="76"/>
          <w:sz w:val="18"/>
          <w:szCs w:val="18"/>
        </w:rPr>
        <w:t xml:space="preserve"> </w:t>
      </w:r>
      <w:r>
        <w:rPr>
          <w:rFonts w:ascii="宋体" w:hAnsi="宋体" w:eastAsia="宋体" w:cs="宋体"/>
          <w:spacing w:val="-2"/>
          <w:sz w:val="18"/>
          <w:szCs w:val="18"/>
        </w:rPr>
        <w:t>excess risk 57</w:t>
      </w:r>
    </w:p>
    <w:p w14:paraId="171FA3A8">
      <w:pPr>
        <w:spacing w:before="24" w:line="219" w:lineRule="auto"/>
        <w:jc w:val="right"/>
        <w:rPr>
          <w:rFonts w:ascii="宋体" w:hAnsi="宋体" w:eastAsia="宋体" w:cs="宋体"/>
          <w:sz w:val="18"/>
          <w:szCs w:val="18"/>
        </w:rPr>
      </w:pPr>
      <w:r>
        <w:rPr>
          <w:rFonts w:ascii="宋体" w:hAnsi="宋体" w:eastAsia="宋体" w:cs="宋体"/>
          <w:spacing w:val="-7"/>
          <w:sz w:val="18"/>
          <w:szCs w:val="18"/>
        </w:rPr>
        <w:t>持</w:t>
      </w:r>
      <w:r>
        <w:rPr>
          <w:rFonts w:ascii="宋体" w:hAnsi="宋体" w:eastAsia="宋体" w:cs="宋体"/>
          <w:spacing w:val="-6"/>
          <w:sz w:val="18"/>
          <w:szCs w:val="18"/>
        </w:rPr>
        <w:t>续同源传播</w:t>
      </w:r>
      <w:r>
        <w:rPr>
          <w:rFonts w:ascii="宋体" w:hAnsi="宋体" w:eastAsia="宋体" w:cs="宋体"/>
          <w:spacing w:val="73"/>
          <w:sz w:val="18"/>
          <w:szCs w:val="18"/>
        </w:rPr>
        <w:t xml:space="preserve"> </w:t>
      </w:r>
      <w:r>
        <w:rPr>
          <w:rFonts w:ascii="宋体" w:hAnsi="宋体" w:eastAsia="宋体" w:cs="宋体"/>
          <w:spacing w:val="-6"/>
          <w:sz w:val="18"/>
          <w:szCs w:val="18"/>
        </w:rPr>
        <w:t>continuous common source t</w:t>
      </w:r>
      <w:r>
        <w:rPr>
          <w:rFonts w:ascii="宋体" w:hAnsi="宋体" w:eastAsia="宋体" w:cs="宋体"/>
          <w:spacing w:val="-7"/>
          <w:sz w:val="18"/>
          <w:szCs w:val="18"/>
        </w:rPr>
        <w:t>ransmissio</w:t>
      </w:r>
      <w:r>
        <w:rPr>
          <w:rFonts w:ascii="宋体" w:hAnsi="宋体" w:eastAsia="宋体" w:cs="宋体"/>
          <w:spacing w:val="-6"/>
          <w:sz w:val="18"/>
          <w:szCs w:val="18"/>
        </w:rPr>
        <w:t>n</w:t>
      </w:r>
    </w:p>
    <w:p w14:paraId="6AC7A4F2">
      <w:pPr>
        <w:spacing w:before="145" w:line="188" w:lineRule="auto"/>
        <w:ind w:left="200"/>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226</w:t>
      </w:r>
    </w:p>
    <w:p w14:paraId="1F4CFF1C">
      <w:pPr>
        <w:spacing w:before="141" w:line="220" w:lineRule="auto"/>
        <w:rPr>
          <w:rFonts w:ascii="Times New Roman" w:hAnsi="Times New Roman" w:eastAsia="Times New Roman" w:cs="Times New Roman"/>
          <w:sz w:val="18"/>
          <w:szCs w:val="18"/>
        </w:rPr>
      </w:pPr>
      <w:r>
        <w:rPr>
          <w:rFonts w:ascii="宋体" w:hAnsi="宋体" w:eastAsia="宋体" w:cs="宋体"/>
          <w:spacing w:val="2"/>
          <w:sz w:val="18"/>
          <w:szCs w:val="18"/>
        </w:rPr>
        <w:t>充分病因</w:t>
      </w:r>
      <w:r>
        <w:rPr>
          <w:rFonts w:ascii="宋体" w:hAnsi="宋体" w:eastAsia="宋体" w:cs="宋体"/>
          <w:spacing w:val="61"/>
          <w:sz w:val="18"/>
          <w:szCs w:val="18"/>
        </w:rPr>
        <w:t xml:space="preserve"> </w:t>
      </w:r>
      <w:r>
        <w:rPr>
          <w:rFonts w:ascii="Times New Roman" w:hAnsi="Times New Roman" w:eastAsia="Times New Roman" w:cs="Times New Roman"/>
          <w:sz w:val="18"/>
          <w:szCs w:val="18"/>
        </w:rPr>
        <w:t>sufficient</w:t>
      </w:r>
      <w:r>
        <w:rPr>
          <w:rFonts w:ascii="Times New Roman" w:hAnsi="Times New Roman" w:eastAsia="Times New Roman" w:cs="Times New Roman"/>
          <w:spacing w:val="2"/>
          <w:sz w:val="18"/>
          <w:szCs w:val="18"/>
        </w:rPr>
        <w:t xml:space="preserve">   </w:t>
      </w:r>
      <w:r>
        <w:rPr>
          <w:rFonts w:ascii="Times New Roman" w:hAnsi="Times New Roman" w:eastAsia="Times New Roman" w:cs="Times New Roman"/>
          <w:sz w:val="18"/>
          <w:szCs w:val="18"/>
        </w:rPr>
        <w:t>cause</w:t>
      </w:r>
      <w:r>
        <w:rPr>
          <w:rFonts w:ascii="Times New Roman" w:hAnsi="Times New Roman" w:eastAsia="Times New Roman" w:cs="Times New Roman"/>
          <w:spacing w:val="9"/>
          <w:sz w:val="18"/>
          <w:szCs w:val="18"/>
        </w:rPr>
        <w:t xml:space="preserve">   </w:t>
      </w:r>
      <w:r>
        <w:rPr>
          <w:rFonts w:ascii="Times New Roman" w:hAnsi="Times New Roman" w:eastAsia="Times New Roman" w:cs="Times New Roman"/>
          <w:spacing w:val="2"/>
          <w:sz w:val="18"/>
          <w:szCs w:val="18"/>
        </w:rPr>
        <w:t>125</w:t>
      </w:r>
    </w:p>
    <w:p w14:paraId="6159F126">
      <w:pPr>
        <w:spacing w:before="114" w:line="212" w:lineRule="auto"/>
        <w:rPr>
          <w:rFonts w:ascii="Times New Roman" w:hAnsi="Times New Roman" w:eastAsia="Times New Roman" w:cs="Times New Roman"/>
          <w:sz w:val="18"/>
          <w:szCs w:val="18"/>
        </w:rPr>
      </w:pPr>
      <w:r>
        <w:rPr>
          <w:rFonts w:ascii="宋体" w:hAnsi="宋体" w:eastAsia="宋体" w:cs="宋体"/>
          <w:spacing w:val="5"/>
          <w:sz w:val="18"/>
          <w:szCs w:val="18"/>
        </w:rPr>
        <w:t>充分病因-组分病因模型</w:t>
      </w:r>
      <w:r>
        <w:rPr>
          <w:rFonts w:ascii="宋体" w:hAnsi="宋体" w:eastAsia="宋体" w:cs="宋体"/>
          <w:spacing w:val="94"/>
          <w:sz w:val="18"/>
          <w:szCs w:val="18"/>
        </w:rPr>
        <w:t xml:space="preserve"> </w:t>
      </w:r>
      <w:r>
        <w:rPr>
          <w:rFonts w:ascii="Times New Roman" w:hAnsi="Times New Roman" w:eastAsia="Times New Roman" w:cs="Times New Roman"/>
          <w:sz w:val="18"/>
          <w:szCs w:val="18"/>
        </w:rPr>
        <w:t>sufficient</w:t>
      </w:r>
      <w:r>
        <w:rPr>
          <w:rFonts w:ascii="Times New Roman" w:hAnsi="Times New Roman" w:eastAsia="Times New Roman" w:cs="Times New Roman"/>
          <w:spacing w:val="5"/>
          <w:sz w:val="18"/>
          <w:szCs w:val="18"/>
        </w:rPr>
        <w:t>-</w:t>
      </w:r>
      <w:r>
        <w:rPr>
          <w:rFonts w:ascii="Times New Roman" w:hAnsi="Times New Roman" w:eastAsia="Times New Roman" w:cs="Times New Roman"/>
          <w:sz w:val="18"/>
          <w:szCs w:val="18"/>
        </w:rPr>
        <w:t>component</w:t>
      </w:r>
      <w:r>
        <w:rPr>
          <w:rFonts w:ascii="Times New Roman" w:hAnsi="Times New Roman" w:eastAsia="Times New Roman" w:cs="Times New Roman"/>
          <w:spacing w:val="5"/>
          <w:sz w:val="18"/>
          <w:szCs w:val="18"/>
        </w:rPr>
        <w:t xml:space="preserve">   </w:t>
      </w:r>
      <w:r>
        <w:rPr>
          <w:rFonts w:ascii="Times New Roman" w:hAnsi="Times New Roman" w:eastAsia="Times New Roman" w:cs="Times New Roman"/>
          <w:sz w:val="18"/>
          <w:szCs w:val="18"/>
        </w:rPr>
        <w:t>causal</w:t>
      </w:r>
    </w:p>
    <w:p w14:paraId="658CA7F9">
      <w:pPr>
        <w:spacing w:before="167" w:line="192" w:lineRule="auto"/>
        <w:ind w:left="210"/>
        <w:rPr>
          <w:rFonts w:ascii="Times New Roman" w:hAnsi="Times New Roman" w:eastAsia="Times New Roman" w:cs="Times New Roman"/>
          <w:sz w:val="18"/>
          <w:szCs w:val="18"/>
        </w:rPr>
      </w:pPr>
      <w:r>
        <w:rPr>
          <w:rFonts w:ascii="Times New Roman" w:hAnsi="Times New Roman" w:eastAsia="Times New Roman" w:cs="Times New Roman"/>
          <w:spacing w:val="-2"/>
          <w:sz w:val="18"/>
          <w:szCs w:val="18"/>
        </w:rPr>
        <w:t>model</w:t>
      </w:r>
      <w:r>
        <w:rPr>
          <w:rFonts w:ascii="Times New Roman" w:hAnsi="Times New Roman" w:eastAsia="Times New Roman" w:cs="Times New Roman"/>
          <w:spacing w:val="6"/>
          <w:sz w:val="18"/>
          <w:szCs w:val="18"/>
        </w:rPr>
        <w:t xml:space="preserve">    </w:t>
      </w:r>
      <w:r>
        <w:rPr>
          <w:rFonts w:ascii="Times New Roman" w:hAnsi="Times New Roman" w:eastAsia="Times New Roman" w:cs="Times New Roman"/>
          <w:spacing w:val="-2"/>
          <w:sz w:val="18"/>
          <w:szCs w:val="18"/>
        </w:rPr>
        <w:t>125</w:t>
      </w:r>
    </w:p>
    <w:p w14:paraId="2E94ADA0">
      <w:pPr>
        <w:spacing w:before="150" w:line="219" w:lineRule="auto"/>
        <w:rPr>
          <w:rFonts w:ascii="Times New Roman" w:hAnsi="Times New Roman" w:eastAsia="Times New Roman" w:cs="Times New Roman"/>
          <w:sz w:val="18"/>
          <w:szCs w:val="18"/>
        </w:rPr>
      </w:pPr>
      <w:r>
        <w:rPr>
          <w:rFonts w:ascii="宋体" w:hAnsi="宋体" w:eastAsia="宋体" w:cs="宋体"/>
          <w:spacing w:val="1"/>
          <w:sz w:val="18"/>
          <w:szCs w:val="18"/>
        </w:rPr>
        <w:t>虫媒传播</w:t>
      </w:r>
      <w:r>
        <w:rPr>
          <w:rFonts w:ascii="宋体" w:hAnsi="宋体" w:eastAsia="宋体" w:cs="宋体"/>
          <w:spacing w:val="67"/>
          <w:w w:val="101"/>
          <w:sz w:val="18"/>
          <w:szCs w:val="18"/>
        </w:rPr>
        <w:t xml:space="preserve"> </w:t>
      </w:r>
      <w:r>
        <w:rPr>
          <w:rFonts w:ascii="Times New Roman" w:hAnsi="Times New Roman" w:eastAsia="Times New Roman" w:cs="Times New Roman"/>
          <w:sz w:val="18"/>
          <w:szCs w:val="18"/>
        </w:rPr>
        <w:t>vector</w:t>
      </w:r>
      <w:r>
        <w:rPr>
          <w:rFonts w:ascii="Times New Roman" w:hAnsi="Times New Roman" w:eastAsia="Times New Roman" w:cs="Times New Roman"/>
          <w:spacing w:val="1"/>
          <w:sz w:val="18"/>
          <w:szCs w:val="18"/>
        </w:rPr>
        <w:t>-</w:t>
      </w:r>
      <w:r>
        <w:rPr>
          <w:rFonts w:ascii="Times New Roman" w:hAnsi="Times New Roman" w:eastAsia="Times New Roman" w:cs="Times New Roman"/>
          <w:sz w:val="18"/>
          <w:szCs w:val="18"/>
        </w:rPr>
        <w:t>borme</w:t>
      </w:r>
      <w:r>
        <w:rPr>
          <w:rFonts w:ascii="Times New Roman" w:hAnsi="Times New Roman" w:eastAsia="Times New Roman" w:cs="Times New Roman"/>
          <w:spacing w:val="17"/>
          <w:sz w:val="18"/>
          <w:szCs w:val="18"/>
        </w:rPr>
        <w:t xml:space="preserve">  </w:t>
      </w:r>
      <w:r>
        <w:rPr>
          <w:rFonts w:ascii="Times New Roman" w:hAnsi="Times New Roman" w:eastAsia="Times New Roman" w:cs="Times New Roman"/>
          <w:sz w:val="18"/>
          <w:szCs w:val="18"/>
        </w:rPr>
        <w:t>transmission</w:t>
      </w:r>
      <w:r>
        <w:rPr>
          <w:rFonts w:ascii="Times New Roman" w:hAnsi="Times New Roman" w:eastAsia="Times New Roman" w:cs="Times New Roman"/>
          <w:spacing w:val="1"/>
          <w:sz w:val="18"/>
          <w:szCs w:val="18"/>
        </w:rPr>
        <w:t xml:space="preserve">   161</w:t>
      </w:r>
    </w:p>
    <w:p w14:paraId="75944219">
      <w:pPr>
        <w:spacing w:before="98" w:line="212" w:lineRule="auto"/>
        <w:rPr>
          <w:rFonts w:ascii="Times New Roman" w:hAnsi="Times New Roman" w:eastAsia="Times New Roman" w:cs="Times New Roman"/>
          <w:sz w:val="18"/>
          <w:szCs w:val="18"/>
        </w:rPr>
      </w:pPr>
      <w:r>
        <w:rPr>
          <w:rFonts w:ascii="宋体" w:hAnsi="宋体" w:eastAsia="宋体" w:cs="宋体"/>
          <w:spacing w:val="2"/>
          <w:sz w:val="18"/>
          <w:szCs w:val="18"/>
        </w:rPr>
        <w:t>重叠感染</w:t>
      </w:r>
      <w:r>
        <w:rPr>
          <w:rFonts w:ascii="宋体" w:hAnsi="宋体" w:eastAsia="宋体" w:cs="宋体"/>
          <w:spacing w:val="72"/>
          <w:sz w:val="18"/>
          <w:szCs w:val="18"/>
        </w:rPr>
        <w:t xml:space="preserve"> </w:t>
      </w:r>
      <w:r>
        <w:rPr>
          <w:rFonts w:ascii="Times New Roman" w:hAnsi="Times New Roman" w:eastAsia="Times New Roman" w:cs="Times New Roman"/>
          <w:sz w:val="18"/>
          <w:szCs w:val="18"/>
        </w:rPr>
        <w:t>superinfection</w:t>
      </w:r>
      <w:r>
        <w:rPr>
          <w:rFonts w:ascii="Times New Roman" w:hAnsi="Times New Roman" w:eastAsia="Times New Roman" w:cs="Times New Roman"/>
          <w:spacing w:val="10"/>
          <w:sz w:val="18"/>
          <w:szCs w:val="18"/>
        </w:rPr>
        <w:t xml:space="preserve">    </w:t>
      </w:r>
      <w:r>
        <w:rPr>
          <w:rFonts w:ascii="Times New Roman" w:hAnsi="Times New Roman" w:eastAsia="Times New Roman" w:cs="Times New Roman"/>
          <w:spacing w:val="2"/>
          <w:sz w:val="18"/>
          <w:szCs w:val="18"/>
        </w:rPr>
        <w:t>269</w:t>
      </w:r>
    </w:p>
    <w:p w14:paraId="0CD17A57">
      <w:pPr>
        <w:spacing w:before="123" w:line="212" w:lineRule="auto"/>
        <w:rPr>
          <w:rFonts w:ascii="Times New Roman" w:hAnsi="Times New Roman" w:eastAsia="Times New Roman" w:cs="Times New Roman"/>
          <w:sz w:val="18"/>
          <w:szCs w:val="18"/>
        </w:rPr>
      </w:pPr>
      <w:r>
        <w:rPr>
          <w:rFonts w:ascii="宋体" w:hAnsi="宋体" w:eastAsia="宋体" w:cs="宋体"/>
          <w:spacing w:val="1"/>
          <w:sz w:val="18"/>
          <w:szCs w:val="18"/>
        </w:rPr>
        <w:t>抽样调查</w:t>
      </w:r>
      <w:r>
        <w:rPr>
          <w:rFonts w:ascii="宋体" w:hAnsi="宋体" w:eastAsia="宋体" w:cs="宋体"/>
          <w:spacing w:val="70"/>
          <w:sz w:val="18"/>
          <w:szCs w:val="18"/>
        </w:rPr>
        <w:t xml:space="preserve"> </w:t>
      </w:r>
      <w:r>
        <w:rPr>
          <w:rFonts w:ascii="Times New Roman" w:hAnsi="Times New Roman" w:eastAsia="Times New Roman" w:cs="Times New Roman"/>
          <w:sz w:val="18"/>
          <w:szCs w:val="18"/>
        </w:rPr>
        <w:t>sampling</w:t>
      </w:r>
      <w:r>
        <w:rPr>
          <w:rFonts w:ascii="Times New Roman" w:hAnsi="Times New Roman" w:eastAsia="Times New Roman" w:cs="Times New Roman"/>
          <w:spacing w:val="21"/>
          <w:sz w:val="18"/>
          <w:szCs w:val="18"/>
        </w:rPr>
        <w:t xml:space="preserve">  </w:t>
      </w:r>
      <w:r>
        <w:rPr>
          <w:rFonts w:ascii="Times New Roman" w:hAnsi="Times New Roman" w:eastAsia="Times New Roman" w:cs="Times New Roman"/>
          <w:sz w:val="18"/>
          <w:szCs w:val="18"/>
        </w:rPr>
        <w:t>survey</w:t>
      </w:r>
      <w:r>
        <w:rPr>
          <w:rFonts w:ascii="Times New Roman" w:hAnsi="Times New Roman" w:eastAsia="Times New Roman" w:cs="Times New Roman"/>
          <w:spacing w:val="19"/>
          <w:w w:val="101"/>
          <w:sz w:val="18"/>
          <w:szCs w:val="18"/>
        </w:rPr>
        <w:t xml:space="preserve">  </w:t>
      </w:r>
      <w:r>
        <w:rPr>
          <w:rFonts w:ascii="Times New Roman" w:hAnsi="Times New Roman" w:eastAsia="Times New Roman" w:cs="Times New Roman"/>
          <w:spacing w:val="1"/>
          <w:sz w:val="18"/>
          <w:szCs w:val="18"/>
        </w:rPr>
        <w:t>33</w:t>
      </w:r>
    </w:p>
    <w:p w14:paraId="2689215F">
      <w:pPr>
        <w:spacing w:before="123" w:line="212" w:lineRule="auto"/>
        <w:rPr>
          <w:rFonts w:ascii="Times New Roman" w:hAnsi="Times New Roman" w:eastAsia="Times New Roman" w:cs="Times New Roman"/>
          <w:sz w:val="18"/>
          <w:szCs w:val="18"/>
        </w:rPr>
      </w:pPr>
      <w:r>
        <w:rPr>
          <w:rFonts w:ascii="宋体" w:hAnsi="宋体" w:eastAsia="宋体" w:cs="宋体"/>
          <w:sz w:val="18"/>
          <w:szCs w:val="18"/>
        </w:rPr>
        <w:t>出生队列分析</w:t>
      </w:r>
      <w:r>
        <w:rPr>
          <w:rFonts w:ascii="宋体" w:hAnsi="宋体" w:eastAsia="宋体" w:cs="宋体"/>
          <w:spacing w:val="66"/>
          <w:w w:val="101"/>
          <w:sz w:val="18"/>
          <w:szCs w:val="18"/>
        </w:rPr>
        <w:t xml:space="preserve"> </w:t>
      </w:r>
      <w:r>
        <w:rPr>
          <w:rFonts w:ascii="Times New Roman" w:hAnsi="Times New Roman" w:eastAsia="Times New Roman" w:cs="Times New Roman"/>
          <w:sz w:val="18"/>
          <w:szCs w:val="18"/>
        </w:rPr>
        <w:t>birth  cohort   analysis</w:t>
      </w:r>
      <w:r>
        <w:rPr>
          <w:rFonts w:ascii="Times New Roman" w:hAnsi="Times New Roman" w:eastAsia="Times New Roman" w:cs="Times New Roman"/>
          <w:spacing w:val="19"/>
          <w:sz w:val="18"/>
          <w:szCs w:val="18"/>
        </w:rPr>
        <w:t xml:space="preserve">  </w:t>
      </w:r>
      <w:r>
        <w:rPr>
          <w:rFonts w:ascii="Times New Roman" w:hAnsi="Times New Roman" w:eastAsia="Times New Roman" w:cs="Times New Roman"/>
          <w:sz w:val="18"/>
          <w:szCs w:val="18"/>
        </w:rPr>
        <w:t>18</w:t>
      </w:r>
    </w:p>
    <w:p w14:paraId="1623FEF0">
      <w:pPr>
        <w:spacing w:before="123" w:line="212" w:lineRule="auto"/>
        <w:rPr>
          <w:rFonts w:ascii="Times New Roman" w:hAnsi="Times New Roman" w:eastAsia="Times New Roman" w:cs="Times New Roman"/>
          <w:sz w:val="18"/>
          <w:szCs w:val="18"/>
        </w:rPr>
      </w:pPr>
      <w:r>
        <w:rPr>
          <w:rFonts w:ascii="宋体" w:hAnsi="宋体" w:eastAsia="宋体" w:cs="宋体"/>
          <w:sz w:val="18"/>
          <w:szCs w:val="18"/>
        </w:rPr>
        <w:t>初级卫生保健</w:t>
      </w:r>
      <w:r>
        <w:rPr>
          <w:rFonts w:ascii="宋体" w:hAnsi="宋体" w:eastAsia="宋体" w:cs="宋体"/>
          <w:spacing w:val="79"/>
          <w:sz w:val="18"/>
          <w:szCs w:val="18"/>
        </w:rPr>
        <w:t xml:space="preserve"> </w:t>
      </w:r>
      <w:r>
        <w:rPr>
          <w:rFonts w:ascii="Times New Roman" w:hAnsi="Times New Roman" w:eastAsia="Times New Roman" w:cs="Times New Roman"/>
          <w:sz w:val="18"/>
          <w:szCs w:val="18"/>
        </w:rPr>
        <w:t>primary   health</w:t>
      </w:r>
      <w:r>
        <w:rPr>
          <w:rFonts w:ascii="Times New Roman" w:hAnsi="Times New Roman" w:eastAsia="Times New Roman" w:cs="Times New Roman"/>
          <w:spacing w:val="6"/>
          <w:sz w:val="18"/>
          <w:szCs w:val="18"/>
        </w:rPr>
        <w:t xml:space="preserve">   </w:t>
      </w:r>
      <w:r>
        <w:rPr>
          <w:rFonts w:ascii="Times New Roman" w:hAnsi="Times New Roman" w:eastAsia="Times New Roman" w:cs="Times New Roman"/>
          <w:sz w:val="18"/>
          <w:szCs w:val="18"/>
        </w:rPr>
        <w:t>care,PHC    144</w:t>
      </w:r>
    </w:p>
    <w:p w14:paraId="7DEBDFC6">
      <w:pPr>
        <w:spacing w:before="123" w:line="212" w:lineRule="auto"/>
        <w:rPr>
          <w:rFonts w:ascii="Times New Roman" w:hAnsi="Times New Roman" w:eastAsia="Times New Roman" w:cs="Times New Roman"/>
          <w:sz w:val="18"/>
          <w:szCs w:val="18"/>
        </w:rPr>
      </w:pPr>
      <w:r>
        <w:rPr>
          <w:rFonts w:ascii="宋体" w:hAnsi="宋体" w:eastAsia="宋体" w:cs="宋体"/>
          <w:spacing w:val="4"/>
          <w:sz w:val="18"/>
          <w:szCs w:val="18"/>
        </w:rPr>
        <w:t>传播力</w:t>
      </w:r>
      <w:r>
        <w:rPr>
          <w:rFonts w:ascii="宋体" w:hAnsi="宋体" w:eastAsia="宋体" w:cs="宋体"/>
          <w:spacing w:val="77"/>
          <w:sz w:val="18"/>
          <w:szCs w:val="18"/>
        </w:rPr>
        <w:t xml:space="preserve"> </w:t>
      </w:r>
      <w:r>
        <w:rPr>
          <w:rFonts w:ascii="Times New Roman" w:hAnsi="Times New Roman" w:eastAsia="Times New Roman" w:cs="Times New Roman"/>
          <w:sz w:val="18"/>
          <w:szCs w:val="18"/>
        </w:rPr>
        <w:t>transmissibility</w:t>
      </w:r>
      <w:r>
        <w:rPr>
          <w:rFonts w:ascii="Times New Roman" w:hAnsi="Times New Roman" w:eastAsia="Times New Roman" w:cs="Times New Roman"/>
          <w:spacing w:val="7"/>
          <w:sz w:val="18"/>
          <w:szCs w:val="18"/>
        </w:rPr>
        <w:t xml:space="preserve">    </w:t>
      </w:r>
      <w:r>
        <w:rPr>
          <w:rFonts w:ascii="Times New Roman" w:hAnsi="Times New Roman" w:eastAsia="Times New Roman" w:cs="Times New Roman"/>
          <w:spacing w:val="4"/>
          <w:sz w:val="18"/>
          <w:szCs w:val="18"/>
        </w:rPr>
        <w:t>163</w:t>
      </w:r>
    </w:p>
    <w:p w14:paraId="7B1D88CD">
      <w:pPr>
        <w:spacing w:before="143" w:line="219" w:lineRule="auto"/>
        <w:rPr>
          <w:rFonts w:ascii="Times New Roman" w:hAnsi="Times New Roman" w:eastAsia="Times New Roman" w:cs="Times New Roman"/>
          <w:sz w:val="18"/>
          <w:szCs w:val="18"/>
        </w:rPr>
      </w:pPr>
      <w:r>
        <w:rPr>
          <w:rFonts w:ascii="宋体" w:hAnsi="宋体" w:eastAsia="宋体" w:cs="宋体"/>
          <w:spacing w:val="2"/>
          <w:sz w:val="18"/>
          <w:szCs w:val="18"/>
        </w:rPr>
        <w:t>传播途径</w:t>
      </w:r>
      <w:r>
        <w:rPr>
          <w:rFonts w:ascii="宋体" w:hAnsi="宋体" w:eastAsia="宋体" w:cs="宋体"/>
          <w:spacing w:val="80"/>
          <w:sz w:val="18"/>
          <w:szCs w:val="18"/>
        </w:rPr>
        <w:t xml:space="preserve"> </w:t>
      </w:r>
      <w:r>
        <w:rPr>
          <w:rFonts w:ascii="Times New Roman" w:hAnsi="Times New Roman" w:eastAsia="Times New Roman" w:cs="Times New Roman"/>
          <w:sz w:val="18"/>
          <w:szCs w:val="18"/>
        </w:rPr>
        <w:t>route</w:t>
      </w:r>
      <w:r>
        <w:rPr>
          <w:rFonts w:ascii="Times New Roman" w:hAnsi="Times New Roman" w:eastAsia="Times New Roman" w:cs="Times New Roman"/>
          <w:spacing w:val="2"/>
          <w:sz w:val="18"/>
          <w:szCs w:val="18"/>
        </w:rPr>
        <w:t xml:space="preserve">  </w:t>
      </w:r>
      <w:r>
        <w:rPr>
          <w:rFonts w:ascii="Times New Roman" w:hAnsi="Times New Roman" w:eastAsia="Times New Roman" w:cs="Times New Roman"/>
          <w:sz w:val="18"/>
          <w:szCs w:val="18"/>
        </w:rPr>
        <w:t>of</w:t>
      </w:r>
      <w:r>
        <w:rPr>
          <w:rFonts w:ascii="Times New Roman" w:hAnsi="Times New Roman" w:eastAsia="Times New Roman" w:cs="Times New Roman"/>
          <w:spacing w:val="2"/>
          <w:sz w:val="18"/>
          <w:szCs w:val="18"/>
        </w:rPr>
        <w:t xml:space="preserve">  </w:t>
      </w:r>
      <w:r>
        <w:rPr>
          <w:rFonts w:ascii="Times New Roman" w:hAnsi="Times New Roman" w:eastAsia="Times New Roman" w:cs="Times New Roman"/>
          <w:sz w:val="18"/>
          <w:szCs w:val="18"/>
        </w:rPr>
        <w:t>transmission</w:t>
      </w:r>
      <w:r>
        <w:rPr>
          <w:rFonts w:ascii="Times New Roman" w:hAnsi="Times New Roman" w:eastAsia="Times New Roman" w:cs="Times New Roman"/>
          <w:spacing w:val="15"/>
          <w:sz w:val="18"/>
          <w:szCs w:val="18"/>
        </w:rPr>
        <w:t xml:space="preserve">  </w:t>
      </w:r>
      <w:r>
        <w:rPr>
          <w:rFonts w:ascii="Times New Roman" w:hAnsi="Times New Roman" w:eastAsia="Times New Roman" w:cs="Times New Roman"/>
          <w:spacing w:val="2"/>
          <w:sz w:val="18"/>
          <w:szCs w:val="18"/>
        </w:rPr>
        <w:t>160</w:t>
      </w:r>
    </w:p>
    <w:p w14:paraId="6A0FA40A">
      <w:pPr>
        <w:spacing w:before="137" w:line="326" w:lineRule="auto"/>
        <w:rPr>
          <w:rFonts w:ascii="Times New Roman" w:hAnsi="Times New Roman" w:eastAsia="Times New Roman" w:cs="Times New Roman"/>
          <w:sz w:val="18"/>
          <w:szCs w:val="18"/>
        </w:rPr>
      </w:pPr>
      <w:r>
        <w:rPr>
          <w:rFonts w:ascii="宋体" w:hAnsi="宋体" w:eastAsia="宋体" w:cs="宋体"/>
          <w:sz w:val="18"/>
          <w:szCs w:val="18"/>
        </w:rPr>
        <w:t>传染病</w:t>
      </w:r>
      <w:r>
        <w:rPr>
          <w:rFonts w:ascii="宋体" w:hAnsi="宋体" w:eastAsia="宋体" w:cs="宋体"/>
          <w:spacing w:val="76"/>
          <w:sz w:val="18"/>
          <w:szCs w:val="18"/>
        </w:rPr>
        <w:t xml:space="preserve"> </w:t>
      </w:r>
      <w:r>
        <w:rPr>
          <w:rFonts w:ascii="Times New Roman" w:hAnsi="Times New Roman" w:eastAsia="Times New Roman" w:cs="Times New Roman"/>
          <w:sz w:val="18"/>
          <w:szCs w:val="18"/>
        </w:rPr>
        <w:t>infectious   disease;communicable</w:t>
      </w:r>
      <w:r>
        <w:rPr>
          <w:rFonts w:ascii="Times New Roman" w:hAnsi="Times New Roman" w:eastAsia="Times New Roman" w:cs="Times New Roman"/>
          <w:spacing w:val="6"/>
          <w:sz w:val="18"/>
          <w:szCs w:val="18"/>
        </w:rPr>
        <w:t xml:space="preserve">   </w:t>
      </w:r>
      <w:r>
        <w:rPr>
          <w:rFonts w:ascii="Times New Roman" w:hAnsi="Times New Roman" w:eastAsia="Times New Roman" w:cs="Times New Roman"/>
          <w:sz w:val="18"/>
          <w:szCs w:val="18"/>
        </w:rPr>
        <w:t>disease    154</w:t>
      </w:r>
      <w:r>
        <w:rPr>
          <w:rFonts w:ascii="Times New Roman" w:hAnsi="Times New Roman" w:eastAsia="Times New Roman" w:cs="Times New Roman"/>
          <w:spacing w:val="2"/>
          <w:sz w:val="18"/>
          <w:szCs w:val="18"/>
        </w:rPr>
        <w:t xml:space="preserve"> </w:t>
      </w:r>
      <w:r>
        <w:rPr>
          <w:rFonts w:ascii="宋体" w:hAnsi="宋体" w:eastAsia="宋体" w:cs="宋体"/>
          <w:spacing w:val="3"/>
          <w:sz w:val="18"/>
          <w:szCs w:val="18"/>
        </w:rPr>
        <w:t>传染过程</w:t>
      </w:r>
      <w:r>
        <w:rPr>
          <w:rFonts w:ascii="宋体" w:hAnsi="宋体" w:eastAsia="宋体" w:cs="宋体"/>
          <w:spacing w:val="67"/>
          <w:w w:val="101"/>
          <w:sz w:val="18"/>
          <w:szCs w:val="18"/>
        </w:rPr>
        <w:t xml:space="preserve"> </w:t>
      </w:r>
      <w:r>
        <w:rPr>
          <w:rFonts w:ascii="Times New Roman" w:hAnsi="Times New Roman" w:eastAsia="Times New Roman" w:cs="Times New Roman"/>
          <w:sz w:val="18"/>
          <w:szCs w:val="18"/>
        </w:rPr>
        <w:t>infection   process</w:t>
      </w:r>
      <w:r>
        <w:rPr>
          <w:rFonts w:ascii="Times New Roman" w:hAnsi="Times New Roman" w:eastAsia="Times New Roman" w:cs="Times New Roman"/>
          <w:spacing w:val="8"/>
          <w:sz w:val="18"/>
          <w:szCs w:val="18"/>
        </w:rPr>
        <w:t xml:space="preserve">   </w:t>
      </w:r>
      <w:r>
        <w:rPr>
          <w:rFonts w:ascii="Times New Roman" w:hAnsi="Times New Roman" w:eastAsia="Times New Roman" w:cs="Times New Roman"/>
          <w:spacing w:val="3"/>
          <w:sz w:val="18"/>
          <w:szCs w:val="18"/>
        </w:rPr>
        <w:t>156</w:t>
      </w:r>
    </w:p>
    <w:p w14:paraId="624824B0">
      <w:pPr>
        <w:spacing w:before="15" w:line="212" w:lineRule="auto"/>
        <w:rPr>
          <w:rFonts w:ascii="Times New Roman" w:hAnsi="Times New Roman" w:eastAsia="Times New Roman" w:cs="Times New Roman"/>
          <w:sz w:val="18"/>
          <w:szCs w:val="18"/>
        </w:rPr>
      </w:pPr>
      <w:r>
        <w:rPr>
          <w:rFonts w:ascii="宋体" w:hAnsi="宋体" w:eastAsia="宋体" w:cs="宋体"/>
          <w:spacing w:val="4"/>
          <w:sz w:val="18"/>
          <w:szCs w:val="18"/>
        </w:rPr>
        <w:t>传染力</w:t>
      </w:r>
      <w:r>
        <w:rPr>
          <w:rFonts w:ascii="宋体" w:hAnsi="宋体" w:eastAsia="宋体" w:cs="宋体"/>
          <w:spacing w:val="64"/>
          <w:sz w:val="18"/>
          <w:szCs w:val="18"/>
        </w:rPr>
        <w:t xml:space="preserve"> </w:t>
      </w:r>
      <w:r>
        <w:rPr>
          <w:rFonts w:ascii="Times New Roman" w:hAnsi="Times New Roman" w:eastAsia="Times New Roman" w:cs="Times New Roman"/>
          <w:sz w:val="18"/>
          <w:szCs w:val="18"/>
        </w:rPr>
        <w:t>infectivity</w:t>
      </w:r>
      <w:r>
        <w:rPr>
          <w:rFonts w:ascii="Times New Roman" w:hAnsi="Times New Roman" w:eastAsia="Times New Roman" w:cs="Times New Roman"/>
          <w:spacing w:val="11"/>
          <w:sz w:val="18"/>
          <w:szCs w:val="18"/>
        </w:rPr>
        <w:t xml:space="preserve">    </w:t>
      </w:r>
      <w:r>
        <w:rPr>
          <w:rFonts w:ascii="Times New Roman" w:hAnsi="Times New Roman" w:eastAsia="Times New Roman" w:cs="Times New Roman"/>
          <w:spacing w:val="4"/>
          <w:sz w:val="18"/>
          <w:szCs w:val="18"/>
        </w:rPr>
        <w:t>156</w:t>
      </w:r>
    </w:p>
    <w:p w14:paraId="327FFC78">
      <w:pPr>
        <w:spacing w:before="123" w:line="212" w:lineRule="auto"/>
        <w:rPr>
          <w:rFonts w:ascii="Times New Roman" w:hAnsi="Times New Roman" w:eastAsia="Times New Roman" w:cs="Times New Roman"/>
          <w:sz w:val="18"/>
          <w:szCs w:val="18"/>
        </w:rPr>
      </w:pPr>
      <w:r>
        <w:rPr>
          <w:rFonts w:ascii="宋体" w:hAnsi="宋体" w:eastAsia="宋体" w:cs="宋体"/>
          <w:spacing w:val="3"/>
          <w:sz w:val="18"/>
          <w:szCs w:val="18"/>
        </w:rPr>
        <w:t>传染期</w:t>
      </w:r>
      <w:r>
        <w:rPr>
          <w:rFonts w:ascii="宋体" w:hAnsi="宋体" w:eastAsia="宋体" w:cs="宋体"/>
          <w:spacing w:val="84"/>
          <w:sz w:val="18"/>
          <w:szCs w:val="18"/>
        </w:rPr>
        <w:t xml:space="preserve"> </w:t>
      </w:r>
      <w:r>
        <w:rPr>
          <w:rFonts w:ascii="Times New Roman" w:hAnsi="Times New Roman" w:eastAsia="Times New Roman" w:cs="Times New Roman"/>
          <w:sz w:val="18"/>
          <w:szCs w:val="18"/>
        </w:rPr>
        <w:t>communicable</w:t>
      </w:r>
      <w:r>
        <w:rPr>
          <w:rFonts w:ascii="Times New Roman" w:hAnsi="Times New Roman" w:eastAsia="Times New Roman" w:cs="Times New Roman"/>
          <w:spacing w:val="18"/>
          <w:w w:val="101"/>
          <w:sz w:val="18"/>
          <w:szCs w:val="18"/>
        </w:rPr>
        <w:t xml:space="preserve">  </w:t>
      </w:r>
      <w:r>
        <w:rPr>
          <w:rFonts w:ascii="Times New Roman" w:hAnsi="Times New Roman" w:eastAsia="Times New Roman" w:cs="Times New Roman"/>
          <w:sz w:val="18"/>
          <w:szCs w:val="18"/>
        </w:rPr>
        <w:t>period</w:t>
      </w:r>
      <w:r>
        <w:rPr>
          <w:rFonts w:ascii="Times New Roman" w:hAnsi="Times New Roman" w:eastAsia="Times New Roman" w:cs="Times New Roman"/>
          <w:spacing w:val="3"/>
          <w:sz w:val="18"/>
          <w:szCs w:val="18"/>
        </w:rPr>
        <w:t xml:space="preserve">   160</w:t>
      </w:r>
    </w:p>
    <w:sdt>
      <w:sdtPr>
        <w:rPr>
          <w:rFonts w:ascii="宋体" w:hAnsi="宋体" w:eastAsia="宋体" w:cs="宋体"/>
          <w:sz w:val="18"/>
          <w:szCs w:val="18"/>
        </w:rPr>
        <w:id w:val="301198070"/>
        <w:docPartObj>
          <w:docPartGallery w:val="Table of Contents"/>
          <w:docPartUnique/>
        </w:docPartObj>
      </w:sdtPr>
      <w:sdtEndPr>
        <w:rPr>
          <w:rFonts w:ascii="Times New Roman" w:hAnsi="Times New Roman" w:eastAsia="Times New Roman" w:cs="Times New Roman"/>
          <w:sz w:val="18"/>
          <w:szCs w:val="18"/>
        </w:rPr>
      </w:sdtEndPr>
      <w:sdtContent>
        <w:p w14:paraId="0591837B">
          <w:pPr>
            <w:spacing w:before="143" w:line="219" w:lineRule="auto"/>
            <w:rPr>
              <w:rFonts w:ascii="Times New Roman" w:hAnsi="Times New Roman" w:eastAsia="Times New Roman" w:cs="Times New Roman"/>
              <w:sz w:val="18"/>
              <w:szCs w:val="18"/>
            </w:rPr>
          </w:pPr>
          <w:r>
            <w:rPr>
              <w:rFonts w:ascii="宋体" w:hAnsi="宋体" w:eastAsia="宋体" w:cs="宋体"/>
              <w:spacing w:val="3"/>
              <w:sz w:val="18"/>
              <w:szCs w:val="18"/>
            </w:rPr>
            <w:t>传染源</w:t>
          </w:r>
          <w:r>
            <w:rPr>
              <w:rFonts w:ascii="宋体" w:hAnsi="宋体" w:eastAsia="宋体" w:cs="宋体"/>
              <w:spacing w:val="87"/>
              <w:sz w:val="18"/>
              <w:szCs w:val="18"/>
            </w:rPr>
            <w:t xml:space="preserve"> </w:t>
          </w:r>
          <w:r>
            <w:rPr>
              <w:rFonts w:ascii="Times New Roman" w:hAnsi="Times New Roman" w:eastAsia="Times New Roman" w:cs="Times New Roman"/>
              <w:sz w:val="18"/>
              <w:szCs w:val="18"/>
            </w:rPr>
            <w:t>source</w:t>
          </w:r>
          <w:r>
            <w:rPr>
              <w:rFonts w:ascii="Times New Roman" w:hAnsi="Times New Roman" w:eastAsia="Times New Roman" w:cs="Times New Roman"/>
              <w:spacing w:val="3"/>
              <w:sz w:val="18"/>
              <w:szCs w:val="18"/>
            </w:rPr>
            <w:t xml:space="preserve">  </w:t>
          </w:r>
          <w:r>
            <w:rPr>
              <w:rFonts w:ascii="Times New Roman" w:hAnsi="Times New Roman" w:eastAsia="Times New Roman" w:cs="Times New Roman"/>
              <w:sz w:val="18"/>
              <w:szCs w:val="18"/>
            </w:rPr>
            <w:t>of</w:t>
          </w:r>
          <w:r>
            <w:rPr>
              <w:rFonts w:ascii="Times New Roman" w:hAnsi="Times New Roman" w:eastAsia="Times New Roman" w:cs="Times New Roman"/>
              <w:spacing w:val="36"/>
              <w:sz w:val="18"/>
              <w:szCs w:val="18"/>
            </w:rPr>
            <w:t xml:space="preserve"> </w:t>
          </w:r>
          <w:r>
            <w:rPr>
              <w:rFonts w:ascii="Times New Roman" w:hAnsi="Times New Roman" w:eastAsia="Times New Roman" w:cs="Times New Roman"/>
              <w:sz w:val="18"/>
              <w:szCs w:val="18"/>
            </w:rPr>
            <w:t>infection</w:t>
          </w:r>
          <w:r>
            <w:rPr>
              <w:rFonts w:ascii="Times New Roman" w:hAnsi="Times New Roman" w:eastAsia="Times New Roman" w:cs="Times New Roman"/>
              <w:spacing w:val="12"/>
              <w:w w:val="101"/>
              <w:sz w:val="18"/>
              <w:szCs w:val="18"/>
            </w:rPr>
            <w:t xml:space="preserve">  </w:t>
          </w:r>
          <w:r>
            <w:fldChar w:fldCharType="begin"/>
          </w:r>
          <w:r>
            <w:instrText xml:space="preserve"> HYPERLINK \l "bookmark628" </w:instrText>
          </w:r>
          <w:r>
            <w:fldChar w:fldCharType="separate"/>
          </w:r>
          <w:r>
            <w:rPr>
              <w:rFonts w:ascii="Times New Roman" w:hAnsi="Times New Roman" w:eastAsia="Times New Roman" w:cs="Times New Roman"/>
              <w:spacing w:val="3"/>
              <w:sz w:val="18"/>
              <w:szCs w:val="18"/>
            </w:rPr>
            <w:t>158</w:t>
          </w:r>
          <w:r>
            <w:rPr>
              <w:rFonts w:ascii="Times New Roman" w:hAnsi="Times New Roman" w:eastAsia="Times New Roman" w:cs="Times New Roman"/>
              <w:spacing w:val="3"/>
              <w:sz w:val="18"/>
              <w:szCs w:val="18"/>
            </w:rPr>
            <w:fldChar w:fldCharType="end"/>
          </w:r>
        </w:p>
        <w:p w14:paraId="78BA9264">
          <w:pPr>
            <w:spacing w:before="118" w:line="220" w:lineRule="auto"/>
            <w:rPr>
              <w:rFonts w:ascii="Times New Roman" w:hAnsi="Times New Roman" w:eastAsia="Times New Roman" w:cs="Times New Roman"/>
              <w:sz w:val="18"/>
              <w:szCs w:val="18"/>
            </w:rPr>
          </w:pPr>
          <w:r>
            <w:rPr>
              <w:rFonts w:ascii="宋体" w:hAnsi="宋体" w:eastAsia="宋体" w:cs="宋体"/>
              <w:spacing w:val="1"/>
              <w:sz w:val="18"/>
              <w:szCs w:val="18"/>
            </w:rPr>
            <w:t xml:space="preserve">串联试验  </w:t>
          </w:r>
          <w:r>
            <w:rPr>
              <w:rFonts w:ascii="Times New Roman" w:hAnsi="Times New Roman" w:eastAsia="Times New Roman" w:cs="Times New Roman"/>
              <w:sz w:val="18"/>
              <w:szCs w:val="18"/>
            </w:rPr>
            <w:t>serial</w:t>
          </w:r>
          <w:r>
            <w:rPr>
              <w:rFonts w:ascii="Times New Roman" w:hAnsi="Times New Roman" w:eastAsia="Times New Roman" w:cs="Times New Roman"/>
              <w:spacing w:val="1"/>
              <w:sz w:val="18"/>
              <w:szCs w:val="18"/>
            </w:rPr>
            <w:t xml:space="preserve">   </w:t>
          </w:r>
          <w:r>
            <w:rPr>
              <w:rFonts w:ascii="Times New Roman" w:hAnsi="Times New Roman" w:eastAsia="Times New Roman" w:cs="Times New Roman"/>
              <w:sz w:val="18"/>
              <w:szCs w:val="18"/>
            </w:rPr>
            <w:t>test</w:t>
          </w:r>
          <w:r>
            <w:rPr>
              <w:rFonts w:ascii="Times New Roman" w:hAnsi="Times New Roman" w:eastAsia="Times New Roman" w:cs="Times New Roman"/>
              <w:spacing w:val="10"/>
              <w:sz w:val="18"/>
              <w:szCs w:val="18"/>
            </w:rPr>
            <w:t xml:space="preserve">   </w:t>
          </w:r>
          <w:r>
            <w:fldChar w:fldCharType="begin"/>
          </w:r>
          <w:r>
            <w:instrText xml:space="preserve"> HYPERLINK \l "bookmark629" </w:instrText>
          </w:r>
          <w:r>
            <w:fldChar w:fldCharType="separate"/>
          </w:r>
          <w:r>
            <w:rPr>
              <w:rFonts w:ascii="Times New Roman" w:hAnsi="Times New Roman" w:eastAsia="Times New Roman" w:cs="Times New Roman"/>
              <w:spacing w:val="1"/>
              <w:sz w:val="18"/>
              <w:szCs w:val="18"/>
            </w:rPr>
            <w:t>112</w:t>
          </w:r>
          <w:r>
            <w:rPr>
              <w:rFonts w:ascii="Times New Roman" w:hAnsi="Times New Roman" w:eastAsia="Times New Roman" w:cs="Times New Roman"/>
              <w:spacing w:val="1"/>
              <w:sz w:val="18"/>
              <w:szCs w:val="18"/>
            </w:rPr>
            <w:fldChar w:fldCharType="end"/>
          </w:r>
        </w:p>
        <w:p w14:paraId="138146F7">
          <w:pPr>
            <w:spacing w:before="113" w:line="219" w:lineRule="auto"/>
            <w:rPr>
              <w:rFonts w:ascii="Times New Roman" w:hAnsi="Times New Roman" w:eastAsia="Times New Roman" w:cs="Times New Roman"/>
              <w:sz w:val="18"/>
              <w:szCs w:val="18"/>
            </w:rPr>
          </w:pPr>
          <w:r>
            <w:rPr>
              <w:rFonts w:ascii="宋体" w:hAnsi="宋体" w:eastAsia="宋体" w:cs="宋体"/>
              <w:spacing w:val="2"/>
              <w:sz w:val="18"/>
              <w:szCs w:val="18"/>
            </w:rPr>
            <w:t xml:space="preserve">垂直传播  </w:t>
          </w:r>
          <w:r>
            <w:rPr>
              <w:rFonts w:ascii="Times New Roman" w:hAnsi="Times New Roman" w:eastAsia="Times New Roman" w:cs="Times New Roman"/>
              <w:sz w:val="18"/>
              <w:szCs w:val="18"/>
            </w:rPr>
            <w:t>vertical</w:t>
          </w:r>
          <w:r>
            <w:rPr>
              <w:rFonts w:ascii="Times New Roman" w:hAnsi="Times New Roman" w:eastAsia="Times New Roman" w:cs="Times New Roman"/>
              <w:spacing w:val="21"/>
              <w:w w:val="102"/>
              <w:sz w:val="18"/>
              <w:szCs w:val="18"/>
            </w:rPr>
            <w:t xml:space="preserve">  </w:t>
          </w:r>
          <w:r>
            <w:rPr>
              <w:rFonts w:ascii="Times New Roman" w:hAnsi="Times New Roman" w:eastAsia="Times New Roman" w:cs="Times New Roman"/>
              <w:sz w:val="18"/>
              <w:szCs w:val="18"/>
            </w:rPr>
            <w:t>transmission</w:t>
          </w:r>
          <w:r>
            <w:rPr>
              <w:rFonts w:ascii="Times New Roman" w:hAnsi="Times New Roman" w:eastAsia="Times New Roman" w:cs="Times New Roman"/>
              <w:spacing w:val="2"/>
              <w:sz w:val="18"/>
              <w:szCs w:val="18"/>
            </w:rPr>
            <w:t xml:space="preserve">   </w:t>
          </w:r>
          <w:r>
            <w:fldChar w:fldCharType="begin"/>
          </w:r>
          <w:r>
            <w:instrText xml:space="preserve"> HYPERLINK \l "bookmark630" </w:instrText>
          </w:r>
          <w:r>
            <w:fldChar w:fldCharType="separate"/>
          </w:r>
          <w:r>
            <w:rPr>
              <w:rFonts w:ascii="Times New Roman" w:hAnsi="Times New Roman" w:eastAsia="Times New Roman" w:cs="Times New Roman"/>
              <w:spacing w:val="2"/>
              <w:sz w:val="18"/>
              <w:szCs w:val="18"/>
            </w:rPr>
            <w:t>160</w:t>
          </w:r>
          <w:r>
            <w:rPr>
              <w:rFonts w:ascii="Times New Roman" w:hAnsi="Times New Roman" w:eastAsia="Times New Roman" w:cs="Times New Roman"/>
              <w:spacing w:val="2"/>
              <w:sz w:val="18"/>
              <w:szCs w:val="18"/>
            </w:rPr>
            <w:fldChar w:fldCharType="end"/>
          </w:r>
        </w:p>
        <w:p w14:paraId="6645B99C">
          <w:pPr>
            <w:spacing w:before="118" w:line="186" w:lineRule="auto"/>
            <w:rPr>
              <w:rFonts w:ascii="Times New Roman" w:hAnsi="Times New Roman" w:eastAsia="Times New Roman" w:cs="Times New Roman"/>
              <w:sz w:val="18"/>
              <w:szCs w:val="18"/>
            </w:rPr>
          </w:pPr>
          <w:r>
            <w:rPr>
              <w:rFonts w:ascii="宋体" w:hAnsi="宋体" w:eastAsia="宋体" w:cs="宋体"/>
              <w:sz w:val="18"/>
              <w:szCs w:val="18"/>
            </w:rPr>
            <w:t>粗死亡率</w:t>
          </w:r>
          <w:r>
            <w:rPr>
              <w:rFonts w:ascii="宋体" w:hAnsi="宋体" w:eastAsia="宋体" w:cs="宋体"/>
              <w:spacing w:val="84"/>
              <w:w w:val="101"/>
              <w:sz w:val="18"/>
              <w:szCs w:val="18"/>
            </w:rPr>
            <w:t xml:space="preserve"> </w:t>
          </w:r>
          <w:r>
            <w:rPr>
              <w:rFonts w:ascii="Times New Roman" w:hAnsi="Times New Roman" w:eastAsia="Times New Roman" w:cs="Times New Roman"/>
              <w:sz w:val="18"/>
              <w:szCs w:val="18"/>
            </w:rPr>
            <w:t>crude</w:t>
          </w:r>
          <w:r>
            <w:rPr>
              <w:rFonts w:ascii="Times New Roman" w:hAnsi="Times New Roman" w:eastAsia="Times New Roman" w:cs="Times New Roman"/>
              <w:spacing w:val="15"/>
              <w:sz w:val="18"/>
              <w:szCs w:val="18"/>
            </w:rPr>
            <w:t xml:space="preserve">  </w:t>
          </w:r>
          <w:r>
            <w:rPr>
              <w:rFonts w:ascii="Times New Roman" w:hAnsi="Times New Roman" w:eastAsia="Times New Roman" w:cs="Times New Roman"/>
              <w:sz w:val="18"/>
              <w:szCs w:val="18"/>
            </w:rPr>
            <w:t>death</w:t>
          </w:r>
          <w:r>
            <w:rPr>
              <w:rFonts w:ascii="Times New Roman" w:hAnsi="Times New Roman" w:eastAsia="Times New Roman" w:cs="Times New Roman"/>
              <w:spacing w:val="13"/>
              <w:sz w:val="18"/>
              <w:szCs w:val="18"/>
            </w:rPr>
            <w:t xml:space="preserve">  </w:t>
          </w:r>
          <w:r>
            <w:rPr>
              <w:rFonts w:ascii="Times New Roman" w:hAnsi="Times New Roman" w:eastAsia="Times New Roman" w:cs="Times New Roman"/>
              <w:sz w:val="18"/>
              <w:szCs w:val="18"/>
            </w:rPr>
            <w:t xml:space="preserve">rate   </w:t>
          </w:r>
          <w:r>
            <w:fldChar w:fldCharType="begin"/>
          </w:r>
          <w:r>
            <w:instrText xml:space="preserve"> HYPERLINK \l "bookmark631" </w:instrText>
          </w:r>
          <w:r>
            <w:fldChar w:fldCharType="separate"/>
          </w:r>
          <w:r>
            <w:rPr>
              <w:rFonts w:ascii="Times New Roman" w:hAnsi="Times New Roman" w:eastAsia="Times New Roman" w:cs="Times New Roman"/>
              <w:sz w:val="18"/>
              <w:szCs w:val="18"/>
            </w:rPr>
            <w:t>14</w:t>
          </w:r>
          <w:r>
            <w:rPr>
              <w:rFonts w:ascii="Times New Roman" w:hAnsi="Times New Roman" w:eastAsia="Times New Roman" w:cs="Times New Roman"/>
              <w:sz w:val="18"/>
              <w:szCs w:val="18"/>
            </w:rPr>
            <w:fldChar w:fldCharType="end"/>
          </w:r>
        </w:p>
      </w:sdtContent>
    </w:sdt>
    <w:p w14:paraId="39D458BC">
      <w:pPr>
        <w:spacing w:line="186" w:lineRule="auto"/>
        <w:rPr>
          <w:rFonts w:ascii="Times New Roman" w:hAnsi="Times New Roman" w:eastAsia="Times New Roman" w:cs="Times New Roman"/>
          <w:sz w:val="18"/>
          <w:szCs w:val="18"/>
        </w:rPr>
        <w:sectPr>
          <w:type w:val="continuous"/>
          <w:pgSz w:w="11900" w:h="16820"/>
          <w:pgMar w:top="400" w:right="1343" w:bottom="825" w:left="1249" w:header="0" w:footer="663" w:gutter="0"/>
          <w:cols w:equalWidth="0" w:num="2">
            <w:col w:w="4901" w:space="100"/>
            <w:col w:w="4307"/>
          </w:cols>
        </w:sectPr>
      </w:pPr>
    </w:p>
    <w:p w14:paraId="0CFABEBF">
      <w:pPr>
        <w:pStyle w:val="2"/>
        <w:spacing w:before="296" w:line="222" w:lineRule="auto"/>
        <w:jc w:val="right"/>
        <w:rPr>
          <w:sz w:val="18"/>
          <w:szCs w:val="18"/>
        </w:rPr>
      </w:pPr>
      <w:r>
        <w:rPr>
          <w:spacing w:val="-12"/>
          <w:sz w:val="18"/>
          <w:szCs w:val="18"/>
        </w:rPr>
        <w:t>中英文名词对照索引</w:t>
      </w:r>
    </w:p>
    <w:p w14:paraId="09F5BE90">
      <w:pPr>
        <w:spacing w:before="6"/>
      </w:pPr>
    </w:p>
    <w:p w14:paraId="6BC67CF5">
      <w:pPr>
        <w:spacing w:before="5"/>
      </w:pPr>
    </w:p>
    <w:p w14:paraId="100F49E6">
      <w:pPr>
        <w:sectPr>
          <w:footerReference r:id="rId390" w:type="default"/>
          <w:pgSz w:w="11900" w:h="16820"/>
          <w:pgMar w:top="400" w:right="1234" w:bottom="845" w:left="1370" w:header="0" w:footer="683" w:gutter="0"/>
          <w:cols w:equalWidth="0" w:num="1">
            <w:col w:w="9296"/>
          </w:cols>
        </w:sectPr>
      </w:pPr>
    </w:p>
    <w:p w14:paraId="6EC76C0F">
      <w:pPr>
        <w:spacing w:before="42" w:line="196" w:lineRule="auto"/>
        <w:rPr>
          <w:rFonts w:ascii="Arial" w:hAnsi="Arial" w:eastAsia="Arial" w:cs="Arial"/>
          <w:sz w:val="29"/>
          <w:szCs w:val="29"/>
        </w:rPr>
      </w:pPr>
      <w:r>
        <w:rPr>
          <w:rFonts w:ascii="Arial" w:hAnsi="Arial" w:eastAsia="Arial" w:cs="Arial"/>
          <w:sz w:val="29"/>
          <w:szCs w:val="29"/>
        </w:rPr>
        <w:t>D</w:t>
      </w:r>
    </w:p>
    <w:sdt>
      <w:sdtPr>
        <w:rPr>
          <w:rFonts w:ascii="宋体" w:hAnsi="宋体" w:eastAsia="宋体" w:cs="宋体"/>
          <w:sz w:val="18"/>
          <w:szCs w:val="18"/>
        </w:rPr>
        <w:id w:val="409985089"/>
        <w:docPartObj>
          <w:docPartGallery w:val="Table of Contents"/>
          <w:docPartUnique/>
        </w:docPartObj>
      </w:sdtPr>
      <w:sdtEndPr>
        <w:rPr>
          <w:rFonts w:ascii="Times New Roman" w:hAnsi="Times New Roman" w:eastAsia="Times New Roman" w:cs="Times New Roman"/>
          <w:sz w:val="18"/>
          <w:szCs w:val="18"/>
        </w:rPr>
      </w:sdtEndPr>
      <w:sdtContent>
        <w:p w14:paraId="3C8BE23B">
          <w:pPr>
            <w:spacing w:before="226" w:line="219" w:lineRule="auto"/>
            <w:rPr>
              <w:rFonts w:ascii="Times New Roman" w:hAnsi="Times New Roman" w:eastAsia="Times New Roman" w:cs="Times New Roman"/>
              <w:sz w:val="18"/>
              <w:szCs w:val="18"/>
            </w:rPr>
          </w:pPr>
          <w:r>
            <w:rPr>
              <w:rFonts w:ascii="宋体" w:hAnsi="宋体" w:eastAsia="宋体" w:cs="宋体"/>
              <w:spacing w:val="5"/>
              <w:sz w:val="18"/>
              <w:szCs w:val="18"/>
            </w:rPr>
            <w:t xml:space="preserve">大骨节病  </w:t>
          </w:r>
          <w:r>
            <w:rPr>
              <w:rFonts w:ascii="Times New Roman" w:hAnsi="Times New Roman" w:eastAsia="Times New Roman" w:cs="Times New Roman"/>
              <w:sz w:val="18"/>
              <w:szCs w:val="18"/>
            </w:rPr>
            <w:t>Kashin</w:t>
          </w:r>
          <w:r>
            <w:rPr>
              <w:rFonts w:ascii="Times New Roman" w:hAnsi="Times New Roman" w:eastAsia="Times New Roman" w:cs="Times New Roman"/>
              <w:spacing w:val="5"/>
              <w:sz w:val="18"/>
              <w:szCs w:val="18"/>
            </w:rPr>
            <w:t>-</w:t>
          </w:r>
          <w:r>
            <w:rPr>
              <w:rFonts w:ascii="Times New Roman" w:hAnsi="Times New Roman" w:eastAsia="Times New Roman" w:cs="Times New Roman"/>
              <w:sz w:val="18"/>
              <w:szCs w:val="18"/>
            </w:rPr>
            <w:t>Beck</w:t>
          </w:r>
          <w:r>
            <w:rPr>
              <w:rFonts w:ascii="Times New Roman" w:hAnsi="Times New Roman" w:eastAsia="Times New Roman" w:cs="Times New Roman"/>
              <w:spacing w:val="5"/>
              <w:sz w:val="18"/>
              <w:szCs w:val="18"/>
            </w:rPr>
            <w:t xml:space="preserve">   </w:t>
          </w:r>
          <w:r>
            <w:rPr>
              <w:rFonts w:ascii="Times New Roman" w:hAnsi="Times New Roman" w:eastAsia="Times New Roman" w:cs="Times New Roman"/>
              <w:sz w:val="18"/>
              <w:szCs w:val="18"/>
            </w:rPr>
            <w:t>disease</w:t>
          </w:r>
          <w:r>
            <w:rPr>
              <w:rFonts w:ascii="Times New Roman" w:hAnsi="Times New Roman" w:eastAsia="Times New Roman" w:cs="Times New Roman"/>
              <w:spacing w:val="7"/>
              <w:sz w:val="18"/>
              <w:szCs w:val="18"/>
            </w:rPr>
            <w:t xml:space="preserve">   </w:t>
          </w:r>
          <w:r>
            <w:fldChar w:fldCharType="begin"/>
          </w:r>
          <w:r>
            <w:instrText xml:space="preserve"> HYPERLINK \l "bookmark632" </w:instrText>
          </w:r>
          <w:r>
            <w:fldChar w:fldCharType="separate"/>
          </w:r>
          <w:r>
            <w:rPr>
              <w:rFonts w:ascii="Times New Roman" w:hAnsi="Times New Roman" w:eastAsia="Times New Roman" w:cs="Times New Roman"/>
              <w:spacing w:val="5"/>
              <w:sz w:val="18"/>
              <w:szCs w:val="18"/>
            </w:rPr>
            <w:t>336</w:t>
          </w:r>
          <w:r>
            <w:rPr>
              <w:rFonts w:ascii="Times New Roman" w:hAnsi="Times New Roman" w:eastAsia="Times New Roman" w:cs="Times New Roman"/>
              <w:spacing w:val="5"/>
              <w:sz w:val="18"/>
              <w:szCs w:val="18"/>
            </w:rPr>
            <w:fldChar w:fldCharType="end"/>
          </w:r>
        </w:p>
        <w:p w14:paraId="07C34BD6">
          <w:pPr>
            <w:spacing w:before="136" w:line="212" w:lineRule="auto"/>
            <w:rPr>
              <w:rFonts w:ascii="Times New Roman" w:hAnsi="Times New Roman" w:eastAsia="Times New Roman" w:cs="Times New Roman"/>
              <w:sz w:val="18"/>
              <w:szCs w:val="18"/>
            </w:rPr>
          </w:pPr>
          <w:r>
            <w:rPr>
              <w:rFonts w:ascii="宋体" w:hAnsi="宋体" w:eastAsia="宋体" w:cs="宋体"/>
              <w:spacing w:val="5"/>
              <w:sz w:val="18"/>
              <w:szCs w:val="18"/>
            </w:rPr>
            <w:t>大流行</w:t>
          </w:r>
          <w:r>
            <w:rPr>
              <w:rFonts w:ascii="宋体" w:hAnsi="宋体" w:eastAsia="宋体" w:cs="宋体"/>
              <w:spacing w:val="1"/>
              <w:sz w:val="18"/>
              <w:szCs w:val="18"/>
            </w:rPr>
            <w:t xml:space="preserve">  </w:t>
          </w:r>
          <w:r>
            <w:rPr>
              <w:rFonts w:ascii="Times New Roman" w:hAnsi="Times New Roman" w:eastAsia="Times New Roman" w:cs="Times New Roman"/>
              <w:sz w:val="18"/>
              <w:szCs w:val="18"/>
            </w:rPr>
            <w:t>pandemic</w:t>
          </w:r>
          <w:r>
            <w:rPr>
              <w:rFonts w:ascii="Times New Roman" w:hAnsi="Times New Roman" w:eastAsia="Times New Roman" w:cs="Times New Roman"/>
              <w:spacing w:val="5"/>
              <w:sz w:val="18"/>
              <w:szCs w:val="18"/>
            </w:rPr>
            <w:t xml:space="preserve">      </w:t>
          </w:r>
          <w:r>
            <w:fldChar w:fldCharType="begin"/>
          </w:r>
          <w:r>
            <w:instrText xml:space="preserve"> HYPERLINK \l "bookmark633" </w:instrText>
          </w:r>
          <w:r>
            <w:fldChar w:fldCharType="separate"/>
          </w:r>
          <w:r>
            <w:rPr>
              <w:rFonts w:ascii="Times New Roman" w:hAnsi="Times New Roman" w:eastAsia="Times New Roman" w:cs="Times New Roman"/>
              <w:spacing w:val="5"/>
              <w:sz w:val="18"/>
              <w:szCs w:val="18"/>
            </w:rPr>
            <w:t>17</w:t>
          </w:r>
          <w:r>
            <w:rPr>
              <w:rFonts w:ascii="Times New Roman" w:hAnsi="Times New Roman" w:eastAsia="Times New Roman" w:cs="Times New Roman"/>
              <w:spacing w:val="5"/>
              <w:sz w:val="18"/>
              <w:szCs w:val="18"/>
            </w:rPr>
            <w:fldChar w:fldCharType="end"/>
          </w:r>
        </w:p>
        <w:p w14:paraId="086F69ED">
          <w:pPr>
            <w:spacing w:before="132" w:line="212" w:lineRule="auto"/>
            <w:rPr>
              <w:rFonts w:ascii="Times New Roman" w:hAnsi="Times New Roman" w:eastAsia="Times New Roman" w:cs="Times New Roman"/>
              <w:sz w:val="18"/>
              <w:szCs w:val="18"/>
            </w:rPr>
          </w:pPr>
          <w:r>
            <w:rPr>
              <w:rFonts w:ascii="宋体" w:hAnsi="宋体" w:eastAsia="宋体" w:cs="宋体"/>
              <w:spacing w:val="6"/>
              <w:sz w:val="18"/>
              <w:szCs w:val="18"/>
            </w:rPr>
            <w:t>单纯随机抽样</w:t>
          </w:r>
          <w:r>
            <w:rPr>
              <w:rFonts w:ascii="宋体" w:hAnsi="宋体" w:eastAsia="宋体" w:cs="宋体"/>
              <w:spacing w:val="5"/>
              <w:sz w:val="18"/>
              <w:szCs w:val="18"/>
            </w:rPr>
            <w:t xml:space="preserve">  </w:t>
          </w:r>
          <w:r>
            <w:rPr>
              <w:rFonts w:ascii="Times New Roman" w:hAnsi="Times New Roman" w:eastAsia="Times New Roman" w:cs="Times New Roman"/>
              <w:sz w:val="18"/>
              <w:szCs w:val="18"/>
            </w:rPr>
            <w:t>simple</w:t>
          </w:r>
          <w:r>
            <w:rPr>
              <w:rFonts w:ascii="Times New Roman" w:hAnsi="Times New Roman" w:eastAsia="Times New Roman" w:cs="Times New Roman"/>
              <w:spacing w:val="43"/>
              <w:w w:val="101"/>
              <w:sz w:val="18"/>
              <w:szCs w:val="18"/>
            </w:rPr>
            <w:t xml:space="preserve"> </w:t>
          </w:r>
          <w:r>
            <w:rPr>
              <w:rFonts w:ascii="Times New Roman" w:hAnsi="Times New Roman" w:eastAsia="Times New Roman" w:cs="Times New Roman"/>
              <w:sz w:val="18"/>
              <w:szCs w:val="18"/>
            </w:rPr>
            <w:t>random</w:t>
          </w:r>
          <w:r>
            <w:rPr>
              <w:rFonts w:ascii="Times New Roman" w:hAnsi="Times New Roman" w:eastAsia="Times New Roman" w:cs="Times New Roman"/>
              <w:spacing w:val="6"/>
              <w:sz w:val="18"/>
              <w:szCs w:val="18"/>
            </w:rPr>
            <w:t xml:space="preserve">  </w:t>
          </w:r>
          <w:r>
            <w:rPr>
              <w:rFonts w:ascii="Times New Roman" w:hAnsi="Times New Roman" w:eastAsia="Times New Roman" w:cs="Times New Roman"/>
              <w:sz w:val="18"/>
              <w:szCs w:val="18"/>
            </w:rPr>
            <w:t>sampling</w:t>
          </w:r>
          <w:r>
            <w:rPr>
              <w:rFonts w:ascii="Times New Roman" w:hAnsi="Times New Roman" w:eastAsia="Times New Roman" w:cs="Times New Roman"/>
              <w:spacing w:val="6"/>
              <w:sz w:val="18"/>
              <w:szCs w:val="18"/>
            </w:rPr>
            <w:t xml:space="preserve">  </w:t>
          </w:r>
          <w:r>
            <w:fldChar w:fldCharType="begin"/>
          </w:r>
          <w:r>
            <w:instrText xml:space="preserve"> HYPERLINK \l "bookmark634" </w:instrText>
          </w:r>
          <w:r>
            <w:fldChar w:fldCharType="separate"/>
          </w:r>
          <w:r>
            <w:rPr>
              <w:rFonts w:ascii="Times New Roman" w:hAnsi="Times New Roman" w:eastAsia="Times New Roman" w:cs="Times New Roman"/>
              <w:spacing w:val="6"/>
              <w:sz w:val="18"/>
              <w:szCs w:val="18"/>
            </w:rPr>
            <w:t>37</w:t>
          </w:r>
          <w:r>
            <w:rPr>
              <w:rFonts w:ascii="Times New Roman" w:hAnsi="Times New Roman" w:eastAsia="Times New Roman" w:cs="Times New Roman"/>
              <w:spacing w:val="6"/>
              <w:sz w:val="18"/>
              <w:szCs w:val="18"/>
            </w:rPr>
            <w:fldChar w:fldCharType="end"/>
          </w:r>
        </w:p>
      </w:sdtContent>
    </w:sdt>
    <w:p w14:paraId="1C100D09">
      <w:pPr>
        <w:spacing w:before="123" w:line="212" w:lineRule="auto"/>
        <w:rPr>
          <w:rFonts w:ascii="Times New Roman" w:hAnsi="Times New Roman" w:eastAsia="Times New Roman" w:cs="Times New Roman"/>
          <w:sz w:val="18"/>
          <w:szCs w:val="18"/>
        </w:rPr>
      </w:pPr>
      <w:r>
        <w:rPr>
          <w:rFonts w:ascii="宋体" w:hAnsi="宋体" w:eastAsia="宋体" w:cs="宋体"/>
          <w:spacing w:val="9"/>
          <w:sz w:val="18"/>
          <w:szCs w:val="18"/>
        </w:rPr>
        <w:t>单核苷酸多态性</w:t>
      </w:r>
      <w:r>
        <w:rPr>
          <w:rFonts w:ascii="宋体" w:hAnsi="宋体" w:eastAsia="宋体" w:cs="宋体"/>
          <w:spacing w:val="4"/>
          <w:sz w:val="18"/>
          <w:szCs w:val="18"/>
        </w:rPr>
        <w:t xml:space="preserve">  </w:t>
      </w:r>
      <w:r>
        <w:rPr>
          <w:rFonts w:ascii="Times New Roman" w:hAnsi="Times New Roman" w:eastAsia="Times New Roman" w:cs="Times New Roman"/>
          <w:sz w:val="18"/>
          <w:szCs w:val="18"/>
        </w:rPr>
        <w:t>single</w:t>
      </w:r>
      <w:r>
        <w:rPr>
          <w:rFonts w:ascii="Times New Roman" w:hAnsi="Times New Roman" w:eastAsia="Times New Roman" w:cs="Times New Roman"/>
          <w:spacing w:val="9"/>
          <w:sz w:val="18"/>
          <w:szCs w:val="18"/>
        </w:rPr>
        <w:t xml:space="preserve"> </w:t>
      </w:r>
      <w:r>
        <w:rPr>
          <w:rFonts w:ascii="Times New Roman" w:hAnsi="Times New Roman" w:eastAsia="Times New Roman" w:cs="Times New Roman"/>
          <w:sz w:val="18"/>
          <w:szCs w:val="18"/>
        </w:rPr>
        <w:t>nucleotide</w:t>
      </w:r>
      <w:r>
        <w:rPr>
          <w:rFonts w:ascii="Times New Roman" w:hAnsi="Times New Roman" w:eastAsia="Times New Roman" w:cs="Times New Roman"/>
          <w:spacing w:val="9"/>
          <w:sz w:val="18"/>
          <w:szCs w:val="18"/>
        </w:rPr>
        <w:t xml:space="preserve"> </w:t>
      </w:r>
      <w:r>
        <w:rPr>
          <w:rFonts w:ascii="Times New Roman" w:hAnsi="Times New Roman" w:eastAsia="Times New Roman" w:cs="Times New Roman"/>
          <w:sz w:val="18"/>
          <w:szCs w:val="18"/>
        </w:rPr>
        <w:t>polymorphisms</w:t>
      </w:r>
      <w:r>
        <w:rPr>
          <w:rFonts w:ascii="Times New Roman" w:hAnsi="Times New Roman" w:eastAsia="Times New Roman" w:cs="Times New Roman"/>
          <w:spacing w:val="9"/>
          <w:sz w:val="18"/>
          <w:szCs w:val="18"/>
        </w:rPr>
        <w:t>,</w:t>
      </w:r>
      <w:r>
        <w:rPr>
          <w:rFonts w:ascii="Times New Roman" w:hAnsi="Times New Roman" w:eastAsia="Times New Roman" w:cs="Times New Roman"/>
          <w:sz w:val="18"/>
          <w:szCs w:val="18"/>
        </w:rPr>
        <w:t>SNPs</w:t>
      </w:r>
    </w:p>
    <w:p w14:paraId="37F7ADB0">
      <w:pPr>
        <w:spacing w:before="171" w:line="188" w:lineRule="auto"/>
        <w:ind w:left="209"/>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234</w:t>
      </w:r>
    </w:p>
    <w:p w14:paraId="2FCA3232">
      <w:pPr>
        <w:spacing w:before="140" w:line="212" w:lineRule="auto"/>
        <w:rPr>
          <w:rFonts w:ascii="Times New Roman" w:hAnsi="Times New Roman" w:eastAsia="Times New Roman" w:cs="Times New Roman"/>
          <w:sz w:val="18"/>
          <w:szCs w:val="18"/>
        </w:rPr>
      </w:pPr>
      <w:r>
        <w:rPr>
          <w:rFonts w:ascii="宋体" w:hAnsi="宋体" w:eastAsia="宋体" w:cs="宋体"/>
          <w:spacing w:val="-2"/>
          <w:sz w:val="18"/>
          <w:szCs w:val="18"/>
        </w:rPr>
        <w:t>单</w:t>
      </w:r>
      <w:r>
        <w:rPr>
          <w:rFonts w:ascii="宋体" w:hAnsi="宋体" w:eastAsia="宋体" w:cs="宋体"/>
          <w:spacing w:val="-25"/>
          <w:sz w:val="18"/>
          <w:szCs w:val="18"/>
        </w:rPr>
        <w:t xml:space="preserve"> </w:t>
      </w:r>
      <w:r>
        <w:rPr>
          <w:rFonts w:ascii="宋体" w:hAnsi="宋体" w:eastAsia="宋体" w:cs="宋体"/>
          <w:spacing w:val="-2"/>
          <w:sz w:val="18"/>
          <w:szCs w:val="18"/>
        </w:rPr>
        <w:t>盲</w:t>
      </w:r>
      <w:r>
        <w:rPr>
          <w:rFonts w:ascii="宋体" w:hAnsi="宋体" w:eastAsia="宋体" w:cs="宋体"/>
          <w:spacing w:val="81"/>
          <w:sz w:val="18"/>
          <w:szCs w:val="18"/>
        </w:rPr>
        <w:t xml:space="preserve"> </w:t>
      </w:r>
      <w:r>
        <w:rPr>
          <w:rFonts w:ascii="Times New Roman" w:hAnsi="Times New Roman" w:eastAsia="Times New Roman" w:cs="Times New Roman"/>
          <w:spacing w:val="-2"/>
          <w:sz w:val="18"/>
          <w:szCs w:val="18"/>
        </w:rPr>
        <w:t>single</w:t>
      </w:r>
      <w:r>
        <w:rPr>
          <w:rFonts w:ascii="Times New Roman" w:hAnsi="Times New Roman" w:eastAsia="Times New Roman" w:cs="Times New Roman"/>
          <w:spacing w:val="9"/>
          <w:sz w:val="18"/>
          <w:szCs w:val="18"/>
        </w:rPr>
        <w:t xml:space="preserve">   </w:t>
      </w:r>
      <w:r>
        <w:rPr>
          <w:rFonts w:ascii="Times New Roman" w:hAnsi="Times New Roman" w:eastAsia="Times New Roman" w:cs="Times New Roman"/>
          <w:spacing w:val="-2"/>
          <w:sz w:val="18"/>
          <w:szCs w:val="18"/>
        </w:rPr>
        <w:t>blind</w:t>
      </w:r>
      <w:r>
        <w:rPr>
          <w:rFonts w:ascii="Times New Roman" w:hAnsi="Times New Roman" w:eastAsia="Times New Roman" w:cs="Times New Roman"/>
          <w:spacing w:val="12"/>
          <w:sz w:val="18"/>
          <w:szCs w:val="18"/>
        </w:rPr>
        <w:t xml:space="preserve">   </w:t>
      </w:r>
      <w:r>
        <w:rPr>
          <w:rFonts w:ascii="Times New Roman" w:hAnsi="Times New Roman" w:eastAsia="Times New Roman" w:cs="Times New Roman"/>
          <w:spacing w:val="-2"/>
          <w:sz w:val="18"/>
          <w:szCs w:val="18"/>
        </w:rPr>
        <w:t>92</w:t>
      </w:r>
    </w:p>
    <w:sdt>
      <w:sdtPr>
        <w:rPr>
          <w:rFonts w:ascii="宋体" w:hAnsi="宋体" w:eastAsia="宋体" w:cs="宋体"/>
          <w:sz w:val="18"/>
          <w:szCs w:val="18"/>
        </w:rPr>
        <w:id w:val="137346178"/>
        <w:docPartObj>
          <w:docPartGallery w:val="Table of Contents"/>
          <w:docPartUnique/>
        </w:docPartObj>
      </w:sdtPr>
      <w:sdtEndPr>
        <w:rPr>
          <w:rFonts w:ascii="宋体" w:hAnsi="宋体" w:eastAsia="宋体" w:cs="宋体"/>
          <w:sz w:val="18"/>
          <w:szCs w:val="18"/>
        </w:rPr>
      </w:sdtEndPr>
      <w:sdtContent>
        <w:p w14:paraId="2DD182FD">
          <w:pPr>
            <w:spacing w:before="123" w:line="212" w:lineRule="auto"/>
            <w:rPr>
              <w:rFonts w:ascii="Times New Roman" w:hAnsi="Times New Roman" w:eastAsia="Times New Roman" w:cs="Times New Roman"/>
              <w:sz w:val="18"/>
              <w:szCs w:val="18"/>
            </w:rPr>
          </w:pPr>
          <w:r>
            <w:rPr>
              <w:rFonts w:ascii="宋体" w:hAnsi="宋体" w:eastAsia="宋体" w:cs="宋体"/>
              <w:spacing w:val="6"/>
              <w:sz w:val="18"/>
              <w:szCs w:val="18"/>
            </w:rPr>
            <w:t>单项筛检</w:t>
          </w:r>
          <w:r>
            <w:rPr>
              <w:rFonts w:ascii="宋体" w:hAnsi="宋体" w:eastAsia="宋体" w:cs="宋体"/>
              <w:spacing w:val="2"/>
              <w:sz w:val="18"/>
              <w:szCs w:val="18"/>
            </w:rPr>
            <w:t xml:space="preserve">  </w:t>
          </w:r>
          <w:r>
            <w:rPr>
              <w:rFonts w:ascii="Times New Roman" w:hAnsi="Times New Roman" w:eastAsia="Times New Roman" w:cs="Times New Roman"/>
              <w:sz w:val="18"/>
              <w:szCs w:val="18"/>
            </w:rPr>
            <w:t>single</w:t>
          </w:r>
          <w:r>
            <w:rPr>
              <w:rFonts w:ascii="Times New Roman" w:hAnsi="Times New Roman" w:eastAsia="Times New Roman" w:cs="Times New Roman"/>
              <w:spacing w:val="9"/>
              <w:sz w:val="18"/>
              <w:szCs w:val="18"/>
            </w:rPr>
            <w:t xml:space="preserve">   </w:t>
          </w:r>
          <w:r>
            <w:rPr>
              <w:rFonts w:ascii="Times New Roman" w:hAnsi="Times New Roman" w:eastAsia="Times New Roman" w:cs="Times New Roman"/>
              <w:sz w:val="18"/>
              <w:szCs w:val="18"/>
            </w:rPr>
            <w:t>screening</w:t>
          </w:r>
          <w:r>
            <w:rPr>
              <w:rFonts w:ascii="Times New Roman" w:hAnsi="Times New Roman" w:eastAsia="Times New Roman" w:cs="Times New Roman"/>
              <w:spacing w:val="13"/>
              <w:w w:val="101"/>
              <w:sz w:val="18"/>
              <w:szCs w:val="18"/>
            </w:rPr>
            <w:t xml:space="preserve">   </w:t>
          </w:r>
          <w:r>
            <w:fldChar w:fldCharType="begin"/>
          </w:r>
          <w:r>
            <w:instrText xml:space="preserve"> HYPERLINK \l "bookmark635" </w:instrText>
          </w:r>
          <w:r>
            <w:fldChar w:fldCharType="separate"/>
          </w:r>
          <w:r>
            <w:rPr>
              <w:rFonts w:ascii="Times New Roman" w:hAnsi="Times New Roman" w:eastAsia="Times New Roman" w:cs="Times New Roman"/>
              <w:spacing w:val="6"/>
              <w:sz w:val="18"/>
              <w:szCs w:val="18"/>
            </w:rPr>
            <w:t>102</w:t>
          </w:r>
          <w:r>
            <w:rPr>
              <w:rFonts w:ascii="Times New Roman" w:hAnsi="Times New Roman" w:eastAsia="Times New Roman" w:cs="Times New Roman"/>
              <w:spacing w:val="6"/>
              <w:sz w:val="18"/>
              <w:szCs w:val="18"/>
            </w:rPr>
            <w:fldChar w:fldCharType="end"/>
          </w:r>
        </w:p>
        <w:p w14:paraId="4A9CB4EC">
          <w:pPr>
            <w:spacing w:before="132" w:line="212" w:lineRule="auto"/>
            <w:rPr>
              <w:rFonts w:ascii="Times New Roman" w:hAnsi="Times New Roman" w:eastAsia="Times New Roman" w:cs="Times New Roman"/>
              <w:sz w:val="18"/>
              <w:szCs w:val="18"/>
            </w:rPr>
          </w:pPr>
          <w:r>
            <w:rPr>
              <w:rFonts w:ascii="宋体" w:hAnsi="宋体" w:eastAsia="宋体" w:cs="宋体"/>
              <w:spacing w:val="4"/>
              <w:sz w:val="18"/>
              <w:szCs w:val="18"/>
            </w:rPr>
            <w:t xml:space="preserve">地方病  </w:t>
          </w:r>
          <w:r>
            <w:rPr>
              <w:rFonts w:ascii="Times New Roman" w:hAnsi="Times New Roman" w:eastAsia="Times New Roman" w:cs="Times New Roman"/>
              <w:sz w:val="18"/>
              <w:szCs w:val="18"/>
            </w:rPr>
            <w:t>endemic</w:t>
          </w:r>
          <w:r>
            <w:rPr>
              <w:rFonts w:ascii="Times New Roman" w:hAnsi="Times New Roman" w:eastAsia="Times New Roman" w:cs="Times New Roman"/>
              <w:spacing w:val="8"/>
              <w:sz w:val="18"/>
              <w:szCs w:val="18"/>
            </w:rPr>
            <w:t xml:space="preserve">    </w:t>
          </w:r>
          <w:r>
            <w:rPr>
              <w:rFonts w:ascii="Times New Roman" w:hAnsi="Times New Roman" w:eastAsia="Times New Roman" w:cs="Times New Roman"/>
              <w:sz w:val="18"/>
              <w:szCs w:val="18"/>
            </w:rPr>
            <w:t>disease</w:t>
          </w:r>
          <w:r>
            <w:rPr>
              <w:rFonts w:ascii="Times New Roman" w:hAnsi="Times New Roman" w:eastAsia="Times New Roman" w:cs="Times New Roman"/>
              <w:spacing w:val="6"/>
              <w:sz w:val="18"/>
              <w:szCs w:val="18"/>
            </w:rPr>
            <w:t xml:space="preserve">    </w:t>
          </w:r>
          <w:r>
            <w:rPr>
              <w:rFonts w:ascii="Times New Roman" w:hAnsi="Times New Roman" w:eastAsia="Times New Roman" w:cs="Times New Roman"/>
              <w:spacing w:val="4"/>
              <w:sz w:val="18"/>
              <w:szCs w:val="18"/>
            </w:rPr>
            <w:t>24,329</w:t>
          </w:r>
        </w:p>
        <w:p w14:paraId="55180624">
          <w:pPr>
            <w:spacing w:before="136" w:line="221" w:lineRule="auto"/>
            <w:rPr>
              <w:rFonts w:ascii="Times New Roman" w:hAnsi="Times New Roman" w:eastAsia="Times New Roman" w:cs="Times New Roman"/>
              <w:sz w:val="18"/>
              <w:szCs w:val="18"/>
            </w:rPr>
          </w:pPr>
          <w:r>
            <w:rPr>
              <w:rFonts w:ascii="宋体" w:hAnsi="宋体" w:eastAsia="宋体" w:cs="宋体"/>
              <w:spacing w:val="9"/>
              <w:sz w:val="18"/>
              <w:szCs w:val="18"/>
            </w:rPr>
            <w:t>地方性</w:t>
          </w:r>
          <w:r>
            <w:rPr>
              <w:rFonts w:ascii="宋体" w:hAnsi="宋体" w:eastAsia="宋体" w:cs="宋体"/>
              <w:spacing w:val="2"/>
              <w:sz w:val="18"/>
              <w:szCs w:val="18"/>
            </w:rPr>
            <w:t xml:space="preserve">  </w:t>
          </w:r>
          <w:r>
            <w:rPr>
              <w:rFonts w:ascii="Times New Roman" w:hAnsi="Times New Roman" w:eastAsia="Times New Roman" w:cs="Times New Roman"/>
              <w:sz w:val="18"/>
              <w:szCs w:val="18"/>
            </w:rPr>
            <w:t>endemic</w:t>
          </w:r>
          <w:r>
            <w:rPr>
              <w:rFonts w:ascii="Times New Roman" w:hAnsi="Times New Roman" w:eastAsia="Times New Roman" w:cs="Times New Roman"/>
              <w:spacing w:val="6"/>
              <w:sz w:val="18"/>
              <w:szCs w:val="18"/>
            </w:rPr>
            <w:t xml:space="preserve">     </w:t>
          </w:r>
          <w:r>
            <w:fldChar w:fldCharType="begin"/>
          </w:r>
          <w:r>
            <w:instrText xml:space="preserve"> HYPERLINK \l "bookmark636" </w:instrText>
          </w:r>
          <w:r>
            <w:fldChar w:fldCharType="separate"/>
          </w:r>
          <w:r>
            <w:rPr>
              <w:rFonts w:ascii="Times New Roman" w:hAnsi="Times New Roman" w:eastAsia="Times New Roman" w:cs="Times New Roman"/>
              <w:spacing w:val="9"/>
              <w:sz w:val="18"/>
              <w:szCs w:val="18"/>
            </w:rPr>
            <w:t>23</w:t>
          </w:r>
          <w:r>
            <w:rPr>
              <w:rFonts w:ascii="Times New Roman" w:hAnsi="Times New Roman" w:eastAsia="Times New Roman" w:cs="Times New Roman"/>
              <w:spacing w:val="9"/>
              <w:sz w:val="18"/>
              <w:szCs w:val="18"/>
            </w:rPr>
            <w:fldChar w:fldCharType="end"/>
          </w:r>
        </w:p>
        <w:p w14:paraId="581C1B72">
          <w:pPr>
            <w:spacing w:before="124" w:line="219" w:lineRule="auto"/>
            <w:rPr>
              <w:rFonts w:ascii="Times New Roman" w:hAnsi="Times New Roman" w:eastAsia="Times New Roman" w:cs="Times New Roman"/>
              <w:sz w:val="18"/>
              <w:szCs w:val="18"/>
            </w:rPr>
          </w:pPr>
          <w:r>
            <w:rPr>
              <w:rFonts w:ascii="宋体" w:hAnsi="宋体" w:eastAsia="宋体" w:cs="宋体"/>
              <w:spacing w:val="8"/>
              <w:sz w:val="18"/>
              <w:szCs w:val="18"/>
            </w:rPr>
            <w:t>地方性氟中毒</w:t>
          </w:r>
          <w:r>
            <w:rPr>
              <w:rFonts w:ascii="宋体" w:hAnsi="宋体" w:eastAsia="宋体" w:cs="宋体"/>
              <w:spacing w:val="3"/>
              <w:sz w:val="18"/>
              <w:szCs w:val="18"/>
            </w:rPr>
            <w:t xml:space="preserve">  </w:t>
          </w:r>
          <w:r>
            <w:rPr>
              <w:rFonts w:ascii="Times New Roman" w:hAnsi="Times New Roman" w:eastAsia="Times New Roman" w:cs="Times New Roman"/>
              <w:sz w:val="18"/>
              <w:szCs w:val="18"/>
            </w:rPr>
            <w:t>endemic</w:t>
          </w:r>
          <w:r>
            <w:rPr>
              <w:rFonts w:ascii="Times New Roman" w:hAnsi="Times New Roman" w:eastAsia="Times New Roman" w:cs="Times New Roman"/>
              <w:spacing w:val="1"/>
              <w:sz w:val="18"/>
              <w:szCs w:val="18"/>
            </w:rPr>
            <w:t xml:space="preserve">   </w:t>
          </w:r>
          <w:r>
            <w:rPr>
              <w:rFonts w:ascii="Times New Roman" w:hAnsi="Times New Roman" w:eastAsia="Times New Roman" w:cs="Times New Roman"/>
              <w:sz w:val="18"/>
              <w:szCs w:val="18"/>
            </w:rPr>
            <w:t>fluorosis</w:t>
          </w:r>
          <w:r>
            <w:rPr>
              <w:rFonts w:ascii="Times New Roman" w:hAnsi="Times New Roman" w:eastAsia="Times New Roman" w:cs="Times New Roman"/>
              <w:spacing w:val="1"/>
              <w:sz w:val="18"/>
              <w:szCs w:val="18"/>
            </w:rPr>
            <w:t xml:space="preserve">   </w:t>
          </w:r>
          <w:r>
            <w:fldChar w:fldCharType="begin"/>
          </w:r>
          <w:r>
            <w:instrText xml:space="preserve"> HYPERLINK \l "bookmark637" </w:instrText>
          </w:r>
          <w:r>
            <w:fldChar w:fldCharType="separate"/>
          </w:r>
          <w:r>
            <w:rPr>
              <w:rFonts w:ascii="Times New Roman" w:hAnsi="Times New Roman" w:eastAsia="Times New Roman" w:cs="Times New Roman"/>
              <w:spacing w:val="8"/>
              <w:sz w:val="18"/>
              <w:szCs w:val="18"/>
            </w:rPr>
            <w:t>333</w:t>
          </w:r>
          <w:r>
            <w:rPr>
              <w:rFonts w:ascii="Times New Roman" w:hAnsi="Times New Roman" w:eastAsia="Times New Roman" w:cs="Times New Roman"/>
              <w:spacing w:val="8"/>
              <w:sz w:val="18"/>
              <w:szCs w:val="18"/>
            </w:rPr>
            <w:fldChar w:fldCharType="end"/>
          </w:r>
        </w:p>
        <w:p w14:paraId="2BA3EF32">
          <w:pPr>
            <w:spacing w:before="126" w:line="219" w:lineRule="auto"/>
            <w:rPr>
              <w:rFonts w:ascii="宋体" w:hAnsi="宋体" w:eastAsia="宋体" w:cs="宋体"/>
              <w:sz w:val="18"/>
              <w:szCs w:val="18"/>
            </w:rPr>
          </w:pPr>
          <w:r>
            <w:rPr>
              <w:rFonts w:ascii="宋体" w:hAnsi="宋体" w:eastAsia="宋体" w:cs="宋体"/>
              <w:spacing w:val="-1"/>
              <w:sz w:val="18"/>
              <w:szCs w:val="18"/>
            </w:rPr>
            <w:t>地方性砷中毒</w:t>
          </w:r>
          <w:r>
            <w:rPr>
              <w:rFonts w:ascii="宋体" w:hAnsi="宋体" w:eastAsia="宋体" w:cs="宋体"/>
              <w:spacing w:val="92"/>
              <w:sz w:val="18"/>
              <w:szCs w:val="18"/>
            </w:rPr>
            <w:t xml:space="preserve"> </w:t>
          </w:r>
          <w:r>
            <w:rPr>
              <w:rFonts w:ascii="宋体" w:hAnsi="宋体" w:eastAsia="宋体" w:cs="宋体"/>
              <w:spacing w:val="-1"/>
              <w:sz w:val="18"/>
              <w:szCs w:val="18"/>
            </w:rPr>
            <w:t xml:space="preserve">endemic arsenicosis </w:t>
          </w:r>
          <w:r>
            <w:fldChar w:fldCharType="begin"/>
          </w:r>
          <w:r>
            <w:instrText xml:space="preserve"> HYPERLINK \l "bookmark638" </w:instrText>
          </w:r>
          <w:r>
            <w:fldChar w:fldCharType="separate"/>
          </w:r>
          <w:r>
            <w:rPr>
              <w:rFonts w:ascii="宋体" w:hAnsi="宋体" w:eastAsia="宋体" w:cs="宋体"/>
              <w:spacing w:val="-1"/>
              <w:sz w:val="18"/>
              <w:szCs w:val="18"/>
            </w:rPr>
            <w:t>334</w:t>
          </w:r>
          <w:r>
            <w:rPr>
              <w:rFonts w:ascii="宋体" w:hAnsi="宋体" w:eastAsia="宋体" w:cs="宋体"/>
              <w:spacing w:val="-1"/>
              <w:sz w:val="18"/>
              <w:szCs w:val="18"/>
            </w:rPr>
            <w:fldChar w:fldCharType="end"/>
          </w:r>
        </w:p>
      </w:sdtContent>
    </w:sdt>
    <w:p w14:paraId="3665FFAD">
      <w:pPr>
        <w:spacing w:before="106" w:line="212" w:lineRule="auto"/>
        <w:rPr>
          <w:rFonts w:ascii="Times New Roman" w:hAnsi="Times New Roman" w:eastAsia="Times New Roman" w:cs="Times New Roman"/>
          <w:sz w:val="18"/>
          <w:szCs w:val="18"/>
        </w:rPr>
      </w:pPr>
      <w:r>
        <w:rPr>
          <w:rFonts w:ascii="宋体" w:hAnsi="宋体" w:eastAsia="宋体" w:cs="宋体"/>
          <w:spacing w:val="9"/>
          <w:sz w:val="18"/>
          <w:szCs w:val="18"/>
        </w:rPr>
        <w:t>地区聚集性</w:t>
      </w:r>
      <w:r>
        <w:rPr>
          <w:rFonts w:ascii="宋体" w:hAnsi="宋体" w:eastAsia="宋体" w:cs="宋体"/>
          <w:spacing w:val="78"/>
          <w:sz w:val="18"/>
          <w:szCs w:val="18"/>
        </w:rPr>
        <w:t xml:space="preserve"> </w:t>
      </w:r>
      <w:r>
        <w:rPr>
          <w:rFonts w:ascii="Times New Roman" w:hAnsi="Times New Roman" w:eastAsia="Times New Roman" w:cs="Times New Roman"/>
          <w:sz w:val="18"/>
          <w:szCs w:val="18"/>
        </w:rPr>
        <w:t>endemic</w:t>
      </w:r>
      <w:r>
        <w:rPr>
          <w:rFonts w:ascii="Times New Roman" w:hAnsi="Times New Roman" w:eastAsia="Times New Roman" w:cs="Times New Roman"/>
          <w:spacing w:val="9"/>
          <w:sz w:val="18"/>
          <w:szCs w:val="18"/>
        </w:rPr>
        <w:t xml:space="preserve">   </w:t>
      </w:r>
      <w:r>
        <w:rPr>
          <w:rFonts w:ascii="Times New Roman" w:hAnsi="Times New Roman" w:eastAsia="Times New Roman" w:cs="Times New Roman"/>
          <w:sz w:val="18"/>
          <w:szCs w:val="18"/>
        </w:rPr>
        <w:t>clustering</w:t>
      </w:r>
      <w:r>
        <w:rPr>
          <w:rFonts w:ascii="Times New Roman" w:hAnsi="Times New Roman" w:eastAsia="Times New Roman" w:cs="Times New Roman"/>
          <w:spacing w:val="9"/>
          <w:sz w:val="18"/>
          <w:szCs w:val="18"/>
        </w:rPr>
        <w:t xml:space="preserve">   23</w:t>
      </w:r>
    </w:p>
    <w:p w14:paraId="66E5F963">
      <w:pPr>
        <w:spacing w:before="143" w:line="212" w:lineRule="auto"/>
        <w:rPr>
          <w:rFonts w:ascii="Times New Roman" w:hAnsi="Times New Roman" w:eastAsia="Times New Roman" w:cs="Times New Roman"/>
          <w:sz w:val="18"/>
          <w:szCs w:val="18"/>
        </w:rPr>
      </w:pPr>
      <w:r>
        <w:rPr>
          <w:rFonts w:ascii="宋体" w:hAnsi="宋体" w:eastAsia="宋体" w:cs="宋体"/>
          <w:spacing w:val="8"/>
          <w:sz w:val="18"/>
          <w:szCs w:val="18"/>
        </w:rPr>
        <w:t>第二级预防</w:t>
      </w:r>
      <w:r>
        <w:rPr>
          <w:rFonts w:ascii="宋体" w:hAnsi="宋体" w:eastAsia="宋体" w:cs="宋体"/>
          <w:spacing w:val="80"/>
          <w:sz w:val="18"/>
          <w:szCs w:val="18"/>
        </w:rPr>
        <w:t xml:space="preserve"> </w:t>
      </w:r>
      <w:r>
        <w:rPr>
          <w:rFonts w:ascii="Times New Roman" w:hAnsi="Times New Roman" w:eastAsia="Times New Roman" w:cs="Times New Roman"/>
          <w:sz w:val="18"/>
          <w:szCs w:val="18"/>
        </w:rPr>
        <w:t>secondary   prevention</w:t>
      </w:r>
      <w:r>
        <w:rPr>
          <w:rFonts w:ascii="Times New Roman" w:hAnsi="Times New Roman" w:eastAsia="Times New Roman" w:cs="Times New Roman"/>
          <w:spacing w:val="8"/>
          <w:sz w:val="18"/>
          <w:szCs w:val="18"/>
        </w:rPr>
        <w:t xml:space="preserve">   141</w:t>
      </w:r>
    </w:p>
    <w:p w14:paraId="6184B586">
      <w:pPr>
        <w:spacing w:before="134" w:line="212" w:lineRule="auto"/>
        <w:rPr>
          <w:rFonts w:ascii="Times New Roman" w:hAnsi="Times New Roman" w:eastAsia="Times New Roman" w:cs="Times New Roman"/>
          <w:sz w:val="18"/>
          <w:szCs w:val="18"/>
        </w:rPr>
      </w:pPr>
      <w:r>
        <w:rPr>
          <w:rFonts w:ascii="宋体" w:hAnsi="宋体" w:eastAsia="宋体" w:cs="宋体"/>
          <w:spacing w:val="8"/>
          <w:sz w:val="18"/>
          <w:szCs w:val="18"/>
        </w:rPr>
        <w:t>第三级预防</w:t>
      </w:r>
      <w:r>
        <w:rPr>
          <w:rFonts w:ascii="宋体" w:hAnsi="宋体" w:eastAsia="宋体" w:cs="宋体"/>
          <w:spacing w:val="85"/>
          <w:sz w:val="18"/>
          <w:szCs w:val="18"/>
        </w:rPr>
        <w:t xml:space="preserve"> </w:t>
      </w:r>
      <w:r>
        <w:rPr>
          <w:rFonts w:ascii="Times New Roman" w:hAnsi="Times New Roman" w:eastAsia="Times New Roman" w:cs="Times New Roman"/>
          <w:sz w:val="18"/>
          <w:szCs w:val="18"/>
        </w:rPr>
        <w:t>tertiary   prevention</w:t>
      </w:r>
      <w:r>
        <w:rPr>
          <w:rFonts w:ascii="Times New Roman" w:hAnsi="Times New Roman" w:eastAsia="Times New Roman" w:cs="Times New Roman"/>
          <w:spacing w:val="8"/>
          <w:sz w:val="18"/>
          <w:szCs w:val="18"/>
        </w:rPr>
        <w:t xml:space="preserve">   142</w:t>
      </w:r>
    </w:p>
    <w:p w14:paraId="5406A314">
      <w:pPr>
        <w:spacing w:before="153" w:line="212" w:lineRule="auto"/>
        <w:rPr>
          <w:rFonts w:ascii="Times New Roman" w:hAnsi="Times New Roman" w:eastAsia="Times New Roman" w:cs="Times New Roman"/>
          <w:sz w:val="18"/>
          <w:szCs w:val="18"/>
        </w:rPr>
      </w:pPr>
      <w:r>
        <w:rPr>
          <w:rFonts w:ascii="宋体" w:hAnsi="宋体" w:eastAsia="宋体" w:cs="宋体"/>
          <w:spacing w:val="8"/>
          <w:sz w:val="18"/>
          <w:szCs w:val="18"/>
        </w:rPr>
        <w:t>第一级预防</w:t>
      </w:r>
      <w:r>
        <w:rPr>
          <w:rFonts w:ascii="宋体" w:hAnsi="宋体" w:eastAsia="宋体" w:cs="宋体"/>
          <w:spacing w:val="76"/>
          <w:sz w:val="18"/>
          <w:szCs w:val="18"/>
        </w:rPr>
        <w:t xml:space="preserve"> </w:t>
      </w:r>
      <w:r>
        <w:rPr>
          <w:rFonts w:ascii="Times New Roman" w:hAnsi="Times New Roman" w:eastAsia="Times New Roman" w:cs="Times New Roman"/>
          <w:sz w:val="18"/>
          <w:szCs w:val="18"/>
        </w:rPr>
        <w:t>primary</w:t>
      </w:r>
      <w:r>
        <w:rPr>
          <w:rFonts w:ascii="Times New Roman" w:hAnsi="Times New Roman" w:eastAsia="Times New Roman" w:cs="Times New Roman"/>
          <w:spacing w:val="21"/>
          <w:w w:val="102"/>
          <w:sz w:val="18"/>
          <w:szCs w:val="18"/>
        </w:rPr>
        <w:t xml:space="preserve">  </w:t>
      </w:r>
      <w:r>
        <w:rPr>
          <w:rFonts w:ascii="Times New Roman" w:hAnsi="Times New Roman" w:eastAsia="Times New Roman" w:cs="Times New Roman"/>
          <w:sz w:val="18"/>
          <w:szCs w:val="18"/>
        </w:rPr>
        <w:t>prevention</w:t>
      </w:r>
      <w:r>
        <w:rPr>
          <w:rFonts w:ascii="Times New Roman" w:hAnsi="Times New Roman" w:eastAsia="Times New Roman" w:cs="Times New Roman"/>
          <w:spacing w:val="8"/>
          <w:sz w:val="18"/>
          <w:szCs w:val="18"/>
        </w:rPr>
        <w:t xml:space="preserve">   140</w:t>
      </w:r>
    </w:p>
    <w:p w14:paraId="5335F0D1">
      <w:pPr>
        <w:spacing w:before="134" w:line="212" w:lineRule="auto"/>
        <w:rPr>
          <w:rFonts w:ascii="Times New Roman" w:hAnsi="Times New Roman" w:eastAsia="Times New Roman" w:cs="Times New Roman"/>
          <w:sz w:val="18"/>
          <w:szCs w:val="18"/>
        </w:rPr>
      </w:pPr>
      <w:r>
        <w:rPr>
          <w:rFonts w:ascii="宋体" w:hAnsi="宋体" w:eastAsia="宋体" w:cs="宋体"/>
          <w:spacing w:val="7"/>
          <w:sz w:val="18"/>
          <w:szCs w:val="18"/>
        </w:rPr>
        <w:t>点源传播</w:t>
      </w:r>
      <w:r>
        <w:rPr>
          <w:rFonts w:ascii="宋体" w:hAnsi="宋体" w:eastAsia="宋体" w:cs="宋体"/>
          <w:spacing w:val="83"/>
          <w:sz w:val="18"/>
          <w:szCs w:val="18"/>
        </w:rPr>
        <w:t xml:space="preserve"> </w:t>
      </w:r>
      <w:r>
        <w:rPr>
          <w:rFonts w:ascii="Times New Roman" w:hAnsi="Times New Roman" w:eastAsia="Times New Roman" w:cs="Times New Roman"/>
          <w:sz w:val="18"/>
          <w:szCs w:val="18"/>
        </w:rPr>
        <w:t>point</w:t>
      </w:r>
      <w:r>
        <w:rPr>
          <w:rFonts w:ascii="Times New Roman" w:hAnsi="Times New Roman" w:eastAsia="Times New Roman" w:cs="Times New Roman"/>
          <w:spacing w:val="7"/>
          <w:sz w:val="18"/>
          <w:szCs w:val="18"/>
        </w:rPr>
        <w:t xml:space="preserve">  </w:t>
      </w:r>
      <w:r>
        <w:rPr>
          <w:rFonts w:ascii="Times New Roman" w:hAnsi="Times New Roman" w:eastAsia="Times New Roman" w:cs="Times New Roman"/>
          <w:sz w:val="18"/>
          <w:szCs w:val="18"/>
        </w:rPr>
        <w:t>source</w:t>
      </w:r>
      <w:r>
        <w:rPr>
          <w:rFonts w:ascii="Times New Roman" w:hAnsi="Times New Roman" w:eastAsia="Times New Roman" w:cs="Times New Roman"/>
          <w:spacing w:val="7"/>
          <w:sz w:val="18"/>
          <w:szCs w:val="18"/>
        </w:rPr>
        <w:t xml:space="preserve">  </w:t>
      </w:r>
      <w:r>
        <w:rPr>
          <w:rFonts w:ascii="Times New Roman" w:hAnsi="Times New Roman" w:eastAsia="Times New Roman" w:cs="Times New Roman"/>
          <w:sz w:val="18"/>
          <w:szCs w:val="18"/>
        </w:rPr>
        <w:t>transmission</w:t>
      </w:r>
      <w:r>
        <w:rPr>
          <w:rFonts w:ascii="Times New Roman" w:hAnsi="Times New Roman" w:eastAsia="Times New Roman" w:cs="Times New Roman"/>
          <w:spacing w:val="8"/>
          <w:sz w:val="18"/>
          <w:szCs w:val="18"/>
        </w:rPr>
        <w:t xml:space="preserve">  </w:t>
      </w:r>
      <w:r>
        <w:rPr>
          <w:rFonts w:ascii="Times New Roman" w:hAnsi="Times New Roman" w:eastAsia="Times New Roman" w:cs="Times New Roman"/>
          <w:spacing w:val="7"/>
          <w:sz w:val="18"/>
          <w:szCs w:val="18"/>
        </w:rPr>
        <w:t>226</w:t>
      </w:r>
    </w:p>
    <w:p w14:paraId="5ABD8A67">
      <w:pPr>
        <w:spacing w:before="133" w:line="212" w:lineRule="auto"/>
        <w:rPr>
          <w:rFonts w:ascii="Times New Roman" w:hAnsi="Times New Roman" w:eastAsia="Times New Roman" w:cs="Times New Roman"/>
          <w:sz w:val="18"/>
          <w:szCs w:val="18"/>
        </w:rPr>
      </w:pPr>
      <w:r>
        <w:rPr>
          <w:rFonts w:ascii="宋体" w:hAnsi="宋体" w:eastAsia="宋体" w:cs="宋体"/>
          <w:spacing w:val="4"/>
          <w:sz w:val="18"/>
          <w:szCs w:val="18"/>
        </w:rPr>
        <w:t>碘缺乏病</w:t>
      </w:r>
      <w:r>
        <w:rPr>
          <w:rFonts w:ascii="宋体" w:hAnsi="宋体" w:eastAsia="宋体" w:cs="宋体"/>
          <w:spacing w:val="83"/>
          <w:sz w:val="18"/>
          <w:szCs w:val="18"/>
        </w:rPr>
        <w:t xml:space="preserve"> </w:t>
      </w:r>
      <w:r>
        <w:rPr>
          <w:rFonts w:ascii="Times New Roman" w:hAnsi="Times New Roman" w:eastAsia="Times New Roman" w:cs="Times New Roman"/>
          <w:sz w:val="18"/>
          <w:szCs w:val="18"/>
        </w:rPr>
        <w:t>iodine</w:t>
      </w:r>
      <w:r>
        <w:rPr>
          <w:rFonts w:ascii="Times New Roman" w:hAnsi="Times New Roman" w:eastAsia="Times New Roman" w:cs="Times New Roman"/>
          <w:spacing w:val="17"/>
          <w:sz w:val="18"/>
          <w:szCs w:val="18"/>
        </w:rPr>
        <w:t xml:space="preserve">  </w:t>
      </w:r>
      <w:r>
        <w:rPr>
          <w:rFonts w:ascii="Times New Roman" w:hAnsi="Times New Roman" w:eastAsia="Times New Roman" w:cs="Times New Roman"/>
          <w:sz w:val="18"/>
          <w:szCs w:val="18"/>
        </w:rPr>
        <w:t>deficiency</w:t>
      </w:r>
      <w:r>
        <w:rPr>
          <w:rFonts w:ascii="Times New Roman" w:hAnsi="Times New Roman" w:eastAsia="Times New Roman" w:cs="Times New Roman"/>
          <w:spacing w:val="17"/>
          <w:sz w:val="18"/>
          <w:szCs w:val="18"/>
        </w:rPr>
        <w:t xml:space="preserve">  </w:t>
      </w:r>
      <w:r>
        <w:rPr>
          <w:rFonts w:ascii="Times New Roman" w:hAnsi="Times New Roman" w:eastAsia="Times New Roman" w:cs="Times New Roman"/>
          <w:sz w:val="18"/>
          <w:szCs w:val="18"/>
        </w:rPr>
        <w:t>disorder</w:t>
      </w:r>
      <w:r>
        <w:rPr>
          <w:rFonts w:ascii="Times New Roman" w:hAnsi="Times New Roman" w:eastAsia="Times New Roman" w:cs="Times New Roman"/>
          <w:spacing w:val="4"/>
          <w:sz w:val="18"/>
          <w:szCs w:val="18"/>
        </w:rPr>
        <w:t>,</w:t>
      </w:r>
      <w:r>
        <w:rPr>
          <w:rFonts w:ascii="Times New Roman" w:hAnsi="Times New Roman" w:eastAsia="Times New Roman" w:cs="Times New Roman"/>
          <w:sz w:val="18"/>
          <w:szCs w:val="18"/>
        </w:rPr>
        <w:t>IDD</w:t>
      </w:r>
      <w:r>
        <w:rPr>
          <w:rFonts w:ascii="Times New Roman" w:hAnsi="Times New Roman" w:eastAsia="Times New Roman" w:cs="Times New Roman"/>
          <w:spacing w:val="18"/>
          <w:sz w:val="18"/>
          <w:szCs w:val="18"/>
        </w:rPr>
        <w:t xml:space="preserve">  </w:t>
      </w:r>
      <w:r>
        <w:rPr>
          <w:rFonts w:ascii="Times New Roman" w:hAnsi="Times New Roman" w:eastAsia="Times New Roman" w:cs="Times New Roman"/>
          <w:spacing w:val="4"/>
          <w:sz w:val="18"/>
          <w:szCs w:val="18"/>
        </w:rPr>
        <w:t>331</w:t>
      </w:r>
    </w:p>
    <w:p w14:paraId="1B7BB18B">
      <w:pPr>
        <w:spacing w:before="133" w:line="212" w:lineRule="auto"/>
        <w:rPr>
          <w:rFonts w:ascii="Times New Roman" w:hAnsi="Times New Roman" w:eastAsia="Times New Roman" w:cs="Times New Roman"/>
          <w:sz w:val="18"/>
          <w:szCs w:val="18"/>
        </w:rPr>
      </w:pPr>
      <w:r>
        <w:rPr>
          <w:rFonts w:ascii="宋体" w:hAnsi="宋体" w:eastAsia="宋体" w:cs="宋体"/>
          <w:spacing w:val="5"/>
          <w:sz w:val="18"/>
          <w:szCs w:val="18"/>
        </w:rPr>
        <w:t>调查偏倚</w:t>
      </w:r>
      <w:r>
        <w:rPr>
          <w:rFonts w:ascii="宋体" w:hAnsi="宋体" w:eastAsia="宋体" w:cs="宋体"/>
          <w:spacing w:val="90"/>
          <w:sz w:val="18"/>
          <w:szCs w:val="18"/>
        </w:rPr>
        <w:t xml:space="preserve"> </w:t>
      </w:r>
      <w:r>
        <w:rPr>
          <w:rFonts w:ascii="Times New Roman" w:hAnsi="Times New Roman" w:eastAsia="Times New Roman" w:cs="Times New Roman"/>
          <w:sz w:val="18"/>
          <w:szCs w:val="18"/>
        </w:rPr>
        <w:t>investigation</w:t>
      </w:r>
      <w:r>
        <w:rPr>
          <w:rFonts w:ascii="Times New Roman" w:hAnsi="Times New Roman" w:eastAsia="Times New Roman" w:cs="Times New Roman"/>
          <w:spacing w:val="5"/>
          <w:sz w:val="18"/>
          <w:szCs w:val="18"/>
        </w:rPr>
        <w:t xml:space="preserve">   </w:t>
      </w:r>
      <w:r>
        <w:rPr>
          <w:rFonts w:ascii="Times New Roman" w:hAnsi="Times New Roman" w:eastAsia="Times New Roman" w:cs="Times New Roman"/>
          <w:sz w:val="18"/>
          <w:szCs w:val="18"/>
        </w:rPr>
        <w:t>bias</w:t>
      </w:r>
      <w:r>
        <w:rPr>
          <w:rFonts w:ascii="Times New Roman" w:hAnsi="Times New Roman" w:eastAsia="Times New Roman" w:cs="Times New Roman"/>
          <w:spacing w:val="5"/>
          <w:sz w:val="18"/>
          <w:szCs w:val="18"/>
        </w:rPr>
        <w:t xml:space="preserve">   79</w:t>
      </w:r>
    </w:p>
    <w:p w14:paraId="239A2B8F">
      <w:pPr>
        <w:spacing w:before="134" w:line="339" w:lineRule="auto"/>
        <w:ind w:right="1318"/>
        <w:rPr>
          <w:rFonts w:ascii="Times New Roman" w:hAnsi="Times New Roman" w:eastAsia="Times New Roman" w:cs="Times New Roman"/>
          <w:sz w:val="18"/>
          <w:szCs w:val="18"/>
        </w:rPr>
      </w:pPr>
      <w:r>
        <w:rPr>
          <w:rFonts w:ascii="宋体" w:hAnsi="宋体" w:eastAsia="宋体" w:cs="宋体"/>
          <w:spacing w:val="5"/>
          <w:sz w:val="18"/>
          <w:szCs w:val="18"/>
        </w:rPr>
        <w:t>丁型肝炎病毒</w:t>
      </w:r>
      <w:r>
        <w:rPr>
          <w:rFonts w:ascii="宋体" w:hAnsi="宋体" w:eastAsia="宋体" w:cs="宋体"/>
          <w:spacing w:val="88"/>
          <w:sz w:val="18"/>
          <w:szCs w:val="18"/>
        </w:rPr>
        <w:t xml:space="preserve"> </w:t>
      </w:r>
      <w:r>
        <w:rPr>
          <w:rFonts w:ascii="Times New Roman" w:hAnsi="Times New Roman" w:eastAsia="Times New Roman" w:cs="Times New Roman"/>
          <w:sz w:val="18"/>
          <w:szCs w:val="18"/>
        </w:rPr>
        <w:t>hepatitis</w:t>
      </w:r>
      <w:r>
        <w:rPr>
          <w:rFonts w:ascii="Times New Roman" w:hAnsi="Times New Roman" w:eastAsia="Times New Roman" w:cs="Times New Roman"/>
          <w:spacing w:val="16"/>
          <w:w w:val="101"/>
          <w:sz w:val="18"/>
          <w:szCs w:val="18"/>
        </w:rPr>
        <w:t xml:space="preserve">  </w:t>
      </w:r>
      <w:r>
        <w:rPr>
          <w:rFonts w:ascii="Times New Roman" w:hAnsi="Times New Roman" w:eastAsia="Times New Roman" w:cs="Times New Roman"/>
          <w:sz w:val="18"/>
          <w:szCs w:val="18"/>
        </w:rPr>
        <w:t>D</w:t>
      </w:r>
      <w:r>
        <w:rPr>
          <w:rFonts w:ascii="Times New Roman" w:hAnsi="Times New Roman" w:eastAsia="Times New Roman" w:cs="Times New Roman"/>
          <w:spacing w:val="15"/>
          <w:w w:val="101"/>
          <w:sz w:val="18"/>
          <w:szCs w:val="18"/>
        </w:rPr>
        <w:t xml:space="preserve">  </w:t>
      </w:r>
      <w:r>
        <w:rPr>
          <w:rFonts w:ascii="Times New Roman" w:hAnsi="Times New Roman" w:eastAsia="Times New Roman" w:cs="Times New Roman"/>
          <w:sz w:val="18"/>
          <w:szCs w:val="18"/>
        </w:rPr>
        <w:t>virus</w:t>
      </w:r>
      <w:r>
        <w:rPr>
          <w:rFonts w:ascii="Times New Roman" w:hAnsi="Times New Roman" w:eastAsia="Times New Roman" w:cs="Times New Roman"/>
          <w:spacing w:val="5"/>
          <w:sz w:val="18"/>
          <w:szCs w:val="18"/>
        </w:rPr>
        <w:t>,</w:t>
      </w:r>
      <w:r>
        <w:rPr>
          <w:rFonts w:ascii="Times New Roman" w:hAnsi="Times New Roman" w:eastAsia="Times New Roman" w:cs="Times New Roman"/>
          <w:sz w:val="18"/>
          <w:szCs w:val="18"/>
        </w:rPr>
        <w:t>HDV</w:t>
      </w:r>
      <w:r>
        <w:rPr>
          <w:rFonts w:ascii="Times New Roman" w:hAnsi="Times New Roman" w:eastAsia="Times New Roman" w:cs="Times New Roman"/>
          <w:spacing w:val="17"/>
          <w:sz w:val="18"/>
          <w:szCs w:val="18"/>
        </w:rPr>
        <w:t xml:space="preserve">  </w:t>
      </w:r>
      <w:r>
        <w:rPr>
          <w:rFonts w:ascii="Times New Roman" w:hAnsi="Times New Roman" w:eastAsia="Times New Roman" w:cs="Times New Roman"/>
          <w:spacing w:val="5"/>
          <w:sz w:val="18"/>
          <w:szCs w:val="18"/>
        </w:rPr>
        <w:t>265</w:t>
      </w:r>
      <w:r>
        <w:rPr>
          <w:rFonts w:ascii="Times New Roman" w:hAnsi="Times New Roman" w:eastAsia="Times New Roman" w:cs="Times New Roman"/>
          <w:sz w:val="18"/>
          <w:szCs w:val="18"/>
        </w:rPr>
        <w:t xml:space="preserve"> </w:t>
      </w:r>
      <w:r>
        <w:rPr>
          <w:rFonts w:ascii="宋体" w:hAnsi="宋体" w:eastAsia="宋体" w:cs="宋体"/>
          <w:spacing w:val="5"/>
          <w:sz w:val="18"/>
          <w:szCs w:val="18"/>
        </w:rPr>
        <w:t>定量综合</w:t>
      </w:r>
      <w:r>
        <w:rPr>
          <w:rFonts w:ascii="宋体" w:hAnsi="宋体" w:eastAsia="宋体" w:cs="宋体"/>
          <w:spacing w:val="62"/>
          <w:sz w:val="18"/>
          <w:szCs w:val="18"/>
        </w:rPr>
        <w:t xml:space="preserve"> </w:t>
      </w:r>
      <w:r>
        <w:rPr>
          <w:rFonts w:ascii="Times New Roman" w:hAnsi="Times New Roman" w:eastAsia="Times New Roman" w:cs="Times New Roman"/>
          <w:sz w:val="18"/>
          <w:szCs w:val="18"/>
        </w:rPr>
        <w:t>quantitative</w:t>
      </w:r>
      <w:r>
        <w:rPr>
          <w:rFonts w:ascii="Times New Roman" w:hAnsi="Times New Roman" w:eastAsia="Times New Roman" w:cs="Times New Roman"/>
          <w:spacing w:val="5"/>
          <w:sz w:val="18"/>
          <w:szCs w:val="18"/>
        </w:rPr>
        <w:t xml:space="preserve">   </w:t>
      </w:r>
      <w:r>
        <w:rPr>
          <w:rFonts w:ascii="Times New Roman" w:hAnsi="Times New Roman" w:eastAsia="Times New Roman" w:cs="Times New Roman"/>
          <w:sz w:val="18"/>
          <w:szCs w:val="18"/>
        </w:rPr>
        <w:t>synthesis</w:t>
      </w:r>
      <w:r>
        <w:rPr>
          <w:rFonts w:ascii="Times New Roman" w:hAnsi="Times New Roman" w:eastAsia="Times New Roman" w:cs="Times New Roman"/>
          <w:spacing w:val="5"/>
          <w:sz w:val="18"/>
          <w:szCs w:val="18"/>
        </w:rPr>
        <w:t xml:space="preserve">   254</w:t>
      </w:r>
    </w:p>
    <w:p w14:paraId="7A4CF50F">
      <w:pPr>
        <w:spacing w:before="18" w:line="212" w:lineRule="auto"/>
        <w:rPr>
          <w:rFonts w:ascii="Times New Roman" w:hAnsi="Times New Roman" w:eastAsia="Times New Roman" w:cs="Times New Roman"/>
          <w:sz w:val="18"/>
          <w:szCs w:val="18"/>
        </w:rPr>
      </w:pPr>
      <w:r>
        <w:rPr>
          <w:rFonts w:ascii="宋体" w:hAnsi="宋体" w:eastAsia="宋体" w:cs="宋体"/>
          <w:spacing w:val="5"/>
          <w:sz w:val="18"/>
          <w:szCs w:val="18"/>
        </w:rPr>
        <w:t>定性综合</w:t>
      </w:r>
      <w:r>
        <w:rPr>
          <w:rFonts w:ascii="宋体" w:hAnsi="宋体" w:eastAsia="宋体" w:cs="宋体"/>
          <w:spacing w:val="71"/>
          <w:sz w:val="18"/>
          <w:szCs w:val="18"/>
        </w:rPr>
        <w:t xml:space="preserve"> </w:t>
      </w:r>
      <w:r>
        <w:rPr>
          <w:rFonts w:ascii="Times New Roman" w:hAnsi="Times New Roman" w:eastAsia="Times New Roman" w:cs="Times New Roman"/>
          <w:sz w:val="18"/>
          <w:szCs w:val="18"/>
        </w:rPr>
        <w:t>qualitative</w:t>
      </w:r>
      <w:r>
        <w:rPr>
          <w:rFonts w:ascii="Times New Roman" w:hAnsi="Times New Roman" w:eastAsia="Times New Roman" w:cs="Times New Roman"/>
          <w:spacing w:val="5"/>
          <w:sz w:val="18"/>
          <w:szCs w:val="18"/>
        </w:rPr>
        <w:t xml:space="preserve">   </w:t>
      </w:r>
      <w:r>
        <w:rPr>
          <w:rFonts w:ascii="Times New Roman" w:hAnsi="Times New Roman" w:eastAsia="Times New Roman" w:cs="Times New Roman"/>
          <w:sz w:val="18"/>
          <w:szCs w:val="18"/>
        </w:rPr>
        <w:t>synthesis</w:t>
      </w:r>
      <w:r>
        <w:rPr>
          <w:rFonts w:ascii="Times New Roman" w:hAnsi="Times New Roman" w:eastAsia="Times New Roman" w:cs="Times New Roman"/>
          <w:spacing w:val="5"/>
          <w:sz w:val="18"/>
          <w:szCs w:val="18"/>
        </w:rPr>
        <w:t xml:space="preserve">   254</w:t>
      </w:r>
    </w:p>
    <w:p w14:paraId="1AF9801C">
      <w:pPr>
        <w:spacing w:before="133" w:line="212" w:lineRule="auto"/>
        <w:rPr>
          <w:rFonts w:ascii="Times New Roman" w:hAnsi="Times New Roman" w:eastAsia="Times New Roman" w:cs="Times New Roman"/>
          <w:sz w:val="18"/>
          <w:szCs w:val="18"/>
        </w:rPr>
      </w:pPr>
      <w:r>
        <w:rPr>
          <w:rFonts w:ascii="宋体" w:hAnsi="宋体" w:eastAsia="宋体" w:cs="宋体"/>
          <w:spacing w:val="8"/>
          <w:sz w:val="18"/>
          <w:szCs w:val="18"/>
        </w:rPr>
        <w:t>动态队列</w:t>
      </w:r>
      <w:r>
        <w:rPr>
          <w:rFonts w:ascii="宋体" w:hAnsi="宋体" w:eastAsia="宋体" w:cs="宋体"/>
          <w:spacing w:val="76"/>
          <w:w w:val="101"/>
          <w:sz w:val="18"/>
          <w:szCs w:val="18"/>
        </w:rPr>
        <w:t xml:space="preserve"> </w:t>
      </w:r>
      <w:r>
        <w:rPr>
          <w:rFonts w:ascii="Times New Roman" w:hAnsi="Times New Roman" w:eastAsia="Times New Roman" w:cs="Times New Roman"/>
          <w:sz w:val="18"/>
          <w:szCs w:val="18"/>
        </w:rPr>
        <w:t>dynamic</w:t>
      </w:r>
      <w:r>
        <w:rPr>
          <w:rFonts w:ascii="Times New Roman" w:hAnsi="Times New Roman" w:eastAsia="Times New Roman" w:cs="Times New Roman"/>
          <w:spacing w:val="17"/>
          <w:w w:val="101"/>
          <w:sz w:val="18"/>
          <w:szCs w:val="18"/>
        </w:rPr>
        <w:t xml:space="preserve">  </w:t>
      </w:r>
      <w:r>
        <w:rPr>
          <w:rFonts w:ascii="Times New Roman" w:hAnsi="Times New Roman" w:eastAsia="Times New Roman" w:cs="Times New Roman"/>
          <w:sz w:val="18"/>
          <w:szCs w:val="18"/>
        </w:rPr>
        <w:t>cohort</w:t>
      </w:r>
      <w:r>
        <w:rPr>
          <w:rFonts w:ascii="Times New Roman" w:hAnsi="Times New Roman" w:eastAsia="Times New Roman" w:cs="Times New Roman"/>
          <w:spacing w:val="15"/>
          <w:w w:val="101"/>
          <w:sz w:val="18"/>
          <w:szCs w:val="18"/>
        </w:rPr>
        <w:t xml:space="preserve">  </w:t>
      </w:r>
      <w:r>
        <w:rPr>
          <w:rFonts w:ascii="Times New Roman" w:hAnsi="Times New Roman" w:eastAsia="Times New Roman" w:cs="Times New Roman"/>
          <w:spacing w:val="8"/>
          <w:sz w:val="18"/>
          <w:szCs w:val="18"/>
        </w:rPr>
        <w:t>48</w:t>
      </w:r>
    </w:p>
    <w:p w14:paraId="45DC342C">
      <w:pPr>
        <w:spacing w:before="155" w:line="219" w:lineRule="auto"/>
        <w:rPr>
          <w:rFonts w:ascii="Times New Roman" w:hAnsi="Times New Roman" w:eastAsia="Times New Roman" w:cs="Times New Roman"/>
          <w:sz w:val="18"/>
          <w:szCs w:val="18"/>
        </w:rPr>
      </w:pPr>
      <w:r>
        <w:rPr>
          <w:rFonts w:ascii="宋体" w:hAnsi="宋体" w:eastAsia="宋体" w:cs="宋体"/>
          <w:spacing w:val="3"/>
          <w:sz w:val="18"/>
          <w:szCs w:val="18"/>
        </w:rPr>
        <w:t xml:space="preserve">毒力  </w:t>
      </w:r>
      <w:r>
        <w:rPr>
          <w:rFonts w:ascii="Times New Roman" w:hAnsi="Times New Roman" w:eastAsia="Times New Roman" w:cs="Times New Roman"/>
          <w:sz w:val="18"/>
          <w:szCs w:val="18"/>
        </w:rPr>
        <w:t>virulence</w:t>
      </w:r>
      <w:r>
        <w:rPr>
          <w:rFonts w:ascii="Times New Roman" w:hAnsi="Times New Roman" w:eastAsia="Times New Roman" w:cs="Times New Roman"/>
          <w:spacing w:val="5"/>
          <w:sz w:val="18"/>
          <w:szCs w:val="18"/>
        </w:rPr>
        <w:t xml:space="preserve">     </w:t>
      </w:r>
      <w:r>
        <w:rPr>
          <w:rFonts w:ascii="Times New Roman" w:hAnsi="Times New Roman" w:eastAsia="Times New Roman" w:cs="Times New Roman"/>
          <w:spacing w:val="3"/>
          <w:sz w:val="18"/>
          <w:szCs w:val="18"/>
        </w:rPr>
        <w:t>156</w:t>
      </w:r>
    </w:p>
    <w:p w14:paraId="120EEF72">
      <w:pPr>
        <w:spacing w:before="106" w:line="212" w:lineRule="auto"/>
        <w:rPr>
          <w:rFonts w:ascii="Times New Roman" w:hAnsi="Times New Roman" w:eastAsia="Times New Roman" w:cs="Times New Roman"/>
          <w:sz w:val="18"/>
          <w:szCs w:val="18"/>
        </w:rPr>
      </w:pPr>
      <w:r>
        <w:rPr>
          <w:rFonts w:ascii="宋体" w:hAnsi="宋体" w:eastAsia="宋体" w:cs="宋体"/>
          <w:spacing w:val="8"/>
          <w:sz w:val="18"/>
          <w:szCs w:val="18"/>
        </w:rPr>
        <w:t>短期波动</w:t>
      </w:r>
      <w:r>
        <w:rPr>
          <w:rFonts w:ascii="宋体" w:hAnsi="宋体" w:eastAsia="宋体" w:cs="宋体"/>
          <w:spacing w:val="80"/>
          <w:sz w:val="18"/>
          <w:szCs w:val="18"/>
        </w:rPr>
        <w:t xml:space="preserve"> </w:t>
      </w:r>
      <w:r>
        <w:rPr>
          <w:rFonts w:ascii="Times New Roman" w:hAnsi="Times New Roman" w:eastAsia="Times New Roman" w:cs="Times New Roman"/>
          <w:sz w:val="18"/>
          <w:szCs w:val="18"/>
        </w:rPr>
        <w:t>rapid</w:t>
      </w:r>
      <w:r>
        <w:rPr>
          <w:rFonts w:ascii="Times New Roman" w:hAnsi="Times New Roman" w:eastAsia="Times New Roman" w:cs="Times New Roman"/>
          <w:spacing w:val="20"/>
          <w:w w:val="101"/>
          <w:sz w:val="18"/>
          <w:szCs w:val="18"/>
        </w:rPr>
        <w:t xml:space="preserve">  </w:t>
      </w:r>
      <w:r>
        <w:rPr>
          <w:rFonts w:ascii="Times New Roman" w:hAnsi="Times New Roman" w:eastAsia="Times New Roman" w:cs="Times New Roman"/>
          <w:sz w:val="18"/>
          <w:szCs w:val="18"/>
        </w:rPr>
        <w:t>fluctuation</w:t>
      </w:r>
      <w:r>
        <w:rPr>
          <w:rFonts w:ascii="Times New Roman" w:hAnsi="Times New Roman" w:eastAsia="Times New Roman" w:cs="Times New Roman"/>
          <w:spacing w:val="19"/>
          <w:sz w:val="18"/>
          <w:szCs w:val="18"/>
        </w:rPr>
        <w:t xml:space="preserve">  </w:t>
      </w:r>
      <w:r>
        <w:rPr>
          <w:rFonts w:ascii="Times New Roman" w:hAnsi="Times New Roman" w:eastAsia="Times New Roman" w:cs="Times New Roman"/>
          <w:spacing w:val="8"/>
          <w:sz w:val="18"/>
          <w:szCs w:val="18"/>
        </w:rPr>
        <w:t>24</w:t>
      </w:r>
    </w:p>
    <w:p w14:paraId="430FDF85">
      <w:pPr>
        <w:spacing w:before="154" w:line="221" w:lineRule="auto"/>
        <w:rPr>
          <w:rFonts w:ascii="Times New Roman" w:hAnsi="Times New Roman" w:eastAsia="Times New Roman" w:cs="Times New Roman"/>
          <w:sz w:val="18"/>
          <w:szCs w:val="18"/>
        </w:rPr>
      </w:pPr>
      <w:r>
        <w:rPr>
          <w:rFonts w:ascii="宋体" w:hAnsi="宋体" w:eastAsia="宋体" w:cs="宋体"/>
          <w:spacing w:val="-4"/>
          <w:sz w:val="18"/>
          <w:szCs w:val="18"/>
        </w:rPr>
        <w:t>队</w:t>
      </w:r>
      <w:r>
        <w:rPr>
          <w:rFonts w:ascii="宋体" w:hAnsi="宋体" w:eastAsia="宋体" w:cs="宋体"/>
          <w:spacing w:val="-19"/>
          <w:sz w:val="18"/>
          <w:szCs w:val="18"/>
        </w:rPr>
        <w:t xml:space="preserve"> </w:t>
      </w:r>
      <w:r>
        <w:rPr>
          <w:rFonts w:ascii="宋体" w:hAnsi="宋体" w:eastAsia="宋体" w:cs="宋体"/>
          <w:spacing w:val="-4"/>
          <w:sz w:val="18"/>
          <w:szCs w:val="18"/>
        </w:rPr>
        <w:t xml:space="preserve">列  </w:t>
      </w:r>
      <w:r>
        <w:rPr>
          <w:rFonts w:ascii="Times New Roman" w:hAnsi="Times New Roman" w:eastAsia="Times New Roman" w:cs="Times New Roman"/>
          <w:spacing w:val="-4"/>
          <w:sz w:val="18"/>
          <w:szCs w:val="18"/>
        </w:rPr>
        <w:t>cohort     47</w:t>
      </w:r>
    </w:p>
    <w:p w14:paraId="53648A89">
      <w:pPr>
        <w:spacing w:before="103" w:line="212" w:lineRule="auto"/>
        <w:rPr>
          <w:rFonts w:ascii="Times New Roman" w:hAnsi="Times New Roman" w:eastAsia="Times New Roman" w:cs="Times New Roman"/>
          <w:sz w:val="18"/>
          <w:szCs w:val="18"/>
        </w:rPr>
      </w:pPr>
      <w:r>
        <w:rPr>
          <w:rFonts w:ascii="宋体" w:hAnsi="宋体" w:eastAsia="宋体" w:cs="宋体"/>
          <w:spacing w:val="7"/>
          <w:sz w:val="18"/>
          <w:szCs w:val="18"/>
        </w:rPr>
        <w:t>队列研究</w:t>
      </w:r>
      <w:r>
        <w:rPr>
          <w:rFonts w:ascii="宋体" w:hAnsi="宋体" w:eastAsia="宋体" w:cs="宋体"/>
          <w:spacing w:val="60"/>
          <w:sz w:val="18"/>
          <w:szCs w:val="18"/>
        </w:rPr>
        <w:t xml:space="preserve"> </w:t>
      </w:r>
      <w:r>
        <w:rPr>
          <w:rFonts w:ascii="Times New Roman" w:hAnsi="Times New Roman" w:eastAsia="Times New Roman" w:cs="Times New Roman"/>
          <w:sz w:val="18"/>
          <w:szCs w:val="18"/>
        </w:rPr>
        <w:t>cohort</w:t>
      </w:r>
      <w:r>
        <w:rPr>
          <w:rFonts w:ascii="Times New Roman" w:hAnsi="Times New Roman" w:eastAsia="Times New Roman" w:cs="Times New Roman"/>
          <w:spacing w:val="20"/>
          <w:w w:val="101"/>
          <w:sz w:val="18"/>
          <w:szCs w:val="18"/>
        </w:rPr>
        <w:t xml:space="preserve">  </w:t>
      </w:r>
      <w:r>
        <w:rPr>
          <w:rFonts w:ascii="Times New Roman" w:hAnsi="Times New Roman" w:eastAsia="Times New Roman" w:cs="Times New Roman"/>
          <w:sz w:val="18"/>
          <w:szCs w:val="18"/>
        </w:rPr>
        <w:t>study</w:t>
      </w:r>
      <w:r>
        <w:rPr>
          <w:rFonts w:ascii="Times New Roman" w:hAnsi="Times New Roman" w:eastAsia="Times New Roman" w:cs="Times New Roman"/>
          <w:spacing w:val="17"/>
          <w:w w:val="101"/>
          <w:sz w:val="18"/>
          <w:szCs w:val="18"/>
        </w:rPr>
        <w:t xml:space="preserve">  </w:t>
      </w:r>
      <w:r>
        <w:rPr>
          <w:rFonts w:ascii="Times New Roman" w:hAnsi="Times New Roman" w:eastAsia="Times New Roman" w:cs="Times New Roman"/>
          <w:spacing w:val="7"/>
          <w:sz w:val="18"/>
          <w:szCs w:val="18"/>
        </w:rPr>
        <w:t>47</w:t>
      </w:r>
    </w:p>
    <w:p w14:paraId="39E47F0F">
      <w:pPr>
        <w:spacing w:before="153" w:line="212" w:lineRule="auto"/>
        <w:rPr>
          <w:rFonts w:ascii="Times New Roman" w:hAnsi="Times New Roman" w:eastAsia="Times New Roman" w:cs="Times New Roman"/>
          <w:sz w:val="18"/>
          <w:szCs w:val="18"/>
        </w:rPr>
      </w:pPr>
      <w:r>
        <w:rPr>
          <w:rFonts w:ascii="宋体" w:hAnsi="宋体" w:eastAsia="宋体" w:cs="宋体"/>
          <w:spacing w:val="3"/>
          <w:sz w:val="18"/>
          <w:szCs w:val="18"/>
        </w:rPr>
        <w:t>多病种筛检</w:t>
      </w:r>
      <w:r>
        <w:rPr>
          <w:rFonts w:ascii="宋体" w:hAnsi="宋体" w:eastAsia="宋体" w:cs="宋体"/>
          <w:spacing w:val="82"/>
          <w:sz w:val="18"/>
          <w:szCs w:val="18"/>
        </w:rPr>
        <w:t xml:space="preserve"> </w:t>
      </w:r>
      <w:r>
        <w:rPr>
          <w:rFonts w:ascii="Times New Roman" w:hAnsi="Times New Roman" w:eastAsia="Times New Roman" w:cs="Times New Roman"/>
          <w:sz w:val="18"/>
          <w:szCs w:val="18"/>
        </w:rPr>
        <w:t>multiphasic</w:t>
      </w:r>
      <w:r>
        <w:rPr>
          <w:rFonts w:ascii="Times New Roman" w:hAnsi="Times New Roman" w:eastAsia="Times New Roman" w:cs="Times New Roman"/>
          <w:spacing w:val="17"/>
          <w:sz w:val="18"/>
          <w:szCs w:val="18"/>
        </w:rPr>
        <w:t xml:space="preserve">  </w:t>
      </w:r>
      <w:r>
        <w:rPr>
          <w:rFonts w:ascii="Times New Roman" w:hAnsi="Times New Roman" w:eastAsia="Times New Roman" w:cs="Times New Roman"/>
          <w:sz w:val="18"/>
          <w:szCs w:val="18"/>
        </w:rPr>
        <w:t>screening</w:t>
      </w:r>
      <w:r>
        <w:rPr>
          <w:rFonts w:ascii="Times New Roman" w:hAnsi="Times New Roman" w:eastAsia="Times New Roman" w:cs="Times New Roman"/>
          <w:spacing w:val="3"/>
          <w:sz w:val="18"/>
          <w:szCs w:val="18"/>
        </w:rPr>
        <w:t xml:space="preserve">   102</w:t>
      </w:r>
    </w:p>
    <w:p w14:paraId="1A7541DC">
      <w:pPr>
        <w:spacing w:before="124" w:line="339" w:lineRule="auto"/>
        <w:ind w:right="634"/>
        <w:rPr>
          <w:rFonts w:ascii="Times New Roman" w:hAnsi="Times New Roman" w:eastAsia="Times New Roman" w:cs="Times New Roman"/>
          <w:sz w:val="18"/>
          <w:szCs w:val="18"/>
        </w:rPr>
      </w:pPr>
      <w:r>
        <w:rPr>
          <w:rFonts w:ascii="宋体" w:hAnsi="宋体" w:eastAsia="宋体" w:cs="宋体"/>
          <w:spacing w:val="3"/>
          <w:sz w:val="18"/>
          <w:szCs w:val="18"/>
        </w:rPr>
        <w:t>多基因遗传风险评分</w:t>
      </w:r>
      <w:r>
        <w:rPr>
          <w:rFonts w:ascii="宋体" w:hAnsi="宋体" w:eastAsia="宋体" w:cs="宋体"/>
          <w:spacing w:val="66"/>
          <w:sz w:val="18"/>
          <w:szCs w:val="18"/>
        </w:rPr>
        <w:t xml:space="preserve"> </w:t>
      </w:r>
      <w:r>
        <w:rPr>
          <w:rFonts w:ascii="Times New Roman" w:hAnsi="Times New Roman" w:eastAsia="Times New Roman" w:cs="Times New Roman"/>
          <w:sz w:val="18"/>
          <w:szCs w:val="18"/>
        </w:rPr>
        <w:t>polygenic</w:t>
      </w:r>
      <w:r>
        <w:rPr>
          <w:rFonts w:ascii="Times New Roman" w:hAnsi="Times New Roman" w:eastAsia="Times New Roman" w:cs="Times New Roman"/>
          <w:spacing w:val="12"/>
          <w:w w:val="101"/>
          <w:sz w:val="18"/>
          <w:szCs w:val="18"/>
        </w:rPr>
        <w:t xml:space="preserve">  </w:t>
      </w:r>
      <w:r>
        <w:rPr>
          <w:rFonts w:ascii="Times New Roman" w:hAnsi="Times New Roman" w:eastAsia="Times New Roman" w:cs="Times New Roman"/>
          <w:sz w:val="18"/>
          <w:szCs w:val="18"/>
        </w:rPr>
        <w:t>risk</w:t>
      </w:r>
      <w:r>
        <w:rPr>
          <w:rFonts w:ascii="Times New Roman" w:hAnsi="Times New Roman" w:eastAsia="Times New Roman" w:cs="Times New Roman"/>
          <w:spacing w:val="15"/>
          <w:w w:val="101"/>
          <w:sz w:val="18"/>
          <w:szCs w:val="18"/>
        </w:rPr>
        <w:t xml:space="preserve">  </w:t>
      </w:r>
      <w:r>
        <w:rPr>
          <w:rFonts w:ascii="Times New Roman" w:hAnsi="Times New Roman" w:eastAsia="Times New Roman" w:cs="Times New Roman"/>
          <w:sz w:val="18"/>
          <w:szCs w:val="18"/>
        </w:rPr>
        <w:t>score</w:t>
      </w:r>
      <w:r>
        <w:rPr>
          <w:rFonts w:ascii="Times New Roman" w:hAnsi="Times New Roman" w:eastAsia="Times New Roman" w:cs="Times New Roman"/>
          <w:spacing w:val="3"/>
          <w:sz w:val="18"/>
          <w:szCs w:val="18"/>
        </w:rPr>
        <w:t>,</w:t>
      </w:r>
      <w:r>
        <w:rPr>
          <w:rFonts w:ascii="Times New Roman" w:hAnsi="Times New Roman" w:eastAsia="Times New Roman" w:cs="Times New Roman"/>
          <w:sz w:val="18"/>
          <w:szCs w:val="18"/>
        </w:rPr>
        <w:t>PRS</w:t>
      </w:r>
      <w:r>
        <w:rPr>
          <w:rFonts w:ascii="Times New Roman" w:hAnsi="Times New Roman" w:eastAsia="Times New Roman" w:cs="Times New Roman"/>
          <w:spacing w:val="14"/>
          <w:sz w:val="18"/>
          <w:szCs w:val="18"/>
        </w:rPr>
        <w:t xml:space="preserve">  </w:t>
      </w:r>
      <w:r>
        <w:rPr>
          <w:rFonts w:ascii="Times New Roman" w:hAnsi="Times New Roman" w:eastAsia="Times New Roman" w:cs="Times New Roman"/>
          <w:spacing w:val="3"/>
          <w:sz w:val="18"/>
          <w:szCs w:val="18"/>
        </w:rPr>
        <w:t>243</w:t>
      </w:r>
      <w:r>
        <w:rPr>
          <w:rFonts w:ascii="Times New Roman" w:hAnsi="Times New Roman" w:eastAsia="Times New Roman" w:cs="Times New Roman"/>
          <w:sz w:val="18"/>
          <w:szCs w:val="18"/>
        </w:rPr>
        <w:t xml:space="preserve"> </w:t>
      </w:r>
      <w:r>
        <w:rPr>
          <w:rFonts w:ascii="宋体" w:hAnsi="宋体" w:eastAsia="宋体" w:cs="宋体"/>
          <w:spacing w:val="4"/>
          <w:sz w:val="18"/>
          <w:szCs w:val="18"/>
        </w:rPr>
        <w:t>多项筛检</w:t>
      </w:r>
      <w:r>
        <w:rPr>
          <w:rFonts w:ascii="宋体" w:hAnsi="宋体" w:eastAsia="宋体" w:cs="宋体"/>
          <w:spacing w:val="85"/>
          <w:sz w:val="18"/>
          <w:szCs w:val="18"/>
        </w:rPr>
        <w:t xml:space="preserve"> </w:t>
      </w:r>
      <w:r>
        <w:rPr>
          <w:rFonts w:ascii="Times New Roman" w:hAnsi="Times New Roman" w:eastAsia="Times New Roman" w:cs="Times New Roman"/>
          <w:sz w:val="18"/>
          <w:szCs w:val="18"/>
        </w:rPr>
        <w:t>multiple</w:t>
      </w:r>
      <w:r>
        <w:rPr>
          <w:rFonts w:ascii="Times New Roman" w:hAnsi="Times New Roman" w:eastAsia="Times New Roman" w:cs="Times New Roman"/>
          <w:spacing w:val="12"/>
          <w:sz w:val="18"/>
          <w:szCs w:val="18"/>
        </w:rPr>
        <w:t xml:space="preserve">  </w:t>
      </w:r>
      <w:r>
        <w:rPr>
          <w:rFonts w:ascii="Times New Roman" w:hAnsi="Times New Roman" w:eastAsia="Times New Roman" w:cs="Times New Roman"/>
          <w:sz w:val="18"/>
          <w:szCs w:val="18"/>
        </w:rPr>
        <w:t>screening</w:t>
      </w:r>
      <w:r>
        <w:rPr>
          <w:rFonts w:ascii="Times New Roman" w:hAnsi="Times New Roman" w:eastAsia="Times New Roman" w:cs="Times New Roman"/>
          <w:spacing w:val="18"/>
          <w:w w:val="101"/>
          <w:sz w:val="18"/>
          <w:szCs w:val="18"/>
        </w:rPr>
        <w:t xml:space="preserve">  </w:t>
      </w:r>
      <w:r>
        <w:rPr>
          <w:rFonts w:ascii="Times New Roman" w:hAnsi="Times New Roman" w:eastAsia="Times New Roman" w:cs="Times New Roman"/>
          <w:spacing w:val="4"/>
          <w:sz w:val="18"/>
          <w:szCs w:val="18"/>
        </w:rPr>
        <w:t>102</w:t>
      </w:r>
    </w:p>
    <w:p w14:paraId="56BFFF08">
      <w:pPr>
        <w:spacing w:before="201" w:line="196" w:lineRule="auto"/>
        <w:rPr>
          <w:rFonts w:ascii="Arial" w:hAnsi="Arial" w:eastAsia="Arial" w:cs="Arial"/>
          <w:sz w:val="29"/>
          <w:szCs w:val="29"/>
        </w:rPr>
      </w:pPr>
      <w:r>
        <w:rPr>
          <w:rFonts w:ascii="Arial" w:hAnsi="Arial" w:eastAsia="Arial" w:cs="Arial"/>
          <w:sz w:val="29"/>
          <w:szCs w:val="29"/>
        </w:rPr>
        <w:t>E</w:t>
      </w:r>
    </w:p>
    <w:p w14:paraId="34318924">
      <w:pPr>
        <w:spacing w:before="215" w:line="212" w:lineRule="auto"/>
        <w:rPr>
          <w:rFonts w:ascii="Times New Roman" w:hAnsi="Times New Roman" w:eastAsia="Times New Roman" w:cs="Times New Roman"/>
          <w:sz w:val="18"/>
          <w:szCs w:val="18"/>
        </w:rPr>
      </w:pPr>
      <w:r>
        <w:rPr>
          <w:rFonts w:ascii="宋体" w:hAnsi="宋体" w:eastAsia="宋体" w:cs="宋体"/>
          <w:spacing w:val="2"/>
          <w:sz w:val="18"/>
          <w:szCs w:val="18"/>
        </w:rPr>
        <w:t>恶性肿瘤</w:t>
      </w:r>
      <w:r>
        <w:rPr>
          <w:rFonts w:ascii="宋体" w:hAnsi="宋体" w:eastAsia="宋体" w:cs="宋体"/>
          <w:spacing w:val="82"/>
          <w:sz w:val="18"/>
          <w:szCs w:val="18"/>
        </w:rPr>
        <w:t xml:space="preserve"> </w:t>
      </w:r>
      <w:r>
        <w:rPr>
          <w:rFonts w:ascii="Times New Roman" w:hAnsi="Times New Roman" w:eastAsia="Times New Roman" w:cs="Times New Roman"/>
          <w:sz w:val="18"/>
          <w:szCs w:val="18"/>
        </w:rPr>
        <w:t>malignant</w:t>
      </w:r>
      <w:r>
        <w:rPr>
          <w:rFonts w:ascii="Times New Roman" w:hAnsi="Times New Roman" w:eastAsia="Times New Roman" w:cs="Times New Roman"/>
          <w:spacing w:val="2"/>
          <w:sz w:val="18"/>
          <w:szCs w:val="18"/>
        </w:rPr>
        <w:t xml:space="preserve">  </w:t>
      </w:r>
      <w:r>
        <w:rPr>
          <w:rFonts w:ascii="Times New Roman" w:hAnsi="Times New Roman" w:eastAsia="Times New Roman" w:cs="Times New Roman"/>
          <w:sz w:val="18"/>
          <w:szCs w:val="18"/>
        </w:rPr>
        <w:t>tumor</w:t>
      </w:r>
      <w:r>
        <w:rPr>
          <w:rFonts w:ascii="Times New Roman" w:hAnsi="Times New Roman" w:eastAsia="Times New Roman" w:cs="Times New Roman"/>
          <w:spacing w:val="2"/>
          <w:sz w:val="18"/>
          <w:szCs w:val="18"/>
        </w:rPr>
        <w:t xml:space="preserve">   193</w:t>
      </w:r>
    </w:p>
    <w:p w14:paraId="35947A2B">
      <w:pPr>
        <w:spacing w:before="144" w:line="212" w:lineRule="auto"/>
        <w:rPr>
          <w:rFonts w:ascii="Times New Roman" w:hAnsi="Times New Roman" w:eastAsia="Times New Roman" w:cs="Times New Roman"/>
          <w:sz w:val="18"/>
          <w:szCs w:val="18"/>
        </w:rPr>
      </w:pPr>
      <w:r>
        <w:rPr>
          <w:rFonts w:ascii="宋体" w:hAnsi="宋体" w:eastAsia="宋体" w:cs="宋体"/>
          <w:spacing w:val="1"/>
          <w:sz w:val="18"/>
          <w:szCs w:val="18"/>
        </w:rPr>
        <w:t xml:space="preserve">二代发病率  </w:t>
      </w:r>
      <w:r>
        <w:rPr>
          <w:rFonts w:ascii="Times New Roman" w:hAnsi="Times New Roman" w:eastAsia="Times New Roman" w:cs="Times New Roman"/>
          <w:sz w:val="18"/>
          <w:szCs w:val="18"/>
        </w:rPr>
        <w:t>secondary</w:t>
      </w:r>
      <w:r>
        <w:rPr>
          <w:rFonts w:ascii="Times New Roman" w:hAnsi="Times New Roman" w:eastAsia="Times New Roman" w:cs="Times New Roman"/>
          <w:spacing w:val="1"/>
          <w:sz w:val="18"/>
          <w:szCs w:val="18"/>
        </w:rPr>
        <w:t xml:space="preserve">   </w:t>
      </w:r>
      <w:r>
        <w:rPr>
          <w:rFonts w:ascii="Times New Roman" w:hAnsi="Times New Roman" w:eastAsia="Times New Roman" w:cs="Times New Roman"/>
          <w:sz w:val="18"/>
          <w:szCs w:val="18"/>
        </w:rPr>
        <w:t>attack</w:t>
      </w:r>
      <w:r>
        <w:rPr>
          <w:rFonts w:ascii="Times New Roman" w:hAnsi="Times New Roman" w:eastAsia="Times New Roman" w:cs="Times New Roman"/>
          <w:spacing w:val="1"/>
          <w:sz w:val="18"/>
          <w:szCs w:val="18"/>
        </w:rPr>
        <w:t xml:space="preserve">   </w:t>
      </w:r>
      <w:r>
        <w:rPr>
          <w:rFonts w:ascii="Times New Roman" w:hAnsi="Times New Roman" w:eastAsia="Times New Roman" w:cs="Times New Roman"/>
          <w:sz w:val="18"/>
          <w:szCs w:val="18"/>
        </w:rPr>
        <w:t>rate</w:t>
      </w:r>
      <w:r>
        <w:rPr>
          <w:rFonts w:ascii="Times New Roman" w:hAnsi="Times New Roman" w:eastAsia="Times New Roman" w:cs="Times New Roman"/>
          <w:spacing w:val="1"/>
          <w:sz w:val="18"/>
          <w:szCs w:val="18"/>
        </w:rPr>
        <w:t>,</w:t>
      </w:r>
      <w:r>
        <w:rPr>
          <w:rFonts w:ascii="Times New Roman" w:hAnsi="Times New Roman" w:eastAsia="Times New Roman" w:cs="Times New Roman"/>
          <w:sz w:val="18"/>
          <w:szCs w:val="18"/>
        </w:rPr>
        <w:t>SAR</w:t>
      </w:r>
      <w:r>
        <w:rPr>
          <w:rFonts w:ascii="Times New Roman" w:hAnsi="Times New Roman" w:eastAsia="Times New Roman" w:cs="Times New Roman"/>
          <w:spacing w:val="14"/>
          <w:sz w:val="18"/>
          <w:szCs w:val="18"/>
        </w:rPr>
        <w:t xml:space="preserve">   </w:t>
      </w:r>
      <w:r>
        <w:rPr>
          <w:rFonts w:ascii="Times New Roman" w:hAnsi="Times New Roman" w:eastAsia="Times New Roman" w:cs="Times New Roman"/>
          <w:spacing w:val="1"/>
          <w:sz w:val="18"/>
          <w:szCs w:val="18"/>
        </w:rPr>
        <w:t>12,156,163</w:t>
      </w:r>
    </w:p>
    <w:p w14:paraId="6FD32498">
      <w:pPr>
        <w:rPr>
          <w:rFonts w:ascii="Arial"/>
          <w:sz w:val="21"/>
        </w:rPr>
      </w:pPr>
    </w:p>
    <w:p w14:paraId="587007A9">
      <w:pPr>
        <w:spacing w:before="84" w:line="196" w:lineRule="auto"/>
        <w:rPr>
          <w:rFonts w:ascii="Arial" w:hAnsi="Arial" w:eastAsia="Arial" w:cs="Arial"/>
          <w:sz w:val="29"/>
          <w:szCs w:val="29"/>
        </w:rPr>
      </w:pPr>
      <w:r>
        <w:rPr>
          <w:rFonts w:ascii="Arial" w:hAnsi="Arial" w:eastAsia="Arial" w:cs="Arial"/>
          <w:sz w:val="29"/>
          <w:szCs w:val="29"/>
        </w:rPr>
        <w:t>F</w:t>
      </w:r>
    </w:p>
    <w:p w14:paraId="7AA3C9AC">
      <w:pPr>
        <w:spacing w:before="196" w:line="212" w:lineRule="auto"/>
        <w:rPr>
          <w:rFonts w:ascii="Times New Roman" w:hAnsi="Times New Roman" w:eastAsia="Times New Roman" w:cs="Times New Roman"/>
          <w:sz w:val="18"/>
          <w:szCs w:val="18"/>
        </w:rPr>
      </w:pPr>
      <w:r>
        <w:rPr>
          <w:rFonts w:ascii="宋体" w:hAnsi="宋体" w:eastAsia="宋体" w:cs="宋体"/>
          <w:spacing w:val="7"/>
          <w:sz w:val="18"/>
          <w:szCs w:val="18"/>
        </w:rPr>
        <w:t>发表偏倚</w:t>
      </w:r>
      <w:r>
        <w:rPr>
          <w:rFonts w:ascii="宋体" w:hAnsi="宋体" w:eastAsia="宋体" w:cs="宋体"/>
          <w:spacing w:val="66"/>
          <w:sz w:val="18"/>
          <w:szCs w:val="18"/>
        </w:rPr>
        <w:t xml:space="preserve"> </w:t>
      </w:r>
      <w:r>
        <w:rPr>
          <w:rFonts w:ascii="Times New Roman" w:hAnsi="Times New Roman" w:eastAsia="Times New Roman" w:cs="Times New Roman"/>
          <w:sz w:val="18"/>
          <w:szCs w:val="18"/>
        </w:rPr>
        <w:t>publication</w:t>
      </w:r>
      <w:r>
        <w:rPr>
          <w:rFonts w:ascii="Times New Roman" w:hAnsi="Times New Roman" w:eastAsia="Times New Roman" w:cs="Times New Roman"/>
          <w:spacing w:val="16"/>
          <w:sz w:val="18"/>
          <w:szCs w:val="18"/>
        </w:rPr>
        <w:t xml:space="preserve">  </w:t>
      </w:r>
      <w:r>
        <w:rPr>
          <w:rFonts w:ascii="Times New Roman" w:hAnsi="Times New Roman" w:eastAsia="Times New Roman" w:cs="Times New Roman"/>
          <w:sz w:val="18"/>
          <w:szCs w:val="18"/>
        </w:rPr>
        <w:t>bias</w:t>
      </w:r>
      <w:r>
        <w:rPr>
          <w:rFonts w:ascii="Times New Roman" w:hAnsi="Times New Roman" w:eastAsia="Times New Roman" w:cs="Times New Roman"/>
          <w:spacing w:val="17"/>
          <w:w w:val="101"/>
          <w:sz w:val="18"/>
          <w:szCs w:val="18"/>
        </w:rPr>
        <w:t xml:space="preserve">  </w:t>
      </w:r>
      <w:r>
        <w:rPr>
          <w:rFonts w:ascii="Times New Roman" w:hAnsi="Times New Roman" w:eastAsia="Times New Roman" w:cs="Times New Roman"/>
          <w:spacing w:val="7"/>
          <w:sz w:val="18"/>
          <w:szCs w:val="18"/>
        </w:rPr>
        <w:t>261</w:t>
      </w:r>
    </w:p>
    <w:p w14:paraId="795B6748">
      <w:pPr>
        <w:spacing w:before="153" w:line="219" w:lineRule="auto"/>
        <w:rPr>
          <w:rFonts w:ascii="Times New Roman" w:hAnsi="Times New Roman" w:eastAsia="Times New Roman" w:cs="Times New Roman"/>
          <w:sz w:val="18"/>
          <w:szCs w:val="18"/>
        </w:rPr>
      </w:pPr>
      <w:r>
        <w:rPr>
          <w:rFonts w:ascii="宋体" w:hAnsi="宋体" w:eastAsia="宋体" w:cs="宋体"/>
          <w:spacing w:val="8"/>
          <w:sz w:val="18"/>
          <w:szCs w:val="18"/>
        </w:rPr>
        <w:t>发病率</w:t>
      </w:r>
      <w:r>
        <w:rPr>
          <w:rFonts w:ascii="宋体" w:hAnsi="宋体" w:eastAsia="宋体" w:cs="宋体"/>
          <w:spacing w:val="61"/>
          <w:sz w:val="18"/>
          <w:szCs w:val="18"/>
        </w:rPr>
        <w:t xml:space="preserve"> </w:t>
      </w:r>
      <w:r>
        <w:rPr>
          <w:rFonts w:ascii="Times New Roman" w:hAnsi="Times New Roman" w:eastAsia="Times New Roman" w:cs="Times New Roman"/>
          <w:sz w:val="18"/>
          <w:szCs w:val="18"/>
        </w:rPr>
        <w:t>incidence   rate</w:t>
      </w:r>
      <w:r>
        <w:rPr>
          <w:rFonts w:ascii="Times New Roman" w:hAnsi="Times New Roman" w:eastAsia="Times New Roman" w:cs="Times New Roman"/>
          <w:spacing w:val="7"/>
          <w:sz w:val="18"/>
          <w:szCs w:val="18"/>
        </w:rPr>
        <w:t xml:space="preserve">   </w:t>
      </w:r>
      <w:r>
        <w:rPr>
          <w:rFonts w:ascii="Times New Roman" w:hAnsi="Times New Roman" w:eastAsia="Times New Roman" w:cs="Times New Roman"/>
          <w:spacing w:val="8"/>
          <w:sz w:val="18"/>
          <w:szCs w:val="18"/>
        </w:rPr>
        <w:t>11</w:t>
      </w:r>
    </w:p>
    <w:p w14:paraId="7FB10D98">
      <w:pPr>
        <w:spacing w:before="106" w:line="212" w:lineRule="auto"/>
        <w:rPr>
          <w:rFonts w:ascii="Times New Roman" w:hAnsi="Times New Roman" w:eastAsia="Times New Roman" w:cs="Times New Roman"/>
          <w:sz w:val="18"/>
          <w:szCs w:val="18"/>
        </w:rPr>
      </w:pPr>
      <w:r>
        <w:rPr>
          <w:rFonts w:ascii="宋体" w:hAnsi="宋体" w:eastAsia="宋体" w:cs="宋体"/>
          <w:spacing w:val="7"/>
          <w:sz w:val="18"/>
          <w:szCs w:val="18"/>
        </w:rPr>
        <w:t>发病密度</w:t>
      </w:r>
      <w:r>
        <w:rPr>
          <w:rFonts w:ascii="宋体" w:hAnsi="宋体" w:eastAsia="宋体" w:cs="宋体"/>
          <w:spacing w:val="60"/>
          <w:sz w:val="18"/>
          <w:szCs w:val="18"/>
        </w:rPr>
        <w:t xml:space="preserve"> </w:t>
      </w:r>
      <w:r>
        <w:rPr>
          <w:rFonts w:ascii="Times New Roman" w:hAnsi="Times New Roman" w:eastAsia="Times New Roman" w:cs="Times New Roman"/>
          <w:sz w:val="18"/>
          <w:szCs w:val="18"/>
        </w:rPr>
        <w:t>incidence</w:t>
      </w:r>
      <w:r>
        <w:rPr>
          <w:rFonts w:ascii="Times New Roman" w:hAnsi="Times New Roman" w:eastAsia="Times New Roman" w:cs="Times New Roman"/>
          <w:spacing w:val="17"/>
          <w:w w:val="101"/>
          <w:sz w:val="18"/>
          <w:szCs w:val="18"/>
        </w:rPr>
        <w:t xml:space="preserve">  </w:t>
      </w:r>
      <w:r>
        <w:rPr>
          <w:rFonts w:ascii="Times New Roman" w:hAnsi="Times New Roman" w:eastAsia="Times New Roman" w:cs="Times New Roman"/>
          <w:sz w:val="18"/>
          <w:szCs w:val="18"/>
        </w:rPr>
        <w:t>density</w:t>
      </w:r>
      <w:r>
        <w:rPr>
          <w:rFonts w:ascii="Times New Roman" w:hAnsi="Times New Roman" w:eastAsia="Times New Roman" w:cs="Times New Roman"/>
          <w:spacing w:val="19"/>
          <w:sz w:val="18"/>
          <w:szCs w:val="18"/>
        </w:rPr>
        <w:t xml:space="preserve">  </w:t>
      </w:r>
      <w:r>
        <w:rPr>
          <w:rFonts w:ascii="Times New Roman" w:hAnsi="Times New Roman" w:eastAsia="Times New Roman" w:cs="Times New Roman"/>
          <w:spacing w:val="7"/>
          <w:sz w:val="18"/>
          <w:szCs w:val="18"/>
        </w:rPr>
        <w:t>55</w:t>
      </w:r>
    </w:p>
    <w:p w14:paraId="2B36D9E5">
      <w:pPr>
        <w:spacing w:before="133" w:line="212" w:lineRule="auto"/>
        <w:rPr>
          <w:rFonts w:ascii="Times New Roman" w:hAnsi="Times New Roman" w:eastAsia="Times New Roman" w:cs="Times New Roman"/>
          <w:sz w:val="18"/>
          <w:szCs w:val="18"/>
        </w:rPr>
      </w:pPr>
      <w:r>
        <w:rPr>
          <w:rFonts w:ascii="宋体" w:hAnsi="宋体" w:eastAsia="宋体" w:cs="宋体"/>
          <w:spacing w:val="5"/>
          <w:sz w:val="18"/>
          <w:szCs w:val="18"/>
        </w:rPr>
        <w:t>发生率研究</w:t>
      </w:r>
      <w:r>
        <w:rPr>
          <w:rFonts w:ascii="宋体" w:hAnsi="宋体" w:eastAsia="宋体" w:cs="宋体"/>
          <w:spacing w:val="53"/>
          <w:sz w:val="18"/>
          <w:szCs w:val="18"/>
        </w:rPr>
        <w:t xml:space="preserve"> </w:t>
      </w:r>
      <w:r>
        <w:rPr>
          <w:rFonts w:ascii="Times New Roman" w:hAnsi="Times New Roman" w:eastAsia="Times New Roman" w:cs="Times New Roman"/>
          <w:sz w:val="18"/>
          <w:szCs w:val="18"/>
        </w:rPr>
        <w:t>incidence</w:t>
      </w:r>
      <w:r>
        <w:rPr>
          <w:rFonts w:ascii="Times New Roman" w:hAnsi="Times New Roman" w:eastAsia="Times New Roman" w:cs="Times New Roman"/>
          <w:spacing w:val="5"/>
          <w:sz w:val="18"/>
          <w:szCs w:val="18"/>
        </w:rPr>
        <w:t xml:space="preserve">  </w:t>
      </w:r>
      <w:r>
        <w:rPr>
          <w:rFonts w:ascii="Times New Roman" w:hAnsi="Times New Roman" w:eastAsia="Times New Roman" w:cs="Times New Roman"/>
          <w:sz w:val="18"/>
          <w:szCs w:val="18"/>
        </w:rPr>
        <w:t>rate</w:t>
      </w:r>
      <w:r>
        <w:rPr>
          <w:rFonts w:ascii="Times New Roman" w:hAnsi="Times New Roman" w:eastAsia="Times New Roman" w:cs="Times New Roman"/>
          <w:spacing w:val="5"/>
          <w:sz w:val="18"/>
          <w:szCs w:val="18"/>
        </w:rPr>
        <w:t xml:space="preserve">  </w:t>
      </w:r>
      <w:r>
        <w:rPr>
          <w:rFonts w:ascii="Times New Roman" w:hAnsi="Times New Roman" w:eastAsia="Times New Roman" w:cs="Times New Roman"/>
          <w:sz w:val="18"/>
          <w:szCs w:val="18"/>
        </w:rPr>
        <w:t>study</w:t>
      </w:r>
      <w:r>
        <w:rPr>
          <w:rFonts w:ascii="Times New Roman" w:hAnsi="Times New Roman" w:eastAsia="Times New Roman" w:cs="Times New Roman"/>
          <w:spacing w:val="5"/>
          <w:sz w:val="18"/>
          <w:szCs w:val="18"/>
        </w:rPr>
        <w:t xml:space="preserve">  47</w:t>
      </w:r>
    </w:p>
    <w:p w14:paraId="5CE588E8">
      <w:pPr>
        <w:spacing w:before="133" w:line="212" w:lineRule="auto"/>
        <w:rPr>
          <w:rFonts w:ascii="Times New Roman" w:hAnsi="Times New Roman" w:eastAsia="Times New Roman" w:cs="Times New Roman"/>
          <w:sz w:val="18"/>
          <w:szCs w:val="18"/>
        </w:rPr>
      </w:pPr>
      <w:r>
        <w:rPr>
          <w:rFonts w:ascii="宋体" w:hAnsi="宋体" w:eastAsia="宋体" w:cs="宋体"/>
          <w:spacing w:val="6"/>
          <w:sz w:val="18"/>
          <w:szCs w:val="18"/>
        </w:rPr>
        <w:t>非故意伤害</w:t>
      </w:r>
      <w:r>
        <w:rPr>
          <w:rFonts w:ascii="宋体" w:hAnsi="宋体" w:eastAsia="宋体" w:cs="宋体"/>
          <w:spacing w:val="71"/>
          <w:sz w:val="18"/>
          <w:szCs w:val="18"/>
        </w:rPr>
        <w:t xml:space="preserve"> </w:t>
      </w:r>
      <w:r>
        <w:rPr>
          <w:rFonts w:ascii="Times New Roman" w:hAnsi="Times New Roman" w:eastAsia="Times New Roman" w:cs="Times New Roman"/>
          <w:sz w:val="18"/>
          <w:szCs w:val="18"/>
        </w:rPr>
        <w:t>unintentional</w:t>
      </w:r>
      <w:r>
        <w:rPr>
          <w:rFonts w:ascii="Times New Roman" w:hAnsi="Times New Roman" w:eastAsia="Times New Roman" w:cs="Times New Roman"/>
          <w:spacing w:val="13"/>
          <w:w w:val="101"/>
          <w:sz w:val="18"/>
          <w:szCs w:val="18"/>
        </w:rPr>
        <w:t xml:space="preserve">  </w:t>
      </w:r>
      <w:r>
        <w:rPr>
          <w:rFonts w:ascii="Times New Roman" w:hAnsi="Times New Roman" w:eastAsia="Times New Roman" w:cs="Times New Roman"/>
          <w:sz w:val="18"/>
          <w:szCs w:val="18"/>
        </w:rPr>
        <w:t>injury</w:t>
      </w:r>
      <w:r>
        <w:rPr>
          <w:rFonts w:ascii="Times New Roman" w:hAnsi="Times New Roman" w:eastAsia="Times New Roman" w:cs="Times New Roman"/>
          <w:spacing w:val="13"/>
          <w:sz w:val="18"/>
          <w:szCs w:val="18"/>
        </w:rPr>
        <w:t xml:space="preserve">  </w:t>
      </w:r>
      <w:r>
        <w:rPr>
          <w:rFonts w:ascii="Times New Roman" w:hAnsi="Times New Roman" w:eastAsia="Times New Roman" w:cs="Times New Roman"/>
          <w:spacing w:val="6"/>
          <w:sz w:val="18"/>
          <w:szCs w:val="18"/>
        </w:rPr>
        <w:t>205</w:t>
      </w:r>
    </w:p>
    <w:p w14:paraId="369F1B11">
      <w:pPr>
        <w:spacing w:before="134" w:line="198" w:lineRule="auto"/>
        <w:rPr>
          <w:rFonts w:ascii="Times New Roman" w:hAnsi="Times New Roman" w:eastAsia="Times New Roman" w:cs="Times New Roman"/>
          <w:sz w:val="18"/>
          <w:szCs w:val="18"/>
        </w:rPr>
      </w:pPr>
      <w:r>
        <w:rPr>
          <w:rFonts w:ascii="宋体" w:hAnsi="宋体" w:eastAsia="宋体" w:cs="宋体"/>
          <w:spacing w:val="6"/>
          <w:sz w:val="18"/>
          <w:szCs w:val="18"/>
        </w:rPr>
        <w:t>分层抽样</w:t>
      </w:r>
      <w:r>
        <w:rPr>
          <w:rFonts w:ascii="宋体" w:hAnsi="宋体" w:eastAsia="宋体" w:cs="宋体"/>
          <w:spacing w:val="80"/>
          <w:sz w:val="18"/>
          <w:szCs w:val="18"/>
        </w:rPr>
        <w:t xml:space="preserve"> </w:t>
      </w:r>
      <w:r>
        <w:rPr>
          <w:rFonts w:ascii="Times New Roman" w:hAnsi="Times New Roman" w:eastAsia="Times New Roman" w:cs="Times New Roman"/>
          <w:sz w:val="18"/>
          <w:szCs w:val="18"/>
        </w:rPr>
        <w:t>stratified</w:t>
      </w:r>
      <w:r>
        <w:rPr>
          <w:rFonts w:ascii="Times New Roman" w:hAnsi="Times New Roman" w:eastAsia="Times New Roman" w:cs="Times New Roman"/>
          <w:spacing w:val="17"/>
          <w:sz w:val="18"/>
          <w:szCs w:val="18"/>
        </w:rPr>
        <w:t xml:space="preserve">  </w:t>
      </w:r>
      <w:r>
        <w:rPr>
          <w:rFonts w:ascii="Times New Roman" w:hAnsi="Times New Roman" w:eastAsia="Times New Roman" w:cs="Times New Roman"/>
          <w:sz w:val="18"/>
          <w:szCs w:val="18"/>
        </w:rPr>
        <w:t>sampling</w:t>
      </w:r>
      <w:r>
        <w:rPr>
          <w:rFonts w:ascii="Times New Roman" w:hAnsi="Times New Roman" w:eastAsia="Times New Roman" w:cs="Times New Roman"/>
          <w:spacing w:val="16"/>
          <w:w w:val="101"/>
          <w:sz w:val="18"/>
          <w:szCs w:val="18"/>
        </w:rPr>
        <w:t xml:space="preserve">  </w:t>
      </w:r>
      <w:r>
        <w:rPr>
          <w:rFonts w:ascii="Times New Roman" w:hAnsi="Times New Roman" w:eastAsia="Times New Roman" w:cs="Times New Roman"/>
          <w:spacing w:val="6"/>
          <w:sz w:val="18"/>
          <w:szCs w:val="18"/>
        </w:rPr>
        <w:t>38</w:t>
      </w:r>
    </w:p>
    <w:p w14:paraId="4050B458">
      <w:pPr>
        <w:spacing w:line="14" w:lineRule="auto"/>
        <w:rPr>
          <w:rFonts w:ascii="Arial"/>
          <w:sz w:val="2"/>
        </w:rPr>
      </w:pPr>
      <w:r>
        <w:rPr>
          <w:rFonts w:ascii="Arial" w:hAnsi="Arial" w:eastAsia="Arial" w:cs="Arial"/>
          <w:sz w:val="2"/>
          <w:szCs w:val="2"/>
        </w:rPr>
        <w:br w:type="column"/>
      </w:r>
    </w:p>
    <w:p w14:paraId="2D190CB7">
      <w:pPr>
        <w:spacing w:before="98" w:line="212" w:lineRule="auto"/>
        <w:rPr>
          <w:rFonts w:ascii="Times New Roman" w:hAnsi="Times New Roman" w:eastAsia="Times New Roman" w:cs="Times New Roman"/>
          <w:sz w:val="18"/>
          <w:szCs w:val="18"/>
        </w:rPr>
      </w:pPr>
      <w:r>
        <w:rPr>
          <w:rFonts w:ascii="宋体" w:hAnsi="宋体" w:eastAsia="宋体" w:cs="宋体"/>
          <w:spacing w:val="-1"/>
          <w:sz w:val="18"/>
          <w:szCs w:val="18"/>
        </w:rPr>
        <w:t>分层分析</w:t>
      </w:r>
      <w:r>
        <w:rPr>
          <w:rFonts w:ascii="宋体" w:hAnsi="宋体" w:eastAsia="宋体" w:cs="宋体"/>
          <w:spacing w:val="79"/>
          <w:sz w:val="18"/>
          <w:szCs w:val="18"/>
        </w:rPr>
        <w:t xml:space="preserve"> </w:t>
      </w:r>
      <w:r>
        <w:rPr>
          <w:rFonts w:ascii="Times New Roman" w:hAnsi="Times New Roman" w:eastAsia="Times New Roman" w:cs="Times New Roman"/>
          <w:spacing w:val="-1"/>
          <w:sz w:val="18"/>
          <w:szCs w:val="18"/>
        </w:rPr>
        <w:t>stratification  analysis  73</w:t>
      </w:r>
    </w:p>
    <w:p w14:paraId="4E11A6D4">
      <w:pPr>
        <w:spacing w:before="142" w:line="219" w:lineRule="auto"/>
        <w:rPr>
          <w:rFonts w:ascii="Times New Roman" w:hAnsi="Times New Roman" w:eastAsia="Times New Roman" w:cs="Times New Roman"/>
          <w:sz w:val="18"/>
          <w:szCs w:val="18"/>
        </w:rPr>
      </w:pPr>
      <w:r>
        <w:rPr>
          <w:rFonts w:ascii="宋体" w:hAnsi="宋体" w:eastAsia="宋体" w:cs="宋体"/>
          <w:spacing w:val="-2"/>
          <w:sz w:val="18"/>
          <w:szCs w:val="18"/>
        </w:rPr>
        <w:t>分层随机分组</w:t>
      </w:r>
      <w:r>
        <w:rPr>
          <w:rFonts w:ascii="宋体" w:hAnsi="宋体" w:eastAsia="宋体" w:cs="宋体"/>
          <w:spacing w:val="91"/>
          <w:sz w:val="18"/>
          <w:szCs w:val="18"/>
        </w:rPr>
        <w:t xml:space="preserve"> </w:t>
      </w:r>
      <w:r>
        <w:rPr>
          <w:rFonts w:ascii="Times New Roman" w:hAnsi="Times New Roman" w:eastAsia="Times New Roman" w:cs="Times New Roman"/>
          <w:spacing w:val="-2"/>
          <w:sz w:val="18"/>
          <w:szCs w:val="18"/>
        </w:rPr>
        <w:t>stratified</w:t>
      </w:r>
      <w:r>
        <w:rPr>
          <w:rFonts w:ascii="Times New Roman" w:hAnsi="Times New Roman" w:eastAsia="Times New Roman" w:cs="Times New Roman"/>
          <w:spacing w:val="39"/>
          <w:w w:val="101"/>
          <w:sz w:val="18"/>
          <w:szCs w:val="18"/>
        </w:rPr>
        <w:t xml:space="preserve"> </w:t>
      </w:r>
      <w:r>
        <w:rPr>
          <w:rFonts w:ascii="Times New Roman" w:hAnsi="Times New Roman" w:eastAsia="Times New Roman" w:cs="Times New Roman"/>
          <w:spacing w:val="-2"/>
          <w:sz w:val="18"/>
          <w:szCs w:val="18"/>
        </w:rPr>
        <w:t>randomization  90</w:t>
      </w:r>
    </w:p>
    <w:p w14:paraId="784A4990">
      <w:pPr>
        <w:spacing w:before="96" w:line="212" w:lineRule="auto"/>
        <w:rPr>
          <w:rFonts w:ascii="Times New Roman" w:hAnsi="Times New Roman" w:eastAsia="Times New Roman" w:cs="Times New Roman"/>
          <w:sz w:val="18"/>
          <w:szCs w:val="18"/>
        </w:rPr>
      </w:pPr>
      <w:r>
        <w:rPr>
          <w:rFonts w:ascii="宋体" w:hAnsi="宋体" w:eastAsia="宋体" w:cs="宋体"/>
          <w:spacing w:val="-2"/>
          <w:sz w:val="18"/>
          <w:szCs w:val="18"/>
        </w:rPr>
        <w:t>分泌型腹泻</w:t>
      </w:r>
      <w:r>
        <w:rPr>
          <w:rFonts w:ascii="宋体" w:hAnsi="宋体" w:eastAsia="宋体" w:cs="宋体"/>
          <w:spacing w:val="68"/>
          <w:sz w:val="18"/>
          <w:szCs w:val="18"/>
        </w:rPr>
        <w:t xml:space="preserve"> </w:t>
      </w:r>
      <w:r>
        <w:rPr>
          <w:rFonts w:ascii="Times New Roman" w:hAnsi="Times New Roman" w:eastAsia="Times New Roman" w:cs="Times New Roman"/>
          <w:spacing w:val="-2"/>
          <w:sz w:val="18"/>
          <w:szCs w:val="18"/>
        </w:rPr>
        <w:t>secretory</w:t>
      </w:r>
      <w:r>
        <w:rPr>
          <w:rFonts w:ascii="Times New Roman" w:hAnsi="Times New Roman" w:eastAsia="Times New Roman" w:cs="Times New Roman"/>
          <w:spacing w:val="10"/>
          <w:sz w:val="18"/>
          <w:szCs w:val="18"/>
        </w:rPr>
        <w:t xml:space="preserve">  </w:t>
      </w:r>
      <w:r>
        <w:rPr>
          <w:rFonts w:ascii="Times New Roman" w:hAnsi="Times New Roman" w:eastAsia="Times New Roman" w:cs="Times New Roman"/>
          <w:spacing w:val="-2"/>
          <w:sz w:val="18"/>
          <w:szCs w:val="18"/>
        </w:rPr>
        <w:t>diarrhea</w:t>
      </w:r>
      <w:r>
        <w:rPr>
          <w:rFonts w:ascii="Times New Roman" w:hAnsi="Times New Roman" w:eastAsia="Times New Roman" w:cs="Times New Roman"/>
          <w:spacing w:val="12"/>
          <w:sz w:val="18"/>
          <w:szCs w:val="18"/>
        </w:rPr>
        <w:t xml:space="preserve">  </w:t>
      </w:r>
      <w:r>
        <w:rPr>
          <w:rFonts w:ascii="Times New Roman" w:hAnsi="Times New Roman" w:eastAsia="Times New Roman" w:cs="Times New Roman"/>
          <w:spacing w:val="-2"/>
          <w:sz w:val="18"/>
          <w:szCs w:val="18"/>
        </w:rPr>
        <w:t>318</w:t>
      </w:r>
    </w:p>
    <w:p w14:paraId="4A262250">
      <w:pPr>
        <w:spacing w:before="124" w:line="212" w:lineRule="auto"/>
        <w:rPr>
          <w:rFonts w:ascii="Times New Roman" w:hAnsi="Times New Roman" w:eastAsia="Times New Roman" w:cs="Times New Roman"/>
          <w:sz w:val="18"/>
          <w:szCs w:val="18"/>
        </w:rPr>
      </w:pPr>
      <w:r>
        <w:rPr>
          <w:rFonts w:ascii="宋体" w:hAnsi="宋体" w:eastAsia="宋体" w:cs="宋体"/>
          <w:spacing w:val="-2"/>
          <w:sz w:val="18"/>
          <w:szCs w:val="18"/>
        </w:rPr>
        <w:t>分子流行病学</w:t>
      </w:r>
      <w:r>
        <w:rPr>
          <w:rFonts w:ascii="宋体" w:hAnsi="宋体" w:eastAsia="宋体" w:cs="宋体"/>
          <w:spacing w:val="87"/>
          <w:sz w:val="18"/>
          <w:szCs w:val="18"/>
        </w:rPr>
        <w:t xml:space="preserve"> </w:t>
      </w:r>
      <w:r>
        <w:rPr>
          <w:rFonts w:ascii="Times New Roman" w:hAnsi="Times New Roman" w:eastAsia="Times New Roman" w:cs="Times New Roman"/>
          <w:spacing w:val="-2"/>
          <w:sz w:val="18"/>
          <w:szCs w:val="18"/>
        </w:rPr>
        <w:t>molecular</w:t>
      </w:r>
      <w:r>
        <w:rPr>
          <w:rFonts w:ascii="Times New Roman" w:hAnsi="Times New Roman" w:eastAsia="Times New Roman" w:cs="Times New Roman"/>
          <w:spacing w:val="41"/>
          <w:w w:val="101"/>
          <w:sz w:val="18"/>
          <w:szCs w:val="18"/>
        </w:rPr>
        <w:t xml:space="preserve"> </w:t>
      </w:r>
      <w:r>
        <w:rPr>
          <w:rFonts w:ascii="Times New Roman" w:hAnsi="Times New Roman" w:eastAsia="Times New Roman" w:cs="Times New Roman"/>
          <w:spacing w:val="-2"/>
          <w:sz w:val="18"/>
          <w:szCs w:val="18"/>
        </w:rPr>
        <w:t>epidemiology</w:t>
      </w:r>
      <w:r>
        <w:rPr>
          <w:rFonts w:ascii="Times New Roman" w:hAnsi="Times New Roman" w:eastAsia="Times New Roman" w:cs="Times New Roman"/>
          <w:spacing w:val="39"/>
          <w:w w:val="101"/>
          <w:sz w:val="18"/>
          <w:szCs w:val="18"/>
        </w:rPr>
        <w:t xml:space="preserve"> </w:t>
      </w:r>
      <w:r>
        <w:rPr>
          <w:rFonts w:ascii="Times New Roman" w:hAnsi="Times New Roman" w:eastAsia="Times New Roman" w:cs="Times New Roman"/>
          <w:spacing w:val="-2"/>
          <w:sz w:val="18"/>
          <w:szCs w:val="18"/>
        </w:rPr>
        <w:t>232</w:t>
      </w:r>
    </w:p>
    <w:p w14:paraId="595AE8BC">
      <w:pPr>
        <w:spacing w:before="144" w:line="220" w:lineRule="auto"/>
        <w:rPr>
          <w:rFonts w:ascii="Times New Roman" w:hAnsi="Times New Roman" w:eastAsia="Times New Roman" w:cs="Times New Roman"/>
          <w:sz w:val="18"/>
          <w:szCs w:val="18"/>
        </w:rPr>
      </w:pPr>
      <w:r>
        <w:rPr>
          <w:rFonts w:ascii="宋体" w:hAnsi="宋体" w:eastAsia="宋体" w:cs="宋体"/>
          <w:sz w:val="18"/>
          <w:szCs w:val="18"/>
        </w:rPr>
        <w:t>分组隐匿</w:t>
      </w:r>
      <w:r>
        <w:rPr>
          <w:rFonts w:ascii="宋体" w:hAnsi="宋体" w:eastAsia="宋体" w:cs="宋体"/>
          <w:spacing w:val="49"/>
          <w:w w:val="101"/>
          <w:sz w:val="18"/>
          <w:szCs w:val="18"/>
        </w:rPr>
        <w:t xml:space="preserve"> </w:t>
      </w:r>
      <w:r>
        <w:rPr>
          <w:rFonts w:ascii="Times New Roman" w:hAnsi="Times New Roman" w:eastAsia="Times New Roman" w:cs="Times New Roman"/>
          <w:sz w:val="18"/>
          <w:szCs w:val="18"/>
        </w:rPr>
        <w:t>allocation  conce</w:t>
      </w:r>
      <w:r>
        <w:rPr>
          <w:rFonts w:ascii="Times New Roman" w:hAnsi="Times New Roman" w:eastAsia="Times New Roman" w:cs="Times New Roman"/>
          <w:spacing w:val="-1"/>
          <w:sz w:val="18"/>
          <w:szCs w:val="18"/>
        </w:rPr>
        <w:t>alment  90</w:t>
      </w:r>
    </w:p>
    <w:p w14:paraId="24D5EA0E">
      <w:pPr>
        <w:spacing w:before="113" w:line="218" w:lineRule="auto"/>
        <w:rPr>
          <w:rFonts w:ascii="Times New Roman" w:hAnsi="Times New Roman" w:eastAsia="Times New Roman" w:cs="Times New Roman"/>
          <w:sz w:val="18"/>
          <w:szCs w:val="18"/>
        </w:rPr>
      </w:pPr>
      <w:r>
        <w:rPr>
          <w:rFonts w:ascii="宋体" w:hAnsi="宋体" w:eastAsia="宋体" w:cs="宋体"/>
          <w:sz w:val="18"/>
          <w:szCs w:val="18"/>
        </w:rPr>
        <w:t>风险评估</w:t>
      </w:r>
      <w:r>
        <w:rPr>
          <w:rFonts w:ascii="宋体" w:hAnsi="宋体" w:eastAsia="宋体" w:cs="宋体"/>
          <w:spacing w:val="68"/>
          <w:sz w:val="18"/>
          <w:szCs w:val="18"/>
        </w:rPr>
        <w:t xml:space="preserve"> </w:t>
      </w:r>
      <w:r>
        <w:rPr>
          <w:rFonts w:ascii="Times New Roman" w:hAnsi="Times New Roman" w:eastAsia="Times New Roman" w:cs="Times New Roman"/>
          <w:sz w:val="18"/>
          <w:szCs w:val="18"/>
        </w:rPr>
        <w:t>risk  assessmen</w:t>
      </w:r>
      <w:r>
        <w:rPr>
          <w:rFonts w:ascii="Times New Roman" w:hAnsi="Times New Roman" w:eastAsia="Times New Roman" w:cs="Times New Roman"/>
          <w:spacing w:val="-1"/>
          <w:sz w:val="18"/>
          <w:szCs w:val="18"/>
        </w:rPr>
        <w:t>t</w:t>
      </w:r>
      <w:r>
        <w:rPr>
          <w:rFonts w:ascii="Times New Roman" w:hAnsi="Times New Roman" w:eastAsia="Times New Roman" w:cs="Times New Roman"/>
          <w:spacing w:val="6"/>
          <w:sz w:val="18"/>
          <w:szCs w:val="18"/>
        </w:rPr>
        <w:t xml:space="preserve">  </w:t>
      </w:r>
      <w:r>
        <w:rPr>
          <w:rFonts w:ascii="Times New Roman" w:hAnsi="Times New Roman" w:eastAsia="Times New Roman" w:cs="Times New Roman"/>
          <w:spacing w:val="-1"/>
          <w:sz w:val="18"/>
          <w:szCs w:val="18"/>
        </w:rPr>
        <w:t>230</w:t>
      </w:r>
    </w:p>
    <w:sdt>
      <w:sdtPr>
        <w:rPr>
          <w:rFonts w:ascii="宋体" w:hAnsi="宋体" w:eastAsia="宋体" w:cs="宋体"/>
          <w:sz w:val="18"/>
          <w:szCs w:val="18"/>
        </w:rPr>
        <w:id w:val="979776768"/>
        <w:docPartObj>
          <w:docPartGallery w:val="Table of Contents"/>
          <w:docPartUnique/>
        </w:docPartObj>
      </w:sdtPr>
      <w:sdtEndPr>
        <w:rPr>
          <w:rFonts w:ascii="Times New Roman" w:hAnsi="Times New Roman" w:eastAsia="Times New Roman" w:cs="Times New Roman"/>
          <w:sz w:val="18"/>
          <w:szCs w:val="18"/>
        </w:rPr>
      </w:sdtEndPr>
      <w:sdtContent>
        <w:p w14:paraId="2AA14E50">
          <w:pPr>
            <w:spacing w:before="120" w:line="219" w:lineRule="auto"/>
            <w:rPr>
              <w:rFonts w:ascii="Times New Roman" w:hAnsi="Times New Roman" w:eastAsia="Times New Roman" w:cs="Times New Roman"/>
              <w:sz w:val="18"/>
              <w:szCs w:val="18"/>
            </w:rPr>
          </w:pPr>
          <w:r>
            <w:rPr>
              <w:rFonts w:ascii="宋体" w:hAnsi="宋体" w:eastAsia="宋体" w:cs="宋体"/>
              <w:spacing w:val="-2"/>
              <w:sz w:val="18"/>
              <w:szCs w:val="18"/>
            </w:rPr>
            <w:t xml:space="preserve">氟斑牙  </w:t>
          </w:r>
          <w:r>
            <w:rPr>
              <w:rFonts w:ascii="Times New Roman" w:hAnsi="Times New Roman" w:eastAsia="Times New Roman" w:cs="Times New Roman"/>
              <w:spacing w:val="-2"/>
              <w:sz w:val="18"/>
              <w:szCs w:val="18"/>
            </w:rPr>
            <w:t>dental</w:t>
          </w:r>
          <w:r>
            <w:rPr>
              <w:rFonts w:ascii="Times New Roman" w:hAnsi="Times New Roman" w:eastAsia="Times New Roman" w:cs="Times New Roman"/>
              <w:spacing w:val="59"/>
              <w:sz w:val="18"/>
              <w:szCs w:val="18"/>
            </w:rPr>
            <w:t xml:space="preserve"> </w:t>
          </w:r>
          <w:r>
            <w:rPr>
              <w:rFonts w:ascii="Times New Roman" w:hAnsi="Times New Roman" w:eastAsia="Times New Roman" w:cs="Times New Roman"/>
              <w:spacing w:val="-2"/>
              <w:sz w:val="18"/>
              <w:szCs w:val="18"/>
            </w:rPr>
            <w:t>fluorosis</w:t>
          </w:r>
          <w:r>
            <w:rPr>
              <w:rFonts w:ascii="Times New Roman" w:hAnsi="Times New Roman" w:eastAsia="Times New Roman" w:cs="Times New Roman"/>
              <w:spacing w:val="43"/>
              <w:w w:val="101"/>
              <w:sz w:val="18"/>
              <w:szCs w:val="18"/>
            </w:rPr>
            <w:t xml:space="preserve"> </w:t>
          </w:r>
          <w:r>
            <w:fldChar w:fldCharType="begin"/>
          </w:r>
          <w:r>
            <w:instrText xml:space="preserve"> HYPERLINK \l "bookmark639" </w:instrText>
          </w:r>
          <w:r>
            <w:fldChar w:fldCharType="separate"/>
          </w:r>
          <w:r>
            <w:rPr>
              <w:rFonts w:ascii="Times New Roman" w:hAnsi="Times New Roman" w:eastAsia="Times New Roman" w:cs="Times New Roman"/>
              <w:spacing w:val="-2"/>
              <w:sz w:val="18"/>
              <w:szCs w:val="18"/>
            </w:rPr>
            <w:t>333</w:t>
          </w:r>
          <w:r>
            <w:rPr>
              <w:rFonts w:ascii="Times New Roman" w:hAnsi="Times New Roman" w:eastAsia="Times New Roman" w:cs="Times New Roman"/>
              <w:spacing w:val="-2"/>
              <w:sz w:val="18"/>
              <w:szCs w:val="18"/>
            </w:rPr>
            <w:fldChar w:fldCharType="end"/>
          </w:r>
        </w:p>
        <w:p w14:paraId="1680D218">
          <w:pPr>
            <w:spacing w:before="116" w:line="219" w:lineRule="auto"/>
            <w:rPr>
              <w:rFonts w:ascii="Times New Roman" w:hAnsi="Times New Roman" w:eastAsia="Times New Roman" w:cs="Times New Roman"/>
              <w:sz w:val="18"/>
              <w:szCs w:val="18"/>
            </w:rPr>
          </w:pPr>
          <w:r>
            <w:rPr>
              <w:rFonts w:ascii="宋体" w:hAnsi="宋体" w:eastAsia="宋体" w:cs="宋体"/>
              <w:spacing w:val="-1"/>
              <w:sz w:val="18"/>
              <w:szCs w:val="18"/>
            </w:rPr>
            <w:t xml:space="preserve">氟骨症  </w:t>
          </w:r>
          <w:r>
            <w:rPr>
              <w:rFonts w:ascii="Times New Roman" w:hAnsi="Times New Roman" w:eastAsia="Times New Roman" w:cs="Times New Roman"/>
              <w:spacing w:val="-1"/>
              <w:sz w:val="18"/>
              <w:szCs w:val="18"/>
            </w:rPr>
            <w:t xml:space="preserve">skeletal  fluorosis  </w:t>
          </w:r>
          <w:r>
            <w:fldChar w:fldCharType="begin"/>
          </w:r>
          <w:r>
            <w:instrText xml:space="preserve"> HYPERLINK \l "bookmark640" </w:instrText>
          </w:r>
          <w:r>
            <w:fldChar w:fldCharType="separate"/>
          </w:r>
          <w:r>
            <w:rPr>
              <w:rFonts w:ascii="Times New Roman" w:hAnsi="Times New Roman" w:eastAsia="Times New Roman" w:cs="Times New Roman"/>
              <w:spacing w:val="-1"/>
              <w:sz w:val="18"/>
              <w:szCs w:val="18"/>
            </w:rPr>
            <w:t>333</w:t>
          </w:r>
          <w:r>
            <w:rPr>
              <w:rFonts w:ascii="Times New Roman" w:hAnsi="Times New Roman" w:eastAsia="Times New Roman" w:cs="Times New Roman"/>
              <w:spacing w:val="-1"/>
              <w:sz w:val="18"/>
              <w:szCs w:val="18"/>
            </w:rPr>
            <w:fldChar w:fldCharType="end"/>
          </w:r>
        </w:p>
        <w:p w14:paraId="592BC294">
          <w:pPr>
            <w:spacing w:before="96" w:line="212" w:lineRule="auto"/>
            <w:rPr>
              <w:rFonts w:ascii="Times New Roman" w:hAnsi="Times New Roman" w:eastAsia="Times New Roman" w:cs="Times New Roman"/>
              <w:sz w:val="18"/>
              <w:szCs w:val="18"/>
            </w:rPr>
          </w:pPr>
          <w:r>
            <w:rPr>
              <w:rFonts w:ascii="宋体" w:hAnsi="宋体" w:eastAsia="宋体" w:cs="宋体"/>
              <w:spacing w:val="-1"/>
              <w:sz w:val="18"/>
              <w:szCs w:val="18"/>
            </w:rPr>
            <w:t xml:space="preserve">符合方案集  </w:t>
          </w:r>
          <w:r>
            <w:rPr>
              <w:rFonts w:ascii="Times New Roman" w:hAnsi="Times New Roman" w:eastAsia="Times New Roman" w:cs="Times New Roman"/>
              <w:spacing w:val="-1"/>
              <w:sz w:val="18"/>
              <w:szCs w:val="18"/>
            </w:rPr>
            <w:t>per-protocol   set,PPS</w:t>
          </w:r>
          <w:r>
            <w:rPr>
              <w:rFonts w:ascii="Times New Roman" w:hAnsi="Times New Roman" w:eastAsia="Times New Roman" w:cs="Times New Roman"/>
              <w:spacing w:val="20"/>
              <w:sz w:val="18"/>
              <w:szCs w:val="18"/>
            </w:rPr>
            <w:t xml:space="preserve">  </w:t>
          </w:r>
          <w:r>
            <w:fldChar w:fldCharType="begin"/>
          </w:r>
          <w:r>
            <w:instrText xml:space="preserve"> HYPERLINK \l "bookmark606" </w:instrText>
          </w:r>
          <w:r>
            <w:fldChar w:fldCharType="separate"/>
          </w:r>
          <w:r>
            <w:rPr>
              <w:rFonts w:ascii="Times New Roman" w:hAnsi="Times New Roman" w:eastAsia="Times New Roman" w:cs="Times New Roman"/>
              <w:spacing w:val="-1"/>
              <w:sz w:val="18"/>
              <w:szCs w:val="18"/>
            </w:rPr>
            <w:t>96</w:t>
          </w:r>
          <w:r>
            <w:rPr>
              <w:rFonts w:ascii="Times New Roman" w:hAnsi="Times New Roman" w:eastAsia="Times New Roman" w:cs="Times New Roman"/>
              <w:spacing w:val="-1"/>
              <w:sz w:val="18"/>
              <w:szCs w:val="18"/>
            </w:rPr>
            <w:fldChar w:fldCharType="end"/>
          </w:r>
        </w:p>
        <w:p w14:paraId="7FBDFFEB">
          <w:pPr>
            <w:spacing w:before="144" w:line="220" w:lineRule="auto"/>
            <w:rPr>
              <w:rFonts w:ascii="Times New Roman" w:hAnsi="Times New Roman" w:eastAsia="Times New Roman" w:cs="Times New Roman"/>
              <w:sz w:val="18"/>
              <w:szCs w:val="18"/>
            </w:rPr>
          </w:pPr>
          <w:r>
            <w:rPr>
              <w:rFonts w:ascii="宋体" w:hAnsi="宋体" w:eastAsia="宋体" w:cs="宋体"/>
              <w:spacing w:val="-1"/>
              <w:sz w:val="18"/>
              <w:szCs w:val="18"/>
            </w:rPr>
            <w:t xml:space="preserve">复燃  </w:t>
          </w:r>
          <w:r>
            <w:rPr>
              <w:rFonts w:ascii="Times New Roman" w:hAnsi="Times New Roman" w:eastAsia="Times New Roman" w:cs="Times New Roman"/>
              <w:spacing w:val="-1"/>
              <w:sz w:val="18"/>
              <w:szCs w:val="18"/>
            </w:rPr>
            <w:t>reactivation</w:t>
          </w:r>
          <w:r>
            <w:rPr>
              <w:rFonts w:ascii="Times New Roman" w:hAnsi="Times New Roman" w:eastAsia="Times New Roman" w:cs="Times New Roman"/>
              <w:spacing w:val="6"/>
              <w:sz w:val="18"/>
              <w:szCs w:val="18"/>
            </w:rPr>
            <w:t xml:space="preserve">   </w:t>
          </w:r>
          <w:r>
            <w:fldChar w:fldCharType="begin"/>
          </w:r>
          <w:r>
            <w:instrText xml:space="preserve"> HYPERLINK \l "bookmark641" </w:instrText>
          </w:r>
          <w:r>
            <w:fldChar w:fldCharType="separate"/>
          </w:r>
          <w:r>
            <w:rPr>
              <w:rFonts w:ascii="Times New Roman" w:hAnsi="Times New Roman" w:eastAsia="Times New Roman" w:cs="Times New Roman"/>
              <w:spacing w:val="-1"/>
              <w:sz w:val="18"/>
              <w:szCs w:val="18"/>
            </w:rPr>
            <w:t>283</w:t>
          </w:r>
          <w:r>
            <w:rPr>
              <w:rFonts w:ascii="Times New Roman" w:hAnsi="Times New Roman" w:eastAsia="Times New Roman" w:cs="Times New Roman"/>
              <w:spacing w:val="-1"/>
              <w:sz w:val="18"/>
              <w:szCs w:val="18"/>
            </w:rPr>
            <w:fldChar w:fldCharType="end"/>
          </w:r>
        </w:p>
      </w:sdtContent>
    </w:sdt>
    <w:p w14:paraId="469B8468">
      <w:pPr>
        <w:spacing w:line="305" w:lineRule="auto"/>
        <w:rPr>
          <w:rFonts w:ascii="Arial"/>
          <w:sz w:val="21"/>
        </w:rPr>
      </w:pPr>
    </w:p>
    <w:p w14:paraId="1269ADCF">
      <w:pPr>
        <w:spacing w:before="84" w:line="198" w:lineRule="auto"/>
        <w:rPr>
          <w:rFonts w:ascii="Arial" w:hAnsi="Arial" w:eastAsia="Arial" w:cs="Arial"/>
          <w:sz w:val="29"/>
          <w:szCs w:val="29"/>
        </w:rPr>
      </w:pPr>
      <w:r>
        <w:rPr>
          <w:rFonts w:ascii="Arial" w:hAnsi="Arial" w:eastAsia="Arial" w:cs="Arial"/>
          <w:sz w:val="29"/>
          <w:szCs w:val="29"/>
        </w:rPr>
        <w:t>G</w:t>
      </w:r>
    </w:p>
    <w:p w14:paraId="46FEEE66">
      <w:pPr>
        <w:spacing w:before="228" w:line="219" w:lineRule="auto"/>
        <w:rPr>
          <w:rFonts w:ascii="Times New Roman" w:hAnsi="Times New Roman" w:eastAsia="Times New Roman" w:cs="Times New Roman"/>
          <w:sz w:val="18"/>
          <w:szCs w:val="18"/>
        </w:rPr>
      </w:pPr>
      <w:r>
        <w:rPr>
          <w:rFonts w:ascii="宋体" w:hAnsi="宋体" w:eastAsia="宋体" w:cs="宋体"/>
          <w:spacing w:val="1"/>
          <w:sz w:val="18"/>
          <w:szCs w:val="18"/>
        </w:rPr>
        <w:t>干预试验</w:t>
      </w:r>
      <w:r>
        <w:rPr>
          <w:rFonts w:ascii="宋体" w:hAnsi="宋体" w:eastAsia="宋体" w:cs="宋体"/>
          <w:spacing w:val="56"/>
          <w:sz w:val="18"/>
          <w:szCs w:val="18"/>
        </w:rPr>
        <w:t xml:space="preserve"> </w:t>
      </w:r>
      <w:r>
        <w:rPr>
          <w:rFonts w:ascii="Times New Roman" w:hAnsi="Times New Roman" w:eastAsia="Times New Roman" w:cs="Times New Roman"/>
          <w:sz w:val="18"/>
          <w:szCs w:val="18"/>
        </w:rPr>
        <w:t>intervention</w:t>
      </w:r>
      <w:r>
        <w:rPr>
          <w:rFonts w:ascii="Times New Roman" w:hAnsi="Times New Roman" w:eastAsia="Times New Roman" w:cs="Times New Roman"/>
          <w:spacing w:val="1"/>
          <w:sz w:val="18"/>
          <w:szCs w:val="18"/>
        </w:rPr>
        <w:t xml:space="preserve">  </w:t>
      </w:r>
      <w:r>
        <w:rPr>
          <w:rFonts w:ascii="Times New Roman" w:hAnsi="Times New Roman" w:eastAsia="Times New Roman" w:cs="Times New Roman"/>
          <w:sz w:val="18"/>
          <w:szCs w:val="18"/>
        </w:rPr>
        <w:t>trial</w:t>
      </w:r>
      <w:r>
        <w:rPr>
          <w:rFonts w:ascii="Times New Roman" w:hAnsi="Times New Roman" w:eastAsia="Times New Roman" w:cs="Times New Roman"/>
          <w:spacing w:val="9"/>
          <w:sz w:val="18"/>
          <w:szCs w:val="18"/>
        </w:rPr>
        <w:t xml:space="preserve">  </w:t>
      </w:r>
      <w:r>
        <w:rPr>
          <w:rFonts w:ascii="Times New Roman" w:hAnsi="Times New Roman" w:eastAsia="Times New Roman" w:cs="Times New Roman"/>
          <w:spacing w:val="1"/>
          <w:sz w:val="18"/>
          <w:szCs w:val="18"/>
        </w:rPr>
        <w:t>82</w:t>
      </w:r>
    </w:p>
    <w:p w14:paraId="3EA73DA4">
      <w:pPr>
        <w:spacing w:before="107" w:line="212" w:lineRule="auto"/>
        <w:rPr>
          <w:rFonts w:ascii="Times New Roman" w:hAnsi="Times New Roman" w:eastAsia="Times New Roman" w:cs="Times New Roman"/>
          <w:sz w:val="18"/>
          <w:szCs w:val="18"/>
        </w:rPr>
      </w:pPr>
      <w:r>
        <w:rPr>
          <w:rFonts w:ascii="宋体" w:hAnsi="宋体" w:eastAsia="宋体" w:cs="宋体"/>
          <w:spacing w:val="3"/>
          <w:sz w:val="18"/>
          <w:szCs w:val="18"/>
        </w:rPr>
        <w:t>感染率</w:t>
      </w:r>
      <w:r>
        <w:rPr>
          <w:rFonts w:ascii="宋体" w:hAnsi="宋体" w:eastAsia="宋体" w:cs="宋体"/>
          <w:spacing w:val="54"/>
          <w:sz w:val="18"/>
          <w:szCs w:val="18"/>
        </w:rPr>
        <w:t xml:space="preserve"> </w:t>
      </w:r>
      <w:r>
        <w:rPr>
          <w:rFonts w:ascii="Times New Roman" w:hAnsi="Times New Roman" w:eastAsia="Times New Roman" w:cs="Times New Roman"/>
          <w:sz w:val="18"/>
          <w:szCs w:val="18"/>
        </w:rPr>
        <w:t>prevalence</w:t>
      </w:r>
      <w:r>
        <w:rPr>
          <w:rFonts w:ascii="Times New Roman" w:hAnsi="Times New Roman" w:eastAsia="Times New Roman" w:cs="Times New Roman"/>
          <w:spacing w:val="27"/>
          <w:sz w:val="18"/>
          <w:szCs w:val="18"/>
        </w:rPr>
        <w:t xml:space="preserve"> </w:t>
      </w:r>
      <w:r>
        <w:rPr>
          <w:rFonts w:ascii="Times New Roman" w:hAnsi="Times New Roman" w:eastAsia="Times New Roman" w:cs="Times New Roman"/>
          <w:sz w:val="18"/>
          <w:szCs w:val="18"/>
        </w:rPr>
        <w:t>of</w:t>
      </w:r>
      <w:r>
        <w:rPr>
          <w:rFonts w:ascii="Times New Roman" w:hAnsi="Times New Roman" w:eastAsia="Times New Roman" w:cs="Times New Roman"/>
          <w:spacing w:val="3"/>
          <w:sz w:val="18"/>
          <w:szCs w:val="18"/>
        </w:rPr>
        <w:t xml:space="preserve"> </w:t>
      </w:r>
      <w:r>
        <w:rPr>
          <w:rFonts w:ascii="Times New Roman" w:hAnsi="Times New Roman" w:eastAsia="Times New Roman" w:cs="Times New Roman"/>
          <w:sz w:val="18"/>
          <w:szCs w:val="18"/>
        </w:rPr>
        <w:t>infection</w:t>
      </w:r>
      <w:r>
        <w:rPr>
          <w:rFonts w:ascii="Times New Roman" w:hAnsi="Times New Roman" w:eastAsia="Times New Roman" w:cs="Times New Roman"/>
          <w:spacing w:val="3"/>
          <w:sz w:val="18"/>
          <w:szCs w:val="18"/>
        </w:rPr>
        <w:t xml:space="preserve">  13</w:t>
      </w:r>
    </w:p>
    <w:p w14:paraId="2D8EA241">
      <w:pPr>
        <w:spacing w:before="134" w:line="212" w:lineRule="auto"/>
        <w:rPr>
          <w:rFonts w:ascii="Times New Roman" w:hAnsi="Times New Roman" w:eastAsia="Times New Roman" w:cs="Times New Roman"/>
          <w:sz w:val="18"/>
          <w:szCs w:val="18"/>
        </w:rPr>
      </w:pPr>
      <w:r>
        <w:rPr>
          <w:rFonts w:ascii="宋体" w:hAnsi="宋体" w:eastAsia="宋体" w:cs="宋体"/>
          <w:spacing w:val="1"/>
          <w:sz w:val="18"/>
          <w:szCs w:val="18"/>
        </w:rPr>
        <w:t>感染谱</w:t>
      </w:r>
      <w:r>
        <w:rPr>
          <w:rFonts w:ascii="宋体" w:hAnsi="宋体" w:eastAsia="宋体" w:cs="宋体"/>
          <w:spacing w:val="68"/>
          <w:sz w:val="18"/>
          <w:szCs w:val="18"/>
        </w:rPr>
        <w:t xml:space="preserve"> </w:t>
      </w:r>
      <w:r>
        <w:rPr>
          <w:rFonts w:ascii="Times New Roman" w:hAnsi="Times New Roman" w:eastAsia="Times New Roman" w:cs="Times New Roman"/>
          <w:sz w:val="18"/>
          <w:szCs w:val="18"/>
        </w:rPr>
        <w:t>spectrum</w:t>
      </w:r>
      <w:r>
        <w:rPr>
          <w:rFonts w:ascii="Times New Roman" w:hAnsi="Times New Roman" w:eastAsia="Times New Roman" w:cs="Times New Roman"/>
          <w:spacing w:val="35"/>
          <w:sz w:val="18"/>
          <w:szCs w:val="18"/>
        </w:rPr>
        <w:t xml:space="preserve"> </w:t>
      </w:r>
      <w:r>
        <w:rPr>
          <w:rFonts w:ascii="Times New Roman" w:hAnsi="Times New Roman" w:eastAsia="Times New Roman" w:cs="Times New Roman"/>
          <w:sz w:val="18"/>
          <w:szCs w:val="18"/>
        </w:rPr>
        <w:t>of</w:t>
      </w:r>
      <w:r>
        <w:rPr>
          <w:rFonts w:ascii="Times New Roman" w:hAnsi="Times New Roman" w:eastAsia="Times New Roman" w:cs="Times New Roman"/>
          <w:spacing w:val="15"/>
          <w:w w:val="102"/>
          <w:sz w:val="18"/>
          <w:szCs w:val="18"/>
        </w:rPr>
        <w:t xml:space="preserve"> </w:t>
      </w:r>
      <w:r>
        <w:rPr>
          <w:rFonts w:ascii="Times New Roman" w:hAnsi="Times New Roman" w:eastAsia="Times New Roman" w:cs="Times New Roman"/>
          <w:sz w:val="18"/>
          <w:szCs w:val="18"/>
        </w:rPr>
        <w:t>infection</w:t>
      </w:r>
      <w:r>
        <w:rPr>
          <w:rFonts w:ascii="Times New Roman" w:hAnsi="Times New Roman" w:eastAsia="Times New Roman" w:cs="Times New Roman"/>
          <w:spacing w:val="1"/>
          <w:sz w:val="18"/>
          <w:szCs w:val="18"/>
        </w:rPr>
        <w:t xml:space="preserve">  158</w:t>
      </w:r>
    </w:p>
    <w:p w14:paraId="1DAF0AF0">
      <w:pPr>
        <w:spacing w:before="133" w:line="212" w:lineRule="auto"/>
        <w:rPr>
          <w:rFonts w:ascii="Times New Roman" w:hAnsi="Times New Roman" w:eastAsia="Times New Roman" w:cs="Times New Roman"/>
          <w:sz w:val="18"/>
          <w:szCs w:val="18"/>
        </w:rPr>
      </w:pPr>
      <w:r>
        <w:rPr>
          <w:rFonts w:ascii="宋体" w:hAnsi="宋体" w:eastAsia="宋体" w:cs="宋体"/>
          <w:spacing w:val="1"/>
          <w:sz w:val="18"/>
          <w:szCs w:val="18"/>
        </w:rPr>
        <w:t>感染梯度</w:t>
      </w:r>
      <w:r>
        <w:rPr>
          <w:rFonts w:ascii="宋体" w:hAnsi="宋体" w:eastAsia="宋体" w:cs="宋体"/>
          <w:spacing w:val="60"/>
          <w:sz w:val="18"/>
          <w:szCs w:val="18"/>
        </w:rPr>
        <w:t xml:space="preserve"> </w:t>
      </w:r>
      <w:r>
        <w:rPr>
          <w:rFonts w:ascii="Times New Roman" w:hAnsi="Times New Roman" w:eastAsia="Times New Roman" w:cs="Times New Roman"/>
          <w:sz w:val="18"/>
          <w:szCs w:val="18"/>
        </w:rPr>
        <w:t>gradient</w:t>
      </w:r>
      <w:r>
        <w:rPr>
          <w:rFonts w:ascii="Times New Roman" w:hAnsi="Times New Roman" w:eastAsia="Times New Roman" w:cs="Times New Roman"/>
          <w:spacing w:val="33"/>
          <w:w w:val="101"/>
          <w:sz w:val="18"/>
          <w:szCs w:val="18"/>
        </w:rPr>
        <w:t xml:space="preserve"> </w:t>
      </w:r>
      <w:r>
        <w:rPr>
          <w:rFonts w:ascii="Times New Roman" w:hAnsi="Times New Roman" w:eastAsia="Times New Roman" w:cs="Times New Roman"/>
          <w:sz w:val="18"/>
          <w:szCs w:val="18"/>
        </w:rPr>
        <w:t>of</w:t>
      </w:r>
      <w:r>
        <w:rPr>
          <w:rFonts w:ascii="Times New Roman" w:hAnsi="Times New Roman" w:eastAsia="Times New Roman" w:cs="Times New Roman"/>
          <w:spacing w:val="14"/>
          <w:w w:val="101"/>
          <w:sz w:val="18"/>
          <w:szCs w:val="18"/>
        </w:rPr>
        <w:t xml:space="preserve"> </w:t>
      </w:r>
      <w:r>
        <w:rPr>
          <w:rFonts w:ascii="Times New Roman" w:hAnsi="Times New Roman" w:eastAsia="Times New Roman" w:cs="Times New Roman"/>
          <w:sz w:val="18"/>
          <w:szCs w:val="18"/>
        </w:rPr>
        <w:t>infection</w:t>
      </w:r>
      <w:r>
        <w:rPr>
          <w:rFonts w:ascii="Times New Roman" w:hAnsi="Times New Roman" w:eastAsia="Times New Roman" w:cs="Times New Roman"/>
          <w:spacing w:val="1"/>
          <w:sz w:val="18"/>
          <w:szCs w:val="18"/>
        </w:rPr>
        <w:t xml:space="preserve">  158</w:t>
      </w:r>
    </w:p>
    <w:p w14:paraId="28C6214A">
      <w:pPr>
        <w:spacing w:before="154" w:line="219" w:lineRule="auto"/>
        <w:rPr>
          <w:rFonts w:ascii="Times New Roman" w:hAnsi="Times New Roman" w:eastAsia="Times New Roman" w:cs="Times New Roman"/>
          <w:sz w:val="18"/>
          <w:szCs w:val="18"/>
        </w:rPr>
      </w:pPr>
      <w:r>
        <w:rPr>
          <w:rFonts w:ascii="宋体" w:hAnsi="宋体" w:eastAsia="宋体" w:cs="宋体"/>
          <w:spacing w:val="2"/>
          <w:sz w:val="18"/>
          <w:szCs w:val="18"/>
        </w:rPr>
        <w:t>感染性腹泻</w:t>
      </w:r>
      <w:r>
        <w:rPr>
          <w:rFonts w:ascii="宋体" w:hAnsi="宋体" w:eastAsia="宋体" w:cs="宋体"/>
          <w:spacing w:val="68"/>
          <w:sz w:val="18"/>
          <w:szCs w:val="18"/>
        </w:rPr>
        <w:t xml:space="preserve"> </w:t>
      </w:r>
      <w:r>
        <w:rPr>
          <w:rFonts w:ascii="Times New Roman" w:hAnsi="Times New Roman" w:eastAsia="Times New Roman" w:cs="Times New Roman"/>
          <w:sz w:val="18"/>
          <w:szCs w:val="18"/>
        </w:rPr>
        <w:t>infectious</w:t>
      </w:r>
      <w:r>
        <w:rPr>
          <w:rFonts w:ascii="Times New Roman" w:hAnsi="Times New Roman" w:eastAsia="Times New Roman" w:cs="Times New Roman"/>
          <w:spacing w:val="2"/>
          <w:sz w:val="18"/>
          <w:szCs w:val="18"/>
        </w:rPr>
        <w:t xml:space="preserve">  </w:t>
      </w:r>
      <w:r>
        <w:rPr>
          <w:rFonts w:ascii="Times New Roman" w:hAnsi="Times New Roman" w:eastAsia="Times New Roman" w:cs="Times New Roman"/>
          <w:sz w:val="18"/>
          <w:szCs w:val="18"/>
        </w:rPr>
        <w:t>diarrhea</w:t>
      </w:r>
      <w:r>
        <w:rPr>
          <w:rFonts w:ascii="Times New Roman" w:hAnsi="Times New Roman" w:eastAsia="Times New Roman" w:cs="Times New Roman"/>
          <w:spacing w:val="2"/>
          <w:sz w:val="18"/>
          <w:szCs w:val="18"/>
        </w:rPr>
        <w:t xml:space="preserve">  308</w:t>
      </w:r>
    </w:p>
    <w:p w14:paraId="67AAE1FD">
      <w:pPr>
        <w:spacing w:before="105" w:line="212" w:lineRule="auto"/>
        <w:rPr>
          <w:rFonts w:ascii="Times New Roman" w:hAnsi="Times New Roman" w:eastAsia="Times New Roman" w:cs="Times New Roman"/>
          <w:sz w:val="18"/>
          <w:szCs w:val="18"/>
        </w:rPr>
      </w:pPr>
      <w:r>
        <w:rPr>
          <w:rFonts w:ascii="宋体" w:hAnsi="宋体" w:eastAsia="宋体" w:cs="宋体"/>
          <w:sz w:val="18"/>
          <w:szCs w:val="18"/>
        </w:rPr>
        <w:t>高危策略</w:t>
      </w:r>
      <w:r>
        <w:rPr>
          <w:rFonts w:ascii="宋体" w:hAnsi="宋体" w:eastAsia="宋体" w:cs="宋体"/>
          <w:spacing w:val="72"/>
          <w:sz w:val="18"/>
          <w:szCs w:val="18"/>
        </w:rPr>
        <w:t xml:space="preserve"> </w:t>
      </w:r>
      <w:r>
        <w:rPr>
          <w:rFonts w:ascii="Times New Roman" w:hAnsi="Times New Roman" w:eastAsia="Times New Roman" w:cs="Times New Roman"/>
          <w:sz w:val="18"/>
          <w:szCs w:val="18"/>
        </w:rPr>
        <w:t>high-risk  strategy  140</w:t>
      </w:r>
    </w:p>
    <w:p w14:paraId="5E069AD3">
      <w:pPr>
        <w:spacing w:before="134" w:line="212" w:lineRule="auto"/>
        <w:rPr>
          <w:rFonts w:ascii="Times New Roman" w:hAnsi="Times New Roman" w:eastAsia="Times New Roman" w:cs="Times New Roman"/>
          <w:sz w:val="18"/>
          <w:szCs w:val="18"/>
        </w:rPr>
      </w:pPr>
      <w:r>
        <w:rPr>
          <w:rFonts w:ascii="宋体" w:hAnsi="宋体" w:eastAsia="宋体" w:cs="宋体"/>
          <w:spacing w:val="5"/>
          <w:sz w:val="18"/>
          <w:szCs w:val="18"/>
        </w:rPr>
        <w:t>个案研究</w:t>
      </w:r>
      <w:r>
        <w:rPr>
          <w:rFonts w:ascii="宋体" w:hAnsi="宋体" w:eastAsia="宋体" w:cs="宋体"/>
          <w:spacing w:val="50"/>
          <w:sz w:val="18"/>
          <w:szCs w:val="18"/>
        </w:rPr>
        <w:t xml:space="preserve"> </w:t>
      </w:r>
      <w:r>
        <w:rPr>
          <w:rFonts w:ascii="Times New Roman" w:hAnsi="Times New Roman" w:eastAsia="Times New Roman" w:cs="Times New Roman"/>
          <w:sz w:val="18"/>
          <w:szCs w:val="18"/>
        </w:rPr>
        <w:t>case</w:t>
      </w:r>
      <w:r>
        <w:rPr>
          <w:rFonts w:ascii="Times New Roman" w:hAnsi="Times New Roman" w:eastAsia="Times New Roman" w:cs="Times New Roman"/>
          <w:spacing w:val="16"/>
          <w:w w:val="101"/>
          <w:sz w:val="18"/>
          <w:szCs w:val="18"/>
        </w:rPr>
        <w:t xml:space="preserve">  </w:t>
      </w:r>
      <w:r>
        <w:rPr>
          <w:rFonts w:ascii="Times New Roman" w:hAnsi="Times New Roman" w:eastAsia="Times New Roman" w:cs="Times New Roman"/>
          <w:sz w:val="18"/>
          <w:szCs w:val="18"/>
        </w:rPr>
        <w:t>study</w:t>
      </w:r>
      <w:r>
        <w:rPr>
          <w:rFonts w:ascii="Times New Roman" w:hAnsi="Times New Roman" w:eastAsia="Times New Roman" w:cs="Times New Roman"/>
          <w:spacing w:val="16"/>
          <w:sz w:val="18"/>
          <w:szCs w:val="18"/>
        </w:rPr>
        <w:t xml:space="preserve">  </w:t>
      </w:r>
      <w:r>
        <w:rPr>
          <w:rFonts w:ascii="Times New Roman" w:hAnsi="Times New Roman" w:eastAsia="Times New Roman" w:cs="Times New Roman"/>
          <w:spacing w:val="5"/>
          <w:sz w:val="18"/>
          <w:szCs w:val="18"/>
        </w:rPr>
        <w:t>31</w:t>
      </w:r>
    </w:p>
    <w:p w14:paraId="18ACDD8F">
      <w:pPr>
        <w:spacing w:before="133" w:line="212" w:lineRule="auto"/>
        <w:rPr>
          <w:rFonts w:ascii="Times New Roman" w:hAnsi="Times New Roman" w:eastAsia="Times New Roman" w:cs="Times New Roman"/>
          <w:sz w:val="18"/>
          <w:szCs w:val="18"/>
        </w:rPr>
      </w:pPr>
      <w:r>
        <w:rPr>
          <w:rFonts w:ascii="宋体" w:hAnsi="宋体" w:eastAsia="宋体" w:cs="宋体"/>
          <w:spacing w:val="1"/>
          <w:sz w:val="18"/>
          <w:szCs w:val="18"/>
        </w:rPr>
        <w:t>个体匹配</w:t>
      </w:r>
      <w:r>
        <w:rPr>
          <w:rFonts w:ascii="宋体" w:hAnsi="宋体" w:eastAsia="宋体" w:cs="宋体"/>
          <w:spacing w:val="90"/>
          <w:sz w:val="18"/>
          <w:szCs w:val="18"/>
        </w:rPr>
        <w:t xml:space="preserve"> </w:t>
      </w:r>
      <w:r>
        <w:rPr>
          <w:rFonts w:ascii="Times New Roman" w:hAnsi="Times New Roman" w:eastAsia="Times New Roman" w:cs="Times New Roman"/>
          <w:sz w:val="18"/>
          <w:szCs w:val="18"/>
        </w:rPr>
        <w:t>individual</w:t>
      </w:r>
      <w:r>
        <w:rPr>
          <w:rFonts w:ascii="Times New Roman" w:hAnsi="Times New Roman" w:eastAsia="Times New Roman" w:cs="Times New Roman"/>
          <w:spacing w:val="1"/>
          <w:sz w:val="18"/>
          <w:szCs w:val="18"/>
        </w:rPr>
        <w:t xml:space="preserve">  </w:t>
      </w:r>
      <w:r>
        <w:rPr>
          <w:rFonts w:ascii="Times New Roman" w:hAnsi="Times New Roman" w:eastAsia="Times New Roman" w:cs="Times New Roman"/>
          <w:sz w:val="18"/>
          <w:szCs w:val="18"/>
        </w:rPr>
        <w:t>matching</w:t>
      </w:r>
      <w:r>
        <w:rPr>
          <w:rFonts w:ascii="Times New Roman" w:hAnsi="Times New Roman" w:eastAsia="Times New Roman" w:cs="Times New Roman"/>
          <w:spacing w:val="1"/>
          <w:sz w:val="18"/>
          <w:szCs w:val="18"/>
        </w:rPr>
        <w:t xml:space="preserve">  66</w:t>
      </w:r>
    </w:p>
    <w:p w14:paraId="5145705E">
      <w:pPr>
        <w:spacing w:before="144" w:line="349" w:lineRule="auto"/>
        <w:ind w:right="618"/>
        <w:rPr>
          <w:rFonts w:ascii="Times New Roman" w:hAnsi="Times New Roman" w:eastAsia="Times New Roman" w:cs="Times New Roman"/>
          <w:sz w:val="18"/>
          <w:szCs w:val="18"/>
        </w:rPr>
      </w:pPr>
      <w:r>
        <w:rPr>
          <w:rFonts w:ascii="宋体" w:hAnsi="宋体" w:eastAsia="宋体" w:cs="宋体"/>
          <w:spacing w:val="-1"/>
          <w:sz w:val="18"/>
          <w:szCs w:val="18"/>
        </w:rPr>
        <w:t>根本预防或初始预防</w:t>
      </w:r>
      <w:r>
        <w:rPr>
          <w:rFonts w:ascii="宋体" w:hAnsi="宋体" w:eastAsia="宋体" w:cs="宋体"/>
          <w:spacing w:val="89"/>
          <w:w w:val="101"/>
          <w:sz w:val="18"/>
          <w:szCs w:val="18"/>
        </w:rPr>
        <w:t xml:space="preserve"> </w:t>
      </w:r>
      <w:r>
        <w:rPr>
          <w:rFonts w:ascii="Times New Roman" w:hAnsi="Times New Roman" w:eastAsia="Times New Roman" w:cs="Times New Roman"/>
          <w:spacing w:val="-1"/>
          <w:sz w:val="18"/>
          <w:szCs w:val="18"/>
        </w:rPr>
        <w:t>primordial  prevention</w:t>
      </w:r>
      <w:r>
        <w:rPr>
          <w:rFonts w:ascii="Times New Roman" w:hAnsi="Times New Roman" w:eastAsia="Times New Roman" w:cs="Times New Roman"/>
          <w:spacing w:val="15"/>
          <w:sz w:val="18"/>
          <w:szCs w:val="18"/>
        </w:rPr>
        <w:t xml:space="preserve">  </w:t>
      </w:r>
      <w:r>
        <w:rPr>
          <w:rFonts w:ascii="Times New Roman" w:hAnsi="Times New Roman" w:eastAsia="Times New Roman" w:cs="Times New Roman"/>
          <w:spacing w:val="-1"/>
          <w:sz w:val="18"/>
          <w:szCs w:val="18"/>
        </w:rPr>
        <w:t>140</w:t>
      </w:r>
      <w:r>
        <w:rPr>
          <w:rFonts w:ascii="Times New Roman" w:hAnsi="Times New Roman" w:eastAsia="Times New Roman" w:cs="Times New Roman"/>
          <w:sz w:val="18"/>
          <w:szCs w:val="18"/>
        </w:rPr>
        <w:t xml:space="preserve"> </w:t>
      </w:r>
      <w:r>
        <w:rPr>
          <w:rFonts w:ascii="宋体" w:hAnsi="宋体" w:eastAsia="宋体" w:cs="宋体"/>
          <w:spacing w:val="1"/>
          <w:sz w:val="18"/>
          <w:szCs w:val="18"/>
        </w:rPr>
        <w:t>公共卫生监测</w:t>
      </w:r>
      <w:r>
        <w:rPr>
          <w:rFonts w:ascii="宋体" w:hAnsi="宋体" w:eastAsia="宋体" w:cs="宋体"/>
          <w:spacing w:val="73"/>
          <w:sz w:val="18"/>
          <w:szCs w:val="18"/>
        </w:rPr>
        <w:t xml:space="preserve"> </w:t>
      </w:r>
      <w:r>
        <w:rPr>
          <w:rFonts w:ascii="Times New Roman" w:hAnsi="Times New Roman" w:eastAsia="Times New Roman" w:cs="Times New Roman"/>
          <w:sz w:val="18"/>
          <w:szCs w:val="18"/>
        </w:rPr>
        <w:t>public</w:t>
      </w:r>
      <w:r>
        <w:rPr>
          <w:rFonts w:ascii="Times New Roman" w:hAnsi="Times New Roman" w:eastAsia="Times New Roman" w:cs="Times New Roman"/>
          <w:spacing w:val="36"/>
          <w:sz w:val="18"/>
          <w:szCs w:val="18"/>
        </w:rPr>
        <w:t xml:space="preserve"> </w:t>
      </w:r>
      <w:r>
        <w:rPr>
          <w:rFonts w:ascii="Times New Roman" w:hAnsi="Times New Roman" w:eastAsia="Times New Roman" w:cs="Times New Roman"/>
          <w:sz w:val="18"/>
          <w:szCs w:val="18"/>
        </w:rPr>
        <w:t>health</w:t>
      </w:r>
      <w:r>
        <w:rPr>
          <w:rFonts w:ascii="Times New Roman" w:hAnsi="Times New Roman" w:eastAsia="Times New Roman" w:cs="Times New Roman"/>
          <w:spacing w:val="43"/>
          <w:w w:val="101"/>
          <w:sz w:val="18"/>
          <w:szCs w:val="18"/>
        </w:rPr>
        <w:t xml:space="preserve"> </w:t>
      </w:r>
      <w:r>
        <w:rPr>
          <w:rFonts w:ascii="Times New Roman" w:hAnsi="Times New Roman" w:eastAsia="Times New Roman" w:cs="Times New Roman"/>
          <w:sz w:val="18"/>
          <w:szCs w:val="18"/>
        </w:rPr>
        <w:t>surveillance</w:t>
      </w:r>
      <w:r>
        <w:rPr>
          <w:rFonts w:ascii="Times New Roman" w:hAnsi="Times New Roman" w:eastAsia="Times New Roman" w:cs="Times New Roman"/>
          <w:spacing w:val="1"/>
          <w:sz w:val="18"/>
          <w:szCs w:val="18"/>
        </w:rPr>
        <w:t xml:space="preserve">  146</w:t>
      </w:r>
    </w:p>
    <w:p w14:paraId="3712D2C7">
      <w:pPr>
        <w:spacing w:before="39" w:line="219" w:lineRule="auto"/>
        <w:rPr>
          <w:rFonts w:ascii="Times New Roman" w:hAnsi="Times New Roman" w:eastAsia="Times New Roman" w:cs="Times New Roman"/>
          <w:sz w:val="18"/>
          <w:szCs w:val="18"/>
        </w:rPr>
      </w:pPr>
      <w:r>
        <w:rPr>
          <w:rFonts w:ascii="宋体" w:hAnsi="宋体" w:eastAsia="宋体" w:cs="宋体"/>
          <w:spacing w:val="2"/>
          <w:sz w:val="18"/>
          <w:szCs w:val="18"/>
        </w:rPr>
        <w:t>共变法</w:t>
      </w:r>
      <w:r>
        <w:rPr>
          <w:rFonts w:ascii="宋体" w:hAnsi="宋体" w:eastAsia="宋体" w:cs="宋体"/>
          <w:spacing w:val="77"/>
          <w:sz w:val="18"/>
          <w:szCs w:val="18"/>
        </w:rPr>
        <w:t xml:space="preserve"> </w:t>
      </w:r>
      <w:r>
        <w:rPr>
          <w:rFonts w:ascii="Times New Roman" w:hAnsi="Times New Roman" w:eastAsia="Times New Roman" w:cs="Times New Roman"/>
          <w:sz w:val="18"/>
          <w:szCs w:val="18"/>
        </w:rPr>
        <w:t>method</w:t>
      </w:r>
      <w:r>
        <w:rPr>
          <w:rFonts w:ascii="Times New Roman" w:hAnsi="Times New Roman" w:eastAsia="Times New Roman" w:cs="Times New Roman"/>
          <w:spacing w:val="2"/>
          <w:sz w:val="18"/>
          <w:szCs w:val="18"/>
        </w:rPr>
        <w:t xml:space="preserve"> </w:t>
      </w:r>
      <w:r>
        <w:rPr>
          <w:rFonts w:ascii="Times New Roman" w:hAnsi="Times New Roman" w:eastAsia="Times New Roman" w:cs="Times New Roman"/>
          <w:sz w:val="18"/>
          <w:szCs w:val="18"/>
        </w:rPr>
        <w:t>of</w:t>
      </w:r>
      <w:r>
        <w:rPr>
          <w:rFonts w:ascii="Times New Roman" w:hAnsi="Times New Roman" w:eastAsia="Times New Roman" w:cs="Times New Roman"/>
          <w:spacing w:val="-12"/>
          <w:sz w:val="18"/>
          <w:szCs w:val="18"/>
        </w:rPr>
        <w:t xml:space="preserve"> </w:t>
      </w:r>
      <w:r>
        <w:rPr>
          <w:rFonts w:ascii="Times New Roman" w:hAnsi="Times New Roman" w:eastAsia="Times New Roman" w:cs="Times New Roman"/>
          <w:sz w:val="18"/>
          <w:szCs w:val="18"/>
        </w:rPr>
        <w:t>concomitant</w:t>
      </w:r>
      <w:r>
        <w:rPr>
          <w:rFonts w:ascii="Times New Roman" w:hAnsi="Times New Roman" w:eastAsia="Times New Roman" w:cs="Times New Roman"/>
          <w:spacing w:val="2"/>
          <w:sz w:val="18"/>
          <w:szCs w:val="18"/>
        </w:rPr>
        <w:t xml:space="preserve"> </w:t>
      </w:r>
      <w:r>
        <w:rPr>
          <w:rFonts w:ascii="Times New Roman" w:hAnsi="Times New Roman" w:eastAsia="Times New Roman" w:cs="Times New Roman"/>
          <w:sz w:val="18"/>
          <w:szCs w:val="18"/>
        </w:rPr>
        <w:t>variations</w:t>
      </w:r>
      <w:r>
        <w:rPr>
          <w:rFonts w:ascii="Times New Roman" w:hAnsi="Times New Roman" w:eastAsia="Times New Roman" w:cs="Times New Roman"/>
          <w:spacing w:val="21"/>
          <w:sz w:val="18"/>
          <w:szCs w:val="18"/>
        </w:rPr>
        <w:t xml:space="preserve"> </w:t>
      </w:r>
      <w:r>
        <w:rPr>
          <w:rFonts w:ascii="Times New Roman" w:hAnsi="Times New Roman" w:eastAsia="Times New Roman" w:cs="Times New Roman"/>
          <w:spacing w:val="2"/>
          <w:sz w:val="18"/>
          <w:szCs w:val="18"/>
        </w:rPr>
        <w:t>128</w:t>
      </w:r>
    </w:p>
    <w:p w14:paraId="728F673A">
      <w:pPr>
        <w:spacing w:before="137" w:line="220" w:lineRule="auto"/>
        <w:rPr>
          <w:rFonts w:ascii="Times New Roman" w:hAnsi="Times New Roman" w:eastAsia="Times New Roman" w:cs="Times New Roman"/>
          <w:sz w:val="18"/>
          <w:szCs w:val="18"/>
        </w:rPr>
      </w:pPr>
      <w:r>
        <w:rPr>
          <w:rFonts w:ascii="宋体" w:hAnsi="宋体" w:eastAsia="宋体" w:cs="宋体"/>
          <w:spacing w:val="1"/>
          <w:sz w:val="18"/>
          <w:szCs w:val="18"/>
        </w:rPr>
        <w:t>固定队列</w:t>
      </w:r>
      <w:r>
        <w:rPr>
          <w:rFonts w:ascii="宋体" w:hAnsi="宋体" w:eastAsia="宋体" w:cs="宋体"/>
          <w:spacing w:val="58"/>
          <w:sz w:val="18"/>
          <w:szCs w:val="18"/>
        </w:rPr>
        <w:t xml:space="preserve"> </w:t>
      </w:r>
      <w:r>
        <w:rPr>
          <w:rFonts w:ascii="Times New Roman" w:hAnsi="Times New Roman" w:eastAsia="Times New Roman" w:cs="Times New Roman"/>
          <w:sz w:val="18"/>
          <w:szCs w:val="18"/>
        </w:rPr>
        <w:t>fxed</w:t>
      </w:r>
      <w:r>
        <w:rPr>
          <w:rFonts w:ascii="Times New Roman" w:hAnsi="Times New Roman" w:eastAsia="Times New Roman" w:cs="Times New Roman"/>
          <w:spacing w:val="19"/>
          <w:w w:val="101"/>
          <w:sz w:val="18"/>
          <w:szCs w:val="18"/>
        </w:rPr>
        <w:t xml:space="preserve">  </w:t>
      </w:r>
      <w:r>
        <w:rPr>
          <w:rFonts w:ascii="Times New Roman" w:hAnsi="Times New Roman" w:eastAsia="Times New Roman" w:cs="Times New Roman"/>
          <w:sz w:val="18"/>
          <w:szCs w:val="18"/>
        </w:rPr>
        <w:t>cohort</w:t>
      </w:r>
      <w:r>
        <w:rPr>
          <w:rFonts w:ascii="Times New Roman" w:hAnsi="Times New Roman" w:eastAsia="Times New Roman" w:cs="Times New Roman"/>
          <w:spacing w:val="17"/>
          <w:w w:val="101"/>
          <w:sz w:val="18"/>
          <w:szCs w:val="18"/>
        </w:rPr>
        <w:t xml:space="preserve">  </w:t>
      </w:r>
      <w:r>
        <w:rPr>
          <w:rFonts w:ascii="Times New Roman" w:hAnsi="Times New Roman" w:eastAsia="Times New Roman" w:cs="Times New Roman"/>
          <w:spacing w:val="1"/>
          <w:sz w:val="18"/>
          <w:szCs w:val="18"/>
        </w:rPr>
        <w:t>47</w:t>
      </w:r>
    </w:p>
    <w:p w14:paraId="2466DC13">
      <w:pPr>
        <w:spacing w:before="136" w:line="219" w:lineRule="auto"/>
        <w:rPr>
          <w:rFonts w:ascii="Times New Roman" w:hAnsi="Times New Roman" w:eastAsia="Times New Roman" w:cs="Times New Roman"/>
          <w:sz w:val="18"/>
          <w:szCs w:val="18"/>
        </w:rPr>
      </w:pPr>
      <w:r>
        <w:rPr>
          <w:rFonts w:ascii="宋体" w:hAnsi="宋体" w:eastAsia="宋体" w:cs="宋体"/>
          <w:spacing w:val="1"/>
          <w:sz w:val="18"/>
          <w:szCs w:val="18"/>
        </w:rPr>
        <w:t>固定效应模型</w:t>
      </w:r>
      <w:r>
        <w:rPr>
          <w:rFonts w:ascii="宋体" w:hAnsi="宋体" w:eastAsia="宋体" w:cs="宋体"/>
          <w:spacing w:val="51"/>
          <w:sz w:val="18"/>
          <w:szCs w:val="18"/>
        </w:rPr>
        <w:t xml:space="preserve"> </w:t>
      </w:r>
      <w:r>
        <w:rPr>
          <w:rFonts w:ascii="Times New Roman" w:hAnsi="Times New Roman" w:eastAsia="Times New Roman" w:cs="Times New Roman"/>
          <w:sz w:val="18"/>
          <w:szCs w:val="18"/>
        </w:rPr>
        <w:t>fixed</w:t>
      </w:r>
      <w:r>
        <w:rPr>
          <w:rFonts w:ascii="Times New Roman" w:hAnsi="Times New Roman" w:eastAsia="Times New Roman" w:cs="Times New Roman"/>
          <w:spacing w:val="25"/>
          <w:w w:val="101"/>
          <w:sz w:val="18"/>
          <w:szCs w:val="18"/>
        </w:rPr>
        <w:t xml:space="preserve"> </w:t>
      </w:r>
      <w:r>
        <w:rPr>
          <w:rFonts w:ascii="Times New Roman" w:hAnsi="Times New Roman" w:eastAsia="Times New Roman" w:cs="Times New Roman"/>
          <w:sz w:val="18"/>
          <w:szCs w:val="18"/>
        </w:rPr>
        <w:t>effect</w:t>
      </w:r>
      <w:r>
        <w:rPr>
          <w:rFonts w:ascii="Times New Roman" w:hAnsi="Times New Roman" w:eastAsia="Times New Roman" w:cs="Times New Roman"/>
          <w:spacing w:val="19"/>
          <w:w w:val="102"/>
          <w:sz w:val="18"/>
          <w:szCs w:val="18"/>
        </w:rPr>
        <w:t xml:space="preserve"> </w:t>
      </w:r>
      <w:r>
        <w:rPr>
          <w:rFonts w:ascii="Times New Roman" w:hAnsi="Times New Roman" w:eastAsia="Times New Roman" w:cs="Times New Roman"/>
          <w:sz w:val="18"/>
          <w:szCs w:val="18"/>
        </w:rPr>
        <w:t>model</w:t>
      </w:r>
      <w:r>
        <w:rPr>
          <w:rFonts w:ascii="Times New Roman" w:hAnsi="Times New Roman" w:eastAsia="Times New Roman" w:cs="Times New Roman"/>
          <w:spacing w:val="22"/>
          <w:w w:val="101"/>
          <w:sz w:val="18"/>
          <w:szCs w:val="18"/>
        </w:rPr>
        <w:t xml:space="preserve"> </w:t>
      </w:r>
      <w:r>
        <w:rPr>
          <w:rFonts w:ascii="Times New Roman" w:hAnsi="Times New Roman" w:eastAsia="Times New Roman" w:cs="Times New Roman"/>
          <w:spacing w:val="1"/>
          <w:sz w:val="18"/>
          <w:szCs w:val="18"/>
        </w:rPr>
        <w:t>255</w:t>
      </w:r>
    </w:p>
    <w:p w14:paraId="63757219">
      <w:pPr>
        <w:spacing w:before="115" w:line="212" w:lineRule="auto"/>
        <w:rPr>
          <w:rFonts w:ascii="Times New Roman" w:hAnsi="Times New Roman" w:eastAsia="Times New Roman" w:cs="Times New Roman"/>
          <w:sz w:val="18"/>
          <w:szCs w:val="18"/>
        </w:rPr>
      </w:pPr>
      <w:r>
        <w:rPr>
          <w:rFonts w:ascii="宋体" w:hAnsi="宋体" w:eastAsia="宋体" w:cs="宋体"/>
          <w:spacing w:val="5"/>
          <w:sz w:val="18"/>
          <w:szCs w:val="18"/>
        </w:rPr>
        <w:t>故意伤害</w:t>
      </w:r>
      <w:r>
        <w:rPr>
          <w:rFonts w:ascii="宋体" w:hAnsi="宋体" w:eastAsia="宋体" w:cs="宋体"/>
          <w:spacing w:val="64"/>
          <w:sz w:val="18"/>
          <w:szCs w:val="18"/>
        </w:rPr>
        <w:t xml:space="preserve"> </w:t>
      </w:r>
      <w:r>
        <w:rPr>
          <w:rFonts w:ascii="Times New Roman" w:hAnsi="Times New Roman" w:eastAsia="Times New Roman" w:cs="Times New Roman"/>
          <w:sz w:val="18"/>
          <w:szCs w:val="18"/>
        </w:rPr>
        <w:t>intentional</w:t>
      </w:r>
      <w:r>
        <w:rPr>
          <w:rFonts w:ascii="Times New Roman" w:hAnsi="Times New Roman" w:eastAsia="Times New Roman" w:cs="Times New Roman"/>
          <w:spacing w:val="5"/>
          <w:sz w:val="18"/>
          <w:szCs w:val="18"/>
        </w:rPr>
        <w:t xml:space="preserve">  </w:t>
      </w:r>
      <w:r>
        <w:rPr>
          <w:rFonts w:ascii="Times New Roman" w:hAnsi="Times New Roman" w:eastAsia="Times New Roman" w:cs="Times New Roman"/>
          <w:sz w:val="18"/>
          <w:szCs w:val="18"/>
        </w:rPr>
        <w:t>injury</w:t>
      </w:r>
      <w:r>
        <w:rPr>
          <w:rFonts w:ascii="Times New Roman" w:hAnsi="Times New Roman" w:eastAsia="Times New Roman" w:cs="Times New Roman"/>
          <w:spacing w:val="6"/>
          <w:sz w:val="18"/>
          <w:szCs w:val="18"/>
        </w:rPr>
        <w:t xml:space="preserve">  </w:t>
      </w:r>
      <w:r>
        <w:rPr>
          <w:rFonts w:ascii="Times New Roman" w:hAnsi="Times New Roman" w:eastAsia="Times New Roman" w:cs="Times New Roman"/>
          <w:spacing w:val="5"/>
          <w:sz w:val="18"/>
          <w:szCs w:val="18"/>
        </w:rPr>
        <w:t>205</w:t>
      </w:r>
    </w:p>
    <w:p w14:paraId="781FBF01">
      <w:pPr>
        <w:spacing w:before="165" w:line="220" w:lineRule="auto"/>
        <w:rPr>
          <w:rFonts w:ascii="Times New Roman" w:hAnsi="Times New Roman" w:eastAsia="Times New Roman" w:cs="Times New Roman"/>
          <w:sz w:val="18"/>
          <w:szCs w:val="18"/>
        </w:rPr>
      </w:pPr>
      <w:r>
        <w:rPr>
          <w:rFonts w:ascii="宋体" w:hAnsi="宋体" w:eastAsia="宋体" w:cs="宋体"/>
          <w:spacing w:val="-3"/>
          <w:sz w:val="18"/>
          <w:szCs w:val="18"/>
        </w:rPr>
        <w:t>关</w:t>
      </w:r>
      <w:r>
        <w:rPr>
          <w:rFonts w:ascii="宋体" w:hAnsi="宋体" w:eastAsia="宋体" w:cs="宋体"/>
          <w:spacing w:val="-18"/>
          <w:sz w:val="18"/>
          <w:szCs w:val="18"/>
        </w:rPr>
        <w:t xml:space="preserve"> </w:t>
      </w:r>
      <w:r>
        <w:rPr>
          <w:rFonts w:ascii="宋体" w:hAnsi="宋体" w:eastAsia="宋体" w:cs="宋体"/>
          <w:spacing w:val="-3"/>
          <w:sz w:val="18"/>
          <w:szCs w:val="18"/>
        </w:rPr>
        <w:t>联</w:t>
      </w:r>
      <w:r>
        <w:rPr>
          <w:rFonts w:ascii="宋体" w:hAnsi="宋体" w:eastAsia="宋体" w:cs="宋体"/>
          <w:spacing w:val="53"/>
          <w:sz w:val="18"/>
          <w:szCs w:val="18"/>
        </w:rPr>
        <w:t xml:space="preserve"> </w:t>
      </w:r>
      <w:r>
        <w:rPr>
          <w:rFonts w:ascii="Times New Roman" w:hAnsi="Times New Roman" w:eastAsia="Times New Roman" w:cs="Times New Roman"/>
          <w:spacing w:val="-3"/>
          <w:sz w:val="18"/>
          <w:szCs w:val="18"/>
        </w:rPr>
        <w:t>association</w:t>
      </w:r>
      <w:r>
        <w:rPr>
          <w:rFonts w:ascii="Times New Roman" w:hAnsi="Times New Roman" w:eastAsia="Times New Roman" w:cs="Times New Roman"/>
          <w:spacing w:val="4"/>
          <w:sz w:val="18"/>
          <w:szCs w:val="18"/>
        </w:rPr>
        <w:t xml:space="preserve">    </w:t>
      </w:r>
      <w:r>
        <w:rPr>
          <w:rFonts w:ascii="Times New Roman" w:hAnsi="Times New Roman" w:eastAsia="Times New Roman" w:cs="Times New Roman"/>
          <w:spacing w:val="-3"/>
          <w:sz w:val="18"/>
          <w:szCs w:val="18"/>
        </w:rPr>
        <w:t>119</w:t>
      </w:r>
    </w:p>
    <w:p w14:paraId="5FC5CA72">
      <w:pPr>
        <w:spacing w:before="114" w:line="212" w:lineRule="auto"/>
        <w:rPr>
          <w:rFonts w:ascii="Times New Roman" w:hAnsi="Times New Roman" w:eastAsia="Times New Roman" w:cs="Times New Roman"/>
          <w:sz w:val="18"/>
          <w:szCs w:val="18"/>
        </w:rPr>
      </w:pPr>
      <w:r>
        <w:rPr>
          <w:rFonts w:ascii="宋体" w:hAnsi="宋体" w:eastAsia="宋体" w:cs="宋体"/>
          <w:sz w:val="18"/>
          <w:szCs w:val="18"/>
        </w:rPr>
        <w:t>广泛耐药结核病</w:t>
      </w:r>
      <w:r>
        <w:rPr>
          <w:rFonts w:ascii="宋体" w:hAnsi="宋体" w:eastAsia="宋体" w:cs="宋体"/>
          <w:spacing w:val="68"/>
          <w:sz w:val="18"/>
          <w:szCs w:val="18"/>
        </w:rPr>
        <w:t xml:space="preserve"> </w:t>
      </w:r>
      <w:r>
        <w:rPr>
          <w:rFonts w:ascii="Times New Roman" w:hAnsi="Times New Roman" w:eastAsia="Times New Roman" w:cs="Times New Roman"/>
          <w:sz w:val="18"/>
          <w:szCs w:val="18"/>
        </w:rPr>
        <w:t>extensively drug-resista</w:t>
      </w:r>
      <w:r>
        <w:rPr>
          <w:rFonts w:ascii="Times New Roman" w:hAnsi="Times New Roman" w:eastAsia="Times New Roman" w:cs="Times New Roman"/>
          <w:spacing w:val="-1"/>
          <w:sz w:val="18"/>
          <w:szCs w:val="18"/>
        </w:rPr>
        <w:t>nt TB,XDR-TB</w:t>
      </w:r>
    </w:p>
    <w:p w14:paraId="6629E539">
      <w:pPr>
        <w:spacing w:before="171" w:line="188" w:lineRule="auto"/>
        <w:ind w:left="210"/>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285</w:t>
      </w:r>
    </w:p>
    <w:p w14:paraId="5BF50F16">
      <w:pPr>
        <w:spacing w:before="149" w:line="212" w:lineRule="auto"/>
        <w:rPr>
          <w:rFonts w:ascii="Times New Roman" w:hAnsi="Times New Roman" w:eastAsia="Times New Roman" w:cs="Times New Roman"/>
          <w:sz w:val="18"/>
          <w:szCs w:val="18"/>
        </w:rPr>
      </w:pPr>
      <w:r>
        <w:rPr>
          <w:rFonts w:ascii="宋体" w:hAnsi="宋体" w:eastAsia="宋体" w:cs="宋体"/>
          <w:spacing w:val="3"/>
          <w:sz w:val="18"/>
          <w:szCs w:val="18"/>
        </w:rPr>
        <w:t>归因危险度</w:t>
      </w:r>
      <w:r>
        <w:rPr>
          <w:rFonts w:ascii="宋体" w:hAnsi="宋体" w:eastAsia="宋体" w:cs="宋体"/>
          <w:spacing w:val="64"/>
          <w:sz w:val="18"/>
          <w:szCs w:val="18"/>
        </w:rPr>
        <w:t xml:space="preserve"> </w:t>
      </w:r>
      <w:r>
        <w:rPr>
          <w:rFonts w:ascii="Times New Roman" w:hAnsi="Times New Roman" w:eastAsia="Times New Roman" w:cs="Times New Roman"/>
          <w:sz w:val="18"/>
          <w:szCs w:val="18"/>
        </w:rPr>
        <w:t>attributable</w:t>
      </w:r>
      <w:r>
        <w:rPr>
          <w:rFonts w:ascii="Times New Roman" w:hAnsi="Times New Roman" w:eastAsia="Times New Roman" w:cs="Times New Roman"/>
          <w:spacing w:val="3"/>
          <w:sz w:val="18"/>
          <w:szCs w:val="18"/>
        </w:rPr>
        <w:t xml:space="preserve">   </w:t>
      </w:r>
      <w:r>
        <w:rPr>
          <w:rFonts w:ascii="Times New Roman" w:hAnsi="Times New Roman" w:eastAsia="Times New Roman" w:cs="Times New Roman"/>
          <w:sz w:val="18"/>
          <w:szCs w:val="18"/>
        </w:rPr>
        <w:t>risk</w:t>
      </w:r>
      <w:r>
        <w:rPr>
          <w:rFonts w:ascii="Times New Roman" w:hAnsi="Times New Roman" w:eastAsia="Times New Roman" w:cs="Times New Roman"/>
          <w:spacing w:val="3"/>
          <w:sz w:val="18"/>
          <w:szCs w:val="18"/>
        </w:rPr>
        <w:t>,</w:t>
      </w:r>
      <w:r>
        <w:rPr>
          <w:rFonts w:ascii="Times New Roman" w:hAnsi="Times New Roman" w:eastAsia="Times New Roman" w:cs="Times New Roman"/>
          <w:sz w:val="18"/>
          <w:szCs w:val="18"/>
        </w:rPr>
        <w:t>AR</w:t>
      </w:r>
      <w:r>
        <w:rPr>
          <w:rFonts w:ascii="Times New Roman" w:hAnsi="Times New Roman" w:eastAsia="Times New Roman" w:cs="Times New Roman"/>
          <w:spacing w:val="3"/>
          <w:sz w:val="18"/>
          <w:szCs w:val="18"/>
        </w:rPr>
        <w:t xml:space="preserve">   57</w:t>
      </w:r>
    </w:p>
    <w:p w14:paraId="379AF12A">
      <w:pPr>
        <w:spacing w:before="153" w:line="216" w:lineRule="auto"/>
        <w:rPr>
          <w:rFonts w:ascii="宋体" w:hAnsi="宋体" w:eastAsia="宋体" w:cs="宋体"/>
          <w:sz w:val="18"/>
          <w:szCs w:val="18"/>
        </w:rPr>
      </w:pPr>
      <w:r>
        <w:rPr>
          <w:rFonts w:ascii="宋体" w:hAnsi="宋体" w:eastAsia="宋体" w:cs="宋体"/>
          <w:spacing w:val="2"/>
          <w:sz w:val="18"/>
          <w:szCs w:val="18"/>
        </w:rPr>
        <w:t>归因危险度百分比</w:t>
      </w:r>
      <w:r>
        <w:rPr>
          <w:rFonts w:ascii="宋体" w:hAnsi="宋体" w:eastAsia="宋体" w:cs="宋体"/>
          <w:spacing w:val="69"/>
          <w:sz w:val="18"/>
          <w:szCs w:val="18"/>
        </w:rPr>
        <w:t xml:space="preserve"> </w:t>
      </w:r>
      <w:r>
        <w:rPr>
          <w:rFonts w:ascii="宋体" w:hAnsi="宋体" w:eastAsia="宋体" w:cs="宋体"/>
          <w:sz w:val="18"/>
          <w:szCs w:val="18"/>
        </w:rPr>
        <w:t>AR</w:t>
      </w:r>
      <w:r>
        <w:rPr>
          <w:rFonts w:ascii="宋体" w:hAnsi="宋体" w:eastAsia="宋体" w:cs="宋体"/>
          <w:spacing w:val="2"/>
          <w:sz w:val="18"/>
          <w:szCs w:val="18"/>
        </w:rPr>
        <w:t>%58,72</w:t>
      </w:r>
    </w:p>
    <w:p w14:paraId="099247A7">
      <w:pPr>
        <w:spacing w:before="121" w:line="348" w:lineRule="auto"/>
        <w:ind w:left="220" w:right="154" w:hanging="220"/>
        <w:rPr>
          <w:rFonts w:ascii="Times New Roman" w:hAnsi="Times New Roman" w:eastAsia="Times New Roman" w:cs="Times New Roman"/>
          <w:sz w:val="18"/>
          <w:szCs w:val="18"/>
        </w:rPr>
      </w:pPr>
      <w:r>
        <w:rPr>
          <w:rFonts w:ascii="宋体" w:hAnsi="宋体" w:eastAsia="宋体" w:cs="宋体"/>
          <w:spacing w:val="-1"/>
          <w:sz w:val="18"/>
          <w:szCs w:val="18"/>
        </w:rPr>
        <w:t>国际关注的突发公共卫生事件</w:t>
      </w:r>
      <w:r>
        <w:rPr>
          <w:rFonts w:ascii="宋体" w:hAnsi="宋体" w:eastAsia="宋体" w:cs="宋体"/>
          <w:spacing w:val="76"/>
          <w:sz w:val="18"/>
          <w:szCs w:val="18"/>
        </w:rPr>
        <w:t xml:space="preserve"> </w:t>
      </w:r>
      <w:r>
        <w:rPr>
          <w:rFonts w:ascii="Times New Roman" w:hAnsi="Times New Roman" w:eastAsia="Times New Roman" w:cs="Times New Roman"/>
          <w:spacing w:val="-1"/>
          <w:sz w:val="18"/>
          <w:szCs w:val="18"/>
        </w:rPr>
        <w:t>public health emergency</w:t>
      </w:r>
      <w:r>
        <w:rPr>
          <w:rFonts w:ascii="Times New Roman" w:hAnsi="Times New Roman" w:eastAsia="Times New Roman" w:cs="Times New Roman"/>
          <w:sz w:val="18"/>
          <w:szCs w:val="18"/>
        </w:rPr>
        <w:t xml:space="preserve"> of</w:t>
      </w:r>
      <w:r>
        <w:rPr>
          <w:rFonts w:ascii="Times New Roman" w:hAnsi="Times New Roman" w:eastAsia="Times New Roman" w:cs="Times New Roman"/>
          <w:spacing w:val="42"/>
          <w:sz w:val="18"/>
          <w:szCs w:val="18"/>
        </w:rPr>
        <w:t xml:space="preserve"> </w:t>
      </w:r>
      <w:r>
        <w:rPr>
          <w:rFonts w:ascii="Times New Roman" w:hAnsi="Times New Roman" w:eastAsia="Times New Roman" w:cs="Times New Roman"/>
          <w:sz w:val="18"/>
          <w:szCs w:val="18"/>
        </w:rPr>
        <w:t>international</w:t>
      </w:r>
      <w:r>
        <w:rPr>
          <w:rFonts w:ascii="Times New Roman" w:hAnsi="Times New Roman" w:eastAsia="Times New Roman" w:cs="Times New Roman"/>
          <w:spacing w:val="2"/>
          <w:sz w:val="18"/>
          <w:szCs w:val="18"/>
        </w:rPr>
        <w:t xml:space="preserve">  </w:t>
      </w:r>
      <w:r>
        <w:rPr>
          <w:rFonts w:ascii="Times New Roman" w:hAnsi="Times New Roman" w:eastAsia="Times New Roman" w:cs="Times New Roman"/>
          <w:sz w:val="18"/>
          <w:szCs w:val="18"/>
        </w:rPr>
        <w:t>concern</w:t>
      </w:r>
      <w:r>
        <w:rPr>
          <w:rFonts w:ascii="Times New Roman" w:hAnsi="Times New Roman" w:eastAsia="Times New Roman" w:cs="Times New Roman"/>
          <w:spacing w:val="2"/>
          <w:sz w:val="18"/>
          <w:szCs w:val="18"/>
        </w:rPr>
        <w:t>,</w:t>
      </w:r>
      <w:r>
        <w:rPr>
          <w:rFonts w:ascii="Times New Roman" w:hAnsi="Times New Roman" w:eastAsia="Times New Roman" w:cs="Times New Roman"/>
          <w:sz w:val="18"/>
          <w:szCs w:val="18"/>
        </w:rPr>
        <w:t>PHEIC</w:t>
      </w:r>
      <w:r>
        <w:rPr>
          <w:rFonts w:ascii="Times New Roman" w:hAnsi="Times New Roman" w:eastAsia="Times New Roman" w:cs="Times New Roman"/>
          <w:spacing w:val="7"/>
          <w:sz w:val="18"/>
          <w:szCs w:val="18"/>
        </w:rPr>
        <w:t xml:space="preserve">  </w:t>
      </w:r>
      <w:r>
        <w:rPr>
          <w:rFonts w:ascii="Times New Roman" w:hAnsi="Times New Roman" w:eastAsia="Times New Roman" w:cs="Times New Roman"/>
          <w:spacing w:val="2"/>
          <w:sz w:val="18"/>
          <w:szCs w:val="18"/>
        </w:rPr>
        <w:t>219</w:t>
      </w:r>
    </w:p>
    <w:p w14:paraId="07250E6B">
      <w:pPr>
        <w:spacing w:before="75" w:line="214" w:lineRule="auto"/>
        <w:rPr>
          <w:rFonts w:ascii="宋体" w:hAnsi="宋体" w:eastAsia="宋体" w:cs="宋体"/>
          <w:sz w:val="18"/>
          <w:szCs w:val="18"/>
        </w:rPr>
      </w:pPr>
      <w:r>
        <w:rPr>
          <w:rFonts w:ascii="宋体" w:hAnsi="宋体" w:eastAsia="宋体" w:cs="宋体"/>
          <w:spacing w:val="-7"/>
          <w:sz w:val="18"/>
          <w:szCs w:val="18"/>
        </w:rPr>
        <w:t>过度诊断偏倚</w:t>
      </w:r>
      <w:r>
        <w:rPr>
          <w:rFonts w:ascii="宋体" w:hAnsi="宋体" w:eastAsia="宋体" w:cs="宋体"/>
          <w:spacing w:val="58"/>
          <w:sz w:val="18"/>
          <w:szCs w:val="18"/>
        </w:rPr>
        <w:t xml:space="preserve"> </w:t>
      </w:r>
      <w:r>
        <w:rPr>
          <w:rFonts w:ascii="宋体" w:hAnsi="宋体" w:eastAsia="宋体" w:cs="宋体"/>
          <w:spacing w:val="-7"/>
          <w:sz w:val="18"/>
          <w:szCs w:val="18"/>
        </w:rPr>
        <w:t>over diagnosis bias 115</w:t>
      </w:r>
    </w:p>
    <w:p w14:paraId="718BBD5C">
      <w:pPr>
        <w:spacing w:before="309" w:line="196" w:lineRule="auto"/>
        <w:rPr>
          <w:rFonts w:ascii="Arial" w:hAnsi="Arial" w:eastAsia="Arial" w:cs="Arial"/>
          <w:sz w:val="29"/>
          <w:szCs w:val="29"/>
        </w:rPr>
      </w:pPr>
      <w:r>
        <w:rPr>
          <w:rFonts w:ascii="Arial" w:hAnsi="Arial" w:eastAsia="Arial" w:cs="Arial"/>
          <w:sz w:val="29"/>
          <w:szCs w:val="29"/>
        </w:rPr>
        <w:t>H</w:t>
      </w:r>
    </w:p>
    <w:p w14:paraId="35BB4A1D">
      <w:pPr>
        <w:spacing w:before="206" w:line="212" w:lineRule="auto"/>
        <w:rPr>
          <w:rFonts w:ascii="Times New Roman" w:hAnsi="Times New Roman" w:eastAsia="Times New Roman" w:cs="Times New Roman"/>
          <w:sz w:val="18"/>
          <w:szCs w:val="18"/>
        </w:rPr>
      </w:pPr>
      <w:r>
        <w:rPr>
          <w:rFonts w:ascii="宋体" w:hAnsi="宋体" w:eastAsia="宋体" w:cs="宋体"/>
          <w:spacing w:val="1"/>
          <w:sz w:val="18"/>
          <w:szCs w:val="18"/>
        </w:rPr>
        <w:t>横断面分析</w:t>
      </w:r>
      <w:r>
        <w:rPr>
          <w:rFonts w:ascii="宋体" w:hAnsi="宋体" w:eastAsia="宋体" w:cs="宋体"/>
          <w:spacing w:val="62"/>
          <w:sz w:val="18"/>
          <w:szCs w:val="18"/>
        </w:rPr>
        <w:t xml:space="preserve"> </w:t>
      </w:r>
      <w:r>
        <w:rPr>
          <w:rFonts w:ascii="Times New Roman" w:hAnsi="Times New Roman" w:eastAsia="Times New Roman" w:cs="Times New Roman"/>
          <w:sz w:val="18"/>
          <w:szCs w:val="18"/>
        </w:rPr>
        <w:t>cross</w:t>
      </w:r>
      <w:r>
        <w:rPr>
          <w:rFonts w:ascii="Times New Roman" w:hAnsi="Times New Roman" w:eastAsia="Times New Roman" w:cs="Times New Roman"/>
          <w:spacing w:val="1"/>
          <w:sz w:val="18"/>
          <w:szCs w:val="18"/>
        </w:rPr>
        <w:t>-</w:t>
      </w:r>
      <w:r>
        <w:rPr>
          <w:rFonts w:ascii="Times New Roman" w:hAnsi="Times New Roman" w:eastAsia="Times New Roman" w:cs="Times New Roman"/>
          <w:sz w:val="18"/>
          <w:szCs w:val="18"/>
        </w:rPr>
        <w:t>sectional</w:t>
      </w:r>
      <w:r>
        <w:rPr>
          <w:rFonts w:ascii="Times New Roman" w:hAnsi="Times New Roman" w:eastAsia="Times New Roman" w:cs="Times New Roman"/>
          <w:spacing w:val="1"/>
          <w:sz w:val="18"/>
          <w:szCs w:val="18"/>
        </w:rPr>
        <w:t xml:space="preserve">  </w:t>
      </w:r>
      <w:r>
        <w:rPr>
          <w:rFonts w:ascii="Times New Roman" w:hAnsi="Times New Roman" w:eastAsia="Times New Roman" w:cs="Times New Roman"/>
          <w:sz w:val="18"/>
          <w:szCs w:val="18"/>
        </w:rPr>
        <w:t>analysis</w:t>
      </w:r>
      <w:r>
        <w:rPr>
          <w:rFonts w:ascii="Times New Roman" w:hAnsi="Times New Roman" w:eastAsia="Times New Roman" w:cs="Times New Roman"/>
          <w:spacing w:val="1"/>
          <w:sz w:val="18"/>
          <w:szCs w:val="18"/>
        </w:rPr>
        <w:t xml:space="preserve">   18</w:t>
      </w:r>
    </w:p>
    <w:p w14:paraId="7255AA65">
      <w:pPr>
        <w:spacing w:before="123" w:line="212" w:lineRule="auto"/>
        <w:rPr>
          <w:rFonts w:ascii="Times New Roman" w:hAnsi="Times New Roman" w:eastAsia="Times New Roman" w:cs="Times New Roman"/>
          <w:sz w:val="18"/>
          <w:szCs w:val="18"/>
        </w:rPr>
      </w:pPr>
      <w:r>
        <w:rPr>
          <w:rFonts w:ascii="宋体" w:hAnsi="宋体" w:eastAsia="宋体" w:cs="宋体"/>
          <w:spacing w:val="4"/>
          <w:sz w:val="18"/>
          <w:szCs w:val="18"/>
        </w:rPr>
        <w:t>横断面研究</w:t>
      </w:r>
      <w:r>
        <w:rPr>
          <w:rFonts w:ascii="宋体" w:hAnsi="宋体" w:eastAsia="宋体" w:cs="宋体"/>
          <w:spacing w:val="60"/>
          <w:sz w:val="18"/>
          <w:szCs w:val="18"/>
        </w:rPr>
        <w:t xml:space="preserve"> </w:t>
      </w:r>
      <w:r>
        <w:rPr>
          <w:rFonts w:ascii="Times New Roman" w:hAnsi="Times New Roman" w:eastAsia="Times New Roman" w:cs="Times New Roman"/>
          <w:sz w:val="18"/>
          <w:szCs w:val="18"/>
        </w:rPr>
        <w:t>cross</w:t>
      </w:r>
      <w:r>
        <w:rPr>
          <w:rFonts w:ascii="Times New Roman" w:hAnsi="Times New Roman" w:eastAsia="Times New Roman" w:cs="Times New Roman"/>
          <w:spacing w:val="4"/>
          <w:sz w:val="18"/>
          <w:szCs w:val="18"/>
        </w:rPr>
        <w:t>-</w:t>
      </w:r>
      <w:r>
        <w:rPr>
          <w:rFonts w:ascii="Times New Roman" w:hAnsi="Times New Roman" w:eastAsia="Times New Roman" w:cs="Times New Roman"/>
          <w:sz w:val="18"/>
          <w:szCs w:val="18"/>
        </w:rPr>
        <w:t>sectional</w:t>
      </w:r>
      <w:r>
        <w:rPr>
          <w:rFonts w:ascii="Times New Roman" w:hAnsi="Times New Roman" w:eastAsia="Times New Roman" w:cs="Times New Roman"/>
          <w:spacing w:val="4"/>
          <w:sz w:val="18"/>
          <w:szCs w:val="18"/>
        </w:rPr>
        <w:t xml:space="preserve">  </w:t>
      </w:r>
      <w:r>
        <w:rPr>
          <w:rFonts w:ascii="Times New Roman" w:hAnsi="Times New Roman" w:eastAsia="Times New Roman" w:cs="Times New Roman"/>
          <w:sz w:val="18"/>
          <w:szCs w:val="18"/>
        </w:rPr>
        <w:t>study</w:t>
      </w:r>
      <w:r>
        <w:rPr>
          <w:rFonts w:ascii="Times New Roman" w:hAnsi="Times New Roman" w:eastAsia="Times New Roman" w:cs="Times New Roman"/>
          <w:spacing w:val="10"/>
          <w:sz w:val="18"/>
          <w:szCs w:val="18"/>
        </w:rPr>
        <w:t xml:space="preserve">  </w:t>
      </w:r>
      <w:r>
        <w:rPr>
          <w:rFonts w:ascii="Times New Roman" w:hAnsi="Times New Roman" w:eastAsia="Times New Roman" w:cs="Times New Roman"/>
          <w:spacing w:val="4"/>
          <w:sz w:val="18"/>
          <w:szCs w:val="18"/>
        </w:rPr>
        <w:t>32</w:t>
      </w:r>
    </w:p>
    <w:p w14:paraId="3104F107">
      <w:pPr>
        <w:spacing w:before="123" w:line="212" w:lineRule="auto"/>
        <w:rPr>
          <w:rFonts w:ascii="Times New Roman" w:hAnsi="Times New Roman" w:eastAsia="Times New Roman" w:cs="Times New Roman"/>
          <w:sz w:val="18"/>
          <w:szCs w:val="18"/>
        </w:rPr>
      </w:pPr>
      <w:r>
        <w:rPr>
          <w:rFonts w:ascii="宋体" w:hAnsi="宋体" w:eastAsia="宋体" w:cs="宋体"/>
          <w:spacing w:val="4"/>
          <w:sz w:val="18"/>
          <w:szCs w:val="18"/>
        </w:rPr>
        <w:t>宏基因组学</w:t>
      </w:r>
      <w:r>
        <w:rPr>
          <w:rFonts w:ascii="宋体" w:hAnsi="宋体" w:eastAsia="宋体" w:cs="宋体"/>
          <w:spacing w:val="61"/>
          <w:sz w:val="18"/>
          <w:szCs w:val="18"/>
        </w:rPr>
        <w:t xml:space="preserve"> </w:t>
      </w:r>
      <w:r>
        <w:rPr>
          <w:rFonts w:ascii="Times New Roman" w:hAnsi="Times New Roman" w:eastAsia="Times New Roman" w:cs="Times New Roman"/>
          <w:sz w:val="18"/>
          <w:szCs w:val="18"/>
        </w:rPr>
        <w:t>metagenomics</w:t>
      </w:r>
      <w:r>
        <w:rPr>
          <w:rFonts w:ascii="Times New Roman" w:hAnsi="Times New Roman" w:eastAsia="Times New Roman" w:cs="Times New Roman"/>
          <w:spacing w:val="9"/>
          <w:sz w:val="18"/>
          <w:szCs w:val="18"/>
        </w:rPr>
        <w:t xml:space="preserve">   </w:t>
      </w:r>
      <w:r>
        <w:rPr>
          <w:rFonts w:ascii="Times New Roman" w:hAnsi="Times New Roman" w:eastAsia="Times New Roman" w:cs="Times New Roman"/>
          <w:spacing w:val="4"/>
          <w:sz w:val="18"/>
          <w:szCs w:val="18"/>
        </w:rPr>
        <w:t>243</w:t>
      </w:r>
    </w:p>
    <w:p w14:paraId="78688E73">
      <w:pPr>
        <w:spacing w:before="123" w:line="212" w:lineRule="auto"/>
        <w:rPr>
          <w:rFonts w:ascii="Times New Roman" w:hAnsi="Times New Roman" w:eastAsia="Times New Roman" w:cs="Times New Roman"/>
          <w:sz w:val="18"/>
          <w:szCs w:val="18"/>
        </w:rPr>
      </w:pPr>
      <w:r>
        <w:rPr>
          <w:rFonts w:ascii="宋体" w:hAnsi="宋体" w:eastAsia="宋体" w:cs="宋体"/>
          <w:sz w:val="18"/>
          <w:szCs w:val="18"/>
        </w:rPr>
        <w:t>互补病因</w:t>
      </w:r>
      <w:r>
        <w:rPr>
          <w:rFonts w:ascii="宋体" w:hAnsi="宋体" w:eastAsia="宋体" w:cs="宋体"/>
          <w:spacing w:val="73"/>
          <w:sz w:val="18"/>
          <w:szCs w:val="18"/>
        </w:rPr>
        <w:t xml:space="preserve"> </w:t>
      </w:r>
      <w:r>
        <w:rPr>
          <w:rFonts w:ascii="Times New Roman" w:hAnsi="Times New Roman" w:eastAsia="Times New Roman" w:cs="Times New Roman"/>
          <w:sz w:val="18"/>
          <w:szCs w:val="18"/>
        </w:rPr>
        <w:t>complementary  cause   125</w:t>
      </w:r>
    </w:p>
    <w:sdt>
      <w:sdtPr>
        <w:rPr>
          <w:rFonts w:ascii="宋体" w:hAnsi="宋体" w:eastAsia="宋体" w:cs="宋体"/>
          <w:sz w:val="18"/>
          <w:szCs w:val="18"/>
        </w:rPr>
        <w:id w:val="996513158"/>
        <w:docPartObj>
          <w:docPartGallery w:val="Table of Contents"/>
          <w:docPartUnique/>
        </w:docPartObj>
      </w:sdtPr>
      <w:sdtEndPr>
        <w:rPr>
          <w:rFonts w:ascii="Times New Roman" w:hAnsi="Times New Roman" w:eastAsia="Times New Roman" w:cs="Times New Roman"/>
          <w:sz w:val="18"/>
          <w:szCs w:val="18"/>
        </w:rPr>
      </w:sdtEndPr>
      <w:sdtContent>
        <w:p w14:paraId="28C75E74">
          <w:pPr>
            <w:spacing w:before="145" w:line="220" w:lineRule="auto"/>
            <w:rPr>
              <w:rFonts w:ascii="Times New Roman" w:hAnsi="Times New Roman" w:eastAsia="Times New Roman" w:cs="Times New Roman"/>
              <w:sz w:val="18"/>
              <w:szCs w:val="18"/>
            </w:rPr>
          </w:pPr>
          <w:r>
            <w:rPr>
              <w:rFonts w:ascii="宋体" w:hAnsi="宋体" w:eastAsia="宋体" w:cs="宋体"/>
              <w:spacing w:val="-1"/>
              <w:sz w:val="18"/>
              <w:szCs w:val="18"/>
            </w:rPr>
            <w:t>化学防制</w:t>
          </w:r>
          <w:r>
            <w:rPr>
              <w:rFonts w:ascii="宋体" w:hAnsi="宋体" w:eastAsia="宋体" w:cs="宋体"/>
              <w:spacing w:val="93"/>
              <w:sz w:val="18"/>
              <w:szCs w:val="18"/>
            </w:rPr>
            <w:t xml:space="preserve"> </w:t>
          </w:r>
          <w:r>
            <w:rPr>
              <w:rFonts w:ascii="Times New Roman" w:hAnsi="Times New Roman" w:eastAsia="Times New Roman" w:cs="Times New Roman"/>
              <w:spacing w:val="-1"/>
              <w:sz w:val="18"/>
              <w:szCs w:val="18"/>
            </w:rPr>
            <w:t>chemical</w:t>
          </w:r>
          <w:r>
            <w:rPr>
              <w:rFonts w:ascii="Times New Roman" w:hAnsi="Times New Roman" w:eastAsia="Times New Roman" w:cs="Times New Roman"/>
              <w:spacing w:val="12"/>
              <w:sz w:val="18"/>
              <w:szCs w:val="18"/>
            </w:rPr>
            <w:t xml:space="preserve">  </w:t>
          </w:r>
          <w:r>
            <w:rPr>
              <w:rFonts w:ascii="Times New Roman" w:hAnsi="Times New Roman" w:eastAsia="Times New Roman" w:cs="Times New Roman"/>
              <w:spacing w:val="-1"/>
              <w:sz w:val="18"/>
              <w:szCs w:val="18"/>
            </w:rPr>
            <w:t>control</w:t>
          </w:r>
          <w:r>
            <w:rPr>
              <w:rFonts w:ascii="Times New Roman" w:hAnsi="Times New Roman" w:eastAsia="Times New Roman" w:cs="Times New Roman"/>
              <w:spacing w:val="19"/>
              <w:w w:val="101"/>
              <w:sz w:val="18"/>
              <w:szCs w:val="18"/>
            </w:rPr>
            <w:t xml:space="preserve">  </w:t>
          </w:r>
          <w:r>
            <w:fldChar w:fldCharType="begin"/>
          </w:r>
          <w:r>
            <w:instrText xml:space="preserve"> HYPERLINK \l "bookmark642" </w:instrText>
          </w:r>
          <w:r>
            <w:fldChar w:fldCharType="separate"/>
          </w:r>
          <w:r>
            <w:rPr>
              <w:rFonts w:ascii="Times New Roman" w:hAnsi="Times New Roman" w:eastAsia="Times New Roman" w:cs="Times New Roman"/>
              <w:spacing w:val="-1"/>
              <w:sz w:val="18"/>
              <w:szCs w:val="18"/>
            </w:rPr>
            <w:t>182</w:t>
          </w:r>
          <w:r>
            <w:rPr>
              <w:rFonts w:ascii="Times New Roman" w:hAnsi="Times New Roman" w:eastAsia="Times New Roman" w:cs="Times New Roman"/>
              <w:spacing w:val="-1"/>
              <w:sz w:val="18"/>
              <w:szCs w:val="18"/>
            </w:rPr>
            <w:fldChar w:fldCharType="end"/>
          </w:r>
        </w:p>
        <w:p w14:paraId="57FDB27B">
          <w:pPr>
            <w:spacing w:before="116" w:line="207" w:lineRule="auto"/>
            <w:rPr>
              <w:rFonts w:ascii="Times New Roman" w:hAnsi="Times New Roman" w:eastAsia="Times New Roman" w:cs="Times New Roman"/>
              <w:sz w:val="18"/>
              <w:szCs w:val="18"/>
            </w:rPr>
          </w:pPr>
          <w:r>
            <w:rPr>
              <w:rFonts w:ascii="宋体" w:hAnsi="宋体" w:eastAsia="宋体" w:cs="宋体"/>
              <w:spacing w:val="-2"/>
              <w:sz w:val="18"/>
              <w:szCs w:val="18"/>
            </w:rPr>
            <w:t xml:space="preserve">环境  </w:t>
          </w:r>
          <w:r>
            <w:rPr>
              <w:rFonts w:ascii="Times New Roman" w:hAnsi="Times New Roman" w:eastAsia="Times New Roman" w:cs="Times New Roman"/>
              <w:spacing w:val="-2"/>
              <w:sz w:val="18"/>
              <w:szCs w:val="18"/>
            </w:rPr>
            <w:t>environment</w:t>
          </w:r>
          <w:r>
            <w:rPr>
              <w:rFonts w:ascii="Times New Roman" w:hAnsi="Times New Roman" w:eastAsia="Times New Roman" w:cs="Times New Roman"/>
              <w:spacing w:val="7"/>
              <w:sz w:val="18"/>
              <w:szCs w:val="18"/>
            </w:rPr>
            <w:t xml:space="preserve">    </w:t>
          </w:r>
          <w:r>
            <w:fldChar w:fldCharType="begin"/>
          </w:r>
          <w:r>
            <w:instrText xml:space="preserve"> HYPERLINK \l "bookmark643" </w:instrText>
          </w:r>
          <w:r>
            <w:fldChar w:fldCharType="separate"/>
          </w:r>
          <w:r>
            <w:rPr>
              <w:rFonts w:ascii="Times New Roman" w:hAnsi="Times New Roman" w:eastAsia="Times New Roman" w:cs="Times New Roman"/>
              <w:spacing w:val="-2"/>
              <w:sz w:val="18"/>
              <w:szCs w:val="18"/>
            </w:rPr>
            <w:t>120</w:t>
          </w:r>
          <w:r>
            <w:rPr>
              <w:rFonts w:ascii="Times New Roman" w:hAnsi="Times New Roman" w:eastAsia="Times New Roman" w:cs="Times New Roman"/>
              <w:spacing w:val="-2"/>
              <w:sz w:val="18"/>
              <w:szCs w:val="18"/>
            </w:rPr>
            <w:fldChar w:fldCharType="end"/>
          </w:r>
        </w:p>
      </w:sdtContent>
    </w:sdt>
    <w:p w14:paraId="65473433">
      <w:pPr>
        <w:spacing w:line="207" w:lineRule="auto"/>
        <w:rPr>
          <w:rFonts w:ascii="Times New Roman" w:hAnsi="Times New Roman" w:eastAsia="Times New Roman" w:cs="Times New Roman"/>
          <w:sz w:val="18"/>
          <w:szCs w:val="18"/>
        </w:rPr>
        <w:sectPr>
          <w:type w:val="continuous"/>
          <w:pgSz w:w="11900" w:h="16820"/>
          <w:pgMar w:top="400" w:right="1234" w:bottom="845" w:left="1370" w:header="0" w:footer="683" w:gutter="0"/>
          <w:cols w:equalWidth="0" w:num="2">
            <w:col w:w="4800" w:space="100"/>
            <w:col w:w="4396"/>
          </w:cols>
        </w:sectPr>
      </w:pPr>
    </w:p>
    <w:p w14:paraId="1BAA9E98">
      <w:pPr>
        <w:spacing w:before="95"/>
      </w:pPr>
    </w:p>
    <w:p w14:paraId="6F01363D">
      <w:pPr>
        <w:sectPr>
          <w:footerReference r:id="rId391" w:type="default"/>
          <w:pgSz w:w="11900" w:h="16820"/>
          <w:pgMar w:top="400" w:right="1235" w:bottom="765" w:left="1229" w:header="0" w:footer="603" w:gutter="0"/>
          <w:cols w:equalWidth="0" w:num="1">
            <w:col w:w="9435"/>
          </w:cols>
        </w:sectPr>
      </w:pPr>
    </w:p>
    <w:p w14:paraId="474044BB">
      <w:pPr>
        <w:pStyle w:val="2"/>
        <w:spacing w:before="36" w:line="222" w:lineRule="auto"/>
        <w:ind w:left="2"/>
        <w:rPr>
          <w:sz w:val="18"/>
          <w:szCs w:val="18"/>
        </w:rPr>
      </w:pPr>
      <w:r>
        <w:rPr>
          <w:b/>
          <w:bCs/>
          <w:spacing w:val="-13"/>
          <w:sz w:val="18"/>
          <w:szCs w:val="18"/>
        </w:rPr>
        <w:t>中英文名词对照索引</w:t>
      </w:r>
    </w:p>
    <w:p w14:paraId="5492695E">
      <w:pPr>
        <w:spacing w:line="278" w:lineRule="auto"/>
        <w:rPr>
          <w:rFonts w:ascii="Arial"/>
          <w:sz w:val="21"/>
        </w:rPr>
      </w:pPr>
    </w:p>
    <w:p w14:paraId="5A8FA7C6">
      <w:pPr>
        <w:spacing w:line="278" w:lineRule="auto"/>
        <w:rPr>
          <w:rFonts w:ascii="Arial"/>
          <w:sz w:val="21"/>
        </w:rPr>
      </w:pPr>
    </w:p>
    <w:sdt>
      <w:sdtPr>
        <w:rPr>
          <w:rFonts w:ascii="宋体" w:hAnsi="宋体" w:eastAsia="宋体" w:cs="宋体"/>
          <w:sz w:val="18"/>
          <w:szCs w:val="18"/>
        </w:rPr>
        <w:id w:val="171683553"/>
        <w:docPartObj>
          <w:docPartGallery w:val="Table of Contents"/>
          <w:docPartUnique/>
        </w:docPartObj>
      </w:sdtPr>
      <w:sdtEndPr>
        <w:rPr>
          <w:rFonts w:ascii="Times New Roman" w:hAnsi="Times New Roman" w:eastAsia="Times New Roman" w:cs="Times New Roman"/>
          <w:sz w:val="18"/>
          <w:szCs w:val="18"/>
        </w:rPr>
      </w:sdtEndPr>
      <w:sdtContent>
        <w:p w14:paraId="05F52702">
          <w:pPr>
            <w:spacing w:before="58" w:line="220" w:lineRule="auto"/>
            <w:rPr>
              <w:rFonts w:ascii="Times New Roman" w:hAnsi="Times New Roman" w:eastAsia="Times New Roman" w:cs="Times New Roman"/>
              <w:sz w:val="18"/>
              <w:szCs w:val="18"/>
            </w:rPr>
          </w:pPr>
          <w:r>
            <w:rPr>
              <w:rFonts w:ascii="宋体" w:hAnsi="宋体" w:eastAsia="宋体" w:cs="宋体"/>
              <w:spacing w:val="3"/>
              <w:sz w:val="18"/>
              <w:szCs w:val="18"/>
            </w:rPr>
            <w:t>环境防制</w:t>
          </w:r>
          <w:r>
            <w:rPr>
              <w:rFonts w:ascii="宋体" w:hAnsi="宋体" w:eastAsia="宋体" w:cs="宋体"/>
              <w:spacing w:val="87"/>
              <w:sz w:val="18"/>
              <w:szCs w:val="18"/>
            </w:rPr>
            <w:t xml:space="preserve"> </w:t>
          </w:r>
          <w:r>
            <w:rPr>
              <w:rFonts w:ascii="Times New Roman" w:hAnsi="Times New Roman" w:eastAsia="Times New Roman" w:cs="Times New Roman"/>
              <w:sz w:val="18"/>
              <w:szCs w:val="18"/>
            </w:rPr>
            <w:t>environment</w:t>
          </w:r>
          <w:r>
            <w:rPr>
              <w:rFonts w:ascii="Times New Roman" w:hAnsi="Times New Roman" w:eastAsia="Times New Roman" w:cs="Times New Roman"/>
              <w:spacing w:val="3"/>
              <w:sz w:val="18"/>
              <w:szCs w:val="18"/>
            </w:rPr>
            <w:t xml:space="preserve">   </w:t>
          </w:r>
          <w:r>
            <w:rPr>
              <w:rFonts w:ascii="Times New Roman" w:hAnsi="Times New Roman" w:eastAsia="Times New Roman" w:cs="Times New Roman"/>
              <w:sz w:val="18"/>
              <w:szCs w:val="18"/>
            </w:rPr>
            <w:t>control</w:t>
          </w:r>
          <w:r>
            <w:rPr>
              <w:rFonts w:ascii="Times New Roman" w:hAnsi="Times New Roman" w:eastAsia="Times New Roman" w:cs="Times New Roman"/>
              <w:spacing w:val="10"/>
              <w:sz w:val="18"/>
              <w:szCs w:val="18"/>
            </w:rPr>
            <w:t xml:space="preserve">   </w:t>
          </w:r>
          <w:r>
            <w:fldChar w:fldCharType="begin"/>
          </w:r>
          <w:r>
            <w:instrText xml:space="preserve"> HYPERLINK \l "bookmark644" </w:instrText>
          </w:r>
          <w:r>
            <w:fldChar w:fldCharType="separate"/>
          </w:r>
          <w:r>
            <w:rPr>
              <w:rFonts w:ascii="Times New Roman" w:hAnsi="Times New Roman" w:eastAsia="Times New Roman" w:cs="Times New Roman"/>
              <w:spacing w:val="3"/>
              <w:sz w:val="18"/>
              <w:szCs w:val="18"/>
            </w:rPr>
            <w:t>181</w:t>
          </w:r>
          <w:r>
            <w:rPr>
              <w:rFonts w:ascii="Times New Roman" w:hAnsi="Times New Roman" w:eastAsia="Times New Roman" w:cs="Times New Roman"/>
              <w:spacing w:val="3"/>
              <w:sz w:val="18"/>
              <w:szCs w:val="18"/>
            </w:rPr>
            <w:fldChar w:fldCharType="end"/>
          </w:r>
        </w:p>
        <w:p w14:paraId="7956C13B">
          <w:pPr>
            <w:spacing w:before="114" w:line="212" w:lineRule="auto"/>
            <w:rPr>
              <w:rFonts w:ascii="Times New Roman" w:hAnsi="Times New Roman" w:eastAsia="Times New Roman" w:cs="Times New Roman"/>
              <w:sz w:val="18"/>
              <w:szCs w:val="18"/>
            </w:rPr>
          </w:pPr>
          <w:r>
            <w:rPr>
              <w:rFonts w:ascii="宋体" w:hAnsi="宋体" w:eastAsia="宋体" w:cs="宋体"/>
              <w:spacing w:val="3"/>
              <w:sz w:val="18"/>
              <w:szCs w:val="18"/>
            </w:rPr>
            <w:t>患病率</w:t>
          </w:r>
          <w:r>
            <w:rPr>
              <w:rFonts w:ascii="宋体" w:hAnsi="宋体" w:eastAsia="宋体" w:cs="宋体"/>
              <w:spacing w:val="52"/>
              <w:w w:val="101"/>
              <w:sz w:val="18"/>
              <w:szCs w:val="18"/>
            </w:rPr>
            <w:t xml:space="preserve"> </w:t>
          </w:r>
          <w:r>
            <w:rPr>
              <w:rFonts w:ascii="Times New Roman" w:hAnsi="Times New Roman" w:eastAsia="Times New Roman" w:cs="Times New Roman"/>
              <w:sz w:val="18"/>
              <w:szCs w:val="18"/>
            </w:rPr>
            <w:t>prevalence</w:t>
          </w:r>
          <w:r>
            <w:rPr>
              <w:rFonts w:ascii="Times New Roman" w:hAnsi="Times New Roman" w:eastAsia="Times New Roman" w:cs="Times New Roman"/>
              <w:spacing w:val="3"/>
              <w:sz w:val="18"/>
              <w:szCs w:val="18"/>
            </w:rPr>
            <w:t xml:space="preserve">      </w:t>
          </w:r>
          <w:r>
            <w:fldChar w:fldCharType="begin"/>
          </w:r>
          <w:r>
            <w:instrText xml:space="preserve"> HYPERLINK \l "bookmark645" </w:instrText>
          </w:r>
          <w:r>
            <w:fldChar w:fldCharType="separate"/>
          </w:r>
          <w:r>
            <w:rPr>
              <w:rFonts w:ascii="Times New Roman" w:hAnsi="Times New Roman" w:eastAsia="Times New Roman" w:cs="Times New Roman"/>
              <w:spacing w:val="3"/>
              <w:sz w:val="18"/>
              <w:szCs w:val="18"/>
            </w:rPr>
            <w:t>12</w:t>
          </w:r>
          <w:r>
            <w:rPr>
              <w:rFonts w:ascii="Times New Roman" w:hAnsi="Times New Roman" w:eastAsia="Times New Roman" w:cs="Times New Roman"/>
              <w:spacing w:val="3"/>
              <w:sz w:val="18"/>
              <w:szCs w:val="18"/>
            </w:rPr>
            <w:fldChar w:fldCharType="end"/>
          </w:r>
        </w:p>
      </w:sdtContent>
    </w:sdt>
    <w:p w14:paraId="43C383FF">
      <w:pPr>
        <w:spacing w:before="143" w:line="212" w:lineRule="auto"/>
        <w:rPr>
          <w:rFonts w:ascii="Times New Roman" w:hAnsi="Times New Roman" w:eastAsia="Times New Roman" w:cs="Times New Roman"/>
          <w:sz w:val="18"/>
          <w:szCs w:val="18"/>
        </w:rPr>
      </w:pPr>
      <w:r>
        <w:rPr>
          <w:rFonts w:ascii="宋体" w:hAnsi="宋体" w:eastAsia="宋体" w:cs="宋体"/>
          <w:spacing w:val="5"/>
          <w:sz w:val="18"/>
          <w:szCs w:val="18"/>
        </w:rPr>
        <w:t>患病率研究</w:t>
      </w:r>
      <w:r>
        <w:rPr>
          <w:rFonts w:ascii="宋体" w:hAnsi="宋体" w:eastAsia="宋体" w:cs="宋体"/>
          <w:spacing w:val="70"/>
          <w:sz w:val="18"/>
          <w:szCs w:val="18"/>
        </w:rPr>
        <w:t xml:space="preserve"> </w:t>
      </w:r>
      <w:r>
        <w:rPr>
          <w:rFonts w:ascii="Times New Roman" w:hAnsi="Times New Roman" w:eastAsia="Times New Roman" w:cs="Times New Roman"/>
          <w:sz w:val="18"/>
          <w:szCs w:val="18"/>
        </w:rPr>
        <w:t>prevalence</w:t>
      </w:r>
      <w:r>
        <w:rPr>
          <w:rFonts w:ascii="Times New Roman" w:hAnsi="Times New Roman" w:eastAsia="Times New Roman" w:cs="Times New Roman"/>
          <w:spacing w:val="9"/>
          <w:sz w:val="18"/>
          <w:szCs w:val="18"/>
        </w:rPr>
        <w:t xml:space="preserve">   </w:t>
      </w:r>
      <w:r>
        <w:rPr>
          <w:rFonts w:ascii="Times New Roman" w:hAnsi="Times New Roman" w:eastAsia="Times New Roman" w:cs="Times New Roman"/>
          <w:sz w:val="18"/>
          <w:szCs w:val="18"/>
        </w:rPr>
        <w:t>study</w:t>
      </w:r>
      <w:r>
        <w:rPr>
          <w:rFonts w:ascii="Times New Roman" w:hAnsi="Times New Roman" w:eastAsia="Times New Roman" w:cs="Times New Roman"/>
          <w:spacing w:val="9"/>
          <w:sz w:val="18"/>
          <w:szCs w:val="18"/>
        </w:rPr>
        <w:t xml:space="preserve">   </w:t>
      </w:r>
      <w:r>
        <w:rPr>
          <w:rFonts w:ascii="Times New Roman" w:hAnsi="Times New Roman" w:eastAsia="Times New Roman" w:cs="Times New Roman"/>
          <w:spacing w:val="5"/>
          <w:sz w:val="18"/>
          <w:szCs w:val="18"/>
        </w:rPr>
        <w:t>32</w:t>
      </w:r>
    </w:p>
    <w:sdt>
      <w:sdtPr>
        <w:rPr>
          <w:rFonts w:ascii="宋体" w:hAnsi="宋体" w:eastAsia="宋体" w:cs="宋体"/>
          <w:sz w:val="18"/>
          <w:szCs w:val="18"/>
        </w:rPr>
        <w:id w:val="414937350"/>
        <w:docPartObj>
          <w:docPartGallery w:val="Table of Contents"/>
          <w:docPartUnique/>
        </w:docPartObj>
      </w:sdtPr>
      <w:sdtEndPr>
        <w:rPr>
          <w:rFonts w:ascii="Times New Roman" w:hAnsi="Times New Roman" w:eastAsia="Times New Roman" w:cs="Times New Roman"/>
          <w:sz w:val="18"/>
          <w:szCs w:val="18"/>
        </w:rPr>
      </w:sdtEndPr>
      <w:sdtContent>
        <w:p w14:paraId="0C99A8D3">
          <w:pPr>
            <w:spacing w:before="143" w:line="212" w:lineRule="auto"/>
            <w:rPr>
              <w:rFonts w:ascii="Times New Roman" w:hAnsi="Times New Roman" w:eastAsia="Times New Roman" w:cs="Times New Roman"/>
              <w:sz w:val="18"/>
              <w:szCs w:val="18"/>
            </w:rPr>
          </w:pPr>
          <w:r>
            <w:rPr>
              <w:rFonts w:ascii="宋体" w:hAnsi="宋体" w:eastAsia="宋体" w:cs="宋体"/>
              <w:spacing w:val="2"/>
              <w:sz w:val="18"/>
              <w:szCs w:val="18"/>
            </w:rPr>
            <w:t>恢复期</w:t>
          </w:r>
          <w:r>
            <w:rPr>
              <w:rFonts w:ascii="宋体" w:hAnsi="宋体" w:eastAsia="宋体" w:cs="宋体"/>
              <w:spacing w:val="71"/>
              <w:w w:val="101"/>
              <w:sz w:val="18"/>
              <w:szCs w:val="18"/>
            </w:rPr>
            <w:t xml:space="preserve"> </w:t>
          </w:r>
          <w:r>
            <w:rPr>
              <w:rFonts w:ascii="Times New Roman" w:hAnsi="Times New Roman" w:eastAsia="Times New Roman" w:cs="Times New Roman"/>
              <w:sz w:val="18"/>
              <w:szCs w:val="18"/>
            </w:rPr>
            <w:t>convalescence</w:t>
          </w:r>
          <w:r>
            <w:rPr>
              <w:rFonts w:ascii="Times New Roman" w:hAnsi="Times New Roman" w:eastAsia="Times New Roman" w:cs="Times New Roman"/>
              <w:spacing w:val="12"/>
              <w:w w:val="101"/>
              <w:sz w:val="18"/>
              <w:szCs w:val="18"/>
            </w:rPr>
            <w:t xml:space="preserve">   </w:t>
          </w:r>
          <w:r>
            <w:rPr>
              <w:rFonts w:ascii="Times New Roman" w:hAnsi="Times New Roman" w:eastAsia="Times New Roman" w:cs="Times New Roman"/>
              <w:sz w:val="18"/>
              <w:szCs w:val="18"/>
            </w:rPr>
            <w:t>period</w:t>
          </w:r>
          <w:r>
            <w:rPr>
              <w:rFonts w:ascii="Times New Roman" w:hAnsi="Times New Roman" w:eastAsia="Times New Roman" w:cs="Times New Roman"/>
              <w:spacing w:val="2"/>
              <w:sz w:val="18"/>
              <w:szCs w:val="18"/>
            </w:rPr>
            <w:t xml:space="preserve">    </w:t>
          </w:r>
          <w:r>
            <w:fldChar w:fldCharType="begin"/>
          </w:r>
          <w:r>
            <w:instrText xml:space="preserve"> HYPERLINK \l "bookmark646" </w:instrText>
          </w:r>
          <w:r>
            <w:fldChar w:fldCharType="separate"/>
          </w:r>
          <w:r>
            <w:rPr>
              <w:rFonts w:ascii="Times New Roman" w:hAnsi="Times New Roman" w:eastAsia="Times New Roman" w:cs="Times New Roman"/>
              <w:spacing w:val="2"/>
              <w:sz w:val="18"/>
              <w:szCs w:val="18"/>
            </w:rPr>
            <w:t>159</w:t>
          </w:r>
          <w:r>
            <w:rPr>
              <w:rFonts w:ascii="Times New Roman" w:hAnsi="Times New Roman" w:eastAsia="Times New Roman" w:cs="Times New Roman"/>
              <w:spacing w:val="2"/>
              <w:sz w:val="18"/>
              <w:szCs w:val="18"/>
            </w:rPr>
            <w:fldChar w:fldCharType="end"/>
          </w:r>
        </w:p>
        <w:p w14:paraId="4F2F6DB9">
          <w:pPr>
            <w:spacing w:before="164" w:line="219" w:lineRule="auto"/>
            <w:rPr>
              <w:rFonts w:ascii="Times New Roman" w:hAnsi="Times New Roman" w:eastAsia="Times New Roman" w:cs="Times New Roman"/>
              <w:sz w:val="18"/>
              <w:szCs w:val="18"/>
            </w:rPr>
          </w:pPr>
          <w:r>
            <w:rPr>
              <w:rFonts w:ascii="宋体" w:hAnsi="宋体" w:eastAsia="宋体" w:cs="宋体"/>
              <w:spacing w:val="2"/>
              <w:sz w:val="18"/>
              <w:szCs w:val="18"/>
            </w:rPr>
            <w:t>恢复期病原携带者</w:t>
          </w:r>
          <w:r>
            <w:rPr>
              <w:rFonts w:ascii="宋体" w:hAnsi="宋体" w:eastAsia="宋体" w:cs="宋体"/>
              <w:spacing w:val="96"/>
              <w:sz w:val="18"/>
              <w:szCs w:val="18"/>
            </w:rPr>
            <w:t xml:space="preserve"> </w:t>
          </w:r>
          <w:r>
            <w:rPr>
              <w:rFonts w:ascii="Times New Roman" w:hAnsi="Times New Roman" w:eastAsia="Times New Roman" w:cs="Times New Roman"/>
              <w:sz w:val="18"/>
              <w:szCs w:val="18"/>
            </w:rPr>
            <w:t>convalescent</w:t>
          </w:r>
          <w:r>
            <w:rPr>
              <w:rFonts w:ascii="Times New Roman" w:hAnsi="Times New Roman" w:eastAsia="Times New Roman" w:cs="Times New Roman"/>
              <w:spacing w:val="2"/>
              <w:sz w:val="18"/>
              <w:szCs w:val="18"/>
            </w:rPr>
            <w:t xml:space="preserve">    </w:t>
          </w:r>
          <w:r>
            <w:rPr>
              <w:rFonts w:ascii="Times New Roman" w:hAnsi="Times New Roman" w:eastAsia="Times New Roman" w:cs="Times New Roman"/>
              <w:sz w:val="18"/>
              <w:szCs w:val="18"/>
            </w:rPr>
            <w:t>carrier</w:t>
          </w:r>
          <w:r>
            <w:rPr>
              <w:rFonts w:ascii="Times New Roman" w:hAnsi="Times New Roman" w:eastAsia="Times New Roman" w:cs="Times New Roman"/>
              <w:spacing w:val="2"/>
              <w:sz w:val="18"/>
              <w:szCs w:val="18"/>
            </w:rPr>
            <w:t xml:space="preserve">    </w:t>
          </w:r>
          <w:r>
            <w:fldChar w:fldCharType="begin"/>
          </w:r>
          <w:r>
            <w:instrText xml:space="preserve"> HYPERLINK \l "bookmark647" </w:instrText>
          </w:r>
          <w:r>
            <w:fldChar w:fldCharType="separate"/>
          </w:r>
          <w:r>
            <w:rPr>
              <w:rFonts w:ascii="Times New Roman" w:hAnsi="Times New Roman" w:eastAsia="Times New Roman" w:cs="Times New Roman"/>
              <w:spacing w:val="2"/>
              <w:sz w:val="18"/>
              <w:szCs w:val="18"/>
            </w:rPr>
            <w:t>159</w:t>
          </w:r>
          <w:r>
            <w:rPr>
              <w:rFonts w:ascii="Times New Roman" w:hAnsi="Times New Roman" w:eastAsia="Times New Roman" w:cs="Times New Roman"/>
              <w:spacing w:val="2"/>
              <w:sz w:val="18"/>
              <w:szCs w:val="18"/>
            </w:rPr>
            <w:fldChar w:fldCharType="end"/>
          </w:r>
        </w:p>
        <w:p w14:paraId="0524039D">
          <w:pPr>
            <w:spacing w:before="137" w:line="219" w:lineRule="auto"/>
            <w:rPr>
              <w:rFonts w:ascii="Times New Roman" w:hAnsi="Times New Roman" w:eastAsia="Times New Roman" w:cs="Times New Roman"/>
              <w:sz w:val="18"/>
              <w:szCs w:val="18"/>
            </w:rPr>
          </w:pPr>
          <w:r>
            <w:rPr>
              <w:rFonts w:ascii="宋体" w:hAnsi="宋体" w:eastAsia="宋体" w:cs="宋体"/>
              <w:spacing w:val="2"/>
              <w:sz w:val="18"/>
              <w:szCs w:val="18"/>
            </w:rPr>
            <w:t>回忆偏倚</w:t>
          </w:r>
          <w:r>
            <w:rPr>
              <w:rFonts w:ascii="宋体" w:hAnsi="宋体" w:eastAsia="宋体" w:cs="宋体"/>
              <w:spacing w:val="71"/>
              <w:sz w:val="18"/>
              <w:szCs w:val="18"/>
            </w:rPr>
            <w:t xml:space="preserve"> </w:t>
          </w:r>
          <w:r>
            <w:rPr>
              <w:rFonts w:ascii="Times New Roman" w:hAnsi="Times New Roman" w:eastAsia="Times New Roman" w:cs="Times New Roman"/>
              <w:sz w:val="18"/>
              <w:szCs w:val="18"/>
            </w:rPr>
            <w:t>recall</w:t>
          </w:r>
          <w:r>
            <w:rPr>
              <w:rFonts w:ascii="Times New Roman" w:hAnsi="Times New Roman" w:eastAsia="Times New Roman" w:cs="Times New Roman"/>
              <w:spacing w:val="8"/>
              <w:sz w:val="18"/>
              <w:szCs w:val="18"/>
            </w:rPr>
            <w:t xml:space="preserve">   </w:t>
          </w:r>
          <w:r>
            <w:rPr>
              <w:rFonts w:ascii="Times New Roman" w:hAnsi="Times New Roman" w:eastAsia="Times New Roman" w:cs="Times New Roman"/>
              <w:sz w:val="18"/>
              <w:szCs w:val="18"/>
            </w:rPr>
            <w:t>bias</w:t>
          </w:r>
          <w:r>
            <w:rPr>
              <w:rFonts w:ascii="Times New Roman" w:hAnsi="Times New Roman" w:eastAsia="Times New Roman" w:cs="Times New Roman"/>
              <w:spacing w:val="11"/>
              <w:sz w:val="18"/>
              <w:szCs w:val="18"/>
            </w:rPr>
            <w:t xml:space="preserve">   </w:t>
          </w:r>
          <w:r>
            <w:fldChar w:fldCharType="begin"/>
          </w:r>
          <w:r>
            <w:instrText xml:space="preserve"> HYPERLINK \l "bookmark648" </w:instrText>
          </w:r>
          <w:r>
            <w:fldChar w:fldCharType="separate"/>
          </w:r>
          <w:r>
            <w:rPr>
              <w:rFonts w:ascii="Times New Roman" w:hAnsi="Times New Roman" w:eastAsia="Times New Roman" w:cs="Times New Roman"/>
              <w:spacing w:val="2"/>
              <w:sz w:val="18"/>
              <w:szCs w:val="18"/>
            </w:rPr>
            <w:t>79</w:t>
          </w:r>
          <w:r>
            <w:rPr>
              <w:rFonts w:ascii="Times New Roman" w:hAnsi="Times New Roman" w:eastAsia="Times New Roman" w:cs="Times New Roman"/>
              <w:spacing w:val="2"/>
              <w:sz w:val="18"/>
              <w:szCs w:val="18"/>
            </w:rPr>
            <w:fldChar w:fldCharType="end"/>
          </w:r>
        </w:p>
      </w:sdtContent>
    </w:sdt>
    <w:p w14:paraId="6D9CC248">
      <w:pPr>
        <w:spacing w:before="115" w:line="212" w:lineRule="auto"/>
        <w:rPr>
          <w:rFonts w:ascii="Times New Roman" w:hAnsi="Times New Roman" w:eastAsia="Times New Roman" w:cs="Times New Roman"/>
          <w:sz w:val="18"/>
          <w:szCs w:val="18"/>
        </w:rPr>
      </w:pPr>
      <w:r>
        <w:rPr>
          <w:rFonts w:ascii="宋体" w:hAnsi="宋体" w:eastAsia="宋体" w:cs="宋体"/>
          <w:spacing w:val="3"/>
          <w:sz w:val="18"/>
          <w:szCs w:val="18"/>
        </w:rPr>
        <w:t>混杂偏倚</w:t>
      </w:r>
      <w:r>
        <w:rPr>
          <w:rFonts w:ascii="宋体" w:hAnsi="宋体" w:eastAsia="宋体" w:cs="宋体"/>
          <w:spacing w:val="71"/>
          <w:sz w:val="18"/>
          <w:szCs w:val="18"/>
        </w:rPr>
        <w:t xml:space="preserve"> </w:t>
      </w:r>
      <w:r>
        <w:rPr>
          <w:rFonts w:ascii="Times New Roman" w:hAnsi="Times New Roman" w:eastAsia="Times New Roman" w:cs="Times New Roman"/>
          <w:sz w:val="18"/>
          <w:szCs w:val="18"/>
        </w:rPr>
        <w:t>confounding</w:t>
      </w:r>
      <w:r>
        <w:rPr>
          <w:rFonts w:ascii="Times New Roman" w:hAnsi="Times New Roman" w:eastAsia="Times New Roman" w:cs="Times New Roman"/>
          <w:spacing w:val="3"/>
          <w:sz w:val="18"/>
          <w:szCs w:val="18"/>
        </w:rPr>
        <w:t xml:space="preserve">    </w:t>
      </w:r>
      <w:r>
        <w:rPr>
          <w:rFonts w:ascii="Times New Roman" w:hAnsi="Times New Roman" w:eastAsia="Times New Roman" w:cs="Times New Roman"/>
          <w:sz w:val="18"/>
          <w:szCs w:val="18"/>
        </w:rPr>
        <w:t>bias</w:t>
      </w:r>
      <w:r>
        <w:rPr>
          <w:rFonts w:ascii="Times New Roman" w:hAnsi="Times New Roman" w:eastAsia="Times New Roman" w:cs="Times New Roman"/>
          <w:spacing w:val="3"/>
          <w:sz w:val="18"/>
          <w:szCs w:val="18"/>
        </w:rPr>
        <w:t xml:space="preserve">    60,80</w:t>
      </w:r>
    </w:p>
    <w:p w14:paraId="45151A50">
      <w:pPr>
        <w:spacing w:before="144" w:line="212" w:lineRule="auto"/>
        <w:rPr>
          <w:rFonts w:ascii="Times New Roman" w:hAnsi="Times New Roman" w:eastAsia="Times New Roman" w:cs="Times New Roman"/>
          <w:sz w:val="18"/>
          <w:szCs w:val="18"/>
        </w:rPr>
      </w:pPr>
      <w:r>
        <w:rPr>
          <w:rFonts w:ascii="宋体" w:hAnsi="宋体" w:eastAsia="宋体" w:cs="宋体"/>
          <w:spacing w:val="3"/>
          <w:sz w:val="18"/>
          <w:szCs w:val="18"/>
        </w:rPr>
        <w:t>混杂因素</w:t>
      </w:r>
      <w:r>
        <w:rPr>
          <w:rFonts w:ascii="宋体" w:hAnsi="宋体" w:eastAsia="宋体" w:cs="宋体"/>
          <w:spacing w:val="72"/>
          <w:sz w:val="18"/>
          <w:szCs w:val="18"/>
        </w:rPr>
        <w:t xml:space="preserve"> </w:t>
      </w:r>
      <w:r>
        <w:rPr>
          <w:rFonts w:ascii="Times New Roman" w:hAnsi="Times New Roman" w:eastAsia="Times New Roman" w:cs="Times New Roman"/>
          <w:sz w:val="18"/>
          <w:szCs w:val="18"/>
        </w:rPr>
        <w:t>confounding</w:t>
      </w:r>
      <w:r>
        <w:rPr>
          <w:rFonts w:ascii="Times New Roman" w:hAnsi="Times New Roman" w:eastAsia="Times New Roman" w:cs="Times New Roman"/>
          <w:spacing w:val="8"/>
          <w:sz w:val="18"/>
          <w:szCs w:val="18"/>
        </w:rPr>
        <w:t xml:space="preserve">   </w:t>
      </w:r>
      <w:r>
        <w:rPr>
          <w:rFonts w:ascii="Times New Roman" w:hAnsi="Times New Roman" w:eastAsia="Times New Roman" w:cs="Times New Roman"/>
          <w:sz w:val="18"/>
          <w:szCs w:val="18"/>
        </w:rPr>
        <w:t>factor</w:t>
      </w:r>
      <w:r>
        <w:rPr>
          <w:rFonts w:ascii="Times New Roman" w:hAnsi="Times New Roman" w:eastAsia="Times New Roman" w:cs="Times New Roman"/>
          <w:spacing w:val="9"/>
          <w:sz w:val="18"/>
          <w:szCs w:val="18"/>
        </w:rPr>
        <w:t xml:space="preserve">   </w:t>
      </w:r>
      <w:r>
        <w:rPr>
          <w:rFonts w:ascii="Times New Roman" w:hAnsi="Times New Roman" w:eastAsia="Times New Roman" w:cs="Times New Roman"/>
          <w:spacing w:val="3"/>
          <w:sz w:val="18"/>
          <w:szCs w:val="18"/>
        </w:rPr>
        <w:t>80</w:t>
      </w:r>
    </w:p>
    <w:p w14:paraId="712CBC25">
      <w:pPr>
        <w:spacing w:before="164" w:line="220" w:lineRule="auto"/>
        <w:rPr>
          <w:rFonts w:ascii="Times New Roman" w:hAnsi="Times New Roman" w:eastAsia="Times New Roman" w:cs="Times New Roman"/>
          <w:sz w:val="18"/>
          <w:szCs w:val="18"/>
        </w:rPr>
      </w:pPr>
      <w:r>
        <w:rPr>
          <w:rFonts w:ascii="宋体" w:hAnsi="宋体" w:eastAsia="宋体" w:cs="宋体"/>
          <w:spacing w:val="3"/>
          <w:sz w:val="18"/>
          <w:szCs w:val="18"/>
        </w:rPr>
        <w:t>霍乱</w:t>
      </w:r>
      <w:r>
        <w:rPr>
          <w:rFonts w:ascii="宋体" w:hAnsi="宋体" w:eastAsia="宋体" w:cs="宋体"/>
          <w:spacing w:val="62"/>
          <w:sz w:val="18"/>
          <w:szCs w:val="18"/>
        </w:rPr>
        <w:t xml:space="preserve"> </w:t>
      </w:r>
      <w:r>
        <w:rPr>
          <w:rFonts w:ascii="Times New Roman" w:hAnsi="Times New Roman" w:eastAsia="Times New Roman" w:cs="Times New Roman"/>
          <w:sz w:val="18"/>
          <w:szCs w:val="18"/>
        </w:rPr>
        <w:t xml:space="preserve">cholera      </w:t>
      </w:r>
      <w:r>
        <w:rPr>
          <w:rFonts w:ascii="Times New Roman" w:hAnsi="Times New Roman" w:eastAsia="Times New Roman" w:cs="Times New Roman"/>
          <w:spacing w:val="3"/>
          <w:sz w:val="18"/>
          <w:szCs w:val="18"/>
        </w:rPr>
        <w:t>316</w:t>
      </w:r>
    </w:p>
    <w:p w14:paraId="727E4840">
      <w:pPr>
        <w:spacing w:before="156" w:line="220" w:lineRule="auto"/>
        <w:rPr>
          <w:rFonts w:ascii="Times New Roman" w:hAnsi="Times New Roman" w:eastAsia="Times New Roman" w:cs="Times New Roman"/>
          <w:sz w:val="18"/>
          <w:szCs w:val="18"/>
        </w:rPr>
      </w:pPr>
      <w:r>
        <w:rPr>
          <w:rFonts w:ascii="宋体" w:hAnsi="宋体" w:eastAsia="宋体" w:cs="宋体"/>
          <w:spacing w:val="3"/>
          <w:sz w:val="18"/>
          <w:szCs w:val="18"/>
        </w:rPr>
        <w:t>霍桑效应</w:t>
      </w:r>
      <w:r>
        <w:rPr>
          <w:rFonts w:ascii="宋体" w:hAnsi="宋体" w:eastAsia="宋体" w:cs="宋体"/>
          <w:spacing w:val="66"/>
          <w:sz w:val="18"/>
          <w:szCs w:val="18"/>
        </w:rPr>
        <w:t xml:space="preserve"> </w:t>
      </w:r>
      <w:r>
        <w:rPr>
          <w:rFonts w:ascii="Times New Roman" w:hAnsi="Times New Roman" w:eastAsia="Times New Roman" w:cs="Times New Roman"/>
          <w:sz w:val="18"/>
          <w:szCs w:val="18"/>
        </w:rPr>
        <w:t>Hawthorme</w:t>
      </w:r>
      <w:r>
        <w:rPr>
          <w:rFonts w:ascii="Times New Roman" w:hAnsi="Times New Roman" w:eastAsia="Times New Roman" w:cs="Times New Roman"/>
          <w:spacing w:val="20"/>
          <w:w w:val="101"/>
          <w:sz w:val="18"/>
          <w:szCs w:val="18"/>
        </w:rPr>
        <w:t xml:space="preserve">  </w:t>
      </w:r>
      <w:r>
        <w:rPr>
          <w:rFonts w:ascii="Times New Roman" w:hAnsi="Times New Roman" w:eastAsia="Times New Roman" w:cs="Times New Roman"/>
          <w:sz w:val="18"/>
          <w:szCs w:val="18"/>
        </w:rPr>
        <w:t>effect</w:t>
      </w:r>
      <w:r>
        <w:rPr>
          <w:rFonts w:ascii="Times New Roman" w:hAnsi="Times New Roman" w:eastAsia="Times New Roman" w:cs="Times New Roman"/>
          <w:spacing w:val="20"/>
          <w:sz w:val="18"/>
          <w:szCs w:val="18"/>
        </w:rPr>
        <w:t xml:space="preserve">  </w:t>
      </w:r>
      <w:r>
        <w:rPr>
          <w:rFonts w:ascii="Times New Roman" w:hAnsi="Times New Roman" w:eastAsia="Times New Roman" w:cs="Times New Roman"/>
          <w:spacing w:val="3"/>
          <w:sz w:val="18"/>
          <w:szCs w:val="18"/>
        </w:rPr>
        <w:t>91</w:t>
      </w:r>
    </w:p>
    <w:p w14:paraId="2CB50380">
      <w:pPr>
        <w:spacing w:line="403" w:lineRule="auto"/>
        <w:rPr>
          <w:rFonts w:ascii="Arial"/>
          <w:sz w:val="21"/>
        </w:rPr>
      </w:pPr>
    </w:p>
    <w:sdt>
      <w:sdtPr>
        <w:rPr>
          <w:rFonts w:ascii="宋体" w:hAnsi="宋体" w:eastAsia="宋体" w:cs="宋体"/>
          <w:sz w:val="18"/>
          <w:szCs w:val="18"/>
        </w:rPr>
        <w:id w:val="765618219"/>
        <w:docPartObj>
          <w:docPartGallery w:val="Table of Contents"/>
          <w:docPartUnique/>
        </w:docPartObj>
      </w:sdtPr>
      <w:sdtEndPr>
        <w:rPr>
          <w:rFonts w:ascii="Times New Roman" w:hAnsi="Times New Roman" w:eastAsia="Times New Roman" w:cs="Times New Roman"/>
          <w:sz w:val="18"/>
          <w:szCs w:val="18"/>
        </w:rPr>
      </w:sdtEndPr>
      <w:sdtContent>
        <w:p w14:paraId="3F82C16C">
          <w:pPr>
            <w:spacing w:before="58" w:line="212" w:lineRule="auto"/>
            <w:rPr>
              <w:rFonts w:ascii="Times New Roman" w:hAnsi="Times New Roman" w:eastAsia="Times New Roman" w:cs="Times New Roman"/>
              <w:sz w:val="18"/>
              <w:szCs w:val="18"/>
            </w:rPr>
          </w:pPr>
          <w:r>
            <w:rPr>
              <w:rFonts w:ascii="宋体" w:hAnsi="宋体" w:eastAsia="宋体" w:cs="宋体"/>
              <w:spacing w:val="2"/>
              <w:sz w:val="18"/>
              <w:szCs w:val="18"/>
            </w:rPr>
            <w:t>机会性筛检</w:t>
          </w:r>
          <w:r>
            <w:rPr>
              <w:rFonts w:ascii="宋体" w:hAnsi="宋体" w:eastAsia="宋体" w:cs="宋体"/>
              <w:spacing w:val="83"/>
              <w:sz w:val="18"/>
              <w:szCs w:val="18"/>
            </w:rPr>
            <w:t xml:space="preserve"> </w:t>
          </w:r>
          <w:r>
            <w:rPr>
              <w:rFonts w:ascii="Times New Roman" w:hAnsi="Times New Roman" w:eastAsia="Times New Roman" w:cs="Times New Roman"/>
              <w:sz w:val="18"/>
              <w:szCs w:val="18"/>
            </w:rPr>
            <w:t>opportunistic</w:t>
          </w:r>
          <w:r>
            <w:rPr>
              <w:rFonts w:ascii="Times New Roman" w:hAnsi="Times New Roman" w:eastAsia="Times New Roman" w:cs="Times New Roman"/>
              <w:spacing w:val="13"/>
              <w:w w:val="102"/>
              <w:sz w:val="18"/>
              <w:szCs w:val="18"/>
            </w:rPr>
            <w:t xml:space="preserve">   </w:t>
          </w:r>
          <w:r>
            <w:rPr>
              <w:rFonts w:ascii="Times New Roman" w:hAnsi="Times New Roman" w:eastAsia="Times New Roman" w:cs="Times New Roman"/>
              <w:sz w:val="18"/>
              <w:szCs w:val="18"/>
            </w:rPr>
            <w:t>screening</w:t>
          </w:r>
          <w:r>
            <w:rPr>
              <w:rFonts w:ascii="Times New Roman" w:hAnsi="Times New Roman" w:eastAsia="Times New Roman" w:cs="Times New Roman"/>
              <w:spacing w:val="2"/>
              <w:sz w:val="18"/>
              <w:szCs w:val="18"/>
            </w:rPr>
            <w:t xml:space="preserve">    </w:t>
          </w:r>
          <w:r>
            <w:fldChar w:fldCharType="begin"/>
          </w:r>
          <w:r>
            <w:instrText xml:space="preserve"> HYPERLINK \l "bookmark649" </w:instrText>
          </w:r>
          <w:r>
            <w:fldChar w:fldCharType="separate"/>
          </w:r>
          <w:r>
            <w:rPr>
              <w:rFonts w:ascii="Times New Roman" w:hAnsi="Times New Roman" w:eastAsia="Times New Roman" w:cs="Times New Roman"/>
              <w:spacing w:val="2"/>
              <w:sz w:val="18"/>
              <w:szCs w:val="18"/>
            </w:rPr>
            <w:t>102</w:t>
          </w:r>
          <w:r>
            <w:rPr>
              <w:rFonts w:ascii="Times New Roman" w:hAnsi="Times New Roman" w:eastAsia="Times New Roman" w:cs="Times New Roman"/>
              <w:spacing w:val="2"/>
              <w:sz w:val="18"/>
              <w:szCs w:val="18"/>
            </w:rPr>
            <w:fldChar w:fldCharType="end"/>
          </w:r>
        </w:p>
        <w:p w14:paraId="2D59F8A0">
          <w:pPr>
            <w:spacing w:line="451" w:lineRule="auto"/>
            <w:rPr>
              <w:rFonts w:ascii="Arial"/>
              <w:sz w:val="21"/>
            </w:rPr>
          </w:pPr>
        </w:p>
        <w:p w14:paraId="6DDA0955">
          <w:pPr>
            <w:spacing w:before="59" w:line="219" w:lineRule="auto"/>
            <w:rPr>
              <w:rFonts w:ascii="Times New Roman" w:hAnsi="Times New Roman" w:eastAsia="Times New Roman" w:cs="Times New Roman"/>
              <w:sz w:val="18"/>
              <w:szCs w:val="18"/>
            </w:rPr>
          </w:pPr>
          <w:r>
            <w:rPr>
              <w:rFonts w:ascii="宋体" w:hAnsi="宋体" w:eastAsia="宋体" w:cs="宋体"/>
              <w:spacing w:val="2"/>
              <w:sz w:val="18"/>
              <w:szCs w:val="18"/>
            </w:rPr>
            <w:t xml:space="preserve">机械携带  </w:t>
          </w:r>
          <w:r>
            <w:rPr>
              <w:rFonts w:ascii="Times New Roman" w:hAnsi="Times New Roman" w:eastAsia="Times New Roman" w:cs="Times New Roman"/>
              <w:sz w:val="18"/>
              <w:szCs w:val="18"/>
            </w:rPr>
            <w:t>mechanical</w:t>
          </w:r>
          <w:r>
            <w:rPr>
              <w:rFonts w:ascii="Times New Roman" w:hAnsi="Times New Roman" w:eastAsia="Times New Roman" w:cs="Times New Roman"/>
              <w:spacing w:val="2"/>
              <w:sz w:val="18"/>
              <w:szCs w:val="18"/>
            </w:rPr>
            <w:t xml:space="preserve">   </w:t>
          </w:r>
          <w:r>
            <w:rPr>
              <w:rFonts w:ascii="Times New Roman" w:hAnsi="Times New Roman" w:eastAsia="Times New Roman" w:cs="Times New Roman"/>
              <w:sz w:val="18"/>
              <w:szCs w:val="18"/>
            </w:rPr>
            <w:t>vector</w:t>
          </w:r>
          <w:r>
            <w:rPr>
              <w:rFonts w:ascii="Times New Roman" w:hAnsi="Times New Roman" w:eastAsia="Times New Roman" w:cs="Times New Roman"/>
              <w:spacing w:val="2"/>
              <w:sz w:val="18"/>
              <w:szCs w:val="18"/>
            </w:rPr>
            <w:t xml:space="preserve">    </w:t>
          </w:r>
          <w:r>
            <w:fldChar w:fldCharType="begin"/>
          </w:r>
          <w:r>
            <w:instrText xml:space="preserve"> HYPERLINK \l "bookmark650" </w:instrText>
          </w:r>
          <w:r>
            <w:fldChar w:fldCharType="separate"/>
          </w:r>
          <w:r>
            <w:rPr>
              <w:rFonts w:ascii="Times New Roman" w:hAnsi="Times New Roman" w:eastAsia="Times New Roman" w:cs="Times New Roman"/>
              <w:spacing w:val="2"/>
              <w:sz w:val="18"/>
              <w:szCs w:val="18"/>
            </w:rPr>
            <w:t>161</w:t>
          </w:r>
          <w:r>
            <w:rPr>
              <w:rFonts w:ascii="Times New Roman" w:hAnsi="Times New Roman" w:eastAsia="Times New Roman" w:cs="Times New Roman"/>
              <w:spacing w:val="2"/>
              <w:sz w:val="18"/>
              <w:szCs w:val="18"/>
            </w:rPr>
            <w:fldChar w:fldCharType="end"/>
          </w:r>
        </w:p>
      </w:sdtContent>
    </w:sdt>
    <w:p w14:paraId="4808F3EB">
      <w:pPr>
        <w:spacing w:before="137" w:line="360" w:lineRule="auto"/>
        <w:ind w:right="1025"/>
        <w:rPr>
          <w:rFonts w:ascii="Times New Roman" w:hAnsi="Times New Roman" w:eastAsia="Times New Roman" w:cs="Times New Roman"/>
          <w:sz w:val="18"/>
          <w:szCs w:val="18"/>
        </w:rPr>
      </w:pPr>
      <w:r>
        <w:rPr>
          <w:rFonts w:ascii="宋体" w:hAnsi="宋体" w:eastAsia="宋体" w:cs="宋体"/>
          <w:spacing w:val="2"/>
          <w:sz w:val="18"/>
          <w:szCs w:val="18"/>
        </w:rPr>
        <w:t>基本再生数</w:t>
      </w:r>
      <w:r>
        <w:rPr>
          <w:rFonts w:ascii="宋体" w:hAnsi="宋体" w:eastAsia="宋体" w:cs="宋体"/>
          <w:spacing w:val="6"/>
          <w:sz w:val="18"/>
          <w:szCs w:val="18"/>
        </w:rPr>
        <w:t xml:space="preserve">  </w:t>
      </w:r>
      <w:r>
        <w:rPr>
          <w:rFonts w:ascii="Times New Roman" w:hAnsi="Times New Roman" w:eastAsia="Times New Roman" w:cs="Times New Roman"/>
          <w:sz w:val="18"/>
          <w:szCs w:val="18"/>
        </w:rPr>
        <w:t>basic</w:t>
      </w:r>
      <w:r>
        <w:rPr>
          <w:rFonts w:ascii="Times New Roman" w:hAnsi="Times New Roman" w:eastAsia="Times New Roman" w:cs="Times New Roman"/>
          <w:spacing w:val="2"/>
          <w:sz w:val="18"/>
          <w:szCs w:val="18"/>
        </w:rPr>
        <w:t xml:space="preserve">     </w:t>
      </w:r>
      <w:r>
        <w:rPr>
          <w:rFonts w:ascii="Times New Roman" w:hAnsi="Times New Roman" w:eastAsia="Times New Roman" w:cs="Times New Roman"/>
          <w:sz w:val="18"/>
          <w:szCs w:val="18"/>
        </w:rPr>
        <w:t>reproduction</w:t>
      </w:r>
      <w:r>
        <w:rPr>
          <w:rFonts w:ascii="Times New Roman" w:hAnsi="Times New Roman" w:eastAsia="Times New Roman" w:cs="Times New Roman"/>
          <w:spacing w:val="2"/>
          <w:sz w:val="18"/>
          <w:szCs w:val="18"/>
        </w:rPr>
        <w:t xml:space="preserve">     </w:t>
      </w:r>
      <w:r>
        <w:rPr>
          <w:rFonts w:ascii="Times New Roman" w:hAnsi="Times New Roman" w:eastAsia="Times New Roman" w:cs="Times New Roman"/>
          <w:sz w:val="18"/>
          <w:szCs w:val="18"/>
        </w:rPr>
        <w:t>number</w:t>
      </w:r>
      <w:r>
        <w:rPr>
          <w:rFonts w:ascii="Times New Roman" w:hAnsi="Times New Roman" w:eastAsia="Times New Roman" w:cs="Times New Roman"/>
          <w:spacing w:val="2"/>
          <w:sz w:val="18"/>
          <w:szCs w:val="18"/>
        </w:rPr>
        <w:t>,R₀163</w:t>
      </w:r>
      <w:r>
        <w:rPr>
          <w:rFonts w:ascii="Times New Roman" w:hAnsi="Times New Roman" w:eastAsia="Times New Roman" w:cs="Times New Roman"/>
          <w:spacing w:val="1"/>
          <w:sz w:val="18"/>
          <w:szCs w:val="18"/>
        </w:rPr>
        <w:t xml:space="preserve"> </w:t>
      </w:r>
      <w:r>
        <w:rPr>
          <w:rFonts w:ascii="宋体" w:hAnsi="宋体" w:eastAsia="宋体" w:cs="宋体"/>
          <w:spacing w:val="4"/>
          <w:sz w:val="18"/>
          <w:szCs w:val="18"/>
        </w:rPr>
        <w:t xml:space="preserve">基因重配  </w:t>
      </w:r>
      <w:r>
        <w:rPr>
          <w:rFonts w:ascii="Times New Roman" w:hAnsi="Times New Roman" w:eastAsia="Times New Roman" w:cs="Times New Roman"/>
          <w:sz w:val="18"/>
          <w:szCs w:val="18"/>
        </w:rPr>
        <w:t>gene</w:t>
      </w:r>
      <w:r>
        <w:rPr>
          <w:rFonts w:ascii="Times New Roman" w:hAnsi="Times New Roman" w:eastAsia="Times New Roman" w:cs="Times New Roman"/>
          <w:spacing w:val="7"/>
          <w:sz w:val="18"/>
          <w:szCs w:val="18"/>
        </w:rPr>
        <w:t xml:space="preserve">   </w:t>
      </w:r>
      <w:r>
        <w:rPr>
          <w:rFonts w:ascii="Times New Roman" w:hAnsi="Times New Roman" w:eastAsia="Times New Roman" w:cs="Times New Roman"/>
          <w:sz w:val="18"/>
          <w:szCs w:val="18"/>
        </w:rPr>
        <w:t>reassortment</w:t>
      </w:r>
      <w:r>
        <w:rPr>
          <w:rFonts w:ascii="Times New Roman" w:hAnsi="Times New Roman" w:eastAsia="Times New Roman" w:cs="Times New Roman"/>
          <w:spacing w:val="8"/>
          <w:sz w:val="18"/>
          <w:szCs w:val="18"/>
        </w:rPr>
        <w:t xml:space="preserve">   </w:t>
      </w:r>
      <w:r>
        <w:rPr>
          <w:rFonts w:ascii="Times New Roman" w:hAnsi="Times New Roman" w:eastAsia="Times New Roman" w:cs="Times New Roman"/>
          <w:spacing w:val="4"/>
          <w:sz w:val="18"/>
          <w:szCs w:val="18"/>
        </w:rPr>
        <w:t>321</w:t>
      </w:r>
    </w:p>
    <w:p w14:paraId="37EF40C9">
      <w:pPr>
        <w:spacing w:before="18" w:line="212" w:lineRule="auto"/>
        <w:rPr>
          <w:rFonts w:ascii="Times New Roman" w:hAnsi="Times New Roman" w:eastAsia="Times New Roman" w:cs="Times New Roman"/>
          <w:sz w:val="18"/>
          <w:szCs w:val="18"/>
        </w:rPr>
      </w:pPr>
      <w:r>
        <w:rPr>
          <w:rFonts w:ascii="宋体" w:hAnsi="宋体" w:eastAsia="宋体" w:cs="宋体"/>
          <w:spacing w:val="6"/>
          <w:sz w:val="18"/>
          <w:szCs w:val="18"/>
        </w:rPr>
        <w:t>基因突变</w:t>
      </w:r>
      <w:r>
        <w:rPr>
          <w:rFonts w:ascii="宋体" w:hAnsi="宋体" w:eastAsia="宋体" w:cs="宋体"/>
          <w:spacing w:val="64"/>
          <w:sz w:val="18"/>
          <w:szCs w:val="18"/>
        </w:rPr>
        <w:t xml:space="preserve"> </w:t>
      </w:r>
      <w:r>
        <w:rPr>
          <w:rFonts w:ascii="Times New Roman" w:hAnsi="Times New Roman" w:eastAsia="Times New Roman" w:cs="Times New Roman"/>
          <w:sz w:val="18"/>
          <w:szCs w:val="18"/>
        </w:rPr>
        <w:t>gene</w:t>
      </w:r>
      <w:r>
        <w:rPr>
          <w:rFonts w:ascii="Times New Roman" w:hAnsi="Times New Roman" w:eastAsia="Times New Roman" w:cs="Times New Roman"/>
          <w:spacing w:val="8"/>
          <w:sz w:val="18"/>
          <w:szCs w:val="18"/>
        </w:rPr>
        <w:t xml:space="preserve">   </w:t>
      </w:r>
      <w:r>
        <w:rPr>
          <w:rFonts w:ascii="Times New Roman" w:hAnsi="Times New Roman" w:eastAsia="Times New Roman" w:cs="Times New Roman"/>
          <w:sz w:val="18"/>
          <w:szCs w:val="18"/>
        </w:rPr>
        <w:t>mutation</w:t>
      </w:r>
      <w:r>
        <w:rPr>
          <w:rFonts w:ascii="Times New Roman" w:hAnsi="Times New Roman" w:eastAsia="Times New Roman" w:cs="Times New Roman"/>
          <w:spacing w:val="11"/>
          <w:sz w:val="18"/>
          <w:szCs w:val="18"/>
        </w:rPr>
        <w:t xml:space="preserve">   </w:t>
      </w:r>
      <w:r>
        <w:rPr>
          <w:rFonts w:ascii="Times New Roman" w:hAnsi="Times New Roman" w:eastAsia="Times New Roman" w:cs="Times New Roman"/>
          <w:spacing w:val="6"/>
          <w:sz w:val="18"/>
          <w:szCs w:val="18"/>
        </w:rPr>
        <w:t>321</w:t>
      </w:r>
    </w:p>
    <w:sdt>
      <w:sdtPr>
        <w:rPr>
          <w:rFonts w:ascii="宋体" w:hAnsi="宋体" w:eastAsia="宋体" w:cs="宋体"/>
          <w:sz w:val="18"/>
          <w:szCs w:val="18"/>
        </w:rPr>
        <w:id w:val="816372487"/>
        <w:docPartObj>
          <w:docPartGallery w:val="Table of Contents"/>
          <w:docPartUnique/>
        </w:docPartObj>
      </w:sdtPr>
      <w:sdtEndPr>
        <w:rPr>
          <w:rFonts w:ascii="Times New Roman" w:hAnsi="Times New Roman" w:eastAsia="Times New Roman" w:cs="Times New Roman"/>
          <w:sz w:val="18"/>
          <w:szCs w:val="18"/>
        </w:rPr>
      </w:sdtEndPr>
      <w:sdtContent>
        <w:p w14:paraId="7BD660A1">
          <w:pPr>
            <w:spacing w:before="145" w:line="220" w:lineRule="auto"/>
            <w:rPr>
              <w:rFonts w:ascii="宋体" w:hAnsi="宋体" w:eastAsia="宋体" w:cs="宋体"/>
              <w:sz w:val="18"/>
              <w:szCs w:val="18"/>
            </w:rPr>
          </w:pPr>
          <w:r>
            <w:rPr>
              <w:rFonts w:ascii="宋体" w:hAnsi="宋体" w:eastAsia="宋体" w:cs="宋体"/>
              <w:spacing w:val="-2"/>
              <w:sz w:val="18"/>
              <w:szCs w:val="18"/>
            </w:rPr>
            <w:t>基于案例的监测  case-based surveil</w:t>
          </w:r>
          <w:r>
            <w:rPr>
              <w:rFonts w:ascii="宋体" w:hAnsi="宋体" w:eastAsia="宋体" w:cs="宋体"/>
              <w:spacing w:val="-3"/>
              <w:sz w:val="18"/>
              <w:szCs w:val="18"/>
            </w:rPr>
            <w:t xml:space="preserve">lance </w:t>
          </w:r>
          <w:r>
            <w:fldChar w:fldCharType="begin"/>
          </w:r>
          <w:r>
            <w:instrText xml:space="preserve"> HYPERLINK \l "bookmark651" </w:instrText>
          </w:r>
          <w:r>
            <w:fldChar w:fldCharType="separate"/>
          </w:r>
          <w:r>
            <w:rPr>
              <w:rFonts w:ascii="宋体" w:hAnsi="宋体" w:eastAsia="宋体" w:cs="宋体"/>
              <w:spacing w:val="-3"/>
              <w:sz w:val="18"/>
              <w:szCs w:val="18"/>
            </w:rPr>
            <w:t>150</w:t>
          </w:r>
          <w:r>
            <w:rPr>
              <w:rFonts w:ascii="宋体" w:hAnsi="宋体" w:eastAsia="宋体" w:cs="宋体"/>
              <w:spacing w:val="-3"/>
              <w:sz w:val="18"/>
              <w:szCs w:val="18"/>
            </w:rPr>
            <w:fldChar w:fldCharType="end"/>
          </w:r>
        </w:p>
        <w:p w14:paraId="630372E8">
          <w:pPr>
            <w:spacing w:before="115" w:line="212" w:lineRule="auto"/>
            <w:rPr>
              <w:rFonts w:ascii="Times New Roman" w:hAnsi="Times New Roman" w:eastAsia="Times New Roman" w:cs="Times New Roman"/>
              <w:sz w:val="18"/>
              <w:szCs w:val="18"/>
            </w:rPr>
          </w:pPr>
          <w:r>
            <w:rPr>
              <w:rFonts w:ascii="宋体" w:hAnsi="宋体" w:eastAsia="宋体" w:cs="宋体"/>
              <w:spacing w:val="3"/>
              <w:sz w:val="18"/>
              <w:szCs w:val="18"/>
            </w:rPr>
            <w:t>基于人群的监测</w:t>
          </w:r>
          <w:r>
            <w:rPr>
              <w:rFonts w:ascii="宋体" w:hAnsi="宋体" w:eastAsia="宋体" w:cs="宋体"/>
              <w:spacing w:val="86"/>
              <w:sz w:val="18"/>
              <w:szCs w:val="18"/>
            </w:rPr>
            <w:t xml:space="preserve"> </w:t>
          </w:r>
          <w:r>
            <w:rPr>
              <w:rFonts w:ascii="Times New Roman" w:hAnsi="Times New Roman" w:eastAsia="Times New Roman" w:cs="Times New Roman"/>
              <w:sz w:val="18"/>
              <w:szCs w:val="18"/>
            </w:rPr>
            <w:t>population</w:t>
          </w:r>
          <w:r>
            <w:rPr>
              <w:rFonts w:ascii="Times New Roman" w:hAnsi="Times New Roman" w:eastAsia="Times New Roman" w:cs="Times New Roman"/>
              <w:spacing w:val="3"/>
              <w:sz w:val="18"/>
              <w:szCs w:val="18"/>
            </w:rPr>
            <w:t>-</w:t>
          </w:r>
          <w:r>
            <w:rPr>
              <w:rFonts w:ascii="Times New Roman" w:hAnsi="Times New Roman" w:eastAsia="Times New Roman" w:cs="Times New Roman"/>
              <w:sz w:val="18"/>
              <w:szCs w:val="18"/>
            </w:rPr>
            <w:t>based</w:t>
          </w:r>
          <w:r>
            <w:rPr>
              <w:rFonts w:ascii="Times New Roman" w:hAnsi="Times New Roman" w:eastAsia="Times New Roman" w:cs="Times New Roman"/>
              <w:spacing w:val="3"/>
              <w:sz w:val="18"/>
              <w:szCs w:val="18"/>
            </w:rPr>
            <w:t xml:space="preserve">    </w:t>
          </w:r>
          <w:r>
            <w:rPr>
              <w:rFonts w:ascii="Times New Roman" w:hAnsi="Times New Roman" w:eastAsia="Times New Roman" w:cs="Times New Roman"/>
              <w:sz w:val="18"/>
              <w:szCs w:val="18"/>
            </w:rPr>
            <w:t>surveillance</w:t>
          </w:r>
          <w:r>
            <w:rPr>
              <w:rFonts w:ascii="Times New Roman" w:hAnsi="Times New Roman" w:eastAsia="Times New Roman" w:cs="Times New Roman"/>
              <w:spacing w:val="3"/>
              <w:sz w:val="18"/>
              <w:szCs w:val="18"/>
            </w:rPr>
            <w:t xml:space="preserve">    </w:t>
          </w:r>
          <w:r>
            <w:fldChar w:fldCharType="begin"/>
          </w:r>
          <w:r>
            <w:instrText xml:space="preserve"> HYPERLINK \l "bookmark652" </w:instrText>
          </w:r>
          <w:r>
            <w:fldChar w:fldCharType="separate"/>
          </w:r>
          <w:r>
            <w:rPr>
              <w:rFonts w:ascii="Times New Roman" w:hAnsi="Times New Roman" w:eastAsia="Times New Roman" w:cs="Times New Roman"/>
              <w:spacing w:val="3"/>
              <w:sz w:val="18"/>
              <w:szCs w:val="18"/>
            </w:rPr>
            <w:t>150</w:t>
          </w:r>
          <w:r>
            <w:rPr>
              <w:rFonts w:ascii="Times New Roman" w:hAnsi="Times New Roman" w:eastAsia="Times New Roman" w:cs="Times New Roman"/>
              <w:spacing w:val="3"/>
              <w:sz w:val="18"/>
              <w:szCs w:val="18"/>
            </w:rPr>
            <w:fldChar w:fldCharType="end"/>
          </w:r>
        </w:p>
        <w:p w14:paraId="2EC2ED9C">
          <w:pPr>
            <w:spacing w:before="143" w:line="212" w:lineRule="auto"/>
            <w:rPr>
              <w:rFonts w:ascii="Times New Roman" w:hAnsi="Times New Roman" w:eastAsia="Times New Roman" w:cs="Times New Roman"/>
              <w:sz w:val="18"/>
              <w:szCs w:val="18"/>
            </w:rPr>
          </w:pPr>
          <w:r>
            <w:rPr>
              <w:rFonts w:ascii="宋体" w:hAnsi="宋体" w:eastAsia="宋体" w:cs="宋体"/>
              <w:spacing w:val="3"/>
              <w:sz w:val="18"/>
              <w:szCs w:val="18"/>
            </w:rPr>
            <w:t>基于实验室的监测</w:t>
          </w:r>
          <w:r>
            <w:rPr>
              <w:rFonts w:ascii="宋体" w:hAnsi="宋体" w:eastAsia="宋体" w:cs="宋体"/>
              <w:spacing w:val="85"/>
              <w:sz w:val="18"/>
              <w:szCs w:val="18"/>
            </w:rPr>
            <w:t xml:space="preserve"> </w:t>
          </w:r>
          <w:r>
            <w:rPr>
              <w:rFonts w:ascii="Times New Roman" w:hAnsi="Times New Roman" w:eastAsia="Times New Roman" w:cs="Times New Roman"/>
              <w:sz w:val="18"/>
              <w:szCs w:val="18"/>
            </w:rPr>
            <w:t>laboratory</w:t>
          </w:r>
          <w:r>
            <w:rPr>
              <w:rFonts w:ascii="Times New Roman" w:hAnsi="Times New Roman" w:eastAsia="Times New Roman" w:cs="Times New Roman"/>
              <w:spacing w:val="3"/>
              <w:sz w:val="18"/>
              <w:szCs w:val="18"/>
            </w:rPr>
            <w:t>-</w:t>
          </w:r>
          <w:r>
            <w:rPr>
              <w:rFonts w:ascii="Times New Roman" w:hAnsi="Times New Roman" w:eastAsia="Times New Roman" w:cs="Times New Roman"/>
              <w:sz w:val="18"/>
              <w:szCs w:val="18"/>
            </w:rPr>
            <w:t>based    surveillance</w:t>
          </w:r>
          <w:r>
            <w:rPr>
              <w:rFonts w:ascii="Times New Roman" w:hAnsi="Times New Roman" w:eastAsia="Times New Roman" w:cs="Times New Roman"/>
              <w:spacing w:val="3"/>
              <w:sz w:val="18"/>
              <w:szCs w:val="18"/>
            </w:rPr>
            <w:t xml:space="preserve">    </w:t>
          </w:r>
          <w:r>
            <w:fldChar w:fldCharType="begin"/>
          </w:r>
          <w:r>
            <w:instrText xml:space="preserve"> HYPERLINK \l "bookmark653" </w:instrText>
          </w:r>
          <w:r>
            <w:fldChar w:fldCharType="separate"/>
          </w:r>
          <w:r>
            <w:rPr>
              <w:rFonts w:ascii="Times New Roman" w:hAnsi="Times New Roman" w:eastAsia="Times New Roman" w:cs="Times New Roman"/>
              <w:spacing w:val="3"/>
              <w:sz w:val="18"/>
              <w:szCs w:val="18"/>
            </w:rPr>
            <w:t>150</w:t>
          </w:r>
          <w:r>
            <w:rPr>
              <w:rFonts w:ascii="Times New Roman" w:hAnsi="Times New Roman" w:eastAsia="Times New Roman" w:cs="Times New Roman"/>
              <w:spacing w:val="3"/>
              <w:sz w:val="18"/>
              <w:szCs w:val="18"/>
            </w:rPr>
            <w:fldChar w:fldCharType="end"/>
          </w:r>
        </w:p>
        <w:p w14:paraId="0ACF7FD8">
          <w:pPr>
            <w:spacing w:before="164" w:line="219" w:lineRule="auto"/>
            <w:rPr>
              <w:rFonts w:ascii="宋体" w:hAnsi="宋体" w:eastAsia="宋体" w:cs="宋体"/>
              <w:sz w:val="18"/>
              <w:szCs w:val="18"/>
            </w:rPr>
          </w:pPr>
          <w:r>
            <w:rPr>
              <w:rFonts w:ascii="宋体" w:hAnsi="宋体" w:eastAsia="宋体" w:cs="宋体"/>
              <w:spacing w:val="-3"/>
              <w:sz w:val="18"/>
              <w:szCs w:val="18"/>
            </w:rPr>
            <w:t>基于事件的监测  event-based surveillan</w:t>
          </w:r>
          <w:r>
            <w:rPr>
              <w:rFonts w:ascii="宋体" w:hAnsi="宋体" w:eastAsia="宋体" w:cs="宋体"/>
              <w:spacing w:val="-4"/>
              <w:sz w:val="18"/>
              <w:szCs w:val="18"/>
            </w:rPr>
            <w:t>ce</w:t>
          </w:r>
          <w:r>
            <w:rPr>
              <w:rFonts w:ascii="宋体" w:hAnsi="宋体" w:eastAsia="宋体" w:cs="宋体"/>
              <w:spacing w:val="12"/>
              <w:sz w:val="18"/>
              <w:szCs w:val="18"/>
            </w:rPr>
            <w:t xml:space="preserve"> </w:t>
          </w:r>
          <w:r>
            <w:fldChar w:fldCharType="begin"/>
          </w:r>
          <w:r>
            <w:instrText xml:space="preserve"> HYPERLINK \l "bookmark654" </w:instrText>
          </w:r>
          <w:r>
            <w:fldChar w:fldCharType="separate"/>
          </w:r>
          <w:r>
            <w:rPr>
              <w:rFonts w:ascii="宋体" w:hAnsi="宋体" w:eastAsia="宋体" w:cs="宋体"/>
              <w:spacing w:val="-4"/>
              <w:sz w:val="18"/>
              <w:szCs w:val="18"/>
            </w:rPr>
            <w:t>150</w:t>
          </w:r>
          <w:r>
            <w:rPr>
              <w:rFonts w:ascii="宋体" w:hAnsi="宋体" w:eastAsia="宋体" w:cs="宋体"/>
              <w:spacing w:val="-4"/>
              <w:sz w:val="18"/>
              <w:szCs w:val="18"/>
            </w:rPr>
            <w:fldChar w:fldCharType="end"/>
          </w:r>
        </w:p>
        <w:p w14:paraId="67F51D07">
          <w:pPr>
            <w:spacing w:before="116" w:line="212" w:lineRule="auto"/>
            <w:rPr>
              <w:rFonts w:ascii="Times New Roman" w:hAnsi="Times New Roman" w:eastAsia="Times New Roman" w:cs="Times New Roman"/>
              <w:sz w:val="18"/>
              <w:szCs w:val="18"/>
            </w:rPr>
          </w:pPr>
          <w:r>
            <w:rPr>
              <w:rFonts w:ascii="宋体" w:hAnsi="宋体" w:eastAsia="宋体" w:cs="宋体"/>
              <w:spacing w:val="3"/>
              <w:sz w:val="18"/>
              <w:szCs w:val="18"/>
            </w:rPr>
            <w:t>基于医院的监测</w:t>
          </w:r>
          <w:r>
            <w:rPr>
              <w:rFonts w:ascii="宋体" w:hAnsi="宋体" w:eastAsia="宋体" w:cs="宋体"/>
              <w:spacing w:val="86"/>
              <w:sz w:val="18"/>
              <w:szCs w:val="18"/>
            </w:rPr>
            <w:t xml:space="preserve"> </w:t>
          </w:r>
          <w:r>
            <w:rPr>
              <w:rFonts w:ascii="Times New Roman" w:hAnsi="Times New Roman" w:eastAsia="Times New Roman" w:cs="Times New Roman"/>
              <w:sz w:val="18"/>
              <w:szCs w:val="18"/>
            </w:rPr>
            <w:t>hospital</w:t>
          </w:r>
          <w:r>
            <w:rPr>
              <w:rFonts w:ascii="Times New Roman" w:hAnsi="Times New Roman" w:eastAsia="Times New Roman" w:cs="Times New Roman"/>
              <w:spacing w:val="3"/>
              <w:sz w:val="18"/>
              <w:szCs w:val="18"/>
            </w:rPr>
            <w:t>-</w:t>
          </w:r>
          <w:r>
            <w:rPr>
              <w:rFonts w:ascii="Times New Roman" w:hAnsi="Times New Roman" w:eastAsia="Times New Roman" w:cs="Times New Roman"/>
              <w:sz w:val="18"/>
              <w:szCs w:val="18"/>
            </w:rPr>
            <w:t>based</w:t>
          </w:r>
          <w:r>
            <w:rPr>
              <w:rFonts w:ascii="Times New Roman" w:hAnsi="Times New Roman" w:eastAsia="Times New Roman" w:cs="Times New Roman"/>
              <w:spacing w:val="3"/>
              <w:sz w:val="18"/>
              <w:szCs w:val="18"/>
            </w:rPr>
            <w:t xml:space="preserve">    </w:t>
          </w:r>
          <w:r>
            <w:rPr>
              <w:rFonts w:ascii="Times New Roman" w:hAnsi="Times New Roman" w:eastAsia="Times New Roman" w:cs="Times New Roman"/>
              <w:sz w:val="18"/>
              <w:szCs w:val="18"/>
            </w:rPr>
            <w:t>surveillance</w:t>
          </w:r>
          <w:r>
            <w:rPr>
              <w:rFonts w:ascii="Times New Roman" w:hAnsi="Times New Roman" w:eastAsia="Times New Roman" w:cs="Times New Roman"/>
              <w:spacing w:val="3"/>
              <w:sz w:val="18"/>
              <w:szCs w:val="18"/>
            </w:rPr>
            <w:t xml:space="preserve">    </w:t>
          </w:r>
          <w:r>
            <w:fldChar w:fldCharType="begin"/>
          </w:r>
          <w:r>
            <w:instrText xml:space="preserve"> HYPERLINK \l "bookmark655" </w:instrText>
          </w:r>
          <w:r>
            <w:fldChar w:fldCharType="separate"/>
          </w:r>
          <w:r>
            <w:rPr>
              <w:rFonts w:ascii="Times New Roman" w:hAnsi="Times New Roman" w:eastAsia="Times New Roman" w:cs="Times New Roman"/>
              <w:spacing w:val="3"/>
              <w:sz w:val="18"/>
              <w:szCs w:val="18"/>
            </w:rPr>
            <w:t>150</w:t>
          </w:r>
          <w:r>
            <w:rPr>
              <w:rFonts w:ascii="Times New Roman" w:hAnsi="Times New Roman" w:eastAsia="Times New Roman" w:cs="Times New Roman"/>
              <w:spacing w:val="3"/>
              <w:sz w:val="18"/>
              <w:szCs w:val="18"/>
            </w:rPr>
            <w:fldChar w:fldCharType="end"/>
          </w:r>
        </w:p>
        <w:p w14:paraId="00AC6E92">
          <w:pPr>
            <w:spacing w:before="164" w:line="220" w:lineRule="auto"/>
            <w:rPr>
              <w:rFonts w:ascii="Times New Roman" w:hAnsi="Times New Roman" w:eastAsia="Times New Roman" w:cs="Times New Roman"/>
              <w:sz w:val="18"/>
              <w:szCs w:val="18"/>
            </w:rPr>
          </w:pPr>
          <w:r>
            <w:rPr>
              <w:rFonts w:ascii="宋体" w:hAnsi="宋体" w:eastAsia="宋体" w:cs="宋体"/>
              <w:spacing w:val="3"/>
              <w:sz w:val="18"/>
              <w:szCs w:val="18"/>
            </w:rPr>
            <w:t>疾病监测</w:t>
          </w:r>
          <w:r>
            <w:rPr>
              <w:rFonts w:ascii="宋体" w:hAnsi="宋体" w:eastAsia="宋体" w:cs="宋体"/>
              <w:spacing w:val="94"/>
              <w:sz w:val="18"/>
              <w:szCs w:val="18"/>
            </w:rPr>
            <w:t xml:space="preserve"> </w:t>
          </w:r>
          <w:r>
            <w:rPr>
              <w:rFonts w:ascii="Times New Roman" w:hAnsi="Times New Roman" w:eastAsia="Times New Roman" w:cs="Times New Roman"/>
              <w:sz w:val="18"/>
              <w:szCs w:val="18"/>
            </w:rPr>
            <w:t>surveillance</w:t>
          </w:r>
          <w:r>
            <w:rPr>
              <w:rFonts w:ascii="Times New Roman" w:hAnsi="Times New Roman" w:eastAsia="Times New Roman" w:cs="Times New Roman"/>
              <w:spacing w:val="3"/>
              <w:sz w:val="18"/>
              <w:szCs w:val="18"/>
            </w:rPr>
            <w:t xml:space="preserve">   </w:t>
          </w:r>
          <w:r>
            <w:rPr>
              <w:rFonts w:ascii="Times New Roman" w:hAnsi="Times New Roman" w:eastAsia="Times New Roman" w:cs="Times New Roman"/>
              <w:sz w:val="18"/>
              <w:szCs w:val="18"/>
            </w:rPr>
            <w:t>of</w:t>
          </w:r>
          <w:r>
            <w:rPr>
              <w:rFonts w:ascii="Times New Roman" w:hAnsi="Times New Roman" w:eastAsia="Times New Roman" w:cs="Times New Roman"/>
              <w:spacing w:val="15"/>
              <w:sz w:val="18"/>
              <w:szCs w:val="18"/>
            </w:rPr>
            <w:t xml:space="preserve">  </w:t>
          </w:r>
          <w:r>
            <w:rPr>
              <w:rFonts w:ascii="Times New Roman" w:hAnsi="Times New Roman" w:eastAsia="Times New Roman" w:cs="Times New Roman"/>
              <w:sz w:val="18"/>
              <w:szCs w:val="18"/>
            </w:rPr>
            <w:t>disease</w:t>
          </w:r>
          <w:r>
            <w:rPr>
              <w:rFonts w:ascii="Times New Roman" w:hAnsi="Times New Roman" w:eastAsia="Times New Roman" w:cs="Times New Roman"/>
              <w:spacing w:val="3"/>
              <w:sz w:val="18"/>
              <w:szCs w:val="18"/>
            </w:rPr>
            <w:t xml:space="preserve">   </w:t>
          </w:r>
          <w:r>
            <w:fldChar w:fldCharType="begin"/>
          </w:r>
          <w:r>
            <w:instrText xml:space="preserve"> HYPERLINK \l "bookmark656" </w:instrText>
          </w:r>
          <w:r>
            <w:fldChar w:fldCharType="separate"/>
          </w:r>
          <w:r>
            <w:rPr>
              <w:rFonts w:ascii="Times New Roman" w:hAnsi="Times New Roman" w:eastAsia="Times New Roman" w:cs="Times New Roman"/>
              <w:spacing w:val="3"/>
              <w:sz w:val="18"/>
              <w:szCs w:val="18"/>
            </w:rPr>
            <w:t>146</w:t>
          </w:r>
          <w:r>
            <w:rPr>
              <w:rFonts w:ascii="Times New Roman" w:hAnsi="Times New Roman" w:eastAsia="Times New Roman" w:cs="Times New Roman"/>
              <w:spacing w:val="3"/>
              <w:sz w:val="18"/>
              <w:szCs w:val="18"/>
            </w:rPr>
            <w:fldChar w:fldCharType="end"/>
          </w:r>
        </w:p>
        <w:p w14:paraId="195AA7FD">
          <w:pPr>
            <w:spacing w:before="135" w:line="219" w:lineRule="auto"/>
            <w:rPr>
              <w:rFonts w:ascii="Times New Roman" w:hAnsi="Times New Roman" w:eastAsia="Times New Roman" w:cs="Times New Roman"/>
              <w:sz w:val="18"/>
              <w:szCs w:val="18"/>
            </w:rPr>
          </w:pPr>
          <w:r>
            <w:rPr>
              <w:rFonts w:ascii="宋体" w:hAnsi="宋体" w:eastAsia="宋体" w:cs="宋体"/>
              <w:spacing w:val="2"/>
              <w:sz w:val="18"/>
              <w:szCs w:val="18"/>
            </w:rPr>
            <w:t xml:space="preserve">集体健康  </w:t>
          </w:r>
          <w:r>
            <w:rPr>
              <w:rFonts w:ascii="Times New Roman" w:hAnsi="Times New Roman" w:eastAsia="Times New Roman" w:cs="Times New Roman"/>
              <w:sz w:val="18"/>
              <w:szCs w:val="18"/>
            </w:rPr>
            <w:t>collective</w:t>
          </w:r>
          <w:r>
            <w:rPr>
              <w:rFonts w:ascii="Times New Roman" w:hAnsi="Times New Roman" w:eastAsia="Times New Roman" w:cs="Times New Roman"/>
              <w:spacing w:val="14"/>
              <w:sz w:val="18"/>
              <w:szCs w:val="18"/>
            </w:rPr>
            <w:t xml:space="preserve">   </w:t>
          </w:r>
          <w:r>
            <w:rPr>
              <w:rFonts w:ascii="Times New Roman" w:hAnsi="Times New Roman" w:eastAsia="Times New Roman" w:cs="Times New Roman"/>
              <w:sz w:val="18"/>
              <w:szCs w:val="18"/>
            </w:rPr>
            <w:t>health</w:t>
          </w:r>
          <w:r>
            <w:rPr>
              <w:rFonts w:ascii="Times New Roman" w:hAnsi="Times New Roman" w:eastAsia="Times New Roman" w:cs="Times New Roman"/>
              <w:spacing w:val="2"/>
              <w:sz w:val="18"/>
              <w:szCs w:val="18"/>
            </w:rPr>
            <w:t xml:space="preserve">    </w:t>
          </w:r>
          <w:r>
            <w:fldChar w:fldCharType="begin"/>
          </w:r>
          <w:r>
            <w:instrText xml:space="preserve"> HYPERLINK \l "bookmark473" </w:instrText>
          </w:r>
          <w:r>
            <w:fldChar w:fldCharType="separate"/>
          </w:r>
          <w:r>
            <w:rPr>
              <w:rFonts w:ascii="Times New Roman" w:hAnsi="Times New Roman" w:eastAsia="Times New Roman" w:cs="Times New Roman"/>
              <w:spacing w:val="2"/>
              <w:sz w:val="18"/>
              <w:szCs w:val="18"/>
            </w:rPr>
            <w:t>136</w:t>
          </w:r>
          <w:r>
            <w:rPr>
              <w:rFonts w:ascii="Times New Roman" w:hAnsi="Times New Roman" w:eastAsia="Times New Roman" w:cs="Times New Roman"/>
              <w:spacing w:val="2"/>
              <w:sz w:val="18"/>
              <w:szCs w:val="18"/>
            </w:rPr>
            <w:fldChar w:fldCharType="end"/>
          </w:r>
        </w:p>
        <w:p w14:paraId="26E15970">
          <w:pPr>
            <w:spacing w:before="116" w:line="212" w:lineRule="auto"/>
            <w:rPr>
              <w:rFonts w:ascii="Times New Roman" w:hAnsi="Times New Roman" w:eastAsia="Times New Roman" w:cs="Times New Roman"/>
              <w:sz w:val="18"/>
              <w:szCs w:val="18"/>
            </w:rPr>
          </w:pPr>
          <w:r>
            <w:rPr>
              <w:rFonts w:ascii="宋体" w:hAnsi="宋体" w:eastAsia="宋体" w:cs="宋体"/>
              <w:spacing w:val="5"/>
              <w:sz w:val="18"/>
              <w:szCs w:val="18"/>
            </w:rPr>
            <w:t>季节性</w:t>
          </w:r>
          <w:r>
            <w:rPr>
              <w:rFonts w:ascii="宋体" w:hAnsi="宋体" w:eastAsia="宋体" w:cs="宋体"/>
              <w:spacing w:val="64"/>
              <w:sz w:val="18"/>
              <w:szCs w:val="18"/>
            </w:rPr>
            <w:t xml:space="preserve"> </w:t>
          </w:r>
          <w:r>
            <w:rPr>
              <w:rFonts w:ascii="Times New Roman" w:hAnsi="Times New Roman" w:eastAsia="Times New Roman" w:cs="Times New Roman"/>
              <w:sz w:val="18"/>
              <w:szCs w:val="18"/>
            </w:rPr>
            <w:t>seasonality</w:t>
          </w:r>
          <w:r>
            <w:rPr>
              <w:rFonts w:ascii="Times New Roman" w:hAnsi="Times New Roman" w:eastAsia="Times New Roman" w:cs="Times New Roman"/>
              <w:spacing w:val="5"/>
              <w:sz w:val="18"/>
              <w:szCs w:val="18"/>
            </w:rPr>
            <w:t>,</w:t>
          </w:r>
          <w:r>
            <w:rPr>
              <w:rFonts w:ascii="Times New Roman" w:hAnsi="Times New Roman" w:eastAsia="Times New Roman" w:cs="Times New Roman"/>
              <w:sz w:val="18"/>
              <w:szCs w:val="18"/>
            </w:rPr>
            <w:t>seasonal</w:t>
          </w:r>
          <w:r>
            <w:rPr>
              <w:rFonts w:ascii="Times New Roman" w:hAnsi="Times New Roman" w:eastAsia="Times New Roman" w:cs="Times New Roman"/>
              <w:spacing w:val="8"/>
              <w:sz w:val="18"/>
              <w:szCs w:val="18"/>
            </w:rPr>
            <w:t xml:space="preserve">    </w:t>
          </w:r>
          <w:r>
            <w:rPr>
              <w:rFonts w:ascii="Times New Roman" w:hAnsi="Times New Roman" w:eastAsia="Times New Roman" w:cs="Times New Roman"/>
              <w:sz w:val="18"/>
              <w:szCs w:val="18"/>
            </w:rPr>
            <w:t>variation</w:t>
          </w:r>
          <w:r>
            <w:rPr>
              <w:rFonts w:ascii="Times New Roman" w:hAnsi="Times New Roman" w:eastAsia="Times New Roman" w:cs="Times New Roman"/>
              <w:spacing w:val="9"/>
              <w:sz w:val="18"/>
              <w:szCs w:val="18"/>
            </w:rPr>
            <w:t xml:space="preserve">    </w:t>
          </w:r>
          <w:r>
            <w:fldChar w:fldCharType="begin"/>
          </w:r>
          <w:r>
            <w:instrText xml:space="preserve"> HYPERLINK \l "bookmark657" </w:instrText>
          </w:r>
          <w:r>
            <w:fldChar w:fldCharType="separate"/>
          </w:r>
          <w:r>
            <w:rPr>
              <w:rFonts w:ascii="Times New Roman" w:hAnsi="Times New Roman" w:eastAsia="Times New Roman" w:cs="Times New Roman"/>
              <w:spacing w:val="5"/>
              <w:sz w:val="18"/>
              <w:szCs w:val="18"/>
            </w:rPr>
            <w:t>24</w:t>
          </w:r>
          <w:r>
            <w:rPr>
              <w:rFonts w:ascii="Times New Roman" w:hAnsi="Times New Roman" w:eastAsia="Times New Roman" w:cs="Times New Roman"/>
              <w:spacing w:val="5"/>
              <w:sz w:val="18"/>
              <w:szCs w:val="18"/>
            </w:rPr>
            <w:fldChar w:fldCharType="end"/>
          </w:r>
        </w:p>
        <w:p w14:paraId="2CE37D94">
          <w:pPr>
            <w:spacing w:before="143" w:line="212" w:lineRule="auto"/>
            <w:rPr>
              <w:rFonts w:ascii="Times New Roman" w:hAnsi="Times New Roman" w:eastAsia="Times New Roman" w:cs="Times New Roman"/>
              <w:sz w:val="18"/>
              <w:szCs w:val="18"/>
            </w:rPr>
          </w:pPr>
          <w:r>
            <w:rPr>
              <w:rFonts w:ascii="宋体" w:hAnsi="宋体" w:eastAsia="宋体" w:cs="宋体"/>
              <w:spacing w:val="7"/>
              <w:sz w:val="18"/>
              <w:szCs w:val="18"/>
            </w:rPr>
            <w:t>剂量-反应关系</w:t>
          </w:r>
          <w:r>
            <w:rPr>
              <w:rFonts w:ascii="宋体" w:hAnsi="宋体" w:eastAsia="宋体" w:cs="宋体"/>
              <w:spacing w:val="75"/>
              <w:sz w:val="18"/>
              <w:szCs w:val="18"/>
            </w:rPr>
            <w:t xml:space="preserve"> </w:t>
          </w:r>
          <w:r>
            <w:rPr>
              <w:rFonts w:ascii="Times New Roman" w:hAnsi="Times New Roman" w:eastAsia="Times New Roman" w:cs="Times New Roman"/>
              <w:sz w:val="18"/>
              <w:szCs w:val="18"/>
            </w:rPr>
            <w:t>dose</w:t>
          </w:r>
          <w:r>
            <w:rPr>
              <w:rFonts w:ascii="Times New Roman" w:hAnsi="Times New Roman" w:eastAsia="Times New Roman" w:cs="Times New Roman"/>
              <w:spacing w:val="7"/>
              <w:sz w:val="18"/>
              <w:szCs w:val="18"/>
            </w:rPr>
            <w:t>-</w:t>
          </w:r>
          <w:r>
            <w:rPr>
              <w:rFonts w:ascii="Times New Roman" w:hAnsi="Times New Roman" w:eastAsia="Times New Roman" w:cs="Times New Roman"/>
              <w:sz w:val="18"/>
              <w:szCs w:val="18"/>
            </w:rPr>
            <w:t>response</w:t>
          </w:r>
          <w:r>
            <w:rPr>
              <w:rFonts w:ascii="Times New Roman" w:hAnsi="Times New Roman" w:eastAsia="Times New Roman" w:cs="Times New Roman"/>
              <w:spacing w:val="7"/>
              <w:sz w:val="18"/>
              <w:szCs w:val="18"/>
            </w:rPr>
            <w:t xml:space="preserve">   </w:t>
          </w:r>
          <w:r>
            <w:rPr>
              <w:rFonts w:ascii="Times New Roman" w:hAnsi="Times New Roman" w:eastAsia="Times New Roman" w:cs="Times New Roman"/>
              <w:sz w:val="18"/>
              <w:szCs w:val="18"/>
            </w:rPr>
            <w:t>relationship</w:t>
          </w:r>
          <w:r>
            <w:rPr>
              <w:rFonts w:ascii="Times New Roman" w:hAnsi="Times New Roman" w:eastAsia="Times New Roman" w:cs="Times New Roman"/>
              <w:spacing w:val="7"/>
              <w:sz w:val="18"/>
              <w:szCs w:val="18"/>
            </w:rPr>
            <w:t xml:space="preserve">    </w:t>
          </w:r>
          <w:r>
            <w:fldChar w:fldCharType="begin"/>
          </w:r>
          <w:r>
            <w:instrText xml:space="preserve"> HYPERLINK \l "bookmark658" </w:instrText>
          </w:r>
          <w:r>
            <w:fldChar w:fldCharType="separate"/>
          </w:r>
          <w:r>
            <w:rPr>
              <w:rFonts w:ascii="Times New Roman" w:hAnsi="Times New Roman" w:eastAsia="Times New Roman" w:cs="Times New Roman"/>
              <w:spacing w:val="7"/>
              <w:sz w:val="18"/>
              <w:szCs w:val="18"/>
            </w:rPr>
            <w:t>76</w:t>
          </w:r>
          <w:r>
            <w:rPr>
              <w:rFonts w:ascii="Times New Roman" w:hAnsi="Times New Roman" w:eastAsia="Times New Roman" w:cs="Times New Roman"/>
              <w:spacing w:val="7"/>
              <w:sz w:val="18"/>
              <w:szCs w:val="18"/>
            </w:rPr>
            <w:fldChar w:fldCharType="end"/>
          </w:r>
        </w:p>
      </w:sdtContent>
    </w:sdt>
    <w:p w14:paraId="180BB33F">
      <w:pPr>
        <w:spacing w:before="144" w:line="212" w:lineRule="auto"/>
        <w:rPr>
          <w:rFonts w:ascii="Times New Roman" w:hAnsi="Times New Roman" w:eastAsia="Times New Roman" w:cs="Times New Roman"/>
          <w:sz w:val="18"/>
          <w:szCs w:val="18"/>
        </w:rPr>
      </w:pPr>
      <w:r>
        <w:rPr>
          <w:rFonts w:ascii="宋体" w:hAnsi="宋体" w:eastAsia="宋体" w:cs="宋体"/>
          <w:spacing w:val="4"/>
          <w:sz w:val="18"/>
          <w:szCs w:val="18"/>
        </w:rPr>
        <w:t>甲型肝炎病毒</w:t>
      </w:r>
      <w:r>
        <w:rPr>
          <w:rFonts w:ascii="宋体" w:hAnsi="宋体" w:eastAsia="宋体" w:cs="宋体"/>
          <w:spacing w:val="96"/>
          <w:sz w:val="18"/>
          <w:szCs w:val="18"/>
        </w:rPr>
        <w:t xml:space="preserve"> </w:t>
      </w:r>
      <w:r>
        <w:rPr>
          <w:rFonts w:ascii="Times New Roman" w:hAnsi="Times New Roman" w:eastAsia="Times New Roman" w:cs="Times New Roman"/>
          <w:sz w:val="18"/>
          <w:szCs w:val="18"/>
        </w:rPr>
        <w:t>hepatitis</w:t>
      </w:r>
      <w:r>
        <w:rPr>
          <w:rFonts w:ascii="Times New Roman" w:hAnsi="Times New Roman" w:eastAsia="Times New Roman" w:cs="Times New Roman"/>
          <w:spacing w:val="4"/>
          <w:sz w:val="18"/>
          <w:szCs w:val="18"/>
        </w:rPr>
        <w:t xml:space="preserve">   </w:t>
      </w:r>
      <w:r>
        <w:rPr>
          <w:rFonts w:ascii="Times New Roman" w:hAnsi="Times New Roman" w:eastAsia="Times New Roman" w:cs="Times New Roman"/>
          <w:sz w:val="18"/>
          <w:szCs w:val="18"/>
        </w:rPr>
        <w:t>A</w:t>
      </w:r>
      <w:r>
        <w:rPr>
          <w:rFonts w:ascii="Times New Roman" w:hAnsi="Times New Roman" w:eastAsia="Times New Roman" w:cs="Times New Roman"/>
          <w:spacing w:val="4"/>
          <w:sz w:val="18"/>
          <w:szCs w:val="18"/>
        </w:rPr>
        <w:t xml:space="preserve">   </w:t>
      </w:r>
      <w:r>
        <w:rPr>
          <w:rFonts w:ascii="Times New Roman" w:hAnsi="Times New Roman" w:eastAsia="Times New Roman" w:cs="Times New Roman"/>
          <w:sz w:val="18"/>
          <w:szCs w:val="18"/>
        </w:rPr>
        <w:t>virus</w:t>
      </w:r>
      <w:r>
        <w:rPr>
          <w:rFonts w:ascii="Times New Roman" w:hAnsi="Times New Roman" w:eastAsia="Times New Roman" w:cs="Times New Roman"/>
          <w:spacing w:val="4"/>
          <w:sz w:val="18"/>
          <w:szCs w:val="18"/>
        </w:rPr>
        <w:t>,</w:t>
      </w:r>
      <w:r>
        <w:rPr>
          <w:rFonts w:ascii="Times New Roman" w:hAnsi="Times New Roman" w:eastAsia="Times New Roman" w:cs="Times New Roman"/>
          <w:sz w:val="18"/>
          <w:szCs w:val="18"/>
        </w:rPr>
        <w:t>HAV</w:t>
      </w:r>
      <w:r>
        <w:rPr>
          <w:rFonts w:ascii="Times New Roman" w:hAnsi="Times New Roman" w:eastAsia="Times New Roman" w:cs="Times New Roman"/>
          <w:spacing w:val="4"/>
          <w:sz w:val="18"/>
          <w:szCs w:val="18"/>
        </w:rPr>
        <w:t xml:space="preserve">   265</w:t>
      </w:r>
    </w:p>
    <w:sdt>
      <w:sdtPr>
        <w:rPr>
          <w:rFonts w:ascii="宋体" w:hAnsi="宋体" w:eastAsia="宋体" w:cs="宋体"/>
          <w:sz w:val="18"/>
          <w:szCs w:val="18"/>
        </w:rPr>
        <w:id w:val="499368326"/>
        <w:docPartObj>
          <w:docPartGallery w:val="Table of Contents"/>
          <w:docPartUnique/>
        </w:docPartObj>
      </w:sdtPr>
      <w:sdtEndPr>
        <w:rPr>
          <w:rFonts w:ascii="Times New Roman" w:hAnsi="Times New Roman" w:eastAsia="Times New Roman" w:cs="Times New Roman"/>
          <w:sz w:val="18"/>
          <w:szCs w:val="18"/>
        </w:rPr>
      </w:sdtEndPr>
      <w:sdtContent>
        <w:p w14:paraId="6CE95C52">
          <w:pPr>
            <w:spacing w:before="142" w:line="212" w:lineRule="auto"/>
            <w:rPr>
              <w:rFonts w:ascii="Times New Roman" w:hAnsi="Times New Roman" w:eastAsia="Times New Roman" w:cs="Times New Roman"/>
              <w:sz w:val="18"/>
              <w:szCs w:val="18"/>
            </w:rPr>
          </w:pPr>
          <w:r>
            <w:rPr>
              <w:rFonts w:ascii="宋体" w:hAnsi="宋体" w:eastAsia="宋体" w:cs="宋体"/>
              <w:spacing w:val="6"/>
              <w:sz w:val="18"/>
              <w:szCs w:val="18"/>
            </w:rPr>
            <w:t>检出症候偏倚</w:t>
          </w:r>
          <w:r>
            <w:rPr>
              <w:rFonts w:ascii="宋体" w:hAnsi="宋体" w:eastAsia="宋体" w:cs="宋体"/>
              <w:sz w:val="18"/>
              <w:szCs w:val="18"/>
            </w:rPr>
            <w:t xml:space="preserve">  </w:t>
          </w:r>
          <w:r>
            <w:rPr>
              <w:rFonts w:ascii="Times New Roman" w:hAnsi="Times New Roman" w:eastAsia="Times New Roman" w:cs="Times New Roman"/>
              <w:sz w:val="18"/>
              <w:szCs w:val="18"/>
            </w:rPr>
            <w:t>detection</w:t>
          </w:r>
          <w:r>
            <w:rPr>
              <w:rFonts w:ascii="Times New Roman" w:hAnsi="Times New Roman" w:eastAsia="Times New Roman" w:cs="Times New Roman"/>
              <w:spacing w:val="22"/>
              <w:w w:val="101"/>
              <w:sz w:val="18"/>
              <w:szCs w:val="18"/>
            </w:rPr>
            <w:t xml:space="preserve">  </w:t>
          </w:r>
          <w:r>
            <w:rPr>
              <w:rFonts w:ascii="Times New Roman" w:hAnsi="Times New Roman" w:eastAsia="Times New Roman" w:cs="Times New Roman"/>
              <w:sz w:val="18"/>
              <w:szCs w:val="18"/>
            </w:rPr>
            <w:t>signal</w:t>
          </w:r>
          <w:r>
            <w:rPr>
              <w:rFonts w:ascii="Times New Roman" w:hAnsi="Times New Roman" w:eastAsia="Times New Roman" w:cs="Times New Roman"/>
              <w:spacing w:val="17"/>
              <w:w w:val="101"/>
              <w:sz w:val="18"/>
              <w:szCs w:val="18"/>
            </w:rPr>
            <w:t xml:space="preserve">  </w:t>
          </w:r>
          <w:r>
            <w:rPr>
              <w:rFonts w:ascii="Times New Roman" w:hAnsi="Times New Roman" w:eastAsia="Times New Roman" w:cs="Times New Roman"/>
              <w:sz w:val="18"/>
              <w:szCs w:val="18"/>
            </w:rPr>
            <w:t>bias</w:t>
          </w:r>
          <w:r>
            <w:rPr>
              <w:rFonts w:ascii="Times New Roman" w:hAnsi="Times New Roman" w:eastAsia="Times New Roman" w:cs="Times New Roman"/>
              <w:spacing w:val="21"/>
              <w:sz w:val="18"/>
              <w:szCs w:val="18"/>
            </w:rPr>
            <w:t xml:space="preserve">  </w:t>
          </w:r>
          <w:r>
            <w:fldChar w:fldCharType="begin"/>
          </w:r>
          <w:r>
            <w:instrText xml:space="preserve"> HYPERLINK \l "bookmark435" </w:instrText>
          </w:r>
          <w:r>
            <w:fldChar w:fldCharType="separate"/>
          </w:r>
          <w:r>
            <w:rPr>
              <w:rFonts w:ascii="Times New Roman" w:hAnsi="Times New Roman" w:eastAsia="Times New Roman" w:cs="Times New Roman"/>
              <w:spacing w:val="6"/>
              <w:sz w:val="18"/>
              <w:szCs w:val="18"/>
            </w:rPr>
            <w:t>79</w:t>
          </w:r>
          <w:r>
            <w:rPr>
              <w:rFonts w:ascii="Times New Roman" w:hAnsi="Times New Roman" w:eastAsia="Times New Roman" w:cs="Times New Roman"/>
              <w:spacing w:val="6"/>
              <w:sz w:val="18"/>
              <w:szCs w:val="18"/>
            </w:rPr>
            <w:fldChar w:fldCharType="end"/>
          </w:r>
        </w:p>
        <w:p w14:paraId="02E4DAEF">
          <w:pPr>
            <w:spacing w:before="144" w:line="212" w:lineRule="auto"/>
            <w:rPr>
              <w:rFonts w:ascii="Times New Roman" w:hAnsi="Times New Roman" w:eastAsia="Times New Roman" w:cs="Times New Roman"/>
              <w:sz w:val="18"/>
              <w:szCs w:val="18"/>
            </w:rPr>
          </w:pPr>
          <w:r>
            <w:rPr>
              <w:rFonts w:ascii="宋体" w:hAnsi="宋体" w:eastAsia="宋体" w:cs="宋体"/>
              <w:spacing w:val="-2"/>
              <w:sz w:val="18"/>
              <w:szCs w:val="18"/>
            </w:rPr>
            <w:t>检</w:t>
          </w:r>
          <w:r>
            <w:rPr>
              <w:rFonts w:ascii="宋体" w:hAnsi="宋体" w:eastAsia="宋体" w:cs="宋体"/>
              <w:spacing w:val="-23"/>
              <w:sz w:val="18"/>
              <w:szCs w:val="18"/>
            </w:rPr>
            <w:t xml:space="preserve"> </w:t>
          </w:r>
          <w:r>
            <w:rPr>
              <w:rFonts w:ascii="宋体" w:hAnsi="宋体" w:eastAsia="宋体" w:cs="宋体"/>
              <w:spacing w:val="-2"/>
              <w:sz w:val="18"/>
              <w:szCs w:val="18"/>
            </w:rPr>
            <w:t>疫</w:t>
          </w:r>
          <w:r>
            <w:rPr>
              <w:rFonts w:ascii="宋体" w:hAnsi="宋体" w:eastAsia="宋体" w:cs="宋体"/>
              <w:spacing w:val="51"/>
              <w:sz w:val="18"/>
              <w:szCs w:val="18"/>
            </w:rPr>
            <w:t xml:space="preserve"> </w:t>
          </w:r>
          <w:r>
            <w:rPr>
              <w:rFonts w:ascii="Times New Roman" w:hAnsi="Times New Roman" w:eastAsia="Times New Roman" w:cs="Times New Roman"/>
              <w:spacing w:val="-2"/>
              <w:sz w:val="18"/>
              <w:szCs w:val="18"/>
            </w:rPr>
            <w:t>quarantine</w:t>
          </w:r>
          <w:r>
            <w:rPr>
              <w:rFonts w:ascii="Times New Roman" w:hAnsi="Times New Roman" w:eastAsia="Times New Roman" w:cs="Times New Roman"/>
              <w:spacing w:val="3"/>
              <w:sz w:val="18"/>
              <w:szCs w:val="18"/>
            </w:rPr>
            <w:t xml:space="preserve">      </w:t>
          </w:r>
          <w:r>
            <w:fldChar w:fldCharType="begin"/>
          </w:r>
          <w:r>
            <w:instrText xml:space="preserve"> HYPERLINK \l "bookmark659" </w:instrText>
          </w:r>
          <w:r>
            <w:fldChar w:fldCharType="separate"/>
          </w:r>
          <w:r>
            <w:rPr>
              <w:rFonts w:ascii="Times New Roman" w:hAnsi="Times New Roman" w:eastAsia="Times New Roman" w:cs="Times New Roman"/>
              <w:spacing w:val="-2"/>
              <w:sz w:val="18"/>
              <w:szCs w:val="18"/>
            </w:rPr>
            <w:t>2</w:t>
          </w:r>
          <w:r>
            <w:rPr>
              <w:rFonts w:ascii="Times New Roman" w:hAnsi="Times New Roman" w:eastAsia="Times New Roman" w:cs="Times New Roman"/>
              <w:spacing w:val="-2"/>
              <w:sz w:val="18"/>
              <w:szCs w:val="18"/>
            </w:rPr>
            <w:fldChar w:fldCharType="end"/>
          </w:r>
        </w:p>
        <w:p w14:paraId="527103E7">
          <w:pPr>
            <w:spacing w:before="183" w:line="212" w:lineRule="auto"/>
            <w:rPr>
              <w:rFonts w:ascii="Times New Roman" w:hAnsi="Times New Roman" w:eastAsia="Times New Roman" w:cs="Times New Roman"/>
              <w:sz w:val="18"/>
              <w:szCs w:val="18"/>
            </w:rPr>
          </w:pPr>
          <w:r>
            <w:rPr>
              <w:rFonts w:ascii="宋体" w:hAnsi="宋体" w:eastAsia="宋体" w:cs="宋体"/>
              <w:spacing w:val="5"/>
              <w:sz w:val="18"/>
              <w:szCs w:val="18"/>
            </w:rPr>
            <w:t>简单随机分组</w:t>
          </w:r>
          <w:r>
            <w:rPr>
              <w:rFonts w:ascii="宋体" w:hAnsi="宋体" w:eastAsia="宋体" w:cs="宋体"/>
              <w:spacing w:val="92"/>
              <w:sz w:val="18"/>
              <w:szCs w:val="18"/>
            </w:rPr>
            <w:t xml:space="preserve"> </w:t>
          </w:r>
          <w:r>
            <w:rPr>
              <w:rFonts w:ascii="Times New Roman" w:hAnsi="Times New Roman" w:eastAsia="Times New Roman" w:cs="Times New Roman"/>
              <w:sz w:val="18"/>
              <w:szCs w:val="18"/>
            </w:rPr>
            <w:t>simple</w:t>
          </w:r>
          <w:r>
            <w:rPr>
              <w:rFonts w:ascii="Times New Roman" w:hAnsi="Times New Roman" w:eastAsia="Times New Roman" w:cs="Times New Roman"/>
              <w:spacing w:val="5"/>
              <w:sz w:val="18"/>
              <w:szCs w:val="18"/>
            </w:rPr>
            <w:t xml:space="preserve">   </w:t>
          </w:r>
          <w:r>
            <w:rPr>
              <w:rFonts w:ascii="Times New Roman" w:hAnsi="Times New Roman" w:eastAsia="Times New Roman" w:cs="Times New Roman"/>
              <w:sz w:val="18"/>
              <w:szCs w:val="18"/>
            </w:rPr>
            <w:t>randomization</w:t>
          </w:r>
          <w:r>
            <w:rPr>
              <w:rFonts w:ascii="Times New Roman" w:hAnsi="Times New Roman" w:eastAsia="Times New Roman" w:cs="Times New Roman"/>
              <w:spacing w:val="8"/>
              <w:sz w:val="18"/>
              <w:szCs w:val="18"/>
            </w:rPr>
            <w:t xml:space="preserve">   </w:t>
          </w:r>
          <w:r>
            <w:fldChar w:fldCharType="begin"/>
          </w:r>
          <w:r>
            <w:instrText xml:space="preserve"> HYPERLINK \l "bookmark660" </w:instrText>
          </w:r>
          <w:r>
            <w:fldChar w:fldCharType="separate"/>
          </w:r>
          <w:r>
            <w:rPr>
              <w:rFonts w:ascii="Times New Roman" w:hAnsi="Times New Roman" w:eastAsia="Times New Roman" w:cs="Times New Roman"/>
              <w:spacing w:val="5"/>
              <w:sz w:val="18"/>
              <w:szCs w:val="18"/>
            </w:rPr>
            <w:t>89</w:t>
          </w:r>
          <w:r>
            <w:rPr>
              <w:rFonts w:ascii="Times New Roman" w:hAnsi="Times New Roman" w:eastAsia="Times New Roman" w:cs="Times New Roman"/>
              <w:spacing w:val="5"/>
              <w:sz w:val="18"/>
              <w:szCs w:val="18"/>
            </w:rPr>
            <w:fldChar w:fldCharType="end"/>
          </w:r>
        </w:p>
        <w:p w14:paraId="1B4FDE67">
          <w:pPr>
            <w:spacing w:before="165" w:line="221" w:lineRule="auto"/>
            <w:rPr>
              <w:rFonts w:ascii="宋体" w:hAnsi="宋体" w:eastAsia="宋体" w:cs="宋体"/>
              <w:sz w:val="18"/>
              <w:szCs w:val="18"/>
            </w:rPr>
          </w:pPr>
          <w:r>
            <w:rPr>
              <w:rFonts w:ascii="宋体" w:hAnsi="宋体" w:eastAsia="宋体" w:cs="宋体"/>
              <w:spacing w:val="-4"/>
              <w:sz w:val="18"/>
              <w:szCs w:val="18"/>
            </w:rPr>
            <w:t>间接病因  indirect cause;remote cause</w:t>
          </w:r>
          <w:r>
            <w:rPr>
              <w:rFonts w:ascii="宋体" w:hAnsi="宋体" w:eastAsia="宋体" w:cs="宋体"/>
              <w:spacing w:val="14"/>
              <w:sz w:val="18"/>
              <w:szCs w:val="18"/>
            </w:rPr>
            <w:t xml:space="preserve"> </w:t>
          </w:r>
          <w:r>
            <w:fldChar w:fldCharType="begin"/>
          </w:r>
          <w:r>
            <w:instrText xml:space="preserve"> HYPERLINK \l "bookmark661" </w:instrText>
          </w:r>
          <w:r>
            <w:fldChar w:fldCharType="separate"/>
          </w:r>
          <w:r>
            <w:rPr>
              <w:rFonts w:ascii="宋体" w:hAnsi="宋体" w:eastAsia="宋体" w:cs="宋体"/>
              <w:spacing w:val="-4"/>
              <w:sz w:val="18"/>
              <w:szCs w:val="18"/>
            </w:rPr>
            <w:t>119</w:t>
          </w:r>
          <w:r>
            <w:rPr>
              <w:rFonts w:ascii="宋体" w:hAnsi="宋体" w:eastAsia="宋体" w:cs="宋体"/>
              <w:spacing w:val="-4"/>
              <w:sz w:val="18"/>
              <w:szCs w:val="18"/>
            </w:rPr>
            <w:fldChar w:fldCharType="end"/>
          </w:r>
        </w:p>
        <w:p w14:paraId="549B006D">
          <w:pPr>
            <w:spacing w:before="134" w:line="220" w:lineRule="auto"/>
            <w:rPr>
              <w:rFonts w:ascii="Times New Roman" w:hAnsi="Times New Roman" w:eastAsia="Times New Roman" w:cs="Times New Roman"/>
              <w:sz w:val="18"/>
              <w:szCs w:val="18"/>
            </w:rPr>
          </w:pPr>
          <w:r>
            <w:rPr>
              <w:rFonts w:ascii="宋体" w:hAnsi="宋体" w:eastAsia="宋体" w:cs="宋体"/>
              <w:spacing w:val="5"/>
              <w:sz w:val="18"/>
              <w:szCs w:val="18"/>
            </w:rPr>
            <w:t>建成环境</w:t>
          </w:r>
          <w:r>
            <w:rPr>
              <w:rFonts w:ascii="宋体" w:hAnsi="宋体" w:eastAsia="宋体" w:cs="宋体"/>
              <w:spacing w:val="72"/>
              <w:w w:val="101"/>
              <w:sz w:val="18"/>
              <w:szCs w:val="18"/>
            </w:rPr>
            <w:t xml:space="preserve"> </w:t>
          </w:r>
          <w:r>
            <w:rPr>
              <w:rFonts w:ascii="Times New Roman" w:hAnsi="Times New Roman" w:eastAsia="Times New Roman" w:cs="Times New Roman"/>
              <w:sz w:val="18"/>
              <w:szCs w:val="18"/>
            </w:rPr>
            <w:t>built</w:t>
          </w:r>
          <w:r>
            <w:rPr>
              <w:rFonts w:ascii="Times New Roman" w:hAnsi="Times New Roman" w:eastAsia="Times New Roman" w:cs="Times New Roman"/>
              <w:spacing w:val="10"/>
              <w:sz w:val="18"/>
              <w:szCs w:val="18"/>
            </w:rPr>
            <w:t xml:space="preserve">   </w:t>
          </w:r>
          <w:r>
            <w:rPr>
              <w:rFonts w:ascii="Times New Roman" w:hAnsi="Times New Roman" w:eastAsia="Times New Roman" w:cs="Times New Roman"/>
              <w:sz w:val="18"/>
              <w:szCs w:val="18"/>
            </w:rPr>
            <w:t xml:space="preserve">environment    </w:t>
          </w:r>
          <w:r>
            <w:fldChar w:fldCharType="begin"/>
          </w:r>
          <w:r>
            <w:instrText xml:space="preserve"> HYPERLINK \l "bookmark662" </w:instrText>
          </w:r>
          <w:r>
            <w:fldChar w:fldCharType="separate"/>
          </w:r>
          <w:r>
            <w:rPr>
              <w:rFonts w:ascii="Times New Roman" w:hAnsi="Times New Roman" w:eastAsia="Times New Roman" w:cs="Times New Roman"/>
              <w:spacing w:val="5"/>
              <w:sz w:val="18"/>
              <w:szCs w:val="18"/>
            </w:rPr>
            <w:t>138</w:t>
          </w:r>
          <w:r>
            <w:rPr>
              <w:rFonts w:ascii="Times New Roman" w:hAnsi="Times New Roman" w:eastAsia="Times New Roman" w:cs="Times New Roman"/>
              <w:spacing w:val="5"/>
              <w:sz w:val="18"/>
              <w:szCs w:val="18"/>
            </w:rPr>
            <w:fldChar w:fldCharType="end"/>
          </w:r>
        </w:p>
        <w:p w14:paraId="72ADE878">
          <w:pPr>
            <w:spacing w:before="115" w:line="212" w:lineRule="auto"/>
            <w:rPr>
              <w:rFonts w:ascii="Times New Roman" w:hAnsi="Times New Roman" w:eastAsia="Times New Roman" w:cs="Times New Roman"/>
              <w:sz w:val="18"/>
              <w:szCs w:val="18"/>
            </w:rPr>
          </w:pPr>
          <w:r>
            <w:rPr>
              <w:rFonts w:ascii="宋体" w:hAnsi="宋体" w:eastAsia="宋体" w:cs="宋体"/>
              <w:spacing w:val="3"/>
              <w:sz w:val="18"/>
              <w:szCs w:val="18"/>
            </w:rPr>
            <w:t>健康保护</w:t>
          </w:r>
          <w:r>
            <w:rPr>
              <w:rFonts w:ascii="宋体" w:hAnsi="宋体" w:eastAsia="宋体" w:cs="宋体"/>
              <w:spacing w:val="81"/>
              <w:sz w:val="18"/>
              <w:szCs w:val="18"/>
            </w:rPr>
            <w:t xml:space="preserve"> </w:t>
          </w:r>
          <w:r>
            <w:rPr>
              <w:rFonts w:ascii="Times New Roman" w:hAnsi="Times New Roman" w:eastAsia="Times New Roman" w:cs="Times New Roman"/>
              <w:sz w:val="18"/>
              <w:szCs w:val="18"/>
            </w:rPr>
            <w:t>health</w:t>
          </w:r>
          <w:r>
            <w:rPr>
              <w:rFonts w:ascii="Times New Roman" w:hAnsi="Times New Roman" w:eastAsia="Times New Roman" w:cs="Times New Roman"/>
              <w:spacing w:val="8"/>
              <w:sz w:val="18"/>
              <w:szCs w:val="18"/>
            </w:rPr>
            <w:t xml:space="preserve">   </w:t>
          </w:r>
          <w:r>
            <w:rPr>
              <w:rFonts w:ascii="Times New Roman" w:hAnsi="Times New Roman" w:eastAsia="Times New Roman" w:cs="Times New Roman"/>
              <w:sz w:val="18"/>
              <w:szCs w:val="18"/>
            </w:rPr>
            <w:t xml:space="preserve">protection    </w:t>
          </w:r>
          <w:r>
            <w:fldChar w:fldCharType="begin"/>
          </w:r>
          <w:r>
            <w:instrText xml:space="preserve"> HYPERLINK \l "bookmark663" </w:instrText>
          </w:r>
          <w:r>
            <w:fldChar w:fldCharType="separate"/>
          </w:r>
          <w:r>
            <w:rPr>
              <w:rFonts w:ascii="Times New Roman" w:hAnsi="Times New Roman" w:eastAsia="Times New Roman" w:cs="Times New Roman"/>
              <w:spacing w:val="3"/>
              <w:sz w:val="18"/>
              <w:szCs w:val="18"/>
            </w:rPr>
            <w:t>142</w:t>
          </w:r>
          <w:r>
            <w:rPr>
              <w:rFonts w:ascii="Times New Roman" w:hAnsi="Times New Roman" w:eastAsia="Times New Roman" w:cs="Times New Roman"/>
              <w:spacing w:val="3"/>
              <w:sz w:val="18"/>
              <w:szCs w:val="18"/>
            </w:rPr>
            <w:fldChar w:fldCharType="end"/>
          </w:r>
        </w:p>
        <w:p w14:paraId="1F5DFB61">
          <w:pPr>
            <w:spacing w:before="143" w:line="212" w:lineRule="auto"/>
            <w:rPr>
              <w:rFonts w:ascii="Times New Roman" w:hAnsi="Times New Roman" w:eastAsia="Times New Roman" w:cs="Times New Roman"/>
              <w:sz w:val="18"/>
              <w:szCs w:val="18"/>
            </w:rPr>
          </w:pPr>
          <w:r>
            <w:rPr>
              <w:rFonts w:ascii="宋体" w:hAnsi="宋体" w:eastAsia="宋体" w:cs="宋体"/>
              <w:spacing w:val="6"/>
              <w:sz w:val="18"/>
              <w:szCs w:val="18"/>
            </w:rPr>
            <w:t>健康病原携带者</w:t>
          </w:r>
          <w:r>
            <w:rPr>
              <w:rFonts w:ascii="宋体" w:hAnsi="宋体" w:eastAsia="宋体" w:cs="宋体"/>
              <w:spacing w:val="67"/>
              <w:sz w:val="18"/>
              <w:szCs w:val="18"/>
            </w:rPr>
            <w:t xml:space="preserve"> </w:t>
          </w:r>
          <w:r>
            <w:rPr>
              <w:rFonts w:ascii="Times New Roman" w:hAnsi="Times New Roman" w:eastAsia="Times New Roman" w:cs="Times New Roman"/>
              <w:sz w:val="18"/>
              <w:szCs w:val="18"/>
            </w:rPr>
            <w:t>healthy</w:t>
          </w:r>
          <w:r>
            <w:rPr>
              <w:rFonts w:ascii="Times New Roman" w:hAnsi="Times New Roman" w:eastAsia="Times New Roman" w:cs="Times New Roman"/>
              <w:spacing w:val="10"/>
              <w:sz w:val="18"/>
              <w:szCs w:val="18"/>
            </w:rPr>
            <w:t xml:space="preserve">   </w:t>
          </w:r>
          <w:r>
            <w:rPr>
              <w:rFonts w:ascii="Times New Roman" w:hAnsi="Times New Roman" w:eastAsia="Times New Roman" w:cs="Times New Roman"/>
              <w:sz w:val="18"/>
              <w:szCs w:val="18"/>
            </w:rPr>
            <w:t xml:space="preserve">carrier    </w:t>
          </w:r>
          <w:r>
            <w:fldChar w:fldCharType="begin"/>
          </w:r>
          <w:r>
            <w:instrText xml:space="preserve"> HYPERLINK \l "bookmark664" </w:instrText>
          </w:r>
          <w:r>
            <w:fldChar w:fldCharType="separate"/>
          </w:r>
          <w:r>
            <w:rPr>
              <w:rFonts w:ascii="Times New Roman" w:hAnsi="Times New Roman" w:eastAsia="Times New Roman" w:cs="Times New Roman"/>
              <w:spacing w:val="6"/>
              <w:sz w:val="18"/>
              <w:szCs w:val="18"/>
            </w:rPr>
            <w:t>159</w:t>
          </w:r>
          <w:r>
            <w:rPr>
              <w:rFonts w:ascii="Times New Roman" w:hAnsi="Times New Roman" w:eastAsia="Times New Roman" w:cs="Times New Roman"/>
              <w:spacing w:val="6"/>
              <w:sz w:val="18"/>
              <w:szCs w:val="18"/>
            </w:rPr>
            <w:fldChar w:fldCharType="end"/>
          </w:r>
        </w:p>
      </w:sdtContent>
    </w:sdt>
    <w:p w14:paraId="17D8DB46">
      <w:pPr>
        <w:spacing w:before="143" w:line="212" w:lineRule="auto"/>
        <w:rPr>
          <w:rFonts w:ascii="Times New Roman" w:hAnsi="Times New Roman" w:eastAsia="Times New Roman" w:cs="Times New Roman"/>
          <w:sz w:val="18"/>
          <w:szCs w:val="18"/>
        </w:rPr>
      </w:pPr>
      <w:r>
        <w:rPr>
          <w:rFonts w:ascii="宋体" w:hAnsi="宋体" w:eastAsia="宋体" w:cs="宋体"/>
          <w:spacing w:val="5"/>
          <w:sz w:val="18"/>
          <w:szCs w:val="18"/>
        </w:rPr>
        <w:t>健康促进</w:t>
      </w:r>
      <w:r>
        <w:rPr>
          <w:rFonts w:ascii="宋体" w:hAnsi="宋体" w:eastAsia="宋体" w:cs="宋体"/>
          <w:spacing w:val="72"/>
          <w:w w:val="101"/>
          <w:sz w:val="18"/>
          <w:szCs w:val="18"/>
        </w:rPr>
        <w:t xml:space="preserve"> </w:t>
      </w:r>
      <w:r>
        <w:rPr>
          <w:rFonts w:ascii="Times New Roman" w:hAnsi="Times New Roman" w:eastAsia="Times New Roman" w:cs="Times New Roman"/>
          <w:sz w:val="18"/>
          <w:szCs w:val="18"/>
        </w:rPr>
        <w:t>health</w:t>
      </w:r>
      <w:r>
        <w:rPr>
          <w:rFonts w:ascii="Times New Roman" w:hAnsi="Times New Roman" w:eastAsia="Times New Roman" w:cs="Times New Roman"/>
          <w:spacing w:val="5"/>
          <w:sz w:val="18"/>
          <w:szCs w:val="18"/>
        </w:rPr>
        <w:t xml:space="preserve">   </w:t>
      </w:r>
      <w:r>
        <w:rPr>
          <w:rFonts w:ascii="Times New Roman" w:hAnsi="Times New Roman" w:eastAsia="Times New Roman" w:cs="Times New Roman"/>
          <w:sz w:val="18"/>
          <w:szCs w:val="18"/>
        </w:rPr>
        <w:t>promotion</w:t>
      </w:r>
      <w:r>
        <w:rPr>
          <w:rFonts w:ascii="Times New Roman" w:hAnsi="Times New Roman" w:eastAsia="Times New Roman" w:cs="Times New Roman"/>
          <w:spacing w:val="10"/>
          <w:sz w:val="18"/>
          <w:szCs w:val="18"/>
        </w:rPr>
        <w:t xml:space="preserve">   </w:t>
      </w:r>
      <w:r>
        <w:rPr>
          <w:rFonts w:ascii="Times New Roman" w:hAnsi="Times New Roman" w:eastAsia="Times New Roman" w:cs="Times New Roman"/>
          <w:spacing w:val="5"/>
          <w:sz w:val="18"/>
          <w:szCs w:val="18"/>
        </w:rPr>
        <w:t>142</w:t>
      </w:r>
    </w:p>
    <w:p w14:paraId="26A20B02">
      <w:pPr>
        <w:spacing w:before="131" w:line="355" w:lineRule="auto"/>
        <w:ind w:right="819"/>
        <w:rPr>
          <w:rFonts w:ascii="Times New Roman" w:hAnsi="Times New Roman" w:eastAsia="Times New Roman" w:cs="Times New Roman"/>
          <w:sz w:val="18"/>
          <w:szCs w:val="18"/>
        </w:rPr>
      </w:pPr>
      <w:r>
        <w:rPr>
          <w:rFonts w:ascii="宋体" w:hAnsi="宋体" w:eastAsia="宋体" w:cs="宋体"/>
          <w:sz w:val="18"/>
          <w:szCs w:val="18"/>
        </w:rPr>
        <w:t>健康的决定因素</w:t>
      </w:r>
      <w:r>
        <w:rPr>
          <w:rFonts w:ascii="宋体" w:hAnsi="宋体" w:eastAsia="宋体" w:cs="宋体"/>
          <w:spacing w:val="69"/>
          <w:sz w:val="18"/>
          <w:szCs w:val="18"/>
        </w:rPr>
        <w:t xml:space="preserve"> </w:t>
      </w:r>
      <w:r>
        <w:rPr>
          <w:rFonts w:ascii="宋体" w:hAnsi="宋体" w:eastAsia="宋体" w:cs="宋体"/>
          <w:sz w:val="18"/>
          <w:szCs w:val="18"/>
        </w:rPr>
        <w:t xml:space="preserve">determinants of health,DoH 137 </w:t>
      </w:r>
      <w:r>
        <w:rPr>
          <w:rFonts w:ascii="宋体" w:hAnsi="宋体" w:eastAsia="宋体" w:cs="宋体"/>
          <w:spacing w:val="2"/>
          <w:sz w:val="18"/>
          <w:szCs w:val="18"/>
        </w:rPr>
        <w:t>健康教育</w:t>
      </w:r>
      <w:r>
        <w:rPr>
          <w:rFonts w:ascii="宋体" w:hAnsi="宋体" w:eastAsia="宋体" w:cs="宋体"/>
          <w:spacing w:val="70"/>
          <w:sz w:val="18"/>
          <w:szCs w:val="18"/>
        </w:rPr>
        <w:t xml:space="preserve"> </w:t>
      </w:r>
      <w:r>
        <w:rPr>
          <w:rFonts w:ascii="Times New Roman" w:hAnsi="Times New Roman" w:eastAsia="Times New Roman" w:cs="Times New Roman"/>
          <w:sz w:val="18"/>
          <w:szCs w:val="18"/>
        </w:rPr>
        <w:t>health</w:t>
      </w:r>
      <w:r>
        <w:rPr>
          <w:rFonts w:ascii="Times New Roman" w:hAnsi="Times New Roman" w:eastAsia="Times New Roman" w:cs="Times New Roman"/>
          <w:spacing w:val="2"/>
          <w:sz w:val="18"/>
          <w:szCs w:val="18"/>
        </w:rPr>
        <w:t xml:space="preserve">    </w:t>
      </w:r>
      <w:r>
        <w:rPr>
          <w:rFonts w:ascii="Times New Roman" w:hAnsi="Times New Roman" w:eastAsia="Times New Roman" w:cs="Times New Roman"/>
          <w:sz w:val="18"/>
          <w:szCs w:val="18"/>
        </w:rPr>
        <w:t>education</w:t>
      </w:r>
      <w:r>
        <w:rPr>
          <w:rFonts w:ascii="Times New Roman" w:hAnsi="Times New Roman" w:eastAsia="Times New Roman" w:cs="Times New Roman"/>
          <w:spacing w:val="5"/>
          <w:sz w:val="18"/>
          <w:szCs w:val="18"/>
        </w:rPr>
        <w:t xml:space="preserve">    </w:t>
      </w:r>
      <w:r>
        <w:rPr>
          <w:rFonts w:ascii="Times New Roman" w:hAnsi="Times New Roman" w:eastAsia="Times New Roman" w:cs="Times New Roman"/>
          <w:spacing w:val="2"/>
          <w:sz w:val="18"/>
          <w:szCs w:val="18"/>
        </w:rPr>
        <w:t>142</w:t>
      </w:r>
    </w:p>
    <w:p w14:paraId="2B2A1E0F">
      <w:pPr>
        <w:spacing w:line="354" w:lineRule="auto"/>
        <w:ind w:right="302"/>
        <w:rPr>
          <w:rFonts w:ascii="Times New Roman" w:hAnsi="Times New Roman" w:eastAsia="Times New Roman" w:cs="Times New Roman"/>
          <w:sz w:val="18"/>
          <w:szCs w:val="18"/>
        </w:rPr>
      </w:pPr>
      <w:r>
        <w:rPr>
          <w:rFonts w:ascii="宋体" w:hAnsi="宋体" w:eastAsia="宋体" w:cs="宋体"/>
          <w:spacing w:val="3"/>
          <w:sz w:val="18"/>
          <w:szCs w:val="18"/>
        </w:rPr>
        <w:t>健康寿命损失年</w:t>
      </w:r>
      <w:r>
        <w:rPr>
          <w:rFonts w:ascii="宋体" w:hAnsi="宋体" w:eastAsia="宋体" w:cs="宋体"/>
          <w:spacing w:val="65"/>
          <w:sz w:val="18"/>
          <w:szCs w:val="18"/>
        </w:rPr>
        <w:t xml:space="preserve"> </w:t>
      </w:r>
      <w:r>
        <w:rPr>
          <w:rFonts w:ascii="Times New Roman" w:hAnsi="Times New Roman" w:eastAsia="Times New Roman" w:cs="Times New Roman"/>
          <w:sz w:val="18"/>
          <w:szCs w:val="18"/>
        </w:rPr>
        <w:t>years</w:t>
      </w:r>
      <w:r>
        <w:rPr>
          <w:rFonts w:ascii="Times New Roman" w:hAnsi="Times New Roman" w:eastAsia="Times New Roman" w:cs="Times New Roman"/>
          <w:spacing w:val="21"/>
          <w:w w:val="101"/>
          <w:sz w:val="18"/>
          <w:szCs w:val="18"/>
        </w:rPr>
        <w:t xml:space="preserve">  </w:t>
      </w:r>
      <w:r>
        <w:rPr>
          <w:rFonts w:ascii="Times New Roman" w:hAnsi="Times New Roman" w:eastAsia="Times New Roman" w:cs="Times New Roman"/>
          <w:sz w:val="18"/>
          <w:szCs w:val="18"/>
        </w:rPr>
        <w:t>lived</w:t>
      </w:r>
      <w:r>
        <w:rPr>
          <w:rFonts w:ascii="Times New Roman" w:hAnsi="Times New Roman" w:eastAsia="Times New Roman" w:cs="Times New Roman"/>
          <w:spacing w:val="19"/>
          <w:w w:val="101"/>
          <w:sz w:val="18"/>
          <w:szCs w:val="18"/>
        </w:rPr>
        <w:t xml:space="preserve">  </w:t>
      </w:r>
      <w:r>
        <w:rPr>
          <w:rFonts w:ascii="Times New Roman" w:hAnsi="Times New Roman" w:eastAsia="Times New Roman" w:cs="Times New Roman"/>
          <w:sz w:val="18"/>
          <w:szCs w:val="18"/>
        </w:rPr>
        <w:t>with</w:t>
      </w:r>
      <w:r>
        <w:rPr>
          <w:rFonts w:ascii="Times New Roman" w:hAnsi="Times New Roman" w:eastAsia="Times New Roman" w:cs="Times New Roman"/>
          <w:spacing w:val="21"/>
          <w:w w:val="101"/>
          <w:sz w:val="18"/>
          <w:szCs w:val="18"/>
        </w:rPr>
        <w:t xml:space="preserve">  </w:t>
      </w:r>
      <w:r>
        <w:rPr>
          <w:rFonts w:ascii="Times New Roman" w:hAnsi="Times New Roman" w:eastAsia="Times New Roman" w:cs="Times New Roman"/>
          <w:sz w:val="18"/>
          <w:szCs w:val="18"/>
        </w:rPr>
        <w:t>disability</w:t>
      </w:r>
      <w:r>
        <w:rPr>
          <w:rFonts w:ascii="Times New Roman" w:hAnsi="Times New Roman" w:eastAsia="Times New Roman" w:cs="Times New Roman"/>
          <w:spacing w:val="3"/>
          <w:sz w:val="18"/>
          <w:szCs w:val="18"/>
        </w:rPr>
        <w:t>,</w:t>
      </w:r>
      <w:r>
        <w:rPr>
          <w:rFonts w:ascii="Times New Roman" w:hAnsi="Times New Roman" w:eastAsia="Times New Roman" w:cs="Times New Roman"/>
          <w:sz w:val="18"/>
          <w:szCs w:val="18"/>
        </w:rPr>
        <w:t>YLD</w:t>
      </w:r>
      <w:r>
        <w:rPr>
          <w:rFonts w:ascii="Times New Roman" w:hAnsi="Times New Roman" w:eastAsia="Times New Roman" w:cs="Times New Roman"/>
          <w:spacing w:val="3"/>
          <w:sz w:val="18"/>
          <w:szCs w:val="18"/>
        </w:rPr>
        <w:t xml:space="preserve">   16,186</w:t>
      </w:r>
      <w:r>
        <w:rPr>
          <w:rFonts w:ascii="Times New Roman" w:hAnsi="Times New Roman" w:eastAsia="Times New Roman" w:cs="Times New Roman"/>
          <w:sz w:val="18"/>
          <w:szCs w:val="18"/>
        </w:rPr>
        <w:t xml:space="preserve"> </w:t>
      </w:r>
      <w:r>
        <w:rPr>
          <w:rFonts w:ascii="宋体" w:hAnsi="宋体" w:eastAsia="宋体" w:cs="宋体"/>
          <w:spacing w:val="1"/>
          <w:sz w:val="18"/>
          <w:szCs w:val="18"/>
        </w:rPr>
        <w:t>交叉感染</w:t>
      </w:r>
      <w:r>
        <w:rPr>
          <w:rFonts w:ascii="宋体" w:hAnsi="宋体" w:eastAsia="宋体" w:cs="宋体"/>
          <w:spacing w:val="85"/>
          <w:sz w:val="18"/>
          <w:szCs w:val="18"/>
        </w:rPr>
        <w:t xml:space="preserve"> </w:t>
      </w:r>
      <w:r>
        <w:rPr>
          <w:rFonts w:ascii="Times New Roman" w:hAnsi="Times New Roman" w:eastAsia="Times New Roman" w:cs="Times New Roman"/>
          <w:sz w:val="18"/>
          <w:szCs w:val="18"/>
        </w:rPr>
        <w:t>cross</w:t>
      </w:r>
      <w:r>
        <w:rPr>
          <w:rFonts w:ascii="Times New Roman" w:hAnsi="Times New Roman" w:eastAsia="Times New Roman" w:cs="Times New Roman"/>
          <w:spacing w:val="9"/>
          <w:sz w:val="18"/>
          <w:szCs w:val="18"/>
        </w:rPr>
        <w:t xml:space="preserve">   </w:t>
      </w:r>
      <w:r>
        <w:rPr>
          <w:rFonts w:ascii="Times New Roman" w:hAnsi="Times New Roman" w:eastAsia="Times New Roman" w:cs="Times New Roman"/>
          <w:sz w:val="18"/>
          <w:szCs w:val="18"/>
        </w:rPr>
        <w:t>infection</w:t>
      </w:r>
      <w:r>
        <w:rPr>
          <w:rFonts w:ascii="Times New Roman" w:hAnsi="Times New Roman" w:eastAsia="Times New Roman" w:cs="Times New Roman"/>
          <w:spacing w:val="14"/>
          <w:w w:val="101"/>
          <w:sz w:val="18"/>
          <w:szCs w:val="18"/>
        </w:rPr>
        <w:t xml:space="preserve">   </w:t>
      </w:r>
      <w:r>
        <w:rPr>
          <w:rFonts w:ascii="Times New Roman" w:hAnsi="Times New Roman" w:eastAsia="Times New Roman" w:cs="Times New Roman"/>
          <w:spacing w:val="1"/>
          <w:sz w:val="18"/>
          <w:szCs w:val="18"/>
        </w:rPr>
        <w:t>174</w:t>
      </w:r>
    </w:p>
    <w:p w14:paraId="79DB402B">
      <w:pPr>
        <w:spacing w:before="1" w:line="295" w:lineRule="auto"/>
        <w:ind w:left="230" w:right="365" w:hanging="230"/>
        <w:rPr>
          <w:rFonts w:ascii="Times New Roman" w:hAnsi="Times New Roman" w:eastAsia="Times New Roman" w:cs="Times New Roman"/>
          <w:sz w:val="18"/>
          <w:szCs w:val="18"/>
        </w:rPr>
      </w:pPr>
      <w:r>
        <w:rPr>
          <w:rFonts w:ascii="宋体" w:hAnsi="宋体" w:eastAsia="宋体" w:cs="宋体"/>
          <w:spacing w:val="-10"/>
          <w:sz w:val="18"/>
          <w:szCs w:val="18"/>
        </w:rPr>
        <w:t>结构和/或功能改变标志</w:t>
      </w:r>
      <w:r>
        <w:rPr>
          <w:rFonts w:ascii="宋体" w:hAnsi="宋体" w:eastAsia="宋体" w:cs="宋体"/>
          <w:spacing w:val="63"/>
          <w:sz w:val="18"/>
          <w:szCs w:val="18"/>
        </w:rPr>
        <w:t xml:space="preserve"> </w:t>
      </w:r>
      <w:r>
        <w:rPr>
          <w:rFonts w:ascii="宋体" w:hAnsi="宋体" w:eastAsia="宋体" w:cs="宋体"/>
          <w:spacing w:val="-10"/>
          <w:sz w:val="18"/>
          <w:szCs w:val="18"/>
        </w:rPr>
        <w:t>altered structure and/or function</w:t>
      </w:r>
      <w:r>
        <w:rPr>
          <w:rFonts w:ascii="宋体" w:hAnsi="宋体" w:eastAsia="宋体" w:cs="宋体"/>
          <w:sz w:val="18"/>
          <w:szCs w:val="18"/>
        </w:rPr>
        <w:t xml:space="preserve"> </w:t>
      </w:r>
      <w:r>
        <w:rPr>
          <w:rFonts w:ascii="Times New Roman" w:hAnsi="Times New Roman" w:eastAsia="Times New Roman" w:cs="Times New Roman"/>
          <w:spacing w:val="-1"/>
          <w:sz w:val="18"/>
          <w:szCs w:val="18"/>
        </w:rPr>
        <w:t>biomarker</w:t>
      </w:r>
      <w:r>
        <w:rPr>
          <w:rFonts w:ascii="Times New Roman" w:hAnsi="Times New Roman" w:eastAsia="Times New Roman" w:cs="Times New Roman"/>
          <w:spacing w:val="9"/>
          <w:sz w:val="18"/>
          <w:szCs w:val="18"/>
        </w:rPr>
        <w:t xml:space="preserve">     </w:t>
      </w:r>
      <w:r>
        <w:rPr>
          <w:rFonts w:ascii="Times New Roman" w:hAnsi="Times New Roman" w:eastAsia="Times New Roman" w:cs="Times New Roman"/>
          <w:spacing w:val="-1"/>
          <w:sz w:val="18"/>
          <w:szCs w:val="18"/>
        </w:rPr>
        <w:t>237</w:t>
      </w:r>
    </w:p>
    <w:p w14:paraId="3F87B430">
      <w:pPr>
        <w:spacing w:line="14" w:lineRule="auto"/>
        <w:rPr>
          <w:rFonts w:ascii="Arial"/>
          <w:sz w:val="2"/>
        </w:rPr>
      </w:pPr>
      <w:r>
        <w:rPr>
          <w:rFonts w:ascii="Arial" w:hAnsi="Arial" w:eastAsia="Arial" w:cs="Arial"/>
          <w:sz w:val="2"/>
          <w:szCs w:val="2"/>
        </w:rPr>
        <w:br w:type="column"/>
      </w:r>
    </w:p>
    <w:p w14:paraId="6CFD1A7F">
      <w:pPr>
        <w:spacing w:line="257" w:lineRule="auto"/>
        <w:rPr>
          <w:rFonts w:ascii="Arial"/>
          <w:sz w:val="21"/>
        </w:rPr>
      </w:pPr>
    </w:p>
    <w:p w14:paraId="4C8693B2">
      <w:pPr>
        <w:spacing w:line="258" w:lineRule="auto"/>
        <w:rPr>
          <w:rFonts w:ascii="Arial"/>
          <w:sz w:val="21"/>
        </w:rPr>
      </w:pPr>
    </w:p>
    <w:p w14:paraId="5C156FD5">
      <w:pPr>
        <w:spacing w:line="258" w:lineRule="auto"/>
        <w:rPr>
          <w:rFonts w:ascii="Arial"/>
          <w:sz w:val="21"/>
        </w:rPr>
      </w:pPr>
    </w:p>
    <w:p w14:paraId="460DD854">
      <w:pPr>
        <w:spacing w:before="59" w:line="212" w:lineRule="auto"/>
        <w:rPr>
          <w:rFonts w:ascii="Times New Roman" w:hAnsi="Times New Roman" w:eastAsia="Times New Roman" w:cs="Times New Roman"/>
          <w:sz w:val="18"/>
          <w:szCs w:val="18"/>
        </w:rPr>
      </w:pPr>
      <w:r>
        <w:rPr>
          <w:rFonts w:ascii="宋体" w:hAnsi="宋体" w:eastAsia="宋体" w:cs="宋体"/>
          <w:spacing w:val="3"/>
          <w:sz w:val="18"/>
          <w:szCs w:val="18"/>
        </w:rPr>
        <w:t>结核病</w:t>
      </w:r>
      <w:r>
        <w:rPr>
          <w:rFonts w:ascii="宋体" w:hAnsi="宋体" w:eastAsia="宋体" w:cs="宋体"/>
          <w:spacing w:val="83"/>
          <w:w w:val="101"/>
          <w:sz w:val="18"/>
          <w:szCs w:val="18"/>
        </w:rPr>
        <w:t xml:space="preserve"> </w:t>
      </w:r>
      <w:r>
        <w:rPr>
          <w:rFonts w:ascii="Times New Roman" w:hAnsi="Times New Roman" w:eastAsia="Times New Roman" w:cs="Times New Roman"/>
          <w:sz w:val="18"/>
          <w:szCs w:val="18"/>
        </w:rPr>
        <w:t>tubereulosis</w:t>
      </w:r>
      <w:r>
        <w:rPr>
          <w:rFonts w:ascii="Times New Roman" w:hAnsi="Times New Roman" w:eastAsia="Times New Roman" w:cs="Times New Roman"/>
          <w:spacing w:val="3"/>
          <w:sz w:val="18"/>
          <w:szCs w:val="18"/>
        </w:rPr>
        <w:t>,</w:t>
      </w:r>
      <w:r>
        <w:rPr>
          <w:rFonts w:ascii="Times New Roman" w:hAnsi="Times New Roman" w:eastAsia="Times New Roman" w:cs="Times New Roman"/>
          <w:sz w:val="18"/>
          <w:szCs w:val="18"/>
        </w:rPr>
        <w:t>TB</w:t>
      </w:r>
      <w:r>
        <w:rPr>
          <w:rFonts w:ascii="Times New Roman" w:hAnsi="Times New Roman" w:eastAsia="Times New Roman" w:cs="Times New Roman"/>
          <w:spacing w:val="3"/>
          <w:sz w:val="18"/>
          <w:szCs w:val="18"/>
        </w:rPr>
        <w:t xml:space="preserve">      282</w:t>
      </w:r>
    </w:p>
    <w:p w14:paraId="620D660A">
      <w:pPr>
        <w:spacing w:before="143" w:line="347" w:lineRule="auto"/>
        <w:ind w:right="1903"/>
        <w:rPr>
          <w:rFonts w:ascii="Times New Roman" w:hAnsi="Times New Roman" w:eastAsia="Times New Roman" w:cs="Times New Roman"/>
          <w:sz w:val="18"/>
          <w:szCs w:val="18"/>
        </w:rPr>
      </w:pPr>
      <w:r>
        <w:rPr>
          <w:rFonts w:ascii="宋体" w:hAnsi="宋体" w:eastAsia="宋体" w:cs="宋体"/>
          <w:spacing w:val="1"/>
          <w:sz w:val="18"/>
          <w:szCs w:val="18"/>
        </w:rPr>
        <w:t>截断值</w:t>
      </w:r>
      <w:r>
        <w:rPr>
          <w:rFonts w:ascii="宋体" w:hAnsi="宋体" w:eastAsia="宋体" w:cs="宋体"/>
          <w:spacing w:val="77"/>
          <w:sz w:val="18"/>
          <w:szCs w:val="18"/>
        </w:rPr>
        <w:t xml:space="preserve"> </w:t>
      </w:r>
      <w:r>
        <w:rPr>
          <w:rFonts w:ascii="Times New Roman" w:hAnsi="Times New Roman" w:eastAsia="Times New Roman" w:cs="Times New Roman"/>
          <w:sz w:val="18"/>
          <w:szCs w:val="18"/>
        </w:rPr>
        <w:t>cut</w:t>
      </w:r>
      <w:r>
        <w:rPr>
          <w:rFonts w:ascii="Times New Roman" w:hAnsi="Times New Roman" w:eastAsia="Times New Roman" w:cs="Times New Roman"/>
          <w:spacing w:val="1"/>
          <w:sz w:val="18"/>
          <w:szCs w:val="18"/>
        </w:rPr>
        <w:t>-</w:t>
      </w:r>
      <w:r>
        <w:rPr>
          <w:rFonts w:ascii="Times New Roman" w:hAnsi="Times New Roman" w:eastAsia="Times New Roman" w:cs="Times New Roman"/>
          <w:sz w:val="18"/>
          <w:szCs w:val="18"/>
        </w:rPr>
        <w:t>off</w:t>
      </w:r>
      <w:r>
        <w:rPr>
          <w:rFonts w:ascii="Times New Roman" w:hAnsi="Times New Roman" w:eastAsia="Times New Roman" w:cs="Times New Roman"/>
          <w:spacing w:val="22"/>
          <w:sz w:val="18"/>
          <w:szCs w:val="18"/>
        </w:rPr>
        <w:t xml:space="preserve">  </w:t>
      </w:r>
      <w:r>
        <w:rPr>
          <w:rFonts w:ascii="Times New Roman" w:hAnsi="Times New Roman" w:eastAsia="Times New Roman" w:cs="Times New Roman"/>
          <w:sz w:val="18"/>
          <w:szCs w:val="18"/>
        </w:rPr>
        <w:t>value</w:t>
      </w:r>
      <w:r>
        <w:rPr>
          <w:rFonts w:ascii="Times New Roman" w:hAnsi="Times New Roman" w:eastAsia="Times New Roman" w:cs="Times New Roman"/>
          <w:spacing w:val="12"/>
          <w:w w:val="101"/>
          <w:sz w:val="18"/>
          <w:szCs w:val="18"/>
        </w:rPr>
        <w:t xml:space="preserve">   </w:t>
      </w:r>
      <w:r>
        <w:rPr>
          <w:rFonts w:ascii="Times New Roman" w:hAnsi="Times New Roman" w:eastAsia="Times New Roman" w:cs="Times New Roman"/>
          <w:spacing w:val="1"/>
          <w:sz w:val="18"/>
          <w:szCs w:val="18"/>
        </w:rPr>
        <w:t>104,108</w:t>
      </w:r>
      <w:r>
        <w:rPr>
          <w:rFonts w:ascii="Times New Roman" w:hAnsi="Times New Roman" w:eastAsia="Times New Roman" w:cs="Times New Roman"/>
          <w:sz w:val="18"/>
          <w:szCs w:val="18"/>
        </w:rPr>
        <w:t xml:space="preserve"> </w:t>
      </w:r>
      <w:r>
        <w:rPr>
          <w:rFonts w:ascii="宋体" w:hAnsi="宋体" w:eastAsia="宋体" w:cs="宋体"/>
          <w:spacing w:val="1"/>
          <w:sz w:val="18"/>
          <w:szCs w:val="18"/>
        </w:rPr>
        <w:t>金标准</w:t>
      </w:r>
      <w:r>
        <w:rPr>
          <w:rFonts w:ascii="宋体" w:hAnsi="宋体" w:eastAsia="宋体" w:cs="宋体"/>
          <w:spacing w:val="71"/>
          <w:sz w:val="18"/>
          <w:szCs w:val="18"/>
        </w:rPr>
        <w:t xml:space="preserve"> </w:t>
      </w:r>
      <w:r>
        <w:rPr>
          <w:rFonts w:ascii="Times New Roman" w:hAnsi="Times New Roman" w:eastAsia="Times New Roman" w:cs="Times New Roman"/>
          <w:sz w:val="18"/>
          <w:szCs w:val="18"/>
        </w:rPr>
        <w:t>gold</w:t>
      </w:r>
      <w:r>
        <w:rPr>
          <w:rFonts w:ascii="Times New Roman" w:hAnsi="Times New Roman" w:eastAsia="Times New Roman" w:cs="Times New Roman"/>
          <w:spacing w:val="1"/>
          <w:sz w:val="18"/>
          <w:szCs w:val="18"/>
        </w:rPr>
        <w:t xml:space="preserve">   </w:t>
      </w:r>
      <w:r>
        <w:rPr>
          <w:rFonts w:ascii="Times New Roman" w:hAnsi="Times New Roman" w:eastAsia="Times New Roman" w:cs="Times New Roman"/>
          <w:sz w:val="18"/>
          <w:szCs w:val="18"/>
        </w:rPr>
        <w:t>standard</w:t>
      </w:r>
      <w:r>
        <w:rPr>
          <w:rFonts w:ascii="Times New Roman" w:hAnsi="Times New Roman" w:eastAsia="Times New Roman" w:cs="Times New Roman"/>
          <w:spacing w:val="7"/>
          <w:sz w:val="18"/>
          <w:szCs w:val="18"/>
        </w:rPr>
        <w:t xml:space="preserve">   </w:t>
      </w:r>
      <w:r>
        <w:rPr>
          <w:rFonts w:ascii="Times New Roman" w:hAnsi="Times New Roman" w:eastAsia="Times New Roman" w:cs="Times New Roman"/>
          <w:spacing w:val="1"/>
          <w:sz w:val="18"/>
          <w:szCs w:val="18"/>
        </w:rPr>
        <w:t>104</w:t>
      </w:r>
    </w:p>
    <w:p w14:paraId="7122F8AE">
      <w:pPr>
        <w:spacing w:before="34" w:line="219" w:lineRule="auto"/>
        <w:rPr>
          <w:rFonts w:ascii="Times New Roman" w:hAnsi="Times New Roman" w:eastAsia="Times New Roman" w:cs="Times New Roman"/>
          <w:sz w:val="18"/>
          <w:szCs w:val="18"/>
        </w:rPr>
      </w:pPr>
      <w:r>
        <w:rPr>
          <w:rFonts w:ascii="宋体" w:hAnsi="宋体" w:eastAsia="宋体" w:cs="宋体"/>
          <w:spacing w:val="2"/>
          <w:sz w:val="18"/>
          <w:szCs w:val="18"/>
        </w:rPr>
        <w:t>经尘埃传播</w:t>
      </w:r>
      <w:r>
        <w:rPr>
          <w:rFonts w:ascii="宋体" w:hAnsi="宋体" w:eastAsia="宋体" w:cs="宋体"/>
          <w:spacing w:val="77"/>
          <w:sz w:val="18"/>
          <w:szCs w:val="18"/>
        </w:rPr>
        <w:t xml:space="preserve"> </w:t>
      </w:r>
      <w:r>
        <w:rPr>
          <w:rFonts w:ascii="Times New Roman" w:hAnsi="Times New Roman" w:eastAsia="Times New Roman" w:cs="Times New Roman"/>
          <w:sz w:val="18"/>
          <w:szCs w:val="18"/>
        </w:rPr>
        <w:t>dust</w:t>
      </w:r>
      <w:r>
        <w:rPr>
          <w:rFonts w:ascii="Times New Roman" w:hAnsi="Times New Roman" w:eastAsia="Times New Roman" w:cs="Times New Roman"/>
          <w:spacing w:val="2"/>
          <w:sz w:val="18"/>
          <w:szCs w:val="18"/>
        </w:rPr>
        <w:t xml:space="preserve">   </w:t>
      </w:r>
      <w:r>
        <w:rPr>
          <w:rFonts w:ascii="Times New Roman" w:hAnsi="Times New Roman" w:eastAsia="Times New Roman" w:cs="Times New Roman"/>
          <w:sz w:val="18"/>
          <w:szCs w:val="18"/>
        </w:rPr>
        <w:t>transmission</w:t>
      </w:r>
      <w:r>
        <w:rPr>
          <w:rFonts w:ascii="Times New Roman" w:hAnsi="Times New Roman" w:eastAsia="Times New Roman" w:cs="Times New Roman"/>
          <w:spacing w:val="11"/>
          <w:sz w:val="18"/>
          <w:szCs w:val="18"/>
        </w:rPr>
        <w:t xml:space="preserve">   </w:t>
      </w:r>
      <w:r>
        <w:rPr>
          <w:rFonts w:ascii="Times New Roman" w:hAnsi="Times New Roman" w:eastAsia="Times New Roman" w:cs="Times New Roman"/>
          <w:spacing w:val="2"/>
          <w:sz w:val="18"/>
          <w:szCs w:val="18"/>
        </w:rPr>
        <w:t>160</w:t>
      </w:r>
    </w:p>
    <w:p w14:paraId="3BBD17BC">
      <w:pPr>
        <w:spacing w:before="117" w:line="212" w:lineRule="auto"/>
        <w:rPr>
          <w:rFonts w:ascii="Times New Roman" w:hAnsi="Times New Roman" w:eastAsia="Times New Roman" w:cs="Times New Roman"/>
          <w:sz w:val="18"/>
          <w:szCs w:val="18"/>
        </w:rPr>
      </w:pPr>
      <w:r>
        <w:rPr>
          <w:rFonts w:ascii="宋体" w:hAnsi="宋体" w:eastAsia="宋体" w:cs="宋体"/>
          <w:spacing w:val="2"/>
          <w:sz w:val="18"/>
          <w:szCs w:val="18"/>
        </w:rPr>
        <w:t>经飞沫传播</w:t>
      </w:r>
      <w:r>
        <w:rPr>
          <w:rFonts w:ascii="宋体" w:hAnsi="宋体" w:eastAsia="宋体" w:cs="宋体"/>
          <w:spacing w:val="77"/>
          <w:sz w:val="18"/>
          <w:szCs w:val="18"/>
        </w:rPr>
        <w:t xml:space="preserve"> </w:t>
      </w:r>
      <w:r>
        <w:rPr>
          <w:rFonts w:ascii="Times New Roman" w:hAnsi="Times New Roman" w:eastAsia="Times New Roman" w:cs="Times New Roman"/>
          <w:sz w:val="18"/>
          <w:szCs w:val="18"/>
        </w:rPr>
        <w:t>droplet</w:t>
      </w:r>
      <w:r>
        <w:rPr>
          <w:rFonts w:ascii="Times New Roman" w:hAnsi="Times New Roman" w:eastAsia="Times New Roman" w:cs="Times New Roman"/>
          <w:spacing w:val="2"/>
          <w:sz w:val="18"/>
          <w:szCs w:val="18"/>
        </w:rPr>
        <w:t xml:space="preserve">   </w:t>
      </w:r>
      <w:r>
        <w:rPr>
          <w:rFonts w:ascii="Times New Roman" w:hAnsi="Times New Roman" w:eastAsia="Times New Roman" w:cs="Times New Roman"/>
          <w:sz w:val="18"/>
          <w:szCs w:val="18"/>
        </w:rPr>
        <w:t>transmission</w:t>
      </w:r>
      <w:r>
        <w:rPr>
          <w:rFonts w:ascii="Times New Roman" w:hAnsi="Times New Roman" w:eastAsia="Times New Roman" w:cs="Times New Roman"/>
          <w:spacing w:val="11"/>
          <w:sz w:val="18"/>
          <w:szCs w:val="18"/>
        </w:rPr>
        <w:t xml:space="preserve">   </w:t>
      </w:r>
      <w:r>
        <w:rPr>
          <w:rFonts w:ascii="Times New Roman" w:hAnsi="Times New Roman" w:eastAsia="Times New Roman" w:cs="Times New Roman"/>
          <w:spacing w:val="2"/>
          <w:sz w:val="18"/>
          <w:szCs w:val="18"/>
        </w:rPr>
        <w:t>160</w:t>
      </w:r>
    </w:p>
    <w:p w14:paraId="0B8AE248">
      <w:pPr>
        <w:spacing w:before="143" w:line="212" w:lineRule="auto"/>
        <w:rPr>
          <w:rFonts w:ascii="Times New Roman" w:hAnsi="Times New Roman" w:eastAsia="Times New Roman" w:cs="Times New Roman"/>
          <w:sz w:val="18"/>
          <w:szCs w:val="18"/>
        </w:rPr>
      </w:pPr>
      <w:r>
        <w:rPr>
          <w:rFonts w:ascii="宋体" w:hAnsi="宋体" w:eastAsia="宋体" w:cs="宋体"/>
          <w:spacing w:val="2"/>
          <w:sz w:val="18"/>
          <w:szCs w:val="18"/>
        </w:rPr>
        <w:t>经飞沫核传播</w:t>
      </w:r>
      <w:r>
        <w:rPr>
          <w:rFonts w:ascii="宋体" w:hAnsi="宋体" w:eastAsia="宋体" w:cs="宋体"/>
          <w:spacing w:val="82"/>
          <w:sz w:val="18"/>
          <w:szCs w:val="18"/>
        </w:rPr>
        <w:t xml:space="preserve"> </w:t>
      </w:r>
      <w:r>
        <w:rPr>
          <w:rFonts w:ascii="Times New Roman" w:hAnsi="Times New Roman" w:eastAsia="Times New Roman" w:cs="Times New Roman"/>
          <w:sz w:val="18"/>
          <w:szCs w:val="18"/>
        </w:rPr>
        <w:t>droplet</w:t>
      </w:r>
      <w:r>
        <w:rPr>
          <w:rFonts w:ascii="Times New Roman" w:hAnsi="Times New Roman" w:eastAsia="Times New Roman" w:cs="Times New Roman"/>
          <w:spacing w:val="2"/>
          <w:sz w:val="18"/>
          <w:szCs w:val="18"/>
        </w:rPr>
        <w:t xml:space="preserve">   </w:t>
      </w:r>
      <w:r>
        <w:rPr>
          <w:rFonts w:ascii="Times New Roman" w:hAnsi="Times New Roman" w:eastAsia="Times New Roman" w:cs="Times New Roman"/>
          <w:sz w:val="18"/>
          <w:szCs w:val="18"/>
        </w:rPr>
        <w:t>nucleus</w:t>
      </w:r>
      <w:r>
        <w:rPr>
          <w:rFonts w:ascii="Times New Roman" w:hAnsi="Times New Roman" w:eastAsia="Times New Roman" w:cs="Times New Roman"/>
          <w:spacing w:val="2"/>
          <w:sz w:val="18"/>
          <w:szCs w:val="18"/>
        </w:rPr>
        <w:t xml:space="preserve">   </w:t>
      </w:r>
      <w:r>
        <w:rPr>
          <w:rFonts w:ascii="Times New Roman" w:hAnsi="Times New Roman" w:eastAsia="Times New Roman" w:cs="Times New Roman"/>
          <w:sz w:val="18"/>
          <w:szCs w:val="18"/>
        </w:rPr>
        <w:t>transmission</w:t>
      </w:r>
      <w:r>
        <w:rPr>
          <w:rFonts w:ascii="Times New Roman" w:hAnsi="Times New Roman" w:eastAsia="Times New Roman" w:cs="Times New Roman"/>
          <w:spacing w:val="2"/>
          <w:sz w:val="18"/>
          <w:szCs w:val="18"/>
        </w:rPr>
        <w:t xml:space="preserve">   160</w:t>
      </w:r>
    </w:p>
    <w:sdt>
      <w:sdtPr>
        <w:rPr>
          <w:rFonts w:ascii="宋体" w:hAnsi="宋体" w:eastAsia="宋体" w:cs="宋体"/>
          <w:sz w:val="18"/>
          <w:szCs w:val="18"/>
        </w:rPr>
        <w:id w:val="517362606"/>
        <w:docPartObj>
          <w:docPartGallery w:val="Table of Contents"/>
          <w:docPartUnique/>
        </w:docPartObj>
      </w:sdtPr>
      <w:sdtEndPr>
        <w:rPr>
          <w:rFonts w:ascii="Times New Roman" w:hAnsi="Times New Roman" w:eastAsia="Times New Roman" w:cs="Times New Roman"/>
          <w:sz w:val="18"/>
          <w:szCs w:val="18"/>
        </w:rPr>
      </w:sdtEndPr>
      <w:sdtContent>
        <w:p w14:paraId="110342D5">
          <w:pPr>
            <w:spacing w:before="162" w:line="219" w:lineRule="auto"/>
            <w:rPr>
              <w:rFonts w:ascii="宋体" w:hAnsi="宋体" w:eastAsia="宋体" w:cs="宋体"/>
              <w:sz w:val="18"/>
              <w:szCs w:val="18"/>
            </w:rPr>
          </w:pPr>
          <w:r>
            <w:rPr>
              <w:rFonts w:ascii="宋体" w:hAnsi="宋体" w:eastAsia="宋体" w:cs="宋体"/>
              <w:spacing w:val="-4"/>
              <w:sz w:val="18"/>
              <w:szCs w:val="18"/>
            </w:rPr>
            <w:t>经接触传播</w:t>
          </w:r>
          <w:r>
            <w:rPr>
              <w:rFonts w:ascii="宋体" w:hAnsi="宋体" w:eastAsia="宋体" w:cs="宋体"/>
              <w:spacing w:val="73"/>
              <w:sz w:val="18"/>
              <w:szCs w:val="18"/>
            </w:rPr>
            <w:t xml:space="preserve"> </w:t>
          </w:r>
          <w:r>
            <w:rPr>
              <w:rFonts w:ascii="宋体" w:hAnsi="宋体" w:eastAsia="宋体" w:cs="宋体"/>
              <w:spacing w:val="-4"/>
              <w:sz w:val="18"/>
              <w:szCs w:val="18"/>
            </w:rPr>
            <w:t>contact transmis</w:t>
          </w:r>
          <w:r>
            <w:rPr>
              <w:rFonts w:ascii="宋体" w:hAnsi="宋体" w:eastAsia="宋体" w:cs="宋体"/>
              <w:spacing w:val="-5"/>
              <w:sz w:val="18"/>
              <w:szCs w:val="18"/>
            </w:rPr>
            <w:t xml:space="preserve">sion </w:t>
          </w:r>
          <w:r>
            <w:fldChar w:fldCharType="begin"/>
          </w:r>
          <w:r>
            <w:instrText xml:space="preserve"> HYPERLINK \l "bookmark665" </w:instrText>
          </w:r>
          <w:r>
            <w:fldChar w:fldCharType="separate"/>
          </w:r>
          <w:r>
            <w:rPr>
              <w:rFonts w:ascii="宋体" w:hAnsi="宋体" w:eastAsia="宋体" w:cs="宋体"/>
              <w:spacing w:val="-5"/>
              <w:sz w:val="18"/>
              <w:szCs w:val="18"/>
            </w:rPr>
            <w:t>161</w:t>
          </w:r>
          <w:r>
            <w:rPr>
              <w:rFonts w:ascii="宋体" w:hAnsi="宋体" w:eastAsia="宋体" w:cs="宋体"/>
              <w:spacing w:val="-5"/>
              <w:sz w:val="18"/>
              <w:szCs w:val="18"/>
            </w:rPr>
            <w:fldChar w:fldCharType="end"/>
          </w:r>
        </w:p>
        <w:p w14:paraId="20828DC4">
          <w:pPr>
            <w:spacing w:before="133" w:line="214" w:lineRule="auto"/>
            <w:rPr>
              <w:rFonts w:ascii="宋体" w:hAnsi="宋体" w:eastAsia="宋体" w:cs="宋体"/>
              <w:sz w:val="18"/>
              <w:szCs w:val="18"/>
            </w:rPr>
          </w:pPr>
          <w:r>
            <w:rPr>
              <w:rFonts w:ascii="宋体" w:hAnsi="宋体" w:eastAsia="宋体" w:cs="宋体"/>
              <w:spacing w:val="-1"/>
              <w:sz w:val="18"/>
              <w:szCs w:val="18"/>
            </w:rPr>
            <w:t xml:space="preserve">经节肢动物传播  arthropod-bome transmission </w:t>
          </w:r>
          <w:r>
            <w:fldChar w:fldCharType="begin"/>
          </w:r>
          <w:r>
            <w:instrText xml:space="preserve"> HYPERLINK \l "bookmark666" </w:instrText>
          </w:r>
          <w:r>
            <w:fldChar w:fldCharType="separate"/>
          </w:r>
          <w:r>
            <w:rPr>
              <w:rFonts w:ascii="宋体" w:hAnsi="宋体" w:eastAsia="宋体" w:cs="宋体"/>
              <w:spacing w:val="-1"/>
              <w:sz w:val="18"/>
              <w:szCs w:val="18"/>
            </w:rPr>
            <w:t>161</w:t>
          </w:r>
          <w:r>
            <w:rPr>
              <w:rFonts w:ascii="宋体" w:hAnsi="宋体" w:eastAsia="宋体" w:cs="宋体"/>
              <w:spacing w:val="-1"/>
              <w:sz w:val="18"/>
              <w:szCs w:val="18"/>
            </w:rPr>
            <w:fldChar w:fldCharType="end"/>
          </w:r>
        </w:p>
        <w:p w14:paraId="26643E95">
          <w:pPr>
            <w:spacing w:before="135" w:line="219" w:lineRule="auto"/>
            <w:rPr>
              <w:rFonts w:ascii="Times New Roman" w:hAnsi="Times New Roman" w:eastAsia="Times New Roman" w:cs="Times New Roman"/>
              <w:sz w:val="18"/>
              <w:szCs w:val="18"/>
            </w:rPr>
          </w:pPr>
          <w:r>
            <w:rPr>
              <w:rFonts w:ascii="宋体" w:hAnsi="宋体" w:eastAsia="宋体" w:cs="宋体"/>
              <w:spacing w:val="1"/>
              <w:sz w:val="18"/>
              <w:szCs w:val="18"/>
            </w:rPr>
            <w:t>经空气传播</w:t>
          </w:r>
          <w:r>
            <w:rPr>
              <w:rFonts w:ascii="宋体" w:hAnsi="宋体" w:eastAsia="宋体" w:cs="宋体"/>
              <w:spacing w:val="75"/>
              <w:sz w:val="18"/>
              <w:szCs w:val="18"/>
            </w:rPr>
            <w:t xml:space="preserve"> </w:t>
          </w:r>
          <w:r>
            <w:rPr>
              <w:rFonts w:ascii="Times New Roman" w:hAnsi="Times New Roman" w:eastAsia="Times New Roman" w:cs="Times New Roman"/>
              <w:sz w:val="18"/>
              <w:szCs w:val="18"/>
            </w:rPr>
            <w:t>air</w:t>
          </w:r>
          <w:r>
            <w:rPr>
              <w:rFonts w:ascii="Times New Roman" w:hAnsi="Times New Roman" w:eastAsia="Times New Roman" w:cs="Times New Roman"/>
              <w:spacing w:val="1"/>
              <w:sz w:val="18"/>
              <w:szCs w:val="18"/>
            </w:rPr>
            <w:t>-</w:t>
          </w:r>
          <w:r>
            <w:rPr>
              <w:rFonts w:ascii="Times New Roman" w:hAnsi="Times New Roman" w:eastAsia="Times New Roman" w:cs="Times New Roman"/>
              <w:sz w:val="18"/>
              <w:szCs w:val="18"/>
            </w:rPr>
            <w:t>bome</w:t>
          </w:r>
          <w:r>
            <w:rPr>
              <w:rFonts w:ascii="Times New Roman" w:hAnsi="Times New Roman" w:eastAsia="Times New Roman" w:cs="Times New Roman"/>
              <w:spacing w:val="9"/>
              <w:sz w:val="18"/>
              <w:szCs w:val="18"/>
            </w:rPr>
            <w:t xml:space="preserve">   </w:t>
          </w:r>
          <w:r>
            <w:rPr>
              <w:rFonts w:ascii="Times New Roman" w:hAnsi="Times New Roman" w:eastAsia="Times New Roman" w:cs="Times New Roman"/>
              <w:sz w:val="18"/>
              <w:szCs w:val="18"/>
            </w:rPr>
            <w:t>transmission</w:t>
          </w:r>
          <w:r>
            <w:rPr>
              <w:rFonts w:ascii="Times New Roman" w:hAnsi="Times New Roman" w:eastAsia="Times New Roman" w:cs="Times New Roman"/>
              <w:spacing w:val="1"/>
              <w:sz w:val="18"/>
              <w:szCs w:val="18"/>
            </w:rPr>
            <w:t xml:space="preserve">    </w:t>
          </w:r>
          <w:r>
            <w:fldChar w:fldCharType="begin"/>
          </w:r>
          <w:r>
            <w:instrText xml:space="preserve"> HYPERLINK \l "bookmark667" </w:instrText>
          </w:r>
          <w:r>
            <w:fldChar w:fldCharType="separate"/>
          </w:r>
          <w:r>
            <w:rPr>
              <w:rFonts w:ascii="Times New Roman" w:hAnsi="Times New Roman" w:eastAsia="Times New Roman" w:cs="Times New Roman"/>
              <w:spacing w:val="1"/>
              <w:sz w:val="18"/>
              <w:szCs w:val="18"/>
            </w:rPr>
            <w:t>160</w:t>
          </w:r>
          <w:r>
            <w:rPr>
              <w:rFonts w:ascii="Times New Roman" w:hAnsi="Times New Roman" w:eastAsia="Times New Roman" w:cs="Times New Roman"/>
              <w:spacing w:val="1"/>
              <w:sz w:val="18"/>
              <w:szCs w:val="18"/>
            </w:rPr>
            <w:fldChar w:fldCharType="end"/>
          </w:r>
        </w:p>
      </w:sdtContent>
    </w:sdt>
    <w:p w14:paraId="72443678">
      <w:pPr>
        <w:spacing w:before="126" w:line="219" w:lineRule="auto"/>
        <w:rPr>
          <w:rFonts w:ascii="Times New Roman" w:hAnsi="Times New Roman" w:eastAsia="Times New Roman" w:cs="Times New Roman"/>
          <w:sz w:val="18"/>
          <w:szCs w:val="18"/>
        </w:rPr>
      </w:pPr>
      <w:r>
        <w:rPr>
          <w:rFonts w:ascii="宋体" w:hAnsi="宋体" w:eastAsia="宋体" w:cs="宋体"/>
          <w:spacing w:val="2"/>
          <w:sz w:val="18"/>
          <w:szCs w:val="18"/>
        </w:rPr>
        <w:t>经食物传播</w:t>
      </w:r>
      <w:r>
        <w:rPr>
          <w:rFonts w:ascii="宋体" w:hAnsi="宋体" w:eastAsia="宋体" w:cs="宋体"/>
          <w:spacing w:val="67"/>
          <w:sz w:val="18"/>
          <w:szCs w:val="18"/>
        </w:rPr>
        <w:t xml:space="preserve"> </w:t>
      </w:r>
      <w:r>
        <w:rPr>
          <w:rFonts w:ascii="Times New Roman" w:hAnsi="Times New Roman" w:eastAsia="Times New Roman" w:cs="Times New Roman"/>
          <w:sz w:val="18"/>
          <w:szCs w:val="18"/>
        </w:rPr>
        <w:t>food</w:t>
      </w:r>
      <w:r>
        <w:rPr>
          <w:rFonts w:ascii="Times New Roman" w:hAnsi="Times New Roman" w:eastAsia="Times New Roman" w:cs="Times New Roman"/>
          <w:spacing w:val="2"/>
          <w:sz w:val="18"/>
          <w:szCs w:val="18"/>
        </w:rPr>
        <w:t>-</w:t>
      </w:r>
      <w:r>
        <w:rPr>
          <w:rFonts w:ascii="Times New Roman" w:hAnsi="Times New Roman" w:eastAsia="Times New Roman" w:cs="Times New Roman"/>
          <w:sz w:val="18"/>
          <w:szCs w:val="18"/>
        </w:rPr>
        <w:t>borme</w:t>
      </w:r>
      <w:r>
        <w:rPr>
          <w:rFonts w:ascii="Times New Roman" w:hAnsi="Times New Roman" w:eastAsia="Times New Roman" w:cs="Times New Roman"/>
          <w:spacing w:val="21"/>
          <w:sz w:val="18"/>
          <w:szCs w:val="18"/>
        </w:rPr>
        <w:t xml:space="preserve">  </w:t>
      </w:r>
      <w:r>
        <w:rPr>
          <w:rFonts w:ascii="Times New Roman" w:hAnsi="Times New Roman" w:eastAsia="Times New Roman" w:cs="Times New Roman"/>
          <w:sz w:val="18"/>
          <w:szCs w:val="18"/>
        </w:rPr>
        <w:t>transmission</w:t>
      </w:r>
      <w:r>
        <w:rPr>
          <w:rFonts w:ascii="Times New Roman" w:hAnsi="Times New Roman" w:eastAsia="Times New Roman" w:cs="Times New Roman"/>
          <w:spacing w:val="2"/>
          <w:sz w:val="18"/>
          <w:szCs w:val="18"/>
        </w:rPr>
        <w:t xml:space="preserve">   161</w:t>
      </w:r>
    </w:p>
    <w:sdt>
      <w:sdtPr>
        <w:rPr>
          <w:rFonts w:ascii="宋体" w:hAnsi="宋体" w:eastAsia="宋体" w:cs="宋体"/>
          <w:sz w:val="18"/>
          <w:szCs w:val="18"/>
        </w:rPr>
        <w:id w:val="152032339"/>
        <w:docPartObj>
          <w:docPartGallery w:val="Table of Contents"/>
          <w:docPartUnique/>
        </w:docPartObj>
      </w:sdtPr>
      <w:sdtEndPr>
        <w:rPr>
          <w:rFonts w:ascii="Times New Roman" w:hAnsi="Times New Roman" w:eastAsia="Times New Roman" w:cs="Times New Roman"/>
          <w:sz w:val="18"/>
          <w:szCs w:val="18"/>
        </w:rPr>
      </w:sdtEndPr>
      <w:sdtContent>
        <w:p w14:paraId="42C08BF6">
          <w:pPr>
            <w:spacing w:before="127" w:line="219" w:lineRule="auto"/>
            <w:rPr>
              <w:rFonts w:ascii="Times New Roman" w:hAnsi="Times New Roman" w:eastAsia="Times New Roman" w:cs="Times New Roman"/>
              <w:sz w:val="18"/>
              <w:szCs w:val="18"/>
            </w:rPr>
          </w:pPr>
          <w:r>
            <w:rPr>
              <w:rFonts w:ascii="宋体" w:hAnsi="宋体" w:eastAsia="宋体" w:cs="宋体"/>
              <w:sz w:val="18"/>
              <w:szCs w:val="18"/>
            </w:rPr>
            <w:t>经水传播</w:t>
          </w:r>
          <w:r>
            <w:rPr>
              <w:rFonts w:ascii="宋体" w:hAnsi="宋体" w:eastAsia="宋体" w:cs="宋体"/>
              <w:spacing w:val="93"/>
              <w:sz w:val="18"/>
              <w:szCs w:val="18"/>
            </w:rPr>
            <w:t xml:space="preserve"> </w:t>
          </w:r>
          <w:r>
            <w:rPr>
              <w:rFonts w:ascii="Times New Roman" w:hAnsi="Times New Roman" w:eastAsia="Times New Roman" w:cs="Times New Roman"/>
              <w:sz w:val="18"/>
              <w:szCs w:val="18"/>
            </w:rPr>
            <w:t xml:space="preserve">water-borne   transmission    </w:t>
          </w:r>
          <w:r>
            <w:fldChar w:fldCharType="begin"/>
          </w:r>
          <w:r>
            <w:instrText xml:space="preserve"> HYPERLINK \l "bookmark668" </w:instrText>
          </w:r>
          <w:r>
            <w:fldChar w:fldCharType="separate"/>
          </w:r>
          <w:r>
            <w:rPr>
              <w:rFonts w:ascii="Times New Roman" w:hAnsi="Times New Roman" w:eastAsia="Times New Roman" w:cs="Times New Roman"/>
              <w:sz w:val="18"/>
              <w:szCs w:val="18"/>
            </w:rPr>
            <w:t>161</w:t>
          </w:r>
          <w:r>
            <w:rPr>
              <w:rFonts w:ascii="Times New Roman" w:hAnsi="Times New Roman" w:eastAsia="Times New Roman" w:cs="Times New Roman"/>
              <w:sz w:val="18"/>
              <w:szCs w:val="18"/>
            </w:rPr>
            <w:fldChar w:fldCharType="end"/>
          </w:r>
        </w:p>
        <w:p w14:paraId="06FB03D5">
          <w:pPr>
            <w:spacing w:before="126" w:line="219" w:lineRule="auto"/>
            <w:rPr>
              <w:rFonts w:ascii="Times New Roman" w:hAnsi="Times New Roman" w:eastAsia="Times New Roman" w:cs="Times New Roman"/>
              <w:sz w:val="18"/>
              <w:szCs w:val="18"/>
            </w:rPr>
          </w:pPr>
          <w:r>
            <w:rPr>
              <w:rFonts w:ascii="宋体" w:hAnsi="宋体" w:eastAsia="宋体" w:cs="宋体"/>
              <w:spacing w:val="1"/>
              <w:sz w:val="18"/>
              <w:szCs w:val="18"/>
            </w:rPr>
            <w:t>经土壤传播</w:t>
          </w:r>
          <w:r>
            <w:rPr>
              <w:rFonts w:ascii="宋体" w:hAnsi="宋体" w:eastAsia="宋体" w:cs="宋体"/>
              <w:spacing w:val="72"/>
              <w:sz w:val="18"/>
              <w:szCs w:val="18"/>
            </w:rPr>
            <w:t xml:space="preserve"> </w:t>
          </w:r>
          <w:r>
            <w:rPr>
              <w:rFonts w:ascii="Times New Roman" w:hAnsi="Times New Roman" w:eastAsia="Times New Roman" w:cs="Times New Roman"/>
              <w:sz w:val="18"/>
              <w:szCs w:val="18"/>
            </w:rPr>
            <w:t>soil</w:t>
          </w:r>
          <w:r>
            <w:rPr>
              <w:rFonts w:ascii="Times New Roman" w:hAnsi="Times New Roman" w:eastAsia="Times New Roman" w:cs="Times New Roman"/>
              <w:spacing w:val="1"/>
              <w:sz w:val="18"/>
              <w:szCs w:val="18"/>
            </w:rPr>
            <w:t>-</w:t>
          </w:r>
          <w:r>
            <w:rPr>
              <w:rFonts w:ascii="Times New Roman" w:hAnsi="Times New Roman" w:eastAsia="Times New Roman" w:cs="Times New Roman"/>
              <w:sz w:val="18"/>
              <w:szCs w:val="18"/>
            </w:rPr>
            <w:t>borne</w:t>
          </w:r>
          <w:r>
            <w:rPr>
              <w:rFonts w:ascii="Times New Roman" w:hAnsi="Times New Roman" w:eastAsia="Times New Roman" w:cs="Times New Roman"/>
              <w:spacing w:val="1"/>
              <w:sz w:val="18"/>
              <w:szCs w:val="18"/>
            </w:rPr>
            <w:t xml:space="preserve">   </w:t>
          </w:r>
          <w:r>
            <w:rPr>
              <w:rFonts w:ascii="Times New Roman" w:hAnsi="Times New Roman" w:eastAsia="Times New Roman" w:cs="Times New Roman"/>
              <w:sz w:val="18"/>
              <w:szCs w:val="18"/>
            </w:rPr>
            <w:t>transmission</w:t>
          </w:r>
          <w:r>
            <w:rPr>
              <w:rFonts w:ascii="Times New Roman" w:hAnsi="Times New Roman" w:eastAsia="Times New Roman" w:cs="Times New Roman"/>
              <w:spacing w:val="1"/>
              <w:sz w:val="18"/>
              <w:szCs w:val="18"/>
            </w:rPr>
            <w:t xml:space="preserve">    </w:t>
          </w:r>
          <w:r>
            <w:fldChar w:fldCharType="begin"/>
          </w:r>
          <w:r>
            <w:instrText xml:space="preserve"> HYPERLINK \l "bookmark669" </w:instrText>
          </w:r>
          <w:r>
            <w:fldChar w:fldCharType="separate"/>
          </w:r>
          <w:r>
            <w:rPr>
              <w:rFonts w:ascii="Times New Roman" w:hAnsi="Times New Roman" w:eastAsia="Times New Roman" w:cs="Times New Roman"/>
              <w:spacing w:val="1"/>
              <w:sz w:val="18"/>
              <w:szCs w:val="18"/>
            </w:rPr>
            <w:t>162</w:t>
          </w:r>
          <w:r>
            <w:rPr>
              <w:rFonts w:ascii="Times New Roman" w:hAnsi="Times New Roman" w:eastAsia="Times New Roman" w:cs="Times New Roman"/>
              <w:spacing w:val="1"/>
              <w:sz w:val="18"/>
              <w:szCs w:val="18"/>
            </w:rPr>
            <w:fldChar w:fldCharType="end"/>
          </w:r>
        </w:p>
        <w:p w14:paraId="04ABF435">
          <w:pPr>
            <w:spacing w:before="127" w:line="219" w:lineRule="auto"/>
            <w:rPr>
              <w:rFonts w:ascii="Times New Roman" w:hAnsi="Times New Roman" w:eastAsia="Times New Roman" w:cs="Times New Roman"/>
              <w:sz w:val="18"/>
              <w:szCs w:val="18"/>
            </w:rPr>
          </w:pPr>
          <w:r>
            <w:rPr>
              <w:rFonts w:ascii="宋体" w:hAnsi="宋体" w:eastAsia="宋体" w:cs="宋体"/>
              <w:spacing w:val="2"/>
              <w:sz w:val="18"/>
              <w:szCs w:val="18"/>
            </w:rPr>
            <w:t>精神障碍</w:t>
          </w:r>
          <w:r>
            <w:rPr>
              <w:rFonts w:ascii="宋体" w:hAnsi="宋体" w:eastAsia="宋体" w:cs="宋体"/>
              <w:spacing w:val="91"/>
              <w:sz w:val="18"/>
              <w:szCs w:val="18"/>
            </w:rPr>
            <w:t xml:space="preserve"> </w:t>
          </w:r>
          <w:r>
            <w:rPr>
              <w:rFonts w:ascii="Times New Roman" w:hAnsi="Times New Roman" w:eastAsia="Times New Roman" w:cs="Times New Roman"/>
              <w:sz w:val="18"/>
              <w:szCs w:val="18"/>
            </w:rPr>
            <w:t>mental</w:t>
          </w:r>
          <w:r>
            <w:rPr>
              <w:rFonts w:ascii="Times New Roman" w:hAnsi="Times New Roman" w:eastAsia="Times New Roman" w:cs="Times New Roman"/>
              <w:spacing w:val="2"/>
              <w:sz w:val="18"/>
              <w:szCs w:val="18"/>
            </w:rPr>
            <w:t xml:space="preserve">   </w:t>
          </w:r>
          <w:r>
            <w:rPr>
              <w:rFonts w:ascii="Times New Roman" w:hAnsi="Times New Roman" w:eastAsia="Times New Roman" w:cs="Times New Roman"/>
              <w:sz w:val="18"/>
              <w:szCs w:val="18"/>
            </w:rPr>
            <w:t>disorder</w:t>
          </w:r>
          <w:r>
            <w:rPr>
              <w:rFonts w:ascii="Times New Roman" w:hAnsi="Times New Roman" w:eastAsia="Times New Roman" w:cs="Times New Roman"/>
              <w:spacing w:val="2"/>
              <w:sz w:val="18"/>
              <w:szCs w:val="18"/>
            </w:rPr>
            <w:t xml:space="preserve">   </w:t>
          </w:r>
          <w:r>
            <w:fldChar w:fldCharType="begin"/>
          </w:r>
          <w:r>
            <w:instrText xml:space="preserve"> HYPERLINK \l "bookmark670" </w:instrText>
          </w:r>
          <w:r>
            <w:fldChar w:fldCharType="separate"/>
          </w:r>
          <w:r>
            <w:rPr>
              <w:rFonts w:ascii="Times New Roman" w:hAnsi="Times New Roman" w:eastAsia="Times New Roman" w:cs="Times New Roman"/>
              <w:spacing w:val="2"/>
              <w:sz w:val="18"/>
              <w:szCs w:val="18"/>
            </w:rPr>
            <w:t>200</w:t>
          </w:r>
          <w:r>
            <w:rPr>
              <w:rFonts w:ascii="Times New Roman" w:hAnsi="Times New Roman" w:eastAsia="Times New Roman" w:cs="Times New Roman"/>
              <w:spacing w:val="2"/>
              <w:sz w:val="18"/>
              <w:szCs w:val="18"/>
            </w:rPr>
            <w:fldChar w:fldCharType="end"/>
          </w:r>
        </w:p>
      </w:sdtContent>
    </w:sdt>
    <w:p w14:paraId="10E8C31F">
      <w:pPr>
        <w:spacing w:line="241" w:lineRule="auto"/>
        <w:rPr>
          <w:rFonts w:ascii="Arial"/>
          <w:sz w:val="21"/>
        </w:rPr>
      </w:pPr>
    </w:p>
    <w:p w14:paraId="446EECC3">
      <w:pPr>
        <w:spacing w:before="90" w:line="185" w:lineRule="auto"/>
        <w:rPr>
          <w:rFonts w:ascii="Times New Roman" w:hAnsi="Times New Roman" w:eastAsia="Times New Roman" w:cs="Times New Roman"/>
          <w:sz w:val="31"/>
          <w:szCs w:val="31"/>
        </w:rPr>
      </w:pPr>
      <w:r>
        <w:rPr>
          <w:rFonts w:ascii="Times New Roman" w:hAnsi="Times New Roman" w:eastAsia="Times New Roman" w:cs="Times New Roman"/>
          <w:sz w:val="31"/>
          <w:szCs w:val="31"/>
        </w:rPr>
        <w:t>K</w:t>
      </w:r>
    </w:p>
    <w:p w14:paraId="01EBD264">
      <w:pPr>
        <w:spacing w:before="220" w:line="212" w:lineRule="auto"/>
        <w:rPr>
          <w:rFonts w:ascii="Times New Roman" w:hAnsi="Times New Roman" w:eastAsia="Times New Roman" w:cs="Times New Roman"/>
          <w:sz w:val="18"/>
          <w:szCs w:val="18"/>
        </w:rPr>
      </w:pPr>
      <w:r>
        <w:rPr>
          <w:rFonts w:ascii="宋体" w:hAnsi="宋体" w:eastAsia="宋体" w:cs="宋体"/>
          <w:spacing w:val="3"/>
          <w:sz w:val="18"/>
          <w:szCs w:val="18"/>
        </w:rPr>
        <w:t>开放性试验</w:t>
      </w:r>
      <w:r>
        <w:rPr>
          <w:rFonts w:ascii="宋体" w:hAnsi="宋体" w:eastAsia="宋体" w:cs="宋体"/>
          <w:spacing w:val="70"/>
          <w:sz w:val="18"/>
          <w:szCs w:val="18"/>
        </w:rPr>
        <w:t xml:space="preserve"> </w:t>
      </w:r>
      <w:r>
        <w:rPr>
          <w:rFonts w:ascii="Times New Roman" w:hAnsi="Times New Roman" w:eastAsia="Times New Roman" w:cs="Times New Roman"/>
          <w:sz w:val="18"/>
          <w:szCs w:val="18"/>
        </w:rPr>
        <w:t>open</w:t>
      </w:r>
      <w:r>
        <w:rPr>
          <w:rFonts w:ascii="Times New Roman" w:hAnsi="Times New Roman" w:eastAsia="Times New Roman" w:cs="Times New Roman"/>
          <w:spacing w:val="3"/>
          <w:sz w:val="18"/>
          <w:szCs w:val="18"/>
        </w:rPr>
        <w:t xml:space="preserve">   </w:t>
      </w:r>
      <w:r>
        <w:rPr>
          <w:rFonts w:ascii="Times New Roman" w:hAnsi="Times New Roman" w:eastAsia="Times New Roman" w:cs="Times New Roman"/>
          <w:sz w:val="18"/>
          <w:szCs w:val="18"/>
        </w:rPr>
        <w:t>trial</w:t>
      </w:r>
      <w:r>
        <w:rPr>
          <w:rFonts w:ascii="Times New Roman" w:hAnsi="Times New Roman" w:eastAsia="Times New Roman" w:cs="Times New Roman"/>
          <w:spacing w:val="6"/>
          <w:sz w:val="18"/>
          <w:szCs w:val="18"/>
        </w:rPr>
        <w:t xml:space="preserve">   </w:t>
      </w:r>
      <w:r>
        <w:rPr>
          <w:rFonts w:ascii="Times New Roman" w:hAnsi="Times New Roman" w:eastAsia="Times New Roman" w:cs="Times New Roman"/>
          <w:spacing w:val="3"/>
          <w:sz w:val="18"/>
          <w:szCs w:val="18"/>
        </w:rPr>
        <w:t>92</w:t>
      </w:r>
    </w:p>
    <w:p w14:paraId="2D292AAB">
      <w:pPr>
        <w:spacing w:before="133" w:line="212" w:lineRule="auto"/>
        <w:rPr>
          <w:rFonts w:ascii="Times New Roman" w:hAnsi="Times New Roman" w:eastAsia="Times New Roman" w:cs="Times New Roman"/>
          <w:sz w:val="18"/>
          <w:szCs w:val="18"/>
        </w:rPr>
      </w:pPr>
      <w:r>
        <w:rPr>
          <w:rFonts w:ascii="宋体" w:hAnsi="宋体" w:eastAsia="宋体" w:cs="宋体"/>
          <w:spacing w:val="3"/>
          <w:sz w:val="18"/>
          <w:szCs w:val="18"/>
        </w:rPr>
        <w:t>康复期</w:t>
      </w:r>
      <w:r>
        <w:rPr>
          <w:rFonts w:ascii="宋体" w:hAnsi="宋体" w:eastAsia="宋体" w:cs="宋体"/>
          <w:spacing w:val="84"/>
          <w:sz w:val="18"/>
          <w:szCs w:val="18"/>
        </w:rPr>
        <w:t xml:space="preserve"> </w:t>
      </w:r>
      <w:r>
        <w:rPr>
          <w:rFonts w:ascii="Times New Roman" w:hAnsi="Times New Roman" w:eastAsia="Times New Roman" w:cs="Times New Roman"/>
          <w:sz w:val="18"/>
          <w:szCs w:val="18"/>
        </w:rPr>
        <w:t>stage</w:t>
      </w:r>
      <w:r>
        <w:rPr>
          <w:rFonts w:ascii="Times New Roman" w:hAnsi="Times New Roman" w:eastAsia="Times New Roman" w:cs="Times New Roman"/>
          <w:spacing w:val="3"/>
          <w:sz w:val="18"/>
          <w:szCs w:val="18"/>
        </w:rPr>
        <w:t xml:space="preserve">  </w:t>
      </w:r>
      <w:r>
        <w:rPr>
          <w:rFonts w:ascii="Times New Roman" w:hAnsi="Times New Roman" w:eastAsia="Times New Roman" w:cs="Times New Roman"/>
          <w:sz w:val="18"/>
          <w:szCs w:val="18"/>
        </w:rPr>
        <w:t>of</w:t>
      </w:r>
      <w:r>
        <w:rPr>
          <w:rFonts w:ascii="Times New Roman" w:hAnsi="Times New Roman" w:eastAsia="Times New Roman" w:cs="Times New Roman"/>
          <w:spacing w:val="34"/>
          <w:sz w:val="18"/>
          <w:szCs w:val="18"/>
        </w:rPr>
        <w:t xml:space="preserve"> </w:t>
      </w:r>
      <w:r>
        <w:rPr>
          <w:rFonts w:ascii="Times New Roman" w:hAnsi="Times New Roman" w:eastAsia="Times New Roman" w:cs="Times New Roman"/>
          <w:sz w:val="18"/>
          <w:szCs w:val="18"/>
        </w:rPr>
        <w:t>recovery</w:t>
      </w:r>
      <w:r>
        <w:rPr>
          <w:rFonts w:ascii="Times New Roman" w:hAnsi="Times New Roman" w:eastAsia="Times New Roman" w:cs="Times New Roman"/>
          <w:spacing w:val="13"/>
          <w:w w:val="101"/>
          <w:sz w:val="18"/>
          <w:szCs w:val="18"/>
        </w:rPr>
        <w:t xml:space="preserve">  </w:t>
      </w:r>
      <w:r>
        <w:rPr>
          <w:rFonts w:ascii="Times New Roman" w:hAnsi="Times New Roman" w:eastAsia="Times New Roman" w:cs="Times New Roman"/>
          <w:spacing w:val="3"/>
          <w:sz w:val="18"/>
          <w:szCs w:val="18"/>
        </w:rPr>
        <w:t>139</w:t>
      </w:r>
    </w:p>
    <w:p w14:paraId="01FC90CD">
      <w:pPr>
        <w:spacing w:before="154" w:line="219" w:lineRule="auto"/>
        <w:rPr>
          <w:rFonts w:ascii="Times New Roman" w:hAnsi="Times New Roman" w:eastAsia="Times New Roman" w:cs="Times New Roman"/>
          <w:sz w:val="18"/>
          <w:szCs w:val="18"/>
        </w:rPr>
      </w:pPr>
      <w:r>
        <w:rPr>
          <w:rFonts w:ascii="宋体" w:hAnsi="宋体" w:eastAsia="宋体" w:cs="宋体"/>
          <w:sz w:val="18"/>
          <w:szCs w:val="18"/>
        </w:rPr>
        <w:t>抗体阳转</w:t>
      </w:r>
      <w:r>
        <w:rPr>
          <w:rFonts w:ascii="宋体" w:hAnsi="宋体" w:eastAsia="宋体" w:cs="宋体"/>
          <w:spacing w:val="85"/>
          <w:sz w:val="18"/>
          <w:szCs w:val="18"/>
        </w:rPr>
        <w:t xml:space="preserve"> </w:t>
      </w:r>
      <w:r>
        <w:rPr>
          <w:rFonts w:ascii="Times New Roman" w:hAnsi="Times New Roman" w:eastAsia="Times New Roman" w:cs="Times New Roman"/>
          <w:sz w:val="18"/>
          <w:szCs w:val="18"/>
        </w:rPr>
        <w:t>seroconversion</w:t>
      </w:r>
      <w:r>
        <w:rPr>
          <w:rFonts w:ascii="Times New Roman" w:hAnsi="Times New Roman" w:eastAsia="Times New Roman" w:cs="Times New Roman"/>
          <w:spacing w:val="5"/>
          <w:sz w:val="18"/>
          <w:szCs w:val="18"/>
        </w:rPr>
        <w:t xml:space="preserve">     </w:t>
      </w:r>
      <w:r>
        <w:rPr>
          <w:rFonts w:ascii="Times New Roman" w:hAnsi="Times New Roman" w:eastAsia="Times New Roman" w:cs="Times New Roman"/>
          <w:sz w:val="18"/>
          <w:szCs w:val="18"/>
        </w:rPr>
        <w:t>171</w:t>
      </w:r>
    </w:p>
    <w:p w14:paraId="116C8EB3">
      <w:pPr>
        <w:spacing w:before="105" w:line="212" w:lineRule="auto"/>
        <w:rPr>
          <w:rFonts w:ascii="Times New Roman" w:hAnsi="Times New Roman" w:eastAsia="Times New Roman" w:cs="Times New Roman"/>
          <w:sz w:val="18"/>
          <w:szCs w:val="18"/>
        </w:rPr>
      </w:pPr>
      <w:r>
        <w:rPr>
          <w:rFonts w:ascii="宋体" w:hAnsi="宋体" w:eastAsia="宋体" w:cs="宋体"/>
          <w:spacing w:val="1"/>
          <w:sz w:val="18"/>
          <w:szCs w:val="18"/>
        </w:rPr>
        <w:t>抗原漂移</w:t>
      </w:r>
      <w:r>
        <w:rPr>
          <w:rFonts w:ascii="宋体" w:hAnsi="宋体" w:eastAsia="宋体" w:cs="宋体"/>
          <w:spacing w:val="83"/>
          <w:sz w:val="18"/>
          <w:szCs w:val="18"/>
        </w:rPr>
        <w:t xml:space="preserve"> </w:t>
      </w:r>
      <w:r>
        <w:rPr>
          <w:rFonts w:ascii="Times New Roman" w:hAnsi="Times New Roman" w:eastAsia="Times New Roman" w:cs="Times New Roman"/>
          <w:sz w:val="18"/>
          <w:szCs w:val="18"/>
        </w:rPr>
        <w:t>antigenic</w:t>
      </w:r>
      <w:r>
        <w:rPr>
          <w:rFonts w:ascii="Times New Roman" w:hAnsi="Times New Roman" w:eastAsia="Times New Roman" w:cs="Times New Roman"/>
          <w:spacing w:val="7"/>
          <w:sz w:val="18"/>
          <w:szCs w:val="18"/>
        </w:rPr>
        <w:t xml:space="preserve">   </w:t>
      </w:r>
      <w:r>
        <w:rPr>
          <w:rFonts w:ascii="Times New Roman" w:hAnsi="Times New Roman" w:eastAsia="Times New Roman" w:cs="Times New Roman"/>
          <w:sz w:val="18"/>
          <w:szCs w:val="18"/>
        </w:rPr>
        <w:t>drift</w:t>
      </w:r>
      <w:r>
        <w:rPr>
          <w:rFonts w:ascii="Times New Roman" w:hAnsi="Times New Roman" w:eastAsia="Times New Roman" w:cs="Times New Roman"/>
          <w:spacing w:val="7"/>
          <w:sz w:val="18"/>
          <w:szCs w:val="18"/>
        </w:rPr>
        <w:t xml:space="preserve">   </w:t>
      </w:r>
      <w:r>
        <w:rPr>
          <w:rFonts w:ascii="Times New Roman" w:hAnsi="Times New Roman" w:eastAsia="Times New Roman" w:cs="Times New Roman"/>
          <w:spacing w:val="1"/>
          <w:sz w:val="18"/>
          <w:szCs w:val="18"/>
        </w:rPr>
        <w:t>321</w:t>
      </w:r>
    </w:p>
    <w:p w14:paraId="2BFCB612">
      <w:pPr>
        <w:spacing w:before="134" w:line="212" w:lineRule="auto"/>
        <w:rPr>
          <w:rFonts w:ascii="Times New Roman" w:hAnsi="Times New Roman" w:eastAsia="Times New Roman" w:cs="Times New Roman"/>
          <w:sz w:val="18"/>
          <w:szCs w:val="18"/>
        </w:rPr>
      </w:pPr>
      <w:r>
        <w:rPr>
          <w:rFonts w:ascii="宋体" w:hAnsi="宋体" w:eastAsia="宋体" w:cs="宋体"/>
          <w:sz w:val="18"/>
          <w:szCs w:val="18"/>
        </w:rPr>
        <w:t>抗原转换</w:t>
      </w:r>
      <w:r>
        <w:rPr>
          <w:rFonts w:ascii="宋体" w:hAnsi="宋体" w:eastAsia="宋体" w:cs="宋体"/>
          <w:spacing w:val="77"/>
          <w:sz w:val="18"/>
          <w:szCs w:val="18"/>
        </w:rPr>
        <w:t xml:space="preserve"> </w:t>
      </w:r>
      <w:r>
        <w:rPr>
          <w:rFonts w:ascii="Times New Roman" w:hAnsi="Times New Roman" w:eastAsia="Times New Roman" w:cs="Times New Roman"/>
          <w:sz w:val="18"/>
          <w:szCs w:val="18"/>
        </w:rPr>
        <w:t>antigenic</w:t>
      </w:r>
      <w:r>
        <w:rPr>
          <w:rFonts w:ascii="Times New Roman" w:hAnsi="Times New Roman" w:eastAsia="Times New Roman" w:cs="Times New Roman"/>
          <w:spacing w:val="8"/>
          <w:sz w:val="18"/>
          <w:szCs w:val="18"/>
        </w:rPr>
        <w:t xml:space="preserve">   </w:t>
      </w:r>
      <w:r>
        <w:rPr>
          <w:rFonts w:ascii="Times New Roman" w:hAnsi="Times New Roman" w:eastAsia="Times New Roman" w:cs="Times New Roman"/>
          <w:sz w:val="18"/>
          <w:szCs w:val="18"/>
        </w:rPr>
        <w:t>shift</w:t>
      </w:r>
      <w:r>
        <w:rPr>
          <w:rFonts w:ascii="Times New Roman" w:hAnsi="Times New Roman" w:eastAsia="Times New Roman" w:cs="Times New Roman"/>
          <w:spacing w:val="7"/>
          <w:sz w:val="18"/>
          <w:szCs w:val="18"/>
        </w:rPr>
        <w:t xml:space="preserve">   </w:t>
      </w:r>
      <w:r>
        <w:rPr>
          <w:rFonts w:ascii="Times New Roman" w:hAnsi="Times New Roman" w:eastAsia="Times New Roman" w:cs="Times New Roman"/>
          <w:sz w:val="18"/>
          <w:szCs w:val="18"/>
        </w:rPr>
        <w:t>321</w:t>
      </w:r>
    </w:p>
    <w:sdt>
      <w:sdtPr>
        <w:rPr>
          <w:rFonts w:ascii="宋体" w:hAnsi="宋体" w:eastAsia="宋体" w:cs="宋体"/>
          <w:sz w:val="18"/>
          <w:szCs w:val="18"/>
        </w:rPr>
        <w:id w:val="849465290"/>
        <w:docPartObj>
          <w:docPartGallery w:val="Table of Contents"/>
          <w:docPartUnique/>
        </w:docPartObj>
      </w:sdtPr>
      <w:sdtEndPr>
        <w:rPr>
          <w:rFonts w:ascii="Times New Roman" w:hAnsi="Times New Roman" w:eastAsia="Times New Roman" w:cs="Times New Roman"/>
          <w:sz w:val="18"/>
          <w:szCs w:val="18"/>
        </w:rPr>
      </w:sdtEndPr>
      <w:sdtContent>
        <w:p w14:paraId="5CEC0704">
          <w:pPr>
            <w:spacing w:before="153" w:line="219" w:lineRule="auto"/>
            <w:rPr>
              <w:rFonts w:ascii="Times New Roman" w:hAnsi="Times New Roman" w:eastAsia="Times New Roman" w:cs="Times New Roman"/>
              <w:sz w:val="18"/>
              <w:szCs w:val="18"/>
            </w:rPr>
          </w:pPr>
          <w:r>
            <w:rPr>
              <w:rFonts w:ascii="宋体" w:hAnsi="宋体" w:eastAsia="宋体" w:cs="宋体"/>
              <w:sz w:val="18"/>
              <w:szCs w:val="18"/>
            </w:rPr>
            <w:t>科学推论</w:t>
          </w:r>
          <w:r>
            <w:rPr>
              <w:rFonts w:ascii="宋体" w:hAnsi="宋体" w:eastAsia="宋体" w:cs="宋体"/>
              <w:spacing w:val="72"/>
              <w:sz w:val="18"/>
              <w:szCs w:val="18"/>
            </w:rPr>
            <w:t xml:space="preserve"> </w:t>
          </w:r>
          <w:r>
            <w:rPr>
              <w:rFonts w:ascii="Times New Roman" w:hAnsi="Times New Roman" w:eastAsia="Times New Roman" w:cs="Times New Roman"/>
              <w:sz w:val="18"/>
              <w:szCs w:val="18"/>
            </w:rPr>
            <w:t>scientific</w:t>
          </w:r>
          <w:r>
            <w:rPr>
              <w:rFonts w:ascii="Times New Roman" w:hAnsi="Times New Roman" w:eastAsia="Times New Roman" w:cs="Times New Roman"/>
              <w:spacing w:val="8"/>
              <w:sz w:val="18"/>
              <w:szCs w:val="18"/>
            </w:rPr>
            <w:t xml:space="preserve">   </w:t>
          </w:r>
          <w:r>
            <w:rPr>
              <w:rFonts w:ascii="Times New Roman" w:hAnsi="Times New Roman" w:eastAsia="Times New Roman" w:cs="Times New Roman"/>
              <w:sz w:val="18"/>
              <w:szCs w:val="18"/>
            </w:rPr>
            <w:t>inference</w:t>
          </w:r>
          <w:r>
            <w:rPr>
              <w:rFonts w:ascii="Times New Roman" w:hAnsi="Times New Roman" w:eastAsia="Times New Roman" w:cs="Times New Roman"/>
              <w:spacing w:val="15"/>
              <w:sz w:val="18"/>
              <w:szCs w:val="18"/>
            </w:rPr>
            <w:t xml:space="preserve">   </w:t>
          </w:r>
          <w:r>
            <w:fldChar w:fldCharType="begin"/>
          </w:r>
          <w:r>
            <w:instrText xml:space="preserve"> HYPERLINK \l "bookmark671" </w:instrText>
          </w:r>
          <w:r>
            <w:fldChar w:fldCharType="separate"/>
          </w:r>
          <w:r>
            <w:rPr>
              <w:rFonts w:ascii="Times New Roman" w:hAnsi="Times New Roman" w:eastAsia="Times New Roman" w:cs="Times New Roman"/>
              <w:spacing w:val="-1"/>
              <w:sz w:val="18"/>
              <w:szCs w:val="18"/>
            </w:rPr>
            <w:t>131</w:t>
          </w:r>
          <w:r>
            <w:rPr>
              <w:rFonts w:ascii="Times New Roman" w:hAnsi="Times New Roman" w:eastAsia="Times New Roman" w:cs="Times New Roman"/>
              <w:spacing w:val="-1"/>
              <w:sz w:val="18"/>
              <w:szCs w:val="18"/>
            </w:rPr>
            <w:fldChar w:fldCharType="end"/>
          </w:r>
        </w:p>
        <w:p w14:paraId="4751E3A5">
          <w:pPr>
            <w:spacing w:before="106" w:line="212" w:lineRule="auto"/>
            <w:rPr>
              <w:rFonts w:ascii="Times New Roman" w:hAnsi="Times New Roman" w:eastAsia="Times New Roman" w:cs="Times New Roman"/>
              <w:sz w:val="18"/>
              <w:szCs w:val="18"/>
            </w:rPr>
          </w:pPr>
          <w:r>
            <w:rPr>
              <w:rFonts w:ascii="宋体" w:hAnsi="宋体" w:eastAsia="宋体" w:cs="宋体"/>
              <w:spacing w:val="2"/>
              <w:sz w:val="18"/>
              <w:szCs w:val="18"/>
            </w:rPr>
            <w:t>可比性</w:t>
          </w:r>
          <w:r>
            <w:rPr>
              <w:rFonts w:ascii="宋体" w:hAnsi="宋体" w:eastAsia="宋体" w:cs="宋体"/>
              <w:spacing w:val="75"/>
              <w:sz w:val="18"/>
              <w:szCs w:val="18"/>
            </w:rPr>
            <w:t xml:space="preserve"> </w:t>
          </w:r>
          <w:r>
            <w:rPr>
              <w:rFonts w:ascii="Times New Roman" w:hAnsi="Times New Roman" w:eastAsia="Times New Roman" w:cs="Times New Roman"/>
              <w:sz w:val="18"/>
              <w:szCs w:val="18"/>
            </w:rPr>
            <w:t>comparability</w:t>
          </w:r>
          <w:r>
            <w:rPr>
              <w:rFonts w:ascii="Times New Roman" w:hAnsi="Times New Roman" w:eastAsia="Times New Roman" w:cs="Times New Roman"/>
              <w:spacing w:val="2"/>
              <w:sz w:val="18"/>
              <w:szCs w:val="18"/>
            </w:rPr>
            <w:t xml:space="preserve">     </w:t>
          </w:r>
          <w:r>
            <w:fldChar w:fldCharType="begin"/>
          </w:r>
          <w:r>
            <w:instrText xml:space="preserve"> HYPERLINK \l "bookmark672" </w:instrText>
          </w:r>
          <w:r>
            <w:fldChar w:fldCharType="separate"/>
          </w:r>
          <w:r>
            <w:rPr>
              <w:rFonts w:ascii="Times New Roman" w:hAnsi="Times New Roman" w:eastAsia="Times New Roman" w:cs="Times New Roman"/>
              <w:spacing w:val="2"/>
              <w:sz w:val="18"/>
              <w:szCs w:val="18"/>
            </w:rPr>
            <w:t>66</w:t>
          </w:r>
          <w:r>
            <w:rPr>
              <w:rFonts w:ascii="Times New Roman" w:hAnsi="Times New Roman" w:eastAsia="Times New Roman" w:cs="Times New Roman"/>
              <w:spacing w:val="2"/>
              <w:sz w:val="18"/>
              <w:szCs w:val="18"/>
            </w:rPr>
            <w:fldChar w:fldCharType="end"/>
          </w:r>
        </w:p>
        <w:p w14:paraId="7D2A6748">
          <w:pPr>
            <w:spacing w:before="134" w:line="212" w:lineRule="auto"/>
            <w:rPr>
              <w:rFonts w:ascii="Times New Roman" w:hAnsi="Times New Roman" w:eastAsia="Times New Roman" w:cs="Times New Roman"/>
              <w:sz w:val="18"/>
              <w:szCs w:val="18"/>
            </w:rPr>
          </w:pPr>
          <w:r>
            <w:rPr>
              <w:rFonts w:ascii="宋体" w:hAnsi="宋体" w:eastAsia="宋体" w:cs="宋体"/>
              <w:spacing w:val="1"/>
              <w:sz w:val="18"/>
              <w:szCs w:val="18"/>
            </w:rPr>
            <w:t>可靠性</w:t>
          </w:r>
          <w:r>
            <w:rPr>
              <w:rFonts w:ascii="宋体" w:hAnsi="宋体" w:eastAsia="宋体" w:cs="宋体"/>
              <w:spacing w:val="76"/>
              <w:sz w:val="18"/>
              <w:szCs w:val="18"/>
            </w:rPr>
            <w:t xml:space="preserve"> </w:t>
          </w:r>
          <w:r>
            <w:rPr>
              <w:rFonts w:ascii="Times New Roman" w:hAnsi="Times New Roman" w:eastAsia="Times New Roman" w:cs="Times New Roman"/>
              <w:sz w:val="18"/>
              <w:szCs w:val="18"/>
            </w:rPr>
            <w:t>reliability</w:t>
          </w:r>
          <w:r>
            <w:rPr>
              <w:rFonts w:ascii="Times New Roman" w:hAnsi="Times New Roman" w:eastAsia="Times New Roman" w:cs="Times New Roman"/>
              <w:spacing w:val="5"/>
              <w:sz w:val="18"/>
              <w:szCs w:val="18"/>
            </w:rPr>
            <w:t xml:space="preserve">     </w:t>
          </w:r>
          <w:r>
            <w:fldChar w:fldCharType="begin"/>
          </w:r>
          <w:r>
            <w:instrText xml:space="preserve"> HYPERLINK \l "bookmark673" </w:instrText>
          </w:r>
          <w:r>
            <w:fldChar w:fldCharType="separate"/>
          </w:r>
          <w:r>
            <w:rPr>
              <w:rFonts w:ascii="Times New Roman" w:hAnsi="Times New Roman" w:eastAsia="Times New Roman" w:cs="Times New Roman"/>
              <w:spacing w:val="1"/>
              <w:sz w:val="18"/>
              <w:szCs w:val="18"/>
            </w:rPr>
            <w:t>106</w:t>
          </w:r>
          <w:r>
            <w:rPr>
              <w:rFonts w:ascii="Times New Roman" w:hAnsi="Times New Roman" w:eastAsia="Times New Roman" w:cs="Times New Roman"/>
              <w:spacing w:val="1"/>
              <w:sz w:val="18"/>
              <w:szCs w:val="18"/>
            </w:rPr>
            <w:fldChar w:fldCharType="end"/>
          </w:r>
        </w:p>
      </w:sdtContent>
    </w:sdt>
    <w:p w14:paraId="51475E6A">
      <w:pPr>
        <w:spacing w:before="154" w:line="219" w:lineRule="auto"/>
        <w:rPr>
          <w:rFonts w:ascii="Times New Roman" w:hAnsi="Times New Roman" w:eastAsia="Times New Roman" w:cs="Times New Roman"/>
          <w:sz w:val="18"/>
          <w:szCs w:val="18"/>
        </w:rPr>
      </w:pPr>
      <w:r>
        <w:rPr>
          <w:rFonts w:ascii="宋体" w:hAnsi="宋体" w:eastAsia="宋体" w:cs="宋体"/>
          <w:spacing w:val="4"/>
          <w:sz w:val="18"/>
          <w:szCs w:val="18"/>
        </w:rPr>
        <w:t>克山病</w:t>
      </w:r>
      <w:r>
        <w:rPr>
          <w:rFonts w:ascii="宋体" w:hAnsi="宋体" w:eastAsia="宋体" w:cs="宋体"/>
          <w:spacing w:val="67"/>
          <w:sz w:val="18"/>
          <w:szCs w:val="18"/>
        </w:rPr>
        <w:t xml:space="preserve"> </w:t>
      </w:r>
      <w:r>
        <w:rPr>
          <w:rFonts w:ascii="Times New Roman" w:hAnsi="Times New Roman" w:eastAsia="Times New Roman" w:cs="Times New Roman"/>
          <w:sz w:val="18"/>
          <w:szCs w:val="18"/>
        </w:rPr>
        <w:t>Keshan</w:t>
      </w:r>
      <w:r>
        <w:rPr>
          <w:rFonts w:ascii="Times New Roman" w:hAnsi="Times New Roman" w:eastAsia="Times New Roman" w:cs="Times New Roman"/>
          <w:spacing w:val="4"/>
          <w:sz w:val="18"/>
          <w:szCs w:val="18"/>
        </w:rPr>
        <w:t xml:space="preserve">   </w:t>
      </w:r>
      <w:r>
        <w:rPr>
          <w:rFonts w:ascii="Times New Roman" w:hAnsi="Times New Roman" w:eastAsia="Times New Roman" w:cs="Times New Roman"/>
          <w:sz w:val="18"/>
          <w:szCs w:val="18"/>
        </w:rPr>
        <w:t>disease</w:t>
      </w:r>
      <w:r>
        <w:rPr>
          <w:rFonts w:ascii="Times New Roman" w:hAnsi="Times New Roman" w:eastAsia="Times New Roman" w:cs="Times New Roman"/>
          <w:spacing w:val="6"/>
          <w:sz w:val="18"/>
          <w:szCs w:val="18"/>
        </w:rPr>
        <w:t xml:space="preserve">   </w:t>
      </w:r>
      <w:r>
        <w:rPr>
          <w:rFonts w:ascii="Times New Roman" w:hAnsi="Times New Roman" w:eastAsia="Times New Roman" w:cs="Times New Roman"/>
          <w:spacing w:val="4"/>
          <w:sz w:val="18"/>
          <w:szCs w:val="18"/>
        </w:rPr>
        <w:t>335</w:t>
      </w:r>
    </w:p>
    <w:p w14:paraId="566667CB">
      <w:pPr>
        <w:spacing w:before="125" w:line="212" w:lineRule="auto"/>
        <w:jc w:val="right"/>
        <w:rPr>
          <w:rFonts w:ascii="Times New Roman" w:hAnsi="Times New Roman" w:eastAsia="Times New Roman" w:cs="Times New Roman"/>
          <w:sz w:val="18"/>
          <w:szCs w:val="18"/>
        </w:rPr>
      </w:pPr>
      <w:r>
        <w:rPr>
          <w:rFonts w:ascii="宋体" w:hAnsi="宋体" w:eastAsia="宋体" w:cs="宋体"/>
          <w:spacing w:val="4"/>
          <w:sz w:val="18"/>
          <w:szCs w:val="18"/>
        </w:rPr>
        <w:t>扩大免疫规划</w:t>
      </w:r>
      <w:r>
        <w:rPr>
          <w:rFonts w:ascii="宋体" w:hAnsi="宋体" w:eastAsia="宋体" w:cs="宋体"/>
          <w:spacing w:val="72"/>
          <w:sz w:val="18"/>
          <w:szCs w:val="18"/>
        </w:rPr>
        <w:t xml:space="preserve"> </w:t>
      </w:r>
      <w:r>
        <w:rPr>
          <w:rFonts w:ascii="Times New Roman" w:hAnsi="Times New Roman" w:eastAsia="Times New Roman" w:cs="Times New Roman"/>
          <w:sz w:val="18"/>
          <w:szCs w:val="18"/>
        </w:rPr>
        <w:t>expanded</w:t>
      </w:r>
      <w:r>
        <w:rPr>
          <w:rFonts w:ascii="Times New Roman" w:hAnsi="Times New Roman" w:eastAsia="Times New Roman" w:cs="Times New Roman"/>
          <w:spacing w:val="4"/>
          <w:sz w:val="18"/>
          <w:szCs w:val="18"/>
        </w:rPr>
        <w:t xml:space="preserve">  </w:t>
      </w:r>
      <w:r>
        <w:rPr>
          <w:rFonts w:ascii="Times New Roman" w:hAnsi="Times New Roman" w:eastAsia="Times New Roman" w:cs="Times New Roman"/>
          <w:sz w:val="18"/>
          <w:szCs w:val="18"/>
        </w:rPr>
        <w:t>program</w:t>
      </w:r>
      <w:r>
        <w:rPr>
          <w:rFonts w:ascii="Times New Roman" w:hAnsi="Times New Roman" w:eastAsia="Times New Roman" w:cs="Times New Roman"/>
          <w:spacing w:val="13"/>
          <w:sz w:val="18"/>
          <w:szCs w:val="18"/>
        </w:rPr>
        <w:t xml:space="preserve">  </w:t>
      </w:r>
      <w:r>
        <w:rPr>
          <w:rFonts w:ascii="Times New Roman" w:hAnsi="Times New Roman" w:eastAsia="Times New Roman" w:cs="Times New Roman"/>
          <w:sz w:val="18"/>
          <w:szCs w:val="18"/>
        </w:rPr>
        <w:t>on</w:t>
      </w:r>
      <w:r>
        <w:rPr>
          <w:rFonts w:ascii="Times New Roman" w:hAnsi="Times New Roman" w:eastAsia="Times New Roman" w:cs="Times New Roman"/>
          <w:spacing w:val="12"/>
          <w:w w:val="101"/>
          <w:sz w:val="18"/>
          <w:szCs w:val="18"/>
        </w:rPr>
        <w:t xml:space="preserve">  </w:t>
      </w:r>
      <w:r>
        <w:rPr>
          <w:rFonts w:ascii="Times New Roman" w:hAnsi="Times New Roman" w:eastAsia="Times New Roman" w:cs="Times New Roman"/>
          <w:sz w:val="18"/>
          <w:szCs w:val="18"/>
        </w:rPr>
        <w:t>immunization</w:t>
      </w:r>
      <w:r>
        <w:rPr>
          <w:rFonts w:ascii="Times New Roman" w:hAnsi="Times New Roman" w:eastAsia="Times New Roman" w:cs="Times New Roman"/>
          <w:spacing w:val="4"/>
          <w:sz w:val="18"/>
          <w:szCs w:val="18"/>
        </w:rPr>
        <w:t>,</w:t>
      </w:r>
      <w:r>
        <w:rPr>
          <w:rFonts w:ascii="Times New Roman" w:hAnsi="Times New Roman" w:eastAsia="Times New Roman" w:cs="Times New Roman"/>
          <w:sz w:val="18"/>
          <w:szCs w:val="18"/>
        </w:rPr>
        <w:t>EPI</w:t>
      </w:r>
    </w:p>
    <w:p w14:paraId="418F058C">
      <w:pPr>
        <w:spacing w:before="183" w:line="188" w:lineRule="auto"/>
        <w:ind w:left="210"/>
        <w:rPr>
          <w:rFonts w:ascii="Times New Roman" w:hAnsi="Times New Roman" w:eastAsia="Times New Roman" w:cs="Times New Roman"/>
          <w:sz w:val="15"/>
          <w:szCs w:val="15"/>
        </w:rPr>
      </w:pPr>
      <w:r>
        <w:rPr>
          <w:rFonts w:ascii="Times New Roman" w:hAnsi="Times New Roman" w:eastAsia="Times New Roman" w:cs="Times New Roman"/>
          <w:spacing w:val="-4"/>
          <w:sz w:val="15"/>
          <w:szCs w:val="15"/>
        </w:rPr>
        <w:t>168</w:t>
      </w:r>
    </w:p>
    <w:p w14:paraId="724E7233">
      <w:pPr>
        <w:spacing w:line="273" w:lineRule="auto"/>
        <w:rPr>
          <w:rFonts w:ascii="Arial"/>
          <w:sz w:val="21"/>
        </w:rPr>
      </w:pPr>
    </w:p>
    <w:p w14:paraId="3409D1DE">
      <w:pPr>
        <w:spacing w:before="81" w:line="196" w:lineRule="auto"/>
        <w:rPr>
          <w:rFonts w:ascii="Arial" w:hAnsi="Arial" w:eastAsia="Arial" w:cs="Arial"/>
          <w:sz w:val="28"/>
          <w:szCs w:val="28"/>
        </w:rPr>
      </w:pPr>
      <w:r>
        <w:rPr>
          <w:rFonts w:ascii="Arial" w:hAnsi="Arial" w:eastAsia="Arial" w:cs="Arial"/>
          <w:sz w:val="28"/>
          <w:szCs w:val="28"/>
        </w:rPr>
        <w:t>L</w:t>
      </w:r>
    </w:p>
    <w:sdt>
      <w:sdtPr>
        <w:rPr>
          <w:rFonts w:ascii="宋体" w:hAnsi="宋体" w:eastAsia="宋体" w:cs="宋体"/>
          <w:sz w:val="18"/>
          <w:szCs w:val="18"/>
        </w:rPr>
        <w:id w:val="284822352"/>
        <w:docPartObj>
          <w:docPartGallery w:val="Table of Contents"/>
          <w:docPartUnique/>
        </w:docPartObj>
      </w:sdtPr>
      <w:sdtEndPr>
        <w:rPr>
          <w:rFonts w:ascii="Times New Roman" w:hAnsi="Times New Roman" w:eastAsia="Times New Roman" w:cs="Times New Roman"/>
          <w:sz w:val="18"/>
          <w:szCs w:val="18"/>
        </w:rPr>
      </w:sdtEndPr>
      <w:sdtContent>
        <w:p w14:paraId="08D82ADA">
          <w:pPr>
            <w:spacing w:before="187" w:line="212" w:lineRule="auto"/>
            <w:rPr>
              <w:rFonts w:ascii="Times New Roman" w:hAnsi="Times New Roman" w:eastAsia="Times New Roman" w:cs="Times New Roman"/>
              <w:sz w:val="18"/>
              <w:szCs w:val="18"/>
            </w:rPr>
          </w:pPr>
          <w:r>
            <w:rPr>
              <w:rFonts w:ascii="宋体" w:hAnsi="宋体" w:eastAsia="宋体" w:cs="宋体"/>
              <w:spacing w:val="3"/>
              <w:sz w:val="18"/>
              <w:szCs w:val="18"/>
            </w:rPr>
            <w:t>累</w:t>
          </w:r>
          <w:r>
            <w:rPr>
              <w:rFonts w:ascii="宋体" w:hAnsi="宋体" w:eastAsia="宋体" w:cs="宋体"/>
              <w:spacing w:val="-34"/>
              <w:sz w:val="18"/>
              <w:szCs w:val="18"/>
            </w:rPr>
            <w:t xml:space="preserve"> </w:t>
          </w:r>
          <w:r>
            <w:rPr>
              <w:rFonts w:ascii="宋体" w:hAnsi="宋体" w:eastAsia="宋体" w:cs="宋体"/>
              <w:spacing w:val="3"/>
              <w:sz w:val="18"/>
              <w:szCs w:val="18"/>
            </w:rPr>
            <w:t>积</w:t>
          </w:r>
          <w:r>
            <w:rPr>
              <w:rFonts w:ascii="Times New Roman" w:hAnsi="Times New Roman" w:eastAsia="Times New Roman" w:cs="Times New Roman"/>
              <w:sz w:val="18"/>
              <w:szCs w:val="18"/>
            </w:rPr>
            <w:t>Meta</w:t>
          </w:r>
          <w:r>
            <w:rPr>
              <w:rFonts w:ascii="宋体" w:hAnsi="宋体" w:eastAsia="宋体" w:cs="宋体"/>
              <w:spacing w:val="3"/>
              <w:sz w:val="18"/>
              <w:szCs w:val="18"/>
            </w:rPr>
            <w:t>分析</w:t>
          </w:r>
          <w:r>
            <w:rPr>
              <w:rFonts w:ascii="宋体" w:hAnsi="宋体" w:eastAsia="宋体" w:cs="宋体"/>
              <w:spacing w:val="83"/>
              <w:sz w:val="18"/>
              <w:szCs w:val="18"/>
            </w:rPr>
            <w:t xml:space="preserve"> </w:t>
          </w:r>
          <w:r>
            <w:rPr>
              <w:rFonts w:ascii="Times New Roman" w:hAnsi="Times New Roman" w:eastAsia="Times New Roman" w:cs="Times New Roman"/>
              <w:sz w:val="18"/>
              <w:szCs w:val="18"/>
            </w:rPr>
            <w:t>cumulative</w:t>
          </w:r>
          <w:r>
            <w:rPr>
              <w:rFonts w:ascii="Times New Roman" w:hAnsi="Times New Roman" w:eastAsia="Times New Roman" w:cs="Times New Roman"/>
              <w:spacing w:val="3"/>
              <w:sz w:val="18"/>
              <w:szCs w:val="18"/>
            </w:rPr>
            <w:t xml:space="preserve">    </w:t>
          </w:r>
          <w:r>
            <w:rPr>
              <w:rFonts w:ascii="Times New Roman" w:hAnsi="Times New Roman" w:eastAsia="Times New Roman" w:cs="Times New Roman"/>
              <w:sz w:val="18"/>
              <w:szCs w:val="18"/>
            </w:rPr>
            <w:t>meta</w:t>
          </w:r>
          <w:r>
            <w:rPr>
              <w:rFonts w:ascii="Times New Roman" w:hAnsi="Times New Roman" w:eastAsia="Times New Roman" w:cs="Times New Roman"/>
              <w:spacing w:val="3"/>
              <w:sz w:val="18"/>
              <w:szCs w:val="18"/>
            </w:rPr>
            <w:t>-</w:t>
          </w:r>
          <w:r>
            <w:rPr>
              <w:rFonts w:ascii="Times New Roman" w:hAnsi="Times New Roman" w:eastAsia="Times New Roman" w:cs="Times New Roman"/>
              <w:sz w:val="18"/>
              <w:szCs w:val="18"/>
            </w:rPr>
            <w:t>analysis</w:t>
          </w:r>
          <w:r>
            <w:rPr>
              <w:rFonts w:ascii="Times New Roman" w:hAnsi="Times New Roman" w:eastAsia="Times New Roman" w:cs="Times New Roman"/>
              <w:spacing w:val="3"/>
              <w:sz w:val="18"/>
              <w:szCs w:val="18"/>
            </w:rPr>
            <w:t>,</w:t>
          </w:r>
          <w:r>
            <w:rPr>
              <w:rFonts w:ascii="Times New Roman" w:hAnsi="Times New Roman" w:eastAsia="Times New Roman" w:cs="Times New Roman"/>
              <w:sz w:val="18"/>
              <w:szCs w:val="18"/>
            </w:rPr>
            <w:t>CMA</w:t>
          </w:r>
          <w:r>
            <w:rPr>
              <w:rFonts w:ascii="Times New Roman" w:hAnsi="Times New Roman" w:eastAsia="Times New Roman" w:cs="Times New Roman"/>
              <w:spacing w:val="6"/>
              <w:sz w:val="18"/>
              <w:szCs w:val="18"/>
            </w:rPr>
            <w:t xml:space="preserve">    </w:t>
          </w:r>
          <w:r>
            <w:fldChar w:fldCharType="begin"/>
          </w:r>
          <w:r>
            <w:instrText xml:space="preserve"> HYPERLINK \l "bookmark674" </w:instrText>
          </w:r>
          <w:r>
            <w:fldChar w:fldCharType="separate"/>
          </w:r>
          <w:r>
            <w:rPr>
              <w:rFonts w:ascii="Times New Roman" w:hAnsi="Times New Roman" w:eastAsia="Times New Roman" w:cs="Times New Roman"/>
              <w:spacing w:val="3"/>
              <w:sz w:val="18"/>
              <w:szCs w:val="18"/>
            </w:rPr>
            <w:t>264</w:t>
          </w:r>
          <w:r>
            <w:rPr>
              <w:rFonts w:ascii="Times New Roman" w:hAnsi="Times New Roman" w:eastAsia="Times New Roman" w:cs="Times New Roman"/>
              <w:spacing w:val="3"/>
              <w:sz w:val="18"/>
              <w:szCs w:val="18"/>
            </w:rPr>
            <w:fldChar w:fldCharType="end"/>
          </w:r>
        </w:p>
        <w:p w14:paraId="416F23FE">
          <w:pPr>
            <w:spacing w:before="142" w:line="212" w:lineRule="auto"/>
            <w:rPr>
              <w:rFonts w:ascii="Times New Roman" w:hAnsi="Times New Roman" w:eastAsia="Times New Roman" w:cs="Times New Roman"/>
              <w:sz w:val="18"/>
              <w:szCs w:val="18"/>
            </w:rPr>
          </w:pPr>
          <w:r>
            <w:rPr>
              <w:rFonts w:ascii="宋体" w:hAnsi="宋体" w:eastAsia="宋体" w:cs="宋体"/>
              <w:spacing w:val="3"/>
              <w:sz w:val="18"/>
              <w:szCs w:val="18"/>
            </w:rPr>
            <w:t>累积发病率</w:t>
          </w:r>
          <w:r>
            <w:rPr>
              <w:rFonts w:ascii="宋体" w:hAnsi="宋体" w:eastAsia="宋体" w:cs="宋体"/>
              <w:spacing w:val="63"/>
              <w:sz w:val="18"/>
              <w:szCs w:val="18"/>
            </w:rPr>
            <w:t xml:space="preserve"> </w:t>
          </w:r>
          <w:r>
            <w:rPr>
              <w:rFonts w:ascii="Times New Roman" w:hAnsi="Times New Roman" w:eastAsia="Times New Roman" w:cs="Times New Roman"/>
              <w:sz w:val="18"/>
              <w:szCs w:val="18"/>
            </w:rPr>
            <w:t>cumulative</w:t>
          </w:r>
          <w:r>
            <w:rPr>
              <w:rFonts w:ascii="Times New Roman" w:hAnsi="Times New Roman" w:eastAsia="Times New Roman" w:cs="Times New Roman"/>
              <w:spacing w:val="3"/>
              <w:sz w:val="18"/>
              <w:szCs w:val="18"/>
            </w:rPr>
            <w:t xml:space="preserve">    </w:t>
          </w:r>
          <w:r>
            <w:rPr>
              <w:rFonts w:ascii="Times New Roman" w:hAnsi="Times New Roman" w:eastAsia="Times New Roman" w:cs="Times New Roman"/>
              <w:sz w:val="18"/>
              <w:szCs w:val="18"/>
            </w:rPr>
            <w:t>incidence</w:t>
          </w:r>
          <w:r>
            <w:rPr>
              <w:rFonts w:ascii="Times New Roman" w:hAnsi="Times New Roman" w:eastAsia="Times New Roman" w:cs="Times New Roman"/>
              <w:spacing w:val="3"/>
              <w:sz w:val="18"/>
              <w:szCs w:val="18"/>
            </w:rPr>
            <w:t>,</w:t>
          </w:r>
          <w:r>
            <w:rPr>
              <w:rFonts w:ascii="Times New Roman" w:hAnsi="Times New Roman" w:eastAsia="Times New Roman" w:cs="Times New Roman"/>
              <w:sz w:val="18"/>
              <w:szCs w:val="18"/>
            </w:rPr>
            <w:t>CI</w:t>
          </w:r>
          <w:r>
            <w:rPr>
              <w:rFonts w:ascii="Times New Roman" w:hAnsi="Times New Roman" w:eastAsia="Times New Roman" w:cs="Times New Roman"/>
              <w:spacing w:val="5"/>
              <w:sz w:val="18"/>
              <w:szCs w:val="18"/>
            </w:rPr>
            <w:t xml:space="preserve">    </w:t>
          </w:r>
          <w:r>
            <w:fldChar w:fldCharType="begin"/>
          </w:r>
          <w:r>
            <w:instrText xml:space="preserve"> HYPERLINK \l "bookmark675" </w:instrText>
          </w:r>
          <w:r>
            <w:fldChar w:fldCharType="separate"/>
          </w:r>
          <w:r>
            <w:rPr>
              <w:rFonts w:ascii="Times New Roman" w:hAnsi="Times New Roman" w:eastAsia="Times New Roman" w:cs="Times New Roman"/>
              <w:spacing w:val="3"/>
              <w:sz w:val="18"/>
              <w:szCs w:val="18"/>
            </w:rPr>
            <w:t>55</w:t>
          </w:r>
          <w:r>
            <w:rPr>
              <w:rFonts w:ascii="Times New Roman" w:hAnsi="Times New Roman" w:eastAsia="Times New Roman" w:cs="Times New Roman"/>
              <w:spacing w:val="3"/>
              <w:sz w:val="18"/>
              <w:szCs w:val="18"/>
            </w:rPr>
            <w:fldChar w:fldCharType="end"/>
          </w:r>
        </w:p>
        <w:p w14:paraId="1E610B9B">
          <w:pPr>
            <w:spacing w:before="125" w:line="212" w:lineRule="auto"/>
            <w:rPr>
              <w:rFonts w:ascii="Times New Roman" w:hAnsi="Times New Roman" w:eastAsia="Times New Roman" w:cs="Times New Roman"/>
              <w:sz w:val="18"/>
              <w:szCs w:val="18"/>
            </w:rPr>
          </w:pPr>
          <w:r>
            <w:rPr>
              <w:rFonts w:ascii="宋体" w:hAnsi="宋体" w:eastAsia="宋体" w:cs="宋体"/>
              <w:spacing w:val="2"/>
              <w:sz w:val="18"/>
              <w:szCs w:val="18"/>
            </w:rPr>
            <w:t>类实验</w:t>
          </w:r>
          <w:r>
            <w:rPr>
              <w:rFonts w:ascii="宋体" w:hAnsi="宋体" w:eastAsia="宋体" w:cs="宋体"/>
              <w:spacing w:val="74"/>
              <w:sz w:val="18"/>
              <w:szCs w:val="18"/>
            </w:rPr>
            <w:t xml:space="preserve"> </w:t>
          </w:r>
          <w:r>
            <w:rPr>
              <w:rFonts w:ascii="Times New Roman" w:hAnsi="Times New Roman" w:eastAsia="Times New Roman" w:cs="Times New Roman"/>
              <w:sz w:val="18"/>
              <w:szCs w:val="18"/>
            </w:rPr>
            <w:t>quasi</w:t>
          </w:r>
          <w:r>
            <w:rPr>
              <w:rFonts w:ascii="Times New Roman" w:hAnsi="Times New Roman" w:eastAsia="Times New Roman" w:cs="Times New Roman"/>
              <w:spacing w:val="2"/>
              <w:sz w:val="18"/>
              <w:szCs w:val="18"/>
            </w:rPr>
            <w:t>-</w:t>
          </w:r>
          <w:r>
            <w:rPr>
              <w:rFonts w:ascii="Times New Roman" w:hAnsi="Times New Roman" w:eastAsia="Times New Roman" w:cs="Times New Roman"/>
              <w:sz w:val="18"/>
              <w:szCs w:val="18"/>
            </w:rPr>
            <w:t>experiment</w:t>
          </w:r>
          <w:r>
            <w:rPr>
              <w:rFonts w:ascii="Times New Roman" w:hAnsi="Times New Roman" w:eastAsia="Times New Roman" w:cs="Times New Roman"/>
              <w:spacing w:val="8"/>
              <w:sz w:val="18"/>
              <w:szCs w:val="18"/>
            </w:rPr>
            <w:t xml:space="preserve">     </w:t>
          </w:r>
          <w:r>
            <w:fldChar w:fldCharType="begin"/>
          </w:r>
          <w:r>
            <w:instrText xml:space="preserve"> HYPERLINK \l "bookmark676" </w:instrText>
          </w:r>
          <w:r>
            <w:fldChar w:fldCharType="separate"/>
          </w:r>
          <w:r>
            <w:rPr>
              <w:rFonts w:ascii="Times New Roman" w:hAnsi="Times New Roman" w:eastAsia="Times New Roman" w:cs="Times New Roman"/>
              <w:spacing w:val="2"/>
              <w:sz w:val="18"/>
              <w:szCs w:val="18"/>
            </w:rPr>
            <w:t>86</w:t>
          </w:r>
          <w:r>
            <w:rPr>
              <w:rFonts w:ascii="Times New Roman" w:hAnsi="Times New Roman" w:eastAsia="Times New Roman" w:cs="Times New Roman"/>
              <w:spacing w:val="2"/>
              <w:sz w:val="18"/>
              <w:szCs w:val="18"/>
            </w:rPr>
            <w:fldChar w:fldCharType="end"/>
          </w:r>
        </w:p>
        <w:p w14:paraId="6FFD4345">
          <w:pPr>
            <w:spacing w:before="157" w:line="223" w:lineRule="auto"/>
            <w:rPr>
              <w:rFonts w:ascii="Times New Roman" w:hAnsi="Times New Roman" w:eastAsia="Times New Roman" w:cs="Times New Roman"/>
              <w:sz w:val="18"/>
              <w:szCs w:val="18"/>
            </w:rPr>
          </w:pPr>
          <w:r>
            <w:rPr>
              <w:rFonts w:ascii="宋体" w:hAnsi="宋体" w:eastAsia="宋体" w:cs="宋体"/>
              <w:spacing w:val="1"/>
              <w:sz w:val="18"/>
              <w:szCs w:val="18"/>
            </w:rPr>
            <w:t>冷链</w:t>
          </w:r>
          <w:r>
            <w:rPr>
              <w:rFonts w:ascii="宋体" w:hAnsi="宋体" w:eastAsia="宋体" w:cs="宋体"/>
              <w:spacing w:val="76"/>
              <w:w w:val="101"/>
              <w:sz w:val="18"/>
              <w:szCs w:val="18"/>
            </w:rPr>
            <w:t xml:space="preserve"> </w:t>
          </w:r>
          <w:r>
            <w:rPr>
              <w:rFonts w:ascii="Times New Roman" w:hAnsi="Times New Roman" w:eastAsia="Times New Roman" w:cs="Times New Roman"/>
              <w:sz w:val="18"/>
              <w:szCs w:val="18"/>
            </w:rPr>
            <w:t>cold</w:t>
          </w:r>
          <w:r>
            <w:rPr>
              <w:rFonts w:ascii="Times New Roman" w:hAnsi="Times New Roman" w:eastAsia="Times New Roman" w:cs="Times New Roman"/>
              <w:spacing w:val="1"/>
              <w:sz w:val="18"/>
              <w:szCs w:val="18"/>
            </w:rPr>
            <w:t xml:space="preserve">   </w:t>
          </w:r>
          <w:r>
            <w:rPr>
              <w:rFonts w:ascii="Times New Roman" w:hAnsi="Times New Roman" w:eastAsia="Times New Roman" w:cs="Times New Roman"/>
              <w:sz w:val="18"/>
              <w:szCs w:val="18"/>
            </w:rPr>
            <w:t>chain</w:t>
          </w:r>
          <w:r>
            <w:rPr>
              <w:rFonts w:ascii="Times New Roman" w:hAnsi="Times New Roman" w:eastAsia="Times New Roman" w:cs="Times New Roman"/>
              <w:spacing w:val="9"/>
              <w:sz w:val="18"/>
              <w:szCs w:val="18"/>
            </w:rPr>
            <w:t xml:space="preserve">   </w:t>
          </w:r>
          <w:r>
            <w:fldChar w:fldCharType="begin"/>
          </w:r>
          <w:r>
            <w:instrText xml:space="preserve"> HYPERLINK \l "bookmark496" </w:instrText>
          </w:r>
          <w:r>
            <w:fldChar w:fldCharType="separate"/>
          </w:r>
          <w:r>
            <w:rPr>
              <w:rFonts w:ascii="Times New Roman" w:hAnsi="Times New Roman" w:eastAsia="Times New Roman" w:cs="Times New Roman"/>
              <w:spacing w:val="1"/>
              <w:sz w:val="18"/>
              <w:szCs w:val="18"/>
            </w:rPr>
            <w:t>170</w:t>
          </w:r>
          <w:r>
            <w:rPr>
              <w:rFonts w:ascii="Times New Roman" w:hAnsi="Times New Roman" w:eastAsia="Times New Roman" w:cs="Times New Roman"/>
              <w:spacing w:val="1"/>
              <w:sz w:val="18"/>
              <w:szCs w:val="18"/>
            </w:rPr>
            <w:fldChar w:fldCharType="end"/>
          </w:r>
        </w:p>
        <w:p w14:paraId="62C0F2F4">
          <w:pPr>
            <w:spacing w:before="119" w:line="219" w:lineRule="auto"/>
            <w:rPr>
              <w:rFonts w:ascii="Times New Roman" w:hAnsi="Times New Roman" w:eastAsia="Times New Roman" w:cs="Times New Roman"/>
              <w:sz w:val="18"/>
              <w:szCs w:val="18"/>
            </w:rPr>
          </w:pPr>
          <w:r>
            <w:rPr>
              <w:rFonts w:ascii="宋体" w:hAnsi="宋体" w:eastAsia="宋体" w:cs="宋体"/>
              <w:spacing w:val="2"/>
              <w:sz w:val="18"/>
              <w:szCs w:val="18"/>
            </w:rPr>
            <w:t>罹患率</w:t>
          </w:r>
          <w:r>
            <w:rPr>
              <w:rFonts w:ascii="宋体" w:hAnsi="宋体" w:eastAsia="宋体" w:cs="宋体"/>
              <w:spacing w:val="77"/>
              <w:sz w:val="18"/>
              <w:szCs w:val="18"/>
            </w:rPr>
            <w:t xml:space="preserve"> </w:t>
          </w:r>
          <w:r>
            <w:rPr>
              <w:rFonts w:ascii="Times New Roman" w:hAnsi="Times New Roman" w:eastAsia="Times New Roman" w:cs="Times New Roman"/>
              <w:sz w:val="18"/>
              <w:szCs w:val="18"/>
            </w:rPr>
            <w:t>attack</w:t>
          </w:r>
          <w:r>
            <w:rPr>
              <w:rFonts w:ascii="Times New Roman" w:hAnsi="Times New Roman" w:eastAsia="Times New Roman" w:cs="Times New Roman"/>
              <w:spacing w:val="2"/>
              <w:sz w:val="18"/>
              <w:szCs w:val="18"/>
            </w:rPr>
            <w:t xml:space="preserve">   </w:t>
          </w:r>
          <w:r>
            <w:rPr>
              <w:rFonts w:ascii="Times New Roman" w:hAnsi="Times New Roman" w:eastAsia="Times New Roman" w:cs="Times New Roman"/>
              <w:sz w:val="18"/>
              <w:szCs w:val="18"/>
            </w:rPr>
            <w:t>rate</w:t>
          </w:r>
          <w:r>
            <w:rPr>
              <w:rFonts w:ascii="Times New Roman" w:hAnsi="Times New Roman" w:eastAsia="Times New Roman" w:cs="Times New Roman"/>
              <w:spacing w:val="11"/>
              <w:w w:val="101"/>
              <w:sz w:val="18"/>
              <w:szCs w:val="18"/>
            </w:rPr>
            <w:t xml:space="preserve">   </w:t>
          </w:r>
          <w:r>
            <w:fldChar w:fldCharType="begin"/>
          </w:r>
          <w:r>
            <w:instrText xml:space="preserve"> HYPERLINK \l "bookmark677" </w:instrText>
          </w:r>
          <w:r>
            <w:fldChar w:fldCharType="separate"/>
          </w:r>
          <w:r>
            <w:rPr>
              <w:rFonts w:ascii="Times New Roman" w:hAnsi="Times New Roman" w:eastAsia="Times New Roman" w:cs="Times New Roman"/>
              <w:spacing w:val="2"/>
              <w:sz w:val="18"/>
              <w:szCs w:val="18"/>
            </w:rPr>
            <w:t>12</w:t>
          </w:r>
          <w:r>
            <w:rPr>
              <w:rFonts w:ascii="Times New Roman" w:hAnsi="Times New Roman" w:eastAsia="Times New Roman" w:cs="Times New Roman"/>
              <w:spacing w:val="2"/>
              <w:sz w:val="18"/>
              <w:szCs w:val="18"/>
            </w:rPr>
            <w:fldChar w:fldCharType="end"/>
          </w:r>
        </w:p>
        <w:p w14:paraId="11F61EDA">
          <w:pPr>
            <w:spacing w:before="136" w:line="212" w:lineRule="auto"/>
            <w:rPr>
              <w:rFonts w:ascii="Times New Roman" w:hAnsi="Times New Roman" w:eastAsia="Times New Roman" w:cs="Times New Roman"/>
              <w:sz w:val="18"/>
              <w:szCs w:val="18"/>
            </w:rPr>
          </w:pPr>
          <w:r>
            <w:rPr>
              <w:rFonts w:ascii="宋体" w:hAnsi="宋体" w:eastAsia="宋体" w:cs="宋体"/>
              <w:spacing w:val="3"/>
              <w:sz w:val="18"/>
              <w:szCs w:val="18"/>
            </w:rPr>
            <w:t>历史性队列研究</w:t>
          </w:r>
          <w:r>
            <w:rPr>
              <w:rFonts w:ascii="宋体" w:hAnsi="宋体" w:eastAsia="宋体" w:cs="宋体"/>
              <w:spacing w:val="1"/>
              <w:sz w:val="18"/>
              <w:szCs w:val="18"/>
            </w:rPr>
            <w:t xml:space="preserve">  </w:t>
          </w:r>
          <w:r>
            <w:rPr>
              <w:rFonts w:ascii="Times New Roman" w:hAnsi="Times New Roman" w:eastAsia="Times New Roman" w:cs="Times New Roman"/>
              <w:sz w:val="18"/>
              <w:szCs w:val="18"/>
            </w:rPr>
            <w:t>historical</w:t>
          </w:r>
          <w:r>
            <w:rPr>
              <w:rFonts w:ascii="Times New Roman" w:hAnsi="Times New Roman" w:eastAsia="Times New Roman" w:cs="Times New Roman"/>
              <w:spacing w:val="15"/>
              <w:w w:val="101"/>
              <w:sz w:val="18"/>
              <w:szCs w:val="18"/>
            </w:rPr>
            <w:t xml:space="preserve">  </w:t>
          </w:r>
          <w:r>
            <w:rPr>
              <w:rFonts w:ascii="Times New Roman" w:hAnsi="Times New Roman" w:eastAsia="Times New Roman" w:cs="Times New Roman"/>
              <w:sz w:val="18"/>
              <w:szCs w:val="18"/>
            </w:rPr>
            <w:t>cohort</w:t>
          </w:r>
          <w:r>
            <w:rPr>
              <w:rFonts w:ascii="Times New Roman" w:hAnsi="Times New Roman" w:eastAsia="Times New Roman" w:cs="Times New Roman"/>
              <w:spacing w:val="16"/>
              <w:sz w:val="18"/>
              <w:szCs w:val="18"/>
            </w:rPr>
            <w:t xml:space="preserve">  </w:t>
          </w:r>
          <w:r>
            <w:rPr>
              <w:rFonts w:ascii="Times New Roman" w:hAnsi="Times New Roman" w:eastAsia="Times New Roman" w:cs="Times New Roman"/>
              <w:sz w:val="18"/>
              <w:szCs w:val="18"/>
            </w:rPr>
            <w:t>study</w:t>
          </w:r>
          <w:r>
            <w:rPr>
              <w:rFonts w:ascii="Times New Roman" w:hAnsi="Times New Roman" w:eastAsia="Times New Roman" w:cs="Times New Roman"/>
              <w:spacing w:val="13"/>
              <w:sz w:val="18"/>
              <w:szCs w:val="18"/>
            </w:rPr>
            <w:t xml:space="preserve">  </w:t>
          </w:r>
          <w:r>
            <w:fldChar w:fldCharType="begin"/>
          </w:r>
          <w:r>
            <w:instrText xml:space="preserve"> HYPERLINK \l "bookmark678" </w:instrText>
          </w:r>
          <w:r>
            <w:fldChar w:fldCharType="separate"/>
          </w:r>
          <w:r>
            <w:rPr>
              <w:rFonts w:ascii="Times New Roman" w:hAnsi="Times New Roman" w:eastAsia="Times New Roman" w:cs="Times New Roman"/>
              <w:spacing w:val="3"/>
              <w:sz w:val="18"/>
              <w:szCs w:val="18"/>
            </w:rPr>
            <w:t>49</w:t>
          </w:r>
          <w:r>
            <w:rPr>
              <w:rFonts w:ascii="Times New Roman" w:hAnsi="Times New Roman" w:eastAsia="Times New Roman" w:cs="Times New Roman"/>
              <w:spacing w:val="3"/>
              <w:sz w:val="18"/>
              <w:szCs w:val="18"/>
            </w:rPr>
            <w:fldChar w:fldCharType="end"/>
          </w:r>
        </w:p>
        <w:p w14:paraId="797EB542">
          <w:pPr>
            <w:spacing w:before="133" w:line="212" w:lineRule="auto"/>
            <w:rPr>
              <w:rFonts w:ascii="Times New Roman" w:hAnsi="Times New Roman" w:eastAsia="Times New Roman" w:cs="Times New Roman"/>
              <w:sz w:val="18"/>
              <w:szCs w:val="18"/>
            </w:rPr>
          </w:pPr>
          <w:r>
            <w:rPr>
              <w:rFonts w:ascii="宋体" w:hAnsi="宋体" w:eastAsia="宋体" w:cs="宋体"/>
              <w:spacing w:val="3"/>
              <w:sz w:val="18"/>
              <w:szCs w:val="18"/>
            </w:rPr>
            <w:t>痢疾</w:t>
          </w:r>
          <w:r>
            <w:rPr>
              <w:rFonts w:ascii="宋体" w:hAnsi="宋体" w:eastAsia="宋体" w:cs="宋体"/>
              <w:spacing w:val="72"/>
              <w:sz w:val="18"/>
              <w:szCs w:val="18"/>
            </w:rPr>
            <w:t xml:space="preserve"> </w:t>
          </w:r>
          <w:r>
            <w:rPr>
              <w:rFonts w:ascii="Times New Roman" w:hAnsi="Times New Roman" w:eastAsia="Times New Roman" w:cs="Times New Roman"/>
              <w:sz w:val="18"/>
              <w:szCs w:val="18"/>
            </w:rPr>
            <w:t>dysentery</w:t>
          </w:r>
          <w:r>
            <w:rPr>
              <w:rFonts w:ascii="Times New Roman" w:hAnsi="Times New Roman" w:eastAsia="Times New Roman" w:cs="Times New Roman"/>
              <w:spacing w:val="10"/>
              <w:sz w:val="18"/>
              <w:szCs w:val="18"/>
            </w:rPr>
            <w:t xml:space="preserve">    </w:t>
          </w:r>
          <w:r>
            <w:fldChar w:fldCharType="begin"/>
          </w:r>
          <w:r>
            <w:instrText xml:space="preserve"> HYPERLINK \l "bookmark679" </w:instrText>
          </w:r>
          <w:r>
            <w:fldChar w:fldCharType="separate"/>
          </w:r>
          <w:r>
            <w:rPr>
              <w:rFonts w:ascii="Times New Roman" w:hAnsi="Times New Roman" w:eastAsia="Times New Roman" w:cs="Times New Roman"/>
              <w:spacing w:val="3"/>
              <w:sz w:val="18"/>
              <w:szCs w:val="18"/>
            </w:rPr>
            <w:t>317</w:t>
          </w:r>
          <w:r>
            <w:rPr>
              <w:rFonts w:ascii="Times New Roman" w:hAnsi="Times New Roman" w:eastAsia="Times New Roman" w:cs="Times New Roman"/>
              <w:spacing w:val="3"/>
              <w:sz w:val="18"/>
              <w:szCs w:val="18"/>
            </w:rPr>
            <w:fldChar w:fldCharType="end"/>
          </w:r>
        </w:p>
        <w:p w14:paraId="12408072">
          <w:pPr>
            <w:spacing w:before="144" w:line="219" w:lineRule="auto"/>
            <w:rPr>
              <w:rFonts w:ascii="Times New Roman" w:hAnsi="Times New Roman" w:eastAsia="Times New Roman" w:cs="Times New Roman"/>
              <w:sz w:val="18"/>
              <w:szCs w:val="18"/>
            </w:rPr>
          </w:pPr>
          <w:r>
            <w:rPr>
              <w:rFonts w:ascii="宋体" w:hAnsi="宋体" w:eastAsia="宋体" w:cs="宋体"/>
              <w:spacing w:val="3"/>
              <w:sz w:val="18"/>
              <w:szCs w:val="18"/>
            </w:rPr>
            <w:t>临床疾病标志</w:t>
          </w:r>
          <w:r>
            <w:rPr>
              <w:rFonts w:ascii="宋体" w:hAnsi="宋体" w:eastAsia="宋体" w:cs="宋体"/>
              <w:spacing w:val="84"/>
              <w:sz w:val="18"/>
              <w:szCs w:val="18"/>
            </w:rPr>
            <w:t xml:space="preserve"> </w:t>
          </w:r>
          <w:r>
            <w:rPr>
              <w:rFonts w:ascii="Times New Roman" w:hAnsi="Times New Roman" w:eastAsia="Times New Roman" w:cs="Times New Roman"/>
              <w:sz w:val="18"/>
              <w:szCs w:val="18"/>
            </w:rPr>
            <w:t>clinical</w:t>
          </w:r>
          <w:r>
            <w:rPr>
              <w:rFonts w:ascii="Times New Roman" w:hAnsi="Times New Roman" w:eastAsia="Times New Roman" w:cs="Times New Roman"/>
              <w:spacing w:val="3"/>
              <w:sz w:val="18"/>
              <w:szCs w:val="18"/>
            </w:rPr>
            <w:t xml:space="preserve"> </w:t>
          </w:r>
          <w:r>
            <w:rPr>
              <w:rFonts w:ascii="Times New Roman" w:hAnsi="Times New Roman" w:eastAsia="Times New Roman" w:cs="Times New Roman"/>
              <w:sz w:val="18"/>
              <w:szCs w:val="18"/>
            </w:rPr>
            <w:t>disease</w:t>
          </w:r>
          <w:r>
            <w:rPr>
              <w:rFonts w:ascii="Times New Roman" w:hAnsi="Times New Roman" w:eastAsia="Times New Roman" w:cs="Times New Roman"/>
              <w:spacing w:val="3"/>
              <w:sz w:val="18"/>
              <w:szCs w:val="18"/>
            </w:rPr>
            <w:t xml:space="preserve"> </w:t>
          </w:r>
          <w:r>
            <w:rPr>
              <w:rFonts w:ascii="Times New Roman" w:hAnsi="Times New Roman" w:eastAsia="Times New Roman" w:cs="Times New Roman"/>
              <w:sz w:val="18"/>
              <w:szCs w:val="18"/>
            </w:rPr>
            <w:t>biomarker</w:t>
          </w:r>
          <w:r>
            <w:rPr>
              <w:rFonts w:ascii="Times New Roman" w:hAnsi="Times New Roman" w:eastAsia="Times New Roman" w:cs="Times New Roman"/>
              <w:spacing w:val="3"/>
              <w:sz w:val="18"/>
              <w:szCs w:val="18"/>
            </w:rPr>
            <w:t xml:space="preserve">     </w:t>
          </w:r>
          <w:r>
            <w:fldChar w:fldCharType="begin"/>
          </w:r>
          <w:r>
            <w:instrText xml:space="preserve"> HYPERLINK \l "bookmark680" </w:instrText>
          </w:r>
          <w:r>
            <w:fldChar w:fldCharType="separate"/>
          </w:r>
          <w:r>
            <w:rPr>
              <w:rFonts w:ascii="Times New Roman" w:hAnsi="Times New Roman" w:eastAsia="Times New Roman" w:cs="Times New Roman"/>
              <w:spacing w:val="3"/>
              <w:sz w:val="18"/>
              <w:szCs w:val="18"/>
            </w:rPr>
            <w:t>237</w:t>
          </w:r>
          <w:r>
            <w:rPr>
              <w:rFonts w:ascii="Times New Roman" w:hAnsi="Times New Roman" w:eastAsia="Times New Roman" w:cs="Times New Roman"/>
              <w:spacing w:val="3"/>
              <w:sz w:val="18"/>
              <w:szCs w:val="18"/>
            </w:rPr>
            <w:fldChar w:fldCharType="end"/>
          </w:r>
        </w:p>
      </w:sdtContent>
    </w:sdt>
    <w:p w14:paraId="672A6CD4">
      <w:pPr>
        <w:spacing w:before="126" w:line="212" w:lineRule="auto"/>
        <w:rPr>
          <w:rFonts w:ascii="Times New Roman" w:hAnsi="Times New Roman" w:eastAsia="Times New Roman" w:cs="Times New Roman"/>
          <w:sz w:val="18"/>
          <w:szCs w:val="18"/>
        </w:rPr>
      </w:pPr>
      <w:r>
        <w:rPr>
          <w:rFonts w:ascii="宋体" w:hAnsi="宋体" w:eastAsia="宋体" w:cs="宋体"/>
          <w:sz w:val="18"/>
          <w:szCs w:val="18"/>
        </w:rPr>
        <w:t>临床期</w:t>
      </w:r>
      <w:r>
        <w:rPr>
          <w:rFonts w:ascii="宋体" w:hAnsi="宋体" w:eastAsia="宋体" w:cs="宋体"/>
          <w:spacing w:val="79"/>
          <w:sz w:val="18"/>
          <w:szCs w:val="18"/>
        </w:rPr>
        <w:t xml:space="preserve"> </w:t>
      </w:r>
      <w:r>
        <w:rPr>
          <w:rFonts w:ascii="Times New Roman" w:hAnsi="Times New Roman" w:eastAsia="Times New Roman" w:cs="Times New Roman"/>
          <w:sz w:val="18"/>
          <w:szCs w:val="18"/>
        </w:rPr>
        <w:t>stage  of  clinical  disease   139</w:t>
      </w:r>
    </w:p>
    <w:p w14:paraId="220A9825">
      <w:pPr>
        <w:spacing w:before="123" w:line="212" w:lineRule="auto"/>
        <w:rPr>
          <w:rFonts w:ascii="Times New Roman" w:hAnsi="Times New Roman" w:eastAsia="Times New Roman" w:cs="Times New Roman"/>
          <w:sz w:val="18"/>
          <w:szCs w:val="18"/>
        </w:rPr>
      </w:pPr>
      <w:r>
        <w:rPr>
          <w:rFonts w:ascii="宋体" w:hAnsi="宋体" w:eastAsia="宋体" w:cs="宋体"/>
          <w:spacing w:val="4"/>
          <w:sz w:val="18"/>
          <w:szCs w:val="18"/>
        </w:rPr>
        <w:t>临床前期</w:t>
      </w:r>
      <w:r>
        <w:rPr>
          <w:rFonts w:ascii="宋体" w:hAnsi="宋体" w:eastAsia="宋体" w:cs="宋体"/>
          <w:spacing w:val="84"/>
          <w:sz w:val="18"/>
          <w:szCs w:val="18"/>
        </w:rPr>
        <w:t xml:space="preserve"> </w:t>
      </w:r>
      <w:r>
        <w:rPr>
          <w:rFonts w:ascii="Times New Roman" w:hAnsi="Times New Roman" w:eastAsia="Times New Roman" w:cs="Times New Roman"/>
          <w:sz w:val="18"/>
          <w:szCs w:val="18"/>
        </w:rPr>
        <w:t>preclinical</w:t>
      </w:r>
      <w:r>
        <w:rPr>
          <w:rFonts w:ascii="Times New Roman" w:hAnsi="Times New Roman" w:eastAsia="Times New Roman" w:cs="Times New Roman"/>
          <w:spacing w:val="4"/>
          <w:sz w:val="18"/>
          <w:szCs w:val="18"/>
        </w:rPr>
        <w:t xml:space="preserve">  </w:t>
      </w:r>
      <w:r>
        <w:rPr>
          <w:rFonts w:ascii="Times New Roman" w:hAnsi="Times New Roman" w:eastAsia="Times New Roman" w:cs="Times New Roman"/>
          <w:sz w:val="18"/>
          <w:szCs w:val="18"/>
        </w:rPr>
        <w:t>phase</w:t>
      </w:r>
      <w:r>
        <w:rPr>
          <w:rFonts w:ascii="Times New Roman" w:hAnsi="Times New Roman" w:eastAsia="Times New Roman" w:cs="Times New Roman"/>
          <w:spacing w:val="4"/>
          <w:sz w:val="18"/>
          <w:szCs w:val="18"/>
        </w:rPr>
        <w:t>;</w:t>
      </w:r>
      <w:r>
        <w:rPr>
          <w:rFonts w:ascii="Times New Roman" w:hAnsi="Times New Roman" w:eastAsia="Times New Roman" w:cs="Times New Roman"/>
          <w:sz w:val="18"/>
          <w:szCs w:val="18"/>
        </w:rPr>
        <w:t>stage</w:t>
      </w:r>
      <w:r>
        <w:rPr>
          <w:rFonts w:ascii="Times New Roman" w:hAnsi="Times New Roman" w:eastAsia="Times New Roman" w:cs="Times New Roman"/>
          <w:spacing w:val="4"/>
          <w:sz w:val="18"/>
          <w:szCs w:val="18"/>
        </w:rPr>
        <w:t xml:space="preserve">  </w:t>
      </w:r>
      <w:r>
        <w:rPr>
          <w:rFonts w:ascii="Times New Roman" w:hAnsi="Times New Roman" w:eastAsia="Times New Roman" w:cs="Times New Roman"/>
          <w:sz w:val="18"/>
          <w:szCs w:val="18"/>
        </w:rPr>
        <w:t>of</w:t>
      </w:r>
      <w:r>
        <w:rPr>
          <w:rFonts w:ascii="Times New Roman" w:hAnsi="Times New Roman" w:eastAsia="Times New Roman" w:cs="Times New Roman"/>
          <w:spacing w:val="4"/>
          <w:sz w:val="18"/>
          <w:szCs w:val="18"/>
        </w:rPr>
        <w:t xml:space="preserve">  </w:t>
      </w:r>
      <w:r>
        <w:rPr>
          <w:rFonts w:ascii="Times New Roman" w:hAnsi="Times New Roman" w:eastAsia="Times New Roman" w:cs="Times New Roman"/>
          <w:sz w:val="18"/>
          <w:szCs w:val="18"/>
        </w:rPr>
        <w:t>subclinical</w:t>
      </w:r>
      <w:r>
        <w:rPr>
          <w:rFonts w:ascii="Times New Roman" w:hAnsi="Times New Roman" w:eastAsia="Times New Roman" w:cs="Times New Roman"/>
          <w:spacing w:val="4"/>
          <w:sz w:val="18"/>
          <w:szCs w:val="18"/>
        </w:rPr>
        <w:t xml:space="preserve">  </w:t>
      </w:r>
      <w:r>
        <w:rPr>
          <w:rFonts w:ascii="Times New Roman" w:hAnsi="Times New Roman" w:eastAsia="Times New Roman" w:cs="Times New Roman"/>
          <w:sz w:val="18"/>
          <w:szCs w:val="18"/>
        </w:rPr>
        <w:t>disease</w:t>
      </w:r>
    </w:p>
    <w:p w14:paraId="390A0A34">
      <w:pPr>
        <w:spacing w:before="182" w:line="188" w:lineRule="auto"/>
        <w:ind w:left="220"/>
        <w:rPr>
          <w:rFonts w:ascii="Times New Roman" w:hAnsi="Times New Roman" w:eastAsia="Times New Roman" w:cs="Times New Roman"/>
          <w:sz w:val="15"/>
          <w:szCs w:val="15"/>
        </w:rPr>
      </w:pPr>
      <w:r>
        <w:rPr>
          <w:rFonts w:ascii="Times New Roman" w:hAnsi="Times New Roman" w:eastAsia="Times New Roman" w:cs="Times New Roman"/>
          <w:spacing w:val="-4"/>
          <w:sz w:val="15"/>
          <w:szCs w:val="15"/>
        </w:rPr>
        <w:t>139</w:t>
      </w:r>
    </w:p>
    <w:p w14:paraId="7FCE0506">
      <w:pPr>
        <w:spacing w:before="157" w:line="219" w:lineRule="auto"/>
        <w:rPr>
          <w:rFonts w:ascii="Times New Roman" w:hAnsi="Times New Roman" w:eastAsia="Times New Roman" w:cs="Times New Roman"/>
          <w:sz w:val="18"/>
          <w:szCs w:val="18"/>
        </w:rPr>
      </w:pPr>
      <w:r>
        <w:rPr>
          <w:rFonts w:ascii="宋体" w:hAnsi="宋体" w:eastAsia="宋体" w:cs="宋体"/>
          <w:spacing w:val="2"/>
          <w:sz w:val="18"/>
          <w:szCs w:val="18"/>
        </w:rPr>
        <w:t>临床试验</w:t>
      </w:r>
      <w:r>
        <w:rPr>
          <w:rFonts w:ascii="宋体" w:hAnsi="宋体" w:eastAsia="宋体" w:cs="宋体"/>
          <w:spacing w:val="84"/>
          <w:w w:val="101"/>
          <w:sz w:val="18"/>
          <w:szCs w:val="18"/>
        </w:rPr>
        <w:t xml:space="preserve"> </w:t>
      </w:r>
      <w:r>
        <w:rPr>
          <w:rFonts w:ascii="Times New Roman" w:hAnsi="Times New Roman" w:eastAsia="Times New Roman" w:cs="Times New Roman"/>
          <w:sz w:val="18"/>
          <w:szCs w:val="18"/>
        </w:rPr>
        <w:t>clinical</w:t>
      </w:r>
      <w:r>
        <w:rPr>
          <w:rFonts w:ascii="Times New Roman" w:hAnsi="Times New Roman" w:eastAsia="Times New Roman" w:cs="Times New Roman"/>
          <w:spacing w:val="2"/>
          <w:sz w:val="18"/>
          <w:szCs w:val="18"/>
        </w:rPr>
        <w:t xml:space="preserve">   </w:t>
      </w:r>
      <w:r>
        <w:rPr>
          <w:rFonts w:ascii="Times New Roman" w:hAnsi="Times New Roman" w:eastAsia="Times New Roman" w:cs="Times New Roman"/>
          <w:sz w:val="18"/>
          <w:szCs w:val="18"/>
        </w:rPr>
        <w:t>trial</w:t>
      </w:r>
      <w:r>
        <w:rPr>
          <w:rFonts w:ascii="Times New Roman" w:hAnsi="Times New Roman" w:eastAsia="Times New Roman" w:cs="Times New Roman"/>
          <w:spacing w:val="6"/>
          <w:sz w:val="18"/>
          <w:szCs w:val="18"/>
        </w:rPr>
        <w:t xml:space="preserve">   </w:t>
      </w:r>
      <w:r>
        <w:rPr>
          <w:rFonts w:ascii="Times New Roman" w:hAnsi="Times New Roman" w:eastAsia="Times New Roman" w:cs="Times New Roman"/>
          <w:spacing w:val="2"/>
          <w:sz w:val="18"/>
          <w:szCs w:val="18"/>
        </w:rPr>
        <w:t>84</w:t>
      </w:r>
    </w:p>
    <w:p w14:paraId="0F1D6F33">
      <w:pPr>
        <w:spacing w:before="116" w:line="212" w:lineRule="auto"/>
        <w:rPr>
          <w:rFonts w:ascii="Times New Roman" w:hAnsi="Times New Roman" w:eastAsia="Times New Roman" w:cs="Times New Roman"/>
          <w:sz w:val="18"/>
          <w:szCs w:val="18"/>
        </w:rPr>
      </w:pPr>
      <w:r>
        <w:rPr>
          <w:rFonts w:ascii="宋体" w:hAnsi="宋体" w:eastAsia="宋体" w:cs="宋体"/>
          <w:spacing w:val="2"/>
          <w:sz w:val="18"/>
          <w:szCs w:val="18"/>
        </w:rPr>
        <w:t>临床症状期</w:t>
      </w:r>
      <w:r>
        <w:rPr>
          <w:rFonts w:ascii="宋体" w:hAnsi="宋体" w:eastAsia="宋体" w:cs="宋体"/>
          <w:spacing w:val="73"/>
          <w:sz w:val="18"/>
          <w:szCs w:val="18"/>
        </w:rPr>
        <w:t xml:space="preserve"> </w:t>
      </w:r>
      <w:r>
        <w:rPr>
          <w:rFonts w:ascii="Times New Roman" w:hAnsi="Times New Roman" w:eastAsia="Times New Roman" w:cs="Times New Roman"/>
          <w:sz w:val="18"/>
          <w:szCs w:val="18"/>
        </w:rPr>
        <w:t>clinical</w:t>
      </w:r>
      <w:r>
        <w:rPr>
          <w:rFonts w:ascii="Times New Roman" w:hAnsi="Times New Roman" w:eastAsia="Times New Roman" w:cs="Times New Roman"/>
          <w:spacing w:val="2"/>
          <w:sz w:val="18"/>
          <w:szCs w:val="18"/>
        </w:rPr>
        <w:t xml:space="preserve">   </w:t>
      </w:r>
      <w:r>
        <w:rPr>
          <w:rFonts w:ascii="Times New Roman" w:hAnsi="Times New Roman" w:eastAsia="Times New Roman" w:cs="Times New Roman"/>
          <w:sz w:val="18"/>
          <w:szCs w:val="18"/>
        </w:rPr>
        <w:t>stage</w:t>
      </w:r>
      <w:r>
        <w:rPr>
          <w:rFonts w:ascii="Times New Roman" w:hAnsi="Times New Roman" w:eastAsia="Times New Roman" w:cs="Times New Roman"/>
          <w:spacing w:val="9"/>
          <w:sz w:val="18"/>
          <w:szCs w:val="18"/>
        </w:rPr>
        <w:t xml:space="preserve">   </w:t>
      </w:r>
      <w:r>
        <w:rPr>
          <w:rFonts w:ascii="Times New Roman" w:hAnsi="Times New Roman" w:eastAsia="Times New Roman" w:cs="Times New Roman"/>
          <w:spacing w:val="2"/>
          <w:sz w:val="18"/>
          <w:szCs w:val="18"/>
        </w:rPr>
        <w:t>159</w:t>
      </w:r>
    </w:p>
    <w:p w14:paraId="444157CD">
      <w:pPr>
        <w:spacing w:before="144" w:line="198" w:lineRule="auto"/>
        <w:rPr>
          <w:rFonts w:ascii="Times New Roman" w:hAnsi="Times New Roman" w:eastAsia="Times New Roman" w:cs="Times New Roman"/>
          <w:sz w:val="18"/>
          <w:szCs w:val="18"/>
        </w:rPr>
      </w:pPr>
      <w:r>
        <w:rPr>
          <w:rFonts w:ascii="宋体" w:hAnsi="宋体" w:eastAsia="宋体" w:cs="宋体"/>
          <w:spacing w:val="4"/>
          <w:sz w:val="18"/>
          <w:szCs w:val="18"/>
        </w:rPr>
        <w:t>灵敏度</w:t>
      </w:r>
      <w:r>
        <w:rPr>
          <w:rFonts w:ascii="宋体" w:hAnsi="宋体" w:eastAsia="宋体" w:cs="宋体"/>
          <w:spacing w:val="69"/>
          <w:sz w:val="18"/>
          <w:szCs w:val="18"/>
        </w:rPr>
        <w:t xml:space="preserve"> </w:t>
      </w:r>
      <w:r>
        <w:rPr>
          <w:rFonts w:ascii="Times New Roman" w:hAnsi="Times New Roman" w:eastAsia="Times New Roman" w:cs="Times New Roman"/>
          <w:sz w:val="18"/>
          <w:szCs w:val="18"/>
        </w:rPr>
        <w:t>sensitivity</w:t>
      </w:r>
      <w:r>
        <w:rPr>
          <w:rFonts w:ascii="Times New Roman" w:hAnsi="Times New Roman" w:eastAsia="Times New Roman" w:cs="Times New Roman"/>
          <w:spacing w:val="4"/>
          <w:sz w:val="18"/>
          <w:szCs w:val="18"/>
        </w:rPr>
        <w:t xml:space="preserve">     105</w:t>
      </w:r>
    </w:p>
    <w:p w14:paraId="0E67005F">
      <w:pPr>
        <w:spacing w:line="198" w:lineRule="auto"/>
        <w:rPr>
          <w:rFonts w:ascii="Times New Roman" w:hAnsi="Times New Roman" w:eastAsia="Times New Roman" w:cs="Times New Roman"/>
          <w:sz w:val="18"/>
          <w:szCs w:val="18"/>
        </w:rPr>
        <w:sectPr>
          <w:type w:val="continuous"/>
          <w:pgSz w:w="11900" w:h="16820"/>
          <w:pgMar w:top="400" w:right="1235" w:bottom="765" w:left="1229" w:header="0" w:footer="603" w:gutter="0"/>
          <w:cols w:equalWidth="0" w:num="2">
            <w:col w:w="4941" w:space="100"/>
            <w:col w:w="4395"/>
          </w:cols>
        </w:sectPr>
      </w:pPr>
    </w:p>
    <w:p w14:paraId="07B4A62D">
      <w:pPr>
        <w:pStyle w:val="2"/>
        <w:spacing w:before="196" w:line="222" w:lineRule="auto"/>
        <w:ind w:left="7850"/>
        <w:rPr>
          <w:sz w:val="18"/>
          <w:szCs w:val="18"/>
        </w:rPr>
      </w:pPr>
      <w:r>
        <w:rPr>
          <w:spacing w:val="-16"/>
          <w:sz w:val="18"/>
          <w:szCs w:val="18"/>
        </w:rPr>
        <w:t>中英文名词对照索引</w:t>
      </w:r>
    </w:p>
    <w:p w14:paraId="6934CDEB">
      <w:pPr>
        <w:spacing w:before="166"/>
      </w:pPr>
    </w:p>
    <w:p w14:paraId="61B4857F">
      <w:pPr>
        <w:sectPr>
          <w:footerReference r:id="rId392" w:type="default"/>
          <w:pgSz w:w="11900" w:h="16820"/>
          <w:pgMar w:top="400" w:right="1294" w:bottom="775" w:left="1229" w:header="0" w:footer="613" w:gutter="0"/>
          <w:cols w:equalWidth="0" w:num="1">
            <w:col w:w="9376"/>
          </w:cols>
        </w:sectPr>
      </w:pPr>
    </w:p>
    <w:sdt>
      <w:sdtPr>
        <w:rPr>
          <w:rFonts w:ascii="宋体" w:hAnsi="宋体" w:eastAsia="宋体" w:cs="宋体"/>
          <w:sz w:val="18"/>
          <w:szCs w:val="18"/>
        </w:rPr>
        <w:id w:val="61199479"/>
        <w:docPartObj>
          <w:docPartGallery w:val="Table of Contents"/>
          <w:docPartUnique/>
        </w:docPartObj>
      </w:sdtPr>
      <w:sdtEndPr>
        <w:rPr>
          <w:rFonts w:ascii="Times New Roman" w:hAnsi="Times New Roman" w:eastAsia="Times New Roman" w:cs="Times New Roman"/>
          <w:sz w:val="18"/>
          <w:szCs w:val="18"/>
        </w:rPr>
      </w:sdtEndPr>
      <w:sdtContent>
        <w:p w14:paraId="5043E470">
          <w:pPr>
            <w:spacing w:before="46" w:line="219" w:lineRule="auto"/>
            <w:rPr>
              <w:rFonts w:ascii="Times New Roman" w:hAnsi="Times New Roman" w:eastAsia="Times New Roman" w:cs="Times New Roman"/>
              <w:sz w:val="18"/>
              <w:szCs w:val="18"/>
            </w:rPr>
          </w:pPr>
          <w:r>
            <w:rPr>
              <w:rFonts w:ascii="宋体" w:hAnsi="宋体" w:eastAsia="宋体" w:cs="宋体"/>
              <w:spacing w:val="6"/>
              <w:sz w:val="18"/>
              <w:szCs w:val="18"/>
            </w:rPr>
            <w:t>领先时间</w:t>
          </w:r>
          <w:r>
            <w:rPr>
              <w:rFonts w:ascii="宋体" w:hAnsi="宋体" w:eastAsia="宋体" w:cs="宋体"/>
              <w:spacing w:val="73"/>
              <w:sz w:val="18"/>
              <w:szCs w:val="18"/>
            </w:rPr>
            <w:t xml:space="preserve"> </w:t>
          </w:r>
          <w:r>
            <w:rPr>
              <w:rFonts w:ascii="Times New Roman" w:hAnsi="Times New Roman" w:eastAsia="Times New Roman" w:cs="Times New Roman"/>
              <w:sz w:val="18"/>
              <w:szCs w:val="18"/>
            </w:rPr>
            <w:t>lead</w:t>
          </w:r>
          <w:r>
            <w:rPr>
              <w:rFonts w:ascii="Times New Roman" w:hAnsi="Times New Roman" w:eastAsia="Times New Roman" w:cs="Times New Roman"/>
              <w:spacing w:val="12"/>
              <w:w w:val="101"/>
              <w:sz w:val="18"/>
              <w:szCs w:val="18"/>
            </w:rPr>
            <w:t xml:space="preserve">   </w:t>
          </w:r>
          <w:r>
            <w:rPr>
              <w:rFonts w:ascii="Times New Roman" w:hAnsi="Times New Roman" w:eastAsia="Times New Roman" w:cs="Times New Roman"/>
              <w:sz w:val="18"/>
              <w:szCs w:val="18"/>
            </w:rPr>
            <w:t>time</w:t>
          </w:r>
          <w:r>
            <w:rPr>
              <w:rFonts w:ascii="Times New Roman" w:hAnsi="Times New Roman" w:eastAsia="Times New Roman" w:cs="Times New Roman"/>
              <w:spacing w:val="6"/>
              <w:sz w:val="18"/>
              <w:szCs w:val="18"/>
            </w:rPr>
            <w:t xml:space="preserve">    </w:t>
          </w:r>
          <w:r>
            <w:fldChar w:fldCharType="begin"/>
          </w:r>
          <w:r>
            <w:instrText xml:space="preserve"> HYPERLINK \l "bookmark681" </w:instrText>
          </w:r>
          <w:r>
            <w:fldChar w:fldCharType="separate"/>
          </w:r>
          <w:r>
            <w:rPr>
              <w:rFonts w:ascii="Times New Roman" w:hAnsi="Times New Roman" w:eastAsia="Times New Roman" w:cs="Times New Roman"/>
              <w:spacing w:val="6"/>
              <w:sz w:val="18"/>
              <w:szCs w:val="18"/>
            </w:rPr>
            <w:t>114</w:t>
          </w:r>
          <w:r>
            <w:rPr>
              <w:rFonts w:ascii="Times New Roman" w:hAnsi="Times New Roman" w:eastAsia="Times New Roman" w:cs="Times New Roman"/>
              <w:spacing w:val="6"/>
              <w:sz w:val="18"/>
              <w:szCs w:val="18"/>
            </w:rPr>
            <w:fldChar w:fldCharType="end"/>
          </w:r>
        </w:p>
        <w:p w14:paraId="575F5A6D">
          <w:pPr>
            <w:spacing w:before="136" w:line="219" w:lineRule="auto"/>
            <w:rPr>
              <w:rFonts w:ascii="Times New Roman" w:hAnsi="Times New Roman" w:eastAsia="Times New Roman" w:cs="Times New Roman"/>
              <w:sz w:val="18"/>
              <w:szCs w:val="18"/>
            </w:rPr>
          </w:pPr>
          <w:r>
            <w:rPr>
              <w:rFonts w:ascii="宋体" w:hAnsi="宋体" w:eastAsia="宋体" w:cs="宋体"/>
              <w:spacing w:val="6"/>
              <w:sz w:val="18"/>
              <w:szCs w:val="18"/>
            </w:rPr>
            <w:t>领先时间偏倚</w:t>
          </w:r>
          <w:r>
            <w:rPr>
              <w:rFonts w:ascii="宋体" w:hAnsi="宋体" w:eastAsia="宋体" w:cs="宋体"/>
              <w:spacing w:val="85"/>
              <w:sz w:val="18"/>
              <w:szCs w:val="18"/>
            </w:rPr>
            <w:t xml:space="preserve"> </w:t>
          </w:r>
          <w:r>
            <w:rPr>
              <w:rFonts w:ascii="Times New Roman" w:hAnsi="Times New Roman" w:eastAsia="Times New Roman" w:cs="Times New Roman"/>
              <w:sz w:val="18"/>
              <w:szCs w:val="18"/>
            </w:rPr>
            <w:t>lead   time</w:t>
          </w:r>
          <w:r>
            <w:rPr>
              <w:rFonts w:ascii="Times New Roman" w:hAnsi="Times New Roman" w:eastAsia="Times New Roman" w:cs="Times New Roman"/>
              <w:spacing w:val="22"/>
              <w:w w:val="101"/>
              <w:sz w:val="18"/>
              <w:szCs w:val="18"/>
            </w:rPr>
            <w:t xml:space="preserve">  </w:t>
          </w:r>
          <w:r>
            <w:rPr>
              <w:rFonts w:ascii="Times New Roman" w:hAnsi="Times New Roman" w:eastAsia="Times New Roman" w:cs="Times New Roman"/>
              <w:sz w:val="18"/>
              <w:szCs w:val="18"/>
            </w:rPr>
            <w:t>bias</w:t>
          </w:r>
          <w:r>
            <w:rPr>
              <w:rFonts w:ascii="Times New Roman" w:hAnsi="Times New Roman" w:eastAsia="Times New Roman" w:cs="Times New Roman"/>
              <w:spacing w:val="6"/>
              <w:sz w:val="18"/>
              <w:szCs w:val="18"/>
            </w:rPr>
            <w:t xml:space="preserve">   </w:t>
          </w:r>
          <w:r>
            <w:fldChar w:fldCharType="begin"/>
          </w:r>
          <w:r>
            <w:instrText xml:space="preserve"> HYPERLINK \l "bookmark682" </w:instrText>
          </w:r>
          <w:r>
            <w:fldChar w:fldCharType="separate"/>
          </w:r>
          <w:r>
            <w:rPr>
              <w:rFonts w:ascii="Times New Roman" w:hAnsi="Times New Roman" w:eastAsia="Times New Roman" w:cs="Times New Roman"/>
              <w:spacing w:val="6"/>
              <w:sz w:val="18"/>
              <w:szCs w:val="18"/>
            </w:rPr>
            <w:t>114</w:t>
          </w:r>
          <w:r>
            <w:rPr>
              <w:rFonts w:ascii="Times New Roman" w:hAnsi="Times New Roman" w:eastAsia="Times New Roman" w:cs="Times New Roman"/>
              <w:spacing w:val="6"/>
              <w:sz w:val="18"/>
              <w:szCs w:val="18"/>
            </w:rPr>
            <w:fldChar w:fldCharType="end"/>
          </w:r>
        </w:p>
        <w:p w14:paraId="09A0DCE6">
          <w:pPr>
            <w:spacing w:before="116" w:line="212" w:lineRule="auto"/>
            <w:rPr>
              <w:rFonts w:ascii="Times New Roman" w:hAnsi="Times New Roman" w:eastAsia="Times New Roman" w:cs="Times New Roman"/>
              <w:sz w:val="18"/>
              <w:szCs w:val="18"/>
            </w:rPr>
          </w:pPr>
          <w:r>
            <w:rPr>
              <w:rFonts w:ascii="宋体" w:hAnsi="宋体" w:eastAsia="宋体" w:cs="宋体"/>
              <w:spacing w:val="2"/>
              <w:sz w:val="18"/>
              <w:szCs w:val="18"/>
            </w:rPr>
            <w:t>流行</w:t>
          </w:r>
          <w:r>
            <w:rPr>
              <w:rFonts w:ascii="宋体" w:hAnsi="宋体" w:eastAsia="宋体" w:cs="宋体"/>
              <w:spacing w:val="1"/>
              <w:sz w:val="18"/>
              <w:szCs w:val="18"/>
            </w:rPr>
            <w:t xml:space="preserve">  </w:t>
          </w:r>
          <w:r>
            <w:rPr>
              <w:rFonts w:ascii="Times New Roman" w:hAnsi="Times New Roman" w:eastAsia="Times New Roman" w:cs="Times New Roman"/>
              <w:sz w:val="18"/>
              <w:szCs w:val="18"/>
            </w:rPr>
            <w:t xml:space="preserve">epidemic       </w:t>
          </w:r>
          <w:r>
            <w:fldChar w:fldCharType="begin"/>
          </w:r>
          <w:r>
            <w:instrText xml:space="preserve"> HYPERLINK \l "bookmark633" </w:instrText>
          </w:r>
          <w:r>
            <w:fldChar w:fldCharType="separate"/>
          </w:r>
          <w:r>
            <w:rPr>
              <w:rFonts w:ascii="Times New Roman" w:hAnsi="Times New Roman" w:eastAsia="Times New Roman" w:cs="Times New Roman"/>
              <w:spacing w:val="2"/>
              <w:sz w:val="18"/>
              <w:szCs w:val="18"/>
            </w:rPr>
            <w:t>17</w:t>
          </w:r>
          <w:r>
            <w:rPr>
              <w:rFonts w:ascii="Times New Roman" w:hAnsi="Times New Roman" w:eastAsia="Times New Roman" w:cs="Times New Roman"/>
              <w:spacing w:val="2"/>
              <w:sz w:val="18"/>
              <w:szCs w:val="18"/>
            </w:rPr>
            <w:fldChar w:fldCharType="end"/>
          </w:r>
        </w:p>
        <w:p w14:paraId="53D6DD8E">
          <w:pPr>
            <w:spacing w:before="143" w:line="212" w:lineRule="auto"/>
            <w:rPr>
              <w:rFonts w:ascii="Times New Roman" w:hAnsi="Times New Roman" w:eastAsia="Times New Roman" w:cs="Times New Roman"/>
              <w:sz w:val="18"/>
              <w:szCs w:val="18"/>
            </w:rPr>
          </w:pPr>
          <w:r>
            <w:rPr>
              <w:rFonts w:ascii="宋体" w:hAnsi="宋体" w:eastAsia="宋体" w:cs="宋体"/>
              <w:spacing w:val="12"/>
              <w:sz w:val="18"/>
              <w:szCs w:val="18"/>
            </w:rPr>
            <w:t>流行病学</w:t>
          </w:r>
          <w:r>
            <w:rPr>
              <w:rFonts w:ascii="宋体" w:hAnsi="宋体" w:eastAsia="宋体" w:cs="宋体"/>
              <w:spacing w:val="81"/>
              <w:sz w:val="18"/>
              <w:szCs w:val="18"/>
            </w:rPr>
            <w:t xml:space="preserve"> </w:t>
          </w:r>
          <w:r>
            <w:rPr>
              <w:rFonts w:ascii="Times New Roman" w:hAnsi="Times New Roman" w:eastAsia="Times New Roman" w:cs="Times New Roman"/>
              <w:sz w:val="18"/>
              <w:szCs w:val="18"/>
            </w:rPr>
            <w:t>epidemiology</w:t>
          </w:r>
          <w:r>
            <w:rPr>
              <w:rFonts w:ascii="Times New Roman" w:hAnsi="Times New Roman" w:eastAsia="Times New Roman" w:cs="Times New Roman"/>
              <w:spacing w:val="5"/>
              <w:sz w:val="18"/>
              <w:szCs w:val="18"/>
            </w:rPr>
            <w:t xml:space="preserve">      </w:t>
          </w:r>
          <w:r>
            <w:fldChar w:fldCharType="begin"/>
          </w:r>
          <w:r>
            <w:instrText xml:space="preserve"> HYPERLINK \l "bookmark683" </w:instrText>
          </w:r>
          <w:r>
            <w:fldChar w:fldCharType="separate"/>
          </w:r>
          <w:r>
            <w:rPr>
              <w:rFonts w:ascii="Times New Roman" w:hAnsi="Times New Roman" w:eastAsia="Times New Roman" w:cs="Times New Roman"/>
              <w:spacing w:val="12"/>
              <w:sz w:val="18"/>
              <w:szCs w:val="18"/>
            </w:rPr>
            <w:t>1</w:t>
          </w:r>
          <w:r>
            <w:rPr>
              <w:rFonts w:ascii="Times New Roman" w:hAnsi="Times New Roman" w:eastAsia="Times New Roman" w:cs="Times New Roman"/>
              <w:spacing w:val="12"/>
              <w:sz w:val="18"/>
              <w:szCs w:val="18"/>
            </w:rPr>
            <w:fldChar w:fldCharType="end"/>
          </w:r>
        </w:p>
        <w:p w14:paraId="0FADB731">
          <w:pPr>
            <w:spacing w:before="163" w:line="212" w:lineRule="auto"/>
            <w:rPr>
              <w:rFonts w:ascii="Times New Roman" w:hAnsi="Times New Roman" w:eastAsia="Times New Roman" w:cs="Times New Roman"/>
              <w:sz w:val="18"/>
              <w:szCs w:val="18"/>
            </w:rPr>
          </w:pPr>
          <w:r>
            <w:rPr>
              <w:rFonts w:ascii="宋体" w:hAnsi="宋体" w:eastAsia="宋体" w:cs="宋体"/>
              <w:spacing w:val="10"/>
              <w:sz w:val="18"/>
              <w:szCs w:val="18"/>
            </w:rPr>
            <w:t>流行病学实验</w:t>
          </w:r>
          <w:r>
            <w:rPr>
              <w:rFonts w:ascii="宋体" w:hAnsi="宋体" w:eastAsia="宋体" w:cs="宋体"/>
              <w:spacing w:val="78"/>
              <w:sz w:val="18"/>
              <w:szCs w:val="18"/>
            </w:rPr>
            <w:t xml:space="preserve"> </w:t>
          </w:r>
          <w:r>
            <w:rPr>
              <w:rFonts w:ascii="Times New Roman" w:hAnsi="Times New Roman" w:eastAsia="Times New Roman" w:cs="Times New Roman"/>
              <w:sz w:val="18"/>
              <w:szCs w:val="18"/>
            </w:rPr>
            <w:t>epidemiological</w:t>
          </w:r>
          <w:r>
            <w:rPr>
              <w:rFonts w:ascii="Times New Roman" w:hAnsi="Times New Roman" w:eastAsia="Times New Roman" w:cs="Times New Roman"/>
              <w:spacing w:val="11"/>
              <w:w w:val="101"/>
              <w:sz w:val="18"/>
              <w:szCs w:val="18"/>
            </w:rPr>
            <w:t xml:space="preserve">   </w:t>
          </w:r>
          <w:r>
            <w:rPr>
              <w:rFonts w:ascii="Times New Roman" w:hAnsi="Times New Roman" w:eastAsia="Times New Roman" w:cs="Times New Roman"/>
              <w:sz w:val="18"/>
              <w:szCs w:val="18"/>
            </w:rPr>
            <w:t>experiment</w:t>
          </w:r>
          <w:r>
            <w:rPr>
              <w:rFonts w:ascii="Times New Roman" w:hAnsi="Times New Roman" w:eastAsia="Times New Roman" w:cs="Times New Roman"/>
              <w:spacing w:val="13"/>
              <w:w w:val="101"/>
              <w:sz w:val="18"/>
              <w:szCs w:val="18"/>
            </w:rPr>
            <w:t xml:space="preserve">   </w:t>
          </w:r>
          <w:r>
            <w:fldChar w:fldCharType="begin"/>
          </w:r>
          <w:r>
            <w:instrText xml:space="preserve"> HYPERLINK \l "bookmark684" </w:instrText>
          </w:r>
          <w:r>
            <w:fldChar w:fldCharType="separate"/>
          </w:r>
          <w:r>
            <w:rPr>
              <w:rFonts w:ascii="Times New Roman" w:hAnsi="Times New Roman" w:eastAsia="Times New Roman" w:cs="Times New Roman"/>
              <w:spacing w:val="10"/>
              <w:sz w:val="18"/>
              <w:szCs w:val="18"/>
            </w:rPr>
            <w:t>82</w:t>
          </w:r>
          <w:r>
            <w:rPr>
              <w:rFonts w:ascii="Times New Roman" w:hAnsi="Times New Roman" w:eastAsia="Times New Roman" w:cs="Times New Roman"/>
              <w:spacing w:val="10"/>
              <w:sz w:val="18"/>
              <w:szCs w:val="18"/>
            </w:rPr>
            <w:fldChar w:fldCharType="end"/>
          </w:r>
        </w:p>
        <w:p w14:paraId="389304DC">
          <w:pPr>
            <w:spacing w:before="143" w:line="212" w:lineRule="auto"/>
            <w:rPr>
              <w:rFonts w:ascii="Times New Roman" w:hAnsi="Times New Roman" w:eastAsia="Times New Roman" w:cs="Times New Roman"/>
              <w:sz w:val="18"/>
              <w:szCs w:val="18"/>
            </w:rPr>
          </w:pPr>
          <w:r>
            <w:rPr>
              <w:rFonts w:ascii="宋体" w:hAnsi="宋体" w:eastAsia="宋体" w:cs="宋体"/>
              <w:spacing w:val="7"/>
              <w:sz w:val="18"/>
              <w:szCs w:val="18"/>
            </w:rPr>
            <w:t>流行的三角模型</w:t>
          </w:r>
          <w:r>
            <w:rPr>
              <w:rFonts w:ascii="宋体" w:hAnsi="宋体" w:eastAsia="宋体" w:cs="宋体"/>
              <w:spacing w:val="88"/>
              <w:w w:val="101"/>
              <w:sz w:val="18"/>
              <w:szCs w:val="18"/>
            </w:rPr>
            <w:t xml:space="preserve"> </w:t>
          </w:r>
          <w:r>
            <w:rPr>
              <w:rFonts w:ascii="Times New Roman" w:hAnsi="Times New Roman" w:eastAsia="Times New Roman" w:cs="Times New Roman"/>
              <w:sz w:val="18"/>
              <w:szCs w:val="18"/>
            </w:rPr>
            <w:t>epidemiologic</w:t>
          </w:r>
          <w:r>
            <w:rPr>
              <w:rFonts w:ascii="Times New Roman" w:hAnsi="Times New Roman" w:eastAsia="Times New Roman" w:cs="Times New Roman"/>
              <w:spacing w:val="7"/>
              <w:sz w:val="18"/>
              <w:szCs w:val="18"/>
            </w:rPr>
            <w:t xml:space="preserve">   </w:t>
          </w:r>
          <w:r>
            <w:rPr>
              <w:rFonts w:ascii="Times New Roman" w:hAnsi="Times New Roman" w:eastAsia="Times New Roman" w:cs="Times New Roman"/>
              <w:sz w:val="18"/>
              <w:szCs w:val="18"/>
            </w:rPr>
            <w:t>triad</w:t>
          </w:r>
          <w:r>
            <w:rPr>
              <w:rFonts w:ascii="Times New Roman" w:hAnsi="Times New Roman" w:eastAsia="Times New Roman" w:cs="Times New Roman"/>
              <w:spacing w:val="7"/>
              <w:sz w:val="18"/>
              <w:szCs w:val="18"/>
            </w:rPr>
            <w:t xml:space="preserve">    </w:t>
          </w:r>
          <w:r>
            <w:fldChar w:fldCharType="begin"/>
          </w:r>
          <w:r>
            <w:instrText xml:space="preserve"> HYPERLINK \l "bookmark685" </w:instrText>
          </w:r>
          <w:r>
            <w:fldChar w:fldCharType="separate"/>
          </w:r>
          <w:r>
            <w:rPr>
              <w:rFonts w:ascii="Times New Roman" w:hAnsi="Times New Roman" w:eastAsia="Times New Roman" w:cs="Times New Roman"/>
              <w:spacing w:val="7"/>
              <w:sz w:val="18"/>
              <w:szCs w:val="18"/>
            </w:rPr>
            <w:t>120</w:t>
          </w:r>
          <w:r>
            <w:rPr>
              <w:rFonts w:ascii="Times New Roman" w:hAnsi="Times New Roman" w:eastAsia="Times New Roman" w:cs="Times New Roman"/>
              <w:spacing w:val="7"/>
              <w:sz w:val="18"/>
              <w:szCs w:val="18"/>
            </w:rPr>
            <w:fldChar w:fldCharType="end"/>
          </w:r>
        </w:p>
        <w:p w14:paraId="202C06D0">
          <w:pPr>
            <w:spacing w:before="144" w:line="212" w:lineRule="auto"/>
            <w:rPr>
              <w:rFonts w:ascii="Times New Roman" w:hAnsi="Times New Roman" w:eastAsia="Times New Roman" w:cs="Times New Roman"/>
              <w:sz w:val="18"/>
              <w:szCs w:val="18"/>
            </w:rPr>
          </w:pPr>
          <w:r>
            <w:rPr>
              <w:rFonts w:ascii="宋体" w:hAnsi="宋体" w:eastAsia="宋体" w:cs="宋体"/>
              <w:spacing w:val="5"/>
              <w:sz w:val="18"/>
              <w:szCs w:val="18"/>
            </w:rPr>
            <w:t>流行过程</w:t>
          </w:r>
          <w:r>
            <w:rPr>
              <w:rFonts w:ascii="宋体" w:hAnsi="宋体" w:eastAsia="宋体" w:cs="宋体"/>
              <w:spacing w:val="87"/>
              <w:sz w:val="18"/>
              <w:szCs w:val="18"/>
            </w:rPr>
            <w:t xml:space="preserve"> </w:t>
          </w:r>
          <w:r>
            <w:rPr>
              <w:rFonts w:ascii="Times New Roman" w:hAnsi="Times New Roman" w:eastAsia="Times New Roman" w:cs="Times New Roman"/>
              <w:sz w:val="18"/>
              <w:szCs w:val="18"/>
            </w:rPr>
            <w:t>epidemic</w:t>
          </w:r>
          <w:r>
            <w:rPr>
              <w:rFonts w:ascii="Times New Roman" w:hAnsi="Times New Roman" w:eastAsia="Times New Roman" w:cs="Times New Roman"/>
              <w:spacing w:val="13"/>
              <w:sz w:val="18"/>
              <w:szCs w:val="18"/>
            </w:rPr>
            <w:t xml:space="preserve">   </w:t>
          </w:r>
          <w:r>
            <w:rPr>
              <w:rFonts w:ascii="Times New Roman" w:hAnsi="Times New Roman" w:eastAsia="Times New Roman" w:cs="Times New Roman"/>
              <w:sz w:val="18"/>
              <w:szCs w:val="18"/>
            </w:rPr>
            <w:t>process</w:t>
          </w:r>
          <w:r>
            <w:rPr>
              <w:rFonts w:ascii="Times New Roman" w:hAnsi="Times New Roman" w:eastAsia="Times New Roman" w:cs="Times New Roman"/>
              <w:spacing w:val="5"/>
              <w:sz w:val="18"/>
              <w:szCs w:val="18"/>
            </w:rPr>
            <w:t xml:space="preserve">    </w:t>
          </w:r>
          <w:r>
            <w:fldChar w:fldCharType="begin"/>
          </w:r>
          <w:r>
            <w:instrText xml:space="preserve"> HYPERLINK \l "bookmark686" </w:instrText>
          </w:r>
          <w:r>
            <w:fldChar w:fldCharType="separate"/>
          </w:r>
          <w:r>
            <w:rPr>
              <w:rFonts w:ascii="Times New Roman" w:hAnsi="Times New Roman" w:eastAsia="Times New Roman" w:cs="Times New Roman"/>
              <w:spacing w:val="5"/>
              <w:sz w:val="18"/>
              <w:szCs w:val="18"/>
            </w:rPr>
            <w:t>158</w:t>
          </w:r>
          <w:r>
            <w:rPr>
              <w:rFonts w:ascii="Times New Roman" w:hAnsi="Times New Roman" w:eastAsia="Times New Roman" w:cs="Times New Roman"/>
              <w:spacing w:val="5"/>
              <w:sz w:val="18"/>
              <w:szCs w:val="18"/>
            </w:rPr>
            <w:fldChar w:fldCharType="end"/>
          </w:r>
        </w:p>
        <w:p w14:paraId="7793DF21">
          <w:pPr>
            <w:spacing w:before="143" w:line="212" w:lineRule="auto"/>
            <w:rPr>
              <w:rFonts w:ascii="Times New Roman" w:hAnsi="Times New Roman" w:eastAsia="Times New Roman" w:cs="Times New Roman"/>
              <w:sz w:val="18"/>
              <w:szCs w:val="18"/>
            </w:rPr>
          </w:pPr>
          <w:r>
            <w:rPr>
              <w:rFonts w:ascii="宋体" w:hAnsi="宋体" w:eastAsia="宋体" w:cs="宋体"/>
              <w:spacing w:val="8"/>
              <w:sz w:val="18"/>
              <w:szCs w:val="18"/>
            </w:rPr>
            <w:t>流行曲线</w:t>
          </w:r>
          <w:r>
            <w:rPr>
              <w:rFonts w:ascii="宋体" w:hAnsi="宋体" w:eastAsia="宋体" w:cs="宋体"/>
              <w:spacing w:val="77"/>
              <w:sz w:val="18"/>
              <w:szCs w:val="18"/>
            </w:rPr>
            <w:t xml:space="preserve"> </w:t>
          </w:r>
          <w:r>
            <w:rPr>
              <w:rFonts w:ascii="Times New Roman" w:hAnsi="Times New Roman" w:eastAsia="Times New Roman" w:cs="Times New Roman"/>
              <w:sz w:val="18"/>
              <w:szCs w:val="18"/>
            </w:rPr>
            <w:t>epidemic</w:t>
          </w:r>
          <w:r>
            <w:rPr>
              <w:rFonts w:ascii="Times New Roman" w:hAnsi="Times New Roman" w:eastAsia="Times New Roman" w:cs="Times New Roman"/>
              <w:spacing w:val="14"/>
              <w:w w:val="101"/>
              <w:sz w:val="18"/>
              <w:szCs w:val="18"/>
            </w:rPr>
            <w:t xml:space="preserve">   </w:t>
          </w:r>
          <w:r>
            <w:rPr>
              <w:rFonts w:ascii="Times New Roman" w:hAnsi="Times New Roman" w:eastAsia="Times New Roman" w:cs="Times New Roman"/>
              <w:sz w:val="18"/>
              <w:szCs w:val="18"/>
            </w:rPr>
            <w:t>curve</w:t>
          </w:r>
          <w:r>
            <w:rPr>
              <w:rFonts w:ascii="Times New Roman" w:hAnsi="Times New Roman" w:eastAsia="Times New Roman" w:cs="Times New Roman"/>
              <w:spacing w:val="13"/>
              <w:w w:val="101"/>
              <w:sz w:val="18"/>
              <w:szCs w:val="18"/>
            </w:rPr>
            <w:t xml:space="preserve">   </w:t>
          </w:r>
          <w:r>
            <w:fldChar w:fldCharType="begin"/>
          </w:r>
          <w:r>
            <w:instrText xml:space="preserve"> HYPERLINK \l "bookmark687" </w:instrText>
          </w:r>
          <w:r>
            <w:fldChar w:fldCharType="separate"/>
          </w:r>
          <w:r>
            <w:rPr>
              <w:rFonts w:ascii="Times New Roman" w:hAnsi="Times New Roman" w:eastAsia="Times New Roman" w:cs="Times New Roman"/>
              <w:spacing w:val="8"/>
              <w:sz w:val="18"/>
              <w:szCs w:val="18"/>
            </w:rPr>
            <w:t>226</w:t>
          </w:r>
          <w:r>
            <w:rPr>
              <w:rFonts w:ascii="Times New Roman" w:hAnsi="Times New Roman" w:eastAsia="Times New Roman" w:cs="Times New Roman"/>
              <w:spacing w:val="8"/>
              <w:sz w:val="18"/>
              <w:szCs w:val="18"/>
            </w:rPr>
            <w:fldChar w:fldCharType="end"/>
          </w:r>
        </w:p>
        <w:p w14:paraId="3DDC8B8A">
          <w:pPr>
            <w:spacing w:before="164" w:line="220" w:lineRule="auto"/>
            <w:rPr>
              <w:rFonts w:ascii="Times New Roman" w:hAnsi="Times New Roman" w:eastAsia="Times New Roman" w:cs="Times New Roman"/>
              <w:sz w:val="18"/>
              <w:szCs w:val="18"/>
            </w:rPr>
          </w:pPr>
          <w:r>
            <w:rPr>
              <w:rFonts w:ascii="宋体" w:hAnsi="宋体" w:eastAsia="宋体" w:cs="宋体"/>
              <w:spacing w:val="8"/>
              <w:sz w:val="18"/>
              <w:szCs w:val="18"/>
            </w:rPr>
            <w:t>流行性感冒</w:t>
          </w:r>
          <w:r>
            <w:rPr>
              <w:rFonts w:ascii="宋体" w:hAnsi="宋体" w:eastAsia="宋体" w:cs="宋体"/>
              <w:spacing w:val="17"/>
              <w:sz w:val="18"/>
              <w:szCs w:val="18"/>
            </w:rPr>
            <w:t xml:space="preserve">  </w:t>
          </w:r>
          <w:r>
            <w:rPr>
              <w:rFonts w:ascii="Times New Roman" w:hAnsi="Times New Roman" w:eastAsia="Times New Roman" w:cs="Times New Roman"/>
              <w:sz w:val="18"/>
              <w:szCs w:val="18"/>
            </w:rPr>
            <w:t xml:space="preserve">influenza      </w:t>
          </w:r>
          <w:r>
            <w:fldChar w:fldCharType="begin"/>
          </w:r>
          <w:r>
            <w:instrText xml:space="preserve"> HYPERLINK \l "bookmark588" </w:instrText>
          </w:r>
          <w:r>
            <w:fldChar w:fldCharType="separate"/>
          </w:r>
          <w:r>
            <w:rPr>
              <w:rFonts w:ascii="Times New Roman" w:hAnsi="Times New Roman" w:eastAsia="Times New Roman" w:cs="Times New Roman"/>
              <w:spacing w:val="8"/>
              <w:sz w:val="18"/>
              <w:szCs w:val="18"/>
            </w:rPr>
            <w:t>320</w:t>
          </w:r>
          <w:r>
            <w:rPr>
              <w:rFonts w:ascii="Times New Roman" w:hAnsi="Times New Roman" w:eastAsia="Times New Roman" w:cs="Times New Roman"/>
              <w:spacing w:val="8"/>
              <w:sz w:val="18"/>
              <w:szCs w:val="18"/>
            </w:rPr>
            <w:fldChar w:fldCharType="end"/>
          </w:r>
        </w:p>
        <w:p w14:paraId="2F596722">
          <w:pPr>
            <w:spacing w:before="115" w:line="212" w:lineRule="auto"/>
            <w:rPr>
              <w:rFonts w:ascii="Times New Roman" w:hAnsi="Times New Roman" w:eastAsia="Times New Roman" w:cs="Times New Roman"/>
              <w:sz w:val="18"/>
              <w:szCs w:val="18"/>
            </w:rPr>
          </w:pPr>
          <w:r>
            <w:rPr>
              <w:rFonts w:ascii="宋体" w:hAnsi="宋体" w:eastAsia="宋体" w:cs="宋体"/>
              <w:spacing w:val="7"/>
              <w:sz w:val="18"/>
              <w:szCs w:val="18"/>
            </w:rPr>
            <w:t>漏斗图</w:t>
          </w:r>
          <w:r>
            <w:rPr>
              <w:rFonts w:ascii="宋体" w:hAnsi="宋体" w:eastAsia="宋体" w:cs="宋体"/>
              <w:spacing w:val="3"/>
              <w:sz w:val="18"/>
              <w:szCs w:val="18"/>
            </w:rPr>
            <w:t xml:space="preserve">  </w:t>
          </w:r>
          <w:r>
            <w:rPr>
              <w:rFonts w:ascii="Times New Roman" w:hAnsi="Times New Roman" w:eastAsia="Times New Roman" w:cs="Times New Roman"/>
              <w:sz w:val="18"/>
              <w:szCs w:val="18"/>
            </w:rPr>
            <w:t>funnel</w:t>
          </w:r>
          <w:r>
            <w:rPr>
              <w:rFonts w:ascii="Times New Roman" w:hAnsi="Times New Roman" w:eastAsia="Times New Roman" w:cs="Times New Roman"/>
              <w:spacing w:val="9"/>
              <w:sz w:val="18"/>
              <w:szCs w:val="18"/>
            </w:rPr>
            <w:t xml:space="preserve">   </w:t>
          </w:r>
          <w:r>
            <w:rPr>
              <w:rFonts w:ascii="Times New Roman" w:hAnsi="Times New Roman" w:eastAsia="Times New Roman" w:cs="Times New Roman"/>
              <w:sz w:val="18"/>
              <w:szCs w:val="18"/>
            </w:rPr>
            <w:t>plot</w:t>
          </w:r>
          <w:r>
            <w:rPr>
              <w:rFonts w:ascii="Times New Roman" w:hAnsi="Times New Roman" w:eastAsia="Times New Roman" w:cs="Times New Roman"/>
              <w:spacing w:val="10"/>
              <w:sz w:val="18"/>
              <w:szCs w:val="18"/>
            </w:rPr>
            <w:t xml:space="preserve">   </w:t>
          </w:r>
          <w:r>
            <w:fldChar w:fldCharType="begin"/>
          </w:r>
          <w:r>
            <w:instrText xml:space="preserve"> HYPERLINK \l "bookmark688" </w:instrText>
          </w:r>
          <w:r>
            <w:fldChar w:fldCharType="separate"/>
          </w:r>
          <w:r>
            <w:rPr>
              <w:rFonts w:ascii="Times New Roman" w:hAnsi="Times New Roman" w:eastAsia="Times New Roman" w:cs="Times New Roman"/>
              <w:spacing w:val="7"/>
              <w:sz w:val="18"/>
              <w:szCs w:val="18"/>
            </w:rPr>
            <w:t>262</w:t>
          </w:r>
          <w:r>
            <w:rPr>
              <w:rFonts w:ascii="Times New Roman" w:hAnsi="Times New Roman" w:eastAsia="Times New Roman" w:cs="Times New Roman"/>
              <w:spacing w:val="7"/>
              <w:sz w:val="18"/>
              <w:szCs w:val="18"/>
            </w:rPr>
            <w:fldChar w:fldCharType="end"/>
          </w:r>
        </w:p>
        <w:p w14:paraId="7FBC6789">
          <w:pPr>
            <w:spacing w:before="152" w:line="212" w:lineRule="auto"/>
            <w:rPr>
              <w:rFonts w:ascii="Times New Roman" w:hAnsi="Times New Roman" w:eastAsia="Times New Roman" w:cs="Times New Roman"/>
              <w:sz w:val="18"/>
              <w:szCs w:val="18"/>
            </w:rPr>
          </w:pPr>
          <w:r>
            <w:rPr>
              <w:rFonts w:ascii="宋体" w:hAnsi="宋体" w:eastAsia="宋体" w:cs="宋体"/>
              <w:spacing w:val="5"/>
              <w:sz w:val="18"/>
              <w:szCs w:val="18"/>
            </w:rPr>
            <w:t>率比</w:t>
          </w:r>
          <w:r>
            <w:rPr>
              <w:rFonts w:ascii="宋体" w:hAnsi="宋体" w:eastAsia="宋体" w:cs="宋体"/>
              <w:spacing w:val="88"/>
              <w:sz w:val="18"/>
              <w:szCs w:val="18"/>
            </w:rPr>
            <w:t xml:space="preserve"> </w:t>
          </w:r>
          <w:r>
            <w:rPr>
              <w:rFonts w:ascii="Times New Roman" w:hAnsi="Times New Roman" w:eastAsia="Times New Roman" w:cs="Times New Roman"/>
              <w:sz w:val="18"/>
              <w:szCs w:val="18"/>
            </w:rPr>
            <w:t>rate</w:t>
          </w:r>
          <w:r>
            <w:rPr>
              <w:rFonts w:ascii="Times New Roman" w:hAnsi="Times New Roman" w:eastAsia="Times New Roman" w:cs="Times New Roman"/>
              <w:spacing w:val="8"/>
              <w:sz w:val="18"/>
              <w:szCs w:val="18"/>
            </w:rPr>
            <w:t xml:space="preserve">    </w:t>
          </w:r>
          <w:r>
            <w:rPr>
              <w:rFonts w:ascii="Times New Roman" w:hAnsi="Times New Roman" w:eastAsia="Times New Roman" w:cs="Times New Roman"/>
              <w:sz w:val="18"/>
              <w:szCs w:val="18"/>
            </w:rPr>
            <w:t>ratio</w:t>
          </w:r>
          <w:r>
            <w:rPr>
              <w:rFonts w:ascii="Times New Roman" w:hAnsi="Times New Roman" w:eastAsia="Times New Roman" w:cs="Times New Roman"/>
              <w:spacing w:val="5"/>
              <w:sz w:val="18"/>
              <w:szCs w:val="18"/>
            </w:rPr>
            <w:t>,</w:t>
          </w:r>
          <w:r>
            <w:rPr>
              <w:rFonts w:ascii="Times New Roman" w:hAnsi="Times New Roman" w:eastAsia="Times New Roman" w:cs="Times New Roman"/>
              <w:sz w:val="18"/>
              <w:szCs w:val="18"/>
            </w:rPr>
            <w:t>RR</w:t>
          </w:r>
          <w:r>
            <w:rPr>
              <w:rFonts w:ascii="Times New Roman" w:hAnsi="Times New Roman" w:eastAsia="Times New Roman" w:cs="Times New Roman"/>
              <w:spacing w:val="10"/>
              <w:sz w:val="18"/>
              <w:szCs w:val="18"/>
            </w:rPr>
            <w:t xml:space="preserve">    </w:t>
          </w:r>
          <w:r>
            <w:fldChar w:fldCharType="begin"/>
          </w:r>
          <w:r>
            <w:instrText xml:space="preserve"> HYPERLINK \l "bookmark689" </w:instrText>
          </w:r>
          <w:r>
            <w:fldChar w:fldCharType="separate"/>
          </w:r>
          <w:r>
            <w:rPr>
              <w:rFonts w:ascii="Times New Roman" w:hAnsi="Times New Roman" w:eastAsia="Times New Roman" w:cs="Times New Roman"/>
              <w:spacing w:val="5"/>
              <w:sz w:val="18"/>
              <w:szCs w:val="18"/>
            </w:rPr>
            <w:t>57</w:t>
          </w:r>
          <w:r>
            <w:rPr>
              <w:rFonts w:ascii="Times New Roman" w:hAnsi="Times New Roman" w:eastAsia="Times New Roman" w:cs="Times New Roman"/>
              <w:spacing w:val="5"/>
              <w:sz w:val="18"/>
              <w:szCs w:val="18"/>
            </w:rPr>
            <w:fldChar w:fldCharType="end"/>
          </w:r>
        </w:p>
        <w:p w14:paraId="047F150F">
          <w:pPr>
            <w:spacing w:before="155" w:line="219" w:lineRule="auto"/>
            <w:rPr>
              <w:rFonts w:ascii="Times New Roman" w:hAnsi="Times New Roman" w:eastAsia="Times New Roman" w:cs="Times New Roman"/>
              <w:sz w:val="18"/>
              <w:szCs w:val="18"/>
            </w:rPr>
          </w:pPr>
          <w:r>
            <w:rPr>
              <w:rFonts w:ascii="宋体" w:hAnsi="宋体" w:eastAsia="宋体" w:cs="宋体"/>
              <w:spacing w:val="5"/>
              <w:sz w:val="18"/>
              <w:szCs w:val="18"/>
            </w:rPr>
            <w:t>轮状模型</w:t>
          </w:r>
          <w:r>
            <w:rPr>
              <w:rFonts w:ascii="宋体" w:hAnsi="宋体" w:eastAsia="宋体" w:cs="宋体"/>
              <w:spacing w:val="88"/>
              <w:sz w:val="18"/>
              <w:szCs w:val="18"/>
            </w:rPr>
            <w:t xml:space="preserve"> </w:t>
          </w:r>
          <w:r>
            <w:rPr>
              <w:rFonts w:ascii="Times New Roman" w:hAnsi="Times New Roman" w:eastAsia="Times New Roman" w:cs="Times New Roman"/>
              <w:sz w:val="18"/>
              <w:szCs w:val="18"/>
            </w:rPr>
            <w:t>causation</w:t>
          </w:r>
          <w:r>
            <w:rPr>
              <w:rFonts w:ascii="Times New Roman" w:hAnsi="Times New Roman" w:eastAsia="Times New Roman" w:cs="Times New Roman"/>
              <w:spacing w:val="10"/>
              <w:sz w:val="18"/>
              <w:szCs w:val="18"/>
            </w:rPr>
            <w:t xml:space="preserve">   </w:t>
          </w:r>
          <w:r>
            <w:rPr>
              <w:rFonts w:ascii="Times New Roman" w:hAnsi="Times New Roman" w:eastAsia="Times New Roman" w:cs="Times New Roman"/>
              <w:sz w:val="18"/>
              <w:szCs w:val="18"/>
            </w:rPr>
            <w:t>wheel</w:t>
          </w:r>
          <w:r>
            <w:rPr>
              <w:rFonts w:ascii="Times New Roman" w:hAnsi="Times New Roman" w:eastAsia="Times New Roman" w:cs="Times New Roman"/>
              <w:spacing w:val="5"/>
              <w:sz w:val="18"/>
              <w:szCs w:val="18"/>
            </w:rPr>
            <w:t xml:space="preserve">    </w:t>
          </w:r>
          <w:r>
            <w:fldChar w:fldCharType="begin"/>
          </w:r>
          <w:r>
            <w:instrText xml:space="preserve"> HYPERLINK \l "bookmark690" </w:instrText>
          </w:r>
          <w:r>
            <w:fldChar w:fldCharType="separate"/>
          </w:r>
          <w:r>
            <w:rPr>
              <w:rFonts w:ascii="Times New Roman" w:hAnsi="Times New Roman" w:eastAsia="Times New Roman" w:cs="Times New Roman"/>
              <w:spacing w:val="5"/>
              <w:sz w:val="18"/>
              <w:szCs w:val="18"/>
            </w:rPr>
            <w:t>121</w:t>
          </w:r>
          <w:r>
            <w:rPr>
              <w:rFonts w:ascii="Times New Roman" w:hAnsi="Times New Roman" w:eastAsia="Times New Roman" w:cs="Times New Roman"/>
              <w:spacing w:val="5"/>
              <w:sz w:val="18"/>
              <w:szCs w:val="18"/>
            </w:rPr>
            <w:fldChar w:fldCharType="end"/>
          </w:r>
        </w:p>
      </w:sdtContent>
    </w:sdt>
    <w:p w14:paraId="696AA928">
      <w:pPr>
        <w:spacing w:line="332" w:lineRule="auto"/>
        <w:rPr>
          <w:rFonts w:ascii="Arial"/>
          <w:sz w:val="21"/>
        </w:rPr>
      </w:pPr>
    </w:p>
    <w:p w14:paraId="1774E81E">
      <w:pPr>
        <w:spacing w:before="84" w:line="196" w:lineRule="auto"/>
        <w:rPr>
          <w:rFonts w:ascii="Arial" w:hAnsi="Arial" w:eastAsia="Arial" w:cs="Arial"/>
          <w:sz w:val="29"/>
          <w:szCs w:val="29"/>
        </w:rPr>
      </w:pPr>
      <w:r>
        <w:rPr>
          <w:rFonts w:ascii="Arial" w:hAnsi="Arial" w:eastAsia="Arial" w:cs="Arial"/>
          <w:sz w:val="29"/>
          <w:szCs w:val="29"/>
        </w:rPr>
        <w:t>M</w:t>
      </w:r>
    </w:p>
    <w:p w14:paraId="15AA1933">
      <w:pPr>
        <w:spacing w:before="224" w:line="356" w:lineRule="auto"/>
        <w:ind w:right="241"/>
        <w:rPr>
          <w:rFonts w:ascii="宋体" w:hAnsi="宋体" w:eastAsia="宋体" w:cs="宋体"/>
          <w:sz w:val="18"/>
          <w:szCs w:val="18"/>
        </w:rPr>
      </w:pPr>
      <w:r>
        <w:rPr>
          <w:rFonts w:ascii="宋体" w:hAnsi="宋体" w:eastAsia="宋体" w:cs="宋体"/>
          <w:spacing w:val="7"/>
          <w:sz w:val="18"/>
          <w:szCs w:val="18"/>
        </w:rPr>
        <w:t>慢性非传染性疾病</w:t>
      </w:r>
      <w:r>
        <w:rPr>
          <w:rFonts w:ascii="宋体" w:hAnsi="宋体" w:eastAsia="宋体" w:cs="宋体"/>
          <w:spacing w:val="88"/>
          <w:sz w:val="18"/>
          <w:szCs w:val="18"/>
        </w:rPr>
        <w:t xml:space="preserve"> </w:t>
      </w:r>
      <w:r>
        <w:rPr>
          <w:rFonts w:ascii="宋体" w:hAnsi="宋体" w:eastAsia="宋体" w:cs="宋体"/>
          <w:sz w:val="18"/>
          <w:szCs w:val="18"/>
        </w:rPr>
        <w:t>noncommunicable</w:t>
      </w:r>
      <w:r>
        <w:rPr>
          <w:rFonts w:ascii="宋体" w:hAnsi="宋体" w:eastAsia="宋体" w:cs="宋体"/>
          <w:spacing w:val="72"/>
          <w:sz w:val="18"/>
          <w:szCs w:val="18"/>
        </w:rPr>
        <w:t xml:space="preserve"> </w:t>
      </w:r>
      <w:r>
        <w:rPr>
          <w:rFonts w:ascii="宋体" w:hAnsi="宋体" w:eastAsia="宋体" w:cs="宋体"/>
          <w:sz w:val="18"/>
          <w:szCs w:val="18"/>
        </w:rPr>
        <w:t>disease</w:t>
      </w:r>
      <w:r>
        <w:rPr>
          <w:rFonts w:ascii="宋体" w:hAnsi="宋体" w:eastAsia="宋体" w:cs="宋体"/>
          <w:spacing w:val="7"/>
          <w:sz w:val="18"/>
          <w:szCs w:val="18"/>
        </w:rPr>
        <w:t>,</w:t>
      </w:r>
      <w:r>
        <w:rPr>
          <w:rFonts w:ascii="宋体" w:hAnsi="宋体" w:eastAsia="宋体" w:cs="宋体"/>
          <w:sz w:val="18"/>
          <w:szCs w:val="18"/>
        </w:rPr>
        <w:t>NCD</w:t>
      </w:r>
      <w:r>
        <w:rPr>
          <w:rFonts w:ascii="宋体" w:hAnsi="宋体" w:eastAsia="宋体" w:cs="宋体"/>
          <w:spacing w:val="81"/>
          <w:sz w:val="18"/>
          <w:szCs w:val="18"/>
        </w:rPr>
        <w:t xml:space="preserve"> </w:t>
      </w:r>
      <w:r>
        <w:rPr>
          <w:rFonts w:ascii="宋体" w:hAnsi="宋体" w:eastAsia="宋体" w:cs="宋体"/>
          <w:spacing w:val="7"/>
          <w:sz w:val="18"/>
          <w:szCs w:val="18"/>
        </w:rPr>
        <w:t>184</w:t>
      </w:r>
      <w:r>
        <w:rPr>
          <w:rFonts w:ascii="宋体" w:hAnsi="宋体" w:eastAsia="宋体" w:cs="宋体"/>
          <w:sz w:val="18"/>
          <w:szCs w:val="18"/>
        </w:rPr>
        <w:t xml:space="preserve"> </w:t>
      </w:r>
      <w:r>
        <w:rPr>
          <w:rFonts w:ascii="宋体" w:hAnsi="宋体" w:eastAsia="宋体" w:cs="宋体"/>
          <w:spacing w:val="-7"/>
          <w:sz w:val="18"/>
          <w:szCs w:val="18"/>
        </w:rPr>
        <w:t>慢性阻塞性肺疾病</w:t>
      </w:r>
      <w:r>
        <w:rPr>
          <w:rFonts w:ascii="宋体" w:hAnsi="宋体" w:eastAsia="宋体" w:cs="宋体"/>
          <w:spacing w:val="59"/>
          <w:sz w:val="18"/>
          <w:szCs w:val="18"/>
        </w:rPr>
        <w:t xml:space="preserve"> </w:t>
      </w:r>
      <w:r>
        <w:rPr>
          <w:rFonts w:ascii="宋体" w:hAnsi="宋体" w:eastAsia="宋体" w:cs="宋体"/>
          <w:spacing w:val="-7"/>
          <w:sz w:val="18"/>
          <w:szCs w:val="18"/>
        </w:rPr>
        <w:t>chronic obstructive pulmonary disease,</w:t>
      </w:r>
    </w:p>
    <w:sdt>
      <w:sdtPr>
        <w:rPr>
          <w:rFonts w:ascii="Times New Roman" w:hAnsi="Times New Roman" w:eastAsia="Times New Roman" w:cs="Times New Roman"/>
          <w:sz w:val="18"/>
          <w:szCs w:val="18"/>
        </w:rPr>
        <w:id w:val="727955218"/>
        <w:docPartObj>
          <w:docPartGallery w:val="Table of Contents"/>
          <w:docPartUnique/>
        </w:docPartObj>
      </w:sdtPr>
      <w:sdtEndPr>
        <w:rPr>
          <w:rFonts w:ascii="Times New Roman" w:hAnsi="Times New Roman" w:eastAsia="Times New Roman" w:cs="Times New Roman"/>
          <w:sz w:val="18"/>
          <w:szCs w:val="18"/>
        </w:rPr>
      </w:sdtEndPr>
      <w:sdtContent>
        <w:p w14:paraId="57AA113A">
          <w:pPr>
            <w:spacing w:before="34" w:line="188" w:lineRule="auto"/>
            <w:ind w:left="210"/>
            <w:rPr>
              <w:rFonts w:ascii="Times New Roman" w:hAnsi="Times New Roman" w:eastAsia="Times New Roman" w:cs="Times New Roman"/>
              <w:sz w:val="18"/>
              <w:szCs w:val="18"/>
            </w:rPr>
          </w:pPr>
          <w:r>
            <w:rPr>
              <w:rFonts w:ascii="Times New Roman" w:hAnsi="Times New Roman" w:eastAsia="Times New Roman" w:cs="Times New Roman"/>
              <w:spacing w:val="-3"/>
              <w:sz w:val="18"/>
              <w:szCs w:val="18"/>
            </w:rPr>
            <w:t>COPD</w:t>
          </w:r>
          <w:r>
            <w:rPr>
              <w:rFonts w:ascii="Times New Roman" w:hAnsi="Times New Roman" w:eastAsia="Times New Roman" w:cs="Times New Roman"/>
              <w:spacing w:val="6"/>
              <w:sz w:val="18"/>
              <w:szCs w:val="18"/>
            </w:rPr>
            <w:t xml:space="preserve">     </w:t>
          </w:r>
          <w:r>
            <w:fldChar w:fldCharType="begin"/>
          </w:r>
          <w:r>
            <w:instrText xml:space="preserve"> HYPERLINK \l "bookmark691" </w:instrText>
          </w:r>
          <w:r>
            <w:fldChar w:fldCharType="separate"/>
          </w:r>
          <w:r>
            <w:rPr>
              <w:rFonts w:ascii="Times New Roman" w:hAnsi="Times New Roman" w:eastAsia="Times New Roman" w:cs="Times New Roman"/>
              <w:spacing w:val="-3"/>
              <w:sz w:val="18"/>
              <w:szCs w:val="18"/>
            </w:rPr>
            <w:t>198</w:t>
          </w:r>
          <w:r>
            <w:rPr>
              <w:rFonts w:ascii="Times New Roman" w:hAnsi="Times New Roman" w:eastAsia="Times New Roman" w:cs="Times New Roman"/>
              <w:spacing w:val="-3"/>
              <w:sz w:val="18"/>
              <w:szCs w:val="18"/>
            </w:rPr>
            <w:fldChar w:fldCharType="end"/>
          </w:r>
        </w:p>
        <w:p w14:paraId="0E828367">
          <w:pPr>
            <w:spacing w:before="151" w:line="212" w:lineRule="auto"/>
            <w:rPr>
              <w:rFonts w:ascii="Times New Roman" w:hAnsi="Times New Roman" w:eastAsia="Times New Roman" w:cs="Times New Roman"/>
              <w:sz w:val="18"/>
              <w:szCs w:val="18"/>
            </w:rPr>
          </w:pPr>
          <w:r>
            <w:rPr>
              <w:rFonts w:ascii="宋体" w:hAnsi="宋体" w:eastAsia="宋体" w:cs="宋体"/>
              <w:spacing w:val="2"/>
              <w:sz w:val="18"/>
              <w:szCs w:val="18"/>
            </w:rPr>
            <w:t xml:space="preserve">盲法  </w:t>
          </w:r>
          <w:r>
            <w:rPr>
              <w:rFonts w:ascii="Times New Roman" w:hAnsi="Times New Roman" w:eastAsia="Times New Roman" w:cs="Times New Roman"/>
              <w:sz w:val="18"/>
              <w:szCs w:val="18"/>
            </w:rPr>
            <w:t>blinding</w:t>
          </w:r>
          <w:r>
            <w:rPr>
              <w:rFonts w:ascii="Times New Roman" w:hAnsi="Times New Roman" w:eastAsia="Times New Roman" w:cs="Times New Roman"/>
              <w:spacing w:val="26"/>
              <w:w w:val="102"/>
              <w:sz w:val="18"/>
              <w:szCs w:val="18"/>
            </w:rPr>
            <w:t xml:space="preserve"> </w:t>
          </w:r>
          <w:r>
            <w:rPr>
              <w:rFonts w:ascii="宋体" w:hAnsi="宋体" w:eastAsia="宋体" w:cs="宋体"/>
              <w:spacing w:val="2"/>
              <w:sz w:val="18"/>
              <w:szCs w:val="18"/>
            </w:rPr>
            <w:t>或</w:t>
          </w:r>
          <w:r>
            <w:rPr>
              <w:rFonts w:ascii="宋体" w:hAnsi="宋体" w:eastAsia="宋体" w:cs="宋体"/>
              <w:spacing w:val="-31"/>
              <w:sz w:val="18"/>
              <w:szCs w:val="18"/>
            </w:rPr>
            <w:t xml:space="preserve"> </w:t>
          </w:r>
          <w:r>
            <w:rPr>
              <w:rFonts w:ascii="Times New Roman" w:hAnsi="Times New Roman" w:eastAsia="Times New Roman" w:cs="Times New Roman"/>
              <w:sz w:val="18"/>
              <w:szCs w:val="18"/>
            </w:rPr>
            <w:t>masking</w:t>
          </w:r>
          <w:r>
            <w:rPr>
              <w:rFonts w:ascii="Times New Roman" w:hAnsi="Times New Roman" w:eastAsia="Times New Roman" w:cs="Times New Roman"/>
              <w:spacing w:val="2"/>
              <w:sz w:val="18"/>
              <w:szCs w:val="18"/>
            </w:rPr>
            <w:t xml:space="preserve">     </w:t>
          </w:r>
          <w:r>
            <w:fldChar w:fldCharType="begin"/>
          </w:r>
          <w:r>
            <w:instrText xml:space="preserve"> HYPERLINK \l "bookmark692" </w:instrText>
          </w:r>
          <w:r>
            <w:fldChar w:fldCharType="separate"/>
          </w:r>
          <w:r>
            <w:rPr>
              <w:rFonts w:ascii="Times New Roman" w:hAnsi="Times New Roman" w:eastAsia="Times New Roman" w:cs="Times New Roman"/>
              <w:spacing w:val="2"/>
              <w:sz w:val="18"/>
              <w:szCs w:val="18"/>
            </w:rPr>
            <w:t>92</w:t>
          </w:r>
          <w:r>
            <w:rPr>
              <w:rFonts w:ascii="Times New Roman" w:hAnsi="Times New Roman" w:eastAsia="Times New Roman" w:cs="Times New Roman"/>
              <w:spacing w:val="2"/>
              <w:sz w:val="18"/>
              <w:szCs w:val="18"/>
            </w:rPr>
            <w:fldChar w:fldCharType="end"/>
          </w:r>
        </w:p>
        <w:p w14:paraId="4BEAFAA6">
          <w:pPr>
            <w:spacing w:before="165" w:line="220" w:lineRule="auto"/>
            <w:rPr>
              <w:rFonts w:ascii="Times New Roman" w:hAnsi="Times New Roman" w:eastAsia="Times New Roman" w:cs="Times New Roman"/>
              <w:sz w:val="18"/>
              <w:szCs w:val="18"/>
            </w:rPr>
          </w:pPr>
          <w:r>
            <w:rPr>
              <w:rFonts w:ascii="宋体" w:hAnsi="宋体" w:eastAsia="宋体" w:cs="宋体"/>
              <w:spacing w:val="5"/>
              <w:sz w:val="18"/>
              <w:szCs w:val="18"/>
            </w:rPr>
            <w:t>免疫程序</w:t>
          </w:r>
          <w:r>
            <w:rPr>
              <w:rFonts w:ascii="宋体" w:hAnsi="宋体" w:eastAsia="宋体" w:cs="宋体"/>
              <w:spacing w:val="84"/>
              <w:sz w:val="18"/>
              <w:szCs w:val="18"/>
            </w:rPr>
            <w:t xml:space="preserve"> </w:t>
          </w:r>
          <w:r>
            <w:rPr>
              <w:rFonts w:ascii="Times New Roman" w:hAnsi="Times New Roman" w:eastAsia="Times New Roman" w:cs="Times New Roman"/>
              <w:sz w:val="18"/>
              <w:szCs w:val="18"/>
            </w:rPr>
            <w:t>immunization</w:t>
          </w:r>
          <w:r>
            <w:rPr>
              <w:rFonts w:ascii="Times New Roman" w:hAnsi="Times New Roman" w:eastAsia="Times New Roman" w:cs="Times New Roman"/>
              <w:spacing w:val="10"/>
              <w:sz w:val="18"/>
              <w:szCs w:val="18"/>
            </w:rPr>
            <w:t xml:space="preserve">   </w:t>
          </w:r>
          <w:r>
            <w:rPr>
              <w:rFonts w:ascii="Times New Roman" w:hAnsi="Times New Roman" w:eastAsia="Times New Roman" w:cs="Times New Roman"/>
              <w:sz w:val="18"/>
              <w:szCs w:val="18"/>
            </w:rPr>
            <w:t>schedule</w:t>
          </w:r>
          <w:r>
            <w:rPr>
              <w:rFonts w:ascii="Times New Roman" w:hAnsi="Times New Roman" w:eastAsia="Times New Roman" w:cs="Times New Roman"/>
              <w:spacing w:val="15"/>
              <w:sz w:val="18"/>
              <w:szCs w:val="18"/>
            </w:rPr>
            <w:t xml:space="preserve">   </w:t>
          </w:r>
          <w:r>
            <w:fldChar w:fldCharType="begin"/>
          </w:r>
          <w:r>
            <w:instrText xml:space="preserve"> HYPERLINK \l "bookmark693" </w:instrText>
          </w:r>
          <w:r>
            <w:fldChar w:fldCharType="separate"/>
          </w:r>
          <w:r>
            <w:rPr>
              <w:rFonts w:ascii="Times New Roman" w:hAnsi="Times New Roman" w:eastAsia="Times New Roman" w:cs="Times New Roman"/>
              <w:spacing w:val="5"/>
              <w:sz w:val="18"/>
              <w:szCs w:val="18"/>
            </w:rPr>
            <w:t>169</w:t>
          </w:r>
          <w:r>
            <w:rPr>
              <w:rFonts w:ascii="Times New Roman" w:hAnsi="Times New Roman" w:eastAsia="Times New Roman" w:cs="Times New Roman"/>
              <w:spacing w:val="5"/>
              <w:sz w:val="18"/>
              <w:szCs w:val="18"/>
            </w:rPr>
            <w:fldChar w:fldCharType="end"/>
          </w:r>
        </w:p>
        <w:p w14:paraId="33ACA3DA">
          <w:pPr>
            <w:spacing w:before="134" w:line="219" w:lineRule="auto"/>
            <w:rPr>
              <w:rFonts w:ascii="Times New Roman" w:hAnsi="Times New Roman" w:eastAsia="Times New Roman" w:cs="Times New Roman"/>
              <w:sz w:val="18"/>
              <w:szCs w:val="18"/>
            </w:rPr>
          </w:pPr>
          <w:r>
            <w:rPr>
              <w:rFonts w:ascii="宋体" w:hAnsi="宋体" w:eastAsia="宋体" w:cs="宋体"/>
              <w:spacing w:val="4"/>
              <w:sz w:val="18"/>
              <w:szCs w:val="18"/>
            </w:rPr>
            <w:t>免疫屏障</w:t>
          </w:r>
          <w:r>
            <w:rPr>
              <w:rFonts w:ascii="宋体" w:hAnsi="宋体" w:eastAsia="宋体" w:cs="宋体"/>
              <w:spacing w:val="83"/>
              <w:sz w:val="18"/>
              <w:szCs w:val="18"/>
            </w:rPr>
            <w:t xml:space="preserve"> </w:t>
          </w:r>
          <w:r>
            <w:rPr>
              <w:rFonts w:ascii="Times New Roman" w:hAnsi="Times New Roman" w:eastAsia="Times New Roman" w:cs="Times New Roman"/>
              <w:sz w:val="18"/>
              <w:szCs w:val="18"/>
            </w:rPr>
            <w:t>immune</w:t>
          </w:r>
          <w:r>
            <w:rPr>
              <w:rFonts w:ascii="Times New Roman" w:hAnsi="Times New Roman" w:eastAsia="Times New Roman" w:cs="Times New Roman"/>
              <w:spacing w:val="4"/>
              <w:sz w:val="18"/>
              <w:szCs w:val="18"/>
            </w:rPr>
            <w:t xml:space="preserve">   </w:t>
          </w:r>
          <w:r>
            <w:rPr>
              <w:rFonts w:ascii="Times New Roman" w:hAnsi="Times New Roman" w:eastAsia="Times New Roman" w:cs="Times New Roman"/>
              <w:sz w:val="18"/>
              <w:szCs w:val="18"/>
            </w:rPr>
            <w:t>barrier</w:t>
          </w:r>
          <w:r>
            <w:rPr>
              <w:rFonts w:ascii="Times New Roman" w:hAnsi="Times New Roman" w:eastAsia="Times New Roman" w:cs="Times New Roman"/>
              <w:spacing w:val="4"/>
              <w:sz w:val="18"/>
              <w:szCs w:val="18"/>
            </w:rPr>
            <w:t xml:space="preserve">    </w:t>
          </w:r>
          <w:r>
            <w:fldChar w:fldCharType="begin"/>
          </w:r>
          <w:r>
            <w:instrText xml:space="preserve"> HYPERLINK \l "bookmark694" </w:instrText>
          </w:r>
          <w:r>
            <w:fldChar w:fldCharType="separate"/>
          </w:r>
          <w:r>
            <w:rPr>
              <w:rFonts w:ascii="Times New Roman" w:hAnsi="Times New Roman" w:eastAsia="Times New Roman" w:cs="Times New Roman"/>
              <w:spacing w:val="4"/>
              <w:sz w:val="18"/>
              <w:szCs w:val="18"/>
            </w:rPr>
            <w:t>162</w:t>
          </w:r>
          <w:r>
            <w:rPr>
              <w:rFonts w:ascii="Times New Roman" w:hAnsi="Times New Roman" w:eastAsia="Times New Roman" w:cs="Times New Roman"/>
              <w:spacing w:val="4"/>
              <w:sz w:val="18"/>
              <w:szCs w:val="18"/>
            </w:rPr>
            <w:fldChar w:fldCharType="end"/>
          </w:r>
        </w:p>
        <w:p w14:paraId="15457396">
          <w:pPr>
            <w:spacing w:before="116" w:line="212" w:lineRule="auto"/>
            <w:rPr>
              <w:rFonts w:ascii="Times New Roman" w:hAnsi="Times New Roman" w:eastAsia="Times New Roman" w:cs="Times New Roman"/>
              <w:sz w:val="18"/>
              <w:szCs w:val="18"/>
            </w:rPr>
          </w:pPr>
          <w:r>
            <w:rPr>
              <w:rFonts w:ascii="宋体" w:hAnsi="宋体" w:eastAsia="宋体" w:cs="宋体"/>
              <w:spacing w:val="5"/>
              <w:sz w:val="18"/>
              <w:szCs w:val="18"/>
            </w:rPr>
            <w:t>免疫原性</w:t>
          </w:r>
          <w:r>
            <w:rPr>
              <w:rFonts w:ascii="宋体" w:hAnsi="宋体" w:eastAsia="宋体" w:cs="宋体"/>
              <w:spacing w:val="88"/>
              <w:sz w:val="18"/>
              <w:szCs w:val="18"/>
            </w:rPr>
            <w:t xml:space="preserve"> </w:t>
          </w:r>
          <w:r>
            <w:rPr>
              <w:rFonts w:ascii="Times New Roman" w:hAnsi="Times New Roman" w:eastAsia="Times New Roman" w:cs="Times New Roman"/>
              <w:sz w:val="18"/>
              <w:szCs w:val="18"/>
            </w:rPr>
            <w:t>immunogenicity</w:t>
          </w:r>
          <w:r>
            <w:rPr>
              <w:rFonts w:ascii="Times New Roman" w:hAnsi="Times New Roman" w:eastAsia="Times New Roman" w:cs="Times New Roman"/>
              <w:spacing w:val="5"/>
              <w:sz w:val="18"/>
              <w:szCs w:val="18"/>
            </w:rPr>
            <w:t xml:space="preserve">     </w:t>
          </w:r>
          <w:r>
            <w:fldChar w:fldCharType="begin"/>
          </w:r>
          <w:r>
            <w:instrText xml:space="preserve"> HYPERLINK \l "bookmark695" </w:instrText>
          </w:r>
          <w:r>
            <w:fldChar w:fldCharType="separate"/>
          </w:r>
          <w:r>
            <w:rPr>
              <w:rFonts w:ascii="Times New Roman" w:hAnsi="Times New Roman" w:eastAsia="Times New Roman" w:cs="Times New Roman"/>
              <w:spacing w:val="5"/>
              <w:sz w:val="18"/>
              <w:szCs w:val="18"/>
            </w:rPr>
            <w:t>156</w:t>
          </w:r>
          <w:r>
            <w:rPr>
              <w:rFonts w:ascii="Times New Roman" w:hAnsi="Times New Roman" w:eastAsia="Times New Roman" w:cs="Times New Roman"/>
              <w:spacing w:val="5"/>
              <w:sz w:val="18"/>
              <w:szCs w:val="18"/>
            </w:rPr>
            <w:fldChar w:fldCharType="end"/>
          </w:r>
        </w:p>
        <w:p w14:paraId="2EC41A68">
          <w:pPr>
            <w:spacing w:before="143" w:line="212" w:lineRule="auto"/>
            <w:rPr>
              <w:rFonts w:ascii="Times New Roman" w:hAnsi="Times New Roman" w:eastAsia="Times New Roman" w:cs="Times New Roman"/>
              <w:sz w:val="18"/>
              <w:szCs w:val="18"/>
            </w:rPr>
          </w:pPr>
          <w:r>
            <w:rPr>
              <w:rFonts w:ascii="宋体" w:hAnsi="宋体" w:eastAsia="宋体" w:cs="宋体"/>
              <w:spacing w:val="6"/>
              <w:sz w:val="18"/>
              <w:szCs w:val="18"/>
            </w:rPr>
            <w:t>描述性研究</w:t>
          </w:r>
          <w:r>
            <w:rPr>
              <w:rFonts w:ascii="宋体" w:hAnsi="宋体" w:eastAsia="宋体" w:cs="宋体"/>
              <w:spacing w:val="2"/>
              <w:sz w:val="18"/>
              <w:szCs w:val="18"/>
            </w:rPr>
            <w:t xml:space="preserve">  </w:t>
          </w:r>
          <w:r>
            <w:rPr>
              <w:rFonts w:ascii="Times New Roman" w:hAnsi="Times New Roman" w:eastAsia="Times New Roman" w:cs="Times New Roman"/>
              <w:sz w:val="18"/>
              <w:szCs w:val="18"/>
            </w:rPr>
            <w:t>descriptive</w:t>
          </w:r>
          <w:r>
            <w:rPr>
              <w:rFonts w:ascii="Times New Roman" w:hAnsi="Times New Roman" w:eastAsia="Times New Roman" w:cs="Times New Roman"/>
              <w:spacing w:val="6"/>
              <w:sz w:val="18"/>
              <w:szCs w:val="18"/>
            </w:rPr>
            <w:t xml:space="preserve">   </w:t>
          </w:r>
          <w:r>
            <w:rPr>
              <w:rFonts w:ascii="Times New Roman" w:hAnsi="Times New Roman" w:eastAsia="Times New Roman" w:cs="Times New Roman"/>
              <w:sz w:val="18"/>
              <w:szCs w:val="18"/>
            </w:rPr>
            <w:t>study</w:t>
          </w:r>
          <w:r>
            <w:rPr>
              <w:rFonts w:ascii="Times New Roman" w:hAnsi="Times New Roman" w:eastAsia="Times New Roman" w:cs="Times New Roman"/>
              <w:spacing w:val="5"/>
              <w:sz w:val="18"/>
              <w:szCs w:val="18"/>
            </w:rPr>
            <w:t xml:space="preserve">   </w:t>
          </w:r>
          <w:r>
            <w:fldChar w:fldCharType="begin"/>
          </w:r>
          <w:r>
            <w:instrText xml:space="preserve"> HYPERLINK \l "bookmark696" </w:instrText>
          </w:r>
          <w:r>
            <w:fldChar w:fldCharType="separate"/>
          </w:r>
          <w:r>
            <w:rPr>
              <w:rFonts w:ascii="Times New Roman" w:hAnsi="Times New Roman" w:eastAsia="Times New Roman" w:cs="Times New Roman"/>
              <w:spacing w:val="6"/>
              <w:sz w:val="18"/>
              <w:szCs w:val="18"/>
            </w:rPr>
            <w:t>30</w:t>
          </w:r>
          <w:r>
            <w:rPr>
              <w:rFonts w:ascii="Times New Roman" w:hAnsi="Times New Roman" w:eastAsia="Times New Roman" w:cs="Times New Roman"/>
              <w:spacing w:val="6"/>
              <w:sz w:val="18"/>
              <w:szCs w:val="18"/>
            </w:rPr>
            <w:fldChar w:fldCharType="end"/>
          </w:r>
        </w:p>
      </w:sdtContent>
    </w:sdt>
    <w:p w14:paraId="4B41ABA3">
      <w:pPr>
        <w:spacing w:before="144" w:line="212" w:lineRule="auto"/>
        <w:rPr>
          <w:rFonts w:ascii="Times New Roman" w:hAnsi="Times New Roman" w:eastAsia="Times New Roman" w:cs="Times New Roman"/>
          <w:sz w:val="18"/>
          <w:szCs w:val="18"/>
        </w:rPr>
      </w:pPr>
      <w:r>
        <w:rPr>
          <w:rFonts w:ascii="宋体" w:hAnsi="宋体" w:eastAsia="宋体" w:cs="宋体"/>
          <w:spacing w:val="4"/>
          <w:sz w:val="18"/>
          <w:szCs w:val="18"/>
        </w:rPr>
        <w:t>敏感性分析</w:t>
      </w:r>
      <w:r>
        <w:rPr>
          <w:rFonts w:ascii="宋体" w:hAnsi="宋体" w:eastAsia="宋体" w:cs="宋体"/>
          <w:spacing w:val="92"/>
          <w:sz w:val="18"/>
          <w:szCs w:val="18"/>
        </w:rPr>
        <w:t xml:space="preserve"> </w:t>
      </w:r>
      <w:r>
        <w:rPr>
          <w:rFonts w:ascii="Times New Roman" w:hAnsi="Times New Roman" w:eastAsia="Times New Roman" w:cs="Times New Roman"/>
          <w:sz w:val="18"/>
          <w:szCs w:val="18"/>
        </w:rPr>
        <w:t>sensitivity</w:t>
      </w:r>
      <w:r>
        <w:rPr>
          <w:rFonts w:ascii="Times New Roman" w:hAnsi="Times New Roman" w:eastAsia="Times New Roman" w:cs="Times New Roman"/>
          <w:spacing w:val="4"/>
          <w:sz w:val="18"/>
          <w:szCs w:val="18"/>
        </w:rPr>
        <w:t xml:space="preserve">   </w:t>
      </w:r>
      <w:r>
        <w:rPr>
          <w:rFonts w:ascii="Times New Roman" w:hAnsi="Times New Roman" w:eastAsia="Times New Roman" w:cs="Times New Roman"/>
          <w:sz w:val="18"/>
          <w:szCs w:val="18"/>
        </w:rPr>
        <w:t>analysis</w:t>
      </w:r>
      <w:r>
        <w:rPr>
          <w:rFonts w:ascii="Times New Roman" w:hAnsi="Times New Roman" w:eastAsia="Times New Roman" w:cs="Times New Roman"/>
          <w:spacing w:val="4"/>
          <w:sz w:val="18"/>
          <w:szCs w:val="18"/>
        </w:rPr>
        <w:t xml:space="preserve">   257</w:t>
      </w:r>
    </w:p>
    <w:p w14:paraId="192075EE">
      <w:pPr>
        <w:spacing w:line="300" w:lineRule="auto"/>
        <w:rPr>
          <w:rFonts w:ascii="Arial"/>
          <w:sz w:val="21"/>
        </w:rPr>
      </w:pPr>
    </w:p>
    <w:p w14:paraId="4C79A6A3">
      <w:pPr>
        <w:spacing w:before="84" w:line="196" w:lineRule="auto"/>
        <w:rPr>
          <w:rFonts w:ascii="Arial" w:hAnsi="Arial" w:eastAsia="Arial" w:cs="Arial"/>
          <w:sz w:val="29"/>
          <w:szCs w:val="29"/>
        </w:rPr>
      </w:pPr>
      <w:r>
        <w:rPr>
          <w:rFonts w:ascii="Arial" w:hAnsi="Arial" w:eastAsia="Arial" w:cs="Arial"/>
          <w:sz w:val="29"/>
          <w:szCs w:val="29"/>
        </w:rPr>
        <w:t>N</w:t>
      </w:r>
    </w:p>
    <w:p w14:paraId="20A1D8AC">
      <w:pPr>
        <w:spacing w:before="215" w:line="212" w:lineRule="auto"/>
        <w:rPr>
          <w:rFonts w:ascii="Times New Roman" w:hAnsi="Times New Roman" w:eastAsia="Times New Roman" w:cs="Times New Roman"/>
          <w:sz w:val="18"/>
          <w:szCs w:val="18"/>
        </w:rPr>
      </w:pPr>
      <w:r>
        <w:rPr>
          <w:rFonts w:ascii="宋体" w:hAnsi="宋体" w:eastAsia="宋体" w:cs="宋体"/>
          <w:spacing w:val="11"/>
          <w:sz w:val="18"/>
          <w:szCs w:val="18"/>
        </w:rPr>
        <w:t>奈曼偏倚</w:t>
      </w:r>
      <w:r>
        <w:rPr>
          <w:rFonts w:ascii="宋体" w:hAnsi="宋体" w:eastAsia="宋体" w:cs="宋体"/>
          <w:spacing w:val="81"/>
          <w:sz w:val="18"/>
          <w:szCs w:val="18"/>
        </w:rPr>
        <w:t xml:space="preserve"> </w:t>
      </w:r>
      <w:r>
        <w:rPr>
          <w:rFonts w:ascii="Times New Roman" w:hAnsi="Times New Roman" w:eastAsia="Times New Roman" w:cs="Times New Roman"/>
          <w:sz w:val="18"/>
          <w:szCs w:val="18"/>
        </w:rPr>
        <w:t>Neyman</w:t>
      </w:r>
      <w:r>
        <w:rPr>
          <w:rFonts w:ascii="Times New Roman" w:hAnsi="Times New Roman" w:eastAsia="Times New Roman" w:cs="Times New Roman"/>
          <w:spacing w:val="19"/>
          <w:sz w:val="18"/>
          <w:szCs w:val="18"/>
        </w:rPr>
        <w:t xml:space="preserve">  </w:t>
      </w:r>
      <w:r>
        <w:rPr>
          <w:rFonts w:ascii="Times New Roman" w:hAnsi="Times New Roman" w:eastAsia="Times New Roman" w:cs="Times New Roman"/>
          <w:sz w:val="18"/>
          <w:szCs w:val="18"/>
        </w:rPr>
        <w:t xml:space="preserve">bias   </w:t>
      </w:r>
      <w:r>
        <w:rPr>
          <w:rFonts w:ascii="Times New Roman" w:hAnsi="Times New Roman" w:eastAsia="Times New Roman" w:cs="Times New Roman"/>
          <w:spacing w:val="11"/>
          <w:sz w:val="18"/>
          <w:szCs w:val="18"/>
        </w:rPr>
        <w:t>79</w:t>
      </w:r>
    </w:p>
    <w:p w14:paraId="25C35FD4">
      <w:pPr>
        <w:spacing w:before="133" w:line="212" w:lineRule="auto"/>
        <w:rPr>
          <w:rFonts w:ascii="Times New Roman" w:hAnsi="Times New Roman" w:eastAsia="Times New Roman" w:cs="Times New Roman"/>
          <w:sz w:val="18"/>
          <w:szCs w:val="18"/>
        </w:rPr>
      </w:pPr>
      <w:r>
        <w:rPr>
          <w:rFonts w:ascii="宋体" w:hAnsi="宋体" w:eastAsia="宋体" w:cs="宋体"/>
          <w:spacing w:val="9"/>
          <w:sz w:val="18"/>
          <w:szCs w:val="18"/>
        </w:rPr>
        <w:t>耐多药结核病</w:t>
      </w:r>
      <w:r>
        <w:rPr>
          <w:rFonts w:ascii="宋体" w:hAnsi="宋体" w:eastAsia="宋体" w:cs="宋体"/>
          <w:spacing w:val="91"/>
          <w:sz w:val="18"/>
          <w:szCs w:val="18"/>
        </w:rPr>
        <w:t xml:space="preserve"> </w:t>
      </w:r>
      <w:r>
        <w:rPr>
          <w:rFonts w:ascii="Times New Roman" w:hAnsi="Times New Roman" w:eastAsia="Times New Roman" w:cs="Times New Roman"/>
          <w:sz w:val="18"/>
          <w:szCs w:val="18"/>
        </w:rPr>
        <w:t>multidrug</w:t>
      </w:r>
      <w:r>
        <w:rPr>
          <w:rFonts w:ascii="Times New Roman" w:hAnsi="Times New Roman" w:eastAsia="Times New Roman" w:cs="Times New Roman"/>
          <w:spacing w:val="9"/>
          <w:sz w:val="18"/>
          <w:szCs w:val="18"/>
        </w:rPr>
        <w:t>-</w:t>
      </w:r>
      <w:r>
        <w:rPr>
          <w:rFonts w:ascii="Times New Roman" w:hAnsi="Times New Roman" w:eastAsia="Times New Roman" w:cs="Times New Roman"/>
          <w:sz w:val="18"/>
          <w:szCs w:val="18"/>
        </w:rPr>
        <w:t>resistant</w:t>
      </w:r>
      <w:r>
        <w:rPr>
          <w:rFonts w:ascii="Times New Roman" w:hAnsi="Times New Roman" w:eastAsia="Times New Roman" w:cs="Times New Roman"/>
          <w:spacing w:val="9"/>
          <w:sz w:val="18"/>
          <w:szCs w:val="18"/>
        </w:rPr>
        <w:t xml:space="preserve">   </w:t>
      </w:r>
      <w:r>
        <w:rPr>
          <w:rFonts w:ascii="Times New Roman" w:hAnsi="Times New Roman" w:eastAsia="Times New Roman" w:cs="Times New Roman"/>
          <w:sz w:val="18"/>
          <w:szCs w:val="18"/>
        </w:rPr>
        <w:t>tuberculosis</w:t>
      </w:r>
      <w:r>
        <w:rPr>
          <w:rFonts w:ascii="Times New Roman" w:hAnsi="Times New Roman" w:eastAsia="Times New Roman" w:cs="Times New Roman"/>
          <w:spacing w:val="9"/>
          <w:sz w:val="18"/>
          <w:szCs w:val="18"/>
        </w:rPr>
        <w:t>,</w:t>
      </w:r>
      <w:r>
        <w:rPr>
          <w:rFonts w:ascii="Times New Roman" w:hAnsi="Times New Roman" w:eastAsia="Times New Roman" w:cs="Times New Roman"/>
          <w:sz w:val="18"/>
          <w:szCs w:val="18"/>
        </w:rPr>
        <w:t>MDR</w:t>
      </w:r>
      <w:r>
        <w:rPr>
          <w:rFonts w:ascii="Times New Roman" w:hAnsi="Times New Roman" w:eastAsia="Times New Roman" w:cs="Times New Roman"/>
          <w:spacing w:val="9"/>
          <w:sz w:val="18"/>
          <w:szCs w:val="18"/>
        </w:rPr>
        <w:t>-</w:t>
      </w:r>
      <w:r>
        <w:rPr>
          <w:rFonts w:ascii="Times New Roman" w:hAnsi="Times New Roman" w:eastAsia="Times New Roman" w:cs="Times New Roman"/>
          <w:sz w:val="18"/>
          <w:szCs w:val="18"/>
        </w:rPr>
        <w:t>TB</w:t>
      </w:r>
    </w:p>
    <w:p w14:paraId="5ADE2B91">
      <w:pPr>
        <w:spacing w:before="161" w:line="188" w:lineRule="auto"/>
        <w:ind w:left="240"/>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285</w:t>
      </w:r>
    </w:p>
    <w:p w14:paraId="4EB61550">
      <w:pPr>
        <w:spacing w:before="150" w:line="212" w:lineRule="auto"/>
        <w:rPr>
          <w:rFonts w:ascii="Times New Roman" w:hAnsi="Times New Roman" w:eastAsia="Times New Roman" w:cs="Times New Roman"/>
          <w:sz w:val="18"/>
          <w:szCs w:val="18"/>
        </w:rPr>
      </w:pPr>
      <w:r>
        <w:rPr>
          <w:rFonts w:ascii="宋体" w:hAnsi="宋体" w:eastAsia="宋体" w:cs="宋体"/>
          <w:spacing w:val="5"/>
          <w:sz w:val="18"/>
          <w:szCs w:val="18"/>
        </w:rPr>
        <w:t>耐药结核病</w:t>
      </w:r>
      <w:r>
        <w:rPr>
          <w:rFonts w:ascii="宋体" w:hAnsi="宋体" w:eastAsia="宋体" w:cs="宋体"/>
          <w:spacing w:val="87"/>
          <w:sz w:val="18"/>
          <w:szCs w:val="18"/>
        </w:rPr>
        <w:t xml:space="preserve"> </w:t>
      </w:r>
      <w:r>
        <w:rPr>
          <w:rFonts w:ascii="Times New Roman" w:hAnsi="Times New Roman" w:eastAsia="Times New Roman" w:cs="Times New Roman"/>
          <w:sz w:val="18"/>
          <w:szCs w:val="18"/>
        </w:rPr>
        <w:t>drug</w:t>
      </w:r>
      <w:r>
        <w:rPr>
          <w:rFonts w:ascii="Times New Roman" w:hAnsi="Times New Roman" w:eastAsia="Times New Roman" w:cs="Times New Roman"/>
          <w:spacing w:val="5"/>
          <w:sz w:val="18"/>
          <w:szCs w:val="18"/>
        </w:rPr>
        <w:t>-</w:t>
      </w:r>
      <w:r>
        <w:rPr>
          <w:rFonts w:ascii="Times New Roman" w:hAnsi="Times New Roman" w:eastAsia="Times New Roman" w:cs="Times New Roman"/>
          <w:sz w:val="18"/>
          <w:szCs w:val="18"/>
        </w:rPr>
        <w:t>resistant</w:t>
      </w:r>
      <w:r>
        <w:rPr>
          <w:rFonts w:ascii="Times New Roman" w:hAnsi="Times New Roman" w:eastAsia="Times New Roman" w:cs="Times New Roman"/>
          <w:spacing w:val="5"/>
          <w:sz w:val="18"/>
          <w:szCs w:val="18"/>
        </w:rPr>
        <w:t xml:space="preserve">   </w:t>
      </w:r>
      <w:r>
        <w:rPr>
          <w:rFonts w:ascii="Times New Roman" w:hAnsi="Times New Roman" w:eastAsia="Times New Roman" w:cs="Times New Roman"/>
          <w:sz w:val="18"/>
          <w:szCs w:val="18"/>
        </w:rPr>
        <w:t>tuberculosis</w:t>
      </w:r>
      <w:r>
        <w:rPr>
          <w:rFonts w:ascii="Times New Roman" w:hAnsi="Times New Roman" w:eastAsia="Times New Roman" w:cs="Times New Roman"/>
          <w:spacing w:val="5"/>
          <w:sz w:val="18"/>
          <w:szCs w:val="18"/>
        </w:rPr>
        <w:t xml:space="preserve">   285</w:t>
      </w:r>
    </w:p>
    <w:p w14:paraId="49C6FA07">
      <w:pPr>
        <w:spacing w:before="153" w:line="219" w:lineRule="auto"/>
        <w:rPr>
          <w:rFonts w:ascii="Times New Roman" w:hAnsi="Times New Roman" w:eastAsia="Times New Roman" w:cs="Times New Roman"/>
          <w:sz w:val="18"/>
          <w:szCs w:val="18"/>
        </w:rPr>
      </w:pPr>
      <w:r>
        <w:rPr>
          <w:rFonts w:ascii="宋体" w:hAnsi="宋体" w:eastAsia="宋体" w:cs="宋体"/>
          <w:spacing w:val="4"/>
          <w:sz w:val="18"/>
          <w:szCs w:val="18"/>
        </w:rPr>
        <w:t>内暴露剂量</w:t>
      </w:r>
      <w:r>
        <w:rPr>
          <w:rFonts w:ascii="宋体" w:hAnsi="宋体" w:eastAsia="宋体" w:cs="宋体"/>
          <w:spacing w:val="81"/>
          <w:sz w:val="18"/>
          <w:szCs w:val="18"/>
        </w:rPr>
        <w:t xml:space="preserve"> </w:t>
      </w:r>
      <w:r>
        <w:rPr>
          <w:rFonts w:ascii="Times New Roman" w:hAnsi="Times New Roman" w:eastAsia="Times New Roman" w:cs="Times New Roman"/>
          <w:sz w:val="18"/>
          <w:szCs w:val="18"/>
        </w:rPr>
        <w:t>internal</w:t>
      </w:r>
      <w:r>
        <w:rPr>
          <w:rFonts w:ascii="Times New Roman" w:hAnsi="Times New Roman" w:eastAsia="Times New Roman" w:cs="Times New Roman"/>
          <w:spacing w:val="4"/>
          <w:sz w:val="18"/>
          <w:szCs w:val="18"/>
        </w:rPr>
        <w:t xml:space="preserve">   </w:t>
      </w:r>
      <w:r>
        <w:rPr>
          <w:rFonts w:ascii="Times New Roman" w:hAnsi="Times New Roman" w:eastAsia="Times New Roman" w:cs="Times New Roman"/>
          <w:sz w:val="18"/>
          <w:szCs w:val="18"/>
        </w:rPr>
        <w:t>dose</w:t>
      </w:r>
      <w:r>
        <w:rPr>
          <w:rFonts w:ascii="Times New Roman" w:hAnsi="Times New Roman" w:eastAsia="Times New Roman" w:cs="Times New Roman"/>
          <w:spacing w:val="4"/>
          <w:sz w:val="18"/>
          <w:szCs w:val="18"/>
        </w:rPr>
        <w:t xml:space="preserve">   236</w:t>
      </w:r>
    </w:p>
    <w:p w14:paraId="7D89428D">
      <w:pPr>
        <w:spacing w:before="107" w:line="212" w:lineRule="auto"/>
        <w:rPr>
          <w:rFonts w:ascii="Times New Roman" w:hAnsi="Times New Roman" w:eastAsia="Times New Roman" w:cs="Times New Roman"/>
          <w:sz w:val="18"/>
          <w:szCs w:val="18"/>
        </w:rPr>
      </w:pPr>
      <w:r>
        <w:rPr>
          <w:rFonts w:ascii="宋体" w:hAnsi="宋体" w:eastAsia="宋体" w:cs="宋体"/>
          <w:spacing w:val="5"/>
          <w:sz w:val="18"/>
          <w:szCs w:val="18"/>
        </w:rPr>
        <w:t>内部真实性</w:t>
      </w:r>
      <w:r>
        <w:rPr>
          <w:rFonts w:ascii="宋体" w:hAnsi="宋体" w:eastAsia="宋体" w:cs="宋体"/>
          <w:spacing w:val="73"/>
          <w:sz w:val="18"/>
          <w:szCs w:val="18"/>
        </w:rPr>
        <w:t xml:space="preserve"> </w:t>
      </w:r>
      <w:r>
        <w:rPr>
          <w:rFonts w:ascii="Times New Roman" w:hAnsi="Times New Roman" w:eastAsia="Times New Roman" w:cs="Times New Roman"/>
          <w:sz w:val="18"/>
          <w:szCs w:val="18"/>
        </w:rPr>
        <w:t>internal</w:t>
      </w:r>
      <w:r>
        <w:rPr>
          <w:rFonts w:ascii="Times New Roman" w:hAnsi="Times New Roman" w:eastAsia="Times New Roman" w:cs="Times New Roman"/>
          <w:spacing w:val="5"/>
          <w:sz w:val="18"/>
          <w:szCs w:val="18"/>
        </w:rPr>
        <w:t xml:space="preserve">   </w:t>
      </w:r>
      <w:r>
        <w:rPr>
          <w:rFonts w:ascii="Times New Roman" w:hAnsi="Times New Roman" w:eastAsia="Times New Roman" w:cs="Times New Roman"/>
          <w:sz w:val="18"/>
          <w:szCs w:val="18"/>
        </w:rPr>
        <w:t>validity</w:t>
      </w:r>
      <w:r>
        <w:rPr>
          <w:rFonts w:ascii="Times New Roman" w:hAnsi="Times New Roman" w:eastAsia="Times New Roman" w:cs="Times New Roman"/>
          <w:spacing w:val="10"/>
          <w:sz w:val="18"/>
          <w:szCs w:val="18"/>
        </w:rPr>
        <w:t xml:space="preserve">   </w:t>
      </w:r>
      <w:r>
        <w:rPr>
          <w:rFonts w:ascii="Times New Roman" w:hAnsi="Times New Roman" w:eastAsia="Times New Roman" w:cs="Times New Roman"/>
          <w:spacing w:val="5"/>
          <w:sz w:val="18"/>
          <w:szCs w:val="18"/>
        </w:rPr>
        <w:t>131</w:t>
      </w:r>
    </w:p>
    <w:p w14:paraId="4B9EAD1A">
      <w:pPr>
        <w:spacing w:before="154" w:line="219" w:lineRule="auto"/>
        <w:rPr>
          <w:rFonts w:ascii="Times New Roman" w:hAnsi="Times New Roman" w:eastAsia="Times New Roman" w:cs="Times New Roman"/>
          <w:sz w:val="18"/>
          <w:szCs w:val="18"/>
        </w:rPr>
      </w:pPr>
      <w:r>
        <w:rPr>
          <w:rFonts w:ascii="宋体" w:hAnsi="宋体" w:eastAsia="宋体" w:cs="宋体"/>
          <w:spacing w:val="-4"/>
          <w:sz w:val="18"/>
          <w:szCs w:val="18"/>
        </w:rPr>
        <w:t>内</w:t>
      </w:r>
      <w:r>
        <w:rPr>
          <w:rFonts w:ascii="宋体" w:hAnsi="宋体" w:eastAsia="宋体" w:cs="宋体"/>
          <w:spacing w:val="-28"/>
          <w:sz w:val="18"/>
          <w:szCs w:val="18"/>
        </w:rPr>
        <w:t xml:space="preserve"> </w:t>
      </w:r>
      <w:r>
        <w:rPr>
          <w:rFonts w:ascii="宋体" w:hAnsi="宋体" w:eastAsia="宋体" w:cs="宋体"/>
          <w:spacing w:val="-4"/>
          <w:sz w:val="18"/>
          <w:szCs w:val="18"/>
        </w:rPr>
        <w:t>对</w:t>
      </w:r>
      <w:r>
        <w:rPr>
          <w:rFonts w:ascii="宋体" w:hAnsi="宋体" w:eastAsia="宋体" w:cs="宋体"/>
          <w:spacing w:val="-36"/>
          <w:sz w:val="18"/>
          <w:szCs w:val="18"/>
        </w:rPr>
        <w:t xml:space="preserve"> </w:t>
      </w:r>
      <w:r>
        <w:rPr>
          <w:rFonts w:ascii="宋体" w:hAnsi="宋体" w:eastAsia="宋体" w:cs="宋体"/>
          <w:spacing w:val="-4"/>
          <w:sz w:val="18"/>
          <w:szCs w:val="18"/>
        </w:rPr>
        <w:t>照</w:t>
      </w:r>
      <w:r>
        <w:rPr>
          <w:rFonts w:ascii="宋体" w:hAnsi="宋体" w:eastAsia="宋体" w:cs="宋体"/>
          <w:spacing w:val="56"/>
          <w:sz w:val="18"/>
          <w:szCs w:val="18"/>
        </w:rPr>
        <w:t xml:space="preserve"> </w:t>
      </w:r>
      <w:r>
        <w:rPr>
          <w:rFonts w:ascii="Times New Roman" w:hAnsi="Times New Roman" w:eastAsia="Times New Roman" w:cs="Times New Roman"/>
          <w:spacing w:val="-4"/>
          <w:sz w:val="18"/>
          <w:szCs w:val="18"/>
        </w:rPr>
        <w:t>internal</w:t>
      </w:r>
      <w:r>
        <w:rPr>
          <w:rFonts w:ascii="Times New Roman" w:hAnsi="Times New Roman" w:eastAsia="Times New Roman" w:cs="Times New Roman"/>
          <w:spacing w:val="4"/>
          <w:sz w:val="18"/>
          <w:szCs w:val="18"/>
        </w:rPr>
        <w:t xml:space="preserve">   </w:t>
      </w:r>
      <w:r>
        <w:rPr>
          <w:rFonts w:ascii="Times New Roman" w:hAnsi="Times New Roman" w:eastAsia="Times New Roman" w:cs="Times New Roman"/>
          <w:spacing w:val="-4"/>
          <w:sz w:val="18"/>
          <w:szCs w:val="18"/>
        </w:rPr>
        <w:t>control</w:t>
      </w:r>
      <w:r>
        <w:rPr>
          <w:rFonts w:ascii="Times New Roman" w:hAnsi="Times New Roman" w:eastAsia="Times New Roman" w:cs="Times New Roman"/>
          <w:spacing w:val="5"/>
          <w:sz w:val="18"/>
          <w:szCs w:val="18"/>
        </w:rPr>
        <w:t xml:space="preserve">   </w:t>
      </w:r>
      <w:r>
        <w:rPr>
          <w:rFonts w:ascii="Times New Roman" w:hAnsi="Times New Roman" w:eastAsia="Times New Roman" w:cs="Times New Roman"/>
          <w:spacing w:val="-4"/>
          <w:sz w:val="18"/>
          <w:szCs w:val="18"/>
        </w:rPr>
        <w:t>52</w:t>
      </w:r>
    </w:p>
    <w:p w14:paraId="24637441">
      <w:pPr>
        <w:spacing w:before="106" w:line="212" w:lineRule="auto"/>
        <w:rPr>
          <w:rFonts w:ascii="Times New Roman" w:hAnsi="Times New Roman" w:eastAsia="Times New Roman" w:cs="Times New Roman"/>
          <w:sz w:val="18"/>
          <w:szCs w:val="18"/>
        </w:rPr>
      </w:pPr>
      <w:r>
        <w:rPr>
          <w:rFonts w:ascii="宋体" w:hAnsi="宋体" w:eastAsia="宋体" w:cs="宋体"/>
          <w:spacing w:val="4"/>
          <w:sz w:val="18"/>
          <w:szCs w:val="18"/>
        </w:rPr>
        <w:t>内源性感染</w:t>
      </w:r>
      <w:r>
        <w:rPr>
          <w:rFonts w:ascii="宋体" w:hAnsi="宋体" w:eastAsia="宋体" w:cs="宋体"/>
          <w:spacing w:val="80"/>
          <w:sz w:val="18"/>
          <w:szCs w:val="18"/>
        </w:rPr>
        <w:t xml:space="preserve"> </w:t>
      </w:r>
      <w:r>
        <w:rPr>
          <w:rFonts w:ascii="Times New Roman" w:hAnsi="Times New Roman" w:eastAsia="Times New Roman" w:cs="Times New Roman"/>
          <w:sz w:val="18"/>
          <w:szCs w:val="18"/>
        </w:rPr>
        <w:t>endogenous</w:t>
      </w:r>
      <w:r>
        <w:rPr>
          <w:rFonts w:ascii="Times New Roman" w:hAnsi="Times New Roman" w:eastAsia="Times New Roman" w:cs="Times New Roman"/>
          <w:spacing w:val="21"/>
          <w:sz w:val="18"/>
          <w:szCs w:val="18"/>
        </w:rPr>
        <w:t xml:space="preserve">  </w:t>
      </w:r>
      <w:r>
        <w:rPr>
          <w:rFonts w:ascii="Times New Roman" w:hAnsi="Times New Roman" w:eastAsia="Times New Roman" w:cs="Times New Roman"/>
          <w:sz w:val="18"/>
          <w:szCs w:val="18"/>
        </w:rPr>
        <w:t>infection</w:t>
      </w:r>
      <w:r>
        <w:rPr>
          <w:rFonts w:ascii="Times New Roman" w:hAnsi="Times New Roman" w:eastAsia="Times New Roman" w:cs="Times New Roman"/>
          <w:spacing w:val="4"/>
          <w:sz w:val="18"/>
          <w:szCs w:val="18"/>
        </w:rPr>
        <w:t xml:space="preserve">   173</w:t>
      </w:r>
    </w:p>
    <w:p w14:paraId="7D01FC2B">
      <w:pPr>
        <w:spacing w:line="270" w:lineRule="auto"/>
        <w:rPr>
          <w:rFonts w:ascii="Arial"/>
          <w:sz w:val="21"/>
        </w:rPr>
      </w:pPr>
    </w:p>
    <w:p w14:paraId="01D281E4">
      <w:pPr>
        <w:spacing w:before="84" w:line="196" w:lineRule="auto"/>
        <w:rPr>
          <w:rFonts w:ascii="Arial" w:hAnsi="Arial" w:eastAsia="Arial" w:cs="Arial"/>
          <w:sz w:val="29"/>
          <w:szCs w:val="29"/>
        </w:rPr>
      </w:pPr>
      <w:r>
        <w:rPr>
          <w:rFonts w:ascii="Arial" w:hAnsi="Arial" w:eastAsia="Arial" w:cs="Arial"/>
          <w:sz w:val="29"/>
          <w:szCs w:val="29"/>
        </w:rPr>
        <w:t>P</w:t>
      </w:r>
    </w:p>
    <w:p w14:paraId="191F0F42">
      <w:pPr>
        <w:spacing w:before="196" w:line="219" w:lineRule="auto"/>
        <w:rPr>
          <w:rFonts w:ascii="Times New Roman" w:hAnsi="Times New Roman" w:eastAsia="Times New Roman" w:cs="Times New Roman"/>
          <w:sz w:val="18"/>
          <w:szCs w:val="18"/>
        </w:rPr>
      </w:pPr>
      <w:r>
        <w:rPr>
          <w:rFonts w:ascii="宋体" w:hAnsi="宋体" w:eastAsia="宋体" w:cs="宋体"/>
          <w:spacing w:val="2"/>
          <w:sz w:val="18"/>
          <w:szCs w:val="18"/>
        </w:rPr>
        <w:t>排除</w:t>
      </w:r>
      <w:r>
        <w:rPr>
          <w:rFonts w:ascii="宋体" w:hAnsi="宋体" w:eastAsia="宋体" w:cs="宋体"/>
          <w:spacing w:val="84"/>
          <w:sz w:val="18"/>
          <w:szCs w:val="18"/>
        </w:rPr>
        <w:t xml:space="preserve"> </w:t>
      </w:r>
      <w:r>
        <w:rPr>
          <w:rFonts w:ascii="Times New Roman" w:hAnsi="Times New Roman" w:eastAsia="Times New Roman" w:cs="Times New Roman"/>
          <w:sz w:val="18"/>
          <w:szCs w:val="18"/>
        </w:rPr>
        <w:t>exclusion</w:t>
      </w:r>
      <w:r>
        <w:rPr>
          <w:rFonts w:ascii="Times New Roman" w:hAnsi="Times New Roman" w:eastAsia="Times New Roman" w:cs="Times New Roman"/>
          <w:spacing w:val="2"/>
          <w:sz w:val="18"/>
          <w:szCs w:val="18"/>
        </w:rPr>
        <w:t xml:space="preserve">     93</w:t>
      </w:r>
    </w:p>
    <w:p w14:paraId="392831D6">
      <w:pPr>
        <w:spacing w:before="106" w:line="212" w:lineRule="auto"/>
        <w:rPr>
          <w:rFonts w:ascii="Times New Roman" w:hAnsi="Times New Roman" w:eastAsia="Times New Roman" w:cs="Times New Roman"/>
          <w:sz w:val="18"/>
          <w:szCs w:val="18"/>
        </w:rPr>
      </w:pPr>
      <w:r>
        <w:rPr>
          <w:rFonts w:ascii="宋体" w:hAnsi="宋体" w:eastAsia="宋体" w:cs="宋体"/>
          <w:spacing w:val="4"/>
          <w:sz w:val="18"/>
          <w:szCs w:val="18"/>
        </w:rPr>
        <w:t>配对</w:t>
      </w:r>
      <w:r>
        <w:rPr>
          <w:rFonts w:ascii="宋体" w:hAnsi="宋体" w:eastAsia="宋体" w:cs="宋体"/>
          <w:spacing w:val="82"/>
          <w:sz w:val="18"/>
          <w:szCs w:val="18"/>
        </w:rPr>
        <w:t xml:space="preserve"> </w:t>
      </w:r>
      <w:r>
        <w:rPr>
          <w:rFonts w:ascii="Times New Roman" w:hAnsi="Times New Roman" w:eastAsia="Times New Roman" w:cs="Times New Roman"/>
          <w:sz w:val="18"/>
          <w:szCs w:val="18"/>
        </w:rPr>
        <w:t>pair</w:t>
      </w:r>
      <w:r>
        <w:rPr>
          <w:rFonts w:ascii="Times New Roman" w:hAnsi="Times New Roman" w:eastAsia="Times New Roman" w:cs="Times New Roman"/>
          <w:spacing w:val="22"/>
          <w:w w:val="101"/>
          <w:sz w:val="18"/>
          <w:szCs w:val="18"/>
        </w:rPr>
        <w:t xml:space="preserve">  </w:t>
      </w:r>
      <w:r>
        <w:rPr>
          <w:rFonts w:ascii="Times New Roman" w:hAnsi="Times New Roman" w:eastAsia="Times New Roman" w:cs="Times New Roman"/>
          <w:sz w:val="18"/>
          <w:szCs w:val="18"/>
        </w:rPr>
        <w:t>matching</w:t>
      </w:r>
      <w:r>
        <w:rPr>
          <w:rFonts w:ascii="Times New Roman" w:hAnsi="Times New Roman" w:eastAsia="Times New Roman" w:cs="Times New Roman"/>
          <w:spacing w:val="4"/>
          <w:sz w:val="18"/>
          <w:szCs w:val="18"/>
        </w:rPr>
        <w:t xml:space="preserve">   66</w:t>
      </w:r>
    </w:p>
    <w:sdt>
      <w:sdtPr>
        <w:rPr>
          <w:rFonts w:ascii="宋体" w:hAnsi="宋体" w:eastAsia="宋体" w:cs="宋体"/>
          <w:sz w:val="18"/>
          <w:szCs w:val="18"/>
        </w:rPr>
        <w:id w:val="529011967"/>
        <w:docPartObj>
          <w:docPartGallery w:val="Table of Contents"/>
          <w:docPartUnique/>
        </w:docPartObj>
      </w:sdtPr>
      <w:sdtEndPr>
        <w:rPr>
          <w:rFonts w:ascii="Times New Roman" w:hAnsi="Times New Roman" w:eastAsia="Times New Roman" w:cs="Times New Roman"/>
          <w:sz w:val="18"/>
          <w:szCs w:val="18"/>
        </w:rPr>
      </w:sdtEndPr>
      <w:sdtContent>
        <w:p w14:paraId="5D3D5BBE">
          <w:pPr>
            <w:spacing w:before="133" w:line="212" w:lineRule="auto"/>
            <w:rPr>
              <w:rFonts w:ascii="Times New Roman" w:hAnsi="Times New Roman" w:eastAsia="Times New Roman" w:cs="Times New Roman"/>
              <w:sz w:val="18"/>
              <w:szCs w:val="18"/>
            </w:rPr>
          </w:pPr>
          <w:r>
            <w:rPr>
              <w:rFonts w:ascii="宋体" w:hAnsi="宋体" w:eastAsia="宋体" w:cs="宋体"/>
              <w:spacing w:val="-2"/>
              <w:sz w:val="18"/>
              <w:szCs w:val="18"/>
            </w:rPr>
            <w:t>匹</w:t>
          </w:r>
          <w:r>
            <w:rPr>
              <w:rFonts w:ascii="宋体" w:hAnsi="宋体" w:eastAsia="宋体" w:cs="宋体"/>
              <w:spacing w:val="-29"/>
              <w:sz w:val="18"/>
              <w:szCs w:val="18"/>
            </w:rPr>
            <w:t xml:space="preserve"> </w:t>
          </w:r>
          <w:r>
            <w:rPr>
              <w:rFonts w:ascii="宋体" w:hAnsi="宋体" w:eastAsia="宋体" w:cs="宋体"/>
              <w:spacing w:val="-2"/>
              <w:sz w:val="18"/>
              <w:szCs w:val="18"/>
            </w:rPr>
            <w:t>配</w:t>
          </w:r>
          <w:r>
            <w:rPr>
              <w:rFonts w:ascii="宋体" w:hAnsi="宋体" w:eastAsia="宋体" w:cs="宋体"/>
              <w:spacing w:val="63"/>
              <w:sz w:val="18"/>
              <w:szCs w:val="18"/>
            </w:rPr>
            <w:t xml:space="preserve"> </w:t>
          </w:r>
          <w:r>
            <w:rPr>
              <w:rFonts w:ascii="Times New Roman" w:hAnsi="Times New Roman" w:eastAsia="Times New Roman" w:cs="Times New Roman"/>
              <w:spacing w:val="-2"/>
              <w:sz w:val="18"/>
              <w:szCs w:val="18"/>
            </w:rPr>
            <w:t xml:space="preserve">matching     </w:t>
          </w:r>
          <w:r>
            <w:fldChar w:fldCharType="begin"/>
          </w:r>
          <w:r>
            <w:instrText xml:space="preserve"> HYPERLINK \l "bookmark697" </w:instrText>
          </w:r>
          <w:r>
            <w:fldChar w:fldCharType="separate"/>
          </w:r>
          <w:r>
            <w:rPr>
              <w:rFonts w:ascii="Times New Roman" w:hAnsi="Times New Roman" w:eastAsia="Times New Roman" w:cs="Times New Roman"/>
              <w:spacing w:val="-2"/>
              <w:sz w:val="18"/>
              <w:szCs w:val="18"/>
            </w:rPr>
            <w:t>65</w:t>
          </w:r>
          <w:r>
            <w:rPr>
              <w:rFonts w:ascii="Times New Roman" w:hAnsi="Times New Roman" w:eastAsia="Times New Roman" w:cs="Times New Roman"/>
              <w:spacing w:val="-2"/>
              <w:sz w:val="18"/>
              <w:szCs w:val="18"/>
            </w:rPr>
            <w:fldChar w:fldCharType="end"/>
          </w:r>
        </w:p>
        <w:p w14:paraId="139F52DE">
          <w:pPr>
            <w:spacing w:before="133" w:line="212" w:lineRule="auto"/>
            <w:rPr>
              <w:rFonts w:ascii="Times New Roman" w:hAnsi="Times New Roman" w:eastAsia="Times New Roman" w:cs="Times New Roman"/>
              <w:sz w:val="18"/>
              <w:szCs w:val="18"/>
            </w:rPr>
          </w:pPr>
          <w:r>
            <w:rPr>
              <w:rFonts w:ascii="宋体" w:hAnsi="宋体" w:eastAsia="宋体" w:cs="宋体"/>
              <w:spacing w:val="3"/>
              <w:sz w:val="18"/>
              <w:szCs w:val="18"/>
            </w:rPr>
            <w:t>匹配过度</w:t>
          </w:r>
          <w:r>
            <w:rPr>
              <w:rFonts w:ascii="宋体" w:hAnsi="宋体" w:eastAsia="宋体" w:cs="宋体"/>
              <w:spacing w:val="62"/>
              <w:sz w:val="18"/>
              <w:szCs w:val="18"/>
            </w:rPr>
            <w:t xml:space="preserve"> </w:t>
          </w:r>
          <w:r>
            <w:rPr>
              <w:rFonts w:ascii="Times New Roman" w:hAnsi="Times New Roman" w:eastAsia="Times New Roman" w:cs="Times New Roman"/>
              <w:sz w:val="18"/>
              <w:szCs w:val="18"/>
            </w:rPr>
            <w:t>overmatching</w:t>
          </w:r>
          <w:r>
            <w:rPr>
              <w:rFonts w:ascii="Times New Roman" w:hAnsi="Times New Roman" w:eastAsia="Times New Roman" w:cs="Times New Roman"/>
              <w:spacing w:val="3"/>
              <w:sz w:val="18"/>
              <w:szCs w:val="18"/>
            </w:rPr>
            <w:t xml:space="preserve">     </w:t>
          </w:r>
          <w:r>
            <w:fldChar w:fldCharType="begin"/>
          </w:r>
          <w:r>
            <w:instrText xml:space="preserve"> HYPERLINK \l "bookmark698" </w:instrText>
          </w:r>
          <w:r>
            <w:fldChar w:fldCharType="separate"/>
          </w:r>
          <w:r>
            <w:rPr>
              <w:rFonts w:ascii="Times New Roman" w:hAnsi="Times New Roman" w:eastAsia="Times New Roman" w:cs="Times New Roman"/>
              <w:spacing w:val="3"/>
              <w:sz w:val="18"/>
              <w:szCs w:val="18"/>
            </w:rPr>
            <w:t>66</w:t>
          </w:r>
          <w:r>
            <w:rPr>
              <w:rFonts w:ascii="Times New Roman" w:hAnsi="Times New Roman" w:eastAsia="Times New Roman" w:cs="Times New Roman"/>
              <w:spacing w:val="3"/>
              <w:sz w:val="18"/>
              <w:szCs w:val="18"/>
            </w:rPr>
            <w:fldChar w:fldCharType="end"/>
          </w:r>
        </w:p>
        <w:p w14:paraId="16F77C3B">
          <w:pPr>
            <w:spacing w:before="154" w:line="219" w:lineRule="auto"/>
            <w:rPr>
              <w:rFonts w:ascii="Times New Roman" w:hAnsi="Times New Roman" w:eastAsia="Times New Roman" w:cs="Times New Roman"/>
              <w:sz w:val="18"/>
              <w:szCs w:val="18"/>
            </w:rPr>
          </w:pPr>
          <w:r>
            <w:rPr>
              <w:rFonts w:ascii="宋体" w:hAnsi="宋体" w:eastAsia="宋体" w:cs="宋体"/>
              <w:spacing w:val="6"/>
              <w:sz w:val="18"/>
              <w:szCs w:val="18"/>
            </w:rPr>
            <w:t>偏倚</w:t>
          </w:r>
          <w:r>
            <w:rPr>
              <w:rFonts w:ascii="宋体" w:hAnsi="宋体" w:eastAsia="宋体" w:cs="宋体"/>
              <w:spacing w:val="83"/>
              <w:sz w:val="18"/>
              <w:szCs w:val="18"/>
            </w:rPr>
            <w:t xml:space="preserve"> </w:t>
          </w:r>
          <w:r>
            <w:rPr>
              <w:rFonts w:ascii="Times New Roman" w:hAnsi="Times New Roman" w:eastAsia="Times New Roman" w:cs="Times New Roman"/>
              <w:sz w:val="18"/>
              <w:szCs w:val="18"/>
            </w:rPr>
            <w:t>bias</w:t>
          </w:r>
          <w:r>
            <w:rPr>
              <w:rFonts w:ascii="Times New Roman" w:hAnsi="Times New Roman" w:eastAsia="Times New Roman" w:cs="Times New Roman"/>
              <w:spacing w:val="10"/>
              <w:sz w:val="18"/>
              <w:szCs w:val="18"/>
            </w:rPr>
            <w:t xml:space="preserve">    </w:t>
          </w:r>
          <w:r>
            <w:fldChar w:fldCharType="begin"/>
          </w:r>
          <w:r>
            <w:instrText xml:space="preserve"> HYPERLINK \l "bookmark699" </w:instrText>
          </w:r>
          <w:r>
            <w:fldChar w:fldCharType="separate"/>
          </w:r>
          <w:r>
            <w:rPr>
              <w:rFonts w:ascii="Times New Roman" w:hAnsi="Times New Roman" w:eastAsia="Times New Roman" w:cs="Times New Roman"/>
              <w:spacing w:val="6"/>
              <w:sz w:val="18"/>
              <w:szCs w:val="18"/>
            </w:rPr>
            <w:t>42</w:t>
          </w:r>
          <w:r>
            <w:rPr>
              <w:rFonts w:ascii="Times New Roman" w:hAnsi="Times New Roman" w:eastAsia="Times New Roman" w:cs="Times New Roman"/>
              <w:spacing w:val="6"/>
              <w:sz w:val="18"/>
              <w:szCs w:val="18"/>
            </w:rPr>
            <w:fldChar w:fldCharType="end"/>
          </w:r>
        </w:p>
        <w:p w14:paraId="3DB74A87">
          <w:pPr>
            <w:spacing w:before="146" w:line="212" w:lineRule="auto"/>
            <w:rPr>
              <w:rFonts w:ascii="Times New Roman" w:hAnsi="Times New Roman" w:eastAsia="Times New Roman" w:cs="Times New Roman"/>
              <w:sz w:val="18"/>
              <w:szCs w:val="18"/>
            </w:rPr>
          </w:pPr>
          <w:r>
            <w:rPr>
              <w:rFonts w:ascii="宋体" w:hAnsi="宋体" w:eastAsia="宋体" w:cs="宋体"/>
              <w:spacing w:val="2"/>
              <w:sz w:val="18"/>
              <w:szCs w:val="18"/>
            </w:rPr>
            <w:t xml:space="preserve">频数匹配  </w:t>
          </w:r>
          <w:r>
            <w:rPr>
              <w:rFonts w:ascii="Times New Roman" w:hAnsi="Times New Roman" w:eastAsia="Times New Roman" w:cs="Times New Roman"/>
              <w:sz w:val="18"/>
              <w:szCs w:val="18"/>
            </w:rPr>
            <w:t>frequeney</w:t>
          </w:r>
          <w:r>
            <w:rPr>
              <w:rFonts w:ascii="Times New Roman" w:hAnsi="Times New Roman" w:eastAsia="Times New Roman" w:cs="Times New Roman"/>
              <w:spacing w:val="26"/>
              <w:w w:val="101"/>
              <w:sz w:val="18"/>
              <w:szCs w:val="18"/>
            </w:rPr>
            <w:t xml:space="preserve">  </w:t>
          </w:r>
          <w:r>
            <w:rPr>
              <w:rFonts w:ascii="Times New Roman" w:hAnsi="Times New Roman" w:eastAsia="Times New Roman" w:cs="Times New Roman"/>
              <w:sz w:val="18"/>
              <w:szCs w:val="18"/>
            </w:rPr>
            <w:t>matching</w:t>
          </w:r>
          <w:r>
            <w:rPr>
              <w:rFonts w:ascii="Times New Roman" w:hAnsi="Times New Roman" w:eastAsia="Times New Roman" w:cs="Times New Roman"/>
              <w:spacing w:val="2"/>
              <w:sz w:val="18"/>
              <w:szCs w:val="18"/>
            </w:rPr>
            <w:t xml:space="preserve">   </w:t>
          </w:r>
          <w:r>
            <w:fldChar w:fldCharType="begin"/>
          </w:r>
          <w:r>
            <w:instrText xml:space="preserve"> HYPERLINK \l "bookmark700" </w:instrText>
          </w:r>
          <w:r>
            <w:fldChar w:fldCharType="separate"/>
          </w:r>
          <w:r>
            <w:rPr>
              <w:rFonts w:ascii="Times New Roman" w:hAnsi="Times New Roman" w:eastAsia="Times New Roman" w:cs="Times New Roman"/>
              <w:spacing w:val="2"/>
              <w:sz w:val="18"/>
              <w:szCs w:val="18"/>
            </w:rPr>
            <w:t>66</w:t>
          </w:r>
          <w:r>
            <w:rPr>
              <w:rFonts w:ascii="Times New Roman" w:hAnsi="Times New Roman" w:eastAsia="Times New Roman" w:cs="Times New Roman"/>
              <w:spacing w:val="2"/>
              <w:sz w:val="18"/>
              <w:szCs w:val="18"/>
            </w:rPr>
            <w:fldChar w:fldCharType="end"/>
          </w:r>
        </w:p>
        <w:p w14:paraId="5ACF1F5C">
          <w:pPr>
            <w:spacing w:before="154" w:line="187" w:lineRule="auto"/>
            <w:rPr>
              <w:rFonts w:ascii="Times New Roman" w:hAnsi="Times New Roman" w:eastAsia="Times New Roman" w:cs="Times New Roman"/>
              <w:sz w:val="18"/>
              <w:szCs w:val="18"/>
            </w:rPr>
          </w:pPr>
          <w:r>
            <w:rPr>
              <w:rFonts w:ascii="宋体" w:hAnsi="宋体" w:eastAsia="宋体" w:cs="宋体"/>
              <w:spacing w:val="4"/>
              <w:sz w:val="18"/>
              <w:szCs w:val="18"/>
            </w:rPr>
            <w:t>普查</w:t>
          </w:r>
          <w:r>
            <w:rPr>
              <w:rFonts w:ascii="宋体" w:hAnsi="宋体" w:eastAsia="宋体" w:cs="宋体"/>
              <w:spacing w:val="72"/>
              <w:sz w:val="18"/>
              <w:szCs w:val="18"/>
            </w:rPr>
            <w:t xml:space="preserve"> </w:t>
          </w:r>
          <w:r>
            <w:rPr>
              <w:rFonts w:ascii="Times New Roman" w:hAnsi="Times New Roman" w:eastAsia="Times New Roman" w:cs="Times New Roman"/>
              <w:sz w:val="18"/>
              <w:szCs w:val="18"/>
            </w:rPr>
            <w:t xml:space="preserve">census     </w:t>
          </w:r>
          <w:r>
            <w:fldChar w:fldCharType="begin"/>
          </w:r>
          <w:r>
            <w:instrText xml:space="preserve"> HYPERLINK \l "bookmark701" </w:instrText>
          </w:r>
          <w:r>
            <w:fldChar w:fldCharType="separate"/>
          </w:r>
          <w:r>
            <w:rPr>
              <w:rFonts w:ascii="Times New Roman" w:hAnsi="Times New Roman" w:eastAsia="Times New Roman" w:cs="Times New Roman"/>
              <w:spacing w:val="4"/>
              <w:sz w:val="18"/>
              <w:szCs w:val="18"/>
            </w:rPr>
            <w:t>33</w:t>
          </w:r>
          <w:r>
            <w:rPr>
              <w:rFonts w:ascii="Times New Roman" w:hAnsi="Times New Roman" w:eastAsia="Times New Roman" w:cs="Times New Roman"/>
              <w:spacing w:val="4"/>
              <w:sz w:val="18"/>
              <w:szCs w:val="18"/>
            </w:rPr>
            <w:fldChar w:fldCharType="end"/>
          </w:r>
        </w:p>
      </w:sdtContent>
    </w:sdt>
    <w:p w14:paraId="47E98908">
      <w:pPr>
        <w:spacing w:line="14" w:lineRule="auto"/>
        <w:rPr>
          <w:rFonts w:ascii="Arial"/>
          <w:sz w:val="2"/>
        </w:rPr>
      </w:pPr>
      <w:r>
        <w:rPr>
          <w:rFonts w:ascii="Arial" w:hAnsi="Arial" w:eastAsia="Arial" w:cs="Arial"/>
          <w:sz w:val="2"/>
          <w:szCs w:val="2"/>
        </w:rPr>
        <w:br w:type="column"/>
      </w:r>
    </w:p>
    <w:p w14:paraId="253E39B5">
      <w:pPr>
        <w:spacing w:before="136" w:line="199" w:lineRule="auto"/>
        <w:rPr>
          <w:rFonts w:ascii="Arial" w:hAnsi="Arial" w:eastAsia="Arial" w:cs="Arial"/>
          <w:sz w:val="29"/>
          <w:szCs w:val="29"/>
        </w:rPr>
      </w:pPr>
      <w:r>
        <w:rPr>
          <w:rFonts w:ascii="Arial" w:hAnsi="Arial" w:eastAsia="Arial" w:cs="Arial"/>
          <w:sz w:val="29"/>
          <w:szCs w:val="29"/>
        </w:rPr>
        <w:t>Q</w:t>
      </w:r>
    </w:p>
    <w:p w14:paraId="71CB3005">
      <w:pPr>
        <w:spacing w:before="221" w:line="212" w:lineRule="auto"/>
        <w:rPr>
          <w:rFonts w:ascii="Times New Roman" w:hAnsi="Times New Roman" w:eastAsia="Times New Roman" w:cs="Times New Roman"/>
          <w:sz w:val="18"/>
          <w:szCs w:val="18"/>
        </w:rPr>
      </w:pPr>
      <w:r>
        <w:rPr>
          <w:rFonts w:ascii="宋体" w:hAnsi="宋体" w:eastAsia="宋体" w:cs="宋体"/>
          <w:spacing w:val="-1"/>
          <w:sz w:val="18"/>
          <w:szCs w:val="18"/>
        </w:rPr>
        <w:t>齐性检验</w:t>
      </w:r>
      <w:r>
        <w:rPr>
          <w:rFonts w:ascii="宋体" w:hAnsi="宋体" w:eastAsia="宋体" w:cs="宋体"/>
          <w:spacing w:val="29"/>
          <w:sz w:val="18"/>
          <w:szCs w:val="18"/>
        </w:rPr>
        <w:t xml:space="preserve"> </w:t>
      </w:r>
      <w:r>
        <w:rPr>
          <w:rFonts w:ascii="Times New Roman" w:hAnsi="Times New Roman" w:eastAsia="Times New Roman" w:cs="Times New Roman"/>
          <w:spacing w:val="-1"/>
          <w:sz w:val="18"/>
          <w:szCs w:val="18"/>
        </w:rPr>
        <w:t>homogeneity</w:t>
      </w:r>
      <w:r>
        <w:rPr>
          <w:rFonts w:ascii="Times New Roman" w:hAnsi="Times New Roman" w:eastAsia="Times New Roman" w:cs="Times New Roman"/>
          <w:spacing w:val="24"/>
          <w:w w:val="101"/>
          <w:sz w:val="18"/>
          <w:szCs w:val="18"/>
        </w:rPr>
        <w:t xml:space="preserve"> </w:t>
      </w:r>
      <w:r>
        <w:rPr>
          <w:rFonts w:ascii="Times New Roman" w:hAnsi="Times New Roman" w:eastAsia="Times New Roman" w:cs="Times New Roman"/>
          <w:spacing w:val="-1"/>
          <w:sz w:val="18"/>
          <w:szCs w:val="18"/>
        </w:rPr>
        <w:t>lest</w:t>
      </w:r>
      <w:r>
        <w:rPr>
          <w:rFonts w:ascii="Times New Roman" w:hAnsi="Times New Roman" w:eastAsia="Times New Roman" w:cs="Times New Roman"/>
          <w:spacing w:val="25"/>
          <w:sz w:val="18"/>
          <w:szCs w:val="18"/>
        </w:rPr>
        <w:t xml:space="preserve"> </w:t>
      </w:r>
      <w:r>
        <w:rPr>
          <w:rFonts w:ascii="Times New Roman" w:hAnsi="Times New Roman" w:eastAsia="Times New Roman" w:cs="Times New Roman"/>
          <w:spacing w:val="-1"/>
          <w:sz w:val="18"/>
          <w:szCs w:val="18"/>
        </w:rPr>
        <w:t>73</w:t>
      </w:r>
    </w:p>
    <w:p w14:paraId="315DE133">
      <w:pPr>
        <w:spacing w:before="143" w:line="212" w:lineRule="auto"/>
        <w:rPr>
          <w:rFonts w:ascii="Times New Roman" w:hAnsi="Times New Roman" w:eastAsia="Times New Roman" w:cs="Times New Roman"/>
          <w:sz w:val="18"/>
          <w:szCs w:val="18"/>
        </w:rPr>
      </w:pPr>
      <w:r>
        <w:rPr>
          <w:rFonts w:ascii="宋体" w:hAnsi="宋体" w:eastAsia="宋体" w:cs="宋体"/>
          <w:spacing w:val="-3"/>
          <w:sz w:val="18"/>
          <w:szCs w:val="18"/>
        </w:rPr>
        <w:t>前瞻性队列研究</w:t>
      </w:r>
      <w:r>
        <w:rPr>
          <w:rFonts w:ascii="宋体" w:hAnsi="宋体" w:eastAsia="宋体" w:cs="宋体"/>
          <w:spacing w:val="85"/>
          <w:sz w:val="18"/>
          <w:szCs w:val="18"/>
        </w:rPr>
        <w:t xml:space="preserve"> </w:t>
      </w:r>
      <w:r>
        <w:rPr>
          <w:rFonts w:ascii="Times New Roman" w:hAnsi="Times New Roman" w:eastAsia="Times New Roman" w:cs="Times New Roman"/>
          <w:spacing w:val="-3"/>
          <w:sz w:val="18"/>
          <w:szCs w:val="18"/>
        </w:rPr>
        <w:t>prospective</w:t>
      </w:r>
      <w:r>
        <w:rPr>
          <w:rFonts w:ascii="Times New Roman" w:hAnsi="Times New Roman" w:eastAsia="Times New Roman" w:cs="Times New Roman"/>
          <w:spacing w:val="17"/>
          <w:w w:val="101"/>
          <w:sz w:val="18"/>
          <w:szCs w:val="18"/>
        </w:rPr>
        <w:t xml:space="preserve"> </w:t>
      </w:r>
      <w:r>
        <w:rPr>
          <w:rFonts w:ascii="Times New Roman" w:hAnsi="Times New Roman" w:eastAsia="Times New Roman" w:cs="Times New Roman"/>
          <w:spacing w:val="-3"/>
          <w:sz w:val="18"/>
          <w:szCs w:val="18"/>
        </w:rPr>
        <w:t>cohort</w:t>
      </w:r>
      <w:r>
        <w:rPr>
          <w:rFonts w:ascii="Times New Roman" w:hAnsi="Times New Roman" w:eastAsia="Times New Roman" w:cs="Times New Roman"/>
          <w:spacing w:val="19"/>
          <w:w w:val="101"/>
          <w:sz w:val="18"/>
          <w:szCs w:val="18"/>
        </w:rPr>
        <w:t xml:space="preserve"> </w:t>
      </w:r>
      <w:r>
        <w:rPr>
          <w:rFonts w:ascii="Times New Roman" w:hAnsi="Times New Roman" w:eastAsia="Times New Roman" w:cs="Times New Roman"/>
          <w:spacing w:val="-3"/>
          <w:sz w:val="18"/>
          <w:szCs w:val="18"/>
        </w:rPr>
        <w:t>study</w:t>
      </w:r>
      <w:r>
        <w:rPr>
          <w:rFonts w:ascii="Times New Roman" w:hAnsi="Times New Roman" w:eastAsia="Times New Roman" w:cs="Times New Roman"/>
          <w:spacing w:val="14"/>
          <w:w w:val="101"/>
          <w:sz w:val="18"/>
          <w:szCs w:val="18"/>
        </w:rPr>
        <w:t xml:space="preserve"> </w:t>
      </w:r>
      <w:r>
        <w:rPr>
          <w:rFonts w:ascii="Times New Roman" w:hAnsi="Times New Roman" w:eastAsia="Times New Roman" w:cs="Times New Roman"/>
          <w:spacing w:val="-3"/>
          <w:sz w:val="18"/>
          <w:szCs w:val="18"/>
        </w:rPr>
        <w:t>49</w:t>
      </w:r>
    </w:p>
    <w:p w14:paraId="52C7A29F">
      <w:pPr>
        <w:spacing w:before="163" w:line="219" w:lineRule="auto"/>
        <w:rPr>
          <w:rFonts w:ascii="Times New Roman" w:hAnsi="Times New Roman" w:eastAsia="Times New Roman" w:cs="Times New Roman"/>
          <w:sz w:val="18"/>
          <w:szCs w:val="18"/>
        </w:rPr>
      </w:pPr>
      <w:r>
        <w:rPr>
          <w:rFonts w:ascii="宋体" w:hAnsi="宋体" w:eastAsia="宋体" w:cs="宋体"/>
          <w:spacing w:val="-1"/>
          <w:sz w:val="18"/>
          <w:szCs w:val="18"/>
        </w:rPr>
        <w:t>潜伏感染</w:t>
      </w:r>
      <w:r>
        <w:rPr>
          <w:rFonts w:ascii="宋体" w:hAnsi="宋体" w:eastAsia="宋体" w:cs="宋体"/>
          <w:spacing w:val="26"/>
          <w:sz w:val="18"/>
          <w:szCs w:val="18"/>
        </w:rPr>
        <w:t xml:space="preserve"> </w:t>
      </w:r>
      <w:r>
        <w:rPr>
          <w:rFonts w:ascii="Times New Roman" w:hAnsi="Times New Roman" w:eastAsia="Times New Roman" w:cs="Times New Roman"/>
          <w:spacing w:val="-1"/>
          <w:sz w:val="18"/>
          <w:szCs w:val="18"/>
        </w:rPr>
        <w:t>latent</w:t>
      </w:r>
      <w:r>
        <w:rPr>
          <w:rFonts w:ascii="Times New Roman" w:hAnsi="Times New Roman" w:eastAsia="Times New Roman" w:cs="Times New Roman"/>
          <w:spacing w:val="41"/>
          <w:w w:val="101"/>
          <w:sz w:val="18"/>
          <w:szCs w:val="18"/>
        </w:rPr>
        <w:t xml:space="preserve"> </w:t>
      </w:r>
      <w:r>
        <w:rPr>
          <w:rFonts w:ascii="Times New Roman" w:hAnsi="Times New Roman" w:eastAsia="Times New Roman" w:cs="Times New Roman"/>
          <w:spacing w:val="-1"/>
          <w:sz w:val="18"/>
          <w:szCs w:val="18"/>
        </w:rPr>
        <w:t>infection</w:t>
      </w:r>
      <w:r>
        <w:rPr>
          <w:rFonts w:ascii="Times New Roman" w:hAnsi="Times New Roman" w:eastAsia="Times New Roman" w:cs="Times New Roman"/>
          <w:spacing w:val="40"/>
          <w:sz w:val="18"/>
          <w:szCs w:val="18"/>
        </w:rPr>
        <w:t xml:space="preserve"> </w:t>
      </w:r>
      <w:r>
        <w:rPr>
          <w:rFonts w:ascii="Times New Roman" w:hAnsi="Times New Roman" w:eastAsia="Times New Roman" w:cs="Times New Roman"/>
          <w:spacing w:val="-1"/>
          <w:sz w:val="18"/>
          <w:szCs w:val="18"/>
        </w:rPr>
        <w:t>283</w:t>
      </w:r>
    </w:p>
    <w:p w14:paraId="24E6E60F">
      <w:pPr>
        <w:spacing w:before="117" w:line="212" w:lineRule="auto"/>
        <w:rPr>
          <w:rFonts w:ascii="Times New Roman" w:hAnsi="Times New Roman" w:eastAsia="Times New Roman" w:cs="Times New Roman"/>
          <w:sz w:val="18"/>
          <w:szCs w:val="18"/>
        </w:rPr>
      </w:pPr>
      <w:r>
        <w:rPr>
          <w:rFonts w:ascii="宋体" w:hAnsi="宋体" w:eastAsia="宋体" w:cs="宋体"/>
          <w:spacing w:val="-2"/>
          <w:sz w:val="18"/>
          <w:szCs w:val="18"/>
        </w:rPr>
        <w:t>潜伏期</w:t>
      </w:r>
      <w:r>
        <w:rPr>
          <w:rFonts w:ascii="宋体" w:hAnsi="宋体" w:eastAsia="宋体" w:cs="宋体"/>
          <w:spacing w:val="83"/>
          <w:sz w:val="18"/>
          <w:szCs w:val="18"/>
        </w:rPr>
        <w:t xml:space="preserve"> </w:t>
      </w:r>
      <w:r>
        <w:rPr>
          <w:rFonts w:ascii="Times New Roman" w:hAnsi="Times New Roman" w:eastAsia="Times New Roman" w:cs="Times New Roman"/>
          <w:spacing w:val="-2"/>
          <w:sz w:val="18"/>
          <w:szCs w:val="18"/>
        </w:rPr>
        <w:t>incubation</w:t>
      </w:r>
      <w:r>
        <w:rPr>
          <w:rFonts w:ascii="Times New Roman" w:hAnsi="Times New Roman" w:eastAsia="Times New Roman" w:cs="Times New Roman"/>
          <w:spacing w:val="13"/>
          <w:w w:val="101"/>
          <w:sz w:val="18"/>
          <w:szCs w:val="18"/>
        </w:rPr>
        <w:t xml:space="preserve"> </w:t>
      </w:r>
      <w:r>
        <w:rPr>
          <w:rFonts w:ascii="Times New Roman" w:hAnsi="Times New Roman" w:eastAsia="Times New Roman" w:cs="Times New Roman"/>
          <w:spacing w:val="-2"/>
          <w:sz w:val="18"/>
          <w:szCs w:val="18"/>
        </w:rPr>
        <w:t>period</w:t>
      </w:r>
      <w:r>
        <w:rPr>
          <w:rFonts w:ascii="Times New Roman" w:hAnsi="Times New Roman" w:eastAsia="Times New Roman" w:cs="Times New Roman"/>
          <w:spacing w:val="34"/>
          <w:sz w:val="18"/>
          <w:szCs w:val="18"/>
        </w:rPr>
        <w:t xml:space="preserve"> </w:t>
      </w:r>
      <w:r>
        <w:rPr>
          <w:rFonts w:ascii="Times New Roman" w:hAnsi="Times New Roman" w:eastAsia="Times New Roman" w:cs="Times New Roman"/>
          <w:spacing w:val="-2"/>
          <w:sz w:val="18"/>
          <w:szCs w:val="18"/>
        </w:rPr>
        <w:t>158</w:t>
      </w:r>
    </w:p>
    <w:p w14:paraId="4F5178CA">
      <w:pPr>
        <w:spacing w:before="143" w:line="212" w:lineRule="auto"/>
        <w:rPr>
          <w:rFonts w:ascii="Times New Roman" w:hAnsi="Times New Roman" w:eastAsia="Times New Roman" w:cs="Times New Roman"/>
          <w:sz w:val="18"/>
          <w:szCs w:val="18"/>
        </w:rPr>
      </w:pPr>
      <w:r>
        <w:rPr>
          <w:rFonts w:ascii="宋体" w:hAnsi="宋体" w:eastAsia="宋体" w:cs="宋体"/>
          <w:spacing w:val="-2"/>
          <w:sz w:val="18"/>
          <w:szCs w:val="18"/>
        </w:rPr>
        <w:t>潜伏期病原携带者</w:t>
      </w:r>
      <w:r>
        <w:rPr>
          <w:rFonts w:ascii="宋体" w:hAnsi="宋体" w:eastAsia="宋体" w:cs="宋体"/>
          <w:spacing w:val="52"/>
          <w:sz w:val="18"/>
          <w:szCs w:val="18"/>
        </w:rPr>
        <w:t xml:space="preserve"> </w:t>
      </w:r>
      <w:r>
        <w:rPr>
          <w:rFonts w:ascii="Times New Roman" w:hAnsi="Times New Roman" w:eastAsia="Times New Roman" w:cs="Times New Roman"/>
          <w:spacing w:val="-2"/>
          <w:sz w:val="18"/>
          <w:szCs w:val="18"/>
        </w:rPr>
        <w:t xml:space="preserve">incubatory  carrier </w:t>
      </w:r>
      <w:r>
        <w:rPr>
          <w:rFonts w:ascii="Times New Roman" w:hAnsi="Times New Roman" w:eastAsia="Times New Roman" w:cs="Times New Roman"/>
          <w:spacing w:val="-3"/>
          <w:sz w:val="18"/>
          <w:szCs w:val="18"/>
        </w:rPr>
        <w:t xml:space="preserve"> 159</w:t>
      </w:r>
    </w:p>
    <w:p w14:paraId="6F25A91B">
      <w:pPr>
        <w:spacing w:before="143" w:line="212" w:lineRule="auto"/>
        <w:rPr>
          <w:rFonts w:ascii="Times New Roman" w:hAnsi="Times New Roman" w:eastAsia="Times New Roman" w:cs="Times New Roman"/>
          <w:sz w:val="18"/>
          <w:szCs w:val="18"/>
        </w:rPr>
      </w:pPr>
      <w:r>
        <w:rPr>
          <w:rFonts w:ascii="宋体" w:hAnsi="宋体" w:eastAsia="宋体" w:cs="宋体"/>
          <w:spacing w:val="-1"/>
          <w:sz w:val="18"/>
          <w:szCs w:val="18"/>
        </w:rPr>
        <w:t>潜隐期</w:t>
      </w:r>
      <w:r>
        <w:rPr>
          <w:rFonts w:ascii="宋体" w:hAnsi="宋体" w:eastAsia="宋体" w:cs="宋体"/>
          <w:spacing w:val="67"/>
          <w:sz w:val="18"/>
          <w:szCs w:val="18"/>
        </w:rPr>
        <w:t xml:space="preserve"> </w:t>
      </w:r>
      <w:r>
        <w:rPr>
          <w:rFonts w:ascii="Times New Roman" w:hAnsi="Times New Roman" w:eastAsia="Times New Roman" w:cs="Times New Roman"/>
          <w:spacing w:val="-1"/>
          <w:sz w:val="18"/>
          <w:szCs w:val="18"/>
        </w:rPr>
        <w:t>latent</w:t>
      </w:r>
      <w:r>
        <w:rPr>
          <w:rFonts w:ascii="Times New Roman" w:hAnsi="Times New Roman" w:eastAsia="Times New Roman" w:cs="Times New Roman"/>
          <w:spacing w:val="32"/>
          <w:sz w:val="18"/>
          <w:szCs w:val="18"/>
        </w:rPr>
        <w:t xml:space="preserve"> </w:t>
      </w:r>
      <w:r>
        <w:rPr>
          <w:rFonts w:ascii="Times New Roman" w:hAnsi="Times New Roman" w:eastAsia="Times New Roman" w:cs="Times New Roman"/>
          <w:spacing w:val="-1"/>
          <w:sz w:val="18"/>
          <w:szCs w:val="18"/>
        </w:rPr>
        <w:t>period  159</w:t>
      </w:r>
    </w:p>
    <w:p w14:paraId="060E172B">
      <w:pPr>
        <w:spacing w:before="143" w:line="359" w:lineRule="auto"/>
        <w:ind w:right="543"/>
        <w:rPr>
          <w:rFonts w:ascii="Times New Roman" w:hAnsi="Times New Roman" w:eastAsia="Times New Roman" w:cs="Times New Roman"/>
          <w:sz w:val="18"/>
          <w:szCs w:val="18"/>
        </w:rPr>
      </w:pPr>
      <w:r>
        <w:rPr>
          <w:rFonts w:ascii="宋体" w:hAnsi="宋体" w:eastAsia="宋体" w:cs="宋体"/>
          <w:spacing w:val="-1"/>
          <w:sz w:val="18"/>
          <w:szCs w:val="18"/>
        </w:rPr>
        <w:t>潜在减寿年数</w:t>
      </w:r>
      <w:r>
        <w:rPr>
          <w:rFonts w:ascii="宋体" w:hAnsi="宋体" w:eastAsia="宋体" w:cs="宋体"/>
          <w:spacing w:val="57"/>
          <w:sz w:val="18"/>
          <w:szCs w:val="18"/>
        </w:rPr>
        <w:t xml:space="preserve"> </w:t>
      </w:r>
      <w:r>
        <w:rPr>
          <w:rFonts w:ascii="Times New Roman" w:hAnsi="Times New Roman" w:eastAsia="Times New Roman" w:cs="Times New Roman"/>
          <w:spacing w:val="-1"/>
          <w:sz w:val="18"/>
          <w:szCs w:val="18"/>
        </w:rPr>
        <w:t>potential years</w:t>
      </w:r>
      <w:r>
        <w:rPr>
          <w:rFonts w:ascii="Times New Roman" w:hAnsi="Times New Roman" w:eastAsia="Times New Roman" w:cs="Times New Roman"/>
          <w:spacing w:val="13"/>
          <w:sz w:val="18"/>
          <w:szCs w:val="18"/>
        </w:rPr>
        <w:t xml:space="preserve"> </w:t>
      </w:r>
      <w:r>
        <w:rPr>
          <w:rFonts w:ascii="Times New Roman" w:hAnsi="Times New Roman" w:eastAsia="Times New Roman" w:cs="Times New Roman"/>
          <w:spacing w:val="-1"/>
          <w:sz w:val="18"/>
          <w:szCs w:val="18"/>
        </w:rPr>
        <w:t>of life</w:t>
      </w:r>
      <w:r>
        <w:rPr>
          <w:rFonts w:ascii="Times New Roman" w:hAnsi="Times New Roman" w:eastAsia="Times New Roman" w:cs="Times New Roman"/>
          <w:spacing w:val="12"/>
          <w:w w:val="101"/>
          <w:sz w:val="18"/>
          <w:szCs w:val="18"/>
        </w:rPr>
        <w:t xml:space="preserve"> </w:t>
      </w:r>
      <w:r>
        <w:rPr>
          <w:rFonts w:ascii="Times New Roman" w:hAnsi="Times New Roman" w:eastAsia="Times New Roman" w:cs="Times New Roman"/>
          <w:spacing w:val="-1"/>
          <w:sz w:val="18"/>
          <w:szCs w:val="18"/>
        </w:rPr>
        <w:t>lost,PYLL</w:t>
      </w:r>
      <w:r>
        <w:rPr>
          <w:rFonts w:ascii="Times New Roman" w:hAnsi="Times New Roman" w:eastAsia="Times New Roman" w:cs="Times New Roman"/>
          <w:spacing w:val="27"/>
          <w:w w:val="102"/>
          <w:sz w:val="18"/>
          <w:szCs w:val="18"/>
        </w:rPr>
        <w:t xml:space="preserve"> </w:t>
      </w:r>
      <w:r>
        <w:rPr>
          <w:rFonts w:ascii="Times New Roman" w:hAnsi="Times New Roman" w:eastAsia="Times New Roman" w:cs="Times New Roman"/>
          <w:spacing w:val="-1"/>
          <w:sz w:val="18"/>
          <w:szCs w:val="18"/>
        </w:rPr>
        <w:t>15</w:t>
      </w:r>
      <w:r>
        <w:rPr>
          <w:rFonts w:ascii="Times New Roman" w:hAnsi="Times New Roman" w:eastAsia="Times New Roman" w:cs="Times New Roman"/>
          <w:sz w:val="18"/>
          <w:szCs w:val="18"/>
        </w:rPr>
        <w:t xml:space="preserve"> </w:t>
      </w:r>
      <w:r>
        <w:rPr>
          <w:rFonts w:ascii="宋体" w:hAnsi="宋体" w:eastAsia="宋体" w:cs="宋体"/>
          <w:spacing w:val="-2"/>
          <w:sz w:val="18"/>
          <w:szCs w:val="18"/>
        </w:rPr>
        <w:t>禽流感</w:t>
      </w:r>
      <w:r>
        <w:rPr>
          <w:rFonts w:ascii="宋体" w:hAnsi="宋体" w:eastAsia="宋体" w:cs="宋体"/>
          <w:spacing w:val="91"/>
          <w:sz w:val="18"/>
          <w:szCs w:val="18"/>
        </w:rPr>
        <w:t xml:space="preserve"> </w:t>
      </w:r>
      <w:r>
        <w:rPr>
          <w:rFonts w:ascii="Times New Roman" w:hAnsi="Times New Roman" w:eastAsia="Times New Roman" w:cs="Times New Roman"/>
          <w:spacing w:val="-2"/>
          <w:sz w:val="18"/>
          <w:szCs w:val="18"/>
        </w:rPr>
        <w:t>avian</w:t>
      </w:r>
      <w:r>
        <w:rPr>
          <w:rFonts w:ascii="Times New Roman" w:hAnsi="Times New Roman" w:eastAsia="Times New Roman" w:cs="Times New Roman"/>
          <w:spacing w:val="28"/>
          <w:sz w:val="18"/>
          <w:szCs w:val="18"/>
        </w:rPr>
        <w:t xml:space="preserve"> </w:t>
      </w:r>
      <w:r>
        <w:rPr>
          <w:rFonts w:ascii="Times New Roman" w:hAnsi="Times New Roman" w:eastAsia="Times New Roman" w:cs="Times New Roman"/>
          <w:spacing w:val="-2"/>
          <w:sz w:val="18"/>
          <w:szCs w:val="18"/>
        </w:rPr>
        <w:t>influenza</w:t>
      </w:r>
      <w:r>
        <w:rPr>
          <w:rFonts w:ascii="Times New Roman" w:hAnsi="Times New Roman" w:eastAsia="Times New Roman" w:cs="Times New Roman"/>
          <w:spacing w:val="30"/>
          <w:w w:val="102"/>
          <w:sz w:val="18"/>
          <w:szCs w:val="18"/>
        </w:rPr>
        <w:t xml:space="preserve"> </w:t>
      </w:r>
      <w:r>
        <w:rPr>
          <w:rFonts w:ascii="Times New Roman" w:hAnsi="Times New Roman" w:eastAsia="Times New Roman" w:cs="Times New Roman"/>
          <w:spacing w:val="-2"/>
          <w:sz w:val="18"/>
          <w:szCs w:val="18"/>
        </w:rPr>
        <w:t>327</w:t>
      </w:r>
    </w:p>
    <w:p w14:paraId="32E0C2C2">
      <w:pPr>
        <w:spacing w:line="212" w:lineRule="auto"/>
        <w:rPr>
          <w:rFonts w:ascii="Times New Roman" w:hAnsi="Times New Roman" w:eastAsia="Times New Roman" w:cs="Times New Roman"/>
          <w:sz w:val="18"/>
          <w:szCs w:val="18"/>
        </w:rPr>
      </w:pPr>
      <w:r>
        <w:rPr>
          <w:rFonts w:ascii="宋体" w:hAnsi="宋体" w:eastAsia="宋体" w:cs="宋体"/>
          <w:spacing w:val="1"/>
          <w:sz w:val="18"/>
          <w:szCs w:val="18"/>
        </w:rPr>
        <w:t>求同法</w:t>
      </w:r>
      <w:r>
        <w:rPr>
          <w:rFonts w:ascii="宋体" w:hAnsi="宋体" w:eastAsia="宋体" w:cs="宋体"/>
          <w:spacing w:val="67"/>
          <w:sz w:val="18"/>
          <w:szCs w:val="18"/>
        </w:rPr>
        <w:t xml:space="preserve"> </w:t>
      </w:r>
      <w:r>
        <w:rPr>
          <w:rFonts w:ascii="Times New Roman" w:hAnsi="Times New Roman" w:eastAsia="Times New Roman" w:cs="Times New Roman"/>
          <w:sz w:val="18"/>
          <w:szCs w:val="18"/>
        </w:rPr>
        <w:t>method</w:t>
      </w:r>
      <w:r>
        <w:rPr>
          <w:rFonts w:ascii="Times New Roman" w:hAnsi="Times New Roman" w:eastAsia="Times New Roman" w:cs="Times New Roman"/>
          <w:spacing w:val="1"/>
          <w:sz w:val="18"/>
          <w:szCs w:val="18"/>
        </w:rPr>
        <w:t xml:space="preserve"> </w:t>
      </w:r>
      <w:r>
        <w:rPr>
          <w:rFonts w:ascii="Times New Roman" w:hAnsi="Times New Roman" w:eastAsia="Times New Roman" w:cs="Times New Roman"/>
          <w:sz w:val="18"/>
          <w:szCs w:val="18"/>
        </w:rPr>
        <w:t>of</w:t>
      </w:r>
      <w:r>
        <w:rPr>
          <w:rFonts w:ascii="Times New Roman" w:hAnsi="Times New Roman" w:eastAsia="Times New Roman" w:cs="Times New Roman"/>
          <w:spacing w:val="-12"/>
          <w:sz w:val="18"/>
          <w:szCs w:val="18"/>
        </w:rPr>
        <w:t xml:space="preserve"> </w:t>
      </w:r>
      <w:r>
        <w:rPr>
          <w:rFonts w:ascii="Times New Roman" w:hAnsi="Times New Roman" w:eastAsia="Times New Roman" w:cs="Times New Roman"/>
          <w:sz w:val="18"/>
          <w:szCs w:val="18"/>
        </w:rPr>
        <w:t>agreement</w:t>
      </w:r>
      <w:r>
        <w:rPr>
          <w:rFonts w:ascii="Times New Roman" w:hAnsi="Times New Roman" w:eastAsia="Times New Roman" w:cs="Times New Roman"/>
          <w:spacing w:val="21"/>
          <w:sz w:val="18"/>
          <w:szCs w:val="18"/>
        </w:rPr>
        <w:t xml:space="preserve"> </w:t>
      </w:r>
      <w:r>
        <w:rPr>
          <w:rFonts w:ascii="Times New Roman" w:hAnsi="Times New Roman" w:eastAsia="Times New Roman" w:cs="Times New Roman"/>
          <w:spacing w:val="1"/>
          <w:sz w:val="18"/>
          <w:szCs w:val="18"/>
        </w:rPr>
        <w:t>128</w:t>
      </w:r>
    </w:p>
    <w:sdt>
      <w:sdtPr>
        <w:rPr>
          <w:rFonts w:ascii="宋体" w:hAnsi="宋体" w:eastAsia="宋体" w:cs="宋体"/>
          <w:sz w:val="18"/>
          <w:szCs w:val="18"/>
        </w:rPr>
        <w:id w:val="521830789"/>
        <w:docPartObj>
          <w:docPartGallery w:val="Table of Contents"/>
          <w:docPartUnique/>
        </w:docPartObj>
      </w:sdtPr>
      <w:sdtEndPr>
        <w:rPr>
          <w:rFonts w:ascii="Times New Roman" w:hAnsi="Times New Roman" w:eastAsia="Times New Roman" w:cs="Times New Roman"/>
          <w:sz w:val="18"/>
          <w:szCs w:val="18"/>
        </w:rPr>
      </w:sdtEndPr>
      <w:sdtContent>
        <w:p w14:paraId="309E7B25">
          <w:pPr>
            <w:spacing w:before="165" w:line="219" w:lineRule="auto"/>
            <w:rPr>
              <w:rFonts w:ascii="Times New Roman" w:hAnsi="Times New Roman" w:eastAsia="Times New Roman" w:cs="Times New Roman"/>
              <w:sz w:val="18"/>
              <w:szCs w:val="18"/>
            </w:rPr>
          </w:pPr>
          <w:r>
            <w:rPr>
              <w:rFonts w:ascii="宋体" w:hAnsi="宋体" w:eastAsia="宋体" w:cs="宋体"/>
              <w:spacing w:val="1"/>
              <w:sz w:val="18"/>
              <w:szCs w:val="18"/>
            </w:rPr>
            <w:t>求异法</w:t>
          </w:r>
          <w:r>
            <w:rPr>
              <w:rFonts w:ascii="宋体" w:hAnsi="宋体" w:eastAsia="宋体" w:cs="宋体"/>
              <w:spacing w:val="77"/>
              <w:sz w:val="18"/>
              <w:szCs w:val="18"/>
            </w:rPr>
            <w:t xml:space="preserve"> </w:t>
          </w:r>
          <w:r>
            <w:rPr>
              <w:rFonts w:ascii="Times New Roman" w:hAnsi="Times New Roman" w:eastAsia="Times New Roman" w:cs="Times New Roman"/>
              <w:sz w:val="18"/>
              <w:szCs w:val="18"/>
            </w:rPr>
            <w:t>method</w:t>
          </w:r>
          <w:r>
            <w:rPr>
              <w:rFonts w:ascii="Times New Roman" w:hAnsi="Times New Roman" w:eastAsia="Times New Roman" w:cs="Times New Roman"/>
              <w:spacing w:val="1"/>
              <w:sz w:val="18"/>
              <w:szCs w:val="18"/>
            </w:rPr>
            <w:t xml:space="preserve"> </w:t>
          </w:r>
          <w:r>
            <w:rPr>
              <w:rFonts w:ascii="Times New Roman" w:hAnsi="Times New Roman" w:eastAsia="Times New Roman" w:cs="Times New Roman"/>
              <w:sz w:val="18"/>
              <w:szCs w:val="18"/>
            </w:rPr>
            <w:t>of</w:t>
          </w:r>
          <w:r>
            <w:rPr>
              <w:rFonts w:ascii="Times New Roman" w:hAnsi="Times New Roman" w:eastAsia="Times New Roman" w:cs="Times New Roman"/>
              <w:spacing w:val="-12"/>
              <w:sz w:val="18"/>
              <w:szCs w:val="18"/>
            </w:rPr>
            <w:t xml:space="preserve"> </w:t>
          </w:r>
          <w:r>
            <w:rPr>
              <w:rFonts w:ascii="Times New Roman" w:hAnsi="Times New Roman" w:eastAsia="Times New Roman" w:cs="Times New Roman"/>
              <w:sz w:val="18"/>
              <w:szCs w:val="18"/>
            </w:rPr>
            <w:t>differenee</w:t>
          </w:r>
          <w:r>
            <w:rPr>
              <w:rFonts w:ascii="Times New Roman" w:hAnsi="Times New Roman" w:eastAsia="Times New Roman" w:cs="Times New Roman"/>
              <w:spacing w:val="21"/>
              <w:sz w:val="18"/>
              <w:szCs w:val="18"/>
            </w:rPr>
            <w:t xml:space="preserve"> </w:t>
          </w:r>
          <w:r>
            <w:fldChar w:fldCharType="begin"/>
          </w:r>
          <w:r>
            <w:instrText xml:space="preserve"> HYPERLINK \l "bookmark702" </w:instrText>
          </w:r>
          <w:r>
            <w:fldChar w:fldCharType="separate"/>
          </w:r>
          <w:r>
            <w:rPr>
              <w:rFonts w:ascii="Times New Roman" w:hAnsi="Times New Roman" w:eastAsia="Times New Roman" w:cs="Times New Roman"/>
              <w:spacing w:val="1"/>
              <w:sz w:val="18"/>
              <w:szCs w:val="18"/>
            </w:rPr>
            <w:t>128</w:t>
          </w:r>
          <w:r>
            <w:rPr>
              <w:rFonts w:ascii="Times New Roman" w:hAnsi="Times New Roman" w:eastAsia="Times New Roman" w:cs="Times New Roman"/>
              <w:spacing w:val="1"/>
              <w:sz w:val="18"/>
              <w:szCs w:val="18"/>
            </w:rPr>
            <w:fldChar w:fldCharType="end"/>
          </w:r>
        </w:p>
        <w:p w14:paraId="54FE6753">
          <w:pPr>
            <w:spacing w:before="135" w:line="219" w:lineRule="auto"/>
            <w:rPr>
              <w:rFonts w:ascii="Times New Roman" w:hAnsi="Times New Roman" w:eastAsia="Times New Roman" w:cs="Times New Roman"/>
              <w:sz w:val="18"/>
              <w:szCs w:val="18"/>
            </w:rPr>
          </w:pPr>
          <w:r>
            <w:rPr>
              <w:rFonts w:ascii="宋体" w:hAnsi="宋体" w:eastAsia="宋体" w:cs="宋体"/>
              <w:spacing w:val="-1"/>
              <w:sz w:val="18"/>
              <w:szCs w:val="18"/>
            </w:rPr>
            <w:t>区组随机</w:t>
          </w:r>
          <w:r>
            <w:rPr>
              <w:rFonts w:ascii="宋体" w:hAnsi="宋体" w:eastAsia="宋体" w:cs="宋体"/>
              <w:spacing w:val="81"/>
              <w:sz w:val="18"/>
              <w:szCs w:val="18"/>
            </w:rPr>
            <w:t xml:space="preserve"> </w:t>
          </w:r>
          <w:r>
            <w:rPr>
              <w:rFonts w:ascii="Times New Roman" w:hAnsi="Times New Roman" w:eastAsia="Times New Roman" w:cs="Times New Roman"/>
              <w:spacing w:val="-1"/>
              <w:sz w:val="18"/>
              <w:szCs w:val="18"/>
            </w:rPr>
            <w:t>block</w:t>
          </w:r>
          <w:r>
            <w:rPr>
              <w:rFonts w:ascii="Times New Roman" w:hAnsi="Times New Roman" w:eastAsia="Times New Roman" w:cs="Times New Roman"/>
              <w:spacing w:val="25"/>
              <w:sz w:val="18"/>
              <w:szCs w:val="18"/>
            </w:rPr>
            <w:t xml:space="preserve"> </w:t>
          </w:r>
          <w:r>
            <w:rPr>
              <w:rFonts w:ascii="Times New Roman" w:hAnsi="Times New Roman" w:eastAsia="Times New Roman" w:cs="Times New Roman"/>
              <w:spacing w:val="-1"/>
              <w:sz w:val="18"/>
              <w:szCs w:val="18"/>
            </w:rPr>
            <w:t>randomizat</w:t>
          </w:r>
          <w:r>
            <w:rPr>
              <w:rFonts w:ascii="Times New Roman" w:hAnsi="Times New Roman" w:eastAsia="Times New Roman" w:cs="Times New Roman"/>
              <w:spacing w:val="-2"/>
              <w:sz w:val="18"/>
              <w:szCs w:val="18"/>
            </w:rPr>
            <w:t>ion</w:t>
          </w:r>
          <w:r>
            <w:rPr>
              <w:rFonts w:ascii="Times New Roman" w:hAnsi="Times New Roman" w:eastAsia="Times New Roman" w:cs="Times New Roman"/>
              <w:spacing w:val="35"/>
              <w:w w:val="101"/>
              <w:sz w:val="18"/>
              <w:szCs w:val="18"/>
            </w:rPr>
            <w:t xml:space="preserve"> </w:t>
          </w:r>
          <w:r>
            <w:fldChar w:fldCharType="begin"/>
          </w:r>
          <w:r>
            <w:instrText xml:space="preserve"> HYPERLINK \l "bookmark703" </w:instrText>
          </w:r>
          <w:r>
            <w:fldChar w:fldCharType="separate"/>
          </w:r>
          <w:r>
            <w:rPr>
              <w:rFonts w:ascii="Times New Roman" w:hAnsi="Times New Roman" w:eastAsia="Times New Roman" w:cs="Times New Roman"/>
              <w:spacing w:val="-2"/>
              <w:sz w:val="18"/>
              <w:szCs w:val="18"/>
            </w:rPr>
            <w:t>89</w:t>
          </w:r>
          <w:r>
            <w:rPr>
              <w:rFonts w:ascii="Times New Roman" w:hAnsi="Times New Roman" w:eastAsia="Times New Roman" w:cs="Times New Roman"/>
              <w:spacing w:val="-2"/>
              <w:sz w:val="18"/>
              <w:szCs w:val="18"/>
            </w:rPr>
            <w:fldChar w:fldCharType="end"/>
          </w:r>
        </w:p>
      </w:sdtContent>
    </w:sdt>
    <w:p w14:paraId="6187E67F">
      <w:pPr>
        <w:spacing w:before="117" w:line="212" w:lineRule="auto"/>
        <w:rPr>
          <w:rFonts w:ascii="Times New Roman" w:hAnsi="Times New Roman" w:eastAsia="Times New Roman" w:cs="Times New Roman"/>
          <w:sz w:val="18"/>
          <w:szCs w:val="18"/>
        </w:rPr>
      </w:pPr>
      <w:r>
        <w:rPr>
          <w:rFonts w:ascii="宋体" w:hAnsi="宋体" w:eastAsia="宋体" w:cs="宋体"/>
          <w:spacing w:val="-1"/>
          <w:sz w:val="18"/>
          <w:szCs w:val="18"/>
        </w:rPr>
        <w:t>全分析集</w:t>
      </w:r>
      <w:r>
        <w:rPr>
          <w:rFonts w:ascii="宋体" w:hAnsi="宋体" w:eastAsia="宋体" w:cs="宋体"/>
          <w:spacing w:val="78"/>
          <w:sz w:val="18"/>
          <w:szCs w:val="18"/>
        </w:rPr>
        <w:t xml:space="preserve"> </w:t>
      </w:r>
      <w:r>
        <w:rPr>
          <w:rFonts w:ascii="Times New Roman" w:hAnsi="Times New Roman" w:eastAsia="Times New Roman" w:cs="Times New Roman"/>
          <w:spacing w:val="-1"/>
          <w:sz w:val="18"/>
          <w:szCs w:val="18"/>
        </w:rPr>
        <w:t>full  analysis</w:t>
      </w:r>
      <w:r>
        <w:rPr>
          <w:rFonts w:ascii="Times New Roman" w:hAnsi="Times New Roman" w:eastAsia="Times New Roman" w:cs="Times New Roman"/>
          <w:spacing w:val="6"/>
          <w:sz w:val="18"/>
          <w:szCs w:val="18"/>
        </w:rPr>
        <w:t xml:space="preserve">  </w:t>
      </w:r>
      <w:r>
        <w:rPr>
          <w:rFonts w:ascii="Times New Roman" w:hAnsi="Times New Roman" w:eastAsia="Times New Roman" w:cs="Times New Roman"/>
          <w:spacing w:val="-1"/>
          <w:sz w:val="18"/>
          <w:szCs w:val="18"/>
        </w:rPr>
        <w:t>set,FAS</w:t>
      </w:r>
      <w:r>
        <w:rPr>
          <w:rFonts w:ascii="Times New Roman" w:hAnsi="Times New Roman" w:eastAsia="Times New Roman" w:cs="Times New Roman"/>
          <w:spacing w:val="5"/>
          <w:sz w:val="18"/>
          <w:szCs w:val="18"/>
        </w:rPr>
        <w:t xml:space="preserve">  </w:t>
      </w:r>
      <w:r>
        <w:rPr>
          <w:rFonts w:ascii="Times New Roman" w:hAnsi="Times New Roman" w:eastAsia="Times New Roman" w:cs="Times New Roman"/>
          <w:spacing w:val="-1"/>
          <w:sz w:val="18"/>
          <w:szCs w:val="18"/>
        </w:rPr>
        <w:t>96</w:t>
      </w:r>
    </w:p>
    <w:p w14:paraId="6469F50B">
      <w:pPr>
        <w:spacing w:before="173" w:line="212" w:lineRule="auto"/>
        <w:rPr>
          <w:rFonts w:ascii="Times New Roman" w:hAnsi="Times New Roman" w:eastAsia="Times New Roman" w:cs="Times New Roman"/>
          <w:sz w:val="18"/>
          <w:szCs w:val="18"/>
        </w:rPr>
      </w:pPr>
      <w:r>
        <w:rPr>
          <w:rFonts w:ascii="宋体" w:hAnsi="宋体" w:eastAsia="宋体" w:cs="宋体"/>
          <w:spacing w:val="-3"/>
          <w:sz w:val="18"/>
          <w:szCs w:val="18"/>
        </w:rPr>
        <w:t xml:space="preserve">全基因组关联分析  </w:t>
      </w:r>
      <w:r>
        <w:rPr>
          <w:rFonts w:ascii="Times New Roman" w:hAnsi="Times New Roman" w:eastAsia="Times New Roman" w:cs="Times New Roman"/>
          <w:spacing w:val="-3"/>
          <w:sz w:val="18"/>
          <w:szCs w:val="18"/>
        </w:rPr>
        <w:t>genome wide association study,GWAS</w:t>
      </w:r>
    </w:p>
    <w:p w14:paraId="117F53CC">
      <w:pPr>
        <w:spacing w:before="201" w:line="188" w:lineRule="auto"/>
        <w:ind w:left="210"/>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234</w:t>
      </w:r>
    </w:p>
    <w:p w14:paraId="1EEAB16B">
      <w:pPr>
        <w:spacing w:before="170" w:line="212" w:lineRule="auto"/>
        <w:rPr>
          <w:rFonts w:ascii="Times New Roman" w:hAnsi="Times New Roman" w:eastAsia="Times New Roman" w:cs="Times New Roman"/>
          <w:sz w:val="18"/>
          <w:szCs w:val="18"/>
        </w:rPr>
      </w:pPr>
      <w:r>
        <w:rPr>
          <w:rFonts w:ascii="宋体" w:hAnsi="宋体" w:eastAsia="宋体" w:cs="宋体"/>
          <w:spacing w:val="1"/>
          <w:sz w:val="18"/>
          <w:szCs w:val="18"/>
        </w:rPr>
        <w:t>全人群策略</w:t>
      </w:r>
      <w:r>
        <w:rPr>
          <w:rFonts w:ascii="宋体" w:hAnsi="宋体" w:eastAsia="宋体" w:cs="宋体"/>
          <w:spacing w:val="52"/>
          <w:sz w:val="18"/>
          <w:szCs w:val="18"/>
        </w:rPr>
        <w:t xml:space="preserve"> </w:t>
      </w:r>
      <w:r>
        <w:rPr>
          <w:rFonts w:ascii="Times New Roman" w:hAnsi="Times New Roman" w:eastAsia="Times New Roman" w:cs="Times New Roman"/>
          <w:sz w:val="18"/>
          <w:szCs w:val="18"/>
        </w:rPr>
        <w:t>population</w:t>
      </w:r>
      <w:r>
        <w:rPr>
          <w:rFonts w:ascii="Times New Roman" w:hAnsi="Times New Roman" w:eastAsia="Times New Roman" w:cs="Times New Roman"/>
          <w:spacing w:val="1"/>
          <w:sz w:val="18"/>
          <w:szCs w:val="18"/>
        </w:rPr>
        <w:t>-</w:t>
      </w:r>
      <w:r>
        <w:rPr>
          <w:rFonts w:ascii="Times New Roman" w:hAnsi="Times New Roman" w:eastAsia="Times New Roman" w:cs="Times New Roman"/>
          <w:sz w:val="18"/>
          <w:szCs w:val="18"/>
        </w:rPr>
        <w:t>based</w:t>
      </w:r>
      <w:r>
        <w:rPr>
          <w:rFonts w:ascii="Times New Roman" w:hAnsi="Times New Roman" w:eastAsia="Times New Roman" w:cs="Times New Roman"/>
          <w:spacing w:val="40"/>
          <w:w w:val="101"/>
          <w:sz w:val="18"/>
          <w:szCs w:val="18"/>
        </w:rPr>
        <w:t xml:space="preserve"> </w:t>
      </w:r>
      <w:r>
        <w:rPr>
          <w:rFonts w:ascii="Times New Roman" w:hAnsi="Times New Roman" w:eastAsia="Times New Roman" w:cs="Times New Roman"/>
          <w:sz w:val="18"/>
          <w:szCs w:val="18"/>
        </w:rPr>
        <w:t>strategy</w:t>
      </w:r>
      <w:r>
        <w:rPr>
          <w:rFonts w:ascii="Times New Roman" w:hAnsi="Times New Roman" w:eastAsia="Times New Roman" w:cs="Times New Roman"/>
          <w:spacing w:val="1"/>
          <w:sz w:val="18"/>
          <w:szCs w:val="18"/>
        </w:rPr>
        <w:t xml:space="preserve">  141</w:t>
      </w:r>
    </w:p>
    <w:p w14:paraId="3507024A">
      <w:pPr>
        <w:spacing w:before="143" w:line="212" w:lineRule="auto"/>
        <w:rPr>
          <w:rFonts w:ascii="Times New Roman" w:hAnsi="Times New Roman" w:eastAsia="Times New Roman" w:cs="Times New Roman"/>
          <w:sz w:val="18"/>
          <w:szCs w:val="18"/>
        </w:rPr>
      </w:pPr>
      <w:r>
        <w:rPr>
          <w:rFonts w:ascii="宋体" w:hAnsi="宋体" w:eastAsia="宋体" w:cs="宋体"/>
          <w:sz w:val="18"/>
          <w:szCs w:val="18"/>
        </w:rPr>
        <w:t>群体免疫</w:t>
      </w:r>
      <w:r>
        <w:rPr>
          <w:rFonts w:ascii="宋体" w:hAnsi="宋体" w:eastAsia="宋体" w:cs="宋体"/>
          <w:spacing w:val="47"/>
          <w:sz w:val="18"/>
          <w:szCs w:val="18"/>
        </w:rPr>
        <w:t xml:space="preserve"> </w:t>
      </w:r>
      <w:r>
        <w:rPr>
          <w:rFonts w:ascii="Times New Roman" w:hAnsi="Times New Roman" w:eastAsia="Times New Roman" w:cs="Times New Roman"/>
          <w:sz w:val="18"/>
          <w:szCs w:val="18"/>
        </w:rPr>
        <w:t>herd</w:t>
      </w:r>
      <w:r>
        <w:rPr>
          <w:rFonts w:ascii="Times New Roman" w:hAnsi="Times New Roman" w:eastAsia="Times New Roman" w:cs="Times New Roman"/>
          <w:spacing w:val="16"/>
          <w:w w:val="101"/>
          <w:sz w:val="18"/>
          <w:szCs w:val="18"/>
        </w:rPr>
        <w:t xml:space="preserve">  </w:t>
      </w:r>
      <w:r>
        <w:rPr>
          <w:rFonts w:ascii="Times New Roman" w:hAnsi="Times New Roman" w:eastAsia="Times New Roman" w:cs="Times New Roman"/>
          <w:sz w:val="18"/>
          <w:szCs w:val="18"/>
        </w:rPr>
        <w:t>immunity   136,162</w:t>
      </w:r>
    </w:p>
    <w:p w14:paraId="0039611F">
      <w:pPr>
        <w:spacing w:line="300" w:lineRule="auto"/>
        <w:rPr>
          <w:rFonts w:ascii="Arial"/>
          <w:sz w:val="21"/>
        </w:rPr>
      </w:pPr>
    </w:p>
    <w:p w14:paraId="577E9BAE">
      <w:pPr>
        <w:spacing w:before="84" w:line="196" w:lineRule="auto"/>
        <w:rPr>
          <w:rFonts w:ascii="Arial" w:hAnsi="Arial" w:eastAsia="Arial" w:cs="Arial"/>
          <w:sz w:val="29"/>
          <w:szCs w:val="29"/>
        </w:rPr>
      </w:pPr>
      <w:r>
        <w:rPr>
          <w:rFonts w:ascii="Arial" w:hAnsi="Arial" w:eastAsia="Arial" w:cs="Arial"/>
          <w:sz w:val="29"/>
          <w:szCs w:val="29"/>
        </w:rPr>
        <w:t>R</w:t>
      </w:r>
    </w:p>
    <w:p w14:paraId="5BC4F425">
      <w:pPr>
        <w:spacing w:before="225" w:line="212" w:lineRule="auto"/>
        <w:rPr>
          <w:rFonts w:ascii="Times New Roman" w:hAnsi="Times New Roman" w:eastAsia="Times New Roman" w:cs="Times New Roman"/>
          <w:sz w:val="18"/>
          <w:szCs w:val="18"/>
        </w:rPr>
      </w:pPr>
      <w:r>
        <w:rPr>
          <w:rFonts w:ascii="宋体" w:hAnsi="宋体" w:eastAsia="宋体" w:cs="宋体"/>
          <w:spacing w:val="-2"/>
          <w:sz w:val="18"/>
          <w:szCs w:val="18"/>
        </w:rPr>
        <w:t>人-人传播</w:t>
      </w:r>
      <w:r>
        <w:rPr>
          <w:rFonts w:ascii="宋体" w:hAnsi="宋体" w:eastAsia="宋体" w:cs="宋体"/>
          <w:spacing w:val="72"/>
          <w:sz w:val="18"/>
          <w:szCs w:val="18"/>
        </w:rPr>
        <w:t xml:space="preserve"> </w:t>
      </w:r>
      <w:r>
        <w:rPr>
          <w:rFonts w:ascii="Times New Roman" w:hAnsi="Times New Roman" w:eastAsia="Times New Roman" w:cs="Times New Roman"/>
          <w:spacing w:val="-2"/>
          <w:sz w:val="18"/>
          <w:szCs w:val="18"/>
        </w:rPr>
        <w:t>person-to-person or propagated trans</w:t>
      </w:r>
      <w:r>
        <w:rPr>
          <w:rFonts w:ascii="Times New Roman" w:hAnsi="Times New Roman" w:eastAsia="Times New Roman" w:cs="Times New Roman"/>
          <w:spacing w:val="-3"/>
          <w:sz w:val="18"/>
          <w:szCs w:val="18"/>
        </w:rPr>
        <w:t>mission</w:t>
      </w:r>
    </w:p>
    <w:p w14:paraId="602861EC">
      <w:pPr>
        <w:spacing w:before="192" w:line="188" w:lineRule="auto"/>
        <w:ind w:left="210"/>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226</w:t>
      </w:r>
    </w:p>
    <w:p w14:paraId="5E102DDB">
      <w:pPr>
        <w:spacing w:before="185" w:line="361" w:lineRule="auto"/>
        <w:ind w:left="210" w:right="240" w:hanging="210"/>
        <w:rPr>
          <w:rFonts w:ascii="Times New Roman" w:hAnsi="Times New Roman" w:eastAsia="Times New Roman" w:cs="Times New Roman"/>
          <w:sz w:val="18"/>
          <w:szCs w:val="18"/>
        </w:rPr>
      </w:pPr>
      <w:r>
        <w:rPr>
          <w:rFonts w:ascii="宋体" w:hAnsi="宋体" w:eastAsia="宋体" w:cs="宋体"/>
          <w:spacing w:val="-12"/>
          <w:sz w:val="18"/>
          <w:szCs w:val="18"/>
        </w:rPr>
        <w:t>人感染高致病性禽流感  human highly pathogenic avian</w:t>
      </w:r>
      <w:r>
        <w:rPr>
          <w:rFonts w:ascii="宋体" w:hAnsi="宋体" w:eastAsia="宋体" w:cs="宋体"/>
          <w:spacing w:val="5"/>
          <w:sz w:val="18"/>
          <w:szCs w:val="18"/>
        </w:rPr>
        <w:t xml:space="preserve"> </w:t>
      </w:r>
      <w:r>
        <w:rPr>
          <w:rFonts w:ascii="Times New Roman" w:hAnsi="Times New Roman" w:eastAsia="Times New Roman" w:cs="Times New Roman"/>
          <w:spacing w:val="-1"/>
          <w:sz w:val="18"/>
          <w:szCs w:val="18"/>
        </w:rPr>
        <w:t>influenza</w:t>
      </w:r>
      <w:r>
        <w:rPr>
          <w:rFonts w:ascii="Times New Roman" w:hAnsi="Times New Roman" w:eastAsia="Times New Roman" w:cs="Times New Roman"/>
          <w:spacing w:val="2"/>
          <w:sz w:val="18"/>
          <w:szCs w:val="18"/>
        </w:rPr>
        <w:t xml:space="preserve">    </w:t>
      </w:r>
      <w:r>
        <w:rPr>
          <w:rFonts w:ascii="Times New Roman" w:hAnsi="Times New Roman" w:eastAsia="Times New Roman" w:cs="Times New Roman"/>
          <w:spacing w:val="-1"/>
          <w:sz w:val="18"/>
          <w:szCs w:val="18"/>
        </w:rPr>
        <w:t>327</w:t>
      </w:r>
    </w:p>
    <w:p w14:paraId="1E3EC596">
      <w:pPr>
        <w:spacing w:before="46" w:line="214" w:lineRule="auto"/>
        <w:jc w:val="right"/>
        <w:rPr>
          <w:rFonts w:ascii="宋体" w:hAnsi="宋体" w:eastAsia="宋体" w:cs="宋体"/>
          <w:sz w:val="18"/>
          <w:szCs w:val="18"/>
        </w:rPr>
      </w:pPr>
      <w:r>
        <w:rPr>
          <w:rFonts w:ascii="宋体" w:hAnsi="宋体" w:eastAsia="宋体" w:cs="宋体"/>
          <w:spacing w:val="-3"/>
          <w:sz w:val="18"/>
          <w:szCs w:val="18"/>
        </w:rPr>
        <w:t>人类基因组流行病学</w:t>
      </w:r>
      <w:r>
        <w:rPr>
          <w:rFonts w:ascii="宋体" w:hAnsi="宋体" w:eastAsia="宋体" w:cs="宋体"/>
          <w:spacing w:val="60"/>
          <w:sz w:val="18"/>
          <w:szCs w:val="18"/>
        </w:rPr>
        <w:t xml:space="preserve"> </w:t>
      </w:r>
      <w:r>
        <w:rPr>
          <w:rFonts w:ascii="宋体" w:hAnsi="宋体" w:eastAsia="宋体" w:cs="宋体"/>
          <w:spacing w:val="-3"/>
          <w:sz w:val="18"/>
          <w:szCs w:val="18"/>
        </w:rPr>
        <w:t>human genome epidemio</w:t>
      </w:r>
      <w:r>
        <w:rPr>
          <w:rFonts w:ascii="宋体" w:hAnsi="宋体" w:eastAsia="宋体" w:cs="宋体"/>
          <w:spacing w:val="-4"/>
          <w:sz w:val="18"/>
          <w:szCs w:val="18"/>
        </w:rPr>
        <w:t>logy,HuGE</w:t>
      </w:r>
    </w:p>
    <w:p w14:paraId="6911AFFF">
      <w:pPr>
        <w:spacing w:before="165" w:line="188" w:lineRule="auto"/>
        <w:ind w:left="210"/>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234</w:t>
      </w:r>
    </w:p>
    <w:p w14:paraId="1840B0C4">
      <w:pPr>
        <w:spacing w:before="150" w:line="339" w:lineRule="auto"/>
        <w:ind w:right="197"/>
        <w:rPr>
          <w:rFonts w:ascii="Times New Roman" w:hAnsi="Times New Roman" w:eastAsia="Times New Roman" w:cs="Times New Roman"/>
          <w:sz w:val="18"/>
          <w:szCs w:val="18"/>
        </w:rPr>
      </w:pPr>
      <w:r>
        <w:rPr>
          <w:rFonts w:ascii="宋体" w:hAnsi="宋体" w:eastAsia="宋体" w:cs="宋体"/>
          <w:spacing w:val="-1"/>
          <w:sz w:val="18"/>
          <w:szCs w:val="18"/>
        </w:rPr>
        <w:t>人类生态系统模型</w:t>
      </w:r>
      <w:r>
        <w:rPr>
          <w:rFonts w:ascii="宋体" w:hAnsi="宋体" w:eastAsia="宋体" w:cs="宋体"/>
          <w:spacing w:val="96"/>
          <w:sz w:val="18"/>
          <w:szCs w:val="18"/>
        </w:rPr>
        <w:t xml:space="preserve"> </w:t>
      </w:r>
      <w:r>
        <w:rPr>
          <w:rFonts w:ascii="Times New Roman" w:hAnsi="Times New Roman" w:eastAsia="Times New Roman" w:cs="Times New Roman"/>
          <w:spacing w:val="-1"/>
          <w:sz w:val="18"/>
          <w:szCs w:val="18"/>
        </w:rPr>
        <w:t>model of</w:t>
      </w:r>
      <w:r>
        <w:rPr>
          <w:rFonts w:ascii="Times New Roman" w:hAnsi="Times New Roman" w:eastAsia="Times New Roman" w:cs="Times New Roman"/>
          <w:spacing w:val="-17"/>
          <w:sz w:val="18"/>
          <w:szCs w:val="18"/>
        </w:rPr>
        <w:t xml:space="preserve"> </w:t>
      </w:r>
      <w:r>
        <w:rPr>
          <w:rFonts w:ascii="Times New Roman" w:hAnsi="Times New Roman" w:eastAsia="Times New Roman" w:cs="Times New Roman"/>
          <w:spacing w:val="-1"/>
          <w:sz w:val="18"/>
          <w:szCs w:val="18"/>
        </w:rPr>
        <w:t>the human ecosystem</w:t>
      </w:r>
      <w:r>
        <w:rPr>
          <w:rFonts w:ascii="Times New Roman" w:hAnsi="Times New Roman" w:eastAsia="Times New Roman" w:cs="Times New Roman"/>
          <w:spacing w:val="21"/>
          <w:sz w:val="18"/>
          <w:szCs w:val="18"/>
        </w:rPr>
        <w:t xml:space="preserve"> </w:t>
      </w:r>
      <w:r>
        <w:rPr>
          <w:rFonts w:ascii="Times New Roman" w:hAnsi="Times New Roman" w:eastAsia="Times New Roman" w:cs="Times New Roman"/>
          <w:spacing w:val="-1"/>
          <w:sz w:val="18"/>
          <w:szCs w:val="18"/>
        </w:rPr>
        <w:t>137</w:t>
      </w:r>
      <w:r>
        <w:rPr>
          <w:rFonts w:ascii="Times New Roman" w:hAnsi="Times New Roman" w:eastAsia="Times New Roman" w:cs="Times New Roman"/>
          <w:sz w:val="18"/>
          <w:szCs w:val="18"/>
        </w:rPr>
        <w:t xml:space="preserve"> </w:t>
      </w:r>
      <w:r>
        <w:rPr>
          <w:rFonts w:ascii="宋体" w:hAnsi="宋体" w:eastAsia="宋体" w:cs="宋体"/>
          <w:spacing w:val="3"/>
          <w:sz w:val="18"/>
          <w:szCs w:val="18"/>
        </w:rPr>
        <w:t>人免疫球蛋白</w:t>
      </w:r>
      <w:r>
        <w:rPr>
          <w:rFonts w:ascii="宋体" w:hAnsi="宋体" w:eastAsia="宋体" w:cs="宋体"/>
          <w:spacing w:val="61"/>
          <w:w w:val="101"/>
          <w:sz w:val="18"/>
          <w:szCs w:val="18"/>
        </w:rPr>
        <w:t xml:space="preserve"> </w:t>
      </w:r>
      <w:r>
        <w:rPr>
          <w:rFonts w:ascii="Times New Roman" w:hAnsi="Times New Roman" w:eastAsia="Times New Roman" w:cs="Times New Roman"/>
          <w:sz w:val="18"/>
          <w:szCs w:val="18"/>
        </w:rPr>
        <w:t>human</w:t>
      </w:r>
      <w:r>
        <w:rPr>
          <w:rFonts w:ascii="Times New Roman" w:hAnsi="Times New Roman" w:eastAsia="Times New Roman" w:cs="Times New Roman"/>
          <w:spacing w:val="20"/>
          <w:sz w:val="18"/>
          <w:szCs w:val="18"/>
        </w:rPr>
        <w:t xml:space="preserve"> </w:t>
      </w:r>
      <w:r>
        <w:rPr>
          <w:rFonts w:ascii="Times New Roman" w:hAnsi="Times New Roman" w:eastAsia="Times New Roman" w:cs="Times New Roman"/>
          <w:sz w:val="18"/>
          <w:szCs w:val="18"/>
        </w:rPr>
        <w:t>immunoglobulin</w:t>
      </w:r>
      <w:r>
        <w:rPr>
          <w:rFonts w:ascii="Times New Roman" w:hAnsi="Times New Roman" w:eastAsia="Times New Roman" w:cs="Times New Roman"/>
          <w:spacing w:val="19"/>
          <w:sz w:val="18"/>
          <w:szCs w:val="18"/>
        </w:rPr>
        <w:t xml:space="preserve"> </w:t>
      </w:r>
      <w:r>
        <w:rPr>
          <w:rFonts w:ascii="Times New Roman" w:hAnsi="Times New Roman" w:eastAsia="Times New Roman" w:cs="Times New Roman"/>
          <w:spacing w:val="3"/>
          <w:sz w:val="18"/>
          <w:szCs w:val="18"/>
        </w:rPr>
        <w:t>279</w:t>
      </w:r>
    </w:p>
    <w:p w14:paraId="69C1316E">
      <w:pPr>
        <w:spacing w:before="39" w:line="219" w:lineRule="auto"/>
        <w:rPr>
          <w:rFonts w:ascii="Times New Roman" w:hAnsi="Times New Roman" w:eastAsia="Times New Roman" w:cs="Times New Roman"/>
          <w:sz w:val="18"/>
          <w:szCs w:val="18"/>
        </w:rPr>
      </w:pPr>
      <w:r>
        <w:rPr>
          <w:rFonts w:ascii="宋体" w:hAnsi="宋体" w:eastAsia="宋体" w:cs="宋体"/>
          <w:spacing w:val="1"/>
          <w:sz w:val="18"/>
          <w:szCs w:val="18"/>
        </w:rPr>
        <w:t>人禽流感</w:t>
      </w:r>
      <w:r>
        <w:rPr>
          <w:rFonts w:ascii="宋体" w:hAnsi="宋体" w:eastAsia="宋体" w:cs="宋体"/>
          <w:spacing w:val="82"/>
          <w:sz w:val="18"/>
          <w:szCs w:val="18"/>
        </w:rPr>
        <w:t xml:space="preserve"> </w:t>
      </w:r>
      <w:r>
        <w:rPr>
          <w:rFonts w:ascii="Times New Roman" w:hAnsi="Times New Roman" w:eastAsia="Times New Roman" w:cs="Times New Roman"/>
          <w:sz w:val="18"/>
          <w:szCs w:val="18"/>
        </w:rPr>
        <w:t>human</w:t>
      </w:r>
      <w:r>
        <w:rPr>
          <w:rFonts w:ascii="Times New Roman" w:hAnsi="Times New Roman" w:eastAsia="Times New Roman" w:cs="Times New Roman"/>
          <w:spacing w:val="25"/>
          <w:w w:val="102"/>
          <w:sz w:val="18"/>
          <w:szCs w:val="18"/>
        </w:rPr>
        <w:t xml:space="preserve"> </w:t>
      </w:r>
      <w:r>
        <w:rPr>
          <w:rFonts w:ascii="Times New Roman" w:hAnsi="Times New Roman" w:eastAsia="Times New Roman" w:cs="Times New Roman"/>
          <w:sz w:val="18"/>
          <w:szCs w:val="18"/>
        </w:rPr>
        <w:t>avian</w:t>
      </w:r>
      <w:r>
        <w:rPr>
          <w:rFonts w:ascii="Times New Roman" w:hAnsi="Times New Roman" w:eastAsia="Times New Roman" w:cs="Times New Roman"/>
          <w:spacing w:val="24"/>
          <w:sz w:val="18"/>
          <w:szCs w:val="18"/>
        </w:rPr>
        <w:t xml:space="preserve"> </w:t>
      </w:r>
      <w:r>
        <w:rPr>
          <w:rFonts w:ascii="Times New Roman" w:hAnsi="Times New Roman" w:eastAsia="Times New Roman" w:cs="Times New Roman"/>
          <w:sz w:val="18"/>
          <w:szCs w:val="18"/>
        </w:rPr>
        <w:t>influenza</w:t>
      </w:r>
      <w:r>
        <w:rPr>
          <w:rFonts w:ascii="Times New Roman" w:hAnsi="Times New Roman" w:eastAsia="Times New Roman" w:cs="Times New Roman"/>
          <w:spacing w:val="26"/>
          <w:sz w:val="18"/>
          <w:szCs w:val="18"/>
        </w:rPr>
        <w:t xml:space="preserve"> </w:t>
      </w:r>
      <w:r>
        <w:rPr>
          <w:rFonts w:ascii="Times New Roman" w:hAnsi="Times New Roman" w:eastAsia="Times New Roman" w:cs="Times New Roman"/>
          <w:spacing w:val="1"/>
          <w:sz w:val="18"/>
          <w:szCs w:val="18"/>
        </w:rPr>
        <w:t>327</w:t>
      </w:r>
    </w:p>
    <w:p w14:paraId="7417F101">
      <w:pPr>
        <w:spacing w:before="161" w:line="341" w:lineRule="auto"/>
        <w:ind w:right="236"/>
        <w:rPr>
          <w:rFonts w:ascii="宋体" w:hAnsi="宋体" w:eastAsia="宋体" w:cs="宋体"/>
          <w:sz w:val="18"/>
          <w:szCs w:val="18"/>
        </w:rPr>
      </w:pPr>
      <w:r>
        <w:rPr>
          <w:rFonts w:ascii="宋体" w:hAnsi="宋体" w:eastAsia="宋体" w:cs="宋体"/>
          <w:spacing w:val="-10"/>
          <w:sz w:val="18"/>
          <w:szCs w:val="18"/>
        </w:rPr>
        <w:t>人群归因危险度</w:t>
      </w:r>
      <w:r>
        <w:rPr>
          <w:rFonts w:ascii="宋体" w:hAnsi="宋体" w:eastAsia="宋体" w:cs="宋体"/>
          <w:spacing w:val="50"/>
          <w:sz w:val="18"/>
          <w:szCs w:val="18"/>
        </w:rPr>
        <w:t xml:space="preserve"> </w:t>
      </w:r>
      <w:r>
        <w:rPr>
          <w:rFonts w:ascii="宋体" w:hAnsi="宋体" w:eastAsia="宋体" w:cs="宋体"/>
          <w:spacing w:val="-10"/>
          <w:sz w:val="18"/>
          <w:szCs w:val="18"/>
        </w:rPr>
        <w:t>population at</w:t>
      </w:r>
      <w:r>
        <w:rPr>
          <w:rFonts w:ascii="宋体" w:hAnsi="宋体" w:eastAsia="宋体" w:cs="宋体"/>
          <w:spacing w:val="-11"/>
          <w:sz w:val="18"/>
          <w:szCs w:val="18"/>
        </w:rPr>
        <w:t>tributable risk,PAR 58</w:t>
      </w:r>
      <w:r>
        <w:rPr>
          <w:rFonts w:ascii="宋体" w:hAnsi="宋体" w:eastAsia="宋体" w:cs="宋体"/>
          <w:sz w:val="18"/>
          <w:szCs w:val="18"/>
        </w:rPr>
        <w:t xml:space="preserve"> </w:t>
      </w:r>
      <w:r>
        <w:rPr>
          <w:rFonts w:ascii="宋体" w:hAnsi="宋体" w:eastAsia="宋体" w:cs="宋体"/>
          <w:spacing w:val="-1"/>
          <w:sz w:val="18"/>
          <w:szCs w:val="18"/>
        </w:rPr>
        <w:t>人群归因危险度百分比</w:t>
      </w:r>
      <w:r>
        <w:rPr>
          <w:rFonts w:ascii="宋体" w:hAnsi="宋体" w:eastAsia="宋体" w:cs="宋体"/>
          <w:spacing w:val="84"/>
          <w:sz w:val="18"/>
          <w:szCs w:val="18"/>
        </w:rPr>
        <w:t xml:space="preserve"> </w:t>
      </w:r>
      <w:r>
        <w:rPr>
          <w:rFonts w:ascii="宋体" w:hAnsi="宋体" w:eastAsia="宋体" w:cs="宋体"/>
          <w:spacing w:val="-1"/>
          <w:sz w:val="18"/>
          <w:szCs w:val="18"/>
        </w:rPr>
        <w:t>PAR%58,72</w:t>
      </w:r>
    </w:p>
    <w:p w14:paraId="6EE9F8BE">
      <w:pPr>
        <w:spacing w:line="212" w:lineRule="auto"/>
        <w:rPr>
          <w:rFonts w:ascii="Times New Roman" w:hAnsi="Times New Roman" w:eastAsia="Times New Roman" w:cs="Times New Roman"/>
          <w:sz w:val="18"/>
          <w:szCs w:val="18"/>
        </w:rPr>
      </w:pPr>
      <w:r>
        <w:rPr>
          <w:rFonts w:ascii="宋体" w:hAnsi="宋体" w:eastAsia="宋体" w:cs="宋体"/>
          <w:spacing w:val="1"/>
          <w:sz w:val="18"/>
          <w:szCs w:val="18"/>
        </w:rPr>
        <w:t>人群健康</w:t>
      </w:r>
      <w:r>
        <w:rPr>
          <w:rFonts w:ascii="宋体" w:hAnsi="宋体" w:eastAsia="宋体" w:cs="宋体"/>
          <w:spacing w:val="59"/>
          <w:sz w:val="18"/>
          <w:szCs w:val="18"/>
        </w:rPr>
        <w:t xml:space="preserve"> </w:t>
      </w:r>
      <w:r>
        <w:rPr>
          <w:rFonts w:ascii="Times New Roman" w:hAnsi="Times New Roman" w:eastAsia="Times New Roman" w:cs="Times New Roman"/>
          <w:sz w:val="18"/>
          <w:szCs w:val="18"/>
        </w:rPr>
        <w:t>population</w:t>
      </w:r>
      <w:r>
        <w:rPr>
          <w:rFonts w:ascii="Times New Roman" w:hAnsi="Times New Roman" w:eastAsia="Times New Roman" w:cs="Times New Roman"/>
          <w:spacing w:val="1"/>
          <w:sz w:val="18"/>
          <w:szCs w:val="18"/>
        </w:rPr>
        <w:t xml:space="preserve">  </w:t>
      </w:r>
      <w:r>
        <w:rPr>
          <w:rFonts w:ascii="Times New Roman" w:hAnsi="Times New Roman" w:eastAsia="Times New Roman" w:cs="Times New Roman"/>
          <w:sz w:val="18"/>
          <w:szCs w:val="18"/>
        </w:rPr>
        <w:t>health</w:t>
      </w:r>
      <w:r>
        <w:rPr>
          <w:rFonts w:ascii="Times New Roman" w:hAnsi="Times New Roman" w:eastAsia="Times New Roman" w:cs="Times New Roman"/>
          <w:spacing w:val="12"/>
          <w:w w:val="101"/>
          <w:sz w:val="18"/>
          <w:szCs w:val="18"/>
        </w:rPr>
        <w:t xml:space="preserve">  </w:t>
      </w:r>
      <w:r>
        <w:rPr>
          <w:rFonts w:ascii="Times New Roman" w:hAnsi="Times New Roman" w:eastAsia="Times New Roman" w:cs="Times New Roman"/>
          <w:spacing w:val="1"/>
          <w:sz w:val="18"/>
          <w:szCs w:val="18"/>
        </w:rPr>
        <w:t>136</w:t>
      </w:r>
    </w:p>
    <w:p w14:paraId="3F5E8AB0">
      <w:pPr>
        <w:spacing w:before="133" w:line="212" w:lineRule="auto"/>
        <w:rPr>
          <w:rFonts w:ascii="Times New Roman" w:hAnsi="Times New Roman" w:eastAsia="Times New Roman" w:cs="Times New Roman"/>
          <w:sz w:val="18"/>
          <w:szCs w:val="18"/>
        </w:rPr>
      </w:pPr>
      <w:r>
        <w:rPr>
          <w:rFonts w:ascii="宋体" w:hAnsi="宋体" w:eastAsia="宋体" w:cs="宋体"/>
          <w:spacing w:val="1"/>
          <w:sz w:val="18"/>
          <w:szCs w:val="18"/>
        </w:rPr>
        <w:t>人群易感性</w:t>
      </w:r>
      <w:r>
        <w:rPr>
          <w:rFonts w:ascii="宋体" w:hAnsi="宋体" w:eastAsia="宋体" w:cs="宋体"/>
          <w:spacing w:val="73"/>
          <w:sz w:val="18"/>
          <w:szCs w:val="18"/>
        </w:rPr>
        <w:t xml:space="preserve"> </w:t>
      </w:r>
      <w:r>
        <w:rPr>
          <w:rFonts w:ascii="Times New Roman" w:hAnsi="Times New Roman" w:eastAsia="Times New Roman" w:cs="Times New Roman"/>
          <w:sz w:val="18"/>
          <w:szCs w:val="18"/>
        </w:rPr>
        <w:t>herd</w:t>
      </w:r>
      <w:r>
        <w:rPr>
          <w:rFonts w:ascii="Times New Roman" w:hAnsi="Times New Roman" w:eastAsia="Times New Roman" w:cs="Times New Roman"/>
          <w:spacing w:val="1"/>
          <w:sz w:val="18"/>
          <w:szCs w:val="18"/>
        </w:rPr>
        <w:t xml:space="preserve">  </w:t>
      </w:r>
      <w:r>
        <w:rPr>
          <w:rFonts w:ascii="Times New Roman" w:hAnsi="Times New Roman" w:eastAsia="Times New Roman" w:cs="Times New Roman"/>
          <w:sz w:val="18"/>
          <w:szCs w:val="18"/>
        </w:rPr>
        <w:t>susceptibility</w:t>
      </w:r>
      <w:r>
        <w:rPr>
          <w:rFonts w:ascii="Times New Roman" w:hAnsi="Times New Roman" w:eastAsia="Times New Roman" w:cs="Times New Roman"/>
          <w:spacing w:val="10"/>
          <w:sz w:val="18"/>
          <w:szCs w:val="18"/>
        </w:rPr>
        <w:t xml:space="preserve">  </w:t>
      </w:r>
      <w:r>
        <w:rPr>
          <w:rFonts w:ascii="Times New Roman" w:hAnsi="Times New Roman" w:eastAsia="Times New Roman" w:cs="Times New Roman"/>
          <w:spacing w:val="1"/>
          <w:sz w:val="18"/>
          <w:szCs w:val="18"/>
        </w:rPr>
        <w:t>162</w:t>
      </w:r>
    </w:p>
    <w:p w14:paraId="4464DF7C">
      <w:pPr>
        <w:spacing w:before="154" w:line="219" w:lineRule="auto"/>
        <w:rPr>
          <w:rFonts w:ascii="Times New Roman" w:hAnsi="Times New Roman" w:eastAsia="Times New Roman" w:cs="Times New Roman"/>
          <w:sz w:val="18"/>
          <w:szCs w:val="18"/>
        </w:rPr>
      </w:pPr>
      <w:r>
        <w:rPr>
          <w:rFonts w:ascii="宋体" w:hAnsi="宋体" w:eastAsia="宋体" w:cs="宋体"/>
          <w:spacing w:val="1"/>
          <w:sz w:val="18"/>
          <w:szCs w:val="18"/>
        </w:rPr>
        <w:t>人兽共患病或人畜共患病</w:t>
      </w:r>
      <w:r>
        <w:rPr>
          <w:rFonts w:ascii="宋体" w:hAnsi="宋体" w:eastAsia="宋体" w:cs="宋体"/>
          <w:spacing w:val="50"/>
          <w:sz w:val="18"/>
          <w:szCs w:val="18"/>
        </w:rPr>
        <w:t xml:space="preserve"> </w:t>
      </w:r>
      <w:r>
        <w:rPr>
          <w:rFonts w:ascii="Times New Roman" w:hAnsi="Times New Roman" w:eastAsia="Times New Roman" w:cs="Times New Roman"/>
          <w:sz w:val="18"/>
          <w:szCs w:val="18"/>
        </w:rPr>
        <w:t>zoonosis</w:t>
      </w:r>
      <w:r>
        <w:rPr>
          <w:rFonts w:ascii="Times New Roman" w:hAnsi="Times New Roman" w:eastAsia="Times New Roman" w:cs="Times New Roman"/>
          <w:spacing w:val="1"/>
          <w:sz w:val="18"/>
          <w:szCs w:val="18"/>
        </w:rPr>
        <w:t xml:space="preserve">   160</w:t>
      </w:r>
    </w:p>
    <w:p w14:paraId="26B5E31F">
      <w:pPr>
        <w:spacing w:before="127" w:line="219" w:lineRule="auto"/>
        <w:rPr>
          <w:rFonts w:ascii="Times New Roman" w:hAnsi="Times New Roman" w:eastAsia="Times New Roman" w:cs="Times New Roman"/>
          <w:sz w:val="18"/>
          <w:szCs w:val="18"/>
        </w:rPr>
      </w:pPr>
      <w:r>
        <w:rPr>
          <w:rFonts w:ascii="宋体" w:hAnsi="宋体" w:eastAsia="宋体" w:cs="宋体"/>
          <w:spacing w:val="2"/>
          <w:sz w:val="18"/>
          <w:szCs w:val="18"/>
        </w:rPr>
        <w:t>人院率偏倚</w:t>
      </w:r>
      <w:r>
        <w:rPr>
          <w:rFonts w:ascii="宋体" w:hAnsi="宋体" w:eastAsia="宋体" w:cs="宋体"/>
          <w:spacing w:val="62"/>
          <w:sz w:val="18"/>
          <w:szCs w:val="18"/>
        </w:rPr>
        <w:t xml:space="preserve"> </w:t>
      </w:r>
      <w:r>
        <w:rPr>
          <w:rFonts w:ascii="Times New Roman" w:hAnsi="Times New Roman" w:eastAsia="Times New Roman" w:cs="Times New Roman"/>
          <w:sz w:val="18"/>
          <w:szCs w:val="18"/>
        </w:rPr>
        <w:t>admission</w:t>
      </w:r>
      <w:r>
        <w:rPr>
          <w:rFonts w:ascii="Times New Roman" w:hAnsi="Times New Roman" w:eastAsia="Times New Roman" w:cs="Times New Roman"/>
          <w:spacing w:val="32"/>
          <w:sz w:val="18"/>
          <w:szCs w:val="18"/>
        </w:rPr>
        <w:t xml:space="preserve"> </w:t>
      </w:r>
      <w:r>
        <w:rPr>
          <w:rFonts w:ascii="Times New Roman" w:hAnsi="Times New Roman" w:eastAsia="Times New Roman" w:cs="Times New Roman"/>
          <w:sz w:val="18"/>
          <w:szCs w:val="18"/>
        </w:rPr>
        <w:t>rate</w:t>
      </w:r>
      <w:r>
        <w:rPr>
          <w:rFonts w:ascii="Times New Roman" w:hAnsi="Times New Roman" w:eastAsia="Times New Roman" w:cs="Times New Roman"/>
          <w:spacing w:val="30"/>
          <w:sz w:val="18"/>
          <w:szCs w:val="18"/>
        </w:rPr>
        <w:t xml:space="preserve"> </w:t>
      </w:r>
      <w:r>
        <w:rPr>
          <w:rFonts w:ascii="Times New Roman" w:hAnsi="Times New Roman" w:eastAsia="Times New Roman" w:cs="Times New Roman"/>
          <w:sz w:val="18"/>
          <w:szCs w:val="18"/>
        </w:rPr>
        <w:t>bias</w:t>
      </w:r>
      <w:r>
        <w:rPr>
          <w:rFonts w:ascii="Times New Roman" w:hAnsi="Times New Roman" w:eastAsia="Times New Roman" w:cs="Times New Roman"/>
          <w:spacing w:val="37"/>
          <w:sz w:val="18"/>
          <w:szCs w:val="18"/>
        </w:rPr>
        <w:t xml:space="preserve"> </w:t>
      </w:r>
      <w:r>
        <w:rPr>
          <w:rFonts w:ascii="Times New Roman" w:hAnsi="Times New Roman" w:eastAsia="Times New Roman" w:cs="Times New Roman"/>
          <w:spacing w:val="2"/>
          <w:sz w:val="18"/>
          <w:szCs w:val="18"/>
        </w:rPr>
        <w:t>79</w:t>
      </w:r>
    </w:p>
    <w:p w14:paraId="6490315D">
      <w:pPr>
        <w:spacing w:line="276" w:lineRule="auto"/>
        <w:rPr>
          <w:rFonts w:ascii="Arial"/>
          <w:sz w:val="21"/>
        </w:rPr>
      </w:pPr>
    </w:p>
    <w:p w14:paraId="3CE52316">
      <w:pPr>
        <w:spacing w:before="84" w:line="198" w:lineRule="auto"/>
        <w:rPr>
          <w:rFonts w:ascii="Arial" w:hAnsi="Arial" w:eastAsia="Arial" w:cs="Arial"/>
          <w:sz w:val="29"/>
          <w:szCs w:val="29"/>
        </w:rPr>
      </w:pPr>
      <w:r>
        <w:rPr>
          <w:rFonts w:ascii="Arial" w:hAnsi="Arial" w:eastAsia="Arial" w:cs="Arial"/>
          <w:sz w:val="29"/>
          <w:szCs w:val="29"/>
        </w:rPr>
        <w:t>S</w:t>
      </w:r>
    </w:p>
    <w:sdt>
      <w:sdtPr>
        <w:rPr>
          <w:rFonts w:ascii="宋体" w:hAnsi="宋体" w:eastAsia="宋体" w:cs="宋体"/>
          <w:sz w:val="18"/>
          <w:szCs w:val="18"/>
        </w:rPr>
        <w:id w:val="86856375"/>
        <w:docPartObj>
          <w:docPartGallery w:val="Table of Contents"/>
          <w:docPartUnique/>
        </w:docPartObj>
      </w:sdtPr>
      <w:sdtEndPr>
        <w:rPr>
          <w:rFonts w:ascii="Times New Roman" w:hAnsi="Times New Roman" w:eastAsia="Times New Roman" w:cs="Times New Roman"/>
          <w:sz w:val="18"/>
          <w:szCs w:val="18"/>
        </w:rPr>
      </w:sdtEndPr>
      <w:sdtContent>
        <w:p w14:paraId="0F257691">
          <w:pPr>
            <w:spacing w:before="219" w:line="212" w:lineRule="auto"/>
            <w:rPr>
              <w:rFonts w:ascii="Times New Roman" w:hAnsi="Times New Roman" w:eastAsia="Times New Roman" w:cs="Times New Roman"/>
              <w:sz w:val="18"/>
              <w:szCs w:val="18"/>
            </w:rPr>
          </w:pPr>
          <w:r>
            <w:rPr>
              <w:rFonts w:ascii="宋体" w:hAnsi="宋体" w:eastAsia="宋体" w:cs="宋体"/>
              <w:spacing w:val="-1"/>
              <w:sz w:val="18"/>
              <w:szCs w:val="18"/>
            </w:rPr>
            <w:t xml:space="preserve">三盲  </w:t>
          </w:r>
          <w:r>
            <w:rPr>
              <w:rFonts w:ascii="Times New Roman" w:hAnsi="Times New Roman" w:eastAsia="Times New Roman" w:cs="Times New Roman"/>
              <w:spacing w:val="-1"/>
              <w:sz w:val="18"/>
              <w:szCs w:val="18"/>
            </w:rPr>
            <w:t>triple</w:t>
          </w:r>
          <w:r>
            <w:rPr>
              <w:rFonts w:ascii="Times New Roman" w:hAnsi="Times New Roman" w:eastAsia="Times New Roman" w:cs="Times New Roman"/>
              <w:spacing w:val="17"/>
              <w:w w:val="101"/>
              <w:sz w:val="18"/>
              <w:szCs w:val="18"/>
            </w:rPr>
            <w:t xml:space="preserve">  </w:t>
          </w:r>
          <w:r>
            <w:rPr>
              <w:rFonts w:ascii="Times New Roman" w:hAnsi="Times New Roman" w:eastAsia="Times New Roman" w:cs="Times New Roman"/>
              <w:spacing w:val="-1"/>
              <w:sz w:val="18"/>
              <w:szCs w:val="18"/>
            </w:rPr>
            <w:t>blind</w:t>
          </w:r>
          <w:r>
            <w:rPr>
              <w:rFonts w:ascii="Times New Roman" w:hAnsi="Times New Roman" w:eastAsia="Times New Roman" w:cs="Times New Roman"/>
              <w:spacing w:val="16"/>
              <w:sz w:val="18"/>
              <w:szCs w:val="18"/>
            </w:rPr>
            <w:t xml:space="preserve">  </w:t>
          </w:r>
          <w:r>
            <w:fldChar w:fldCharType="begin"/>
          </w:r>
          <w:r>
            <w:instrText xml:space="preserve"> HYPERLINK \l "bookmark704" </w:instrText>
          </w:r>
          <w:r>
            <w:fldChar w:fldCharType="separate"/>
          </w:r>
          <w:r>
            <w:rPr>
              <w:rFonts w:ascii="Times New Roman" w:hAnsi="Times New Roman" w:eastAsia="Times New Roman" w:cs="Times New Roman"/>
              <w:spacing w:val="-1"/>
              <w:sz w:val="18"/>
              <w:szCs w:val="18"/>
            </w:rPr>
            <w:t>92</w:t>
          </w:r>
          <w:r>
            <w:rPr>
              <w:rFonts w:ascii="Times New Roman" w:hAnsi="Times New Roman" w:eastAsia="Times New Roman" w:cs="Times New Roman"/>
              <w:spacing w:val="-1"/>
              <w:sz w:val="18"/>
              <w:szCs w:val="18"/>
            </w:rPr>
            <w:fldChar w:fldCharType="end"/>
          </w:r>
        </w:p>
        <w:p w14:paraId="7D13954E">
          <w:pPr>
            <w:spacing w:before="133" w:line="212" w:lineRule="auto"/>
            <w:rPr>
              <w:rFonts w:ascii="Times New Roman" w:hAnsi="Times New Roman" w:eastAsia="Times New Roman" w:cs="Times New Roman"/>
              <w:sz w:val="18"/>
              <w:szCs w:val="18"/>
            </w:rPr>
          </w:pPr>
          <w:r>
            <w:rPr>
              <w:rFonts w:ascii="宋体" w:hAnsi="宋体" w:eastAsia="宋体" w:cs="宋体"/>
              <w:spacing w:val="2"/>
              <w:sz w:val="18"/>
              <w:szCs w:val="18"/>
            </w:rPr>
            <w:t>散发</w:t>
          </w:r>
          <w:r>
            <w:rPr>
              <w:rFonts w:ascii="宋体" w:hAnsi="宋体" w:eastAsia="宋体" w:cs="宋体"/>
              <w:spacing w:val="54"/>
              <w:sz w:val="18"/>
              <w:szCs w:val="18"/>
            </w:rPr>
            <w:t xml:space="preserve"> </w:t>
          </w:r>
          <w:r>
            <w:rPr>
              <w:rFonts w:ascii="Times New Roman" w:hAnsi="Times New Roman" w:eastAsia="Times New Roman" w:cs="Times New Roman"/>
              <w:sz w:val="18"/>
              <w:szCs w:val="18"/>
            </w:rPr>
            <w:t>sporadic</w:t>
          </w:r>
          <w:r>
            <w:rPr>
              <w:rFonts w:ascii="Times New Roman" w:hAnsi="Times New Roman" w:eastAsia="Times New Roman" w:cs="Times New Roman"/>
              <w:spacing w:val="2"/>
              <w:sz w:val="18"/>
              <w:szCs w:val="18"/>
            </w:rPr>
            <w:t xml:space="preserve">     </w:t>
          </w:r>
          <w:r>
            <w:fldChar w:fldCharType="begin"/>
          </w:r>
          <w:r>
            <w:instrText xml:space="preserve"> HYPERLINK \l "bookmark705" </w:instrText>
          </w:r>
          <w:r>
            <w:fldChar w:fldCharType="separate"/>
          </w:r>
          <w:r>
            <w:rPr>
              <w:rFonts w:ascii="Times New Roman" w:hAnsi="Times New Roman" w:eastAsia="Times New Roman" w:cs="Times New Roman"/>
              <w:spacing w:val="2"/>
              <w:sz w:val="18"/>
              <w:szCs w:val="18"/>
            </w:rPr>
            <w:t>17</w:t>
          </w:r>
          <w:r>
            <w:rPr>
              <w:rFonts w:ascii="Times New Roman" w:hAnsi="Times New Roman" w:eastAsia="Times New Roman" w:cs="Times New Roman"/>
              <w:spacing w:val="2"/>
              <w:sz w:val="18"/>
              <w:szCs w:val="18"/>
            </w:rPr>
            <w:fldChar w:fldCharType="end"/>
          </w:r>
        </w:p>
      </w:sdtContent>
    </w:sdt>
    <w:p w14:paraId="7D8F15C1">
      <w:pPr>
        <w:spacing w:before="134" w:line="212" w:lineRule="auto"/>
        <w:rPr>
          <w:rFonts w:ascii="Times New Roman" w:hAnsi="Times New Roman" w:eastAsia="Times New Roman" w:cs="Times New Roman"/>
          <w:sz w:val="18"/>
          <w:szCs w:val="18"/>
        </w:rPr>
      </w:pPr>
      <w:r>
        <w:rPr>
          <w:rFonts w:ascii="宋体" w:hAnsi="宋体" w:eastAsia="宋体" w:cs="宋体"/>
          <w:spacing w:val="2"/>
          <w:sz w:val="18"/>
          <w:szCs w:val="18"/>
        </w:rPr>
        <w:t>森林图</w:t>
      </w:r>
      <w:r>
        <w:rPr>
          <w:rFonts w:ascii="宋体" w:hAnsi="宋体" w:eastAsia="宋体" w:cs="宋体"/>
          <w:spacing w:val="81"/>
          <w:sz w:val="18"/>
          <w:szCs w:val="18"/>
        </w:rPr>
        <w:t xml:space="preserve"> </w:t>
      </w:r>
      <w:r>
        <w:rPr>
          <w:rFonts w:ascii="Times New Roman" w:hAnsi="Times New Roman" w:eastAsia="Times New Roman" w:cs="Times New Roman"/>
          <w:sz w:val="18"/>
          <w:szCs w:val="18"/>
        </w:rPr>
        <w:t>forest</w:t>
      </w:r>
      <w:r>
        <w:rPr>
          <w:rFonts w:ascii="Times New Roman" w:hAnsi="Times New Roman" w:eastAsia="Times New Roman" w:cs="Times New Roman"/>
          <w:spacing w:val="2"/>
          <w:sz w:val="18"/>
          <w:szCs w:val="18"/>
        </w:rPr>
        <w:t xml:space="preserve">  </w:t>
      </w:r>
      <w:r>
        <w:rPr>
          <w:rFonts w:ascii="Times New Roman" w:hAnsi="Times New Roman" w:eastAsia="Times New Roman" w:cs="Times New Roman"/>
          <w:sz w:val="18"/>
          <w:szCs w:val="18"/>
        </w:rPr>
        <w:t>plot</w:t>
      </w:r>
      <w:r>
        <w:rPr>
          <w:rFonts w:ascii="Times New Roman" w:hAnsi="Times New Roman" w:eastAsia="Times New Roman" w:cs="Times New Roman"/>
          <w:spacing w:val="5"/>
          <w:sz w:val="18"/>
          <w:szCs w:val="18"/>
        </w:rPr>
        <w:t xml:space="preserve">  </w:t>
      </w:r>
      <w:r>
        <w:rPr>
          <w:rFonts w:ascii="Times New Roman" w:hAnsi="Times New Roman" w:eastAsia="Times New Roman" w:cs="Times New Roman"/>
          <w:spacing w:val="2"/>
          <w:sz w:val="18"/>
          <w:szCs w:val="18"/>
        </w:rPr>
        <w:t>257</w:t>
      </w:r>
    </w:p>
    <w:p w14:paraId="0F01FC18">
      <w:pPr>
        <w:spacing w:before="133" w:line="212" w:lineRule="auto"/>
        <w:rPr>
          <w:rFonts w:ascii="Times New Roman" w:hAnsi="Times New Roman" w:eastAsia="Times New Roman" w:cs="Times New Roman"/>
          <w:sz w:val="18"/>
          <w:szCs w:val="18"/>
        </w:rPr>
      </w:pPr>
      <w:r>
        <w:rPr>
          <w:rFonts w:ascii="宋体" w:hAnsi="宋体" w:eastAsia="宋体" w:cs="宋体"/>
          <w:sz w:val="18"/>
          <w:szCs w:val="18"/>
        </w:rPr>
        <w:t>筛检或筛查</w:t>
      </w:r>
      <w:r>
        <w:rPr>
          <w:rFonts w:ascii="宋体" w:hAnsi="宋体" w:eastAsia="宋体" w:cs="宋体"/>
          <w:spacing w:val="55"/>
          <w:sz w:val="18"/>
          <w:szCs w:val="18"/>
        </w:rPr>
        <w:t xml:space="preserve"> </w:t>
      </w:r>
      <w:r>
        <w:rPr>
          <w:rFonts w:ascii="Times New Roman" w:hAnsi="Times New Roman" w:eastAsia="Times New Roman" w:cs="Times New Roman"/>
          <w:sz w:val="18"/>
          <w:szCs w:val="18"/>
        </w:rPr>
        <w:t>screening</w:t>
      </w:r>
      <w:r>
        <w:rPr>
          <w:rFonts w:ascii="Times New Roman" w:hAnsi="Times New Roman" w:eastAsia="Times New Roman" w:cs="Times New Roman"/>
          <w:spacing w:val="10"/>
          <w:sz w:val="18"/>
          <w:szCs w:val="18"/>
        </w:rPr>
        <w:t xml:space="preserve">    </w:t>
      </w:r>
      <w:r>
        <w:rPr>
          <w:rFonts w:ascii="Times New Roman" w:hAnsi="Times New Roman" w:eastAsia="Times New Roman" w:cs="Times New Roman"/>
          <w:sz w:val="18"/>
          <w:szCs w:val="18"/>
        </w:rPr>
        <w:t>101</w:t>
      </w:r>
    </w:p>
    <w:p w14:paraId="087B1FAF">
      <w:pPr>
        <w:spacing w:before="133" w:line="198" w:lineRule="auto"/>
        <w:rPr>
          <w:rFonts w:ascii="Times New Roman" w:hAnsi="Times New Roman" w:eastAsia="Times New Roman" w:cs="Times New Roman"/>
          <w:sz w:val="18"/>
          <w:szCs w:val="18"/>
        </w:rPr>
      </w:pPr>
      <w:r>
        <w:rPr>
          <w:rFonts w:ascii="宋体" w:hAnsi="宋体" w:eastAsia="宋体" w:cs="宋体"/>
          <w:sz w:val="18"/>
          <w:szCs w:val="18"/>
        </w:rPr>
        <w:t>筛检试验</w:t>
      </w:r>
      <w:r>
        <w:rPr>
          <w:rFonts w:ascii="宋体" w:hAnsi="宋体" w:eastAsia="宋体" w:cs="宋体"/>
          <w:spacing w:val="56"/>
          <w:w w:val="101"/>
          <w:sz w:val="18"/>
          <w:szCs w:val="18"/>
        </w:rPr>
        <w:t xml:space="preserve"> </w:t>
      </w:r>
      <w:r>
        <w:rPr>
          <w:rFonts w:ascii="Times New Roman" w:hAnsi="Times New Roman" w:eastAsia="Times New Roman" w:cs="Times New Roman"/>
          <w:sz w:val="18"/>
          <w:szCs w:val="18"/>
        </w:rPr>
        <w:t>screening</w:t>
      </w:r>
      <w:r>
        <w:rPr>
          <w:rFonts w:ascii="Times New Roman" w:hAnsi="Times New Roman" w:eastAsia="Times New Roman" w:cs="Times New Roman"/>
          <w:spacing w:val="14"/>
          <w:w w:val="101"/>
          <w:sz w:val="18"/>
          <w:szCs w:val="18"/>
        </w:rPr>
        <w:t xml:space="preserve">  </w:t>
      </w:r>
      <w:r>
        <w:rPr>
          <w:rFonts w:ascii="Times New Roman" w:hAnsi="Times New Roman" w:eastAsia="Times New Roman" w:cs="Times New Roman"/>
          <w:sz w:val="18"/>
          <w:szCs w:val="18"/>
        </w:rPr>
        <w:t>test   103</w:t>
      </w:r>
    </w:p>
    <w:p w14:paraId="747A2C80">
      <w:pPr>
        <w:spacing w:line="198" w:lineRule="auto"/>
        <w:rPr>
          <w:rFonts w:ascii="Times New Roman" w:hAnsi="Times New Roman" w:eastAsia="Times New Roman" w:cs="Times New Roman"/>
          <w:sz w:val="18"/>
          <w:szCs w:val="18"/>
        </w:rPr>
        <w:sectPr>
          <w:type w:val="continuous"/>
          <w:pgSz w:w="11900" w:h="16820"/>
          <w:pgMar w:top="400" w:right="1294" w:bottom="775" w:left="1229" w:header="0" w:footer="613" w:gutter="0"/>
          <w:cols w:equalWidth="0" w:num="2">
            <w:col w:w="4931" w:space="100"/>
            <w:col w:w="4346"/>
          </w:cols>
        </w:sectPr>
      </w:pPr>
    </w:p>
    <w:p w14:paraId="63107390">
      <w:pPr>
        <w:spacing w:line="345" w:lineRule="auto"/>
        <w:rPr>
          <w:rFonts w:ascii="Arial"/>
          <w:sz w:val="21"/>
        </w:rPr>
      </w:pPr>
    </w:p>
    <w:p w14:paraId="3D8AF666">
      <w:pPr>
        <w:pStyle w:val="2"/>
        <w:spacing w:before="59" w:line="222" w:lineRule="auto"/>
        <w:rPr>
          <w:sz w:val="18"/>
          <w:szCs w:val="18"/>
        </w:rPr>
      </w:pPr>
      <w:r>
        <w:rPr>
          <w:spacing w:val="-13"/>
          <w:sz w:val="18"/>
          <w:szCs w:val="18"/>
        </w:rPr>
        <w:t>中英文名词对照索引</w:t>
      </w:r>
    </w:p>
    <w:p w14:paraId="3011424E">
      <w:pPr>
        <w:spacing w:before="41"/>
      </w:pPr>
    </w:p>
    <w:p w14:paraId="7EBF2E77">
      <w:pPr>
        <w:spacing w:before="41"/>
      </w:pPr>
    </w:p>
    <w:p w14:paraId="375736FB">
      <w:pPr>
        <w:sectPr>
          <w:footerReference r:id="rId393" w:type="default"/>
          <w:pgSz w:w="11900" w:h="16820"/>
          <w:pgMar w:top="400" w:right="1310" w:bottom="835" w:left="1259" w:header="0" w:footer="673" w:gutter="0"/>
          <w:cols w:equalWidth="0" w:num="1">
            <w:col w:w="9330"/>
          </w:cols>
        </w:sectPr>
      </w:pPr>
    </w:p>
    <w:p w14:paraId="3680244A">
      <w:pPr>
        <w:spacing w:before="38" w:line="212" w:lineRule="auto"/>
        <w:rPr>
          <w:rFonts w:ascii="Times New Roman" w:hAnsi="Times New Roman" w:eastAsia="Times New Roman" w:cs="Times New Roman"/>
          <w:sz w:val="18"/>
          <w:szCs w:val="18"/>
        </w:rPr>
      </w:pPr>
      <w:r>
        <w:rPr>
          <w:rFonts w:ascii="宋体" w:hAnsi="宋体" w:eastAsia="宋体" w:cs="宋体"/>
          <w:spacing w:val="1"/>
          <w:sz w:val="18"/>
          <w:szCs w:val="18"/>
        </w:rPr>
        <w:t>伤残调整寿命年</w:t>
      </w:r>
      <w:r>
        <w:rPr>
          <w:rFonts w:ascii="宋体" w:hAnsi="宋体" w:eastAsia="宋体" w:cs="宋体"/>
          <w:spacing w:val="58"/>
          <w:sz w:val="18"/>
          <w:szCs w:val="18"/>
        </w:rPr>
        <w:t xml:space="preserve"> </w:t>
      </w:r>
      <w:r>
        <w:rPr>
          <w:rFonts w:ascii="Times New Roman" w:hAnsi="Times New Roman" w:eastAsia="Times New Roman" w:cs="Times New Roman"/>
          <w:sz w:val="18"/>
          <w:szCs w:val="18"/>
        </w:rPr>
        <w:t>disability</w:t>
      </w:r>
      <w:r>
        <w:rPr>
          <w:rFonts w:ascii="Times New Roman" w:hAnsi="Times New Roman" w:eastAsia="Times New Roman" w:cs="Times New Roman"/>
          <w:spacing w:val="1"/>
          <w:sz w:val="18"/>
          <w:szCs w:val="18"/>
        </w:rPr>
        <w:t>-</w:t>
      </w:r>
      <w:r>
        <w:rPr>
          <w:rFonts w:ascii="Times New Roman" w:hAnsi="Times New Roman" w:eastAsia="Times New Roman" w:cs="Times New Roman"/>
          <w:sz w:val="18"/>
          <w:szCs w:val="18"/>
        </w:rPr>
        <w:t>adjusted</w:t>
      </w:r>
      <w:r>
        <w:rPr>
          <w:rFonts w:ascii="Times New Roman" w:hAnsi="Times New Roman" w:eastAsia="Times New Roman" w:cs="Times New Roman"/>
          <w:spacing w:val="17"/>
          <w:sz w:val="18"/>
          <w:szCs w:val="18"/>
        </w:rPr>
        <w:t xml:space="preserve">  </w:t>
      </w:r>
      <w:r>
        <w:rPr>
          <w:rFonts w:ascii="Times New Roman" w:hAnsi="Times New Roman" w:eastAsia="Times New Roman" w:cs="Times New Roman"/>
          <w:sz w:val="18"/>
          <w:szCs w:val="18"/>
        </w:rPr>
        <w:t>life</w:t>
      </w:r>
      <w:r>
        <w:rPr>
          <w:rFonts w:ascii="Times New Roman" w:hAnsi="Times New Roman" w:eastAsia="Times New Roman" w:cs="Times New Roman"/>
          <w:spacing w:val="15"/>
          <w:w w:val="101"/>
          <w:sz w:val="18"/>
          <w:szCs w:val="18"/>
        </w:rPr>
        <w:t xml:space="preserve">  </w:t>
      </w:r>
      <w:r>
        <w:rPr>
          <w:rFonts w:ascii="Times New Roman" w:hAnsi="Times New Roman" w:eastAsia="Times New Roman" w:cs="Times New Roman"/>
          <w:sz w:val="18"/>
          <w:szCs w:val="18"/>
        </w:rPr>
        <w:t>year</w:t>
      </w:r>
      <w:r>
        <w:rPr>
          <w:rFonts w:ascii="Times New Roman" w:hAnsi="Times New Roman" w:eastAsia="Times New Roman" w:cs="Times New Roman"/>
          <w:spacing w:val="1"/>
          <w:sz w:val="18"/>
          <w:szCs w:val="18"/>
        </w:rPr>
        <w:t>,</w:t>
      </w:r>
      <w:r>
        <w:rPr>
          <w:rFonts w:ascii="Times New Roman" w:hAnsi="Times New Roman" w:eastAsia="Times New Roman" w:cs="Times New Roman"/>
          <w:sz w:val="18"/>
          <w:szCs w:val="18"/>
        </w:rPr>
        <w:t>DALY</w:t>
      </w:r>
      <w:r>
        <w:rPr>
          <w:rFonts w:ascii="Times New Roman" w:hAnsi="Times New Roman" w:eastAsia="Times New Roman" w:cs="Times New Roman"/>
          <w:spacing w:val="1"/>
          <w:sz w:val="18"/>
          <w:szCs w:val="18"/>
        </w:rPr>
        <w:t xml:space="preserve">   16,</w:t>
      </w:r>
    </w:p>
    <w:p w14:paraId="1C4D1644">
      <w:pPr>
        <w:spacing w:before="171" w:line="188" w:lineRule="auto"/>
        <w:ind w:left="240"/>
        <w:rPr>
          <w:rFonts w:ascii="Times New Roman" w:hAnsi="Times New Roman" w:eastAsia="Times New Roman" w:cs="Times New Roman"/>
          <w:sz w:val="18"/>
          <w:szCs w:val="18"/>
        </w:rPr>
      </w:pPr>
      <w:r>
        <w:rPr>
          <w:rFonts w:ascii="Times New Roman" w:hAnsi="Times New Roman" w:eastAsia="Times New Roman" w:cs="Times New Roman"/>
          <w:spacing w:val="-5"/>
          <w:sz w:val="18"/>
          <w:szCs w:val="18"/>
        </w:rPr>
        <w:t>185</w:t>
      </w:r>
    </w:p>
    <w:p w14:paraId="2673C7C8">
      <w:pPr>
        <w:spacing w:before="180" w:line="212" w:lineRule="auto"/>
        <w:rPr>
          <w:rFonts w:ascii="Times New Roman" w:hAnsi="Times New Roman" w:eastAsia="Times New Roman" w:cs="Times New Roman"/>
          <w:sz w:val="18"/>
          <w:szCs w:val="18"/>
        </w:rPr>
      </w:pPr>
      <w:r>
        <w:rPr>
          <w:rFonts w:ascii="宋体" w:hAnsi="宋体" w:eastAsia="宋体" w:cs="宋体"/>
          <w:spacing w:val="3"/>
          <w:sz w:val="18"/>
          <w:szCs w:val="18"/>
        </w:rPr>
        <w:t>伤害</w:t>
      </w:r>
      <w:r>
        <w:rPr>
          <w:rFonts w:ascii="宋体" w:hAnsi="宋体" w:eastAsia="宋体" w:cs="宋体"/>
          <w:spacing w:val="71"/>
          <w:sz w:val="18"/>
          <w:szCs w:val="18"/>
        </w:rPr>
        <w:t xml:space="preserve"> </w:t>
      </w:r>
      <w:r>
        <w:rPr>
          <w:rFonts w:ascii="Times New Roman" w:hAnsi="Times New Roman" w:eastAsia="Times New Roman" w:cs="Times New Roman"/>
          <w:sz w:val="18"/>
          <w:szCs w:val="18"/>
        </w:rPr>
        <w:t>injury</w:t>
      </w:r>
      <w:r>
        <w:rPr>
          <w:rFonts w:ascii="Times New Roman" w:hAnsi="Times New Roman" w:eastAsia="Times New Roman" w:cs="Times New Roman"/>
          <w:spacing w:val="3"/>
          <w:sz w:val="18"/>
          <w:szCs w:val="18"/>
        </w:rPr>
        <w:t xml:space="preserve">     204</w:t>
      </w:r>
    </w:p>
    <w:p w14:paraId="28B25032">
      <w:pPr>
        <w:spacing w:before="133" w:line="212" w:lineRule="auto"/>
        <w:rPr>
          <w:rFonts w:ascii="Times New Roman" w:hAnsi="Times New Roman" w:eastAsia="Times New Roman" w:cs="Times New Roman"/>
          <w:sz w:val="18"/>
          <w:szCs w:val="18"/>
        </w:rPr>
      </w:pPr>
      <w:r>
        <w:rPr>
          <w:rFonts w:ascii="宋体" w:hAnsi="宋体" w:eastAsia="宋体" w:cs="宋体"/>
          <w:spacing w:val="4"/>
          <w:sz w:val="18"/>
          <w:szCs w:val="18"/>
        </w:rPr>
        <w:t>伤害流行病学</w:t>
      </w:r>
      <w:r>
        <w:rPr>
          <w:rFonts w:ascii="宋体" w:hAnsi="宋体" w:eastAsia="宋体" w:cs="宋体"/>
          <w:spacing w:val="77"/>
          <w:sz w:val="18"/>
          <w:szCs w:val="18"/>
        </w:rPr>
        <w:t xml:space="preserve"> </w:t>
      </w:r>
      <w:r>
        <w:rPr>
          <w:rFonts w:ascii="Times New Roman" w:hAnsi="Times New Roman" w:eastAsia="Times New Roman" w:cs="Times New Roman"/>
          <w:sz w:val="18"/>
          <w:szCs w:val="18"/>
        </w:rPr>
        <w:t>injury</w:t>
      </w:r>
      <w:r>
        <w:rPr>
          <w:rFonts w:ascii="Times New Roman" w:hAnsi="Times New Roman" w:eastAsia="Times New Roman" w:cs="Times New Roman"/>
          <w:spacing w:val="16"/>
          <w:w w:val="101"/>
          <w:sz w:val="18"/>
          <w:szCs w:val="18"/>
        </w:rPr>
        <w:t xml:space="preserve">  </w:t>
      </w:r>
      <w:r>
        <w:rPr>
          <w:rFonts w:ascii="Times New Roman" w:hAnsi="Times New Roman" w:eastAsia="Times New Roman" w:cs="Times New Roman"/>
          <w:sz w:val="18"/>
          <w:szCs w:val="18"/>
        </w:rPr>
        <w:t>epidemiology</w:t>
      </w:r>
      <w:r>
        <w:rPr>
          <w:rFonts w:ascii="Times New Roman" w:hAnsi="Times New Roman" w:eastAsia="Times New Roman" w:cs="Times New Roman"/>
          <w:spacing w:val="15"/>
          <w:sz w:val="18"/>
          <w:szCs w:val="18"/>
        </w:rPr>
        <w:t xml:space="preserve">  </w:t>
      </w:r>
      <w:r>
        <w:rPr>
          <w:rFonts w:ascii="Times New Roman" w:hAnsi="Times New Roman" w:eastAsia="Times New Roman" w:cs="Times New Roman"/>
          <w:spacing w:val="4"/>
          <w:sz w:val="18"/>
          <w:szCs w:val="18"/>
        </w:rPr>
        <w:t>204</w:t>
      </w:r>
    </w:p>
    <w:p w14:paraId="724DB69B">
      <w:pPr>
        <w:spacing w:before="157" w:line="214" w:lineRule="auto"/>
        <w:rPr>
          <w:rFonts w:ascii="宋体" w:hAnsi="宋体" w:eastAsia="宋体" w:cs="宋体"/>
          <w:sz w:val="18"/>
          <w:szCs w:val="18"/>
        </w:rPr>
      </w:pPr>
      <w:r>
        <w:rPr>
          <w:rFonts w:ascii="宋体" w:hAnsi="宋体" w:eastAsia="宋体" w:cs="宋体"/>
          <w:spacing w:val="-11"/>
          <w:sz w:val="18"/>
          <w:szCs w:val="18"/>
        </w:rPr>
        <w:t>上市后临床试验</w:t>
      </w:r>
      <w:r>
        <w:rPr>
          <w:rFonts w:ascii="宋体" w:hAnsi="宋体" w:eastAsia="宋体" w:cs="宋体"/>
          <w:spacing w:val="65"/>
          <w:sz w:val="18"/>
          <w:szCs w:val="18"/>
        </w:rPr>
        <w:t xml:space="preserve"> </w:t>
      </w:r>
      <w:r>
        <w:rPr>
          <w:rFonts w:ascii="宋体" w:hAnsi="宋体" w:eastAsia="宋体" w:cs="宋体"/>
          <w:spacing w:val="-11"/>
          <w:sz w:val="18"/>
          <w:szCs w:val="18"/>
        </w:rPr>
        <w:t>post-marketing clinical trial 85</w:t>
      </w:r>
    </w:p>
    <w:p w14:paraId="2CF676C2">
      <w:pPr>
        <w:spacing w:before="127" w:line="212" w:lineRule="auto"/>
        <w:rPr>
          <w:rFonts w:ascii="Times New Roman" w:hAnsi="Times New Roman" w:eastAsia="Times New Roman" w:cs="Times New Roman"/>
          <w:sz w:val="18"/>
          <w:szCs w:val="18"/>
        </w:rPr>
      </w:pPr>
      <w:r>
        <w:rPr>
          <w:rFonts w:ascii="宋体" w:hAnsi="宋体" w:eastAsia="宋体" w:cs="宋体"/>
          <w:spacing w:val="4"/>
          <w:sz w:val="18"/>
          <w:szCs w:val="18"/>
        </w:rPr>
        <w:t>上市前临床试验</w:t>
      </w:r>
      <w:r>
        <w:rPr>
          <w:rFonts w:ascii="宋体" w:hAnsi="宋体" w:eastAsia="宋体" w:cs="宋体"/>
          <w:spacing w:val="56"/>
          <w:sz w:val="18"/>
          <w:szCs w:val="18"/>
        </w:rPr>
        <w:t xml:space="preserve"> </w:t>
      </w:r>
      <w:r>
        <w:rPr>
          <w:rFonts w:ascii="Times New Roman" w:hAnsi="Times New Roman" w:eastAsia="Times New Roman" w:cs="Times New Roman"/>
          <w:sz w:val="18"/>
          <w:szCs w:val="18"/>
        </w:rPr>
        <w:t>pre</w:t>
      </w:r>
      <w:r>
        <w:rPr>
          <w:rFonts w:ascii="Times New Roman" w:hAnsi="Times New Roman" w:eastAsia="Times New Roman" w:cs="Times New Roman"/>
          <w:spacing w:val="4"/>
          <w:sz w:val="18"/>
          <w:szCs w:val="18"/>
        </w:rPr>
        <w:t>-</w:t>
      </w:r>
      <w:r>
        <w:rPr>
          <w:rFonts w:ascii="Times New Roman" w:hAnsi="Times New Roman" w:eastAsia="Times New Roman" w:cs="Times New Roman"/>
          <w:sz w:val="18"/>
          <w:szCs w:val="18"/>
        </w:rPr>
        <w:t>marketing</w:t>
      </w:r>
      <w:r>
        <w:rPr>
          <w:rFonts w:ascii="Times New Roman" w:hAnsi="Times New Roman" w:eastAsia="Times New Roman" w:cs="Times New Roman"/>
          <w:spacing w:val="4"/>
          <w:sz w:val="18"/>
          <w:szCs w:val="18"/>
        </w:rPr>
        <w:t xml:space="preserve">  </w:t>
      </w:r>
      <w:r>
        <w:rPr>
          <w:rFonts w:ascii="Times New Roman" w:hAnsi="Times New Roman" w:eastAsia="Times New Roman" w:cs="Times New Roman"/>
          <w:sz w:val="18"/>
          <w:szCs w:val="18"/>
        </w:rPr>
        <w:t>clinical</w:t>
      </w:r>
      <w:r>
        <w:rPr>
          <w:rFonts w:ascii="Times New Roman" w:hAnsi="Times New Roman" w:eastAsia="Times New Roman" w:cs="Times New Roman"/>
          <w:spacing w:val="8"/>
          <w:sz w:val="18"/>
          <w:szCs w:val="18"/>
        </w:rPr>
        <w:t xml:space="preserve">  </w:t>
      </w:r>
      <w:r>
        <w:rPr>
          <w:rFonts w:ascii="Times New Roman" w:hAnsi="Times New Roman" w:eastAsia="Times New Roman" w:cs="Times New Roman"/>
          <w:sz w:val="18"/>
          <w:szCs w:val="18"/>
        </w:rPr>
        <w:t>trial</w:t>
      </w:r>
      <w:r>
        <w:rPr>
          <w:rFonts w:ascii="Times New Roman" w:hAnsi="Times New Roman" w:eastAsia="Times New Roman" w:cs="Times New Roman"/>
          <w:spacing w:val="13"/>
          <w:w w:val="101"/>
          <w:sz w:val="18"/>
          <w:szCs w:val="18"/>
        </w:rPr>
        <w:t xml:space="preserve">  </w:t>
      </w:r>
      <w:r>
        <w:rPr>
          <w:rFonts w:ascii="Times New Roman" w:hAnsi="Times New Roman" w:eastAsia="Times New Roman" w:cs="Times New Roman"/>
          <w:spacing w:val="4"/>
          <w:sz w:val="18"/>
          <w:szCs w:val="18"/>
        </w:rPr>
        <w:t>85</w:t>
      </w:r>
    </w:p>
    <w:p w14:paraId="760A6D28">
      <w:pPr>
        <w:spacing w:before="165" w:line="221" w:lineRule="auto"/>
        <w:rPr>
          <w:rFonts w:ascii="Times New Roman" w:hAnsi="Times New Roman" w:eastAsia="Times New Roman" w:cs="Times New Roman"/>
          <w:sz w:val="18"/>
          <w:szCs w:val="18"/>
        </w:rPr>
      </w:pPr>
      <w:r>
        <w:rPr>
          <w:rFonts w:ascii="宋体" w:hAnsi="宋体" w:eastAsia="宋体" w:cs="宋体"/>
          <w:spacing w:val="-1"/>
          <w:sz w:val="18"/>
          <w:szCs w:val="18"/>
        </w:rPr>
        <w:t>哨点监测</w:t>
      </w:r>
      <w:r>
        <w:rPr>
          <w:rFonts w:ascii="宋体" w:hAnsi="宋体" w:eastAsia="宋体" w:cs="宋体"/>
          <w:spacing w:val="92"/>
          <w:sz w:val="18"/>
          <w:szCs w:val="18"/>
        </w:rPr>
        <w:t xml:space="preserve"> </w:t>
      </w:r>
      <w:r>
        <w:rPr>
          <w:rFonts w:ascii="Times New Roman" w:hAnsi="Times New Roman" w:eastAsia="Times New Roman" w:cs="Times New Roman"/>
          <w:spacing w:val="-1"/>
          <w:sz w:val="18"/>
          <w:szCs w:val="18"/>
        </w:rPr>
        <w:t>sentinel</w:t>
      </w:r>
      <w:r>
        <w:rPr>
          <w:rFonts w:ascii="Times New Roman" w:hAnsi="Times New Roman" w:eastAsia="Times New Roman" w:cs="Times New Roman"/>
          <w:spacing w:val="9"/>
          <w:sz w:val="18"/>
          <w:szCs w:val="18"/>
        </w:rPr>
        <w:t xml:space="preserve">   </w:t>
      </w:r>
      <w:r>
        <w:rPr>
          <w:rFonts w:ascii="Times New Roman" w:hAnsi="Times New Roman" w:eastAsia="Times New Roman" w:cs="Times New Roman"/>
          <w:spacing w:val="-1"/>
          <w:sz w:val="18"/>
          <w:szCs w:val="18"/>
        </w:rPr>
        <w:t>surveillance</w:t>
      </w:r>
      <w:r>
        <w:rPr>
          <w:rFonts w:ascii="Times New Roman" w:hAnsi="Times New Roman" w:eastAsia="Times New Roman" w:cs="Times New Roman"/>
          <w:spacing w:val="14"/>
          <w:sz w:val="18"/>
          <w:szCs w:val="18"/>
        </w:rPr>
        <w:t xml:space="preserve">   </w:t>
      </w:r>
      <w:r>
        <w:rPr>
          <w:rFonts w:ascii="Times New Roman" w:hAnsi="Times New Roman" w:eastAsia="Times New Roman" w:cs="Times New Roman"/>
          <w:spacing w:val="-1"/>
          <w:sz w:val="18"/>
          <w:szCs w:val="18"/>
        </w:rPr>
        <w:t>147</w:t>
      </w:r>
    </w:p>
    <w:p w14:paraId="0B3F73DB">
      <w:pPr>
        <w:spacing w:before="153" w:line="349" w:lineRule="auto"/>
        <w:ind w:right="378"/>
        <w:rPr>
          <w:rFonts w:ascii="Times New Roman" w:hAnsi="Times New Roman" w:eastAsia="Times New Roman" w:cs="Times New Roman"/>
          <w:sz w:val="18"/>
          <w:szCs w:val="18"/>
        </w:rPr>
      </w:pPr>
      <w:r>
        <w:rPr>
          <w:rFonts w:ascii="宋体" w:hAnsi="宋体" w:eastAsia="宋体" w:cs="宋体"/>
          <w:spacing w:val="2"/>
          <w:sz w:val="18"/>
          <w:szCs w:val="18"/>
        </w:rPr>
        <w:t>社区干预项目</w:t>
      </w:r>
      <w:r>
        <w:rPr>
          <w:rFonts w:ascii="宋体" w:hAnsi="宋体" w:eastAsia="宋体" w:cs="宋体"/>
          <w:spacing w:val="69"/>
          <w:sz w:val="18"/>
          <w:szCs w:val="18"/>
        </w:rPr>
        <w:t xml:space="preserve"> </w:t>
      </w:r>
      <w:r>
        <w:rPr>
          <w:rFonts w:ascii="Times New Roman" w:hAnsi="Times New Roman" w:eastAsia="Times New Roman" w:cs="Times New Roman"/>
          <w:sz w:val="18"/>
          <w:szCs w:val="18"/>
        </w:rPr>
        <w:t>community</w:t>
      </w:r>
      <w:r>
        <w:rPr>
          <w:rFonts w:ascii="Times New Roman" w:hAnsi="Times New Roman" w:eastAsia="Times New Roman" w:cs="Times New Roman"/>
          <w:spacing w:val="2"/>
          <w:sz w:val="18"/>
          <w:szCs w:val="18"/>
        </w:rPr>
        <w:t xml:space="preserve">  </w:t>
      </w:r>
      <w:r>
        <w:rPr>
          <w:rFonts w:ascii="Times New Roman" w:hAnsi="Times New Roman" w:eastAsia="Times New Roman" w:cs="Times New Roman"/>
          <w:sz w:val="18"/>
          <w:szCs w:val="18"/>
        </w:rPr>
        <w:t>intervention</w:t>
      </w:r>
      <w:r>
        <w:rPr>
          <w:rFonts w:ascii="Times New Roman" w:hAnsi="Times New Roman" w:eastAsia="Times New Roman" w:cs="Times New Roman"/>
          <w:spacing w:val="2"/>
          <w:sz w:val="18"/>
          <w:szCs w:val="18"/>
        </w:rPr>
        <w:t xml:space="preserve">  </w:t>
      </w:r>
      <w:r>
        <w:rPr>
          <w:rFonts w:ascii="Times New Roman" w:hAnsi="Times New Roman" w:eastAsia="Times New Roman" w:cs="Times New Roman"/>
          <w:sz w:val="18"/>
          <w:szCs w:val="18"/>
        </w:rPr>
        <w:t>program</w:t>
      </w:r>
      <w:r>
        <w:rPr>
          <w:rFonts w:ascii="Times New Roman" w:hAnsi="Times New Roman" w:eastAsia="Times New Roman" w:cs="Times New Roman"/>
          <w:spacing w:val="2"/>
          <w:sz w:val="18"/>
          <w:szCs w:val="18"/>
        </w:rPr>
        <w:t>,</w:t>
      </w:r>
      <w:r>
        <w:rPr>
          <w:rFonts w:ascii="Times New Roman" w:hAnsi="Times New Roman" w:eastAsia="Times New Roman" w:cs="Times New Roman"/>
          <w:sz w:val="18"/>
          <w:szCs w:val="18"/>
        </w:rPr>
        <w:t>CIP</w:t>
      </w:r>
      <w:r>
        <w:rPr>
          <w:rFonts w:ascii="Times New Roman" w:hAnsi="Times New Roman" w:eastAsia="Times New Roman" w:cs="Times New Roman"/>
          <w:spacing w:val="2"/>
          <w:sz w:val="18"/>
          <w:szCs w:val="18"/>
        </w:rPr>
        <w:t xml:space="preserve">   85</w:t>
      </w:r>
      <w:r>
        <w:rPr>
          <w:rFonts w:ascii="Times New Roman" w:hAnsi="Times New Roman" w:eastAsia="Times New Roman" w:cs="Times New Roman"/>
          <w:sz w:val="18"/>
          <w:szCs w:val="18"/>
        </w:rPr>
        <w:t xml:space="preserve"> </w:t>
      </w:r>
      <w:r>
        <w:rPr>
          <w:rFonts w:ascii="宋体" w:hAnsi="宋体" w:eastAsia="宋体" w:cs="宋体"/>
          <w:spacing w:val="2"/>
          <w:sz w:val="18"/>
          <w:szCs w:val="18"/>
        </w:rPr>
        <w:t xml:space="preserve">社区试验  </w:t>
      </w:r>
      <w:r>
        <w:rPr>
          <w:rFonts w:ascii="Times New Roman" w:hAnsi="Times New Roman" w:eastAsia="Times New Roman" w:cs="Times New Roman"/>
          <w:sz w:val="18"/>
          <w:szCs w:val="18"/>
        </w:rPr>
        <w:t>community</w:t>
      </w:r>
      <w:r>
        <w:rPr>
          <w:rFonts w:ascii="Times New Roman" w:hAnsi="Times New Roman" w:eastAsia="Times New Roman" w:cs="Times New Roman"/>
          <w:spacing w:val="19"/>
          <w:w w:val="101"/>
          <w:sz w:val="18"/>
          <w:szCs w:val="18"/>
        </w:rPr>
        <w:t xml:space="preserve">  </w:t>
      </w:r>
      <w:r>
        <w:rPr>
          <w:rFonts w:ascii="Times New Roman" w:hAnsi="Times New Roman" w:eastAsia="Times New Roman" w:cs="Times New Roman"/>
          <w:sz w:val="18"/>
          <w:szCs w:val="18"/>
        </w:rPr>
        <w:t>trial</w:t>
      </w:r>
      <w:r>
        <w:rPr>
          <w:rFonts w:ascii="Times New Roman" w:hAnsi="Times New Roman" w:eastAsia="Times New Roman" w:cs="Times New Roman"/>
          <w:spacing w:val="2"/>
          <w:sz w:val="18"/>
          <w:szCs w:val="18"/>
        </w:rPr>
        <w:t xml:space="preserve">   85</w:t>
      </w:r>
    </w:p>
    <w:p w14:paraId="4A1AC7B6">
      <w:pPr>
        <w:spacing w:before="40" w:line="219" w:lineRule="auto"/>
        <w:rPr>
          <w:rFonts w:ascii="Times New Roman" w:hAnsi="Times New Roman" w:eastAsia="Times New Roman" w:cs="Times New Roman"/>
          <w:sz w:val="18"/>
          <w:szCs w:val="18"/>
        </w:rPr>
      </w:pPr>
      <w:r>
        <w:rPr>
          <w:rFonts w:ascii="宋体" w:hAnsi="宋体" w:eastAsia="宋体" w:cs="宋体"/>
          <w:spacing w:val="2"/>
          <w:sz w:val="18"/>
          <w:szCs w:val="18"/>
        </w:rPr>
        <w:t>生存率</w:t>
      </w:r>
      <w:r>
        <w:rPr>
          <w:rFonts w:ascii="宋体" w:hAnsi="宋体" w:eastAsia="宋体" w:cs="宋体"/>
          <w:spacing w:val="73"/>
          <w:sz w:val="18"/>
          <w:szCs w:val="18"/>
        </w:rPr>
        <w:t xml:space="preserve"> </w:t>
      </w:r>
      <w:r>
        <w:rPr>
          <w:rFonts w:ascii="Times New Roman" w:hAnsi="Times New Roman" w:eastAsia="Times New Roman" w:cs="Times New Roman"/>
          <w:sz w:val="18"/>
          <w:szCs w:val="18"/>
        </w:rPr>
        <w:t>survival</w:t>
      </w:r>
      <w:r>
        <w:rPr>
          <w:rFonts w:ascii="Times New Roman" w:hAnsi="Times New Roman" w:eastAsia="Times New Roman" w:cs="Times New Roman"/>
          <w:spacing w:val="2"/>
          <w:sz w:val="18"/>
          <w:szCs w:val="18"/>
        </w:rPr>
        <w:t xml:space="preserve">   </w:t>
      </w:r>
      <w:r>
        <w:rPr>
          <w:rFonts w:ascii="Times New Roman" w:hAnsi="Times New Roman" w:eastAsia="Times New Roman" w:cs="Times New Roman"/>
          <w:sz w:val="18"/>
          <w:szCs w:val="18"/>
        </w:rPr>
        <w:t>rate</w:t>
      </w:r>
      <w:r>
        <w:rPr>
          <w:rFonts w:ascii="Times New Roman" w:hAnsi="Times New Roman" w:eastAsia="Times New Roman" w:cs="Times New Roman"/>
          <w:spacing w:val="7"/>
          <w:sz w:val="18"/>
          <w:szCs w:val="18"/>
        </w:rPr>
        <w:t xml:space="preserve">   </w:t>
      </w:r>
      <w:r>
        <w:rPr>
          <w:rFonts w:ascii="Times New Roman" w:hAnsi="Times New Roman" w:eastAsia="Times New Roman" w:cs="Times New Roman"/>
          <w:spacing w:val="2"/>
          <w:sz w:val="18"/>
          <w:szCs w:val="18"/>
        </w:rPr>
        <w:t>15</w:t>
      </w:r>
    </w:p>
    <w:p w14:paraId="6833BA27">
      <w:pPr>
        <w:spacing w:before="136" w:line="212" w:lineRule="auto"/>
        <w:rPr>
          <w:rFonts w:ascii="Times New Roman" w:hAnsi="Times New Roman" w:eastAsia="Times New Roman" w:cs="Times New Roman"/>
          <w:sz w:val="18"/>
          <w:szCs w:val="18"/>
        </w:rPr>
      </w:pPr>
      <w:r>
        <w:rPr>
          <w:rFonts w:ascii="宋体" w:hAnsi="宋体" w:eastAsia="宋体" w:cs="宋体"/>
          <w:spacing w:val="4"/>
          <w:sz w:val="18"/>
          <w:szCs w:val="18"/>
        </w:rPr>
        <w:t>生态比较研究</w:t>
      </w:r>
      <w:r>
        <w:rPr>
          <w:rFonts w:ascii="宋体" w:hAnsi="宋体" w:eastAsia="宋体" w:cs="宋体"/>
          <w:spacing w:val="81"/>
          <w:sz w:val="18"/>
          <w:szCs w:val="18"/>
        </w:rPr>
        <w:t xml:space="preserve"> </w:t>
      </w:r>
      <w:r>
        <w:rPr>
          <w:rFonts w:ascii="Times New Roman" w:hAnsi="Times New Roman" w:eastAsia="Times New Roman" w:cs="Times New Roman"/>
          <w:sz w:val="18"/>
          <w:szCs w:val="18"/>
        </w:rPr>
        <w:t>ecological</w:t>
      </w:r>
      <w:r>
        <w:rPr>
          <w:rFonts w:ascii="Times New Roman" w:hAnsi="Times New Roman" w:eastAsia="Times New Roman" w:cs="Times New Roman"/>
          <w:spacing w:val="4"/>
          <w:sz w:val="18"/>
          <w:szCs w:val="18"/>
        </w:rPr>
        <w:t xml:space="preserve">  </w:t>
      </w:r>
      <w:r>
        <w:rPr>
          <w:rFonts w:ascii="Times New Roman" w:hAnsi="Times New Roman" w:eastAsia="Times New Roman" w:cs="Times New Roman"/>
          <w:sz w:val="18"/>
          <w:szCs w:val="18"/>
        </w:rPr>
        <w:t>comparison</w:t>
      </w:r>
      <w:r>
        <w:rPr>
          <w:rFonts w:ascii="Times New Roman" w:hAnsi="Times New Roman" w:eastAsia="Times New Roman" w:cs="Times New Roman"/>
          <w:spacing w:val="4"/>
          <w:sz w:val="18"/>
          <w:szCs w:val="18"/>
        </w:rPr>
        <w:t xml:space="preserve">  </w:t>
      </w:r>
      <w:r>
        <w:rPr>
          <w:rFonts w:ascii="Times New Roman" w:hAnsi="Times New Roman" w:eastAsia="Times New Roman" w:cs="Times New Roman"/>
          <w:sz w:val="18"/>
          <w:szCs w:val="18"/>
        </w:rPr>
        <w:t>study</w:t>
      </w:r>
      <w:r>
        <w:rPr>
          <w:rFonts w:ascii="Times New Roman" w:hAnsi="Times New Roman" w:eastAsia="Times New Roman" w:cs="Times New Roman"/>
          <w:spacing w:val="4"/>
          <w:sz w:val="18"/>
          <w:szCs w:val="18"/>
        </w:rPr>
        <w:t xml:space="preserve">  44</w:t>
      </w:r>
    </w:p>
    <w:p w14:paraId="2093EE6A">
      <w:pPr>
        <w:spacing w:before="152" w:line="360" w:lineRule="auto"/>
        <w:ind w:right="868"/>
        <w:rPr>
          <w:rFonts w:ascii="Times New Roman" w:hAnsi="Times New Roman" w:eastAsia="Times New Roman" w:cs="Times New Roman"/>
          <w:sz w:val="18"/>
          <w:szCs w:val="18"/>
        </w:rPr>
      </w:pPr>
      <w:r>
        <w:rPr>
          <w:rFonts w:ascii="宋体" w:hAnsi="宋体" w:eastAsia="宋体" w:cs="宋体"/>
          <w:spacing w:val="4"/>
          <w:sz w:val="18"/>
          <w:szCs w:val="18"/>
        </w:rPr>
        <w:t>生态病因模型</w:t>
      </w:r>
      <w:r>
        <w:rPr>
          <w:rFonts w:ascii="宋体" w:hAnsi="宋体" w:eastAsia="宋体" w:cs="宋体"/>
          <w:spacing w:val="78"/>
          <w:sz w:val="18"/>
          <w:szCs w:val="18"/>
        </w:rPr>
        <w:t xml:space="preserve"> </w:t>
      </w:r>
      <w:r>
        <w:rPr>
          <w:rFonts w:ascii="Times New Roman" w:hAnsi="Times New Roman" w:eastAsia="Times New Roman" w:cs="Times New Roman"/>
          <w:sz w:val="18"/>
          <w:szCs w:val="18"/>
        </w:rPr>
        <w:t>ecological</w:t>
      </w:r>
      <w:r>
        <w:rPr>
          <w:rFonts w:ascii="Times New Roman" w:hAnsi="Times New Roman" w:eastAsia="Times New Roman" w:cs="Times New Roman"/>
          <w:spacing w:val="35"/>
          <w:sz w:val="18"/>
          <w:szCs w:val="18"/>
        </w:rPr>
        <w:t xml:space="preserve"> </w:t>
      </w:r>
      <w:r>
        <w:rPr>
          <w:rFonts w:ascii="Times New Roman" w:hAnsi="Times New Roman" w:eastAsia="Times New Roman" w:cs="Times New Roman"/>
          <w:sz w:val="18"/>
          <w:szCs w:val="18"/>
        </w:rPr>
        <w:t>model</w:t>
      </w:r>
      <w:r>
        <w:rPr>
          <w:rFonts w:ascii="Times New Roman" w:hAnsi="Times New Roman" w:eastAsia="Times New Roman" w:cs="Times New Roman"/>
          <w:spacing w:val="39"/>
          <w:sz w:val="18"/>
          <w:szCs w:val="18"/>
        </w:rPr>
        <w:t xml:space="preserve"> </w:t>
      </w:r>
      <w:r>
        <w:rPr>
          <w:rFonts w:ascii="Times New Roman" w:hAnsi="Times New Roman" w:eastAsia="Times New Roman" w:cs="Times New Roman"/>
          <w:sz w:val="18"/>
          <w:szCs w:val="18"/>
        </w:rPr>
        <w:t>of</w:t>
      </w:r>
      <w:r>
        <w:rPr>
          <w:rFonts w:ascii="Times New Roman" w:hAnsi="Times New Roman" w:eastAsia="Times New Roman" w:cs="Times New Roman"/>
          <w:spacing w:val="20"/>
          <w:w w:val="101"/>
          <w:sz w:val="18"/>
          <w:szCs w:val="18"/>
        </w:rPr>
        <w:t xml:space="preserve"> </w:t>
      </w:r>
      <w:r>
        <w:rPr>
          <w:rFonts w:ascii="Times New Roman" w:hAnsi="Times New Roman" w:eastAsia="Times New Roman" w:cs="Times New Roman"/>
          <w:sz w:val="18"/>
          <w:szCs w:val="18"/>
        </w:rPr>
        <w:t>causation</w:t>
      </w:r>
      <w:r>
        <w:rPr>
          <w:rFonts w:ascii="Times New Roman" w:hAnsi="Times New Roman" w:eastAsia="Times New Roman" w:cs="Times New Roman"/>
          <w:spacing w:val="4"/>
          <w:sz w:val="18"/>
          <w:szCs w:val="18"/>
        </w:rPr>
        <w:t xml:space="preserve">  121</w:t>
      </w:r>
      <w:r>
        <w:rPr>
          <w:rFonts w:ascii="Times New Roman" w:hAnsi="Times New Roman" w:eastAsia="Times New Roman" w:cs="Times New Roman"/>
          <w:sz w:val="18"/>
          <w:szCs w:val="18"/>
        </w:rPr>
        <w:t xml:space="preserve"> </w:t>
      </w:r>
      <w:r>
        <w:rPr>
          <w:rFonts w:ascii="宋体" w:hAnsi="宋体" w:eastAsia="宋体" w:cs="宋体"/>
          <w:spacing w:val="5"/>
          <w:sz w:val="18"/>
          <w:szCs w:val="18"/>
        </w:rPr>
        <w:t>生态趋势研究</w:t>
      </w:r>
      <w:r>
        <w:rPr>
          <w:rFonts w:ascii="宋体" w:hAnsi="宋体" w:eastAsia="宋体" w:cs="宋体"/>
          <w:spacing w:val="87"/>
          <w:sz w:val="18"/>
          <w:szCs w:val="18"/>
        </w:rPr>
        <w:t xml:space="preserve"> </w:t>
      </w:r>
      <w:r>
        <w:rPr>
          <w:rFonts w:ascii="Times New Roman" w:hAnsi="Times New Roman" w:eastAsia="Times New Roman" w:cs="Times New Roman"/>
          <w:sz w:val="18"/>
          <w:szCs w:val="18"/>
        </w:rPr>
        <w:t>ecological</w:t>
      </w:r>
      <w:r>
        <w:rPr>
          <w:rFonts w:ascii="Times New Roman" w:hAnsi="Times New Roman" w:eastAsia="Times New Roman" w:cs="Times New Roman"/>
          <w:spacing w:val="5"/>
          <w:sz w:val="18"/>
          <w:szCs w:val="18"/>
        </w:rPr>
        <w:t xml:space="preserve">  </w:t>
      </w:r>
      <w:r>
        <w:rPr>
          <w:rFonts w:ascii="Times New Roman" w:hAnsi="Times New Roman" w:eastAsia="Times New Roman" w:cs="Times New Roman"/>
          <w:sz w:val="18"/>
          <w:szCs w:val="18"/>
        </w:rPr>
        <w:t>trend</w:t>
      </w:r>
      <w:r>
        <w:rPr>
          <w:rFonts w:ascii="Times New Roman" w:hAnsi="Times New Roman" w:eastAsia="Times New Roman" w:cs="Times New Roman"/>
          <w:spacing w:val="10"/>
          <w:sz w:val="18"/>
          <w:szCs w:val="18"/>
        </w:rPr>
        <w:t xml:space="preserve">  </w:t>
      </w:r>
      <w:r>
        <w:rPr>
          <w:rFonts w:ascii="Times New Roman" w:hAnsi="Times New Roman" w:eastAsia="Times New Roman" w:cs="Times New Roman"/>
          <w:sz w:val="18"/>
          <w:szCs w:val="18"/>
        </w:rPr>
        <w:t>study</w:t>
      </w:r>
      <w:r>
        <w:rPr>
          <w:rFonts w:ascii="Times New Roman" w:hAnsi="Times New Roman" w:eastAsia="Times New Roman" w:cs="Times New Roman"/>
          <w:spacing w:val="5"/>
          <w:sz w:val="18"/>
          <w:szCs w:val="18"/>
        </w:rPr>
        <w:t xml:space="preserve">  44</w:t>
      </w:r>
    </w:p>
    <w:p w14:paraId="2ED3FCD8">
      <w:pPr>
        <w:spacing w:before="19" w:line="212" w:lineRule="auto"/>
        <w:rPr>
          <w:rFonts w:ascii="Times New Roman" w:hAnsi="Times New Roman" w:eastAsia="Times New Roman" w:cs="Times New Roman"/>
          <w:sz w:val="18"/>
          <w:szCs w:val="18"/>
        </w:rPr>
      </w:pPr>
      <w:r>
        <w:rPr>
          <w:rFonts w:ascii="宋体" w:hAnsi="宋体" w:eastAsia="宋体" w:cs="宋体"/>
          <w:spacing w:val="4"/>
          <w:sz w:val="18"/>
          <w:szCs w:val="18"/>
        </w:rPr>
        <w:t>生态学谬误</w:t>
      </w:r>
      <w:r>
        <w:rPr>
          <w:rFonts w:ascii="宋体" w:hAnsi="宋体" w:eastAsia="宋体" w:cs="宋体"/>
          <w:spacing w:val="74"/>
          <w:sz w:val="18"/>
          <w:szCs w:val="18"/>
        </w:rPr>
        <w:t xml:space="preserve"> </w:t>
      </w:r>
      <w:r>
        <w:rPr>
          <w:rFonts w:ascii="Times New Roman" w:hAnsi="Times New Roman" w:eastAsia="Times New Roman" w:cs="Times New Roman"/>
          <w:sz w:val="18"/>
          <w:szCs w:val="18"/>
        </w:rPr>
        <w:t>ecological</w:t>
      </w:r>
      <w:r>
        <w:rPr>
          <w:rFonts w:ascii="Times New Roman" w:hAnsi="Times New Roman" w:eastAsia="Times New Roman" w:cs="Times New Roman"/>
          <w:spacing w:val="21"/>
          <w:sz w:val="18"/>
          <w:szCs w:val="18"/>
        </w:rPr>
        <w:t xml:space="preserve">  </w:t>
      </w:r>
      <w:r>
        <w:rPr>
          <w:rFonts w:ascii="Times New Roman" w:hAnsi="Times New Roman" w:eastAsia="Times New Roman" w:cs="Times New Roman"/>
          <w:sz w:val="18"/>
          <w:szCs w:val="18"/>
        </w:rPr>
        <w:t>fallacy</w:t>
      </w:r>
      <w:r>
        <w:rPr>
          <w:rFonts w:ascii="Times New Roman" w:hAnsi="Times New Roman" w:eastAsia="Times New Roman" w:cs="Times New Roman"/>
          <w:spacing w:val="19"/>
          <w:w w:val="101"/>
          <w:sz w:val="18"/>
          <w:szCs w:val="18"/>
        </w:rPr>
        <w:t xml:space="preserve">  </w:t>
      </w:r>
      <w:r>
        <w:rPr>
          <w:rFonts w:ascii="Times New Roman" w:hAnsi="Times New Roman" w:eastAsia="Times New Roman" w:cs="Times New Roman"/>
          <w:spacing w:val="4"/>
          <w:sz w:val="18"/>
          <w:szCs w:val="18"/>
        </w:rPr>
        <w:t>45</w:t>
      </w:r>
    </w:p>
    <w:p w14:paraId="0FB304C3">
      <w:pPr>
        <w:spacing w:before="153" w:line="212" w:lineRule="auto"/>
        <w:rPr>
          <w:rFonts w:ascii="Times New Roman" w:hAnsi="Times New Roman" w:eastAsia="Times New Roman" w:cs="Times New Roman"/>
          <w:sz w:val="18"/>
          <w:szCs w:val="18"/>
        </w:rPr>
      </w:pPr>
      <w:r>
        <w:rPr>
          <w:rFonts w:ascii="宋体" w:hAnsi="宋体" w:eastAsia="宋体" w:cs="宋体"/>
          <w:spacing w:val="2"/>
          <w:sz w:val="18"/>
          <w:szCs w:val="18"/>
        </w:rPr>
        <w:t>生态学研究</w:t>
      </w:r>
      <w:r>
        <w:rPr>
          <w:rFonts w:ascii="宋体" w:hAnsi="宋体" w:eastAsia="宋体" w:cs="宋体"/>
          <w:spacing w:val="79"/>
          <w:sz w:val="18"/>
          <w:szCs w:val="18"/>
        </w:rPr>
        <w:t xml:space="preserve"> </w:t>
      </w:r>
      <w:r>
        <w:rPr>
          <w:rFonts w:ascii="Times New Roman" w:hAnsi="Times New Roman" w:eastAsia="Times New Roman" w:cs="Times New Roman"/>
          <w:sz w:val="18"/>
          <w:szCs w:val="18"/>
        </w:rPr>
        <w:t>ecological</w:t>
      </w:r>
      <w:r>
        <w:rPr>
          <w:rFonts w:ascii="Times New Roman" w:hAnsi="Times New Roman" w:eastAsia="Times New Roman" w:cs="Times New Roman"/>
          <w:spacing w:val="2"/>
          <w:sz w:val="18"/>
          <w:szCs w:val="18"/>
        </w:rPr>
        <w:t xml:space="preserve">   </w:t>
      </w:r>
      <w:r>
        <w:rPr>
          <w:rFonts w:ascii="Times New Roman" w:hAnsi="Times New Roman" w:eastAsia="Times New Roman" w:cs="Times New Roman"/>
          <w:sz w:val="18"/>
          <w:szCs w:val="18"/>
        </w:rPr>
        <w:t>study</w:t>
      </w:r>
      <w:r>
        <w:rPr>
          <w:rFonts w:ascii="Times New Roman" w:hAnsi="Times New Roman" w:eastAsia="Times New Roman" w:cs="Times New Roman"/>
          <w:spacing w:val="2"/>
          <w:sz w:val="18"/>
          <w:szCs w:val="18"/>
        </w:rPr>
        <w:t xml:space="preserve">   43</w:t>
      </w:r>
    </w:p>
    <w:p w14:paraId="18767E05">
      <w:pPr>
        <w:spacing w:before="134" w:line="349" w:lineRule="auto"/>
        <w:ind w:right="409"/>
        <w:rPr>
          <w:rFonts w:ascii="Times New Roman" w:hAnsi="Times New Roman" w:eastAsia="Times New Roman" w:cs="Times New Roman"/>
          <w:sz w:val="18"/>
          <w:szCs w:val="18"/>
        </w:rPr>
      </w:pPr>
      <w:r>
        <w:rPr>
          <w:rFonts w:ascii="宋体" w:hAnsi="宋体" w:eastAsia="宋体" w:cs="宋体"/>
          <w:spacing w:val="5"/>
          <w:sz w:val="18"/>
          <w:szCs w:val="18"/>
        </w:rPr>
        <w:t>生物-心理-社会医学模式</w:t>
      </w:r>
      <w:r>
        <w:rPr>
          <w:rFonts w:ascii="宋体" w:hAnsi="宋体" w:eastAsia="宋体" w:cs="宋体"/>
          <w:spacing w:val="84"/>
          <w:sz w:val="18"/>
          <w:szCs w:val="18"/>
        </w:rPr>
        <w:t xml:space="preserve"> </w:t>
      </w:r>
      <w:r>
        <w:rPr>
          <w:rFonts w:ascii="Times New Roman" w:hAnsi="Times New Roman" w:eastAsia="Times New Roman" w:cs="Times New Roman"/>
          <w:sz w:val="18"/>
          <w:szCs w:val="18"/>
        </w:rPr>
        <w:t>biopsychosocial</w:t>
      </w:r>
      <w:r>
        <w:rPr>
          <w:rFonts w:ascii="Times New Roman" w:hAnsi="Times New Roman" w:eastAsia="Times New Roman" w:cs="Times New Roman"/>
          <w:spacing w:val="5"/>
          <w:sz w:val="18"/>
          <w:szCs w:val="18"/>
        </w:rPr>
        <w:t xml:space="preserve">  </w:t>
      </w:r>
      <w:r>
        <w:rPr>
          <w:rFonts w:ascii="Times New Roman" w:hAnsi="Times New Roman" w:eastAsia="Times New Roman" w:cs="Times New Roman"/>
          <w:sz w:val="18"/>
          <w:szCs w:val="18"/>
        </w:rPr>
        <w:t>model</w:t>
      </w:r>
      <w:r>
        <w:rPr>
          <w:rFonts w:ascii="Times New Roman" w:hAnsi="Times New Roman" w:eastAsia="Times New Roman" w:cs="Times New Roman"/>
          <w:spacing w:val="5"/>
          <w:sz w:val="18"/>
          <w:szCs w:val="18"/>
        </w:rPr>
        <w:t xml:space="preserve">   138</w:t>
      </w:r>
      <w:r>
        <w:rPr>
          <w:rFonts w:ascii="Times New Roman" w:hAnsi="Times New Roman" w:eastAsia="Times New Roman" w:cs="Times New Roman"/>
          <w:sz w:val="18"/>
          <w:szCs w:val="18"/>
        </w:rPr>
        <w:t xml:space="preserve"> </w:t>
      </w:r>
      <w:r>
        <w:rPr>
          <w:rFonts w:ascii="宋体" w:hAnsi="宋体" w:eastAsia="宋体" w:cs="宋体"/>
          <w:spacing w:val="4"/>
          <w:sz w:val="18"/>
          <w:szCs w:val="18"/>
        </w:rPr>
        <w:t>生物标志</w:t>
      </w:r>
      <w:r>
        <w:rPr>
          <w:rFonts w:ascii="宋体" w:hAnsi="宋体" w:eastAsia="宋体" w:cs="宋体"/>
          <w:spacing w:val="82"/>
          <w:sz w:val="18"/>
          <w:szCs w:val="18"/>
        </w:rPr>
        <w:t xml:space="preserve"> </w:t>
      </w:r>
      <w:r>
        <w:rPr>
          <w:rFonts w:ascii="Times New Roman" w:hAnsi="Times New Roman" w:eastAsia="Times New Roman" w:cs="Times New Roman"/>
          <w:sz w:val="18"/>
          <w:szCs w:val="18"/>
        </w:rPr>
        <w:t>biological</w:t>
      </w:r>
      <w:r>
        <w:rPr>
          <w:rFonts w:ascii="Times New Roman" w:hAnsi="Times New Roman" w:eastAsia="Times New Roman" w:cs="Times New Roman"/>
          <w:spacing w:val="10"/>
          <w:sz w:val="18"/>
          <w:szCs w:val="18"/>
        </w:rPr>
        <w:t xml:space="preserve">   </w:t>
      </w:r>
      <w:r>
        <w:rPr>
          <w:rFonts w:ascii="Times New Roman" w:hAnsi="Times New Roman" w:eastAsia="Times New Roman" w:cs="Times New Roman"/>
          <w:sz w:val="18"/>
          <w:szCs w:val="18"/>
        </w:rPr>
        <w:t>marker</w:t>
      </w:r>
      <w:r>
        <w:rPr>
          <w:rFonts w:ascii="Times New Roman" w:hAnsi="Times New Roman" w:eastAsia="Times New Roman" w:cs="Times New Roman"/>
          <w:spacing w:val="4"/>
          <w:sz w:val="18"/>
          <w:szCs w:val="18"/>
        </w:rPr>
        <w:t>;</w:t>
      </w:r>
      <w:r>
        <w:rPr>
          <w:rFonts w:ascii="Times New Roman" w:hAnsi="Times New Roman" w:eastAsia="Times New Roman" w:cs="Times New Roman"/>
          <w:sz w:val="18"/>
          <w:szCs w:val="18"/>
        </w:rPr>
        <w:t>biomarker</w:t>
      </w:r>
      <w:r>
        <w:rPr>
          <w:rFonts w:ascii="Times New Roman" w:hAnsi="Times New Roman" w:eastAsia="Times New Roman" w:cs="Times New Roman"/>
          <w:spacing w:val="11"/>
          <w:w w:val="101"/>
          <w:sz w:val="18"/>
          <w:szCs w:val="18"/>
        </w:rPr>
        <w:t xml:space="preserve">   </w:t>
      </w:r>
      <w:r>
        <w:rPr>
          <w:rFonts w:ascii="Times New Roman" w:hAnsi="Times New Roman" w:eastAsia="Times New Roman" w:cs="Times New Roman"/>
          <w:spacing w:val="4"/>
          <w:sz w:val="18"/>
          <w:szCs w:val="18"/>
        </w:rPr>
        <w:t>232</w:t>
      </w:r>
    </w:p>
    <w:p w14:paraId="115F39F4">
      <w:pPr>
        <w:spacing w:before="19" w:line="212" w:lineRule="auto"/>
        <w:rPr>
          <w:rFonts w:ascii="Times New Roman" w:hAnsi="Times New Roman" w:eastAsia="Times New Roman" w:cs="Times New Roman"/>
          <w:sz w:val="18"/>
          <w:szCs w:val="18"/>
        </w:rPr>
      </w:pPr>
      <w:r>
        <w:rPr>
          <w:rFonts w:ascii="宋体" w:hAnsi="宋体" w:eastAsia="宋体" w:cs="宋体"/>
          <w:spacing w:val="2"/>
          <w:sz w:val="18"/>
          <w:szCs w:val="18"/>
        </w:rPr>
        <w:t xml:space="preserve">生物防制  </w:t>
      </w:r>
      <w:r>
        <w:rPr>
          <w:rFonts w:ascii="Times New Roman" w:hAnsi="Times New Roman" w:eastAsia="Times New Roman" w:cs="Times New Roman"/>
          <w:sz w:val="18"/>
          <w:szCs w:val="18"/>
        </w:rPr>
        <w:t>biological</w:t>
      </w:r>
      <w:r>
        <w:rPr>
          <w:rFonts w:ascii="Times New Roman" w:hAnsi="Times New Roman" w:eastAsia="Times New Roman" w:cs="Times New Roman"/>
          <w:spacing w:val="22"/>
          <w:w w:val="101"/>
          <w:sz w:val="18"/>
          <w:szCs w:val="18"/>
        </w:rPr>
        <w:t xml:space="preserve">  </w:t>
      </w:r>
      <w:r>
        <w:rPr>
          <w:rFonts w:ascii="Times New Roman" w:hAnsi="Times New Roman" w:eastAsia="Times New Roman" w:cs="Times New Roman"/>
          <w:sz w:val="18"/>
          <w:szCs w:val="18"/>
        </w:rPr>
        <w:t>control</w:t>
      </w:r>
      <w:r>
        <w:rPr>
          <w:rFonts w:ascii="Times New Roman" w:hAnsi="Times New Roman" w:eastAsia="Times New Roman" w:cs="Times New Roman"/>
          <w:spacing w:val="2"/>
          <w:sz w:val="18"/>
          <w:szCs w:val="18"/>
        </w:rPr>
        <w:t xml:space="preserve">   182</w:t>
      </w:r>
    </w:p>
    <w:p w14:paraId="7F9CF0B2">
      <w:pPr>
        <w:spacing w:before="143" w:line="212" w:lineRule="auto"/>
        <w:rPr>
          <w:rFonts w:ascii="Times New Roman" w:hAnsi="Times New Roman" w:eastAsia="Times New Roman" w:cs="Times New Roman"/>
          <w:sz w:val="18"/>
          <w:szCs w:val="18"/>
        </w:rPr>
      </w:pPr>
      <w:r>
        <w:rPr>
          <w:rFonts w:ascii="宋体" w:hAnsi="宋体" w:eastAsia="宋体" w:cs="宋体"/>
          <w:spacing w:val="3"/>
          <w:sz w:val="18"/>
          <w:szCs w:val="18"/>
        </w:rPr>
        <w:t>生物学传播</w:t>
      </w:r>
      <w:r>
        <w:rPr>
          <w:rFonts w:ascii="宋体" w:hAnsi="宋体" w:eastAsia="宋体" w:cs="宋体"/>
          <w:spacing w:val="92"/>
          <w:sz w:val="18"/>
          <w:szCs w:val="18"/>
        </w:rPr>
        <w:t xml:space="preserve"> </w:t>
      </w:r>
      <w:r>
        <w:rPr>
          <w:rFonts w:ascii="Times New Roman" w:hAnsi="Times New Roman" w:eastAsia="Times New Roman" w:cs="Times New Roman"/>
          <w:sz w:val="18"/>
          <w:szCs w:val="18"/>
        </w:rPr>
        <w:t>biological</w:t>
      </w:r>
      <w:r>
        <w:rPr>
          <w:rFonts w:ascii="Times New Roman" w:hAnsi="Times New Roman" w:eastAsia="Times New Roman" w:cs="Times New Roman"/>
          <w:spacing w:val="19"/>
          <w:sz w:val="18"/>
          <w:szCs w:val="18"/>
        </w:rPr>
        <w:t xml:space="preserve">  </w:t>
      </w:r>
      <w:r>
        <w:rPr>
          <w:rFonts w:ascii="Times New Roman" w:hAnsi="Times New Roman" w:eastAsia="Times New Roman" w:cs="Times New Roman"/>
          <w:sz w:val="18"/>
          <w:szCs w:val="18"/>
        </w:rPr>
        <w:t>vector</w:t>
      </w:r>
      <w:r>
        <w:rPr>
          <w:rFonts w:ascii="Times New Roman" w:hAnsi="Times New Roman" w:eastAsia="Times New Roman" w:cs="Times New Roman"/>
          <w:spacing w:val="3"/>
          <w:sz w:val="18"/>
          <w:szCs w:val="18"/>
        </w:rPr>
        <w:t xml:space="preserve">   161</w:t>
      </w:r>
    </w:p>
    <w:p w14:paraId="1EF26B86">
      <w:pPr>
        <w:spacing w:before="164" w:line="219" w:lineRule="auto"/>
        <w:rPr>
          <w:rFonts w:ascii="Times New Roman" w:hAnsi="Times New Roman" w:eastAsia="Times New Roman" w:cs="Times New Roman"/>
          <w:sz w:val="18"/>
          <w:szCs w:val="18"/>
        </w:rPr>
      </w:pPr>
      <w:r>
        <w:rPr>
          <w:rFonts w:ascii="宋体" w:hAnsi="宋体" w:eastAsia="宋体" w:cs="宋体"/>
          <w:spacing w:val="4"/>
          <w:sz w:val="18"/>
          <w:szCs w:val="18"/>
        </w:rPr>
        <w:t>生物医学模式</w:t>
      </w:r>
      <w:r>
        <w:rPr>
          <w:rFonts w:ascii="宋体" w:hAnsi="宋体" w:eastAsia="宋体" w:cs="宋体"/>
          <w:spacing w:val="66"/>
          <w:w w:val="101"/>
          <w:sz w:val="18"/>
          <w:szCs w:val="18"/>
        </w:rPr>
        <w:t xml:space="preserve"> </w:t>
      </w:r>
      <w:r>
        <w:rPr>
          <w:rFonts w:ascii="Times New Roman" w:hAnsi="Times New Roman" w:eastAsia="Times New Roman" w:cs="Times New Roman"/>
          <w:sz w:val="18"/>
          <w:szCs w:val="18"/>
        </w:rPr>
        <w:t>biomedical</w:t>
      </w:r>
      <w:r>
        <w:rPr>
          <w:rFonts w:ascii="Times New Roman" w:hAnsi="Times New Roman" w:eastAsia="Times New Roman" w:cs="Times New Roman"/>
          <w:spacing w:val="4"/>
          <w:sz w:val="18"/>
          <w:szCs w:val="18"/>
        </w:rPr>
        <w:t xml:space="preserve">   </w:t>
      </w:r>
      <w:r>
        <w:rPr>
          <w:rFonts w:ascii="Times New Roman" w:hAnsi="Times New Roman" w:eastAsia="Times New Roman" w:cs="Times New Roman"/>
          <w:sz w:val="18"/>
          <w:szCs w:val="18"/>
        </w:rPr>
        <w:t>model</w:t>
      </w:r>
      <w:r>
        <w:rPr>
          <w:rFonts w:ascii="Times New Roman" w:hAnsi="Times New Roman" w:eastAsia="Times New Roman" w:cs="Times New Roman"/>
          <w:spacing w:val="4"/>
          <w:sz w:val="18"/>
          <w:szCs w:val="18"/>
        </w:rPr>
        <w:t xml:space="preserve">   138</w:t>
      </w:r>
    </w:p>
    <w:p w14:paraId="3627B2D7">
      <w:pPr>
        <w:spacing w:before="116" w:line="212" w:lineRule="auto"/>
        <w:rPr>
          <w:rFonts w:ascii="Times New Roman" w:hAnsi="Times New Roman" w:eastAsia="Times New Roman" w:cs="Times New Roman"/>
          <w:sz w:val="18"/>
          <w:szCs w:val="18"/>
        </w:rPr>
      </w:pPr>
      <w:r>
        <w:rPr>
          <w:rFonts w:ascii="宋体" w:hAnsi="宋体" w:eastAsia="宋体" w:cs="宋体"/>
          <w:spacing w:val="4"/>
          <w:sz w:val="18"/>
          <w:szCs w:val="18"/>
        </w:rPr>
        <w:t>生物有效剂量</w:t>
      </w:r>
      <w:r>
        <w:rPr>
          <w:rFonts w:ascii="宋体" w:hAnsi="宋体" w:eastAsia="宋体" w:cs="宋体"/>
          <w:spacing w:val="85"/>
          <w:w w:val="101"/>
          <w:sz w:val="18"/>
          <w:szCs w:val="18"/>
        </w:rPr>
        <w:t xml:space="preserve"> </w:t>
      </w:r>
      <w:r>
        <w:rPr>
          <w:rFonts w:ascii="Times New Roman" w:hAnsi="Times New Roman" w:eastAsia="Times New Roman" w:cs="Times New Roman"/>
          <w:sz w:val="18"/>
          <w:szCs w:val="18"/>
        </w:rPr>
        <w:t>biologically</w:t>
      </w:r>
      <w:r>
        <w:rPr>
          <w:rFonts w:ascii="Times New Roman" w:hAnsi="Times New Roman" w:eastAsia="Times New Roman" w:cs="Times New Roman"/>
          <w:spacing w:val="44"/>
          <w:w w:val="102"/>
          <w:sz w:val="18"/>
          <w:szCs w:val="18"/>
        </w:rPr>
        <w:t xml:space="preserve"> </w:t>
      </w:r>
      <w:r>
        <w:rPr>
          <w:rFonts w:ascii="Times New Roman" w:hAnsi="Times New Roman" w:eastAsia="Times New Roman" w:cs="Times New Roman"/>
          <w:sz w:val="18"/>
          <w:szCs w:val="18"/>
        </w:rPr>
        <w:t>effective</w:t>
      </w:r>
      <w:r>
        <w:rPr>
          <w:rFonts w:ascii="Times New Roman" w:hAnsi="Times New Roman" w:eastAsia="Times New Roman" w:cs="Times New Roman"/>
          <w:spacing w:val="44"/>
          <w:sz w:val="18"/>
          <w:szCs w:val="18"/>
        </w:rPr>
        <w:t xml:space="preserve"> </w:t>
      </w:r>
      <w:r>
        <w:rPr>
          <w:rFonts w:ascii="Times New Roman" w:hAnsi="Times New Roman" w:eastAsia="Times New Roman" w:cs="Times New Roman"/>
          <w:sz w:val="18"/>
          <w:szCs w:val="18"/>
        </w:rPr>
        <w:t>dose</w:t>
      </w:r>
      <w:r>
        <w:rPr>
          <w:rFonts w:ascii="Times New Roman" w:hAnsi="Times New Roman" w:eastAsia="Times New Roman" w:cs="Times New Roman"/>
          <w:spacing w:val="42"/>
          <w:sz w:val="18"/>
          <w:szCs w:val="18"/>
        </w:rPr>
        <w:t xml:space="preserve"> </w:t>
      </w:r>
      <w:r>
        <w:rPr>
          <w:rFonts w:ascii="Times New Roman" w:hAnsi="Times New Roman" w:eastAsia="Times New Roman" w:cs="Times New Roman"/>
          <w:spacing w:val="4"/>
          <w:sz w:val="18"/>
          <w:szCs w:val="18"/>
        </w:rPr>
        <w:t>236</w:t>
      </w:r>
    </w:p>
    <w:p w14:paraId="5FC02356">
      <w:pPr>
        <w:spacing w:before="164" w:line="219" w:lineRule="auto"/>
        <w:rPr>
          <w:rFonts w:ascii="Times New Roman" w:hAnsi="Times New Roman" w:eastAsia="Times New Roman" w:cs="Times New Roman"/>
          <w:sz w:val="18"/>
          <w:szCs w:val="18"/>
        </w:rPr>
      </w:pPr>
      <w:r>
        <w:rPr>
          <w:rFonts w:ascii="宋体" w:hAnsi="宋体" w:eastAsia="宋体" w:cs="宋体"/>
          <w:spacing w:val="5"/>
          <w:sz w:val="18"/>
          <w:szCs w:val="18"/>
        </w:rPr>
        <w:t>剩余法</w:t>
      </w:r>
      <w:r>
        <w:rPr>
          <w:rFonts w:ascii="宋体" w:hAnsi="宋体" w:eastAsia="宋体" w:cs="宋体"/>
          <w:spacing w:val="74"/>
          <w:sz w:val="18"/>
          <w:szCs w:val="18"/>
        </w:rPr>
        <w:t xml:space="preserve"> </w:t>
      </w:r>
      <w:r>
        <w:rPr>
          <w:rFonts w:ascii="Times New Roman" w:hAnsi="Times New Roman" w:eastAsia="Times New Roman" w:cs="Times New Roman"/>
          <w:sz w:val="18"/>
          <w:szCs w:val="18"/>
        </w:rPr>
        <w:t>method</w:t>
      </w:r>
      <w:r>
        <w:rPr>
          <w:rFonts w:ascii="Times New Roman" w:hAnsi="Times New Roman" w:eastAsia="Times New Roman" w:cs="Times New Roman"/>
          <w:spacing w:val="11"/>
          <w:sz w:val="18"/>
          <w:szCs w:val="18"/>
        </w:rPr>
        <w:t xml:space="preserve">  </w:t>
      </w:r>
      <w:r>
        <w:rPr>
          <w:rFonts w:ascii="Times New Roman" w:hAnsi="Times New Roman" w:eastAsia="Times New Roman" w:cs="Times New Roman"/>
          <w:sz w:val="18"/>
          <w:szCs w:val="18"/>
        </w:rPr>
        <w:t>of</w:t>
      </w:r>
      <w:r>
        <w:rPr>
          <w:rFonts w:ascii="Times New Roman" w:hAnsi="Times New Roman" w:eastAsia="Times New Roman" w:cs="Times New Roman"/>
          <w:spacing w:val="45"/>
          <w:sz w:val="18"/>
          <w:szCs w:val="18"/>
        </w:rPr>
        <w:t xml:space="preserve"> </w:t>
      </w:r>
      <w:r>
        <w:rPr>
          <w:rFonts w:ascii="Times New Roman" w:hAnsi="Times New Roman" w:eastAsia="Times New Roman" w:cs="Times New Roman"/>
          <w:sz w:val="18"/>
          <w:szCs w:val="18"/>
        </w:rPr>
        <w:t>residue</w:t>
      </w:r>
      <w:r>
        <w:rPr>
          <w:rFonts w:ascii="Times New Roman" w:hAnsi="Times New Roman" w:eastAsia="Times New Roman" w:cs="Times New Roman"/>
          <w:spacing w:val="19"/>
          <w:sz w:val="18"/>
          <w:szCs w:val="18"/>
        </w:rPr>
        <w:t xml:space="preserve">  </w:t>
      </w:r>
      <w:r>
        <w:rPr>
          <w:rFonts w:ascii="Times New Roman" w:hAnsi="Times New Roman" w:eastAsia="Times New Roman" w:cs="Times New Roman"/>
          <w:spacing w:val="5"/>
          <w:sz w:val="18"/>
          <w:szCs w:val="18"/>
        </w:rPr>
        <w:t>129</w:t>
      </w:r>
    </w:p>
    <w:p w14:paraId="1BC6410A">
      <w:pPr>
        <w:spacing w:before="116" w:line="212" w:lineRule="auto"/>
        <w:rPr>
          <w:rFonts w:ascii="Times New Roman" w:hAnsi="Times New Roman" w:eastAsia="Times New Roman" w:cs="Times New Roman"/>
          <w:sz w:val="18"/>
          <w:szCs w:val="18"/>
        </w:rPr>
      </w:pPr>
      <w:r>
        <w:rPr>
          <w:rFonts w:ascii="宋体" w:hAnsi="宋体" w:eastAsia="宋体" w:cs="宋体"/>
          <w:spacing w:val="3"/>
          <w:sz w:val="18"/>
          <w:szCs w:val="18"/>
        </w:rPr>
        <w:t>失访</w:t>
      </w:r>
      <w:r>
        <w:rPr>
          <w:rFonts w:ascii="宋体" w:hAnsi="宋体" w:eastAsia="宋体" w:cs="宋体"/>
          <w:spacing w:val="75"/>
          <w:sz w:val="18"/>
          <w:szCs w:val="18"/>
        </w:rPr>
        <w:t xml:space="preserve"> </w:t>
      </w:r>
      <w:r>
        <w:rPr>
          <w:rFonts w:ascii="Times New Roman" w:hAnsi="Times New Roman" w:eastAsia="Times New Roman" w:cs="Times New Roman"/>
          <w:sz w:val="18"/>
          <w:szCs w:val="18"/>
        </w:rPr>
        <w:t>lost</w:t>
      </w:r>
      <w:r>
        <w:rPr>
          <w:rFonts w:ascii="Times New Roman" w:hAnsi="Times New Roman" w:eastAsia="Times New Roman" w:cs="Times New Roman"/>
          <w:spacing w:val="3"/>
          <w:sz w:val="18"/>
          <w:szCs w:val="18"/>
        </w:rPr>
        <w:t xml:space="preserve">  </w:t>
      </w:r>
      <w:r>
        <w:rPr>
          <w:rFonts w:ascii="Times New Roman" w:hAnsi="Times New Roman" w:eastAsia="Times New Roman" w:cs="Times New Roman"/>
          <w:sz w:val="18"/>
          <w:szCs w:val="18"/>
        </w:rPr>
        <w:t>to</w:t>
      </w:r>
      <w:r>
        <w:rPr>
          <w:rFonts w:ascii="Times New Roman" w:hAnsi="Times New Roman" w:eastAsia="Times New Roman" w:cs="Times New Roman"/>
          <w:spacing w:val="10"/>
          <w:sz w:val="18"/>
          <w:szCs w:val="18"/>
        </w:rPr>
        <w:t xml:space="preserve">  </w:t>
      </w:r>
      <w:r>
        <w:rPr>
          <w:rFonts w:ascii="Times New Roman" w:hAnsi="Times New Roman" w:eastAsia="Times New Roman" w:cs="Times New Roman"/>
          <w:sz w:val="18"/>
          <w:szCs w:val="18"/>
        </w:rPr>
        <w:t>follow</w:t>
      </w:r>
      <w:r>
        <w:rPr>
          <w:rFonts w:ascii="Times New Roman" w:hAnsi="Times New Roman" w:eastAsia="Times New Roman" w:cs="Times New Roman"/>
          <w:spacing w:val="3"/>
          <w:sz w:val="18"/>
          <w:szCs w:val="18"/>
        </w:rPr>
        <w:t>-</w:t>
      </w:r>
      <w:r>
        <w:rPr>
          <w:rFonts w:ascii="Times New Roman" w:hAnsi="Times New Roman" w:eastAsia="Times New Roman" w:cs="Times New Roman"/>
          <w:sz w:val="18"/>
          <w:szCs w:val="18"/>
        </w:rPr>
        <w:t>up</w:t>
      </w:r>
      <w:r>
        <w:rPr>
          <w:rFonts w:ascii="Times New Roman" w:hAnsi="Times New Roman" w:eastAsia="Times New Roman" w:cs="Times New Roman"/>
          <w:spacing w:val="11"/>
          <w:w w:val="101"/>
          <w:sz w:val="18"/>
          <w:szCs w:val="18"/>
        </w:rPr>
        <w:t xml:space="preserve">  </w:t>
      </w:r>
      <w:r>
        <w:rPr>
          <w:rFonts w:ascii="Times New Roman" w:hAnsi="Times New Roman" w:eastAsia="Times New Roman" w:cs="Times New Roman"/>
          <w:spacing w:val="3"/>
          <w:sz w:val="18"/>
          <w:szCs w:val="18"/>
        </w:rPr>
        <w:t>94</w:t>
      </w:r>
    </w:p>
    <w:sdt>
      <w:sdtPr>
        <w:rPr>
          <w:rFonts w:ascii="宋体" w:hAnsi="宋体" w:eastAsia="宋体" w:cs="宋体"/>
          <w:sz w:val="18"/>
          <w:szCs w:val="18"/>
        </w:rPr>
        <w:id w:val="653698312"/>
        <w:docPartObj>
          <w:docPartGallery w:val="Table of Contents"/>
          <w:docPartUnique/>
        </w:docPartObj>
      </w:sdtPr>
      <w:sdtEndPr>
        <w:rPr>
          <w:rFonts w:ascii="Times New Roman" w:hAnsi="Times New Roman" w:eastAsia="Times New Roman" w:cs="Times New Roman"/>
          <w:sz w:val="18"/>
          <w:szCs w:val="18"/>
        </w:rPr>
      </w:sdtEndPr>
      <w:sdtContent>
        <w:p w14:paraId="018E7E15">
          <w:pPr>
            <w:spacing w:before="144" w:line="212" w:lineRule="auto"/>
            <w:rPr>
              <w:rFonts w:ascii="Times New Roman" w:hAnsi="Times New Roman" w:eastAsia="Times New Roman" w:cs="Times New Roman"/>
              <w:sz w:val="18"/>
              <w:szCs w:val="18"/>
            </w:rPr>
          </w:pPr>
          <w:r>
            <w:rPr>
              <w:rFonts w:ascii="宋体" w:hAnsi="宋体" w:eastAsia="宋体" w:cs="宋体"/>
              <w:spacing w:val="2"/>
              <w:sz w:val="18"/>
              <w:szCs w:val="18"/>
            </w:rPr>
            <w:t xml:space="preserve">失访偏倚  </w:t>
          </w:r>
          <w:r>
            <w:rPr>
              <w:rFonts w:ascii="Times New Roman" w:hAnsi="Times New Roman" w:eastAsia="Times New Roman" w:cs="Times New Roman"/>
              <w:sz w:val="18"/>
              <w:szCs w:val="18"/>
            </w:rPr>
            <w:t>lost</w:t>
          </w:r>
          <w:r>
            <w:rPr>
              <w:rFonts w:ascii="Times New Roman" w:hAnsi="Times New Roman" w:eastAsia="Times New Roman" w:cs="Times New Roman"/>
              <w:spacing w:val="2"/>
              <w:sz w:val="18"/>
              <w:szCs w:val="18"/>
            </w:rPr>
            <w:t xml:space="preserve">  </w:t>
          </w:r>
          <w:r>
            <w:rPr>
              <w:rFonts w:ascii="Times New Roman" w:hAnsi="Times New Roman" w:eastAsia="Times New Roman" w:cs="Times New Roman"/>
              <w:sz w:val="18"/>
              <w:szCs w:val="18"/>
            </w:rPr>
            <w:t>to</w:t>
          </w:r>
          <w:r>
            <w:rPr>
              <w:rFonts w:ascii="Times New Roman" w:hAnsi="Times New Roman" w:eastAsia="Times New Roman" w:cs="Times New Roman"/>
              <w:spacing w:val="43"/>
              <w:sz w:val="18"/>
              <w:szCs w:val="18"/>
            </w:rPr>
            <w:t xml:space="preserve"> </w:t>
          </w:r>
          <w:r>
            <w:rPr>
              <w:rFonts w:ascii="Times New Roman" w:hAnsi="Times New Roman" w:eastAsia="Times New Roman" w:cs="Times New Roman"/>
              <w:sz w:val="18"/>
              <w:szCs w:val="18"/>
            </w:rPr>
            <w:t>follow</w:t>
          </w:r>
          <w:r>
            <w:rPr>
              <w:rFonts w:ascii="Times New Roman" w:hAnsi="Times New Roman" w:eastAsia="Times New Roman" w:cs="Times New Roman"/>
              <w:spacing w:val="2"/>
              <w:sz w:val="18"/>
              <w:szCs w:val="18"/>
            </w:rPr>
            <w:t>-</w:t>
          </w:r>
          <w:r>
            <w:rPr>
              <w:rFonts w:ascii="Times New Roman" w:hAnsi="Times New Roman" w:eastAsia="Times New Roman" w:cs="Times New Roman"/>
              <w:sz w:val="18"/>
              <w:szCs w:val="18"/>
            </w:rPr>
            <w:t>up</w:t>
          </w:r>
          <w:r>
            <w:rPr>
              <w:rFonts w:ascii="Times New Roman" w:hAnsi="Times New Roman" w:eastAsia="Times New Roman" w:cs="Times New Roman"/>
              <w:spacing w:val="35"/>
              <w:w w:val="102"/>
              <w:sz w:val="18"/>
              <w:szCs w:val="18"/>
            </w:rPr>
            <w:t xml:space="preserve"> </w:t>
          </w:r>
          <w:r>
            <w:rPr>
              <w:rFonts w:ascii="Times New Roman" w:hAnsi="Times New Roman" w:eastAsia="Times New Roman" w:cs="Times New Roman"/>
              <w:sz w:val="18"/>
              <w:szCs w:val="18"/>
            </w:rPr>
            <w:t>bias</w:t>
          </w:r>
          <w:r>
            <w:rPr>
              <w:rFonts w:ascii="Times New Roman" w:hAnsi="Times New Roman" w:eastAsia="Times New Roman" w:cs="Times New Roman"/>
              <w:spacing w:val="43"/>
              <w:w w:val="101"/>
              <w:sz w:val="18"/>
              <w:szCs w:val="18"/>
            </w:rPr>
            <w:t xml:space="preserve"> </w:t>
          </w:r>
          <w:r>
            <w:fldChar w:fldCharType="begin"/>
          </w:r>
          <w:r>
            <w:instrText xml:space="preserve"> HYPERLINK \l "bookmark706" </w:instrText>
          </w:r>
          <w:r>
            <w:fldChar w:fldCharType="separate"/>
          </w:r>
          <w:r>
            <w:rPr>
              <w:rFonts w:ascii="Times New Roman" w:hAnsi="Times New Roman" w:eastAsia="Times New Roman" w:cs="Times New Roman"/>
              <w:spacing w:val="2"/>
              <w:sz w:val="18"/>
              <w:szCs w:val="18"/>
            </w:rPr>
            <w:t>60</w:t>
          </w:r>
          <w:r>
            <w:rPr>
              <w:rFonts w:ascii="Times New Roman" w:hAnsi="Times New Roman" w:eastAsia="Times New Roman" w:cs="Times New Roman"/>
              <w:spacing w:val="2"/>
              <w:sz w:val="18"/>
              <w:szCs w:val="18"/>
            </w:rPr>
            <w:fldChar w:fldCharType="end"/>
          </w:r>
        </w:p>
        <w:p w14:paraId="0D49B4A2">
          <w:pPr>
            <w:spacing w:before="142" w:line="212" w:lineRule="auto"/>
            <w:rPr>
              <w:rFonts w:ascii="Times New Roman" w:hAnsi="Times New Roman" w:eastAsia="Times New Roman" w:cs="Times New Roman"/>
              <w:sz w:val="18"/>
              <w:szCs w:val="18"/>
            </w:rPr>
          </w:pPr>
          <w:r>
            <w:rPr>
              <w:rFonts w:ascii="宋体" w:hAnsi="宋体" w:eastAsia="宋体" w:cs="宋体"/>
              <w:spacing w:val="3"/>
              <w:sz w:val="18"/>
              <w:szCs w:val="18"/>
            </w:rPr>
            <w:t>时间顺序</w:t>
          </w:r>
          <w:r>
            <w:rPr>
              <w:rFonts w:ascii="宋体" w:hAnsi="宋体" w:eastAsia="宋体" w:cs="宋体"/>
              <w:spacing w:val="81"/>
              <w:sz w:val="18"/>
              <w:szCs w:val="18"/>
            </w:rPr>
            <w:t xml:space="preserve"> </w:t>
          </w:r>
          <w:r>
            <w:rPr>
              <w:rFonts w:ascii="Times New Roman" w:hAnsi="Times New Roman" w:eastAsia="Times New Roman" w:cs="Times New Roman"/>
              <w:sz w:val="18"/>
              <w:szCs w:val="18"/>
            </w:rPr>
            <w:t>temporality</w:t>
          </w:r>
          <w:r>
            <w:rPr>
              <w:rFonts w:ascii="Times New Roman" w:hAnsi="Times New Roman" w:eastAsia="Times New Roman" w:cs="Times New Roman"/>
              <w:spacing w:val="7"/>
              <w:sz w:val="18"/>
              <w:szCs w:val="18"/>
            </w:rPr>
            <w:t xml:space="preserve">     </w:t>
          </w:r>
          <w:r>
            <w:fldChar w:fldCharType="begin"/>
          </w:r>
          <w:r>
            <w:instrText xml:space="preserve"> HYPERLINK \l "bookmark707" </w:instrText>
          </w:r>
          <w:r>
            <w:fldChar w:fldCharType="separate"/>
          </w:r>
          <w:r>
            <w:rPr>
              <w:rFonts w:ascii="Times New Roman" w:hAnsi="Times New Roman" w:eastAsia="Times New Roman" w:cs="Times New Roman"/>
              <w:spacing w:val="3"/>
              <w:sz w:val="18"/>
              <w:szCs w:val="18"/>
            </w:rPr>
            <w:t>118</w:t>
          </w:r>
          <w:r>
            <w:rPr>
              <w:rFonts w:ascii="Times New Roman" w:hAnsi="Times New Roman" w:eastAsia="Times New Roman" w:cs="Times New Roman"/>
              <w:spacing w:val="3"/>
              <w:sz w:val="18"/>
              <w:szCs w:val="18"/>
            </w:rPr>
            <w:fldChar w:fldCharType="end"/>
          </w:r>
        </w:p>
        <w:p w14:paraId="3062E33D">
          <w:pPr>
            <w:spacing w:before="214" w:line="212" w:lineRule="auto"/>
            <w:rPr>
              <w:rFonts w:ascii="Times New Roman" w:hAnsi="Times New Roman" w:eastAsia="Times New Roman" w:cs="Times New Roman"/>
              <w:sz w:val="18"/>
              <w:szCs w:val="18"/>
            </w:rPr>
          </w:pPr>
          <w:r>
            <w:rPr>
              <w:rFonts w:ascii="宋体" w:hAnsi="宋体" w:eastAsia="宋体" w:cs="宋体"/>
              <w:spacing w:val="4"/>
              <w:sz w:val="18"/>
              <w:szCs w:val="18"/>
            </w:rPr>
            <w:t>实验流行病学</w:t>
          </w:r>
          <w:r>
            <w:rPr>
              <w:rFonts w:ascii="宋体" w:hAnsi="宋体" w:eastAsia="宋体" w:cs="宋体"/>
              <w:spacing w:val="3"/>
              <w:sz w:val="18"/>
              <w:szCs w:val="18"/>
            </w:rPr>
            <w:t xml:space="preserve">  </w:t>
          </w:r>
          <w:r>
            <w:rPr>
              <w:rFonts w:ascii="Times New Roman" w:hAnsi="Times New Roman" w:eastAsia="Times New Roman" w:cs="Times New Roman"/>
              <w:sz w:val="18"/>
              <w:szCs w:val="18"/>
            </w:rPr>
            <w:t>experimental</w:t>
          </w:r>
          <w:r>
            <w:rPr>
              <w:rFonts w:ascii="Times New Roman" w:hAnsi="Times New Roman" w:eastAsia="Times New Roman" w:cs="Times New Roman"/>
              <w:spacing w:val="15"/>
              <w:sz w:val="18"/>
              <w:szCs w:val="18"/>
            </w:rPr>
            <w:t xml:space="preserve">  </w:t>
          </w:r>
          <w:r>
            <w:rPr>
              <w:rFonts w:ascii="Times New Roman" w:hAnsi="Times New Roman" w:eastAsia="Times New Roman" w:cs="Times New Roman"/>
              <w:sz w:val="18"/>
              <w:szCs w:val="18"/>
            </w:rPr>
            <w:t>epidemiology</w:t>
          </w:r>
          <w:r>
            <w:rPr>
              <w:rFonts w:ascii="Times New Roman" w:hAnsi="Times New Roman" w:eastAsia="Times New Roman" w:cs="Times New Roman"/>
              <w:spacing w:val="17"/>
              <w:sz w:val="18"/>
              <w:szCs w:val="18"/>
            </w:rPr>
            <w:t xml:space="preserve">  </w:t>
          </w:r>
          <w:r>
            <w:fldChar w:fldCharType="begin"/>
          </w:r>
          <w:r>
            <w:instrText xml:space="preserve"> HYPERLINK \l "bookmark708" </w:instrText>
          </w:r>
          <w:r>
            <w:fldChar w:fldCharType="separate"/>
          </w:r>
          <w:r>
            <w:rPr>
              <w:rFonts w:ascii="Times New Roman" w:hAnsi="Times New Roman" w:eastAsia="Times New Roman" w:cs="Times New Roman"/>
              <w:spacing w:val="4"/>
              <w:sz w:val="18"/>
              <w:szCs w:val="18"/>
            </w:rPr>
            <w:t>82</w:t>
          </w:r>
          <w:r>
            <w:rPr>
              <w:rFonts w:ascii="Times New Roman" w:hAnsi="Times New Roman" w:eastAsia="Times New Roman" w:cs="Times New Roman"/>
              <w:spacing w:val="4"/>
              <w:sz w:val="18"/>
              <w:szCs w:val="18"/>
            </w:rPr>
            <w:fldChar w:fldCharType="end"/>
          </w:r>
        </w:p>
      </w:sdtContent>
    </w:sdt>
    <w:p w14:paraId="592E71A6">
      <w:pPr>
        <w:spacing w:before="143" w:line="212" w:lineRule="auto"/>
        <w:rPr>
          <w:rFonts w:ascii="Times New Roman" w:hAnsi="Times New Roman" w:eastAsia="Times New Roman" w:cs="Times New Roman"/>
          <w:sz w:val="18"/>
          <w:szCs w:val="18"/>
        </w:rPr>
      </w:pPr>
      <w:r>
        <w:rPr>
          <w:rFonts w:ascii="宋体" w:hAnsi="宋体" w:eastAsia="宋体" w:cs="宋体"/>
          <w:spacing w:val="4"/>
          <w:sz w:val="18"/>
          <w:szCs w:val="18"/>
        </w:rPr>
        <w:t>寿命损失年</w:t>
      </w:r>
      <w:r>
        <w:rPr>
          <w:rFonts w:ascii="宋体" w:hAnsi="宋体" w:eastAsia="宋体" w:cs="宋体"/>
          <w:spacing w:val="66"/>
          <w:sz w:val="18"/>
          <w:szCs w:val="18"/>
        </w:rPr>
        <w:t xml:space="preserve"> </w:t>
      </w:r>
      <w:r>
        <w:rPr>
          <w:rFonts w:ascii="Times New Roman" w:hAnsi="Times New Roman" w:eastAsia="Times New Roman" w:cs="Times New Roman"/>
          <w:sz w:val="18"/>
          <w:szCs w:val="18"/>
        </w:rPr>
        <w:t>years</w:t>
      </w:r>
      <w:r>
        <w:rPr>
          <w:rFonts w:ascii="Times New Roman" w:hAnsi="Times New Roman" w:eastAsia="Times New Roman" w:cs="Times New Roman"/>
          <w:spacing w:val="4"/>
          <w:sz w:val="18"/>
          <w:szCs w:val="18"/>
        </w:rPr>
        <w:t xml:space="preserve">  </w:t>
      </w:r>
      <w:r>
        <w:rPr>
          <w:rFonts w:ascii="Times New Roman" w:hAnsi="Times New Roman" w:eastAsia="Times New Roman" w:cs="Times New Roman"/>
          <w:sz w:val="18"/>
          <w:szCs w:val="18"/>
        </w:rPr>
        <w:t>of</w:t>
      </w:r>
      <w:r>
        <w:rPr>
          <w:rFonts w:ascii="Times New Roman" w:hAnsi="Times New Roman" w:eastAsia="Times New Roman" w:cs="Times New Roman"/>
          <w:spacing w:val="4"/>
          <w:sz w:val="18"/>
          <w:szCs w:val="18"/>
        </w:rPr>
        <w:t xml:space="preserve">  </w:t>
      </w:r>
      <w:r>
        <w:rPr>
          <w:rFonts w:ascii="Times New Roman" w:hAnsi="Times New Roman" w:eastAsia="Times New Roman" w:cs="Times New Roman"/>
          <w:sz w:val="18"/>
          <w:szCs w:val="18"/>
        </w:rPr>
        <w:t>life</w:t>
      </w:r>
      <w:r>
        <w:rPr>
          <w:rFonts w:ascii="Times New Roman" w:hAnsi="Times New Roman" w:eastAsia="Times New Roman" w:cs="Times New Roman"/>
          <w:spacing w:val="11"/>
          <w:w w:val="101"/>
          <w:sz w:val="18"/>
          <w:szCs w:val="18"/>
        </w:rPr>
        <w:t xml:space="preserve">  </w:t>
      </w:r>
      <w:r>
        <w:rPr>
          <w:rFonts w:ascii="Times New Roman" w:hAnsi="Times New Roman" w:eastAsia="Times New Roman" w:cs="Times New Roman"/>
          <w:sz w:val="18"/>
          <w:szCs w:val="18"/>
        </w:rPr>
        <w:t>lost</w:t>
      </w:r>
      <w:r>
        <w:rPr>
          <w:rFonts w:ascii="Times New Roman" w:hAnsi="Times New Roman" w:eastAsia="Times New Roman" w:cs="Times New Roman"/>
          <w:spacing w:val="4"/>
          <w:sz w:val="18"/>
          <w:szCs w:val="18"/>
        </w:rPr>
        <w:t>,</w:t>
      </w:r>
      <w:r>
        <w:rPr>
          <w:rFonts w:ascii="Times New Roman" w:hAnsi="Times New Roman" w:eastAsia="Times New Roman" w:cs="Times New Roman"/>
          <w:sz w:val="18"/>
          <w:szCs w:val="18"/>
        </w:rPr>
        <w:t>YLL</w:t>
      </w:r>
      <w:r>
        <w:rPr>
          <w:rFonts w:ascii="Times New Roman" w:hAnsi="Times New Roman" w:eastAsia="Times New Roman" w:cs="Times New Roman"/>
          <w:spacing w:val="4"/>
          <w:sz w:val="18"/>
          <w:szCs w:val="18"/>
        </w:rPr>
        <w:t xml:space="preserve">   16,186</w:t>
      </w:r>
    </w:p>
    <w:p w14:paraId="62ADE916">
      <w:pPr>
        <w:spacing w:before="143" w:line="357" w:lineRule="auto"/>
        <w:ind w:left="210" w:right="665" w:hanging="210"/>
        <w:rPr>
          <w:rFonts w:ascii="宋体" w:hAnsi="宋体" w:eastAsia="宋体" w:cs="宋体"/>
          <w:sz w:val="18"/>
          <w:szCs w:val="18"/>
        </w:rPr>
      </w:pPr>
      <w:r>
        <w:rPr>
          <w:rFonts w:ascii="宋体" w:hAnsi="宋体" w:eastAsia="宋体" w:cs="宋体"/>
          <w:spacing w:val="8"/>
          <w:sz w:val="18"/>
          <w:szCs w:val="18"/>
        </w:rPr>
        <w:t>受试者工作特征曲线</w:t>
      </w:r>
      <w:r>
        <w:rPr>
          <w:rFonts w:ascii="宋体" w:hAnsi="宋体" w:eastAsia="宋体" w:cs="宋体"/>
          <w:spacing w:val="77"/>
          <w:sz w:val="18"/>
          <w:szCs w:val="18"/>
        </w:rPr>
        <w:t xml:space="preserve"> </w:t>
      </w:r>
      <w:r>
        <w:rPr>
          <w:rFonts w:ascii="Times New Roman" w:hAnsi="Times New Roman" w:eastAsia="Times New Roman" w:cs="Times New Roman"/>
          <w:sz w:val="18"/>
          <w:szCs w:val="18"/>
        </w:rPr>
        <w:t>receiver</w:t>
      </w:r>
      <w:r>
        <w:rPr>
          <w:rFonts w:ascii="Times New Roman" w:hAnsi="Times New Roman" w:eastAsia="Times New Roman" w:cs="Times New Roman"/>
          <w:spacing w:val="8"/>
          <w:sz w:val="18"/>
          <w:szCs w:val="18"/>
        </w:rPr>
        <w:t xml:space="preserve"> </w:t>
      </w:r>
      <w:r>
        <w:rPr>
          <w:rFonts w:ascii="Times New Roman" w:hAnsi="Times New Roman" w:eastAsia="Times New Roman" w:cs="Times New Roman"/>
          <w:sz w:val="18"/>
          <w:szCs w:val="18"/>
        </w:rPr>
        <w:t>operator</w:t>
      </w:r>
      <w:r>
        <w:rPr>
          <w:rFonts w:ascii="Times New Roman" w:hAnsi="Times New Roman" w:eastAsia="Times New Roman" w:cs="Times New Roman"/>
          <w:spacing w:val="8"/>
          <w:sz w:val="18"/>
          <w:szCs w:val="18"/>
        </w:rPr>
        <w:t xml:space="preserve"> </w:t>
      </w:r>
      <w:r>
        <w:rPr>
          <w:rFonts w:ascii="Times New Roman" w:hAnsi="Times New Roman" w:eastAsia="Times New Roman" w:cs="Times New Roman"/>
          <w:sz w:val="18"/>
          <w:szCs w:val="18"/>
        </w:rPr>
        <w:t xml:space="preserve">characteristic </w:t>
      </w:r>
      <w:r>
        <w:rPr>
          <w:rFonts w:ascii="Times New Roman" w:hAnsi="Times New Roman" w:eastAsia="Times New Roman" w:cs="Times New Roman"/>
          <w:spacing w:val="-6"/>
          <w:sz w:val="18"/>
          <w:szCs w:val="18"/>
        </w:rPr>
        <w:t>curve,ROC</w:t>
      </w:r>
      <w:r>
        <w:rPr>
          <w:rFonts w:ascii="Times New Roman" w:hAnsi="Times New Roman" w:eastAsia="Times New Roman" w:cs="Times New Roman"/>
          <w:spacing w:val="21"/>
          <w:w w:val="101"/>
          <w:sz w:val="18"/>
          <w:szCs w:val="18"/>
        </w:rPr>
        <w:t xml:space="preserve">  </w:t>
      </w:r>
      <w:r>
        <w:rPr>
          <w:rFonts w:ascii="宋体" w:hAnsi="宋体" w:eastAsia="宋体" w:cs="宋体"/>
          <w:spacing w:val="-6"/>
          <w:sz w:val="18"/>
          <w:szCs w:val="18"/>
        </w:rPr>
        <w:t>曲</w:t>
      </w:r>
      <w:r>
        <w:rPr>
          <w:rFonts w:ascii="宋体" w:hAnsi="宋体" w:eastAsia="宋体" w:cs="宋体"/>
          <w:spacing w:val="-17"/>
          <w:sz w:val="18"/>
          <w:szCs w:val="18"/>
        </w:rPr>
        <w:t xml:space="preserve"> </w:t>
      </w:r>
      <w:r>
        <w:rPr>
          <w:rFonts w:ascii="宋体" w:hAnsi="宋体" w:eastAsia="宋体" w:cs="宋体"/>
          <w:spacing w:val="-6"/>
          <w:sz w:val="18"/>
          <w:szCs w:val="18"/>
        </w:rPr>
        <w:t>线 1</w:t>
      </w:r>
      <w:r>
        <w:rPr>
          <w:rFonts w:ascii="宋体" w:hAnsi="宋体" w:eastAsia="宋体" w:cs="宋体"/>
          <w:spacing w:val="-17"/>
          <w:sz w:val="18"/>
          <w:szCs w:val="18"/>
        </w:rPr>
        <w:t xml:space="preserve"> </w:t>
      </w:r>
      <w:r>
        <w:rPr>
          <w:rFonts w:ascii="宋体" w:hAnsi="宋体" w:eastAsia="宋体" w:cs="宋体"/>
          <w:spacing w:val="-6"/>
          <w:sz w:val="18"/>
          <w:szCs w:val="18"/>
        </w:rPr>
        <w:t>0</w:t>
      </w:r>
      <w:r>
        <w:rPr>
          <w:rFonts w:ascii="宋体" w:hAnsi="宋体" w:eastAsia="宋体" w:cs="宋体"/>
          <w:spacing w:val="-18"/>
          <w:sz w:val="18"/>
          <w:szCs w:val="18"/>
        </w:rPr>
        <w:t xml:space="preserve"> </w:t>
      </w:r>
      <w:r>
        <w:rPr>
          <w:rFonts w:ascii="宋体" w:hAnsi="宋体" w:eastAsia="宋体" w:cs="宋体"/>
          <w:spacing w:val="-6"/>
          <w:sz w:val="18"/>
          <w:szCs w:val="18"/>
        </w:rPr>
        <w:t>9</w:t>
      </w:r>
    </w:p>
    <w:p w14:paraId="7A33836C">
      <w:pPr>
        <w:spacing w:before="26" w:line="221" w:lineRule="auto"/>
        <w:rPr>
          <w:rFonts w:ascii="Times New Roman" w:hAnsi="Times New Roman" w:eastAsia="Times New Roman" w:cs="Times New Roman"/>
          <w:sz w:val="18"/>
          <w:szCs w:val="18"/>
        </w:rPr>
      </w:pPr>
      <w:r>
        <w:rPr>
          <w:rFonts w:ascii="宋体" w:hAnsi="宋体" w:eastAsia="宋体" w:cs="宋体"/>
          <w:spacing w:val="4"/>
          <w:sz w:val="18"/>
          <w:szCs w:val="18"/>
        </w:rPr>
        <w:t>双盲</w:t>
      </w:r>
      <w:r>
        <w:rPr>
          <w:rFonts w:ascii="宋体" w:hAnsi="宋体" w:eastAsia="宋体" w:cs="宋体"/>
          <w:spacing w:val="83"/>
          <w:sz w:val="18"/>
          <w:szCs w:val="18"/>
        </w:rPr>
        <w:t xml:space="preserve"> </w:t>
      </w:r>
      <w:r>
        <w:rPr>
          <w:rFonts w:ascii="Times New Roman" w:hAnsi="Times New Roman" w:eastAsia="Times New Roman" w:cs="Times New Roman"/>
          <w:sz w:val="18"/>
          <w:szCs w:val="18"/>
        </w:rPr>
        <w:t>double</w:t>
      </w:r>
      <w:r>
        <w:rPr>
          <w:rFonts w:ascii="Times New Roman" w:hAnsi="Times New Roman" w:eastAsia="Times New Roman" w:cs="Times New Roman"/>
          <w:spacing w:val="5"/>
          <w:sz w:val="18"/>
          <w:szCs w:val="18"/>
        </w:rPr>
        <w:t xml:space="preserve">   </w:t>
      </w:r>
      <w:r>
        <w:rPr>
          <w:rFonts w:ascii="Times New Roman" w:hAnsi="Times New Roman" w:eastAsia="Times New Roman" w:cs="Times New Roman"/>
          <w:sz w:val="18"/>
          <w:szCs w:val="18"/>
        </w:rPr>
        <w:t>blind</w:t>
      </w:r>
      <w:r>
        <w:rPr>
          <w:rFonts w:ascii="Times New Roman" w:hAnsi="Times New Roman" w:eastAsia="Times New Roman" w:cs="Times New Roman"/>
          <w:spacing w:val="8"/>
          <w:sz w:val="18"/>
          <w:szCs w:val="18"/>
        </w:rPr>
        <w:t xml:space="preserve">   </w:t>
      </w:r>
      <w:r>
        <w:rPr>
          <w:rFonts w:ascii="Times New Roman" w:hAnsi="Times New Roman" w:eastAsia="Times New Roman" w:cs="Times New Roman"/>
          <w:spacing w:val="4"/>
          <w:sz w:val="18"/>
          <w:szCs w:val="18"/>
        </w:rPr>
        <w:t>92</w:t>
      </w:r>
    </w:p>
    <w:p w14:paraId="211DE788">
      <w:pPr>
        <w:spacing w:before="153" w:line="212" w:lineRule="auto"/>
        <w:rPr>
          <w:rFonts w:ascii="Times New Roman" w:hAnsi="Times New Roman" w:eastAsia="Times New Roman" w:cs="Times New Roman"/>
          <w:sz w:val="18"/>
          <w:szCs w:val="18"/>
        </w:rPr>
      </w:pPr>
      <w:r>
        <w:rPr>
          <w:rFonts w:ascii="宋体" w:hAnsi="宋体" w:eastAsia="宋体" w:cs="宋体"/>
          <w:spacing w:val="6"/>
          <w:sz w:val="18"/>
          <w:szCs w:val="18"/>
        </w:rPr>
        <w:t>双向性队列研究</w:t>
      </w:r>
      <w:r>
        <w:rPr>
          <w:rFonts w:ascii="宋体" w:hAnsi="宋体" w:eastAsia="宋体" w:cs="宋体"/>
          <w:spacing w:val="68"/>
          <w:sz w:val="18"/>
          <w:szCs w:val="18"/>
        </w:rPr>
        <w:t xml:space="preserve"> </w:t>
      </w:r>
      <w:r>
        <w:rPr>
          <w:rFonts w:ascii="Times New Roman" w:hAnsi="Times New Roman" w:eastAsia="Times New Roman" w:cs="Times New Roman"/>
          <w:sz w:val="18"/>
          <w:szCs w:val="18"/>
        </w:rPr>
        <w:t>ambispective</w:t>
      </w:r>
      <w:r>
        <w:rPr>
          <w:rFonts w:ascii="Times New Roman" w:hAnsi="Times New Roman" w:eastAsia="Times New Roman" w:cs="Times New Roman"/>
          <w:spacing w:val="6"/>
          <w:sz w:val="18"/>
          <w:szCs w:val="18"/>
        </w:rPr>
        <w:t xml:space="preserve">  </w:t>
      </w:r>
      <w:r>
        <w:rPr>
          <w:rFonts w:ascii="Times New Roman" w:hAnsi="Times New Roman" w:eastAsia="Times New Roman" w:cs="Times New Roman"/>
          <w:sz w:val="18"/>
          <w:szCs w:val="18"/>
        </w:rPr>
        <w:t>cohort</w:t>
      </w:r>
      <w:r>
        <w:rPr>
          <w:rFonts w:ascii="Times New Roman" w:hAnsi="Times New Roman" w:eastAsia="Times New Roman" w:cs="Times New Roman"/>
          <w:spacing w:val="6"/>
          <w:sz w:val="18"/>
          <w:szCs w:val="18"/>
        </w:rPr>
        <w:t xml:space="preserve">  </w:t>
      </w:r>
      <w:r>
        <w:rPr>
          <w:rFonts w:ascii="Times New Roman" w:hAnsi="Times New Roman" w:eastAsia="Times New Roman" w:cs="Times New Roman"/>
          <w:sz w:val="18"/>
          <w:szCs w:val="18"/>
        </w:rPr>
        <w:t>study</w:t>
      </w:r>
      <w:r>
        <w:rPr>
          <w:rFonts w:ascii="Times New Roman" w:hAnsi="Times New Roman" w:eastAsia="Times New Roman" w:cs="Times New Roman"/>
          <w:spacing w:val="6"/>
          <w:sz w:val="18"/>
          <w:szCs w:val="18"/>
        </w:rPr>
        <w:t xml:space="preserve">  49</w:t>
      </w:r>
    </w:p>
    <w:p w14:paraId="419004E6">
      <w:pPr>
        <w:spacing w:before="172" w:line="219" w:lineRule="auto"/>
        <w:rPr>
          <w:rFonts w:ascii="Times New Roman" w:hAnsi="Times New Roman" w:eastAsia="Times New Roman" w:cs="Times New Roman"/>
          <w:sz w:val="18"/>
          <w:szCs w:val="18"/>
        </w:rPr>
      </w:pPr>
      <w:r>
        <w:rPr>
          <w:rFonts w:ascii="宋体" w:hAnsi="宋体" w:eastAsia="宋体" w:cs="宋体"/>
          <w:spacing w:val="3"/>
          <w:sz w:val="18"/>
          <w:szCs w:val="18"/>
        </w:rPr>
        <w:t>水平传播</w:t>
      </w:r>
      <w:r>
        <w:rPr>
          <w:rFonts w:ascii="宋体" w:hAnsi="宋体" w:eastAsia="宋体" w:cs="宋体"/>
          <w:spacing w:val="86"/>
          <w:sz w:val="18"/>
          <w:szCs w:val="18"/>
        </w:rPr>
        <w:t xml:space="preserve"> </w:t>
      </w:r>
      <w:r>
        <w:rPr>
          <w:rFonts w:ascii="Times New Roman" w:hAnsi="Times New Roman" w:eastAsia="Times New Roman" w:cs="Times New Roman"/>
          <w:sz w:val="18"/>
          <w:szCs w:val="18"/>
        </w:rPr>
        <w:t>horizontal</w:t>
      </w:r>
      <w:r>
        <w:rPr>
          <w:rFonts w:ascii="Times New Roman" w:hAnsi="Times New Roman" w:eastAsia="Times New Roman" w:cs="Times New Roman"/>
          <w:spacing w:val="20"/>
          <w:w w:val="101"/>
          <w:sz w:val="18"/>
          <w:szCs w:val="18"/>
        </w:rPr>
        <w:t xml:space="preserve">  </w:t>
      </w:r>
      <w:r>
        <w:rPr>
          <w:rFonts w:ascii="Times New Roman" w:hAnsi="Times New Roman" w:eastAsia="Times New Roman" w:cs="Times New Roman"/>
          <w:sz w:val="18"/>
          <w:szCs w:val="18"/>
        </w:rPr>
        <w:t>transmission</w:t>
      </w:r>
      <w:r>
        <w:rPr>
          <w:rFonts w:ascii="Times New Roman" w:hAnsi="Times New Roman" w:eastAsia="Times New Roman" w:cs="Times New Roman"/>
          <w:spacing w:val="3"/>
          <w:sz w:val="18"/>
          <w:szCs w:val="18"/>
        </w:rPr>
        <w:t xml:space="preserve">   160</w:t>
      </w:r>
    </w:p>
    <w:p w14:paraId="243841F9">
      <w:pPr>
        <w:spacing w:before="127" w:line="212" w:lineRule="auto"/>
        <w:rPr>
          <w:rFonts w:ascii="Times New Roman" w:hAnsi="Times New Roman" w:eastAsia="Times New Roman" w:cs="Times New Roman"/>
          <w:sz w:val="18"/>
          <w:szCs w:val="18"/>
        </w:rPr>
      </w:pPr>
      <w:r>
        <w:rPr>
          <w:rFonts w:ascii="宋体" w:hAnsi="宋体" w:eastAsia="宋体" w:cs="宋体"/>
          <w:spacing w:val="4"/>
          <w:sz w:val="18"/>
          <w:szCs w:val="18"/>
        </w:rPr>
        <w:t>死亡率</w:t>
      </w:r>
      <w:r>
        <w:rPr>
          <w:rFonts w:ascii="宋体" w:hAnsi="宋体" w:eastAsia="宋体" w:cs="宋体"/>
          <w:spacing w:val="84"/>
          <w:sz w:val="18"/>
          <w:szCs w:val="18"/>
        </w:rPr>
        <w:t xml:space="preserve"> </w:t>
      </w:r>
      <w:r>
        <w:rPr>
          <w:rFonts w:ascii="Times New Roman" w:hAnsi="Times New Roman" w:eastAsia="Times New Roman" w:cs="Times New Roman"/>
          <w:sz w:val="18"/>
          <w:szCs w:val="18"/>
        </w:rPr>
        <w:t>mortality   rate</w:t>
      </w:r>
      <w:r>
        <w:rPr>
          <w:rFonts w:ascii="Times New Roman" w:hAnsi="Times New Roman" w:eastAsia="Times New Roman" w:cs="Times New Roman"/>
          <w:spacing w:val="7"/>
          <w:sz w:val="18"/>
          <w:szCs w:val="18"/>
        </w:rPr>
        <w:t xml:space="preserve">   </w:t>
      </w:r>
      <w:r>
        <w:rPr>
          <w:rFonts w:ascii="Times New Roman" w:hAnsi="Times New Roman" w:eastAsia="Times New Roman" w:cs="Times New Roman"/>
          <w:spacing w:val="4"/>
          <w:sz w:val="18"/>
          <w:szCs w:val="18"/>
        </w:rPr>
        <w:t>14</w:t>
      </w:r>
    </w:p>
    <w:p w14:paraId="39D5D3DD">
      <w:pPr>
        <w:spacing w:before="163" w:line="212" w:lineRule="auto"/>
        <w:rPr>
          <w:rFonts w:ascii="Times New Roman" w:hAnsi="Times New Roman" w:eastAsia="Times New Roman" w:cs="Times New Roman"/>
          <w:sz w:val="18"/>
          <w:szCs w:val="18"/>
        </w:rPr>
      </w:pPr>
      <w:r>
        <w:rPr>
          <w:rFonts w:ascii="宋体" w:hAnsi="宋体" w:eastAsia="宋体" w:cs="宋体"/>
          <w:spacing w:val="2"/>
          <w:sz w:val="18"/>
          <w:szCs w:val="18"/>
        </w:rPr>
        <w:t>似然比</w:t>
      </w:r>
      <w:r>
        <w:rPr>
          <w:rFonts w:ascii="宋体" w:hAnsi="宋体" w:eastAsia="宋体" w:cs="宋体"/>
          <w:spacing w:val="68"/>
          <w:sz w:val="18"/>
          <w:szCs w:val="18"/>
        </w:rPr>
        <w:t xml:space="preserve"> </w:t>
      </w:r>
      <w:r>
        <w:rPr>
          <w:rFonts w:ascii="Times New Roman" w:hAnsi="Times New Roman" w:eastAsia="Times New Roman" w:cs="Times New Roman"/>
          <w:sz w:val="18"/>
          <w:szCs w:val="18"/>
        </w:rPr>
        <w:t>likelihood</w:t>
      </w:r>
      <w:r>
        <w:rPr>
          <w:rFonts w:ascii="Times New Roman" w:hAnsi="Times New Roman" w:eastAsia="Times New Roman" w:cs="Times New Roman"/>
          <w:spacing w:val="12"/>
          <w:w w:val="101"/>
          <w:sz w:val="18"/>
          <w:szCs w:val="18"/>
        </w:rPr>
        <w:t xml:space="preserve">   </w:t>
      </w:r>
      <w:r>
        <w:rPr>
          <w:rFonts w:ascii="Times New Roman" w:hAnsi="Times New Roman" w:eastAsia="Times New Roman" w:cs="Times New Roman"/>
          <w:sz w:val="18"/>
          <w:szCs w:val="18"/>
        </w:rPr>
        <w:t>ratio</w:t>
      </w:r>
      <w:r>
        <w:rPr>
          <w:rFonts w:ascii="Times New Roman" w:hAnsi="Times New Roman" w:eastAsia="Times New Roman" w:cs="Times New Roman"/>
          <w:spacing w:val="2"/>
          <w:sz w:val="18"/>
          <w:szCs w:val="18"/>
        </w:rPr>
        <w:t>,</w:t>
      </w:r>
      <w:r>
        <w:rPr>
          <w:rFonts w:ascii="Times New Roman" w:hAnsi="Times New Roman" w:eastAsia="Times New Roman" w:cs="Times New Roman"/>
          <w:sz w:val="18"/>
          <w:szCs w:val="18"/>
        </w:rPr>
        <w:t>LR</w:t>
      </w:r>
      <w:r>
        <w:rPr>
          <w:rFonts w:ascii="Times New Roman" w:hAnsi="Times New Roman" w:eastAsia="Times New Roman" w:cs="Times New Roman"/>
          <w:spacing w:val="2"/>
          <w:sz w:val="18"/>
          <w:szCs w:val="18"/>
        </w:rPr>
        <w:t xml:space="preserve">    105</w:t>
      </w:r>
    </w:p>
    <w:p w14:paraId="4DE348AB">
      <w:pPr>
        <w:spacing w:before="153" w:line="212" w:lineRule="auto"/>
        <w:rPr>
          <w:rFonts w:ascii="Times New Roman" w:hAnsi="Times New Roman" w:eastAsia="Times New Roman" w:cs="Times New Roman"/>
          <w:sz w:val="18"/>
          <w:szCs w:val="18"/>
        </w:rPr>
      </w:pPr>
      <w:r>
        <w:rPr>
          <w:rFonts w:ascii="宋体" w:hAnsi="宋体" w:eastAsia="宋体" w:cs="宋体"/>
          <w:spacing w:val="1"/>
          <w:sz w:val="18"/>
          <w:szCs w:val="18"/>
        </w:rPr>
        <w:t>宿主</w:t>
      </w:r>
      <w:r>
        <w:rPr>
          <w:rFonts w:ascii="宋体" w:hAnsi="宋体" w:eastAsia="宋体" w:cs="宋体"/>
          <w:spacing w:val="71"/>
          <w:sz w:val="18"/>
          <w:szCs w:val="18"/>
        </w:rPr>
        <w:t xml:space="preserve"> </w:t>
      </w:r>
      <w:r>
        <w:rPr>
          <w:rFonts w:ascii="Times New Roman" w:hAnsi="Times New Roman" w:eastAsia="Times New Roman" w:cs="Times New Roman"/>
          <w:sz w:val="18"/>
          <w:szCs w:val="18"/>
        </w:rPr>
        <w:t>host</w:t>
      </w:r>
      <w:r>
        <w:rPr>
          <w:rFonts w:ascii="Times New Roman" w:hAnsi="Times New Roman" w:eastAsia="Times New Roman" w:cs="Times New Roman"/>
          <w:spacing w:val="4"/>
          <w:sz w:val="18"/>
          <w:szCs w:val="18"/>
        </w:rPr>
        <w:t xml:space="preserve">      </w:t>
      </w:r>
      <w:r>
        <w:rPr>
          <w:rFonts w:ascii="Times New Roman" w:hAnsi="Times New Roman" w:eastAsia="Times New Roman" w:cs="Times New Roman"/>
          <w:spacing w:val="1"/>
          <w:sz w:val="18"/>
          <w:szCs w:val="18"/>
        </w:rPr>
        <w:t>120,157</w:t>
      </w:r>
    </w:p>
    <w:p w14:paraId="38D2DD22">
      <w:pPr>
        <w:spacing w:before="144" w:line="212" w:lineRule="auto"/>
        <w:rPr>
          <w:rFonts w:ascii="Times New Roman" w:hAnsi="Times New Roman" w:eastAsia="Times New Roman" w:cs="Times New Roman"/>
          <w:sz w:val="18"/>
          <w:szCs w:val="18"/>
        </w:rPr>
      </w:pPr>
      <w:r>
        <w:rPr>
          <w:rFonts w:ascii="宋体" w:hAnsi="宋体" w:eastAsia="宋体" w:cs="宋体"/>
          <w:spacing w:val="1"/>
          <w:sz w:val="18"/>
          <w:szCs w:val="18"/>
        </w:rPr>
        <w:t>随访研究</w:t>
      </w:r>
      <w:r>
        <w:rPr>
          <w:rFonts w:ascii="宋体" w:hAnsi="宋体" w:eastAsia="宋体" w:cs="宋体"/>
          <w:spacing w:val="61"/>
          <w:sz w:val="18"/>
          <w:szCs w:val="18"/>
        </w:rPr>
        <w:t xml:space="preserve"> </w:t>
      </w:r>
      <w:r>
        <w:rPr>
          <w:rFonts w:ascii="Times New Roman" w:hAnsi="Times New Roman" w:eastAsia="Times New Roman" w:cs="Times New Roman"/>
          <w:sz w:val="18"/>
          <w:szCs w:val="18"/>
        </w:rPr>
        <w:t>follow</w:t>
      </w:r>
      <w:r>
        <w:rPr>
          <w:rFonts w:ascii="Times New Roman" w:hAnsi="Times New Roman" w:eastAsia="Times New Roman" w:cs="Times New Roman"/>
          <w:spacing w:val="1"/>
          <w:sz w:val="18"/>
          <w:szCs w:val="18"/>
        </w:rPr>
        <w:t>-</w:t>
      </w:r>
      <w:r>
        <w:rPr>
          <w:rFonts w:ascii="Times New Roman" w:hAnsi="Times New Roman" w:eastAsia="Times New Roman" w:cs="Times New Roman"/>
          <w:sz w:val="18"/>
          <w:szCs w:val="18"/>
        </w:rPr>
        <w:t>up</w:t>
      </w:r>
      <w:r>
        <w:rPr>
          <w:rFonts w:ascii="Times New Roman" w:hAnsi="Times New Roman" w:eastAsia="Times New Roman" w:cs="Times New Roman"/>
          <w:spacing w:val="1"/>
          <w:sz w:val="18"/>
          <w:szCs w:val="18"/>
        </w:rPr>
        <w:t xml:space="preserve">   </w:t>
      </w:r>
      <w:r>
        <w:rPr>
          <w:rFonts w:ascii="Times New Roman" w:hAnsi="Times New Roman" w:eastAsia="Times New Roman" w:cs="Times New Roman"/>
          <w:sz w:val="18"/>
          <w:szCs w:val="18"/>
        </w:rPr>
        <w:t>study</w:t>
      </w:r>
      <w:r>
        <w:rPr>
          <w:rFonts w:ascii="Times New Roman" w:hAnsi="Times New Roman" w:eastAsia="Times New Roman" w:cs="Times New Roman"/>
          <w:spacing w:val="1"/>
          <w:sz w:val="18"/>
          <w:szCs w:val="18"/>
        </w:rPr>
        <w:t xml:space="preserve">   31</w:t>
      </w:r>
    </w:p>
    <w:p w14:paraId="2D955D85">
      <w:pPr>
        <w:spacing w:before="142" w:line="365" w:lineRule="auto"/>
        <w:ind w:right="723"/>
        <w:rPr>
          <w:rFonts w:ascii="宋体" w:hAnsi="宋体" w:eastAsia="宋体" w:cs="宋体"/>
          <w:sz w:val="18"/>
          <w:szCs w:val="18"/>
        </w:rPr>
      </w:pPr>
      <w:r>
        <w:rPr>
          <w:rFonts w:ascii="宋体" w:hAnsi="宋体" w:eastAsia="宋体" w:cs="宋体"/>
          <w:spacing w:val="3"/>
          <w:sz w:val="18"/>
          <w:szCs w:val="18"/>
        </w:rPr>
        <w:t>随机对照试验</w:t>
      </w:r>
      <w:r>
        <w:rPr>
          <w:rFonts w:ascii="宋体" w:hAnsi="宋体" w:eastAsia="宋体" w:cs="宋体"/>
          <w:spacing w:val="54"/>
          <w:sz w:val="18"/>
          <w:szCs w:val="18"/>
        </w:rPr>
        <w:t xml:space="preserve"> </w:t>
      </w:r>
      <w:r>
        <w:rPr>
          <w:rFonts w:ascii="Times New Roman" w:hAnsi="Times New Roman" w:eastAsia="Times New Roman" w:cs="Times New Roman"/>
          <w:sz w:val="18"/>
          <w:szCs w:val="18"/>
        </w:rPr>
        <w:t>randomized</w:t>
      </w:r>
      <w:r>
        <w:rPr>
          <w:rFonts w:ascii="Times New Roman" w:hAnsi="Times New Roman" w:eastAsia="Times New Roman" w:cs="Times New Roman"/>
          <w:spacing w:val="3"/>
          <w:sz w:val="18"/>
          <w:szCs w:val="18"/>
        </w:rPr>
        <w:t xml:space="preserve">  </w:t>
      </w:r>
      <w:r>
        <w:rPr>
          <w:rFonts w:ascii="Times New Roman" w:hAnsi="Times New Roman" w:eastAsia="Times New Roman" w:cs="Times New Roman"/>
          <w:sz w:val="18"/>
          <w:szCs w:val="18"/>
        </w:rPr>
        <w:t>controlled</w:t>
      </w:r>
      <w:r>
        <w:rPr>
          <w:rFonts w:ascii="Times New Roman" w:hAnsi="Times New Roman" w:eastAsia="Times New Roman" w:cs="Times New Roman"/>
          <w:spacing w:val="10"/>
          <w:sz w:val="18"/>
          <w:szCs w:val="18"/>
        </w:rPr>
        <w:t xml:space="preserve">  </w:t>
      </w:r>
      <w:r>
        <w:rPr>
          <w:rFonts w:ascii="Times New Roman" w:hAnsi="Times New Roman" w:eastAsia="Times New Roman" w:cs="Times New Roman"/>
          <w:sz w:val="18"/>
          <w:szCs w:val="18"/>
        </w:rPr>
        <w:t>trial</w:t>
      </w:r>
      <w:r>
        <w:rPr>
          <w:rFonts w:ascii="Times New Roman" w:hAnsi="Times New Roman" w:eastAsia="Times New Roman" w:cs="Times New Roman"/>
          <w:spacing w:val="3"/>
          <w:sz w:val="18"/>
          <w:szCs w:val="18"/>
        </w:rPr>
        <w:t>,</w:t>
      </w:r>
      <w:r>
        <w:rPr>
          <w:rFonts w:ascii="Times New Roman" w:hAnsi="Times New Roman" w:eastAsia="Times New Roman" w:cs="Times New Roman"/>
          <w:sz w:val="18"/>
          <w:szCs w:val="18"/>
        </w:rPr>
        <w:t>RCT</w:t>
      </w:r>
      <w:r>
        <w:rPr>
          <w:rFonts w:ascii="Times New Roman" w:hAnsi="Times New Roman" w:eastAsia="Times New Roman" w:cs="Times New Roman"/>
          <w:spacing w:val="3"/>
          <w:sz w:val="18"/>
          <w:szCs w:val="18"/>
        </w:rPr>
        <w:t xml:space="preserve">   84</w:t>
      </w:r>
      <w:r>
        <w:rPr>
          <w:rFonts w:ascii="Times New Roman" w:hAnsi="Times New Roman" w:eastAsia="Times New Roman" w:cs="Times New Roman"/>
          <w:sz w:val="18"/>
          <w:szCs w:val="18"/>
        </w:rPr>
        <w:t xml:space="preserve"> </w:t>
      </w:r>
      <w:r>
        <w:rPr>
          <w:rFonts w:ascii="宋体" w:hAnsi="宋体" w:eastAsia="宋体" w:cs="宋体"/>
          <w:spacing w:val="-9"/>
          <w:sz w:val="18"/>
          <w:szCs w:val="18"/>
        </w:rPr>
        <w:t>随机化临床试验  randomized clinical tr</w:t>
      </w:r>
      <w:r>
        <w:rPr>
          <w:rFonts w:ascii="宋体" w:hAnsi="宋体" w:eastAsia="宋体" w:cs="宋体"/>
          <w:spacing w:val="-10"/>
          <w:sz w:val="18"/>
          <w:szCs w:val="18"/>
        </w:rPr>
        <w:t>ial 84</w:t>
      </w:r>
    </w:p>
    <w:p w14:paraId="475E119F">
      <w:pPr>
        <w:spacing w:line="218" w:lineRule="auto"/>
        <w:rPr>
          <w:rFonts w:ascii="Times New Roman" w:hAnsi="Times New Roman" w:eastAsia="Times New Roman" w:cs="Times New Roman"/>
          <w:sz w:val="18"/>
          <w:szCs w:val="18"/>
        </w:rPr>
      </w:pPr>
      <w:r>
        <w:rPr>
          <w:rFonts w:ascii="宋体" w:hAnsi="宋体" w:eastAsia="宋体" w:cs="宋体"/>
          <w:spacing w:val="4"/>
          <w:sz w:val="18"/>
          <w:szCs w:val="18"/>
        </w:rPr>
        <w:t>随机效应模型</w:t>
      </w:r>
      <w:r>
        <w:rPr>
          <w:rFonts w:ascii="宋体" w:hAnsi="宋体" w:eastAsia="宋体" w:cs="宋体"/>
          <w:spacing w:val="64"/>
          <w:sz w:val="18"/>
          <w:szCs w:val="18"/>
        </w:rPr>
        <w:t xml:space="preserve"> </w:t>
      </w:r>
      <w:r>
        <w:rPr>
          <w:rFonts w:ascii="Times New Roman" w:hAnsi="Times New Roman" w:eastAsia="Times New Roman" w:cs="Times New Roman"/>
          <w:sz w:val="18"/>
          <w:szCs w:val="18"/>
        </w:rPr>
        <w:t>random</w:t>
      </w:r>
      <w:r>
        <w:rPr>
          <w:rFonts w:ascii="Times New Roman" w:hAnsi="Times New Roman" w:eastAsia="Times New Roman" w:cs="Times New Roman"/>
          <w:spacing w:val="4"/>
          <w:sz w:val="18"/>
          <w:szCs w:val="18"/>
        </w:rPr>
        <w:t xml:space="preserve">  </w:t>
      </w:r>
      <w:r>
        <w:rPr>
          <w:rFonts w:ascii="Times New Roman" w:hAnsi="Times New Roman" w:eastAsia="Times New Roman" w:cs="Times New Roman"/>
          <w:sz w:val="18"/>
          <w:szCs w:val="18"/>
        </w:rPr>
        <w:t>effect</w:t>
      </w:r>
      <w:r>
        <w:rPr>
          <w:rFonts w:ascii="Times New Roman" w:hAnsi="Times New Roman" w:eastAsia="Times New Roman" w:cs="Times New Roman"/>
          <w:spacing w:val="41"/>
          <w:sz w:val="18"/>
          <w:szCs w:val="18"/>
        </w:rPr>
        <w:t xml:space="preserve"> </w:t>
      </w:r>
      <w:r>
        <w:rPr>
          <w:rFonts w:ascii="Times New Roman" w:hAnsi="Times New Roman" w:eastAsia="Times New Roman" w:cs="Times New Roman"/>
          <w:sz w:val="18"/>
          <w:szCs w:val="18"/>
        </w:rPr>
        <w:t>model</w:t>
      </w:r>
      <w:r>
        <w:rPr>
          <w:rFonts w:ascii="Times New Roman" w:hAnsi="Times New Roman" w:eastAsia="Times New Roman" w:cs="Times New Roman"/>
          <w:spacing w:val="43"/>
          <w:w w:val="101"/>
          <w:sz w:val="18"/>
          <w:szCs w:val="18"/>
        </w:rPr>
        <w:t xml:space="preserve"> </w:t>
      </w:r>
      <w:r>
        <w:rPr>
          <w:rFonts w:ascii="Times New Roman" w:hAnsi="Times New Roman" w:eastAsia="Times New Roman" w:cs="Times New Roman"/>
          <w:spacing w:val="4"/>
          <w:sz w:val="18"/>
          <w:szCs w:val="18"/>
        </w:rPr>
        <w:t>255</w:t>
      </w:r>
    </w:p>
    <w:p w14:paraId="6EBA4790">
      <w:pPr>
        <w:spacing w:before="138" w:line="198" w:lineRule="auto"/>
        <w:rPr>
          <w:rFonts w:ascii="Times New Roman" w:hAnsi="Times New Roman" w:eastAsia="Times New Roman" w:cs="Times New Roman"/>
          <w:sz w:val="18"/>
          <w:szCs w:val="18"/>
        </w:rPr>
      </w:pPr>
      <w:r>
        <w:rPr>
          <w:rFonts w:ascii="宋体" w:hAnsi="宋体" w:eastAsia="宋体" w:cs="宋体"/>
          <w:spacing w:val="1"/>
          <w:sz w:val="18"/>
          <w:szCs w:val="18"/>
        </w:rPr>
        <w:t>随时消毒</w:t>
      </w:r>
      <w:r>
        <w:rPr>
          <w:rFonts w:ascii="宋体" w:hAnsi="宋体" w:eastAsia="宋体" w:cs="宋体"/>
          <w:spacing w:val="84"/>
          <w:sz w:val="18"/>
          <w:szCs w:val="18"/>
        </w:rPr>
        <w:t xml:space="preserve"> </w:t>
      </w:r>
      <w:r>
        <w:rPr>
          <w:rFonts w:ascii="Times New Roman" w:hAnsi="Times New Roman" w:eastAsia="Times New Roman" w:cs="Times New Roman"/>
          <w:sz w:val="18"/>
          <w:szCs w:val="18"/>
        </w:rPr>
        <w:t>concurrent</w:t>
      </w:r>
      <w:r>
        <w:rPr>
          <w:rFonts w:ascii="Times New Roman" w:hAnsi="Times New Roman" w:eastAsia="Times New Roman" w:cs="Times New Roman"/>
          <w:spacing w:val="15"/>
          <w:sz w:val="18"/>
          <w:szCs w:val="18"/>
        </w:rPr>
        <w:t xml:space="preserve">  </w:t>
      </w:r>
      <w:r>
        <w:rPr>
          <w:rFonts w:ascii="Times New Roman" w:hAnsi="Times New Roman" w:eastAsia="Times New Roman" w:cs="Times New Roman"/>
          <w:sz w:val="18"/>
          <w:szCs w:val="18"/>
        </w:rPr>
        <w:t xml:space="preserve">disinfection   </w:t>
      </w:r>
      <w:r>
        <w:rPr>
          <w:rFonts w:ascii="Times New Roman" w:hAnsi="Times New Roman" w:eastAsia="Times New Roman" w:cs="Times New Roman"/>
          <w:spacing w:val="1"/>
          <w:sz w:val="18"/>
          <w:szCs w:val="18"/>
        </w:rPr>
        <w:t>178</w:t>
      </w:r>
    </w:p>
    <w:p w14:paraId="46D33B0D">
      <w:pPr>
        <w:spacing w:line="14" w:lineRule="auto"/>
        <w:rPr>
          <w:rFonts w:ascii="Arial"/>
          <w:sz w:val="2"/>
        </w:rPr>
      </w:pPr>
      <w:r>
        <w:rPr>
          <w:rFonts w:ascii="Arial" w:hAnsi="Arial" w:eastAsia="Arial" w:cs="Arial"/>
          <w:sz w:val="2"/>
          <w:szCs w:val="2"/>
        </w:rPr>
        <w:br w:type="column"/>
      </w:r>
    </w:p>
    <w:p w14:paraId="174970DA">
      <w:pPr>
        <w:spacing w:before="71" w:line="185" w:lineRule="auto"/>
        <w:rPr>
          <w:rFonts w:ascii="Times New Roman" w:hAnsi="Times New Roman" w:eastAsia="Times New Roman" w:cs="Times New Roman"/>
          <w:sz w:val="18"/>
          <w:szCs w:val="18"/>
        </w:rPr>
      </w:pPr>
      <w:r>
        <w:rPr>
          <w:rFonts w:ascii="Times New Roman" w:hAnsi="Times New Roman" w:eastAsia="Times New Roman" w:cs="Times New Roman"/>
          <w:b/>
          <w:bCs/>
          <w:sz w:val="18"/>
          <w:szCs w:val="18"/>
        </w:rPr>
        <w:t>T</w:t>
      </w:r>
    </w:p>
    <w:p w14:paraId="3DE04F89">
      <w:pPr>
        <w:spacing w:before="267" w:line="220" w:lineRule="auto"/>
        <w:ind w:left="9"/>
        <w:rPr>
          <w:rFonts w:ascii="Times New Roman" w:hAnsi="Times New Roman" w:eastAsia="Times New Roman" w:cs="Times New Roman"/>
          <w:sz w:val="18"/>
          <w:szCs w:val="18"/>
        </w:rPr>
      </w:pPr>
      <w:r>
        <w:rPr>
          <w:rFonts w:ascii="宋体" w:hAnsi="宋体" w:eastAsia="宋体" w:cs="宋体"/>
          <w:spacing w:val="-1"/>
          <w:sz w:val="18"/>
          <w:szCs w:val="18"/>
        </w:rPr>
        <w:t>糖尿病</w:t>
      </w:r>
      <w:r>
        <w:rPr>
          <w:rFonts w:ascii="宋体" w:hAnsi="宋体" w:eastAsia="宋体" w:cs="宋体"/>
          <w:spacing w:val="71"/>
          <w:sz w:val="18"/>
          <w:szCs w:val="18"/>
        </w:rPr>
        <w:t xml:space="preserve"> </w:t>
      </w:r>
      <w:r>
        <w:rPr>
          <w:rFonts w:ascii="Times New Roman" w:hAnsi="Times New Roman" w:eastAsia="Times New Roman" w:cs="Times New Roman"/>
          <w:spacing w:val="-1"/>
          <w:sz w:val="18"/>
          <w:szCs w:val="18"/>
        </w:rPr>
        <w:t>diabetes</w:t>
      </w:r>
      <w:r>
        <w:rPr>
          <w:rFonts w:ascii="Times New Roman" w:hAnsi="Times New Roman" w:eastAsia="Times New Roman" w:cs="Times New Roman"/>
          <w:spacing w:val="18"/>
          <w:w w:val="101"/>
          <w:sz w:val="18"/>
          <w:szCs w:val="18"/>
        </w:rPr>
        <w:t xml:space="preserve">  </w:t>
      </w:r>
      <w:r>
        <w:rPr>
          <w:rFonts w:ascii="Times New Roman" w:hAnsi="Times New Roman" w:eastAsia="Times New Roman" w:cs="Times New Roman"/>
          <w:spacing w:val="-1"/>
          <w:sz w:val="18"/>
          <w:szCs w:val="18"/>
        </w:rPr>
        <w:t>mellitus   195</w:t>
      </w:r>
    </w:p>
    <w:sdt>
      <w:sdtPr>
        <w:rPr>
          <w:rFonts w:ascii="宋体" w:hAnsi="宋体" w:eastAsia="宋体" w:cs="宋体"/>
          <w:sz w:val="18"/>
          <w:szCs w:val="18"/>
        </w:rPr>
        <w:id w:val="974170310"/>
        <w:docPartObj>
          <w:docPartGallery w:val="Table of Contents"/>
          <w:docPartUnique/>
        </w:docPartObj>
      </w:sdtPr>
      <w:sdtEndPr>
        <w:rPr>
          <w:rFonts w:ascii="Times New Roman" w:hAnsi="Times New Roman" w:eastAsia="Times New Roman" w:cs="Times New Roman"/>
          <w:sz w:val="18"/>
          <w:szCs w:val="18"/>
        </w:rPr>
      </w:sdtEndPr>
      <w:sdtContent>
        <w:p w14:paraId="6A2393F5">
          <w:pPr>
            <w:spacing w:before="104" w:line="212" w:lineRule="auto"/>
            <w:ind w:left="9"/>
            <w:rPr>
              <w:rFonts w:ascii="Times New Roman" w:hAnsi="Times New Roman" w:eastAsia="Times New Roman" w:cs="Times New Roman"/>
              <w:sz w:val="18"/>
              <w:szCs w:val="18"/>
            </w:rPr>
          </w:pPr>
          <w:r>
            <w:rPr>
              <w:rFonts w:ascii="宋体" w:hAnsi="宋体" w:eastAsia="宋体" w:cs="宋体"/>
              <w:spacing w:val="-2"/>
              <w:sz w:val="18"/>
              <w:szCs w:val="18"/>
            </w:rPr>
            <w:t>特异度</w:t>
          </w:r>
          <w:r>
            <w:rPr>
              <w:rFonts w:ascii="宋体" w:hAnsi="宋体" w:eastAsia="宋体" w:cs="宋体"/>
              <w:spacing w:val="69"/>
              <w:sz w:val="18"/>
              <w:szCs w:val="18"/>
            </w:rPr>
            <w:t xml:space="preserve"> </w:t>
          </w:r>
          <w:r>
            <w:rPr>
              <w:rFonts w:ascii="Times New Roman" w:hAnsi="Times New Roman" w:eastAsia="Times New Roman" w:cs="Times New Roman"/>
              <w:spacing w:val="-2"/>
              <w:sz w:val="18"/>
              <w:szCs w:val="18"/>
            </w:rPr>
            <w:t>specificity</w:t>
          </w:r>
          <w:r>
            <w:rPr>
              <w:rFonts w:ascii="Times New Roman" w:hAnsi="Times New Roman" w:eastAsia="Times New Roman" w:cs="Times New Roman"/>
              <w:spacing w:val="8"/>
              <w:sz w:val="18"/>
              <w:szCs w:val="18"/>
            </w:rPr>
            <w:t xml:space="preserve">    </w:t>
          </w:r>
          <w:r>
            <w:fldChar w:fldCharType="begin"/>
          </w:r>
          <w:r>
            <w:instrText xml:space="preserve"> HYPERLINK \l "bookmark709" </w:instrText>
          </w:r>
          <w:r>
            <w:fldChar w:fldCharType="separate"/>
          </w:r>
          <w:r>
            <w:rPr>
              <w:rFonts w:ascii="Times New Roman" w:hAnsi="Times New Roman" w:eastAsia="Times New Roman" w:cs="Times New Roman"/>
              <w:spacing w:val="-2"/>
              <w:sz w:val="18"/>
              <w:szCs w:val="18"/>
            </w:rPr>
            <w:t>105</w:t>
          </w:r>
          <w:r>
            <w:rPr>
              <w:rFonts w:ascii="Times New Roman" w:hAnsi="Times New Roman" w:eastAsia="Times New Roman" w:cs="Times New Roman"/>
              <w:spacing w:val="-2"/>
              <w:sz w:val="18"/>
              <w:szCs w:val="18"/>
            </w:rPr>
            <w:fldChar w:fldCharType="end"/>
          </w:r>
        </w:p>
        <w:p w14:paraId="426ADFC6">
          <w:pPr>
            <w:spacing w:before="154" w:line="220" w:lineRule="auto"/>
            <w:ind w:left="9"/>
            <w:rPr>
              <w:rFonts w:ascii="Times New Roman" w:hAnsi="Times New Roman" w:eastAsia="Times New Roman" w:cs="Times New Roman"/>
              <w:sz w:val="18"/>
              <w:szCs w:val="18"/>
            </w:rPr>
          </w:pPr>
          <w:r>
            <w:rPr>
              <w:rFonts w:ascii="宋体" w:hAnsi="宋体" w:eastAsia="宋体" w:cs="宋体"/>
              <w:spacing w:val="-1"/>
              <w:sz w:val="18"/>
              <w:szCs w:val="18"/>
            </w:rPr>
            <w:t>同时感染</w:t>
          </w:r>
          <w:r>
            <w:rPr>
              <w:rFonts w:ascii="宋体" w:hAnsi="宋体" w:eastAsia="宋体" w:cs="宋体"/>
              <w:spacing w:val="80"/>
              <w:sz w:val="18"/>
              <w:szCs w:val="18"/>
            </w:rPr>
            <w:t xml:space="preserve"> </w:t>
          </w:r>
          <w:r>
            <w:rPr>
              <w:rFonts w:ascii="Times New Roman" w:hAnsi="Times New Roman" w:eastAsia="Times New Roman" w:cs="Times New Roman"/>
              <w:spacing w:val="-1"/>
              <w:sz w:val="18"/>
              <w:szCs w:val="18"/>
            </w:rPr>
            <w:t xml:space="preserve">coinfection    </w:t>
          </w:r>
          <w:r>
            <w:fldChar w:fldCharType="begin"/>
          </w:r>
          <w:r>
            <w:instrText xml:space="preserve"> HYPERLINK \l "bookmark710" </w:instrText>
          </w:r>
          <w:r>
            <w:fldChar w:fldCharType="separate"/>
          </w:r>
          <w:r>
            <w:rPr>
              <w:rFonts w:ascii="Times New Roman" w:hAnsi="Times New Roman" w:eastAsia="Times New Roman" w:cs="Times New Roman"/>
              <w:spacing w:val="-1"/>
              <w:sz w:val="18"/>
              <w:szCs w:val="18"/>
            </w:rPr>
            <w:t>269</w:t>
          </w:r>
          <w:r>
            <w:rPr>
              <w:rFonts w:ascii="Times New Roman" w:hAnsi="Times New Roman" w:eastAsia="Times New Roman" w:cs="Times New Roman"/>
              <w:spacing w:val="-1"/>
              <w:sz w:val="18"/>
              <w:szCs w:val="18"/>
            </w:rPr>
            <w:fldChar w:fldCharType="end"/>
          </w:r>
        </w:p>
      </w:sdtContent>
    </w:sdt>
    <w:p w14:paraId="1E92F7FE">
      <w:pPr>
        <w:spacing w:before="124" w:line="212" w:lineRule="auto"/>
        <w:ind w:left="9"/>
        <w:rPr>
          <w:rFonts w:ascii="Times New Roman" w:hAnsi="Times New Roman" w:eastAsia="Times New Roman" w:cs="Times New Roman"/>
          <w:sz w:val="18"/>
          <w:szCs w:val="18"/>
        </w:rPr>
      </w:pPr>
      <w:r>
        <w:rPr>
          <w:rFonts w:ascii="宋体" w:hAnsi="宋体" w:eastAsia="宋体" w:cs="宋体"/>
          <w:sz w:val="18"/>
          <w:szCs w:val="18"/>
        </w:rPr>
        <w:t>同异共求法</w:t>
      </w:r>
      <w:r>
        <w:rPr>
          <w:rFonts w:ascii="宋体" w:hAnsi="宋体" w:eastAsia="宋体" w:cs="宋体"/>
          <w:spacing w:val="64"/>
          <w:sz w:val="18"/>
          <w:szCs w:val="18"/>
        </w:rPr>
        <w:t xml:space="preserve"> </w:t>
      </w:r>
      <w:r>
        <w:rPr>
          <w:rFonts w:ascii="Times New Roman" w:hAnsi="Times New Roman" w:eastAsia="Times New Roman" w:cs="Times New Roman"/>
          <w:sz w:val="18"/>
          <w:szCs w:val="18"/>
        </w:rPr>
        <w:t>joint</w:t>
      </w:r>
      <w:r>
        <w:rPr>
          <w:rFonts w:ascii="Times New Roman" w:hAnsi="Times New Roman" w:eastAsia="Times New Roman" w:cs="Times New Roman"/>
          <w:spacing w:val="13"/>
          <w:w w:val="101"/>
          <w:sz w:val="18"/>
          <w:szCs w:val="18"/>
        </w:rPr>
        <w:t xml:space="preserve"> </w:t>
      </w:r>
      <w:r>
        <w:rPr>
          <w:rFonts w:ascii="Times New Roman" w:hAnsi="Times New Roman" w:eastAsia="Times New Roman" w:cs="Times New Roman"/>
          <w:sz w:val="18"/>
          <w:szCs w:val="18"/>
        </w:rPr>
        <w:t>methods</w:t>
      </w:r>
      <w:r>
        <w:rPr>
          <w:rFonts w:ascii="Times New Roman" w:hAnsi="Times New Roman" w:eastAsia="Times New Roman" w:cs="Times New Roman"/>
          <w:spacing w:val="18"/>
          <w:w w:val="101"/>
          <w:sz w:val="18"/>
          <w:szCs w:val="18"/>
        </w:rPr>
        <w:t xml:space="preserve"> </w:t>
      </w:r>
      <w:r>
        <w:rPr>
          <w:rFonts w:ascii="Times New Roman" w:hAnsi="Times New Roman" w:eastAsia="Times New Roman" w:cs="Times New Roman"/>
          <w:sz w:val="18"/>
          <w:szCs w:val="18"/>
        </w:rPr>
        <w:t>of a</w:t>
      </w:r>
      <w:r>
        <w:rPr>
          <w:rFonts w:ascii="Times New Roman" w:hAnsi="Times New Roman" w:eastAsia="Times New Roman" w:cs="Times New Roman"/>
          <w:spacing w:val="-1"/>
          <w:sz w:val="18"/>
          <w:szCs w:val="18"/>
        </w:rPr>
        <w:t>greement</w:t>
      </w:r>
      <w:r>
        <w:rPr>
          <w:rFonts w:ascii="Times New Roman" w:hAnsi="Times New Roman" w:eastAsia="Times New Roman" w:cs="Times New Roman"/>
          <w:spacing w:val="18"/>
          <w:sz w:val="18"/>
          <w:szCs w:val="18"/>
        </w:rPr>
        <w:t xml:space="preserve"> </w:t>
      </w:r>
      <w:r>
        <w:rPr>
          <w:rFonts w:ascii="Times New Roman" w:hAnsi="Times New Roman" w:eastAsia="Times New Roman" w:cs="Times New Roman"/>
          <w:spacing w:val="-1"/>
          <w:sz w:val="18"/>
          <w:szCs w:val="18"/>
        </w:rPr>
        <w:t>and</w:t>
      </w:r>
      <w:r>
        <w:rPr>
          <w:rFonts w:ascii="Times New Roman" w:hAnsi="Times New Roman" w:eastAsia="Times New Roman" w:cs="Times New Roman"/>
          <w:spacing w:val="17"/>
          <w:w w:val="102"/>
          <w:sz w:val="18"/>
          <w:szCs w:val="18"/>
        </w:rPr>
        <w:t xml:space="preserve"> </w:t>
      </w:r>
      <w:r>
        <w:rPr>
          <w:rFonts w:ascii="Times New Roman" w:hAnsi="Times New Roman" w:eastAsia="Times New Roman" w:cs="Times New Roman"/>
          <w:spacing w:val="-1"/>
          <w:sz w:val="18"/>
          <w:szCs w:val="18"/>
        </w:rPr>
        <w:t>difference</w:t>
      </w:r>
    </w:p>
    <w:p w14:paraId="33024889">
      <w:pPr>
        <w:spacing w:before="161" w:line="188" w:lineRule="auto"/>
        <w:ind w:left="239"/>
        <w:rPr>
          <w:rFonts w:ascii="Times New Roman" w:hAnsi="Times New Roman" w:eastAsia="Times New Roman" w:cs="Times New Roman"/>
          <w:sz w:val="18"/>
          <w:szCs w:val="18"/>
        </w:rPr>
      </w:pPr>
      <w:r>
        <w:rPr>
          <w:rFonts w:ascii="Times New Roman" w:hAnsi="Times New Roman" w:eastAsia="Times New Roman" w:cs="Times New Roman"/>
          <w:spacing w:val="-5"/>
          <w:sz w:val="18"/>
          <w:szCs w:val="18"/>
        </w:rPr>
        <w:t>128</w:t>
      </w:r>
    </w:p>
    <w:p w14:paraId="4475979C">
      <w:pPr>
        <w:spacing w:before="140" w:line="339" w:lineRule="auto"/>
        <w:ind w:left="9" w:right="542"/>
        <w:rPr>
          <w:rFonts w:ascii="Times New Roman" w:hAnsi="Times New Roman" w:eastAsia="Times New Roman" w:cs="Times New Roman"/>
          <w:sz w:val="18"/>
          <w:szCs w:val="18"/>
        </w:rPr>
      </w:pPr>
      <w:r>
        <w:rPr>
          <w:rFonts w:ascii="宋体" w:hAnsi="宋体" w:eastAsia="宋体" w:cs="宋体"/>
          <w:spacing w:val="-1"/>
          <w:sz w:val="18"/>
          <w:szCs w:val="18"/>
        </w:rPr>
        <w:t>突发公共卫生事件</w:t>
      </w:r>
      <w:r>
        <w:rPr>
          <w:rFonts w:ascii="宋体" w:hAnsi="宋体" w:eastAsia="宋体" w:cs="宋体"/>
          <w:spacing w:val="77"/>
          <w:w w:val="101"/>
          <w:sz w:val="18"/>
          <w:szCs w:val="18"/>
        </w:rPr>
        <w:t xml:space="preserve"> </w:t>
      </w:r>
      <w:r>
        <w:rPr>
          <w:rFonts w:ascii="Times New Roman" w:hAnsi="Times New Roman" w:eastAsia="Times New Roman" w:cs="Times New Roman"/>
          <w:spacing w:val="-1"/>
          <w:sz w:val="18"/>
          <w:szCs w:val="18"/>
        </w:rPr>
        <w:t>public</w:t>
      </w:r>
      <w:r>
        <w:rPr>
          <w:rFonts w:ascii="Times New Roman" w:hAnsi="Times New Roman" w:eastAsia="Times New Roman" w:cs="Times New Roman"/>
          <w:spacing w:val="17"/>
          <w:sz w:val="18"/>
          <w:szCs w:val="18"/>
        </w:rPr>
        <w:t xml:space="preserve">  </w:t>
      </w:r>
      <w:r>
        <w:rPr>
          <w:rFonts w:ascii="Times New Roman" w:hAnsi="Times New Roman" w:eastAsia="Times New Roman" w:cs="Times New Roman"/>
          <w:spacing w:val="-1"/>
          <w:sz w:val="18"/>
          <w:szCs w:val="18"/>
        </w:rPr>
        <w:t>health</w:t>
      </w:r>
      <w:r>
        <w:rPr>
          <w:rFonts w:ascii="Times New Roman" w:hAnsi="Times New Roman" w:eastAsia="Times New Roman" w:cs="Times New Roman"/>
          <w:spacing w:val="19"/>
          <w:w w:val="101"/>
          <w:sz w:val="18"/>
          <w:szCs w:val="18"/>
        </w:rPr>
        <w:t xml:space="preserve">  </w:t>
      </w:r>
      <w:r>
        <w:rPr>
          <w:rFonts w:ascii="Times New Roman" w:hAnsi="Times New Roman" w:eastAsia="Times New Roman" w:cs="Times New Roman"/>
          <w:spacing w:val="-1"/>
          <w:sz w:val="18"/>
          <w:szCs w:val="18"/>
        </w:rPr>
        <w:t>emergency</w:t>
      </w:r>
      <w:r>
        <w:rPr>
          <w:rFonts w:ascii="Times New Roman" w:hAnsi="Times New Roman" w:eastAsia="Times New Roman" w:cs="Times New Roman"/>
          <w:spacing w:val="18"/>
          <w:w w:val="101"/>
          <w:sz w:val="18"/>
          <w:szCs w:val="18"/>
        </w:rPr>
        <w:t xml:space="preserve">  </w:t>
      </w:r>
      <w:r>
        <w:rPr>
          <w:rFonts w:ascii="Times New Roman" w:hAnsi="Times New Roman" w:eastAsia="Times New Roman" w:cs="Times New Roman"/>
          <w:spacing w:val="-1"/>
          <w:sz w:val="18"/>
          <w:szCs w:val="18"/>
        </w:rPr>
        <w:t>220</w:t>
      </w:r>
      <w:r>
        <w:rPr>
          <w:rFonts w:ascii="Times New Roman" w:hAnsi="Times New Roman" w:eastAsia="Times New Roman" w:cs="Times New Roman"/>
          <w:sz w:val="18"/>
          <w:szCs w:val="18"/>
        </w:rPr>
        <w:t xml:space="preserve"> </w:t>
      </w:r>
      <w:r>
        <w:rPr>
          <w:rFonts w:ascii="宋体" w:hAnsi="宋体" w:eastAsia="宋体" w:cs="宋体"/>
          <w:spacing w:val="-2"/>
          <w:sz w:val="18"/>
          <w:szCs w:val="18"/>
        </w:rPr>
        <w:t>突发事件</w:t>
      </w:r>
      <w:r>
        <w:rPr>
          <w:rFonts w:ascii="宋体" w:hAnsi="宋体" w:eastAsia="宋体" w:cs="宋体"/>
          <w:spacing w:val="94"/>
          <w:sz w:val="18"/>
          <w:szCs w:val="18"/>
        </w:rPr>
        <w:t xml:space="preserve"> </w:t>
      </w:r>
      <w:r>
        <w:rPr>
          <w:rFonts w:ascii="Times New Roman" w:hAnsi="Times New Roman" w:eastAsia="Times New Roman" w:cs="Times New Roman"/>
          <w:spacing w:val="-2"/>
          <w:sz w:val="18"/>
          <w:szCs w:val="18"/>
        </w:rPr>
        <w:t>emergency</w:t>
      </w:r>
      <w:r>
        <w:rPr>
          <w:rFonts w:ascii="Times New Roman" w:hAnsi="Times New Roman" w:eastAsia="Times New Roman" w:cs="Times New Roman"/>
          <w:spacing w:val="15"/>
          <w:sz w:val="18"/>
          <w:szCs w:val="18"/>
        </w:rPr>
        <w:t xml:space="preserve">  </w:t>
      </w:r>
      <w:r>
        <w:rPr>
          <w:rFonts w:ascii="Times New Roman" w:hAnsi="Times New Roman" w:eastAsia="Times New Roman" w:cs="Times New Roman"/>
          <w:spacing w:val="-2"/>
          <w:sz w:val="18"/>
          <w:szCs w:val="18"/>
        </w:rPr>
        <w:t>event</w:t>
      </w:r>
      <w:r>
        <w:rPr>
          <w:rFonts w:ascii="Times New Roman" w:hAnsi="Times New Roman" w:eastAsia="Times New Roman" w:cs="Times New Roman"/>
          <w:spacing w:val="13"/>
          <w:sz w:val="18"/>
          <w:szCs w:val="18"/>
        </w:rPr>
        <w:t xml:space="preserve">  </w:t>
      </w:r>
      <w:r>
        <w:rPr>
          <w:rFonts w:ascii="Times New Roman" w:hAnsi="Times New Roman" w:eastAsia="Times New Roman" w:cs="Times New Roman"/>
          <w:spacing w:val="-2"/>
          <w:sz w:val="18"/>
          <w:szCs w:val="18"/>
        </w:rPr>
        <w:t>219</w:t>
      </w:r>
    </w:p>
    <w:p w14:paraId="75737E34">
      <w:pPr>
        <w:spacing w:before="43" w:line="223" w:lineRule="auto"/>
        <w:ind w:left="9"/>
        <w:rPr>
          <w:rFonts w:ascii="Times New Roman" w:hAnsi="Times New Roman" w:eastAsia="Times New Roman" w:cs="Times New Roman"/>
          <w:sz w:val="18"/>
          <w:szCs w:val="18"/>
        </w:rPr>
      </w:pPr>
      <w:r>
        <w:rPr>
          <w:rFonts w:ascii="宋体" w:hAnsi="宋体" w:eastAsia="宋体" w:cs="宋体"/>
          <w:spacing w:val="6"/>
          <w:sz w:val="18"/>
          <w:szCs w:val="18"/>
        </w:rPr>
        <w:t>退出</w:t>
      </w:r>
      <w:r>
        <w:rPr>
          <w:rFonts w:ascii="宋体" w:hAnsi="宋体" w:eastAsia="宋体" w:cs="宋体"/>
          <w:spacing w:val="49"/>
          <w:sz w:val="18"/>
          <w:szCs w:val="18"/>
        </w:rPr>
        <w:t xml:space="preserve"> </w:t>
      </w:r>
      <w:r>
        <w:rPr>
          <w:rFonts w:ascii="Times New Roman" w:hAnsi="Times New Roman" w:eastAsia="Times New Roman" w:cs="Times New Roman"/>
          <w:sz w:val="18"/>
          <w:szCs w:val="18"/>
        </w:rPr>
        <w:t>withdrawal</w:t>
      </w:r>
      <w:r>
        <w:rPr>
          <w:rFonts w:ascii="Times New Roman" w:hAnsi="Times New Roman" w:eastAsia="Times New Roman" w:cs="Times New Roman"/>
          <w:spacing w:val="10"/>
          <w:sz w:val="18"/>
          <w:szCs w:val="18"/>
        </w:rPr>
        <w:t xml:space="preserve">   </w:t>
      </w:r>
      <w:r>
        <w:rPr>
          <w:rFonts w:ascii="Times New Roman" w:hAnsi="Times New Roman" w:eastAsia="Times New Roman" w:cs="Times New Roman"/>
          <w:spacing w:val="6"/>
          <w:sz w:val="18"/>
          <w:szCs w:val="18"/>
        </w:rPr>
        <w:t>94</w:t>
      </w:r>
    </w:p>
    <w:p w14:paraId="0804B2BB">
      <w:pPr>
        <w:spacing w:before="311" w:line="196" w:lineRule="auto"/>
        <w:ind w:left="9"/>
        <w:rPr>
          <w:rFonts w:ascii="Arial" w:hAnsi="Arial" w:eastAsia="Arial" w:cs="Arial"/>
          <w:sz w:val="29"/>
          <w:szCs w:val="29"/>
        </w:rPr>
      </w:pPr>
      <w:r>
        <w:rPr>
          <w:rFonts w:ascii="Arial" w:hAnsi="Arial" w:eastAsia="Arial" w:cs="Arial"/>
          <w:sz w:val="29"/>
          <w:szCs w:val="29"/>
        </w:rPr>
        <w:t>W</w:t>
      </w:r>
    </w:p>
    <w:p w14:paraId="1ED1236F">
      <w:pPr>
        <w:spacing w:before="196" w:line="212" w:lineRule="auto"/>
        <w:ind w:left="9"/>
        <w:rPr>
          <w:rFonts w:ascii="Times New Roman" w:hAnsi="Times New Roman" w:eastAsia="Times New Roman" w:cs="Times New Roman"/>
          <w:sz w:val="18"/>
          <w:szCs w:val="18"/>
        </w:rPr>
      </w:pPr>
      <w:r>
        <w:rPr>
          <w:rFonts w:ascii="宋体" w:hAnsi="宋体" w:eastAsia="宋体" w:cs="宋体"/>
          <w:spacing w:val="1"/>
          <w:sz w:val="18"/>
          <w:szCs w:val="18"/>
        </w:rPr>
        <w:t>外暴露</w:t>
      </w:r>
      <w:r>
        <w:rPr>
          <w:rFonts w:ascii="宋体" w:hAnsi="宋体" w:eastAsia="宋体" w:cs="宋体"/>
          <w:spacing w:val="57"/>
          <w:sz w:val="18"/>
          <w:szCs w:val="18"/>
        </w:rPr>
        <w:t xml:space="preserve"> </w:t>
      </w:r>
      <w:r>
        <w:rPr>
          <w:rFonts w:ascii="Times New Roman" w:hAnsi="Times New Roman" w:eastAsia="Times New Roman" w:cs="Times New Roman"/>
          <w:sz w:val="18"/>
          <w:szCs w:val="18"/>
        </w:rPr>
        <w:t>extermal</w:t>
      </w:r>
      <w:r>
        <w:rPr>
          <w:rFonts w:ascii="Times New Roman" w:hAnsi="Times New Roman" w:eastAsia="Times New Roman" w:cs="Times New Roman"/>
          <w:spacing w:val="1"/>
          <w:sz w:val="18"/>
          <w:szCs w:val="18"/>
        </w:rPr>
        <w:t xml:space="preserve">  </w:t>
      </w:r>
      <w:r>
        <w:rPr>
          <w:rFonts w:ascii="Times New Roman" w:hAnsi="Times New Roman" w:eastAsia="Times New Roman" w:cs="Times New Roman"/>
          <w:sz w:val="18"/>
          <w:szCs w:val="18"/>
        </w:rPr>
        <w:t>exposure</w:t>
      </w:r>
      <w:r>
        <w:rPr>
          <w:rFonts w:ascii="Times New Roman" w:hAnsi="Times New Roman" w:eastAsia="Times New Roman" w:cs="Times New Roman"/>
          <w:spacing w:val="1"/>
          <w:sz w:val="18"/>
          <w:szCs w:val="18"/>
        </w:rPr>
        <w:t xml:space="preserve">  236</w:t>
      </w:r>
    </w:p>
    <w:p w14:paraId="276B435D">
      <w:pPr>
        <w:spacing w:before="124" w:line="220" w:lineRule="auto"/>
        <w:ind w:left="9"/>
        <w:rPr>
          <w:rFonts w:ascii="Times New Roman" w:hAnsi="Times New Roman" w:eastAsia="Times New Roman" w:cs="Times New Roman"/>
          <w:sz w:val="18"/>
          <w:szCs w:val="18"/>
        </w:rPr>
      </w:pPr>
      <w:r>
        <w:rPr>
          <w:rFonts w:ascii="宋体" w:hAnsi="宋体" w:eastAsia="宋体" w:cs="宋体"/>
          <w:spacing w:val="1"/>
          <w:sz w:val="18"/>
          <w:szCs w:val="18"/>
        </w:rPr>
        <w:t>外对照</w:t>
      </w:r>
      <w:r>
        <w:rPr>
          <w:rFonts w:ascii="宋体" w:hAnsi="宋体" w:eastAsia="宋体" w:cs="宋体"/>
          <w:spacing w:val="55"/>
          <w:sz w:val="18"/>
          <w:szCs w:val="18"/>
        </w:rPr>
        <w:t xml:space="preserve"> </w:t>
      </w:r>
      <w:r>
        <w:rPr>
          <w:rFonts w:ascii="Times New Roman" w:hAnsi="Times New Roman" w:eastAsia="Times New Roman" w:cs="Times New Roman"/>
          <w:sz w:val="18"/>
          <w:szCs w:val="18"/>
        </w:rPr>
        <w:t>external</w:t>
      </w:r>
      <w:r>
        <w:rPr>
          <w:rFonts w:ascii="Times New Roman" w:hAnsi="Times New Roman" w:eastAsia="Times New Roman" w:cs="Times New Roman"/>
          <w:spacing w:val="14"/>
          <w:w w:val="101"/>
          <w:sz w:val="18"/>
          <w:szCs w:val="18"/>
        </w:rPr>
        <w:t xml:space="preserve">  </w:t>
      </w:r>
      <w:r>
        <w:rPr>
          <w:rFonts w:ascii="Times New Roman" w:hAnsi="Times New Roman" w:eastAsia="Times New Roman" w:cs="Times New Roman"/>
          <w:sz w:val="18"/>
          <w:szCs w:val="18"/>
        </w:rPr>
        <w:t>control</w:t>
      </w:r>
      <w:r>
        <w:rPr>
          <w:rFonts w:ascii="Times New Roman" w:hAnsi="Times New Roman" w:eastAsia="Times New Roman" w:cs="Times New Roman"/>
          <w:spacing w:val="16"/>
          <w:sz w:val="18"/>
          <w:szCs w:val="18"/>
        </w:rPr>
        <w:t xml:space="preserve">  </w:t>
      </w:r>
      <w:r>
        <w:rPr>
          <w:rFonts w:ascii="Times New Roman" w:hAnsi="Times New Roman" w:eastAsia="Times New Roman" w:cs="Times New Roman"/>
          <w:spacing w:val="1"/>
          <w:sz w:val="18"/>
          <w:szCs w:val="18"/>
        </w:rPr>
        <w:t>52</w:t>
      </w:r>
    </w:p>
    <w:sdt>
      <w:sdtPr>
        <w:rPr>
          <w:rFonts w:ascii="宋体" w:hAnsi="宋体" w:eastAsia="宋体" w:cs="宋体"/>
          <w:sz w:val="18"/>
          <w:szCs w:val="18"/>
        </w:rPr>
        <w:id w:val="465075442"/>
        <w:docPartObj>
          <w:docPartGallery w:val="Table of Contents"/>
          <w:docPartUnique/>
        </w:docPartObj>
      </w:sdtPr>
      <w:sdtEndPr>
        <w:rPr>
          <w:rFonts w:ascii="Times New Roman" w:hAnsi="Times New Roman" w:eastAsia="Times New Roman" w:cs="Times New Roman"/>
          <w:sz w:val="18"/>
          <w:szCs w:val="18"/>
        </w:rPr>
      </w:sdtEndPr>
      <w:sdtContent>
        <w:p w14:paraId="650F1E74">
          <w:pPr>
            <w:spacing w:before="115" w:line="212" w:lineRule="auto"/>
            <w:ind w:left="9"/>
            <w:rPr>
              <w:rFonts w:ascii="Times New Roman" w:hAnsi="Times New Roman" w:eastAsia="Times New Roman" w:cs="Times New Roman"/>
              <w:sz w:val="18"/>
              <w:szCs w:val="18"/>
            </w:rPr>
          </w:pPr>
          <w:r>
            <w:rPr>
              <w:rFonts w:ascii="宋体" w:hAnsi="宋体" w:eastAsia="宋体" w:cs="宋体"/>
              <w:spacing w:val="-1"/>
              <w:sz w:val="18"/>
              <w:szCs w:val="18"/>
            </w:rPr>
            <w:t xml:space="preserve">外潜伏期  </w:t>
          </w:r>
          <w:r>
            <w:rPr>
              <w:rFonts w:ascii="Times New Roman" w:hAnsi="Times New Roman" w:eastAsia="Times New Roman" w:cs="Times New Roman"/>
              <w:spacing w:val="-1"/>
              <w:sz w:val="18"/>
              <w:szCs w:val="18"/>
            </w:rPr>
            <w:t>extrinsic  incubation</w:t>
          </w:r>
          <w:r>
            <w:rPr>
              <w:rFonts w:ascii="Times New Roman" w:hAnsi="Times New Roman" w:eastAsia="Times New Roman" w:cs="Times New Roman"/>
              <w:spacing w:val="6"/>
              <w:sz w:val="18"/>
              <w:szCs w:val="18"/>
            </w:rPr>
            <w:t xml:space="preserve">  </w:t>
          </w:r>
          <w:r>
            <w:rPr>
              <w:rFonts w:ascii="Times New Roman" w:hAnsi="Times New Roman" w:eastAsia="Times New Roman" w:cs="Times New Roman"/>
              <w:spacing w:val="-1"/>
              <w:sz w:val="18"/>
              <w:szCs w:val="18"/>
            </w:rPr>
            <w:t xml:space="preserve">period   </w:t>
          </w:r>
          <w:r>
            <w:fldChar w:fldCharType="begin"/>
          </w:r>
          <w:r>
            <w:instrText xml:space="preserve"> HYPERLINK \l "bookmark650" </w:instrText>
          </w:r>
          <w:r>
            <w:fldChar w:fldCharType="separate"/>
          </w:r>
          <w:r>
            <w:rPr>
              <w:rFonts w:ascii="Times New Roman" w:hAnsi="Times New Roman" w:eastAsia="Times New Roman" w:cs="Times New Roman"/>
              <w:spacing w:val="-1"/>
              <w:sz w:val="18"/>
              <w:szCs w:val="18"/>
            </w:rPr>
            <w:t>161</w:t>
          </w:r>
          <w:r>
            <w:rPr>
              <w:rFonts w:ascii="Times New Roman" w:hAnsi="Times New Roman" w:eastAsia="Times New Roman" w:cs="Times New Roman"/>
              <w:spacing w:val="-1"/>
              <w:sz w:val="18"/>
              <w:szCs w:val="18"/>
            </w:rPr>
            <w:fldChar w:fldCharType="end"/>
          </w:r>
        </w:p>
        <w:p w14:paraId="6E93DDF4">
          <w:pPr>
            <w:spacing w:before="137" w:line="214" w:lineRule="auto"/>
            <w:ind w:left="9"/>
            <w:rPr>
              <w:rFonts w:ascii="宋体" w:hAnsi="宋体" w:eastAsia="宋体" w:cs="宋体"/>
              <w:sz w:val="18"/>
              <w:szCs w:val="18"/>
            </w:rPr>
          </w:pPr>
          <w:r>
            <w:rPr>
              <w:rFonts w:ascii="宋体" w:hAnsi="宋体" w:eastAsia="宋体" w:cs="宋体"/>
              <w:spacing w:val="-7"/>
              <w:sz w:val="18"/>
              <w:szCs w:val="18"/>
            </w:rPr>
            <w:t>外源性感染  exogenous infection</w:t>
          </w:r>
          <w:r>
            <w:rPr>
              <w:rFonts w:ascii="宋体" w:hAnsi="宋体" w:eastAsia="宋体" w:cs="宋体"/>
              <w:spacing w:val="21"/>
              <w:sz w:val="18"/>
              <w:szCs w:val="18"/>
            </w:rPr>
            <w:t xml:space="preserve"> </w:t>
          </w:r>
          <w:r>
            <w:fldChar w:fldCharType="begin"/>
          </w:r>
          <w:r>
            <w:instrText xml:space="preserve"> HYPERLINK \l "bookmark711" </w:instrText>
          </w:r>
          <w:r>
            <w:fldChar w:fldCharType="separate"/>
          </w:r>
          <w:r>
            <w:rPr>
              <w:rFonts w:ascii="宋体" w:hAnsi="宋体" w:eastAsia="宋体" w:cs="宋体"/>
              <w:spacing w:val="-7"/>
              <w:sz w:val="18"/>
              <w:szCs w:val="18"/>
            </w:rPr>
            <w:t>174</w:t>
          </w:r>
          <w:r>
            <w:rPr>
              <w:rFonts w:ascii="宋体" w:hAnsi="宋体" w:eastAsia="宋体" w:cs="宋体"/>
              <w:spacing w:val="-7"/>
              <w:sz w:val="18"/>
              <w:szCs w:val="18"/>
            </w:rPr>
            <w:fldChar w:fldCharType="end"/>
          </w:r>
        </w:p>
        <w:p w14:paraId="205A9C0C">
          <w:pPr>
            <w:spacing w:before="107" w:line="212" w:lineRule="auto"/>
            <w:ind w:left="9"/>
            <w:rPr>
              <w:rFonts w:ascii="Times New Roman" w:hAnsi="Times New Roman" w:eastAsia="Times New Roman" w:cs="Times New Roman"/>
              <w:sz w:val="18"/>
              <w:szCs w:val="18"/>
            </w:rPr>
          </w:pPr>
          <w:r>
            <w:rPr>
              <w:rFonts w:ascii="宋体" w:hAnsi="宋体" w:eastAsia="宋体" w:cs="宋体"/>
              <w:spacing w:val="3"/>
              <w:sz w:val="18"/>
              <w:szCs w:val="18"/>
            </w:rPr>
            <w:t>网状</w:t>
          </w:r>
          <w:r>
            <w:rPr>
              <w:rFonts w:ascii="Times New Roman" w:hAnsi="Times New Roman" w:eastAsia="Times New Roman" w:cs="Times New Roman"/>
              <w:sz w:val="18"/>
              <w:szCs w:val="18"/>
            </w:rPr>
            <w:t>Meta</w:t>
          </w:r>
          <w:r>
            <w:rPr>
              <w:rFonts w:ascii="宋体" w:hAnsi="宋体" w:eastAsia="宋体" w:cs="宋体"/>
              <w:spacing w:val="3"/>
              <w:sz w:val="18"/>
              <w:szCs w:val="18"/>
            </w:rPr>
            <w:t>分析</w:t>
          </w:r>
          <w:r>
            <w:rPr>
              <w:rFonts w:ascii="宋体" w:hAnsi="宋体" w:eastAsia="宋体" w:cs="宋体"/>
              <w:spacing w:val="89"/>
              <w:sz w:val="18"/>
              <w:szCs w:val="18"/>
            </w:rPr>
            <w:t xml:space="preserve"> </w:t>
          </w:r>
          <w:r>
            <w:rPr>
              <w:rFonts w:ascii="Times New Roman" w:hAnsi="Times New Roman" w:eastAsia="Times New Roman" w:cs="Times New Roman"/>
              <w:sz w:val="18"/>
              <w:szCs w:val="18"/>
            </w:rPr>
            <w:t>network</w:t>
          </w:r>
          <w:r>
            <w:rPr>
              <w:rFonts w:ascii="Times New Roman" w:hAnsi="Times New Roman" w:eastAsia="Times New Roman" w:cs="Times New Roman"/>
              <w:spacing w:val="17"/>
              <w:w w:val="101"/>
              <w:sz w:val="18"/>
              <w:szCs w:val="18"/>
            </w:rPr>
            <w:t xml:space="preserve">  </w:t>
          </w:r>
          <w:r>
            <w:rPr>
              <w:rFonts w:ascii="Times New Roman" w:hAnsi="Times New Roman" w:eastAsia="Times New Roman" w:cs="Times New Roman"/>
              <w:sz w:val="18"/>
              <w:szCs w:val="18"/>
            </w:rPr>
            <w:t>meta</w:t>
          </w:r>
          <w:r>
            <w:rPr>
              <w:rFonts w:ascii="Times New Roman" w:hAnsi="Times New Roman" w:eastAsia="Times New Roman" w:cs="Times New Roman"/>
              <w:spacing w:val="3"/>
              <w:sz w:val="18"/>
              <w:szCs w:val="18"/>
            </w:rPr>
            <w:t>-</w:t>
          </w:r>
          <w:r>
            <w:rPr>
              <w:rFonts w:ascii="Times New Roman" w:hAnsi="Times New Roman" w:eastAsia="Times New Roman" w:cs="Times New Roman"/>
              <w:sz w:val="18"/>
              <w:szCs w:val="18"/>
            </w:rPr>
            <w:t>analysis</w:t>
          </w:r>
          <w:r>
            <w:rPr>
              <w:rFonts w:ascii="Times New Roman" w:hAnsi="Times New Roman" w:eastAsia="Times New Roman" w:cs="Times New Roman"/>
              <w:spacing w:val="19"/>
              <w:w w:val="101"/>
              <w:sz w:val="18"/>
              <w:szCs w:val="18"/>
            </w:rPr>
            <w:t xml:space="preserve">  </w:t>
          </w:r>
          <w:r>
            <w:fldChar w:fldCharType="begin"/>
          </w:r>
          <w:r>
            <w:instrText xml:space="preserve"> HYPERLINK \l "bookmark712" </w:instrText>
          </w:r>
          <w:r>
            <w:fldChar w:fldCharType="separate"/>
          </w:r>
          <w:r>
            <w:rPr>
              <w:rFonts w:ascii="Times New Roman" w:hAnsi="Times New Roman" w:eastAsia="Times New Roman" w:cs="Times New Roman"/>
              <w:spacing w:val="3"/>
              <w:sz w:val="18"/>
              <w:szCs w:val="18"/>
            </w:rPr>
            <w:t>264</w:t>
          </w:r>
          <w:r>
            <w:rPr>
              <w:rFonts w:ascii="Times New Roman" w:hAnsi="Times New Roman" w:eastAsia="Times New Roman" w:cs="Times New Roman"/>
              <w:spacing w:val="3"/>
              <w:sz w:val="18"/>
              <w:szCs w:val="18"/>
            </w:rPr>
            <w:fldChar w:fldCharType="end"/>
          </w:r>
        </w:p>
      </w:sdtContent>
    </w:sdt>
    <w:p w14:paraId="53989964">
      <w:pPr>
        <w:spacing w:before="132" w:line="212" w:lineRule="auto"/>
        <w:ind w:left="9"/>
        <w:rPr>
          <w:rFonts w:ascii="Times New Roman" w:hAnsi="Times New Roman" w:eastAsia="Times New Roman" w:cs="Times New Roman"/>
          <w:sz w:val="18"/>
          <w:szCs w:val="18"/>
        </w:rPr>
      </w:pPr>
      <w:r>
        <w:rPr>
          <w:rFonts w:ascii="宋体" w:hAnsi="宋体" w:eastAsia="宋体" w:cs="宋体"/>
          <w:spacing w:val="-1"/>
          <w:sz w:val="18"/>
          <w:szCs w:val="18"/>
        </w:rPr>
        <w:t>危险度比</w:t>
      </w:r>
      <w:r>
        <w:rPr>
          <w:rFonts w:ascii="宋体" w:hAnsi="宋体" w:eastAsia="宋体" w:cs="宋体"/>
          <w:spacing w:val="72"/>
          <w:sz w:val="18"/>
          <w:szCs w:val="18"/>
        </w:rPr>
        <w:t xml:space="preserve"> </w:t>
      </w:r>
      <w:r>
        <w:rPr>
          <w:rFonts w:ascii="Times New Roman" w:hAnsi="Times New Roman" w:eastAsia="Times New Roman" w:cs="Times New Roman"/>
          <w:spacing w:val="-1"/>
          <w:sz w:val="18"/>
          <w:szCs w:val="18"/>
        </w:rPr>
        <w:t>risk</w:t>
      </w:r>
      <w:r>
        <w:rPr>
          <w:rFonts w:ascii="Times New Roman" w:hAnsi="Times New Roman" w:eastAsia="Times New Roman" w:cs="Times New Roman"/>
          <w:spacing w:val="7"/>
          <w:sz w:val="18"/>
          <w:szCs w:val="18"/>
        </w:rPr>
        <w:t xml:space="preserve">   </w:t>
      </w:r>
      <w:r>
        <w:rPr>
          <w:rFonts w:ascii="Times New Roman" w:hAnsi="Times New Roman" w:eastAsia="Times New Roman" w:cs="Times New Roman"/>
          <w:spacing w:val="-1"/>
          <w:sz w:val="18"/>
          <w:szCs w:val="18"/>
        </w:rPr>
        <w:t>ratio,RR</w:t>
      </w:r>
      <w:r>
        <w:rPr>
          <w:rFonts w:ascii="Times New Roman" w:hAnsi="Times New Roman" w:eastAsia="Times New Roman" w:cs="Times New Roman"/>
          <w:spacing w:val="10"/>
          <w:sz w:val="18"/>
          <w:szCs w:val="18"/>
        </w:rPr>
        <w:t xml:space="preserve">   </w:t>
      </w:r>
      <w:r>
        <w:rPr>
          <w:rFonts w:ascii="Times New Roman" w:hAnsi="Times New Roman" w:eastAsia="Times New Roman" w:cs="Times New Roman"/>
          <w:spacing w:val="-1"/>
          <w:sz w:val="18"/>
          <w:szCs w:val="18"/>
        </w:rPr>
        <w:t>57</w:t>
      </w:r>
    </w:p>
    <w:p w14:paraId="310896B5">
      <w:pPr>
        <w:spacing w:before="123" w:line="212" w:lineRule="auto"/>
        <w:ind w:left="9"/>
        <w:rPr>
          <w:rFonts w:ascii="Times New Roman" w:hAnsi="Times New Roman" w:eastAsia="Times New Roman" w:cs="Times New Roman"/>
          <w:sz w:val="18"/>
          <w:szCs w:val="18"/>
        </w:rPr>
      </w:pPr>
      <w:r>
        <w:rPr>
          <w:rFonts w:ascii="宋体" w:hAnsi="宋体" w:eastAsia="宋体" w:cs="宋体"/>
          <w:spacing w:val="-1"/>
          <w:sz w:val="18"/>
          <w:szCs w:val="18"/>
        </w:rPr>
        <w:t>危险度差</w:t>
      </w:r>
      <w:r>
        <w:rPr>
          <w:rFonts w:ascii="宋体" w:hAnsi="宋体" w:eastAsia="宋体" w:cs="宋体"/>
          <w:spacing w:val="70"/>
          <w:sz w:val="18"/>
          <w:szCs w:val="18"/>
        </w:rPr>
        <w:t xml:space="preserve"> </w:t>
      </w:r>
      <w:r>
        <w:rPr>
          <w:rFonts w:ascii="Times New Roman" w:hAnsi="Times New Roman" w:eastAsia="Times New Roman" w:cs="Times New Roman"/>
          <w:spacing w:val="-1"/>
          <w:sz w:val="18"/>
          <w:szCs w:val="18"/>
        </w:rPr>
        <w:t>risk</w:t>
      </w:r>
      <w:r>
        <w:rPr>
          <w:rFonts w:ascii="Times New Roman" w:hAnsi="Times New Roman" w:eastAsia="Times New Roman" w:cs="Times New Roman"/>
          <w:spacing w:val="7"/>
          <w:sz w:val="18"/>
          <w:szCs w:val="18"/>
        </w:rPr>
        <w:t xml:space="preserve">   </w:t>
      </w:r>
      <w:r>
        <w:rPr>
          <w:rFonts w:ascii="Times New Roman" w:hAnsi="Times New Roman" w:eastAsia="Times New Roman" w:cs="Times New Roman"/>
          <w:spacing w:val="-1"/>
          <w:sz w:val="18"/>
          <w:szCs w:val="18"/>
        </w:rPr>
        <w:t>difference,RD</w:t>
      </w:r>
      <w:r>
        <w:rPr>
          <w:rFonts w:ascii="Times New Roman" w:hAnsi="Times New Roman" w:eastAsia="Times New Roman" w:cs="Times New Roman"/>
          <w:spacing w:val="9"/>
          <w:sz w:val="18"/>
          <w:szCs w:val="18"/>
        </w:rPr>
        <w:t xml:space="preserve">   </w:t>
      </w:r>
      <w:r>
        <w:rPr>
          <w:rFonts w:ascii="Times New Roman" w:hAnsi="Times New Roman" w:eastAsia="Times New Roman" w:cs="Times New Roman"/>
          <w:spacing w:val="-1"/>
          <w:sz w:val="18"/>
          <w:szCs w:val="18"/>
        </w:rPr>
        <w:t>57</w:t>
      </w:r>
    </w:p>
    <w:p w14:paraId="3F49C378">
      <w:pPr>
        <w:spacing w:before="136" w:line="219" w:lineRule="auto"/>
        <w:ind w:left="9"/>
        <w:rPr>
          <w:rFonts w:ascii="Times New Roman" w:hAnsi="Times New Roman" w:eastAsia="Times New Roman" w:cs="Times New Roman"/>
          <w:sz w:val="18"/>
          <w:szCs w:val="18"/>
        </w:rPr>
      </w:pPr>
      <w:r>
        <w:rPr>
          <w:rFonts w:ascii="宋体" w:hAnsi="宋体" w:eastAsia="宋体" w:cs="宋体"/>
          <w:spacing w:val="-2"/>
          <w:sz w:val="18"/>
          <w:szCs w:val="18"/>
        </w:rPr>
        <w:t>危险因素</w:t>
      </w:r>
      <w:r>
        <w:rPr>
          <w:rFonts w:ascii="宋体" w:hAnsi="宋体" w:eastAsia="宋体" w:cs="宋体"/>
          <w:spacing w:val="92"/>
          <w:w w:val="101"/>
          <w:sz w:val="18"/>
          <w:szCs w:val="18"/>
        </w:rPr>
        <w:t xml:space="preserve"> </w:t>
      </w:r>
      <w:r>
        <w:rPr>
          <w:rFonts w:ascii="Times New Roman" w:hAnsi="Times New Roman" w:eastAsia="Times New Roman" w:cs="Times New Roman"/>
          <w:spacing w:val="-2"/>
          <w:sz w:val="18"/>
          <w:szCs w:val="18"/>
        </w:rPr>
        <w:t>risk</w:t>
      </w:r>
      <w:r>
        <w:rPr>
          <w:rFonts w:ascii="Times New Roman" w:hAnsi="Times New Roman" w:eastAsia="Times New Roman" w:cs="Times New Roman"/>
          <w:spacing w:val="16"/>
          <w:sz w:val="18"/>
          <w:szCs w:val="18"/>
        </w:rPr>
        <w:t xml:space="preserve">  </w:t>
      </w:r>
      <w:r>
        <w:rPr>
          <w:rFonts w:ascii="Times New Roman" w:hAnsi="Times New Roman" w:eastAsia="Times New Roman" w:cs="Times New Roman"/>
          <w:spacing w:val="-2"/>
          <w:sz w:val="18"/>
          <w:szCs w:val="18"/>
        </w:rPr>
        <w:t>factor</w:t>
      </w:r>
      <w:r>
        <w:rPr>
          <w:rFonts w:ascii="Times New Roman" w:hAnsi="Times New Roman" w:eastAsia="Times New Roman" w:cs="Times New Roman"/>
          <w:spacing w:val="14"/>
          <w:sz w:val="18"/>
          <w:szCs w:val="18"/>
        </w:rPr>
        <w:t xml:space="preserve">  </w:t>
      </w:r>
      <w:r>
        <w:rPr>
          <w:rFonts w:ascii="Times New Roman" w:hAnsi="Times New Roman" w:eastAsia="Times New Roman" w:cs="Times New Roman"/>
          <w:spacing w:val="-2"/>
          <w:sz w:val="18"/>
          <w:szCs w:val="18"/>
        </w:rPr>
        <w:t>48</w:t>
      </w:r>
    </w:p>
    <w:p w14:paraId="4FA84D60">
      <w:pPr>
        <w:spacing w:before="95" w:line="212" w:lineRule="auto"/>
        <w:ind w:left="9"/>
        <w:rPr>
          <w:rFonts w:ascii="Times New Roman" w:hAnsi="Times New Roman" w:eastAsia="Times New Roman" w:cs="Times New Roman"/>
          <w:sz w:val="18"/>
          <w:szCs w:val="18"/>
        </w:rPr>
      </w:pPr>
      <w:r>
        <w:rPr>
          <w:rFonts w:ascii="宋体" w:hAnsi="宋体" w:eastAsia="宋体" w:cs="宋体"/>
          <w:spacing w:val="-2"/>
          <w:sz w:val="18"/>
          <w:szCs w:val="18"/>
        </w:rPr>
        <w:t>微生物说</w:t>
      </w:r>
      <w:r>
        <w:rPr>
          <w:rFonts w:ascii="宋体" w:hAnsi="宋体" w:eastAsia="宋体" w:cs="宋体"/>
          <w:spacing w:val="81"/>
          <w:sz w:val="18"/>
          <w:szCs w:val="18"/>
        </w:rPr>
        <w:t xml:space="preserve"> </w:t>
      </w:r>
      <w:r>
        <w:rPr>
          <w:rFonts w:ascii="Times New Roman" w:hAnsi="Times New Roman" w:eastAsia="Times New Roman" w:cs="Times New Roman"/>
          <w:spacing w:val="-2"/>
          <w:sz w:val="18"/>
          <w:szCs w:val="18"/>
        </w:rPr>
        <w:t>germ</w:t>
      </w:r>
      <w:r>
        <w:rPr>
          <w:rFonts w:ascii="Times New Roman" w:hAnsi="Times New Roman" w:eastAsia="Times New Roman" w:cs="Times New Roman"/>
          <w:spacing w:val="15"/>
          <w:sz w:val="18"/>
          <w:szCs w:val="18"/>
        </w:rPr>
        <w:t xml:space="preserve">  </w:t>
      </w:r>
      <w:r>
        <w:rPr>
          <w:rFonts w:ascii="Times New Roman" w:hAnsi="Times New Roman" w:eastAsia="Times New Roman" w:cs="Times New Roman"/>
          <w:spacing w:val="-2"/>
          <w:sz w:val="18"/>
          <w:szCs w:val="18"/>
        </w:rPr>
        <w:t>theory   118</w:t>
      </w:r>
    </w:p>
    <w:p w14:paraId="5843B94B">
      <w:pPr>
        <w:spacing w:before="174" w:line="212" w:lineRule="auto"/>
        <w:ind w:left="9"/>
        <w:rPr>
          <w:rFonts w:ascii="Times New Roman" w:hAnsi="Times New Roman" w:eastAsia="Times New Roman" w:cs="Times New Roman"/>
          <w:sz w:val="18"/>
          <w:szCs w:val="18"/>
        </w:rPr>
      </w:pPr>
      <w:r>
        <w:rPr>
          <w:rFonts w:ascii="宋体" w:hAnsi="宋体" w:eastAsia="宋体" w:cs="宋体"/>
          <w:spacing w:val="-1"/>
          <w:sz w:val="18"/>
          <w:szCs w:val="18"/>
        </w:rPr>
        <w:t>无症状感染</w:t>
      </w:r>
      <w:r>
        <w:rPr>
          <w:rFonts w:ascii="宋体" w:hAnsi="宋体" w:eastAsia="宋体" w:cs="宋体"/>
          <w:spacing w:val="79"/>
          <w:sz w:val="18"/>
          <w:szCs w:val="18"/>
        </w:rPr>
        <w:t xml:space="preserve"> </w:t>
      </w:r>
      <w:r>
        <w:rPr>
          <w:rFonts w:ascii="Times New Roman" w:hAnsi="Times New Roman" w:eastAsia="Times New Roman" w:cs="Times New Roman"/>
          <w:spacing w:val="-1"/>
          <w:sz w:val="18"/>
          <w:szCs w:val="18"/>
        </w:rPr>
        <w:t>asymptomatic</w:t>
      </w:r>
      <w:r>
        <w:rPr>
          <w:rFonts w:ascii="Times New Roman" w:hAnsi="Times New Roman" w:eastAsia="Times New Roman" w:cs="Times New Roman"/>
          <w:spacing w:val="12"/>
          <w:w w:val="101"/>
          <w:sz w:val="18"/>
          <w:szCs w:val="18"/>
        </w:rPr>
        <w:t xml:space="preserve">  </w:t>
      </w:r>
      <w:r>
        <w:rPr>
          <w:rFonts w:ascii="Times New Roman" w:hAnsi="Times New Roman" w:eastAsia="Times New Roman" w:cs="Times New Roman"/>
          <w:spacing w:val="-1"/>
          <w:sz w:val="18"/>
          <w:szCs w:val="18"/>
        </w:rPr>
        <w:t>inf</w:t>
      </w:r>
      <w:r>
        <w:rPr>
          <w:rFonts w:ascii="Times New Roman" w:hAnsi="Times New Roman" w:eastAsia="Times New Roman" w:cs="Times New Roman"/>
          <w:spacing w:val="-2"/>
          <w:sz w:val="18"/>
          <w:szCs w:val="18"/>
        </w:rPr>
        <w:t>ection</w:t>
      </w:r>
      <w:r>
        <w:rPr>
          <w:rFonts w:ascii="Times New Roman" w:hAnsi="Times New Roman" w:eastAsia="Times New Roman" w:cs="Times New Roman"/>
          <w:spacing w:val="20"/>
          <w:w w:val="101"/>
          <w:sz w:val="18"/>
          <w:szCs w:val="18"/>
        </w:rPr>
        <w:t xml:space="preserve">  </w:t>
      </w:r>
      <w:r>
        <w:rPr>
          <w:rFonts w:ascii="Times New Roman" w:hAnsi="Times New Roman" w:eastAsia="Times New Roman" w:cs="Times New Roman"/>
          <w:spacing w:val="-2"/>
          <w:sz w:val="18"/>
          <w:szCs w:val="18"/>
        </w:rPr>
        <w:t>158</w:t>
      </w:r>
    </w:p>
    <w:p w14:paraId="4270A012">
      <w:pPr>
        <w:spacing w:before="133" w:line="212" w:lineRule="auto"/>
        <w:ind w:left="9"/>
        <w:rPr>
          <w:rFonts w:ascii="Times New Roman" w:hAnsi="Times New Roman" w:eastAsia="Times New Roman" w:cs="Times New Roman"/>
          <w:sz w:val="18"/>
          <w:szCs w:val="18"/>
        </w:rPr>
      </w:pPr>
      <w:r>
        <w:rPr>
          <w:rFonts w:ascii="宋体" w:hAnsi="宋体" w:eastAsia="宋体" w:cs="宋体"/>
          <w:spacing w:val="-1"/>
          <w:sz w:val="18"/>
          <w:szCs w:val="18"/>
        </w:rPr>
        <w:t>戊型肝炎病毒</w:t>
      </w:r>
      <w:r>
        <w:rPr>
          <w:rFonts w:ascii="宋体" w:hAnsi="宋体" w:eastAsia="宋体" w:cs="宋体"/>
          <w:spacing w:val="86"/>
          <w:sz w:val="18"/>
          <w:szCs w:val="18"/>
        </w:rPr>
        <w:t xml:space="preserve"> </w:t>
      </w:r>
      <w:r>
        <w:rPr>
          <w:rFonts w:ascii="Times New Roman" w:hAnsi="Times New Roman" w:eastAsia="Times New Roman" w:cs="Times New Roman"/>
          <w:spacing w:val="-1"/>
          <w:sz w:val="18"/>
          <w:szCs w:val="18"/>
        </w:rPr>
        <w:t>hepatitis</w:t>
      </w:r>
      <w:r>
        <w:rPr>
          <w:rFonts w:ascii="Times New Roman" w:hAnsi="Times New Roman" w:eastAsia="Times New Roman" w:cs="Times New Roman"/>
          <w:spacing w:val="20"/>
          <w:w w:val="101"/>
          <w:sz w:val="18"/>
          <w:szCs w:val="18"/>
        </w:rPr>
        <w:t xml:space="preserve">  </w:t>
      </w:r>
      <w:r>
        <w:rPr>
          <w:rFonts w:ascii="Times New Roman" w:hAnsi="Times New Roman" w:eastAsia="Times New Roman" w:cs="Times New Roman"/>
          <w:spacing w:val="-1"/>
          <w:sz w:val="18"/>
          <w:szCs w:val="18"/>
        </w:rPr>
        <w:t>E</w:t>
      </w:r>
      <w:r>
        <w:rPr>
          <w:rFonts w:ascii="Times New Roman" w:hAnsi="Times New Roman" w:eastAsia="Times New Roman" w:cs="Times New Roman"/>
          <w:spacing w:val="19"/>
          <w:sz w:val="18"/>
          <w:szCs w:val="18"/>
        </w:rPr>
        <w:t xml:space="preserve">  </w:t>
      </w:r>
      <w:r>
        <w:rPr>
          <w:rFonts w:ascii="Times New Roman" w:hAnsi="Times New Roman" w:eastAsia="Times New Roman" w:cs="Times New Roman"/>
          <w:spacing w:val="-1"/>
          <w:sz w:val="18"/>
          <w:szCs w:val="18"/>
        </w:rPr>
        <w:t>virus,HEV</w:t>
      </w:r>
      <w:r>
        <w:rPr>
          <w:rFonts w:ascii="Times New Roman" w:hAnsi="Times New Roman" w:eastAsia="Times New Roman" w:cs="Times New Roman"/>
          <w:spacing w:val="20"/>
          <w:sz w:val="18"/>
          <w:szCs w:val="18"/>
        </w:rPr>
        <w:t xml:space="preserve">  </w:t>
      </w:r>
      <w:r>
        <w:rPr>
          <w:rFonts w:ascii="Times New Roman" w:hAnsi="Times New Roman" w:eastAsia="Times New Roman" w:cs="Times New Roman"/>
          <w:spacing w:val="-1"/>
          <w:sz w:val="18"/>
          <w:szCs w:val="18"/>
        </w:rPr>
        <w:t>265</w:t>
      </w:r>
    </w:p>
    <w:p w14:paraId="7EBCC3F4">
      <w:pPr>
        <w:spacing w:before="133" w:line="212" w:lineRule="auto"/>
        <w:ind w:left="9"/>
        <w:rPr>
          <w:rFonts w:ascii="Times New Roman" w:hAnsi="Times New Roman" w:eastAsia="Times New Roman" w:cs="Times New Roman"/>
          <w:sz w:val="18"/>
          <w:szCs w:val="18"/>
        </w:rPr>
      </w:pPr>
      <w:r>
        <w:rPr>
          <w:rFonts w:ascii="宋体" w:hAnsi="宋体" w:eastAsia="宋体" w:cs="宋体"/>
          <w:spacing w:val="-1"/>
          <w:sz w:val="18"/>
          <w:szCs w:val="18"/>
        </w:rPr>
        <w:t>物理防制</w:t>
      </w:r>
      <w:r>
        <w:rPr>
          <w:rFonts w:ascii="宋体" w:hAnsi="宋体" w:eastAsia="宋体" w:cs="宋体"/>
          <w:spacing w:val="67"/>
          <w:sz w:val="18"/>
          <w:szCs w:val="18"/>
        </w:rPr>
        <w:t xml:space="preserve"> </w:t>
      </w:r>
      <w:r>
        <w:rPr>
          <w:rFonts w:ascii="Times New Roman" w:hAnsi="Times New Roman" w:eastAsia="Times New Roman" w:cs="Times New Roman"/>
          <w:spacing w:val="-1"/>
          <w:sz w:val="18"/>
          <w:szCs w:val="18"/>
        </w:rPr>
        <w:t>physical</w:t>
      </w:r>
      <w:r>
        <w:rPr>
          <w:rFonts w:ascii="Times New Roman" w:hAnsi="Times New Roman" w:eastAsia="Times New Roman" w:cs="Times New Roman"/>
          <w:spacing w:val="15"/>
          <w:sz w:val="18"/>
          <w:szCs w:val="18"/>
        </w:rPr>
        <w:t xml:space="preserve">  </w:t>
      </w:r>
      <w:r>
        <w:rPr>
          <w:rFonts w:ascii="Times New Roman" w:hAnsi="Times New Roman" w:eastAsia="Times New Roman" w:cs="Times New Roman"/>
          <w:spacing w:val="-1"/>
          <w:sz w:val="18"/>
          <w:szCs w:val="18"/>
        </w:rPr>
        <w:t xml:space="preserve">control  </w:t>
      </w:r>
      <w:r>
        <w:rPr>
          <w:rFonts w:ascii="Times New Roman" w:hAnsi="Times New Roman" w:eastAsia="Times New Roman" w:cs="Times New Roman"/>
          <w:spacing w:val="-2"/>
          <w:sz w:val="18"/>
          <w:szCs w:val="18"/>
        </w:rPr>
        <w:t xml:space="preserve"> 182</w:t>
      </w:r>
    </w:p>
    <w:p w14:paraId="3B76C271">
      <w:pPr>
        <w:spacing w:before="306" w:line="196" w:lineRule="auto"/>
        <w:ind w:left="9"/>
        <w:rPr>
          <w:rFonts w:ascii="Arial" w:hAnsi="Arial" w:eastAsia="Arial" w:cs="Arial"/>
          <w:sz w:val="29"/>
          <w:szCs w:val="29"/>
        </w:rPr>
      </w:pPr>
      <w:r>
        <w:rPr>
          <w:rFonts w:ascii="Arial" w:hAnsi="Arial" w:eastAsia="Arial" w:cs="Arial"/>
          <w:sz w:val="29"/>
          <w:szCs w:val="29"/>
        </w:rPr>
        <w:t>X</w:t>
      </w:r>
    </w:p>
    <w:p w14:paraId="62F67B90">
      <w:pPr>
        <w:spacing w:before="236" w:line="219" w:lineRule="auto"/>
        <w:ind w:left="9"/>
        <w:rPr>
          <w:rFonts w:ascii="Times New Roman" w:hAnsi="Times New Roman" w:eastAsia="Times New Roman" w:cs="Times New Roman"/>
          <w:sz w:val="18"/>
          <w:szCs w:val="18"/>
        </w:rPr>
      </w:pPr>
      <w:r>
        <w:rPr>
          <w:rFonts w:ascii="宋体" w:hAnsi="宋体" w:eastAsia="宋体" w:cs="宋体"/>
          <w:spacing w:val="-1"/>
          <w:sz w:val="18"/>
          <w:szCs w:val="18"/>
        </w:rPr>
        <w:t>希尔准则</w:t>
      </w:r>
      <w:r>
        <w:rPr>
          <w:rFonts w:ascii="宋体" w:hAnsi="宋体" w:eastAsia="宋体" w:cs="宋体"/>
          <w:spacing w:val="79"/>
          <w:sz w:val="18"/>
          <w:szCs w:val="18"/>
        </w:rPr>
        <w:t xml:space="preserve"> </w:t>
      </w:r>
      <w:r>
        <w:rPr>
          <w:rFonts w:ascii="Times New Roman" w:hAnsi="Times New Roman" w:eastAsia="Times New Roman" w:cs="Times New Roman"/>
          <w:spacing w:val="-1"/>
          <w:sz w:val="18"/>
          <w:szCs w:val="18"/>
        </w:rPr>
        <w:t>Hill's   criteria</w:t>
      </w:r>
      <w:r>
        <w:rPr>
          <w:rFonts w:ascii="Times New Roman" w:hAnsi="Times New Roman" w:eastAsia="Times New Roman" w:cs="Times New Roman"/>
          <w:spacing w:val="8"/>
          <w:sz w:val="18"/>
          <w:szCs w:val="18"/>
        </w:rPr>
        <w:t xml:space="preserve">   </w:t>
      </w:r>
      <w:r>
        <w:rPr>
          <w:rFonts w:ascii="Times New Roman" w:hAnsi="Times New Roman" w:eastAsia="Times New Roman" w:cs="Times New Roman"/>
          <w:spacing w:val="-1"/>
          <w:sz w:val="18"/>
          <w:szCs w:val="18"/>
        </w:rPr>
        <w:t>132</w:t>
      </w:r>
    </w:p>
    <w:p w14:paraId="241C99D1">
      <w:pPr>
        <w:spacing w:before="96" w:line="212" w:lineRule="auto"/>
        <w:ind w:left="9"/>
        <w:rPr>
          <w:rFonts w:ascii="Times New Roman" w:hAnsi="Times New Roman" w:eastAsia="Times New Roman" w:cs="Times New Roman"/>
          <w:sz w:val="18"/>
          <w:szCs w:val="18"/>
        </w:rPr>
      </w:pPr>
      <w:r>
        <w:rPr>
          <w:rFonts w:ascii="宋体" w:hAnsi="宋体" w:eastAsia="宋体" w:cs="宋体"/>
          <w:spacing w:val="-2"/>
          <w:sz w:val="18"/>
          <w:szCs w:val="18"/>
        </w:rPr>
        <w:t>系统抽样</w:t>
      </w:r>
      <w:r>
        <w:rPr>
          <w:rFonts w:ascii="宋体" w:hAnsi="宋体" w:eastAsia="宋体" w:cs="宋体"/>
          <w:spacing w:val="93"/>
          <w:w w:val="101"/>
          <w:sz w:val="18"/>
          <w:szCs w:val="18"/>
        </w:rPr>
        <w:t xml:space="preserve"> </w:t>
      </w:r>
      <w:r>
        <w:rPr>
          <w:rFonts w:ascii="Times New Roman" w:hAnsi="Times New Roman" w:eastAsia="Times New Roman" w:cs="Times New Roman"/>
          <w:spacing w:val="-2"/>
          <w:sz w:val="18"/>
          <w:szCs w:val="18"/>
        </w:rPr>
        <w:t>systematic</w:t>
      </w:r>
      <w:r>
        <w:rPr>
          <w:rFonts w:ascii="Times New Roman" w:hAnsi="Times New Roman" w:eastAsia="Times New Roman" w:cs="Times New Roman"/>
          <w:spacing w:val="16"/>
          <w:w w:val="101"/>
          <w:sz w:val="18"/>
          <w:szCs w:val="18"/>
        </w:rPr>
        <w:t xml:space="preserve">  </w:t>
      </w:r>
      <w:r>
        <w:rPr>
          <w:rFonts w:ascii="Times New Roman" w:hAnsi="Times New Roman" w:eastAsia="Times New Roman" w:cs="Times New Roman"/>
          <w:spacing w:val="-2"/>
          <w:sz w:val="18"/>
          <w:szCs w:val="18"/>
        </w:rPr>
        <w:t>sampling</w:t>
      </w:r>
      <w:r>
        <w:rPr>
          <w:rFonts w:ascii="Times New Roman" w:hAnsi="Times New Roman" w:eastAsia="Times New Roman" w:cs="Times New Roman"/>
          <w:spacing w:val="16"/>
          <w:sz w:val="18"/>
          <w:szCs w:val="18"/>
        </w:rPr>
        <w:t xml:space="preserve">  </w:t>
      </w:r>
      <w:r>
        <w:rPr>
          <w:rFonts w:ascii="Times New Roman" w:hAnsi="Times New Roman" w:eastAsia="Times New Roman" w:cs="Times New Roman"/>
          <w:spacing w:val="-2"/>
          <w:sz w:val="18"/>
          <w:szCs w:val="18"/>
        </w:rPr>
        <w:t>37</w:t>
      </w:r>
    </w:p>
    <w:p w14:paraId="2CD43723">
      <w:pPr>
        <w:spacing w:before="123" w:line="329" w:lineRule="auto"/>
        <w:ind w:left="9" w:right="977"/>
        <w:rPr>
          <w:rFonts w:ascii="Times New Roman" w:hAnsi="Times New Roman" w:eastAsia="Times New Roman" w:cs="Times New Roman"/>
          <w:sz w:val="18"/>
          <w:szCs w:val="18"/>
        </w:rPr>
      </w:pPr>
      <w:r>
        <w:rPr>
          <w:rFonts w:ascii="宋体" w:hAnsi="宋体" w:eastAsia="宋体" w:cs="宋体"/>
          <w:spacing w:val="-1"/>
          <w:sz w:val="18"/>
          <w:szCs w:val="18"/>
        </w:rPr>
        <w:t>系统流行病学</w:t>
      </w:r>
      <w:r>
        <w:rPr>
          <w:rFonts w:ascii="宋体" w:hAnsi="宋体" w:eastAsia="宋体" w:cs="宋体"/>
          <w:spacing w:val="82"/>
          <w:w w:val="101"/>
          <w:sz w:val="18"/>
          <w:szCs w:val="18"/>
        </w:rPr>
        <w:t xml:space="preserve"> </w:t>
      </w:r>
      <w:r>
        <w:rPr>
          <w:rFonts w:ascii="Times New Roman" w:hAnsi="Times New Roman" w:eastAsia="Times New Roman" w:cs="Times New Roman"/>
          <w:spacing w:val="-1"/>
          <w:sz w:val="18"/>
          <w:szCs w:val="18"/>
        </w:rPr>
        <w:t>systems   epidemiology</w:t>
      </w:r>
      <w:r>
        <w:rPr>
          <w:rFonts w:ascii="Times New Roman" w:hAnsi="Times New Roman" w:eastAsia="Times New Roman" w:cs="Times New Roman"/>
          <w:spacing w:val="5"/>
          <w:sz w:val="18"/>
          <w:szCs w:val="18"/>
        </w:rPr>
        <w:t xml:space="preserve">   </w:t>
      </w:r>
      <w:r>
        <w:rPr>
          <w:rFonts w:ascii="Times New Roman" w:hAnsi="Times New Roman" w:eastAsia="Times New Roman" w:cs="Times New Roman"/>
          <w:spacing w:val="-1"/>
          <w:sz w:val="18"/>
          <w:szCs w:val="18"/>
        </w:rPr>
        <w:t>3,235</w:t>
      </w:r>
      <w:r>
        <w:rPr>
          <w:rFonts w:ascii="Times New Roman" w:hAnsi="Times New Roman" w:eastAsia="Times New Roman" w:cs="Times New Roman"/>
          <w:spacing w:val="1"/>
          <w:sz w:val="18"/>
          <w:szCs w:val="18"/>
        </w:rPr>
        <w:t xml:space="preserve"> </w:t>
      </w:r>
      <w:r>
        <w:rPr>
          <w:rFonts w:ascii="宋体" w:hAnsi="宋体" w:eastAsia="宋体" w:cs="宋体"/>
          <w:spacing w:val="-1"/>
          <w:sz w:val="18"/>
          <w:szCs w:val="18"/>
        </w:rPr>
        <w:t>系统综述</w:t>
      </w:r>
      <w:r>
        <w:rPr>
          <w:rFonts w:ascii="宋体" w:hAnsi="宋体" w:eastAsia="宋体" w:cs="宋体"/>
          <w:spacing w:val="70"/>
          <w:sz w:val="18"/>
          <w:szCs w:val="18"/>
        </w:rPr>
        <w:t xml:space="preserve"> </w:t>
      </w:r>
      <w:r>
        <w:rPr>
          <w:rFonts w:ascii="Times New Roman" w:hAnsi="Times New Roman" w:eastAsia="Times New Roman" w:cs="Times New Roman"/>
          <w:spacing w:val="-1"/>
          <w:sz w:val="18"/>
          <w:szCs w:val="18"/>
        </w:rPr>
        <w:t xml:space="preserve">systematic   review    </w:t>
      </w:r>
      <w:r>
        <w:rPr>
          <w:rFonts w:ascii="Times New Roman" w:hAnsi="Times New Roman" w:eastAsia="Times New Roman" w:cs="Times New Roman"/>
          <w:spacing w:val="-2"/>
          <w:sz w:val="18"/>
          <w:szCs w:val="18"/>
        </w:rPr>
        <w:t>134,246</w:t>
      </w:r>
    </w:p>
    <w:p w14:paraId="761370C5">
      <w:pPr>
        <w:spacing w:before="40" w:line="220" w:lineRule="auto"/>
        <w:ind w:left="9"/>
        <w:rPr>
          <w:rFonts w:ascii="Times New Roman" w:hAnsi="Times New Roman" w:eastAsia="Times New Roman" w:cs="Times New Roman"/>
          <w:sz w:val="18"/>
          <w:szCs w:val="18"/>
        </w:rPr>
      </w:pPr>
      <w:r>
        <w:rPr>
          <w:rFonts w:ascii="宋体" w:hAnsi="宋体" w:eastAsia="宋体" w:cs="宋体"/>
          <w:spacing w:val="-2"/>
          <w:sz w:val="18"/>
          <w:szCs w:val="18"/>
        </w:rPr>
        <w:t>显性感染</w:t>
      </w:r>
      <w:r>
        <w:rPr>
          <w:rFonts w:ascii="宋体" w:hAnsi="宋体" w:eastAsia="宋体" w:cs="宋体"/>
          <w:spacing w:val="80"/>
          <w:w w:val="101"/>
          <w:sz w:val="18"/>
          <w:szCs w:val="18"/>
        </w:rPr>
        <w:t xml:space="preserve"> </w:t>
      </w:r>
      <w:r>
        <w:rPr>
          <w:rFonts w:ascii="Times New Roman" w:hAnsi="Times New Roman" w:eastAsia="Times New Roman" w:cs="Times New Roman"/>
          <w:spacing w:val="-2"/>
          <w:sz w:val="18"/>
          <w:szCs w:val="18"/>
        </w:rPr>
        <w:t>overt</w:t>
      </w:r>
      <w:r>
        <w:rPr>
          <w:rFonts w:ascii="Times New Roman" w:hAnsi="Times New Roman" w:eastAsia="Times New Roman" w:cs="Times New Roman"/>
          <w:spacing w:val="14"/>
          <w:w w:val="101"/>
          <w:sz w:val="18"/>
          <w:szCs w:val="18"/>
        </w:rPr>
        <w:t xml:space="preserve">  </w:t>
      </w:r>
      <w:r>
        <w:rPr>
          <w:rFonts w:ascii="Times New Roman" w:hAnsi="Times New Roman" w:eastAsia="Times New Roman" w:cs="Times New Roman"/>
          <w:spacing w:val="-2"/>
          <w:sz w:val="18"/>
          <w:szCs w:val="18"/>
        </w:rPr>
        <w:t>infection   158</w:t>
      </w:r>
    </w:p>
    <w:p w14:paraId="7016FFBD">
      <w:pPr>
        <w:spacing w:before="115" w:line="220" w:lineRule="auto"/>
        <w:ind w:left="9"/>
        <w:rPr>
          <w:rFonts w:ascii="Times New Roman" w:hAnsi="Times New Roman" w:eastAsia="Times New Roman" w:cs="Times New Roman"/>
          <w:sz w:val="18"/>
          <w:szCs w:val="18"/>
        </w:rPr>
      </w:pPr>
      <w:r>
        <w:rPr>
          <w:rFonts w:ascii="宋体" w:hAnsi="宋体" w:eastAsia="宋体" w:cs="宋体"/>
          <w:spacing w:val="-2"/>
          <w:sz w:val="18"/>
          <w:szCs w:val="18"/>
        </w:rPr>
        <w:t>现场试验</w:t>
      </w:r>
      <w:r>
        <w:rPr>
          <w:rFonts w:ascii="宋体" w:hAnsi="宋体" w:eastAsia="宋体" w:cs="宋体"/>
          <w:spacing w:val="93"/>
          <w:sz w:val="18"/>
          <w:szCs w:val="18"/>
        </w:rPr>
        <w:t xml:space="preserve"> </w:t>
      </w:r>
      <w:r>
        <w:rPr>
          <w:rFonts w:ascii="Times New Roman" w:hAnsi="Times New Roman" w:eastAsia="Times New Roman" w:cs="Times New Roman"/>
          <w:spacing w:val="-2"/>
          <w:sz w:val="18"/>
          <w:szCs w:val="18"/>
        </w:rPr>
        <w:t>field</w:t>
      </w:r>
      <w:r>
        <w:rPr>
          <w:rFonts w:ascii="Times New Roman" w:hAnsi="Times New Roman" w:eastAsia="Times New Roman" w:cs="Times New Roman"/>
          <w:spacing w:val="18"/>
          <w:sz w:val="18"/>
          <w:szCs w:val="18"/>
        </w:rPr>
        <w:t xml:space="preserve">  </w:t>
      </w:r>
      <w:r>
        <w:rPr>
          <w:rFonts w:ascii="Times New Roman" w:hAnsi="Times New Roman" w:eastAsia="Times New Roman" w:cs="Times New Roman"/>
          <w:spacing w:val="-2"/>
          <w:sz w:val="18"/>
          <w:szCs w:val="18"/>
        </w:rPr>
        <w:t>trial   85</w:t>
      </w:r>
    </w:p>
    <w:p w14:paraId="51C19E4B">
      <w:pPr>
        <w:spacing w:before="149" w:line="331" w:lineRule="auto"/>
        <w:ind w:left="9"/>
        <w:rPr>
          <w:rFonts w:ascii="Times New Roman" w:hAnsi="Times New Roman" w:eastAsia="Times New Roman" w:cs="Times New Roman"/>
          <w:sz w:val="18"/>
          <w:szCs w:val="18"/>
        </w:rPr>
      </w:pPr>
      <w:r>
        <w:rPr>
          <w:rFonts w:ascii="宋体" w:hAnsi="宋体" w:eastAsia="宋体" w:cs="宋体"/>
          <w:spacing w:val="-3"/>
          <w:sz w:val="18"/>
          <w:szCs w:val="18"/>
        </w:rPr>
        <w:t>现患病例-新发病例偏倚</w:t>
      </w:r>
      <w:r>
        <w:rPr>
          <w:rFonts w:ascii="宋体" w:hAnsi="宋体" w:eastAsia="宋体" w:cs="宋体"/>
          <w:spacing w:val="71"/>
          <w:sz w:val="18"/>
          <w:szCs w:val="18"/>
        </w:rPr>
        <w:t xml:space="preserve"> </w:t>
      </w:r>
      <w:r>
        <w:rPr>
          <w:rFonts w:ascii="宋体" w:hAnsi="宋体" w:eastAsia="宋体" w:cs="宋体"/>
          <w:spacing w:val="-3"/>
          <w:sz w:val="18"/>
          <w:szCs w:val="18"/>
        </w:rPr>
        <w:t>prevalence-incidence b</w:t>
      </w:r>
      <w:r>
        <w:rPr>
          <w:rFonts w:ascii="宋体" w:hAnsi="宋体" w:eastAsia="宋体" w:cs="宋体"/>
          <w:spacing w:val="-4"/>
          <w:sz w:val="18"/>
          <w:szCs w:val="18"/>
        </w:rPr>
        <w:t>ias 79</w:t>
      </w:r>
      <w:r>
        <w:rPr>
          <w:rFonts w:ascii="宋体" w:hAnsi="宋体" w:eastAsia="宋体" w:cs="宋体"/>
          <w:sz w:val="18"/>
          <w:szCs w:val="18"/>
        </w:rPr>
        <w:t xml:space="preserve"> </w:t>
      </w:r>
      <w:r>
        <w:rPr>
          <w:rFonts w:ascii="宋体" w:hAnsi="宋体" w:eastAsia="宋体" w:cs="宋体"/>
          <w:spacing w:val="1"/>
          <w:sz w:val="18"/>
          <w:szCs w:val="18"/>
        </w:rPr>
        <w:t>相对危险度</w:t>
      </w:r>
      <w:r>
        <w:rPr>
          <w:rFonts w:ascii="宋体" w:hAnsi="宋体" w:eastAsia="宋体" w:cs="宋体"/>
          <w:spacing w:val="54"/>
          <w:sz w:val="18"/>
          <w:szCs w:val="18"/>
        </w:rPr>
        <w:t xml:space="preserve"> </w:t>
      </w:r>
      <w:r>
        <w:rPr>
          <w:rFonts w:ascii="Times New Roman" w:hAnsi="Times New Roman" w:eastAsia="Times New Roman" w:cs="Times New Roman"/>
          <w:sz w:val="18"/>
          <w:szCs w:val="18"/>
        </w:rPr>
        <w:t>relative</w:t>
      </w:r>
      <w:r>
        <w:rPr>
          <w:rFonts w:ascii="Times New Roman" w:hAnsi="Times New Roman" w:eastAsia="Times New Roman" w:cs="Times New Roman"/>
          <w:spacing w:val="8"/>
          <w:sz w:val="18"/>
          <w:szCs w:val="18"/>
        </w:rPr>
        <w:t xml:space="preserve">   </w:t>
      </w:r>
      <w:r>
        <w:rPr>
          <w:rFonts w:ascii="Times New Roman" w:hAnsi="Times New Roman" w:eastAsia="Times New Roman" w:cs="Times New Roman"/>
          <w:sz w:val="18"/>
          <w:szCs w:val="18"/>
        </w:rPr>
        <w:t>risk</w:t>
      </w:r>
      <w:r>
        <w:rPr>
          <w:rFonts w:ascii="Times New Roman" w:hAnsi="Times New Roman" w:eastAsia="Times New Roman" w:cs="Times New Roman"/>
          <w:spacing w:val="1"/>
          <w:sz w:val="18"/>
          <w:szCs w:val="18"/>
        </w:rPr>
        <w:t>,</w:t>
      </w:r>
      <w:r>
        <w:rPr>
          <w:rFonts w:ascii="Times New Roman" w:hAnsi="Times New Roman" w:eastAsia="Times New Roman" w:cs="Times New Roman"/>
          <w:sz w:val="18"/>
          <w:szCs w:val="18"/>
        </w:rPr>
        <w:t>RR</w:t>
      </w:r>
      <w:r>
        <w:rPr>
          <w:rFonts w:ascii="Times New Roman" w:hAnsi="Times New Roman" w:eastAsia="Times New Roman" w:cs="Times New Roman"/>
          <w:spacing w:val="10"/>
          <w:sz w:val="18"/>
          <w:szCs w:val="18"/>
        </w:rPr>
        <w:t xml:space="preserve">   </w:t>
      </w:r>
      <w:r>
        <w:rPr>
          <w:rFonts w:ascii="Times New Roman" w:hAnsi="Times New Roman" w:eastAsia="Times New Roman" w:cs="Times New Roman"/>
          <w:spacing w:val="1"/>
          <w:sz w:val="18"/>
          <w:szCs w:val="18"/>
        </w:rPr>
        <w:t>57</w:t>
      </w:r>
    </w:p>
    <w:p w14:paraId="303EAF03">
      <w:pPr>
        <w:spacing w:before="21" w:line="220" w:lineRule="auto"/>
        <w:ind w:left="9"/>
        <w:rPr>
          <w:rFonts w:ascii="Times New Roman" w:hAnsi="Times New Roman" w:eastAsia="Times New Roman" w:cs="Times New Roman"/>
          <w:sz w:val="18"/>
          <w:szCs w:val="18"/>
        </w:rPr>
      </w:pPr>
      <w:r>
        <w:rPr>
          <w:rFonts w:ascii="宋体" w:hAnsi="宋体" w:eastAsia="宋体" w:cs="宋体"/>
          <w:spacing w:val="-2"/>
          <w:sz w:val="18"/>
          <w:szCs w:val="18"/>
        </w:rPr>
        <w:t>相关关系</w:t>
      </w:r>
      <w:r>
        <w:rPr>
          <w:rFonts w:ascii="宋体" w:hAnsi="宋体" w:eastAsia="宋体" w:cs="宋体"/>
          <w:spacing w:val="95"/>
          <w:sz w:val="18"/>
          <w:szCs w:val="18"/>
        </w:rPr>
        <w:t xml:space="preserve"> </w:t>
      </w:r>
      <w:r>
        <w:rPr>
          <w:rFonts w:ascii="Times New Roman" w:hAnsi="Times New Roman" w:eastAsia="Times New Roman" w:cs="Times New Roman"/>
          <w:spacing w:val="-2"/>
          <w:sz w:val="18"/>
          <w:szCs w:val="18"/>
        </w:rPr>
        <w:t>correlation     119</w:t>
      </w:r>
    </w:p>
    <w:p w14:paraId="2E4F5FDA">
      <w:pPr>
        <w:spacing w:before="104" w:line="212" w:lineRule="auto"/>
        <w:ind w:left="9"/>
        <w:rPr>
          <w:rFonts w:ascii="Times New Roman" w:hAnsi="Times New Roman" w:eastAsia="Times New Roman" w:cs="Times New Roman"/>
          <w:sz w:val="18"/>
          <w:szCs w:val="18"/>
        </w:rPr>
      </w:pPr>
      <w:r>
        <w:rPr>
          <w:rFonts w:ascii="宋体" w:hAnsi="宋体" w:eastAsia="宋体" w:cs="宋体"/>
          <w:spacing w:val="-1"/>
          <w:sz w:val="18"/>
          <w:szCs w:val="18"/>
        </w:rPr>
        <w:t>向均数回归</w:t>
      </w:r>
      <w:r>
        <w:rPr>
          <w:rFonts w:ascii="宋体" w:hAnsi="宋体" w:eastAsia="宋体" w:cs="宋体"/>
          <w:spacing w:val="79"/>
          <w:sz w:val="18"/>
          <w:szCs w:val="18"/>
        </w:rPr>
        <w:t xml:space="preserve"> </w:t>
      </w:r>
      <w:r>
        <w:rPr>
          <w:rFonts w:ascii="Times New Roman" w:hAnsi="Times New Roman" w:eastAsia="Times New Roman" w:cs="Times New Roman"/>
          <w:spacing w:val="-1"/>
          <w:sz w:val="18"/>
          <w:szCs w:val="18"/>
        </w:rPr>
        <w:t>regression</w:t>
      </w:r>
      <w:r>
        <w:rPr>
          <w:rFonts w:ascii="Times New Roman" w:hAnsi="Times New Roman" w:eastAsia="Times New Roman" w:cs="Times New Roman"/>
          <w:spacing w:val="43"/>
          <w:sz w:val="18"/>
          <w:szCs w:val="18"/>
        </w:rPr>
        <w:t xml:space="preserve"> </w:t>
      </w:r>
      <w:r>
        <w:rPr>
          <w:rFonts w:ascii="Times New Roman" w:hAnsi="Times New Roman" w:eastAsia="Times New Roman" w:cs="Times New Roman"/>
          <w:spacing w:val="-1"/>
          <w:sz w:val="18"/>
          <w:szCs w:val="18"/>
        </w:rPr>
        <w:t>to</w:t>
      </w:r>
      <w:r>
        <w:rPr>
          <w:rFonts w:ascii="Times New Roman" w:hAnsi="Times New Roman" w:eastAsia="Times New Roman" w:cs="Times New Roman"/>
          <w:spacing w:val="43"/>
          <w:sz w:val="18"/>
          <w:szCs w:val="18"/>
        </w:rPr>
        <w:t xml:space="preserve"> </w:t>
      </w:r>
      <w:r>
        <w:rPr>
          <w:rFonts w:ascii="Times New Roman" w:hAnsi="Times New Roman" w:eastAsia="Times New Roman" w:cs="Times New Roman"/>
          <w:spacing w:val="-1"/>
          <w:sz w:val="18"/>
          <w:szCs w:val="18"/>
        </w:rPr>
        <w:t>the</w:t>
      </w:r>
      <w:r>
        <w:rPr>
          <w:rFonts w:ascii="Times New Roman" w:hAnsi="Times New Roman" w:eastAsia="Times New Roman" w:cs="Times New Roman"/>
          <w:spacing w:val="43"/>
          <w:sz w:val="18"/>
          <w:szCs w:val="18"/>
        </w:rPr>
        <w:t xml:space="preserve"> </w:t>
      </w:r>
      <w:r>
        <w:rPr>
          <w:rFonts w:ascii="Times New Roman" w:hAnsi="Times New Roman" w:eastAsia="Times New Roman" w:cs="Times New Roman"/>
          <w:spacing w:val="-1"/>
          <w:sz w:val="18"/>
          <w:szCs w:val="18"/>
        </w:rPr>
        <w:t>mean  91</w:t>
      </w:r>
    </w:p>
    <w:sdt>
      <w:sdtPr>
        <w:rPr>
          <w:rFonts w:ascii="宋体" w:hAnsi="宋体" w:eastAsia="宋体" w:cs="宋体"/>
          <w:sz w:val="18"/>
          <w:szCs w:val="18"/>
        </w:rPr>
        <w:id w:val="829962261"/>
        <w:docPartObj>
          <w:docPartGallery w:val="Table of Contents"/>
          <w:docPartUnique/>
        </w:docPartObj>
      </w:sdtPr>
      <w:sdtEndPr>
        <w:rPr>
          <w:rFonts w:ascii="Times New Roman" w:hAnsi="Times New Roman" w:eastAsia="Times New Roman" w:cs="Times New Roman"/>
          <w:sz w:val="18"/>
          <w:szCs w:val="18"/>
        </w:rPr>
      </w:sdtEndPr>
      <w:sdtContent>
        <w:p w14:paraId="23A36369">
          <w:pPr>
            <w:spacing w:before="145" w:line="219" w:lineRule="auto"/>
            <w:ind w:left="9"/>
            <w:rPr>
              <w:rFonts w:ascii="Times New Roman" w:hAnsi="Times New Roman" w:eastAsia="Times New Roman" w:cs="Times New Roman"/>
              <w:sz w:val="18"/>
              <w:szCs w:val="18"/>
            </w:rPr>
          </w:pPr>
          <w:r>
            <w:rPr>
              <w:rFonts w:ascii="宋体" w:hAnsi="宋体" w:eastAsia="宋体" w:cs="宋体"/>
              <w:spacing w:val="-1"/>
              <w:sz w:val="18"/>
              <w:szCs w:val="18"/>
            </w:rPr>
            <w:t>消除</w:t>
          </w:r>
          <w:r>
            <w:rPr>
              <w:rFonts w:ascii="宋体" w:hAnsi="宋体" w:eastAsia="宋体" w:cs="宋体"/>
              <w:spacing w:val="63"/>
              <w:sz w:val="18"/>
              <w:szCs w:val="18"/>
            </w:rPr>
            <w:t xml:space="preserve"> </w:t>
          </w:r>
          <w:r>
            <w:rPr>
              <w:rFonts w:ascii="Times New Roman" w:hAnsi="Times New Roman" w:eastAsia="Times New Roman" w:cs="Times New Roman"/>
              <w:spacing w:val="-1"/>
              <w:sz w:val="18"/>
              <w:szCs w:val="18"/>
            </w:rPr>
            <w:t>elimination</w:t>
          </w:r>
          <w:r>
            <w:rPr>
              <w:rFonts w:ascii="Times New Roman" w:hAnsi="Times New Roman" w:eastAsia="Times New Roman" w:cs="Times New Roman"/>
              <w:spacing w:val="6"/>
              <w:sz w:val="18"/>
              <w:szCs w:val="18"/>
            </w:rPr>
            <w:t xml:space="preserve">    </w:t>
          </w:r>
          <w:r>
            <w:fldChar w:fldCharType="begin"/>
          </w:r>
          <w:r>
            <w:instrText xml:space="preserve"> HYPERLINK \l "bookmark713" </w:instrText>
          </w:r>
          <w:r>
            <w:fldChar w:fldCharType="separate"/>
          </w:r>
          <w:r>
            <w:rPr>
              <w:rFonts w:ascii="Times New Roman" w:hAnsi="Times New Roman" w:eastAsia="Times New Roman" w:cs="Times New Roman"/>
              <w:spacing w:val="-1"/>
              <w:sz w:val="18"/>
              <w:szCs w:val="18"/>
            </w:rPr>
            <w:t>139</w:t>
          </w:r>
          <w:r>
            <w:rPr>
              <w:rFonts w:ascii="Times New Roman" w:hAnsi="Times New Roman" w:eastAsia="Times New Roman" w:cs="Times New Roman"/>
              <w:spacing w:val="-1"/>
              <w:sz w:val="18"/>
              <w:szCs w:val="18"/>
            </w:rPr>
            <w:fldChar w:fldCharType="end"/>
          </w:r>
        </w:p>
        <w:p w14:paraId="6B379B04">
          <w:pPr>
            <w:spacing w:before="116" w:line="219" w:lineRule="auto"/>
            <w:ind w:left="9"/>
            <w:rPr>
              <w:rFonts w:ascii="Times New Roman" w:hAnsi="Times New Roman" w:eastAsia="Times New Roman" w:cs="Times New Roman"/>
              <w:sz w:val="18"/>
              <w:szCs w:val="18"/>
            </w:rPr>
          </w:pPr>
          <w:r>
            <w:rPr>
              <w:rFonts w:ascii="宋体" w:hAnsi="宋体" w:eastAsia="宋体" w:cs="宋体"/>
              <w:spacing w:val="-1"/>
              <w:sz w:val="18"/>
              <w:szCs w:val="18"/>
            </w:rPr>
            <w:t>消毒</w:t>
          </w:r>
          <w:r>
            <w:rPr>
              <w:rFonts w:ascii="宋体" w:hAnsi="宋体" w:eastAsia="宋体" w:cs="宋体"/>
              <w:spacing w:val="74"/>
              <w:w w:val="101"/>
              <w:sz w:val="18"/>
              <w:szCs w:val="18"/>
            </w:rPr>
            <w:t xml:space="preserve"> </w:t>
          </w:r>
          <w:r>
            <w:rPr>
              <w:rFonts w:ascii="Times New Roman" w:hAnsi="Times New Roman" w:eastAsia="Times New Roman" w:cs="Times New Roman"/>
              <w:spacing w:val="-1"/>
              <w:sz w:val="18"/>
              <w:szCs w:val="18"/>
            </w:rPr>
            <w:t>disinfection</w:t>
          </w:r>
          <w:r>
            <w:rPr>
              <w:rFonts w:ascii="Times New Roman" w:hAnsi="Times New Roman" w:eastAsia="Times New Roman" w:cs="Times New Roman"/>
              <w:spacing w:val="4"/>
              <w:sz w:val="18"/>
              <w:szCs w:val="18"/>
            </w:rPr>
            <w:t xml:space="preserve">    </w:t>
          </w:r>
          <w:r>
            <w:fldChar w:fldCharType="begin"/>
          </w:r>
          <w:r>
            <w:instrText xml:space="preserve"> HYPERLINK \l "bookmark714" </w:instrText>
          </w:r>
          <w:r>
            <w:fldChar w:fldCharType="separate"/>
          </w:r>
          <w:r>
            <w:rPr>
              <w:rFonts w:ascii="Times New Roman" w:hAnsi="Times New Roman" w:eastAsia="Times New Roman" w:cs="Times New Roman"/>
              <w:spacing w:val="-1"/>
              <w:sz w:val="18"/>
              <w:szCs w:val="18"/>
            </w:rPr>
            <w:t>179</w:t>
          </w:r>
          <w:r>
            <w:rPr>
              <w:rFonts w:ascii="Times New Roman" w:hAnsi="Times New Roman" w:eastAsia="Times New Roman" w:cs="Times New Roman"/>
              <w:spacing w:val="-1"/>
              <w:sz w:val="18"/>
              <w:szCs w:val="18"/>
            </w:rPr>
            <w:fldChar w:fldCharType="end"/>
          </w:r>
        </w:p>
        <w:p w14:paraId="41630034">
          <w:pPr>
            <w:spacing w:before="96" w:line="212" w:lineRule="auto"/>
            <w:ind w:left="9"/>
            <w:rPr>
              <w:rFonts w:ascii="Times New Roman" w:hAnsi="Times New Roman" w:eastAsia="Times New Roman" w:cs="Times New Roman"/>
              <w:sz w:val="18"/>
              <w:szCs w:val="18"/>
            </w:rPr>
          </w:pPr>
          <w:r>
            <w:rPr>
              <w:rFonts w:ascii="宋体" w:hAnsi="宋体" w:eastAsia="宋体" w:cs="宋体"/>
              <w:sz w:val="18"/>
              <w:szCs w:val="18"/>
            </w:rPr>
            <w:t>消毒学</w:t>
          </w:r>
          <w:r>
            <w:rPr>
              <w:rFonts w:ascii="宋体" w:hAnsi="宋体" w:eastAsia="宋体" w:cs="宋体"/>
              <w:spacing w:val="70"/>
              <w:sz w:val="18"/>
              <w:szCs w:val="18"/>
            </w:rPr>
            <w:t xml:space="preserve"> </w:t>
          </w:r>
          <w:r>
            <w:rPr>
              <w:rFonts w:ascii="Times New Roman" w:hAnsi="Times New Roman" w:eastAsia="Times New Roman" w:cs="Times New Roman"/>
              <w:sz w:val="18"/>
              <w:szCs w:val="18"/>
            </w:rPr>
            <w:t>disinfectionology</w:t>
          </w:r>
          <w:r>
            <w:rPr>
              <w:rFonts w:ascii="Times New Roman" w:hAnsi="Times New Roman" w:eastAsia="Times New Roman" w:cs="Times New Roman"/>
              <w:spacing w:val="14"/>
              <w:w w:val="101"/>
              <w:sz w:val="18"/>
              <w:szCs w:val="18"/>
            </w:rPr>
            <w:t xml:space="preserve">   </w:t>
          </w:r>
          <w:r>
            <w:fldChar w:fldCharType="begin"/>
          </w:r>
          <w:r>
            <w:instrText xml:space="preserve"> HYPERLINK \l "bookmark715" </w:instrText>
          </w:r>
          <w:r>
            <w:fldChar w:fldCharType="separate"/>
          </w:r>
          <w:r>
            <w:rPr>
              <w:rFonts w:ascii="Times New Roman" w:hAnsi="Times New Roman" w:eastAsia="Times New Roman" w:cs="Times New Roman"/>
              <w:spacing w:val="-1"/>
              <w:sz w:val="18"/>
              <w:szCs w:val="18"/>
            </w:rPr>
            <w:t>178</w:t>
          </w:r>
          <w:r>
            <w:rPr>
              <w:rFonts w:ascii="Times New Roman" w:hAnsi="Times New Roman" w:eastAsia="Times New Roman" w:cs="Times New Roman"/>
              <w:spacing w:val="-1"/>
              <w:sz w:val="18"/>
              <w:szCs w:val="18"/>
            </w:rPr>
            <w:fldChar w:fldCharType="end"/>
          </w:r>
        </w:p>
        <w:p w14:paraId="462AA436">
          <w:pPr>
            <w:spacing w:before="145" w:line="221" w:lineRule="auto"/>
            <w:ind w:left="9"/>
            <w:rPr>
              <w:rFonts w:ascii="Times New Roman" w:hAnsi="Times New Roman" w:eastAsia="Times New Roman" w:cs="Times New Roman"/>
              <w:sz w:val="18"/>
              <w:szCs w:val="18"/>
            </w:rPr>
          </w:pPr>
          <w:r>
            <w:rPr>
              <w:rFonts w:ascii="宋体" w:hAnsi="宋体" w:eastAsia="宋体" w:cs="宋体"/>
              <w:spacing w:val="-1"/>
              <w:sz w:val="18"/>
              <w:szCs w:val="18"/>
            </w:rPr>
            <w:t>消灭</w:t>
          </w:r>
          <w:r>
            <w:rPr>
              <w:rFonts w:ascii="宋体" w:hAnsi="宋体" w:eastAsia="宋体" w:cs="宋体"/>
              <w:spacing w:val="73"/>
              <w:sz w:val="18"/>
              <w:szCs w:val="18"/>
            </w:rPr>
            <w:t xml:space="preserve"> </w:t>
          </w:r>
          <w:r>
            <w:rPr>
              <w:rFonts w:ascii="Times New Roman" w:hAnsi="Times New Roman" w:eastAsia="Times New Roman" w:cs="Times New Roman"/>
              <w:spacing w:val="-1"/>
              <w:sz w:val="18"/>
              <w:szCs w:val="18"/>
            </w:rPr>
            <w:t>eradication</w:t>
          </w:r>
          <w:r>
            <w:rPr>
              <w:rFonts w:ascii="Times New Roman" w:hAnsi="Times New Roman" w:eastAsia="Times New Roman" w:cs="Times New Roman"/>
              <w:spacing w:val="9"/>
              <w:sz w:val="18"/>
              <w:szCs w:val="18"/>
            </w:rPr>
            <w:t xml:space="preserve">    </w:t>
          </w:r>
          <w:r>
            <w:fldChar w:fldCharType="begin"/>
          </w:r>
          <w:r>
            <w:instrText xml:space="preserve"> HYPERLINK \l "bookmark716" </w:instrText>
          </w:r>
          <w:r>
            <w:fldChar w:fldCharType="separate"/>
          </w:r>
          <w:r>
            <w:rPr>
              <w:rFonts w:ascii="Times New Roman" w:hAnsi="Times New Roman" w:eastAsia="Times New Roman" w:cs="Times New Roman"/>
              <w:spacing w:val="-1"/>
              <w:sz w:val="18"/>
              <w:szCs w:val="18"/>
            </w:rPr>
            <w:t>139</w:t>
          </w:r>
          <w:r>
            <w:rPr>
              <w:rFonts w:ascii="Times New Roman" w:hAnsi="Times New Roman" w:eastAsia="Times New Roman" w:cs="Times New Roman"/>
              <w:spacing w:val="-1"/>
              <w:sz w:val="18"/>
              <w:szCs w:val="18"/>
            </w:rPr>
            <w:fldChar w:fldCharType="end"/>
          </w:r>
        </w:p>
      </w:sdtContent>
    </w:sdt>
    <w:p w14:paraId="73637606">
      <w:pPr>
        <w:spacing w:before="101" w:line="212" w:lineRule="auto"/>
        <w:ind w:left="9"/>
        <w:rPr>
          <w:rFonts w:ascii="Times New Roman" w:hAnsi="Times New Roman" w:eastAsia="Times New Roman" w:cs="Times New Roman"/>
          <w:sz w:val="18"/>
          <w:szCs w:val="18"/>
        </w:rPr>
      </w:pPr>
      <w:r>
        <w:rPr>
          <w:rFonts w:ascii="宋体" w:hAnsi="宋体" w:eastAsia="宋体" w:cs="宋体"/>
          <w:spacing w:val="1"/>
          <w:sz w:val="18"/>
          <w:szCs w:val="18"/>
        </w:rPr>
        <w:t>效果</w:t>
      </w:r>
      <w:r>
        <w:rPr>
          <w:rFonts w:ascii="宋体" w:hAnsi="宋体" w:eastAsia="宋体" w:cs="宋体"/>
          <w:spacing w:val="79"/>
          <w:sz w:val="18"/>
          <w:szCs w:val="18"/>
        </w:rPr>
        <w:t xml:space="preserve"> </w:t>
      </w:r>
      <w:r>
        <w:rPr>
          <w:rFonts w:ascii="Times New Roman" w:hAnsi="Times New Roman" w:eastAsia="Times New Roman" w:cs="Times New Roman"/>
          <w:sz w:val="18"/>
          <w:szCs w:val="18"/>
        </w:rPr>
        <w:t>effectiveness</w:t>
      </w:r>
      <w:r>
        <w:rPr>
          <w:rFonts w:ascii="Times New Roman" w:hAnsi="Times New Roman" w:eastAsia="Times New Roman" w:cs="Times New Roman"/>
          <w:spacing w:val="1"/>
          <w:sz w:val="18"/>
          <w:szCs w:val="18"/>
        </w:rPr>
        <w:t xml:space="preserve">     95,115</w:t>
      </w:r>
    </w:p>
    <w:p w14:paraId="1DC05E5F">
      <w:pPr>
        <w:spacing w:before="164" w:line="212" w:lineRule="auto"/>
        <w:ind w:left="9"/>
        <w:rPr>
          <w:rFonts w:ascii="Times New Roman" w:hAnsi="Times New Roman" w:eastAsia="Times New Roman" w:cs="Times New Roman"/>
          <w:sz w:val="18"/>
          <w:szCs w:val="18"/>
        </w:rPr>
      </w:pPr>
      <w:r>
        <w:rPr>
          <w:rFonts w:ascii="宋体" w:hAnsi="宋体" w:eastAsia="宋体" w:cs="宋体"/>
          <w:spacing w:val="3"/>
          <w:sz w:val="18"/>
          <w:szCs w:val="18"/>
        </w:rPr>
        <w:t>效果指数</w:t>
      </w:r>
      <w:r>
        <w:rPr>
          <w:rFonts w:ascii="宋体" w:hAnsi="宋体" w:eastAsia="宋体" w:cs="宋体"/>
          <w:spacing w:val="68"/>
          <w:w w:val="101"/>
          <w:sz w:val="18"/>
          <w:szCs w:val="18"/>
        </w:rPr>
        <w:t xml:space="preserve"> </w:t>
      </w:r>
      <w:r>
        <w:rPr>
          <w:rFonts w:ascii="Times New Roman" w:hAnsi="Times New Roman" w:eastAsia="Times New Roman" w:cs="Times New Roman"/>
          <w:sz w:val="18"/>
          <w:szCs w:val="18"/>
        </w:rPr>
        <w:t>index</w:t>
      </w:r>
      <w:r>
        <w:rPr>
          <w:rFonts w:ascii="Times New Roman" w:hAnsi="Times New Roman" w:eastAsia="Times New Roman" w:cs="Times New Roman"/>
          <w:spacing w:val="18"/>
          <w:sz w:val="18"/>
          <w:szCs w:val="18"/>
        </w:rPr>
        <w:t xml:space="preserve">  </w:t>
      </w:r>
      <w:r>
        <w:rPr>
          <w:rFonts w:ascii="Times New Roman" w:hAnsi="Times New Roman" w:eastAsia="Times New Roman" w:cs="Times New Roman"/>
          <w:sz w:val="18"/>
          <w:szCs w:val="18"/>
        </w:rPr>
        <w:t>of</w:t>
      </w:r>
      <w:r>
        <w:rPr>
          <w:rFonts w:ascii="Times New Roman" w:hAnsi="Times New Roman" w:eastAsia="Times New Roman" w:cs="Times New Roman"/>
          <w:spacing w:val="3"/>
          <w:sz w:val="18"/>
          <w:szCs w:val="18"/>
        </w:rPr>
        <w:t xml:space="preserve">  </w:t>
      </w:r>
      <w:r>
        <w:rPr>
          <w:rFonts w:ascii="Times New Roman" w:hAnsi="Times New Roman" w:eastAsia="Times New Roman" w:cs="Times New Roman"/>
          <w:sz w:val="18"/>
          <w:szCs w:val="18"/>
        </w:rPr>
        <w:t>effectiveness</w:t>
      </w:r>
      <w:r>
        <w:rPr>
          <w:rFonts w:ascii="Times New Roman" w:hAnsi="Times New Roman" w:eastAsia="Times New Roman" w:cs="Times New Roman"/>
          <w:spacing w:val="3"/>
          <w:sz w:val="18"/>
          <w:szCs w:val="18"/>
        </w:rPr>
        <w:t>,</w:t>
      </w:r>
      <w:r>
        <w:rPr>
          <w:rFonts w:ascii="Times New Roman" w:hAnsi="Times New Roman" w:eastAsia="Times New Roman" w:cs="Times New Roman"/>
          <w:sz w:val="18"/>
          <w:szCs w:val="18"/>
        </w:rPr>
        <w:t>IE</w:t>
      </w:r>
      <w:r>
        <w:rPr>
          <w:rFonts w:ascii="Times New Roman" w:hAnsi="Times New Roman" w:eastAsia="Times New Roman" w:cs="Times New Roman"/>
          <w:spacing w:val="3"/>
          <w:sz w:val="18"/>
          <w:szCs w:val="18"/>
        </w:rPr>
        <w:t xml:space="preserve">   97</w:t>
      </w:r>
    </w:p>
    <w:p w14:paraId="1B0D419F">
      <w:pPr>
        <w:spacing w:before="114" w:line="198" w:lineRule="auto"/>
        <w:ind w:left="9"/>
        <w:rPr>
          <w:rFonts w:ascii="Times New Roman" w:hAnsi="Times New Roman" w:eastAsia="Times New Roman" w:cs="Times New Roman"/>
          <w:sz w:val="18"/>
          <w:szCs w:val="18"/>
        </w:rPr>
      </w:pPr>
      <w:r>
        <w:rPr>
          <w:rFonts w:ascii="宋体" w:hAnsi="宋体" w:eastAsia="宋体" w:cs="宋体"/>
          <w:spacing w:val="3"/>
          <w:sz w:val="18"/>
          <w:szCs w:val="18"/>
        </w:rPr>
        <w:t>效力</w:t>
      </w:r>
      <w:r>
        <w:rPr>
          <w:rFonts w:ascii="宋体" w:hAnsi="宋体" w:eastAsia="宋体" w:cs="宋体"/>
          <w:spacing w:val="75"/>
          <w:sz w:val="18"/>
          <w:szCs w:val="18"/>
        </w:rPr>
        <w:t xml:space="preserve"> </w:t>
      </w:r>
      <w:r>
        <w:rPr>
          <w:rFonts w:ascii="Times New Roman" w:hAnsi="Times New Roman" w:eastAsia="Times New Roman" w:cs="Times New Roman"/>
          <w:sz w:val="18"/>
          <w:szCs w:val="18"/>
        </w:rPr>
        <w:t>efficacy</w:t>
      </w:r>
      <w:r>
        <w:rPr>
          <w:rFonts w:ascii="Times New Roman" w:hAnsi="Times New Roman" w:eastAsia="Times New Roman" w:cs="Times New Roman"/>
          <w:spacing w:val="7"/>
          <w:sz w:val="18"/>
          <w:szCs w:val="18"/>
        </w:rPr>
        <w:t xml:space="preserve">    </w:t>
      </w:r>
      <w:r>
        <w:rPr>
          <w:rFonts w:ascii="Times New Roman" w:hAnsi="Times New Roman" w:eastAsia="Times New Roman" w:cs="Times New Roman"/>
          <w:spacing w:val="3"/>
          <w:sz w:val="18"/>
          <w:szCs w:val="18"/>
        </w:rPr>
        <w:t>95</w:t>
      </w:r>
    </w:p>
    <w:p w14:paraId="31EF56FF">
      <w:pPr>
        <w:spacing w:line="198" w:lineRule="auto"/>
        <w:rPr>
          <w:rFonts w:ascii="Times New Roman" w:hAnsi="Times New Roman" w:eastAsia="Times New Roman" w:cs="Times New Roman"/>
          <w:sz w:val="18"/>
          <w:szCs w:val="18"/>
        </w:rPr>
        <w:sectPr>
          <w:type w:val="continuous"/>
          <w:pgSz w:w="11900" w:h="16820"/>
          <w:pgMar w:top="400" w:right="1310" w:bottom="835" w:left="1259" w:header="0" w:footer="673" w:gutter="0"/>
          <w:cols w:equalWidth="0" w:num="2">
            <w:col w:w="4771" w:space="100"/>
            <w:col w:w="4460"/>
          </w:cols>
        </w:sectPr>
      </w:pPr>
    </w:p>
    <w:p w14:paraId="73FBD7B0">
      <w:pPr>
        <w:spacing w:line="365" w:lineRule="auto"/>
        <w:rPr>
          <w:rFonts w:ascii="Arial"/>
          <w:sz w:val="21"/>
        </w:rPr>
      </w:pPr>
    </w:p>
    <w:p w14:paraId="74808AE8">
      <w:pPr>
        <w:pStyle w:val="2"/>
        <w:spacing w:before="58" w:line="222" w:lineRule="auto"/>
        <w:ind w:left="7749"/>
        <w:rPr>
          <w:sz w:val="18"/>
          <w:szCs w:val="18"/>
        </w:rPr>
      </w:pPr>
      <w:r>
        <w:rPr>
          <w:spacing w:val="-15"/>
          <w:sz w:val="18"/>
          <w:szCs w:val="18"/>
        </w:rPr>
        <w:t>中英文名词对照索引</w:t>
      </w:r>
    </w:p>
    <w:p w14:paraId="2BEB62C0">
      <w:pPr>
        <w:spacing w:before="27"/>
      </w:pPr>
    </w:p>
    <w:p w14:paraId="5ACEE106">
      <w:pPr>
        <w:spacing w:before="26"/>
      </w:pPr>
    </w:p>
    <w:p w14:paraId="6C66FE52">
      <w:pPr>
        <w:sectPr>
          <w:footerReference r:id="rId394" w:type="default"/>
          <w:pgSz w:w="11900" w:h="16820"/>
          <w:pgMar w:top="400" w:right="1294" w:bottom="795" w:left="1289" w:header="0" w:footer="633" w:gutter="0"/>
          <w:cols w:equalWidth="0" w:num="1">
            <w:col w:w="9316"/>
          </w:cols>
        </w:sectPr>
      </w:pPr>
    </w:p>
    <w:sdt>
      <w:sdtPr>
        <w:rPr>
          <w:rFonts w:ascii="宋体" w:hAnsi="宋体" w:eastAsia="宋体" w:cs="宋体"/>
          <w:sz w:val="18"/>
          <w:szCs w:val="18"/>
        </w:rPr>
        <w:id w:val="62411940"/>
        <w:docPartObj>
          <w:docPartGallery w:val="Table of Contents"/>
          <w:docPartUnique/>
        </w:docPartObj>
      </w:sdtPr>
      <w:sdtEndPr>
        <w:rPr>
          <w:rFonts w:ascii="Times New Roman" w:hAnsi="Times New Roman" w:eastAsia="Times New Roman" w:cs="Times New Roman"/>
          <w:sz w:val="18"/>
          <w:szCs w:val="18"/>
        </w:rPr>
      </w:sdtEndPr>
      <w:sdtContent>
        <w:p w14:paraId="1D00A89F">
          <w:pPr>
            <w:spacing w:before="38" w:line="220" w:lineRule="auto"/>
            <w:rPr>
              <w:rFonts w:ascii="Times New Roman" w:hAnsi="Times New Roman" w:eastAsia="Times New Roman" w:cs="Times New Roman"/>
              <w:sz w:val="18"/>
              <w:szCs w:val="18"/>
            </w:rPr>
          </w:pPr>
          <w:r>
            <w:rPr>
              <w:rFonts w:ascii="宋体" w:hAnsi="宋体" w:eastAsia="宋体" w:cs="宋体"/>
              <w:spacing w:val="-3"/>
              <w:sz w:val="18"/>
              <w:szCs w:val="18"/>
            </w:rPr>
            <w:t>效</w:t>
          </w:r>
          <w:r>
            <w:rPr>
              <w:rFonts w:ascii="宋体" w:hAnsi="宋体" w:eastAsia="宋体" w:cs="宋体"/>
              <w:spacing w:val="-31"/>
              <w:sz w:val="18"/>
              <w:szCs w:val="18"/>
            </w:rPr>
            <w:t xml:space="preserve"> </w:t>
          </w:r>
          <w:r>
            <w:rPr>
              <w:rFonts w:ascii="宋体" w:hAnsi="宋体" w:eastAsia="宋体" w:cs="宋体"/>
              <w:spacing w:val="-3"/>
              <w:sz w:val="18"/>
              <w:szCs w:val="18"/>
            </w:rPr>
            <w:t>益</w:t>
          </w:r>
          <w:r>
            <w:rPr>
              <w:rFonts w:ascii="宋体" w:hAnsi="宋体" w:eastAsia="宋体" w:cs="宋体"/>
              <w:spacing w:val="81"/>
              <w:w w:val="101"/>
              <w:sz w:val="18"/>
              <w:szCs w:val="18"/>
            </w:rPr>
            <w:t xml:space="preserve"> </w:t>
          </w:r>
          <w:r>
            <w:rPr>
              <w:rFonts w:ascii="Times New Roman" w:hAnsi="Times New Roman" w:eastAsia="Times New Roman" w:cs="Times New Roman"/>
              <w:spacing w:val="-3"/>
              <w:sz w:val="18"/>
              <w:szCs w:val="18"/>
            </w:rPr>
            <w:t>benefit</w:t>
          </w:r>
          <w:r>
            <w:rPr>
              <w:rFonts w:ascii="Times New Roman" w:hAnsi="Times New Roman" w:eastAsia="Times New Roman" w:cs="Times New Roman"/>
              <w:spacing w:val="5"/>
              <w:sz w:val="18"/>
              <w:szCs w:val="18"/>
            </w:rPr>
            <w:t xml:space="preserve">     </w:t>
          </w:r>
          <w:r>
            <w:fldChar w:fldCharType="begin"/>
          </w:r>
          <w:r>
            <w:instrText xml:space="preserve"> HYPERLINK \l "bookmark717" </w:instrText>
          </w:r>
          <w:r>
            <w:fldChar w:fldCharType="separate"/>
          </w:r>
          <w:r>
            <w:rPr>
              <w:rFonts w:ascii="Times New Roman" w:hAnsi="Times New Roman" w:eastAsia="Times New Roman" w:cs="Times New Roman"/>
              <w:spacing w:val="-3"/>
              <w:sz w:val="18"/>
              <w:szCs w:val="18"/>
            </w:rPr>
            <w:t>115</w:t>
          </w:r>
          <w:r>
            <w:rPr>
              <w:rFonts w:ascii="Times New Roman" w:hAnsi="Times New Roman" w:eastAsia="Times New Roman" w:cs="Times New Roman"/>
              <w:spacing w:val="-3"/>
              <w:sz w:val="18"/>
              <w:szCs w:val="18"/>
            </w:rPr>
            <w:fldChar w:fldCharType="end"/>
          </w:r>
        </w:p>
        <w:p w14:paraId="3E219D97">
          <w:pPr>
            <w:spacing w:before="135" w:line="220" w:lineRule="auto"/>
            <w:rPr>
              <w:rFonts w:ascii="Times New Roman" w:hAnsi="Times New Roman" w:eastAsia="Times New Roman" w:cs="Times New Roman"/>
              <w:sz w:val="18"/>
              <w:szCs w:val="18"/>
            </w:rPr>
          </w:pPr>
          <w:r>
            <w:rPr>
              <w:rFonts w:ascii="宋体" w:hAnsi="宋体" w:eastAsia="宋体" w:cs="宋体"/>
              <w:spacing w:val="5"/>
              <w:sz w:val="18"/>
              <w:szCs w:val="18"/>
            </w:rPr>
            <w:t xml:space="preserve">效应生物标志  </w:t>
          </w:r>
          <w:r>
            <w:rPr>
              <w:rFonts w:ascii="Times New Roman" w:hAnsi="Times New Roman" w:eastAsia="Times New Roman" w:cs="Times New Roman"/>
              <w:sz w:val="18"/>
              <w:szCs w:val="18"/>
            </w:rPr>
            <w:t>effect</w:t>
          </w:r>
          <w:r>
            <w:rPr>
              <w:rFonts w:ascii="Times New Roman" w:hAnsi="Times New Roman" w:eastAsia="Times New Roman" w:cs="Times New Roman"/>
              <w:spacing w:val="21"/>
              <w:sz w:val="18"/>
              <w:szCs w:val="18"/>
            </w:rPr>
            <w:t xml:space="preserve">  </w:t>
          </w:r>
          <w:r>
            <w:rPr>
              <w:rFonts w:ascii="Times New Roman" w:hAnsi="Times New Roman" w:eastAsia="Times New Roman" w:cs="Times New Roman"/>
              <w:sz w:val="18"/>
              <w:szCs w:val="18"/>
            </w:rPr>
            <w:t>biomarker</w:t>
          </w:r>
          <w:r>
            <w:rPr>
              <w:rFonts w:ascii="Times New Roman" w:hAnsi="Times New Roman" w:eastAsia="Times New Roman" w:cs="Times New Roman"/>
              <w:spacing w:val="20"/>
              <w:w w:val="101"/>
              <w:sz w:val="18"/>
              <w:szCs w:val="18"/>
            </w:rPr>
            <w:t xml:space="preserve">  </w:t>
          </w:r>
          <w:r>
            <w:fldChar w:fldCharType="begin"/>
          </w:r>
          <w:r>
            <w:instrText xml:space="preserve"> HYPERLINK \l "bookmark718" </w:instrText>
          </w:r>
          <w:r>
            <w:fldChar w:fldCharType="separate"/>
          </w:r>
          <w:r>
            <w:rPr>
              <w:rFonts w:ascii="Times New Roman" w:hAnsi="Times New Roman" w:eastAsia="Times New Roman" w:cs="Times New Roman"/>
              <w:spacing w:val="5"/>
              <w:sz w:val="18"/>
              <w:szCs w:val="18"/>
            </w:rPr>
            <w:t>236</w:t>
          </w:r>
          <w:r>
            <w:rPr>
              <w:rFonts w:ascii="Times New Roman" w:hAnsi="Times New Roman" w:eastAsia="Times New Roman" w:cs="Times New Roman"/>
              <w:spacing w:val="5"/>
              <w:sz w:val="18"/>
              <w:szCs w:val="18"/>
            </w:rPr>
            <w:fldChar w:fldCharType="end"/>
          </w:r>
        </w:p>
        <w:p w14:paraId="6A88A349">
          <w:pPr>
            <w:spacing w:before="125" w:line="212" w:lineRule="auto"/>
            <w:rPr>
              <w:rFonts w:ascii="Times New Roman" w:hAnsi="Times New Roman" w:eastAsia="Times New Roman" w:cs="Times New Roman"/>
              <w:sz w:val="18"/>
              <w:szCs w:val="18"/>
            </w:rPr>
          </w:pPr>
          <w:r>
            <w:rPr>
              <w:rFonts w:ascii="宋体" w:hAnsi="宋体" w:eastAsia="宋体" w:cs="宋体"/>
              <w:spacing w:val="-3"/>
              <w:sz w:val="18"/>
              <w:szCs w:val="18"/>
            </w:rPr>
            <w:t>效</w:t>
          </w:r>
          <w:r>
            <w:rPr>
              <w:rFonts w:ascii="宋体" w:hAnsi="宋体" w:eastAsia="宋体" w:cs="宋体"/>
              <w:spacing w:val="-19"/>
              <w:sz w:val="18"/>
              <w:szCs w:val="18"/>
            </w:rPr>
            <w:t xml:space="preserve"> </w:t>
          </w:r>
          <w:r>
            <w:rPr>
              <w:rFonts w:ascii="宋体" w:hAnsi="宋体" w:eastAsia="宋体" w:cs="宋体"/>
              <w:spacing w:val="-3"/>
              <w:sz w:val="18"/>
              <w:szCs w:val="18"/>
            </w:rPr>
            <w:t>用</w:t>
          </w:r>
          <w:r>
            <w:rPr>
              <w:rFonts w:ascii="宋体" w:hAnsi="宋体" w:eastAsia="宋体" w:cs="宋体"/>
              <w:spacing w:val="69"/>
              <w:sz w:val="18"/>
              <w:szCs w:val="18"/>
            </w:rPr>
            <w:t xml:space="preserve"> </w:t>
          </w:r>
          <w:r>
            <w:rPr>
              <w:rFonts w:ascii="Times New Roman" w:hAnsi="Times New Roman" w:eastAsia="Times New Roman" w:cs="Times New Roman"/>
              <w:spacing w:val="-3"/>
              <w:sz w:val="18"/>
              <w:szCs w:val="18"/>
            </w:rPr>
            <w:t>utility</w:t>
          </w:r>
          <w:r>
            <w:rPr>
              <w:rFonts w:ascii="Times New Roman" w:hAnsi="Times New Roman" w:eastAsia="Times New Roman" w:cs="Times New Roman"/>
              <w:spacing w:val="5"/>
              <w:sz w:val="18"/>
              <w:szCs w:val="18"/>
            </w:rPr>
            <w:t xml:space="preserve">     </w:t>
          </w:r>
          <w:r>
            <w:fldChar w:fldCharType="begin"/>
          </w:r>
          <w:r>
            <w:instrText xml:space="preserve"> HYPERLINK \l "bookmark719" </w:instrText>
          </w:r>
          <w:r>
            <w:fldChar w:fldCharType="separate"/>
          </w:r>
          <w:r>
            <w:rPr>
              <w:rFonts w:ascii="Times New Roman" w:hAnsi="Times New Roman" w:eastAsia="Times New Roman" w:cs="Times New Roman"/>
              <w:spacing w:val="-3"/>
              <w:sz w:val="18"/>
              <w:szCs w:val="18"/>
            </w:rPr>
            <w:t>115</w:t>
          </w:r>
          <w:r>
            <w:rPr>
              <w:rFonts w:ascii="Times New Roman" w:hAnsi="Times New Roman" w:eastAsia="Times New Roman" w:cs="Times New Roman"/>
              <w:spacing w:val="-3"/>
              <w:sz w:val="18"/>
              <w:szCs w:val="18"/>
            </w:rPr>
            <w:fldChar w:fldCharType="end"/>
          </w:r>
        </w:p>
        <w:p w14:paraId="1A011ED4">
          <w:pPr>
            <w:spacing w:before="154" w:line="219" w:lineRule="auto"/>
            <w:rPr>
              <w:rFonts w:ascii="Times New Roman" w:hAnsi="Times New Roman" w:eastAsia="Times New Roman" w:cs="Times New Roman"/>
              <w:sz w:val="18"/>
              <w:szCs w:val="18"/>
            </w:rPr>
          </w:pPr>
          <w:r>
            <w:rPr>
              <w:rFonts w:ascii="宋体" w:hAnsi="宋体" w:eastAsia="宋体" w:cs="宋体"/>
              <w:spacing w:val="3"/>
              <w:sz w:val="18"/>
              <w:szCs w:val="18"/>
            </w:rPr>
            <w:t>心血管疾病</w:t>
          </w:r>
          <w:r>
            <w:rPr>
              <w:rFonts w:ascii="宋体" w:hAnsi="宋体" w:eastAsia="宋体" w:cs="宋体"/>
              <w:spacing w:val="96"/>
              <w:sz w:val="18"/>
              <w:szCs w:val="18"/>
            </w:rPr>
            <w:t xml:space="preserve"> </w:t>
          </w:r>
          <w:r>
            <w:rPr>
              <w:rFonts w:ascii="Times New Roman" w:hAnsi="Times New Roman" w:eastAsia="Times New Roman" w:cs="Times New Roman"/>
              <w:sz w:val="18"/>
              <w:szCs w:val="18"/>
            </w:rPr>
            <w:t>cardiovascular</w:t>
          </w:r>
          <w:r>
            <w:rPr>
              <w:rFonts w:ascii="Times New Roman" w:hAnsi="Times New Roman" w:eastAsia="Times New Roman" w:cs="Times New Roman"/>
              <w:spacing w:val="3"/>
              <w:sz w:val="18"/>
              <w:szCs w:val="18"/>
            </w:rPr>
            <w:t xml:space="preserve">   </w:t>
          </w:r>
          <w:r>
            <w:rPr>
              <w:rFonts w:ascii="Times New Roman" w:hAnsi="Times New Roman" w:eastAsia="Times New Roman" w:cs="Times New Roman"/>
              <w:sz w:val="18"/>
              <w:szCs w:val="18"/>
            </w:rPr>
            <w:t>disease</w:t>
          </w:r>
          <w:r>
            <w:rPr>
              <w:rFonts w:ascii="Times New Roman" w:hAnsi="Times New Roman" w:eastAsia="Times New Roman" w:cs="Times New Roman"/>
              <w:spacing w:val="8"/>
              <w:sz w:val="18"/>
              <w:szCs w:val="18"/>
            </w:rPr>
            <w:t xml:space="preserve">   </w:t>
          </w:r>
          <w:r>
            <w:fldChar w:fldCharType="begin"/>
          </w:r>
          <w:r>
            <w:instrText xml:space="preserve"> HYPERLINK \l "bookmark720" </w:instrText>
          </w:r>
          <w:r>
            <w:fldChar w:fldCharType="separate"/>
          </w:r>
          <w:r>
            <w:rPr>
              <w:rFonts w:ascii="Times New Roman" w:hAnsi="Times New Roman" w:eastAsia="Times New Roman" w:cs="Times New Roman"/>
              <w:spacing w:val="3"/>
              <w:sz w:val="18"/>
              <w:szCs w:val="18"/>
            </w:rPr>
            <w:t>190</w:t>
          </w:r>
          <w:r>
            <w:rPr>
              <w:rFonts w:ascii="Times New Roman" w:hAnsi="Times New Roman" w:eastAsia="Times New Roman" w:cs="Times New Roman"/>
              <w:spacing w:val="3"/>
              <w:sz w:val="18"/>
              <w:szCs w:val="18"/>
            </w:rPr>
            <w:fldChar w:fldCharType="end"/>
          </w:r>
        </w:p>
      </w:sdtContent>
    </w:sdt>
    <w:p w14:paraId="179DEC72">
      <w:pPr>
        <w:spacing w:before="95" w:line="212" w:lineRule="auto"/>
        <w:rPr>
          <w:rFonts w:ascii="Times New Roman" w:hAnsi="Times New Roman" w:eastAsia="Times New Roman" w:cs="Times New Roman"/>
          <w:sz w:val="18"/>
          <w:szCs w:val="18"/>
        </w:rPr>
      </w:pPr>
      <w:r>
        <w:rPr>
          <w:rFonts w:ascii="宋体" w:hAnsi="宋体" w:eastAsia="宋体" w:cs="宋体"/>
          <w:spacing w:val="2"/>
          <w:sz w:val="18"/>
          <w:szCs w:val="18"/>
        </w:rPr>
        <w:t>新发传染病</w:t>
      </w:r>
      <w:r>
        <w:rPr>
          <w:rFonts w:ascii="宋体" w:hAnsi="宋体" w:eastAsia="宋体" w:cs="宋体"/>
          <w:spacing w:val="83"/>
          <w:sz w:val="18"/>
          <w:szCs w:val="18"/>
        </w:rPr>
        <w:t xml:space="preserve"> </w:t>
      </w:r>
      <w:r>
        <w:rPr>
          <w:rFonts w:ascii="Times New Roman" w:hAnsi="Times New Roman" w:eastAsia="Times New Roman" w:cs="Times New Roman"/>
          <w:sz w:val="18"/>
          <w:szCs w:val="18"/>
        </w:rPr>
        <w:t>emerging</w:t>
      </w:r>
      <w:r>
        <w:rPr>
          <w:rFonts w:ascii="Times New Roman" w:hAnsi="Times New Roman" w:eastAsia="Times New Roman" w:cs="Times New Roman"/>
          <w:spacing w:val="2"/>
          <w:sz w:val="18"/>
          <w:szCs w:val="18"/>
        </w:rPr>
        <w:t xml:space="preserve">  </w:t>
      </w:r>
      <w:r>
        <w:rPr>
          <w:rFonts w:ascii="Times New Roman" w:hAnsi="Times New Roman" w:eastAsia="Times New Roman" w:cs="Times New Roman"/>
          <w:sz w:val="18"/>
          <w:szCs w:val="18"/>
        </w:rPr>
        <w:t>infectious</w:t>
      </w:r>
      <w:r>
        <w:rPr>
          <w:rFonts w:ascii="Times New Roman" w:hAnsi="Times New Roman" w:eastAsia="Times New Roman" w:cs="Times New Roman"/>
          <w:spacing w:val="2"/>
          <w:sz w:val="18"/>
          <w:szCs w:val="18"/>
        </w:rPr>
        <w:t xml:space="preserve">  </w:t>
      </w:r>
      <w:r>
        <w:rPr>
          <w:rFonts w:ascii="Times New Roman" w:hAnsi="Times New Roman" w:eastAsia="Times New Roman" w:cs="Times New Roman"/>
          <w:sz w:val="18"/>
          <w:szCs w:val="18"/>
        </w:rPr>
        <w:t>disease</w:t>
      </w:r>
      <w:r>
        <w:rPr>
          <w:rFonts w:ascii="Times New Roman" w:hAnsi="Times New Roman" w:eastAsia="Times New Roman" w:cs="Times New Roman"/>
          <w:spacing w:val="2"/>
          <w:sz w:val="18"/>
          <w:szCs w:val="18"/>
        </w:rPr>
        <w:t xml:space="preserve">   155</w:t>
      </w:r>
    </w:p>
    <w:p w14:paraId="61A58695">
      <w:pPr>
        <w:spacing w:before="145" w:line="219" w:lineRule="auto"/>
        <w:rPr>
          <w:rFonts w:ascii="Times New Roman" w:hAnsi="Times New Roman" w:eastAsia="Times New Roman" w:cs="Times New Roman"/>
          <w:sz w:val="18"/>
          <w:szCs w:val="18"/>
        </w:rPr>
      </w:pPr>
      <w:r>
        <w:rPr>
          <w:rFonts w:ascii="宋体" w:hAnsi="宋体" w:eastAsia="宋体" w:cs="宋体"/>
          <w:spacing w:val="6"/>
          <w:sz w:val="18"/>
          <w:szCs w:val="18"/>
        </w:rPr>
        <w:t>信息偏倚</w:t>
      </w:r>
      <w:r>
        <w:rPr>
          <w:rFonts w:ascii="宋体" w:hAnsi="宋体" w:eastAsia="宋体" w:cs="宋体"/>
          <w:spacing w:val="84"/>
          <w:sz w:val="18"/>
          <w:szCs w:val="18"/>
        </w:rPr>
        <w:t xml:space="preserve"> </w:t>
      </w:r>
      <w:r>
        <w:rPr>
          <w:rFonts w:ascii="Times New Roman" w:hAnsi="Times New Roman" w:eastAsia="Times New Roman" w:cs="Times New Roman"/>
          <w:sz w:val="18"/>
          <w:szCs w:val="18"/>
        </w:rPr>
        <w:t>information   bias</w:t>
      </w:r>
      <w:r>
        <w:rPr>
          <w:rFonts w:ascii="Times New Roman" w:hAnsi="Times New Roman" w:eastAsia="Times New Roman" w:cs="Times New Roman"/>
          <w:spacing w:val="6"/>
          <w:sz w:val="18"/>
          <w:szCs w:val="18"/>
        </w:rPr>
        <w:t xml:space="preserve">   60</w:t>
      </w:r>
    </w:p>
    <w:p w14:paraId="5A831972">
      <w:pPr>
        <w:spacing w:before="114" w:line="346" w:lineRule="auto"/>
        <w:ind w:right="552"/>
        <w:rPr>
          <w:rFonts w:ascii="Times New Roman" w:hAnsi="Times New Roman" w:eastAsia="Times New Roman" w:cs="Times New Roman"/>
          <w:sz w:val="18"/>
          <w:szCs w:val="18"/>
        </w:rPr>
      </w:pPr>
      <w:r>
        <w:rPr>
          <w:rFonts w:ascii="宋体" w:hAnsi="宋体" w:eastAsia="宋体" w:cs="宋体"/>
          <w:spacing w:val="4"/>
          <w:sz w:val="18"/>
          <w:szCs w:val="18"/>
        </w:rPr>
        <w:t xml:space="preserve">性传播感染  </w:t>
      </w:r>
      <w:r>
        <w:rPr>
          <w:rFonts w:ascii="Times New Roman" w:hAnsi="Times New Roman" w:eastAsia="Times New Roman" w:cs="Times New Roman"/>
          <w:sz w:val="18"/>
          <w:szCs w:val="18"/>
        </w:rPr>
        <w:t>sexually</w:t>
      </w:r>
      <w:r>
        <w:rPr>
          <w:rFonts w:ascii="Times New Roman" w:hAnsi="Times New Roman" w:eastAsia="Times New Roman" w:cs="Times New Roman"/>
          <w:spacing w:val="4"/>
          <w:sz w:val="18"/>
          <w:szCs w:val="18"/>
        </w:rPr>
        <w:t xml:space="preserve">  </w:t>
      </w:r>
      <w:r>
        <w:rPr>
          <w:rFonts w:ascii="Times New Roman" w:hAnsi="Times New Roman" w:eastAsia="Times New Roman" w:cs="Times New Roman"/>
          <w:sz w:val="18"/>
          <w:szCs w:val="18"/>
        </w:rPr>
        <w:t>transmitted</w:t>
      </w:r>
      <w:r>
        <w:rPr>
          <w:rFonts w:ascii="Times New Roman" w:hAnsi="Times New Roman" w:eastAsia="Times New Roman" w:cs="Times New Roman"/>
          <w:spacing w:val="12"/>
          <w:w w:val="101"/>
          <w:sz w:val="18"/>
          <w:szCs w:val="18"/>
        </w:rPr>
        <w:t xml:space="preserve">  </w:t>
      </w:r>
      <w:r>
        <w:rPr>
          <w:rFonts w:ascii="Times New Roman" w:hAnsi="Times New Roman" w:eastAsia="Times New Roman" w:cs="Times New Roman"/>
          <w:sz w:val="18"/>
          <w:szCs w:val="18"/>
        </w:rPr>
        <w:t>infections</w:t>
      </w:r>
      <w:r>
        <w:rPr>
          <w:rFonts w:ascii="Times New Roman" w:hAnsi="Times New Roman" w:eastAsia="Times New Roman" w:cs="Times New Roman"/>
          <w:spacing w:val="4"/>
          <w:sz w:val="18"/>
          <w:szCs w:val="18"/>
        </w:rPr>
        <w:t>,</w:t>
      </w:r>
      <w:r>
        <w:rPr>
          <w:rFonts w:ascii="Times New Roman" w:hAnsi="Times New Roman" w:eastAsia="Times New Roman" w:cs="Times New Roman"/>
          <w:sz w:val="18"/>
          <w:szCs w:val="18"/>
        </w:rPr>
        <w:t>STIs</w:t>
      </w:r>
      <w:r>
        <w:rPr>
          <w:rFonts w:ascii="Times New Roman" w:hAnsi="Times New Roman" w:eastAsia="Times New Roman" w:cs="Times New Roman"/>
          <w:spacing w:val="7"/>
          <w:sz w:val="18"/>
          <w:szCs w:val="18"/>
        </w:rPr>
        <w:t xml:space="preserve">  </w:t>
      </w:r>
      <w:r>
        <w:rPr>
          <w:rFonts w:ascii="Times New Roman" w:hAnsi="Times New Roman" w:eastAsia="Times New Roman" w:cs="Times New Roman"/>
          <w:spacing w:val="4"/>
          <w:sz w:val="18"/>
          <w:szCs w:val="18"/>
        </w:rPr>
        <w:t>297</w:t>
      </w:r>
      <w:r>
        <w:rPr>
          <w:rFonts w:ascii="Times New Roman" w:hAnsi="Times New Roman" w:eastAsia="Times New Roman" w:cs="Times New Roman"/>
          <w:spacing w:val="1"/>
          <w:sz w:val="18"/>
          <w:szCs w:val="18"/>
        </w:rPr>
        <w:t xml:space="preserve"> </w:t>
      </w:r>
      <w:r>
        <w:rPr>
          <w:rFonts w:ascii="宋体" w:hAnsi="宋体" w:eastAsia="宋体" w:cs="宋体"/>
          <w:spacing w:val="6"/>
          <w:sz w:val="18"/>
          <w:szCs w:val="18"/>
        </w:rPr>
        <w:t xml:space="preserve">性传播疾病  </w:t>
      </w:r>
      <w:r>
        <w:rPr>
          <w:rFonts w:ascii="Times New Roman" w:hAnsi="Times New Roman" w:eastAsia="Times New Roman" w:cs="Times New Roman"/>
          <w:sz w:val="18"/>
          <w:szCs w:val="18"/>
        </w:rPr>
        <w:t>sexually</w:t>
      </w:r>
      <w:r>
        <w:rPr>
          <w:rFonts w:ascii="Times New Roman" w:hAnsi="Times New Roman" w:eastAsia="Times New Roman" w:cs="Times New Roman"/>
          <w:spacing w:val="6"/>
          <w:sz w:val="18"/>
          <w:szCs w:val="18"/>
        </w:rPr>
        <w:t xml:space="preserve">  </w:t>
      </w:r>
      <w:r>
        <w:rPr>
          <w:rFonts w:ascii="Times New Roman" w:hAnsi="Times New Roman" w:eastAsia="Times New Roman" w:cs="Times New Roman"/>
          <w:sz w:val="18"/>
          <w:szCs w:val="18"/>
        </w:rPr>
        <w:t>transmitted</w:t>
      </w:r>
      <w:r>
        <w:rPr>
          <w:rFonts w:ascii="Times New Roman" w:hAnsi="Times New Roman" w:eastAsia="Times New Roman" w:cs="Times New Roman"/>
          <w:spacing w:val="9"/>
          <w:sz w:val="18"/>
          <w:szCs w:val="18"/>
        </w:rPr>
        <w:t xml:space="preserve">  </w:t>
      </w:r>
      <w:r>
        <w:rPr>
          <w:rFonts w:ascii="Times New Roman" w:hAnsi="Times New Roman" w:eastAsia="Times New Roman" w:cs="Times New Roman"/>
          <w:sz w:val="18"/>
          <w:szCs w:val="18"/>
        </w:rPr>
        <w:t>diseases</w:t>
      </w:r>
      <w:r>
        <w:rPr>
          <w:rFonts w:ascii="Times New Roman" w:hAnsi="Times New Roman" w:eastAsia="Times New Roman" w:cs="Times New Roman"/>
          <w:spacing w:val="6"/>
          <w:sz w:val="18"/>
          <w:szCs w:val="18"/>
        </w:rPr>
        <w:t>,</w:t>
      </w:r>
      <w:r>
        <w:rPr>
          <w:rFonts w:ascii="Times New Roman" w:hAnsi="Times New Roman" w:eastAsia="Times New Roman" w:cs="Times New Roman"/>
          <w:sz w:val="18"/>
          <w:szCs w:val="18"/>
        </w:rPr>
        <w:t>STDs</w:t>
      </w:r>
      <w:r>
        <w:rPr>
          <w:rFonts w:ascii="Times New Roman" w:hAnsi="Times New Roman" w:eastAsia="Times New Roman" w:cs="Times New Roman"/>
          <w:spacing w:val="8"/>
          <w:sz w:val="18"/>
          <w:szCs w:val="18"/>
        </w:rPr>
        <w:t xml:space="preserve">  </w:t>
      </w:r>
      <w:r>
        <w:rPr>
          <w:rFonts w:ascii="Times New Roman" w:hAnsi="Times New Roman" w:eastAsia="Times New Roman" w:cs="Times New Roman"/>
          <w:spacing w:val="6"/>
          <w:sz w:val="18"/>
          <w:szCs w:val="18"/>
        </w:rPr>
        <w:t>297</w:t>
      </w:r>
      <w:r>
        <w:rPr>
          <w:rFonts w:ascii="Times New Roman" w:hAnsi="Times New Roman" w:eastAsia="Times New Roman" w:cs="Times New Roman"/>
          <w:sz w:val="18"/>
          <w:szCs w:val="18"/>
        </w:rPr>
        <w:t xml:space="preserve">  </w:t>
      </w:r>
      <w:r>
        <w:rPr>
          <w:rFonts w:ascii="宋体" w:hAnsi="宋体" w:eastAsia="宋体" w:cs="宋体"/>
          <w:spacing w:val="5"/>
          <w:sz w:val="18"/>
          <w:szCs w:val="18"/>
        </w:rPr>
        <w:t>需要筛检人数</w:t>
      </w:r>
      <w:r>
        <w:rPr>
          <w:rFonts w:ascii="宋体" w:hAnsi="宋体" w:eastAsia="宋体" w:cs="宋体"/>
          <w:spacing w:val="73"/>
          <w:sz w:val="18"/>
          <w:szCs w:val="18"/>
        </w:rPr>
        <w:t xml:space="preserve"> </w:t>
      </w:r>
      <w:r>
        <w:rPr>
          <w:rFonts w:ascii="Times New Roman" w:hAnsi="Times New Roman" w:eastAsia="Times New Roman" w:cs="Times New Roman"/>
          <w:sz w:val="18"/>
          <w:szCs w:val="18"/>
        </w:rPr>
        <w:t>number</w:t>
      </w:r>
      <w:r>
        <w:rPr>
          <w:rFonts w:ascii="Times New Roman" w:hAnsi="Times New Roman" w:eastAsia="Times New Roman" w:cs="Times New Roman"/>
          <w:spacing w:val="5"/>
          <w:sz w:val="18"/>
          <w:szCs w:val="18"/>
        </w:rPr>
        <w:t xml:space="preserve">  </w:t>
      </w:r>
      <w:r>
        <w:rPr>
          <w:rFonts w:ascii="Times New Roman" w:hAnsi="Times New Roman" w:eastAsia="Times New Roman" w:cs="Times New Roman"/>
          <w:sz w:val="18"/>
          <w:szCs w:val="18"/>
        </w:rPr>
        <w:t>needed</w:t>
      </w:r>
      <w:r>
        <w:rPr>
          <w:rFonts w:ascii="Times New Roman" w:hAnsi="Times New Roman" w:eastAsia="Times New Roman" w:cs="Times New Roman"/>
          <w:spacing w:val="5"/>
          <w:sz w:val="18"/>
          <w:szCs w:val="18"/>
        </w:rPr>
        <w:t xml:space="preserve">  </w:t>
      </w:r>
      <w:r>
        <w:rPr>
          <w:rFonts w:ascii="Times New Roman" w:hAnsi="Times New Roman" w:eastAsia="Times New Roman" w:cs="Times New Roman"/>
          <w:sz w:val="18"/>
          <w:szCs w:val="18"/>
        </w:rPr>
        <w:t>to</w:t>
      </w:r>
      <w:r>
        <w:rPr>
          <w:rFonts w:ascii="Times New Roman" w:hAnsi="Times New Roman" w:eastAsia="Times New Roman" w:cs="Times New Roman"/>
          <w:spacing w:val="5"/>
          <w:sz w:val="18"/>
          <w:szCs w:val="18"/>
        </w:rPr>
        <w:t xml:space="preserve">  </w:t>
      </w:r>
      <w:r>
        <w:rPr>
          <w:rFonts w:ascii="Times New Roman" w:hAnsi="Times New Roman" w:eastAsia="Times New Roman" w:cs="Times New Roman"/>
          <w:sz w:val="18"/>
          <w:szCs w:val="18"/>
        </w:rPr>
        <w:t>screen</w:t>
      </w:r>
      <w:r>
        <w:rPr>
          <w:rFonts w:ascii="Times New Roman" w:hAnsi="Times New Roman" w:eastAsia="Times New Roman" w:cs="Times New Roman"/>
          <w:spacing w:val="5"/>
          <w:sz w:val="18"/>
          <w:szCs w:val="18"/>
        </w:rPr>
        <w:t>,</w:t>
      </w:r>
      <w:r>
        <w:rPr>
          <w:rFonts w:ascii="Times New Roman" w:hAnsi="Times New Roman" w:eastAsia="Times New Roman" w:cs="Times New Roman"/>
          <w:sz w:val="18"/>
          <w:szCs w:val="18"/>
        </w:rPr>
        <w:t>NNS</w:t>
      </w:r>
      <w:r>
        <w:rPr>
          <w:rFonts w:ascii="Times New Roman" w:hAnsi="Times New Roman" w:eastAsia="Times New Roman" w:cs="Times New Roman"/>
          <w:spacing w:val="12"/>
          <w:w w:val="101"/>
          <w:sz w:val="18"/>
          <w:szCs w:val="18"/>
        </w:rPr>
        <w:t xml:space="preserve">  </w:t>
      </w:r>
      <w:r>
        <w:rPr>
          <w:rFonts w:ascii="Times New Roman" w:hAnsi="Times New Roman" w:eastAsia="Times New Roman" w:cs="Times New Roman"/>
          <w:spacing w:val="5"/>
          <w:sz w:val="18"/>
          <w:szCs w:val="18"/>
        </w:rPr>
        <w:t>114</w:t>
      </w:r>
    </w:p>
    <w:p w14:paraId="7F957641">
      <w:pPr>
        <w:spacing w:before="18" w:line="212" w:lineRule="auto"/>
        <w:rPr>
          <w:rFonts w:ascii="Times New Roman" w:hAnsi="Times New Roman" w:eastAsia="Times New Roman" w:cs="Times New Roman"/>
          <w:sz w:val="18"/>
          <w:szCs w:val="18"/>
        </w:rPr>
      </w:pPr>
      <w:r>
        <w:rPr>
          <w:rFonts w:ascii="宋体" w:hAnsi="宋体" w:eastAsia="宋体" w:cs="宋体"/>
          <w:spacing w:val="7"/>
          <w:sz w:val="18"/>
          <w:szCs w:val="18"/>
        </w:rPr>
        <w:t>需治疗人数</w:t>
      </w:r>
      <w:r>
        <w:rPr>
          <w:rFonts w:ascii="宋体" w:hAnsi="宋体" w:eastAsia="宋体" w:cs="宋体"/>
          <w:spacing w:val="80"/>
          <w:sz w:val="18"/>
          <w:szCs w:val="18"/>
        </w:rPr>
        <w:t xml:space="preserve"> </w:t>
      </w:r>
      <w:r>
        <w:rPr>
          <w:rFonts w:ascii="Times New Roman" w:hAnsi="Times New Roman" w:eastAsia="Times New Roman" w:cs="Times New Roman"/>
          <w:sz w:val="18"/>
          <w:szCs w:val="18"/>
        </w:rPr>
        <w:t>number</w:t>
      </w:r>
      <w:r>
        <w:rPr>
          <w:rFonts w:ascii="Times New Roman" w:hAnsi="Times New Roman" w:eastAsia="Times New Roman" w:cs="Times New Roman"/>
          <w:spacing w:val="7"/>
          <w:sz w:val="18"/>
          <w:szCs w:val="18"/>
        </w:rPr>
        <w:t xml:space="preserve">  </w:t>
      </w:r>
      <w:r>
        <w:rPr>
          <w:rFonts w:ascii="Times New Roman" w:hAnsi="Times New Roman" w:eastAsia="Times New Roman" w:cs="Times New Roman"/>
          <w:sz w:val="18"/>
          <w:szCs w:val="18"/>
        </w:rPr>
        <w:t>needed</w:t>
      </w:r>
      <w:r>
        <w:rPr>
          <w:rFonts w:ascii="Times New Roman" w:hAnsi="Times New Roman" w:eastAsia="Times New Roman" w:cs="Times New Roman"/>
          <w:spacing w:val="7"/>
          <w:sz w:val="18"/>
          <w:szCs w:val="18"/>
        </w:rPr>
        <w:t xml:space="preserve">  </w:t>
      </w:r>
      <w:r>
        <w:rPr>
          <w:rFonts w:ascii="Times New Roman" w:hAnsi="Times New Roman" w:eastAsia="Times New Roman" w:cs="Times New Roman"/>
          <w:sz w:val="18"/>
          <w:szCs w:val="18"/>
        </w:rPr>
        <w:t>to</w:t>
      </w:r>
      <w:r>
        <w:rPr>
          <w:rFonts w:ascii="Times New Roman" w:hAnsi="Times New Roman" w:eastAsia="Times New Roman" w:cs="Times New Roman"/>
          <w:spacing w:val="6"/>
          <w:sz w:val="18"/>
          <w:szCs w:val="18"/>
        </w:rPr>
        <w:t xml:space="preserve">  </w:t>
      </w:r>
      <w:r>
        <w:rPr>
          <w:rFonts w:ascii="Times New Roman" w:hAnsi="Times New Roman" w:eastAsia="Times New Roman" w:cs="Times New Roman"/>
          <w:sz w:val="18"/>
          <w:szCs w:val="18"/>
        </w:rPr>
        <w:t>treat</w:t>
      </w:r>
      <w:r>
        <w:rPr>
          <w:rFonts w:ascii="Times New Roman" w:hAnsi="Times New Roman" w:eastAsia="Times New Roman" w:cs="Times New Roman"/>
          <w:spacing w:val="7"/>
          <w:sz w:val="18"/>
          <w:szCs w:val="18"/>
        </w:rPr>
        <w:t>,</w:t>
      </w:r>
      <w:r>
        <w:rPr>
          <w:rFonts w:ascii="Times New Roman" w:hAnsi="Times New Roman" w:eastAsia="Times New Roman" w:cs="Times New Roman"/>
          <w:sz w:val="18"/>
          <w:szCs w:val="18"/>
        </w:rPr>
        <w:t>NNT</w:t>
      </w:r>
      <w:r>
        <w:rPr>
          <w:rFonts w:ascii="Times New Roman" w:hAnsi="Times New Roman" w:eastAsia="Times New Roman" w:cs="Times New Roman"/>
          <w:spacing w:val="10"/>
          <w:sz w:val="18"/>
          <w:szCs w:val="18"/>
        </w:rPr>
        <w:t xml:space="preserve">  </w:t>
      </w:r>
      <w:r>
        <w:rPr>
          <w:rFonts w:ascii="Times New Roman" w:hAnsi="Times New Roman" w:eastAsia="Times New Roman" w:cs="Times New Roman"/>
          <w:spacing w:val="7"/>
          <w:sz w:val="18"/>
          <w:szCs w:val="18"/>
        </w:rPr>
        <w:t>97</w:t>
      </w:r>
    </w:p>
    <w:p w14:paraId="75876A36">
      <w:pPr>
        <w:spacing w:before="124" w:line="212" w:lineRule="auto"/>
        <w:rPr>
          <w:rFonts w:ascii="Times New Roman" w:hAnsi="Times New Roman" w:eastAsia="Times New Roman" w:cs="Times New Roman"/>
          <w:sz w:val="18"/>
          <w:szCs w:val="18"/>
        </w:rPr>
      </w:pPr>
      <w:r>
        <w:rPr>
          <w:rFonts w:ascii="宋体" w:hAnsi="宋体" w:eastAsia="宋体" w:cs="宋体"/>
          <w:spacing w:val="1"/>
          <w:sz w:val="18"/>
          <w:szCs w:val="18"/>
        </w:rPr>
        <w:t xml:space="preserve">续发率  </w:t>
      </w:r>
      <w:r>
        <w:rPr>
          <w:rFonts w:ascii="Times New Roman" w:hAnsi="Times New Roman" w:eastAsia="Times New Roman" w:cs="Times New Roman"/>
          <w:sz w:val="18"/>
          <w:szCs w:val="18"/>
        </w:rPr>
        <w:t>secondary</w:t>
      </w:r>
      <w:r>
        <w:rPr>
          <w:rFonts w:ascii="Times New Roman" w:hAnsi="Times New Roman" w:eastAsia="Times New Roman" w:cs="Times New Roman"/>
          <w:spacing w:val="9"/>
          <w:sz w:val="18"/>
          <w:szCs w:val="18"/>
        </w:rPr>
        <w:t xml:space="preserve">   </w:t>
      </w:r>
      <w:r>
        <w:rPr>
          <w:rFonts w:ascii="Times New Roman" w:hAnsi="Times New Roman" w:eastAsia="Times New Roman" w:cs="Times New Roman"/>
          <w:sz w:val="18"/>
          <w:szCs w:val="18"/>
        </w:rPr>
        <w:t>attack</w:t>
      </w:r>
      <w:r>
        <w:rPr>
          <w:rFonts w:ascii="Times New Roman" w:hAnsi="Times New Roman" w:eastAsia="Times New Roman" w:cs="Times New Roman"/>
          <w:spacing w:val="1"/>
          <w:sz w:val="18"/>
          <w:szCs w:val="18"/>
        </w:rPr>
        <w:t xml:space="preserve">   </w:t>
      </w:r>
      <w:r>
        <w:rPr>
          <w:rFonts w:ascii="Times New Roman" w:hAnsi="Times New Roman" w:eastAsia="Times New Roman" w:cs="Times New Roman"/>
          <w:sz w:val="18"/>
          <w:szCs w:val="18"/>
        </w:rPr>
        <w:t>rate</w:t>
      </w:r>
      <w:r>
        <w:rPr>
          <w:rFonts w:ascii="Times New Roman" w:hAnsi="Times New Roman" w:eastAsia="Times New Roman" w:cs="Times New Roman"/>
          <w:spacing w:val="1"/>
          <w:sz w:val="18"/>
          <w:szCs w:val="18"/>
        </w:rPr>
        <w:t>,</w:t>
      </w:r>
      <w:r>
        <w:rPr>
          <w:rFonts w:ascii="Times New Roman" w:hAnsi="Times New Roman" w:eastAsia="Times New Roman" w:cs="Times New Roman"/>
          <w:sz w:val="18"/>
          <w:szCs w:val="18"/>
        </w:rPr>
        <w:t>SAR</w:t>
      </w:r>
      <w:r>
        <w:rPr>
          <w:rFonts w:ascii="Times New Roman" w:hAnsi="Times New Roman" w:eastAsia="Times New Roman" w:cs="Times New Roman"/>
          <w:spacing w:val="1"/>
          <w:sz w:val="18"/>
          <w:szCs w:val="18"/>
        </w:rPr>
        <w:t xml:space="preserve">    12,156,163</w:t>
      </w:r>
    </w:p>
    <w:sdt>
      <w:sdtPr>
        <w:rPr>
          <w:rFonts w:ascii="宋体" w:hAnsi="宋体" w:eastAsia="宋体" w:cs="宋体"/>
          <w:sz w:val="18"/>
          <w:szCs w:val="18"/>
        </w:rPr>
        <w:id w:val="423929353"/>
        <w:docPartObj>
          <w:docPartGallery w:val="Table of Contents"/>
          <w:docPartUnique/>
        </w:docPartObj>
      </w:sdtPr>
      <w:sdtEndPr>
        <w:rPr>
          <w:rFonts w:ascii="Times New Roman" w:hAnsi="Times New Roman" w:eastAsia="Times New Roman" w:cs="Times New Roman"/>
          <w:sz w:val="18"/>
          <w:szCs w:val="18"/>
        </w:rPr>
      </w:sdtEndPr>
      <w:sdtContent>
        <w:p w14:paraId="00B52FE3">
          <w:pPr>
            <w:spacing w:before="154" w:line="219" w:lineRule="auto"/>
            <w:rPr>
              <w:rFonts w:ascii="Times New Roman" w:hAnsi="Times New Roman" w:eastAsia="Times New Roman" w:cs="Times New Roman"/>
              <w:sz w:val="18"/>
              <w:szCs w:val="18"/>
            </w:rPr>
          </w:pPr>
          <w:r>
            <w:rPr>
              <w:rFonts w:ascii="宋体" w:hAnsi="宋体" w:eastAsia="宋体" w:cs="宋体"/>
              <w:spacing w:val="5"/>
              <w:sz w:val="18"/>
              <w:szCs w:val="18"/>
            </w:rPr>
            <w:t>选择偏倚</w:t>
          </w:r>
          <w:r>
            <w:rPr>
              <w:rFonts w:ascii="宋体" w:hAnsi="宋体" w:eastAsia="宋体" w:cs="宋体"/>
              <w:spacing w:val="4"/>
              <w:sz w:val="18"/>
              <w:szCs w:val="18"/>
            </w:rPr>
            <w:t xml:space="preserve">  </w:t>
          </w:r>
          <w:r>
            <w:rPr>
              <w:rFonts w:ascii="Times New Roman" w:hAnsi="Times New Roman" w:eastAsia="Times New Roman" w:cs="Times New Roman"/>
              <w:sz w:val="18"/>
              <w:szCs w:val="18"/>
            </w:rPr>
            <w:t>selection</w:t>
          </w:r>
          <w:r>
            <w:rPr>
              <w:rFonts w:ascii="Times New Roman" w:hAnsi="Times New Roman" w:eastAsia="Times New Roman" w:cs="Times New Roman"/>
              <w:spacing w:val="5"/>
              <w:sz w:val="18"/>
              <w:szCs w:val="18"/>
            </w:rPr>
            <w:t xml:space="preserve">   </w:t>
          </w:r>
          <w:r>
            <w:rPr>
              <w:rFonts w:ascii="Times New Roman" w:hAnsi="Times New Roman" w:eastAsia="Times New Roman" w:cs="Times New Roman"/>
              <w:sz w:val="18"/>
              <w:szCs w:val="18"/>
            </w:rPr>
            <w:t>bias</w:t>
          </w:r>
          <w:r>
            <w:rPr>
              <w:rFonts w:ascii="Times New Roman" w:hAnsi="Times New Roman" w:eastAsia="Times New Roman" w:cs="Times New Roman"/>
              <w:spacing w:val="6"/>
              <w:sz w:val="18"/>
              <w:szCs w:val="18"/>
            </w:rPr>
            <w:t xml:space="preserve">   </w:t>
          </w:r>
          <w:r>
            <w:fldChar w:fldCharType="begin"/>
          </w:r>
          <w:r>
            <w:instrText xml:space="preserve"> HYPERLINK \l "bookmark721" </w:instrText>
          </w:r>
          <w:r>
            <w:fldChar w:fldCharType="separate"/>
          </w:r>
          <w:r>
            <w:rPr>
              <w:rFonts w:ascii="Times New Roman" w:hAnsi="Times New Roman" w:eastAsia="Times New Roman" w:cs="Times New Roman"/>
              <w:spacing w:val="5"/>
              <w:sz w:val="18"/>
              <w:szCs w:val="18"/>
            </w:rPr>
            <w:t>59</w:t>
          </w:r>
          <w:r>
            <w:rPr>
              <w:rFonts w:ascii="Times New Roman" w:hAnsi="Times New Roman" w:eastAsia="Times New Roman" w:cs="Times New Roman"/>
              <w:spacing w:val="5"/>
              <w:sz w:val="18"/>
              <w:szCs w:val="18"/>
            </w:rPr>
            <w:fldChar w:fldCharType="end"/>
          </w:r>
        </w:p>
        <w:p w14:paraId="4B7B9B8E">
          <w:pPr>
            <w:spacing w:before="106" w:line="212" w:lineRule="auto"/>
            <w:rPr>
              <w:rFonts w:ascii="Times New Roman" w:hAnsi="Times New Roman" w:eastAsia="Times New Roman" w:cs="Times New Roman"/>
              <w:sz w:val="18"/>
              <w:szCs w:val="18"/>
            </w:rPr>
          </w:pPr>
          <w:r>
            <w:rPr>
              <w:rFonts w:ascii="宋体" w:hAnsi="宋体" w:eastAsia="宋体" w:cs="宋体"/>
              <w:spacing w:val="5"/>
              <w:sz w:val="18"/>
              <w:szCs w:val="18"/>
            </w:rPr>
            <w:t>选择性筛检</w:t>
          </w:r>
          <w:r>
            <w:rPr>
              <w:rFonts w:ascii="宋体" w:hAnsi="宋体" w:eastAsia="宋体" w:cs="宋体"/>
              <w:spacing w:val="65"/>
              <w:sz w:val="18"/>
              <w:szCs w:val="18"/>
            </w:rPr>
            <w:t xml:space="preserve"> </w:t>
          </w:r>
          <w:r>
            <w:rPr>
              <w:rFonts w:ascii="Times New Roman" w:hAnsi="Times New Roman" w:eastAsia="Times New Roman" w:cs="Times New Roman"/>
              <w:sz w:val="18"/>
              <w:szCs w:val="18"/>
            </w:rPr>
            <w:t>selective</w:t>
          </w:r>
          <w:r>
            <w:rPr>
              <w:rFonts w:ascii="Times New Roman" w:hAnsi="Times New Roman" w:eastAsia="Times New Roman" w:cs="Times New Roman"/>
              <w:spacing w:val="9"/>
              <w:sz w:val="18"/>
              <w:szCs w:val="18"/>
            </w:rPr>
            <w:t xml:space="preserve">   </w:t>
          </w:r>
          <w:r>
            <w:rPr>
              <w:rFonts w:ascii="Times New Roman" w:hAnsi="Times New Roman" w:eastAsia="Times New Roman" w:cs="Times New Roman"/>
              <w:sz w:val="18"/>
              <w:szCs w:val="18"/>
            </w:rPr>
            <w:t>screening</w:t>
          </w:r>
          <w:r>
            <w:rPr>
              <w:rFonts w:ascii="Times New Roman" w:hAnsi="Times New Roman" w:eastAsia="Times New Roman" w:cs="Times New Roman"/>
              <w:spacing w:val="14"/>
              <w:sz w:val="18"/>
              <w:szCs w:val="18"/>
            </w:rPr>
            <w:t xml:space="preserve">   </w:t>
          </w:r>
          <w:r>
            <w:fldChar w:fldCharType="begin"/>
          </w:r>
          <w:r>
            <w:instrText xml:space="preserve"> HYPERLINK \l "bookmark722" </w:instrText>
          </w:r>
          <w:r>
            <w:fldChar w:fldCharType="separate"/>
          </w:r>
          <w:r>
            <w:rPr>
              <w:rFonts w:ascii="Times New Roman" w:hAnsi="Times New Roman" w:eastAsia="Times New Roman" w:cs="Times New Roman"/>
              <w:spacing w:val="5"/>
              <w:sz w:val="18"/>
              <w:szCs w:val="18"/>
            </w:rPr>
            <w:t>102</w:t>
          </w:r>
          <w:r>
            <w:rPr>
              <w:rFonts w:ascii="Times New Roman" w:hAnsi="Times New Roman" w:eastAsia="Times New Roman" w:cs="Times New Roman"/>
              <w:spacing w:val="5"/>
              <w:sz w:val="18"/>
              <w:szCs w:val="18"/>
            </w:rPr>
            <w:fldChar w:fldCharType="end"/>
          </w:r>
        </w:p>
      </w:sdtContent>
    </w:sdt>
    <w:p w14:paraId="53A4B2EC">
      <w:pPr>
        <w:spacing w:before="164" w:line="339" w:lineRule="auto"/>
        <w:ind w:right="332"/>
        <w:rPr>
          <w:rFonts w:ascii="Times New Roman" w:hAnsi="Times New Roman" w:eastAsia="Times New Roman" w:cs="Times New Roman"/>
          <w:sz w:val="18"/>
          <w:szCs w:val="18"/>
        </w:rPr>
      </w:pPr>
      <w:r>
        <w:rPr>
          <w:rFonts w:ascii="宋体" w:hAnsi="宋体" w:eastAsia="宋体" w:cs="宋体"/>
          <w:spacing w:val="7"/>
          <w:sz w:val="18"/>
          <w:szCs w:val="18"/>
        </w:rPr>
        <w:t>循证公共卫生</w:t>
      </w:r>
      <w:r>
        <w:rPr>
          <w:rFonts w:ascii="宋体" w:hAnsi="宋体" w:eastAsia="宋体" w:cs="宋体"/>
          <w:spacing w:val="84"/>
          <w:w w:val="101"/>
          <w:sz w:val="18"/>
          <w:szCs w:val="18"/>
        </w:rPr>
        <w:t xml:space="preserve"> </w:t>
      </w:r>
      <w:r>
        <w:rPr>
          <w:rFonts w:ascii="Times New Roman" w:hAnsi="Times New Roman" w:eastAsia="Times New Roman" w:cs="Times New Roman"/>
          <w:sz w:val="18"/>
          <w:szCs w:val="18"/>
        </w:rPr>
        <w:t>evidence</w:t>
      </w:r>
      <w:r>
        <w:rPr>
          <w:rFonts w:ascii="Times New Roman" w:hAnsi="Times New Roman" w:eastAsia="Times New Roman" w:cs="Times New Roman"/>
          <w:spacing w:val="7"/>
          <w:sz w:val="18"/>
          <w:szCs w:val="18"/>
        </w:rPr>
        <w:t>-</w:t>
      </w:r>
      <w:r>
        <w:rPr>
          <w:rFonts w:ascii="Times New Roman" w:hAnsi="Times New Roman" w:eastAsia="Times New Roman" w:cs="Times New Roman"/>
          <w:sz w:val="18"/>
          <w:szCs w:val="18"/>
        </w:rPr>
        <w:t>based</w:t>
      </w:r>
      <w:r>
        <w:rPr>
          <w:rFonts w:ascii="Times New Roman" w:hAnsi="Times New Roman" w:eastAsia="Times New Roman" w:cs="Times New Roman"/>
          <w:spacing w:val="7"/>
          <w:sz w:val="18"/>
          <w:szCs w:val="18"/>
        </w:rPr>
        <w:t xml:space="preserve">  </w:t>
      </w:r>
      <w:r>
        <w:rPr>
          <w:rFonts w:ascii="Times New Roman" w:hAnsi="Times New Roman" w:eastAsia="Times New Roman" w:cs="Times New Roman"/>
          <w:sz w:val="18"/>
          <w:szCs w:val="18"/>
        </w:rPr>
        <w:t>public</w:t>
      </w:r>
      <w:r>
        <w:rPr>
          <w:rFonts w:ascii="Times New Roman" w:hAnsi="Times New Roman" w:eastAsia="Times New Roman" w:cs="Times New Roman"/>
          <w:spacing w:val="11"/>
          <w:sz w:val="18"/>
          <w:szCs w:val="18"/>
        </w:rPr>
        <w:t xml:space="preserve">  </w:t>
      </w:r>
      <w:r>
        <w:rPr>
          <w:rFonts w:ascii="Times New Roman" w:hAnsi="Times New Roman" w:eastAsia="Times New Roman" w:cs="Times New Roman"/>
          <w:sz w:val="18"/>
          <w:szCs w:val="18"/>
        </w:rPr>
        <w:t>health</w:t>
      </w:r>
      <w:r>
        <w:rPr>
          <w:rFonts w:ascii="Times New Roman" w:hAnsi="Times New Roman" w:eastAsia="Times New Roman" w:cs="Times New Roman"/>
          <w:spacing w:val="7"/>
          <w:sz w:val="18"/>
          <w:szCs w:val="18"/>
        </w:rPr>
        <w:t>,</w:t>
      </w:r>
      <w:r>
        <w:rPr>
          <w:rFonts w:ascii="Times New Roman" w:hAnsi="Times New Roman" w:eastAsia="Times New Roman" w:cs="Times New Roman"/>
          <w:sz w:val="18"/>
          <w:szCs w:val="18"/>
        </w:rPr>
        <w:t>EBPH</w:t>
      </w:r>
      <w:r>
        <w:rPr>
          <w:rFonts w:ascii="Times New Roman" w:hAnsi="Times New Roman" w:eastAsia="Times New Roman" w:cs="Times New Roman"/>
          <w:spacing w:val="12"/>
          <w:sz w:val="18"/>
          <w:szCs w:val="18"/>
        </w:rPr>
        <w:t xml:space="preserve">  </w:t>
      </w:r>
      <w:r>
        <w:rPr>
          <w:rFonts w:ascii="Times New Roman" w:hAnsi="Times New Roman" w:eastAsia="Times New Roman" w:cs="Times New Roman"/>
          <w:spacing w:val="7"/>
          <w:sz w:val="18"/>
          <w:szCs w:val="18"/>
        </w:rPr>
        <w:t>247</w:t>
      </w:r>
      <w:r>
        <w:rPr>
          <w:rFonts w:ascii="Times New Roman" w:hAnsi="Times New Roman" w:eastAsia="Times New Roman" w:cs="Times New Roman"/>
          <w:sz w:val="18"/>
          <w:szCs w:val="18"/>
        </w:rPr>
        <w:t xml:space="preserve"> </w:t>
      </w:r>
      <w:r>
        <w:rPr>
          <w:rFonts w:ascii="宋体" w:hAnsi="宋体" w:eastAsia="宋体" w:cs="宋体"/>
          <w:spacing w:val="5"/>
          <w:sz w:val="18"/>
          <w:szCs w:val="18"/>
        </w:rPr>
        <w:t>循证临床实践</w:t>
      </w:r>
      <w:r>
        <w:rPr>
          <w:rFonts w:ascii="宋体" w:hAnsi="宋体" w:eastAsia="宋体" w:cs="宋体"/>
          <w:spacing w:val="88"/>
          <w:sz w:val="18"/>
          <w:szCs w:val="18"/>
        </w:rPr>
        <w:t xml:space="preserve"> </w:t>
      </w:r>
      <w:r>
        <w:rPr>
          <w:rFonts w:ascii="Times New Roman" w:hAnsi="Times New Roman" w:eastAsia="Times New Roman" w:cs="Times New Roman"/>
          <w:sz w:val="18"/>
          <w:szCs w:val="18"/>
        </w:rPr>
        <w:t>evidence</w:t>
      </w:r>
      <w:r>
        <w:rPr>
          <w:rFonts w:ascii="Times New Roman" w:hAnsi="Times New Roman" w:eastAsia="Times New Roman" w:cs="Times New Roman"/>
          <w:spacing w:val="5"/>
          <w:sz w:val="18"/>
          <w:szCs w:val="18"/>
        </w:rPr>
        <w:t>-</w:t>
      </w:r>
      <w:r>
        <w:rPr>
          <w:rFonts w:ascii="Times New Roman" w:hAnsi="Times New Roman" w:eastAsia="Times New Roman" w:cs="Times New Roman"/>
          <w:sz w:val="18"/>
          <w:szCs w:val="18"/>
        </w:rPr>
        <w:t>based</w:t>
      </w:r>
      <w:r>
        <w:rPr>
          <w:rFonts w:ascii="Times New Roman" w:hAnsi="Times New Roman" w:eastAsia="Times New Roman" w:cs="Times New Roman"/>
          <w:spacing w:val="5"/>
          <w:sz w:val="18"/>
          <w:szCs w:val="18"/>
        </w:rPr>
        <w:t xml:space="preserve">  </w:t>
      </w:r>
      <w:r>
        <w:rPr>
          <w:rFonts w:ascii="Times New Roman" w:hAnsi="Times New Roman" w:eastAsia="Times New Roman" w:cs="Times New Roman"/>
          <w:sz w:val="18"/>
          <w:szCs w:val="18"/>
        </w:rPr>
        <w:t>clinical</w:t>
      </w:r>
      <w:r>
        <w:rPr>
          <w:rFonts w:ascii="Times New Roman" w:hAnsi="Times New Roman" w:eastAsia="Times New Roman" w:cs="Times New Roman"/>
          <w:spacing w:val="5"/>
          <w:sz w:val="18"/>
          <w:szCs w:val="18"/>
        </w:rPr>
        <w:t xml:space="preserve">  </w:t>
      </w:r>
      <w:r>
        <w:rPr>
          <w:rFonts w:ascii="Times New Roman" w:hAnsi="Times New Roman" w:eastAsia="Times New Roman" w:cs="Times New Roman"/>
          <w:sz w:val="18"/>
          <w:szCs w:val="18"/>
        </w:rPr>
        <w:t>practice</w:t>
      </w:r>
      <w:r>
        <w:rPr>
          <w:rFonts w:ascii="Times New Roman" w:hAnsi="Times New Roman" w:eastAsia="Times New Roman" w:cs="Times New Roman"/>
          <w:spacing w:val="5"/>
          <w:sz w:val="18"/>
          <w:szCs w:val="18"/>
        </w:rPr>
        <w:t xml:space="preserve">  246</w:t>
      </w:r>
    </w:p>
    <w:p w14:paraId="3CDEE7A9">
      <w:pPr>
        <w:spacing w:before="27" w:line="212" w:lineRule="auto"/>
        <w:rPr>
          <w:rFonts w:ascii="Times New Roman" w:hAnsi="Times New Roman" w:eastAsia="Times New Roman" w:cs="Times New Roman"/>
          <w:sz w:val="18"/>
          <w:szCs w:val="18"/>
        </w:rPr>
      </w:pPr>
      <w:r>
        <w:rPr>
          <w:rFonts w:ascii="宋体" w:hAnsi="宋体" w:eastAsia="宋体" w:cs="宋体"/>
          <w:spacing w:val="5"/>
          <w:sz w:val="18"/>
          <w:szCs w:val="18"/>
        </w:rPr>
        <w:t>循证医学</w:t>
      </w:r>
      <w:r>
        <w:rPr>
          <w:rFonts w:ascii="宋体" w:hAnsi="宋体" w:eastAsia="宋体" w:cs="宋体"/>
          <w:spacing w:val="78"/>
          <w:sz w:val="18"/>
          <w:szCs w:val="18"/>
        </w:rPr>
        <w:t xml:space="preserve"> </w:t>
      </w:r>
      <w:r>
        <w:rPr>
          <w:rFonts w:ascii="Times New Roman" w:hAnsi="Times New Roman" w:eastAsia="Times New Roman" w:cs="Times New Roman"/>
          <w:sz w:val="18"/>
          <w:szCs w:val="18"/>
        </w:rPr>
        <w:t>evidence</w:t>
      </w:r>
      <w:r>
        <w:rPr>
          <w:rFonts w:ascii="Times New Roman" w:hAnsi="Times New Roman" w:eastAsia="Times New Roman" w:cs="Times New Roman"/>
          <w:spacing w:val="5"/>
          <w:sz w:val="18"/>
          <w:szCs w:val="18"/>
        </w:rPr>
        <w:t>-</w:t>
      </w:r>
      <w:r>
        <w:rPr>
          <w:rFonts w:ascii="Times New Roman" w:hAnsi="Times New Roman" w:eastAsia="Times New Roman" w:cs="Times New Roman"/>
          <w:sz w:val="18"/>
          <w:szCs w:val="18"/>
        </w:rPr>
        <w:t>based</w:t>
      </w:r>
      <w:r>
        <w:rPr>
          <w:rFonts w:ascii="Times New Roman" w:hAnsi="Times New Roman" w:eastAsia="Times New Roman" w:cs="Times New Roman"/>
          <w:spacing w:val="5"/>
          <w:sz w:val="18"/>
          <w:szCs w:val="18"/>
        </w:rPr>
        <w:t xml:space="preserve">   </w:t>
      </w:r>
      <w:r>
        <w:rPr>
          <w:rFonts w:ascii="Times New Roman" w:hAnsi="Times New Roman" w:eastAsia="Times New Roman" w:cs="Times New Roman"/>
          <w:sz w:val="18"/>
          <w:szCs w:val="18"/>
        </w:rPr>
        <w:t>medicine</w:t>
      </w:r>
      <w:r>
        <w:rPr>
          <w:rFonts w:ascii="Times New Roman" w:hAnsi="Times New Roman" w:eastAsia="Times New Roman" w:cs="Times New Roman"/>
          <w:spacing w:val="5"/>
          <w:sz w:val="18"/>
          <w:szCs w:val="18"/>
        </w:rPr>
        <w:t>,</w:t>
      </w:r>
      <w:r>
        <w:rPr>
          <w:rFonts w:ascii="Times New Roman" w:hAnsi="Times New Roman" w:eastAsia="Times New Roman" w:cs="Times New Roman"/>
          <w:sz w:val="18"/>
          <w:szCs w:val="18"/>
        </w:rPr>
        <w:t>EBM</w:t>
      </w:r>
      <w:r>
        <w:rPr>
          <w:rFonts w:ascii="Times New Roman" w:hAnsi="Times New Roman" w:eastAsia="Times New Roman" w:cs="Times New Roman"/>
          <w:spacing w:val="8"/>
          <w:sz w:val="18"/>
          <w:szCs w:val="18"/>
        </w:rPr>
        <w:t xml:space="preserve">   </w:t>
      </w:r>
      <w:r>
        <w:rPr>
          <w:rFonts w:ascii="Times New Roman" w:hAnsi="Times New Roman" w:eastAsia="Times New Roman" w:cs="Times New Roman"/>
          <w:spacing w:val="5"/>
          <w:sz w:val="18"/>
          <w:szCs w:val="18"/>
        </w:rPr>
        <w:t>246</w:t>
      </w:r>
    </w:p>
    <w:p w14:paraId="7C4459AE">
      <w:pPr>
        <w:spacing w:line="259" w:lineRule="auto"/>
        <w:rPr>
          <w:rFonts w:ascii="Arial"/>
          <w:sz w:val="21"/>
        </w:rPr>
      </w:pPr>
    </w:p>
    <w:p w14:paraId="5F4070DF">
      <w:pPr>
        <w:spacing w:before="93" w:line="185" w:lineRule="auto"/>
        <w:rPr>
          <w:rFonts w:ascii="Times New Roman" w:hAnsi="Times New Roman" w:eastAsia="Times New Roman" w:cs="Times New Roman"/>
          <w:sz w:val="32"/>
          <w:szCs w:val="32"/>
        </w:rPr>
      </w:pPr>
      <w:r>
        <w:rPr>
          <w:rFonts w:ascii="Times New Roman" w:hAnsi="Times New Roman" w:eastAsia="Times New Roman" w:cs="Times New Roman"/>
          <w:sz w:val="32"/>
          <w:szCs w:val="32"/>
        </w:rPr>
        <w:t>Y</w:t>
      </w:r>
    </w:p>
    <w:p w14:paraId="25CBA4BE">
      <w:pPr>
        <w:spacing w:before="218" w:line="219" w:lineRule="auto"/>
        <w:rPr>
          <w:rFonts w:ascii="Times New Roman" w:hAnsi="Times New Roman" w:eastAsia="Times New Roman" w:cs="Times New Roman"/>
          <w:sz w:val="18"/>
          <w:szCs w:val="18"/>
        </w:rPr>
      </w:pPr>
      <w:r>
        <w:rPr>
          <w:rFonts w:ascii="宋体" w:hAnsi="宋体" w:eastAsia="宋体" w:cs="宋体"/>
          <w:spacing w:val="5"/>
          <w:sz w:val="18"/>
          <w:szCs w:val="18"/>
        </w:rPr>
        <w:t>亚临床感染</w:t>
      </w:r>
      <w:r>
        <w:rPr>
          <w:rFonts w:ascii="宋体" w:hAnsi="宋体" w:eastAsia="宋体" w:cs="宋体"/>
          <w:spacing w:val="70"/>
          <w:sz w:val="18"/>
          <w:szCs w:val="18"/>
        </w:rPr>
        <w:t xml:space="preserve"> </w:t>
      </w:r>
      <w:r>
        <w:rPr>
          <w:rFonts w:ascii="Times New Roman" w:hAnsi="Times New Roman" w:eastAsia="Times New Roman" w:cs="Times New Roman"/>
          <w:sz w:val="18"/>
          <w:szCs w:val="18"/>
        </w:rPr>
        <w:t>subclinical</w:t>
      </w:r>
      <w:r>
        <w:rPr>
          <w:rFonts w:ascii="Times New Roman" w:hAnsi="Times New Roman" w:eastAsia="Times New Roman" w:cs="Times New Roman"/>
          <w:spacing w:val="5"/>
          <w:sz w:val="18"/>
          <w:szCs w:val="18"/>
        </w:rPr>
        <w:t xml:space="preserve">   </w:t>
      </w:r>
      <w:r>
        <w:rPr>
          <w:rFonts w:ascii="Times New Roman" w:hAnsi="Times New Roman" w:eastAsia="Times New Roman" w:cs="Times New Roman"/>
          <w:sz w:val="18"/>
          <w:szCs w:val="18"/>
        </w:rPr>
        <w:t>infection</w:t>
      </w:r>
      <w:r>
        <w:rPr>
          <w:rFonts w:ascii="Times New Roman" w:hAnsi="Times New Roman" w:eastAsia="Times New Roman" w:cs="Times New Roman"/>
          <w:spacing w:val="10"/>
          <w:sz w:val="18"/>
          <w:szCs w:val="18"/>
        </w:rPr>
        <w:t xml:space="preserve">   </w:t>
      </w:r>
      <w:r>
        <w:rPr>
          <w:rFonts w:ascii="Times New Roman" w:hAnsi="Times New Roman" w:eastAsia="Times New Roman" w:cs="Times New Roman"/>
          <w:spacing w:val="5"/>
          <w:sz w:val="18"/>
          <w:szCs w:val="18"/>
        </w:rPr>
        <w:t>158</w:t>
      </w:r>
    </w:p>
    <w:p w14:paraId="404AAA25">
      <w:pPr>
        <w:spacing w:before="106" w:line="212" w:lineRule="auto"/>
        <w:rPr>
          <w:rFonts w:ascii="Times New Roman" w:hAnsi="Times New Roman" w:eastAsia="Times New Roman" w:cs="Times New Roman"/>
          <w:sz w:val="18"/>
          <w:szCs w:val="18"/>
        </w:rPr>
      </w:pPr>
      <w:r>
        <w:rPr>
          <w:rFonts w:ascii="宋体" w:hAnsi="宋体" w:eastAsia="宋体" w:cs="宋体"/>
          <w:spacing w:val="4"/>
          <w:sz w:val="18"/>
          <w:szCs w:val="18"/>
        </w:rPr>
        <w:t>亚组分析</w:t>
      </w:r>
      <w:r>
        <w:rPr>
          <w:rFonts w:ascii="宋体" w:hAnsi="宋体" w:eastAsia="宋体" w:cs="宋体"/>
          <w:spacing w:val="86"/>
          <w:sz w:val="18"/>
          <w:szCs w:val="18"/>
        </w:rPr>
        <w:t xml:space="preserve"> </w:t>
      </w:r>
      <w:r>
        <w:rPr>
          <w:rFonts w:ascii="Times New Roman" w:hAnsi="Times New Roman" w:eastAsia="Times New Roman" w:cs="Times New Roman"/>
          <w:sz w:val="18"/>
          <w:szCs w:val="18"/>
        </w:rPr>
        <w:t>subgroup</w:t>
      </w:r>
      <w:r>
        <w:rPr>
          <w:rFonts w:ascii="Times New Roman" w:hAnsi="Times New Roman" w:eastAsia="Times New Roman" w:cs="Times New Roman"/>
          <w:spacing w:val="4"/>
          <w:sz w:val="18"/>
          <w:szCs w:val="18"/>
        </w:rPr>
        <w:t xml:space="preserve">   </w:t>
      </w:r>
      <w:r>
        <w:rPr>
          <w:rFonts w:ascii="Times New Roman" w:hAnsi="Times New Roman" w:eastAsia="Times New Roman" w:cs="Times New Roman"/>
          <w:sz w:val="18"/>
          <w:szCs w:val="18"/>
        </w:rPr>
        <w:t>analysis</w:t>
      </w:r>
      <w:r>
        <w:rPr>
          <w:rFonts w:ascii="Times New Roman" w:hAnsi="Times New Roman" w:eastAsia="Times New Roman" w:cs="Times New Roman"/>
          <w:spacing w:val="4"/>
          <w:sz w:val="18"/>
          <w:szCs w:val="18"/>
        </w:rPr>
        <w:t xml:space="preserve">   257</w:t>
      </w:r>
    </w:p>
    <w:sdt>
      <w:sdtPr>
        <w:rPr>
          <w:rFonts w:ascii="宋体" w:hAnsi="宋体" w:eastAsia="宋体" w:cs="宋体"/>
          <w:sz w:val="18"/>
          <w:szCs w:val="18"/>
        </w:rPr>
        <w:id w:val="777378772"/>
        <w:docPartObj>
          <w:docPartGallery w:val="Table of Contents"/>
          <w:docPartUnique/>
        </w:docPartObj>
      </w:sdtPr>
      <w:sdtEndPr>
        <w:rPr>
          <w:rFonts w:ascii="Times New Roman" w:hAnsi="Times New Roman" w:eastAsia="Times New Roman" w:cs="Times New Roman"/>
          <w:sz w:val="18"/>
          <w:szCs w:val="18"/>
        </w:rPr>
      </w:sdtEndPr>
      <w:sdtContent>
        <w:p w14:paraId="56E2360C">
          <w:pPr>
            <w:spacing w:before="133" w:line="212" w:lineRule="auto"/>
            <w:rPr>
              <w:rFonts w:ascii="Times New Roman" w:hAnsi="Times New Roman" w:eastAsia="Times New Roman" w:cs="Times New Roman"/>
              <w:sz w:val="18"/>
              <w:szCs w:val="18"/>
            </w:rPr>
          </w:pPr>
          <w:r>
            <w:rPr>
              <w:rFonts w:ascii="宋体" w:hAnsi="宋体" w:eastAsia="宋体" w:cs="宋体"/>
              <w:spacing w:val="5"/>
              <w:sz w:val="18"/>
              <w:szCs w:val="18"/>
            </w:rPr>
            <w:t>炎症型腹泻</w:t>
          </w:r>
          <w:r>
            <w:rPr>
              <w:rFonts w:ascii="宋体" w:hAnsi="宋体" w:eastAsia="宋体" w:cs="宋体"/>
              <w:spacing w:val="91"/>
              <w:sz w:val="18"/>
              <w:szCs w:val="18"/>
            </w:rPr>
            <w:t xml:space="preserve"> </w:t>
          </w:r>
          <w:r>
            <w:rPr>
              <w:rFonts w:ascii="Times New Roman" w:hAnsi="Times New Roman" w:eastAsia="Times New Roman" w:cs="Times New Roman"/>
              <w:sz w:val="18"/>
              <w:szCs w:val="18"/>
            </w:rPr>
            <w:t>inflammatory</w:t>
          </w:r>
          <w:r>
            <w:rPr>
              <w:rFonts w:ascii="Times New Roman" w:hAnsi="Times New Roman" w:eastAsia="Times New Roman" w:cs="Times New Roman"/>
              <w:spacing w:val="17"/>
              <w:w w:val="101"/>
              <w:sz w:val="18"/>
              <w:szCs w:val="18"/>
            </w:rPr>
            <w:t xml:space="preserve">  </w:t>
          </w:r>
          <w:r>
            <w:rPr>
              <w:rFonts w:ascii="Times New Roman" w:hAnsi="Times New Roman" w:eastAsia="Times New Roman" w:cs="Times New Roman"/>
              <w:sz w:val="18"/>
              <w:szCs w:val="18"/>
            </w:rPr>
            <w:t>diarrhea</w:t>
          </w:r>
          <w:r>
            <w:rPr>
              <w:rFonts w:ascii="Times New Roman" w:hAnsi="Times New Roman" w:eastAsia="Times New Roman" w:cs="Times New Roman"/>
              <w:spacing w:val="18"/>
              <w:sz w:val="18"/>
              <w:szCs w:val="18"/>
            </w:rPr>
            <w:t xml:space="preserve">  </w:t>
          </w:r>
          <w:r>
            <w:fldChar w:fldCharType="begin"/>
          </w:r>
          <w:r>
            <w:instrText xml:space="preserve"> HYPERLINK \l "bookmark723" </w:instrText>
          </w:r>
          <w:r>
            <w:fldChar w:fldCharType="separate"/>
          </w:r>
          <w:r>
            <w:rPr>
              <w:rFonts w:ascii="Times New Roman" w:hAnsi="Times New Roman" w:eastAsia="Times New Roman" w:cs="Times New Roman"/>
              <w:spacing w:val="5"/>
              <w:sz w:val="18"/>
              <w:szCs w:val="18"/>
            </w:rPr>
            <w:t>318</w:t>
          </w:r>
          <w:r>
            <w:rPr>
              <w:rFonts w:ascii="Times New Roman" w:hAnsi="Times New Roman" w:eastAsia="Times New Roman" w:cs="Times New Roman"/>
              <w:spacing w:val="5"/>
              <w:sz w:val="18"/>
              <w:szCs w:val="18"/>
            </w:rPr>
            <w:fldChar w:fldCharType="end"/>
          </w:r>
        </w:p>
        <w:p w14:paraId="3F54D751">
          <w:pPr>
            <w:spacing w:before="134" w:line="212" w:lineRule="auto"/>
            <w:rPr>
              <w:rFonts w:ascii="Times New Roman" w:hAnsi="Times New Roman" w:eastAsia="Times New Roman" w:cs="Times New Roman"/>
              <w:sz w:val="18"/>
              <w:szCs w:val="18"/>
            </w:rPr>
          </w:pPr>
          <w:r>
            <w:rPr>
              <w:rFonts w:ascii="宋体" w:hAnsi="宋体" w:eastAsia="宋体" w:cs="宋体"/>
              <w:spacing w:val="6"/>
              <w:sz w:val="18"/>
              <w:szCs w:val="18"/>
            </w:rPr>
            <w:t>研究功效</w:t>
          </w:r>
          <w:r>
            <w:rPr>
              <w:rFonts w:ascii="宋体" w:hAnsi="宋体" w:eastAsia="宋体" w:cs="宋体"/>
              <w:spacing w:val="90"/>
              <w:sz w:val="18"/>
              <w:szCs w:val="18"/>
            </w:rPr>
            <w:t xml:space="preserve"> </w:t>
          </w:r>
          <w:r>
            <w:rPr>
              <w:rFonts w:ascii="Times New Roman" w:hAnsi="Times New Roman" w:eastAsia="Times New Roman" w:cs="Times New Roman"/>
              <w:sz w:val="18"/>
              <w:szCs w:val="18"/>
            </w:rPr>
            <w:t>power</w:t>
          </w:r>
          <w:r>
            <w:rPr>
              <w:rFonts w:ascii="Times New Roman" w:hAnsi="Times New Roman" w:eastAsia="Times New Roman" w:cs="Times New Roman"/>
              <w:spacing w:val="6"/>
              <w:sz w:val="18"/>
              <w:szCs w:val="18"/>
            </w:rPr>
            <w:t xml:space="preserve">    </w:t>
          </w:r>
          <w:r>
            <w:fldChar w:fldCharType="begin"/>
          </w:r>
          <w:r>
            <w:instrText xml:space="preserve"> HYPERLINK \l "bookmark724" </w:instrText>
          </w:r>
          <w:r>
            <w:fldChar w:fldCharType="separate"/>
          </w:r>
          <w:r>
            <w:rPr>
              <w:rFonts w:ascii="Times New Roman" w:hAnsi="Times New Roman" w:eastAsia="Times New Roman" w:cs="Times New Roman"/>
              <w:spacing w:val="6"/>
              <w:sz w:val="18"/>
              <w:szCs w:val="18"/>
            </w:rPr>
            <w:t>77</w:t>
          </w:r>
          <w:r>
            <w:rPr>
              <w:rFonts w:ascii="Times New Roman" w:hAnsi="Times New Roman" w:eastAsia="Times New Roman" w:cs="Times New Roman"/>
              <w:spacing w:val="6"/>
              <w:sz w:val="18"/>
              <w:szCs w:val="18"/>
            </w:rPr>
            <w:fldChar w:fldCharType="end"/>
          </w:r>
        </w:p>
      </w:sdtContent>
    </w:sdt>
    <w:p w14:paraId="63D80E3A">
      <w:pPr>
        <w:spacing w:before="133" w:line="212" w:lineRule="auto"/>
        <w:rPr>
          <w:rFonts w:ascii="Times New Roman" w:hAnsi="Times New Roman" w:eastAsia="Times New Roman" w:cs="Times New Roman"/>
          <w:sz w:val="18"/>
          <w:szCs w:val="18"/>
        </w:rPr>
      </w:pPr>
      <w:r>
        <w:rPr>
          <w:rFonts w:ascii="宋体" w:hAnsi="宋体" w:eastAsia="宋体" w:cs="宋体"/>
          <w:spacing w:val="3"/>
          <w:sz w:val="18"/>
          <w:szCs w:val="18"/>
        </w:rPr>
        <w:t>研究质量</w:t>
      </w:r>
      <w:r>
        <w:rPr>
          <w:rFonts w:ascii="宋体" w:hAnsi="宋体" w:eastAsia="宋体" w:cs="宋体"/>
          <w:spacing w:val="89"/>
          <w:sz w:val="18"/>
          <w:szCs w:val="18"/>
        </w:rPr>
        <w:t xml:space="preserve"> </w:t>
      </w:r>
      <w:r>
        <w:rPr>
          <w:rFonts w:ascii="Times New Roman" w:hAnsi="Times New Roman" w:eastAsia="Times New Roman" w:cs="Times New Roman"/>
          <w:sz w:val="18"/>
          <w:szCs w:val="18"/>
        </w:rPr>
        <w:t>methodological</w:t>
      </w:r>
      <w:r>
        <w:rPr>
          <w:rFonts w:ascii="Times New Roman" w:hAnsi="Times New Roman" w:eastAsia="Times New Roman" w:cs="Times New Roman"/>
          <w:spacing w:val="17"/>
          <w:sz w:val="18"/>
          <w:szCs w:val="18"/>
        </w:rPr>
        <w:t xml:space="preserve">  </w:t>
      </w:r>
      <w:r>
        <w:rPr>
          <w:rFonts w:ascii="Times New Roman" w:hAnsi="Times New Roman" w:eastAsia="Times New Roman" w:cs="Times New Roman"/>
          <w:sz w:val="18"/>
          <w:szCs w:val="18"/>
        </w:rPr>
        <w:t>quality</w:t>
      </w:r>
      <w:r>
        <w:rPr>
          <w:rFonts w:ascii="Times New Roman" w:hAnsi="Times New Roman" w:eastAsia="Times New Roman" w:cs="Times New Roman"/>
          <w:spacing w:val="3"/>
          <w:sz w:val="18"/>
          <w:szCs w:val="18"/>
        </w:rPr>
        <w:t xml:space="preserve">   131</w:t>
      </w:r>
    </w:p>
    <w:p w14:paraId="40481B22">
      <w:pPr>
        <w:spacing w:before="124" w:line="212" w:lineRule="auto"/>
        <w:rPr>
          <w:rFonts w:ascii="Times New Roman" w:hAnsi="Times New Roman" w:eastAsia="Times New Roman" w:cs="Times New Roman"/>
          <w:sz w:val="18"/>
          <w:szCs w:val="18"/>
        </w:rPr>
      </w:pPr>
      <w:r>
        <w:rPr>
          <w:rFonts w:ascii="宋体" w:hAnsi="宋体" w:eastAsia="宋体" w:cs="宋体"/>
          <w:spacing w:val="3"/>
          <w:sz w:val="18"/>
          <w:szCs w:val="18"/>
        </w:rPr>
        <w:t>阳性似然比</w:t>
      </w:r>
      <w:r>
        <w:rPr>
          <w:rFonts w:ascii="宋体" w:hAnsi="宋体" w:eastAsia="宋体" w:cs="宋体"/>
          <w:spacing w:val="78"/>
          <w:sz w:val="18"/>
          <w:szCs w:val="18"/>
        </w:rPr>
        <w:t xml:space="preserve"> </w:t>
      </w:r>
      <w:r>
        <w:rPr>
          <w:rFonts w:ascii="Times New Roman" w:hAnsi="Times New Roman" w:eastAsia="Times New Roman" w:cs="Times New Roman"/>
          <w:sz w:val="18"/>
          <w:szCs w:val="18"/>
        </w:rPr>
        <w:t>positive</w:t>
      </w:r>
      <w:r>
        <w:rPr>
          <w:rFonts w:ascii="Times New Roman" w:hAnsi="Times New Roman" w:eastAsia="Times New Roman" w:cs="Times New Roman"/>
          <w:spacing w:val="3"/>
          <w:sz w:val="18"/>
          <w:szCs w:val="18"/>
        </w:rPr>
        <w:t xml:space="preserve">  </w:t>
      </w:r>
      <w:r>
        <w:rPr>
          <w:rFonts w:ascii="Times New Roman" w:hAnsi="Times New Roman" w:eastAsia="Times New Roman" w:cs="Times New Roman"/>
          <w:sz w:val="18"/>
          <w:szCs w:val="18"/>
        </w:rPr>
        <w:t>likelihood</w:t>
      </w:r>
      <w:r>
        <w:rPr>
          <w:rFonts w:ascii="Times New Roman" w:hAnsi="Times New Roman" w:eastAsia="Times New Roman" w:cs="Times New Roman"/>
          <w:spacing w:val="9"/>
          <w:sz w:val="18"/>
          <w:szCs w:val="18"/>
        </w:rPr>
        <w:t xml:space="preserve">  </w:t>
      </w:r>
      <w:r>
        <w:rPr>
          <w:rFonts w:ascii="Times New Roman" w:hAnsi="Times New Roman" w:eastAsia="Times New Roman" w:cs="Times New Roman"/>
          <w:sz w:val="18"/>
          <w:szCs w:val="18"/>
        </w:rPr>
        <w:t>ratio</w:t>
      </w:r>
      <w:r>
        <w:rPr>
          <w:rFonts w:ascii="Times New Roman" w:hAnsi="Times New Roman" w:eastAsia="Times New Roman" w:cs="Times New Roman"/>
          <w:spacing w:val="3"/>
          <w:sz w:val="18"/>
          <w:szCs w:val="18"/>
        </w:rPr>
        <w:t>,+</w:t>
      </w:r>
      <w:r>
        <w:rPr>
          <w:rFonts w:ascii="Times New Roman" w:hAnsi="Times New Roman" w:eastAsia="Times New Roman" w:cs="Times New Roman"/>
          <w:sz w:val="18"/>
          <w:szCs w:val="18"/>
        </w:rPr>
        <w:t>LR</w:t>
      </w:r>
      <w:r>
        <w:rPr>
          <w:rFonts w:ascii="Times New Roman" w:hAnsi="Times New Roman" w:eastAsia="Times New Roman" w:cs="Times New Roman"/>
          <w:spacing w:val="3"/>
          <w:sz w:val="18"/>
          <w:szCs w:val="18"/>
        </w:rPr>
        <w:t xml:space="preserve">   106</w:t>
      </w:r>
    </w:p>
    <w:p w14:paraId="1F3031DE">
      <w:pPr>
        <w:spacing w:before="122" w:line="329" w:lineRule="auto"/>
        <w:ind w:right="1072"/>
        <w:rPr>
          <w:rFonts w:ascii="Times New Roman" w:hAnsi="Times New Roman" w:eastAsia="Times New Roman" w:cs="Times New Roman"/>
          <w:sz w:val="18"/>
          <w:szCs w:val="18"/>
        </w:rPr>
      </w:pPr>
      <w:r>
        <w:rPr>
          <w:rFonts w:ascii="宋体" w:hAnsi="宋体" w:eastAsia="宋体" w:cs="宋体"/>
          <w:spacing w:val="3"/>
          <w:sz w:val="18"/>
          <w:szCs w:val="18"/>
        </w:rPr>
        <w:t>阳性预测值</w:t>
      </w:r>
      <w:r>
        <w:rPr>
          <w:rFonts w:ascii="宋体" w:hAnsi="宋体" w:eastAsia="宋体" w:cs="宋体"/>
          <w:spacing w:val="85"/>
          <w:sz w:val="18"/>
          <w:szCs w:val="18"/>
        </w:rPr>
        <w:t xml:space="preserve"> </w:t>
      </w:r>
      <w:r>
        <w:rPr>
          <w:rFonts w:ascii="Times New Roman" w:hAnsi="Times New Roman" w:eastAsia="Times New Roman" w:cs="Times New Roman"/>
          <w:sz w:val="18"/>
          <w:szCs w:val="18"/>
        </w:rPr>
        <w:t>positive</w:t>
      </w:r>
      <w:r>
        <w:rPr>
          <w:rFonts w:ascii="Times New Roman" w:hAnsi="Times New Roman" w:eastAsia="Times New Roman" w:cs="Times New Roman"/>
          <w:spacing w:val="3"/>
          <w:sz w:val="18"/>
          <w:szCs w:val="18"/>
        </w:rPr>
        <w:t xml:space="preserve">   </w:t>
      </w:r>
      <w:r>
        <w:rPr>
          <w:rFonts w:ascii="Times New Roman" w:hAnsi="Times New Roman" w:eastAsia="Times New Roman" w:cs="Times New Roman"/>
          <w:sz w:val="18"/>
          <w:szCs w:val="18"/>
        </w:rPr>
        <w:t>predictive</w:t>
      </w:r>
      <w:r>
        <w:rPr>
          <w:rFonts w:ascii="Times New Roman" w:hAnsi="Times New Roman" w:eastAsia="Times New Roman" w:cs="Times New Roman"/>
          <w:spacing w:val="3"/>
          <w:sz w:val="18"/>
          <w:szCs w:val="18"/>
        </w:rPr>
        <w:t xml:space="preserve">    </w:t>
      </w:r>
      <w:r>
        <w:rPr>
          <w:rFonts w:ascii="Times New Roman" w:hAnsi="Times New Roman" w:eastAsia="Times New Roman" w:cs="Times New Roman"/>
          <w:sz w:val="18"/>
          <w:szCs w:val="18"/>
        </w:rPr>
        <w:t>value</w:t>
      </w:r>
      <w:r>
        <w:rPr>
          <w:rFonts w:ascii="Times New Roman" w:hAnsi="Times New Roman" w:eastAsia="Times New Roman" w:cs="Times New Roman"/>
          <w:spacing w:val="3"/>
          <w:sz w:val="18"/>
          <w:szCs w:val="18"/>
        </w:rPr>
        <w:t>,</w:t>
      </w:r>
      <w:r>
        <w:rPr>
          <w:rFonts w:ascii="Times New Roman" w:hAnsi="Times New Roman" w:eastAsia="Times New Roman" w:cs="Times New Roman"/>
          <w:sz w:val="18"/>
          <w:szCs w:val="18"/>
        </w:rPr>
        <w:t>Pr</w:t>
      </w:r>
      <w:r>
        <w:rPr>
          <w:rFonts w:ascii="Times New Roman" w:hAnsi="Times New Roman" w:eastAsia="Times New Roman" w:cs="Times New Roman"/>
          <w:spacing w:val="3"/>
          <w:sz w:val="18"/>
          <w:szCs w:val="18"/>
        </w:rPr>
        <w:t>+107</w:t>
      </w:r>
      <w:r>
        <w:rPr>
          <w:rFonts w:ascii="Times New Roman" w:hAnsi="Times New Roman" w:eastAsia="Times New Roman" w:cs="Times New Roman"/>
          <w:sz w:val="18"/>
          <w:szCs w:val="18"/>
        </w:rPr>
        <w:t xml:space="preserve"> </w:t>
      </w:r>
      <w:r>
        <w:rPr>
          <w:rFonts w:ascii="宋体" w:hAnsi="宋体" w:eastAsia="宋体" w:cs="宋体"/>
          <w:spacing w:val="3"/>
          <w:sz w:val="18"/>
          <w:szCs w:val="18"/>
        </w:rPr>
        <w:t>医源性传播</w:t>
      </w:r>
      <w:r>
        <w:rPr>
          <w:rFonts w:ascii="宋体" w:hAnsi="宋体" w:eastAsia="宋体" w:cs="宋体"/>
          <w:spacing w:val="4"/>
          <w:sz w:val="18"/>
          <w:szCs w:val="18"/>
        </w:rPr>
        <w:t xml:space="preserve">  </w:t>
      </w:r>
      <w:r>
        <w:rPr>
          <w:rFonts w:ascii="Times New Roman" w:hAnsi="Times New Roman" w:eastAsia="Times New Roman" w:cs="Times New Roman"/>
          <w:sz w:val="18"/>
          <w:szCs w:val="18"/>
        </w:rPr>
        <w:t>iatrogenic</w:t>
      </w:r>
      <w:r>
        <w:rPr>
          <w:rFonts w:ascii="Times New Roman" w:hAnsi="Times New Roman" w:eastAsia="Times New Roman" w:cs="Times New Roman"/>
          <w:spacing w:val="3"/>
          <w:sz w:val="18"/>
          <w:szCs w:val="18"/>
        </w:rPr>
        <w:t xml:space="preserve">  </w:t>
      </w:r>
      <w:r>
        <w:rPr>
          <w:rFonts w:ascii="Times New Roman" w:hAnsi="Times New Roman" w:eastAsia="Times New Roman" w:cs="Times New Roman"/>
          <w:sz w:val="18"/>
          <w:szCs w:val="18"/>
        </w:rPr>
        <w:t>transmission</w:t>
      </w:r>
      <w:r>
        <w:rPr>
          <w:rFonts w:ascii="Times New Roman" w:hAnsi="Times New Roman" w:eastAsia="Times New Roman" w:cs="Times New Roman"/>
          <w:spacing w:val="3"/>
          <w:sz w:val="18"/>
          <w:szCs w:val="18"/>
        </w:rPr>
        <w:t xml:space="preserve">   162</w:t>
      </w:r>
    </w:p>
    <w:p w14:paraId="729FAA28">
      <w:pPr>
        <w:spacing w:before="19" w:line="212" w:lineRule="auto"/>
        <w:rPr>
          <w:rFonts w:ascii="Times New Roman" w:hAnsi="Times New Roman" w:eastAsia="Times New Roman" w:cs="Times New Roman"/>
          <w:sz w:val="18"/>
          <w:szCs w:val="18"/>
        </w:rPr>
      </w:pPr>
      <w:r>
        <w:rPr>
          <w:rFonts w:ascii="宋体" w:hAnsi="宋体" w:eastAsia="宋体" w:cs="宋体"/>
          <w:spacing w:val="3"/>
          <w:sz w:val="18"/>
          <w:szCs w:val="18"/>
        </w:rPr>
        <w:t>医源性感染</w:t>
      </w:r>
      <w:r>
        <w:rPr>
          <w:rFonts w:ascii="宋体" w:hAnsi="宋体" w:eastAsia="宋体" w:cs="宋体"/>
          <w:spacing w:val="87"/>
          <w:sz w:val="18"/>
          <w:szCs w:val="18"/>
        </w:rPr>
        <w:t xml:space="preserve"> </w:t>
      </w:r>
      <w:r>
        <w:rPr>
          <w:rFonts w:ascii="Times New Roman" w:hAnsi="Times New Roman" w:eastAsia="Times New Roman" w:cs="Times New Roman"/>
          <w:sz w:val="18"/>
          <w:szCs w:val="18"/>
        </w:rPr>
        <w:t>iatrogenic</w:t>
      </w:r>
      <w:r>
        <w:rPr>
          <w:rFonts w:ascii="Times New Roman" w:hAnsi="Times New Roman" w:eastAsia="Times New Roman" w:cs="Times New Roman"/>
          <w:spacing w:val="18"/>
          <w:w w:val="102"/>
          <w:sz w:val="18"/>
          <w:szCs w:val="18"/>
        </w:rPr>
        <w:t xml:space="preserve">  </w:t>
      </w:r>
      <w:r>
        <w:rPr>
          <w:rFonts w:ascii="Times New Roman" w:hAnsi="Times New Roman" w:eastAsia="Times New Roman" w:cs="Times New Roman"/>
          <w:sz w:val="18"/>
          <w:szCs w:val="18"/>
        </w:rPr>
        <w:t>infection</w:t>
      </w:r>
      <w:r>
        <w:rPr>
          <w:rFonts w:ascii="Times New Roman" w:hAnsi="Times New Roman" w:eastAsia="Times New Roman" w:cs="Times New Roman"/>
          <w:spacing w:val="3"/>
          <w:sz w:val="18"/>
          <w:szCs w:val="18"/>
        </w:rPr>
        <w:t xml:space="preserve">   174</w:t>
      </w:r>
    </w:p>
    <w:p w14:paraId="645AAA96">
      <w:pPr>
        <w:spacing w:before="152" w:line="212" w:lineRule="auto"/>
        <w:rPr>
          <w:rFonts w:ascii="Times New Roman" w:hAnsi="Times New Roman" w:eastAsia="Times New Roman" w:cs="Times New Roman"/>
          <w:sz w:val="18"/>
          <w:szCs w:val="18"/>
        </w:rPr>
      </w:pPr>
      <w:r>
        <w:rPr>
          <w:rFonts w:ascii="宋体" w:hAnsi="宋体" w:eastAsia="宋体" w:cs="宋体"/>
          <w:spacing w:val="2"/>
          <w:sz w:val="18"/>
          <w:szCs w:val="18"/>
        </w:rPr>
        <w:t>医院感染</w:t>
      </w:r>
      <w:r>
        <w:rPr>
          <w:rFonts w:ascii="宋体" w:hAnsi="宋体" w:eastAsia="宋体" w:cs="宋体"/>
          <w:spacing w:val="84"/>
          <w:sz w:val="18"/>
          <w:szCs w:val="18"/>
        </w:rPr>
        <w:t xml:space="preserve"> </w:t>
      </w:r>
      <w:r>
        <w:rPr>
          <w:rFonts w:ascii="Times New Roman" w:hAnsi="Times New Roman" w:eastAsia="Times New Roman" w:cs="Times New Roman"/>
          <w:sz w:val="18"/>
          <w:szCs w:val="18"/>
        </w:rPr>
        <w:t>healthcare</w:t>
      </w:r>
      <w:r>
        <w:rPr>
          <w:rFonts w:ascii="Times New Roman" w:hAnsi="Times New Roman" w:eastAsia="Times New Roman" w:cs="Times New Roman"/>
          <w:spacing w:val="2"/>
          <w:sz w:val="18"/>
          <w:szCs w:val="18"/>
        </w:rPr>
        <w:t>-</w:t>
      </w:r>
      <w:r>
        <w:rPr>
          <w:rFonts w:ascii="Times New Roman" w:hAnsi="Times New Roman" w:eastAsia="Times New Roman" w:cs="Times New Roman"/>
          <w:sz w:val="18"/>
          <w:szCs w:val="18"/>
        </w:rPr>
        <w:t>associated</w:t>
      </w:r>
      <w:r>
        <w:rPr>
          <w:rFonts w:ascii="Times New Roman" w:hAnsi="Times New Roman" w:eastAsia="Times New Roman" w:cs="Times New Roman"/>
          <w:spacing w:val="2"/>
          <w:sz w:val="18"/>
          <w:szCs w:val="18"/>
        </w:rPr>
        <w:t xml:space="preserve">   </w:t>
      </w:r>
      <w:r>
        <w:rPr>
          <w:rFonts w:ascii="Times New Roman" w:hAnsi="Times New Roman" w:eastAsia="Times New Roman" w:cs="Times New Roman"/>
          <w:sz w:val="18"/>
          <w:szCs w:val="18"/>
        </w:rPr>
        <w:t>infection</w:t>
      </w:r>
      <w:r>
        <w:rPr>
          <w:rFonts w:ascii="Times New Roman" w:hAnsi="Times New Roman" w:eastAsia="Times New Roman" w:cs="Times New Roman"/>
          <w:spacing w:val="2"/>
          <w:sz w:val="18"/>
          <w:szCs w:val="18"/>
        </w:rPr>
        <w:t>,</w:t>
      </w:r>
      <w:r>
        <w:rPr>
          <w:rFonts w:ascii="Times New Roman" w:hAnsi="Times New Roman" w:eastAsia="Times New Roman" w:cs="Times New Roman"/>
          <w:sz w:val="18"/>
          <w:szCs w:val="18"/>
        </w:rPr>
        <w:t>HAI</w:t>
      </w:r>
      <w:r>
        <w:rPr>
          <w:rFonts w:ascii="Times New Roman" w:hAnsi="Times New Roman" w:eastAsia="Times New Roman" w:cs="Times New Roman"/>
          <w:spacing w:val="9"/>
          <w:sz w:val="18"/>
          <w:szCs w:val="18"/>
        </w:rPr>
        <w:t xml:space="preserve">   </w:t>
      </w:r>
      <w:r>
        <w:rPr>
          <w:rFonts w:ascii="Times New Roman" w:hAnsi="Times New Roman" w:eastAsia="Times New Roman" w:cs="Times New Roman"/>
          <w:spacing w:val="2"/>
          <w:sz w:val="18"/>
          <w:szCs w:val="18"/>
        </w:rPr>
        <w:t>173</w:t>
      </w:r>
    </w:p>
    <w:p w14:paraId="174B6F41">
      <w:pPr>
        <w:spacing w:before="156" w:line="357" w:lineRule="auto"/>
        <w:ind w:left="230" w:right="375" w:hanging="230"/>
        <w:rPr>
          <w:rFonts w:ascii="Times New Roman" w:hAnsi="Times New Roman" w:eastAsia="Times New Roman" w:cs="Times New Roman"/>
          <w:sz w:val="18"/>
          <w:szCs w:val="18"/>
        </w:rPr>
      </w:pPr>
      <w:r>
        <w:rPr>
          <w:rFonts w:ascii="宋体" w:hAnsi="宋体" w:eastAsia="宋体" w:cs="宋体"/>
          <w:spacing w:val="2"/>
          <w:sz w:val="18"/>
          <w:szCs w:val="18"/>
        </w:rPr>
        <w:t>医院感染监测</w:t>
      </w:r>
      <w:r>
        <w:rPr>
          <w:rFonts w:ascii="宋体" w:hAnsi="宋体" w:eastAsia="宋体" w:cs="宋体"/>
          <w:spacing w:val="82"/>
          <w:sz w:val="18"/>
          <w:szCs w:val="18"/>
        </w:rPr>
        <w:t xml:space="preserve"> </w:t>
      </w:r>
      <w:r>
        <w:rPr>
          <w:rFonts w:ascii="Times New Roman" w:hAnsi="Times New Roman" w:eastAsia="Times New Roman" w:cs="Times New Roman"/>
          <w:sz w:val="18"/>
          <w:szCs w:val="18"/>
        </w:rPr>
        <w:t>healthcare</w:t>
      </w:r>
      <w:r>
        <w:rPr>
          <w:rFonts w:ascii="Times New Roman" w:hAnsi="Times New Roman" w:eastAsia="Times New Roman" w:cs="Times New Roman"/>
          <w:spacing w:val="2"/>
          <w:sz w:val="18"/>
          <w:szCs w:val="18"/>
        </w:rPr>
        <w:t xml:space="preserve"> </w:t>
      </w:r>
      <w:r>
        <w:rPr>
          <w:rFonts w:ascii="Times New Roman" w:hAnsi="Times New Roman" w:eastAsia="Times New Roman" w:cs="Times New Roman"/>
          <w:sz w:val="18"/>
          <w:szCs w:val="18"/>
        </w:rPr>
        <w:t>associated</w:t>
      </w:r>
      <w:r>
        <w:rPr>
          <w:rFonts w:ascii="Times New Roman" w:hAnsi="Times New Roman" w:eastAsia="Times New Roman" w:cs="Times New Roman"/>
          <w:spacing w:val="2"/>
          <w:sz w:val="18"/>
          <w:szCs w:val="18"/>
        </w:rPr>
        <w:t xml:space="preserve"> </w:t>
      </w:r>
      <w:r>
        <w:rPr>
          <w:rFonts w:ascii="Times New Roman" w:hAnsi="Times New Roman" w:eastAsia="Times New Roman" w:cs="Times New Roman"/>
          <w:sz w:val="18"/>
          <w:szCs w:val="18"/>
        </w:rPr>
        <w:t>infection</w:t>
      </w:r>
      <w:r>
        <w:rPr>
          <w:rFonts w:ascii="Times New Roman" w:hAnsi="Times New Roman" w:eastAsia="Times New Roman" w:cs="Times New Roman"/>
          <w:spacing w:val="2"/>
          <w:sz w:val="18"/>
          <w:szCs w:val="18"/>
        </w:rPr>
        <w:t xml:space="preserve"> </w:t>
      </w:r>
      <w:r>
        <w:rPr>
          <w:rFonts w:ascii="Times New Roman" w:hAnsi="Times New Roman" w:eastAsia="Times New Roman" w:cs="Times New Roman"/>
          <w:sz w:val="18"/>
          <w:szCs w:val="18"/>
        </w:rPr>
        <w:t xml:space="preserve">surveillance </w:t>
      </w:r>
      <w:r>
        <w:rPr>
          <w:rFonts w:ascii="Times New Roman" w:hAnsi="Times New Roman" w:eastAsia="Times New Roman" w:cs="Times New Roman"/>
          <w:spacing w:val="-3"/>
          <w:sz w:val="18"/>
          <w:szCs w:val="18"/>
        </w:rPr>
        <w:t>149,175</w:t>
      </w:r>
    </w:p>
    <w:p w14:paraId="52C4D2A8">
      <w:pPr>
        <w:spacing w:before="23" w:line="212" w:lineRule="auto"/>
        <w:rPr>
          <w:rFonts w:ascii="Times New Roman" w:hAnsi="Times New Roman" w:eastAsia="Times New Roman" w:cs="Times New Roman"/>
          <w:sz w:val="18"/>
          <w:szCs w:val="18"/>
        </w:rPr>
      </w:pPr>
      <w:r>
        <w:rPr>
          <w:rFonts w:ascii="宋体" w:hAnsi="宋体" w:eastAsia="宋体" w:cs="宋体"/>
          <w:spacing w:val="5"/>
          <w:sz w:val="18"/>
          <w:szCs w:val="18"/>
        </w:rPr>
        <w:t>移民流行病学</w:t>
      </w:r>
      <w:r>
        <w:rPr>
          <w:rFonts w:ascii="宋体" w:hAnsi="宋体" w:eastAsia="宋体" w:cs="宋体"/>
          <w:sz w:val="18"/>
          <w:szCs w:val="18"/>
        </w:rPr>
        <w:t xml:space="preserve">  </w:t>
      </w:r>
      <w:r>
        <w:rPr>
          <w:rFonts w:ascii="Times New Roman" w:hAnsi="Times New Roman" w:eastAsia="Times New Roman" w:cs="Times New Roman"/>
          <w:sz w:val="18"/>
          <w:szCs w:val="18"/>
        </w:rPr>
        <w:t>migrant</w:t>
      </w:r>
      <w:r>
        <w:rPr>
          <w:rFonts w:ascii="Times New Roman" w:hAnsi="Times New Roman" w:eastAsia="Times New Roman" w:cs="Times New Roman"/>
          <w:spacing w:val="5"/>
          <w:sz w:val="18"/>
          <w:szCs w:val="18"/>
        </w:rPr>
        <w:t xml:space="preserve">  </w:t>
      </w:r>
      <w:r>
        <w:rPr>
          <w:rFonts w:ascii="Times New Roman" w:hAnsi="Times New Roman" w:eastAsia="Times New Roman" w:cs="Times New Roman"/>
          <w:sz w:val="18"/>
          <w:szCs w:val="18"/>
        </w:rPr>
        <w:t>epidemiology</w:t>
      </w:r>
      <w:r>
        <w:rPr>
          <w:rFonts w:ascii="Times New Roman" w:hAnsi="Times New Roman" w:eastAsia="Times New Roman" w:cs="Times New Roman"/>
          <w:spacing w:val="5"/>
          <w:sz w:val="18"/>
          <w:szCs w:val="18"/>
        </w:rPr>
        <w:t xml:space="preserve">  27</w:t>
      </w:r>
    </w:p>
    <w:p w14:paraId="5CEF602F">
      <w:pPr>
        <w:spacing w:before="159" w:line="332" w:lineRule="auto"/>
        <w:ind w:left="230" w:right="424" w:hanging="230"/>
        <w:rPr>
          <w:rFonts w:ascii="Times New Roman" w:hAnsi="Times New Roman" w:eastAsia="Times New Roman" w:cs="Times New Roman"/>
          <w:sz w:val="18"/>
          <w:szCs w:val="18"/>
        </w:rPr>
      </w:pPr>
      <w:r>
        <w:rPr>
          <w:rFonts w:ascii="宋体" w:hAnsi="宋体" w:eastAsia="宋体" w:cs="宋体"/>
          <w:spacing w:val="-10"/>
          <w:sz w:val="18"/>
          <w:szCs w:val="18"/>
        </w:rPr>
        <w:t>疑似预防接种异常反应  adverse event following immuni-</w:t>
      </w:r>
      <w:r>
        <w:rPr>
          <w:rFonts w:ascii="宋体" w:hAnsi="宋体" w:eastAsia="宋体" w:cs="宋体"/>
          <w:spacing w:val="4"/>
          <w:sz w:val="18"/>
          <w:szCs w:val="18"/>
        </w:rPr>
        <w:t xml:space="preserve"> </w:t>
      </w:r>
      <w:r>
        <w:rPr>
          <w:rFonts w:ascii="Times New Roman" w:hAnsi="Times New Roman" w:eastAsia="Times New Roman" w:cs="Times New Roman"/>
          <w:spacing w:val="-1"/>
          <w:sz w:val="18"/>
          <w:szCs w:val="18"/>
        </w:rPr>
        <w:t>zation,AEFI       170</w:t>
      </w:r>
    </w:p>
    <w:p w14:paraId="31222847">
      <w:pPr>
        <w:spacing w:before="54" w:line="212" w:lineRule="auto"/>
        <w:rPr>
          <w:rFonts w:ascii="Times New Roman" w:hAnsi="Times New Roman" w:eastAsia="Times New Roman" w:cs="Times New Roman"/>
          <w:sz w:val="18"/>
          <w:szCs w:val="18"/>
        </w:rPr>
      </w:pPr>
      <w:r>
        <w:rPr>
          <w:rFonts w:ascii="宋体" w:hAnsi="宋体" w:eastAsia="宋体" w:cs="宋体"/>
          <w:spacing w:val="-2"/>
          <w:sz w:val="18"/>
          <w:szCs w:val="18"/>
        </w:rPr>
        <w:t>乙</w:t>
      </w:r>
      <w:r>
        <w:rPr>
          <w:rFonts w:ascii="宋体" w:hAnsi="宋体" w:eastAsia="宋体" w:cs="宋体"/>
          <w:spacing w:val="-14"/>
          <w:sz w:val="18"/>
          <w:szCs w:val="18"/>
        </w:rPr>
        <w:t xml:space="preserve"> </w:t>
      </w:r>
      <w:r>
        <w:rPr>
          <w:rFonts w:ascii="宋体" w:hAnsi="宋体" w:eastAsia="宋体" w:cs="宋体"/>
          <w:spacing w:val="-2"/>
          <w:sz w:val="18"/>
          <w:szCs w:val="18"/>
        </w:rPr>
        <w:t>肝</w:t>
      </w:r>
      <w:r>
        <w:rPr>
          <w:rFonts w:ascii="Times New Roman" w:hAnsi="Times New Roman" w:eastAsia="Times New Roman" w:cs="Times New Roman"/>
          <w:spacing w:val="-2"/>
          <w:sz w:val="18"/>
          <w:szCs w:val="18"/>
        </w:rPr>
        <w:t xml:space="preserve">e </w:t>
      </w:r>
      <w:r>
        <w:rPr>
          <w:rFonts w:ascii="宋体" w:hAnsi="宋体" w:eastAsia="宋体" w:cs="宋体"/>
          <w:spacing w:val="-2"/>
          <w:sz w:val="18"/>
          <w:szCs w:val="18"/>
        </w:rPr>
        <w:t>抗</w:t>
      </w:r>
      <w:r>
        <w:rPr>
          <w:rFonts w:ascii="宋体" w:hAnsi="宋体" w:eastAsia="宋体" w:cs="宋体"/>
          <w:spacing w:val="-17"/>
          <w:sz w:val="18"/>
          <w:szCs w:val="18"/>
        </w:rPr>
        <w:t xml:space="preserve"> </w:t>
      </w:r>
      <w:r>
        <w:rPr>
          <w:rFonts w:ascii="宋体" w:hAnsi="宋体" w:eastAsia="宋体" w:cs="宋体"/>
          <w:spacing w:val="-2"/>
          <w:sz w:val="18"/>
          <w:szCs w:val="18"/>
        </w:rPr>
        <w:t>原</w:t>
      </w:r>
      <w:r>
        <w:rPr>
          <w:rFonts w:ascii="宋体" w:hAnsi="宋体" w:eastAsia="宋体" w:cs="宋体"/>
          <w:spacing w:val="55"/>
          <w:sz w:val="18"/>
          <w:szCs w:val="18"/>
        </w:rPr>
        <w:t xml:space="preserve"> </w:t>
      </w:r>
      <w:r>
        <w:rPr>
          <w:rFonts w:ascii="Times New Roman" w:hAnsi="Times New Roman" w:eastAsia="Times New Roman" w:cs="Times New Roman"/>
          <w:spacing w:val="-2"/>
          <w:sz w:val="18"/>
          <w:szCs w:val="18"/>
        </w:rPr>
        <w:t>hepatitis</w:t>
      </w:r>
      <w:r>
        <w:rPr>
          <w:rFonts w:ascii="Times New Roman" w:hAnsi="Times New Roman" w:eastAsia="Times New Roman" w:cs="Times New Roman"/>
          <w:spacing w:val="17"/>
          <w:w w:val="101"/>
          <w:sz w:val="18"/>
          <w:szCs w:val="18"/>
        </w:rPr>
        <w:t xml:space="preserve">  </w:t>
      </w:r>
      <w:r>
        <w:rPr>
          <w:rFonts w:ascii="Times New Roman" w:hAnsi="Times New Roman" w:eastAsia="Times New Roman" w:cs="Times New Roman"/>
          <w:spacing w:val="-2"/>
          <w:sz w:val="18"/>
          <w:szCs w:val="18"/>
        </w:rPr>
        <w:t>Be</w:t>
      </w:r>
      <w:r>
        <w:rPr>
          <w:rFonts w:ascii="Times New Roman" w:hAnsi="Times New Roman" w:eastAsia="Times New Roman" w:cs="Times New Roman"/>
          <w:spacing w:val="19"/>
          <w:w w:val="101"/>
          <w:sz w:val="18"/>
          <w:szCs w:val="18"/>
        </w:rPr>
        <w:t xml:space="preserve">  </w:t>
      </w:r>
      <w:r>
        <w:rPr>
          <w:rFonts w:ascii="Times New Roman" w:hAnsi="Times New Roman" w:eastAsia="Times New Roman" w:cs="Times New Roman"/>
          <w:spacing w:val="-2"/>
          <w:sz w:val="18"/>
          <w:szCs w:val="18"/>
        </w:rPr>
        <w:t>antigen,HBeAg</w:t>
      </w:r>
      <w:r>
        <w:rPr>
          <w:rFonts w:ascii="Times New Roman" w:hAnsi="Times New Roman" w:eastAsia="Times New Roman" w:cs="Times New Roman"/>
          <w:spacing w:val="18"/>
          <w:sz w:val="18"/>
          <w:szCs w:val="18"/>
        </w:rPr>
        <w:t xml:space="preserve">  </w:t>
      </w:r>
      <w:r>
        <w:rPr>
          <w:rFonts w:ascii="Times New Roman" w:hAnsi="Times New Roman" w:eastAsia="Times New Roman" w:cs="Times New Roman"/>
          <w:spacing w:val="-2"/>
          <w:sz w:val="18"/>
          <w:szCs w:val="18"/>
        </w:rPr>
        <w:t>266</w:t>
      </w:r>
    </w:p>
    <w:p w14:paraId="38A4BC82">
      <w:pPr>
        <w:spacing w:before="123" w:line="212" w:lineRule="auto"/>
        <w:rPr>
          <w:rFonts w:ascii="Times New Roman" w:hAnsi="Times New Roman" w:eastAsia="Times New Roman" w:cs="Times New Roman"/>
          <w:sz w:val="18"/>
          <w:szCs w:val="18"/>
        </w:rPr>
      </w:pPr>
      <w:r>
        <w:rPr>
          <w:rFonts w:ascii="宋体" w:hAnsi="宋体" w:eastAsia="宋体" w:cs="宋体"/>
          <w:spacing w:val="-2"/>
          <w:sz w:val="18"/>
          <w:szCs w:val="18"/>
        </w:rPr>
        <w:t>乙</w:t>
      </w:r>
      <w:r>
        <w:rPr>
          <w:rFonts w:ascii="宋体" w:hAnsi="宋体" w:eastAsia="宋体" w:cs="宋体"/>
          <w:spacing w:val="-8"/>
          <w:sz w:val="18"/>
          <w:szCs w:val="18"/>
        </w:rPr>
        <w:t xml:space="preserve"> </w:t>
      </w:r>
      <w:r>
        <w:rPr>
          <w:rFonts w:ascii="宋体" w:hAnsi="宋体" w:eastAsia="宋体" w:cs="宋体"/>
          <w:spacing w:val="-2"/>
          <w:sz w:val="18"/>
          <w:szCs w:val="18"/>
        </w:rPr>
        <w:t>肝</w:t>
      </w:r>
      <w:r>
        <w:rPr>
          <w:rFonts w:ascii="Times New Roman" w:hAnsi="Times New Roman" w:eastAsia="Times New Roman" w:cs="Times New Roman"/>
          <w:spacing w:val="-2"/>
          <w:sz w:val="18"/>
          <w:szCs w:val="18"/>
        </w:rPr>
        <w:t>x</w:t>
      </w:r>
      <w:r>
        <w:rPr>
          <w:rFonts w:ascii="Times New Roman" w:hAnsi="Times New Roman" w:eastAsia="Times New Roman" w:cs="Times New Roman"/>
          <w:spacing w:val="-13"/>
          <w:sz w:val="18"/>
          <w:szCs w:val="18"/>
        </w:rPr>
        <w:t xml:space="preserve"> </w:t>
      </w:r>
      <w:r>
        <w:rPr>
          <w:rFonts w:ascii="宋体" w:hAnsi="宋体" w:eastAsia="宋体" w:cs="宋体"/>
          <w:spacing w:val="-2"/>
          <w:sz w:val="18"/>
          <w:szCs w:val="18"/>
        </w:rPr>
        <w:t>抗 原</w:t>
      </w:r>
      <w:r>
        <w:rPr>
          <w:rFonts w:ascii="宋体" w:hAnsi="宋体" w:eastAsia="宋体" w:cs="宋体"/>
          <w:spacing w:val="35"/>
          <w:w w:val="101"/>
          <w:sz w:val="18"/>
          <w:szCs w:val="18"/>
        </w:rPr>
        <w:t xml:space="preserve"> </w:t>
      </w:r>
      <w:r>
        <w:rPr>
          <w:rFonts w:ascii="Times New Roman" w:hAnsi="Times New Roman" w:eastAsia="Times New Roman" w:cs="Times New Roman"/>
          <w:spacing w:val="-2"/>
          <w:sz w:val="18"/>
          <w:szCs w:val="18"/>
        </w:rPr>
        <w:t>hepatitis</w:t>
      </w:r>
      <w:r>
        <w:rPr>
          <w:rFonts w:ascii="Times New Roman" w:hAnsi="Times New Roman" w:eastAsia="Times New Roman" w:cs="Times New Roman"/>
          <w:spacing w:val="14"/>
          <w:sz w:val="18"/>
          <w:szCs w:val="18"/>
        </w:rPr>
        <w:t xml:space="preserve">  </w:t>
      </w:r>
      <w:r>
        <w:rPr>
          <w:rFonts w:ascii="Times New Roman" w:hAnsi="Times New Roman" w:eastAsia="Times New Roman" w:cs="Times New Roman"/>
          <w:spacing w:val="-2"/>
          <w:sz w:val="18"/>
          <w:szCs w:val="18"/>
        </w:rPr>
        <w:t>Bx</w:t>
      </w:r>
      <w:r>
        <w:rPr>
          <w:rFonts w:ascii="Times New Roman" w:hAnsi="Times New Roman" w:eastAsia="Times New Roman" w:cs="Times New Roman"/>
          <w:spacing w:val="15"/>
          <w:w w:val="102"/>
          <w:sz w:val="18"/>
          <w:szCs w:val="18"/>
        </w:rPr>
        <w:t xml:space="preserve">  </w:t>
      </w:r>
      <w:r>
        <w:rPr>
          <w:rFonts w:ascii="Times New Roman" w:hAnsi="Times New Roman" w:eastAsia="Times New Roman" w:cs="Times New Roman"/>
          <w:spacing w:val="-2"/>
          <w:sz w:val="18"/>
          <w:szCs w:val="18"/>
        </w:rPr>
        <w:t>antigen,HBxAg</w:t>
      </w:r>
      <w:r>
        <w:rPr>
          <w:rFonts w:ascii="Times New Roman" w:hAnsi="Times New Roman" w:eastAsia="Times New Roman" w:cs="Times New Roman"/>
          <w:spacing w:val="14"/>
          <w:sz w:val="18"/>
          <w:szCs w:val="18"/>
        </w:rPr>
        <w:t xml:space="preserve">  </w:t>
      </w:r>
      <w:r>
        <w:rPr>
          <w:rFonts w:ascii="Times New Roman" w:hAnsi="Times New Roman" w:eastAsia="Times New Roman" w:cs="Times New Roman"/>
          <w:spacing w:val="-2"/>
          <w:sz w:val="18"/>
          <w:szCs w:val="18"/>
        </w:rPr>
        <w:t>266</w:t>
      </w:r>
    </w:p>
    <w:p w14:paraId="5FC311C5">
      <w:pPr>
        <w:spacing w:before="123" w:line="329" w:lineRule="auto"/>
        <w:ind w:right="492"/>
        <w:rPr>
          <w:rFonts w:ascii="Times New Roman" w:hAnsi="Times New Roman" w:eastAsia="Times New Roman" w:cs="Times New Roman"/>
          <w:sz w:val="18"/>
          <w:szCs w:val="18"/>
        </w:rPr>
      </w:pPr>
      <w:r>
        <w:rPr>
          <w:rFonts w:ascii="宋体" w:hAnsi="宋体" w:eastAsia="宋体" w:cs="宋体"/>
          <w:spacing w:val="3"/>
          <w:sz w:val="18"/>
          <w:szCs w:val="18"/>
        </w:rPr>
        <w:t>乙肝表面抗原</w:t>
      </w:r>
      <w:r>
        <w:rPr>
          <w:rFonts w:ascii="宋体" w:hAnsi="宋体" w:eastAsia="宋体" w:cs="宋体"/>
          <w:spacing w:val="75"/>
          <w:sz w:val="18"/>
          <w:szCs w:val="18"/>
        </w:rPr>
        <w:t xml:space="preserve"> </w:t>
      </w:r>
      <w:r>
        <w:rPr>
          <w:rFonts w:ascii="Times New Roman" w:hAnsi="Times New Roman" w:eastAsia="Times New Roman" w:cs="Times New Roman"/>
          <w:sz w:val="18"/>
          <w:szCs w:val="18"/>
        </w:rPr>
        <w:t>hepatitis</w:t>
      </w:r>
      <w:r>
        <w:rPr>
          <w:rFonts w:ascii="Times New Roman" w:hAnsi="Times New Roman" w:eastAsia="Times New Roman" w:cs="Times New Roman"/>
          <w:spacing w:val="42"/>
          <w:sz w:val="18"/>
          <w:szCs w:val="18"/>
        </w:rPr>
        <w:t xml:space="preserve"> </w:t>
      </w:r>
      <w:r>
        <w:rPr>
          <w:rFonts w:ascii="Times New Roman" w:hAnsi="Times New Roman" w:eastAsia="Times New Roman" w:cs="Times New Roman"/>
          <w:sz w:val="18"/>
          <w:szCs w:val="18"/>
        </w:rPr>
        <w:t>B</w:t>
      </w:r>
      <w:r>
        <w:rPr>
          <w:rFonts w:ascii="Times New Roman" w:hAnsi="Times New Roman" w:eastAsia="Times New Roman" w:cs="Times New Roman"/>
          <w:spacing w:val="3"/>
          <w:sz w:val="18"/>
          <w:szCs w:val="18"/>
        </w:rPr>
        <w:t xml:space="preserve">  </w:t>
      </w:r>
      <w:r>
        <w:rPr>
          <w:rFonts w:ascii="Times New Roman" w:hAnsi="Times New Roman" w:eastAsia="Times New Roman" w:cs="Times New Roman"/>
          <w:sz w:val="18"/>
          <w:szCs w:val="18"/>
        </w:rPr>
        <w:t>surface</w:t>
      </w:r>
      <w:r>
        <w:rPr>
          <w:rFonts w:ascii="Times New Roman" w:hAnsi="Times New Roman" w:eastAsia="Times New Roman" w:cs="Times New Roman"/>
          <w:spacing w:val="3"/>
          <w:sz w:val="18"/>
          <w:szCs w:val="18"/>
        </w:rPr>
        <w:t xml:space="preserve">  </w:t>
      </w:r>
      <w:r>
        <w:rPr>
          <w:rFonts w:ascii="Times New Roman" w:hAnsi="Times New Roman" w:eastAsia="Times New Roman" w:cs="Times New Roman"/>
          <w:sz w:val="18"/>
          <w:szCs w:val="18"/>
        </w:rPr>
        <w:t>antigen</w:t>
      </w:r>
      <w:r>
        <w:rPr>
          <w:rFonts w:ascii="Times New Roman" w:hAnsi="Times New Roman" w:eastAsia="Times New Roman" w:cs="Times New Roman"/>
          <w:spacing w:val="3"/>
          <w:sz w:val="18"/>
          <w:szCs w:val="18"/>
        </w:rPr>
        <w:t>,</w:t>
      </w:r>
      <w:r>
        <w:rPr>
          <w:rFonts w:ascii="Times New Roman" w:hAnsi="Times New Roman" w:eastAsia="Times New Roman" w:cs="Times New Roman"/>
          <w:sz w:val="18"/>
          <w:szCs w:val="18"/>
        </w:rPr>
        <w:t>HBsAg</w:t>
      </w:r>
      <w:r>
        <w:rPr>
          <w:rFonts w:ascii="Times New Roman" w:hAnsi="Times New Roman" w:eastAsia="Times New Roman" w:cs="Times New Roman"/>
          <w:spacing w:val="42"/>
          <w:w w:val="101"/>
          <w:sz w:val="18"/>
          <w:szCs w:val="18"/>
        </w:rPr>
        <w:t xml:space="preserve"> </w:t>
      </w:r>
      <w:r>
        <w:rPr>
          <w:rFonts w:ascii="Times New Roman" w:hAnsi="Times New Roman" w:eastAsia="Times New Roman" w:cs="Times New Roman"/>
          <w:spacing w:val="3"/>
          <w:sz w:val="18"/>
          <w:szCs w:val="18"/>
        </w:rPr>
        <w:t>266</w:t>
      </w:r>
      <w:r>
        <w:rPr>
          <w:rFonts w:ascii="Times New Roman" w:hAnsi="Times New Roman" w:eastAsia="Times New Roman" w:cs="Times New Roman"/>
          <w:sz w:val="18"/>
          <w:szCs w:val="18"/>
        </w:rPr>
        <w:t xml:space="preserve"> </w:t>
      </w:r>
      <w:r>
        <w:rPr>
          <w:rFonts w:ascii="宋体" w:hAnsi="宋体" w:eastAsia="宋体" w:cs="宋体"/>
          <w:spacing w:val="3"/>
          <w:sz w:val="18"/>
          <w:szCs w:val="18"/>
        </w:rPr>
        <w:t>乙肝核心抗原</w:t>
      </w:r>
      <w:r>
        <w:rPr>
          <w:rFonts w:ascii="宋体" w:hAnsi="宋体" w:eastAsia="宋体" w:cs="宋体"/>
          <w:spacing w:val="75"/>
          <w:sz w:val="18"/>
          <w:szCs w:val="18"/>
        </w:rPr>
        <w:t xml:space="preserve"> </w:t>
      </w:r>
      <w:r>
        <w:rPr>
          <w:rFonts w:ascii="Times New Roman" w:hAnsi="Times New Roman" w:eastAsia="Times New Roman" w:cs="Times New Roman"/>
          <w:sz w:val="18"/>
          <w:szCs w:val="18"/>
        </w:rPr>
        <w:t>hepatitis</w:t>
      </w:r>
      <w:r>
        <w:rPr>
          <w:rFonts w:ascii="Times New Roman" w:hAnsi="Times New Roman" w:eastAsia="Times New Roman" w:cs="Times New Roman"/>
          <w:spacing w:val="44"/>
          <w:w w:val="102"/>
          <w:sz w:val="18"/>
          <w:szCs w:val="18"/>
        </w:rPr>
        <w:t xml:space="preserve"> </w:t>
      </w:r>
      <w:r>
        <w:rPr>
          <w:rFonts w:ascii="Times New Roman" w:hAnsi="Times New Roman" w:eastAsia="Times New Roman" w:cs="Times New Roman"/>
          <w:sz w:val="18"/>
          <w:szCs w:val="18"/>
        </w:rPr>
        <w:t>B</w:t>
      </w:r>
      <w:r>
        <w:rPr>
          <w:rFonts w:ascii="Times New Roman" w:hAnsi="Times New Roman" w:eastAsia="Times New Roman" w:cs="Times New Roman"/>
          <w:spacing w:val="3"/>
          <w:sz w:val="18"/>
          <w:szCs w:val="18"/>
        </w:rPr>
        <w:t xml:space="preserve">  </w:t>
      </w:r>
      <w:r>
        <w:rPr>
          <w:rFonts w:ascii="Times New Roman" w:hAnsi="Times New Roman" w:eastAsia="Times New Roman" w:cs="Times New Roman"/>
          <w:sz w:val="18"/>
          <w:szCs w:val="18"/>
        </w:rPr>
        <w:t>core</w:t>
      </w:r>
      <w:r>
        <w:rPr>
          <w:rFonts w:ascii="Times New Roman" w:hAnsi="Times New Roman" w:eastAsia="Times New Roman" w:cs="Times New Roman"/>
          <w:spacing w:val="3"/>
          <w:sz w:val="18"/>
          <w:szCs w:val="18"/>
        </w:rPr>
        <w:t xml:space="preserve">  </w:t>
      </w:r>
      <w:r>
        <w:rPr>
          <w:rFonts w:ascii="Times New Roman" w:hAnsi="Times New Roman" w:eastAsia="Times New Roman" w:cs="Times New Roman"/>
          <w:sz w:val="18"/>
          <w:szCs w:val="18"/>
        </w:rPr>
        <w:t>antigen</w:t>
      </w:r>
      <w:r>
        <w:rPr>
          <w:rFonts w:ascii="Times New Roman" w:hAnsi="Times New Roman" w:eastAsia="Times New Roman" w:cs="Times New Roman"/>
          <w:spacing w:val="3"/>
          <w:sz w:val="18"/>
          <w:szCs w:val="18"/>
        </w:rPr>
        <w:t>,</w:t>
      </w:r>
      <w:r>
        <w:rPr>
          <w:rFonts w:ascii="Times New Roman" w:hAnsi="Times New Roman" w:eastAsia="Times New Roman" w:cs="Times New Roman"/>
          <w:sz w:val="18"/>
          <w:szCs w:val="18"/>
        </w:rPr>
        <w:t>HBcAg</w:t>
      </w:r>
      <w:r>
        <w:rPr>
          <w:rFonts w:ascii="Times New Roman" w:hAnsi="Times New Roman" w:eastAsia="Times New Roman" w:cs="Times New Roman"/>
          <w:spacing w:val="3"/>
          <w:sz w:val="18"/>
          <w:szCs w:val="18"/>
        </w:rPr>
        <w:t xml:space="preserve">  266</w:t>
      </w:r>
    </w:p>
    <w:p w14:paraId="78A71A3A">
      <w:pPr>
        <w:spacing w:before="19" w:line="212" w:lineRule="auto"/>
        <w:rPr>
          <w:rFonts w:ascii="Times New Roman" w:hAnsi="Times New Roman" w:eastAsia="Times New Roman" w:cs="Times New Roman"/>
          <w:sz w:val="18"/>
          <w:szCs w:val="18"/>
        </w:rPr>
      </w:pPr>
      <w:r>
        <w:rPr>
          <w:rFonts w:ascii="宋体" w:hAnsi="宋体" w:eastAsia="宋体" w:cs="宋体"/>
          <w:spacing w:val="5"/>
          <w:sz w:val="18"/>
          <w:szCs w:val="18"/>
        </w:rPr>
        <w:t>乙型肝炎病毒</w:t>
      </w:r>
      <w:r>
        <w:rPr>
          <w:rFonts w:ascii="宋体" w:hAnsi="宋体" w:eastAsia="宋体" w:cs="宋体"/>
          <w:spacing w:val="89"/>
          <w:sz w:val="18"/>
          <w:szCs w:val="18"/>
        </w:rPr>
        <w:t xml:space="preserve"> </w:t>
      </w:r>
      <w:r>
        <w:rPr>
          <w:rFonts w:ascii="Times New Roman" w:hAnsi="Times New Roman" w:eastAsia="Times New Roman" w:cs="Times New Roman"/>
          <w:sz w:val="18"/>
          <w:szCs w:val="18"/>
        </w:rPr>
        <w:t>hepatitis</w:t>
      </w:r>
      <w:r>
        <w:rPr>
          <w:rFonts w:ascii="Times New Roman" w:hAnsi="Times New Roman" w:eastAsia="Times New Roman" w:cs="Times New Roman"/>
          <w:spacing w:val="5"/>
          <w:sz w:val="18"/>
          <w:szCs w:val="18"/>
        </w:rPr>
        <w:t xml:space="preserve">  </w:t>
      </w:r>
      <w:r>
        <w:rPr>
          <w:rFonts w:ascii="Times New Roman" w:hAnsi="Times New Roman" w:eastAsia="Times New Roman" w:cs="Times New Roman"/>
          <w:sz w:val="18"/>
          <w:szCs w:val="18"/>
        </w:rPr>
        <w:t>B</w:t>
      </w:r>
      <w:r>
        <w:rPr>
          <w:rFonts w:ascii="Times New Roman" w:hAnsi="Times New Roman" w:eastAsia="Times New Roman" w:cs="Times New Roman"/>
          <w:spacing w:val="8"/>
          <w:sz w:val="18"/>
          <w:szCs w:val="18"/>
        </w:rPr>
        <w:t xml:space="preserve">  </w:t>
      </w:r>
      <w:r>
        <w:rPr>
          <w:rFonts w:ascii="Times New Roman" w:hAnsi="Times New Roman" w:eastAsia="Times New Roman" w:cs="Times New Roman"/>
          <w:sz w:val="18"/>
          <w:szCs w:val="18"/>
        </w:rPr>
        <w:t>virus</w:t>
      </w:r>
      <w:r>
        <w:rPr>
          <w:rFonts w:ascii="Times New Roman" w:hAnsi="Times New Roman" w:eastAsia="Times New Roman" w:cs="Times New Roman"/>
          <w:spacing w:val="5"/>
          <w:sz w:val="18"/>
          <w:szCs w:val="18"/>
        </w:rPr>
        <w:t>,</w:t>
      </w:r>
      <w:r>
        <w:rPr>
          <w:rFonts w:ascii="Times New Roman" w:hAnsi="Times New Roman" w:eastAsia="Times New Roman" w:cs="Times New Roman"/>
          <w:sz w:val="18"/>
          <w:szCs w:val="18"/>
        </w:rPr>
        <w:t>HBV</w:t>
      </w:r>
      <w:r>
        <w:rPr>
          <w:rFonts w:ascii="Times New Roman" w:hAnsi="Times New Roman" w:eastAsia="Times New Roman" w:cs="Times New Roman"/>
          <w:spacing w:val="11"/>
          <w:sz w:val="18"/>
          <w:szCs w:val="18"/>
        </w:rPr>
        <w:t xml:space="preserve">  </w:t>
      </w:r>
      <w:r>
        <w:rPr>
          <w:rFonts w:ascii="Times New Roman" w:hAnsi="Times New Roman" w:eastAsia="Times New Roman" w:cs="Times New Roman"/>
          <w:spacing w:val="5"/>
          <w:sz w:val="18"/>
          <w:szCs w:val="18"/>
        </w:rPr>
        <w:t>265</w:t>
      </w:r>
    </w:p>
    <w:p w14:paraId="1412E529">
      <w:pPr>
        <w:spacing w:before="153" w:line="212" w:lineRule="auto"/>
        <w:rPr>
          <w:rFonts w:ascii="Times New Roman" w:hAnsi="Times New Roman" w:eastAsia="Times New Roman" w:cs="Times New Roman"/>
          <w:sz w:val="18"/>
          <w:szCs w:val="18"/>
        </w:rPr>
      </w:pPr>
      <w:r>
        <w:rPr>
          <w:rFonts w:ascii="宋体" w:hAnsi="宋体" w:eastAsia="宋体" w:cs="宋体"/>
          <w:spacing w:val="6"/>
          <w:sz w:val="18"/>
          <w:szCs w:val="18"/>
        </w:rPr>
        <w:t>乙型肝炎免疫球蛋白</w:t>
      </w:r>
      <w:r>
        <w:rPr>
          <w:rFonts w:ascii="宋体" w:hAnsi="宋体" w:eastAsia="宋体" w:cs="宋体"/>
          <w:spacing w:val="72"/>
          <w:sz w:val="18"/>
          <w:szCs w:val="18"/>
        </w:rPr>
        <w:t xml:space="preserve"> </w:t>
      </w:r>
      <w:r>
        <w:rPr>
          <w:rFonts w:ascii="Times New Roman" w:hAnsi="Times New Roman" w:eastAsia="Times New Roman" w:cs="Times New Roman"/>
          <w:sz w:val="18"/>
          <w:szCs w:val="18"/>
        </w:rPr>
        <w:t>hepatitis</w:t>
      </w:r>
      <w:r>
        <w:rPr>
          <w:rFonts w:ascii="Times New Roman" w:hAnsi="Times New Roman" w:eastAsia="Times New Roman" w:cs="Times New Roman"/>
          <w:spacing w:val="39"/>
          <w:w w:val="101"/>
          <w:sz w:val="18"/>
          <w:szCs w:val="18"/>
        </w:rPr>
        <w:t xml:space="preserve"> </w:t>
      </w:r>
      <w:r>
        <w:rPr>
          <w:rFonts w:ascii="Times New Roman" w:hAnsi="Times New Roman" w:eastAsia="Times New Roman" w:cs="Times New Roman"/>
          <w:sz w:val="18"/>
          <w:szCs w:val="18"/>
        </w:rPr>
        <w:t>Bimmunoglobulin</w:t>
      </w:r>
      <w:r>
        <w:rPr>
          <w:rFonts w:ascii="Times New Roman" w:hAnsi="Times New Roman" w:eastAsia="Times New Roman" w:cs="Times New Roman"/>
          <w:spacing w:val="6"/>
          <w:sz w:val="18"/>
          <w:szCs w:val="18"/>
        </w:rPr>
        <w:t>,</w:t>
      </w:r>
      <w:r>
        <w:rPr>
          <w:rFonts w:ascii="Times New Roman" w:hAnsi="Times New Roman" w:eastAsia="Times New Roman" w:cs="Times New Roman"/>
          <w:sz w:val="18"/>
          <w:szCs w:val="18"/>
        </w:rPr>
        <w:t>HBIG</w:t>
      </w:r>
    </w:p>
    <w:p w14:paraId="078B893A">
      <w:pPr>
        <w:spacing w:before="151" w:line="188" w:lineRule="auto"/>
        <w:ind w:left="230"/>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280</w:t>
      </w:r>
    </w:p>
    <w:p w14:paraId="5B47AF6C">
      <w:pPr>
        <w:spacing w:before="160" w:line="212" w:lineRule="auto"/>
        <w:rPr>
          <w:rFonts w:ascii="Times New Roman" w:hAnsi="Times New Roman" w:eastAsia="Times New Roman" w:cs="Times New Roman"/>
          <w:sz w:val="18"/>
          <w:szCs w:val="18"/>
        </w:rPr>
      </w:pPr>
      <w:r>
        <w:rPr>
          <w:rFonts w:ascii="宋体" w:hAnsi="宋体" w:eastAsia="宋体" w:cs="宋体"/>
          <w:spacing w:val="3"/>
          <w:sz w:val="18"/>
          <w:szCs w:val="18"/>
        </w:rPr>
        <w:t>异质性检验</w:t>
      </w:r>
      <w:r>
        <w:rPr>
          <w:rFonts w:ascii="宋体" w:hAnsi="宋体" w:eastAsia="宋体" w:cs="宋体"/>
          <w:spacing w:val="78"/>
          <w:sz w:val="18"/>
          <w:szCs w:val="18"/>
        </w:rPr>
        <w:t xml:space="preserve"> </w:t>
      </w:r>
      <w:r>
        <w:rPr>
          <w:rFonts w:ascii="Times New Roman" w:hAnsi="Times New Roman" w:eastAsia="Times New Roman" w:cs="Times New Roman"/>
          <w:sz w:val="18"/>
          <w:szCs w:val="18"/>
        </w:rPr>
        <w:t>heterogeneity</w:t>
      </w:r>
      <w:r>
        <w:rPr>
          <w:rFonts w:ascii="Times New Roman" w:hAnsi="Times New Roman" w:eastAsia="Times New Roman" w:cs="Times New Roman"/>
          <w:spacing w:val="15"/>
          <w:w w:val="102"/>
          <w:sz w:val="18"/>
          <w:szCs w:val="18"/>
        </w:rPr>
        <w:t xml:space="preserve">  </w:t>
      </w:r>
      <w:r>
        <w:rPr>
          <w:rFonts w:ascii="Times New Roman" w:hAnsi="Times New Roman" w:eastAsia="Times New Roman" w:cs="Times New Roman"/>
          <w:sz w:val="18"/>
          <w:szCs w:val="18"/>
        </w:rPr>
        <w:t>test</w:t>
      </w:r>
      <w:r>
        <w:rPr>
          <w:rFonts w:ascii="Times New Roman" w:hAnsi="Times New Roman" w:eastAsia="Times New Roman" w:cs="Times New Roman"/>
          <w:spacing w:val="16"/>
          <w:w w:val="101"/>
          <w:sz w:val="18"/>
          <w:szCs w:val="18"/>
        </w:rPr>
        <w:t xml:space="preserve">  </w:t>
      </w:r>
      <w:r>
        <w:rPr>
          <w:rFonts w:ascii="Times New Roman" w:hAnsi="Times New Roman" w:eastAsia="Times New Roman" w:cs="Times New Roman"/>
          <w:spacing w:val="3"/>
          <w:sz w:val="18"/>
          <w:szCs w:val="18"/>
        </w:rPr>
        <w:t>254</w:t>
      </w:r>
    </w:p>
    <w:p w14:paraId="48714251">
      <w:pPr>
        <w:spacing w:before="114" w:line="212" w:lineRule="auto"/>
        <w:rPr>
          <w:rFonts w:ascii="Times New Roman" w:hAnsi="Times New Roman" w:eastAsia="Times New Roman" w:cs="Times New Roman"/>
          <w:sz w:val="18"/>
          <w:szCs w:val="18"/>
        </w:rPr>
      </w:pPr>
      <w:r>
        <w:rPr>
          <w:rFonts w:ascii="宋体" w:hAnsi="宋体" w:eastAsia="宋体" w:cs="宋体"/>
          <w:spacing w:val="2"/>
          <w:sz w:val="18"/>
          <w:szCs w:val="18"/>
        </w:rPr>
        <w:t>易感期</w:t>
      </w:r>
      <w:r>
        <w:rPr>
          <w:rFonts w:ascii="宋体" w:hAnsi="宋体" w:eastAsia="宋体" w:cs="宋体"/>
          <w:spacing w:val="88"/>
          <w:sz w:val="18"/>
          <w:szCs w:val="18"/>
        </w:rPr>
        <w:t xml:space="preserve"> </w:t>
      </w:r>
      <w:r>
        <w:rPr>
          <w:rFonts w:ascii="Times New Roman" w:hAnsi="Times New Roman" w:eastAsia="Times New Roman" w:cs="Times New Roman"/>
          <w:sz w:val="18"/>
          <w:szCs w:val="18"/>
        </w:rPr>
        <w:t>stage</w:t>
      </w:r>
      <w:r>
        <w:rPr>
          <w:rFonts w:ascii="Times New Roman" w:hAnsi="Times New Roman" w:eastAsia="Times New Roman" w:cs="Times New Roman"/>
          <w:spacing w:val="2"/>
          <w:sz w:val="18"/>
          <w:szCs w:val="18"/>
        </w:rPr>
        <w:t xml:space="preserve">  </w:t>
      </w:r>
      <w:r>
        <w:rPr>
          <w:rFonts w:ascii="Times New Roman" w:hAnsi="Times New Roman" w:eastAsia="Times New Roman" w:cs="Times New Roman"/>
          <w:sz w:val="18"/>
          <w:szCs w:val="18"/>
        </w:rPr>
        <w:t>of</w:t>
      </w:r>
      <w:r>
        <w:rPr>
          <w:rFonts w:ascii="Times New Roman" w:hAnsi="Times New Roman" w:eastAsia="Times New Roman" w:cs="Times New Roman"/>
          <w:spacing w:val="34"/>
          <w:w w:val="102"/>
          <w:sz w:val="18"/>
          <w:szCs w:val="18"/>
        </w:rPr>
        <w:t xml:space="preserve"> </w:t>
      </w:r>
      <w:r>
        <w:rPr>
          <w:rFonts w:ascii="Times New Roman" w:hAnsi="Times New Roman" w:eastAsia="Times New Roman" w:cs="Times New Roman"/>
          <w:sz w:val="18"/>
          <w:szCs w:val="18"/>
        </w:rPr>
        <w:t>susceptibility</w:t>
      </w:r>
      <w:r>
        <w:rPr>
          <w:rFonts w:ascii="Times New Roman" w:hAnsi="Times New Roman" w:eastAsia="Times New Roman" w:cs="Times New Roman"/>
          <w:spacing w:val="10"/>
          <w:sz w:val="18"/>
          <w:szCs w:val="18"/>
        </w:rPr>
        <w:t xml:space="preserve">  </w:t>
      </w:r>
      <w:r>
        <w:rPr>
          <w:rFonts w:ascii="Times New Roman" w:hAnsi="Times New Roman" w:eastAsia="Times New Roman" w:cs="Times New Roman"/>
          <w:spacing w:val="2"/>
          <w:sz w:val="18"/>
          <w:szCs w:val="18"/>
        </w:rPr>
        <w:t>139</w:t>
      </w:r>
    </w:p>
    <w:p w14:paraId="200E1ED3">
      <w:pPr>
        <w:spacing w:line="14" w:lineRule="auto"/>
        <w:rPr>
          <w:rFonts w:ascii="Arial"/>
          <w:sz w:val="2"/>
        </w:rPr>
      </w:pPr>
      <w:r>
        <w:rPr>
          <w:rFonts w:ascii="Arial" w:hAnsi="Arial" w:eastAsia="Arial" w:cs="Arial"/>
          <w:sz w:val="2"/>
          <w:szCs w:val="2"/>
        </w:rPr>
        <w:br w:type="column"/>
      </w:r>
    </w:p>
    <w:p w14:paraId="52A61F77">
      <w:pPr>
        <w:spacing w:before="66" w:line="212" w:lineRule="auto"/>
        <w:rPr>
          <w:rFonts w:ascii="Times New Roman" w:hAnsi="Times New Roman" w:eastAsia="Times New Roman" w:cs="Times New Roman"/>
          <w:sz w:val="18"/>
          <w:szCs w:val="18"/>
        </w:rPr>
      </w:pPr>
      <w:r>
        <w:rPr>
          <w:rFonts w:ascii="宋体" w:hAnsi="宋体" w:eastAsia="宋体" w:cs="宋体"/>
          <w:spacing w:val="-1"/>
          <w:sz w:val="18"/>
          <w:szCs w:val="18"/>
        </w:rPr>
        <w:t>易感生物标志</w:t>
      </w:r>
      <w:r>
        <w:rPr>
          <w:rFonts w:ascii="宋体" w:hAnsi="宋体" w:eastAsia="宋体" w:cs="宋体"/>
          <w:spacing w:val="62"/>
          <w:sz w:val="18"/>
          <w:szCs w:val="18"/>
        </w:rPr>
        <w:t xml:space="preserve"> </w:t>
      </w:r>
      <w:r>
        <w:rPr>
          <w:rFonts w:ascii="Times New Roman" w:hAnsi="Times New Roman" w:eastAsia="Times New Roman" w:cs="Times New Roman"/>
          <w:spacing w:val="-1"/>
          <w:sz w:val="18"/>
          <w:szCs w:val="18"/>
        </w:rPr>
        <w:t>susceptibility</w:t>
      </w:r>
      <w:r>
        <w:rPr>
          <w:rFonts w:ascii="Times New Roman" w:hAnsi="Times New Roman" w:eastAsia="Times New Roman" w:cs="Times New Roman"/>
          <w:spacing w:val="44"/>
          <w:w w:val="101"/>
          <w:sz w:val="18"/>
          <w:szCs w:val="18"/>
        </w:rPr>
        <w:t xml:space="preserve"> </w:t>
      </w:r>
      <w:r>
        <w:rPr>
          <w:rFonts w:ascii="Times New Roman" w:hAnsi="Times New Roman" w:eastAsia="Times New Roman" w:cs="Times New Roman"/>
          <w:spacing w:val="-1"/>
          <w:sz w:val="18"/>
          <w:szCs w:val="18"/>
        </w:rPr>
        <w:t>biomarker  236</w:t>
      </w:r>
    </w:p>
    <w:p w14:paraId="326265DF">
      <w:pPr>
        <w:spacing w:before="134" w:line="220" w:lineRule="auto"/>
        <w:rPr>
          <w:rFonts w:ascii="Times New Roman" w:hAnsi="Times New Roman" w:eastAsia="Times New Roman" w:cs="Times New Roman"/>
          <w:sz w:val="18"/>
          <w:szCs w:val="18"/>
        </w:rPr>
      </w:pPr>
      <w:r>
        <w:rPr>
          <w:rFonts w:ascii="宋体" w:hAnsi="宋体" w:eastAsia="宋体" w:cs="宋体"/>
          <w:spacing w:val="-2"/>
          <w:sz w:val="18"/>
          <w:szCs w:val="18"/>
        </w:rPr>
        <w:t>疫苗</w:t>
      </w:r>
      <w:r>
        <w:rPr>
          <w:rFonts w:ascii="宋体" w:hAnsi="宋体" w:eastAsia="宋体" w:cs="宋体"/>
          <w:spacing w:val="67"/>
          <w:sz w:val="18"/>
          <w:szCs w:val="18"/>
        </w:rPr>
        <w:t xml:space="preserve"> </w:t>
      </w:r>
      <w:r>
        <w:rPr>
          <w:rFonts w:ascii="Times New Roman" w:hAnsi="Times New Roman" w:eastAsia="Times New Roman" w:cs="Times New Roman"/>
          <w:spacing w:val="-2"/>
          <w:sz w:val="18"/>
          <w:szCs w:val="18"/>
        </w:rPr>
        <w:t>vaccine</w:t>
      </w:r>
      <w:r>
        <w:rPr>
          <w:rFonts w:ascii="Times New Roman" w:hAnsi="Times New Roman" w:eastAsia="Times New Roman" w:cs="Times New Roman"/>
          <w:spacing w:val="3"/>
          <w:sz w:val="18"/>
          <w:szCs w:val="18"/>
        </w:rPr>
        <w:t xml:space="preserve">    </w:t>
      </w:r>
      <w:r>
        <w:rPr>
          <w:rFonts w:ascii="Times New Roman" w:hAnsi="Times New Roman" w:eastAsia="Times New Roman" w:cs="Times New Roman"/>
          <w:spacing w:val="-2"/>
          <w:sz w:val="18"/>
          <w:szCs w:val="18"/>
        </w:rPr>
        <w:t>168</w:t>
      </w:r>
    </w:p>
    <w:p w14:paraId="4643B892">
      <w:pPr>
        <w:spacing w:before="135" w:line="220" w:lineRule="auto"/>
        <w:rPr>
          <w:rFonts w:ascii="Times New Roman" w:hAnsi="Times New Roman" w:eastAsia="Times New Roman" w:cs="Times New Roman"/>
          <w:sz w:val="18"/>
          <w:szCs w:val="18"/>
        </w:rPr>
      </w:pPr>
      <w:r>
        <w:rPr>
          <w:rFonts w:ascii="宋体" w:hAnsi="宋体" w:eastAsia="宋体" w:cs="宋体"/>
          <w:spacing w:val="-1"/>
          <w:sz w:val="18"/>
          <w:szCs w:val="18"/>
        </w:rPr>
        <w:t>疫苗效果</w:t>
      </w:r>
      <w:r>
        <w:rPr>
          <w:rFonts w:ascii="宋体" w:hAnsi="宋体" w:eastAsia="宋体" w:cs="宋体"/>
          <w:spacing w:val="63"/>
          <w:sz w:val="18"/>
          <w:szCs w:val="18"/>
        </w:rPr>
        <w:t xml:space="preserve"> </w:t>
      </w:r>
      <w:r>
        <w:rPr>
          <w:rFonts w:ascii="Times New Roman" w:hAnsi="Times New Roman" w:eastAsia="Times New Roman" w:cs="Times New Roman"/>
          <w:spacing w:val="-1"/>
          <w:sz w:val="18"/>
          <w:szCs w:val="18"/>
        </w:rPr>
        <w:t>vaccine  effectiveness</w:t>
      </w:r>
      <w:r>
        <w:rPr>
          <w:rFonts w:ascii="Times New Roman" w:hAnsi="Times New Roman" w:eastAsia="Times New Roman" w:cs="Times New Roman"/>
          <w:spacing w:val="12"/>
          <w:sz w:val="18"/>
          <w:szCs w:val="18"/>
        </w:rPr>
        <w:t xml:space="preserve">  </w:t>
      </w:r>
      <w:r>
        <w:rPr>
          <w:rFonts w:ascii="Times New Roman" w:hAnsi="Times New Roman" w:eastAsia="Times New Roman" w:cs="Times New Roman"/>
          <w:spacing w:val="-1"/>
          <w:sz w:val="18"/>
          <w:szCs w:val="18"/>
        </w:rPr>
        <w:t>171</w:t>
      </w:r>
    </w:p>
    <w:p w14:paraId="5AE0AF8B">
      <w:pPr>
        <w:spacing w:before="85" w:line="212" w:lineRule="auto"/>
        <w:rPr>
          <w:rFonts w:ascii="Times New Roman" w:hAnsi="Times New Roman" w:eastAsia="Times New Roman" w:cs="Times New Roman"/>
          <w:sz w:val="18"/>
          <w:szCs w:val="18"/>
        </w:rPr>
      </w:pPr>
      <w:r>
        <w:rPr>
          <w:rFonts w:ascii="宋体" w:hAnsi="宋体" w:eastAsia="宋体" w:cs="宋体"/>
          <w:spacing w:val="-2"/>
          <w:sz w:val="18"/>
          <w:szCs w:val="18"/>
        </w:rPr>
        <w:t>疫源地</w:t>
      </w:r>
      <w:r>
        <w:rPr>
          <w:rFonts w:ascii="宋体" w:hAnsi="宋体" w:eastAsia="宋体" w:cs="宋体"/>
          <w:spacing w:val="74"/>
          <w:sz w:val="18"/>
          <w:szCs w:val="18"/>
        </w:rPr>
        <w:t xml:space="preserve"> </w:t>
      </w:r>
      <w:r>
        <w:rPr>
          <w:rFonts w:ascii="Times New Roman" w:hAnsi="Times New Roman" w:eastAsia="Times New Roman" w:cs="Times New Roman"/>
          <w:spacing w:val="-2"/>
          <w:sz w:val="18"/>
          <w:szCs w:val="18"/>
        </w:rPr>
        <w:t>epidemic  focus   163</w:t>
      </w:r>
    </w:p>
    <w:p w14:paraId="6A248F80">
      <w:pPr>
        <w:spacing w:before="133" w:line="212" w:lineRule="auto"/>
        <w:rPr>
          <w:rFonts w:ascii="Times New Roman" w:hAnsi="Times New Roman" w:eastAsia="Times New Roman" w:cs="Times New Roman"/>
          <w:sz w:val="18"/>
          <w:szCs w:val="18"/>
        </w:rPr>
      </w:pPr>
      <w:r>
        <w:rPr>
          <w:rFonts w:ascii="宋体" w:hAnsi="宋体" w:eastAsia="宋体" w:cs="宋体"/>
          <w:spacing w:val="-1"/>
          <w:sz w:val="18"/>
          <w:szCs w:val="18"/>
        </w:rPr>
        <w:t>疫源地消毒</w:t>
      </w:r>
      <w:r>
        <w:rPr>
          <w:rFonts w:ascii="宋体" w:hAnsi="宋体" w:eastAsia="宋体" w:cs="宋体"/>
          <w:spacing w:val="72"/>
          <w:sz w:val="18"/>
          <w:szCs w:val="18"/>
        </w:rPr>
        <w:t xml:space="preserve"> </w:t>
      </w:r>
      <w:r>
        <w:rPr>
          <w:rFonts w:ascii="Times New Roman" w:hAnsi="Times New Roman" w:eastAsia="Times New Roman" w:cs="Times New Roman"/>
          <w:spacing w:val="-1"/>
          <w:sz w:val="18"/>
          <w:szCs w:val="18"/>
        </w:rPr>
        <w:t>disinfection</w:t>
      </w:r>
      <w:r>
        <w:rPr>
          <w:rFonts w:ascii="Times New Roman" w:hAnsi="Times New Roman" w:eastAsia="Times New Roman" w:cs="Times New Roman"/>
          <w:spacing w:val="23"/>
          <w:w w:val="101"/>
          <w:sz w:val="18"/>
          <w:szCs w:val="18"/>
        </w:rPr>
        <w:t xml:space="preserve"> </w:t>
      </w:r>
      <w:r>
        <w:rPr>
          <w:rFonts w:ascii="Times New Roman" w:hAnsi="Times New Roman" w:eastAsia="Times New Roman" w:cs="Times New Roman"/>
          <w:spacing w:val="-1"/>
          <w:sz w:val="18"/>
          <w:szCs w:val="18"/>
        </w:rPr>
        <w:t>of epidemic</w:t>
      </w:r>
      <w:r>
        <w:rPr>
          <w:rFonts w:ascii="Times New Roman" w:hAnsi="Times New Roman" w:eastAsia="Times New Roman" w:cs="Times New Roman"/>
          <w:spacing w:val="24"/>
          <w:w w:val="101"/>
          <w:sz w:val="18"/>
          <w:szCs w:val="18"/>
        </w:rPr>
        <w:t xml:space="preserve"> </w:t>
      </w:r>
      <w:r>
        <w:rPr>
          <w:rFonts w:ascii="Times New Roman" w:hAnsi="Times New Roman" w:eastAsia="Times New Roman" w:cs="Times New Roman"/>
          <w:spacing w:val="-1"/>
          <w:sz w:val="18"/>
          <w:szCs w:val="18"/>
        </w:rPr>
        <w:t>focus  178</w:t>
      </w:r>
    </w:p>
    <w:p w14:paraId="352EE629">
      <w:pPr>
        <w:spacing w:before="123" w:line="329" w:lineRule="auto"/>
        <w:ind w:right="39"/>
        <w:rPr>
          <w:rFonts w:ascii="Times New Roman" w:hAnsi="Times New Roman" w:eastAsia="Times New Roman" w:cs="Times New Roman"/>
          <w:sz w:val="18"/>
          <w:szCs w:val="18"/>
        </w:rPr>
      </w:pPr>
      <w:r>
        <w:rPr>
          <w:rFonts w:ascii="宋体" w:hAnsi="宋体" w:eastAsia="宋体" w:cs="宋体"/>
          <w:sz w:val="18"/>
          <w:szCs w:val="18"/>
        </w:rPr>
        <w:t>意向治疗分析</w:t>
      </w:r>
      <w:r>
        <w:rPr>
          <w:rFonts w:ascii="宋体" w:hAnsi="宋体" w:eastAsia="宋体" w:cs="宋体"/>
          <w:spacing w:val="72"/>
          <w:sz w:val="18"/>
          <w:szCs w:val="18"/>
        </w:rPr>
        <w:t xml:space="preserve"> </w:t>
      </w:r>
      <w:r>
        <w:rPr>
          <w:rFonts w:ascii="Times New Roman" w:hAnsi="Times New Roman" w:eastAsia="Times New Roman" w:cs="Times New Roman"/>
          <w:sz w:val="18"/>
          <w:szCs w:val="18"/>
        </w:rPr>
        <w:t>intention-to-treat  analysis,ITT  a</w:t>
      </w:r>
      <w:r>
        <w:rPr>
          <w:rFonts w:ascii="Times New Roman" w:hAnsi="Times New Roman" w:eastAsia="Times New Roman" w:cs="Times New Roman"/>
          <w:spacing w:val="-1"/>
          <w:sz w:val="18"/>
          <w:szCs w:val="18"/>
        </w:rPr>
        <w:t>nalysis</w:t>
      </w:r>
      <w:r>
        <w:rPr>
          <w:rFonts w:ascii="Times New Roman" w:hAnsi="Times New Roman" w:eastAsia="Times New Roman" w:cs="Times New Roman"/>
          <w:spacing w:val="8"/>
          <w:sz w:val="18"/>
          <w:szCs w:val="18"/>
        </w:rPr>
        <w:t xml:space="preserve">  </w:t>
      </w:r>
      <w:r>
        <w:rPr>
          <w:rFonts w:ascii="Times New Roman" w:hAnsi="Times New Roman" w:eastAsia="Times New Roman" w:cs="Times New Roman"/>
          <w:spacing w:val="-1"/>
          <w:sz w:val="18"/>
          <w:szCs w:val="18"/>
        </w:rPr>
        <w:t>94</w:t>
      </w:r>
      <w:r>
        <w:rPr>
          <w:rFonts w:ascii="Times New Roman" w:hAnsi="Times New Roman" w:eastAsia="Times New Roman" w:cs="Times New Roman"/>
          <w:spacing w:val="1"/>
          <w:sz w:val="18"/>
          <w:szCs w:val="18"/>
        </w:rPr>
        <w:t xml:space="preserve"> </w:t>
      </w:r>
      <w:r>
        <w:rPr>
          <w:rFonts w:ascii="宋体" w:hAnsi="宋体" w:eastAsia="宋体" w:cs="宋体"/>
          <w:spacing w:val="-1"/>
          <w:sz w:val="18"/>
          <w:szCs w:val="18"/>
        </w:rPr>
        <w:t>因变性</w:t>
      </w:r>
      <w:r>
        <w:rPr>
          <w:rFonts w:ascii="宋体" w:hAnsi="宋体" w:eastAsia="宋体" w:cs="宋体"/>
          <w:spacing w:val="59"/>
          <w:sz w:val="18"/>
          <w:szCs w:val="18"/>
        </w:rPr>
        <w:t xml:space="preserve"> </w:t>
      </w:r>
      <w:r>
        <w:rPr>
          <w:rFonts w:ascii="Times New Roman" w:hAnsi="Times New Roman" w:eastAsia="Times New Roman" w:cs="Times New Roman"/>
          <w:spacing w:val="-1"/>
          <w:sz w:val="18"/>
          <w:szCs w:val="18"/>
        </w:rPr>
        <w:t>consequential</w:t>
      </w:r>
      <w:r>
        <w:rPr>
          <w:rFonts w:ascii="Times New Roman" w:hAnsi="Times New Roman" w:eastAsia="Times New Roman" w:cs="Times New Roman"/>
          <w:spacing w:val="15"/>
          <w:w w:val="101"/>
          <w:sz w:val="18"/>
          <w:szCs w:val="18"/>
        </w:rPr>
        <w:t xml:space="preserve">  </w:t>
      </w:r>
      <w:r>
        <w:rPr>
          <w:rFonts w:ascii="Times New Roman" w:hAnsi="Times New Roman" w:eastAsia="Times New Roman" w:cs="Times New Roman"/>
          <w:spacing w:val="-1"/>
          <w:sz w:val="18"/>
          <w:szCs w:val="18"/>
        </w:rPr>
        <w:t>change   118</w:t>
      </w:r>
    </w:p>
    <w:p w14:paraId="2917EEC1">
      <w:pPr>
        <w:spacing w:before="17" w:line="212" w:lineRule="auto"/>
        <w:rPr>
          <w:rFonts w:ascii="Times New Roman" w:hAnsi="Times New Roman" w:eastAsia="Times New Roman" w:cs="Times New Roman"/>
          <w:sz w:val="18"/>
          <w:szCs w:val="18"/>
        </w:rPr>
      </w:pPr>
      <w:r>
        <w:rPr>
          <w:rFonts w:ascii="宋体" w:hAnsi="宋体" w:eastAsia="宋体" w:cs="宋体"/>
          <w:sz w:val="18"/>
          <w:szCs w:val="18"/>
        </w:rPr>
        <w:t>因果关系</w:t>
      </w:r>
      <w:r>
        <w:rPr>
          <w:rFonts w:ascii="宋体" w:hAnsi="宋体" w:eastAsia="宋体" w:cs="宋体"/>
          <w:spacing w:val="53"/>
          <w:sz w:val="18"/>
          <w:szCs w:val="18"/>
        </w:rPr>
        <w:t xml:space="preserve"> </w:t>
      </w:r>
      <w:r>
        <w:rPr>
          <w:rFonts w:ascii="Times New Roman" w:hAnsi="Times New Roman" w:eastAsia="Times New Roman" w:cs="Times New Roman"/>
          <w:sz w:val="18"/>
          <w:szCs w:val="18"/>
        </w:rPr>
        <w:t>causal</w:t>
      </w:r>
      <w:r>
        <w:rPr>
          <w:rFonts w:ascii="Times New Roman" w:hAnsi="Times New Roman" w:eastAsia="Times New Roman" w:cs="Times New Roman"/>
          <w:spacing w:val="22"/>
          <w:sz w:val="18"/>
          <w:szCs w:val="18"/>
        </w:rPr>
        <w:t xml:space="preserve"> </w:t>
      </w:r>
      <w:r>
        <w:rPr>
          <w:rFonts w:ascii="Times New Roman" w:hAnsi="Times New Roman" w:eastAsia="Times New Roman" w:cs="Times New Roman"/>
          <w:sz w:val="18"/>
          <w:szCs w:val="18"/>
        </w:rPr>
        <w:t>relation;cause-and-effect</w:t>
      </w:r>
      <w:r>
        <w:rPr>
          <w:rFonts w:ascii="Times New Roman" w:hAnsi="Times New Roman" w:eastAsia="Times New Roman" w:cs="Times New Roman"/>
          <w:spacing w:val="27"/>
          <w:sz w:val="18"/>
          <w:szCs w:val="18"/>
        </w:rPr>
        <w:t xml:space="preserve"> </w:t>
      </w:r>
      <w:r>
        <w:rPr>
          <w:rFonts w:ascii="Times New Roman" w:hAnsi="Times New Roman" w:eastAsia="Times New Roman" w:cs="Times New Roman"/>
          <w:sz w:val="18"/>
          <w:szCs w:val="18"/>
        </w:rPr>
        <w:t>association</w:t>
      </w:r>
    </w:p>
    <w:p w14:paraId="7DA6F6B9">
      <w:pPr>
        <w:spacing w:before="163" w:line="188" w:lineRule="auto"/>
        <w:ind w:left="209"/>
        <w:rPr>
          <w:rFonts w:ascii="Times New Roman" w:hAnsi="Times New Roman" w:eastAsia="Times New Roman" w:cs="Times New Roman"/>
          <w:sz w:val="18"/>
          <w:szCs w:val="18"/>
        </w:rPr>
      </w:pPr>
      <w:r>
        <w:rPr>
          <w:rFonts w:ascii="Times New Roman" w:hAnsi="Times New Roman" w:eastAsia="Times New Roman" w:cs="Times New Roman"/>
          <w:spacing w:val="-5"/>
          <w:sz w:val="18"/>
          <w:szCs w:val="18"/>
        </w:rPr>
        <w:t>118</w:t>
      </w:r>
    </w:p>
    <w:p w14:paraId="7AE6FBD9">
      <w:pPr>
        <w:spacing w:before="150" w:line="212" w:lineRule="auto"/>
        <w:rPr>
          <w:rFonts w:ascii="Times New Roman" w:hAnsi="Times New Roman" w:eastAsia="Times New Roman" w:cs="Times New Roman"/>
          <w:sz w:val="18"/>
          <w:szCs w:val="18"/>
        </w:rPr>
      </w:pPr>
      <w:r>
        <w:rPr>
          <w:rFonts w:ascii="宋体" w:hAnsi="宋体" w:eastAsia="宋体" w:cs="宋体"/>
          <w:spacing w:val="-1"/>
          <w:sz w:val="18"/>
          <w:szCs w:val="18"/>
        </w:rPr>
        <w:t xml:space="preserve">阴性似然比  </w:t>
      </w:r>
      <w:r>
        <w:rPr>
          <w:rFonts w:ascii="Times New Roman" w:hAnsi="Times New Roman" w:eastAsia="Times New Roman" w:cs="Times New Roman"/>
          <w:spacing w:val="-1"/>
          <w:sz w:val="18"/>
          <w:szCs w:val="18"/>
        </w:rPr>
        <w:t>negative  likelihood</w:t>
      </w:r>
      <w:r>
        <w:rPr>
          <w:rFonts w:ascii="Times New Roman" w:hAnsi="Times New Roman" w:eastAsia="Times New Roman" w:cs="Times New Roman"/>
          <w:spacing w:val="7"/>
          <w:sz w:val="18"/>
          <w:szCs w:val="18"/>
        </w:rPr>
        <w:t xml:space="preserve">  </w:t>
      </w:r>
      <w:r>
        <w:rPr>
          <w:rFonts w:ascii="Times New Roman" w:hAnsi="Times New Roman" w:eastAsia="Times New Roman" w:cs="Times New Roman"/>
          <w:spacing w:val="-1"/>
          <w:sz w:val="18"/>
          <w:szCs w:val="18"/>
        </w:rPr>
        <w:t>ratio,-LR   106</w:t>
      </w:r>
    </w:p>
    <w:p w14:paraId="1F172198">
      <w:pPr>
        <w:spacing w:before="113" w:line="212" w:lineRule="auto"/>
        <w:rPr>
          <w:rFonts w:ascii="Times New Roman" w:hAnsi="Times New Roman" w:eastAsia="Times New Roman" w:cs="Times New Roman"/>
          <w:sz w:val="18"/>
          <w:szCs w:val="18"/>
        </w:rPr>
      </w:pPr>
      <w:r>
        <w:rPr>
          <w:rFonts w:ascii="宋体" w:hAnsi="宋体" w:eastAsia="宋体" w:cs="宋体"/>
          <w:spacing w:val="-1"/>
          <w:sz w:val="18"/>
          <w:szCs w:val="18"/>
        </w:rPr>
        <w:t xml:space="preserve">阴性预测值  </w:t>
      </w:r>
      <w:r>
        <w:rPr>
          <w:rFonts w:ascii="Times New Roman" w:hAnsi="Times New Roman" w:eastAsia="Times New Roman" w:cs="Times New Roman"/>
          <w:spacing w:val="-1"/>
          <w:sz w:val="18"/>
          <w:szCs w:val="18"/>
        </w:rPr>
        <w:t>negative</w:t>
      </w:r>
      <w:r>
        <w:rPr>
          <w:rFonts w:ascii="Times New Roman" w:hAnsi="Times New Roman" w:eastAsia="Times New Roman" w:cs="Times New Roman"/>
          <w:spacing w:val="13"/>
          <w:sz w:val="18"/>
          <w:szCs w:val="18"/>
        </w:rPr>
        <w:t xml:space="preserve">   </w:t>
      </w:r>
      <w:r>
        <w:rPr>
          <w:rFonts w:ascii="Times New Roman" w:hAnsi="Times New Roman" w:eastAsia="Times New Roman" w:cs="Times New Roman"/>
          <w:spacing w:val="-1"/>
          <w:sz w:val="18"/>
          <w:szCs w:val="18"/>
        </w:rPr>
        <w:t>predictive</w:t>
      </w:r>
      <w:r>
        <w:rPr>
          <w:rFonts w:ascii="Times New Roman" w:hAnsi="Times New Roman" w:eastAsia="Times New Roman" w:cs="Times New Roman"/>
          <w:spacing w:val="10"/>
          <w:sz w:val="18"/>
          <w:szCs w:val="18"/>
        </w:rPr>
        <w:t xml:space="preserve">   </w:t>
      </w:r>
      <w:r>
        <w:rPr>
          <w:rFonts w:ascii="Times New Roman" w:hAnsi="Times New Roman" w:eastAsia="Times New Roman" w:cs="Times New Roman"/>
          <w:spacing w:val="-1"/>
          <w:sz w:val="18"/>
          <w:szCs w:val="18"/>
        </w:rPr>
        <w:t>value,Pr-107</w:t>
      </w:r>
    </w:p>
    <w:p w14:paraId="1665B043">
      <w:pPr>
        <w:spacing w:before="133" w:line="219" w:lineRule="auto"/>
        <w:rPr>
          <w:rFonts w:ascii="Times New Roman" w:hAnsi="Times New Roman" w:eastAsia="Times New Roman" w:cs="Times New Roman"/>
          <w:sz w:val="18"/>
          <w:szCs w:val="18"/>
        </w:rPr>
      </w:pPr>
      <w:r>
        <w:rPr>
          <w:rFonts w:ascii="宋体" w:hAnsi="宋体" w:eastAsia="宋体" w:cs="宋体"/>
          <w:sz w:val="18"/>
          <w:szCs w:val="18"/>
        </w:rPr>
        <w:t>隐匿随机分组</w:t>
      </w:r>
      <w:r>
        <w:rPr>
          <w:rFonts w:ascii="宋体" w:hAnsi="宋体" w:eastAsia="宋体" w:cs="宋体"/>
          <w:spacing w:val="73"/>
          <w:sz w:val="18"/>
          <w:szCs w:val="18"/>
        </w:rPr>
        <w:t xml:space="preserve"> </w:t>
      </w:r>
      <w:r>
        <w:rPr>
          <w:rFonts w:ascii="Times New Roman" w:hAnsi="Times New Roman" w:eastAsia="Times New Roman" w:cs="Times New Roman"/>
          <w:sz w:val="18"/>
          <w:szCs w:val="18"/>
        </w:rPr>
        <w:t>concealed</w:t>
      </w:r>
      <w:r>
        <w:rPr>
          <w:rFonts w:ascii="Times New Roman" w:hAnsi="Times New Roman" w:eastAsia="Times New Roman" w:cs="Times New Roman"/>
          <w:spacing w:val="35"/>
          <w:sz w:val="18"/>
          <w:szCs w:val="18"/>
        </w:rPr>
        <w:t xml:space="preserve"> </w:t>
      </w:r>
      <w:r>
        <w:rPr>
          <w:rFonts w:ascii="Times New Roman" w:hAnsi="Times New Roman" w:eastAsia="Times New Roman" w:cs="Times New Roman"/>
          <w:sz w:val="18"/>
          <w:szCs w:val="18"/>
        </w:rPr>
        <w:t>rand</w:t>
      </w:r>
      <w:r>
        <w:rPr>
          <w:rFonts w:ascii="Times New Roman" w:hAnsi="Times New Roman" w:eastAsia="Times New Roman" w:cs="Times New Roman"/>
          <w:spacing w:val="-1"/>
          <w:sz w:val="18"/>
          <w:szCs w:val="18"/>
        </w:rPr>
        <w:t>om</w:t>
      </w:r>
      <w:r>
        <w:rPr>
          <w:rFonts w:ascii="Times New Roman" w:hAnsi="Times New Roman" w:eastAsia="Times New Roman" w:cs="Times New Roman"/>
          <w:spacing w:val="40"/>
          <w:sz w:val="18"/>
          <w:szCs w:val="18"/>
        </w:rPr>
        <w:t xml:space="preserve"> </w:t>
      </w:r>
      <w:r>
        <w:rPr>
          <w:rFonts w:ascii="Times New Roman" w:hAnsi="Times New Roman" w:eastAsia="Times New Roman" w:cs="Times New Roman"/>
          <w:spacing w:val="-1"/>
          <w:sz w:val="18"/>
          <w:szCs w:val="18"/>
        </w:rPr>
        <w:t>allocation</w:t>
      </w:r>
      <w:r>
        <w:rPr>
          <w:rFonts w:ascii="Times New Roman" w:hAnsi="Times New Roman" w:eastAsia="Times New Roman" w:cs="Times New Roman"/>
          <w:spacing w:val="41"/>
          <w:sz w:val="18"/>
          <w:szCs w:val="18"/>
        </w:rPr>
        <w:t xml:space="preserve"> </w:t>
      </w:r>
      <w:r>
        <w:rPr>
          <w:rFonts w:ascii="Times New Roman" w:hAnsi="Times New Roman" w:eastAsia="Times New Roman" w:cs="Times New Roman"/>
          <w:spacing w:val="-1"/>
          <w:sz w:val="18"/>
          <w:szCs w:val="18"/>
        </w:rPr>
        <w:t>90</w:t>
      </w:r>
    </w:p>
    <w:p w14:paraId="2DF72348">
      <w:pPr>
        <w:spacing w:before="108" w:line="220" w:lineRule="auto"/>
        <w:rPr>
          <w:rFonts w:ascii="Times New Roman" w:hAnsi="Times New Roman" w:eastAsia="Times New Roman" w:cs="Times New Roman"/>
          <w:sz w:val="18"/>
          <w:szCs w:val="18"/>
        </w:rPr>
      </w:pPr>
      <w:r>
        <w:rPr>
          <w:rFonts w:ascii="宋体" w:hAnsi="宋体" w:eastAsia="宋体" w:cs="宋体"/>
          <w:spacing w:val="-1"/>
          <w:sz w:val="18"/>
          <w:szCs w:val="18"/>
        </w:rPr>
        <w:t>隐性感染</w:t>
      </w:r>
      <w:r>
        <w:rPr>
          <w:rFonts w:ascii="宋体" w:hAnsi="宋体" w:eastAsia="宋体" w:cs="宋体"/>
          <w:spacing w:val="54"/>
          <w:sz w:val="18"/>
          <w:szCs w:val="18"/>
        </w:rPr>
        <w:t xml:space="preserve"> </w:t>
      </w:r>
      <w:r>
        <w:rPr>
          <w:rFonts w:ascii="Times New Roman" w:hAnsi="Times New Roman" w:eastAsia="Times New Roman" w:cs="Times New Roman"/>
          <w:spacing w:val="-1"/>
          <w:sz w:val="18"/>
          <w:szCs w:val="18"/>
        </w:rPr>
        <w:t>covert</w:t>
      </w:r>
      <w:r>
        <w:rPr>
          <w:rFonts w:ascii="Times New Roman" w:hAnsi="Times New Roman" w:eastAsia="Times New Roman" w:cs="Times New Roman"/>
          <w:spacing w:val="12"/>
          <w:sz w:val="18"/>
          <w:szCs w:val="18"/>
        </w:rPr>
        <w:t xml:space="preserve">  </w:t>
      </w:r>
      <w:r>
        <w:rPr>
          <w:rFonts w:ascii="Times New Roman" w:hAnsi="Times New Roman" w:eastAsia="Times New Roman" w:cs="Times New Roman"/>
          <w:spacing w:val="-1"/>
          <w:sz w:val="18"/>
          <w:szCs w:val="18"/>
        </w:rPr>
        <w:t>infection</w:t>
      </w:r>
      <w:r>
        <w:rPr>
          <w:rFonts w:ascii="Times New Roman" w:hAnsi="Times New Roman" w:eastAsia="Times New Roman" w:cs="Times New Roman"/>
          <w:spacing w:val="20"/>
          <w:w w:val="101"/>
          <w:sz w:val="18"/>
          <w:szCs w:val="18"/>
        </w:rPr>
        <w:t xml:space="preserve">  </w:t>
      </w:r>
      <w:r>
        <w:rPr>
          <w:rFonts w:ascii="Times New Roman" w:hAnsi="Times New Roman" w:eastAsia="Times New Roman" w:cs="Times New Roman"/>
          <w:spacing w:val="-1"/>
          <w:sz w:val="18"/>
          <w:szCs w:val="18"/>
        </w:rPr>
        <w:t>158</w:t>
      </w:r>
    </w:p>
    <w:p w14:paraId="5DA22CC9">
      <w:pPr>
        <w:spacing w:before="134" w:line="329" w:lineRule="auto"/>
        <w:ind w:right="490"/>
        <w:rPr>
          <w:rFonts w:ascii="Times New Roman" w:hAnsi="Times New Roman" w:eastAsia="Times New Roman" w:cs="Times New Roman"/>
          <w:sz w:val="18"/>
          <w:szCs w:val="18"/>
        </w:rPr>
      </w:pPr>
      <w:r>
        <w:rPr>
          <w:rFonts w:ascii="宋体" w:hAnsi="宋体" w:eastAsia="宋体" w:cs="宋体"/>
          <w:sz w:val="18"/>
          <w:szCs w:val="18"/>
        </w:rPr>
        <w:t>有效再生数</w:t>
      </w:r>
      <w:r>
        <w:rPr>
          <w:rFonts w:ascii="宋体" w:hAnsi="宋体" w:eastAsia="宋体" w:cs="宋体"/>
          <w:spacing w:val="46"/>
          <w:w w:val="101"/>
          <w:sz w:val="18"/>
          <w:szCs w:val="18"/>
        </w:rPr>
        <w:t xml:space="preserve"> </w:t>
      </w:r>
      <w:r>
        <w:rPr>
          <w:rFonts w:ascii="Times New Roman" w:hAnsi="Times New Roman" w:eastAsia="Times New Roman" w:cs="Times New Roman"/>
          <w:sz w:val="18"/>
          <w:szCs w:val="18"/>
        </w:rPr>
        <w:t>effective  reproduction  number,R</w:t>
      </w:r>
      <w:r>
        <w:rPr>
          <w:rFonts w:ascii="Times New Roman" w:hAnsi="Times New Roman" w:eastAsia="Times New Roman" w:cs="Times New Roman"/>
          <w:spacing w:val="-23"/>
          <w:sz w:val="18"/>
          <w:szCs w:val="18"/>
        </w:rPr>
        <w:t xml:space="preserve"> </w:t>
      </w:r>
      <w:r>
        <w:rPr>
          <w:rFonts w:ascii="宋体" w:hAnsi="宋体" w:eastAsia="宋体" w:cs="宋体"/>
          <w:sz w:val="18"/>
          <w:szCs w:val="18"/>
        </w:rPr>
        <w:t>。</w:t>
      </w:r>
      <w:r>
        <w:rPr>
          <w:rFonts w:ascii="Times New Roman" w:hAnsi="Times New Roman" w:eastAsia="Times New Roman" w:cs="Times New Roman"/>
          <w:sz w:val="18"/>
          <w:szCs w:val="18"/>
        </w:rPr>
        <w:t xml:space="preserve">163 </w:t>
      </w:r>
      <w:r>
        <w:rPr>
          <w:rFonts w:ascii="宋体" w:hAnsi="宋体" w:eastAsia="宋体" w:cs="宋体"/>
          <w:sz w:val="18"/>
          <w:szCs w:val="18"/>
        </w:rPr>
        <w:t>诱导期</w:t>
      </w:r>
      <w:r>
        <w:rPr>
          <w:rFonts w:ascii="宋体" w:hAnsi="宋体" w:eastAsia="宋体" w:cs="宋体"/>
          <w:spacing w:val="72"/>
          <w:sz w:val="18"/>
          <w:szCs w:val="18"/>
        </w:rPr>
        <w:t xml:space="preserve"> </w:t>
      </w:r>
      <w:r>
        <w:rPr>
          <w:rFonts w:ascii="Times New Roman" w:hAnsi="Times New Roman" w:eastAsia="Times New Roman" w:cs="Times New Roman"/>
          <w:sz w:val="18"/>
          <w:szCs w:val="18"/>
        </w:rPr>
        <w:t>induction</w:t>
      </w:r>
      <w:r>
        <w:rPr>
          <w:rFonts w:ascii="Times New Roman" w:hAnsi="Times New Roman" w:eastAsia="Times New Roman" w:cs="Times New Roman"/>
          <w:spacing w:val="13"/>
          <w:w w:val="101"/>
          <w:sz w:val="18"/>
          <w:szCs w:val="18"/>
        </w:rPr>
        <w:t xml:space="preserve">  </w:t>
      </w:r>
      <w:r>
        <w:rPr>
          <w:rFonts w:ascii="Times New Roman" w:hAnsi="Times New Roman" w:eastAsia="Times New Roman" w:cs="Times New Roman"/>
          <w:sz w:val="18"/>
          <w:szCs w:val="18"/>
        </w:rPr>
        <w:t>period   139</w:t>
      </w:r>
    </w:p>
    <w:p w14:paraId="2C7CA3E0">
      <w:pPr>
        <w:spacing w:before="19" w:line="212" w:lineRule="auto"/>
        <w:rPr>
          <w:rFonts w:ascii="Times New Roman" w:hAnsi="Times New Roman" w:eastAsia="Times New Roman" w:cs="Times New Roman"/>
          <w:sz w:val="18"/>
          <w:szCs w:val="18"/>
        </w:rPr>
      </w:pPr>
      <w:r>
        <w:rPr>
          <w:rFonts w:ascii="宋体" w:hAnsi="宋体" w:eastAsia="宋体" w:cs="宋体"/>
          <w:sz w:val="18"/>
          <w:szCs w:val="18"/>
        </w:rPr>
        <w:t>预测值</w:t>
      </w:r>
      <w:r>
        <w:rPr>
          <w:rFonts w:ascii="宋体" w:hAnsi="宋体" w:eastAsia="宋体" w:cs="宋体"/>
          <w:spacing w:val="62"/>
          <w:w w:val="101"/>
          <w:sz w:val="18"/>
          <w:szCs w:val="18"/>
        </w:rPr>
        <w:t xml:space="preserve"> </w:t>
      </w:r>
      <w:r>
        <w:rPr>
          <w:rFonts w:ascii="Times New Roman" w:hAnsi="Times New Roman" w:eastAsia="Times New Roman" w:cs="Times New Roman"/>
          <w:sz w:val="18"/>
          <w:szCs w:val="18"/>
        </w:rPr>
        <w:t>predictive</w:t>
      </w:r>
      <w:r>
        <w:rPr>
          <w:rFonts w:ascii="Times New Roman" w:hAnsi="Times New Roman" w:eastAsia="Times New Roman" w:cs="Times New Roman"/>
          <w:spacing w:val="10"/>
          <w:sz w:val="18"/>
          <w:szCs w:val="18"/>
        </w:rPr>
        <w:t xml:space="preserve">  </w:t>
      </w:r>
      <w:r>
        <w:rPr>
          <w:rFonts w:ascii="Times New Roman" w:hAnsi="Times New Roman" w:eastAsia="Times New Roman" w:cs="Times New Roman"/>
          <w:sz w:val="18"/>
          <w:szCs w:val="18"/>
        </w:rPr>
        <w:t>value</w:t>
      </w:r>
      <w:r>
        <w:rPr>
          <w:rFonts w:ascii="Times New Roman" w:hAnsi="Times New Roman" w:eastAsia="Times New Roman" w:cs="Times New Roman"/>
          <w:spacing w:val="20"/>
          <w:w w:val="101"/>
          <w:sz w:val="18"/>
          <w:szCs w:val="18"/>
        </w:rPr>
        <w:t xml:space="preserve">  </w:t>
      </w:r>
      <w:r>
        <w:rPr>
          <w:rFonts w:ascii="Times New Roman" w:hAnsi="Times New Roman" w:eastAsia="Times New Roman" w:cs="Times New Roman"/>
          <w:sz w:val="18"/>
          <w:szCs w:val="18"/>
        </w:rPr>
        <w:t>107</w:t>
      </w:r>
    </w:p>
    <w:p w14:paraId="1E8C3277">
      <w:pPr>
        <w:spacing w:before="152" w:line="212" w:lineRule="auto"/>
        <w:rPr>
          <w:rFonts w:ascii="Times New Roman" w:hAnsi="Times New Roman" w:eastAsia="Times New Roman" w:cs="Times New Roman"/>
          <w:sz w:val="18"/>
          <w:szCs w:val="18"/>
        </w:rPr>
      </w:pPr>
      <w:r>
        <w:rPr>
          <w:rFonts w:ascii="宋体" w:hAnsi="宋体" w:eastAsia="宋体" w:cs="宋体"/>
          <w:sz w:val="18"/>
          <w:szCs w:val="18"/>
        </w:rPr>
        <w:t>预防接种</w:t>
      </w:r>
      <w:r>
        <w:rPr>
          <w:rFonts w:ascii="宋体" w:hAnsi="宋体" w:eastAsia="宋体" w:cs="宋体"/>
          <w:spacing w:val="67"/>
          <w:sz w:val="18"/>
          <w:szCs w:val="18"/>
        </w:rPr>
        <w:t xml:space="preserve"> </w:t>
      </w:r>
      <w:r>
        <w:rPr>
          <w:rFonts w:ascii="Times New Roman" w:hAnsi="Times New Roman" w:eastAsia="Times New Roman" w:cs="Times New Roman"/>
          <w:sz w:val="18"/>
          <w:szCs w:val="18"/>
        </w:rPr>
        <w:t>immunization,vacc</w:t>
      </w:r>
      <w:r>
        <w:rPr>
          <w:rFonts w:ascii="Times New Roman" w:hAnsi="Times New Roman" w:eastAsia="Times New Roman" w:cs="Times New Roman"/>
          <w:spacing w:val="-1"/>
          <w:sz w:val="18"/>
          <w:szCs w:val="18"/>
        </w:rPr>
        <w:t>ination</w:t>
      </w:r>
      <w:r>
        <w:rPr>
          <w:rFonts w:ascii="Times New Roman" w:hAnsi="Times New Roman" w:eastAsia="Times New Roman" w:cs="Times New Roman"/>
          <w:spacing w:val="8"/>
          <w:sz w:val="18"/>
          <w:szCs w:val="18"/>
        </w:rPr>
        <w:t xml:space="preserve">     </w:t>
      </w:r>
      <w:r>
        <w:rPr>
          <w:rFonts w:ascii="Times New Roman" w:hAnsi="Times New Roman" w:eastAsia="Times New Roman" w:cs="Times New Roman"/>
          <w:spacing w:val="-1"/>
          <w:sz w:val="18"/>
          <w:szCs w:val="18"/>
        </w:rPr>
        <w:t>168</w:t>
      </w:r>
    </w:p>
    <w:p w14:paraId="4BC8CE35">
      <w:pPr>
        <w:spacing w:before="114" w:line="212" w:lineRule="auto"/>
        <w:rPr>
          <w:rFonts w:ascii="Times New Roman" w:hAnsi="Times New Roman" w:eastAsia="Times New Roman" w:cs="Times New Roman"/>
          <w:sz w:val="18"/>
          <w:szCs w:val="18"/>
        </w:rPr>
      </w:pPr>
      <w:r>
        <w:rPr>
          <w:rFonts w:ascii="宋体" w:hAnsi="宋体" w:eastAsia="宋体" w:cs="宋体"/>
          <w:sz w:val="18"/>
          <w:szCs w:val="18"/>
        </w:rPr>
        <w:t>预防性筛检</w:t>
      </w:r>
      <w:r>
        <w:rPr>
          <w:rFonts w:ascii="宋体" w:hAnsi="宋体" w:eastAsia="宋体" w:cs="宋体"/>
          <w:spacing w:val="62"/>
          <w:sz w:val="18"/>
          <w:szCs w:val="18"/>
        </w:rPr>
        <w:t xml:space="preserve"> </w:t>
      </w:r>
      <w:r>
        <w:rPr>
          <w:rFonts w:ascii="Times New Roman" w:hAnsi="Times New Roman" w:eastAsia="Times New Roman" w:cs="Times New Roman"/>
          <w:sz w:val="18"/>
          <w:szCs w:val="18"/>
        </w:rPr>
        <w:t>preventive</w:t>
      </w:r>
      <w:r>
        <w:rPr>
          <w:rFonts w:ascii="Times New Roman" w:hAnsi="Times New Roman" w:eastAsia="Times New Roman" w:cs="Times New Roman"/>
          <w:spacing w:val="19"/>
          <w:w w:val="101"/>
          <w:sz w:val="18"/>
          <w:szCs w:val="18"/>
        </w:rPr>
        <w:t xml:space="preserve">  </w:t>
      </w:r>
      <w:r>
        <w:rPr>
          <w:rFonts w:ascii="Times New Roman" w:hAnsi="Times New Roman" w:eastAsia="Times New Roman" w:cs="Times New Roman"/>
          <w:sz w:val="18"/>
          <w:szCs w:val="18"/>
        </w:rPr>
        <w:t>screening   1</w:t>
      </w:r>
      <w:r>
        <w:rPr>
          <w:rFonts w:ascii="Times New Roman" w:hAnsi="Times New Roman" w:eastAsia="Times New Roman" w:cs="Times New Roman"/>
          <w:spacing w:val="-1"/>
          <w:sz w:val="18"/>
          <w:szCs w:val="18"/>
        </w:rPr>
        <w:t>02</w:t>
      </w:r>
    </w:p>
    <w:p w14:paraId="713FD9BC">
      <w:pPr>
        <w:spacing w:before="124" w:line="212" w:lineRule="auto"/>
        <w:rPr>
          <w:rFonts w:ascii="Times New Roman" w:hAnsi="Times New Roman" w:eastAsia="Times New Roman" w:cs="Times New Roman"/>
          <w:sz w:val="18"/>
          <w:szCs w:val="18"/>
        </w:rPr>
      </w:pPr>
      <w:r>
        <w:rPr>
          <w:rFonts w:ascii="宋体" w:hAnsi="宋体" w:eastAsia="宋体" w:cs="宋体"/>
          <w:sz w:val="18"/>
          <w:szCs w:val="18"/>
        </w:rPr>
        <w:t>预防性消毒</w:t>
      </w:r>
      <w:r>
        <w:rPr>
          <w:rFonts w:ascii="宋体" w:hAnsi="宋体" w:eastAsia="宋体" w:cs="宋体"/>
          <w:spacing w:val="70"/>
          <w:sz w:val="18"/>
          <w:szCs w:val="18"/>
        </w:rPr>
        <w:t xml:space="preserve"> </w:t>
      </w:r>
      <w:r>
        <w:rPr>
          <w:rFonts w:ascii="Times New Roman" w:hAnsi="Times New Roman" w:eastAsia="Times New Roman" w:cs="Times New Roman"/>
          <w:sz w:val="18"/>
          <w:szCs w:val="18"/>
        </w:rPr>
        <w:t>preventive</w:t>
      </w:r>
      <w:r>
        <w:rPr>
          <w:rFonts w:ascii="Times New Roman" w:hAnsi="Times New Roman" w:eastAsia="Times New Roman" w:cs="Times New Roman"/>
          <w:spacing w:val="13"/>
          <w:w w:val="101"/>
          <w:sz w:val="18"/>
          <w:szCs w:val="18"/>
        </w:rPr>
        <w:t xml:space="preserve">  </w:t>
      </w:r>
      <w:r>
        <w:rPr>
          <w:rFonts w:ascii="Times New Roman" w:hAnsi="Times New Roman" w:eastAsia="Times New Roman" w:cs="Times New Roman"/>
          <w:sz w:val="18"/>
          <w:szCs w:val="18"/>
        </w:rPr>
        <w:t>disinfection</w:t>
      </w:r>
      <w:r>
        <w:rPr>
          <w:rFonts w:ascii="Times New Roman" w:hAnsi="Times New Roman" w:eastAsia="Times New Roman" w:cs="Times New Roman"/>
          <w:spacing w:val="21"/>
          <w:w w:val="101"/>
          <w:sz w:val="18"/>
          <w:szCs w:val="18"/>
        </w:rPr>
        <w:t xml:space="preserve">  </w:t>
      </w:r>
      <w:r>
        <w:rPr>
          <w:rFonts w:ascii="Times New Roman" w:hAnsi="Times New Roman" w:eastAsia="Times New Roman" w:cs="Times New Roman"/>
          <w:spacing w:val="-1"/>
          <w:sz w:val="18"/>
          <w:szCs w:val="18"/>
        </w:rPr>
        <w:t>178</w:t>
      </w:r>
    </w:p>
    <w:p w14:paraId="09F943A0">
      <w:pPr>
        <w:spacing w:before="123" w:line="212" w:lineRule="auto"/>
        <w:rPr>
          <w:rFonts w:ascii="Times New Roman" w:hAnsi="Times New Roman" w:eastAsia="Times New Roman" w:cs="Times New Roman"/>
          <w:sz w:val="18"/>
          <w:szCs w:val="18"/>
        </w:rPr>
      </w:pPr>
      <w:r>
        <w:rPr>
          <w:rFonts w:ascii="宋体" w:hAnsi="宋体" w:eastAsia="宋体" w:cs="宋体"/>
          <w:spacing w:val="1"/>
          <w:sz w:val="18"/>
          <w:szCs w:val="18"/>
        </w:rPr>
        <w:t>预试验</w:t>
      </w:r>
      <w:r>
        <w:rPr>
          <w:rFonts w:ascii="宋体" w:hAnsi="宋体" w:eastAsia="宋体" w:cs="宋体"/>
          <w:spacing w:val="52"/>
          <w:sz w:val="18"/>
          <w:szCs w:val="18"/>
        </w:rPr>
        <w:t xml:space="preserve"> </w:t>
      </w:r>
      <w:r>
        <w:rPr>
          <w:rFonts w:ascii="Times New Roman" w:hAnsi="Times New Roman" w:eastAsia="Times New Roman" w:cs="Times New Roman"/>
          <w:sz w:val="18"/>
          <w:szCs w:val="18"/>
        </w:rPr>
        <w:t>pilot</w:t>
      </w:r>
      <w:r>
        <w:rPr>
          <w:rFonts w:ascii="Times New Roman" w:hAnsi="Times New Roman" w:eastAsia="Times New Roman" w:cs="Times New Roman"/>
          <w:spacing w:val="16"/>
          <w:sz w:val="18"/>
          <w:szCs w:val="18"/>
        </w:rPr>
        <w:t xml:space="preserve">  </w:t>
      </w:r>
      <w:r>
        <w:rPr>
          <w:rFonts w:ascii="Times New Roman" w:hAnsi="Times New Roman" w:eastAsia="Times New Roman" w:cs="Times New Roman"/>
          <w:sz w:val="18"/>
          <w:szCs w:val="18"/>
        </w:rPr>
        <w:t>study</w:t>
      </w:r>
      <w:r>
        <w:rPr>
          <w:rFonts w:ascii="Times New Roman" w:hAnsi="Times New Roman" w:eastAsia="Times New Roman" w:cs="Times New Roman"/>
          <w:spacing w:val="15"/>
          <w:w w:val="101"/>
          <w:sz w:val="18"/>
          <w:szCs w:val="18"/>
        </w:rPr>
        <w:t xml:space="preserve">  </w:t>
      </w:r>
      <w:r>
        <w:rPr>
          <w:rFonts w:ascii="Times New Roman" w:hAnsi="Times New Roman" w:eastAsia="Times New Roman" w:cs="Times New Roman"/>
          <w:spacing w:val="1"/>
          <w:sz w:val="18"/>
          <w:szCs w:val="18"/>
        </w:rPr>
        <w:t>99</w:t>
      </w:r>
    </w:p>
    <w:p w14:paraId="7E01834E">
      <w:pPr>
        <w:spacing w:before="144" w:line="219" w:lineRule="auto"/>
        <w:rPr>
          <w:rFonts w:ascii="Times New Roman" w:hAnsi="Times New Roman" w:eastAsia="Times New Roman" w:cs="Times New Roman"/>
          <w:sz w:val="18"/>
          <w:szCs w:val="18"/>
        </w:rPr>
      </w:pPr>
      <w:r>
        <w:rPr>
          <w:rFonts w:ascii="宋体" w:hAnsi="宋体" w:eastAsia="宋体" w:cs="宋体"/>
          <w:spacing w:val="-2"/>
          <w:sz w:val="18"/>
          <w:szCs w:val="18"/>
        </w:rPr>
        <w:t>约登指数</w:t>
      </w:r>
      <w:r>
        <w:rPr>
          <w:rFonts w:ascii="宋体" w:hAnsi="宋体" w:eastAsia="宋体" w:cs="宋体"/>
          <w:spacing w:val="94"/>
          <w:sz w:val="18"/>
          <w:szCs w:val="18"/>
        </w:rPr>
        <w:t xml:space="preserve"> </w:t>
      </w:r>
      <w:r>
        <w:rPr>
          <w:rFonts w:ascii="Times New Roman" w:hAnsi="Times New Roman" w:eastAsia="Times New Roman" w:cs="Times New Roman"/>
          <w:spacing w:val="-2"/>
          <w:sz w:val="18"/>
          <w:szCs w:val="18"/>
        </w:rPr>
        <w:t>Youden's   index</w:t>
      </w:r>
      <w:r>
        <w:rPr>
          <w:rFonts w:ascii="Times New Roman" w:hAnsi="Times New Roman" w:eastAsia="Times New Roman" w:cs="Times New Roman"/>
          <w:spacing w:val="5"/>
          <w:sz w:val="18"/>
          <w:szCs w:val="18"/>
        </w:rPr>
        <w:t xml:space="preserve">   </w:t>
      </w:r>
      <w:r>
        <w:rPr>
          <w:rFonts w:ascii="Times New Roman" w:hAnsi="Times New Roman" w:eastAsia="Times New Roman" w:cs="Times New Roman"/>
          <w:spacing w:val="-2"/>
          <w:sz w:val="18"/>
          <w:szCs w:val="18"/>
        </w:rPr>
        <w:t>105</w:t>
      </w:r>
    </w:p>
    <w:p w14:paraId="1D02729F">
      <w:pPr>
        <w:spacing w:line="243" w:lineRule="auto"/>
        <w:rPr>
          <w:rFonts w:ascii="Arial"/>
          <w:sz w:val="21"/>
        </w:rPr>
      </w:pPr>
    </w:p>
    <w:p w14:paraId="5E122554">
      <w:pPr>
        <w:spacing w:before="81" w:line="196" w:lineRule="auto"/>
        <w:rPr>
          <w:rFonts w:ascii="Arial" w:hAnsi="Arial" w:eastAsia="Arial" w:cs="Arial"/>
          <w:sz w:val="28"/>
          <w:szCs w:val="28"/>
        </w:rPr>
      </w:pPr>
      <w:r>
        <w:rPr>
          <w:rFonts w:ascii="Arial" w:hAnsi="Arial" w:eastAsia="Arial" w:cs="Arial"/>
          <w:sz w:val="28"/>
          <w:szCs w:val="28"/>
        </w:rPr>
        <w:t>Z</w:t>
      </w:r>
    </w:p>
    <w:p w14:paraId="3324DD88">
      <w:pPr>
        <w:spacing w:before="187" w:line="212" w:lineRule="auto"/>
        <w:rPr>
          <w:rFonts w:ascii="Times New Roman" w:hAnsi="Times New Roman" w:eastAsia="Times New Roman" w:cs="Times New Roman"/>
          <w:sz w:val="18"/>
          <w:szCs w:val="18"/>
        </w:rPr>
      </w:pPr>
      <w:r>
        <w:rPr>
          <w:rFonts w:ascii="宋体" w:hAnsi="宋体" w:eastAsia="宋体" w:cs="宋体"/>
          <w:sz w:val="18"/>
          <w:szCs w:val="18"/>
        </w:rPr>
        <w:t>早期生物效应标志</w:t>
      </w:r>
      <w:r>
        <w:rPr>
          <w:rFonts w:ascii="宋体" w:hAnsi="宋体" w:eastAsia="宋体" w:cs="宋体"/>
          <w:spacing w:val="89"/>
          <w:sz w:val="18"/>
          <w:szCs w:val="18"/>
        </w:rPr>
        <w:t xml:space="preserve"> </w:t>
      </w:r>
      <w:r>
        <w:rPr>
          <w:rFonts w:ascii="Times New Roman" w:hAnsi="Times New Roman" w:eastAsia="Times New Roman" w:cs="Times New Roman"/>
          <w:sz w:val="18"/>
          <w:szCs w:val="18"/>
        </w:rPr>
        <w:t xml:space="preserve">early biological </w:t>
      </w:r>
      <w:r>
        <w:rPr>
          <w:rFonts w:ascii="Times New Roman" w:hAnsi="Times New Roman" w:eastAsia="Times New Roman" w:cs="Times New Roman"/>
          <w:spacing w:val="-1"/>
          <w:sz w:val="18"/>
          <w:szCs w:val="18"/>
        </w:rPr>
        <w:t>response biomarker</w:t>
      </w:r>
    </w:p>
    <w:p w14:paraId="2821F23D">
      <w:pPr>
        <w:spacing w:before="171" w:line="188" w:lineRule="auto"/>
        <w:ind w:left="209"/>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237</w:t>
      </w:r>
    </w:p>
    <w:p w14:paraId="5158F81A">
      <w:pPr>
        <w:spacing w:before="120" w:line="365" w:lineRule="auto"/>
        <w:ind w:left="209" w:hanging="209"/>
        <w:rPr>
          <w:rFonts w:ascii="Times New Roman" w:hAnsi="Times New Roman" w:eastAsia="Times New Roman" w:cs="Times New Roman"/>
          <w:sz w:val="18"/>
          <w:szCs w:val="18"/>
        </w:rPr>
      </w:pPr>
      <w:r>
        <w:rPr>
          <w:rFonts w:ascii="宋体" w:hAnsi="宋体" w:eastAsia="宋体" w:cs="宋体"/>
          <w:spacing w:val="-12"/>
          <w:sz w:val="18"/>
          <w:szCs w:val="18"/>
        </w:rPr>
        <w:t>增量成本</w:t>
      </w:r>
      <w:r>
        <w:rPr>
          <w:rFonts w:ascii="宋体" w:hAnsi="宋体" w:eastAsia="宋体" w:cs="宋体"/>
          <w:spacing w:val="-11"/>
          <w:sz w:val="18"/>
          <w:szCs w:val="18"/>
        </w:rPr>
        <w:t>效果(或效用)比</w:t>
      </w:r>
      <w:r>
        <w:rPr>
          <w:rFonts w:ascii="宋体" w:hAnsi="宋体" w:eastAsia="宋体" w:cs="宋体"/>
          <w:spacing w:val="59"/>
          <w:sz w:val="18"/>
          <w:szCs w:val="18"/>
        </w:rPr>
        <w:t xml:space="preserve"> </w:t>
      </w:r>
      <w:r>
        <w:rPr>
          <w:rFonts w:ascii="宋体" w:hAnsi="宋体" w:eastAsia="宋体" w:cs="宋体"/>
          <w:spacing w:val="-11"/>
          <w:sz w:val="18"/>
          <w:szCs w:val="18"/>
        </w:rPr>
        <w:t>incremental cost-effectivenes</w:t>
      </w:r>
      <w:r>
        <w:rPr>
          <w:rFonts w:ascii="宋体" w:hAnsi="宋体" w:eastAsia="宋体" w:cs="宋体"/>
          <w:spacing w:val="-12"/>
          <w:sz w:val="18"/>
          <w:szCs w:val="18"/>
        </w:rPr>
        <w:t>s</w:t>
      </w:r>
      <w:r>
        <w:rPr>
          <w:rFonts w:ascii="宋体" w:hAnsi="宋体" w:eastAsia="宋体" w:cs="宋体"/>
          <w:spacing w:val="-8"/>
          <w:sz w:val="18"/>
          <w:szCs w:val="18"/>
        </w:rPr>
        <w:t>/</w:t>
      </w:r>
      <w:r>
        <w:rPr>
          <w:rFonts w:ascii="宋体" w:hAnsi="宋体" w:eastAsia="宋体" w:cs="宋体"/>
          <w:sz w:val="18"/>
          <w:szCs w:val="18"/>
        </w:rPr>
        <w:t xml:space="preserve"> </w:t>
      </w:r>
      <w:r>
        <w:rPr>
          <w:rFonts w:ascii="Times New Roman" w:hAnsi="Times New Roman" w:eastAsia="Times New Roman" w:cs="Times New Roman"/>
          <w:spacing w:val="-1"/>
          <w:sz w:val="18"/>
          <w:szCs w:val="18"/>
        </w:rPr>
        <w:t>utility   ratio,ICER/ICUR</w:t>
      </w:r>
      <w:r>
        <w:rPr>
          <w:rFonts w:ascii="Times New Roman" w:hAnsi="Times New Roman" w:eastAsia="Times New Roman" w:cs="Times New Roman"/>
          <w:spacing w:val="10"/>
          <w:sz w:val="18"/>
          <w:szCs w:val="18"/>
        </w:rPr>
        <w:t xml:space="preserve">   </w:t>
      </w:r>
      <w:r>
        <w:rPr>
          <w:rFonts w:ascii="Times New Roman" w:hAnsi="Times New Roman" w:eastAsia="Times New Roman" w:cs="Times New Roman"/>
          <w:spacing w:val="-1"/>
          <w:sz w:val="18"/>
          <w:szCs w:val="18"/>
        </w:rPr>
        <w:t>115</w:t>
      </w:r>
    </w:p>
    <w:p w14:paraId="69BC7E57">
      <w:pPr>
        <w:spacing w:line="212" w:lineRule="auto"/>
        <w:rPr>
          <w:rFonts w:ascii="Times New Roman" w:hAnsi="Times New Roman" w:eastAsia="Times New Roman" w:cs="Times New Roman"/>
          <w:sz w:val="18"/>
          <w:szCs w:val="18"/>
        </w:rPr>
      </w:pPr>
      <w:r>
        <w:rPr>
          <w:rFonts w:ascii="宋体" w:hAnsi="宋体" w:eastAsia="宋体" w:cs="宋体"/>
          <w:spacing w:val="-1"/>
          <w:sz w:val="18"/>
          <w:szCs w:val="18"/>
        </w:rPr>
        <w:t>瘴气说</w:t>
      </w:r>
      <w:r>
        <w:rPr>
          <w:rFonts w:ascii="宋体" w:hAnsi="宋体" w:eastAsia="宋体" w:cs="宋体"/>
          <w:spacing w:val="68"/>
          <w:sz w:val="18"/>
          <w:szCs w:val="18"/>
        </w:rPr>
        <w:t xml:space="preserve"> </w:t>
      </w:r>
      <w:r>
        <w:rPr>
          <w:rFonts w:ascii="Times New Roman" w:hAnsi="Times New Roman" w:eastAsia="Times New Roman" w:cs="Times New Roman"/>
          <w:spacing w:val="-1"/>
          <w:sz w:val="18"/>
          <w:szCs w:val="18"/>
        </w:rPr>
        <w:t>miasma</w:t>
      </w:r>
      <w:r>
        <w:rPr>
          <w:rFonts w:ascii="Times New Roman" w:hAnsi="Times New Roman" w:eastAsia="Times New Roman" w:cs="Times New Roman"/>
          <w:spacing w:val="12"/>
          <w:sz w:val="18"/>
          <w:szCs w:val="18"/>
        </w:rPr>
        <w:t xml:space="preserve">  </w:t>
      </w:r>
      <w:r>
        <w:rPr>
          <w:rFonts w:ascii="Times New Roman" w:hAnsi="Times New Roman" w:eastAsia="Times New Roman" w:cs="Times New Roman"/>
          <w:spacing w:val="-1"/>
          <w:sz w:val="18"/>
          <w:szCs w:val="18"/>
        </w:rPr>
        <w:t>theory</w:t>
      </w:r>
      <w:r>
        <w:rPr>
          <w:rFonts w:ascii="Times New Roman" w:hAnsi="Times New Roman" w:eastAsia="Times New Roman" w:cs="Times New Roman"/>
          <w:spacing w:val="21"/>
          <w:sz w:val="18"/>
          <w:szCs w:val="18"/>
        </w:rPr>
        <w:t xml:space="preserve">  </w:t>
      </w:r>
      <w:r>
        <w:rPr>
          <w:rFonts w:ascii="Times New Roman" w:hAnsi="Times New Roman" w:eastAsia="Times New Roman" w:cs="Times New Roman"/>
          <w:spacing w:val="-1"/>
          <w:sz w:val="18"/>
          <w:szCs w:val="18"/>
        </w:rPr>
        <w:t>118</w:t>
      </w:r>
    </w:p>
    <w:p w14:paraId="5406042D">
      <w:pPr>
        <w:spacing w:before="123" w:line="212" w:lineRule="auto"/>
        <w:rPr>
          <w:rFonts w:ascii="Times New Roman" w:hAnsi="Times New Roman" w:eastAsia="Times New Roman" w:cs="Times New Roman"/>
          <w:sz w:val="18"/>
          <w:szCs w:val="18"/>
        </w:rPr>
      </w:pPr>
      <w:r>
        <w:rPr>
          <w:rFonts w:ascii="宋体" w:hAnsi="宋体" w:eastAsia="宋体" w:cs="宋体"/>
          <w:sz w:val="18"/>
          <w:szCs w:val="18"/>
        </w:rPr>
        <w:t>真实性</w:t>
      </w:r>
      <w:r>
        <w:rPr>
          <w:rFonts w:ascii="宋体" w:hAnsi="宋体" w:eastAsia="宋体" w:cs="宋体"/>
          <w:spacing w:val="84"/>
          <w:sz w:val="18"/>
          <w:szCs w:val="18"/>
        </w:rPr>
        <w:t xml:space="preserve"> </w:t>
      </w:r>
      <w:r>
        <w:rPr>
          <w:rFonts w:ascii="Times New Roman" w:hAnsi="Times New Roman" w:eastAsia="Times New Roman" w:cs="Times New Roman"/>
          <w:sz w:val="18"/>
          <w:szCs w:val="18"/>
        </w:rPr>
        <w:t>validity     104,131</w:t>
      </w:r>
    </w:p>
    <w:sdt>
      <w:sdtPr>
        <w:rPr>
          <w:rFonts w:ascii="宋体" w:hAnsi="宋体" w:eastAsia="宋体" w:cs="宋体"/>
          <w:sz w:val="18"/>
          <w:szCs w:val="18"/>
        </w:rPr>
        <w:id w:val="907491234"/>
        <w:docPartObj>
          <w:docPartGallery w:val="Table of Contents"/>
          <w:docPartUnique/>
        </w:docPartObj>
      </w:sdtPr>
      <w:sdtEndPr>
        <w:rPr>
          <w:rFonts w:ascii="Times New Roman" w:hAnsi="Times New Roman" w:eastAsia="Times New Roman" w:cs="Times New Roman"/>
          <w:sz w:val="18"/>
          <w:szCs w:val="18"/>
        </w:rPr>
      </w:sdtEndPr>
      <w:sdtContent>
        <w:p w14:paraId="6D3A08DB">
          <w:pPr>
            <w:spacing w:before="123" w:line="212" w:lineRule="auto"/>
            <w:rPr>
              <w:rFonts w:ascii="Times New Roman" w:hAnsi="Times New Roman" w:eastAsia="Times New Roman" w:cs="Times New Roman"/>
              <w:sz w:val="18"/>
              <w:szCs w:val="18"/>
            </w:rPr>
          </w:pPr>
          <w:r>
            <w:rPr>
              <w:rFonts w:ascii="宋体" w:hAnsi="宋体" w:eastAsia="宋体" w:cs="宋体"/>
              <w:spacing w:val="-2"/>
              <w:sz w:val="18"/>
              <w:szCs w:val="18"/>
            </w:rPr>
            <w:t xml:space="preserve">整群抽样  </w:t>
          </w:r>
          <w:r>
            <w:rPr>
              <w:rFonts w:ascii="Times New Roman" w:hAnsi="Times New Roman" w:eastAsia="Times New Roman" w:cs="Times New Roman"/>
              <w:spacing w:val="-2"/>
              <w:sz w:val="18"/>
              <w:szCs w:val="18"/>
            </w:rPr>
            <w:t>cluster</w:t>
          </w:r>
          <w:r>
            <w:rPr>
              <w:rFonts w:ascii="Times New Roman" w:hAnsi="Times New Roman" w:eastAsia="Times New Roman" w:cs="Times New Roman"/>
              <w:spacing w:val="25"/>
              <w:w w:val="101"/>
              <w:sz w:val="18"/>
              <w:szCs w:val="18"/>
            </w:rPr>
            <w:t xml:space="preserve">  </w:t>
          </w:r>
          <w:r>
            <w:rPr>
              <w:rFonts w:ascii="Times New Roman" w:hAnsi="Times New Roman" w:eastAsia="Times New Roman" w:cs="Times New Roman"/>
              <w:spacing w:val="-2"/>
              <w:sz w:val="18"/>
              <w:szCs w:val="18"/>
            </w:rPr>
            <w:t>sampling</w:t>
          </w:r>
          <w:r>
            <w:rPr>
              <w:rFonts w:ascii="Times New Roman" w:hAnsi="Times New Roman" w:eastAsia="Times New Roman" w:cs="Times New Roman"/>
              <w:spacing w:val="17"/>
              <w:w w:val="101"/>
              <w:sz w:val="18"/>
              <w:szCs w:val="18"/>
            </w:rPr>
            <w:t xml:space="preserve">  </w:t>
          </w:r>
          <w:r>
            <w:fldChar w:fldCharType="begin"/>
          </w:r>
          <w:r>
            <w:instrText xml:space="preserve"> HYPERLINK \l "bookmark725" </w:instrText>
          </w:r>
          <w:r>
            <w:fldChar w:fldCharType="separate"/>
          </w:r>
          <w:r>
            <w:rPr>
              <w:rFonts w:ascii="Times New Roman" w:hAnsi="Times New Roman" w:eastAsia="Times New Roman" w:cs="Times New Roman"/>
              <w:spacing w:val="-2"/>
              <w:sz w:val="18"/>
              <w:szCs w:val="18"/>
            </w:rPr>
            <w:t>39</w:t>
          </w:r>
          <w:r>
            <w:rPr>
              <w:rFonts w:ascii="Times New Roman" w:hAnsi="Times New Roman" w:eastAsia="Times New Roman" w:cs="Times New Roman"/>
              <w:spacing w:val="-2"/>
              <w:sz w:val="18"/>
              <w:szCs w:val="18"/>
            </w:rPr>
            <w:fldChar w:fldCharType="end"/>
          </w:r>
        </w:p>
        <w:p w14:paraId="59B41A63">
          <w:pPr>
            <w:spacing w:before="124" w:line="212" w:lineRule="auto"/>
            <w:rPr>
              <w:rFonts w:ascii="Times New Roman" w:hAnsi="Times New Roman" w:eastAsia="Times New Roman" w:cs="Times New Roman"/>
              <w:sz w:val="18"/>
              <w:szCs w:val="18"/>
            </w:rPr>
          </w:pPr>
          <w:r>
            <w:rPr>
              <w:rFonts w:ascii="宋体" w:hAnsi="宋体" w:eastAsia="宋体" w:cs="宋体"/>
              <w:spacing w:val="-2"/>
              <w:sz w:val="18"/>
              <w:szCs w:val="18"/>
            </w:rPr>
            <w:t xml:space="preserve">整群筛检  </w:t>
          </w:r>
          <w:r>
            <w:rPr>
              <w:rFonts w:ascii="Times New Roman" w:hAnsi="Times New Roman" w:eastAsia="Times New Roman" w:cs="Times New Roman"/>
              <w:spacing w:val="-2"/>
              <w:sz w:val="18"/>
              <w:szCs w:val="18"/>
            </w:rPr>
            <w:t>mass</w:t>
          </w:r>
          <w:r>
            <w:rPr>
              <w:rFonts w:ascii="Times New Roman" w:hAnsi="Times New Roman" w:eastAsia="Times New Roman" w:cs="Times New Roman"/>
              <w:spacing w:val="24"/>
              <w:sz w:val="18"/>
              <w:szCs w:val="18"/>
            </w:rPr>
            <w:t xml:space="preserve">  </w:t>
          </w:r>
          <w:r>
            <w:rPr>
              <w:rFonts w:ascii="Times New Roman" w:hAnsi="Times New Roman" w:eastAsia="Times New Roman" w:cs="Times New Roman"/>
              <w:spacing w:val="-2"/>
              <w:sz w:val="18"/>
              <w:szCs w:val="18"/>
            </w:rPr>
            <w:t xml:space="preserve">screening   </w:t>
          </w:r>
          <w:r>
            <w:fldChar w:fldCharType="begin"/>
          </w:r>
          <w:r>
            <w:instrText xml:space="preserve"> HYPERLINK \l "bookmark726" </w:instrText>
          </w:r>
          <w:r>
            <w:fldChar w:fldCharType="separate"/>
          </w:r>
          <w:r>
            <w:rPr>
              <w:rFonts w:ascii="Times New Roman" w:hAnsi="Times New Roman" w:eastAsia="Times New Roman" w:cs="Times New Roman"/>
              <w:spacing w:val="-2"/>
              <w:sz w:val="18"/>
              <w:szCs w:val="18"/>
            </w:rPr>
            <w:t>102</w:t>
          </w:r>
          <w:r>
            <w:rPr>
              <w:rFonts w:ascii="Times New Roman" w:hAnsi="Times New Roman" w:eastAsia="Times New Roman" w:cs="Times New Roman"/>
              <w:spacing w:val="-2"/>
              <w:sz w:val="18"/>
              <w:szCs w:val="18"/>
            </w:rPr>
            <w:fldChar w:fldCharType="end"/>
          </w:r>
        </w:p>
        <w:p w14:paraId="08825437">
          <w:pPr>
            <w:spacing w:before="143" w:line="219" w:lineRule="auto"/>
            <w:rPr>
              <w:rFonts w:ascii="Times New Roman" w:hAnsi="Times New Roman" w:eastAsia="Times New Roman" w:cs="Times New Roman"/>
              <w:sz w:val="18"/>
              <w:szCs w:val="18"/>
            </w:rPr>
          </w:pPr>
          <w:r>
            <w:rPr>
              <w:rFonts w:ascii="宋体" w:hAnsi="宋体" w:eastAsia="宋体" w:cs="宋体"/>
              <w:spacing w:val="-1"/>
              <w:sz w:val="18"/>
              <w:szCs w:val="18"/>
            </w:rPr>
            <w:t xml:space="preserve">整群随机分组  </w:t>
          </w:r>
          <w:r>
            <w:rPr>
              <w:rFonts w:ascii="Times New Roman" w:hAnsi="Times New Roman" w:eastAsia="Times New Roman" w:cs="Times New Roman"/>
              <w:spacing w:val="-1"/>
              <w:sz w:val="18"/>
              <w:szCs w:val="18"/>
            </w:rPr>
            <w:t>cluster</w:t>
          </w:r>
          <w:r>
            <w:rPr>
              <w:rFonts w:ascii="Times New Roman" w:hAnsi="Times New Roman" w:eastAsia="Times New Roman" w:cs="Times New Roman"/>
              <w:spacing w:val="19"/>
              <w:w w:val="102"/>
              <w:sz w:val="18"/>
              <w:szCs w:val="18"/>
            </w:rPr>
            <w:t xml:space="preserve">  </w:t>
          </w:r>
          <w:r>
            <w:rPr>
              <w:rFonts w:ascii="Times New Roman" w:hAnsi="Times New Roman" w:eastAsia="Times New Roman" w:cs="Times New Roman"/>
              <w:spacing w:val="-1"/>
              <w:sz w:val="18"/>
              <w:szCs w:val="18"/>
            </w:rPr>
            <w:t>randomization</w:t>
          </w:r>
          <w:r>
            <w:rPr>
              <w:rFonts w:ascii="Times New Roman" w:hAnsi="Times New Roman" w:eastAsia="Times New Roman" w:cs="Times New Roman"/>
              <w:spacing w:val="14"/>
              <w:w w:val="101"/>
              <w:sz w:val="18"/>
              <w:szCs w:val="18"/>
            </w:rPr>
            <w:t xml:space="preserve">  </w:t>
          </w:r>
          <w:r>
            <w:fldChar w:fldCharType="begin"/>
          </w:r>
          <w:r>
            <w:instrText xml:space="preserve"> HYPERLINK \l "bookmark727" </w:instrText>
          </w:r>
          <w:r>
            <w:fldChar w:fldCharType="separate"/>
          </w:r>
          <w:r>
            <w:rPr>
              <w:rFonts w:ascii="Times New Roman" w:hAnsi="Times New Roman" w:eastAsia="Times New Roman" w:cs="Times New Roman"/>
              <w:spacing w:val="-1"/>
              <w:sz w:val="18"/>
              <w:szCs w:val="18"/>
            </w:rPr>
            <w:t>90</w:t>
          </w:r>
          <w:r>
            <w:rPr>
              <w:rFonts w:ascii="Times New Roman" w:hAnsi="Times New Roman" w:eastAsia="Times New Roman" w:cs="Times New Roman"/>
              <w:spacing w:val="-1"/>
              <w:sz w:val="18"/>
              <w:szCs w:val="18"/>
            </w:rPr>
            <w:fldChar w:fldCharType="end"/>
          </w:r>
        </w:p>
        <w:p w14:paraId="7C9FB531">
          <w:pPr>
            <w:spacing w:before="97" w:line="212" w:lineRule="auto"/>
            <w:rPr>
              <w:rFonts w:ascii="Times New Roman" w:hAnsi="Times New Roman" w:eastAsia="Times New Roman" w:cs="Times New Roman"/>
              <w:sz w:val="18"/>
              <w:szCs w:val="18"/>
            </w:rPr>
          </w:pPr>
          <w:r>
            <w:rPr>
              <w:rFonts w:ascii="宋体" w:hAnsi="宋体" w:eastAsia="宋体" w:cs="宋体"/>
              <w:spacing w:val="-1"/>
              <w:sz w:val="18"/>
              <w:szCs w:val="18"/>
            </w:rPr>
            <w:t>证据分级</w:t>
          </w:r>
          <w:r>
            <w:rPr>
              <w:rFonts w:ascii="宋体" w:hAnsi="宋体" w:eastAsia="宋体" w:cs="宋体"/>
              <w:spacing w:val="102"/>
              <w:sz w:val="18"/>
              <w:szCs w:val="18"/>
            </w:rPr>
            <w:t xml:space="preserve"> </w:t>
          </w:r>
          <w:r>
            <w:rPr>
              <w:rFonts w:ascii="Times New Roman" w:hAnsi="Times New Roman" w:eastAsia="Times New Roman" w:cs="Times New Roman"/>
              <w:spacing w:val="-1"/>
              <w:sz w:val="18"/>
              <w:szCs w:val="18"/>
            </w:rPr>
            <w:t>hierarchy  of</w:t>
          </w:r>
          <w:r>
            <w:rPr>
              <w:rFonts w:ascii="Times New Roman" w:hAnsi="Times New Roman" w:eastAsia="Times New Roman" w:cs="Times New Roman"/>
              <w:spacing w:val="34"/>
              <w:sz w:val="18"/>
              <w:szCs w:val="18"/>
            </w:rPr>
            <w:t xml:space="preserve"> </w:t>
          </w:r>
          <w:r>
            <w:rPr>
              <w:rFonts w:ascii="Times New Roman" w:hAnsi="Times New Roman" w:eastAsia="Times New Roman" w:cs="Times New Roman"/>
              <w:spacing w:val="-1"/>
              <w:sz w:val="18"/>
              <w:szCs w:val="18"/>
            </w:rPr>
            <w:t>evidence</w:t>
          </w:r>
          <w:r>
            <w:rPr>
              <w:rFonts w:ascii="Times New Roman" w:hAnsi="Times New Roman" w:eastAsia="Times New Roman" w:cs="Times New Roman"/>
              <w:spacing w:val="10"/>
              <w:sz w:val="18"/>
              <w:szCs w:val="18"/>
            </w:rPr>
            <w:t xml:space="preserve">  </w:t>
          </w:r>
          <w:r>
            <w:fldChar w:fldCharType="begin"/>
          </w:r>
          <w:r>
            <w:instrText xml:space="preserve"> HYPERLINK \l "bookmark728" </w:instrText>
          </w:r>
          <w:r>
            <w:fldChar w:fldCharType="separate"/>
          </w:r>
          <w:r>
            <w:rPr>
              <w:rFonts w:ascii="Times New Roman" w:hAnsi="Times New Roman" w:eastAsia="Times New Roman" w:cs="Times New Roman"/>
              <w:spacing w:val="-1"/>
              <w:sz w:val="18"/>
              <w:szCs w:val="18"/>
            </w:rPr>
            <w:t>132</w:t>
          </w:r>
          <w:r>
            <w:rPr>
              <w:rFonts w:ascii="Times New Roman" w:hAnsi="Times New Roman" w:eastAsia="Times New Roman" w:cs="Times New Roman"/>
              <w:spacing w:val="-1"/>
              <w:sz w:val="18"/>
              <w:szCs w:val="18"/>
            </w:rPr>
            <w:fldChar w:fldCharType="end"/>
          </w:r>
        </w:p>
      </w:sdtContent>
    </w:sdt>
    <w:p w14:paraId="4A995E87">
      <w:pPr>
        <w:spacing w:before="123" w:line="212" w:lineRule="auto"/>
        <w:rPr>
          <w:rFonts w:ascii="Times New Roman" w:hAnsi="Times New Roman" w:eastAsia="Times New Roman" w:cs="Times New Roman"/>
          <w:sz w:val="18"/>
          <w:szCs w:val="18"/>
        </w:rPr>
      </w:pPr>
      <w:r>
        <w:rPr>
          <w:rFonts w:ascii="宋体" w:hAnsi="宋体" w:eastAsia="宋体" w:cs="宋体"/>
          <w:spacing w:val="-1"/>
          <w:sz w:val="18"/>
          <w:szCs w:val="18"/>
        </w:rPr>
        <w:t>症状监测</w:t>
      </w:r>
      <w:r>
        <w:rPr>
          <w:rFonts w:ascii="宋体" w:hAnsi="宋体" w:eastAsia="宋体" w:cs="宋体"/>
          <w:spacing w:val="77"/>
          <w:sz w:val="18"/>
          <w:szCs w:val="18"/>
        </w:rPr>
        <w:t xml:space="preserve"> </w:t>
      </w:r>
      <w:r>
        <w:rPr>
          <w:rFonts w:ascii="Times New Roman" w:hAnsi="Times New Roman" w:eastAsia="Times New Roman" w:cs="Times New Roman"/>
          <w:spacing w:val="-1"/>
          <w:sz w:val="18"/>
          <w:szCs w:val="18"/>
        </w:rPr>
        <w:t>syndromic</w:t>
      </w:r>
      <w:r>
        <w:rPr>
          <w:rFonts w:ascii="Times New Roman" w:hAnsi="Times New Roman" w:eastAsia="Times New Roman" w:cs="Times New Roman"/>
          <w:spacing w:val="16"/>
          <w:w w:val="101"/>
          <w:sz w:val="18"/>
          <w:szCs w:val="18"/>
        </w:rPr>
        <w:t xml:space="preserve">  </w:t>
      </w:r>
      <w:r>
        <w:rPr>
          <w:rFonts w:ascii="Times New Roman" w:hAnsi="Times New Roman" w:eastAsia="Times New Roman" w:cs="Times New Roman"/>
          <w:spacing w:val="-1"/>
          <w:sz w:val="18"/>
          <w:szCs w:val="18"/>
        </w:rPr>
        <w:t>surveillance   149</w:t>
      </w:r>
    </w:p>
    <w:p w14:paraId="2CFB4F80">
      <w:pPr>
        <w:spacing w:before="144" w:line="220" w:lineRule="auto"/>
        <w:rPr>
          <w:rFonts w:ascii="Times New Roman" w:hAnsi="Times New Roman" w:eastAsia="Times New Roman" w:cs="Times New Roman"/>
          <w:sz w:val="18"/>
          <w:szCs w:val="18"/>
        </w:rPr>
      </w:pPr>
      <w:r>
        <w:rPr>
          <w:rFonts w:ascii="宋体" w:hAnsi="宋体" w:eastAsia="宋体" w:cs="宋体"/>
          <w:spacing w:val="1"/>
          <w:sz w:val="18"/>
          <w:szCs w:val="18"/>
        </w:rPr>
        <w:t>知情同意</w:t>
      </w:r>
      <w:r>
        <w:rPr>
          <w:rFonts w:ascii="宋体" w:hAnsi="宋体" w:eastAsia="宋体" w:cs="宋体"/>
          <w:spacing w:val="73"/>
          <w:sz w:val="18"/>
          <w:szCs w:val="18"/>
        </w:rPr>
        <w:t xml:space="preserve"> </w:t>
      </w:r>
      <w:r>
        <w:rPr>
          <w:rFonts w:ascii="Times New Roman" w:hAnsi="Times New Roman" w:eastAsia="Times New Roman" w:cs="Times New Roman"/>
          <w:sz w:val="18"/>
          <w:szCs w:val="18"/>
        </w:rPr>
        <w:t>informed</w:t>
      </w:r>
      <w:r>
        <w:rPr>
          <w:rFonts w:ascii="Times New Roman" w:hAnsi="Times New Roman" w:eastAsia="Times New Roman" w:cs="Times New Roman"/>
          <w:spacing w:val="1"/>
          <w:sz w:val="18"/>
          <w:szCs w:val="18"/>
        </w:rPr>
        <w:t xml:space="preserve">  </w:t>
      </w:r>
      <w:r>
        <w:rPr>
          <w:rFonts w:ascii="Times New Roman" w:hAnsi="Times New Roman" w:eastAsia="Times New Roman" w:cs="Times New Roman"/>
          <w:sz w:val="18"/>
          <w:szCs w:val="18"/>
        </w:rPr>
        <w:t>consent</w:t>
      </w:r>
      <w:r>
        <w:rPr>
          <w:rFonts w:ascii="Times New Roman" w:hAnsi="Times New Roman" w:eastAsia="Times New Roman" w:cs="Times New Roman"/>
          <w:spacing w:val="9"/>
          <w:sz w:val="18"/>
          <w:szCs w:val="18"/>
        </w:rPr>
        <w:t xml:space="preserve">  </w:t>
      </w:r>
      <w:r>
        <w:rPr>
          <w:rFonts w:ascii="Times New Roman" w:hAnsi="Times New Roman" w:eastAsia="Times New Roman" w:cs="Times New Roman"/>
          <w:spacing w:val="1"/>
          <w:sz w:val="18"/>
          <w:szCs w:val="18"/>
        </w:rPr>
        <w:t>99</w:t>
      </w:r>
    </w:p>
    <w:p w14:paraId="73AF7EBC">
      <w:pPr>
        <w:spacing w:before="124" w:line="212" w:lineRule="auto"/>
        <w:rPr>
          <w:rFonts w:ascii="Times New Roman" w:hAnsi="Times New Roman" w:eastAsia="Times New Roman" w:cs="Times New Roman"/>
          <w:sz w:val="18"/>
          <w:szCs w:val="18"/>
        </w:rPr>
      </w:pPr>
      <w:r>
        <w:rPr>
          <w:rFonts w:ascii="宋体" w:hAnsi="宋体" w:eastAsia="宋体" w:cs="宋体"/>
          <w:sz w:val="18"/>
          <w:szCs w:val="18"/>
        </w:rPr>
        <w:t>直接病因</w:t>
      </w:r>
      <w:r>
        <w:rPr>
          <w:rFonts w:ascii="宋体" w:hAnsi="宋体" w:eastAsia="宋体" w:cs="宋体"/>
          <w:spacing w:val="51"/>
          <w:sz w:val="18"/>
          <w:szCs w:val="18"/>
        </w:rPr>
        <w:t xml:space="preserve"> </w:t>
      </w:r>
      <w:r>
        <w:rPr>
          <w:rFonts w:ascii="Times New Roman" w:hAnsi="Times New Roman" w:eastAsia="Times New Roman" w:cs="Times New Roman"/>
          <w:sz w:val="18"/>
          <w:szCs w:val="18"/>
        </w:rPr>
        <w:t>direct</w:t>
      </w:r>
      <w:r>
        <w:rPr>
          <w:rFonts w:ascii="Times New Roman" w:hAnsi="Times New Roman" w:eastAsia="Times New Roman" w:cs="Times New Roman"/>
          <w:spacing w:val="19"/>
          <w:w w:val="101"/>
          <w:sz w:val="18"/>
          <w:szCs w:val="18"/>
        </w:rPr>
        <w:t xml:space="preserve">  </w:t>
      </w:r>
      <w:r>
        <w:rPr>
          <w:rFonts w:ascii="Times New Roman" w:hAnsi="Times New Roman" w:eastAsia="Times New Roman" w:cs="Times New Roman"/>
          <w:sz w:val="18"/>
          <w:szCs w:val="18"/>
        </w:rPr>
        <w:t>cause;immediate</w:t>
      </w:r>
      <w:r>
        <w:rPr>
          <w:rFonts w:ascii="Times New Roman" w:hAnsi="Times New Roman" w:eastAsia="Times New Roman" w:cs="Times New Roman"/>
          <w:spacing w:val="19"/>
          <w:w w:val="101"/>
          <w:sz w:val="18"/>
          <w:szCs w:val="18"/>
        </w:rPr>
        <w:t xml:space="preserve">  </w:t>
      </w:r>
      <w:r>
        <w:rPr>
          <w:rFonts w:ascii="Times New Roman" w:hAnsi="Times New Roman" w:eastAsia="Times New Roman" w:cs="Times New Roman"/>
          <w:sz w:val="18"/>
          <w:szCs w:val="18"/>
        </w:rPr>
        <w:t>ca</w:t>
      </w:r>
      <w:r>
        <w:rPr>
          <w:rFonts w:ascii="Times New Roman" w:hAnsi="Times New Roman" w:eastAsia="Times New Roman" w:cs="Times New Roman"/>
          <w:spacing w:val="-1"/>
          <w:sz w:val="18"/>
          <w:szCs w:val="18"/>
        </w:rPr>
        <w:t>use   119</w:t>
      </w:r>
    </w:p>
    <w:p w14:paraId="38C9DE54">
      <w:pPr>
        <w:spacing w:before="104" w:line="329" w:lineRule="auto"/>
        <w:ind w:left="209" w:right="45" w:hanging="209"/>
        <w:rPr>
          <w:rFonts w:ascii="Times New Roman" w:hAnsi="Times New Roman" w:eastAsia="Times New Roman" w:cs="Times New Roman"/>
          <w:sz w:val="18"/>
          <w:szCs w:val="18"/>
        </w:rPr>
      </w:pPr>
      <w:r>
        <w:rPr>
          <w:rFonts w:ascii="宋体" w:hAnsi="宋体" w:eastAsia="宋体" w:cs="宋体"/>
          <w:spacing w:val="-1"/>
          <w:sz w:val="18"/>
          <w:szCs w:val="18"/>
        </w:rPr>
        <w:t>直接面视下的短程化疗</w:t>
      </w:r>
      <w:r>
        <w:rPr>
          <w:rFonts w:ascii="宋体" w:hAnsi="宋体" w:eastAsia="宋体" w:cs="宋体"/>
          <w:spacing w:val="104"/>
          <w:sz w:val="18"/>
          <w:szCs w:val="18"/>
        </w:rPr>
        <w:t xml:space="preserve"> </w:t>
      </w:r>
      <w:r>
        <w:rPr>
          <w:rFonts w:ascii="Times New Roman" w:hAnsi="Times New Roman" w:eastAsia="Times New Roman" w:cs="Times New Roman"/>
          <w:spacing w:val="-1"/>
          <w:sz w:val="18"/>
          <w:szCs w:val="18"/>
        </w:rPr>
        <w:t>directly</w:t>
      </w:r>
      <w:r>
        <w:rPr>
          <w:rFonts w:ascii="Times New Roman" w:hAnsi="Times New Roman" w:eastAsia="Times New Roman" w:cs="Times New Roman"/>
          <w:spacing w:val="38"/>
          <w:sz w:val="18"/>
          <w:szCs w:val="18"/>
        </w:rPr>
        <w:t xml:space="preserve"> </w:t>
      </w:r>
      <w:r>
        <w:rPr>
          <w:rFonts w:ascii="Times New Roman" w:hAnsi="Times New Roman" w:eastAsia="Times New Roman" w:cs="Times New Roman"/>
          <w:spacing w:val="-1"/>
          <w:sz w:val="18"/>
          <w:szCs w:val="18"/>
        </w:rPr>
        <w:t>observed</w:t>
      </w:r>
      <w:r>
        <w:rPr>
          <w:rFonts w:ascii="Times New Roman" w:hAnsi="Times New Roman" w:eastAsia="Times New Roman" w:cs="Times New Roman"/>
          <w:spacing w:val="33"/>
          <w:w w:val="101"/>
          <w:sz w:val="18"/>
          <w:szCs w:val="18"/>
        </w:rPr>
        <w:t xml:space="preserve"> </w:t>
      </w:r>
      <w:r>
        <w:rPr>
          <w:rFonts w:ascii="Times New Roman" w:hAnsi="Times New Roman" w:eastAsia="Times New Roman" w:cs="Times New Roman"/>
          <w:spacing w:val="-1"/>
          <w:sz w:val="18"/>
          <w:szCs w:val="18"/>
        </w:rPr>
        <w:t>treatment,short</w:t>
      </w:r>
      <w:r>
        <w:rPr>
          <w:rFonts w:ascii="Times New Roman" w:hAnsi="Times New Roman" w:eastAsia="Times New Roman" w:cs="Times New Roman"/>
          <w:sz w:val="18"/>
          <w:szCs w:val="18"/>
        </w:rPr>
        <w:t xml:space="preserve"> </w:t>
      </w:r>
      <w:r>
        <w:rPr>
          <w:rFonts w:ascii="Times New Roman" w:hAnsi="Times New Roman" w:eastAsia="Times New Roman" w:cs="Times New Roman"/>
          <w:spacing w:val="-1"/>
          <w:sz w:val="18"/>
          <w:szCs w:val="18"/>
        </w:rPr>
        <w:t>course;DOTS     283</w:t>
      </w:r>
    </w:p>
    <w:p w14:paraId="3960D6D9">
      <w:pPr>
        <w:spacing w:before="76" w:line="219" w:lineRule="auto"/>
        <w:rPr>
          <w:rFonts w:ascii="Times New Roman" w:hAnsi="Times New Roman" w:eastAsia="Times New Roman" w:cs="Times New Roman"/>
          <w:sz w:val="18"/>
          <w:szCs w:val="18"/>
        </w:rPr>
      </w:pPr>
      <w:r>
        <w:rPr>
          <w:rFonts w:ascii="宋体" w:hAnsi="宋体" w:eastAsia="宋体" w:cs="宋体"/>
          <w:spacing w:val="-1"/>
          <w:sz w:val="18"/>
          <w:szCs w:val="18"/>
        </w:rPr>
        <w:t xml:space="preserve">志愿者偏倚  </w:t>
      </w:r>
      <w:r>
        <w:rPr>
          <w:rFonts w:ascii="Times New Roman" w:hAnsi="Times New Roman" w:eastAsia="Times New Roman" w:cs="Times New Roman"/>
          <w:spacing w:val="-1"/>
          <w:sz w:val="18"/>
          <w:szCs w:val="18"/>
        </w:rPr>
        <w:t>volunteer</w:t>
      </w:r>
      <w:r>
        <w:rPr>
          <w:rFonts w:ascii="Times New Roman" w:hAnsi="Times New Roman" w:eastAsia="Times New Roman" w:cs="Times New Roman"/>
          <w:spacing w:val="10"/>
          <w:sz w:val="18"/>
          <w:szCs w:val="18"/>
        </w:rPr>
        <w:t xml:space="preserve">  </w:t>
      </w:r>
      <w:r>
        <w:rPr>
          <w:rFonts w:ascii="Times New Roman" w:hAnsi="Times New Roman" w:eastAsia="Times New Roman" w:cs="Times New Roman"/>
          <w:spacing w:val="-1"/>
          <w:sz w:val="18"/>
          <w:szCs w:val="18"/>
        </w:rPr>
        <w:t>bias   1</w:t>
      </w:r>
      <w:r>
        <w:rPr>
          <w:rFonts w:ascii="Times New Roman" w:hAnsi="Times New Roman" w:eastAsia="Times New Roman" w:cs="Times New Roman"/>
          <w:spacing w:val="-2"/>
          <w:sz w:val="18"/>
          <w:szCs w:val="18"/>
        </w:rPr>
        <w:t>15</w:t>
      </w:r>
    </w:p>
    <w:p w14:paraId="7C7E4DD2">
      <w:pPr>
        <w:spacing w:before="96" w:line="212" w:lineRule="auto"/>
        <w:rPr>
          <w:rFonts w:ascii="Times New Roman" w:hAnsi="Times New Roman" w:eastAsia="Times New Roman" w:cs="Times New Roman"/>
          <w:sz w:val="18"/>
          <w:szCs w:val="18"/>
        </w:rPr>
      </w:pPr>
      <w:r>
        <w:rPr>
          <w:rFonts w:ascii="宋体" w:hAnsi="宋体" w:eastAsia="宋体" w:cs="宋体"/>
          <w:sz w:val="18"/>
          <w:szCs w:val="18"/>
        </w:rPr>
        <w:t>治疗性筛检</w:t>
      </w:r>
      <w:r>
        <w:rPr>
          <w:rFonts w:ascii="宋体" w:hAnsi="宋体" w:eastAsia="宋体" w:cs="宋体"/>
          <w:spacing w:val="52"/>
          <w:sz w:val="18"/>
          <w:szCs w:val="18"/>
        </w:rPr>
        <w:t xml:space="preserve"> </w:t>
      </w:r>
      <w:r>
        <w:rPr>
          <w:rFonts w:ascii="Times New Roman" w:hAnsi="Times New Roman" w:eastAsia="Times New Roman" w:cs="Times New Roman"/>
          <w:sz w:val="18"/>
          <w:szCs w:val="18"/>
        </w:rPr>
        <w:t>therapeutic</w:t>
      </w:r>
      <w:r>
        <w:rPr>
          <w:rFonts w:ascii="Times New Roman" w:hAnsi="Times New Roman" w:eastAsia="Times New Roman" w:cs="Times New Roman"/>
          <w:spacing w:val="20"/>
          <w:sz w:val="18"/>
          <w:szCs w:val="18"/>
        </w:rPr>
        <w:t xml:space="preserve">  </w:t>
      </w:r>
      <w:r>
        <w:rPr>
          <w:rFonts w:ascii="Times New Roman" w:hAnsi="Times New Roman" w:eastAsia="Times New Roman" w:cs="Times New Roman"/>
          <w:sz w:val="18"/>
          <w:szCs w:val="18"/>
        </w:rPr>
        <w:t xml:space="preserve">screening   </w:t>
      </w:r>
      <w:r>
        <w:rPr>
          <w:rFonts w:ascii="Times New Roman" w:hAnsi="Times New Roman" w:eastAsia="Times New Roman" w:cs="Times New Roman"/>
          <w:spacing w:val="-1"/>
          <w:sz w:val="18"/>
          <w:szCs w:val="18"/>
        </w:rPr>
        <w:t>102</w:t>
      </w:r>
    </w:p>
    <w:sdt>
      <w:sdtPr>
        <w:rPr>
          <w:rFonts w:ascii="宋体" w:hAnsi="宋体" w:eastAsia="宋体" w:cs="宋体"/>
          <w:sz w:val="18"/>
          <w:szCs w:val="18"/>
        </w:rPr>
        <w:id w:val="776308844"/>
        <w:docPartObj>
          <w:docPartGallery w:val="Table of Contents"/>
          <w:docPartUnique/>
        </w:docPartObj>
      </w:sdtPr>
      <w:sdtEndPr>
        <w:rPr>
          <w:rFonts w:ascii="Times New Roman" w:hAnsi="Times New Roman" w:eastAsia="Times New Roman" w:cs="Times New Roman"/>
          <w:sz w:val="18"/>
          <w:szCs w:val="18"/>
        </w:rPr>
      </w:sdtEndPr>
      <w:sdtContent>
        <w:p w14:paraId="0B18289D">
          <w:pPr>
            <w:spacing w:before="123" w:line="212" w:lineRule="auto"/>
            <w:rPr>
              <w:rFonts w:ascii="Times New Roman" w:hAnsi="Times New Roman" w:eastAsia="Times New Roman" w:cs="Times New Roman"/>
              <w:sz w:val="18"/>
              <w:szCs w:val="18"/>
            </w:rPr>
          </w:pPr>
          <w:r>
            <w:rPr>
              <w:rFonts w:ascii="宋体" w:hAnsi="宋体" w:eastAsia="宋体" w:cs="宋体"/>
              <w:spacing w:val="1"/>
              <w:sz w:val="18"/>
              <w:szCs w:val="18"/>
            </w:rPr>
            <w:t>致病力</w:t>
          </w:r>
          <w:r>
            <w:rPr>
              <w:rFonts w:ascii="宋体" w:hAnsi="宋体" w:eastAsia="宋体" w:cs="宋体"/>
              <w:spacing w:val="63"/>
              <w:sz w:val="18"/>
              <w:szCs w:val="18"/>
            </w:rPr>
            <w:t xml:space="preserve"> </w:t>
          </w:r>
          <w:r>
            <w:rPr>
              <w:rFonts w:ascii="Times New Roman" w:hAnsi="Times New Roman" w:eastAsia="Times New Roman" w:cs="Times New Roman"/>
              <w:sz w:val="18"/>
              <w:szCs w:val="18"/>
            </w:rPr>
            <w:t>pathogenicity</w:t>
          </w:r>
          <w:r>
            <w:rPr>
              <w:rFonts w:ascii="Times New Roman" w:hAnsi="Times New Roman" w:eastAsia="Times New Roman" w:cs="Times New Roman"/>
              <w:spacing w:val="1"/>
              <w:sz w:val="18"/>
              <w:szCs w:val="18"/>
            </w:rPr>
            <w:t xml:space="preserve">    </w:t>
          </w:r>
          <w:r>
            <w:fldChar w:fldCharType="begin"/>
          </w:r>
          <w:r>
            <w:instrText xml:space="preserve"> HYPERLINK \l "bookmark729" </w:instrText>
          </w:r>
          <w:r>
            <w:fldChar w:fldCharType="separate"/>
          </w:r>
          <w:r>
            <w:rPr>
              <w:rFonts w:ascii="Times New Roman" w:hAnsi="Times New Roman" w:eastAsia="Times New Roman" w:cs="Times New Roman"/>
              <w:spacing w:val="1"/>
              <w:sz w:val="18"/>
              <w:szCs w:val="18"/>
            </w:rPr>
            <w:t>156</w:t>
          </w:r>
          <w:r>
            <w:rPr>
              <w:rFonts w:ascii="Times New Roman" w:hAnsi="Times New Roman" w:eastAsia="Times New Roman" w:cs="Times New Roman"/>
              <w:spacing w:val="1"/>
              <w:sz w:val="18"/>
              <w:szCs w:val="18"/>
            </w:rPr>
            <w:fldChar w:fldCharType="end"/>
          </w:r>
        </w:p>
        <w:p w14:paraId="398EDEE3">
          <w:pPr>
            <w:spacing w:before="144" w:line="219" w:lineRule="auto"/>
            <w:rPr>
              <w:rFonts w:ascii="Times New Roman" w:hAnsi="Times New Roman" w:eastAsia="Times New Roman" w:cs="Times New Roman"/>
              <w:sz w:val="18"/>
              <w:szCs w:val="18"/>
            </w:rPr>
          </w:pPr>
          <w:r>
            <w:rPr>
              <w:rFonts w:ascii="宋体" w:hAnsi="宋体" w:eastAsia="宋体" w:cs="宋体"/>
              <w:spacing w:val="-1"/>
              <w:sz w:val="18"/>
              <w:szCs w:val="18"/>
            </w:rPr>
            <w:t xml:space="preserve">终末消毒  </w:t>
          </w:r>
          <w:r>
            <w:rPr>
              <w:rFonts w:ascii="Times New Roman" w:hAnsi="Times New Roman" w:eastAsia="Times New Roman" w:cs="Times New Roman"/>
              <w:spacing w:val="-1"/>
              <w:sz w:val="18"/>
              <w:szCs w:val="18"/>
            </w:rPr>
            <w:t>terminal</w:t>
          </w:r>
          <w:r>
            <w:rPr>
              <w:rFonts w:ascii="Times New Roman" w:hAnsi="Times New Roman" w:eastAsia="Times New Roman" w:cs="Times New Roman"/>
              <w:spacing w:val="11"/>
              <w:w w:val="101"/>
              <w:sz w:val="18"/>
              <w:szCs w:val="18"/>
            </w:rPr>
            <w:t xml:space="preserve">  </w:t>
          </w:r>
          <w:r>
            <w:rPr>
              <w:rFonts w:ascii="Times New Roman" w:hAnsi="Times New Roman" w:eastAsia="Times New Roman" w:cs="Times New Roman"/>
              <w:spacing w:val="-1"/>
              <w:sz w:val="18"/>
              <w:szCs w:val="18"/>
            </w:rPr>
            <w:t>disinfect</w:t>
          </w:r>
          <w:r>
            <w:rPr>
              <w:rFonts w:ascii="Times New Roman" w:hAnsi="Times New Roman" w:eastAsia="Times New Roman" w:cs="Times New Roman"/>
              <w:spacing w:val="-2"/>
              <w:sz w:val="18"/>
              <w:szCs w:val="18"/>
            </w:rPr>
            <w:t>ion</w:t>
          </w:r>
          <w:r>
            <w:rPr>
              <w:rFonts w:ascii="Times New Roman" w:hAnsi="Times New Roman" w:eastAsia="Times New Roman" w:cs="Times New Roman"/>
              <w:spacing w:val="19"/>
              <w:w w:val="101"/>
              <w:sz w:val="18"/>
              <w:szCs w:val="18"/>
            </w:rPr>
            <w:t xml:space="preserve">  </w:t>
          </w:r>
          <w:r>
            <w:fldChar w:fldCharType="begin"/>
          </w:r>
          <w:r>
            <w:instrText xml:space="preserve"> HYPERLINK \l "bookmark730" </w:instrText>
          </w:r>
          <w:r>
            <w:fldChar w:fldCharType="separate"/>
          </w:r>
          <w:r>
            <w:rPr>
              <w:rFonts w:ascii="Times New Roman" w:hAnsi="Times New Roman" w:eastAsia="Times New Roman" w:cs="Times New Roman"/>
              <w:spacing w:val="-2"/>
              <w:sz w:val="18"/>
              <w:szCs w:val="18"/>
            </w:rPr>
            <w:t>178</w:t>
          </w:r>
          <w:r>
            <w:rPr>
              <w:rFonts w:ascii="Times New Roman" w:hAnsi="Times New Roman" w:eastAsia="Times New Roman" w:cs="Times New Roman"/>
              <w:spacing w:val="-2"/>
              <w:sz w:val="18"/>
              <w:szCs w:val="18"/>
            </w:rPr>
            <w:fldChar w:fldCharType="end"/>
          </w:r>
        </w:p>
      </w:sdtContent>
    </w:sdt>
    <w:p w14:paraId="6F6F8671">
      <w:pPr>
        <w:spacing w:before="96" w:line="198" w:lineRule="auto"/>
        <w:rPr>
          <w:rFonts w:ascii="Times New Roman" w:hAnsi="Times New Roman" w:eastAsia="Times New Roman" w:cs="Times New Roman"/>
          <w:sz w:val="18"/>
          <w:szCs w:val="18"/>
        </w:rPr>
      </w:pPr>
      <w:r>
        <w:rPr>
          <w:rFonts w:ascii="宋体" w:hAnsi="宋体" w:eastAsia="宋体" w:cs="宋体"/>
          <w:spacing w:val="1"/>
          <w:sz w:val="18"/>
          <w:szCs w:val="18"/>
        </w:rPr>
        <w:t>周期性</w:t>
      </w:r>
      <w:r>
        <w:rPr>
          <w:rFonts w:ascii="宋体" w:hAnsi="宋体" w:eastAsia="宋体" w:cs="宋体"/>
          <w:spacing w:val="67"/>
          <w:sz w:val="18"/>
          <w:szCs w:val="18"/>
        </w:rPr>
        <w:t xml:space="preserve"> </w:t>
      </w:r>
      <w:r>
        <w:rPr>
          <w:rFonts w:ascii="Times New Roman" w:hAnsi="Times New Roman" w:eastAsia="Times New Roman" w:cs="Times New Roman"/>
          <w:sz w:val="18"/>
          <w:szCs w:val="18"/>
        </w:rPr>
        <w:t>periodicity</w:t>
      </w:r>
      <w:r>
        <w:rPr>
          <w:rFonts w:ascii="Times New Roman" w:hAnsi="Times New Roman" w:eastAsia="Times New Roman" w:cs="Times New Roman"/>
          <w:spacing w:val="1"/>
          <w:sz w:val="18"/>
          <w:szCs w:val="18"/>
        </w:rPr>
        <w:t>,</w:t>
      </w:r>
      <w:r>
        <w:rPr>
          <w:rFonts w:ascii="Times New Roman" w:hAnsi="Times New Roman" w:eastAsia="Times New Roman" w:cs="Times New Roman"/>
          <w:sz w:val="18"/>
          <w:szCs w:val="18"/>
        </w:rPr>
        <w:t>cyclic</w:t>
      </w:r>
      <w:r>
        <w:rPr>
          <w:rFonts w:ascii="Times New Roman" w:hAnsi="Times New Roman" w:eastAsia="Times New Roman" w:cs="Times New Roman"/>
          <w:spacing w:val="18"/>
          <w:sz w:val="18"/>
          <w:szCs w:val="18"/>
        </w:rPr>
        <w:t xml:space="preserve">  </w:t>
      </w:r>
      <w:r>
        <w:rPr>
          <w:rFonts w:ascii="Times New Roman" w:hAnsi="Times New Roman" w:eastAsia="Times New Roman" w:cs="Times New Roman"/>
          <w:sz w:val="18"/>
          <w:szCs w:val="18"/>
        </w:rPr>
        <w:t>variation</w:t>
      </w:r>
      <w:r>
        <w:rPr>
          <w:rFonts w:ascii="Times New Roman" w:hAnsi="Times New Roman" w:eastAsia="Times New Roman" w:cs="Times New Roman"/>
          <w:spacing w:val="19"/>
          <w:w w:val="101"/>
          <w:sz w:val="18"/>
          <w:szCs w:val="18"/>
        </w:rPr>
        <w:t xml:space="preserve">  </w:t>
      </w:r>
      <w:r>
        <w:rPr>
          <w:rFonts w:ascii="Times New Roman" w:hAnsi="Times New Roman" w:eastAsia="Times New Roman" w:cs="Times New Roman"/>
          <w:spacing w:val="1"/>
          <w:sz w:val="18"/>
          <w:szCs w:val="18"/>
        </w:rPr>
        <w:t>25</w:t>
      </w:r>
    </w:p>
    <w:p w14:paraId="2935BA1B">
      <w:pPr>
        <w:spacing w:line="198" w:lineRule="auto"/>
        <w:rPr>
          <w:rFonts w:ascii="Times New Roman" w:hAnsi="Times New Roman" w:eastAsia="Times New Roman" w:cs="Times New Roman"/>
          <w:sz w:val="18"/>
          <w:szCs w:val="18"/>
        </w:rPr>
        <w:sectPr>
          <w:type w:val="continuous"/>
          <w:pgSz w:w="11900" w:h="16820"/>
          <w:pgMar w:top="400" w:right="1294" w:bottom="795" w:left="1289" w:header="0" w:footer="633" w:gutter="0"/>
          <w:cols w:equalWidth="0" w:num="2">
            <w:col w:w="4771" w:space="100"/>
            <w:col w:w="4446"/>
          </w:cols>
        </w:sectPr>
      </w:pPr>
    </w:p>
    <w:p w14:paraId="08656335">
      <w:pPr>
        <w:spacing w:before="97"/>
      </w:pPr>
    </w:p>
    <w:p w14:paraId="10A5F6E0">
      <w:pPr>
        <w:sectPr>
          <w:footerReference r:id="rId395" w:type="default"/>
          <w:pgSz w:w="11900" w:h="16820"/>
          <w:pgMar w:top="400" w:right="160" w:bottom="249" w:left="1370" w:header="0" w:footer="0" w:gutter="0"/>
          <w:cols w:equalWidth="0" w:num="1">
            <w:col w:w="10370"/>
          </w:cols>
        </w:sectPr>
      </w:pPr>
    </w:p>
    <w:p w14:paraId="3A5B2EE3">
      <w:pPr>
        <w:pStyle w:val="2"/>
        <w:spacing w:before="34" w:line="222" w:lineRule="auto"/>
        <w:ind w:left="2"/>
        <w:rPr>
          <w:sz w:val="17"/>
          <w:szCs w:val="17"/>
        </w:rPr>
      </w:pPr>
      <w:r>
        <w:rPr>
          <w:b/>
          <w:bCs/>
          <w:spacing w:val="-4"/>
          <w:sz w:val="17"/>
          <w:szCs w:val="17"/>
        </w:rPr>
        <w:t>中英文名词对照索引</w:t>
      </w:r>
    </w:p>
    <w:p w14:paraId="3E85DFB4">
      <w:pPr>
        <w:spacing w:line="304" w:lineRule="auto"/>
        <w:rPr>
          <w:rFonts w:ascii="Arial"/>
          <w:sz w:val="21"/>
        </w:rPr>
      </w:pPr>
    </w:p>
    <w:p w14:paraId="39AEAE11">
      <w:pPr>
        <w:spacing w:line="304" w:lineRule="auto"/>
        <w:rPr>
          <w:rFonts w:ascii="Arial"/>
          <w:sz w:val="21"/>
        </w:rPr>
      </w:pPr>
    </w:p>
    <w:sdt>
      <w:sdtPr>
        <w:rPr>
          <w:rFonts w:ascii="宋体" w:hAnsi="宋体" w:eastAsia="宋体" w:cs="宋体"/>
          <w:sz w:val="17"/>
          <w:szCs w:val="17"/>
        </w:rPr>
        <w:id w:val="459585583"/>
        <w:docPartObj>
          <w:docPartGallery w:val="Table of Contents"/>
          <w:docPartUnique/>
        </w:docPartObj>
      </w:sdtPr>
      <w:sdtEndPr>
        <w:rPr>
          <w:rFonts w:ascii="Times New Roman" w:hAnsi="Times New Roman" w:eastAsia="Times New Roman" w:cs="Times New Roman"/>
          <w:sz w:val="17"/>
          <w:szCs w:val="17"/>
        </w:rPr>
      </w:sdtEndPr>
      <w:sdtContent>
        <w:p w14:paraId="66B90D81">
          <w:pPr>
            <w:spacing w:before="55" w:line="220" w:lineRule="auto"/>
            <w:ind w:left="2"/>
            <w:rPr>
              <w:rFonts w:ascii="Times New Roman" w:hAnsi="Times New Roman" w:eastAsia="Times New Roman" w:cs="Times New Roman"/>
              <w:sz w:val="17"/>
              <w:szCs w:val="17"/>
            </w:rPr>
          </w:pPr>
          <w:r>
            <w:rPr>
              <w:rFonts w:ascii="宋体" w:hAnsi="宋体" w:eastAsia="宋体" w:cs="宋体"/>
              <w:b/>
              <w:bCs/>
              <w:spacing w:val="1"/>
              <w:sz w:val="17"/>
              <w:szCs w:val="17"/>
            </w:rPr>
            <w:t>主动监测</w:t>
          </w:r>
          <w:r>
            <w:rPr>
              <w:rFonts w:ascii="宋体" w:hAnsi="宋体" w:eastAsia="宋体" w:cs="宋体"/>
              <w:spacing w:val="93"/>
              <w:sz w:val="17"/>
              <w:szCs w:val="17"/>
            </w:rPr>
            <w:t xml:space="preserve"> </w:t>
          </w:r>
          <w:r>
            <w:rPr>
              <w:rFonts w:ascii="Times New Roman" w:hAnsi="Times New Roman" w:eastAsia="Times New Roman" w:cs="Times New Roman"/>
              <w:b/>
              <w:bCs/>
              <w:sz w:val="17"/>
              <w:szCs w:val="17"/>
            </w:rPr>
            <w:t>active</w:t>
          </w:r>
          <w:r>
            <w:rPr>
              <w:rFonts w:ascii="Times New Roman" w:hAnsi="Times New Roman" w:eastAsia="Times New Roman" w:cs="Times New Roman"/>
              <w:b/>
              <w:bCs/>
              <w:spacing w:val="14"/>
              <w:sz w:val="17"/>
              <w:szCs w:val="17"/>
            </w:rPr>
            <w:t xml:space="preserve">   </w:t>
          </w:r>
          <w:r>
            <w:rPr>
              <w:rFonts w:ascii="Times New Roman" w:hAnsi="Times New Roman" w:eastAsia="Times New Roman" w:cs="Times New Roman"/>
              <w:b/>
              <w:bCs/>
              <w:sz w:val="17"/>
              <w:szCs w:val="17"/>
            </w:rPr>
            <w:t>surveillance</w:t>
          </w:r>
          <w:r>
            <w:rPr>
              <w:rFonts w:ascii="Times New Roman" w:hAnsi="Times New Roman" w:eastAsia="Times New Roman" w:cs="Times New Roman"/>
              <w:b/>
              <w:bCs/>
              <w:spacing w:val="1"/>
              <w:sz w:val="17"/>
              <w:szCs w:val="17"/>
            </w:rPr>
            <w:t xml:space="preserve">    </w:t>
          </w:r>
          <w:r>
            <w:fldChar w:fldCharType="begin"/>
          </w:r>
          <w:r>
            <w:instrText xml:space="preserve"> HYPERLINK \l "bookmark731" </w:instrText>
          </w:r>
          <w:r>
            <w:fldChar w:fldCharType="separate"/>
          </w:r>
          <w:r>
            <w:rPr>
              <w:rFonts w:ascii="Times New Roman" w:hAnsi="Times New Roman" w:eastAsia="Times New Roman" w:cs="Times New Roman"/>
              <w:b/>
              <w:bCs/>
              <w:spacing w:val="1"/>
              <w:sz w:val="17"/>
              <w:szCs w:val="17"/>
            </w:rPr>
            <w:t>147</w:t>
          </w:r>
          <w:r>
            <w:rPr>
              <w:rFonts w:ascii="Times New Roman" w:hAnsi="Times New Roman" w:eastAsia="Times New Roman" w:cs="Times New Roman"/>
              <w:b/>
              <w:bCs/>
              <w:spacing w:val="1"/>
              <w:sz w:val="17"/>
              <w:szCs w:val="17"/>
            </w:rPr>
            <w:fldChar w:fldCharType="end"/>
          </w:r>
        </w:p>
        <w:p w14:paraId="16A11BC1">
          <w:pPr>
            <w:spacing w:before="167" w:line="220" w:lineRule="auto"/>
            <w:ind w:left="2"/>
            <w:rPr>
              <w:rFonts w:ascii="Times New Roman" w:hAnsi="Times New Roman" w:eastAsia="Times New Roman" w:cs="Times New Roman"/>
              <w:sz w:val="17"/>
              <w:szCs w:val="17"/>
            </w:rPr>
          </w:pPr>
          <w:r>
            <w:rPr>
              <w:rFonts w:ascii="宋体" w:hAnsi="宋体" w:eastAsia="宋体" w:cs="宋体"/>
              <w:b/>
              <w:bCs/>
              <w:spacing w:val="8"/>
              <w:sz w:val="17"/>
              <w:szCs w:val="17"/>
            </w:rPr>
            <w:t>主动免疫</w:t>
          </w:r>
          <w:r>
            <w:rPr>
              <w:rFonts w:ascii="宋体" w:hAnsi="宋体" w:eastAsia="宋体" w:cs="宋体"/>
              <w:spacing w:val="58"/>
              <w:sz w:val="17"/>
              <w:szCs w:val="17"/>
            </w:rPr>
            <w:t xml:space="preserve"> </w:t>
          </w:r>
          <w:r>
            <w:rPr>
              <w:rFonts w:ascii="Times New Roman" w:hAnsi="Times New Roman" w:eastAsia="Times New Roman" w:cs="Times New Roman"/>
              <w:b/>
              <w:bCs/>
              <w:sz w:val="17"/>
              <w:szCs w:val="17"/>
            </w:rPr>
            <w:t>active</w:t>
          </w:r>
          <w:r>
            <w:rPr>
              <w:rFonts w:ascii="Times New Roman" w:hAnsi="Times New Roman" w:eastAsia="Times New Roman" w:cs="Times New Roman"/>
              <w:b/>
              <w:bCs/>
              <w:spacing w:val="9"/>
              <w:sz w:val="17"/>
              <w:szCs w:val="17"/>
            </w:rPr>
            <w:t xml:space="preserve">   </w:t>
          </w:r>
          <w:r>
            <w:rPr>
              <w:rFonts w:ascii="Times New Roman" w:hAnsi="Times New Roman" w:eastAsia="Times New Roman" w:cs="Times New Roman"/>
              <w:b/>
              <w:bCs/>
              <w:sz w:val="17"/>
              <w:szCs w:val="17"/>
            </w:rPr>
            <w:t>immunization</w:t>
          </w:r>
          <w:r>
            <w:rPr>
              <w:rFonts w:ascii="Times New Roman" w:hAnsi="Times New Roman" w:eastAsia="Times New Roman" w:cs="Times New Roman"/>
              <w:b/>
              <w:bCs/>
              <w:spacing w:val="12"/>
              <w:w w:val="101"/>
              <w:sz w:val="17"/>
              <w:szCs w:val="17"/>
            </w:rPr>
            <w:t xml:space="preserve">   </w:t>
          </w:r>
          <w:r>
            <w:fldChar w:fldCharType="begin"/>
          </w:r>
          <w:r>
            <w:instrText xml:space="preserve"> HYPERLINK \l "bookmark732" </w:instrText>
          </w:r>
          <w:r>
            <w:fldChar w:fldCharType="separate"/>
          </w:r>
          <w:r>
            <w:rPr>
              <w:rFonts w:ascii="Times New Roman" w:hAnsi="Times New Roman" w:eastAsia="Times New Roman" w:cs="Times New Roman"/>
              <w:b/>
              <w:bCs/>
              <w:spacing w:val="8"/>
              <w:sz w:val="17"/>
              <w:szCs w:val="17"/>
            </w:rPr>
            <w:t>168</w:t>
          </w:r>
          <w:r>
            <w:rPr>
              <w:rFonts w:ascii="Times New Roman" w:hAnsi="Times New Roman" w:eastAsia="Times New Roman" w:cs="Times New Roman"/>
              <w:b/>
              <w:bCs/>
              <w:spacing w:val="8"/>
              <w:sz w:val="17"/>
              <w:szCs w:val="17"/>
            </w:rPr>
            <w:fldChar w:fldCharType="end"/>
          </w:r>
        </w:p>
        <w:p w14:paraId="4347A357">
          <w:pPr>
            <w:spacing w:before="149" w:line="212" w:lineRule="auto"/>
            <w:rPr>
              <w:rFonts w:ascii="Times New Roman" w:hAnsi="Times New Roman" w:eastAsia="Times New Roman" w:cs="Times New Roman"/>
              <w:sz w:val="17"/>
              <w:szCs w:val="17"/>
            </w:rPr>
          </w:pPr>
          <w:r>
            <w:rPr>
              <w:rFonts w:ascii="宋体" w:hAnsi="宋体" w:eastAsia="宋体" w:cs="宋体"/>
              <w:spacing w:val="6"/>
              <w:sz w:val="17"/>
              <w:szCs w:val="17"/>
            </w:rPr>
            <w:t>主动性筛检</w:t>
          </w:r>
          <w:r>
            <w:rPr>
              <w:rFonts w:ascii="宋体" w:hAnsi="宋体" w:eastAsia="宋体" w:cs="宋体"/>
              <w:spacing w:val="67"/>
              <w:sz w:val="17"/>
              <w:szCs w:val="17"/>
            </w:rPr>
            <w:t xml:space="preserve"> </w:t>
          </w:r>
          <w:r>
            <w:rPr>
              <w:rFonts w:ascii="Times New Roman" w:hAnsi="Times New Roman" w:eastAsia="Times New Roman" w:cs="Times New Roman"/>
              <w:sz w:val="17"/>
              <w:szCs w:val="17"/>
            </w:rPr>
            <w:t>active</w:t>
          </w:r>
          <w:r>
            <w:rPr>
              <w:rFonts w:ascii="Times New Roman" w:hAnsi="Times New Roman" w:eastAsia="Times New Roman" w:cs="Times New Roman"/>
              <w:spacing w:val="7"/>
              <w:sz w:val="17"/>
              <w:szCs w:val="17"/>
            </w:rPr>
            <w:t xml:space="preserve">    </w:t>
          </w:r>
          <w:r>
            <w:rPr>
              <w:rFonts w:ascii="Times New Roman" w:hAnsi="Times New Roman" w:eastAsia="Times New Roman" w:cs="Times New Roman"/>
              <w:sz w:val="17"/>
              <w:szCs w:val="17"/>
            </w:rPr>
            <w:t>screening</w:t>
          </w:r>
          <w:r>
            <w:rPr>
              <w:rFonts w:ascii="Times New Roman" w:hAnsi="Times New Roman" w:eastAsia="Times New Roman" w:cs="Times New Roman"/>
              <w:spacing w:val="10"/>
              <w:w w:val="101"/>
              <w:sz w:val="17"/>
              <w:szCs w:val="17"/>
            </w:rPr>
            <w:t xml:space="preserve">    </w:t>
          </w:r>
          <w:r>
            <w:fldChar w:fldCharType="begin"/>
          </w:r>
          <w:r>
            <w:instrText xml:space="preserve"> HYPERLINK \l "bookmark733" </w:instrText>
          </w:r>
          <w:r>
            <w:fldChar w:fldCharType="separate"/>
          </w:r>
          <w:r>
            <w:rPr>
              <w:rFonts w:ascii="Times New Roman" w:hAnsi="Times New Roman" w:eastAsia="Times New Roman" w:cs="Times New Roman"/>
              <w:spacing w:val="6"/>
              <w:sz w:val="17"/>
              <w:szCs w:val="17"/>
            </w:rPr>
            <w:t>102</w:t>
          </w:r>
          <w:r>
            <w:rPr>
              <w:rFonts w:ascii="Times New Roman" w:hAnsi="Times New Roman" w:eastAsia="Times New Roman" w:cs="Times New Roman"/>
              <w:spacing w:val="6"/>
              <w:sz w:val="17"/>
              <w:szCs w:val="17"/>
            </w:rPr>
            <w:fldChar w:fldCharType="end"/>
          </w:r>
        </w:p>
      </w:sdtContent>
    </w:sdt>
    <w:p w14:paraId="21D28222">
      <w:pPr>
        <w:spacing w:before="139" w:line="214" w:lineRule="auto"/>
        <w:rPr>
          <w:rFonts w:ascii="宋体" w:hAnsi="宋体" w:eastAsia="宋体" w:cs="宋体"/>
          <w:sz w:val="17"/>
          <w:szCs w:val="17"/>
        </w:rPr>
      </w:pPr>
      <w:r>
        <w:rPr>
          <w:rFonts w:ascii="宋体" w:hAnsi="宋体" w:eastAsia="宋体" w:cs="宋体"/>
          <w:spacing w:val="-4"/>
          <w:sz w:val="17"/>
          <w:szCs w:val="17"/>
        </w:rPr>
        <w:t>准广泛耐药结核病  pre-extensively drug-resistant TB</w:t>
      </w:r>
      <w:r>
        <w:rPr>
          <w:rFonts w:ascii="宋体" w:hAnsi="宋体" w:eastAsia="宋体" w:cs="宋体"/>
          <w:spacing w:val="-5"/>
          <w:sz w:val="17"/>
          <w:szCs w:val="17"/>
        </w:rPr>
        <w:t>,pre-</w:t>
      </w:r>
    </w:p>
    <w:p w14:paraId="0856C2EB">
      <w:pPr>
        <w:spacing w:before="193" w:line="188" w:lineRule="auto"/>
        <w:ind w:left="209"/>
        <w:rPr>
          <w:rFonts w:ascii="Times New Roman" w:hAnsi="Times New Roman" w:eastAsia="Times New Roman" w:cs="Times New Roman"/>
          <w:sz w:val="17"/>
          <w:szCs w:val="17"/>
        </w:rPr>
      </w:pPr>
      <w:r>
        <w:rPr>
          <w:rFonts w:ascii="Times New Roman" w:hAnsi="Times New Roman" w:eastAsia="Times New Roman" w:cs="Times New Roman"/>
          <w:b/>
          <w:bCs/>
          <w:spacing w:val="-1"/>
          <w:sz w:val="17"/>
          <w:szCs w:val="17"/>
        </w:rPr>
        <w:t>XDR-TB</w:t>
      </w:r>
      <w:r>
        <w:rPr>
          <w:rFonts w:ascii="Times New Roman" w:hAnsi="Times New Roman" w:eastAsia="Times New Roman" w:cs="Times New Roman"/>
          <w:b/>
          <w:bCs/>
          <w:spacing w:val="5"/>
          <w:sz w:val="17"/>
          <w:szCs w:val="17"/>
        </w:rPr>
        <w:t xml:space="preserve">     </w:t>
      </w:r>
      <w:r>
        <w:rPr>
          <w:rFonts w:ascii="Times New Roman" w:hAnsi="Times New Roman" w:eastAsia="Times New Roman" w:cs="Times New Roman"/>
          <w:b/>
          <w:bCs/>
          <w:spacing w:val="-1"/>
          <w:sz w:val="17"/>
          <w:szCs w:val="17"/>
        </w:rPr>
        <w:t>285</w:t>
      </w:r>
    </w:p>
    <w:p w14:paraId="7063AA71">
      <w:pPr>
        <w:spacing w:line="242" w:lineRule="auto"/>
        <w:rPr>
          <w:rFonts w:ascii="Arial"/>
          <w:sz w:val="21"/>
        </w:rPr>
      </w:pPr>
    </w:p>
    <w:p w14:paraId="2C8D0A04">
      <w:pPr>
        <w:spacing w:line="242" w:lineRule="auto"/>
        <w:rPr>
          <w:rFonts w:ascii="Arial"/>
          <w:sz w:val="21"/>
        </w:rPr>
      </w:pPr>
    </w:p>
    <w:p w14:paraId="241B5689">
      <w:pPr>
        <w:spacing w:line="242" w:lineRule="auto"/>
        <w:rPr>
          <w:rFonts w:ascii="Arial"/>
          <w:sz w:val="21"/>
        </w:rPr>
      </w:pPr>
    </w:p>
    <w:p w14:paraId="024EAFCC">
      <w:pPr>
        <w:spacing w:line="242" w:lineRule="auto"/>
        <w:rPr>
          <w:rFonts w:ascii="Arial"/>
          <w:sz w:val="21"/>
        </w:rPr>
      </w:pPr>
    </w:p>
    <w:p w14:paraId="7316D34F">
      <w:pPr>
        <w:spacing w:line="242" w:lineRule="auto"/>
        <w:rPr>
          <w:rFonts w:ascii="Arial"/>
          <w:sz w:val="21"/>
        </w:rPr>
      </w:pPr>
    </w:p>
    <w:p w14:paraId="43D9A935">
      <w:pPr>
        <w:spacing w:line="242" w:lineRule="auto"/>
        <w:rPr>
          <w:rFonts w:ascii="Arial"/>
          <w:sz w:val="21"/>
        </w:rPr>
      </w:pPr>
    </w:p>
    <w:p w14:paraId="16183B5E">
      <w:pPr>
        <w:spacing w:line="242" w:lineRule="auto"/>
        <w:rPr>
          <w:rFonts w:ascii="Arial"/>
          <w:sz w:val="21"/>
        </w:rPr>
      </w:pPr>
    </w:p>
    <w:p w14:paraId="482C121F">
      <w:pPr>
        <w:spacing w:line="242" w:lineRule="auto"/>
        <w:rPr>
          <w:rFonts w:ascii="Arial"/>
          <w:sz w:val="21"/>
        </w:rPr>
      </w:pPr>
    </w:p>
    <w:p w14:paraId="308AF4C4">
      <w:pPr>
        <w:spacing w:line="242" w:lineRule="auto"/>
        <w:rPr>
          <w:rFonts w:ascii="Arial"/>
          <w:sz w:val="21"/>
        </w:rPr>
      </w:pPr>
    </w:p>
    <w:p w14:paraId="0D48C1FA">
      <w:pPr>
        <w:spacing w:line="242" w:lineRule="auto"/>
        <w:rPr>
          <w:rFonts w:ascii="Arial"/>
          <w:sz w:val="21"/>
        </w:rPr>
      </w:pPr>
    </w:p>
    <w:p w14:paraId="554329E5">
      <w:pPr>
        <w:spacing w:line="242" w:lineRule="auto"/>
        <w:rPr>
          <w:rFonts w:ascii="Arial"/>
          <w:sz w:val="21"/>
        </w:rPr>
      </w:pPr>
    </w:p>
    <w:p w14:paraId="3B8EF42F">
      <w:pPr>
        <w:spacing w:line="242" w:lineRule="auto"/>
        <w:rPr>
          <w:rFonts w:ascii="Arial"/>
          <w:sz w:val="21"/>
        </w:rPr>
      </w:pPr>
    </w:p>
    <w:p w14:paraId="4D75DDD4">
      <w:pPr>
        <w:spacing w:line="242" w:lineRule="auto"/>
        <w:rPr>
          <w:rFonts w:ascii="Arial"/>
          <w:sz w:val="21"/>
        </w:rPr>
      </w:pPr>
    </w:p>
    <w:p w14:paraId="121ABD05">
      <w:pPr>
        <w:spacing w:line="242" w:lineRule="auto"/>
        <w:rPr>
          <w:rFonts w:ascii="Arial"/>
          <w:sz w:val="21"/>
        </w:rPr>
      </w:pPr>
    </w:p>
    <w:p w14:paraId="18446590">
      <w:pPr>
        <w:spacing w:line="242" w:lineRule="auto"/>
        <w:rPr>
          <w:rFonts w:ascii="Arial"/>
          <w:sz w:val="21"/>
        </w:rPr>
      </w:pPr>
    </w:p>
    <w:p w14:paraId="73EB3846">
      <w:pPr>
        <w:spacing w:line="242" w:lineRule="auto"/>
        <w:rPr>
          <w:rFonts w:ascii="Arial"/>
          <w:sz w:val="21"/>
        </w:rPr>
      </w:pPr>
    </w:p>
    <w:p w14:paraId="2C62877B">
      <w:pPr>
        <w:spacing w:line="243" w:lineRule="auto"/>
        <w:rPr>
          <w:rFonts w:ascii="Arial"/>
          <w:sz w:val="21"/>
        </w:rPr>
      </w:pPr>
    </w:p>
    <w:p w14:paraId="14248403">
      <w:pPr>
        <w:spacing w:line="243" w:lineRule="auto"/>
        <w:rPr>
          <w:rFonts w:ascii="Arial"/>
          <w:sz w:val="21"/>
        </w:rPr>
      </w:pPr>
    </w:p>
    <w:p w14:paraId="615CE161">
      <w:pPr>
        <w:spacing w:line="243" w:lineRule="auto"/>
        <w:rPr>
          <w:rFonts w:ascii="Arial"/>
          <w:sz w:val="21"/>
        </w:rPr>
      </w:pPr>
    </w:p>
    <w:p w14:paraId="713481B8">
      <w:pPr>
        <w:spacing w:line="243" w:lineRule="auto"/>
        <w:rPr>
          <w:rFonts w:ascii="Arial"/>
          <w:sz w:val="21"/>
        </w:rPr>
      </w:pPr>
    </w:p>
    <w:p w14:paraId="6ED31B8B">
      <w:pPr>
        <w:spacing w:line="243" w:lineRule="auto"/>
        <w:rPr>
          <w:rFonts w:ascii="Arial"/>
          <w:sz w:val="21"/>
        </w:rPr>
      </w:pPr>
    </w:p>
    <w:p w14:paraId="474DBE8A">
      <w:pPr>
        <w:spacing w:line="243" w:lineRule="auto"/>
        <w:rPr>
          <w:rFonts w:ascii="Arial"/>
          <w:sz w:val="21"/>
        </w:rPr>
      </w:pPr>
    </w:p>
    <w:p w14:paraId="5F36C907">
      <w:pPr>
        <w:spacing w:line="243" w:lineRule="auto"/>
        <w:rPr>
          <w:rFonts w:ascii="Arial"/>
          <w:sz w:val="21"/>
        </w:rPr>
      </w:pPr>
    </w:p>
    <w:p w14:paraId="2AFAA432">
      <w:pPr>
        <w:spacing w:line="243" w:lineRule="auto"/>
        <w:rPr>
          <w:rFonts w:ascii="Arial"/>
          <w:sz w:val="21"/>
        </w:rPr>
      </w:pPr>
    </w:p>
    <w:p w14:paraId="0FD47C06">
      <w:pPr>
        <w:spacing w:line="243" w:lineRule="auto"/>
        <w:rPr>
          <w:rFonts w:ascii="Arial"/>
          <w:sz w:val="21"/>
        </w:rPr>
      </w:pPr>
    </w:p>
    <w:p w14:paraId="07886B4F">
      <w:pPr>
        <w:spacing w:line="243" w:lineRule="auto"/>
        <w:rPr>
          <w:rFonts w:ascii="Arial"/>
          <w:sz w:val="21"/>
        </w:rPr>
      </w:pPr>
    </w:p>
    <w:p w14:paraId="6AE04433">
      <w:pPr>
        <w:spacing w:line="243" w:lineRule="auto"/>
        <w:rPr>
          <w:rFonts w:ascii="Arial"/>
          <w:sz w:val="21"/>
        </w:rPr>
      </w:pPr>
    </w:p>
    <w:p w14:paraId="586D5ACF">
      <w:pPr>
        <w:spacing w:line="243" w:lineRule="auto"/>
        <w:rPr>
          <w:rFonts w:ascii="Arial"/>
          <w:sz w:val="21"/>
        </w:rPr>
      </w:pPr>
    </w:p>
    <w:p w14:paraId="4F5ABB04">
      <w:pPr>
        <w:spacing w:line="243" w:lineRule="auto"/>
        <w:rPr>
          <w:rFonts w:ascii="Arial"/>
          <w:sz w:val="21"/>
        </w:rPr>
      </w:pPr>
    </w:p>
    <w:p w14:paraId="00D957A5">
      <w:pPr>
        <w:spacing w:line="243" w:lineRule="auto"/>
        <w:rPr>
          <w:rFonts w:ascii="Arial"/>
          <w:sz w:val="21"/>
        </w:rPr>
      </w:pPr>
    </w:p>
    <w:p w14:paraId="4905E4FD">
      <w:pPr>
        <w:spacing w:line="243" w:lineRule="auto"/>
        <w:rPr>
          <w:rFonts w:ascii="Arial"/>
          <w:sz w:val="21"/>
        </w:rPr>
      </w:pPr>
    </w:p>
    <w:p w14:paraId="7D3D0CD5">
      <w:pPr>
        <w:spacing w:line="243" w:lineRule="auto"/>
        <w:rPr>
          <w:rFonts w:ascii="Arial"/>
          <w:sz w:val="21"/>
        </w:rPr>
      </w:pPr>
    </w:p>
    <w:p w14:paraId="65E1CB79">
      <w:pPr>
        <w:spacing w:line="243" w:lineRule="auto"/>
        <w:rPr>
          <w:rFonts w:ascii="Arial"/>
          <w:sz w:val="21"/>
        </w:rPr>
      </w:pPr>
    </w:p>
    <w:p w14:paraId="3338AE9C">
      <w:pPr>
        <w:spacing w:line="243" w:lineRule="auto"/>
        <w:rPr>
          <w:rFonts w:ascii="Arial"/>
          <w:sz w:val="21"/>
        </w:rPr>
      </w:pPr>
    </w:p>
    <w:p w14:paraId="632E6706">
      <w:pPr>
        <w:spacing w:line="243" w:lineRule="auto"/>
        <w:rPr>
          <w:rFonts w:ascii="Arial"/>
          <w:sz w:val="21"/>
        </w:rPr>
      </w:pPr>
    </w:p>
    <w:p w14:paraId="501E099A">
      <w:pPr>
        <w:spacing w:line="243" w:lineRule="auto"/>
        <w:rPr>
          <w:rFonts w:ascii="Arial"/>
          <w:sz w:val="21"/>
        </w:rPr>
      </w:pPr>
    </w:p>
    <w:p w14:paraId="75FD1825">
      <w:pPr>
        <w:spacing w:line="243" w:lineRule="auto"/>
        <w:rPr>
          <w:rFonts w:ascii="Arial"/>
          <w:sz w:val="21"/>
        </w:rPr>
      </w:pPr>
    </w:p>
    <w:p w14:paraId="5B4227D6">
      <w:pPr>
        <w:spacing w:line="243" w:lineRule="auto"/>
        <w:rPr>
          <w:rFonts w:ascii="Arial"/>
          <w:sz w:val="21"/>
        </w:rPr>
      </w:pPr>
    </w:p>
    <w:p w14:paraId="3D2D143C">
      <w:pPr>
        <w:spacing w:line="243" w:lineRule="auto"/>
        <w:rPr>
          <w:rFonts w:ascii="Arial"/>
          <w:sz w:val="21"/>
        </w:rPr>
      </w:pPr>
    </w:p>
    <w:p w14:paraId="0FE2C104">
      <w:pPr>
        <w:spacing w:line="243" w:lineRule="auto"/>
        <w:rPr>
          <w:rFonts w:ascii="Arial"/>
          <w:sz w:val="21"/>
        </w:rPr>
      </w:pPr>
    </w:p>
    <w:p w14:paraId="793C573A">
      <w:pPr>
        <w:spacing w:line="243" w:lineRule="auto"/>
        <w:rPr>
          <w:rFonts w:ascii="Arial"/>
          <w:sz w:val="21"/>
        </w:rPr>
      </w:pPr>
    </w:p>
    <w:p w14:paraId="028234CA">
      <w:pPr>
        <w:spacing w:line="243" w:lineRule="auto"/>
        <w:rPr>
          <w:rFonts w:ascii="Arial"/>
          <w:sz w:val="21"/>
        </w:rPr>
      </w:pPr>
    </w:p>
    <w:p w14:paraId="3125A296">
      <w:pPr>
        <w:spacing w:line="243" w:lineRule="auto"/>
        <w:rPr>
          <w:rFonts w:ascii="Arial"/>
          <w:sz w:val="21"/>
        </w:rPr>
      </w:pPr>
    </w:p>
    <w:p w14:paraId="6C87761A">
      <w:pPr>
        <w:spacing w:line="243" w:lineRule="auto"/>
        <w:rPr>
          <w:rFonts w:ascii="Arial"/>
          <w:sz w:val="21"/>
        </w:rPr>
      </w:pPr>
    </w:p>
    <w:p w14:paraId="3C997A9C">
      <w:pPr>
        <w:spacing w:line="243" w:lineRule="auto"/>
        <w:rPr>
          <w:rFonts w:ascii="Arial"/>
          <w:sz w:val="21"/>
        </w:rPr>
      </w:pPr>
    </w:p>
    <w:p w14:paraId="5041DD26">
      <w:pPr>
        <w:spacing w:line="243" w:lineRule="auto"/>
        <w:rPr>
          <w:rFonts w:ascii="Arial"/>
          <w:sz w:val="21"/>
        </w:rPr>
      </w:pPr>
    </w:p>
    <w:p w14:paraId="2A312077">
      <w:pPr>
        <w:spacing w:line="243" w:lineRule="auto"/>
        <w:rPr>
          <w:rFonts w:ascii="Arial"/>
          <w:sz w:val="21"/>
        </w:rPr>
      </w:pPr>
    </w:p>
    <w:p w14:paraId="110E6BFA">
      <w:pPr>
        <w:spacing w:line="243" w:lineRule="auto"/>
        <w:rPr>
          <w:rFonts w:ascii="Arial"/>
          <w:sz w:val="21"/>
        </w:rPr>
      </w:pPr>
    </w:p>
    <w:p w14:paraId="0F27B60E">
      <w:pPr>
        <w:spacing w:line="243" w:lineRule="auto"/>
        <w:rPr>
          <w:rFonts w:ascii="Arial"/>
          <w:sz w:val="21"/>
        </w:rPr>
      </w:pPr>
    </w:p>
    <w:p w14:paraId="15D9A472">
      <w:pPr>
        <w:spacing w:line="243" w:lineRule="auto"/>
        <w:rPr>
          <w:rFonts w:ascii="Arial"/>
          <w:sz w:val="21"/>
        </w:rPr>
      </w:pPr>
    </w:p>
    <w:p w14:paraId="4FD09D49">
      <w:pPr>
        <w:spacing w:line="243" w:lineRule="auto"/>
        <w:rPr>
          <w:rFonts w:ascii="Arial"/>
          <w:sz w:val="21"/>
        </w:rPr>
      </w:pPr>
    </w:p>
    <w:p w14:paraId="0FC4DE36">
      <w:pPr>
        <w:spacing w:line="243" w:lineRule="auto"/>
        <w:rPr>
          <w:rFonts w:ascii="Arial"/>
          <w:sz w:val="21"/>
        </w:rPr>
      </w:pPr>
    </w:p>
    <w:p w14:paraId="1D9B7F5A">
      <w:pPr>
        <w:spacing w:before="49" w:line="188" w:lineRule="auto"/>
        <w:rPr>
          <w:rFonts w:ascii="Times New Roman" w:hAnsi="Times New Roman" w:eastAsia="Times New Roman" w:cs="Times New Roman"/>
          <w:sz w:val="17"/>
          <w:szCs w:val="17"/>
        </w:rPr>
      </w:pPr>
      <w:r>
        <w:rPr>
          <w:rFonts w:ascii="Times New Roman" w:hAnsi="Times New Roman" w:eastAsia="Times New Roman" w:cs="Times New Roman"/>
          <w:b/>
          <w:bCs/>
          <w:spacing w:val="-1"/>
          <w:sz w:val="17"/>
          <w:szCs w:val="17"/>
        </w:rPr>
        <w:t>344</w:t>
      </w:r>
    </w:p>
    <w:p w14:paraId="788F7BF7">
      <w:pPr>
        <w:spacing w:line="14" w:lineRule="auto"/>
        <w:rPr>
          <w:rFonts w:ascii="Arial"/>
          <w:sz w:val="2"/>
        </w:rPr>
      </w:pPr>
      <w:r>
        <w:rPr>
          <w:rFonts w:ascii="Arial" w:hAnsi="Arial" w:eastAsia="Arial" w:cs="Arial"/>
          <w:sz w:val="2"/>
          <w:szCs w:val="2"/>
        </w:rPr>
        <w:br w:type="column"/>
      </w:r>
    </w:p>
    <w:p w14:paraId="28D13749">
      <w:pPr>
        <w:spacing w:line="292" w:lineRule="auto"/>
        <w:rPr>
          <w:rFonts w:ascii="Arial"/>
          <w:sz w:val="21"/>
        </w:rPr>
      </w:pPr>
    </w:p>
    <w:p w14:paraId="0E08AEFE">
      <w:pPr>
        <w:spacing w:line="292" w:lineRule="auto"/>
        <w:rPr>
          <w:rFonts w:ascii="Arial"/>
          <w:sz w:val="21"/>
        </w:rPr>
      </w:pPr>
    </w:p>
    <w:p w14:paraId="3B120D0C">
      <w:pPr>
        <w:spacing w:line="292" w:lineRule="auto"/>
        <w:rPr>
          <w:rFonts w:ascii="Arial"/>
          <w:sz w:val="21"/>
        </w:rPr>
      </w:pPr>
    </w:p>
    <w:sdt>
      <w:sdtPr>
        <w:rPr>
          <w:rFonts w:ascii="宋体" w:hAnsi="宋体" w:eastAsia="宋体" w:cs="宋体"/>
          <w:sz w:val="17"/>
          <w:szCs w:val="17"/>
        </w:rPr>
        <w:id w:val="549193800"/>
        <w:docPartObj>
          <w:docPartGallery w:val="Table of Contents"/>
          <w:docPartUnique/>
        </w:docPartObj>
      </w:sdtPr>
      <w:sdtEndPr>
        <w:rPr>
          <w:rFonts w:ascii="Times New Roman" w:hAnsi="Times New Roman" w:eastAsia="Times New Roman" w:cs="Times New Roman"/>
          <w:sz w:val="17"/>
          <w:szCs w:val="17"/>
        </w:rPr>
      </w:sdtEndPr>
      <w:sdtContent>
        <w:p w14:paraId="7BEF9B4D">
          <w:pPr>
            <w:spacing w:before="55" w:line="212" w:lineRule="auto"/>
            <w:ind w:left="40"/>
            <w:rPr>
              <w:rFonts w:ascii="Times New Roman" w:hAnsi="Times New Roman" w:eastAsia="Times New Roman" w:cs="Times New Roman"/>
              <w:sz w:val="17"/>
              <w:szCs w:val="17"/>
            </w:rPr>
          </w:pPr>
          <w:r>
            <w:rPr>
              <w:rFonts w:ascii="宋体" w:hAnsi="宋体" w:eastAsia="宋体" w:cs="宋体"/>
              <w:spacing w:val="6"/>
              <w:sz w:val="17"/>
              <w:szCs w:val="17"/>
            </w:rPr>
            <w:t>自然实验</w:t>
          </w:r>
          <w:r>
            <w:rPr>
              <w:rFonts w:ascii="宋体" w:hAnsi="宋体" w:eastAsia="宋体" w:cs="宋体"/>
              <w:spacing w:val="1"/>
              <w:sz w:val="17"/>
              <w:szCs w:val="17"/>
            </w:rPr>
            <w:t xml:space="preserve">  </w:t>
          </w:r>
          <w:r>
            <w:rPr>
              <w:rFonts w:ascii="Times New Roman" w:hAnsi="Times New Roman" w:eastAsia="Times New Roman" w:cs="Times New Roman"/>
              <w:sz w:val="17"/>
              <w:szCs w:val="17"/>
            </w:rPr>
            <w:t>natural</w:t>
          </w:r>
          <w:r>
            <w:rPr>
              <w:rFonts w:ascii="Times New Roman" w:hAnsi="Times New Roman" w:eastAsia="Times New Roman" w:cs="Times New Roman"/>
              <w:spacing w:val="6"/>
              <w:sz w:val="17"/>
              <w:szCs w:val="17"/>
            </w:rPr>
            <w:t xml:space="preserve">    </w:t>
          </w:r>
          <w:r>
            <w:rPr>
              <w:rFonts w:ascii="Times New Roman" w:hAnsi="Times New Roman" w:eastAsia="Times New Roman" w:cs="Times New Roman"/>
              <w:sz w:val="17"/>
              <w:szCs w:val="17"/>
            </w:rPr>
            <w:t>experiment</w:t>
          </w:r>
          <w:r>
            <w:rPr>
              <w:rFonts w:ascii="Times New Roman" w:hAnsi="Times New Roman" w:eastAsia="Times New Roman" w:cs="Times New Roman"/>
              <w:spacing w:val="5"/>
              <w:sz w:val="17"/>
              <w:szCs w:val="17"/>
            </w:rPr>
            <w:t xml:space="preserve">    </w:t>
          </w:r>
          <w:r>
            <w:fldChar w:fldCharType="begin"/>
          </w:r>
          <w:r>
            <w:instrText xml:space="preserve"> HYPERLINK \l "bookmark734" </w:instrText>
          </w:r>
          <w:r>
            <w:fldChar w:fldCharType="separate"/>
          </w:r>
          <w:r>
            <w:rPr>
              <w:rFonts w:ascii="Times New Roman" w:hAnsi="Times New Roman" w:eastAsia="Times New Roman" w:cs="Times New Roman"/>
              <w:spacing w:val="6"/>
              <w:sz w:val="17"/>
              <w:szCs w:val="17"/>
            </w:rPr>
            <w:t>86</w:t>
          </w:r>
          <w:r>
            <w:rPr>
              <w:rFonts w:ascii="Times New Roman" w:hAnsi="Times New Roman" w:eastAsia="Times New Roman" w:cs="Times New Roman"/>
              <w:spacing w:val="6"/>
              <w:sz w:val="17"/>
              <w:szCs w:val="17"/>
            </w:rPr>
            <w:fldChar w:fldCharType="end"/>
          </w:r>
        </w:p>
        <w:p w14:paraId="23905296">
          <w:pPr>
            <w:spacing w:before="124" w:line="212" w:lineRule="auto"/>
            <w:ind w:left="40"/>
            <w:rPr>
              <w:rFonts w:ascii="Times New Roman" w:hAnsi="Times New Roman" w:eastAsia="Times New Roman" w:cs="Times New Roman"/>
              <w:sz w:val="17"/>
              <w:szCs w:val="17"/>
            </w:rPr>
          </w:pPr>
          <w:r>
            <w:rPr>
              <w:rFonts w:ascii="宋体" w:hAnsi="宋体" w:eastAsia="宋体" w:cs="宋体"/>
              <w:spacing w:val="2"/>
              <w:sz w:val="17"/>
              <w:szCs w:val="17"/>
            </w:rPr>
            <w:t xml:space="preserve">自身感染  </w:t>
          </w:r>
          <w:r>
            <w:rPr>
              <w:rFonts w:ascii="Times New Roman" w:hAnsi="Times New Roman" w:eastAsia="Times New Roman" w:cs="Times New Roman"/>
              <w:sz w:val="17"/>
              <w:szCs w:val="17"/>
            </w:rPr>
            <w:t>autogenous</w:t>
          </w:r>
          <w:r>
            <w:rPr>
              <w:rFonts w:ascii="Times New Roman" w:hAnsi="Times New Roman" w:eastAsia="Times New Roman" w:cs="Times New Roman"/>
              <w:spacing w:val="2"/>
              <w:sz w:val="17"/>
              <w:szCs w:val="17"/>
            </w:rPr>
            <w:t xml:space="preserve">      </w:t>
          </w:r>
          <w:r>
            <w:rPr>
              <w:rFonts w:ascii="Times New Roman" w:hAnsi="Times New Roman" w:eastAsia="Times New Roman" w:cs="Times New Roman"/>
              <w:sz w:val="17"/>
              <w:szCs w:val="17"/>
            </w:rPr>
            <w:t>infection</w:t>
          </w:r>
          <w:r>
            <w:rPr>
              <w:rFonts w:ascii="Times New Roman" w:hAnsi="Times New Roman" w:eastAsia="Times New Roman" w:cs="Times New Roman"/>
              <w:spacing w:val="2"/>
              <w:sz w:val="17"/>
              <w:szCs w:val="17"/>
            </w:rPr>
            <w:t>;</w:t>
          </w:r>
          <w:r>
            <w:rPr>
              <w:rFonts w:ascii="Times New Roman" w:hAnsi="Times New Roman" w:eastAsia="Times New Roman" w:cs="Times New Roman"/>
              <w:sz w:val="17"/>
              <w:szCs w:val="17"/>
            </w:rPr>
            <w:t>self</w:t>
          </w:r>
          <w:r>
            <w:rPr>
              <w:rFonts w:ascii="Times New Roman" w:hAnsi="Times New Roman" w:eastAsia="Times New Roman" w:cs="Times New Roman"/>
              <w:spacing w:val="2"/>
              <w:sz w:val="17"/>
              <w:szCs w:val="17"/>
            </w:rPr>
            <w:t>-</w:t>
          </w:r>
          <w:r>
            <w:rPr>
              <w:rFonts w:ascii="Times New Roman" w:hAnsi="Times New Roman" w:eastAsia="Times New Roman" w:cs="Times New Roman"/>
              <w:sz w:val="17"/>
              <w:szCs w:val="17"/>
            </w:rPr>
            <w:t>infection</w:t>
          </w:r>
          <w:r>
            <w:rPr>
              <w:rFonts w:ascii="Times New Roman" w:hAnsi="Times New Roman" w:eastAsia="Times New Roman" w:cs="Times New Roman"/>
              <w:spacing w:val="2"/>
              <w:sz w:val="17"/>
              <w:szCs w:val="17"/>
            </w:rPr>
            <w:t xml:space="preserve">      </w:t>
          </w:r>
          <w:r>
            <w:fldChar w:fldCharType="begin"/>
          </w:r>
          <w:r>
            <w:instrText xml:space="preserve"> HYPERLINK \l "bookmark735" </w:instrText>
          </w:r>
          <w:r>
            <w:fldChar w:fldCharType="separate"/>
          </w:r>
          <w:r>
            <w:rPr>
              <w:rFonts w:ascii="Times New Roman" w:hAnsi="Times New Roman" w:eastAsia="Times New Roman" w:cs="Times New Roman"/>
              <w:spacing w:val="2"/>
              <w:sz w:val="17"/>
              <w:szCs w:val="17"/>
            </w:rPr>
            <w:t>173</w:t>
          </w:r>
          <w:r>
            <w:rPr>
              <w:rFonts w:ascii="Times New Roman" w:hAnsi="Times New Roman" w:eastAsia="Times New Roman" w:cs="Times New Roman"/>
              <w:spacing w:val="2"/>
              <w:sz w:val="17"/>
              <w:szCs w:val="17"/>
            </w:rPr>
            <w:fldChar w:fldCharType="end"/>
          </w:r>
        </w:p>
        <w:p w14:paraId="6BC08CA1">
          <w:pPr>
            <w:spacing w:before="165" w:line="212" w:lineRule="auto"/>
            <w:ind w:left="9"/>
            <w:rPr>
              <w:rFonts w:ascii="Times New Roman" w:hAnsi="Times New Roman" w:eastAsia="Times New Roman" w:cs="Times New Roman"/>
              <w:sz w:val="17"/>
              <w:szCs w:val="17"/>
            </w:rPr>
          </w:pPr>
          <w:r>
            <w:rPr>
              <w:rFonts w:ascii="宋体" w:hAnsi="宋体" w:eastAsia="宋体" w:cs="宋体"/>
              <w:spacing w:val="9"/>
              <w:sz w:val="17"/>
              <w:szCs w:val="17"/>
            </w:rPr>
            <w:t>总人口对照</w:t>
          </w:r>
          <w:r>
            <w:rPr>
              <w:rFonts w:ascii="宋体" w:hAnsi="宋体" w:eastAsia="宋体" w:cs="宋体"/>
              <w:spacing w:val="82"/>
              <w:w w:val="101"/>
              <w:sz w:val="17"/>
              <w:szCs w:val="17"/>
            </w:rPr>
            <w:t xml:space="preserve"> </w:t>
          </w:r>
          <w:r>
            <w:rPr>
              <w:rFonts w:ascii="Times New Roman" w:hAnsi="Times New Roman" w:eastAsia="Times New Roman" w:cs="Times New Roman"/>
              <w:sz w:val="17"/>
              <w:szCs w:val="17"/>
            </w:rPr>
            <w:t>total   population</w:t>
          </w:r>
          <w:r>
            <w:rPr>
              <w:rFonts w:ascii="Times New Roman" w:hAnsi="Times New Roman" w:eastAsia="Times New Roman" w:cs="Times New Roman"/>
              <w:spacing w:val="9"/>
              <w:sz w:val="17"/>
              <w:szCs w:val="17"/>
            </w:rPr>
            <w:t xml:space="preserve">   </w:t>
          </w:r>
          <w:r>
            <w:rPr>
              <w:rFonts w:ascii="Times New Roman" w:hAnsi="Times New Roman" w:eastAsia="Times New Roman" w:cs="Times New Roman"/>
              <w:sz w:val="17"/>
              <w:szCs w:val="17"/>
            </w:rPr>
            <w:t>control</w:t>
          </w:r>
          <w:r>
            <w:rPr>
              <w:rFonts w:ascii="Times New Roman" w:hAnsi="Times New Roman" w:eastAsia="Times New Roman" w:cs="Times New Roman"/>
              <w:spacing w:val="9"/>
              <w:sz w:val="17"/>
              <w:szCs w:val="17"/>
            </w:rPr>
            <w:t xml:space="preserve">   </w:t>
          </w:r>
          <w:r>
            <w:fldChar w:fldCharType="begin"/>
          </w:r>
          <w:r>
            <w:instrText xml:space="preserve"> HYPERLINK \l "bookmark736" </w:instrText>
          </w:r>
          <w:r>
            <w:fldChar w:fldCharType="separate"/>
          </w:r>
          <w:r>
            <w:rPr>
              <w:rFonts w:ascii="Times New Roman" w:hAnsi="Times New Roman" w:eastAsia="Times New Roman" w:cs="Times New Roman"/>
              <w:spacing w:val="9"/>
              <w:sz w:val="17"/>
              <w:szCs w:val="17"/>
            </w:rPr>
            <w:t>52</w:t>
          </w:r>
          <w:r>
            <w:rPr>
              <w:rFonts w:ascii="Times New Roman" w:hAnsi="Times New Roman" w:eastAsia="Times New Roman" w:cs="Times New Roman"/>
              <w:spacing w:val="9"/>
              <w:sz w:val="17"/>
              <w:szCs w:val="17"/>
            </w:rPr>
            <w:fldChar w:fldCharType="end"/>
          </w:r>
        </w:p>
        <w:p w14:paraId="386FA09F">
          <w:pPr>
            <w:spacing w:before="164" w:line="212" w:lineRule="auto"/>
            <w:rPr>
              <w:rFonts w:ascii="Times New Roman" w:hAnsi="Times New Roman" w:eastAsia="Times New Roman" w:cs="Times New Roman"/>
              <w:sz w:val="17"/>
              <w:szCs w:val="17"/>
            </w:rPr>
          </w:pPr>
          <w:r>
            <w:rPr>
              <w:rFonts w:ascii="宋体" w:hAnsi="宋体" w:eastAsia="宋体" w:cs="宋体"/>
              <w:spacing w:val="8"/>
              <w:sz w:val="17"/>
              <w:szCs w:val="17"/>
            </w:rPr>
            <w:t>组分病因</w:t>
          </w:r>
          <w:r>
            <w:rPr>
              <w:rFonts w:ascii="宋体" w:hAnsi="宋体" w:eastAsia="宋体" w:cs="宋体"/>
              <w:spacing w:val="81"/>
              <w:sz w:val="17"/>
              <w:szCs w:val="17"/>
            </w:rPr>
            <w:t xml:space="preserve"> </w:t>
          </w:r>
          <w:r>
            <w:rPr>
              <w:rFonts w:ascii="Times New Roman" w:hAnsi="Times New Roman" w:eastAsia="Times New Roman" w:cs="Times New Roman"/>
              <w:sz w:val="17"/>
              <w:szCs w:val="17"/>
            </w:rPr>
            <w:t>component</w:t>
          </w:r>
          <w:r>
            <w:rPr>
              <w:rFonts w:ascii="Times New Roman" w:hAnsi="Times New Roman" w:eastAsia="Times New Roman" w:cs="Times New Roman"/>
              <w:spacing w:val="8"/>
              <w:sz w:val="17"/>
              <w:szCs w:val="17"/>
            </w:rPr>
            <w:t xml:space="preserve">    </w:t>
          </w:r>
          <w:r>
            <w:rPr>
              <w:rFonts w:ascii="Times New Roman" w:hAnsi="Times New Roman" w:eastAsia="Times New Roman" w:cs="Times New Roman"/>
              <w:sz w:val="17"/>
              <w:szCs w:val="17"/>
            </w:rPr>
            <w:t>cause</w:t>
          </w:r>
          <w:r>
            <w:rPr>
              <w:rFonts w:ascii="Times New Roman" w:hAnsi="Times New Roman" w:eastAsia="Times New Roman" w:cs="Times New Roman"/>
              <w:spacing w:val="6"/>
              <w:sz w:val="17"/>
              <w:szCs w:val="17"/>
            </w:rPr>
            <w:t xml:space="preserve">    </w:t>
          </w:r>
          <w:r>
            <w:fldChar w:fldCharType="begin"/>
          </w:r>
          <w:r>
            <w:instrText xml:space="preserve"> HYPERLINK \l "bookmark737" </w:instrText>
          </w:r>
          <w:r>
            <w:fldChar w:fldCharType="separate"/>
          </w:r>
          <w:r>
            <w:rPr>
              <w:rFonts w:ascii="Times New Roman" w:hAnsi="Times New Roman" w:eastAsia="Times New Roman" w:cs="Times New Roman"/>
              <w:spacing w:val="8"/>
              <w:sz w:val="17"/>
              <w:szCs w:val="17"/>
            </w:rPr>
            <w:t>125</w:t>
          </w:r>
          <w:r>
            <w:rPr>
              <w:rFonts w:ascii="Times New Roman" w:hAnsi="Times New Roman" w:eastAsia="Times New Roman" w:cs="Times New Roman"/>
              <w:spacing w:val="8"/>
              <w:sz w:val="17"/>
              <w:szCs w:val="17"/>
            </w:rPr>
            <w:fldChar w:fldCharType="end"/>
          </w:r>
        </w:p>
      </w:sdtContent>
    </w:sdt>
    <w:p w14:paraId="5A8C55B0">
      <w:pPr>
        <w:spacing w:line="242" w:lineRule="auto"/>
        <w:rPr>
          <w:rFonts w:ascii="Arial"/>
          <w:sz w:val="21"/>
        </w:rPr>
      </w:pPr>
    </w:p>
    <w:p w14:paraId="3D25A910">
      <w:pPr>
        <w:spacing w:line="242" w:lineRule="auto"/>
        <w:rPr>
          <w:rFonts w:ascii="Arial"/>
          <w:sz w:val="21"/>
        </w:rPr>
      </w:pPr>
    </w:p>
    <w:p w14:paraId="4A1F833E">
      <w:pPr>
        <w:spacing w:line="243" w:lineRule="auto"/>
        <w:rPr>
          <w:rFonts w:ascii="Arial"/>
          <w:sz w:val="21"/>
        </w:rPr>
      </w:pPr>
    </w:p>
    <w:p w14:paraId="14DBDDAF">
      <w:pPr>
        <w:spacing w:line="243" w:lineRule="auto"/>
        <w:rPr>
          <w:rFonts w:ascii="Arial"/>
          <w:sz w:val="21"/>
        </w:rPr>
      </w:pPr>
    </w:p>
    <w:p w14:paraId="1C9A0147">
      <w:pPr>
        <w:spacing w:line="243" w:lineRule="auto"/>
        <w:rPr>
          <w:rFonts w:ascii="Arial"/>
          <w:sz w:val="21"/>
        </w:rPr>
      </w:pPr>
    </w:p>
    <w:p w14:paraId="3498E22D">
      <w:pPr>
        <w:spacing w:line="243" w:lineRule="auto"/>
        <w:rPr>
          <w:rFonts w:ascii="Arial"/>
          <w:sz w:val="21"/>
        </w:rPr>
      </w:pPr>
    </w:p>
    <w:p w14:paraId="41777DA2">
      <w:pPr>
        <w:spacing w:line="243" w:lineRule="auto"/>
        <w:rPr>
          <w:rFonts w:ascii="Arial"/>
          <w:sz w:val="21"/>
        </w:rPr>
      </w:pPr>
    </w:p>
    <w:p w14:paraId="19431DC0">
      <w:pPr>
        <w:spacing w:line="243" w:lineRule="auto"/>
        <w:rPr>
          <w:rFonts w:ascii="Arial"/>
          <w:sz w:val="21"/>
        </w:rPr>
      </w:pPr>
    </w:p>
    <w:p w14:paraId="187960F0">
      <w:pPr>
        <w:spacing w:line="243" w:lineRule="auto"/>
        <w:rPr>
          <w:rFonts w:ascii="Arial"/>
          <w:sz w:val="21"/>
        </w:rPr>
      </w:pPr>
    </w:p>
    <w:p w14:paraId="5E95013B">
      <w:pPr>
        <w:spacing w:line="243" w:lineRule="auto"/>
        <w:rPr>
          <w:rFonts w:ascii="Arial"/>
          <w:sz w:val="21"/>
        </w:rPr>
      </w:pPr>
    </w:p>
    <w:p w14:paraId="288F8D2B">
      <w:pPr>
        <w:spacing w:line="243" w:lineRule="auto"/>
        <w:rPr>
          <w:rFonts w:ascii="Arial"/>
          <w:sz w:val="21"/>
        </w:rPr>
      </w:pPr>
    </w:p>
    <w:p w14:paraId="2A194CE7">
      <w:pPr>
        <w:spacing w:line="243" w:lineRule="auto"/>
        <w:rPr>
          <w:rFonts w:ascii="Arial"/>
          <w:sz w:val="21"/>
        </w:rPr>
      </w:pPr>
    </w:p>
    <w:p w14:paraId="270391A5">
      <w:pPr>
        <w:spacing w:line="243" w:lineRule="auto"/>
        <w:rPr>
          <w:rFonts w:ascii="Arial"/>
          <w:sz w:val="21"/>
        </w:rPr>
      </w:pPr>
    </w:p>
    <w:p w14:paraId="55348F12">
      <w:pPr>
        <w:spacing w:line="243" w:lineRule="auto"/>
        <w:rPr>
          <w:rFonts w:ascii="Arial"/>
          <w:sz w:val="21"/>
        </w:rPr>
      </w:pPr>
    </w:p>
    <w:p w14:paraId="1150D07E">
      <w:pPr>
        <w:spacing w:line="243" w:lineRule="auto"/>
        <w:rPr>
          <w:rFonts w:ascii="Arial"/>
          <w:sz w:val="21"/>
        </w:rPr>
      </w:pPr>
    </w:p>
    <w:p w14:paraId="0501B3C0">
      <w:pPr>
        <w:spacing w:line="243" w:lineRule="auto"/>
        <w:rPr>
          <w:rFonts w:ascii="Arial"/>
          <w:sz w:val="21"/>
        </w:rPr>
      </w:pPr>
    </w:p>
    <w:p w14:paraId="5AAF02ED">
      <w:pPr>
        <w:spacing w:line="243" w:lineRule="auto"/>
        <w:rPr>
          <w:rFonts w:ascii="Arial"/>
          <w:sz w:val="21"/>
        </w:rPr>
      </w:pPr>
    </w:p>
    <w:p w14:paraId="7C8B0305">
      <w:pPr>
        <w:spacing w:line="243" w:lineRule="auto"/>
        <w:rPr>
          <w:rFonts w:ascii="Arial"/>
          <w:sz w:val="21"/>
        </w:rPr>
      </w:pPr>
    </w:p>
    <w:p w14:paraId="75359CCE">
      <w:pPr>
        <w:spacing w:line="243" w:lineRule="auto"/>
        <w:rPr>
          <w:rFonts w:ascii="Arial"/>
          <w:sz w:val="21"/>
        </w:rPr>
      </w:pPr>
    </w:p>
    <w:p w14:paraId="62CD9852">
      <w:pPr>
        <w:spacing w:line="243" w:lineRule="auto"/>
        <w:rPr>
          <w:rFonts w:ascii="Arial"/>
          <w:sz w:val="21"/>
        </w:rPr>
      </w:pPr>
    </w:p>
    <w:p w14:paraId="2A20243A">
      <w:pPr>
        <w:spacing w:line="243" w:lineRule="auto"/>
        <w:rPr>
          <w:rFonts w:ascii="Arial"/>
          <w:sz w:val="21"/>
        </w:rPr>
      </w:pPr>
    </w:p>
    <w:p w14:paraId="4FD258D6">
      <w:pPr>
        <w:spacing w:line="243" w:lineRule="auto"/>
        <w:rPr>
          <w:rFonts w:ascii="Arial"/>
          <w:sz w:val="21"/>
        </w:rPr>
      </w:pPr>
    </w:p>
    <w:p w14:paraId="4B85A38A">
      <w:pPr>
        <w:spacing w:line="243" w:lineRule="auto"/>
        <w:rPr>
          <w:rFonts w:ascii="Arial"/>
          <w:sz w:val="21"/>
        </w:rPr>
      </w:pPr>
    </w:p>
    <w:p w14:paraId="66901D44">
      <w:pPr>
        <w:spacing w:line="243" w:lineRule="auto"/>
        <w:rPr>
          <w:rFonts w:ascii="Arial"/>
          <w:sz w:val="21"/>
        </w:rPr>
      </w:pPr>
    </w:p>
    <w:p w14:paraId="5A87014E">
      <w:pPr>
        <w:spacing w:line="243" w:lineRule="auto"/>
        <w:rPr>
          <w:rFonts w:ascii="Arial"/>
          <w:sz w:val="21"/>
        </w:rPr>
      </w:pPr>
    </w:p>
    <w:p w14:paraId="325120A8">
      <w:pPr>
        <w:spacing w:line="243" w:lineRule="auto"/>
        <w:rPr>
          <w:rFonts w:ascii="Arial"/>
          <w:sz w:val="21"/>
        </w:rPr>
      </w:pPr>
    </w:p>
    <w:p w14:paraId="1AFD0831">
      <w:pPr>
        <w:spacing w:line="243" w:lineRule="auto"/>
        <w:rPr>
          <w:rFonts w:ascii="Arial"/>
          <w:sz w:val="21"/>
        </w:rPr>
      </w:pPr>
    </w:p>
    <w:p w14:paraId="0C656FF9">
      <w:pPr>
        <w:spacing w:line="243" w:lineRule="auto"/>
        <w:rPr>
          <w:rFonts w:ascii="Arial"/>
          <w:sz w:val="21"/>
        </w:rPr>
      </w:pPr>
    </w:p>
    <w:p w14:paraId="5D65320D">
      <w:pPr>
        <w:spacing w:line="243" w:lineRule="auto"/>
        <w:rPr>
          <w:rFonts w:ascii="Arial"/>
          <w:sz w:val="21"/>
        </w:rPr>
      </w:pPr>
    </w:p>
    <w:p w14:paraId="3604D191">
      <w:pPr>
        <w:spacing w:line="243" w:lineRule="auto"/>
        <w:rPr>
          <w:rFonts w:ascii="Arial"/>
          <w:sz w:val="21"/>
        </w:rPr>
      </w:pPr>
    </w:p>
    <w:p w14:paraId="3AEC5730">
      <w:pPr>
        <w:spacing w:line="243" w:lineRule="auto"/>
        <w:rPr>
          <w:rFonts w:ascii="Arial"/>
          <w:sz w:val="21"/>
        </w:rPr>
      </w:pPr>
    </w:p>
    <w:p w14:paraId="26973D8F">
      <w:pPr>
        <w:spacing w:line="243" w:lineRule="auto"/>
        <w:rPr>
          <w:rFonts w:ascii="Arial"/>
          <w:sz w:val="21"/>
        </w:rPr>
      </w:pPr>
    </w:p>
    <w:p w14:paraId="0FE7558B">
      <w:pPr>
        <w:spacing w:line="243" w:lineRule="auto"/>
        <w:rPr>
          <w:rFonts w:ascii="Arial"/>
          <w:sz w:val="21"/>
        </w:rPr>
      </w:pPr>
    </w:p>
    <w:p w14:paraId="4DE64334">
      <w:pPr>
        <w:spacing w:line="243" w:lineRule="auto"/>
        <w:rPr>
          <w:rFonts w:ascii="Arial"/>
          <w:sz w:val="21"/>
        </w:rPr>
      </w:pPr>
    </w:p>
    <w:p w14:paraId="323D21E6">
      <w:pPr>
        <w:spacing w:line="243" w:lineRule="auto"/>
        <w:rPr>
          <w:rFonts w:ascii="Arial"/>
          <w:sz w:val="21"/>
        </w:rPr>
      </w:pPr>
    </w:p>
    <w:p w14:paraId="43B2F185">
      <w:pPr>
        <w:spacing w:line="243" w:lineRule="auto"/>
        <w:rPr>
          <w:rFonts w:ascii="Arial"/>
          <w:sz w:val="21"/>
        </w:rPr>
      </w:pPr>
    </w:p>
    <w:p w14:paraId="29A16B7E">
      <w:pPr>
        <w:spacing w:line="243" w:lineRule="auto"/>
        <w:rPr>
          <w:rFonts w:ascii="Arial"/>
          <w:sz w:val="21"/>
        </w:rPr>
      </w:pPr>
    </w:p>
    <w:p w14:paraId="7113DAFB">
      <w:pPr>
        <w:spacing w:line="243" w:lineRule="auto"/>
        <w:rPr>
          <w:rFonts w:ascii="Arial"/>
          <w:sz w:val="21"/>
        </w:rPr>
      </w:pPr>
    </w:p>
    <w:p w14:paraId="3560F59C">
      <w:pPr>
        <w:spacing w:line="243" w:lineRule="auto"/>
        <w:rPr>
          <w:rFonts w:ascii="Arial"/>
          <w:sz w:val="21"/>
        </w:rPr>
      </w:pPr>
    </w:p>
    <w:p w14:paraId="74F5E5DD">
      <w:pPr>
        <w:spacing w:line="243" w:lineRule="auto"/>
        <w:rPr>
          <w:rFonts w:ascii="Arial"/>
          <w:sz w:val="21"/>
        </w:rPr>
      </w:pPr>
    </w:p>
    <w:p w14:paraId="6F6935DE">
      <w:pPr>
        <w:spacing w:line="243" w:lineRule="auto"/>
        <w:rPr>
          <w:rFonts w:ascii="Arial"/>
          <w:sz w:val="21"/>
        </w:rPr>
      </w:pPr>
    </w:p>
    <w:p w14:paraId="6B14CA4B">
      <w:pPr>
        <w:spacing w:line="243" w:lineRule="auto"/>
        <w:rPr>
          <w:rFonts w:ascii="Arial"/>
          <w:sz w:val="21"/>
        </w:rPr>
      </w:pPr>
    </w:p>
    <w:p w14:paraId="55283C0B">
      <w:pPr>
        <w:spacing w:line="243" w:lineRule="auto"/>
        <w:rPr>
          <w:rFonts w:ascii="Arial"/>
          <w:sz w:val="21"/>
        </w:rPr>
      </w:pPr>
    </w:p>
    <w:p w14:paraId="7C6E7651">
      <w:pPr>
        <w:spacing w:line="243" w:lineRule="auto"/>
        <w:rPr>
          <w:rFonts w:ascii="Arial"/>
          <w:sz w:val="21"/>
        </w:rPr>
      </w:pPr>
    </w:p>
    <w:p w14:paraId="482EB425">
      <w:pPr>
        <w:spacing w:line="243" w:lineRule="auto"/>
        <w:rPr>
          <w:rFonts w:ascii="Arial"/>
          <w:sz w:val="21"/>
        </w:rPr>
      </w:pPr>
    </w:p>
    <w:p w14:paraId="5802E850">
      <w:pPr>
        <w:spacing w:line="243" w:lineRule="auto"/>
        <w:rPr>
          <w:rFonts w:ascii="Arial"/>
          <w:sz w:val="21"/>
        </w:rPr>
      </w:pPr>
    </w:p>
    <w:p w14:paraId="5FA7DC24">
      <w:pPr>
        <w:spacing w:line="243" w:lineRule="auto"/>
        <w:rPr>
          <w:rFonts w:ascii="Arial"/>
          <w:sz w:val="21"/>
        </w:rPr>
      </w:pPr>
    </w:p>
    <w:p w14:paraId="440154D3">
      <w:pPr>
        <w:spacing w:line="243" w:lineRule="auto"/>
        <w:rPr>
          <w:rFonts w:ascii="Arial"/>
          <w:sz w:val="21"/>
        </w:rPr>
      </w:pPr>
    </w:p>
    <w:p w14:paraId="4D193DA7">
      <w:pPr>
        <w:spacing w:line="243" w:lineRule="auto"/>
        <w:rPr>
          <w:rFonts w:ascii="Arial"/>
          <w:sz w:val="21"/>
        </w:rPr>
      </w:pPr>
    </w:p>
    <w:p w14:paraId="7FA2F8D2">
      <w:pPr>
        <w:spacing w:line="243" w:lineRule="auto"/>
        <w:rPr>
          <w:rFonts w:ascii="Arial"/>
          <w:sz w:val="21"/>
        </w:rPr>
      </w:pPr>
    </w:p>
    <w:p w14:paraId="08750464">
      <w:pPr>
        <w:spacing w:line="243" w:lineRule="auto"/>
        <w:rPr>
          <w:rFonts w:ascii="Arial"/>
          <w:sz w:val="21"/>
        </w:rPr>
      </w:pPr>
    </w:p>
    <w:p w14:paraId="15EE50F6">
      <w:pPr>
        <w:spacing w:line="243" w:lineRule="auto"/>
        <w:rPr>
          <w:rFonts w:ascii="Arial"/>
          <w:sz w:val="21"/>
        </w:rPr>
      </w:pPr>
    </w:p>
    <w:p w14:paraId="3F3417E4">
      <w:pPr>
        <w:spacing w:line="243" w:lineRule="auto"/>
        <w:rPr>
          <w:rFonts w:ascii="Arial"/>
          <w:sz w:val="21"/>
        </w:rPr>
      </w:pPr>
    </w:p>
    <w:p w14:paraId="12B3D86F">
      <w:pPr>
        <w:spacing w:before="1" w:line="690" w:lineRule="exact"/>
        <w:ind w:firstLine="4360"/>
      </w:pPr>
      <w:r>
        <w:rPr>
          <w:position w:val="-14"/>
        </w:rPr>
        <w:pict>
          <v:group id="_x0000_s1296" o:spid="_x0000_s1296" o:spt="203" style="height:35.05pt;width:51pt;" coordsize="1020,700">
            <o:lock v:ext="edit"/>
            <v:shape id="_x0000_s1297" o:spid="_x0000_s1297" o:spt="75" type="#_x0000_t75" style="position:absolute;left:0;top:0;height:700;width:1020;" filled="f" stroked="f" coordsize="21600,21600">
              <v:path/>
              <v:fill on="f" focussize="0,0"/>
              <v:stroke on="f"/>
              <v:imagedata r:id="rId708" o:title=""/>
              <o:lock v:ext="edit" aspectratio="t"/>
            </v:shape>
            <v:shape id="_x0000_s1298" o:spid="_x0000_s1298" o:spt="202" type="#_x0000_t202" style="position:absolute;left:-20;top:-20;height:740;width:1060;" filled="f" stroked="f" coordsize="21600,21600">
              <v:path/>
              <v:fill on="f" focussize="0,0"/>
              <v:stroke on="f"/>
              <v:imagedata o:title=""/>
              <o:lock v:ext="edit" aspectratio="f"/>
              <v:textbox inset="0mm,0mm,0mm,0mm">
                <w:txbxContent>
                  <w:p w14:paraId="356C999F">
                    <w:pPr>
                      <w:spacing w:before="256" w:line="188" w:lineRule="auto"/>
                      <w:ind w:left="339"/>
                      <w:rPr>
                        <w:rFonts w:ascii="Times New Roman" w:hAnsi="Times New Roman" w:eastAsia="Times New Roman" w:cs="Times New Roman"/>
                        <w:sz w:val="45"/>
                        <w:szCs w:val="45"/>
                      </w:rPr>
                    </w:pPr>
                    <w:r>
                      <w:rPr>
                        <w:rFonts w:ascii="Times New Roman" w:hAnsi="Times New Roman" w:eastAsia="Times New Roman" w:cs="Times New Roman"/>
                        <w:color w:val="FFFFFF"/>
                        <w:spacing w:val="-14"/>
                        <w:sz w:val="45"/>
                        <w:szCs w:val="45"/>
                      </w:rPr>
                      <w:t>10</w:t>
                    </w:r>
                  </w:p>
                </w:txbxContent>
              </v:textbox>
            </v:shape>
            <w10:wrap type="none"/>
            <w10:anchorlock/>
          </v:group>
        </w:pict>
      </w:r>
    </w:p>
    <w:p w14:paraId="254B2E46">
      <w:pPr>
        <w:spacing w:line="690" w:lineRule="exact"/>
        <w:sectPr>
          <w:type w:val="continuous"/>
          <w:pgSz w:w="11900" w:h="16820"/>
          <w:pgMar w:top="400" w:right="160" w:bottom="249" w:left="1370" w:header="0" w:footer="0" w:gutter="0"/>
          <w:cols w:equalWidth="0" w:num="2">
            <w:col w:w="4890" w:space="100"/>
            <w:col w:w="5380"/>
          </w:cols>
        </w:sectPr>
      </w:pPr>
    </w:p>
    <w:p w14:paraId="3ABDF5D3">
      <w:pPr>
        <w:rPr>
          <w:rFonts w:ascii="Arial"/>
          <w:sz w:val="21"/>
        </w:rPr>
      </w:pPr>
    </w:p>
    <w:p w14:paraId="384B7163">
      <w:pPr>
        <w:rPr>
          <w:rFonts w:ascii="Arial" w:hAnsi="Arial" w:eastAsia="Arial" w:cs="Arial"/>
          <w:sz w:val="21"/>
          <w:szCs w:val="21"/>
        </w:rPr>
        <w:sectPr>
          <w:pgSz w:w="11900" w:h="16820"/>
          <w:pgMar w:top="0" w:right="0" w:bottom="0" w:left="0" w:header="0" w:footer="0" w:gutter="0"/>
          <w:cols w:space="720" w:num="1"/>
        </w:sectPr>
      </w:pPr>
    </w:p>
    <w:p w14:paraId="2907AC64">
      <w:pPr>
        <w:spacing w:line="473" w:lineRule="auto"/>
        <w:rPr>
          <w:rFonts w:ascii="Arial"/>
          <w:sz w:val="21"/>
        </w:rPr>
      </w:pPr>
      <w:r>
        <w:drawing>
          <wp:anchor distT="0" distB="0" distL="0" distR="0" simplePos="0" relativeHeight="251999232" behindDoc="0" locked="0" layoutInCell="1" allowOverlap="1">
            <wp:simplePos x="0" y="0"/>
            <wp:positionH relativeFrom="column">
              <wp:posOffset>94615</wp:posOffset>
            </wp:positionH>
            <wp:positionV relativeFrom="paragraph">
              <wp:posOffset>221615</wp:posOffset>
            </wp:positionV>
            <wp:extent cx="666750" cy="673100"/>
            <wp:effectExtent l="0" t="0" r="0" b="0"/>
            <wp:wrapNone/>
            <wp:docPr id="840" name="IM 840"/>
            <wp:cNvGraphicFramePr/>
            <a:graphic xmlns:a="http://schemas.openxmlformats.org/drawingml/2006/main">
              <a:graphicData uri="http://schemas.openxmlformats.org/drawingml/2006/picture">
                <pic:pic xmlns:pic="http://schemas.openxmlformats.org/drawingml/2006/picture">
                  <pic:nvPicPr>
                    <pic:cNvPr id="840" name="IM 840"/>
                    <pic:cNvPicPr/>
                  </pic:nvPicPr>
                  <pic:blipFill>
                    <a:blip r:embed="rId709"/>
                    <a:stretch>
                      <a:fillRect/>
                    </a:stretch>
                  </pic:blipFill>
                  <pic:spPr>
                    <a:xfrm>
                      <a:off x="0" y="0"/>
                      <a:ext cx="666785" cy="673097"/>
                    </a:xfrm>
                    <a:prstGeom prst="rect">
                      <a:avLst/>
                    </a:prstGeom>
                  </pic:spPr>
                </pic:pic>
              </a:graphicData>
            </a:graphic>
          </wp:anchor>
        </w:drawing>
      </w:r>
    </w:p>
    <w:p w14:paraId="103FCB49">
      <w:pPr>
        <w:pStyle w:val="2"/>
        <w:spacing w:before="81" w:line="282" w:lineRule="auto"/>
        <w:ind w:left="1479" w:right="3531" w:hanging="29"/>
        <w:rPr>
          <w:sz w:val="25"/>
          <w:szCs w:val="25"/>
        </w:rPr>
      </w:pPr>
      <w:r>
        <w:rPr>
          <w:spacing w:val="-2"/>
          <w:sz w:val="25"/>
          <w:szCs w:val="25"/>
        </w:rPr>
        <w:t>国家卫生健康委员会“十四五”规划教材</w:t>
      </w:r>
      <w:r>
        <w:rPr>
          <w:spacing w:val="10"/>
          <w:sz w:val="25"/>
          <w:szCs w:val="25"/>
        </w:rPr>
        <w:t xml:space="preserve"> </w:t>
      </w:r>
      <w:r>
        <w:rPr>
          <w:spacing w:val="-5"/>
          <w:sz w:val="25"/>
          <w:szCs w:val="25"/>
        </w:rPr>
        <w:t>全国高等学校教材</w:t>
      </w:r>
    </w:p>
    <w:p w14:paraId="2ECE4E70">
      <w:pPr>
        <w:spacing w:line="266" w:lineRule="auto"/>
        <w:rPr>
          <w:rFonts w:ascii="Arial"/>
          <w:sz w:val="21"/>
        </w:rPr>
      </w:pPr>
    </w:p>
    <w:p w14:paraId="26F6C969">
      <w:pPr>
        <w:spacing w:line="266" w:lineRule="auto"/>
        <w:rPr>
          <w:rFonts w:ascii="Arial"/>
          <w:sz w:val="21"/>
        </w:rPr>
      </w:pPr>
    </w:p>
    <w:p w14:paraId="77DD1B88">
      <w:pPr>
        <w:spacing w:line="266" w:lineRule="auto"/>
        <w:rPr>
          <w:rFonts w:ascii="Arial"/>
          <w:sz w:val="21"/>
        </w:rPr>
      </w:pPr>
    </w:p>
    <w:p w14:paraId="4B756580">
      <w:pPr>
        <w:spacing w:line="266" w:lineRule="auto"/>
        <w:rPr>
          <w:rFonts w:ascii="Arial"/>
          <w:sz w:val="21"/>
        </w:rPr>
      </w:pPr>
    </w:p>
    <w:p w14:paraId="053911EA">
      <w:pPr>
        <w:spacing w:line="267" w:lineRule="auto"/>
        <w:rPr>
          <w:rFonts w:ascii="Arial"/>
          <w:sz w:val="21"/>
        </w:rPr>
      </w:pPr>
    </w:p>
    <w:p w14:paraId="75517C88">
      <w:pPr>
        <w:pStyle w:val="2"/>
        <w:spacing w:before="94" w:line="221" w:lineRule="auto"/>
        <w:ind w:left="294"/>
        <w:rPr>
          <w:sz w:val="29"/>
          <w:szCs w:val="29"/>
        </w:rPr>
      </w:pPr>
      <w:r>
        <w:rPr>
          <w:b/>
          <w:bCs/>
          <w:spacing w:val="36"/>
          <w:sz w:val="29"/>
          <w:szCs w:val="29"/>
        </w:rPr>
        <w:t>供预防医学类专业用</w:t>
      </w:r>
    </w:p>
    <w:p w14:paraId="2C85F22F">
      <w:pPr>
        <w:spacing w:before="50"/>
      </w:pPr>
    </w:p>
    <w:p w14:paraId="127995FD">
      <w:pPr>
        <w:spacing w:before="50"/>
      </w:pPr>
    </w:p>
    <w:p w14:paraId="600EB662">
      <w:pPr>
        <w:sectPr>
          <w:pgSz w:w="11900" w:h="16820"/>
          <w:pgMar w:top="400" w:right="1062" w:bottom="400" w:left="1380" w:header="0" w:footer="0" w:gutter="0"/>
          <w:cols w:equalWidth="0" w:num="1">
            <w:col w:w="9458"/>
          </w:cols>
        </w:sectPr>
      </w:pPr>
    </w:p>
    <w:p w14:paraId="0D3CD27E">
      <w:pPr>
        <w:pStyle w:val="2"/>
        <w:spacing w:before="60" w:line="221" w:lineRule="auto"/>
        <w:ind w:left="29"/>
        <w:rPr>
          <w:sz w:val="20"/>
          <w:szCs w:val="20"/>
        </w:rPr>
      </w:pPr>
      <w:r>
        <w:rPr>
          <w:rFonts w:ascii="宋体" w:hAnsi="宋体" w:eastAsia="宋体" w:cs="宋体"/>
          <w:spacing w:val="4"/>
          <w:sz w:val="20"/>
          <w:szCs w:val="20"/>
        </w:rPr>
        <w:t xml:space="preserve">1 </w:t>
      </w:r>
      <w:r>
        <w:rPr>
          <w:spacing w:val="4"/>
          <w:sz w:val="20"/>
          <w:szCs w:val="20"/>
        </w:rPr>
        <w:t>公共卫生与预防医学导论(第2版)</w:t>
      </w:r>
    </w:p>
    <w:p w14:paraId="57E78257">
      <w:pPr>
        <w:pStyle w:val="2"/>
        <w:spacing w:before="301" w:line="221" w:lineRule="auto"/>
        <w:ind w:left="29"/>
        <w:rPr>
          <w:sz w:val="20"/>
          <w:szCs w:val="20"/>
        </w:rPr>
      </w:pPr>
      <w:r>
        <w:rPr>
          <w:spacing w:val="17"/>
          <w:sz w:val="20"/>
          <w:szCs w:val="20"/>
        </w:rPr>
        <w:t>2卫生统计学(第9版)</w:t>
      </w:r>
    </w:p>
    <w:p w14:paraId="3E80B4CC">
      <w:pPr>
        <w:pStyle w:val="2"/>
        <w:spacing w:before="120" w:line="221" w:lineRule="auto"/>
        <w:ind w:left="290"/>
        <w:rPr>
          <w:sz w:val="20"/>
          <w:szCs w:val="20"/>
        </w:rPr>
      </w:pPr>
      <w:r>
        <w:rPr>
          <w:spacing w:val="4"/>
          <w:sz w:val="20"/>
          <w:szCs w:val="20"/>
        </w:rPr>
        <w:t>卫生统计学学习指导与习题集(第4版)</w:t>
      </w:r>
    </w:p>
    <w:p w14:paraId="6AC72BFC">
      <w:pPr>
        <w:spacing w:line="303" w:lineRule="auto"/>
        <w:rPr>
          <w:rFonts w:ascii="Arial"/>
          <w:sz w:val="21"/>
        </w:rPr>
      </w:pPr>
    </w:p>
    <w:p w14:paraId="0FC59987">
      <w:pPr>
        <w:pStyle w:val="2"/>
        <w:spacing w:before="66" w:line="221" w:lineRule="auto"/>
        <w:rPr>
          <w:sz w:val="20"/>
          <w:szCs w:val="20"/>
        </w:rPr>
      </w:pPr>
      <w:r>
        <w:rPr>
          <w:spacing w:val="25"/>
          <w:sz w:val="20"/>
          <w:szCs w:val="20"/>
        </w:rPr>
        <w:t>3流行病学(第9版)</w:t>
      </w:r>
    </w:p>
    <w:p w14:paraId="588F6438">
      <w:pPr>
        <w:pStyle w:val="2"/>
        <w:spacing w:before="70" w:line="221" w:lineRule="auto"/>
        <w:ind w:left="290"/>
        <w:rPr>
          <w:sz w:val="20"/>
          <w:szCs w:val="20"/>
        </w:rPr>
      </w:pPr>
      <w:r>
        <w:rPr>
          <w:spacing w:val="3"/>
          <w:sz w:val="20"/>
          <w:szCs w:val="20"/>
        </w:rPr>
        <w:t>流行病学学习指导与习题集(第4版)</w:t>
      </w:r>
    </w:p>
    <w:p w14:paraId="70A39B12">
      <w:pPr>
        <w:pStyle w:val="2"/>
        <w:spacing w:before="111" w:line="221" w:lineRule="auto"/>
        <w:ind w:left="290"/>
        <w:rPr>
          <w:sz w:val="20"/>
          <w:szCs w:val="20"/>
        </w:rPr>
      </w:pPr>
      <w:r>
        <w:rPr>
          <w:spacing w:val="2"/>
          <w:sz w:val="20"/>
          <w:szCs w:val="20"/>
        </w:rPr>
        <w:t>流行病学实习教程(第3版)</w:t>
      </w:r>
    </w:p>
    <w:p w14:paraId="78EEF4FC">
      <w:pPr>
        <w:spacing w:line="244" w:lineRule="auto"/>
        <w:rPr>
          <w:rFonts w:ascii="Arial"/>
          <w:sz w:val="21"/>
        </w:rPr>
      </w:pPr>
    </w:p>
    <w:p w14:paraId="5263DECF">
      <w:pPr>
        <w:pStyle w:val="2"/>
        <w:spacing w:before="65" w:line="221" w:lineRule="auto"/>
        <w:ind w:left="29"/>
        <w:rPr>
          <w:sz w:val="20"/>
          <w:szCs w:val="20"/>
        </w:rPr>
      </w:pPr>
      <w:r>
        <w:rPr>
          <w:rFonts w:ascii="宋体" w:hAnsi="宋体" w:eastAsia="宋体" w:cs="宋体"/>
          <w:spacing w:val="5"/>
          <w:sz w:val="20"/>
          <w:szCs w:val="20"/>
        </w:rPr>
        <w:t xml:space="preserve">4 </w:t>
      </w:r>
      <w:r>
        <w:rPr>
          <w:spacing w:val="5"/>
          <w:sz w:val="20"/>
          <w:szCs w:val="20"/>
        </w:rPr>
        <w:t>卫生化学(第9版)</w:t>
      </w:r>
    </w:p>
    <w:p w14:paraId="5D24535E">
      <w:pPr>
        <w:pStyle w:val="2"/>
        <w:spacing w:before="121" w:line="221" w:lineRule="auto"/>
        <w:ind w:left="290"/>
        <w:rPr>
          <w:sz w:val="20"/>
          <w:szCs w:val="20"/>
        </w:rPr>
      </w:pPr>
      <w:r>
        <w:rPr>
          <w:spacing w:val="3"/>
          <w:sz w:val="20"/>
          <w:szCs w:val="20"/>
        </w:rPr>
        <w:t>卫生化学学习指导与习题集(第4版)</w:t>
      </w:r>
    </w:p>
    <w:p w14:paraId="660F59CA">
      <w:pPr>
        <w:pStyle w:val="2"/>
        <w:spacing w:before="120" w:line="221" w:lineRule="auto"/>
        <w:ind w:left="290"/>
        <w:rPr>
          <w:sz w:val="20"/>
          <w:szCs w:val="20"/>
        </w:rPr>
      </w:pPr>
      <w:r>
        <w:rPr>
          <w:spacing w:val="-1"/>
          <w:sz w:val="20"/>
          <w:szCs w:val="20"/>
        </w:rPr>
        <w:t>卫生化学实验(第3版)</w:t>
      </w:r>
    </w:p>
    <w:p w14:paraId="57C0ED49">
      <w:pPr>
        <w:spacing w:line="244" w:lineRule="auto"/>
        <w:rPr>
          <w:rFonts w:ascii="Arial"/>
          <w:sz w:val="21"/>
        </w:rPr>
      </w:pPr>
    </w:p>
    <w:p w14:paraId="6E646ED0">
      <w:pPr>
        <w:pStyle w:val="2"/>
        <w:spacing w:before="65" w:line="221" w:lineRule="auto"/>
        <w:ind w:left="29"/>
        <w:rPr>
          <w:sz w:val="20"/>
          <w:szCs w:val="20"/>
        </w:rPr>
      </w:pPr>
      <w:r>
        <w:rPr>
          <w:rFonts w:ascii="宋体" w:hAnsi="宋体" w:eastAsia="宋体" w:cs="宋体"/>
          <w:spacing w:val="2"/>
          <w:sz w:val="20"/>
          <w:szCs w:val="20"/>
        </w:rPr>
        <w:t>5</w:t>
      </w:r>
      <w:r>
        <w:rPr>
          <w:rFonts w:ascii="宋体" w:hAnsi="宋体" w:eastAsia="宋体" w:cs="宋体"/>
          <w:spacing w:val="46"/>
          <w:sz w:val="20"/>
          <w:szCs w:val="20"/>
        </w:rPr>
        <w:t xml:space="preserve"> </w:t>
      </w:r>
      <w:r>
        <w:rPr>
          <w:spacing w:val="2"/>
          <w:sz w:val="20"/>
          <w:szCs w:val="20"/>
        </w:rPr>
        <w:t>职业卫生与职业医学(第9版)</w:t>
      </w:r>
    </w:p>
    <w:p w14:paraId="495A8EE0">
      <w:pPr>
        <w:pStyle w:val="2"/>
        <w:spacing w:before="121" w:line="221" w:lineRule="auto"/>
        <w:ind w:left="290"/>
        <w:rPr>
          <w:sz w:val="20"/>
          <w:szCs w:val="20"/>
        </w:rPr>
      </w:pPr>
      <w:r>
        <w:rPr>
          <w:spacing w:val="4"/>
          <w:sz w:val="20"/>
          <w:szCs w:val="20"/>
        </w:rPr>
        <w:t>职业卫生与职业医学实习指导(第2版)</w:t>
      </w:r>
    </w:p>
    <w:p w14:paraId="31D14737">
      <w:pPr>
        <w:pStyle w:val="2"/>
        <w:spacing w:before="291" w:line="221" w:lineRule="auto"/>
        <w:ind w:left="29"/>
        <w:rPr>
          <w:sz w:val="20"/>
          <w:szCs w:val="20"/>
        </w:rPr>
      </w:pPr>
      <w:r>
        <w:rPr>
          <w:rFonts w:ascii="宋体" w:hAnsi="宋体" w:eastAsia="宋体" w:cs="宋体"/>
          <w:spacing w:val="1"/>
          <w:sz w:val="20"/>
          <w:szCs w:val="20"/>
        </w:rPr>
        <w:t>6</w:t>
      </w:r>
      <w:r>
        <w:rPr>
          <w:rFonts w:ascii="宋体" w:hAnsi="宋体" w:eastAsia="宋体" w:cs="宋体"/>
          <w:spacing w:val="45"/>
          <w:sz w:val="20"/>
          <w:szCs w:val="20"/>
        </w:rPr>
        <w:t xml:space="preserve"> </w:t>
      </w:r>
      <w:r>
        <w:rPr>
          <w:spacing w:val="1"/>
          <w:sz w:val="20"/>
          <w:szCs w:val="20"/>
        </w:rPr>
        <w:t>环境卫生学(第9版)</w:t>
      </w:r>
    </w:p>
    <w:p w14:paraId="511CAE1F">
      <w:pPr>
        <w:pStyle w:val="2"/>
        <w:spacing w:before="130" w:line="315" w:lineRule="auto"/>
        <w:ind w:left="290" w:right="1582"/>
        <w:rPr>
          <w:sz w:val="20"/>
          <w:szCs w:val="20"/>
        </w:rPr>
      </w:pPr>
      <w:r>
        <w:rPr>
          <w:spacing w:val="4"/>
          <w:sz w:val="20"/>
          <w:szCs w:val="20"/>
        </w:rPr>
        <w:t xml:space="preserve">环境卫生学学习指导与习题集(第3版) </w:t>
      </w:r>
      <w:r>
        <w:rPr>
          <w:spacing w:val="2"/>
          <w:sz w:val="20"/>
          <w:szCs w:val="20"/>
        </w:rPr>
        <w:t>环境卫生学实习指导(第3版)</w:t>
      </w:r>
    </w:p>
    <w:p w14:paraId="2EA7663B">
      <w:pPr>
        <w:pStyle w:val="2"/>
        <w:spacing w:before="218" w:line="221" w:lineRule="auto"/>
        <w:ind w:left="29"/>
        <w:rPr>
          <w:sz w:val="20"/>
          <w:szCs w:val="20"/>
        </w:rPr>
      </w:pPr>
      <w:r>
        <w:rPr>
          <w:rFonts w:ascii="宋体" w:hAnsi="宋体" w:eastAsia="宋体" w:cs="宋体"/>
          <w:spacing w:val="4"/>
          <w:sz w:val="20"/>
          <w:szCs w:val="20"/>
        </w:rPr>
        <w:t xml:space="preserve">7 </w:t>
      </w:r>
      <w:r>
        <w:rPr>
          <w:spacing w:val="4"/>
          <w:sz w:val="20"/>
          <w:szCs w:val="20"/>
        </w:rPr>
        <w:t>营养与食品卫生学(第9版)</w:t>
      </w:r>
    </w:p>
    <w:p w14:paraId="2A2A95E5">
      <w:pPr>
        <w:pStyle w:val="2"/>
        <w:spacing w:before="111" w:line="332" w:lineRule="auto"/>
        <w:ind w:left="290" w:right="952"/>
        <w:rPr>
          <w:sz w:val="20"/>
          <w:szCs w:val="20"/>
        </w:rPr>
      </w:pPr>
      <w:r>
        <w:rPr>
          <w:spacing w:val="5"/>
          <w:sz w:val="20"/>
          <w:szCs w:val="20"/>
        </w:rPr>
        <w:t>营养与食品卫生学学习指导与习题集(第4版)</w:t>
      </w:r>
      <w:r>
        <w:rPr>
          <w:spacing w:val="1"/>
          <w:sz w:val="20"/>
          <w:szCs w:val="20"/>
        </w:rPr>
        <w:t xml:space="preserve"> </w:t>
      </w:r>
      <w:r>
        <w:rPr>
          <w:spacing w:val="3"/>
          <w:sz w:val="20"/>
          <w:szCs w:val="20"/>
        </w:rPr>
        <w:t>营养与食品卫生学实习指导(第6版)</w:t>
      </w:r>
    </w:p>
    <w:p w14:paraId="37EB3CA2">
      <w:pPr>
        <w:spacing w:line="14" w:lineRule="auto"/>
        <w:rPr>
          <w:rFonts w:ascii="Arial"/>
          <w:sz w:val="2"/>
        </w:rPr>
      </w:pPr>
      <w:r>
        <w:rPr>
          <w:rFonts w:ascii="Arial" w:hAnsi="Arial" w:eastAsia="Arial" w:cs="Arial"/>
          <w:sz w:val="2"/>
          <w:szCs w:val="2"/>
        </w:rPr>
        <w:br w:type="column"/>
      </w:r>
    </w:p>
    <w:p w14:paraId="3BA0460D">
      <w:pPr>
        <w:pStyle w:val="2"/>
        <w:spacing w:before="39" w:line="221" w:lineRule="auto"/>
        <w:ind w:left="109"/>
        <w:rPr>
          <w:sz w:val="20"/>
          <w:szCs w:val="20"/>
        </w:rPr>
      </w:pPr>
      <w:r>
        <w:rPr>
          <w:spacing w:val="18"/>
          <w:sz w:val="20"/>
          <w:szCs w:val="20"/>
        </w:rPr>
        <w:t>8儿童少年卫生学(第9版)</w:t>
      </w:r>
    </w:p>
    <w:p w14:paraId="3BB31F44">
      <w:pPr>
        <w:pStyle w:val="2"/>
        <w:spacing w:before="140" w:line="221" w:lineRule="auto"/>
        <w:jc w:val="right"/>
        <w:rPr>
          <w:sz w:val="20"/>
          <w:szCs w:val="20"/>
        </w:rPr>
      </w:pPr>
      <w:r>
        <w:rPr>
          <w:spacing w:val="3"/>
          <w:sz w:val="20"/>
          <w:szCs w:val="20"/>
        </w:rPr>
        <w:t>儿童少年卫生学学习指导与习题集(第4版)</w:t>
      </w:r>
    </w:p>
    <w:p w14:paraId="3321DABC">
      <w:pPr>
        <w:pStyle w:val="2"/>
        <w:spacing w:before="291" w:line="221" w:lineRule="auto"/>
        <w:ind w:left="99"/>
        <w:rPr>
          <w:sz w:val="20"/>
          <w:szCs w:val="20"/>
        </w:rPr>
      </w:pPr>
      <w:r>
        <w:rPr>
          <w:rFonts w:ascii="宋体" w:hAnsi="宋体" w:eastAsia="宋体" w:cs="宋体"/>
          <w:spacing w:val="6"/>
          <w:sz w:val="20"/>
          <w:szCs w:val="20"/>
        </w:rPr>
        <w:t>9</w:t>
      </w:r>
      <w:r>
        <w:rPr>
          <w:rFonts w:ascii="宋体" w:hAnsi="宋体" w:eastAsia="宋体" w:cs="宋体"/>
          <w:spacing w:val="40"/>
          <w:sz w:val="20"/>
          <w:szCs w:val="20"/>
        </w:rPr>
        <w:t xml:space="preserve"> </w:t>
      </w:r>
      <w:r>
        <w:rPr>
          <w:spacing w:val="6"/>
          <w:sz w:val="20"/>
          <w:szCs w:val="20"/>
        </w:rPr>
        <w:t>毒理学基础(第8版)</w:t>
      </w:r>
    </w:p>
    <w:p w14:paraId="61B280AC">
      <w:pPr>
        <w:pStyle w:val="2"/>
        <w:spacing w:before="130" w:line="221" w:lineRule="auto"/>
        <w:ind w:left="339"/>
        <w:rPr>
          <w:sz w:val="20"/>
          <w:szCs w:val="20"/>
        </w:rPr>
      </w:pPr>
      <w:r>
        <w:rPr>
          <w:spacing w:val="6"/>
          <w:sz w:val="20"/>
          <w:szCs w:val="20"/>
        </w:rPr>
        <w:t>毒理学实验方法与技术(第5版)</w:t>
      </w:r>
    </w:p>
    <w:p w14:paraId="3198243F">
      <w:pPr>
        <w:spacing w:line="244" w:lineRule="auto"/>
        <w:rPr>
          <w:rFonts w:ascii="Arial"/>
          <w:sz w:val="21"/>
        </w:rPr>
      </w:pPr>
    </w:p>
    <w:p w14:paraId="372B26F5">
      <w:pPr>
        <w:pStyle w:val="2"/>
        <w:spacing w:before="65" w:line="221" w:lineRule="auto"/>
        <w:rPr>
          <w:sz w:val="20"/>
          <w:szCs w:val="20"/>
        </w:rPr>
      </w:pPr>
      <w:r>
        <w:rPr>
          <w:spacing w:val="15"/>
          <w:sz w:val="20"/>
          <w:szCs w:val="20"/>
        </w:rPr>
        <w:t>10卫生微生物学(第7版)</w:t>
      </w:r>
    </w:p>
    <w:p w14:paraId="35BFCFB3">
      <w:pPr>
        <w:pStyle w:val="2"/>
        <w:spacing w:before="131" w:line="221" w:lineRule="auto"/>
        <w:ind w:left="339"/>
        <w:rPr>
          <w:sz w:val="20"/>
          <w:szCs w:val="20"/>
        </w:rPr>
      </w:pPr>
      <w:r>
        <w:rPr>
          <w:spacing w:val="5"/>
          <w:sz w:val="20"/>
          <w:szCs w:val="20"/>
        </w:rPr>
        <w:t>卫生微生物学实习指导与习题集(第5版)</w:t>
      </w:r>
    </w:p>
    <w:p w14:paraId="278AC63D">
      <w:pPr>
        <w:pStyle w:val="2"/>
        <w:spacing w:before="301" w:line="221" w:lineRule="auto"/>
        <w:rPr>
          <w:sz w:val="20"/>
          <w:szCs w:val="20"/>
        </w:rPr>
      </w:pPr>
      <w:r>
        <w:rPr>
          <w:rFonts w:ascii="宋体" w:hAnsi="宋体" w:eastAsia="宋体" w:cs="宋体"/>
          <w:spacing w:val="3"/>
          <w:sz w:val="20"/>
          <w:szCs w:val="20"/>
        </w:rPr>
        <w:t>11</w:t>
      </w:r>
      <w:r>
        <w:rPr>
          <w:rFonts w:ascii="宋体" w:hAnsi="宋体" w:eastAsia="宋体" w:cs="宋体"/>
          <w:spacing w:val="43"/>
          <w:sz w:val="20"/>
          <w:szCs w:val="20"/>
        </w:rPr>
        <w:t xml:space="preserve"> </w:t>
      </w:r>
      <w:r>
        <w:rPr>
          <w:spacing w:val="3"/>
          <w:sz w:val="20"/>
          <w:szCs w:val="20"/>
        </w:rPr>
        <w:t>社会医学(第6版)</w:t>
      </w:r>
    </w:p>
    <w:p w14:paraId="25EC5D03">
      <w:pPr>
        <w:spacing w:line="244" w:lineRule="auto"/>
        <w:rPr>
          <w:rFonts w:ascii="Arial"/>
          <w:sz w:val="21"/>
        </w:rPr>
      </w:pPr>
    </w:p>
    <w:p w14:paraId="45426580">
      <w:pPr>
        <w:pStyle w:val="2"/>
        <w:spacing w:before="65" w:line="221" w:lineRule="auto"/>
        <w:rPr>
          <w:sz w:val="20"/>
          <w:szCs w:val="20"/>
        </w:rPr>
      </w:pPr>
      <w:r>
        <w:rPr>
          <w:spacing w:val="14"/>
          <w:sz w:val="20"/>
          <w:szCs w:val="20"/>
        </w:rPr>
        <w:t>12卫生事业管理学(第5版)</w:t>
      </w:r>
    </w:p>
    <w:p w14:paraId="7DFF95FD">
      <w:pPr>
        <w:spacing w:line="244" w:lineRule="auto"/>
        <w:rPr>
          <w:rFonts w:ascii="Arial"/>
          <w:sz w:val="21"/>
        </w:rPr>
      </w:pPr>
    </w:p>
    <w:p w14:paraId="39C0CBC8">
      <w:pPr>
        <w:pStyle w:val="2"/>
        <w:spacing w:before="65" w:line="221" w:lineRule="auto"/>
        <w:rPr>
          <w:sz w:val="20"/>
          <w:szCs w:val="20"/>
        </w:rPr>
      </w:pPr>
      <w:r>
        <w:rPr>
          <w:spacing w:val="14"/>
          <w:sz w:val="20"/>
          <w:szCs w:val="20"/>
        </w:rPr>
        <w:t>13卫生经济学(第5版)</w:t>
      </w:r>
    </w:p>
    <w:p w14:paraId="1B1EEA9C">
      <w:pPr>
        <w:spacing w:line="244" w:lineRule="auto"/>
        <w:rPr>
          <w:rFonts w:ascii="Arial"/>
          <w:sz w:val="21"/>
        </w:rPr>
      </w:pPr>
    </w:p>
    <w:p w14:paraId="10A238DC">
      <w:pPr>
        <w:pStyle w:val="2"/>
        <w:spacing w:before="65" w:line="221" w:lineRule="auto"/>
        <w:rPr>
          <w:sz w:val="20"/>
          <w:szCs w:val="20"/>
        </w:rPr>
      </w:pPr>
      <w:r>
        <w:rPr>
          <w:spacing w:val="13"/>
          <w:sz w:val="20"/>
          <w:szCs w:val="20"/>
        </w:rPr>
        <w:t>14卫生法律制度与监督学(第5版)</w:t>
      </w:r>
    </w:p>
    <w:p w14:paraId="5459E797">
      <w:pPr>
        <w:pStyle w:val="2"/>
        <w:spacing w:before="300" w:line="221" w:lineRule="auto"/>
        <w:rPr>
          <w:sz w:val="20"/>
          <w:szCs w:val="20"/>
        </w:rPr>
      </w:pPr>
      <w:r>
        <w:rPr>
          <w:rFonts w:ascii="Times New Roman" w:hAnsi="Times New Roman" w:eastAsia="Times New Roman" w:cs="Times New Roman"/>
          <w:spacing w:val="3"/>
          <w:sz w:val="20"/>
          <w:szCs w:val="20"/>
        </w:rPr>
        <w:t>15</w:t>
      </w:r>
      <w:r>
        <w:rPr>
          <w:rFonts w:ascii="Times New Roman" w:hAnsi="Times New Roman" w:eastAsia="Times New Roman" w:cs="Times New Roman"/>
          <w:spacing w:val="20"/>
          <w:sz w:val="20"/>
          <w:szCs w:val="20"/>
        </w:rPr>
        <w:t xml:space="preserve">  </w:t>
      </w:r>
      <w:r>
        <w:rPr>
          <w:spacing w:val="3"/>
          <w:sz w:val="20"/>
          <w:szCs w:val="20"/>
        </w:rPr>
        <w:t>健康教育学(第4版)</w:t>
      </w:r>
    </w:p>
    <w:p w14:paraId="031647A5">
      <w:pPr>
        <w:pStyle w:val="2"/>
        <w:spacing w:before="131" w:line="221" w:lineRule="auto"/>
        <w:ind w:left="339"/>
        <w:rPr>
          <w:sz w:val="20"/>
          <w:szCs w:val="20"/>
        </w:rPr>
      </w:pPr>
      <w:r>
        <w:rPr>
          <w:spacing w:val="5"/>
          <w:sz w:val="20"/>
          <w:szCs w:val="20"/>
        </w:rPr>
        <w:t>健康教育学学习指导与习题集(第2版)</w:t>
      </w:r>
    </w:p>
    <w:p w14:paraId="765DA37A">
      <w:pPr>
        <w:spacing w:line="244" w:lineRule="auto"/>
        <w:rPr>
          <w:rFonts w:ascii="Arial"/>
          <w:sz w:val="21"/>
        </w:rPr>
      </w:pPr>
    </w:p>
    <w:p w14:paraId="12B00920">
      <w:pPr>
        <w:pStyle w:val="2"/>
        <w:spacing w:before="65" w:line="221" w:lineRule="auto"/>
        <w:rPr>
          <w:sz w:val="20"/>
          <w:szCs w:val="20"/>
        </w:rPr>
      </w:pPr>
      <w:r>
        <w:rPr>
          <w:spacing w:val="15"/>
          <w:sz w:val="20"/>
          <w:szCs w:val="20"/>
        </w:rPr>
        <w:t>16卫生信息管理学(第5版)</w:t>
      </w:r>
    </w:p>
    <w:p w14:paraId="021E0138">
      <w:pPr>
        <w:spacing w:line="244" w:lineRule="auto"/>
        <w:rPr>
          <w:rFonts w:ascii="Arial"/>
          <w:sz w:val="21"/>
        </w:rPr>
      </w:pPr>
    </w:p>
    <w:p w14:paraId="7C089DF7">
      <w:pPr>
        <w:pStyle w:val="2"/>
        <w:spacing w:before="65" w:line="221" w:lineRule="auto"/>
        <w:rPr>
          <w:sz w:val="20"/>
          <w:szCs w:val="20"/>
        </w:rPr>
      </w:pPr>
      <w:r>
        <w:rPr>
          <w:rFonts w:ascii="宋体" w:hAnsi="宋体" w:eastAsia="宋体" w:cs="宋体"/>
          <w:spacing w:val="2"/>
          <w:sz w:val="20"/>
          <w:szCs w:val="20"/>
        </w:rPr>
        <w:t>17</w:t>
      </w:r>
      <w:r>
        <w:rPr>
          <w:rFonts w:ascii="宋体" w:hAnsi="宋体" w:eastAsia="宋体" w:cs="宋体"/>
          <w:spacing w:val="52"/>
          <w:sz w:val="20"/>
          <w:szCs w:val="20"/>
        </w:rPr>
        <w:t xml:space="preserve"> </w:t>
      </w:r>
      <w:r>
        <w:rPr>
          <w:spacing w:val="2"/>
          <w:sz w:val="20"/>
          <w:szCs w:val="20"/>
        </w:rPr>
        <w:t>医疗保险学(第5版)</w:t>
      </w:r>
    </w:p>
    <w:p w14:paraId="6436E495">
      <w:pPr>
        <w:spacing w:line="221" w:lineRule="auto"/>
        <w:rPr>
          <w:sz w:val="20"/>
          <w:szCs w:val="20"/>
        </w:rPr>
        <w:sectPr>
          <w:type w:val="continuous"/>
          <w:pgSz w:w="11900" w:h="16820"/>
          <w:pgMar w:top="400" w:right="1062" w:bottom="400" w:left="1380" w:header="0" w:footer="0" w:gutter="0"/>
          <w:cols w:equalWidth="0" w:num="2">
            <w:col w:w="5251" w:space="100"/>
            <w:col w:w="4108"/>
          </w:cols>
        </w:sectPr>
      </w:pPr>
    </w:p>
    <w:p w14:paraId="588E96AD">
      <w:pPr>
        <w:spacing w:before="9"/>
      </w:pPr>
    </w:p>
    <w:p w14:paraId="079C0162">
      <w:pPr>
        <w:spacing w:before="9"/>
      </w:pPr>
    </w:p>
    <w:p w14:paraId="035F7ED5">
      <w:pPr>
        <w:spacing w:before="9"/>
      </w:pPr>
    </w:p>
    <w:p w14:paraId="29044CAA">
      <w:pPr>
        <w:spacing w:before="9"/>
      </w:pPr>
    </w:p>
    <w:p w14:paraId="36990E75">
      <w:pPr>
        <w:spacing w:before="9"/>
      </w:pPr>
    </w:p>
    <w:p w14:paraId="388F42AD">
      <w:pPr>
        <w:spacing w:before="9"/>
      </w:pPr>
    </w:p>
    <w:p w14:paraId="40475824">
      <w:pPr>
        <w:spacing w:before="9"/>
      </w:pPr>
    </w:p>
    <w:p w14:paraId="7B6A0C42">
      <w:pPr>
        <w:spacing w:before="9"/>
      </w:pPr>
    </w:p>
    <w:p w14:paraId="0916D38B">
      <w:pPr>
        <w:spacing w:before="9"/>
      </w:pPr>
    </w:p>
    <w:p w14:paraId="04D63B1F">
      <w:pPr>
        <w:spacing w:before="8"/>
      </w:pPr>
    </w:p>
    <w:p w14:paraId="330DD174">
      <w:pPr>
        <w:spacing w:before="8"/>
      </w:pPr>
    </w:p>
    <w:p w14:paraId="3B0C36B4">
      <w:pPr>
        <w:sectPr>
          <w:type w:val="continuous"/>
          <w:pgSz w:w="11900" w:h="16820"/>
          <w:pgMar w:top="400" w:right="1062" w:bottom="400" w:left="1380" w:header="0" w:footer="0" w:gutter="0"/>
          <w:cols w:equalWidth="0" w:num="1">
            <w:col w:w="9458"/>
          </w:cols>
        </w:sectPr>
      </w:pPr>
    </w:p>
    <w:p w14:paraId="5922FC22">
      <w:pPr>
        <w:spacing w:before="40" w:line="1940" w:lineRule="exact"/>
        <w:ind w:firstLine="290"/>
      </w:pPr>
      <w:r>
        <w:rPr>
          <w:position w:val="-38"/>
        </w:rPr>
        <w:drawing>
          <wp:inline distT="0" distB="0" distL="0" distR="0">
            <wp:extent cx="951865" cy="1231900"/>
            <wp:effectExtent l="0" t="0" r="0" b="0"/>
            <wp:docPr id="842" name="IM 842"/>
            <wp:cNvGraphicFramePr/>
            <a:graphic xmlns:a="http://schemas.openxmlformats.org/drawingml/2006/main">
              <a:graphicData uri="http://schemas.openxmlformats.org/drawingml/2006/picture">
                <pic:pic xmlns:pic="http://schemas.openxmlformats.org/drawingml/2006/picture">
                  <pic:nvPicPr>
                    <pic:cNvPr id="842" name="IM 842"/>
                    <pic:cNvPicPr/>
                  </pic:nvPicPr>
                  <pic:blipFill>
                    <a:blip r:embed="rId710"/>
                    <a:stretch>
                      <a:fillRect/>
                    </a:stretch>
                  </pic:blipFill>
                  <pic:spPr>
                    <a:xfrm>
                      <a:off x="0" y="0"/>
                      <a:ext cx="952496" cy="1231912"/>
                    </a:xfrm>
                    <a:prstGeom prst="rect">
                      <a:avLst/>
                    </a:prstGeom>
                  </pic:spPr>
                </pic:pic>
              </a:graphicData>
            </a:graphic>
          </wp:inline>
        </w:drawing>
      </w:r>
    </w:p>
    <w:p w14:paraId="6ED6D287">
      <w:pPr>
        <w:spacing w:line="14" w:lineRule="auto"/>
        <w:rPr>
          <w:rFonts w:ascii="Arial"/>
          <w:sz w:val="2"/>
        </w:rPr>
      </w:pPr>
      <w:r>
        <w:rPr>
          <w:rFonts w:ascii="Arial" w:hAnsi="Arial" w:eastAsia="Arial" w:cs="Arial"/>
          <w:sz w:val="2"/>
          <w:szCs w:val="2"/>
        </w:rPr>
        <w:br w:type="column"/>
      </w:r>
    </w:p>
    <w:p w14:paraId="13375F1E">
      <w:pPr>
        <w:spacing w:line="246" w:lineRule="auto"/>
        <w:rPr>
          <w:rFonts w:ascii="Arial"/>
          <w:sz w:val="21"/>
        </w:rPr>
      </w:pPr>
    </w:p>
    <w:p w14:paraId="3C45D2F9">
      <w:pPr>
        <w:pStyle w:val="2"/>
        <w:spacing w:before="46" w:line="221" w:lineRule="auto"/>
        <w:rPr>
          <w:sz w:val="14"/>
          <w:szCs w:val="14"/>
        </w:rPr>
      </w:pPr>
      <w:r>
        <w:rPr>
          <w:spacing w:val="-1"/>
          <w:sz w:val="14"/>
          <w:szCs w:val="14"/>
        </w:rPr>
        <w:t>作划编轩</w:t>
      </w:r>
    </w:p>
    <w:p w14:paraId="3A651B43">
      <w:pPr>
        <w:spacing w:before="19" w:line="241" w:lineRule="auto"/>
        <w:ind w:left="189"/>
        <w:rPr>
          <w:rFonts w:ascii="宋体" w:hAnsi="宋体" w:eastAsia="宋体" w:cs="宋体"/>
          <w:sz w:val="29"/>
          <w:szCs w:val="29"/>
        </w:rPr>
      </w:pPr>
      <w:r>
        <w:rPr>
          <w:rFonts w:ascii="宋体" w:hAnsi="宋体" w:eastAsia="宋体" w:cs="宋体"/>
          <w:spacing w:val="-16"/>
          <w:sz w:val="29"/>
          <w:szCs w:val="29"/>
        </w:rPr>
        <w:t>+4</w:t>
      </w:r>
    </w:p>
    <w:p w14:paraId="5E0309AC">
      <w:pPr>
        <w:spacing w:line="257" w:lineRule="auto"/>
        <w:rPr>
          <w:rFonts w:ascii="Arial"/>
          <w:sz w:val="21"/>
        </w:rPr>
      </w:pPr>
    </w:p>
    <w:p w14:paraId="326A5B39">
      <w:pPr>
        <w:spacing w:line="257" w:lineRule="auto"/>
        <w:rPr>
          <w:rFonts w:ascii="Arial"/>
          <w:sz w:val="21"/>
        </w:rPr>
      </w:pPr>
    </w:p>
    <w:p w14:paraId="5C8C4ABC">
      <w:pPr>
        <w:spacing w:line="257" w:lineRule="auto"/>
        <w:rPr>
          <w:rFonts w:ascii="Arial"/>
          <w:sz w:val="21"/>
        </w:rPr>
      </w:pPr>
    </w:p>
    <w:p w14:paraId="1FFB9C2C">
      <w:pPr>
        <w:pStyle w:val="2"/>
        <w:spacing w:before="30" w:line="226" w:lineRule="auto"/>
        <w:ind w:left="290"/>
        <w:rPr>
          <w:sz w:val="9"/>
          <w:szCs w:val="9"/>
        </w:rPr>
      </w:pPr>
      <w:r>
        <w:rPr>
          <w:sz w:val="9"/>
          <w:szCs w:val="9"/>
        </w:rPr>
        <w:t>自</w:t>
      </w:r>
    </w:p>
    <w:p w14:paraId="5CBDEF5B">
      <w:pPr>
        <w:pStyle w:val="2"/>
        <w:spacing w:before="69" w:line="197" w:lineRule="auto"/>
        <w:ind w:left="389"/>
        <w:rPr>
          <w:rFonts w:ascii="宋体" w:hAnsi="宋体" w:eastAsia="宋体" w:cs="宋体"/>
          <w:sz w:val="14"/>
          <w:szCs w:val="14"/>
        </w:rPr>
      </w:pPr>
      <w:r>
        <w:rPr>
          <w:spacing w:val="-5"/>
          <w:sz w:val="14"/>
          <w:szCs w:val="14"/>
        </w:rPr>
        <w:t>有 万 资 孔 友 布</w:t>
      </w:r>
      <w:r>
        <w:rPr>
          <w:spacing w:val="31"/>
          <w:w w:val="101"/>
          <w:sz w:val="14"/>
          <w:szCs w:val="14"/>
        </w:rPr>
        <w:t xml:space="preserve"> </w:t>
      </w:r>
      <w:r>
        <w:rPr>
          <w:rFonts w:ascii="宋体" w:hAnsi="宋体" w:eastAsia="宋体" w:cs="宋体"/>
          <w:spacing w:val="-5"/>
          <w:sz w:val="14"/>
          <w:szCs w:val="14"/>
        </w:rPr>
        <w:t>k#</w:t>
      </w:r>
    </w:p>
    <w:p w14:paraId="286D7A4B">
      <w:pPr>
        <w:spacing w:line="14" w:lineRule="auto"/>
        <w:rPr>
          <w:rFonts w:ascii="Arial"/>
          <w:sz w:val="2"/>
        </w:rPr>
      </w:pPr>
      <w:r>
        <w:rPr>
          <w:rFonts w:ascii="Arial" w:hAnsi="Arial" w:eastAsia="Arial" w:cs="Arial"/>
          <w:sz w:val="2"/>
          <w:szCs w:val="2"/>
        </w:rPr>
        <w:br w:type="column"/>
      </w:r>
    </w:p>
    <w:p w14:paraId="47EA5424">
      <w:pPr>
        <w:spacing w:before="239" w:line="1340" w:lineRule="exact"/>
        <w:ind w:firstLine="27"/>
      </w:pPr>
      <w:r>
        <w:rPr>
          <w:position w:val="-26"/>
        </w:rPr>
        <w:drawing>
          <wp:inline distT="0" distB="0" distL="0" distR="0">
            <wp:extent cx="876300" cy="850265"/>
            <wp:effectExtent l="0" t="0" r="0" b="0"/>
            <wp:docPr id="844" name="IM 844"/>
            <wp:cNvGraphicFramePr/>
            <a:graphic xmlns:a="http://schemas.openxmlformats.org/drawingml/2006/main">
              <a:graphicData uri="http://schemas.openxmlformats.org/drawingml/2006/picture">
                <pic:pic xmlns:pic="http://schemas.openxmlformats.org/drawingml/2006/picture">
                  <pic:nvPicPr>
                    <pic:cNvPr id="844" name="IM 844"/>
                    <pic:cNvPicPr/>
                  </pic:nvPicPr>
                  <pic:blipFill>
                    <a:blip r:embed="rId711"/>
                    <a:stretch>
                      <a:fillRect/>
                    </a:stretch>
                  </pic:blipFill>
                  <pic:spPr>
                    <a:xfrm>
                      <a:off x="0" y="0"/>
                      <a:ext cx="876327" cy="850824"/>
                    </a:xfrm>
                    <a:prstGeom prst="rect">
                      <a:avLst/>
                    </a:prstGeom>
                  </pic:spPr>
                </pic:pic>
              </a:graphicData>
            </a:graphic>
          </wp:inline>
        </w:drawing>
      </w:r>
    </w:p>
    <w:p w14:paraId="7505309B">
      <w:pPr>
        <w:pStyle w:val="2"/>
        <w:spacing w:before="8" w:line="224" w:lineRule="auto"/>
        <w:ind w:left="390"/>
        <w:rPr>
          <w:rFonts w:ascii="宋体" w:hAnsi="宋体" w:eastAsia="宋体" w:cs="宋体"/>
          <w:sz w:val="20"/>
          <w:szCs w:val="20"/>
        </w:rPr>
      </w:pPr>
      <w:r>
        <w:rPr>
          <w:b/>
          <w:bCs/>
          <w:spacing w:val="-12"/>
          <w:w w:val="95"/>
          <w:sz w:val="20"/>
          <w:szCs w:val="20"/>
        </w:rPr>
        <w:t>人卫</w:t>
      </w:r>
      <w:r>
        <w:rPr>
          <w:rFonts w:ascii="宋体" w:hAnsi="宋体" w:eastAsia="宋体" w:cs="宋体"/>
          <w:b/>
          <w:bCs/>
          <w:spacing w:val="-12"/>
          <w:w w:val="95"/>
          <w:sz w:val="20"/>
          <w:szCs w:val="20"/>
        </w:rPr>
        <w:t>APP</w:t>
      </w:r>
    </w:p>
    <w:p w14:paraId="0C6FB93E">
      <w:pPr>
        <w:pStyle w:val="2"/>
        <w:spacing w:before="22" w:line="187" w:lineRule="auto"/>
        <w:rPr>
          <w:sz w:val="14"/>
          <w:szCs w:val="14"/>
        </w:rPr>
      </w:pPr>
      <w:r>
        <w:rPr>
          <w:b/>
          <w:bCs/>
          <w:spacing w:val="5"/>
          <w:sz w:val="14"/>
          <w:szCs w:val="14"/>
        </w:rPr>
        <w:t>获取海量医学学习资沥</w:t>
      </w:r>
    </w:p>
    <w:p w14:paraId="373A424B">
      <w:pPr>
        <w:spacing w:line="14" w:lineRule="auto"/>
        <w:rPr>
          <w:rFonts w:ascii="Arial"/>
          <w:sz w:val="2"/>
        </w:rPr>
      </w:pPr>
      <w:r>
        <w:rPr>
          <w:rFonts w:ascii="Arial" w:hAnsi="Arial" w:eastAsia="Arial" w:cs="Arial"/>
          <w:sz w:val="2"/>
          <w:szCs w:val="2"/>
        </w:rPr>
        <w:br w:type="column"/>
      </w:r>
    </w:p>
    <w:p w14:paraId="3AC84E32">
      <w:pPr>
        <w:spacing w:before="257" w:line="239" w:lineRule="auto"/>
        <w:rPr>
          <w:rFonts w:ascii="宋体" w:hAnsi="宋体" w:eastAsia="宋体" w:cs="宋体"/>
          <w:sz w:val="20"/>
          <w:szCs w:val="20"/>
        </w:rPr>
      </w:pPr>
      <w:r>
        <w:drawing>
          <wp:anchor distT="0" distB="0" distL="0" distR="0" simplePos="0" relativeHeight="251998208" behindDoc="1" locked="0" layoutInCell="1" allowOverlap="1">
            <wp:simplePos x="0" y="0"/>
            <wp:positionH relativeFrom="column">
              <wp:posOffset>5715</wp:posOffset>
            </wp:positionH>
            <wp:positionV relativeFrom="paragraph">
              <wp:posOffset>227330</wp:posOffset>
            </wp:positionV>
            <wp:extent cx="990600" cy="838200"/>
            <wp:effectExtent l="0" t="0" r="0" b="0"/>
            <wp:wrapNone/>
            <wp:docPr id="846" name="IM 846"/>
            <wp:cNvGraphicFramePr/>
            <a:graphic xmlns:a="http://schemas.openxmlformats.org/drawingml/2006/main">
              <a:graphicData uri="http://schemas.openxmlformats.org/drawingml/2006/picture">
                <pic:pic xmlns:pic="http://schemas.openxmlformats.org/drawingml/2006/picture">
                  <pic:nvPicPr>
                    <pic:cNvPr id="846" name="IM 846"/>
                    <pic:cNvPicPr/>
                  </pic:nvPicPr>
                  <pic:blipFill>
                    <a:blip r:embed="rId712"/>
                    <a:stretch>
                      <a:fillRect/>
                    </a:stretch>
                  </pic:blipFill>
                  <pic:spPr>
                    <a:xfrm>
                      <a:off x="0" y="0"/>
                      <a:ext cx="990581" cy="838221"/>
                    </a:xfrm>
                    <a:prstGeom prst="rect">
                      <a:avLst/>
                    </a:prstGeom>
                  </pic:spPr>
                </pic:pic>
              </a:graphicData>
            </a:graphic>
          </wp:anchor>
        </w:drawing>
      </w:r>
      <w:r>
        <w:rPr>
          <w:rFonts w:ascii="宋体" w:hAnsi="宋体" w:eastAsia="宋体" w:cs="宋体"/>
          <w:spacing w:val="-7"/>
          <w:sz w:val="20"/>
          <w:szCs w:val="20"/>
        </w:rPr>
        <w:t>SBN 978-1!</w:t>
      </w:r>
      <w:r>
        <w:rPr>
          <w:rFonts w:ascii="宋体" w:hAnsi="宋体" w:eastAsia="宋体" w:cs="宋体"/>
          <w:spacing w:val="74"/>
          <w:sz w:val="20"/>
          <w:szCs w:val="20"/>
        </w:rPr>
        <w:t xml:space="preserve"> </w:t>
      </w:r>
      <w:r>
        <w:rPr>
          <w:rFonts w:ascii="宋体" w:hAnsi="宋体" w:eastAsia="宋体" w:cs="宋体"/>
          <w:color w:val="803060"/>
          <w:spacing w:val="-7"/>
          <w:sz w:val="20"/>
          <w:szCs w:val="20"/>
        </w:rPr>
        <w:t>37732</w:t>
      </w:r>
    </w:p>
    <w:p w14:paraId="28A76C11">
      <w:pPr>
        <w:spacing w:line="289" w:lineRule="auto"/>
        <w:rPr>
          <w:rFonts w:ascii="Arial"/>
          <w:sz w:val="21"/>
        </w:rPr>
      </w:pPr>
    </w:p>
    <w:p w14:paraId="0D8A06A8">
      <w:pPr>
        <w:spacing w:line="290" w:lineRule="auto"/>
        <w:rPr>
          <w:rFonts w:ascii="Arial"/>
          <w:sz w:val="21"/>
        </w:rPr>
      </w:pPr>
    </w:p>
    <w:p w14:paraId="748DA578">
      <w:pPr>
        <w:spacing w:line="290" w:lineRule="auto"/>
        <w:rPr>
          <w:rFonts w:ascii="Arial"/>
          <w:sz w:val="21"/>
        </w:rPr>
      </w:pPr>
    </w:p>
    <w:p w14:paraId="5197611A">
      <w:pPr>
        <w:spacing w:line="290" w:lineRule="auto"/>
        <w:rPr>
          <w:rFonts w:ascii="Arial"/>
          <w:sz w:val="21"/>
        </w:rPr>
      </w:pPr>
    </w:p>
    <w:p w14:paraId="6EFFB209">
      <w:pPr>
        <w:pStyle w:val="2"/>
        <w:spacing w:before="65" w:line="204" w:lineRule="auto"/>
        <w:ind w:left="29"/>
        <w:rPr>
          <w:rFonts w:ascii="Times New Roman" w:hAnsi="Times New Roman" w:eastAsia="Times New Roman" w:cs="Times New Roman"/>
          <w:sz w:val="20"/>
          <w:szCs w:val="20"/>
        </w:rPr>
      </w:pPr>
      <w:r>
        <w:rPr>
          <w:rFonts w:ascii="Times New Roman" w:hAnsi="Times New Roman" w:eastAsia="Times New Roman" w:cs="Times New Roman"/>
          <w:spacing w:val="-12"/>
          <w:position w:val="-4"/>
          <w:sz w:val="20"/>
          <w:szCs w:val="20"/>
        </w:rPr>
        <w:t>1</w:t>
      </w:r>
      <w:r>
        <w:rPr>
          <w:rFonts w:ascii="Times New Roman" w:hAnsi="Times New Roman" w:eastAsia="Times New Roman" w:cs="Times New Roman"/>
          <w:position w:val="-4"/>
          <w:sz w:val="20"/>
          <w:szCs w:val="20"/>
        </w:rPr>
        <w:t xml:space="preserve">       </w:t>
      </w:r>
      <w:r>
        <w:rPr>
          <w:spacing w:val="-12"/>
          <w:sz w:val="20"/>
          <w:szCs w:val="20"/>
        </w:rPr>
        <w:t>介</w:t>
      </w:r>
      <w:r>
        <w:rPr>
          <w:spacing w:val="43"/>
          <w:sz w:val="20"/>
          <w:szCs w:val="20"/>
        </w:rPr>
        <w:t xml:space="preserve">  </w:t>
      </w:r>
      <w:r>
        <w:rPr>
          <w:rFonts w:ascii="Times New Roman" w:hAnsi="Times New Roman" w:eastAsia="Times New Roman" w:cs="Times New Roman"/>
          <w:spacing w:val="-12"/>
          <w:sz w:val="20"/>
          <w:szCs w:val="20"/>
        </w:rPr>
        <w:t>78.00π</w:t>
      </w:r>
    </w:p>
    <w:sectPr>
      <w:type w:val="continuous"/>
      <w:pgSz w:w="11900" w:h="16820"/>
      <w:pgMar w:top="400" w:right="1062" w:bottom="400" w:left="1380" w:header="0" w:footer="0" w:gutter="0"/>
      <w:cols w:equalWidth="0" w:num="4">
        <w:col w:w="3451" w:space="100"/>
        <w:col w:w="2192" w:space="100"/>
        <w:col w:w="1799" w:space="100"/>
        <w:col w:w="1718"/>
      </w:cols>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2010600030101010101"/>
    <w:charset w:val="86"/>
    <w:family w:val="auto"/>
    <w:pitch w:val="default"/>
    <w:sig w:usb0="00000000" w:usb1="0000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704020202020204"/>
    <w:charset w:val="01"/>
    <w:family w:val="swiss"/>
    <w:pitch w:val="default"/>
    <w:sig w:usb0="E0002AFF" w:usb1="C0007843" w:usb2="00000009" w:usb3="00000000" w:csb0="400001FF" w:csb1="FFFF0000"/>
  </w:font>
  <w:font w:name="黑体">
    <w:altName w:val="汉仪中黑KW"/>
    <w:panose1 w:val="02010609060101010101"/>
    <w:charset w:val="86"/>
    <w:family w:val="auto"/>
    <w:pitch w:val="default"/>
    <w:sig w:usb0="800002BF" w:usb1="38CF7CFA" w:usb2="00000016" w:usb3="00000000" w:csb0="00040001" w:csb1="00000000"/>
  </w:font>
  <w:font w:name="Courier New">
    <w:panose1 w:val="02070609020205020404"/>
    <w:charset w:val="01"/>
    <w:family w:val="modern"/>
    <w:pitch w:val="default"/>
    <w:sig w:usb0="E0002AFF" w:usb1="C0007843" w:usb2="00000009" w:usb3="00000000" w:csb0="400001FF" w:csb1="FFFF0000"/>
  </w:font>
  <w:font w:name="Symbol">
    <w:altName w:val="Kingsoft Sign"/>
    <w:panose1 w:val="05050102010706020507"/>
    <w:charset w:val="02"/>
    <w:family w:val="roman"/>
    <w:pitch w:val="default"/>
    <w:sig w:usb0="00000000" w:usb1="00000000" w:usb2="00000000" w:usb3="00000000" w:csb0="80000000" w:csb1="00000000"/>
  </w:font>
  <w:font w:name="Calibri">
    <w:altName w:val="Helvetica Neue"/>
    <w:panose1 w:val="020F0502020204030204"/>
    <w:charset w:val="00"/>
    <w:family w:val="swiss"/>
    <w:pitch w:val="default"/>
    <w:sig w:usb0="00000000" w:usb1="00000000" w:usb2="00000001" w:usb3="00000000" w:csb0="0000019F" w:csb1="00000000"/>
  </w:font>
  <w:font w:name="黑体">
    <w:altName w:val="汉仪中黑KW"/>
    <w:panose1 w:val="02010609060101010101"/>
    <w:charset w:val="86"/>
    <w:family w:val="auto"/>
    <w:pitch w:val="default"/>
    <w:sig w:usb0="00000000" w:usb1="00000000" w:usb2="00000016" w:usb3="00000000" w:csb0="00040001" w:csb1="00000000"/>
  </w:font>
  <w:font w:name="STXingkai">
    <w:altName w:val="宋体-简"/>
    <w:panose1 w:val="02010800040101010101"/>
    <w:charset w:val="86"/>
    <w:family w:val="auto"/>
    <w:pitch w:val="default"/>
    <w:sig w:usb0="00000000" w:usb1="00000000" w:usb2="00000000" w:usb3="00000000" w:csb0="00040000" w:csb1="00000000"/>
  </w:font>
  <w:font w:name="KaiTi">
    <w:altName w:val="汉仪楷体KW"/>
    <w:panose1 w:val="02010609060101010101"/>
    <w:charset w:val="86"/>
    <w:family w:val="auto"/>
    <w:pitch w:val="default"/>
    <w:sig w:usb0="00000000" w:usb1="00000000" w:usb2="00000016" w:usb3="00000000" w:csb0="00040001" w:csb1="00000000"/>
  </w:font>
  <w:font w:name="LiSu">
    <w:altName w:val="宋体-简"/>
    <w:panose1 w:val="02010509060101010101"/>
    <w:charset w:val="86"/>
    <w:family w:val="auto"/>
    <w:pitch w:val="default"/>
    <w:sig w:usb0="00000000" w:usb1="00000000" w:usb2="00000000" w:usb3="00000000" w:csb0="00040000" w:csb1="00000000"/>
  </w:font>
  <w:font w:name="FangSong">
    <w:altName w:val="方正仿宋_GBK"/>
    <w:panose1 w:val="02010609060101010101"/>
    <w:charset w:val="86"/>
    <w:family w:val="auto"/>
    <w:pitch w:val="default"/>
    <w:sig w:usb0="00000000" w:usb1="00000000" w:usb2="00000016" w:usb3="00000000" w:csb0="00040001" w:csb1="00000000"/>
  </w:font>
  <w:font w:name="MS Gothic">
    <w:altName w:val="苹方-简"/>
    <w:panose1 w:val="020B0609070205080204"/>
    <w:charset w:val="86"/>
    <w:family w:val="auto"/>
    <w:pitch w:val="default"/>
    <w:sig w:usb0="00000000" w:usb1="00000000" w:usb2="08000012" w:usb3="00000000" w:csb0="4002009F" w:csb1="DFD70000"/>
  </w:font>
  <w:font w:name="汉仪中黑KW">
    <w:panose1 w:val="00020600040101010101"/>
    <w:charset w:val="86"/>
    <w:family w:val="auto"/>
    <w:pitch w:val="default"/>
    <w:sig w:usb0="A00002BF" w:usb1="18EF7CFA" w:usb2="00000016" w:usb3="00000000" w:csb0="00040000" w:csb1="00000000"/>
  </w:font>
  <w:font w:name="宋体-简">
    <w:panose1 w:val="02010800040101010101"/>
    <w:charset w:val="86"/>
    <w:family w:val="auto"/>
    <w:pitch w:val="default"/>
    <w:sig w:usb0="00000001" w:usb1="080F0000" w:usb2="00000000" w:usb3="00000000" w:csb0="00040000" w:csb1="00000000"/>
  </w:font>
  <w:font w:name="汉仪书宋二KW">
    <w:panose1 w:val="00020600040101010101"/>
    <w:charset w:val="86"/>
    <w:family w:val="auto"/>
    <w:pitch w:val="default"/>
    <w:sig w:usb0="A00002BF" w:usb1="18EF7CFA" w:usb2="00000016" w:usb3="00000000" w:csb0="00040000" w:csb1="00000000"/>
  </w:font>
  <w:font w:name="汉仪楷体KW">
    <w:panose1 w:val="00020600040101010101"/>
    <w:charset w:val="86"/>
    <w:family w:val="auto"/>
    <w:pitch w:val="default"/>
    <w:sig w:usb0="A00002BF" w:usb1="18EF7CFA" w:usb2="00000016" w:usb3="00000000" w:csb0="00040000" w:csb1="00000000"/>
  </w:font>
  <w:font w:name="冬青黑体简体中文">
    <w:panose1 w:val="020B0300000000000000"/>
    <w:charset w:val="86"/>
    <w:family w:val="auto"/>
    <w:pitch w:val="default"/>
    <w:sig w:usb0="A00002BF" w:usb1="1ACF7CFA" w:usb2="00000016" w:usb3="00000000" w:csb0="00060007" w:csb1="00000000"/>
  </w:font>
  <w:font w:name="方正仿宋_GBK">
    <w:panose1 w:val="02000000000000000000"/>
    <w:charset w:val="86"/>
    <w:family w:val="auto"/>
    <w:pitch w:val="default"/>
    <w:sig w:usb0="A00002BF" w:usb1="38CF7CFA" w:usb2="00082016" w:usb3="00000000" w:csb0="00040001" w:csb1="00000000"/>
  </w:font>
  <w:font w:name="Helvetica Neue">
    <w:panose1 w:val="02000503000000020004"/>
    <w:charset w:val="00"/>
    <w:family w:val="auto"/>
    <w:pitch w:val="default"/>
    <w:sig w:usb0="E50002FF" w:usb1="500079DB" w:usb2="00000010" w:usb3="00000000" w:csb0="00000000" w:csb1="00000000"/>
  </w:font>
  <w:font w:name="苹方-简">
    <w:panose1 w:val="020B0400000000000000"/>
    <w:charset w:val="86"/>
    <w:family w:val="auto"/>
    <w:pitch w:val="default"/>
    <w:sig w:usb0="A00002FF" w:usb1="7ACFFDFB" w:usb2="00000017" w:usb3="00000000" w:csb0="00040001" w:csb1="00000000"/>
  </w:font>
  <w:font w:name="Arial Unicode MS">
    <w:panose1 w:val="020B0604020202020204"/>
    <w:charset w:val="86"/>
    <w:family w:val="auto"/>
    <w:pitch w:val="default"/>
    <w:sig w:usb0="FFFFFFFF" w:usb1="E9FFFFFF" w:usb2="0000003F" w:usb3="00000000" w:csb0="603F01FF" w:csb1="FFFF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8162268">
    <w:pPr>
      <w:spacing w:line="175" w:lineRule="auto"/>
      <w:jc w:val="right"/>
      <w:rPr>
        <w:rFonts w:ascii="Times New Roman" w:hAnsi="Times New Roman" w:eastAsia="Times New Roman" w:cs="Times New Roman"/>
        <w:sz w:val="17"/>
        <w:szCs w:val="17"/>
      </w:rPr>
    </w:pPr>
    <w:r>
      <w:rPr>
        <w:rFonts w:ascii="Times New Roman" w:hAnsi="Times New Roman" w:eastAsia="Times New Roman" w:cs="Times New Roman"/>
        <w:spacing w:val="-7"/>
        <w:sz w:val="17"/>
        <w:szCs w:val="17"/>
      </w:rPr>
      <w:t>3</w:t>
    </w: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95CBD88">
    <w:pPr>
      <w:spacing w:line="176" w:lineRule="auto"/>
      <w:rPr>
        <w:rFonts w:ascii="Times New Roman" w:hAnsi="Times New Roman" w:eastAsia="Times New Roman" w:cs="Times New Roman"/>
        <w:sz w:val="17"/>
        <w:szCs w:val="17"/>
      </w:rPr>
    </w:pPr>
    <w:r>
      <w:rPr>
        <w:rFonts w:ascii="Times New Roman" w:hAnsi="Times New Roman" w:eastAsia="Times New Roman" w:cs="Times New Roman"/>
        <w:b/>
        <w:bCs/>
        <w:spacing w:val="-3"/>
        <w:sz w:val="17"/>
        <w:szCs w:val="17"/>
      </w:rPr>
      <w:t>12</w:t>
    </w:r>
  </w:p>
</w:ftr>
</file>

<file path=word/footer10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6B4A50E">
    <w:pPr>
      <w:spacing w:line="230" w:lineRule="auto"/>
      <w:rPr>
        <w:rFonts w:ascii="宋体" w:hAnsi="宋体" w:eastAsia="宋体" w:cs="宋体"/>
        <w:sz w:val="20"/>
        <w:szCs w:val="20"/>
      </w:rPr>
    </w:pPr>
    <w:r>
      <w:rPr>
        <w:rFonts w:ascii="宋体" w:hAnsi="宋体" w:eastAsia="宋体" w:cs="宋体"/>
        <w:spacing w:val="-4"/>
        <w:sz w:val="20"/>
        <w:szCs w:val="20"/>
      </w:rPr>
      <w:t>78</w:t>
    </w:r>
  </w:p>
</w:ftr>
</file>

<file path=word/footer10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634CA89">
    <w:pPr>
      <w:spacing w:line="178" w:lineRule="auto"/>
      <w:jc w:val="right"/>
      <w:rPr>
        <w:rFonts w:ascii="Times New Roman" w:hAnsi="Times New Roman" w:eastAsia="Times New Roman" w:cs="Times New Roman"/>
        <w:sz w:val="21"/>
        <w:szCs w:val="21"/>
      </w:rPr>
    </w:pPr>
    <w:r>
      <w:rPr>
        <w:rFonts w:ascii="Times New Roman" w:hAnsi="Times New Roman" w:eastAsia="Times New Roman" w:cs="Times New Roman"/>
        <w:spacing w:val="-4"/>
        <w:sz w:val="21"/>
        <w:szCs w:val="21"/>
      </w:rPr>
      <w:t>79</w:t>
    </w:r>
  </w:p>
</w:ftr>
</file>

<file path=word/footer10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8A4D808">
    <w:pPr>
      <w:spacing w:line="176" w:lineRule="auto"/>
      <w:rPr>
        <w:rFonts w:ascii="Times New Roman" w:hAnsi="Times New Roman" w:eastAsia="Times New Roman" w:cs="Times New Roman"/>
        <w:sz w:val="18"/>
        <w:szCs w:val="18"/>
      </w:rPr>
    </w:pPr>
    <w:r>
      <w:rPr>
        <w:rFonts w:ascii="Times New Roman" w:hAnsi="Times New Roman" w:eastAsia="Times New Roman" w:cs="Times New Roman"/>
        <w:spacing w:val="-3"/>
        <w:sz w:val="18"/>
        <w:szCs w:val="18"/>
      </w:rPr>
      <w:t>80</w:t>
    </w:r>
  </w:p>
</w:ftr>
</file>

<file path=word/footer10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E7E270F">
    <w:pPr>
      <w:spacing w:line="176" w:lineRule="auto"/>
      <w:jc w:val="right"/>
      <w:rPr>
        <w:rFonts w:ascii="Times New Roman" w:hAnsi="Times New Roman" w:eastAsia="Times New Roman" w:cs="Times New Roman"/>
        <w:sz w:val="18"/>
        <w:szCs w:val="18"/>
      </w:rPr>
    </w:pPr>
    <w:r>
      <w:rPr>
        <w:rFonts w:ascii="Times New Roman" w:hAnsi="Times New Roman" w:eastAsia="Times New Roman" w:cs="Times New Roman"/>
        <w:spacing w:val="-6"/>
        <w:sz w:val="18"/>
        <w:szCs w:val="18"/>
      </w:rPr>
      <w:t>81</w:t>
    </w:r>
  </w:p>
</w:ftr>
</file>

<file path=word/footer10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95A933B">
    <w:pPr>
      <w:spacing w:line="177" w:lineRule="auto"/>
      <w:rPr>
        <w:rFonts w:ascii="Times New Roman" w:hAnsi="Times New Roman" w:eastAsia="Times New Roman" w:cs="Times New Roman"/>
        <w:sz w:val="20"/>
        <w:szCs w:val="20"/>
      </w:rPr>
    </w:pPr>
    <w:r>
      <w:rPr>
        <w:rFonts w:ascii="Times New Roman" w:hAnsi="Times New Roman" w:eastAsia="Times New Roman" w:cs="Times New Roman"/>
        <w:spacing w:val="-4"/>
        <w:sz w:val="20"/>
        <w:szCs w:val="20"/>
      </w:rPr>
      <w:t>82</w:t>
    </w:r>
  </w:p>
</w:ftr>
</file>

<file path=word/footer10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6D67F3A">
    <w:pPr>
      <w:spacing w:line="177" w:lineRule="auto"/>
      <w:jc w:val="right"/>
      <w:rPr>
        <w:rFonts w:ascii="Times New Roman" w:hAnsi="Times New Roman" w:eastAsia="Times New Roman" w:cs="Times New Roman"/>
        <w:sz w:val="20"/>
        <w:szCs w:val="20"/>
      </w:rPr>
    </w:pPr>
    <w:r>
      <w:rPr>
        <w:rFonts w:ascii="Times New Roman" w:hAnsi="Times New Roman" w:eastAsia="Times New Roman" w:cs="Times New Roman"/>
        <w:b/>
        <w:bCs/>
        <w:spacing w:val="-4"/>
        <w:sz w:val="20"/>
        <w:szCs w:val="20"/>
      </w:rPr>
      <w:t>83</w:t>
    </w:r>
  </w:p>
</w:ftr>
</file>

<file path=word/footer10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5B24D40">
    <w:pPr>
      <w:spacing w:line="177" w:lineRule="auto"/>
      <w:rPr>
        <w:rFonts w:ascii="Times New Roman" w:hAnsi="Times New Roman" w:eastAsia="Times New Roman" w:cs="Times New Roman"/>
        <w:sz w:val="19"/>
        <w:szCs w:val="19"/>
      </w:rPr>
    </w:pPr>
    <w:r>
      <w:rPr>
        <w:rFonts w:ascii="Times New Roman" w:hAnsi="Times New Roman" w:eastAsia="Times New Roman" w:cs="Times New Roman"/>
        <w:spacing w:val="-3"/>
        <w:sz w:val="19"/>
        <w:szCs w:val="19"/>
      </w:rPr>
      <w:t>84</w:t>
    </w:r>
  </w:p>
</w:ftr>
</file>

<file path=word/footer10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5FB7DAD">
    <w:pPr>
      <w:spacing w:line="177" w:lineRule="auto"/>
      <w:jc w:val="right"/>
      <w:rPr>
        <w:rFonts w:ascii="Times New Roman" w:hAnsi="Times New Roman" w:eastAsia="Times New Roman" w:cs="Times New Roman"/>
        <w:sz w:val="20"/>
        <w:szCs w:val="20"/>
      </w:rPr>
    </w:pPr>
    <w:r>
      <w:rPr>
        <w:rFonts w:ascii="Times New Roman" w:hAnsi="Times New Roman" w:eastAsia="Times New Roman" w:cs="Times New Roman"/>
        <w:spacing w:val="-7"/>
        <w:sz w:val="20"/>
        <w:szCs w:val="20"/>
      </w:rPr>
      <w:t>85</w:t>
    </w:r>
  </w:p>
</w:ftr>
</file>

<file path=word/footer10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48635E6">
    <w:pPr>
      <w:spacing w:line="177" w:lineRule="auto"/>
      <w:rPr>
        <w:rFonts w:ascii="Times New Roman" w:hAnsi="Times New Roman" w:eastAsia="Times New Roman" w:cs="Times New Roman"/>
        <w:sz w:val="20"/>
        <w:szCs w:val="20"/>
      </w:rPr>
    </w:pPr>
    <w:r>
      <w:rPr>
        <w:rFonts w:ascii="Times New Roman" w:hAnsi="Times New Roman" w:eastAsia="Times New Roman" w:cs="Times New Roman"/>
        <w:spacing w:val="-4"/>
        <w:sz w:val="20"/>
        <w:szCs w:val="20"/>
      </w:rPr>
      <w:t>86</w:t>
    </w:r>
  </w:p>
</w:ftr>
</file>

<file path=word/footer10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5EF17EF">
    <w:pPr>
      <w:spacing w:line="177" w:lineRule="auto"/>
      <w:jc w:val="right"/>
      <w:rPr>
        <w:rFonts w:ascii="Times New Roman" w:hAnsi="Times New Roman" w:eastAsia="Times New Roman" w:cs="Times New Roman"/>
        <w:sz w:val="20"/>
        <w:szCs w:val="20"/>
      </w:rPr>
    </w:pPr>
    <w:r>
      <w:rPr>
        <w:rFonts w:ascii="Times New Roman" w:hAnsi="Times New Roman" w:eastAsia="Times New Roman" w:cs="Times New Roman"/>
        <w:spacing w:val="-7"/>
        <w:sz w:val="20"/>
        <w:szCs w:val="20"/>
      </w:rPr>
      <w:t>87</w:t>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F819EF3">
    <w:pPr>
      <w:spacing w:line="178" w:lineRule="auto"/>
      <w:jc w:val="right"/>
      <w:rPr>
        <w:rFonts w:ascii="Times New Roman" w:hAnsi="Times New Roman" w:eastAsia="Times New Roman" w:cs="Times New Roman"/>
        <w:sz w:val="22"/>
        <w:szCs w:val="22"/>
      </w:rPr>
    </w:pPr>
    <w:r>
      <w:rPr>
        <w:rFonts w:ascii="Times New Roman" w:hAnsi="Times New Roman" w:eastAsia="Times New Roman" w:cs="Times New Roman"/>
        <w:spacing w:val="-13"/>
        <w:sz w:val="22"/>
        <w:szCs w:val="22"/>
      </w:rPr>
      <w:t>13</w:t>
    </w:r>
  </w:p>
</w:ftr>
</file>

<file path=word/footer1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902E47A">
    <w:pPr>
      <w:spacing w:line="229" w:lineRule="auto"/>
      <w:rPr>
        <w:rFonts w:ascii="宋体" w:hAnsi="宋体" w:eastAsia="宋体" w:cs="宋体"/>
        <w:sz w:val="19"/>
        <w:szCs w:val="19"/>
      </w:rPr>
    </w:pPr>
    <w:r>
      <w:rPr>
        <w:rFonts w:ascii="宋体" w:hAnsi="宋体" w:eastAsia="宋体" w:cs="宋体"/>
        <w:spacing w:val="-3"/>
        <w:sz w:val="19"/>
        <w:szCs w:val="19"/>
      </w:rPr>
      <w:t>88</w:t>
    </w:r>
  </w:p>
</w:ftr>
</file>

<file path=word/footer1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A6EC1A4">
    <w:pPr>
      <w:spacing w:line="230" w:lineRule="auto"/>
      <w:jc w:val="right"/>
      <w:rPr>
        <w:rFonts w:ascii="宋体" w:hAnsi="宋体" w:eastAsia="宋体" w:cs="宋体"/>
        <w:sz w:val="21"/>
        <w:szCs w:val="21"/>
      </w:rPr>
    </w:pPr>
    <w:r>
      <w:rPr>
        <w:rFonts w:ascii="宋体" w:hAnsi="宋体" w:eastAsia="宋体" w:cs="宋体"/>
        <w:spacing w:val="-5"/>
        <w:sz w:val="21"/>
        <w:szCs w:val="21"/>
      </w:rPr>
      <w:t>89</w:t>
    </w:r>
  </w:p>
</w:ftr>
</file>

<file path=word/footer1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A6D385F">
    <w:pPr>
      <w:spacing w:line="177" w:lineRule="auto"/>
      <w:rPr>
        <w:rFonts w:ascii="Times New Roman" w:hAnsi="Times New Roman" w:eastAsia="Times New Roman" w:cs="Times New Roman"/>
        <w:sz w:val="20"/>
        <w:szCs w:val="20"/>
      </w:rPr>
    </w:pPr>
    <w:r>
      <w:rPr>
        <w:rFonts w:ascii="Times New Roman" w:hAnsi="Times New Roman" w:eastAsia="Times New Roman" w:cs="Times New Roman"/>
        <w:spacing w:val="-3"/>
        <w:sz w:val="20"/>
        <w:szCs w:val="20"/>
      </w:rPr>
      <w:t>90</w:t>
    </w:r>
  </w:p>
</w:ftr>
</file>

<file path=word/footer1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967B2B6">
    <w:pPr>
      <w:spacing w:line="178" w:lineRule="auto"/>
      <w:jc w:val="right"/>
      <w:rPr>
        <w:rFonts w:ascii="Times New Roman" w:hAnsi="Times New Roman" w:eastAsia="Times New Roman" w:cs="Times New Roman"/>
        <w:sz w:val="21"/>
        <w:szCs w:val="21"/>
      </w:rPr>
    </w:pPr>
    <w:r>
      <w:rPr>
        <w:rFonts w:ascii="Times New Roman" w:hAnsi="Times New Roman" w:eastAsia="Times New Roman" w:cs="Times New Roman"/>
        <w:spacing w:val="-5"/>
        <w:sz w:val="21"/>
        <w:szCs w:val="21"/>
      </w:rPr>
      <w:t>91</w:t>
    </w:r>
  </w:p>
</w:ftr>
</file>

<file path=word/footer1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DBB1AF7">
    <w:pPr>
      <w:spacing w:line="177" w:lineRule="auto"/>
      <w:rPr>
        <w:rFonts w:ascii="Times New Roman" w:hAnsi="Times New Roman" w:eastAsia="Times New Roman" w:cs="Times New Roman"/>
        <w:sz w:val="20"/>
        <w:szCs w:val="20"/>
      </w:rPr>
    </w:pPr>
    <w:r>
      <w:rPr>
        <w:rFonts w:ascii="Times New Roman" w:hAnsi="Times New Roman" w:eastAsia="Times New Roman" w:cs="Times New Roman"/>
        <w:spacing w:val="-3"/>
        <w:sz w:val="20"/>
        <w:szCs w:val="20"/>
      </w:rPr>
      <w:t>92</w:t>
    </w:r>
  </w:p>
</w:ftr>
</file>

<file path=word/footer1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78E3FA9">
    <w:pPr>
      <w:spacing w:line="177" w:lineRule="auto"/>
      <w:jc w:val="right"/>
      <w:rPr>
        <w:rFonts w:ascii="Times New Roman" w:hAnsi="Times New Roman" w:eastAsia="Times New Roman" w:cs="Times New Roman"/>
        <w:sz w:val="20"/>
        <w:szCs w:val="20"/>
      </w:rPr>
    </w:pPr>
    <w:r>
      <w:rPr>
        <w:rFonts w:ascii="Times New Roman" w:hAnsi="Times New Roman" w:eastAsia="Times New Roman" w:cs="Times New Roman"/>
        <w:spacing w:val="-5"/>
        <w:sz w:val="20"/>
        <w:szCs w:val="20"/>
      </w:rPr>
      <w:t>93</w:t>
    </w:r>
  </w:p>
</w:ftr>
</file>

<file path=word/footer1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7C5FE24">
    <w:pPr>
      <w:spacing w:line="177" w:lineRule="auto"/>
      <w:rPr>
        <w:rFonts w:ascii="Times New Roman" w:hAnsi="Times New Roman" w:eastAsia="Times New Roman" w:cs="Times New Roman"/>
        <w:sz w:val="20"/>
        <w:szCs w:val="20"/>
      </w:rPr>
    </w:pPr>
    <w:r>
      <w:rPr>
        <w:rFonts w:ascii="Times New Roman" w:hAnsi="Times New Roman" w:eastAsia="Times New Roman" w:cs="Times New Roman"/>
        <w:spacing w:val="-3"/>
        <w:sz w:val="20"/>
        <w:szCs w:val="20"/>
      </w:rPr>
      <w:t>94</w:t>
    </w:r>
  </w:p>
</w:ftr>
</file>

<file path=word/footer1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0759BDB">
    <w:pPr>
      <w:spacing w:line="177" w:lineRule="auto"/>
      <w:jc w:val="right"/>
      <w:rPr>
        <w:rFonts w:ascii="Times New Roman" w:hAnsi="Times New Roman" w:eastAsia="Times New Roman" w:cs="Times New Roman"/>
        <w:sz w:val="19"/>
        <w:szCs w:val="19"/>
      </w:rPr>
    </w:pPr>
    <w:r>
      <w:rPr>
        <w:rFonts w:ascii="Times New Roman" w:hAnsi="Times New Roman" w:eastAsia="Times New Roman" w:cs="Times New Roman"/>
        <w:spacing w:val="-4"/>
        <w:sz w:val="19"/>
        <w:szCs w:val="19"/>
      </w:rPr>
      <w:t>95</w:t>
    </w:r>
  </w:p>
</w:ftr>
</file>

<file path=word/footer1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347BF07">
    <w:pPr>
      <w:spacing w:line="230" w:lineRule="auto"/>
      <w:rPr>
        <w:rFonts w:ascii="宋体" w:hAnsi="宋体" w:eastAsia="宋体" w:cs="宋体"/>
        <w:sz w:val="20"/>
        <w:szCs w:val="20"/>
      </w:rPr>
    </w:pPr>
    <w:r>
      <w:rPr>
        <w:rFonts w:ascii="宋体" w:hAnsi="宋体" w:eastAsia="宋体" w:cs="宋体"/>
        <w:spacing w:val="-3"/>
        <w:sz w:val="20"/>
        <w:szCs w:val="20"/>
      </w:rPr>
      <w:t>96</w:t>
    </w:r>
  </w:p>
</w:ftr>
</file>

<file path=word/footer1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5544F5D">
    <w:pPr>
      <w:spacing w:line="230" w:lineRule="auto"/>
      <w:jc w:val="right"/>
      <w:rPr>
        <w:rFonts w:ascii="宋体" w:hAnsi="宋体" w:eastAsia="宋体" w:cs="宋体"/>
        <w:sz w:val="21"/>
        <w:szCs w:val="21"/>
      </w:rPr>
    </w:pPr>
    <w:r>
      <w:rPr>
        <w:rFonts w:ascii="宋体" w:hAnsi="宋体" w:eastAsia="宋体" w:cs="宋体"/>
        <w:spacing w:val="-5"/>
        <w:sz w:val="21"/>
        <w:szCs w:val="21"/>
      </w:rPr>
      <w:t>97</w:t>
    </w: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8B512A4">
    <w:pPr>
      <w:spacing w:line="178" w:lineRule="auto"/>
      <w:rPr>
        <w:rFonts w:ascii="Times New Roman" w:hAnsi="Times New Roman" w:eastAsia="Times New Roman" w:cs="Times New Roman"/>
        <w:sz w:val="22"/>
        <w:szCs w:val="22"/>
      </w:rPr>
    </w:pPr>
    <w:r>
      <w:rPr>
        <w:rFonts w:ascii="Times New Roman" w:hAnsi="Times New Roman" w:eastAsia="Times New Roman" w:cs="Times New Roman"/>
        <w:spacing w:val="-7"/>
        <w:sz w:val="22"/>
        <w:szCs w:val="22"/>
      </w:rPr>
      <w:t>14</w:t>
    </w:r>
  </w:p>
</w:ftr>
</file>

<file path=word/footer1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C13AFF1">
    <w:pPr>
      <w:spacing w:line="177" w:lineRule="auto"/>
      <w:rPr>
        <w:rFonts w:ascii="Times New Roman" w:hAnsi="Times New Roman" w:eastAsia="Times New Roman" w:cs="Times New Roman"/>
        <w:sz w:val="20"/>
        <w:szCs w:val="20"/>
      </w:rPr>
    </w:pPr>
    <w:r>
      <w:rPr>
        <w:rFonts w:ascii="Times New Roman" w:hAnsi="Times New Roman" w:eastAsia="Times New Roman" w:cs="Times New Roman"/>
        <w:spacing w:val="-3"/>
        <w:sz w:val="20"/>
        <w:szCs w:val="20"/>
      </w:rPr>
      <w:t>98</w:t>
    </w:r>
  </w:p>
</w:ftr>
</file>

<file path=word/footer1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B7CE54F">
    <w:pPr>
      <w:spacing w:line="178" w:lineRule="auto"/>
      <w:jc w:val="right"/>
      <w:rPr>
        <w:rFonts w:ascii="Times New Roman" w:hAnsi="Times New Roman" w:eastAsia="Times New Roman" w:cs="Times New Roman"/>
        <w:sz w:val="21"/>
        <w:szCs w:val="21"/>
      </w:rPr>
    </w:pPr>
    <w:r>
      <w:rPr>
        <w:rFonts w:ascii="Times New Roman" w:hAnsi="Times New Roman" w:eastAsia="Times New Roman" w:cs="Times New Roman"/>
        <w:spacing w:val="-5"/>
        <w:sz w:val="21"/>
        <w:szCs w:val="21"/>
      </w:rPr>
      <w:t>99</w:t>
    </w:r>
  </w:p>
</w:ftr>
</file>

<file path=word/footer1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4CB6282">
    <w:pPr>
      <w:spacing w:line="177" w:lineRule="auto"/>
      <w:rPr>
        <w:rFonts w:ascii="Times New Roman" w:hAnsi="Times New Roman" w:eastAsia="Times New Roman" w:cs="Times New Roman"/>
        <w:sz w:val="19"/>
        <w:szCs w:val="19"/>
      </w:rPr>
    </w:pPr>
    <w:r>
      <w:rPr>
        <w:rFonts w:ascii="Times New Roman" w:hAnsi="Times New Roman" w:eastAsia="Times New Roman" w:cs="Times New Roman"/>
        <w:spacing w:val="-5"/>
        <w:sz w:val="19"/>
        <w:szCs w:val="19"/>
      </w:rPr>
      <w:t>100</w:t>
    </w:r>
  </w:p>
</w:ftr>
</file>

<file path=word/footer12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8007258">
    <w:pPr>
      <w:spacing w:line="177" w:lineRule="auto"/>
      <w:jc w:val="right"/>
      <w:rPr>
        <w:rFonts w:ascii="Times New Roman" w:hAnsi="Times New Roman" w:eastAsia="Times New Roman" w:cs="Times New Roman"/>
        <w:sz w:val="19"/>
        <w:szCs w:val="19"/>
      </w:rPr>
    </w:pPr>
    <w:r>
      <w:rPr>
        <w:rFonts w:ascii="Times New Roman" w:hAnsi="Times New Roman" w:eastAsia="Times New Roman" w:cs="Times New Roman"/>
        <w:spacing w:val="-8"/>
        <w:sz w:val="19"/>
        <w:szCs w:val="19"/>
      </w:rPr>
      <w:t>101</w:t>
    </w:r>
  </w:p>
</w:ftr>
</file>

<file path=word/footer12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C0351C5">
    <w:pPr>
      <w:spacing w:line="177" w:lineRule="auto"/>
      <w:rPr>
        <w:rFonts w:ascii="Times New Roman" w:hAnsi="Times New Roman" w:eastAsia="Times New Roman" w:cs="Times New Roman"/>
        <w:sz w:val="20"/>
        <w:szCs w:val="20"/>
      </w:rPr>
    </w:pPr>
    <w:r>
      <w:rPr>
        <w:rFonts w:ascii="Times New Roman" w:hAnsi="Times New Roman" w:eastAsia="Times New Roman" w:cs="Times New Roman"/>
        <w:spacing w:val="-6"/>
        <w:sz w:val="20"/>
        <w:szCs w:val="20"/>
      </w:rPr>
      <w:t>102</w:t>
    </w:r>
  </w:p>
</w:ftr>
</file>

<file path=word/footer12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08D7271">
    <w:pPr>
      <w:spacing w:line="177" w:lineRule="auto"/>
      <w:jc w:val="right"/>
      <w:rPr>
        <w:rFonts w:ascii="Times New Roman" w:hAnsi="Times New Roman" w:eastAsia="Times New Roman" w:cs="Times New Roman"/>
        <w:sz w:val="20"/>
        <w:szCs w:val="20"/>
      </w:rPr>
    </w:pPr>
    <w:r>
      <w:rPr>
        <w:rFonts w:ascii="Times New Roman" w:hAnsi="Times New Roman" w:eastAsia="Times New Roman" w:cs="Times New Roman"/>
        <w:spacing w:val="-8"/>
        <w:sz w:val="20"/>
        <w:szCs w:val="20"/>
      </w:rPr>
      <w:t>103</w:t>
    </w:r>
  </w:p>
</w:ftr>
</file>

<file path=word/footer12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6ACF551">
    <w:pPr>
      <w:spacing w:line="230" w:lineRule="auto"/>
      <w:rPr>
        <w:rFonts w:ascii="宋体" w:hAnsi="宋体" w:eastAsia="宋体" w:cs="宋体"/>
        <w:sz w:val="20"/>
        <w:szCs w:val="20"/>
      </w:rPr>
    </w:pPr>
    <w:r>
      <w:rPr>
        <w:rFonts w:ascii="宋体" w:hAnsi="宋体" w:eastAsia="宋体" w:cs="宋体"/>
        <w:spacing w:val="-6"/>
        <w:sz w:val="20"/>
        <w:szCs w:val="20"/>
      </w:rPr>
      <w:t>104</w:t>
    </w:r>
  </w:p>
</w:ftr>
</file>

<file path=word/footer12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402AA02">
    <w:pPr>
      <w:spacing w:line="230" w:lineRule="auto"/>
      <w:jc w:val="right"/>
      <w:rPr>
        <w:rFonts w:ascii="宋体" w:hAnsi="宋体" w:eastAsia="宋体" w:cs="宋体"/>
        <w:sz w:val="20"/>
        <w:szCs w:val="20"/>
      </w:rPr>
    </w:pPr>
    <w:r>
      <w:rPr>
        <w:rFonts w:ascii="宋体" w:hAnsi="宋体" w:eastAsia="宋体" w:cs="宋体"/>
        <w:spacing w:val="-8"/>
        <w:sz w:val="20"/>
        <w:szCs w:val="20"/>
      </w:rPr>
      <w:t>105</w:t>
    </w:r>
  </w:p>
</w:ftr>
</file>

<file path=word/footer12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98BDABA">
    <w:pPr>
      <w:spacing w:line="230" w:lineRule="auto"/>
      <w:rPr>
        <w:rFonts w:ascii="宋体" w:hAnsi="宋体" w:eastAsia="宋体" w:cs="宋体"/>
        <w:sz w:val="21"/>
        <w:szCs w:val="21"/>
      </w:rPr>
    </w:pPr>
    <w:r>
      <w:rPr>
        <w:rFonts w:ascii="宋体" w:hAnsi="宋体" w:eastAsia="宋体" w:cs="宋体"/>
        <w:spacing w:val="-6"/>
        <w:sz w:val="21"/>
        <w:szCs w:val="21"/>
      </w:rPr>
      <w:t>106</w:t>
    </w:r>
  </w:p>
</w:ftr>
</file>

<file path=word/footer12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52A6B28">
    <w:pPr>
      <w:spacing w:line="230" w:lineRule="auto"/>
      <w:jc w:val="right"/>
      <w:rPr>
        <w:rFonts w:ascii="宋体" w:hAnsi="宋体" w:eastAsia="宋体" w:cs="宋体"/>
        <w:sz w:val="21"/>
        <w:szCs w:val="21"/>
      </w:rPr>
    </w:pPr>
    <w:r>
      <w:rPr>
        <w:rFonts w:ascii="宋体" w:hAnsi="宋体" w:eastAsia="宋体" w:cs="宋体"/>
        <w:spacing w:val="-8"/>
        <w:sz w:val="21"/>
        <w:szCs w:val="21"/>
      </w:rPr>
      <w:t>107</w:t>
    </w: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C245F9C">
    <w:pPr>
      <w:spacing w:line="179" w:lineRule="auto"/>
      <w:jc w:val="right"/>
      <w:rPr>
        <w:rFonts w:ascii="Times New Roman" w:hAnsi="Times New Roman" w:eastAsia="Times New Roman" w:cs="Times New Roman"/>
        <w:sz w:val="23"/>
        <w:szCs w:val="23"/>
      </w:rPr>
    </w:pPr>
    <w:r>
      <w:rPr>
        <w:rFonts w:ascii="Times New Roman" w:hAnsi="Times New Roman" w:eastAsia="Times New Roman" w:cs="Times New Roman"/>
        <w:spacing w:val="-14"/>
        <w:sz w:val="23"/>
        <w:szCs w:val="23"/>
      </w:rPr>
      <w:t>15</w:t>
    </w:r>
  </w:p>
</w:ftr>
</file>

<file path=word/footer13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371FCA5">
    <w:pPr>
      <w:spacing w:line="177" w:lineRule="auto"/>
      <w:rPr>
        <w:rFonts w:ascii="Times New Roman" w:hAnsi="Times New Roman" w:eastAsia="Times New Roman" w:cs="Times New Roman"/>
        <w:sz w:val="19"/>
        <w:szCs w:val="19"/>
      </w:rPr>
    </w:pPr>
    <w:r>
      <w:rPr>
        <w:rFonts w:ascii="Times New Roman" w:hAnsi="Times New Roman" w:eastAsia="Times New Roman" w:cs="Times New Roman"/>
        <w:spacing w:val="-5"/>
        <w:sz w:val="19"/>
        <w:szCs w:val="19"/>
      </w:rPr>
      <w:t>108</w:t>
    </w:r>
  </w:p>
</w:ftr>
</file>

<file path=word/footer13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3481880">
    <w:pPr>
      <w:spacing w:line="177" w:lineRule="auto"/>
      <w:jc w:val="right"/>
      <w:rPr>
        <w:rFonts w:ascii="Times New Roman" w:hAnsi="Times New Roman" w:eastAsia="Times New Roman" w:cs="Times New Roman"/>
        <w:sz w:val="20"/>
        <w:szCs w:val="20"/>
      </w:rPr>
    </w:pPr>
    <w:r>
      <w:rPr>
        <w:rFonts w:ascii="Times New Roman" w:hAnsi="Times New Roman" w:eastAsia="Times New Roman" w:cs="Times New Roman"/>
        <w:spacing w:val="-8"/>
        <w:sz w:val="20"/>
        <w:szCs w:val="20"/>
      </w:rPr>
      <w:t>109</w:t>
    </w:r>
  </w:p>
</w:ftr>
</file>

<file path=word/footer13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A896930">
    <w:pPr>
      <w:spacing w:line="177" w:lineRule="auto"/>
      <w:rPr>
        <w:rFonts w:ascii="Times New Roman" w:hAnsi="Times New Roman" w:eastAsia="Times New Roman" w:cs="Times New Roman"/>
        <w:sz w:val="19"/>
        <w:szCs w:val="19"/>
      </w:rPr>
    </w:pPr>
    <w:r>
      <w:rPr>
        <w:rFonts w:ascii="Times New Roman" w:hAnsi="Times New Roman" w:eastAsia="Times New Roman" w:cs="Times New Roman"/>
        <w:spacing w:val="-5"/>
        <w:sz w:val="19"/>
        <w:szCs w:val="19"/>
      </w:rPr>
      <w:t>110</w:t>
    </w:r>
  </w:p>
</w:ftr>
</file>

<file path=word/footer13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0300F7E">
    <w:pPr>
      <w:spacing w:line="232" w:lineRule="auto"/>
      <w:jc w:val="right"/>
      <w:rPr>
        <w:rFonts w:ascii="宋体" w:hAnsi="宋体" w:eastAsia="宋体" w:cs="宋体"/>
        <w:sz w:val="21"/>
        <w:szCs w:val="21"/>
      </w:rPr>
    </w:pPr>
    <w:r>
      <w:rPr>
        <w:rFonts w:ascii="宋体" w:hAnsi="宋体" w:eastAsia="宋体" w:cs="宋体"/>
        <w:spacing w:val="-8"/>
        <w:sz w:val="21"/>
        <w:szCs w:val="21"/>
      </w:rPr>
      <w:t>111</w:t>
    </w:r>
  </w:p>
</w:ftr>
</file>

<file path=word/footer13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55824BB">
    <w:pPr>
      <w:spacing w:line="176" w:lineRule="auto"/>
      <w:rPr>
        <w:rFonts w:ascii="Times New Roman" w:hAnsi="Times New Roman" w:eastAsia="Times New Roman" w:cs="Times New Roman"/>
        <w:sz w:val="17"/>
        <w:szCs w:val="17"/>
      </w:rPr>
    </w:pPr>
    <w:r>
      <w:rPr>
        <w:rFonts w:ascii="Times New Roman" w:hAnsi="Times New Roman" w:eastAsia="Times New Roman" w:cs="Times New Roman"/>
        <w:spacing w:val="-5"/>
        <w:sz w:val="17"/>
        <w:szCs w:val="17"/>
      </w:rPr>
      <w:t>112</w:t>
    </w:r>
  </w:p>
</w:ftr>
</file>

<file path=word/footer13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B58F8F5">
    <w:pPr>
      <w:spacing w:line="178" w:lineRule="auto"/>
      <w:jc w:val="right"/>
      <w:rPr>
        <w:rFonts w:ascii="Times New Roman" w:hAnsi="Times New Roman" w:eastAsia="Times New Roman" w:cs="Times New Roman"/>
        <w:sz w:val="21"/>
        <w:szCs w:val="21"/>
      </w:rPr>
    </w:pPr>
    <w:r>
      <w:rPr>
        <w:rFonts w:ascii="Times New Roman" w:hAnsi="Times New Roman" w:eastAsia="Times New Roman" w:cs="Times New Roman"/>
        <w:spacing w:val="-9"/>
        <w:sz w:val="21"/>
        <w:szCs w:val="21"/>
      </w:rPr>
      <w:t>113</w:t>
    </w:r>
  </w:p>
</w:ftr>
</file>

<file path=word/footer13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BFBCEFE">
    <w:pPr>
      <w:spacing w:line="177" w:lineRule="auto"/>
      <w:rPr>
        <w:rFonts w:ascii="Times New Roman" w:hAnsi="Times New Roman" w:eastAsia="Times New Roman" w:cs="Times New Roman"/>
        <w:sz w:val="20"/>
        <w:szCs w:val="20"/>
      </w:rPr>
    </w:pPr>
    <w:r>
      <w:rPr>
        <w:rFonts w:ascii="Times New Roman" w:hAnsi="Times New Roman" w:eastAsia="Times New Roman" w:cs="Times New Roman"/>
        <w:spacing w:val="-6"/>
        <w:sz w:val="20"/>
        <w:szCs w:val="20"/>
      </w:rPr>
      <w:t>114</w:t>
    </w:r>
  </w:p>
</w:ftr>
</file>

<file path=word/footer13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92664D5">
    <w:pPr>
      <w:spacing w:line="177" w:lineRule="auto"/>
      <w:jc w:val="right"/>
      <w:rPr>
        <w:rFonts w:ascii="Times New Roman" w:hAnsi="Times New Roman" w:eastAsia="Times New Roman" w:cs="Times New Roman"/>
        <w:sz w:val="20"/>
        <w:szCs w:val="20"/>
      </w:rPr>
    </w:pPr>
    <w:r>
      <w:rPr>
        <w:rFonts w:ascii="Times New Roman" w:hAnsi="Times New Roman" w:eastAsia="Times New Roman" w:cs="Times New Roman"/>
        <w:spacing w:val="-8"/>
        <w:sz w:val="20"/>
        <w:szCs w:val="20"/>
      </w:rPr>
      <w:t>115</w:t>
    </w:r>
  </w:p>
</w:ftr>
</file>

<file path=word/footer13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3B8F434">
    <w:pPr>
      <w:spacing w:line="177" w:lineRule="auto"/>
      <w:rPr>
        <w:rFonts w:ascii="Times New Roman" w:hAnsi="Times New Roman" w:eastAsia="Times New Roman" w:cs="Times New Roman"/>
        <w:sz w:val="19"/>
        <w:szCs w:val="19"/>
      </w:rPr>
    </w:pPr>
    <w:r>
      <w:rPr>
        <w:rFonts w:ascii="Times New Roman" w:hAnsi="Times New Roman" w:eastAsia="Times New Roman" w:cs="Times New Roman"/>
        <w:spacing w:val="-5"/>
        <w:sz w:val="19"/>
        <w:szCs w:val="19"/>
      </w:rPr>
      <w:t>116</w:t>
    </w:r>
  </w:p>
</w:ftr>
</file>

<file path=word/footer13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6BFA757">
    <w:pPr>
      <w:spacing w:line="178" w:lineRule="auto"/>
      <w:jc w:val="right"/>
      <w:rPr>
        <w:rFonts w:ascii="Times New Roman" w:hAnsi="Times New Roman" w:eastAsia="Times New Roman" w:cs="Times New Roman"/>
        <w:sz w:val="21"/>
        <w:szCs w:val="21"/>
      </w:rPr>
    </w:pPr>
    <w:r>
      <w:rPr>
        <w:rFonts w:ascii="Times New Roman" w:hAnsi="Times New Roman" w:eastAsia="Times New Roman" w:cs="Times New Roman"/>
        <w:spacing w:val="-9"/>
        <w:sz w:val="21"/>
        <w:szCs w:val="21"/>
      </w:rPr>
      <w:t>117</w:t>
    </w: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4CC12CA">
    <w:pPr>
      <w:spacing w:line="178" w:lineRule="auto"/>
      <w:rPr>
        <w:rFonts w:ascii="Times New Roman" w:hAnsi="Times New Roman" w:eastAsia="Times New Roman" w:cs="Times New Roman"/>
        <w:sz w:val="21"/>
        <w:szCs w:val="21"/>
      </w:rPr>
    </w:pPr>
    <w:r>
      <w:rPr>
        <w:rFonts w:ascii="Times New Roman" w:hAnsi="Times New Roman" w:eastAsia="Times New Roman" w:cs="Times New Roman"/>
        <w:spacing w:val="-7"/>
        <w:sz w:val="21"/>
        <w:szCs w:val="21"/>
      </w:rPr>
      <w:t>16</w:t>
    </w:r>
  </w:p>
</w:ftr>
</file>

<file path=word/footer14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ED0BADD">
    <w:pPr>
      <w:spacing w:line="177" w:lineRule="auto"/>
      <w:rPr>
        <w:rFonts w:ascii="Times New Roman" w:hAnsi="Times New Roman" w:eastAsia="Times New Roman" w:cs="Times New Roman"/>
        <w:sz w:val="19"/>
        <w:szCs w:val="19"/>
      </w:rPr>
    </w:pPr>
    <w:r>
      <w:rPr>
        <w:rFonts w:ascii="Times New Roman" w:hAnsi="Times New Roman" w:eastAsia="Times New Roman" w:cs="Times New Roman"/>
        <w:spacing w:val="-5"/>
        <w:sz w:val="19"/>
        <w:szCs w:val="19"/>
      </w:rPr>
      <w:t>118</w:t>
    </w:r>
  </w:p>
</w:ftr>
</file>

<file path=word/footer14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CBDD2FF">
    <w:pPr>
      <w:spacing w:line="178" w:lineRule="auto"/>
      <w:jc w:val="right"/>
      <w:rPr>
        <w:rFonts w:ascii="Times New Roman" w:hAnsi="Times New Roman" w:eastAsia="Times New Roman" w:cs="Times New Roman"/>
        <w:sz w:val="21"/>
        <w:szCs w:val="21"/>
      </w:rPr>
    </w:pPr>
    <w:r>
      <w:rPr>
        <w:rFonts w:ascii="Times New Roman" w:hAnsi="Times New Roman" w:eastAsia="Times New Roman" w:cs="Times New Roman"/>
        <w:spacing w:val="-9"/>
        <w:sz w:val="21"/>
        <w:szCs w:val="21"/>
      </w:rPr>
      <w:t>119</w:t>
    </w:r>
  </w:p>
</w:ftr>
</file>

<file path=word/footer14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B2CF812">
    <w:pPr>
      <w:spacing w:line="177" w:lineRule="auto"/>
      <w:rPr>
        <w:rFonts w:ascii="Times New Roman" w:hAnsi="Times New Roman" w:eastAsia="Times New Roman" w:cs="Times New Roman"/>
        <w:sz w:val="19"/>
        <w:szCs w:val="19"/>
      </w:rPr>
    </w:pPr>
    <w:r>
      <w:rPr>
        <w:rFonts w:ascii="Times New Roman" w:hAnsi="Times New Roman" w:eastAsia="Times New Roman" w:cs="Times New Roman"/>
        <w:spacing w:val="-5"/>
        <w:sz w:val="19"/>
        <w:szCs w:val="19"/>
      </w:rPr>
      <w:t>120</w:t>
    </w:r>
  </w:p>
</w:ftr>
</file>

<file path=word/footer14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312A07B">
    <w:pPr>
      <w:spacing w:line="177" w:lineRule="auto"/>
      <w:jc w:val="right"/>
      <w:rPr>
        <w:rFonts w:ascii="Times New Roman" w:hAnsi="Times New Roman" w:eastAsia="Times New Roman" w:cs="Times New Roman"/>
        <w:sz w:val="20"/>
        <w:szCs w:val="20"/>
      </w:rPr>
    </w:pPr>
    <w:r>
      <w:rPr>
        <w:rFonts w:ascii="Times New Roman" w:hAnsi="Times New Roman" w:eastAsia="Times New Roman" w:cs="Times New Roman"/>
        <w:spacing w:val="-8"/>
        <w:sz w:val="20"/>
        <w:szCs w:val="20"/>
      </w:rPr>
      <w:t>121</w:t>
    </w:r>
  </w:p>
</w:ftr>
</file>

<file path=word/footer14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76E6A6F">
    <w:pPr>
      <w:spacing w:line="231" w:lineRule="auto"/>
      <w:rPr>
        <w:rFonts w:ascii="宋体" w:hAnsi="宋体" w:eastAsia="宋体" w:cs="宋体"/>
        <w:sz w:val="20"/>
        <w:szCs w:val="20"/>
      </w:rPr>
    </w:pPr>
    <w:r>
      <w:rPr>
        <w:rFonts w:ascii="宋体" w:hAnsi="宋体" w:eastAsia="宋体" w:cs="宋体"/>
        <w:spacing w:val="-6"/>
        <w:sz w:val="20"/>
        <w:szCs w:val="20"/>
      </w:rPr>
      <w:t>122</w:t>
    </w:r>
  </w:p>
</w:ftr>
</file>

<file path=word/footer14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77385F0">
    <w:pPr>
      <w:spacing w:line="177" w:lineRule="auto"/>
      <w:jc w:val="right"/>
      <w:rPr>
        <w:rFonts w:ascii="Times New Roman" w:hAnsi="Times New Roman" w:eastAsia="Times New Roman" w:cs="Times New Roman"/>
        <w:sz w:val="20"/>
        <w:szCs w:val="20"/>
      </w:rPr>
    </w:pPr>
    <w:r>
      <w:rPr>
        <w:rFonts w:ascii="Times New Roman" w:hAnsi="Times New Roman" w:eastAsia="Times New Roman" w:cs="Times New Roman"/>
        <w:spacing w:val="-8"/>
        <w:sz w:val="20"/>
        <w:szCs w:val="20"/>
      </w:rPr>
      <w:t>123</w:t>
    </w:r>
  </w:p>
</w:ftr>
</file>

<file path=word/footer14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D2C3FE8">
    <w:pPr>
      <w:spacing w:line="177" w:lineRule="auto"/>
      <w:rPr>
        <w:rFonts w:ascii="Times New Roman" w:hAnsi="Times New Roman" w:eastAsia="Times New Roman" w:cs="Times New Roman"/>
        <w:sz w:val="19"/>
        <w:szCs w:val="19"/>
      </w:rPr>
    </w:pPr>
    <w:r>
      <w:rPr>
        <w:rFonts w:ascii="Times New Roman" w:hAnsi="Times New Roman" w:eastAsia="Times New Roman" w:cs="Times New Roman"/>
        <w:spacing w:val="-5"/>
        <w:sz w:val="19"/>
        <w:szCs w:val="19"/>
      </w:rPr>
      <w:t>124</w:t>
    </w:r>
  </w:p>
</w:ftr>
</file>

<file path=word/footer14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E3F576D">
    <w:pPr>
      <w:spacing w:line="177" w:lineRule="auto"/>
      <w:jc w:val="right"/>
      <w:rPr>
        <w:rFonts w:ascii="Times New Roman" w:hAnsi="Times New Roman" w:eastAsia="Times New Roman" w:cs="Times New Roman"/>
        <w:sz w:val="20"/>
        <w:szCs w:val="20"/>
      </w:rPr>
    </w:pPr>
    <w:r>
      <w:rPr>
        <w:rFonts w:ascii="Times New Roman" w:hAnsi="Times New Roman" w:eastAsia="Times New Roman" w:cs="Times New Roman"/>
        <w:spacing w:val="-8"/>
        <w:sz w:val="20"/>
        <w:szCs w:val="20"/>
      </w:rPr>
      <w:t>125</w:t>
    </w:r>
  </w:p>
</w:ftr>
</file>

<file path=word/footer14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B09A146">
    <w:pPr>
      <w:spacing w:line="177" w:lineRule="auto"/>
      <w:rPr>
        <w:rFonts w:ascii="Times New Roman" w:hAnsi="Times New Roman" w:eastAsia="Times New Roman" w:cs="Times New Roman"/>
        <w:sz w:val="19"/>
        <w:szCs w:val="19"/>
      </w:rPr>
    </w:pPr>
    <w:r>
      <w:rPr>
        <w:rFonts w:ascii="Times New Roman" w:hAnsi="Times New Roman" w:eastAsia="Times New Roman" w:cs="Times New Roman"/>
        <w:spacing w:val="-5"/>
        <w:sz w:val="19"/>
        <w:szCs w:val="19"/>
      </w:rPr>
      <w:t>126</w:t>
    </w:r>
  </w:p>
</w:ftr>
</file>

<file path=word/footer14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CCA086D">
    <w:pPr>
      <w:spacing w:line="177" w:lineRule="auto"/>
      <w:jc w:val="right"/>
      <w:rPr>
        <w:rFonts w:ascii="Times New Roman" w:hAnsi="Times New Roman" w:eastAsia="Times New Roman" w:cs="Times New Roman"/>
        <w:sz w:val="20"/>
        <w:szCs w:val="20"/>
      </w:rPr>
    </w:pPr>
    <w:r>
      <w:rPr>
        <w:rFonts w:ascii="Times New Roman" w:hAnsi="Times New Roman" w:eastAsia="Times New Roman" w:cs="Times New Roman"/>
        <w:spacing w:val="-8"/>
        <w:sz w:val="20"/>
        <w:szCs w:val="20"/>
      </w:rPr>
      <w:t>127</w:t>
    </w: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A06CD2F">
    <w:pPr>
      <w:spacing w:line="178" w:lineRule="auto"/>
      <w:jc w:val="right"/>
      <w:rPr>
        <w:rFonts w:ascii="Times New Roman" w:hAnsi="Times New Roman" w:eastAsia="Times New Roman" w:cs="Times New Roman"/>
        <w:sz w:val="22"/>
        <w:szCs w:val="22"/>
      </w:rPr>
    </w:pPr>
    <w:r>
      <w:rPr>
        <w:rFonts w:ascii="Times New Roman" w:hAnsi="Times New Roman" w:eastAsia="Times New Roman" w:cs="Times New Roman"/>
        <w:spacing w:val="-16"/>
        <w:sz w:val="22"/>
        <w:szCs w:val="22"/>
      </w:rPr>
      <w:t>1</w:t>
    </w:r>
    <w:r>
      <w:rPr>
        <w:rFonts w:ascii="Times New Roman" w:hAnsi="Times New Roman" w:eastAsia="Times New Roman" w:cs="Times New Roman"/>
        <w:spacing w:val="-10"/>
        <w:sz w:val="22"/>
        <w:szCs w:val="22"/>
      </w:rPr>
      <w:t>7</w:t>
    </w:r>
  </w:p>
</w:ftr>
</file>

<file path=word/footer15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816881D">
    <w:pPr>
      <w:spacing w:line="177" w:lineRule="auto"/>
      <w:rPr>
        <w:rFonts w:ascii="Times New Roman" w:hAnsi="Times New Roman" w:eastAsia="Times New Roman" w:cs="Times New Roman"/>
        <w:sz w:val="19"/>
        <w:szCs w:val="19"/>
      </w:rPr>
    </w:pPr>
    <w:r>
      <w:rPr>
        <w:rFonts w:ascii="Times New Roman" w:hAnsi="Times New Roman" w:eastAsia="Times New Roman" w:cs="Times New Roman"/>
        <w:spacing w:val="-5"/>
        <w:sz w:val="19"/>
        <w:szCs w:val="19"/>
      </w:rPr>
      <w:t>128</w:t>
    </w:r>
  </w:p>
</w:ftr>
</file>

<file path=word/footer15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BFFA3D0">
    <w:pPr>
      <w:spacing w:line="177" w:lineRule="auto"/>
      <w:jc w:val="right"/>
      <w:rPr>
        <w:rFonts w:ascii="Times New Roman" w:hAnsi="Times New Roman" w:eastAsia="Times New Roman" w:cs="Times New Roman"/>
        <w:sz w:val="20"/>
        <w:szCs w:val="20"/>
      </w:rPr>
    </w:pPr>
    <w:r>
      <w:rPr>
        <w:rFonts w:ascii="Times New Roman" w:hAnsi="Times New Roman" w:eastAsia="Times New Roman" w:cs="Times New Roman"/>
        <w:spacing w:val="-8"/>
        <w:sz w:val="20"/>
        <w:szCs w:val="20"/>
      </w:rPr>
      <w:t>129</w:t>
    </w:r>
  </w:p>
</w:ftr>
</file>

<file path=word/footer15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656AFC5">
    <w:pPr>
      <w:spacing w:line="177" w:lineRule="auto"/>
      <w:rPr>
        <w:rFonts w:ascii="Times New Roman" w:hAnsi="Times New Roman" w:eastAsia="Times New Roman" w:cs="Times New Roman"/>
        <w:sz w:val="20"/>
        <w:szCs w:val="20"/>
      </w:rPr>
    </w:pPr>
    <w:r>
      <w:rPr>
        <w:rFonts w:ascii="Times New Roman" w:hAnsi="Times New Roman" w:eastAsia="Times New Roman" w:cs="Times New Roman"/>
        <w:spacing w:val="-6"/>
        <w:sz w:val="20"/>
        <w:szCs w:val="20"/>
      </w:rPr>
      <w:t>130</w:t>
    </w:r>
  </w:p>
</w:ftr>
</file>

<file path=word/footer15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BBA48E3">
    <w:pPr>
      <w:spacing w:line="177" w:lineRule="auto"/>
      <w:jc w:val="right"/>
      <w:rPr>
        <w:rFonts w:ascii="Times New Roman" w:hAnsi="Times New Roman" w:eastAsia="Times New Roman" w:cs="Times New Roman"/>
        <w:sz w:val="20"/>
        <w:szCs w:val="20"/>
      </w:rPr>
    </w:pPr>
    <w:r>
      <w:rPr>
        <w:rFonts w:ascii="Times New Roman" w:hAnsi="Times New Roman" w:eastAsia="Times New Roman" w:cs="Times New Roman"/>
        <w:spacing w:val="-8"/>
        <w:sz w:val="20"/>
        <w:szCs w:val="20"/>
      </w:rPr>
      <w:t>131</w:t>
    </w:r>
  </w:p>
</w:ftr>
</file>

<file path=word/footer15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1572929">
    <w:pPr>
      <w:spacing w:line="177" w:lineRule="auto"/>
      <w:rPr>
        <w:rFonts w:ascii="Times New Roman" w:hAnsi="Times New Roman" w:eastAsia="Times New Roman" w:cs="Times New Roman"/>
        <w:sz w:val="19"/>
        <w:szCs w:val="19"/>
      </w:rPr>
    </w:pPr>
    <w:r>
      <w:rPr>
        <w:rFonts w:ascii="Times New Roman" w:hAnsi="Times New Roman" w:eastAsia="Times New Roman" w:cs="Times New Roman"/>
        <w:spacing w:val="-5"/>
        <w:sz w:val="19"/>
        <w:szCs w:val="19"/>
      </w:rPr>
      <w:t>132</w:t>
    </w:r>
  </w:p>
</w:ftr>
</file>

<file path=word/footer15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C3660B7">
    <w:pPr>
      <w:spacing w:line="177" w:lineRule="auto"/>
      <w:jc w:val="right"/>
      <w:rPr>
        <w:rFonts w:ascii="Times New Roman" w:hAnsi="Times New Roman" w:eastAsia="Times New Roman" w:cs="Times New Roman"/>
        <w:sz w:val="20"/>
        <w:szCs w:val="20"/>
      </w:rPr>
    </w:pPr>
    <w:r>
      <w:rPr>
        <w:rFonts w:ascii="Times New Roman" w:hAnsi="Times New Roman" w:eastAsia="Times New Roman" w:cs="Times New Roman"/>
        <w:spacing w:val="-8"/>
        <w:sz w:val="20"/>
        <w:szCs w:val="20"/>
      </w:rPr>
      <w:t>133</w:t>
    </w:r>
  </w:p>
</w:ftr>
</file>

<file path=word/footer15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7C59A4D">
    <w:pPr>
      <w:spacing w:line="177" w:lineRule="auto"/>
      <w:rPr>
        <w:rFonts w:ascii="Times New Roman" w:hAnsi="Times New Roman" w:eastAsia="Times New Roman" w:cs="Times New Roman"/>
        <w:sz w:val="20"/>
        <w:szCs w:val="20"/>
      </w:rPr>
    </w:pPr>
    <w:r>
      <w:rPr>
        <w:rFonts w:ascii="Times New Roman" w:hAnsi="Times New Roman" w:eastAsia="Times New Roman" w:cs="Times New Roman"/>
        <w:spacing w:val="-6"/>
        <w:sz w:val="20"/>
        <w:szCs w:val="20"/>
      </w:rPr>
      <w:t>134</w:t>
    </w:r>
  </w:p>
</w:ftr>
</file>

<file path=word/footer15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83815AA">
    <w:pPr>
      <w:spacing w:line="177" w:lineRule="auto"/>
      <w:jc w:val="right"/>
      <w:rPr>
        <w:rFonts w:ascii="Times New Roman" w:hAnsi="Times New Roman" w:eastAsia="Times New Roman" w:cs="Times New Roman"/>
        <w:sz w:val="20"/>
        <w:szCs w:val="20"/>
      </w:rPr>
    </w:pPr>
    <w:r>
      <w:rPr>
        <w:rFonts w:ascii="Times New Roman" w:hAnsi="Times New Roman" w:eastAsia="Times New Roman" w:cs="Times New Roman"/>
        <w:b/>
        <w:bCs/>
        <w:spacing w:val="-5"/>
        <w:sz w:val="20"/>
        <w:szCs w:val="20"/>
      </w:rPr>
      <w:t>135</w:t>
    </w:r>
  </w:p>
</w:ftr>
</file>

<file path=word/footer15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13AAC74">
    <w:pPr>
      <w:spacing w:line="177" w:lineRule="auto"/>
      <w:rPr>
        <w:rFonts w:ascii="Times New Roman" w:hAnsi="Times New Roman" w:eastAsia="Times New Roman" w:cs="Times New Roman"/>
        <w:sz w:val="20"/>
        <w:szCs w:val="20"/>
      </w:rPr>
    </w:pPr>
    <w:r>
      <w:rPr>
        <w:rFonts w:ascii="Times New Roman" w:hAnsi="Times New Roman" w:eastAsia="Times New Roman" w:cs="Times New Roman"/>
        <w:spacing w:val="-6"/>
        <w:sz w:val="20"/>
        <w:szCs w:val="20"/>
      </w:rPr>
      <w:t>136</w:t>
    </w:r>
  </w:p>
</w:ftr>
</file>

<file path=word/footer15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4D132F0">
    <w:pPr>
      <w:spacing w:line="177" w:lineRule="auto"/>
      <w:jc w:val="right"/>
      <w:rPr>
        <w:rFonts w:ascii="Times New Roman" w:hAnsi="Times New Roman" w:eastAsia="Times New Roman" w:cs="Times New Roman"/>
        <w:sz w:val="19"/>
        <w:szCs w:val="19"/>
      </w:rPr>
    </w:pPr>
    <w:r>
      <w:rPr>
        <w:rFonts w:ascii="Times New Roman" w:hAnsi="Times New Roman" w:eastAsia="Times New Roman" w:cs="Times New Roman"/>
        <w:spacing w:val="-8"/>
        <w:sz w:val="19"/>
        <w:szCs w:val="19"/>
      </w:rPr>
      <w:t>137</w:t>
    </w: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77CC2ED">
    <w:pPr>
      <w:spacing w:line="178" w:lineRule="auto"/>
      <w:rPr>
        <w:rFonts w:ascii="Times New Roman" w:hAnsi="Times New Roman" w:eastAsia="Times New Roman" w:cs="Times New Roman"/>
        <w:sz w:val="21"/>
        <w:szCs w:val="21"/>
      </w:rPr>
    </w:pPr>
    <w:r>
      <w:rPr>
        <w:rFonts w:ascii="Times New Roman" w:hAnsi="Times New Roman" w:eastAsia="Times New Roman" w:cs="Times New Roman"/>
        <w:b/>
        <w:bCs/>
        <w:spacing w:val="-4"/>
        <w:sz w:val="21"/>
        <w:szCs w:val="21"/>
      </w:rPr>
      <w:t>18</w:t>
    </w:r>
  </w:p>
</w:ftr>
</file>

<file path=word/footer16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95577D2">
    <w:pPr>
      <w:spacing w:line="177" w:lineRule="auto"/>
      <w:rPr>
        <w:rFonts w:ascii="Times New Roman" w:hAnsi="Times New Roman" w:eastAsia="Times New Roman" w:cs="Times New Roman"/>
        <w:sz w:val="20"/>
        <w:szCs w:val="20"/>
      </w:rPr>
    </w:pPr>
    <w:r>
      <w:rPr>
        <w:rFonts w:ascii="Times New Roman" w:hAnsi="Times New Roman" w:eastAsia="Times New Roman" w:cs="Times New Roman"/>
        <w:spacing w:val="-6"/>
        <w:sz w:val="20"/>
        <w:szCs w:val="20"/>
      </w:rPr>
      <w:t>138</w:t>
    </w:r>
  </w:p>
</w:ftr>
</file>

<file path=word/footer16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D1BE63D">
    <w:pPr>
      <w:spacing w:line="177" w:lineRule="auto"/>
      <w:jc w:val="right"/>
      <w:rPr>
        <w:rFonts w:ascii="Times New Roman" w:hAnsi="Times New Roman" w:eastAsia="Times New Roman" w:cs="Times New Roman"/>
        <w:sz w:val="19"/>
        <w:szCs w:val="19"/>
      </w:rPr>
    </w:pPr>
    <w:r>
      <w:rPr>
        <w:rFonts w:ascii="Times New Roman" w:hAnsi="Times New Roman" w:eastAsia="Times New Roman" w:cs="Times New Roman"/>
        <w:spacing w:val="-8"/>
        <w:sz w:val="19"/>
        <w:szCs w:val="19"/>
      </w:rPr>
      <w:t>139</w:t>
    </w:r>
  </w:p>
</w:ftr>
</file>

<file path=word/footer16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81B2BD4">
    <w:pPr>
      <w:spacing w:line="177" w:lineRule="auto"/>
      <w:rPr>
        <w:rFonts w:ascii="Times New Roman" w:hAnsi="Times New Roman" w:eastAsia="Times New Roman" w:cs="Times New Roman"/>
        <w:sz w:val="19"/>
        <w:szCs w:val="19"/>
      </w:rPr>
    </w:pPr>
    <w:r>
      <w:rPr>
        <w:rFonts w:ascii="Times New Roman" w:hAnsi="Times New Roman" w:eastAsia="Times New Roman" w:cs="Times New Roman"/>
        <w:spacing w:val="-5"/>
        <w:sz w:val="19"/>
        <w:szCs w:val="19"/>
      </w:rPr>
      <w:t>140</w:t>
    </w:r>
  </w:p>
</w:ftr>
</file>

<file path=word/footer16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3F799C0">
    <w:pPr>
      <w:spacing w:line="177" w:lineRule="auto"/>
      <w:jc w:val="right"/>
      <w:rPr>
        <w:rFonts w:ascii="Times New Roman" w:hAnsi="Times New Roman" w:eastAsia="Times New Roman" w:cs="Times New Roman"/>
        <w:sz w:val="20"/>
        <w:szCs w:val="20"/>
      </w:rPr>
    </w:pPr>
    <w:r>
      <w:rPr>
        <w:rFonts w:ascii="Times New Roman" w:hAnsi="Times New Roman" w:eastAsia="Times New Roman" w:cs="Times New Roman"/>
        <w:spacing w:val="-8"/>
        <w:sz w:val="20"/>
        <w:szCs w:val="20"/>
      </w:rPr>
      <w:t>141</w:t>
    </w:r>
  </w:p>
</w:ftr>
</file>

<file path=word/footer16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23B9AB2">
    <w:pPr>
      <w:spacing w:line="177" w:lineRule="auto"/>
      <w:rPr>
        <w:rFonts w:ascii="Times New Roman" w:hAnsi="Times New Roman" w:eastAsia="Times New Roman" w:cs="Times New Roman"/>
        <w:sz w:val="20"/>
        <w:szCs w:val="20"/>
      </w:rPr>
    </w:pPr>
    <w:r>
      <w:rPr>
        <w:rFonts w:ascii="Times New Roman" w:hAnsi="Times New Roman" w:eastAsia="Times New Roman" w:cs="Times New Roman"/>
        <w:spacing w:val="-6"/>
        <w:sz w:val="20"/>
        <w:szCs w:val="20"/>
      </w:rPr>
      <w:t>142</w:t>
    </w:r>
  </w:p>
</w:ftr>
</file>

<file path=word/footer16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B3D0177">
    <w:pPr>
      <w:spacing w:line="175" w:lineRule="auto"/>
      <w:jc w:val="right"/>
      <w:rPr>
        <w:rFonts w:ascii="Times New Roman" w:hAnsi="Times New Roman" w:eastAsia="Times New Roman" w:cs="Times New Roman"/>
        <w:sz w:val="17"/>
        <w:szCs w:val="17"/>
      </w:rPr>
    </w:pPr>
    <w:r>
      <w:rPr>
        <w:rFonts w:ascii="Times New Roman" w:hAnsi="Times New Roman" w:eastAsia="Times New Roman" w:cs="Times New Roman"/>
        <w:spacing w:val="-7"/>
        <w:sz w:val="17"/>
        <w:szCs w:val="17"/>
      </w:rPr>
      <w:t>143</w:t>
    </w:r>
  </w:p>
</w:ftr>
</file>

<file path=word/footer16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C469FC4">
    <w:pPr>
      <w:spacing w:line="177" w:lineRule="auto"/>
      <w:rPr>
        <w:rFonts w:ascii="Times New Roman" w:hAnsi="Times New Roman" w:eastAsia="Times New Roman" w:cs="Times New Roman"/>
        <w:sz w:val="20"/>
        <w:szCs w:val="20"/>
      </w:rPr>
    </w:pPr>
    <w:r>
      <w:rPr>
        <w:rFonts w:ascii="Times New Roman" w:hAnsi="Times New Roman" w:eastAsia="Times New Roman" w:cs="Times New Roman"/>
        <w:spacing w:val="-6"/>
        <w:sz w:val="20"/>
        <w:szCs w:val="20"/>
      </w:rPr>
      <w:t>144</w:t>
    </w:r>
  </w:p>
</w:ftr>
</file>

<file path=word/footer16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0C92CC8">
    <w:pPr>
      <w:spacing w:line="177" w:lineRule="auto"/>
      <w:jc w:val="right"/>
      <w:rPr>
        <w:rFonts w:ascii="Times New Roman" w:hAnsi="Times New Roman" w:eastAsia="Times New Roman" w:cs="Times New Roman"/>
        <w:sz w:val="20"/>
        <w:szCs w:val="20"/>
      </w:rPr>
    </w:pPr>
    <w:r>
      <w:rPr>
        <w:rFonts w:ascii="Times New Roman" w:hAnsi="Times New Roman" w:eastAsia="Times New Roman" w:cs="Times New Roman"/>
        <w:spacing w:val="-8"/>
        <w:sz w:val="20"/>
        <w:szCs w:val="20"/>
      </w:rPr>
      <w:t>145</w:t>
    </w:r>
  </w:p>
</w:ftr>
</file>

<file path=word/footer16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EE0F8E1">
    <w:pPr>
      <w:spacing w:line="177" w:lineRule="auto"/>
      <w:rPr>
        <w:rFonts w:ascii="Times New Roman" w:hAnsi="Times New Roman" w:eastAsia="Times New Roman" w:cs="Times New Roman"/>
        <w:sz w:val="20"/>
        <w:szCs w:val="20"/>
      </w:rPr>
    </w:pPr>
    <w:r>
      <w:rPr>
        <w:rFonts w:ascii="Times New Roman" w:hAnsi="Times New Roman" w:eastAsia="Times New Roman" w:cs="Times New Roman"/>
        <w:spacing w:val="-6"/>
        <w:sz w:val="20"/>
        <w:szCs w:val="20"/>
      </w:rPr>
      <w:t>146</w:t>
    </w:r>
  </w:p>
</w:ftr>
</file>

<file path=word/footer16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2FC5205">
    <w:pPr>
      <w:spacing w:line="177" w:lineRule="auto"/>
      <w:jc w:val="right"/>
      <w:rPr>
        <w:rFonts w:ascii="Times New Roman" w:hAnsi="Times New Roman" w:eastAsia="Times New Roman" w:cs="Times New Roman"/>
        <w:sz w:val="20"/>
        <w:szCs w:val="20"/>
      </w:rPr>
    </w:pPr>
    <w:r>
      <w:rPr>
        <w:rFonts w:ascii="Times New Roman" w:hAnsi="Times New Roman" w:eastAsia="Times New Roman" w:cs="Times New Roman"/>
        <w:spacing w:val="-8"/>
        <w:sz w:val="20"/>
        <w:szCs w:val="20"/>
      </w:rPr>
      <w:t>147</w:t>
    </w: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C2E0EAC">
    <w:pPr>
      <w:spacing w:line="178" w:lineRule="auto"/>
      <w:jc w:val="right"/>
      <w:rPr>
        <w:rFonts w:ascii="Times New Roman" w:hAnsi="Times New Roman" w:eastAsia="Times New Roman" w:cs="Times New Roman"/>
        <w:sz w:val="22"/>
        <w:szCs w:val="22"/>
      </w:rPr>
    </w:pPr>
    <w:r>
      <w:rPr>
        <w:rFonts w:ascii="Times New Roman" w:hAnsi="Times New Roman" w:eastAsia="Times New Roman" w:cs="Times New Roman"/>
        <w:spacing w:val="-16"/>
        <w:sz w:val="22"/>
        <w:szCs w:val="22"/>
      </w:rPr>
      <w:t>1</w:t>
    </w:r>
    <w:r>
      <w:rPr>
        <w:rFonts w:ascii="Times New Roman" w:hAnsi="Times New Roman" w:eastAsia="Times New Roman" w:cs="Times New Roman"/>
        <w:spacing w:val="-10"/>
        <w:sz w:val="22"/>
        <w:szCs w:val="22"/>
      </w:rPr>
      <w:t>9</w:t>
    </w:r>
  </w:p>
</w:ftr>
</file>

<file path=word/footer17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BD3B8CA">
    <w:pPr>
      <w:spacing w:line="177" w:lineRule="auto"/>
      <w:rPr>
        <w:rFonts w:ascii="Times New Roman" w:hAnsi="Times New Roman" w:eastAsia="Times New Roman" w:cs="Times New Roman"/>
        <w:sz w:val="20"/>
        <w:szCs w:val="20"/>
      </w:rPr>
    </w:pPr>
    <w:r>
      <w:rPr>
        <w:rFonts w:ascii="Times New Roman" w:hAnsi="Times New Roman" w:eastAsia="Times New Roman" w:cs="Times New Roman"/>
        <w:spacing w:val="-6"/>
        <w:sz w:val="20"/>
        <w:szCs w:val="20"/>
      </w:rPr>
      <w:t>148</w:t>
    </w:r>
  </w:p>
</w:ftr>
</file>

<file path=word/footer17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3F07FA5">
    <w:pPr>
      <w:spacing w:line="177" w:lineRule="auto"/>
      <w:jc w:val="right"/>
      <w:rPr>
        <w:rFonts w:ascii="Times New Roman" w:hAnsi="Times New Roman" w:eastAsia="Times New Roman" w:cs="Times New Roman"/>
        <w:sz w:val="20"/>
        <w:szCs w:val="20"/>
      </w:rPr>
    </w:pPr>
    <w:r>
      <w:rPr>
        <w:rFonts w:ascii="Times New Roman" w:hAnsi="Times New Roman" w:eastAsia="Times New Roman" w:cs="Times New Roman"/>
        <w:spacing w:val="-8"/>
        <w:sz w:val="20"/>
        <w:szCs w:val="20"/>
      </w:rPr>
      <w:t>149</w:t>
    </w:r>
  </w:p>
</w:ftr>
</file>

<file path=word/footer17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CA79B23">
    <w:pPr>
      <w:spacing w:line="177" w:lineRule="auto"/>
      <w:rPr>
        <w:rFonts w:ascii="Times New Roman" w:hAnsi="Times New Roman" w:eastAsia="Times New Roman" w:cs="Times New Roman"/>
        <w:sz w:val="20"/>
        <w:szCs w:val="20"/>
      </w:rPr>
    </w:pPr>
    <w:r>
      <w:rPr>
        <w:rFonts w:ascii="Times New Roman" w:hAnsi="Times New Roman" w:eastAsia="Times New Roman" w:cs="Times New Roman"/>
        <w:spacing w:val="-6"/>
        <w:sz w:val="20"/>
        <w:szCs w:val="20"/>
      </w:rPr>
      <w:t>150</w:t>
    </w:r>
  </w:p>
</w:ftr>
</file>

<file path=word/footer17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A44DE18">
    <w:pPr>
      <w:spacing w:line="177" w:lineRule="auto"/>
      <w:jc w:val="right"/>
      <w:rPr>
        <w:rFonts w:ascii="Times New Roman" w:hAnsi="Times New Roman" w:eastAsia="Times New Roman" w:cs="Times New Roman"/>
        <w:sz w:val="20"/>
        <w:szCs w:val="20"/>
      </w:rPr>
    </w:pPr>
    <w:r>
      <w:rPr>
        <w:rFonts w:ascii="Times New Roman" w:hAnsi="Times New Roman" w:eastAsia="Times New Roman" w:cs="Times New Roman"/>
        <w:spacing w:val="-8"/>
        <w:sz w:val="20"/>
        <w:szCs w:val="20"/>
      </w:rPr>
      <w:t>151</w:t>
    </w:r>
  </w:p>
</w:ftr>
</file>

<file path=word/footer17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AACD245">
    <w:pPr>
      <w:spacing w:line="177" w:lineRule="auto"/>
      <w:rPr>
        <w:rFonts w:ascii="Times New Roman" w:hAnsi="Times New Roman" w:eastAsia="Times New Roman" w:cs="Times New Roman"/>
        <w:sz w:val="20"/>
        <w:szCs w:val="20"/>
      </w:rPr>
    </w:pPr>
    <w:r>
      <w:rPr>
        <w:rFonts w:ascii="Times New Roman" w:hAnsi="Times New Roman" w:eastAsia="Times New Roman" w:cs="Times New Roman"/>
        <w:spacing w:val="-6"/>
        <w:sz w:val="20"/>
        <w:szCs w:val="20"/>
      </w:rPr>
      <w:t>152</w:t>
    </w:r>
  </w:p>
</w:ftr>
</file>

<file path=word/footer17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97CA0BA">
    <w:pPr>
      <w:spacing w:line="176" w:lineRule="auto"/>
      <w:jc w:val="right"/>
      <w:rPr>
        <w:rFonts w:ascii="Times New Roman" w:hAnsi="Times New Roman" w:eastAsia="Times New Roman" w:cs="Times New Roman"/>
        <w:sz w:val="18"/>
        <w:szCs w:val="18"/>
      </w:rPr>
    </w:pPr>
    <w:r>
      <w:rPr>
        <w:rFonts w:ascii="Times New Roman" w:hAnsi="Times New Roman" w:eastAsia="Times New Roman" w:cs="Times New Roman"/>
        <w:spacing w:val="-8"/>
        <w:sz w:val="18"/>
        <w:szCs w:val="18"/>
      </w:rPr>
      <w:t>153</w:t>
    </w:r>
  </w:p>
</w:ftr>
</file>

<file path=word/footer17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42594DD">
    <w:pPr>
      <w:spacing w:line="177" w:lineRule="auto"/>
      <w:rPr>
        <w:rFonts w:ascii="Times New Roman" w:hAnsi="Times New Roman" w:eastAsia="Times New Roman" w:cs="Times New Roman"/>
        <w:sz w:val="20"/>
        <w:szCs w:val="20"/>
      </w:rPr>
    </w:pPr>
    <w:r>
      <w:rPr>
        <w:rFonts w:ascii="Times New Roman" w:hAnsi="Times New Roman" w:eastAsia="Times New Roman" w:cs="Times New Roman"/>
        <w:spacing w:val="-6"/>
        <w:sz w:val="20"/>
        <w:szCs w:val="20"/>
      </w:rPr>
      <w:t>154</w:t>
    </w:r>
  </w:p>
</w:ftr>
</file>

<file path=word/footer17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79A40B0">
    <w:pPr>
      <w:spacing w:line="178" w:lineRule="auto"/>
      <w:jc w:val="right"/>
      <w:rPr>
        <w:rFonts w:ascii="Times New Roman" w:hAnsi="Times New Roman" w:eastAsia="Times New Roman" w:cs="Times New Roman"/>
        <w:sz w:val="21"/>
        <w:szCs w:val="21"/>
      </w:rPr>
    </w:pPr>
    <w:r>
      <w:rPr>
        <w:rFonts w:ascii="Times New Roman" w:hAnsi="Times New Roman" w:eastAsia="Times New Roman" w:cs="Times New Roman"/>
        <w:spacing w:val="-9"/>
        <w:sz w:val="21"/>
        <w:szCs w:val="21"/>
      </w:rPr>
      <w:t>155</w:t>
    </w:r>
  </w:p>
</w:ftr>
</file>

<file path=word/footer17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D9AC38A">
    <w:pPr>
      <w:spacing w:line="178" w:lineRule="auto"/>
      <w:rPr>
        <w:rFonts w:ascii="Times New Roman" w:hAnsi="Times New Roman" w:eastAsia="Times New Roman" w:cs="Times New Roman"/>
        <w:sz w:val="21"/>
        <w:szCs w:val="21"/>
      </w:rPr>
    </w:pPr>
    <w:r>
      <w:rPr>
        <w:rFonts w:ascii="Times New Roman" w:hAnsi="Times New Roman" w:eastAsia="Times New Roman" w:cs="Times New Roman"/>
        <w:spacing w:val="-6"/>
        <w:sz w:val="21"/>
        <w:szCs w:val="21"/>
      </w:rPr>
      <w:t>156</w:t>
    </w:r>
  </w:p>
</w:ftr>
</file>

<file path=word/footer17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8554CAB">
    <w:pPr>
      <w:spacing w:line="177" w:lineRule="auto"/>
      <w:jc w:val="right"/>
      <w:rPr>
        <w:rFonts w:ascii="Times New Roman" w:hAnsi="Times New Roman" w:eastAsia="Times New Roman" w:cs="Times New Roman"/>
        <w:sz w:val="20"/>
        <w:szCs w:val="20"/>
      </w:rPr>
    </w:pPr>
    <w:r>
      <w:rPr>
        <w:rFonts w:ascii="Times New Roman" w:hAnsi="Times New Roman" w:eastAsia="Times New Roman" w:cs="Times New Roman"/>
        <w:spacing w:val="-8"/>
        <w:sz w:val="20"/>
        <w:szCs w:val="20"/>
      </w:rPr>
      <w:t>157</w:t>
    </w: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1D73750">
    <w:pPr>
      <w:spacing w:line="178" w:lineRule="auto"/>
      <w:rPr>
        <w:rFonts w:ascii="Times New Roman" w:hAnsi="Times New Roman" w:eastAsia="Times New Roman" w:cs="Times New Roman"/>
        <w:sz w:val="21"/>
        <w:szCs w:val="21"/>
      </w:rPr>
    </w:pPr>
    <w:r>
      <w:rPr>
        <w:rFonts w:ascii="Times New Roman" w:hAnsi="Times New Roman" w:eastAsia="Times New Roman" w:cs="Times New Roman"/>
        <w:spacing w:val="-2"/>
        <w:sz w:val="21"/>
        <w:szCs w:val="21"/>
      </w:rPr>
      <w:t>20</w:t>
    </w:r>
  </w:p>
</w:ftr>
</file>

<file path=word/footer18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1A3B4ED">
    <w:pPr>
      <w:spacing w:line="177" w:lineRule="auto"/>
      <w:rPr>
        <w:rFonts w:ascii="Times New Roman" w:hAnsi="Times New Roman" w:eastAsia="Times New Roman" w:cs="Times New Roman"/>
        <w:sz w:val="19"/>
        <w:szCs w:val="19"/>
      </w:rPr>
    </w:pPr>
    <w:r>
      <w:rPr>
        <w:rFonts w:ascii="Times New Roman" w:hAnsi="Times New Roman" w:eastAsia="Times New Roman" w:cs="Times New Roman"/>
        <w:spacing w:val="-5"/>
        <w:sz w:val="19"/>
        <w:szCs w:val="19"/>
      </w:rPr>
      <w:t>158</w:t>
    </w:r>
  </w:p>
</w:ftr>
</file>

<file path=word/footer18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4FF7D4A">
    <w:pPr>
      <w:spacing w:line="177" w:lineRule="auto"/>
      <w:jc w:val="right"/>
      <w:rPr>
        <w:rFonts w:ascii="Times New Roman" w:hAnsi="Times New Roman" w:eastAsia="Times New Roman" w:cs="Times New Roman"/>
        <w:sz w:val="19"/>
        <w:szCs w:val="19"/>
      </w:rPr>
    </w:pPr>
    <w:r>
      <w:rPr>
        <w:rFonts w:ascii="Times New Roman" w:hAnsi="Times New Roman" w:eastAsia="Times New Roman" w:cs="Times New Roman"/>
        <w:spacing w:val="-8"/>
        <w:sz w:val="19"/>
        <w:szCs w:val="19"/>
      </w:rPr>
      <w:t>159</w:t>
    </w:r>
  </w:p>
</w:ftr>
</file>

<file path=word/footer18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332B8A9">
    <w:pPr>
      <w:spacing w:line="177" w:lineRule="auto"/>
      <w:rPr>
        <w:rFonts w:ascii="Times New Roman" w:hAnsi="Times New Roman" w:eastAsia="Times New Roman" w:cs="Times New Roman"/>
        <w:sz w:val="20"/>
        <w:szCs w:val="20"/>
      </w:rPr>
    </w:pPr>
    <w:r>
      <w:rPr>
        <w:rFonts w:ascii="Times New Roman" w:hAnsi="Times New Roman" w:eastAsia="Times New Roman" w:cs="Times New Roman"/>
        <w:spacing w:val="-6"/>
        <w:sz w:val="20"/>
        <w:szCs w:val="20"/>
      </w:rPr>
      <w:t>160</w:t>
    </w:r>
  </w:p>
</w:ftr>
</file>

<file path=word/footer18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1DA9407">
    <w:pPr>
      <w:spacing w:line="177" w:lineRule="auto"/>
      <w:jc w:val="right"/>
      <w:rPr>
        <w:rFonts w:ascii="Times New Roman" w:hAnsi="Times New Roman" w:eastAsia="Times New Roman" w:cs="Times New Roman"/>
        <w:sz w:val="20"/>
        <w:szCs w:val="20"/>
      </w:rPr>
    </w:pPr>
    <w:r>
      <w:rPr>
        <w:rFonts w:ascii="Times New Roman" w:hAnsi="Times New Roman" w:eastAsia="Times New Roman" w:cs="Times New Roman"/>
        <w:spacing w:val="-8"/>
        <w:sz w:val="20"/>
        <w:szCs w:val="20"/>
      </w:rPr>
      <w:t>161</w:t>
    </w:r>
  </w:p>
</w:ftr>
</file>

<file path=word/footer18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8E84E67">
    <w:pPr>
      <w:spacing w:line="177" w:lineRule="auto"/>
      <w:rPr>
        <w:rFonts w:ascii="Times New Roman" w:hAnsi="Times New Roman" w:eastAsia="Times New Roman" w:cs="Times New Roman"/>
        <w:sz w:val="20"/>
        <w:szCs w:val="20"/>
      </w:rPr>
    </w:pPr>
    <w:r>
      <w:rPr>
        <w:rFonts w:ascii="Times New Roman" w:hAnsi="Times New Roman" w:eastAsia="Times New Roman" w:cs="Times New Roman"/>
        <w:spacing w:val="-6"/>
        <w:sz w:val="20"/>
        <w:szCs w:val="20"/>
      </w:rPr>
      <w:t>162</w:t>
    </w:r>
  </w:p>
</w:ftr>
</file>

<file path=word/footer18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D54F6EB">
    <w:pPr>
      <w:spacing w:line="177" w:lineRule="auto"/>
      <w:jc w:val="right"/>
      <w:rPr>
        <w:rFonts w:ascii="Times New Roman" w:hAnsi="Times New Roman" w:eastAsia="Times New Roman" w:cs="Times New Roman"/>
        <w:sz w:val="20"/>
        <w:szCs w:val="20"/>
      </w:rPr>
    </w:pPr>
    <w:r>
      <w:rPr>
        <w:rFonts w:ascii="Times New Roman" w:hAnsi="Times New Roman" w:eastAsia="Times New Roman" w:cs="Times New Roman"/>
        <w:spacing w:val="-8"/>
        <w:sz w:val="20"/>
        <w:szCs w:val="20"/>
      </w:rPr>
      <w:t>163</w:t>
    </w:r>
  </w:p>
</w:ftr>
</file>

<file path=word/footer18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94D7741">
    <w:pPr>
      <w:spacing w:line="177" w:lineRule="auto"/>
      <w:rPr>
        <w:rFonts w:ascii="Times New Roman" w:hAnsi="Times New Roman" w:eastAsia="Times New Roman" w:cs="Times New Roman"/>
        <w:sz w:val="20"/>
        <w:szCs w:val="20"/>
      </w:rPr>
    </w:pPr>
    <w:r>
      <w:rPr>
        <w:rFonts w:ascii="Times New Roman" w:hAnsi="Times New Roman" w:eastAsia="Times New Roman" w:cs="Times New Roman"/>
        <w:spacing w:val="-6"/>
        <w:sz w:val="20"/>
        <w:szCs w:val="20"/>
      </w:rPr>
      <w:t>164</w:t>
    </w:r>
  </w:p>
</w:ftr>
</file>

<file path=word/footer18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2E6CDE0">
    <w:pPr>
      <w:spacing w:line="178" w:lineRule="auto"/>
      <w:jc w:val="right"/>
      <w:rPr>
        <w:rFonts w:ascii="Times New Roman" w:hAnsi="Times New Roman" w:eastAsia="Times New Roman" w:cs="Times New Roman"/>
        <w:sz w:val="21"/>
        <w:szCs w:val="21"/>
      </w:rPr>
    </w:pPr>
    <w:r>
      <w:rPr>
        <w:rFonts w:ascii="Times New Roman" w:hAnsi="Times New Roman" w:eastAsia="Times New Roman" w:cs="Times New Roman"/>
        <w:spacing w:val="-9"/>
        <w:sz w:val="21"/>
        <w:szCs w:val="21"/>
      </w:rPr>
      <w:t>165</w:t>
    </w:r>
  </w:p>
</w:ftr>
</file>

<file path=word/footer18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679498D">
    <w:pPr>
      <w:spacing w:line="177" w:lineRule="auto"/>
      <w:rPr>
        <w:rFonts w:ascii="Times New Roman" w:hAnsi="Times New Roman" w:eastAsia="Times New Roman" w:cs="Times New Roman"/>
        <w:sz w:val="20"/>
        <w:szCs w:val="20"/>
      </w:rPr>
    </w:pPr>
    <w:r>
      <w:rPr>
        <w:rFonts w:ascii="Times New Roman" w:hAnsi="Times New Roman" w:eastAsia="Times New Roman" w:cs="Times New Roman"/>
        <w:spacing w:val="-6"/>
        <w:sz w:val="20"/>
        <w:szCs w:val="20"/>
      </w:rPr>
      <w:t>166</w:t>
    </w:r>
  </w:p>
</w:ftr>
</file>

<file path=word/footer18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6660335">
    <w:pPr>
      <w:spacing w:line="178" w:lineRule="auto"/>
      <w:jc w:val="right"/>
      <w:rPr>
        <w:rFonts w:ascii="Times New Roman" w:hAnsi="Times New Roman" w:eastAsia="Times New Roman" w:cs="Times New Roman"/>
        <w:sz w:val="21"/>
        <w:szCs w:val="21"/>
      </w:rPr>
    </w:pPr>
    <w:r>
      <w:rPr>
        <w:rFonts w:ascii="Times New Roman" w:hAnsi="Times New Roman" w:eastAsia="Times New Roman" w:cs="Times New Roman"/>
        <w:spacing w:val="-9"/>
        <w:sz w:val="21"/>
        <w:szCs w:val="21"/>
      </w:rPr>
      <w:t>167</w:t>
    </w: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5D4A09C">
    <w:pPr>
      <w:spacing w:line="178" w:lineRule="auto"/>
      <w:jc w:val="right"/>
      <w:rPr>
        <w:rFonts w:ascii="Times New Roman" w:hAnsi="Times New Roman" w:eastAsia="Times New Roman" w:cs="Times New Roman"/>
        <w:sz w:val="22"/>
        <w:szCs w:val="22"/>
      </w:rPr>
    </w:pPr>
    <w:r>
      <w:rPr>
        <w:rFonts w:ascii="Times New Roman" w:hAnsi="Times New Roman" w:eastAsia="Times New Roman" w:cs="Times New Roman"/>
        <w:spacing w:val="-3"/>
        <w:sz w:val="22"/>
        <w:szCs w:val="22"/>
      </w:rPr>
      <w:t>21</w:t>
    </w:r>
  </w:p>
</w:ftr>
</file>

<file path=word/footer19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97686F4">
    <w:pPr>
      <w:spacing w:line="177" w:lineRule="auto"/>
      <w:rPr>
        <w:rFonts w:ascii="Times New Roman" w:hAnsi="Times New Roman" w:eastAsia="Times New Roman" w:cs="Times New Roman"/>
        <w:sz w:val="20"/>
        <w:szCs w:val="20"/>
      </w:rPr>
    </w:pPr>
    <w:r>
      <w:rPr>
        <w:rFonts w:ascii="Times New Roman" w:hAnsi="Times New Roman" w:eastAsia="Times New Roman" w:cs="Times New Roman"/>
        <w:spacing w:val="-6"/>
        <w:sz w:val="20"/>
        <w:szCs w:val="20"/>
      </w:rPr>
      <w:t>168</w:t>
    </w:r>
  </w:p>
</w:ftr>
</file>

<file path=word/footer19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5EEB277">
    <w:pPr>
      <w:spacing w:line="178" w:lineRule="auto"/>
      <w:jc w:val="right"/>
      <w:rPr>
        <w:rFonts w:ascii="Times New Roman" w:hAnsi="Times New Roman" w:eastAsia="Times New Roman" w:cs="Times New Roman"/>
        <w:sz w:val="21"/>
        <w:szCs w:val="21"/>
      </w:rPr>
    </w:pPr>
    <w:r>
      <w:rPr>
        <w:rFonts w:ascii="Times New Roman" w:hAnsi="Times New Roman" w:eastAsia="Times New Roman" w:cs="Times New Roman"/>
        <w:spacing w:val="-9"/>
        <w:sz w:val="21"/>
        <w:szCs w:val="21"/>
      </w:rPr>
      <w:t>169</w:t>
    </w:r>
  </w:p>
</w:ftr>
</file>

<file path=word/footer19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BD8F29F">
    <w:pPr>
      <w:spacing w:line="177" w:lineRule="auto"/>
      <w:rPr>
        <w:rFonts w:ascii="Times New Roman" w:hAnsi="Times New Roman" w:eastAsia="Times New Roman" w:cs="Times New Roman"/>
        <w:sz w:val="20"/>
        <w:szCs w:val="20"/>
      </w:rPr>
    </w:pPr>
    <w:r>
      <w:rPr>
        <w:rFonts w:ascii="Times New Roman" w:hAnsi="Times New Roman" w:eastAsia="Times New Roman" w:cs="Times New Roman"/>
        <w:spacing w:val="-6"/>
        <w:sz w:val="20"/>
        <w:szCs w:val="20"/>
      </w:rPr>
      <w:t>170</w:t>
    </w:r>
  </w:p>
</w:ftr>
</file>

<file path=word/footer19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962529F">
    <w:pPr>
      <w:spacing w:line="230" w:lineRule="auto"/>
      <w:jc w:val="right"/>
      <w:rPr>
        <w:rFonts w:ascii="宋体" w:hAnsi="宋体" w:eastAsia="宋体" w:cs="宋体"/>
        <w:sz w:val="21"/>
        <w:szCs w:val="21"/>
      </w:rPr>
    </w:pPr>
    <w:r>
      <w:rPr>
        <w:rFonts w:ascii="宋体" w:hAnsi="宋体" w:eastAsia="宋体" w:cs="宋体"/>
        <w:spacing w:val="-8"/>
        <w:sz w:val="21"/>
        <w:szCs w:val="21"/>
      </w:rPr>
      <w:t>171</w:t>
    </w:r>
  </w:p>
</w:ftr>
</file>

<file path=word/footer19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1BF4208">
    <w:pPr>
      <w:spacing w:line="175" w:lineRule="auto"/>
      <w:rPr>
        <w:rFonts w:ascii="Times New Roman" w:hAnsi="Times New Roman" w:eastAsia="Times New Roman" w:cs="Times New Roman"/>
        <w:sz w:val="17"/>
        <w:szCs w:val="17"/>
      </w:rPr>
    </w:pPr>
    <w:r>
      <w:rPr>
        <w:rFonts w:ascii="Times New Roman" w:hAnsi="Times New Roman" w:eastAsia="Times New Roman" w:cs="Times New Roman"/>
        <w:b/>
        <w:bCs/>
        <w:spacing w:val="-3"/>
        <w:sz w:val="17"/>
        <w:szCs w:val="17"/>
      </w:rPr>
      <w:t>172</w:t>
    </w:r>
  </w:p>
</w:ftr>
</file>

<file path=word/footer19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67F73FD">
    <w:pPr>
      <w:spacing w:line="177" w:lineRule="auto"/>
      <w:jc w:val="right"/>
      <w:rPr>
        <w:rFonts w:ascii="Times New Roman" w:hAnsi="Times New Roman" w:eastAsia="Times New Roman" w:cs="Times New Roman"/>
        <w:sz w:val="20"/>
        <w:szCs w:val="20"/>
      </w:rPr>
    </w:pPr>
    <w:r>
      <w:rPr>
        <w:rFonts w:ascii="Times New Roman" w:hAnsi="Times New Roman" w:eastAsia="Times New Roman" w:cs="Times New Roman"/>
        <w:spacing w:val="-8"/>
        <w:sz w:val="20"/>
        <w:szCs w:val="20"/>
      </w:rPr>
      <w:t>173</w:t>
    </w:r>
  </w:p>
</w:ftr>
</file>

<file path=word/footer19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D217B75">
    <w:pPr>
      <w:spacing w:line="177" w:lineRule="auto"/>
      <w:rPr>
        <w:rFonts w:ascii="Times New Roman" w:hAnsi="Times New Roman" w:eastAsia="Times New Roman" w:cs="Times New Roman"/>
        <w:sz w:val="20"/>
        <w:szCs w:val="20"/>
      </w:rPr>
    </w:pPr>
    <w:r>
      <w:rPr>
        <w:rFonts w:ascii="Times New Roman" w:hAnsi="Times New Roman" w:eastAsia="Times New Roman" w:cs="Times New Roman"/>
        <w:spacing w:val="-6"/>
        <w:sz w:val="20"/>
        <w:szCs w:val="20"/>
      </w:rPr>
      <w:t>174</w:t>
    </w:r>
  </w:p>
</w:ftr>
</file>

<file path=word/footer19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E5B3EE6">
    <w:pPr>
      <w:spacing w:line="177" w:lineRule="auto"/>
      <w:jc w:val="right"/>
      <w:rPr>
        <w:rFonts w:ascii="Times New Roman" w:hAnsi="Times New Roman" w:eastAsia="Times New Roman" w:cs="Times New Roman"/>
        <w:sz w:val="20"/>
        <w:szCs w:val="20"/>
      </w:rPr>
    </w:pPr>
    <w:r>
      <w:rPr>
        <w:rFonts w:ascii="Times New Roman" w:hAnsi="Times New Roman" w:eastAsia="Times New Roman" w:cs="Times New Roman"/>
        <w:spacing w:val="-8"/>
        <w:sz w:val="20"/>
        <w:szCs w:val="20"/>
      </w:rPr>
      <w:t>175</w:t>
    </w:r>
  </w:p>
</w:ftr>
</file>

<file path=word/footer19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FFA2E15">
    <w:pPr>
      <w:spacing w:line="177" w:lineRule="auto"/>
      <w:rPr>
        <w:rFonts w:ascii="Times New Roman" w:hAnsi="Times New Roman" w:eastAsia="Times New Roman" w:cs="Times New Roman"/>
        <w:sz w:val="20"/>
        <w:szCs w:val="20"/>
      </w:rPr>
    </w:pPr>
    <w:r>
      <w:rPr>
        <w:rFonts w:ascii="Times New Roman" w:hAnsi="Times New Roman" w:eastAsia="Times New Roman" w:cs="Times New Roman"/>
        <w:spacing w:val="-6"/>
        <w:sz w:val="20"/>
        <w:szCs w:val="20"/>
      </w:rPr>
      <w:t>176</w:t>
    </w:r>
  </w:p>
</w:ftr>
</file>

<file path=word/footer19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3313941">
    <w:pPr>
      <w:spacing w:line="178" w:lineRule="auto"/>
      <w:jc w:val="right"/>
      <w:rPr>
        <w:rFonts w:ascii="Times New Roman" w:hAnsi="Times New Roman" w:eastAsia="Times New Roman" w:cs="Times New Roman"/>
        <w:sz w:val="21"/>
        <w:szCs w:val="21"/>
      </w:rPr>
    </w:pPr>
    <w:r>
      <w:rPr>
        <w:rFonts w:ascii="Times New Roman" w:hAnsi="Times New Roman" w:eastAsia="Times New Roman" w:cs="Times New Roman"/>
        <w:spacing w:val="-9"/>
        <w:sz w:val="21"/>
        <w:szCs w:val="21"/>
      </w:rPr>
      <w:t>177</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164D927">
    <w:pPr>
      <w:spacing w:line="14" w:lineRule="auto"/>
      <w:rPr>
        <w:rFonts w:ascii="Arial"/>
        <w:sz w:val="2"/>
      </w:rPr>
    </w:pPr>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2C87849">
    <w:pPr>
      <w:spacing w:line="180" w:lineRule="auto"/>
      <w:rPr>
        <w:rFonts w:ascii="Times New Roman" w:hAnsi="Times New Roman" w:eastAsia="Times New Roman" w:cs="Times New Roman"/>
        <w:sz w:val="26"/>
        <w:szCs w:val="26"/>
      </w:rPr>
    </w:pPr>
    <w:r>
      <w:rPr>
        <w:rFonts w:ascii="Times New Roman" w:hAnsi="Times New Roman" w:eastAsia="Times New Roman" w:cs="Times New Roman"/>
        <w:b/>
        <w:bCs/>
        <w:spacing w:val="-2"/>
        <w:sz w:val="26"/>
        <w:szCs w:val="26"/>
      </w:rPr>
      <w:t>22</w:t>
    </w:r>
  </w:p>
</w:ftr>
</file>

<file path=word/footer20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CBB225F">
    <w:pPr>
      <w:spacing w:line="177" w:lineRule="auto"/>
      <w:rPr>
        <w:rFonts w:ascii="Times New Roman" w:hAnsi="Times New Roman" w:eastAsia="Times New Roman" w:cs="Times New Roman"/>
        <w:sz w:val="20"/>
        <w:szCs w:val="20"/>
      </w:rPr>
    </w:pPr>
    <w:r>
      <w:rPr>
        <w:rFonts w:ascii="Times New Roman" w:hAnsi="Times New Roman" w:eastAsia="Times New Roman" w:cs="Times New Roman"/>
        <w:spacing w:val="-6"/>
        <w:sz w:val="20"/>
        <w:szCs w:val="20"/>
      </w:rPr>
      <w:t>178</w:t>
    </w:r>
  </w:p>
</w:ftr>
</file>

<file path=word/footer20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B91A978">
    <w:pPr>
      <w:spacing w:line="177" w:lineRule="auto"/>
      <w:jc w:val="right"/>
      <w:rPr>
        <w:rFonts w:ascii="Times New Roman" w:hAnsi="Times New Roman" w:eastAsia="Times New Roman" w:cs="Times New Roman"/>
        <w:sz w:val="20"/>
        <w:szCs w:val="20"/>
      </w:rPr>
    </w:pPr>
    <w:r>
      <w:rPr>
        <w:rFonts w:ascii="Times New Roman" w:hAnsi="Times New Roman" w:eastAsia="Times New Roman" w:cs="Times New Roman"/>
        <w:spacing w:val="-8"/>
        <w:sz w:val="20"/>
        <w:szCs w:val="20"/>
      </w:rPr>
      <w:t>179</w:t>
    </w:r>
  </w:p>
</w:ftr>
</file>

<file path=word/footer20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1F6BC01">
    <w:pPr>
      <w:spacing w:line="177" w:lineRule="auto"/>
      <w:rPr>
        <w:rFonts w:ascii="Times New Roman" w:hAnsi="Times New Roman" w:eastAsia="Times New Roman" w:cs="Times New Roman"/>
        <w:sz w:val="20"/>
        <w:szCs w:val="20"/>
      </w:rPr>
    </w:pPr>
    <w:r>
      <w:rPr>
        <w:rFonts w:ascii="Times New Roman" w:hAnsi="Times New Roman" w:eastAsia="Times New Roman" w:cs="Times New Roman"/>
        <w:spacing w:val="-6"/>
        <w:sz w:val="20"/>
        <w:szCs w:val="20"/>
      </w:rPr>
      <w:t>180</w:t>
    </w:r>
  </w:p>
</w:ftr>
</file>

<file path=word/footer20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3B055D8">
    <w:pPr>
      <w:spacing w:line="177" w:lineRule="auto"/>
      <w:jc w:val="right"/>
      <w:rPr>
        <w:rFonts w:ascii="Times New Roman" w:hAnsi="Times New Roman" w:eastAsia="Times New Roman" w:cs="Times New Roman"/>
        <w:sz w:val="20"/>
        <w:szCs w:val="20"/>
      </w:rPr>
    </w:pPr>
    <w:r>
      <w:rPr>
        <w:rFonts w:ascii="Times New Roman" w:hAnsi="Times New Roman" w:eastAsia="Times New Roman" w:cs="Times New Roman"/>
        <w:spacing w:val="-8"/>
        <w:sz w:val="20"/>
        <w:szCs w:val="20"/>
      </w:rPr>
      <w:t>181</w:t>
    </w:r>
  </w:p>
</w:ftr>
</file>

<file path=word/footer20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807124F">
    <w:pPr>
      <w:spacing w:line="177" w:lineRule="auto"/>
      <w:rPr>
        <w:rFonts w:ascii="Times New Roman" w:hAnsi="Times New Roman" w:eastAsia="Times New Roman" w:cs="Times New Roman"/>
        <w:sz w:val="20"/>
        <w:szCs w:val="20"/>
      </w:rPr>
    </w:pPr>
    <w:r>
      <w:rPr>
        <w:rFonts w:ascii="Times New Roman" w:hAnsi="Times New Roman" w:eastAsia="Times New Roman" w:cs="Times New Roman"/>
        <w:spacing w:val="-6"/>
        <w:sz w:val="20"/>
        <w:szCs w:val="20"/>
      </w:rPr>
      <w:t>182</w:t>
    </w:r>
  </w:p>
</w:ftr>
</file>

<file path=word/footer20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F125126">
    <w:pPr>
      <w:spacing w:line="178" w:lineRule="auto"/>
      <w:jc w:val="right"/>
      <w:rPr>
        <w:rFonts w:ascii="Times New Roman" w:hAnsi="Times New Roman" w:eastAsia="Times New Roman" w:cs="Times New Roman"/>
        <w:sz w:val="21"/>
        <w:szCs w:val="21"/>
      </w:rPr>
    </w:pPr>
    <w:r>
      <w:rPr>
        <w:rFonts w:ascii="Times New Roman" w:hAnsi="Times New Roman" w:eastAsia="Times New Roman" w:cs="Times New Roman"/>
        <w:b/>
        <w:bCs/>
        <w:spacing w:val="-5"/>
        <w:sz w:val="21"/>
        <w:szCs w:val="21"/>
      </w:rPr>
      <w:t>183</w:t>
    </w:r>
  </w:p>
</w:ftr>
</file>

<file path=word/footer20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B0D84B8">
    <w:pPr>
      <w:spacing w:line="177" w:lineRule="auto"/>
      <w:rPr>
        <w:rFonts w:ascii="Times New Roman" w:hAnsi="Times New Roman" w:eastAsia="Times New Roman" w:cs="Times New Roman"/>
        <w:sz w:val="20"/>
        <w:szCs w:val="20"/>
      </w:rPr>
    </w:pPr>
    <w:r>
      <w:rPr>
        <w:rFonts w:ascii="Times New Roman" w:hAnsi="Times New Roman" w:eastAsia="Times New Roman" w:cs="Times New Roman"/>
        <w:spacing w:val="-6"/>
        <w:sz w:val="20"/>
        <w:szCs w:val="20"/>
      </w:rPr>
      <w:t>184</w:t>
    </w:r>
  </w:p>
</w:ftr>
</file>

<file path=word/footer20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DDD5DFE">
    <w:pPr>
      <w:spacing w:line="178" w:lineRule="auto"/>
      <w:jc w:val="right"/>
      <w:rPr>
        <w:rFonts w:ascii="Times New Roman" w:hAnsi="Times New Roman" w:eastAsia="Times New Roman" w:cs="Times New Roman"/>
        <w:sz w:val="21"/>
        <w:szCs w:val="21"/>
      </w:rPr>
    </w:pPr>
    <w:r>
      <w:rPr>
        <w:rFonts w:ascii="Times New Roman" w:hAnsi="Times New Roman" w:eastAsia="Times New Roman" w:cs="Times New Roman"/>
        <w:spacing w:val="-9"/>
        <w:sz w:val="21"/>
        <w:szCs w:val="21"/>
      </w:rPr>
      <w:t>185</w:t>
    </w:r>
  </w:p>
</w:ftr>
</file>

<file path=word/footer20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393BF09">
    <w:pPr>
      <w:spacing w:line="177" w:lineRule="auto"/>
      <w:rPr>
        <w:rFonts w:ascii="Times New Roman" w:hAnsi="Times New Roman" w:eastAsia="Times New Roman" w:cs="Times New Roman"/>
        <w:sz w:val="20"/>
        <w:szCs w:val="20"/>
      </w:rPr>
    </w:pPr>
    <w:r>
      <w:rPr>
        <w:rFonts w:ascii="Times New Roman" w:hAnsi="Times New Roman" w:eastAsia="Times New Roman" w:cs="Times New Roman"/>
        <w:spacing w:val="-6"/>
        <w:sz w:val="20"/>
        <w:szCs w:val="20"/>
      </w:rPr>
      <w:t>186</w:t>
    </w:r>
  </w:p>
</w:ftr>
</file>

<file path=word/footer20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713BD58">
    <w:pPr>
      <w:spacing w:line="178" w:lineRule="auto"/>
      <w:jc w:val="right"/>
      <w:rPr>
        <w:rFonts w:ascii="Times New Roman" w:hAnsi="Times New Roman" w:eastAsia="Times New Roman" w:cs="Times New Roman"/>
        <w:sz w:val="21"/>
        <w:szCs w:val="21"/>
      </w:rPr>
    </w:pPr>
    <w:r>
      <w:rPr>
        <w:rFonts w:ascii="Times New Roman" w:hAnsi="Times New Roman" w:eastAsia="Times New Roman" w:cs="Times New Roman"/>
        <w:spacing w:val="-9"/>
        <w:sz w:val="21"/>
        <w:szCs w:val="21"/>
      </w:rPr>
      <w:t>187</w:t>
    </w:r>
  </w:p>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953DA7B">
    <w:pPr>
      <w:spacing w:line="178" w:lineRule="auto"/>
      <w:jc w:val="right"/>
      <w:rPr>
        <w:rFonts w:ascii="Times New Roman" w:hAnsi="Times New Roman" w:eastAsia="Times New Roman" w:cs="Times New Roman"/>
        <w:sz w:val="22"/>
        <w:szCs w:val="22"/>
      </w:rPr>
    </w:pPr>
    <w:r>
      <w:rPr>
        <w:rFonts w:ascii="Times New Roman" w:hAnsi="Times New Roman" w:eastAsia="Times New Roman" w:cs="Times New Roman"/>
        <w:spacing w:val="-3"/>
        <w:sz w:val="22"/>
        <w:szCs w:val="22"/>
      </w:rPr>
      <w:t>23</w:t>
    </w:r>
  </w:p>
</w:ftr>
</file>

<file path=word/footer2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953BBE7">
    <w:pPr>
      <w:spacing w:line="177" w:lineRule="auto"/>
      <w:rPr>
        <w:rFonts w:ascii="Times New Roman" w:hAnsi="Times New Roman" w:eastAsia="Times New Roman" w:cs="Times New Roman"/>
        <w:sz w:val="20"/>
        <w:szCs w:val="20"/>
      </w:rPr>
    </w:pPr>
    <w:r>
      <w:rPr>
        <w:rFonts w:ascii="Times New Roman" w:hAnsi="Times New Roman" w:eastAsia="Times New Roman" w:cs="Times New Roman"/>
        <w:spacing w:val="-6"/>
        <w:sz w:val="20"/>
        <w:szCs w:val="20"/>
      </w:rPr>
      <w:t>188</w:t>
    </w:r>
  </w:p>
</w:ftr>
</file>

<file path=word/footer2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F3AFD46">
    <w:pPr>
      <w:spacing w:line="178" w:lineRule="auto"/>
      <w:jc w:val="right"/>
      <w:rPr>
        <w:rFonts w:ascii="Times New Roman" w:hAnsi="Times New Roman" w:eastAsia="Times New Roman" w:cs="Times New Roman"/>
        <w:sz w:val="21"/>
        <w:szCs w:val="21"/>
      </w:rPr>
    </w:pPr>
    <w:r>
      <w:rPr>
        <w:rFonts w:ascii="Times New Roman" w:hAnsi="Times New Roman" w:eastAsia="Times New Roman" w:cs="Times New Roman"/>
        <w:spacing w:val="-9"/>
        <w:sz w:val="21"/>
        <w:szCs w:val="21"/>
      </w:rPr>
      <w:t>189</w:t>
    </w:r>
  </w:p>
</w:ftr>
</file>

<file path=word/footer2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7DC569C">
    <w:pPr>
      <w:spacing w:line="175" w:lineRule="auto"/>
      <w:rPr>
        <w:rFonts w:ascii="Times New Roman" w:hAnsi="Times New Roman" w:eastAsia="Times New Roman" w:cs="Times New Roman"/>
        <w:sz w:val="17"/>
        <w:szCs w:val="17"/>
      </w:rPr>
    </w:pPr>
    <w:r>
      <w:rPr>
        <w:rFonts w:ascii="Times New Roman" w:hAnsi="Times New Roman" w:eastAsia="Times New Roman" w:cs="Times New Roman"/>
        <w:spacing w:val="-5"/>
        <w:sz w:val="17"/>
        <w:szCs w:val="17"/>
      </w:rPr>
      <w:t>190</w:t>
    </w:r>
  </w:p>
</w:ftr>
</file>

<file path=word/footer2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1C27834">
    <w:pPr>
      <w:spacing w:line="178" w:lineRule="auto"/>
      <w:jc w:val="right"/>
      <w:rPr>
        <w:rFonts w:ascii="Times New Roman" w:hAnsi="Times New Roman" w:eastAsia="Times New Roman" w:cs="Times New Roman"/>
        <w:sz w:val="21"/>
        <w:szCs w:val="21"/>
      </w:rPr>
    </w:pPr>
    <w:r>
      <w:rPr>
        <w:rFonts w:ascii="Times New Roman" w:hAnsi="Times New Roman" w:eastAsia="Times New Roman" w:cs="Times New Roman"/>
        <w:spacing w:val="-9"/>
        <w:sz w:val="21"/>
        <w:szCs w:val="21"/>
      </w:rPr>
      <w:t>191</w:t>
    </w:r>
  </w:p>
</w:ftr>
</file>

<file path=word/footer2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20AAB51">
    <w:pPr>
      <w:spacing w:line="177" w:lineRule="auto"/>
      <w:rPr>
        <w:rFonts w:ascii="Times New Roman" w:hAnsi="Times New Roman" w:eastAsia="Times New Roman" w:cs="Times New Roman"/>
        <w:sz w:val="20"/>
        <w:szCs w:val="20"/>
      </w:rPr>
    </w:pPr>
    <w:r>
      <w:rPr>
        <w:rFonts w:ascii="Times New Roman" w:hAnsi="Times New Roman" w:eastAsia="Times New Roman" w:cs="Times New Roman"/>
        <w:spacing w:val="-6"/>
        <w:sz w:val="20"/>
        <w:szCs w:val="20"/>
      </w:rPr>
      <w:t>192</w:t>
    </w:r>
  </w:p>
</w:ftr>
</file>

<file path=word/footer2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B1ED998">
    <w:pPr>
      <w:spacing w:line="178" w:lineRule="auto"/>
      <w:jc w:val="right"/>
      <w:rPr>
        <w:rFonts w:ascii="Times New Roman" w:hAnsi="Times New Roman" w:eastAsia="Times New Roman" w:cs="Times New Roman"/>
        <w:sz w:val="21"/>
        <w:szCs w:val="21"/>
      </w:rPr>
    </w:pPr>
    <w:r>
      <w:rPr>
        <w:rFonts w:ascii="Times New Roman" w:hAnsi="Times New Roman" w:eastAsia="Times New Roman" w:cs="Times New Roman"/>
        <w:spacing w:val="-9"/>
        <w:sz w:val="21"/>
        <w:szCs w:val="21"/>
      </w:rPr>
      <w:t>193</w:t>
    </w:r>
  </w:p>
</w:ftr>
</file>

<file path=word/footer2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B5A960E">
    <w:pPr>
      <w:spacing w:line="177" w:lineRule="auto"/>
      <w:rPr>
        <w:rFonts w:ascii="Times New Roman" w:hAnsi="Times New Roman" w:eastAsia="Times New Roman" w:cs="Times New Roman"/>
        <w:sz w:val="20"/>
        <w:szCs w:val="20"/>
      </w:rPr>
    </w:pPr>
    <w:r>
      <w:rPr>
        <w:rFonts w:ascii="Times New Roman" w:hAnsi="Times New Roman" w:eastAsia="Times New Roman" w:cs="Times New Roman"/>
        <w:spacing w:val="-6"/>
        <w:sz w:val="20"/>
        <w:szCs w:val="20"/>
      </w:rPr>
      <w:t>194</w:t>
    </w:r>
  </w:p>
</w:ftr>
</file>

<file path=word/footer2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0DA34CE">
    <w:pPr>
      <w:spacing w:line="178" w:lineRule="auto"/>
      <w:jc w:val="right"/>
      <w:rPr>
        <w:rFonts w:ascii="Times New Roman" w:hAnsi="Times New Roman" w:eastAsia="Times New Roman" w:cs="Times New Roman"/>
        <w:sz w:val="21"/>
        <w:szCs w:val="21"/>
      </w:rPr>
    </w:pPr>
    <w:r>
      <w:rPr>
        <w:rFonts w:ascii="Times New Roman" w:hAnsi="Times New Roman" w:eastAsia="Times New Roman" w:cs="Times New Roman"/>
        <w:spacing w:val="-9"/>
        <w:sz w:val="21"/>
        <w:szCs w:val="21"/>
      </w:rPr>
      <w:t>195</w:t>
    </w:r>
  </w:p>
</w:ftr>
</file>

<file path=word/footer2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AAF6E6D">
    <w:pPr>
      <w:spacing w:line="177" w:lineRule="auto"/>
      <w:rPr>
        <w:rFonts w:ascii="Times New Roman" w:hAnsi="Times New Roman" w:eastAsia="Times New Roman" w:cs="Times New Roman"/>
        <w:sz w:val="20"/>
        <w:szCs w:val="20"/>
      </w:rPr>
    </w:pPr>
    <w:r>
      <w:rPr>
        <w:rFonts w:ascii="Times New Roman" w:hAnsi="Times New Roman" w:eastAsia="Times New Roman" w:cs="Times New Roman"/>
        <w:spacing w:val="-6"/>
        <w:sz w:val="20"/>
        <w:szCs w:val="20"/>
      </w:rPr>
      <w:t>196</w:t>
    </w:r>
  </w:p>
</w:ftr>
</file>

<file path=word/footer2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448142A">
    <w:pPr>
      <w:spacing w:line="178" w:lineRule="auto"/>
      <w:jc w:val="right"/>
      <w:rPr>
        <w:rFonts w:ascii="Times New Roman" w:hAnsi="Times New Roman" w:eastAsia="Times New Roman" w:cs="Times New Roman"/>
        <w:sz w:val="21"/>
        <w:szCs w:val="21"/>
      </w:rPr>
    </w:pPr>
    <w:r>
      <w:rPr>
        <w:rFonts w:ascii="Times New Roman" w:hAnsi="Times New Roman" w:eastAsia="Times New Roman" w:cs="Times New Roman"/>
        <w:spacing w:val="-9"/>
        <w:sz w:val="21"/>
        <w:szCs w:val="21"/>
      </w:rPr>
      <w:t>197</w:t>
    </w:r>
  </w:p>
</w:ftr>
</file>

<file path=word/footer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80633FC">
    <w:pPr>
      <w:spacing w:before="1" w:line="181" w:lineRule="auto"/>
      <w:rPr>
        <w:rFonts w:ascii="Times New Roman" w:hAnsi="Times New Roman" w:eastAsia="Times New Roman" w:cs="Times New Roman"/>
        <w:sz w:val="33"/>
        <w:szCs w:val="33"/>
      </w:rPr>
    </w:pPr>
    <w:r>
      <w:rPr>
        <w:rFonts w:ascii="Times New Roman" w:hAnsi="Times New Roman" w:eastAsia="Times New Roman" w:cs="Times New Roman"/>
        <w:spacing w:val="-12"/>
        <w:w w:val="99"/>
        <w:sz w:val="33"/>
        <w:szCs w:val="33"/>
      </w:rPr>
      <w:t>24</w:t>
    </w:r>
  </w:p>
</w:ftr>
</file>

<file path=word/footer2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69278ED">
    <w:pPr>
      <w:spacing w:line="177" w:lineRule="auto"/>
      <w:rPr>
        <w:rFonts w:ascii="Times New Roman" w:hAnsi="Times New Roman" w:eastAsia="Times New Roman" w:cs="Times New Roman"/>
        <w:sz w:val="20"/>
        <w:szCs w:val="20"/>
      </w:rPr>
    </w:pPr>
    <w:r>
      <w:rPr>
        <w:rFonts w:ascii="Times New Roman" w:hAnsi="Times New Roman" w:eastAsia="Times New Roman" w:cs="Times New Roman"/>
        <w:spacing w:val="-6"/>
        <w:sz w:val="20"/>
        <w:szCs w:val="20"/>
      </w:rPr>
      <w:t>198</w:t>
    </w:r>
  </w:p>
</w:ftr>
</file>

<file path=word/footer2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53808D0">
    <w:pPr>
      <w:spacing w:line="178" w:lineRule="auto"/>
      <w:jc w:val="right"/>
      <w:rPr>
        <w:rFonts w:ascii="Times New Roman" w:hAnsi="Times New Roman" w:eastAsia="Times New Roman" w:cs="Times New Roman"/>
        <w:sz w:val="21"/>
        <w:szCs w:val="21"/>
      </w:rPr>
    </w:pPr>
    <w:r>
      <w:rPr>
        <w:rFonts w:ascii="Times New Roman" w:hAnsi="Times New Roman" w:eastAsia="Times New Roman" w:cs="Times New Roman"/>
        <w:spacing w:val="-9"/>
        <w:sz w:val="21"/>
        <w:szCs w:val="21"/>
      </w:rPr>
      <w:t>199</w:t>
    </w:r>
  </w:p>
</w:ftr>
</file>

<file path=word/footer2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6F08E71">
    <w:pPr>
      <w:spacing w:line="177" w:lineRule="auto"/>
      <w:rPr>
        <w:rFonts w:ascii="Times New Roman" w:hAnsi="Times New Roman" w:eastAsia="Times New Roman" w:cs="Times New Roman"/>
        <w:sz w:val="19"/>
        <w:szCs w:val="19"/>
      </w:rPr>
    </w:pPr>
    <w:r>
      <w:rPr>
        <w:rFonts w:ascii="Times New Roman" w:hAnsi="Times New Roman" w:eastAsia="Times New Roman" w:cs="Times New Roman"/>
        <w:spacing w:val="-1"/>
        <w:sz w:val="19"/>
        <w:szCs w:val="19"/>
      </w:rPr>
      <w:t>200</w:t>
    </w:r>
  </w:p>
</w:ftr>
</file>

<file path=word/footer22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DA51708">
    <w:pPr>
      <w:spacing w:line="178" w:lineRule="auto"/>
      <w:jc w:val="right"/>
      <w:rPr>
        <w:rFonts w:ascii="Times New Roman" w:hAnsi="Times New Roman" w:eastAsia="Times New Roman" w:cs="Times New Roman"/>
        <w:sz w:val="21"/>
        <w:szCs w:val="21"/>
      </w:rPr>
    </w:pPr>
    <w:r>
      <w:rPr>
        <w:rFonts w:ascii="Times New Roman" w:hAnsi="Times New Roman" w:eastAsia="Times New Roman" w:cs="Times New Roman"/>
        <w:spacing w:val="-2"/>
        <w:sz w:val="21"/>
        <w:szCs w:val="21"/>
      </w:rPr>
      <w:t>201</w:t>
    </w:r>
  </w:p>
</w:ftr>
</file>

<file path=word/footer22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57782F9">
    <w:pPr>
      <w:spacing w:line="177" w:lineRule="auto"/>
      <w:rPr>
        <w:rFonts w:ascii="Times New Roman" w:hAnsi="Times New Roman" w:eastAsia="Times New Roman" w:cs="Times New Roman"/>
        <w:sz w:val="20"/>
        <w:szCs w:val="20"/>
      </w:rPr>
    </w:pPr>
    <w:r>
      <w:rPr>
        <w:rFonts w:ascii="Times New Roman" w:hAnsi="Times New Roman" w:eastAsia="Times New Roman" w:cs="Times New Roman"/>
        <w:spacing w:val="-1"/>
        <w:sz w:val="20"/>
        <w:szCs w:val="20"/>
      </w:rPr>
      <w:t>202</w:t>
    </w:r>
  </w:p>
</w:ftr>
</file>

<file path=word/footer22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A1D8D19">
    <w:pPr>
      <w:spacing w:line="177" w:lineRule="auto"/>
      <w:jc w:val="right"/>
      <w:rPr>
        <w:rFonts w:ascii="Times New Roman" w:hAnsi="Times New Roman" w:eastAsia="Times New Roman" w:cs="Times New Roman"/>
        <w:sz w:val="20"/>
        <w:szCs w:val="20"/>
      </w:rPr>
    </w:pPr>
    <w:r>
      <w:rPr>
        <w:rFonts w:ascii="Times New Roman" w:hAnsi="Times New Roman" w:eastAsia="Times New Roman" w:cs="Times New Roman"/>
        <w:b/>
        <w:bCs/>
        <w:spacing w:val="-2"/>
        <w:sz w:val="20"/>
        <w:szCs w:val="20"/>
      </w:rPr>
      <w:t>203</w:t>
    </w:r>
  </w:p>
</w:ftr>
</file>

<file path=word/footer22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D8EEE37">
    <w:pPr>
      <w:spacing w:line="177" w:lineRule="auto"/>
      <w:rPr>
        <w:rFonts w:ascii="Times New Roman" w:hAnsi="Times New Roman" w:eastAsia="Times New Roman" w:cs="Times New Roman"/>
        <w:sz w:val="20"/>
        <w:szCs w:val="20"/>
      </w:rPr>
    </w:pPr>
    <w:r>
      <w:rPr>
        <w:rFonts w:ascii="Times New Roman" w:hAnsi="Times New Roman" w:eastAsia="Times New Roman" w:cs="Times New Roman"/>
        <w:spacing w:val="-1"/>
        <w:sz w:val="20"/>
        <w:szCs w:val="20"/>
      </w:rPr>
      <w:t>204</w:t>
    </w:r>
  </w:p>
</w:ftr>
</file>

<file path=word/footer22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1B561E6">
    <w:pPr>
      <w:spacing w:line="177" w:lineRule="auto"/>
      <w:jc w:val="right"/>
      <w:rPr>
        <w:rFonts w:ascii="Times New Roman" w:hAnsi="Times New Roman" w:eastAsia="Times New Roman" w:cs="Times New Roman"/>
        <w:sz w:val="20"/>
        <w:szCs w:val="20"/>
      </w:rPr>
    </w:pPr>
    <w:r>
      <w:rPr>
        <w:rFonts w:ascii="Times New Roman" w:hAnsi="Times New Roman" w:eastAsia="Times New Roman" w:cs="Times New Roman"/>
        <w:spacing w:val="-2"/>
        <w:sz w:val="20"/>
        <w:szCs w:val="20"/>
      </w:rPr>
      <w:t>205</w:t>
    </w:r>
  </w:p>
</w:ftr>
</file>

<file path=word/footer22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699D501">
    <w:pPr>
      <w:spacing w:line="177" w:lineRule="auto"/>
      <w:rPr>
        <w:rFonts w:ascii="Times New Roman" w:hAnsi="Times New Roman" w:eastAsia="Times New Roman" w:cs="Times New Roman"/>
        <w:sz w:val="20"/>
        <w:szCs w:val="20"/>
      </w:rPr>
    </w:pPr>
    <w:r>
      <w:rPr>
        <w:rFonts w:ascii="Times New Roman" w:hAnsi="Times New Roman" w:eastAsia="Times New Roman" w:cs="Times New Roman"/>
        <w:spacing w:val="-1"/>
        <w:sz w:val="20"/>
        <w:szCs w:val="20"/>
      </w:rPr>
      <w:t>206</w:t>
    </w:r>
  </w:p>
</w:ftr>
</file>

<file path=word/footer22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AA158AC">
    <w:pPr>
      <w:spacing w:line="178" w:lineRule="auto"/>
      <w:jc w:val="right"/>
      <w:rPr>
        <w:rFonts w:ascii="Times New Roman" w:hAnsi="Times New Roman" w:eastAsia="Times New Roman" w:cs="Times New Roman"/>
        <w:sz w:val="21"/>
        <w:szCs w:val="21"/>
      </w:rPr>
    </w:pPr>
    <w:r>
      <w:rPr>
        <w:rFonts w:ascii="Times New Roman" w:hAnsi="Times New Roman" w:eastAsia="Times New Roman" w:cs="Times New Roman"/>
        <w:spacing w:val="-2"/>
        <w:sz w:val="21"/>
        <w:szCs w:val="21"/>
      </w:rPr>
      <w:t>207</w:t>
    </w:r>
  </w:p>
</w:ftr>
</file>

<file path=word/footer2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D17A80D">
    <w:pPr>
      <w:spacing w:line="220" w:lineRule="auto"/>
      <w:jc w:val="right"/>
      <w:rPr>
        <w:rFonts w:ascii="宋体" w:hAnsi="宋体" w:eastAsia="宋体" w:cs="宋体"/>
        <w:sz w:val="9"/>
        <w:szCs w:val="9"/>
      </w:rPr>
    </w:pPr>
    <w:r>
      <w:rPr>
        <w:rFonts w:ascii="宋体" w:hAnsi="宋体" w:eastAsia="宋体" w:cs="宋体"/>
        <w:spacing w:val="-11"/>
        <w:sz w:val="9"/>
        <w:szCs w:val="9"/>
      </w:rPr>
      <w:t>1</w:t>
    </w:r>
  </w:p>
</w:ftr>
</file>

<file path=word/footer23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4562A50">
    <w:pPr>
      <w:spacing w:line="175" w:lineRule="auto"/>
      <w:rPr>
        <w:rFonts w:ascii="Times New Roman" w:hAnsi="Times New Roman" w:eastAsia="Times New Roman" w:cs="Times New Roman"/>
        <w:sz w:val="16"/>
        <w:szCs w:val="16"/>
      </w:rPr>
    </w:pPr>
    <w:r>
      <w:rPr>
        <w:rFonts w:ascii="Times New Roman" w:hAnsi="Times New Roman" w:eastAsia="Times New Roman" w:cs="Times New Roman"/>
        <w:spacing w:val="-1"/>
        <w:sz w:val="16"/>
        <w:szCs w:val="16"/>
      </w:rPr>
      <w:t>208</w:t>
    </w:r>
  </w:p>
</w:ftr>
</file>

<file path=word/footer23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2A2AB89">
    <w:pPr>
      <w:spacing w:line="177" w:lineRule="auto"/>
      <w:jc w:val="right"/>
      <w:rPr>
        <w:rFonts w:ascii="Times New Roman" w:hAnsi="Times New Roman" w:eastAsia="Times New Roman" w:cs="Times New Roman"/>
        <w:sz w:val="20"/>
        <w:szCs w:val="20"/>
      </w:rPr>
    </w:pPr>
    <w:r>
      <w:rPr>
        <w:rFonts w:ascii="Times New Roman" w:hAnsi="Times New Roman" w:eastAsia="Times New Roman" w:cs="Times New Roman"/>
        <w:spacing w:val="-2"/>
        <w:sz w:val="20"/>
        <w:szCs w:val="20"/>
      </w:rPr>
      <w:t>209</w:t>
    </w:r>
  </w:p>
</w:ftr>
</file>

<file path=word/footer23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403EC6D">
    <w:pPr>
      <w:spacing w:line="177" w:lineRule="auto"/>
      <w:rPr>
        <w:rFonts w:ascii="Times New Roman" w:hAnsi="Times New Roman" w:eastAsia="Times New Roman" w:cs="Times New Roman"/>
        <w:sz w:val="20"/>
        <w:szCs w:val="20"/>
      </w:rPr>
    </w:pPr>
    <w:r>
      <w:rPr>
        <w:rFonts w:ascii="Times New Roman" w:hAnsi="Times New Roman" w:eastAsia="Times New Roman" w:cs="Times New Roman"/>
        <w:spacing w:val="-1"/>
        <w:sz w:val="20"/>
        <w:szCs w:val="20"/>
      </w:rPr>
      <w:t>210</w:t>
    </w:r>
  </w:p>
</w:ftr>
</file>

<file path=word/footer23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23D4658">
    <w:pPr>
      <w:spacing w:line="177" w:lineRule="auto"/>
      <w:jc w:val="right"/>
      <w:rPr>
        <w:rFonts w:ascii="Times New Roman" w:hAnsi="Times New Roman" w:eastAsia="Times New Roman" w:cs="Times New Roman"/>
        <w:sz w:val="19"/>
        <w:szCs w:val="19"/>
      </w:rPr>
    </w:pPr>
    <w:r>
      <w:rPr>
        <w:rFonts w:ascii="Times New Roman" w:hAnsi="Times New Roman" w:eastAsia="Times New Roman" w:cs="Times New Roman"/>
        <w:spacing w:val="-2"/>
        <w:sz w:val="19"/>
        <w:szCs w:val="19"/>
      </w:rPr>
      <w:t>211</w:t>
    </w:r>
  </w:p>
</w:ftr>
</file>

<file path=word/footer23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AF68E8D">
    <w:pPr>
      <w:spacing w:line="230" w:lineRule="auto"/>
      <w:rPr>
        <w:rFonts w:ascii="宋体" w:hAnsi="宋体" w:eastAsia="宋体" w:cs="宋体"/>
        <w:sz w:val="18"/>
        <w:szCs w:val="18"/>
      </w:rPr>
    </w:pPr>
    <w:r>
      <w:rPr>
        <w:rFonts w:ascii="宋体" w:hAnsi="宋体" w:eastAsia="宋体" w:cs="宋体"/>
        <w:spacing w:val="-3"/>
        <w:sz w:val="18"/>
        <w:szCs w:val="18"/>
      </w:rPr>
      <w:t>212</w:t>
    </w:r>
  </w:p>
</w:ftr>
</file>

<file path=word/footer23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7C9C646">
    <w:pPr>
      <w:spacing w:line="177" w:lineRule="auto"/>
      <w:jc w:val="right"/>
      <w:rPr>
        <w:rFonts w:ascii="Times New Roman" w:hAnsi="Times New Roman" w:eastAsia="Times New Roman" w:cs="Times New Roman"/>
        <w:sz w:val="20"/>
        <w:szCs w:val="20"/>
      </w:rPr>
    </w:pPr>
    <w:r>
      <w:rPr>
        <w:rFonts w:ascii="Times New Roman" w:hAnsi="Times New Roman" w:eastAsia="Times New Roman" w:cs="Times New Roman"/>
        <w:spacing w:val="-2"/>
        <w:sz w:val="20"/>
        <w:szCs w:val="20"/>
      </w:rPr>
      <w:t>213</w:t>
    </w:r>
  </w:p>
</w:ftr>
</file>

<file path=word/footer23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5ADD5DE">
    <w:pPr>
      <w:spacing w:line="177" w:lineRule="auto"/>
      <w:rPr>
        <w:rFonts w:ascii="Times New Roman" w:hAnsi="Times New Roman" w:eastAsia="Times New Roman" w:cs="Times New Roman"/>
        <w:sz w:val="20"/>
        <w:szCs w:val="20"/>
      </w:rPr>
    </w:pPr>
    <w:r>
      <w:rPr>
        <w:rFonts w:ascii="Times New Roman" w:hAnsi="Times New Roman" w:eastAsia="Times New Roman" w:cs="Times New Roman"/>
        <w:spacing w:val="-1"/>
        <w:sz w:val="20"/>
        <w:szCs w:val="20"/>
      </w:rPr>
      <w:t>214</w:t>
    </w:r>
  </w:p>
</w:ftr>
</file>

<file path=word/footer23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D5E9CEB">
    <w:pPr>
      <w:spacing w:line="178" w:lineRule="auto"/>
      <w:jc w:val="right"/>
      <w:rPr>
        <w:rFonts w:ascii="Times New Roman" w:hAnsi="Times New Roman" w:eastAsia="Times New Roman" w:cs="Times New Roman"/>
        <w:sz w:val="21"/>
        <w:szCs w:val="21"/>
      </w:rPr>
    </w:pPr>
    <w:r>
      <w:rPr>
        <w:rFonts w:ascii="Times New Roman" w:hAnsi="Times New Roman" w:eastAsia="Times New Roman" w:cs="Times New Roman"/>
        <w:spacing w:val="-2"/>
        <w:sz w:val="21"/>
        <w:szCs w:val="21"/>
      </w:rPr>
      <w:t>215</w:t>
    </w:r>
  </w:p>
</w:ftr>
</file>

<file path=word/footer23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AF54CC9">
    <w:pPr>
      <w:spacing w:line="177" w:lineRule="auto"/>
      <w:rPr>
        <w:rFonts w:ascii="Times New Roman" w:hAnsi="Times New Roman" w:eastAsia="Times New Roman" w:cs="Times New Roman"/>
        <w:sz w:val="19"/>
        <w:szCs w:val="19"/>
      </w:rPr>
    </w:pPr>
    <w:r>
      <w:rPr>
        <w:rFonts w:ascii="Times New Roman" w:hAnsi="Times New Roman" w:eastAsia="Times New Roman" w:cs="Times New Roman"/>
        <w:spacing w:val="-1"/>
        <w:sz w:val="19"/>
        <w:szCs w:val="19"/>
      </w:rPr>
      <w:t>216</w:t>
    </w:r>
  </w:p>
</w:ftr>
</file>

<file path=word/footer23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A8D3332">
    <w:pPr>
      <w:spacing w:line="176" w:lineRule="auto"/>
      <w:jc w:val="right"/>
      <w:rPr>
        <w:rFonts w:ascii="Times New Roman" w:hAnsi="Times New Roman" w:eastAsia="Times New Roman" w:cs="Times New Roman"/>
        <w:sz w:val="18"/>
        <w:szCs w:val="18"/>
      </w:rPr>
    </w:pPr>
    <w:r>
      <w:rPr>
        <w:rFonts w:ascii="Times New Roman" w:hAnsi="Times New Roman" w:eastAsia="Times New Roman" w:cs="Times New Roman"/>
        <w:spacing w:val="-2"/>
        <w:sz w:val="18"/>
        <w:szCs w:val="18"/>
      </w:rPr>
      <w:t>217</w:t>
    </w:r>
  </w:p>
</w:ftr>
</file>

<file path=word/footer2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D8FA85C">
    <w:pPr>
      <w:spacing w:line="177" w:lineRule="auto"/>
      <w:rPr>
        <w:rFonts w:ascii="Times New Roman" w:hAnsi="Times New Roman" w:eastAsia="Times New Roman" w:cs="Times New Roman"/>
        <w:sz w:val="20"/>
        <w:szCs w:val="20"/>
      </w:rPr>
    </w:pPr>
    <w:r>
      <w:rPr>
        <w:rFonts w:ascii="Times New Roman" w:hAnsi="Times New Roman" w:eastAsia="Times New Roman" w:cs="Times New Roman"/>
        <w:sz w:val="20"/>
        <w:szCs w:val="20"/>
      </w:rPr>
      <w:t>2</w:t>
    </w:r>
  </w:p>
</w:ftr>
</file>

<file path=word/footer24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FC57C1E">
    <w:pPr>
      <w:spacing w:line="178" w:lineRule="auto"/>
      <w:rPr>
        <w:rFonts w:ascii="Times New Roman" w:hAnsi="Times New Roman" w:eastAsia="Times New Roman" w:cs="Times New Roman"/>
        <w:sz w:val="21"/>
        <w:szCs w:val="21"/>
      </w:rPr>
    </w:pPr>
    <w:r>
      <w:rPr>
        <w:rFonts w:ascii="Times New Roman" w:hAnsi="Times New Roman" w:eastAsia="Times New Roman" w:cs="Times New Roman"/>
        <w:spacing w:val="-1"/>
        <w:sz w:val="21"/>
        <w:szCs w:val="21"/>
      </w:rPr>
      <w:t>218</w:t>
    </w:r>
  </w:p>
</w:ftr>
</file>

<file path=word/footer24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9836B5C">
    <w:pPr>
      <w:spacing w:line="177" w:lineRule="auto"/>
      <w:jc w:val="right"/>
      <w:rPr>
        <w:rFonts w:ascii="Times New Roman" w:hAnsi="Times New Roman" w:eastAsia="Times New Roman" w:cs="Times New Roman"/>
        <w:sz w:val="20"/>
        <w:szCs w:val="20"/>
      </w:rPr>
    </w:pPr>
    <w:r>
      <w:rPr>
        <w:rFonts w:ascii="Times New Roman" w:hAnsi="Times New Roman" w:eastAsia="Times New Roman" w:cs="Times New Roman"/>
        <w:spacing w:val="-2"/>
        <w:sz w:val="20"/>
        <w:szCs w:val="20"/>
      </w:rPr>
      <w:t>219</w:t>
    </w:r>
  </w:p>
</w:ftr>
</file>

<file path=word/footer24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906B199">
    <w:pPr>
      <w:spacing w:line="177" w:lineRule="auto"/>
      <w:rPr>
        <w:rFonts w:ascii="Times New Roman" w:hAnsi="Times New Roman" w:eastAsia="Times New Roman" w:cs="Times New Roman"/>
        <w:sz w:val="20"/>
        <w:szCs w:val="20"/>
      </w:rPr>
    </w:pPr>
    <w:r>
      <w:rPr>
        <w:rFonts w:ascii="Times New Roman" w:hAnsi="Times New Roman" w:eastAsia="Times New Roman" w:cs="Times New Roman"/>
        <w:spacing w:val="-1"/>
        <w:sz w:val="20"/>
        <w:szCs w:val="20"/>
      </w:rPr>
      <w:t>220</w:t>
    </w:r>
  </w:p>
</w:ftr>
</file>

<file path=word/footer24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826FACA">
    <w:pPr>
      <w:spacing w:line="177" w:lineRule="auto"/>
      <w:jc w:val="right"/>
      <w:rPr>
        <w:rFonts w:ascii="Times New Roman" w:hAnsi="Times New Roman" w:eastAsia="Times New Roman" w:cs="Times New Roman"/>
        <w:sz w:val="20"/>
        <w:szCs w:val="20"/>
      </w:rPr>
    </w:pPr>
    <w:r>
      <w:rPr>
        <w:rFonts w:ascii="Times New Roman" w:hAnsi="Times New Roman" w:eastAsia="Times New Roman" w:cs="Times New Roman"/>
        <w:spacing w:val="-2"/>
        <w:sz w:val="20"/>
        <w:szCs w:val="20"/>
      </w:rPr>
      <w:t>221</w:t>
    </w:r>
  </w:p>
</w:ftr>
</file>

<file path=word/footer24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5520D99">
    <w:pPr>
      <w:spacing w:line="177" w:lineRule="auto"/>
      <w:rPr>
        <w:rFonts w:ascii="Times New Roman" w:hAnsi="Times New Roman" w:eastAsia="Times New Roman" w:cs="Times New Roman"/>
        <w:sz w:val="20"/>
        <w:szCs w:val="20"/>
      </w:rPr>
    </w:pPr>
    <w:r>
      <w:rPr>
        <w:rFonts w:ascii="Times New Roman" w:hAnsi="Times New Roman" w:eastAsia="Times New Roman" w:cs="Times New Roman"/>
        <w:spacing w:val="-1"/>
        <w:sz w:val="20"/>
        <w:szCs w:val="20"/>
      </w:rPr>
      <w:t>222</w:t>
    </w:r>
  </w:p>
</w:ftr>
</file>

<file path=word/footer24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A4487CA">
    <w:pPr>
      <w:spacing w:line="177" w:lineRule="auto"/>
      <w:jc w:val="right"/>
      <w:rPr>
        <w:rFonts w:ascii="Times New Roman" w:hAnsi="Times New Roman" w:eastAsia="Times New Roman" w:cs="Times New Roman"/>
        <w:sz w:val="20"/>
        <w:szCs w:val="20"/>
      </w:rPr>
    </w:pPr>
    <w:r>
      <w:rPr>
        <w:rFonts w:ascii="Times New Roman" w:hAnsi="Times New Roman" w:eastAsia="Times New Roman" w:cs="Times New Roman"/>
        <w:spacing w:val="-2"/>
        <w:sz w:val="20"/>
        <w:szCs w:val="20"/>
      </w:rPr>
      <w:t>223</w:t>
    </w:r>
  </w:p>
</w:ftr>
</file>

<file path=word/footer24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5A48B57">
    <w:pPr>
      <w:spacing w:line="178" w:lineRule="auto"/>
      <w:rPr>
        <w:rFonts w:ascii="Times New Roman" w:hAnsi="Times New Roman" w:eastAsia="Times New Roman" w:cs="Times New Roman"/>
        <w:sz w:val="21"/>
        <w:szCs w:val="21"/>
      </w:rPr>
    </w:pPr>
    <w:r>
      <w:rPr>
        <w:rFonts w:ascii="Times New Roman" w:hAnsi="Times New Roman" w:eastAsia="Times New Roman" w:cs="Times New Roman"/>
        <w:spacing w:val="-1"/>
        <w:sz w:val="21"/>
        <w:szCs w:val="21"/>
      </w:rPr>
      <w:t>224</w:t>
    </w:r>
  </w:p>
</w:ftr>
</file>

<file path=word/footer24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D875CCB">
    <w:pPr>
      <w:spacing w:line="177" w:lineRule="auto"/>
      <w:jc w:val="right"/>
      <w:rPr>
        <w:rFonts w:ascii="Times New Roman" w:hAnsi="Times New Roman" w:eastAsia="Times New Roman" w:cs="Times New Roman"/>
        <w:sz w:val="20"/>
        <w:szCs w:val="20"/>
      </w:rPr>
    </w:pPr>
    <w:r>
      <w:rPr>
        <w:rFonts w:ascii="Times New Roman" w:hAnsi="Times New Roman" w:eastAsia="Times New Roman" w:cs="Times New Roman"/>
        <w:spacing w:val="-2"/>
        <w:sz w:val="20"/>
        <w:szCs w:val="20"/>
      </w:rPr>
      <w:t>225</w:t>
    </w:r>
  </w:p>
</w:ftr>
</file>

<file path=word/footer24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59B089C">
    <w:pPr>
      <w:spacing w:line="177" w:lineRule="auto"/>
      <w:rPr>
        <w:rFonts w:ascii="Times New Roman" w:hAnsi="Times New Roman" w:eastAsia="Times New Roman" w:cs="Times New Roman"/>
        <w:sz w:val="19"/>
        <w:szCs w:val="19"/>
      </w:rPr>
    </w:pPr>
    <w:r>
      <w:rPr>
        <w:rFonts w:ascii="Times New Roman" w:hAnsi="Times New Roman" w:eastAsia="Times New Roman" w:cs="Times New Roman"/>
        <w:spacing w:val="-1"/>
        <w:sz w:val="19"/>
        <w:szCs w:val="19"/>
      </w:rPr>
      <w:t>226</w:t>
    </w:r>
  </w:p>
</w:ftr>
</file>

<file path=word/footer24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AD96100">
    <w:pPr>
      <w:spacing w:line="177" w:lineRule="auto"/>
      <w:jc w:val="right"/>
      <w:rPr>
        <w:rFonts w:ascii="Times New Roman" w:hAnsi="Times New Roman" w:eastAsia="Times New Roman" w:cs="Times New Roman"/>
        <w:sz w:val="20"/>
        <w:szCs w:val="20"/>
      </w:rPr>
    </w:pPr>
    <w:r>
      <w:rPr>
        <w:rFonts w:ascii="Times New Roman" w:hAnsi="Times New Roman" w:eastAsia="Times New Roman" w:cs="Times New Roman"/>
        <w:spacing w:val="-2"/>
        <w:sz w:val="20"/>
        <w:szCs w:val="20"/>
      </w:rPr>
      <w:t>227</w:t>
    </w:r>
  </w:p>
</w:ftr>
</file>

<file path=word/footer2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D2D0AFC">
    <w:pPr>
      <w:spacing w:line="175" w:lineRule="auto"/>
      <w:jc w:val="right"/>
      <w:rPr>
        <w:rFonts w:ascii="Times New Roman" w:hAnsi="Times New Roman" w:eastAsia="Times New Roman" w:cs="Times New Roman"/>
        <w:sz w:val="17"/>
        <w:szCs w:val="17"/>
      </w:rPr>
    </w:pPr>
    <w:r>
      <w:rPr>
        <w:rFonts w:ascii="Times New Roman" w:hAnsi="Times New Roman" w:eastAsia="Times New Roman" w:cs="Times New Roman"/>
        <w:spacing w:val="-7"/>
        <w:sz w:val="17"/>
        <w:szCs w:val="17"/>
      </w:rPr>
      <w:t>3</w:t>
    </w:r>
  </w:p>
</w:ftr>
</file>

<file path=word/footer25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6AC955D">
    <w:pPr>
      <w:spacing w:line="177" w:lineRule="auto"/>
      <w:rPr>
        <w:rFonts w:ascii="Times New Roman" w:hAnsi="Times New Roman" w:eastAsia="Times New Roman" w:cs="Times New Roman"/>
        <w:sz w:val="20"/>
        <w:szCs w:val="20"/>
      </w:rPr>
    </w:pPr>
    <w:r>
      <w:rPr>
        <w:rFonts w:ascii="Times New Roman" w:hAnsi="Times New Roman" w:eastAsia="Times New Roman" w:cs="Times New Roman"/>
        <w:spacing w:val="-1"/>
        <w:sz w:val="20"/>
        <w:szCs w:val="20"/>
      </w:rPr>
      <w:t>228</w:t>
    </w:r>
  </w:p>
</w:ftr>
</file>

<file path=word/footer25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A91DC2E">
    <w:pPr>
      <w:spacing w:line="177" w:lineRule="auto"/>
      <w:jc w:val="right"/>
      <w:rPr>
        <w:rFonts w:ascii="Times New Roman" w:hAnsi="Times New Roman" w:eastAsia="Times New Roman" w:cs="Times New Roman"/>
        <w:sz w:val="20"/>
        <w:szCs w:val="20"/>
      </w:rPr>
    </w:pPr>
    <w:r>
      <w:rPr>
        <w:rFonts w:ascii="Times New Roman" w:hAnsi="Times New Roman" w:eastAsia="Times New Roman" w:cs="Times New Roman"/>
        <w:spacing w:val="-2"/>
        <w:sz w:val="20"/>
        <w:szCs w:val="20"/>
      </w:rPr>
      <w:t>229</w:t>
    </w:r>
  </w:p>
</w:ftr>
</file>

<file path=word/footer25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56AE047">
    <w:pPr>
      <w:spacing w:line="177" w:lineRule="auto"/>
      <w:rPr>
        <w:rFonts w:ascii="Times New Roman" w:hAnsi="Times New Roman" w:eastAsia="Times New Roman" w:cs="Times New Roman"/>
        <w:sz w:val="20"/>
        <w:szCs w:val="20"/>
      </w:rPr>
    </w:pPr>
    <w:r>
      <w:rPr>
        <w:rFonts w:ascii="Times New Roman" w:hAnsi="Times New Roman" w:eastAsia="Times New Roman" w:cs="Times New Roman"/>
        <w:spacing w:val="-1"/>
        <w:sz w:val="20"/>
        <w:szCs w:val="20"/>
      </w:rPr>
      <w:t>230</w:t>
    </w:r>
  </w:p>
</w:ftr>
</file>

<file path=word/footer25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989D11E">
    <w:pPr>
      <w:spacing w:line="177" w:lineRule="auto"/>
      <w:jc w:val="right"/>
      <w:rPr>
        <w:rFonts w:ascii="Times New Roman" w:hAnsi="Times New Roman" w:eastAsia="Times New Roman" w:cs="Times New Roman"/>
        <w:sz w:val="20"/>
        <w:szCs w:val="20"/>
      </w:rPr>
    </w:pPr>
    <w:r>
      <w:rPr>
        <w:rFonts w:ascii="Times New Roman" w:hAnsi="Times New Roman" w:eastAsia="Times New Roman" w:cs="Times New Roman"/>
        <w:spacing w:val="-2"/>
        <w:sz w:val="20"/>
        <w:szCs w:val="20"/>
      </w:rPr>
      <w:t>231</w:t>
    </w:r>
  </w:p>
</w:ftr>
</file>

<file path=word/footer25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680C369">
    <w:pPr>
      <w:spacing w:line="178" w:lineRule="auto"/>
      <w:rPr>
        <w:rFonts w:ascii="Times New Roman" w:hAnsi="Times New Roman" w:eastAsia="Times New Roman" w:cs="Times New Roman"/>
        <w:sz w:val="21"/>
        <w:szCs w:val="21"/>
      </w:rPr>
    </w:pPr>
    <w:r>
      <w:rPr>
        <w:rFonts w:ascii="Times New Roman" w:hAnsi="Times New Roman" w:eastAsia="Times New Roman" w:cs="Times New Roman"/>
        <w:spacing w:val="-1"/>
        <w:sz w:val="21"/>
        <w:szCs w:val="21"/>
      </w:rPr>
      <w:t>232</w:t>
    </w:r>
  </w:p>
</w:ftr>
</file>

<file path=word/footer25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DFFDDBB">
    <w:pPr>
      <w:spacing w:line="177" w:lineRule="auto"/>
      <w:jc w:val="right"/>
      <w:rPr>
        <w:rFonts w:ascii="Times New Roman" w:hAnsi="Times New Roman" w:eastAsia="Times New Roman" w:cs="Times New Roman"/>
        <w:sz w:val="20"/>
        <w:szCs w:val="20"/>
      </w:rPr>
    </w:pPr>
    <w:r>
      <w:rPr>
        <w:rFonts w:ascii="Times New Roman" w:hAnsi="Times New Roman" w:eastAsia="Times New Roman" w:cs="Times New Roman"/>
        <w:spacing w:val="-2"/>
        <w:sz w:val="20"/>
        <w:szCs w:val="20"/>
      </w:rPr>
      <w:t>233</w:t>
    </w:r>
  </w:p>
</w:ftr>
</file>

<file path=word/footer25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E2BD01D">
    <w:pPr>
      <w:spacing w:line="177" w:lineRule="auto"/>
      <w:rPr>
        <w:rFonts w:ascii="Times New Roman" w:hAnsi="Times New Roman" w:eastAsia="Times New Roman" w:cs="Times New Roman"/>
        <w:sz w:val="20"/>
        <w:szCs w:val="20"/>
      </w:rPr>
    </w:pPr>
    <w:r>
      <w:rPr>
        <w:rFonts w:ascii="Times New Roman" w:hAnsi="Times New Roman" w:eastAsia="Times New Roman" w:cs="Times New Roman"/>
        <w:spacing w:val="-1"/>
        <w:sz w:val="20"/>
        <w:szCs w:val="20"/>
      </w:rPr>
      <w:t>234</w:t>
    </w:r>
  </w:p>
</w:ftr>
</file>

<file path=word/footer25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FB1227A">
    <w:pPr>
      <w:spacing w:line="177" w:lineRule="auto"/>
      <w:jc w:val="right"/>
      <w:rPr>
        <w:rFonts w:ascii="Times New Roman" w:hAnsi="Times New Roman" w:eastAsia="Times New Roman" w:cs="Times New Roman"/>
        <w:sz w:val="20"/>
        <w:szCs w:val="20"/>
      </w:rPr>
    </w:pPr>
    <w:r>
      <w:rPr>
        <w:rFonts w:ascii="Times New Roman" w:hAnsi="Times New Roman" w:eastAsia="Times New Roman" w:cs="Times New Roman"/>
        <w:spacing w:val="-2"/>
        <w:sz w:val="20"/>
        <w:szCs w:val="20"/>
      </w:rPr>
      <w:t>235</w:t>
    </w:r>
  </w:p>
</w:ftr>
</file>

<file path=word/footer25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CD8C8D3">
    <w:pPr>
      <w:spacing w:line="177" w:lineRule="auto"/>
      <w:rPr>
        <w:rFonts w:ascii="Times New Roman" w:hAnsi="Times New Roman" w:eastAsia="Times New Roman" w:cs="Times New Roman"/>
        <w:sz w:val="20"/>
        <w:szCs w:val="20"/>
      </w:rPr>
    </w:pPr>
    <w:r>
      <w:rPr>
        <w:rFonts w:ascii="Times New Roman" w:hAnsi="Times New Roman" w:eastAsia="Times New Roman" w:cs="Times New Roman"/>
        <w:spacing w:val="-1"/>
        <w:sz w:val="20"/>
        <w:szCs w:val="20"/>
      </w:rPr>
      <w:t>236</w:t>
    </w:r>
  </w:p>
</w:ftr>
</file>

<file path=word/footer25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4006489">
    <w:pPr>
      <w:spacing w:line="177" w:lineRule="auto"/>
      <w:jc w:val="right"/>
      <w:rPr>
        <w:rFonts w:ascii="Times New Roman" w:hAnsi="Times New Roman" w:eastAsia="Times New Roman" w:cs="Times New Roman"/>
        <w:sz w:val="20"/>
        <w:szCs w:val="20"/>
      </w:rPr>
    </w:pPr>
    <w:r>
      <w:rPr>
        <w:rFonts w:ascii="Times New Roman" w:hAnsi="Times New Roman" w:eastAsia="Times New Roman" w:cs="Times New Roman"/>
        <w:spacing w:val="-2"/>
        <w:sz w:val="20"/>
        <w:szCs w:val="20"/>
      </w:rPr>
      <w:t>237</w:t>
    </w:r>
  </w:p>
</w:ftr>
</file>

<file path=word/footer2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8E6743A">
    <w:pPr>
      <w:spacing w:line="175" w:lineRule="auto"/>
      <w:rPr>
        <w:rFonts w:ascii="Times New Roman" w:hAnsi="Times New Roman" w:eastAsia="Times New Roman" w:cs="Times New Roman"/>
        <w:sz w:val="16"/>
        <w:szCs w:val="16"/>
      </w:rPr>
    </w:pPr>
    <w:r>
      <w:rPr>
        <w:rFonts w:ascii="Times New Roman" w:hAnsi="Times New Roman" w:eastAsia="Times New Roman" w:cs="Times New Roman"/>
        <w:sz w:val="16"/>
        <w:szCs w:val="16"/>
      </w:rPr>
      <w:t>4</w:t>
    </w:r>
  </w:p>
</w:ftr>
</file>

<file path=word/footer26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82F27FB">
    <w:pPr>
      <w:spacing w:line="178" w:lineRule="auto"/>
      <w:rPr>
        <w:rFonts w:ascii="Times New Roman" w:hAnsi="Times New Roman" w:eastAsia="Times New Roman" w:cs="Times New Roman"/>
        <w:sz w:val="21"/>
        <w:szCs w:val="21"/>
      </w:rPr>
    </w:pPr>
    <w:r>
      <w:rPr>
        <w:rFonts w:ascii="Times New Roman" w:hAnsi="Times New Roman" w:eastAsia="Times New Roman" w:cs="Times New Roman"/>
        <w:spacing w:val="-1"/>
        <w:sz w:val="21"/>
        <w:szCs w:val="21"/>
      </w:rPr>
      <w:t>238</w:t>
    </w:r>
  </w:p>
</w:ftr>
</file>

<file path=word/footer26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4AE7E03">
    <w:pPr>
      <w:spacing w:line="177" w:lineRule="auto"/>
      <w:jc w:val="right"/>
      <w:rPr>
        <w:rFonts w:ascii="Times New Roman" w:hAnsi="Times New Roman" w:eastAsia="Times New Roman" w:cs="Times New Roman"/>
        <w:sz w:val="20"/>
        <w:szCs w:val="20"/>
      </w:rPr>
    </w:pPr>
    <w:r>
      <w:rPr>
        <w:rFonts w:ascii="Times New Roman" w:hAnsi="Times New Roman" w:eastAsia="Times New Roman" w:cs="Times New Roman"/>
        <w:spacing w:val="-2"/>
        <w:sz w:val="20"/>
        <w:szCs w:val="20"/>
      </w:rPr>
      <w:t>239</w:t>
    </w:r>
  </w:p>
</w:ftr>
</file>

<file path=word/footer26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A74C944">
    <w:pPr>
      <w:spacing w:line="177" w:lineRule="auto"/>
      <w:rPr>
        <w:rFonts w:ascii="Times New Roman" w:hAnsi="Times New Roman" w:eastAsia="Times New Roman" w:cs="Times New Roman"/>
        <w:sz w:val="20"/>
        <w:szCs w:val="20"/>
      </w:rPr>
    </w:pPr>
    <w:r>
      <w:rPr>
        <w:rFonts w:ascii="Times New Roman" w:hAnsi="Times New Roman" w:eastAsia="Times New Roman" w:cs="Times New Roman"/>
        <w:spacing w:val="-1"/>
        <w:sz w:val="20"/>
        <w:szCs w:val="20"/>
      </w:rPr>
      <w:t>240</w:t>
    </w:r>
  </w:p>
</w:ftr>
</file>

<file path=word/footer26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1D210A0">
    <w:pPr>
      <w:spacing w:line="177" w:lineRule="auto"/>
      <w:jc w:val="right"/>
      <w:rPr>
        <w:rFonts w:ascii="Times New Roman" w:hAnsi="Times New Roman" w:eastAsia="Times New Roman" w:cs="Times New Roman"/>
        <w:sz w:val="20"/>
        <w:szCs w:val="20"/>
      </w:rPr>
    </w:pPr>
    <w:r>
      <w:rPr>
        <w:rFonts w:ascii="Times New Roman" w:hAnsi="Times New Roman" w:eastAsia="Times New Roman" w:cs="Times New Roman"/>
        <w:spacing w:val="-2"/>
        <w:sz w:val="20"/>
        <w:szCs w:val="20"/>
      </w:rPr>
      <w:t>241</w:t>
    </w:r>
  </w:p>
</w:ftr>
</file>

<file path=word/footer26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E3ED0CD">
    <w:pPr>
      <w:spacing w:line="178" w:lineRule="auto"/>
      <w:rPr>
        <w:rFonts w:ascii="Times New Roman" w:hAnsi="Times New Roman" w:eastAsia="Times New Roman" w:cs="Times New Roman"/>
        <w:sz w:val="21"/>
        <w:szCs w:val="21"/>
      </w:rPr>
    </w:pPr>
    <w:r>
      <w:rPr>
        <w:rFonts w:ascii="Times New Roman" w:hAnsi="Times New Roman" w:eastAsia="Times New Roman" w:cs="Times New Roman"/>
        <w:spacing w:val="-1"/>
        <w:sz w:val="21"/>
        <w:szCs w:val="21"/>
      </w:rPr>
      <w:t>242</w:t>
    </w:r>
  </w:p>
</w:ftr>
</file>

<file path=word/footer26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8A4B4F7">
    <w:pPr>
      <w:spacing w:line="178" w:lineRule="auto"/>
      <w:jc w:val="right"/>
      <w:rPr>
        <w:rFonts w:ascii="Times New Roman" w:hAnsi="Times New Roman" w:eastAsia="Times New Roman" w:cs="Times New Roman"/>
        <w:sz w:val="21"/>
        <w:szCs w:val="21"/>
      </w:rPr>
    </w:pPr>
    <w:r>
      <w:rPr>
        <w:rFonts w:ascii="Times New Roman" w:hAnsi="Times New Roman" w:eastAsia="Times New Roman" w:cs="Times New Roman"/>
        <w:spacing w:val="-2"/>
        <w:sz w:val="21"/>
        <w:szCs w:val="21"/>
      </w:rPr>
      <w:t>243</w:t>
    </w:r>
  </w:p>
</w:ftr>
</file>

<file path=word/footer26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16764F6">
    <w:pPr>
      <w:spacing w:line="178" w:lineRule="auto"/>
      <w:rPr>
        <w:rFonts w:ascii="Times New Roman" w:hAnsi="Times New Roman" w:eastAsia="Times New Roman" w:cs="Times New Roman"/>
        <w:sz w:val="21"/>
        <w:szCs w:val="21"/>
      </w:rPr>
    </w:pPr>
    <w:r>
      <w:rPr>
        <w:rFonts w:ascii="Times New Roman" w:hAnsi="Times New Roman" w:eastAsia="Times New Roman" w:cs="Times New Roman"/>
        <w:spacing w:val="-1"/>
        <w:sz w:val="21"/>
        <w:szCs w:val="21"/>
      </w:rPr>
      <w:t>244</w:t>
    </w:r>
  </w:p>
</w:ftr>
</file>

<file path=word/footer26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891B661">
    <w:pPr>
      <w:spacing w:line="177" w:lineRule="auto"/>
      <w:jc w:val="right"/>
      <w:rPr>
        <w:rFonts w:ascii="Times New Roman" w:hAnsi="Times New Roman" w:eastAsia="Times New Roman" w:cs="Times New Roman"/>
        <w:sz w:val="20"/>
        <w:szCs w:val="20"/>
      </w:rPr>
    </w:pPr>
    <w:r>
      <w:rPr>
        <w:rFonts w:ascii="Times New Roman" w:hAnsi="Times New Roman" w:eastAsia="Times New Roman" w:cs="Times New Roman"/>
        <w:spacing w:val="-2"/>
        <w:sz w:val="20"/>
        <w:szCs w:val="20"/>
      </w:rPr>
      <w:t>245</w:t>
    </w:r>
  </w:p>
</w:ftr>
</file>

<file path=word/footer26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74F3213">
    <w:pPr>
      <w:spacing w:line="177" w:lineRule="auto"/>
      <w:rPr>
        <w:rFonts w:ascii="Times New Roman" w:hAnsi="Times New Roman" w:eastAsia="Times New Roman" w:cs="Times New Roman"/>
        <w:sz w:val="20"/>
        <w:szCs w:val="20"/>
      </w:rPr>
    </w:pPr>
    <w:r>
      <w:rPr>
        <w:rFonts w:ascii="Times New Roman" w:hAnsi="Times New Roman" w:eastAsia="Times New Roman" w:cs="Times New Roman"/>
        <w:spacing w:val="-1"/>
        <w:sz w:val="20"/>
        <w:szCs w:val="20"/>
      </w:rPr>
      <w:t>246</w:t>
    </w:r>
  </w:p>
</w:ftr>
</file>

<file path=word/footer26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2FAD3C4">
    <w:pPr>
      <w:spacing w:line="177" w:lineRule="auto"/>
      <w:jc w:val="right"/>
      <w:rPr>
        <w:rFonts w:ascii="Times New Roman" w:hAnsi="Times New Roman" w:eastAsia="Times New Roman" w:cs="Times New Roman"/>
        <w:sz w:val="20"/>
        <w:szCs w:val="20"/>
      </w:rPr>
    </w:pPr>
    <w:r>
      <w:rPr>
        <w:rFonts w:ascii="Times New Roman" w:hAnsi="Times New Roman" w:eastAsia="Times New Roman" w:cs="Times New Roman"/>
        <w:spacing w:val="-2"/>
        <w:sz w:val="20"/>
        <w:szCs w:val="20"/>
      </w:rPr>
      <w:t>247</w:t>
    </w:r>
  </w:p>
</w:ftr>
</file>

<file path=word/footer2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23660E2">
    <w:pPr>
      <w:spacing w:line="175" w:lineRule="auto"/>
      <w:jc w:val="right"/>
      <w:rPr>
        <w:rFonts w:ascii="Times New Roman" w:hAnsi="Times New Roman" w:eastAsia="Times New Roman" w:cs="Times New Roman"/>
        <w:sz w:val="21"/>
        <w:szCs w:val="21"/>
      </w:rPr>
    </w:pPr>
    <w:r>
      <w:rPr>
        <w:rFonts w:ascii="Times New Roman" w:hAnsi="Times New Roman" w:eastAsia="Times New Roman" w:cs="Times New Roman"/>
        <w:spacing w:val="-11"/>
        <w:sz w:val="21"/>
        <w:szCs w:val="21"/>
      </w:rPr>
      <w:t>5</w:t>
    </w:r>
  </w:p>
</w:ftr>
</file>

<file path=word/footer27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FDB8FA8">
    <w:pPr>
      <w:spacing w:line="177" w:lineRule="auto"/>
      <w:rPr>
        <w:rFonts w:ascii="Times New Roman" w:hAnsi="Times New Roman" w:eastAsia="Times New Roman" w:cs="Times New Roman"/>
        <w:sz w:val="19"/>
        <w:szCs w:val="19"/>
      </w:rPr>
    </w:pPr>
    <w:r>
      <w:rPr>
        <w:rFonts w:ascii="Times New Roman" w:hAnsi="Times New Roman" w:eastAsia="Times New Roman" w:cs="Times New Roman"/>
        <w:spacing w:val="-1"/>
        <w:sz w:val="19"/>
        <w:szCs w:val="19"/>
      </w:rPr>
      <w:t>248</w:t>
    </w:r>
  </w:p>
</w:ftr>
</file>

<file path=word/footer27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822DBCB">
    <w:pPr>
      <w:spacing w:line="176" w:lineRule="auto"/>
      <w:jc w:val="right"/>
      <w:rPr>
        <w:rFonts w:ascii="Times New Roman" w:hAnsi="Times New Roman" w:eastAsia="Times New Roman" w:cs="Times New Roman"/>
        <w:sz w:val="18"/>
        <w:szCs w:val="18"/>
      </w:rPr>
    </w:pPr>
    <w:r>
      <w:rPr>
        <w:rFonts w:ascii="Times New Roman" w:hAnsi="Times New Roman" w:eastAsia="Times New Roman" w:cs="Times New Roman"/>
        <w:spacing w:val="-2"/>
        <w:sz w:val="18"/>
        <w:szCs w:val="18"/>
      </w:rPr>
      <w:t>249</w:t>
    </w:r>
  </w:p>
</w:ftr>
</file>

<file path=word/footer27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DE6541F">
    <w:pPr>
      <w:spacing w:line="177" w:lineRule="auto"/>
      <w:rPr>
        <w:rFonts w:ascii="Times New Roman" w:hAnsi="Times New Roman" w:eastAsia="Times New Roman" w:cs="Times New Roman"/>
        <w:sz w:val="20"/>
        <w:szCs w:val="20"/>
      </w:rPr>
    </w:pPr>
    <w:r>
      <w:rPr>
        <w:rFonts w:ascii="Times New Roman" w:hAnsi="Times New Roman" w:eastAsia="Times New Roman" w:cs="Times New Roman"/>
        <w:spacing w:val="-1"/>
        <w:sz w:val="20"/>
        <w:szCs w:val="20"/>
      </w:rPr>
      <w:t>250</w:t>
    </w:r>
  </w:p>
</w:ftr>
</file>

<file path=word/footer27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CE9926E">
    <w:pPr>
      <w:spacing w:line="177" w:lineRule="auto"/>
      <w:jc w:val="right"/>
      <w:rPr>
        <w:rFonts w:ascii="Times New Roman" w:hAnsi="Times New Roman" w:eastAsia="Times New Roman" w:cs="Times New Roman"/>
        <w:sz w:val="20"/>
        <w:szCs w:val="20"/>
      </w:rPr>
    </w:pPr>
    <w:r>
      <w:rPr>
        <w:rFonts w:ascii="Times New Roman" w:hAnsi="Times New Roman" w:eastAsia="Times New Roman" w:cs="Times New Roman"/>
        <w:spacing w:val="-2"/>
        <w:sz w:val="20"/>
        <w:szCs w:val="20"/>
      </w:rPr>
      <w:t>251</w:t>
    </w:r>
  </w:p>
</w:ftr>
</file>

<file path=word/footer27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2A05CE6">
    <w:pPr>
      <w:spacing w:line="177" w:lineRule="auto"/>
      <w:rPr>
        <w:rFonts w:ascii="Times New Roman" w:hAnsi="Times New Roman" w:eastAsia="Times New Roman" w:cs="Times New Roman"/>
        <w:sz w:val="20"/>
        <w:szCs w:val="20"/>
      </w:rPr>
    </w:pPr>
    <w:r>
      <w:rPr>
        <w:rFonts w:ascii="Times New Roman" w:hAnsi="Times New Roman" w:eastAsia="Times New Roman" w:cs="Times New Roman"/>
        <w:spacing w:val="-1"/>
        <w:sz w:val="20"/>
        <w:szCs w:val="20"/>
      </w:rPr>
      <w:t>252</w:t>
    </w:r>
  </w:p>
</w:ftr>
</file>

<file path=word/footer27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D30664E">
    <w:pPr>
      <w:spacing w:line="177" w:lineRule="auto"/>
      <w:jc w:val="right"/>
      <w:rPr>
        <w:rFonts w:ascii="Times New Roman" w:hAnsi="Times New Roman" w:eastAsia="Times New Roman" w:cs="Times New Roman"/>
        <w:sz w:val="19"/>
        <w:szCs w:val="19"/>
      </w:rPr>
    </w:pPr>
    <w:r>
      <w:rPr>
        <w:rFonts w:ascii="Times New Roman" w:hAnsi="Times New Roman" w:eastAsia="Times New Roman" w:cs="Times New Roman"/>
        <w:spacing w:val="-2"/>
        <w:sz w:val="19"/>
        <w:szCs w:val="19"/>
      </w:rPr>
      <w:t>253</w:t>
    </w:r>
  </w:p>
</w:ftr>
</file>

<file path=word/footer27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06A0CE9">
    <w:pPr>
      <w:spacing w:line="177" w:lineRule="auto"/>
      <w:rPr>
        <w:rFonts w:ascii="Times New Roman" w:hAnsi="Times New Roman" w:eastAsia="Times New Roman" w:cs="Times New Roman"/>
        <w:sz w:val="20"/>
        <w:szCs w:val="20"/>
      </w:rPr>
    </w:pPr>
    <w:r>
      <w:rPr>
        <w:rFonts w:ascii="Times New Roman" w:hAnsi="Times New Roman" w:eastAsia="Times New Roman" w:cs="Times New Roman"/>
        <w:spacing w:val="-1"/>
        <w:sz w:val="20"/>
        <w:szCs w:val="20"/>
      </w:rPr>
      <w:t>254</w:t>
    </w:r>
  </w:p>
</w:ftr>
</file>

<file path=word/footer27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EC02474">
    <w:pPr>
      <w:spacing w:line="177" w:lineRule="auto"/>
      <w:jc w:val="right"/>
      <w:rPr>
        <w:rFonts w:ascii="Times New Roman" w:hAnsi="Times New Roman" w:eastAsia="Times New Roman" w:cs="Times New Roman"/>
        <w:sz w:val="20"/>
        <w:szCs w:val="20"/>
      </w:rPr>
    </w:pPr>
    <w:r>
      <w:rPr>
        <w:rFonts w:ascii="Times New Roman" w:hAnsi="Times New Roman" w:eastAsia="Times New Roman" w:cs="Times New Roman"/>
        <w:spacing w:val="-2"/>
        <w:sz w:val="20"/>
        <w:szCs w:val="20"/>
      </w:rPr>
      <w:t>255</w:t>
    </w:r>
  </w:p>
</w:ftr>
</file>

<file path=word/footer27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DB2A9F6">
    <w:pPr>
      <w:spacing w:line="175" w:lineRule="auto"/>
      <w:rPr>
        <w:rFonts w:ascii="Times New Roman" w:hAnsi="Times New Roman" w:eastAsia="Times New Roman" w:cs="Times New Roman"/>
        <w:sz w:val="17"/>
        <w:szCs w:val="17"/>
      </w:rPr>
    </w:pPr>
    <w:r>
      <w:rPr>
        <w:rFonts w:ascii="Times New Roman" w:hAnsi="Times New Roman" w:eastAsia="Times New Roman" w:cs="Times New Roman"/>
        <w:spacing w:val="-1"/>
        <w:sz w:val="17"/>
        <w:szCs w:val="17"/>
      </w:rPr>
      <w:t>256</w:t>
    </w:r>
  </w:p>
</w:ftr>
</file>

<file path=word/footer27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60276AB">
    <w:pPr>
      <w:spacing w:line="177" w:lineRule="auto"/>
      <w:jc w:val="right"/>
      <w:rPr>
        <w:rFonts w:ascii="Times New Roman" w:hAnsi="Times New Roman" w:eastAsia="Times New Roman" w:cs="Times New Roman"/>
        <w:sz w:val="20"/>
        <w:szCs w:val="20"/>
      </w:rPr>
    </w:pPr>
    <w:r>
      <w:rPr>
        <w:rFonts w:ascii="Times New Roman" w:hAnsi="Times New Roman" w:eastAsia="Times New Roman" w:cs="Times New Roman"/>
        <w:spacing w:val="-2"/>
        <w:sz w:val="20"/>
        <w:szCs w:val="20"/>
      </w:rPr>
      <w:t>257</w:t>
    </w:r>
  </w:p>
</w:ftr>
</file>

<file path=word/footer2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55ABD27">
    <w:pPr>
      <w:spacing w:line="177" w:lineRule="auto"/>
      <w:rPr>
        <w:rFonts w:ascii="Times New Roman" w:hAnsi="Times New Roman" w:eastAsia="Times New Roman" w:cs="Times New Roman"/>
        <w:sz w:val="20"/>
        <w:szCs w:val="20"/>
      </w:rPr>
    </w:pPr>
    <w:r>
      <w:rPr>
        <w:rFonts w:ascii="Times New Roman" w:hAnsi="Times New Roman" w:eastAsia="Times New Roman" w:cs="Times New Roman"/>
        <w:sz w:val="20"/>
        <w:szCs w:val="20"/>
      </w:rPr>
      <w:t>6</w:t>
    </w:r>
  </w:p>
</w:ftr>
</file>

<file path=word/footer28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7890CE5">
    <w:pPr>
      <w:spacing w:line="14" w:lineRule="auto"/>
      <w:rPr>
        <w:rFonts w:ascii="Arial"/>
        <w:sz w:val="2"/>
      </w:rPr>
    </w:pPr>
  </w:p>
</w:ftr>
</file>

<file path=word/footer28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05D09A9">
    <w:pPr>
      <w:spacing w:line="176" w:lineRule="auto"/>
      <w:jc w:val="right"/>
      <w:rPr>
        <w:rFonts w:ascii="Times New Roman" w:hAnsi="Times New Roman" w:eastAsia="Times New Roman" w:cs="Times New Roman"/>
        <w:sz w:val="18"/>
        <w:szCs w:val="18"/>
      </w:rPr>
    </w:pPr>
    <w:r>
      <w:rPr>
        <w:rFonts w:ascii="Times New Roman" w:hAnsi="Times New Roman" w:eastAsia="Times New Roman" w:cs="Times New Roman"/>
        <w:spacing w:val="-2"/>
        <w:sz w:val="18"/>
        <w:szCs w:val="18"/>
      </w:rPr>
      <w:t>259</w:t>
    </w:r>
  </w:p>
</w:ftr>
</file>

<file path=word/footer28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1465086">
    <w:pPr>
      <w:spacing w:line="175" w:lineRule="auto"/>
      <w:rPr>
        <w:rFonts w:ascii="Times New Roman" w:hAnsi="Times New Roman" w:eastAsia="Times New Roman" w:cs="Times New Roman"/>
        <w:sz w:val="17"/>
        <w:szCs w:val="17"/>
      </w:rPr>
    </w:pPr>
    <w:r>
      <w:rPr>
        <w:rFonts w:ascii="Times New Roman" w:hAnsi="Times New Roman" w:eastAsia="Times New Roman" w:cs="Times New Roman"/>
        <w:spacing w:val="-1"/>
        <w:sz w:val="17"/>
        <w:szCs w:val="17"/>
      </w:rPr>
      <w:t>260</w:t>
    </w:r>
  </w:p>
</w:ftr>
</file>

<file path=word/footer28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18D53F3">
    <w:pPr>
      <w:spacing w:line="177" w:lineRule="auto"/>
      <w:jc w:val="right"/>
      <w:rPr>
        <w:rFonts w:ascii="Times New Roman" w:hAnsi="Times New Roman" w:eastAsia="Times New Roman" w:cs="Times New Roman"/>
        <w:sz w:val="19"/>
        <w:szCs w:val="19"/>
      </w:rPr>
    </w:pPr>
    <w:r>
      <w:rPr>
        <w:rFonts w:ascii="Times New Roman" w:hAnsi="Times New Roman" w:eastAsia="Times New Roman" w:cs="Times New Roman"/>
        <w:spacing w:val="-2"/>
        <w:sz w:val="19"/>
        <w:szCs w:val="19"/>
      </w:rPr>
      <w:t>261</w:t>
    </w:r>
  </w:p>
</w:ftr>
</file>

<file path=word/footer28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DCB23E1">
    <w:pPr>
      <w:spacing w:line="177" w:lineRule="auto"/>
      <w:rPr>
        <w:rFonts w:ascii="Times New Roman" w:hAnsi="Times New Roman" w:eastAsia="Times New Roman" w:cs="Times New Roman"/>
        <w:sz w:val="19"/>
        <w:szCs w:val="19"/>
      </w:rPr>
    </w:pPr>
    <w:r>
      <w:rPr>
        <w:rFonts w:ascii="Times New Roman" w:hAnsi="Times New Roman" w:eastAsia="Times New Roman" w:cs="Times New Roman"/>
        <w:spacing w:val="-1"/>
        <w:sz w:val="19"/>
        <w:szCs w:val="19"/>
      </w:rPr>
      <w:t>262</w:t>
    </w:r>
  </w:p>
</w:ftr>
</file>

<file path=word/footer28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476B8A1">
    <w:pPr>
      <w:spacing w:line="230" w:lineRule="auto"/>
      <w:jc w:val="right"/>
      <w:rPr>
        <w:rFonts w:ascii="宋体" w:hAnsi="宋体" w:eastAsia="宋体" w:cs="宋体"/>
        <w:sz w:val="21"/>
        <w:szCs w:val="21"/>
      </w:rPr>
    </w:pPr>
    <w:r>
      <w:rPr>
        <w:rFonts w:ascii="宋体" w:hAnsi="宋体" w:eastAsia="宋体" w:cs="宋体"/>
        <w:spacing w:val="-4"/>
        <w:sz w:val="21"/>
        <w:szCs w:val="21"/>
      </w:rPr>
      <w:t>263</w:t>
    </w:r>
  </w:p>
</w:ftr>
</file>

<file path=word/footer28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42B155E">
    <w:pPr>
      <w:spacing w:line="177" w:lineRule="auto"/>
      <w:rPr>
        <w:rFonts w:ascii="Times New Roman" w:hAnsi="Times New Roman" w:eastAsia="Times New Roman" w:cs="Times New Roman"/>
        <w:sz w:val="20"/>
        <w:szCs w:val="20"/>
      </w:rPr>
    </w:pPr>
    <w:r>
      <w:rPr>
        <w:rFonts w:ascii="Times New Roman" w:hAnsi="Times New Roman" w:eastAsia="Times New Roman" w:cs="Times New Roman"/>
        <w:spacing w:val="-1"/>
        <w:sz w:val="20"/>
        <w:szCs w:val="20"/>
      </w:rPr>
      <w:t>264</w:t>
    </w:r>
  </w:p>
</w:ftr>
</file>

<file path=word/footer28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53A6C34">
    <w:pPr>
      <w:spacing w:line="177" w:lineRule="auto"/>
      <w:jc w:val="right"/>
      <w:rPr>
        <w:rFonts w:ascii="Times New Roman" w:hAnsi="Times New Roman" w:eastAsia="Times New Roman" w:cs="Times New Roman"/>
        <w:sz w:val="20"/>
        <w:szCs w:val="20"/>
      </w:rPr>
    </w:pPr>
    <w:r>
      <w:rPr>
        <w:rFonts w:ascii="Times New Roman" w:hAnsi="Times New Roman" w:eastAsia="Times New Roman" w:cs="Times New Roman"/>
        <w:spacing w:val="-2"/>
        <w:sz w:val="20"/>
        <w:szCs w:val="20"/>
      </w:rPr>
      <w:t>265</w:t>
    </w:r>
  </w:p>
</w:ftr>
</file>

<file path=word/footer28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425F0AE">
    <w:pPr>
      <w:spacing w:line="177" w:lineRule="auto"/>
      <w:rPr>
        <w:rFonts w:ascii="Times New Roman" w:hAnsi="Times New Roman" w:eastAsia="Times New Roman" w:cs="Times New Roman"/>
        <w:sz w:val="20"/>
        <w:szCs w:val="20"/>
      </w:rPr>
    </w:pPr>
    <w:r>
      <w:rPr>
        <w:rFonts w:ascii="Times New Roman" w:hAnsi="Times New Roman" w:eastAsia="Times New Roman" w:cs="Times New Roman"/>
        <w:spacing w:val="-1"/>
        <w:sz w:val="20"/>
        <w:szCs w:val="20"/>
      </w:rPr>
      <w:t>266</w:t>
    </w:r>
  </w:p>
</w:ftr>
</file>

<file path=word/footer28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F870725">
    <w:pPr>
      <w:spacing w:line="175" w:lineRule="auto"/>
      <w:jc w:val="right"/>
      <w:rPr>
        <w:rFonts w:ascii="Times New Roman" w:hAnsi="Times New Roman" w:eastAsia="Times New Roman" w:cs="Times New Roman"/>
        <w:sz w:val="16"/>
        <w:szCs w:val="16"/>
      </w:rPr>
    </w:pPr>
    <w:r>
      <w:rPr>
        <w:rFonts w:ascii="Times New Roman" w:hAnsi="Times New Roman" w:eastAsia="Times New Roman" w:cs="Times New Roman"/>
        <w:spacing w:val="-2"/>
        <w:sz w:val="16"/>
        <w:szCs w:val="16"/>
      </w:rPr>
      <w:t>267</w:t>
    </w:r>
  </w:p>
</w:ftr>
</file>

<file path=word/footer2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F7CCE39">
    <w:pPr>
      <w:spacing w:line="174" w:lineRule="auto"/>
      <w:jc w:val="right"/>
      <w:rPr>
        <w:rFonts w:ascii="Times New Roman" w:hAnsi="Times New Roman" w:eastAsia="Times New Roman" w:cs="Times New Roman"/>
        <w:sz w:val="20"/>
        <w:szCs w:val="20"/>
      </w:rPr>
    </w:pPr>
    <w:r>
      <w:rPr>
        <w:rFonts w:ascii="Times New Roman" w:hAnsi="Times New Roman" w:eastAsia="Times New Roman" w:cs="Times New Roman"/>
        <w:spacing w:val="-8"/>
        <w:sz w:val="20"/>
        <w:szCs w:val="20"/>
      </w:rPr>
      <w:t>7</w:t>
    </w:r>
  </w:p>
</w:ftr>
</file>

<file path=word/footer29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147E879">
    <w:pPr>
      <w:spacing w:line="177" w:lineRule="auto"/>
      <w:rPr>
        <w:rFonts w:ascii="Times New Roman" w:hAnsi="Times New Roman" w:eastAsia="Times New Roman" w:cs="Times New Roman"/>
        <w:sz w:val="20"/>
        <w:szCs w:val="20"/>
      </w:rPr>
    </w:pPr>
    <w:r>
      <w:rPr>
        <w:rFonts w:ascii="Times New Roman" w:hAnsi="Times New Roman" w:eastAsia="Times New Roman" w:cs="Times New Roman"/>
        <w:spacing w:val="-1"/>
        <w:sz w:val="20"/>
        <w:szCs w:val="20"/>
      </w:rPr>
      <w:t>268</w:t>
    </w:r>
  </w:p>
</w:ftr>
</file>

<file path=word/footer29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BA85946">
    <w:pPr>
      <w:spacing w:line="178" w:lineRule="auto"/>
      <w:jc w:val="right"/>
      <w:rPr>
        <w:rFonts w:ascii="Times New Roman" w:hAnsi="Times New Roman" w:eastAsia="Times New Roman" w:cs="Times New Roman"/>
        <w:sz w:val="21"/>
        <w:szCs w:val="21"/>
      </w:rPr>
    </w:pPr>
    <w:r>
      <w:rPr>
        <w:rFonts w:ascii="Times New Roman" w:hAnsi="Times New Roman" w:eastAsia="Times New Roman" w:cs="Times New Roman"/>
        <w:spacing w:val="-2"/>
        <w:sz w:val="21"/>
        <w:szCs w:val="21"/>
      </w:rPr>
      <w:t>269</w:t>
    </w:r>
  </w:p>
</w:ftr>
</file>

<file path=word/footer29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236080A">
    <w:pPr>
      <w:spacing w:line="175" w:lineRule="auto"/>
      <w:rPr>
        <w:rFonts w:ascii="Times New Roman" w:hAnsi="Times New Roman" w:eastAsia="Times New Roman" w:cs="Times New Roman"/>
        <w:sz w:val="17"/>
        <w:szCs w:val="17"/>
      </w:rPr>
    </w:pPr>
    <w:r>
      <w:rPr>
        <w:rFonts w:ascii="Times New Roman" w:hAnsi="Times New Roman" w:eastAsia="Times New Roman" w:cs="Times New Roman"/>
        <w:spacing w:val="-1"/>
        <w:sz w:val="17"/>
        <w:szCs w:val="17"/>
      </w:rPr>
      <w:t>270</w:t>
    </w:r>
  </w:p>
</w:ftr>
</file>

<file path=word/footer29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83D4769">
    <w:pPr>
      <w:spacing w:line="178" w:lineRule="auto"/>
      <w:jc w:val="right"/>
      <w:rPr>
        <w:rFonts w:ascii="Times New Roman" w:hAnsi="Times New Roman" w:eastAsia="Times New Roman" w:cs="Times New Roman"/>
        <w:sz w:val="21"/>
        <w:szCs w:val="21"/>
      </w:rPr>
    </w:pPr>
    <w:r>
      <w:rPr>
        <w:rFonts w:ascii="Times New Roman" w:hAnsi="Times New Roman" w:eastAsia="Times New Roman" w:cs="Times New Roman"/>
        <w:spacing w:val="-2"/>
        <w:sz w:val="21"/>
        <w:szCs w:val="21"/>
      </w:rPr>
      <w:t>271</w:t>
    </w:r>
  </w:p>
</w:ftr>
</file>

<file path=word/footer29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64AEFB7">
    <w:pPr>
      <w:spacing w:line="177" w:lineRule="auto"/>
      <w:rPr>
        <w:rFonts w:ascii="Times New Roman" w:hAnsi="Times New Roman" w:eastAsia="Times New Roman" w:cs="Times New Roman"/>
        <w:sz w:val="20"/>
        <w:szCs w:val="20"/>
      </w:rPr>
    </w:pPr>
    <w:r>
      <w:rPr>
        <w:rFonts w:ascii="Times New Roman" w:hAnsi="Times New Roman" w:eastAsia="Times New Roman" w:cs="Times New Roman"/>
        <w:spacing w:val="-1"/>
        <w:sz w:val="20"/>
        <w:szCs w:val="20"/>
      </w:rPr>
      <w:t>272</w:t>
    </w:r>
  </w:p>
</w:ftr>
</file>

<file path=word/footer29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0959536">
    <w:pPr>
      <w:spacing w:line="178" w:lineRule="auto"/>
      <w:jc w:val="right"/>
      <w:rPr>
        <w:rFonts w:ascii="Times New Roman" w:hAnsi="Times New Roman" w:eastAsia="Times New Roman" w:cs="Times New Roman"/>
        <w:sz w:val="21"/>
        <w:szCs w:val="21"/>
      </w:rPr>
    </w:pPr>
    <w:r>
      <w:rPr>
        <w:rFonts w:ascii="Times New Roman" w:hAnsi="Times New Roman" w:eastAsia="Times New Roman" w:cs="Times New Roman"/>
        <w:spacing w:val="-2"/>
        <w:sz w:val="21"/>
        <w:szCs w:val="21"/>
      </w:rPr>
      <w:t>273</w:t>
    </w:r>
  </w:p>
</w:ftr>
</file>

<file path=word/footer29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0321684">
    <w:pPr>
      <w:spacing w:line="177" w:lineRule="auto"/>
      <w:rPr>
        <w:rFonts w:ascii="Times New Roman" w:hAnsi="Times New Roman" w:eastAsia="Times New Roman" w:cs="Times New Roman"/>
        <w:sz w:val="20"/>
        <w:szCs w:val="20"/>
      </w:rPr>
    </w:pPr>
    <w:r>
      <w:rPr>
        <w:rFonts w:ascii="Times New Roman" w:hAnsi="Times New Roman" w:eastAsia="Times New Roman" w:cs="Times New Roman"/>
        <w:spacing w:val="-1"/>
        <w:sz w:val="20"/>
        <w:szCs w:val="20"/>
      </w:rPr>
      <w:t>274</w:t>
    </w:r>
  </w:p>
</w:ftr>
</file>

<file path=word/footer29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D7A6295">
    <w:pPr>
      <w:spacing w:line="176" w:lineRule="auto"/>
      <w:jc w:val="right"/>
      <w:rPr>
        <w:rFonts w:ascii="Times New Roman" w:hAnsi="Times New Roman" w:eastAsia="Times New Roman" w:cs="Times New Roman"/>
        <w:sz w:val="18"/>
        <w:szCs w:val="18"/>
      </w:rPr>
    </w:pPr>
    <w:r>
      <w:rPr>
        <w:rFonts w:ascii="Times New Roman" w:hAnsi="Times New Roman" w:eastAsia="Times New Roman" w:cs="Times New Roman"/>
        <w:spacing w:val="-2"/>
        <w:sz w:val="18"/>
        <w:szCs w:val="18"/>
      </w:rPr>
      <w:t>275</w:t>
    </w:r>
  </w:p>
</w:ftr>
</file>

<file path=word/footer29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C57796A">
    <w:pPr>
      <w:spacing w:line="177" w:lineRule="auto"/>
      <w:rPr>
        <w:rFonts w:ascii="Times New Roman" w:hAnsi="Times New Roman" w:eastAsia="Times New Roman" w:cs="Times New Roman"/>
        <w:sz w:val="20"/>
        <w:szCs w:val="20"/>
      </w:rPr>
    </w:pPr>
    <w:r>
      <w:rPr>
        <w:rFonts w:ascii="Times New Roman" w:hAnsi="Times New Roman" w:eastAsia="Times New Roman" w:cs="Times New Roman"/>
        <w:spacing w:val="-1"/>
        <w:sz w:val="20"/>
        <w:szCs w:val="20"/>
      </w:rPr>
      <w:t>276</w:t>
    </w:r>
  </w:p>
</w:ftr>
</file>

<file path=word/footer29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32D6425">
    <w:pPr>
      <w:spacing w:line="178" w:lineRule="auto"/>
      <w:jc w:val="right"/>
      <w:rPr>
        <w:rFonts w:ascii="Times New Roman" w:hAnsi="Times New Roman" w:eastAsia="Times New Roman" w:cs="Times New Roman"/>
        <w:sz w:val="21"/>
        <w:szCs w:val="21"/>
      </w:rPr>
    </w:pPr>
    <w:r>
      <w:rPr>
        <w:rFonts w:ascii="Times New Roman" w:hAnsi="Times New Roman" w:eastAsia="Times New Roman" w:cs="Times New Roman"/>
        <w:spacing w:val="-2"/>
        <w:sz w:val="21"/>
        <w:szCs w:val="21"/>
      </w:rPr>
      <w:t>277</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E3C365F">
    <w:pPr>
      <w:spacing w:line="172" w:lineRule="auto"/>
      <w:jc w:val="right"/>
      <w:rPr>
        <w:rFonts w:ascii="Times New Roman" w:hAnsi="Times New Roman" w:eastAsia="Times New Roman" w:cs="Times New Roman"/>
        <w:sz w:val="17"/>
        <w:szCs w:val="17"/>
      </w:rPr>
    </w:pPr>
    <w:r>
      <w:rPr>
        <w:rFonts w:ascii="Times New Roman" w:hAnsi="Times New Roman" w:eastAsia="Times New Roman" w:cs="Times New Roman"/>
        <w:spacing w:val="-9"/>
        <w:sz w:val="17"/>
        <w:szCs w:val="17"/>
      </w:rPr>
      <w:t>5</w:t>
    </w:r>
  </w:p>
</w:ftr>
</file>

<file path=word/footer3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B40FBC3">
    <w:pPr>
      <w:spacing w:line="177" w:lineRule="auto"/>
      <w:rPr>
        <w:rFonts w:ascii="Times New Roman" w:hAnsi="Times New Roman" w:eastAsia="Times New Roman" w:cs="Times New Roman"/>
        <w:sz w:val="20"/>
        <w:szCs w:val="20"/>
      </w:rPr>
    </w:pPr>
    <w:r>
      <w:rPr>
        <w:rFonts w:ascii="Times New Roman" w:hAnsi="Times New Roman" w:eastAsia="Times New Roman" w:cs="Times New Roman"/>
        <w:sz w:val="20"/>
        <w:szCs w:val="20"/>
      </w:rPr>
      <w:t>8</w:t>
    </w:r>
  </w:p>
</w:ftr>
</file>

<file path=word/footer30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D80E5F2">
    <w:pPr>
      <w:spacing w:line="177" w:lineRule="auto"/>
      <w:rPr>
        <w:rFonts w:ascii="Times New Roman" w:hAnsi="Times New Roman" w:eastAsia="Times New Roman" w:cs="Times New Roman"/>
        <w:sz w:val="20"/>
        <w:szCs w:val="20"/>
      </w:rPr>
    </w:pPr>
    <w:r>
      <w:rPr>
        <w:rFonts w:ascii="Times New Roman" w:hAnsi="Times New Roman" w:eastAsia="Times New Roman" w:cs="Times New Roman"/>
        <w:spacing w:val="-1"/>
        <w:sz w:val="20"/>
        <w:szCs w:val="20"/>
      </w:rPr>
      <w:t>278</w:t>
    </w:r>
  </w:p>
</w:ftr>
</file>

<file path=word/footer30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0754226">
    <w:pPr>
      <w:spacing w:line="177" w:lineRule="auto"/>
      <w:jc w:val="right"/>
      <w:rPr>
        <w:rFonts w:ascii="Times New Roman" w:hAnsi="Times New Roman" w:eastAsia="Times New Roman" w:cs="Times New Roman"/>
        <w:sz w:val="20"/>
        <w:szCs w:val="20"/>
      </w:rPr>
    </w:pPr>
    <w:r>
      <w:rPr>
        <w:rFonts w:ascii="Times New Roman" w:hAnsi="Times New Roman" w:eastAsia="Times New Roman" w:cs="Times New Roman"/>
        <w:spacing w:val="-2"/>
        <w:sz w:val="20"/>
        <w:szCs w:val="20"/>
      </w:rPr>
      <w:t>279</w:t>
    </w:r>
  </w:p>
</w:ftr>
</file>

<file path=word/footer30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907F123">
    <w:pPr>
      <w:spacing w:line="177" w:lineRule="auto"/>
      <w:rPr>
        <w:rFonts w:ascii="Times New Roman" w:hAnsi="Times New Roman" w:eastAsia="Times New Roman" w:cs="Times New Roman"/>
        <w:sz w:val="20"/>
        <w:szCs w:val="20"/>
      </w:rPr>
    </w:pPr>
    <w:r>
      <w:rPr>
        <w:rFonts w:ascii="Times New Roman" w:hAnsi="Times New Roman" w:eastAsia="Times New Roman" w:cs="Times New Roman"/>
        <w:spacing w:val="-1"/>
        <w:sz w:val="20"/>
        <w:szCs w:val="20"/>
      </w:rPr>
      <w:t>280</w:t>
    </w:r>
  </w:p>
</w:ftr>
</file>

<file path=word/footer30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9040013">
    <w:pPr>
      <w:spacing w:line="178" w:lineRule="auto"/>
      <w:jc w:val="right"/>
      <w:rPr>
        <w:rFonts w:ascii="Times New Roman" w:hAnsi="Times New Roman" w:eastAsia="Times New Roman" w:cs="Times New Roman"/>
        <w:sz w:val="21"/>
        <w:szCs w:val="21"/>
      </w:rPr>
    </w:pPr>
    <w:r>
      <w:rPr>
        <w:rFonts w:ascii="Times New Roman" w:hAnsi="Times New Roman" w:eastAsia="Times New Roman" w:cs="Times New Roman"/>
        <w:spacing w:val="-2"/>
        <w:sz w:val="21"/>
        <w:szCs w:val="21"/>
      </w:rPr>
      <w:t>281</w:t>
    </w:r>
  </w:p>
</w:ftr>
</file>

<file path=word/footer30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19F35DC">
    <w:pPr>
      <w:spacing w:line="177" w:lineRule="auto"/>
      <w:rPr>
        <w:rFonts w:ascii="Times New Roman" w:hAnsi="Times New Roman" w:eastAsia="Times New Roman" w:cs="Times New Roman"/>
        <w:sz w:val="20"/>
        <w:szCs w:val="20"/>
      </w:rPr>
    </w:pPr>
    <w:r>
      <w:rPr>
        <w:rFonts w:ascii="Times New Roman" w:hAnsi="Times New Roman" w:eastAsia="Times New Roman" w:cs="Times New Roman"/>
        <w:spacing w:val="-1"/>
        <w:sz w:val="20"/>
        <w:szCs w:val="20"/>
      </w:rPr>
      <w:t>282</w:t>
    </w:r>
  </w:p>
</w:ftr>
</file>

<file path=word/footer30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F3546DA">
    <w:pPr>
      <w:spacing w:line="177" w:lineRule="auto"/>
      <w:jc w:val="right"/>
      <w:rPr>
        <w:rFonts w:ascii="Times New Roman" w:hAnsi="Times New Roman" w:eastAsia="Times New Roman" w:cs="Times New Roman"/>
        <w:sz w:val="20"/>
        <w:szCs w:val="20"/>
      </w:rPr>
    </w:pPr>
    <w:r>
      <w:rPr>
        <w:rFonts w:ascii="Times New Roman" w:hAnsi="Times New Roman" w:eastAsia="Times New Roman" w:cs="Times New Roman"/>
        <w:spacing w:val="-2"/>
        <w:sz w:val="20"/>
        <w:szCs w:val="20"/>
      </w:rPr>
      <w:t>283</w:t>
    </w:r>
  </w:p>
</w:ftr>
</file>

<file path=word/footer30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4B040AB">
    <w:pPr>
      <w:spacing w:line="177" w:lineRule="auto"/>
      <w:rPr>
        <w:rFonts w:ascii="Times New Roman" w:hAnsi="Times New Roman" w:eastAsia="Times New Roman" w:cs="Times New Roman"/>
        <w:sz w:val="20"/>
        <w:szCs w:val="20"/>
      </w:rPr>
    </w:pPr>
    <w:r>
      <w:rPr>
        <w:rFonts w:ascii="Times New Roman" w:hAnsi="Times New Roman" w:eastAsia="Times New Roman" w:cs="Times New Roman"/>
        <w:spacing w:val="-1"/>
        <w:sz w:val="20"/>
        <w:szCs w:val="20"/>
      </w:rPr>
      <w:t>284</w:t>
    </w:r>
  </w:p>
</w:ftr>
</file>

<file path=word/footer30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1F6AEC2">
    <w:pPr>
      <w:spacing w:line="177" w:lineRule="auto"/>
      <w:jc w:val="right"/>
      <w:rPr>
        <w:rFonts w:ascii="Times New Roman" w:hAnsi="Times New Roman" w:eastAsia="Times New Roman" w:cs="Times New Roman"/>
        <w:sz w:val="20"/>
        <w:szCs w:val="20"/>
      </w:rPr>
    </w:pPr>
    <w:r>
      <w:rPr>
        <w:rFonts w:ascii="Times New Roman" w:hAnsi="Times New Roman" w:eastAsia="Times New Roman" w:cs="Times New Roman"/>
        <w:spacing w:val="-2"/>
        <w:sz w:val="20"/>
        <w:szCs w:val="20"/>
      </w:rPr>
      <w:t>285</w:t>
    </w:r>
  </w:p>
</w:ftr>
</file>

<file path=word/footer30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512AE09">
    <w:pPr>
      <w:spacing w:line="177" w:lineRule="auto"/>
      <w:rPr>
        <w:rFonts w:ascii="Times New Roman" w:hAnsi="Times New Roman" w:eastAsia="Times New Roman" w:cs="Times New Roman"/>
        <w:sz w:val="20"/>
        <w:szCs w:val="20"/>
      </w:rPr>
    </w:pPr>
    <w:r>
      <w:rPr>
        <w:rFonts w:ascii="Times New Roman" w:hAnsi="Times New Roman" w:eastAsia="Times New Roman" w:cs="Times New Roman"/>
        <w:spacing w:val="-1"/>
        <w:sz w:val="20"/>
        <w:szCs w:val="20"/>
      </w:rPr>
      <w:t>286</w:t>
    </w:r>
  </w:p>
</w:ftr>
</file>

<file path=word/footer30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448A777">
    <w:pPr>
      <w:spacing w:line="177" w:lineRule="auto"/>
      <w:jc w:val="right"/>
      <w:rPr>
        <w:rFonts w:ascii="Times New Roman" w:hAnsi="Times New Roman" w:eastAsia="Times New Roman" w:cs="Times New Roman"/>
        <w:sz w:val="20"/>
        <w:szCs w:val="20"/>
      </w:rPr>
    </w:pPr>
    <w:r>
      <w:rPr>
        <w:rFonts w:ascii="Times New Roman" w:hAnsi="Times New Roman" w:eastAsia="Times New Roman" w:cs="Times New Roman"/>
        <w:spacing w:val="-2"/>
        <w:sz w:val="20"/>
        <w:szCs w:val="20"/>
      </w:rPr>
      <w:t>287</w:t>
    </w:r>
  </w:p>
</w:ftr>
</file>

<file path=word/footer3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08F1B6D">
    <w:pPr>
      <w:spacing w:line="178" w:lineRule="auto"/>
      <w:jc w:val="right"/>
      <w:rPr>
        <w:rFonts w:ascii="Times New Roman" w:hAnsi="Times New Roman" w:eastAsia="Times New Roman" w:cs="Times New Roman"/>
        <w:sz w:val="21"/>
        <w:szCs w:val="21"/>
      </w:rPr>
    </w:pPr>
    <w:r>
      <w:rPr>
        <w:rFonts w:ascii="Times New Roman" w:hAnsi="Times New Roman" w:eastAsia="Times New Roman" w:cs="Times New Roman"/>
        <w:spacing w:val="-9"/>
        <w:sz w:val="21"/>
        <w:szCs w:val="21"/>
      </w:rPr>
      <w:t>9</w:t>
    </w:r>
  </w:p>
</w:ftr>
</file>

<file path=word/footer3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FF230E9">
    <w:pPr>
      <w:spacing w:line="178" w:lineRule="auto"/>
      <w:rPr>
        <w:rFonts w:ascii="Times New Roman" w:hAnsi="Times New Roman" w:eastAsia="Times New Roman" w:cs="Times New Roman"/>
        <w:sz w:val="21"/>
        <w:szCs w:val="21"/>
      </w:rPr>
    </w:pPr>
    <w:r>
      <w:rPr>
        <w:rFonts w:ascii="Times New Roman" w:hAnsi="Times New Roman" w:eastAsia="Times New Roman" w:cs="Times New Roman"/>
        <w:spacing w:val="-1"/>
        <w:sz w:val="21"/>
        <w:szCs w:val="21"/>
      </w:rPr>
      <w:t>288</w:t>
    </w:r>
  </w:p>
</w:ftr>
</file>

<file path=word/footer3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3E6E805">
    <w:pPr>
      <w:spacing w:line="177" w:lineRule="auto"/>
      <w:jc w:val="right"/>
      <w:rPr>
        <w:rFonts w:ascii="Times New Roman" w:hAnsi="Times New Roman" w:eastAsia="Times New Roman" w:cs="Times New Roman"/>
        <w:sz w:val="19"/>
        <w:szCs w:val="19"/>
      </w:rPr>
    </w:pPr>
    <w:r>
      <w:rPr>
        <w:rFonts w:ascii="Times New Roman" w:hAnsi="Times New Roman" w:eastAsia="Times New Roman" w:cs="Times New Roman"/>
        <w:spacing w:val="-2"/>
        <w:sz w:val="19"/>
        <w:szCs w:val="19"/>
      </w:rPr>
      <w:t>289</w:t>
    </w:r>
  </w:p>
</w:ftr>
</file>

<file path=word/footer3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E46FB43">
    <w:pPr>
      <w:spacing w:line="177" w:lineRule="auto"/>
      <w:rPr>
        <w:rFonts w:ascii="Times New Roman" w:hAnsi="Times New Roman" w:eastAsia="Times New Roman" w:cs="Times New Roman"/>
        <w:sz w:val="20"/>
        <w:szCs w:val="20"/>
      </w:rPr>
    </w:pPr>
    <w:r>
      <w:rPr>
        <w:rFonts w:ascii="Times New Roman" w:hAnsi="Times New Roman" w:eastAsia="Times New Roman" w:cs="Times New Roman"/>
        <w:spacing w:val="-1"/>
        <w:sz w:val="20"/>
        <w:szCs w:val="20"/>
      </w:rPr>
      <w:t>290</w:t>
    </w:r>
  </w:p>
</w:ftr>
</file>

<file path=word/footer3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B3271B9">
    <w:pPr>
      <w:spacing w:line="177" w:lineRule="auto"/>
      <w:jc w:val="right"/>
      <w:rPr>
        <w:rFonts w:ascii="Times New Roman" w:hAnsi="Times New Roman" w:eastAsia="Times New Roman" w:cs="Times New Roman"/>
        <w:sz w:val="20"/>
        <w:szCs w:val="20"/>
      </w:rPr>
    </w:pPr>
    <w:r>
      <w:rPr>
        <w:rFonts w:ascii="Times New Roman" w:hAnsi="Times New Roman" w:eastAsia="Times New Roman" w:cs="Times New Roman"/>
        <w:spacing w:val="-2"/>
        <w:sz w:val="20"/>
        <w:szCs w:val="20"/>
      </w:rPr>
      <w:t>291</w:t>
    </w:r>
  </w:p>
</w:ftr>
</file>

<file path=word/footer3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9E30FB1">
    <w:pPr>
      <w:spacing w:line="177" w:lineRule="auto"/>
      <w:rPr>
        <w:rFonts w:ascii="Times New Roman" w:hAnsi="Times New Roman" w:eastAsia="Times New Roman" w:cs="Times New Roman"/>
        <w:sz w:val="20"/>
        <w:szCs w:val="20"/>
      </w:rPr>
    </w:pPr>
    <w:r>
      <w:rPr>
        <w:rFonts w:ascii="Times New Roman" w:hAnsi="Times New Roman" w:eastAsia="Times New Roman" w:cs="Times New Roman"/>
        <w:spacing w:val="-1"/>
        <w:sz w:val="20"/>
        <w:szCs w:val="20"/>
      </w:rPr>
      <w:t>292</w:t>
    </w:r>
  </w:p>
</w:ftr>
</file>

<file path=word/footer3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86ECC5B">
    <w:pPr>
      <w:spacing w:line="177" w:lineRule="auto"/>
      <w:jc w:val="right"/>
      <w:rPr>
        <w:rFonts w:ascii="Times New Roman" w:hAnsi="Times New Roman" w:eastAsia="Times New Roman" w:cs="Times New Roman"/>
        <w:sz w:val="20"/>
        <w:szCs w:val="20"/>
      </w:rPr>
    </w:pPr>
    <w:r>
      <w:rPr>
        <w:rFonts w:ascii="Times New Roman" w:hAnsi="Times New Roman" w:eastAsia="Times New Roman" w:cs="Times New Roman"/>
        <w:spacing w:val="-2"/>
        <w:sz w:val="20"/>
        <w:szCs w:val="20"/>
      </w:rPr>
      <w:t>293</w:t>
    </w:r>
  </w:p>
</w:ftr>
</file>

<file path=word/footer3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BEE47E1">
    <w:pPr>
      <w:spacing w:line="178" w:lineRule="auto"/>
      <w:rPr>
        <w:rFonts w:ascii="Times New Roman" w:hAnsi="Times New Roman" w:eastAsia="Times New Roman" w:cs="Times New Roman"/>
        <w:sz w:val="21"/>
        <w:szCs w:val="21"/>
      </w:rPr>
    </w:pPr>
    <w:r>
      <w:rPr>
        <w:rFonts w:ascii="Times New Roman" w:hAnsi="Times New Roman" w:eastAsia="Times New Roman" w:cs="Times New Roman"/>
        <w:spacing w:val="-1"/>
        <w:sz w:val="21"/>
        <w:szCs w:val="21"/>
      </w:rPr>
      <w:t>294</w:t>
    </w:r>
  </w:p>
</w:ftr>
</file>

<file path=word/footer3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E075A3F">
    <w:pPr>
      <w:spacing w:line="178" w:lineRule="auto"/>
      <w:jc w:val="right"/>
      <w:rPr>
        <w:rFonts w:ascii="Times New Roman" w:hAnsi="Times New Roman" w:eastAsia="Times New Roman" w:cs="Times New Roman"/>
        <w:sz w:val="21"/>
        <w:szCs w:val="21"/>
      </w:rPr>
    </w:pPr>
    <w:r>
      <w:rPr>
        <w:rFonts w:ascii="Times New Roman" w:hAnsi="Times New Roman" w:eastAsia="Times New Roman" w:cs="Times New Roman"/>
        <w:spacing w:val="-2"/>
        <w:sz w:val="21"/>
        <w:szCs w:val="21"/>
      </w:rPr>
      <w:t>295</w:t>
    </w:r>
  </w:p>
</w:ftr>
</file>

<file path=word/footer3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5279166">
    <w:pPr>
      <w:spacing w:line="177" w:lineRule="auto"/>
      <w:rPr>
        <w:rFonts w:ascii="Times New Roman" w:hAnsi="Times New Roman" w:eastAsia="Times New Roman" w:cs="Times New Roman"/>
        <w:sz w:val="20"/>
        <w:szCs w:val="20"/>
      </w:rPr>
    </w:pPr>
    <w:r>
      <w:rPr>
        <w:rFonts w:ascii="Times New Roman" w:hAnsi="Times New Roman" w:eastAsia="Times New Roman" w:cs="Times New Roman"/>
        <w:b/>
        <w:bCs/>
        <w:spacing w:val="-2"/>
        <w:sz w:val="20"/>
        <w:szCs w:val="20"/>
      </w:rPr>
      <w:t>296</w:t>
    </w:r>
  </w:p>
</w:ftr>
</file>

<file path=word/footer3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5056057">
    <w:pPr>
      <w:spacing w:line="177" w:lineRule="auto"/>
      <w:jc w:val="right"/>
      <w:rPr>
        <w:rFonts w:ascii="Times New Roman" w:hAnsi="Times New Roman" w:eastAsia="Times New Roman" w:cs="Times New Roman"/>
        <w:sz w:val="20"/>
        <w:szCs w:val="20"/>
      </w:rPr>
    </w:pPr>
    <w:r>
      <w:rPr>
        <w:rFonts w:ascii="Times New Roman" w:hAnsi="Times New Roman" w:eastAsia="Times New Roman" w:cs="Times New Roman"/>
        <w:spacing w:val="-2"/>
        <w:sz w:val="20"/>
        <w:szCs w:val="20"/>
      </w:rPr>
      <w:t>297</w:t>
    </w:r>
  </w:p>
</w:ftr>
</file>

<file path=word/footer3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CB0651C">
    <w:pPr>
      <w:spacing w:line="177" w:lineRule="auto"/>
      <w:rPr>
        <w:rFonts w:ascii="Times New Roman" w:hAnsi="Times New Roman" w:eastAsia="Times New Roman" w:cs="Times New Roman"/>
        <w:sz w:val="20"/>
        <w:szCs w:val="20"/>
      </w:rPr>
    </w:pPr>
    <w:r>
      <w:rPr>
        <w:rFonts w:ascii="Times New Roman" w:hAnsi="Times New Roman" w:eastAsia="Times New Roman" w:cs="Times New Roman"/>
        <w:spacing w:val="-6"/>
        <w:sz w:val="20"/>
        <w:szCs w:val="20"/>
      </w:rPr>
      <w:t>10</w:t>
    </w:r>
  </w:p>
</w:ftr>
</file>

<file path=word/footer3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25EEAD4">
    <w:pPr>
      <w:spacing w:line="176" w:lineRule="auto"/>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298</w:t>
    </w:r>
  </w:p>
</w:ftr>
</file>

<file path=word/footer3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0FAC1C0">
    <w:pPr>
      <w:spacing w:line="177" w:lineRule="auto"/>
      <w:jc w:val="right"/>
      <w:rPr>
        <w:rFonts w:ascii="Times New Roman" w:hAnsi="Times New Roman" w:eastAsia="Times New Roman" w:cs="Times New Roman"/>
        <w:sz w:val="20"/>
        <w:szCs w:val="20"/>
      </w:rPr>
    </w:pPr>
    <w:r>
      <w:rPr>
        <w:rFonts w:ascii="Times New Roman" w:hAnsi="Times New Roman" w:eastAsia="Times New Roman" w:cs="Times New Roman"/>
        <w:spacing w:val="-2"/>
        <w:sz w:val="20"/>
        <w:szCs w:val="20"/>
      </w:rPr>
      <w:t>299</w:t>
    </w:r>
  </w:p>
</w:ftr>
</file>

<file path=word/footer3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4C889E5">
    <w:pPr>
      <w:spacing w:line="178" w:lineRule="auto"/>
      <w:rPr>
        <w:rFonts w:ascii="Times New Roman" w:hAnsi="Times New Roman" w:eastAsia="Times New Roman" w:cs="Times New Roman"/>
        <w:sz w:val="21"/>
        <w:szCs w:val="21"/>
      </w:rPr>
    </w:pPr>
    <w:r>
      <w:rPr>
        <w:rFonts w:ascii="Times New Roman" w:hAnsi="Times New Roman" w:eastAsia="Times New Roman" w:cs="Times New Roman"/>
        <w:spacing w:val="-2"/>
        <w:sz w:val="21"/>
        <w:szCs w:val="21"/>
      </w:rPr>
      <w:t>300</w:t>
    </w:r>
  </w:p>
</w:ftr>
</file>

<file path=word/footer32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A2C432E">
    <w:pPr>
      <w:spacing w:line="177" w:lineRule="auto"/>
      <w:jc w:val="right"/>
      <w:rPr>
        <w:rFonts w:ascii="Times New Roman" w:hAnsi="Times New Roman" w:eastAsia="Times New Roman" w:cs="Times New Roman"/>
        <w:sz w:val="20"/>
        <w:szCs w:val="20"/>
      </w:rPr>
    </w:pPr>
    <w:r>
      <w:rPr>
        <w:rFonts w:ascii="Times New Roman" w:hAnsi="Times New Roman" w:eastAsia="Times New Roman" w:cs="Times New Roman"/>
        <w:spacing w:val="-3"/>
        <w:sz w:val="20"/>
        <w:szCs w:val="20"/>
      </w:rPr>
      <w:t>301</w:t>
    </w:r>
  </w:p>
</w:ftr>
</file>

<file path=word/footer32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7E72B2F">
    <w:pPr>
      <w:spacing w:line="178" w:lineRule="auto"/>
      <w:rPr>
        <w:rFonts w:ascii="Times New Roman" w:hAnsi="Times New Roman" w:eastAsia="Times New Roman" w:cs="Times New Roman"/>
        <w:sz w:val="21"/>
        <w:szCs w:val="21"/>
      </w:rPr>
    </w:pPr>
    <w:r>
      <w:rPr>
        <w:rFonts w:ascii="Times New Roman" w:hAnsi="Times New Roman" w:eastAsia="Times New Roman" w:cs="Times New Roman"/>
        <w:spacing w:val="-2"/>
        <w:sz w:val="21"/>
        <w:szCs w:val="21"/>
      </w:rPr>
      <w:t>302</w:t>
    </w:r>
  </w:p>
</w:ftr>
</file>

<file path=word/footer32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211F982">
    <w:pPr>
      <w:spacing w:line="177" w:lineRule="auto"/>
      <w:jc w:val="right"/>
      <w:rPr>
        <w:rFonts w:ascii="Times New Roman" w:hAnsi="Times New Roman" w:eastAsia="Times New Roman" w:cs="Times New Roman"/>
        <w:sz w:val="20"/>
        <w:szCs w:val="20"/>
      </w:rPr>
    </w:pPr>
    <w:r>
      <w:rPr>
        <w:rFonts w:ascii="Times New Roman" w:hAnsi="Times New Roman" w:eastAsia="Times New Roman" w:cs="Times New Roman"/>
        <w:spacing w:val="-3"/>
        <w:sz w:val="20"/>
        <w:szCs w:val="20"/>
      </w:rPr>
      <w:t>303</w:t>
    </w:r>
  </w:p>
</w:ftr>
</file>

<file path=word/footer32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5C7BC30">
    <w:pPr>
      <w:spacing w:line="177" w:lineRule="auto"/>
      <w:rPr>
        <w:rFonts w:ascii="Times New Roman" w:hAnsi="Times New Roman" w:eastAsia="Times New Roman" w:cs="Times New Roman"/>
        <w:sz w:val="20"/>
        <w:szCs w:val="20"/>
      </w:rPr>
    </w:pPr>
    <w:r>
      <w:rPr>
        <w:rFonts w:ascii="Times New Roman" w:hAnsi="Times New Roman" w:eastAsia="Times New Roman" w:cs="Times New Roman"/>
        <w:spacing w:val="-2"/>
        <w:sz w:val="20"/>
        <w:szCs w:val="20"/>
      </w:rPr>
      <w:t>304</w:t>
    </w:r>
  </w:p>
</w:ftr>
</file>

<file path=word/footer32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3F51657">
    <w:pPr>
      <w:spacing w:line="178" w:lineRule="auto"/>
      <w:jc w:val="right"/>
      <w:rPr>
        <w:rFonts w:ascii="Times New Roman" w:hAnsi="Times New Roman" w:eastAsia="Times New Roman" w:cs="Times New Roman"/>
        <w:sz w:val="21"/>
        <w:szCs w:val="21"/>
      </w:rPr>
    </w:pPr>
    <w:r>
      <w:rPr>
        <w:rFonts w:ascii="Times New Roman" w:hAnsi="Times New Roman" w:eastAsia="Times New Roman" w:cs="Times New Roman"/>
        <w:spacing w:val="-3"/>
        <w:sz w:val="21"/>
        <w:szCs w:val="21"/>
      </w:rPr>
      <w:t>305</w:t>
    </w:r>
  </w:p>
</w:ftr>
</file>

<file path=word/footer32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068F0B3">
    <w:pPr>
      <w:spacing w:line="177" w:lineRule="auto"/>
      <w:rPr>
        <w:rFonts w:ascii="Times New Roman" w:hAnsi="Times New Roman" w:eastAsia="Times New Roman" w:cs="Times New Roman"/>
        <w:sz w:val="20"/>
        <w:szCs w:val="20"/>
      </w:rPr>
    </w:pPr>
    <w:r>
      <w:rPr>
        <w:rFonts w:ascii="Times New Roman" w:hAnsi="Times New Roman" w:eastAsia="Times New Roman" w:cs="Times New Roman"/>
        <w:spacing w:val="-2"/>
        <w:sz w:val="20"/>
        <w:szCs w:val="20"/>
      </w:rPr>
      <w:t>306</w:t>
    </w:r>
  </w:p>
</w:ftr>
</file>

<file path=word/footer32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61A319E">
    <w:pPr>
      <w:spacing w:line="177" w:lineRule="auto"/>
      <w:jc w:val="right"/>
      <w:rPr>
        <w:rFonts w:ascii="Times New Roman" w:hAnsi="Times New Roman" w:eastAsia="Times New Roman" w:cs="Times New Roman"/>
        <w:sz w:val="20"/>
        <w:szCs w:val="20"/>
      </w:rPr>
    </w:pPr>
    <w:r>
      <w:rPr>
        <w:rFonts w:ascii="Times New Roman" w:hAnsi="Times New Roman" w:eastAsia="Times New Roman" w:cs="Times New Roman"/>
        <w:spacing w:val="-3"/>
        <w:sz w:val="20"/>
        <w:szCs w:val="20"/>
      </w:rPr>
      <w:t>307</w:t>
    </w:r>
  </w:p>
</w:ftr>
</file>

<file path=word/footer3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38334AC">
    <w:pPr>
      <w:spacing w:line="178" w:lineRule="auto"/>
      <w:jc w:val="right"/>
      <w:rPr>
        <w:rFonts w:ascii="Times New Roman" w:hAnsi="Times New Roman" w:eastAsia="Times New Roman" w:cs="Times New Roman"/>
        <w:sz w:val="21"/>
        <w:szCs w:val="21"/>
      </w:rPr>
    </w:pPr>
    <w:r>
      <w:rPr>
        <w:rFonts w:ascii="Times New Roman" w:hAnsi="Times New Roman" w:eastAsia="Times New Roman" w:cs="Times New Roman"/>
        <w:spacing w:val="-13"/>
        <w:sz w:val="21"/>
        <w:szCs w:val="21"/>
      </w:rPr>
      <w:t>11</w:t>
    </w:r>
  </w:p>
</w:ftr>
</file>

<file path=word/footer33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FF20FB6">
    <w:pPr>
      <w:spacing w:line="177" w:lineRule="auto"/>
      <w:rPr>
        <w:rFonts w:ascii="Times New Roman" w:hAnsi="Times New Roman" w:eastAsia="Times New Roman" w:cs="Times New Roman"/>
        <w:sz w:val="20"/>
        <w:szCs w:val="20"/>
      </w:rPr>
    </w:pPr>
    <w:r>
      <w:rPr>
        <w:rFonts w:ascii="Times New Roman" w:hAnsi="Times New Roman" w:eastAsia="Times New Roman" w:cs="Times New Roman"/>
        <w:spacing w:val="-2"/>
        <w:sz w:val="20"/>
        <w:szCs w:val="20"/>
      </w:rPr>
      <w:t>308</w:t>
    </w:r>
  </w:p>
</w:ftr>
</file>

<file path=word/footer33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9E17555">
    <w:pPr>
      <w:spacing w:line="177" w:lineRule="auto"/>
      <w:jc w:val="right"/>
      <w:rPr>
        <w:rFonts w:ascii="Times New Roman" w:hAnsi="Times New Roman" w:eastAsia="Times New Roman" w:cs="Times New Roman"/>
        <w:sz w:val="19"/>
        <w:szCs w:val="19"/>
      </w:rPr>
    </w:pPr>
    <w:r>
      <w:rPr>
        <w:rFonts w:ascii="Times New Roman" w:hAnsi="Times New Roman" w:eastAsia="Times New Roman" w:cs="Times New Roman"/>
        <w:spacing w:val="-3"/>
        <w:sz w:val="19"/>
        <w:szCs w:val="19"/>
      </w:rPr>
      <w:t>309</w:t>
    </w:r>
  </w:p>
</w:ftr>
</file>

<file path=word/footer33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6B07EFA">
    <w:pPr>
      <w:spacing w:line="177" w:lineRule="auto"/>
      <w:rPr>
        <w:rFonts w:ascii="Times New Roman" w:hAnsi="Times New Roman" w:eastAsia="Times New Roman" w:cs="Times New Roman"/>
        <w:sz w:val="20"/>
        <w:szCs w:val="20"/>
      </w:rPr>
    </w:pPr>
    <w:r>
      <w:rPr>
        <w:rFonts w:ascii="Times New Roman" w:hAnsi="Times New Roman" w:eastAsia="Times New Roman" w:cs="Times New Roman"/>
        <w:spacing w:val="-2"/>
        <w:sz w:val="20"/>
        <w:szCs w:val="20"/>
      </w:rPr>
      <w:t>310</w:t>
    </w:r>
  </w:p>
</w:ftr>
</file>

<file path=word/footer33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FE1110D">
    <w:pPr>
      <w:spacing w:line="177" w:lineRule="auto"/>
      <w:jc w:val="right"/>
      <w:rPr>
        <w:rFonts w:ascii="Times New Roman" w:hAnsi="Times New Roman" w:eastAsia="Times New Roman" w:cs="Times New Roman"/>
        <w:sz w:val="20"/>
        <w:szCs w:val="20"/>
      </w:rPr>
    </w:pPr>
    <w:r>
      <w:rPr>
        <w:rFonts w:ascii="Times New Roman" w:hAnsi="Times New Roman" w:eastAsia="Times New Roman" w:cs="Times New Roman"/>
        <w:spacing w:val="-3"/>
        <w:sz w:val="20"/>
        <w:szCs w:val="20"/>
      </w:rPr>
      <w:t>311</w:t>
    </w:r>
  </w:p>
</w:ftr>
</file>

<file path=word/footer33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C926B10">
    <w:pPr>
      <w:spacing w:line="177" w:lineRule="auto"/>
      <w:rPr>
        <w:rFonts w:ascii="Times New Roman" w:hAnsi="Times New Roman" w:eastAsia="Times New Roman" w:cs="Times New Roman"/>
        <w:sz w:val="20"/>
        <w:szCs w:val="20"/>
      </w:rPr>
    </w:pPr>
    <w:r>
      <w:rPr>
        <w:rFonts w:ascii="Times New Roman" w:hAnsi="Times New Roman" w:eastAsia="Times New Roman" w:cs="Times New Roman"/>
        <w:spacing w:val="-2"/>
        <w:sz w:val="20"/>
        <w:szCs w:val="20"/>
      </w:rPr>
      <w:t>312</w:t>
    </w:r>
  </w:p>
</w:ftr>
</file>

<file path=word/footer33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1408EFC">
    <w:pPr>
      <w:spacing w:line="177" w:lineRule="auto"/>
      <w:jc w:val="right"/>
      <w:rPr>
        <w:rFonts w:ascii="Times New Roman" w:hAnsi="Times New Roman" w:eastAsia="Times New Roman" w:cs="Times New Roman"/>
        <w:sz w:val="20"/>
        <w:szCs w:val="20"/>
      </w:rPr>
    </w:pPr>
    <w:r>
      <w:rPr>
        <w:rFonts w:ascii="Times New Roman" w:hAnsi="Times New Roman" w:eastAsia="Times New Roman" w:cs="Times New Roman"/>
        <w:spacing w:val="-3"/>
        <w:sz w:val="20"/>
        <w:szCs w:val="20"/>
      </w:rPr>
      <w:t>313</w:t>
    </w:r>
  </w:p>
</w:ftr>
</file>

<file path=word/footer33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D075797">
    <w:pPr>
      <w:spacing w:line="177" w:lineRule="auto"/>
      <w:rPr>
        <w:rFonts w:ascii="Times New Roman" w:hAnsi="Times New Roman" w:eastAsia="Times New Roman" w:cs="Times New Roman"/>
        <w:sz w:val="20"/>
        <w:szCs w:val="20"/>
      </w:rPr>
    </w:pPr>
    <w:r>
      <w:rPr>
        <w:rFonts w:ascii="Times New Roman" w:hAnsi="Times New Roman" w:eastAsia="Times New Roman" w:cs="Times New Roman"/>
        <w:spacing w:val="-2"/>
        <w:sz w:val="20"/>
        <w:szCs w:val="20"/>
      </w:rPr>
      <w:t>314</w:t>
    </w:r>
  </w:p>
</w:ftr>
</file>

<file path=word/footer33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3586C21">
    <w:pPr>
      <w:spacing w:line="177" w:lineRule="auto"/>
      <w:jc w:val="right"/>
      <w:rPr>
        <w:rFonts w:ascii="Times New Roman" w:hAnsi="Times New Roman" w:eastAsia="Times New Roman" w:cs="Times New Roman"/>
        <w:sz w:val="20"/>
        <w:szCs w:val="20"/>
      </w:rPr>
    </w:pPr>
    <w:r>
      <w:rPr>
        <w:rFonts w:ascii="Times New Roman" w:hAnsi="Times New Roman" w:eastAsia="Times New Roman" w:cs="Times New Roman"/>
        <w:spacing w:val="-3"/>
        <w:sz w:val="20"/>
        <w:szCs w:val="20"/>
      </w:rPr>
      <w:t>315</w:t>
    </w:r>
  </w:p>
</w:ftr>
</file>

<file path=word/footer33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17E2635">
    <w:pPr>
      <w:spacing w:line="178" w:lineRule="auto"/>
      <w:rPr>
        <w:rFonts w:ascii="Times New Roman" w:hAnsi="Times New Roman" w:eastAsia="Times New Roman" w:cs="Times New Roman"/>
        <w:sz w:val="21"/>
        <w:szCs w:val="21"/>
      </w:rPr>
    </w:pPr>
    <w:r>
      <w:rPr>
        <w:rFonts w:ascii="Times New Roman" w:hAnsi="Times New Roman" w:eastAsia="Times New Roman" w:cs="Times New Roman"/>
        <w:spacing w:val="-2"/>
        <w:sz w:val="21"/>
        <w:szCs w:val="21"/>
      </w:rPr>
      <w:t>316</w:t>
    </w:r>
  </w:p>
</w:ftr>
</file>

<file path=word/footer33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D937F7E">
    <w:pPr>
      <w:spacing w:line="177" w:lineRule="auto"/>
      <w:jc w:val="right"/>
      <w:rPr>
        <w:rFonts w:ascii="Times New Roman" w:hAnsi="Times New Roman" w:eastAsia="Times New Roman" w:cs="Times New Roman"/>
        <w:sz w:val="19"/>
        <w:szCs w:val="19"/>
      </w:rPr>
    </w:pPr>
    <w:r>
      <w:rPr>
        <w:rFonts w:ascii="Times New Roman" w:hAnsi="Times New Roman" w:eastAsia="Times New Roman" w:cs="Times New Roman"/>
        <w:spacing w:val="-3"/>
        <w:sz w:val="19"/>
        <w:szCs w:val="19"/>
      </w:rPr>
      <w:t>317</w:t>
    </w:r>
  </w:p>
</w:ftr>
</file>

<file path=word/footer3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BE387E3">
    <w:pPr>
      <w:spacing w:line="232" w:lineRule="auto"/>
      <w:rPr>
        <w:rFonts w:ascii="宋体" w:hAnsi="宋体" w:eastAsia="宋体" w:cs="宋体"/>
        <w:sz w:val="21"/>
        <w:szCs w:val="21"/>
      </w:rPr>
    </w:pPr>
    <w:r>
      <w:rPr>
        <w:rFonts w:ascii="宋体" w:hAnsi="宋体" w:eastAsia="宋体" w:cs="宋体"/>
        <w:spacing w:val="-6"/>
        <w:sz w:val="21"/>
        <w:szCs w:val="21"/>
      </w:rPr>
      <w:t>12</w:t>
    </w:r>
  </w:p>
</w:ftr>
</file>

<file path=word/footer34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1C46F2D">
    <w:pPr>
      <w:spacing w:line="177" w:lineRule="auto"/>
      <w:rPr>
        <w:rFonts w:ascii="Times New Roman" w:hAnsi="Times New Roman" w:eastAsia="Times New Roman" w:cs="Times New Roman"/>
        <w:sz w:val="20"/>
        <w:szCs w:val="20"/>
      </w:rPr>
    </w:pPr>
    <w:r>
      <w:rPr>
        <w:rFonts w:ascii="Times New Roman" w:hAnsi="Times New Roman" w:eastAsia="Times New Roman" w:cs="Times New Roman"/>
        <w:spacing w:val="-2"/>
        <w:sz w:val="20"/>
        <w:szCs w:val="20"/>
      </w:rPr>
      <w:t>318</w:t>
    </w:r>
  </w:p>
</w:ftr>
</file>

<file path=word/footer34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1E40813">
    <w:pPr>
      <w:spacing w:line="175" w:lineRule="auto"/>
      <w:jc w:val="right"/>
      <w:rPr>
        <w:rFonts w:ascii="Times New Roman" w:hAnsi="Times New Roman" w:eastAsia="Times New Roman" w:cs="Times New Roman"/>
        <w:sz w:val="17"/>
        <w:szCs w:val="17"/>
      </w:rPr>
    </w:pPr>
    <w:r>
      <w:rPr>
        <w:rFonts w:ascii="Times New Roman" w:hAnsi="Times New Roman" w:eastAsia="Times New Roman" w:cs="Times New Roman"/>
        <w:spacing w:val="-3"/>
        <w:sz w:val="17"/>
        <w:szCs w:val="17"/>
      </w:rPr>
      <w:t>319</w:t>
    </w:r>
  </w:p>
</w:ftr>
</file>

<file path=word/footer34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1E7A9F0">
    <w:pPr>
      <w:spacing w:line="177" w:lineRule="auto"/>
      <w:rPr>
        <w:rFonts w:ascii="Times New Roman" w:hAnsi="Times New Roman" w:eastAsia="Times New Roman" w:cs="Times New Roman"/>
        <w:sz w:val="20"/>
        <w:szCs w:val="20"/>
      </w:rPr>
    </w:pPr>
    <w:r>
      <w:rPr>
        <w:rFonts w:ascii="Times New Roman" w:hAnsi="Times New Roman" w:eastAsia="Times New Roman" w:cs="Times New Roman"/>
        <w:spacing w:val="-2"/>
        <w:sz w:val="20"/>
        <w:szCs w:val="20"/>
      </w:rPr>
      <w:t>320</w:t>
    </w:r>
  </w:p>
</w:ftr>
</file>

<file path=word/footer34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DE6DB77">
    <w:pPr>
      <w:spacing w:line="177" w:lineRule="auto"/>
      <w:jc w:val="right"/>
      <w:rPr>
        <w:rFonts w:ascii="Times New Roman" w:hAnsi="Times New Roman" w:eastAsia="Times New Roman" w:cs="Times New Roman"/>
        <w:sz w:val="20"/>
        <w:szCs w:val="20"/>
      </w:rPr>
    </w:pPr>
    <w:r>
      <w:rPr>
        <w:rFonts w:ascii="Times New Roman" w:hAnsi="Times New Roman" w:eastAsia="Times New Roman" w:cs="Times New Roman"/>
        <w:spacing w:val="-3"/>
        <w:sz w:val="20"/>
        <w:szCs w:val="20"/>
      </w:rPr>
      <w:t>321</w:t>
    </w:r>
  </w:p>
</w:ftr>
</file>

<file path=word/footer34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D62E6DF">
    <w:pPr>
      <w:spacing w:line="177" w:lineRule="auto"/>
      <w:rPr>
        <w:rFonts w:ascii="Times New Roman" w:hAnsi="Times New Roman" w:eastAsia="Times New Roman" w:cs="Times New Roman"/>
        <w:sz w:val="20"/>
        <w:szCs w:val="20"/>
      </w:rPr>
    </w:pPr>
    <w:r>
      <w:rPr>
        <w:rFonts w:ascii="Times New Roman" w:hAnsi="Times New Roman" w:eastAsia="Times New Roman" w:cs="Times New Roman"/>
        <w:spacing w:val="-2"/>
        <w:sz w:val="20"/>
        <w:szCs w:val="20"/>
      </w:rPr>
      <w:t>322</w:t>
    </w:r>
  </w:p>
</w:ftr>
</file>

<file path=word/footer34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20166FC">
    <w:pPr>
      <w:spacing w:line="177" w:lineRule="auto"/>
      <w:jc w:val="right"/>
      <w:rPr>
        <w:rFonts w:ascii="Times New Roman" w:hAnsi="Times New Roman" w:eastAsia="Times New Roman" w:cs="Times New Roman"/>
        <w:sz w:val="20"/>
        <w:szCs w:val="20"/>
      </w:rPr>
    </w:pPr>
    <w:r>
      <w:rPr>
        <w:rFonts w:ascii="Times New Roman" w:hAnsi="Times New Roman" w:eastAsia="Times New Roman" w:cs="Times New Roman"/>
        <w:spacing w:val="-3"/>
        <w:sz w:val="20"/>
        <w:szCs w:val="20"/>
      </w:rPr>
      <w:t>323</w:t>
    </w:r>
  </w:p>
</w:ftr>
</file>

<file path=word/footer34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D674849">
    <w:pPr>
      <w:spacing w:line="177" w:lineRule="auto"/>
      <w:rPr>
        <w:rFonts w:ascii="Times New Roman" w:hAnsi="Times New Roman" w:eastAsia="Times New Roman" w:cs="Times New Roman"/>
        <w:sz w:val="20"/>
        <w:szCs w:val="20"/>
      </w:rPr>
    </w:pPr>
    <w:r>
      <w:rPr>
        <w:rFonts w:ascii="Times New Roman" w:hAnsi="Times New Roman" w:eastAsia="Times New Roman" w:cs="Times New Roman"/>
        <w:spacing w:val="-2"/>
        <w:sz w:val="20"/>
        <w:szCs w:val="20"/>
      </w:rPr>
      <w:t>324</w:t>
    </w:r>
  </w:p>
</w:ftr>
</file>

<file path=word/footer34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E31DC95">
    <w:pPr>
      <w:spacing w:line="177" w:lineRule="auto"/>
      <w:jc w:val="right"/>
      <w:rPr>
        <w:rFonts w:ascii="Times New Roman" w:hAnsi="Times New Roman" w:eastAsia="Times New Roman" w:cs="Times New Roman"/>
        <w:sz w:val="20"/>
        <w:szCs w:val="20"/>
      </w:rPr>
    </w:pPr>
    <w:r>
      <w:rPr>
        <w:rFonts w:ascii="Times New Roman" w:hAnsi="Times New Roman" w:eastAsia="Times New Roman" w:cs="Times New Roman"/>
        <w:spacing w:val="-3"/>
        <w:sz w:val="20"/>
        <w:szCs w:val="20"/>
      </w:rPr>
      <w:t>325</w:t>
    </w:r>
  </w:p>
</w:ftr>
</file>

<file path=word/footer34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71304B3">
    <w:pPr>
      <w:spacing w:line="178" w:lineRule="auto"/>
      <w:rPr>
        <w:rFonts w:ascii="Times New Roman" w:hAnsi="Times New Roman" w:eastAsia="Times New Roman" w:cs="Times New Roman"/>
        <w:sz w:val="21"/>
        <w:szCs w:val="21"/>
      </w:rPr>
    </w:pPr>
    <w:r>
      <w:rPr>
        <w:rFonts w:ascii="Times New Roman" w:hAnsi="Times New Roman" w:eastAsia="Times New Roman" w:cs="Times New Roman"/>
        <w:spacing w:val="-2"/>
        <w:sz w:val="21"/>
        <w:szCs w:val="21"/>
      </w:rPr>
      <w:t>326</w:t>
    </w:r>
  </w:p>
</w:ftr>
</file>

<file path=word/footer34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338CA0F">
    <w:pPr>
      <w:spacing w:line="177" w:lineRule="auto"/>
      <w:jc w:val="right"/>
      <w:rPr>
        <w:rFonts w:ascii="Times New Roman" w:hAnsi="Times New Roman" w:eastAsia="Times New Roman" w:cs="Times New Roman"/>
        <w:sz w:val="20"/>
        <w:szCs w:val="20"/>
      </w:rPr>
    </w:pPr>
    <w:r>
      <w:rPr>
        <w:rFonts w:ascii="Times New Roman" w:hAnsi="Times New Roman" w:eastAsia="Times New Roman" w:cs="Times New Roman"/>
        <w:spacing w:val="-3"/>
        <w:sz w:val="20"/>
        <w:szCs w:val="20"/>
      </w:rPr>
      <w:t>327</w:t>
    </w:r>
  </w:p>
</w:ftr>
</file>

<file path=word/footer3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3F72C8F">
    <w:pPr>
      <w:spacing w:line="178" w:lineRule="auto"/>
      <w:jc w:val="right"/>
      <w:rPr>
        <w:rFonts w:ascii="Times New Roman" w:hAnsi="Times New Roman" w:eastAsia="Times New Roman" w:cs="Times New Roman"/>
        <w:sz w:val="21"/>
        <w:szCs w:val="21"/>
      </w:rPr>
    </w:pPr>
    <w:r>
      <w:rPr>
        <w:rFonts w:ascii="Times New Roman" w:hAnsi="Times New Roman" w:eastAsia="Times New Roman" w:cs="Times New Roman"/>
        <w:spacing w:val="-13"/>
        <w:sz w:val="21"/>
        <w:szCs w:val="21"/>
      </w:rPr>
      <w:t>13</w:t>
    </w:r>
  </w:p>
</w:ftr>
</file>

<file path=word/footer35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065E3E6">
    <w:pPr>
      <w:spacing w:line="178" w:lineRule="auto"/>
      <w:rPr>
        <w:rFonts w:ascii="Times New Roman" w:hAnsi="Times New Roman" w:eastAsia="Times New Roman" w:cs="Times New Roman"/>
        <w:sz w:val="21"/>
        <w:szCs w:val="21"/>
      </w:rPr>
    </w:pPr>
    <w:r>
      <w:rPr>
        <w:rFonts w:ascii="Times New Roman" w:hAnsi="Times New Roman" w:eastAsia="Times New Roman" w:cs="Times New Roman"/>
        <w:b/>
        <w:bCs/>
        <w:spacing w:val="-1"/>
        <w:sz w:val="21"/>
        <w:szCs w:val="21"/>
      </w:rPr>
      <w:t>328</w:t>
    </w:r>
  </w:p>
</w:ftr>
</file>

<file path=word/footer35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81FD7B9">
    <w:pPr>
      <w:spacing w:line="177" w:lineRule="auto"/>
      <w:jc w:val="right"/>
      <w:rPr>
        <w:rFonts w:ascii="Times New Roman" w:hAnsi="Times New Roman" w:eastAsia="Times New Roman" w:cs="Times New Roman"/>
        <w:sz w:val="19"/>
        <w:szCs w:val="19"/>
      </w:rPr>
    </w:pPr>
    <w:r>
      <w:rPr>
        <w:rFonts w:ascii="Times New Roman" w:hAnsi="Times New Roman" w:eastAsia="Times New Roman" w:cs="Times New Roman"/>
        <w:spacing w:val="-3"/>
        <w:sz w:val="19"/>
        <w:szCs w:val="19"/>
      </w:rPr>
      <w:t>329</w:t>
    </w:r>
  </w:p>
</w:ftr>
</file>

<file path=word/footer35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9F939B4">
    <w:pPr>
      <w:spacing w:line="14" w:lineRule="auto"/>
      <w:rPr>
        <w:rFonts w:ascii="Arial"/>
        <w:sz w:val="2"/>
      </w:rPr>
    </w:pPr>
  </w:p>
</w:ftr>
</file>

<file path=word/footer35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93AF0ED">
    <w:pPr>
      <w:spacing w:line="177" w:lineRule="auto"/>
      <w:jc w:val="right"/>
      <w:rPr>
        <w:rFonts w:ascii="Times New Roman" w:hAnsi="Times New Roman" w:eastAsia="Times New Roman" w:cs="Times New Roman"/>
        <w:sz w:val="20"/>
        <w:szCs w:val="20"/>
      </w:rPr>
    </w:pPr>
    <w:r>
      <w:rPr>
        <w:rFonts w:ascii="Times New Roman" w:hAnsi="Times New Roman" w:eastAsia="Times New Roman" w:cs="Times New Roman"/>
        <w:spacing w:val="-3"/>
        <w:sz w:val="20"/>
        <w:szCs w:val="20"/>
      </w:rPr>
      <w:t>331</w:t>
    </w:r>
  </w:p>
</w:ftr>
</file>

<file path=word/footer35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FEE0415">
    <w:pPr>
      <w:spacing w:line="177" w:lineRule="auto"/>
      <w:rPr>
        <w:rFonts w:ascii="Times New Roman" w:hAnsi="Times New Roman" w:eastAsia="Times New Roman" w:cs="Times New Roman"/>
        <w:sz w:val="20"/>
        <w:szCs w:val="20"/>
      </w:rPr>
    </w:pPr>
    <w:r>
      <w:rPr>
        <w:rFonts w:ascii="Times New Roman" w:hAnsi="Times New Roman" w:eastAsia="Times New Roman" w:cs="Times New Roman"/>
        <w:spacing w:val="-2"/>
        <w:sz w:val="20"/>
        <w:szCs w:val="20"/>
      </w:rPr>
      <w:t>332</w:t>
    </w:r>
  </w:p>
</w:ftr>
</file>

<file path=word/footer35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75790FD">
    <w:pPr>
      <w:spacing w:line="177" w:lineRule="auto"/>
      <w:jc w:val="right"/>
      <w:rPr>
        <w:rFonts w:ascii="Times New Roman" w:hAnsi="Times New Roman" w:eastAsia="Times New Roman" w:cs="Times New Roman"/>
        <w:sz w:val="20"/>
        <w:szCs w:val="20"/>
      </w:rPr>
    </w:pPr>
    <w:r>
      <w:rPr>
        <w:rFonts w:ascii="Times New Roman" w:hAnsi="Times New Roman" w:eastAsia="Times New Roman" w:cs="Times New Roman"/>
        <w:spacing w:val="-3"/>
        <w:sz w:val="20"/>
        <w:szCs w:val="20"/>
      </w:rPr>
      <w:t>333</w:t>
    </w:r>
  </w:p>
</w:ftr>
</file>

<file path=word/footer35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0BCD601">
    <w:pPr>
      <w:spacing w:line="177" w:lineRule="auto"/>
      <w:rPr>
        <w:rFonts w:ascii="Times New Roman" w:hAnsi="Times New Roman" w:eastAsia="Times New Roman" w:cs="Times New Roman"/>
        <w:sz w:val="20"/>
        <w:szCs w:val="20"/>
      </w:rPr>
    </w:pPr>
    <w:r>
      <w:rPr>
        <w:rFonts w:ascii="Times New Roman" w:hAnsi="Times New Roman" w:eastAsia="Times New Roman" w:cs="Times New Roman"/>
        <w:spacing w:val="-2"/>
        <w:sz w:val="20"/>
        <w:szCs w:val="20"/>
      </w:rPr>
      <w:t>334</w:t>
    </w:r>
  </w:p>
</w:ftr>
</file>

<file path=word/footer35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C8B0CC5">
    <w:pPr>
      <w:spacing w:line="177" w:lineRule="auto"/>
      <w:jc w:val="right"/>
      <w:rPr>
        <w:rFonts w:ascii="Times New Roman" w:hAnsi="Times New Roman" w:eastAsia="Times New Roman" w:cs="Times New Roman"/>
        <w:sz w:val="20"/>
        <w:szCs w:val="20"/>
      </w:rPr>
    </w:pPr>
    <w:r>
      <w:rPr>
        <w:rFonts w:ascii="Times New Roman" w:hAnsi="Times New Roman" w:eastAsia="Times New Roman" w:cs="Times New Roman"/>
        <w:spacing w:val="-3"/>
        <w:sz w:val="20"/>
        <w:szCs w:val="20"/>
      </w:rPr>
      <w:t>335</w:t>
    </w:r>
  </w:p>
</w:ftr>
</file>

<file path=word/footer35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499FA6A">
    <w:pPr>
      <w:spacing w:line="177" w:lineRule="auto"/>
      <w:rPr>
        <w:rFonts w:ascii="Times New Roman" w:hAnsi="Times New Roman" w:eastAsia="Times New Roman" w:cs="Times New Roman"/>
        <w:sz w:val="20"/>
        <w:szCs w:val="20"/>
      </w:rPr>
    </w:pPr>
    <w:r>
      <w:rPr>
        <w:rFonts w:ascii="Times New Roman" w:hAnsi="Times New Roman" w:eastAsia="Times New Roman" w:cs="Times New Roman"/>
        <w:spacing w:val="-2"/>
        <w:sz w:val="20"/>
        <w:szCs w:val="20"/>
      </w:rPr>
      <w:t>336</w:t>
    </w:r>
  </w:p>
</w:ftr>
</file>

<file path=word/footer35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98FFB85">
    <w:pPr>
      <w:spacing w:line="176" w:lineRule="auto"/>
      <w:ind w:left="9130"/>
      <w:rPr>
        <w:rFonts w:ascii="Times New Roman" w:hAnsi="Times New Roman" w:eastAsia="Times New Roman" w:cs="Times New Roman"/>
        <w:sz w:val="18"/>
        <w:szCs w:val="18"/>
      </w:rPr>
    </w:pPr>
    <w:r>
      <w:rPr>
        <w:rFonts w:ascii="Times New Roman" w:hAnsi="Times New Roman" w:eastAsia="Times New Roman" w:cs="Times New Roman"/>
        <w:b/>
        <w:bCs/>
        <w:spacing w:val="-1"/>
        <w:sz w:val="18"/>
        <w:szCs w:val="18"/>
      </w:rPr>
      <w:t>337</w:t>
    </w:r>
  </w:p>
</w:ftr>
</file>

<file path=word/footer3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11E4B76">
    <w:pPr>
      <w:spacing w:line="231" w:lineRule="auto"/>
      <w:rPr>
        <w:rFonts w:ascii="宋体" w:hAnsi="宋体" w:eastAsia="宋体" w:cs="宋体"/>
        <w:sz w:val="20"/>
        <w:szCs w:val="20"/>
      </w:rPr>
    </w:pPr>
    <w:r>
      <w:rPr>
        <w:rFonts w:ascii="宋体" w:hAnsi="宋体" w:eastAsia="宋体" w:cs="宋体"/>
        <w:spacing w:val="-6"/>
        <w:sz w:val="20"/>
        <w:szCs w:val="20"/>
      </w:rPr>
      <w:t>14</w:t>
    </w:r>
  </w:p>
</w:ftr>
</file>

<file path=word/footer36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539AD01">
    <w:pPr>
      <w:spacing w:line="176" w:lineRule="auto"/>
      <w:ind w:left="39"/>
      <w:rPr>
        <w:rFonts w:ascii="Times New Roman" w:hAnsi="Times New Roman" w:eastAsia="Times New Roman" w:cs="Times New Roman"/>
        <w:sz w:val="18"/>
        <w:szCs w:val="18"/>
      </w:rPr>
    </w:pPr>
    <w:r>
      <w:rPr>
        <w:rFonts w:ascii="Times New Roman" w:hAnsi="Times New Roman" w:eastAsia="Times New Roman" w:cs="Times New Roman"/>
        <w:spacing w:val="-2"/>
        <w:sz w:val="18"/>
        <w:szCs w:val="18"/>
      </w:rPr>
      <w:t>338</w:t>
    </w:r>
  </w:p>
</w:ftr>
</file>

<file path=word/footer36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01BF34D">
    <w:pPr>
      <w:spacing w:line="176" w:lineRule="auto"/>
      <w:ind w:left="8939"/>
      <w:rPr>
        <w:rFonts w:ascii="Times New Roman" w:hAnsi="Times New Roman" w:eastAsia="Times New Roman" w:cs="Times New Roman"/>
        <w:sz w:val="18"/>
        <w:szCs w:val="18"/>
      </w:rPr>
    </w:pPr>
    <w:r>
      <w:rPr>
        <w:rFonts w:ascii="Times New Roman" w:hAnsi="Times New Roman" w:eastAsia="Times New Roman" w:cs="Times New Roman"/>
        <w:spacing w:val="-2"/>
        <w:sz w:val="18"/>
        <w:szCs w:val="18"/>
      </w:rPr>
      <w:t>339</w:t>
    </w:r>
  </w:p>
</w:ftr>
</file>

<file path=word/footer36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0D3DEA5">
    <w:pPr>
      <w:spacing w:line="176" w:lineRule="auto"/>
      <w:rPr>
        <w:rFonts w:ascii="Times New Roman" w:hAnsi="Times New Roman" w:eastAsia="Times New Roman" w:cs="Times New Roman"/>
        <w:sz w:val="18"/>
        <w:szCs w:val="18"/>
      </w:rPr>
    </w:pPr>
    <w:r>
      <w:rPr>
        <w:rFonts w:ascii="Times New Roman" w:hAnsi="Times New Roman" w:eastAsia="Times New Roman" w:cs="Times New Roman"/>
        <w:spacing w:val="-2"/>
        <w:sz w:val="18"/>
        <w:szCs w:val="18"/>
      </w:rPr>
      <w:t>340</w:t>
    </w:r>
  </w:p>
</w:ftr>
</file>

<file path=word/footer36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FD88CEA">
    <w:pPr>
      <w:spacing w:line="176" w:lineRule="auto"/>
      <w:ind w:left="8989"/>
      <w:rPr>
        <w:rFonts w:ascii="Times New Roman" w:hAnsi="Times New Roman" w:eastAsia="Times New Roman" w:cs="Times New Roman"/>
        <w:sz w:val="18"/>
        <w:szCs w:val="18"/>
      </w:rPr>
    </w:pPr>
    <w:r>
      <w:rPr>
        <w:rFonts w:ascii="Times New Roman" w:hAnsi="Times New Roman" w:eastAsia="Times New Roman" w:cs="Times New Roman"/>
        <w:spacing w:val="-2"/>
        <w:sz w:val="18"/>
        <w:szCs w:val="18"/>
      </w:rPr>
      <w:t>341</w:t>
    </w:r>
  </w:p>
</w:ftr>
</file>

<file path=word/footer36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6457235">
    <w:pPr>
      <w:spacing w:line="176" w:lineRule="auto"/>
      <w:rPr>
        <w:rFonts w:ascii="Times New Roman" w:hAnsi="Times New Roman" w:eastAsia="Times New Roman" w:cs="Times New Roman"/>
        <w:sz w:val="18"/>
        <w:szCs w:val="18"/>
      </w:rPr>
    </w:pPr>
    <w:r>
      <w:rPr>
        <w:rFonts w:ascii="Times New Roman" w:hAnsi="Times New Roman" w:eastAsia="Times New Roman" w:cs="Times New Roman"/>
        <w:spacing w:val="-2"/>
        <w:sz w:val="18"/>
        <w:szCs w:val="18"/>
      </w:rPr>
      <w:t>342</w:t>
    </w:r>
  </w:p>
</w:ftr>
</file>

<file path=word/footer36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4154206">
    <w:pPr>
      <w:spacing w:line="176" w:lineRule="auto"/>
      <w:ind w:left="8910"/>
      <w:rPr>
        <w:rFonts w:ascii="Times New Roman" w:hAnsi="Times New Roman" w:eastAsia="Times New Roman" w:cs="Times New Roman"/>
        <w:sz w:val="18"/>
        <w:szCs w:val="18"/>
      </w:rPr>
    </w:pPr>
    <w:r>
      <w:rPr>
        <w:rFonts w:ascii="Times New Roman" w:hAnsi="Times New Roman" w:eastAsia="Times New Roman" w:cs="Times New Roman"/>
        <w:spacing w:val="-2"/>
        <w:sz w:val="18"/>
        <w:szCs w:val="18"/>
      </w:rPr>
      <w:t>343</w:t>
    </w:r>
  </w:p>
</w:ftr>
</file>

<file path=word/footer36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27F5CF6">
    <w:pPr>
      <w:spacing w:line="14" w:lineRule="auto"/>
      <w:rPr>
        <w:rFonts w:ascii="Arial"/>
        <w:sz w:val="2"/>
      </w:rPr>
    </w:pPr>
  </w:p>
</w:ftr>
</file>

<file path=word/footer3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128FE73">
    <w:pPr>
      <w:spacing w:line="231" w:lineRule="auto"/>
      <w:jc w:val="right"/>
      <w:rPr>
        <w:rFonts w:ascii="宋体" w:hAnsi="宋体" w:eastAsia="宋体" w:cs="宋体"/>
        <w:sz w:val="22"/>
        <w:szCs w:val="22"/>
      </w:rPr>
    </w:pPr>
    <w:r>
      <w:rPr>
        <w:rFonts w:ascii="宋体" w:hAnsi="宋体" w:eastAsia="宋体" w:cs="宋体"/>
        <w:spacing w:val="-13"/>
        <w:sz w:val="22"/>
        <w:szCs w:val="22"/>
      </w:rPr>
      <w:t>15</w:t>
    </w:r>
  </w:p>
</w:ftr>
</file>

<file path=word/footer3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D7BE974">
    <w:pPr>
      <w:spacing w:line="177" w:lineRule="auto"/>
      <w:rPr>
        <w:rFonts w:ascii="Times New Roman" w:hAnsi="Times New Roman" w:eastAsia="Times New Roman" w:cs="Times New Roman"/>
        <w:sz w:val="20"/>
        <w:szCs w:val="20"/>
      </w:rPr>
    </w:pPr>
    <w:r>
      <w:rPr>
        <w:rFonts w:ascii="Times New Roman" w:hAnsi="Times New Roman" w:eastAsia="Times New Roman" w:cs="Times New Roman"/>
        <w:spacing w:val="-6"/>
        <w:sz w:val="20"/>
        <w:szCs w:val="20"/>
      </w:rPr>
      <w:t>16</w:t>
    </w:r>
  </w:p>
</w:ftr>
</file>

<file path=word/footer3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3369EB0">
    <w:pPr>
      <w:spacing w:line="178" w:lineRule="auto"/>
      <w:jc w:val="right"/>
      <w:rPr>
        <w:rFonts w:ascii="Times New Roman" w:hAnsi="Times New Roman" w:eastAsia="Times New Roman" w:cs="Times New Roman"/>
        <w:sz w:val="21"/>
        <w:szCs w:val="21"/>
      </w:rPr>
    </w:pPr>
    <w:r>
      <w:rPr>
        <w:rFonts w:ascii="Times New Roman" w:hAnsi="Times New Roman" w:eastAsia="Times New Roman" w:cs="Times New Roman"/>
        <w:spacing w:val="-16"/>
        <w:sz w:val="21"/>
        <w:szCs w:val="21"/>
      </w:rPr>
      <w:t>1</w:t>
    </w:r>
    <w:r>
      <w:rPr>
        <w:rFonts w:ascii="Times New Roman" w:hAnsi="Times New Roman" w:eastAsia="Times New Roman" w:cs="Times New Roman"/>
        <w:spacing w:val="-10"/>
        <w:sz w:val="21"/>
        <w:szCs w:val="21"/>
      </w:rPr>
      <w:t>7</w: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857A0C0">
    <w:pPr>
      <w:spacing w:line="178" w:lineRule="auto"/>
      <w:rPr>
        <w:rFonts w:ascii="Times New Roman" w:hAnsi="Times New Roman" w:eastAsia="Times New Roman" w:cs="Times New Roman"/>
        <w:sz w:val="21"/>
        <w:szCs w:val="21"/>
      </w:rPr>
    </w:pPr>
    <w:r>
      <w:rPr>
        <w:rFonts w:ascii="Times New Roman" w:hAnsi="Times New Roman" w:eastAsia="Times New Roman" w:cs="Times New Roman"/>
        <w:sz w:val="21"/>
        <w:szCs w:val="21"/>
      </w:rPr>
      <w:t>6</w:t>
    </w:r>
  </w:p>
</w:ftr>
</file>

<file path=word/footer4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689FB0D">
    <w:pPr>
      <w:spacing w:line="177" w:lineRule="auto"/>
      <w:rPr>
        <w:rFonts w:ascii="Times New Roman" w:hAnsi="Times New Roman" w:eastAsia="Times New Roman" w:cs="Times New Roman"/>
        <w:sz w:val="20"/>
        <w:szCs w:val="20"/>
      </w:rPr>
    </w:pPr>
    <w:r>
      <w:rPr>
        <w:rFonts w:ascii="Times New Roman" w:hAnsi="Times New Roman" w:eastAsia="Times New Roman" w:cs="Times New Roman"/>
        <w:spacing w:val="-6"/>
        <w:sz w:val="20"/>
        <w:szCs w:val="20"/>
      </w:rPr>
      <w:t>18</w:t>
    </w:r>
  </w:p>
</w:ftr>
</file>

<file path=word/footer4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8CFC8DF">
    <w:pPr>
      <w:spacing w:line="178" w:lineRule="auto"/>
      <w:jc w:val="right"/>
      <w:rPr>
        <w:rFonts w:ascii="Times New Roman" w:hAnsi="Times New Roman" w:eastAsia="Times New Roman" w:cs="Times New Roman"/>
        <w:sz w:val="21"/>
        <w:szCs w:val="21"/>
      </w:rPr>
    </w:pPr>
    <w:r>
      <w:rPr>
        <w:rFonts w:ascii="Times New Roman" w:hAnsi="Times New Roman" w:eastAsia="Times New Roman" w:cs="Times New Roman"/>
        <w:spacing w:val="-16"/>
        <w:sz w:val="21"/>
        <w:szCs w:val="21"/>
      </w:rPr>
      <w:t>1</w:t>
    </w:r>
    <w:r>
      <w:rPr>
        <w:rFonts w:ascii="Times New Roman" w:hAnsi="Times New Roman" w:eastAsia="Times New Roman" w:cs="Times New Roman"/>
        <w:spacing w:val="-10"/>
        <w:sz w:val="21"/>
        <w:szCs w:val="21"/>
      </w:rPr>
      <w:t>9</w:t>
    </w:r>
  </w:p>
</w:ftr>
</file>

<file path=word/footer4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42A9F52">
    <w:pPr>
      <w:spacing w:line="177" w:lineRule="auto"/>
      <w:rPr>
        <w:rFonts w:ascii="Times New Roman" w:hAnsi="Times New Roman" w:eastAsia="Times New Roman" w:cs="Times New Roman"/>
        <w:sz w:val="20"/>
        <w:szCs w:val="20"/>
      </w:rPr>
    </w:pPr>
    <w:r>
      <w:rPr>
        <w:rFonts w:ascii="Times New Roman" w:hAnsi="Times New Roman" w:eastAsia="Times New Roman" w:cs="Times New Roman"/>
        <w:spacing w:val="-2"/>
        <w:sz w:val="20"/>
        <w:szCs w:val="20"/>
      </w:rPr>
      <w:t>20</w:t>
    </w:r>
  </w:p>
</w:ftr>
</file>

<file path=word/footer4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AD34C59">
    <w:pPr>
      <w:spacing w:line="178" w:lineRule="auto"/>
      <w:jc w:val="right"/>
      <w:rPr>
        <w:rFonts w:ascii="Times New Roman" w:hAnsi="Times New Roman" w:eastAsia="Times New Roman" w:cs="Times New Roman"/>
        <w:sz w:val="21"/>
        <w:szCs w:val="21"/>
      </w:rPr>
    </w:pPr>
    <w:r>
      <w:rPr>
        <w:rFonts w:ascii="Times New Roman" w:hAnsi="Times New Roman" w:eastAsia="Times New Roman" w:cs="Times New Roman"/>
        <w:spacing w:val="-3"/>
        <w:sz w:val="21"/>
        <w:szCs w:val="21"/>
      </w:rPr>
      <w:t>21</w:t>
    </w:r>
  </w:p>
</w:ftr>
</file>

<file path=word/footer4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9704DE9">
    <w:pPr>
      <w:spacing w:line="177" w:lineRule="auto"/>
      <w:rPr>
        <w:rFonts w:ascii="Times New Roman" w:hAnsi="Times New Roman" w:eastAsia="Times New Roman" w:cs="Times New Roman"/>
        <w:sz w:val="19"/>
        <w:szCs w:val="19"/>
      </w:rPr>
    </w:pPr>
    <w:r>
      <w:rPr>
        <w:rFonts w:ascii="Times New Roman" w:hAnsi="Times New Roman" w:eastAsia="Times New Roman" w:cs="Times New Roman"/>
        <w:spacing w:val="-1"/>
        <w:sz w:val="19"/>
        <w:szCs w:val="19"/>
      </w:rPr>
      <w:t>22</w:t>
    </w:r>
  </w:p>
</w:ftr>
</file>

<file path=word/footer4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E32F592">
    <w:pPr>
      <w:spacing w:line="178" w:lineRule="auto"/>
      <w:jc w:val="right"/>
      <w:rPr>
        <w:rFonts w:ascii="Times New Roman" w:hAnsi="Times New Roman" w:eastAsia="Times New Roman" w:cs="Times New Roman"/>
        <w:sz w:val="21"/>
        <w:szCs w:val="21"/>
      </w:rPr>
    </w:pPr>
    <w:r>
      <w:rPr>
        <w:rFonts w:ascii="Times New Roman" w:hAnsi="Times New Roman" w:eastAsia="Times New Roman" w:cs="Times New Roman"/>
        <w:spacing w:val="-3"/>
        <w:sz w:val="21"/>
        <w:szCs w:val="21"/>
      </w:rPr>
      <w:t>23</w:t>
    </w:r>
  </w:p>
</w:ftr>
</file>

<file path=word/footer4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2DE48CD">
    <w:pPr>
      <w:spacing w:line="177" w:lineRule="auto"/>
      <w:rPr>
        <w:rFonts w:ascii="Times New Roman" w:hAnsi="Times New Roman" w:eastAsia="Times New Roman" w:cs="Times New Roman"/>
        <w:sz w:val="20"/>
        <w:szCs w:val="20"/>
      </w:rPr>
    </w:pPr>
    <w:r>
      <w:rPr>
        <w:rFonts w:ascii="Times New Roman" w:hAnsi="Times New Roman" w:eastAsia="Times New Roman" w:cs="Times New Roman"/>
        <w:spacing w:val="-2"/>
        <w:sz w:val="20"/>
        <w:szCs w:val="20"/>
      </w:rPr>
      <w:t>24</w:t>
    </w:r>
  </w:p>
</w:ftr>
</file>

<file path=word/footer4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EB92DA5">
    <w:pPr>
      <w:spacing w:line="178" w:lineRule="auto"/>
      <w:jc w:val="right"/>
      <w:rPr>
        <w:rFonts w:ascii="Times New Roman" w:hAnsi="Times New Roman" w:eastAsia="Times New Roman" w:cs="Times New Roman"/>
        <w:sz w:val="21"/>
        <w:szCs w:val="21"/>
      </w:rPr>
    </w:pPr>
    <w:r>
      <w:rPr>
        <w:rFonts w:ascii="Times New Roman" w:hAnsi="Times New Roman" w:eastAsia="Times New Roman" w:cs="Times New Roman"/>
        <w:b/>
        <w:bCs/>
        <w:spacing w:val="-3"/>
        <w:sz w:val="21"/>
        <w:szCs w:val="21"/>
      </w:rPr>
      <w:t>25</w:t>
    </w:r>
  </w:p>
</w:ftr>
</file>

<file path=word/footer4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941634D">
    <w:pPr>
      <w:spacing w:line="177" w:lineRule="auto"/>
      <w:rPr>
        <w:rFonts w:ascii="Times New Roman" w:hAnsi="Times New Roman" w:eastAsia="Times New Roman" w:cs="Times New Roman"/>
        <w:sz w:val="20"/>
        <w:szCs w:val="20"/>
      </w:rPr>
    </w:pPr>
    <w:r>
      <w:rPr>
        <w:rFonts w:ascii="Times New Roman" w:hAnsi="Times New Roman" w:eastAsia="Times New Roman" w:cs="Times New Roman"/>
        <w:spacing w:val="-2"/>
        <w:sz w:val="20"/>
        <w:szCs w:val="20"/>
      </w:rPr>
      <w:t>26</w:t>
    </w:r>
  </w:p>
</w:ftr>
</file>

<file path=word/footer4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49937BA">
    <w:pPr>
      <w:spacing w:line="178" w:lineRule="auto"/>
      <w:jc w:val="right"/>
      <w:rPr>
        <w:rFonts w:ascii="Times New Roman" w:hAnsi="Times New Roman" w:eastAsia="Times New Roman" w:cs="Times New Roman"/>
        <w:sz w:val="21"/>
        <w:szCs w:val="21"/>
      </w:rPr>
    </w:pPr>
    <w:r>
      <w:rPr>
        <w:rFonts w:ascii="Times New Roman" w:hAnsi="Times New Roman" w:eastAsia="Times New Roman" w:cs="Times New Roman"/>
        <w:spacing w:val="-3"/>
        <w:sz w:val="21"/>
        <w:szCs w:val="21"/>
      </w:rPr>
      <w:t>27</w: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3DEE825">
    <w:pPr>
      <w:spacing w:line="172" w:lineRule="auto"/>
      <w:ind w:left="9750"/>
      <w:rPr>
        <w:rFonts w:ascii="Times New Roman" w:hAnsi="Times New Roman" w:eastAsia="Times New Roman" w:cs="Times New Roman"/>
        <w:sz w:val="17"/>
        <w:szCs w:val="17"/>
      </w:rPr>
    </w:pPr>
    <w:r>
      <w:rPr>
        <w:rFonts w:ascii="Times New Roman" w:hAnsi="Times New Roman" w:eastAsia="Times New Roman" w:cs="Times New Roman"/>
        <w:sz w:val="17"/>
        <w:szCs w:val="17"/>
      </w:rPr>
      <w:t>7</w:t>
    </w:r>
  </w:p>
</w:ftr>
</file>

<file path=word/footer5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C4D7F2F">
    <w:pPr>
      <w:spacing w:line="177" w:lineRule="auto"/>
      <w:rPr>
        <w:rFonts w:ascii="Times New Roman" w:hAnsi="Times New Roman" w:eastAsia="Times New Roman" w:cs="Times New Roman"/>
        <w:sz w:val="20"/>
        <w:szCs w:val="20"/>
      </w:rPr>
    </w:pPr>
    <w:r>
      <w:rPr>
        <w:rFonts w:ascii="Times New Roman" w:hAnsi="Times New Roman" w:eastAsia="Times New Roman" w:cs="Times New Roman"/>
        <w:spacing w:val="-2"/>
        <w:sz w:val="20"/>
        <w:szCs w:val="20"/>
      </w:rPr>
      <w:t>28</w:t>
    </w:r>
  </w:p>
</w:ftr>
</file>

<file path=word/footer5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7C06253">
    <w:pPr>
      <w:spacing w:line="177" w:lineRule="auto"/>
      <w:jc w:val="right"/>
      <w:rPr>
        <w:rFonts w:ascii="Times New Roman" w:hAnsi="Times New Roman" w:eastAsia="Times New Roman" w:cs="Times New Roman"/>
        <w:sz w:val="20"/>
        <w:szCs w:val="20"/>
      </w:rPr>
    </w:pPr>
    <w:r>
      <w:rPr>
        <w:rFonts w:ascii="Times New Roman" w:hAnsi="Times New Roman" w:eastAsia="Times New Roman" w:cs="Times New Roman"/>
        <w:b/>
        <w:bCs/>
        <w:spacing w:val="-3"/>
        <w:sz w:val="20"/>
        <w:szCs w:val="20"/>
      </w:rPr>
      <w:t>29</w:t>
    </w:r>
  </w:p>
</w:ftr>
</file>

<file path=word/footer5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EC5066E">
    <w:pPr>
      <w:spacing w:line="177" w:lineRule="auto"/>
      <w:rPr>
        <w:rFonts w:ascii="Times New Roman" w:hAnsi="Times New Roman" w:eastAsia="Times New Roman" w:cs="Times New Roman"/>
        <w:sz w:val="20"/>
        <w:szCs w:val="20"/>
      </w:rPr>
    </w:pPr>
    <w:r>
      <w:rPr>
        <w:rFonts w:ascii="Times New Roman" w:hAnsi="Times New Roman" w:eastAsia="Times New Roman" w:cs="Times New Roman"/>
        <w:spacing w:val="-3"/>
        <w:sz w:val="20"/>
        <w:szCs w:val="20"/>
      </w:rPr>
      <w:t>30</w:t>
    </w:r>
  </w:p>
</w:ftr>
</file>

<file path=word/footer5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0ECB95E">
    <w:pPr>
      <w:spacing w:line="178" w:lineRule="auto"/>
      <w:jc w:val="right"/>
      <w:rPr>
        <w:rFonts w:ascii="Times New Roman" w:hAnsi="Times New Roman" w:eastAsia="Times New Roman" w:cs="Times New Roman"/>
        <w:sz w:val="21"/>
        <w:szCs w:val="21"/>
      </w:rPr>
    </w:pPr>
    <w:r>
      <w:rPr>
        <w:rFonts w:ascii="Times New Roman" w:hAnsi="Times New Roman" w:eastAsia="Times New Roman" w:cs="Times New Roman"/>
        <w:spacing w:val="-5"/>
        <w:sz w:val="21"/>
        <w:szCs w:val="21"/>
      </w:rPr>
      <w:t>31</w:t>
    </w:r>
  </w:p>
</w:ftr>
</file>

<file path=word/footer5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9D3E146">
    <w:pPr>
      <w:spacing w:line="177" w:lineRule="auto"/>
      <w:rPr>
        <w:rFonts w:ascii="Times New Roman" w:hAnsi="Times New Roman" w:eastAsia="Times New Roman" w:cs="Times New Roman"/>
        <w:sz w:val="20"/>
        <w:szCs w:val="20"/>
      </w:rPr>
    </w:pPr>
    <w:r>
      <w:rPr>
        <w:rFonts w:ascii="Times New Roman" w:hAnsi="Times New Roman" w:eastAsia="Times New Roman" w:cs="Times New Roman"/>
        <w:spacing w:val="-3"/>
        <w:sz w:val="20"/>
        <w:szCs w:val="20"/>
      </w:rPr>
      <w:t>32</w:t>
    </w:r>
  </w:p>
</w:ftr>
</file>

<file path=word/footer5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386E646">
    <w:pPr>
      <w:spacing w:line="178" w:lineRule="auto"/>
      <w:jc w:val="right"/>
      <w:rPr>
        <w:rFonts w:ascii="Times New Roman" w:hAnsi="Times New Roman" w:eastAsia="Times New Roman" w:cs="Times New Roman"/>
        <w:sz w:val="21"/>
        <w:szCs w:val="21"/>
      </w:rPr>
    </w:pPr>
    <w:r>
      <w:rPr>
        <w:rFonts w:ascii="Times New Roman" w:hAnsi="Times New Roman" w:eastAsia="Times New Roman" w:cs="Times New Roman"/>
        <w:spacing w:val="-5"/>
        <w:sz w:val="21"/>
        <w:szCs w:val="21"/>
      </w:rPr>
      <w:t>33</w:t>
    </w:r>
  </w:p>
</w:ftr>
</file>

<file path=word/footer5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B5C2E96">
    <w:pPr>
      <w:spacing w:line="177" w:lineRule="auto"/>
      <w:rPr>
        <w:rFonts w:ascii="Times New Roman" w:hAnsi="Times New Roman" w:eastAsia="Times New Roman" w:cs="Times New Roman"/>
        <w:sz w:val="20"/>
        <w:szCs w:val="20"/>
      </w:rPr>
    </w:pPr>
    <w:r>
      <w:rPr>
        <w:rFonts w:ascii="Times New Roman" w:hAnsi="Times New Roman" w:eastAsia="Times New Roman" w:cs="Times New Roman"/>
        <w:spacing w:val="-3"/>
        <w:sz w:val="20"/>
        <w:szCs w:val="20"/>
      </w:rPr>
      <w:t>34</w:t>
    </w:r>
  </w:p>
</w:ftr>
</file>

<file path=word/footer5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8EDFF70">
    <w:pPr>
      <w:spacing w:line="230" w:lineRule="auto"/>
      <w:jc w:val="right"/>
      <w:rPr>
        <w:rFonts w:ascii="宋体" w:hAnsi="宋体" w:eastAsia="宋体" w:cs="宋体"/>
        <w:sz w:val="21"/>
        <w:szCs w:val="21"/>
      </w:rPr>
    </w:pPr>
    <w:r>
      <w:rPr>
        <w:rFonts w:ascii="宋体" w:hAnsi="宋体" w:eastAsia="宋体" w:cs="宋体"/>
        <w:spacing w:val="-7"/>
        <w:sz w:val="21"/>
        <w:szCs w:val="21"/>
      </w:rPr>
      <w:t>35</w:t>
    </w:r>
  </w:p>
</w:ftr>
</file>

<file path=word/footer5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6A87960">
    <w:pPr>
      <w:spacing w:line="230" w:lineRule="auto"/>
      <w:rPr>
        <w:rFonts w:ascii="宋体" w:hAnsi="宋体" w:eastAsia="宋体" w:cs="宋体"/>
        <w:sz w:val="20"/>
        <w:szCs w:val="20"/>
      </w:rPr>
    </w:pPr>
    <w:r>
      <w:rPr>
        <w:rFonts w:ascii="宋体" w:hAnsi="宋体" w:eastAsia="宋体" w:cs="宋体"/>
        <w:spacing w:val="-3"/>
        <w:sz w:val="20"/>
        <w:szCs w:val="20"/>
      </w:rPr>
      <w:t>36</w:t>
    </w:r>
  </w:p>
</w:ftr>
</file>

<file path=word/footer5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B3BAB9B">
    <w:pPr>
      <w:spacing w:line="231" w:lineRule="auto"/>
      <w:jc w:val="right"/>
      <w:rPr>
        <w:rFonts w:ascii="宋体" w:hAnsi="宋体" w:eastAsia="宋体" w:cs="宋体"/>
        <w:sz w:val="22"/>
        <w:szCs w:val="22"/>
      </w:rPr>
    </w:pPr>
    <w:r>
      <w:rPr>
        <w:rFonts w:ascii="宋体" w:hAnsi="宋体" w:eastAsia="宋体" w:cs="宋体"/>
        <w:spacing w:val="-7"/>
        <w:sz w:val="22"/>
        <w:szCs w:val="22"/>
      </w:rPr>
      <w:t>37</w: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C99D927">
    <w:pPr>
      <w:spacing w:line="14" w:lineRule="auto"/>
      <w:rPr>
        <w:rFonts w:ascii="Arial"/>
        <w:sz w:val="2"/>
      </w:rPr>
    </w:pPr>
  </w:p>
</w:ftr>
</file>

<file path=word/footer6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086AA7F">
    <w:pPr>
      <w:spacing w:line="230" w:lineRule="auto"/>
      <w:rPr>
        <w:rFonts w:ascii="宋体" w:hAnsi="宋体" w:eastAsia="宋体" w:cs="宋体"/>
        <w:sz w:val="21"/>
        <w:szCs w:val="21"/>
      </w:rPr>
    </w:pPr>
    <w:r>
      <w:rPr>
        <w:rFonts w:ascii="宋体" w:hAnsi="宋体" w:eastAsia="宋体" w:cs="宋体"/>
        <w:spacing w:val="-4"/>
        <w:sz w:val="21"/>
        <w:szCs w:val="21"/>
      </w:rPr>
      <w:t>38</w:t>
    </w:r>
  </w:p>
</w:ftr>
</file>

<file path=word/footer6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D67571C">
    <w:pPr>
      <w:spacing w:line="178" w:lineRule="auto"/>
      <w:jc w:val="right"/>
      <w:rPr>
        <w:rFonts w:ascii="Times New Roman" w:hAnsi="Times New Roman" w:eastAsia="Times New Roman" w:cs="Times New Roman"/>
        <w:sz w:val="21"/>
        <w:szCs w:val="21"/>
      </w:rPr>
    </w:pPr>
    <w:r>
      <w:rPr>
        <w:rFonts w:ascii="Times New Roman" w:hAnsi="Times New Roman" w:eastAsia="Times New Roman" w:cs="Times New Roman"/>
        <w:spacing w:val="-5"/>
        <w:sz w:val="21"/>
        <w:szCs w:val="21"/>
      </w:rPr>
      <w:t>39</w:t>
    </w:r>
  </w:p>
</w:ftr>
</file>

<file path=word/footer6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4489979">
    <w:pPr>
      <w:spacing w:line="177" w:lineRule="auto"/>
      <w:rPr>
        <w:rFonts w:ascii="Times New Roman" w:hAnsi="Times New Roman" w:eastAsia="Times New Roman" w:cs="Times New Roman"/>
        <w:sz w:val="20"/>
        <w:szCs w:val="20"/>
      </w:rPr>
    </w:pPr>
    <w:r>
      <w:rPr>
        <w:rFonts w:ascii="Times New Roman" w:hAnsi="Times New Roman" w:eastAsia="Times New Roman" w:cs="Times New Roman"/>
        <w:spacing w:val="-1"/>
        <w:sz w:val="20"/>
        <w:szCs w:val="20"/>
      </w:rPr>
      <w:t>40</w:t>
    </w:r>
  </w:p>
</w:ftr>
</file>

<file path=word/footer6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7D17FC3">
    <w:pPr>
      <w:spacing w:line="176" w:lineRule="auto"/>
      <w:jc w:val="right"/>
      <w:rPr>
        <w:rFonts w:ascii="Times New Roman" w:hAnsi="Times New Roman" w:eastAsia="Times New Roman" w:cs="Times New Roman"/>
        <w:sz w:val="17"/>
        <w:szCs w:val="17"/>
      </w:rPr>
    </w:pPr>
    <w:r>
      <w:rPr>
        <w:rFonts w:ascii="Times New Roman" w:hAnsi="Times New Roman" w:eastAsia="Times New Roman" w:cs="Times New Roman"/>
        <w:spacing w:val="-2"/>
        <w:sz w:val="17"/>
        <w:szCs w:val="17"/>
      </w:rPr>
      <w:t>41</w:t>
    </w:r>
  </w:p>
</w:ftr>
</file>

<file path=word/footer6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CDBD06E">
    <w:pPr>
      <w:spacing w:line="177" w:lineRule="auto"/>
      <w:rPr>
        <w:rFonts w:ascii="Times New Roman" w:hAnsi="Times New Roman" w:eastAsia="Times New Roman" w:cs="Times New Roman"/>
        <w:sz w:val="20"/>
        <w:szCs w:val="20"/>
      </w:rPr>
    </w:pPr>
    <w:r>
      <w:rPr>
        <w:rFonts w:ascii="Times New Roman" w:hAnsi="Times New Roman" w:eastAsia="Times New Roman" w:cs="Times New Roman"/>
        <w:spacing w:val="-1"/>
        <w:sz w:val="20"/>
        <w:szCs w:val="20"/>
      </w:rPr>
      <w:t>42</w:t>
    </w:r>
  </w:p>
</w:ftr>
</file>

<file path=word/footer6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C6C5EE9">
    <w:pPr>
      <w:spacing w:line="178" w:lineRule="auto"/>
      <w:jc w:val="right"/>
      <w:rPr>
        <w:rFonts w:ascii="Times New Roman" w:hAnsi="Times New Roman" w:eastAsia="Times New Roman" w:cs="Times New Roman"/>
        <w:sz w:val="21"/>
        <w:szCs w:val="21"/>
      </w:rPr>
    </w:pPr>
    <w:r>
      <w:rPr>
        <w:rFonts w:ascii="Times New Roman" w:hAnsi="Times New Roman" w:eastAsia="Times New Roman" w:cs="Times New Roman"/>
        <w:b/>
        <w:bCs/>
        <w:spacing w:val="-3"/>
        <w:sz w:val="21"/>
        <w:szCs w:val="21"/>
      </w:rPr>
      <w:t>43</w:t>
    </w:r>
  </w:p>
</w:ftr>
</file>

<file path=word/footer6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B20A810">
    <w:pPr>
      <w:spacing w:line="177" w:lineRule="auto"/>
      <w:rPr>
        <w:rFonts w:ascii="Times New Roman" w:hAnsi="Times New Roman" w:eastAsia="Times New Roman" w:cs="Times New Roman"/>
        <w:sz w:val="20"/>
        <w:szCs w:val="20"/>
      </w:rPr>
    </w:pPr>
    <w:r>
      <w:rPr>
        <w:rFonts w:ascii="Times New Roman" w:hAnsi="Times New Roman" w:eastAsia="Times New Roman" w:cs="Times New Roman"/>
        <w:spacing w:val="-1"/>
        <w:sz w:val="20"/>
        <w:szCs w:val="20"/>
      </w:rPr>
      <w:t>44</w:t>
    </w:r>
  </w:p>
</w:ftr>
</file>

<file path=word/footer6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4B75017">
    <w:pPr>
      <w:spacing w:line="175" w:lineRule="auto"/>
      <w:jc w:val="right"/>
      <w:rPr>
        <w:rFonts w:ascii="Times New Roman" w:hAnsi="Times New Roman" w:eastAsia="Times New Roman" w:cs="Times New Roman"/>
        <w:sz w:val="17"/>
        <w:szCs w:val="17"/>
      </w:rPr>
    </w:pPr>
    <w:r>
      <w:rPr>
        <w:rFonts w:ascii="Times New Roman" w:hAnsi="Times New Roman" w:eastAsia="Times New Roman" w:cs="Times New Roman"/>
        <w:spacing w:val="-2"/>
        <w:sz w:val="17"/>
        <w:szCs w:val="17"/>
      </w:rPr>
      <w:t>45</w:t>
    </w:r>
  </w:p>
</w:ftr>
</file>

<file path=word/footer6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0B614D3">
    <w:pPr>
      <w:spacing w:line="175" w:lineRule="auto"/>
      <w:rPr>
        <w:rFonts w:ascii="Times New Roman" w:hAnsi="Times New Roman" w:eastAsia="Times New Roman" w:cs="Times New Roman"/>
        <w:sz w:val="17"/>
        <w:szCs w:val="17"/>
      </w:rPr>
    </w:pPr>
    <w:r>
      <w:rPr>
        <w:rFonts w:ascii="Times New Roman" w:hAnsi="Times New Roman" w:eastAsia="Times New Roman" w:cs="Times New Roman"/>
        <w:b/>
        <w:bCs/>
        <w:spacing w:val="-2"/>
        <w:sz w:val="17"/>
        <w:szCs w:val="17"/>
      </w:rPr>
      <w:t>46</w:t>
    </w:r>
  </w:p>
</w:ftr>
</file>

<file path=word/footer6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E2A9C9D">
    <w:pPr>
      <w:spacing w:line="178" w:lineRule="auto"/>
      <w:jc w:val="right"/>
      <w:rPr>
        <w:rFonts w:ascii="Times New Roman" w:hAnsi="Times New Roman" w:eastAsia="Times New Roman" w:cs="Times New Roman"/>
        <w:sz w:val="21"/>
        <w:szCs w:val="21"/>
      </w:rPr>
    </w:pPr>
    <w:r>
      <w:rPr>
        <w:rFonts w:ascii="Times New Roman" w:hAnsi="Times New Roman" w:eastAsia="Times New Roman" w:cs="Times New Roman"/>
        <w:spacing w:val="-2"/>
        <w:sz w:val="21"/>
        <w:szCs w:val="21"/>
      </w:rPr>
      <w:t>47</w: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3254644">
    <w:pPr>
      <w:spacing w:line="175" w:lineRule="auto"/>
      <w:jc w:val="right"/>
      <w:rPr>
        <w:rFonts w:ascii="Times New Roman" w:hAnsi="Times New Roman" w:eastAsia="Times New Roman" w:cs="Times New Roman"/>
        <w:sz w:val="17"/>
        <w:szCs w:val="17"/>
      </w:rPr>
    </w:pPr>
    <w:r>
      <w:rPr>
        <w:rFonts w:ascii="Times New Roman" w:hAnsi="Times New Roman" w:eastAsia="Times New Roman" w:cs="Times New Roman"/>
        <w:spacing w:val="-7"/>
        <w:sz w:val="17"/>
        <w:szCs w:val="17"/>
      </w:rPr>
      <w:t>9</w:t>
    </w:r>
  </w:p>
</w:ftr>
</file>

<file path=word/footer7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BCC5DED">
    <w:pPr>
      <w:spacing w:line="177" w:lineRule="auto"/>
      <w:rPr>
        <w:rFonts w:ascii="Times New Roman" w:hAnsi="Times New Roman" w:eastAsia="Times New Roman" w:cs="Times New Roman"/>
        <w:sz w:val="19"/>
        <w:szCs w:val="19"/>
      </w:rPr>
    </w:pPr>
    <w:r>
      <w:rPr>
        <w:rFonts w:ascii="Times New Roman" w:hAnsi="Times New Roman" w:eastAsia="Times New Roman" w:cs="Times New Roman"/>
        <w:spacing w:val="-1"/>
        <w:sz w:val="19"/>
        <w:szCs w:val="19"/>
      </w:rPr>
      <w:t>48</w:t>
    </w:r>
  </w:p>
</w:ftr>
</file>

<file path=word/footer7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B7EB79B">
    <w:pPr>
      <w:spacing w:line="177" w:lineRule="auto"/>
      <w:jc w:val="right"/>
      <w:rPr>
        <w:rFonts w:ascii="Times New Roman" w:hAnsi="Times New Roman" w:eastAsia="Times New Roman" w:cs="Times New Roman"/>
        <w:sz w:val="20"/>
        <w:szCs w:val="20"/>
      </w:rPr>
    </w:pPr>
    <w:r>
      <w:rPr>
        <w:rFonts w:ascii="Times New Roman" w:hAnsi="Times New Roman" w:eastAsia="Times New Roman" w:cs="Times New Roman"/>
        <w:spacing w:val="-2"/>
        <w:sz w:val="20"/>
        <w:szCs w:val="20"/>
      </w:rPr>
      <w:t>49</w:t>
    </w:r>
  </w:p>
</w:ftr>
</file>

<file path=word/footer7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3BA56CF">
    <w:pPr>
      <w:spacing w:line="177" w:lineRule="auto"/>
      <w:rPr>
        <w:rFonts w:ascii="Times New Roman" w:hAnsi="Times New Roman" w:eastAsia="Times New Roman" w:cs="Times New Roman"/>
        <w:sz w:val="19"/>
        <w:szCs w:val="19"/>
      </w:rPr>
    </w:pPr>
    <w:r>
      <w:rPr>
        <w:rFonts w:ascii="Times New Roman" w:hAnsi="Times New Roman" w:eastAsia="Times New Roman" w:cs="Times New Roman"/>
        <w:spacing w:val="-3"/>
        <w:sz w:val="19"/>
        <w:szCs w:val="19"/>
      </w:rPr>
      <w:t>50</w:t>
    </w:r>
  </w:p>
</w:ftr>
</file>

<file path=word/footer7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0D854FA">
    <w:pPr>
      <w:spacing w:line="178" w:lineRule="auto"/>
      <w:jc w:val="right"/>
      <w:rPr>
        <w:rFonts w:ascii="Times New Roman" w:hAnsi="Times New Roman" w:eastAsia="Times New Roman" w:cs="Times New Roman"/>
        <w:sz w:val="21"/>
        <w:szCs w:val="21"/>
      </w:rPr>
    </w:pPr>
    <w:r>
      <w:rPr>
        <w:rFonts w:ascii="Times New Roman" w:hAnsi="Times New Roman" w:eastAsia="Times New Roman" w:cs="Times New Roman"/>
        <w:spacing w:val="-6"/>
        <w:sz w:val="21"/>
        <w:szCs w:val="21"/>
      </w:rPr>
      <w:t>51</w:t>
    </w:r>
  </w:p>
</w:ftr>
</file>

<file path=word/footer7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528518A">
    <w:pPr>
      <w:spacing w:line="177" w:lineRule="auto"/>
      <w:rPr>
        <w:rFonts w:ascii="Times New Roman" w:hAnsi="Times New Roman" w:eastAsia="Times New Roman" w:cs="Times New Roman"/>
        <w:sz w:val="20"/>
        <w:szCs w:val="20"/>
      </w:rPr>
    </w:pPr>
    <w:r>
      <w:rPr>
        <w:rFonts w:ascii="Times New Roman" w:hAnsi="Times New Roman" w:eastAsia="Times New Roman" w:cs="Times New Roman"/>
        <w:spacing w:val="-3"/>
        <w:sz w:val="20"/>
        <w:szCs w:val="20"/>
      </w:rPr>
      <w:t>52</w:t>
    </w:r>
  </w:p>
</w:ftr>
</file>

<file path=word/footer7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5B4C4B2">
    <w:pPr>
      <w:spacing w:line="230" w:lineRule="auto"/>
      <w:jc w:val="right"/>
      <w:rPr>
        <w:rFonts w:ascii="宋体" w:hAnsi="宋体" w:eastAsia="宋体" w:cs="宋体"/>
        <w:sz w:val="21"/>
        <w:szCs w:val="21"/>
      </w:rPr>
    </w:pPr>
    <w:r>
      <w:rPr>
        <w:rFonts w:ascii="宋体" w:hAnsi="宋体" w:eastAsia="宋体" w:cs="宋体"/>
        <w:spacing w:val="-7"/>
        <w:sz w:val="21"/>
        <w:szCs w:val="21"/>
      </w:rPr>
      <w:t>53</w:t>
    </w:r>
  </w:p>
</w:ftr>
</file>

<file path=word/footer7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161B5EB">
    <w:pPr>
      <w:spacing w:line="177" w:lineRule="auto"/>
      <w:rPr>
        <w:rFonts w:ascii="Times New Roman" w:hAnsi="Times New Roman" w:eastAsia="Times New Roman" w:cs="Times New Roman"/>
        <w:sz w:val="20"/>
        <w:szCs w:val="20"/>
      </w:rPr>
    </w:pPr>
    <w:r>
      <w:rPr>
        <w:rFonts w:ascii="Times New Roman" w:hAnsi="Times New Roman" w:eastAsia="Times New Roman" w:cs="Times New Roman"/>
        <w:spacing w:val="-3"/>
        <w:sz w:val="20"/>
        <w:szCs w:val="20"/>
      </w:rPr>
      <w:t>54</w:t>
    </w:r>
  </w:p>
</w:ftr>
</file>

<file path=word/footer7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A43BC01">
    <w:pPr>
      <w:spacing w:line="175" w:lineRule="auto"/>
      <w:jc w:val="right"/>
      <w:rPr>
        <w:rFonts w:ascii="Times New Roman" w:hAnsi="Times New Roman" w:eastAsia="Times New Roman" w:cs="Times New Roman"/>
        <w:sz w:val="21"/>
        <w:szCs w:val="21"/>
      </w:rPr>
    </w:pPr>
    <w:r>
      <w:rPr>
        <w:rFonts w:ascii="Times New Roman" w:hAnsi="Times New Roman" w:eastAsia="Times New Roman" w:cs="Times New Roman"/>
        <w:spacing w:val="-6"/>
        <w:sz w:val="21"/>
        <w:szCs w:val="21"/>
      </w:rPr>
      <w:t>55</w:t>
    </w:r>
  </w:p>
</w:ftr>
</file>

<file path=word/footer7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FE4F877">
    <w:pPr>
      <w:spacing w:line="230" w:lineRule="auto"/>
      <w:rPr>
        <w:rFonts w:ascii="宋体" w:hAnsi="宋体" w:eastAsia="宋体" w:cs="宋体"/>
        <w:sz w:val="21"/>
        <w:szCs w:val="21"/>
      </w:rPr>
    </w:pPr>
    <w:r>
      <w:rPr>
        <w:rFonts w:ascii="宋体" w:hAnsi="宋体" w:eastAsia="宋体" w:cs="宋体"/>
        <w:spacing w:val="-4"/>
        <w:sz w:val="21"/>
        <w:szCs w:val="21"/>
      </w:rPr>
      <w:t>56</w:t>
    </w:r>
  </w:p>
</w:ftr>
</file>

<file path=word/footer7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95B7F4B">
    <w:pPr>
      <w:spacing w:line="230" w:lineRule="auto"/>
      <w:jc w:val="right"/>
      <w:rPr>
        <w:rFonts w:ascii="宋体" w:hAnsi="宋体" w:eastAsia="宋体" w:cs="宋体"/>
        <w:sz w:val="21"/>
        <w:szCs w:val="21"/>
      </w:rPr>
    </w:pPr>
    <w:r>
      <w:rPr>
        <w:rFonts w:ascii="宋体" w:hAnsi="宋体" w:eastAsia="宋体" w:cs="宋体"/>
        <w:spacing w:val="-7"/>
        <w:sz w:val="21"/>
        <w:szCs w:val="21"/>
      </w:rPr>
      <w:t>57</w:t>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EEC7F00">
    <w:pPr>
      <w:spacing w:line="178" w:lineRule="auto"/>
      <w:rPr>
        <w:rFonts w:ascii="Times New Roman" w:hAnsi="Times New Roman" w:eastAsia="Times New Roman" w:cs="Times New Roman"/>
        <w:sz w:val="21"/>
        <w:szCs w:val="21"/>
      </w:rPr>
    </w:pPr>
    <w:r>
      <w:rPr>
        <w:rFonts w:ascii="Times New Roman" w:hAnsi="Times New Roman" w:eastAsia="Times New Roman" w:cs="Times New Roman"/>
        <w:spacing w:val="-7"/>
        <w:sz w:val="21"/>
        <w:szCs w:val="21"/>
      </w:rPr>
      <w:t>10</w:t>
    </w:r>
  </w:p>
</w:ftr>
</file>

<file path=word/footer8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352D892">
    <w:pPr>
      <w:spacing w:line="230" w:lineRule="auto"/>
      <w:rPr>
        <w:rFonts w:ascii="宋体" w:hAnsi="宋体" w:eastAsia="宋体" w:cs="宋体"/>
        <w:sz w:val="21"/>
        <w:szCs w:val="21"/>
      </w:rPr>
    </w:pPr>
    <w:r>
      <w:rPr>
        <w:rFonts w:ascii="宋体" w:hAnsi="宋体" w:eastAsia="宋体" w:cs="宋体"/>
        <w:spacing w:val="-4"/>
        <w:sz w:val="21"/>
        <w:szCs w:val="21"/>
      </w:rPr>
      <w:t>58</w:t>
    </w:r>
  </w:p>
</w:ftr>
</file>

<file path=word/footer8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24A8F1E">
    <w:pPr>
      <w:spacing w:line="231" w:lineRule="auto"/>
      <w:jc w:val="right"/>
      <w:rPr>
        <w:rFonts w:ascii="宋体" w:hAnsi="宋体" w:eastAsia="宋体" w:cs="宋体"/>
        <w:sz w:val="22"/>
        <w:szCs w:val="22"/>
      </w:rPr>
    </w:pPr>
    <w:r>
      <w:rPr>
        <w:rFonts w:ascii="宋体" w:hAnsi="宋体" w:eastAsia="宋体" w:cs="宋体"/>
        <w:spacing w:val="-7"/>
        <w:sz w:val="22"/>
        <w:szCs w:val="22"/>
      </w:rPr>
      <w:t>59</w:t>
    </w:r>
  </w:p>
</w:ftr>
</file>

<file path=word/footer8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0CDD7FD">
    <w:pPr>
      <w:spacing w:line="177" w:lineRule="auto"/>
      <w:rPr>
        <w:rFonts w:ascii="Times New Roman" w:hAnsi="Times New Roman" w:eastAsia="Times New Roman" w:cs="Times New Roman"/>
        <w:sz w:val="20"/>
        <w:szCs w:val="20"/>
      </w:rPr>
    </w:pPr>
    <w:r>
      <w:rPr>
        <w:rFonts w:ascii="Times New Roman" w:hAnsi="Times New Roman" w:eastAsia="Times New Roman" w:cs="Times New Roman"/>
        <w:spacing w:val="-3"/>
        <w:sz w:val="20"/>
        <w:szCs w:val="20"/>
      </w:rPr>
      <w:t>60</w:t>
    </w:r>
  </w:p>
</w:ftr>
</file>

<file path=word/footer8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6980D5E">
    <w:pPr>
      <w:spacing w:line="175" w:lineRule="auto"/>
      <w:jc w:val="right"/>
      <w:rPr>
        <w:rFonts w:ascii="Times New Roman" w:hAnsi="Times New Roman" w:eastAsia="Times New Roman" w:cs="Times New Roman"/>
        <w:sz w:val="17"/>
        <w:szCs w:val="17"/>
      </w:rPr>
    </w:pPr>
    <w:r>
      <w:rPr>
        <w:rFonts w:ascii="Times New Roman" w:hAnsi="Times New Roman" w:eastAsia="Times New Roman" w:cs="Times New Roman"/>
        <w:b/>
        <w:bCs/>
        <w:spacing w:val="-4"/>
        <w:sz w:val="17"/>
        <w:szCs w:val="17"/>
      </w:rPr>
      <w:t>61</w:t>
    </w:r>
  </w:p>
</w:ftr>
</file>

<file path=word/footer8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DAC369F">
    <w:pPr>
      <w:spacing w:line="175" w:lineRule="auto"/>
      <w:rPr>
        <w:rFonts w:ascii="Times New Roman" w:hAnsi="Times New Roman" w:eastAsia="Times New Roman" w:cs="Times New Roman"/>
        <w:sz w:val="17"/>
        <w:szCs w:val="17"/>
      </w:rPr>
    </w:pPr>
    <w:r>
      <w:rPr>
        <w:rFonts w:ascii="Times New Roman" w:hAnsi="Times New Roman" w:eastAsia="Times New Roman" w:cs="Times New Roman"/>
        <w:spacing w:val="-2"/>
        <w:sz w:val="17"/>
        <w:szCs w:val="17"/>
      </w:rPr>
      <w:t>62</w:t>
    </w:r>
  </w:p>
</w:ftr>
</file>

<file path=word/footer8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E70FF85">
    <w:pPr>
      <w:spacing w:line="178" w:lineRule="auto"/>
      <w:jc w:val="right"/>
      <w:rPr>
        <w:rFonts w:ascii="Times New Roman" w:hAnsi="Times New Roman" w:eastAsia="Times New Roman" w:cs="Times New Roman"/>
        <w:sz w:val="21"/>
        <w:szCs w:val="21"/>
      </w:rPr>
    </w:pPr>
    <w:r>
      <w:rPr>
        <w:rFonts w:ascii="Times New Roman" w:hAnsi="Times New Roman" w:eastAsia="Times New Roman" w:cs="Times New Roman"/>
        <w:spacing w:val="-5"/>
        <w:sz w:val="21"/>
        <w:szCs w:val="21"/>
      </w:rPr>
      <w:t>63</w:t>
    </w:r>
  </w:p>
</w:ftr>
</file>

<file path=word/footer8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25293D8">
    <w:pPr>
      <w:spacing w:line="177" w:lineRule="auto"/>
      <w:rPr>
        <w:rFonts w:ascii="Times New Roman" w:hAnsi="Times New Roman" w:eastAsia="Times New Roman" w:cs="Times New Roman"/>
        <w:sz w:val="20"/>
        <w:szCs w:val="20"/>
      </w:rPr>
    </w:pPr>
    <w:r>
      <w:rPr>
        <w:rFonts w:ascii="Times New Roman" w:hAnsi="Times New Roman" w:eastAsia="Times New Roman" w:cs="Times New Roman"/>
        <w:spacing w:val="-3"/>
        <w:sz w:val="20"/>
        <w:szCs w:val="20"/>
      </w:rPr>
      <w:t>64</w:t>
    </w:r>
  </w:p>
</w:ftr>
</file>

<file path=word/footer8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015DED3">
    <w:pPr>
      <w:spacing w:line="178" w:lineRule="auto"/>
      <w:jc w:val="right"/>
      <w:rPr>
        <w:rFonts w:ascii="Times New Roman" w:hAnsi="Times New Roman" w:eastAsia="Times New Roman" w:cs="Times New Roman"/>
        <w:sz w:val="21"/>
        <w:szCs w:val="21"/>
      </w:rPr>
    </w:pPr>
    <w:r>
      <w:rPr>
        <w:rFonts w:ascii="Times New Roman" w:hAnsi="Times New Roman" w:eastAsia="Times New Roman" w:cs="Times New Roman"/>
        <w:spacing w:val="-5"/>
        <w:sz w:val="21"/>
        <w:szCs w:val="21"/>
      </w:rPr>
      <w:t>65</w:t>
    </w:r>
  </w:p>
</w:ftr>
</file>

<file path=word/footer8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07CC856">
    <w:pPr>
      <w:spacing w:line="230" w:lineRule="auto"/>
      <w:rPr>
        <w:rFonts w:ascii="宋体" w:hAnsi="宋体" w:eastAsia="宋体" w:cs="宋体"/>
        <w:sz w:val="20"/>
        <w:szCs w:val="20"/>
      </w:rPr>
    </w:pPr>
    <w:r>
      <w:rPr>
        <w:rFonts w:ascii="宋体" w:hAnsi="宋体" w:eastAsia="宋体" w:cs="宋体"/>
        <w:spacing w:val="-3"/>
        <w:sz w:val="20"/>
        <w:szCs w:val="20"/>
      </w:rPr>
      <w:t>66</w:t>
    </w:r>
  </w:p>
</w:ftr>
</file>

<file path=word/footer8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B0041A3">
    <w:pPr>
      <w:spacing w:line="230" w:lineRule="auto"/>
      <w:jc w:val="right"/>
      <w:rPr>
        <w:rFonts w:ascii="宋体" w:hAnsi="宋体" w:eastAsia="宋体" w:cs="宋体"/>
        <w:sz w:val="21"/>
        <w:szCs w:val="21"/>
      </w:rPr>
    </w:pPr>
    <w:r>
      <w:rPr>
        <w:rFonts w:ascii="宋体" w:hAnsi="宋体" w:eastAsia="宋体" w:cs="宋体"/>
        <w:spacing w:val="-5"/>
        <w:sz w:val="21"/>
        <w:szCs w:val="21"/>
      </w:rPr>
      <w:t>67</w:t>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376C1A9">
    <w:pPr>
      <w:spacing w:line="176" w:lineRule="auto"/>
      <w:jc w:val="right"/>
      <w:rPr>
        <w:rFonts w:ascii="Times New Roman" w:hAnsi="Times New Roman" w:eastAsia="Times New Roman" w:cs="Times New Roman"/>
        <w:sz w:val="17"/>
        <w:szCs w:val="17"/>
      </w:rPr>
    </w:pPr>
    <w:r>
      <w:rPr>
        <w:rFonts w:ascii="Times New Roman" w:hAnsi="Times New Roman" w:eastAsia="Times New Roman" w:cs="Times New Roman"/>
        <w:spacing w:val="-10"/>
        <w:sz w:val="17"/>
        <w:szCs w:val="17"/>
      </w:rPr>
      <w:t>11</w:t>
    </w:r>
  </w:p>
</w:ftr>
</file>

<file path=word/footer9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67CEB8D">
    <w:pPr>
      <w:spacing w:line="230" w:lineRule="auto"/>
      <w:rPr>
        <w:rFonts w:ascii="宋体" w:hAnsi="宋体" w:eastAsia="宋体" w:cs="宋体"/>
        <w:sz w:val="21"/>
        <w:szCs w:val="21"/>
      </w:rPr>
    </w:pPr>
    <w:r>
      <w:rPr>
        <w:rFonts w:ascii="宋体" w:hAnsi="宋体" w:eastAsia="宋体" w:cs="宋体"/>
        <w:spacing w:val="-3"/>
        <w:sz w:val="21"/>
        <w:szCs w:val="21"/>
      </w:rPr>
      <w:t>68</w:t>
    </w:r>
  </w:p>
</w:ftr>
</file>

<file path=word/footer9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B458775">
    <w:pPr>
      <w:spacing w:line="178" w:lineRule="auto"/>
      <w:jc w:val="right"/>
      <w:rPr>
        <w:rFonts w:ascii="Times New Roman" w:hAnsi="Times New Roman" w:eastAsia="Times New Roman" w:cs="Times New Roman"/>
        <w:sz w:val="21"/>
        <w:szCs w:val="21"/>
      </w:rPr>
    </w:pPr>
    <w:r>
      <w:rPr>
        <w:rFonts w:ascii="Times New Roman" w:hAnsi="Times New Roman" w:eastAsia="Times New Roman" w:cs="Times New Roman"/>
        <w:spacing w:val="-5"/>
        <w:sz w:val="21"/>
        <w:szCs w:val="21"/>
      </w:rPr>
      <w:t>69</w:t>
    </w:r>
  </w:p>
</w:ftr>
</file>

<file path=word/footer9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0F71E6F">
    <w:pPr>
      <w:spacing w:line="230" w:lineRule="auto"/>
      <w:rPr>
        <w:rFonts w:ascii="宋体" w:hAnsi="宋体" w:eastAsia="宋体" w:cs="宋体"/>
        <w:sz w:val="21"/>
        <w:szCs w:val="21"/>
      </w:rPr>
    </w:pPr>
    <w:r>
      <w:rPr>
        <w:rFonts w:ascii="宋体" w:hAnsi="宋体" w:eastAsia="宋体" w:cs="宋体"/>
        <w:spacing w:val="-4"/>
        <w:sz w:val="21"/>
        <w:szCs w:val="21"/>
      </w:rPr>
      <w:t>70</w:t>
    </w:r>
  </w:p>
</w:ftr>
</file>

<file path=word/footer9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DEF6113">
    <w:pPr>
      <w:spacing w:line="230" w:lineRule="auto"/>
      <w:jc w:val="right"/>
      <w:rPr>
        <w:rFonts w:ascii="宋体" w:hAnsi="宋体" w:eastAsia="宋体" w:cs="宋体"/>
        <w:sz w:val="21"/>
        <w:szCs w:val="21"/>
      </w:rPr>
    </w:pPr>
    <w:r>
      <w:rPr>
        <w:rFonts w:ascii="宋体" w:hAnsi="宋体" w:eastAsia="宋体" w:cs="宋体"/>
        <w:spacing w:val="-7"/>
        <w:sz w:val="21"/>
        <w:szCs w:val="21"/>
      </w:rPr>
      <w:t>71</w:t>
    </w:r>
  </w:p>
</w:ftr>
</file>

<file path=word/footer9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68C54D8">
    <w:pPr>
      <w:spacing w:line="231" w:lineRule="auto"/>
      <w:rPr>
        <w:rFonts w:ascii="宋体" w:hAnsi="宋体" w:eastAsia="宋体" w:cs="宋体"/>
        <w:sz w:val="22"/>
        <w:szCs w:val="22"/>
      </w:rPr>
    </w:pPr>
    <w:r>
      <w:rPr>
        <w:rFonts w:ascii="宋体" w:hAnsi="宋体" w:eastAsia="宋体" w:cs="宋体"/>
        <w:spacing w:val="-4"/>
        <w:sz w:val="22"/>
        <w:szCs w:val="22"/>
      </w:rPr>
      <w:t>72</w:t>
    </w:r>
  </w:p>
</w:ftr>
</file>

<file path=word/footer9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542065B">
    <w:pPr>
      <w:spacing w:line="231" w:lineRule="auto"/>
      <w:jc w:val="right"/>
      <w:rPr>
        <w:rFonts w:ascii="宋体" w:hAnsi="宋体" w:eastAsia="宋体" w:cs="宋体"/>
        <w:sz w:val="22"/>
        <w:szCs w:val="22"/>
      </w:rPr>
    </w:pPr>
    <w:r>
      <w:rPr>
        <w:rFonts w:ascii="宋体" w:hAnsi="宋体" w:eastAsia="宋体" w:cs="宋体"/>
        <w:spacing w:val="-7"/>
        <w:sz w:val="22"/>
        <w:szCs w:val="22"/>
      </w:rPr>
      <w:t>73</w:t>
    </w:r>
  </w:p>
</w:ftr>
</file>

<file path=word/footer9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54EE980">
    <w:pPr>
      <w:spacing w:line="177" w:lineRule="auto"/>
      <w:rPr>
        <w:rFonts w:ascii="Times New Roman" w:hAnsi="Times New Roman" w:eastAsia="Times New Roman" w:cs="Times New Roman"/>
        <w:sz w:val="19"/>
        <w:szCs w:val="19"/>
      </w:rPr>
    </w:pPr>
    <w:r>
      <w:rPr>
        <w:rFonts w:ascii="Times New Roman" w:hAnsi="Times New Roman" w:eastAsia="Times New Roman" w:cs="Times New Roman"/>
        <w:spacing w:val="-2"/>
        <w:sz w:val="19"/>
        <w:szCs w:val="19"/>
      </w:rPr>
      <w:t>74</w:t>
    </w:r>
  </w:p>
</w:ftr>
</file>

<file path=word/footer9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8847282">
    <w:pPr>
      <w:spacing w:line="230" w:lineRule="auto"/>
      <w:jc w:val="right"/>
      <w:rPr>
        <w:rFonts w:ascii="宋体" w:hAnsi="宋体" w:eastAsia="宋体" w:cs="宋体"/>
        <w:sz w:val="21"/>
        <w:szCs w:val="21"/>
      </w:rPr>
    </w:pPr>
    <w:r>
      <w:rPr>
        <w:rFonts w:ascii="宋体" w:hAnsi="宋体" w:eastAsia="宋体" w:cs="宋体"/>
        <w:spacing w:val="-7"/>
        <w:sz w:val="21"/>
        <w:szCs w:val="21"/>
      </w:rPr>
      <w:t>75</w:t>
    </w:r>
  </w:p>
</w:ftr>
</file>

<file path=word/footer9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39D6DA2">
    <w:pPr>
      <w:spacing w:line="230" w:lineRule="auto"/>
      <w:rPr>
        <w:rFonts w:ascii="宋体" w:hAnsi="宋体" w:eastAsia="宋体" w:cs="宋体"/>
        <w:sz w:val="21"/>
        <w:szCs w:val="21"/>
      </w:rPr>
    </w:pPr>
    <w:r>
      <w:rPr>
        <w:rFonts w:ascii="宋体" w:hAnsi="宋体" w:eastAsia="宋体" w:cs="宋体"/>
        <w:spacing w:val="-4"/>
        <w:sz w:val="21"/>
        <w:szCs w:val="21"/>
      </w:rPr>
      <w:t>76</w:t>
    </w:r>
  </w:p>
</w:ftr>
</file>

<file path=word/footer9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C8A3D6B">
    <w:pPr>
      <w:spacing w:line="230" w:lineRule="auto"/>
      <w:jc w:val="right"/>
      <w:rPr>
        <w:rFonts w:ascii="宋体" w:hAnsi="宋体" w:eastAsia="宋体" w:cs="宋体"/>
        <w:sz w:val="21"/>
        <w:szCs w:val="21"/>
      </w:rPr>
    </w:pPr>
    <w:r>
      <w:rPr>
        <w:rFonts w:ascii="宋体" w:hAnsi="宋体" w:eastAsia="宋体" w:cs="宋体"/>
        <w:spacing w:val="-7"/>
        <w:sz w:val="21"/>
        <w:szCs w:val="21"/>
      </w:rPr>
      <w:t>77</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40" w:lineRule="auto"/>
      </w:pPr>
      <w:r>
        <w:separator/>
      </w:r>
    </w:p>
  </w:footnote>
  <w:footnote w:type="continuationSeparator" w:id="1">
    <w:p>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7649E55">
    <w:pPr>
      <w:spacing w:line="14" w:lineRule="auto"/>
      <w:rPr>
        <w:rFonts w:ascii="Arial"/>
        <w:sz w:val="2"/>
      </w:rP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9E8621A">
    <w:pPr>
      <w:spacing w:line="14" w:lineRule="auto"/>
      <w:rPr>
        <w:rFonts w:ascii="Arial"/>
        <w:sz w:val="2"/>
      </w:rPr>
    </w:pPr>
    <w:r>
      <w:pict>
        <v:shape id="WordPictureWatermark168" o:spid="_x0000_s2052" o:spt="75" type="#_x0000_t75" style="position:absolute;left:0pt;margin-left:85.5pt;margin-top:75pt;height:101pt;width:366pt;mso-position-horizontal-relative:page;mso-position-vertical-relative:page;z-index:-251654144;mso-width-relative:page;mso-height-relative:page;" filled="f" stroked="f" coordsize="21600,21600" o:allowincell="f">
          <v:path/>
          <v:fill on="f" focussize="0,0"/>
          <v:stroke on="f"/>
          <v:imagedata r:id="rId1" o:title=""/>
          <o:lock v:ext="edit" aspectratio="t"/>
        </v:shape>
      </w:pic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C0F1933">
    <w:pPr>
      <w:spacing w:line="14" w:lineRule="auto"/>
      <w:rPr>
        <w:rFonts w:ascii="Arial"/>
        <w:sz w:val="2"/>
      </w:rPr>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AE428BB">
    <w:pPr>
      <w:spacing w:line="14" w:lineRule="auto"/>
      <w:rPr>
        <w:rFonts w:ascii="Arial"/>
        <w:sz w:val="2"/>
      </w:rPr>
    </w:pPr>
    <w:r>
      <w:pict>
        <v:shape id="WordPictureWatermark192" o:spid="_x0000_s2053" o:spt="75" type="#_x0000_t75" style="position:absolute;left:0pt;margin-left:108.95pt;margin-top:303.95pt;height:254.55pt;width:363.05pt;mso-position-horizontal-relative:page;mso-position-vertical-relative:page;z-index:-251653120;mso-width-relative:page;mso-height-relative:page;" filled="f" stroked="f" coordsize="21600,21600" o:allowincell="f">
          <v:path/>
          <v:fill on="f" focussize="0,0"/>
          <v:stroke on="f"/>
          <v:imagedata r:id="rId1" o:title=""/>
          <o:lock v:ext="edit" aspectratio="t"/>
        </v:shape>
      </w:pic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1152CB3">
    <w:pPr>
      <w:spacing w:line="14" w:lineRule="auto"/>
      <w:rPr>
        <w:rFonts w:ascii="Arial"/>
        <w:sz w:val="2"/>
      </w:rPr>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F60CBC5">
    <w:pPr>
      <w:spacing w:line="14" w:lineRule="auto"/>
      <w:rPr>
        <w:rFonts w:ascii="Arial"/>
        <w:sz w:val="2"/>
      </w:rPr>
    </w:pPr>
    <w:r>
      <w:pict>
        <v:shape id="WordPictureWatermark264" o:spid="_x0000_s2054" o:spt="75" type="#_x0000_t75" style="position:absolute;left:0pt;margin-left:178pt;margin-top:228.95pt;height:127.05pt;width:236.55pt;mso-position-horizontal-relative:page;mso-position-vertical-relative:page;z-index:-251652096;mso-width-relative:page;mso-height-relative:page;" filled="f" stroked="f" coordsize="21600,21600" o:allowincell="f">
          <v:path/>
          <v:fill on="f" focussize="0,0"/>
          <v:stroke on="f"/>
          <v:imagedata r:id="rId1" o:title=""/>
          <o:lock v:ext="edit" aspectratio="t"/>
        </v:shape>
      </w:pic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DBB808F">
    <w:pPr>
      <w:spacing w:line="14" w:lineRule="auto"/>
      <w:rPr>
        <w:rFonts w:ascii="Arial"/>
        <w:sz w:val="2"/>
      </w:rPr>
    </w:pP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EA7E3AF">
    <w:pPr>
      <w:spacing w:line="14" w:lineRule="auto"/>
      <w:rPr>
        <w:rFonts w:ascii="Arial"/>
        <w:sz w:val="2"/>
      </w:rPr>
    </w:pPr>
    <w:r>
      <w:pict>
        <v:shape id="WordPictureWatermark362" o:spid="_x0000_s2055" o:spt="75" type="#_x0000_t75" style="position:absolute;left:0pt;margin-left:79.45pt;margin-top:502pt;height:31.5pt;width:432.5pt;mso-position-horizontal-relative:page;mso-position-vertical-relative:page;z-index:-251651072;mso-width-relative:page;mso-height-relative:page;" filled="f" stroked="f" coordsize="21600,21600" o:allowincell="f">
          <v:path/>
          <v:fill on="f" focussize="0,0"/>
          <v:stroke on="f"/>
          <v:imagedata r:id="rId1" o:title=""/>
          <o:lock v:ext="edit" aspectratio="t"/>
        </v:shape>
      </w:pic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603504C">
    <w:pPr>
      <w:spacing w:line="14" w:lineRule="auto"/>
      <w:rPr>
        <w:rFonts w:ascii="Arial"/>
        <w:sz w:val="2"/>
      </w:rPr>
    </w:pP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C5214FB">
    <w:pPr>
      <w:spacing w:line="14" w:lineRule="auto"/>
      <w:rPr>
        <w:rFonts w:ascii="Arial"/>
        <w:sz w:val="2"/>
      </w:rPr>
    </w:pPr>
    <w:r>
      <w:pict>
        <v:shape id="WordPictureWatermark364" o:spid="_x0000_s2056" o:spt="75" type="#_x0000_t75" style="position:absolute;left:0pt;margin-left:351pt;margin-top:86.45pt;height:145.05pt;width:166pt;mso-position-horizontal-relative:page;mso-position-vertical-relative:page;z-index:-251650048;mso-width-relative:page;mso-height-relative:page;" filled="f" stroked="f" coordsize="21600,21600" o:allowincell="f">
          <v:path/>
          <v:fill on="f" focussize="0,0"/>
          <v:stroke on="f"/>
          <v:imagedata r:id="rId1" o:title=""/>
          <o:lock v:ext="edit" aspectratio="t"/>
        </v:shape>
      </w:pict>
    </w: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A592CA5">
    <w:pPr>
      <w:spacing w:line="14" w:lineRule="auto"/>
      <w:rPr>
        <w:rFonts w:ascii="Arial"/>
        <w:sz w:val="2"/>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85CDD94">
    <w:pPr>
      <w:spacing w:line="14" w:lineRule="auto"/>
      <w:rPr>
        <w:rFonts w:ascii="Arial"/>
        <w:sz w:val="2"/>
      </w:rPr>
    </w:pP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8ECFB25">
    <w:pPr>
      <w:spacing w:line="14" w:lineRule="auto"/>
      <w:rPr>
        <w:rFonts w:ascii="Arial"/>
        <w:sz w:val="2"/>
      </w:rPr>
    </w:pPr>
    <w:r>
      <w:pict>
        <v:shape id="WordPictureWatermark408" o:spid="_x0000_s2057" o:spt="75" type="#_x0000_t75" style="position:absolute;left:0pt;margin-left:127pt;margin-top:639.45pt;height:108.05pt;width:340pt;mso-position-horizontal-relative:page;mso-position-vertical-relative:page;z-index:-251649024;mso-width-relative:page;mso-height-relative:page;" filled="f" stroked="f" coordsize="21600,21600" o:allowincell="f">
          <v:path/>
          <v:fill on="f" focussize="0,0"/>
          <v:stroke on="f"/>
          <v:imagedata r:id="rId1" o:title=""/>
          <o:lock v:ext="edit" aspectratio="t"/>
        </v:shape>
      </w:pict>
    </w: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F0FC5B1">
    <w:pPr>
      <w:spacing w:line="14" w:lineRule="auto"/>
      <w:rPr>
        <w:rFonts w:ascii="Arial"/>
        <w:sz w:val="2"/>
      </w:rPr>
    </w:pP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70E6B15">
    <w:pPr>
      <w:spacing w:line="14" w:lineRule="auto"/>
      <w:rPr>
        <w:rFonts w:ascii="Arial"/>
        <w:sz w:val="2"/>
      </w:rPr>
    </w:pPr>
    <w:r>
      <w:pict>
        <v:shape id="WordPictureWatermark660" o:spid="_x0000_s2058" o:spt="75" type="#_x0000_t75" style="position:absolute;left:0pt;margin-left:107.45pt;margin-top:154pt;height:200pt;width:377.55pt;mso-position-horizontal-relative:page;mso-position-vertical-relative:page;z-index:-251648000;mso-width-relative:page;mso-height-relative:page;" filled="f" stroked="f" coordsize="21600,21600" o:allowincell="f">
          <v:path/>
          <v:fill on="f" focussize="0,0"/>
          <v:stroke on="f"/>
          <v:imagedata r:id="rId1" o:title=""/>
          <o:lock v:ext="edit" aspectratio="t"/>
        </v:shape>
      </w:pict>
    </w:r>
  </w:p>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E128D61">
    <w:pPr>
      <w:spacing w:line="14" w:lineRule="auto"/>
      <w:rPr>
        <w:rFonts w:ascii="Arial"/>
        <w:sz w:val="2"/>
      </w:rPr>
    </w:pPr>
  </w:p>
</w:hdr>
</file>

<file path=word/header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83C4049">
    <w:pPr>
      <w:spacing w:line="14" w:lineRule="auto"/>
      <w:rPr>
        <w:rFonts w:ascii="Arial"/>
        <w:sz w:val="2"/>
      </w:rPr>
    </w:pPr>
    <w:r>
      <w:pict>
        <v:shape id="WordPictureWatermark840" o:spid="_x0000_s2059" o:spt="75" type="#_x0000_t75" style="position:absolute;left:0pt;margin-left:74pt;margin-top:717.45pt;height:33.05pt;width:444.05pt;mso-position-horizontal-relative:page;mso-position-vertical-relative:page;z-index:-251646976;mso-width-relative:page;mso-height-relative:page;" filled="f" stroked="f" coordsize="21600,21600" o:allowincell="f">
          <v:path/>
          <v:fill on="f" focussize="0,0"/>
          <v:stroke on="f"/>
          <v:imagedata r:id="rId1" o:title=""/>
          <o:lock v:ext="edit" aspectratio="t"/>
        </v:shape>
      </w:pict>
    </w:r>
  </w:p>
</w:hdr>
</file>

<file path=word/header2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39DE8D9">
    <w:pPr>
      <w:spacing w:line="14" w:lineRule="auto"/>
      <w:rPr>
        <w:rFonts w:ascii="Arial"/>
        <w:sz w:val="2"/>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0F6F865">
    <w:pPr>
      <w:pStyle w:val="2"/>
      <w:spacing w:before="119" w:line="222" w:lineRule="auto"/>
      <w:ind w:left="3666"/>
      <w:rPr>
        <w:sz w:val="46"/>
        <w:szCs w:val="46"/>
      </w:rPr>
    </w:pPr>
    <w:r>
      <w:rPr>
        <w:b/>
        <w:bCs/>
        <w:spacing w:val="-3"/>
        <w:sz w:val="46"/>
        <w:szCs w:val="46"/>
      </w:rPr>
      <w:t>主审简介</w:t>
    </w:r>
  </w:p>
  <w:p w14:paraId="3F5E439B">
    <w:pPr>
      <w:spacing w:before="127" w:line="440" w:lineRule="exact"/>
      <w:ind w:firstLine="9090"/>
    </w:pPr>
    <w:r>
      <w:rPr>
        <w:position w:val="-8"/>
      </w:rPr>
      <w:drawing>
        <wp:inline distT="0" distB="0" distL="0" distR="0">
          <wp:extent cx="335915" cy="278765"/>
          <wp:effectExtent l="0" t="0" r="0" b="0"/>
          <wp:docPr id="38" name="IM 38"/>
          <wp:cNvGraphicFramePr/>
          <a:graphic xmlns:a="http://schemas.openxmlformats.org/drawingml/2006/main">
            <a:graphicData uri="http://schemas.openxmlformats.org/drawingml/2006/picture">
              <pic:pic xmlns:pic="http://schemas.openxmlformats.org/drawingml/2006/picture">
                <pic:nvPicPr>
                  <pic:cNvPr id="38" name="IM 38"/>
                  <pic:cNvPicPr/>
                </pic:nvPicPr>
                <pic:blipFill>
                  <a:blip r:embed="rId1"/>
                  <a:stretch>
                    <a:fillRect/>
                  </a:stretch>
                </pic:blipFill>
                <pic:spPr>
                  <a:xfrm>
                    <a:off x="0" y="0"/>
                    <a:ext cx="336490" cy="279358"/>
                  </a:xfrm>
                  <a:prstGeom prst="rect">
                    <a:avLst/>
                  </a:prstGeom>
                </pic:spPr>
              </pic:pic>
            </a:graphicData>
          </a:graphic>
        </wp:inline>
      </w:drawing>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863E418">
    <w:pPr>
      <w:spacing w:line="14" w:lineRule="auto"/>
      <w:rPr>
        <w:rFonts w:ascii="Arial"/>
        <w:sz w:val="2"/>
      </w:rP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73F15C7">
    <w:pPr>
      <w:spacing w:line="14" w:lineRule="auto"/>
      <w:rPr>
        <w:rFonts w:ascii="Arial"/>
        <w:sz w:val="2"/>
      </w:rPr>
    </w:pPr>
    <w:r>
      <w:pict>
        <v:shape id="WordPictureWatermark22" o:spid="_x0000_s2049" o:spt="75" type="#_x0000_t75" style="position:absolute;left:0pt;margin-left:88.5pt;margin-top:600.45pt;height:171.5pt;width:417.5pt;mso-position-horizontal-relative:page;mso-position-vertical-relative:page;z-index:-251657216;mso-width-relative:page;mso-height-relative:page;" filled="f" stroked="f" coordsize="21600,21600" o:allowincell="f">
          <v:path/>
          <v:fill on="f" focussize="0,0"/>
          <v:stroke on="f"/>
          <v:imagedata r:id="rId1" o:title=""/>
          <o:lock v:ext="edit" aspectratio="t"/>
        </v:shape>
      </w:pic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E00923A">
    <w:pPr>
      <w:spacing w:line="14" w:lineRule="auto"/>
      <w:rPr>
        <w:rFonts w:ascii="Arial"/>
        <w:sz w:val="2"/>
      </w:rP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CF7BDEB">
    <w:pPr>
      <w:spacing w:line="14" w:lineRule="auto"/>
      <w:rPr>
        <w:rFonts w:ascii="Arial"/>
        <w:sz w:val="2"/>
      </w:rPr>
    </w:pPr>
    <w:r>
      <w:pict>
        <v:shape id="WordPictureWatermark164" o:spid="_x0000_s2050" o:spt="75" type="#_x0000_t75" style="position:absolute;left:0pt;margin-left:179.5pt;margin-top:431.95pt;height:107.55pt;width:238pt;mso-position-horizontal-relative:page;mso-position-vertical-relative:page;z-index:-251656192;mso-width-relative:page;mso-height-relative:page;" filled="f" stroked="f" coordsize="21600,21600" o:allowincell="f">
          <v:path/>
          <v:fill on="f" focussize="0,0"/>
          <v:stroke on="f"/>
          <v:imagedata r:id="rId1" o:title=""/>
          <o:lock v:ext="edit" aspectratio="t"/>
        </v:shape>
      </w:pic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8F30AE4">
    <w:pPr>
      <w:spacing w:line="14" w:lineRule="auto"/>
      <w:rPr>
        <w:rFonts w:ascii="Arial"/>
        <w:sz w:val="2"/>
      </w:rPr>
    </w:pPr>
    <w:r>
      <w:pict>
        <v:shape id="WordPictureWatermark166" o:spid="_x0000_s2051" o:spt="75" type="#_x0000_t75" style="position:absolute;left:0pt;margin-left:170.45pt;margin-top:315.5pt;height:107.5pt;width:254.05pt;mso-position-horizontal-relative:page;mso-position-vertical-relative:page;z-index:-251655168;mso-width-relative:page;mso-height-relative:page;" filled="f" stroked="f" coordsize="21600,21600" o:allowincell="f">
          <v:path/>
          <v:fill on="f" focussize="0,0"/>
          <v:stroke on="f"/>
          <v:imagedata r:id="rId1" o:title=""/>
          <o:lock v:ext="edit" aspectratio="t"/>
        </v:shape>
      </w:pic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D8A1CFF">
    <w:pPr>
      <w:spacing w:line="14" w:lineRule="auto"/>
      <w:rPr>
        <w:rFonts w:ascii="Arial"/>
        <w:sz w:val="2"/>
      </w:rP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42"/>
  <w:displayBackgroundShape w:val="1"/>
  <w:documentProtection w:enforcement="0"/>
  <w:characterSpacingControl w:val="doNotCompress"/>
  <w:hdrShapeDefaults>
    <o:shapelayout v:ext="edit">
      <o:idmap v:ext="edit" data="2"/>
    </o:shapelayout>
  </w:hdrShapeDefaults>
  <w:footnotePr>
    <w:footnote w:id="0"/>
    <w:footnote w:id="1"/>
  </w:footnotePr>
  <w:endnotePr>
    <w:endnote w:id="0"/>
    <w:endnote w:id="1"/>
  </w:endnotePr>
  <w:compat>
    <w:spaceForUL/>
    <w:ulTrailSpace/>
    <w:useFELayout/>
    <w:compatSetting w:name="compatibilityMode" w:uri="http://schemas.microsoft.com/office/word" w:val="14"/>
  </w:compat>
  <w:rsids>
    <w:rsidRoot w:val="00000000"/>
    <w:rsid w:val="FDF6EE9A"/>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Arial" w:hAnsi="Arial" w:eastAsia="Arial" w:cs="Arial"/>
      </w:rPr>
    </w:rPrDefault>
    <w:pPrDefault/>
  </w:docDefaults>
  <w:latentStyles w:count="260" w:defQFormat="0" w:defUnhideWhenUsed="1" w:defSemiHidden="1" w:defUIPriority="99" w:defLockedState="0">
    <w:lsdException w:qFormat="1" w:unhideWhenUsed="0" w:uiPriority="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qFormat="1" w:unhideWhenUsed="0" w:uiPriority="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semiHidden/>
    <w:qFormat/>
    <w:uiPriority w:val="0"/>
    <w:pPr>
      <w:kinsoku w:val="0"/>
      <w:autoSpaceDE w:val="0"/>
      <w:autoSpaceDN w:val="0"/>
      <w:adjustRightInd w:val="0"/>
      <w:snapToGrid w:val="0"/>
      <w:spacing w:line="240" w:lineRule="auto"/>
      <w:jc w:val="left"/>
      <w:textAlignment w:val="baseline"/>
    </w:pPr>
    <w:rPr>
      <w:rFonts w:ascii="Arial" w:hAnsi="Arial" w:eastAsia="Arial" w:cs="Arial"/>
      <w:snapToGrid w:val="0"/>
      <w:color w:val="000000"/>
      <w:kern w:val="0"/>
      <w:sz w:val="21"/>
      <w:szCs w:val="21"/>
      <w:lang w:val="en-US" w:eastAsia="en-US" w:bidi="ar-SA"/>
    </w:rPr>
  </w:style>
  <w:style w:type="character" w:default="1" w:styleId="4">
    <w:name w:val="Default Paragraph Font"/>
    <w:semiHidden/>
    <w:uiPriority w:val="0"/>
  </w:style>
  <w:style w:type="table" w:default="1" w:styleId="3">
    <w:name w:val="Normal Table"/>
    <w:semiHidden/>
    <w:uiPriority w:val="0"/>
    <w:tblPr>
      <w:tblCellMar>
        <w:top w:w="0" w:type="dxa"/>
        <w:left w:w="108" w:type="dxa"/>
        <w:bottom w:w="0" w:type="dxa"/>
        <w:right w:w="108" w:type="dxa"/>
      </w:tblCellMar>
    </w:tblPr>
  </w:style>
  <w:style w:type="paragraph" w:styleId="2">
    <w:name w:val="Body Text"/>
    <w:basedOn w:val="1"/>
    <w:semiHidden/>
    <w:qFormat/>
    <w:uiPriority w:val="0"/>
    <w:rPr>
      <w:rFonts w:ascii="黑体" w:hAnsi="黑体" w:eastAsia="黑体" w:cs="黑体"/>
      <w:sz w:val="30"/>
      <w:szCs w:val="30"/>
      <w:lang w:val="en-US" w:eastAsia="en-US" w:bidi="ar-SA"/>
    </w:rPr>
  </w:style>
  <w:style w:type="table" w:customStyle="1" w:styleId="5">
    <w:name w:val="Table Normal"/>
    <w:semiHidden/>
    <w:unhideWhenUsed/>
    <w:qFormat/>
    <w:uiPriority w:val="0"/>
    <w:tblPr>
      <w:tblCellMar>
        <w:top w:w="0" w:type="dxa"/>
        <w:left w:w="0" w:type="dxa"/>
        <w:bottom w:w="0" w:type="dxa"/>
        <w:right w:w="0" w:type="dxa"/>
      </w:tblCellMar>
    </w:tblPr>
  </w:style>
  <w:style w:type="paragraph" w:customStyle="1" w:styleId="6">
    <w:name w:val="Table Text"/>
    <w:basedOn w:val="1"/>
    <w:semiHidden/>
    <w:qFormat/>
    <w:uiPriority w:val="0"/>
    <w:rPr>
      <w:rFonts w:ascii="宋体" w:hAnsi="宋体" w:eastAsia="宋体" w:cs="宋体"/>
      <w:sz w:val="20"/>
      <w:szCs w:val="20"/>
      <w:lang w:val="en-US" w:eastAsia="en-US" w:bidi="ar-SA"/>
    </w:rPr>
  </w:style>
</w:styles>
</file>

<file path=word/_rels/document.xml.rels><?xml version="1.0" encoding="UTF-8" standalone="yes"?>
<Relationships xmlns="http://schemas.openxmlformats.org/package/2006/relationships"><Relationship Id="rId99" Type="http://schemas.openxmlformats.org/officeDocument/2006/relationships/footer" Target="footer89.xml"/><Relationship Id="rId98" Type="http://schemas.openxmlformats.org/officeDocument/2006/relationships/footer" Target="footer88.xml"/><Relationship Id="rId97" Type="http://schemas.openxmlformats.org/officeDocument/2006/relationships/footer" Target="footer87.xml"/><Relationship Id="rId96" Type="http://schemas.openxmlformats.org/officeDocument/2006/relationships/footer" Target="footer86.xml"/><Relationship Id="rId95" Type="http://schemas.openxmlformats.org/officeDocument/2006/relationships/footer" Target="footer85.xml"/><Relationship Id="rId94" Type="http://schemas.openxmlformats.org/officeDocument/2006/relationships/footer" Target="footer84.xml"/><Relationship Id="rId93" Type="http://schemas.openxmlformats.org/officeDocument/2006/relationships/footer" Target="footer83.xml"/><Relationship Id="rId92" Type="http://schemas.openxmlformats.org/officeDocument/2006/relationships/footer" Target="footer82.xml"/><Relationship Id="rId91" Type="http://schemas.openxmlformats.org/officeDocument/2006/relationships/footer" Target="footer81.xml"/><Relationship Id="rId90" Type="http://schemas.openxmlformats.org/officeDocument/2006/relationships/footer" Target="footer80.xml"/><Relationship Id="rId9" Type="http://schemas.openxmlformats.org/officeDocument/2006/relationships/footer" Target="footer3.xml"/><Relationship Id="rId89" Type="http://schemas.openxmlformats.org/officeDocument/2006/relationships/footer" Target="footer79.xml"/><Relationship Id="rId88" Type="http://schemas.openxmlformats.org/officeDocument/2006/relationships/footer" Target="footer78.xml"/><Relationship Id="rId87" Type="http://schemas.openxmlformats.org/officeDocument/2006/relationships/footer" Target="footer77.xml"/><Relationship Id="rId86" Type="http://schemas.openxmlformats.org/officeDocument/2006/relationships/footer" Target="footer76.xml"/><Relationship Id="rId85" Type="http://schemas.openxmlformats.org/officeDocument/2006/relationships/footer" Target="footer75.xml"/><Relationship Id="rId84" Type="http://schemas.openxmlformats.org/officeDocument/2006/relationships/footer" Target="footer74.xml"/><Relationship Id="rId83" Type="http://schemas.openxmlformats.org/officeDocument/2006/relationships/footer" Target="footer73.xml"/><Relationship Id="rId82" Type="http://schemas.openxmlformats.org/officeDocument/2006/relationships/footer" Target="footer72.xml"/><Relationship Id="rId81" Type="http://schemas.openxmlformats.org/officeDocument/2006/relationships/footer" Target="footer71.xml"/><Relationship Id="rId80" Type="http://schemas.openxmlformats.org/officeDocument/2006/relationships/footer" Target="footer70.xml"/><Relationship Id="rId8" Type="http://schemas.openxmlformats.org/officeDocument/2006/relationships/footer" Target="footer2.xml"/><Relationship Id="rId79" Type="http://schemas.openxmlformats.org/officeDocument/2006/relationships/footer" Target="footer69.xml"/><Relationship Id="rId78" Type="http://schemas.openxmlformats.org/officeDocument/2006/relationships/footer" Target="footer68.xml"/><Relationship Id="rId77" Type="http://schemas.openxmlformats.org/officeDocument/2006/relationships/footer" Target="footer67.xml"/><Relationship Id="rId76" Type="http://schemas.openxmlformats.org/officeDocument/2006/relationships/footer" Target="footer66.xml"/><Relationship Id="rId75" Type="http://schemas.openxmlformats.org/officeDocument/2006/relationships/footer" Target="footer65.xml"/><Relationship Id="rId74" Type="http://schemas.openxmlformats.org/officeDocument/2006/relationships/footer" Target="footer64.xml"/><Relationship Id="rId73" Type="http://schemas.openxmlformats.org/officeDocument/2006/relationships/footer" Target="footer63.xml"/><Relationship Id="rId72" Type="http://schemas.openxmlformats.org/officeDocument/2006/relationships/footer" Target="footer62.xml"/><Relationship Id="rId714" Type="http://schemas.openxmlformats.org/officeDocument/2006/relationships/fontTable" Target="fontTable.xml"/><Relationship Id="rId713" Type="http://schemas.openxmlformats.org/officeDocument/2006/relationships/customXml" Target="../customXml/item1.xml"/><Relationship Id="rId712" Type="http://schemas.openxmlformats.org/officeDocument/2006/relationships/image" Target="media/image328.jpeg"/><Relationship Id="rId711" Type="http://schemas.openxmlformats.org/officeDocument/2006/relationships/image" Target="media/image327.jpeg"/><Relationship Id="rId710" Type="http://schemas.openxmlformats.org/officeDocument/2006/relationships/image" Target="media/image326.jpeg"/><Relationship Id="rId71" Type="http://schemas.openxmlformats.org/officeDocument/2006/relationships/footer" Target="footer61.xml"/><Relationship Id="rId709" Type="http://schemas.openxmlformats.org/officeDocument/2006/relationships/image" Target="media/image325.jpeg"/><Relationship Id="rId708" Type="http://schemas.openxmlformats.org/officeDocument/2006/relationships/image" Target="media/image324.jpeg"/><Relationship Id="rId707" Type="http://schemas.openxmlformats.org/officeDocument/2006/relationships/image" Target="media/image323.jpeg"/><Relationship Id="rId706" Type="http://schemas.openxmlformats.org/officeDocument/2006/relationships/image" Target="media/image322.jpeg"/><Relationship Id="rId705" Type="http://schemas.openxmlformats.org/officeDocument/2006/relationships/image" Target="media/image321.png"/><Relationship Id="rId704" Type="http://schemas.openxmlformats.org/officeDocument/2006/relationships/image" Target="media/image320.png"/><Relationship Id="rId703" Type="http://schemas.openxmlformats.org/officeDocument/2006/relationships/image" Target="media/image319.jpeg"/><Relationship Id="rId702" Type="http://schemas.openxmlformats.org/officeDocument/2006/relationships/image" Target="media/image318.jpeg"/><Relationship Id="rId701" Type="http://schemas.openxmlformats.org/officeDocument/2006/relationships/image" Target="media/image317.jpeg"/><Relationship Id="rId700" Type="http://schemas.openxmlformats.org/officeDocument/2006/relationships/image" Target="media/image316.jpeg"/><Relationship Id="rId70" Type="http://schemas.openxmlformats.org/officeDocument/2006/relationships/footer" Target="footer60.xml"/><Relationship Id="rId7" Type="http://schemas.openxmlformats.org/officeDocument/2006/relationships/footer" Target="footer1.xml"/><Relationship Id="rId699" Type="http://schemas.openxmlformats.org/officeDocument/2006/relationships/image" Target="media/image315.png"/><Relationship Id="rId698" Type="http://schemas.openxmlformats.org/officeDocument/2006/relationships/image" Target="media/image314.png"/><Relationship Id="rId697" Type="http://schemas.openxmlformats.org/officeDocument/2006/relationships/image" Target="media/image313.png"/><Relationship Id="rId696" Type="http://schemas.openxmlformats.org/officeDocument/2006/relationships/image" Target="media/image312.jpeg"/><Relationship Id="rId695" Type="http://schemas.openxmlformats.org/officeDocument/2006/relationships/image" Target="media/image311.jpeg"/><Relationship Id="rId694" Type="http://schemas.openxmlformats.org/officeDocument/2006/relationships/image" Target="media/image310.jpeg"/><Relationship Id="rId693" Type="http://schemas.openxmlformats.org/officeDocument/2006/relationships/image" Target="media/image309.jpeg"/><Relationship Id="rId692" Type="http://schemas.openxmlformats.org/officeDocument/2006/relationships/image" Target="media/image308.jpeg"/><Relationship Id="rId691" Type="http://schemas.openxmlformats.org/officeDocument/2006/relationships/image" Target="media/image307.jpeg"/><Relationship Id="rId690" Type="http://schemas.openxmlformats.org/officeDocument/2006/relationships/image" Target="media/image306.jpeg"/><Relationship Id="rId69" Type="http://schemas.openxmlformats.org/officeDocument/2006/relationships/footer" Target="footer59.xml"/><Relationship Id="rId689" Type="http://schemas.openxmlformats.org/officeDocument/2006/relationships/image" Target="media/image305.jpeg"/><Relationship Id="rId688" Type="http://schemas.openxmlformats.org/officeDocument/2006/relationships/image" Target="media/image304.png"/><Relationship Id="rId687" Type="http://schemas.openxmlformats.org/officeDocument/2006/relationships/image" Target="media/image303.png"/><Relationship Id="rId686" Type="http://schemas.openxmlformats.org/officeDocument/2006/relationships/image" Target="media/image302.png"/><Relationship Id="rId685" Type="http://schemas.openxmlformats.org/officeDocument/2006/relationships/image" Target="media/image301.png"/><Relationship Id="rId684" Type="http://schemas.openxmlformats.org/officeDocument/2006/relationships/image" Target="media/image300.png"/><Relationship Id="rId683" Type="http://schemas.openxmlformats.org/officeDocument/2006/relationships/image" Target="media/image299.jpeg"/><Relationship Id="rId682" Type="http://schemas.openxmlformats.org/officeDocument/2006/relationships/image" Target="media/image298.jpeg"/><Relationship Id="rId681" Type="http://schemas.openxmlformats.org/officeDocument/2006/relationships/image" Target="media/image297.jpeg"/><Relationship Id="rId680" Type="http://schemas.openxmlformats.org/officeDocument/2006/relationships/image" Target="media/image296.jpeg"/><Relationship Id="rId68" Type="http://schemas.openxmlformats.org/officeDocument/2006/relationships/footer" Target="footer58.xml"/><Relationship Id="rId679" Type="http://schemas.openxmlformats.org/officeDocument/2006/relationships/image" Target="media/image295.jpeg"/><Relationship Id="rId678" Type="http://schemas.openxmlformats.org/officeDocument/2006/relationships/image" Target="media/image294.jpeg"/><Relationship Id="rId677" Type="http://schemas.openxmlformats.org/officeDocument/2006/relationships/image" Target="media/image293.jpeg"/><Relationship Id="rId676" Type="http://schemas.openxmlformats.org/officeDocument/2006/relationships/image" Target="media/image292.jpeg"/><Relationship Id="rId675" Type="http://schemas.openxmlformats.org/officeDocument/2006/relationships/image" Target="media/image291.png"/><Relationship Id="rId674" Type="http://schemas.openxmlformats.org/officeDocument/2006/relationships/image" Target="media/image290.png"/><Relationship Id="rId673" Type="http://schemas.openxmlformats.org/officeDocument/2006/relationships/image" Target="media/image289.jpeg"/><Relationship Id="rId672" Type="http://schemas.openxmlformats.org/officeDocument/2006/relationships/image" Target="media/image288.jpeg"/><Relationship Id="rId671" Type="http://schemas.openxmlformats.org/officeDocument/2006/relationships/image" Target="media/image287.jpeg"/><Relationship Id="rId670" Type="http://schemas.openxmlformats.org/officeDocument/2006/relationships/image" Target="media/image286.jpeg"/><Relationship Id="rId67" Type="http://schemas.openxmlformats.org/officeDocument/2006/relationships/footer" Target="footer57.xml"/><Relationship Id="rId669" Type="http://schemas.openxmlformats.org/officeDocument/2006/relationships/image" Target="media/image285.jpeg"/><Relationship Id="rId668" Type="http://schemas.openxmlformats.org/officeDocument/2006/relationships/image" Target="media/image284.jpeg"/><Relationship Id="rId667" Type="http://schemas.openxmlformats.org/officeDocument/2006/relationships/image" Target="media/image283.jpeg"/><Relationship Id="rId666" Type="http://schemas.openxmlformats.org/officeDocument/2006/relationships/image" Target="media/image282.jpeg"/><Relationship Id="rId665" Type="http://schemas.openxmlformats.org/officeDocument/2006/relationships/image" Target="media/image281.jpeg"/><Relationship Id="rId664" Type="http://schemas.openxmlformats.org/officeDocument/2006/relationships/image" Target="media/image280.jpeg"/><Relationship Id="rId663" Type="http://schemas.openxmlformats.org/officeDocument/2006/relationships/image" Target="media/image279.jpeg"/><Relationship Id="rId662" Type="http://schemas.openxmlformats.org/officeDocument/2006/relationships/image" Target="media/image278.jpeg"/><Relationship Id="rId661" Type="http://schemas.openxmlformats.org/officeDocument/2006/relationships/image" Target="media/image277.jpeg"/><Relationship Id="rId660" Type="http://schemas.openxmlformats.org/officeDocument/2006/relationships/image" Target="media/image276.jpeg"/><Relationship Id="rId66" Type="http://schemas.openxmlformats.org/officeDocument/2006/relationships/footer" Target="footer56.xml"/><Relationship Id="rId659" Type="http://schemas.openxmlformats.org/officeDocument/2006/relationships/image" Target="media/image275.png"/><Relationship Id="rId658" Type="http://schemas.openxmlformats.org/officeDocument/2006/relationships/image" Target="media/image274.png"/><Relationship Id="rId657" Type="http://schemas.openxmlformats.org/officeDocument/2006/relationships/image" Target="media/image273.jpeg"/><Relationship Id="rId656" Type="http://schemas.openxmlformats.org/officeDocument/2006/relationships/image" Target="media/image272.jpeg"/><Relationship Id="rId655" Type="http://schemas.openxmlformats.org/officeDocument/2006/relationships/image" Target="media/image271.jpeg"/><Relationship Id="rId654" Type="http://schemas.openxmlformats.org/officeDocument/2006/relationships/image" Target="media/image270.jpeg"/><Relationship Id="rId653" Type="http://schemas.openxmlformats.org/officeDocument/2006/relationships/image" Target="media/image269.jpeg"/><Relationship Id="rId652" Type="http://schemas.openxmlformats.org/officeDocument/2006/relationships/image" Target="media/image268.jpeg"/><Relationship Id="rId651" Type="http://schemas.openxmlformats.org/officeDocument/2006/relationships/image" Target="media/image267.png"/><Relationship Id="rId650" Type="http://schemas.openxmlformats.org/officeDocument/2006/relationships/image" Target="media/image266.jpeg"/><Relationship Id="rId65" Type="http://schemas.openxmlformats.org/officeDocument/2006/relationships/footer" Target="footer55.xml"/><Relationship Id="rId649" Type="http://schemas.openxmlformats.org/officeDocument/2006/relationships/image" Target="media/image265.jpeg"/><Relationship Id="rId648" Type="http://schemas.openxmlformats.org/officeDocument/2006/relationships/image" Target="media/image264.jpeg"/><Relationship Id="rId647" Type="http://schemas.openxmlformats.org/officeDocument/2006/relationships/image" Target="media/image263.jpeg"/><Relationship Id="rId646" Type="http://schemas.openxmlformats.org/officeDocument/2006/relationships/image" Target="media/image262.png"/><Relationship Id="rId645" Type="http://schemas.openxmlformats.org/officeDocument/2006/relationships/image" Target="media/image261.jpeg"/><Relationship Id="rId644" Type="http://schemas.openxmlformats.org/officeDocument/2006/relationships/image" Target="media/image260.jpeg"/><Relationship Id="rId643" Type="http://schemas.openxmlformats.org/officeDocument/2006/relationships/image" Target="media/image259.jpeg"/><Relationship Id="rId642" Type="http://schemas.openxmlformats.org/officeDocument/2006/relationships/image" Target="media/image258.jpeg"/><Relationship Id="rId641" Type="http://schemas.openxmlformats.org/officeDocument/2006/relationships/image" Target="media/image257.jpeg"/><Relationship Id="rId640" Type="http://schemas.openxmlformats.org/officeDocument/2006/relationships/image" Target="media/image256.jpeg"/><Relationship Id="rId64" Type="http://schemas.openxmlformats.org/officeDocument/2006/relationships/footer" Target="footer54.xml"/><Relationship Id="rId639" Type="http://schemas.openxmlformats.org/officeDocument/2006/relationships/image" Target="media/image255.jpeg"/><Relationship Id="rId638" Type="http://schemas.openxmlformats.org/officeDocument/2006/relationships/image" Target="media/image254.jpeg"/><Relationship Id="rId637" Type="http://schemas.openxmlformats.org/officeDocument/2006/relationships/image" Target="media/image253.jpeg"/><Relationship Id="rId636" Type="http://schemas.openxmlformats.org/officeDocument/2006/relationships/image" Target="media/image252.jpeg"/><Relationship Id="rId635" Type="http://schemas.openxmlformats.org/officeDocument/2006/relationships/image" Target="media/image251.jpeg"/><Relationship Id="rId634" Type="http://schemas.openxmlformats.org/officeDocument/2006/relationships/image" Target="media/image250.jpeg"/><Relationship Id="rId633" Type="http://schemas.openxmlformats.org/officeDocument/2006/relationships/image" Target="media/image249.jpeg"/><Relationship Id="rId632" Type="http://schemas.openxmlformats.org/officeDocument/2006/relationships/image" Target="media/image248.png"/><Relationship Id="rId631" Type="http://schemas.openxmlformats.org/officeDocument/2006/relationships/image" Target="media/image247.jpeg"/><Relationship Id="rId630" Type="http://schemas.openxmlformats.org/officeDocument/2006/relationships/image" Target="media/image246.jpeg"/><Relationship Id="rId63" Type="http://schemas.openxmlformats.org/officeDocument/2006/relationships/footer" Target="footer53.xml"/><Relationship Id="rId629" Type="http://schemas.openxmlformats.org/officeDocument/2006/relationships/image" Target="media/image245.png"/><Relationship Id="rId628" Type="http://schemas.openxmlformats.org/officeDocument/2006/relationships/image" Target="media/image244.png"/><Relationship Id="rId627" Type="http://schemas.openxmlformats.org/officeDocument/2006/relationships/image" Target="media/image243.jpeg"/><Relationship Id="rId626" Type="http://schemas.openxmlformats.org/officeDocument/2006/relationships/image" Target="media/image242.png"/><Relationship Id="rId625" Type="http://schemas.openxmlformats.org/officeDocument/2006/relationships/image" Target="media/image241.jpeg"/><Relationship Id="rId624" Type="http://schemas.openxmlformats.org/officeDocument/2006/relationships/image" Target="media/image240.jpeg"/><Relationship Id="rId623" Type="http://schemas.openxmlformats.org/officeDocument/2006/relationships/image" Target="media/image239.jpeg"/><Relationship Id="rId622" Type="http://schemas.openxmlformats.org/officeDocument/2006/relationships/image" Target="media/image238.jpeg"/><Relationship Id="rId621" Type="http://schemas.openxmlformats.org/officeDocument/2006/relationships/image" Target="media/image237.jpeg"/><Relationship Id="rId620" Type="http://schemas.openxmlformats.org/officeDocument/2006/relationships/image" Target="media/image236.jpeg"/><Relationship Id="rId62" Type="http://schemas.openxmlformats.org/officeDocument/2006/relationships/footer" Target="footer52.xml"/><Relationship Id="rId619" Type="http://schemas.openxmlformats.org/officeDocument/2006/relationships/image" Target="media/image235.jpeg"/><Relationship Id="rId618" Type="http://schemas.openxmlformats.org/officeDocument/2006/relationships/image" Target="media/image234.jpeg"/><Relationship Id="rId617" Type="http://schemas.openxmlformats.org/officeDocument/2006/relationships/image" Target="media/image233.png"/><Relationship Id="rId616" Type="http://schemas.openxmlformats.org/officeDocument/2006/relationships/image" Target="media/image232.png"/><Relationship Id="rId615" Type="http://schemas.openxmlformats.org/officeDocument/2006/relationships/image" Target="media/image231.jpeg"/><Relationship Id="rId614" Type="http://schemas.openxmlformats.org/officeDocument/2006/relationships/image" Target="media/image230.jpeg"/><Relationship Id="rId613" Type="http://schemas.openxmlformats.org/officeDocument/2006/relationships/image" Target="media/image229.jpeg"/><Relationship Id="rId612" Type="http://schemas.openxmlformats.org/officeDocument/2006/relationships/image" Target="media/image228.jpeg"/><Relationship Id="rId611" Type="http://schemas.openxmlformats.org/officeDocument/2006/relationships/image" Target="media/image227.jpeg"/><Relationship Id="rId610" Type="http://schemas.openxmlformats.org/officeDocument/2006/relationships/image" Target="media/image226.png"/><Relationship Id="rId61" Type="http://schemas.openxmlformats.org/officeDocument/2006/relationships/footer" Target="footer51.xml"/><Relationship Id="rId609" Type="http://schemas.openxmlformats.org/officeDocument/2006/relationships/image" Target="media/image225.png"/><Relationship Id="rId608" Type="http://schemas.openxmlformats.org/officeDocument/2006/relationships/image" Target="media/image224.jpeg"/><Relationship Id="rId607" Type="http://schemas.openxmlformats.org/officeDocument/2006/relationships/image" Target="media/image223.jpeg"/><Relationship Id="rId606" Type="http://schemas.openxmlformats.org/officeDocument/2006/relationships/image" Target="media/image222.jpeg"/><Relationship Id="rId605" Type="http://schemas.openxmlformats.org/officeDocument/2006/relationships/image" Target="media/image221.jpeg"/><Relationship Id="rId604" Type="http://schemas.openxmlformats.org/officeDocument/2006/relationships/image" Target="media/image220.jpeg"/><Relationship Id="rId603" Type="http://schemas.openxmlformats.org/officeDocument/2006/relationships/image" Target="media/image219.jpeg"/><Relationship Id="rId602" Type="http://schemas.openxmlformats.org/officeDocument/2006/relationships/image" Target="media/image218.jpeg"/><Relationship Id="rId601" Type="http://schemas.openxmlformats.org/officeDocument/2006/relationships/image" Target="media/image217.jpeg"/><Relationship Id="rId600" Type="http://schemas.openxmlformats.org/officeDocument/2006/relationships/image" Target="media/image216.jpeg"/><Relationship Id="rId60" Type="http://schemas.openxmlformats.org/officeDocument/2006/relationships/footer" Target="footer50.xml"/><Relationship Id="rId6" Type="http://schemas.openxmlformats.org/officeDocument/2006/relationships/header" Target="header2.xml"/><Relationship Id="rId599" Type="http://schemas.openxmlformats.org/officeDocument/2006/relationships/image" Target="media/image215.jpeg"/><Relationship Id="rId598" Type="http://schemas.openxmlformats.org/officeDocument/2006/relationships/image" Target="media/image214.jpeg"/><Relationship Id="rId597" Type="http://schemas.openxmlformats.org/officeDocument/2006/relationships/image" Target="media/image213.jpeg"/><Relationship Id="rId596" Type="http://schemas.openxmlformats.org/officeDocument/2006/relationships/image" Target="media/image212.jpeg"/><Relationship Id="rId595" Type="http://schemas.openxmlformats.org/officeDocument/2006/relationships/image" Target="media/image211.jpeg"/><Relationship Id="rId594" Type="http://schemas.openxmlformats.org/officeDocument/2006/relationships/image" Target="media/image210.jpeg"/><Relationship Id="rId593" Type="http://schemas.openxmlformats.org/officeDocument/2006/relationships/image" Target="media/image209.jpeg"/><Relationship Id="rId592" Type="http://schemas.openxmlformats.org/officeDocument/2006/relationships/image" Target="media/image208.jpeg"/><Relationship Id="rId591" Type="http://schemas.openxmlformats.org/officeDocument/2006/relationships/image" Target="media/image207.png"/><Relationship Id="rId590" Type="http://schemas.openxmlformats.org/officeDocument/2006/relationships/image" Target="media/image206.png"/><Relationship Id="rId59" Type="http://schemas.openxmlformats.org/officeDocument/2006/relationships/footer" Target="footer49.xml"/><Relationship Id="rId589" Type="http://schemas.openxmlformats.org/officeDocument/2006/relationships/image" Target="media/image205.jpeg"/><Relationship Id="rId588" Type="http://schemas.openxmlformats.org/officeDocument/2006/relationships/image" Target="media/image204.jpeg"/><Relationship Id="rId587" Type="http://schemas.openxmlformats.org/officeDocument/2006/relationships/image" Target="media/image203.jpeg"/><Relationship Id="rId586" Type="http://schemas.openxmlformats.org/officeDocument/2006/relationships/image" Target="media/image202.jpeg"/><Relationship Id="rId585" Type="http://schemas.openxmlformats.org/officeDocument/2006/relationships/image" Target="media/image201.jpeg"/><Relationship Id="rId584" Type="http://schemas.openxmlformats.org/officeDocument/2006/relationships/image" Target="media/image200.jpeg"/><Relationship Id="rId583" Type="http://schemas.openxmlformats.org/officeDocument/2006/relationships/image" Target="media/image199.png"/><Relationship Id="rId582" Type="http://schemas.openxmlformats.org/officeDocument/2006/relationships/image" Target="media/image198.png"/><Relationship Id="rId581" Type="http://schemas.openxmlformats.org/officeDocument/2006/relationships/image" Target="media/image197.png"/><Relationship Id="rId580" Type="http://schemas.openxmlformats.org/officeDocument/2006/relationships/image" Target="media/image196.png"/><Relationship Id="rId58" Type="http://schemas.openxmlformats.org/officeDocument/2006/relationships/footer" Target="footer48.xml"/><Relationship Id="rId579" Type="http://schemas.openxmlformats.org/officeDocument/2006/relationships/image" Target="media/image195.png"/><Relationship Id="rId578" Type="http://schemas.openxmlformats.org/officeDocument/2006/relationships/image" Target="media/image194.png"/><Relationship Id="rId577" Type="http://schemas.openxmlformats.org/officeDocument/2006/relationships/image" Target="media/image193.png"/><Relationship Id="rId576" Type="http://schemas.openxmlformats.org/officeDocument/2006/relationships/image" Target="media/image192.png"/><Relationship Id="rId575" Type="http://schemas.openxmlformats.org/officeDocument/2006/relationships/image" Target="media/image191.png"/><Relationship Id="rId574" Type="http://schemas.openxmlformats.org/officeDocument/2006/relationships/image" Target="media/image190.png"/><Relationship Id="rId573" Type="http://schemas.openxmlformats.org/officeDocument/2006/relationships/image" Target="media/image189.png"/><Relationship Id="rId572" Type="http://schemas.openxmlformats.org/officeDocument/2006/relationships/image" Target="media/image188.png"/><Relationship Id="rId571" Type="http://schemas.openxmlformats.org/officeDocument/2006/relationships/image" Target="media/image187.png"/><Relationship Id="rId570" Type="http://schemas.openxmlformats.org/officeDocument/2006/relationships/image" Target="media/image186.png"/><Relationship Id="rId57" Type="http://schemas.openxmlformats.org/officeDocument/2006/relationships/footer" Target="footer47.xml"/><Relationship Id="rId569" Type="http://schemas.openxmlformats.org/officeDocument/2006/relationships/image" Target="media/image185.png"/><Relationship Id="rId568" Type="http://schemas.openxmlformats.org/officeDocument/2006/relationships/image" Target="media/image184.jpeg"/><Relationship Id="rId567" Type="http://schemas.openxmlformats.org/officeDocument/2006/relationships/image" Target="media/image183.jpeg"/><Relationship Id="rId566" Type="http://schemas.openxmlformats.org/officeDocument/2006/relationships/image" Target="media/image182.png"/><Relationship Id="rId565" Type="http://schemas.openxmlformats.org/officeDocument/2006/relationships/image" Target="media/image181.jpeg"/><Relationship Id="rId564" Type="http://schemas.openxmlformats.org/officeDocument/2006/relationships/image" Target="media/image180.png"/><Relationship Id="rId563" Type="http://schemas.openxmlformats.org/officeDocument/2006/relationships/image" Target="media/image179.png"/><Relationship Id="rId562" Type="http://schemas.openxmlformats.org/officeDocument/2006/relationships/image" Target="media/image178.png"/><Relationship Id="rId561" Type="http://schemas.openxmlformats.org/officeDocument/2006/relationships/image" Target="media/image177.png"/><Relationship Id="rId560" Type="http://schemas.openxmlformats.org/officeDocument/2006/relationships/image" Target="media/image176.png"/><Relationship Id="rId56" Type="http://schemas.openxmlformats.org/officeDocument/2006/relationships/footer" Target="footer46.xml"/><Relationship Id="rId559" Type="http://schemas.openxmlformats.org/officeDocument/2006/relationships/image" Target="media/image175.png"/><Relationship Id="rId558" Type="http://schemas.openxmlformats.org/officeDocument/2006/relationships/image" Target="media/image174.png"/><Relationship Id="rId557" Type="http://schemas.openxmlformats.org/officeDocument/2006/relationships/image" Target="media/image173.png"/><Relationship Id="rId556" Type="http://schemas.openxmlformats.org/officeDocument/2006/relationships/image" Target="media/image172.png"/><Relationship Id="rId555" Type="http://schemas.openxmlformats.org/officeDocument/2006/relationships/image" Target="media/image171.png"/><Relationship Id="rId554" Type="http://schemas.openxmlformats.org/officeDocument/2006/relationships/image" Target="media/image170.png"/><Relationship Id="rId553" Type="http://schemas.openxmlformats.org/officeDocument/2006/relationships/image" Target="media/image169.jpeg"/><Relationship Id="rId552" Type="http://schemas.openxmlformats.org/officeDocument/2006/relationships/image" Target="media/image168.png"/><Relationship Id="rId551" Type="http://schemas.openxmlformats.org/officeDocument/2006/relationships/image" Target="media/image167.jpeg"/><Relationship Id="rId550" Type="http://schemas.openxmlformats.org/officeDocument/2006/relationships/image" Target="media/image166.jpeg"/><Relationship Id="rId55" Type="http://schemas.openxmlformats.org/officeDocument/2006/relationships/footer" Target="footer45.xml"/><Relationship Id="rId549" Type="http://schemas.openxmlformats.org/officeDocument/2006/relationships/image" Target="media/image165.png"/><Relationship Id="rId548" Type="http://schemas.openxmlformats.org/officeDocument/2006/relationships/image" Target="media/image164.png"/><Relationship Id="rId547" Type="http://schemas.openxmlformats.org/officeDocument/2006/relationships/image" Target="media/image163.png"/><Relationship Id="rId546" Type="http://schemas.openxmlformats.org/officeDocument/2006/relationships/image" Target="media/image162.png"/><Relationship Id="rId545" Type="http://schemas.openxmlformats.org/officeDocument/2006/relationships/image" Target="media/image161.png"/><Relationship Id="rId544" Type="http://schemas.openxmlformats.org/officeDocument/2006/relationships/image" Target="media/image160.png"/><Relationship Id="rId543" Type="http://schemas.openxmlformats.org/officeDocument/2006/relationships/image" Target="media/image159.png"/><Relationship Id="rId542" Type="http://schemas.openxmlformats.org/officeDocument/2006/relationships/image" Target="media/image158.png"/><Relationship Id="rId541" Type="http://schemas.openxmlformats.org/officeDocument/2006/relationships/image" Target="media/image157.png"/><Relationship Id="rId540" Type="http://schemas.openxmlformats.org/officeDocument/2006/relationships/image" Target="media/image156.png"/><Relationship Id="rId54" Type="http://schemas.openxmlformats.org/officeDocument/2006/relationships/footer" Target="footer44.xml"/><Relationship Id="rId539" Type="http://schemas.openxmlformats.org/officeDocument/2006/relationships/image" Target="media/image155.png"/><Relationship Id="rId538" Type="http://schemas.openxmlformats.org/officeDocument/2006/relationships/image" Target="media/image154.png"/><Relationship Id="rId537" Type="http://schemas.openxmlformats.org/officeDocument/2006/relationships/image" Target="media/image153.png"/><Relationship Id="rId536" Type="http://schemas.openxmlformats.org/officeDocument/2006/relationships/image" Target="media/image152.png"/><Relationship Id="rId535" Type="http://schemas.openxmlformats.org/officeDocument/2006/relationships/image" Target="media/image151.png"/><Relationship Id="rId534" Type="http://schemas.openxmlformats.org/officeDocument/2006/relationships/image" Target="media/image150.png"/><Relationship Id="rId533" Type="http://schemas.openxmlformats.org/officeDocument/2006/relationships/image" Target="media/image149.png"/><Relationship Id="rId532" Type="http://schemas.openxmlformats.org/officeDocument/2006/relationships/image" Target="media/image148.png"/><Relationship Id="rId531" Type="http://schemas.openxmlformats.org/officeDocument/2006/relationships/image" Target="media/image147.png"/><Relationship Id="rId530" Type="http://schemas.openxmlformats.org/officeDocument/2006/relationships/image" Target="media/image146.png"/><Relationship Id="rId53" Type="http://schemas.openxmlformats.org/officeDocument/2006/relationships/footer" Target="footer43.xml"/><Relationship Id="rId529" Type="http://schemas.openxmlformats.org/officeDocument/2006/relationships/image" Target="media/image145.png"/><Relationship Id="rId528" Type="http://schemas.openxmlformats.org/officeDocument/2006/relationships/image" Target="media/image144.png"/><Relationship Id="rId527" Type="http://schemas.openxmlformats.org/officeDocument/2006/relationships/image" Target="media/image143.png"/><Relationship Id="rId526" Type="http://schemas.openxmlformats.org/officeDocument/2006/relationships/image" Target="media/image142.png"/><Relationship Id="rId525" Type="http://schemas.openxmlformats.org/officeDocument/2006/relationships/image" Target="media/image141.png"/><Relationship Id="rId524" Type="http://schemas.openxmlformats.org/officeDocument/2006/relationships/image" Target="media/image140.png"/><Relationship Id="rId523" Type="http://schemas.openxmlformats.org/officeDocument/2006/relationships/image" Target="media/image139.png"/><Relationship Id="rId522" Type="http://schemas.openxmlformats.org/officeDocument/2006/relationships/image" Target="media/image138.png"/><Relationship Id="rId521" Type="http://schemas.openxmlformats.org/officeDocument/2006/relationships/image" Target="media/image137.png"/><Relationship Id="rId520" Type="http://schemas.openxmlformats.org/officeDocument/2006/relationships/image" Target="media/image136.png"/><Relationship Id="rId52" Type="http://schemas.openxmlformats.org/officeDocument/2006/relationships/footer" Target="footer42.xml"/><Relationship Id="rId519" Type="http://schemas.openxmlformats.org/officeDocument/2006/relationships/image" Target="media/image135.png"/><Relationship Id="rId518" Type="http://schemas.openxmlformats.org/officeDocument/2006/relationships/image" Target="media/image134.png"/><Relationship Id="rId517" Type="http://schemas.openxmlformats.org/officeDocument/2006/relationships/image" Target="media/image133.png"/><Relationship Id="rId516" Type="http://schemas.openxmlformats.org/officeDocument/2006/relationships/image" Target="media/image132.png"/><Relationship Id="rId515" Type="http://schemas.openxmlformats.org/officeDocument/2006/relationships/image" Target="media/image131.png"/><Relationship Id="rId514" Type="http://schemas.openxmlformats.org/officeDocument/2006/relationships/image" Target="media/image130.png"/><Relationship Id="rId513" Type="http://schemas.openxmlformats.org/officeDocument/2006/relationships/image" Target="media/image129.png"/><Relationship Id="rId512" Type="http://schemas.openxmlformats.org/officeDocument/2006/relationships/image" Target="media/image128.png"/><Relationship Id="rId511" Type="http://schemas.openxmlformats.org/officeDocument/2006/relationships/image" Target="media/image127.png"/><Relationship Id="rId510" Type="http://schemas.openxmlformats.org/officeDocument/2006/relationships/image" Target="media/image126.png"/><Relationship Id="rId51" Type="http://schemas.openxmlformats.org/officeDocument/2006/relationships/footer" Target="footer41.xml"/><Relationship Id="rId509" Type="http://schemas.openxmlformats.org/officeDocument/2006/relationships/image" Target="media/image125.png"/><Relationship Id="rId508" Type="http://schemas.openxmlformats.org/officeDocument/2006/relationships/image" Target="media/image124.png"/><Relationship Id="rId507" Type="http://schemas.openxmlformats.org/officeDocument/2006/relationships/image" Target="media/image123.png"/><Relationship Id="rId506" Type="http://schemas.openxmlformats.org/officeDocument/2006/relationships/image" Target="media/image122.png"/><Relationship Id="rId505" Type="http://schemas.openxmlformats.org/officeDocument/2006/relationships/image" Target="media/image121.png"/><Relationship Id="rId504" Type="http://schemas.openxmlformats.org/officeDocument/2006/relationships/image" Target="media/image120.png"/><Relationship Id="rId503" Type="http://schemas.openxmlformats.org/officeDocument/2006/relationships/image" Target="media/image119.png"/><Relationship Id="rId502" Type="http://schemas.openxmlformats.org/officeDocument/2006/relationships/image" Target="media/image118.png"/><Relationship Id="rId501" Type="http://schemas.openxmlformats.org/officeDocument/2006/relationships/image" Target="media/image117.png"/><Relationship Id="rId500" Type="http://schemas.openxmlformats.org/officeDocument/2006/relationships/image" Target="media/image116.png"/><Relationship Id="rId50" Type="http://schemas.openxmlformats.org/officeDocument/2006/relationships/footer" Target="footer40.xml"/><Relationship Id="rId5" Type="http://schemas.openxmlformats.org/officeDocument/2006/relationships/header" Target="header1.xml"/><Relationship Id="rId499" Type="http://schemas.openxmlformats.org/officeDocument/2006/relationships/image" Target="media/image115.png"/><Relationship Id="rId498" Type="http://schemas.openxmlformats.org/officeDocument/2006/relationships/image" Target="media/image114.png"/><Relationship Id="rId497" Type="http://schemas.openxmlformats.org/officeDocument/2006/relationships/image" Target="media/image113.jpeg"/><Relationship Id="rId496" Type="http://schemas.openxmlformats.org/officeDocument/2006/relationships/image" Target="media/image112.png"/><Relationship Id="rId495" Type="http://schemas.openxmlformats.org/officeDocument/2006/relationships/image" Target="media/image111.jpeg"/><Relationship Id="rId494" Type="http://schemas.openxmlformats.org/officeDocument/2006/relationships/image" Target="media/image110.jpeg"/><Relationship Id="rId493" Type="http://schemas.openxmlformats.org/officeDocument/2006/relationships/image" Target="media/image109.jpeg"/><Relationship Id="rId492" Type="http://schemas.openxmlformats.org/officeDocument/2006/relationships/image" Target="media/image108.png"/><Relationship Id="rId491" Type="http://schemas.openxmlformats.org/officeDocument/2006/relationships/image" Target="media/image107.png"/><Relationship Id="rId490" Type="http://schemas.openxmlformats.org/officeDocument/2006/relationships/image" Target="media/image106.png"/><Relationship Id="rId49" Type="http://schemas.openxmlformats.org/officeDocument/2006/relationships/footer" Target="footer39.xml"/><Relationship Id="rId489" Type="http://schemas.openxmlformats.org/officeDocument/2006/relationships/image" Target="media/image105.png"/><Relationship Id="rId488" Type="http://schemas.openxmlformats.org/officeDocument/2006/relationships/image" Target="media/image104.png"/><Relationship Id="rId487" Type="http://schemas.openxmlformats.org/officeDocument/2006/relationships/image" Target="media/image103.png"/><Relationship Id="rId486" Type="http://schemas.openxmlformats.org/officeDocument/2006/relationships/image" Target="media/image102.png"/><Relationship Id="rId485" Type="http://schemas.openxmlformats.org/officeDocument/2006/relationships/image" Target="media/image101.png"/><Relationship Id="rId484" Type="http://schemas.openxmlformats.org/officeDocument/2006/relationships/image" Target="media/image100.png"/><Relationship Id="rId483" Type="http://schemas.openxmlformats.org/officeDocument/2006/relationships/image" Target="media/image99.png"/><Relationship Id="rId482" Type="http://schemas.openxmlformats.org/officeDocument/2006/relationships/image" Target="media/image98.png"/><Relationship Id="rId481" Type="http://schemas.openxmlformats.org/officeDocument/2006/relationships/image" Target="media/image97.png"/><Relationship Id="rId480" Type="http://schemas.openxmlformats.org/officeDocument/2006/relationships/image" Target="media/image96.png"/><Relationship Id="rId48" Type="http://schemas.openxmlformats.org/officeDocument/2006/relationships/footer" Target="footer38.xml"/><Relationship Id="rId479" Type="http://schemas.openxmlformats.org/officeDocument/2006/relationships/image" Target="media/image95.png"/><Relationship Id="rId478" Type="http://schemas.openxmlformats.org/officeDocument/2006/relationships/image" Target="media/image94.png"/><Relationship Id="rId477" Type="http://schemas.openxmlformats.org/officeDocument/2006/relationships/image" Target="media/image93.jpeg"/><Relationship Id="rId476" Type="http://schemas.openxmlformats.org/officeDocument/2006/relationships/image" Target="media/image92.jpeg"/><Relationship Id="rId475" Type="http://schemas.openxmlformats.org/officeDocument/2006/relationships/image" Target="media/image91.jpeg"/><Relationship Id="rId474" Type="http://schemas.openxmlformats.org/officeDocument/2006/relationships/image" Target="media/image90.jpeg"/><Relationship Id="rId473" Type="http://schemas.openxmlformats.org/officeDocument/2006/relationships/image" Target="media/image89.jpeg"/><Relationship Id="rId472" Type="http://schemas.openxmlformats.org/officeDocument/2006/relationships/image" Target="media/image88.png"/><Relationship Id="rId471" Type="http://schemas.openxmlformats.org/officeDocument/2006/relationships/image" Target="media/image87.png"/><Relationship Id="rId470" Type="http://schemas.openxmlformats.org/officeDocument/2006/relationships/image" Target="media/image86.png"/><Relationship Id="rId47" Type="http://schemas.openxmlformats.org/officeDocument/2006/relationships/footer" Target="footer37.xml"/><Relationship Id="rId469" Type="http://schemas.openxmlformats.org/officeDocument/2006/relationships/image" Target="media/image85.png"/><Relationship Id="rId468" Type="http://schemas.openxmlformats.org/officeDocument/2006/relationships/image" Target="media/image84.png"/><Relationship Id="rId467" Type="http://schemas.openxmlformats.org/officeDocument/2006/relationships/image" Target="media/image83.png"/><Relationship Id="rId466" Type="http://schemas.openxmlformats.org/officeDocument/2006/relationships/image" Target="media/image82.png"/><Relationship Id="rId465" Type="http://schemas.openxmlformats.org/officeDocument/2006/relationships/image" Target="media/image81.png"/><Relationship Id="rId464" Type="http://schemas.openxmlformats.org/officeDocument/2006/relationships/image" Target="media/image80.png"/><Relationship Id="rId463" Type="http://schemas.openxmlformats.org/officeDocument/2006/relationships/image" Target="media/image79.png"/><Relationship Id="rId462" Type="http://schemas.openxmlformats.org/officeDocument/2006/relationships/image" Target="media/image78.png"/><Relationship Id="rId461" Type="http://schemas.openxmlformats.org/officeDocument/2006/relationships/image" Target="media/image77.png"/><Relationship Id="rId460" Type="http://schemas.openxmlformats.org/officeDocument/2006/relationships/image" Target="media/image76.png"/><Relationship Id="rId46" Type="http://schemas.openxmlformats.org/officeDocument/2006/relationships/footer" Target="footer36.xml"/><Relationship Id="rId459" Type="http://schemas.openxmlformats.org/officeDocument/2006/relationships/image" Target="media/image75.png"/><Relationship Id="rId458" Type="http://schemas.openxmlformats.org/officeDocument/2006/relationships/image" Target="media/image74.png"/><Relationship Id="rId457" Type="http://schemas.openxmlformats.org/officeDocument/2006/relationships/image" Target="media/image73.png"/><Relationship Id="rId456" Type="http://schemas.openxmlformats.org/officeDocument/2006/relationships/image" Target="media/image72.png"/><Relationship Id="rId455" Type="http://schemas.openxmlformats.org/officeDocument/2006/relationships/image" Target="media/image71.png"/><Relationship Id="rId454" Type="http://schemas.openxmlformats.org/officeDocument/2006/relationships/image" Target="media/image70.jpeg"/><Relationship Id="rId453" Type="http://schemas.openxmlformats.org/officeDocument/2006/relationships/image" Target="media/image69.jpeg"/><Relationship Id="rId452" Type="http://schemas.openxmlformats.org/officeDocument/2006/relationships/image" Target="media/image68.jpeg"/><Relationship Id="rId451" Type="http://schemas.openxmlformats.org/officeDocument/2006/relationships/image" Target="media/image67.jpeg"/><Relationship Id="rId450" Type="http://schemas.openxmlformats.org/officeDocument/2006/relationships/image" Target="media/image66.jpeg"/><Relationship Id="rId45" Type="http://schemas.openxmlformats.org/officeDocument/2006/relationships/footer" Target="footer35.xml"/><Relationship Id="rId449" Type="http://schemas.openxmlformats.org/officeDocument/2006/relationships/image" Target="media/image65.jpeg"/><Relationship Id="rId448" Type="http://schemas.openxmlformats.org/officeDocument/2006/relationships/image" Target="media/image64.jpeg"/><Relationship Id="rId447" Type="http://schemas.openxmlformats.org/officeDocument/2006/relationships/image" Target="media/image63.jpeg"/><Relationship Id="rId446" Type="http://schemas.openxmlformats.org/officeDocument/2006/relationships/image" Target="media/image62.jpeg"/><Relationship Id="rId445" Type="http://schemas.openxmlformats.org/officeDocument/2006/relationships/image" Target="media/image61.jpeg"/><Relationship Id="rId444" Type="http://schemas.openxmlformats.org/officeDocument/2006/relationships/image" Target="media/image60.jpeg"/><Relationship Id="rId443" Type="http://schemas.openxmlformats.org/officeDocument/2006/relationships/image" Target="media/image59.jpeg"/><Relationship Id="rId442" Type="http://schemas.openxmlformats.org/officeDocument/2006/relationships/image" Target="media/image58.jpeg"/><Relationship Id="rId441" Type="http://schemas.openxmlformats.org/officeDocument/2006/relationships/image" Target="media/image57.jpeg"/><Relationship Id="rId440" Type="http://schemas.openxmlformats.org/officeDocument/2006/relationships/image" Target="media/image56.png"/><Relationship Id="rId44" Type="http://schemas.openxmlformats.org/officeDocument/2006/relationships/footer" Target="footer34.xml"/><Relationship Id="rId439" Type="http://schemas.openxmlformats.org/officeDocument/2006/relationships/image" Target="media/image55.png"/><Relationship Id="rId438" Type="http://schemas.openxmlformats.org/officeDocument/2006/relationships/image" Target="media/image54.png"/><Relationship Id="rId437" Type="http://schemas.openxmlformats.org/officeDocument/2006/relationships/image" Target="media/image53.png"/><Relationship Id="rId436" Type="http://schemas.openxmlformats.org/officeDocument/2006/relationships/image" Target="media/image52.png"/><Relationship Id="rId435" Type="http://schemas.openxmlformats.org/officeDocument/2006/relationships/image" Target="media/image51.png"/><Relationship Id="rId434" Type="http://schemas.openxmlformats.org/officeDocument/2006/relationships/image" Target="media/image50.png"/><Relationship Id="rId433" Type="http://schemas.openxmlformats.org/officeDocument/2006/relationships/image" Target="media/image49.png"/><Relationship Id="rId432" Type="http://schemas.openxmlformats.org/officeDocument/2006/relationships/image" Target="media/image48.png"/><Relationship Id="rId431" Type="http://schemas.openxmlformats.org/officeDocument/2006/relationships/image" Target="media/image47.png"/><Relationship Id="rId430" Type="http://schemas.openxmlformats.org/officeDocument/2006/relationships/image" Target="media/image46.jpeg"/><Relationship Id="rId43" Type="http://schemas.openxmlformats.org/officeDocument/2006/relationships/footer" Target="footer33.xml"/><Relationship Id="rId429" Type="http://schemas.openxmlformats.org/officeDocument/2006/relationships/image" Target="media/image45.jpeg"/><Relationship Id="rId428" Type="http://schemas.openxmlformats.org/officeDocument/2006/relationships/image" Target="media/image44.png"/><Relationship Id="rId427" Type="http://schemas.openxmlformats.org/officeDocument/2006/relationships/image" Target="media/image43.jpeg"/><Relationship Id="rId426" Type="http://schemas.openxmlformats.org/officeDocument/2006/relationships/image" Target="media/image42.jpeg"/><Relationship Id="rId425" Type="http://schemas.openxmlformats.org/officeDocument/2006/relationships/image" Target="media/image41.jpeg"/><Relationship Id="rId424" Type="http://schemas.openxmlformats.org/officeDocument/2006/relationships/image" Target="media/image40.jpeg"/><Relationship Id="rId423" Type="http://schemas.openxmlformats.org/officeDocument/2006/relationships/image" Target="media/image39.jpeg"/><Relationship Id="rId422" Type="http://schemas.openxmlformats.org/officeDocument/2006/relationships/image" Target="media/image38.jpeg"/><Relationship Id="rId421" Type="http://schemas.openxmlformats.org/officeDocument/2006/relationships/image" Target="media/image37.jpeg"/><Relationship Id="rId420" Type="http://schemas.openxmlformats.org/officeDocument/2006/relationships/image" Target="media/image36.jpeg"/><Relationship Id="rId42" Type="http://schemas.openxmlformats.org/officeDocument/2006/relationships/footer" Target="footer32.xml"/><Relationship Id="rId419" Type="http://schemas.openxmlformats.org/officeDocument/2006/relationships/image" Target="media/image35.jpeg"/><Relationship Id="rId418" Type="http://schemas.openxmlformats.org/officeDocument/2006/relationships/image" Target="media/image34.jpeg"/><Relationship Id="rId417" Type="http://schemas.openxmlformats.org/officeDocument/2006/relationships/image" Target="media/image33.jpeg"/><Relationship Id="rId416" Type="http://schemas.openxmlformats.org/officeDocument/2006/relationships/image" Target="media/image32.jpeg"/><Relationship Id="rId415" Type="http://schemas.openxmlformats.org/officeDocument/2006/relationships/image" Target="media/image31.jpeg"/><Relationship Id="rId414" Type="http://schemas.openxmlformats.org/officeDocument/2006/relationships/image" Target="media/image30.jpeg"/><Relationship Id="rId413" Type="http://schemas.openxmlformats.org/officeDocument/2006/relationships/image" Target="media/image29.jpeg"/><Relationship Id="rId412" Type="http://schemas.openxmlformats.org/officeDocument/2006/relationships/image" Target="media/image28.jpeg"/><Relationship Id="rId411" Type="http://schemas.openxmlformats.org/officeDocument/2006/relationships/image" Target="media/image27.jpeg"/><Relationship Id="rId410" Type="http://schemas.openxmlformats.org/officeDocument/2006/relationships/image" Target="media/image26.jpeg"/><Relationship Id="rId41" Type="http://schemas.openxmlformats.org/officeDocument/2006/relationships/footer" Target="footer31.xml"/><Relationship Id="rId409" Type="http://schemas.openxmlformats.org/officeDocument/2006/relationships/image" Target="media/image25.jpeg"/><Relationship Id="rId408" Type="http://schemas.openxmlformats.org/officeDocument/2006/relationships/image" Target="media/image24.jpeg"/><Relationship Id="rId407" Type="http://schemas.openxmlformats.org/officeDocument/2006/relationships/image" Target="media/image23.jpeg"/><Relationship Id="rId406" Type="http://schemas.openxmlformats.org/officeDocument/2006/relationships/image" Target="media/image22.jpeg"/><Relationship Id="rId405" Type="http://schemas.openxmlformats.org/officeDocument/2006/relationships/image" Target="media/image21.jpeg"/><Relationship Id="rId404" Type="http://schemas.openxmlformats.org/officeDocument/2006/relationships/image" Target="media/image20.png"/><Relationship Id="rId403" Type="http://schemas.openxmlformats.org/officeDocument/2006/relationships/image" Target="media/image19.jpeg"/><Relationship Id="rId402" Type="http://schemas.openxmlformats.org/officeDocument/2006/relationships/image" Target="media/image18.png"/><Relationship Id="rId401" Type="http://schemas.openxmlformats.org/officeDocument/2006/relationships/image" Target="media/image17.jpeg"/><Relationship Id="rId400" Type="http://schemas.openxmlformats.org/officeDocument/2006/relationships/image" Target="media/image16.jpeg"/><Relationship Id="rId40" Type="http://schemas.openxmlformats.org/officeDocument/2006/relationships/footer" Target="footer30.xml"/><Relationship Id="rId4" Type="http://schemas.openxmlformats.org/officeDocument/2006/relationships/endnotes" Target="endnotes.xml"/><Relationship Id="rId399" Type="http://schemas.openxmlformats.org/officeDocument/2006/relationships/image" Target="media/image15.jpeg"/><Relationship Id="rId398" Type="http://schemas.openxmlformats.org/officeDocument/2006/relationships/image" Target="media/image14.jpeg"/><Relationship Id="rId397" Type="http://schemas.openxmlformats.org/officeDocument/2006/relationships/image" Target="media/image13.jpeg"/><Relationship Id="rId396" Type="http://schemas.openxmlformats.org/officeDocument/2006/relationships/theme" Target="theme/theme1.xml"/><Relationship Id="rId395" Type="http://schemas.openxmlformats.org/officeDocument/2006/relationships/footer" Target="footer366.xml"/><Relationship Id="rId394" Type="http://schemas.openxmlformats.org/officeDocument/2006/relationships/footer" Target="footer365.xml"/><Relationship Id="rId393" Type="http://schemas.openxmlformats.org/officeDocument/2006/relationships/footer" Target="footer364.xml"/><Relationship Id="rId392" Type="http://schemas.openxmlformats.org/officeDocument/2006/relationships/footer" Target="footer363.xml"/><Relationship Id="rId391" Type="http://schemas.openxmlformats.org/officeDocument/2006/relationships/footer" Target="footer362.xml"/><Relationship Id="rId390" Type="http://schemas.openxmlformats.org/officeDocument/2006/relationships/footer" Target="footer361.xml"/><Relationship Id="rId39" Type="http://schemas.openxmlformats.org/officeDocument/2006/relationships/header" Target="header6.xml"/><Relationship Id="rId389" Type="http://schemas.openxmlformats.org/officeDocument/2006/relationships/footer" Target="footer360.xml"/><Relationship Id="rId388" Type="http://schemas.openxmlformats.org/officeDocument/2006/relationships/footer" Target="footer359.xml"/><Relationship Id="rId387" Type="http://schemas.openxmlformats.org/officeDocument/2006/relationships/footer" Target="footer358.xml"/><Relationship Id="rId386" Type="http://schemas.openxmlformats.org/officeDocument/2006/relationships/footer" Target="footer357.xml"/><Relationship Id="rId385" Type="http://schemas.openxmlformats.org/officeDocument/2006/relationships/footer" Target="footer356.xml"/><Relationship Id="rId384" Type="http://schemas.openxmlformats.org/officeDocument/2006/relationships/footer" Target="footer355.xml"/><Relationship Id="rId383" Type="http://schemas.openxmlformats.org/officeDocument/2006/relationships/footer" Target="footer354.xml"/><Relationship Id="rId382" Type="http://schemas.openxmlformats.org/officeDocument/2006/relationships/footer" Target="footer353.xml"/><Relationship Id="rId381" Type="http://schemas.openxmlformats.org/officeDocument/2006/relationships/footer" Target="footer352.xml"/><Relationship Id="rId380" Type="http://schemas.openxmlformats.org/officeDocument/2006/relationships/footer" Target="footer351.xml"/><Relationship Id="rId38" Type="http://schemas.openxmlformats.org/officeDocument/2006/relationships/footer" Target="footer29.xml"/><Relationship Id="rId379" Type="http://schemas.openxmlformats.org/officeDocument/2006/relationships/footer" Target="footer350.xml"/><Relationship Id="rId378" Type="http://schemas.openxmlformats.org/officeDocument/2006/relationships/footer" Target="footer349.xml"/><Relationship Id="rId377" Type="http://schemas.openxmlformats.org/officeDocument/2006/relationships/footer" Target="footer348.xml"/><Relationship Id="rId376" Type="http://schemas.openxmlformats.org/officeDocument/2006/relationships/footer" Target="footer347.xml"/><Relationship Id="rId375" Type="http://schemas.openxmlformats.org/officeDocument/2006/relationships/footer" Target="footer346.xml"/><Relationship Id="rId374" Type="http://schemas.openxmlformats.org/officeDocument/2006/relationships/footer" Target="footer345.xml"/><Relationship Id="rId373" Type="http://schemas.openxmlformats.org/officeDocument/2006/relationships/footer" Target="footer344.xml"/><Relationship Id="rId372" Type="http://schemas.openxmlformats.org/officeDocument/2006/relationships/footer" Target="footer343.xml"/><Relationship Id="rId371" Type="http://schemas.openxmlformats.org/officeDocument/2006/relationships/footer" Target="footer342.xml"/><Relationship Id="rId370" Type="http://schemas.openxmlformats.org/officeDocument/2006/relationships/footer" Target="footer341.xml"/><Relationship Id="rId37" Type="http://schemas.openxmlformats.org/officeDocument/2006/relationships/header" Target="header5.xml"/><Relationship Id="rId369" Type="http://schemas.openxmlformats.org/officeDocument/2006/relationships/footer" Target="footer340.xml"/><Relationship Id="rId368" Type="http://schemas.openxmlformats.org/officeDocument/2006/relationships/footer" Target="footer339.xml"/><Relationship Id="rId367" Type="http://schemas.openxmlformats.org/officeDocument/2006/relationships/footer" Target="footer338.xml"/><Relationship Id="rId366" Type="http://schemas.openxmlformats.org/officeDocument/2006/relationships/footer" Target="footer337.xml"/><Relationship Id="rId365" Type="http://schemas.openxmlformats.org/officeDocument/2006/relationships/footer" Target="footer336.xml"/><Relationship Id="rId364" Type="http://schemas.openxmlformats.org/officeDocument/2006/relationships/footer" Target="footer335.xml"/><Relationship Id="rId363" Type="http://schemas.openxmlformats.org/officeDocument/2006/relationships/footer" Target="footer334.xml"/><Relationship Id="rId362" Type="http://schemas.openxmlformats.org/officeDocument/2006/relationships/footer" Target="footer333.xml"/><Relationship Id="rId361" Type="http://schemas.openxmlformats.org/officeDocument/2006/relationships/footer" Target="footer332.xml"/><Relationship Id="rId360" Type="http://schemas.openxmlformats.org/officeDocument/2006/relationships/header" Target="header25.xml"/><Relationship Id="rId36" Type="http://schemas.openxmlformats.org/officeDocument/2006/relationships/footer" Target="footer28.xml"/><Relationship Id="rId359" Type="http://schemas.openxmlformats.org/officeDocument/2006/relationships/footer" Target="footer331.xml"/><Relationship Id="rId358" Type="http://schemas.openxmlformats.org/officeDocument/2006/relationships/header" Target="header24.xml"/><Relationship Id="rId357" Type="http://schemas.openxmlformats.org/officeDocument/2006/relationships/footer" Target="footer330.xml"/><Relationship Id="rId356" Type="http://schemas.openxmlformats.org/officeDocument/2006/relationships/footer" Target="footer329.xml"/><Relationship Id="rId355" Type="http://schemas.openxmlformats.org/officeDocument/2006/relationships/footer" Target="footer328.xml"/><Relationship Id="rId354" Type="http://schemas.openxmlformats.org/officeDocument/2006/relationships/footer" Target="footer327.xml"/><Relationship Id="rId353" Type="http://schemas.openxmlformats.org/officeDocument/2006/relationships/footer" Target="footer326.xml"/><Relationship Id="rId352" Type="http://schemas.openxmlformats.org/officeDocument/2006/relationships/footer" Target="footer325.xml"/><Relationship Id="rId351" Type="http://schemas.openxmlformats.org/officeDocument/2006/relationships/footer" Target="footer324.xml"/><Relationship Id="rId350" Type="http://schemas.openxmlformats.org/officeDocument/2006/relationships/footer" Target="footer323.xml"/><Relationship Id="rId35" Type="http://schemas.openxmlformats.org/officeDocument/2006/relationships/footer" Target="footer27.xml"/><Relationship Id="rId349" Type="http://schemas.openxmlformats.org/officeDocument/2006/relationships/footer" Target="footer322.xml"/><Relationship Id="rId348" Type="http://schemas.openxmlformats.org/officeDocument/2006/relationships/footer" Target="footer321.xml"/><Relationship Id="rId347" Type="http://schemas.openxmlformats.org/officeDocument/2006/relationships/footer" Target="footer320.xml"/><Relationship Id="rId346" Type="http://schemas.openxmlformats.org/officeDocument/2006/relationships/footer" Target="footer319.xml"/><Relationship Id="rId345" Type="http://schemas.openxmlformats.org/officeDocument/2006/relationships/footer" Target="footer318.xml"/><Relationship Id="rId344" Type="http://schemas.openxmlformats.org/officeDocument/2006/relationships/footer" Target="footer317.xml"/><Relationship Id="rId343" Type="http://schemas.openxmlformats.org/officeDocument/2006/relationships/footer" Target="footer316.xml"/><Relationship Id="rId342" Type="http://schemas.openxmlformats.org/officeDocument/2006/relationships/footer" Target="footer315.xml"/><Relationship Id="rId341" Type="http://schemas.openxmlformats.org/officeDocument/2006/relationships/footer" Target="footer314.xml"/><Relationship Id="rId340" Type="http://schemas.openxmlformats.org/officeDocument/2006/relationships/footer" Target="footer313.xml"/><Relationship Id="rId34" Type="http://schemas.openxmlformats.org/officeDocument/2006/relationships/footer" Target="footer26.xml"/><Relationship Id="rId339" Type="http://schemas.openxmlformats.org/officeDocument/2006/relationships/footer" Target="footer312.xml"/><Relationship Id="rId338" Type="http://schemas.openxmlformats.org/officeDocument/2006/relationships/footer" Target="footer311.xml"/><Relationship Id="rId337" Type="http://schemas.openxmlformats.org/officeDocument/2006/relationships/footer" Target="footer310.xml"/><Relationship Id="rId336" Type="http://schemas.openxmlformats.org/officeDocument/2006/relationships/footer" Target="footer309.xml"/><Relationship Id="rId335" Type="http://schemas.openxmlformats.org/officeDocument/2006/relationships/footer" Target="footer308.xml"/><Relationship Id="rId334" Type="http://schemas.openxmlformats.org/officeDocument/2006/relationships/footer" Target="footer307.xml"/><Relationship Id="rId333" Type="http://schemas.openxmlformats.org/officeDocument/2006/relationships/footer" Target="footer306.xml"/><Relationship Id="rId332" Type="http://schemas.openxmlformats.org/officeDocument/2006/relationships/footer" Target="footer305.xml"/><Relationship Id="rId331" Type="http://schemas.openxmlformats.org/officeDocument/2006/relationships/footer" Target="footer304.xml"/><Relationship Id="rId330" Type="http://schemas.openxmlformats.org/officeDocument/2006/relationships/footer" Target="footer303.xml"/><Relationship Id="rId33" Type="http://schemas.openxmlformats.org/officeDocument/2006/relationships/footer" Target="footer25.xml"/><Relationship Id="rId329" Type="http://schemas.openxmlformats.org/officeDocument/2006/relationships/footer" Target="footer302.xml"/><Relationship Id="rId328" Type="http://schemas.openxmlformats.org/officeDocument/2006/relationships/footer" Target="footer301.xml"/><Relationship Id="rId327" Type="http://schemas.openxmlformats.org/officeDocument/2006/relationships/footer" Target="footer300.xml"/><Relationship Id="rId326" Type="http://schemas.openxmlformats.org/officeDocument/2006/relationships/footer" Target="footer299.xml"/><Relationship Id="rId325" Type="http://schemas.openxmlformats.org/officeDocument/2006/relationships/footer" Target="footer298.xml"/><Relationship Id="rId324" Type="http://schemas.openxmlformats.org/officeDocument/2006/relationships/footer" Target="footer297.xml"/><Relationship Id="rId323" Type="http://schemas.openxmlformats.org/officeDocument/2006/relationships/footer" Target="footer296.xml"/><Relationship Id="rId322" Type="http://schemas.openxmlformats.org/officeDocument/2006/relationships/footer" Target="footer295.xml"/><Relationship Id="rId321" Type="http://schemas.openxmlformats.org/officeDocument/2006/relationships/footer" Target="footer294.xml"/><Relationship Id="rId320" Type="http://schemas.openxmlformats.org/officeDocument/2006/relationships/footer" Target="footer293.xml"/><Relationship Id="rId32" Type="http://schemas.openxmlformats.org/officeDocument/2006/relationships/footer" Target="footer24.xml"/><Relationship Id="rId319" Type="http://schemas.openxmlformats.org/officeDocument/2006/relationships/footer" Target="footer292.xml"/><Relationship Id="rId318" Type="http://schemas.openxmlformats.org/officeDocument/2006/relationships/footer" Target="footer291.xml"/><Relationship Id="rId317" Type="http://schemas.openxmlformats.org/officeDocument/2006/relationships/footer" Target="footer290.xml"/><Relationship Id="rId316" Type="http://schemas.openxmlformats.org/officeDocument/2006/relationships/footer" Target="footer289.xml"/><Relationship Id="rId315" Type="http://schemas.openxmlformats.org/officeDocument/2006/relationships/footer" Target="footer288.xml"/><Relationship Id="rId314" Type="http://schemas.openxmlformats.org/officeDocument/2006/relationships/footer" Target="footer287.xml"/><Relationship Id="rId313" Type="http://schemas.openxmlformats.org/officeDocument/2006/relationships/footer" Target="footer286.xml"/><Relationship Id="rId312" Type="http://schemas.openxmlformats.org/officeDocument/2006/relationships/footer" Target="footer285.xml"/><Relationship Id="rId311" Type="http://schemas.openxmlformats.org/officeDocument/2006/relationships/footer" Target="footer284.xml"/><Relationship Id="rId310" Type="http://schemas.openxmlformats.org/officeDocument/2006/relationships/footer" Target="footer283.xml"/><Relationship Id="rId31" Type="http://schemas.openxmlformats.org/officeDocument/2006/relationships/footer" Target="footer23.xml"/><Relationship Id="rId309" Type="http://schemas.openxmlformats.org/officeDocument/2006/relationships/footer" Target="footer282.xml"/><Relationship Id="rId308" Type="http://schemas.openxmlformats.org/officeDocument/2006/relationships/footer" Target="footer281.xml"/><Relationship Id="rId307" Type="http://schemas.openxmlformats.org/officeDocument/2006/relationships/footer" Target="footer280.xml"/><Relationship Id="rId306" Type="http://schemas.openxmlformats.org/officeDocument/2006/relationships/footer" Target="footer279.xml"/><Relationship Id="rId305" Type="http://schemas.openxmlformats.org/officeDocument/2006/relationships/footer" Target="footer278.xml"/><Relationship Id="rId304" Type="http://schemas.openxmlformats.org/officeDocument/2006/relationships/footer" Target="footer277.xml"/><Relationship Id="rId303" Type="http://schemas.openxmlformats.org/officeDocument/2006/relationships/footer" Target="footer276.xml"/><Relationship Id="rId302" Type="http://schemas.openxmlformats.org/officeDocument/2006/relationships/footer" Target="footer275.xml"/><Relationship Id="rId301" Type="http://schemas.openxmlformats.org/officeDocument/2006/relationships/footer" Target="footer274.xml"/><Relationship Id="rId300" Type="http://schemas.openxmlformats.org/officeDocument/2006/relationships/footer" Target="footer273.xml"/><Relationship Id="rId30" Type="http://schemas.openxmlformats.org/officeDocument/2006/relationships/footer" Target="footer22.xml"/><Relationship Id="rId3" Type="http://schemas.openxmlformats.org/officeDocument/2006/relationships/footnotes" Target="footnotes.xml"/><Relationship Id="rId299" Type="http://schemas.openxmlformats.org/officeDocument/2006/relationships/footer" Target="footer272.xml"/><Relationship Id="rId298" Type="http://schemas.openxmlformats.org/officeDocument/2006/relationships/footer" Target="footer271.xml"/><Relationship Id="rId297" Type="http://schemas.openxmlformats.org/officeDocument/2006/relationships/footer" Target="footer270.xml"/><Relationship Id="rId296" Type="http://schemas.openxmlformats.org/officeDocument/2006/relationships/footer" Target="footer269.xml"/><Relationship Id="rId295" Type="http://schemas.openxmlformats.org/officeDocument/2006/relationships/footer" Target="footer268.xml"/><Relationship Id="rId294" Type="http://schemas.openxmlformats.org/officeDocument/2006/relationships/footer" Target="footer267.xml"/><Relationship Id="rId293" Type="http://schemas.openxmlformats.org/officeDocument/2006/relationships/footer" Target="footer266.xml"/><Relationship Id="rId292" Type="http://schemas.openxmlformats.org/officeDocument/2006/relationships/footer" Target="footer265.xml"/><Relationship Id="rId291" Type="http://schemas.openxmlformats.org/officeDocument/2006/relationships/footer" Target="footer264.xml"/><Relationship Id="rId290" Type="http://schemas.openxmlformats.org/officeDocument/2006/relationships/footer" Target="footer263.xml"/><Relationship Id="rId29" Type="http://schemas.openxmlformats.org/officeDocument/2006/relationships/footer" Target="footer21.xml"/><Relationship Id="rId289" Type="http://schemas.openxmlformats.org/officeDocument/2006/relationships/footer" Target="footer262.xml"/><Relationship Id="rId288" Type="http://schemas.openxmlformats.org/officeDocument/2006/relationships/footer" Target="footer261.xml"/><Relationship Id="rId287" Type="http://schemas.openxmlformats.org/officeDocument/2006/relationships/footer" Target="footer260.xml"/><Relationship Id="rId286" Type="http://schemas.openxmlformats.org/officeDocument/2006/relationships/footer" Target="footer259.xml"/><Relationship Id="rId285" Type="http://schemas.openxmlformats.org/officeDocument/2006/relationships/header" Target="header23.xml"/><Relationship Id="rId284" Type="http://schemas.openxmlformats.org/officeDocument/2006/relationships/footer" Target="footer258.xml"/><Relationship Id="rId283" Type="http://schemas.openxmlformats.org/officeDocument/2006/relationships/header" Target="header22.xml"/><Relationship Id="rId282" Type="http://schemas.openxmlformats.org/officeDocument/2006/relationships/footer" Target="footer257.xml"/><Relationship Id="rId281" Type="http://schemas.openxmlformats.org/officeDocument/2006/relationships/footer" Target="footer256.xml"/><Relationship Id="rId280" Type="http://schemas.openxmlformats.org/officeDocument/2006/relationships/footer" Target="footer255.xml"/><Relationship Id="rId28" Type="http://schemas.openxmlformats.org/officeDocument/2006/relationships/footer" Target="footer20.xml"/><Relationship Id="rId279" Type="http://schemas.openxmlformats.org/officeDocument/2006/relationships/footer" Target="footer254.xml"/><Relationship Id="rId278" Type="http://schemas.openxmlformats.org/officeDocument/2006/relationships/footer" Target="footer253.xml"/><Relationship Id="rId277" Type="http://schemas.openxmlformats.org/officeDocument/2006/relationships/footer" Target="footer252.xml"/><Relationship Id="rId276" Type="http://schemas.openxmlformats.org/officeDocument/2006/relationships/footer" Target="footer251.xml"/><Relationship Id="rId275" Type="http://schemas.openxmlformats.org/officeDocument/2006/relationships/footer" Target="footer250.xml"/><Relationship Id="rId274" Type="http://schemas.openxmlformats.org/officeDocument/2006/relationships/footer" Target="footer249.xml"/><Relationship Id="rId273" Type="http://schemas.openxmlformats.org/officeDocument/2006/relationships/footer" Target="footer248.xml"/><Relationship Id="rId272" Type="http://schemas.openxmlformats.org/officeDocument/2006/relationships/footer" Target="footer247.xml"/><Relationship Id="rId271" Type="http://schemas.openxmlformats.org/officeDocument/2006/relationships/footer" Target="footer246.xml"/><Relationship Id="rId270" Type="http://schemas.openxmlformats.org/officeDocument/2006/relationships/footer" Target="footer245.xml"/><Relationship Id="rId27" Type="http://schemas.openxmlformats.org/officeDocument/2006/relationships/footer" Target="footer19.xml"/><Relationship Id="rId269" Type="http://schemas.openxmlformats.org/officeDocument/2006/relationships/footer" Target="footer244.xml"/><Relationship Id="rId268" Type="http://schemas.openxmlformats.org/officeDocument/2006/relationships/footer" Target="footer243.xml"/><Relationship Id="rId267" Type="http://schemas.openxmlformats.org/officeDocument/2006/relationships/footer" Target="footer242.xml"/><Relationship Id="rId266" Type="http://schemas.openxmlformats.org/officeDocument/2006/relationships/footer" Target="footer241.xml"/><Relationship Id="rId265" Type="http://schemas.openxmlformats.org/officeDocument/2006/relationships/footer" Target="footer240.xml"/><Relationship Id="rId264" Type="http://schemas.openxmlformats.org/officeDocument/2006/relationships/footer" Target="footer239.xml"/><Relationship Id="rId263" Type="http://schemas.openxmlformats.org/officeDocument/2006/relationships/footer" Target="footer238.xml"/><Relationship Id="rId262" Type="http://schemas.openxmlformats.org/officeDocument/2006/relationships/footer" Target="footer237.xml"/><Relationship Id="rId261" Type="http://schemas.openxmlformats.org/officeDocument/2006/relationships/footer" Target="footer236.xml"/><Relationship Id="rId260" Type="http://schemas.openxmlformats.org/officeDocument/2006/relationships/footer" Target="footer235.xml"/><Relationship Id="rId26" Type="http://schemas.openxmlformats.org/officeDocument/2006/relationships/footer" Target="footer18.xml"/><Relationship Id="rId259" Type="http://schemas.openxmlformats.org/officeDocument/2006/relationships/footer" Target="footer234.xml"/><Relationship Id="rId258" Type="http://schemas.openxmlformats.org/officeDocument/2006/relationships/footer" Target="footer233.xml"/><Relationship Id="rId257" Type="http://schemas.openxmlformats.org/officeDocument/2006/relationships/footer" Target="footer232.xml"/><Relationship Id="rId256" Type="http://schemas.openxmlformats.org/officeDocument/2006/relationships/footer" Target="footer231.xml"/><Relationship Id="rId255" Type="http://schemas.openxmlformats.org/officeDocument/2006/relationships/footer" Target="footer230.xml"/><Relationship Id="rId254" Type="http://schemas.openxmlformats.org/officeDocument/2006/relationships/footer" Target="footer229.xml"/><Relationship Id="rId253" Type="http://schemas.openxmlformats.org/officeDocument/2006/relationships/footer" Target="footer228.xml"/><Relationship Id="rId252" Type="http://schemas.openxmlformats.org/officeDocument/2006/relationships/footer" Target="footer227.xml"/><Relationship Id="rId251" Type="http://schemas.openxmlformats.org/officeDocument/2006/relationships/footer" Target="footer226.xml"/><Relationship Id="rId250" Type="http://schemas.openxmlformats.org/officeDocument/2006/relationships/footer" Target="footer225.xml"/><Relationship Id="rId25" Type="http://schemas.openxmlformats.org/officeDocument/2006/relationships/footer" Target="footer17.xml"/><Relationship Id="rId249" Type="http://schemas.openxmlformats.org/officeDocument/2006/relationships/footer" Target="footer224.xml"/><Relationship Id="rId248" Type="http://schemas.openxmlformats.org/officeDocument/2006/relationships/footer" Target="footer223.xml"/><Relationship Id="rId247" Type="http://schemas.openxmlformats.org/officeDocument/2006/relationships/footer" Target="footer222.xml"/><Relationship Id="rId246" Type="http://schemas.openxmlformats.org/officeDocument/2006/relationships/footer" Target="footer221.xml"/><Relationship Id="rId245" Type="http://schemas.openxmlformats.org/officeDocument/2006/relationships/footer" Target="footer220.xml"/><Relationship Id="rId244" Type="http://schemas.openxmlformats.org/officeDocument/2006/relationships/footer" Target="footer219.xml"/><Relationship Id="rId243" Type="http://schemas.openxmlformats.org/officeDocument/2006/relationships/footer" Target="footer218.xml"/><Relationship Id="rId242" Type="http://schemas.openxmlformats.org/officeDocument/2006/relationships/footer" Target="footer217.xml"/><Relationship Id="rId241" Type="http://schemas.openxmlformats.org/officeDocument/2006/relationships/footer" Target="footer216.xml"/><Relationship Id="rId240" Type="http://schemas.openxmlformats.org/officeDocument/2006/relationships/footer" Target="footer215.xml"/><Relationship Id="rId24" Type="http://schemas.openxmlformats.org/officeDocument/2006/relationships/footer" Target="footer16.xml"/><Relationship Id="rId239" Type="http://schemas.openxmlformats.org/officeDocument/2006/relationships/footer" Target="footer214.xml"/><Relationship Id="rId238" Type="http://schemas.openxmlformats.org/officeDocument/2006/relationships/footer" Target="footer213.xml"/><Relationship Id="rId237" Type="http://schemas.openxmlformats.org/officeDocument/2006/relationships/footer" Target="footer212.xml"/><Relationship Id="rId236" Type="http://schemas.openxmlformats.org/officeDocument/2006/relationships/footer" Target="footer211.xml"/><Relationship Id="rId235" Type="http://schemas.openxmlformats.org/officeDocument/2006/relationships/footer" Target="footer210.xml"/><Relationship Id="rId234" Type="http://schemas.openxmlformats.org/officeDocument/2006/relationships/footer" Target="footer209.xml"/><Relationship Id="rId233" Type="http://schemas.openxmlformats.org/officeDocument/2006/relationships/footer" Target="footer208.xml"/><Relationship Id="rId232" Type="http://schemas.openxmlformats.org/officeDocument/2006/relationships/footer" Target="footer207.xml"/><Relationship Id="rId231" Type="http://schemas.openxmlformats.org/officeDocument/2006/relationships/footer" Target="footer206.xml"/><Relationship Id="rId230" Type="http://schemas.openxmlformats.org/officeDocument/2006/relationships/footer" Target="footer205.xml"/><Relationship Id="rId23" Type="http://schemas.openxmlformats.org/officeDocument/2006/relationships/footer" Target="footer15.xml"/><Relationship Id="rId229" Type="http://schemas.openxmlformats.org/officeDocument/2006/relationships/footer" Target="footer204.xml"/><Relationship Id="rId228" Type="http://schemas.openxmlformats.org/officeDocument/2006/relationships/footer" Target="footer203.xml"/><Relationship Id="rId227" Type="http://schemas.openxmlformats.org/officeDocument/2006/relationships/footer" Target="footer202.xml"/><Relationship Id="rId226" Type="http://schemas.openxmlformats.org/officeDocument/2006/relationships/footer" Target="footer201.xml"/><Relationship Id="rId225" Type="http://schemas.openxmlformats.org/officeDocument/2006/relationships/footer" Target="footer200.xml"/><Relationship Id="rId224" Type="http://schemas.openxmlformats.org/officeDocument/2006/relationships/footer" Target="footer199.xml"/><Relationship Id="rId223" Type="http://schemas.openxmlformats.org/officeDocument/2006/relationships/footer" Target="footer198.xml"/><Relationship Id="rId222" Type="http://schemas.openxmlformats.org/officeDocument/2006/relationships/footer" Target="footer197.xml"/><Relationship Id="rId221" Type="http://schemas.openxmlformats.org/officeDocument/2006/relationships/footer" Target="footer196.xml"/><Relationship Id="rId220" Type="http://schemas.openxmlformats.org/officeDocument/2006/relationships/footer" Target="footer195.xml"/><Relationship Id="rId22" Type="http://schemas.openxmlformats.org/officeDocument/2006/relationships/footer" Target="footer14.xml"/><Relationship Id="rId219" Type="http://schemas.openxmlformats.org/officeDocument/2006/relationships/footer" Target="footer194.xml"/><Relationship Id="rId218" Type="http://schemas.openxmlformats.org/officeDocument/2006/relationships/footer" Target="footer193.xml"/><Relationship Id="rId217" Type="http://schemas.openxmlformats.org/officeDocument/2006/relationships/footer" Target="footer192.xml"/><Relationship Id="rId216" Type="http://schemas.openxmlformats.org/officeDocument/2006/relationships/footer" Target="footer191.xml"/><Relationship Id="rId215" Type="http://schemas.openxmlformats.org/officeDocument/2006/relationships/footer" Target="footer190.xml"/><Relationship Id="rId214" Type="http://schemas.openxmlformats.org/officeDocument/2006/relationships/footer" Target="footer189.xml"/><Relationship Id="rId213" Type="http://schemas.openxmlformats.org/officeDocument/2006/relationships/footer" Target="footer188.xml"/><Relationship Id="rId212" Type="http://schemas.openxmlformats.org/officeDocument/2006/relationships/footer" Target="footer187.xml"/><Relationship Id="rId211" Type="http://schemas.openxmlformats.org/officeDocument/2006/relationships/footer" Target="footer186.xml"/><Relationship Id="rId210" Type="http://schemas.openxmlformats.org/officeDocument/2006/relationships/footer" Target="footer185.xml"/><Relationship Id="rId21" Type="http://schemas.openxmlformats.org/officeDocument/2006/relationships/footer" Target="footer13.xml"/><Relationship Id="rId209" Type="http://schemas.openxmlformats.org/officeDocument/2006/relationships/footer" Target="footer184.xml"/><Relationship Id="rId208" Type="http://schemas.openxmlformats.org/officeDocument/2006/relationships/footer" Target="footer183.xml"/><Relationship Id="rId207" Type="http://schemas.openxmlformats.org/officeDocument/2006/relationships/footer" Target="footer182.xml"/><Relationship Id="rId206" Type="http://schemas.openxmlformats.org/officeDocument/2006/relationships/footer" Target="footer181.xml"/><Relationship Id="rId205" Type="http://schemas.openxmlformats.org/officeDocument/2006/relationships/footer" Target="footer180.xml"/><Relationship Id="rId204" Type="http://schemas.openxmlformats.org/officeDocument/2006/relationships/footer" Target="footer179.xml"/><Relationship Id="rId203" Type="http://schemas.openxmlformats.org/officeDocument/2006/relationships/footer" Target="footer178.xml"/><Relationship Id="rId202" Type="http://schemas.openxmlformats.org/officeDocument/2006/relationships/footer" Target="footer177.xml"/><Relationship Id="rId201" Type="http://schemas.openxmlformats.org/officeDocument/2006/relationships/footer" Target="footer176.xml"/><Relationship Id="rId200" Type="http://schemas.openxmlformats.org/officeDocument/2006/relationships/footer" Target="footer175.xml"/><Relationship Id="rId20" Type="http://schemas.openxmlformats.org/officeDocument/2006/relationships/footer" Target="footer12.xml"/><Relationship Id="rId2" Type="http://schemas.openxmlformats.org/officeDocument/2006/relationships/settings" Target="settings.xml"/><Relationship Id="rId199" Type="http://schemas.openxmlformats.org/officeDocument/2006/relationships/footer" Target="footer174.xml"/><Relationship Id="rId198" Type="http://schemas.openxmlformats.org/officeDocument/2006/relationships/footer" Target="footer173.xml"/><Relationship Id="rId197" Type="http://schemas.openxmlformats.org/officeDocument/2006/relationships/footer" Target="footer172.xml"/><Relationship Id="rId196" Type="http://schemas.openxmlformats.org/officeDocument/2006/relationships/footer" Target="footer171.xml"/><Relationship Id="rId195" Type="http://schemas.openxmlformats.org/officeDocument/2006/relationships/footer" Target="footer170.xml"/><Relationship Id="rId194" Type="http://schemas.openxmlformats.org/officeDocument/2006/relationships/footer" Target="footer169.xml"/><Relationship Id="rId193" Type="http://schemas.openxmlformats.org/officeDocument/2006/relationships/footer" Target="footer168.xml"/><Relationship Id="rId192" Type="http://schemas.openxmlformats.org/officeDocument/2006/relationships/footer" Target="footer167.xml"/><Relationship Id="rId191" Type="http://schemas.openxmlformats.org/officeDocument/2006/relationships/footer" Target="footer166.xml"/><Relationship Id="rId190" Type="http://schemas.openxmlformats.org/officeDocument/2006/relationships/footer" Target="footer165.xml"/><Relationship Id="rId19" Type="http://schemas.openxmlformats.org/officeDocument/2006/relationships/footer" Target="footer11.xml"/><Relationship Id="rId189" Type="http://schemas.openxmlformats.org/officeDocument/2006/relationships/footer" Target="footer164.xml"/><Relationship Id="rId188" Type="http://schemas.openxmlformats.org/officeDocument/2006/relationships/footer" Target="footer163.xml"/><Relationship Id="rId187" Type="http://schemas.openxmlformats.org/officeDocument/2006/relationships/footer" Target="footer162.xml"/><Relationship Id="rId186" Type="http://schemas.openxmlformats.org/officeDocument/2006/relationships/header" Target="header21.xml"/><Relationship Id="rId185" Type="http://schemas.openxmlformats.org/officeDocument/2006/relationships/footer" Target="footer161.xml"/><Relationship Id="rId184" Type="http://schemas.openxmlformats.org/officeDocument/2006/relationships/header" Target="header20.xml"/><Relationship Id="rId183" Type="http://schemas.openxmlformats.org/officeDocument/2006/relationships/footer" Target="footer160.xml"/><Relationship Id="rId182" Type="http://schemas.openxmlformats.org/officeDocument/2006/relationships/footer" Target="footer159.xml"/><Relationship Id="rId181" Type="http://schemas.openxmlformats.org/officeDocument/2006/relationships/footer" Target="footer158.xml"/><Relationship Id="rId180" Type="http://schemas.openxmlformats.org/officeDocument/2006/relationships/footer" Target="footer157.xml"/><Relationship Id="rId18" Type="http://schemas.openxmlformats.org/officeDocument/2006/relationships/footer" Target="footer10.xml"/><Relationship Id="rId179" Type="http://schemas.openxmlformats.org/officeDocument/2006/relationships/footer" Target="footer156.xml"/><Relationship Id="rId178" Type="http://schemas.openxmlformats.org/officeDocument/2006/relationships/footer" Target="footer155.xml"/><Relationship Id="rId177" Type="http://schemas.openxmlformats.org/officeDocument/2006/relationships/footer" Target="footer154.xml"/><Relationship Id="rId176" Type="http://schemas.openxmlformats.org/officeDocument/2006/relationships/footer" Target="footer153.xml"/><Relationship Id="rId175" Type="http://schemas.openxmlformats.org/officeDocument/2006/relationships/footer" Target="footer152.xml"/><Relationship Id="rId174" Type="http://schemas.openxmlformats.org/officeDocument/2006/relationships/footer" Target="footer151.xml"/><Relationship Id="rId173" Type="http://schemas.openxmlformats.org/officeDocument/2006/relationships/header" Target="header19.xml"/><Relationship Id="rId172" Type="http://schemas.openxmlformats.org/officeDocument/2006/relationships/footer" Target="footer150.xml"/><Relationship Id="rId171" Type="http://schemas.openxmlformats.org/officeDocument/2006/relationships/header" Target="header18.xml"/><Relationship Id="rId170" Type="http://schemas.openxmlformats.org/officeDocument/2006/relationships/footer" Target="footer149.xml"/><Relationship Id="rId17" Type="http://schemas.openxmlformats.org/officeDocument/2006/relationships/footer" Target="footer9.xml"/><Relationship Id="rId169" Type="http://schemas.openxmlformats.org/officeDocument/2006/relationships/header" Target="header17.xml"/><Relationship Id="rId168" Type="http://schemas.openxmlformats.org/officeDocument/2006/relationships/footer" Target="footer148.xml"/><Relationship Id="rId167" Type="http://schemas.openxmlformats.org/officeDocument/2006/relationships/header" Target="header16.xml"/><Relationship Id="rId166" Type="http://schemas.openxmlformats.org/officeDocument/2006/relationships/footer" Target="footer147.xml"/><Relationship Id="rId165" Type="http://schemas.openxmlformats.org/officeDocument/2006/relationships/footer" Target="footer146.xml"/><Relationship Id="rId164" Type="http://schemas.openxmlformats.org/officeDocument/2006/relationships/footer" Target="footer145.xml"/><Relationship Id="rId163" Type="http://schemas.openxmlformats.org/officeDocument/2006/relationships/footer" Target="footer144.xml"/><Relationship Id="rId162" Type="http://schemas.openxmlformats.org/officeDocument/2006/relationships/footer" Target="footer143.xml"/><Relationship Id="rId161" Type="http://schemas.openxmlformats.org/officeDocument/2006/relationships/footer" Target="footer142.xml"/><Relationship Id="rId160" Type="http://schemas.openxmlformats.org/officeDocument/2006/relationships/footer" Target="footer141.xml"/><Relationship Id="rId16" Type="http://schemas.openxmlformats.org/officeDocument/2006/relationships/footer" Target="footer8.xml"/><Relationship Id="rId159" Type="http://schemas.openxmlformats.org/officeDocument/2006/relationships/footer" Target="footer140.xml"/><Relationship Id="rId158" Type="http://schemas.openxmlformats.org/officeDocument/2006/relationships/footer" Target="footer139.xml"/><Relationship Id="rId157" Type="http://schemas.openxmlformats.org/officeDocument/2006/relationships/footer" Target="footer138.xml"/><Relationship Id="rId156" Type="http://schemas.openxmlformats.org/officeDocument/2006/relationships/footer" Target="footer137.xml"/><Relationship Id="rId155" Type="http://schemas.openxmlformats.org/officeDocument/2006/relationships/footer" Target="footer136.xml"/><Relationship Id="rId154" Type="http://schemas.openxmlformats.org/officeDocument/2006/relationships/footer" Target="footer135.xml"/><Relationship Id="rId153" Type="http://schemas.openxmlformats.org/officeDocument/2006/relationships/footer" Target="footer134.xml"/><Relationship Id="rId152" Type="http://schemas.openxmlformats.org/officeDocument/2006/relationships/footer" Target="footer133.xml"/><Relationship Id="rId151" Type="http://schemas.openxmlformats.org/officeDocument/2006/relationships/footer" Target="footer132.xml"/><Relationship Id="rId150" Type="http://schemas.openxmlformats.org/officeDocument/2006/relationships/header" Target="header15.xml"/><Relationship Id="rId15" Type="http://schemas.openxmlformats.org/officeDocument/2006/relationships/footer" Target="footer7.xml"/><Relationship Id="rId149" Type="http://schemas.openxmlformats.org/officeDocument/2006/relationships/footer" Target="footer131.xml"/><Relationship Id="rId148" Type="http://schemas.openxmlformats.org/officeDocument/2006/relationships/header" Target="header14.xml"/><Relationship Id="rId147" Type="http://schemas.openxmlformats.org/officeDocument/2006/relationships/footer" Target="footer130.xml"/><Relationship Id="rId146" Type="http://schemas.openxmlformats.org/officeDocument/2006/relationships/footer" Target="footer129.xml"/><Relationship Id="rId145" Type="http://schemas.openxmlformats.org/officeDocument/2006/relationships/footer" Target="footer128.xml"/><Relationship Id="rId144" Type="http://schemas.openxmlformats.org/officeDocument/2006/relationships/footer" Target="footer127.xml"/><Relationship Id="rId143" Type="http://schemas.openxmlformats.org/officeDocument/2006/relationships/footer" Target="footer126.xml"/><Relationship Id="rId142" Type="http://schemas.openxmlformats.org/officeDocument/2006/relationships/footer" Target="footer125.xml"/><Relationship Id="rId141" Type="http://schemas.openxmlformats.org/officeDocument/2006/relationships/footer" Target="footer124.xml"/><Relationship Id="rId140" Type="http://schemas.openxmlformats.org/officeDocument/2006/relationships/header" Target="header13.xml"/><Relationship Id="rId14" Type="http://schemas.openxmlformats.org/officeDocument/2006/relationships/footer" Target="footer6.xml"/><Relationship Id="rId139" Type="http://schemas.openxmlformats.org/officeDocument/2006/relationships/footer" Target="footer123.xml"/><Relationship Id="rId138" Type="http://schemas.openxmlformats.org/officeDocument/2006/relationships/header" Target="header12.xml"/><Relationship Id="rId137" Type="http://schemas.openxmlformats.org/officeDocument/2006/relationships/footer" Target="footer122.xml"/><Relationship Id="rId136" Type="http://schemas.openxmlformats.org/officeDocument/2006/relationships/footer" Target="footer121.xml"/><Relationship Id="rId135" Type="http://schemas.openxmlformats.org/officeDocument/2006/relationships/footer" Target="footer120.xml"/><Relationship Id="rId134" Type="http://schemas.openxmlformats.org/officeDocument/2006/relationships/footer" Target="footer119.xml"/><Relationship Id="rId133" Type="http://schemas.openxmlformats.org/officeDocument/2006/relationships/footer" Target="footer118.xml"/><Relationship Id="rId132" Type="http://schemas.openxmlformats.org/officeDocument/2006/relationships/header" Target="header11.xml"/><Relationship Id="rId131" Type="http://schemas.openxmlformats.org/officeDocument/2006/relationships/footer" Target="footer117.xml"/><Relationship Id="rId130" Type="http://schemas.openxmlformats.org/officeDocument/2006/relationships/header" Target="header10.xml"/><Relationship Id="rId13" Type="http://schemas.openxmlformats.org/officeDocument/2006/relationships/header" Target="header4.xml"/><Relationship Id="rId129" Type="http://schemas.openxmlformats.org/officeDocument/2006/relationships/footer" Target="footer116.xml"/><Relationship Id="rId128" Type="http://schemas.openxmlformats.org/officeDocument/2006/relationships/footer" Target="footer115.xml"/><Relationship Id="rId127" Type="http://schemas.openxmlformats.org/officeDocument/2006/relationships/footer" Target="footer114.xml"/><Relationship Id="rId126" Type="http://schemas.openxmlformats.org/officeDocument/2006/relationships/footer" Target="footer113.xml"/><Relationship Id="rId125" Type="http://schemas.openxmlformats.org/officeDocument/2006/relationships/footer" Target="footer112.xml"/><Relationship Id="rId124" Type="http://schemas.openxmlformats.org/officeDocument/2006/relationships/footer" Target="footer111.xml"/><Relationship Id="rId123" Type="http://schemas.openxmlformats.org/officeDocument/2006/relationships/footer" Target="footer110.xml"/><Relationship Id="rId122" Type="http://schemas.openxmlformats.org/officeDocument/2006/relationships/footer" Target="footer109.xml"/><Relationship Id="rId121" Type="http://schemas.openxmlformats.org/officeDocument/2006/relationships/footer" Target="footer108.xml"/><Relationship Id="rId120" Type="http://schemas.openxmlformats.org/officeDocument/2006/relationships/header" Target="header9.xml"/><Relationship Id="rId12" Type="http://schemas.openxmlformats.org/officeDocument/2006/relationships/footer" Target="footer5.xml"/><Relationship Id="rId119" Type="http://schemas.openxmlformats.org/officeDocument/2006/relationships/footer" Target="footer107.xml"/><Relationship Id="rId118" Type="http://schemas.openxmlformats.org/officeDocument/2006/relationships/header" Target="header8.xml"/><Relationship Id="rId117" Type="http://schemas.openxmlformats.org/officeDocument/2006/relationships/footer" Target="footer106.xml"/><Relationship Id="rId116" Type="http://schemas.openxmlformats.org/officeDocument/2006/relationships/header" Target="header7.xml"/><Relationship Id="rId115" Type="http://schemas.openxmlformats.org/officeDocument/2006/relationships/footer" Target="footer105.xml"/><Relationship Id="rId114" Type="http://schemas.openxmlformats.org/officeDocument/2006/relationships/footer" Target="footer104.xml"/><Relationship Id="rId113" Type="http://schemas.openxmlformats.org/officeDocument/2006/relationships/footer" Target="footer103.xml"/><Relationship Id="rId112" Type="http://schemas.openxmlformats.org/officeDocument/2006/relationships/footer" Target="footer102.xml"/><Relationship Id="rId111" Type="http://schemas.openxmlformats.org/officeDocument/2006/relationships/footer" Target="footer101.xml"/><Relationship Id="rId110" Type="http://schemas.openxmlformats.org/officeDocument/2006/relationships/footer" Target="footer100.xml"/><Relationship Id="rId11" Type="http://schemas.openxmlformats.org/officeDocument/2006/relationships/header" Target="header3.xml"/><Relationship Id="rId109" Type="http://schemas.openxmlformats.org/officeDocument/2006/relationships/footer" Target="footer99.xml"/><Relationship Id="rId108" Type="http://schemas.openxmlformats.org/officeDocument/2006/relationships/footer" Target="footer98.xml"/><Relationship Id="rId107" Type="http://schemas.openxmlformats.org/officeDocument/2006/relationships/footer" Target="footer97.xml"/><Relationship Id="rId106" Type="http://schemas.openxmlformats.org/officeDocument/2006/relationships/footer" Target="footer96.xml"/><Relationship Id="rId105" Type="http://schemas.openxmlformats.org/officeDocument/2006/relationships/footer" Target="footer95.xml"/><Relationship Id="rId104" Type="http://schemas.openxmlformats.org/officeDocument/2006/relationships/footer" Target="footer94.xml"/><Relationship Id="rId103" Type="http://schemas.openxmlformats.org/officeDocument/2006/relationships/footer" Target="footer93.xml"/><Relationship Id="rId102" Type="http://schemas.openxmlformats.org/officeDocument/2006/relationships/footer" Target="footer92.xml"/><Relationship Id="rId101" Type="http://schemas.openxmlformats.org/officeDocument/2006/relationships/footer" Target="footer91.xml"/><Relationship Id="rId100" Type="http://schemas.openxmlformats.org/officeDocument/2006/relationships/footer" Target="footer90.xml"/><Relationship Id="rId10" Type="http://schemas.openxmlformats.org/officeDocument/2006/relationships/footer" Target="footer4.xml"/><Relationship Id="rId1" Type="http://schemas.openxmlformats.org/officeDocument/2006/relationships/styles" Target="styles.xml"/></Relationships>
</file>

<file path=word/_rels/header10.xml.rels><?xml version="1.0" encoding="UTF-8" standalone="yes"?>
<Relationships xmlns="http://schemas.openxmlformats.org/package/2006/relationships"><Relationship Id="rId1" Type="http://schemas.openxmlformats.org/officeDocument/2006/relationships/image" Target="media/image5.jpeg"/></Relationships>
</file>

<file path=word/_rels/header12.xml.rels><?xml version="1.0" encoding="UTF-8" standalone="yes"?>
<Relationships xmlns="http://schemas.openxmlformats.org/package/2006/relationships"><Relationship Id="rId1" Type="http://schemas.openxmlformats.org/officeDocument/2006/relationships/image" Target="media/image6.jpeg"/></Relationships>
</file>

<file path=word/_rels/header14.xml.rels><?xml version="1.0" encoding="UTF-8" standalone="yes"?>
<Relationships xmlns="http://schemas.openxmlformats.org/package/2006/relationships"><Relationship Id="rId1" Type="http://schemas.openxmlformats.org/officeDocument/2006/relationships/image" Target="media/image7.jpeg"/></Relationships>
</file>

<file path=word/_rels/header16.xml.rels><?xml version="1.0" encoding="UTF-8" standalone="yes"?>
<Relationships xmlns="http://schemas.openxmlformats.org/package/2006/relationships"><Relationship Id="rId1" Type="http://schemas.openxmlformats.org/officeDocument/2006/relationships/image" Target="media/image8.jpeg"/></Relationships>
</file>

<file path=word/_rels/header18.xml.rels><?xml version="1.0" encoding="UTF-8" standalone="yes"?>
<Relationships xmlns="http://schemas.openxmlformats.org/package/2006/relationships"><Relationship Id="rId1" Type="http://schemas.openxmlformats.org/officeDocument/2006/relationships/image" Target="media/image9.jpeg"/></Relationships>
</file>

<file path=word/_rels/header20.xml.rels><?xml version="1.0" encoding="UTF-8" standalone="yes"?>
<Relationships xmlns="http://schemas.openxmlformats.org/package/2006/relationships"><Relationship Id="rId1" Type="http://schemas.openxmlformats.org/officeDocument/2006/relationships/image" Target="media/image10.jpeg"/></Relationships>
</file>

<file path=word/_rels/header22.xml.rels><?xml version="1.0" encoding="UTF-8" standalone="yes"?>
<Relationships xmlns="http://schemas.openxmlformats.org/package/2006/relationships"><Relationship Id="rId1" Type="http://schemas.openxmlformats.org/officeDocument/2006/relationships/image" Target="media/image11.jpeg"/></Relationships>
</file>

<file path=word/_rels/header24.xml.rels><?xml version="1.0" encoding="UTF-8" standalone="yes"?>
<Relationships xmlns="http://schemas.openxmlformats.org/package/2006/relationships"><Relationship Id="rId1" Type="http://schemas.openxmlformats.org/officeDocument/2006/relationships/image" Target="media/image12.jpeg"/></Relationships>
</file>

<file path=word/_rels/header3.xml.rels><?xml version="1.0" encoding="UTF-8" standalone="yes"?>
<Relationships xmlns="http://schemas.openxmlformats.org/package/2006/relationships"><Relationship Id="rId1" Type="http://schemas.openxmlformats.org/officeDocument/2006/relationships/image" Target="media/image1.jpeg"/></Relationships>
</file>

<file path=word/_rels/header5.xml.rels><?xml version="1.0" encoding="UTF-8" standalone="yes"?>
<Relationships xmlns="http://schemas.openxmlformats.org/package/2006/relationships"><Relationship Id="rId1" Type="http://schemas.openxmlformats.org/officeDocument/2006/relationships/image" Target="media/image2.jpeg"/></Relationships>
</file>

<file path=word/_rels/header7.xml.rels><?xml version="1.0" encoding="UTF-8" standalone="yes"?>
<Relationships xmlns="http://schemas.openxmlformats.org/package/2006/relationships"><Relationship Id="rId1" Type="http://schemas.openxmlformats.org/officeDocument/2006/relationships/image" Target="media/image3.jpeg"/></Relationships>
</file>

<file path=word/_rels/header8.xml.rels><?xml version="1.0" encoding="UTF-8" standalone="yes"?>
<Relationships xmlns="http://schemas.openxmlformats.org/package/2006/relationships"><Relationship Id="rId1" Type="http://schemas.openxmlformats.org/officeDocument/2006/relationships/image" Target="media/image4.jpe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2049"/>
    <customShpInfo spid="_x0000_s2050"/>
    <customShpInfo spid="_x0000_s2051"/>
    <customShpInfo spid="_x0000_s2052"/>
    <customShpInfo spid="_x0000_s2053"/>
    <customShpInfo spid="_x0000_s2054"/>
    <customShpInfo spid="_x0000_s2055"/>
    <customShpInfo spid="_x0000_s2056"/>
    <customShpInfo spid="_x0000_s2057"/>
    <customShpInfo spid="_x0000_s2058"/>
    <customShpInfo spid="_x0000_s2059"/>
    <customShpInfo spid="_x0000_s1027"/>
    <customShpInfo spid="_x0000_s1028"/>
    <customShpInfo spid="_x0000_s1029"/>
    <customShpInfo spid="_x0000_s1026" textRotate="1"/>
    <customShpInfo spid="_x0000_s1030"/>
    <customShpInfo spid="_x0000_s1031"/>
    <customShpInfo spid="_x0000_s1033"/>
    <customShpInfo spid="_x0000_s1034"/>
    <customShpInfo spid="_x0000_s1035"/>
    <customShpInfo spid="_x0000_s1032"/>
    <customShpInfo spid="_x0000_s1037"/>
    <customShpInfo spid="_x0000_s1038"/>
    <customShpInfo spid="_x0000_s1039"/>
    <customShpInfo spid="_x0000_s1040"/>
    <customShpInfo spid="_x0000_s1036"/>
    <customShpInfo spid="_x0000_s1042"/>
    <customShpInfo spid="_x0000_s1043"/>
    <customShpInfo spid="_x0000_s1044"/>
    <customShpInfo spid="_x0000_s1045"/>
    <customShpInfo spid="_x0000_s1046"/>
    <customShpInfo spid="_x0000_s1041"/>
    <customShpInfo spid="_x0000_s1047"/>
    <customShpInfo spid="_x0000_s1048"/>
    <customShpInfo spid="_x0000_s1050"/>
    <customShpInfo spid="_x0000_s1051"/>
    <customShpInfo spid="_x0000_s1052"/>
    <customShpInfo spid="_x0000_s1053"/>
    <customShpInfo spid="_x0000_s1054"/>
    <customShpInfo spid="_x0000_s1055"/>
    <customShpInfo spid="_x0000_s1056"/>
    <customShpInfo spid="_x0000_s1049"/>
    <customShpInfo spid="_x0000_s1058"/>
    <customShpInfo spid="_x0000_s1059"/>
    <customShpInfo spid="_x0000_s1060"/>
    <customShpInfo spid="_x0000_s1061"/>
    <customShpInfo spid="_x0000_s1062"/>
    <customShpInfo spid="_x0000_s1063"/>
    <customShpInfo spid="_x0000_s1057"/>
    <customShpInfo spid="_x0000_s1064"/>
    <customShpInfo spid="_x0000_s1065"/>
    <customShpInfo spid="_x0000_s1066"/>
    <customShpInfo spid="_x0000_s1067"/>
    <customShpInfo spid="_x0000_s1068"/>
    <customShpInfo spid="_x0000_s1069"/>
    <customShpInfo spid="_x0000_s1070"/>
    <customShpInfo spid="_x0000_s1072"/>
    <customShpInfo spid="_x0000_s1073"/>
    <customShpInfo spid="_x0000_s1074"/>
    <customShpInfo spid="_x0000_s1075"/>
    <customShpInfo spid="_x0000_s1076"/>
    <customShpInfo spid="_x0000_s1071"/>
    <customShpInfo spid="_x0000_s1077"/>
    <customShpInfo spid="_x0000_s1078"/>
    <customShpInfo spid="_x0000_s1080"/>
    <customShpInfo spid="_x0000_s1081"/>
    <customShpInfo spid="_x0000_s1082"/>
    <customShpInfo spid="_x0000_s1083"/>
    <customShpInfo spid="_x0000_s1084"/>
    <customShpInfo spid="_x0000_s1079"/>
    <customShpInfo spid="_x0000_s1085"/>
    <customShpInfo spid="_x0000_s1086"/>
    <customShpInfo spid="_x0000_s1087"/>
    <customShpInfo spid="_x0000_s1088"/>
    <customShpInfo spid="_x0000_s1089"/>
    <customShpInfo spid="_x0000_s1090"/>
    <customShpInfo spid="_x0000_s1091"/>
    <customShpInfo spid="_x0000_s1092"/>
    <customShpInfo spid="_x0000_s1093"/>
    <customShpInfo spid="_x0000_s1094"/>
    <customShpInfo spid="_x0000_s1095"/>
    <customShpInfo spid="_x0000_s1096"/>
    <customShpInfo spid="_x0000_s1097"/>
    <customShpInfo spid="_x0000_s1098"/>
    <customShpInfo spid="_x0000_s1099"/>
    <customShpInfo spid="_x0000_s1100"/>
    <customShpInfo spid="_x0000_s1102"/>
    <customShpInfo spid="_x0000_s1103"/>
    <customShpInfo spid="_x0000_s1104"/>
    <customShpInfo spid="_x0000_s1105"/>
    <customShpInfo spid="_x0000_s1106"/>
    <customShpInfo spid="_x0000_s1101"/>
    <customShpInfo spid="_x0000_s1107"/>
    <customShpInfo spid="_x0000_s1108"/>
    <customShpInfo spid="_x0000_s1109"/>
    <customShpInfo spid="_x0000_s1111"/>
    <customShpInfo spid="_x0000_s1112"/>
    <customShpInfo spid="_x0000_s1113"/>
    <customShpInfo spid="_x0000_s1110"/>
    <customShpInfo spid="_x0000_s1114"/>
    <customShpInfo spid="_x0000_s1115"/>
    <customShpInfo spid="_x0000_s1116"/>
    <customShpInfo spid="_x0000_s1117"/>
    <customShpInfo spid="_x0000_s1119"/>
    <customShpInfo spid="_x0000_s1120"/>
    <customShpInfo spid="_x0000_s1121"/>
    <customShpInfo spid="_x0000_s1122"/>
    <customShpInfo spid="_x0000_s1123"/>
    <customShpInfo spid="_x0000_s1124"/>
    <customShpInfo spid="_x0000_s1118"/>
    <customShpInfo spid="_x0000_s1126"/>
    <customShpInfo spid="_x0000_s1127"/>
    <customShpInfo spid="_x0000_s1128"/>
    <customShpInfo spid="_x0000_s1125"/>
    <customShpInfo spid="_x0000_s1130"/>
    <customShpInfo spid="_x0000_s1131"/>
    <customShpInfo spid="_x0000_s1129"/>
    <customShpInfo spid="_x0000_s1133"/>
    <customShpInfo spid="_x0000_s1134"/>
    <customShpInfo spid="_x0000_s1132"/>
    <customShpInfo spid="_x0000_s1136"/>
    <customShpInfo spid="_x0000_s1137"/>
    <customShpInfo spid="_x0000_s1135"/>
    <customShpInfo spid="_x0000_s1139"/>
    <customShpInfo spid="_x0000_s1140"/>
    <customShpInfo spid="_x0000_s1138"/>
    <customShpInfo spid="_x0000_s1142"/>
    <customShpInfo spid="_x0000_s1143"/>
    <customShpInfo spid="_x0000_s1141"/>
    <customShpInfo spid="_x0000_s1145"/>
    <customShpInfo spid="_x0000_s1146"/>
    <customShpInfo spid="_x0000_s1147"/>
    <customShpInfo spid="_x0000_s1148"/>
    <customShpInfo spid="_x0000_s1149"/>
    <customShpInfo spid="_x0000_s1144"/>
    <customShpInfo spid="_x0000_s1151"/>
    <customShpInfo spid="_x0000_s1152"/>
    <customShpInfo spid="_x0000_s1153"/>
    <customShpInfo spid="_x0000_s1150"/>
    <customShpInfo spid="_x0000_s1155"/>
    <customShpInfo spid="_x0000_s1156"/>
    <customShpInfo spid="_x0000_s1157"/>
    <customShpInfo spid="_x0000_s1154"/>
    <customShpInfo spid="_x0000_s1159"/>
    <customShpInfo spid="_x0000_s1160"/>
    <customShpInfo spid="_x0000_s1161"/>
    <customShpInfo spid="_x0000_s1162"/>
    <customShpInfo spid="_x0000_s1158"/>
    <customShpInfo spid="_x0000_s1163"/>
    <customShpInfo spid="_x0000_s1164"/>
    <customShpInfo spid="_x0000_s1165"/>
    <customShpInfo spid="_x0000_s1166"/>
    <customShpInfo spid="_x0000_s1167"/>
    <customShpInfo spid="_x0000_s1168"/>
    <customShpInfo spid="_x0000_s1170"/>
    <customShpInfo spid="_x0000_s1171"/>
    <customShpInfo spid="_x0000_s1172"/>
    <customShpInfo spid="_x0000_s1173"/>
    <customShpInfo spid="_x0000_s1169"/>
    <customShpInfo spid="_x0000_s1174"/>
    <customShpInfo spid="_x0000_s1175"/>
    <customShpInfo spid="_x0000_s1177"/>
    <customShpInfo spid="_x0000_s1178"/>
    <customShpInfo spid="_x0000_s1179"/>
    <customShpInfo spid="_x0000_s1180"/>
    <customShpInfo spid="_x0000_s1181"/>
    <customShpInfo spid="_x0000_s1182"/>
    <customShpInfo spid="_x0000_s1183"/>
    <customShpInfo spid="_x0000_s1184"/>
    <customShpInfo spid="_x0000_s1185"/>
    <customShpInfo spid="_x0000_s1186"/>
    <customShpInfo spid="_x0000_s1187"/>
    <customShpInfo spid="_x0000_s1188"/>
    <customShpInfo spid="_x0000_s1189"/>
    <customShpInfo spid="_x0000_s1190"/>
    <customShpInfo spid="_x0000_s1191"/>
    <customShpInfo spid="_x0000_s1192"/>
    <customShpInfo spid="_x0000_s1193"/>
    <customShpInfo spid="_x0000_s1194"/>
    <customShpInfo spid="_x0000_s1176"/>
    <customShpInfo spid="_x0000_s1195"/>
    <customShpInfo spid="_x0000_s1196"/>
    <customShpInfo spid="_x0000_s1197"/>
    <customShpInfo spid="_x0000_s1198"/>
    <customShpInfo spid="_x0000_s1199"/>
    <customShpInfo spid="_x0000_s1200"/>
    <customShpInfo spid="_x0000_s1201"/>
    <customShpInfo spid="_x0000_s1202"/>
    <customShpInfo spid="_x0000_s1204"/>
    <customShpInfo spid="_x0000_s1205"/>
    <customShpInfo spid="_x0000_s1203"/>
    <customShpInfo spid="_x0000_s1206"/>
    <customShpInfo spid="_x0000_s1207"/>
    <customShpInfo spid="_x0000_s1208"/>
    <customShpInfo spid="_x0000_s1209"/>
    <customShpInfo spid="_x0000_s1210"/>
    <customShpInfo spid="_x0000_s1211"/>
    <customShpInfo spid="_x0000_s1212"/>
    <customShpInfo spid="_x0000_s1213"/>
    <customShpInfo spid="_x0000_s1215"/>
    <customShpInfo spid="_x0000_s1216"/>
    <customShpInfo spid="_x0000_s1214"/>
    <customShpInfo spid="_x0000_s1217"/>
    <customShpInfo spid="_x0000_s1218"/>
    <customShpInfo spid="_x0000_s1220"/>
    <customShpInfo spid="_x0000_s1221"/>
    <customShpInfo spid="_x0000_s1222"/>
    <customShpInfo spid="_x0000_s1223"/>
    <customShpInfo spid="_x0000_s1219"/>
    <customShpInfo spid="_x0000_s1225"/>
    <customShpInfo spid="_x0000_s1226"/>
    <customShpInfo spid="_x0000_s1227"/>
    <customShpInfo spid="_x0000_s1228"/>
    <customShpInfo spid="_x0000_s1229"/>
    <customShpInfo spid="_x0000_s1230"/>
    <customShpInfo spid="_x0000_s1231"/>
    <customShpInfo spid="_x0000_s1232"/>
    <customShpInfo spid="_x0000_s1224"/>
    <customShpInfo spid="_x0000_s1233"/>
    <customShpInfo spid="_x0000_s1234"/>
    <customShpInfo spid="_x0000_s1235"/>
    <customShpInfo spid="_x0000_s1236"/>
    <customShpInfo spid="_x0000_s1237"/>
    <customShpInfo spid="_x0000_s1238"/>
    <customShpInfo spid="_x0000_s1239"/>
    <customShpInfo spid="_x0000_s1240"/>
    <customShpInfo spid="_x0000_s1241"/>
    <customShpInfo spid="_x0000_s1242"/>
    <customShpInfo spid="_x0000_s1243"/>
    <customShpInfo spid="_x0000_s1244"/>
    <customShpInfo spid="_x0000_s1245"/>
    <customShpInfo spid="_x0000_s1246"/>
    <customShpInfo spid="_x0000_s1247"/>
    <customShpInfo spid="_x0000_s1248"/>
    <customShpInfo spid="_x0000_s1249"/>
    <customShpInfo spid="_x0000_s1250"/>
    <customShpInfo spid="_x0000_s1251"/>
    <customShpInfo spid="_x0000_s1252"/>
    <customShpInfo spid="_x0000_s1253"/>
    <customShpInfo spid="_x0000_s1254"/>
    <customShpInfo spid="_x0000_s1255"/>
    <customShpInfo spid="_x0000_s1256"/>
    <customShpInfo spid="_x0000_s1257"/>
    <customShpInfo spid="_x0000_s1258"/>
    <customShpInfo spid="_x0000_s1259"/>
    <customShpInfo spid="_x0000_s1260"/>
    <customShpInfo spid="_x0000_s1261"/>
    <customShpInfo spid="_x0000_s1262"/>
    <customShpInfo spid="_x0000_s1263"/>
    <customShpInfo spid="_x0000_s1264"/>
    <customShpInfo spid="_x0000_s1265"/>
    <customShpInfo spid="_x0000_s1266"/>
    <customShpInfo spid="_x0000_s1267"/>
    <customShpInfo spid="_x0000_s1269"/>
    <customShpInfo spid="_x0000_s1270"/>
    <customShpInfo spid="_x0000_s1271"/>
    <customShpInfo spid="_x0000_s1272"/>
    <customShpInfo spid="_x0000_s1268"/>
    <customShpInfo spid="_x0000_s1273"/>
    <customShpInfo spid="_x0000_s1275"/>
    <customShpInfo spid="_x0000_s1276"/>
    <customShpInfo spid="_x0000_s1277"/>
    <customShpInfo spid="_x0000_s1278"/>
    <customShpInfo spid="_x0000_s1279"/>
    <customShpInfo spid="_x0000_s1274"/>
    <customShpInfo spid="_x0000_s1280"/>
    <customShpInfo spid="_x0000_s1282"/>
    <customShpInfo spid="_x0000_s1283"/>
    <customShpInfo spid="_x0000_s1281"/>
    <customShpInfo spid="_x0000_s1285"/>
    <customShpInfo spid="_x0000_s1286"/>
    <customShpInfo spid="_x0000_s1287"/>
    <customShpInfo spid="_x0000_s1284"/>
    <customShpInfo spid="_x0000_s1289"/>
    <customShpInfo spid="_x0000_s1290"/>
    <customShpInfo spid="_x0000_s1288"/>
    <customShpInfo spid="_x0000_s1292"/>
    <customShpInfo spid="_x0000_s1293"/>
    <customShpInfo spid="_x0000_s1291"/>
    <customShpInfo spid="_x0000_s1294"/>
    <customShpInfo spid="_x0000_s1295"/>
    <customShpInfo spid="_x0000_s1297"/>
    <customShpInfo spid="_x0000_s1298"/>
    <customShpInfo spid="_x0000_s1296"/>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Pages>405</Pages>
  <TotalTime>0</TotalTime>
  <ScaleCrop>false</ScaleCrop>
  <LinksUpToDate>false</LinksUpToDate>
  <Application>WPS Office_12.1.21861.21861_F1E327BC-269C-435d-A152-05C5408002CA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2025-10-21T07:21:00Z</dcterms:created>
  <dc:creator>Data</dc:creator>
  <cp:lastModifiedBy>燚</cp:lastModifiedBy>
  <dcterms:modified xsi:type="dcterms:W3CDTF">2025-10-20T23:22:48Z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O">
    <vt:lpwstr>wqlLaW5nc29mdCBQREYgdG8gV1BTIDExMEI</vt:lpwstr>
  </property>
  <property fmtid="{D5CDD505-2E9C-101B-9397-08002B2CF9AE}" pid="3" name="Created">
    <vt:filetime>2025-10-20T23:22:22Z</vt:filetime>
  </property>
  <property fmtid="{D5CDD505-2E9C-101B-9397-08002B2CF9AE}" pid="4" name="UsrData">
    <vt:lpwstr>68f6533a10e070001f84291dwl</vt:lpwstr>
  </property>
  <property fmtid="{D5CDD505-2E9C-101B-9397-08002B2CF9AE}" pid="5" name="KSOProductBuildVer">
    <vt:lpwstr>2052-12.1.21861.21861</vt:lpwstr>
  </property>
  <property fmtid="{D5CDD505-2E9C-101B-9397-08002B2CF9AE}" pid="6" name="ICV">
    <vt:lpwstr>8BA90182564CC83BC853F668F0BC6171_42</vt:lpwstr>
  </property>
</Properties>
</file>